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emf" ContentType="image/x-emf"/>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959" w:rsidRPr="00C629BD" w:rsidRDefault="00972959" w:rsidP="00DD11CD">
      <w:pPr>
        <w:rPr>
          <w:rFonts w:ascii="Times New Roman" w:hAnsi="Times New Roman"/>
          <w:b/>
          <w:sz w:val="24"/>
          <w:szCs w:val="24"/>
          <w:lang w:val="sr-Cyrl-CS"/>
        </w:rPr>
      </w:pPr>
    </w:p>
    <w:p w:rsidR="00323F37" w:rsidRPr="00421133" w:rsidRDefault="00323F37" w:rsidP="00323F37">
      <w:pPr>
        <w:jc w:val="center"/>
        <w:rPr>
          <w:rFonts w:ascii="Times New Roman" w:hAnsi="Times New Roman"/>
          <w:b/>
          <w:sz w:val="24"/>
          <w:szCs w:val="24"/>
          <w:lang w:val="sr-Cyrl-CS"/>
        </w:rPr>
      </w:pPr>
    </w:p>
    <w:p w:rsidR="00DA355F" w:rsidRDefault="00972959" w:rsidP="00347C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w:hAnsi="Times New Roman"/>
          <w:b/>
          <w:sz w:val="28"/>
          <w:szCs w:val="28"/>
          <w:lang w:val="sr-Cyrl-CS"/>
        </w:rPr>
      </w:pPr>
      <w:r w:rsidRPr="00972959">
        <w:rPr>
          <w:rFonts w:ascii="Times New Roman" w:hAnsi="Times New Roman"/>
          <w:b/>
          <w:sz w:val="28"/>
          <w:szCs w:val="28"/>
          <w:lang w:val="sr-Cyrl-CS"/>
        </w:rPr>
        <w:t xml:space="preserve">УВОДНА </w:t>
      </w:r>
      <w:r w:rsidR="001F35E1">
        <w:rPr>
          <w:rFonts w:ascii="Times New Roman" w:hAnsi="Times New Roman"/>
          <w:b/>
          <w:sz w:val="28"/>
          <w:szCs w:val="28"/>
          <w:lang w:val="sr-Cyrl-CS"/>
        </w:rPr>
        <w:t>ТЕОРИЈСКО</w:t>
      </w:r>
      <w:r w:rsidR="001F35E1" w:rsidRPr="001F35E1">
        <w:rPr>
          <w:rFonts w:ascii="Times New Roman" w:hAnsi="Times New Roman"/>
          <w:sz w:val="28"/>
          <w:szCs w:val="28"/>
          <w:lang w:val="sr-Cyrl-CS"/>
        </w:rPr>
        <w:t>-</w:t>
      </w:r>
      <w:r w:rsidR="001F35E1">
        <w:rPr>
          <w:rFonts w:ascii="Times New Roman" w:hAnsi="Times New Roman"/>
          <w:b/>
          <w:sz w:val="28"/>
          <w:szCs w:val="28"/>
          <w:lang w:val="sr-Cyrl-CS"/>
        </w:rPr>
        <w:t>МЕТОДОЛОШКА РАЗМАТРАЊАРА</w:t>
      </w:r>
    </w:p>
    <w:p w:rsidR="00084759" w:rsidRDefault="00084759" w:rsidP="000847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b/>
          <w:sz w:val="24"/>
          <w:szCs w:val="24"/>
          <w:lang w:val="sr-Cyrl-CS"/>
        </w:rPr>
      </w:pPr>
      <w:r>
        <w:rPr>
          <w:rFonts w:ascii="Times New Roman" w:hAnsi="Times New Roman"/>
          <w:b/>
          <w:sz w:val="24"/>
          <w:szCs w:val="24"/>
          <w:lang w:val="sr-Cyrl-CS"/>
        </w:rPr>
        <w:t xml:space="preserve">„На овоме свету ништа не можемо </w:t>
      </w:r>
    </w:p>
    <w:p w:rsidR="00084759" w:rsidRDefault="00084759" w:rsidP="000847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b/>
          <w:sz w:val="24"/>
          <w:szCs w:val="24"/>
          <w:lang w:val="sr-Cyrl-CS"/>
        </w:rPr>
      </w:pPr>
      <w:r>
        <w:rPr>
          <w:rFonts w:ascii="Times New Roman" w:hAnsi="Times New Roman"/>
          <w:b/>
          <w:sz w:val="24"/>
          <w:szCs w:val="24"/>
          <w:lang w:val="sr-Cyrl-CS"/>
        </w:rPr>
        <w:t>сматрати сигурним, сем смрти и пореза“</w:t>
      </w:r>
    </w:p>
    <w:p w:rsidR="007420DD" w:rsidRDefault="00084759" w:rsidP="000847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sz w:val="28"/>
          <w:szCs w:val="28"/>
          <w:lang w:val="sr-Cyrl-CS"/>
        </w:rPr>
      </w:pPr>
      <w:r>
        <w:rPr>
          <w:rFonts w:ascii="Times New Roman" w:hAnsi="Times New Roman"/>
          <w:b/>
          <w:bCs/>
          <w:color w:val="000000"/>
          <w:sz w:val="24"/>
          <w:szCs w:val="24"/>
          <w:shd w:val="clear" w:color="auto" w:fill="FFFFFF"/>
          <w:lang w:val="sr-Cyrl-CS"/>
        </w:rPr>
        <w:t xml:space="preserve">                                                                                    </w:t>
      </w:r>
      <w:r w:rsidRPr="007420DD">
        <w:rPr>
          <w:rFonts w:ascii="Times New Roman" w:hAnsi="Times New Roman"/>
          <w:b/>
          <w:bCs/>
          <w:color w:val="000000"/>
          <w:sz w:val="24"/>
          <w:szCs w:val="24"/>
          <w:shd w:val="clear" w:color="auto" w:fill="FFFFFF"/>
        </w:rPr>
        <w:t>Бенџамин Френклин</w:t>
      </w:r>
    </w:p>
    <w:p w:rsidR="00084759" w:rsidRPr="00972959" w:rsidRDefault="00084759" w:rsidP="000847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8"/>
          <w:szCs w:val="28"/>
          <w:lang w:val="sr-Cyrl-CS"/>
        </w:rPr>
      </w:pPr>
    </w:p>
    <w:p w:rsidR="001F35E1" w:rsidRDefault="007E2821" w:rsidP="001F35E1">
      <w:pPr>
        <w:ind w:firstLine="709"/>
        <w:jc w:val="both"/>
        <w:rPr>
          <w:rFonts w:ascii="Times New Roman" w:hAnsi="Times New Roman"/>
          <w:sz w:val="24"/>
          <w:szCs w:val="24"/>
          <w:lang w:val="sr-Cyrl-CS"/>
        </w:rPr>
      </w:pPr>
      <w:r>
        <w:rPr>
          <w:rFonts w:ascii="Times New Roman" w:hAnsi="Times New Roman"/>
          <w:sz w:val="24"/>
          <w:szCs w:val="24"/>
        </w:rPr>
        <w:tab/>
      </w:r>
      <w:r w:rsidR="001F35E1" w:rsidRPr="0045661E">
        <w:rPr>
          <w:rFonts w:ascii="Times New Roman" w:hAnsi="Times New Roman"/>
          <w:sz w:val="24"/>
          <w:szCs w:val="24"/>
          <w:lang w:val="sr-Cyrl-CS"/>
        </w:rPr>
        <w:t>Избегавање плаћања пореза (пореска евазија)</w:t>
      </w:r>
      <w:r w:rsidR="001F35E1">
        <w:rPr>
          <w:rFonts w:ascii="Times New Roman" w:hAnsi="Times New Roman"/>
          <w:sz w:val="24"/>
          <w:szCs w:val="24"/>
          <w:lang w:val="sr-Cyrl-CS"/>
        </w:rPr>
        <w:t xml:space="preserve"> </w:t>
      </w:r>
      <w:r w:rsidR="001F35E1">
        <w:rPr>
          <w:rFonts w:ascii="Times New Roman" w:hAnsi="Times New Roman"/>
          <w:sz w:val="24"/>
          <w:szCs w:val="24"/>
        </w:rPr>
        <w:t>п</w:t>
      </w:r>
      <w:r w:rsidR="001F35E1">
        <w:rPr>
          <w:rFonts w:ascii="Times New Roman" w:hAnsi="Times New Roman"/>
          <w:sz w:val="24"/>
          <w:szCs w:val="24"/>
          <w:lang w:val="sr-Cyrl-CS"/>
        </w:rPr>
        <w:t>редставља</w:t>
      </w:r>
      <w:r w:rsidR="001F35E1" w:rsidRPr="00CF0186">
        <w:rPr>
          <w:rFonts w:ascii="Times New Roman" w:hAnsi="Times New Roman"/>
          <w:sz w:val="24"/>
          <w:szCs w:val="24"/>
          <w:lang w:val="sr-Cyrl-CS"/>
        </w:rPr>
        <w:t xml:space="preserve"> озбиљан друштвени проблем који битно урушава економску основу др</w:t>
      </w:r>
      <w:r w:rsidR="001F35E1">
        <w:rPr>
          <w:rFonts w:ascii="Times New Roman" w:hAnsi="Times New Roman"/>
          <w:sz w:val="24"/>
          <w:szCs w:val="24"/>
          <w:lang w:val="sr-Cyrl-CS"/>
        </w:rPr>
        <w:t>уштва и ремети економски систем. Због своје комплексности и</w:t>
      </w:r>
      <w:r w:rsidR="001F35E1" w:rsidRPr="00CF0186">
        <w:rPr>
          <w:rFonts w:ascii="Times New Roman" w:hAnsi="Times New Roman"/>
          <w:sz w:val="24"/>
          <w:szCs w:val="24"/>
        </w:rPr>
        <w:t>збегавање плаћања пореза</w:t>
      </w:r>
      <w:r w:rsidR="001F35E1" w:rsidRPr="00CF0186">
        <w:rPr>
          <w:rFonts w:ascii="Times New Roman" w:hAnsi="Times New Roman"/>
          <w:sz w:val="24"/>
          <w:szCs w:val="24"/>
          <w:lang w:val="sr-Cyrl-CS"/>
        </w:rPr>
        <w:t xml:space="preserve"> је</w:t>
      </w:r>
      <w:r w:rsidR="001F35E1" w:rsidRPr="00CF0186">
        <w:rPr>
          <w:rFonts w:ascii="Times New Roman" w:hAnsi="Times New Roman"/>
          <w:sz w:val="24"/>
          <w:szCs w:val="24"/>
        </w:rPr>
        <w:t xml:space="preserve"> </w:t>
      </w:r>
      <w:r w:rsidR="001F35E1" w:rsidRPr="005970F3">
        <w:rPr>
          <w:rFonts w:ascii="Times New Roman" w:hAnsi="Times New Roman"/>
          <w:sz w:val="24"/>
          <w:szCs w:val="24"/>
        </w:rPr>
        <w:t>повезано</w:t>
      </w:r>
      <w:r w:rsidR="001F35E1" w:rsidRPr="00CF0186">
        <w:rPr>
          <w:rFonts w:ascii="Times New Roman" w:hAnsi="Times New Roman"/>
          <w:sz w:val="24"/>
          <w:szCs w:val="24"/>
        </w:rPr>
        <w:t xml:space="preserve"> са при</w:t>
      </w:r>
      <w:r w:rsidR="001F35E1">
        <w:rPr>
          <w:rFonts w:ascii="Times New Roman" w:hAnsi="Times New Roman"/>
          <w:sz w:val="24"/>
          <w:szCs w:val="24"/>
        </w:rPr>
        <w:t>вредним криминалом и корупцијом</w:t>
      </w:r>
      <w:r w:rsidR="001F35E1" w:rsidRPr="00CF0186">
        <w:rPr>
          <w:rFonts w:ascii="Times New Roman" w:hAnsi="Times New Roman"/>
          <w:sz w:val="24"/>
          <w:szCs w:val="24"/>
        </w:rPr>
        <w:t xml:space="preserve">  присутном у већини сфера друштвеног живота</w:t>
      </w:r>
      <w:r w:rsidR="001F35E1">
        <w:rPr>
          <w:rFonts w:ascii="Times New Roman" w:hAnsi="Times New Roman"/>
          <w:sz w:val="24"/>
          <w:szCs w:val="24"/>
          <w:lang w:val="sr-Cyrl-CS"/>
        </w:rPr>
        <w:t xml:space="preserve">. </w:t>
      </w:r>
      <w:r w:rsidR="001F35E1" w:rsidRPr="007D0E2C">
        <w:rPr>
          <w:rFonts w:ascii="Times New Roman" w:hAnsi="Times New Roman"/>
          <w:sz w:val="24"/>
          <w:szCs w:val="24"/>
          <w:lang w:val="sr-Cyrl-CS"/>
        </w:rPr>
        <w:t>Корупција и привредни криминал у пореској области нарушавају функционисање пореског система, воде слабљењу пореског морала и подривају поверење савесних пореских обвезника у непристра</w:t>
      </w:r>
      <w:r w:rsidR="001F35E1">
        <w:rPr>
          <w:rFonts w:ascii="Times New Roman" w:hAnsi="Times New Roman"/>
          <w:sz w:val="24"/>
          <w:szCs w:val="24"/>
          <w:lang w:val="sr-Cyrl-CS"/>
        </w:rPr>
        <w:t xml:space="preserve">сност поступања пореских органа.  </w:t>
      </w:r>
      <w:r w:rsidR="001F35E1" w:rsidRPr="007D0E2C">
        <w:rPr>
          <w:rFonts w:ascii="Times New Roman" w:hAnsi="Times New Roman"/>
          <w:sz w:val="24"/>
          <w:szCs w:val="24"/>
          <w:lang w:val="sr-Cyrl-CS"/>
        </w:rPr>
        <w:t xml:space="preserve">Све наведено говори у прилог </w:t>
      </w:r>
      <w:r w:rsidR="001F35E1">
        <w:rPr>
          <w:rFonts w:ascii="Times New Roman" w:hAnsi="Times New Roman"/>
          <w:sz w:val="24"/>
          <w:szCs w:val="24"/>
          <w:lang w:val="sr-Cyrl-CS"/>
        </w:rPr>
        <w:t>зна</w:t>
      </w:r>
      <w:r w:rsidR="00071975">
        <w:rPr>
          <w:rFonts w:ascii="Times New Roman" w:hAnsi="Times New Roman"/>
          <w:sz w:val="24"/>
          <w:szCs w:val="24"/>
          <w:lang w:val="sr-Cyrl-CS"/>
        </w:rPr>
        <w:t>ча</w:t>
      </w:r>
      <w:r w:rsidR="001F35E1">
        <w:rPr>
          <w:rFonts w:ascii="Times New Roman" w:hAnsi="Times New Roman"/>
          <w:sz w:val="24"/>
          <w:szCs w:val="24"/>
          <w:lang w:val="sr-Cyrl-CS"/>
        </w:rPr>
        <w:t>ју проучавања ових појава као и да је потребно  њихово повезано проучавање. Ово је неопходно како би им се</w:t>
      </w:r>
      <w:r w:rsidR="001F35E1" w:rsidRPr="007D0E2C">
        <w:rPr>
          <w:rFonts w:ascii="Times New Roman" w:hAnsi="Times New Roman"/>
          <w:sz w:val="24"/>
          <w:szCs w:val="24"/>
          <w:lang w:val="sr-Cyrl-CS"/>
        </w:rPr>
        <w:t xml:space="preserve"> </w:t>
      </w:r>
      <w:r w:rsidR="001F35E1">
        <w:rPr>
          <w:rFonts w:ascii="Times New Roman" w:hAnsi="Times New Roman"/>
          <w:sz w:val="24"/>
          <w:szCs w:val="24"/>
          <w:lang w:val="sr-Cyrl-CS"/>
        </w:rPr>
        <w:t>успешније супротставили</w:t>
      </w:r>
      <w:r w:rsidR="001F35E1" w:rsidRPr="007D0E2C">
        <w:rPr>
          <w:rFonts w:ascii="Times New Roman" w:hAnsi="Times New Roman"/>
          <w:sz w:val="24"/>
          <w:szCs w:val="24"/>
          <w:lang w:val="sr-Cyrl-CS"/>
        </w:rPr>
        <w:t xml:space="preserve"> свим расположивим средствима, посебно у домену пореске области, јер порези и фискални систем уопште представљају економску основу сваке државн</w:t>
      </w:r>
      <w:r w:rsidR="001F35E1">
        <w:rPr>
          <w:rFonts w:ascii="Times New Roman" w:hAnsi="Times New Roman"/>
          <w:sz w:val="24"/>
          <w:szCs w:val="24"/>
          <w:lang w:val="sr-Cyrl-CS"/>
        </w:rPr>
        <w:t xml:space="preserve">е организације. </w:t>
      </w:r>
    </w:p>
    <w:p w:rsidR="00071975" w:rsidRDefault="00071975" w:rsidP="00071975">
      <w:pPr>
        <w:ind w:firstLine="709"/>
        <w:jc w:val="both"/>
        <w:rPr>
          <w:rFonts w:ascii="Times New Roman" w:hAnsi="Times New Roman"/>
          <w:sz w:val="24"/>
          <w:szCs w:val="24"/>
          <w:lang w:val="sr-Cyrl-CS"/>
        </w:rPr>
      </w:pPr>
      <w:r>
        <w:rPr>
          <w:rFonts w:ascii="Times New Roman" w:hAnsi="Times New Roman"/>
          <w:sz w:val="24"/>
          <w:szCs w:val="24"/>
          <w:lang w:val="sr-Cyrl-CS"/>
        </w:rPr>
        <w:t xml:space="preserve">Ове појаве се </w:t>
      </w:r>
      <w:r w:rsidRPr="007D0E2C">
        <w:rPr>
          <w:rFonts w:ascii="Times New Roman" w:hAnsi="Times New Roman"/>
          <w:sz w:val="24"/>
          <w:szCs w:val="24"/>
          <w:lang w:val="sr-Cyrl-CS"/>
        </w:rPr>
        <w:t>распростиру на готово све слојеве у друштву,</w:t>
      </w:r>
      <w:r>
        <w:rPr>
          <w:rFonts w:ascii="Times New Roman" w:hAnsi="Times New Roman"/>
          <w:sz w:val="24"/>
          <w:szCs w:val="24"/>
          <w:lang w:val="sr-Cyrl-CS"/>
        </w:rPr>
        <w:t xml:space="preserve"> последица су недостатака у систему, а</w:t>
      </w:r>
      <w:r w:rsidRPr="007D0E2C">
        <w:rPr>
          <w:rFonts w:ascii="Times New Roman" w:hAnsi="Times New Roman"/>
          <w:sz w:val="24"/>
          <w:szCs w:val="24"/>
          <w:lang w:val="sr-Cyrl-CS"/>
        </w:rPr>
        <w:t xml:space="preserve"> </w:t>
      </w:r>
      <w:r>
        <w:rPr>
          <w:rFonts w:ascii="Times New Roman" w:hAnsi="Times New Roman"/>
          <w:sz w:val="24"/>
          <w:szCs w:val="24"/>
          <w:lang w:val="sr-Cyrl-CS"/>
        </w:rPr>
        <w:t xml:space="preserve">главни проблем је што велики број случајева никада не буде откривен. </w:t>
      </w:r>
      <w:r w:rsidRPr="00CF0186">
        <w:rPr>
          <w:rFonts w:ascii="Times New Roman" w:hAnsi="Times New Roman"/>
          <w:sz w:val="24"/>
          <w:szCs w:val="24"/>
          <w:lang w:val="sr-Cyrl-CS"/>
        </w:rPr>
        <w:t>То су негативне појаве које су се увукл</w:t>
      </w:r>
      <w:r>
        <w:rPr>
          <w:rFonts w:ascii="Times New Roman" w:hAnsi="Times New Roman"/>
          <w:sz w:val="24"/>
          <w:szCs w:val="24"/>
          <w:lang w:val="sr-Cyrl-CS"/>
        </w:rPr>
        <w:t>е у све друштвене поре финансиј</w:t>
      </w:r>
      <w:r w:rsidRPr="00CF0186">
        <w:rPr>
          <w:rFonts w:ascii="Times New Roman" w:hAnsi="Times New Roman"/>
          <w:sz w:val="24"/>
          <w:szCs w:val="24"/>
          <w:lang w:val="sr-Cyrl-CS"/>
        </w:rPr>
        <w:t>ског пословања и није случајно што је важно место сусретања законитог и противзаконитог пословања црно финансијско тржиште, где се приходи од евазије пореза, корупције и привредног криминала удружују са опраним новцем од различитих незаконитих делатности. Конкурентност овог тржишта легалном тржишту стално расте. Заједничко овим појава</w:t>
      </w:r>
      <w:r>
        <w:rPr>
          <w:rFonts w:ascii="Times New Roman" w:hAnsi="Times New Roman"/>
          <w:sz w:val="24"/>
          <w:szCs w:val="24"/>
          <w:lang w:val="sr-Cyrl-CS"/>
        </w:rPr>
        <w:t>ма</w:t>
      </w:r>
      <w:r w:rsidRPr="00CF0186">
        <w:rPr>
          <w:rFonts w:ascii="Times New Roman" w:hAnsi="Times New Roman"/>
          <w:sz w:val="24"/>
          <w:szCs w:val="24"/>
          <w:lang w:val="sr-Cyrl-CS"/>
        </w:rPr>
        <w:t xml:space="preserve"> је што су управљене против функционисања привредног система и што имају за циљ незаконито богаћење, посебно злоупотребом службеног положаја који се заузима у привредном животу или административној организацији.</w:t>
      </w:r>
      <w:r>
        <w:rPr>
          <w:rFonts w:ascii="Times New Roman" w:hAnsi="Times New Roman"/>
          <w:sz w:val="24"/>
          <w:szCs w:val="24"/>
        </w:rPr>
        <w:t xml:space="preserve"> </w:t>
      </w:r>
      <w:r>
        <w:rPr>
          <w:rFonts w:ascii="Times New Roman" w:hAnsi="Times New Roman"/>
          <w:sz w:val="24"/>
          <w:szCs w:val="24"/>
          <w:lang w:val="sr-Cyrl-CS"/>
        </w:rPr>
        <w:t>Успешно супротстављање овим појавама</w:t>
      </w:r>
      <w:r>
        <w:rPr>
          <w:rFonts w:ascii="Times New Roman" w:hAnsi="Times New Roman"/>
          <w:sz w:val="24"/>
          <w:szCs w:val="24"/>
        </w:rPr>
        <w:t xml:space="preserve"> је прави иза</w:t>
      </w:r>
      <w:r>
        <w:rPr>
          <w:rFonts w:ascii="Times New Roman" w:hAnsi="Times New Roman"/>
          <w:sz w:val="24"/>
          <w:szCs w:val="24"/>
          <w:lang w:val="sr-Cyrl-CS"/>
        </w:rPr>
        <w:t>з</w:t>
      </w:r>
      <w:r>
        <w:rPr>
          <w:rFonts w:ascii="Times New Roman" w:hAnsi="Times New Roman"/>
          <w:sz w:val="24"/>
          <w:szCs w:val="24"/>
        </w:rPr>
        <w:t xml:space="preserve">ов за </w:t>
      </w:r>
      <w:r>
        <w:rPr>
          <w:rFonts w:ascii="Times New Roman" w:hAnsi="Times New Roman"/>
          <w:sz w:val="24"/>
          <w:szCs w:val="24"/>
          <w:lang w:val="sr-Cyrl-CS"/>
        </w:rPr>
        <w:t xml:space="preserve">сваку </w:t>
      </w:r>
      <w:r>
        <w:rPr>
          <w:rFonts w:ascii="Times New Roman" w:hAnsi="Times New Roman"/>
          <w:sz w:val="24"/>
          <w:szCs w:val="24"/>
        </w:rPr>
        <w:t>пореск</w:t>
      </w:r>
      <w:r>
        <w:rPr>
          <w:rFonts w:ascii="Times New Roman" w:hAnsi="Times New Roman"/>
          <w:sz w:val="24"/>
          <w:szCs w:val="24"/>
          <w:lang w:val="sr-Cyrl-CS"/>
        </w:rPr>
        <w:t xml:space="preserve">у </w:t>
      </w:r>
      <w:r>
        <w:rPr>
          <w:rFonts w:ascii="Times New Roman" w:hAnsi="Times New Roman"/>
          <w:sz w:val="24"/>
          <w:szCs w:val="24"/>
        </w:rPr>
        <w:t>власт и админист</w:t>
      </w:r>
      <w:r>
        <w:rPr>
          <w:rFonts w:ascii="Times New Roman" w:hAnsi="Times New Roman"/>
          <w:sz w:val="24"/>
          <w:szCs w:val="24"/>
          <w:lang w:val="sr-Cyrl-CS"/>
        </w:rPr>
        <w:t>р</w:t>
      </w:r>
      <w:r>
        <w:rPr>
          <w:rFonts w:ascii="Times New Roman" w:hAnsi="Times New Roman"/>
          <w:sz w:val="24"/>
          <w:szCs w:val="24"/>
        </w:rPr>
        <w:t xml:space="preserve">ацију. </w:t>
      </w:r>
      <w:r>
        <w:rPr>
          <w:rFonts w:ascii="Times New Roman" w:hAnsi="Times New Roman"/>
          <w:sz w:val="24"/>
          <w:szCs w:val="24"/>
          <w:lang w:val="sr-Cyrl-CS"/>
        </w:rPr>
        <w:t>Ако им се држава успешно супротстави користи има државни буџет, а тиме и сви грађани, док извесни појединци губе извор брзог и лаког богаћења.</w:t>
      </w:r>
    </w:p>
    <w:p w:rsidR="00071975" w:rsidRDefault="00071975" w:rsidP="00071975">
      <w:pPr>
        <w:ind w:firstLine="709"/>
        <w:jc w:val="both"/>
        <w:rPr>
          <w:rFonts w:ascii="Times New Roman" w:hAnsi="Times New Roman"/>
          <w:sz w:val="24"/>
          <w:szCs w:val="24"/>
          <w:lang w:val="sr-Cyrl-CS"/>
        </w:rPr>
      </w:pPr>
      <w:r>
        <w:rPr>
          <w:rFonts w:ascii="Times New Roman" w:hAnsi="Times New Roman"/>
          <w:sz w:val="24"/>
          <w:szCs w:val="24"/>
          <w:lang w:val="sr-Cyrl-CS"/>
        </w:rPr>
        <w:t xml:space="preserve">Пореска евазија </w:t>
      </w:r>
      <w:r w:rsidRPr="0045661E">
        <w:rPr>
          <w:rFonts w:ascii="Times New Roman" w:hAnsi="Times New Roman"/>
          <w:sz w:val="24"/>
          <w:szCs w:val="24"/>
          <w:lang w:val="sr-Cyrl-CS"/>
        </w:rPr>
        <w:t xml:space="preserve">је увек интересантан и изнова актуелан економски и финансијски феномен, који је и поред тога недовољно проучен и истражен, па су то неки од разлога који су </w:t>
      </w:r>
      <w:r w:rsidR="006D0466">
        <w:rPr>
          <w:rFonts w:ascii="Times New Roman" w:hAnsi="Times New Roman"/>
          <w:sz w:val="24"/>
          <w:szCs w:val="24"/>
          <w:lang w:val="sr-Cyrl-CS"/>
        </w:rPr>
        <w:t>аутора</w:t>
      </w:r>
      <w:r w:rsidRPr="0045661E">
        <w:rPr>
          <w:rFonts w:ascii="Times New Roman" w:hAnsi="Times New Roman"/>
          <w:sz w:val="24"/>
          <w:szCs w:val="24"/>
          <w:lang w:val="sr-Cyrl-CS"/>
        </w:rPr>
        <w:t xml:space="preserve"> определили за избор ове теме</w:t>
      </w:r>
      <w:r>
        <w:rPr>
          <w:lang w:val="sr-Cyrl-CS"/>
        </w:rPr>
        <w:t>.</w:t>
      </w:r>
      <w:r>
        <w:t xml:space="preserve"> </w:t>
      </w:r>
      <w:r w:rsidRPr="00012105">
        <w:rPr>
          <w:rFonts w:ascii="Times New Roman" w:hAnsi="Times New Roman"/>
          <w:sz w:val="24"/>
          <w:szCs w:val="24"/>
          <w:lang w:val="sr-Cyrl-CS"/>
        </w:rPr>
        <w:t>До сада у нашој научној и стручној литератури овој теми ни</w:t>
      </w:r>
      <w:r>
        <w:rPr>
          <w:rFonts w:ascii="Times New Roman" w:hAnsi="Times New Roman"/>
          <w:sz w:val="24"/>
          <w:szCs w:val="24"/>
          <w:lang w:val="sr-Cyrl-CS"/>
        </w:rPr>
        <w:t xml:space="preserve">је поклоњена одговарајућа пажња. </w:t>
      </w:r>
      <w:r w:rsidRPr="00012105">
        <w:rPr>
          <w:rFonts w:ascii="Times New Roman" w:hAnsi="Times New Roman"/>
          <w:sz w:val="24"/>
          <w:szCs w:val="24"/>
          <w:lang w:val="sr-Cyrl-CS"/>
        </w:rPr>
        <w:t xml:space="preserve">Написан је мали број радова, посебно књига, </w:t>
      </w:r>
      <w:r>
        <w:rPr>
          <w:rFonts w:ascii="Times New Roman" w:hAnsi="Times New Roman"/>
          <w:sz w:val="24"/>
          <w:szCs w:val="24"/>
          <w:lang w:val="sr-Cyrl-CS"/>
        </w:rPr>
        <w:t xml:space="preserve">упркос томе што је у нашем друштву знатно </w:t>
      </w:r>
      <w:r w:rsidRPr="00012105">
        <w:rPr>
          <w:rFonts w:ascii="Times New Roman" w:hAnsi="Times New Roman"/>
          <w:sz w:val="24"/>
          <w:szCs w:val="24"/>
          <w:lang w:val="sr-Cyrl-CS"/>
        </w:rPr>
        <w:t>избе</w:t>
      </w:r>
      <w:r>
        <w:rPr>
          <w:rFonts w:ascii="Times New Roman" w:hAnsi="Times New Roman"/>
          <w:sz w:val="24"/>
          <w:szCs w:val="24"/>
          <w:lang w:val="sr-Cyrl-CS"/>
        </w:rPr>
        <w:t xml:space="preserve">гавано плаћање јавних прихода, а </w:t>
      </w:r>
      <w:r w:rsidRPr="00012105">
        <w:rPr>
          <w:rFonts w:ascii="Times New Roman" w:hAnsi="Times New Roman"/>
          <w:sz w:val="24"/>
          <w:szCs w:val="24"/>
          <w:lang w:val="sr-Cyrl-CS"/>
        </w:rPr>
        <w:t xml:space="preserve">порески систем </w:t>
      </w:r>
      <w:r>
        <w:rPr>
          <w:rFonts w:ascii="Times New Roman" w:hAnsi="Times New Roman"/>
          <w:sz w:val="24"/>
          <w:szCs w:val="24"/>
          <w:lang w:val="sr-Cyrl-CS"/>
        </w:rPr>
        <w:t xml:space="preserve">се </w:t>
      </w:r>
      <w:r w:rsidRPr="00012105">
        <w:rPr>
          <w:rFonts w:ascii="Times New Roman" w:hAnsi="Times New Roman"/>
          <w:sz w:val="24"/>
          <w:szCs w:val="24"/>
          <w:lang w:val="sr-Cyrl-CS"/>
        </w:rPr>
        <w:t xml:space="preserve">налази непрекидно у жижи </w:t>
      </w:r>
      <w:r>
        <w:rPr>
          <w:rFonts w:ascii="Times New Roman" w:hAnsi="Times New Roman"/>
          <w:sz w:val="24"/>
          <w:szCs w:val="24"/>
          <w:lang w:val="sr-Cyrl-CS"/>
        </w:rPr>
        <w:t xml:space="preserve"> </w:t>
      </w:r>
      <w:r w:rsidRPr="00012105">
        <w:rPr>
          <w:rFonts w:ascii="Times New Roman" w:hAnsi="Times New Roman"/>
          <w:sz w:val="24"/>
          <w:szCs w:val="24"/>
          <w:lang w:val="sr-Cyrl-CS"/>
        </w:rPr>
        <w:t xml:space="preserve">интересовања </w:t>
      </w:r>
      <w:r>
        <w:rPr>
          <w:rFonts w:ascii="Times New Roman" w:hAnsi="Times New Roman"/>
          <w:sz w:val="24"/>
          <w:szCs w:val="24"/>
          <w:lang w:val="sr-Cyrl-CS"/>
        </w:rPr>
        <w:t xml:space="preserve">  </w:t>
      </w:r>
      <w:r w:rsidRPr="00012105">
        <w:rPr>
          <w:rFonts w:ascii="Times New Roman" w:hAnsi="Times New Roman"/>
          <w:sz w:val="24"/>
          <w:szCs w:val="24"/>
          <w:lang w:val="sr-Cyrl-CS"/>
        </w:rPr>
        <w:lastRenderedPageBreak/>
        <w:t xml:space="preserve">не </w:t>
      </w:r>
      <w:r>
        <w:rPr>
          <w:rFonts w:ascii="Times New Roman" w:hAnsi="Times New Roman"/>
          <w:sz w:val="24"/>
          <w:szCs w:val="24"/>
          <w:lang w:val="sr-Cyrl-CS"/>
        </w:rPr>
        <w:t xml:space="preserve"> </w:t>
      </w:r>
      <w:r w:rsidRPr="00012105">
        <w:rPr>
          <w:rFonts w:ascii="Times New Roman" w:hAnsi="Times New Roman"/>
          <w:sz w:val="24"/>
          <w:szCs w:val="24"/>
          <w:lang w:val="sr-Cyrl-CS"/>
        </w:rPr>
        <w:t xml:space="preserve">само </w:t>
      </w:r>
      <w:r>
        <w:rPr>
          <w:rFonts w:ascii="Times New Roman" w:hAnsi="Times New Roman"/>
          <w:sz w:val="24"/>
          <w:szCs w:val="24"/>
          <w:lang w:val="sr-Cyrl-CS"/>
        </w:rPr>
        <w:t xml:space="preserve"> </w:t>
      </w:r>
      <w:r w:rsidRPr="00012105">
        <w:rPr>
          <w:rFonts w:ascii="Times New Roman" w:hAnsi="Times New Roman"/>
          <w:sz w:val="24"/>
          <w:szCs w:val="24"/>
          <w:lang w:val="sr-Cyrl-CS"/>
        </w:rPr>
        <w:t xml:space="preserve">научне и </w:t>
      </w:r>
      <w:r>
        <w:rPr>
          <w:rFonts w:ascii="Times New Roman" w:hAnsi="Times New Roman"/>
          <w:sz w:val="24"/>
          <w:szCs w:val="24"/>
          <w:lang w:val="sr-Cyrl-CS"/>
        </w:rPr>
        <w:t xml:space="preserve"> </w:t>
      </w:r>
      <w:r w:rsidRPr="00012105">
        <w:rPr>
          <w:rFonts w:ascii="Times New Roman" w:hAnsi="Times New Roman"/>
          <w:sz w:val="24"/>
          <w:szCs w:val="24"/>
          <w:lang w:val="sr-Cyrl-CS"/>
        </w:rPr>
        <w:t xml:space="preserve">стручне јавности, него </w:t>
      </w:r>
      <w:r>
        <w:rPr>
          <w:rFonts w:ascii="Times New Roman" w:hAnsi="Times New Roman"/>
          <w:sz w:val="24"/>
          <w:szCs w:val="24"/>
          <w:lang w:val="sr-Cyrl-CS"/>
        </w:rPr>
        <w:t xml:space="preserve"> </w:t>
      </w:r>
      <w:r w:rsidRPr="00012105">
        <w:rPr>
          <w:rFonts w:ascii="Times New Roman" w:hAnsi="Times New Roman"/>
          <w:sz w:val="24"/>
          <w:szCs w:val="24"/>
          <w:lang w:val="sr-Cyrl-CS"/>
        </w:rPr>
        <w:t xml:space="preserve">и </w:t>
      </w:r>
      <w:r>
        <w:rPr>
          <w:rFonts w:ascii="Times New Roman" w:hAnsi="Times New Roman"/>
          <w:sz w:val="24"/>
          <w:szCs w:val="24"/>
          <w:lang w:val="sr-Cyrl-CS"/>
        </w:rPr>
        <w:t xml:space="preserve"> </w:t>
      </w:r>
      <w:r w:rsidRPr="00012105">
        <w:rPr>
          <w:rFonts w:ascii="Times New Roman" w:hAnsi="Times New Roman"/>
          <w:sz w:val="24"/>
          <w:szCs w:val="24"/>
          <w:lang w:val="sr-Cyrl-CS"/>
        </w:rPr>
        <w:t>н</w:t>
      </w:r>
      <w:r>
        <w:rPr>
          <w:rFonts w:ascii="Times New Roman" w:hAnsi="Times New Roman"/>
          <w:sz w:val="24"/>
          <w:szCs w:val="24"/>
          <w:lang w:val="sr-Cyrl-CS"/>
        </w:rPr>
        <w:t xml:space="preserve">ајшире  друштвене јавности. Ради се о сложеној појави која </w:t>
      </w:r>
      <w:r w:rsidRPr="00156DD4">
        <w:rPr>
          <w:rFonts w:ascii="Times New Roman" w:hAnsi="Times New Roman"/>
          <w:sz w:val="24"/>
          <w:szCs w:val="24"/>
          <w:lang w:val="sr-Cyrl-CS"/>
        </w:rPr>
        <w:t xml:space="preserve">се остварује на националном и међународном плану </w:t>
      </w:r>
      <w:r>
        <w:rPr>
          <w:rFonts w:ascii="Times New Roman" w:hAnsi="Times New Roman"/>
          <w:sz w:val="24"/>
          <w:szCs w:val="24"/>
          <w:lang w:val="sr-Cyrl-CS"/>
        </w:rPr>
        <w:t xml:space="preserve">и </w:t>
      </w:r>
      <w:r w:rsidRPr="00156DD4">
        <w:rPr>
          <w:rFonts w:ascii="Times New Roman" w:hAnsi="Times New Roman"/>
          <w:sz w:val="24"/>
          <w:szCs w:val="24"/>
          <w:lang w:val="sr-Cyrl-CS"/>
        </w:rPr>
        <w:t xml:space="preserve">има озбиљне </w:t>
      </w:r>
      <w:r w:rsidRPr="005F6BBE">
        <w:rPr>
          <w:rFonts w:ascii="Times New Roman" w:hAnsi="Times New Roman"/>
          <w:sz w:val="24"/>
          <w:szCs w:val="24"/>
          <w:lang w:val="sr-Cyrl-CS"/>
        </w:rPr>
        <w:t>последице</w:t>
      </w:r>
      <w:r w:rsidRPr="00156DD4">
        <w:rPr>
          <w:rFonts w:ascii="Times New Roman" w:hAnsi="Times New Roman"/>
          <w:sz w:val="24"/>
          <w:szCs w:val="24"/>
          <w:lang w:val="sr-Cyrl-CS"/>
        </w:rPr>
        <w:t xml:space="preserve"> за</w:t>
      </w:r>
      <w:r>
        <w:rPr>
          <w:rFonts w:ascii="Times New Roman" w:hAnsi="Times New Roman"/>
          <w:sz w:val="24"/>
          <w:szCs w:val="24"/>
          <w:lang w:val="sr-Cyrl-CS"/>
        </w:rPr>
        <w:t xml:space="preserve"> фискалну политику  државе. </w:t>
      </w:r>
      <w:r w:rsidRPr="00156DD4">
        <w:rPr>
          <w:rFonts w:ascii="Times New Roman" w:hAnsi="Times New Roman"/>
          <w:sz w:val="24"/>
          <w:szCs w:val="24"/>
          <w:lang w:val="sr-Cyrl-CS"/>
        </w:rPr>
        <w:t>Избегавање плаћања пореза смањује могућност да држава покрије трошкове коришћења јавних добара, а са становишта пореских обвезника доводи до неједнаке расподеле пореских задужења, до повећања пореских стопа и отпора пореских обвезника који кроз избегавање плаћања пореза смањују оштрије опорезивање и тако се ствара круг из кога се тешко излази.</w:t>
      </w:r>
      <w:r>
        <w:rPr>
          <w:rFonts w:ascii="Times New Roman" w:hAnsi="Times New Roman"/>
          <w:sz w:val="24"/>
          <w:szCs w:val="24"/>
          <w:lang w:val="sr-Cyrl-CS"/>
        </w:rPr>
        <w:t xml:space="preserve"> Пореска евазија је један од основних узрока раслојавања у нашем друштву. Ширење ове појаве покреће питање економске правде и једнакости, економске, политичке и привредне ефикасности. </w:t>
      </w:r>
    </w:p>
    <w:p w:rsidR="00822D03" w:rsidRDefault="00822D03" w:rsidP="00822D03">
      <w:pPr>
        <w:ind w:firstLine="708"/>
        <w:jc w:val="both"/>
        <w:rPr>
          <w:rFonts w:ascii="Times New Roman" w:hAnsi="Times New Roman"/>
          <w:sz w:val="24"/>
          <w:szCs w:val="24"/>
          <w:lang w:val="sr-Cyrl-CS"/>
        </w:rPr>
      </w:pPr>
      <w:r>
        <w:rPr>
          <w:rFonts w:ascii="Times New Roman" w:hAnsi="Times New Roman"/>
          <w:sz w:val="24"/>
          <w:szCs w:val="24"/>
          <w:lang w:val="sr-Cyrl-CS"/>
        </w:rPr>
        <w:t>Корупција и привредни криминал се често јављају приликом избегавања плаћања пореза и у</w:t>
      </w:r>
      <w:r w:rsidR="00071975" w:rsidRPr="00CF0186">
        <w:rPr>
          <w:rFonts w:ascii="Times New Roman" w:hAnsi="Times New Roman"/>
          <w:sz w:val="24"/>
          <w:szCs w:val="24"/>
          <w:lang w:val="sr-Cyrl-CS"/>
        </w:rPr>
        <w:t xml:space="preserve"> пореској области су веома опасне појаве</w:t>
      </w:r>
      <w:r w:rsidR="00071975">
        <w:rPr>
          <w:rFonts w:ascii="Times New Roman" w:hAnsi="Times New Roman"/>
          <w:sz w:val="24"/>
          <w:szCs w:val="24"/>
          <w:lang w:val="sr-Cyrl-CS"/>
        </w:rPr>
        <w:t>.</w:t>
      </w:r>
      <w:r w:rsidR="00071975" w:rsidRPr="00CF0186">
        <w:rPr>
          <w:rFonts w:ascii="Times New Roman" w:hAnsi="Times New Roman"/>
          <w:sz w:val="24"/>
          <w:szCs w:val="24"/>
          <w:lang w:val="sr-Cyrl-CS"/>
        </w:rPr>
        <w:t xml:space="preserve"> Посебно се у овом транзиционом периоду стварају погодни услови за повећање избегавања плаћања пореза, корупције и привредног криминала. </w:t>
      </w:r>
      <w:r w:rsidRPr="00012105">
        <w:rPr>
          <w:rFonts w:ascii="Times New Roman" w:hAnsi="Times New Roman"/>
          <w:sz w:val="24"/>
          <w:szCs w:val="24"/>
          <w:lang w:val="sr-Cyrl-CS"/>
        </w:rPr>
        <w:t>Порески систем</w:t>
      </w:r>
      <w:r>
        <w:rPr>
          <w:rFonts w:ascii="Times New Roman" w:hAnsi="Times New Roman"/>
          <w:sz w:val="24"/>
          <w:szCs w:val="24"/>
          <w:lang w:val="sr-Cyrl-CS"/>
        </w:rPr>
        <w:t xml:space="preserve"> наше земље</w:t>
      </w:r>
      <w:r w:rsidRPr="00012105">
        <w:rPr>
          <w:rFonts w:ascii="Times New Roman" w:hAnsi="Times New Roman"/>
          <w:sz w:val="24"/>
          <w:szCs w:val="24"/>
          <w:lang w:val="sr-Cyrl-CS"/>
        </w:rPr>
        <w:t xml:space="preserve">, као и целокупни систем јавних финансија, налази се у процесу великих промена у циљу изградње друштвено-економског уређења са тржишном привредом и демократским институцијама. У овом транзиционом периоду </w:t>
      </w:r>
      <w:r>
        <w:rPr>
          <w:rFonts w:ascii="Times New Roman" w:hAnsi="Times New Roman"/>
          <w:sz w:val="24"/>
          <w:szCs w:val="24"/>
          <w:lang w:val="sr-Cyrl-CS"/>
        </w:rPr>
        <w:t xml:space="preserve">привреда је у тешком положају због дугогодишње кризе и текућих реформских процеса, а </w:t>
      </w:r>
      <w:r w:rsidRPr="00012105">
        <w:rPr>
          <w:rFonts w:ascii="Times New Roman" w:hAnsi="Times New Roman"/>
          <w:sz w:val="24"/>
          <w:szCs w:val="24"/>
          <w:lang w:val="sr-Cyrl-CS"/>
        </w:rPr>
        <w:t>порески систем функциони</w:t>
      </w:r>
      <w:r>
        <w:rPr>
          <w:rFonts w:ascii="Times New Roman" w:hAnsi="Times New Roman"/>
          <w:sz w:val="24"/>
          <w:szCs w:val="24"/>
          <w:lang w:val="sr-Cyrl-CS"/>
        </w:rPr>
        <w:t>ше са доста тешкоћа и</w:t>
      </w:r>
      <w:r w:rsidRPr="00012105">
        <w:rPr>
          <w:rFonts w:ascii="Times New Roman" w:hAnsi="Times New Roman"/>
          <w:sz w:val="24"/>
          <w:szCs w:val="24"/>
          <w:lang w:val="sr-Cyrl-CS"/>
        </w:rPr>
        <w:t xml:space="preserve"> до сада предузете </w:t>
      </w:r>
      <w:r>
        <w:rPr>
          <w:rFonts w:ascii="Times New Roman" w:hAnsi="Times New Roman"/>
          <w:sz w:val="24"/>
          <w:szCs w:val="24"/>
          <w:lang w:val="sr-Cyrl-CS"/>
        </w:rPr>
        <w:t xml:space="preserve">економске </w:t>
      </w:r>
      <w:r w:rsidRPr="00012105">
        <w:rPr>
          <w:rFonts w:ascii="Times New Roman" w:hAnsi="Times New Roman"/>
          <w:sz w:val="24"/>
          <w:szCs w:val="24"/>
          <w:lang w:val="sr-Cyrl-CS"/>
        </w:rPr>
        <w:t xml:space="preserve">реформе нису биле свеобухватне. </w:t>
      </w:r>
      <w:r>
        <w:rPr>
          <w:rFonts w:ascii="Times New Roman" w:hAnsi="Times New Roman"/>
          <w:sz w:val="24"/>
          <w:szCs w:val="24"/>
          <w:lang w:val="sr-Cyrl-CS"/>
        </w:rPr>
        <w:t xml:space="preserve">Значајан део укупне економске реформе је пореска реформа. </w:t>
      </w:r>
      <w:r w:rsidRPr="00156DD4">
        <w:rPr>
          <w:rFonts w:ascii="Times New Roman" w:hAnsi="Times New Roman"/>
          <w:sz w:val="24"/>
          <w:szCs w:val="24"/>
          <w:lang w:val="sr-Cyrl-CS"/>
        </w:rPr>
        <w:t xml:space="preserve">Иако су пореске реформе </w:t>
      </w:r>
      <w:r>
        <w:rPr>
          <w:rFonts w:ascii="Times New Roman" w:hAnsi="Times New Roman"/>
          <w:sz w:val="24"/>
          <w:szCs w:val="24"/>
          <w:lang w:val="sr-Cyrl-CS"/>
        </w:rPr>
        <w:t xml:space="preserve">у нашој земљи биле </w:t>
      </w:r>
      <w:r w:rsidRPr="00156DD4">
        <w:rPr>
          <w:rFonts w:ascii="Times New Roman" w:hAnsi="Times New Roman"/>
          <w:sz w:val="24"/>
          <w:szCs w:val="24"/>
          <w:lang w:val="sr-Cyrl-CS"/>
        </w:rPr>
        <w:t>усме</w:t>
      </w:r>
      <w:r>
        <w:rPr>
          <w:rFonts w:ascii="Times New Roman" w:hAnsi="Times New Roman"/>
          <w:sz w:val="24"/>
          <w:szCs w:val="24"/>
          <w:lang w:val="sr-Cyrl-CS"/>
        </w:rPr>
        <w:t>рене на поједностављење пореског</w:t>
      </w:r>
      <w:r w:rsidRPr="00156DD4">
        <w:rPr>
          <w:rFonts w:ascii="Times New Roman" w:hAnsi="Times New Roman"/>
          <w:sz w:val="24"/>
          <w:szCs w:val="24"/>
          <w:lang w:val="sr-Cyrl-CS"/>
        </w:rPr>
        <w:t xml:space="preserve"> сис</w:t>
      </w:r>
      <w:r>
        <w:rPr>
          <w:rFonts w:ascii="Times New Roman" w:hAnsi="Times New Roman"/>
          <w:sz w:val="24"/>
          <w:szCs w:val="24"/>
          <w:lang w:val="sr-Cyrl-CS"/>
        </w:rPr>
        <w:t>тема, пореска пракса</w:t>
      </w:r>
      <w:r w:rsidRPr="00156DD4">
        <w:rPr>
          <w:rFonts w:ascii="Times New Roman" w:hAnsi="Times New Roman"/>
          <w:sz w:val="24"/>
          <w:szCs w:val="24"/>
          <w:lang w:val="sr-Cyrl-CS"/>
        </w:rPr>
        <w:t xml:space="preserve"> то демантује.</w:t>
      </w:r>
      <w:r>
        <w:rPr>
          <w:rFonts w:ascii="Times New Roman" w:hAnsi="Times New Roman"/>
          <w:sz w:val="24"/>
          <w:szCs w:val="24"/>
          <w:lang w:val="sr-Cyrl-CS"/>
        </w:rPr>
        <w:t xml:space="preserve"> </w:t>
      </w:r>
      <w:r w:rsidRPr="00012105">
        <w:rPr>
          <w:rFonts w:ascii="Times New Roman" w:hAnsi="Times New Roman"/>
          <w:sz w:val="24"/>
          <w:szCs w:val="24"/>
          <w:lang w:val="sr-Cyrl-CS"/>
        </w:rPr>
        <w:t>Са правом можемо рећи да су порески прописи најчешће мењана правна регулатива код нас, што се штетно одражава на ефикасност изв</w:t>
      </w:r>
      <w:r w:rsidRPr="00012105">
        <w:rPr>
          <w:rFonts w:ascii="Times New Roman" w:hAnsi="Times New Roman"/>
          <w:sz w:val="24"/>
          <w:szCs w:val="24"/>
        </w:rPr>
        <w:t>р</w:t>
      </w:r>
      <w:r w:rsidRPr="00012105">
        <w:rPr>
          <w:rFonts w:ascii="Times New Roman" w:hAnsi="Times New Roman"/>
          <w:sz w:val="24"/>
          <w:szCs w:val="24"/>
          <w:lang w:val="sr-Cyrl-CS"/>
        </w:rPr>
        <w:t xml:space="preserve">шавања пореске обавезе и доводи до правне несигурности. </w:t>
      </w:r>
    </w:p>
    <w:p w:rsidR="001F35E1" w:rsidRPr="00822D03" w:rsidRDefault="00822D03" w:rsidP="00822D03">
      <w:pPr>
        <w:ind w:firstLine="709"/>
        <w:jc w:val="both"/>
        <w:rPr>
          <w:rFonts w:ascii="Times New Roman" w:hAnsi="Times New Roman"/>
          <w:sz w:val="24"/>
          <w:szCs w:val="24"/>
          <w:lang w:val="sr-Cyrl-CS"/>
        </w:rPr>
      </w:pPr>
      <w:r w:rsidRPr="00012105">
        <w:rPr>
          <w:rFonts w:ascii="Times New Roman" w:hAnsi="Times New Roman"/>
          <w:sz w:val="24"/>
          <w:szCs w:val="24"/>
          <w:lang w:val="sr-Cyrl-CS"/>
        </w:rPr>
        <w:t xml:space="preserve">Транзициони процеси целог друштвено-економског система, увек уносе </w:t>
      </w:r>
      <w:r w:rsidRPr="00012105">
        <w:rPr>
          <w:rFonts w:ascii="Times New Roman" w:hAnsi="Times New Roman"/>
          <w:sz w:val="24"/>
          <w:szCs w:val="24"/>
        </w:rPr>
        <w:t>„</w:t>
      </w:r>
      <w:r w:rsidRPr="00012105">
        <w:rPr>
          <w:rFonts w:ascii="Times New Roman" w:hAnsi="Times New Roman"/>
          <w:sz w:val="24"/>
          <w:szCs w:val="24"/>
          <w:lang w:val="sr-Cyrl-CS"/>
        </w:rPr>
        <w:t>ломове</w:t>
      </w:r>
      <w:r w:rsidRPr="00012105">
        <w:rPr>
          <w:rFonts w:ascii="Times New Roman" w:hAnsi="Times New Roman"/>
          <w:sz w:val="24"/>
          <w:szCs w:val="24"/>
        </w:rPr>
        <w:t>“</w:t>
      </w:r>
      <w:r w:rsidRPr="00012105">
        <w:rPr>
          <w:rFonts w:ascii="Times New Roman" w:hAnsi="Times New Roman"/>
          <w:sz w:val="24"/>
          <w:szCs w:val="24"/>
          <w:lang w:val="sr-Cyrl-CS"/>
        </w:rPr>
        <w:t xml:space="preserve"> у моралу и начину живљења. Све то је довело до значајних променама систем</w:t>
      </w:r>
      <w:r>
        <w:rPr>
          <w:rFonts w:ascii="Times New Roman" w:hAnsi="Times New Roman"/>
          <w:sz w:val="24"/>
          <w:szCs w:val="24"/>
          <w:lang w:val="sr-Cyrl-CS"/>
        </w:rPr>
        <w:t>а вредности, схватања и владања и у нашем друштву.</w:t>
      </w:r>
      <w:r w:rsidRPr="00012105">
        <w:rPr>
          <w:rFonts w:ascii="Times New Roman" w:hAnsi="Times New Roman"/>
          <w:sz w:val="24"/>
          <w:szCs w:val="24"/>
          <w:lang w:val="sr-Cyrl-CS"/>
        </w:rPr>
        <w:t xml:space="preserve"> У данашњем времену новац, више него икад до сада,  задобија улогу мерила вредности и као такав везује се за сваки </w:t>
      </w:r>
      <w:r>
        <w:rPr>
          <w:rFonts w:ascii="Times New Roman" w:hAnsi="Times New Roman"/>
          <w:sz w:val="24"/>
          <w:szCs w:val="24"/>
          <w:lang w:val="sr-Cyrl-CS"/>
        </w:rPr>
        <w:t>сегмент</w:t>
      </w:r>
      <w:r w:rsidRPr="00012105">
        <w:rPr>
          <w:rFonts w:ascii="Times New Roman" w:hAnsi="Times New Roman"/>
          <w:sz w:val="24"/>
          <w:szCs w:val="24"/>
          <w:lang w:val="sr-Cyrl-CS"/>
        </w:rPr>
        <w:t xml:space="preserve"> нашег живота. Сведоци смо великог економског раслојавања у нашем друштву, </w:t>
      </w:r>
      <w:r>
        <w:rPr>
          <w:rFonts w:ascii="Times New Roman" w:hAnsi="Times New Roman"/>
          <w:sz w:val="24"/>
          <w:szCs w:val="24"/>
          <w:lang w:val="sr-Cyrl-CS"/>
        </w:rPr>
        <w:t xml:space="preserve">јаз између богатих и сиромашних се све више продубљује, </w:t>
      </w:r>
      <w:r w:rsidRPr="00012105">
        <w:rPr>
          <w:rFonts w:ascii="Times New Roman" w:hAnsi="Times New Roman"/>
          <w:sz w:val="24"/>
          <w:szCs w:val="24"/>
          <w:lang w:val="sr-Cyrl-CS"/>
        </w:rPr>
        <w:t xml:space="preserve">а један од основних </w:t>
      </w:r>
      <w:r>
        <w:rPr>
          <w:rFonts w:ascii="Times New Roman" w:hAnsi="Times New Roman"/>
          <w:sz w:val="24"/>
          <w:szCs w:val="24"/>
          <w:lang w:val="sr-Cyrl-CS"/>
        </w:rPr>
        <w:t>уз</w:t>
      </w:r>
      <w:r w:rsidRPr="00012105">
        <w:rPr>
          <w:rFonts w:ascii="Times New Roman" w:hAnsi="Times New Roman"/>
          <w:sz w:val="24"/>
          <w:szCs w:val="24"/>
          <w:lang w:val="sr-Cyrl-CS"/>
        </w:rPr>
        <w:t xml:space="preserve">рока је управо </w:t>
      </w:r>
      <w:r w:rsidR="00990169">
        <w:rPr>
          <w:rFonts w:ascii="Times New Roman" w:hAnsi="Times New Roman"/>
          <w:sz w:val="24"/>
          <w:szCs w:val="24"/>
          <w:lang w:val="sr-Cyrl-CS"/>
        </w:rPr>
        <w:t>пореска евазија</w:t>
      </w:r>
      <w:r>
        <w:rPr>
          <w:rFonts w:ascii="Times New Roman" w:hAnsi="Times New Roman"/>
          <w:sz w:val="24"/>
          <w:szCs w:val="24"/>
          <w:lang w:val="sr-Cyrl-CS"/>
        </w:rPr>
        <w:t xml:space="preserve"> и корупција</w:t>
      </w:r>
      <w:r w:rsidRPr="00012105">
        <w:rPr>
          <w:rFonts w:ascii="Times New Roman" w:hAnsi="Times New Roman"/>
          <w:sz w:val="24"/>
          <w:szCs w:val="24"/>
          <w:lang w:val="sr-Cyrl-CS"/>
        </w:rPr>
        <w:t xml:space="preserve">. Наравно, многе од промена које су се на нашим просторима одиграле биле су позитивне и водиле су друштвеном напретку, али су поспешиле и неке негативне појаве као </w:t>
      </w:r>
      <w:r>
        <w:rPr>
          <w:rFonts w:ascii="Times New Roman" w:hAnsi="Times New Roman"/>
          <w:sz w:val="24"/>
          <w:szCs w:val="24"/>
          <w:lang w:val="sr-Cyrl-CS"/>
        </w:rPr>
        <w:t>што су избегавање плаћања пореза и корупција</w:t>
      </w:r>
      <w:r w:rsidRPr="00012105">
        <w:rPr>
          <w:rFonts w:ascii="Times New Roman" w:hAnsi="Times New Roman"/>
          <w:sz w:val="24"/>
          <w:szCs w:val="24"/>
          <w:lang w:val="sr-Cyrl-CS"/>
        </w:rPr>
        <w:t xml:space="preserve">. </w:t>
      </w:r>
    </w:p>
    <w:p w:rsidR="0045661E" w:rsidRDefault="000A66CB" w:rsidP="00972959">
      <w:pPr>
        <w:ind w:firstLine="709"/>
        <w:jc w:val="both"/>
        <w:rPr>
          <w:rFonts w:ascii="Times New Roman" w:hAnsi="Times New Roman"/>
          <w:sz w:val="24"/>
          <w:szCs w:val="24"/>
          <w:lang w:val="sr-Cyrl-CS"/>
        </w:rPr>
      </w:pPr>
      <w:r>
        <w:rPr>
          <w:rFonts w:ascii="Times New Roman" w:hAnsi="Times New Roman"/>
          <w:sz w:val="24"/>
          <w:szCs w:val="24"/>
        </w:rPr>
        <w:t>Избегавање плаћања пореза сталн</w:t>
      </w:r>
      <w:r>
        <w:rPr>
          <w:rFonts w:ascii="Times New Roman" w:hAnsi="Times New Roman"/>
          <w:sz w:val="24"/>
          <w:szCs w:val="24"/>
          <w:lang w:val="sr-Cyrl-CS"/>
        </w:rPr>
        <w:t>и</w:t>
      </w:r>
      <w:r>
        <w:rPr>
          <w:rFonts w:ascii="Times New Roman" w:hAnsi="Times New Roman"/>
          <w:sz w:val="24"/>
          <w:szCs w:val="24"/>
        </w:rPr>
        <w:t xml:space="preserve"> је пратил</w:t>
      </w:r>
      <w:r>
        <w:rPr>
          <w:rFonts w:ascii="Times New Roman" w:hAnsi="Times New Roman"/>
          <w:sz w:val="24"/>
          <w:szCs w:val="24"/>
          <w:lang w:val="sr-Cyrl-CS"/>
        </w:rPr>
        <w:t>ац</w:t>
      </w:r>
      <w:r>
        <w:rPr>
          <w:rFonts w:ascii="Times New Roman" w:hAnsi="Times New Roman"/>
          <w:sz w:val="24"/>
          <w:szCs w:val="24"/>
        </w:rPr>
        <w:t xml:space="preserve"> порез</w:t>
      </w:r>
      <w:r>
        <w:rPr>
          <w:rFonts w:ascii="Times New Roman" w:hAnsi="Times New Roman"/>
          <w:sz w:val="24"/>
          <w:szCs w:val="24"/>
          <w:lang w:val="sr-Cyrl-CS"/>
        </w:rPr>
        <w:t>а</w:t>
      </w:r>
      <w:r w:rsidR="00592B23" w:rsidRPr="00012105">
        <w:rPr>
          <w:rFonts w:ascii="Times New Roman" w:hAnsi="Times New Roman"/>
          <w:sz w:val="24"/>
          <w:szCs w:val="24"/>
        </w:rPr>
        <w:t xml:space="preserve"> кроз различите форме појављивања на националном и међународном нивоу и представља наличје овог облика јавних прихода.</w:t>
      </w:r>
      <w:r w:rsidR="00592B23" w:rsidRPr="00012105">
        <w:rPr>
          <w:rFonts w:ascii="Times New Roman" w:hAnsi="Times New Roman"/>
          <w:sz w:val="24"/>
          <w:szCs w:val="24"/>
          <w:lang w:val="sr-Cyrl-CS"/>
        </w:rPr>
        <w:t xml:space="preserve"> </w:t>
      </w:r>
      <w:r w:rsidR="0045661E" w:rsidRPr="009A5ACD">
        <w:rPr>
          <w:rFonts w:ascii="Times New Roman" w:hAnsi="Times New Roman"/>
          <w:sz w:val="24"/>
          <w:szCs w:val="24"/>
          <w:lang w:val="sr-Cyrl-CS"/>
        </w:rPr>
        <w:t>Основно питање</w:t>
      </w:r>
      <w:r w:rsidR="00822D03">
        <w:rPr>
          <w:rFonts w:ascii="Times New Roman" w:hAnsi="Times New Roman"/>
          <w:sz w:val="24"/>
          <w:szCs w:val="24"/>
          <w:lang w:val="sr-Cyrl-CS"/>
        </w:rPr>
        <w:t xml:space="preserve"> које се поставља ве</w:t>
      </w:r>
      <w:r w:rsidR="0045661E" w:rsidRPr="00012105">
        <w:rPr>
          <w:rFonts w:ascii="Times New Roman" w:hAnsi="Times New Roman"/>
          <w:sz w:val="24"/>
          <w:szCs w:val="24"/>
          <w:lang w:val="sr-Cyrl-CS"/>
        </w:rPr>
        <w:t xml:space="preserve">зано за пореску евазију је из којих разлога људи доносе одлуку да плате или не плате порез. Ово питање нас даље уводи у веома сложен унутрашњи психички свет мотивација, схватања и вредновања, а за разумевање овог сложеног феномена битно је проучавање и спољашњих утицаја на формирање пореске свести грађана. Историја људског друштва обележена је мање или </w:t>
      </w:r>
      <w:r w:rsidR="0045661E" w:rsidRPr="00012105">
        <w:rPr>
          <w:rFonts w:ascii="Times New Roman" w:hAnsi="Times New Roman"/>
          <w:sz w:val="24"/>
          <w:szCs w:val="24"/>
          <w:lang w:val="sr-Cyrl-CS"/>
        </w:rPr>
        <w:lastRenderedPageBreak/>
        <w:t>више израженим пореским отпором. Заправо, пореска евазија постоји од самог почетка настанка организованог друштва и увек се вешто прилагођавала друштвеним промена</w:t>
      </w:r>
      <w:r w:rsidR="00592B23">
        <w:rPr>
          <w:rFonts w:ascii="Times New Roman" w:hAnsi="Times New Roman"/>
          <w:sz w:val="24"/>
          <w:szCs w:val="24"/>
          <w:lang w:val="sr-Cyrl-CS"/>
        </w:rPr>
        <w:t>ма</w:t>
      </w:r>
      <w:r w:rsidR="0045661E" w:rsidRPr="00012105">
        <w:rPr>
          <w:rFonts w:ascii="Times New Roman" w:hAnsi="Times New Roman"/>
          <w:sz w:val="24"/>
          <w:szCs w:val="24"/>
          <w:lang w:val="sr-Cyrl-CS"/>
        </w:rPr>
        <w:t xml:space="preserve">, законским решењима и новонасталим околностима. Узроци избегавања плаћања пореза леже у самој суштини пореза јер су они увек трошак, терет за пореске обвезнике. </w:t>
      </w:r>
      <w:r w:rsidR="00972959" w:rsidRPr="00012105">
        <w:rPr>
          <w:rFonts w:ascii="Times New Roman" w:hAnsi="Times New Roman"/>
          <w:sz w:val="24"/>
          <w:szCs w:val="24"/>
          <w:lang w:val="sr-Cyrl-CS"/>
        </w:rPr>
        <w:t xml:space="preserve">Опорезивањем се код пореског обвезника изазива смањење економске снаге, односно погоршање његовог материјалног статуса. </w:t>
      </w:r>
      <w:r w:rsidR="00972959">
        <w:rPr>
          <w:rFonts w:ascii="Times New Roman" w:hAnsi="Times New Roman"/>
          <w:sz w:val="24"/>
          <w:szCs w:val="24"/>
          <w:lang w:val="sr-Cyrl-CS"/>
        </w:rPr>
        <w:t xml:space="preserve"> </w:t>
      </w:r>
      <w:r w:rsidR="0045661E" w:rsidRPr="00012105">
        <w:rPr>
          <w:rFonts w:ascii="Times New Roman" w:hAnsi="Times New Roman"/>
          <w:sz w:val="24"/>
          <w:szCs w:val="24"/>
          <w:lang w:val="sr-Cyrl-CS"/>
        </w:rPr>
        <w:t>Т</w:t>
      </w:r>
      <w:r w:rsidR="0045661E" w:rsidRPr="00012105">
        <w:rPr>
          <w:rFonts w:ascii="Times New Roman" w:hAnsi="Times New Roman"/>
          <w:sz w:val="24"/>
          <w:szCs w:val="24"/>
        </w:rPr>
        <w:t>ешко прихватање пореске обавезе од стране пореских обвезника и тежња да се она избегне</w:t>
      </w:r>
      <w:r w:rsidR="0045661E" w:rsidRPr="00012105">
        <w:rPr>
          <w:rFonts w:ascii="Times New Roman" w:hAnsi="Times New Roman"/>
          <w:sz w:val="24"/>
          <w:szCs w:val="24"/>
          <w:lang w:val="sr-Cyrl-CS"/>
        </w:rPr>
        <w:t xml:space="preserve"> </w:t>
      </w:r>
      <w:r w:rsidR="0045661E" w:rsidRPr="00012105">
        <w:rPr>
          <w:rFonts w:ascii="Times New Roman" w:hAnsi="Times New Roman"/>
          <w:sz w:val="24"/>
          <w:szCs w:val="24"/>
        </w:rPr>
        <w:t xml:space="preserve">произилази </w:t>
      </w:r>
      <w:r w:rsidR="0045661E" w:rsidRPr="00012105">
        <w:rPr>
          <w:rFonts w:ascii="Times New Roman" w:hAnsi="Times New Roman"/>
          <w:sz w:val="24"/>
          <w:szCs w:val="24"/>
          <w:lang w:val="sr-Cyrl-CS"/>
        </w:rPr>
        <w:t xml:space="preserve">управо </w:t>
      </w:r>
      <w:r w:rsidR="0045661E" w:rsidRPr="00012105">
        <w:rPr>
          <w:rFonts w:ascii="Times New Roman" w:hAnsi="Times New Roman"/>
          <w:sz w:val="24"/>
          <w:szCs w:val="24"/>
        </w:rPr>
        <w:t>из принудног карактера и одсуства непосредне противнакнаде, која карактерише порез као јавни приход</w:t>
      </w:r>
      <w:r w:rsidR="0045661E" w:rsidRPr="00012105">
        <w:rPr>
          <w:rFonts w:ascii="Times New Roman" w:hAnsi="Times New Roman"/>
          <w:sz w:val="24"/>
          <w:szCs w:val="24"/>
          <w:lang w:val="sr-Cyrl-CS"/>
        </w:rPr>
        <w:t xml:space="preserve">. </w:t>
      </w:r>
    </w:p>
    <w:p w:rsidR="000A6D8A" w:rsidRPr="00822D03" w:rsidRDefault="001B7DE7" w:rsidP="00822D03">
      <w:pPr>
        <w:ind w:firstLine="709"/>
        <w:jc w:val="both"/>
        <w:rPr>
          <w:rFonts w:ascii="Times New Roman" w:hAnsi="Times New Roman"/>
          <w:sz w:val="24"/>
          <w:szCs w:val="24"/>
          <w:lang w:val="sr-Cyrl-CS"/>
        </w:rPr>
      </w:pPr>
      <w:r>
        <w:rPr>
          <w:rFonts w:ascii="Times New Roman" w:hAnsi="Times New Roman"/>
          <w:sz w:val="24"/>
          <w:szCs w:val="24"/>
          <w:lang w:val="sr-Cyrl-CS"/>
        </w:rPr>
        <w:t>П</w:t>
      </w:r>
      <w:r>
        <w:rPr>
          <w:rFonts w:ascii="Times New Roman" w:hAnsi="Times New Roman"/>
          <w:sz w:val="24"/>
          <w:szCs w:val="24"/>
        </w:rPr>
        <w:t>ореск</w:t>
      </w:r>
      <w:r>
        <w:rPr>
          <w:rFonts w:ascii="Times New Roman" w:hAnsi="Times New Roman"/>
          <w:sz w:val="24"/>
          <w:szCs w:val="24"/>
          <w:lang w:val="sr-Cyrl-CS"/>
        </w:rPr>
        <w:t>а</w:t>
      </w:r>
      <w:r>
        <w:rPr>
          <w:rFonts w:ascii="Times New Roman" w:hAnsi="Times New Roman"/>
          <w:sz w:val="24"/>
          <w:szCs w:val="24"/>
        </w:rPr>
        <w:t xml:space="preserve"> евазиј</w:t>
      </w:r>
      <w:r>
        <w:rPr>
          <w:rFonts w:ascii="Times New Roman" w:hAnsi="Times New Roman"/>
          <w:sz w:val="24"/>
          <w:szCs w:val="24"/>
          <w:lang w:val="sr-Cyrl-CS"/>
        </w:rPr>
        <w:t>а</w:t>
      </w:r>
      <w:r w:rsidR="00C0158D" w:rsidRPr="007D0E2C">
        <w:rPr>
          <w:rFonts w:ascii="Times New Roman" w:hAnsi="Times New Roman"/>
          <w:sz w:val="24"/>
          <w:szCs w:val="24"/>
        </w:rPr>
        <w:t xml:space="preserve"> </w:t>
      </w:r>
      <w:r>
        <w:rPr>
          <w:rFonts w:ascii="Times New Roman" w:hAnsi="Times New Roman"/>
          <w:sz w:val="24"/>
          <w:szCs w:val="24"/>
          <w:lang w:val="sr-Cyrl-CS"/>
        </w:rPr>
        <w:t>је</w:t>
      </w:r>
      <w:r>
        <w:rPr>
          <w:rFonts w:ascii="Times New Roman" w:hAnsi="Times New Roman"/>
          <w:sz w:val="24"/>
          <w:szCs w:val="24"/>
        </w:rPr>
        <w:t xml:space="preserve"> комплекс</w:t>
      </w:r>
      <w:r>
        <w:rPr>
          <w:rFonts w:ascii="Times New Roman" w:hAnsi="Times New Roman"/>
          <w:sz w:val="24"/>
          <w:szCs w:val="24"/>
          <w:lang w:val="sr-Cyrl-CS"/>
        </w:rPr>
        <w:t xml:space="preserve">ан </w:t>
      </w:r>
      <w:r>
        <w:rPr>
          <w:rFonts w:ascii="Times New Roman" w:hAnsi="Times New Roman"/>
          <w:sz w:val="24"/>
          <w:szCs w:val="24"/>
        </w:rPr>
        <w:t>феномен</w:t>
      </w:r>
      <w:r w:rsidR="00C0158D" w:rsidRPr="007D0E2C">
        <w:rPr>
          <w:rFonts w:ascii="Times New Roman" w:hAnsi="Times New Roman"/>
          <w:sz w:val="24"/>
          <w:szCs w:val="24"/>
          <w:lang w:val="sr-Cyrl-CS"/>
        </w:rPr>
        <w:t xml:space="preserve"> који се мора посматрати са различитих аспеката. То није само проблем јавних финансија него се тиче и поштовања закона и етичких схватања. Проучавање  мера фискалне политике, реакције обвезника на степен пореског оптерећења, узрока и модалитета избегавања плаћања пореза, неопходно је за усавршавање</w:t>
      </w:r>
      <w:r w:rsidR="00C0158D">
        <w:rPr>
          <w:rFonts w:ascii="Times New Roman" w:hAnsi="Times New Roman"/>
          <w:sz w:val="24"/>
          <w:szCs w:val="24"/>
        </w:rPr>
        <w:t xml:space="preserve"> </w:t>
      </w:r>
      <w:r w:rsidR="00C0158D" w:rsidRPr="007D0E2C">
        <w:rPr>
          <w:rFonts w:ascii="Times New Roman" w:hAnsi="Times New Roman"/>
          <w:sz w:val="24"/>
          <w:szCs w:val="24"/>
          <w:lang w:val="sr-Cyrl-CS"/>
        </w:rPr>
        <w:t xml:space="preserve">појединих пореских облика и пореског система у целини. Због свега наведеног,  покушаћемо да у раду ову комплексну појаву сагледамо у целини. </w:t>
      </w:r>
    </w:p>
    <w:p w:rsidR="004A222B" w:rsidRPr="00335C8B" w:rsidRDefault="00E9345C" w:rsidP="00335C8B">
      <w:pPr>
        <w:ind w:firstLine="709"/>
        <w:jc w:val="both"/>
        <w:rPr>
          <w:rFonts w:ascii="Times New Roman" w:hAnsi="Times New Roman"/>
          <w:sz w:val="24"/>
          <w:szCs w:val="24"/>
          <w:lang w:val="sr-Cyrl-CS"/>
        </w:rPr>
      </w:pPr>
      <w:r w:rsidRPr="00421133">
        <w:rPr>
          <w:rFonts w:ascii="Times New Roman" w:hAnsi="Times New Roman"/>
          <w:sz w:val="24"/>
          <w:szCs w:val="24"/>
          <w:lang w:val="sr-Cyrl-CS"/>
        </w:rPr>
        <w:t xml:space="preserve">Боље упознавање суштине </w:t>
      </w:r>
      <w:r>
        <w:rPr>
          <w:rFonts w:ascii="Times New Roman" w:hAnsi="Times New Roman"/>
          <w:sz w:val="24"/>
          <w:szCs w:val="24"/>
          <w:lang w:val="sr-Cyrl-CS"/>
        </w:rPr>
        <w:t>ових појава, које</w:t>
      </w:r>
      <w:r w:rsidRPr="00421133">
        <w:rPr>
          <w:rFonts w:ascii="Times New Roman" w:hAnsi="Times New Roman"/>
          <w:sz w:val="24"/>
          <w:szCs w:val="24"/>
          <w:lang w:val="sr-Cyrl-CS"/>
        </w:rPr>
        <w:t xml:space="preserve"> ћемо обрадити и са теоријског и са емпиријског аспекта, омогућава да </w:t>
      </w:r>
      <w:r>
        <w:rPr>
          <w:rFonts w:ascii="Times New Roman" w:hAnsi="Times New Roman"/>
          <w:sz w:val="24"/>
          <w:szCs w:val="24"/>
          <w:lang w:val="sr-Cyrl-CS"/>
        </w:rPr>
        <w:t xml:space="preserve">им </w:t>
      </w:r>
      <w:r w:rsidRPr="00421133">
        <w:rPr>
          <w:rFonts w:ascii="Times New Roman" w:hAnsi="Times New Roman"/>
          <w:sz w:val="24"/>
          <w:szCs w:val="24"/>
          <w:lang w:val="sr-Cyrl-CS"/>
        </w:rPr>
        <w:t>се ефикасније супротставимо</w:t>
      </w:r>
      <w:r>
        <w:rPr>
          <w:rFonts w:ascii="Times New Roman" w:hAnsi="Times New Roman"/>
          <w:sz w:val="24"/>
          <w:szCs w:val="24"/>
          <w:lang w:val="sr-Cyrl-CS"/>
        </w:rPr>
        <w:t>.</w:t>
      </w:r>
      <w:r w:rsidRPr="00421133">
        <w:rPr>
          <w:rFonts w:ascii="Times New Roman" w:hAnsi="Times New Roman"/>
          <w:sz w:val="24"/>
          <w:szCs w:val="24"/>
          <w:lang w:val="sr-Cyrl-CS"/>
        </w:rPr>
        <w:t xml:space="preserve"> Због тога ће бити обрађена питања шта </w:t>
      </w:r>
      <w:r>
        <w:rPr>
          <w:rFonts w:ascii="Times New Roman" w:hAnsi="Times New Roman"/>
          <w:sz w:val="24"/>
          <w:szCs w:val="24"/>
          <w:lang w:val="sr-Cyrl-CS"/>
        </w:rPr>
        <w:t>ове негативне појаве</w:t>
      </w:r>
      <w:r w:rsidRPr="00421133">
        <w:rPr>
          <w:rFonts w:ascii="Times New Roman" w:hAnsi="Times New Roman"/>
          <w:sz w:val="24"/>
          <w:szCs w:val="24"/>
          <w:lang w:val="sr-Cyrl-CS"/>
        </w:rPr>
        <w:t xml:space="preserve"> представља</w:t>
      </w:r>
      <w:r>
        <w:rPr>
          <w:rFonts w:ascii="Times New Roman" w:hAnsi="Times New Roman"/>
          <w:sz w:val="24"/>
          <w:szCs w:val="24"/>
          <w:lang w:val="sr-Cyrl-CS"/>
        </w:rPr>
        <w:t>ју</w:t>
      </w:r>
      <w:r w:rsidRPr="00421133">
        <w:rPr>
          <w:rFonts w:ascii="Times New Roman" w:hAnsi="Times New Roman"/>
          <w:sz w:val="24"/>
          <w:szCs w:val="24"/>
          <w:lang w:val="sr-Cyrl-CS"/>
        </w:rPr>
        <w:t xml:space="preserve">, какви су </w:t>
      </w:r>
      <w:r>
        <w:rPr>
          <w:rFonts w:ascii="Times New Roman" w:hAnsi="Times New Roman"/>
          <w:sz w:val="24"/>
          <w:szCs w:val="24"/>
          <w:lang w:val="sr-Cyrl-CS"/>
        </w:rPr>
        <w:t>им</w:t>
      </w:r>
      <w:r w:rsidRPr="00421133">
        <w:rPr>
          <w:rFonts w:ascii="Times New Roman" w:hAnsi="Times New Roman"/>
          <w:sz w:val="24"/>
          <w:szCs w:val="24"/>
          <w:lang w:val="sr-Cyrl-CS"/>
        </w:rPr>
        <w:t xml:space="preserve"> приступи могу</w:t>
      </w:r>
      <w:r>
        <w:rPr>
          <w:rFonts w:ascii="Times New Roman" w:hAnsi="Times New Roman"/>
          <w:sz w:val="24"/>
          <w:szCs w:val="24"/>
          <w:lang w:val="sr-Cyrl-CS"/>
        </w:rPr>
        <w:t>ћи, а какви најбољи, како се ове појаве</w:t>
      </w:r>
      <w:r w:rsidRPr="00421133">
        <w:rPr>
          <w:rFonts w:ascii="Times New Roman" w:hAnsi="Times New Roman"/>
          <w:sz w:val="24"/>
          <w:szCs w:val="24"/>
          <w:lang w:val="sr-Cyrl-CS"/>
        </w:rPr>
        <w:t xml:space="preserve"> испољав</w:t>
      </w:r>
      <w:r w:rsidR="00BD18A5">
        <w:rPr>
          <w:rFonts w:ascii="Times New Roman" w:hAnsi="Times New Roman"/>
          <w:sz w:val="24"/>
          <w:szCs w:val="24"/>
          <w:lang w:val="sr-Cyrl-CS"/>
        </w:rPr>
        <w:t>а</w:t>
      </w:r>
      <w:r>
        <w:rPr>
          <w:rFonts w:ascii="Times New Roman" w:hAnsi="Times New Roman"/>
          <w:sz w:val="24"/>
          <w:szCs w:val="24"/>
          <w:lang w:val="sr-Cyrl-CS"/>
        </w:rPr>
        <w:t>ју</w:t>
      </w:r>
      <w:r w:rsidRPr="00421133">
        <w:rPr>
          <w:rFonts w:ascii="Times New Roman" w:hAnsi="Times New Roman"/>
          <w:sz w:val="24"/>
          <w:szCs w:val="24"/>
          <w:lang w:val="sr-Cyrl-CS"/>
        </w:rPr>
        <w:t xml:space="preserve"> у друштвеном живот</w:t>
      </w:r>
      <w:r>
        <w:rPr>
          <w:rFonts w:ascii="Times New Roman" w:hAnsi="Times New Roman"/>
          <w:sz w:val="24"/>
          <w:szCs w:val="24"/>
          <w:lang w:val="sr-Cyrl-CS"/>
        </w:rPr>
        <w:t>у и у контексту каквих односа их</w:t>
      </w:r>
      <w:r w:rsidRPr="00421133">
        <w:rPr>
          <w:rFonts w:ascii="Times New Roman" w:hAnsi="Times New Roman"/>
          <w:sz w:val="24"/>
          <w:szCs w:val="24"/>
          <w:lang w:val="sr-Cyrl-CS"/>
        </w:rPr>
        <w:t xml:space="preserve"> треба тражити и објашњавати, те како </w:t>
      </w:r>
      <w:r>
        <w:rPr>
          <w:rFonts w:ascii="Times New Roman" w:hAnsi="Times New Roman"/>
          <w:sz w:val="24"/>
          <w:szCs w:val="24"/>
          <w:lang w:val="sr-Cyrl-CS"/>
        </w:rPr>
        <w:t xml:space="preserve">им </w:t>
      </w:r>
      <w:r w:rsidR="000B7868">
        <w:rPr>
          <w:rFonts w:ascii="Times New Roman" w:hAnsi="Times New Roman"/>
          <w:sz w:val="24"/>
          <w:szCs w:val="24"/>
          <w:lang w:val="sr-Cyrl-CS"/>
        </w:rPr>
        <w:t>се супротставити</w:t>
      </w:r>
      <w:r w:rsidRPr="00421133">
        <w:rPr>
          <w:rFonts w:ascii="Times New Roman" w:hAnsi="Times New Roman"/>
          <w:sz w:val="24"/>
          <w:szCs w:val="24"/>
          <w:lang w:val="sr-Cyrl-CS"/>
        </w:rPr>
        <w:t>.</w:t>
      </w:r>
      <w:r w:rsidR="000B7868">
        <w:rPr>
          <w:rFonts w:ascii="Times New Roman" w:hAnsi="Times New Roman"/>
          <w:sz w:val="24"/>
          <w:szCs w:val="24"/>
          <w:lang w:val="sr-Cyrl-CS"/>
        </w:rPr>
        <w:t xml:space="preserve"> </w:t>
      </w:r>
      <w:r w:rsidRPr="00CF0186">
        <w:rPr>
          <w:rFonts w:ascii="Times New Roman" w:hAnsi="Times New Roman"/>
          <w:sz w:val="24"/>
          <w:szCs w:val="24"/>
          <w:lang w:val="sr-Cyrl-CS"/>
        </w:rPr>
        <w:t xml:space="preserve">Према томе, </w:t>
      </w:r>
      <w:r>
        <w:rPr>
          <w:rFonts w:ascii="Times New Roman" w:hAnsi="Times New Roman"/>
          <w:sz w:val="24"/>
          <w:szCs w:val="24"/>
          <w:lang w:val="sr-Cyrl-CS"/>
        </w:rPr>
        <w:t>централни део дисертације</w:t>
      </w:r>
      <w:r w:rsidRPr="00CF0186">
        <w:rPr>
          <w:rFonts w:ascii="Times New Roman" w:hAnsi="Times New Roman"/>
          <w:sz w:val="24"/>
          <w:szCs w:val="24"/>
        </w:rPr>
        <w:t xml:space="preserve"> </w:t>
      </w:r>
      <w:r>
        <w:rPr>
          <w:rFonts w:ascii="Times New Roman" w:hAnsi="Times New Roman"/>
          <w:sz w:val="24"/>
          <w:szCs w:val="24"/>
          <w:lang w:val="sr-Cyrl-CS"/>
        </w:rPr>
        <w:t>представљаће</w:t>
      </w:r>
      <w:r w:rsidRPr="00CF0186">
        <w:rPr>
          <w:rFonts w:ascii="Times New Roman" w:hAnsi="Times New Roman"/>
          <w:sz w:val="24"/>
          <w:szCs w:val="24"/>
        </w:rPr>
        <w:t xml:space="preserve"> проучавање избегавања плаћања пореза, </w:t>
      </w:r>
      <w:r w:rsidRPr="00CF0186">
        <w:rPr>
          <w:rFonts w:ascii="Times New Roman" w:hAnsi="Times New Roman"/>
          <w:sz w:val="24"/>
          <w:szCs w:val="24"/>
          <w:lang w:val="sr-Cyrl-CS"/>
        </w:rPr>
        <w:t xml:space="preserve">његове природе,  </w:t>
      </w:r>
      <w:r w:rsidRPr="00CF0186">
        <w:rPr>
          <w:rFonts w:ascii="Times New Roman" w:hAnsi="Times New Roman"/>
          <w:sz w:val="24"/>
          <w:szCs w:val="24"/>
        </w:rPr>
        <w:t>узро</w:t>
      </w:r>
      <w:r w:rsidRPr="00CF0186">
        <w:rPr>
          <w:rFonts w:ascii="Times New Roman" w:hAnsi="Times New Roman"/>
          <w:sz w:val="24"/>
          <w:szCs w:val="24"/>
          <w:lang w:val="sr-Cyrl-CS"/>
        </w:rPr>
        <w:t>ка настанка</w:t>
      </w:r>
      <w:r w:rsidRPr="00CF0186">
        <w:rPr>
          <w:rFonts w:ascii="Times New Roman" w:hAnsi="Times New Roman"/>
          <w:sz w:val="24"/>
          <w:szCs w:val="24"/>
        </w:rPr>
        <w:t>, појавни</w:t>
      </w:r>
      <w:r w:rsidRPr="00CF0186">
        <w:rPr>
          <w:rFonts w:ascii="Times New Roman" w:hAnsi="Times New Roman"/>
          <w:sz w:val="24"/>
          <w:szCs w:val="24"/>
          <w:lang w:val="sr-Cyrl-CS"/>
        </w:rPr>
        <w:t>х</w:t>
      </w:r>
      <w:r w:rsidRPr="00CF0186">
        <w:rPr>
          <w:rFonts w:ascii="Times New Roman" w:hAnsi="Times New Roman"/>
          <w:sz w:val="24"/>
          <w:szCs w:val="24"/>
        </w:rPr>
        <w:t xml:space="preserve"> обли</w:t>
      </w:r>
      <w:r w:rsidRPr="00CF0186">
        <w:rPr>
          <w:rFonts w:ascii="Times New Roman" w:hAnsi="Times New Roman"/>
          <w:sz w:val="24"/>
          <w:szCs w:val="24"/>
          <w:lang w:val="sr-Cyrl-CS"/>
        </w:rPr>
        <w:t>ка</w:t>
      </w:r>
      <w:r w:rsidRPr="00CF0186">
        <w:rPr>
          <w:rFonts w:ascii="Times New Roman" w:hAnsi="Times New Roman"/>
          <w:sz w:val="24"/>
          <w:szCs w:val="24"/>
        </w:rPr>
        <w:t xml:space="preserve"> и последиц</w:t>
      </w:r>
      <w:r w:rsidRPr="00CF0186">
        <w:rPr>
          <w:rFonts w:ascii="Times New Roman" w:hAnsi="Times New Roman"/>
          <w:sz w:val="24"/>
          <w:szCs w:val="24"/>
          <w:lang w:val="sr-Cyrl-CS"/>
        </w:rPr>
        <w:t>а</w:t>
      </w:r>
      <w:r w:rsidRPr="00CF0186">
        <w:rPr>
          <w:rFonts w:ascii="Times New Roman" w:hAnsi="Times New Roman"/>
          <w:sz w:val="24"/>
          <w:szCs w:val="24"/>
        </w:rPr>
        <w:t xml:space="preserve">. Биће проучене и анализиране мере које се предузимају у циљу превенције и у виду репресије. </w:t>
      </w:r>
      <w:r>
        <w:rPr>
          <w:rFonts w:ascii="Times New Roman" w:hAnsi="Times New Roman"/>
          <w:sz w:val="24"/>
          <w:szCs w:val="24"/>
          <w:lang w:val="sr-Cyrl-CS"/>
        </w:rPr>
        <w:t>Међутим, к</w:t>
      </w:r>
      <w:r w:rsidRPr="00CF0186">
        <w:rPr>
          <w:rFonts w:ascii="Times New Roman" w:hAnsi="Times New Roman"/>
          <w:sz w:val="24"/>
          <w:szCs w:val="24"/>
        </w:rPr>
        <w:t xml:space="preserve">ако је избегавање плаћања </w:t>
      </w:r>
      <w:r>
        <w:rPr>
          <w:rFonts w:ascii="Times New Roman" w:hAnsi="Times New Roman"/>
          <w:sz w:val="24"/>
          <w:szCs w:val="24"/>
          <w:lang w:val="sr-Cyrl-CS"/>
        </w:rPr>
        <w:t xml:space="preserve">пореза због своје комплексности </w:t>
      </w:r>
      <w:r w:rsidRPr="00CF0186">
        <w:rPr>
          <w:rFonts w:ascii="Times New Roman" w:hAnsi="Times New Roman"/>
          <w:sz w:val="24"/>
          <w:szCs w:val="24"/>
        </w:rPr>
        <w:t>повезано са привредним криминалом и корупцијом биће дат приказ ових веза те предлози за предузимање мера ради сузбијања ових нежељених и комплексних појава. Такође ће бити указано на проблеме откривања ови</w:t>
      </w:r>
      <w:r w:rsidR="00DF0EC1">
        <w:rPr>
          <w:rFonts w:ascii="Times New Roman" w:hAnsi="Times New Roman"/>
          <w:sz w:val="24"/>
          <w:szCs w:val="24"/>
        </w:rPr>
        <w:t>х облика противправних понашања</w:t>
      </w:r>
      <w:r w:rsidR="00DF0EC1">
        <w:rPr>
          <w:rFonts w:ascii="Times New Roman" w:hAnsi="Times New Roman"/>
          <w:sz w:val="24"/>
          <w:szCs w:val="24"/>
          <w:lang w:val="sr-Cyrl-CS"/>
        </w:rPr>
        <w:t>.</w:t>
      </w:r>
      <w:r w:rsidRPr="00CF0186">
        <w:rPr>
          <w:rFonts w:ascii="Times New Roman" w:hAnsi="Times New Roman"/>
          <w:sz w:val="24"/>
          <w:szCs w:val="24"/>
        </w:rPr>
        <w:t xml:space="preserve">  </w:t>
      </w:r>
    </w:p>
    <w:p w:rsidR="004A222B" w:rsidRPr="00C73790" w:rsidRDefault="00973633" w:rsidP="00335C8B">
      <w:pPr>
        <w:ind w:firstLine="708"/>
        <w:jc w:val="both"/>
        <w:rPr>
          <w:rFonts w:ascii="Times New Roman" w:hAnsi="Times New Roman"/>
          <w:sz w:val="24"/>
          <w:szCs w:val="24"/>
          <w:lang w:val="sr-Cyrl-CS"/>
        </w:rPr>
      </w:pPr>
      <w:r>
        <w:rPr>
          <w:rFonts w:ascii="Times New Roman" w:hAnsi="Times New Roman"/>
          <w:sz w:val="24"/>
          <w:szCs w:val="24"/>
          <w:lang w:val="sr-Cyrl-CS"/>
        </w:rPr>
        <w:t>Проблем</w:t>
      </w:r>
      <w:r w:rsidRPr="00C73790">
        <w:rPr>
          <w:rFonts w:ascii="Times New Roman" w:hAnsi="Times New Roman"/>
          <w:sz w:val="24"/>
          <w:szCs w:val="24"/>
          <w:lang w:val="sr-Cyrl-CS"/>
        </w:rPr>
        <w:t xml:space="preserve"> пореске евазије </w:t>
      </w:r>
      <w:r>
        <w:rPr>
          <w:rFonts w:ascii="Times New Roman" w:hAnsi="Times New Roman"/>
          <w:sz w:val="24"/>
          <w:szCs w:val="24"/>
          <w:lang w:val="sr-Cyrl-CS"/>
        </w:rPr>
        <w:t>се мора посматрати</w:t>
      </w:r>
      <w:r w:rsidRPr="00C73790">
        <w:rPr>
          <w:rFonts w:ascii="Times New Roman" w:hAnsi="Times New Roman"/>
          <w:sz w:val="24"/>
          <w:szCs w:val="24"/>
          <w:lang w:val="sr-Cyrl-CS"/>
        </w:rPr>
        <w:t xml:space="preserve"> са аспекта међународног пореског права јер овај феномен превазилази националне оквире.</w:t>
      </w:r>
      <w:r>
        <w:rPr>
          <w:rFonts w:ascii="Times New Roman" w:hAnsi="Times New Roman"/>
          <w:sz w:val="24"/>
          <w:szCs w:val="24"/>
          <w:lang w:val="sr-Cyrl-CS"/>
        </w:rPr>
        <w:t xml:space="preserve"> </w:t>
      </w:r>
      <w:r w:rsidR="004A222B" w:rsidRPr="00C73790">
        <w:rPr>
          <w:rFonts w:ascii="Times New Roman" w:hAnsi="Times New Roman"/>
          <w:sz w:val="24"/>
          <w:szCs w:val="24"/>
          <w:lang w:val="sr-Cyrl-CS"/>
        </w:rPr>
        <w:t xml:space="preserve">Повећање међународне размене, већа покретљивост лица, роба и услуга, створила је погодне услове за  повећање броја пореских обвезника који не извршавају своје пореске обавезе. </w:t>
      </w:r>
      <w:r w:rsidR="00335C8B">
        <w:rPr>
          <w:rFonts w:ascii="Times New Roman" w:hAnsi="Times New Roman"/>
          <w:sz w:val="24"/>
          <w:szCs w:val="24"/>
          <w:lang w:val="sr-Cyrl-CS"/>
        </w:rPr>
        <w:t>Избегавање плаћања пореза, као и са њим повезани привредни криминал и корупција, се често појављују и против њих се боре све земље света.</w:t>
      </w:r>
      <w:r w:rsidR="00335C8B" w:rsidRPr="00335C8B">
        <w:rPr>
          <w:rFonts w:ascii="Times New Roman" w:hAnsi="Times New Roman"/>
          <w:sz w:val="24"/>
          <w:szCs w:val="24"/>
          <w:lang w:val="sr-Cyrl-CS"/>
        </w:rPr>
        <w:t xml:space="preserve"> </w:t>
      </w:r>
      <w:r w:rsidR="00335C8B" w:rsidRPr="00C73790">
        <w:rPr>
          <w:rFonts w:ascii="Times New Roman" w:hAnsi="Times New Roman"/>
          <w:sz w:val="24"/>
          <w:szCs w:val="24"/>
          <w:lang w:val="sr-Cyrl-CS"/>
        </w:rPr>
        <w:t>Иако се у значајној мери, на глобалном нивоу, форсира процес хармонизације националних пореских система, пословање савремених привредних друштава, а посебно мултинационалних компанија, које се одвија ван националних привреда, још увек је под утиц</w:t>
      </w:r>
      <w:r w:rsidR="00335C8B">
        <w:rPr>
          <w:rFonts w:ascii="Times New Roman" w:hAnsi="Times New Roman"/>
          <w:sz w:val="24"/>
          <w:szCs w:val="24"/>
          <w:lang w:val="sr-Cyrl-CS"/>
        </w:rPr>
        <w:t xml:space="preserve">ајем различитих пореских режима па је због тога значајно познавање механизама </w:t>
      </w:r>
      <w:r w:rsidR="00335C8B" w:rsidRPr="00C73790">
        <w:rPr>
          <w:rFonts w:ascii="Times New Roman" w:hAnsi="Times New Roman"/>
          <w:sz w:val="24"/>
          <w:szCs w:val="24"/>
          <w:lang w:val="sr-Cyrl-CS"/>
        </w:rPr>
        <w:t xml:space="preserve"> међународне </w:t>
      </w:r>
      <w:r w:rsidR="00335C8B">
        <w:rPr>
          <w:rFonts w:ascii="Times New Roman" w:hAnsi="Times New Roman"/>
          <w:sz w:val="24"/>
          <w:szCs w:val="24"/>
          <w:lang w:val="sr-Cyrl-CS"/>
        </w:rPr>
        <w:t>пореске евазије.</w:t>
      </w:r>
      <w:r w:rsidR="00335C8B" w:rsidRPr="00C73790">
        <w:rPr>
          <w:rFonts w:ascii="Times New Roman" w:hAnsi="Times New Roman"/>
          <w:sz w:val="24"/>
          <w:szCs w:val="24"/>
          <w:lang w:val="sr-Cyrl-CS"/>
        </w:rPr>
        <w:t xml:space="preserve"> </w:t>
      </w:r>
      <w:r w:rsidR="004A222B" w:rsidRPr="00C73790">
        <w:rPr>
          <w:rFonts w:ascii="Times New Roman" w:hAnsi="Times New Roman"/>
          <w:sz w:val="24"/>
          <w:szCs w:val="24"/>
          <w:lang w:val="sr-Cyrl-CS"/>
        </w:rPr>
        <w:t xml:space="preserve">Посебно ћемо у </w:t>
      </w:r>
      <w:r w:rsidR="00335C8B">
        <w:rPr>
          <w:rFonts w:ascii="Times New Roman" w:hAnsi="Times New Roman"/>
          <w:sz w:val="24"/>
          <w:szCs w:val="24"/>
          <w:lang w:val="sr-Cyrl-CS"/>
        </w:rPr>
        <w:t>раду</w:t>
      </w:r>
      <w:r w:rsidR="004A222B" w:rsidRPr="00C73790">
        <w:rPr>
          <w:rFonts w:ascii="Times New Roman" w:hAnsi="Times New Roman"/>
          <w:sz w:val="24"/>
          <w:szCs w:val="24"/>
          <w:lang w:val="sr-Cyrl-CS"/>
        </w:rPr>
        <w:t xml:space="preserve"> нагласити тренд међусобног приближавања и прилагођавања савремених националних пореских система. Говорићемо и о оствареном видном напретку европских интеграција који се огледа у већој и израженијој сарадњи између пореских политика зема</w:t>
      </w:r>
      <w:r w:rsidR="007415E9">
        <w:rPr>
          <w:rFonts w:ascii="Times New Roman" w:hAnsi="Times New Roman"/>
          <w:sz w:val="24"/>
          <w:szCs w:val="24"/>
          <w:lang w:val="sr-Cyrl-CS"/>
        </w:rPr>
        <w:t>ља чланица. З</w:t>
      </w:r>
      <w:r w:rsidR="004A222B" w:rsidRPr="00C73790">
        <w:rPr>
          <w:rFonts w:ascii="Times New Roman" w:hAnsi="Times New Roman"/>
          <w:sz w:val="24"/>
          <w:szCs w:val="24"/>
          <w:lang w:val="sr-Cyrl-CS"/>
        </w:rPr>
        <w:t>емље које прет</w:t>
      </w:r>
      <w:r w:rsidR="007415E9">
        <w:rPr>
          <w:rFonts w:ascii="Times New Roman" w:hAnsi="Times New Roman"/>
          <w:sz w:val="24"/>
          <w:szCs w:val="24"/>
          <w:lang w:val="sr-Cyrl-CS"/>
        </w:rPr>
        <w:t xml:space="preserve">ендују на чланство у ЕУ, па </w:t>
      </w:r>
      <w:r w:rsidR="007415E9">
        <w:rPr>
          <w:rFonts w:ascii="Times New Roman" w:hAnsi="Times New Roman"/>
          <w:sz w:val="24"/>
          <w:szCs w:val="24"/>
          <w:lang w:val="sr-Cyrl-CS"/>
        </w:rPr>
        <w:lastRenderedPageBreak/>
        <w:t>тако и Србија, спроводе</w:t>
      </w:r>
      <w:r w:rsidR="004A222B" w:rsidRPr="00C73790">
        <w:rPr>
          <w:rFonts w:ascii="Times New Roman" w:hAnsi="Times New Roman"/>
          <w:sz w:val="24"/>
          <w:szCs w:val="24"/>
          <w:lang w:val="sr-Cyrl-CS"/>
        </w:rPr>
        <w:t xml:space="preserve"> тзв. хармонизацију својих пореских система и у процесу реформе пореског система се ослањају на прихваћена европска пореска решења. </w:t>
      </w:r>
    </w:p>
    <w:p w:rsidR="007415E9" w:rsidRPr="00BD0653" w:rsidRDefault="004A222B" w:rsidP="00335C8B">
      <w:pPr>
        <w:ind w:firstLine="708"/>
        <w:jc w:val="both"/>
        <w:rPr>
          <w:rFonts w:ascii="Times New Roman" w:hAnsi="Times New Roman"/>
          <w:sz w:val="24"/>
          <w:szCs w:val="24"/>
          <w:lang w:val="sr-Cyrl-CS"/>
        </w:rPr>
      </w:pPr>
      <w:r>
        <w:rPr>
          <w:rFonts w:ascii="Times New Roman" w:hAnsi="Times New Roman"/>
          <w:sz w:val="24"/>
          <w:szCs w:val="24"/>
          <w:lang w:val="sr-Cyrl-CS"/>
        </w:rPr>
        <w:t>За сузбијање ових појава</w:t>
      </w:r>
      <w:r w:rsidRPr="00C73790">
        <w:rPr>
          <w:rFonts w:ascii="Times New Roman" w:hAnsi="Times New Roman"/>
          <w:sz w:val="24"/>
          <w:szCs w:val="24"/>
          <w:lang w:val="sr-Cyrl-CS"/>
        </w:rPr>
        <w:t xml:space="preserve">, поред уређења законске регулативе, потребна је акција многих друштвених чинилаца, почев од вршилаца власти, преко институција друштва, па све до самих грађана. </w:t>
      </w:r>
      <w:r w:rsidR="00335C8B">
        <w:rPr>
          <w:rFonts w:ascii="Times New Roman" w:hAnsi="Times New Roman"/>
          <w:sz w:val="24"/>
          <w:szCs w:val="24"/>
          <w:lang w:val="sr-Cyrl-CS"/>
        </w:rPr>
        <w:t xml:space="preserve">Посебну пажњу треба посветити репресивним и превентивним мерама као и њиховом међусобном односу. </w:t>
      </w:r>
      <w:r w:rsidR="007415E9" w:rsidRPr="00C73790">
        <w:rPr>
          <w:rFonts w:ascii="Times New Roman" w:hAnsi="Times New Roman"/>
          <w:sz w:val="24"/>
          <w:szCs w:val="24"/>
          <w:lang w:val="sr-Cyrl-CS"/>
        </w:rPr>
        <w:t xml:space="preserve">Наиме, само репресивним мерама не може се много постићи, а неке државе, па и наша, неоправдано мало пажње посвећују превентивним мерама за спречавање пореског отпора, којима се могу постићи значајни резултати на отклањању узрока и могућности настанка пореске евазије. Са друге стране, због веће ефикасности механизма превентивног деловања они морају бити подупрти репресивним механизмом, што значи да је битно међусобно допуњавање. </w:t>
      </w:r>
      <w:r w:rsidR="007415E9">
        <w:rPr>
          <w:rFonts w:ascii="Times New Roman" w:hAnsi="Times New Roman"/>
          <w:sz w:val="24"/>
          <w:szCs w:val="24"/>
          <w:lang w:val="sr-Cyrl-CS"/>
        </w:rPr>
        <w:t xml:space="preserve"> </w:t>
      </w:r>
    </w:p>
    <w:p w:rsidR="000877E4" w:rsidRPr="006C5668" w:rsidRDefault="000877E4" w:rsidP="006C5668">
      <w:pPr>
        <w:ind w:firstLine="708"/>
        <w:jc w:val="both"/>
        <w:rPr>
          <w:rFonts w:ascii="Times New Roman" w:hAnsi="Times New Roman"/>
          <w:sz w:val="24"/>
          <w:szCs w:val="24"/>
          <w:lang w:val="sr-Cyrl-CS"/>
        </w:rPr>
      </w:pPr>
      <w:r w:rsidRPr="006C5668">
        <w:rPr>
          <w:rFonts w:ascii="Times New Roman" w:hAnsi="Times New Roman"/>
          <w:sz w:val="24"/>
          <w:szCs w:val="24"/>
          <w:lang w:val="sr-Cyrl-CS"/>
        </w:rPr>
        <w:t xml:space="preserve">Приступ избегавању плаћања пореза је могућ са различитих </w:t>
      </w:r>
      <w:r w:rsidR="00335C8B" w:rsidRPr="006C5668">
        <w:rPr>
          <w:rFonts w:ascii="Times New Roman" w:hAnsi="Times New Roman"/>
          <w:sz w:val="24"/>
          <w:szCs w:val="24"/>
          <w:lang w:val="sr-Cyrl-CS"/>
        </w:rPr>
        <w:t>аспеката</w:t>
      </w:r>
      <w:r w:rsidRPr="006C5668">
        <w:rPr>
          <w:rFonts w:ascii="Times New Roman" w:hAnsi="Times New Roman"/>
          <w:sz w:val="24"/>
          <w:szCs w:val="24"/>
          <w:lang w:val="sr-Cyrl-CS"/>
        </w:rPr>
        <w:t xml:space="preserve"> уз помоћ различитих методских поступака. Ова могућност је израз сложености и вишедимензионалности предмета истраживања, односно његова повезаност са целином истоврсних или различитих п</w:t>
      </w:r>
      <w:r w:rsidR="00335C8B" w:rsidRPr="006C5668">
        <w:rPr>
          <w:rFonts w:ascii="Times New Roman" w:hAnsi="Times New Roman"/>
          <w:sz w:val="24"/>
          <w:szCs w:val="24"/>
          <w:lang w:val="sr-Cyrl-CS"/>
        </w:rPr>
        <w:t>ојава.</w:t>
      </w:r>
      <w:r w:rsidRPr="006C5668">
        <w:rPr>
          <w:rFonts w:ascii="Times New Roman" w:hAnsi="Times New Roman"/>
          <w:sz w:val="24"/>
          <w:szCs w:val="24"/>
          <w:lang w:val="sr-Cyrl-CS"/>
        </w:rPr>
        <w:t xml:space="preserve"> Према томе, прилаз овом проблему мора бити комплексан и мора се проучавати са аспеката свих научних дисциплина у чије подручје спадају поједине његове карактери</w:t>
      </w:r>
      <w:r w:rsidR="006C5668" w:rsidRPr="006C5668">
        <w:rPr>
          <w:rFonts w:ascii="Times New Roman" w:hAnsi="Times New Roman"/>
          <w:sz w:val="24"/>
          <w:szCs w:val="24"/>
          <w:lang w:val="sr-Cyrl-CS"/>
        </w:rPr>
        <w:t>стике, што</w:t>
      </w:r>
      <w:r w:rsidRPr="006C5668">
        <w:rPr>
          <w:rFonts w:ascii="Times New Roman" w:hAnsi="Times New Roman"/>
          <w:sz w:val="24"/>
          <w:szCs w:val="24"/>
          <w:lang w:val="sr-Cyrl-CS"/>
        </w:rPr>
        <w:t xml:space="preserve"> захтева интерди</w:t>
      </w:r>
      <w:r w:rsidR="006C5668" w:rsidRPr="006C5668">
        <w:rPr>
          <w:rFonts w:ascii="Times New Roman" w:hAnsi="Times New Roman"/>
          <w:sz w:val="24"/>
          <w:szCs w:val="24"/>
          <w:lang w:val="sr-Cyrl-CS"/>
        </w:rPr>
        <w:t>сциплинарни приступ</w:t>
      </w:r>
      <w:r w:rsidRPr="006C5668">
        <w:rPr>
          <w:rFonts w:ascii="Times New Roman" w:hAnsi="Times New Roman"/>
          <w:sz w:val="24"/>
          <w:szCs w:val="24"/>
          <w:lang w:val="sr-Cyrl-CS"/>
        </w:rPr>
        <w:t xml:space="preserve">. </w:t>
      </w:r>
      <w:r w:rsidRPr="006C5668">
        <w:rPr>
          <w:rFonts w:ascii="Times New Roman" w:hAnsi="Times New Roman"/>
          <w:sz w:val="24"/>
          <w:szCs w:val="24"/>
        </w:rPr>
        <w:t xml:space="preserve">У остваривању наведеног циља </w:t>
      </w:r>
      <w:r w:rsidRPr="006C5668">
        <w:rPr>
          <w:rFonts w:ascii="Times New Roman" w:hAnsi="Times New Roman"/>
          <w:sz w:val="24"/>
          <w:szCs w:val="24"/>
          <w:lang w:val="sr-Cyrl-CS"/>
        </w:rPr>
        <w:t xml:space="preserve">употребићемо већи број научно-истраживачких </w:t>
      </w:r>
      <w:r w:rsidRPr="006C5668">
        <w:rPr>
          <w:rFonts w:ascii="Times New Roman" w:hAnsi="Times New Roman"/>
          <w:sz w:val="24"/>
          <w:szCs w:val="24"/>
        </w:rPr>
        <w:t xml:space="preserve"> метода. Поред упоредно-правног и историјско-правног метода, користићемо нормативно-правни метод, као и стати</w:t>
      </w:r>
      <w:r w:rsidRPr="006C5668">
        <w:rPr>
          <w:rFonts w:ascii="Times New Roman" w:hAnsi="Times New Roman"/>
          <w:sz w:val="24"/>
          <w:szCs w:val="24"/>
          <w:lang w:val="sr-Cyrl-CS"/>
        </w:rPr>
        <w:t>сти</w:t>
      </w:r>
      <w:r w:rsidRPr="006C5668">
        <w:rPr>
          <w:rFonts w:ascii="Times New Roman" w:hAnsi="Times New Roman"/>
          <w:sz w:val="24"/>
          <w:szCs w:val="24"/>
        </w:rPr>
        <w:t>чки метод кроз извршену анализу под</w:t>
      </w:r>
      <w:r w:rsidR="006C5668" w:rsidRPr="006C5668">
        <w:rPr>
          <w:rFonts w:ascii="Times New Roman" w:hAnsi="Times New Roman"/>
          <w:sz w:val="24"/>
          <w:szCs w:val="24"/>
        </w:rPr>
        <w:t>ака о избегавању плаћања пореза</w:t>
      </w:r>
      <w:r w:rsidR="006C5668" w:rsidRPr="006C5668">
        <w:rPr>
          <w:rFonts w:ascii="Times New Roman" w:hAnsi="Times New Roman"/>
          <w:sz w:val="24"/>
          <w:szCs w:val="24"/>
          <w:lang w:val="sr-Cyrl-CS"/>
        </w:rPr>
        <w:t xml:space="preserve">. </w:t>
      </w:r>
      <w:r w:rsidRPr="006C5668">
        <w:rPr>
          <w:rFonts w:ascii="Times New Roman" w:hAnsi="Times New Roman"/>
          <w:sz w:val="24"/>
          <w:szCs w:val="24"/>
          <w:lang w:val="sr-Cyrl-CS"/>
        </w:rPr>
        <w:t xml:space="preserve">Због комплексности пореског феномена, па самим тим и пореске евазије, проучавање ћемо вршити са различитих аспеката, </w:t>
      </w:r>
      <w:r w:rsidR="00DA15F9">
        <w:rPr>
          <w:rFonts w:ascii="Times New Roman" w:hAnsi="Times New Roman"/>
          <w:sz w:val="24"/>
          <w:szCs w:val="24"/>
          <w:lang w:val="sr-Cyrl-CS"/>
        </w:rPr>
        <w:t xml:space="preserve">комбинујући </w:t>
      </w:r>
      <w:r w:rsidRPr="006C5668">
        <w:rPr>
          <w:rFonts w:ascii="Times New Roman" w:hAnsi="Times New Roman"/>
          <w:sz w:val="24"/>
          <w:szCs w:val="24"/>
          <w:lang w:val="sr-Cyrl-CS"/>
        </w:rPr>
        <w:t>правну и економску анализу најзначајнијих порескоправних института</w:t>
      </w:r>
      <w:r w:rsidR="00DA15F9">
        <w:rPr>
          <w:rFonts w:ascii="Times New Roman" w:hAnsi="Times New Roman"/>
          <w:sz w:val="24"/>
          <w:szCs w:val="24"/>
          <w:lang w:val="sr-Cyrl-CS"/>
        </w:rPr>
        <w:t>.</w:t>
      </w:r>
      <w:r w:rsidRPr="006C5668">
        <w:rPr>
          <w:rFonts w:ascii="Times New Roman" w:hAnsi="Times New Roman"/>
          <w:sz w:val="24"/>
          <w:szCs w:val="24"/>
          <w:lang w:val="sr-Cyrl-CS"/>
        </w:rPr>
        <w:t xml:space="preserve"> </w:t>
      </w:r>
    </w:p>
    <w:p w:rsidR="00822D03" w:rsidRPr="00583FCD" w:rsidRDefault="00822D03" w:rsidP="00583FCD">
      <w:pPr>
        <w:ind w:firstLine="709"/>
        <w:jc w:val="both"/>
        <w:rPr>
          <w:rFonts w:ascii="Times New Roman" w:hAnsi="Times New Roman"/>
          <w:sz w:val="24"/>
          <w:szCs w:val="24"/>
          <w:lang w:val="sr-Cyrl-CS"/>
        </w:rPr>
      </w:pPr>
      <w:r>
        <w:rPr>
          <w:rFonts w:ascii="Times New Roman" w:hAnsi="Times New Roman"/>
          <w:sz w:val="24"/>
          <w:szCs w:val="24"/>
          <w:lang w:val="sr-Cyrl-CS"/>
        </w:rPr>
        <w:t>Значај и актуелност проучавања</w:t>
      </w:r>
      <w:r w:rsidRPr="00012105">
        <w:rPr>
          <w:rFonts w:ascii="Times New Roman" w:hAnsi="Times New Roman"/>
          <w:sz w:val="24"/>
          <w:szCs w:val="24"/>
          <w:lang w:val="sr-Cyrl-CS"/>
        </w:rPr>
        <w:t xml:space="preserve"> феномена</w:t>
      </w:r>
      <w:r>
        <w:rPr>
          <w:rFonts w:ascii="Times New Roman" w:hAnsi="Times New Roman"/>
          <w:sz w:val="24"/>
          <w:szCs w:val="24"/>
          <w:lang w:val="sr-Cyrl-CS"/>
        </w:rPr>
        <w:t xml:space="preserve"> избегавања плаћања пореза, привредног криминала и корупције</w:t>
      </w:r>
      <w:r w:rsidRPr="00012105">
        <w:rPr>
          <w:rFonts w:ascii="Times New Roman" w:hAnsi="Times New Roman"/>
          <w:sz w:val="24"/>
          <w:szCs w:val="24"/>
          <w:lang w:val="sr-Cyrl-CS"/>
        </w:rPr>
        <w:t xml:space="preserve"> потенцирана је сложеним трансформацијама и друштвеним процесима, који су се на нашим просторима одиграли.</w:t>
      </w:r>
      <w:r>
        <w:rPr>
          <w:rFonts w:ascii="Times New Roman" w:hAnsi="Times New Roman"/>
          <w:sz w:val="24"/>
          <w:szCs w:val="24"/>
          <w:lang w:val="sr-Cyrl-CS"/>
        </w:rPr>
        <w:t xml:space="preserve"> </w:t>
      </w:r>
      <w:r w:rsidRPr="00FB5199">
        <w:rPr>
          <w:rFonts w:ascii="Times New Roman" w:hAnsi="Times New Roman"/>
          <w:sz w:val="24"/>
          <w:szCs w:val="24"/>
        </w:rPr>
        <w:t>Имајући у виду велико учешће пореза у структури јавних прихода, размере њихове евазије, сталн</w:t>
      </w:r>
      <w:r w:rsidRPr="00FB5199">
        <w:rPr>
          <w:rFonts w:ascii="Times New Roman" w:hAnsi="Times New Roman"/>
          <w:sz w:val="24"/>
          <w:szCs w:val="24"/>
          <w:lang w:val="sr-Cyrl-CS"/>
        </w:rPr>
        <w:t>о присутан</w:t>
      </w:r>
      <w:r w:rsidRPr="00FB5199">
        <w:rPr>
          <w:rFonts w:ascii="Times New Roman" w:hAnsi="Times New Roman"/>
          <w:sz w:val="24"/>
          <w:szCs w:val="24"/>
        </w:rPr>
        <w:t xml:space="preserve"> проблем са бу</w:t>
      </w:r>
      <w:r w:rsidRPr="00FB5199">
        <w:rPr>
          <w:rFonts w:ascii="Times New Roman" w:hAnsi="Times New Roman"/>
          <w:sz w:val="24"/>
          <w:szCs w:val="24"/>
          <w:lang w:val="sr-Cyrl-CS"/>
        </w:rPr>
        <w:t>џ</w:t>
      </w:r>
      <w:r w:rsidRPr="00FB5199">
        <w:rPr>
          <w:rFonts w:ascii="Times New Roman" w:hAnsi="Times New Roman"/>
          <w:sz w:val="24"/>
          <w:szCs w:val="24"/>
        </w:rPr>
        <w:t>етским дефицитом</w:t>
      </w:r>
      <w:r>
        <w:rPr>
          <w:rFonts w:ascii="Times New Roman" w:hAnsi="Times New Roman"/>
          <w:sz w:val="24"/>
          <w:szCs w:val="24"/>
          <w:lang w:val="sr-Cyrl-CS"/>
        </w:rPr>
        <w:t xml:space="preserve">, кризно време у глобалним размерама, </w:t>
      </w:r>
      <w:r w:rsidR="000F1667">
        <w:rPr>
          <w:rFonts w:ascii="Times New Roman" w:hAnsi="Times New Roman"/>
          <w:sz w:val="24"/>
          <w:szCs w:val="24"/>
          <w:lang w:val="sr-Cyrl-CS"/>
        </w:rPr>
        <w:t xml:space="preserve">као и </w:t>
      </w:r>
      <w:r w:rsidR="006C5668">
        <w:rPr>
          <w:rFonts w:ascii="Times New Roman" w:hAnsi="Times New Roman"/>
          <w:sz w:val="24"/>
          <w:szCs w:val="24"/>
          <w:lang w:val="sr-Cyrl-CS"/>
        </w:rPr>
        <w:t>чињениц</w:t>
      </w:r>
      <w:r w:rsidR="00BD18A5">
        <w:rPr>
          <w:rFonts w:ascii="Times New Roman" w:hAnsi="Times New Roman"/>
          <w:sz w:val="24"/>
          <w:szCs w:val="24"/>
          <w:lang w:val="sr-Cyrl-CS"/>
        </w:rPr>
        <w:t>у</w:t>
      </w:r>
      <w:r w:rsidR="006C5668">
        <w:rPr>
          <w:rFonts w:ascii="Times New Roman" w:hAnsi="Times New Roman"/>
          <w:sz w:val="24"/>
          <w:szCs w:val="24"/>
          <w:lang w:val="sr-Cyrl-CS"/>
        </w:rPr>
        <w:t xml:space="preserve"> да реформа структуре нашег пореског система тек</w:t>
      </w:r>
      <w:r w:rsidR="000F1667">
        <w:rPr>
          <w:rFonts w:ascii="Times New Roman" w:hAnsi="Times New Roman"/>
          <w:sz w:val="24"/>
          <w:szCs w:val="24"/>
          <w:lang w:val="sr-Cyrl-CS"/>
        </w:rPr>
        <w:t xml:space="preserve"> </w:t>
      </w:r>
      <w:r w:rsidR="006C5668">
        <w:rPr>
          <w:rFonts w:ascii="Times New Roman" w:hAnsi="Times New Roman"/>
          <w:sz w:val="24"/>
          <w:szCs w:val="24"/>
          <w:lang w:val="sr-Cyrl-CS"/>
        </w:rPr>
        <w:t xml:space="preserve">предстоји, </w:t>
      </w:r>
      <w:r>
        <w:rPr>
          <w:rFonts w:ascii="Times New Roman" w:hAnsi="Times New Roman"/>
          <w:sz w:val="24"/>
          <w:szCs w:val="24"/>
          <w:lang w:val="sr-Cyrl-CS"/>
        </w:rPr>
        <w:t>тема</w:t>
      </w:r>
      <w:r w:rsidRPr="00FB5199">
        <w:rPr>
          <w:rFonts w:ascii="Times New Roman" w:hAnsi="Times New Roman"/>
          <w:sz w:val="24"/>
          <w:szCs w:val="24"/>
          <w:lang w:val="sr-Cyrl-CS"/>
        </w:rPr>
        <w:t xml:space="preserve"> којом се бави ова докторска дисертација </w:t>
      </w:r>
      <w:r>
        <w:rPr>
          <w:rFonts w:ascii="Times New Roman" w:hAnsi="Times New Roman"/>
          <w:sz w:val="24"/>
          <w:szCs w:val="24"/>
          <w:lang w:val="sr-Cyrl-CS"/>
        </w:rPr>
        <w:t>са</w:t>
      </w:r>
      <w:r w:rsidRPr="00FB5199">
        <w:rPr>
          <w:rFonts w:ascii="Times New Roman" w:hAnsi="Times New Roman"/>
          <w:sz w:val="24"/>
          <w:szCs w:val="24"/>
          <w:lang w:val="sr-Cyrl-CS"/>
        </w:rPr>
        <w:t xml:space="preserve"> циљ</w:t>
      </w:r>
      <w:r>
        <w:rPr>
          <w:rFonts w:ascii="Times New Roman" w:hAnsi="Times New Roman"/>
          <w:sz w:val="24"/>
          <w:szCs w:val="24"/>
          <w:lang w:val="sr-Cyrl-CS"/>
        </w:rPr>
        <w:t>ем</w:t>
      </w:r>
      <w:r w:rsidRPr="00FB5199">
        <w:rPr>
          <w:rFonts w:ascii="Times New Roman" w:hAnsi="Times New Roman"/>
          <w:sz w:val="24"/>
          <w:szCs w:val="24"/>
          <w:lang w:val="sr-Cyrl-CS"/>
        </w:rPr>
        <w:t xml:space="preserve"> да анализира облике </w:t>
      </w:r>
      <w:r w:rsidR="000F1667">
        <w:rPr>
          <w:rFonts w:ascii="Times New Roman" w:hAnsi="Times New Roman"/>
          <w:sz w:val="24"/>
          <w:szCs w:val="24"/>
          <w:lang w:val="sr-Cyrl-CS"/>
        </w:rPr>
        <w:t>пореске евазије</w:t>
      </w:r>
      <w:r w:rsidRPr="00FB5199">
        <w:rPr>
          <w:rFonts w:ascii="Times New Roman" w:hAnsi="Times New Roman"/>
          <w:sz w:val="24"/>
          <w:szCs w:val="24"/>
          <w:lang w:val="sr-Cyrl-CS"/>
        </w:rPr>
        <w:t xml:space="preserve"> </w:t>
      </w:r>
      <w:r>
        <w:rPr>
          <w:rFonts w:ascii="Times New Roman" w:hAnsi="Times New Roman"/>
          <w:sz w:val="24"/>
          <w:szCs w:val="24"/>
          <w:lang w:val="sr-Cyrl-CS"/>
        </w:rPr>
        <w:t>са различитих аспеката, свакако се може сматрати актуелном</w:t>
      </w:r>
      <w:r w:rsidRPr="00FB5199">
        <w:rPr>
          <w:rFonts w:ascii="Times New Roman" w:hAnsi="Times New Roman"/>
          <w:sz w:val="24"/>
          <w:szCs w:val="24"/>
          <w:lang w:val="sr-Cyrl-CS"/>
        </w:rPr>
        <w:t xml:space="preserve">. </w:t>
      </w:r>
    </w:p>
    <w:p w:rsidR="008A6F97" w:rsidRDefault="008A6F97" w:rsidP="00AB3B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lang w:val="sr-Cyrl-CS"/>
        </w:rPr>
      </w:pPr>
    </w:p>
    <w:p w:rsidR="00973633" w:rsidRDefault="00973633" w:rsidP="00AB3B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lang w:val="sr-Cyrl-CS"/>
        </w:rPr>
      </w:pPr>
    </w:p>
    <w:p w:rsidR="00A93941" w:rsidRDefault="00A93941" w:rsidP="00AB3B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lang w:val="sr-Cyrl-CS"/>
        </w:rPr>
      </w:pPr>
    </w:p>
    <w:p w:rsidR="00A93941" w:rsidRDefault="00A93941" w:rsidP="00AB3B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lang w:val="sr-Cyrl-CS"/>
        </w:rPr>
      </w:pPr>
    </w:p>
    <w:p w:rsidR="00A93941" w:rsidRDefault="00A93941" w:rsidP="00AB3B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lang w:val="sr-Cyrl-CS"/>
        </w:rPr>
      </w:pPr>
    </w:p>
    <w:p w:rsidR="00A22DD5" w:rsidRPr="00DF0EC1" w:rsidRDefault="00A22DD5" w:rsidP="00AB3B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lang w:val="sr-Cyrl-CS"/>
        </w:rPr>
      </w:pPr>
    </w:p>
    <w:p w:rsidR="009542F7" w:rsidRDefault="006F49F8" w:rsidP="006F49F8">
      <w:pPr>
        <w:jc w:val="center"/>
        <w:rPr>
          <w:rFonts w:ascii="Times New Roman" w:hAnsi="Times New Roman"/>
          <w:b/>
          <w:sz w:val="24"/>
          <w:szCs w:val="24"/>
          <w:lang w:val="sr-Cyrl-CS"/>
        </w:rPr>
      </w:pPr>
      <w:r>
        <w:rPr>
          <w:rFonts w:ascii="Times New Roman" w:hAnsi="Times New Roman"/>
          <w:b/>
          <w:sz w:val="24"/>
          <w:szCs w:val="24"/>
          <w:lang w:val="sr-Cyrl-CS"/>
        </w:rPr>
        <w:lastRenderedPageBreak/>
        <w:t>ДЕО ПРВИ</w:t>
      </w:r>
    </w:p>
    <w:p w:rsidR="006F49F8" w:rsidRPr="006F49F8" w:rsidRDefault="006F49F8" w:rsidP="006F49F8">
      <w:pPr>
        <w:jc w:val="center"/>
        <w:rPr>
          <w:rFonts w:ascii="Times New Roman" w:hAnsi="Times New Roman"/>
          <w:b/>
          <w:sz w:val="24"/>
          <w:szCs w:val="24"/>
          <w:lang w:val="sr-Cyrl-CS"/>
        </w:rPr>
      </w:pPr>
    </w:p>
    <w:p w:rsidR="00C73790" w:rsidRDefault="00C73790" w:rsidP="0077618E">
      <w:pPr>
        <w:jc w:val="center"/>
        <w:rPr>
          <w:rFonts w:ascii="Times New Roman" w:hAnsi="Times New Roman"/>
          <w:b/>
          <w:sz w:val="24"/>
          <w:szCs w:val="24"/>
          <w:lang w:val="sr-Cyrl-CS"/>
        </w:rPr>
      </w:pPr>
      <w:r w:rsidRPr="00C73790">
        <w:rPr>
          <w:rFonts w:ascii="Times New Roman" w:hAnsi="Times New Roman"/>
          <w:b/>
          <w:sz w:val="24"/>
          <w:szCs w:val="24"/>
        </w:rPr>
        <w:t xml:space="preserve">АНАЛИЗА СИСТЕМА ЈАВНИХ ПРИХОДА - ОПШТИ </w:t>
      </w:r>
      <w:r w:rsidRPr="00C73790">
        <w:rPr>
          <w:rFonts w:ascii="Times New Roman" w:hAnsi="Times New Roman"/>
          <w:b/>
          <w:sz w:val="24"/>
          <w:szCs w:val="24"/>
          <w:lang w:val="sr-Cyrl-CS"/>
        </w:rPr>
        <w:t xml:space="preserve">   </w:t>
      </w:r>
      <w:r w:rsidRPr="00C73790">
        <w:rPr>
          <w:rFonts w:ascii="Times New Roman" w:hAnsi="Times New Roman"/>
          <w:b/>
          <w:sz w:val="24"/>
          <w:szCs w:val="24"/>
        </w:rPr>
        <w:t>ОСВРТ</w:t>
      </w:r>
    </w:p>
    <w:p w:rsidR="006F49F8" w:rsidRPr="006F49F8" w:rsidRDefault="006F49F8" w:rsidP="009542F7">
      <w:pPr>
        <w:jc w:val="both"/>
        <w:rPr>
          <w:rFonts w:ascii="Times New Roman" w:hAnsi="Times New Roman"/>
          <w:b/>
          <w:sz w:val="24"/>
          <w:szCs w:val="24"/>
          <w:lang w:val="sr-Cyrl-CS"/>
        </w:rPr>
      </w:pPr>
    </w:p>
    <w:p w:rsidR="004F77E8" w:rsidRPr="00580B88" w:rsidRDefault="000A5A77" w:rsidP="0077618E">
      <w:pPr>
        <w:numPr>
          <w:ilvl w:val="0"/>
          <w:numId w:val="5"/>
        </w:numPr>
        <w:jc w:val="center"/>
        <w:rPr>
          <w:rFonts w:ascii="Times New Roman" w:hAnsi="Times New Roman"/>
          <w:b/>
          <w:i/>
          <w:sz w:val="28"/>
          <w:szCs w:val="28"/>
        </w:rPr>
      </w:pPr>
      <w:r w:rsidRPr="00580B88">
        <w:rPr>
          <w:rFonts w:ascii="Times New Roman" w:hAnsi="Times New Roman"/>
          <w:b/>
          <w:i/>
          <w:sz w:val="28"/>
          <w:szCs w:val="28"/>
          <w:lang w:val="sr-Cyrl-CS"/>
        </w:rPr>
        <w:t>Ј</w:t>
      </w:r>
      <w:r w:rsidR="000C642C" w:rsidRPr="00580B88">
        <w:rPr>
          <w:rFonts w:ascii="Times New Roman" w:hAnsi="Times New Roman"/>
          <w:b/>
          <w:i/>
          <w:sz w:val="28"/>
          <w:szCs w:val="28"/>
          <w:lang w:val="sr-Cyrl-CS"/>
        </w:rPr>
        <w:t>авни</w:t>
      </w:r>
      <w:r w:rsidRPr="00580B88">
        <w:rPr>
          <w:rFonts w:ascii="Times New Roman" w:hAnsi="Times New Roman"/>
          <w:b/>
          <w:i/>
          <w:sz w:val="28"/>
          <w:szCs w:val="28"/>
          <w:lang w:val="sr-Cyrl-CS"/>
        </w:rPr>
        <w:t xml:space="preserve"> приходи</w:t>
      </w:r>
      <w:r w:rsidR="006E7810" w:rsidRPr="00580B88">
        <w:rPr>
          <w:rFonts w:ascii="Times New Roman" w:hAnsi="Times New Roman"/>
          <w:b/>
          <w:i/>
          <w:sz w:val="28"/>
          <w:szCs w:val="28"/>
          <w:lang w:val="sr-Cyrl-CS"/>
        </w:rPr>
        <w:t xml:space="preserve"> </w:t>
      </w:r>
      <w:r w:rsidR="00CA3D71" w:rsidRPr="00580B88">
        <w:rPr>
          <w:rFonts w:ascii="Times New Roman" w:hAnsi="Times New Roman"/>
          <w:b/>
          <w:i/>
          <w:sz w:val="28"/>
          <w:szCs w:val="28"/>
          <w:lang w:val="sr-Cyrl-CS"/>
        </w:rPr>
        <w:t>-</w:t>
      </w:r>
      <w:r w:rsidR="006E7810" w:rsidRPr="00580B88">
        <w:rPr>
          <w:rFonts w:ascii="Times New Roman" w:hAnsi="Times New Roman"/>
          <w:b/>
          <w:i/>
          <w:sz w:val="28"/>
          <w:szCs w:val="28"/>
          <w:lang w:val="sr-Cyrl-CS"/>
        </w:rPr>
        <w:t xml:space="preserve"> </w:t>
      </w:r>
      <w:r w:rsidR="00CA3D71" w:rsidRPr="00580B88">
        <w:rPr>
          <w:rFonts w:ascii="Times New Roman" w:hAnsi="Times New Roman"/>
          <w:b/>
          <w:i/>
          <w:sz w:val="28"/>
          <w:szCs w:val="28"/>
          <w:lang w:val="sr-Cyrl-CS"/>
        </w:rPr>
        <w:t>структура и  карактеристике</w:t>
      </w:r>
    </w:p>
    <w:p w:rsidR="00220504" w:rsidRPr="00E70D08" w:rsidRDefault="00220504" w:rsidP="00220504">
      <w:pPr>
        <w:ind w:left="1069"/>
        <w:jc w:val="both"/>
        <w:rPr>
          <w:rFonts w:ascii="Times New Roman" w:hAnsi="Times New Roman"/>
          <w:b/>
          <w:i/>
          <w:sz w:val="24"/>
          <w:szCs w:val="24"/>
        </w:rPr>
      </w:pPr>
    </w:p>
    <w:p w:rsidR="00E9603D" w:rsidRPr="00294E4E" w:rsidRDefault="00787526" w:rsidP="00294E4E">
      <w:pPr>
        <w:numPr>
          <w:ilvl w:val="1"/>
          <w:numId w:val="5"/>
        </w:numPr>
        <w:jc w:val="center"/>
        <w:rPr>
          <w:rFonts w:ascii="Times New Roman" w:hAnsi="Times New Roman"/>
          <w:b/>
          <w:sz w:val="24"/>
          <w:szCs w:val="24"/>
        </w:rPr>
      </w:pPr>
      <w:r>
        <w:rPr>
          <w:rFonts w:ascii="Times New Roman" w:hAnsi="Times New Roman"/>
          <w:b/>
          <w:i/>
          <w:sz w:val="24"/>
          <w:szCs w:val="24"/>
          <w:lang w:val="sr-Cyrl-CS"/>
        </w:rPr>
        <w:t>Појам и врсте јавних прихода</w:t>
      </w:r>
    </w:p>
    <w:p w:rsidR="00294E4E" w:rsidRPr="00294E4E" w:rsidRDefault="00294E4E" w:rsidP="00294E4E">
      <w:pPr>
        <w:ind w:left="927"/>
        <w:rPr>
          <w:rFonts w:ascii="Times New Roman" w:hAnsi="Times New Roman"/>
          <w:b/>
          <w:sz w:val="24"/>
          <w:szCs w:val="24"/>
        </w:rPr>
      </w:pPr>
    </w:p>
    <w:p w:rsidR="00E86927" w:rsidRDefault="000C5807" w:rsidP="00E86927">
      <w:pPr>
        <w:ind w:firstLine="708"/>
        <w:jc w:val="both"/>
        <w:rPr>
          <w:rFonts w:ascii="Times New Roman" w:hAnsi="Times New Roman"/>
          <w:sz w:val="24"/>
          <w:szCs w:val="24"/>
          <w:lang w:val="sr-Cyrl-CS"/>
        </w:rPr>
      </w:pPr>
      <w:r>
        <w:rPr>
          <w:rFonts w:ascii="Times New Roman" w:hAnsi="Times New Roman"/>
          <w:sz w:val="24"/>
          <w:szCs w:val="24"/>
          <w:lang w:val="sr-Cyrl-CS"/>
        </w:rPr>
        <w:t>Функционисање државе одувек је било повезано са фина</w:t>
      </w:r>
      <w:r w:rsidR="00F45FF6">
        <w:rPr>
          <w:rFonts w:ascii="Times New Roman" w:hAnsi="Times New Roman"/>
          <w:sz w:val="24"/>
          <w:szCs w:val="24"/>
          <w:lang w:val="sr-Cyrl-CS"/>
        </w:rPr>
        <w:t xml:space="preserve">нсирањем њених јавних издатака. </w:t>
      </w:r>
      <w:r w:rsidR="00E86927">
        <w:rPr>
          <w:rFonts w:ascii="Times New Roman" w:hAnsi="Times New Roman"/>
          <w:sz w:val="24"/>
          <w:szCs w:val="24"/>
          <w:lang w:val="sr-Cyrl-CS"/>
        </w:rPr>
        <w:t xml:space="preserve">Најдоминантнији део у прикупљеним приходима за јавноправна тела, свакако припада пореским приходима. Због значаја пореских прихода у финансирању јавних потреба ова финансијска институција је изузетно актуелна у савременој теоријској и практичној литератури. Порези су не само главни извор јавних прихода него су најзначајнији инструмент фискалне, економске, социјалне и развојне политике. Уједно порези представљају најсложенију институцију у финансијама, која има не само правне и економске аспекте, него и бројне друге, попут психолошких и социолошких. Управо због тога њихово проучавање превазилази проблеме јавних финансија и отвара бројна питања економске, политичке, социолошке и психолошке природе.   </w:t>
      </w:r>
    </w:p>
    <w:p w:rsidR="00F45FF6" w:rsidRDefault="00F45FF6" w:rsidP="00F45FF6">
      <w:pPr>
        <w:ind w:firstLine="708"/>
        <w:jc w:val="both"/>
        <w:rPr>
          <w:rFonts w:ascii="Times New Roman" w:hAnsi="Times New Roman"/>
          <w:sz w:val="24"/>
          <w:szCs w:val="24"/>
          <w:lang w:val="sr-Cyrl-CS"/>
        </w:rPr>
      </w:pPr>
      <w:r>
        <w:rPr>
          <w:rFonts w:ascii="Times New Roman" w:hAnsi="Times New Roman"/>
          <w:sz w:val="24"/>
          <w:szCs w:val="24"/>
          <w:lang w:val="sr-Cyrl-CS"/>
        </w:rPr>
        <w:t xml:space="preserve">Научна дисциплина која се бави изучавањем свих питања која се односе на формирање и задовољавање јавних потреба, односно прикупљање, чување и расподелу прикупљених средстава, зове се друштвене или јавне финансије. </w:t>
      </w:r>
      <w:r w:rsidRPr="00C35979">
        <w:rPr>
          <w:rFonts w:ascii="Times New Roman" w:hAnsi="Times New Roman"/>
          <w:sz w:val="24"/>
          <w:szCs w:val="24"/>
          <w:lang w:val="sr-Cyrl-CS"/>
        </w:rPr>
        <w:t>У нашем</w:t>
      </w:r>
      <w:r>
        <w:rPr>
          <w:rFonts w:ascii="Times New Roman" w:hAnsi="Times New Roman"/>
          <w:sz w:val="24"/>
          <w:szCs w:val="24"/>
          <w:lang w:val="sr-Cyrl-CS"/>
        </w:rPr>
        <w:t xml:space="preserve"> привредном систему ову научну дисциплину треба назвати друштвене финансије односно финансијска економија због бројних дубоких промена, везаних за економско одумирање државе, јачање материјалне базе новог управљања капиталом предузећа, као и измена у финансијском систему и све веће улоге привреде.</w:t>
      </w:r>
      <w:r>
        <w:rPr>
          <w:rStyle w:val="FootnoteReference"/>
          <w:rFonts w:ascii="Times New Roman" w:hAnsi="Times New Roman"/>
          <w:sz w:val="24"/>
          <w:szCs w:val="24"/>
          <w:lang w:val="sr-Cyrl-CS"/>
        </w:rPr>
        <w:footnoteReference w:id="2"/>
      </w:r>
      <w:r>
        <w:rPr>
          <w:rFonts w:ascii="Times New Roman" w:hAnsi="Times New Roman"/>
          <w:sz w:val="24"/>
          <w:szCs w:val="24"/>
          <w:lang w:val="sr-Cyrl-CS"/>
        </w:rPr>
        <w:t xml:space="preserve"> </w:t>
      </w:r>
    </w:p>
    <w:p w:rsidR="003B393D" w:rsidRPr="003B393D" w:rsidRDefault="003B393D" w:rsidP="003B393D">
      <w:pPr>
        <w:ind w:firstLine="708"/>
        <w:jc w:val="both"/>
        <w:rPr>
          <w:rFonts w:ascii="Times New Roman" w:hAnsi="Times New Roman"/>
          <w:sz w:val="24"/>
          <w:szCs w:val="24"/>
          <w:lang w:val="sr-Cyrl-CS"/>
        </w:rPr>
      </w:pPr>
      <w:r>
        <w:rPr>
          <w:rFonts w:ascii="Times New Roman" w:hAnsi="Times New Roman"/>
          <w:sz w:val="24"/>
          <w:szCs w:val="24"/>
          <w:lang w:val="sr-Cyrl-CS"/>
        </w:rPr>
        <w:t xml:space="preserve">Јавни приходи спадају у основне институције јавних финансија. Финансијска делатност државе, односно активности државе на плану задовољења јавних потреба и прибављању новчаних средстава за њихово финансирање, обезбеђују материјалну основу за све остале државне активности: законодавну, извршну, судску управну, социјалну, здравствену, образовну и др. Имајући у виду велики обим средстава која се у савременим државама усмеравају кроз канале јавних финансија (између једне трећине и једне половине друштвеног производа) разумљива је потреба државе да благовремено осигурава довољне приходе ослањајући се, пре свега, на фискална давања. Постоје и други алтернативни извори прихода попут штампања новца, увођења накнада за робе и </w:t>
      </w:r>
      <w:r>
        <w:rPr>
          <w:rFonts w:ascii="Times New Roman" w:hAnsi="Times New Roman"/>
          <w:sz w:val="24"/>
          <w:szCs w:val="24"/>
          <w:lang w:val="sr-Cyrl-CS"/>
        </w:rPr>
        <w:lastRenderedPageBreak/>
        <w:t>услуге које држава пружа, позајмљивања државе, али од свих ових метода опорезивање је још увек најзначајнији извор државних прихода.</w:t>
      </w:r>
      <w:r>
        <w:rPr>
          <w:rStyle w:val="FootnoteReference"/>
          <w:rFonts w:ascii="Times New Roman" w:hAnsi="Times New Roman"/>
          <w:sz w:val="24"/>
          <w:szCs w:val="24"/>
          <w:lang w:val="sr-Cyrl-CS"/>
        </w:rPr>
        <w:footnoteReference w:id="3"/>
      </w:r>
      <w:r>
        <w:rPr>
          <w:rFonts w:ascii="Times New Roman" w:hAnsi="Times New Roman"/>
          <w:sz w:val="24"/>
          <w:szCs w:val="24"/>
          <w:lang w:val="sr-Cyrl-CS"/>
        </w:rPr>
        <w:t xml:space="preserve"> Према томе, финансијска делатност државе, као и других јавноправних тела, која је предмет проучавања </w:t>
      </w:r>
      <w:r w:rsidRPr="004F77E8">
        <w:rPr>
          <w:rFonts w:ascii="Times New Roman" w:hAnsi="Times New Roman"/>
          <w:b/>
          <w:i/>
          <w:sz w:val="24"/>
          <w:szCs w:val="24"/>
          <w:lang w:val="sr-Cyrl-CS"/>
        </w:rPr>
        <w:t xml:space="preserve"> </w:t>
      </w:r>
      <w:r>
        <w:rPr>
          <w:rFonts w:ascii="Times New Roman" w:hAnsi="Times New Roman"/>
          <w:sz w:val="24"/>
          <w:szCs w:val="24"/>
          <w:lang w:val="sr-Cyrl-CS"/>
        </w:rPr>
        <w:t xml:space="preserve">јавних финансија, има пре свега за циљ обезбеђивање јавних прихода ради финансирања јавних издатака.  </w:t>
      </w:r>
    </w:p>
    <w:p w:rsidR="0090407D" w:rsidRDefault="0090407D" w:rsidP="00673528">
      <w:pPr>
        <w:ind w:firstLine="708"/>
        <w:jc w:val="both"/>
        <w:rPr>
          <w:rFonts w:ascii="Times New Roman" w:hAnsi="Times New Roman"/>
          <w:sz w:val="24"/>
          <w:szCs w:val="24"/>
          <w:lang w:val="sr-Cyrl-CS"/>
        </w:rPr>
      </w:pPr>
      <w:r>
        <w:rPr>
          <w:rFonts w:ascii="Times New Roman" w:hAnsi="Times New Roman"/>
          <w:sz w:val="24"/>
          <w:szCs w:val="24"/>
          <w:lang w:val="sr-Cyrl-CS"/>
        </w:rPr>
        <w:t xml:space="preserve">Са развојем државе мењао се карактер </w:t>
      </w:r>
      <w:r w:rsidR="000D529F">
        <w:rPr>
          <w:rFonts w:ascii="Times New Roman" w:hAnsi="Times New Roman"/>
          <w:sz w:val="24"/>
          <w:szCs w:val="24"/>
          <w:lang w:val="sr-Cyrl-CS"/>
        </w:rPr>
        <w:t>јав</w:t>
      </w:r>
      <w:r>
        <w:rPr>
          <w:rFonts w:ascii="Times New Roman" w:hAnsi="Times New Roman"/>
          <w:sz w:val="24"/>
          <w:szCs w:val="24"/>
          <w:lang w:val="sr-Cyrl-CS"/>
        </w:rPr>
        <w:t>них</w:t>
      </w:r>
      <w:r w:rsidR="008F206C">
        <w:rPr>
          <w:rFonts w:ascii="Times New Roman" w:hAnsi="Times New Roman"/>
          <w:sz w:val="24"/>
          <w:szCs w:val="24"/>
          <w:lang w:val="sr-Cyrl-CS"/>
        </w:rPr>
        <w:t xml:space="preserve"> приход</w:t>
      </w:r>
      <w:r>
        <w:rPr>
          <w:rFonts w:ascii="Times New Roman" w:hAnsi="Times New Roman"/>
          <w:sz w:val="24"/>
          <w:szCs w:val="24"/>
          <w:lang w:val="sr-Cyrl-CS"/>
        </w:rPr>
        <w:t>а</w:t>
      </w:r>
      <w:r w:rsidR="002C2A16">
        <w:rPr>
          <w:rFonts w:ascii="Times New Roman" w:hAnsi="Times New Roman"/>
          <w:sz w:val="24"/>
          <w:szCs w:val="24"/>
          <w:lang w:val="sr-Cyrl-CS"/>
        </w:rPr>
        <w:t>.</w:t>
      </w:r>
      <w:r w:rsidR="00117B39">
        <w:rPr>
          <w:rStyle w:val="FootnoteReference"/>
          <w:rFonts w:ascii="Times New Roman" w:hAnsi="Times New Roman"/>
          <w:sz w:val="24"/>
          <w:szCs w:val="24"/>
          <w:lang w:val="sr-Cyrl-CS"/>
        </w:rPr>
        <w:footnoteReference w:id="4"/>
      </w:r>
      <w:r>
        <w:rPr>
          <w:rFonts w:ascii="Times New Roman" w:hAnsi="Times New Roman"/>
          <w:sz w:val="24"/>
          <w:szCs w:val="24"/>
          <w:lang w:val="sr-Cyrl-CS"/>
        </w:rPr>
        <w:t xml:space="preserve"> </w:t>
      </w:r>
      <w:r w:rsidR="00AE2C93">
        <w:rPr>
          <w:rFonts w:ascii="Times New Roman" w:hAnsi="Times New Roman"/>
          <w:sz w:val="24"/>
          <w:szCs w:val="24"/>
          <w:lang w:val="sr-Cyrl-CS"/>
        </w:rPr>
        <w:t>Јавни приходи у савременим државама се разликују од оних у робо</w:t>
      </w:r>
      <w:r w:rsidR="0018412D">
        <w:rPr>
          <w:rFonts w:ascii="Times New Roman" w:hAnsi="Times New Roman"/>
          <w:sz w:val="24"/>
          <w:szCs w:val="24"/>
          <w:lang w:val="sr-Cyrl-CS"/>
        </w:rPr>
        <w:t xml:space="preserve">власничким и феудалним државама и постали су редован извор финансирања. </w:t>
      </w:r>
      <w:r w:rsidR="00AE2C93">
        <w:rPr>
          <w:rFonts w:ascii="Times New Roman" w:hAnsi="Times New Roman"/>
          <w:sz w:val="24"/>
          <w:szCs w:val="24"/>
          <w:lang w:val="sr-Cyrl-CS"/>
        </w:rPr>
        <w:t>Јавн</w:t>
      </w:r>
      <w:r w:rsidR="0059781F">
        <w:rPr>
          <w:rFonts w:ascii="Times New Roman" w:hAnsi="Times New Roman"/>
          <w:sz w:val="24"/>
          <w:szCs w:val="24"/>
          <w:lang w:val="sr-Cyrl-CS"/>
        </w:rPr>
        <w:t>е функције, односно</w:t>
      </w:r>
      <w:r w:rsidR="00AE2C93">
        <w:rPr>
          <w:rFonts w:ascii="Times New Roman" w:hAnsi="Times New Roman"/>
          <w:sz w:val="24"/>
          <w:szCs w:val="24"/>
          <w:lang w:val="sr-Cyrl-CS"/>
        </w:rPr>
        <w:t xml:space="preserve"> расходи савр</w:t>
      </w:r>
      <w:r w:rsidR="0059781F">
        <w:rPr>
          <w:rFonts w:ascii="Times New Roman" w:hAnsi="Times New Roman"/>
          <w:sz w:val="24"/>
          <w:szCs w:val="24"/>
          <w:lang w:val="sr-Cyrl-CS"/>
        </w:rPr>
        <w:t>е</w:t>
      </w:r>
      <w:r w:rsidR="00AE2C93">
        <w:rPr>
          <w:rFonts w:ascii="Times New Roman" w:hAnsi="Times New Roman"/>
          <w:sz w:val="24"/>
          <w:szCs w:val="24"/>
          <w:lang w:val="sr-Cyrl-CS"/>
        </w:rPr>
        <w:t>мених држава су повећани, а самим тим је и повећана потреба за п</w:t>
      </w:r>
      <w:r w:rsidR="00AB75E6">
        <w:rPr>
          <w:rFonts w:ascii="Times New Roman" w:hAnsi="Times New Roman"/>
          <w:sz w:val="24"/>
          <w:szCs w:val="24"/>
          <w:lang w:val="sr-Cyrl-CS"/>
        </w:rPr>
        <w:t>р</w:t>
      </w:r>
      <w:r w:rsidR="00AE2C93">
        <w:rPr>
          <w:rFonts w:ascii="Times New Roman" w:hAnsi="Times New Roman"/>
          <w:sz w:val="24"/>
          <w:szCs w:val="24"/>
          <w:lang w:val="sr-Cyrl-CS"/>
        </w:rPr>
        <w:t xml:space="preserve">ибављањем средстава за задовољавање тих расхода. </w:t>
      </w:r>
      <w:r w:rsidR="0018412D">
        <w:rPr>
          <w:rFonts w:ascii="Times New Roman" w:hAnsi="Times New Roman"/>
          <w:sz w:val="24"/>
          <w:szCs w:val="24"/>
          <w:lang w:val="sr-Cyrl-CS"/>
        </w:rPr>
        <w:t>За разлику од</w:t>
      </w:r>
      <w:r w:rsidR="00AE2C93">
        <w:rPr>
          <w:rFonts w:ascii="Times New Roman" w:hAnsi="Times New Roman"/>
          <w:sz w:val="24"/>
          <w:szCs w:val="24"/>
          <w:lang w:val="sr-Cyrl-CS"/>
        </w:rPr>
        <w:t xml:space="preserve"> раније</w:t>
      </w:r>
      <w:r w:rsidR="0018412D">
        <w:rPr>
          <w:rFonts w:ascii="Times New Roman" w:hAnsi="Times New Roman"/>
          <w:sz w:val="24"/>
          <w:szCs w:val="24"/>
          <w:lang w:val="sr-Cyrl-CS"/>
        </w:rPr>
        <w:t xml:space="preserve"> готово неутралне улоге</w:t>
      </w:r>
      <w:r w:rsidR="00AE2C93">
        <w:rPr>
          <w:rFonts w:ascii="Times New Roman" w:hAnsi="Times New Roman"/>
          <w:sz w:val="24"/>
          <w:szCs w:val="24"/>
          <w:lang w:val="sr-Cyrl-CS"/>
        </w:rPr>
        <w:t xml:space="preserve"> државе у привреди (регулисање оптицаја новца, чувар реда, поретка, борба против монопола</w:t>
      </w:r>
      <w:r w:rsidR="0018412D">
        <w:rPr>
          <w:rFonts w:ascii="Times New Roman" w:hAnsi="Times New Roman"/>
          <w:sz w:val="24"/>
          <w:szCs w:val="24"/>
          <w:lang w:val="sr-Cyrl-CS"/>
        </w:rPr>
        <w:t xml:space="preserve"> и сл.</w:t>
      </w:r>
      <w:r w:rsidR="00AE2C93">
        <w:rPr>
          <w:rFonts w:ascii="Times New Roman" w:hAnsi="Times New Roman"/>
          <w:sz w:val="24"/>
          <w:szCs w:val="24"/>
          <w:lang w:val="sr-Cyrl-CS"/>
        </w:rPr>
        <w:t>), данас држава све више захвата национални доходак и врши разне производне и друге захвате у привреди. Снажно се развио државни интервенционизам у привреди. Тиме држава данас учестује не само у расподели већ и у стварању и прерасподели националног дохотка унутар привреде, увозу и извозу роба, новца, рада и капитала.</w:t>
      </w:r>
      <w:r w:rsidR="0059781F">
        <w:rPr>
          <w:rStyle w:val="FootnoteReference"/>
          <w:rFonts w:ascii="Times New Roman" w:hAnsi="Times New Roman"/>
          <w:sz w:val="24"/>
          <w:szCs w:val="24"/>
          <w:lang w:val="sr-Cyrl-CS"/>
        </w:rPr>
        <w:footnoteReference w:id="5"/>
      </w:r>
      <w:r w:rsidR="00AE2C93">
        <w:rPr>
          <w:rFonts w:ascii="Times New Roman" w:hAnsi="Times New Roman"/>
          <w:sz w:val="24"/>
          <w:szCs w:val="24"/>
          <w:lang w:val="sr-Cyrl-CS"/>
        </w:rPr>
        <w:t xml:space="preserve"> </w:t>
      </w:r>
      <w:r w:rsidR="0059781F">
        <w:rPr>
          <w:rFonts w:ascii="Times New Roman" w:hAnsi="Times New Roman"/>
          <w:sz w:val="24"/>
          <w:szCs w:val="24"/>
          <w:lang w:val="sr-Cyrl-CS"/>
        </w:rPr>
        <w:t xml:space="preserve">Отуда јавни </w:t>
      </w:r>
      <w:r w:rsidR="0072387B">
        <w:rPr>
          <w:rFonts w:ascii="Times New Roman" w:hAnsi="Times New Roman"/>
          <w:sz w:val="24"/>
          <w:szCs w:val="24"/>
          <w:lang w:val="sr-Cyrl-CS"/>
        </w:rPr>
        <w:t>приходи</w:t>
      </w:r>
      <w:r w:rsidR="0059781F">
        <w:rPr>
          <w:rFonts w:ascii="Times New Roman" w:hAnsi="Times New Roman"/>
          <w:sz w:val="24"/>
          <w:szCs w:val="24"/>
          <w:lang w:val="sr-Cyrl-CS"/>
        </w:rPr>
        <w:t xml:space="preserve"> утичу на прерасподелу националног дохотка, као и на</w:t>
      </w:r>
      <w:r w:rsidR="0072387B">
        <w:rPr>
          <w:rFonts w:ascii="Times New Roman" w:hAnsi="Times New Roman"/>
          <w:sz w:val="24"/>
          <w:szCs w:val="24"/>
          <w:lang w:val="sr-Cyrl-CS"/>
        </w:rPr>
        <w:t xml:space="preserve"> производњу, размену и потрошњу и формирају се углавном кроз систем расподеле и прерасподеле нацоналног дохотка. </w:t>
      </w:r>
      <w:r w:rsidR="0059781F">
        <w:rPr>
          <w:rFonts w:ascii="Times New Roman" w:hAnsi="Times New Roman"/>
          <w:sz w:val="24"/>
          <w:szCs w:val="24"/>
          <w:lang w:val="sr-Cyrl-CS"/>
        </w:rPr>
        <w:t xml:space="preserve"> </w:t>
      </w:r>
    </w:p>
    <w:p w:rsidR="00CD5B6F" w:rsidRDefault="00D813E5" w:rsidP="0090407D">
      <w:pPr>
        <w:ind w:firstLine="708"/>
        <w:jc w:val="both"/>
        <w:rPr>
          <w:rFonts w:ascii="Times New Roman" w:hAnsi="Times New Roman"/>
          <w:sz w:val="24"/>
          <w:szCs w:val="24"/>
          <w:lang w:val="sr-Cyrl-CS"/>
        </w:rPr>
      </w:pPr>
      <w:r>
        <w:rPr>
          <w:rFonts w:ascii="Times New Roman" w:hAnsi="Times New Roman"/>
          <w:sz w:val="24"/>
          <w:szCs w:val="24"/>
          <w:lang w:val="sr-Cyrl-CS"/>
        </w:rPr>
        <w:t xml:space="preserve">Међутим, њихова улога у савременој финансијској науци се не посматра само у контексту прикупљања и прерасподеле средстава, </w:t>
      </w:r>
      <w:r w:rsidR="004C74BB">
        <w:rPr>
          <w:rFonts w:ascii="Times New Roman" w:hAnsi="Times New Roman"/>
          <w:sz w:val="24"/>
          <w:szCs w:val="24"/>
          <w:lang w:val="sr-Cyrl-CS"/>
        </w:rPr>
        <w:t xml:space="preserve">него и у контексту остваривања нефискалних, економских и социјално-политичких циљева. </w:t>
      </w:r>
      <w:r>
        <w:rPr>
          <w:rFonts w:ascii="Times New Roman" w:hAnsi="Times New Roman"/>
          <w:sz w:val="24"/>
          <w:szCs w:val="24"/>
          <w:lang w:val="sr-Cyrl-CS"/>
        </w:rPr>
        <w:t xml:space="preserve"> </w:t>
      </w:r>
      <w:r w:rsidR="00CD5B6F">
        <w:rPr>
          <w:rFonts w:ascii="Times New Roman" w:hAnsi="Times New Roman"/>
          <w:sz w:val="24"/>
          <w:szCs w:val="24"/>
          <w:lang w:val="sr-Cyrl-CS"/>
        </w:rPr>
        <w:t>У савременим државама т</w:t>
      </w:r>
      <w:r w:rsidR="008F206C">
        <w:rPr>
          <w:rFonts w:ascii="Times New Roman" w:hAnsi="Times New Roman"/>
          <w:sz w:val="24"/>
          <w:szCs w:val="24"/>
          <w:lang w:val="sr-Cyrl-CS"/>
        </w:rPr>
        <w:t xml:space="preserve">о су приходи </w:t>
      </w:r>
      <w:r w:rsidR="00CD5B6F">
        <w:rPr>
          <w:rFonts w:ascii="Times New Roman" w:hAnsi="Times New Roman"/>
          <w:sz w:val="24"/>
          <w:szCs w:val="24"/>
          <w:lang w:val="sr-Cyrl-CS"/>
        </w:rPr>
        <w:t xml:space="preserve">који се убирају редовно </w:t>
      </w:r>
      <w:r w:rsidR="00113A68">
        <w:rPr>
          <w:rFonts w:ascii="Times New Roman" w:hAnsi="Times New Roman"/>
          <w:sz w:val="24"/>
          <w:szCs w:val="24"/>
          <w:lang w:val="sr-Cyrl-CS"/>
        </w:rPr>
        <w:t>годишње</w:t>
      </w:r>
      <w:r w:rsidR="00CD5B6F">
        <w:rPr>
          <w:rFonts w:ascii="Times New Roman" w:hAnsi="Times New Roman"/>
          <w:sz w:val="24"/>
          <w:szCs w:val="24"/>
          <w:lang w:val="sr-Cyrl-CS"/>
        </w:rPr>
        <w:t>,</w:t>
      </w:r>
      <w:r w:rsidR="008F206C">
        <w:rPr>
          <w:rFonts w:ascii="Times New Roman" w:hAnsi="Times New Roman"/>
          <w:sz w:val="24"/>
          <w:szCs w:val="24"/>
          <w:lang w:val="sr-Cyrl-CS"/>
        </w:rPr>
        <w:t xml:space="preserve"> у новцу</w:t>
      </w:r>
      <w:r w:rsidR="00113A68">
        <w:rPr>
          <w:rFonts w:ascii="Times New Roman" w:hAnsi="Times New Roman"/>
          <w:sz w:val="24"/>
          <w:szCs w:val="24"/>
          <w:lang w:val="sr-Cyrl-CS"/>
        </w:rPr>
        <w:t>, њихова обавезност је утврђена на основу устава и закона, немају тржишни карактер</w:t>
      </w:r>
      <w:r w:rsidR="008F206C">
        <w:rPr>
          <w:rFonts w:ascii="Times New Roman" w:hAnsi="Times New Roman"/>
          <w:sz w:val="24"/>
          <w:szCs w:val="24"/>
          <w:lang w:val="sr-Cyrl-CS"/>
        </w:rPr>
        <w:t xml:space="preserve"> и служе за подмиривање општедруштвених потреба.</w:t>
      </w:r>
    </w:p>
    <w:p w:rsidR="00575D37" w:rsidRDefault="00CA4231" w:rsidP="00575D37">
      <w:pPr>
        <w:ind w:firstLine="708"/>
        <w:jc w:val="both"/>
        <w:rPr>
          <w:rFonts w:ascii="Times New Roman" w:hAnsi="Times New Roman"/>
          <w:sz w:val="24"/>
          <w:szCs w:val="24"/>
          <w:lang w:val="sr-Cyrl-CS"/>
        </w:rPr>
      </w:pPr>
      <w:r>
        <w:rPr>
          <w:rFonts w:ascii="Times New Roman" w:hAnsi="Times New Roman"/>
          <w:sz w:val="24"/>
          <w:szCs w:val="24"/>
          <w:lang w:val="sr-Cyrl-CS"/>
        </w:rPr>
        <w:t>Јавни приходи из којих држава покрива своје расходе су пре свега</w:t>
      </w:r>
      <w:r w:rsidR="00575D37">
        <w:rPr>
          <w:rFonts w:ascii="Times New Roman" w:hAnsi="Times New Roman"/>
          <w:sz w:val="24"/>
          <w:szCs w:val="24"/>
          <w:lang w:val="sr-Cyrl-CS"/>
        </w:rPr>
        <w:t>:</w:t>
      </w:r>
      <w:r w:rsidR="00575D37">
        <w:rPr>
          <w:rStyle w:val="FootnoteReference"/>
          <w:rFonts w:ascii="Times New Roman" w:hAnsi="Times New Roman"/>
          <w:sz w:val="24"/>
          <w:szCs w:val="24"/>
          <w:lang w:val="sr-Cyrl-CS"/>
        </w:rPr>
        <w:footnoteReference w:id="6"/>
      </w:r>
      <w:r w:rsidR="00575D37">
        <w:rPr>
          <w:rFonts w:ascii="Times New Roman" w:hAnsi="Times New Roman"/>
          <w:sz w:val="24"/>
          <w:szCs w:val="24"/>
          <w:lang w:val="sr-Cyrl-CS"/>
        </w:rPr>
        <w:t xml:space="preserve"> </w:t>
      </w:r>
    </w:p>
    <w:p w:rsidR="00575D37" w:rsidRDefault="00CA4231" w:rsidP="008A3795">
      <w:pPr>
        <w:numPr>
          <w:ilvl w:val="0"/>
          <w:numId w:val="7"/>
        </w:numPr>
        <w:jc w:val="both"/>
        <w:rPr>
          <w:rFonts w:ascii="Times New Roman" w:hAnsi="Times New Roman"/>
          <w:sz w:val="24"/>
          <w:szCs w:val="24"/>
          <w:lang w:val="sr-Cyrl-CS"/>
        </w:rPr>
      </w:pPr>
      <w:r>
        <w:rPr>
          <w:rFonts w:ascii="Times New Roman" w:hAnsi="Times New Roman"/>
          <w:sz w:val="24"/>
          <w:szCs w:val="24"/>
          <w:lang w:val="sr-Cyrl-CS"/>
        </w:rPr>
        <w:t>порези</w:t>
      </w:r>
      <w:r w:rsidR="00575D37">
        <w:rPr>
          <w:rFonts w:ascii="Times New Roman" w:hAnsi="Times New Roman"/>
          <w:sz w:val="24"/>
          <w:szCs w:val="24"/>
          <w:lang w:val="sr-Cyrl-CS"/>
        </w:rPr>
        <w:t xml:space="preserve"> (ПДВ, пореза на имовину, пореза на добит, пореза на доходак)</w:t>
      </w:r>
      <w:r w:rsidR="003E37EC">
        <w:rPr>
          <w:rFonts w:ascii="Times New Roman" w:hAnsi="Times New Roman"/>
          <w:sz w:val="24"/>
          <w:szCs w:val="24"/>
        </w:rPr>
        <w:t>,</w:t>
      </w:r>
    </w:p>
    <w:p w:rsidR="00575D37" w:rsidRDefault="00CA4231" w:rsidP="008A3795">
      <w:pPr>
        <w:numPr>
          <w:ilvl w:val="0"/>
          <w:numId w:val="7"/>
        </w:numPr>
        <w:jc w:val="both"/>
        <w:rPr>
          <w:rFonts w:ascii="Times New Roman" w:hAnsi="Times New Roman"/>
          <w:sz w:val="24"/>
          <w:szCs w:val="24"/>
          <w:lang w:val="sr-Cyrl-CS"/>
        </w:rPr>
      </w:pPr>
      <w:r>
        <w:rPr>
          <w:rFonts w:ascii="Times New Roman" w:hAnsi="Times New Roman"/>
          <w:sz w:val="24"/>
          <w:szCs w:val="24"/>
          <w:lang w:val="sr-Cyrl-CS"/>
        </w:rPr>
        <w:t>акцизе</w:t>
      </w:r>
      <w:r w:rsidR="003E37EC">
        <w:rPr>
          <w:rFonts w:ascii="Times New Roman" w:hAnsi="Times New Roman"/>
          <w:sz w:val="24"/>
          <w:szCs w:val="24"/>
          <w:lang w:val="sr-Cyrl-CS"/>
        </w:rPr>
        <w:t>,</w:t>
      </w:r>
      <w:r w:rsidR="00575D37">
        <w:rPr>
          <w:rFonts w:ascii="Times New Roman" w:hAnsi="Times New Roman"/>
          <w:sz w:val="24"/>
          <w:szCs w:val="24"/>
          <w:lang w:val="sr-Cyrl-CS"/>
        </w:rPr>
        <w:t xml:space="preserve"> </w:t>
      </w:r>
    </w:p>
    <w:p w:rsidR="00575D37" w:rsidRDefault="00CA4231" w:rsidP="008A3795">
      <w:pPr>
        <w:numPr>
          <w:ilvl w:val="0"/>
          <w:numId w:val="7"/>
        </w:numPr>
        <w:jc w:val="both"/>
        <w:rPr>
          <w:rFonts w:ascii="Times New Roman" w:hAnsi="Times New Roman"/>
          <w:sz w:val="24"/>
          <w:szCs w:val="24"/>
          <w:lang w:val="sr-Cyrl-CS"/>
        </w:rPr>
      </w:pPr>
      <w:r>
        <w:rPr>
          <w:rFonts w:ascii="Times New Roman" w:hAnsi="Times New Roman"/>
          <w:sz w:val="24"/>
          <w:szCs w:val="24"/>
          <w:lang w:val="sr-Cyrl-CS"/>
        </w:rPr>
        <w:t>доприноси</w:t>
      </w:r>
      <w:r w:rsidR="003E37EC">
        <w:rPr>
          <w:rFonts w:ascii="Times New Roman" w:hAnsi="Times New Roman"/>
          <w:sz w:val="24"/>
          <w:szCs w:val="24"/>
          <w:lang w:val="sr-Cyrl-CS"/>
        </w:rPr>
        <w:t>,</w:t>
      </w:r>
    </w:p>
    <w:p w:rsidR="00575D37" w:rsidRDefault="00CA4231" w:rsidP="008A3795">
      <w:pPr>
        <w:numPr>
          <w:ilvl w:val="0"/>
          <w:numId w:val="7"/>
        </w:numPr>
        <w:jc w:val="both"/>
        <w:rPr>
          <w:rFonts w:ascii="Times New Roman" w:hAnsi="Times New Roman"/>
          <w:sz w:val="24"/>
          <w:szCs w:val="24"/>
          <w:lang w:val="sr-Cyrl-CS"/>
        </w:rPr>
      </w:pPr>
      <w:r>
        <w:rPr>
          <w:rFonts w:ascii="Times New Roman" w:hAnsi="Times New Roman"/>
          <w:sz w:val="24"/>
          <w:szCs w:val="24"/>
          <w:lang w:val="sr-Cyrl-CS"/>
        </w:rPr>
        <w:lastRenderedPageBreak/>
        <w:t>царине</w:t>
      </w:r>
      <w:r w:rsidR="003E37EC">
        <w:rPr>
          <w:rFonts w:ascii="Times New Roman" w:hAnsi="Times New Roman"/>
          <w:sz w:val="24"/>
          <w:szCs w:val="24"/>
          <w:lang w:val="sr-Cyrl-CS"/>
        </w:rPr>
        <w:t>,</w:t>
      </w:r>
    </w:p>
    <w:p w:rsidR="003E37EC" w:rsidRDefault="00CA4231" w:rsidP="008A3795">
      <w:pPr>
        <w:numPr>
          <w:ilvl w:val="0"/>
          <w:numId w:val="7"/>
        </w:numPr>
        <w:jc w:val="both"/>
        <w:rPr>
          <w:rFonts w:ascii="Times New Roman" w:hAnsi="Times New Roman"/>
          <w:sz w:val="24"/>
          <w:szCs w:val="24"/>
          <w:lang w:val="sr-Cyrl-CS"/>
        </w:rPr>
      </w:pPr>
      <w:r>
        <w:rPr>
          <w:rFonts w:ascii="Times New Roman" w:hAnsi="Times New Roman"/>
          <w:sz w:val="24"/>
          <w:szCs w:val="24"/>
          <w:lang w:val="sr-Cyrl-CS"/>
        </w:rPr>
        <w:t>таксе и парафискални приходи</w:t>
      </w:r>
      <w:r w:rsidR="003E37EC">
        <w:rPr>
          <w:rFonts w:ascii="Times New Roman" w:hAnsi="Times New Roman"/>
          <w:sz w:val="24"/>
          <w:szCs w:val="24"/>
          <w:lang w:val="sr-Cyrl-CS"/>
        </w:rPr>
        <w:t>.</w:t>
      </w:r>
    </w:p>
    <w:p w:rsidR="00E70D08" w:rsidRPr="003E37EC" w:rsidRDefault="00575D37" w:rsidP="003E37EC">
      <w:pPr>
        <w:ind w:firstLine="708"/>
        <w:jc w:val="both"/>
        <w:rPr>
          <w:rFonts w:ascii="Times New Roman" w:hAnsi="Times New Roman"/>
          <w:sz w:val="24"/>
          <w:szCs w:val="24"/>
          <w:lang w:val="sr-Cyrl-CS"/>
        </w:rPr>
      </w:pPr>
      <w:r>
        <w:rPr>
          <w:rFonts w:ascii="Times New Roman" w:hAnsi="Times New Roman"/>
          <w:sz w:val="24"/>
          <w:szCs w:val="24"/>
          <w:lang w:val="sr-Cyrl-CS"/>
        </w:rPr>
        <w:t>Нефи</w:t>
      </w:r>
      <w:r w:rsidR="003E37EC">
        <w:rPr>
          <w:rFonts w:ascii="Times New Roman" w:hAnsi="Times New Roman"/>
          <w:sz w:val="24"/>
          <w:szCs w:val="24"/>
          <w:lang w:val="sr-Cyrl-CS"/>
        </w:rPr>
        <w:t>ск</w:t>
      </w:r>
      <w:r>
        <w:rPr>
          <w:rFonts w:ascii="Times New Roman" w:hAnsi="Times New Roman"/>
          <w:sz w:val="24"/>
          <w:szCs w:val="24"/>
          <w:lang w:val="sr-Cyrl-CS"/>
        </w:rPr>
        <w:t xml:space="preserve">ални облици јавних прихода </w:t>
      </w:r>
      <w:r w:rsidR="00CA4231">
        <w:rPr>
          <w:rFonts w:ascii="Times New Roman" w:hAnsi="Times New Roman"/>
          <w:sz w:val="24"/>
          <w:szCs w:val="24"/>
          <w:lang w:val="sr-Cyrl-CS"/>
        </w:rPr>
        <w:t xml:space="preserve">до којих се долази посредним наметањем </w:t>
      </w:r>
      <w:r>
        <w:rPr>
          <w:rFonts w:ascii="Times New Roman" w:hAnsi="Times New Roman"/>
          <w:sz w:val="24"/>
          <w:szCs w:val="24"/>
          <w:lang w:val="sr-Cyrl-CS"/>
        </w:rPr>
        <w:t xml:space="preserve">могу бити у виду камата, прихода из јавне </w:t>
      </w:r>
      <w:r w:rsidR="00CA4231">
        <w:rPr>
          <w:rFonts w:ascii="Times New Roman" w:hAnsi="Times New Roman"/>
          <w:sz w:val="24"/>
          <w:szCs w:val="24"/>
          <w:lang w:val="sr-Cyrl-CS"/>
        </w:rPr>
        <w:t>имовине, јавног дуга и донација</w:t>
      </w:r>
      <w:r>
        <w:rPr>
          <w:rFonts w:ascii="Times New Roman" w:hAnsi="Times New Roman"/>
          <w:sz w:val="24"/>
          <w:szCs w:val="24"/>
          <w:lang w:val="sr-Cyrl-CS"/>
        </w:rPr>
        <w:t>.</w:t>
      </w:r>
      <w:r w:rsidR="003E37EC">
        <w:rPr>
          <w:rFonts w:ascii="Times New Roman" w:hAnsi="Times New Roman"/>
          <w:sz w:val="24"/>
          <w:szCs w:val="24"/>
          <w:lang w:val="sr-Cyrl-CS"/>
        </w:rPr>
        <w:t xml:space="preserve"> </w:t>
      </w:r>
    </w:p>
    <w:p w:rsidR="00C9572E" w:rsidRDefault="00C9572E" w:rsidP="00281F92">
      <w:pPr>
        <w:ind w:firstLine="708"/>
        <w:jc w:val="both"/>
        <w:rPr>
          <w:rFonts w:ascii="Times New Roman" w:hAnsi="Times New Roman"/>
          <w:sz w:val="24"/>
          <w:szCs w:val="24"/>
          <w:lang w:val="sr-Cyrl-CS"/>
        </w:rPr>
      </w:pPr>
      <w:r>
        <w:rPr>
          <w:rFonts w:ascii="Times New Roman" w:hAnsi="Times New Roman"/>
          <w:sz w:val="24"/>
          <w:szCs w:val="24"/>
          <w:lang w:val="sr-Cyrl-CS"/>
        </w:rPr>
        <w:t>У зависности од тога од којих критеријума се полази, разне су класификације које су заступљене у финансијској теорији.</w:t>
      </w:r>
      <w:r w:rsidR="00214465">
        <w:rPr>
          <w:rStyle w:val="FootnoteReference"/>
          <w:rFonts w:ascii="Times New Roman" w:hAnsi="Times New Roman"/>
          <w:sz w:val="24"/>
          <w:szCs w:val="24"/>
          <w:lang w:val="sr-Cyrl-CS"/>
        </w:rPr>
        <w:footnoteReference w:id="7"/>
      </w:r>
      <w:r>
        <w:rPr>
          <w:rFonts w:ascii="Times New Roman" w:hAnsi="Times New Roman"/>
          <w:sz w:val="24"/>
          <w:szCs w:val="24"/>
          <w:lang w:val="sr-Cyrl-CS"/>
        </w:rPr>
        <w:t xml:space="preserve"> </w:t>
      </w:r>
      <w:r w:rsidR="00424F18">
        <w:rPr>
          <w:rFonts w:ascii="Times New Roman" w:hAnsi="Times New Roman"/>
          <w:sz w:val="24"/>
          <w:szCs w:val="24"/>
          <w:lang w:val="sr-Cyrl-CS"/>
        </w:rPr>
        <w:t>Уобичајена је подела на следеће облике:</w:t>
      </w:r>
    </w:p>
    <w:p w:rsidR="00424F18" w:rsidRDefault="00424F18" w:rsidP="00885A8C">
      <w:pPr>
        <w:numPr>
          <w:ilvl w:val="0"/>
          <w:numId w:val="6"/>
        </w:numPr>
        <w:jc w:val="both"/>
        <w:rPr>
          <w:rFonts w:ascii="Times New Roman" w:hAnsi="Times New Roman"/>
          <w:sz w:val="24"/>
          <w:szCs w:val="24"/>
          <w:lang w:val="sr-Cyrl-CS"/>
        </w:rPr>
      </w:pPr>
      <w:r>
        <w:rPr>
          <w:rFonts w:ascii="Times New Roman" w:hAnsi="Times New Roman"/>
          <w:sz w:val="24"/>
          <w:szCs w:val="24"/>
          <w:lang w:val="sr-Cyrl-CS"/>
        </w:rPr>
        <w:t>Редовни и ванредни приходи</w:t>
      </w:r>
    </w:p>
    <w:p w:rsidR="00EE2D16" w:rsidRDefault="00FC6F2D" w:rsidP="00885A8C">
      <w:pPr>
        <w:numPr>
          <w:ilvl w:val="0"/>
          <w:numId w:val="6"/>
        </w:numPr>
        <w:jc w:val="both"/>
        <w:rPr>
          <w:rFonts w:ascii="Times New Roman" w:hAnsi="Times New Roman"/>
          <w:sz w:val="24"/>
          <w:szCs w:val="24"/>
          <w:lang w:val="sr-Cyrl-CS"/>
        </w:rPr>
      </w:pPr>
      <w:r>
        <w:rPr>
          <w:rFonts w:ascii="Times New Roman" w:hAnsi="Times New Roman"/>
          <w:sz w:val="24"/>
          <w:szCs w:val="24"/>
          <w:lang w:val="sr-Cyrl-CS"/>
        </w:rPr>
        <w:t>Оригинарни (</w:t>
      </w:r>
      <w:r w:rsidR="004745D3">
        <w:rPr>
          <w:rFonts w:ascii="Times New Roman" w:hAnsi="Times New Roman"/>
          <w:sz w:val="24"/>
          <w:szCs w:val="24"/>
          <w:lang w:val="sr-Cyrl-CS"/>
        </w:rPr>
        <w:t xml:space="preserve">изворни, </w:t>
      </w:r>
      <w:r>
        <w:rPr>
          <w:rFonts w:ascii="Times New Roman" w:hAnsi="Times New Roman"/>
          <w:sz w:val="24"/>
          <w:szCs w:val="24"/>
          <w:lang w:val="sr-Cyrl-CS"/>
        </w:rPr>
        <w:t>праватноправни, привредни) и дерив</w:t>
      </w:r>
      <w:r w:rsidR="00EE2D16">
        <w:rPr>
          <w:rFonts w:ascii="Times New Roman" w:hAnsi="Times New Roman"/>
          <w:sz w:val="24"/>
          <w:szCs w:val="24"/>
          <w:lang w:val="sr-Cyrl-CS"/>
        </w:rPr>
        <w:t xml:space="preserve">ативни </w:t>
      </w:r>
    </w:p>
    <w:p w:rsidR="00FC6F2D" w:rsidRDefault="00FC6F2D" w:rsidP="00EE2D16">
      <w:pPr>
        <w:ind w:left="1068"/>
        <w:jc w:val="both"/>
        <w:rPr>
          <w:rFonts w:ascii="Times New Roman" w:hAnsi="Times New Roman"/>
          <w:sz w:val="24"/>
          <w:szCs w:val="24"/>
          <w:lang w:val="sr-Cyrl-CS"/>
        </w:rPr>
      </w:pPr>
      <w:r>
        <w:rPr>
          <w:rFonts w:ascii="Times New Roman" w:hAnsi="Times New Roman"/>
          <w:sz w:val="24"/>
          <w:szCs w:val="24"/>
          <w:lang w:val="sr-Cyrl-CS"/>
        </w:rPr>
        <w:t xml:space="preserve">( </w:t>
      </w:r>
      <w:r w:rsidR="004745D3">
        <w:rPr>
          <w:rFonts w:ascii="Times New Roman" w:hAnsi="Times New Roman"/>
          <w:sz w:val="24"/>
          <w:szCs w:val="24"/>
          <w:lang w:val="sr-Cyrl-CS"/>
        </w:rPr>
        <w:t xml:space="preserve">изведени, </w:t>
      </w:r>
      <w:r>
        <w:rPr>
          <w:rFonts w:ascii="Times New Roman" w:hAnsi="Times New Roman"/>
          <w:sz w:val="24"/>
          <w:szCs w:val="24"/>
          <w:lang w:val="sr-Cyrl-CS"/>
        </w:rPr>
        <w:t>јавноправни, фискални)</w:t>
      </w:r>
    </w:p>
    <w:p w:rsidR="00FC6F2D" w:rsidRPr="007536E0" w:rsidRDefault="00FC6F2D" w:rsidP="00885A8C">
      <w:pPr>
        <w:numPr>
          <w:ilvl w:val="0"/>
          <w:numId w:val="6"/>
        </w:numPr>
        <w:jc w:val="both"/>
        <w:rPr>
          <w:rFonts w:ascii="Times New Roman" w:hAnsi="Times New Roman"/>
          <w:sz w:val="24"/>
          <w:szCs w:val="24"/>
          <w:lang w:val="sr-Cyrl-CS"/>
        </w:rPr>
      </w:pPr>
      <w:r>
        <w:rPr>
          <w:rFonts w:ascii="Times New Roman" w:hAnsi="Times New Roman"/>
          <w:sz w:val="24"/>
          <w:szCs w:val="24"/>
          <w:lang w:val="sr-Cyrl-CS"/>
        </w:rPr>
        <w:t>Приходи од становништа и од правних лица</w:t>
      </w:r>
    </w:p>
    <w:p w:rsidR="00FC6F2D" w:rsidRDefault="00FC6F2D" w:rsidP="00885A8C">
      <w:pPr>
        <w:numPr>
          <w:ilvl w:val="0"/>
          <w:numId w:val="6"/>
        </w:numPr>
        <w:jc w:val="both"/>
        <w:rPr>
          <w:rFonts w:ascii="Times New Roman" w:hAnsi="Times New Roman"/>
          <w:sz w:val="24"/>
          <w:szCs w:val="24"/>
          <w:lang w:val="sr-Cyrl-CS"/>
        </w:rPr>
      </w:pPr>
      <w:r>
        <w:rPr>
          <w:rFonts w:ascii="Times New Roman" w:hAnsi="Times New Roman"/>
          <w:sz w:val="24"/>
          <w:szCs w:val="24"/>
          <w:lang w:val="sr-Cyrl-CS"/>
        </w:rPr>
        <w:t xml:space="preserve">Приходи од ужих и </w:t>
      </w:r>
      <w:r w:rsidR="007536E0">
        <w:rPr>
          <w:rFonts w:ascii="Times New Roman" w:hAnsi="Times New Roman"/>
          <w:sz w:val="24"/>
          <w:szCs w:val="24"/>
          <w:lang w:val="sr-Cyrl-CS"/>
        </w:rPr>
        <w:t xml:space="preserve">приходи од </w:t>
      </w:r>
      <w:r>
        <w:rPr>
          <w:rFonts w:ascii="Times New Roman" w:hAnsi="Times New Roman"/>
          <w:sz w:val="24"/>
          <w:szCs w:val="24"/>
          <w:lang w:val="sr-Cyrl-CS"/>
        </w:rPr>
        <w:t>ширих територијалних заједница</w:t>
      </w:r>
    </w:p>
    <w:p w:rsidR="00363454" w:rsidRDefault="00363454" w:rsidP="00885A8C">
      <w:pPr>
        <w:numPr>
          <w:ilvl w:val="0"/>
          <w:numId w:val="6"/>
        </w:numPr>
        <w:jc w:val="both"/>
        <w:rPr>
          <w:rFonts w:ascii="Times New Roman" w:hAnsi="Times New Roman"/>
          <w:sz w:val="24"/>
          <w:szCs w:val="24"/>
          <w:lang w:val="sr-Cyrl-CS"/>
        </w:rPr>
      </w:pPr>
      <w:r>
        <w:rPr>
          <w:rFonts w:ascii="Times New Roman" w:hAnsi="Times New Roman"/>
          <w:sz w:val="24"/>
          <w:szCs w:val="24"/>
          <w:lang w:val="sr-Cyrl-CS"/>
        </w:rPr>
        <w:t>Наменски и ненаменски приходи</w:t>
      </w:r>
    </w:p>
    <w:p w:rsidR="00583FCD" w:rsidRDefault="00FC6F2D" w:rsidP="002C2A16">
      <w:pPr>
        <w:numPr>
          <w:ilvl w:val="0"/>
          <w:numId w:val="6"/>
        </w:numPr>
        <w:jc w:val="both"/>
        <w:rPr>
          <w:rFonts w:ascii="Times New Roman" w:hAnsi="Times New Roman"/>
          <w:sz w:val="24"/>
          <w:szCs w:val="24"/>
          <w:lang w:val="sr-Cyrl-CS"/>
        </w:rPr>
      </w:pPr>
      <w:r>
        <w:rPr>
          <w:rFonts w:ascii="Times New Roman" w:hAnsi="Times New Roman"/>
          <w:sz w:val="24"/>
          <w:szCs w:val="24"/>
          <w:lang w:val="sr-Cyrl-CS"/>
        </w:rPr>
        <w:t>Парафискалитети –</w:t>
      </w:r>
      <w:r w:rsidR="00FD02A8">
        <w:rPr>
          <w:rFonts w:ascii="Times New Roman" w:hAnsi="Times New Roman"/>
          <w:sz w:val="24"/>
          <w:szCs w:val="24"/>
          <w:lang w:val="sr-Cyrl-CS"/>
        </w:rPr>
        <w:t xml:space="preserve"> </w:t>
      </w:r>
      <w:r>
        <w:rPr>
          <w:rFonts w:ascii="Times New Roman" w:hAnsi="Times New Roman"/>
          <w:sz w:val="24"/>
          <w:szCs w:val="24"/>
          <w:lang w:val="sr-Cyrl-CS"/>
        </w:rPr>
        <w:t>као посебан облик прихода</w:t>
      </w:r>
    </w:p>
    <w:p w:rsidR="00583FCD" w:rsidRDefault="00583FCD" w:rsidP="0077618E">
      <w:pPr>
        <w:ind w:left="1068"/>
        <w:jc w:val="both"/>
        <w:rPr>
          <w:rFonts w:ascii="Times New Roman" w:hAnsi="Times New Roman"/>
          <w:sz w:val="24"/>
          <w:szCs w:val="24"/>
          <w:lang w:val="sr-Cyrl-CS"/>
        </w:rPr>
      </w:pPr>
    </w:p>
    <w:p w:rsidR="00FC6F2D" w:rsidRPr="003C798F" w:rsidRDefault="00FC6F2D" w:rsidP="003C798F">
      <w:pPr>
        <w:pStyle w:val="ListParagraph"/>
        <w:numPr>
          <w:ilvl w:val="2"/>
          <w:numId w:val="5"/>
        </w:numPr>
        <w:jc w:val="center"/>
        <w:rPr>
          <w:rFonts w:ascii="Times New Roman" w:hAnsi="Times New Roman"/>
          <w:b/>
          <w:sz w:val="24"/>
          <w:szCs w:val="24"/>
          <w:lang w:val="sr-Cyrl-CS"/>
        </w:rPr>
      </w:pPr>
      <w:r w:rsidRPr="003C798F">
        <w:rPr>
          <w:rFonts w:ascii="Times New Roman" w:hAnsi="Times New Roman"/>
          <w:b/>
          <w:sz w:val="24"/>
          <w:szCs w:val="24"/>
          <w:lang w:val="sr-Cyrl-CS"/>
        </w:rPr>
        <w:t>Редовни и ванредни јавни приходи</w:t>
      </w:r>
      <w:r w:rsidR="00CA4231">
        <w:rPr>
          <w:rFonts w:ascii="Times New Roman" w:hAnsi="Times New Roman"/>
          <w:b/>
          <w:sz w:val="24"/>
          <w:szCs w:val="24"/>
          <w:lang w:val="sr-Cyrl-CS"/>
        </w:rPr>
        <w:t xml:space="preserve"> </w:t>
      </w:r>
    </w:p>
    <w:p w:rsidR="0077618E" w:rsidRDefault="0077618E" w:rsidP="0077618E">
      <w:pPr>
        <w:ind w:left="1799"/>
        <w:rPr>
          <w:rFonts w:ascii="Times New Roman" w:hAnsi="Times New Roman"/>
          <w:b/>
          <w:sz w:val="24"/>
          <w:szCs w:val="24"/>
          <w:lang w:val="sr-Cyrl-CS"/>
        </w:rPr>
      </w:pPr>
    </w:p>
    <w:p w:rsidR="00F271F4" w:rsidRDefault="00F271F4" w:rsidP="00F271F4">
      <w:pPr>
        <w:ind w:firstLine="708"/>
        <w:jc w:val="both"/>
        <w:rPr>
          <w:rFonts w:ascii="Times New Roman" w:hAnsi="Times New Roman"/>
          <w:sz w:val="24"/>
          <w:szCs w:val="24"/>
          <w:lang w:val="sr-Cyrl-CS"/>
        </w:rPr>
      </w:pPr>
      <w:r>
        <w:rPr>
          <w:rFonts w:ascii="Times New Roman" w:hAnsi="Times New Roman"/>
          <w:sz w:val="24"/>
          <w:szCs w:val="24"/>
          <w:lang w:val="sr-Cyrl-CS"/>
        </w:rPr>
        <w:t xml:space="preserve">Према временском периоду у коме се појављују приходи се деле на редовне и ванредне. Временски периоди могу бити различити (месечни, тромесечни годишњи и сл.). За разлику до редовних прихода који се јављају редовно у одређеном периоду и као такви служе превасходно покрићу редовних, текућих финансијских потреба, ванредни приходи настају услед ванредних потреба, које настају у ванредним случајевима. </w:t>
      </w:r>
    </w:p>
    <w:p w:rsidR="00FC6F2D" w:rsidRDefault="00520DC0" w:rsidP="00F271F4">
      <w:pPr>
        <w:ind w:firstLine="708"/>
        <w:jc w:val="both"/>
        <w:rPr>
          <w:rFonts w:ascii="Times New Roman" w:hAnsi="Times New Roman"/>
          <w:sz w:val="24"/>
          <w:szCs w:val="24"/>
          <w:lang w:val="sr-Cyrl-CS"/>
        </w:rPr>
      </w:pPr>
      <w:r>
        <w:rPr>
          <w:rFonts w:ascii="Times New Roman" w:hAnsi="Times New Roman"/>
          <w:sz w:val="24"/>
          <w:szCs w:val="24"/>
          <w:lang w:val="sr-Cyrl-CS"/>
        </w:rPr>
        <w:t xml:space="preserve">Ако није могуће предвидети износ који је потребно обезбедити да би се подмирили расходи, односно ако се поједине потребе јављају с времена на време и не могу се предвидети, оне се подмирују из ванредних расхода државе. Ванредни приходи </w:t>
      </w:r>
      <w:r>
        <w:rPr>
          <w:rFonts w:ascii="Times New Roman" w:hAnsi="Times New Roman"/>
          <w:sz w:val="24"/>
          <w:szCs w:val="24"/>
          <w:lang w:val="sr-Cyrl-CS"/>
        </w:rPr>
        <w:lastRenderedPageBreak/>
        <w:t xml:space="preserve">се </w:t>
      </w:r>
      <w:r w:rsidR="005E4E43">
        <w:rPr>
          <w:rFonts w:ascii="Times New Roman" w:hAnsi="Times New Roman"/>
          <w:sz w:val="24"/>
          <w:szCs w:val="24"/>
          <w:lang w:val="sr-Cyrl-CS"/>
        </w:rPr>
        <w:t xml:space="preserve">по својој економској природи не обнављају из године у годину. </w:t>
      </w:r>
      <w:r>
        <w:rPr>
          <w:rFonts w:ascii="Times New Roman" w:hAnsi="Times New Roman"/>
          <w:sz w:val="24"/>
          <w:szCs w:val="24"/>
          <w:lang w:val="sr-Cyrl-CS"/>
        </w:rPr>
        <w:t>Порези и таксе спадају у редовне приходе, док су зајмови ванредни приходи</w:t>
      </w:r>
      <w:r w:rsidR="00F271F4">
        <w:rPr>
          <w:rFonts w:ascii="Times New Roman" w:hAnsi="Times New Roman"/>
          <w:sz w:val="24"/>
          <w:szCs w:val="24"/>
          <w:lang w:val="sr-Cyrl-CS"/>
        </w:rPr>
        <w:t>.</w:t>
      </w:r>
      <w:r w:rsidR="00D255B2">
        <w:rPr>
          <w:rStyle w:val="FootnoteReference"/>
          <w:rFonts w:ascii="Times New Roman" w:hAnsi="Times New Roman"/>
          <w:sz w:val="24"/>
          <w:szCs w:val="24"/>
          <w:lang w:val="sr-Cyrl-CS"/>
        </w:rPr>
        <w:footnoteReference w:id="8"/>
      </w:r>
    </w:p>
    <w:p w:rsidR="00580B88" w:rsidRDefault="00580B88" w:rsidP="00F271F4">
      <w:pPr>
        <w:ind w:firstLine="708"/>
        <w:jc w:val="both"/>
        <w:rPr>
          <w:rFonts w:ascii="Times New Roman" w:hAnsi="Times New Roman"/>
          <w:sz w:val="24"/>
          <w:szCs w:val="24"/>
          <w:lang w:val="sr-Cyrl-CS"/>
        </w:rPr>
      </w:pPr>
    </w:p>
    <w:p w:rsidR="00D255B2" w:rsidRDefault="00D255B2" w:rsidP="003C798F">
      <w:pPr>
        <w:numPr>
          <w:ilvl w:val="2"/>
          <w:numId w:val="5"/>
        </w:numPr>
        <w:jc w:val="center"/>
        <w:rPr>
          <w:rFonts w:ascii="Times New Roman" w:hAnsi="Times New Roman"/>
          <w:b/>
          <w:sz w:val="24"/>
          <w:szCs w:val="24"/>
          <w:lang w:val="sr-Cyrl-CS"/>
        </w:rPr>
      </w:pPr>
      <w:r w:rsidRPr="00D255B2">
        <w:rPr>
          <w:rFonts w:ascii="Times New Roman" w:hAnsi="Times New Roman"/>
          <w:b/>
          <w:sz w:val="24"/>
          <w:szCs w:val="24"/>
          <w:lang w:val="sr-Cyrl-CS"/>
        </w:rPr>
        <w:t>Оригинарни и деривативни јавни приходи</w:t>
      </w:r>
    </w:p>
    <w:p w:rsidR="00580B88" w:rsidRDefault="00580B88" w:rsidP="00580B88">
      <w:pPr>
        <w:ind w:left="1799"/>
        <w:jc w:val="both"/>
        <w:rPr>
          <w:rFonts w:ascii="Times New Roman" w:hAnsi="Times New Roman"/>
          <w:b/>
          <w:sz w:val="24"/>
          <w:szCs w:val="24"/>
          <w:lang w:val="sr-Cyrl-CS"/>
        </w:rPr>
      </w:pPr>
    </w:p>
    <w:p w:rsidR="00D255B2" w:rsidRDefault="00B04AE3" w:rsidP="004745D3">
      <w:pPr>
        <w:ind w:firstLine="567"/>
        <w:jc w:val="both"/>
        <w:rPr>
          <w:rFonts w:ascii="Times New Roman" w:hAnsi="Times New Roman"/>
          <w:sz w:val="24"/>
          <w:szCs w:val="24"/>
          <w:lang w:val="sr-Cyrl-CS"/>
        </w:rPr>
      </w:pPr>
      <w:r>
        <w:rPr>
          <w:rFonts w:ascii="Times New Roman" w:hAnsi="Times New Roman"/>
          <w:sz w:val="24"/>
          <w:szCs w:val="24"/>
          <w:lang w:val="sr-Cyrl-CS"/>
        </w:rPr>
        <w:t>Ова подела јавних прихода је базирана на</w:t>
      </w:r>
      <w:r w:rsidRPr="00B04AE3">
        <w:rPr>
          <w:rFonts w:ascii="Times New Roman" w:hAnsi="Times New Roman"/>
          <w:sz w:val="24"/>
          <w:szCs w:val="24"/>
          <w:lang w:val="sr-Cyrl-CS"/>
        </w:rPr>
        <w:t xml:space="preserve"> </w:t>
      </w:r>
      <w:r w:rsidR="003117E3">
        <w:rPr>
          <w:rFonts w:ascii="Times New Roman" w:hAnsi="Times New Roman"/>
          <w:sz w:val="24"/>
          <w:szCs w:val="24"/>
          <w:lang w:val="sr-Cyrl-CS"/>
        </w:rPr>
        <w:t>начину стицања права на</w:t>
      </w:r>
      <w:r>
        <w:rPr>
          <w:rFonts w:ascii="Times New Roman" w:hAnsi="Times New Roman"/>
          <w:sz w:val="24"/>
          <w:szCs w:val="24"/>
          <w:lang w:val="sr-Cyrl-CS"/>
        </w:rPr>
        <w:t xml:space="preserve"> јавне приходе. </w:t>
      </w:r>
      <w:r w:rsidR="00531948">
        <w:rPr>
          <w:rFonts w:ascii="Times New Roman" w:hAnsi="Times New Roman"/>
          <w:sz w:val="24"/>
          <w:szCs w:val="24"/>
          <w:lang w:val="sr-Cyrl-CS"/>
        </w:rPr>
        <w:t>Јавноправне (деривативне</w:t>
      </w:r>
      <w:r>
        <w:rPr>
          <w:rFonts w:ascii="Times New Roman" w:hAnsi="Times New Roman"/>
          <w:sz w:val="24"/>
          <w:szCs w:val="24"/>
          <w:lang w:val="sr-Cyrl-CS"/>
        </w:rPr>
        <w:t>)</w:t>
      </w:r>
      <w:r w:rsidR="00531948">
        <w:rPr>
          <w:rFonts w:ascii="Times New Roman" w:hAnsi="Times New Roman"/>
          <w:sz w:val="24"/>
          <w:szCs w:val="24"/>
          <w:lang w:val="sr-Cyrl-CS"/>
        </w:rPr>
        <w:t xml:space="preserve"> приходе</w:t>
      </w:r>
      <w:r>
        <w:rPr>
          <w:rFonts w:ascii="Times New Roman" w:hAnsi="Times New Roman"/>
          <w:sz w:val="24"/>
          <w:szCs w:val="24"/>
          <w:lang w:val="sr-Cyrl-CS"/>
        </w:rPr>
        <w:t xml:space="preserve"> држава, на основу свог im</w:t>
      </w:r>
      <w:r w:rsidR="008B5485">
        <w:rPr>
          <w:rFonts w:ascii="Times New Roman" w:hAnsi="Times New Roman"/>
          <w:sz w:val="24"/>
          <w:szCs w:val="24"/>
          <w:lang w:val="sr-Cyrl-CS"/>
        </w:rPr>
        <w:t xml:space="preserve">periuma, </w:t>
      </w:r>
      <w:r w:rsidR="00531948">
        <w:rPr>
          <w:rFonts w:ascii="Times New Roman" w:hAnsi="Times New Roman"/>
          <w:sz w:val="24"/>
          <w:szCs w:val="24"/>
          <w:lang w:val="sr-Cyrl-CS"/>
        </w:rPr>
        <w:t>прибавља</w:t>
      </w:r>
      <w:r>
        <w:rPr>
          <w:rFonts w:ascii="Times New Roman" w:hAnsi="Times New Roman"/>
          <w:sz w:val="24"/>
          <w:szCs w:val="24"/>
          <w:lang w:val="sr-Cyrl-CS"/>
        </w:rPr>
        <w:t xml:space="preserve"> од лица која су потчињена њеном фискалном суверенитету</w:t>
      </w:r>
      <w:r w:rsidR="00531948">
        <w:rPr>
          <w:rFonts w:ascii="Times New Roman" w:hAnsi="Times New Roman"/>
          <w:sz w:val="24"/>
          <w:szCs w:val="24"/>
          <w:lang w:val="sr-Cyrl-CS"/>
        </w:rPr>
        <w:t>, док приватноправне (оригинарне)</w:t>
      </w:r>
      <w:r>
        <w:rPr>
          <w:rFonts w:ascii="Times New Roman" w:hAnsi="Times New Roman"/>
          <w:sz w:val="24"/>
          <w:szCs w:val="24"/>
          <w:lang w:val="sr-Cyrl-CS"/>
        </w:rPr>
        <w:t xml:space="preserve"> држава остварује на приватноправној основи, исто онако као што би их остварили и други привредни субјекти.</w:t>
      </w:r>
      <w:r>
        <w:rPr>
          <w:rStyle w:val="FootnoteReference"/>
          <w:rFonts w:ascii="Times New Roman" w:hAnsi="Times New Roman"/>
          <w:sz w:val="24"/>
          <w:szCs w:val="24"/>
          <w:lang w:val="sr-Cyrl-CS"/>
        </w:rPr>
        <w:footnoteReference w:id="9"/>
      </w:r>
      <w:r w:rsidR="005967B1">
        <w:rPr>
          <w:rFonts w:ascii="Times New Roman" w:hAnsi="Times New Roman"/>
          <w:sz w:val="24"/>
          <w:szCs w:val="24"/>
          <w:lang w:val="sr-Cyrl-CS"/>
        </w:rPr>
        <w:t xml:space="preserve"> Оригинарни приходи углавном су приходи од државних предузећа и других облика државне активности. Држава </w:t>
      </w:r>
      <w:r w:rsidR="00C67D7F">
        <w:rPr>
          <w:rFonts w:ascii="Times New Roman" w:hAnsi="Times New Roman"/>
          <w:sz w:val="24"/>
          <w:szCs w:val="24"/>
          <w:lang w:val="sr-Cyrl-CS"/>
        </w:rPr>
        <w:t xml:space="preserve">обавља економску делатност и </w:t>
      </w:r>
      <w:r w:rsidR="005967B1">
        <w:rPr>
          <w:rFonts w:ascii="Times New Roman" w:hAnsi="Times New Roman"/>
          <w:sz w:val="24"/>
          <w:szCs w:val="24"/>
          <w:lang w:val="sr-Cyrl-CS"/>
        </w:rPr>
        <w:t>оригинарни приход</w:t>
      </w:r>
      <w:r w:rsidR="00C67D7F">
        <w:rPr>
          <w:rFonts w:ascii="Times New Roman" w:hAnsi="Times New Roman"/>
          <w:sz w:val="24"/>
          <w:szCs w:val="24"/>
          <w:lang w:val="sr-Cyrl-CS"/>
        </w:rPr>
        <w:t xml:space="preserve"> остварује из државне имовине или државних предузећа</w:t>
      </w:r>
      <w:r w:rsidR="005967B1">
        <w:rPr>
          <w:rFonts w:ascii="Times New Roman" w:hAnsi="Times New Roman"/>
          <w:sz w:val="24"/>
          <w:szCs w:val="24"/>
          <w:lang w:val="sr-Cyrl-CS"/>
        </w:rPr>
        <w:t>.</w:t>
      </w:r>
      <w:r w:rsidR="004745D3">
        <w:rPr>
          <w:rFonts w:ascii="Times New Roman" w:hAnsi="Times New Roman"/>
          <w:sz w:val="24"/>
          <w:szCs w:val="24"/>
          <w:lang w:val="sr-Cyrl-CS"/>
        </w:rPr>
        <w:t xml:space="preserve"> Деривативни или изведени приходи су због тога што их држава изводи из оствареног дохотка </w:t>
      </w:r>
      <w:r w:rsidR="00C67D7F">
        <w:rPr>
          <w:rFonts w:ascii="Times New Roman" w:hAnsi="Times New Roman"/>
          <w:sz w:val="24"/>
          <w:szCs w:val="24"/>
          <w:lang w:val="sr-Cyrl-CS"/>
        </w:rPr>
        <w:t>пореских обвез</w:t>
      </w:r>
      <w:r w:rsidR="009F74D4">
        <w:rPr>
          <w:rFonts w:ascii="Times New Roman" w:hAnsi="Times New Roman"/>
          <w:sz w:val="24"/>
          <w:szCs w:val="24"/>
          <w:lang w:val="sr-Cyrl-CS"/>
        </w:rPr>
        <w:t>н</w:t>
      </w:r>
      <w:r w:rsidR="00C67D7F">
        <w:rPr>
          <w:rFonts w:ascii="Times New Roman" w:hAnsi="Times New Roman"/>
          <w:sz w:val="24"/>
          <w:szCs w:val="24"/>
          <w:lang w:val="sr-Cyrl-CS"/>
        </w:rPr>
        <w:t>ика</w:t>
      </w:r>
      <w:r w:rsidR="004745D3">
        <w:rPr>
          <w:rFonts w:ascii="Times New Roman" w:hAnsi="Times New Roman"/>
          <w:sz w:val="24"/>
          <w:szCs w:val="24"/>
          <w:lang w:val="sr-Cyrl-CS"/>
        </w:rPr>
        <w:t>.</w:t>
      </w:r>
      <w:r w:rsidR="00C67D7F">
        <w:rPr>
          <w:rStyle w:val="FootnoteReference"/>
          <w:rFonts w:ascii="Times New Roman" w:hAnsi="Times New Roman"/>
          <w:sz w:val="24"/>
          <w:szCs w:val="24"/>
          <w:lang w:val="sr-Cyrl-CS"/>
        </w:rPr>
        <w:footnoteReference w:id="10"/>
      </w:r>
      <w:r w:rsidR="00C67D7F">
        <w:rPr>
          <w:rFonts w:ascii="Times New Roman" w:hAnsi="Times New Roman"/>
          <w:sz w:val="24"/>
          <w:szCs w:val="24"/>
          <w:lang w:val="sr-Cyrl-CS"/>
        </w:rPr>
        <w:t xml:space="preserve"> </w:t>
      </w:r>
      <w:r w:rsidR="004745D3">
        <w:rPr>
          <w:rFonts w:ascii="Times New Roman" w:hAnsi="Times New Roman"/>
          <w:sz w:val="24"/>
          <w:szCs w:val="24"/>
          <w:lang w:val="sr-Cyrl-CS"/>
        </w:rPr>
        <w:t xml:space="preserve"> Основни облици ових прихода су: порези, доприноси и таксе. </w:t>
      </w:r>
      <w:r w:rsidR="00C67D7F">
        <w:rPr>
          <w:rFonts w:ascii="Times New Roman" w:hAnsi="Times New Roman"/>
          <w:sz w:val="24"/>
          <w:szCs w:val="24"/>
          <w:lang w:val="sr-Cyrl-CS"/>
        </w:rPr>
        <w:t xml:space="preserve">  </w:t>
      </w:r>
    </w:p>
    <w:p w:rsidR="005D43E0" w:rsidRDefault="008B5485" w:rsidP="004745D3">
      <w:pPr>
        <w:ind w:firstLine="567"/>
        <w:jc w:val="both"/>
        <w:rPr>
          <w:rFonts w:ascii="Times New Roman" w:hAnsi="Times New Roman"/>
          <w:sz w:val="24"/>
          <w:szCs w:val="24"/>
          <w:lang w:val="sr-Cyrl-CS"/>
        </w:rPr>
      </w:pPr>
      <w:r>
        <w:rPr>
          <w:rFonts w:ascii="Times New Roman" w:hAnsi="Times New Roman"/>
          <w:sz w:val="24"/>
          <w:szCs w:val="24"/>
          <w:lang w:val="sr-Cyrl-CS"/>
        </w:rPr>
        <w:t>Код деривативних (јавноправних) прихода р</w:t>
      </w:r>
      <w:r w:rsidR="005D43E0">
        <w:rPr>
          <w:rFonts w:ascii="Times New Roman" w:hAnsi="Times New Roman"/>
          <w:sz w:val="24"/>
          <w:szCs w:val="24"/>
          <w:lang w:val="sr-Cyrl-CS"/>
        </w:rPr>
        <w:t>азликују се два начина наметања обавезе</w:t>
      </w:r>
      <w:r>
        <w:rPr>
          <w:rFonts w:ascii="Times New Roman" w:hAnsi="Times New Roman"/>
          <w:sz w:val="24"/>
          <w:szCs w:val="24"/>
          <w:lang w:val="sr-Cyrl-CS"/>
        </w:rPr>
        <w:t xml:space="preserve"> плаћања и то непосредним наметањем и посредним наметањем. </w:t>
      </w:r>
      <w:r w:rsidR="00531948">
        <w:rPr>
          <w:rFonts w:ascii="Times New Roman" w:hAnsi="Times New Roman"/>
          <w:sz w:val="24"/>
          <w:szCs w:val="24"/>
          <w:lang w:val="sr-Cyrl-CS"/>
        </w:rPr>
        <w:t>Према томе</w:t>
      </w:r>
      <w:r w:rsidR="005D43E0">
        <w:rPr>
          <w:rFonts w:ascii="Times New Roman" w:hAnsi="Times New Roman"/>
          <w:sz w:val="24"/>
          <w:szCs w:val="24"/>
          <w:lang w:val="sr-Cyrl-CS"/>
        </w:rPr>
        <w:t>, јавноправни приходи се могу обезбедити:</w:t>
      </w:r>
    </w:p>
    <w:p w:rsidR="005D43E0" w:rsidRPr="00FE04D7" w:rsidRDefault="008B5485" w:rsidP="008A3795">
      <w:pPr>
        <w:pStyle w:val="ListParagraph"/>
        <w:numPr>
          <w:ilvl w:val="0"/>
          <w:numId w:val="62"/>
        </w:numPr>
        <w:jc w:val="both"/>
        <w:rPr>
          <w:rFonts w:ascii="Times New Roman" w:hAnsi="Times New Roman"/>
          <w:sz w:val="24"/>
          <w:szCs w:val="24"/>
          <w:lang w:val="sr-Cyrl-CS"/>
        </w:rPr>
      </w:pPr>
      <w:r w:rsidRPr="00FE04D7">
        <w:rPr>
          <w:rFonts w:ascii="Times New Roman" w:hAnsi="Times New Roman"/>
          <w:sz w:val="24"/>
          <w:szCs w:val="24"/>
          <w:lang w:val="sr-Cyrl-CS"/>
        </w:rPr>
        <w:t>н</w:t>
      </w:r>
      <w:r w:rsidR="005D43E0" w:rsidRPr="00FE04D7">
        <w:rPr>
          <w:rFonts w:ascii="Times New Roman" w:hAnsi="Times New Roman"/>
          <w:sz w:val="24"/>
          <w:szCs w:val="24"/>
          <w:lang w:val="sr-Cyrl-CS"/>
        </w:rPr>
        <w:t>епосредним на</w:t>
      </w:r>
      <w:r w:rsidR="00531948" w:rsidRPr="00FE04D7">
        <w:rPr>
          <w:rFonts w:ascii="Times New Roman" w:hAnsi="Times New Roman"/>
          <w:sz w:val="24"/>
          <w:szCs w:val="24"/>
          <w:lang w:val="sr-Cyrl-CS"/>
        </w:rPr>
        <w:t>метањем обавезе плаћања лицима која су потчињена фискалном суверенитету државе и к</w:t>
      </w:r>
      <w:r w:rsidR="005D43E0" w:rsidRPr="00FE04D7">
        <w:rPr>
          <w:rFonts w:ascii="Times New Roman" w:hAnsi="Times New Roman"/>
          <w:sz w:val="24"/>
          <w:szCs w:val="24"/>
          <w:lang w:val="sr-Cyrl-CS"/>
        </w:rPr>
        <w:t xml:space="preserve">оја се нађу у </w:t>
      </w:r>
      <w:r w:rsidR="00531948" w:rsidRPr="00FE04D7">
        <w:rPr>
          <w:rFonts w:ascii="Times New Roman" w:hAnsi="Times New Roman"/>
          <w:sz w:val="24"/>
          <w:szCs w:val="24"/>
          <w:lang w:val="sr-Cyrl-CS"/>
        </w:rPr>
        <w:t>законом предвиђеној ситуацији</w:t>
      </w:r>
      <w:r w:rsidR="005D43E0" w:rsidRPr="00FE04D7">
        <w:rPr>
          <w:rFonts w:ascii="Times New Roman" w:hAnsi="Times New Roman"/>
          <w:sz w:val="24"/>
          <w:szCs w:val="24"/>
          <w:lang w:val="sr-Cyrl-CS"/>
        </w:rPr>
        <w:t>. Тада су у питању дажбинск</w:t>
      </w:r>
      <w:r w:rsidRPr="00FE04D7">
        <w:rPr>
          <w:rFonts w:ascii="Times New Roman" w:hAnsi="Times New Roman"/>
          <w:sz w:val="24"/>
          <w:szCs w:val="24"/>
          <w:lang w:val="sr-Cyrl-CS"/>
        </w:rPr>
        <w:t>и (фискални) јавни приходи и</w:t>
      </w:r>
    </w:p>
    <w:p w:rsidR="008B5485" w:rsidRPr="00FE04D7" w:rsidRDefault="008B5485" w:rsidP="008A3795">
      <w:pPr>
        <w:pStyle w:val="ListParagraph"/>
        <w:numPr>
          <w:ilvl w:val="0"/>
          <w:numId w:val="62"/>
        </w:numPr>
        <w:jc w:val="both"/>
        <w:rPr>
          <w:rFonts w:ascii="Times New Roman" w:hAnsi="Times New Roman"/>
          <w:sz w:val="24"/>
          <w:szCs w:val="24"/>
          <w:lang w:val="sr-Cyrl-CS"/>
        </w:rPr>
      </w:pPr>
      <w:r w:rsidRPr="00FE04D7">
        <w:rPr>
          <w:rFonts w:ascii="Times New Roman" w:hAnsi="Times New Roman"/>
          <w:sz w:val="24"/>
          <w:szCs w:val="24"/>
          <w:lang w:val="sr-Cyrl-CS"/>
        </w:rPr>
        <w:t>по</w:t>
      </w:r>
      <w:r w:rsidR="00531948" w:rsidRPr="00FE04D7">
        <w:rPr>
          <w:rFonts w:ascii="Times New Roman" w:hAnsi="Times New Roman"/>
          <w:sz w:val="24"/>
          <w:szCs w:val="24"/>
          <w:lang w:val="sr-Cyrl-CS"/>
        </w:rPr>
        <w:t>средним наметањем</w:t>
      </w:r>
      <w:r w:rsidRPr="00FE04D7">
        <w:rPr>
          <w:rFonts w:ascii="Times New Roman" w:hAnsi="Times New Roman"/>
          <w:sz w:val="24"/>
          <w:szCs w:val="24"/>
          <w:lang w:val="sr-Cyrl-CS"/>
        </w:rPr>
        <w:t xml:space="preserve"> </w:t>
      </w:r>
      <w:r w:rsidR="00FE04D7" w:rsidRPr="00FE04D7">
        <w:rPr>
          <w:rFonts w:ascii="Times New Roman" w:hAnsi="Times New Roman"/>
          <w:sz w:val="24"/>
          <w:szCs w:val="24"/>
          <w:lang w:val="sr-Cyrl-CS"/>
        </w:rPr>
        <w:t xml:space="preserve">чији је основ за убирање изречена казна лицу у кривичном, прекршајном и другом поступку које је прекршило одређени пропис и </w:t>
      </w:r>
      <w:r w:rsidRPr="00FE04D7">
        <w:rPr>
          <w:rFonts w:ascii="Times New Roman" w:hAnsi="Times New Roman"/>
          <w:sz w:val="24"/>
          <w:szCs w:val="24"/>
          <w:lang w:val="sr-Cyrl-CS"/>
        </w:rPr>
        <w:t>ту спадају новчане казне изречене у кривичном и прекршајном и другом поступку који се води пред државним органом,</w:t>
      </w:r>
      <w:r w:rsidR="00FE04D7" w:rsidRPr="00FE04D7">
        <w:rPr>
          <w:rFonts w:ascii="Times New Roman" w:hAnsi="Times New Roman"/>
          <w:sz w:val="24"/>
          <w:szCs w:val="24"/>
          <w:lang w:val="sr-Cyrl-CS"/>
        </w:rPr>
        <w:t xml:space="preserve"> као и одузета имовинска корист</w:t>
      </w:r>
      <w:r w:rsidRPr="00FE04D7">
        <w:rPr>
          <w:rFonts w:ascii="Times New Roman" w:hAnsi="Times New Roman"/>
          <w:sz w:val="24"/>
          <w:szCs w:val="24"/>
          <w:lang w:val="sr-Cyrl-CS"/>
        </w:rPr>
        <w:t>.</w:t>
      </w:r>
      <w:r>
        <w:rPr>
          <w:rStyle w:val="FootnoteReference"/>
          <w:rFonts w:ascii="Times New Roman" w:hAnsi="Times New Roman"/>
          <w:sz w:val="24"/>
          <w:szCs w:val="24"/>
          <w:lang w:val="sr-Cyrl-CS"/>
        </w:rPr>
        <w:footnoteReference w:id="11"/>
      </w:r>
    </w:p>
    <w:p w:rsidR="008B5485" w:rsidRDefault="008B5485" w:rsidP="008B5485">
      <w:pPr>
        <w:ind w:firstLine="567"/>
        <w:jc w:val="both"/>
        <w:rPr>
          <w:rFonts w:ascii="Times New Roman" w:hAnsi="Times New Roman"/>
          <w:sz w:val="24"/>
          <w:szCs w:val="24"/>
          <w:lang w:val="sr-Cyrl-CS"/>
        </w:rPr>
      </w:pPr>
      <w:r>
        <w:rPr>
          <w:rFonts w:ascii="Times New Roman" w:hAnsi="Times New Roman"/>
          <w:sz w:val="24"/>
          <w:szCs w:val="24"/>
          <w:lang w:val="sr-Cyrl-CS"/>
        </w:rPr>
        <w:t>Оригинарни (приватноправни) приходи обухватају:</w:t>
      </w:r>
    </w:p>
    <w:p w:rsidR="008B5485" w:rsidRPr="00FE04D7" w:rsidRDefault="008B5485" w:rsidP="008A3795">
      <w:pPr>
        <w:pStyle w:val="ListParagraph"/>
        <w:numPr>
          <w:ilvl w:val="0"/>
          <w:numId w:val="62"/>
        </w:numPr>
        <w:jc w:val="both"/>
        <w:rPr>
          <w:rFonts w:ascii="Times New Roman" w:hAnsi="Times New Roman"/>
          <w:sz w:val="24"/>
          <w:szCs w:val="24"/>
          <w:lang w:val="sr-Cyrl-CS"/>
        </w:rPr>
      </w:pPr>
      <w:r w:rsidRPr="00FE04D7">
        <w:rPr>
          <w:rFonts w:ascii="Times New Roman" w:hAnsi="Times New Roman"/>
          <w:sz w:val="24"/>
          <w:szCs w:val="24"/>
          <w:lang w:val="sr-Cyrl-CS"/>
        </w:rPr>
        <w:t>донације од иностраних држ</w:t>
      </w:r>
      <w:r w:rsidR="00FE04D7">
        <w:rPr>
          <w:rFonts w:ascii="Times New Roman" w:hAnsi="Times New Roman"/>
          <w:sz w:val="24"/>
          <w:szCs w:val="24"/>
          <w:lang w:val="sr-Cyrl-CS"/>
        </w:rPr>
        <w:t xml:space="preserve">ава и међународних организација, као и </w:t>
      </w:r>
      <w:r w:rsidRPr="00FE04D7">
        <w:rPr>
          <w:rFonts w:ascii="Times New Roman" w:hAnsi="Times New Roman"/>
          <w:sz w:val="24"/>
          <w:szCs w:val="24"/>
          <w:lang w:val="sr-Cyrl-CS"/>
        </w:rPr>
        <w:t>донације од физичких лица;</w:t>
      </w:r>
    </w:p>
    <w:p w:rsidR="008B5485" w:rsidRPr="00FE04D7" w:rsidRDefault="008B5485" w:rsidP="008A3795">
      <w:pPr>
        <w:pStyle w:val="ListParagraph"/>
        <w:numPr>
          <w:ilvl w:val="0"/>
          <w:numId w:val="62"/>
        </w:numPr>
        <w:jc w:val="both"/>
        <w:rPr>
          <w:rFonts w:ascii="Times New Roman" w:hAnsi="Times New Roman"/>
          <w:sz w:val="24"/>
          <w:szCs w:val="24"/>
          <w:lang w:val="sr-Cyrl-CS"/>
        </w:rPr>
      </w:pPr>
      <w:r w:rsidRPr="00FE04D7">
        <w:rPr>
          <w:rFonts w:ascii="Times New Roman" w:hAnsi="Times New Roman"/>
          <w:sz w:val="24"/>
          <w:szCs w:val="24"/>
          <w:lang w:val="sr-Cyrl-CS"/>
        </w:rPr>
        <w:t>приходе од имовине и то:</w:t>
      </w:r>
    </w:p>
    <w:p w:rsidR="008B5485" w:rsidRDefault="008B5485" w:rsidP="008B5485">
      <w:pPr>
        <w:ind w:left="1287"/>
        <w:jc w:val="both"/>
        <w:rPr>
          <w:rFonts w:ascii="Times New Roman" w:hAnsi="Times New Roman"/>
          <w:sz w:val="24"/>
          <w:szCs w:val="24"/>
          <w:lang w:val="sr-Cyrl-CS"/>
        </w:rPr>
      </w:pPr>
      <w:r>
        <w:rPr>
          <w:rFonts w:ascii="Times New Roman" w:hAnsi="Times New Roman"/>
          <w:sz w:val="24"/>
          <w:szCs w:val="24"/>
          <w:lang w:val="sr-Cyrl-CS"/>
        </w:rPr>
        <w:t>- камате;</w:t>
      </w:r>
    </w:p>
    <w:p w:rsidR="008B5485" w:rsidRDefault="008B5485" w:rsidP="008B5485">
      <w:pPr>
        <w:ind w:left="1287"/>
        <w:jc w:val="both"/>
        <w:rPr>
          <w:rFonts w:ascii="Times New Roman" w:hAnsi="Times New Roman"/>
          <w:sz w:val="24"/>
          <w:szCs w:val="24"/>
          <w:lang w:val="sr-Cyrl-CS"/>
        </w:rPr>
      </w:pPr>
      <w:r>
        <w:rPr>
          <w:rFonts w:ascii="Times New Roman" w:hAnsi="Times New Roman"/>
          <w:sz w:val="24"/>
          <w:szCs w:val="24"/>
          <w:lang w:val="sr-Cyrl-CS"/>
        </w:rPr>
        <w:lastRenderedPageBreak/>
        <w:t>-дивиденде и повлачења д</w:t>
      </w:r>
      <w:r w:rsidR="00FE04D7">
        <w:rPr>
          <w:rFonts w:ascii="Times New Roman" w:hAnsi="Times New Roman"/>
          <w:sz w:val="24"/>
          <w:szCs w:val="24"/>
          <w:lang w:val="sr-Cyrl-CS"/>
        </w:rPr>
        <w:t>обити из квази-корпорација (као што су</w:t>
      </w:r>
      <w:r>
        <w:rPr>
          <w:rFonts w:ascii="Times New Roman" w:hAnsi="Times New Roman"/>
          <w:sz w:val="24"/>
          <w:szCs w:val="24"/>
          <w:lang w:val="sr-Cyrl-CS"/>
        </w:rPr>
        <w:t xml:space="preserve"> </w:t>
      </w:r>
      <w:r w:rsidR="00643BA0">
        <w:rPr>
          <w:rFonts w:ascii="Times New Roman" w:hAnsi="Times New Roman"/>
          <w:sz w:val="24"/>
          <w:szCs w:val="24"/>
          <w:lang w:val="sr-Cyrl-CS"/>
        </w:rPr>
        <w:t>ј</w:t>
      </w:r>
      <w:r w:rsidR="00FE04D7">
        <w:rPr>
          <w:rFonts w:ascii="Times New Roman" w:hAnsi="Times New Roman"/>
          <w:sz w:val="24"/>
          <w:szCs w:val="24"/>
          <w:lang w:val="sr-Cyrl-CS"/>
        </w:rPr>
        <w:t>авна</w:t>
      </w:r>
      <w:r>
        <w:rPr>
          <w:rFonts w:ascii="Times New Roman" w:hAnsi="Times New Roman"/>
          <w:sz w:val="24"/>
          <w:szCs w:val="24"/>
          <w:lang w:val="sr-Cyrl-CS"/>
        </w:rPr>
        <w:t xml:space="preserve"> предузећа која нису организована као друштва капитала</w:t>
      </w:r>
      <w:r w:rsidR="00643BA0">
        <w:rPr>
          <w:rFonts w:ascii="Times New Roman" w:hAnsi="Times New Roman"/>
          <w:sz w:val="24"/>
          <w:szCs w:val="24"/>
          <w:lang w:val="sr-Cyrl-CS"/>
        </w:rPr>
        <w:t>);</w:t>
      </w:r>
    </w:p>
    <w:p w:rsidR="00643BA0" w:rsidRDefault="00643BA0" w:rsidP="008B5485">
      <w:pPr>
        <w:ind w:left="1287"/>
        <w:jc w:val="both"/>
        <w:rPr>
          <w:rFonts w:ascii="Times New Roman" w:hAnsi="Times New Roman"/>
          <w:sz w:val="24"/>
          <w:szCs w:val="24"/>
          <w:lang w:val="sr-Cyrl-CS"/>
        </w:rPr>
      </w:pPr>
      <w:r>
        <w:rPr>
          <w:rFonts w:ascii="Times New Roman" w:hAnsi="Times New Roman"/>
          <w:sz w:val="24"/>
          <w:szCs w:val="24"/>
          <w:lang w:val="sr-Cyrl-CS"/>
        </w:rPr>
        <w:t>-приходе од закупа непроизведене имовине (</w:t>
      </w:r>
      <w:r w:rsidR="00FE04D7">
        <w:rPr>
          <w:rFonts w:ascii="Times New Roman" w:hAnsi="Times New Roman"/>
          <w:sz w:val="24"/>
          <w:szCs w:val="24"/>
          <w:lang w:val="sr-Cyrl-CS"/>
        </w:rPr>
        <w:t>као што су шуме</w:t>
      </w:r>
      <w:r>
        <w:rPr>
          <w:rFonts w:ascii="Times New Roman" w:hAnsi="Times New Roman"/>
          <w:sz w:val="24"/>
          <w:szCs w:val="24"/>
          <w:lang w:val="sr-Cyrl-CS"/>
        </w:rPr>
        <w:t xml:space="preserve">, </w:t>
      </w:r>
      <w:r w:rsidR="00FE04D7">
        <w:rPr>
          <w:rFonts w:ascii="Times New Roman" w:hAnsi="Times New Roman"/>
          <w:sz w:val="24"/>
          <w:szCs w:val="24"/>
          <w:lang w:val="sr-Cyrl-CS"/>
        </w:rPr>
        <w:t>шумско</w:t>
      </w:r>
      <w:r>
        <w:rPr>
          <w:rFonts w:ascii="Times New Roman" w:hAnsi="Times New Roman"/>
          <w:sz w:val="24"/>
          <w:szCs w:val="24"/>
          <w:lang w:val="sr-Cyrl-CS"/>
        </w:rPr>
        <w:t xml:space="preserve"> </w:t>
      </w:r>
      <w:r w:rsidR="00FE04D7">
        <w:rPr>
          <w:rFonts w:ascii="Times New Roman" w:hAnsi="Times New Roman"/>
          <w:sz w:val="24"/>
          <w:szCs w:val="24"/>
          <w:lang w:val="sr-Cyrl-CS"/>
        </w:rPr>
        <w:t>и пољопривредно земљиште, грађевинско земљиште</w:t>
      </w:r>
      <w:r w:rsidR="000D3C6F">
        <w:rPr>
          <w:rFonts w:ascii="Times New Roman" w:hAnsi="Times New Roman"/>
          <w:sz w:val="24"/>
          <w:szCs w:val="24"/>
          <w:lang w:val="sr-Cyrl-CS"/>
        </w:rPr>
        <w:t xml:space="preserve">, </w:t>
      </w:r>
      <w:r w:rsidR="00FE04D7">
        <w:rPr>
          <w:rFonts w:ascii="Times New Roman" w:hAnsi="Times New Roman"/>
          <w:sz w:val="24"/>
          <w:szCs w:val="24"/>
          <w:lang w:val="sr-Cyrl-CS"/>
        </w:rPr>
        <w:t>радио фреквенције и ТВ канали</w:t>
      </w:r>
      <w:r w:rsidR="000D3C6F">
        <w:rPr>
          <w:rFonts w:ascii="Times New Roman" w:hAnsi="Times New Roman"/>
          <w:sz w:val="24"/>
          <w:szCs w:val="24"/>
          <w:lang w:val="sr-Cyrl-CS"/>
        </w:rPr>
        <w:t xml:space="preserve"> </w:t>
      </w:r>
      <w:r w:rsidR="00FE04D7">
        <w:rPr>
          <w:rFonts w:ascii="Times New Roman" w:hAnsi="Times New Roman"/>
          <w:sz w:val="24"/>
          <w:szCs w:val="24"/>
          <w:lang w:val="sr-Cyrl-CS"/>
        </w:rPr>
        <w:t>речне обале и бање</w:t>
      </w:r>
      <w:r w:rsidR="000D3C6F">
        <w:rPr>
          <w:rFonts w:ascii="Times New Roman" w:hAnsi="Times New Roman"/>
          <w:sz w:val="24"/>
          <w:szCs w:val="24"/>
          <w:lang w:val="sr-Cyrl-CS"/>
        </w:rPr>
        <w:t>);</w:t>
      </w:r>
    </w:p>
    <w:p w:rsidR="008B5485" w:rsidRDefault="000D3C6F" w:rsidP="000D3C6F">
      <w:pPr>
        <w:ind w:left="1287"/>
        <w:jc w:val="both"/>
        <w:rPr>
          <w:rFonts w:ascii="Times New Roman" w:hAnsi="Times New Roman"/>
          <w:sz w:val="24"/>
          <w:szCs w:val="24"/>
          <w:lang w:val="sr-Cyrl-CS"/>
        </w:rPr>
      </w:pPr>
      <w:r>
        <w:rPr>
          <w:rFonts w:ascii="Times New Roman" w:hAnsi="Times New Roman"/>
          <w:sz w:val="24"/>
          <w:szCs w:val="24"/>
          <w:lang w:val="sr-Cyrl-CS"/>
        </w:rPr>
        <w:t>- приходе од продаје добара и услуга</w:t>
      </w:r>
      <w:r w:rsidR="009B19DF">
        <w:rPr>
          <w:rFonts w:ascii="Times New Roman" w:hAnsi="Times New Roman"/>
          <w:sz w:val="24"/>
          <w:szCs w:val="24"/>
          <w:lang w:val="sr-Cyrl-CS"/>
        </w:rPr>
        <w:t>.</w:t>
      </w:r>
      <w:r>
        <w:rPr>
          <w:rStyle w:val="FootnoteReference"/>
          <w:rFonts w:ascii="Times New Roman" w:hAnsi="Times New Roman"/>
          <w:sz w:val="24"/>
          <w:szCs w:val="24"/>
          <w:lang w:val="sr-Cyrl-CS"/>
        </w:rPr>
        <w:footnoteReference w:id="12"/>
      </w:r>
    </w:p>
    <w:p w:rsidR="00580B88" w:rsidRDefault="00580B88" w:rsidP="000D3C6F">
      <w:pPr>
        <w:ind w:left="1287"/>
        <w:jc w:val="both"/>
        <w:rPr>
          <w:rFonts w:ascii="Times New Roman" w:hAnsi="Times New Roman"/>
          <w:sz w:val="24"/>
          <w:szCs w:val="24"/>
          <w:lang w:val="sr-Cyrl-CS"/>
        </w:rPr>
      </w:pPr>
    </w:p>
    <w:p w:rsidR="004745D3" w:rsidRDefault="004745D3" w:rsidP="003C798F">
      <w:pPr>
        <w:numPr>
          <w:ilvl w:val="2"/>
          <w:numId w:val="5"/>
        </w:numPr>
        <w:jc w:val="center"/>
        <w:rPr>
          <w:rFonts w:ascii="Times New Roman" w:hAnsi="Times New Roman"/>
          <w:b/>
          <w:sz w:val="24"/>
          <w:szCs w:val="24"/>
          <w:lang w:val="sr-Cyrl-CS"/>
        </w:rPr>
      </w:pPr>
      <w:r w:rsidRPr="004745D3">
        <w:rPr>
          <w:rFonts w:ascii="Times New Roman" w:hAnsi="Times New Roman"/>
          <w:b/>
          <w:sz w:val="24"/>
          <w:szCs w:val="24"/>
          <w:lang w:val="sr-Cyrl-CS"/>
        </w:rPr>
        <w:t>Приходи од становништва и од правних лица</w:t>
      </w:r>
    </w:p>
    <w:p w:rsidR="00580B88" w:rsidRDefault="00580B88" w:rsidP="00580B88">
      <w:pPr>
        <w:ind w:left="1799"/>
        <w:jc w:val="both"/>
        <w:rPr>
          <w:rFonts w:ascii="Times New Roman" w:hAnsi="Times New Roman"/>
          <w:b/>
          <w:sz w:val="24"/>
          <w:szCs w:val="24"/>
          <w:lang w:val="sr-Cyrl-CS"/>
        </w:rPr>
      </w:pPr>
    </w:p>
    <w:p w:rsidR="004745D3" w:rsidRDefault="00AA4E7F" w:rsidP="00AA4E7F">
      <w:pPr>
        <w:ind w:firstLine="567"/>
        <w:jc w:val="both"/>
        <w:rPr>
          <w:rFonts w:ascii="Times New Roman" w:hAnsi="Times New Roman"/>
          <w:sz w:val="24"/>
          <w:szCs w:val="24"/>
          <w:lang w:val="sr-Cyrl-CS"/>
        </w:rPr>
      </w:pPr>
      <w:r>
        <w:rPr>
          <w:rFonts w:ascii="Times New Roman" w:hAnsi="Times New Roman"/>
          <w:sz w:val="24"/>
          <w:szCs w:val="24"/>
          <w:lang w:val="sr-Cyrl-CS"/>
        </w:rPr>
        <w:t>Ово је</w:t>
      </w:r>
      <w:r w:rsidRPr="00AA4E7F">
        <w:rPr>
          <w:rFonts w:ascii="Times New Roman" w:hAnsi="Times New Roman"/>
          <w:sz w:val="24"/>
          <w:szCs w:val="24"/>
          <w:lang w:val="sr-Cyrl-CS"/>
        </w:rPr>
        <w:t xml:space="preserve"> данас</w:t>
      </w:r>
      <w:r w:rsidR="009F74D4">
        <w:rPr>
          <w:rFonts w:ascii="Times New Roman" w:hAnsi="Times New Roman"/>
          <w:sz w:val="24"/>
          <w:szCs w:val="24"/>
          <w:lang w:val="sr-Cyrl-CS"/>
        </w:rPr>
        <w:t xml:space="preserve"> једна од основних подела и она је извршена на основу извора, односно одакле они потичу</w:t>
      </w:r>
      <w:r>
        <w:rPr>
          <w:rFonts w:ascii="Times New Roman" w:hAnsi="Times New Roman"/>
          <w:sz w:val="24"/>
          <w:szCs w:val="24"/>
          <w:lang w:val="sr-Cyrl-CS"/>
        </w:rPr>
        <w:t>.</w:t>
      </w:r>
    </w:p>
    <w:p w:rsidR="007536E0" w:rsidRDefault="0021521C" w:rsidP="00F84725">
      <w:pPr>
        <w:ind w:firstLine="567"/>
        <w:jc w:val="both"/>
        <w:rPr>
          <w:rFonts w:ascii="Times New Roman" w:hAnsi="Times New Roman"/>
          <w:sz w:val="24"/>
          <w:szCs w:val="24"/>
          <w:lang w:val="sr-Cyrl-CS"/>
        </w:rPr>
      </w:pPr>
      <w:r>
        <w:rPr>
          <w:rFonts w:ascii="Times New Roman" w:hAnsi="Times New Roman"/>
          <w:sz w:val="24"/>
          <w:szCs w:val="24"/>
          <w:lang w:val="sr-Cyrl-CS"/>
        </w:rPr>
        <w:t>Приходи од правних лица се издвајају од предузећа, установа и других правних лица, док се п</w:t>
      </w:r>
      <w:r w:rsidR="00AA4E7F">
        <w:rPr>
          <w:rFonts w:ascii="Times New Roman" w:hAnsi="Times New Roman"/>
          <w:sz w:val="24"/>
          <w:szCs w:val="24"/>
          <w:lang w:val="sr-Cyrl-CS"/>
        </w:rPr>
        <w:t xml:space="preserve">риходи од становништва </w:t>
      </w:r>
      <w:r w:rsidR="00934BF4">
        <w:rPr>
          <w:rFonts w:ascii="Times New Roman" w:hAnsi="Times New Roman"/>
          <w:sz w:val="24"/>
          <w:szCs w:val="24"/>
          <w:lang w:val="sr-Cyrl-CS"/>
        </w:rPr>
        <w:t>издвајају</w:t>
      </w:r>
      <w:r w:rsidR="00AA4E7F">
        <w:rPr>
          <w:rFonts w:ascii="Times New Roman" w:hAnsi="Times New Roman"/>
          <w:sz w:val="24"/>
          <w:szCs w:val="24"/>
          <w:lang w:val="sr-Cyrl-CS"/>
        </w:rPr>
        <w:t xml:space="preserve"> од дохотка или других облика имовине грађана</w:t>
      </w:r>
      <w:r w:rsidR="00934BF4">
        <w:rPr>
          <w:rFonts w:ascii="Times New Roman" w:hAnsi="Times New Roman"/>
          <w:sz w:val="24"/>
          <w:szCs w:val="24"/>
          <w:lang w:val="sr-Cyrl-CS"/>
        </w:rPr>
        <w:t xml:space="preserve"> за подмиривање државних расхода</w:t>
      </w:r>
      <w:r w:rsidR="00AA4E7F">
        <w:rPr>
          <w:rFonts w:ascii="Times New Roman" w:hAnsi="Times New Roman"/>
          <w:sz w:val="24"/>
          <w:szCs w:val="24"/>
          <w:lang w:val="sr-Cyrl-CS"/>
        </w:rPr>
        <w:t>.</w:t>
      </w:r>
      <w:r>
        <w:rPr>
          <w:rStyle w:val="FootnoteReference"/>
          <w:rFonts w:ascii="Times New Roman" w:hAnsi="Times New Roman"/>
          <w:sz w:val="24"/>
          <w:szCs w:val="24"/>
          <w:lang w:val="sr-Cyrl-CS"/>
        </w:rPr>
        <w:footnoteReference w:id="13"/>
      </w:r>
      <w:r>
        <w:rPr>
          <w:rFonts w:ascii="Times New Roman" w:hAnsi="Times New Roman"/>
          <w:sz w:val="24"/>
          <w:szCs w:val="24"/>
          <w:lang w:val="sr-Cyrl-CS"/>
        </w:rPr>
        <w:t xml:space="preserve"> </w:t>
      </w:r>
      <w:r w:rsidR="00934BF4">
        <w:rPr>
          <w:rFonts w:ascii="Times New Roman" w:hAnsi="Times New Roman"/>
          <w:sz w:val="24"/>
          <w:szCs w:val="24"/>
          <w:lang w:val="sr-Cyrl-CS"/>
        </w:rPr>
        <w:t xml:space="preserve">Ту спадају порези, доприноси, таксе као и </w:t>
      </w:r>
      <w:r w:rsidR="004B7858">
        <w:rPr>
          <w:rFonts w:ascii="Times New Roman" w:hAnsi="Times New Roman"/>
          <w:sz w:val="24"/>
          <w:szCs w:val="24"/>
          <w:lang w:val="sr-Cyrl-CS"/>
        </w:rPr>
        <w:t xml:space="preserve"> </w:t>
      </w:r>
      <w:r w:rsidR="00AA4E7F">
        <w:rPr>
          <w:rFonts w:ascii="Times New Roman" w:hAnsi="Times New Roman"/>
          <w:sz w:val="24"/>
          <w:szCs w:val="24"/>
          <w:lang w:val="sr-Cyrl-CS"/>
        </w:rPr>
        <w:t xml:space="preserve">разни </w:t>
      </w:r>
      <w:r w:rsidR="00934BF4">
        <w:rPr>
          <w:rFonts w:ascii="Times New Roman" w:hAnsi="Times New Roman"/>
          <w:sz w:val="24"/>
          <w:szCs w:val="24"/>
          <w:lang w:val="sr-Cyrl-CS"/>
        </w:rPr>
        <w:t>облици доприноса, зајмова и сл</w:t>
      </w:r>
      <w:r w:rsidR="00AA4E7F">
        <w:rPr>
          <w:rFonts w:ascii="Times New Roman" w:hAnsi="Times New Roman"/>
          <w:sz w:val="24"/>
          <w:szCs w:val="24"/>
          <w:lang w:val="sr-Cyrl-CS"/>
        </w:rPr>
        <w:t>.</w:t>
      </w:r>
    </w:p>
    <w:p w:rsidR="00580B88" w:rsidRDefault="00580B88" w:rsidP="007536E0">
      <w:pPr>
        <w:ind w:firstLine="567"/>
        <w:jc w:val="both"/>
        <w:rPr>
          <w:rFonts w:ascii="Times New Roman" w:hAnsi="Times New Roman"/>
          <w:sz w:val="24"/>
          <w:szCs w:val="24"/>
          <w:lang w:val="sr-Cyrl-CS"/>
        </w:rPr>
      </w:pPr>
    </w:p>
    <w:p w:rsidR="00580B88" w:rsidRPr="00D95FEA" w:rsidRDefault="007536E0" w:rsidP="00D95FEA">
      <w:pPr>
        <w:pStyle w:val="ListParagraph"/>
        <w:numPr>
          <w:ilvl w:val="2"/>
          <w:numId w:val="5"/>
        </w:numPr>
        <w:jc w:val="both"/>
        <w:rPr>
          <w:rFonts w:ascii="Times New Roman" w:hAnsi="Times New Roman"/>
          <w:b/>
          <w:sz w:val="24"/>
          <w:szCs w:val="24"/>
          <w:lang w:val="sr-Cyrl-CS"/>
        </w:rPr>
      </w:pPr>
      <w:r w:rsidRPr="00580B88">
        <w:rPr>
          <w:rFonts w:ascii="Times New Roman" w:hAnsi="Times New Roman"/>
          <w:b/>
          <w:sz w:val="24"/>
          <w:szCs w:val="24"/>
          <w:lang w:val="sr-Cyrl-CS"/>
        </w:rPr>
        <w:t>Приходи од ужих и приходи од ширих територијалних заједница</w:t>
      </w:r>
    </w:p>
    <w:p w:rsidR="003E35A0" w:rsidRDefault="007536E0" w:rsidP="007536E0">
      <w:pPr>
        <w:jc w:val="both"/>
        <w:rPr>
          <w:rFonts w:ascii="Times New Roman" w:hAnsi="Times New Roman"/>
          <w:sz w:val="24"/>
          <w:szCs w:val="24"/>
          <w:lang w:val="sr-Cyrl-CS"/>
        </w:rPr>
      </w:pPr>
      <w:r>
        <w:rPr>
          <w:rFonts w:ascii="Times New Roman" w:hAnsi="Times New Roman"/>
          <w:b/>
          <w:sz w:val="24"/>
          <w:szCs w:val="24"/>
          <w:lang w:val="sr-Cyrl-CS"/>
        </w:rPr>
        <w:tab/>
      </w:r>
      <w:r>
        <w:rPr>
          <w:rFonts w:ascii="Times New Roman" w:hAnsi="Times New Roman"/>
          <w:sz w:val="24"/>
          <w:szCs w:val="24"/>
          <w:lang w:val="sr-Cyrl-CS"/>
        </w:rPr>
        <w:t>Ово је подела прихода у зависн</w:t>
      </w:r>
      <w:r w:rsidR="00ED0A7B">
        <w:rPr>
          <w:rFonts w:ascii="Times New Roman" w:hAnsi="Times New Roman"/>
          <w:sz w:val="24"/>
          <w:szCs w:val="24"/>
          <w:lang w:val="sr-Cyrl-CS"/>
        </w:rPr>
        <w:t>о</w:t>
      </w:r>
      <w:r>
        <w:rPr>
          <w:rFonts w:ascii="Times New Roman" w:hAnsi="Times New Roman"/>
          <w:sz w:val="24"/>
          <w:szCs w:val="24"/>
          <w:lang w:val="sr-Cyrl-CS"/>
        </w:rPr>
        <w:t xml:space="preserve">сти </w:t>
      </w:r>
      <w:r w:rsidR="00ED0A7B">
        <w:rPr>
          <w:rFonts w:ascii="Times New Roman" w:hAnsi="Times New Roman"/>
          <w:sz w:val="24"/>
          <w:szCs w:val="24"/>
          <w:lang w:val="sr-Cyrl-CS"/>
        </w:rPr>
        <w:t>од врсте</w:t>
      </w:r>
      <w:r>
        <w:rPr>
          <w:rFonts w:ascii="Times New Roman" w:hAnsi="Times New Roman"/>
          <w:sz w:val="24"/>
          <w:szCs w:val="24"/>
          <w:lang w:val="sr-Cyrl-CS"/>
        </w:rPr>
        <w:t xml:space="preserve"> политичко-територијалних јединица одређене земље, односно од територијаног и </w:t>
      </w:r>
      <w:r w:rsidR="00ED0A7B">
        <w:rPr>
          <w:rFonts w:ascii="Times New Roman" w:hAnsi="Times New Roman"/>
          <w:sz w:val="24"/>
          <w:szCs w:val="24"/>
          <w:lang w:val="sr-Cyrl-CS"/>
        </w:rPr>
        <w:t>политичког уређења једне државе. Д</w:t>
      </w:r>
      <w:r>
        <w:rPr>
          <w:rFonts w:ascii="Times New Roman" w:hAnsi="Times New Roman"/>
          <w:sz w:val="24"/>
          <w:szCs w:val="24"/>
          <w:lang w:val="sr-Cyrl-CS"/>
        </w:rPr>
        <w:t>акле</w:t>
      </w:r>
      <w:r w:rsidR="00ED0A7B">
        <w:rPr>
          <w:rFonts w:ascii="Times New Roman" w:hAnsi="Times New Roman"/>
          <w:sz w:val="24"/>
          <w:szCs w:val="24"/>
          <w:lang w:val="sr-Cyrl-CS"/>
        </w:rPr>
        <w:t>,</w:t>
      </w:r>
      <w:r>
        <w:rPr>
          <w:rFonts w:ascii="Times New Roman" w:hAnsi="Times New Roman"/>
          <w:sz w:val="24"/>
          <w:szCs w:val="24"/>
          <w:lang w:val="sr-Cyrl-CS"/>
        </w:rPr>
        <w:t xml:space="preserve"> у зависности од тога да ли се ради о федералној држави са децентрализованим државним уређењем,</w:t>
      </w:r>
      <w:r w:rsidR="00ED0A7B">
        <w:rPr>
          <w:rFonts w:ascii="Times New Roman" w:hAnsi="Times New Roman"/>
          <w:sz w:val="24"/>
          <w:szCs w:val="24"/>
          <w:lang w:val="sr-Cyrl-CS"/>
        </w:rPr>
        <w:t xml:space="preserve"> </w:t>
      </w:r>
      <w:r>
        <w:rPr>
          <w:rFonts w:ascii="Times New Roman" w:hAnsi="Times New Roman"/>
          <w:sz w:val="24"/>
          <w:szCs w:val="24"/>
          <w:lang w:val="sr-Cyrl-CS"/>
        </w:rPr>
        <w:t xml:space="preserve">или о унитарној и регионалној држави, имајући у виду да </w:t>
      </w:r>
      <w:r w:rsidR="00ED0A7B">
        <w:rPr>
          <w:rFonts w:ascii="Times New Roman" w:hAnsi="Times New Roman"/>
          <w:sz w:val="24"/>
          <w:szCs w:val="24"/>
          <w:lang w:val="sr-Cyrl-CS"/>
        </w:rPr>
        <w:t xml:space="preserve">се у њима повећава степен аутономије локалних власти у односу на централну. </w:t>
      </w:r>
    </w:p>
    <w:p w:rsidR="00834193" w:rsidRDefault="00834193" w:rsidP="00834193">
      <w:pPr>
        <w:ind w:firstLine="708"/>
        <w:jc w:val="both"/>
        <w:rPr>
          <w:rFonts w:ascii="Times New Roman" w:hAnsi="Times New Roman"/>
          <w:sz w:val="24"/>
          <w:szCs w:val="24"/>
          <w:lang w:val="sr-Cyrl-CS"/>
        </w:rPr>
      </w:pPr>
      <w:r>
        <w:rPr>
          <w:rFonts w:ascii="Times New Roman" w:hAnsi="Times New Roman"/>
          <w:sz w:val="24"/>
          <w:szCs w:val="24"/>
          <w:lang w:val="sr-Cyrl-CS"/>
        </w:rPr>
        <w:t xml:space="preserve"> Буџетски систем Републике Србије, којим су обухваћени јавни приходи,  чине приходи Републике Србије, приходи локалних власти и финансијски планови организација за обавезно социјално осигурање.</w:t>
      </w:r>
      <w:r>
        <w:rPr>
          <w:rStyle w:val="FootnoteReference"/>
          <w:rFonts w:ascii="Times New Roman" w:hAnsi="Times New Roman"/>
          <w:sz w:val="24"/>
          <w:szCs w:val="24"/>
          <w:lang w:val="sr-Cyrl-CS"/>
        </w:rPr>
        <w:footnoteReference w:id="14"/>
      </w:r>
    </w:p>
    <w:p w:rsidR="007536E0" w:rsidRDefault="003E35A0" w:rsidP="003E35A0">
      <w:pPr>
        <w:ind w:firstLine="708"/>
        <w:jc w:val="both"/>
        <w:rPr>
          <w:rFonts w:ascii="Times New Roman" w:hAnsi="Times New Roman"/>
          <w:sz w:val="24"/>
          <w:szCs w:val="24"/>
          <w:lang w:val="sr-Cyrl-CS"/>
        </w:rPr>
      </w:pPr>
      <w:r>
        <w:rPr>
          <w:rFonts w:ascii="Times New Roman" w:hAnsi="Times New Roman"/>
          <w:sz w:val="24"/>
          <w:szCs w:val="24"/>
          <w:lang w:val="sr-Cyrl-CS"/>
        </w:rPr>
        <w:t>Могућнос</w:t>
      </w:r>
      <w:r w:rsidR="00673528">
        <w:rPr>
          <w:rFonts w:ascii="Times New Roman" w:hAnsi="Times New Roman"/>
          <w:sz w:val="24"/>
          <w:szCs w:val="24"/>
          <w:lang w:val="sr-Cyrl-CS"/>
        </w:rPr>
        <w:t>т</w:t>
      </w:r>
      <w:r w:rsidR="00ED0A7B">
        <w:rPr>
          <w:rFonts w:ascii="Times New Roman" w:hAnsi="Times New Roman"/>
          <w:sz w:val="24"/>
          <w:szCs w:val="24"/>
          <w:lang w:val="sr-Cyrl-CS"/>
        </w:rPr>
        <w:t xml:space="preserve"> обављања јавних функција на различитим нивоима политичко-територијалне организованости, повлачи са собом потребу стварања различитих модела </w:t>
      </w:r>
      <w:r>
        <w:rPr>
          <w:rFonts w:ascii="Times New Roman" w:hAnsi="Times New Roman"/>
          <w:sz w:val="24"/>
          <w:szCs w:val="24"/>
          <w:lang w:val="sr-Cyrl-CS"/>
        </w:rPr>
        <w:t>расподеле јавних прихода, којим</w:t>
      </w:r>
      <w:r w:rsidR="00AF1B81">
        <w:rPr>
          <w:rFonts w:ascii="Times New Roman" w:hAnsi="Times New Roman"/>
          <w:sz w:val="24"/>
          <w:szCs w:val="24"/>
          <w:lang w:val="sr-Cyrl-CS"/>
        </w:rPr>
        <w:t>а</w:t>
      </w:r>
      <w:r>
        <w:rPr>
          <w:rFonts w:ascii="Times New Roman" w:hAnsi="Times New Roman"/>
          <w:sz w:val="24"/>
          <w:szCs w:val="24"/>
          <w:lang w:val="sr-Cyrl-CS"/>
        </w:rPr>
        <w:t xml:space="preserve"> се бави фискални федерализам, јер расподела јавних прихода, поред расподеле јавних расхода, међубуџетских трансфера и задуживања, спада у његове основне елементе. </w:t>
      </w:r>
    </w:p>
    <w:p w:rsidR="0077618E" w:rsidRPr="003C798F" w:rsidRDefault="0077618E" w:rsidP="003C798F">
      <w:pPr>
        <w:jc w:val="both"/>
        <w:rPr>
          <w:rFonts w:ascii="Times New Roman" w:hAnsi="Times New Roman"/>
          <w:sz w:val="24"/>
          <w:szCs w:val="24"/>
        </w:rPr>
      </w:pPr>
    </w:p>
    <w:p w:rsidR="00580B88" w:rsidRPr="00D95FEA" w:rsidRDefault="00363454" w:rsidP="00D95FEA">
      <w:pPr>
        <w:numPr>
          <w:ilvl w:val="2"/>
          <w:numId w:val="5"/>
        </w:numPr>
        <w:jc w:val="center"/>
        <w:rPr>
          <w:rFonts w:ascii="Times New Roman" w:hAnsi="Times New Roman"/>
          <w:b/>
          <w:sz w:val="24"/>
          <w:szCs w:val="24"/>
          <w:lang w:val="sr-Cyrl-CS"/>
        </w:rPr>
      </w:pPr>
      <w:r w:rsidRPr="00363454">
        <w:rPr>
          <w:rFonts w:ascii="Times New Roman" w:hAnsi="Times New Roman"/>
          <w:b/>
          <w:sz w:val="24"/>
          <w:szCs w:val="24"/>
          <w:lang w:val="sr-Cyrl-CS"/>
        </w:rPr>
        <w:t>Наменски и ненаменски приходи</w:t>
      </w:r>
    </w:p>
    <w:p w:rsidR="00834193" w:rsidRDefault="00363454" w:rsidP="00363454">
      <w:pPr>
        <w:ind w:firstLine="567"/>
        <w:jc w:val="both"/>
        <w:rPr>
          <w:rFonts w:ascii="Times New Roman" w:hAnsi="Times New Roman"/>
          <w:sz w:val="24"/>
          <w:szCs w:val="24"/>
          <w:lang w:val="sr-Cyrl-CS"/>
        </w:rPr>
      </w:pPr>
      <w:r w:rsidRPr="00363454">
        <w:rPr>
          <w:rFonts w:ascii="Times New Roman" w:hAnsi="Times New Roman"/>
          <w:sz w:val="24"/>
          <w:szCs w:val="24"/>
          <w:lang w:val="sr-Cyrl-CS"/>
        </w:rPr>
        <w:t xml:space="preserve">Ова </w:t>
      </w:r>
      <w:r w:rsidR="004B7858">
        <w:rPr>
          <w:rFonts w:ascii="Times New Roman" w:hAnsi="Times New Roman"/>
          <w:sz w:val="24"/>
          <w:szCs w:val="24"/>
          <w:lang w:val="sr-Cyrl-CS"/>
        </w:rPr>
        <w:t xml:space="preserve">подела </w:t>
      </w:r>
      <w:r>
        <w:rPr>
          <w:rFonts w:ascii="Times New Roman" w:hAnsi="Times New Roman"/>
          <w:sz w:val="24"/>
          <w:szCs w:val="24"/>
          <w:lang w:val="sr-Cyrl-CS"/>
        </w:rPr>
        <w:t xml:space="preserve">полази од намене трошења прихода. Према домаћим позитивним прописима </w:t>
      </w:r>
      <w:r w:rsidR="009028DF">
        <w:rPr>
          <w:rFonts w:ascii="Times New Roman" w:hAnsi="Times New Roman"/>
          <w:sz w:val="24"/>
          <w:szCs w:val="24"/>
          <w:lang w:val="sr-Cyrl-CS"/>
        </w:rPr>
        <w:t>наменски приходи</w:t>
      </w:r>
      <w:r w:rsidR="0096496F">
        <w:rPr>
          <w:rFonts w:ascii="Times New Roman" w:hAnsi="Times New Roman"/>
          <w:sz w:val="24"/>
          <w:szCs w:val="24"/>
          <w:lang w:val="sr-Cyrl-CS"/>
        </w:rPr>
        <w:t xml:space="preserve"> и</w:t>
      </w:r>
      <w:r w:rsidR="009028DF">
        <w:rPr>
          <w:rFonts w:ascii="Times New Roman" w:hAnsi="Times New Roman"/>
          <w:sz w:val="24"/>
          <w:szCs w:val="24"/>
          <w:lang w:val="sr-Cyrl-CS"/>
        </w:rPr>
        <w:t>мају унапред утврђену намену утрошка средстава, а ненаменски приходи су приходи</w:t>
      </w:r>
      <w:r w:rsidR="0096496F">
        <w:rPr>
          <w:rFonts w:ascii="Times New Roman" w:hAnsi="Times New Roman"/>
          <w:sz w:val="24"/>
          <w:szCs w:val="24"/>
          <w:lang w:val="sr-Cyrl-CS"/>
        </w:rPr>
        <w:t xml:space="preserve"> чије је коришћење и намена утврђена законом</w:t>
      </w:r>
      <w:r w:rsidR="009028DF">
        <w:rPr>
          <w:rFonts w:ascii="Times New Roman" w:hAnsi="Times New Roman"/>
          <w:sz w:val="24"/>
          <w:szCs w:val="24"/>
          <w:lang w:val="sr-Cyrl-CS"/>
        </w:rPr>
        <w:t>.</w:t>
      </w:r>
      <w:r w:rsidR="0096496F">
        <w:rPr>
          <w:rStyle w:val="FootnoteReference"/>
          <w:rFonts w:ascii="Times New Roman" w:hAnsi="Times New Roman"/>
          <w:sz w:val="24"/>
          <w:szCs w:val="24"/>
          <w:lang w:val="sr-Cyrl-CS"/>
        </w:rPr>
        <w:footnoteReference w:id="15"/>
      </w:r>
      <w:r w:rsidR="009028DF">
        <w:rPr>
          <w:rFonts w:ascii="Times New Roman" w:hAnsi="Times New Roman"/>
          <w:sz w:val="24"/>
          <w:szCs w:val="24"/>
          <w:lang w:val="sr-Cyrl-CS"/>
        </w:rPr>
        <w:t xml:space="preserve"> Ненаменски приходи служе за подмиривање свих друштвених потреба, али њихова намена није унапред одређена. </w:t>
      </w:r>
    </w:p>
    <w:p w:rsidR="005D43E0" w:rsidRPr="003C798F" w:rsidRDefault="005D43E0" w:rsidP="003C798F">
      <w:pPr>
        <w:pStyle w:val="ListParagraph"/>
        <w:numPr>
          <w:ilvl w:val="2"/>
          <w:numId w:val="5"/>
        </w:numPr>
        <w:jc w:val="center"/>
        <w:rPr>
          <w:rFonts w:ascii="Times New Roman" w:hAnsi="Times New Roman"/>
          <w:b/>
          <w:sz w:val="24"/>
          <w:szCs w:val="24"/>
          <w:lang w:val="sr-Cyrl-CS"/>
        </w:rPr>
      </w:pPr>
      <w:r w:rsidRPr="003C798F">
        <w:rPr>
          <w:rFonts w:ascii="Times New Roman" w:hAnsi="Times New Roman"/>
          <w:b/>
          <w:sz w:val="24"/>
          <w:szCs w:val="24"/>
          <w:lang w:val="sr-Cyrl-CS"/>
        </w:rPr>
        <w:t>Парафискалитети као посебан облик прихода</w:t>
      </w:r>
    </w:p>
    <w:p w:rsidR="00580B88" w:rsidRDefault="00580B88" w:rsidP="00580B88">
      <w:pPr>
        <w:ind w:left="1614"/>
        <w:jc w:val="both"/>
        <w:rPr>
          <w:rFonts w:ascii="Times New Roman" w:hAnsi="Times New Roman"/>
          <w:b/>
          <w:sz w:val="24"/>
          <w:szCs w:val="24"/>
          <w:lang w:val="sr-Cyrl-CS"/>
        </w:rPr>
      </w:pPr>
    </w:p>
    <w:p w:rsidR="00580B88" w:rsidRDefault="005D43E0" w:rsidP="006F098C">
      <w:pPr>
        <w:ind w:firstLine="567"/>
        <w:jc w:val="both"/>
        <w:rPr>
          <w:rFonts w:ascii="Times New Roman" w:hAnsi="Times New Roman"/>
          <w:sz w:val="24"/>
          <w:szCs w:val="24"/>
          <w:lang w:val="sr-Cyrl-CS"/>
        </w:rPr>
      </w:pPr>
      <w:r>
        <w:rPr>
          <w:rFonts w:ascii="Times New Roman" w:hAnsi="Times New Roman"/>
          <w:sz w:val="24"/>
          <w:szCs w:val="24"/>
          <w:lang w:val="sr-Cyrl-CS"/>
        </w:rPr>
        <w:t xml:space="preserve">Парафискални приходи су </w:t>
      </w:r>
      <w:r w:rsidR="006F098C">
        <w:rPr>
          <w:rFonts w:ascii="Times New Roman" w:hAnsi="Times New Roman"/>
          <w:sz w:val="24"/>
          <w:szCs w:val="24"/>
          <w:lang w:val="sr-Cyrl-CS"/>
        </w:rPr>
        <w:t xml:space="preserve">дажбински приходи са посебним карактеристикама, </w:t>
      </w:r>
      <w:r>
        <w:rPr>
          <w:rFonts w:ascii="Times New Roman" w:hAnsi="Times New Roman"/>
          <w:sz w:val="24"/>
          <w:szCs w:val="24"/>
          <w:lang w:val="sr-Cyrl-CS"/>
        </w:rPr>
        <w:t>који нису намењени потребама буџета, већ непосредном подмиривању  одређених друштвених потреба</w:t>
      </w:r>
      <w:r w:rsidR="006F098C">
        <w:rPr>
          <w:rFonts w:ascii="Times New Roman" w:hAnsi="Times New Roman"/>
          <w:sz w:val="24"/>
          <w:szCs w:val="24"/>
          <w:lang w:val="sr-Cyrl-CS"/>
        </w:rPr>
        <w:t>.</w:t>
      </w:r>
      <w:r>
        <w:rPr>
          <w:rFonts w:ascii="Times New Roman" w:hAnsi="Times New Roman"/>
          <w:sz w:val="24"/>
          <w:szCs w:val="24"/>
          <w:lang w:val="sr-Cyrl-CS"/>
        </w:rPr>
        <w:t xml:space="preserve"> </w:t>
      </w:r>
      <w:r w:rsidR="006F098C">
        <w:rPr>
          <w:rFonts w:ascii="Times New Roman" w:hAnsi="Times New Roman"/>
          <w:sz w:val="24"/>
          <w:szCs w:val="24"/>
          <w:lang w:val="sr-Cyrl-CS"/>
        </w:rPr>
        <w:t xml:space="preserve">Представљају споредни фискалитет који постоји уз фискалитет државе. </w:t>
      </w:r>
      <w:r>
        <w:rPr>
          <w:rFonts w:ascii="Times New Roman" w:hAnsi="Times New Roman"/>
          <w:sz w:val="24"/>
          <w:szCs w:val="24"/>
          <w:lang w:val="sr-Cyrl-CS"/>
        </w:rPr>
        <w:t xml:space="preserve">То је приход </w:t>
      </w:r>
      <w:r w:rsidR="006F098C">
        <w:rPr>
          <w:rFonts w:ascii="Times New Roman" w:hAnsi="Times New Roman"/>
          <w:sz w:val="24"/>
          <w:szCs w:val="24"/>
          <w:lang w:val="sr-Cyrl-CS"/>
        </w:rPr>
        <w:t xml:space="preserve">посебних </w:t>
      </w:r>
      <w:r>
        <w:rPr>
          <w:rFonts w:ascii="Times New Roman" w:hAnsi="Times New Roman"/>
          <w:sz w:val="24"/>
          <w:szCs w:val="24"/>
          <w:lang w:val="sr-Cyrl-CS"/>
        </w:rPr>
        <w:t>институционалних јединица на нижем нивоу организовања. Овај обли</w:t>
      </w:r>
      <w:r w:rsidR="006F098C">
        <w:rPr>
          <w:rFonts w:ascii="Times New Roman" w:hAnsi="Times New Roman"/>
          <w:sz w:val="24"/>
          <w:szCs w:val="24"/>
          <w:lang w:val="sr-Cyrl-CS"/>
        </w:rPr>
        <w:t>к прихода је изванбуџетски и не улазе у буџетску масу прихода државе</w:t>
      </w:r>
      <w:r>
        <w:rPr>
          <w:rFonts w:ascii="Times New Roman" w:hAnsi="Times New Roman"/>
          <w:sz w:val="24"/>
          <w:szCs w:val="24"/>
          <w:lang w:val="sr-Cyrl-CS"/>
        </w:rPr>
        <w:t>. Парафискални приход се јавља паралелно са фискалним</w:t>
      </w:r>
      <w:r w:rsidR="006F098C">
        <w:rPr>
          <w:rFonts w:ascii="Times New Roman" w:hAnsi="Times New Roman"/>
          <w:sz w:val="24"/>
          <w:szCs w:val="24"/>
          <w:lang w:val="sr-Cyrl-CS"/>
        </w:rPr>
        <w:t>, црпи средства из истих економских снага и оставља исте економске ефекте</w:t>
      </w:r>
      <w:r>
        <w:rPr>
          <w:rFonts w:ascii="Times New Roman" w:hAnsi="Times New Roman"/>
          <w:sz w:val="24"/>
          <w:szCs w:val="24"/>
          <w:lang w:val="sr-Cyrl-CS"/>
        </w:rPr>
        <w:t>, само што</w:t>
      </w:r>
      <w:r w:rsidR="006F098C">
        <w:rPr>
          <w:rFonts w:ascii="Times New Roman" w:hAnsi="Times New Roman"/>
          <w:sz w:val="24"/>
          <w:szCs w:val="24"/>
          <w:lang w:val="sr-Cyrl-CS"/>
        </w:rPr>
        <w:t xml:space="preserve"> има спец</w:t>
      </w:r>
      <w:r>
        <w:rPr>
          <w:rFonts w:ascii="Times New Roman" w:hAnsi="Times New Roman"/>
          <w:sz w:val="24"/>
          <w:szCs w:val="24"/>
          <w:lang w:val="sr-Cyrl-CS"/>
        </w:rPr>
        <w:t>ифичне намене.</w:t>
      </w:r>
      <w:r>
        <w:rPr>
          <w:rStyle w:val="FootnoteReference"/>
          <w:rFonts w:ascii="Times New Roman" w:hAnsi="Times New Roman"/>
          <w:sz w:val="24"/>
          <w:szCs w:val="24"/>
          <w:lang w:val="sr-Cyrl-CS"/>
        </w:rPr>
        <w:footnoteReference w:id="16"/>
      </w:r>
      <w:r>
        <w:rPr>
          <w:rFonts w:ascii="Times New Roman" w:hAnsi="Times New Roman"/>
          <w:sz w:val="24"/>
          <w:szCs w:val="24"/>
          <w:lang w:val="sr-Cyrl-CS"/>
        </w:rPr>
        <w:t xml:space="preserve"> </w:t>
      </w:r>
    </w:p>
    <w:p w:rsidR="00D95FEA" w:rsidRDefault="00D95FEA" w:rsidP="00D95FEA">
      <w:pPr>
        <w:ind w:firstLine="567"/>
        <w:jc w:val="both"/>
        <w:rPr>
          <w:rFonts w:ascii="Times New Roman" w:hAnsi="Times New Roman"/>
          <w:sz w:val="24"/>
          <w:szCs w:val="24"/>
          <w:lang w:val="sr-Cyrl-CS"/>
        </w:rPr>
      </w:pPr>
    </w:p>
    <w:p w:rsidR="00580B88" w:rsidRPr="00D95FEA" w:rsidRDefault="003C798F" w:rsidP="00D95FEA">
      <w:pPr>
        <w:pStyle w:val="ListParagraph"/>
        <w:numPr>
          <w:ilvl w:val="1"/>
          <w:numId w:val="5"/>
        </w:numPr>
        <w:jc w:val="center"/>
        <w:rPr>
          <w:rFonts w:ascii="Times New Roman" w:hAnsi="Times New Roman"/>
          <w:b/>
          <w:sz w:val="24"/>
          <w:szCs w:val="24"/>
          <w:lang w:val="sr-Cyrl-CS"/>
        </w:rPr>
      </w:pPr>
      <w:r>
        <w:rPr>
          <w:rFonts w:ascii="Times New Roman" w:hAnsi="Times New Roman"/>
          <w:b/>
          <w:sz w:val="24"/>
          <w:szCs w:val="24"/>
        </w:rPr>
        <w:t xml:space="preserve"> </w:t>
      </w:r>
      <w:r w:rsidR="00E07614" w:rsidRPr="003C798F">
        <w:rPr>
          <w:rFonts w:ascii="Times New Roman" w:hAnsi="Times New Roman"/>
          <w:b/>
          <w:sz w:val="24"/>
          <w:szCs w:val="24"/>
          <w:lang w:val="sr-Cyrl-CS"/>
        </w:rPr>
        <w:t>Међународне класификације јавних прихода</w:t>
      </w:r>
    </w:p>
    <w:p w:rsidR="00E07614" w:rsidRDefault="00E07614" w:rsidP="00E07614">
      <w:pPr>
        <w:ind w:left="426"/>
        <w:jc w:val="both"/>
        <w:rPr>
          <w:rFonts w:ascii="Times New Roman" w:hAnsi="Times New Roman"/>
          <w:sz w:val="24"/>
          <w:szCs w:val="24"/>
          <w:lang w:val="sr-Cyrl-CS"/>
        </w:rPr>
      </w:pPr>
      <w:r>
        <w:rPr>
          <w:rFonts w:ascii="Times New Roman" w:hAnsi="Times New Roman"/>
          <w:sz w:val="24"/>
          <w:szCs w:val="24"/>
          <w:lang w:val="sr-Cyrl-CS"/>
        </w:rPr>
        <w:t>Разликујемо четири класификације јавних прихода:</w:t>
      </w:r>
    </w:p>
    <w:p w:rsidR="00E07614" w:rsidRDefault="00E07614" w:rsidP="008A3795">
      <w:pPr>
        <w:numPr>
          <w:ilvl w:val="0"/>
          <w:numId w:val="10"/>
        </w:numPr>
        <w:jc w:val="both"/>
        <w:rPr>
          <w:rFonts w:ascii="Times New Roman" w:hAnsi="Times New Roman"/>
          <w:sz w:val="24"/>
          <w:szCs w:val="24"/>
          <w:lang w:val="sr-Cyrl-CS"/>
        </w:rPr>
      </w:pPr>
      <w:r>
        <w:rPr>
          <w:rFonts w:ascii="Times New Roman" w:hAnsi="Times New Roman"/>
          <w:sz w:val="24"/>
          <w:szCs w:val="24"/>
          <w:lang w:val="sr-Cyrl-CS"/>
        </w:rPr>
        <w:t>Класификација ОЕЦД;</w:t>
      </w:r>
    </w:p>
    <w:p w:rsidR="00E07614" w:rsidRDefault="00E07614" w:rsidP="008A3795">
      <w:pPr>
        <w:numPr>
          <w:ilvl w:val="0"/>
          <w:numId w:val="10"/>
        </w:numPr>
        <w:jc w:val="both"/>
        <w:rPr>
          <w:rFonts w:ascii="Times New Roman" w:hAnsi="Times New Roman"/>
          <w:sz w:val="24"/>
          <w:szCs w:val="24"/>
          <w:lang w:val="sr-Cyrl-CS"/>
        </w:rPr>
      </w:pPr>
      <w:r>
        <w:rPr>
          <w:rFonts w:ascii="Times New Roman" w:hAnsi="Times New Roman"/>
          <w:sz w:val="24"/>
          <w:szCs w:val="24"/>
          <w:lang w:val="sr-Cyrl-CS"/>
        </w:rPr>
        <w:t>Класификација Уједињених нација;</w:t>
      </w:r>
    </w:p>
    <w:p w:rsidR="00E07614" w:rsidRDefault="0007149F" w:rsidP="008A3795">
      <w:pPr>
        <w:numPr>
          <w:ilvl w:val="0"/>
          <w:numId w:val="10"/>
        </w:numPr>
        <w:jc w:val="both"/>
        <w:rPr>
          <w:rFonts w:ascii="Times New Roman" w:hAnsi="Times New Roman"/>
          <w:sz w:val="24"/>
          <w:szCs w:val="24"/>
          <w:lang w:val="sr-Cyrl-CS"/>
        </w:rPr>
      </w:pPr>
      <w:r>
        <w:rPr>
          <w:rFonts w:ascii="Times New Roman" w:hAnsi="Times New Roman"/>
          <w:sz w:val="24"/>
          <w:szCs w:val="24"/>
          <w:lang w:val="sr-Cyrl-CS"/>
        </w:rPr>
        <w:t>Европски систем интегрисаних економских рачуна;</w:t>
      </w:r>
    </w:p>
    <w:p w:rsidR="0007149F" w:rsidRDefault="0007149F" w:rsidP="008A3795">
      <w:pPr>
        <w:numPr>
          <w:ilvl w:val="0"/>
          <w:numId w:val="10"/>
        </w:numPr>
        <w:jc w:val="both"/>
        <w:rPr>
          <w:rFonts w:ascii="Times New Roman" w:hAnsi="Times New Roman"/>
          <w:sz w:val="24"/>
          <w:szCs w:val="24"/>
          <w:lang w:val="sr-Cyrl-CS"/>
        </w:rPr>
      </w:pPr>
      <w:r>
        <w:rPr>
          <w:rFonts w:ascii="Times New Roman" w:hAnsi="Times New Roman"/>
          <w:sz w:val="24"/>
          <w:szCs w:val="24"/>
          <w:lang w:val="sr-Cyrl-CS"/>
        </w:rPr>
        <w:t>Класификација Међународног монетарног фонда.</w:t>
      </w:r>
    </w:p>
    <w:p w:rsidR="0007149F" w:rsidRDefault="0007149F" w:rsidP="0007149F">
      <w:pPr>
        <w:ind w:firstLine="426"/>
        <w:jc w:val="both"/>
        <w:rPr>
          <w:rFonts w:ascii="Times New Roman" w:hAnsi="Times New Roman"/>
          <w:sz w:val="24"/>
          <w:szCs w:val="24"/>
          <w:lang w:val="sr-Cyrl-CS"/>
        </w:rPr>
      </w:pPr>
      <w:r>
        <w:rPr>
          <w:rFonts w:ascii="Times New Roman" w:hAnsi="Times New Roman"/>
          <w:sz w:val="24"/>
          <w:szCs w:val="24"/>
          <w:lang w:val="sr-Cyrl-CS"/>
        </w:rPr>
        <w:t>Међунанародне класификације пореза су битне јер омогућавају компаративну анализу пореских система и пореских полити</w:t>
      </w:r>
      <w:r w:rsidR="00CA7C94">
        <w:rPr>
          <w:rFonts w:ascii="Times New Roman" w:hAnsi="Times New Roman"/>
          <w:sz w:val="24"/>
          <w:szCs w:val="24"/>
          <w:lang w:val="sr-Cyrl-CS"/>
        </w:rPr>
        <w:t>ка. Класификација ОЕЦД</w:t>
      </w:r>
      <w:r w:rsidR="00CA7C94">
        <w:rPr>
          <w:rFonts w:ascii="Times New Roman" w:hAnsi="Times New Roman"/>
          <w:sz w:val="24"/>
          <w:szCs w:val="24"/>
        </w:rPr>
        <w:t xml:space="preserve"> (</w:t>
      </w:r>
      <w:r w:rsidR="00781995">
        <w:rPr>
          <w:rFonts w:ascii="Times New Roman" w:hAnsi="Times New Roman"/>
          <w:sz w:val="24"/>
          <w:szCs w:val="24"/>
        </w:rPr>
        <w:t xml:space="preserve">The Organisation for Economic Co-operation and Development) </w:t>
      </w:r>
      <w:r>
        <w:rPr>
          <w:rFonts w:ascii="Times New Roman" w:hAnsi="Times New Roman"/>
          <w:sz w:val="24"/>
          <w:szCs w:val="24"/>
          <w:lang w:val="sr-Cyrl-CS"/>
        </w:rPr>
        <w:t>представља најпотпунију класификацију различитих пореских облика који се срећу у савременим државама</w:t>
      </w:r>
      <w:r w:rsidR="00132782">
        <w:rPr>
          <w:rFonts w:ascii="Times New Roman" w:hAnsi="Times New Roman"/>
          <w:sz w:val="24"/>
          <w:szCs w:val="24"/>
          <w:lang w:val="sr-Cyrl-CS"/>
        </w:rPr>
        <w:t xml:space="preserve">. </w:t>
      </w:r>
      <w:r w:rsidR="00781995">
        <w:rPr>
          <w:rFonts w:ascii="Times New Roman" w:hAnsi="Times New Roman"/>
          <w:sz w:val="24"/>
          <w:szCs w:val="24"/>
          <w:lang w:val="sr-Cyrl-CS"/>
        </w:rPr>
        <w:t xml:space="preserve">Комитет за фискалне послове ОЕЦД је установљен 1971. </w:t>
      </w:r>
      <w:r w:rsidR="009028DF">
        <w:rPr>
          <w:rFonts w:ascii="Times New Roman" w:hAnsi="Times New Roman"/>
          <w:sz w:val="24"/>
          <w:szCs w:val="24"/>
          <w:lang w:val="sr-Cyrl-CS"/>
        </w:rPr>
        <w:t>г</w:t>
      </w:r>
      <w:r w:rsidR="00781995">
        <w:rPr>
          <w:rFonts w:ascii="Times New Roman" w:hAnsi="Times New Roman"/>
          <w:sz w:val="24"/>
          <w:szCs w:val="24"/>
          <w:lang w:val="sr-Cyrl-CS"/>
        </w:rPr>
        <w:t>одине</w:t>
      </w:r>
      <w:r w:rsidR="0065123B">
        <w:rPr>
          <w:rFonts w:ascii="Times New Roman" w:hAnsi="Times New Roman"/>
          <w:sz w:val="24"/>
          <w:szCs w:val="24"/>
          <w:lang w:val="sr-Cyrl-CS"/>
        </w:rPr>
        <w:t>, који је и израдио наведену класификацију.</w:t>
      </w:r>
      <w:r w:rsidR="0065123B">
        <w:rPr>
          <w:rFonts w:ascii="Times New Roman" w:hAnsi="Times New Roman"/>
          <w:sz w:val="24"/>
          <w:szCs w:val="24"/>
        </w:rPr>
        <w:t xml:space="preserve"> </w:t>
      </w:r>
    </w:p>
    <w:p w:rsidR="0065123B" w:rsidRDefault="0065123B" w:rsidP="0007149F">
      <w:pPr>
        <w:ind w:firstLine="426"/>
        <w:jc w:val="both"/>
        <w:rPr>
          <w:rFonts w:ascii="Times New Roman" w:hAnsi="Times New Roman"/>
          <w:sz w:val="24"/>
          <w:szCs w:val="24"/>
          <w:lang w:val="sr-Cyrl-CS"/>
        </w:rPr>
      </w:pPr>
      <w:r>
        <w:rPr>
          <w:rFonts w:ascii="Times New Roman" w:hAnsi="Times New Roman"/>
          <w:sz w:val="24"/>
          <w:szCs w:val="24"/>
          <w:lang w:val="sr-Cyrl-CS"/>
        </w:rPr>
        <w:lastRenderedPageBreak/>
        <w:t xml:space="preserve">Према ОЕЦД класификацији под порезима се подразумевају обавезна плаћања држави без непосредне противнакнаде. </w:t>
      </w:r>
      <w:r w:rsidR="003C5186">
        <w:rPr>
          <w:rFonts w:ascii="Times New Roman" w:hAnsi="Times New Roman"/>
          <w:sz w:val="24"/>
          <w:szCs w:val="24"/>
          <w:lang w:val="sr-Cyrl-CS"/>
        </w:rPr>
        <w:t>Према пореској основици сви порези су сврстани у шест категорија и то:</w:t>
      </w:r>
    </w:p>
    <w:p w:rsidR="003C5186" w:rsidRDefault="003C5186" w:rsidP="003C5186">
      <w:pPr>
        <w:jc w:val="both"/>
        <w:rPr>
          <w:rFonts w:ascii="Times New Roman" w:hAnsi="Times New Roman"/>
          <w:sz w:val="24"/>
          <w:szCs w:val="24"/>
          <w:lang w:val="sr-Cyrl-CS"/>
        </w:rPr>
      </w:pPr>
      <w:r>
        <w:rPr>
          <w:rFonts w:ascii="Times New Roman" w:hAnsi="Times New Roman"/>
          <w:sz w:val="24"/>
          <w:szCs w:val="24"/>
          <w:lang w:val="sr-Cyrl-CS"/>
        </w:rPr>
        <w:t>1000 Порези на доходак, добит и капиталне добитке (</w:t>
      </w:r>
      <w:r>
        <w:rPr>
          <w:rFonts w:ascii="Times New Roman" w:hAnsi="Times New Roman"/>
          <w:sz w:val="24"/>
          <w:szCs w:val="24"/>
        </w:rPr>
        <w:t>eng</w:t>
      </w:r>
      <w:r>
        <w:rPr>
          <w:rFonts w:ascii="Times New Roman" w:hAnsi="Times New Roman"/>
          <w:sz w:val="24"/>
          <w:szCs w:val="24"/>
          <w:lang w:val="sr-Cyrl-CS"/>
        </w:rPr>
        <w:t>.</w:t>
      </w:r>
      <w:r>
        <w:rPr>
          <w:rFonts w:ascii="Times New Roman" w:hAnsi="Times New Roman"/>
          <w:sz w:val="24"/>
          <w:szCs w:val="24"/>
        </w:rPr>
        <w:t xml:space="preserve"> Taxes on income, profits and capital gains)</w:t>
      </w:r>
    </w:p>
    <w:p w:rsidR="006C57C7" w:rsidRPr="006C57C7" w:rsidRDefault="006C57C7" w:rsidP="003C5186">
      <w:pPr>
        <w:jc w:val="both"/>
        <w:rPr>
          <w:rFonts w:ascii="Times New Roman" w:hAnsi="Times New Roman"/>
          <w:sz w:val="24"/>
          <w:szCs w:val="24"/>
        </w:rPr>
      </w:pPr>
      <w:r>
        <w:rPr>
          <w:rFonts w:ascii="Times New Roman" w:hAnsi="Times New Roman"/>
          <w:sz w:val="24"/>
          <w:szCs w:val="24"/>
          <w:lang w:val="sr-Cyrl-CS"/>
        </w:rPr>
        <w:tab/>
        <w:t>1100 Појединца</w:t>
      </w:r>
      <w:r>
        <w:rPr>
          <w:rFonts w:ascii="Times New Roman" w:hAnsi="Times New Roman"/>
          <w:sz w:val="24"/>
          <w:szCs w:val="24"/>
        </w:rPr>
        <w:t xml:space="preserve"> </w:t>
      </w:r>
    </w:p>
    <w:p w:rsidR="003C5186" w:rsidRPr="006C57C7" w:rsidRDefault="006C57C7" w:rsidP="006C57C7">
      <w:pPr>
        <w:ind w:left="708" w:firstLine="708"/>
        <w:jc w:val="both"/>
        <w:rPr>
          <w:rFonts w:ascii="Times New Roman" w:hAnsi="Times New Roman"/>
          <w:sz w:val="24"/>
          <w:szCs w:val="24"/>
        </w:rPr>
      </w:pPr>
      <w:r>
        <w:rPr>
          <w:rFonts w:ascii="Times New Roman" w:hAnsi="Times New Roman"/>
          <w:sz w:val="24"/>
          <w:szCs w:val="24"/>
        </w:rPr>
        <w:t>11</w:t>
      </w:r>
      <w:r>
        <w:rPr>
          <w:rFonts w:ascii="Times New Roman" w:hAnsi="Times New Roman"/>
          <w:sz w:val="24"/>
          <w:szCs w:val="24"/>
          <w:lang w:val="sr-Cyrl-CS"/>
        </w:rPr>
        <w:t>1</w:t>
      </w:r>
      <w:r w:rsidR="003C5186">
        <w:rPr>
          <w:rFonts w:ascii="Times New Roman" w:hAnsi="Times New Roman"/>
          <w:sz w:val="24"/>
          <w:szCs w:val="24"/>
        </w:rPr>
        <w:t xml:space="preserve">0 </w:t>
      </w:r>
      <w:r>
        <w:rPr>
          <w:rFonts w:ascii="Times New Roman" w:hAnsi="Times New Roman"/>
          <w:sz w:val="24"/>
          <w:szCs w:val="24"/>
        </w:rPr>
        <w:t>На доходак и добит</w:t>
      </w:r>
      <w:r>
        <w:rPr>
          <w:rFonts w:ascii="Times New Roman" w:hAnsi="Times New Roman"/>
          <w:sz w:val="24"/>
          <w:szCs w:val="24"/>
          <w:lang w:val="sr-Cyrl-CS"/>
        </w:rPr>
        <w:t xml:space="preserve"> </w:t>
      </w:r>
    </w:p>
    <w:p w:rsidR="003C5186" w:rsidRPr="006C57C7" w:rsidRDefault="003C5186" w:rsidP="006C57C7">
      <w:pPr>
        <w:ind w:firstLine="426"/>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1110</w:t>
      </w:r>
      <w:r w:rsidR="006C57C7">
        <w:rPr>
          <w:rFonts w:ascii="Times New Roman" w:hAnsi="Times New Roman"/>
          <w:sz w:val="24"/>
          <w:szCs w:val="24"/>
          <w:lang w:val="sr-Cyrl-CS"/>
        </w:rPr>
        <w:t xml:space="preserve"> На капиталне добитке </w:t>
      </w:r>
    </w:p>
    <w:p w:rsidR="003C5186" w:rsidRPr="00A96822" w:rsidRDefault="003C5186" w:rsidP="003C5186">
      <w:pPr>
        <w:jc w:val="both"/>
        <w:rPr>
          <w:rFonts w:ascii="Times New Roman" w:hAnsi="Times New Roman"/>
          <w:sz w:val="24"/>
          <w:szCs w:val="24"/>
        </w:rPr>
      </w:pPr>
      <w:r>
        <w:rPr>
          <w:rFonts w:ascii="Times New Roman" w:hAnsi="Times New Roman"/>
          <w:sz w:val="24"/>
          <w:szCs w:val="24"/>
        </w:rPr>
        <w:tab/>
        <w:t>1200</w:t>
      </w:r>
      <w:r w:rsidR="006C57C7">
        <w:rPr>
          <w:rFonts w:ascii="Times New Roman" w:hAnsi="Times New Roman"/>
          <w:sz w:val="24"/>
          <w:szCs w:val="24"/>
        </w:rPr>
        <w:t xml:space="preserve"> </w:t>
      </w:r>
      <w:r w:rsidR="00A96822">
        <w:rPr>
          <w:rFonts w:ascii="Times New Roman" w:hAnsi="Times New Roman"/>
          <w:sz w:val="24"/>
          <w:szCs w:val="24"/>
          <w:lang w:val="sr-Cyrl-CS"/>
        </w:rPr>
        <w:t xml:space="preserve">Корпорација </w:t>
      </w:r>
    </w:p>
    <w:p w:rsidR="003C5186" w:rsidRPr="00A96822" w:rsidRDefault="003C5186" w:rsidP="003C5186">
      <w:pPr>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1210</w:t>
      </w:r>
      <w:r w:rsidR="006C57C7">
        <w:rPr>
          <w:rFonts w:ascii="Times New Roman" w:hAnsi="Times New Roman"/>
          <w:sz w:val="24"/>
          <w:szCs w:val="24"/>
        </w:rPr>
        <w:t xml:space="preserve"> </w:t>
      </w:r>
      <w:r w:rsidR="00A96822">
        <w:rPr>
          <w:rFonts w:ascii="Times New Roman" w:hAnsi="Times New Roman"/>
          <w:sz w:val="24"/>
          <w:szCs w:val="24"/>
          <w:lang w:val="sr-Cyrl-CS"/>
        </w:rPr>
        <w:t xml:space="preserve">На доходак и добит </w:t>
      </w:r>
    </w:p>
    <w:p w:rsidR="003C5186" w:rsidRPr="00A96822" w:rsidRDefault="003C5186" w:rsidP="003C5186">
      <w:pPr>
        <w:ind w:left="708" w:firstLine="708"/>
        <w:jc w:val="both"/>
        <w:rPr>
          <w:rFonts w:ascii="Times New Roman" w:hAnsi="Times New Roman"/>
          <w:sz w:val="24"/>
          <w:szCs w:val="24"/>
        </w:rPr>
      </w:pPr>
      <w:r>
        <w:rPr>
          <w:rFonts w:ascii="Times New Roman" w:hAnsi="Times New Roman"/>
          <w:sz w:val="24"/>
          <w:szCs w:val="24"/>
        </w:rPr>
        <w:t>1220</w:t>
      </w:r>
      <w:r w:rsidR="006C57C7">
        <w:rPr>
          <w:rFonts w:ascii="Times New Roman" w:hAnsi="Times New Roman"/>
          <w:sz w:val="24"/>
          <w:szCs w:val="24"/>
        </w:rPr>
        <w:t xml:space="preserve"> </w:t>
      </w:r>
      <w:r w:rsidR="006C57C7">
        <w:rPr>
          <w:rFonts w:ascii="Times New Roman" w:hAnsi="Times New Roman"/>
          <w:sz w:val="24"/>
          <w:szCs w:val="24"/>
          <w:lang w:val="sr-Cyrl-CS"/>
        </w:rPr>
        <w:t xml:space="preserve">На </w:t>
      </w:r>
      <w:r w:rsidR="00A96822">
        <w:rPr>
          <w:rFonts w:ascii="Times New Roman" w:hAnsi="Times New Roman"/>
          <w:sz w:val="24"/>
          <w:szCs w:val="24"/>
          <w:lang w:val="sr-Cyrl-CS"/>
        </w:rPr>
        <w:t xml:space="preserve">капиталне добитке </w:t>
      </w:r>
    </w:p>
    <w:p w:rsidR="006C57C7" w:rsidRDefault="006C57C7" w:rsidP="006C57C7">
      <w:pPr>
        <w:jc w:val="both"/>
        <w:rPr>
          <w:rFonts w:ascii="Times New Roman" w:hAnsi="Times New Roman"/>
          <w:sz w:val="24"/>
          <w:szCs w:val="24"/>
        </w:rPr>
      </w:pPr>
      <w:r>
        <w:rPr>
          <w:rFonts w:ascii="Times New Roman" w:hAnsi="Times New Roman"/>
          <w:sz w:val="24"/>
          <w:szCs w:val="24"/>
          <w:lang w:val="sr-Cyrl-CS"/>
        </w:rPr>
        <w:tab/>
        <w:t>1300</w:t>
      </w:r>
      <w:r w:rsidR="00EA59A8">
        <w:rPr>
          <w:rFonts w:ascii="Times New Roman" w:hAnsi="Times New Roman"/>
          <w:sz w:val="24"/>
          <w:szCs w:val="24"/>
          <w:lang w:val="sr-Cyrl-CS"/>
        </w:rPr>
        <w:t xml:space="preserve"> Порези који се не могу рас</w:t>
      </w:r>
      <w:r w:rsidR="00A96822">
        <w:rPr>
          <w:rFonts w:ascii="Times New Roman" w:hAnsi="Times New Roman"/>
          <w:sz w:val="24"/>
          <w:szCs w:val="24"/>
          <w:lang w:val="sr-Cyrl-CS"/>
        </w:rPr>
        <w:t>п</w:t>
      </w:r>
      <w:r w:rsidR="00EA59A8">
        <w:rPr>
          <w:rFonts w:ascii="Times New Roman" w:hAnsi="Times New Roman"/>
          <w:sz w:val="24"/>
          <w:szCs w:val="24"/>
          <w:lang w:val="sr-Cyrl-CS"/>
        </w:rPr>
        <w:t>оделити између 1100 и 1200</w:t>
      </w:r>
    </w:p>
    <w:p w:rsidR="006C57C7" w:rsidRPr="00A96822" w:rsidRDefault="006C57C7" w:rsidP="006C57C7">
      <w:pPr>
        <w:jc w:val="both"/>
        <w:rPr>
          <w:rFonts w:ascii="Times New Roman" w:hAnsi="Times New Roman"/>
          <w:sz w:val="24"/>
          <w:szCs w:val="24"/>
        </w:rPr>
      </w:pPr>
      <w:r>
        <w:rPr>
          <w:rFonts w:ascii="Times New Roman" w:hAnsi="Times New Roman"/>
          <w:sz w:val="24"/>
          <w:szCs w:val="24"/>
          <w:lang w:val="sr-Cyrl-CS"/>
        </w:rPr>
        <w:t>2000</w:t>
      </w:r>
      <w:r w:rsidR="00EA59A8">
        <w:rPr>
          <w:rFonts w:ascii="Times New Roman" w:hAnsi="Times New Roman"/>
          <w:sz w:val="24"/>
          <w:szCs w:val="24"/>
          <w:lang w:val="sr-Cyrl-CS"/>
        </w:rPr>
        <w:t xml:space="preserve"> Доприноси за социјално осигурање</w:t>
      </w:r>
      <w:r w:rsidR="00A96822">
        <w:rPr>
          <w:rFonts w:ascii="Times New Roman" w:hAnsi="Times New Roman"/>
          <w:sz w:val="24"/>
          <w:szCs w:val="24"/>
        </w:rPr>
        <w:t xml:space="preserve"> (eng. Social security contributions)</w:t>
      </w:r>
    </w:p>
    <w:p w:rsidR="00EA59A8" w:rsidRDefault="006C57C7" w:rsidP="006C57C7">
      <w:pPr>
        <w:jc w:val="both"/>
        <w:rPr>
          <w:rFonts w:ascii="Times New Roman" w:hAnsi="Times New Roman"/>
          <w:sz w:val="24"/>
          <w:szCs w:val="24"/>
          <w:lang w:val="sr-Cyrl-CS"/>
        </w:rPr>
      </w:pPr>
      <w:r>
        <w:rPr>
          <w:rFonts w:ascii="Times New Roman" w:hAnsi="Times New Roman"/>
          <w:sz w:val="24"/>
          <w:szCs w:val="24"/>
          <w:lang w:val="sr-Cyrl-CS"/>
        </w:rPr>
        <w:tab/>
        <w:t>2100</w:t>
      </w:r>
      <w:r w:rsidR="00EA59A8">
        <w:rPr>
          <w:rFonts w:ascii="Times New Roman" w:hAnsi="Times New Roman"/>
          <w:sz w:val="24"/>
          <w:szCs w:val="24"/>
          <w:lang w:val="sr-Cyrl-CS"/>
        </w:rPr>
        <w:t xml:space="preserve"> Доприноси које плаћају запослени</w:t>
      </w:r>
    </w:p>
    <w:p w:rsidR="006C57C7" w:rsidRDefault="006C57C7" w:rsidP="006C57C7">
      <w:pPr>
        <w:jc w:val="both"/>
        <w:rPr>
          <w:rFonts w:ascii="Times New Roman" w:hAnsi="Times New Roman"/>
          <w:sz w:val="24"/>
          <w:szCs w:val="24"/>
          <w:lang w:val="sr-Cyrl-CS"/>
        </w:rPr>
      </w:pPr>
      <w:r>
        <w:rPr>
          <w:rFonts w:ascii="Times New Roman" w:hAnsi="Times New Roman"/>
          <w:sz w:val="24"/>
          <w:szCs w:val="24"/>
          <w:lang w:val="sr-Cyrl-CS"/>
        </w:rPr>
        <w:tab/>
        <w:t>2200</w:t>
      </w:r>
      <w:r w:rsidR="00EA59A8">
        <w:rPr>
          <w:rFonts w:ascii="Times New Roman" w:hAnsi="Times New Roman"/>
          <w:sz w:val="24"/>
          <w:szCs w:val="24"/>
          <w:lang w:val="sr-Cyrl-CS"/>
        </w:rPr>
        <w:t xml:space="preserve"> Доприноси које плаћају послодавци</w:t>
      </w:r>
    </w:p>
    <w:p w:rsidR="006C57C7" w:rsidRDefault="006C57C7" w:rsidP="006C57C7">
      <w:pPr>
        <w:jc w:val="both"/>
        <w:rPr>
          <w:rFonts w:ascii="Times New Roman" w:hAnsi="Times New Roman"/>
          <w:sz w:val="24"/>
          <w:szCs w:val="24"/>
          <w:lang w:val="sr-Cyrl-CS"/>
        </w:rPr>
      </w:pPr>
      <w:r>
        <w:rPr>
          <w:rFonts w:ascii="Times New Roman" w:hAnsi="Times New Roman"/>
          <w:sz w:val="24"/>
          <w:szCs w:val="24"/>
          <w:lang w:val="sr-Cyrl-CS"/>
        </w:rPr>
        <w:tab/>
        <w:t>2300</w:t>
      </w:r>
      <w:r w:rsidR="00EA59A8">
        <w:rPr>
          <w:rFonts w:ascii="Times New Roman" w:hAnsi="Times New Roman"/>
          <w:sz w:val="24"/>
          <w:szCs w:val="24"/>
          <w:lang w:val="sr-Cyrl-CS"/>
        </w:rPr>
        <w:t xml:space="preserve"> Доприноси </w:t>
      </w:r>
      <w:r w:rsidR="00101EC2">
        <w:rPr>
          <w:rFonts w:ascii="Times New Roman" w:hAnsi="Times New Roman"/>
          <w:sz w:val="24"/>
          <w:szCs w:val="24"/>
          <w:lang w:val="sr-Cyrl-CS"/>
        </w:rPr>
        <w:t>које плаћају лица која обављају самосталну делатност и незапослени</w:t>
      </w:r>
    </w:p>
    <w:p w:rsidR="006C57C7" w:rsidRDefault="006C57C7" w:rsidP="006C57C7">
      <w:pPr>
        <w:jc w:val="both"/>
        <w:rPr>
          <w:rFonts w:ascii="Times New Roman" w:hAnsi="Times New Roman"/>
          <w:sz w:val="24"/>
          <w:szCs w:val="24"/>
          <w:lang w:val="sr-Cyrl-CS"/>
        </w:rPr>
      </w:pPr>
      <w:r>
        <w:rPr>
          <w:rFonts w:ascii="Times New Roman" w:hAnsi="Times New Roman"/>
          <w:sz w:val="24"/>
          <w:szCs w:val="24"/>
          <w:lang w:val="sr-Cyrl-CS"/>
        </w:rPr>
        <w:tab/>
        <w:t>2400</w:t>
      </w:r>
      <w:r w:rsidR="00EA59A8">
        <w:rPr>
          <w:rFonts w:ascii="Times New Roman" w:hAnsi="Times New Roman"/>
          <w:sz w:val="24"/>
          <w:szCs w:val="24"/>
          <w:lang w:val="sr-Cyrl-CS"/>
        </w:rPr>
        <w:t xml:space="preserve"> Доприноси</w:t>
      </w:r>
      <w:r w:rsidR="00101EC2">
        <w:rPr>
          <w:rFonts w:ascii="Times New Roman" w:hAnsi="Times New Roman"/>
          <w:sz w:val="24"/>
          <w:szCs w:val="24"/>
          <w:lang w:val="sr-Cyrl-CS"/>
        </w:rPr>
        <w:t xml:space="preserve"> који се не могу расподелити између 2100, 2200 и 2300</w:t>
      </w:r>
    </w:p>
    <w:p w:rsidR="006C57C7" w:rsidRPr="00A96822" w:rsidRDefault="006C57C7" w:rsidP="006C57C7">
      <w:pPr>
        <w:jc w:val="both"/>
        <w:rPr>
          <w:rFonts w:ascii="Times New Roman" w:hAnsi="Times New Roman"/>
          <w:sz w:val="24"/>
          <w:szCs w:val="24"/>
        </w:rPr>
      </w:pPr>
      <w:r>
        <w:rPr>
          <w:rFonts w:ascii="Times New Roman" w:hAnsi="Times New Roman"/>
          <w:sz w:val="24"/>
          <w:szCs w:val="24"/>
          <w:lang w:val="sr-Cyrl-CS"/>
        </w:rPr>
        <w:t>3000</w:t>
      </w:r>
      <w:r w:rsidR="00101EC2">
        <w:rPr>
          <w:rFonts w:ascii="Times New Roman" w:hAnsi="Times New Roman"/>
          <w:sz w:val="24"/>
          <w:szCs w:val="24"/>
          <w:lang w:val="sr-Cyrl-CS"/>
        </w:rPr>
        <w:t xml:space="preserve"> Порези на платни списак и радну снагу</w:t>
      </w:r>
      <w:r w:rsidR="00A96822">
        <w:rPr>
          <w:rFonts w:ascii="Times New Roman" w:hAnsi="Times New Roman"/>
          <w:sz w:val="24"/>
          <w:szCs w:val="24"/>
        </w:rPr>
        <w:t xml:space="preserve"> (eng. Taxes on payroll and worforce)</w:t>
      </w:r>
    </w:p>
    <w:p w:rsidR="006C57C7" w:rsidRPr="00A96822" w:rsidRDefault="006C57C7" w:rsidP="006C57C7">
      <w:pPr>
        <w:jc w:val="both"/>
        <w:rPr>
          <w:rFonts w:ascii="Times New Roman" w:hAnsi="Times New Roman"/>
          <w:sz w:val="24"/>
          <w:szCs w:val="24"/>
        </w:rPr>
      </w:pPr>
      <w:r>
        <w:rPr>
          <w:rFonts w:ascii="Times New Roman" w:hAnsi="Times New Roman"/>
          <w:sz w:val="24"/>
          <w:szCs w:val="24"/>
          <w:lang w:val="sr-Cyrl-CS"/>
        </w:rPr>
        <w:t>4000</w:t>
      </w:r>
      <w:r w:rsidR="00101EC2">
        <w:rPr>
          <w:rFonts w:ascii="Times New Roman" w:hAnsi="Times New Roman"/>
          <w:sz w:val="24"/>
          <w:szCs w:val="24"/>
          <w:lang w:val="sr-Cyrl-CS"/>
        </w:rPr>
        <w:t xml:space="preserve"> Порези на имовину</w:t>
      </w:r>
      <w:r w:rsidR="00A96822">
        <w:rPr>
          <w:rFonts w:ascii="Times New Roman" w:hAnsi="Times New Roman"/>
          <w:sz w:val="24"/>
          <w:szCs w:val="24"/>
        </w:rPr>
        <w:t xml:space="preserve"> ( eng. Taxes on property)</w:t>
      </w:r>
    </w:p>
    <w:p w:rsidR="006C57C7" w:rsidRDefault="006C57C7" w:rsidP="006C57C7">
      <w:pPr>
        <w:jc w:val="both"/>
        <w:rPr>
          <w:rFonts w:ascii="Times New Roman" w:hAnsi="Times New Roman"/>
          <w:sz w:val="24"/>
          <w:szCs w:val="24"/>
          <w:lang w:val="sr-Cyrl-CS"/>
        </w:rPr>
      </w:pPr>
      <w:r>
        <w:rPr>
          <w:rFonts w:ascii="Times New Roman" w:hAnsi="Times New Roman"/>
          <w:sz w:val="24"/>
          <w:szCs w:val="24"/>
          <w:lang w:val="sr-Cyrl-CS"/>
        </w:rPr>
        <w:tab/>
        <w:t>4100</w:t>
      </w:r>
      <w:r w:rsidR="00101EC2">
        <w:rPr>
          <w:rFonts w:ascii="Times New Roman" w:hAnsi="Times New Roman"/>
          <w:sz w:val="24"/>
          <w:szCs w:val="24"/>
          <w:lang w:val="sr-Cyrl-CS"/>
        </w:rPr>
        <w:t xml:space="preserve"> Периодични порези на непокретности</w:t>
      </w:r>
    </w:p>
    <w:p w:rsidR="006C57C7" w:rsidRDefault="006C57C7" w:rsidP="006C57C7">
      <w:pPr>
        <w:jc w:val="both"/>
        <w:rPr>
          <w:rFonts w:ascii="Times New Roman" w:hAnsi="Times New Roman"/>
          <w:sz w:val="24"/>
          <w:szCs w:val="24"/>
          <w:lang w:val="sr-Cyrl-CS"/>
        </w:rPr>
      </w:pPr>
      <w:r>
        <w:rPr>
          <w:rFonts w:ascii="Times New Roman" w:hAnsi="Times New Roman"/>
          <w:sz w:val="24"/>
          <w:szCs w:val="24"/>
          <w:lang w:val="sr-Cyrl-CS"/>
        </w:rPr>
        <w:tab/>
      </w:r>
      <w:r>
        <w:rPr>
          <w:rFonts w:ascii="Times New Roman" w:hAnsi="Times New Roman"/>
          <w:sz w:val="24"/>
          <w:szCs w:val="24"/>
          <w:lang w:val="sr-Cyrl-CS"/>
        </w:rPr>
        <w:tab/>
        <w:t>4110</w:t>
      </w:r>
      <w:r w:rsidR="00101EC2">
        <w:rPr>
          <w:rFonts w:ascii="Times New Roman" w:hAnsi="Times New Roman"/>
          <w:sz w:val="24"/>
          <w:szCs w:val="24"/>
          <w:lang w:val="sr-Cyrl-CS"/>
        </w:rPr>
        <w:t xml:space="preserve"> Порези које плаћају домаћинства</w:t>
      </w:r>
    </w:p>
    <w:p w:rsidR="006C57C7" w:rsidRDefault="006C57C7" w:rsidP="006C57C7">
      <w:pPr>
        <w:jc w:val="both"/>
        <w:rPr>
          <w:rFonts w:ascii="Times New Roman" w:hAnsi="Times New Roman"/>
          <w:sz w:val="24"/>
          <w:szCs w:val="24"/>
          <w:lang w:val="sr-Cyrl-CS"/>
        </w:rPr>
      </w:pPr>
      <w:r>
        <w:rPr>
          <w:rFonts w:ascii="Times New Roman" w:hAnsi="Times New Roman"/>
          <w:sz w:val="24"/>
          <w:szCs w:val="24"/>
          <w:lang w:val="sr-Cyrl-CS"/>
        </w:rPr>
        <w:tab/>
      </w:r>
      <w:r>
        <w:rPr>
          <w:rFonts w:ascii="Times New Roman" w:hAnsi="Times New Roman"/>
          <w:sz w:val="24"/>
          <w:szCs w:val="24"/>
          <w:lang w:val="sr-Cyrl-CS"/>
        </w:rPr>
        <w:tab/>
        <w:t>4120</w:t>
      </w:r>
      <w:r w:rsidR="00101EC2">
        <w:rPr>
          <w:rFonts w:ascii="Times New Roman" w:hAnsi="Times New Roman"/>
          <w:sz w:val="24"/>
          <w:szCs w:val="24"/>
          <w:lang w:val="sr-Cyrl-CS"/>
        </w:rPr>
        <w:t xml:space="preserve"> Остали порези</w:t>
      </w:r>
    </w:p>
    <w:p w:rsidR="006C57C7" w:rsidRDefault="006C57C7" w:rsidP="006C57C7">
      <w:pPr>
        <w:jc w:val="both"/>
        <w:rPr>
          <w:rFonts w:ascii="Times New Roman" w:hAnsi="Times New Roman"/>
          <w:sz w:val="24"/>
          <w:szCs w:val="24"/>
          <w:lang w:val="sr-Cyrl-CS"/>
        </w:rPr>
      </w:pPr>
      <w:r>
        <w:rPr>
          <w:rFonts w:ascii="Times New Roman" w:hAnsi="Times New Roman"/>
          <w:sz w:val="24"/>
          <w:szCs w:val="24"/>
          <w:lang w:val="sr-Cyrl-CS"/>
        </w:rPr>
        <w:tab/>
        <w:t>4200</w:t>
      </w:r>
      <w:r w:rsidR="00101EC2">
        <w:rPr>
          <w:rFonts w:ascii="Times New Roman" w:hAnsi="Times New Roman"/>
          <w:sz w:val="24"/>
          <w:szCs w:val="24"/>
          <w:lang w:val="sr-Cyrl-CS"/>
        </w:rPr>
        <w:t xml:space="preserve"> Периодични порези на нето имовину</w:t>
      </w:r>
    </w:p>
    <w:p w:rsidR="006C57C7" w:rsidRDefault="006C57C7" w:rsidP="006C57C7">
      <w:pPr>
        <w:jc w:val="both"/>
        <w:rPr>
          <w:rFonts w:ascii="Times New Roman" w:hAnsi="Times New Roman"/>
          <w:sz w:val="24"/>
          <w:szCs w:val="24"/>
          <w:lang w:val="sr-Cyrl-CS"/>
        </w:rPr>
      </w:pPr>
      <w:r>
        <w:rPr>
          <w:rFonts w:ascii="Times New Roman" w:hAnsi="Times New Roman"/>
          <w:sz w:val="24"/>
          <w:szCs w:val="24"/>
          <w:lang w:val="sr-Cyrl-CS"/>
        </w:rPr>
        <w:tab/>
      </w:r>
      <w:r>
        <w:rPr>
          <w:rFonts w:ascii="Times New Roman" w:hAnsi="Times New Roman"/>
          <w:sz w:val="24"/>
          <w:szCs w:val="24"/>
          <w:lang w:val="sr-Cyrl-CS"/>
        </w:rPr>
        <w:tab/>
        <w:t>4210</w:t>
      </w:r>
      <w:r w:rsidR="00101EC2">
        <w:rPr>
          <w:rFonts w:ascii="Times New Roman" w:hAnsi="Times New Roman"/>
          <w:sz w:val="24"/>
          <w:szCs w:val="24"/>
          <w:lang w:val="sr-Cyrl-CS"/>
        </w:rPr>
        <w:t>Порези које плаћају појединици</w:t>
      </w:r>
    </w:p>
    <w:p w:rsidR="006C57C7" w:rsidRDefault="006C57C7" w:rsidP="006C57C7">
      <w:pPr>
        <w:jc w:val="both"/>
        <w:rPr>
          <w:rFonts w:ascii="Times New Roman" w:hAnsi="Times New Roman"/>
          <w:sz w:val="24"/>
          <w:szCs w:val="24"/>
          <w:lang w:val="sr-Cyrl-CS"/>
        </w:rPr>
      </w:pPr>
      <w:r>
        <w:rPr>
          <w:rFonts w:ascii="Times New Roman" w:hAnsi="Times New Roman"/>
          <w:sz w:val="24"/>
          <w:szCs w:val="24"/>
          <w:lang w:val="sr-Cyrl-CS"/>
        </w:rPr>
        <w:tab/>
      </w:r>
      <w:r>
        <w:rPr>
          <w:rFonts w:ascii="Times New Roman" w:hAnsi="Times New Roman"/>
          <w:sz w:val="24"/>
          <w:szCs w:val="24"/>
          <w:lang w:val="sr-Cyrl-CS"/>
        </w:rPr>
        <w:tab/>
        <w:t>4220</w:t>
      </w:r>
      <w:r w:rsidR="00101EC2">
        <w:rPr>
          <w:rFonts w:ascii="Times New Roman" w:hAnsi="Times New Roman"/>
          <w:sz w:val="24"/>
          <w:szCs w:val="24"/>
          <w:lang w:val="sr-Cyrl-CS"/>
        </w:rPr>
        <w:t xml:space="preserve"> Порези које плаћају корпорације</w:t>
      </w:r>
    </w:p>
    <w:p w:rsidR="006C57C7" w:rsidRDefault="006C57C7" w:rsidP="006C57C7">
      <w:pPr>
        <w:jc w:val="both"/>
        <w:rPr>
          <w:rFonts w:ascii="Times New Roman" w:hAnsi="Times New Roman"/>
          <w:sz w:val="24"/>
          <w:szCs w:val="24"/>
          <w:lang w:val="sr-Cyrl-CS"/>
        </w:rPr>
      </w:pPr>
      <w:r>
        <w:rPr>
          <w:rFonts w:ascii="Times New Roman" w:hAnsi="Times New Roman"/>
          <w:sz w:val="24"/>
          <w:szCs w:val="24"/>
          <w:lang w:val="sr-Cyrl-CS"/>
        </w:rPr>
        <w:tab/>
        <w:t>4300</w:t>
      </w:r>
      <w:r w:rsidR="00101EC2">
        <w:rPr>
          <w:rFonts w:ascii="Times New Roman" w:hAnsi="Times New Roman"/>
          <w:sz w:val="24"/>
          <w:szCs w:val="24"/>
          <w:lang w:val="sr-Cyrl-CS"/>
        </w:rPr>
        <w:t xml:space="preserve"> Порези на оставину, наслеђе и поклон</w:t>
      </w:r>
    </w:p>
    <w:p w:rsidR="006C57C7" w:rsidRDefault="006C57C7" w:rsidP="006C57C7">
      <w:pPr>
        <w:jc w:val="both"/>
        <w:rPr>
          <w:rFonts w:ascii="Times New Roman" w:hAnsi="Times New Roman"/>
          <w:sz w:val="24"/>
          <w:szCs w:val="24"/>
          <w:lang w:val="sr-Cyrl-CS"/>
        </w:rPr>
      </w:pPr>
      <w:r>
        <w:rPr>
          <w:rFonts w:ascii="Times New Roman" w:hAnsi="Times New Roman"/>
          <w:sz w:val="24"/>
          <w:szCs w:val="24"/>
          <w:lang w:val="sr-Cyrl-CS"/>
        </w:rPr>
        <w:tab/>
      </w:r>
      <w:r>
        <w:rPr>
          <w:rFonts w:ascii="Times New Roman" w:hAnsi="Times New Roman"/>
          <w:sz w:val="24"/>
          <w:szCs w:val="24"/>
          <w:lang w:val="sr-Cyrl-CS"/>
        </w:rPr>
        <w:tab/>
        <w:t>4310</w:t>
      </w:r>
      <w:r w:rsidR="00101EC2">
        <w:rPr>
          <w:rFonts w:ascii="Times New Roman" w:hAnsi="Times New Roman"/>
          <w:sz w:val="24"/>
          <w:szCs w:val="24"/>
          <w:lang w:val="sr-Cyrl-CS"/>
        </w:rPr>
        <w:t xml:space="preserve"> Порези на оставину и наслеђе</w:t>
      </w:r>
    </w:p>
    <w:p w:rsidR="006C57C7" w:rsidRDefault="006C57C7" w:rsidP="006C57C7">
      <w:pPr>
        <w:jc w:val="both"/>
        <w:rPr>
          <w:rFonts w:ascii="Times New Roman" w:hAnsi="Times New Roman"/>
          <w:sz w:val="24"/>
          <w:szCs w:val="24"/>
          <w:lang w:val="sr-Cyrl-CS"/>
        </w:rPr>
      </w:pPr>
      <w:r>
        <w:rPr>
          <w:rFonts w:ascii="Times New Roman" w:hAnsi="Times New Roman"/>
          <w:sz w:val="24"/>
          <w:szCs w:val="24"/>
          <w:lang w:val="sr-Cyrl-CS"/>
        </w:rPr>
        <w:lastRenderedPageBreak/>
        <w:tab/>
      </w:r>
      <w:r>
        <w:rPr>
          <w:rFonts w:ascii="Times New Roman" w:hAnsi="Times New Roman"/>
          <w:sz w:val="24"/>
          <w:szCs w:val="24"/>
          <w:lang w:val="sr-Cyrl-CS"/>
        </w:rPr>
        <w:tab/>
        <w:t>4320</w:t>
      </w:r>
      <w:r w:rsidR="00101EC2">
        <w:rPr>
          <w:rFonts w:ascii="Times New Roman" w:hAnsi="Times New Roman"/>
          <w:sz w:val="24"/>
          <w:szCs w:val="24"/>
          <w:lang w:val="sr-Cyrl-CS"/>
        </w:rPr>
        <w:t xml:space="preserve"> Порези на поклоне</w:t>
      </w:r>
    </w:p>
    <w:p w:rsidR="006C57C7" w:rsidRDefault="006C57C7" w:rsidP="006C57C7">
      <w:pPr>
        <w:jc w:val="both"/>
        <w:rPr>
          <w:rFonts w:ascii="Times New Roman" w:hAnsi="Times New Roman"/>
          <w:sz w:val="24"/>
          <w:szCs w:val="24"/>
          <w:lang w:val="sr-Cyrl-CS"/>
        </w:rPr>
      </w:pPr>
      <w:r>
        <w:rPr>
          <w:rFonts w:ascii="Times New Roman" w:hAnsi="Times New Roman"/>
          <w:sz w:val="24"/>
          <w:szCs w:val="24"/>
          <w:lang w:val="sr-Cyrl-CS"/>
        </w:rPr>
        <w:tab/>
        <w:t>4400</w:t>
      </w:r>
      <w:r w:rsidR="00101EC2">
        <w:rPr>
          <w:rFonts w:ascii="Times New Roman" w:hAnsi="Times New Roman"/>
          <w:sz w:val="24"/>
          <w:szCs w:val="24"/>
          <w:lang w:val="sr-Cyrl-CS"/>
        </w:rPr>
        <w:t xml:space="preserve"> Порези на финансијске и капиталне трансакције</w:t>
      </w:r>
    </w:p>
    <w:p w:rsidR="00101EC2" w:rsidRDefault="006C57C7" w:rsidP="006C57C7">
      <w:pPr>
        <w:jc w:val="both"/>
        <w:rPr>
          <w:rFonts w:ascii="Times New Roman" w:hAnsi="Times New Roman"/>
          <w:sz w:val="24"/>
          <w:szCs w:val="24"/>
          <w:lang w:val="sr-Cyrl-CS"/>
        </w:rPr>
      </w:pPr>
      <w:r>
        <w:rPr>
          <w:rFonts w:ascii="Times New Roman" w:hAnsi="Times New Roman"/>
          <w:sz w:val="24"/>
          <w:szCs w:val="24"/>
          <w:lang w:val="sr-Cyrl-CS"/>
        </w:rPr>
        <w:tab/>
        <w:t>4500</w:t>
      </w:r>
      <w:r w:rsidR="00101EC2">
        <w:rPr>
          <w:rFonts w:ascii="Times New Roman" w:hAnsi="Times New Roman"/>
          <w:sz w:val="24"/>
          <w:szCs w:val="24"/>
          <w:lang w:val="sr-Cyrl-CS"/>
        </w:rPr>
        <w:t xml:space="preserve"> Остали непериодични порези на имовину</w:t>
      </w:r>
    </w:p>
    <w:p w:rsidR="006C57C7" w:rsidRDefault="006C57C7" w:rsidP="006C57C7">
      <w:pPr>
        <w:jc w:val="both"/>
        <w:rPr>
          <w:rFonts w:ascii="Times New Roman" w:hAnsi="Times New Roman"/>
          <w:sz w:val="24"/>
          <w:szCs w:val="24"/>
          <w:lang w:val="sr-Cyrl-CS"/>
        </w:rPr>
      </w:pPr>
      <w:r>
        <w:rPr>
          <w:rFonts w:ascii="Times New Roman" w:hAnsi="Times New Roman"/>
          <w:sz w:val="24"/>
          <w:szCs w:val="24"/>
          <w:lang w:val="sr-Cyrl-CS"/>
        </w:rPr>
        <w:tab/>
        <w:t>4600</w:t>
      </w:r>
      <w:r w:rsidR="00101EC2">
        <w:rPr>
          <w:rFonts w:ascii="Times New Roman" w:hAnsi="Times New Roman"/>
          <w:sz w:val="24"/>
          <w:szCs w:val="24"/>
          <w:lang w:val="sr-Cyrl-CS"/>
        </w:rPr>
        <w:t xml:space="preserve"> </w:t>
      </w:r>
      <w:r w:rsidR="00E223D2">
        <w:rPr>
          <w:rFonts w:ascii="Times New Roman" w:hAnsi="Times New Roman"/>
          <w:sz w:val="24"/>
          <w:szCs w:val="24"/>
          <w:lang w:val="sr-Cyrl-CS"/>
        </w:rPr>
        <w:t>Остали периодични порези на имовину</w:t>
      </w:r>
    </w:p>
    <w:p w:rsidR="006C57C7" w:rsidRPr="00A96822" w:rsidRDefault="006C57C7" w:rsidP="006C57C7">
      <w:pPr>
        <w:jc w:val="both"/>
        <w:rPr>
          <w:rFonts w:ascii="Times New Roman" w:hAnsi="Times New Roman"/>
          <w:sz w:val="24"/>
          <w:szCs w:val="24"/>
        </w:rPr>
      </w:pPr>
      <w:r>
        <w:rPr>
          <w:rFonts w:ascii="Times New Roman" w:hAnsi="Times New Roman"/>
          <w:sz w:val="24"/>
          <w:szCs w:val="24"/>
          <w:lang w:val="sr-Cyrl-CS"/>
        </w:rPr>
        <w:t>5000</w:t>
      </w:r>
      <w:r w:rsidR="00E223D2">
        <w:rPr>
          <w:rFonts w:ascii="Times New Roman" w:hAnsi="Times New Roman"/>
          <w:sz w:val="24"/>
          <w:szCs w:val="24"/>
          <w:lang w:val="sr-Cyrl-CS"/>
        </w:rPr>
        <w:t xml:space="preserve"> Порези на добра и услуге</w:t>
      </w:r>
      <w:r w:rsidR="00A96822">
        <w:rPr>
          <w:rFonts w:ascii="Times New Roman" w:hAnsi="Times New Roman"/>
          <w:sz w:val="24"/>
          <w:szCs w:val="24"/>
        </w:rPr>
        <w:t xml:space="preserve"> (eng. Taxes on goods and services)</w:t>
      </w:r>
    </w:p>
    <w:p w:rsidR="00A96822" w:rsidRDefault="006C57C7" w:rsidP="006C57C7">
      <w:pPr>
        <w:jc w:val="both"/>
        <w:rPr>
          <w:rFonts w:ascii="Times New Roman" w:hAnsi="Times New Roman"/>
          <w:sz w:val="24"/>
          <w:szCs w:val="24"/>
          <w:lang w:val="sr-Cyrl-CS"/>
        </w:rPr>
      </w:pPr>
      <w:r>
        <w:rPr>
          <w:rFonts w:ascii="Times New Roman" w:hAnsi="Times New Roman"/>
          <w:sz w:val="24"/>
          <w:szCs w:val="24"/>
          <w:lang w:val="sr-Cyrl-CS"/>
        </w:rPr>
        <w:tab/>
        <w:t>5100</w:t>
      </w:r>
      <w:r w:rsidR="00E223D2">
        <w:rPr>
          <w:rFonts w:ascii="Times New Roman" w:hAnsi="Times New Roman"/>
          <w:sz w:val="24"/>
          <w:szCs w:val="24"/>
          <w:lang w:val="sr-Cyrl-CS"/>
        </w:rPr>
        <w:t xml:space="preserve"> Порези на производњу, продају, трансфер, лизинг и испоруку добара и</w:t>
      </w:r>
      <w:r w:rsidR="00A96822">
        <w:rPr>
          <w:rFonts w:ascii="Times New Roman" w:hAnsi="Times New Roman"/>
          <w:sz w:val="24"/>
          <w:szCs w:val="24"/>
          <w:lang w:val="sr-Cyrl-CS"/>
        </w:rPr>
        <w:t xml:space="preserve"> </w:t>
      </w:r>
    </w:p>
    <w:p w:rsidR="00A96822" w:rsidRDefault="00A96822" w:rsidP="006C57C7">
      <w:pPr>
        <w:jc w:val="both"/>
        <w:rPr>
          <w:rFonts w:ascii="Times New Roman" w:hAnsi="Times New Roman"/>
          <w:sz w:val="24"/>
          <w:szCs w:val="24"/>
          <w:lang w:val="sr-Cyrl-CS"/>
        </w:rPr>
      </w:pPr>
      <w:r>
        <w:rPr>
          <w:rFonts w:ascii="Times New Roman" w:hAnsi="Times New Roman"/>
          <w:sz w:val="24"/>
          <w:szCs w:val="24"/>
          <w:lang w:val="sr-Cyrl-CS"/>
        </w:rPr>
        <w:t xml:space="preserve">                     вршење услуга</w:t>
      </w:r>
    </w:p>
    <w:p w:rsidR="006C57C7" w:rsidRDefault="00A96822" w:rsidP="006C57C7">
      <w:pPr>
        <w:jc w:val="both"/>
        <w:rPr>
          <w:rFonts w:ascii="Times New Roman" w:hAnsi="Times New Roman"/>
          <w:sz w:val="24"/>
          <w:szCs w:val="24"/>
          <w:lang w:val="sr-Cyrl-CS"/>
        </w:rPr>
      </w:pPr>
      <w:r>
        <w:rPr>
          <w:rFonts w:ascii="Times New Roman" w:hAnsi="Times New Roman"/>
          <w:sz w:val="24"/>
          <w:szCs w:val="24"/>
          <w:lang w:val="sr-Cyrl-CS"/>
        </w:rPr>
        <w:t xml:space="preserve"> </w:t>
      </w:r>
      <w:r w:rsidR="006C57C7">
        <w:rPr>
          <w:rFonts w:ascii="Times New Roman" w:hAnsi="Times New Roman"/>
          <w:sz w:val="24"/>
          <w:szCs w:val="24"/>
          <w:lang w:val="sr-Cyrl-CS"/>
        </w:rPr>
        <w:tab/>
      </w:r>
      <w:r w:rsidR="006C57C7">
        <w:rPr>
          <w:rFonts w:ascii="Times New Roman" w:hAnsi="Times New Roman"/>
          <w:sz w:val="24"/>
          <w:szCs w:val="24"/>
          <w:lang w:val="sr-Cyrl-CS"/>
        </w:rPr>
        <w:tab/>
        <w:t>5110</w:t>
      </w:r>
      <w:r w:rsidR="00E223D2">
        <w:rPr>
          <w:rFonts w:ascii="Times New Roman" w:hAnsi="Times New Roman"/>
          <w:sz w:val="24"/>
          <w:szCs w:val="24"/>
          <w:lang w:val="sr-Cyrl-CS"/>
        </w:rPr>
        <w:t xml:space="preserve"> Општи порези</w:t>
      </w:r>
    </w:p>
    <w:p w:rsidR="006C57C7" w:rsidRDefault="006C57C7" w:rsidP="006C57C7">
      <w:pPr>
        <w:jc w:val="both"/>
        <w:rPr>
          <w:rFonts w:ascii="Times New Roman" w:hAnsi="Times New Roman"/>
          <w:sz w:val="24"/>
          <w:szCs w:val="24"/>
          <w:lang w:val="sr-Cyrl-CS"/>
        </w:rPr>
      </w:pPr>
      <w:r>
        <w:rPr>
          <w:rFonts w:ascii="Times New Roman" w:hAnsi="Times New Roman"/>
          <w:sz w:val="24"/>
          <w:szCs w:val="24"/>
          <w:lang w:val="sr-Cyrl-CS"/>
        </w:rPr>
        <w:tab/>
      </w:r>
      <w:r>
        <w:rPr>
          <w:rFonts w:ascii="Times New Roman" w:hAnsi="Times New Roman"/>
          <w:sz w:val="24"/>
          <w:szCs w:val="24"/>
          <w:lang w:val="sr-Cyrl-CS"/>
        </w:rPr>
        <w:tab/>
      </w:r>
      <w:r>
        <w:rPr>
          <w:rFonts w:ascii="Times New Roman" w:hAnsi="Times New Roman"/>
          <w:sz w:val="24"/>
          <w:szCs w:val="24"/>
          <w:lang w:val="sr-Cyrl-CS"/>
        </w:rPr>
        <w:tab/>
        <w:t>5111</w:t>
      </w:r>
      <w:r w:rsidR="00E223D2">
        <w:rPr>
          <w:rFonts w:ascii="Times New Roman" w:hAnsi="Times New Roman"/>
          <w:sz w:val="24"/>
          <w:szCs w:val="24"/>
          <w:lang w:val="sr-Cyrl-CS"/>
        </w:rPr>
        <w:t xml:space="preserve"> Порез на додату вредност</w:t>
      </w:r>
    </w:p>
    <w:p w:rsidR="006C57C7" w:rsidRDefault="006C57C7" w:rsidP="006C57C7">
      <w:pPr>
        <w:jc w:val="both"/>
        <w:rPr>
          <w:rFonts w:ascii="Times New Roman" w:hAnsi="Times New Roman"/>
          <w:sz w:val="24"/>
          <w:szCs w:val="24"/>
          <w:lang w:val="sr-Cyrl-CS"/>
        </w:rPr>
      </w:pPr>
      <w:r>
        <w:rPr>
          <w:rFonts w:ascii="Times New Roman" w:hAnsi="Times New Roman"/>
          <w:sz w:val="24"/>
          <w:szCs w:val="24"/>
          <w:lang w:val="sr-Cyrl-CS"/>
        </w:rPr>
        <w:tab/>
      </w:r>
      <w:r>
        <w:rPr>
          <w:rFonts w:ascii="Times New Roman" w:hAnsi="Times New Roman"/>
          <w:sz w:val="24"/>
          <w:szCs w:val="24"/>
          <w:lang w:val="sr-Cyrl-CS"/>
        </w:rPr>
        <w:tab/>
      </w:r>
      <w:r>
        <w:rPr>
          <w:rFonts w:ascii="Times New Roman" w:hAnsi="Times New Roman"/>
          <w:sz w:val="24"/>
          <w:szCs w:val="24"/>
          <w:lang w:val="sr-Cyrl-CS"/>
        </w:rPr>
        <w:tab/>
        <w:t>5112</w:t>
      </w:r>
      <w:r w:rsidR="00E223D2">
        <w:rPr>
          <w:rFonts w:ascii="Times New Roman" w:hAnsi="Times New Roman"/>
          <w:sz w:val="24"/>
          <w:szCs w:val="24"/>
          <w:lang w:val="sr-Cyrl-CS"/>
        </w:rPr>
        <w:t xml:space="preserve"> Порез на промет</w:t>
      </w:r>
    </w:p>
    <w:p w:rsidR="006C57C7" w:rsidRDefault="006C57C7" w:rsidP="006C57C7">
      <w:pPr>
        <w:jc w:val="both"/>
        <w:rPr>
          <w:rFonts w:ascii="Times New Roman" w:hAnsi="Times New Roman"/>
          <w:sz w:val="24"/>
          <w:szCs w:val="24"/>
          <w:lang w:val="sr-Cyrl-CS"/>
        </w:rPr>
      </w:pPr>
      <w:r>
        <w:rPr>
          <w:rFonts w:ascii="Times New Roman" w:hAnsi="Times New Roman"/>
          <w:sz w:val="24"/>
          <w:szCs w:val="24"/>
          <w:lang w:val="sr-Cyrl-CS"/>
        </w:rPr>
        <w:tab/>
      </w:r>
      <w:r>
        <w:rPr>
          <w:rFonts w:ascii="Times New Roman" w:hAnsi="Times New Roman"/>
          <w:sz w:val="24"/>
          <w:szCs w:val="24"/>
          <w:lang w:val="sr-Cyrl-CS"/>
        </w:rPr>
        <w:tab/>
      </w:r>
      <w:r>
        <w:rPr>
          <w:rFonts w:ascii="Times New Roman" w:hAnsi="Times New Roman"/>
          <w:sz w:val="24"/>
          <w:szCs w:val="24"/>
          <w:lang w:val="sr-Cyrl-CS"/>
        </w:rPr>
        <w:tab/>
        <w:t>5113</w:t>
      </w:r>
      <w:r w:rsidR="00E223D2">
        <w:rPr>
          <w:rFonts w:ascii="Times New Roman" w:hAnsi="Times New Roman"/>
          <w:sz w:val="24"/>
          <w:szCs w:val="24"/>
          <w:lang w:val="sr-Cyrl-CS"/>
        </w:rPr>
        <w:t xml:space="preserve"> Остали општи порези на добра и услуге</w:t>
      </w:r>
    </w:p>
    <w:p w:rsidR="006C57C7" w:rsidRDefault="006C57C7" w:rsidP="006C57C7">
      <w:pPr>
        <w:jc w:val="both"/>
        <w:rPr>
          <w:rFonts w:ascii="Times New Roman" w:hAnsi="Times New Roman"/>
          <w:sz w:val="24"/>
          <w:szCs w:val="24"/>
          <w:lang w:val="sr-Cyrl-CS"/>
        </w:rPr>
      </w:pPr>
      <w:r>
        <w:rPr>
          <w:rFonts w:ascii="Times New Roman" w:hAnsi="Times New Roman"/>
          <w:sz w:val="24"/>
          <w:szCs w:val="24"/>
          <w:lang w:val="sr-Cyrl-CS"/>
        </w:rPr>
        <w:tab/>
      </w:r>
      <w:r>
        <w:rPr>
          <w:rFonts w:ascii="Times New Roman" w:hAnsi="Times New Roman"/>
          <w:sz w:val="24"/>
          <w:szCs w:val="24"/>
          <w:lang w:val="sr-Cyrl-CS"/>
        </w:rPr>
        <w:tab/>
        <w:t>5120</w:t>
      </w:r>
      <w:r w:rsidR="00E223D2">
        <w:rPr>
          <w:rFonts w:ascii="Times New Roman" w:hAnsi="Times New Roman"/>
          <w:sz w:val="24"/>
          <w:szCs w:val="24"/>
          <w:lang w:val="sr-Cyrl-CS"/>
        </w:rPr>
        <w:t xml:space="preserve"> Порези на појединачна добра и услуге</w:t>
      </w:r>
    </w:p>
    <w:p w:rsidR="006C57C7" w:rsidRDefault="006C57C7" w:rsidP="006C57C7">
      <w:pPr>
        <w:jc w:val="both"/>
        <w:rPr>
          <w:rFonts w:ascii="Times New Roman" w:hAnsi="Times New Roman"/>
          <w:sz w:val="24"/>
          <w:szCs w:val="24"/>
          <w:lang w:val="sr-Cyrl-CS"/>
        </w:rPr>
      </w:pPr>
      <w:r>
        <w:rPr>
          <w:rFonts w:ascii="Times New Roman" w:hAnsi="Times New Roman"/>
          <w:sz w:val="24"/>
          <w:szCs w:val="24"/>
          <w:lang w:val="sr-Cyrl-CS"/>
        </w:rPr>
        <w:tab/>
      </w:r>
      <w:r>
        <w:rPr>
          <w:rFonts w:ascii="Times New Roman" w:hAnsi="Times New Roman"/>
          <w:sz w:val="24"/>
          <w:szCs w:val="24"/>
          <w:lang w:val="sr-Cyrl-CS"/>
        </w:rPr>
        <w:tab/>
      </w:r>
      <w:r>
        <w:rPr>
          <w:rFonts w:ascii="Times New Roman" w:hAnsi="Times New Roman"/>
          <w:sz w:val="24"/>
          <w:szCs w:val="24"/>
          <w:lang w:val="sr-Cyrl-CS"/>
        </w:rPr>
        <w:tab/>
        <w:t>5121</w:t>
      </w:r>
      <w:r w:rsidR="00E223D2">
        <w:rPr>
          <w:rFonts w:ascii="Times New Roman" w:hAnsi="Times New Roman"/>
          <w:sz w:val="24"/>
          <w:szCs w:val="24"/>
          <w:lang w:val="sr-Cyrl-CS"/>
        </w:rPr>
        <w:t xml:space="preserve"> Акцизе</w:t>
      </w:r>
    </w:p>
    <w:p w:rsidR="006C57C7" w:rsidRDefault="006C57C7" w:rsidP="006C57C7">
      <w:pPr>
        <w:jc w:val="both"/>
        <w:rPr>
          <w:rFonts w:ascii="Times New Roman" w:hAnsi="Times New Roman"/>
          <w:sz w:val="24"/>
          <w:szCs w:val="24"/>
          <w:lang w:val="sr-Cyrl-CS"/>
        </w:rPr>
      </w:pPr>
      <w:r>
        <w:rPr>
          <w:rFonts w:ascii="Times New Roman" w:hAnsi="Times New Roman"/>
          <w:sz w:val="24"/>
          <w:szCs w:val="24"/>
          <w:lang w:val="sr-Cyrl-CS"/>
        </w:rPr>
        <w:tab/>
      </w:r>
      <w:r>
        <w:rPr>
          <w:rFonts w:ascii="Times New Roman" w:hAnsi="Times New Roman"/>
          <w:sz w:val="24"/>
          <w:szCs w:val="24"/>
          <w:lang w:val="sr-Cyrl-CS"/>
        </w:rPr>
        <w:tab/>
      </w:r>
      <w:r>
        <w:rPr>
          <w:rFonts w:ascii="Times New Roman" w:hAnsi="Times New Roman"/>
          <w:sz w:val="24"/>
          <w:szCs w:val="24"/>
          <w:lang w:val="sr-Cyrl-CS"/>
        </w:rPr>
        <w:tab/>
      </w:r>
      <w:r w:rsidR="00EA59A8">
        <w:rPr>
          <w:rFonts w:ascii="Times New Roman" w:hAnsi="Times New Roman"/>
          <w:sz w:val="24"/>
          <w:szCs w:val="24"/>
          <w:lang w:val="sr-Cyrl-CS"/>
        </w:rPr>
        <w:t>5122</w:t>
      </w:r>
      <w:r w:rsidR="00E223D2">
        <w:rPr>
          <w:rFonts w:ascii="Times New Roman" w:hAnsi="Times New Roman"/>
          <w:sz w:val="24"/>
          <w:szCs w:val="24"/>
          <w:lang w:val="sr-Cyrl-CS"/>
        </w:rPr>
        <w:t xml:space="preserve"> Добит фискалних монопола</w:t>
      </w:r>
    </w:p>
    <w:p w:rsidR="00EA59A8" w:rsidRDefault="00EA59A8" w:rsidP="006C57C7">
      <w:pPr>
        <w:jc w:val="both"/>
        <w:rPr>
          <w:rFonts w:ascii="Times New Roman" w:hAnsi="Times New Roman"/>
          <w:sz w:val="24"/>
          <w:szCs w:val="24"/>
          <w:lang w:val="sr-Cyrl-CS"/>
        </w:rPr>
      </w:pPr>
      <w:r>
        <w:rPr>
          <w:rFonts w:ascii="Times New Roman" w:hAnsi="Times New Roman"/>
          <w:sz w:val="24"/>
          <w:szCs w:val="24"/>
          <w:lang w:val="sr-Cyrl-CS"/>
        </w:rPr>
        <w:tab/>
      </w:r>
      <w:r>
        <w:rPr>
          <w:rFonts w:ascii="Times New Roman" w:hAnsi="Times New Roman"/>
          <w:sz w:val="24"/>
          <w:szCs w:val="24"/>
          <w:lang w:val="sr-Cyrl-CS"/>
        </w:rPr>
        <w:tab/>
      </w:r>
      <w:r>
        <w:rPr>
          <w:rFonts w:ascii="Times New Roman" w:hAnsi="Times New Roman"/>
          <w:sz w:val="24"/>
          <w:szCs w:val="24"/>
          <w:lang w:val="sr-Cyrl-CS"/>
        </w:rPr>
        <w:tab/>
        <w:t>5123</w:t>
      </w:r>
      <w:r w:rsidR="00E223D2">
        <w:rPr>
          <w:rFonts w:ascii="Times New Roman" w:hAnsi="Times New Roman"/>
          <w:sz w:val="24"/>
          <w:szCs w:val="24"/>
          <w:lang w:val="sr-Cyrl-CS"/>
        </w:rPr>
        <w:t xml:space="preserve"> Царине и увозне дажбине</w:t>
      </w:r>
    </w:p>
    <w:p w:rsidR="00EA59A8" w:rsidRDefault="00EA59A8" w:rsidP="006C57C7">
      <w:pPr>
        <w:jc w:val="both"/>
        <w:rPr>
          <w:rFonts w:ascii="Times New Roman" w:hAnsi="Times New Roman"/>
          <w:sz w:val="24"/>
          <w:szCs w:val="24"/>
          <w:lang w:val="sr-Cyrl-CS"/>
        </w:rPr>
      </w:pPr>
      <w:r>
        <w:rPr>
          <w:rFonts w:ascii="Times New Roman" w:hAnsi="Times New Roman"/>
          <w:sz w:val="24"/>
          <w:szCs w:val="24"/>
          <w:lang w:val="sr-Cyrl-CS"/>
        </w:rPr>
        <w:tab/>
      </w:r>
      <w:r>
        <w:rPr>
          <w:rFonts w:ascii="Times New Roman" w:hAnsi="Times New Roman"/>
          <w:sz w:val="24"/>
          <w:szCs w:val="24"/>
          <w:lang w:val="sr-Cyrl-CS"/>
        </w:rPr>
        <w:tab/>
      </w:r>
      <w:r>
        <w:rPr>
          <w:rFonts w:ascii="Times New Roman" w:hAnsi="Times New Roman"/>
          <w:sz w:val="24"/>
          <w:szCs w:val="24"/>
          <w:lang w:val="sr-Cyrl-CS"/>
        </w:rPr>
        <w:tab/>
        <w:t>5124</w:t>
      </w:r>
      <w:r w:rsidR="00E223D2">
        <w:rPr>
          <w:rFonts w:ascii="Times New Roman" w:hAnsi="Times New Roman"/>
          <w:sz w:val="24"/>
          <w:szCs w:val="24"/>
          <w:lang w:val="sr-Cyrl-CS"/>
        </w:rPr>
        <w:t xml:space="preserve"> Порези на извоз</w:t>
      </w:r>
    </w:p>
    <w:p w:rsidR="00EA59A8" w:rsidRDefault="00EA59A8" w:rsidP="006C57C7">
      <w:pPr>
        <w:jc w:val="both"/>
        <w:rPr>
          <w:rFonts w:ascii="Times New Roman" w:hAnsi="Times New Roman"/>
          <w:sz w:val="24"/>
          <w:szCs w:val="24"/>
          <w:lang w:val="sr-Cyrl-CS"/>
        </w:rPr>
      </w:pPr>
      <w:r>
        <w:rPr>
          <w:rFonts w:ascii="Times New Roman" w:hAnsi="Times New Roman"/>
          <w:sz w:val="24"/>
          <w:szCs w:val="24"/>
          <w:lang w:val="sr-Cyrl-CS"/>
        </w:rPr>
        <w:tab/>
      </w:r>
      <w:r>
        <w:rPr>
          <w:rFonts w:ascii="Times New Roman" w:hAnsi="Times New Roman"/>
          <w:sz w:val="24"/>
          <w:szCs w:val="24"/>
          <w:lang w:val="sr-Cyrl-CS"/>
        </w:rPr>
        <w:tab/>
      </w:r>
      <w:r>
        <w:rPr>
          <w:rFonts w:ascii="Times New Roman" w:hAnsi="Times New Roman"/>
          <w:sz w:val="24"/>
          <w:szCs w:val="24"/>
          <w:lang w:val="sr-Cyrl-CS"/>
        </w:rPr>
        <w:tab/>
        <w:t>5125</w:t>
      </w:r>
      <w:r w:rsidR="00E223D2">
        <w:rPr>
          <w:rFonts w:ascii="Times New Roman" w:hAnsi="Times New Roman"/>
          <w:sz w:val="24"/>
          <w:szCs w:val="24"/>
          <w:lang w:val="sr-Cyrl-CS"/>
        </w:rPr>
        <w:t xml:space="preserve"> Порези на инвестициона добра</w:t>
      </w:r>
    </w:p>
    <w:p w:rsidR="00EA59A8" w:rsidRDefault="00EA59A8" w:rsidP="006C57C7">
      <w:pPr>
        <w:jc w:val="both"/>
        <w:rPr>
          <w:rFonts w:ascii="Times New Roman" w:hAnsi="Times New Roman"/>
          <w:sz w:val="24"/>
          <w:szCs w:val="24"/>
          <w:lang w:val="sr-Cyrl-CS"/>
        </w:rPr>
      </w:pPr>
      <w:r>
        <w:rPr>
          <w:rFonts w:ascii="Times New Roman" w:hAnsi="Times New Roman"/>
          <w:sz w:val="24"/>
          <w:szCs w:val="24"/>
          <w:lang w:val="sr-Cyrl-CS"/>
        </w:rPr>
        <w:tab/>
      </w:r>
      <w:r>
        <w:rPr>
          <w:rFonts w:ascii="Times New Roman" w:hAnsi="Times New Roman"/>
          <w:sz w:val="24"/>
          <w:szCs w:val="24"/>
          <w:lang w:val="sr-Cyrl-CS"/>
        </w:rPr>
        <w:tab/>
      </w:r>
      <w:r>
        <w:rPr>
          <w:rFonts w:ascii="Times New Roman" w:hAnsi="Times New Roman"/>
          <w:sz w:val="24"/>
          <w:szCs w:val="24"/>
          <w:lang w:val="sr-Cyrl-CS"/>
        </w:rPr>
        <w:tab/>
        <w:t>5126</w:t>
      </w:r>
      <w:r w:rsidR="00E223D2">
        <w:rPr>
          <w:rFonts w:ascii="Times New Roman" w:hAnsi="Times New Roman"/>
          <w:sz w:val="24"/>
          <w:szCs w:val="24"/>
          <w:lang w:val="sr-Cyrl-CS"/>
        </w:rPr>
        <w:t xml:space="preserve"> Порези на појединачне услуге</w:t>
      </w:r>
    </w:p>
    <w:p w:rsidR="00EA59A8" w:rsidRDefault="00EA59A8" w:rsidP="006C57C7">
      <w:pPr>
        <w:jc w:val="both"/>
        <w:rPr>
          <w:rFonts w:ascii="Times New Roman" w:hAnsi="Times New Roman"/>
          <w:sz w:val="24"/>
          <w:szCs w:val="24"/>
          <w:lang w:val="sr-Cyrl-CS"/>
        </w:rPr>
      </w:pPr>
      <w:r>
        <w:rPr>
          <w:rFonts w:ascii="Times New Roman" w:hAnsi="Times New Roman"/>
          <w:sz w:val="24"/>
          <w:szCs w:val="24"/>
          <w:lang w:val="sr-Cyrl-CS"/>
        </w:rPr>
        <w:tab/>
      </w:r>
      <w:r>
        <w:rPr>
          <w:rFonts w:ascii="Times New Roman" w:hAnsi="Times New Roman"/>
          <w:sz w:val="24"/>
          <w:szCs w:val="24"/>
          <w:lang w:val="sr-Cyrl-CS"/>
        </w:rPr>
        <w:tab/>
      </w:r>
      <w:r>
        <w:rPr>
          <w:rFonts w:ascii="Times New Roman" w:hAnsi="Times New Roman"/>
          <w:sz w:val="24"/>
          <w:szCs w:val="24"/>
          <w:lang w:val="sr-Cyrl-CS"/>
        </w:rPr>
        <w:tab/>
        <w:t>5127</w:t>
      </w:r>
      <w:r w:rsidR="00E223D2">
        <w:rPr>
          <w:rFonts w:ascii="Times New Roman" w:hAnsi="Times New Roman"/>
          <w:sz w:val="24"/>
          <w:szCs w:val="24"/>
          <w:lang w:val="sr-Cyrl-CS"/>
        </w:rPr>
        <w:t xml:space="preserve"> Остали порези на међународну трговину и трансакције</w:t>
      </w:r>
    </w:p>
    <w:p w:rsidR="00E223D2" w:rsidRDefault="00E223D2" w:rsidP="006C57C7">
      <w:pPr>
        <w:jc w:val="both"/>
        <w:rPr>
          <w:rFonts w:ascii="Times New Roman" w:hAnsi="Times New Roman"/>
          <w:sz w:val="24"/>
          <w:szCs w:val="24"/>
          <w:lang w:val="sr-Cyrl-CS"/>
        </w:rPr>
      </w:pPr>
      <w:r>
        <w:rPr>
          <w:rFonts w:ascii="Times New Roman" w:hAnsi="Times New Roman"/>
          <w:sz w:val="24"/>
          <w:szCs w:val="24"/>
          <w:lang w:val="sr-Cyrl-CS"/>
        </w:rPr>
        <w:tab/>
      </w:r>
      <w:r>
        <w:rPr>
          <w:rFonts w:ascii="Times New Roman" w:hAnsi="Times New Roman"/>
          <w:sz w:val="24"/>
          <w:szCs w:val="24"/>
          <w:lang w:val="sr-Cyrl-CS"/>
        </w:rPr>
        <w:tab/>
      </w:r>
      <w:r w:rsidR="008A2BF9">
        <w:rPr>
          <w:rFonts w:ascii="Times New Roman" w:hAnsi="Times New Roman"/>
          <w:sz w:val="24"/>
          <w:szCs w:val="24"/>
          <w:lang w:val="sr-Cyrl-CS"/>
        </w:rPr>
        <w:tab/>
        <w:t>5128 Остали порези на појединачна добра и услуге</w:t>
      </w:r>
    </w:p>
    <w:p w:rsidR="008A2BF9" w:rsidRDefault="008A2BF9" w:rsidP="006C57C7">
      <w:pPr>
        <w:jc w:val="both"/>
        <w:rPr>
          <w:rFonts w:ascii="Times New Roman" w:hAnsi="Times New Roman"/>
          <w:sz w:val="24"/>
          <w:szCs w:val="24"/>
          <w:lang w:val="sr-Cyrl-CS"/>
        </w:rPr>
      </w:pPr>
      <w:r>
        <w:rPr>
          <w:rFonts w:ascii="Times New Roman" w:hAnsi="Times New Roman"/>
          <w:sz w:val="24"/>
          <w:szCs w:val="24"/>
          <w:lang w:val="sr-Cyrl-CS"/>
        </w:rPr>
        <w:tab/>
      </w:r>
      <w:r>
        <w:rPr>
          <w:rFonts w:ascii="Times New Roman" w:hAnsi="Times New Roman"/>
          <w:sz w:val="24"/>
          <w:szCs w:val="24"/>
          <w:lang w:val="sr-Cyrl-CS"/>
        </w:rPr>
        <w:tab/>
      </w:r>
      <w:r>
        <w:rPr>
          <w:rFonts w:ascii="Times New Roman" w:hAnsi="Times New Roman"/>
          <w:sz w:val="24"/>
          <w:szCs w:val="24"/>
          <w:lang w:val="sr-Cyrl-CS"/>
        </w:rPr>
        <w:tab/>
        <w:t>5130 Порези који се не могу расподелити између 5110 и 5120</w:t>
      </w:r>
    </w:p>
    <w:p w:rsidR="008A2BF9" w:rsidRDefault="008A2BF9" w:rsidP="006C57C7">
      <w:pPr>
        <w:jc w:val="both"/>
        <w:rPr>
          <w:rFonts w:ascii="Times New Roman" w:hAnsi="Times New Roman"/>
          <w:sz w:val="24"/>
          <w:szCs w:val="24"/>
          <w:lang w:val="sr-Cyrl-CS"/>
        </w:rPr>
      </w:pPr>
      <w:r>
        <w:rPr>
          <w:rFonts w:ascii="Times New Roman" w:hAnsi="Times New Roman"/>
          <w:sz w:val="24"/>
          <w:szCs w:val="24"/>
          <w:lang w:val="sr-Cyrl-CS"/>
        </w:rPr>
        <w:tab/>
      </w:r>
      <w:r>
        <w:rPr>
          <w:rFonts w:ascii="Times New Roman" w:hAnsi="Times New Roman"/>
          <w:sz w:val="24"/>
          <w:szCs w:val="24"/>
          <w:lang w:val="sr-Cyrl-CS"/>
        </w:rPr>
        <w:tab/>
        <w:t xml:space="preserve">5200 Порези на употребу добара или на дозволу да се употребљавају </w:t>
      </w:r>
    </w:p>
    <w:p w:rsidR="00A96822" w:rsidRDefault="00A96822" w:rsidP="006C57C7">
      <w:pPr>
        <w:jc w:val="both"/>
        <w:rPr>
          <w:rFonts w:ascii="Times New Roman" w:hAnsi="Times New Roman"/>
          <w:sz w:val="24"/>
          <w:szCs w:val="24"/>
          <w:lang w:val="sr-Cyrl-CS"/>
        </w:rPr>
      </w:pPr>
      <w:r>
        <w:rPr>
          <w:rFonts w:ascii="Times New Roman" w:hAnsi="Times New Roman"/>
          <w:sz w:val="24"/>
          <w:szCs w:val="24"/>
          <w:lang w:val="sr-Cyrl-CS"/>
        </w:rPr>
        <w:t xml:space="preserve">                                 добра или обављају активности</w:t>
      </w:r>
    </w:p>
    <w:p w:rsidR="008A2BF9" w:rsidRDefault="008A2BF9" w:rsidP="006C57C7">
      <w:pPr>
        <w:jc w:val="both"/>
        <w:rPr>
          <w:rFonts w:ascii="Times New Roman" w:hAnsi="Times New Roman"/>
          <w:sz w:val="24"/>
          <w:szCs w:val="24"/>
          <w:lang w:val="sr-Cyrl-CS"/>
        </w:rPr>
      </w:pPr>
      <w:r>
        <w:rPr>
          <w:rFonts w:ascii="Times New Roman" w:hAnsi="Times New Roman"/>
          <w:sz w:val="24"/>
          <w:szCs w:val="24"/>
          <w:lang w:val="sr-Cyrl-CS"/>
        </w:rPr>
        <w:tab/>
      </w:r>
      <w:r>
        <w:rPr>
          <w:rFonts w:ascii="Times New Roman" w:hAnsi="Times New Roman"/>
          <w:sz w:val="24"/>
          <w:szCs w:val="24"/>
          <w:lang w:val="sr-Cyrl-CS"/>
        </w:rPr>
        <w:tab/>
      </w:r>
      <w:r>
        <w:rPr>
          <w:rFonts w:ascii="Times New Roman" w:hAnsi="Times New Roman"/>
          <w:sz w:val="24"/>
          <w:szCs w:val="24"/>
          <w:lang w:val="sr-Cyrl-CS"/>
        </w:rPr>
        <w:tab/>
        <w:t>5210 Периодични порези</w:t>
      </w:r>
    </w:p>
    <w:p w:rsidR="00A96822" w:rsidRDefault="008A2BF9" w:rsidP="006C57C7">
      <w:pPr>
        <w:jc w:val="both"/>
        <w:rPr>
          <w:rFonts w:ascii="Times New Roman" w:hAnsi="Times New Roman"/>
          <w:sz w:val="24"/>
          <w:szCs w:val="24"/>
          <w:lang w:val="sr-Cyrl-CS"/>
        </w:rPr>
      </w:pPr>
      <w:r>
        <w:rPr>
          <w:rFonts w:ascii="Times New Roman" w:hAnsi="Times New Roman"/>
          <w:sz w:val="24"/>
          <w:szCs w:val="24"/>
          <w:lang w:val="sr-Cyrl-CS"/>
        </w:rPr>
        <w:tab/>
      </w:r>
      <w:r>
        <w:rPr>
          <w:rFonts w:ascii="Times New Roman" w:hAnsi="Times New Roman"/>
          <w:sz w:val="24"/>
          <w:szCs w:val="24"/>
          <w:lang w:val="sr-Cyrl-CS"/>
        </w:rPr>
        <w:tab/>
      </w:r>
      <w:r>
        <w:rPr>
          <w:rFonts w:ascii="Times New Roman" w:hAnsi="Times New Roman"/>
          <w:sz w:val="24"/>
          <w:szCs w:val="24"/>
          <w:lang w:val="sr-Cyrl-CS"/>
        </w:rPr>
        <w:tab/>
      </w:r>
      <w:r>
        <w:rPr>
          <w:rFonts w:ascii="Times New Roman" w:hAnsi="Times New Roman"/>
          <w:sz w:val="24"/>
          <w:szCs w:val="24"/>
          <w:lang w:val="sr-Cyrl-CS"/>
        </w:rPr>
        <w:tab/>
        <w:t>5211 Порези која плаћају домаћинства у вези са моторним</w:t>
      </w:r>
    </w:p>
    <w:p w:rsidR="008A2BF9" w:rsidRDefault="00A96822" w:rsidP="006C57C7">
      <w:pPr>
        <w:jc w:val="both"/>
        <w:rPr>
          <w:rFonts w:ascii="Times New Roman" w:hAnsi="Times New Roman"/>
          <w:sz w:val="24"/>
          <w:szCs w:val="24"/>
          <w:lang w:val="sr-Cyrl-CS"/>
        </w:rPr>
      </w:pPr>
      <w:r>
        <w:rPr>
          <w:rFonts w:ascii="Times New Roman" w:hAnsi="Times New Roman"/>
          <w:sz w:val="24"/>
          <w:szCs w:val="24"/>
          <w:lang w:val="sr-Cyrl-CS"/>
        </w:rPr>
        <w:t xml:space="preserve">                                                         возилима</w:t>
      </w:r>
      <w:r w:rsidR="008A2BF9">
        <w:rPr>
          <w:rFonts w:ascii="Times New Roman" w:hAnsi="Times New Roman"/>
          <w:sz w:val="24"/>
          <w:szCs w:val="24"/>
          <w:lang w:val="sr-Cyrl-CS"/>
        </w:rPr>
        <w:t xml:space="preserve"> </w:t>
      </w:r>
      <w:r>
        <w:rPr>
          <w:rFonts w:ascii="Times New Roman" w:hAnsi="Times New Roman"/>
          <w:sz w:val="24"/>
          <w:szCs w:val="24"/>
          <w:lang w:val="sr-Cyrl-CS"/>
        </w:rPr>
        <w:t xml:space="preserve">         </w:t>
      </w:r>
    </w:p>
    <w:p w:rsidR="00A96822" w:rsidRDefault="008A2BF9" w:rsidP="006C57C7">
      <w:pPr>
        <w:jc w:val="both"/>
        <w:rPr>
          <w:rFonts w:ascii="Times New Roman" w:hAnsi="Times New Roman"/>
          <w:sz w:val="24"/>
          <w:szCs w:val="24"/>
          <w:lang w:val="sr-Cyrl-CS"/>
        </w:rPr>
      </w:pPr>
      <w:r>
        <w:rPr>
          <w:rFonts w:ascii="Times New Roman" w:hAnsi="Times New Roman"/>
          <w:sz w:val="24"/>
          <w:szCs w:val="24"/>
          <w:lang w:val="sr-Cyrl-CS"/>
        </w:rPr>
        <w:lastRenderedPageBreak/>
        <w:tab/>
      </w:r>
      <w:r>
        <w:rPr>
          <w:rFonts w:ascii="Times New Roman" w:hAnsi="Times New Roman"/>
          <w:sz w:val="24"/>
          <w:szCs w:val="24"/>
          <w:lang w:val="sr-Cyrl-CS"/>
        </w:rPr>
        <w:tab/>
      </w:r>
      <w:r>
        <w:rPr>
          <w:rFonts w:ascii="Times New Roman" w:hAnsi="Times New Roman"/>
          <w:sz w:val="24"/>
          <w:szCs w:val="24"/>
          <w:lang w:val="sr-Cyrl-CS"/>
        </w:rPr>
        <w:tab/>
      </w:r>
      <w:r>
        <w:rPr>
          <w:rFonts w:ascii="Times New Roman" w:hAnsi="Times New Roman"/>
          <w:sz w:val="24"/>
          <w:szCs w:val="24"/>
          <w:lang w:val="sr-Cyrl-CS"/>
        </w:rPr>
        <w:tab/>
        <w:t>5212 Порези која плаћају остали у вези са моторним</w:t>
      </w:r>
    </w:p>
    <w:p w:rsidR="00A96822" w:rsidRDefault="00A96822" w:rsidP="006C57C7">
      <w:pPr>
        <w:jc w:val="both"/>
        <w:rPr>
          <w:rFonts w:ascii="Times New Roman" w:hAnsi="Times New Roman"/>
          <w:sz w:val="24"/>
          <w:szCs w:val="24"/>
          <w:lang w:val="sr-Cyrl-CS"/>
        </w:rPr>
      </w:pPr>
      <w:r>
        <w:rPr>
          <w:rFonts w:ascii="Times New Roman" w:hAnsi="Times New Roman"/>
          <w:sz w:val="24"/>
          <w:szCs w:val="24"/>
          <w:lang w:val="sr-Cyrl-CS"/>
        </w:rPr>
        <w:t xml:space="preserve">                                                         возилима</w:t>
      </w:r>
    </w:p>
    <w:p w:rsidR="008A2BF9" w:rsidRDefault="008A2BF9" w:rsidP="006C57C7">
      <w:pPr>
        <w:jc w:val="both"/>
        <w:rPr>
          <w:rFonts w:ascii="Times New Roman" w:hAnsi="Times New Roman"/>
          <w:sz w:val="24"/>
          <w:szCs w:val="24"/>
          <w:lang w:val="sr-Cyrl-CS"/>
        </w:rPr>
      </w:pPr>
      <w:r>
        <w:rPr>
          <w:rFonts w:ascii="Times New Roman" w:hAnsi="Times New Roman"/>
          <w:sz w:val="24"/>
          <w:szCs w:val="24"/>
          <w:lang w:val="sr-Cyrl-CS"/>
        </w:rPr>
        <w:tab/>
      </w:r>
      <w:r>
        <w:rPr>
          <w:rFonts w:ascii="Times New Roman" w:hAnsi="Times New Roman"/>
          <w:sz w:val="24"/>
          <w:szCs w:val="24"/>
          <w:lang w:val="sr-Cyrl-CS"/>
        </w:rPr>
        <w:tab/>
      </w:r>
      <w:r>
        <w:rPr>
          <w:rFonts w:ascii="Times New Roman" w:hAnsi="Times New Roman"/>
          <w:sz w:val="24"/>
          <w:szCs w:val="24"/>
          <w:lang w:val="sr-Cyrl-CS"/>
        </w:rPr>
        <w:tab/>
      </w:r>
      <w:r>
        <w:rPr>
          <w:rFonts w:ascii="Times New Roman" w:hAnsi="Times New Roman"/>
          <w:sz w:val="24"/>
          <w:szCs w:val="24"/>
          <w:lang w:val="sr-Cyrl-CS"/>
        </w:rPr>
        <w:tab/>
        <w:t>5213 Остали периодични порези</w:t>
      </w:r>
    </w:p>
    <w:p w:rsidR="008A2BF9" w:rsidRDefault="008A2BF9" w:rsidP="006C57C7">
      <w:pPr>
        <w:jc w:val="both"/>
        <w:rPr>
          <w:rFonts w:ascii="Times New Roman" w:hAnsi="Times New Roman"/>
          <w:sz w:val="24"/>
          <w:szCs w:val="24"/>
          <w:lang w:val="sr-Cyrl-CS"/>
        </w:rPr>
      </w:pPr>
      <w:r>
        <w:rPr>
          <w:rFonts w:ascii="Times New Roman" w:hAnsi="Times New Roman"/>
          <w:sz w:val="24"/>
          <w:szCs w:val="24"/>
          <w:lang w:val="sr-Cyrl-CS"/>
        </w:rPr>
        <w:tab/>
      </w:r>
      <w:r>
        <w:rPr>
          <w:rFonts w:ascii="Times New Roman" w:hAnsi="Times New Roman"/>
          <w:sz w:val="24"/>
          <w:szCs w:val="24"/>
          <w:lang w:val="sr-Cyrl-CS"/>
        </w:rPr>
        <w:tab/>
      </w:r>
      <w:r>
        <w:rPr>
          <w:rFonts w:ascii="Times New Roman" w:hAnsi="Times New Roman"/>
          <w:sz w:val="24"/>
          <w:szCs w:val="24"/>
          <w:lang w:val="sr-Cyrl-CS"/>
        </w:rPr>
        <w:tab/>
        <w:t>5220 Непериодични порези</w:t>
      </w:r>
    </w:p>
    <w:p w:rsidR="008A2BF9" w:rsidRDefault="008A2BF9" w:rsidP="006C57C7">
      <w:pPr>
        <w:jc w:val="both"/>
        <w:rPr>
          <w:rFonts w:ascii="Times New Roman" w:hAnsi="Times New Roman"/>
          <w:sz w:val="24"/>
          <w:szCs w:val="24"/>
          <w:lang w:val="sr-Cyrl-CS"/>
        </w:rPr>
      </w:pPr>
      <w:r>
        <w:rPr>
          <w:rFonts w:ascii="Times New Roman" w:hAnsi="Times New Roman"/>
          <w:sz w:val="24"/>
          <w:szCs w:val="24"/>
          <w:lang w:val="sr-Cyrl-CS"/>
        </w:rPr>
        <w:tab/>
      </w:r>
      <w:r>
        <w:rPr>
          <w:rFonts w:ascii="Times New Roman" w:hAnsi="Times New Roman"/>
          <w:sz w:val="24"/>
          <w:szCs w:val="24"/>
          <w:lang w:val="sr-Cyrl-CS"/>
        </w:rPr>
        <w:tab/>
        <w:t>5330 Порези који се не могу расподелити између 5100 и 5200</w:t>
      </w:r>
      <w:r>
        <w:rPr>
          <w:rFonts w:ascii="Times New Roman" w:hAnsi="Times New Roman"/>
          <w:sz w:val="24"/>
          <w:szCs w:val="24"/>
          <w:lang w:val="sr-Cyrl-CS"/>
        </w:rPr>
        <w:tab/>
      </w:r>
    </w:p>
    <w:p w:rsidR="00EA59A8" w:rsidRDefault="00EA59A8" w:rsidP="006C57C7">
      <w:pPr>
        <w:jc w:val="both"/>
        <w:rPr>
          <w:rFonts w:ascii="Times New Roman" w:hAnsi="Times New Roman"/>
          <w:sz w:val="24"/>
          <w:szCs w:val="24"/>
        </w:rPr>
      </w:pPr>
      <w:r>
        <w:rPr>
          <w:rFonts w:ascii="Times New Roman" w:hAnsi="Times New Roman"/>
          <w:sz w:val="24"/>
          <w:szCs w:val="24"/>
          <w:lang w:val="sr-Cyrl-CS"/>
        </w:rPr>
        <w:t>6000 Остали порези</w:t>
      </w:r>
      <w:r w:rsidR="00A96822">
        <w:rPr>
          <w:rFonts w:ascii="Times New Roman" w:hAnsi="Times New Roman"/>
          <w:sz w:val="24"/>
          <w:szCs w:val="24"/>
        </w:rPr>
        <w:t xml:space="preserve"> ( eng. Other taxes)</w:t>
      </w:r>
    </w:p>
    <w:p w:rsidR="00A96822" w:rsidRPr="00A96822" w:rsidRDefault="00A96822" w:rsidP="006C57C7">
      <w:pPr>
        <w:jc w:val="both"/>
        <w:rPr>
          <w:rFonts w:ascii="Times New Roman" w:hAnsi="Times New Roman"/>
          <w:sz w:val="24"/>
          <w:szCs w:val="24"/>
          <w:lang w:val="sr-Cyrl-CS"/>
        </w:rPr>
      </w:pPr>
      <w:r>
        <w:rPr>
          <w:rFonts w:ascii="Times New Roman" w:hAnsi="Times New Roman"/>
          <w:sz w:val="24"/>
          <w:szCs w:val="24"/>
        </w:rPr>
        <w:tab/>
      </w:r>
      <w:r>
        <w:rPr>
          <w:rFonts w:ascii="Times New Roman" w:hAnsi="Times New Roman"/>
          <w:sz w:val="24"/>
          <w:szCs w:val="24"/>
        </w:rPr>
        <w:tab/>
        <w:t>6100</w:t>
      </w:r>
      <w:r>
        <w:rPr>
          <w:rFonts w:ascii="Times New Roman" w:hAnsi="Times New Roman"/>
          <w:sz w:val="24"/>
          <w:szCs w:val="24"/>
          <w:lang w:val="sr-Cyrl-CS"/>
        </w:rPr>
        <w:t xml:space="preserve"> Порези које искључиво плаћају предузећа</w:t>
      </w:r>
    </w:p>
    <w:p w:rsidR="006C57C7" w:rsidRDefault="00A96822" w:rsidP="006C57C7">
      <w:pPr>
        <w:jc w:val="both"/>
        <w:rPr>
          <w:rFonts w:ascii="Times New Roman" w:hAnsi="Times New Roman"/>
          <w:sz w:val="24"/>
          <w:szCs w:val="24"/>
          <w:lang w:val="sr-Cyrl-CS"/>
        </w:rPr>
      </w:pPr>
      <w:r>
        <w:rPr>
          <w:rFonts w:ascii="Times New Roman" w:hAnsi="Times New Roman"/>
          <w:sz w:val="24"/>
          <w:szCs w:val="24"/>
          <w:lang w:val="sr-Cyrl-CS"/>
        </w:rPr>
        <w:tab/>
      </w:r>
      <w:r>
        <w:rPr>
          <w:rFonts w:ascii="Times New Roman" w:hAnsi="Times New Roman"/>
          <w:sz w:val="24"/>
          <w:szCs w:val="24"/>
          <w:lang w:val="sr-Cyrl-CS"/>
        </w:rPr>
        <w:tab/>
        <w:t xml:space="preserve">6200 Порези које плаћају остали обвезници и порези који се не могу </w:t>
      </w:r>
    </w:p>
    <w:p w:rsidR="00304EEF" w:rsidRPr="00A22DD5" w:rsidRDefault="00A96822" w:rsidP="00895236">
      <w:pPr>
        <w:jc w:val="both"/>
        <w:rPr>
          <w:rFonts w:ascii="Times New Roman" w:hAnsi="Times New Roman"/>
          <w:sz w:val="24"/>
          <w:szCs w:val="24"/>
          <w:lang w:val="sr-Cyrl-CS"/>
        </w:rPr>
      </w:pPr>
      <w:r>
        <w:rPr>
          <w:rFonts w:ascii="Times New Roman" w:hAnsi="Times New Roman"/>
          <w:sz w:val="24"/>
          <w:szCs w:val="24"/>
          <w:lang w:val="sr-Cyrl-CS"/>
        </w:rPr>
        <w:t xml:space="preserve">                                 разврстати</w:t>
      </w:r>
      <w:r w:rsidR="00673428">
        <w:rPr>
          <w:rStyle w:val="FootnoteReference"/>
          <w:rFonts w:ascii="Times New Roman" w:hAnsi="Times New Roman"/>
          <w:sz w:val="24"/>
          <w:szCs w:val="24"/>
          <w:lang w:val="sr-Cyrl-CS"/>
        </w:rPr>
        <w:footnoteReference w:id="17"/>
      </w:r>
    </w:p>
    <w:p w:rsidR="00304EEF" w:rsidRPr="00895236" w:rsidRDefault="00304EEF" w:rsidP="00895236">
      <w:pPr>
        <w:jc w:val="both"/>
        <w:rPr>
          <w:rFonts w:ascii="Times New Roman" w:hAnsi="Times New Roman"/>
          <w:sz w:val="24"/>
          <w:szCs w:val="24"/>
          <w:lang w:val="sr-Cyrl-CS"/>
        </w:rPr>
      </w:pPr>
    </w:p>
    <w:p w:rsidR="00B9014F" w:rsidRPr="00220504" w:rsidRDefault="00B9014F" w:rsidP="00220504">
      <w:pPr>
        <w:spacing w:after="0" w:line="240" w:lineRule="auto"/>
        <w:rPr>
          <w:rFonts w:ascii="Times New Roman" w:hAnsi="Times New Roman"/>
          <w:color w:val="000000"/>
          <w:sz w:val="27"/>
          <w:szCs w:val="27"/>
          <w:lang w:val="sr-Cyrl-CS"/>
        </w:rPr>
      </w:pPr>
    </w:p>
    <w:p w:rsidR="006B7641" w:rsidRPr="00D95FEA" w:rsidRDefault="004A7BBF" w:rsidP="00D95FEA">
      <w:pPr>
        <w:pStyle w:val="ListParagraph"/>
        <w:numPr>
          <w:ilvl w:val="0"/>
          <w:numId w:val="5"/>
        </w:numPr>
        <w:jc w:val="both"/>
        <w:rPr>
          <w:rFonts w:ascii="Times New Roman" w:hAnsi="Times New Roman"/>
          <w:b/>
          <w:i/>
          <w:sz w:val="24"/>
          <w:szCs w:val="24"/>
          <w:lang w:val="sr-Cyrl-CS"/>
        </w:rPr>
      </w:pPr>
      <w:r w:rsidRPr="00D95FEA">
        <w:rPr>
          <w:rFonts w:ascii="Times New Roman" w:hAnsi="Times New Roman"/>
          <w:b/>
          <w:i/>
          <w:sz w:val="24"/>
          <w:szCs w:val="24"/>
          <w:lang w:val="sr-Cyrl-CS"/>
        </w:rPr>
        <w:t>Порез</w:t>
      </w:r>
      <w:r w:rsidR="00DB01C2" w:rsidRPr="00D95FEA">
        <w:rPr>
          <w:rFonts w:ascii="Times New Roman" w:hAnsi="Times New Roman"/>
          <w:b/>
          <w:i/>
          <w:sz w:val="24"/>
          <w:szCs w:val="24"/>
          <w:lang w:val="sr-Cyrl-CS"/>
        </w:rPr>
        <w:t xml:space="preserve"> као </w:t>
      </w:r>
      <w:r w:rsidRPr="00D95FEA">
        <w:rPr>
          <w:rFonts w:ascii="Times New Roman" w:hAnsi="Times New Roman"/>
          <w:b/>
          <w:i/>
          <w:sz w:val="24"/>
          <w:szCs w:val="24"/>
          <w:lang w:val="sr-Cyrl-CS"/>
        </w:rPr>
        <w:t>инструмент</w:t>
      </w:r>
      <w:r w:rsidR="000C642C" w:rsidRPr="00D95FEA">
        <w:rPr>
          <w:rFonts w:ascii="Times New Roman" w:hAnsi="Times New Roman"/>
          <w:b/>
          <w:i/>
          <w:sz w:val="24"/>
          <w:szCs w:val="24"/>
          <w:lang w:val="sr-Cyrl-CS"/>
        </w:rPr>
        <w:t xml:space="preserve"> </w:t>
      </w:r>
      <w:r w:rsidR="00C73790" w:rsidRPr="00D95FEA">
        <w:rPr>
          <w:rFonts w:ascii="Times New Roman" w:hAnsi="Times New Roman"/>
          <w:b/>
          <w:i/>
          <w:sz w:val="24"/>
          <w:szCs w:val="24"/>
          <w:lang w:val="sr-Cyrl-CS"/>
        </w:rPr>
        <w:t xml:space="preserve"> јавних прихода</w:t>
      </w:r>
      <w:r w:rsidRPr="00D95FEA">
        <w:rPr>
          <w:rFonts w:ascii="Times New Roman" w:hAnsi="Times New Roman"/>
          <w:b/>
          <w:i/>
          <w:sz w:val="24"/>
          <w:szCs w:val="24"/>
          <w:lang w:val="sr-Cyrl-CS"/>
        </w:rPr>
        <w:t xml:space="preserve"> и избегавање плаћања пореза</w:t>
      </w:r>
      <w:r w:rsidR="00D95FEA" w:rsidRPr="00D95FEA">
        <w:rPr>
          <w:rFonts w:ascii="Times New Roman" w:hAnsi="Times New Roman"/>
          <w:b/>
          <w:i/>
          <w:sz w:val="24"/>
          <w:szCs w:val="24"/>
          <w:lang w:val="sr-Cyrl-CS"/>
        </w:rPr>
        <w:t xml:space="preserve"> </w:t>
      </w:r>
      <w:r w:rsidRPr="00D95FEA">
        <w:rPr>
          <w:rFonts w:ascii="Times New Roman" w:hAnsi="Times New Roman"/>
          <w:b/>
          <w:i/>
          <w:sz w:val="24"/>
          <w:szCs w:val="24"/>
          <w:lang w:val="sr-Cyrl-CS"/>
        </w:rPr>
        <w:t>-</w:t>
      </w:r>
      <w:r w:rsidR="00D95FEA" w:rsidRPr="00D95FEA">
        <w:rPr>
          <w:rFonts w:ascii="Times New Roman" w:hAnsi="Times New Roman"/>
          <w:b/>
          <w:i/>
          <w:sz w:val="24"/>
          <w:szCs w:val="24"/>
          <w:lang w:val="sr-Cyrl-CS"/>
        </w:rPr>
        <w:t xml:space="preserve"> </w:t>
      </w:r>
      <w:r w:rsidRPr="00D95FEA">
        <w:rPr>
          <w:rFonts w:ascii="Times New Roman" w:hAnsi="Times New Roman"/>
          <w:b/>
          <w:i/>
          <w:sz w:val="24"/>
          <w:szCs w:val="24"/>
          <w:lang w:val="sr-Cyrl-CS"/>
        </w:rPr>
        <w:t>општа теоријска разматрања</w:t>
      </w:r>
      <w:r w:rsidR="006B7641" w:rsidRPr="00D95FEA">
        <w:rPr>
          <w:rFonts w:ascii="Times New Roman" w:hAnsi="Times New Roman"/>
          <w:b/>
          <w:i/>
          <w:sz w:val="24"/>
          <w:szCs w:val="24"/>
          <w:lang w:val="sr-Cyrl-CS"/>
        </w:rPr>
        <w:t xml:space="preserve"> </w:t>
      </w:r>
    </w:p>
    <w:p w:rsidR="00E11235" w:rsidRDefault="00E11235" w:rsidP="00E11235">
      <w:pPr>
        <w:ind w:left="540"/>
        <w:jc w:val="both"/>
        <w:rPr>
          <w:rFonts w:ascii="Times New Roman" w:hAnsi="Times New Roman"/>
          <w:b/>
          <w:i/>
          <w:sz w:val="24"/>
          <w:szCs w:val="24"/>
          <w:lang w:val="sr-Cyrl-CS"/>
        </w:rPr>
      </w:pPr>
    </w:p>
    <w:p w:rsidR="00E11235" w:rsidRDefault="00E11235" w:rsidP="00E11235">
      <w:pPr>
        <w:ind w:firstLine="540"/>
        <w:jc w:val="both"/>
        <w:rPr>
          <w:rFonts w:ascii="Times New Roman" w:hAnsi="Times New Roman"/>
          <w:sz w:val="24"/>
          <w:szCs w:val="24"/>
          <w:lang w:val="sr-Cyrl-CS"/>
        </w:rPr>
      </w:pPr>
      <w:r w:rsidRPr="00E11235">
        <w:rPr>
          <w:rFonts w:ascii="Times New Roman" w:hAnsi="Times New Roman"/>
          <w:sz w:val="24"/>
          <w:szCs w:val="24"/>
          <w:lang w:val="sr-Cyrl-CS"/>
        </w:rPr>
        <w:t>Значај и улога пореза у привредном</w:t>
      </w:r>
      <w:r>
        <w:rPr>
          <w:rFonts w:ascii="Times New Roman" w:hAnsi="Times New Roman"/>
          <w:sz w:val="24"/>
          <w:szCs w:val="24"/>
          <w:lang w:val="sr-Cyrl-CS"/>
        </w:rPr>
        <w:t xml:space="preserve"> животу савремених држава стално расте. Порези су од прихода који се повремено убирао од уског круга особа, ради задовољавања потреба државе и владара, </w:t>
      </w:r>
      <w:r w:rsidR="00E171AB">
        <w:rPr>
          <w:rFonts w:ascii="Times New Roman" w:hAnsi="Times New Roman"/>
          <w:sz w:val="24"/>
          <w:szCs w:val="24"/>
          <w:lang w:val="sr-Cyrl-CS"/>
        </w:rPr>
        <w:t xml:space="preserve">прешли дугачак пут и </w:t>
      </w:r>
      <w:r>
        <w:rPr>
          <w:rFonts w:ascii="Times New Roman" w:hAnsi="Times New Roman"/>
          <w:sz w:val="24"/>
          <w:szCs w:val="24"/>
          <w:lang w:val="sr-Cyrl-CS"/>
        </w:rPr>
        <w:t xml:space="preserve">прерасли </w:t>
      </w:r>
      <w:r w:rsidR="00E171AB">
        <w:rPr>
          <w:rFonts w:ascii="Times New Roman" w:hAnsi="Times New Roman"/>
          <w:sz w:val="24"/>
          <w:szCs w:val="24"/>
          <w:lang w:val="sr-Cyrl-CS"/>
        </w:rPr>
        <w:t xml:space="preserve">су </w:t>
      </w:r>
      <w:r>
        <w:rPr>
          <w:rFonts w:ascii="Times New Roman" w:hAnsi="Times New Roman"/>
          <w:sz w:val="24"/>
          <w:szCs w:val="24"/>
          <w:lang w:val="sr-Cyrl-CS"/>
        </w:rPr>
        <w:t>у редован и значајан приход</w:t>
      </w:r>
      <w:r w:rsidR="00A27139">
        <w:rPr>
          <w:rFonts w:ascii="Times New Roman" w:hAnsi="Times New Roman"/>
          <w:sz w:val="24"/>
          <w:szCs w:val="24"/>
          <w:lang w:val="sr-Cyrl-CS"/>
        </w:rPr>
        <w:t xml:space="preserve"> за задовољавање јавн</w:t>
      </w:r>
      <w:r w:rsidR="00CA7C94">
        <w:rPr>
          <w:rFonts w:ascii="Times New Roman" w:hAnsi="Times New Roman"/>
          <w:sz w:val="24"/>
          <w:szCs w:val="24"/>
          <w:lang w:val="sr-Cyrl-CS"/>
        </w:rPr>
        <w:t>их потреба и као такви представ</w:t>
      </w:r>
      <w:r w:rsidR="00A27139">
        <w:rPr>
          <w:rFonts w:ascii="Times New Roman" w:hAnsi="Times New Roman"/>
          <w:sz w:val="24"/>
          <w:szCs w:val="24"/>
          <w:lang w:val="sr-Cyrl-CS"/>
        </w:rPr>
        <w:t xml:space="preserve">љају значајан инструмент </w:t>
      </w:r>
      <w:r w:rsidR="00E171AB">
        <w:rPr>
          <w:rFonts w:ascii="Times New Roman" w:hAnsi="Times New Roman"/>
          <w:sz w:val="24"/>
          <w:szCs w:val="24"/>
          <w:lang w:val="sr-Cyrl-CS"/>
        </w:rPr>
        <w:t xml:space="preserve">и најважнији облик </w:t>
      </w:r>
      <w:r w:rsidR="00A27139">
        <w:rPr>
          <w:rFonts w:ascii="Times New Roman" w:hAnsi="Times New Roman"/>
          <w:sz w:val="24"/>
          <w:szCs w:val="24"/>
          <w:lang w:val="sr-Cyrl-CS"/>
        </w:rPr>
        <w:t>јавних прихода.</w:t>
      </w:r>
    </w:p>
    <w:p w:rsidR="00E11235" w:rsidRDefault="00E171AB" w:rsidP="002C499B">
      <w:pPr>
        <w:ind w:firstLine="540"/>
        <w:jc w:val="both"/>
        <w:rPr>
          <w:rFonts w:ascii="Times New Roman" w:hAnsi="Times New Roman"/>
          <w:sz w:val="24"/>
          <w:szCs w:val="24"/>
          <w:lang w:val="sr-Cyrl-CS"/>
        </w:rPr>
      </w:pPr>
      <w:r>
        <w:rPr>
          <w:rFonts w:ascii="Times New Roman" w:hAnsi="Times New Roman"/>
          <w:sz w:val="24"/>
          <w:szCs w:val="24"/>
          <w:lang w:val="sr-Cyrl-CS"/>
        </w:rPr>
        <w:t>Са друге стране, и</w:t>
      </w:r>
      <w:r w:rsidR="00E11235" w:rsidRPr="002C499B">
        <w:rPr>
          <w:rFonts w:ascii="Times New Roman" w:hAnsi="Times New Roman"/>
          <w:sz w:val="24"/>
          <w:szCs w:val="24"/>
          <w:lang w:val="sr-Cyrl-CS"/>
        </w:rPr>
        <w:t>збегавање плаћања пореза</w:t>
      </w:r>
      <w:r w:rsidR="00E11235">
        <w:rPr>
          <w:rFonts w:ascii="Times New Roman" w:hAnsi="Times New Roman"/>
          <w:sz w:val="24"/>
          <w:szCs w:val="24"/>
          <w:lang w:val="sr-Cyrl-CS"/>
        </w:rPr>
        <w:t xml:space="preserve"> је присутно у целом свету. Начини и обим избегавања плаћања су различити од државе до државе и условљени су разликама у економском и политичком систему, културним и етичким специфичностима. Међутим, оно што је свима заједничко у овој проблематици и што се појављује као универзални проблем јесте тешко откривање ове појаве, па велики број случајева остане некажњен. Томе погодује сложеност овог феномена, па се често тешко може повући јасна граница између законитог и незаконитог избегавања пореза. Томе такође погодује тренд глобализације у савременом свету и улога мултинационалних компанија у привредној активности, као и развој савремених технологија.</w:t>
      </w:r>
    </w:p>
    <w:p w:rsidR="00E171AB" w:rsidRDefault="00E11235" w:rsidP="00E171AB">
      <w:pPr>
        <w:ind w:firstLine="540"/>
        <w:jc w:val="both"/>
        <w:rPr>
          <w:rFonts w:ascii="Times New Roman" w:hAnsi="Times New Roman"/>
          <w:sz w:val="24"/>
          <w:szCs w:val="24"/>
          <w:lang w:val="sr-Cyrl-CS"/>
        </w:rPr>
      </w:pPr>
      <w:r>
        <w:rPr>
          <w:rFonts w:ascii="Times New Roman" w:hAnsi="Times New Roman"/>
          <w:sz w:val="24"/>
          <w:szCs w:val="24"/>
          <w:lang w:val="sr-Cyrl-CS"/>
        </w:rPr>
        <w:t xml:space="preserve">Проучавањем феномена </w:t>
      </w:r>
      <w:r w:rsidRPr="002C499B">
        <w:rPr>
          <w:rFonts w:ascii="Times New Roman" w:hAnsi="Times New Roman"/>
          <w:sz w:val="24"/>
          <w:szCs w:val="24"/>
          <w:lang w:val="sr-Cyrl-CS"/>
        </w:rPr>
        <w:t>избегавања плаћања пореза</w:t>
      </w:r>
      <w:r>
        <w:rPr>
          <w:rFonts w:ascii="Times New Roman" w:hAnsi="Times New Roman"/>
          <w:sz w:val="24"/>
          <w:szCs w:val="24"/>
          <w:lang w:val="sr-Cyrl-CS"/>
        </w:rPr>
        <w:t xml:space="preserve"> се не баве само финансијски и економски експерти, него и стручњаци других научних области (кривичног права, социологије, психологије и др.). </w:t>
      </w:r>
      <w:r w:rsidR="00E171AB">
        <w:rPr>
          <w:rFonts w:ascii="Times New Roman" w:hAnsi="Times New Roman"/>
          <w:sz w:val="24"/>
          <w:szCs w:val="24"/>
          <w:lang w:val="sr-Cyrl-CS"/>
        </w:rPr>
        <w:t>Истраживање избегавања плаћања пореза представља једно је од најважнијих питања којим</w:t>
      </w:r>
      <w:r w:rsidR="00CA7C94">
        <w:rPr>
          <w:rFonts w:ascii="Times New Roman" w:hAnsi="Times New Roman"/>
          <w:sz w:val="24"/>
          <w:szCs w:val="24"/>
        </w:rPr>
        <w:t>a</w:t>
      </w:r>
      <w:r w:rsidR="00CA7C94">
        <w:rPr>
          <w:rFonts w:ascii="Times New Roman" w:hAnsi="Times New Roman"/>
          <w:sz w:val="24"/>
          <w:szCs w:val="24"/>
          <w:lang w:val="sr-Cyrl-CS"/>
        </w:rPr>
        <w:t xml:space="preserve"> се бави финан</w:t>
      </w:r>
      <w:r w:rsidR="00E171AB">
        <w:rPr>
          <w:rFonts w:ascii="Times New Roman" w:hAnsi="Times New Roman"/>
          <w:sz w:val="24"/>
          <w:szCs w:val="24"/>
          <w:lang w:val="sr-Cyrl-CS"/>
        </w:rPr>
        <w:t xml:space="preserve">сијско-правна наука. Увођење </w:t>
      </w:r>
      <w:r w:rsidR="00E171AB">
        <w:rPr>
          <w:rFonts w:ascii="Times New Roman" w:hAnsi="Times New Roman"/>
          <w:sz w:val="24"/>
          <w:szCs w:val="24"/>
          <w:lang w:val="sr-Cyrl-CS"/>
        </w:rPr>
        <w:lastRenderedPageBreak/>
        <w:t>било ког облика пореза, праћено је понашањем пореских обвезника кроз предузимање различитих радњи, у оквиру закона или ван њега, како би избегли или умањили своју пореску обавезу. Због тога је значајна анализа ове појаве и њених последица.</w:t>
      </w:r>
    </w:p>
    <w:p w:rsidR="00E171AB" w:rsidRDefault="00E11235" w:rsidP="002C499B">
      <w:pPr>
        <w:ind w:firstLine="540"/>
        <w:jc w:val="both"/>
        <w:rPr>
          <w:rFonts w:ascii="Times New Roman" w:hAnsi="Times New Roman"/>
          <w:sz w:val="24"/>
          <w:szCs w:val="24"/>
          <w:lang w:val="sr-Cyrl-CS"/>
        </w:rPr>
      </w:pPr>
      <w:r>
        <w:rPr>
          <w:rFonts w:ascii="Times New Roman" w:hAnsi="Times New Roman"/>
          <w:sz w:val="24"/>
          <w:szCs w:val="24"/>
          <w:lang w:val="sr-Cyrl-CS"/>
        </w:rPr>
        <w:t>У питању је појава која доводи до озбиљних последица и због своје сложености може се анализирати не само са пореског аспекта, него и са психолошког, социолошког, етичког и других аспеката. Незаконито избегавање плаћање пореза, али и неприхватљиво минимизирање пореских оптерећења, доводи до неоправданог повлашћивања пореск</w:t>
      </w:r>
      <w:r w:rsidR="00E171AB">
        <w:rPr>
          <w:rFonts w:ascii="Times New Roman" w:hAnsi="Times New Roman"/>
          <w:sz w:val="24"/>
          <w:szCs w:val="24"/>
          <w:lang w:val="sr-Cyrl-CS"/>
        </w:rPr>
        <w:t>их обвезника и угрожава извршење</w:t>
      </w:r>
      <w:r>
        <w:rPr>
          <w:rFonts w:ascii="Times New Roman" w:hAnsi="Times New Roman"/>
          <w:sz w:val="24"/>
          <w:szCs w:val="24"/>
          <w:lang w:val="sr-Cyrl-CS"/>
        </w:rPr>
        <w:t xml:space="preserve"> функције буџета и других инструмената јавних расхода. Опсег задатака савремене државе се повећао у складу са савременим схватањем њене улоге у савременом друштву. Како би остварила бројне функције потребно је прикупљање велике количине финансијских средстава. Самим тим, избегавање плаћања пореза, као најважнијег облика јавних прихода, озбиљно подрива способност државе да оствари задатке из своје надлежности. Због тога је потребно предузимање превентивних и репресивних мера како би се ове појаве избегле. </w:t>
      </w:r>
      <w:r w:rsidR="00E171AB">
        <w:rPr>
          <w:rFonts w:ascii="Times New Roman" w:hAnsi="Times New Roman"/>
          <w:sz w:val="24"/>
          <w:szCs w:val="24"/>
          <w:lang w:val="sr-Cyrl-CS"/>
        </w:rPr>
        <w:t xml:space="preserve"> </w:t>
      </w:r>
    </w:p>
    <w:p w:rsidR="002C499B" w:rsidRDefault="002C499B" w:rsidP="002C499B">
      <w:pPr>
        <w:ind w:firstLine="540"/>
        <w:jc w:val="both"/>
        <w:rPr>
          <w:rFonts w:ascii="Times New Roman" w:hAnsi="Times New Roman"/>
          <w:sz w:val="24"/>
          <w:szCs w:val="24"/>
          <w:lang w:val="sr-Cyrl-CS"/>
        </w:rPr>
      </w:pPr>
      <w:r>
        <w:rPr>
          <w:rFonts w:ascii="Times New Roman" w:hAnsi="Times New Roman"/>
          <w:sz w:val="24"/>
          <w:szCs w:val="24"/>
          <w:lang w:val="sr-Cyrl-CS"/>
        </w:rPr>
        <w:t xml:space="preserve">Функционисање и развој државе </w:t>
      </w:r>
      <w:r w:rsidR="00282BFE">
        <w:rPr>
          <w:rFonts w:ascii="Times New Roman" w:hAnsi="Times New Roman"/>
          <w:sz w:val="24"/>
          <w:szCs w:val="24"/>
          <w:lang w:val="sr-Cyrl-CS"/>
        </w:rPr>
        <w:t>је дакле повезан</w:t>
      </w:r>
      <w:r>
        <w:rPr>
          <w:rFonts w:ascii="Times New Roman" w:hAnsi="Times New Roman"/>
          <w:sz w:val="24"/>
          <w:szCs w:val="24"/>
          <w:lang w:val="sr-Cyrl-CS"/>
        </w:rPr>
        <w:t xml:space="preserve"> са финансирањем јавних издатака. Ради се о сложеном систему финансирања који обухвата: систем јавних прихода, систем јавних расхода и фискални систем. По свом значају у обезбеђивању новчаних средстава за задовољавање јавних потреба издваја се фискални или порески систем</w:t>
      </w:r>
    </w:p>
    <w:p w:rsidR="00E11235" w:rsidRPr="00E11235" w:rsidRDefault="00E11235" w:rsidP="00282BFE">
      <w:pPr>
        <w:jc w:val="both"/>
        <w:rPr>
          <w:rFonts w:ascii="Times New Roman" w:hAnsi="Times New Roman"/>
          <w:sz w:val="24"/>
          <w:szCs w:val="24"/>
          <w:lang w:val="sr-Cyrl-CS"/>
        </w:rPr>
      </w:pPr>
    </w:p>
    <w:p w:rsidR="00B04727" w:rsidRDefault="008541D3" w:rsidP="0077618E">
      <w:pPr>
        <w:jc w:val="center"/>
        <w:rPr>
          <w:rFonts w:ascii="Times New Roman" w:hAnsi="Times New Roman"/>
          <w:b/>
          <w:sz w:val="24"/>
          <w:szCs w:val="24"/>
          <w:lang w:val="sr-Cyrl-CS"/>
        </w:rPr>
      </w:pPr>
      <w:r w:rsidRPr="00282BFE">
        <w:rPr>
          <w:rFonts w:ascii="Times New Roman" w:hAnsi="Times New Roman"/>
          <w:b/>
          <w:sz w:val="24"/>
          <w:szCs w:val="24"/>
          <w:lang w:val="sr-Cyrl-CS"/>
        </w:rPr>
        <w:t>2.1</w:t>
      </w:r>
      <w:r>
        <w:rPr>
          <w:rFonts w:ascii="Times New Roman" w:hAnsi="Times New Roman"/>
          <w:sz w:val="24"/>
          <w:szCs w:val="24"/>
          <w:lang w:val="sr-Cyrl-CS"/>
        </w:rPr>
        <w:t xml:space="preserve">. </w:t>
      </w:r>
      <w:r w:rsidR="0031490F">
        <w:rPr>
          <w:rFonts w:ascii="Times New Roman" w:hAnsi="Times New Roman"/>
          <w:b/>
          <w:sz w:val="24"/>
          <w:szCs w:val="24"/>
          <w:lang w:val="sr-Cyrl-CS"/>
        </w:rPr>
        <w:t xml:space="preserve">Порески систем као део система </w:t>
      </w:r>
      <w:r w:rsidR="009D74DE">
        <w:rPr>
          <w:rFonts w:ascii="Times New Roman" w:hAnsi="Times New Roman"/>
          <w:b/>
          <w:sz w:val="24"/>
          <w:szCs w:val="24"/>
          <w:lang w:val="sr-Cyrl-CS"/>
        </w:rPr>
        <w:t xml:space="preserve">јавног </w:t>
      </w:r>
      <w:r w:rsidR="0031490F">
        <w:rPr>
          <w:rFonts w:ascii="Times New Roman" w:hAnsi="Times New Roman"/>
          <w:b/>
          <w:sz w:val="24"/>
          <w:szCs w:val="24"/>
          <w:lang w:val="sr-Cyrl-CS"/>
        </w:rPr>
        <w:t>финансирања</w:t>
      </w:r>
    </w:p>
    <w:p w:rsidR="00282BFE" w:rsidRPr="00282BFE" w:rsidRDefault="00282BFE" w:rsidP="007B65C6">
      <w:pPr>
        <w:jc w:val="both"/>
        <w:rPr>
          <w:rFonts w:ascii="Times New Roman" w:hAnsi="Times New Roman"/>
          <w:b/>
          <w:sz w:val="24"/>
          <w:szCs w:val="24"/>
          <w:lang w:val="sr-Cyrl-CS"/>
        </w:rPr>
      </w:pPr>
    </w:p>
    <w:p w:rsidR="003E54C8" w:rsidRDefault="003E54C8" w:rsidP="003E54C8">
      <w:pPr>
        <w:ind w:firstLine="708"/>
        <w:jc w:val="both"/>
        <w:rPr>
          <w:rFonts w:ascii="Times New Roman" w:hAnsi="Times New Roman"/>
          <w:sz w:val="24"/>
          <w:szCs w:val="24"/>
          <w:lang w:val="sr-Cyrl-CS"/>
        </w:rPr>
      </w:pPr>
      <w:r w:rsidRPr="00233D40">
        <w:rPr>
          <w:rFonts w:ascii="Times New Roman" w:hAnsi="Times New Roman"/>
          <w:sz w:val="24"/>
          <w:szCs w:val="24"/>
          <w:lang w:val="sr-Cyrl-CS"/>
        </w:rPr>
        <w:t>Порез представља значајан инструмент јавних прихода којим држава прибавља</w:t>
      </w:r>
      <w:r>
        <w:rPr>
          <w:rFonts w:ascii="Times New Roman" w:hAnsi="Times New Roman"/>
          <w:sz w:val="24"/>
          <w:szCs w:val="24"/>
          <w:lang w:val="sr-Cyrl-CS"/>
        </w:rPr>
        <w:t xml:space="preserve"> новчана средства ра</w:t>
      </w:r>
      <w:r w:rsidR="005A3BE4">
        <w:rPr>
          <w:rFonts w:ascii="Times New Roman" w:hAnsi="Times New Roman"/>
          <w:sz w:val="24"/>
          <w:szCs w:val="24"/>
          <w:lang w:val="sr-Cyrl-CS"/>
        </w:rPr>
        <w:t>ди постизања финансијс</w:t>
      </w:r>
      <w:r>
        <w:rPr>
          <w:rFonts w:ascii="Times New Roman" w:hAnsi="Times New Roman"/>
          <w:sz w:val="24"/>
          <w:szCs w:val="24"/>
          <w:lang w:val="sr-Cyrl-CS"/>
        </w:rPr>
        <w:t xml:space="preserve">ких, економских и социјалних циљева. </w:t>
      </w:r>
      <w:r w:rsidR="00E0124E">
        <w:rPr>
          <w:rFonts w:ascii="Times New Roman" w:hAnsi="Times New Roman"/>
          <w:sz w:val="24"/>
          <w:szCs w:val="24"/>
          <w:lang w:val="sr-Cyrl-CS"/>
        </w:rPr>
        <w:t>Пореском влашћу се назива о</w:t>
      </w:r>
      <w:r>
        <w:rPr>
          <w:rFonts w:ascii="Times New Roman" w:hAnsi="Times New Roman"/>
          <w:sz w:val="24"/>
          <w:szCs w:val="24"/>
          <w:lang w:val="sr-Cyrl-CS"/>
        </w:rPr>
        <w:t>во овлашћење државе да принудно узима новчана средс</w:t>
      </w:r>
      <w:r w:rsidR="005A3BE4">
        <w:rPr>
          <w:rFonts w:ascii="Times New Roman" w:hAnsi="Times New Roman"/>
          <w:sz w:val="24"/>
          <w:szCs w:val="24"/>
          <w:lang w:val="sr-Cyrl-CS"/>
        </w:rPr>
        <w:t>тва ради покривања својих финан</w:t>
      </w:r>
      <w:r>
        <w:rPr>
          <w:rFonts w:ascii="Times New Roman" w:hAnsi="Times New Roman"/>
          <w:sz w:val="24"/>
          <w:szCs w:val="24"/>
          <w:lang w:val="sr-Cyrl-CS"/>
        </w:rPr>
        <w:t>сиј</w:t>
      </w:r>
      <w:r w:rsidR="005A3BE4">
        <w:rPr>
          <w:rFonts w:ascii="Times New Roman" w:hAnsi="Times New Roman"/>
          <w:sz w:val="24"/>
          <w:szCs w:val="24"/>
          <w:lang w:val="sr-Cyrl-CS"/>
        </w:rPr>
        <w:t>с</w:t>
      </w:r>
      <w:r>
        <w:rPr>
          <w:rFonts w:ascii="Times New Roman" w:hAnsi="Times New Roman"/>
          <w:sz w:val="24"/>
          <w:szCs w:val="24"/>
          <w:lang w:val="sr-Cyrl-CS"/>
        </w:rPr>
        <w:t>ких потреба</w:t>
      </w:r>
      <w:r w:rsidR="00E0124E">
        <w:rPr>
          <w:rFonts w:ascii="Times New Roman" w:hAnsi="Times New Roman"/>
          <w:sz w:val="24"/>
          <w:szCs w:val="24"/>
          <w:lang w:val="sr-Cyrl-CS"/>
        </w:rPr>
        <w:t>.</w:t>
      </w:r>
      <w:r>
        <w:rPr>
          <w:rFonts w:ascii="Times New Roman" w:hAnsi="Times New Roman"/>
          <w:sz w:val="24"/>
          <w:szCs w:val="24"/>
          <w:lang w:val="sr-Cyrl-CS"/>
        </w:rPr>
        <w:t xml:space="preserve"> </w:t>
      </w:r>
      <w:r w:rsidR="00E0124E">
        <w:rPr>
          <w:rFonts w:ascii="Times New Roman" w:hAnsi="Times New Roman"/>
          <w:sz w:val="24"/>
          <w:szCs w:val="24"/>
          <w:lang w:val="sr-Cyrl-CS"/>
        </w:rPr>
        <w:t>Сва правна и физичка</w:t>
      </w:r>
      <w:r>
        <w:rPr>
          <w:rFonts w:ascii="Times New Roman" w:hAnsi="Times New Roman"/>
          <w:sz w:val="24"/>
          <w:szCs w:val="24"/>
          <w:lang w:val="sr-Cyrl-CS"/>
        </w:rPr>
        <w:t xml:space="preserve"> лица </w:t>
      </w:r>
      <w:r w:rsidR="00E0124E">
        <w:rPr>
          <w:rFonts w:ascii="Times New Roman" w:hAnsi="Times New Roman"/>
          <w:sz w:val="24"/>
          <w:szCs w:val="24"/>
          <w:lang w:val="sr-Cyrl-CS"/>
        </w:rPr>
        <w:t xml:space="preserve">имају дужност </w:t>
      </w:r>
      <w:r>
        <w:rPr>
          <w:rFonts w:ascii="Times New Roman" w:hAnsi="Times New Roman"/>
          <w:sz w:val="24"/>
          <w:szCs w:val="24"/>
          <w:lang w:val="sr-Cyrl-CS"/>
        </w:rPr>
        <w:t>да доприносе задовољавању  општекорисних друштвених потреба која је предвиђена Уставом. То говори о значају пореског система и благов</w:t>
      </w:r>
      <w:r w:rsidR="00E0124E">
        <w:rPr>
          <w:rFonts w:ascii="Times New Roman" w:hAnsi="Times New Roman"/>
          <w:sz w:val="24"/>
          <w:szCs w:val="24"/>
          <w:lang w:val="sr-Cyrl-CS"/>
        </w:rPr>
        <w:t>ременог измиривања ове дужности јер уколико се</w:t>
      </w:r>
      <w:r w:rsidRPr="000A769A">
        <w:rPr>
          <w:rFonts w:ascii="Times New Roman" w:hAnsi="Times New Roman"/>
          <w:sz w:val="24"/>
          <w:szCs w:val="24"/>
          <w:lang w:val="sr-Cyrl-CS"/>
        </w:rPr>
        <w:t xml:space="preserve"> ове обавезе </w:t>
      </w:r>
      <w:r w:rsidR="00E0124E" w:rsidRPr="000A769A">
        <w:rPr>
          <w:rFonts w:ascii="Times New Roman" w:hAnsi="Times New Roman"/>
          <w:sz w:val="24"/>
          <w:szCs w:val="24"/>
          <w:lang w:val="sr-Cyrl-CS"/>
        </w:rPr>
        <w:t>по основу пореских и других давања у виду доприноса и сл.</w:t>
      </w:r>
      <w:r w:rsidR="00E0124E">
        <w:rPr>
          <w:rFonts w:ascii="Times New Roman" w:hAnsi="Times New Roman"/>
          <w:sz w:val="24"/>
          <w:szCs w:val="24"/>
          <w:lang w:val="sr-Cyrl-CS"/>
        </w:rPr>
        <w:t xml:space="preserve"> </w:t>
      </w:r>
      <w:r w:rsidRPr="000A769A">
        <w:rPr>
          <w:rFonts w:ascii="Times New Roman" w:hAnsi="Times New Roman"/>
          <w:sz w:val="24"/>
          <w:szCs w:val="24"/>
          <w:lang w:val="sr-Cyrl-CS"/>
        </w:rPr>
        <w:t>у потпуности или делими</w:t>
      </w:r>
      <w:r>
        <w:rPr>
          <w:rFonts w:ascii="Times New Roman" w:hAnsi="Times New Roman"/>
          <w:sz w:val="24"/>
          <w:szCs w:val="24"/>
          <w:lang w:val="sr-Cyrl-CS"/>
        </w:rPr>
        <w:t>ч</w:t>
      </w:r>
      <w:r w:rsidRPr="000A769A">
        <w:rPr>
          <w:rFonts w:ascii="Times New Roman" w:hAnsi="Times New Roman"/>
          <w:sz w:val="24"/>
          <w:szCs w:val="24"/>
          <w:lang w:val="sr-Cyrl-CS"/>
        </w:rPr>
        <w:t>но</w:t>
      </w:r>
      <w:r w:rsidR="00E0124E">
        <w:rPr>
          <w:rFonts w:ascii="Times New Roman" w:hAnsi="Times New Roman"/>
          <w:sz w:val="24"/>
          <w:szCs w:val="24"/>
          <w:lang w:val="sr-Cyrl-CS"/>
        </w:rPr>
        <w:t xml:space="preserve"> избегну или неблаговремено</w:t>
      </w:r>
      <w:r w:rsidRPr="000A769A">
        <w:rPr>
          <w:rFonts w:ascii="Times New Roman" w:hAnsi="Times New Roman"/>
          <w:sz w:val="24"/>
          <w:szCs w:val="24"/>
          <w:lang w:val="sr-Cyrl-CS"/>
        </w:rPr>
        <w:t xml:space="preserve"> </w:t>
      </w:r>
      <w:r w:rsidR="00E0124E">
        <w:rPr>
          <w:rFonts w:ascii="Times New Roman" w:hAnsi="Times New Roman"/>
          <w:sz w:val="24"/>
          <w:szCs w:val="24"/>
          <w:lang w:val="sr-Cyrl-CS"/>
        </w:rPr>
        <w:t>испуне</w:t>
      </w:r>
      <w:r w:rsidRPr="000A769A">
        <w:rPr>
          <w:rFonts w:ascii="Times New Roman" w:hAnsi="Times New Roman"/>
          <w:sz w:val="24"/>
          <w:szCs w:val="24"/>
          <w:lang w:val="sr-Cyrl-CS"/>
        </w:rPr>
        <w:t xml:space="preserve"> не само да се кр</w:t>
      </w:r>
      <w:r>
        <w:rPr>
          <w:rFonts w:ascii="Times New Roman" w:hAnsi="Times New Roman"/>
          <w:sz w:val="24"/>
          <w:szCs w:val="24"/>
          <w:lang w:val="sr-Cyrl-CS"/>
        </w:rPr>
        <w:t>ш</w:t>
      </w:r>
      <w:r w:rsidR="00722858">
        <w:rPr>
          <w:rFonts w:ascii="Times New Roman" w:hAnsi="Times New Roman"/>
          <w:sz w:val="24"/>
          <w:szCs w:val="24"/>
          <w:lang w:val="sr-Cyrl-CS"/>
        </w:rPr>
        <w:t>и ова</w:t>
      </w:r>
      <w:r w:rsidRPr="000A769A">
        <w:rPr>
          <w:rFonts w:ascii="Times New Roman" w:hAnsi="Times New Roman"/>
          <w:sz w:val="24"/>
          <w:szCs w:val="24"/>
          <w:lang w:val="sr-Cyrl-CS"/>
        </w:rPr>
        <w:t xml:space="preserve"> </w:t>
      </w:r>
      <w:r w:rsidR="00722858">
        <w:rPr>
          <w:rFonts w:ascii="Times New Roman" w:hAnsi="Times New Roman"/>
          <w:sz w:val="24"/>
          <w:szCs w:val="24"/>
          <w:lang w:val="sr-Cyrl-CS"/>
        </w:rPr>
        <w:t xml:space="preserve"> уставна</w:t>
      </w:r>
      <w:r w:rsidRPr="000A769A">
        <w:rPr>
          <w:rFonts w:ascii="Times New Roman" w:hAnsi="Times New Roman"/>
          <w:sz w:val="24"/>
          <w:szCs w:val="24"/>
          <w:lang w:val="sr-Cyrl-CS"/>
        </w:rPr>
        <w:t xml:space="preserve"> </w:t>
      </w:r>
      <w:r w:rsidR="00722858">
        <w:rPr>
          <w:rFonts w:ascii="Times New Roman" w:hAnsi="Times New Roman"/>
          <w:sz w:val="24"/>
          <w:szCs w:val="24"/>
          <w:lang w:val="sr-Cyrl-CS"/>
        </w:rPr>
        <w:t>обавеза</w:t>
      </w:r>
      <w:r w:rsidRPr="000A769A">
        <w:rPr>
          <w:rFonts w:ascii="Times New Roman" w:hAnsi="Times New Roman"/>
          <w:sz w:val="24"/>
          <w:szCs w:val="24"/>
          <w:lang w:val="sr-Cyrl-CS"/>
        </w:rPr>
        <w:t xml:space="preserve"> и законски прописи ве</w:t>
      </w:r>
      <w:r>
        <w:rPr>
          <w:rFonts w:ascii="Times New Roman" w:hAnsi="Times New Roman"/>
          <w:sz w:val="24"/>
          <w:szCs w:val="24"/>
          <w:lang w:val="sr-Cyrl-CS"/>
        </w:rPr>
        <w:t>ћ</w:t>
      </w:r>
      <w:r w:rsidR="00722858">
        <w:rPr>
          <w:rFonts w:ascii="Times New Roman" w:hAnsi="Times New Roman"/>
          <w:sz w:val="24"/>
          <w:szCs w:val="24"/>
          <w:lang w:val="sr-Cyrl-CS"/>
        </w:rPr>
        <w:t xml:space="preserve"> се </w:t>
      </w:r>
      <w:r w:rsidRPr="000A769A">
        <w:rPr>
          <w:rFonts w:ascii="Times New Roman" w:hAnsi="Times New Roman"/>
          <w:sz w:val="24"/>
          <w:szCs w:val="24"/>
          <w:lang w:val="sr-Cyrl-CS"/>
        </w:rPr>
        <w:t xml:space="preserve"> узрокују </w:t>
      </w:r>
      <w:r w:rsidR="00722858">
        <w:rPr>
          <w:rFonts w:ascii="Times New Roman" w:hAnsi="Times New Roman"/>
          <w:sz w:val="24"/>
          <w:szCs w:val="24"/>
          <w:lang w:val="sr-Cyrl-CS"/>
        </w:rPr>
        <w:t xml:space="preserve">и </w:t>
      </w:r>
      <w:r w:rsidRPr="000A769A">
        <w:rPr>
          <w:rFonts w:ascii="Times New Roman" w:hAnsi="Times New Roman"/>
          <w:sz w:val="24"/>
          <w:szCs w:val="24"/>
          <w:lang w:val="sr-Cyrl-CS"/>
        </w:rPr>
        <w:t>недозвољене по</w:t>
      </w:r>
      <w:r w:rsidR="00722858">
        <w:rPr>
          <w:rFonts w:ascii="Times New Roman" w:hAnsi="Times New Roman"/>
          <w:sz w:val="24"/>
          <w:szCs w:val="24"/>
          <w:lang w:val="sr-Cyrl-CS"/>
        </w:rPr>
        <w:t>следице, које се</w:t>
      </w:r>
      <w:r w:rsidRPr="000A769A">
        <w:rPr>
          <w:rFonts w:ascii="Times New Roman" w:hAnsi="Times New Roman"/>
          <w:sz w:val="24"/>
          <w:szCs w:val="24"/>
          <w:lang w:val="sr-Cyrl-CS"/>
        </w:rPr>
        <w:t xml:space="preserve"> у првом реду манифестују у непотпуном остваривању пореских планова и биланса, а с друге стране се тиме у знатној мери ути</w:t>
      </w:r>
      <w:r>
        <w:rPr>
          <w:rFonts w:ascii="Times New Roman" w:hAnsi="Times New Roman"/>
          <w:sz w:val="24"/>
          <w:szCs w:val="24"/>
          <w:lang w:val="sr-Cyrl-CS"/>
        </w:rPr>
        <w:t>ч</w:t>
      </w:r>
      <w:r w:rsidRPr="000A769A">
        <w:rPr>
          <w:rFonts w:ascii="Times New Roman" w:hAnsi="Times New Roman"/>
          <w:sz w:val="24"/>
          <w:szCs w:val="24"/>
          <w:lang w:val="sr-Cyrl-CS"/>
        </w:rPr>
        <w:t>е на задовољавање оп</w:t>
      </w:r>
      <w:r>
        <w:rPr>
          <w:rFonts w:ascii="Times New Roman" w:hAnsi="Times New Roman"/>
          <w:sz w:val="24"/>
          <w:szCs w:val="24"/>
          <w:lang w:val="sr-Cyrl-CS"/>
        </w:rPr>
        <w:t>ш</w:t>
      </w:r>
      <w:r w:rsidRPr="000A769A">
        <w:rPr>
          <w:rFonts w:ascii="Times New Roman" w:hAnsi="Times New Roman"/>
          <w:sz w:val="24"/>
          <w:szCs w:val="24"/>
          <w:lang w:val="sr-Cyrl-CS"/>
        </w:rPr>
        <w:t>тедру</w:t>
      </w:r>
      <w:r>
        <w:rPr>
          <w:rFonts w:ascii="Times New Roman" w:hAnsi="Times New Roman"/>
          <w:sz w:val="24"/>
          <w:szCs w:val="24"/>
          <w:lang w:val="sr-Cyrl-CS"/>
        </w:rPr>
        <w:t>ш</w:t>
      </w:r>
      <w:r w:rsidRPr="000A769A">
        <w:rPr>
          <w:rFonts w:ascii="Times New Roman" w:hAnsi="Times New Roman"/>
          <w:sz w:val="24"/>
          <w:szCs w:val="24"/>
          <w:lang w:val="sr-Cyrl-CS"/>
        </w:rPr>
        <w:t>твених потреба и функционисање др</w:t>
      </w:r>
      <w:r>
        <w:rPr>
          <w:rFonts w:ascii="Times New Roman" w:hAnsi="Times New Roman"/>
          <w:sz w:val="24"/>
          <w:szCs w:val="24"/>
          <w:lang w:val="sr-Cyrl-CS"/>
        </w:rPr>
        <w:t>ж</w:t>
      </w:r>
      <w:r w:rsidRPr="000A769A">
        <w:rPr>
          <w:rFonts w:ascii="Times New Roman" w:hAnsi="Times New Roman"/>
          <w:sz w:val="24"/>
          <w:szCs w:val="24"/>
          <w:lang w:val="sr-Cyrl-CS"/>
        </w:rPr>
        <w:t>авних функција на разним нивоима</w:t>
      </w:r>
      <w:r>
        <w:rPr>
          <w:sz w:val="20"/>
          <w:szCs w:val="20"/>
          <w:lang w:val="sr-Cyrl-CS"/>
        </w:rPr>
        <w:t>.</w:t>
      </w:r>
      <w:r>
        <w:rPr>
          <w:rStyle w:val="FootnoteReference"/>
          <w:sz w:val="20"/>
          <w:szCs w:val="20"/>
          <w:lang w:val="sr-Cyrl-CS"/>
        </w:rPr>
        <w:footnoteReference w:id="18"/>
      </w:r>
      <w:r w:rsidR="00E0124E">
        <w:rPr>
          <w:sz w:val="20"/>
          <w:szCs w:val="20"/>
          <w:lang w:val="sr-Cyrl-CS"/>
        </w:rPr>
        <w:t xml:space="preserve">  </w:t>
      </w:r>
    </w:p>
    <w:p w:rsidR="003E54C8" w:rsidRPr="00605590" w:rsidRDefault="00FD247B" w:rsidP="00F74906">
      <w:pPr>
        <w:ind w:firstLine="708"/>
        <w:jc w:val="both"/>
        <w:rPr>
          <w:rFonts w:ascii="Times New Roman" w:hAnsi="Times New Roman"/>
          <w:sz w:val="24"/>
          <w:szCs w:val="24"/>
          <w:lang w:val="sr-Cyrl-CS"/>
        </w:rPr>
      </w:pPr>
      <w:r>
        <w:rPr>
          <w:rFonts w:ascii="Times New Roman" w:hAnsi="Times New Roman"/>
          <w:sz w:val="24"/>
          <w:szCs w:val="24"/>
          <w:lang w:val="sr-Cyrl-CS"/>
        </w:rPr>
        <w:lastRenderedPageBreak/>
        <w:t>Пореским системом се назива укупност пореских облика једне земље</w:t>
      </w:r>
      <w:r>
        <w:rPr>
          <w:rStyle w:val="FootnoteReference"/>
          <w:rFonts w:ascii="Times New Roman" w:hAnsi="Times New Roman"/>
          <w:sz w:val="24"/>
          <w:szCs w:val="24"/>
          <w:lang w:val="sr-Cyrl-CS"/>
        </w:rPr>
        <w:footnoteReference w:id="19"/>
      </w:r>
      <w:r>
        <w:rPr>
          <w:rFonts w:ascii="Times New Roman" w:hAnsi="Times New Roman"/>
          <w:sz w:val="24"/>
          <w:szCs w:val="24"/>
          <w:lang w:val="sr-Cyrl-CS"/>
        </w:rPr>
        <w:t xml:space="preserve"> </w:t>
      </w:r>
      <w:r w:rsidR="00F74906">
        <w:rPr>
          <w:rFonts w:ascii="Times New Roman" w:hAnsi="Times New Roman"/>
          <w:sz w:val="24"/>
          <w:szCs w:val="24"/>
          <w:lang w:val="sr-Cyrl-CS"/>
        </w:rPr>
        <w:t>и</w:t>
      </w:r>
      <w:r w:rsidR="003E54C8">
        <w:rPr>
          <w:rFonts w:ascii="Times New Roman" w:hAnsi="Times New Roman"/>
          <w:sz w:val="24"/>
          <w:szCs w:val="24"/>
          <w:lang w:val="sr-Cyrl-CS"/>
        </w:rPr>
        <w:t xml:space="preserve"> </w:t>
      </w:r>
      <w:r w:rsidR="00F74906">
        <w:rPr>
          <w:rFonts w:ascii="Times New Roman" w:hAnsi="Times New Roman"/>
          <w:sz w:val="24"/>
          <w:szCs w:val="24"/>
          <w:lang w:val="sr-Cyrl-CS"/>
        </w:rPr>
        <w:t xml:space="preserve">у </w:t>
      </w:r>
      <w:r w:rsidR="003E54C8">
        <w:rPr>
          <w:rFonts w:ascii="Times New Roman" w:hAnsi="Times New Roman"/>
          <w:sz w:val="24"/>
          <w:szCs w:val="24"/>
          <w:lang w:val="sr-Cyrl-CS"/>
        </w:rPr>
        <w:t>савременим државама представља најзначајнији облик јавних прихода.</w:t>
      </w:r>
      <w:r w:rsidR="003E54C8" w:rsidRPr="000718E1">
        <w:rPr>
          <w:rFonts w:ascii="Times New Roman" w:hAnsi="Times New Roman"/>
          <w:sz w:val="24"/>
          <w:szCs w:val="24"/>
        </w:rPr>
        <w:t xml:space="preserve"> </w:t>
      </w:r>
      <w:r w:rsidR="003E54C8">
        <w:rPr>
          <w:rFonts w:ascii="Times New Roman" w:hAnsi="Times New Roman"/>
          <w:sz w:val="24"/>
          <w:szCs w:val="24"/>
          <w:lang w:val="sr-Cyrl-CS"/>
        </w:rPr>
        <w:t xml:space="preserve">Према томе, под </w:t>
      </w:r>
      <w:r w:rsidR="003E54C8" w:rsidRPr="00513645">
        <w:rPr>
          <w:rFonts w:ascii="Times New Roman" w:hAnsi="Times New Roman"/>
          <w:sz w:val="24"/>
          <w:szCs w:val="24"/>
          <w:lang w:val="sr-Cyrl-CS"/>
        </w:rPr>
        <w:t>појмом пореског система</w:t>
      </w:r>
      <w:r w:rsidR="003E54C8">
        <w:rPr>
          <w:rFonts w:ascii="Times New Roman" w:hAnsi="Times New Roman"/>
          <w:sz w:val="24"/>
          <w:szCs w:val="24"/>
          <w:lang w:val="sr-Cyrl-CS"/>
        </w:rPr>
        <w:t xml:space="preserve"> подразумева се скуп свих пореских облика и правних норми којима је регулисана материја пореза у једној земљи. </w:t>
      </w:r>
      <w:r w:rsidR="003E54C8" w:rsidRPr="00D3566C">
        <w:rPr>
          <w:rFonts w:ascii="Times New Roman" w:hAnsi="Times New Roman"/>
          <w:sz w:val="24"/>
          <w:szCs w:val="24"/>
          <w:lang w:val="sr-Cyrl-CS"/>
        </w:rPr>
        <w:t>П</w:t>
      </w:r>
      <w:r w:rsidR="003E54C8">
        <w:rPr>
          <w:rFonts w:ascii="Times New Roman" w:hAnsi="Times New Roman"/>
          <w:sz w:val="24"/>
          <w:szCs w:val="24"/>
          <w:lang w:val="sr-Cyrl-CS"/>
        </w:rPr>
        <w:t>оред фискалног циља који треба да обезбеди, треба да обезбеди и бројне екстрафискалне, а нарочито макроекономске циљеве као што је равнотежа платног биланса, стабилност цена, пуна запосленост, привредни раст и слично.</w:t>
      </w:r>
    </w:p>
    <w:p w:rsidR="003E54C8" w:rsidRDefault="003E54C8" w:rsidP="003E54C8">
      <w:pPr>
        <w:ind w:firstLine="708"/>
        <w:jc w:val="both"/>
        <w:rPr>
          <w:rFonts w:ascii="Times New Roman" w:hAnsi="Times New Roman"/>
          <w:sz w:val="24"/>
          <w:szCs w:val="24"/>
          <w:lang w:val="sr-Cyrl-CS"/>
        </w:rPr>
      </w:pPr>
      <w:r>
        <w:rPr>
          <w:rFonts w:ascii="Times New Roman" w:hAnsi="Times New Roman"/>
          <w:sz w:val="24"/>
          <w:szCs w:val="24"/>
          <w:lang w:val="sr-Cyrl-CS"/>
        </w:rPr>
        <w:t>Порески систем се стално мења и прилагођава, као што су и порези променљива категорија.  Порески систем је и историјска категорија и прилагођава се друштвено-економском систему.</w:t>
      </w:r>
      <w:r w:rsidRPr="00D3566C">
        <w:rPr>
          <w:rFonts w:ascii="Times New Roman" w:hAnsi="Times New Roman"/>
          <w:sz w:val="24"/>
          <w:szCs w:val="24"/>
        </w:rPr>
        <w:t xml:space="preserve"> </w:t>
      </w:r>
      <w:r>
        <w:rPr>
          <w:rFonts w:ascii="Times New Roman" w:hAnsi="Times New Roman"/>
          <w:sz w:val="24"/>
          <w:szCs w:val="24"/>
          <w:lang w:val="sr-Cyrl-CS"/>
        </w:rPr>
        <w:t xml:space="preserve">Мимо тога, порески системи се међусобно разликују у различитим државама у погледу пореских инструмената који се примењују, као и у погледу различитих економских, фискалних, социјалних и политичких циљева који се опорезивањем желе постићи. Међусобно разликовање  је и логично имајући у виду различито место и улогу пореза у развијеним земљама, земљама у развоју и земљама које су у фази транзиције. </w:t>
      </w:r>
    </w:p>
    <w:p w:rsidR="003E54C8" w:rsidRDefault="003E54C8" w:rsidP="003E54C8">
      <w:pPr>
        <w:ind w:firstLine="708"/>
        <w:jc w:val="both"/>
        <w:rPr>
          <w:rFonts w:ascii="Times New Roman" w:hAnsi="Times New Roman"/>
          <w:sz w:val="24"/>
          <w:szCs w:val="24"/>
          <w:lang w:val="sr-Cyrl-CS"/>
        </w:rPr>
      </w:pPr>
      <w:r>
        <w:rPr>
          <w:rFonts w:ascii="Times New Roman" w:hAnsi="Times New Roman"/>
          <w:sz w:val="24"/>
          <w:szCs w:val="24"/>
          <w:lang w:val="sr-Cyrl-CS"/>
        </w:rPr>
        <w:t>П</w:t>
      </w:r>
      <w:r w:rsidRPr="00A15BAE">
        <w:rPr>
          <w:rFonts w:ascii="Times New Roman" w:hAnsi="Times New Roman"/>
          <w:sz w:val="24"/>
          <w:szCs w:val="24"/>
          <w:lang w:val="sr-Cyrl-CS"/>
        </w:rPr>
        <w:t>орески систем</w:t>
      </w:r>
      <w:r>
        <w:rPr>
          <w:rFonts w:ascii="Times New Roman" w:hAnsi="Times New Roman"/>
          <w:sz w:val="24"/>
          <w:szCs w:val="24"/>
          <w:lang w:val="sr-Cyrl-CS"/>
        </w:rPr>
        <w:t xml:space="preserve"> не настаје к</w:t>
      </w:r>
      <w:r w:rsidR="00013F75">
        <w:rPr>
          <w:rFonts w:ascii="Times New Roman" w:hAnsi="Times New Roman"/>
          <w:sz w:val="24"/>
          <w:szCs w:val="24"/>
          <w:lang w:val="sr-Cyrl-CS"/>
        </w:rPr>
        <w:t>ао резултат унапред дефинисаног и</w:t>
      </w:r>
      <w:r>
        <w:rPr>
          <w:rFonts w:ascii="Times New Roman" w:hAnsi="Times New Roman"/>
          <w:sz w:val="24"/>
          <w:szCs w:val="24"/>
          <w:lang w:val="sr-Cyrl-CS"/>
        </w:rPr>
        <w:t xml:space="preserve"> на научним принципима заснованог плана, већ пре на основу компромиса различитих политичких снага, под утицајем историјског развоја, као и притисака да се пронађу нови извори за финансирање јавних расхода, </w:t>
      </w:r>
      <w:r w:rsidR="00013F75">
        <w:rPr>
          <w:rFonts w:ascii="Times New Roman" w:hAnsi="Times New Roman"/>
          <w:sz w:val="24"/>
          <w:szCs w:val="24"/>
          <w:lang w:val="sr-Cyrl-CS"/>
        </w:rPr>
        <w:t>као</w:t>
      </w:r>
      <w:r>
        <w:rPr>
          <w:rFonts w:ascii="Times New Roman" w:hAnsi="Times New Roman"/>
          <w:sz w:val="24"/>
          <w:szCs w:val="24"/>
          <w:lang w:val="sr-Cyrl-CS"/>
        </w:rPr>
        <w:t xml:space="preserve"> и под дејством иностраног фактора.</w:t>
      </w:r>
      <w:r>
        <w:rPr>
          <w:rStyle w:val="FootnoteReference"/>
          <w:rFonts w:ascii="Times New Roman" w:hAnsi="Times New Roman"/>
          <w:sz w:val="24"/>
          <w:szCs w:val="24"/>
          <w:lang w:val="sr-Cyrl-CS"/>
        </w:rPr>
        <w:footnoteReference w:id="20"/>
      </w:r>
      <w:r>
        <w:rPr>
          <w:rFonts w:ascii="Times New Roman" w:hAnsi="Times New Roman"/>
          <w:sz w:val="24"/>
          <w:szCs w:val="24"/>
          <w:lang w:val="sr-Cyrl-CS"/>
        </w:rPr>
        <w:t xml:space="preserve"> </w:t>
      </w:r>
    </w:p>
    <w:p w:rsidR="005B6BA0" w:rsidRDefault="003E54C8" w:rsidP="003E54C8">
      <w:pPr>
        <w:ind w:firstLine="708"/>
        <w:jc w:val="both"/>
        <w:rPr>
          <w:rFonts w:ascii="Times New Roman" w:hAnsi="Times New Roman"/>
          <w:sz w:val="24"/>
          <w:szCs w:val="24"/>
          <w:lang w:val="sr-Cyrl-CS"/>
        </w:rPr>
      </w:pPr>
      <w:r>
        <w:rPr>
          <w:rFonts w:ascii="Times New Roman" w:hAnsi="Times New Roman"/>
          <w:sz w:val="24"/>
          <w:szCs w:val="24"/>
          <w:lang w:val="sr-Cyrl-CS"/>
        </w:rPr>
        <w:t>Према томе, бројни су фактори од којих зависи порески систем и који на ове разлике утичу попут друштвено-економског уређења, развијености привреде, броја становника, ф</w:t>
      </w:r>
      <w:r w:rsidR="009551E3">
        <w:rPr>
          <w:rFonts w:ascii="Times New Roman" w:hAnsi="Times New Roman"/>
          <w:sz w:val="24"/>
          <w:szCs w:val="24"/>
          <w:lang w:val="sr-Cyrl-CS"/>
        </w:rPr>
        <w:t>лексибилности појединих поре</w:t>
      </w:r>
      <w:r w:rsidR="00F74906">
        <w:rPr>
          <w:rFonts w:ascii="Times New Roman" w:hAnsi="Times New Roman"/>
          <w:sz w:val="24"/>
          <w:szCs w:val="24"/>
          <w:lang w:val="sr-Cyrl-CS"/>
        </w:rPr>
        <w:t xml:space="preserve">за, </w:t>
      </w:r>
      <w:r>
        <w:rPr>
          <w:rFonts w:ascii="Times New Roman" w:hAnsi="Times New Roman"/>
          <w:sz w:val="24"/>
          <w:szCs w:val="24"/>
          <w:lang w:val="sr-Cyrl-CS"/>
        </w:rPr>
        <w:t xml:space="preserve">историјског развоја, висине националног дохотка по глави становника, степена укључености у међународне токове и сл. У погледу врста пореских облика које обухватају, порески системи обухватају порезе који се углавном срећу, (као што су порез на додату вредност, порез на непокретности, порез на доходак правних и физичких лица), па отуда и сличност међу пореским системима, али обухватају и специфичне пореске облике за дати порески систем. </w:t>
      </w:r>
      <w:r>
        <w:rPr>
          <w:rFonts w:ascii="Times New Roman" w:hAnsi="Times New Roman"/>
          <w:sz w:val="24"/>
          <w:szCs w:val="24"/>
        </w:rPr>
        <w:t xml:space="preserve">У развијеним земљама имајући у виду висок </w:t>
      </w:r>
      <w:r>
        <w:rPr>
          <w:rFonts w:ascii="Times New Roman" w:hAnsi="Times New Roman"/>
          <w:sz w:val="24"/>
          <w:szCs w:val="24"/>
          <w:lang w:val="sr-Cyrl-CS"/>
        </w:rPr>
        <w:t>доходак по глави становника, заступљенији су порези на доходак и порези на имовину, док су у мање развијеним земљама заступљенији порез на промет и акцизе, дакле порези који се односе на потрошњу.</w:t>
      </w:r>
      <w:r w:rsidRPr="00D3566C">
        <w:rPr>
          <w:rFonts w:ascii="Times New Roman" w:hAnsi="Times New Roman"/>
          <w:sz w:val="24"/>
          <w:szCs w:val="24"/>
          <w:lang w:val="sr-Cyrl-CS"/>
        </w:rPr>
        <w:t xml:space="preserve"> </w:t>
      </w:r>
      <w:r>
        <w:rPr>
          <w:rFonts w:ascii="Times New Roman" w:hAnsi="Times New Roman"/>
          <w:sz w:val="24"/>
          <w:szCs w:val="24"/>
          <w:lang w:val="sr-Cyrl-CS"/>
        </w:rPr>
        <w:t xml:space="preserve">У земљама које су више укључене у међународне токове постојаће већа тенденција за увођење пореских облика који ће подстицати извоз и у том смислу већи значај ће имати порез на додату вредност. </w:t>
      </w:r>
    </w:p>
    <w:p w:rsidR="00C512E2" w:rsidRPr="00A64C29" w:rsidRDefault="00B97770" w:rsidP="00A64C29">
      <w:pPr>
        <w:ind w:firstLine="708"/>
        <w:jc w:val="both"/>
        <w:rPr>
          <w:rFonts w:ascii="Times New Roman" w:hAnsi="Times New Roman"/>
          <w:sz w:val="24"/>
          <w:szCs w:val="24"/>
          <w:lang w:val="sr-Cyrl-CS"/>
        </w:rPr>
      </w:pPr>
      <w:r>
        <w:rPr>
          <w:rFonts w:ascii="Times New Roman" w:hAnsi="Times New Roman"/>
          <w:sz w:val="24"/>
          <w:szCs w:val="24"/>
          <w:lang w:val="sr-Cyrl-CS"/>
        </w:rPr>
        <w:t xml:space="preserve">За остваривање и функционисање свих друштвено-државних функција од великог је значаја уредно и ефикасно остваривање пореског система и највишим правним актима је предвиђена дужност физичких и правних лица да сразмерно својим </w:t>
      </w:r>
      <w:r>
        <w:rPr>
          <w:rFonts w:ascii="Times New Roman" w:hAnsi="Times New Roman"/>
          <w:sz w:val="24"/>
          <w:szCs w:val="24"/>
          <w:lang w:val="sr-Cyrl-CS"/>
        </w:rPr>
        <w:lastRenderedPageBreak/>
        <w:t>материјалним могућностима и под једнаким условима доприносе задовољавању општих друштвених потреба. Неблаговремено извршавање обавеза по основу пореских и других давања или избегавање  ових обавеза у потпуности или делимично доводи не само до кршења закон</w:t>
      </w:r>
      <w:r w:rsidR="00B37833">
        <w:rPr>
          <w:rFonts w:ascii="Times New Roman" w:hAnsi="Times New Roman"/>
          <w:sz w:val="24"/>
          <w:szCs w:val="24"/>
          <w:lang w:val="sr-Cyrl-CS"/>
        </w:rPr>
        <w:t>ск</w:t>
      </w:r>
      <w:r>
        <w:rPr>
          <w:rFonts w:ascii="Times New Roman" w:hAnsi="Times New Roman"/>
          <w:sz w:val="24"/>
          <w:szCs w:val="24"/>
          <w:lang w:val="sr-Cyrl-CS"/>
        </w:rPr>
        <w:t>их прописа него и до недозвољених последица и противправних стања. Ове последице се правасходно огледају у непотпуном остваривању пореских планова и биланса, а тиме се у знатној мери утиче на задовољавање опште душтвених потреба и функциоисање државних функција на разним нивоима.</w:t>
      </w:r>
      <w:r w:rsidR="00B60414">
        <w:rPr>
          <w:rStyle w:val="FootnoteReference"/>
          <w:rFonts w:ascii="Times New Roman" w:hAnsi="Times New Roman"/>
          <w:sz w:val="24"/>
          <w:szCs w:val="24"/>
          <w:lang w:val="sr-Cyrl-CS"/>
        </w:rPr>
        <w:footnoteReference w:id="21"/>
      </w:r>
    </w:p>
    <w:p w:rsidR="00A64C29" w:rsidRPr="00A64C29" w:rsidRDefault="00A64C29" w:rsidP="00C512E2">
      <w:pPr>
        <w:ind w:firstLine="540"/>
        <w:jc w:val="both"/>
        <w:rPr>
          <w:rFonts w:ascii="Times New Roman" w:hAnsi="Times New Roman"/>
          <w:sz w:val="24"/>
          <w:szCs w:val="24"/>
          <w:lang w:val="sr-Cyrl-CS"/>
        </w:rPr>
      </w:pPr>
    </w:p>
    <w:p w:rsidR="00803E95" w:rsidRDefault="00282BFE" w:rsidP="0077618E">
      <w:pPr>
        <w:ind w:left="360"/>
        <w:jc w:val="center"/>
        <w:rPr>
          <w:rFonts w:ascii="Times New Roman" w:hAnsi="Times New Roman"/>
          <w:b/>
          <w:sz w:val="24"/>
          <w:szCs w:val="24"/>
          <w:lang w:val="sr-Cyrl-CS"/>
        </w:rPr>
      </w:pPr>
      <w:r>
        <w:rPr>
          <w:rFonts w:ascii="Times New Roman" w:hAnsi="Times New Roman"/>
          <w:b/>
          <w:sz w:val="24"/>
          <w:szCs w:val="24"/>
          <w:lang w:val="sr-Cyrl-CS"/>
        </w:rPr>
        <w:t xml:space="preserve">2.2. </w:t>
      </w:r>
      <w:r w:rsidR="00463B8E">
        <w:rPr>
          <w:rFonts w:ascii="Times New Roman" w:hAnsi="Times New Roman"/>
          <w:b/>
          <w:sz w:val="24"/>
          <w:szCs w:val="24"/>
          <w:lang w:val="sr-Cyrl-CS"/>
        </w:rPr>
        <w:t>Значај облика пореског си</w:t>
      </w:r>
      <w:r w:rsidR="0077618E">
        <w:rPr>
          <w:rFonts w:ascii="Times New Roman" w:hAnsi="Times New Roman"/>
          <w:b/>
          <w:sz w:val="24"/>
          <w:szCs w:val="24"/>
          <w:lang w:val="sr-Cyrl-CS"/>
        </w:rPr>
        <w:t>с</w:t>
      </w:r>
      <w:r w:rsidR="00463B8E">
        <w:rPr>
          <w:rFonts w:ascii="Times New Roman" w:hAnsi="Times New Roman"/>
          <w:b/>
          <w:sz w:val="24"/>
          <w:szCs w:val="24"/>
          <w:lang w:val="sr-Cyrl-CS"/>
        </w:rPr>
        <w:t>тема са становишта пореске евазије</w:t>
      </w:r>
    </w:p>
    <w:p w:rsidR="00A64C29" w:rsidRPr="00A64C29" w:rsidRDefault="00A64C29" w:rsidP="00A64C29">
      <w:pPr>
        <w:jc w:val="both"/>
        <w:rPr>
          <w:rFonts w:ascii="Times New Roman" w:hAnsi="Times New Roman"/>
          <w:b/>
          <w:sz w:val="24"/>
          <w:szCs w:val="24"/>
          <w:lang w:val="sr-Cyrl-CS"/>
        </w:rPr>
      </w:pPr>
    </w:p>
    <w:p w:rsidR="005742BB" w:rsidRDefault="00E312E5" w:rsidP="00E312E5">
      <w:pPr>
        <w:ind w:firstLine="360"/>
        <w:jc w:val="both"/>
        <w:rPr>
          <w:rFonts w:ascii="Times New Roman" w:hAnsi="Times New Roman"/>
          <w:sz w:val="24"/>
          <w:szCs w:val="24"/>
          <w:lang w:val="sr-Cyrl-CS"/>
        </w:rPr>
      </w:pPr>
      <w:r>
        <w:rPr>
          <w:rFonts w:ascii="Times New Roman" w:hAnsi="Times New Roman"/>
          <w:sz w:val="24"/>
          <w:szCs w:val="24"/>
          <w:lang w:val="sr-Cyrl-CS"/>
        </w:rPr>
        <w:t>У савременим пореским системима се среће велики број пореских облика, а најчешће се ради о порезима који погађају приход, доходак и имовину, затим порези који погађајау пораст вредности имовине и њен пренос и порези који погађају трошење дохотка, прихода и имовине. У зависности од броја пореских облика п</w:t>
      </w:r>
      <w:r w:rsidR="00F7359F">
        <w:rPr>
          <w:rFonts w:ascii="Times New Roman" w:hAnsi="Times New Roman"/>
          <w:sz w:val="24"/>
          <w:szCs w:val="24"/>
          <w:lang w:val="sr-Cyrl-CS"/>
        </w:rPr>
        <w:t>орески систем према облику може бити порески мо</w:t>
      </w:r>
      <w:r w:rsidR="0035506E">
        <w:rPr>
          <w:rFonts w:ascii="Times New Roman" w:hAnsi="Times New Roman"/>
          <w:sz w:val="24"/>
          <w:szCs w:val="24"/>
          <w:lang w:val="sr-Cyrl-CS"/>
        </w:rPr>
        <w:t>н</w:t>
      </w:r>
      <w:r w:rsidR="00F7359F">
        <w:rPr>
          <w:rFonts w:ascii="Times New Roman" w:hAnsi="Times New Roman"/>
          <w:sz w:val="24"/>
          <w:szCs w:val="24"/>
          <w:lang w:val="sr-Cyrl-CS"/>
        </w:rPr>
        <w:t xml:space="preserve">изам и порески плурализам. </w:t>
      </w:r>
      <w:r w:rsidR="005742BB">
        <w:rPr>
          <w:rFonts w:ascii="Times New Roman" w:hAnsi="Times New Roman"/>
          <w:sz w:val="24"/>
          <w:szCs w:val="24"/>
          <w:lang w:val="sr-Cyrl-CS"/>
        </w:rPr>
        <w:t>Порески плурализам је такав систем који је саставље</w:t>
      </w:r>
      <w:r w:rsidR="00303621">
        <w:rPr>
          <w:rFonts w:ascii="Times New Roman" w:hAnsi="Times New Roman"/>
          <w:sz w:val="24"/>
          <w:szCs w:val="24"/>
          <w:lang w:val="sr-Cyrl-CS"/>
        </w:rPr>
        <w:t>н од више облика пореза</w:t>
      </w:r>
      <w:r w:rsidR="005742BB">
        <w:rPr>
          <w:rFonts w:ascii="Times New Roman" w:hAnsi="Times New Roman"/>
          <w:sz w:val="24"/>
          <w:szCs w:val="24"/>
          <w:lang w:val="sr-Cyrl-CS"/>
        </w:rPr>
        <w:t xml:space="preserve">, односно јавних прихода. </w:t>
      </w:r>
    </w:p>
    <w:p w:rsidR="005F2437" w:rsidRDefault="00303621" w:rsidP="005742BB">
      <w:pPr>
        <w:ind w:firstLine="360"/>
        <w:jc w:val="both"/>
        <w:rPr>
          <w:rFonts w:ascii="Times New Roman" w:hAnsi="Times New Roman"/>
          <w:sz w:val="24"/>
          <w:szCs w:val="24"/>
          <w:lang w:val="sr-Cyrl-CS"/>
        </w:rPr>
      </w:pPr>
      <w:r>
        <w:rPr>
          <w:rFonts w:ascii="Times New Roman" w:hAnsi="Times New Roman"/>
          <w:sz w:val="24"/>
          <w:szCs w:val="24"/>
          <w:lang w:val="sr-Cyrl-CS"/>
        </w:rPr>
        <w:t>Насупрот томе, у</w:t>
      </w:r>
      <w:r w:rsidR="005742BB">
        <w:rPr>
          <w:rFonts w:ascii="Times New Roman" w:hAnsi="Times New Roman"/>
          <w:sz w:val="24"/>
          <w:szCs w:val="24"/>
          <w:lang w:val="sr-Cyrl-CS"/>
        </w:rPr>
        <w:t xml:space="preserve"> теорији јавних финансија </w:t>
      </w:r>
      <w:r>
        <w:rPr>
          <w:rFonts w:ascii="Times New Roman" w:hAnsi="Times New Roman"/>
          <w:sz w:val="24"/>
          <w:szCs w:val="24"/>
          <w:lang w:val="sr-Cyrl-CS"/>
        </w:rPr>
        <w:t xml:space="preserve">је постојала </w:t>
      </w:r>
      <w:r w:rsidR="005742BB">
        <w:rPr>
          <w:rFonts w:ascii="Times New Roman" w:hAnsi="Times New Roman"/>
          <w:sz w:val="24"/>
          <w:szCs w:val="24"/>
          <w:lang w:val="sr-Cyrl-CS"/>
        </w:rPr>
        <w:t>идеја о пореском систему који предвиђа само један</w:t>
      </w:r>
      <w:r>
        <w:rPr>
          <w:rFonts w:ascii="Times New Roman" w:hAnsi="Times New Roman"/>
          <w:sz w:val="24"/>
          <w:szCs w:val="24"/>
          <w:lang w:val="sr-Cyrl-CS"/>
        </w:rPr>
        <w:t xml:space="preserve"> и то јединствен порез, односно облик прихода и то је порески монизам.</w:t>
      </w:r>
      <w:r w:rsidR="005742BB">
        <w:rPr>
          <w:rFonts w:ascii="Times New Roman" w:hAnsi="Times New Roman"/>
          <w:sz w:val="24"/>
          <w:szCs w:val="24"/>
          <w:lang w:val="sr-Cyrl-CS"/>
        </w:rPr>
        <w:t xml:space="preserve"> Идеја о пореском монизму као моделу пореског система највише с</w:t>
      </w:r>
      <w:r w:rsidR="00B35460">
        <w:rPr>
          <w:rFonts w:ascii="Times New Roman" w:hAnsi="Times New Roman"/>
          <w:sz w:val="24"/>
          <w:szCs w:val="24"/>
          <w:lang w:val="sr-Cyrl-CS"/>
        </w:rPr>
        <w:t xml:space="preserve">е везује за физиократско учење </w:t>
      </w:r>
      <w:r w:rsidR="005742BB">
        <w:rPr>
          <w:rFonts w:ascii="Times New Roman" w:hAnsi="Times New Roman"/>
          <w:sz w:val="24"/>
          <w:szCs w:val="24"/>
          <w:lang w:val="sr-Cyrl-CS"/>
        </w:rPr>
        <w:t xml:space="preserve">које полази од тога да </w:t>
      </w:r>
      <w:r w:rsidR="007F5247">
        <w:rPr>
          <w:rFonts w:ascii="Times New Roman" w:hAnsi="Times New Roman"/>
          <w:sz w:val="24"/>
          <w:szCs w:val="24"/>
          <w:lang w:val="sr-Cyrl-CS"/>
        </w:rPr>
        <w:t xml:space="preserve">је највжнија привредна делатност пољопривреда, да </w:t>
      </w:r>
      <w:r w:rsidR="005742BB">
        <w:rPr>
          <w:rFonts w:ascii="Times New Roman" w:hAnsi="Times New Roman"/>
          <w:sz w:val="24"/>
          <w:szCs w:val="24"/>
          <w:lang w:val="sr-Cyrl-CS"/>
        </w:rPr>
        <w:t xml:space="preserve">се </w:t>
      </w:r>
      <w:r w:rsidR="00F17D04">
        <w:rPr>
          <w:rFonts w:ascii="Times New Roman" w:hAnsi="Times New Roman"/>
          <w:sz w:val="24"/>
          <w:szCs w:val="24"/>
          <w:lang w:val="sr-Cyrl-CS"/>
        </w:rPr>
        <w:t>једино у земљорадњи ствара вишак вредности</w:t>
      </w:r>
      <w:r w:rsidR="00203C07">
        <w:rPr>
          <w:rFonts w:ascii="Times New Roman" w:hAnsi="Times New Roman"/>
          <w:sz w:val="24"/>
          <w:szCs w:val="24"/>
        </w:rPr>
        <w:t xml:space="preserve">, </w:t>
      </w:r>
      <w:r w:rsidR="005F2437">
        <w:rPr>
          <w:rFonts w:ascii="Times New Roman" w:hAnsi="Times New Roman"/>
          <w:sz w:val="24"/>
          <w:szCs w:val="24"/>
          <w:lang w:val="sr-Cyrl-CS"/>
        </w:rPr>
        <w:t xml:space="preserve">да је природа тј. земља једини извор богатства, </w:t>
      </w:r>
      <w:r w:rsidR="00203C07">
        <w:rPr>
          <w:rFonts w:ascii="Times New Roman" w:hAnsi="Times New Roman"/>
          <w:sz w:val="24"/>
          <w:szCs w:val="24"/>
        </w:rPr>
        <w:t>те да само з</w:t>
      </w:r>
      <w:r w:rsidR="005742BB">
        <w:rPr>
          <w:rFonts w:ascii="Times New Roman" w:hAnsi="Times New Roman"/>
          <w:sz w:val="24"/>
          <w:szCs w:val="24"/>
        </w:rPr>
        <w:t>емљорадња даје чист приход који се може опорезовати.</w:t>
      </w:r>
      <w:r w:rsidR="005F2437">
        <w:rPr>
          <w:rFonts w:ascii="Times New Roman" w:hAnsi="Times New Roman"/>
          <w:sz w:val="24"/>
          <w:szCs w:val="24"/>
          <w:lang w:val="sr-Cyrl-CS"/>
        </w:rPr>
        <w:t xml:space="preserve"> </w:t>
      </w:r>
    </w:p>
    <w:p w:rsidR="009551E3" w:rsidRDefault="003C23E1" w:rsidP="005742BB">
      <w:pPr>
        <w:ind w:firstLine="360"/>
        <w:jc w:val="both"/>
        <w:rPr>
          <w:rFonts w:ascii="Times New Roman" w:hAnsi="Times New Roman"/>
          <w:sz w:val="24"/>
          <w:szCs w:val="24"/>
          <w:lang w:val="sr-Cyrl-CS"/>
        </w:rPr>
      </w:pPr>
      <w:r>
        <w:rPr>
          <w:rFonts w:ascii="Times New Roman" w:hAnsi="Times New Roman"/>
          <w:sz w:val="24"/>
          <w:szCs w:val="24"/>
          <w:lang w:val="sr-Cyrl-CS"/>
        </w:rPr>
        <w:t>Према физиократском учењу сваки други порез осим пореза на земљорадњу био би преваљен на њу и због тога су све порезе ван пољопривреде означили посредним порезим</w:t>
      </w:r>
      <w:r w:rsidR="00BB0DC5">
        <w:rPr>
          <w:rFonts w:ascii="Times New Roman" w:hAnsi="Times New Roman"/>
          <w:sz w:val="24"/>
          <w:szCs w:val="24"/>
          <w:lang w:val="sr-Cyrl-CS"/>
        </w:rPr>
        <w:t>а</w:t>
      </w:r>
      <w:r>
        <w:rPr>
          <w:rFonts w:ascii="Times New Roman" w:hAnsi="Times New Roman"/>
          <w:sz w:val="24"/>
          <w:szCs w:val="24"/>
          <w:lang w:val="sr-Cyrl-CS"/>
        </w:rPr>
        <w:t>, а порез који оптерећује земљорадњу, односно приходе од земљорадње, непосредним порезима. Према овом становишту је, дакле, непосредан порез најрационалниј</w:t>
      </w:r>
      <w:r w:rsidR="009551E3">
        <w:rPr>
          <w:rFonts w:ascii="Times New Roman" w:hAnsi="Times New Roman"/>
          <w:sz w:val="24"/>
          <w:szCs w:val="24"/>
          <w:lang w:val="sr-Cyrl-CS"/>
        </w:rPr>
        <w:t xml:space="preserve">а и најпогоднија пореска врста. </w:t>
      </w:r>
      <w:r>
        <w:rPr>
          <w:rFonts w:ascii="Times New Roman" w:hAnsi="Times New Roman"/>
          <w:sz w:val="24"/>
          <w:szCs w:val="24"/>
          <w:lang w:val="sr-Cyrl-CS"/>
        </w:rPr>
        <w:t>Такво становиште</w:t>
      </w:r>
      <w:r w:rsidR="00F17D04">
        <w:rPr>
          <w:rFonts w:ascii="Times New Roman" w:hAnsi="Times New Roman"/>
          <w:sz w:val="24"/>
          <w:szCs w:val="24"/>
          <w:lang w:val="sr-Cyrl-CS"/>
        </w:rPr>
        <w:t xml:space="preserve">  о захватању вишка вредности из земљорадње, путем једног јединог пореза на земљорадњу, послужи</w:t>
      </w:r>
      <w:r w:rsidR="00BB0DC5">
        <w:rPr>
          <w:rFonts w:ascii="Times New Roman" w:hAnsi="Times New Roman"/>
          <w:sz w:val="24"/>
          <w:szCs w:val="24"/>
          <w:lang w:val="sr-Cyrl-CS"/>
        </w:rPr>
        <w:t>л</w:t>
      </w:r>
      <w:r w:rsidR="00F17D04">
        <w:rPr>
          <w:rFonts w:ascii="Times New Roman" w:hAnsi="Times New Roman"/>
          <w:sz w:val="24"/>
          <w:szCs w:val="24"/>
          <w:lang w:val="sr-Cyrl-CS"/>
        </w:rPr>
        <w:t>о је физиократама као база за класификацију пореза на посредне и непоредне порезе.</w:t>
      </w:r>
      <w:r w:rsidR="008706E9">
        <w:rPr>
          <w:rStyle w:val="FootnoteReference"/>
          <w:rFonts w:ascii="Times New Roman" w:hAnsi="Times New Roman"/>
          <w:sz w:val="24"/>
          <w:szCs w:val="24"/>
          <w:lang w:val="sr-Cyrl-CS"/>
        </w:rPr>
        <w:footnoteReference w:id="22"/>
      </w:r>
      <w:r w:rsidR="00F17D04">
        <w:rPr>
          <w:rFonts w:ascii="Times New Roman" w:hAnsi="Times New Roman"/>
          <w:sz w:val="24"/>
          <w:szCs w:val="24"/>
          <w:lang w:val="sr-Cyrl-CS"/>
        </w:rPr>
        <w:t xml:space="preserve"> Како се вишак вредности ствара у свим областима материјалне производње</w:t>
      </w:r>
      <w:r w:rsidR="008706E9">
        <w:rPr>
          <w:rFonts w:ascii="Times New Roman" w:hAnsi="Times New Roman"/>
          <w:sz w:val="24"/>
          <w:szCs w:val="24"/>
          <w:lang w:val="sr-Cyrl-CS"/>
        </w:rPr>
        <w:t xml:space="preserve">, а не само у земљорадњи, </w:t>
      </w:r>
      <w:r w:rsidR="00F17D04">
        <w:rPr>
          <w:rFonts w:ascii="Times New Roman" w:hAnsi="Times New Roman"/>
          <w:sz w:val="24"/>
          <w:szCs w:val="24"/>
          <w:lang w:val="sr-Cyrl-CS"/>
        </w:rPr>
        <w:t xml:space="preserve"> њихова подела на посредне и непосредне порезе се базира на погрешним основама</w:t>
      </w:r>
      <w:r w:rsidR="009551E3">
        <w:rPr>
          <w:rFonts w:ascii="Times New Roman" w:hAnsi="Times New Roman"/>
          <w:sz w:val="24"/>
          <w:szCs w:val="24"/>
          <w:lang w:val="sr-Cyrl-CS"/>
        </w:rPr>
        <w:t>.</w:t>
      </w:r>
    </w:p>
    <w:p w:rsidR="005742BB" w:rsidRDefault="009551E3" w:rsidP="009551E3">
      <w:pPr>
        <w:ind w:firstLine="360"/>
        <w:jc w:val="both"/>
        <w:rPr>
          <w:rFonts w:ascii="Times New Roman" w:hAnsi="Times New Roman"/>
          <w:sz w:val="24"/>
          <w:szCs w:val="24"/>
          <w:lang w:val="sr-Cyrl-CS"/>
        </w:rPr>
      </w:pPr>
      <w:r>
        <w:rPr>
          <w:rFonts w:ascii="Times New Roman" w:hAnsi="Times New Roman"/>
          <w:sz w:val="24"/>
          <w:szCs w:val="24"/>
          <w:lang w:val="sr-Cyrl-CS"/>
        </w:rPr>
        <w:lastRenderedPageBreak/>
        <w:t>У другој половини деветнаестог века социјалдемократи су захтевали увођење једног пореза на укупни доходак, са високо</w:t>
      </w:r>
      <w:r w:rsidR="00BB0DC5">
        <w:rPr>
          <w:rFonts w:ascii="Times New Roman" w:hAnsi="Times New Roman"/>
          <w:sz w:val="24"/>
          <w:szCs w:val="24"/>
          <w:lang w:val="sr-Cyrl-CS"/>
        </w:rPr>
        <w:t xml:space="preserve"> прогресивним пореским стопама.</w:t>
      </w:r>
      <w:r>
        <w:rPr>
          <w:rFonts w:ascii="Times New Roman" w:hAnsi="Times New Roman"/>
          <w:sz w:val="24"/>
          <w:szCs w:val="24"/>
          <w:lang w:val="sr-Cyrl-CS"/>
        </w:rPr>
        <w:t xml:space="preserve"> Предлагачима је изгледало да је монистичко опорезивање дохотка представљало најпогоднији начин да држава дође директно до потребних средстава</w:t>
      </w:r>
      <w:r w:rsidRPr="001E6098">
        <w:rPr>
          <w:rFonts w:ascii="Times New Roman" w:hAnsi="Times New Roman"/>
          <w:sz w:val="24"/>
          <w:szCs w:val="24"/>
          <w:lang w:val="sr-Cyrl-CS"/>
        </w:rPr>
        <w:t xml:space="preserve"> </w:t>
      </w:r>
      <w:r>
        <w:rPr>
          <w:rFonts w:ascii="Times New Roman" w:hAnsi="Times New Roman"/>
          <w:sz w:val="24"/>
          <w:szCs w:val="24"/>
          <w:lang w:val="sr-Cyrl-CS"/>
        </w:rPr>
        <w:t>пошто је извор свих пореских плаћања доходак појединца. Према заговорницима опорезивања потрошње потрошња је једино поуздано мерило пореске способности, док су заговорници опорезивања капитала тврдили да сви порези у крајњој линији остају на капиталу. Селигман наводи читав низ и других монистичких пореза: на луксуз, на зграде, на земљиште итд. Али, ни један од ових предлога није био довољно добар да би могао да буде и прихваћен. Једна од последњих монистичких теза, која је имала снажан психолошки ефекат у Француској, је она коју је предлагао Шилер. Он је тражио увођење једног пореза на енергију (заправо изворе енергије – угаљ, електрична енергија, нафта, плин итд.) која представља, по његовим речима, идеалан објекат опорезивања. Такав порез би значио стварање једне нове слободе. Присталице увођења једног пореза на пословну активност сматрали су да треба опорезивати веће произвођаче, а они би у каснијим фазама привредних процеса тај порез преваљивали на остале. У</w:t>
      </w:r>
      <w:r>
        <w:rPr>
          <w:rFonts w:ascii="Times New Roman" w:hAnsi="Times New Roman"/>
          <w:sz w:val="24"/>
          <w:szCs w:val="24"/>
        </w:rPr>
        <w:t xml:space="preserve"> двадесетом веку </w:t>
      </w:r>
      <w:r>
        <w:rPr>
          <w:rFonts w:ascii="Times New Roman" w:hAnsi="Times New Roman"/>
          <w:sz w:val="24"/>
          <w:szCs w:val="24"/>
          <w:lang w:val="sr-Cyrl-CS"/>
        </w:rPr>
        <w:t>постојали су предлози да се уведе само један порез (п</w:t>
      </w:r>
      <w:r w:rsidR="00BB0DC5">
        <w:rPr>
          <w:rFonts w:ascii="Times New Roman" w:hAnsi="Times New Roman"/>
          <w:sz w:val="24"/>
          <w:szCs w:val="24"/>
          <w:lang w:val="sr-Cyrl-CS"/>
        </w:rPr>
        <w:t>орез на доходак, капитал, на ене</w:t>
      </w:r>
      <w:r>
        <w:rPr>
          <w:rFonts w:ascii="Times New Roman" w:hAnsi="Times New Roman"/>
          <w:sz w:val="24"/>
          <w:szCs w:val="24"/>
          <w:lang w:val="sr-Cyrl-CS"/>
        </w:rPr>
        <w:t>ргију, на потрошњу). У новије време појављују се мишљења да би порез на додату вредност могао да постане у перспективи једини порески облик. Међутим све лоше стране монистичког схватања важе и у овом случају.</w:t>
      </w:r>
      <w:r>
        <w:rPr>
          <w:rStyle w:val="FootnoteReference"/>
          <w:rFonts w:ascii="Times New Roman" w:hAnsi="Times New Roman"/>
          <w:sz w:val="24"/>
          <w:szCs w:val="24"/>
          <w:lang w:val="sr-Cyrl-CS"/>
        </w:rPr>
        <w:footnoteReference w:id="23"/>
      </w:r>
      <w:r w:rsidR="00F17D04">
        <w:rPr>
          <w:rFonts w:ascii="Times New Roman" w:hAnsi="Times New Roman"/>
          <w:sz w:val="24"/>
          <w:szCs w:val="24"/>
          <w:lang w:val="sr-Cyrl-CS"/>
        </w:rPr>
        <w:t xml:space="preserve"> </w:t>
      </w:r>
    </w:p>
    <w:p w:rsidR="005742BB" w:rsidRDefault="00B35460" w:rsidP="0017787C">
      <w:pPr>
        <w:ind w:firstLine="360"/>
        <w:jc w:val="both"/>
        <w:rPr>
          <w:rFonts w:ascii="Times New Roman" w:hAnsi="Times New Roman"/>
          <w:sz w:val="24"/>
          <w:szCs w:val="24"/>
          <w:lang w:val="sr-Cyrl-CS"/>
        </w:rPr>
      </w:pPr>
      <w:r>
        <w:rPr>
          <w:rFonts w:ascii="Times New Roman" w:hAnsi="Times New Roman"/>
          <w:sz w:val="24"/>
          <w:szCs w:val="24"/>
          <w:lang w:val="sr-Cyrl-CS"/>
        </w:rPr>
        <w:t>Иначе, к</w:t>
      </w:r>
      <w:r w:rsidR="005742BB">
        <w:rPr>
          <w:rFonts w:ascii="Times New Roman" w:hAnsi="Times New Roman"/>
          <w:sz w:val="24"/>
          <w:szCs w:val="24"/>
          <w:lang w:val="sr-Cyrl-CS"/>
        </w:rPr>
        <w:t xml:space="preserve">ао предности пореског монизма истицани су ниски трошкови убирања пореза, као и његова једноставна примена. Међутим, овај систем има бројне недостатке који се највише огледају у томе што </w:t>
      </w:r>
      <w:r w:rsidR="0017787C">
        <w:rPr>
          <w:rFonts w:ascii="Times New Roman" w:hAnsi="Times New Roman"/>
          <w:sz w:val="24"/>
          <w:szCs w:val="24"/>
          <w:lang w:val="sr-Cyrl-CS"/>
        </w:rPr>
        <w:t xml:space="preserve">један порез није издашан, </w:t>
      </w:r>
      <w:r w:rsidR="005742BB">
        <w:rPr>
          <w:rFonts w:ascii="Times New Roman" w:hAnsi="Times New Roman"/>
          <w:sz w:val="24"/>
          <w:szCs w:val="24"/>
          <w:lang w:val="sr-Cyrl-CS"/>
        </w:rPr>
        <w:t>сужава циљеве опорезивања који би се сводили на фис</w:t>
      </w:r>
      <w:r w:rsidR="0017787C">
        <w:rPr>
          <w:rFonts w:ascii="Times New Roman" w:hAnsi="Times New Roman"/>
          <w:sz w:val="24"/>
          <w:szCs w:val="24"/>
          <w:lang w:val="sr-Cyrl-CS"/>
        </w:rPr>
        <w:t>кални карактер, што би захтевао</w:t>
      </w:r>
      <w:r w:rsidR="005742BB">
        <w:rPr>
          <w:rFonts w:ascii="Times New Roman" w:hAnsi="Times New Roman"/>
          <w:sz w:val="24"/>
          <w:szCs w:val="24"/>
          <w:lang w:val="sr-Cyrl-CS"/>
        </w:rPr>
        <w:t xml:space="preserve"> увођење високих пореских стопа, </w:t>
      </w:r>
      <w:r w:rsidR="0017787C">
        <w:rPr>
          <w:rFonts w:ascii="Times New Roman" w:hAnsi="Times New Roman"/>
          <w:sz w:val="24"/>
          <w:szCs w:val="24"/>
          <w:lang w:val="sr-Cyrl-CS"/>
        </w:rPr>
        <w:t>то би даље водило већем</w:t>
      </w:r>
      <w:r w:rsidR="005742BB">
        <w:rPr>
          <w:rFonts w:ascii="Times New Roman" w:hAnsi="Times New Roman"/>
          <w:sz w:val="24"/>
          <w:szCs w:val="24"/>
          <w:lang w:val="sr-Cyrl-CS"/>
        </w:rPr>
        <w:t xml:space="preserve"> отпор</w:t>
      </w:r>
      <w:r w:rsidR="0017787C">
        <w:rPr>
          <w:rFonts w:ascii="Times New Roman" w:hAnsi="Times New Roman"/>
          <w:sz w:val="24"/>
          <w:szCs w:val="24"/>
          <w:lang w:val="sr-Cyrl-CS"/>
        </w:rPr>
        <w:t>у пореских обвезника, те повећању</w:t>
      </w:r>
      <w:r w:rsidR="005742BB">
        <w:rPr>
          <w:rFonts w:ascii="Times New Roman" w:hAnsi="Times New Roman"/>
          <w:sz w:val="24"/>
          <w:szCs w:val="24"/>
          <w:lang w:val="sr-Cyrl-CS"/>
        </w:rPr>
        <w:t xml:space="preserve"> </w:t>
      </w:r>
      <w:r w:rsidR="0017787C">
        <w:rPr>
          <w:rFonts w:ascii="Times New Roman" w:hAnsi="Times New Roman"/>
          <w:sz w:val="24"/>
          <w:szCs w:val="24"/>
          <w:lang w:val="sr-Cyrl-CS"/>
        </w:rPr>
        <w:t>пореске евазије, а захтевао би и огроман административни апарат.</w:t>
      </w:r>
      <w:r w:rsidR="0017787C">
        <w:rPr>
          <w:rStyle w:val="FootnoteReference"/>
          <w:rFonts w:ascii="Times New Roman" w:hAnsi="Times New Roman"/>
          <w:sz w:val="24"/>
          <w:szCs w:val="24"/>
          <w:lang w:val="sr-Cyrl-CS"/>
        </w:rPr>
        <w:footnoteReference w:id="24"/>
      </w:r>
      <w:r w:rsidR="0017787C">
        <w:rPr>
          <w:rFonts w:ascii="Times New Roman" w:hAnsi="Times New Roman"/>
          <w:sz w:val="24"/>
          <w:szCs w:val="24"/>
          <w:lang w:val="sr-Cyrl-CS"/>
        </w:rPr>
        <w:t xml:space="preserve"> </w:t>
      </w:r>
      <w:r w:rsidR="005742BB">
        <w:rPr>
          <w:rFonts w:ascii="Times New Roman" w:hAnsi="Times New Roman"/>
          <w:sz w:val="24"/>
          <w:szCs w:val="24"/>
          <w:lang w:val="sr-Cyrl-CS"/>
        </w:rPr>
        <w:t>Због тога не чуди што овај систем нигде није заживео и што се сматра пореском утопијом. Много су реалнија и у пракси применљивија схватања о пореском систему у коме би се смањио број пореских облика, него постојање само једног пореског облика.</w:t>
      </w:r>
    </w:p>
    <w:p w:rsidR="005742BB" w:rsidRPr="00AB75DC" w:rsidRDefault="005742BB" w:rsidP="00303621">
      <w:pPr>
        <w:ind w:firstLine="360"/>
        <w:jc w:val="both"/>
        <w:rPr>
          <w:rFonts w:ascii="Times New Roman" w:hAnsi="Times New Roman"/>
          <w:sz w:val="24"/>
          <w:szCs w:val="24"/>
          <w:lang w:val="sr-Cyrl-CS"/>
        </w:rPr>
      </w:pPr>
      <w:r>
        <w:rPr>
          <w:rFonts w:ascii="Times New Roman" w:hAnsi="Times New Roman"/>
          <w:sz w:val="24"/>
          <w:szCs w:val="24"/>
          <w:lang w:val="sr-Cyrl-CS"/>
        </w:rPr>
        <w:t xml:space="preserve">Порески плурализам има такође своје недостатке који се огледају у већим трошковима наплате, као и компликована примена, посебно у случају постојања великог броја пореских облика. Са друге стране, овај систем има бројне предности које се огледају у захватању разних појава економске снаге пореског обвезника, могућности увођења мањих пореских стопа, мањи је отпор пореских обвезника, те је самим тим мањи обим избегавања плаћања пореза. Такође, много је већа могућност остварења поред фискалних и разних нефискалних циљева опорезивања. </w:t>
      </w:r>
    </w:p>
    <w:p w:rsidR="009551E3" w:rsidRDefault="00294E4E" w:rsidP="00303621">
      <w:pPr>
        <w:ind w:firstLine="360"/>
        <w:jc w:val="both"/>
        <w:rPr>
          <w:rFonts w:ascii="Times New Roman" w:hAnsi="Times New Roman"/>
          <w:sz w:val="24"/>
          <w:szCs w:val="24"/>
          <w:lang w:val="sr-Cyrl-CS"/>
        </w:rPr>
      </w:pPr>
      <w:r>
        <w:rPr>
          <w:rFonts w:ascii="Times New Roman" w:hAnsi="Times New Roman"/>
          <w:sz w:val="24"/>
          <w:szCs w:val="24"/>
          <w:lang w:val="sr-Cyrl-CS"/>
        </w:rPr>
        <w:lastRenderedPageBreak/>
        <w:t>Систем пореског плурализм</w:t>
      </w:r>
      <w:r w:rsidR="005742BB">
        <w:rPr>
          <w:rFonts w:ascii="Times New Roman" w:hAnsi="Times New Roman"/>
          <w:sz w:val="24"/>
          <w:szCs w:val="24"/>
          <w:lang w:val="sr-Cyrl-CS"/>
        </w:rPr>
        <w:t>а све више добија на значају са проширењем разноврсних ефеката опорезивања којим</w:t>
      </w:r>
      <w:r w:rsidR="00E10C5B">
        <w:rPr>
          <w:rFonts w:ascii="Times New Roman" w:hAnsi="Times New Roman"/>
          <w:sz w:val="24"/>
          <w:szCs w:val="24"/>
        </w:rPr>
        <w:t>a</w:t>
      </w:r>
      <w:r w:rsidR="005742BB">
        <w:rPr>
          <w:rFonts w:ascii="Times New Roman" w:hAnsi="Times New Roman"/>
          <w:sz w:val="24"/>
          <w:szCs w:val="24"/>
          <w:lang w:val="sr-Cyrl-CS"/>
        </w:rPr>
        <w:t xml:space="preserve"> се постижу не само фискални, него и циљеви економске, социјалне и развојне политике. </w:t>
      </w:r>
    </w:p>
    <w:p w:rsidR="00803E95" w:rsidRDefault="005742BB" w:rsidP="00303621">
      <w:pPr>
        <w:ind w:firstLine="360"/>
        <w:jc w:val="both"/>
        <w:rPr>
          <w:rFonts w:ascii="Times New Roman" w:hAnsi="Times New Roman"/>
          <w:sz w:val="24"/>
          <w:szCs w:val="24"/>
          <w:lang w:val="sr-Cyrl-CS"/>
        </w:rPr>
      </w:pPr>
      <w:r>
        <w:rPr>
          <w:rFonts w:ascii="Times New Roman" w:hAnsi="Times New Roman"/>
          <w:sz w:val="24"/>
          <w:szCs w:val="24"/>
          <w:lang w:val="sr-Cyrl-CS"/>
        </w:rPr>
        <w:t>Идеја пореског монизма према којој би држава све приходе требало да остварује путем само једног пореза је те</w:t>
      </w:r>
      <w:r w:rsidR="00591C6F">
        <w:rPr>
          <w:rFonts w:ascii="Times New Roman" w:hAnsi="Times New Roman"/>
          <w:sz w:val="24"/>
          <w:szCs w:val="24"/>
          <w:lang w:val="sr-Cyrl-CS"/>
        </w:rPr>
        <w:t>о</w:t>
      </w:r>
      <w:r>
        <w:rPr>
          <w:rFonts w:ascii="Times New Roman" w:hAnsi="Times New Roman"/>
          <w:sz w:val="24"/>
          <w:szCs w:val="24"/>
          <w:lang w:val="sr-Cyrl-CS"/>
        </w:rPr>
        <w:t>ријски неприхватљива и практично неприменљива. Примена пореског монизма захтева високе стопе тог једног „идеалног“ пореза, па би самим тим био већи отпор пореских обвезника према његовом плаћању, што може да доведе до избегавања плаћања пореза. Свако повећање пореске стопе преко оне коју порески обвезници сматрају прихватљивом, стимулисаће пореске обвезнике да прелазе у сектор сиве економије или да селе своју активност у земље у којима је порески терет нижи. У оба случаја порески приход ће бити нижи. Консеквенце пореског монизма су и психолошке прир</w:t>
      </w:r>
      <w:r w:rsidR="00AE2197">
        <w:rPr>
          <w:rFonts w:ascii="Times New Roman" w:hAnsi="Times New Roman"/>
          <w:sz w:val="24"/>
          <w:szCs w:val="24"/>
          <w:lang w:val="sr-Cyrl-CS"/>
        </w:rPr>
        <w:t>оде, јер ј</w:t>
      </w:r>
      <w:r w:rsidR="00E10C5B">
        <w:rPr>
          <w:rFonts w:ascii="Times New Roman" w:hAnsi="Times New Roman"/>
          <w:sz w:val="24"/>
          <w:szCs w:val="24"/>
          <w:lang w:val="sr-Cyrl-CS"/>
        </w:rPr>
        <w:t>е оптерећење само</w:t>
      </w:r>
      <w:r>
        <w:rPr>
          <w:rFonts w:ascii="Times New Roman" w:hAnsi="Times New Roman"/>
          <w:sz w:val="24"/>
          <w:szCs w:val="24"/>
          <w:lang w:val="sr-Cyrl-CS"/>
        </w:rPr>
        <w:t xml:space="preserve"> једног пореског основа, које је самим тим веће, тешко поднети. </w:t>
      </w:r>
    </w:p>
    <w:p w:rsidR="005742BB" w:rsidRPr="00803E95" w:rsidRDefault="007534FD" w:rsidP="00303621">
      <w:pPr>
        <w:ind w:firstLine="360"/>
        <w:jc w:val="both"/>
        <w:rPr>
          <w:rFonts w:ascii="Times New Roman" w:hAnsi="Times New Roman"/>
          <w:sz w:val="24"/>
          <w:szCs w:val="24"/>
          <w:lang w:val="sr-Cyrl-CS"/>
        </w:rPr>
      </w:pPr>
      <w:r>
        <w:rPr>
          <w:rFonts w:ascii="Times New Roman" w:hAnsi="Times New Roman"/>
          <w:sz w:val="24"/>
          <w:szCs w:val="24"/>
          <w:lang w:val="sr-Cyrl-CS"/>
        </w:rPr>
        <w:t>Порески плурализам је повољни</w:t>
      </w:r>
      <w:r w:rsidR="00E10C5B">
        <w:rPr>
          <w:rFonts w:ascii="Times New Roman" w:hAnsi="Times New Roman"/>
          <w:sz w:val="24"/>
          <w:szCs w:val="24"/>
          <w:lang w:val="sr-Cyrl-CS"/>
        </w:rPr>
        <w:t>ји</w:t>
      </w:r>
      <w:r>
        <w:rPr>
          <w:rFonts w:ascii="Times New Roman" w:hAnsi="Times New Roman"/>
          <w:sz w:val="24"/>
          <w:szCs w:val="24"/>
          <w:lang w:val="sr-Cyrl-CS"/>
        </w:rPr>
        <w:t xml:space="preserve"> са становишта сузбијања евазије пореза, јер уколико порески обвезник евентуално избегне плаћање једног пореског облика, то не мора да значи да ће успети да избегне плаћање других порских облика.</w:t>
      </w:r>
      <w:r w:rsidR="00E312E5">
        <w:rPr>
          <w:rFonts w:ascii="Times New Roman" w:hAnsi="Times New Roman"/>
          <w:sz w:val="24"/>
          <w:szCs w:val="24"/>
          <w:lang w:val="sr-Cyrl-CS"/>
        </w:rPr>
        <w:t xml:space="preserve"> </w:t>
      </w:r>
    </w:p>
    <w:p w:rsidR="00803E95" w:rsidRPr="00E312E5" w:rsidRDefault="006C65BF" w:rsidP="00E312E5">
      <w:pPr>
        <w:ind w:firstLine="360"/>
        <w:jc w:val="both"/>
        <w:rPr>
          <w:rFonts w:ascii="Times New Roman" w:hAnsi="Times New Roman"/>
          <w:sz w:val="24"/>
          <w:szCs w:val="24"/>
          <w:lang w:val="sr-Cyrl-CS"/>
        </w:rPr>
      </w:pPr>
      <w:r>
        <w:rPr>
          <w:rFonts w:ascii="Times New Roman" w:hAnsi="Times New Roman"/>
          <w:sz w:val="24"/>
          <w:szCs w:val="24"/>
        </w:rPr>
        <w:t>Плуралистичке</w:t>
      </w:r>
      <w:r w:rsidR="00803E95" w:rsidRPr="00803E95">
        <w:rPr>
          <w:rFonts w:ascii="Times New Roman" w:hAnsi="Times New Roman"/>
          <w:sz w:val="24"/>
          <w:szCs w:val="24"/>
        </w:rPr>
        <w:t xml:space="preserve"> </w:t>
      </w:r>
      <w:r>
        <w:rPr>
          <w:rFonts w:ascii="Times New Roman" w:hAnsi="Times New Roman"/>
          <w:sz w:val="24"/>
          <w:szCs w:val="24"/>
        </w:rPr>
        <w:t>пореске</w:t>
      </w:r>
      <w:r w:rsidR="00803E95" w:rsidRPr="00803E95">
        <w:rPr>
          <w:rFonts w:ascii="Times New Roman" w:hAnsi="Times New Roman"/>
          <w:sz w:val="24"/>
          <w:szCs w:val="24"/>
        </w:rPr>
        <w:t xml:space="preserve"> </w:t>
      </w:r>
      <w:r>
        <w:rPr>
          <w:rFonts w:ascii="Times New Roman" w:hAnsi="Times New Roman"/>
          <w:sz w:val="24"/>
          <w:szCs w:val="24"/>
        </w:rPr>
        <w:t>системе</w:t>
      </w:r>
      <w:r w:rsidR="00803E95" w:rsidRPr="00803E95">
        <w:rPr>
          <w:rFonts w:ascii="Times New Roman" w:hAnsi="Times New Roman"/>
          <w:sz w:val="24"/>
          <w:szCs w:val="24"/>
        </w:rPr>
        <w:t xml:space="preserve"> </w:t>
      </w:r>
      <w:r>
        <w:rPr>
          <w:rFonts w:ascii="Times New Roman" w:hAnsi="Times New Roman"/>
          <w:sz w:val="24"/>
          <w:szCs w:val="24"/>
        </w:rPr>
        <w:t>чине</w:t>
      </w:r>
      <w:r w:rsidR="00803E95" w:rsidRPr="00803E95">
        <w:rPr>
          <w:rFonts w:ascii="Times New Roman" w:hAnsi="Times New Roman"/>
          <w:sz w:val="24"/>
          <w:szCs w:val="24"/>
        </w:rPr>
        <w:t xml:space="preserve"> </w:t>
      </w:r>
      <w:r>
        <w:rPr>
          <w:rFonts w:ascii="Times New Roman" w:hAnsi="Times New Roman"/>
          <w:sz w:val="24"/>
          <w:szCs w:val="24"/>
        </w:rPr>
        <w:t>две</w:t>
      </w:r>
      <w:r w:rsidR="00803E95" w:rsidRPr="00803E95">
        <w:rPr>
          <w:rFonts w:ascii="Times New Roman" w:hAnsi="Times New Roman"/>
          <w:sz w:val="24"/>
          <w:szCs w:val="24"/>
        </w:rPr>
        <w:t xml:space="preserve"> </w:t>
      </w:r>
      <w:r>
        <w:rPr>
          <w:rFonts w:ascii="Times New Roman" w:hAnsi="Times New Roman"/>
          <w:sz w:val="24"/>
          <w:szCs w:val="24"/>
        </w:rPr>
        <w:t>велике</w:t>
      </w:r>
      <w:r w:rsidR="00803E95" w:rsidRPr="00803E95">
        <w:rPr>
          <w:rFonts w:ascii="Times New Roman" w:hAnsi="Times New Roman"/>
          <w:sz w:val="24"/>
          <w:szCs w:val="24"/>
        </w:rPr>
        <w:t xml:space="preserve"> </w:t>
      </w:r>
      <w:r>
        <w:rPr>
          <w:rFonts w:ascii="Times New Roman" w:hAnsi="Times New Roman"/>
          <w:sz w:val="24"/>
          <w:szCs w:val="24"/>
        </w:rPr>
        <w:t>скупине</w:t>
      </w:r>
      <w:r w:rsidR="00803E95" w:rsidRPr="00803E95">
        <w:rPr>
          <w:rFonts w:ascii="Times New Roman" w:hAnsi="Times New Roman"/>
          <w:sz w:val="24"/>
          <w:szCs w:val="24"/>
        </w:rPr>
        <w:t xml:space="preserve"> </w:t>
      </w:r>
      <w:r w:rsidR="00E312E5">
        <w:rPr>
          <w:rFonts w:ascii="Times New Roman" w:hAnsi="Times New Roman"/>
          <w:sz w:val="24"/>
          <w:szCs w:val="24"/>
          <w:lang w:val="sr-Cyrl-CS"/>
        </w:rPr>
        <w:t>непосредних (</w:t>
      </w:r>
      <w:r>
        <w:rPr>
          <w:rFonts w:ascii="Times New Roman" w:hAnsi="Times New Roman"/>
          <w:sz w:val="24"/>
          <w:szCs w:val="24"/>
        </w:rPr>
        <w:t>директних</w:t>
      </w:r>
      <w:r w:rsidR="00E312E5">
        <w:rPr>
          <w:rFonts w:ascii="Times New Roman" w:hAnsi="Times New Roman"/>
          <w:sz w:val="24"/>
          <w:szCs w:val="24"/>
          <w:lang w:val="sr-Cyrl-CS"/>
        </w:rPr>
        <w:t>)</w:t>
      </w:r>
      <w:r w:rsidR="00803E95" w:rsidRPr="00803E95">
        <w:rPr>
          <w:rFonts w:ascii="Times New Roman" w:hAnsi="Times New Roman"/>
          <w:sz w:val="24"/>
          <w:szCs w:val="24"/>
        </w:rPr>
        <w:t xml:space="preserve"> </w:t>
      </w:r>
      <w:r>
        <w:rPr>
          <w:rFonts w:ascii="Times New Roman" w:hAnsi="Times New Roman"/>
          <w:sz w:val="24"/>
          <w:szCs w:val="24"/>
        </w:rPr>
        <w:t>и</w:t>
      </w:r>
      <w:r w:rsidR="00803E95" w:rsidRPr="00803E95">
        <w:rPr>
          <w:rFonts w:ascii="Times New Roman" w:hAnsi="Times New Roman"/>
          <w:sz w:val="24"/>
          <w:szCs w:val="24"/>
        </w:rPr>
        <w:t xml:space="preserve"> </w:t>
      </w:r>
      <w:r w:rsidR="00E312E5">
        <w:rPr>
          <w:rFonts w:ascii="Times New Roman" w:hAnsi="Times New Roman"/>
          <w:sz w:val="24"/>
          <w:szCs w:val="24"/>
          <w:lang w:val="sr-Cyrl-CS"/>
        </w:rPr>
        <w:t>посредних (</w:t>
      </w:r>
      <w:r>
        <w:rPr>
          <w:rFonts w:ascii="Times New Roman" w:hAnsi="Times New Roman"/>
          <w:sz w:val="24"/>
          <w:szCs w:val="24"/>
        </w:rPr>
        <w:t>индиректних</w:t>
      </w:r>
      <w:r w:rsidR="00E312E5">
        <w:rPr>
          <w:rFonts w:ascii="Times New Roman" w:hAnsi="Times New Roman"/>
          <w:sz w:val="24"/>
          <w:szCs w:val="24"/>
          <w:lang w:val="sr-Cyrl-CS"/>
        </w:rPr>
        <w:t>)</w:t>
      </w:r>
      <w:r w:rsidR="00E312E5">
        <w:rPr>
          <w:rFonts w:ascii="Times New Roman" w:hAnsi="Times New Roman"/>
          <w:sz w:val="24"/>
          <w:szCs w:val="24"/>
        </w:rPr>
        <w:t xml:space="preserve"> </w:t>
      </w:r>
      <w:r>
        <w:rPr>
          <w:rFonts w:ascii="Times New Roman" w:hAnsi="Times New Roman"/>
          <w:sz w:val="24"/>
          <w:szCs w:val="24"/>
        </w:rPr>
        <w:t>пореза</w:t>
      </w:r>
      <w:r w:rsidR="00E312E5">
        <w:rPr>
          <w:rFonts w:ascii="Times New Roman" w:hAnsi="Times New Roman"/>
          <w:sz w:val="24"/>
          <w:szCs w:val="24"/>
          <w:lang w:val="sr-Cyrl-CS"/>
        </w:rPr>
        <w:t>, о којима ће више бити речи у нар</w:t>
      </w:r>
      <w:r w:rsidR="00D877F2">
        <w:rPr>
          <w:rFonts w:ascii="Times New Roman" w:hAnsi="Times New Roman"/>
          <w:sz w:val="24"/>
          <w:szCs w:val="24"/>
          <w:lang w:val="sr-Cyrl-CS"/>
        </w:rPr>
        <w:t>е</w:t>
      </w:r>
      <w:r w:rsidR="00E312E5">
        <w:rPr>
          <w:rFonts w:ascii="Times New Roman" w:hAnsi="Times New Roman"/>
          <w:sz w:val="24"/>
          <w:szCs w:val="24"/>
          <w:lang w:val="sr-Cyrl-CS"/>
        </w:rPr>
        <w:t>дном излагању.</w:t>
      </w:r>
    </w:p>
    <w:p w:rsidR="00803E95" w:rsidRPr="00E10C5B" w:rsidRDefault="006C65BF" w:rsidP="00E10C5B">
      <w:pPr>
        <w:ind w:firstLine="360"/>
        <w:jc w:val="both"/>
        <w:rPr>
          <w:rFonts w:ascii="Times New Roman" w:hAnsi="Times New Roman"/>
          <w:sz w:val="24"/>
          <w:szCs w:val="24"/>
          <w:lang w:val="sr-Cyrl-CS"/>
        </w:rPr>
      </w:pPr>
      <w:r>
        <w:rPr>
          <w:rFonts w:ascii="Times New Roman" w:hAnsi="Times New Roman"/>
          <w:sz w:val="24"/>
          <w:szCs w:val="24"/>
        </w:rPr>
        <w:t>У</w:t>
      </w:r>
      <w:r w:rsidR="00803E95" w:rsidRPr="00803E95">
        <w:rPr>
          <w:rFonts w:ascii="Times New Roman" w:hAnsi="Times New Roman"/>
          <w:sz w:val="24"/>
          <w:szCs w:val="24"/>
        </w:rPr>
        <w:t xml:space="preserve"> </w:t>
      </w:r>
      <w:r w:rsidR="00E312E5">
        <w:rPr>
          <w:rFonts w:ascii="Times New Roman" w:hAnsi="Times New Roman"/>
          <w:sz w:val="24"/>
          <w:szCs w:val="24"/>
          <w:lang w:val="sr-Cyrl-CS"/>
        </w:rPr>
        <w:t>непосредне</w:t>
      </w:r>
      <w:r w:rsidR="00803E95" w:rsidRPr="00803E95">
        <w:rPr>
          <w:rFonts w:ascii="Times New Roman" w:hAnsi="Times New Roman"/>
          <w:sz w:val="24"/>
          <w:szCs w:val="24"/>
        </w:rPr>
        <w:t xml:space="preserve"> </w:t>
      </w:r>
      <w:r>
        <w:rPr>
          <w:rFonts w:ascii="Times New Roman" w:hAnsi="Times New Roman"/>
          <w:sz w:val="24"/>
          <w:szCs w:val="24"/>
        </w:rPr>
        <w:t>порезе</w:t>
      </w:r>
      <w:r w:rsidR="00803E95" w:rsidRPr="00803E95">
        <w:rPr>
          <w:rFonts w:ascii="Times New Roman" w:hAnsi="Times New Roman"/>
          <w:sz w:val="24"/>
          <w:szCs w:val="24"/>
        </w:rPr>
        <w:t xml:space="preserve"> </w:t>
      </w:r>
      <w:r>
        <w:rPr>
          <w:rFonts w:ascii="Times New Roman" w:hAnsi="Times New Roman"/>
          <w:sz w:val="24"/>
          <w:szCs w:val="24"/>
        </w:rPr>
        <w:t>спадају</w:t>
      </w:r>
      <w:r w:rsidR="00803E95" w:rsidRPr="00803E95">
        <w:rPr>
          <w:rFonts w:ascii="Times New Roman" w:hAnsi="Times New Roman"/>
          <w:sz w:val="24"/>
          <w:szCs w:val="24"/>
        </w:rPr>
        <w:t>:</w:t>
      </w:r>
      <w:r w:rsidR="00E10C5B">
        <w:rPr>
          <w:rFonts w:ascii="Times New Roman" w:hAnsi="Times New Roman"/>
          <w:sz w:val="24"/>
          <w:szCs w:val="24"/>
          <w:lang w:val="sr-Cyrl-CS"/>
        </w:rPr>
        <w:t xml:space="preserve"> п</w:t>
      </w:r>
      <w:r>
        <w:rPr>
          <w:rFonts w:ascii="Times New Roman" w:hAnsi="Times New Roman"/>
          <w:sz w:val="24"/>
          <w:szCs w:val="24"/>
        </w:rPr>
        <w:t>орез</w:t>
      </w:r>
      <w:r w:rsidR="00803E95" w:rsidRPr="00803E95">
        <w:rPr>
          <w:rFonts w:ascii="Times New Roman" w:hAnsi="Times New Roman"/>
          <w:sz w:val="24"/>
          <w:szCs w:val="24"/>
        </w:rPr>
        <w:t xml:space="preserve"> </w:t>
      </w:r>
      <w:r>
        <w:rPr>
          <w:rFonts w:ascii="Times New Roman" w:hAnsi="Times New Roman"/>
          <w:sz w:val="24"/>
          <w:szCs w:val="24"/>
        </w:rPr>
        <w:t>на</w:t>
      </w:r>
      <w:r w:rsidR="00803E95" w:rsidRPr="00803E95">
        <w:rPr>
          <w:rFonts w:ascii="Times New Roman" w:hAnsi="Times New Roman"/>
          <w:sz w:val="24"/>
          <w:szCs w:val="24"/>
        </w:rPr>
        <w:t xml:space="preserve"> </w:t>
      </w:r>
      <w:r>
        <w:rPr>
          <w:rFonts w:ascii="Times New Roman" w:hAnsi="Times New Roman"/>
          <w:sz w:val="24"/>
          <w:szCs w:val="24"/>
        </w:rPr>
        <w:t>имовину</w:t>
      </w:r>
      <w:r w:rsidR="00E10C5B">
        <w:rPr>
          <w:rFonts w:ascii="Times New Roman" w:hAnsi="Times New Roman"/>
          <w:sz w:val="24"/>
          <w:szCs w:val="24"/>
          <w:lang w:val="sr-Cyrl-CS"/>
        </w:rPr>
        <w:t>, п</w:t>
      </w:r>
      <w:r>
        <w:rPr>
          <w:rFonts w:ascii="Times New Roman" w:hAnsi="Times New Roman"/>
          <w:sz w:val="24"/>
          <w:szCs w:val="24"/>
        </w:rPr>
        <w:t>орез</w:t>
      </w:r>
      <w:r w:rsidR="00803E95" w:rsidRPr="00803E95">
        <w:rPr>
          <w:rFonts w:ascii="Times New Roman" w:hAnsi="Times New Roman"/>
          <w:sz w:val="24"/>
          <w:szCs w:val="24"/>
        </w:rPr>
        <w:t xml:space="preserve"> </w:t>
      </w:r>
      <w:r>
        <w:rPr>
          <w:rFonts w:ascii="Times New Roman" w:hAnsi="Times New Roman"/>
          <w:sz w:val="24"/>
          <w:szCs w:val="24"/>
        </w:rPr>
        <w:t>на</w:t>
      </w:r>
      <w:r w:rsidR="00803E95" w:rsidRPr="00803E95">
        <w:rPr>
          <w:rFonts w:ascii="Times New Roman" w:hAnsi="Times New Roman"/>
          <w:sz w:val="24"/>
          <w:szCs w:val="24"/>
        </w:rPr>
        <w:t xml:space="preserve"> </w:t>
      </w:r>
      <w:r>
        <w:rPr>
          <w:rFonts w:ascii="Times New Roman" w:hAnsi="Times New Roman"/>
          <w:sz w:val="24"/>
          <w:szCs w:val="24"/>
        </w:rPr>
        <w:t>доходак</w:t>
      </w:r>
      <w:r w:rsidR="00E10C5B">
        <w:rPr>
          <w:rFonts w:ascii="Times New Roman" w:hAnsi="Times New Roman"/>
          <w:sz w:val="24"/>
          <w:szCs w:val="24"/>
          <w:lang w:val="sr-Cyrl-CS"/>
        </w:rPr>
        <w:t xml:space="preserve"> и п</w:t>
      </w:r>
      <w:r>
        <w:rPr>
          <w:rFonts w:ascii="Times New Roman" w:hAnsi="Times New Roman"/>
          <w:sz w:val="24"/>
          <w:szCs w:val="24"/>
        </w:rPr>
        <w:t>орез</w:t>
      </w:r>
      <w:r w:rsidR="00803E95" w:rsidRPr="00803E95">
        <w:rPr>
          <w:rFonts w:ascii="Times New Roman" w:hAnsi="Times New Roman"/>
          <w:sz w:val="24"/>
          <w:szCs w:val="24"/>
        </w:rPr>
        <w:t xml:space="preserve"> </w:t>
      </w:r>
      <w:r>
        <w:rPr>
          <w:rFonts w:ascii="Times New Roman" w:hAnsi="Times New Roman"/>
          <w:sz w:val="24"/>
          <w:szCs w:val="24"/>
        </w:rPr>
        <w:t>на</w:t>
      </w:r>
      <w:r w:rsidR="00803E95" w:rsidRPr="00803E95">
        <w:rPr>
          <w:rFonts w:ascii="Times New Roman" w:hAnsi="Times New Roman"/>
          <w:sz w:val="24"/>
          <w:szCs w:val="24"/>
        </w:rPr>
        <w:t xml:space="preserve"> </w:t>
      </w:r>
      <w:r>
        <w:rPr>
          <w:rFonts w:ascii="Times New Roman" w:hAnsi="Times New Roman"/>
          <w:sz w:val="24"/>
          <w:szCs w:val="24"/>
        </w:rPr>
        <w:t>принос</w:t>
      </w:r>
      <w:r w:rsidR="00803E95" w:rsidRPr="00803E95">
        <w:rPr>
          <w:rFonts w:ascii="Times New Roman" w:hAnsi="Times New Roman"/>
          <w:sz w:val="24"/>
          <w:szCs w:val="24"/>
        </w:rPr>
        <w:t xml:space="preserve"> </w:t>
      </w:r>
      <w:r w:rsidR="009551E3">
        <w:rPr>
          <w:rFonts w:ascii="Times New Roman" w:hAnsi="Times New Roman"/>
          <w:sz w:val="24"/>
          <w:szCs w:val="24"/>
          <w:lang w:val="sr-Cyrl-CS"/>
        </w:rPr>
        <w:t xml:space="preserve">и </w:t>
      </w:r>
      <w:r>
        <w:rPr>
          <w:rFonts w:ascii="Times New Roman" w:hAnsi="Times New Roman"/>
          <w:sz w:val="24"/>
          <w:szCs w:val="24"/>
        </w:rPr>
        <w:t>на</w:t>
      </w:r>
      <w:r w:rsidR="00803E95" w:rsidRPr="00803E95">
        <w:rPr>
          <w:rFonts w:ascii="Times New Roman" w:hAnsi="Times New Roman"/>
          <w:sz w:val="24"/>
          <w:szCs w:val="24"/>
        </w:rPr>
        <w:t xml:space="preserve"> </w:t>
      </w:r>
      <w:r>
        <w:rPr>
          <w:rFonts w:ascii="Times New Roman" w:hAnsi="Times New Roman"/>
          <w:sz w:val="24"/>
          <w:szCs w:val="24"/>
        </w:rPr>
        <w:t>капитал</w:t>
      </w:r>
      <w:r w:rsidR="00E10C5B">
        <w:rPr>
          <w:rFonts w:ascii="Times New Roman" w:hAnsi="Times New Roman"/>
          <w:sz w:val="24"/>
          <w:szCs w:val="24"/>
          <w:lang w:val="sr-Cyrl-CS"/>
        </w:rPr>
        <w:t>.</w:t>
      </w:r>
    </w:p>
    <w:p w:rsidR="00A64C29" w:rsidRDefault="006C65BF" w:rsidP="00A64C29">
      <w:pPr>
        <w:ind w:firstLine="360"/>
        <w:jc w:val="both"/>
        <w:rPr>
          <w:rFonts w:ascii="Times New Roman" w:hAnsi="Times New Roman"/>
          <w:sz w:val="24"/>
          <w:szCs w:val="24"/>
          <w:lang w:val="sr-Cyrl-CS"/>
        </w:rPr>
      </w:pPr>
      <w:r>
        <w:rPr>
          <w:rFonts w:ascii="Times New Roman" w:hAnsi="Times New Roman"/>
          <w:sz w:val="24"/>
          <w:szCs w:val="24"/>
        </w:rPr>
        <w:t>У</w:t>
      </w:r>
      <w:r w:rsidR="00803E95" w:rsidRPr="00803E95">
        <w:rPr>
          <w:rFonts w:ascii="Times New Roman" w:hAnsi="Times New Roman"/>
          <w:sz w:val="24"/>
          <w:szCs w:val="24"/>
        </w:rPr>
        <w:t xml:space="preserve"> </w:t>
      </w:r>
      <w:r w:rsidR="00E312E5">
        <w:rPr>
          <w:rFonts w:ascii="Times New Roman" w:hAnsi="Times New Roman"/>
          <w:sz w:val="24"/>
          <w:szCs w:val="24"/>
          <w:lang w:val="sr-Cyrl-CS"/>
        </w:rPr>
        <w:t>посредне</w:t>
      </w:r>
      <w:r w:rsidR="00803E95" w:rsidRPr="00803E95">
        <w:rPr>
          <w:rFonts w:ascii="Times New Roman" w:hAnsi="Times New Roman"/>
          <w:sz w:val="24"/>
          <w:szCs w:val="24"/>
        </w:rPr>
        <w:t xml:space="preserve"> </w:t>
      </w:r>
      <w:r>
        <w:rPr>
          <w:rFonts w:ascii="Times New Roman" w:hAnsi="Times New Roman"/>
          <w:sz w:val="24"/>
          <w:szCs w:val="24"/>
        </w:rPr>
        <w:t>порезе</w:t>
      </w:r>
      <w:r w:rsidR="00803E95" w:rsidRPr="00803E95">
        <w:rPr>
          <w:rFonts w:ascii="Times New Roman" w:hAnsi="Times New Roman"/>
          <w:sz w:val="24"/>
          <w:szCs w:val="24"/>
        </w:rPr>
        <w:t xml:space="preserve"> </w:t>
      </w:r>
      <w:r>
        <w:rPr>
          <w:rFonts w:ascii="Times New Roman" w:hAnsi="Times New Roman"/>
          <w:sz w:val="24"/>
          <w:szCs w:val="24"/>
        </w:rPr>
        <w:t>спадају</w:t>
      </w:r>
      <w:r w:rsidR="00803E95" w:rsidRPr="00803E95">
        <w:rPr>
          <w:rFonts w:ascii="Times New Roman" w:hAnsi="Times New Roman"/>
          <w:sz w:val="24"/>
          <w:szCs w:val="24"/>
        </w:rPr>
        <w:t>:</w:t>
      </w:r>
      <w:r w:rsidR="00E10C5B">
        <w:rPr>
          <w:rFonts w:ascii="Times New Roman" w:hAnsi="Times New Roman"/>
          <w:sz w:val="24"/>
          <w:szCs w:val="24"/>
          <w:lang w:val="sr-Cyrl-CS"/>
        </w:rPr>
        <w:t xml:space="preserve"> п</w:t>
      </w:r>
      <w:r>
        <w:rPr>
          <w:rFonts w:ascii="Times New Roman" w:hAnsi="Times New Roman"/>
          <w:sz w:val="24"/>
          <w:szCs w:val="24"/>
        </w:rPr>
        <w:t>орез</w:t>
      </w:r>
      <w:r w:rsidR="00803E95" w:rsidRPr="00803E95">
        <w:rPr>
          <w:rFonts w:ascii="Times New Roman" w:hAnsi="Times New Roman"/>
          <w:sz w:val="24"/>
          <w:szCs w:val="24"/>
        </w:rPr>
        <w:t xml:space="preserve"> </w:t>
      </w:r>
      <w:r>
        <w:rPr>
          <w:rFonts w:ascii="Times New Roman" w:hAnsi="Times New Roman"/>
          <w:sz w:val="24"/>
          <w:szCs w:val="24"/>
        </w:rPr>
        <w:t>на</w:t>
      </w:r>
      <w:r w:rsidR="00803E95" w:rsidRPr="00803E95">
        <w:rPr>
          <w:rFonts w:ascii="Times New Roman" w:hAnsi="Times New Roman"/>
          <w:sz w:val="24"/>
          <w:szCs w:val="24"/>
        </w:rPr>
        <w:t xml:space="preserve"> </w:t>
      </w:r>
      <w:r>
        <w:rPr>
          <w:rFonts w:ascii="Times New Roman" w:hAnsi="Times New Roman"/>
          <w:sz w:val="24"/>
          <w:szCs w:val="24"/>
        </w:rPr>
        <w:t>промет</w:t>
      </w:r>
      <w:r w:rsidR="00E10C5B">
        <w:rPr>
          <w:rFonts w:ascii="Times New Roman" w:hAnsi="Times New Roman"/>
          <w:sz w:val="24"/>
          <w:szCs w:val="24"/>
          <w:lang w:val="sr-Cyrl-CS"/>
        </w:rPr>
        <w:t>, ц</w:t>
      </w:r>
      <w:r>
        <w:rPr>
          <w:rFonts w:ascii="Times New Roman" w:hAnsi="Times New Roman"/>
          <w:sz w:val="24"/>
          <w:szCs w:val="24"/>
        </w:rPr>
        <w:t>арине</w:t>
      </w:r>
      <w:r w:rsidR="00E10C5B">
        <w:rPr>
          <w:rFonts w:ascii="Times New Roman" w:hAnsi="Times New Roman"/>
          <w:sz w:val="24"/>
          <w:szCs w:val="24"/>
          <w:lang w:val="sr-Cyrl-CS"/>
        </w:rPr>
        <w:t>, т</w:t>
      </w:r>
      <w:r>
        <w:rPr>
          <w:rFonts w:ascii="Times New Roman" w:hAnsi="Times New Roman"/>
          <w:sz w:val="24"/>
          <w:szCs w:val="24"/>
        </w:rPr>
        <w:t>рошарине</w:t>
      </w:r>
      <w:r w:rsidR="00E10C5B">
        <w:rPr>
          <w:rFonts w:ascii="Times New Roman" w:hAnsi="Times New Roman"/>
          <w:sz w:val="24"/>
          <w:szCs w:val="24"/>
          <w:lang w:val="sr-Cyrl-CS"/>
        </w:rPr>
        <w:t xml:space="preserve"> и м</w:t>
      </w:r>
      <w:r>
        <w:rPr>
          <w:rFonts w:ascii="Times New Roman" w:hAnsi="Times New Roman"/>
          <w:sz w:val="24"/>
          <w:szCs w:val="24"/>
        </w:rPr>
        <w:t>онополски</w:t>
      </w:r>
      <w:r w:rsidR="00803E95" w:rsidRPr="00803E95">
        <w:rPr>
          <w:rFonts w:ascii="Times New Roman" w:hAnsi="Times New Roman"/>
          <w:sz w:val="24"/>
          <w:szCs w:val="24"/>
        </w:rPr>
        <w:t xml:space="preserve"> </w:t>
      </w:r>
      <w:r>
        <w:rPr>
          <w:rFonts w:ascii="Times New Roman" w:hAnsi="Times New Roman"/>
          <w:sz w:val="24"/>
          <w:szCs w:val="24"/>
        </w:rPr>
        <w:t>порез</w:t>
      </w:r>
      <w:r w:rsidR="009551E3">
        <w:rPr>
          <w:rFonts w:ascii="Times New Roman" w:hAnsi="Times New Roman"/>
          <w:sz w:val="24"/>
          <w:szCs w:val="24"/>
          <w:lang w:val="sr-Cyrl-CS"/>
        </w:rPr>
        <w:t>и</w:t>
      </w:r>
      <w:r w:rsidR="00E10C5B">
        <w:rPr>
          <w:rFonts w:ascii="Times New Roman" w:hAnsi="Times New Roman"/>
          <w:sz w:val="24"/>
          <w:szCs w:val="24"/>
          <w:lang w:val="sr-Cyrl-CS"/>
        </w:rPr>
        <w:t>.</w:t>
      </w:r>
    </w:p>
    <w:p w:rsidR="00A64C29" w:rsidRPr="00A64C29" w:rsidRDefault="00A64C29" w:rsidP="00A64C29">
      <w:pPr>
        <w:ind w:firstLine="360"/>
        <w:jc w:val="both"/>
        <w:rPr>
          <w:rFonts w:ascii="Times New Roman" w:hAnsi="Times New Roman"/>
          <w:sz w:val="24"/>
          <w:szCs w:val="24"/>
          <w:lang w:val="sr-Cyrl-CS"/>
        </w:rPr>
      </w:pPr>
    </w:p>
    <w:p w:rsidR="007B65C6" w:rsidRDefault="00463B8E" w:rsidP="0077618E">
      <w:pPr>
        <w:jc w:val="center"/>
        <w:rPr>
          <w:rFonts w:ascii="Times New Roman" w:hAnsi="Times New Roman"/>
          <w:b/>
          <w:sz w:val="24"/>
          <w:szCs w:val="24"/>
          <w:lang w:val="sr-Cyrl-CS"/>
        </w:rPr>
      </w:pPr>
      <w:r>
        <w:rPr>
          <w:rFonts w:ascii="Times New Roman" w:hAnsi="Times New Roman"/>
          <w:b/>
          <w:sz w:val="24"/>
          <w:szCs w:val="24"/>
          <w:lang w:val="sr-Cyrl-CS"/>
        </w:rPr>
        <w:t>2.3</w:t>
      </w:r>
      <w:r w:rsidR="00B04727">
        <w:rPr>
          <w:rFonts w:ascii="Times New Roman" w:hAnsi="Times New Roman"/>
          <w:b/>
          <w:sz w:val="24"/>
          <w:szCs w:val="24"/>
          <w:lang w:val="sr-Cyrl-CS"/>
        </w:rPr>
        <w:t xml:space="preserve">. </w:t>
      </w:r>
      <w:r>
        <w:rPr>
          <w:rFonts w:ascii="Times New Roman" w:hAnsi="Times New Roman"/>
          <w:b/>
          <w:sz w:val="24"/>
          <w:szCs w:val="24"/>
          <w:lang w:val="sr-Cyrl-CS"/>
        </w:rPr>
        <w:t>Појам пореза као инструмента јавних прихода</w:t>
      </w:r>
    </w:p>
    <w:p w:rsidR="00B35460" w:rsidRPr="00A64C29" w:rsidRDefault="00B35460" w:rsidP="008C6A7D">
      <w:pPr>
        <w:jc w:val="both"/>
        <w:rPr>
          <w:rFonts w:ascii="Times New Roman" w:hAnsi="Times New Roman"/>
          <w:b/>
          <w:sz w:val="24"/>
          <w:szCs w:val="24"/>
          <w:lang w:val="sr-Cyrl-CS"/>
        </w:rPr>
      </w:pPr>
    </w:p>
    <w:p w:rsidR="00BA36C1" w:rsidRDefault="008270AA" w:rsidP="00BA36C1">
      <w:pPr>
        <w:ind w:firstLine="360"/>
        <w:jc w:val="both"/>
        <w:rPr>
          <w:rFonts w:ascii="Times New Roman" w:hAnsi="Times New Roman"/>
          <w:sz w:val="24"/>
          <w:szCs w:val="24"/>
          <w:lang w:val="sr-Cyrl-CS"/>
        </w:rPr>
      </w:pPr>
      <w:r>
        <w:rPr>
          <w:rFonts w:ascii="Times New Roman" w:hAnsi="Times New Roman"/>
          <w:sz w:val="24"/>
          <w:szCs w:val="24"/>
          <w:lang w:val="sr-Cyrl-CS"/>
        </w:rPr>
        <w:t>Да</w:t>
      </w:r>
      <w:r w:rsidR="00F37A6D">
        <w:rPr>
          <w:rFonts w:ascii="Times New Roman" w:hAnsi="Times New Roman"/>
          <w:sz w:val="24"/>
          <w:szCs w:val="24"/>
          <w:lang w:val="sr-Cyrl-CS"/>
        </w:rPr>
        <w:t xml:space="preserve"> би се бавили феноменом избегавања плаћања пореза, потр</w:t>
      </w:r>
      <w:r w:rsidR="007C6ECE">
        <w:rPr>
          <w:rFonts w:ascii="Times New Roman" w:hAnsi="Times New Roman"/>
          <w:sz w:val="24"/>
          <w:szCs w:val="24"/>
          <w:lang w:val="sr-Cyrl-CS"/>
        </w:rPr>
        <w:t>ебно је пре свега одредити</w:t>
      </w:r>
      <w:r w:rsidR="00F37A6D">
        <w:rPr>
          <w:rFonts w:ascii="Times New Roman" w:hAnsi="Times New Roman"/>
          <w:sz w:val="24"/>
          <w:szCs w:val="24"/>
          <w:lang w:val="sr-Cyrl-CS"/>
        </w:rPr>
        <w:t xml:space="preserve"> појам пор</w:t>
      </w:r>
      <w:r w:rsidR="00937330">
        <w:rPr>
          <w:rFonts w:ascii="Times New Roman" w:hAnsi="Times New Roman"/>
          <w:sz w:val="24"/>
          <w:szCs w:val="24"/>
          <w:lang w:val="sr-Cyrl-CS"/>
        </w:rPr>
        <w:t>еза и његове опште карактеристи</w:t>
      </w:r>
      <w:r w:rsidR="00F37A6D">
        <w:rPr>
          <w:rFonts w:ascii="Times New Roman" w:hAnsi="Times New Roman"/>
          <w:sz w:val="24"/>
          <w:szCs w:val="24"/>
          <w:lang w:val="sr-Cyrl-CS"/>
        </w:rPr>
        <w:t xml:space="preserve">ке. </w:t>
      </w:r>
      <w:r w:rsidR="00D1149D">
        <w:rPr>
          <w:rFonts w:ascii="Times New Roman" w:hAnsi="Times New Roman"/>
          <w:sz w:val="24"/>
          <w:szCs w:val="24"/>
          <w:lang w:val="sr-Cyrl-CS"/>
        </w:rPr>
        <w:t xml:space="preserve">Како </w:t>
      </w:r>
      <w:r w:rsidR="000D3CDE" w:rsidRPr="000D3CDE">
        <w:rPr>
          <w:rFonts w:ascii="Times New Roman" w:hAnsi="Times New Roman"/>
          <w:sz w:val="24"/>
          <w:szCs w:val="24"/>
          <w:lang w:val="sr-Cyrl-CS"/>
        </w:rPr>
        <w:t xml:space="preserve">бисмо дефинисали </w:t>
      </w:r>
      <w:r w:rsidR="000D3CDE">
        <w:rPr>
          <w:rFonts w:ascii="Times New Roman" w:hAnsi="Times New Roman"/>
          <w:sz w:val="24"/>
          <w:szCs w:val="24"/>
          <w:lang w:val="sr-Cyrl-CS"/>
        </w:rPr>
        <w:t xml:space="preserve">појам пореза, морамо укратко да анализирамо елементе </w:t>
      </w:r>
      <w:r w:rsidR="007C6ECE">
        <w:rPr>
          <w:rFonts w:ascii="Times New Roman" w:hAnsi="Times New Roman"/>
          <w:sz w:val="24"/>
          <w:szCs w:val="24"/>
          <w:lang w:val="sr-Cyrl-CS"/>
        </w:rPr>
        <w:t>његовог законског описа, а који ће у наставку излагања бити анализирани за поједине пореске облике.</w:t>
      </w:r>
      <w:r w:rsidR="000D3CDE">
        <w:rPr>
          <w:rFonts w:ascii="Times New Roman" w:hAnsi="Times New Roman"/>
          <w:sz w:val="24"/>
          <w:szCs w:val="24"/>
          <w:lang w:val="sr-Cyrl-CS"/>
        </w:rPr>
        <w:t xml:space="preserve"> Мада се у законодавствима појединих земаља</w:t>
      </w:r>
      <w:r w:rsidR="00BF7B9F">
        <w:rPr>
          <w:rFonts w:ascii="Times New Roman" w:hAnsi="Times New Roman"/>
          <w:sz w:val="24"/>
          <w:szCs w:val="24"/>
          <w:lang w:val="sr-Cyrl-CS"/>
        </w:rPr>
        <w:t xml:space="preserve"> помињу различите врсте пореза и на различите начине се прописује делокруг фискалног захватања овим обликом јавних прихода, може се говорити о н</w:t>
      </w:r>
      <w:r w:rsidR="00937330">
        <w:rPr>
          <w:rFonts w:ascii="Times New Roman" w:hAnsi="Times New Roman"/>
          <w:sz w:val="24"/>
          <w:szCs w:val="24"/>
          <w:lang w:val="sr-Cyrl-CS"/>
        </w:rPr>
        <w:t>еким заједничким елементима који су му карактеристични</w:t>
      </w:r>
      <w:r w:rsidR="00BF7B9F">
        <w:rPr>
          <w:rFonts w:ascii="Times New Roman" w:hAnsi="Times New Roman"/>
          <w:sz w:val="24"/>
          <w:szCs w:val="24"/>
          <w:lang w:val="sr-Cyrl-CS"/>
        </w:rPr>
        <w:t>.</w:t>
      </w:r>
      <w:r w:rsidR="00F97F05">
        <w:rPr>
          <w:rFonts w:ascii="Times New Roman" w:hAnsi="Times New Roman"/>
          <w:sz w:val="24"/>
          <w:szCs w:val="24"/>
          <w:lang w:val="sr-Cyrl-CS"/>
        </w:rPr>
        <w:t xml:space="preserve"> Утврђивање ових елемената је потребно како би се тачно утврдила обавеза коју треба платити. Основни елем</w:t>
      </w:r>
      <w:r w:rsidR="00D877F2">
        <w:rPr>
          <w:rFonts w:ascii="Times New Roman" w:hAnsi="Times New Roman"/>
          <w:sz w:val="24"/>
          <w:szCs w:val="24"/>
          <w:lang w:val="sr-Cyrl-CS"/>
        </w:rPr>
        <w:t>е</w:t>
      </w:r>
      <w:r w:rsidR="00F97F05">
        <w:rPr>
          <w:rFonts w:ascii="Times New Roman" w:hAnsi="Times New Roman"/>
          <w:sz w:val="24"/>
          <w:szCs w:val="24"/>
          <w:lang w:val="sr-Cyrl-CS"/>
        </w:rPr>
        <w:t>нти пореза, као и сваког јавног прихода су:</w:t>
      </w:r>
      <w:r w:rsidR="00D877F2">
        <w:rPr>
          <w:rFonts w:ascii="Times New Roman" w:hAnsi="Times New Roman"/>
          <w:sz w:val="24"/>
          <w:szCs w:val="24"/>
          <w:lang w:val="sr-Cyrl-CS"/>
        </w:rPr>
        <w:t xml:space="preserve"> </w:t>
      </w:r>
    </w:p>
    <w:p w:rsidR="00BA36C1" w:rsidRPr="00B35460" w:rsidRDefault="00F97F05" w:rsidP="008A3795">
      <w:pPr>
        <w:numPr>
          <w:ilvl w:val="0"/>
          <w:numId w:val="12"/>
        </w:numPr>
        <w:jc w:val="both"/>
        <w:rPr>
          <w:rFonts w:ascii="Times New Roman" w:hAnsi="Times New Roman"/>
          <w:sz w:val="24"/>
          <w:szCs w:val="24"/>
          <w:lang w:val="sr-Cyrl-CS"/>
        </w:rPr>
      </w:pPr>
      <w:r>
        <w:rPr>
          <w:rFonts w:ascii="Times New Roman" w:hAnsi="Times New Roman"/>
          <w:sz w:val="24"/>
          <w:szCs w:val="24"/>
          <w:lang w:val="sr-Cyrl-CS"/>
        </w:rPr>
        <w:t xml:space="preserve">Порески обвезник </w:t>
      </w:r>
    </w:p>
    <w:p w:rsidR="009C55EA" w:rsidRDefault="009C55EA" w:rsidP="00D877F2">
      <w:pPr>
        <w:ind w:left="360" w:firstLine="348"/>
        <w:jc w:val="both"/>
        <w:rPr>
          <w:rFonts w:ascii="Times New Roman" w:hAnsi="Times New Roman"/>
          <w:sz w:val="24"/>
          <w:szCs w:val="24"/>
          <w:lang w:val="sr-Cyrl-CS"/>
        </w:rPr>
      </w:pPr>
      <w:r>
        <w:rPr>
          <w:rFonts w:ascii="Times New Roman" w:hAnsi="Times New Roman"/>
          <w:sz w:val="24"/>
          <w:szCs w:val="24"/>
          <w:lang w:val="sr-Cyrl-CS"/>
        </w:rPr>
        <w:lastRenderedPageBreak/>
        <w:t xml:space="preserve">Порески обвезник може бити правно или физичко лице. </w:t>
      </w:r>
      <w:r w:rsidR="00FC0A69">
        <w:rPr>
          <w:rFonts w:ascii="Times New Roman" w:hAnsi="Times New Roman"/>
          <w:sz w:val="24"/>
          <w:szCs w:val="24"/>
          <w:lang w:val="sr-Cyrl-CS"/>
        </w:rPr>
        <w:t>У погледу физичког лица у финансијској литератури постоје различита мишљења у погледу тога шта је релевантно за порески систем, одн</w:t>
      </w:r>
      <w:r w:rsidR="00D877F2">
        <w:rPr>
          <w:rFonts w:ascii="Times New Roman" w:hAnsi="Times New Roman"/>
          <w:sz w:val="24"/>
          <w:szCs w:val="24"/>
          <w:lang w:val="sr-Cyrl-CS"/>
        </w:rPr>
        <w:t>о</w:t>
      </w:r>
      <w:r w:rsidR="00FC0A69">
        <w:rPr>
          <w:rFonts w:ascii="Times New Roman" w:hAnsi="Times New Roman"/>
          <w:sz w:val="24"/>
          <w:szCs w:val="24"/>
          <w:lang w:val="sr-Cyrl-CS"/>
        </w:rPr>
        <w:t>сно појединац или породица или околност да се доходак стиче и троши у заједници и слично. У прилог становишту да је релевантан појединац наводи се да је доходак резултат његове активности, те да није од значаја што је он део породице, односно заједнице, нити је битан начин коришћења његовог дохотка, јер га у сваком случају појединац стиче и њему као та</w:t>
      </w:r>
      <w:r w:rsidR="007329CD">
        <w:rPr>
          <w:rFonts w:ascii="Times New Roman" w:hAnsi="Times New Roman"/>
          <w:sz w:val="24"/>
          <w:szCs w:val="24"/>
          <w:lang w:val="sr-Cyrl-CS"/>
        </w:rPr>
        <w:t>кав припада. У прилог становишт</w:t>
      </w:r>
      <w:r w:rsidR="00FC0A69">
        <w:rPr>
          <w:rFonts w:ascii="Times New Roman" w:hAnsi="Times New Roman"/>
          <w:sz w:val="24"/>
          <w:szCs w:val="24"/>
          <w:lang w:val="sr-Cyrl-CS"/>
        </w:rPr>
        <w:t xml:space="preserve">у да је релеватна породица наводи се значај начина коришћења дохотка, односно обавеза које појединац има. Појединац је део породице и не може се одвојено посматрати. </w:t>
      </w:r>
    </w:p>
    <w:p w:rsidR="00FC0A69" w:rsidRDefault="00FC0A69" w:rsidP="00D877F2">
      <w:pPr>
        <w:ind w:left="360" w:firstLine="348"/>
        <w:jc w:val="both"/>
        <w:rPr>
          <w:rFonts w:ascii="Times New Roman" w:hAnsi="Times New Roman"/>
          <w:sz w:val="24"/>
          <w:szCs w:val="24"/>
          <w:lang w:val="sr-Cyrl-CS"/>
        </w:rPr>
      </w:pPr>
      <w:r>
        <w:rPr>
          <w:rFonts w:ascii="Times New Roman" w:hAnsi="Times New Roman"/>
          <w:sz w:val="24"/>
          <w:szCs w:val="24"/>
          <w:lang w:val="sr-Cyrl-CS"/>
        </w:rPr>
        <w:t>Такође, и у погледу правног лиц</w:t>
      </w:r>
      <w:r w:rsidR="00A107C3">
        <w:rPr>
          <w:rFonts w:ascii="Times New Roman" w:hAnsi="Times New Roman"/>
          <w:sz w:val="24"/>
          <w:szCs w:val="24"/>
          <w:lang w:val="sr-Cyrl-CS"/>
        </w:rPr>
        <w:t>а постоје раз</w:t>
      </w:r>
      <w:r w:rsidR="00937330">
        <w:rPr>
          <w:rFonts w:ascii="Times New Roman" w:hAnsi="Times New Roman"/>
          <w:sz w:val="24"/>
          <w:szCs w:val="24"/>
          <w:lang w:val="sr-Cyrl-CS"/>
        </w:rPr>
        <w:t>личита схватања. Постоје мишљењ</w:t>
      </w:r>
      <w:r w:rsidR="00A107C3">
        <w:rPr>
          <w:rFonts w:ascii="Times New Roman" w:hAnsi="Times New Roman"/>
          <w:sz w:val="24"/>
          <w:szCs w:val="24"/>
          <w:lang w:val="sr-Cyrl-CS"/>
        </w:rPr>
        <w:t>а да правно лице не треба да буде порески обвезник јер</w:t>
      </w:r>
      <w:r>
        <w:rPr>
          <w:rFonts w:ascii="Times New Roman" w:hAnsi="Times New Roman"/>
          <w:sz w:val="24"/>
          <w:szCs w:val="24"/>
          <w:lang w:val="sr-Cyrl-CS"/>
        </w:rPr>
        <w:t xml:space="preserve"> у крајњој линији </w:t>
      </w:r>
      <w:r w:rsidR="00A107C3">
        <w:rPr>
          <w:rFonts w:ascii="Times New Roman" w:hAnsi="Times New Roman"/>
          <w:sz w:val="24"/>
          <w:szCs w:val="24"/>
          <w:lang w:val="sr-Cyrl-CS"/>
        </w:rPr>
        <w:t xml:space="preserve">порез на добит увек плаћа физичко лице. По другом схватању правно лице је посебан субјекат и као такво треба да плаћа посебан порез. </w:t>
      </w:r>
    </w:p>
    <w:p w:rsidR="00BA36C1" w:rsidRDefault="00BA36C1" w:rsidP="00D877F2">
      <w:pPr>
        <w:ind w:left="360" w:firstLine="348"/>
        <w:jc w:val="both"/>
        <w:rPr>
          <w:rFonts w:ascii="Times New Roman" w:hAnsi="Times New Roman"/>
          <w:sz w:val="24"/>
          <w:szCs w:val="24"/>
          <w:lang w:val="sr-Cyrl-CS"/>
        </w:rPr>
      </w:pPr>
    </w:p>
    <w:p w:rsidR="00F97F05" w:rsidRDefault="00F97F05" w:rsidP="008A3795">
      <w:pPr>
        <w:numPr>
          <w:ilvl w:val="0"/>
          <w:numId w:val="12"/>
        </w:numPr>
        <w:jc w:val="both"/>
        <w:rPr>
          <w:rFonts w:ascii="Times New Roman" w:hAnsi="Times New Roman"/>
          <w:sz w:val="24"/>
          <w:szCs w:val="24"/>
          <w:lang w:val="sr-Cyrl-CS"/>
        </w:rPr>
      </w:pPr>
      <w:r>
        <w:rPr>
          <w:rFonts w:ascii="Times New Roman" w:hAnsi="Times New Roman"/>
          <w:sz w:val="24"/>
          <w:szCs w:val="24"/>
          <w:lang w:val="sr-Cyrl-CS"/>
        </w:rPr>
        <w:t>Пореска основица</w:t>
      </w:r>
    </w:p>
    <w:p w:rsidR="00BA36C1" w:rsidRDefault="00BA36C1" w:rsidP="00BA36C1">
      <w:pPr>
        <w:ind w:left="720"/>
        <w:jc w:val="both"/>
        <w:rPr>
          <w:rFonts w:ascii="Times New Roman" w:hAnsi="Times New Roman"/>
          <w:sz w:val="24"/>
          <w:szCs w:val="24"/>
          <w:lang w:val="sr-Cyrl-CS"/>
        </w:rPr>
      </w:pPr>
    </w:p>
    <w:p w:rsidR="00216658" w:rsidRDefault="009C2595" w:rsidP="00216658">
      <w:pPr>
        <w:ind w:left="360" w:firstLine="348"/>
        <w:jc w:val="both"/>
        <w:rPr>
          <w:rFonts w:ascii="Times New Roman" w:hAnsi="Times New Roman"/>
          <w:sz w:val="24"/>
          <w:szCs w:val="24"/>
          <w:lang w:val="sr-Cyrl-CS"/>
        </w:rPr>
      </w:pPr>
      <w:r>
        <w:rPr>
          <w:rFonts w:ascii="Times New Roman" w:hAnsi="Times New Roman"/>
          <w:sz w:val="24"/>
          <w:szCs w:val="24"/>
          <w:lang w:val="sr-Cyrl-CS"/>
        </w:rPr>
        <w:t xml:space="preserve">Пореска основица представља најважнији елемент опорезивања. Ово произилази из њене природе. Наиме, пореска основица означава величину и вредност </w:t>
      </w:r>
      <w:r w:rsidR="00D76A85">
        <w:rPr>
          <w:rFonts w:ascii="Times New Roman" w:hAnsi="Times New Roman"/>
          <w:sz w:val="24"/>
          <w:szCs w:val="24"/>
          <w:lang w:val="sr-Cyrl-CS"/>
        </w:rPr>
        <w:t>која служи за утврђивање пореског дуга</w:t>
      </w:r>
      <w:r>
        <w:rPr>
          <w:rFonts w:ascii="Times New Roman" w:hAnsi="Times New Roman"/>
          <w:sz w:val="24"/>
          <w:szCs w:val="24"/>
          <w:lang w:val="sr-Cyrl-CS"/>
        </w:rPr>
        <w:t xml:space="preserve"> и представља основу за утврђивање висине пореза. </w:t>
      </w:r>
      <w:r w:rsidR="00B20DB3">
        <w:rPr>
          <w:rFonts w:ascii="Times New Roman" w:hAnsi="Times New Roman"/>
          <w:sz w:val="24"/>
          <w:szCs w:val="24"/>
          <w:lang w:val="sr-Cyrl-CS"/>
        </w:rPr>
        <w:t>То је величина или вредност за у</w:t>
      </w:r>
      <w:r w:rsidR="00937330">
        <w:rPr>
          <w:rFonts w:ascii="Times New Roman" w:hAnsi="Times New Roman"/>
          <w:sz w:val="24"/>
          <w:szCs w:val="24"/>
          <w:lang w:val="sr-Cyrl-CS"/>
        </w:rPr>
        <w:t>тврђивање пореске обавезе. Она с</w:t>
      </w:r>
      <w:r w:rsidR="00B20DB3">
        <w:rPr>
          <w:rFonts w:ascii="Times New Roman" w:hAnsi="Times New Roman"/>
          <w:sz w:val="24"/>
          <w:szCs w:val="24"/>
          <w:lang w:val="sr-Cyrl-CS"/>
        </w:rPr>
        <w:t>е разликуј</w:t>
      </w:r>
      <w:r w:rsidR="007329CD">
        <w:rPr>
          <w:rFonts w:ascii="Times New Roman" w:hAnsi="Times New Roman"/>
          <w:sz w:val="24"/>
          <w:szCs w:val="24"/>
          <w:lang w:val="sr-Cyrl-CS"/>
        </w:rPr>
        <w:t>е у зависности од врсте пореза, па може представљати величину</w:t>
      </w:r>
      <w:r w:rsidR="00D76A85">
        <w:rPr>
          <w:rFonts w:ascii="Times New Roman" w:hAnsi="Times New Roman"/>
          <w:sz w:val="24"/>
          <w:szCs w:val="24"/>
          <w:lang w:val="sr-Cyrl-CS"/>
        </w:rPr>
        <w:t xml:space="preserve"> нето дохотка или имовине</w:t>
      </w:r>
      <w:r w:rsidR="00B20DB3">
        <w:rPr>
          <w:rFonts w:ascii="Times New Roman" w:hAnsi="Times New Roman"/>
          <w:sz w:val="24"/>
          <w:szCs w:val="24"/>
          <w:lang w:val="sr-Cyrl-CS"/>
        </w:rPr>
        <w:t xml:space="preserve">, </w:t>
      </w:r>
      <w:r w:rsidR="007329CD">
        <w:rPr>
          <w:rFonts w:ascii="Times New Roman" w:hAnsi="Times New Roman"/>
          <w:sz w:val="24"/>
          <w:szCs w:val="24"/>
          <w:lang w:val="sr-Cyrl-CS"/>
        </w:rPr>
        <w:t xml:space="preserve"> цену</w:t>
      </w:r>
      <w:r w:rsidR="00D76A85">
        <w:rPr>
          <w:rFonts w:ascii="Times New Roman" w:hAnsi="Times New Roman"/>
          <w:sz w:val="24"/>
          <w:szCs w:val="24"/>
          <w:lang w:val="sr-Cyrl-CS"/>
        </w:rPr>
        <w:t xml:space="preserve"> робе</w:t>
      </w:r>
      <w:r w:rsidR="00B20DB3">
        <w:rPr>
          <w:rFonts w:ascii="Times New Roman" w:hAnsi="Times New Roman"/>
          <w:sz w:val="24"/>
          <w:szCs w:val="24"/>
          <w:lang w:val="sr-Cyrl-CS"/>
        </w:rPr>
        <w:t>, катастарски приход, вредност наслеђене имовине</w:t>
      </w:r>
      <w:r w:rsidR="00D76A85">
        <w:rPr>
          <w:rFonts w:ascii="Times New Roman" w:hAnsi="Times New Roman"/>
          <w:sz w:val="24"/>
          <w:szCs w:val="24"/>
          <w:lang w:val="sr-Cyrl-CS"/>
        </w:rPr>
        <w:t xml:space="preserve"> и сл.</w:t>
      </w:r>
      <w:r w:rsidR="00216658">
        <w:rPr>
          <w:rFonts w:ascii="Times New Roman" w:hAnsi="Times New Roman"/>
          <w:sz w:val="24"/>
          <w:szCs w:val="24"/>
          <w:lang w:val="sr-Cyrl-CS"/>
        </w:rPr>
        <w:t xml:space="preserve"> </w:t>
      </w:r>
    </w:p>
    <w:p w:rsidR="00216658" w:rsidRDefault="00D76A85" w:rsidP="00216658">
      <w:pPr>
        <w:ind w:left="360" w:firstLine="348"/>
        <w:jc w:val="both"/>
        <w:rPr>
          <w:rFonts w:ascii="Times New Roman" w:hAnsi="Times New Roman"/>
          <w:sz w:val="24"/>
          <w:szCs w:val="24"/>
          <w:lang w:val="sr-Cyrl-CS"/>
        </w:rPr>
      </w:pPr>
      <w:r>
        <w:rPr>
          <w:rFonts w:ascii="Times New Roman" w:hAnsi="Times New Roman"/>
          <w:sz w:val="24"/>
          <w:szCs w:val="24"/>
          <w:lang w:val="sr-Cyrl-CS"/>
        </w:rPr>
        <w:t>Пореска јединица је део пореске основице на коју се примењује пореска стопа, као што је одређен број новчаних јединица, запремина мотора и слично.</w:t>
      </w:r>
      <w:r w:rsidR="00216658">
        <w:rPr>
          <w:rFonts w:ascii="Times New Roman" w:hAnsi="Times New Roman"/>
          <w:sz w:val="24"/>
          <w:szCs w:val="24"/>
          <w:lang w:val="sr-Cyrl-CS"/>
        </w:rPr>
        <w:t xml:space="preserve"> </w:t>
      </w:r>
      <w:r w:rsidR="009C2595">
        <w:rPr>
          <w:rFonts w:ascii="Times New Roman" w:hAnsi="Times New Roman"/>
          <w:sz w:val="24"/>
          <w:szCs w:val="24"/>
          <w:lang w:val="sr-Cyrl-CS"/>
        </w:rPr>
        <w:t xml:space="preserve">Основица пореза се утврђује у новчаном износу, а само изузетно може бити мерна јединица. </w:t>
      </w:r>
    </w:p>
    <w:p w:rsidR="00216658" w:rsidRDefault="00216658" w:rsidP="00216658">
      <w:pPr>
        <w:jc w:val="both"/>
        <w:rPr>
          <w:rFonts w:ascii="Times New Roman" w:hAnsi="Times New Roman"/>
          <w:sz w:val="24"/>
          <w:szCs w:val="24"/>
          <w:lang w:val="sr-Cyrl-CS"/>
        </w:rPr>
      </w:pPr>
    </w:p>
    <w:p w:rsidR="00F97F05" w:rsidRPr="00216658" w:rsidRDefault="00F97F05" w:rsidP="008A3795">
      <w:pPr>
        <w:pStyle w:val="ListParagraph"/>
        <w:numPr>
          <w:ilvl w:val="0"/>
          <w:numId w:val="12"/>
        </w:numPr>
        <w:jc w:val="both"/>
        <w:rPr>
          <w:rFonts w:ascii="Times New Roman" w:hAnsi="Times New Roman"/>
          <w:sz w:val="24"/>
          <w:szCs w:val="24"/>
          <w:lang w:val="sr-Cyrl-CS"/>
        </w:rPr>
      </w:pPr>
      <w:r w:rsidRPr="00216658">
        <w:rPr>
          <w:rFonts w:ascii="Times New Roman" w:hAnsi="Times New Roman"/>
          <w:sz w:val="24"/>
          <w:szCs w:val="24"/>
          <w:lang w:val="sr-Cyrl-CS"/>
        </w:rPr>
        <w:t>Пореска стопа</w:t>
      </w:r>
      <w:r w:rsidR="00216658">
        <w:rPr>
          <w:rFonts w:ascii="Times New Roman" w:hAnsi="Times New Roman"/>
          <w:sz w:val="24"/>
          <w:szCs w:val="24"/>
          <w:lang w:val="sr-Cyrl-CS"/>
        </w:rPr>
        <w:t xml:space="preserve">  </w:t>
      </w:r>
    </w:p>
    <w:p w:rsidR="00BA36C1" w:rsidRDefault="00BA36C1" w:rsidP="00BA36C1">
      <w:pPr>
        <w:ind w:left="720"/>
        <w:jc w:val="both"/>
        <w:rPr>
          <w:rFonts w:ascii="Times New Roman" w:hAnsi="Times New Roman"/>
          <w:sz w:val="24"/>
          <w:szCs w:val="24"/>
          <w:lang w:val="sr-Cyrl-CS"/>
        </w:rPr>
      </w:pPr>
    </w:p>
    <w:p w:rsidR="009C2595" w:rsidRDefault="009C2595" w:rsidP="00D877F2">
      <w:pPr>
        <w:ind w:left="360" w:firstLine="348"/>
        <w:jc w:val="both"/>
        <w:rPr>
          <w:rFonts w:ascii="Times New Roman" w:hAnsi="Times New Roman"/>
          <w:sz w:val="24"/>
          <w:szCs w:val="24"/>
          <w:lang w:val="sr-Cyrl-CS"/>
        </w:rPr>
      </w:pPr>
      <w:r>
        <w:rPr>
          <w:rFonts w:ascii="Times New Roman" w:hAnsi="Times New Roman"/>
          <w:sz w:val="24"/>
          <w:szCs w:val="24"/>
          <w:lang w:val="sr-Cyrl-CS"/>
        </w:rPr>
        <w:t>Пореска стопа означава износ пореза пема пореској основици.</w:t>
      </w:r>
      <w:r w:rsidR="002C641E">
        <w:rPr>
          <w:rFonts w:ascii="Times New Roman" w:hAnsi="Times New Roman"/>
          <w:sz w:val="24"/>
          <w:szCs w:val="24"/>
          <w:lang w:val="sr-Cyrl-CS"/>
        </w:rPr>
        <w:t xml:space="preserve"> То је део основице коју порес</w:t>
      </w:r>
      <w:r w:rsidR="00602259">
        <w:rPr>
          <w:rFonts w:ascii="Times New Roman" w:hAnsi="Times New Roman"/>
          <w:sz w:val="24"/>
          <w:szCs w:val="24"/>
          <w:lang w:val="sr-Cyrl-CS"/>
        </w:rPr>
        <w:t>к</w:t>
      </w:r>
      <w:r w:rsidR="002C641E">
        <w:rPr>
          <w:rFonts w:ascii="Times New Roman" w:hAnsi="Times New Roman"/>
          <w:sz w:val="24"/>
          <w:szCs w:val="24"/>
          <w:lang w:val="sr-Cyrl-CS"/>
        </w:rPr>
        <w:t xml:space="preserve">и обвезник плаћа на име пореза. </w:t>
      </w:r>
      <w:r w:rsidR="0025329F">
        <w:rPr>
          <w:rFonts w:ascii="Times New Roman" w:hAnsi="Times New Roman"/>
          <w:sz w:val="24"/>
          <w:szCs w:val="24"/>
          <w:lang w:val="sr-Cyrl-CS"/>
        </w:rPr>
        <w:t>По п</w:t>
      </w:r>
      <w:r w:rsidR="002C641E">
        <w:rPr>
          <w:rFonts w:ascii="Times New Roman" w:hAnsi="Times New Roman"/>
          <w:sz w:val="24"/>
          <w:szCs w:val="24"/>
          <w:lang w:val="sr-Cyrl-CS"/>
        </w:rPr>
        <w:t>равилу се утврђује у проценту од пореске основице. Може се утврђивати различитим методама и то: методом пропорци</w:t>
      </w:r>
      <w:r w:rsidR="00602259">
        <w:rPr>
          <w:rFonts w:ascii="Times New Roman" w:hAnsi="Times New Roman"/>
          <w:sz w:val="24"/>
          <w:szCs w:val="24"/>
          <w:lang w:val="sr-Cyrl-CS"/>
        </w:rPr>
        <w:t>је, када стопа остаје увек иста у односу на повећање или смањење пореске основице,</w:t>
      </w:r>
      <w:r w:rsidR="002C641E">
        <w:rPr>
          <w:rFonts w:ascii="Times New Roman" w:hAnsi="Times New Roman"/>
          <w:sz w:val="24"/>
          <w:szCs w:val="24"/>
          <w:lang w:val="sr-Cyrl-CS"/>
        </w:rPr>
        <w:t xml:space="preserve"> методом прогресије</w:t>
      </w:r>
      <w:r w:rsidR="00602259">
        <w:rPr>
          <w:rFonts w:ascii="Times New Roman" w:hAnsi="Times New Roman"/>
          <w:sz w:val="24"/>
          <w:szCs w:val="24"/>
          <w:lang w:val="sr-Cyrl-CS"/>
        </w:rPr>
        <w:t xml:space="preserve"> (регресије)</w:t>
      </w:r>
      <w:r w:rsidR="002C641E">
        <w:rPr>
          <w:rFonts w:ascii="Times New Roman" w:hAnsi="Times New Roman"/>
          <w:sz w:val="24"/>
          <w:szCs w:val="24"/>
          <w:lang w:val="sr-Cyrl-CS"/>
        </w:rPr>
        <w:t xml:space="preserve">, када са порастом пореске основице расте пореска стопа и методом </w:t>
      </w:r>
      <w:r w:rsidR="00813C28">
        <w:rPr>
          <w:rFonts w:ascii="Times New Roman" w:hAnsi="Times New Roman"/>
          <w:sz w:val="24"/>
          <w:szCs w:val="24"/>
          <w:lang w:val="sr-Cyrl-CS"/>
        </w:rPr>
        <w:t xml:space="preserve">дигресије, када са порастом пореске </w:t>
      </w:r>
      <w:r w:rsidR="00813C28">
        <w:rPr>
          <w:rFonts w:ascii="Times New Roman" w:hAnsi="Times New Roman"/>
          <w:sz w:val="24"/>
          <w:szCs w:val="24"/>
          <w:lang w:val="sr-Cyrl-CS"/>
        </w:rPr>
        <w:lastRenderedPageBreak/>
        <w:t xml:space="preserve">основице </w:t>
      </w:r>
      <w:r w:rsidR="00603EAF">
        <w:rPr>
          <w:rFonts w:ascii="Times New Roman" w:hAnsi="Times New Roman"/>
          <w:sz w:val="24"/>
          <w:szCs w:val="24"/>
          <w:lang w:val="sr-Cyrl-CS"/>
        </w:rPr>
        <w:t>ис</w:t>
      </w:r>
      <w:r w:rsidR="00602259">
        <w:rPr>
          <w:rFonts w:ascii="Times New Roman" w:hAnsi="Times New Roman"/>
          <w:sz w:val="24"/>
          <w:szCs w:val="24"/>
          <w:lang w:val="sr-Cyrl-CS"/>
        </w:rPr>
        <w:t>товремено опадају пореске стопе, која метода се данас готово не примењује.</w:t>
      </w:r>
    </w:p>
    <w:p w:rsidR="00BA36C1" w:rsidRPr="00BA36C1" w:rsidRDefault="00BA36C1" w:rsidP="00D877F2">
      <w:pPr>
        <w:ind w:left="360" w:firstLine="348"/>
        <w:jc w:val="both"/>
        <w:rPr>
          <w:rFonts w:ascii="Times New Roman" w:hAnsi="Times New Roman"/>
          <w:sz w:val="24"/>
          <w:szCs w:val="24"/>
        </w:rPr>
      </w:pPr>
    </w:p>
    <w:p w:rsidR="00F97F05" w:rsidRPr="00BA36C1" w:rsidRDefault="00F97F05" w:rsidP="008A3795">
      <w:pPr>
        <w:numPr>
          <w:ilvl w:val="0"/>
          <w:numId w:val="12"/>
        </w:numPr>
        <w:jc w:val="both"/>
        <w:rPr>
          <w:rFonts w:ascii="Times New Roman" w:hAnsi="Times New Roman"/>
          <w:b/>
          <w:sz w:val="24"/>
          <w:szCs w:val="24"/>
          <w:lang w:val="sr-Cyrl-CS"/>
        </w:rPr>
      </w:pPr>
      <w:r w:rsidRPr="00D877F2">
        <w:rPr>
          <w:rFonts w:ascii="Times New Roman" w:hAnsi="Times New Roman"/>
          <w:sz w:val="24"/>
          <w:szCs w:val="24"/>
          <w:lang w:val="sr-Cyrl-CS"/>
        </w:rPr>
        <w:t>Пореска особођења и олакшице</w:t>
      </w:r>
    </w:p>
    <w:p w:rsidR="00BA36C1" w:rsidRDefault="00BA36C1" w:rsidP="00BA36C1">
      <w:pPr>
        <w:ind w:left="720"/>
        <w:jc w:val="both"/>
        <w:rPr>
          <w:rFonts w:ascii="Times New Roman" w:hAnsi="Times New Roman"/>
          <w:b/>
          <w:sz w:val="24"/>
          <w:szCs w:val="24"/>
          <w:lang w:val="sr-Cyrl-CS"/>
        </w:rPr>
      </w:pPr>
    </w:p>
    <w:p w:rsidR="00216658" w:rsidRDefault="006F5DB4" w:rsidP="002F7F0A">
      <w:pPr>
        <w:ind w:left="360" w:firstLine="348"/>
        <w:jc w:val="both"/>
        <w:rPr>
          <w:rFonts w:ascii="Times New Roman" w:hAnsi="Times New Roman"/>
          <w:sz w:val="24"/>
          <w:szCs w:val="24"/>
          <w:lang w:val="sr-Cyrl-CS"/>
        </w:rPr>
      </w:pPr>
      <w:r>
        <w:rPr>
          <w:rFonts w:ascii="Times New Roman" w:hAnsi="Times New Roman"/>
          <w:sz w:val="24"/>
          <w:szCs w:val="24"/>
          <w:lang w:val="sr-Cyrl-CS"/>
        </w:rPr>
        <w:t>Ослобођење од плаћања пореза је регулисано законским прописима. Најчешће се ослобођења односе на један део  пореза. Пореска олакш</w:t>
      </w:r>
      <w:r w:rsidR="003A3950">
        <w:rPr>
          <w:rFonts w:ascii="Times New Roman" w:hAnsi="Times New Roman"/>
          <w:sz w:val="24"/>
          <w:szCs w:val="24"/>
          <w:lang w:val="sr-Cyrl-CS"/>
        </w:rPr>
        <w:t xml:space="preserve">ица представља уступак који </w:t>
      </w:r>
      <w:r>
        <w:rPr>
          <w:rFonts w:ascii="Times New Roman" w:hAnsi="Times New Roman"/>
          <w:sz w:val="24"/>
          <w:szCs w:val="24"/>
          <w:lang w:val="sr-Cyrl-CS"/>
        </w:rPr>
        <w:t xml:space="preserve"> држава </w:t>
      </w:r>
      <w:r w:rsidR="003A3950">
        <w:rPr>
          <w:rFonts w:ascii="Times New Roman" w:hAnsi="Times New Roman"/>
          <w:sz w:val="24"/>
          <w:szCs w:val="24"/>
          <w:lang w:val="sr-Cyrl-CS"/>
        </w:rPr>
        <w:t xml:space="preserve">чини </w:t>
      </w:r>
      <w:r>
        <w:rPr>
          <w:rFonts w:ascii="Times New Roman" w:hAnsi="Times New Roman"/>
          <w:sz w:val="24"/>
          <w:szCs w:val="24"/>
          <w:lang w:val="sr-Cyrl-CS"/>
        </w:rPr>
        <w:t xml:space="preserve">у </w:t>
      </w:r>
      <w:r w:rsidR="003A3950">
        <w:rPr>
          <w:rFonts w:ascii="Times New Roman" w:hAnsi="Times New Roman"/>
          <w:sz w:val="24"/>
          <w:szCs w:val="24"/>
          <w:lang w:val="sr-Cyrl-CS"/>
        </w:rPr>
        <w:t>односу на пореског обвезника, пореску основицу, пореске стопе</w:t>
      </w:r>
      <w:r>
        <w:rPr>
          <w:rFonts w:ascii="Times New Roman" w:hAnsi="Times New Roman"/>
          <w:sz w:val="24"/>
          <w:szCs w:val="24"/>
          <w:lang w:val="sr-Cyrl-CS"/>
        </w:rPr>
        <w:t xml:space="preserve"> или </w:t>
      </w:r>
      <w:r w:rsidR="003A3950">
        <w:rPr>
          <w:rFonts w:ascii="Times New Roman" w:hAnsi="Times New Roman"/>
          <w:sz w:val="24"/>
          <w:szCs w:val="24"/>
          <w:lang w:val="sr-Cyrl-CS"/>
        </w:rPr>
        <w:t>износ</w:t>
      </w:r>
      <w:r>
        <w:rPr>
          <w:rFonts w:ascii="Times New Roman" w:hAnsi="Times New Roman"/>
          <w:sz w:val="24"/>
          <w:szCs w:val="24"/>
          <w:lang w:val="sr-Cyrl-CS"/>
        </w:rPr>
        <w:t xml:space="preserve"> пореских прихода, у </w:t>
      </w:r>
      <w:r w:rsidR="003A3950">
        <w:rPr>
          <w:rFonts w:ascii="Times New Roman" w:hAnsi="Times New Roman"/>
          <w:sz w:val="24"/>
          <w:szCs w:val="24"/>
          <w:lang w:val="sr-Cyrl-CS"/>
        </w:rPr>
        <w:t>односу на општи</w:t>
      </w:r>
      <w:r>
        <w:rPr>
          <w:rFonts w:ascii="Times New Roman" w:hAnsi="Times New Roman"/>
          <w:sz w:val="24"/>
          <w:szCs w:val="24"/>
          <w:lang w:val="sr-Cyrl-CS"/>
        </w:rPr>
        <w:t xml:space="preserve"> режи</w:t>
      </w:r>
      <w:r w:rsidR="003A3950">
        <w:rPr>
          <w:rFonts w:ascii="Times New Roman" w:hAnsi="Times New Roman"/>
          <w:sz w:val="24"/>
          <w:szCs w:val="24"/>
          <w:lang w:val="sr-Cyrl-CS"/>
        </w:rPr>
        <w:t>м</w:t>
      </w:r>
      <w:r>
        <w:rPr>
          <w:rFonts w:ascii="Times New Roman" w:hAnsi="Times New Roman"/>
          <w:sz w:val="24"/>
          <w:szCs w:val="24"/>
          <w:lang w:val="sr-Cyrl-CS"/>
        </w:rPr>
        <w:t xml:space="preserve"> ова четири елемента, који би законом био уређен у одсуству олакшица</w:t>
      </w:r>
      <w:r w:rsidR="004E0599">
        <w:rPr>
          <w:rFonts w:ascii="Times New Roman" w:hAnsi="Times New Roman"/>
          <w:sz w:val="24"/>
          <w:szCs w:val="24"/>
          <w:lang w:val="sr-Cyrl-CS"/>
        </w:rPr>
        <w:t>.</w:t>
      </w:r>
      <w:r w:rsidR="003A3950" w:rsidRPr="003A3950">
        <w:rPr>
          <w:rStyle w:val="FootnoteReference"/>
          <w:rFonts w:ascii="Times New Roman" w:hAnsi="Times New Roman"/>
          <w:sz w:val="24"/>
          <w:szCs w:val="24"/>
          <w:lang w:val="sr-Cyrl-CS"/>
        </w:rPr>
        <w:t xml:space="preserve"> </w:t>
      </w:r>
      <w:r w:rsidR="003A3950" w:rsidRPr="00216658">
        <w:rPr>
          <w:rStyle w:val="FootnoteReference"/>
          <w:rFonts w:ascii="Times New Roman" w:hAnsi="Times New Roman"/>
          <w:sz w:val="24"/>
          <w:szCs w:val="24"/>
          <w:lang w:val="sr-Cyrl-CS"/>
        </w:rPr>
        <w:footnoteReference w:id="25"/>
      </w:r>
      <w:r w:rsidR="003A3950">
        <w:rPr>
          <w:lang w:val="sr-Cyrl-CS"/>
        </w:rPr>
        <w:t xml:space="preserve"> </w:t>
      </w:r>
    </w:p>
    <w:p w:rsidR="004E0599" w:rsidRDefault="004E0599" w:rsidP="00D877F2">
      <w:pPr>
        <w:ind w:left="360" w:firstLine="348"/>
        <w:jc w:val="both"/>
        <w:rPr>
          <w:rFonts w:ascii="Times New Roman" w:hAnsi="Times New Roman"/>
          <w:sz w:val="24"/>
          <w:szCs w:val="24"/>
          <w:lang w:val="sr-Cyrl-CS"/>
        </w:rPr>
      </w:pPr>
      <w:r>
        <w:rPr>
          <w:rFonts w:ascii="Times New Roman" w:hAnsi="Times New Roman"/>
          <w:sz w:val="24"/>
          <w:szCs w:val="24"/>
          <w:lang w:val="sr-Cyrl-CS"/>
        </w:rPr>
        <w:t>Према начину пружања олакшица разликују се:</w:t>
      </w:r>
      <w:r w:rsidR="002F7F0A">
        <w:rPr>
          <w:rStyle w:val="FootnoteReference"/>
          <w:rFonts w:ascii="Times New Roman" w:hAnsi="Times New Roman"/>
          <w:sz w:val="24"/>
          <w:szCs w:val="24"/>
          <w:lang w:val="sr-Cyrl-CS"/>
        </w:rPr>
        <w:footnoteReference w:id="26"/>
      </w:r>
      <w:r w:rsidR="00216658">
        <w:rPr>
          <w:rFonts w:ascii="Times New Roman" w:hAnsi="Times New Roman"/>
          <w:sz w:val="24"/>
          <w:szCs w:val="24"/>
          <w:lang w:val="sr-Cyrl-CS"/>
        </w:rPr>
        <w:t xml:space="preserve"> </w:t>
      </w:r>
    </w:p>
    <w:p w:rsidR="004E0599" w:rsidRDefault="004E0599" w:rsidP="006F5DB4">
      <w:pPr>
        <w:ind w:left="360"/>
        <w:jc w:val="both"/>
        <w:rPr>
          <w:rFonts w:ascii="Times New Roman" w:hAnsi="Times New Roman"/>
          <w:sz w:val="24"/>
          <w:szCs w:val="24"/>
          <w:lang w:val="sr-Cyrl-CS"/>
        </w:rPr>
      </w:pPr>
      <w:r>
        <w:rPr>
          <w:rFonts w:ascii="Times New Roman" w:hAnsi="Times New Roman"/>
          <w:sz w:val="24"/>
          <w:szCs w:val="24"/>
          <w:lang w:val="sr-Cyrl-CS"/>
        </w:rPr>
        <w:t>-олакшице у погледу пореског обвезника које се дају обвезницима када се нађу у ситуацији која је предвиђена за</w:t>
      </w:r>
      <w:r w:rsidR="0006763C">
        <w:rPr>
          <w:rFonts w:ascii="Times New Roman" w:hAnsi="Times New Roman"/>
          <w:sz w:val="24"/>
          <w:szCs w:val="24"/>
          <w:lang w:val="sr-Cyrl-CS"/>
        </w:rPr>
        <w:t>конским описом чињеничног стања,</w:t>
      </w:r>
    </w:p>
    <w:p w:rsidR="004E0599" w:rsidRDefault="004E0599" w:rsidP="006F5DB4">
      <w:pPr>
        <w:ind w:left="360"/>
        <w:jc w:val="both"/>
        <w:rPr>
          <w:rFonts w:ascii="Times New Roman" w:hAnsi="Times New Roman"/>
          <w:sz w:val="24"/>
          <w:szCs w:val="24"/>
          <w:lang w:val="sr-Cyrl-CS"/>
        </w:rPr>
      </w:pPr>
      <w:r>
        <w:rPr>
          <w:rFonts w:ascii="Times New Roman" w:hAnsi="Times New Roman"/>
          <w:sz w:val="24"/>
          <w:szCs w:val="24"/>
          <w:lang w:val="sr-Cyrl-CS"/>
        </w:rPr>
        <w:t>-олакшице у погледу пореске основице</w:t>
      </w:r>
      <w:r w:rsidR="0006763C">
        <w:rPr>
          <w:rFonts w:ascii="Times New Roman" w:hAnsi="Times New Roman"/>
          <w:sz w:val="24"/>
          <w:szCs w:val="24"/>
          <w:lang w:val="sr-Cyrl-CS"/>
        </w:rPr>
        <w:t xml:space="preserve"> могу се огледати у виду изузимања одређених објеката од опорезивања или у виду одбитака за одређене ставке у поступку одређивања пореске основице,</w:t>
      </w:r>
    </w:p>
    <w:p w:rsidR="004E0599" w:rsidRDefault="004E0599" w:rsidP="006F5DB4">
      <w:pPr>
        <w:ind w:left="360"/>
        <w:jc w:val="both"/>
        <w:rPr>
          <w:rFonts w:ascii="Times New Roman" w:hAnsi="Times New Roman"/>
          <w:sz w:val="24"/>
          <w:szCs w:val="24"/>
          <w:lang w:val="sr-Cyrl-CS"/>
        </w:rPr>
      </w:pPr>
      <w:r>
        <w:rPr>
          <w:rFonts w:ascii="Times New Roman" w:hAnsi="Times New Roman"/>
          <w:sz w:val="24"/>
          <w:szCs w:val="24"/>
          <w:lang w:val="sr-Cyrl-CS"/>
        </w:rPr>
        <w:t>-олакшице у погледу висине пореске стопе</w:t>
      </w:r>
      <w:r w:rsidR="0006763C">
        <w:rPr>
          <w:rFonts w:ascii="Times New Roman" w:hAnsi="Times New Roman"/>
          <w:sz w:val="24"/>
          <w:szCs w:val="24"/>
          <w:lang w:val="sr-Cyrl-CS"/>
        </w:rPr>
        <w:t xml:space="preserve"> представљају снижење стопе обвезницима када се нађу у сит</w:t>
      </w:r>
      <w:r w:rsidR="00014B93">
        <w:rPr>
          <w:rFonts w:ascii="Times New Roman" w:hAnsi="Times New Roman"/>
          <w:sz w:val="24"/>
          <w:szCs w:val="24"/>
          <w:lang w:val="sr-Cyrl-CS"/>
        </w:rPr>
        <w:t>уацији предвиђеној законс</w:t>
      </w:r>
      <w:r w:rsidR="002F7F0A">
        <w:rPr>
          <w:rFonts w:ascii="Times New Roman" w:hAnsi="Times New Roman"/>
          <w:sz w:val="24"/>
          <w:szCs w:val="24"/>
          <w:lang w:val="sr-Cyrl-CS"/>
        </w:rPr>
        <w:t>к</w:t>
      </w:r>
      <w:r w:rsidR="00014B93">
        <w:rPr>
          <w:rFonts w:ascii="Times New Roman" w:hAnsi="Times New Roman"/>
          <w:sz w:val="24"/>
          <w:szCs w:val="24"/>
          <w:lang w:val="sr-Cyrl-CS"/>
        </w:rPr>
        <w:t>им</w:t>
      </w:r>
      <w:r w:rsidR="0006763C">
        <w:rPr>
          <w:rFonts w:ascii="Times New Roman" w:hAnsi="Times New Roman"/>
          <w:sz w:val="24"/>
          <w:szCs w:val="24"/>
          <w:lang w:val="sr-Cyrl-CS"/>
        </w:rPr>
        <w:t xml:space="preserve"> описом чињеничног стања,</w:t>
      </w:r>
    </w:p>
    <w:p w:rsidR="00BF7B9F" w:rsidRDefault="004E0599" w:rsidP="00DF3F8B">
      <w:pPr>
        <w:ind w:left="360"/>
        <w:jc w:val="both"/>
        <w:rPr>
          <w:rFonts w:ascii="Times New Roman" w:hAnsi="Times New Roman"/>
          <w:sz w:val="24"/>
          <w:szCs w:val="24"/>
          <w:lang w:val="sr-Cyrl-CS"/>
        </w:rPr>
      </w:pPr>
      <w:r>
        <w:rPr>
          <w:rFonts w:ascii="Times New Roman" w:hAnsi="Times New Roman"/>
          <w:sz w:val="24"/>
          <w:szCs w:val="24"/>
          <w:lang w:val="sr-Cyrl-CS"/>
        </w:rPr>
        <w:t>-олакшице у погледу висине обрачунатог пореза које представљају умањење пореског дуга. Оне се у начели могу одобрити пореском обвезнику, било у виду одбијања одређене суме од износа дугованог пореза, било у виду компензације обвезниковог пореског потраживања према држави са његовим пореским дугом</w:t>
      </w:r>
      <w:r w:rsidR="00343AE0">
        <w:rPr>
          <w:rFonts w:ascii="Times New Roman" w:hAnsi="Times New Roman"/>
          <w:sz w:val="24"/>
          <w:szCs w:val="24"/>
          <w:lang w:val="sr-Cyrl-CS"/>
        </w:rPr>
        <w:t>.</w:t>
      </w:r>
    </w:p>
    <w:p w:rsidR="00757DB5" w:rsidRDefault="00C86352" w:rsidP="008C3259">
      <w:pPr>
        <w:ind w:firstLine="360"/>
        <w:jc w:val="both"/>
        <w:rPr>
          <w:rFonts w:ascii="Times New Roman" w:hAnsi="Times New Roman"/>
          <w:sz w:val="24"/>
          <w:szCs w:val="24"/>
          <w:lang w:val="sr-Cyrl-CS"/>
        </w:rPr>
      </w:pPr>
      <w:r>
        <w:rPr>
          <w:rFonts w:ascii="Times New Roman" w:hAnsi="Times New Roman"/>
          <w:sz w:val="24"/>
          <w:szCs w:val="24"/>
          <w:lang w:val="sr-Cyrl-CS"/>
        </w:rPr>
        <w:t>Иако су порези основни облик или инстр</w:t>
      </w:r>
      <w:r w:rsidR="00B6295D">
        <w:rPr>
          <w:rFonts w:ascii="Times New Roman" w:hAnsi="Times New Roman"/>
          <w:sz w:val="24"/>
          <w:szCs w:val="24"/>
          <w:lang w:val="sr-Cyrl-CS"/>
        </w:rPr>
        <w:t xml:space="preserve">умент формирања јавних прихода, </w:t>
      </w:r>
      <w:r>
        <w:rPr>
          <w:rFonts w:ascii="Times New Roman" w:hAnsi="Times New Roman"/>
          <w:sz w:val="24"/>
          <w:szCs w:val="24"/>
          <w:lang w:val="sr-Cyrl-CS"/>
        </w:rPr>
        <w:t xml:space="preserve">покрића буџетских расхода и задовољавања јавних потреба, за сада не постоји јединствен став о томе шта су порези. То је можда због тога што су порези </w:t>
      </w:r>
      <w:r w:rsidR="00B6295D">
        <w:rPr>
          <w:rFonts w:ascii="Times New Roman" w:hAnsi="Times New Roman"/>
          <w:sz w:val="24"/>
          <w:szCs w:val="24"/>
          <w:lang w:val="sr-Cyrl-CS"/>
        </w:rPr>
        <w:t xml:space="preserve">историјска категорија и </w:t>
      </w:r>
      <w:r>
        <w:rPr>
          <w:rFonts w:ascii="Times New Roman" w:hAnsi="Times New Roman"/>
          <w:sz w:val="24"/>
          <w:szCs w:val="24"/>
          <w:lang w:val="sr-Cyrl-CS"/>
        </w:rPr>
        <w:t xml:space="preserve">директан рефлекс политичких, друштвено-економских и других односа и што се њихова садржина мењала паралелно са променама ових односа. Порези су </w:t>
      </w:r>
      <w:r w:rsidR="00B6295D">
        <w:rPr>
          <w:rFonts w:ascii="Times New Roman" w:hAnsi="Times New Roman"/>
          <w:sz w:val="24"/>
          <w:szCs w:val="24"/>
          <w:lang w:val="sr-Cyrl-CS"/>
        </w:rPr>
        <w:t>су</w:t>
      </w:r>
      <w:r>
        <w:rPr>
          <w:rFonts w:ascii="Times New Roman" w:hAnsi="Times New Roman"/>
          <w:sz w:val="24"/>
          <w:szCs w:val="24"/>
          <w:lang w:val="sr-Cyrl-CS"/>
        </w:rPr>
        <w:t xml:space="preserve"> се врло често мењал</w:t>
      </w:r>
      <w:r w:rsidR="00B6295D">
        <w:rPr>
          <w:rFonts w:ascii="Times New Roman" w:hAnsi="Times New Roman"/>
          <w:sz w:val="24"/>
          <w:szCs w:val="24"/>
          <w:lang w:val="sr-Cyrl-CS"/>
        </w:rPr>
        <w:t>и</w:t>
      </w:r>
      <w:r>
        <w:rPr>
          <w:rFonts w:ascii="Times New Roman" w:hAnsi="Times New Roman"/>
          <w:sz w:val="24"/>
          <w:szCs w:val="24"/>
          <w:lang w:val="sr-Cyrl-CS"/>
        </w:rPr>
        <w:t xml:space="preserve">  у готово свим временским периодима</w:t>
      </w:r>
      <w:r w:rsidRPr="00C86352">
        <w:rPr>
          <w:rFonts w:ascii="Times New Roman" w:hAnsi="Times New Roman"/>
          <w:sz w:val="24"/>
          <w:szCs w:val="24"/>
          <w:lang w:val="sr-Cyrl-CS"/>
        </w:rPr>
        <w:t xml:space="preserve"> </w:t>
      </w:r>
      <w:r>
        <w:rPr>
          <w:rFonts w:ascii="Times New Roman" w:hAnsi="Times New Roman"/>
          <w:sz w:val="24"/>
          <w:szCs w:val="24"/>
          <w:lang w:val="sr-Cyrl-CS"/>
        </w:rPr>
        <w:t>кро</w:t>
      </w:r>
      <w:r w:rsidR="00B6295D">
        <w:rPr>
          <w:rFonts w:ascii="Times New Roman" w:hAnsi="Times New Roman"/>
          <w:sz w:val="24"/>
          <w:szCs w:val="24"/>
          <w:lang w:val="sr-Cyrl-CS"/>
        </w:rPr>
        <w:t>з друштвено-економске формације</w:t>
      </w:r>
      <w:r w:rsidR="00757DB5">
        <w:rPr>
          <w:rFonts w:ascii="Times New Roman" w:hAnsi="Times New Roman"/>
          <w:sz w:val="24"/>
          <w:szCs w:val="24"/>
          <w:lang w:val="sr-Cyrl-CS"/>
        </w:rPr>
        <w:t>.</w:t>
      </w:r>
      <w:r w:rsidR="00757DB5">
        <w:rPr>
          <w:rStyle w:val="FootnoteReference"/>
          <w:rFonts w:ascii="Times New Roman" w:hAnsi="Times New Roman"/>
          <w:sz w:val="24"/>
          <w:szCs w:val="24"/>
          <w:lang w:val="sr-Cyrl-CS"/>
        </w:rPr>
        <w:footnoteReference w:id="27"/>
      </w:r>
      <w:r w:rsidR="00757DB5">
        <w:rPr>
          <w:rFonts w:ascii="Times New Roman" w:hAnsi="Times New Roman"/>
          <w:sz w:val="24"/>
          <w:szCs w:val="24"/>
          <w:lang w:val="sr-Cyrl-CS"/>
        </w:rPr>
        <w:t xml:space="preserve"> </w:t>
      </w:r>
      <w:r w:rsidR="008C3259">
        <w:rPr>
          <w:rFonts w:ascii="Times New Roman" w:hAnsi="Times New Roman"/>
          <w:sz w:val="24"/>
          <w:szCs w:val="24"/>
          <w:lang w:val="sr-Cyrl-CS"/>
        </w:rPr>
        <w:t xml:space="preserve"> </w:t>
      </w:r>
    </w:p>
    <w:p w:rsidR="005744DC" w:rsidRPr="00065FE5" w:rsidRDefault="00065FE5" w:rsidP="00065FE5">
      <w:pPr>
        <w:ind w:firstLine="360"/>
        <w:jc w:val="both"/>
        <w:rPr>
          <w:rFonts w:ascii="Times New Roman" w:hAnsi="Times New Roman"/>
          <w:sz w:val="24"/>
          <w:szCs w:val="24"/>
          <w:lang w:val="sr-Cyrl-CS"/>
        </w:rPr>
      </w:pPr>
      <w:r>
        <w:rPr>
          <w:rFonts w:ascii="Times New Roman" w:hAnsi="Times New Roman"/>
          <w:sz w:val="24"/>
          <w:szCs w:val="24"/>
          <w:lang w:val="sr-Cyrl-CS"/>
        </w:rPr>
        <w:lastRenderedPageBreak/>
        <w:t>Дакле, м</w:t>
      </w:r>
      <w:r w:rsidR="007B65C6">
        <w:rPr>
          <w:rFonts w:ascii="Times New Roman" w:hAnsi="Times New Roman"/>
          <w:sz w:val="24"/>
          <w:szCs w:val="24"/>
          <w:lang w:val="sr-Cyrl-CS"/>
        </w:rPr>
        <w:t>ног</w:t>
      </w:r>
      <w:r w:rsidR="008A6D7E">
        <w:rPr>
          <w:rFonts w:ascii="Times New Roman" w:hAnsi="Times New Roman"/>
          <w:sz w:val="24"/>
          <w:szCs w:val="24"/>
          <w:lang w:val="sr-Cyrl-CS"/>
        </w:rPr>
        <w:t xml:space="preserve">обројни су покушаји да се дође до </w:t>
      </w:r>
      <w:r w:rsidR="008A6D7E" w:rsidRPr="00B85325">
        <w:rPr>
          <w:rFonts w:ascii="Times New Roman" w:hAnsi="Times New Roman"/>
          <w:sz w:val="24"/>
          <w:szCs w:val="24"/>
          <w:lang w:val="sr-Cyrl-CS"/>
        </w:rPr>
        <w:t>јединствене дефиниције пореза</w:t>
      </w:r>
      <w:r w:rsidR="008A6D7E">
        <w:rPr>
          <w:rFonts w:ascii="Times New Roman" w:hAnsi="Times New Roman"/>
          <w:sz w:val="24"/>
          <w:szCs w:val="24"/>
          <w:lang w:val="sr-Cyrl-CS"/>
        </w:rPr>
        <w:t>, која би била општеприхваћена, али то није постигнуто до данас</w:t>
      </w:r>
      <w:r w:rsidR="00757DB5">
        <w:rPr>
          <w:rFonts w:ascii="Times New Roman" w:hAnsi="Times New Roman"/>
          <w:sz w:val="24"/>
          <w:szCs w:val="24"/>
          <w:lang w:val="sr-Cyrl-CS"/>
        </w:rPr>
        <w:t xml:space="preserve">. </w:t>
      </w:r>
      <w:r w:rsidR="00603EAF">
        <w:rPr>
          <w:rFonts w:ascii="Times New Roman" w:hAnsi="Times New Roman"/>
          <w:sz w:val="24"/>
          <w:szCs w:val="24"/>
          <w:lang w:val="sr-Cyrl-CS"/>
        </w:rPr>
        <w:t xml:space="preserve">Порез је постојао још у старој Грчкој и Риму, затим у феудализму, али се највише развио у капитализму, јер се интерес за изучавање пореза посебно развијао у капитализму, па отуда у том систему има највећи број дефиниција пореза. </w:t>
      </w:r>
      <w:r w:rsidR="003D52C0">
        <w:rPr>
          <w:rFonts w:ascii="Times New Roman" w:hAnsi="Times New Roman"/>
          <w:sz w:val="24"/>
          <w:szCs w:val="24"/>
          <w:lang w:val="sr-Cyrl-CS"/>
        </w:rPr>
        <w:t xml:space="preserve">Значај пореза у капитализму тесно је повезан са повећањем броја задатака капиталистичке државе и са проширењем њених функција. </w:t>
      </w:r>
    </w:p>
    <w:p w:rsidR="00B51469" w:rsidRPr="00632914" w:rsidRDefault="00065FE5" w:rsidP="00B51469">
      <w:pPr>
        <w:ind w:firstLine="708"/>
        <w:jc w:val="both"/>
        <w:rPr>
          <w:rFonts w:ascii="Times New Roman" w:hAnsi="Times New Roman"/>
          <w:sz w:val="24"/>
          <w:szCs w:val="24"/>
          <w:lang w:val="sr-Cyrl-CS"/>
        </w:rPr>
      </w:pPr>
      <w:r>
        <w:rPr>
          <w:rFonts w:ascii="Times New Roman" w:hAnsi="Times New Roman"/>
          <w:sz w:val="24"/>
          <w:szCs w:val="24"/>
          <w:lang w:val="sr-Cyrl-CS"/>
        </w:rPr>
        <w:t>Д</w:t>
      </w:r>
      <w:r w:rsidR="008A6D7E">
        <w:rPr>
          <w:rFonts w:ascii="Times New Roman" w:hAnsi="Times New Roman"/>
          <w:sz w:val="24"/>
          <w:szCs w:val="24"/>
          <w:lang w:val="sr-Cyrl-CS"/>
        </w:rPr>
        <w:t xml:space="preserve">ефиниције пореза </w:t>
      </w:r>
      <w:r>
        <w:rPr>
          <w:rFonts w:ascii="Times New Roman" w:hAnsi="Times New Roman"/>
          <w:sz w:val="24"/>
          <w:szCs w:val="24"/>
          <w:lang w:val="sr-Cyrl-CS"/>
        </w:rPr>
        <w:t xml:space="preserve">се </w:t>
      </w:r>
      <w:r w:rsidR="008A6D7E">
        <w:rPr>
          <w:rFonts w:ascii="Times New Roman" w:hAnsi="Times New Roman"/>
          <w:sz w:val="24"/>
          <w:szCs w:val="24"/>
          <w:lang w:val="sr-Cyrl-CS"/>
        </w:rPr>
        <w:t xml:space="preserve">разликују у зависности </w:t>
      </w:r>
      <w:r>
        <w:rPr>
          <w:rFonts w:ascii="Times New Roman" w:hAnsi="Times New Roman"/>
          <w:sz w:val="24"/>
          <w:szCs w:val="24"/>
          <w:lang w:val="sr-Cyrl-CS"/>
        </w:rPr>
        <w:t xml:space="preserve">од времена у коме су настале и биле су одраз тог времена и друштвено-политичке организованости </w:t>
      </w:r>
      <w:r w:rsidR="00B51469">
        <w:rPr>
          <w:rFonts w:ascii="Times New Roman" w:hAnsi="Times New Roman"/>
          <w:sz w:val="24"/>
          <w:szCs w:val="24"/>
          <w:lang w:val="sr-Cyrl-CS"/>
        </w:rPr>
        <w:t xml:space="preserve">друштва, а пре свега су биле </w:t>
      </w:r>
      <w:r>
        <w:rPr>
          <w:rFonts w:ascii="Times New Roman" w:hAnsi="Times New Roman"/>
          <w:sz w:val="24"/>
          <w:szCs w:val="24"/>
          <w:lang w:val="sr-Cyrl-CS"/>
        </w:rPr>
        <w:t xml:space="preserve">одраз интереса друштва и класе која је на власти. </w:t>
      </w:r>
      <w:r w:rsidR="00B51469">
        <w:rPr>
          <w:rFonts w:ascii="Times New Roman" w:hAnsi="Times New Roman"/>
          <w:sz w:val="24"/>
          <w:szCs w:val="24"/>
          <w:lang w:val="sr-Cyrl-CS"/>
        </w:rPr>
        <w:t>Навешћемо нека схватања пореза и покушаје дефинисања пореза и одређивања његових елемената у циљу разликовања од других облика јавних прихода, бољег разумевања његове суштине и самим тим начина његовог избегавања.</w:t>
      </w:r>
      <w:r w:rsidR="00EA4169">
        <w:rPr>
          <w:rFonts w:ascii="Times New Roman" w:hAnsi="Times New Roman"/>
          <w:sz w:val="24"/>
          <w:szCs w:val="24"/>
        </w:rPr>
        <w:t xml:space="preserve"> </w:t>
      </w:r>
    </w:p>
    <w:p w:rsidR="000D3CDE" w:rsidRDefault="008C3259" w:rsidP="00D35305">
      <w:pPr>
        <w:ind w:firstLine="708"/>
        <w:jc w:val="both"/>
        <w:rPr>
          <w:rFonts w:ascii="Times New Roman" w:hAnsi="Times New Roman"/>
          <w:sz w:val="24"/>
          <w:szCs w:val="24"/>
          <w:lang w:val="sr-Cyrl-CS"/>
        </w:rPr>
      </w:pPr>
      <w:r>
        <w:rPr>
          <w:rFonts w:ascii="Times New Roman" w:hAnsi="Times New Roman"/>
          <w:sz w:val="24"/>
          <w:szCs w:val="24"/>
          <w:lang w:val="sr-Cyrl-CS"/>
        </w:rPr>
        <w:t>Према схватању Јована Ловчевића „политички колективитет</w:t>
      </w:r>
      <w:r w:rsidR="000D3CDE">
        <w:rPr>
          <w:rFonts w:ascii="Times New Roman" w:hAnsi="Times New Roman"/>
          <w:sz w:val="24"/>
          <w:szCs w:val="24"/>
          <w:lang w:val="sr-Cyrl-CS"/>
        </w:rPr>
        <w:t xml:space="preserve"> од субјеката под својом пореском влашћу принудно узима средства, без непос</w:t>
      </w:r>
      <w:r w:rsidR="00D35305">
        <w:rPr>
          <w:rFonts w:ascii="Times New Roman" w:hAnsi="Times New Roman"/>
          <w:sz w:val="24"/>
          <w:szCs w:val="24"/>
          <w:lang w:val="sr-Cyrl-CS"/>
        </w:rPr>
        <w:t>редне противуслуге</w:t>
      </w:r>
      <w:r>
        <w:rPr>
          <w:rFonts w:ascii="Times New Roman" w:hAnsi="Times New Roman"/>
          <w:sz w:val="24"/>
          <w:szCs w:val="24"/>
          <w:lang w:val="sr-Cyrl-CS"/>
        </w:rPr>
        <w:t>,</w:t>
      </w:r>
      <w:r w:rsidR="00D35305">
        <w:rPr>
          <w:rFonts w:ascii="Times New Roman" w:hAnsi="Times New Roman"/>
          <w:sz w:val="24"/>
          <w:szCs w:val="24"/>
          <w:lang w:val="sr-Cyrl-CS"/>
        </w:rPr>
        <w:t xml:space="preserve"> у сврху покри</w:t>
      </w:r>
      <w:r w:rsidR="000D3CDE">
        <w:rPr>
          <w:rFonts w:ascii="Times New Roman" w:hAnsi="Times New Roman"/>
          <w:sz w:val="24"/>
          <w:szCs w:val="24"/>
          <w:lang w:val="sr-Cyrl-CS"/>
        </w:rPr>
        <w:t>вања својих финансијских потреба и постизања осталих јавних, првенствено економских и социјалних циљева.</w:t>
      </w:r>
      <w:r>
        <w:rPr>
          <w:rFonts w:ascii="Times New Roman" w:hAnsi="Times New Roman"/>
          <w:sz w:val="24"/>
          <w:szCs w:val="24"/>
          <w:lang w:val="sr-Cyrl-CS"/>
        </w:rPr>
        <w:t>“</w:t>
      </w:r>
      <w:r w:rsidR="000D3CDE">
        <w:rPr>
          <w:rStyle w:val="FootnoteReference"/>
          <w:rFonts w:ascii="Times New Roman" w:hAnsi="Times New Roman"/>
          <w:sz w:val="24"/>
          <w:szCs w:val="24"/>
          <w:lang w:val="sr-Cyrl-CS"/>
        </w:rPr>
        <w:footnoteReference w:id="28"/>
      </w:r>
      <w:r w:rsidR="00D35305">
        <w:rPr>
          <w:rFonts w:ascii="Times New Roman" w:hAnsi="Times New Roman"/>
          <w:sz w:val="24"/>
          <w:szCs w:val="24"/>
          <w:lang w:val="sr-Cyrl-CS"/>
        </w:rPr>
        <w:t xml:space="preserve"> </w:t>
      </w:r>
    </w:p>
    <w:p w:rsidR="00C1187E" w:rsidRDefault="008C3259" w:rsidP="00D35305">
      <w:pPr>
        <w:ind w:firstLine="360"/>
        <w:jc w:val="both"/>
        <w:rPr>
          <w:rFonts w:ascii="Times New Roman" w:hAnsi="Times New Roman"/>
          <w:sz w:val="24"/>
          <w:szCs w:val="24"/>
          <w:lang w:val="sr-Cyrl-CS"/>
        </w:rPr>
      </w:pPr>
      <w:r>
        <w:rPr>
          <w:rFonts w:ascii="Times New Roman" w:hAnsi="Times New Roman"/>
          <w:sz w:val="24"/>
          <w:szCs w:val="24"/>
          <w:lang w:val="sr-Cyrl-CS"/>
        </w:rPr>
        <w:t xml:space="preserve">Према </w:t>
      </w:r>
      <w:r w:rsidR="00FE687B">
        <w:rPr>
          <w:rFonts w:ascii="Times New Roman" w:hAnsi="Times New Roman"/>
          <w:sz w:val="24"/>
          <w:szCs w:val="24"/>
          <w:lang w:val="sr-Cyrl-CS"/>
        </w:rPr>
        <w:t>Милану Тодоровићу „п</w:t>
      </w:r>
      <w:r w:rsidR="00C1187E">
        <w:rPr>
          <w:rFonts w:ascii="Times New Roman" w:hAnsi="Times New Roman"/>
          <w:sz w:val="24"/>
          <w:szCs w:val="24"/>
          <w:lang w:val="sr-Cyrl-CS"/>
        </w:rPr>
        <w:t>орез је државни приход у форми намета, који држава једнострано одређује и силом своје власти узима од свих лица, која се налазе (с</w:t>
      </w:r>
      <w:r w:rsidR="00D35305">
        <w:rPr>
          <w:rFonts w:ascii="Times New Roman" w:hAnsi="Times New Roman"/>
          <w:sz w:val="24"/>
          <w:szCs w:val="24"/>
          <w:lang w:val="sr-Cyrl-CS"/>
        </w:rPr>
        <w:t>тоје) под њеном пореском влашћу.</w:t>
      </w:r>
      <w:r w:rsidR="00C1187E">
        <w:rPr>
          <w:rFonts w:ascii="Times New Roman" w:hAnsi="Times New Roman"/>
          <w:sz w:val="24"/>
          <w:szCs w:val="24"/>
          <w:lang w:val="sr-Cyrl-CS"/>
        </w:rPr>
        <w:t xml:space="preserve"> </w:t>
      </w:r>
      <w:r>
        <w:rPr>
          <w:rFonts w:ascii="Times New Roman" w:hAnsi="Times New Roman"/>
          <w:sz w:val="24"/>
          <w:szCs w:val="24"/>
          <w:lang w:val="sr-Cyrl-CS"/>
        </w:rPr>
        <w:t>Овај приход који сваки поједини</w:t>
      </w:r>
      <w:r w:rsidR="00C1187E">
        <w:rPr>
          <w:rFonts w:ascii="Times New Roman" w:hAnsi="Times New Roman"/>
          <w:sz w:val="24"/>
          <w:szCs w:val="24"/>
          <w:lang w:val="sr-Cyrl-CS"/>
        </w:rPr>
        <w:t xml:space="preserve"> порески обвезник има да плати, одређује се према његовој пореској снази.</w:t>
      </w:r>
      <w:r w:rsidR="00FE687B">
        <w:rPr>
          <w:rFonts w:ascii="Times New Roman" w:hAnsi="Times New Roman"/>
          <w:sz w:val="24"/>
          <w:szCs w:val="24"/>
          <w:lang w:val="sr-Cyrl-CS"/>
        </w:rPr>
        <w:t>“</w:t>
      </w:r>
      <w:r w:rsidR="00C1187E">
        <w:rPr>
          <w:rStyle w:val="FootnoteReference"/>
          <w:rFonts w:ascii="Times New Roman" w:hAnsi="Times New Roman"/>
          <w:sz w:val="24"/>
          <w:szCs w:val="24"/>
          <w:lang w:val="sr-Cyrl-CS"/>
        </w:rPr>
        <w:footnoteReference w:id="29"/>
      </w:r>
      <w:r w:rsidR="00D35305">
        <w:rPr>
          <w:rFonts w:ascii="Times New Roman" w:hAnsi="Times New Roman"/>
          <w:sz w:val="24"/>
          <w:szCs w:val="24"/>
          <w:lang w:val="sr-Cyrl-CS"/>
        </w:rPr>
        <w:t xml:space="preserve"> </w:t>
      </w:r>
    </w:p>
    <w:p w:rsidR="00D35305" w:rsidRDefault="00795E78" w:rsidP="00D35305">
      <w:pPr>
        <w:ind w:firstLine="360"/>
        <w:jc w:val="both"/>
        <w:rPr>
          <w:rFonts w:ascii="Times New Roman" w:hAnsi="Times New Roman"/>
          <w:sz w:val="24"/>
          <w:szCs w:val="24"/>
          <w:lang w:val="sr-Cyrl-CS"/>
        </w:rPr>
      </w:pPr>
      <w:r>
        <w:rPr>
          <w:rFonts w:ascii="Times New Roman" w:hAnsi="Times New Roman"/>
          <w:sz w:val="24"/>
          <w:szCs w:val="24"/>
          <w:lang w:val="sr-Cyrl-CS"/>
        </w:rPr>
        <w:t xml:space="preserve">Према Дејану Поповићу „порез представља </w:t>
      </w:r>
      <w:r w:rsidR="00757DB5" w:rsidRPr="00D35305">
        <w:rPr>
          <w:rFonts w:ascii="Times New Roman" w:hAnsi="Times New Roman"/>
          <w:sz w:val="24"/>
          <w:szCs w:val="24"/>
          <w:lang w:val="sr-Cyrl-CS"/>
        </w:rPr>
        <w:t>инструмент јавних прихода којим</w:t>
      </w:r>
      <w:r w:rsidR="00757DB5">
        <w:rPr>
          <w:rFonts w:ascii="Times New Roman" w:hAnsi="Times New Roman"/>
          <w:sz w:val="24"/>
          <w:szCs w:val="24"/>
          <w:lang w:val="sr-Cyrl-CS"/>
        </w:rPr>
        <w:t xml:space="preserve"> држава (укључујући и ниже политичко-територијалне заједнице), од субјеката под њеном пореском влашћу (физичких и правних лица), принудно узима новчана средства, без непосредне противуслуге, у сврху прикривања властитих издатака и постизања других, првенствено економских и социјалних циљева.</w:t>
      </w:r>
      <w:r>
        <w:rPr>
          <w:rFonts w:ascii="Times New Roman" w:hAnsi="Times New Roman"/>
          <w:sz w:val="24"/>
          <w:szCs w:val="24"/>
          <w:lang w:val="sr-Cyrl-CS"/>
        </w:rPr>
        <w:t>“</w:t>
      </w:r>
      <w:r w:rsidR="00757DB5">
        <w:rPr>
          <w:rStyle w:val="FootnoteReference"/>
          <w:rFonts w:ascii="Times New Roman" w:hAnsi="Times New Roman"/>
          <w:sz w:val="24"/>
          <w:szCs w:val="24"/>
          <w:lang w:val="sr-Cyrl-CS"/>
        </w:rPr>
        <w:footnoteReference w:id="30"/>
      </w:r>
    </w:p>
    <w:p w:rsidR="00BA36C1" w:rsidRDefault="00C1187E" w:rsidP="00BA36C1">
      <w:pPr>
        <w:ind w:firstLine="360"/>
        <w:jc w:val="both"/>
        <w:rPr>
          <w:rFonts w:ascii="Times New Roman" w:hAnsi="Times New Roman"/>
          <w:sz w:val="24"/>
          <w:szCs w:val="24"/>
          <w:lang w:val="sr-Cyrl-CS"/>
        </w:rPr>
      </w:pPr>
      <w:r>
        <w:rPr>
          <w:rFonts w:ascii="Times New Roman" w:hAnsi="Times New Roman"/>
          <w:sz w:val="24"/>
          <w:szCs w:val="24"/>
          <w:lang w:val="sr-Cyrl-CS"/>
        </w:rPr>
        <w:t>Из оваквих дефиниција</w:t>
      </w:r>
      <w:r w:rsidR="00D30EDF">
        <w:rPr>
          <w:rFonts w:ascii="Times New Roman" w:hAnsi="Times New Roman"/>
          <w:sz w:val="24"/>
          <w:szCs w:val="24"/>
          <w:lang w:val="sr-Cyrl-CS"/>
        </w:rPr>
        <w:t xml:space="preserve"> произилазе следеће карактеристике пореза</w:t>
      </w:r>
      <w:r w:rsidR="00EA35DB">
        <w:rPr>
          <w:rFonts w:ascii="Times New Roman" w:hAnsi="Times New Roman"/>
          <w:sz w:val="24"/>
          <w:szCs w:val="24"/>
          <w:lang w:val="sr-Cyrl-CS"/>
        </w:rPr>
        <w:t xml:space="preserve"> и пореске политике</w:t>
      </w:r>
      <w:r w:rsidR="00D30EDF">
        <w:rPr>
          <w:rFonts w:ascii="Times New Roman" w:hAnsi="Times New Roman"/>
          <w:sz w:val="24"/>
          <w:szCs w:val="24"/>
          <w:lang w:val="sr-Cyrl-CS"/>
        </w:rPr>
        <w:t>, којим се они разликују од других облика јавних прихода.</w:t>
      </w:r>
    </w:p>
    <w:p w:rsidR="00BA36C1" w:rsidRPr="00BA36C1" w:rsidRDefault="00D30EDF" w:rsidP="008A3795">
      <w:pPr>
        <w:numPr>
          <w:ilvl w:val="0"/>
          <w:numId w:val="11"/>
        </w:numPr>
        <w:jc w:val="both"/>
        <w:rPr>
          <w:rFonts w:ascii="Times New Roman" w:hAnsi="Times New Roman"/>
          <w:sz w:val="24"/>
          <w:szCs w:val="24"/>
          <w:lang w:val="sr-Cyrl-CS"/>
        </w:rPr>
      </w:pPr>
      <w:r>
        <w:rPr>
          <w:rFonts w:ascii="Times New Roman" w:hAnsi="Times New Roman"/>
          <w:sz w:val="24"/>
          <w:szCs w:val="24"/>
          <w:lang w:val="sr-Cyrl-CS"/>
        </w:rPr>
        <w:t>Присилност пореза</w:t>
      </w:r>
      <w:r w:rsidR="000D4C82">
        <w:rPr>
          <w:rFonts w:ascii="Times New Roman" w:hAnsi="Times New Roman"/>
          <w:sz w:val="24"/>
          <w:szCs w:val="24"/>
          <w:lang w:val="sr-Cyrl-CS"/>
        </w:rPr>
        <w:t xml:space="preserve"> при плаћању </w:t>
      </w:r>
      <w:r w:rsidR="00E3018D">
        <w:rPr>
          <w:rFonts w:ascii="Times New Roman" w:hAnsi="Times New Roman"/>
          <w:sz w:val="24"/>
          <w:szCs w:val="24"/>
          <w:lang w:val="sr-Cyrl-CS"/>
        </w:rPr>
        <w:t xml:space="preserve">  </w:t>
      </w:r>
    </w:p>
    <w:p w:rsidR="00F25FA9" w:rsidRDefault="00442ED1" w:rsidP="00E3018D">
      <w:pPr>
        <w:ind w:firstLine="360"/>
        <w:jc w:val="both"/>
        <w:rPr>
          <w:rFonts w:ascii="Times New Roman" w:hAnsi="Times New Roman"/>
          <w:sz w:val="24"/>
          <w:szCs w:val="24"/>
          <w:lang w:val="sr-Cyrl-CS"/>
        </w:rPr>
      </w:pPr>
      <w:r>
        <w:rPr>
          <w:rFonts w:ascii="Times New Roman" w:hAnsi="Times New Roman"/>
          <w:sz w:val="24"/>
          <w:szCs w:val="24"/>
          <w:lang w:val="sr-Cyrl-CS"/>
        </w:rPr>
        <w:t>П</w:t>
      </w:r>
      <w:r w:rsidR="00F25FA9">
        <w:rPr>
          <w:rFonts w:ascii="Times New Roman" w:hAnsi="Times New Roman"/>
          <w:sz w:val="24"/>
          <w:szCs w:val="24"/>
          <w:lang w:val="sr-Cyrl-CS"/>
        </w:rPr>
        <w:t xml:space="preserve">орезима </w:t>
      </w:r>
      <w:r>
        <w:rPr>
          <w:rFonts w:ascii="Times New Roman" w:hAnsi="Times New Roman"/>
          <w:sz w:val="24"/>
          <w:szCs w:val="24"/>
          <w:lang w:val="sr-Cyrl-CS"/>
        </w:rPr>
        <w:t xml:space="preserve">се </w:t>
      </w:r>
      <w:r w:rsidR="00E12F73">
        <w:rPr>
          <w:rFonts w:ascii="Times New Roman" w:hAnsi="Times New Roman"/>
          <w:sz w:val="24"/>
          <w:szCs w:val="24"/>
          <w:lang w:val="sr-Cyrl-CS"/>
        </w:rPr>
        <w:t>умањује расположиви доходак, одн</w:t>
      </w:r>
      <w:r w:rsidR="00F25FA9">
        <w:rPr>
          <w:rFonts w:ascii="Times New Roman" w:hAnsi="Times New Roman"/>
          <w:sz w:val="24"/>
          <w:szCs w:val="24"/>
          <w:lang w:val="sr-Cyrl-CS"/>
        </w:rPr>
        <w:t>осно имовина физичких и п</w:t>
      </w:r>
      <w:r w:rsidR="00E12F73">
        <w:rPr>
          <w:rFonts w:ascii="Times New Roman" w:hAnsi="Times New Roman"/>
          <w:sz w:val="24"/>
          <w:szCs w:val="24"/>
          <w:lang w:val="sr-Cyrl-CS"/>
        </w:rPr>
        <w:t>р</w:t>
      </w:r>
      <w:r w:rsidR="00F25FA9">
        <w:rPr>
          <w:rFonts w:ascii="Times New Roman" w:hAnsi="Times New Roman"/>
          <w:sz w:val="24"/>
          <w:szCs w:val="24"/>
          <w:lang w:val="sr-Cyrl-CS"/>
        </w:rPr>
        <w:t xml:space="preserve">авних лица </w:t>
      </w:r>
      <w:r>
        <w:rPr>
          <w:rFonts w:ascii="Times New Roman" w:hAnsi="Times New Roman"/>
          <w:sz w:val="24"/>
          <w:szCs w:val="24"/>
          <w:lang w:val="sr-Cyrl-CS"/>
        </w:rPr>
        <w:t>па отуда</w:t>
      </w:r>
      <w:r w:rsidR="00F25FA9">
        <w:rPr>
          <w:rFonts w:ascii="Times New Roman" w:hAnsi="Times New Roman"/>
          <w:sz w:val="24"/>
          <w:szCs w:val="24"/>
          <w:lang w:val="sr-Cyrl-CS"/>
        </w:rPr>
        <w:t xml:space="preserve"> та лица у начелу неће радо прихватити обавезу плаћања поре</w:t>
      </w:r>
      <w:r>
        <w:rPr>
          <w:rFonts w:ascii="Times New Roman" w:hAnsi="Times New Roman"/>
          <w:sz w:val="24"/>
          <w:szCs w:val="24"/>
          <w:lang w:val="sr-Cyrl-CS"/>
        </w:rPr>
        <w:t>за. У демократским друштвима је по правилу битно да се порез убира у такве намене које ће имати подршку</w:t>
      </w:r>
      <w:r w:rsidR="00F25FA9">
        <w:rPr>
          <w:rFonts w:ascii="Times New Roman" w:hAnsi="Times New Roman"/>
          <w:sz w:val="24"/>
          <w:szCs w:val="24"/>
          <w:lang w:val="sr-Cyrl-CS"/>
        </w:rPr>
        <w:t xml:space="preserve"> већине бирачког тела. </w:t>
      </w:r>
      <w:r>
        <w:rPr>
          <w:rFonts w:ascii="Times New Roman" w:hAnsi="Times New Roman"/>
          <w:sz w:val="24"/>
          <w:szCs w:val="24"/>
          <w:lang w:val="sr-Cyrl-CS"/>
        </w:rPr>
        <w:t>Међутим, чак и када постоји подршка од стране грађана то не значи да ће они радо плаћати порез и због тога</w:t>
      </w:r>
      <w:r w:rsidR="00F25FA9">
        <w:rPr>
          <w:rFonts w:ascii="Times New Roman" w:hAnsi="Times New Roman"/>
          <w:sz w:val="24"/>
          <w:szCs w:val="24"/>
          <w:lang w:val="sr-Cyrl-CS"/>
        </w:rPr>
        <w:t xml:space="preserve"> наплата пореза у свим саврем</w:t>
      </w:r>
      <w:r>
        <w:rPr>
          <w:rFonts w:ascii="Times New Roman" w:hAnsi="Times New Roman"/>
          <w:sz w:val="24"/>
          <w:szCs w:val="24"/>
          <w:lang w:val="sr-Cyrl-CS"/>
        </w:rPr>
        <w:t xml:space="preserve">еним државама почива на присили, па ако </w:t>
      </w:r>
      <w:r w:rsidR="00D55269">
        <w:rPr>
          <w:rFonts w:ascii="Times New Roman" w:hAnsi="Times New Roman"/>
          <w:sz w:val="24"/>
          <w:szCs w:val="24"/>
          <w:lang w:val="sr-Cyrl-CS"/>
        </w:rPr>
        <w:t xml:space="preserve">се у редовном поступку не подмири </w:t>
      </w:r>
      <w:r w:rsidR="00D55269">
        <w:rPr>
          <w:rFonts w:ascii="Times New Roman" w:hAnsi="Times New Roman"/>
          <w:sz w:val="24"/>
          <w:szCs w:val="24"/>
          <w:lang w:val="sr-Cyrl-CS"/>
        </w:rPr>
        <w:lastRenderedPageBreak/>
        <w:t>пореска оба</w:t>
      </w:r>
      <w:r w:rsidR="00E3018D">
        <w:rPr>
          <w:rFonts w:ascii="Times New Roman" w:hAnsi="Times New Roman"/>
          <w:sz w:val="24"/>
          <w:szCs w:val="24"/>
          <w:lang w:val="sr-Cyrl-CS"/>
        </w:rPr>
        <w:t>в</w:t>
      </w:r>
      <w:r w:rsidR="00D55269">
        <w:rPr>
          <w:rFonts w:ascii="Times New Roman" w:hAnsi="Times New Roman"/>
          <w:sz w:val="24"/>
          <w:szCs w:val="24"/>
          <w:lang w:val="sr-Cyrl-CS"/>
        </w:rPr>
        <w:t xml:space="preserve">еза, прибегава се принудној наплати, коју држава обезбеђује применом свог апарата силе. </w:t>
      </w:r>
      <w:r w:rsidR="00F25FA9">
        <w:rPr>
          <w:rFonts w:ascii="Times New Roman" w:hAnsi="Times New Roman"/>
          <w:sz w:val="24"/>
          <w:szCs w:val="24"/>
          <w:lang w:val="sr-Cyrl-CS"/>
        </w:rPr>
        <w:t xml:space="preserve">Када </w:t>
      </w:r>
      <w:r>
        <w:rPr>
          <w:rFonts w:ascii="Times New Roman" w:hAnsi="Times New Roman"/>
          <w:sz w:val="24"/>
          <w:szCs w:val="24"/>
          <w:lang w:val="sr-Cyrl-CS"/>
        </w:rPr>
        <w:t xml:space="preserve">се деси опорезиви догађај, односно када </w:t>
      </w:r>
      <w:r w:rsidR="00F25FA9">
        <w:rPr>
          <w:rFonts w:ascii="Times New Roman" w:hAnsi="Times New Roman"/>
          <w:sz w:val="24"/>
          <w:szCs w:val="24"/>
          <w:lang w:val="sr-Cyrl-CS"/>
        </w:rPr>
        <w:t xml:space="preserve">неко лице оствари приход, стекне имовину </w:t>
      </w:r>
      <w:r>
        <w:rPr>
          <w:rFonts w:ascii="Times New Roman" w:hAnsi="Times New Roman"/>
          <w:sz w:val="24"/>
          <w:szCs w:val="24"/>
          <w:lang w:val="sr-Cyrl-CS"/>
        </w:rPr>
        <w:t xml:space="preserve">или обавља какву трансакцију, </w:t>
      </w:r>
      <w:r w:rsidR="00E3018D">
        <w:rPr>
          <w:rFonts w:ascii="Times New Roman" w:hAnsi="Times New Roman"/>
          <w:sz w:val="24"/>
          <w:szCs w:val="24"/>
          <w:lang w:val="sr-Cyrl-CS"/>
        </w:rPr>
        <w:t>то лице постаје оба</w:t>
      </w:r>
      <w:r w:rsidR="00F25FA9">
        <w:rPr>
          <w:rFonts w:ascii="Times New Roman" w:hAnsi="Times New Roman"/>
          <w:sz w:val="24"/>
          <w:szCs w:val="24"/>
          <w:lang w:val="sr-Cyrl-CS"/>
        </w:rPr>
        <w:t>везно да порез плати.</w:t>
      </w:r>
      <w:r w:rsidR="00F25FA9">
        <w:rPr>
          <w:rStyle w:val="FootnoteReference"/>
          <w:rFonts w:ascii="Times New Roman" w:hAnsi="Times New Roman"/>
          <w:sz w:val="24"/>
          <w:szCs w:val="24"/>
          <w:lang w:val="sr-Cyrl-CS"/>
        </w:rPr>
        <w:footnoteReference w:id="31"/>
      </w:r>
      <w:r w:rsidR="00E3018D">
        <w:rPr>
          <w:rFonts w:ascii="Times New Roman" w:hAnsi="Times New Roman"/>
          <w:sz w:val="24"/>
          <w:szCs w:val="24"/>
          <w:lang w:val="sr-Cyrl-CS"/>
        </w:rPr>
        <w:t xml:space="preserve"> </w:t>
      </w:r>
    </w:p>
    <w:p w:rsidR="00757DB5" w:rsidRDefault="00CA4231" w:rsidP="00463B8E">
      <w:pPr>
        <w:ind w:firstLine="360"/>
        <w:jc w:val="both"/>
        <w:rPr>
          <w:rFonts w:ascii="Times New Roman" w:hAnsi="Times New Roman"/>
          <w:sz w:val="24"/>
          <w:szCs w:val="24"/>
          <w:lang w:val="sr-Cyrl-CS"/>
        </w:rPr>
      </w:pPr>
      <w:r>
        <w:rPr>
          <w:rFonts w:ascii="Times New Roman" w:hAnsi="Times New Roman"/>
          <w:sz w:val="24"/>
          <w:szCs w:val="24"/>
          <w:lang w:val="sr-Cyrl-CS"/>
        </w:rPr>
        <w:t>У</w:t>
      </w:r>
      <w:r w:rsidR="00757DB5">
        <w:rPr>
          <w:rFonts w:ascii="Times New Roman" w:hAnsi="Times New Roman"/>
          <w:sz w:val="24"/>
          <w:szCs w:val="24"/>
          <w:lang w:val="sr-Cyrl-CS"/>
        </w:rPr>
        <w:t>колико порески обвезник у редовном пореском поступку не измири пореску обавезу, држава ће путем принудне наплате намирити порески дуг</w:t>
      </w:r>
      <w:r>
        <w:rPr>
          <w:rFonts w:ascii="Times New Roman" w:hAnsi="Times New Roman"/>
          <w:sz w:val="24"/>
          <w:szCs w:val="24"/>
          <w:lang w:val="sr-Cyrl-CS"/>
        </w:rPr>
        <w:t>, па порези имају принудни карактер. Демократска и недемократска</w:t>
      </w:r>
      <w:r w:rsidR="00757DB5">
        <w:rPr>
          <w:rFonts w:ascii="Times New Roman" w:hAnsi="Times New Roman"/>
          <w:sz w:val="24"/>
          <w:szCs w:val="24"/>
          <w:lang w:val="sr-Cyrl-CS"/>
        </w:rPr>
        <w:t xml:space="preserve"> друштава </w:t>
      </w:r>
      <w:r>
        <w:rPr>
          <w:rFonts w:ascii="Times New Roman" w:hAnsi="Times New Roman"/>
          <w:sz w:val="24"/>
          <w:szCs w:val="24"/>
          <w:lang w:val="sr-Cyrl-CS"/>
        </w:rPr>
        <w:t xml:space="preserve">се разликују </w:t>
      </w:r>
      <w:r w:rsidR="00757DB5">
        <w:rPr>
          <w:rFonts w:ascii="Times New Roman" w:hAnsi="Times New Roman"/>
          <w:sz w:val="24"/>
          <w:szCs w:val="24"/>
          <w:lang w:val="sr-Cyrl-CS"/>
        </w:rPr>
        <w:t xml:space="preserve"> у томе што у демократским друштвима принудна наплата постоји само приликом наплате пореза, док у недемократским друштвима принуда постоји и у фази увођења и у фази наплате пореза.</w:t>
      </w:r>
      <w:r w:rsidR="00757DB5">
        <w:rPr>
          <w:rStyle w:val="FootnoteReference"/>
          <w:rFonts w:ascii="Times New Roman" w:hAnsi="Times New Roman"/>
          <w:sz w:val="24"/>
          <w:szCs w:val="24"/>
          <w:lang w:val="sr-Cyrl-CS"/>
        </w:rPr>
        <w:footnoteReference w:id="32"/>
      </w:r>
      <w:r w:rsidR="00E3018D">
        <w:rPr>
          <w:rFonts w:ascii="Times New Roman" w:hAnsi="Times New Roman"/>
          <w:sz w:val="24"/>
          <w:szCs w:val="24"/>
          <w:lang w:val="sr-Cyrl-CS"/>
        </w:rPr>
        <w:t xml:space="preserve"> Према томе, пореским обвезницима није остављено право избора да ли ће платити порез или не, а  принуда је у сваком случају легитимна.</w:t>
      </w:r>
    </w:p>
    <w:p w:rsidR="00D30EDF" w:rsidRDefault="00D30EDF" w:rsidP="008A3795">
      <w:pPr>
        <w:numPr>
          <w:ilvl w:val="0"/>
          <w:numId w:val="11"/>
        </w:numPr>
        <w:jc w:val="both"/>
        <w:rPr>
          <w:rFonts w:ascii="Times New Roman" w:hAnsi="Times New Roman"/>
          <w:sz w:val="24"/>
          <w:szCs w:val="24"/>
          <w:lang w:val="sr-Cyrl-CS"/>
        </w:rPr>
      </w:pPr>
      <w:r>
        <w:rPr>
          <w:rFonts w:ascii="Times New Roman" w:hAnsi="Times New Roman"/>
          <w:sz w:val="24"/>
          <w:szCs w:val="24"/>
          <w:lang w:val="sr-Cyrl-CS"/>
        </w:rPr>
        <w:t>Порезима се финансирају јавни издаци и остварују други циљеви</w:t>
      </w:r>
    </w:p>
    <w:p w:rsidR="00BB4A81" w:rsidRDefault="00BB4A81" w:rsidP="00E3018D">
      <w:pPr>
        <w:ind w:firstLine="360"/>
        <w:jc w:val="both"/>
        <w:rPr>
          <w:rFonts w:ascii="Times New Roman" w:hAnsi="Times New Roman"/>
          <w:sz w:val="24"/>
          <w:szCs w:val="24"/>
          <w:lang w:val="sr-Cyrl-CS"/>
        </w:rPr>
      </w:pPr>
      <w:r>
        <w:rPr>
          <w:rFonts w:ascii="Times New Roman" w:hAnsi="Times New Roman"/>
          <w:sz w:val="24"/>
          <w:szCs w:val="24"/>
          <w:lang w:val="sr-Cyrl-CS"/>
        </w:rPr>
        <w:t>Порезима се прикупљају средства ради финансирања колективних потреба и то је основна фискална функција пореза. Међутим, у савременим државама порези, као сложени облик јавних прихода, немају само ову функцију него се порезима остварују други економски, политички, социјални, образовни, еколошки и други циљеви.</w:t>
      </w:r>
    </w:p>
    <w:p w:rsidR="00F25FA9" w:rsidRDefault="00A56913" w:rsidP="00463B8E">
      <w:pPr>
        <w:ind w:firstLine="360"/>
        <w:jc w:val="both"/>
        <w:rPr>
          <w:rFonts w:ascii="Times New Roman" w:hAnsi="Times New Roman"/>
          <w:sz w:val="24"/>
          <w:szCs w:val="24"/>
          <w:lang w:val="sr-Cyrl-CS"/>
        </w:rPr>
      </w:pPr>
      <w:r>
        <w:rPr>
          <w:rFonts w:ascii="Times New Roman" w:hAnsi="Times New Roman"/>
          <w:sz w:val="24"/>
          <w:szCs w:val="24"/>
          <w:lang w:val="sr-Cyrl-CS"/>
        </w:rPr>
        <w:t xml:space="preserve">Порез врши прерасподелу националног дохотка и представља давање из вишка прозвода, а ређе из имовине. Према томе, порези све више напуштају свој примарни финансијски или фискални задатак, који се </w:t>
      </w:r>
      <w:r w:rsidR="00E3018D">
        <w:rPr>
          <w:rFonts w:ascii="Times New Roman" w:hAnsi="Times New Roman"/>
          <w:sz w:val="24"/>
          <w:szCs w:val="24"/>
          <w:lang w:val="sr-Cyrl-CS"/>
        </w:rPr>
        <w:t>огледа у покрићу јавних расхода</w:t>
      </w:r>
      <w:r>
        <w:rPr>
          <w:rFonts w:ascii="Times New Roman" w:hAnsi="Times New Roman"/>
          <w:sz w:val="24"/>
          <w:szCs w:val="24"/>
          <w:lang w:val="sr-Cyrl-CS"/>
        </w:rPr>
        <w:t xml:space="preserve"> </w:t>
      </w:r>
      <w:r w:rsidR="00E3018D">
        <w:rPr>
          <w:rFonts w:ascii="Times New Roman" w:hAnsi="Times New Roman"/>
          <w:sz w:val="24"/>
          <w:szCs w:val="24"/>
          <w:lang w:val="sr-Cyrl-CS"/>
        </w:rPr>
        <w:t xml:space="preserve">и </w:t>
      </w:r>
      <w:r>
        <w:rPr>
          <w:rFonts w:ascii="Times New Roman" w:hAnsi="Times New Roman"/>
          <w:sz w:val="24"/>
          <w:szCs w:val="24"/>
          <w:lang w:val="sr-Cyrl-CS"/>
        </w:rPr>
        <w:t>имају и регулаторне функције у области производње, расподеле и потрошње богатства.</w:t>
      </w:r>
      <w:r w:rsidR="00E3018D">
        <w:rPr>
          <w:rFonts w:ascii="Times New Roman" w:hAnsi="Times New Roman"/>
          <w:sz w:val="24"/>
          <w:szCs w:val="24"/>
          <w:lang w:val="sr-Cyrl-CS"/>
        </w:rPr>
        <w:t xml:space="preserve"> </w:t>
      </w:r>
    </w:p>
    <w:p w:rsidR="00D30EDF" w:rsidRDefault="00D30EDF" w:rsidP="008A3795">
      <w:pPr>
        <w:numPr>
          <w:ilvl w:val="0"/>
          <w:numId w:val="11"/>
        </w:numPr>
        <w:jc w:val="both"/>
        <w:rPr>
          <w:rFonts w:ascii="Times New Roman" w:hAnsi="Times New Roman"/>
          <w:sz w:val="24"/>
          <w:szCs w:val="24"/>
          <w:lang w:val="sr-Cyrl-CS"/>
        </w:rPr>
      </w:pPr>
      <w:r>
        <w:rPr>
          <w:rFonts w:ascii="Times New Roman" w:hAnsi="Times New Roman"/>
          <w:sz w:val="24"/>
          <w:szCs w:val="24"/>
          <w:lang w:val="sr-Cyrl-CS"/>
        </w:rPr>
        <w:t>Одсуство непосредне противнакнаде</w:t>
      </w:r>
    </w:p>
    <w:p w:rsidR="00491879" w:rsidRDefault="00562E6E" w:rsidP="002533F9">
      <w:pPr>
        <w:ind w:firstLine="360"/>
        <w:jc w:val="both"/>
        <w:rPr>
          <w:rFonts w:ascii="Times New Roman" w:hAnsi="Times New Roman"/>
          <w:sz w:val="24"/>
          <w:szCs w:val="24"/>
          <w:lang w:val="sr-Cyrl-CS"/>
        </w:rPr>
      </w:pPr>
      <w:r>
        <w:rPr>
          <w:rFonts w:ascii="Times New Roman" w:hAnsi="Times New Roman"/>
          <w:sz w:val="24"/>
          <w:szCs w:val="24"/>
          <w:lang w:val="sr-Cyrl-CS"/>
        </w:rPr>
        <w:t xml:space="preserve">Приликом плаћања пореза нема непосредне противнакнаде. </w:t>
      </w:r>
      <w:r w:rsidR="004C0E53">
        <w:rPr>
          <w:rFonts w:ascii="Times New Roman" w:hAnsi="Times New Roman"/>
          <w:sz w:val="24"/>
          <w:szCs w:val="24"/>
          <w:lang w:val="sr-Cyrl-CS"/>
        </w:rPr>
        <w:t>Нема</w:t>
      </w:r>
      <w:r>
        <w:rPr>
          <w:rFonts w:ascii="Times New Roman" w:hAnsi="Times New Roman"/>
          <w:sz w:val="24"/>
          <w:szCs w:val="24"/>
          <w:lang w:val="sr-Cyrl-CS"/>
        </w:rPr>
        <w:t xml:space="preserve"> ни</w:t>
      </w:r>
      <w:r w:rsidR="004C0E53">
        <w:rPr>
          <w:rFonts w:ascii="Times New Roman" w:hAnsi="Times New Roman"/>
          <w:sz w:val="24"/>
          <w:szCs w:val="24"/>
          <w:lang w:val="sr-Cyrl-CS"/>
        </w:rPr>
        <w:t xml:space="preserve"> пропорционалности између користи пореских обвезника од коришћења неког јавног добра и висине плаћеног пореза. Чак штавише, од неког јавног добра порески обвезник може да не остварује никакву корист, али ипак га то не ослобађа плаћања пореза. Неко ко плаћа већи порез нема права да захтева коришћење јавног добра у већој мери сразмерно висини пореза који је платио. Исто тако јавна </w:t>
      </w:r>
      <w:r w:rsidR="0072403F">
        <w:rPr>
          <w:rFonts w:ascii="Times New Roman" w:hAnsi="Times New Roman"/>
          <w:sz w:val="24"/>
          <w:szCs w:val="24"/>
          <w:lang w:val="sr-Cyrl-CS"/>
        </w:rPr>
        <w:t>добра може да кор</w:t>
      </w:r>
      <w:r w:rsidR="002533F9">
        <w:rPr>
          <w:rFonts w:ascii="Times New Roman" w:hAnsi="Times New Roman"/>
          <w:sz w:val="24"/>
          <w:szCs w:val="24"/>
          <w:lang w:val="sr-Cyrl-CS"/>
        </w:rPr>
        <w:t>и</w:t>
      </w:r>
      <w:r w:rsidR="0072403F">
        <w:rPr>
          <w:rFonts w:ascii="Times New Roman" w:hAnsi="Times New Roman"/>
          <w:sz w:val="24"/>
          <w:szCs w:val="24"/>
          <w:lang w:val="sr-Cyrl-CS"/>
        </w:rPr>
        <w:t xml:space="preserve">сти </w:t>
      </w:r>
      <w:r w:rsidR="004C0E53">
        <w:rPr>
          <w:rFonts w:ascii="Times New Roman" w:hAnsi="Times New Roman"/>
          <w:sz w:val="24"/>
          <w:szCs w:val="24"/>
          <w:lang w:val="sr-Cyrl-CS"/>
        </w:rPr>
        <w:t xml:space="preserve">неко ко </w:t>
      </w:r>
      <w:r w:rsidR="0072403F">
        <w:rPr>
          <w:rFonts w:ascii="Times New Roman" w:hAnsi="Times New Roman"/>
          <w:sz w:val="24"/>
          <w:szCs w:val="24"/>
          <w:lang w:val="sr-Cyrl-CS"/>
        </w:rPr>
        <w:t>избегава своје пореске обавезе. Коришћење јавних добара се не може ограничити и њих имају право да користе сви, без обзира да ли су порески обвезници или нису.</w:t>
      </w:r>
      <w:r w:rsidR="002533F9">
        <w:rPr>
          <w:rFonts w:ascii="Times New Roman" w:hAnsi="Times New Roman"/>
          <w:sz w:val="24"/>
          <w:szCs w:val="24"/>
          <w:lang w:val="sr-Cyrl-CS"/>
        </w:rPr>
        <w:t xml:space="preserve"> </w:t>
      </w:r>
    </w:p>
    <w:p w:rsidR="004C0E53" w:rsidRDefault="00491879" w:rsidP="002533F9">
      <w:pPr>
        <w:ind w:firstLine="360"/>
        <w:jc w:val="both"/>
        <w:rPr>
          <w:rFonts w:ascii="Times New Roman" w:hAnsi="Times New Roman"/>
          <w:sz w:val="24"/>
          <w:szCs w:val="24"/>
          <w:lang w:val="sr-Cyrl-CS"/>
        </w:rPr>
      </w:pPr>
      <w:r>
        <w:rPr>
          <w:rFonts w:ascii="Times New Roman" w:hAnsi="Times New Roman"/>
          <w:sz w:val="24"/>
          <w:szCs w:val="24"/>
          <w:lang w:val="sr-Cyrl-CS"/>
        </w:rPr>
        <w:t>Корис</w:t>
      </w:r>
      <w:r w:rsidR="00442ED1">
        <w:rPr>
          <w:rFonts w:ascii="Times New Roman" w:hAnsi="Times New Roman"/>
          <w:sz w:val="24"/>
          <w:szCs w:val="24"/>
          <w:lang w:val="sr-Cyrl-CS"/>
        </w:rPr>
        <w:t>т коју</w:t>
      </w:r>
      <w:r w:rsidR="00EA35DB">
        <w:rPr>
          <w:rFonts w:ascii="Times New Roman" w:hAnsi="Times New Roman"/>
          <w:sz w:val="24"/>
          <w:szCs w:val="24"/>
          <w:lang w:val="sr-Cyrl-CS"/>
        </w:rPr>
        <w:t xml:space="preserve"> неко лице које је пла</w:t>
      </w:r>
      <w:r>
        <w:rPr>
          <w:rFonts w:ascii="Times New Roman" w:hAnsi="Times New Roman"/>
          <w:sz w:val="24"/>
          <w:szCs w:val="24"/>
          <w:lang w:val="sr-Cyrl-CS"/>
        </w:rPr>
        <w:t>тило порез</w:t>
      </w:r>
      <w:r w:rsidR="00442ED1">
        <w:rPr>
          <w:rFonts w:ascii="Times New Roman" w:hAnsi="Times New Roman"/>
          <w:sz w:val="24"/>
          <w:szCs w:val="24"/>
          <w:lang w:val="sr-Cyrl-CS"/>
        </w:rPr>
        <w:t xml:space="preserve"> има</w:t>
      </w:r>
      <w:r>
        <w:rPr>
          <w:rFonts w:ascii="Times New Roman" w:hAnsi="Times New Roman"/>
          <w:sz w:val="24"/>
          <w:szCs w:val="24"/>
          <w:lang w:val="sr-Cyrl-CS"/>
        </w:rPr>
        <w:t xml:space="preserve"> је општег карактера, а њена висина није одређе</w:t>
      </w:r>
      <w:r w:rsidR="002533F9">
        <w:rPr>
          <w:rFonts w:ascii="Times New Roman" w:hAnsi="Times New Roman"/>
          <w:sz w:val="24"/>
          <w:szCs w:val="24"/>
          <w:lang w:val="sr-Cyrl-CS"/>
        </w:rPr>
        <w:t xml:space="preserve">на висином плаћеног пореза. </w:t>
      </w:r>
      <w:r w:rsidR="00442ED1">
        <w:rPr>
          <w:rFonts w:ascii="Times New Roman" w:hAnsi="Times New Roman"/>
          <w:sz w:val="24"/>
          <w:szCs w:val="24"/>
          <w:lang w:val="sr-Cyrl-CS"/>
        </w:rPr>
        <w:t xml:space="preserve">У коришћењу јавног добра нико не може бити спречен (на пример да ужива сигурност коју пружа полиција) нити коришћење јавног добра </w:t>
      </w:r>
      <w:r>
        <w:rPr>
          <w:rFonts w:ascii="Times New Roman" w:hAnsi="Times New Roman"/>
          <w:sz w:val="24"/>
          <w:szCs w:val="24"/>
          <w:lang w:val="sr-Cyrl-CS"/>
        </w:rPr>
        <w:t xml:space="preserve">од стране једног лица </w:t>
      </w:r>
      <w:r w:rsidR="00442ED1">
        <w:rPr>
          <w:rFonts w:ascii="Times New Roman" w:hAnsi="Times New Roman"/>
          <w:sz w:val="24"/>
          <w:szCs w:val="24"/>
          <w:lang w:val="sr-Cyrl-CS"/>
        </w:rPr>
        <w:t>може да умањи</w:t>
      </w:r>
      <w:r>
        <w:rPr>
          <w:rFonts w:ascii="Times New Roman" w:hAnsi="Times New Roman"/>
          <w:sz w:val="24"/>
          <w:szCs w:val="24"/>
          <w:lang w:val="sr-Cyrl-CS"/>
        </w:rPr>
        <w:t xml:space="preserve"> корисност коју оно пружа другим лицима.</w:t>
      </w:r>
      <w:r>
        <w:rPr>
          <w:rStyle w:val="FootnoteReference"/>
          <w:rFonts w:ascii="Times New Roman" w:hAnsi="Times New Roman"/>
          <w:sz w:val="24"/>
          <w:szCs w:val="24"/>
          <w:lang w:val="sr-Cyrl-CS"/>
        </w:rPr>
        <w:footnoteReference w:id="33"/>
      </w:r>
      <w:r w:rsidR="002533F9">
        <w:rPr>
          <w:rFonts w:ascii="Times New Roman" w:hAnsi="Times New Roman"/>
          <w:sz w:val="24"/>
          <w:szCs w:val="24"/>
          <w:lang w:val="sr-Cyrl-CS"/>
        </w:rPr>
        <w:t xml:space="preserve"> </w:t>
      </w:r>
    </w:p>
    <w:p w:rsidR="00EA35DB" w:rsidRDefault="00EA35DB" w:rsidP="002533F9">
      <w:pPr>
        <w:ind w:firstLine="360"/>
        <w:jc w:val="both"/>
        <w:rPr>
          <w:rFonts w:ascii="Times New Roman" w:hAnsi="Times New Roman"/>
          <w:sz w:val="24"/>
          <w:szCs w:val="24"/>
          <w:lang w:val="sr-Cyrl-CS"/>
        </w:rPr>
      </w:pPr>
      <w:r>
        <w:rPr>
          <w:rFonts w:ascii="Times New Roman" w:hAnsi="Times New Roman"/>
          <w:sz w:val="24"/>
          <w:szCs w:val="24"/>
          <w:lang w:val="sr-Cyrl-CS"/>
        </w:rPr>
        <w:lastRenderedPageBreak/>
        <w:t>Држава не мора да полаже рачун пореским обвезницима на шта ће се утрошити средства која су прикупљена порезима. Ова особина раздваја порезе од такса. Међутим, постоји посредна или индиректна противнакнада, ко</w:t>
      </w:r>
      <w:r w:rsidR="002533F9">
        <w:rPr>
          <w:rFonts w:ascii="Times New Roman" w:hAnsi="Times New Roman"/>
          <w:sz w:val="24"/>
          <w:szCs w:val="24"/>
          <w:lang w:val="sr-Cyrl-CS"/>
        </w:rPr>
        <w:t>ја се пре свега огледа у задовољ</w:t>
      </w:r>
      <w:r>
        <w:rPr>
          <w:rFonts w:ascii="Times New Roman" w:hAnsi="Times New Roman"/>
          <w:sz w:val="24"/>
          <w:szCs w:val="24"/>
          <w:lang w:val="sr-Cyrl-CS"/>
        </w:rPr>
        <w:t>авању општих друштвених потреба.</w:t>
      </w:r>
      <w:r w:rsidR="002533F9">
        <w:rPr>
          <w:rFonts w:ascii="Times New Roman" w:hAnsi="Times New Roman"/>
          <w:sz w:val="24"/>
          <w:szCs w:val="24"/>
          <w:lang w:val="sr-Cyrl-CS"/>
        </w:rPr>
        <w:t xml:space="preserve">  </w:t>
      </w:r>
    </w:p>
    <w:p w:rsidR="00D30EDF" w:rsidRDefault="00D30EDF" w:rsidP="008A3795">
      <w:pPr>
        <w:numPr>
          <w:ilvl w:val="0"/>
          <w:numId w:val="11"/>
        </w:numPr>
        <w:jc w:val="both"/>
        <w:rPr>
          <w:rFonts w:ascii="Times New Roman" w:hAnsi="Times New Roman"/>
          <w:sz w:val="24"/>
          <w:szCs w:val="24"/>
          <w:lang w:val="sr-Cyrl-CS"/>
        </w:rPr>
      </w:pPr>
      <w:r>
        <w:rPr>
          <w:rFonts w:ascii="Times New Roman" w:hAnsi="Times New Roman"/>
          <w:sz w:val="24"/>
          <w:szCs w:val="24"/>
          <w:lang w:val="sr-Cyrl-CS"/>
        </w:rPr>
        <w:t>Порез је новчано давање</w:t>
      </w:r>
      <w:r w:rsidR="002533F9">
        <w:rPr>
          <w:rFonts w:ascii="Times New Roman" w:hAnsi="Times New Roman"/>
          <w:sz w:val="24"/>
          <w:szCs w:val="24"/>
          <w:lang w:val="sr-Cyrl-CS"/>
        </w:rPr>
        <w:t xml:space="preserve"> </w:t>
      </w:r>
    </w:p>
    <w:p w:rsidR="0072403F" w:rsidRDefault="0072403F" w:rsidP="002533F9">
      <w:pPr>
        <w:ind w:firstLine="360"/>
        <w:jc w:val="both"/>
        <w:rPr>
          <w:rFonts w:ascii="Times New Roman" w:hAnsi="Times New Roman"/>
          <w:sz w:val="24"/>
          <w:szCs w:val="24"/>
          <w:lang w:val="sr-Cyrl-CS"/>
        </w:rPr>
      </w:pPr>
      <w:r>
        <w:rPr>
          <w:rFonts w:ascii="Times New Roman" w:hAnsi="Times New Roman"/>
          <w:sz w:val="24"/>
          <w:szCs w:val="24"/>
          <w:lang w:val="sr-Cyrl-CS"/>
        </w:rPr>
        <w:t>Постоје случајеви када се пореска обавеза плаћа натурално, али само ка</w:t>
      </w:r>
      <w:r w:rsidR="002533F9">
        <w:rPr>
          <w:rFonts w:ascii="Times New Roman" w:hAnsi="Times New Roman"/>
          <w:sz w:val="24"/>
          <w:szCs w:val="24"/>
          <w:lang w:val="sr-Cyrl-CS"/>
        </w:rPr>
        <w:t>о</w:t>
      </w:r>
      <w:r>
        <w:rPr>
          <w:rFonts w:ascii="Times New Roman" w:hAnsi="Times New Roman"/>
          <w:sz w:val="24"/>
          <w:szCs w:val="24"/>
          <w:lang w:val="sr-Cyrl-CS"/>
        </w:rPr>
        <w:t xml:space="preserve"> изузетак.</w:t>
      </w:r>
      <w:r w:rsidR="006F3B6F">
        <w:rPr>
          <w:rFonts w:ascii="Times New Roman" w:hAnsi="Times New Roman"/>
          <w:sz w:val="24"/>
          <w:szCs w:val="24"/>
          <w:lang w:val="sr-Cyrl-CS"/>
        </w:rPr>
        <w:t xml:space="preserve"> То се дешава у неким ванредним друштвеним ситуацијама (револуције, велике елементарне непогоде). У нашем систему јавних прихода самодопринос, </w:t>
      </w:r>
      <w:r w:rsidR="002D4DA9">
        <w:rPr>
          <w:rFonts w:ascii="Times New Roman" w:hAnsi="Times New Roman"/>
          <w:sz w:val="24"/>
          <w:szCs w:val="24"/>
          <w:lang w:val="sr-Cyrl-CS"/>
        </w:rPr>
        <w:t>као ванредан локални порез,</w:t>
      </w:r>
      <w:r w:rsidR="002533F9">
        <w:rPr>
          <w:rFonts w:ascii="Times New Roman" w:hAnsi="Times New Roman"/>
          <w:sz w:val="24"/>
          <w:szCs w:val="24"/>
          <w:lang w:val="sr-Cyrl-CS"/>
        </w:rPr>
        <w:t xml:space="preserve"> може имати елементе давања у на</w:t>
      </w:r>
      <w:r w:rsidR="006F3B6F">
        <w:rPr>
          <w:rFonts w:ascii="Times New Roman" w:hAnsi="Times New Roman"/>
          <w:sz w:val="24"/>
          <w:szCs w:val="24"/>
          <w:lang w:val="sr-Cyrl-CS"/>
        </w:rPr>
        <w:t xml:space="preserve">тури. </w:t>
      </w:r>
      <w:r w:rsidR="006F3B6F">
        <w:rPr>
          <w:rStyle w:val="FootnoteReference"/>
          <w:rFonts w:ascii="Times New Roman" w:hAnsi="Times New Roman"/>
          <w:sz w:val="24"/>
          <w:szCs w:val="24"/>
          <w:lang w:val="sr-Cyrl-CS"/>
        </w:rPr>
        <w:footnoteReference w:id="34"/>
      </w:r>
      <w:r>
        <w:rPr>
          <w:rFonts w:ascii="Times New Roman" w:hAnsi="Times New Roman"/>
          <w:sz w:val="24"/>
          <w:szCs w:val="24"/>
          <w:lang w:val="sr-Cyrl-CS"/>
        </w:rPr>
        <w:t xml:space="preserve"> Правило је да се пореска обавеза плаћа у новцу.</w:t>
      </w:r>
    </w:p>
    <w:p w:rsidR="00D76A85" w:rsidRDefault="00C1187E" w:rsidP="008A3795">
      <w:pPr>
        <w:numPr>
          <w:ilvl w:val="0"/>
          <w:numId w:val="11"/>
        </w:numPr>
        <w:jc w:val="both"/>
        <w:rPr>
          <w:rFonts w:ascii="Times New Roman" w:hAnsi="Times New Roman"/>
          <w:sz w:val="24"/>
          <w:szCs w:val="24"/>
          <w:lang w:val="sr-Cyrl-CS"/>
        </w:rPr>
      </w:pPr>
      <w:r>
        <w:rPr>
          <w:rFonts w:ascii="Times New Roman" w:hAnsi="Times New Roman"/>
          <w:sz w:val="24"/>
          <w:szCs w:val="24"/>
          <w:lang w:val="sr-Cyrl-CS"/>
        </w:rPr>
        <w:t>Деривативност</w:t>
      </w:r>
    </w:p>
    <w:p w:rsidR="002533F9" w:rsidRDefault="0058016E" w:rsidP="0058016E">
      <w:pPr>
        <w:ind w:firstLine="360"/>
        <w:jc w:val="both"/>
        <w:rPr>
          <w:rFonts w:ascii="Times New Roman" w:hAnsi="Times New Roman"/>
          <w:sz w:val="24"/>
          <w:szCs w:val="24"/>
          <w:lang w:val="sr-Cyrl-CS"/>
        </w:rPr>
      </w:pPr>
      <w:r>
        <w:rPr>
          <w:rFonts w:ascii="Times New Roman" w:hAnsi="Times New Roman"/>
          <w:sz w:val="24"/>
          <w:szCs w:val="24"/>
          <w:lang w:val="sr-Cyrl-CS"/>
        </w:rPr>
        <w:t>Путем пореза се захвата део имовине, прихода односно дохотка пореских обвезника тако да се кроз опорезивање врши прерасподела нац</w:t>
      </w:r>
      <w:r w:rsidR="00C11193">
        <w:rPr>
          <w:rFonts w:ascii="Times New Roman" w:hAnsi="Times New Roman"/>
          <w:sz w:val="24"/>
          <w:szCs w:val="24"/>
          <w:lang w:val="sr-Cyrl-CS"/>
        </w:rPr>
        <w:t>ио</w:t>
      </w:r>
      <w:r>
        <w:rPr>
          <w:rFonts w:ascii="Times New Roman" w:hAnsi="Times New Roman"/>
          <w:sz w:val="24"/>
          <w:szCs w:val="24"/>
          <w:lang w:val="sr-Cyrl-CS"/>
        </w:rPr>
        <w:t xml:space="preserve">налног дохотка и држава из економске снаге пореских обвезника изводи своју економску снагу па су  због тога порези „изведени“ приходи за разлику од оних прихода које држава сама остварује на основу своје привредне делатости </w:t>
      </w:r>
      <w:r w:rsidR="00FE687B">
        <w:rPr>
          <w:rFonts w:ascii="Times New Roman" w:hAnsi="Times New Roman"/>
          <w:sz w:val="24"/>
          <w:szCs w:val="24"/>
          <w:lang w:val="sr-Cyrl-CS"/>
        </w:rPr>
        <w:t>односно</w:t>
      </w:r>
      <w:r>
        <w:rPr>
          <w:rFonts w:ascii="Times New Roman" w:hAnsi="Times New Roman"/>
          <w:sz w:val="24"/>
          <w:szCs w:val="24"/>
          <w:lang w:val="sr-Cyrl-CS"/>
        </w:rPr>
        <w:t xml:space="preserve"> права влас</w:t>
      </w:r>
      <w:r w:rsidR="00FE687B">
        <w:rPr>
          <w:rFonts w:ascii="Times New Roman" w:hAnsi="Times New Roman"/>
          <w:sz w:val="24"/>
          <w:szCs w:val="24"/>
          <w:lang w:val="sr-Cyrl-CS"/>
        </w:rPr>
        <w:t>н</w:t>
      </w:r>
      <w:r>
        <w:rPr>
          <w:rFonts w:ascii="Times New Roman" w:hAnsi="Times New Roman"/>
          <w:sz w:val="24"/>
          <w:szCs w:val="24"/>
          <w:lang w:val="sr-Cyrl-CS"/>
        </w:rPr>
        <w:t>иштва</w:t>
      </w:r>
      <w:r w:rsidR="00420BB6">
        <w:rPr>
          <w:rFonts w:ascii="Times New Roman" w:hAnsi="Times New Roman"/>
          <w:sz w:val="24"/>
          <w:szCs w:val="24"/>
          <w:lang w:val="sr-Cyrl-CS"/>
        </w:rPr>
        <w:t>.</w:t>
      </w:r>
      <w:r w:rsidR="00420BB6">
        <w:rPr>
          <w:rStyle w:val="FootnoteReference"/>
          <w:rFonts w:ascii="Times New Roman" w:hAnsi="Times New Roman"/>
          <w:sz w:val="24"/>
          <w:szCs w:val="24"/>
          <w:lang w:val="sr-Cyrl-CS"/>
        </w:rPr>
        <w:footnoteReference w:id="35"/>
      </w:r>
      <w:r w:rsidR="002533F9">
        <w:rPr>
          <w:rFonts w:ascii="Times New Roman" w:hAnsi="Times New Roman"/>
          <w:sz w:val="24"/>
          <w:szCs w:val="24"/>
          <w:lang w:val="sr-Cyrl-CS"/>
        </w:rPr>
        <w:t xml:space="preserve"> </w:t>
      </w:r>
    </w:p>
    <w:p w:rsidR="00C1187E" w:rsidRDefault="00C1187E" w:rsidP="008A3795">
      <w:pPr>
        <w:numPr>
          <w:ilvl w:val="0"/>
          <w:numId w:val="11"/>
        </w:numPr>
        <w:jc w:val="both"/>
        <w:rPr>
          <w:rFonts w:ascii="Times New Roman" w:hAnsi="Times New Roman"/>
          <w:sz w:val="24"/>
          <w:szCs w:val="24"/>
          <w:lang w:val="sr-Cyrl-CS"/>
        </w:rPr>
      </w:pPr>
      <w:r>
        <w:rPr>
          <w:rFonts w:ascii="Times New Roman" w:hAnsi="Times New Roman"/>
          <w:sz w:val="24"/>
          <w:szCs w:val="24"/>
          <w:lang w:val="sr-Cyrl-CS"/>
        </w:rPr>
        <w:t>Неповратност</w:t>
      </w:r>
    </w:p>
    <w:p w:rsidR="00420BB6" w:rsidRDefault="00C11193" w:rsidP="00C11193">
      <w:pPr>
        <w:ind w:firstLine="360"/>
        <w:jc w:val="both"/>
        <w:rPr>
          <w:rFonts w:ascii="Times New Roman" w:hAnsi="Times New Roman"/>
          <w:sz w:val="24"/>
          <w:szCs w:val="24"/>
          <w:lang w:val="sr-Cyrl-CS"/>
        </w:rPr>
      </w:pPr>
      <w:r>
        <w:rPr>
          <w:rFonts w:ascii="Times New Roman" w:hAnsi="Times New Roman"/>
          <w:sz w:val="24"/>
          <w:szCs w:val="24"/>
          <w:lang w:val="sr-Cyrl-CS"/>
        </w:rPr>
        <w:t>Карактеристика пореза је и непостојање права на повраћај пореза. Држава постаје власник опорезованих средстава на основу свог фискалног суверенитета, а порески обвезник се одриче једног дела своје економске снаге у корист државе и нема могућности повраћаја својих новчаних средстава. Тако се средства преносе из режима приватне у режим државне својине</w:t>
      </w:r>
      <w:r w:rsidR="00D56333">
        <w:rPr>
          <w:rFonts w:ascii="Times New Roman" w:hAnsi="Times New Roman"/>
          <w:sz w:val="24"/>
          <w:szCs w:val="24"/>
          <w:lang w:val="sr-Cyrl-CS"/>
        </w:rPr>
        <w:t>.</w:t>
      </w:r>
      <w:r w:rsidR="00D56333">
        <w:rPr>
          <w:rStyle w:val="FootnoteReference"/>
          <w:rFonts w:ascii="Times New Roman" w:hAnsi="Times New Roman"/>
          <w:sz w:val="24"/>
          <w:szCs w:val="24"/>
          <w:lang w:val="sr-Cyrl-CS"/>
        </w:rPr>
        <w:footnoteReference w:id="36"/>
      </w:r>
      <w:r>
        <w:rPr>
          <w:rFonts w:ascii="Times New Roman" w:hAnsi="Times New Roman"/>
          <w:sz w:val="24"/>
          <w:szCs w:val="24"/>
          <w:lang w:val="sr-Cyrl-CS"/>
        </w:rPr>
        <w:t xml:space="preserve"> </w:t>
      </w:r>
    </w:p>
    <w:p w:rsidR="00C1187E" w:rsidRDefault="00C1187E" w:rsidP="008A3795">
      <w:pPr>
        <w:numPr>
          <w:ilvl w:val="0"/>
          <w:numId w:val="11"/>
        </w:numPr>
        <w:jc w:val="both"/>
        <w:rPr>
          <w:rFonts w:ascii="Times New Roman" w:hAnsi="Times New Roman"/>
          <w:sz w:val="24"/>
          <w:szCs w:val="24"/>
          <w:lang w:val="sr-Cyrl-CS"/>
        </w:rPr>
      </w:pPr>
      <w:r>
        <w:rPr>
          <w:rFonts w:ascii="Times New Roman" w:hAnsi="Times New Roman"/>
          <w:sz w:val="24"/>
          <w:szCs w:val="24"/>
          <w:lang w:val="sr-Cyrl-CS"/>
        </w:rPr>
        <w:t>Недестинираност</w:t>
      </w:r>
    </w:p>
    <w:p w:rsidR="0072403F" w:rsidRDefault="0072403F" w:rsidP="002533F9">
      <w:pPr>
        <w:ind w:firstLine="360"/>
        <w:jc w:val="both"/>
        <w:rPr>
          <w:rFonts w:ascii="Times New Roman" w:hAnsi="Times New Roman"/>
          <w:sz w:val="24"/>
          <w:szCs w:val="24"/>
          <w:lang w:val="sr-Cyrl-CS"/>
        </w:rPr>
      </w:pPr>
      <w:r>
        <w:rPr>
          <w:rFonts w:ascii="Times New Roman" w:hAnsi="Times New Roman"/>
          <w:sz w:val="24"/>
          <w:szCs w:val="24"/>
          <w:lang w:val="sr-Cyrl-CS"/>
        </w:rPr>
        <w:t xml:space="preserve">Из општег карактера јавних добара и користи које се њима задовољавају, за све грађане, без обзира да ли су они порески обвезници или нису, произилази недестинирани карактер пореске обавезе. У савременој држави сви приходи се сливају у заједнички буџет и користе се за измирење колективних потреба. </w:t>
      </w:r>
    </w:p>
    <w:p w:rsidR="00A56913" w:rsidRDefault="0072403F" w:rsidP="002533F9">
      <w:pPr>
        <w:ind w:firstLine="360"/>
        <w:jc w:val="both"/>
        <w:rPr>
          <w:rFonts w:ascii="Times New Roman" w:hAnsi="Times New Roman"/>
          <w:sz w:val="24"/>
          <w:szCs w:val="24"/>
          <w:lang w:val="sr-Cyrl-CS"/>
        </w:rPr>
      </w:pPr>
      <w:r>
        <w:rPr>
          <w:rFonts w:ascii="Times New Roman" w:hAnsi="Times New Roman"/>
          <w:sz w:val="24"/>
          <w:szCs w:val="24"/>
          <w:lang w:val="sr-Cyrl-CS"/>
        </w:rPr>
        <w:t xml:space="preserve">Дестинирање пореза налазимо у оним пореским системима у којима се </w:t>
      </w:r>
      <w:r w:rsidR="001C5C65">
        <w:rPr>
          <w:rFonts w:ascii="Times New Roman" w:hAnsi="Times New Roman"/>
          <w:sz w:val="24"/>
          <w:szCs w:val="24"/>
          <w:lang w:val="sr-Cyrl-CS"/>
        </w:rPr>
        <w:t>државни (друштвени) расходи не финансирају искључиво путем буџета, него се уз буџет, као финансијски инструмент подмиривања одређених расхода, јављају и одређени фондови који имају властите изворе прихода.</w:t>
      </w:r>
    </w:p>
    <w:p w:rsidR="001C5C65" w:rsidRDefault="001C5C65" w:rsidP="008A3795">
      <w:pPr>
        <w:numPr>
          <w:ilvl w:val="0"/>
          <w:numId w:val="11"/>
        </w:numPr>
        <w:jc w:val="both"/>
        <w:rPr>
          <w:rFonts w:ascii="Times New Roman" w:hAnsi="Times New Roman"/>
          <w:sz w:val="24"/>
          <w:szCs w:val="24"/>
          <w:lang w:val="sr-Cyrl-CS"/>
        </w:rPr>
      </w:pPr>
      <w:r>
        <w:rPr>
          <w:rFonts w:ascii="Times New Roman" w:hAnsi="Times New Roman"/>
          <w:sz w:val="24"/>
          <w:szCs w:val="24"/>
          <w:lang w:val="sr-Cyrl-CS"/>
        </w:rPr>
        <w:t>Територијани принцип плаћања пореза</w:t>
      </w:r>
    </w:p>
    <w:p w:rsidR="00BA36C1" w:rsidRDefault="00491879" w:rsidP="00E12F73">
      <w:pPr>
        <w:ind w:firstLine="360"/>
        <w:jc w:val="both"/>
        <w:rPr>
          <w:rFonts w:ascii="Times New Roman" w:hAnsi="Times New Roman"/>
          <w:sz w:val="24"/>
          <w:szCs w:val="24"/>
          <w:lang w:val="sr-Cyrl-CS"/>
        </w:rPr>
      </w:pPr>
      <w:r>
        <w:rPr>
          <w:rFonts w:ascii="Times New Roman" w:hAnsi="Times New Roman"/>
          <w:sz w:val="24"/>
          <w:szCs w:val="24"/>
          <w:lang w:val="sr-Cyrl-CS"/>
        </w:rPr>
        <w:lastRenderedPageBreak/>
        <w:t xml:space="preserve">То је посебно значајна особина пореза. </w:t>
      </w:r>
      <w:r w:rsidR="001C5C65">
        <w:rPr>
          <w:rFonts w:ascii="Times New Roman" w:hAnsi="Times New Roman"/>
          <w:sz w:val="24"/>
          <w:szCs w:val="24"/>
          <w:lang w:val="sr-Cyrl-CS"/>
        </w:rPr>
        <w:t xml:space="preserve">Пореска обавеза терети сва лица на територији државе која на основу свог финансијског суверенитета уводи порез. </w:t>
      </w:r>
      <w:r w:rsidR="00522EC2">
        <w:rPr>
          <w:rFonts w:ascii="Times New Roman" w:hAnsi="Times New Roman"/>
          <w:sz w:val="24"/>
          <w:szCs w:val="24"/>
          <w:lang w:val="sr-Cyrl-CS"/>
        </w:rPr>
        <w:t>При том, није од значаја</w:t>
      </w:r>
      <w:r w:rsidR="001C5C65">
        <w:rPr>
          <w:rFonts w:ascii="Times New Roman" w:hAnsi="Times New Roman"/>
          <w:sz w:val="24"/>
          <w:szCs w:val="24"/>
          <w:lang w:val="sr-Cyrl-CS"/>
        </w:rPr>
        <w:t xml:space="preserve"> да ли су </w:t>
      </w:r>
      <w:r w:rsidR="00522EC2">
        <w:rPr>
          <w:rFonts w:ascii="Times New Roman" w:hAnsi="Times New Roman"/>
          <w:sz w:val="24"/>
          <w:szCs w:val="24"/>
          <w:lang w:val="sr-Cyrl-CS"/>
        </w:rPr>
        <w:t>та лица</w:t>
      </w:r>
      <w:r w:rsidR="001C5C65">
        <w:rPr>
          <w:rFonts w:ascii="Times New Roman" w:hAnsi="Times New Roman"/>
          <w:sz w:val="24"/>
          <w:szCs w:val="24"/>
          <w:lang w:val="sr-Cyrl-CS"/>
        </w:rPr>
        <w:t xml:space="preserve"> држављани или не државе која уводи порез. </w:t>
      </w:r>
      <w:r w:rsidR="00522EC2">
        <w:rPr>
          <w:rFonts w:ascii="Times New Roman" w:hAnsi="Times New Roman"/>
          <w:sz w:val="24"/>
          <w:szCs w:val="24"/>
          <w:lang w:val="sr-Cyrl-CS"/>
        </w:rPr>
        <w:t xml:space="preserve">Битно </w:t>
      </w:r>
      <w:r w:rsidR="001C5C65">
        <w:rPr>
          <w:rFonts w:ascii="Times New Roman" w:hAnsi="Times New Roman"/>
          <w:sz w:val="24"/>
          <w:szCs w:val="24"/>
          <w:lang w:val="sr-Cyrl-CS"/>
        </w:rPr>
        <w:t xml:space="preserve">је да су се код тих лица створили услови законског описа пореског чињеничног стања који </w:t>
      </w:r>
      <w:r w:rsidR="00522EC2">
        <w:rPr>
          <w:rFonts w:ascii="Times New Roman" w:hAnsi="Times New Roman"/>
          <w:sz w:val="24"/>
          <w:szCs w:val="24"/>
          <w:lang w:val="sr-Cyrl-CS"/>
        </w:rPr>
        <w:t>производе пореску обавезу</w:t>
      </w:r>
      <w:r w:rsidR="001C5C65">
        <w:rPr>
          <w:rFonts w:ascii="Times New Roman" w:hAnsi="Times New Roman"/>
          <w:sz w:val="24"/>
          <w:szCs w:val="24"/>
          <w:lang w:val="sr-Cyrl-CS"/>
        </w:rPr>
        <w:t xml:space="preserve">. </w:t>
      </w:r>
      <w:r w:rsidR="00522EC2">
        <w:rPr>
          <w:rFonts w:ascii="Times New Roman" w:hAnsi="Times New Roman"/>
          <w:sz w:val="24"/>
          <w:szCs w:val="24"/>
          <w:lang w:val="sr-Cyrl-CS"/>
        </w:rPr>
        <w:t>Пореској обавези подлежу не само</w:t>
      </w:r>
      <w:r w:rsidR="00D55269">
        <w:rPr>
          <w:rFonts w:ascii="Times New Roman" w:hAnsi="Times New Roman"/>
          <w:sz w:val="24"/>
          <w:szCs w:val="24"/>
          <w:lang w:val="sr-Cyrl-CS"/>
        </w:rPr>
        <w:t xml:space="preserve"> </w:t>
      </w:r>
      <w:r w:rsidR="001C5C65">
        <w:rPr>
          <w:rFonts w:ascii="Times New Roman" w:hAnsi="Times New Roman"/>
          <w:sz w:val="24"/>
          <w:szCs w:val="24"/>
          <w:lang w:val="sr-Cyrl-CS"/>
        </w:rPr>
        <w:t>држављани земље која је увела по</w:t>
      </w:r>
      <w:r w:rsidR="002533F9">
        <w:rPr>
          <w:rFonts w:ascii="Times New Roman" w:hAnsi="Times New Roman"/>
          <w:sz w:val="24"/>
          <w:szCs w:val="24"/>
          <w:lang w:val="sr-Cyrl-CS"/>
        </w:rPr>
        <w:t>р</w:t>
      </w:r>
      <w:r w:rsidR="001C5C65">
        <w:rPr>
          <w:rFonts w:ascii="Times New Roman" w:hAnsi="Times New Roman"/>
          <w:sz w:val="24"/>
          <w:szCs w:val="24"/>
          <w:lang w:val="sr-Cyrl-CS"/>
        </w:rPr>
        <w:t xml:space="preserve">ез, </w:t>
      </w:r>
      <w:r w:rsidR="00522EC2">
        <w:rPr>
          <w:rFonts w:ascii="Times New Roman" w:hAnsi="Times New Roman"/>
          <w:sz w:val="24"/>
          <w:szCs w:val="24"/>
          <w:lang w:val="sr-Cyrl-CS"/>
        </w:rPr>
        <w:t>него</w:t>
      </w:r>
      <w:r w:rsidR="001C5C65">
        <w:rPr>
          <w:rFonts w:ascii="Times New Roman" w:hAnsi="Times New Roman"/>
          <w:sz w:val="24"/>
          <w:szCs w:val="24"/>
          <w:lang w:val="sr-Cyrl-CS"/>
        </w:rPr>
        <w:t xml:space="preserve"> и странци који на територији дате земље остварују приход који је подложан опорезовању.</w:t>
      </w:r>
      <w:r w:rsidR="001C5C65">
        <w:rPr>
          <w:rStyle w:val="FootnoteReference"/>
          <w:rFonts w:ascii="Times New Roman" w:hAnsi="Times New Roman"/>
          <w:sz w:val="24"/>
          <w:szCs w:val="24"/>
          <w:lang w:val="sr-Cyrl-CS"/>
        </w:rPr>
        <w:footnoteReference w:id="37"/>
      </w:r>
      <w:r>
        <w:rPr>
          <w:rFonts w:ascii="Times New Roman" w:hAnsi="Times New Roman"/>
          <w:sz w:val="24"/>
          <w:szCs w:val="24"/>
          <w:lang w:val="sr-Cyrl-CS"/>
        </w:rPr>
        <w:t xml:space="preserve"> Према томе</w:t>
      </w:r>
      <w:r w:rsidR="002533F9">
        <w:rPr>
          <w:rFonts w:ascii="Times New Roman" w:hAnsi="Times New Roman"/>
          <w:sz w:val="24"/>
          <w:szCs w:val="24"/>
          <w:lang w:val="sr-Cyrl-CS"/>
        </w:rPr>
        <w:t>,</w:t>
      </w:r>
      <w:r>
        <w:rPr>
          <w:rFonts w:ascii="Times New Roman" w:hAnsi="Times New Roman"/>
          <w:sz w:val="24"/>
          <w:szCs w:val="24"/>
          <w:lang w:val="sr-Cyrl-CS"/>
        </w:rPr>
        <w:t xml:space="preserve"> припадност одређеној територији намеће обавезу плаћања пореза, на основу финанс</w:t>
      </w:r>
      <w:r w:rsidR="00D55269">
        <w:rPr>
          <w:rFonts w:ascii="Times New Roman" w:hAnsi="Times New Roman"/>
          <w:sz w:val="24"/>
          <w:szCs w:val="24"/>
          <w:lang w:val="sr-Cyrl-CS"/>
        </w:rPr>
        <w:t>ијског суверени</w:t>
      </w:r>
      <w:r w:rsidR="009551E3">
        <w:rPr>
          <w:rFonts w:ascii="Times New Roman" w:hAnsi="Times New Roman"/>
          <w:sz w:val="24"/>
          <w:szCs w:val="24"/>
          <w:lang w:val="sr-Cyrl-CS"/>
        </w:rPr>
        <w:t>т</w:t>
      </w:r>
      <w:r w:rsidR="00D55269">
        <w:rPr>
          <w:rFonts w:ascii="Times New Roman" w:hAnsi="Times New Roman"/>
          <w:sz w:val="24"/>
          <w:szCs w:val="24"/>
          <w:lang w:val="sr-Cyrl-CS"/>
        </w:rPr>
        <w:t>ета једне државе.</w:t>
      </w:r>
    </w:p>
    <w:p w:rsidR="00BA36C1" w:rsidRDefault="00BA36C1" w:rsidP="002533F9">
      <w:pPr>
        <w:ind w:firstLine="360"/>
        <w:jc w:val="both"/>
        <w:rPr>
          <w:rFonts w:ascii="Times New Roman" w:hAnsi="Times New Roman"/>
          <w:sz w:val="24"/>
          <w:szCs w:val="24"/>
          <w:lang w:val="sr-Cyrl-CS"/>
        </w:rPr>
      </w:pPr>
    </w:p>
    <w:p w:rsidR="00A408F5" w:rsidRDefault="00343AE0" w:rsidP="0077618E">
      <w:pPr>
        <w:ind w:left="720"/>
        <w:jc w:val="center"/>
        <w:rPr>
          <w:rFonts w:ascii="Times New Roman" w:hAnsi="Times New Roman"/>
          <w:b/>
          <w:sz w:val="24"/>
          <w:szCs w:val="24"/>
          <w:lang w:val="sr-Cyrl-CS"/>
        </w:rPr>
      </w:pPr>
      <w:r>
        <w:rPr>
          <w:rFonts w:ascii="Times New Roman" w:hAnsi="Times New Roman"/>
          <w:b/>
          <w:sz w:val="24"/>
          <w:szCs w:val="24"/>
          <w:lang w:val="sr-Cyrl-CS"/>
        </w:rPr>
        <w:t>2.4</w:t>
      </w:r>
      <w:r w:rsidR="00A408F5">
        <w:rPr>
          <w:rFonts w:ascii="Times New Roman" w:hAnsi="Times New Roman"/>
          <w:b/>
          <w:sz w:val="24"/>
          <w:szCs w:val="24"/>
          <w:lang w:val="sr-Cyrl-CS"/>
        </w:rPr>
        <w:t>. Порез као историјска категорија</w:t>
      </w:r>
    </w:p>
    <w:p w:rsidR="00A408F5" w:rsidRDefault="00A408F5" w:rsidP="00A408F5">
      <w:pPr>
        <w:ind w:left="720"/>
        <w:jc w:val="both"/>
        <w:rPr>
          <w:rFonts w:ascii="Times New Roman" w:hAnsi="Times New Roman"/>
          <w:b/>
          <w:sz w:val="24"/>
          <w:szCs w:val="24"/>
          <w:lang w:val="sr-Cyrl-CS"/>
        </w:rPr>
      </w:pPr>
    </w:p>
    <w:p w:rsidR="00A408F5" w:rsidRDefault="00A408F5" w:rsidP="00A408F5">
      <w:pPr>
        <w:ind w:firstLine="708"/>
        <w:jc w:val="both"/>
        <w:rPr>
          <w:rFonts w:ascii="Times New Roman" w:hAnsi="Times New Roman"/>
          <w:sz w:val="24"/>
          <w:szCs w:val="24"/>
          <w:lang w:val="sr-Cyrl-CS"/>
        </w:rPr>
      </w:pPr>
      <w:r w:rsidRPr="001334C8">
        <w:rPr>
          <w:rFonts w:ascii="Times New Roman" w:hAnsi="Times New Roman"/>
          <w:sz w:val="24"/>
          <w:szCs w:val="24"/>
          <w:lang w:val="sr-Cyrl-CS"/>
        </w:rPr>
        <w:t xml:space="preserve">Порези су </w:t>
      </w:r>
      <w:r>
        <w:rPr>
          <w:rFonts w:ascii="Times New Roman" w:hAnsi="Times New Roman"/>
          <w:sz w:val="24"/>
          <w:szCs w:val="24"/>
          <w:lang w:val="sr-Cyrl-CS"/>
        </w:rPr>
        <w:t>ст</w:t>
      </w:r>
      <w:r w:rsidR="00AC2F0A">
        <w:rPr>
          <w:rFonts w:ascii="Times New Roman" w:hAnsi="Times New Roman"/>
          <w:sz w:val="24"/>
          <w:szCs w:val="24"/>
          <w:lang w:val="sr-Cyrl-CS"/>
        </w:rPr>
        <w:t>ари колико и људско друштво због тога што</w:t>
      </w:r>
      <w:r>
        <w:rPr>
          <w:rFonts w:ascii="Times New Roman" w:hAnsi="Times New Roman"/>
          <w:sz w:val="24"/>
          <w:szCs w:val="24"/>
          <w:lang w:val="sr-Cyrl-CS"/>
        </w:rPr>
        <w:t xml:space="preserve"> су свакој држави потребна финансијска средства </w:t>
      </w:r>
      <w:r w:rsidR="00AC2F0A">
        <w:rPr>
          <w:rFonts w:ascii="Times New Roman" w:hAnsi="Times New Roman"/>
          <w:sz w:val="24"/>
          <w:szCs w:val="24"/>
          <w:lang w:val="sr-Cyrl-CS"/>
        </w:rPr>
        <w:t>како би се фина</w:t>
      </w:r>
      <w:r w:rsidR="00FF7719">
        <w:rPr>
          <w:rFonts w:ascii="Times New Roman" w:hAnsi="Times New Roman"/>
          <w:sz w:val="24"/>
          <w:szCs w:val="24"/>
          <w:lang w:val="sr-Cyrl-CS"/>
        </w:rPr>
        <w:t>н</w:t>
      </w:r>
      <w:r w:rsidR="00AC2F0A">
        <w:rPr>
          <w:rFonts w:ascii="Times New Roman" w:hAnsi="Times New Roman"/>
          <w:sz w:val="24"/>
          <w:szCs w:val="24"/>
          <w:lang w:val="sr-Cyrl-CS"/>
        </w:rPr>
        <w:t>сирале различите</w:t>
      </w:r>
      <w:r w:rsidR="00FF7719">
        <w:rPr>
          <w:rFonts w:ascii="Times New Roman" w:hAnsi="Times New Roman"/>
          <w:sz w:val="24"/>
          <w:szCs w:val="24"/>
          <w:lang w:val="sr-Cyrl-CS"/>
        </w:rPr>
        <w:t xml:space="preserve"> потребе</w:t>
      </w:r>
      <w:r>
        <w:rPr>
          <w:rFonts w:ascii="Times New Roman" w:hAnsi="Times New Roman"/>
          <w:sz w:val="24"/>
          <w:szCs w:val="24"/>
          <w:lang w:val="sr-Cyrl-CS"/>
        </w:rPr>
        <w:t xml:space="preserve">. </w:t>
      </w:r>
      <w:r w:rsidR="00AC2F0A">
        <w:rPr>
          <w:rFonts w:ascii="Times New Roman" w:hAnsi="Times New Roman"/>
          <w:sz w:val="24"/>
          <w:szCs w:val="24"/>
          <w:lang w:val="sr-Cyrl-CS"/>
        </w:rPr>
        <w:t>Извесне зачетке мисли о финансијама налазимо још код античких мислилаца Аристотела и Ксенофона</w:t>
      </w:r>
      <w:r>
        <w:rPr>
          <w:rFonts w:ascii="Times New Roman" w:hAnsi="Times New Roman"/>
          <w:sz w:val="24"/>
          <w:szCs w:val="24"/>
          <w:lang w:val="sr-Cyrl-CS"/>
        </w:rPr>
        <w:t>.</w:t>
      </w:r>
      <w:r w:rsidR="00AC2F0A">
        <w:rPr>
          <w:rFonts w:ascii="Times New Roman" w:hAnsi="Times New Roman"/>
          <w:sz w:val="24"/>
          <w:szCs w:val="24"/>
          <w:lang w:val="sr-Cyrl-CS"/>
        </w:rPr>
        <w:t xml:space="preserve"> При том, најстарији део финанси</w:t>
      </w:r>
      <w:r w:rsidR="009551E3">
        <w:rPr>
          <w:rFonts w:ascii="Times New Roman" w:hAnsi="Times New Roman"/>
          <w:sz w:val="24"/>
          <w:szCs w:val="24"/>
          <w:lang w:val="sr-Cyrl-CS"/>
        </w:rPr>
        <w:t>јске мисли, односно предмет финан</w:t>
      </w:r>
      <w:r w:rsidR="00AC2F0A">
        <w:rPr>
          <w:rFonts w:ascii="Times New Roman" w:hAnsi="Times New Roman"/>
          <w:sz w:val="24"/>
          <w:szCs w:val="24"/>
          <w:lang w:val="sr-Cyrl-CS"/>
        </w:rPr>
        <w:t>сијске науке су државни приходи.</w:t>
      </w:r>
      <w:r>
        <w:rPr>
          <w:rStyle w:val="FootnoteReference"/>
          <w:rFonts w:ascii="Times New Roman" w:hAnsi="Times New Roman"/>
          <w:sz w:val="24"/>
          <w:szCs w:val="24"/>
          <w:lang w:val="sr-Cyrl-CS"/>
        </w:rPr>
        <w:footnoteReference w:id="38"/>
      </w:r>
      <w:r>
        <w:rPr>
          <w:rFonts w:ascii="Times New Roman" w:hAnsi="Times New Roman"/>
          <w:sz w:val="24"/>
          <w:szCs w:val="24"/>
          <w:lang w:val="sr-Cyrl-CS"/>
        </w:rPr>
        <w:t xml:space="preserve"> </w:t>
      </w:r>
    </w:p>
    <w:p w:rsidR="00A408F5" w:rsidRDefault="00A408F5" w:rsidP="00A408F5">
      <w:pPr>
        <w:ind w:firstLine="360"/>
        <w:jc w:val="both"/>
        <w:rPr>
          <w:rFonts w:ascii="Times New Roman" w:hAnsi="Times New Roman"/>
          <w:sz w:val="24"/>
          <w:szCs w:val="24"/>
          <w:lang w:val="sr-Cyrl-CS"/>
        </w:rPr>
      </w:pPr>
      <w:r>
        <w:rPr>
          <w:rFonts w:ascii="Times New Roman" w:hAnsi="Times New Roman"/>
          <w:sz w:val="24"/>
          <w:szCs w:val="24"/>
          <w:lang w:val="sr-Cyrl-CS"/>
        </w:rPr>
        <w:t>У најстаријим временима порез</w:t>
      </w:r>
      <w:r>
        <w:rPr>
          <w:rStyle w:val="FootnoteReference"/>
          <w:rFonts w:ascii="Times New Roman" w:hAnsi="Times New Roman"/>
          <w:sz w:val="24"/>
          <w:szCs w:val="24"/>
          <w:lang w:val="sr-Cyrl-CS"/>
        </w:rPr>
        <w:footnoteReference w:id="39"/>
      </w:r>
      <w:r>
        <w:rPr>
          <w:rFonts w:ascii="Times New Roman" w:hAnsi="Times New Roman"/>
          <w:sz w:val="24"/>
          <w:szCs w:val="24"/>
          <w:lang w:val="sr-Cyrl-CS"/>
        </w:rPr>
        <w:t xml:space="preserve"> није био обавезно давање, већ поклон. У старој Грчкој најпре су постојали поклони властодршцу, па су се постепено претварали у обавезна давања, онда када су ратови захтевали велике издатке за плаћање најамне војске. Богатство се утврђивало према имовини, а не према дохотку појединца, па су редовни порези били порези на имовину, а не лични порези. У Риму су постојали посредни и непосредни порези. Како се новац улагао у куповину робова, порески систем се развио у правцу посредних пореза и то: пореза на куповину и продају робова и порез на наслеђе. Од непосредних пореза били су заступљени главарина и земљарина. Римски цар Ди</w:t>
      </w:r>
      <w:r w:rsidR="00AF47D7">
        <w:rPr>
          <w:rFonts w:ascii="Times New Roman" w:hAnsi="Times New Roman"/>
          <w:sz w:val="24"/>
          <w:szCs w:val="24"/>
          <w:lang w:val="sr-Cyrl-CS"/>
        </w:rPr>
        <w:t>о</w:t>
      </w:r>
      <w:r>
        <w:rPr>
          <w:rFonts w:ascii="Times New Roman" w:hAnsi="Times New Roman"/>
          <w:sz w:val="24"/>
          <w:szCs w:val="24"/>
          <w:lang w:val="sr-Cyrl-CS"/>
        </w:rPr>
        <w:t>клецијан је успоставио аутократски облик владавине и з</w:t>
      </w:r>
      <w:r w:rsidR="00AF47D7">
        <w:rPr>
          <w:rFonts w:ascii="Times New Roman" w:hAnsi="Times New Roman"/>
          <w:sz w:val="24"/>
          <w:szCs w:val="24"/>
          <w:lang w:val="sr-Cyrl-CS"/>
        </w:rPr>
        <w:t>а</w:t>
      </w:r>
      <w:r>
        <w:rPr>
          <w:rFonts w:ascii="Times New Roman" w:hAnsi="Times New Roman"/>
          <w:sz w:val="24"/>
          <w:szCs w:val="24"/>
          <w:lang w:val="sr-Cyrl-CS"/>
        </w:rPr>
        <w:t>вршио реформе у облас</w:t>
      </w:r>
      <w:r w:rsidR="00AF47D7">
        <w:rPr>
          <w:rFonts w:ascii="Times New Roman" w:hAnsi="Times New Roman"/>
          <w:sz w:val="24"/>
          <w:szCs w:val="24"/>
          <w:lang w:val="sr-Cyrl-CS"/>
        </w:rPr>
        <w:t>ти пореског система и финансија.</w:t>
      </w:r>
      <w:r>
        <w:rPr>
          <w:rFonts w:ascii="Times New Roman" w:hAnsi="Times New Roman"/>
          <w:sz w:val="24"/>
          <w:szCs w:val="24"/>
          <w:lang w:val="sr-Cyrl-CS"/>
        </w:rPr>
        <w:t xml:space="preserve"> Све веће потребе државе довеле су до увођења код на</w:t>
      </w:r>
      <w:r w:rsidR="00AF47D7">
        <w:rPr>
          <w:rFonts w:ascii="Times New Roman" w:hAnsi="Times New Roman"/>
          <w:sz w:val="24"/>
          <w:szCs w:val="24"/>
          <w:lang w:val="sr-Cyrl-CS"/>
        </w:rPr>
        <w:t>плате пореза фискалних јединица.</w:t>
      </w:r>
      <w:r>
        <w:rPr>
          <w:rFonts w:ascii="Times New Roman" w:hAnsi="Times New Roman"/>
          <w:sz w:val="24"/>
          <w:szCs w:val="24"/>
          <w:lang w:val="sr-Cyrl-CS"/>
        </w:rPr>
        <w:t xml:space="preserve"> </w:t>
      </w:r>
      <w:r w:rsidR="00AF47D7">
        <w:rPr>
          <w:rFonts w:ascii="Times New Roman" w:hAnsi="Times New Roman"/>
          <w:sz w:val="24"/>
          <w:szCs w:val="24"/>
          <w:lang w:val="sr-Cyrl-CS"/>
        </w:rPr>
        <w:t>П</w:t>
      </w:r>
      <w:r>
        <w:rPr>
          <w:rFonts w:ascii="Times New Roman" w:hAnsi="Times New Roman"/>
          <w:sz w:val="24"/>
          <w:szCs w:val="24"/>
          <w:lang w:val="sr-Cyrl-CS"/>
        </w:rPr>
        <w:t xml:space="preserve">роцењиван је сваки део имовине и порез се одређивао према фискалној јединици. </w:t>
      </w:r>
    </w:p>
    <w:p w:rsidR="00A408F5" w:rsidRDefault="00A408F5" w:rsidP="00A408F5">
      <w:pPr>
        <w:ind w:firstLine="360"/>
        <w:jc w:val="both"/>
        <w:rPr>
          <w:rFonts w:ascii="Times New Roman" w:hAnsi="Times New Roman"/>
          <w:sz w:val="24"/>
          <w:szCs w:val="24"/>
          <w:lang w:val="sr-Cyrl-CS"/>
        </w:rPr>
      </w:pPr>
      <w:r>
        <w:rPr>
          <w:rFonts w:ascii="Times New Roman" w:hAnsi="Times New Roman"/>
          <w:sz w:val="24"/>
          <w:szCs w:val="24"/>
          <w:lang w:val="sr-Cyrl-CS"/>
        </w:rPr>
        <w:t>Први облици опорезивања настају, дакле, веома рано са првим облицима организоване државе и помињу се и у најстаријим свети књигама.</w:t>
      </w:r>
    </w:p>
    <w:p w:rsidR="00A408F5" w:rsidRPr="00393347" w:rsidRDefault="00A408F5" w:rsidP="00A408F5">
      <w:pPr>
        <w:ind w:firstLine="360"/>
        <w:jc w:val="both"/>
        <w:rPr>
          <w:rFonts w:ascii="Times New Roman" w:hAnsi="Times New Roman"/>
          <w:sz w:val="24"/>
          <w:szCs w:val="24"/>
          <w:lang w:val="sr-Cyrl-CS"/>
        </w:rPr>
      </w:pPr>
      <w:r>
        <w:rPr>
          <w:rFonts w:ascii="Times New Roman" w:hAnsi="Times New Roman"/>
          <w:sz w:val="24"/>
          <w:szCs w:val="24"/>
          <w:lang w:val="sr-Cyrl-CS"/>
        </w:rPr>
        <w:t xml:space="preserve">У Новом завету у Посланици Римљанима се наводи: 4 „Власти нам је Бог дао да нам буду од помоћи. Ако ли зло чиниш бој се, јер оне служе да казне људе који гневе Бога тиме што чине зло“. 5 „Зато им буди послушан да не будеш кажњен и да ти савест буде чиста“. 6 „Зато и порезе дајете, јер су слуге Божије које су зато и постављене“ 7 </w:t>
      </w:r>
      <w:r>
        <w:rPr>
          <w:rFonts w:ascii="Times New Roman" w:hAnsi="Times New Roman"/>
          <w:sz w:val="24"/>
          <w:szCs w:val="24"/>
          <w:lang w:val="sr-Cyrl-CS"/>
        </w:rPr>
        <w:lastRenderedPageBreak/>
        <w:t>„Подајте дакле свакоме што сте дужни, порезницима порез, цариницима царину, а коме страх, страх, а коме част, част“.</w:t>
      </w:r>
      <w:r>
        <w:rPr>
          <w:rStyle w:val="FootnoteReference"/>
          <w:rFonts w:ascii="Times New Roman" w:hAnsi="Times New Roman"/>
          <w:sz w:val="24"/>
          <w:szCs w:val="24"/>
          <w:lang w:val="sr-Cyrl-CS"/>
        </w:rPr>
        <w:footnoteReference w:id="40"/>
      </w:r>
    </w:p>
    <w:p w:rsidR="00A408F5" w:rsidRDefault="00A408F5" w:rsidP="00A408F5">
      <w:pPr>
        <w:ind w:firstLine="360"/>
        <w:jc w:val="both"/>
        <w:rPr>
          <w:rFonts w:ascii="Times New Roman" w:hAnsi="Times New Roman"/>
          <w:sz w:val="24"/>
          <w:szCs w:val="24"/>
          <w:lang w:val="sr-Cyrl-CS"/>
        </w:rPr>
      </w:pPr>
      <w:r>
        <w:rPr>
          <w:rFonts w:ascii="Times New Roman" w:hAnsi="Times New Roman"/>
          <w:sz w:val="24"/>
          <w:szCs w:val="24"/>
          <w:lang w:val="sr-Cyrl-CS"/>
        </w:rPr>
        <w:t>Позната Исусова изрека која се односи на порезе, а којом је одговорио на питање да ли Јевреји треба да  плаћају порез римск</w:t>
      </w:r>
      <w:r w:rsidR="00AD3A10">
        <w:rPr>
          <w:rFonts w:ascii="Times New Roman" w:hAnsi="Times New Roman"/>
          <w:sz w:val="24"/>
          <w:szCs w:val="24"/>
          <w:lang w:val="sr-Cyrl-CS"/>
        </w:rPr>
        <w:t>ом цару у Јудеји, забележена у ј</w:t>
      </w:r>
      <w:r>
        <w:rPr>
          <w:rFonts w:ascii="Times New Roman" w:hAnsi="Times New Roman"/>
          <w:sz w:val="24"/>
          <w:szCs w:val="24"/>
          <w:lang w:val="sr-Cyrl-CS"/>
        </w:rPr>
        <w:t xml:space="preserve">еванђељу по Матеју, Марку и Луки, као и у јеванђељу по Томи, послужила је за различита тумачења односа цркве и државе. Радило се о главарини чије је плаћање изазвало отпор плаћању пореза, који је довео до побуне. У поменутим јеванђељима се наводи: „ Тада фарисеји одоше и договорише се како да Исуса ухвате у речи, па му послаше своје ученике заједно са иродовцима. „Учитељу“, рекоше ови, „Знамо да си истинољубив и да народ учиш Божјем путу у складу са истином, и да се ни на кога не обазиреш јер не гледаш ко је. Зато нам реци шта мислиш : да ли је право да се цару даје порез или није ?“. Али, Исус, знајући њихове зле намере, рече: „ Лицемери! Зашто ме искушавате? </w:t>
      </w:r>
      <w:r w:rsidR="00D976D7">
        <w:rPr>
          <w:rFonts w:ascii="Times New Roman" w:hAnsi="Times New Roman"/>
          <w:sz w:val="24"/>
          <w:szCs w:val="24"/>
          <w:lang w:val="sr-Cyrl-CS"/>
        </w:rPr>
        <w:t>Покажите ми новчић за порез“, (п</w:t>
      </w:r>
      <w:r>
        <w:rPr>
          <w:rFonts w:ascii="Times New Roman" w:hAnsi="Times New Roman"/>
          <w:sz w:val="24"/>
          <w:szCs w:val="24"/>
          <w:lang w:val="sr-Cyrl-CS"/>
        </w:rPr>
        <w:t>а када су му показали но</w:t>
      </w:r>
      <w:r w:rsidR="00D976D7">
        <w:rPr>
          <w:rFonts w:ascii="Times New Roman" w:hAnsi="Times New Roman"/>
          <w:sz w:val="24"/>
          <w:szCs w:val="24"/>
          <w:lang w:val="sr-Cyrl-CS"/>
        </w:rPr>
        <w:t>вчић са натписом и ликом цара) т</w:t>
      </w:r>
      <w:r>
        <w:rPr>
          <w:rFonts w:ascii="Times New Roman" w:hAnsi="Times New Roman"/>
          <w:sz w:val="24"/>
          <w:szCs w:val="24"/>
          <w:lang w:val="sr-Cyrl-CS"/>
        </w:rPr>
        <w:t>ада им он рече: „Дајте, дакле, цару царево, а Богу божје“.</w:t>
      </w:r>
      <w:r>
        <w:rPr>
          <w:rStyle w:val="FootnoteReference"/>
          <w:rFonts w:ascii="Times New Roman" w:hAnsi="Times New Roman"/>
          <w:sz w:val="24"/>
          <w:szCs w:val="24"/>
          <w:lang w:val="sr-Cyrl-CS"/>
        </w:rPr>
        <w:footnoteReference w:id="41"/>
      </w:r>
    </w:p>
    <w:p w:rsidR="00A408F5" w:rsidRDefault="00A408F5" w:rsidP="00A408F5">
      <w:pPr>
        <w:ind w:firstLine="360"/>
        <w:jc w:val="both"/>
        <w:rPr>
          <w:rFonts w:ascii="Times New Roman" w:hAnsi="Times New Roman"/>
          <w:sz w:val="24"/>
          <w:szCs w:val="24"/>
          <w:lang w:val="sr-Cyrl-CS"/>
        </w:rPr>
      </w:pPr>
      <w:r>
        <w:rPr>
          <w:rFonts w:ascii="Times New Roman" w:hAnsi="Times New Roman"/>
          <w:sz w:val="24"/>
          <w:szCs w:val="24"/>
          <w:lang w:val="sr-Cyrl-CS"/>
        </w:rPr>
        <w:t>По неким ауторима главни и пресудан разлог због кога је Понтије Пилат погубио Исуса, јесте управо његово противљење плаћању римским порезима. Тако се у јеванђељу по Луки наводи: „Онда сви устадоше и одведоше Исуса Пилату, па почеше да га оптужују говорећи: Нашли смо онога ко заводи наш народ и противи се плаћању пореза цару....Пилат сазва првосвештенике, поглаваре и народ па им рече: Довели сте ми овог човека под оптужбом да подбуњује народ....и нисам нашао да је крив за оно за шта га оптужујете. А није нашао ни Ирод, јер нам га је послао назад.....Али они су и даље веома гласно и упорно тражили да Исус буде распет. И њихови повци превагнуше па Пилат одлучи да удовољи њиховом захтеву.</w:t>
      </w:r>
      <w:r>
        <w:rPr>
          <w:rStyle w:val="FootnoteReference"/>
          <w:rFonts w:ascii="Times New Roman" w:hAnsi="Times New Roman"/>
          <w:sz w:val="24"/>
          <w:szCs w:val="24"/>
          <w:lang w:val="sr-Cyrl-CS"/>
        </w:rPr>
        <w:footnoteReference w:id="42"/>
      </w:r>
    </w:p>
    <w:p w:rsidR="00A408F5" w:rsidRPr="00CC1A73" w:rsidRDefault="00A408F5" w:rsidP="00A408F5">
      <w:pPr>
        <w:ind w:firstLine="360"/>
        <w:jc w:val="both"/>
        <w:rPr>
          <w:rFonts w:ascii="Times New Roman" w:hAnsi="Times New Roman"/>
          <w:sz w:val="24"/>
          <w:szCs w:val="24"/>
          <w:lang w:val="sr-Cyrl-CS"/>
        </w:rPr>
      </w:pPr>
      <w:r>
        <w:rPr>
          <w:rFonts w:ascii="Times New Roman" w:hAnsi="Times New Roman"/>
          <w:sz w:val="24"/>
          <w:szCs w:val="24"/>
          <w:lang w:val="sr-Cyrl-CS"/>
        </w:rPr>
        <w:t>Ислам се још од оснивача Мухамеда бавио порезима и сам Мухамед је био трговац. Ислам забрањује директно опорезивање осим за војску у ванредним ситуацијама. Муслиманима налаже давање пореза тзв.</w:t>
      </w:r>
      <w:r w:rsidR="00AE2197">
        <w:rPr>
          <w:rFonts w:ascii="Times New Roman" w:hAnsi="Times New Roman"/>
          <w:sz w:val="24"/>
          <w:szCs w:val="24"/>
          <w:lang w:val="sr-Cyrl-CS"/>
        </w:rPr>
        <w:t xml:space="preserve"> </w:t>
      </w:r>
      <w:r w:rsidRPr="002A1897">
        <w:rPr>
          <w:rFonts w:ascii="Times New Roman" w:hAnsi="Times New Roman"/>
          <w:sz w:val="24"/>
          <w:szCs w:val="24"/>
          <w:lang w:val="sr-Cyrl-CS"/>
        </w:rPr>
        <w:t>зеката</w:t>
      </w:r>
      <w:r>
        <w:rPr>
          <w:rFonts w:ascii="Times New Roman" w:hAnsi="Times New Roman"/>
          <w:sz w:val="24"/>
          <w:szCs w:val="24"/>
          <w:lang w:val="sr-Cyrl-CS"/>
        </w:rPr>
        <w:t xml:space="preserve">.  Према исламском схватању порез је различит у зависности од верске припадности. Исламски закон који све то прописује је Шеријат. У Курану и према </w:t>
      </w:r>
      <w:r w:rsidRPr="002A1897">
        <w:rPr>
          <w:rFonts w:ascii="Times New Roman" w:hAnsi="Times New Roman"/>
          <w:sz w:val="24"/>
          <w:szCs w:val="24"/>
          <w:lang w:val="sr-Cyrl-CS"/>
        </w:rPr>
        <w:t>хадисима</w:t>
      </w:r>
      <w:r w:rsidRPr="007617D7">
        <w:rPr>
          <w:rFonts w:ascii="Times New Roman" w:hAnsi="Times New Roman"/>
          <w:b/>
          <w:sz w:val="24"/>
          <w:szCs w:val="24"/>
          <w:lang w:val="sr-Cyrl-CS"/>
        </w:rPr>
        <w:t xml:space="preserve"> </w:t>
      </w:r>
      <w:r>
        <w:rPr>
          <w:rFonts w:ascii="Times New Roman" w:hAnsi="Times New Roman"/>
          <w:sz w:val="24"/>
          <w:szCs w:val="24"/>
          <w:lang w:val="sr-Cyrl-CS"/>
        </w:rPr>
        <w:t>(исламском предању) се наводи да Хришћани и Јевреји плаћају посебан порез тзв.</w:t>
      </w:r>
      <w:r w:rsidR="00AE2197">
        <w:rPr>
          <w:rFonts w:ascii="Times New Roman" w:hAnsi="Times New Roman"/>
          <w:sz w:val="24"/>
          <w:szCs w:val="24"/>
          <w:lang w:val="sr-Cyrl-CS"/>
        </w:rPr>
        <w:t xml:space="preserve"> </w:t>
      </w:r>
      <w:r>
        <w:rPr>
          <w:rFonts w:ascii="Times New Roman" w:hAnsi="Times New Roman"/>
          <w:sz w:val="24"/>
          <w:szCs w:val="24"/>
          <w:lang w:val="sr-Cyrl-CS"/>
        </w:rPr>
        <w:t>џизју због своје верске припадности.</w:t>
      </w:r>
      <w:r>
        <w:rPr>
          <w:rStyle w:val="FootnoteReference"/>
          <w:rFonts w:ascii="Times New Roman" w:hAnsi="Times New Roman"/>
          <w:sz w:val="24"/>
          <w:szCs w:val="24"/>
          <w:lang w:val="sr-Cyrl-CS"/>
        </w:rPr>
        <w:footnoteReference w:id="43"/>
      </w:r>
      <w:r>
        <w:rPr>
          <w:rFonts w:ascii="Times New Roman" w:hAnsi="Times New Roman"/>
          <w:sz w:val="24"/>
          <w:szCs w:val="24"/>
          <w:lang w:val="sr-Cyrl-CS"/>
        </w:rPr>
        <w:t xml:space="preserve"> </w:t>
      </w:r>
    </w:p>
    <w:p w:rsidR="00A408F5" w:rsidRPr="00F60CDE" w:rsidRDefault="00A408F5" w:rsidP="00F60CDE">
      <w:pPr>
        <w:ind w:firstLine="360"/>
        <w:jc w:val="both"/>
        <w:rPr>
          <w:rFonts w:ascii="Times New Roman" w:hAnsi="Times New Roman"/>
          <w:sz w:val="24"/>
          <w:szCs w:val="24"/>
          <w:lang w:val="sr-Cyrl-CS"/>
        </w:rPr>
      </w:pPr>
      <w:r>
        <w:rPr>
          <w:rFonts w:ascii="Times New Roman" w:hAnsi="Times New Roman"/>
          <w:sz w:val="24"/>
          <w:szCs w:val="24"/>
          <w:lang w:val="sr-Cyrl-CS"/>
        </w:rPr>
        <w:t>У време феудализма на место пореза долазе домени и регали. Доменски приходи били су основни извори државних прихода. У основи њиховог убирања било је власништво владара, као в</w:t>
      </w:r>
      <w:r w:rsidR="00D976D7">
        <w:rPr>
          <w:rFonts w:ascii="Times New Roman" w:hAnsi="Times New Roman"/>
          <w:sz w:val="24"/>
          <w:szCs w:val="24"/>
          <w:lang w:val="sr-Cyrl-CS"/>
        </w:rPr>
        <w:t>ласника земљишта, па су феудалцу</w:t>
      </w:r>
      <w:r>
        <w:rPr>
          <w:rFonts w:ascii="Times New Roman" w:hAnsi="Times New Roman"/>
          <w:sz w:val="24"/>
          <w:szCs w:val="24"/>
          <w:lang w:val="sr-Cyrl-CS"/>
        </w:rPr>
        <w:t xml:space="preserve"> кметови, као његови поданици, морали давати део производа које су остварили користећи његово земљиште. Регали су били приход средњевекових владара,  а до којих су долазили експлоатацијом извесних права и привилегија на монополски начин, као што је искоришћавање земљишта, саобраћаја, наплате царина, лов и риболов, право на ковање новца, </w:t>
      </w:r>
      <w:r>
        <w:rPr>
          <w:rFonts w:ascii="Times New Roman" w:hAnsi="Times New Roman"/>
          <w:sz w:val="24"/>
          <w:szCs w:val="24"/>
          <w:lang w:val="sr-Cyrl-CS"/>
        </w:rPr>
        <w:lastRenderedPageBreak/>
        <w:t xml:space="preserve">коришћење мостова итд. Регали су </w:t>
      </w:r>
      <w:r w:rsidR="0035397E">
        <w:rPr>
          <w:rFonts w:ascii="Times New Roman" w:hAnsi="Times New Roman"/>
          <w:sz w:val="24"/>
          <w:szCs w:val="24"/>
          <w:lang w:val="sr-Cyrl-CS"/>
        </w:rPr>
        <w:t>иако бројни често били недовољни</w:t>
      </w:r>
      <w:r>
        <w:rPr>
          <w:rFonts w:ascii="Times New Roman" w:hAnsi="Times New Roman"/>
          <w:sz w:val="24"/>
          <w:szCs w:val="24"/>
          <w:lang w:val="sr-Cyrl-CS"/>
        </w:rPr>
        <w:t xml:space="preserve"> </w:t>
      </w:r>
      <w:r w:rsidR="0035397E">
        <w:rPr>
          <w:rFonts w:ascii="Times New Roman" w:hAnsi="Times New Roman"/>
          <w:sz w:val="24"/>
          <w:szCs w:val="24"/>
          <w:lang w:val="sr-Cyrl-CS"/>
        </w:rPr>
        <w:t>због великих прохтева владара, па се због тога уводе</w:t>
      </w:r>
      <w:r>
        <w:rPr>
          <w:rFonts w:ascii="Times New Roman" w:hAnsi="Times New Roman"/>
          <w:sz w:val="24"/>
          <w:szCs w:val="24"/>
          <w:lang w:val="sr-Cyrl-CS"/>
        </w:rPr>
        <w:t xml:space="preserve"> порези који се јављају као средство за обезбеђење додатних прихода. </w:t>
      </w:r>
      <w:r w:rsidR="0035397E">
        <w:rPr>
          <w:rFonts w:ascii="Times New Roman" w:hAnsi="Times New Roman"/>
          <w:sz w:val="24"/>
          <w:szCs w:val="24"/>
          <w:lang w:val="sr-Cyrl-CS"/>
        </w:rPr>
        <w:t>Међутим, в</w:t>
      </w:r>
      <w:r>
        <w:rPr>
          <w:rFonts w:ascii="Times New Roman" w:hAnsi="Times New Roman"/>
          <w:sz w:val="24"/>
          <w:szCs w:val="24"/>
          <w:lang w:val="sr-Cyrl-CS"/>
        </w:rPr>
        <w:t xml:space="preserve">елики владарски намети </w:t>
      </w:r>
      <w:r w:rsidR="0035397E">
        <w:rPr>
          <w:rFonts w:ascii="Times New Roman" w:hAnsi="Times New Roman"/>
          <w:sz w:val="24"/>
          <w:szCs w:val="24"/>
          <w:lang w:val="sr-Cyrl-CS"/>
        </w:rPr>
        <w:t>су довели до честих сукоба</w:t>
      </w:r>
      <w:r>
        <w:rPr>
          <w:rFonts w:ascii="Times New Roman" w:hAnsi="Times New Roman"/>
          <w:sz w:val="24"/>
          <w:szCs w:val="24"/>
          <w:lang w:val="sr-Cyrl-CS"/>
        </w:rPr>
        <w:t xml:space="preserve"> између владара </w:t>
      </w:r>
      <w:r w:rsidR="0035397E">
        <w:rPr>
          <w:rFonts w:ascii="Times New Roman" w:hAnsi="Times New Roman"/>
          <w:sz w:val="24"/>
          <w:szCs w:val="24"/>
          <w:lang w:val="sr-Cyrl-CS"/>
        </w:rPr>
        <w:t xml:space="preserve">и племства. Тако је у Енглеској </w:t>
      </w:r>
      <w:r>
        <w:rPr>
          <w:rFonts w:ascii="Times New Roman" w:hAnsi="Times New Roman"/>
          <w:sz w:val="24"/>
          <w:szCs w:val="24"/>
          <w:lang w:val="sr-Cyrl-CS"/>
        </w:rPr>
        <w:t>донета Велика повеља о слободама (</w:t>
      </w:r>
      <w:r>
        <w:rPr>
          <w:rFonts w:ascii="Times New Roman" w:hAnsi="Times New Roman"/>
          <w:sz w:val="24"/>
          <w:szCs w:val="24"/>
        </w:rPr>
        <w:t>Magna Charta Libertatum)</w:t>
      </w:r>
      <w:r>
        <w:rPr>
          <w:rFonts w:ascii="Times New Roman" w:hAnsi="Times New Roman"/>
          <w:sz w:val="24"/>
          <w:szCs w:val="24"/>
          <w:lang w:val="sr-Cyrl-CS"/>
        </w:rPr>
        <w:t xml:space="preserve">, </w:t>
      </w:r>
      <w:r w:rsidR="0035397E">
        <w:rPr>
          <w:rFonts w:ascii="Times New Roman" w:hAnsi="Times New Roman"/>
          <w:sz w:val="24"/>
          <w:szCs w:val="24"/>
          <w:lang w:val="sr-Cyrl-CS"/>
        </w:rPr>
        <w:t>према којој</w:t>
      </w:r>
      <w:r>
        <w:rPr>
          <w:rFonts w:ascii="Times New Roman" w:hAnsi="Times New Roman"/>
          <w:sz w:val="24"/>
          <w:szCs w:val="24"/>
          <w:lang w:val="sr-Cyrl-CS"/>
        </w:rPr>
        <w:t xml:space="preserve"> се без пристанка пореских обвезника не може наплаћивати ни један порез.</w:t>
      </w:r>
      <w:r>
        <w:rPr>
          <w:rStyle w:val="FootnoteReference"/>
          <w:rFonts w:ascii="Times New Roman" w:hAnsi="Times New Roman"/>
          <w:sz w:val="24"/>
          <w:szCs w:val="24"/>
          <w:lang w:val="sr-Cyrl-CS"/>
        </w:rPr>
        <w:footnoteReference w:id="44"/>
      </w:r>
    </w:p>
    <w:p w:rsidR="00A408F5" w:rsidRPr="0092760D" w:rsidRDefault="00A408F5" w:rsidP="00A634D0">
      <w:pPr>
        <w:ind w:firstLine="360"/>
        <w:jc w:val="both"/>
        <w:rPr>
          <w:rFonts w:ascii="Times New Roman" w:hAnsi="Times New Roman"/>
          <w:sz w:val="24"/>
          <w:szCs w:val="24"/>
        </w:rPr>
      </w:pPr>
      <w:r>
        <w:rPr>
          <w:rFonts w:ascii="Times New Roman" w:hAnsi="Times New Roman"/>
          <w:sz w:val="24"/>
          <w:szCs w:val="24"/>
          <w:lang w:val="sr-Cyrl-CS"/>
        </w:rPr>
        <w:t>У Британији се рано појављују непос</w:t>
      </w:r>
      <w:r w:rsidR="00D976D7">
        <w:rPr>
          <w:rFonts w:ascii="Times New Roman" w:hAnsi="Times New Roman"/>
          <w:sz w:val="24"/>
          <w:szCs w:val="24"/>
          <w:lang w:val="sr-Cyrl-CS"/>
        </w:rPr>
        <w:t>р</w:t>
      </w:r>
      <w:r>
        <w:rPr>
          <w:rFonts w:ascii="Times New Roman" w:hAnsi="Times New Roman"/>
          <w:sz w:val="24"/>
          <w:szCs w:val="24"/>
          <w:lang w:val="sr-Cyrl-CS"/>
        </w:rPr>
        <w:t>едни порези, као новчана накнада за учествовање у</w:t>
      </w:r>
      <w:r w:rsidR="00D976D7">
        <w:rPr>
          <w:rFonts w:ascii="Times New Roman" w:hAnsi="Times New Roman"/>
          <w:sz w:val="24"/>
          <w:szCs w:val="24"/>
          <w:lang w:val="sr-Cyrl-CS"/>
        </w:rPr>
        <w:t xml:space="preserve"> </w:t>
      </w:r>
      <w:r>
        <w:rPr>
          <w:rFonts w:ascii="Times New Roman" w:hAnsi="Times New Roman"/>
          <w:sz w:val="24"/>
          <w:szCs w:val="24"/>
          <w:lang w:val="sr-Cyrl-CS"/>
        </w:rPr>
        <w:t>ратовима које је та земља стално водила са континентом. Нарочит</w:t>
      </w:r>
      <w:r w:rsidR="00AF47D7">
        <w:rPr>
          <w:rFonts w:ascii="Times New Roman" w:hAnsi="Times New Roman"/>
          <w:sz w:val="24"/>
          <w:szCs w:val="24"/>
          <w:lang w:val="sr-Cyrl-CS"/>
        </w:rPr>
        <w:t>о је био важан порез на имовину</w:t>
      </w:r>
      <w:r>
        <w:rPr>
          <w:rFonts w:ascii="Times New Roman" w:hAnsi="Times New Roman"/>
          <w:sz w:val="24"/>
          <w:szCs w:val="24"/>
          <w:lang w:val="sr-Cyrl-CS"/>
        </w:rPr>
        <w:t xml:space="preserve"> који се јавио већ од XII века. У Француској су се порези нешто спорије развијали, јер је и народ своја права тамо могао доцније да оствари. Два</w:t>
      </w:r>
      <w:r w:rsidR="00D976D7">
        <w:rPr>
          <w:rFonts w:ascii="Times New Roman" w:hAnsi="Times New Roman"/>
          <w:sz w:val="24"/>
          <w:szCs w:val="24"/>
          <w:lang w:val="sr-Cyrl-CS"/>
        </w:rPr>
        <w:t xml:space="preserve"> позната пореска облика </w:t>
      </w:r>
      <w:r>
        <w:rPr>
          <w:rFonts w:ascii="Times New Roman" w:hAnsi="Times New Roman"/>
          <w:sz w:val="24"/>
          <w:szCs w:val="24"/>
          <w:lang w:val="sr-Cyrl-CS"/>
        </w:rPr>
        <w:t xml:space="preserve">су „Ед“ </w:t>
      </w:r>
      <w:r>
        <w:rPr>
          <w:rFonts w:ascii="Times New Roman" w:hAnsi="Times New Roman"/>
          <w:sz w:val="24"/>
          <w:szCs w:val="24"/>
        </w:rPr>
        <w:t xml:space="preserve">(Aide) </w:t>
      </w:r>
      <w:r>
        <w:rPr>
          <w:rFonts w:ascii="Times New Roman" w:hAnsi="Times New Roman"/>
          <w:sz w:val="24"/>
          <w:szCs w:val="24"/>
          <w:lang w:val="sr-Cyrl-CS"/>
        </w:rPr>
        <w:t>и „Тај“</w:t>
      </w:r>
      <w:r>
        <w:rPr>
          <w:rFonts w:ascii="Times New Roman" w:hAnsi="Times New Roman"/>
          <w:sz w:val="24"/>
          <w:szCs w:val="24"/>
        </w:rPr>
        <w:t xml:space="preserve"> (Taille)</w:t>
      </w:r>
      <w:r>
        <w:rPr>
          <w:rFonts w:ascii="Times New Roman" w:hAnsi="Times New Roman"/>
          <w:sz w:val="24"/>
          <w:szCs w:val="24"/>
          <w:lang w:val="sr-Cyrl-CS"/>
        </w:rPr>
        <w:t>.</w:t>
      </w:r>
      <w:r>
        <w:rPr>
          <w:rFonts w:ascii="Times New Roman" w:hAnsi="Times New Roman"/>
          <w:sz w:val="24"/>
          <w:szCs w:val="24"/>
        </w:rPr>
        <w:t xml:space="preserve"> </w:t>
      </w:r>
      <w:r>
        <w:rPr>
          <w:rFonts w:ascii="Times New Roman" w:hAnsi="Times New Roman"/>
          <w:sz w:val="24"/>
          <w:szCs w:val="24"/>
          <w:lang w:val="sr-Cyrl-CS"/>
        </w:rPr>
        <w:t xml:space="preserve">Први је представљао, у периоду од </w:t>
      </w:r>
      <w:r>
        <w:rPr>
          <w:rFonts w:ascii="Times New Roman" w:hAnsi="Times New Roman"/>
          <w:sz w:val="24"/>
          <w:szCs w:val="24"/>
        </w:rPr>
        <w:t xml:space="preserve">XI </w:t>
      </w:r>
      <w:r>
        <w:rPr>
          <w:rFonts w:ascii="Times New Roman" w:hAnsi="Times New Roman"/>
          <w:sz w:val="24"/>
          <w:szCs w:val="24"/>
          <w:lang w:val="sr-Cyrl-CS"/>
        </w:rPr>
        <w:t xml:space="preserve">до </w:t>
      </w:r>
      <w:r>
        <w:rPr>
          <w:rFonts w:ascii="Times New Roman" w:hAnsi="Times New Roman"/>
          <w:sz w:val="24"/>
          <w:szCs w:val="24"/>
        </w:rPr>
        <w:t>XV</w:t>
      </w:r>
      <w:r>
        <w:rPr>
          <w:rFonts w:ascii="Times New Roman" w:hAnsi="Times New Roman"/>
          <w:sz w:val="24"/>
          <w:szCs w:val="24"/>
          <w:lang w:val="sr-Cyrl-CS"/>
        </w:rPr>
        <w:t xml:space="preserve"> века, помоћ коју су ваз</w:t>
      </w:r>
      <w:r w:rsidR="00D976D7">
        <w:rPr>
          <w:rFonts w:ascii="Times New Roman" w:hAnsi="Times New Roman"/>
          <w:sz w:val="24"/>
          <w:szCs w:val="24"/>
          <w:lang w:val="sr-Cyrl-CS"/>
        </w:rPr>
        <w:t xml:space="preserve">али давали феудалном господару. </w:t>
      </w:r>
      <w:r>
        <w:rPr>
          <w:rFonts w:ascii="Times New Roman" w:hAnsi="Times New Roman"/>
          <w:sz w:val="24"/>
          <w:szCs w:val="24"/>
          <w:lang w:val="sr-Cyrl-CS"/>
        </w:rPr>
        <w:t xml:space="preserve">У вези са увођењем стајаће војске у </w:t>
      </w:r>
      <w:r>
        <w:rPr>
          <w:rFonts w:ascii="Times New Roman" w:hAnsi="Times New Roman"/>
          <w:sz w:val="24"/>
          <w:szCs w:val="24"/>
        </w:rPr>
        <w:t>XV</w:t>
      </w:r>
      <w:r>
        <w:rPr>
          <w:rFonts w:ascii="Times New Roman" w:hAnsi="Times New Roman"/>
          <w:sz w:val="24"/>
          <w:szCs w:val="24"/>
          <w:lang w:val="sr-Cyrl-CS"/>
        </w:rPr>
        <w:t xml:space="preserve"> веку (уместо дотадашње најамничке), јављају се „</w:t>
      </w:r>
      <w:r>
        <w:rPr>
          <w:rFonts w:ascii="Times New Roman" w:hAnsi="Times New Roman"/>
          <w:sz w:val="24"/>
          <w:szCs w:val="24"/>
        </w:rPr>
        <w:t>Taille</w:t>
      </w:r>
      <w:r>
        <w:rPr>
          <w:rFonts w:ascii="Times New Roman" w:hAnsi="Times New Roman"/>
          <w:sz w:val="24"/>
          <w:szCs w:val="24"/>
          <w:lang w:val="sr-Cyrl-CS"/>
        </w:rPr>
        <w:t xml:space="preserve">“ као стална дажбина која ће својом неправичношћу и недоследношћу много допринети нерасположењу </w:t>
      </w:r>
      <w:r w:rsidR="00346AA6">
        <w:rPr>
          <w:rFonts w:ascii="Times New Roman" w:hAnsi="Times New Roman"/>
          <w:sz w:val="24"/>
          <w:szCs w:val="24"/>
          <w:lang w:val="sr-Cyrl-CS"/>
        </w:rPr>
        <w:t>народа</w:t>
      </w:r>
      <w:r>
        <w:rPr>
          <w:rFonts w:ascii="Times New Roman" w:hAnsi="Times New Roman"/>
          <w:sz w:val="24"/>
          <w:szCs w:val="24"/>
          <w:lang w:val="sr-Cyrl-CS"/>
        </w:rPr>
        <w:t xml:space="preserve">, покрету који је довео до револуције. Француски порески систем до револуције био је базиран на разлици између опорезивања племства и обичног грађанина, тзв. малог човека. Енглеске финансије, напротив, нису у тој мери повлашћивале племство, </w:t>
      </w:r>
      <w:r w:rsidR="00346AA6">
        <w:rPr>
          <w:rFonts w:ascii="Times New Roman" w:hAnsi="Times New Roman"/>
          <w:sz w:val="24"/>
          <w:szCs w:val="24"/>
          <w:lang w:val="sr-Cyrl-CS"/>
        </w:rPr>
        <w:t>јер</w:t>
      </w:r>
      <w:r>
        <w:rPr>
          <w:rFonts w:ascii="Times New Roman" w:hAnsi="Times New Roman"/>
          <w:sz w:val="24"/>
          <w:szCs w:val="24"/>
          <w:lang w:val="sr-Cyrl-CS"/>
        </w:rPr>
        <w:t xml:space="preserve"> је, по слову закона, била остварена једнакост свих друштвених редова пред порезима.</w:t>
      </w:r>
      <w:r w:rsidR="00A634D0">
        <w:rPr>
          <w:rFonts w:ascii="Times New Roman" w:hAnsi="Times New Roman"/>
          <w:sz w:val="24"/>
          <w:szCs w:val="24"/>
          <w:lang w:val="sr-Cyrl-CS"/>
        </w:rPr>
        <w:t xml:space="preserve"> </w:t>
      </w:r>
      <w:r w:rsidR="00D976D7">
        <w:rPr>
          <w:rFonts w:ascii="Times New Roman" w:hAnsi="Times New Roman"/>
          <w:sz w:val="24"/>
          <w:szCs w:val="24"/>
          <w:lang w:val="sr-Cyrl-CS"/>
        </w:rPr>
        <w:t>У Немачкој п</w:t>
      </w:r>
      <w:r>
        <w:rPr>
          <w:rFonts w:ascii="Times New Roman" w:hAnsi="Times New Roman"/>
          <w:sz w:val="24"/>
          <w:szCs w:val="24"/>
          <w:lang w:val="sr-Cyrl-CS"/>
        </w:rPr>
        <w:t xml:space="preserve">орези су били само ванредна средства. Тек у </w:t>
      </w:r>
      <w:r>
        <w:rPr>
          <w:rFonts w:ascii="Times New Roman" w:hAnsi="Times New Roman"/>
          <w:sz w:val="24"/>
          <w:szCs w:val="24"/>
        </w:rPr>
        <w:t xml:space="preserve">XIII </w:t>
      </w:r>
      <w:r>
        <w:rPr>
          <w:rFonts w:ascii="Times New Roman" w:hAnsi="Times New Roman"/>
          <w:sz w:val="24"/>
          <w:szCs w:val="24"/>
          <w:lang w:val="sr-Cyrl-CS"/>
        </w:rPr>
        <w:t>веку порески приходи постају важнији, али и тада само за фискус ужих друштвено-политчких заједница. Рајх се јавља тек после 1871. године са системом посредних пореза, да би после првог светског рата увео централизован систем финансија.</w:t>
      </w:r>
      <w:r w:rsidR="00A634D0">
        <w:rPr>
          <w:rFonts w:ascii="Times New Roman" w:hAnsi="Times New Roman"/>
          <w:sz w:val="24"/>
          <w:szCs w:val="24"/>
          <w:lang w:val="sr-Cyrl-CS"/>
        </w:rPr>
        <w:t xml:space="preserve"> </w:t>
      </w:r>
      <w:r>
        <w:rPr>
          <w:rFonts w:ascii="Times New Roman" w:hAnsi="Times New Roman"/>
          <w:sz w:val="24"/>
          <w:szCs w:val="24"/>
          <w:lang w:val="sr-Cyrl-CS"/>
        </w:rPr>
        <w:t xml:space="preserve">Већ из </w:t>
      </w:r>
      <w:r w:rsidR="00346AA6">
        <w:rPr>
          <w:rFonts w:ascii="Times New Roman" w:hAnsi="Times New Roman"/>
          <w:sz w:val="24"/>
          <w:szCs w:val="24"/>
          <w:lang w:val="sr-Cyrl-CS"/>
        </w:rPr>
        <w:t>свега наведеног</w:t>
      </w:r>
      <w:r>
        <w:rPr>
          <w:rFonts w:ascii="Times New Roman" w:hAnsi="Times New Roman"/>
          <w:sz w:val="24"/>
          <w:szCs w:val="24"/>
          <w:lang w:val="sr-Cyrl-CS"/>
        </w:rPr>
        <w:t xml:space="preserve"> може се видети да су порези резултат, </w:t>
      </w:r>
      <w:r w:rsidR="00346AA6">
        <w:rPr>
          <w:rFonts w:ascii="Times New Roman" w:hAnsi="Times New Roman"/>
          <w:sz w:val="24"/>
          <w:szCs w:val="24"/>
          <w:lang w:val="sr-Cyrl-CS"/>
        </w:rPr>
        <w:t>пре свега</w:t>
      </w:r>
      <w:r>
        <w:rPr>
          <w:rFonts w:ascii="Times New Roman" w:hAnsi="Times New Roman"/>
          <w:sz w:val="24"/>
          <w:szCs w:val="24"/>
          <w:lang w:val="sr-Cyrl-CS"/>
        </w:rPr>
        <w:t>, односа политичких снага у земљи, а затим њене социјалне и економске структуре.</w:t>
      </w:r>
      <w:r>
        <w:rPr>
          <w:rStyle w:val="FootnoteReference"/>
          <w:rFonts w:ascii="Times New Roman" w:hAnsi="Times New Roman"/>
          <w:sz w:val="24"/>
          <w:szCs w:val="24"/>
          <w:lang w:val="sr-Cyrl-CS"/>
        </w:rPr>
        <w:footnoteReference w:id="45"/>
      </w:r>
      <w:r>
        <w:rPr>
          <w:rFonts w:ascii="Times New Roman" w:hAnsi="Times New Roman"/>
          <w:sz w:val="24"/>
          <w:szCs w:val="24"/>
          <w:lang w:val="sr-Cyrl-CS"/>
        </w:rPr>
        <w:t xml:space="preserve"> </w:t>
      </w:r>
    </w:p>
    <w:p w:rsidR="00F60CDE" w:rsidRDefault="00F60CDE" w:rsidP="00A408F5">
      <w:pPr>
        <w:jc w:val="both"/>
        <w:rPr>
          <w:rFonts w:ascii="Times New Roman" w:hAnsi="Times New Roman"/>
          <w:sz w:val="24"/>
          <w:szCs w:val="24"/>
          <w:lang w:val="sr-Cyrl-CS"/>
        </w:rPr>
      </w:pPr>
    </w:p>
    <w:p w:rsidR="00F60CDE" w:rsidRDefault="00F60CDE" w:rsidP="00A408F5">
      <w:pPr>
        <w:jc w:val="both"/>
        <w:rPr>
          <w:rFonts w:ascii="Times New Roman" w:hAnsi="Times New Roman"/>
          <w:sz w:val="24"/>
          <w:szCs w:val="24"/>
          <w:lang w:val="sr-Cyrl-CS"/>
        </w:rPr>
      </w:pPr>
    </w:p>
    <w:p w:rsidR="00347C1D" w:rsidRDefault="008A6D7E" w:rsidP="008C6A7D">
      <w:pPr>
        <w:jc w:val="both"/>
        <w:rPr>
          <w:rFonts w:ascii="Times New Roman" w:hAnsi="Times New Roman"/>
          <w:b/>
          <w:sz w:val="24"/>
          <w:szCs w:val="24"/>
          <w:lang w:val="sr-Cyrl-CS"/>
        </w:rPr>
      </w:pPr>
      <w:r>
        <w:rPr>
          <w:rFonts w:ascii="Times New Roman" w:hAnsi="Times New Roman"/>
          <w:sz w:val="24"/>
          <w:szCs w:val="24"/>
          <w:lang w:val="sr-Cyrl-CS"/>
        </w:rPr>
        <w:t xml:space="preserve"> </w:t>
      </w:r>
      <w:r w:rsidR="00343AE0">
        <w:rPr>
          <w:rFonts w:ascii="Times New Roman" w:hAnsi="Times New Roman"/>
          <w:b/>
          <w:sz w:val="24"/>
          <w:szCs w:val="24"/>
          <w:lang w:val="sr-Cyrl-CS"/>
        </w:rPr>
        <w:t>2.5</w:t>
      </w:r>
      <w:r w:rsidR="00463B8E">
        <w:rPr>
          <w:rFonts w:ascii="Times New Roman" w:hAnsi="Times New Roman"/>
          <w:b/>
          <w:sz w:val="24"/>
          <w:szCs w:val="24"/>
          <w:lang w:val="sr-Cyrl-CS"/>
        </w:rPr>
        <w:t>.</w:t>
      </w:r>
      <w:r w:rsidR="001C57DF">
        <w:rPr>
          <w:rFonts w:ascii="Times New Roman" w:hAnsi="Times New Roman"/>
          <w:sz w:val="24"/>
          <w:szCs w:val="24"/>
          <w:lang w:val="sr-Cyrl-CS"/>
        </w:rPr>
        <w:t xml:space="preserve"> </w:t>
      </w:r>
      <w:r w:rsidR="008D68E2">
        <w:rPr>
          <w:rFonts w:ascii="Times New Roman" w:hAnsi="Times New Roman"/>
          <w:b/>
          <w:sz w:val="24"/>
          <w:szCs w:val="24"/>
          <w:lang w:val="sr-Cyrl-CS"/>
        </w:rPr>
        <w:t xml:space="preserve">Оправдања за увођење пореза </w:t>
      </w:r>
      <w:r w:rsidR="00DF3F8B">
        <w:rPr>
          <w:rFonts w:ascii="Times New Roman" w:hAnsi="Times New Roman"/>
          <w:b/>
          <w:sz w:val="24"/>
          <w:szCs w:val="24"/>
          <w:lang w:val="sr-Cyrl-CS"/>
        </w:rPr>
        <w:t>са становишта</w:t>
      </w:r>
      <w:r w:rsidR="00463B8E">
        <w:rPr>
          <w:rFonts w:ascii="Times New Roman" w:hAnsi="Times New Roman"/>
          <w:b/>
          <w:sz w:val="24"/>
          <w:szCs w:val="24"/>
          <w:lang w:val="sr-Cyrl-CS"/>
        </w:rPr>
        <w:t xml:space="preserve"> избегавања плаћања пореза</w:t>
      </w:r>
    </w:p>
    <w:p w:rsidR="00F60CDE" w:rsidRDefault="00F60CDE" w:rsidP="008C6A7D">
      <w:pPr>
        <w:jc w:val="both"/>
        <w:rPr>
          <w:rFonts w:ascii="Times New Roman" w:hAnsi="Times New Roman"/>
          <w:b/>
          <w:sz w:val="24"/>
          <w:szCs w:val="24"/>
          <w:lang w:val="sr-Cyrl-CS"/>
        </w:rPr>
      </w:pPr>
    </w:p>
    <w:p w:rsidR="00F60CDE" w:rsidRDefault="005874BB" w:rsidP="00463B8E">
      <w:pPr>
        <w:ind w:firstLine="708"/>
        <w:jc w:val="both"/>
        <w:rPr>
          <w:rFonts w:ascii="Times New Roman" w:hAnsi="Times New Roman"/>
          <w:sz w:val="24"/>
          <w:szCs w:val="24"/>
          <w:lang w:val="sr-Cyrl-CS"/>
        </w:rPr>
      </w:pPr>
      <w:r w:rsidRPr="005874BB">
        <w:rPr>
          <w:rFonts w:ascii="Times New Roman" w:hAnsi="Times New Roman"/>
          <w:sz w:val="24"/>
          <w:szCs w:val="24"/>
          <w:lang w:val="sr-Cyrl-CS"/>
        </w:rPr>
        <w:t xml:space="preserve">Наплаћивање </w:t>
      </w:r>
      <w:r>
        <w:rPr>
          <w:rFonts w:ascii="Times New Roman" w:hAnsi="Times New Roman"/>
          <w:sz w:val="24"/>
          <w:szCs w:val="24"/>
          <w:lang w:val="sr-Cyrl-CS"/>
        </w:rPr>
        <w:t>пореза представља грубо мешање у приватни живот пореског обвезника и његову привредну делатност. Порез садржи у себи принудни карактер, не носи са собом неп</w:t>
      </w:r>
      <w:r w:rsidR="00601875">
        <w:rPr>
          <w:rFonts w:ascii="Times New Roman" w:hAnsi="Times New Roman"/>
          <w:sz w:val="24"/>
          <w:szCs w:val="24"/>
        </w:rPr>
        <w:t>o</w:t>
      </w:r>
      <w:r w:rsidR="00601875">
        <w:rPr>
          <w:rFonts w:ascii="Times New Roman" w:hAnsi="Times New Roman"/>
          <w:sz w:val="24"/>
          <w:szCs w:val="24"/>
          <w:lang w:val="sr-Cyrl-CS"/>
        </w:rPr>
        <w:t>средну противуслугу</w:t>
      </w:r>
      <w:r>
        <w:rPr>
          <w:rFonts w:ascii="Times New Roman" w:hAnsi="Times New Roman"/>
          <w:sz w:val="24"/>
          <w:szCs w:val="24"/>
          <w:lang w:val="sr-Cyrl-CS"/>
        </w:rPr>
        <w:t>, нити је држава дужна да пореском обвезнику полаже рачун како ће се утрошити средства која је порески обвезник дао на име плаћања пореза. Са друге стране</w:t>
      </w:r>
      <w:r w:rsidR="0006763C">
        <w:rPr>
          <w:rFonts w:ascii="Times New Roman" w:hAnsi="Times New Roman"/>
          <w:sz w:val="24"/>
          <w:szCs w:val="24"/>
          <w:lang w:val="sr-Cyrl-CS"/>
        </w:rPr>
        <w:t>,</w:t>
      </w:r>
      <w:r>
        <w:rPr>
          <w:rFonts w:ascii="Times New Roman" w:hAnsi="Times New Roman"/>
          <w:sz w:val="24"/>
          <w:szCs w:val="24"/>
          <w:lang w:val="sr-Cyrl-CS"/>
        </w:rPr>
        <w:t xml:space="preserve"> плаћање пореза повлачи с</w:t>
      </w:r>
      <w:r w:rsidR="00EB60D3">
        <w:rPr>
          <w:rFonts w:ascii="Times New Roman" w:hAnsi="Times New Roman"/>
          <w:sz w:val="24"/>
          <w:szCs w:val="24"/>
          <w:lang w:val="sr-Cyrl-CS"/>
        </w:rPr>
        <w:t>а</w:t>
      </w:r>
      <w:r>
        <w:rPr>
          <w:rFonts w:ascii="Times New Roman" w:hAnsi="Times New Roman"/>
          <w:sz w:val="24"/>
          <w:szCs w:val="24"/>
          <w:lang w:val="sr-Cyrl-CS"/>
        </w:rPr>
        <w:t xml:space="preserve"> собом смањење еко</w:t>
      </w:r>
      <w:r w:rsidR="00EB11C6">
        <w:rPr>
          <w:rFonts w:ascii="Times New Roman" w:hAnsi="Times New Roman"/>
          <w:sz w:val="24"/>
          <w:szCs w:val="24"/>
          <w:lang w:val="sr-Cyrl-CS"/>
        </w:rPr>
        <w:t xml:space="preserve">номске снаге пореског обвезника, односно захватање дела дохотка, прихода или имовине. </w:t>
      </w:r>
      <w:r w:rsidR="00EB60D3">
        <w:rPr>
          <w:rFonts w:ascii="Times New Roman" w:hAnsi="Times New Roman"/>
          <w:sz w:val="24"/>
          <w:szCs w:val="24"/>
          <w:lang w:val="sr-Cyrl-CS"/>
        </w:rPr>
        <w:t>Због свега тога, п</w:t>
      </w:r>
      <w:r w:rsidR="00EB11C6">
        <w:rPr>
          <w:rFonts w:ascii="Times New Roman" w:hAnsi="Times New Roman"/>
          <w:sz w:val="24"/>
          <w:szCs w:val="24"/>
          <w:lang w:val="sr-Cyrl-CS"/>
        </w:rPr>
        <w:t xml:space="preserve">орески обвезник често доживљава пореску обавезу као </w:t>
      </w:r>
      <w:r w:rsidR="00F60CDE">
        <w:rPr>
          <w:rFonts w:ascii="Times New Roman" w:hAnsi="Times New Roman"/>
          <w:sz w:val="24"/>
          <w:szCs w:val="24"/>
          <w:lang w:val="sr-Cyrl-CS"/>
        </w:rPr>
        <w:t xml:space="preserve"> </w:t>
      </w:r>
      <w:r w:rsidR="00EB11C6">
        <w:rPr>
          <w:rFonts w:ascii="Times New Roman" w:hAnsi="Times New Roman"/>
          <w:sz w:val="24"/>
          <w:szCs w:val="24"/>
          <w:lang w:val="sr-Cyrl-CS"/>
        </w:rPr>
        <w:t xml:space="preserve">пуко </w:t>
      </w:r>
      <w:r w:rsidR="00F60CDE">
        <w:rPr>
          <w:rFonts w:ascii="Times New Roman" w:hAnsi="Times New Roman"/>
          <w:sz w:val="24"/>
          <w:szCs w:val="24"/>
          <w:lang w:val="sr-Cyrl-CS"/>
        </w:rPr>
        <w:t xml:space="preserve"> </w:t>
      </w:r>
      <w:r w:rsidR="00EB11C6">
        <w:rPr>
          <w:rFonts w:ascii="Times New Roman" w:hAnsi="Times New Roman"/>
          <w:sz w:val="24"/>
          <w:szCs w:val="24"/>
          <w:lang w:val="sr-Cyrl-CS"/>
        </w:rPr>
        <w:t xml:space="preserve">„одузимање“ </w:t>
      </w:r>
    </w:p>
    <w:p w:rsidR="008D68E2" w:rsidRDefault="00EB11C6" w:rsidP="00C47F91">
      <w:pPr>
        <w:jc w:val="both"/>
        <w:rPr>
          <w:rFonts w:ascii="Times New Roman" w:hAnsi="Times New Roman"/>
          <w:sz w:val="24"/>
          <w:szCs w:val="24"/>
          <w:lang w:val="sr-Cyrl-CS"/>
        </w:rPr>
      </w:pPr>
      <w:r>
        <w:rPr>
          <w:rFonts w:ascii="Times New Roman" w:hAnsi="Times New Roman"/>
          <w:sz w:val="24"/>
          <w:szCs w:val="24"/>
          <w:lang w:val="sr-Cyrl-CS"/>
        </w:rPr>
        <w:lastRenderedPageBreak/>
        <w:t>његових средстава, посебно ако не зна сврху свега тога, односно на шта ће та средства бити потрошена.</w:t>
      </w:r>
      <w:r w:rsidR="005874BB">
        <w:rPr>
          <w:rFonts w:ascii="Times New Roman" w:hAnsi="Times New Roman"/>
          <w:sz w:val="24"/>
          <w:szCs w:val="24"/>
          <w:lang w:val="sr-Cyrl-CS"/>
        </w:rPr>
        <w:t xml:space="preserve"> </w:t>
      </w:r>
      <w:r w:rsidR="0006763C">
        <w:rPr>
          <w:rFonts w:ascii="Times New Roman" w:hAnsi="Times New Roman"/>
          <w:sz w:val="24"/>
          <w:szCs w:val="24"/>
          <w:lang w:val="sr-Cyrl-CS"/>
        </w:rPr>
        <w:t>При свему наведеном, у овом случају принуда</w:t>
      </w:r>
      <w:r w:rsidR="005874BB">
        <w:rPr>
          <w:rFonts w:ascii="Times New Roman" w:hAnsi="Times New Roman"/>
          <w:sz w:val="24"/>
          <w:szCs w:val="24"/>
          <w:lang w:val="sr-Cyrl-CS"/>
        </w:rPr>
        <w:t xml:space="preserve"> је легитимна. Управо збо</w:t>
      </w:r>
      <w:r w:rsidR="00B16DAC">
        <w:rPr>
          <w:rFonts w:ascii="Times New Roman" w:hAnsi="Times New Roman"/>
          <w:sz w:val="24"/>
          <w:szCs w:val="24"/>
          <w:lang w:val="sr-Cyrl-CS"/>
        </w:rPr>
        <w:t>г</w:t>
      </w:r>
      <w:r w:rsidR="005874BB">
        <w:rPr>
          <w:rFonts w:ascii="Times New Roman" w:hAnsi="Times New Roman"/>
          <w:sz w:val="24"/>
          <w:szCs w:val="24"/>
          <w:lang w:val="sr-Cyrl-CS"/>
        </w:rPr>
        <w:t xml:space="preserve"> свега тога се</w:t>
      </w:r>
      <w:r w:rsidR="0006763C">
        <w:rPr>
          <w:rFonts w:ascii="Times New Roman" w:hAnsi="Times New Roman"/>
          <w:sz w:val="24"/>
          <w:szCs w:val="24"/>
          <w:lang w:val="sr-Cyrl-CS"/>
        </w:rPr>
        <w:t xml:space="preserve"> поставља питање оправданос</w:t>
      </w:r>
      <w:r w:rsidR="005874BB">
        <w:rPr>
          <w:rFonts w:ascii="Times New Roman" w:hAnsi="Times New Roman"/>
          <w:sz w:val="24"/>
          <w:szCs w:val="24"/>
          <w:lang w:val="sr-Cyrl-CS"/>
        </w:rPr>
        <w:t xml:space="preserve">ти увођења пореза. </w:t>
      </w:r>
    </w:p>
    <w:p w:rsidR="0006763C" w:rsidRDefault="008D68E2" w:rsidP="00EB60D3">
      <w:pPr>
        <w:ind w:firstLine="708"/>
        <w:jc w:val="both"/>
        <w:rPr>
          <w:rFonts w:ascii="Times New Roman" w:hAnsi="Times New Roman"/>
          <w:sz w:val="24"/>
          <w:szCs w:val="24"/>
          <w:lang w:val="sr-Cyrl-CS"/>
        </w:rPr>
      </w:pPr>
      <w:r>
        <w:rPr>
          <w:rFonts w:ascii="Times New Roman" w:hAnsi="Times New Roman"/>
          <w:sz w:val="24"/>
          <w:szCs w:val="24"/>
          <w:lang w:val="sr-Cyrl-CS"/>
        </w:rPr>
        <w:t>Питање оравданости увођења пореза старо је колико и сам порез. Одговор на ово питање су тражили како они који уводе порез, тако и они који су га морали плаћати. Захватање дела дохотка, прихода или имовине пореских обвезника, често није мало, а то све значи да се морају дати јаки аргументи за увођење пореза. То је најбољи начин да се спречи отпор према плаћању поре</w:t>
      </w:r>
      <w:r w:rsidR="00EB60D3">
        <w:rPr>
          <w:rFonts w:ascii="Times New Roman" w:hAnsi="Times New Roman"/>
          <w:sz w:val="24"/>
          <w:szCs w:val="24"/>
          <w:lang w:val="sr-Cyrl-CS"/>
        </w:rPr>
        <w:t>за и револт према јавној влас</w:t>
      </w:r>
      <w:r w:rsidR="00601875">
        <w:rPr>
          <w:rFonts w:ascii="Times New Roman" w:hAnsi="Times New Roman"/>
          <w:sz w:val="24"/>
          <w:szCs w:val="24"/>
          <w:lang w:val="sr-Cyrl-CS"/>
        </w:rPr>
        <w:t>ти, а самим тим и пореска евазија</w:t>
      </w:r>
      <w:r w:rsidR="00EB60D3">
        <w:rPr>
          <w:rFonts w:ascii="Times New Roman" w:hAnsi="Times New Roman"/>
          <w:sz w:val="24"/>
          <w:szCs w:val="24"/>
          <w:lang w:val="sr-Cyrl-CS"/>
        </w:rPr>
        <w:t>.</w:t>
      </w:r>
      <w:r>
        <w:rPr>
          <w:rFonts w:ascii="Times New Roman" w:hAnsi="Times New Roman"/>
          <w:sz w:val="24"/>
          <w:szCs w:val="24"/>
          <w:lang w:val="sr-Cyrl-CS"/>
        </w:rPr>
        <w:t xml:space="preserve"> Према томе, одговорити на ово питање је битно</w:t>
      </w:r>
      <w:r w:rsidR="0006763C">
        <w:rPr>
          <w:rFonts w:ascii="Times New Roman" w:hAnsi="Times New Roman"/>
          <w:sz w:val="24"/>
          <w:szCs w:val="24"/>
          <w:lang w:val="sr-Cyrl-CS"/>
        </w:rPr>
        <w:t xml:space="preserve"> и са становишта избегавања плаћања пореза, ј</w:t>
      </w:r>
      <w:r w:rsidR="00EB11C6">
        <w:rPr>
          <w:rFonts w:ascii="Times New Roman" w:hAnsi="Times New Roman"/>
          <w:sz w:val="24"/>
          <w:szCs w:val="24"/>
          <w:lang w:val="sr-Cyrl-CS"/>
        </w:rPr>
        <w:t>ер оправданост увођења пореза смањује отпор пореских обвезника према одређивању и наплати пореза.</w:t>
      </w:r>
      <w:r w:rsidR="00EB60D3">
        <w:rPr>
          <w:rFonts w:ascii="Times New Roman" w:hAnsi="Times New Roman"/>
          <w:sz w:val="24"/>
          <w:szCs w:val="24"/>
          <w:lang w:val="sr-Cyrl-CS"/>
        </w:rPr>
        <w:t xml:space="preserve"> </w:t>
      </w:r>
    </w:p>
    <w:p w:rsidR="00D6130D" w:rsidRDefault="0075579F" w:rsidP="00A64C29">
      <w:pPr>
        <w:ind w:firstLine="360"/>
        <w:jc w:val="both"/>
        <w:rPr>
          <w:rFonts w:ascii="Times New Roman" w:hAnsi="Times New Roman"/>
          <w:sz w:val="24"/>
          <w:szCs w:val="24"/>
          <w:lang w:val="sr-Cyrl-CS"/>
        </w:rPr>
      </w:pPr>
      <w:r>
        <w:rPr>
          <w:rFonts w:ascii="Times New Roman" w:hAnsi="Times New Roman"/>
          <w:sz w:val="24"/>
          <w:szCs w:val="24"/>
          <w:lang w:val="sr-Cyrl-CS"/>
        </w:rPr>
        <w:t>Све теорије</w:t>
      </w:r>
      <w:r w:rsidR="005874BB">
        <w:rPr>
          <w:rFonts w:ascii="Times New Roman" w:hAnsi="Times New Roman"/>
          <w:sz w:val="24"/>
          <w:szCs w:val="24"/>
          <w:lang w:val="sr-Cyrl-CS"/>
        </w:rPr>
        <w:t xml:space="preserve"> о оп</w:t>
      </w:r>
      <w:r>
        <w:rPr>
          <w:rFonts w:ascii="Times New Roman" w:hAnsi="Times New Roman"/>
          <w:sz w:val="24"/>
          <w:szCs w:val="24"/>
          <w:lang w:val="sr-Cyrl-CS"/>
        </w:rPr>
        <w:t>равданости убирања пореза</w:t>
      </w:r>
      <w:r w:rsidR="00394F4F">
        <w:rPr>
          <w:rFonts w:ascii="Times New Roman" w:hAnsi="Times New Roman"/>
          <w:sz w:val="24"/>
          <w:szCs w:val="24"/>
          <w:lang w:val="sr-Cyrl-CS"/>
        </w:rPr>
        <w:t xml:space="preserve"> се данас углавном сврставају</w:t>
      </w:r>
      <w:r>
        <w:rPr>
          <w:rFonts w:ascii="Times New Roman" w:hAnsi="Times New Roman"/>
          <w:sz w:val="24"/>
          <w:szCs w:val="24"/>
          <w:lang w:val="sr-Cyrl-CS"/>
        </w:rPr>
        <w:t xml:space="preserve"> </w:t>
      </w:r>
      <w:r w:rsidR="00732293">
        <w:rPr>
          <w:rFonts w:ascii="Times New Roman" w:hAnsi="Times New Roman"/>
          <w:sz w:val="24"/>
          <w:szCs w:val="24"/>
          <w:lang w:val="sr-Cyrl-CS"/>
        </w:rPr>
        <w:t>на класичне (старије) те</w:t>
      </w:r>
      <w:r w:rsidR="00EB60D3">
        <w:rPr>
          <w:rFonts w:ascii="Times New Roman" w:hAnsi="Times New Roman"/>
          <w:sz w:val="24"/>
          <w:szCs w:val="24"/>
          <w:lang w:val="sr-Cyrl-CS"/>
        </w:rPr>
        <w:t>о</w:t>
      </w:r>
      <w:r w:rsidR="00732293">
        <w:rPr>
          <w:rFonts w:ascii="Times New Roman" w:hAnsi="Times New Roman"/>
          <w:sz w:val="24"/>
          <w:szCs w:val="24"/>
          <w:lang w:val="sr-Cyrl-CS"/>
        </w:rPr>
        <w:t>рије и савремене теорије.</w:t>
      </w:r>
      <w:r w:rsidR="00F937E5">
        <w:rPr>
          <w:rFonts w:ascii="Times New Roman" w:hAnsi="Times New Roman"/>
          <w:sz w:val="24"/>
          <w:szCs w:val="24"/>
          <w:lang w:val="sr-Cyrl-CS"/>
        </w:rPr>
        <w:t xml:space="preserve"> Старије теорије се базирају на схватању да порез представља размену, а новије да порез представља националну дужност.</w:t>
      </w:r>
      <w:r w:rsidR="00F937E5">
        <w:rPr>
          <w:rStyle w:val="FootnoteReference"/>
          <w:rFonts w:ascii="Times New Roman" w:hAnsi="Times New Roman"/>
          <w:sz w:val="24"/>
          <w:szCs w:val="24"/>
          <w:lang w:val="sr-Cyrl-CS"/>
        </w:rPr>
        <w:footnoteReference w:id="46"/>
      </w:r>
      <w:r w:rsidR="00732293">
        <w:rPr>
          <w:rFonts w:ascii="Times New Roman" w:hAnsi="Times New Roman"/>
          <w:sz w:val="24"/>
          <w:szCs w:val="24"/>
          <w:lang w:val="sr-Cyrl-CS"/>
        </w:rPr>
        <w:t xml:space="preserve"> </w:t>
      </w:r>
      <w:r w:rsidR="00F937E5">
        <w:rPr>
          <w:rFonts w:ascii="Times New Roman" w:hAnsi="Times New Roman"/>
          <w:sz w:val="24"/>
          <w:szCs w:val="24"/>
          <w:lang w:val="sr-Cyrl-CS"/>
        </w:rPr>
        <w:t>Постоји неколико основних теорија које се баве одговором на питање због чега се плаћа порез.</w:t>
      </w:r>
    </w:p>
    <w:p w:rsidR="00A64C29" w:rsidRDefault="00A64C29" w:rsidP="00A64C29">
      <w:pPr>
        <w:ind w:firstLine="360"/>
        <w:jc w:val="both"/>
        <w:rPr>
          <w:rFonts w:ascii="Times New Roman" w:hAnsi="Times New Roman"/>
          <w:sz w:val="24"/>
          <w:szCs w:val="24"/>
          <w:lang w:val="sr-Cyrl-CS"/>
        </w:rPr>
      </w:pPr>
    </w:p>
    <w:p w:rsidR="00A64C29" w:rsidRPr="00A64C29" w:rsidRDefault="005874BB" w:rsidP="00A64C29">
      <w:pPr>
        <w:numPr>
          <w:ilvl w:val="0"/>
          <w:numId w:val="14"/>
        </w:numPr>
        <w:jc w:val="both"/>
        <w:rPr>
          <w:rFonts w:ascii="Times New Roman" w:hAnsi="Times New Roman"/>
          <w:sz w:val="24"/>
          <w:szCs w:val="24"/>
          <w:lang w:val="sr-Cyrl-CS"/>
        </w:rPr>
      </w:pPr>
      <w:r>
        <w:rPr>
          <w:rFonts w:ascii="Times New Roman" w:hAnsi="Times New Roman"/>
          <w:sz w:val="24"/>
          <w:szCs w:val="24"/>
          <w:lang w:val="sr-Cyrl-CS"/>
        </w:rPr>
        <w:t>Сакрална теорија</w:t>
      </w:r>
    </w:p>
    <w:p w:rsidR="007F322E" w:rsidRDefault="007F322E" w:rsidP="00EB60D3">
      <w:pPr>
        <w:ind w:firstLine="360"/>
        <w:jc w:val="both"/>
        <w:rPr>
          <w:rFonts w:ascii="Times New Roman" w:hAnsi="Times New Roman"/>
          <w:sz w:val="24"/>
          <w:szCs w:val="24"/>
          <w:lang w:val="sr-Cyrl-CS"/>
        </w:rPr>
      </w:pPr>
      <w:r>
        <w:rPr>
          <w:rFonts w:ascii="Times New Roman" w:hAnsi="Times New Roman"/>
          <w:sz w:val="24"/>
          <w:szCs w:val="24"/>
          <w:lang w:val="sr-Cyrl-CS"/>
        </w:rPr>
        <w:t xml:space="preserve">Поборници ове теорије су Тома Аквински и св.Аугустин. </w:t>
      </w:r>
      <w:r w:rsidRPr="00EB60D3">
        <w:rPr>
          <w:rFonts w:ascii="Times New Roman" w:hAnsi="Times New Roman"/>
          <w:sz w:val="24"/>
          <w:szCs w:val="24"/>
          <w:lang w:val="sr-Cyrl-CS"/>
        </w:rPr>
        <w:t>Тома Аквински</w:t>
      </w:r>
      <w:r>
        <w:rPr>
          <w:rFonts w:ascii="Times New Roman" w:hAnsi="Times New Roman"/>
          <w:sz w:val="24"/>
          <w:szCs w:val="24"/>
          <w:lang w:val="sr-Cyrl-CS"/>
        </w:rPr>
        <w:t xml:space="preserve">, сколастички филозоф, </w:t>
      </w:r>
      <w:r w:rsidR="00732293">
        <w:rPr>
          <w:rFonts w:ascii="Times New Roman" w:hAnsi="Times New Roman"/>
          <w:sz w:val="24"/>
          <w:szCs w:val="24"/>
          <w:lang w:val="sr-Cyrl-CS"/>
        </w:rPr>
        <w:t>се</w:t>
      </w:r>
      <w:r>
        <w:rPr>
          <w:rFonts w:ascii="Times New Roman" w:hAnsi="Times New Roman"/>
          <w:sz w:val="24"/>
          <w:szCs w:val="24"/>
          <w:lang w:val="sr-Cyrl-CS"/>
        </w:rPr>
        <w:t xml:space="preserve"> у свом учењу ослањао на Аристотелову метафизику и Платоново учење о примату идеје над материјом. Развио је теорију суверенитета где народ добровољно преноси одређену власт на владара, монарха. Човека посматра као друштвено биће, које је по самој својој природи везано за друштво, а његова душтвеност се испољава кроз језик, културу, обичаје и традицију. Један од главних филозофских проблема који је покушавао реш</w:t>
      </w:r>
      <w:r w:rsidR="00B61FBB">
        <w:rPr>
          <w:rFonts w:ascii="Times New Roman" w:hAnsi="Times New Roman"/>
          <w:sz w:val="24"/>
          <w:szCs w:val="24"/>
          <w:lang w:val="sr-Cyrl-CS"/>
        </w:rPr>
        <w:t>тити су појмови бића и суштине</w:t>
      </w:r>
      <w:r w:rsidR="00B61FBB">
        <w:rPr>
          <w:rFonts w:ascii="Times New Roman" w:hAnsi="Times New Roman"/>
          <w:sz w:val="24"/>
          <w:szCs w:val="24"/>
        </w:rPr>
        <w:t xml:space="preserve"> </w:t>
      </w:r>
      <w:r>
        <w:rPr>
          <w:rFonts w:ascii="Times New Roman" w:hAnsi="Times New Roman"/>
          <w:sz w:val="24"/>
          <w:szCs w:val="24"/>
          <w:lang w:val="sr-Cyrl-CS"/>
        </w:rPr>
        <w:t>и истиче да је опорезивање оправдано само у случају да владар не може по</w:t>
      </w:r>
      <w:r w:rsidR="00D6130D">
        <w:rPr>
          <w:rFonts w:ascii="Times New Roman" w:hAnsi="Times New Roman"/>
          <w:sz w:val="24"/>
          <w:szCs w:val="24"/>
          <w:lang w:val="sr-Cyrl-CS"/>
        </w:rPr>
        <w:t>дмирити потребе државе из своје имовине</w:t>
      </w:r>
      <w:r>
        <w:rPr>
          <w:rFonts w:ascii="Times New Roman" w:hAnsi="Times New Roman"/>
          <w:sz w:val="24"/>
          <w:szCs w:val="24"/>
          <w:lang w:val="sr-Cyrl-CS"/>
        </w:rPr>
        <w:t>.</w:t>
      </w:r>
    </w:p>
    <w:p w:rsidR="005874BB" w:rsidRDefault="005874BB" w:rsidP="008A3795">
      <w:pPr>
        <w:numPr>
          <w:ilvl w:val="0"/>
          <w:numId w:val="14"/>
        </w:numPr>
        <w:jc w:val="both"/>
        <w:rPr>
          <w:rFonts w:ascii="Times New Roman" w:hAnsi="Times New Roman"/>
          <w:sz w:val="24"/>
          <w:szCs w:val="24"/>
          <w:lang w:val="sr-Cyrl-CS"/>
        </w:rPr>
      </w:pPr>
      <w:r>
        <w:rPr>
          <w:rFonts w:ascii="Times New Roman" w:hAnsi="Times New Roman"/>
          <w:sz w:val="24"/>
          <w:szCs w:val="24"/>
          <w:lang w:val="sr-Cyrl-CS"/>
        </w:rPr>
        <w:t>Теорија силе</w:t>
      </w:r>
    </w:p>
    <w:p w:rsidR="007F322E" w:rsidRDefault="007F322E" w:rsidP="00EB60D3">
      <w:pPr>
        <w:ind w:firstLine="360"/>
        <w:jc w:val="both"/>
        <w:rPr>
          <w:rFonts w:ascii="Times New Roman" w:hAnsi="Times New Roman"/>
          <w:sz w:val="24"/>
          <w:szCs w:val="24"/>
          <w:lang w:val="sr-Cyrl-CS"/>
        </w:rPr>
      </w:pPr>
      <w:r>
        <w:rPr>
          <w:rFonts w:ascii="Times New Roman" w:hAnsi="Times New Roman"/>
          <w:sz w:val="24"/>
          <w:szCs w:val="24"/>
          <w:lang w:val="sr-Cyrl-CS"/>
        </w:rPr>
        <w:t>Ова теорија је била доминантна у старом и средњем веку, а опорезивање се оправдава са  становишта права јачег да опорезује слабије.</w:t>
      </w:r>
      <w:r w:rsidR="0069462B">
        <w:rPr>
          <w:rFonts w:ascii="Times New Roman" w:hAnsi="Times New Roman"/>
          <w:sz w:val="24"/>
          <w:szCs w:val="24"/>
          <w:lang w:val="sr-Cyrl-CS"/>
        </w:rPr>
        <w:t xml:space="preserve"> Победник је могао наметати било каву пореску обавезу, јер њему припада све, па и живот побеђеног.</w:t>
      </w:r>
      <w:r w:rsidR="00EB60D3">
        <w:rPr>
          <w:rFonts w:ascii="Times New Roman" w:hAnsi="Times New Roman"/>
          <w:sz w:val="24"/>
          <w:szCs w:val="24"/>
          <w:lang w:val="sr-Cyrl-CS"/>
        </w:rPr>
        <w:t xml:space="preserve"> </w:t>
      </w:r>
    </w:p>
    <w:p w:rsidR="00D6130D" w:rsidRDefault="00D6130D" w:rsidP="00EB60D3">
      <w:pPr>
        <w:ind w:firstLine="360"/>
        <w:jc w:val="both"/>
        <w:rPr>
          <w:rFonts w:ascii="Times New Roman" w:hAnsi="Times New Roman"/>
          <w:sz w:val="24"/>
          <w:szCs w:val="24"/>
          <w:lang w:val="sr-Cyrl-CS"/>
        </w:rPr>
      </w:pPr>
      <w:r>
        <w:rPr>
          <w:rFonts w:ascii="Times New Roman" w:hAnsi="Times New Roman"/>
          <w:sz w:val="24"/>
          <w:szCs w:val="24"/>
          <w:lang w:val="sr-Cyrl-CS"/>
        </w:rPr>
        <w:t>Овакво оправдање пореза одговара околностима које су владале у старом и средњем веку, али има мишљења да су елементи силе присутни и у каснијим друштвено-</w:t>
      </w:r>
      <w:r>
        <w:rPr>
          <w:rFonts w:ascii="Times New Roman" w:hAnsi="Times New Roman"/>
          <w:sz w:val="24"/>
          <w:szCs w:val="24"/>
          <w:lang w:val="sr-Cyrl-CS"/>
        </w:rPr>
        <w:lastRenderedPageBreak/>
        <w:t>економским системима, па и данас, што значи у околностима које не одговарају робовласничким, феудалним и апсолутистичким односима.</w:t>
      </w:r>
      <w:r>
        <w:rPr>
          <w:rStyle w:val="FootnoteReference"/>
          <w:rFonts w:ascii="Times New Roman" w:hAnsi="Times New Roman"/>
          <w:sz w:val="24"/>
          <w:szCs w:val="24"/>
          <w:lang w:val="sr-Cyrl-CS"/>
        </w:rPr>
        <w:footnoteReference w:id="47"/>
      </w:r>
    </w:p>
    <w:p w:rsidR="00732293" w:rsidRDefault="00732293" w:rsidP="008A3795">
      <w:pPr>
        <w:numPr>
          <w:ilvl w:val="0"/>
          <w:numId w:val="14"/>
        </w:numPr>
        <w:jc w:val="both"/>
        <w:rPr>
          <w:rFonts w:ascii="Times New Roman" w:hAnsi="Times New Roman"/>
          <w:sz w:val="24"/>
          <w:szCs w:val="24"/>
          <w:lang w:val="sr-Cyrl-CS"/>
        </w:rPr>
      </w:pPr>
      <w:r>
        <w:rPr>
          <w:rFonts w:ascii="Times New Roman" w:hAnsi="Times New Roman"/>
          <w:sz w:val="24"/>
          <w:szCs w:val="24"/>
          <w:lang w:val="sr-Cyrl-CS"/>
        </w:rPr>
        <w:t>Теорија уговора</w:t>
      </w:r>
    </w:p>
    <w:p w:rsidR="00732293" w:rsidRDefault="00732293" w:rsidP="00BA075E">
      <w:pPr>
        <w:ind w:firstLine="360"/>
        <w:jc w:val="both"/>
        <w:rPr>
          <w:rFonts w:ascii="Times New Roman" w:hAnsi="Times New Roman"/>
          <w:sz w:val="24"/>
          <w:szCs w:val="24"/>
          <w:lang w:val="sr-Cyrl-CS"/>
        </w:rPr>
      </w:pPr>
      <w:r>
        <w:rPr>
          <w:rFonts w:ascii="Times New Roman" w:hAnsi="Times New Roman"/>
          <w:sz w:val="24"/>
          <w:szCs w:val="24"/>
          <w:lang w:val="sr-Cyrl-CS"/>
        </w:rPr>
        <w:t xml:space="preserve">Ова теорија </w:t>
      </w:r>
      <w:r w:rsidR="00BA075E">
        <w:rPr>
          <w:rFonts w:ascii="Times New Roman" w:hAnsi="Times New Roman"/>
          <w:sz w:val="24"/>
          <w:szCs w:val="24"/>
          <w:lang w:val="sr-Cyrl-CS"/>
        </w:rPr>
        <w:t>заступа становиште да се</w:t>
      </w:r>
      <w:r>
        <w:rPr>
          <w:rFonts w:ascii="Times New Roman" w:hAnsi="Times New Roman"/>
          <w:sz w:val="24"/>
          <w:szCs w:val="24"/>
          <w:lang w:val="sr-Cyrl-CS"/>
        </w:rPr>
        <w:t xml:space="preserve"> оправданост опорезивања огледа кроз уговор између владара и пореских обвезника. Угвором је између о</w:t>
      </w:r>
      <w:r w:rsidR="00601875">
        <w:rPr>
          <w:rFonts w:ascii="Times New Roman" w:hAnsi="Times New Roman"/>
          <w:sz w:val="24"/>
          <w:szCs w:val="24"/>
          <w:lang w:val="sr-Cyrl-CS"/>
        </w:rPr>
        <w:t>сталог регулисана намена пореза</w:t>
      </w:r>
      <w:r>
        <w:rPr>
          <w:rFonts w:ascii="Times New Roman" w:hAnsi="Times New Roman"/>
          <w:sz w:val="24"/>
          <w:szCs w:val="24"/>
          <w:lang w:val="sr-Cyrl-CS"/>
        </w:rPr>
        <w:t xml:space="preserve"> на коју су се порези морали трошити.</w:t>
      </w:r>
    </w:p>
    <w:p w:rsidR="005874BB" w:rsidRDefault="005874BB" w:rsidP="008A3795">
      <w:pPr>
        <w:numPr>
          <w:ilvl w:val="0"/>
          <w:numId w:val="14"/>
        </w:numPr>
        <w:jc w:val="both"/>
        <w:rPr>
          <w:rFonts w:ascii="Times New Roman" w:hAnsi="Times New Roman"/>
          <w:sz w:val="24"/>
          <w:szCs w:val="24"/>
          <w:lang w:val="sr-Cyrl-CS"/>
        </w:rPr>
      </w:pPr>
      <w:r>
        <w:rPr>
          <w:rFonts w:ascii="Times New Roman" w:hAnsi="Times New Roman"/>
          <w:sz w:val="24"/>
          <w:szCs w:val="24"/>
          <w:lang w:val="sr-Cyrl-CS"/>
        </w:rPr>
        <w:t>Теорија цене</w:t>
      </w:r>
    </w:p>
    <w:p w:rsidR="007F322E" w:rsidRDefault="007F322E" w:rsidP="00EB60D3">
      <w:pPr>
        <w:ind w:firstLine="360"/>
        <w:jc w:val="both"/>
        <w:rPr>
          <w:rFonts w:ascii="Times New Roman" w:hAnsi="Times New Roman"/>
          <w:sz w:val="24"/>
          <w:szCs w:val="24"/>
          <w:lang w:val="sr-Cyrl-CS"/>
        </w:rPr>
      </w:pPr>
      <w:r>
        <w:rPr>
          <w:rFonts w:ascii="Times New Roman" w:hAnsi="Times New Roman"/>
          <w:sz w:val="24"/>
          <w:szCs w:val="24"/>
          <w:lang w:val="sr-Cyrl-CS"/>
        </w:rPr>
        <w:t xml:space="preserve">Ова теорија је </w:t>
      </w:r>
      <w:r w:rsidR="00BA075E">
        <w:rPr>
          <w:rFonts w:ascii="Times New Roman" w:hAnsi="Times New Roman"/>
          <w:sz w:val="24"/>
          <w:szCs w:val="24"/>
          <w:lang w:val="sr-Cyrl-CS"/>
        </w:rPr>
        <w:t>карактеристична за период</w:t>
      </w:r>
      <w:r>
        <w:rPr>
          <w:rFonts w:ascii="Times New Roman" w:hAnsi="Times New Roman"/>
          <w:sz w:val="24"/>
          <w:szCs w:val="24"/>
          <w:lang w:val="sr-Cyrl-CS"/>
        </w:rPr>
        <w:t xml:space="preserve"> либаралног капитализма</w:t>
      </w:r>
      <w:r w:rsidR="00BA075E">
        <w:rPr>
          <w:rFonts w:ascii="Times New Roman" w:hAnsi="Times New Roman"/>
          <w:sz w:val="24"/>
          <w:szCs w:val="24"/>
          <w:lang w:val="sr-Cyrl-CS"/>
        </w:rPr>
        <w:t xml:space="preserve"> и заснива се на тези да је порез цена коју држављани плаћају да би добили користи од државе</w:t>
      </w:r>
      <w:r w:rsidR="00074FA1">
        <w:rPr>
          <w:rFonts w:ascii="Times New Roman" w:hAnsi="Times New Roman"/>
          <w:sz w:val="24"/>
          <w:szCs w:val="24"/>
          <w:lang w:val="sr-Cyrl-CS"/>
        </w:rPr>
        <w:t>.</w:t>
      </w:r>
      <w:r w:rsidR="00BA075E">
        <w:rPr>
          <w:rStyle w:val="FootnoteReference"/>
          <w:rFonts w:ascii="Times New Roman" w:hAnsi="Times New Roman"/>
          <w:sz w:val="24"/>
          <w:szCs w:val="24"/>
          <w:lang w:val="sr-Cyrl-CS"/>
        </w:rPr>
        <w:footnoteReference w:id="48"/>
      </w:r>
      <w:r w:rsidR="00074FA1">
        <w:rPr>
          <w:rFonts w:ascii="Times New Roman" w:hAnsi="Times New Roman"/>
          <w:sz w:val="24"/>
          <w:szCs w:val="24"/>
          <w:lang w:val="sr-Cyrl-CS"/>
        </w:rPr>
        <w:t xml:space="preserve"> </w:t>
      </w:r>
      <w:r>
        <w:rPr>
          <w:rFonts w:ascii="Times New Roman" w:hAnsi="Times New Roman"/>
          <w:sz w:val="24"/>
          <w:szCs w:val="24"/>
          <w:lang w:val="sr-Cyrl-CS"/>
        </w:rPr>
        <w:t>По овој теорији</w:t>
      </w:r>
      <w:r w:rsidR="00BA075E">
        <w:rPr>
          <w:rFonts w:ascii="Times New Roman" w:hAnsi="Times New Roman"/>
          <w:sz w:val="24"/>
          <w:szCs w:val="24"/>
          <w:lang w:val="sr-Cyrl-CS"/>
        </w:rPr>
        <w:t>, дакле,</w:t>
      </w:r>
      <w:r>
        <w:rPr>
          <w:rFonts w:ascii="Times New Roman" w:hAnsi="Times New Roman"/>
          <w:sz w:val="24"/>
          <w:szCs w:val="24"/>
          <w:lang w:val="sr-Cyrl-CS"/>
        </w:rPr>
        <w:t xml:space="preserve"> порез представља противнакнаду или цену за пружене услуге и сигурност</w:t>
      </w:r>
      <w:r w:rsidR="0075579F">
        <w:rPr>
          <w:rFonts w:ascii="Times New Roman" w:hAnsi="Times New Roman"/>
          <w:sz w:val="24"/>
          <w:szCs w:val="24"/>
          <w:lang w:val="sr-Cyrl-CS"/>
        </w:rPr>
        <w:t xml:space="preserve"> од стране државе пореским обвезницима</w:t>
      </w:r>
      <w:r>
        <w:rPr>
          <w:rFonts w:ascii="Times New Roman" w:hAnsi="Times New Roman"/>
          <w:sz w:val="24"/>
          <w:szCs w:val="24"/>
          <w:lang w:val="sr-Cyrl-CS"/>
        </w:rPr>
        <w:t xml:space="preserve">. </w:t>
      </w:r>
      <w:r w:rsidR="0075579F">
        <w:rPr>
          <w:rFonts w:ascii="Times New Roman" w:hAnsi="Times New Roman"/>
          <w:sz w:val="24"/>
          <w:szCs w:val="24"/>
          <w:lang w:val="sr-Cyrl-CS"/>
        </w:rPr>
        <w:t xml:space="preserve">Држава има одређене трошкове приликом пружања услуга, које обвезници плаћају кроз порезе. </w:t>
      </w:r>
      <w:r>
        <w:rPr>
          <w:rFonts w:ascii="Times New Roman" w:hAnsi="Times New Roman"/>
          <w:sz w:val="24"/>
          <w:szCs w:val="24"/>
          <w:lang w:val="sr-Cyrl-CS"/>
        </w:rPr>
        <w:t>Ова те</w:t>
      </w:r>
      <w:r w:rsidR="00EB60D3">
        <w:rPr>
          <w:rFonts w:ascii="Times New Roman" w:hAnsi="Times New Roman"/>
          <w:sz w:val="24"/>
          <w:szCs w:val="24"/>
          <w:lang w:val="sr-Cyrl-CS"/>
        </w:rPr>
        <w:t>о</w:t>
      </w:r>
      <w:r>
        <w:rPr>
          <w:rFonts w:ascii="Times New Roman" w:hAnsi="Times New Roman"/>
          <w:sz w:val="24"/>
          <w:szCs w:val="24"/>
          <w:lang w:val="sr-Cyrl-CS"/>
        </w:rPr>
        <w:t>рија има две варијанте</w:t>
      </w:r>
      <w:r w:rsidR="0069462B">
        <w:rPr>
          <w:rFonts w:ascii="Times New Roman" w:hAnsi="Times New Roman"/>
          <w:sz w:val="24"/>
          <w:szCs w:val="24"/>
          <w:lang w:val="sr-Cyrl-CS"/>
        </w:rPr>
        <w:t xml:space="preserve"> у зависности од одговра на питање какву корист треба да имају порески обвезници</w:t>
      </w:r>
      <w:r>
        <w:rPr>
          <w:rFonts w:ascii="Times New Roman" w:hAnsi="Times New Roman"/>
          <w:sz w:val="24"/>
          <w:szCs w:val="24"/>
          <w:lang w:val="sr-Cyrl-CS"/>
        </w:rPr>
        <w:t>:</w:t>
      </w:r>
    </w:p>
    <w:p w:rsidR="007F322E" w:rsidRDefault="007F322E" w:rsidP="007F322E">
      <w:pPr>
        <w:ind w:left="360"/>
        <w:jc w:val="both"/>
        <w:rPr>
          <w:rFonts w:ascii="Times New Roman" w:hAnsi="Times New Roman"/>
          <w:sz w:val="24"/>
          <w:szCs w:val="24"/>
          <w:lang w:val="sr-Cyrl-CS"/>
        </w:rPr>
      </w:pPr>
      <w:r>
        <w:rPr>
          <w:rFonts w:ascii="Times New Roman" w:hAnsi="Times New Roman"/>
          <w:sz w:val="24"/>
          <w:szCs w:val="24"/>
          <w:lang w:val="sr-Cyrl-CS"/>
        </w:rPr>
        <w:t xml:space="preserve">-теорија осигурања и </w:t>
      </w:r>
    </w:p>
    <w:p w:rsidR="007F322E" w:rsidRDefault="007F322E" w:rsidP="007F322E">
      <w:pPr>
        <w:ind w:left="360"/>
        <w:jc w:val="both"/>
        <w:rPr>
          <w:rFonts w:ascii="Times New Roman" w:hAnsi="Times New Roman"/>
          <w:sz w:val="24"/>
          <w:szCs w:val="24"/>
          <w:lang w:val="sr-Cyrl-CS"/>
        </w:rPr>
      </w:pPr>
      <w:r>
        <w:rPr>
          <w:rFonts w:ascii="Times New Roman" w:hAnsi="Times New Roman"/>
          <w:sz w:val="24"/>
          <w:szCs w:val="24"/>
          <w:lang w:val="sr-Cyrl-CS"/>
        </w:rPr>
        <w:t>-теорија уживања.</w:t>
      </w:r>
    </w:p>
    <w:p w:rsidR="007F322E" w:rsidRPr="0069462B" w:rsidRDefault="007F322E" w:rsidP="00EB60D3">
      <w:pPr>
        <w:ind w:firstLine="360"/>
        <w:jc w:val="both"/>
        <w:rPr>
          <w:rFonts w:ascii="Times New Roman" w:hAnsi="Times New Roman"/>
          <w:sz w:val="24"/>
          <w:szCs w:val="24"/>
          <w:lang w:val="sr-Cyrl-CS"/>
        </w:rPr>
      </w:pPr>
      <w:r>
        <w:rPr>
          <w:rFonts w:ascii="Times New Roman" w:hAnsi="Times New Roman"/>
          <w:sz w:val="24"/>
          <w:szCs w:val="24"/>
          <w:lang w:val="sr-Cyrl-CS"/>
        </w:rPr>
        <w:t>Теорија осигурања види државу као осигуравајуће друштво, а пореске обвезнике као осигуранике који држави плаћају због тога што брине о њиховој личној и материјалној сигурности.</w:t>
      </w:r>
      <w:r w:rsidR="00B44462">
        <w:rPr>
          <w:rFonts w:ascii="Times New Roman" w:hAnsi="Times New Roman"/>
          <w:sz w:val="24"/>
          <w:szCs w:val="24"/>
          <w:lang w:val="sr-Cyrl-CS"/>
        </w:rPr>
        <w:t xml:space="preserve"> </w:t>
      </w:r>
      <w:r w:rsidR="0075579F">
        <w:rPr>
          <w:rFonts w:ascii="Times New Roman" w:hAnsi="Times New Roman"/>
          <w:sz w:val="24"/>
          <w:szCs w:val="24"/>
          <w:lang w:val="sr-Cyrl-CS"/>
        </w:rPr>
        <w:t xml:space="preserve">Оснивач ове теорије је </w:t>
      </w:r>
      <w:r w:rsidR="0075579F" w:rsidRPr="00EB60D3">
        <w:rPr>
          <w:rFonts w:ascii="Times New Roman" w:hAnsi="Times New Roman"/>
          <w:sz w:val="24"/>
          <w:szCs w:val="24"/>
          <w:lang w:val="sr-Cyrl-CS"/>
        </w:rPr>
        <w:t>Монтескије</w:t>
      </w:r>
      <w:r w:rsidR="00BA075E">
        <w:rPr>
          <w:rFonts w:ascii="Times New Roman" w:hAnsi="Times New Roman"/>
          <w:b/>
          <w:sz w:val="24"/>
          <w:szCs w:val="24"/>
          <w:lang w:val="sr-Cyrl-CS"/>
        </w:rPr>
        <w:t xml:space="preserve">, </w:t>
      </w:r>
      <w:r w:rsidR="00BA075E">
        <w:rPr>
          <w:rFonts w:ascii="Times New Roman" w:hAnsi="Times New Roman"/>
          <w:sz w:val="24"/>
          <w:szCs w:val="24"/>
          <w:lang w:val="sr-Cyrl-CS"/>
        </w:rPr>
        <w:t>према коме је порез део који сваки грађанин даје држави да би му сачувала остатак имовине.</w:t>
      </w:r>
      <w:r w:rsidR="00BA075E">
        <w:rPr>
          <w:rStyle w:val="FootnoteReference"/>
          <w:rFonts w:ascii="Times New Roman" w:hAnsi="Times New Roman"/>
          <w:sz w:val="24"/>
          <w:szCs w:val="24"/>
          <w:lang w:val="sr-Cyrl-CS"/>
        </w:rPr>
        <w:footnoteReference w:id="49"/>
      </w:r>
      <w:r w:rsidR="00BA075E">
        <w:rPr>
          <w:rFonts w:ascii="Times New Roman" w:hAnsi="Times New Roman"/>
          <w:sz w:val="24"/>
          <w:szCs w:val="24"/>
          <w:lang w:val="sr-Cyrl-CS"/>
        </w:rPr>
        <w:t xml:space="preserve"> </w:t>
      </w:r>
      <w:r w:rsidR="0069462B" w:rsidRPr="00B44462">
        <w:rPr>
          <w:rFonts w:ascii="Times New Roman" w:hAnsi="Times New Roman"/>
          <w:sz w:val="24"/>
          <w:szCs w:val="24"/>
          <w:lang w:val="sr-Cyrl-CS"/>
        </w:rPr>
        <w:t>Недостатак</w:t>
      </w:r>
      <w:r w:rsidR="0069462B" w:rsidRPr="0069462B">
        <w:rPr>
          <w:rFonts w:ascii="Times New Roman" w:hAnsi="Times New Roman"/>
          <w:sz w:val="24"/>
          <w:szCs w:val="24"/>
          <w:lang w:val="sr-Cyrl-CS"/>
        </w:rPr>
        <w:t xml:space="preserve"> </w:t>
      </w:r>
      <w:r w:rsidR="0069462B">
        <w:rPr>
          <w:rFonts w:ascii="Times New Roman" w:hAnsi="Times New Roman"/>
          <w:sz w:val="24"/>
          <w:szCs w:val="24"/>
          <w:lang w:val="sr-Cyrl-CS"/>
        </w:rPr>
        <w:t>ове теорије је очигледан јер држава није осигуравајуће друштво и неће пореском обвезнику исплатити накнаду за случај да његова имовина буде уништена.</w:t>
      </w:r>
    </w:p>
    <w:p w:rsidR="007F322E" w:rsidRDefault="007F322E" w:rsidP="00EB60D3">
      <w:pPr>
        <w:ind w:firstLine="360"/>
        <w:jc w:val="both"/>
        <w:rPr>
          <w:rFonts w:ascii="Times New Roman" w:hAnsi="Times New Roman"/>
          <w:sz w:val="24"/>
          <w:szCs w:val="24"/>
          <w:lang w:val="sr-Cyrl-CS"/>
        </w:rPr>
      </w:pPr>
      <w:r>
        <w:rPr>
          <w:rFonts w:ascii="Times New Roman" w:hAnsi="Times New Roman"/>
          <w:sz w:val="24"/>
          <w:szCs w:val="24"/>
          <w:lang w:val="sr-Cyrl-CS"/>
        </w:rPr>
        <w:t>Према теориј</w:t>
      </w:r>
      <w:r w:rsidR="008D68E2">
        <w:rPr>
          <w:rFonts w:ascii="Times New Roman" w:hAnsi="Times New Roman"/>
          <w:sz w:val="24"/>
          <w:szCs w:val="24"/>
          <w:lang w:val="sr-Cyrl-CS"/>
        </w:rPr>
        <w:t>и уживања порески обвезници плаћ</w:t>
      </w:r>
      <w:r>
        <w:rPr>
          <w:rFonts w:ascii="Times New Roman" w:hAnsi="Times New Roman"/>
          <w:sz w:val="24"/>
          <w:szCs w:val="24"/>
          <w:lang w:val="sr-Cyrl-CS"/>
        </w:rPr>
        <w:t>ају порез због уживања имовине и дохотка.</w:t>
      </w:r>
      <w:r w:rsidR="0075579F">
        <w:rPr>
          <w:rFonts w:ascii="Times New Roman" w:hAnsi="Times New Roman"/>
          <w:sz w:val="24"/>
          <w:szCs w:val="24"/>
          <w:lang w:val="sr-Cyrl-CS"/>
        </w:rPr>
        <w:t xml:space="preserve"> Што су имовина и доходак већи, треба да буде већи порез, тако да се ова терија залаже за прогресивно опорезивање.</w:t>
      </w:r>
    </w:p>
    <w:p w:rsidR="000964A7" w:rsidRDefault="007F322E" w:rsidP="000964A7">
      <w:pPr>
        <w:ind w:firstLine="360"/>
        <w:jc w:val="both"/>
        <w:rPr>
          <w:rFonts w:ascii="Times New Roman" w:hAnsi="Times New Roman"/>
          <w:sz w:val="24"/>
          <w:szCs w:val="24"/>
          <w:lang w:val="sr-Cyrl-CS"/>
        </w:rPr>
      </w:pPr>
      <w:r>
        <w:rPr>
          <w:rFonts w:ascii="Times New Roman" w:hAnsi="Times New Roman"/>
          <w:sz w:val="24"/>
          <w:szCs w:val="24"/>
          <w:lang w:val="sr-Cyrl-CS"/>
        </w:rPr>
        <w:t>Међутим, основни недостатак за обе теорије се огледа у томе што се порез уводи једнострано, а не сагласном вољом обе стране</w:t>
      </w:r>
      <w:r w:rsidR="008D68E2">
        <w:rPr>
          <w:rFonts w:ascii="Times New Roman" w:hAnsi="Times New Roman"/>
          <w:sz w:val="24"/>
          <w:szCs w:val="24"/>
          <w:lang w:val="sr-Cyrl-CS"/>
        </w:rPr>
        <w:t xml:space="preserve">. Принудни карактер пореза </w:t>
      </w:r>
      <w:r w:rsidR="00BF6BEF">
        <w:rPr>
          <w:rFonts w:ascii="Times New Roman" w:hAnsi="Times New Roman"/>
          <w:sz w:val="24"/>
          <w:szCs w:val="24"/>
          <w:lang w:val="sr-Cyrl-CS"/>
        </w:rPr>
        <w:t xml:space="preserve">није у сагласности са слободном вољом уговорних страна. </w:t>
      </w:r>
    </w:p>
    <w:p w:rsidR="000964A7" w:rsidRDefault="000964A7" w:rsidP="000964A7">
      <w:pPr>
        <w:ind w:firstLine="360"/>
        <w:jc w:val="both"/>
        <w:rPr>
          <w:rFonts w:ascii="Times New Roman" w:hAnsi="Times New Roman"/>
          <w:sz w:val="24"/>
          <w:szCs w:val="24"/>
          <w:lang w:val="sr-Cyrl-CS"/>
        </w:rPr>
      </w:pPr>
    </w:p>
    <w:p w:rsidR="000964A7" w:rsidRDefault="000964A7" w:rsidP="000964A7">
      <w:pPr>
        <w:ind w:firstLine="360"/>
        <w:jc w:val="both"/>
        <w:rPr>
          <w:rFonts w:ascii="Times New Roman" w:hAnsi="Times New Roman"/>
          <w:sz w:val="24"/>
          <w:szCs w:val="24"/>
          <w:lang w:val="sr-Cyrl-CS"/>
        </w:rPr>
      </w:pPr>
    </w:p>
    <w:p w:rsidR="000964A7" w:rsidRDefault="000964A7" w:rsidP="000964A7">
      <w:pPr>
        <w:ind w:firstLine="360"/>
        <w:jc w:val="both"/>
        <w:rPr>
          <w:rFonts w:ascii="Times New Roman" w:hAnsi="Times New Roman"/>
          <w:sz w:val="24"/>
          <w:szCs w:val="24"/>
          <w:lang w:val="sr-Cyrl-CS"/>
        </w:rPr>
      </w:pPr>
    </w:p>
    <w:p w:rsidR="00194B44" w:rsidRDefault="005874BB" w:rsidP="008A3795">
      <w:pPr>
        <w:numPr>
          <w:ilvl w:val="0"/>
          <w:numId w:val="14"/>
        </w:numPr>
        <w:jc w:val="both"/>
        <w:rPr>
          <w:rFonts w:ascii="Times New Roman" w:hAnsi="Times New Roman"/>
          <w:sz w:val="24"/>
          <w:szCs w:val="24"/>
          <w:lang w:val="sr-Cyrl-CS"/>
        </w:rPr>
      </w:pPr>
      <w:r w:rsidRPr="00194B44">
        <w:rPr>
          <w:rFonts w:ascii="Times New Roman" w:hAnsi="Times New Roman"/>
          <w:sz w:val="24"/>
          <w:szCs w:val="24"/>
          <w:lang w:val="sr-Cyrl-CS"/>
        </w:rPr>
        <w:lastRenderedPageBreak/>
        <w:t xml:space="preserve">Теорија жртве </w:t>
      </w:r>
    </w:p>
    <w:p w:rsidR="00194B44" w:rsidRPr="00194B44" w:rsidRDefault="00194B44" w:rsidP="000964A7">
      <w:pPr>
        <w:ind w:firstLine="360"/>
        <w:jc w:val="both"/>
        <w:rPr>
          <w:rFonts w:ascii="Times New Roman" w:hAnsi="Times New Roman"/>
          <w:sz w:val="24"/>
          <w:szCs w:val="24"/>
          <w:lang w:val="sr-Cyrl-CS"/>
        </w:rPr>
      </w:pPr>
      <w:r w:rsidRPr="00194B44">
        <w:rPr>
          <w:rFonts w:ascii="Times New Roman" w:hAnsi="Times New Roman"/>
          <w:sz w:val="24"/>
          <w:szCs w:val="24"/>
          <w:lang w:val="sr-Cyrl-CS"/>
        </w:rPr>
        <w:t>Представници ове теорије виде порез као жртву грађана, а на наплату пореза држава има право зато што је општедруштвена творевина.</w:t>
      </w:r>
      <w:r w:rsidR="00DF5493">
        <w:rPr>
          <w:rFonts w:ascii="Times New Roman" w:hAnsi="Times New Roman"/>
          <w:sz w:val="24"/>
          <w:szCs w:val="24"/>
          <w:lang w:val="sr-Cyrl-CS"/>
        </w:rPr>
        <w:t xml:space="preserve"> Ова теорија је, дакле, базирана да тези да је порез жртва у општем интересу.</w:t>
      </w:r>
      <w:r w:rsidR="00DF5493">
        <w:rPr>
          <w:rStyle w:val="FootnoteReference"/>
          <w:rFonts w:ascii="Times New Roman" w:hAnsi="Times New Roman"/>
          <w:sz w:val="24"/>
          <w:szCs w:val="24"/>
          <w:lang w:val="sr-Cyrl-CS"/>
        </w:rPr>
        <w:footnoteReference w:id="50"/>
      </w:r>
    </w:p>
    <w:p w:rsidR="00DF5493" w:rsidRDefault="00DF5493" w:rsidP="008A3795">
      <w:pPr>
        <w:numPr>
          <w:ilvl w:val="0"/>
          <w:numId w:val="14"/>
        </w:numPr>
        <w:jc w:val="both"/>
        <w:rPr>
          <w:rFonts w:ascii="Times New Roman" w:hAnsi="Times New Roman"/>
          <w:sz w:val="24"/>
          <w:szCs w:val="24"/>
          <w:lang w:val="sr-Cyrl-CS"/>
        </w:rPr>
      </w:pPr>
      <w:r>
        <w:rPr>
          <w:rFonts w:ascii="Times New Roman" w:hAnsi="Times New Roman"/>
          <w:sz w:val="24"/>
          <w:szCs w:val="24"/>
          <w:lang w:val="sr-Cyrl-CS"/>
        </w:rPr>
        <w:t>Теорија суверенитета</w:t>
      </w:r>
    </w:p>
    <w:p w:rsidR="00DF5493" w:rsidRDefault="00DF5493" w:rsidP="00DF5493">
      <w:pPr>
        <w:ind w:firstLine="360"/>
        <w:jc w:val="both"/>
        <w:rPr>
          <w:rFonts w:ascii="Times New Roman" w:hAnsi="Times New Roman"/>
          <w:sz w:val="24"/>
          <w:szCs w:val="24"/>
          <w:lang w:val="sr-Cyrl-CS"/>
        </w:rPr>
      </w:pPr>
      <w:r>
        <w:rPr>
          <w:rFonts w:ascii="Times New Roman" w:hAnsi="Times New Roman"/>
          <w:sz w:val="24"/>
          <w:szCs w:val="24"/>
          <w:lang w:val="sr-Cyrl-CS"/>
        </w:rPr>
        <w:t>Ова теорија је базирана на политичкој вези између држављана и државе. Порез представља обавезу плаћања због припадности државној заједници. Свако лице треба да доприноси државној заједници сразмерно својим економским могућностима, односно пореској способности, а овај аргумент се и данас подразумева.</w:t>
      </w:r>
      <w:r>
        <w:rPr>
          <w:rStyle w:val="FootnoteReference"/>
          <w:rFonts w:ascii="Times New Roman" w:hAnsi="Times New Roman"/>
          <w:sz w:val="24"/>
          <w:szCs w:val="24"/>
          <w:lang w:val="sr-Cyrl-CS"/>
        </w:rPr>
        <w:footnoteReference w:id="51"/>
      </w:r>
    </w:p>
    <w:p w:rsidR="00C818B9" w:rsidRDefault="00DF5493" w:rsidP="0091441F">
      <w:pPr>
        <w:ind w:firstLine="360"/>
        <w:jc w:val="both"/>
        <w:rPr>
          <w:rFonts w:ascii="Times New Roman" w:hAnsi="Times New Roman"/>
          <w:sz w:val="24"/>
          <w:szCs w:val="24"/>
          <w:lang w:val="sr-Cyrl-CS"/>
        </w:rPr>
      </w:pPr>
      <w:r>
        <w:rPr>
          <w:rFonts w:ascii="Times New Roman" w:hAnsi="Times New Roman"/>
          <w:sz w:val="24"/>
          <w:szCs w:val="24"/>
          <w:lang w:val="sr-Cyrl-CS"/>
        </w:rPr>
        <w:t>Поред наведених, у финасијској теорији су заступљене и друге теорије оправдања пореза</w:t>
      </w:r>
      <w:r>
        <w:rPr>
          <w:rStyle w:val="FootnoteReference"/>
          <w:rFonts w:ascii="Times New Roman" w:hAnsi="Times New Roman"/>
          <w:sz w:val="24"/>
          <w:szCs w:val="24"/>
          <w:lang w:val="sr-Cyrl-CS"/>
        </w:rPr>
        <w:footnoteReference w:id="52"/>
      </w:r>
      <w:r w:rsidR="0091441F">
        <w:rPr>
          <w:rFonts w:ascii="Times New Roman" w:hAnsi="Times New Roman"/>
          <w:sz w:val="24"/>
          <w:szCs w:val="24"/>
          <w:lang w:val="sr-Cyrl-CS"/>
        </w:rPr>
        <w:t xml:space="preserve"> као што су: теорија репродукције (према којој држава путем пореза омогућава несметан ток репродукције), органска теорија (према којој између државе и грађана постоји органска повезаност, односно држава се схвата као орган, чији су органи њени грађани), социјалистичка теорија (раније присталице ове терије сматрале су да порезе треба укинути јер се могу заменити другим начинима финансирања и потребни су само у случају ратног стања, а касније, посебно након слома комунизма, преовладава схватање да су порези потребни и њихово опрадање се налази у грађанској дужности), теорија </w:t>
      </w:r>
      <w:r w:rsidR="00F8223C">
        <w:rPr>
          <w:rFonts w:ascii="Times New Roman" w:hAnsi="Times New Roman"/>
          <w:sz w:val="24"/>
          <w:szCs w:val="24"/>
          <w:lang w:val="sr-Cyrl-CS"/>
        </w:rPr>
        <w:t>државног интервенционизма</w:t>
      </w:r>
      <w:r w:rsidR="0091441F">
        <w:rPr>
          <w:rFonts w:ascii="Times New Roman" w:hAnsi="Times New Roman"/>
          <w:sz w:val="24"/>
          <w:szCs w:val="24"/>
          <w:lang w:val="sr-Cyrl-CS"/>
        </w:rPr>
        <w:t xml:space="preserve"> (о</w:t>
      </w:r>
      <w:r w:rsidR="00F8223C">
        <w:rPr>
          <w:rFonts w:ascii="Times New Roman" w:hAnsi="Times New Roman"/>
          <w:sz w:val="24"/>
          <w:szCs w:val="24"/>
          <w:lang w:val="sr-Cyrl-CS"/>
        </w:rPr>
        <w:t xml:space="preserve">правдање пореза се </w:t>
      </w:r>
      <w:r w:rsidR="00EB60D3">
        <w:rPr>
          <w:rFonts w:ascii="Times New Roman" w:hAnsi="Times New Roman"/>
          <w:sz w:val="24"/>
          <w:szCs w:val="24"/>
          <w:lang w:val="sr-Cyrl-CS"/>
        </w:rPr>
        <w:t>посматра</w:t>
      </w:r>
      <w:r w:rsidR="00F8223C">
        <w:rPr>
          <w:rFonts w:ascii="Times New Roman" w:hAnsi="Times New Roman"/>
          <w:sz w:val="24"/>
          <w:szCs w:val="24"/>
          <w:lang w:val="sr-Cyrl-CS"/>
        </w:rPr>
        <w:t xml:space="preserve"> кроз државни интервенционизма,</w:t>
      </w:r>
      <w:r w:rsidR="00EB60D3">
        <w:rPr>
          <w:rFonts w:ascii="Times New Roman" w:hAnsi="Times New Roman"/>
          <w:sz w:val="24"/>
          <w:szCs w:val="24"/>
          <w:lang w:val="sr-Cyrl-CS"/>
        </w:rPr>
        <w:t xml:space="preserve"> чиме се остварују бројни нефиск</w:t>
      </w:r>
      <w:r w:rsidR="00F8223C">
        <w:rPr>
          <w:rFonts w:ascii="Times New Roman" w:hAnsi="Times New Roman"/>
          <w:sz w:val="24"/>
          <w:szCs w:val="24"/>
          <w:lang w:val="sr-Cyrl-CS"/>
        </w:rPr>
        <w:t>ални циљеви опорезивања, као што су економски, социјални, редистрибутивни, стабилизациони и сл.</w:t>
      </w:r>
      <w:r w:rsidR="0091441F">
        <w:rPr>
          <w:rFonts w:ascii="Times New Roman" w:hAnsi="Times New Roman"/>
          <w:sz w:val="24"/>
          <w:szCs w:val="24"/>
          <w:lang w:val="sr-Cyrl-CS"/>
        </w:rPr>
        <w:t>), т</w:t>
      </w:r>
      <w:r w:rsidR="00F8223C">
        <w:rPr>
          <w:rFonts w:ascii="Times New Roman" w:hAnsi="Times New Roman"/>
          <w:sz w:val="24"/>
          <w:szCs w:val="24"/>
          <w:lang w:val="sr-Cyrl-CS"/>
        </w:rPr>
        <w:t>еорија пореза као регулатора економије</w:t>
      </w:r>
      <w:r w:rsidR="0091441F">
        <w:rPr>
          <w:rFonts w:ascii="Times New Roman" w:hAnsi="Times New Roman"/>
          <w:sz w:val="24"/>
          <w:szCs w:val="24"/>
          <w:lang w:val="sr-Cyrl-CS"/>
        </w:rPr>
        <w:t xml:space="preserve"> (о</w:t>
      </w:r>
      <w:r w:rsidR="00872251">
        <w:rPr>
          <w:rFonts w:ascii="Times New Roman" w:hAnsi="Times New Roman"/>
          <w:sz w:val="24"/>
          <w:szCs w:val="24"/>
          <w:lang w:val="sr-Cyrl-CS"/>
        </w:rPr>
        <w:t xml:space="preserve">ва теорија </w:t>
      </w:r>
      <w:r w:rsidR="0091441F">
        <w:rPr>
          <w:rFonts w:ascii="Times New Roman" w:hAnsi="Times New Roman"/>
          <w:sz w:val="24"/>
          <w:szCs w:val="24"/>
          <w:lang w:val="sr-Cyrl-CS"/>
        </w:rPr>
        <w:t>потенцира</w:t>
      </w:r>
      <w:r w:rsidR="00872251">
        <w:rPr>
          <w:rFonts w:ascii="Times New Roman" w:hAnsi="Times New Roman"/>
          <w:sz w:val="24"/>
          <w:szCs w:val="24"/>
          <w:lang w:val="sr-Cyrl-CS"/>
        </w:rPr>
        <w:t xml:space="preserve"> одговорност државе у привредном </w:t>
      </w:r>
      <w:r w:rsidR="00EB60D3">
        <w:rPr>
          <w:rFonts w:ascii="Times New Roman" w:hAnsi="Times New Roman"/>
          <w:sz w:val="24"/>
          <w:szCs w:val="24"/>
          <w:lang w:val="sr-Cyrl-CS"/>
        </w:rPr>
        <w:t>развоју</w:t>
      </w:r>
      <w:r w:rsidR="0091441F">
        <w:rPr>
          <w:rFonts w:ascii="Times New Roman" w:hAnsi="Times New Roman"/>
          <w:sz w:val="24"/>
          <w:szCs w:val="24"/>
          <w:lang w:val="sr-Cyrl-CS"/>
        </w:rPr>
        <w:t>,</w:t>
      </w:r>
      <w:r w:rsidR="00872251">
        <w:rPr>
          <w:rFonts w:ascii="Times New Roman" w:hAnsi="Times New Roman"/>
          <w:sz w:val="24"/>
          <w:szCs w:val="24"/>
          <w:lang w:val="sr-Cyrl-CS"/>
        </w:rPr>
        <w:t xml:space="preserve"> </w:t>
      </w:r>
      <w:r w:rsidR="00C818B9">
        <w:rPr>
          <w:rFonts w:ascii="Times New Roman" w:hAnsi="Times New Roman"/>
          <w:sz w:val="24"/>
          <w:szCs w:val="24"/>
          <w:lang w:val="sr-Cyrl-CS"/>
        </w:rPr>
        <w:t>везује</w:t>
      </w:r>
      <w:r w:rsidR="00AD3A10">
        <w:rPr>
          <w:rFonts w:ascii="Times New Roman" w:hAnsi="Times New Roman"/>
          <w:sz w:val="24"/>
          <w:szCs w:val="24"/>
          <w:lang w:val="sr-Cyrl-CS"/>
        </w:rPr>
        <w:t xml:space="preserve"> </w:t>
      </w:r>
      <w:r w:rsidR="0091441F">
        <w:rPr>
          <w:rFonts w:ascii="Times New Roman" w:hAnsi="Times New Roman"/>
          <w:sz w:val="24"/>
          <w:szCs w:val="24"/>
          <w:lang w:val="sr-Cyrl-CS"/>
        </w:rPr>
        <w:t xml:space="preserve">се </w:t>
      </w:r>
      <w:r w:rsidR="00C818B9">
        <w:rPr>
          <w:rFonts w:ascii="Times New Roman" w:hAnsi="Times New Roman"/>
          <w:sz w:val="24"/>
          <w:szCs w:val="24"/>
          <w:lang w:val="sr-Cyrl-CS"/>
        </w:rPr>
        <w:t>за Кејн</w:t>
      </w:r>
      <w:r w:rsidR="0091441F">
        <w:rPr>
          <w:rFonts w:ascii="Times New Roman" w:hAnsi="Times New Roman"/>
          <w:sz w:val="24"/>
          <w:szCs w:val="24"/>
          <w:lang w:val="sr-Cyrl-CS"/>
        </w:rPr>
        <w:t xml:space="preserve">са који је поставио њене основе). </w:t>
      </w:r>
    </w:p>
    <w:p w:rsidR="00EB70BA" w:rsidRDefault="00872251" w:rsidP="00A63A6E">
      <w:pPr>
        <w:ind w:left="720"/>
        <w:jc w:val="both"/>
        <w:rPr>
          <w:rFonts w:ascii="Times New Roman" w:hAnsi="Times New Roman"/>
          <w:sz w:val="24"/>
          <w:szCs w:val="24"/>
          <w:lang w:val="sr-Cyrl-CS"/>
        </w:rPr>
      </w:pPr>
      <w:r>
        <w:rPr>
          <w:rFonts w:ascii="Times New Roman" w:hAnsi="Times New Roman"/>
          <w:sz w:val="24"/>
          <w:szCs w:val="24"/>
          <w:lang w:val="sr-Cyrl-CS"/>
        </w:rPr>
        <w:t>Посткејнзијанска теорија оправдања пореза</w:t>
      </w:r>
      <w:r w:rsidR="00EB60D3">
        <w:rPr>
          <w:rFonts w:ascii="Times New Roman" w:hAnsi="Times New Roman"/>
          <w:sz w:val="24"/>
          <w:szCs w:val="24"/>
          <w:lang w:val="sr-Cyrl-CS"/>
        </w:rPr>
        <w:t xml:space="preserve"> </w:t>
      </w:r>
    </w:p>
    <w:p w:rsidR="00872251" w:rsidRDefault="00FF39C3" w:rsidP="00EB60D3">
      <w:pPr>
        <w:ind w:firstLine="708"/>
        <w:jc w:val="both"/>
        <w:rPr>
          <w:rFonts w:ascii="Times New Roman" w:hAnsi="Times New Roman"/>
          <w:sz w:val="24"/>
          <w:szCs w:val="24"/>
          <w:lang w:val="sr-Cyrl-CS"/>
        </w:rPr>
      </w:pPr>
      <w:r>
        <w:rPr>
          <w:rFonts w:ascii="Times New Roman" w:hAnsi="Times New Roman"/>
          <w:sz w:val="24"/>
          <w:szCs w:val="24"/>
          <w:lang w:val="sr-Cyrl-CS"/>
        </w:rPr>
        <w:t>После Другог светског рата развија се широки правац под општим називом Неокејнзијанство</w:t>
      </w:r>
      <w:r w:rsidR="00300E46">
        <w:rPr>
          <w:rFonts w:ascii="Times New Roman" w:hAnsi="Times New Roman"/>
          <w:sz w:val="24"/>
          <w:szCs w:val="24"/>
          <w:lang w:val="sr-Cyrl-CS"/>
        </w:rPr>
        <w:t>,</w:t>
      </w:r>
      <w:r w:rsidR="00601875">
        <w:rPr>
          <w:rStyle w:val="FootnoteReference"/>
          <w:rFonts w:ascii="Times New Roman" w:hAnsi="Times New Roman"/>
          <w:sz w:val="24"/>
          <w:szCs w:val="24"/>
          <w:lang w:val="sr-Cyrl-CS"/>
        </w:rPr>
        <w:footnoteReference w:id="53"/>
      </w:r>
      <w:r>
        <w:rPr>
          <w:rFonts w:ascii="Times New Roman" w:hAnsi="Times New Roman"/>
          <w:sz w:val="24"/>
          <w:szCs w:val="24"/>
          <w:lang w:val="sr-Cyrl-CS"/>
        </w:rPr>
        <w:t xml:space="preserve"> </w:t>
      </w:r>
      <w:r w:rsidR="00300E46">
        <w:rPr>
          <w:rFonts w:ascii="Times New Roman" w:hAnsi="Times New Roman"/>
          <w:sz w:val="24"/>
          <w:szCs w:val="24"/>
          <w:lang w:val="sr-Cyrl-CS"/>
        </w:rPr>
        <w:t>који</w:t>
      </w:r>
      <w:r>
        <w:rPr>
          <w:rFonts w:ascii="Times New Roman" w:hAnsi="Times New Roman"/>
          <w:sz w:val="24"/>
          <w:szCs w:val="24"/>
          <w:lang w:val="sr-Cyrl-CS"/>
        </w:rPr>
        <w:t xml:space="preserve"> полази од </w:t>
      </w:r>
      <w:r w:rsidR="00300E46">
        <w:rPr>
          <w:rFonts w:ascii="Times New Roman" w:hAnsi="Times New Roman"/>
          <w:sz w:val="24"/>
          <w:szCs w:val="24"/>
          <w:lang w:val="sr-Cyrl-CS"/>
        </w:rPr>
        <w:t>тога</w:t>
      </w:r>
      <w:r>
        <w:rPr>
          <w:rFonts w:ascii="Times New Roman" w:hAnsi="Times New Roman"/>
          <w:sz w:val="24"/>
          <w:szCs w:val="24"/>
          <w:lang w:val="sr-Cyrl-CS"/>
        </w:rPr>
        <w:t xml:space="preserve"> да држава одговарајућим мерама пореске политике треба да делује на циклична кретања. </w:t>
      </w:r>
      <w:r w:rsidR="00300E46">
        <w:rPr>
          <w:rFonts w:ascii="Times New Roman" w:hAnsi="Times New Roman"/>
          <w:sz w:val="24"/>
          <w:szCs w:val="24"/>
          <w:lang w:val="sr-Cyrl-CS"/>
        </w:rPr>
        <w:t>Наиме, у</w:t>
      </w:r>
      <w:r>
        <w:rPr>
          <w:rFonts w:ascii="Times New Roman" w:hAnsi="Times New Roman"/>
          <w:sz w:val="24"/>
          <w:szCs w:val="24"/>
          <w:lang w:val="sr-Cyrl-CS"/>
        </w:rPr>
        <w:t xml:space="preserve"> </w:t>
      </w:r>
      <w:r w:rsidR="00300E46">
        <w:rPr>
          <w:rFonts w:ascii="Times New Roman" w:hAnsi="Times New Roman"/>
          <w:sz w:val="24"/>
          <w:szCs w:val="24"/>
          <w:lang w:val="sr-Cyrl-CS"/>
        </w:rPr>
        <w:t>фази</w:t>
      </w:r>
      <w:r>
        <w:rPr>
          <w:rFonts w:ascii="Times New Roman" w:hAnsi="Times New Roman"/>
          <w:sz w:val="24"/>
          <w:szCs w:val="24"/>
          <w:lang w:val="sr-Cyrl-CS"/>
        </w:rPr>
        <w:t xml:space="preserve"> успона треба повећањем пореза ограничити расположиви доходак и новчани капитал да би се ограничиле инвестиције и пот</w:t>
      </w:r>
      <w:r w:rsidR="00EB60D3">
        <w:rPr>
          <w:rFonts w:ascii="Times New Roman" w:hAnsi="Times New Roman"/>
          <w:sz w:val="24"/>
          <w:szCs w:val="24"/>
          <w:lang w:val="sr-Cyrl-CS"/>
        </w:rPr>
        <w:t>рошња, док у фази кризе смањење</w:t>
      </w:r>
      <w:r>
        <w:rPr>
          <w:rFonts w:ascii="Times New Roman" w:hAnsi="Times New Roman"/>
          <w:sz w:val="24"/>
          <w:szCs w:val="24"/>
          <w:lang w:val="sr-Cyrl-CS"/>
        </w:rPr>
        <w:t xml:space="preserve"> пореза на доходак постаје стимуланс за подизање стопе раста и запос</w:t>
      </w:r>
      <w:r w:rsidR="00EA4169">
        <w:rPr>
          <w:rFonts w:ascii="Times New Roman" w:hAnsi="Times New Roman"/>
          <w:sz w:val="24"/>
          <w:szCs w:val="24"/>
          <w:lang w:val="sr-Cyrl-CS"/>
        </w:rPr>
        <w:t>лености, уз стимулацију инвестиц</w:t>
      </w:r>
      <w:r>
        <w:rPr>
          <w:rFonts w:ascii="Times New Roman" w:hAnsi="Times New Roman"/>
          <w:sz w:val="24"/>
          <w:szCs w:val="24"/>
          <w:lang w:val="sr-Cyrl-CS"/>
        </w:rPr>
        <w:t>ија.</w:t>
      </w:r>
    </w:p>
    <w:p w:rsidR="00FF39C3" w:rsidRDefault="00FF39C3" w:rsidP="00EB60D3">
      <w:pPr>
        <w:ind w:firstLine="708"/>
        <w:jc w:val="both"/>
        <w:rPr>
          <w:rFonts w:ascii="Times New Roman" w:hAnsi="Times New Roman"/>
          <w:sz w:val="24"/>
          <w:szCs w:val="24"/>
          <w:lang w:val="sr-Cyrl-CS"/>
        </w:rPr>
      </w:pPr>
      <w:r>
        <w:rPr>
          <w:rFonts w:ascii="Times New Roman" w:hAnsi="Times New Roman"/>
          <w:sz w:val="24"/>
          <w:szCs w:val="24"/>
          <w:lang w:val="sr-Cyrl-CS"/>
        </w:rPr>
        <w:t>У оквиру ове теорије развила су се три стан</w:t>
      </w:r>
      <w:r w:rsidR="00EB60D3">
        <w:rPr>
          <w:rFonts w:ascii="Times New Roman" w:hAnsi="Times New Roman"/>
          <w:sz w:val="24"/>
          <w:szCs w:val="24"/>
          <w:lang w:val="sr-Cyrl-CS"/>
        </w:rPr>
        <w:t>о</w:t>
      </w:r>
      <w:r>
        <w:rPr>
          <w:rFonts w:ascii="Times New Roman" w:hAnsi="Times New Roman"/>
          <w:sz w:val="24"/>
          <w:szCs w:val="24"/>
          <w:lang w:val="sr-Cyrl-CS"/>
        </w:rPr>
        <w:t xml:space="preserve">вишта оправдања пореза. Према једном становишту </w:t>
      </w:r>
      <w:r w:rsidR="00444640">
        <w:rPr>
          <w:rFonts w:ascii="Times New Roman" w:hAnsi="Times New Roman"/>
          <w:sz w:val="24"/>
          <w:szCs w:val="24"/>
          <w:lang w:val="sr-Cyrl-CS"/>
        </w:rPr>
        <w:t xml:space="preserve">(теорија порези-стимулатор производње) </w:t>
      </w:r>
      <w:r w:rsidR="00EB60D3">
        <w:rPr>
          <w:rFonts w:ascii="Times New Roman" w:hAnsi="Times New Roman"/>
          <w:sz w:val="24"/>
          <w:szCs w:val="24"/>
          <w:lang w:val="sr-Cyrl-CS"/>
        </w:rPr>
        <w:t>оправда</w:t>
      </w:r>
      <w:r>
        <w:rPr>
          <w:rFonts w:ascii="Times New Roman" w:hAnsi="Times New Roman"/>
          <w:sz w:val="24"/>
          <w:szCs w:val="24"/>
          <w:lang w:val="sr-Cyrl-CS"/>
        </w:rPr>
        <w:t>ност пореза се огледа у томе што су порези средство за стимулисање и дестимулисање производње. Основна сврха постојања пореза је њихово деловање на стабилност раста и зато је потребно водити еластичну пореску политику. Према другом становишту</w:t>
      </w:r>
      <w:r w:rsidR="00444640">
        <w:rPr>
          <w:rFonts w:ascii="Times New Roman" w:hAnsi="Times New Roman"/>
          <w:sz w:val="24"/>
          <w:szCs w:val="24"/>
          <w:lang w:val="sr-Cyrl-CS"/>
        </w:rPr>
        <w:t xml:space="preserve"> (антикризна </w:t>
      </w:r>
      <w:r w:rsidR="00444640">
        <w:rPr>
          <w:rFonts w:ascii="Times New Roman" w:hAnsi="Times New Roman"/>
          <w:sz w:val="24"/>
          <w:szCs w:val="24"/>
          <w:lang w:val="sr-Cyrl-CS"/>
        </w:rPr>
        <w:lastRenderedPageBreak/>
        <w:t>теорија пореза)</w:t>
      </w:r>
      <w:r>
        <w:rPr>
          <w:rFonts w:ascii="Times New Roman" w:hAnsi="Times New Roman"/>
          <w:sz w:val="24"/>
          <w:szCs w:val="24"/>
          <w:lang w:val="sr-Cyrl-CS"/>
        </w:rPr>
        <w:t xml:space="preserve"> порези су средство аутоматског стабилизационог деловања на привредна кретања. Директни прогресивни порези на доходак </w:t>
      </w:r>
      <w:r w:rsidR="00300E46">
        <w:rPr>
          <w:rFonts w:ascii="Times New Roman" w:hAnsi="Times New Roman"/>
          <w:sz w:val="24"/>
          <w:szCs w:val="24"/>
          <w:lang w:val="sr-Cyrl-CS"/>
        </w:rPr>
        <w:t>су</w:t>
      </w:r>
      <w:r>
        <w:rPr>
          <w:rFonts w:ascii="Times New Roman" w:hAnsi="Times New Roman"/>
          <w:sz w:val="24"/>
          <w:szCs w:val="24"/>
          <w:lang w:val="sr-Cyrl-CS"/>
        </w:rPr>
        <w:t xml:space="preserve"> аутоматски стабилизатори цикличном кретању привреде. Према трећем становишту </w:t>
      </w:r>
      <w:r w:rsidR="00444640">
        <w:rPr>
          <w:rFonts w:ascii="Times New Roman" w:hAnsi="Times New Roman"/>
          <w:sz w:val="24"/>
          <w:szCs w:val="24"/>
          <w:lang w:val="sr-Cyrl-CS"/>
        </w:rPr>
        <w:t xml:space="preserve">(антиинфлациона теорија) </w:t>
      </w:r>
      <w:r>
        <w:rPr>
          <w:rFonts w:ascii="Times New Roman" w:hAnsi="Times New Roman"/>
          <w:sz w:val="24"/>
          <w:szCs w:val="24"/>
          <w:lang w:val="sr-Cyrl-CS"/>
        </w:rPr>
        <w:t xml:space="preserve">оправдање пореза се налази у томе што </w:t>
      </w:r>
      <w:r w:rsidR="0048751D">
        <w:rPr>
          <w:rFonts w:ascii="Times New Roman" w:hAnsi="Times New Roman"/>
          <w:sz w:val="24"/>
          <w:szCs w:val="24"/>
          <w:lang w:val="sr-Cyrl-CS"/>
        </w:rPr>
        <w:t>се сматра</w:t>
      </w:r>
      <w:r>
        <w:rPr>
          <w:rFonts w:ascii="Times New Roman" w:hAnsi="Times New Roman"/>
          <w:sz w:val="24"/>
          <w:szCs w:val="24"/>
          <w:lang w:val="sr-Cyrl-CS"/>
        </w:rPr>
        <w:t xml:space="preserve"> да су порези основно средство у регулисању п</w:t>
      </w:r>
      <w:r w:rsidR="0048751D">
        <w:rPr>
          <w:rFonts w:ascii="Times New Roman" w:hAnsi="Times New Roman"/>
          <w:sz w:val="24"/>
          <w:szCs w:val="24"/>
          <w:lang w:val="sr-Cyrl-CS"/>
        </w:rPr>
        <w:t>ретеране тражње становништава: п</w:t>
      </w:r>
      <w:r>
        <w:rPr>
          <w:rFonts w:ascii="Times New Roman" w:hAnsi="Times New Roman"/>
          <w:sz w:val="24"/>
          <w:szCs w:val="24"/>
          <w:lang w:val="sr-Cyrl-CS"/>
        </w:rPr>
        <w:t xml:space="preserve">овећање пореза смањује реалне дохотке становнишва, </w:t>
      </w:r>
      <w:r w:rsidR="00444640">
        <w:rPr>
          <w:rFonts w:ascii="Times New Roman" w:hAnsi="Times New Roman"/>
          <w:sz w:val="24"/>
          <w:szCs w:val="24"/>
          <w:lang w:val="sr-Cyrl-CS"/>
        </w:rPr>
        <w:t>што р</w:t>
      </w:r>
      <w:r w:rsidR="0048751D">
        <w:rPr>
          <w:rFonts w:ascii="Times New Roman" w:hAnsi="Times New Roman"/>
          <w:sz w:val="24"/>
          <w:szCs w:val="24"/>
          <w:lang w:val="sr-Cyrl-CS"/>
        </w:rPr>
        <w:t>едовно води смањењу платежне спо</w:t>
      </w:r>
      <w:r w:rsidR="00444640">
        <w:rPr>
          <w:rFonts w:ascii="Times New Roman" w:hAnsi="Times New Roman"/>
          <w:sz w:val="24"/>
          <w:szCs w:val="24"/>
          <w:lang w:val="sr-Cyrl-CS"/>
        </w:rPr>
        <w:t xml:space="preserve">собности тражње и дефлационим ефектима. Ова теорија </w:t>
      </w:r>
      <w:r w:rsidR="00EA4169">
        <w:rPr>
          <w:rFonts w:ascii="Times New Roman" w:hAnsi="Times New Roman"/>
          <w:sz w:val="24"/>
          <w:szCs w:val="24"/>
        </w:rPr>
        <w:t>( Richard</w:t>
      </w:r>
      <w:r w:rsidR="00444640">
        <w:rPr>
          <w:rFonts w:ascii="Times New Roman" w:hAnsi="Times New Roman"/>
          <w:sz w:val="24"/>
          <w:szCs w:val="24"/>
        </w:rPr>
        <w:t xml:space="preserve"> Mus</w:t>
      </w:r>
      <w:r w:rsidR="00EA4169">
        <w:rPr>
          <w:rFonts w:ascii="Times New Roman" w:hAnsi="Times New Roman"/>
          <w:sz w:val="24"/>
          <w:szCs w:val="24"/>
        </w:rPr>
        <w:t>grave</w:t>
      </w:r>
      <w:r w:rsidR="00444640">
        <w:rPr>
          <w:rFonts w:ascii="Times New Roman" w:hAnsi="Times New Roman"/>
          <w:sz w:val="24"/>
          <w:szCs w:val="24"/>
        </w:rPr>
        <w:t>) полази ч</w:t>
      </w:r>
      <w:r w:rsidR="00300E46">
        <w:rPr>
          <w:rFonts w:ascii="Times New Roman" w:hAnsi="Times New Roman"/>
          <w:sz w:val="24"/>
          <w:szCs w:val="24"/>
        </w:rPr>
        <w:t>ак и од тога да би</w:t>
      </w:r>
      <w:r w:rsidR="00300E46" w:rsidRPr="00300E46">
        <w:rPr>
          <w:rFonts w:ascii="Times New Roman" w:hAnsi="Times New Roman"/>
          <w:sz w:val="24"/>
          <w:szCs w:val="24"/>
        </w:rPr>
        <w:t xml:space="preserve"> </w:t>
      </w:r>
      <w:r w:rsidR="00300E46">
        <w:rPr>
          <w:rFonts w:ascii="Times New Roman" w:hAnsi="Times New Roman"/>
          <w:sz w:val="24"/>
          <w:szCs w:val="24"/>
        </w:rPr>
        <w:t xml:space="preserve">требало аутоматски кориговати пореске стопе и приходе са растом цена робе и </w:t>
      </w:r>
      <w:r w:rsidR="00300E46">
        <w:rPr>
          <w:rFonts w:ascii="Times New Roman" w:hAnsi="Times New Roman"/>
          <w:sz w:val="24"/>
          <w:szCs w:val="24"/>
          <w:lang w:val="sr-Cyrl-CS"/>
        </w:rPr>
        <w:t>ус</w:t>
      </w:r>
      <w:r w:rsidR="00300E46">
        <w:rPr>
          <w:rFonts w:ascii="Times New Roman" w:hAnsi="Times New Roman"/>
          <w:sz w:val="24"/>
          <w:szCs w:val="24"/>
        </w:rPr>
        <w:t xml:space="preserve">луга </w:t>
      </w:r>
      <w:r w:rsidR="00300E46">
        <w:rPr>
          <w:rFonts w:ascii="Times New Roman" w:hAnsi="Times New Roman"/>
          <w:sz w:val="24"/>
          <w:szCs w:val="24"/>
          <w:lang w:val="sr-Cyrl-CS"/>
        </w:rPr>
        <w:t>у циљу</w:t>
      </w:r>
      <w:r w:rsidR="00444640">
        <w:rPr>
          <w:rFonts w:ascii="Times New Roman" w:hAnsi="Times New Roman"/>
          <w:sz w:val="24"/>
          <w:szCs w:val="24"/>
        </w:rPr>
        <w:t xml:space="preserve"> заштите пореских при</w:t>
      </w:r>
      <w:r w:rsidR="00300E46">
        <w:rPr>
          <w:rFonts w:ascii="Times New Roman" w:hAnsi="Times New Roman"/>
          <w:sz w:val="24"/>
          <w:szCs w:val="24"/>
        </w:rPr>
        <w:t>хода од обезвређења у инфлацији</w:t>
      </w:r>
      <w:r w:rsidR="00300E46">
        <w:rPr>
          <w:rFonts w:ascii="Times New Roman" w:hAnsi="Times New Roman"/>
          <w:sz w:val="24"/>
          <w:szCs w:val="24"/>
          <w:lang w:val="sr-Cyrl-CS"/>
        </w:rPr>
        <w:t>.</w:t>
      </w:r>
      <w:r w:rsidR="00444640">
        <w:rPr>
          <w:rFonts w:ascii="Times New Roman" w:hAnsi="Times New Roman"/>
          <w:sz w:val="24"/>
          <w:szCs w:val="24"/>
        </w:rPr>
        <w:t xml:space="preserve"> </w:t>
      </w:r>
      <w:r w:rsidR="00C225E5">
        <w:rPr>
          <w:rFonts w:ascii="Times New Roman" w:hAnsi="Times New Roman"/>
          <w:sz w:val="24"/>
          <w:szCs w:val="24"/>
          <w:lang w:val="sr-Cyrl-CS"/>
        </w:rPr>
        <w:t>А</w:t>
      </w:r>
      <w:r w:rsidR="00444640">
        <w:rPr>
          <w:rFonts w:ascii="Times New Roman" w:hAnsi="Times New Roman"/>
          <w:sz w:val="24"/>
          <w:szCs w:val="24"/>
          <w:lang w:val="sr-Cyrl-CS"/>
        </w:rPr>
        <w:t>нтитинф</w:t>
      </w:r>
      <w:r w:rsidR="00EA4169">
        <w:rPr>
          <w:rFonts w:ascii="Times New Roman" w:hAnsi="Times New Roman"/>
          <w:sz w:val="24"/>
          <w:szCs w:val="24"/>
          <w:lang w:val="sr-Cyrl-CS"/>
        </w:rPr>
        <w:t>лациона теориј</w:t>
      </w:r>
      <w:r w:rsidR="00444640">
        <w:rPr>
          <w:rFonts w:ascii="Times New Roman" w:hAnsi="Times New Roman"/>
          <w:sz w:val="24"/>
          <w:szCs w:val="24"/>
          <w:lang w:val="sr-Cyrl-CS"/>
        </w:rPr>
        <w:t xml:space="preserve">а нема </w:t>
      </w:r>
      <w:r w:rsidR="00C225E5">
        <w:rPr>
          <w:rFonts w:ascii="Times New Roman" w:hAnsi="Times New Roman"/>
          <w:sz w:val="24"/>
          <w:szCs w:val="24"/>
          <w:lang w:val="sr-Cyrl-CS"/>
        </w:rPr>
        <w:t>своје оправдање због тога што</w:t>
      </w:r>
      <w:r w:rsidR="00444640">
        <w:rPr>
          <w:rFonts w:ascii="Times New Roman" w:hAnsi="Times New Roman"/>
          <w:sz w:val="24"/>
          <w:szCs w:val="24"/>
          <w:lang w:val="sr-Cyrl-CS"/>
        </w:rPr>
        <w:t xml:space="preserve"> </w:t>
      </w:r>
      <w:r w:rsidR="00300E46">
        <w:rPr>
          <w:rFonts w:ascii="Times New Roman" w:hAnsi="Times New Roman"/>
          <w:sz w:val="24"/>
          <w:szCs w:val="24"/>
          <w:lang w:val="sr-Cyrl-CS"/>
        </w:rPr>
        <w:t>се новчана маса повучена порезима</w:t>
      </w:r>
      <w:r w:rsidR="0048751D">
        <w:rPr>
          <w:rFonts w:ascii="Times New Roman" w:hAnsi="Times New Roman"/>
          <w:sz w:val="24"/>
          <w:szCs w:val="24"/>
          <w:lang w:val="sr-Cyrl-CS"/>
        </w:rPr>
        <w:t xml:space="preserve"> не поништава, већ се ствара</w:t>
      </w:r>
      <w:r w:rsidR="00444640">
        <w:rPr>
          <w:rFonts w:ascii="Times New Roman" w:hAnsi="Times New Roman"/>
          <w:sz w:val="24"/>
          <w:szCs w:val="24"/>
          <w:lang w:val="sr-Cyrl-CS"/>
        </w:rPr>
        <w:t xml:space="preserve"> хронични буџетски д</w:t>
      </w:r>
      <w:r w:rsidR="00C225E5">
        <w:rPr>
          <w:rFonts w:ascii="Times New Roman" w:hAnsi="Times New Roman"/>
          <w:sz w:val="24"/>
          <w:szCs w:val="24"/>
          <w:lang w:val="sr-Cyrl-CS"/>
        </w:rPr>
        <w:t>ефицит уз све мању улогу пореза и</w:t>
      </w:r>
      <w:r w:rsidR="00444640">
        <w:rPr>
          <w:rFonts w:ascii="Times New Roman" w:hAnsi="Times New Roman"/>
          <w:sz w:val="24"/>
          <w:szCs w:val="24"/>
          <w:lang w:val="sr-Cyrl-CS"/>
        </w:rPr>
        <w:t xml:space="preserve"> уз раст чисте </w:t>
      </w:r>
      <w:r w:rsidR="00300E46">
        <w:rPr>
          <w:rFonts w:ascii="Times New Roman" w:hAnsi="Times New Roman"/>
          <w:sz w:val="24"/>
          <w:szCs w:val="24"/>
          <w:lang w:val="sr-Cyrl-CS"/>
        </w:rPr>
        <w:t xml:space="preserve">емисије </w:t>
      </w:r>
      <w:r w:rsidR="00444640">
        <w:rPr>
          <w:rFonts w:ascii="Times New Roman" w:hAnsi="Times New Roman"/>
          <w:sz w:val="24"/>
          <w:szCs w:val="24"/>
          <w:lang w:val="sr-Cyrl-CS"/>
        </w:rPr>
        <w:t>новца и јавног дуга. Дистрибуција дохотка у капита</w:t>
      </w:r>
      <w:r w:rsidR="00C225E5">
        <w:rPr>
          <w:rFonts w:ascii="Times New Roman" w:hAnsi="Times New Roman"/>
          <w:sz w:val="24"/>
          <w:szCs w:val="24"/>
          <w:lang w:val="sr-Cyrl-CS"/>
        </w:rPr>
        <w:t xml:space="preserve">лизму је све више неравномерна због </w:t>
      </w:r>
      <w:r w:rsidR="00444640">
        <w:rPr>
          <w:rFonts w:ascii="Times New Roman" w:hAnsi="Times New Roman"/>
          <w:sz w:val="24"/>
          <w:szCs w:val="24"/>
          <w:lang w:val="sr-Cyrl-CS"/>
        </w:rPr>
        <w:t>веће концентрације и централизације капитала у свременом капитализму.</w:t>
      </w:r>
    </w:p>
    <w:p w:rsidR="00903FA6" w:rsidRDefault="00903FA6" w:rsidP="00EB60D3">
      <w:pPr>
        <w:ind w:firstLine="708"/>
        <w:jc w:val="both"/>
        <w:rPr>
          <w:rFonts w:ascii="Times New Roman" w:hAnsi="Times New Roman"/>
          <w:sz w:val="24"/>
          <w:szCs w:val="24"/>
          <w:lang w:val="sr-Cyrl-CS"/>
        </w:rPr>
      </w:pPr>
      <w:r>
        <w:rPr>
          <w:rFonts w:ascii="Times New Roman" w:hAnsi="Times New Roman"/>
          <w:sz w:val="24"/>
          <w:szCs w:val="24"/>
          <w:lang w:val="sr-Cyrl-CS"/>
        </w:rPr>
        <w:t xml:space="preserve">Данас је јасно да су порези преко потребан облик јавних прихода за нормално функционисање сваке државе. Идеја о држави без пореза је чиста утопија, без икакве реалне потпоре. Савременом грађанину нису ни потребне теорије које би му објашњавале због чега су потребни порези јер врло добро зна да су порези нужни. Али, то не значи да </w:t>
      </w:r>
      <w:r w:rsidR="0048751D">
        <w:rPr>
          <w:rFonts w:ascii="Times New Roman" w:hAnsi="Times New Roman"/>
          <w:sz w:val="24"/>
          <w:szCs w:val="24"/>
          <w:lang w:val="sr-Cyrl-CS"/>
        </w:rPr>
        <w:t>ће прих</w:t>
      </w:r>
      <w:r>
        <w:rPr>
          <w:rFonts w:ascii="Times New Roman" w:hAnsi="Times New Roman"/>
          <w:sz w:val="24"/>
          <w:szCs w:val="24"/>
          <w:lang w:val="sr-Cyrl-CS"/>
        </w:rPr>
        <w:t>атити да редовно измирује своју пореску обавезу и да ће се сложити са увођењем сваког пореза</w:t>
      </w:r>
      <w:r w:rsidR="0048751D">
        <w:rPr>
          <w:rFonts w:ascii="Times New Roman" w:hAnsi="Times New Roman"/>
          <w:sz w:val="24"/>
          <w:szCs w:val="24"/>
          <w:lang w:val="sr-Cyrl-CS"/>
        </w:rPr>
        <w:t>, као</w:t>
      </w:r>
      <w:r>
        <w:rPr>
          <w:rFonts w:ascii="Times New Roman" w:hAnsi="Times New Roman"/>
          <w:sz w:val="24"/>
          <w:szCs w:val="24"/>
          <w:lang w:val="sr-Cyrl-CS"/>
        </w:rPr>
        <w:t xml:space="preserve"> и да ће прихватити сваку стопу пореског оптерећења. </w:t>
      </w:r>
    </w:p>
    <w:p w:rsidR="00944543" w:rsidRDefault="00944543" w:rsidP="00EB60D3">
      <w:pPr>
        <w:ind w:firstLine="708"/>
        <w:jc w:val="both"/>
        <w:rPr>
          <w:rFonts w:ascii="Times New Roman" w:hAnsi="Times New Roman"/>
          <w:sz w:val="24"/>
          <w:szCs w:val="24"/>
          <w:lang w:val="sr-Cyrl-CS"/>
        </w:rPr>
      </w:pPr>
    </w:p>
    <w:p w:rsidR="00944543" w:rsidRPr="00270686" w:rsidRDefault="00944543" w:rsidP="00944543">
      <w:pPr>
        <w:ind w:left="709"/>
        <w:jc w:val="center"/>
        <w:rPr>
          <w:rFonts w:ascii="Times New Roman" w:hAnsi="Times New Roman"/>
          <w:b/>
          <w:i/>
          <w:sz w:val="24"/>
          <w:szCs w:val="24"/>
          <w:lang w:val="sr-Cyrl-CS"/>
        </w:rPr>
      </w:pPr>
      <w:r>
        <w:rPr>
          <w:rFonts w:ascii="Times New Roman" w:hAnsi="Times New Roman"/>
          <w:b/>
          <w:i/>
          <w:sz w:val="24"/>
          <w:szCs w:val="24"/>
          <w:lang w:val="sr-Cyrl-CS"/>
        </w:rPr>
        <w:t>3.</w:t>
      </w:r>
      <w:r w:rsidRPr="00270686">
        <w:rPr>
          <w:rFonts w:ascii="Times New Roman" w:hAnsi="Times New Roman"/>
          <w:b/>
          <w:i/>
          <w:sz w:val="24"/>
          <w:szCs w:val="24"/>
          <w:lang w:val="sr-Cyrl-CS"/>
        </w:rPr>
        <w:t>Класификација пореза</w:t>
      </w:r>
      <w:r>
        <w:rPr>
          <w:rFonts w:ascii="Times New Roman" w:hAnsi="Times New Roman"/>
          <w:b/>
          <w:i/>
          <w:sz w:val="24"/>
          <w:szCs w:val="24"/>
          <w:lang w:val="sr-Cyrl-CS"/>
        </w:rPr>
        <w:t xml:space="preserve"> у теорији</w:t>
      </w:r>
    </w:p>
    <w:p w:rsidR="00944543" w:rsidRDefault="00944543" w:rsidP="00944543">
      <w:pPr>
        <w:ind w:left="540"/>
        <w:rPr>
          <w:rFonts w:ascii="Times New Roman" w:hAnsi="Times New Roman"/>
          <w:b/>
          <w:i/>
          <w:sz w:val="24"/>
          <w:szCs w:val="24"/>
          <w:lang w:val="sr-Cyrl-CS"/>
        </w:rPr>
      </w:pPr>
    </w:p>
    <w:p w:rsidR="00944543" w:rsidRDefault="00944543" w:rsidP="00E06905">
      <w:pPr>
        <w:ind w:firstLine="540"/>
        <w:jc w:val="both"/>
        <w:rPr>
          <w:rFonts w:ascii="Times New Roman" w:hAnsi="Times New Roman"/>
          <w:sz w:val="24"/>
          <w:szCs w:val="24"/>
          <w:lang w:val="sr-Cyrl-CS"/>
        </w:rPr>
      </w:pPr>
      <w:r>
        <w:rPr>
          <w:rFonts w:ascii="Times New Roman" w:hAnsi="Times New Roman"/>
          <w:sz w:val="24"/>
          <w:szCs w:val="24"/>
          <w:lang w:val="sr-Cyrl-CS"/>
        </w:rPr>
        <w:t>Подела и класификација пореза  према одређеним заједничким карактеристикама врши се ради лакшег изучавања</w:t>
      </w:r>
      <w:r w:rsidR="00D458E9">
        <w:rPr>
          <w:rFonts w:ascii="Times New Roman" w:hAnsi="Times New Roman"/>
          <w:sz w:val="24"/>
          <w:szCs w:val="24"/>
          <w:lang w:val="sr-Cyrl-CS"/>
        </w:rPr>
        <w:t>, а то омогућава и</w:t>
      </w:r>
      <w:r w:rsidR="00E06905">
        <w:rPr>
          <w:rFonts w:ascii="Times New Roman" w:hAnsi="Times New Roman"/>
          <w:sz w:val="24"/>
          <w:szCs w:val="24"/>
          <w:lang w:val="sr-Cyrl-CS"/>
        </w:rPr>
        <w:t xml:space="preserve"> истраживање: </w:t>
      </w:r>
      <w:r>
        <w:rPr>
          <w:rFonts w:ascii="Times New Roman" w:hAnsi="Times New Roman"/>
          <w:sz w:val="24"/>
          <w:szCs w:val="24"/>
          <w:lang w:val="sr-Cyrl-CS"/>
        </w:rPr>
        <w:t xml:space="preserve">предности </w:t>
      </w:r>
      <w:r w:rsidR="00E06905">
        <w:rPr>
          <w:rFonts w:ascii="Times New Roman" w:hAnsi="Times New Roman"/>
          <w:sz w:val="24"/>
          <w:szCs w:val="24"/>
          <w:lang w:val="sr-Cyrl-CS"/>
        </w:rPr>
        <w:t>и недостатака одређених</w:t>
      </w:r>
      <w:r>
        <w:rPr>
          <w:rFonts w:ascii="Times New Roman" w:hAnsi="Times New Roman"/>
          <w:sz w:val="24"/>
          <w:szCs w:val="24"/>
          <w:lang w:val="sr-Cyrl-CS"/>
        </w:rPr>
        <w:t xml:space="preserve"> облика пореза, </w:t>
      </w:r>
      <w:r w:rsidR="00E06905">
        <w:rPr>
          <w:rFonts w:ascii="Times New Roman" w:hAnsi="Times New Roman"/>
          <w:sz w:val="24"/>
          <w:szCs w:val="24"/>
          <w:lang w:val="sr-Cyrl-CS"/>
        </w:rPr>
        <w:t xml:space="preserve">њихове адекватности, </w:t>
      </w:r>
      <w:r>
        <w:rPr>
          <w:rFonts w:ascii="Times New Roman" w:hAnsi="Times New Roman"/>
          <w:sz w:val="24"/>
          <w:szCs w:val="24"/>
          <w:lang w:val="sr-Cyrl-CS"/>
        </w:rPr>
        <w:t xml:space="preserve">одређивање циљева који се могу </w:t>
      </w:r>
      <w:r w:rsidR="00E06905">
        <w:rPr>
          <w:rFonts w:ascii="Times New Roman" w:hAnsi="Times New Roman"/>
          <w:sz w:val="24"/>
          <w:szCs w:val="24"/>
          <w:lang w:val="sr-Cyrl-CS"/>
        </w:rPr>
        <w:t>постићи</w:t>
      </w:r>
      <w:r>
        <w:rPr>
          <w:rFonts w:ascii="Times New Roman" w:hAnsi="Times New Roman"/>
          <w:sz w:val="24"/>
          <w:szCs w:val="24"/>
          <w:lang w:val="sr-Cyrl-CS"/>
        </w:rPr>
        <w:t xml:space="preserve"> кроз деловање појединих пореских облика, њихову примену у пореској и економској политици,</w:t>
      </w:r>
      <w:r w:rsidR="00E06905">
        <w:rPr>
          <w:rFonts w:ascii="Times New Roman" w:hAnsi="Times New Roman"/>
          <w:sz w:val="24"/>
          <w:szCs w:val="24"/>
          <w:lang w:val="sr-Cyrl-CS"/>
        </w:rPr>
        <w:t xml:space="preserve"> као и </w:t>
      </w:r>
      <w:r>
        <w:rPr>
          <w:rFonts w:ascii="Times New Roman" w:hAnsi="Times New Roman"/>
          <w:sz w:val="24"/>
          <w:szCs w:val="24"/>
          <w:lang w:val="sr-Cyrl-CS"/>
        </w:rPr>
        <w:t>међународно опорезивање структуре и деловања пореског система и тарифе.</w:t>
      </w:r>
      <w:r>
        <w:rPr>
          <w:rStyle w:val="FootnoteReference"/>
          <w:rFonts w:ascii="Times New Roman" w:hAnsi="Times New Roman"/>
          <w:sz w:val="24"/>
          <w:szCs w:val="24"/>
          <w:lang w:val="sr-Cyrl-CS"/>
        </w:rPr>
        <w:footnoteReference w:id="54"/>
      </w:r>
    </w:p>
    <w:p w:rsidR="00944543" w:rsidRPr="006D3A20" w:rsidRDefault="00944543" w:rsidP="00944543">
      <w:pPr>
        <w:jc w:val="both"/>
        <w:rPr>
          <w:rFonts w:ascii="Times New Roman" w:hAnsi="Times New Roman"/>
          <w:sz w:val="24"/>
          <w:szCs w:val="24"/>
          <w:lang w:val="sr-Cyrl-CS"/>
        </w:rPr>
      </w:pPr>
      <w:r>
        <w:rPr>
          <w:rFonts w:ascii="Times New Roman" w:hAnsi="Times New Roman"/>
          <w:b/>
          <w:i/>
          <w:sz w:val="24"/>
          <w:szCs w:val="24"/>
          <w:lang w:val="sr-Cyrl-CS"/>
        </w:rPr>
        <w:t xml:space="preserve"> </w:t>
      </w:r>
      <w:r>
        <w:rPr>
          <w:rFonts w:ascii="Times New Roman" w:hAnsi="Times New Roman"/>
          <w:b/>
          <w:i/>
          <w:sz w:val="24"/>
          <w:szCs w:val="24"/>
          <w:lang w:val="sr-Cyrl-CS"/>
        </w:rPr>
        <w:tab/>
      </w:r>
      <w:r>
        <w:rPr>
          <w:rFonts w:ascii="Times New Roman" w:hAnsi="Times New Roman"/>
          <w:sz w:val="24"/>
          <w:szCs w:val="24"/>
          <w:lang w:val="sr-Cyrl-CS"/>
        </w:rPr>
        <w:t>Разумевање појединих облика пореза, њихових карактеристика, предности и недостатака, односно њихове суштине, представља и полазну основу у анализи избегавања плаћања пореза.</w:t>
      </w:r>
    </w:p>
    <w:p w:rsidR="00944543" w:rsidRPr="003F2416" w:rsidRDefault="00944543" w:rsidP="00944543">
      <w:pPr>
        <w:ind w:firstLine="708"/>
        <w:jc w:val="both"/>
        <w:rPr>
          <w:rFonts w:ascii="Times New Roman" w:hAnsi="Times New Roman"/>
          <w:sz w:val="24"/>
          <w:szCs w:val="24"/>
          <w:lang w:val="sr-Cyrl-CS"/>
        </w:rPr>
      </w:pPr>
      <w:r>
        <w:rPr>
          <w:rFonts w:ascii="Times New Roman" w:hAnsi="Times New Roman"/>
          <w:sz w:val="24"/>
          <w:szCs w:val="24"/>
          <w:lang w:val="sr-Cyrl-CS"/>
        </w:rPr>
        <w:t xml:space="preserve">У савременим пореским системима заступљен је велики број пореза, што значи да се базирају на систему пореског плурализма. Класификације пореза су бројне и заснивају се на различитим критеријумима, али се углавном порези деле на следеће врсте: </w:t>
      </w:r>
    </w:p>
    <w:p w:rsidR="00944543" w:rsidRDefault="00944543" w:rsidP="008A3795">
      <w:pPr>
        <w:numPr>
          <w:ilvl w:val="0"/>
          <w:numId w:val="13"/>
        </w:numPr>
        <w:jc w:val="both"/>
        <w:rPr>
          <w:rFonts w:ascii="Times New Roman" w:hAnsi="Times New Roman"/>
          <w:sz w:val="24"/>
          <w:szCs w:val="24"/>
          <w:lang w:val="sr-Cyrl-CS"/>
        </w:rPr>
      </w:pPr>
      <w:r>
        <w:rPr>
          <w:rFonts w:ascii="Times New Roman" w:hAnsi="Times New Roman"/>
          <w:sz w:val="24"/>
          <w:szCs w:val="24"/>
          <w:lang w:val="sr-Cyrl-CS"/>
        </w:rPr>
        <w:lastRenderedPageBreak/>
        <w:t>Директни и индиректни порези (непосредни и посредни)</w:t>
      </w:r>
    </w:p>
    <w:p w:rsidR="00944543" w:rsidRDefault="00944543" w:rsidP="00944543">
      <w:pPr>
        <w:ind w:left="360" w:firstLine="348"/>
        <w:jc w:val="both"/>
        <w:rPr>
          <w:rFonts w:ascii="Times New Roman" w:hAnsi="Times New Roman"/>
          <w:sz w:val="24"/>
          <w:szCs w:val="24"/>
          <w:lang w:val="sr-Cyrl-CS"/>
        </w:rPr>
      </w:pPr>
      <w:r>
        <w:rPr>
          <w:rFonts w:ascii="Times New Roman" w:hAnsi="Times New Roman"/>
          <w:sz w:val="24"/>
          <w:szCs w:val="24"/>
          <w:lang w:val="sr-Cyrl-CS"/>
        </w:rPr>
        <w:t xml:space="preserve">Сви порези се могу поделити на директне порезе, којима се опорезује доходак и имовина физичких и правних лица и индиректне порезе, којима се опорезује потрошња производа и услуга. </w:t>
      </w:r>
    </w:p>
    <w:p w:rsidR="00944543" w:rsidRDefault="00944543" w:rsidP="00944543">
      <w:pPr>
        <w:ind w:left="360" w:firstLine="348"/>
        <w:jc w:val="both"/>
        <w:rPr>
          <w:rFonts w:ascii="Times New Roman" w:hAnsi="Times New Roman"/>
          <w:sz w:val="24"/>
          <w:szCs w:val="24"/>
          <w:lang w:val="sr-Cyrl-CS"/>
        </w:rPr>
      </w:pPr>
      <w:r>
        <w:rPr>
          <w:rFonts w:ascii="Times New Roman" w:hAnsi="Times New Roman"/>
          <w:sz w:val="24"/>
          <w:szCs w:val="24"/>
          <w:lang w:val="sr-Cyrl-CS"/>
        </w:rPr>
        <w:t xml:space="preserve">Порезима на доходак непосредно се утиче на </w:t>
      </w:r>
      <w:r w:rsidR="00EE2FCC">
        <w:rPr>
          <w:rFonts w:ascii="Times New Roman" w:hAnsi="Times New Roman"/>
          <w:sz w:val="24"/>
          <w:szCs w:val="24"/>
          <w:lang w:val="sr-Cyrl-CS"/>
        </w:rPr>
        <w:t>промене у економском понашању предузећа и појединаца преко смањења</w:t>
      </w:r>
      <w:r>
        <w:rPr>
          <w:rFonts w:ascii="Times New Roman" w:hAnsi="Times New Roman"/>
          <w:sz w:val="24"/>
          <w:szCs w:val="24"/>
          <w:lang w:val="sr-Cyrl-CS"/>
        </w:rPr>
        <w:t xml:space="preserve"> </w:t>
      </w:r>
      <w:r w:rsidR="00EE2FCC">
        <w:rPr>
          <w:rFonts w:ascii="Times New Roman" w:hAnsi="Times New Roman"/>
          <w:sz w:val="24"/>
          <w:szCs w:val="24"/>
          <w:lang w:val="sr-Cyrl-CS"/>
        </w:rPr>
        <w:t xml:space="preserve">њихове </w:t>
      </w:r>
      <w:r>
        <w:rPr>
          <w:rFonts w:ascii="Times New Roman" w:hAnsi="Times New Roman"/>
          <w:sz w:val="24"/>
          <w:szCs w:val="24"/>
          <w:lang w:val="sr-Cyrl-CS"/>
        </w:rPr>
        <w:t xml:space="preserve">економске моћи. На тај начин се утиче на </w:t>
      </w:r>
      <w:r w:rsidR="00EE2FCC">
        <w:rPr>
          <w:rFonts w:ascii="Times New Roman" w:hAnsi="Times New Roman"/>
          <w:sz w:val="24"/>
          <w:szCs w:val="24"/>
          <w:lang w:val="sr-Cyrl-CS"/>
        </w:rPr>
        <w:t>значајне макроекономске категорије као што су понуда радне снаге, штедња, инвестиције</w:t>
      </w:r>
      <w:r>
        <w:rPr>
          <w:rFonts w:ascii="Times New Roman" w:hAnsi="Times New Roman"/>
          <w:sz w:val="24"/>
          <w:szCs w:val="24"/>
          <w:lang w:val="sr-Cyrl-CS"/>
        </w:rPr>
        <w:t xml:space="preserve"> и друге</w:t>
      </w:r>
      <w:r w:rsidR="00EE2FCC">
        <w:rPr>
          <w:rFonts w:ascii="Times New Roman" w:hAnsi="Times New Roman"/>
          <w:sz w:val="24"/>
          <w:szCs w:val="24"/>
          <w:lang w:val="sr-Cyrl-CS"/>
        </w:rPr>
        <w:t>.</w:t>
      </w:r>
      <w:r>
        <w:rPr>
          <w:rStyle w:val="FootnoteReference"/>
          <w:rFonts w:ascii="Times New Roman" w:hAnsi="Times New Roman"/>
          <w:sz w:val="24"/>
          <w:szCs w:val="24"/>
          <w:lang w:val="sr-Cyrl-CS"/>
        </w:rPr>
        <w:footnoteReference w:id="55"/>
      </w:r>
      <w:r>
        <w:rPr>
          <w:rFonts w:ascii="Times New Roman" w:hAnsi="Times New Roman"/>
          <w:sz w:val="24"/>
          <w:szCs w:val="24"/>
          <w:lang w:val="sr-Cyrl-CS"/>
        </w:rPr>
        <w:t xml:space="preserve"> </w:t>
      </w:r>
    </w:p>
    <w:p w:rsidR="00944543" w:rsidRDefault="00944543" w:rsidP="00944543">
      <w:pPr>
        <w:ind w:left="360" w:firstLine="348"/>
        <w:jc w:val="both"/>
        <w:rPr>
          <w:rFonts w:ascii="Times New Roman" w:hAnsi="Times New Roman"/>
          <w:sz w:val="24"/>
          <w:szCs w:val="24"/>
          <w:lang w:val="sr-Cyrl-CS"/>
        </w:rPr>
      </w:pPr>
      <w:r>
        <w:rPr>
          <w:rFonts w:ascii="Times New Roman" w:hAnsi="Times New Roman"/>
          <w:sz w:val="24"/>
          <w:szCs w:val="24"/>
          <w:lang w:val="sr-Cyrl-CS"/>
        </w:rPr>
        <w:t xml:space="preserve">Према томе, да ли су порези индиректни или директни зависи од тога да ли се заснивају на потрошњи дохотка (индиректни) или на самом дохотку (директни). </w:t>
      </w:r>
    </w:p>
    <w:p w:rsidR="00944543" w:rsidRDefault="00944543" w:rsidP="00944543">
      <w:pPr>
        <w:ind w:left="360" w:firstLine="348"/>
        <w:jc w:val="both"/>
        <w:rPr>
          <w:rFonts w:ascii="Times New Roman" w:hAnsi="Times New Roman"/>
          <w:sz w:val="24"/>
          <w:szCs w:val="24"/>
          <w:lang w:val="sr-Cyrl-CS"/>
        </w:rPr>
      </w:pPr>
      <w:r>
        <w:rPr>
          <w:rFonts w:ascii="Times New Roman" w:hAnsi="Times New Roman"/>
          <w:sz w:val="24"/>
          <w:szCs w:val="24"/>
          <w:lang w:val="sr-Cyrl-CS"/>
        </w:rPr>
        <w:t xml:space="preserve">Према тзв. „француској“ дефиницији непосредни порези су они који терете привредну способност </w:t>
      </w:r>
      <w:r w:rsidR="0096055E">
        <w:rPr>
          <w:rFonts w:ascii="Times New Roman" w:hAnsi="Times New Roman"/>
          <w:sz w:val="24"/>
          <w:szCs w:val="24"/>
          <w:lang w:val="sr-Cyrl-CS"/>
        </w:rPr>
        <w:t xml:space="preserve">пореских </w:t>
      </w:r>
      <w:r>
        <w:rPr>
          <w:rFonts w:ascii="Times New Roman" w:hAnsi="Times New Roman"/>
          <w:sz w:val="24"/>
          <w:szCs w:val="24"/>
          <w:lang w:val="sr-Cyrl-CS"/>
        </w:rPr>
        <w:t>обвезника погађајући непосредно њ</w:t>
      </w:r>
      <w:r w:rsidR="0096055E">
        <w:rPr>
          <w:rFonts w:ascii="Times New Roman" w:hAnsi="Times New Roman"/>
          <w:sz w:val="24"/>
          <w:szCs w:val="24"/>
          <w:lang w:val="sr-Cyrl-CS"/>
        </w:rPr>
        <w:t>и</w:t>
      </w:r>
      <w:r>
        <w:rPr>
          <w:rFonts w:ascii="Times New Roman" w:hAnsi="Times New Roman"/>
          <w:sz w:val="24"/>
          <w:szCs w:val="24"/>
          <w:lang w:val="sr-Cyrl-CS"/>
        </w:rPr>
        <w:t xml:space="preserve">хово богатство или приходе, </w:t>
      </w:r>
      <w:r w:rsidR="0096055E">
        <w:rPr>
          <w:rFonts w:ascii="Times New Roman" w:hAnsi="Times New Roman"/>
          <w:sz w:val="24"/>
          <w:szCs w:val="24"/>
          <w:lang w:val="sr-Cyrl-CS"/>
        </w:rPr>
        <w:t xml:space="preserve">док се </w:t>
      </w:r>
      <w:r>
        <w:rPr>
          <w:rFonts w:ascii="Times New Roman" w:hAnsi="Times New Roman"/>
          <w:sz w:val="24"/>
          <w:szCs w:val="24"/>
          <w:lang w:val="sr-Cyrl-CS"/>
        </w:rPr>
        <w:t>посредни наплаћују у вези са радњама производње, потрошње или размене добара.</w:t>
      </w:r>
      <w:r>
        <w:rPr>
          <w:rStyle w:val="FootnoteReference"/>
          <w:rFonts w:ascii="Times New Roman" w:hAnsi="Times New Roman"/>
          <w:sz w:val="24"/>
          <w:szCs w:val="24"/>
          <w:lang w:val="sr-Cyrl-CS"/>
        </w:rPr>
        <w:footnoteReference w:id="56"/>
      </w:r>
      <w:r>
        <w:rPr>
          <w:rFonts w:ascii="Times New Roman" w:hAnsi="Times New Roman"/>
          <w:sz w:val="24"/>
          <w:szCs w:val="24"/>
          <w:lang w:val="sr-Cyrl-CS"/>
        </w:rPr>
        <w:t xml:space="preserve"> </w:t>
      </w:r>
    </w:p>
    <w:p w:rsidR="00944543" w:rsidRDefault="00944543" w:rsidP="00944543">
      <w:pPr>
        <w:ind w:left="360" w:firstLine="348"/>
        <w:jc w:val="both"/>
        <w:rPr>
          <w:rFonts w:ascii="Times New Roman" w:hAnsi="Times New Roman"/>
          <w:sz w:val="24"/>
          <w:szCs w:val="24"/>
          <w:lang w:val="sr-Cyrl-CS"/>
        </w:rPr>
      </w:pPr>
      <w:r>
        <w:rPr>
          <w:rFonts w:ascii="Times New Roman" w:hAnsi="Times New Roman"/>
          <w:sz w:val="24"/>
          <w:szCs w:val="24"/>
          <w:lang w:val="sr-Cyrl-CS"/>
        </w:rPr>
        <w:t>Директним се обично сматрају порези на доходак, односно приход, порез на имовину, (порез на непокретности, порез на на наслеђе),</w:t>
      </w:r>
      <w:r w:rsidRPr="00AE49FD">
        <w:rPr>
          <w:rFonts w:ascii="Times New Roman" w:hAnsi="Times New Roman"/>
          <w:sz w:val="24"/>
          <w:szCs w:val="24"/>
          <w:lang w:val="sr-Cyrl-CS"/>
        </w:rPr>
        <w:t xml:space="preserve"> </w:t>
      </w:r>
      <w:r>
        <w:rPr>
          <w:rFonts w:ascii="Times New Roman" w:hAnsi="Times New Roman"/>
          <w:sz w:val="24"/>
          <w:szCs w:val="24"/>
          <w:lang w:val="sr-Cyrl-CS"/>
        </w:rPr>
        <w:t xml:space="preserve">порез на добит правних лица  и порезе на употребу добара. У индиректне порезе спадају: општи порез на промет (нпр. пдв, свефазни порез на промет), акцизе, царине, порез на пренос апсолутних права и сл.  </w:t>
      </w:r>
      <w:r w:rsidR="00A30EE1">
        <w:rPr>
          <w:rFonts w:ascii="Times New Roman" w:hAnsi="Times New Roman"/>
          <w:sz w:val="24"/>
          <w:szCs w:val="24"/>
          <w:lang w:val="sr-Cyrl-CS"/>
        </w:rPr>
        <w:t>Карактеристике директних пореза су</w:t>
      </w:r>
      <w:r>
        <w:rPr>
          <w:rFonts w:ascii="Times New Roman" w:hAnsi="Times New Roman"/>
          <w:sz w:val="24"/>
          <w:szCs w:val="24"/>
          <w:lang w:val="sr-Cyrl-CS"/>
        </w:rPr>
        <w:t xml:space="preserve"> </w:t>
      </w:r>
      <w:r w:rsidR="00A30EE1">
        <w:rPr>
          <w:rFonts w:ascii="Times New Roman" w:hAnsi="Times New Roman"/>
          <w:sz w:val="24"/>
          <w:szCs w:val="24"/>
          <w:lang w:val="sr-Cyrl-CS"/>
        </w:rPr>
        <w:t>следеће</w:t>
      </w:r>
      <w:r>
        <w:rPr>
          <w:rFonts w:ascii="Times New Roman" w:hAnsi="Times New Roman"/>
          <w:sz w:val="24"/>
          <w:szCs w:val="24"/>
          <w:lang w:val="sr-Cyrl-CS"/>
        </w:rPr>
        <w:t>:</w:t>
      </w:r>
    </w:p>
    <w:p w:rsidR="00944543" w:rsidRDefault="00944543" w:rsidP="00944543">
      <w:pPr>
        <w:ind w:left="360"/>
        <w:jc w:val="both"/>
        <w:rPr>
          <w:rFonts w:ascii="Times New Roman" w:hAnsi="Times New Roman"/>
          <w:sz w:val="24"/>
          <w:szCs w:val="24"/>
          <w:lang w:val="sr-Cyrl-CS"/>
        </w:rPr>
      </w:pPr>
      <w:r>
        <w:rPr>
          <w:rFonts w:ascii="Times New Roman" w:hAnsi="Times New Roman"/>
          <w:sz w:val="24"/>
          <w:szCs w:val="24"/>
          <w:lang w:val="sr-Cyrl-CS"/>
        </w:rPr>
        <w:t xml:space="preserve">-релативна стабилност, </w:t>
      </w:r>
      <w:r w:rsidR="00A30EE1">
        <w:rPr>
          <w:rFonts w:ascii="Times New Roman" w:hAnsi="Times New Roman"/>
          <w:sz w:val="24"/>
          <w:szCs w:val="24"/>
          <w:lang w:val="sr-Cyrl-CS"/>
        </w:rPr>
        <w:t xml:space="preserve">јер их карактерише </w:t>
      </w:r>
      <w:r>
        <w:rPr>
          <w:rFonts w:ascii="Times New Roman" w:hAnsi="Times New Roman"/>
          <w:sz w:val="24"/>
          <w:szCs w:val="24"/>
          <w:lang w:val="sr-Cyrl-CS"/>
        </w:rPr>
        <w:t xml:space="preserve">стабилност у притицању јавних прихода без обзира на кретање привреде; </w:t>
      </w:r>
    </w:p>
    <w:p w:rsidR="00944543" w:rsidRDefault="00944543" w:rsidP="00944543">
      <w:pPr>
        <w:ind w:left="360"/>
        <w:jc w:val="both"/>
        <w:rPr>
          <w:rFonts w:ascii="Times New Roman" w:hAnsi="Times New Roman"/>
          <w:sz w:val="24"/>
          <w:szCs w:val="24"/>
          <w:lang w:val="sr-Cyrl-CS"/>
        </w:rPr>
      </w:pPr>
      <w:r>
        <w:rPr>
          <w:rFonts w:ascii="Times New Roman" w:hAnsi="Times New Roman"/>
          <w:sz w:val="24"/>
          <w:szCs w:val="24"/>
          <w:lang w:val="sr-Cyrl-CS"/>
        </w:rPr>
        <w:t xml:space="preserve">-праведност, </w:t>
      </w:r>
      <w:r w:rsidR="00A30EE1">
        <w:rPr>
          <w:rFonts w:ascii="Times New Roman" w:hAnsi="Times New Roman"/>
          <w:sz w:val="24"/>
          <w:szCs w:val="24"/>
          <w:lang w:val="sr-Cyrl-CS"/>
        </w:rPr>
        <w:t>јер се наплаћују</w:t>
      </w:r>
      <w:r>
        <w:rPr>
          <w:rFonts w:ascii="Times New Roman" w:hAnsi="Times New Roman"/>
          <w:sz w:val="24"/>
          <w:szCs w:val="24"/>
          <w:lang w:val="sr-Cyrl-CS"/>
        </w:rPr>
        <w:t xml:space="preserve"> од пореског обвезника према </w:t>
      </w:r>
      <w:r w:rsidR="00A30EE1">
        <w:rPr>
          <w:rFonts w:ascii="Times New Roman" w:hAnsi="Times New Roman"/>
          <w:sz w:val="24"/>
          <w:szCs w:val="24"/>
          <w:lang w:val="sr-Cyrl-CS"/>
        </w:rPr>
        <w:t xml:space="preserve">њиховој </w:t>
      </w:r>
      <w:r>
        <w:rPr>
          <w:rFonts w:ascii="Times New Roman" w:hAnsi="Times New Roman"/>
          <w:sz w:val="24"/>
          <w:szCs w:val="24"/>
          <w:lang w:val="sr-Cyrl-CS"/>
        </w:rPr>
        <w:t xml:space="preserve">економској снази; </w:t>
      </w:r>
    </w:p>
    <w:p w:rsidR="00944543" w:rsidRDefault="00944543" w:rsidP="00944543">
      <w:pPr>
        <w:ind w:left="360"/>
        <w:jc w:val="both"/>
        <w:rPr>
          <w:rFonts w:ascii="Times New Roman" w:hAnsi="Times New Roman"/>
          <w:sz w:val="24"/>
          <w:szCs w:val="24"/>
          <w:lang w:val="sr-Cyrl-CS"/>
        </w:rPr>
      </w:pPr>
      <w:r>
        <w:rPr>
          <w:rFonts w:ascii="Times New Roman" w:hAnsi="Times New Roman"/>
          <w:sz w:val="24"/>
          <w:szCs w:val="24"/>
          <w:lang w:val="sr-Cyrl-CS"/>
        </w:rPr>
        <w:t xml:space="preserve">-нееластичност, </w:t>
      </w:r>
      <w:r w:rsidR="00A30EE1">
        <w:rPr>
          <w:rFonts w:ascii="Times New Roman" w:hAnsi="Times New Roman"/>
          <w:sz w:val="24"/>
          <w:szCs w:val="24"/>
          <w:lang w:val="sr-Cyrl-CS"/>
        </w:rPr>
        <w:t xml:space="preserve">јер су неосетљиви на коњуктурна кретања, </w:t>
      </w:r>
      <w:r>
        <w:rPr>
          <w:rFonts w:ascii="Times New Roman" w:hAnsi="Times New Roman"/>
          <w:sz w:val="24"/>
          <w:szCs w:val="24"/>
          <w:lang w:val="sr-Cyrl-CS"/>
        </w:rPr>
        <w:t>што се може смат</w:t>
      </w:r>
      <w:r w:rsidR="00A30EE1">
        <w:rPr>
          <w:rFonts w:ascii="Times New Roman" w:hAnsi="Times New Roman"/>
          <w:sz w:val="24"/>
          <w:szCs w:val="24"/>
          <w:lang w:val="sr-Cyrl-CS"/>
        </w:rPr>
        <w:t>рати негативном карактеристиком</w:t>
      </w:r>
      <w:r>
        <w:rPr>
          <w:rFonts w:ascii="Times New Roman" w:hAnsi="Times New Roman"/>
          <w:sz w:val="24"/>
          <w:szCs w:val="24"/>
          <w:lang w:val="sr-Cyrl-CS"/>
        </w:rPr>
        <w:t>;</w:t>
      </w:r>
    </w:p>
    <w:p w:rsidR="00944543" w:rsidRDefault="00944543" w:rsidP="00944543">
      <w:pPr>
        <w:ind w:left="360"/>
        <w:jc w:val="both"/>
        <w:rPr>
          <w:rFonts w:ascii="Times New Roman" w:hAnsi="Times New Roman"/>
          <w:sz w:val="24"/>
          <w:szCs w:val="24"/>
          <w:lang w:val="sr-Cyrl-CS"/>
        </w:rPr>
      </w:pPr>
      <w:r>
        <w:rPr>
          <w:rFonts w:ascii="Times New Roman" w:hAnsi="Times New Roman"/>
          <w:sz w:val="24"/>
          <w:szCs w:val="24"/>
          <w:lang w:val="sr-Cyrl-CS"/>
        </w:rPr>
        <w:t>-</w:t>
      </w:r>
      <w:r w:rsidR="00A30EE1">
        <w:rPr>
          <w:rFonts w:ascii="Times New Roman" w:hAnsi="Times New Roman"/>
          <w:sz w:val="24"/>
          <w:szCs w:val="24"/>
          <w:lang w:val="sr-Cyrl-CS"/>
        </w:rPr>
        <w:t>нема опште обавезе</w:t>
      </w:r>
      <w:r>
        <w:rPr>
          <w:rFonts w:ascii="Times New Roman" w:hAnsi="Times New Roman"/>
          <w:sz w:val="24"/>
          <w:szCs w:val="24"/>
          <w:lang w:val="sr-Cyrl-CS"/>
        </w:rPr>
        <w:t xml:space="preserve"> плаћања за све;</w:t>
      </w:r>
    </w:p>
    <w:p w:rsidR="00944543" w:rsidRDefault="00944543" w:rsidP="00944543">
      <w:pPr>
        <w:ind w:left="360"/>
        <w:jc w:val="both"/>
        <w:rPr>
          <w:rFonts w:ascii="Times New Roman" w:hAnsi="Times New Roman"/>
          <w:sz w:val="24"/>
          <w:szCs w:val="24"/>
          <w:lang w:val="sr-Cyrl-CS"/>
        </w:rPr>
      </w:pPr>
      <w:r>
        <w:rPr>
          <w:rFonts w:ascii="Times New Roman" w:hAnsi="Times New Roman"/>
          <w:sz w:val="24"/>
          <w:szCs w:val="24"/>
          <w:lang w:val="sr-Cyrl-CS"/>
        </w:rPr>
        <w:t xml:space="preserve">-директно </w:t>
      </w:r>
      <w:r w:rsidR="00A30EE1">
        <w:rPr>
          <w:rFonts w:ascii="Times New Roman" w:hAnsi="Times New Roman"/>
          <w:sz w:val="24"/>
          <w:szCs w:val="24"/>
          <w:lang w:val="sr-Cyrl-CS"/>
        </w:rPr>
        <w:t xml:space="preserve">се </w:t>
      </w:r>
      <w:r>
        <w:rPr>
          <w:rFonts w:ascii="Times New Roman" w:hAnsi="Times New Roman"/>
          <w:sz w:val="24"/>
          <w:szCs w:val="24"/>
          <w:lang w:val="sr-Cyrl-CS"/>
        </w:rPr>
        <w:t>обрачунавају и наплаћају из дохотка</w:t>
      </w:r>
      <w:r w:rsidR="00A30EE1">
        <w:rPr>
          <w:rFonts w:ascii="Times New Roman" w:hAnsi="Times New Roman"/>
          <w:sz w:val="24"/>
          <w:szCs w:val="24"/>
          <w:lang w:val="sr-Cyrl-CS"/>
        </w:rPr>
        <w:t xml:space="preserve"> па су неугодни су за пореског обезника</w:t>
      </w:r>
    </w:p>
    <w:p w:rsidR="00944543" w:rsidRDefault="00A30EE1" w:rsidP="00944543">
      <w:pPr>
        <w:ind w:left="360"/>
        <w:jc w:val="both"/>
        <w:rPr>
          <w:rFonts w:ascii="Times New Roman" w:hAnsi="Times New Roman"/>
          <w:sz w:val="24"/>
          <w:szCs w:val="24"/>
          <w:lang w:val="sr-Cyrl-CS"/>
        </w:rPr>
      </w:pPr>
      <w:r>
        <w:rPr>
          <w:rFonts w:ascii="Times New Roman" w:hAnsi="Times New Roman"/>
          <w:sz w:val="24"/>
          <w:szCs w:val="24"/>
          <w:lang w:val="sr-Cyrl-CS"/>
        </w:rPr>
        <w:t>Карактеристике п</w:t>
      </w:r>
      <w:r w:rsidR="00944543">
        <w:rPr>
          <w:rFonts w:ascii="Times New Roman" w:hAnsi="Times New Roman"/>
          <w:sz w:val="24"/>
          <w:szCs w:val="24"/>
          <w:lang w:val="sr-Cyrl-CS"/>
        </w:rPr>
        <w:t>осредни</w:t>
      </w:r>
      <w:r>
        <w:rPr>
          <w:rFonts w:ascii="Times New Roman" w:hAnsi="Times New Roman"/>
          <w:sz w:val="24"/>
          <w:szCs w:val="24"/>
          <w:lang w:val="sr-Cyrl-CS"/>
        </w:rPr>
        <w:t>х</w:t>
      </w:r>
      <w:r w:rsidR="00944543">
        <w:rPr>
          <w:rFonts w:ascii="Times New Roman" w:hAnsi="Times New Roman"/>
          <w:sz w:val="24"/>
          <w:szCs w:val="24"/>
          <w:lang w:val="sr-Cyrl-CS"/>
        </w:rPr>
        <w:t xml:space="preserve"> </w:t>
      </w:r>
      <w:r>
        <w:rPr>
          <w:rFonts w:ascii="Times New Roman" w:hAnsi="Times New Roman"/>
          <w:sz w:val="24"/>
          <w:szCs w:val="24"/>
          <w:lang w:val="sr-Cyrl-CS"/>
        </w:rPr>
        <w:t>пореза</w:t>
      </w:r>
      <w:r w:rsidR="00944543">
        <w:rPr>
          <w:rFonts w:ascii="Times New Roman" w:hAnsi="Times New Roman"/>
          <w:sz w:val="24"/>
          <w:szCs w:val="24"/>
          <w:lang w:val="sr-Cyrl-CS"/>
        </w:rPr>
        <w:t xml:space="preserve"> су </w:t>
      </w:r>
      <w:r>
        <w:rPr>
          <w:rFonts w:ascii="Times New Roman" w:hAnsi="Times New Roman"/>
          <w:sz w:val="24"/>
          <w:szCs w:val="24"/>
          <w:lang w:val="sr-Cyrl-CS"/>
        </w:rPr>
        <w:t>следеће</w:t>
      </w:r>
      <w:r w:rsidR="00944543">
        <w:rPr>
          <w:rFonts w:ascii="Times New Roman" w:hAnsi="Times New Roman"/>
          <w:sz w:val="24"/>
          <w:szCs w:val="24"/>
          <w:lang w:val="sr-Cyrl-CS"/>
        </w:rPr>
        <w:t>:</w:t>
      </w:r>
    </w:p>
    <w:p w:rsidR="00944543" w:rsidRDefault="00944543" w:rsidP="00944543">
      <w:pPr>
        <w:ind w:left="360"/>
        <w:jc w:val="both"/>
        <w:rPr>
          <w:rFonts w:ascii="Times New Roman" w:hAnsi="Times New Roman"/>
          <w:sz w:val="24"/>
          <w:szCs w:val="24"/>
          <w:lang w:val="sr-Cyrl-CS"/>
        </w:rPr>
      </w:pPr>
      <w:r>
        <w:rPr>
          <w:rFonts w:ascii="Times New Roman" w:hAnsi="Times New Roman"/>
          <w:sz w:val="24"/>
          <w:szCs w:val="24"/>
          <w:lang w:val="sr-Cyrl-CS"/>
        </w:rPr>
        <w:t>-</w:t>
      </w:r>
      <w:r w:rsidR="00A30EE1">
        <w:rPr>
          <w:rFonts w:ascii="Times New Roman" w:hAnsi="Times New Roman"/>
          <w:sz w:val="24"/>
          <w:szCs w:val="24"/>
          <w:lang w:val="sr-Cyrl-CS"/>
        </w:rPr>
        <w:t>велика еластичност</w:t>
      </w:r>
      <w:r>
        <w:rPr>
          <w:rFonts w:ascii="Times New Roman" w:hAnsi="Times New Roman"/>
          <w:sz w:val="24"/>
          <w:szCs w:val="24"/>
          <w:lang w:val="sr-Cyrl-CS"/>
        </w:rPr>
        <w:t>;</w:t>
      </w:r>
    </w:p>
    <w:p w:rsidR="00944543" w:rsidRDefault="00944543" w:rsidP="00944543">
      <w:pPr>
        <w:ind w:left="360"/>
        <w:jc w:val="both"/>
        <w:rPr>
          <w:rFonts w:ascii="Times New Roman" w:hAnsi="Times New Roman"/>
          <w:sz w:val="24"/>
          <w:szCs w:val="24"/>
          <w:lang w:val="sr-Cyrl-CS"/>
        </w:rPr>
      </w:pPr>
      <w:r>
        <w:rPr>
          <w:rFonts w:ascii="Times New Roman" w:hAnsi="Times New Roman"/>
          <w:sz w:val="24"/>
          <w:szCs w:val="24"/>
          <w:lang w:val="sr-Cyrl-CS"/>
        </w:rPr>
        <w:t>-</w:t>
      </w:r>
      <w:r w:rsidR="00A30EE1">
        <w:rPr>
          <w:rFonts w:ascii="Times New Roman" w:hAnsi="Times New Roman"/>
          <w:sz w:val="24"/>
          <w:szCs w:val="24"/>
          <w:lang w:val="sr-Cyrl-CS"/>
        </w:rPr>
        <w:t xml:space="preserve">све више изражена </w:t>
      </w:r>
      <w:r>
        <w:rPr>
          <w:rFonts w:ascii="Times New Roman" w:hAnsi="Times New Roman"/>
          <w:sz w:val="24"/>
          <w:szCs w:val="24"/>
          <w:lang w:val="sr-Cyrl-CS"/>
        </w:rPr>
        <w:t>обавезност плаћања;</w:t>
      </w:r>
    </w:p>
    <w:p w:rsidR="00944543" w:rsidRDefault="00944543" w:rsidP="00944543">
      <w:pPr>
        <w:ind w:left="360"/>
        <w:jc w:val="both"/>
        <w:rPr>
          <w:rFonts w:ascii="Times New Roman" w:hAnsi="Times New Roman"/>
          <w:sz w:val="24"/>
          <w:szCs w:val="24"/>
          <w:lang w:val="sr-Cyrl-CS"/>
        </w:rPr>
      </w:pPr>
      <w:r>
        <w:rPr>
          <w:rFonts w:ascii="Times New Roman" w:hAnsi="Times New Roman"/>
          <w:sz w:val="24"/>
          <w:szCs w:val="24"/>
          <w:lang w:val="sr-Cyrl-CS"/>
        </w:rPr>
        <w:lastRenderedPageBreak/>
        <w:t>-угоднији су за пореског обвезника, јер их само индиректно осећа, углавном кроз цене производа и услуга;</w:t>
      </w:r>
    </w:p>
    <w:p w:rsidR="00944543" w:rsidRDefault="00944543" w:rsidP="00944543">
      <w:pPr>
        <w:ind w:left="360"/>
        <w:jc w:val="both"/>
        <w:rPr>
          <w:rFonts w:ascii="Times New Roman" w:hAnsi="Times New Roman"/>
          <w:sz w:val="24"/>
          <w:szCs w:val="24"/>
          <w:lang w:val="sr-Cyrl-CS"/>
        </w:rPr>
      </w:pPr>
      <w:r>
        <w:rPr>
          <w:rFonts w:ascii="Times New Roman" w:hAnsi="Times New Roman"/>
          <w:sz w:val="24"/>
          <w:szCs w:val="24"/>
          <w:lang w:val="sr-Cyrl-CS"/>
        </w:rPr>
        <w:t xml:space="preserve">-добровољност и издашност, што </w:t>
      </w:r>
      <w:r w:rsidR="00951E67">
        <w:rPr>
          <w:rFonts w:ascii="Times New Roman" w:hAnsi="Times New Roman"/>
          <w:sz w:val="24"/>
          <w:szCs w:val="24"/>
          <w:lang w:val="sr-Cyrl-CS"/>
        </w:rPr>
        <w:t>омогућава</w:t>
      </w:r>
      <w:r>
        <w:rPr>
          <w:rFonts w:ascii="Times New Roman" w:hAnsi="Times New Roman"/>
          <w:sz w:val="24"/>
          <w:szCs w:val="24"/>
          <w:lang w:val="sr-Cyrl-CS"/>
        </w:rPr>
        <w:t xml:space="preserve"> пореској власти да их користи за прикупљање финансијских средстава за покриће колективних потреба;</w:t>
      </w:r>
    </w:p>
    <w:p w:rsidR="00944543" w:rsidRDefault="00944543" w:rsidP="00944543">
      <w:pPr>
        <w:ind w:left="360"/>
        <w:jc w:val="both"/>
        <w:rPr>
          <w:rFonts w:ascii="Times New Roman" w:hAnsi="Times New Roman"/>
          <w:sz w:val="24"/>
          <w:szCs w:val="24"/>
          <w:lang w:val="sr-Cyrl-CS"/>
        </w:rPr>
      </w:pPr>
      <w:r>
        <w:rPr>
          <w:rFonts w:ascii="Times New Roman" w:hAnsi="Times New Roman"/>
          <w:sz w:val="24"/>
          <w:szCs w:val="24"/>
          <w:lang w:val="sr-Cyrl-CS"/>
        </w:rPr>
        <w:t xml:space="preserve">-несоцијални су, </w:t>
      </w:r>
      <w:r w:rsidR="00951E67">
        <w:rPr>
          <w:rFonts w:ascii="Times New Roman" w:hAnsi="Times New Roman"/>
          <w:sz w:val="24"/>
          <w:szCs w:val="24"/>
          <w:lang w:val="sr-Cyrl-CS"/>
        </w:rPr>
        <w:t xml:space="preserve">јер их </w:t>
      </w:r>
      <w:r>
        <w:rPr>
          <w:rFonts w:ascii="Times New Roman" w:hAnsi="Times New Roman"/>
          <w:sz w:val="24"/>
          <w:szCs w:val="24"/>
          <w:lang w:val="sr-Cyrl-CS"/>
        </w:rPr>
        <w:t>сви плаћају, без обзира на виснину дохотка и</w:t>
      </w:r>
    </w:p>
    <w:p w:rsidR="00A64C29" w:rsidRDefault="00944543" w:rsidP="00A64C29">
      <w:pPr>
        <w:ind w:left="360"/>
        <w:jc w:val="both"/>
        <w:rPr>
          <w:rFonts w:ascii="Times New Roman" w:hAnsi="Times New Roman"/>
          <w:sz w:val="24"/>
          <w:szCs w:val="24"/>
          <w:lang w:val="sr-Cyrl-CS"/>
        </w:rPr>
      </w:pPr>
      <w:r>
        <w:rPr>
          <w:rFonts w:ascii="Times New Roman" w:hAnsi="Times New Roman"/>
          <w:sz w:val="24"/>
          <w:szCs w:val="24"/>
          <w:lang w:val="sr-Cyrl-CS"/>
        </w:rPr>
        <w:t xml:space="preserve">- </w:t>
      </w:r>
      <w:r w:rsidR="00951E67">
        <w:rPr>
          <w:rFonts w:ascii="Times New Roman" w:hAnsi="Times New Roman"/>
          <w:sz w:val="24"/>
          <w:szCs w:val="24"/>
          <w:lang w:val="sr-Cyrl-CS"/>
        </w:rPr>
        <w:t xml:space="preserve">лако се преваљују па </w:t>
      </w:r>
      <w:r w:rsidR="00300E46">
        <w:rPr>
          <w:rFonts w:ascii="Times New Roman" w:hAnsi="Times New Roman"/>
          <w:sz w:val="24"/>
          <w:szCs w:val="24"/>
          <w:lang w:val="sr-Cyrl-CS"/>
        </w:rPr>
        <w:t>носу подесни</w:t>
      </w:r>
      <w:r w:rsidR="00951E67">
        <w:rPr>
          <w:rFonts w:ascii="Times New Roman" w:hAnsi="Times New Roman"/>
          <w:sz w:val="24"/>
          <w:szCs w:val="24"/>
          <w:lang w:val="sr-Cyrl-CS"/>
        </w:rPr>
        <w:t xml:space="preserve"> </w:t>
      </w:r>
      <w:r>
        <w:rPr>
          <w:rFonts w:ascii="Times New Roman" w:hAnsi="Times New Roman"/>
          <w:sz w:val="24"/>
          <w:szCs w:val="24"/>
          <w:lang w:val="sr-Cyrl-CS"/>
        </w:rPr>
        <w:t>за разне ек</w:t>
      </w:r>
      <w:r w:rsidR="00951E67">
        <w:rPr>
          <w:rFonts w:ascii="Times New Roman" w:hAnsi="Times New Roman"/>
          <w:sz w:val="24"/>
          <w:szCs w:val="24"/>
          <w:lang w:val="sr-Cyrl-CS"/>
        </w:rPr>
        <w:t>ономске, социјалне и друге сврхе</w:t>
      </w:r>
      <w:r>
        <w:rPr>
          <w:rFonts w:ascii="Times New Roman" w:hAnsi="Times New Roman"/>
          <w:sz w:val="24"/>
          <w:szCs w:val="24"/>
          <w:lang w:val="sr-Cyrl-CS"/>
        </w:rPr>
        <w:t>.</w:t>
      </w:r>
      <w:r>
        <w:rPr>
          <w:rStyle w:val="FootnoteReference"/>
          <w:rFonts w:ascii="Times New Roman" w:hAnsi="Times New Roman"/>
          <w:sz w:val="24"/>
          <w:szCs w:val="24"/>
          <w:lang w:val="sr-Cyrl-CS"/>
        </w:rPr>
        <w:footnoteReference w:id="57"/>
      </w:r>
    </w:p>
    <w:p w:rsidR="00944543" w:rsidRPr="00A64C29" w:rsidRDefault="00944543" w:rsidP="00A64C29">
      <w:pPr>
        <w:numPr>
          <w:ilvl w:val="0"/>
          <w:numId w:val="13"/>
        </w:numPr>
        <w:jc w:val="both"/>
        <w:rPr>
          <w:rFonts w:ascii="Times New Roman" w:hAnsi="Times New Roman"/>
          <w:sz w:val="24"/>
          <w:szCs w:val="24"/>
          <w:lang w:val="sr-Cyrl-CS"/>
        </w:rPr>
      </w:pPr>
      <w:r>
        <w:rPr>
          <w:rFonts w:ascii="Times New Roman" w:hAnsi="Times New Roman"/>
          <w:sz w:val="24"/>
          <w:szCs w:val="24"/>
          <w:lang w:val="sr-Cyrl-CS"/>
        </w:rPr>
        <w:t>Лични (субјектни) и објектни (предметни) порези</w:t>
      </w:r>
    </w:p>
    <w:p w:rsidR="00944543" w:rsidRDefault="00944543" w:rsidP="00944543">
      <w:pPr>
        <w:ind w:firstLine="360"/>
        <w:jc w:val="both"/>
        <w:rPr>
          <w:rFonts w:ascii="Times New Roman" w:hAnsi="Times New Roman"/>
          <w:sz w:val="24"/>
          <w:szCs w:val="24"/>
          <w:lang w:val="sr-Cyrl-CS"/>
        </w:rPr>
      </w:pPr>
      <w:r>
        <w:rPr>
          <w:rFonts w:ascii="Times New Roman" w:hAnsi="Times New Roman"/>
          <w:sz w:val="24"/>
          <w:szCs w:val="24"/>
          <w:lang w:val="sr-Cyrl-CS"/>
        </w:rPr>
        <w:t xml:space="preserve">Ова подела разликује порезе у зависности од тога да ли се приходи и имовина опорезују према стварним својствима или зависи од личности обвезника. Лични порези су везани за одређену личност којој припада доходак и имовина која се опорезује, док је предметни порез везан за доходак и имовину, а не за личност којој припадају. Лични порези су прилагођени личним својствима пореског обвезника (број издржаваних лица, здравствено стање и др.), док предметни порези нису погодни за остваривање социјано-политичких циљева. </w:t>
      </w:r>
    </w:p>
    <w:p w:rsidR="00A64C29" w:rsidRDefault="00944543" w:rsidP="00A64C29">
      <w:pPr>
        <w:ind w:firstLine="360"/>
        <w:jc w:val="both"/>
        <w:rPr>
          <w:rFonts w:ascii="Times New Roman" w:hAnsi="Times New Roman"/>
          <w:sz w:val="24"/>
          <w:szCs w:val="24"/>
          <w:lang w:val="sr-Cyrl-CS"/>
        </w:rPr>
      </w:pPr>
      <w:r>
        <w:rPr>
          <w:rFonts w:ascii="Times New Roman" w:hAnsi="Times New Roman"/>
          <w:sz w:val="24"/>
          <w:szCs w:val="24"/>
          <w:lang w:val="sr-Cyrl-CS"/>
        </w:rPr>
        <w:t xml:space="preserve">Због тога су субјектни порези правичнији и равномернији од објектних пореза, јер узимају у обзир економску снагу пореског обвезника и његове личне и породичне прилике. Предност објектних пореза је релативно једноставно спровођење, јер се у обзир узимају само чињенице које се односе на објекат опорезивања, а не и оне које се тичу личности пореског обвезника, његових породичних прилика, или његових других прихода, односно објеката имовине. </w:t>
      </w:r>
      <w:r w:rsidR="0009226F">
        <w:rPr>
          <w:rFonts w:ascii="Times New Roman" w:hAnsi="Times New Roman"/>
          <w:sz w:val="24"/>
          <w:szCs w:val="24"/>
          <w:lang w:val="sr-Cyrl-CS"/>
        </w:rPr>
        <w:t>Због тога</w:t>
      </w:r>
      <w:r>
        <w:rPr>
          <w:rFonts w:ascii="Times New Roman" w:hAnsi="Times New Roman"/>
          <w:sz w:val="24"/>
          <w:szCs w:val="24"/>
          <w:lang w:val="sr-Cyrl-CS"/>
        </w:rPr>
        <w:t xml:space="preserve"> се у многим савременим пореским системима </w:t>
      </w:r>
      <w:r w:rsidR="0009226F">
        <w:rPr>
          <w:rFonts w:ascii="Times New Roman" w:hAnsi="Times New Roman"/>
          <w:sz w:val="24"/>
          <w:szCs w:val="24"/>
          <w:lang w:val="sr-Cyrl-CS"/>
        </w:rPr>
        <w:t>упоредо примењују</w:t>
      </w:r>
      <w:r>
        <w:rPr>
          <w:rFonts w:ascii="Times New Roman" w:hAnsi="Times New Roman"/>
          <w:sz w:val="24"/>
          <w:szCs w:val="24"/>
          <w:lang w:val="sr-Cyrl-CS"/>
        </w:rPr>
        <w:t xml:space="preserve"> и субјектни и објектни порези, </w:t>
      </w:r>
      <w:r w:rsidR="0009226F">
        <w:rPr>
          <w:rFonts w:ascii="Times New Roman" w:hAnsi="Times New Roman"/>
          <w:sz w:val="24"/>
          <w:szCs w:val="24"/>
          <w:lang w:val="sr-Cyrl-CS"/>
        </w:rPr>
        <w:t xml:space="preserve">али </w:t>
      </w:r>
      <w:r>
        <w:rPr>
          <w:rFonts w:ascii="Times New Roman" w:hAnsi="Times New Roman"/>
          <w:sz w:val="24"/>
          <w:szCs w:val="24"/>
          <w:lang w:val="sr-Cyrl-CS"/>
        </w:rPr>
        <w:t>се економски снажније државе, чије су пореске администрације боље оспобљене, више ослањају на субјектне, а оне мање развијене на објектне порезе.</w:t>
      </w:r>
      <w:r>
        <w:rPr>
          <w:rStyle w:val="FootnoteReference"/>
          <w:rFonts w:ascii="Times New Roman" w:hAnsi="Times New Roman"/>
          <w:sz w:val="24"/>
          <w:szCs w:val="24"/>
          <w:lang w:val="sr-Cyrl-CS"/>
        </w:rPr>
        <w:footnoteReference w:id="58"/>
      </w:r>
      <w:r w:rsidR="00442ED1">
        <w:rPr>
          <w:rFonts w:ascii="Times New Roman" w:hAnsi="Times New Roman"/>
          <w:sz w:val="24"/>
          <w:szCs w:val="24"/>
          <w:lang w:val="sr-Cyrl-CS"/>
        </w:rPr>
        <w:t xml:space="preserve"> </w:t>
      </w:r>
      <w:r>
        <w:rPr>
          <w:rFonts w:ascii="Times New Roman" w:hAnsi="Times New Roman"/>
          <w:sz w:val="24"/>
          <w:szCs w:val="24"/>
          <w:lang w:val="sr-Cyrl-CS"/>
        </w:rPr>
        <w:t xml:space="preserve">Субјективни порези су порези на доходак, на укупни приход, на имовину. </w:t>
      </w:r>
    </w:p>
    <w:p w:rsidR="00944543" w:rsidRPr="00A64C29" w:rsidRDefault="00944543" w:rsidP="00A64C29">
      <w:pPr>
        <w:numPr>
          <w:ilvl w:val="0"/>
          <w:numId w:val="13"/>
        </w:numPr>
        <w:jc w:val="both"/>
        <w:rPr>
          <w:rFonts w:ascii="Times New Roman" w:hAnsi="Times New Roman"/>
          <w:sz w:val="24"/>
          <w:szCs w:val="24"/>
          <w:lang w:val="sr-Cyrl-CS"/>
        </w:rPr>
      </w:pPr>
      <w:r>
        <w:rPr>
          <w:rFonts w:ascii="Times New Roman" w:hAnsi="Times New Roman"/>
          <w:sz w:val="24"/>
          <w:szCs w:val="24"/>
          <w:lang w:val="sr-Cyrl-CS"/>
        </w:rPr>
        <w:t>Фундирани и нефундирани порези</w:t>
      </w:r>
    </w:p>
    <w:p w:rsidR="00944543" w:rsidRDefault="00944543" w:rsidP="00944543">
      <w:pPr>
        <w:ind w:firstLine="360"/>
        <w:jc w:val="both"/>
        <w:rPr>
          <w:rFonts w:ascii="Times New Roman" w:hAnsi="Times New Roman"/>
          <w:sz w:val="24"/>
          <w:szCs w:val="24"/>
          <w:lang w:val="sr-Cyrl-CS"/>
        </w:rPr>
      </w:pPr>
      <w:r>
        <w:rPr>
          <w:rFonts w:ascii="Times New Roman" w:hAnsi="Times New Roman"/>
          <w:sz w:val="24"/>
          <w:szCs w:val="24"/>
          <w:lang w:val="sr-Cyrl-CS"/>
        </w:rPr>
        <w:t xml:space="preserve">Фундираним порезима се опорезују приходи од имовине и капитала, као што су дивиденде и камате, док се нефундираним порезима опорезују остали приходи који су резултат личног рада.  </w:t>
      </w:r>
    </w:p>
    <w:p w:rsidR="00944543" w:rsidRPr="00A64C29" w:rsidRDefault="00944543" w:rsidP="00A64C29">
      <w:pPr>
        <w:numPr>
          <w:ilvl w:val="0"/>
          <w:numId w:val="13"/>
        </w:numPr>
        <w:jc w:val="both"/>
        <w:rPr>
          <w:rFonts w:ascii="Times New Roman" w:hAnsi="Times New Roman"/>
          <w:sz w:val="24"/>
          <w:szCs w:val="24"/>
          <w:lang w:val="sr-Cyrl-CS"/>
        </w:rPr>
      </w:pPr>
      <w:r>
        <w:rPr>
          <w:rFonts w:ascii="Times New Roman" w:hAnsi="Times New Roman"/>
          <w:sz w:val="24"/>
          <w:szCs w:val="24"/>
          <w:lang w:val="sr-Cyrl-CS"/>
        </w:rPr>
        <w:t>Катастарски и тарифни порези</w:t>
      </w:r>
    </w:p>
    <w:p w:rsidR="00944543" w:rsidRDefault="00944543" w:rsidP="00944543">
      <w:pPr>
        <w:ind w:firstLine="360"/>
        <w:jc w:val="both"/>
        <w:rPr>
          <w:rFonts w:ascii="Times New Roman" w:hAnsi="Times New Roman"/>
          <w:sz w:val="24"/>
          <w:szCs w:val="24"/>
          <w:lang w:val="sr-Cyrl-CS"/>
        </w:rPr>
      </w:pPr>
      <w:r>
        <w:rPr>
          <w:rFonts w:ascii="Times New Roman" w:hAnsi="Times New Roman"/>
          <w:sz w:val="24"/>
          <w:szCs w:val="24"/>
          <w:lang w:val="sr-Cyrl-CS"/>
        </w:rPr>
        <w:t xml:space="preserve">Катастарски порези се утврђују на основу података садржаних у катастру, док се тарифни порези утврђују на основу података у пореској тарифи. </w:t>
      </w:r>
    </w:p>
    <w:p w:rsidR="00944543" w:rsidRDefault="00944543" w:rsidP="008A3795">
      <w:pPr>
        <w:numPr>
          <w:ilvl w:val="0"/>
          <w:numId w:val="13"/>
        </w:numPr>
        <w:jc w:val="both"/>
        <w:rPr>
          <w:rFonts w:ascii="Times New Roman" w:hAnsi="Times New Roman"/>
          <w:sz w:val="24"/>
          <w:szCs w:val="24"/>
          <w:lang w:val="sr-Cyrl-CS"/>
        </w:rPr>
      </w:pPr>
      <w:r>
        <w:rPr>
          <w:rFonts w:ascii="Times New Roman" w:hAnsi="Times New Roman"/>
          <w:sz w:val="24"/>
          <w:szCs w:val="24"/>
          <w:lang w:val="sr-Cyrl-CS"/>
        </w:rPr>
        <w:t>Општи и наменски порези</w:t>
      </w:r>
    </w:p>
    <w:p w:rsidR="00944543" w:rsidRDefault="00944543" w:rsidP="00944543">
      <w:pPr>
        <w:ind w:left="720"/>
        <w:jc w:val="both"/>
        <w:rPr>
          <w:rFonts w:ascii="Times New Roman" w:hAnsi="Times New Roman"/>
          <w:sz w:val="24"/>
          <w:szCs w:val="24"/>
          <w:lang w:val="sr-Cyrl-CS"/>
        </w:rPr>
      </w:pPr>
    </w:p>
    <w:p w:rsidR="00944543" w:rsidRDefault="00944543" w:rsidP="00944543">
      <w:pPr>
        <w:ind w:firstLine="360"/>
        <w:jc w:val="both"/>
        <w:rPr>
          <w:rFonts w:ascii="Times New Roman" w:hAnsi="Times New Roman"/>
          <w:sz w:val="24"/>
          <w:szCs w:val="24"/>
          <w:lang w:val="sr-Cyrl-CS"/>
        </w:rPr>
      </w:pPr>
      <w:r>
        <w:rPr>
          <w:rFonts w:ascii="Times New Roman" w:hAnsi="Times New Roman"/>
          <w:sz w:val="24"/>
          <w:szCs w:val="24"/>
          <w:lang w:val="sr-Cyrl-CS"/>
        </w:rPr>
        <w:lastRenderedPageBreak/>
        <w:t>Наменски порези су такви порези код којих је унапред утврђена одређена намена којој служе и они су често привременог карактера. (Пример за такав порез је порез на плате, чији се део прихода усмерава на финансирање изградње ауто-пута). Општи порези су такви порези код којих није унапред утврђена одређена намена, дакле они служе за покриће јавних расхода.</w:t>
      </w:r>
    </w:p>
    <w:p w:rsidR="00944543" w:rsidRPr="00A64C29" w:rsidRDefault="00944543" w:rsidP="00A64C29">
      <w:pPr>
        <w:numPr>
          <w:ilvl w:val="0"/>
          <w:numId w:val="13"/>
        </w:numPr>
        <w:jc w:val="both"/>
        <w:rPr>
          <w:rFonts w:ascii="Times New Roman" w:hAnsi="Times New Roman"/>
          <w:sz w:val="24"/>
          <w:szCs w:val="24"/>
          <w:lang w:val="sr-Cyrl-CS"/>
        </w:rPr>
      </w:pPr>
      <w:r>
        <w:rPr>
          <w:rFonts w:ascii="Times New Roman" w:hAnsi="Times New Roman"/>
          <w:sz w:val="24"/>
          <w:szCs w:val="24"/>
          <w:lang w:val="sr-Cyrl-CS"/>
        </w:rPr>
        <w:t>Репартициони и квотите</w:t>
      </w:r>
      <w:r w:rsidRPr="004856C5">
        <w:rPr>
          <w:rFonts w:ascii="Times New Roman" w:hAnsi="Times New Roman"/>
          <w:sz w:val="24"/>
          <w:szCs w:val="24"/>
          <w:lang w:val="sr-Cyrl-CS"/>
        </w:rPr>
        <w:t>тни</w:t>
      </w:r>
      <w:r>
        <w:rPr>
          <w:rFonts w:ascii="Times New Roman" w:hAnsi="Times New Roman"/>
          <w:sz w:val="24"/>
          <w:szCs w:val="24"/>
          <w:lang w:val="sr-Cyrl-CS"/>
        </w:rPr>
        <w:t xml:space="preserve"> порези</w:t>
      </w:r>
    </w:p>
    <w:p w:rsidR="00944543" w:rsidRDefault="00944543" w:rsidP="00944543">
      <w:pPr>
        <w:ind w:firstLine="360"/>
        <w:jc w:val="both"/>
        <w:rPr>
          <w:rFonts w:ascii="Times New Roman" w:hAnsi="Times New Roman"/>
          <w:sz w:val="24"/>
          <w:szCs w:val="24"/>
          <w:lang w:val="sr-Cyrl-CS"/>
        </w:rPr>
      </w:pPr>
      <w:r>
        <w:rPr>
          <w:rFonts w:ascii="Times New Roman" w:hAnsi="Times New Roman"/>
          <w:sz w:val="24"/>
          <w:szCs w:val="24"/>
          <w:lang w:val="sr-Cyrl-CS"/>
        </w:rPr>
        <w:t xml:space="preserve">Код репартицоног пореза држава зна унапред укупну суму средстава коју треба прикупити, док порески обвезници нису унапред упознати са висином своје пореске обавезе. Код квотитетних пореза, који су данас редован случај, порески обвезници унапред знају колико износи висина њихове преске обавезе (квота), али држава није упозната унапред који износ средстава ће бити прикупљен. Тај износ је условљен економском снагом пореских обвезника и размерама пореске евазије. Посредни порези су по својој природи квотитетни порези. </w:t>
      </w:r>
    </w:p>
    <w:p w:rsidR="00944543" w:rsidRDefault="00414683" w:rsidP="00944543">
      <w:pPr>
        <w:ind w:firstLine="360"/>
        <w:jc w:val="both"/>
        <w:rPr>
          <w:rFonts w:ascii="Times New Roman" w:hAnsi="Times New Roman"/>
          <w:sz w:val="24"/>
          <w:szCs w:val="24"/>
          <w:lang w:val="sr-Cyrl-CS"/>
        </w:rPr>
      </w:pPr>
      <w:r>
        <w:rPr>
          <w:rFonts w:ascii="Times New Roman" w:hAnsi="Times New Roman"/>
          <w:sz w:val="24"/>
          <w:szCs w:val="24"/>
          <w:lang w:val="sr-Cyrl-CS"/>
        </w:rPr>
        <w:t>Код к</w:t>
      </w:r>
      <w:r w:rsidR="00944543">
        <w:rPr>
          <w:rFonts w:ascii="Times New Roman" w:hAnsi="Times New Roman"/>
          <w:sz w:val="24"/>
          <w:szCs w:val="24"/>
          <w:lang w:val="sr-Cyrl-CS"/>
        </w:rPr>
        <w:t>вотитетни</w:t>
      </w:r>
      <w:r>
        <w:rPr>
          <w:rFonts w:ascii="Times New Roman" w:hAnsi="Times New Roman"/>
          <w:sz w:val="24"/>
          <w:szCs w:val="24"/>
          <w:lang w:val="sr-Cyrl-CS"/>
        </w:rPr>
        <w:t>х</w:t>
      </w:r>
      <w:r w:rsidR="00944543">
        <w:rPr>
          <w:rFonts w:ascii="Times New Roman" w:hAnsi="Times New Roman"/>
          <w:sz w:val="24"/>
          <w:szCs w:val="24"/>
          <w:lang w:val="sr-Cyrl-CS"/>
        </w:rPr>
        <w:t xml:space="preserve"> </w:t>
      </w:r>
      <w:r>
        <w:rPr>
          <w:rFonts w:ascii="Times New Roman" w:hAnsi="Times New Roman"/>
          <w:sz w:val="24"/>
          <w:szCs w:val="24"/>
          <w:lang w:val="sr-Cyrl-CS"/>
        </w:rPr>
        <w:t>пореза</w:t>
      </w:r>
      <w:r w:rsidR="00944543">
        <w:rPr>
          <w:rFonts w:ascii="Times New Roman" w:hAnsi="Times New Roman"/>
          <w:sz w:val="24"/>
          <w:szCs w:val="24"/>
          <w:lang w:val="sr-Cyrl-CS"/>
        </w:rPr>
        <w:t xml:space="preserve"> се висина пореске обавезе прилагођава стварној економској снази и пореској способности обвезника</w:t>
      </w:r>
      <w:r w:rsidRPr="00414683">
        <w:rPr>
          <w:rFonts w:ascii="Times New Roman" w:hAnsi="Times New Roman"/>
          <w:sz w:val="24"/>
          <w:szCs w:val="24"/>
          <w:lang w:val="sr-Cyrl-CS"/>
        </w:rPr>
        <w:t xml:space="preserve"> </w:t>
      </w:r>
      <w:r>
        <w:rPr>
          <w:rFonts w:ascii="Times New Roman" w:hAnsi="Times New Roman"/>
          <w:sz w:val="24"/>
          <w:szCs w:val="24"/>
          <w:lang w:val="sr-Cyrl-CS"/>
        </w:rPr>
        <w:t>па то више одговара начелу правичности</w:t>
      </w:r>
      <w:r w:rsidR="00944543">
        <w:rPr>
          <w:rFonts w:ascii="Times New Roman" w:hAnsi="Times New Roman"/>
          <w:sz w:val="24"/>
          <w:szCs w:val="24"/>
          <w:lang w:val="sr-Cyrl-CS"/>
        </w:rPr>
        <w:t xml:space="preserve">. </w:t>
      </w:r>
      <w:r>
        <w:rPr>
          <w:rFonts w:ascii="Times New Roman" w:hAnsi="Times New Roman"/>
          <w:sz w:val="24"/>
          <w:szCs w:val="24"/>
          <w:lang w:val="sr-Cyrl-CS"/>
        </w:rPr>
        <w:t>Осим</w:t>
      </w:r>
      <w:r w:rsidR="00944543">
        <w:rPr>
          <w:rFonts w:ascii="Times New Roman" w:hAnsi="Times New Roman"/>
          <w:sz w:val="24"/>
          <w:szCs w:val="24"/>
          <w:lang w:val="sr-Cyrl-CS"/>
        </w:rPr>
        <w:t xml:space="preserve"> тога, држава аутоматски учествује у расподели односно употреби националног дохока, </w:t>
      </w:r>
      <w:r>
        <w:rPr>
          <w:rFonts w:ascii="Times New Roman" w:hAnsi="Times New Roman"/>
          <w:sz w:val="24"/>
          <w:szCs w:val="24"/>
          <w:lang w:val="sr-Cyrl-CS"/>
        </w:rPr>
        <w:t>па није принуђена да приликом</w:t>
      </w:r>
      <w:r w:rsidR="00944543">
        <w:rPr>
          <w:rFonts w:ascii="Times New Roman" w:hAnsi="Times New Roman"/>
          <w:sz w:val="24"/>
          <w:szCs w:val="24"/>
          <w:lang w:val="sr-Cyrl-CS"/>
        </w:rPr>
        <w:t xml:space="preserve"> покри</w:t>
      </w:r>
      <w:r>
        <w:rPr>
          <w:rFonts w:ascii="Times New Roman" w:hAnsi="Times New Roman"/>
          <w:sz w:val="24"/>
          <w:szCs w:val="24"/>
          <w:lang w:val="sr-Cyrl-CS"/>
        </w:rPr>
        <w:t>вања својих расхода</w:t>
      </w:r>
      <w:r w:rsidR="00944543">
        <w:rPr>
          <w:rFonts w:ascii="Times New Roman" w:hAnsi="Times New Roman"/>
          <w:sz w:val="24"/>
          <w:szCs w:val="24"/>
          <w:lang w:val="sr-Cyrl-CS"/>
        </w:rPr>
        <w:t xml:space="preserve"> </w:t>
      </w:r>
      <w:r>
        <w:rPr>
          <w:rFonts w:ascii="Times New Roman" w:hAnsi="Times New Roman"/>
          <w:sz w:val="24"/>
          <w:szCs w:val="24"/>
          <w:lang w:val="sr-Cyrl-CS"/>
        </w:rPr>
        <w:t>повећава</w:t>
      </w:r>
      <w:r w:rsidR="00944543">
        <w:rPr>
          <w:rFonts w:ascii="Times New Roman" w:hAnsi="Times New Roman"/>
          <w:sz w:val="24"/>
          <w:szCs w:val="24"/>
          <w:lang w:val="sr-Cyrl-CS"/>
        </w:rPr>
        <w:t xml:space="preserve"> степен пореског оптерећења, </w:t>
      </w:r>
      <w:r>
        <w:rPr>
          <w:rFonts w:ascii="Times New Roman" w:hAnsi="Times New Roman"/>
          <w:sz w:val="24"/>
          <w:szCs w:val="24"/>
          <w:lang w:val="sr-Cyrl-CS"/>
        </w:rPr>
        <w:t>јер</w:t>
      </w:r>
      <w:r w:rsidR="00944543">
        <w:rPr>
          <w:rFonts w:ascii="Times New Roman" w:hAnsi="Times New Roman"/>
          <w:sz w:val="24"/>
          <w:szCs w:val="24"/>
          <w:lang w:val="sr-Cyrl-CS"/>
        </w:rPr>
        <w:t xml:space="preserve"> се са порастом националног дохотка</w:t>
      </w:r>
      <w:r w:rsidRPr="00414683">
        <w:rPr>
          <w:rFonts w:ascii="Times New Roman" w:hAnsi="Times New Roman"/>
          <w:sz w:val="24"/>
          <w:szCs w:val="24"/>
          <w:lang w:val="sr-Cyrl-CS"/>
        </w:rPr>
        <w:t xml:space="preserve"> </w:t>
      </w:r>
      <w:r>
        <w:rPr>
          <w:rFonts w:ascii="Times New Roman" w:hAnsi="Times New Roman"/>
          <w:sz w:val="24"/>
          <w:szCs w:val="24"/>
          <w:lang w:val="sr-Cyrl-CS"/>
        </w:rPr>
        <w:t xml:space="preserve">обезбеђују стално све већа финансијска средства, </w:t>
      </w:r>
      <w:r w:rsidR="00944543">
        <w:rPr>
          <w:rFonts w:ascii="Times New Roman" w:hAnsi="Times New Roman"/>
          <w:sz w:val="24"/>
          <w:szCs w:val="24"/>
          <w:lang w:val="sr-Cyrl-CS"/>
        </w:rPr>
        <w:t>уз одржавање постојећег степена фискалног притиска.</w:t>
      </w:r>
      <w:r w:rsidR="00944543">
        <w:rPr>
          <w:rStyle w:val="FootnoteReference"/>
          <w:rFonts w:ascii="Times New Roman" w:hAnsi="Times New Roman"/>
          <w:sz w:val="24"/>
          <w:szCs w:val="24"/>
          <w:lang w:val="sr-Cyrl-CS"/>
        </w:rPr>
        <w:footnoteReference w:id="59"/>
      </w:r>
    </w:p>
    <w:p w:rsidR="00944543" w:rsidRPr="00A64C29" w:rsidRDefault="00944543" w:rsidP="00A64C29">
      <w:pPr>
        <w:numPr>
          <w:ilvl w:val="0"/>
          <w:numId w:val="13"/>
        </w:numPr>
        <w:jc w:val="both"/>
        <w:rPr>
          <w:rFonts w:ascii="Times New Roman" w:hAnsi="Times New Roman"/>
          <w:sz w:val="24"/>
          <w:szCs w:val="24"/>
          <w:lang w:val="sr-Cyrl-CS"/>
        </w:rPr>
      </w:pPr>
      <w:r>
        <w:rPr>
          <w:rFonts w:ascii="Times New Roman" w:hAnsi="Times New Roman"/>
          <w:sz w:val="24"/>
          <w:szCs w:val="24"/>
          <w:lang w:val="sr-Cyrl-CS"/>
        </w:rPr>
        <w:t>Синтетички и аналитички порези</w:t>
      </w:r>
    </w:p>
    <w:p w:rsidR="00944543" w:rsidRDefault="00944543" w:rsidP="00944543">
      <w:pPr>
        <w:ind w:firstLine="360"/>
        <w:jc w:val="both"/>
        <w:rPr>
          <w:rFonts w:ascii="Times New Roman" w:hAnsi="Times New Roman"/>
          <w:sz w:val="24"/>
          <w:szCs w:val="24"/>
          <w:lang w:val="sr-Cyrl-CS"/>
        </w:rPr>
      </w:pPr>
      <w:r>
        <w:rPr>
          <w:rFonts w:ascii="Times New Roman" w:hAnsi="Times New Roman"/>
          <w:sz w:val="24"/>
          <w:szCs w:val="24"/>
          <w:lang w:val="sr-Cyrl-CS"/>
        </w:rPr>
        <w:t>Аналитички порез је порез на одређену врсту прихода пореског обвезника или део имовине и он погађа само један елеменат пореске ситуације, док се синтетичким порезом врши опорезивање укупне имовине и доходака пореског обвезника. Због наведених карактеристика аналитички порези су погоднији за спровођење ванфискалних циљева (социјалних, економских и др.).</w:t>
      </w:r>
    </w:p>
    <w:p w:rsidR="00944543" w:rsidRPr="00A64C29" w:rsidRDefault="00944543" w:rsidP="00A64C29">
      <w:pPr>
        <w:numPr>
          <w:ilvl w:val="0"/>
          <w:numId w:val="13"/>
        </w:numPr>
        <w:jc w:val="both"/>
        <w:rPr>
          <w:rFonts w:ascii="Times New Roman" w:hAnsi="Times New Roman"/>
          <w:sz w:val="24"/>
          <w:szCs w:val="24"/>
          <w:lang w:val="sr-Cyrl-CS"/>
        </w:rPr>
      </w:pPr>
      <w:r>
        <w:rPr>
          <w:rFonts w:ascii="Times New Roman" w:hAnsi="Times New Roman"/>
          <w:sz w:val="24"/>
          <w:szCs w:val="24"/>
          <w:lang w:val="sr-Cyrl-CS"/>
        </w:rPr>
        <w:t>Редовни и ванредни порези</w:t>
      </w:r>
    </w:p>
    <w:p w:rsidR="00944543" w:rsidRDefault="00944543" w:rsidP="00944543">
      <w:pPr>
        <w:ind w:firstLine="360"/>
        <w:jc w:val="both"/>
        <w:rPr>
          <w:rFonts w:ascii="Times New Roman" w:hAnsi="Times New Roman"/>
          <w:sz w:val="24"/>
          <w:szCs w:val="24"/>
          <w:lang w:val="sr-Cyrl-CS"/>
        </w:rPr>
      </w:pPr>
      <w:r>
        <w:rPr>
          <w:rFonts w:ascii="Times New Roman" w:hAnsi="Times New Roman"/>
          <w:sz w:val="24"/>
          <w:szCs w:val="24"/>
          <w:lang w:val="sr-Cyrl-CS"/>
        </w:rPr>
        <w:t xml:space="preserve">Редовни порези се наплаћују сваке године и служе покрићу редовних јавних расхода, док се ванредни порези наплаћују повремено у ванредним околностима. </w:t>
      </w:r>
    </w:p>
    <w:p w:rsidR="00944543" w:rsidRDefault="00944543" w:rsidP="00944543">
      <w:pPr>
        <w:ind w:firstLine="360"/>
        <w:jc w:val="both"/>
        <w:rPr>
          <w:rFonts w:ascii="Times New Roman" w:hAnsi="Times New Roman"/>
          <w:sz w:val="24"/>
          <w:szCs w:val="24"/>
          <w:lang w:val="sr-Cyrl-CS"/>
        </w:rPr>
      </w:pPr>
      <w:r>
        <w:rPr>
          <w:rFonts w:ascii="Times New Roman" w:hAnsi="Times New Roman"/>
          <w:sz w:val="24"/>
          <w:szCs w:val="24"/>
          <w:lang w:val="sr-Cyrl-CS"/>
        </w:rPr>
        <w:t>Многи редовни порези воде порекло од ванредних пореза, јер ванредни порези нису укинути када су ванредне прилике престале, што има својих предности у односу на избегавање плаћања пореза. Наиме, на њих су се порески обвез</w:t>
      </w:r>
      <w:r w:rsidR="00414683">
        <w:rPr>
          <w:rFonts w:ascii="Times New Roman" w:hAnsi="Times New Roman"/>
          <w:sz w:val="24"/>
          <w:szCs w:val="24"/>
          <w:lang w:val="sr-Cyrl-CS"/>
        </w:rPr>
        <w:t>н</w:t>
      </w:r>
      <w:r>
        <w:rPr>
          <w:rFonts w:ascii="Times New Roman" w:hAnsi="Times New Roman"/>
          <w:sz w:val="24"/>
          <w:szCs w:val="24"/>
          <w:lang w:val="sr-Cyrl-CS"/>
        </w:rPr>
        <w:t>ици навикли и они више не представљају нове порезе, код којих је веће избегавање плаћања.</w:t>
      </w:r>
    </w:p>
    <w:p w:rsidR="00944543" w:rsidRPr="00716011" w:rsidRDefault="00414683" w:rsidP="00A64C29">
      <w:pPr>
        <w:ind w:firstLine="360"/>
        <w:jc w:val="both"/>
        <w:rPr>
          <w:rFonts w:ascii="Times New Roman" w:hAnsi="Times New Roman"/>
          <w:sz w:val="24"/>
          <w:szCs w:val="24"/>
          <w:lang w:val="sr-Cyrl-CS"/>
        </w:rPr>
      </w:pPr>
      <w:r>
        <w:rPr>
          <w:rFonts w:ascii="Times New Roman" w:hAnsi="Times New Roman"/>
          <w:sz w:val="24"/>
          <w:szCs w:val="24"/>
          <w:lang w:val="sr-Cyrl-CS"/>
        </w:rPr>
        <w:t>Такав је</w:t>
      </w:r>
      <w:r w:rsidR="00944543">
        <w:rPr>
          <w:rFonts w:ascii="Times New Roman" w:hAnsi="Times New Roman"/>
          <w:sz w:val="24"/>
          <w:szCs w:val="24"/>
          <w:lang w:val="sr-Cyrl-CS"/>
        </w:rPr>
        <w:t xml:space="preserve"> на пример случај са најпознатијим британским порезом на доходак Income Tax</w:t>
      </w:r>
      <w:r>
        <w:rPr>
          <w:rFonts w:ascii="Times New Roman" w:hAnsi="Times New Roman"/>
          <w:sz w:val="24"/>
          <w:szCs w:val="24"/>
          <w:lang w:val="sr-Cyrl-CS"/>
        </w:rPr>
        <w:t>. Овај порез је</w:t>
      </w:r>
      <w:r w:rsidR="00944543">
        <w:rPr>
          <w:rFonts w:ascii="Times New Roman" w:hAnsi="Times New Roman"/>
          <w:sz w:val="24"/>
          <w:szCs w:val="24"/>
          <w:lang w:val="sr-Cyrl-CS"/>
        </w:rPr>
        <w:t xml:space="preserve"> установљен као ванредни порез 1789. године </w:t>
      </w:r>
      <w:r>
        <w:rPr>
          <w:rFonts w:ascii="Times New Roman" w:hAnsi="Times New Roman"/>
          <w:sz w:val="24"/>
          <w:szCs w:val="24"/>
          <w:lang w:val="sr-Cyrl-CS"/>
        </w:rPr>
        <w:t>и</w:t>
      </w:r>
      <w:r w:rsidR="00944543">
        <w:rPr>
          <w:rFonts w:ascii="Times New Roman" w:hAnsi="Times New Roman"/>
          <w:sz w:val="24"/>
          <w:szCs w:val="24"/>
          <w:lang w:val="sr-Cyrl-CS"/>
        </w:rPr>
        <w:t xml:space="preserve"> повремено </w:t>
      </w:r>
      <w:r>
        <w:rPr>
          <w:rFonts w:ascii="Times New Roman" w:hAnsi="Times New Roman"/>
          <w:sz w:val="24"/>
          <w:szCs w:val="24"/>
          <w:lang w:val="sr-Cyrl-CS"/>
        </w:rPr>
        <w:t xml:space="preserve">је </w:t>
      </w:r>
      <w:r w:rsidR="00944543">
        <w:rPr>
          <w:rFonts w:ascii="Times New Roman" w:hAnsi="Times New Roman"/>
          <w:sz w:val="24"/>
          <w:szCs w:val="24"/>
          <w:lang w:val="sr-Cyrl-CS"/>
        </w:rPr>
        <w:lastRenderedPageBreak/>
        <w:t xml:space="preserve">наплаћиван све до 1842. године </w:t>
      </w:r>
      <w:r>
        <w:rPr>
          <w:rFonts w:ascii="Times New Roman" w:hAnsi="Times New Roman"/>
          <w:sz w:val="24"/>
          <w:szCs w:val="24"/>
          <w:lang w:val="sr-Cyrl-CS"/>
        </w:rPr>
        <w:t>када постаје</w:t>
      </w:r>
      <w:r w:rsidR="00944543">
        <w:rPr>
          <w:rFonts w:ascii="Times New Roman" w:hAnsi="Times New Roman"/>
          <w:sz w:val="24"/>
          <w:szCs w:val="24"/>
          <w:lang w:val="sr-Cyrl-CS"/>
        </w:rPr>
        <w:t xml:space="preserve"> редовни порез. </w:t>
      </w:r>
      <w:r>
        <w:rPr>
          <w:rFonts w:ascii="Times New Roman" w:hAnsi="Times New Roman"/>
          <w:sz w:val="24"/>
          <w:szCs w:val="24"/>
          <w:lang w:val="sr-Cyrl-CS"/>
        </w:rPr>
        <w:t>Осим тога и</w:t>
      </w:r>
      <w:r w:rsidR="00944543">
        <w:rPr>
          <w:rFonts w:ascii="Times New Roman" w:hAnsi="Times New Roman"/>
          <w:sz w:val="24"/>
          <w:szCs w:val="24"/>
          <w:lang w:val="sr-Cyrl-CS"/>
        </w:rPr>
        <w:t xml:space="preserve"> порез на промет је био ратни порез</w:t>
      </w:r>
      <w:r>
        <w:rPr>
          <w:rFonts w:ascii="Times New Roman" w:hAnsi="Times New Roman"/>
          <w:sz w:val="24"/>
          <w:szCs w:val="24"/>
          <w:lang w:val="sr-Cyrl-CS"/>
        </w:rPr>
        <w:t xml:space="preserve"> и</w:t>
      </w:r>
      <w:r w:rsidR="00944543">
        <w:rPr>
          <w:rFonts w:ascii="Times New Roman" w:hAnsi="Times New Roman"/>
          <w:sz w:val="24"/>
          <w:szCs w:val="24"/>
          <w:lang w:val="sr-Cyrl-CS"/>
        </w:rPr>
        <w:t xml:space="preserve"> постепено </w:t>
      </w:r>
      <w:r>
        <w:rPr>
          <w:rFonts w:ascii="Times New Roman" w:hAnsi="Times New Roman"/>
          <w:sz w:val="24"/>
          <w:szCs w:val="24"/>
          <w:lang w:val="sr-Cyrl-CS"/>
        </w:rPr>
        <w:t xml:space="preserve">је </w:t>
      </w:r>
      <w:r w:rsidR="00944543">
        <w:rPr>
          <w:rFonts w:ascii="Times New Roman" w:hAnsi="Times New Roman"/>
          <w:sz w:val="24"/>
          <w:szCs w:val="24"/>
          <w:lang w:val="sr-Cyrl-CS"/>
        </w:rPr>
        <w:t>претворен у редовни порески инструмент.</w:t>
      </w:r>
      <w:r w:rsidR="00944543">
        <w:rPr>
          <w:rStyle w:val="FootnoteReference"/>
          <w:rFonts w:ascii="Times New Roman" w:hAnsi="Times New Roman"/>
          <w:sz w:val="24"/>
          <w:szCs w:val="24"/>
          <w:lang w:val="sr-Cyrl-CS"/>
        </w:rPr>
        <w:footnoteReference w:id="60"/>
      </w:r>
      <w:r w:rsidR="00944543">
        <w:rPr>
          <w:rFonts w:ascii="Times New Roman" w:hAnsi="Times New Roman"/>
          <w:sz w:val="24"/>
          <w:szCs w:val="24"/>
          <w:lang w:val="sr-Cyrl-CS"/>
        </w:rPr>
        <w:t xml:space="preserve"> </w:t>
      </w:r>
    </w:p>
    <w:p w:rsidR="00944543" w:rsidRPr="00A64C29" w:rsidRDefault="00944543" w:rsidP="00A64C29">
      <w:pPr>
        <w:numPr>
          <w:ilvl w:val="0"/>
          <w:numId w:val="13"/>
        </w:numPr>
        <w:jc w:val="both"/>
        <w:rPr>
          <w:rFonts w:ascii="Times New Roman" w:hAnsi="Times New Roman"/>
          <w:sz w:val="24"/>
          <w:szCs w:val="24"/>
          <w:lang w:val="sr-Cyrl-CS"/>
        </w:rPr>
      </w:pPr>
      <w:r>
        <w:rPr>
          <w:rFonts w:ascii="Times New Roman" w:hAnsi="Times New Roman"/>
          <w:sz w:val="24"/>
          <w:szCs w:val="24"/>
          <w:lang w:val="sr-Cyrl-CS"/>
        </w:rPr>
        <w:t>Порези у новцу и порези у натури порези</w:t>
      </w:r>
    </w:p>
    <w:p w:rsidR="00944543" w:rsidRDefault="00944543" w:rsidP="00944543">
      <w:pPr>
        <w:ind w:firstLine="360"/>
        <w:jc w:val="both"/>
        <w:rPr>
          <w:rFonts w:ascii="Times New Roman" w:hAnsi="Times New Roman"/>
          <w:sz w:val="24"/>
          <w:szCs w:val="24"/>
          <w:lang w:val="sr-Cyrl-CS"/>
        </w:rPr>
      </w:pPr>
      <w:r>
        <w:rPr>
          <w:rFonts w:ascii="Times New Roman" w:hAnsi="Times New Roman"/>
          <w:sz w:val="24"/>
          <w:szCs w:val="24"/>
          <w:lang w:val="sr-Cyrl-CS"/>
        </w:rPr>
        <w:t>Порези у натри су реликт прошлости, а уобичајен је порез у новцу у свременим пореским системима у којима је заступљена робно-новчана привреда.</w:t>
      </w:r>
    </w:p>
    <w:p w:rsidR="00EE5C28" w:rsidRPr="001D562C" w:rsidRDefault="00EE5C28" w:rsidP="00FB1A92">
      <w:pPr>
        <w:jc w:val="both"/>
        <w:rPr>
          <w:rFonts w:ascii="Times New Roman" w:hAnsi="Times New Roman"/>
          <w:sz w:val="24"/>
          <w:szCs w:val="24"/>
          <w:lang w:val="sr-Cyrl-CS"/>
        </w:rPr>
      </w:pPr>
    </w:p>
    <w:p w:rsidR="004A7BBF" w:rsidRDefault="00EA4169" w:rsidP="00EA4169">
      <w:pPr>
        <w:jc w:val="both"/>
        <w:rPr>
          <w:rFonts w:ascii="Times New Roman" w:hAnsi="Times New Roman"/>
          <w:b/>
          <w:i/>
          <w:sz w:val="24"/>
          <w:szCs w:val="24"/>
          <w:lang w:val="sr-Cyrl-CS"/>
        </w:rPr>
      </w:pPr>
      <w:r>
        <w:rPr>
          <w:rFonts w:ascii="Times New Roman" w:hAnsi="Times New Roman"/>
          <w:b/>
          <w:i/>
          <w:sz w:val="24"/>
          <w:szCs w:val="24"/>
          <w:lang w:val="sr-Cyrl-CS"/>
        </w:rPr>
        <w:t>4.</w:t>
      </w:r>
      <w:r w:rsidR="004A7BBF">
        <w:rPr>
          <w:rFonts w:ascii="Times New Roman" w:hAnsi="Times New Roman"/>
          <w:b/>
          <w:i/>
          <w:sz w:val="24"/>
          <w:szCs w:val="24"/>
          <w:lang w:val="sr-Cyrl-CS"/>
        </w:rPr>
        <w:t xml:space="preserve">Циљеви </w:t>
      </w:r>
      <w:r w:rsidR="00057219">
        <w:rPr>
          <w:rFonts w:ascii="Times New Roman" w:hAnsi="Times New Roman"/>
          <w:b/>
          <w:i/>
          <w:sz w:val="24"/>
          <w:szCs w:val="24"/>
          <w:lang w:val="sr-Cyrl-CS"/>
        </w:rPr>
        <w:t xml:space="preserve">и </w:t>
      </w:r>
      <w:r w:rsidR="008B4FBE">
        <w:rPr>
          <w:rFonts w:ascii="Times New Roman" w:hAnsi="Times New Roman"/>
          <w:b/>
          <w:i/>
          <w:sz w:val="24"/>
          <w:szCs w:val="24"/>
          <w:lang w:val="sr-Cyrl-CS"/>
        </w:rPr>
        <w:t>утицаји</w:t>
      </w:r>
      <w:r w:rsidR="00057219">
        <w:rPr>
          <w:rFonts w:ascii="Times New Roman" w:hAnsi="Times New Roman"/>
          <w:b/>
          <w:i/>
          <w:sz w:val="24"/>
          <w:szCs w:val="24"/>
          <w:lang w:val="sr-Cyrl-CS"/>
        </w:rPr>
        <w:t xml:space="preserve"> опорезивања</w:t>
      </w:r>
      <w:r w:rsidR="00AC7CC0">
        <w:rPr>
          <w:rFonts w:ascii="Times New Roman" w:hAnsi="Times New Roman"/>
          <w:b/>
          <w:i/>
          <w:sz w:val="24"/>
          <w:szCs w:val="24"/>
          <w:lang w:val="sr-Cyrl-CS"/>
        </w:rPr>
        <w:t xml:space="preserve"> </w:t>
      </w:r>
      <w:r w:rsidR="00383C23">
        <w:rPr>
          <w:rFonts w:ascii="Times New Roman" w:hAnsi="Times New Roman"/>
          <w:b/>
          <w:i/>
          <w:sz w:val="24"/>
          <w:szCs w:val="24"/>
          <w:lang w:val="sr-Cyrl-CS"/>
        </w:rPr>
        <w:t>у конт</w:t>
      </w:r>
      <w:r w:rsidR="00AC7CC0">
        <w:rPr>
          <w:rFonts w:ascii="Times New Roman" w:hAnsi="Times New Roman"/>
          <w:b/>
          <w:i/>
          <w:sz w:val="24"/>
          <w:szCs w:val="24"/>
          <w:lang w:val="sr-Cyrl-CS"/>
        </w:rPr>
        <w:t>ексту избегавања плаћања пореза</w:t>
      </w:r>
    </w:p>
    <w:p w:rsidR="00347C1D" w:rsidRDefault="00347C1D" w:rsidP="00347C1D">
      <w:pPr>
        <w:ind w:left="540"/>
        <w:jc w:val="both"/>
        <w:rPr>
          <w:rFonts w:ascii="Times New Roman" w:hAnsi="Times New Roman"/>
          <w:b/>
          <w:i/>
          <w:sz w:val="24"/>
          <w:szCs w:val="24"/>
          <w:lang w:val="sr-Cyrl-CS"/>
        </w:rPr>
      </w:pPr>
    </w:p>
    <w:p w:rsidR="00366F9A" w:rsidRDefault="00383C23" w:rsidP="0063524D">
      <w:pPr>
        <w:ind w:firstLine="360"/>
        <w:jc w:val="both"/>
        <w:rPr>
          <w:rFonts w:ascii="Times New Roman" w:hAnsi="Times New Roman"/>
          <w:sz w:val="24"/>
          <w:szCs w:val="24"/>
          <w:lang w:val="sr-Cyrl-CS"/>
        </w:rPr>
      </w:pPr>
      <w:r>
        <w:rPr>
          <w:rFonts w:ascii="Times New Roman" w:hAnsi="Times New Roman"/>
          <w:sz w:val="24"/>
          <w:szCs w:val="24"/>
          <w:lang w:val="sr-Cyrl-CS"/>
        </w:rPr>
        <w:t xml:space="preserve">Да би се потпуније сагледао проблем избегавања плаћања пореза и последице овог феномена, потребно је да се </w:t>
      </w:r>
      <w:r w:rsidR="00A7471F">
        <w:rPr>
          <w:rFonts w:ascii="Times New Roman" w:hAnsi="Times New Roman"/>
          <w:sz w:val="24"/>
          <w:szCs w:val="24"/>
          <w:lang w:val="sr-Cyrl-CS"/>
        </w:rPr>
        <w:t xml:space="preserve">претходно </w:t>
      </w:r>
      <w:r>
        <w:rPr>
          <w:rFonts w:ascii="Times New Roman" w:hAnsi="Times New Roman"/>
          <w:sz w:val="24"/>
          <w:szCs w:val="24"/>
          <w:lang w:val="sr-Cyrl-CS"/>
        </w:rPr>
        <w:t xml:space="preserve">анализирају циљеви и </w:t>
      </w:r>
      <w:r w:rsidR="008B4FBE">
        <w:rPr>
          <w:rFonts w:ascii="Times New Roman" w:hAnsi="Times New Roman"/>
          <w:sz w:val="24"/>
          <w:szCs w:val="24"/>
          <w:lang w:val="sr-Cyrl-CS"/>
        </w:rPr>
        <w:t>утицаји</w:t>
      </w:r>
      <w:r w:rsidR="00BD7753">
        <w:rPr>
          <w:rFonts w:ascii="Times New Roman" w:hAnsi="Times New Roman"/>
          <w:sz w:val="24"/>
          <w:szCs w:val="24"/>
          <w:lang w:val="sr-Cyrl-CS"/>
        </w:rPr>
        <w:t xml:space="preserve"> опорезивања. </w:t>
      </w:r>
      <w:r w:rsidR="00A7471F">
        <w:rPr>
          <w:rFonts w:ascii="Times New Roman" w:hAnsi="Times New Roman"/>
          <w:sz w:val="24"/>
          <w:szCs w:val="24"/>
          <w:lang w:val="sr-Cyrl-CS"/>
        </w:rPr>
        <w:t xml:space="preserve">Деловање пореза је усмерено ка различитим циљевима, али се  мора </w:t>
      </w:r>
      <w:r>
        <w:rPr>
          <w:rFonts w:ascii="Times New Roman" w:hAnsi="Times New Roman"/>
          <w:sz w:val="24"/>
          <w:szCs w:val="24"/>
          <w:lang w:val="sr-Cyrl-CS"/>
        </w:rPr>
        <w:t xml:space="preserve">водити рачуна </w:t>
      </w:r>
      <w:r w:rsidR="00A7471F">
        <w:rPr>
          <w:rFonts w:ascii="Times New Roman" w:hAnsi="Times New Roman"/>
          <w:sz w:val="24"/>
          <w:szCs w:val="24"/>
          <w:lang w:val="sr-Cyrl-CS"/>
        </w:rPr>
        <w:t xml:space="preserve">о </w:t>
      </w:r>
      <w:r w:rsidR="008B4FBE">
        <w:rPr>
          <w:rFonts w:ascii="Times New Roman" w:hAnsi="Times New Roman"/>
          <w:sz w:val="24"/>
          <w:szCs w:val="24"/>
          <w:lang w:val="sr-Cyrl-CS"/>
        </w:rPr>
        <w:t>утицајима</w:t>
      </w:r>
      <w:r>
        <w:rPr>
          <w:rFonts w:ascii="Times New Roman" w:hAnsi="Times New Roman"/>
          <w:sz w:val="24"/>
          <w:szCs w:val="24"/>
          <w:lang w:val="sr-Cyrl-CS"/>
        </w:rPr>
        <w:t xml:space="preserve"> које такво опорезивање може имати. </w:t>
      </w:r>
      <w:r w:rsidR="009C08EA">
        <w:rPr>
          <w:rFonts w:ascii="Times New Roman" w:hAnsi="Times New Roman"/>
          <w:sz w:val="24"/>
          <w:szCs w:val="24"/>
          <w:lang w:val="sr-Cyrl-CS"/>
        </w:rPr>
        <w:t xml:space="preserve">Опорезивање може изазвати различите позитивне </w:t>
      </w:r>
      <w:r w:rsidR="008B4FBE">
        <w:rPr>
          <w:rFonts w:ascii="Times New Roman" w:hAnsi="Times New Roman"/>
          <w:sz w:val="24"/>
          <w:szCs w:val="24"/>
          <w:lang w:val="sr-Cyrl-CS"/>
        </w:rPr>
        <w:t>утицаје који</w:t>
      </w:r>
      <w:r w:rsidR="009C08EA">
        <w:rPr>
          <w:rFonts w:ascii="Times New Roman" w:hAnsi="Times New Roman"/>
          <w:sz w:val="24"/>
          <w:szCs w:val="24"/>
          <w:lang w:val="sr-Cyrl-CS"/>
        </w:rPr>
        <w:t xml:space="preserve"> се избегавањем плаћања п</w:t>
      </w:r>
      <w:r w:rsidR="008B4FBE">
        <w:rPr>
          <w:rFonts w:ascii="Times New Roman" w:hAnsi="Times New Roman"/>
          <w:sz w:val="24"/>
          <w:szCs w:val="24"/>
          <w:lang w:val="sr-Cyrl-CS"/>
        </w:rPr>
        <w:t>ореза подривају, али и негативна</w:t>
      </w:r>
      <w:r w:rsidR="009C08EA">
        <w:rPr>
          <w:rFonts w:ascii="Times New Roman" w:hAnsi="Times New Roman"/>
          <w:sz w:val="24"/>
          <w:szCs w:val="24"/>
          <w:lang w:val="sr-Cyrl-CS"/>
        </w:rPr>
        <w:t xml:space="preserve"> </w:t>
      </w:r>
      <w:r w:rsidR="008B4FBE">
        <w:rPr>
          <w:rFonts w:ascii="Times New Roman" w:hAnsi="Times New Roman"/>
          <w:sz w:val="24"/>
          <w:szCs w:val="24"/>
          <w:lang w:val="sr-Cyrl-CS"/>
        </w:rPr>
        <w:t>дејства, која</w:t>
      </w:r>
      <w:r w:rsidR="009C08EA">
        <w:rPr>
          <w:rFonts w:ascii="Times New Roman" w:hAnsi="Times New Roman"/>
          <w:sz w:val="24"/>
          <w:szCs w:val="24"/>
          <w:lang w:val="sr-Cyrl-CS"/>
        </w:rPr>
        <w:t xml:space="preserve"> могу утицати на отпор пореских обвезника, а самим тим и на избегавање плаћања пореза. </w:t>
      </w:r>
      <w:r w:rsidR="00BD7753">
        <w:rPr>
          <w:rFonts w:ascii="Times New Roman" w:hAnsi="Times New Roman"/>
          <w:sz w:val="24"/>
          <w:szCs w:val="24"/>
          <w:lang w:val="sr-Cyrl-CS"/>
        </w:rPr>
        <w:t xml:space="preserve">Избегавање плаћања пореза и други негативни ефекти везани за опорезивање доприносе појави раскорака између циљева опорезивања и ефеката </w:t>
      </w:r>
      <w:r w:rsidR="00A7471F">
        <w:rPr>
          <w:rFonts w:ascii="Times New Roman" w:hAnsi="Times New Roman"/>
          <w:sz w:val="24"/>
          <w:szCs w:val="24"/>
          <w:lang w:val="sr-Cyrl-CS"/>
        </w:rPr>
        <w:t>опорезивања. При том, треба имати у виду да није свако избегавање плаћања пореза супротно циљевима пореске полити</w:t>
      </w:r>
      <w:r w:rsidR="00366F9A">
        <w:rPr>
          <w:rFonts w:ascii="Times New Roman" w:hAnsi="Times New Roman"/>
          <w:sz w:val="24"/>
          <w:szCs w:val="24"/>
          <w:lang w:val="sr-Cyrl-CS"/>
        </w:rPr>
        <w:t>ке, јер законита пореска</w:t>
      </w:r>
      <w:r w:rsidR="00A7471F">
        <w:rPr>
          <w:rFonts w:ascii="Times New Roman" w:hAnsi="Times New Roman"/>
          <w:sz w:val="24"/>
          <w:szCs w:val="24"/>
          <w:lang w:val="sr-Cyrl-CS"/>
        </w:rPr>
        <w:t xml:space="preserve"> евазија, о којој ће бити речи у каснијем излагању,</w:t>
      </w:r>
      <w:r w:rsidR="00366F9A">
        <w:rPr>
          <w:rFonts w:ascii="Times New Roman" w:hAnsi="Times New Roman"/>
          <w:sz w:val="24"/>
          <w:szCs w:val="24"/>
          <w:lang w:val="sr-Cyrl-CS"/>
        </w:rPr>
        <w:t xml:space="preserve"> пр</w:t>
      </w:r>
      <w:r w:rsidR="00632914">
        <w:rPr>
          <w:rFonts w:ascii="Times New Roman" w:hAnsi="Times New Roman"/>
          <w:sz w:val="24"/>
          <w:szCs w:val="24"/>
          <w:lang w:val="sr-Cyrl-CS"/>
        </w:rPr>
        <w:t>едставља интенцију самог законодав</w:t>
      </w:r>
      <w:r w:rsidR="00366F9A">
        <w:rPr>
          <w:rFonts w:ascii="Times New Roman" w:hAnsi="Times New Roman"/>
          <w:sz w:val="24"/>
          <w:szCs w:val="24"/>
          <w:lang w:val="sr-Cyrl-CS"/>
        </w:rPr>
        <w:t>ца и у</w:t>
      </w:r>
      <w:r w:rsidR="00632914">
        <w:rPr>
          <w:rFonts w:ascii="Times New Roman" w:hAnsi="Times New Roman"/>
          <w:sz w:val="24"/>
          <w:szCs w:val="24"/>
          <w:lang w:val="sr-Cyrl-CS"/>
        </w:rPr>
        <w:t>п</w:t>
      </w:r>
      <w:r w:rsidR="00366F9A">
        <w:rPr>
          <w:rFonts w:ascii="Times New Roman" w:hAnsi="Times New Roman"/>
          <w:sz w:val="24"/>
          <w:szCs w:val="24"/>
          <w:lang w:val="sr-Cyrl-CS"/>
        </w:rPr>
        <w:t>р</w:t>
      </w:r>
      <w:r w:rsidR="004E0F5E">
        <w:rPr>
          <w:rFonts w:ascii="Times New Roman" w:hAnsi="Times New Roman"/>
          <w:sz w:val="24"/>
          <w:szCs w:val="24"/>
          <w:lang w:val="sr-Cyrl-CS"/>
        </w:rPr>
        <w:t>аво има задатак остваривања</w:t>
      </w:r>
      <w:r w:rsidR="00366F9A">
        <w:rPr>
          <w:rFonts w:ascii="Times New Roman" w:hAnsi="Times New Roman"/>
          <w:sz w:val="24"/>
          <w:szCs w:val="24"/>
          <w:lang w:val="sr-Cyrl-CS"/>
        </w:rPr>
        <w:t xml:space="preserve"> циљева опорезивања.</w:t>
      </w:r>
      <w:r w:rsidR="00A7471F">
        <w:rPr>
          <w:rFonts w:ascii="Times New Roman" w:hAnsi="Times New Roman"/>
          <w:sz w:val="24"/>
          <w:szCs w:val="24"/>
          <w:lang w:val="sr-Cyrl-CS"/>
        </w:rPr>
        <w:t xml:space="preserve"> </w:t>
      </w:r>
      <w:r w:rsidR="004E0F5E">
        <w:rPr>
          <w:rFonts w:ascii="Times New Roman" w:hAnsi="Times New Roman"/>
          <w:sz w:val="24"/>
          <w:szCs w:val="24"/>
          <w:lang w:val="sr-Cyrl-CS"/>
        </w:rPr>
        <w:t xml:space="preserve"> </w:t>
      </w:r>
    </w:p>
    <w:p w:rsidR="000E4D3B" w:rsidRPr="00C93ECC" w:rsidRDefault="00AC7CC0" w:rsidP="00C93ECC">
      <w:pPr>
        <w:ind w:firstLine="360"/>
        <w:jc w:val="both"/>
        <w:rPr>
          <w:rFonts w:ascii="Times New Roman" w:hAnsi="Times New Roman"/>
          <w:b/>
          <w:sz w:val="28"/>
          <w:szCs w:val="28"/>
          <w:lang w:val="sr-Cyrl-CS"/>
        </w:rPr>
      </w:pPr>
      <w:r>
        <w:rPr>
          <w:rFonts w:ascii="Times New Roman" w:hAnsi="Times New Roman"/>
          <w:sz w:val="24"/>
          <w:szCs w:val="24"/>
          <w:lang w:val="sr-Cyrl-CS"/>
        </w:rPr>
        <w:t>Стуктура јавних прихода обухвата велики број пореза, такса, доприноса, накнада и других прихода у саврем</w:t>
      </w:r>
      <w:r w:rsidR="005058F9">
        <w:rPr>
          <w:rFonts w:ascii="Times New Roman" w:hAnsi="Times New Roman"/>
          <w:sz w:val="24"/>
          <w:szCs w:val="24"/>
          <w:lang w:val="sr-Cyrl-CS"/>
        </w:rPr>
        <w:t>е</w:t>
      </w:r>
      <w:r>
        <w:rPr>
          <w:rFonts w:ascii="Times New Roman" w:hAnsi="Times New Roman"/>
          <w:sz w:val="24"/>
          <w:szCs w:val="24"/>
          <w:lang w:val="sr-Cyrl-CS"/>
        </w:rPr>
        <w:t>ним државама. Међутим, по свом значају у структури</w:t>
      </w:r>
      <w:r w:rsidR="00632914">
        <w:rPr>
          <w:rFonts w:ascii="Times New Roman" w:hAnsi="Times New Roman"/>
          <w:sz w:val="24"/>
          <w:szCs w:val="24"/>
          <w:lang w:val="sr-Cyrl-CS"/>
        </w:rPr>
        <w:t xml:space="preserve"> фискалних (дажбинских) прихода</w:t>
      </w:r>
      <w:r>
        <w:rPr>
          <w:rFonts w:ascii="Times New Roman" w:hAnsi="Times New Roman"/>
          <w:sz w:val="24"/>
          <w:szCs w:val="24"/>
          <w:lang w:val="sr-Cyrl-CS"/>
        </w:rPr>
        <w:t xml:space="preserve"> порези се издвајају. Пре свега због тога што порези поред фискалне имају значајне нефискалне фун</w:t>
      </w:r>
      <w:r w:rsidR="003B25B0">
        <w:rPr>
          <w:rFonts w:ascii="Times New Roman" w:hAnsi="Times New Roman"/>
          <w:sz w:val="24"/>
          <w:szCs w:val="24"/>
          <w:lang w:val="sr-Cyrl-CS"/>
        </w:rPr>
        <w:t>к</w:t>
      </w:r>
      <w:r>
        <w:rPr>
          <w:rFonts w:ascii="Times New Roman" w:hAnsi="Times New Roman"/>
          <w:sz w:val="24"/>
          <w:szCs w:val="24"/>
          <w:lang w:val="sr-Cyrl-CS"/>
        </w:rPr>
        <w:t>ције у виду остварења економских, социјалних, еколошких и других циљева. Порези су престали да буду само класично средство које има за циљ да држави прибави фина</w:t>
      </w:r>
      <w:r w:rsidR="00632914">
        <w:rPr>
          <w:rFonts w:ascii="Times New Roman" w:hAnsi="Times New Roman"/>
          <w:sz w:val="24"/>
          <w:szCs w:val="24"/>
          <w:lang w:val="sr-Cyrl-CS"/>
        </w:rPr>
        <w:t>н</w:t>
      </w:r>
      <w:r>
        <w:rPr>
          <w:rFonts w:ascii="Times New Roman" w:hAnsi="Times New Roman"/>
          <w:sz w:val="24"/>
          <w:szCs w:val="24"/>
          <w:lang w:val="sr-Cyrl-CS"/>
        </w:rPr>
        <w:t xml:space="preserve">сијска средства за покриће јавних расхода. </w:t>
      </w:r>
      <w:r w:rsidRPr="00AC7CC0">
        <w:rPr>
          <w:rFonts w:ascii="Times New Roman" w:hAnsi="Times New Roman"/>
          <w:sz w:val="24"/>
          <w:szCs w:val="24"/>
          <w:lang w:val="sr-Cyrl-CS"/>
        </w:rPr>
        <w:t>Због тога се</w:t>
      </w:r>
      <w:r>
        <w:rPr>
          <w:rFonts w:ascii="Times New Roman" w:hAnsi="Times New Roman"/>
          <w:b/>
          <w:sz w:val="24"/>
          <w:szCs w:val="24"/>
          <w:lang w:val="sr-Cyrl-CS"/>
        </w:rPr>
        <w:t xml:space="preserve"> </w:t>
      </w:r>
      <w:r w:rsidR="00632914">
        <w:rPr>
          <w:rFonts w:ascii="Times New Roman" w:hAnsi="Times New Roman"/>
          <w:sz w:val="24"/>
          <w:szCs w:val="24"/>
          <w:lang w:val="sr-Cyrl-CS"/>
        </w:rPr>
        <w:t>по свом з</w:t>
      </w:r>
      <w:r>
        <w:rPr>
          <w:rFonts w:ascii="Times New Roman" w:hAnsi="Times New Roman"/>
          <w:sz w:val="24"/>
          <w:szCs w:val="24"/>
          <w:lang w:val="sr-Cyrl-CS"/>
        </w:rPr>
        <w:t>начају у финансирању опште</w:t>
      </w:r>
      <w:r w:rsidR="000E4D3B">
        <w:rPr>
          <w:rFonts w:ascii="Times New Roman" w:hAnsi="Times New Roman"/>
          <w:sz w:val="24"/>
          <w:szCs w:val="24"/>
          <w:lang w:val="sr-Cyrl-CS"/>
        </w:rPr>
        <w:t xml:space="preserve">друштвених потреба издваја </w:t>
      </w:r>
      <w:r>
        <w:rPr>
          <w:rFonts w:ascii="Times New Roman" w:hAnsi="Times New Roman"/>
          <w:sz w:val="24"/>
          <w:szCs w:val="24"/>
          <w:lang w:val="sr-Cyrl-CS"/>
        </w:rPr>
        <w:t xml:space="preserve">фискални или порески систем. </w:t>
      </w:r>
    </w:p>
    <w:p w:rsidR="002F535A" w:rsidRDefault="00FD73C7" w:rsidP="003B25B0">
      <w:pPr>
        <w:ind w:firstLine="708"/>
        <w:jc w:val="both"/>
        <w:rPr>
          <w:rFonts w:ascii="Times New Roman" w:hAnsi="Times New Roman"/>
          <w:sz w:val="24"/>
          <w:szCs w:val="24"/>
          <w:lang w:val="sr-Cyrl-CS"/>
        </w:rPr>
      </w:pPr>
      <w:r>
        <w:rPr>
          <w:rFonts w:ascii="Times New Roman" w:hAnsi="Times New Roman"/>
          <w:sz w:val="24"/>
          <w:szCs w:val="24"/>
          <w:lang w:val="sr-Cyrl-CS"/>
        </w:rPr>
        <w:t>Услед</w:t>
      </w:r>
      <w:r w:rsidR="00A7471F">
        <w:rPr>
          <w:rFonts w:ascii="Times New Roman" w:hAnsi="Times New Roman"/>
          <w:sz w:val="24"/>
          <w:szCs w:val="24"/>
          <w:lang w:val="sr-Cyrl-CS"/>
        </w:rPr>
        <w:t xml:space="preserve"> избегавања плаћа пореза смањена</w:t>
      </w:r>
      <w:r>
        <w:rPr>
          <w:rFonts w:ascii="Times New Roman" w:hAnsi="Times New Roman"/>
          <w:sz w:val="24"/>
          <w:szCs w:val="24"/>
          <w:lang w:val="sr-Cyrl-CS"/>
        </w:rPr>
        <w:t xml:space="preserve"> су</w:t>
      </w:r>
      <w:r w:rsidR="00A7471F">
        <w:rPr>
          <w:rFonts w:ascii="Times New Roman" w:hAnsi="Times New Roman"/>
          <w:sz w:val="24"/>
          <w:szCs w:val="24"/>
          <w:lang w:val="sr-Cyrl-CS"/>
        </w:rPr>
        <w:t xml:space="preserve"> прибављена средства</w:t>
      </w:r>
      <w:r w:rsidR="004E0F5E">
        <w:rPr>
          <w:rFonts w:ascii="Times New Roman" w:hAnsi="Times New Roman"/>
          <w:sz w:val="24"/>
          <w:szCs w:val="24"/>
          <w:lang w:val="sr-Cyrl-CS"/>
        </w:rPr>
        <w:t xml:space="preserve"> за покриће јавних расхода, а то</w:t>
      </w:r>
      <w:r w:rsidR="00A7471F">
        <w:rPr>
          <w:rFonts w:ascii="Times New Roman" w:hAnsi="Times New Roman"/>
          <w:sz w:val="24"/>
          <w:szCs w:val="24"/>
          <w:lang w:val="sr-Cyrl-CS"/>
        </w:rPr>
        <w:t xml:space="preserve"> даље изазива бројне последице. </w:t>
      </w:r>
      <w:r>
        <w:rPr>
          <w:rFonts w:ascii="Times New Roman" w:hAnsi="Times New Roman"/>
          <w:sz w:val="24"/>
          <w:szCs w:val="24"/>
          <w:lang w:val="sr-Cyrl-CS"/>
        </w:rPr>
        <w:t>Са друге стране, о</w:t>
      </w:r>
      <w:r w:rsidR="00A7471F">
        <w:rPr>
          <w:rFonts w:ascii="Times New Roman" w:hAnsi="Times New Roman"/>
          <w:sz w:val="24"/>
          <w:szCs w:val="24"/>
          <w:lang w:val="sr-Cyrl-CS"/>
        </w:rPr>
        <w:t xml:space="preserve">бвезници теже да очувају своју имовину или доходак, те је њихов интерес да пореска обавеза уопште не настане, или да буде сведена на најмању меру. </w:t>
      </w:r>
      <w:r w:rsidR="005763A4">
        <w:rPr>
          <w:rFonts w:ascii="Times New Roman" w:hAnsi="Times New Roman"/>
          <w:sz w:val="24"/>
          <w:szCs w:val="24"/>
          <w:lang w:val="sr-Cyrl-CS"/>
        </w:rPr>
        <w:t xml:space="preserve">Избегавање плаћања пореза настаје као резултат отпора плаћању пореза. Овај отпор је мање или више изражен код свих пореских обвезника, без обзира на њихов материјални положај. Негативан став пореских обвезника према плаћању пореза произилази из саме суштине природе </w:t>
      </w:r>
      <w:r w:rsidR="005763A4">
        <w:rPr>
          <w:rFonts w:ascii="Times New Roman" w:hAnsi="Times New Roman"/>
          <w:sz w:val="24"/>
          <w:szCs w:val="24"/>
          <w:lang w:val="sr-Cyrl-CS"/>
        </w:rPr>
        <w:lastRenderedPageBreak/>
        <w:t>пореза, односно из његове присилности, а без непосредне противнакнаде. Порезима се одузима део економске снаге пореских обвезника, чак и уз примену силе, што може довести и до промене његовог друштвеног статуса. Такво неповољно деловање пореза изазива отпор код пореских обвезника и жељу да своје поре</w:t>
      </w:r>
      <w:r w:rsidR="00B50695">
        <w:rPr>
          <w:rFonts w:ascii="Times New Roman" w:hAnsi="Times New Roman"/>
          <w:sz w:val="24"/>
          <w:szCs w:val="24"/>
          <w:lang w:val="sr-Cyrl-CS"/>
        </w:rPr>
        <w:t xml:space="preserve">ске обавезе избегну или смање. </w:t>
      </w:r>
      <w:r w:rsidR="005763A4">
        <w:rPr>
          <w:rFonts w:ascii="Times New Roman" w:hAnsi="Times New Roman"/>
          <w:sz w:val="24"/>
          <w:szCs w:val="24"/>
          <w:lang w:val="sr-Cyrl-CS"/>
        </w:rPr>
        <w:t>Отпор обвезника је и довео до тога да порези имају принудни карактер. Порески обвезници често доживљавају опорезивање као одузимање имовине, односно дохотка, као атак на њихову приватну својину.</w:t>
      </w:r>
      <w:r w:rsidR="00B50695">
        <w:rPr>
          <w:rFonts w:ascii="Times New Roman" w:hAnsi="Times New Roman"/>
          <w:sz w:val="24"/>
          <w:szCs w:val="24"/>
          <w:lang w:val="sr-Cyrl-CS"/>
        </w:rPr>
        <w:t xml:space="preserve"> </w:t>
      </w:r>
      <w:r w:rsidR="00A7471F">
        <w:rPr>
          <w:rFonts w:ascii="Times New Roman" w:hAnsi="Times New Roman"/>
          <w:sz w:val="24"/>
          <w:szCs w:val="24"/>
          <w:lang w:val="sr-Cyrl-CS"/>
        </w:rPr>
        <w:t xml:space="preserve">Према томе, циљеви обвезника су у </w:t>
      </w:r>
      <w:r w:rsidR="00A7471F" w:rsidRPr="00FD73C7">
        <w:rPr>
          <w:rFonts w:ascii="Times New Roman" w:hAnsi="Times New Roman"/>
          <w:sz w:val="24"/>
          <w:szCs w:val="24"/>
          <w:lang w:val="sr-Cyrl-CS"/>
        </w:rPr>
        <w:t xml:space="preserve">супротности </w:t>
      </w:r>
      <w:r w:rsidR="00A7471F">
        <w:rPr>
          <w:rFonts w:ascii="Times New Roman" w:hAnsi="Times New Roman"/>
          <w:sz w:val="24"/>
          <w:szCs w:val="24"/>
          <w:lang w:val="sr-Cyrl-CS"/>
        </w:rPr>
        <w:t>са циљевима опорезивања. Због свега тога, не</w:t>
      </w:r>
      <w:r>
        <w:rPr>
          <w:rFonts w:ascii="Times New Roman" w:hAnsi="Times New Roman"/>
          <w:sz w:val="24"/>
          <w:szCs w:val="24"/>
          <w:lang w:val="sr-Cyrl-CS"/>
        </w:rPr>
        <w:t>ретко ефекти опорезивања одступају</w:t>
      </w:r>
      <w:r w:rsidR="00A7471F">
        <w:rPr>
          <w:rFonts w:ascii="Times New Roman" w:hAnsi="Times New Roman"/>
          <w:sz w:val="24"/>
          <w:szCs w:val="24"/>
          <w:lang w:val="sr-Cyrl-CS"/>
        </w:rPr>
        <w:t xml:space="preserve"> од постављених циљева.</w:t>
      </w:r>
      <w:r w:rsidR="004E0F5E">
        <w:rPr>
          <w:rFonts w:ascii="Times New Roman" w:hAnsi="Times New Roman"/>
          <w:sz w:val="24"/>
          <w:szCs w:val="24"/>
          <w:lang w:val="sr-Cyrl-CS"/>
        </w:rPr>
        <w:t xml:space="preserve"> </w:t>
      </w:r>
      <w:r w:rsidR="003B25B0">
        <w:rPr>
          <w:rFonts w:ascii="Times New Roman" w:hAnsi="Times New Roman"/>
          <w:sz w:val="24"/>
          <w:szCs w:val="24"/>
          <w:lang w:val="sr-Cyrl-CS"/>
        </w:rPr>
        <w:t xml:space="preserve"> </w:t>
      </w:r>
    </w:p>
    <w:p w:rsidR="00FD73C7" w:rsidRDefault="000E4D3B" w:rsidP="00FD73C7">
      <w:pPr>
        <w:ind w:firstLine="360"/>
        <w:jc w:val="both"/>
        <w:rPr>
          <w:rFonts w:ascii="Times New Roman" w:hAnsi="Times New Roman"/>
          <w:sz w:val="24"/>
          <w:szCs w:val="24"/>
          <w:lang w:val="sr-Cyrl-CS"/>
        </w:rPr>
      </w:pPr>
      <w:r>
        <w:rPr>
          <w:rFonts w:ascii="Times New Roman" w:hAnsi="Times New Roman"/>
          <w:sz w:val="24"/>
          <w:szCs w:val="24"/>
          <w:lang w:val="sr-Cyrl-CS"/>
        </w:rPr>
        <w:t>Међутим, и</w:t>
      </w:r>
      <w:r w:rsidR="00FD73C7">
        <w:rPr>
          <w:rFonts w:ascii="Times New Roman" w:hAnsi="Times New Roman"/>
          <w:sz w:val="24"/>
          <w:szCs w:val="24"/>
          <w:lang w:val="sr-Cyrl-CS"/>
        </w:rPr>
        <w:t xml:space="preserve">збегавање плаћања пореза не  мора увек бити резултат активног и свесног понашања пореских обвезника да нетачним приказивањем или прикривањем чињеница избегну или смање своју пореску обавезу. Оно може бити резултат несвесног, пасивног понашања пореских обвезника услед непознавања пореских прописа, правних празнина у закону или неефикасности пореских органа. Отпор пореских обвезника ће бити већи уколико је пореско оптерећење веће, односно уколико је веће захватање дохотка и имовине пореског обвезника. На повећање </w:t>
      </w:r>
      <w:r w:rsidR="00FD73C7" w:rsidRPr="00FD73C7">
        <w:rPr>
          <w:rFonts w:ascii="Times New Roman" w:hAnsi="Times New Roman"/>
          <w:sz w:val="24"/>
          <w:szCs w:val="24"/>
          <w:lang w:val="sr-Cyrl-CS"/>
        </w:rPr>
        <w:t>отпора</w:t>
      </w:r>
      <w:r w:rsidR="00FD73C7">
        <w:rPr>
          <w:rFonts w:ascii="Times New Roman" w:hAnsi="Times New Roman"/>
          <w:sz w:val="24"/>
          <w:szCs w:val="24"/>
          <w:lang w:val="sr-Cyrl-CS"/>
        </w:rPr>
        <w:t xml:space="preserve"> плаћању пореза утиче више фактора</w:t>
      </w:r>
      <w:r w:rsidR="00632914">
        <w:rPr>
          <w:rFonts w:ascii="Times New Roman" w:hAnsi="Times New Roman"/>
          <w:sz w:val="24"/>
          <w:szCs w:val="24"/>
          <w:lang w:val="sr-Cyrl-CS"/>
        </w:rPr>
        <w:t>,</w:t>
      </w:r>
      <w:r w:rsidR="00FD73C7">
        <w:rPr>
          <w:rFonts w:ascii="Times New Roman" w:hAnsi="Times New Roman"/>
          <w:sz w:val="24"/>
          <w:szCs w:val="24"/>
          <w:lang w:val="sr-Cyrl-CS"/>
        </w:rPr>
        <w:t xml:space="preserve"> као што су следећи фактори: </w:t>
      </w:r>
    </w:p>
    <w:p w:rsidR="00FD73C7" w:rsidRDefault="00FD73C7" w:rsidP="00FD73C7">
      <w:pPr>
        <w:ind w:firstLine="360"/>
        <w:jc w:val="both"/>
        <w:rPr>
          <w:rFonts w:ascii="Times New Roman" w:hAnsi="Times New Roman"/>
          <w:sz w:val="24"/>
          <w:szCs w:val="24"/>
          <w:lang w:val="sr-Cyrl-CS"/>
        </w:rPr>
      </w:pPr>
      <w:r>
        <w:rPr>
          <w:rFonts w:ascii="Times New Roman" w:hAnsi="Times New Roman"/>
          <w:sz w:val="24"/>
          <w:szCs w:val="24"/>
          <w:lang w:val="sr-Cyrl-CS"/>
        </w:rPr>
        <w:t xml:space="preserve">-Сврха трошења пореских средстава. </w:t>
      </w:r>
    </w:p>
    <w:p w:rsidR="00FD73C7" w:rsidRDefault="00FD73C7" w:rsidP="00FD73C7">
      <w:pPr>
        <w:ind w:firstLine="360"/>
        <w:jc w:val="both"/>
        <w:rPr>
          <w:rFonts w:ascii="Times New Roman" w:hAnsi="Times New Roman"/>
          <w:sz w:val="24"/>
          <w:szCs w:val="24"/>
          <w:lang w:val="sr-Cyrl-CS"/>
        </w:rPr>
      </w:pPr>
      <w:r>
        <w:rPr>
          <w:rFonts w:ascii="Times New Roman" w:hAnsi="Times New Roman"/>
          <w:sz w:val="24"/>
          <w:szCs w:val="24"/>
          <w:lang w:val="sr-Cyrl-CS"/>
        </w:rPr>
        <w:t>Уколико се држава односи неодговорно према средствима пореских обвезника, ако је трошење средстава за пореске обвезнике недовољно транспарентно или пак уколико држава прикупљена с</w:t>
      </w:r>
      <w:r w:rsidR="005058F9">
        <w:rPr>
          <w:rFonts w:ascii="Times New Roman" w:hAnsi="Times New Roman"/>
          <w:sz w:val="24"/>
          <w:szCs w:val="24"/>
          <w:lang w:val="sr-Cyrl-CS"/>
        </w:rPr>
        <w:t>редстава троши у неке сврхе за које</w:t>
      </w:r>
      <w:r>
        <w:rPr>
          <w:rFonts w:ascii="Times New Roman" w:hAnsi="Times New Roman"/>
          <w:sz w:val="24"/>
          <w:szCs w:val="24"/>
          <w:lang w:val="sr-Cyrl-CS"/>
        </w:rPr>
        <w:t xml:space="preserve"> порески обвезници сматрају да не треба да се фина</w:t>
      </w:r>
      <w:r w:rsidR="00632914">
        <w:rPr>
          <w:rFonts w:ascii="Times New Roman" w:hAnsi="Times New Roman"/>
          <w:sz w:val="24"/>
          <w:szCs w:val="24"/>
          <w:lang w:val="sr-Cyrl-CS"/>
        </w:rPr>
        <w:t>н</w:t>
      </w:r>
      <w:r>
        <w:rPr>
          <w:rFonts w:ascii="Times New Roman" w:hAnsi="Times New Roman"/>
          <w:sz w:val="24"/>
          <w:szCs w:val="24"/>
          <w:lang w:val="sr-Cyrl-CS"/>
        </w:rPr>
        <w:t>сирају из њихових средстава, свакако да ће све то стварати негативну атмо</w:t>
      </w:r>
      <w:r w:rsidR="00632914">
        <w:rPr>
          <w:rFonts w:ascii="Times New Roman" w:hAnsi="Times New Roman"/>
          <w:sz w:val="24"/>
          <w:szCs w:val="24"/>
          <w:lang w:val="sr-Cyrl-CS"/>
        </w:rPr>
        <w:t>с</w:t>
      </w:r>
      <w:r>
        <w:rPr>
          <w:rFonts w:ascii="Times New Roman" w:hAnsi="Times New Roman"/>
          <w:sz w:val="24"/>
          <w:szCs w:val="24"/>
          <w:lang w:val="sr-Cyrl-CS"/>
        </w:rPr>
        <w:t>феру у јавности и изазивати већи отпор пореских обвезника.</w:t>
      </w:r>
    </w:p>
    <w:p w:rsidR="00FD73C7" w:rsidRDefault="00FD73C7" w:rsidP="00FD73C7">
      <w:pPr>
        <w:ind w:firstLine="360"/>
        <w:jc w:val="both"/>
        <w:rPr>
          <w:rFonts w:ascii="Times New Roman" w:hAnsi="Times New Roman"/>
          <w:sz w:val="24"/>
          <w:szCs w:val="24"/>
          <w:lang w:val="sr-Cyrl-CS"/>
        </w:rPr>
      </w:pPr>
      <w:r>
        <w:rPr>
          <w:rFonts w:ascii="Times New Roman" w:hAnsi="Times New Roman"/>
          <w:sz w:val="24"/>
          <w:szCs w:val="24"/>
          <w:lang w:val="sr-Cyrl-CS"/>
        </w:rPr>
        <w:t xml:space="preserve">-Опорезивањем се нарушава начело праведности. </w:t>
      </w:r>
    </w:p>
    <w:p w:rsidR="00FD73C7" w:rsidRDefault="00FD73C7" w:rsidP="00FD73C7">
      <w:pPr>
        <w:ind w:firstLine="360"/>
        <w:jc w:val="both"/>
        <w:rPr>
          <w:rFonts w:ascii="Times New Roman" w:hAnsi="Times New Roman"/>
          <w:sz w:val="24"/>
          <w:szCs w:val="24"/>
          <w:lang w:val="sr-Cyrl-CS"/>
        </w:rPr>
      </w:pPr>
      <w:r>
        <w:rPr>
          <w:rFonts w:ascii="Times New Roman" w:hAnsi="Times New Roman"/>
          <w:sz w:val="24"/>
          <w:szCs w:val="24"/>
          <w:lang w:val="sr-Cyrl-CS"/>
        </w:rPr>
        <w:t>Уколико порески обвезници сматрају да опорезивање није праведно, да се порески терет не распоређује равномерно и сразмерно економској санази, да су поједине категорије неоправдано повлашћене постојећим режимом опрезивања, свака</w:t>
      </w:r>
      <w:r w:rsidR="00632914">
        <w:rPr>
          <w:rFonts w:ascii="Times New Roman" w:hAnsi="Times New Roman"/>
          <w:sz w:val="24"/>
          <w:szCs w:val="24"/>
          <w:lang w:val="sr-Cyrl-CS"/>
        </w:rPr>
        <w:t>к</w:t>
      </w:r>
      <w:r>
        <w:rPr>
          <w:rFonts w:ascii="Times New Roman" w:hAnsi="Times New Roman"/>
          <w:sz w:val="24"/>
          <w:szCs w:val="24"/>
          <w:lang w:val="sr-Cyrl-CS"/>
        </w:rPr>
        <w:t>о да ће њихов отпор бити већи.</w:t>
      </w:r>
    </w:p>
    <w:p w:rsidR="00FD73C7" w:rsidRDefault="00FD73C7" w:rsidP="00FD73C7">
      <w:pPr>
        <w:ind w:firstLine="360"/>
        <w:jc w:val="both"/>
        <w:rPr>
          <w:rFonts w:ascii="Times New Roman" w:hAnsi="Times New Roman"/>
          <w:sz w:val="24"/>
          <w:szCs w:val="24"/>
          <w:lang w:val="sr-Cyrl-CS"/>
        </w:rPr>
      </w:pPr>
      <w:r>
        <w:rPr>
          <w:rFonts w:ascii="Times New Roman" w:hAnsi="Times New Roman"/>
          <w:sz w:val="24"/>
          <w:szCs w:val="24"/>
          <w:lang w:val="sr-Cyrl-CS"/>
        </w:rPr>
        <w:t>-Однос пореских органа према пореским обвез</w:t>
      </w:r>
      <w:r w:rsidR="00632914">
        <w:rPr>
          <w:rFonts w:ascii="Times New Roman" w:hAnsi="Times New Roman"/>
          <w:sz w:val="24"/>
          <w:szCs w:val="24"/>
          <w:lang w:val="sr-Cyrl-CS"/>
        </w:rPr>
        <w:t>ницима и</w:t>
      </w:r>
      <w:r>
        <w:rPr>
          <w:rFonts w:ascii="Times New Roman" w:hAnsi="Times New Roman"/>
          <w:sz w:val="24"/>
          <w:szCs w:val="24"/>
          <w:lang w:val="sr-Cyrl-CS"/>
        </w:rPr>
        <w:t xml:space="preserve"> њихова ефикасност.</w:t>
      </w:r>
    </w:p>
    <w:p w:rsidR="00FD73C7" w:rsidRDefault="00FD73C7" w:rsidP="00FD73C7">
      <w:pPr>
        <w:ind w:firstLine="360"/>
        <w:jc w:val="both"/>
        <w:rPr>
          <w:rFonts w:ascii="Times New Roman" w:hAnsi="Times New Roman"/>
          <w:sz w:val="24"/>
          <w:szCs w:val="24"/>
          <w:lang w:val="sr-Cyrl-CS"/>
        </w:rPr>
      </w:pPr>
      <w:r>
        <w:rPr>
          <w:rFonts w:ascii="Times New Roman" w:hAnsi="Times New Roman"/>
          <w:sz w:val="24"/>
          <w:szCs w:val="24"/>
          <w:lang w:val="sr-Cyrl-CS"/>
        </w:rPr>
        <w:t>-Примењени поступак и техника опорезивања.</w:t>
      </w:r>
    </w:p>
    <w:p w:rsidR="00FD73C7" w:rsidRDefault="00FD73C7" w:rsidP="00FD73C7">
      <w:pPr>
        <w:ind w:firstLine="360"/>
        <w:jc w:val="both"/>
        <w:rPr>
          <w:rFonts w:ascii="Times New Roman" w:hAnsi="Times New Roman"/>
          <w:sz w:val="24"/>
          <w:szCs w:val="24"/>
          <w:lang w:val="sr-Cyrl-CS"/>
        </w:rPr>
      </w:pPr>
      <w:r>
        <w:rPr>
          <w:rFonts w:ascii="Times New Roman" w:hAnsi="Times New Roman"/>
          <w:sz w:val="24"/>
          <w:szCs w:val="24"/>
          <w:lang w:val="sr-Cyrl-CS"/>
        </w:rPr>
        <w:t>-Морал пореских обвезника</w:t>
      </w:r>
      <w:r w:rsidR="00632914">
        <w:rPr>
          <w:rFonts w:ascii="Times New Roman" w:hAnsi="Times New Roman"/>
          <w:sz w:val="24"/>
          <w:szCs w:val="24"/>
          <w:lang w:val="sr-Cyrl-CS"/>
        </w:rPr>
        <w:t>.</w:t>
      </w:r>
    </w:p>
    <w:p w:rsidR="00FD73C7" w:rsidRDefault="00FD73C7" w:rsidP="00FD73C7">
      <w:pPr>
        <w:ind w:firstLine="360"/>
        <w:jc w:val="both"/>
        <w:rPr>
          <w:rFonts w:ascii="Times New Roman" w:hAnsi="Times New Roman"/>
          <w:sz w:val="24"/>
          <w:szCs w:val="24"/>
          <w:lang w:val="sr-Cyrl-CS"/>
        </w:rPr>
      </w:pPr>
      <w:r>
        <w:rPr>
          <w:rFonts w:ascii="Times New Roman" w:hAnsi="Times New Roman"/>
          <w:sz w:val="24"/>
          <w:szCs w:val="24"/>
          <w:lang w:val="sr-Cyrl-CS"/>
        </w:rPr>
        <w:t>Порески морал представља спремност пореских обвезника да измири пореске обавезе. Порески морал зависи од</w:t>
      </w:r>
      <w:r w:rsidR="00D917DE">
        <w:rPr>
          <w:rFonts w:ascii="Times New Roman" w:hAnsi="Times New Roman"/>
          <w:sz w:val="24"/>
          <w:szCs w:val="24"/>
          <w:lang w:val="sr-Cyrl-CS"/>
        </w:rPr>
        <w:t xml:space="preserve"> више фактора и то пре свега од</w:t>
      </w:r>
      <w:r>
        <w:rPr>
          <w:rFonts w:ascii="Times New Roman" w:hAnsi="Times New Roman"/>
          <w:sz w:val="24"/>
          <w:szCs w:val="24"/>
          <w:lang w:val="sr-Cyrl-CS"/>
        </w:rPr>
        <w:t xml:space="preserve"> става према порезима, става према начину и сврси трошења пореских средстава, висини пореза, расподеле пореског терета, запрећених санкција, ефикасности пореских и других поступака и сл.</w:t>
      </w:r>
    </w:p>
    <w:p w:rsidR="00DF5177" w:rsidRDefault="00266484" w:rsidP="00E43A00">
      <w:pPr>
        <w:ind w:firstLine="360"/>
        <w:jc w:val="both"/>
        <w:rPr>
          <w:rFonts w:ascii="Times New Roman" w:hAnsi="Times New Roman"/>
          <w:sz w:val="24"/>
          <w:szCs w:val="24"/>
          <w:lang w:val="sr-Cyrl-CS"/>
        </w:rPr>
      </w:pPr>
      <w:r w:rsidRPr="00FD73C7">
        <w:rPr>
          <w:rFonts w:ascii="Times New Roman" w:hAnsi="Times New Roman"/>
          <w:sz w:val="24"/>
          <w:szCs w:val="24"/>
          <w:lang w:val="sr-Cyrl-CS"/>
        </w:rPr>
        <w:lastRenderedPageBreak/>
        <w:t>Историјски посматрано</w:t>
      </w:r>
      <w:r>
        <w:rPr>
          <w:rFonts w:ascii="Times New Roman" w:hAnsi="Times New Roman"/>
          <w:sz w:val="24"/>
          <w:szCs w:val="24"/>
          <w:lang w:val="sr-Cyrl-CS"/>
        </w:rPr>
        <w:t xml:space="preserve"> циљеви </w:t>
      </w:r>
      <w:r w:rsidR="002F535A">
        <w:rPr>
          <w:rFonts w:ascii="Times New Roman" w:hAnsi="Times New Roman"/>
          <w:sz w:val="24"/>
          <w:szCs w:val="24"/>
          <w:lang w:val="sr-Cyrl-CS"/>
        </w:rPr>
        <w:t xml:space="preserve">и начин </w:t>
      </w:r>
      <w:r>
        <w:rPr>
          <w:rFonts w:ascii="Times New Roman" w:hAnsi="Times New Roman"/>
          <w:sz w:val="24"/>
          <w:szCs w:val="24"/>
          <w:lang w:val="sr-Cyrl-CS"/>
        </w:rPr>
        <w:t xml:space="preserve">опорезивања су се мењали. </w:t>
      </w:r>
      <w:r w:rsidR="007E7DE2">
        <w:rPr>
          <w:rFonts w:ascii="Times New Roman" w:hAnsi="Times New Roman"/>
          <w:sz w:val="24"/>
          <w:szCs w:val="24"/>
          <w:lang w:val="sr-Cyrl-CS"/>
        </w:rPr>
        <w:t>Начини опоре</w:t>
      </w:r>
      <w:r w:rsidR="0093409B">
        <w:rPr>
          <w:rFonts w:ascii="Times New Roman" w:hAnsi="Times New Roman"/>
          <w:sz w:val="24"/>
          <w:szCs w:val="24"/>
          <w:lang w:val="sr-Cyrl-CS"/>
        </w:rPr>
        <w:t xml:space="preserve">зивања су условљени </w:t>
      </w:r>
      <w:r w:rsidR="002F535A">
        <w:rPr>
          <w:rFonts w:ascii="Times New Roman" w:hAnsi="Times New Roman"/>
          <w:sz w:val="24"/>
          <w:szCs w:val="24"/>
          <w:lang w:val="sr-Cyrl-CS"/>
        </w:rPr>
        <w:t xml:space="preserve"> </w:t>
      </w:r>
      <w:r w:rsidR="0093409B">
        <w:rPr>
          <w:rFonts w:ascii="Times New Roman" w:hAnsi="Times New Roman"/>
          <w:sz w:val="24"/>
          <w:szCs w:val="24"/>
          <w:lang w:val="sr-Cyrl-CS"/>
        </w:rPr>
        <w:t xml:space="preserve">степеном </w:t>
      </w:r>
      <w:r w:rsidR="002F535A">
        <w:rPr>
          <w:rFonts w:ascii="Times New Roman" w:hAnsi="Times New Roman"/>
          <w:sz w:val="24"/>
          <w:szCs w:val="24"/>
          <w:lang w:val="sr-Cyrl-CS"/>
        </w:rPr>
        <w:t>економског развоја, политичким уређењем, еконо</w:t>
      </w:r>
      <w:r w:rsidR="00FD73C7">
        <w:rPr>
          <w:rFonts w:ascii="Times New Roman" w:hAnsi="Times New Roman"/>
          <w:sz w:val="24"/>
          <w:szCs w:val="24"/>
          <w:lang w:val="sr-Cyrl-CS"/>
        </w:rPr>
        <w:t>м</w:t>
      </w:r>
      <w:r w:rsidR="002F535A">
        <w:rPr>
          <w:rFonts w:ascii="Times New Roman" w:hAnsi="Times New Roman"/>
          <w:sz w:val="24"/>
          <w:szCs w:val="24"/>
          <w:lang w:val="sr-Cyrl-CS"/>
        </w:rPr>
        <w:t xml:space="preserve">ским и политичким циљевима и слично. Међутим, увек се трагало за најповољнијим начином прикупљања јавних прихода, како би се сакупила довољна </w:t>
      </w:r>
      <w:r w:rsidR="0093409B">
        <w:rPr>
          <w:rFonts w:ascii="Times New Roman" w:hAnsi="Times New Roman"/>
          <w:sz w:val="24"/>
          <w:szCs w:val="24"/>
          <w:lang w:val="sr-Cyrl-CS"/>
        </w:rPr>
        <w:t xml:space="preserve">количина </w:t>
      </w:r>
      <w:r w:rsidR="002F535A">
        <w:rPr>
          <w:rFonts w:ascii="Times New Roman" w:hAnsi="Times New Roman"/>
          <w:sz w:val="24"/>
          <w:szCs w:val="24"/>
          <w:lang w:val="sr-Cyrl-CS"/>
        </w:rPr>
        <w:t>сре</w:t>
      </w:r>
      <w:r w:rsidR="0093409B">
        <w:rPr>
          <w:rFonts w:ascii="Times New Roman" w:hAnsi="Times New Roman"/>
          <w:sz w:val="24"/>
          <w:szCs w:val="24"/>
          <w:lang w:val="sr-Cyrl-CS"/>
        </w:rPr>
        <w:t>д</w:t>
      </w:r>
      <w:r w:rsidR="002F535A">
        <w:rPr>
          <w:rFonts w:ascii="Times New Roman" w:hAnsi="Times New Roman"/>
          <w:sz w:val="24"/>
          <w:szCs w:val="24"/>
          <w:lang w:val="sr-Cyrl-CS"/>
        </w:rPr>
        <w:t>ст</w:t>
      </w:r>
      <w:r w:rsidR="0093409B">
        <w:rPr>
          <w:rFonts w:ascii="Times New Roman" w:hAnsi="Times New Roman"/>
          <w:sz w:val="24"/>
          <w:szCs w:val="24"/>
          <w:lang w:val="sr-Cyrl-CS"/>
        </w:rPr>
        <w:t>а</w:t>
      </w:r>
      <w:r w:rsidR="002F535A">
        <w:rPr>
          <w:rFonts w:ascii="Times New Roman" w:hAnsi="Times New Roman"/>
          <w:sz w:val="24"/>
          <w:szCs w:val="24"/>
          <w:lang w:val="sr-Cyrl-CS"/>
        </w:rPr>
        <w:t>ва</w:t>
      </w:r>
      <w:r w:rsidR="004A4F34">
        <w:rPr>
          <w:rFonts w:ascii="Times New Roman" w:hAnsi="Times New Roman"/>
          <w:sz w:val="24"/>
          <w:szCs w:val="24"/>
          <w:lang w:val="sr-Cyrl-CS"/>
        </w:rPr>
        <w:t xml:space="preserve"> за задовољавање општекорисних друштвених</w:t>
      </w:r>
      <w:r w:rsidR="002F535A">
        <w:rPr>
          <w:rFonts w:ascii="Times New Roman" w:hAnsi="Times New Roman"/>
          <w:sz w:val="24"/>
          <w:szCs w:val="24"/>
          <w:lang w:val="sr-Cyrl-CS"/>
        </w:rPr>
        <w:t xml:space="preserve"> потреба, односно како би се финансирали јавни расходи предвиђени буџетом. </w:t>
      </w:r>
    </w:p>
    <w:p w:rsidR="00266484" w:rsidRDefault="00EC0229" w:rsidP="00E43A00">
      <w:pPr>
        <w:ind w:firstLine="360"/>
        <w:jc w:val="both"/>
        <w:rPr>
          <w:rFonts w:ascii="Times New Roman" w:hAnsi="Times New Roman"/>
          <w:sz w:val="24"/>
          <w:szCs w:val="24"/>
          <w:lang w:val="sr-Cyrl-CS"/>
        </w:rPr>
      </w:pPr>
      <w:r>
        <w:rPr>
          <w:rFonts w:ascii="Times New Roman" w:hAnsi="Times New Roman"/>
          <w:sz w:val="24"/>
          <w:szCs w:val="24"/>
          <w:lang w:val="sr-Cyrl-CS"/>
        </w:rPr>
        <w:t>Најпре је примарни циљ био фискалан д</w:t>
      </w:r>
      <w:r w:rsidR="00266484">
        <w:rPr>
          <w:rFonts w:ascii="Times New Roman" w:hAnsi="Times New Roman"/>
          <w:sz w:val="24"/>
          <w:szCs w:val="24"/>
          <w:lang w:val="sr-Cyrl-CS"/>
        </w:rPr>
        <w:t xml:space="preserve">о двадесетог века, односно да се обезбеде средства за финансирање јавних потреба. </w:t>
      </w:r>
      <w:r>
        <w:rPr>
          <w:rFonts w:ascii="Times New Roman" w:hAnsi="Times New Roman"/>
          <w:sz w:val="24"/>
          <w:szCs w:val="24"/>
          <w:lang w:val="sr-Cyrl-CS"/>
        </w:rPr>
        <w:t xml:space="preserve">Међутим, савременим државама су потребна све већа средства за финсирање њихових проширених јавних функција </w:t>
      </w:r>
      <w:r w:rsidR="00266484">
        <w:rPr>
          <w:rFonts w:ascii="Times New Roman" w:hAnsi="Times New Roman"/>
          <w:sz w:val="24"/>
          <w:szCs w:val="24"/>
          <w:lang w:val="sr-Cyrl-CS"/>
        </w:rPr>
        <w:t xml:space="preserve"> </w:t>
      </w:r>
      <w:r>
        <w:rPr>
          <w:rFonts w:ascii="Times New Roman" w:hAnsi="Times New Roman"/>
          <w:sz w:val="24"/>
          <w:szCs w:val="24"/>
          <w:lang w:val="sr-Cyrl-CS"/>
        </w:rPr>
        <w:t>па су и циљеви опорезивања</w:t>
      </w:r>
      <w:r w:rsidR="00266484">
        <w:rPr>
          <w:rFonts w:ascii="Times New Roman" w:hAnsi="Times New Roman"/>
          <w:sz w:val="24"/>
          <w:szCs w:val="24"/>
          <w:lang w:val="sr-Cyrl-CS"/>
        </w:rPr>
        <w:t xml:space="preserve"> </w:t>
      </w:r>
      <w:r>
        <w:rPr>
          <w:rFonts w:ascii="Times New Roman" w:hAnsi="Times New Roman"/>
          <w:sz w:val="24"/>
          <w:szCs w:val="24"/>
          <w:lang w:val="sr-Cyrl-CS"/>
        </w:rPr>
        <w:t>превазишли</w:t>
      </w:r>
      <w:r w:rsidR="00266484">
        <w:rPr>
          <w:rFonts w:ascii="Times New Roman" w:hAnsi="Times New Roman"/>
          <w:sz w:val="24"/>
          <w:szCs w:val="24"/>
          <w:lang w:val="sr-Cyrl-CS"/>
        </w:rPr>
        <w:t xml:space="preserve"> своју фискалну природу и опорезивањем се остварују циљеви у области економске и социјалне политке, заштите животне средине, културе, спорта и слично. </w:t>
      </w:r>
      <w:r>
        <w:rPr>
          <w:rFonts w:ascii="Times New Roman" w:hAnsi="Times New Roman"/>
          <w:sz w:val="24"/>
          <w:szCs w:val="24"/>
          <w:lang w:val="sr-Cyrl-CS"/>
        </w:rPr>
        <w:t>Државе давањем подршке преко пореских подстицаја,</w:t>
      </w:r>
      <w:r w:rsidR="00266484">
        <w:rPr>
          <w:rFonts w:ascii="Times New Roman" w:hAnsi="Times New Roman"/>
          <w:sz w:val="24"/>
          <w:szCs w:val="24"/>
          <w:lang w:val="sr-Cyrl-CS"/>
        </w:rPr>
        <w:t xml:space="preserve"> </w:t>
      </w:r>
      <w:r>
        <w:rPr>
          <w:rFonts w:ascii="Times New Roman" w:hAnsi="Times New Roman"/>
          <w:sz w:val="24"/>
          <w:szCs w:val="24"/>
          <w:lang w:val="sr-Cyrl-CS"/>
        </w:rPr>
        <w:t xml:space="preserve">које </w:t>
      </w:r>
      <w:r w:rsidR="00266484">
        <w:rPr>
          <w:rFonts w:ascii="Times New Roman" w:hAnsi="Times New Roman"/>
          <w:sz w:val="24"/>
          <w:szCs w:val="24"/>
          <w:lang w:val="sr-Cyrl-CS"/>
        </w:rPr>
        <w:t>пружају одређеним привредним гранама или појединим неразвијеним подручјима, пореским стимулисањ</w:t>
      </w:r>
      <w:r w:rsidR="00FD73C7">
        <w:rPr>
          <w:rFonts w:ascii="Times New Roman" w:hAnsi="Times New Roman"/>
          <w:sz w:val="24"/>
          <w:szCs w:val="24"/>
          <w:lang w:val="sr-Cyrl-CS"/>
        </w:rPr>
        <w:t xml:space="preserve">ем страних улагања, </w:t>
      </w:r>
      <w:r>
        <w:rPr>
          <w:rFonts w:ascii="Times New Roman" w:hAnsi="Times New Roman"/>
          <w:sz w:val="24"/>
          <w:szCs w:val="24"/>
          <w:lang w:val="sr-Cyrl-CS"/>
        </w:rPr>
        <w:t>остварују микроекономске циљеве</w:t>
      </w:r>
      <w:r w:rsidR="00266484">
        <w:rPr>
          <w:rFonts w:ascii="Times New Roman" w:hAnsi="Times New Roman"/>
          <w:sz w:val="24"/>
          <w:szCs w:val="24"/>
          <w:lang w:val="sr-Cyrl-CS"/>
        </w:rPr>
        <w:t>, а деловањем</w:t>
      </w:r>
      <w:r w:rsidR="00E43A00">
        <w:rPr>
          <w:rFonts w:ascii="Times New Roman" w:hAnsi="Times New Roman"/>
          <w:sz w:val="24"/>
          <w:szCs w:val="24"/>
          <w:lang w:val="sr-Cyrl-CS"/>
        </w:rPr>
        <w:t xml:space="preserve"> на стабилност</w:t>
      </w:r>
      <w:r w:rsidR="00266484">
        <w:rPr>
          <w:rFonts w:ascii="Times New Roman" w:hAnsi="Times New Roman"/>
          <w:sz w:val="24"/>
          <w:szCs w:val="24"/>
          <w:lang w:val="sr-Cyrl-CS"/>
        </w:rPr>
        <w:t xml:space="preserve"> цена, пуну запосленост и уравнотежење платног биланса остварују </w:t>
      </w:r>
      <w:r w:rsidR="00FD73C7">
        <w:rPr>
          <w:rFonts w:ascii="Times New Roman" w:hAnsi="Times New Roman"/>
          <w:sz w:val="24"/>
          <w:szCs w:val="24"/>
          <w:lang w:val="sr-Cyrl-CS"/>
        </w:rPr>
        <w:t xml:space="preserve">се </w:t>
      </w:r>
      <w:r w:rsidR="00266484">
        <w:rPr>
          <w:rFonts w:ascii="Times New Roman" w:hAnsi="Times New Roman"/>
          <w:sz w:val="24"/>
          <w:szCs w:val="24"/>
          <w:lang w:val="sr-Cyrl-CS"/>
        </w:rPr>
        <w:t>и макроекономски циљеви опорезивања.</w:t>
      </w:r>
      <w:r w:rsidR="00266484">
        <w:rPr>
          <w:rStyle w:val="FootnoteReference"/>
          <w:rFonts w:ascii="Times New Roman" w:hAnsi="Times New Roman"/>
          <w:sz w:val="24"/>
          <w:szCs w:val="24"/>
          <w:lang w:val="sr-Cyrl-CS"/>
        </w:rPr>
        <w:footnoteReference w:id="61"/>
      </w:r>
    </w:p>
    <w:p w:rsidR="00DF5177" w:rsidRDefault="00DF5177" w:rsidP="00E43A00">
      <w:pPr>
        <w:ind w:firstLine="360"/>
        <w:jc w:val="both"/>
        <w:rPr>
          <w:rFonts w:ascii="Times New Roman" w:hAnsi="Times New Roman"/>
          <w:sz w:val="24"/>
          <w:szCs w:val="24"/>
          <w:lang w:val="sr-Cyrl-CS"/>
        </w:rPr>
      </w:pPr>
      <w:r>
        <w:rPr>
          <w:rFonts w:ascii="Times New Roman" w:hAnsi="Times New Roman"/>
          <w:sz w:val="24"/>
          <w:szCs w:val="24"/>
          <w:lang w:val="sr-Cyrl-CS"/>
        </w:rPr>
        <w:t xml:space="preserve">Порези су постали значајан фактор у прерасподели националног дохотка и у вођењу економске и социјалне политике. Порези постају снажно средство којим се делује на </w:t>
      </w:r>
      <w:r w:rsidR="001E79F3">
        <w:rPr>
          <w:rFonts w:ascii="Times New Roman" w:hAnsi="Times New Roman"/>
          <w:sz w:val="24"/>
          <w:szCs w:val="24"/>
          <w:lang w:val="sr-Cyrl-CS"/>
        </w:rPr>
        <w:t xml:space="preserve">низ привредних агрегата као што су: </w:t>
      </w:r>
      <w:r>
        <w:rPr>
          <w:rFonts w:ascii="Times New Roman" w:hAnsi="Times New Roman"/>
          <w:sz w:val="24"/>
          <w:szCs w:val="24"/>
          <w:lang w:val="sr-Cyrl-CS"/>
        </w:rPr>
        <w:t>процес производње, расподеле, потрошње, инвестиција</w:t>
      </w:r>
      <w:r w:rsidR="002B3B0B">
        <w:rPr>
          <w:rFonts w:ascii="Times New Roman" w:hAnsi="Times New Roman"/>
          <w:sz w:val="24"/>
          <w:szCs w:val="24"/>
          <w:lang w:val="sr-Cyrl-CS"/>
        </w:rPr>
        <w:t>, демографске факторе, извоз-увоз</w:t>
      </w:r>
      <w:r w:rsidR="001E79F3">
        <w:rPr>
          <w:rFonts w:ascii="Times New Roman" w:hAnsi="Times New Roman"/>
          <w:sz w:val="24"/>
          <w:szCs w:val="24"/>
          <w:lang w:val="sr-Cyrl-CS"/>
        </w:rPr>
        <w:t>.</w:t>
      </w:r>
      <w:r w:rsidR="002B3B0B">
        <w:rPr>
          <w:rFonts w:ascii="Times New Roman" w:hAnsi="Times New Roman"/>
          <w:sz w:val="24"/>
          <w:szCs w:val="24"/>
          <w:lang w:val="sr-Cyrl-CS"/>
        </w:rPr>
        <w:t xml:space="preserve"> </w:t>
      </w:r>
      <w:r w:rsidR="001E79F3">
        <w:rPr>
          <w:rFonts w:ascii="Times New Roman" w:hAnsi="Times New Roman"/>
          <w:sz w:val="24"/>
          <w:szCs w:val="24"/>
          <w:lang w:val="sr-Cyrl-CS"/>
        </w:rPr>
        <w:t>Пошто делује на сужавање новчане тражње на тржишту и на успостављање робно новчане равнотеже п</w:t>
      </w:r>
      <w:r w:rsidR="002B3B0B">
        <w:rPr>
          <w:rFonts w:ascii="Times New Roman" w:hAnsi="Times New Roman"/>
          <w:sz w:val="24"/>
          <w:szCs w:val="24"/>
          <w:lang w:val="sr-Cyrl-CS"/>
        </w:rPr>
        <w:t xml:space="preserve">орез као инструмент фискалне политике постаје један од основних средстава стабилизационе политике, посебно усмерене </w:t>
      </w:r>
      <w:r w:rsidR="001E79F3">
        <w:rPr>
          <w:rFonts w:ascii="Times New Roman" w:hAnsi="Times New Roman"/>
          <w:sz w:val="24"/>
          <w:szCs w:val="24"/>
          <w:lang w:val="sr-Cyrl-CS"/>
        </w:rPr>
        <w:t>у правцу борбе против инфлације</w:t>
      </w:r>
      <w:r w:rsidR="002B3B0B">
        <w:rPr>
          <w:rFonts w:ascii="Times New Roman" w:hAnsi="Times New Roman"/>
          <w:sz w:val="24"/>
          <w:szCs w:val="24"/>
          <w:lang w:val="sr-Cyrl-CS"/>
        </w:rPr>
        <w:t>.</w:t>
      </w:r>
      <w:r w:rsidR="002B3B0B">
        <w:rPr>
          <w:rStyle w:val="FootnoteReference"/>
          <w:rFonts w:ascii="Times New Roman" w:hAnsi="Times New Roman"/>
          <w:sz w:val="24"/>
          <w:szCs w:val="24"/>
          <w:lang w:val="sr-Cyrl-CS"/>
        </w:rPr>
        <w:footnoteReference w:id="62"/>
      </w:r>
      <w:r w:rsidR="000E4D3B">
        <w:rPr>
          <w:rFonts w:ascii="Times New Roman" w:hAnsi="Times New Roman"/>
          <w:sz w:val="24"/>
          <w:szCs w:val="24"/>
          <w:lang w:val="sr-Cyrl-CS"/>
        </w:rPr>
        <w:t xml:space="preserve"> </w:t>
      </w:r>
    </w:p>
    <w:p w:rsidR="006F0338" w:rsidRDefault="00FD73C7" w:rsidP="00632914">
      <w:pPr>
        <w:ind w:firstLine="360"/>
        <w:jc w:val="both"/>
        <w:rPr>
          <w:rFonts w:ascii="Times New Roman" w:hAnsi="Times New Roman"/>
          <w:sz w:val="24"/>
          <w:szCs w:val="24"/>
          <w:lang w:val="sr-Cyrl-CS"/>
        </w:rPr>
      </w:pPr>
      <w:r>
        <w:rPr>
          <w:rFonts w:ascii="Times New Roman" w:hAnsi="Times New Roman"/>
          <w:sz w:val="24"/>
          <w:szCs w:val="24"/>
          <w:lang w:val="sr-Cyrl-CS"/>
        </w:rPr>
        <w:t xml:space="preserve">Циљеви опорезивања најуже су повезани са улогом државе. Порезима се могу остваривати и различити економско-политички циљеви. </w:t>
      </w:r>
      <w:r w:rsidR="00692384">
        <w:rPr>
          <w:rFonts w:ascii="Times New Roman" w:hAnsi="Times New Roman"/>
          <w:sz w:val="24"/>
          <w:szCs w:val="24"/>
          <w:lang w:val="sr-Cyrl-CS"/>
        </w:rPr>
        <w:t xml:space="preserve">Како је пореска политика део опште економске политике, то су циљеви пореске политике истовремено и циљеви опште економске политике. Променом пореске политике може се на различите начине утицати на привреду и становништво. </w:t>
      </w:r>
      <w:r w:rsidR="00ED53DE" w:rsidRPr="00ED53DE">
        <w:rPr>
          <w:rFonts w:ascii="Times New Roman" w:hAnsi="Times New Roman"/>
          <w:sz w:val="24"/>
          <w:szCs w:val="24"/>
          <w:lang w:val="sr-Cyrl-CS"/>
        </w:rPr>
        <w:t xml:space="preserve">На </w:t>
      </w:r>
      <w:r w:rsidR="00ED53DE">
        <w:rPr>
          <w:rFonts w:ascii="Times New Roman" w:hAnsi="Times New Roman"/>
          <w:sz w:val="24"/>
          <w:szCs w:val="24"/>
          <w:lang w:val="sr-Cyrl-CS"/>
        </w:rPr>
        <w:t xml:space="preserve">питање који су циљеви </w:t>
      </w:r>
      <w:r>
        <w:rPr>
          <w:rFonts w:ascii="Times New Roman" w:hAnsi="Times New Roman"/>
          <w:sz w:val="24"/>
          <w:szCs w:val="24"/>
          <w:lang w:val="sr-Cyrl-CS"/>
        </w:rPr>
        <w:t>опорезивања</w:t>
      </w:r>
      <w:r w:rsidR="00ED53DE">
        <w:rPr>
          <w:rFonts w:ascii="Times New Roman" w:hAnsi="Times New Roman"/>
          <w:sz w:val="24"/>
          <w:szCs w:val="24"/>
          <w:lang w:val="sr-Cyrl-CS"/>
        </w:rPr>
        <w:t xml:space="preserve"> давани су различити одговори у зависности од времена и аспекта </w:t>
      </w:r>
      <w:r>
        <w:rPr>
          <w:rFonts w:ascii="Times New Roman" w:hAnsi="Times New Roman"/>
          <w:sz w:val="24"/>
          <w:szCs w:val="24"/>
          <w:lang w:val="sr-Cyrl-CS"/>
        </w:rPr>
        <w:t xml:space="preserve">посматрања, али општа </w:t>
      </w:r>
      <w:r w:rsidR="00683907">
        <w:rPr>
          <w:rFonts w:ascii="Times New Roman" w:hAnsi="Times New Roman"/>
          <w:sz w:val="24"/>
          <w:szCs w:val="24"/>
          <w:lang w:val="sr-Cyrl-CS"/>
        </w:rPr>
        <w:t xml:space="preserve"> </w:t>
      </w:r>
      <w:r>
        <w:rPr>
          <w:rFonts w:ascii="Times New Roman" w:hAnsi="Times New Roman"/>
          <w:sz w:val="24"/>
          <w:szCs w:val="24"/>
          <w:lang w:val="sr-Cyrl-CS"/>
        </w:rPr>
        <w:t>подела циљева</w:t>
      </w:r>
      <w:r w:rsidR="006F0338">
        <w:rPr>
          <w:rFonts w:ascii="Times New Roman" w:hAnsi="Times New Roman"/>
          <w:sz w:val="24"/>
          <w:szCs w:val="24"/>
          <w:lang w:val="sr-Cyrl-CS"/>
        </w:rPr>
        <w:t xml:space="preserve"> опорезивања </w:t>
      </w:r>
      <w:r>
        <w:rPr>
          <w:rFonts w:ascii="Times New Roman" w:hAnsi="Times New Roman"/>
          <w:sz w:val="24"/>
          <w:szCs w:val="24"/>
          <w:lang w:val="sr-Cyrl-CS"/>
        </w:rPr>
        <w:t>је</w:t>
      </w:r>
      <w:r w:rsidR="006F0338">
        <w:rPr>
          <w:rFonts w:ascii="Times New Roman" w:hAnsi="Times New Roman"/>
          <w:sz w:val="24"/>
          <w:szCs w:val="24"/>
          <w:lang w:val="sr-Cyrl-CS"/>
        </w:rPr>
        <w:t xml:space="preserve"> на:</w:t>
      </w:r>
      <w:r>
        <w:rPr>
          <w:rFonts w:ascii="Times New Roman" w:hAnsi="Times New Roman"/>
          <w:sz w:val="24"/>
          <w:szCs w:val="24"/>
          <w:lang w:val="sr-Cyrl-CS"/>
        </w:rPr>
        <w:t xml:space="preserve"> </w:t>
      </w:r>
      <w:r w:rsidR="006F0338">
        <w:rPr>
          <w:rFonts w:ascii="Times New Roman" w:hAnsi="Times New Roman"/>
          <w:sz w:val="24"/>
          <w:szCs w:val="24"/>
          <w:lang w:val="sr-Cyrl-CS"/>
        </w:rPr>
        <w:t>фискални (основни) циљ</w:t>
      </w:r>
      <w:r w:rsidR="00632914">
        <w:rPr>
          <w:rFonts w:ascii="Times New Roman" w:hAnsi="Times New Roman"/>
          <w:sz w:val="24"/>
          <w:szCs w:val="24"/>
          <w:lang w:val="sr-Cyrl-CS"/>
        </w:rPr>
        <w:t xml:space="preserve"> и </w:t>
      </w:r>
      <w:r w:rsidR="006F0338">
        <w:rPr>
          <w:rFonts w:ascii="Times New Roman" w:hAnsi="Times New Roman"/>
          <w:sz w:val="24"/>
          <w:szCs w:val="24"/>
          <w:lang w:val="sr-Cyrl-CS"/>
        </w:rPr>
        <w:t>ванфискалне циљеве</w:t>
      </w:r>
      <w:r w:rsidR="00632914">
        <w:rPr>
          <w:rFonts w:ascii="Times New Roman" w:hAnsi="Times New Roman"/>
          <w:sz w:val="24"/>
          <w:szCs w:val="24"/>
          <w:lang w:val="sr-Cyrl-CS"/>
        </w:rPr>
        <w:t>.</w:t>
      </w:r>
    </w:p>
    <w:p w:rsidR="006F0338" w:rsidRDefault="00A301FD" w:rsidP="00A301FD">
      <w:pPr>
        <w:ind w:firstLine="360"/>
        <w:jc w:val="both"/>
        <w:rPr>
          <w:rFonts w:ascii="Times New Roman" w:hAnsi="Times New Roman"/>
          <w:sz w:val="24"/>
          <w:szCs w:val="24"/>
          <w:lang w:val="sr-Cyrl-CS"/>
        </w:rPr>
      </w:pPr>
      <w:r>
        <w:rPr>
          <w:rFonts w:ascii="Times New Roman" w:hAnsi="Times New Roman"/>
          <w:sz w:val="24"/>
          <w:szCs w:val="24"/>
          <w:lang w:val="sr-Cyrl-CS"/>
        </w:rPr>
        <w:t>Основни фиск</w:t>
      </w:r>
      <w:r w:rsidR="006F0338">
        <w:rPr>
          <w:rFonts w:ascii="Times New Roman" w:hAnsi="Times New Roman"/>
          <w:sz w:val="24"/>
          <w:szCs w:val="24"/>
          <w:lang w:val="sr-Cyrl-CS"/>
        </w:rPr>
        <w:t>ални циљ порези су имали у старом и средњем веку. Међутим, са развојем капитализма порези се користе и за друге нефискалне циљеве. У пер</w:t>
      </w:r>
      <w:r>
        <w:rPr>
          <w:rFonts w:ascii="Times New Roman" w:hAnsi="Times New Roman"/>
          <w:sz w:val="24"/>
          <w:szCs w:val="24"/>
          <w:lang w:val="sr-Cyrl-CS"/>
        </w:rPr>
        <w:t>и</w:t>
      </w:r>
      <w:r w:rsidR="006F0338">
        <w:rPr>
          <w:rFonts w:ascii="Times New Roman" w:hAnsi="Times New Roman"/>
          <w:sz w:val="24"/>
          <w:szCs w:val="24"/>
          <w:lang w:val="sr-Cyrl-CS"/>
        </w:rPr>
        <w:t>оду капитализма  разликују се три фазе у развоју циљева опорезивања и то:</w:t>
      </w:r>
      <w:r>
        <w:rPr>
          <w:rFonts w:ascii="Times New Roman" w:hAnsi="Times New Roman"/>
          <w:sz w:val="24"/>
          <w:szCs w:val="24"/>
          <w:lang w:val="sr-Cyrl-CS"/>
        </w:rPr>
        <w:t xml:space="preserve"> </w:t>
      </w:r>
      <w:r w:rsidR="006F0338">
        <w:rPr>
          <w:rFonts w:ascii="Times New Roman" w:hAnsi="Times New Roman"/>
          <w:sz w:val="24"/>
          <w:szCs w:val="24"/>
          <w:lang w:val="sr-Cyrl-CS"/>
        </w:rPr>
        <w:t>меркантилистички период,</w:t>
      </w:r>
      <w:r>
        <w:rPr>
          <w:rFonts w:ascii="Times New Roman" w:hAnsi="Times New Roman"/>
          <w:sz w:val="24"/>
          <w:szCs w:val="24"/>
          <w:lang w:val="sr-Cyrl-CS"/>
        </w:rPr>
        <w:t xml:space="preserve"> </w:t>
      </w:r>
      <w:r w:rsidR="006F0338">
        <w:rPr>
          <w:rFonts w:ascii="Times New Roman" w:hAnsi="Times New Roman"/>
          <w:sz w:val="24"/>
          <w:szCs w:val="24"/>
          <w:lang w:val="sr-Cyrl-CS"/>
        </w:rPr>
        <w:t>либералистички период и</w:t>
      </w:r>
      <w:r>
        <w:rPr>
          <w:rFonts w:ascii="Times New Roman" w:hAnsi="Times New Roman"/>
          <w:sz w:val="24"/>
          <w:szCs w:val="24"/>
          <w:lang w:val="sr-Cyrl-CS"/>
        </w:rPr>
        <w:t xml:space="preserve"> </w:t>
      </w:r>
      <w:r w:rsidR="006F0338">
        <w:rPr>
          <w:rFonts w:ascii="Times New Roman" w:hAnsi="Times New Roman"/>
          <w:sz w:val="24"/>
          <w:szCs w:val="24"/>
          <w:lang w:val="sr-Cyrl-CS"/>
        </w:rPr>
        <w:t>империјалистички период.</w:t>
      </w:r>
    </w:p>
    <w:p w:rsidR="00B8555A" w:rsidRDefault="00B8555A" w:rsidP="00B8555A">
      <w:pPr>
        <w:ind w:firstLine="360"/>
        <w:jc w:val="both"/>
        <w:rPr>
          <w:rFonts w:ascii="Times New Roman" w:hAnsi="Times New Roman"/>
          <w:sz w:val="24"/>
          <w:szCs w:val="24"/>
          <w:lang w:val="sr-Cyrl-CS"/>
        </w:rPr>
      </w:pPr>
      <w:r>
        <w:rPr>
          <w:rFonts w:ascii="Times New Roman" w:hAnsi="Times New Roman"/>
          <w:sz w:val="24"/>
          <w:szCs w:val="24"/>
          <w:lang w:val="sr-Cyrl-CS"/>
        </w:rPr>
        <w:t xml:space="preserve">У </w:t>
      </w:r>
      <w:r w:rsidR="001A1CFD">
        <w:rPr>
          <w:rFonts w:ascii="Times New Roman" w:hAnsi="Times New Roman"/>
          <w:sz w:val="24"/>
          <w:szCs w:val="24"/>
          <w:lang w:val="sr-Cyrl-CS"/>
        </w:rPr>
        <w:t>меркантилистичком</w:t>
      </w:r>
      <w:r>
        <w:rPr>
          <w:rFonts w:ascii="Times New Roman" w:hAnsi="Times New Roman"/>
          <w:sz w:val="24"/>
          <w:szCs w:val="24"/>
          <w:lang w:val="sr-Cyrl-CS"/>
        </w:rPr>
        <w:t xml:space="preserve"> периоду долазе до изражаја ванфискални циљеви опорезивања, посебно у виду високих царина приликом увоза робе, те је на тај начин заштићена домаћа производња и одлив новца у иностранство. </w:t>
      </w:r>
    </w:p>
    <w:p w:rsidR="00B8555A" w:rsidRDefault="00B8555A" w:rsidP="00B8555A">
      <w:pPr>
        <w:ind w:firstLine="360"/>
        <w:jc w:val="both"/>
        <w:rPr>
          <w:rFonts w:ascii="Times New Roman" w:hAnsi="Times New Roman"/>
          <w:sz w:val="24"/>
          <w:szCs w:val="24"/>
          <w:lang w:val="sr-Cyrl-CS"/>
        </w:rPr>
      </w:pPr>
      <w:r>
        <w:rPr>
          <w:rFonts w:ascii="Times New Roman" w:hAnsi="Times New Roman"/>
          <w:sz w:val="24"/>
          <w:szCs w:val="24"/>
          <w:lang w:val="sr-Cyrl-CS"/>
        </w:rPr>
        <w:lastRenderedPageBreak/>
        <w:t>Међутим, у либералистичком пер</w:t>
      </w:r>
      <w:r w:rsidR="00A301FD">
        <w:rPr>
          <w:rFonts w:ascii="Times New Roman" w:hAnsi="Times New Roman"/>
          <w:sz w:val="24"/>
          <w:szCs w:val="24"/>
          <w:lang w:val="sr-Cyrl-CS"/>
        </w:rPr>
        <w:t>и</w:t>
      </w:r>
      <w:r>
        <w:rPr>
          <w:rFonts w:ascii="Times New Roman" w:hAnsi="Times New Roman"/>
          <w:sz w:val="24"/>
          <w:szCs w:val="24"/>
          <w:lang w:val="sr-Cyrl-CS"/>
        </w:rPr>
        <w:t>оду долази до промене у посматрању циљева пореза. Припадници економског либерализма су заступали тезу неутралних пореза и либералистичке улоге државе у привреди и друштву, за разлику од гледишта савремених економских и социјалних теоретичара о потреби државног интерве</w:t>
      </w:r>
      <w:r w:rsidR="005B343B">
        <w:rPr>
          <w:rFonts w:ascii="Times New Roman" w:hAnsi="Times New Roman"/>
          <w:sz w:val="24"/>
          <w:szCs w:val="24"/>
          <w:lang w:val="sr-Cyrl-CS"/>
        </w:rPr>
        <w:t>нционизма</w:t>
      </w:r>
      <w:r>
        <w:rPr>
          <w:rFonts w:ascii="Times New Roman" w:hAnsi="Times New Roman"/>
          <w:sz w:val="24"/>
          <w:szCs w:val="24"/>
          <w:lang w:val="sr-Cyrl-CS"/>
        </w:rPr>
        <w:t>. Улога државе у либералном капитализму била је ограничена само на одбрану граница и унутрашњу стабилност, па су и циљеви опорезивања били искључиво фискални. Порези нису смели ограничавати приватно власни</w:t>
      </w:r>
      <w:r w:rsidR="001A1CFD">
        <w:rPr>
          <w:rFonts w:ascii="Times New Roman" w:hAnsi="Times New Roman"/>
          <w:sz w:val="24"/>
          <w:szCs w:val="24"/>
          <w:lang w:val="sr-Cyrl-CS"/>
        </w:rPr>
        <w:t>штво и мењати с</w:t>
      </w:r>
      <w:r w:rsidR="007F6BE2">
        <w:rPr>
          <w:rFonts w:ascii="Times New Roman" w:hAnsi="Times New Roman"/>
          <w:sz w:val="24"/>
          <w:szCs w:val="24"/>
          <w:lang w:val="sr-Cyrl-CS"/>
        </w:rPr>
        <w:t xml:space="preserve">тање у привреди. </w:t>
      </w:r>
      <w:r>
        <w:rPr>
          <w:rFonts w:ascii="Times New Roman" w:hAnsi="Times New Roman"/>
          <w:sz w:val="24"/>
          <w:szCs w:val="24"/>
          <w:lang w:val="sr-Cyrl-CS"/>
        </w:rPr>
        <w:t>Порез</w:t>
      </w:r>
      <w:r w:rsidR="00E72562">
        <w:rPr>
          <w:rFonts w:ascii="Times New Roman" w:hAnsi="Times New Roman"/>
          <w:sz w:val="24"/>
          <w:szCs w:val="24"/>
          <w:lang w:val="sr-Cyrl-CS"/>
        </w:rPr>
        <w:t>и су требали бити мали, како</w:t>
      </w:r>
      <w:r>
        <w:rPr>
          <w:rFonts w:ascii="Times New Roman" w:hAnsi="Times New Roman"/>
          <w:sz w:val="24"/>
          <w:szCs w:val="24"/>
          <w:lang w:val="sr-Cyrl-CS"/>
        </w:rPr>
        <w:t xml:space="preserve"> би се што мање вршио притисак на пореске обвезнике и циљ по</w:t>
      </w:r>
      <w:r w:rsidR="007F6BE2">
        <w:rPr>
          <w:rFonts w:ascii="Times New Roman" w:hAnsi="Times New Roman"/>
          <w:sz w:val="24"/>
          <w:szCs w:val="24"/>
          <w:lang w:val="sr-Cyrl-CS"/>
        </w:rPr>
        <w:t>ре</w:t>
      </w:r>
      <w:r w:rsidR="00A301FD">
        <w:rPr>
          <w:rFonts w:ascii="Times New Roman" w:hAnsi="Times New Roman"/>
          <w:sz w:val="24"/>
          <w:szCs w:val="24"/>
          <w:lang w:val="sr-Cyrl-CS"/>
        </w:rPr>
        <w:t>за се сводио само на  финасирање</w:t>
      </w:r>
      <w:r w:rsidR="007F6BE2">
        <w:rPr>
          <w:rFonts w:ascii="Times New Roman" w:hAnsi="Times New Roman"/>
          <w:sz w:val="24"/>
          <w:szCs w:val="24"/>
          <w:lang w:val="sr-Cyrl-CS"/>
        </w:rPr>
        <w:t xml:space="preserve"> функција државе, али и стварање једнакости свих пореских обвезника.</w:t>
      </w:r>
    </w:p>
    <w:p w:rsidR="0001726A" w:rsidRDefault="00057219" w:rsidP="00E43A00">
      <w:pPr>
        <w:ind w:firstLine="360"/>
        <w:jc w:val="both"/>
        <w:rPr>
          <w:rFonts w:ascii="Times New Roman" w:hAnsi="Times New Roman"/>
          <w:sz w:val="24"/>
          <w:szCs w:val="24"/>
          <w:lang w:val="sr-Cyrl-CS"/>
        </w:rPr>
      </w:pPr>
      <w:r>
        <w:rPr>
          <w:rFonts w:ascii="Times New Roman" w:hAnsi="Times New Roman"/>
          <w:sz w:val="24"/>
          <w:szCs w:val="24"/>
          <w:lang w:val="sr-Cyrl-CS"/>
        </w:rPr>
        <w:t>З</w:t>
      </w:r>
      <w:r w:rsidR="00324F9C">
        <w:rPr>
          <w:rFonts w:ascii="Times New Roman" w:hAnsi="Times New Roman"/>
          <w:sz w:val="24"/>
          <w:szCs w:val="24"/>
          <w:lang w:val="sr-Cyrl-CS"/>
        </w:rPr>
        <w:t>бог различитих ефек</w:t>
      </w:r>
      <w:r w:rsidR="00B50695">
        <w:rPr>
          <w:rFonts w:ascii="Times New Roman" w:hAnsi="Times New Roman"/>
          <w:sz w:val="24"/>
          <w:szCs w:val="24"/>
          <w:lang w:val="sr-Cyrl-CS"/>
        </w:rPr>
        <w:t xml:space="preserve">ата које опорезивање изазива, </w:t>
      </w:r>
      <w:r w:rsidR="00324F9C">
        <w:rPr>
          <w:rFonts w:ascii="Times New Roman" w:hAnsi="Times New Roman"/>
          <w:sz w:val="24"/>
          <w:szCs w:val="24"/>
          <w:lang w:val="sr-Cyrl-CS"/>
        </w:rPr>
        <w:t xml:space="preserve">о чему ће бити речи у каснијем излагању, порези не могу бити неутрални. </w:t>
      </w:r>
      <w:r>
        <w:rPr>
          <w:rFonts w:ascii="Times New Roman" w:hAnsi="Times New Roman"/>
          <w:sz w:val="24"/>
          <w:szCs w:val="24"/>
          <w:lang w:val="sr-Cyrl-CS"/>
        </w:rPr>
        <w:t>У савременим финан</w:t>
      </w:r>
      <w:r w:rsidR="0001726A">
        <w:rPr>
          <w:rFonts w:ascii="Times New Roman" w:hAnsi="Times New Roman"/>
          <w:sz w:val="24"/>
          <w:szCs w:val="24"/>
          <w:lang w:val="sr-Cyrl-CS"/>
        </w:rPr>
        <w:t xml:space="preserve">сијама порези представљају инструмент политике државе у реализацији ванфискалних економских, политичких и социјалних задатака. Још од времена велике економске кризе тридесетих година прошлог века, порези се почињу </w:t>
      </w:r>
      <w:r w:rsidR="00F23624">
        <w:rPr>
          <w:rFonts w:ascii="Times New Roman" w:hAnsi="Times New Roman"/>
          <w:sz w:val="24"/>
          <w:szCs w:val="24"/>
          <w:lang w:val="sr-Cyrl-CS"/>
        </w:rPr>
        <w:t xml:space="preserve">користити у све већој мери </w:t>
      </w:r>
      <w:r w:rsidR="0001726A">
        <w:rPr>
          <w:rFonts w:ascii="Times New Roman" w:hAnsi="Times New Roman"/>
          <w:sz w:val="24"/>
          <w:szCs w:val="24"/>
          <w:lang w:val="sr-Cyrl-CS"/>
        </w:rPr>
        <w:t xml:space="preserve">за решавање проблема </w:t>
      </w:r>
      <w:r w:rsidR="00F23624">
        <w:rPr>
          <w:rFonts w:ascii="Times New Roman" w:hAnsi="Times New Roman"/>
          <w:sz w:val="24"/>
          <w:szCs w:val="24"/>
          <w:lang w:val="sr-Cyrl-CS"/>
        </w:rPr>
        <w:t>као што су високе стопе незапослености, инфлација, пораст цена, успорен привредни раст, смањење извоза, социјалне тензије и сл. Дакле</w:t>
      </w:r>
      <w:r w:rsidR="00B8555A">
        <w:rPr>
          <w:rFonts w:ascii="Times New Roman" w:hAnsi="Times New Roman"/>
          <w:sz w:val="24"/>
          <w:szCs w:val="24"/>
          <w:lang w:val="sr-Cyrl-CS"/>
        </w:rPr>
        <w:t>,</w:t>
      </w:r>
      <w:r w:rsidR="00F23624">
        <w:rPr>
          <w:rFonts w:ascii="Times New Roman" w:hAnsi="Times New Roman"/>
          <w:sz w:val="24"/>
          <w:szCs w:val="24"/>
          <w:lang w:val="sr-Cyrl-CS"/>
        </w:rPr>
        <w:t xml:space="preserve"> ради се о широким мерама државног интервенционизма. </w:t>
      </w:r>
    </w:p>
    <w:p w:rsidR="00B8555A" w:rsidRDefault="00B50695" w:rsidP="00A301FD">
      <w:pPr>
        <w:ind w:firstLine="360"/>
        <w:jc w:val="both"/>
        <w:rPr>
          <w:rFonts w:ascii="Times New Roman" w:hAnsi="Times New Roman"/>
          <w:sz w:val="24"/>
          <w:szCs w:val="24"/>
          <w:lang w:val="sr-Cyrl-CS"/>
        </w:rPr>
      </w:pPr>
      <w:r>
        <w:rPr>
          <w:rFonts w:ascii="Times New Roman" w:hAnsi="Times New Roman"/>
          <w:sz w:val="24"/>
          <w:szCs w:val="24"/>
          <w:lang w:val="sr-Cyrl-CS"/>
        </w:rPr>
        <w:t>Према томе, ц</w:t>
      </w:r>
      <w:r w:rsidR="00ED53DE">
        <w:rPr>
          <w:rFonts w:ascii="Times New Roman" w:hAnsi="Times New Roman"/>
          <w:sz w:val="24"/>
          <w:szCs w:val="24"/>
          <w:lang w:val="sr-Cyrl-CS"/>
        </w:rPr>
        <w:t>иљ пореза у савременим државама није само фискалног карактера, већ порез има и бројне друге циљеве политичке, економске, социјалне, еколошке, демографске и сл.</w:t>
      </w:r>
      <w:r w:rsidR="008B4FBE">
        <w:rPr>
          <w:rFonts w:ascii="Times New Roman" w:hAnsi="Times New Roman"/>
          <w:sz w:val="24"/>
          <w:szCs w:val="24"/>
          <w:lang w:val="sr-Cyrl-CS"/>
        </w:rPr>
        <w:t xml:space="preserve"> Порезима се постижу различите</w:t>
      </w:r>
      <w:r w:rsidR="00B8555A">
        <w:rPr>
          <w:rFonts w:ascii="Times New Roman" w:hAnsi="Times New Roman"/>
          <w:sz w:val="24"/>
          <w:szCs w:val="24"/>
          <w:lang w:val="sr-Cyrl-CS"/>
        </w:rPr>
        <w:t xml:space="preserve"> </w:t>
      </w:r>
      <w:r w:rsidR="00057219">
        <w:rPr>
          <w:rFonts w:ascii="Times New Roman" w:hAnsi="Times New Roman"/>
          <w:sz w:val="24"/>
          <w:szCs w:val="24"/>
          <w:lang w:val="sr-Cyrl-CS"/>
        </w:rPr>
        <w:t>последице</w:t>
      </w:r>
      <w:r w:rsidR="00B8555A">
        <w:rPr>
          <w:rFonts w:ascii="Times New Roman" w:hAnsi="Times New Roman"/>
          <w:sz w:val="24"/>
          <w:szCs w:val="24"/>
          <w:lang w:val="sr-Cyrl-CS"/>
        </w:rPr>
        <w:t xml:space="preserve"> на макро и микро плану. Због тога </w:t>
      </w:r>
      <w:r w:rsidR="008B4FBE">
        <w:rPr>
          <w:rFonts w:ascii="Times New Roman" w:hAnsi="Times New Roman"/>
          <w:sz w:val="24"/>
          <w:szCs w:val="24"/>
          <w:lang w:val="sr-Cyrl-CS"/>
        </w:rPr>
        <w:t xml:space="preserve">утицаје </w:t>
      </w:r>
      <w:r w:rsidR="00B8555A">
        <w:rPr>
          <w:rFonts w:ascii="Times New Roman" w:hAnsi="Times New Roman"/>
          <w:sz w:val="24"/>
          <w:szCs w:val="24"/>
          <w:lang w:val="sr-Cyrl-CS"/>
        </w:rPr>
        <w:t>о</w:t>
      </w:r>
      <w:r w:rsidR="00A301FD">
        <w:rPr>
          <w:rFonts w:ascii="Times New Roman" w:hAnsi="Times New Roman"/>
          <w:sz w:val="24"/>
          <w:szCs w:val="24"/>
          <w:lang w:val="sr-Cyrl-CS"/>
        </w:rPr>
        <w:t xml:space="preserve">порезивања можемо посматрати на: </w:t>
      </w:r>
      <w:r w:rsidR="00B8555A">
        <w:rPr>
          <w:rFonts w:ascii="Times New Roman" w:hAnsi="Times New Roman"/>
          <w:sz w:val="24"/>
          <w:szCs w:val="24"/>
          <w:lang w:val="sr-Cyrl-CS"/>
        </w:rPr>
        <w:t>макро плану и</w:t>
      </w:r>
      <w:r w:rsidR="00A301FD">
        <w:rPr>
          <w:rFonts w:ascii="Times New Roman" w:hAnsi="Times New Roman"/>
          <w:sz w:val="24"/>
          <w:szCs w:val="24"/>
          <w:lang w:val="sr-Cyrl-CS"/>
        </w:rPr>
        <w:t xml:space="preserve"> </w:t>
      </w:r>
      <w:r w:rsidR="00B8555A">
        <w:rPr>
          <w:rFonts w:ascii="Times New Roman" w:hAnsi="Times New Roman"/>
          <w:sz w:val="24"/>
          <w:szCs w:val="24"/>
          <w:lang w:val="sr-Cyrl-CS"/>
        </w:rPr>
        <w:t>микро плану.</w:t>
      </w:r>
    </w:p>
    <w:p w:rsidR="00B8555A" w:rsidRDefault="008B4FBE" w:rsidP="00E43A00">
      <w:pPr>
        <w:ind w:firstLine="360"/>
        <w:jc w:val="both"/>
        <w:rPr>
          <w:rFonts w:ascii="Times New Roman" w:hAnsi="Times New Roman"/>
          <w:sz w:val="24"/>
          <w:szCs w:val="24"/>
          <w:lang w:val="sr-Cyrl-CS"/>
        </w:rPr>
      </w:pPr>
      <w:r>
        <w:rPr>
          <w:rFonts w:ascii="Times New Roman" w:hAnsi="Times New Roman"/>
          <w:sz w:val="24"/>
          <w:szCs w:val="24"/>
          <w:lang w:val="sr-Cyrl-CS"/>
        </w:rPr>
        <w:t>Утицаје</w:t>
      </w:r>
      <w:r w:rsidR="00653525">
        <w:rPr>
          <w:rFonts w:ascii="Times New Roman" w:hAnsi="Times New Roman"/>
          <w:sz w:val="24"/>
          <w:szCs w:val="24"/>
          <w:lang w:val="sr-Cyrl-CS"/>
        </w:rPr>
        <w:t xml:space="preserve"> пореза на макро и микро плану можемо поделити на следеће:</w:t>
      </w:r>
    </w:p>
    <w:p w:rsidR="00791E3B" w:rsidRPr="00ED53DE" w:rsidRDefault="00791E3B" w:rsidP="00E43A00">
      <w:pPr>
        <w:ind w:firstLine="360"/>
        <w:jc w:val="both"/>
        <w:rPr>
          <w:rFonts w:ascii="Times New Roman" w:hAnsi="Times New Roman"/>
          <w:sz w:val="24"/>
          <w:szCs w:val="24"/>
          <w:lang w:val="sr-Cyrl-CS"/>
        </w:rPr>
      </w:pPr>
    </w:p>
    <w:p w:rsidR="00791E3B" w:rsidRDefault="008B4FBE" w:rsidP="008A3795">
      <w:pPr>
        <w:numPr>
          <w:ilvl w:val="0"/>
          <w:numId w:val="15"/>
        </w:numPr>
        <w:jc w:val="both"/>
        <w:rPr>
          <w:rFonts w:ascii="Times New Roman" w:hAnsi="Times New Roman"/>
          <w:b/>
          <w:sz w:val="24"/>
          <w:szCs w:val="24"/>
          <w:lang w:val="sr-Cyrl-CS"/>
        </w:rPr>
      </w:pPr>
      <w:r>
        <w:rPr>
          <w:rFonts w:ascii="Times New Roman" w:hAnsi="Times New Roman"/>
          <w:b/>
          <w:sz w:val="24"/>
          <w:szCs w:val="24"/>
          <w:lang w:val="sr-Cyrl-CS"/>
        </w:rPr>
        <w:t>Економски утицаји</w:t>
      </w:r>
    </w:p>
    <w:p w:rsidR="00C93ECC" w:rsidRPr="0017218A" w:rsidRDefault="00C93ECC" w:rsidP="00C93ECC">
      <w:pPr>
        <w:ind w:left="927"/>
        <w:jc w:val="both"/>
        <w:rPr>
          <w:rFonts w:ascii="Times New Roman" w:hAnsi="Times New Roman"/>
          <w:b/>
          <w:sz w:val="24"/>
          <w:szCs w:val="24"/>
          <w:lang w:val="sr-Cyrl-CS"/>
        </w:rPr>
      </w:pPr>
    </w:p>
    <w:p w:rsidR="00791E3B" w:rsidRDefault="00791E3B" w:rsidP="00AB7893">
      <w:pPr>
        <w:ind w:firstLine="360"/>
        <w:jc w:val="both"/>
        <w:rPr>
          <w:rFonts w:ascii="Times New Roman" w:hAnsi="Times New Roman"/>
          <w:sz w:val="24"/>
          <w:szCs w:val="24"/>
          <w:lang w:val="sr-Cyrl-CS"/>
        </w:rPr>
      </w:pPr>
      <w:r>
        <w:rPr>
          <w:rFonts w:ascii="Times New Roman" w:hAnsi="Times New Roman"/>
          <w:sz w:val="24"/>
          <w:szCs w:val="24"/>
          <w:lang w:val="sr-Cyrl-CS"/>
        </w:rPr>
        <w:t>Како је пореска политика значајан инструмент макроекономске политике,  опорезивање утиче на макроекономске циљеве као што су: ниво цена, ниво производње, стопа запослености, стопа инфлације, акумулација и сл.</w:t>
      </w:r>
    </w:p>
    <w:p w:rsidR="00383C23" w:rsidRDefault="00CF0C4C" w:rsidP="00AB7893">
      <w:pPr>
        <w:ind w:firstLine="360"/>
        <w:jc w:val="both"/>
        <w:rPr>
          <w:rFonts w:ascii="Times New Roman" w:hAnsi="Times New Roman"/>
          <w:sz w:val="24"/>
          <w:szCs w:val="24"/>
          <w:lang w:val="sr-Cyrl-CS"/>
        </w:rPr>
      </w:pPr>
      <w:r>
        <w:rPr>
          <w:rFonts w:ascii="Times New Roman" w:hAnsi="Times New Roman"/>
          <w:sz w:val="24"/>
          <w:szCs w:val="24"/>
          <w:lang w:val="sr-Cyrl-CS"/>
        </w:rPr>
        <w:t>О</w:t>
      </w:r>
      <w:r w:rsidR="00383C23">
        <w:rPr>
          <w:rFonts w:ascii="Times New Roman" w:hAnsi="Times New Roman"/>
          <w:sz w:val="24"/>
          <w:szCs w:val="24"/>
          <w:lang w:val="sr-Cyrl-CS"/>
        </w:rPr>
        <w:t xml:space="preserve">порезивање има </w:t>
      </w:r>
      <w:r>
        <w:rPr>
          <w:rFonts w:ascii="Times New Roman" w:hAnsi="Times New Roman"/>
          <w:sz w:val="24"/>
          <w:szCs w:val="24"/>
          <w:lang w:val="sr-Cyrl-CS"/>
        </w:rPr>
        <w:t>значајно дејство</w:t>
      </w:r>
      <w:r w:rsidR="00383C23">
        <w:rPr>
          <w:rFonts w:ascii="Times New Roman" w:hAnsi="Times New Roman"/>
          <w:sz w:val="24"/>
          <w:szCs w:val="24"/>
          <w:lang w:val="sr-Cyrl-CS"/>
        </w:rPr>
        <w:t xml:space="preserve"> у </w:t>
      </w:r>
      <w:r>
        <w:rPr>
          <w:rFonts w:ascii="Times New Roman" w:hAnsi="Times New Roman"/>
          <w:sz w:val="24"/>
          <w:szCs w:val="24"/>
          <w:lang w:val="sr-Cyrl-CS"/>
        </w:rPr>
        <w:t>прерасподели</w:t>
      </w:r>
      <w:r w:rsidR="00383C23" w:rsidRPr="008B4FBE">
        <w:rPr>
          <w:rFonts w:ascii="Times New Roman" w:hAnsi="Times New Roman"/>
          <w:sz w:val="24"/>
          <w:szCs w:val="24"/>
          <w:lang w:val="sr-Cyrl-CS"/>
        </w:rPr>
        <w:t xml:space="preserve"> националног дохотка</w:t>
      </w:r>
      <w:r w:rsidR="005922C3">
        <w:rPr>
          <w:rFonts w:ascii="Times New Roman" w:hAnsi="Times New Roman"/>
          <w:b/>
          <w:sz w:val="24"/>
          <w:szCs w:val="24"/>
          <w:lang w:val="sr-Cyrl-CS"/>
        </w:rPr>
        <w:t>.</w:t>
      </w:r>
      <w:r w:rsidR="00383C23">
        <w:rPr>
          <w:rFonts w:ascii="Times New Roman" w:hAnsi="Times New Roman"/>
          <w:sz w:val="24"/>
          <w:szCs w:val="24"/>
          <w:lang w:val="sr-Cyrl-CS"/>
        </w:rPr>
        <w:t xml:space="preserve"> </w:t>
      </w:r>
      <w:r>
        <w:rPr>
          <w:rFonts w:ascii="Times New Roman" w:hAnsi="Times New Roman"/>
          <w:sz w:val="24"/>
          <w:szCs w:val="24"/>
          <w:lang w:val="sr-Cyrl-CS"/>
        </w:rPr>
        <w:t>Може се направити разлика између примарне расподеле новостворене вредности п</w:t>
      </w:r>
      <w:r w:rsidR="00AB7893">
        <w:rPr>
          <w:rFonts w:ascii="Times New Roman" w:hAnsi="Times New Roman"/>
          <w:sz w:val="24"/>
          <w:szCs w:val="24"/>
          <w:lang w:val="sr-Cyrl-CS"/>
        </w:rPr>
        <w:t>осредством</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тржишта</w:t>
      </w:r>
      <w:r w:rsidR="009C08EA" w:rsidRPr="009C08EA">
        <w:rPr>
          <w:rFonts w:ascii="Times New Roman" w:hAnsi="Times New Roman"/>
          <w:sz w:val="24"/>
          <w:szCs w:val="24"/>
          <w:lang w:val="sr-Cyrl-CS"/>
        </w:rPr>
        <w:t xml:space="preserve"> </w:t>
      </w:r>
      <w:r>
        <w:rPr>
          <w:rFonts w:ascii="Times New Roman" w:hAnsi="Times New Roman"/>
          <w:sz w:val="24"/>
          <w:szCs w:val="24"/>
          <w:lang w:val="sr-Cyrl-CS"/>
        </w:rPr>
        <w:t>и</w:t>
      </w:r>
      <w:r w:rsidR="009C08EA" w:rsidRPr="009C08EA">
        <w:rPr>
          <w:rFonts w:ascii="Times New Roman" w:hAnsi="Times New Roman"/>
          <w:sz w:val="24"/>
          <w:szCs w:val="24"/>
          <w:lang w:val="sr-Cyrl-CS"/>
        </w:rPr>
        <w:t xml:space="preserve"> </w:t>
      </w:r>
      <w:r>
        <w:rPr>
          <w:rFonts w:ascii="Times New Roman" w:hAnsi="Times New Roman"/>
          <w:sz w:val="24"/>
          <w:szCs w:val="24"/>
          <w:lang w:val="sr-Cyrl-CS"/>
        </w:rPr>
        <w:t>прерасподеле</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посредством</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пореза</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доприноса</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и</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парафискалитета</w:t>
      </w:r>
      <w:r w:rsidR="009C08EA" w:rsidRPr="009C08EA">
        <w:rPr>
          <w:rFonts w:ascii="Times New Roman" w:hAnsi="Times New Roman"/>
          <w:sz w:val="24"/>
          <w:szCs w:val="24"/>
          <w:lang w:val="sr-Cyrl-CS"/>
        </w:rPr>
        <w:t xml:space="preserve"> </w:t>
      </w:r>
      <w:r>
        <w:rPr>
          <w:rFonts w:ascii="Times New Roman" w:hAnsi="Times New Roman"/>
          <w:sz w:val="24"/>
          <w:szCs w:val="24"/>
          <w:lang w:val="sr-Cyrl-CS"/>
        </w:rPr>
        <w:t>која представља</w:t>
      </w:r>
      <w:r w:rsidR="009C08EA" w:rsidRPr="009C08EA">
        <w:rPr>
          <w:rFonts w:ascii="Times New Roman" w:hAnsi="Times New Roman"/>
          <w:sz w:val="24"/>
          <w:szCs w:val="24"/>
          <w:lang w:val="sr-Cyrl-CS"/>
        </w:rPr>
        <w:t xml:space="preserve"> „</w:t>
      </w:r>
      <w:r>
        <w:rPr>
          <w:rFonts w:ascii="Times New Roman" w:hAnsi="Times New Roman"/>
          <w:sz w:val="24"/>
          <w:szCs w:val="24"/>
          <w:lang w:val="sr-Cyrl-CS"/>
        </w:rPr>
        <w:t>секундарну</w:t>
      </w:r>
      <w:r w:rsidR="009C08EA" w:rsidRPr="009C08EA">
        <w:rPr>
          <w:rFonts w:ascii="Times New Roman" w:hAnsi="Times New Roman"/>
          <w:sz w:val="24"/>
          <w:szCs w:val="24"/>
          <w:lang w:val="sr-Cyrl-CS"/>
        </w:rPr>
        <w:t xml:space="preserve"> </w:t>
      </w:r>
      <w:r>
        <w:rPr>
          <w:rFonts w:ascii="Times New Roman" w:hAnsi="Times New Roman"/>
          <w:sz w:val="24"/>
          <w:szCs w:val="24"/>
          <w:lang w:val="sr-Cyrl-CS"/>
        </w:rPr>
        <w:t>расподелу“. Ова секундарна расподела је</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у</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функцији</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успостављања</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финансијских</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односа</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између</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предузећа</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и</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гра</w:t>
      </w:r>
      <w:r w:rsidR="00F163A3">
        <w:rPr>
          <w:rFonts w:ascii="Times New Roman" w:hAnsi="Times New Roman"/>
          <w:sz w:val="24"/>
          <w:szCs w:val="24"/>
          <w:lang w:val="sr-Cyrl-CS"/>
        </w:rPr>
        <w:t>ђ</w:t>
      </w:r>
      <w:r w:rsidR="00AB7893">
        <w:rPr>
          <w:rFonts w:ascii="Times New Roman" w:hAnsi="Times New Roman"/>
          <w:sz w:val="24"/>
          <w:szCs w:val="24"/>
          <w:lang w:val="sr-Cyrl-CS"/>
        </w:rPr>
        <w:t>ана</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с</w:t>
      </w:r>
      <w:r>
        <w:rPr>
          <w:rFonts w:ascii="Times New Roman" w:hAnsi="Times New Roman"/>
          <w:sz w:val="24"/>
          <w:szCs w:val="24"/>
          <w:lang w:val="sr-Cyrl-CS"/>
        </w:rPr>
        <w:t>а</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једне</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стране</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и</w:t>
      </w:r>
      <w:r w:rsidR="009C08EA" w:rsidRPr="009C08EA">
        <w:rPr>
          <w:rFonts w:ascii="Times New Roman" w:hAnsi="Times New Roman"/>
          <w:sz w:val="24"/>
          <w:szCs w:val="24"/>
          <w:lang w:val="sr-Cyrl-CS"/>
        </w:rPr>
        <w:t xml:space="preserve"> </w:t>
      </w:r>
      <w:r w:rsidR="00270686">
        <w:rPr>
          <w:rFonts w:ascii="Times New Roman" w:hAnsi="Times New Roman"/>
          <w:sz w:val="24"/>
          <w:szCs w:val="24"/>
          <w:lang w:val="sr-Cyrl-CS"/>
        </w:rPr>
        <w:t>друштвено-политичких заједница</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и</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фондова</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с</w:t>
      </w:r>
      <w:r>
        <w:rPr>
          <w:rFonts w:ascii="Times New Roman" w:hAnsi="Times New Roman"/>
          <w:sz w:val="24"/>
          <w:szCs w:val="24"/>
          <w:lang w:val="sr-Cyrl-CS"/>
        </w:rPr>
        <w:t>а</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друге</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стране</w:t>
      </w:r>
      <w:r w:rsidR="009C08EA" w:rsidRPr="009C08EA">
        <w:rPr>
          <w:rFonts w:ascii="Times New Roman" w:hAnsi="Times New Roman"/>
          <w:sz w:val="24"/>
          <w:szCs w:val="24"/>
          <w:lang w:val="sr-Cyrl-CS"/>
        </w:rPr>
        <w:t xml:space="preserve">. </w:t>
      </w:r>
      <w:r>
        <w:rPr>
          <w:rFonts w:ascii="Times New Roman" w:hAnsi="Times New Roman"/>
          <w:sz w:val="24"/>
          <w:szCs w:val="24"/>
          <w:lang w:val="sr-Cyrl-CS"/>
        </w:rPr>
        <w:t>Следећи даље овакву поделу</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онда</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се</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расподела</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дохотка</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између</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буџета</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виших</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и</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нижих</w:t>
      </w:r>
      <w:r w:rsidR="009C08EA" w:rsidRPr="009C08EA">
        <w:rPr>
          <w:rFonts w:ascii="Times New Roman" w:hAnsi="Times New Roman"/>
          <w:sz w:val="24"/>
          <w:szCs w:val="24"/>
          <w:lang w:val="sr-Cyrl-CS"/>
        </w:rPr>
        <w:t xml:space="preserve"> </w:t>
      </w:r>
      <w:r w:rsidR="00270686">
        <w:rPr>
          <w:rFonts w:ascii="Times New Roman" w:hAnsi="Times New Roman"/>
          <w:sz w:val="24"/>
          <w:szCs w:val="24"/>
          <w:lang w:val="sr-Cyrl-CS"/>
        </w:rPr>
        <w:t>друштвено-политичких заједница</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с</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једне</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стране</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и</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буџета</w:t>
      </w:r>
      <w:r w:rsidR="009C08EA" w:rsidRPr="009C08EA">
        <w:rPr>
          <w:rFonts w:ascii="Times New Roman" w:hAnsi="Times New Roman"/>
          <w:sz w:val="24"/>
          <w:szCs w:val="24"/>
          <w:lang w:val="sr-Cyrl-CS"/>
        </w:rPr>
        <w:t xml:space="preserve"> </w:t>
      </w:r>
      <w:r w:rsidR="00270686">
        <w:rPr>
          <w:rFonts w:ascii="Times New Roman" w:hAnsi="Times New Roman"/>
          <w:sz w:val="24"/>
          <w:szCs w:val="24"/>
          <w:lang w:val="sr-Cyrl-CS"/>
        </w:rPr>
        <w:t xml:space="preserve">друштвено-политичких заједница </w:t>
      </w:r>
      <w:r w:rsidR="00AB7893">
        <w:rPr>
          <w:rFonts w:ascii="Times New Roman" w:hAnsi="Times New Roman"/>
          <w:sz w:val="24"/>
          <w:szCs w:val="24"/>
          <w:lang w:val="sr-Cyrl-CS"/>
        </w:rPr>
        <w:t>и</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фондова</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с</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друге</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стране</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може</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окарактерисати</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као</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терцијарна</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расподела</w:t>
      </w:r>
      <w:r w:rsidR="009C08EA" w:rsidRPr="009C08EA">
        <w:rPr>
          <w:rFonts w:ascii="Times New Roman" w:hAnsi="Times New Roman"/>
          <w:sz w:val="24"/>
          <w:szCs w:val="24"/>
          <w:lang w:val="sr-Cyrl-CS"/>
        </w:rPr>
        <w:t xml:space="preserve">“. </w:t>
      </w:r>
      <w:r>
        <w:rPr>
          <w:rFonts w:ascii="Times New Roman" w:hAnsi="Times New Roman"/>
          <w:sz w:val="24"/>
          <w:szCs w:val="24"/>
          <w:lang w:val="sr-Cyrl-CS"/>
        </w:rPr>
        <w:t>Према томе,</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lastRenderedPageBreak/>
        <w:t>укупни</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доходак</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појединих</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економских</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субјеката</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и</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институција</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предузећа</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грађани</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буџет</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и</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фондови</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је</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функција</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постојећег</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модела</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расподеле</w:t>
      </w:r>
      <w:r w:rsidR="009C08EA" w:rsidRPr="009C08EA">
        <w:rPr>
          <w:rFonts w:ascii="Times New Roman" w:hAnsi="Times New Roman"/>
          <w:sz w:val="24"/>
          <w:szCs w:val="24"/>
          <w:lang w:val="sr-Cyrl-CS"/>
        </w:rPr>
        <w:t xml:space="preserve">. </w:t>
      </w:r>
      <w:r>
        <w:rPr>
          <w:rFonts w:ascii="Times New Roman" w:hAnsi="Times New Roman"/>
          <w:sz w:val="24"/>
          <w:szCs w:val="24"/>
          <w:lang w:val="sr-Cyrl-CS"/>
        </w:rPr>
        <w:t>У том контексту,</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у</w:t>
      </w:r>
      <w:r w:rsidR="009C08EA" w:rsidRPr="009C08EA">
        <w:rPr>
          <w:rFonts w:ascii="Times New Roman" w:hAnsi="Times New Roman"/>
          <w:sz w:val="24"/>
          <w:szCs w:val="24"/>
          <w:lang w:val="sr-Cyrl-CS"/>
        </w:rPr>
        <w:t xml:space="preserve"> </w:t>
      </w:r>
      <w:r>
        <w:rPr>
          <w:rFonts w:ascii="Times New Roman" w:hAnsi="Times New Roman"/>
          <w:sz w:val="24"/>
          <w:szCs w:val="24"/>
          <w:lang w:val="sr-Cyrl-CS"/>
        </w:rPr>
        <w:t>политику</w:t>
      </w:r>
      <w:r w:rsidR="009C08EA" w:rsidRPr="009C08EA">
        <w:rPr>
          <w:rFonts w:ascii="Times New Roman" w:hAnsi="Times New Roman"/>
          <w:sz w:val="24"/>
          <w:szCs w:val="24"/>
          <w:lang w:val="sr-Cyrl-CS"/>
        </w:rPr>
        <w:t xml:space="preserve"> </w:t>
      </w:r>
      <w:r>
        <w:rPr>
          <w:rFonts w:ascii="Times New Roman" w:hAnsi="Times New Roman"/>
          <w:sz w:val="24"/>
          <w:szCs w:val="24"/>
          <w:lang w:val="sr-Cyrl-CS"/>
        </w:rPr>
        <w:t>расподеле</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поред</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фискалне</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политике</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или</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шире</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друштвеног</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финансирања</w:t>
      </w:r>
      <w:r w:rsidR="009C08EA" w:rsidRPr="009C08EA">
        <w:rPr>
          <w:rFonts w:ascii="Times New Roman" w:hAnsi="Times New Roman"/>
          <w:sz w:val="24"/>
          <w:szCs w:val="24"/>
          <w:lang w:val="sr-Cyrl-CS"/>
        </w:rPr>
        <w:t xml:space="preserve">, </w:t>
      </w:r>
      <w:r>
        <w:rPr>
          <w:rFonts w:ascii="Times New Roman" w:hAnsi="Times New Roman"/>
          <w:sz w:val="24"/>
          <w:szCs w:val="24"/>
          <w:lang w:val="sr-Cyrl-CS"/>
        </w:rPr>
        <w:t>треба укључити све</w:t>
      </w:r>
      <w:r w:rsidRPr="009C08EA">
        <w:rPr>
          <w:rFonts w:ascii="Times New Roman" w:hAnsi="Times New Roman"/>
          <w:sz w:val="24"/>
          <w:szCs w:val="24"/>
          <w:lang w:val="sr-Cyrl-CS"/>
        </w:rPr>
        <w:t xml:space="preserve"> </w:t>
      </w:r>
      <w:r>
        <w:rPr>
          <w:rFonts w:ascii="Times New Roman" w:hAnsi="Times New Roman"/>
          <w:sz w:val="24"/>
          <w:szCs w:val="24"/>
          <w:lang w:val="sr-Cyrl-CS"/>
        </w:rPr>
        <w:t>парцијалне</w:t>
      </w:r>
      <w:r w:rsidRPr="009C08EA">
        <w:rPr>
          <w:rFonts w:ascii="Times New Roman" w:hAnsi="Times New Roman"/>
          <w:sz w:val="24"/>
          <w:szCs w:val="24"/>
          <w:lang w:val="sr-Cyrl-CS"/>
        </w:rPr>
        <w:t xml:space="preserve"> </w:t>
      </w:r>
      <w:r>
        <w:rPr>
          <w:rFonts w:ascii="Times New Roman" w:hAnsi="Times New Roman"/>
          <w:sz w:val="24"/>
          <w:szCs w:val="24"/>
          <w:lang w:val="sr-Cyrl-CS"/>
        </w:rPr>
        <w:t>политике</w:t>
      </w:r>
      <w:r w:rsidRPr="009C08EA">
        <w:rPr>
          <w:rFonts w:ascii="Times New Roman" w:hAnsi="Times New Roman"/>
          <w:sz w:val="24"/>
          <w:szCs w:val="24"/>
          <w:lang w:val="sr-Cyrl-CS"/>
        </w:rPr>
        <w:t xml:space="preserve"> </w:t>
      </w:r>
      <w:r>
        <w:rPr>
          <w:rFonts w:ascii="Times New Roman" w:hAnsi="Times New Roman"/>
          <w:sz w:val="24"/>
          <w:szCs w:val="24"/>
          <w:lang w:val="sr-Cyrl-CS"/>
        </w:rPr>
        <w:t>у</w:t>
      </w:r>
      <w:r w:rsidRPr="009C08EA">
        <w:rPr>
          <w:rFonts w:ascii="Times New Roman" w:hAnsi="Times New Roman"/>
          <w:sz w:val="24"/>
          <w:szCs w:val="24"/>
          <w:lang w:val="sr-Cyrl-CS"/>
        </w:rPr>
        <w:t xml:space="preserve"> </w:t>
      </w:r>
      <w:r>
        <w:rPr>
          <w:rFonts w:ascii="Times New Roman" w:hAnsi="Times New Roman"/>
          <w:sz w:val="24"/>
          <w:szCs w:val="24"/>
          <w:lang w:val="sr-Cyrl-CS"/>
        </w:rPr>
        <w:t>оквиру</w:t>
      </w:r>
      <w:r w:rsidRPr="009C08EA">
        <w:rPr>
          <w:rFonts w:ascii="Times New Roman" w:hAnsi="Times New Roman"/>
          <w:sz w:val="24"/>
          <w:szCs w:val="24"/>
          <w:lang w:val="sr-Cyrl-CS"/>
        </w:rPr>
        <w:t xml:space="preserve"> </w:t>
      </w:r>
      <w:r>
        <w:rPr>
          <w:rFonts w:ascii="Times New Roman" w:hAnsi="Times New Roman"/>
          <w:sz w:val="24"/>
          <w:szCs w:val="24"/>
          <w:lang w:val="sr-Cyrl-CS"/>
        </w:rPr>
        <w:t>текуће</w:t>
      </w:r>
      <w:r w:rsidRPr="009C08EA">
        <w:rPr>
          <w:rFonts w:ascii="Times New Roman" w:hAnsi="Times New Roman"/>
          <w:sz w:val="24"/>
          <w:szCs w:val="24"/>
          <w:lang w:val="sr-Cyrl-CS"/>
        </w:rPr>
        <w:t xml:space="preserve"> </w:t>
      </w:r>
      <w:r>
        <w:rPr>
          <w:rFonts w:ascii="Times New Roman" w:hAnsi="Times New Roman"/>
          <w:sz w:val="24"/>
          <w:szCs w:val="24"/>
          <w:lang w:val="sr-Cyrl-CS"/>
        </w:rPr>
        <w:t>економске</w:t>
      </w:r>
      <w:r w:rsidRPr="009C08EA">
        <w:rPr>
          <w:rFonts w:ascii="Times New Roman" w:hAnsi="Times New Roman"/>
          <w:sz w:val="24"/>
          <w:szCs w:val="24"/>
          <w:lang w:val="sr-Cyrl-CS"/>
        </w:rPr>
        <w:t xml:space="preserve"> </w:t>
      </w:r>
      <w:r>
        <w:rPr>
          <w:rFonts w:ascii="Times New Roman" w:hAnsi="Times New Roman"/>
          <w:sz w:val="24"/>
          <w:szCs w:val="24"/>
          <w:lang w:val="sr-Cyrl-CS"/>
        </w:rPr>
        <w:t xml:space="preserve">политике, односно </w:t>
      </w:r>
      <w:r w:rsidR="00AB7893">
        <w:rPr>
          <w:rFonts w:ascii="Times New Roman" w:hAnsi="Times New Roman"/>
          <w:sz w:val="24"/>
          <w:szCs w:val="24"/>
          <w:lang w:val="sr-Cyrl-CS"/>
        </w:rPr>
        <w:t>треба</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укључити</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и</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политику</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цена</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политику</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личних</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доходака</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политику</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инвестиција</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кредитну</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политику</w:t>
      </w:r>
      <w:r>
        <w:rPr>
          <w:rFonts w:ascii="Times New Roman" w:hAnsi="Times New Roman"/>
          <w:sz w:val="24"/>
          <w:szCs w:val="24"/>
          <w:lang w:val="sr-Cyrl-CS"/>
        </w:rPr>
        <w:t xml:space="preserve">, </w:t>
      </w:r>
      <w:r w:rsidR="00AB7893">
        <w:rPr>
          <w:rFonts w:ascii="Times New Roman" w:hAnsi="Times New Roman"/>
          <w:sz w:val="24"/>
          <w:szCs w:val="24"/>
          <w:lang w:val="sr-Cyrl-CS"/>
        </w:rPr>
        <w:t>политику</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платног</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биланса</w:t>
      </w:r>
      <w:r w:rsidR="009C08EA" w:rsidRPr="009C08EA">
        <w:rPr>
          <w:rFonts w:ascii="Times New Roman" w:hAnsi="Times New Roman"/>
          <w:sz w:val="24"/>
          <w:szCs w:val="24"/>
          <w:lang w:val="sr-Cyrl-CS"/>
        </w:rPr>
        <w:t xml:space="preserve"> </w:t>
      </w:r>
      <w:r w:rsidR="00AB7893">
        <w:rPr>
          <w:rFonts w:ascii="Times New Roman" w:hAnsi="Times New Roman"/>
          <w:sz w:val="24"/>
          <w:szCs w:val="24"/>
          <w:lang w:val="sr-Cyrl-CS"/>
        </w:rPr>
        <w:t>итд</w:t>
      </w:r>
      <w:r w:rsidR="00F5165B">
        <w:rPr>
          <w:rFonts w:ascii="Times New Roman" w:hAnsi="Times New Roman"/>
          <w:sz w:val="24"/>
          <w:szCs w:val="24"/>
          <w:lang w:val="sr-Cyrl-CS"/>
        </w:rPr>
        <w:t>.</w:t>
      </w:r>
      <w:r w:rsidR="00F5165B">
        <w:rPr>
          <w:rStyle w:val="FootnoteReference"/>
          <w:rFonts w:ascii="Times New Roman" w:hAnsi="Times New Roman"/>
          <w:sz w:val="24"/>
          <w:szCs w:val="24"/>
          <w:lang w:val="sr-Cyrl-CS"/>
        </w:rPr>
        <w:footnoteReference w:id="63"/>
      </w:r>
      <w:r w:rsidR="009C08EA" w:rsidRPr="009C08EA">
        <w:rPr>
          <w:rFonts w:ascii="Times New Roman" w:hAnsi="Times New Roman"/>
          <w:sz w:val="24"/>
          <w:szCs w:val="24"/>
          <w:lang w:val="sr-Cyrl-CS"/>
        </w:rPr>
        <w:t xml:space="preserve"> </w:t>
      </w:r>
    </w:p>
    <w:p w:rsidR="00F5165B" w:rsidRPr="00F163A3" w:rsidRDefault="00F5165B" w:rsidP="00F163A3">
      <w:pPr>
        <w:ind w:firstLine="360"/>
        <w:jc w:val="both"/>
        <w:rPr>
          <w:rFonts w:ascii="Times New Roman" w:hAnsi="Times New Roman"/>
          <w:sz w:val="24"/>
          <w:szCs w:val="24"/>
        </w:rPr>
      </w:pPr>
      <w:r>
        <w:rPr>
          <w:rFonts w:ascii="Times New Roman" w:hAnsi="Times New Roman"/>
          <w:sz w:val="24"/>
          <w:szCs w:val="24"/>
          <w:lang w:val="sr-Cyrl-CS"/>
        </w:rPr>
        <w:t xml:space="preserve">Из </w:t>
      </w:r>
      <w:r w:rsidR="00AE5F1B">
        <w:rPr>
          <w:rFonts w:ascii="Times New Roman" w:hAnsi="Times New Roman"/>
          <w:sz w:val="24"/>
          <w:szCs w:val="24"/>
          <w:lang w:val="sr-Cyrl-CS"/>
        </w:rPr>
        <w:t xml:space="preserve">основног дејства које опорезовање има у домену прерасподеле националног дохотка </w:t>
      </w:r>
      <w:r>
        <w:rPr>
          <w:rFonts w:ascii="Times New Roman" w:hAnsi="Times New Roman"/>
          <w:sz w:val="24"/>
          <w:szCs w:val="24"/>
          <w:lang w:val="sr-Cyrl-CS"/>
        </w:rPr>
        <w:t xml:space="preserve">произилази и </w:t>
      </w:r>
      <w:r w:rsidR="00AE5F1B">
        <w:rPr>
          <w:rFonts w:ascii="Times New Roman" w:hAnsi="Times New Roman"/>
          <w:sz w:val="24"/>
          <w:szCs w:val="24"/>
          <w:lang w:val="sr-Cyrl-CS"/>
        </w:rPr>
        <w:t>дејство</w:t>
      </w:r>
      <w:r>
        <w:rPr>
          <w:rFonts w:ascii="Times New Roman" w:hAnsi="Times New Roman"/>
          <w:sz w:val="24"/>
          <w:szCs w:val="24"/>
          <w:lang w:val="sr-Cyrl-CS"/>
        </w:rPr>
        <w:t xml:space="preserve"> пореза на </w:t>
      </w:r>
      <w:r w:rsidRPr="008B4FBE">
        <w:rPr>
          <w:rFonts w:ascii="Times New Roman" w:hAnsi="Times New Roman"/>
          <w:sz w:val="24"/>
          <w:szCs w:val="24"/>
          <w:lang w:val="sr-Cyrl-CS"/>
        </w:rPr>
        <w:t>акумулаци</w:t>
      </w:r>
      <w:r w:rsidR="00871680" w:rsidRPr="008B4FBE">
        <w:rPr>
          <w:rFonts w:ascii="Times New Roman" w:hAnsi="Times New Roman"/>
          <w:sz w:val="24"/>
          <w:szCs w:val="24"/>
          <w:lang w:val="sr-Cyrl-CS"/>
        </w:rPr>
        <w:t>ју</w:t>
      </w:r>
      <w:r w:rsidR="00871680">
        <w:rPr>
          <w:rFonts w:ascii="Times New Roman" w:hAnsi="Times New Roman"/>
          <w:sz w:val="24"/>
          <w:szCs w:val="24"/>
          <w:lang w:val="sr-Cyrl-CS"/>
        </w:rPr>
        <w:t>. Високо опорезивање може</w:t>
      </w:r>
      <w:r>
        <w:rPr>
          <w:rFonts w:ascii="Times New Roman" w:hAnsi="Times New Roman"/>
          <w:sz w:val="24"/>
          <w:szCs w:val="24"/>
          <w:lang w:val="sr-Cyrl-CS"/>
        </w:rPr>
        <w:t xml:space="preserve"> </w:t>
      </w:r>
      <w:r w:rsidR="00AE5F1B">
        <w:rPr>
          <w:rFonts w:ascii="Times New Roman" w:hAnsi="Times New Roman"/>
          <w:sz w:val="24"/>
          <w:szCs w:val="24"/>
          <w:lang w:val="sr-Cyrl-CS"/>
        </w:rPr>
        <w:t>довести до смањења</w:t>
      </w:r>
      <w:r w:rsidR="00871680">
        <w:rPr>
          <w:rFonts w:ascii="Times New Roman" w:hAnsi="Times New Roman"/>
          <w:sz w:val="24"/>
          <w:szCs w:val="24"/>
          <w:lang w:val="sr-Cyrl-CS"/>
        </w:rPr>
        <w:t xml:space="preserve"> акумулационих фон</w:t>
      </w:r>
      <w:r>
        <w:rPr>
          <w:rFonts w:ascii="Times New Roman" w:hAnsi="Times New Roman"/>
          <w:sz w:val="24"/>
          <w:szCs w:val="24"/>
          <w:lang w:val="sr-Cyrl-CS"/>
        </w:rPr>
        <w:t>дова,</w:t>
      </w:r>
      <w:r w:rsidR="00871680">
        <w:rPr>
          <w:rFonts w:ascii="Times New Roman" w:hAnsi="Times New Roman"/>
          <w:sz w:val="24"/>
          <w:szCs w:val="24"/>
          <w:lang w:val="sr-Cyrl-CS"/>
        </w:rPr>
        <w:t xml:space="preserve"> односно </w:t>
      </w:r>
      <w:r w:rsidR="00AE5F1B">
        <w:rPr>
          <w:rFonts w:ascii="Times New Roman" w:hAnsi="Times New Roman"/>
          <w:sz w:val="24"/>
          <w:szCs w:val="24"/>
          <w:lang w:val="sr-Cyrl-CS"/>
        </w:rPr>
        <w:t xml:space="preserve">може довести до смањења </w:t>
      </w:r>
      <w:r w:rsidR="00082CCE">
        <w:rPr>
          <w:rFonts w:ascii="Times New Roman" w:hAnsi="Times New Roman"/>
          <w:sz w:val="24"/>
          <w:szCs w:val="24"/>
          <w:lang w:val="sr-Cyrl-CS"/>
        </w:rPr>
        <w:t xml:space="preserve">инвестиција, а на дуже стазе до </w:t>
      </w:r>
      <w:r w:rsidR="00871680">
        <w:rPr>
          <w:rFonts w:ascii="Times New Roman" w:hAnsi="Times New Roman"/>
          <w:sz w:val="24"/>
          <w:szCs w:val="24"/>
          <w:lang w:val="sr-Cyrl-CS"/>
        </w:rPr>
        <w:t xml:space="preserve"> </w:t>
      </w:r>
      <w:r w:rsidR="00082CCE">
        <w:rPr>
          <w:rFonts w:ascii="Times New Roman" w:hAnsi="Times New Roman"/>
          <w:sz w:val="24"/>
          <w:szCs w:val="24"/>
          <w:lang w:val="sr-Cyrl-CS"/>
        </w:rPr>
        <w:t>о</w:t>
      </w:r>
      <w:r w:rsidR="00871680">
        <w:rPr>
          <w:rFonts w:ascii="Times New Roman" w:hAnsi="Times New Roman"/>
          <w:sz w:val="24"/>
          <w:szCs w:val="24"/>
          <w:lang w:val="sr-Cyrl-CS"/>
        </w:rPr>
        <w:t>пштег заостајања привре</w:t>
      </w:r>
      <w:r w:rsidR="00F163A3">
        <w:rPr>
          <w:rFonts w:ascii="Times New Roman" w:hAnsi="Times New Roman"/>
          <w:sz w:val="24"/>
          <w:szCs w:val="24"/>
          <w:lang w:val="sr-Cyrl-CS"/>
        </w:rPr>
        <w:t>де</w:t>
      </w:r>
      <w:r w:rsidR="00082CCE">
        <w:rPr>
          <w:rFonts w:ascii="Times New Roman" w:hAnsi="Times New Roman"/>
          <w:sz w:val="24"/>
          <w:szCs w:val="24"/>
          <w:lang w:val="sr-Cyrl-CS"/>
        </w:rPr>
        <w:t>,</w:t>
      </w:r>
      <w:r w:rsidR="00871680">
        <w:rPr>
          <w:rFonts w:ascii="Times New Roman" w:hAnsi="Times New Roman"/>
          <w:sz w:val="24"/>
          <w:szCs w:val="24"/>
          <w:lang w:val="sr-Cyrl-CS"/>
        </w:rPr>
        <w:t xml:space="preserve"> незапослености и сл. </w:t>
      </w:r>
      <w:r w:rsidR="00082CCE">
        <w:rPr>
          <w:rFonts w:ascii="Times New Roman" w:hAnsi="Times New Roman"/>
          <w:sz w:val="24"/>
          <w:szCs w:val="24"/>
          <w:lang w:val="sr-Cyrl-CS"/>
        </w:rPr>
        <w:t>Са друге стране, опорезивањем се</w:t>
      </w:r>
      <w:r w:rsidR="00871680">
        <w:rPr>
          <w:rFonts w:ascii="Times New Roman" w:hAnsi="Times New Roman"/>
          <w:sz w:val="24"/>
          <w:szCs w:val="24"/>
          <w:lang w:val="sr-Cyrl-CS"/>
        </w:rPr>
        <w:t xml:space="preserve"> може </w:t>
      </w:r>
      <w:r w:rsidR="00082CCE">
        <w:rPr>
          <w:rFonts w:ascii="Times New Roman" w:hAnsi="Times New Roman"/>
          <w:sz w:val="24"/>
          <w:szCs w:val="24"/>
          <w:lang w:val="sr-Cyrl-CS"/>
        </w:rPr>
        <w:t xml:space="preserve">на разне начине </w:t>
      </w:r>
      <w:r w:rsidR="00871680">
        <w:rPr>
          <w:rFonts w:ascii="Times New Roman" w:hAnsi="Times New Roman"/>
          <w:sz w:val="24"/>
          <w:szCs w:val="24"/>
          <w:lang w:val="sr-Cyrl-CS"/>
        </w:rPr>
        <w:t xml:space="preserve">стимулисати раст </w:t>
      </w:r>
      <w:r w:rsidR="00871680" w:rsidRPr="008B4FBE">
        <w:rPr>
          <w:rFonts w:ascii="Times New Roman" w:hAnsi="Times New Roman"/>
          <w:sz w:val="24"/>
          <w:szCs w:val="24"/>
          <w:lang w:val="sr-Cyrl-CS"/>
        </w:rPr>
        <w:t>акумулације.</w:t>
      </w:r>
      <w:r w:rsidR="00E277A9" w:rsidRPr="008B4FBE">
        <w:rPr>
          <w:rFonts w:ascii="Times New Roman" w:hAnsi="Times New Roman"/>
          <w:sz w:val="24"/>
          <w:szCs w:val="24"/>
          <w:lang w:val="sr-Cyrl-CS"/>
        </w:rPr>
        <w:t xml:space="preserve"> То</w:t>
      </w:r>
      <w:r w:rsidR="00270686">
        <w:rPr>
          <w:rFonts w:ascii="Times New Roman" w:hAnsi="Times New Roman"/>
          <w:sz w:val="24"/>
          <w:szCs w:val="24"/>
          <w:lang w:val="sr-Cyrl-CS"/>
        </w:rPr>
        <w:t xml:space="preserve"> се може чинити </w:t>
      </w:r>
      <w:r w:rsidR="00082CCE">
        <w:rPr>
          <w:rFonts w:ascii="Times New Roman" w:hAnsi="Times New Roman"/>
          <w:sz w:val="24"/>
          <w:szCs w:val="24"/>
          <w:lang w:val="sr-Cyrl-CS"/>
        </w:rPr>
        <w:t>путем разних пореских</w:t>
      </w:r>
      <w:r w:rsidR="00E277A9" w:rsidRPr="008B4FBE">
        <w:rPr>
          <w:rFonts w:ascii="Times New Roman" w:hAnsi="Times New Roman"/>
          <w:sz w:val="24"/>
          <w:szCs w:val="24"/>
          <w:lang w:val="sr-Cyrl-CS"/>
        </w:rPr>
        <w:t xml:space="preserve"> олакши</w:t>
      </w:r>
      <w:r w:rsidR="00082CCE">
        <w:rPr>
          <w:rFonts w:ascii="Times New Roman" w:hAnsi="Times New Roman"/>
          <w:sz w:val="24"/>
          <w:szCs w:val="24"/>
          <w:lang w:val="sr-Cyrl-CS"/>
        </w:rPr>
        <w:t>ца и ослобођења</w:t>
      </w:r>
      <w:r w:rsidR="00065E4B">
        <w:rPr>
          <w:rFonts w:ascii="Times New Roman" w:hAnsi="Times New Roman"/>
          <w:sz w:val="24"/>
          <w:szCs w:val="24"/>
          <w:lang w:val="sr-Cyrl-CS"/>
        </w:rPr>
        <w:t xml:space="preserve">. </w:t>
      </w:r>
      <w:r w:rsidR="00082CCE">
        <w:rPr>
          <w:rFonts w:ascii="Times New Roman" w:hAnsi="Times New Roman"/>
          <w:sz w:val="24"/>
          <w:szCs w:val="24"/>
          <w:lang w:val="sr-Cyrl-CS"/>
        </w:rPr>
        <w:t>На тај начин се може остварити</w:t>
      </w:r>
      <w:r w:rsidR="00065E4B">
        <w:rPr>
          <w:rFonts w:ascii="Times New Roman" w:hAnsi="Times New Roman"/>
          <w:sz w:val="24"/>
          <w:szCs w:val="24"/>
          <w:lang w:val="sr-Cyrl-CS"/>
        </w:rPr>
        <w:t xml:space="preserve"> </w:t>
      </w:r>
      <w:r w:rsidR="00E277A9">
        <w:rPr>
          <w:rFonts w:ascii="Times New Roman" w:hAnsi="Times New Roman"/>
          <w:sz w:val="24"/>
          <w:szCs w:val="24"/>
          <w:lang w:val="sr-Cyrl-CS"/>
        </w:rPr>
        <w:t>привлачење страног капитала</w:t>
      </w:r>
      <w:r w:rsidR="00082CCE">
        <w:rPr>
          <w:rFonts w:ascii="Times New Roman" w:hAnsi="Times New Roman"/>
          <w:sz w:val="24"/>
          <w:szCs w:val="24"/>
          <w:lang w:val="sr-Cyrl-CS"/>
        </w:rPr>
        <w:t>. Потом, к</w:t>
      </w:r>
      <w:r w:rsidR="00065E4B">
        <w:rPr>
          <w:rFonts w:ascii="Times New Roman" w:hAnsi="Times New Roman"/>
          <w:sz w:val="24"/>
          <w:szCs w:val="24"/>
          <w:lang w:val="sr-Cyrl-CS"/>
        </w:rPr>
        <w:t xml:space="preserve">роз опорезивање се може стимулисати </w:t>
      </w:r>
      <w:r w:rsidR="00082CCE">
        <w:rPr>
          <w:rFonts w:ascii="Times New Roman" w:hAnsi="Times New Roman"/>
          <w:sz w:val="24"/>
          <w:szCs w:val="24"/>
          <w:lang w:val="sr-Cyrl-CS"/>
        </w:rPr>
        <w:t>јавни дуг намењен инвестицијама, а у</w:t>
      </w:r>
      <w:r w:rsidR="00E277A9">
        <w:rPr>
          <w:rFonts w:ascii="Times New Roman" w:hAnsi="Times New Roman"/>
          <w:sz w:val="24"/>
          <w:szCs w:val="24"/>
          <w:lang w:val="sr-Cyrl-CS"/>
        </w:rPr>
        <w:t xml:space="preserve"> домену личне штедње, преко повољнијег пореског третмана камата, кроз ослобађања прихода од личне штедње и сл.</w:t>
      </w:r>
      <w:r w:rsidR="00F163A3">
        <w:rPr>
          <w:rStyle w:val="FootnoteReference"/>
          <w:rFonts w:ascii="Times New Roman" w:hAnsi="Times New Roman"/>
          <w:sz w:val="24"/>
          <w:szCs w:val="24"/>
          <w:lang w:val="sr-Cyrl-CS"/>
        </w:rPr>
        <w:footnoteReference w:id="64"/>
      </w:r>
      <w:r w:rsidR="00F163A3">
        <w:rPr>
          <w:rFonts w:ascii="Times New Roman" w:hAnsi="Times New Roman"/>
          <w:sz w:val="24"/>
          <w:szCs w:val="24"/>
        </w:rPr>
        <w:t xml:space="preserve"> </w:t>
      </w:r>
    </w:p>
    <w:p w:rsidR="003F5CDD" w:rsidRDefault="00065E4B" w:rsidP="00571F43">
      <w:pPr>
        <w:ind w:firstLine="360"/>
        <w:jc w:val="both"/>
        <w:rPr>
          <w:rFonts w:ascii="Times New Roman" w:hAnsi="Times New Roman"/>
          <w:sz w:val="24"/>
          <w:szCs w:val="24"/>
          <w:lang w:val="sr-Cyrl-CS"/>
        </w:rPr>
      </w:pPr>
      <w:r>
        <w:rPr>
          <w:rFonts w:ascii="Times New Roman" w:hAnsi="Times New Roman"/>
          <w:sz w:val="24"/>
          <w:szCs w:val="24"/>
          <w:lang w:val="sr-Cyrl-CS"/>
        </w:rPr>
        <w:t xml:space="preserve">Опорезивањем се може утицати на тржишне механизме, у којима </w:t>
      </w:r>
      <w:r w:rsidRPr="008B4FBE">
        <w:rPr>
          <w:rFonts w:ascii="Times New Roman" w:hAnsi="Times New Roman"/>
          <w:sz w:val="24"/>
          <w:szCs w:val="24"/>
          <w:lang w:val="sr-Cyrl-CS"/>
        </w:rPr>
        <w:t xml:space="preserve">понуда и тражња одређује цене на тржишту. </w:t>
      </w:r>
      <w:r w:rsidR="003627D5" w:rsidRPr="008B4FBE">
        <w:rPr>
          <w:rFonts w:ascii="Times New Roman" w:hAnsi="Times New Roman"/>
          <w:sz w:val="24"/>
          <w:szCs w:val="24"/>
          <w:lang w:val="sr-Cyrl-CS"/>
        </w:rPr>
        <w:t xml:space="preserve">Сваки порез утиче на цену и то индиректни </w:t>
      </w:r>
      <w:r w:rsidR="00571F43" w:rsidRPr="008B4FBE">
        <w:rPr>
          <w:rFonts w:ascii="Times New Roman" w:hAnsi="Times New Roman"/>
          <w:sz w:val="24"/>
          <w:szCs w:val="24"/>
        </w:rPr>
        <w:t>или посредни</w:t>
      </w:r>
      <w:r w:rsidR="00571F43">
        <w:rPr>
          <w:rFonts w:ascii="Times New Roman" w:hAnsi="Times New Roman"/>
          <w:sz w:val="24"/>
          <w:szCs w:val="24"/>
        </w:rPr>
        <w:t xml:space="preserve"> </w:t>
      </w:r>
      <w:r w:rsidR="003627D5">
        <w:rPr>
          <w:rFonts w:ascii="Times New Roman" w:hAnsi="Times New Roman"/>
          <w:sz w:val="24"/>
          <w:szCs w:val="24"/>
          <w:lang w:val="sr-Cyrl-CS"/>
        </w:rPr>
        <w:t xml:space="preserve">редовно, </w:t>
      </w:r>
      <w:r w:rsidR="00571F43">
        <w:rPr>
          <w:rFonts w:ascii="Times New Roman" w:hAnsi="Times New Roman"/>
          <w:sz w:val="24"/>
          <w:szCs w:val="24"/>
          <w:lang w:val="sr-Cyrl-CS"/>
        </w:rPr>
        <w:t xml:space="preserve">јер кроз уграђивање у цену производа и услуга, доводе до пораста цена, </w:t>
      </w:r>
      <w:r w:rsidR="003627D5">
        <w:rPr>
          <w:rFonts w:ascii="Times New Roman" w:hAnsi="Times New Roman"/>
          <w:sz w:val="24"/>
          <w:szCs w:val="24"/>
          <w:lang w:val="sr-Cyrl-CS"/>
        </w:rPr>
        <w:t xml:space="preserve">а директни повремено. </w:t>
      </w:r>
      <w:r w:rsidR="00571F43">
        <w:rPr>
          <w:rFonts w:ascii="Times New Roman" w:hAnsi="Times New Roman"/>
          <w:sz w:val="24"/>
          <w:szCs w:val="24"/>
          <w:lang w:val="sr-Cyrl-CS"/>
        </w:rPr>
        <w:t xml:space="preserve">Уколико </w:t>
      </w:r>
      <w:r w:rsidR="00BE40D7">
        <w:rPr>
          <w:rFonts w:ascii="Times New Roman" w:hAnsi="Times New Roman"/>
          <w:sz w:val="24"/>
          <w:szCs w:val="24"/>
          <w:lang w:val="sr-Cyrl-CS"/>
        </w:rPr>
        <w:t>се повећају порези, односно уколико се порезима одузима већи део дохотка пореских обвезника, може доћи до смањења тражње, повећања у ценама производње,  те до сужавања привредне активности. Уколико се смање порези долази до повећања тражње, смањења цена производње те до проширивања привредне активности, јер се опорезивањем захвата мање, односно више новца остаје код пореских обвезника.</w:t>
      </w:r>
      <w:r w:rsidR="00571F43">
        <w:rPr>
          <w:rFonts w:ascii="Times New Roman" w:hAnsi="Times New Roman"/>
          <w:sz w:val="24"/>
          <w:szCs w:val="24"/>
        </w:rPr>
        <w:t xml:space="preserve"> </w:t>
      </w:r>
      <w:r w:rsidR="00CE2DD7">
        <w:rPr>
          <w:rFonts w:ascii="Times New Roman" w:hAnsi="Times New Roman"/>
          <w:sz w:val="24"/>
          <w:szCs w:val="24"/>
          <w:lang w:val="sr-Cyrl-CS"/>
        </w:rPr>
        <w:t xml:space="preserve">У случају </w:t>
      </w:r>
      <w:r w:rsidR="00BB07B0">
        <w:rPr>
          <w:rFonts w:ascii="Times New Roman" w:hAnsi="Times New Roman"/>
          <w:sz w:val="24"/>
          <w:szCs w:val="24"/>
          <w:lang w:val="sr-Cyrl-CS"/>
        </w:rPr>
        <w:t>већих пореских захватања, долази</w:t>
      </w:r>
      <w:r w:rsidR="00CE2DD7">
        <w:rPr>
          <w:rFonts w:ascii="Times New Roman" w:hAnsi="Times New Roman"/>
          <w:sz w:val="24"/>
          <w:szCs w:val="24"/>
          <w:lang w:val="sr-Cyrl-CS"/>
        </w:rPr>
        <w:t xml:space="preserve"> до смањења агрегатне тражње, односно призводње. У случају мањих пореских захватања, доћи ће до повећања производње, а самим тим укупног привредног раста, али то може утицати на пораст инфлације и самим тим до дестабилизације целокупне привреде.</w:t>
      </w:r>
    </w:p>
    <w:p w:rsidR="004F5DCB" w:rsidRPr="001F2720" w:rsidRDefault="00BE40D7" w:rsidP="001F2720">
      <w:pPr>
        <w:ind w:firstLine="360"/>
        <w:jc w:val="both"/>
        <w:rPr>
          <w:rFonts w:ascii="Times New Roman" w:hAnsi="Times New Roman"/>
          <w:sz w:val="24"/>
          <w:szCs w:val="24"/>
          <w:lang w:val="sr-Cyrl-CS"/>
        </w:rPr>
      </w:pPr>
      <w:r>
        <w:rPr>
          <w:rFonts w:ascii="Times New Roman" w:hAnsi="Times New Roman"/>
          <w:sz w:val="24"/>
          <w:szCs w:val="24"/>
          <w:lang w:val="sr-Cyrl-CS"/>
        </w:rPr>
        <w:t xml:space="preserve">Уколико се наведена ланчана реакција пренесе на микро план, односно на ниво </w:t>
      </w:r>
      <w:r w:rsidR="00CE2DD7">
        <w:rPr>
          <w:rFonts w:ascii="Times New Roman" w:hAnsi="Times New Roman"/>
          <w:sz w:val="24"/>
          <w:szCs w:val="24"/>
          <w:lang w:val="sr-Cyrl-CS"/>
        </w:rPr>
        <w:t>одређене гране производње</w:t>
      </w:r>
      <w:r w:rsidR="00270686">
        <w:rPr>
          <w:rFonts w:ascii="Times New Roman" w:hAnsi="Times New Roman"/>
          <w:sz w:val="24"/>
          <w:szCs w:val="24"/>
          <w:lang w:val="sr-Cyrl-CS"/>
        </w:rPr>
        <w:t>, регион или категорију грађана, о</w:t>
      </w:r>
      <w:r w:rsidR="00CE2DD7">
        <w:rPr>
          <w:rFonts w:ascii="Times New Roman" w:hAnsi="Times New Roman"/>
          <w:sz w:val="24"/>
          <w:szCs w:val="24"/>
          <w:lang w:val="sr-Cyrl-CS"/>
        </w:rPr>
        <w:t>порез</w:t>
      </w:r>
      <w:r w:rsidR="009C08EA">
        <w:rPr>
          <w:rFonts w:ascii="Times New Roman" w:hAnsi="Times New Roman"/>
          <w:sz w:val="24"/>
          <w:szCs w:val="24"/>
          <w:lang w:val="sr-Cyrl-CS"/>
        </w:rPr>
        <w:t>и</w:t>
      </w:r>
      <w:r w:rsidR="00CE2DD7">
        <w:rPr>
          <w:rFonts w:ascii="Times New Roman" w:hAnsi="Times New Roman"/>
          <w:sz w:val="24"/>
          <w:szCs w:val="24"/>
          <w:lang w:val="sr-Cyrl-CS"/>
        </w:rPr>
        <w:t xml:space="preserve">вање може довести до различитих ефеката. </w:t>
      </w:r>
      <w:r w:rsidR="001746EA">
        <w:rPr>
          <w:rFonts w:ascii="Times New Roman" w:hAnsi="Times New Roman"/>
          <w:sz w:val="24"/>
          <w:szCs w:val="24"/>
          <w:lang w:val="sr-Cyrl-CS"/>
        </w:rPr>
        <w:t xml:space="preserve">Пореском политиком се може деловати на убрзање економског развоја појединих заосталих подручја, али и до спречавања концентрације индустрије у појединим областима, увођењем додатних пореза на капацитете у тим областима. </w:t>
      </w:r>
      <w:r w:rsidR="00CE2DD7">
        <w:rPr>
          <w:rFonts w:ascii="Times New Roman" w:hAnsi="Times New Roman"/>
          <w:sz w:val="24"/>
          <w:szCs w:val="24"/>
          <w:lang w:val="sr-Cyrl-CS"/>
        </w:rPr>
        <w:t>Тако се високим царинама при увозу, на пример аутомобила, може штитити домаћа аутоиндустрија од иностране конкуренције. Смањењем опорезивања до</w:t>
      </w:r>
      <w:r w:rsidR="00270686">
        <w:rPr>
          <w:rFonts w:ascii="Times New Roman" w:hAnsi="Times New Roman"/>
          <w:sz w:val="24"/>
          <w:szCs w:val="24"/>
          <w:lang w:val="sr-Cyrl-CS"/>
        </w:rPr>
        <w:t>ходака у неким делатностима, оне</w:t>
      </w:r>
      <w:r w:rsidR="00CE2DD7">
        <w:rPr>
          <w:rFonts w:ascii="Times New Roman" w:hAnsi="Times New Roman"/>
          <w:sz w:val="24"/>
          <w:szCs w:val="24"/>
          <w:lang w:val="sr-Cyrl-CS"/>
        </w:rPr>
        <w:t xml:space="preserve"> се доводе у повољнији полажај у односу на друге делатности. Повећано опорезивање у неким делатностима доводи до смањења рентабилности.</w:t>
      </w:r>
      <w:r w:rsidR="00571F43">
        <w:rPr>
          <w:rFonts w:ascii="Times New Roman" w:hAnsi="Times New Roman"/>
          <w:sz w:val="24"/>
          <w:szCs w:val="24"/>
        </w:rPr>
        <w:t xml:space="preserve"> </w:t>
      </w:r>
    </w:p>
    <w:p w:rsidR="00911752" w:rsidRPr="001F2720" w:rsidRDefault="00571F43" w:rsidP="001F2720">
      <w:pPr>
        <w:ind w:firstLine="360"/>
        <w:jc w:val="both"/>
        <w:rPr>
          <w:rFonts w:ascii="Times New Roman" w:hAnsi="Times New Roman"/>
          <w:b/>
          <w:sz w:val="24"/>
          <w:szCs w:val="24"/>
          <w:lang w:val="sr-Cyrl-CS"/>
        </w:rPr>
      </w:pPr>
      <w:r>
        <w:rPr>
          <w:rFonts w:ascii="Times New Roman" w:hAnsi="Times New Roman"/>
          <w:sz w:val="24"/>
          <w:szCs w:val="24"/>
          <w:lang w:val="sr-Cyrl-CS"/>
        </w:rPr>
        <w:lastRenderedPageBreak/>
        <w:t>О</w:t>
      </w:r>
      <w:r w:rsidR="003F5CDD">
        <w:rPr>
          <w:rFonts w:ascii="Times New Roman" w:hAnsi="Times New Roman"/>
          <w:sz w:val="24"/>
          <w:szCs w:val="24"/>
          <w:lang w:val="sr-Cyrl-CS"/>
        </w:rPr>
        <w:t xml:space="preserve">порезивање може имати </w:t>
      </w:r>
      <w:r>
        <w:rPr>
          <w:rFonts w:ascii="Times New Roman" w:hAnsi="Times New Roman"/>
          <w:sz w:val="24"/>
          <w:szCs w:val="24"/>
          <w:lang w:val="sr-Cyrl-CS"/>
        </w:rPr>
        <w:t xml:space="preserve"> </w:t>
      </w:r>
      <w:r w:rsidR="003F5CDD" w:rsidRPr="008B4FBE">
        <w:rPr>
          <w:rFonts w:ascii="Times New Roman" w:hAnsi="Times New Roman"/>
          <w:sz w:val="24"/>
          <w:szCs w:val="24"/>
          <w:lang w:val="sr-Cyrl-CS"/>
        </w:rPr>
        <w:t>стабилизационе ефекте за једну привреду која се налази у стању економске неравнотеже, који могу бити</w:t>
      </w:r>
      <w:r w:rsidR="003F5CDD">
        <w:rPr>
          <w:rFonts w:ascii="Times New Roman" w:hAnsi="Times New Roman"/>
          <w:sz w:val="24"/>
          <w:szCs w:val="24"/>
          <w:lang w:val="sr-Cyrl-CS"/>
        </w:rPr>
        <w:t xml:space="preserve"> рестриктивни или експанзиони.  Наиме, уколико је понуда на тржишту већа од тражње, прибегава се путем опорезивања подстицању тражње, односно повећању куповне снаге и то су експанзиони ефекти опорез</w:t>
      </w:r>
      <w:r w:rsidR="00270686">
        <w:rPr>
          <w:rFonts w:ascii="Times New Roman" w:hAnsi="Times New Roman"/>
          <w:sz w:val="24"/>
          <w:szCs w:val="24"/>
          <w:lang w:val="sr-Cyrl-CS"/>
        </w:rPr>
        <w:t>и</w:t>
      </w:r>
      <w:r w:rsidR="003F5CDD">
        <w:rPr>
          <w:rFonts w:ascii="Times New Roman" w:hAnsi="Times New Roman"/>
          <w:sz w:val="24"/>
          <w:szCs w:val="24"/>
          <w:lang w:val="sr-Cyrl-CS"/>
        </w:rPr>
        <w:t xml:space="preserve">вања. Уколико је тражња на тржишту већа од понуде, рестриктивним опорезивањем се може допринети смањењу потрошње. </w:t>
      </w:r>
      <w:r>
        <w:rPr>
          <w:rFonts w:ascii="Times New Roman" w:hAnsi="Times New Roman"/>
          <w:sz w:val="24"/>
          <w:szCs w:val="24"/>
          <w:lang w:val="sr-Cyrl-CS"/>
        </w:rPr>
        <w:t xml:space="preserve"> На тај начин  путем опорезивања држава може контролисати </w:t>
      </w:r>
      <w:r w:rsidRPr="008B4FBE">
        <w:rPr>
          <w:rFonts w:ascii="Times New Roman" w:hAnsi="Times New Roman"/>
          <w:sz w:val="24"/>
          <w:szCs w:val="24"/>
          <w:lang w:val="sr-Cyrl-CS"/>
        </w:rPr>
        <w:t>потрошњу</w:t>
      </w:r>
      <w:r w:rsidRPr="00571F43">
        <w:rPr>
          <w:rFonts w:ascii="Times New Roman" w:hAnsi="Times New Roman"/>
          <w:b/>
          <w:sz w:val="24"/>
          <w:szCs w:val="24"/>
          <w:lang w:val="sr-Cyrl-CS"/>
        </w:rPr>
        <w:t xml:space="preserve"> </w:t>
      </w:r>
      <w:r>
        <w:rPr>
          <w:rFonts w:ascii="Times New Roman" w:hAnsi="Times New Roman"/>
          <w:sz w:val="24"/>
          <w:szCs w:val="24"/>
          <w:lang w:val="sr-Cyrl-CS"/>
        </w:rPr>
        <w:t>на тржишту</w:t>
      </w:r>
      <w:r w:rsidR="00911752">
        <w:rPr>
          <w:rFonts w:ascii="Times New Roman" w:hAnsi="Times New Roman"/>
          <w:sz w:val="24"/>
          <w:szCs w:val="24"/>
          <w:lang w:val="sr-Cyrl-CS"/>
        </w:rPr>
        <w:t>, јер</w:t>
      </w:r>
      <w:r>
        <w:rPr>
          <w:rFonts w:ascii="Times New Roman" w:hAnsi="Times New Roman"/>
          <w:sz w:val="24"/>
          <w:szCs w:val="24"/>
          <w:lang w:val="sr-Cyrl-CS"/>
        </w:rPr>
        <w:t xml:space="preserve"> </w:t>
      </w:r>
      <w:r w:rsidR="00911752">
        <w:rPr>
          <w:rFonts w:ascii="Times New Roman" w:hAnsi="Times New Roman"/>
          <w:sz w:val="24"/>
          <w:szCs w:val="24"/>
          <w:lang w:val="sr-Cyrl-CS"/>
        </w:rPr>
        <w:t>се приликом смањења тражње смањује расположиви доходак</w:t>
      </w:r>
      <w:r>
        <w:rPr>
          <w:rFonts w:ascii="Times New Roman" w:hAnsi="Times New Roman"/>
          <w:sz w:val="24"/>
          <w:szCs w:val="24"/>
          <w:lang w:val="sr-Cyrl-CS"/>
        </w:rPr>
        <w:t xml:space="preserve">, те опорезивање има ефекте </w:t>
      </w:r>
      <w:r w:rsidR="00911752">
        <w:rPr>
          <w:rFonts w:ascii="Times New Roman" w:hAnsi="Times New Roman"/>
          <w:sz w:val="24"/>
          <w:szCs w:val="24"/>
          <w:lang w:val="sr-Cyrl-CS"/>
        </w:rPr>
        <w:t xml:space="preserve">и </w:t>
      </w:r>
      <w:r>
        <w:rPr>
          <w:rFonts w:ascii="Times New Roman" w:hAnsi="Times New Roman"/>
          <w:sz w:val="24"/>
          <w:szCs w:val="24"/>
          <w:lang w:val="sr-Cyrl-CS"/>
        </w:rPr>
        <w:t>у домену националног дохотка</w:t>
      </w:r>
      <w:r w:rsidR="00911752">
        <w:rPr>
          <w:rFonts w:ascii="Times New Roman" w:hAnsi="Times New Roman"/>
          <w:sz w:val="24"/>
          <w:szCs w:val="24"/>
          <w:lang w:val="sr-Cyrl-CS"/>
        </w:rPr>
        <w:t>, а д</w:t>
      </w:r>
      <w:r w:rsidR="003627D5" w:rsidRPr="003627D5">
        <w:rPr>
          <w:rFonts w:ascii="Times New Roman" w:hAnsi="Times New Roman"/>
          <w:sz w:val="24"/>
          <w:szCs w:val="24"/>
          <w:lang w:val="sr-Cyrl-CS"/>
        </w:rPr>
        <w:t xml:space="preserve">еловањем </w:t>
      </w:r>
      <w:r w:rsidR="003627D5">
        <w:rPr>
          <w:rFonts w:ascii="Times New Roman" w:hAnsi="Times New Roman"/>
          <w:sz w:val="24"/>
          <w:szCs w:val="24"/>
          <w:lang w:val="sr-Cyrl-CS"/>
        </w:rPr>
        <w:t xml:space="preserve">на тражњу </w:t>
      </w:r>
      <w:r w:rsidR="005F5B7D">
        <w:rPr>
          <w:rFonts w:ascii="Times New Roman" w:hAnsi="Times New Roman"/>
          <w:sz w:val="24"/>
          <w:szCs w:val="24"/>
          <w:lang w:val="sr-Cyrl-CS"/>
        </w:rPr>
        <w:t xml:space="preserve">утиче се посредно и на ниво </w:t>
      </w:r>
      <w:r w:rsidR="005F5B7D" w:rsidRPr="008B4FBE">
        <w:rPr>
          <w:rFonts w:ascii="Times New Roman" w:hAnsi="Times New Roman"/>
          <w:sz w:val="24"/>
          <w:szCs w:val="24"/>
          <w:lang w:val="sr-Cyrl-CS"/>
        </w:rPr>
        <w:t>инфлације.</w:t>
      </w:r>
      <w:r w:rsidR="005F5B7D">
        <w:rPr>
          <w:rFonts w:ascii="Times New Roman" w:hAnsi="Times New Roman"/>
          <w:b/>
          <w:sz w:val="24"/>
          <w:szCs w:val="24"/>
          <w:lang w:val="sr-Cyrl-CS"/>
        </w:rPr>
        <w:t xml:space="preserve"> </w:t>
      </w:r>
      <w:r w:rsidR="00EB6068">
        <w:rPr>
          <w:rFonts w:ascii="Times New Roman" w:hAnsi="Times New Roman"/>
          <w:sz w:val="24"/>
          <w:szCs w:val="24"/>
          <w:lang w:val="sr-Cyrl-CS"/>
        </w:rPr>
        <w:t>Према томе, н</w:t>
      </w:r>
      <w:r w:rsidR="00EB6068" w:rsidRPr="00653525">
        <w:rPr>
          <w:rFonts w:ascii="Times New Roman" w:hAnsi="Times New Roman"/>
          <w:sz w:val="24"/>
          <w:szCs w:val="24"/>
          <w:lang w:val="sr-Cyrl-CS"/>
        </w:rPr>
        <w:t xml:space="preserve">а </w:t>
      </w:r>
      <w:r w:rsidR="00EB6068">
        <w:rPr>
          <w:rFonts w:ascii="Times New Roman" w:hAnsi="Times New Roman"/>
          <w:sz w:val="24"/>
          <w:szCs w:val="24"/>
          <w:lang w:val="sr-Cyrl-CS"/>
        </w:rPr>
        <w:t xml:space="preserve">макро плану у домену регулисања односа државних расхода и прихода, порези могу имати значајне ефекте, па су у том смислу значајни и за регулисање </w:t>
      </w:r>
      <w:r w:rsidR="00EB6068" w:rsidRPr="008B4FBE">
        <w:rPr>
          <w:rFonts w:ascii="Times New Roman" w:hAnsi="Times New Roman"/>
          <w:sz w:val="24"/>
          <w:szCs w:val="24"/>
          <w:lang w:val="sr-Cyrl-CS"/>
        </w:rPr>
        <w:t>државног дефицита</w:t>
      </w:r>
      <w:r w:rsidR="00EB6068">
        <w:rPr>
          <w:rFonts w:ascii="Times New Roman" w:hAnsi="Times New Roman"/>
          <w:sz w:val="24"/>
          <w:szCs w:val="24"/>
          <w:lang w:val="sr-Cyrl-CS"/>
        </w:rPr>
        <w:t xml:space="preserve">. </w:t>
      </w:r>
    </w:p>
    <w:p w:rsidR="00065E4B" w:rsidRDefault="00065E4B" w:rsidP="00911752">
      <w:pPr>
        <w:ind w:firstLine="360"/>
        <w:jc w:val="both"/>
        <w:rPr>
          <w:rFonts w:ascii="Times New Roman" w:hAnsi="Times New Roman"/>
          <w:sz w:val="24"/>
          <w:szCs w:val="24"/>
          <w:lang w:val="sr-Cyrl-CS"/>
        </w:rPr>
      </w:pPr>
      <w:r>
        <w:rPr>
          <w:rFonts w:ascii="Times New Roman" w:hAnsi="Times New Roman"/>
          <w:sz w:val="24"/>
          <w:szCs w:val="24"/>
          <w:lang w:val="sr-Cyrl-CS"/>
        </w:rPr>
        <w:t>Наведен утицај опорезивања на цене роба и услуга на тржишту, даље повлачи утицај на цене р</w:t>
      </w:r>
      <w:r w:rsidR="003627D5">
        <w:rPr>
          <w:rFonts w:ascii="Times New Roman" w:hAnsi="Times New Roman"/>
          <w:sz w:val="24"/>
          <w:szCs w:val="24"/>
          <w:lang w:val="sr-Cyrl-CS"/>
        </w:rPr>
        <w:t>оба и ус</w:t>
      </w:r>
      <w:r>
        <w:rPr>
          <w:rFonts w:ascii="Times New Roman" w:hAnsi="Times New Roman"/>
          <w:sz w:val="24"/>
          <w:szCs w:val="24"/>
          <w:lang w:val="sr-Cyrl-CS"/>
        </w:rPr>
        <w:t xml:space="preserve">луга при </w:t>
      </w:r>
      <w:r w:rsidRPr="008B4FBE">
        <w:rPr>
          <w:rFonts w:ascii="Times New Roman" w:hAnsi="Times New Roman"/>
          <w:sz w:val="24"/>
          <w:szCs w:val="24"/>
          <w:lang w:val="sr-Cyrl-CS"/>
        </w:rPr>
        <w:t>увозу и извозу</w:t>
      </w:r>
      <w:r>
        <w:rPr>
          <w:rFonts w:ascii="Times New Roman" w:hAnsi="Times New Roman"/>
          <w:sz w:val="24"/>
          <w:szCs w:val="24"/>
          <w:lang w:val="sr-Cyrl-CS"/>
        </w:rPr>
        <w:t xml:space="preserve">. </w:t>
      </w:r>
      <w:r w:rsidR="00BB07B0">
        <w:rPr>
          <w:rFonts w:ascii="Times New Roman" w:hAnsi="Times New Roman"/>
          <w:sz w:val="24"/>
          <w:szCs w:val="24"/>
          <w:lang w:val="sr-Cyrl-CS"/>
        </w:rPr>
        <w:t>Опорезивањем</w:t>
      </w:r>
      <w:r w:rsidR="001A1CFD">
        <w:rPr>
          <w:rFonts w:ascii="Times New Roman" w:hAnsi="Times New Roman"/>
          <w:sz w:val="24"/>
          <w:szCs w:val="24"/>
          <w:lang w:val="sr-Cyrl-CS"/>
        </w:rPr>
        <w:t xml:space="preserve"> се може </w:t>
      </w:r>
      <w:r w:rsidR="00911752">
        <w:rPr>
          <w:rFonts w:ascii="Times New Roman" w:hAnsi="Times New Roman"/>
          <w:sz w:val="24"/>
          <w:szCs w:val="24"/>
          <w:lang w:val="sr-Cyrl-CS"/>
        </w:rPr>
        <w:t>преко мањег или већег царинс</w:t>
      </w:r>
      <w:r w:rsidR="001746EA">
        <w:rPr>
          <w:rFonts w:ascii="Times New Roman" w:hAnsi="Times New Roman"/>
          <w:sz w:val="24"/>
          <w:szCs w:val="24"/>
          <w:lang w:val="sr-Cyrl-CS"/>
        </w:rPr>
        <w:t xml:space="preserve">ког оптерећења или увођењем посебних облика пореза </w:t>
      </w:r>
      <w:r w:rsidR="001A1CFD">
        <w:rPr>
          <w:rFonts w:ascii="Times New Roman" w:hAnsi="Times New Roman"/>
          <w:sz w:val="24"/>
          <w:szCs w:val="24"/>
          <w:lang w:val="sr-Cyrl-CS"/>
        </w:rPr>
        <w:t>подстицати извоз, однос</w:t>
      </w:r>
      <w:r w:rsidR="00BB07B0">
        <w:rPr>
          <w:rFonts w:ascii="Times New Roman" w:hAnsi="Times New Roman"/>
          <w:sz w:val="24"/>
          <w:szCs w:val="24"/>
          <w:lang w:val="sr-Cyrl-CS"/>
        </w:rPr>
        <w:t>но увоз и обратно, разним увозним оптерећењима, од</w:t>
      </w:r>
      <w:r w:rsidR="005F5B7D">
        <w:rPr>
          <w:rFonts w:ascii="Times New Roman" w:hAnsi="Times New Roman"/>
          <w:sz w:val="24"/>
          <w:szCs w:val="24"/>
          <w:lang w:val="sr-Cyrl-CS"/>
        </w:rPr>
        <w:t>носно разним увозним олакшицама, увођењем посебног пореза и сл.</w:t>
      </w:r>
      <w:r w:rsidR="00BB07B0">
        <w:rPr>
          <w:rFonts w:ascii="Times New Roman" w:hAnsi="Times New Roman"/>
          <w:sz w:val="24"/>
          <w:szCs w:val="24"/>
          <w:lang w:val="sr-Cyrl-CS"/>
        </w:rPr>
        <w:t xml:space="preserve"> Најчешће се користе </w:t>
      </w:r>
      <w:r w:rsidR="001A1CFD">
        <w:rPr>
          <w:rFonts w:ascii="Times New Roman" w:hAnsi="Times New Roman"/>
          <w:sz w:val="24"/>
          <w:szCs w:val="24"/>
          <w:lang w:val="sr-Cyrl-CS"/>
        </w:rPr>
        <w:t xml:space="preserve">заштитне </w:t>
      </w:r>
      <w:r w:rsidR="00BB07B0">
        <w:rPr>
          <w:rFonts w:ascii="Times New Roman" w:hAnsi="Times New Roman"/>
          <w:sz w:val="24"/>
          <w:szCs w:val="24"/>
          <w:lang w:val="sr-Cyrl-CS"/>
        </w:rPr>
        <w:t xml:space="preserve">царине у циљу </w:t>
      </w:r>
      <w:r w:rsidR="001A1CFD">
        <w:rPr>
          <w:rFonts w:ascii="Times New Roman" w:hAnsi="Times New Roman"/>
          <w:sz w:val="24"/>
          <w:szCs w:val="24"/>
          <w:lang w:val="sr-Cyrl-CS"/>
        </w:rPr>
        <w:t xml:space="preserve">поскупљена иностране робе на домаћем тржишту, како би се повећао извоз и ограничио увоз. Тиме се врши </w:t>
      </w:r>
      <w:r w:rsidR="00BB07B0">
        <w:rPr>
          <w:rFonts w:ascii="Times New Roman" w:hAnsi="Times New Roman"/>
          <w:sz w:val="24"/>
          <w:szCs w:val="24"/>
          <w:lang w:val="sr-Cyrl-CS"/>
        </w:rPr>
        <w:t>за</w:t>
      </w:r>
      <w:r w:rsidR="001A1CFD">
        <w:rPr>
          <w:rFonts w:ascii="Times New Roman" w:hAnsi="Times New Roman"/>
          <w:sz w:val="24"/>
          <w:szCs w:val="24"/>
          <w:lang w:val="sr-Cyrl-CS"/>
        </w:rPr>
        <w:t xml:space="preserve">штита одређене привредне гране и остварује активан платни биланс, </w:t>
      </w:r>
      <w:r w:rsidR="00BB07B0">
        <w:rPr>
          <w:rFonts w:ascii="Times New Roman" w:hAnsi="Times New Roman"/>
          <w:sz w:val="24"/>
          <w:szCs w:val="24"/>
          <w:lang w:val="sr-Cyrl-CS"/>
        </w:rPr>
        <w:t>мада се примењују и други начини путем опорезивања.</w:t>
      </w:r>
      <w:r w:rsidR="00911752">
        <w:rPr>
          <w:rFonts w:ascii="Times New Roman" w:hAnsi="Times New Roman"/>
          <w:sz w:val="24"/>
          <w:szCs w:val="24"/>
          <w:lang w:val="sr-Cyrl-CS"/>
        </w:rPr>
        <w:t xml:space="preserve"> Са друге стране, ослобађем извоза од пореза на промет се подстиче извоз роба и услуга и повећава се конкурентност истих на међународном тржишту.</w:t>
      </w:r>
    </w:p>
    <w:p w:rsidR="003627D5" w:rsidRDefault="00BB07B0" w:rsidP="0017218A">
      <w:pPr>
        <w:ind w:firstLine="360"/>
        <w:jc w:val="both"/>
        <w:rPr>
          <w:rFonts w:ascii="Times New Roman" w:hAnsi="Times New Roman"/>
          <w:sz w:val="24"/>
          <w:szCs w:val="24"/>
          <w:lang w:val="sr-Cyrl-CS"/>
        </w:rPr>
      </w:pPr>
      <w:r>
        <w:rPr>
          <w:rFonts w:ascii="Times New Roman" w:hAnsi="Times New Roman"/>
          <w:sz w:val="24"/>
          <w:szCs w:val="24"/>
          <w:lang w:val="sr-Cyrl-CS"/>
        </w:rPr>
        <w:t>Опорезвање може имати ефекте на повећање привре</w:t>
      </w:r>
      <w:r w:rsidR="005F5B7D">
        <w:rPr>
          <w:rFonts w:ascii="Times New Roman" w:hAnsi="Times New Roman"/>
          <w:sz w:val="24"/>
          <w:szCs w:val="24"/>
          <w:lang w:val="sr-Cyrl-CS"/>
        </w:rPr>
        <w:t>дног развоја</w:t>
      </w:r>
      <w:r>
        <w:rPr>
          <w:rFonts w:ascii="Times New Roman" w:hAnsi="Times New Roman"/>
          <w:sz w:val="24"/>
          <w:szCs w:val="24"/>
          <w:lang w:val="sr-Cyrl-CS"/>
        </w:rPr>
        <w:t xml:space="preserve">, односно појединих </w:t>
      </w:r>
      <w:r w:rsidR="003627D5">
        <w:rPr>
          <w:rFonts w:ascii="Times New Roman" w:hAnsi="Times New Roman"/>
          <w:sz w:val="24"/>
          <w:szCs w:val="24"/>
          <w:lang w:val="sr-Cyrl-CS"/>
        </w:rPr>
        <w:t xml:space="preserve">региона, </w:t>
      </w:r>
      <w:r>
        <w:rPr>
          <w:rFonts w:ascii="Times New Roman" w:hAnsi="Times New Roman"/>
          <w:sz w:val="24"/>
          <w:szCs w:val="24"/>
          <w:lang w:val="sr-Cyrl-CS"/>
        </w:rPr>
        <w:t xml:space="preserve">привредних грана и привредних </w:t>
      </w:r>
      <w:r w:rsidR="00911752">
        <w:rPr>
          <w:rFonts w:ascii="Times New Roman" w:hAnsi="Times New Roman"/>
          <w:sz w:val="24"/>
          <w:szCs w:val="24"/>
          <w:lang w:val="sr-Cyrl-CS"/>
        </w:rPr>
        <w:t>субјеката</w:t>
      </w:r>
      <w:r>
        <w:rPr>
          <w:rFonts w:ascii="Times New Roman" w:hAnsi="Times New Roman"/>
          <w:sz w:val="24"/>
          <w:szCs w:val="24"/>
          <w:lang w:val="sr-Cyrl-CS"/>
        </w:rPr>
        <w:t xml:space="preserve">, </w:t>
      </w:r>
      <w:r w:rsidR="003627D5">
        <w:rPr>
          <w:rFonts w:ascii="Times New Roman" w:hAnsi="Times New Roman"/>
          <w:sz w:val="24"/>
          <w:szCs w:val="24"/>
          <w:lang w:val="sr-Cyrl-CS"/>
        </w:rPr>
        <w:t>путем диференцираног опорезивања,</w:t>
      </w:r>
      <w:r>
        <w:rPr>
          <w:rFonts w:ascii="Times New Roman" w:hAnsi="Times New Roman"/>
          <w:sz w:val="24"/>
          <w:szCs w:val="24"/>
          <w:lang w:val="sr-Cyrl-CS"/>
        </w:rPr>
        <w:t xml:space="preserve"> мањим пореским стопама, порески</w:t>
      </w:r>
      <w:r w:rsidR="00120FCA">
        <w:rPr>
          <w:rFonts w:ascii="Times New Roman" w:hAnsi="Times New Roman"/>
          <w:sz w:val="24"/>
          <w:szCs w:val="24"/>
          <w:lang w:val="sr-Cyrl-CS"/>
        </w:rPr>
        <w:t>м ослобођењима и кредитима за на</w:t>
      </w:r>
      <w:r>
        <w:rPr>
          <w:rFonts w:ascii="Times New Roman" w:hAnsi="Times New Roman"/>
          <w:sz w:val="24"/>
          <w:szCs w:val="24"/>
          <w:lang w:val="sr-Cyrl-CS"/>
        </w:rPr>
        <w:t>бавку нове опреме</w:t>
      </w:r>
      <w:r w:rsidR="005F5B7D">
        <w:rPr>
          <w:rFonts w:ascii="Times New Roman" w:hAnsi="Times New Roman"/>
          <w:sz w:val="24"/>
          <w:szCs w:val="24"/>
          <w:lang w:val="sr-Cyrl-CS"/>
        </w:rPr>
        <w:t>, субвенцијама</w:t>
      </w:r>
      <w:r>
        <w:rPr>
          <w:rFonts w:ascii="Times New Roman" w:hAnsi="Times New Roman"/>
          <w:sz w:val="24"/>
          <w:szCs w:val="24"/>
          <w:lang w:val="sr-Cyrl-CS"/>
        </w:rPr>
        <w:t xml:space="preserve"> и сл.</w:t>
      </w:r>
      <w:r w:rsidR="00120FCA">
        <w:rPr>
          <w:rFonts w:ascii="Times New Roman" w:hAnsi="Times New Roman"/>
          <w:sz w:val="24"/>
          <w:szCs w:val="24"/>
          <w:lang w:val="sr-Cyrl-CS"/>
        </w:rPr>
        <w:t xml:space="preserve"> </w:t>
      </w:r>
      <w:r w:rsidR="00EB6068">
        <w:rPr>
          <w:rFonts w:ascii="Times New Roman" w:hAnsi="Times New Roman"/>
          <w:sz w:val="24"/>
          <w:szCs w:val="24"/>
          <w:lang w:val="sr-Cyrl-CS"/>
        </w:rPr>
        <w:t xml:space="preserve"> Кроз смањење дохотка, имовине, акумулације, потрошње и сл. о</w:t>
      </w:r>
      <w:r w:rsidR="00EB6068" w:rsidRPr="00E12948">
        <w:rPr>
          <w:rFonts w:ascii="Times New Roman" w:hAnsi="Times New Roman"/>
          <w:sz w:val="24"/>
          <w:szCs w:val="24"/>
          <w:lang w:val="sr-Cyrl-CS"/>
        </w:rPr>
        <w:t xml:space="preserve">порезивањем </w:t>
      </w:r>
      <w:r w:rsidR="00EB6068">
        <w:rPr>
          <w:rFonts w:ascii="Times New Roman" w:hAnsi="Times New Roman"/>
          <w:sz w:val="24"/>
          <w:szCs w:val="24"/>
          <w:lang w:val="sr-Cyrl-CS"/>
        </w:rPr>
        <w:t xml:space="preserve">се утиче и на економски положај правних и физичких лица, а самим тим и одређених групација и делатности, а прикупљена средства се усмеравају за финансирање </w:t>
      </w:r>
      <w:r w:rsidR="00270686">
        <w:rPr>
          <w:rFonts w:ascii="Times New Roman" w:hAnsi="Times New Roman"/>
          <w:sz w:val="24"/>
          <w:szCs w:val="24"/>
          <w:lang w:val="sr-Cyrl-CS"/>
        </w:rPr>
        <w:t>јавних</w:t>
      </w:r>
      <w:r w:rsidR="00EB6068">
        <w:rPr>
          <w:rFonts w:ascii="Times New Roman" w:hAnsi="Times New Roman"/>
          <w:sz w:val="24"/>
          <w:szCs w:val="24"/>
          <w:lang w:val="sr-Cyrl-CS"/>
        </w:rPr>
        <w:t xml:space="preserve"> потреба, односно </w:t>
      </w:r>
      <w:r w:rsidR="00270686">
        <w:rPr>
          <w:rFonts w:ascii="Times New Roman" w:hAnsi="Times New Roman"/>
          <w:sz w:val="24"/>
          <w:szCs w:val="24"/>
          <w:lang w:val="sr-Cyrl-CS"/>
        </w:rPr>
        <w:t xml:space="preserve">јавних </w:t>
      </w:r>
      <w:r w:rsidR="00EB6068">
        <w:rPr>
          <w:rFonts w:ascii="Times New Roman" w:hAnsi="Times New Roman"/>
          <w:sz w:val="24"/>
          <w:szCs w:val="24"/>
          <w:lang w:val="sr-Cyrl-CS"/>
        </w:rPr>
        <w:t xml:space="preserve">расхода.  </w:t>
      </w:r>
    </w:p>
    <w:p w:rsidR="00270686" w:rsidRDefault="00270686" w:rsidP="0017218A">
      <w:pPr>
        <w:ind w:firstLine="360"/>
        <w:jc w:val="both"/>
        <w:rPr>
          <w:rFonts w:ascii="Times New Roman" w:hAnsi="Times New Roman"/>
          <w:sz w:val="24"/>
          <w:szCs w:val="24"/>
          <w:lang w:val="sr-Cyrl-CS"/>
        </w:rPr>
      </w:pPr>
    </w:p>
    <w:p w:rsidR="001F2720" w:rsidRDefault="0017218A" w:rsidP="0017218A">
      <w:pPr>
        <w:jc w:val="both"/>
        <w:rPr>
          <w:rFonts w:ascii="Times New Roman" w:hAnsi="Times New Roman"/>
          <w:b/>
          <w:sz w:val="24"/>
          <w:szCs w:val="24"/>
          <w:lang w:val="sr-Cyrl-CS"/>
        </w:rPr>
      </w:pPr>
      <w:r>
        <w:rPr>
          <w:rFonts w:ascii="Times New Roman" w:hAnsi="Times New Roman"/>
          <w:b/>
          <w:sz w:val="24"/>
          <w:szCs w:val="24"/>
          <w:lang w:val="sr-Cyrl-CS"/>
        </w:rPr>
        <w:t>3)</w:t>
      </w:r>
      <w:r w:rsidR="00391D69">
        <w:rPr>
          <w:rFonts w:ascii="Times New Roman" w:hAnsi="Times New Roman"/>
          <w:b/>
          <w:sz w:val="24"/>
          <w:szCs w:val="24"/>
          <w:lang w:val="sr-Cyrl-CS"/>
        </w:rPr>
        <w:t>Ф</w:t>
      </w:r>
      <w:r w:rsidR="00B8555A">
        <w:rPr>
          <w:rFonts w:ascii="Times New Roman" w:hAnsi="Times New Roman"/>
          <w:b/>
          <w:sz w:val="24"/>
          <w:szCs w:val="24"/>
          <w:lang w:val="sr-Cyrl-CS"/>
        </w:rPr>
        <w:t xml:space="preserve">инансијски </w:t>
      </w:r>
      <w:r w:rsidR="008B4FBE">
        <w:rPr>
          <w:rFonts w:ascii="Times New Roman" w:hAnsi="Times New Roman"/>
          <w:b/>
          <w:sz w:val="24"/>
          <w:szCs w:val="24"/>
          <w:lang w:val="sr-Cyrl-CS"/>
        </w:rPr>
        <w:t>утицаји</w:t>
      </w:r>
    </w:p>
    <w:p w:rsidR="00C93ECC" w:rsidRDefault="00C93ECC" w:rsidP="0017218A">
      <w:pPr>
        <w:jc w:val="both"/>
        <w:rPr>
          <w:rFonts w:ascii="Times New Roman" w:hAnsi="Times New Roman"/>
          <w:b/>
          <w:sz w:val="24"/>
          <w:szCs w:val="24"/>
          <w:lang w:val="sr-Cyrl-CS"/>
        </w:rPr>
      </w:pPr>
    </w:p>
    <w:p w:rsidR="00110593" w:rsidRDefault="001F2720" w:rsidP="001F2720">
      <w:pPr>
        <w:ind w:firstLine="360"/>
        <w:jc w:val="both"/>
        <w:rPr>
          <w:rFonts w:ascii="Times New Roman" w:hAnsi="Times New Roman"/>
          <w:sz w:val="24"/>
          <w:szCs w:val="24"/>
          <w:lang w:val="sr-Cyrl-CS"/>
        </w:rPr>
      </w:pPr>
      <w:r>
        <w:rPr>
          <w:rFonts w:ascii="Times New Roman" w:hAnsi="Times New Roman"/>
          <w:sz w:val="24"/>
          <w:szCs w:val="24"/>
          <w:lang w:val="sr-Cyrl-CS"/>
        </w:rPr>
        <w:t>П</w:t>
      </w:r>
      <w:r w:rsidR="00110593">
        <w:rPr>
          <w:rFonts w:ascii="Times New Roman" w:hAnsi="Times New Roman"/>
          <w:sz w:val="24"/>
          <w:szCs w:val="24"/>
          <w:lang w:val="sr-Cyrl-CS"/>
        </w:rPr>
        <w:t xml:space="preserve">оред остварења циља да се прикупи одређена маса </w:t>
      </w:r>
      <w:r>
        <w:rPr>
          <w:rFonts w:ascii="Times New Roman" w:hAnsi="Times New Roman"/>
          <w:sz w:val="24"/>
          <w:szCs w:val="24"/>
          <w:lang w:val="sr-Cyrl-CS"/>
        </w:rPr>
        <w:t xml:space="preserve">финансијских </w:t>
      </w:r>
      <w:r w:rsidR="00110593">
        <w:rPr>
          <w:rFonts w:ascii="Times New Roman" w:hAnsi="Times New Roman"/>
          <w:sz w:val="24"/>
          <w:szCs w:val="24"/>
          <w:lang w:val="sr-Cyrl-CS"/>
        </w:rPr>
        <w:t xml:space="preserve">средстава циљ </w:t>
      </w:r>
      <w:r>
        <w:rPr>
          <w:rFonts w:ascii="Times New Roman" w:hAnsi="Times New Roman"/>
          <w:sz w:val="24"/>
          <w:szCs w:val="24"/>
          <w:lang w:val="sr-Cyrl-CS"/>
        </w:rPr>
        <w:t>опорезивања може бити да</w:t>
      </w:r>
      <w:r w:rsidR="00110593">
        <w:rPr>
          <w:rFonts w:ascii="Times New Roman" w:hAnsi="Times New Roman"/>
          <w:sz w:val="24"/>
          <w:szCs w:val="24"/>
          <w:lang w:val="sr-Cyrl-CS"/>
        </w:rPr>
        <w:t xml:space="preserve"> се поре</w:t>
      </w:r>
      <w:r w:rsidR="001746EA">
        <w:rPr>
          <w:rFonts w:ascii="Times New Roman" w:hAnsi="Times New Roman"/>
          <w:sz w:val="24"/>
          <w:szCs w:val="24"/>
          <w:lang w:val="sr-Cyrl-CS"/>
        </w:rPr>
        <w:t xml:space="preserve">зом оптерете </w:t>
      </w:r>
      <w:r>
        <w:rPr>
          <w:rFonts w:ascii="Times New Roman" w:hAnsi="Times New Roman"/>
          <w:sz w:val="24"/>
          <w:szCs w:val="24"/>
          <w:lang w:val="sr-Cyrl-CS"/>
        </w:rPr>
        <w:t xml:space="preserve">само </w:t>
      </w:r>
      <w:r w:rsidR="001746EA">
        <w:rPr>
          <w:rFonts w:ascii="Times New Roman" w:hAnsi="Times New Roman"/>
          <w:sz w:val="24"/>
          <w:szCs w:val="24"/>
          <w:lang w:val="sr-Cyrl-CS"/>
        </w:rPr>
        <w:t xml:space="preserve">одређене групе становништва. На пример путем </w:t>
      </w:r>
      <w:r w:rsidR="00110593">
        <w:rPr>
          <w:rFonts w:ascii="Times New Roman" w:hAnsi="Times New Roman"/>
          <w:sz w:val="24"/>
          <w:szCs w:val="24"/>
          <w:lang w:val="sr-Cyrl-CS"/>
        </w:rPr>
        <w:t xml:space="preserve">накнада за путеве, моторна возила, </w:t>
      </w:r>
      <w:r w:rsidR="001746EA">
        <w:rPr>
          <w:rFonts w:ascii="Times New Roman" w:hAnsi="Times New Roman"/>
          <w:sz w:val="24"/>
          <w:szCs w:val="24"/>
          <w:lang w:val="sr-Cyrl-CS"/>
        </w:rPr>
        <w:t xml:space="preserve">увођењем пореза на укупан приход грађана, </w:t>
      </w:r>
      <w:r w:rsidR="00110593">
        <w:rPr>
          <w:rFonts w:ascii="Times New Roman" w:hAnsi="Times New Roman"/>
          <w:sz w:val="24"/>
          <w:szCs w:val="24"/>
          <w:lang w:val="sr-Cyrl-CS"/>
        </w:rPr>
        <w:t>повећање</w:t>
      </w:r>
      <w:r w:rsidR="001746EA">
        <w:rPr>
          <w:rFonts w:ascii="Times New Roman" w:hAnsi="Times New Roman"/>
          <w:sz w:val="24"/>
          <w:szCs w:val="24"/>
          <w:lang w:val="sr-Cyrl-CS"/>
        </w:rPr>
        <w:t>м</w:t>
      </w:r>
      <w:r w:rsidR="00110593">
        <w:rPr>
          <w:rFonts w:ascii="Times New Roman" w:hAnsi="Times New Roman"/>
          <w:sz w:val="24"/>
          <w:szCs w:val="24"/>
          <w:lang w:val="sr-Cyrl-CS"/>
        </w:rPr>
        <w:t xml:space="preserve"> цене бензина</w:t>
      </w:r>
      <w:r>
        <w:rPr>
          <w:rFonts w:ascii="Times New Roman" w:hAnsi="Times New Roman"/>
          <w:sz w:val="24"/>
          <w:szCs w:val="24"/>
          <w:lang w:val="sr-Cyrl-CS"/>
        </w:rPr>
        <w:t xml:space="preserve"> се оптерећују само од</w:t>
      </w:r>
      <w:r w:rsidR="001746EA">
        <w:rPr>
          <w:rFonts w:ascii="Times New Roman" w:hAnsi="Times New Roman"/>
          <w:sz w:val="24"/>
          <w:szCs w:val="24"/>
          <w:lang w:val="sr-Cyrl-CS"/>
        </w:rPr>
        <w:t>ређене групе грађана.</w:t>
      </w:r>
    </w:p>
    <w:p w:rsidR="00A64C29" w:rsidRDefault="00A64C29" w:rsidP="001F2720">
      <w:pPr>
        <w:ind w:firstLine="360"/>
        <w:jc w:val="both"/>
        <w:rPr>
          <w:rFonts w:ascii="Times New Roman" w:hAnsi="Times New Roman"/>
          <w:sz w:val="24"/>
          <w:szCs w:val="24"/>
          <w:lang w:val="sr-Cyrl-CS"/>
        </w:rPr>
      </w:pPr>
    </w:p>
    <w:p w:rsidR="00270686" w:rsidRDefault="00270686" w:rsidP="001F2720">
      <w:pPr>
        <w:ind w:firstLine="360"/>
        <w:jc w:val="both"/>
        <w:rPr>
          <w:rFonts w:ascii="Times New Roman" w:hAnsi="Times New Roman"/>
          <w:sz w:val="24"/>
          <w:szCs w:val="24"/>
          <w:lang w:val="sr-Cyrl-CS"/>
        </w:rPr>
      </w:pPr>
    </w:p>
    <w:p w:rsidR="00391D69" w:rsidRPr="00C93ECC" w:rsidRDefault="00C93ECC" w:rsidP="00C93ECC">
      <w:pPr>
        <w:jc w:val="both"/>
        <w:rPr>
          <w:rFonts w:ascii="Times New Roman" w:hAnsi="Times New Roman"/>
          <w:sz w:val="24"/>
          <w:szCs w:val="24"/>
          <w:lang w:val="sr-Cyrl-CS"/>
        </w:rPr>
      </w:pPr>
      <w:r>
        <w:rPr>
          <w:rFonts w:ascii="Times New Roman" w:hAnsi="Times New Roman"/>
          <w:b/>
          <w:sz w:val="24"/>
          <w:szCs w:val="24"/>
          <w:lang w:val="sr-Cyrl-CS"/>
        </w:rPr>
        <w:lastRenderedPageBreak/>
        <w:t>4)</w:t>
      </w:r>
      <w:r w:rsidR="008B4FBE" w:rsidRPr="00C93ECC">
        <w:rPr>
          <w:rFonts w:ascii="Times New Roman" w:hAnsi="Times New Roman"/>
          <w:b/>
          <w:sz w:val="24"/>
          <w:szCs w:val="24"/>
          <w:lang w:val="sr-Cyrl-CS"/>
        </w:rPr>
        <w:t>Утицаји</w:t>
      </w:r>
      <w:r w:rsidR="00110593" w:rsidRPr="00C93ECC">
        <w:rPr>
          <w:rFonts w:ascii="Times New Roman" w:hAnsi="Times New Roman"/>
          <w:b/>
          <w:sz w:val="24"/>
          <w:szCs w:val="24"/>
          <w:lang w:val="sr-Cyrl-CS"/>
        </w:rPr>
        <w:t xml:space="preserve"> у сфери демографске политике</w:t>
      </w:r>
      <w:r w:rsidR="00110593" w:rsidRPr="00C93ECC">
        <w:rPr>
          <w:rFonts w:ascii="Times New Roman" w:hAnsi="Times New Roman"/>
          <w:sz w:val="24"/>
          <w:szCs w:val="24"/>
          <w:lang w:val="sr-Cyrl-CS"/>
        </w:rPr>
        <w:t xml:space="preserve"> </w:t>
      </w:r>
    </w:p>
    <w:p w:rsidR="00C93ECC" w:rsidRPr="00C93ECC" w:rsidRDefault="00C93ECC" w:rsidP="00C93ECC">
      <w:pPr>
        <w:pStyle w:val="ListParagraph"/>
        <w:jc w:val="both"/>
        <w:rPr>
          <w:rFonts w:ascii="Times New Roman" w:hAnsi="Times New Roman"/>
          <w:sz w:val="24"/>
          <w:szCs w:val="24"/>
          <w:lang w:val="sr-Cyrl-CS"/>
        </w:rPr>
      </w:pPr>
    </w:p>
    <w:p w:rsidR="00110593" w:rsidRDefault="00391D69" w:rsidP="001F2720">
      <w:pPr>
        <w:ind w:firstLine="708"/>
        <w:jc w:val="both"/>
        <w:rPr>
          <w:rFonts w:ascii="Times New Roman" w:hAnsi="Times New Roman"/>
          <w:sz w:val="24"/>
          <w:szCs w:val="24"/>
          <w:lang w:val="sr-Cyrl-CS"/>
        </w:rPr>
      </w:pPr>
      <w:r>
        <w:rPr>
          <w:rFonts w:ascii="Times New Roman" w:hAnsi="Times New Roman"/>
          <w:sz w:val="24"/>
          <w:szCs w:val="24"/>
          <w:lang w:val="sr-Cyrl-CS"/>
        </w:rPr>
        <w:t>Ефекти у сфери демографске политике се могу постићи на различите начине. У земљама са високим наталитетом већим</w:t>
      </w:r>
      <w:r w:rsidR="00110593">
        <w:rPr>
          <w:rFonts w:ascii="Times New Roman" w:hAnsi="Times New Roman"/>
          <w:sz w:val="24"/>
          <w:szCs w:val="24"/>
          <w:lang w:val="sr-Cyrl-CS"/>
        </w:rPr>
        <w:t xml:space="preserve"> порезом се могу опорезовати обвезници са већим бројем деце</w:t>
      </w:r>
      <w:r>
        <w:rPr>
          <w:rFonts w:ascii="Times New Roman" w:hAnsi="Times New Roman"/>
          <w:sz w:val="24"/>
          <w:szCs w:val="24"/>
          <w:lang w:val="sr-Cyrl-CS"/>
        </w:rPr>
        <w:t xml:space="preserve">, </w:t>
      </w:r>
      <w:r w:rsidR="00110593">
        <w:rPr>
          <w:rFonts w:ascii="Times New Roman" w:hAnsi="Times New Roman"/>
          <w:sz w:val="24"/>
          <w:szCs w:val="24"/>
          <w:lang w:val="sr-Cyrl-CS"/>
        </w:rPr>
        <w:t xml:space="preserve">или супротно </w:t>
      </w:r>
      <w:r w:rsidR="001F2720">
        <w:rPr>
          <w:rFonts w:ascii="Times New Roman" w:hAnsi="Times New Roman"/>
          <w:sz w:val="24"/>
          <w:szCs w:val="24"/>
          <w:lang w:val="sr-Cyrl-CS"/>
        </w:rPr>
        <w:t xml:space="preserve">у земљама са нижим наталитетом пружа се </w:t>
      </w:r>
      <w:r w:rsidR="00110593">
        <w:rPr>
          <w:rFonts w:ascii="Times New Roman" w:hAnsi="Times New Roman"/>
          <w:sz w:val="24"/>
          <w:szCs w:val="24"/>
          <w:lang w:val="sr-Cyrl-CS"/>
        </w:rPr>
        <w:t>помоћ породицама са више деце</w:t>
      </w:r>
      <w:r>
        <w:rPr>
          <w:rFonts w:ascii="Times New Roman" w:hAnsi="Times New Roman"/>
          <w:sz w:val="24"/>
          <w:szCs w:val="24"/>
          <w:lang w:val="sr-Cyrl-CS"/>
        </w:rPr>
        <w:t xml:space="preserve">, </w:t>
      </w:r>
      <w:r w:rsidR="001F2720">
        <w:rPr>
          <w:rFonts w:ascii="Times New Roman" w:hAnsi="Times New Roman"/>
          <w:sz w:val="24"/>
          <w:szCs w:val="24"/>
          <w:lang w:val="sr-Cyrl-CS"/>
        </w:rPr>
        <w:t>опорезују се неожењена</w:t>
      </w:r>
      <w:r w:rsidR="00110593">
        <w:rPr>
          <w:rFonts w:ascii="Times New Roman" w:hAnsi="Times New Roman"/>
          <w:sz w:val="24"/>
          <w:szCs w:val="24"/>
          <w:lang w:val="sr-Cyrl-CS"/>
        </w:rPr>
        <w:t xml:space="preserve"> лица, </w:t>
      </w:r>
      <w:r w:rsidR="001F2720">
        <w:rPr>
          <w:rFonts w:ascii="Times New Roman" w:hAnsi="Times New Roman"/>
          <w:sz w:val="24"/>
          <w:szCs w:val="24"/>
          <w:lang w:val="sr-Cyrl-CS"/>
        </w:rPr>
        <w:t>омогућава се дуже породиљско одсуство</w:t>
      </w:r>
      <w:r w:rsidR="00FB3266">
        <w:rPr>
          <w:rFonts w:ascii="Times New Roman" w:hAnsi="Times New Roman"/>
          <w:sz w:val="24"/>
          <w:szCs w:val="24"/>
          <w:lang w:val="sr-Cyrl-CS"/>
        </w:rPr>
        <w:t xml:space="preserve">, </w:t>
      </w:r>
      <w:r w:rsidR="00110593">
        <w:rPr>
          <w:rFonts w:ascii="Times New Roman" w:hAnsi="Times New Roman"/>
          <w:sz w:val="24"/>
          <w:szCs w:val="24"/>
          <w:lang w:val="sr-Cyrl-CS"/>
        </w:rPr>
        <w:t xml:space="preserve"> </w:t>
      </w:r>
      <w:r w:rsidR="00791E3B">
        <w:rPr>
          <w:rFonts w:ascii="Times New Roman" w:hAnsi="Times New Roman"/>
          <w:sz w:val="24"/>
          <w:szCs w:val="24"/>
          <w:lang w:val="sr-Cyrl-CS"/>
        </w:rPr>
        <w:t xml:space="preserve">даје се </w:t>
      </w:r>
      <w:r w:rsidR="00110593">
        <w:rPr>
          <w:rFonts w:ascii="Times New Roman" w:hAnsi="Times New Roman"/>
          <w:sz w:val="24"/>
          <w:szCs w:val="24"/>
          <w:lang w:val="sr-Cyrl-CS"/>
        </w:rPr>
        <w:t>предност у запошљавању код породица са већим бројем деце</w:t>
      </w:r>
      <w:r w:rsidR="00791E3B">
        <w:rPr>
          <w:rFonts w:ascii="Times New Roman" w:hAnsi="Times New Roman"/>
          <w:sz w:val="24"/>
          <w:szCs w:val="24"/>
          <w:lang w:val="sr-Cyrl-CS"/>
        </w:rPr>
        <w:t>, стриктно се прописима регулише забрана отказа лицима на породиљском одсуству</w:t>
      </w:r>
      <w:r>
        <w:rPr>
          <w:rFonts w:ascii="Times New Roman" w:hAnsi="Times New Roman"/>
          <w:sz w:val="24"/>
          <w:szCs w:val="24"/>
          <w:lang w:val="sr-Cyrl-CS"/>
        </w:rPr>
        <w:t xml:space="preserve"> и сл.</w:t>
      </w:r>
    </w:p>
    <w:p w:rsidR="00270686" w:rsidRDefault="00270686" w:rsidP="00A22DD5">
      <w:pPr>
        <w:jc w:val="both"/>
        <w:rPr>
          <w:rFonts w:ascii="Times New Roman" w:hAnsi="Times New Roman"/>
          <w:sz w:val="24"/>
          <w:szCs w:val="24"/>
          <w:lang w:val="sr-Cyrl-CS"/>
        </w:rPr>
      </w:pPr>
    </w:p>
    <w:p w:rsidR="0002290F" w:rsidRDefault="001F2720" w:rsidP="001F2720">
      <w:pPr>
        <w:jc w:val="both"/>
        <w:rPr>
          <w:rFonts w:ascii="Times New Roman" w:hAnsi="Times New Roman"/>
          <w:b/>
          <w:sz w:val="24"/>
          <w:szCs w:val="24"/>
          <w:lang w:val="sr-Cyrl-CS"/>
        </w:rPr>
      </w:pPr>
      <w:r>
        <w:rPr>
          <w:rFonts w:ascii="Times New Roman" w:hAnsi="Times New Roman"/>
          <w:b/>
          <w:sz w:val="24"/>
          <w:szCs w:val="24"/>
          <w:lang w:val="sr-Cyrl-CS"/>
        </w:rPr>
        <w:t>5)</w:t>
      </w:r>
      <w:r w:rsidR="0002290F">
        <w:rPr>
          <w:rFonts w:ascii="Times New Roman" w:hAnsi="Times New Roman"/>
          <w:b/>
          <w:sz w:val="24"/>
          <w:szCs w:val="24"/>
          <w:lang w:val="sr-Cyrl-CS"/>
        </w:rPr>
        <w:t xml:space="preserve">Социјални </w:t>
      </w:r>
      <w:r w:rsidR="008B4FBE">
        <w:rPr>
          <w:rFonts w:ascii="Times New Roman" w:hAnsi="Times New Roman"/>
          <w:b/>
          <w:sz w:val="24"/>
          <w:szCs w:val="24"/>
          <w:lang w:val="sr-Cyrl-CS"/>
        </w:rPr>
        <w:t>утицаји</w:t>
      </w:r>
    </w:p>
    <w:p w:rsidR="00C93ECC" w:rsidRDefault="00C93ECC" w:rsidP="001F2720">
      <w:pPr>
        <w:jc w:val="both"/>
        <w:rPr>
          <w:rFonts w:ascii="Times New Roman" w:hAnsi="Times New Roman"/>
          <w:b/>
          <w:sz w:val="24"/>
          <w:szCs w:val="24"/>
          <w:lang w:val="sr-Cyrl-CS"/>
        </w:rPr>
      </w:pPr>
    </w:p>
    <w:p w:rsidR="001746EA" w:rsidRDefault="004A2DC7" w:rsidP="00791E3B">
      <w:pPr>
        <w:ind w:firstLine="708"/>
        <w:jc w:val="both"/>
        <w:rPr>
          <w:rFonts w:ascii="Times New Roman" w:hAnsi="Times New Roman"/>
          <w:sz w:val="24"/>
          <w:szCs w:val="24"/>
          <w:lang w:val="sr-Cyrl-CS"/>
        </w:rPr>
      </w:pPr>
      <w:r>
        <w:rPr>
          <w:rFonts w:ascii="Times New Roman" w:hAnsi="Times New Roman"/>
          <w:sz w:val="24"/>
          <w:szCs w:val="24"/>
          <w:lang w:val="sr-Cyrl-CS"/>
        </w:rPr>
        <w:t>Социјални ефекти се могу постићи јер се порези</w:t>
      </w:r>
      <w:r w:rsidR="005F5B7D" w:rsidRPr="005F5B7D">
        <w:rPr>
          <w:rFonts w:ascii="Times New Roman" w:hAnsi="Times New Roman"/>
          <w:sz w:val="24"/>
          <w:szCs w:val="24"/>
          <w:lang w:val="sr-Cyrl-CS"/>
        </w:rPr>
        <w:t xml:space="preserve"> </w:t>
      </w:r>
      <w:r w:rsidR="005F5B7D">
        <w:rPr>
          <w:rFonts w:ascii="Times New Roman" w:hAnsi="Times New Roman"/>
          <w:sz w:val="24"/>
          <w:szCs w:val="24"/>
          <w:lang w:val="sr-Cyrl-CS"/>
        </w:rPr>
        <w:t>могу користити као инструменти с</w:t>
      </w:r>
      <w:r w:rsidR="00F715DA">
        <w:rPr>
          <w:rFonts w:ascii="Times New Roman" w:hAnsi="Times New Roman"/>
          <w:sz w:val="24"/>
          <w:szCs w:val="24"/>
          <w:lang w:val="sr-Cyrl-CS"/>
        </w:rPr>
        <w:t xml:space="preserve">оцијалне политике. Социјални </w:t>
      </w:r>
      <w:r>
        <w:rPr>
          <w:rFonts w:ascii="Times New Roman" w:hAnsi="Times New Roman"/>
          <w:sz w:val="24"/>
          <w:szCs w:val="24"/>
          <w:lang w:val="sr-Cyrl-CS"/>
        </w:rPr>
        <w:t>ефекти</w:t>
      </w:r>
      <w:r w:rsidR="005F5B7D">
        <w:rPr>
          <w:rFonts w:ascii="Times New Roman" w:hAnsi="Times New Roman"/>
          <w:sz w:val="24"/>
          <w:szCs w:val="24"/>
          <w:lang w:val="sr-Cyrl-CS"/>
        </w:rPr>
        <w:t xml:space="preserve"> опорезивања </w:t>
      </w:r>
      <w:r>
        <w:rPr>
          <w:rFonts w:ascii="Times New Roman" w:hAnsi="Times New Roman"/>
          <w:sz w:val="24"/>
          <w:szCs w:val="24"/>
          <w:lang w:val="sr-Cyrl-CS"/>
        </w:rPr>
        <w:t>манифестују</w:t>
      </w:r>
      <w:r w:rsidR="005F5B7D">
        <w:rPr>
          <w:rFonts w:ascii="Times New Roman" w:hAnsi="Times New Roman"/>
          <w:sz w:val="24"/>
          <w:szCs w:val="24"/>
          <w:lang w:val="sr-Cyrl-CS"/>
        </w:rPr>
        <w:t xml:space="preserve"> се у </w:t>
      </w:r>
      <w:r>
        <w:rPr>
          <w:rFonts w:ascii="Times New Roman" w:hAnsi="Times New Roman"/>
          <w:sz w:val="24"/>
          <w:szCs w:val="24"/>
          <w:lang w:val="sr-Cyrl-CS"/>
        </w:rPr>
        <w:t>тежњи</w:t>
      </w:r>
      <w:r w:rsidR="005F5B7D">
        <w:rPr>
          <w:rFonts w:ascii="Times New Roman" w:hAnsi="Times New Roman"/>
          <w:sz w:val="24"/>
          <w:szCs w:val="24"/>
          <w:lang w:val="sr-Cyrl-CS"/>
        </w:rPr>
        <w:t xml:space="preserve"> д</w:t>
      </w:r>
      <w:r w:rsidR="00791E3B">
        <w:rPr>
          <w:rFonts w:ascii="Times New Roman" w:hAnsi="Times New Roman"/>
          <w:sz w:val="24"/>
          <w:szCs w:val="24"/>
          <w:lang w:val="sr-Cyrl-CS"/>
        </w:rPr>
        <w:t>ржаве да смањи разлике у ма</w:t>
      </w:r>
      <w:r w:rsidR="005F5B7D">
        <w:rPr>
          <w:rFonts w:ascii="Times New Roman" w:hAnsi="Times New Roman"/>
          <w:sz w:val="24"/>
          <w:szCs w:val="24"/>
          <w:lang w:val="sr-Cyrl-CS"/>
        </w:rPr>
        <w:t xml:space="preserve">теријалном положају пореских обвезника, </w:t>
      </w:r>
      <w:r>
        <w:rPr>
          <w:rFonts w:ascii="Times New Roman" w:hAnsi="Times New Roman"/>
          <w:sz w:val="24"/>
          <w:szCs w:val="24"/>
          <w:lang w:val="sr-Cyrl-CS"/>
        </w:rPr>
        <w:t xml:space="preserve">преко </w:t>
      </w:r>
      <w:r w:rsidR="005F5B7D">
        <w:rPr>
          <w:rFonts w:ascii="Times New Roman" w:hAnsi="Times New Roman"/>
          <w:sz w:val="24"/>
          <w:szCs w:val="24"/>
          <w:lang w:val="sr-Cyrl-CS"/>
        </w:rPr>
        <w:t>равномерније</w:t>
      </w:r>
      <w:r>
        <w:rPr>
          <w:rFonts w:ascii="Times New Roman" w:hAnsi="Times New Roman"/>
          <w:sz w:val="24"/>
          <w:szCs w:val="24"/>
          <w:lang w:val="sr-Cyrl-CS"/>
        </w:rPr>
        <w:t>г опрезивања</w:t>
      </w:r>
      <w:r w:rsidR="005F5B7D">
        <w:rPr>
          <w:rFonts w:ascii="Times New Roman" w:hAnsi="Times New Roman"/>
          <w:sz w:val="24"/>
          <w:szCs w:val="24"/>
          <w:lang w:val="sr-Cyrl-CS"/>
        </w:rPr>
        <w:t xml:space="preserve"> њихових економских снага. </w:t>
      </w:r>
      <w:r>
        <w:rPr>
          <w:rFonts w:ascii="Times New Roman" w:hAnsi="Times New Roman"/>
          <w:sz w:val="24"/>
          <w:szCs w:val="24"/>
          <w:lang w:val="sr-Cyrl-CS"/>
        </w:rPr>
        <w:t>У савременим друштвима долази до изражаја р</w:t>
      </w:r>
      <w:r w:rsidR="004978EB">
        <w:rPr>
          <w:rFonts w:ascii="Times New Roman" w:hAnsi="Times New Roman"/>
          <w:sz w:val="24"/>
          <w:szCs w:val="24"/>
          <w:lang w:val="sr-Cyrl-CS"/>
        </w:rPr>
        <w:t xml:space="preserve">едистрибутивна функција пореза кроз примену </w:t>
      </w:r>
      <w:r w:rsidR="00F715DA">
        <w:rPr>
          <w:rFonts w:ascii="Times New Roman" w:hAnsi="Times New Roman"/>
          <w:sz w:val="24"/>
          <w:szCs w:val="24"/>
          <w:lang w:val="sr-Cyrl-CS"/>
        </w:rPr>
        <w:t>прогресивних пореских стопа код пореза на доход</w:t>
      </w:r>
      <w:r w:rsidR="00791E3B">
        <w:rPr>
          <w:rFonts w:ascii="Times New Roman" w:hAnsi="Times New Roman"/>
          <w:sz w:val="24"/>
          <w:szCs w:val="24"/>
          <w:lang w:val="sr-Cyrl-CS"/>
        </w:rPr>
        <w:t>ак грађана и пореза на на</w:t>
      </w:r>
      <w:r w:rsidR="00F715DA">
        <w:rPr>
          <w:rFonts w:ascii="Times New Roman" w:hAnsi="Times New Roman"/>
          <w:sz w:val="24"/>
          <w:szCs w:val="24"/>
          <w:lang w:val="sr-Cyrl-CS"/>
        </w:rPr>
        <w:t xml:space="preserve">слеђе и поклон, што </w:t>
      </w:r>
      <w:r w:rsidR="002F6012">
        <w:rPr>
          <w:rFonts w:ascii="Times New Roman" w:hAnsi="Times New Roman"/>
          <w:sz w:val="24"/>
          <w:szCs w:val="24"/>
          <w:lang w:val="sr-Cyrl-CS"/>
        </w:rPr>
        <w:t>се манифестује кроз</w:t>
      </w:r>
      <w:r w:rsidR="00F715DA">
        <w:rPr>
          <w:rFonts w:ascii="Times New Roman" w:hAnsi="Times New Roman"/>
          <w:sz w:val="24"/>
          <w:szCs w:val="24"/>
          <w:lang w:val="sr-Cyrl-CS"/>
        </w:rPr>
        <w:t xml:space="preserve"> сразмерно веће оптерећење обвезника чија је основица већа. У </w:t>
      </w:r>
      <w:r>
        <w:rPr>
          <w:rFonts w:ascii="Times New Roman" w:hAnsi="Times New Roman"/>
          <w:sz w:val="24"/>
          <w:szCs w:val="24"/>
          <w:lang w:val="sr-Cyrl-CS"/>
        </w:rPr>
        <w:t>домену</w:t>
      </w:r>
      <w:r w:rsidR="00F715DA">
        <w:rPr>
          <w:rFonts w:ascii="Times New Roman" w:hAnsi="Times New Roman"/>
          <w:sz w:val="24"/>
          <w:szCs w:val="24"/>
          <w:lang w:val="sr-Cyrl-CS"/>
        </w:rPr>
        <w:t xml:space="preserve"> посредних пореза или пореза на потрошњу, социјално-политички </w:t>
      </w:r>
      <w:r w:rsidR="002F6012">
        <w:rPr>
          <w:rFonts w:ascii="Times New Roman" w:hAnsi="Times New Roman"/>
          <w:sz w:val="24"/>
          <w:szCs w:val="24"/>
          <w:lang w:val="sr-Cyrl-CS"/>
        </w:rPr>
        <w:t>ефекат се</w:t>
      </w:r>
      <w:r w:rsidR="00F715DA">
        <w:rPr>
          <w:rFonts w:ascii="Times New Roman" w:hAnsi="Times New Roman"/>
          <w:sz w:val="24"/>
          <w:szCs w:val="24"/>
          <w:lang w:val="sr-Cyrl-CS"/>
        </w:rPr>
        <w:t xml:space="preserve"> </w:t>
      </w:r>
      <w:r w:rsidR="002F6012">
        <w:rPr>
          <w:rFonts w:ascii="Times New Roman" w:hAnsi="Times New Roman"/>
          <w:sz w:val="24"/>
          <w:szCs w:val="24"/>
          <w:lang w:val="sr-Cyrl-CS"/>
        </w:rPr>
        <w:t xml:space="preserve">на пример </w:t>
      </w:r>
      <w:r w:rsidR="00F715DA">
        <w:rPr>
          <w:rFonts w:ascii="Times New Roman" w:hAnsi="Times New Roman"/>
          <w:sz w:val="24"/>
          <w:szCs w:val="24"/>
          <w:lang w:val="sr-Cyrl-CS"/>
        </w:rPr>
        <w:t>може постићи</w:t>
      </w:r>
      <w:r w:rsidR="002F6012">
        <w:rPr>
          <w:rFonts w:ascii="Times New Roman" w:hAnsi="Times New Roman"/>
          <w:sz w:val="24"/>
          <w:szCs w:val="24"/>
          <w:lang w:val="sr-Cyrl-CS"/>
        </w:rPr>
        <w:t xml:space="preserve"> </w:t>
      </w:r>
      <w:r w:rsidR="00F715DA">
        <w:rPr>
          <w:rFonts w:ascii="Times New Roman" w:hAnsi="Times New Roman"/>
          <w:sz w:val="24"/>
          <w:szCs w:val="24"/>
          <w:lang w:val="sr-Cyrl-CS"/>
        </w:rPr>
        <w:t>диференцираним опорезивањем промета добара и услуга.</w:t>
      </w:r>
      <w:r w:rsidR="00F715DA">
        <w:rPr>
          <w:rStyle w:val="FootnoteReference"/>
          <w:rFonts w:ascii="Times New Roman" w:hAnsi="Times New Roman"/>
          <w:sz w:val="24"/>
          <w:szCs w:val="24"/>
          <w:lang w:val="sr-Cyrl-CS"/>
        </w:rPr>
        <w:footnoteReference w:id="65"/>
      </w:r>
      <w:r w:rsidR="00791E3B">
        <w:rPr>
          <w:rFonts w:ascii="Times New Roman" w:hAnsi="Times New Roman"/>
          <w:sz w:val="24"/>
          <w:szCs w:val="24"/>
          <w:lang w:val="sr-Cyrl-CS"/>
        </w:rPr>
        <w:t xml:space="preserve"> </w:t>
      </w:r>
      <w:r w:rsidR="001746EA">
        <w:rPr>
          <w:rFonts w:ascii="Times New Roman" w:hAnsi="Times New Roman"/>
          <w:sz w:val="24"/>
          <w:szCs w:val="24"/>
          <w:lang w:val="sr-Cyrl-CS"/>
        </w:rPr>
        <w:t>Прогресивно опорезивање може довести до правилнијег распореда националног дохотка по категоријама становништва.</w:t>
      </w:r>
    </w:p>
    <w:p w:rsidR="00C93ECC" w:rsidRPr="005F5B7D" w:rsidRDefault="00C93ECC" w:rsidP="00791E3B">
      <w:pPr>
        <w:ind w:firstLine="708"/>
        <w:jc w:val="both"/>
        <w:rPr>
          <w:rFonts w:ascii="Times New Roman" w:hAnsi="Times New Roman"/>
          <w:sz w:val="24"/>
          <w:szCs w:val="24"/>
          <w:lang w:val="sr-Cyrl-CS"/>
        </w:rPr>
      </w:pPr>
    </w:p>
    <w:p w:rsidR="0002290F" w:rsidRDefault="001F2720" w:rsidP="001F2720">
      <w:pPr>
        <w:jc w:val="both"/>
        <w:rPr>
          <w:rFonts w:ascii="Times New Roman" w:hAnsi="Times New Roman"/>
          <w:b/>
          <w:sz w:val="24"/>
          <w:szCs w:val="24"/>
          <w:lang w:val="sr-Cyrl-CS"/>
        </w:rPr>
      </w:pPr>
      <w:r>
        <w:rPr>
          <w:rFonts w:ascii="Times New Roman" w:hAnsi="Times New Roman"/>
          <w:b/>
          <w:sz w:val="24"/>
          <w:szCs w:val="24"/>
          <w:lang w:val="sr-Cyrl-CS"/>
        </w:rPr>
        <w:t>6)</w:t>
      </w:r>
      <w:r w:rsidR="00653525">
        <w:rPr>
          <w:rFonts w:ascii="Times New Roman" w:hAnsi="Times New Roman"/>
          <w:b/>
          <w:sz w:val="24"/>
          <w:szCs w:val="24"/>
          <w:lang w:val="sr-Cyrl-CS"/>
        </w:rPr>
        <w:t xml:space="preserve">Политички </w:t>
      </w:r>
      <w:r w:rsidR="008B4FBE">
        <w:rPr>
          <w:rFonts w:ascii="Times New Roman" w:hAnsi="Times New Roman"/>
          <w:b/>
          <w:sz w:val="24"/>
          <w:szCs w:val="24"/>
          <w:lang w:val="sr-Cyrl-CS"/>
        </w:rPr>
        <w:t>утицаји</w:t>
      </w:r>
    </w:p>
    <w:p w:rsidR="00C93ECC" w:rsidRDefault="00C93ECC" w:rsidP="001F2720">
      <w:pPr>
        <w:jc w:val="both"/>
        <w:rPr>
          <w:rFonts w:ascii="Times New Roman" w:hAnsi="Times New Roman"/>
          <w:b/>
          <w:sz w:val="24"/>
          <w:szCs w:val="24"/>
          <w:lang w:val="sr-Cyrl-CS"/>
        </w:rPr>
      </w:pPr>
    </w:p>
    <w:p w:rsidR="00C93ECC" w:rsidRDefault="00692384" w:rsidP="00270686">
      <w:pPr>
        <w:ind w:firstLine="708"/>
        <w:jc w:val="both"/>
        <w:rPr>
          <w:rFonts w:ascii="Times New Roman" w:hAnsi="Times New Roman"/>
          <w:sz w:val="24"/>
          <w:szCs w:val="24"/>
          <w:lang w:val="sr-Cyrl-CS"/>
        </w:rPr>
      </w:pPr>
      <w:r w:rsidRPr="00692384">
        <w:rPr>
          <w:rFonts w:ascii="Times New Roman" w:hAnsi="Times New Roman"/>
          <w:sz w:val="24"/>
          <w:szCs w:val="24"/>
          <w:lang w:val="sr-Cyrl-CS"/>
        </w:rPr>
        <w:t>Политички ефекти</w:t>
      </w:r>
      <w:r>
        <w:rPr>
          <w:rFonts w:ascii="Times New Roman" w:hAnsi="Times New Roman"/>
          <w:sz w:val="24"/>
          <w:szCs w:val="24"/>
          <w:lang w:val="sr-Cyrl-CS"/>
        </w:rPr>
        <w:t xml:space="preserve"> опорезивања се могу постићи у унутрашњој и спољној политици. Они зависе од интереса политичке странке која је на власти, па вођење пореске политике може бити мотивисано и оштријим опорезивањем политичких противника, док се фаворизују политички истомишљеници. </w:t>
      </w:r>
      <w:r w:rsidR="004A2DC7">
        <w:rPr>
          <w:rFonts w:ascii="Times New Roman" w:hAnsi="Times New Roman"/>
          <w:sz w:val="24"/>
          <w:szCs w:val="24"/>
          <w:lang w:val="sr-Cyrl-CS"/>
        </w:rPr>
        <w:t>Пример</w:t>
      </w:r>
      <w:r>
        <w:rPr>
          <w:rFonts w:ascii="Times New Roman" w:hAnsi="Times New Roman"/>
          <w:sz w:val="24"/>
          <w:szCs w:val="24"/>
          <w:lang w:val="sr-Cyrl-CS"/>
        </w:rPr>
        <w:t xml:space="preserve"> чисто политичког пореза је био наметнут Јеврејима у Немачкој 1938. године у износу до укупно једне милијарде марака. </w:t>
      </w:r>
      <w:r w:rsidR="004A2DC7">
        <w:rPr>
          <w:rFonts w:ascii="Times New Roman" w:hAnsi="Times New Roman"/>
          <w:sz w:val="24"/>
          <w:szCs w:val="24"/>
          <w:lang w:val="sr-Cyrl-CS"/>
        </w:rPr>
        <w:t>Овај репартициони по</w:t>
      </w:r>
      <w:r w:rsidR="00AD3A10">
        <w:rPr>
          <w:rFonts w:ascii="Times New Roman" w:hAnsi="Times New Roman"/>
          <w:sz w:val="24"/>
          <w:szCs w:val="24"/>
          <w:lang w:val="sr-Cyrl-CS"/>
        </w:rPr>
        <w:t>р</w:t>
      </w:r>
      <w:r w:rsidR="004A2DC7">
        <w:rPr>
          <w:rFonts w:ascii="Times New Roman" w:hAnsi="Times New Roman"/>
          <w:sz w:val="24"/>
          <w:szCs w:val="24"/>
          <w:lang w:val="sr-Cyrl-CS"/>
        </w:rPr>
        <w:t>ез</w:t>
      </w:r>
      <w:r>
        <w:rPr>
          <w:rFonts w:ascii="Times New Roman" w:hAnsi="Times New Roman"/>
          <w:sz w:val="24"/>
          <w:szCs w:val="24"/>
          <w:lang w:val="sr-Cyrl-CS"/>
        </w:rPr>
        <w:t xml:space="preserve"> је теретио имовину само Јевреја и то по релативно високој стопи од 20%.</w:t>
      </w:r>
      <w:r>
        <w:rPr>
          <w:rStyle w:val="FootnoteReference"/>
          <w:rFonts w:ascii="Times New Roman" w:hAnsi="Times New Roman"/>
          <w:sz w:val="24"/>
          <w:szCs w:val="24"/>
          <w:lang w:val="sr-Cyrl-CS"/>
        </w:rPr>
        <w:footnoteReference w:id="66"/>
      </w:r>
      <w:r>
        <w:rPr>
          <w:rFonts w:ascii="Times New Roman" w:hAnsi="Times New Roman"/>
          <w:sz w:val="24"/>
          <w:szCs w:val="24"/>
          <w:lang w:val="sr-Cyrl-CS"/>
        </w:rPr>
        <w:t xml:space="preserve"> </w:t>
      </w:r>
      <w:r w:rsidR="00391D69">
        <w:rPr>
          <w:rFonts w:ascii="Times New Roman" w:hAnsi="Times New Roman"/>
          <w:sz w:val="24"/>
          <w:szCs w:val="24"/>
          <w:lang w:val="sr-Cyrl-CS"/>
        </w:rPr>
        <w:t xml:space="preserve">Политички ефекти се могу постићи и у спољној политици, на пример као средство притиска, посебно у ситуацијама када су односи </w:t>
      </w:r>
      <w:r w:rsidR="00391D69">
        <w:rPr>
          <w:rFonts w:ascii="Times New Roman" w:hAnsi="Times New Roman"/>
          <w:sz w:val="24"/>
          <w:szCs w:val="24"/>
          <w:lang w:val="sr-Cyrl-CS"/>
        </w:rPr>
        <w:lastRenderedPageBreak/>
        <w:t>између две државе затегнути. У сваком случају, мотиви за постизање одређених политичких ефеката готово увек остају прикривени и о њима се отворено не говори.</w:t>
      </w:r>
    </w:p>
    <w:p w:rsidR="00C93ECC" w:rsidRDefault="00C93ECC" w:rsidP="001F2720">
      <w:pPr>
        <w:ind w:firstLine="708"/>
        <w:jc w:val="both"/>
        <w:rPr>
          <w:rFonts w:ascii="Times New Roman" w:hAnsi="Times New Roman"/>
          <w:sz w:val="24"/>
          <w:szCs w:val="24"/>
          <w:lang w:val="sr-Cyrl-CS"/>
        </w:rPr>
      </w:pPr>
    </w:p>
    <w:p w:rsidR="00391D69" w:rsidRDefault="001F2720" w:rsidP="001F2720">
      <w:pPr>
        <w:jc w:val="both"/>
        <w:rPr>
          <w:rFonts w:ascii="Times New Roman" w:hAnsi="Times New Roman"/>
          <w:b/>
          <w:sz w:val="24"/>
          <w:szCs w:val="24"/>
          <w:lang w:val="sr-Cyrl-CS"/>
        </w:rPr>
      </w:pPr>
      <w:r>
        <w:rPr>
          <w:rFonts w:ascii="Times New Roman" w:hAnsi="Times New Roman"/>
          <w:b/>
          <w:sz w:val="24"/>
          <w:szCs w:val="24"/>
          <w:lang w:val="sr-Cyrl-CS"/>
        </w:rPr>
        <w:t>7)</w:t>
      </w:r>
      <w:r w:rsidR="00391D69" w:rsidRPr="00391D69">
        <w:rPr>
          <w:rFonts w:ascii="Times New Roman" w:hAnsi="Times New Roman"/>
          <w:b/>
          <w:sz w:val="24"/>
          <w:szCs w:val="24"/>
          <w:lang w:val="sr-Cyrl-CS"/>
        </w:rPr>
        <w:t xml:space="preserve">Здравствени </w:t>
      </w:r>
      <w:r w:rsidR="008B4FBE">
        <w:rPr>
          <w:rFonts w:ascii="Times New Roman" w:hAnsi="Times New Roman"/>
          <w:b/>
          <w:sz w:val="24"/>
          <w:szCs w:val="24"/>
          <w:lang w:val="sr-Cyrl-CS"/>
        </w:rPr>
        <w:t>утицаји</w:t>
      </w:r>
    </w:p>
    <w:p w:rsidR="00C93ECC" w:rsidRDefault="00C93ECC" w:rsidP="001F2720">
      <w:pPr>
        <w:jc w:val="both"/>
        <w:rPr>
          <w:rFonts w:ascii="Times New Roman" w:hAnsi="Times New Roman"/>
          <w:b/>
          <w:sz w:val="24"/>
          <w:szCs w:val="24"/>
          <w:lang w:val="sr-Cyrl-CS"/>
        </w:rPr>
      </w:pPr>
    </w:p>
    <w:p w:rsidR="00391D69" w:rsidRPr="00391D69" w:rsidRDefault="00FB3266" w:rsidP="001F2720">
      <w:pPr>
        <w:ind w:firstLine="360"/>
        <w:jc w:val="both"/>
        <w:rPr>
          <w:rFonts w:ascii="Times New Roman" w:hAnsi="Times New Roman"/>
          <w:sz w:val="24"/>
          <w:szCs w:val="24"/>
          <w:lang w:val="sr-Cyrl-CS"/>
        </w:rPr>
      </w:pPr>
      <w:r>
        <w:rPr>
          <w:rFonts w:ascii="Times New Roman" w:hAnsi="Times New Roman"/>
          <w:sz w:val="24"/>
          <w:szCs w:val="24"/>
          <w:lang w:val="sr-Cyrl-CS"/>
        </w:rPr>
        <w:t>О</w:t>
      </w:r>
      <w:r w:rsidR="00391D69">
        <w:rPr>
          <w:rFonts w:ascii="Times New Roman" w:hAnsi="Times New Roman"/>
          <w:sz w:val="24"/>
          <w:szCs w:val="24"/>
          <w:lang w:val="sr-Cyrl-CS"/>
        </w:rPr>
        <w:t xml:space="preserve">порезивањем </w:t>
      </w:r>
      <w:r>
        <w:rPr>
          <w:rFonts w:ascii="Times New Roman" w:hAnsi="Times New Roman"/>
          <w:sz w:val="24"/>
          <w:szCs w:val="24"/>
          <w:lang w:val="sr-Cyrl-CS"/>
        </w:rPr>
        <w:t xml:space="preserve">се </w:t>
      </w:r>
      <w:r w:rsidR="00391D69">
        <w:rPr>
          <w:rFonts w:ascii="Times New Roman" w:hAnsi="Times New Roman"/>
          <w:sz w:val="24"/>
          <w:szCs w:val="24"/>
          <w:lang w:val="sr-Cyrl-CS"/>
        </w:rPr>
        <w:t>може задирати у различите сфере друштвеног живота</w:t>
      </w:r>
      <w:r>
        <w:rPr>
          <w:rFonts w:ascii="Times New Roman" w:hAnsi="Times New Roman"/>
          <w:sz w:val="24"/>
          <w:szCs w:val="24"/>
          <w:lang w:val="sr-Cyrl-CS"/>
        </w:rPr>
        <w:t>, па се чак може утицати и на здравље грађана. Најчешће се то чини акциза</w:t>
      </w:r>
      <w:r w:rsidR="00270686">
        <w:rPr>
          <w:rFonts w:ascii="Times New Roman" w:hAnsi="Times New Roman"/>
          <w:sz w:val="24"/>
          <w:szCs w:val="24"/>
          <w:lang w:val="sr-Cyrl-CS"/>
        </w:rPr>
        <w:t>ма на дуван и алкохол</w:t>
      </w:r>
      <w:r>
        <w:rPr>
          <w:rFonts w:ascii="Times New Roman" w:hAnsi="Times New Roman"/>
          <w:sz w:val="24"/>
          <w:szCs w:val="24"/>
          <w:lang w:val="sr-Cyrl-CS"/>
        </w:rPr>
        <w:t>на пића, чиме се утиче на смањење конзумације ових по здравље људи штетних производа.</w:t>
      </w:r>
    </w:p>
    <w:p w:rsidR="00FB3266" w:rsidRDefault="00F715DA" w:rsidP="00791E3B">
      <w:pPr>
        <w:ind w:firstLine="360"/>
        <w:jc w:val="both"/>
        <w:rPr>
          <w:rFonts w:ascii="Times New Roman" w:hAnsi="Times New Roman"/>
          <w:sz w:val="24"/>
          <w:szCs w:val="24"/>
          <w:lang w:val="sr-Cyrl-CS"/>
        </w:rPr>
      </w:pPr>
      <w:r>
        <w:rPr>
          <w:rFonts w:ascii="Times New Roman" w:hAnsi="Times New Roman"/>
          <w:sz w:val="24"/>
          <w:szCs w:val="24"/>
          <w:lang w:val="sr-Cyrl-CS"/>
        </w:rPr>
        <w:t>Према томе, у са</w:t>
      </w:r>
      <w:r w:rsidR="005F5B7D">
        <w:rPr>
          <w:rFonts w:ascii="Times New Roman" w:hAnsi="Times New Roman"/>
          <w:sz w:val="24"/>
          <w:szCs w:val="24"/>
          <w:lang w:val="sr-Cyrl-CS"/>
        </w:rPr>
        <w:t xml:space="preserve">временим држава се порезима постижу различити ефекти у најразличитијим сферама друштвеног живота. </w:t>
      </w:r>
      <w:r w:rsidR="00FB3266">
        <w:rPr>
          <w:rFonts w:ascii="Times New Roman" w:hAnsi="Times New Roman"/>
          <w:sz w:val="24"/>
          <w:szCs w:val="24"/>
          <w:lang w:val="sr-Cyrl-CS"/>
        </w:rPr>
        <w:t>Међутим, са р</w:t>
      </w:r>
      <w:r w:rsidR="008C59DF">
        <w:rPr>
          <w:rFonts w:ascii="Times New Roman" w:hAnsi="Times New Roman"/>
          <w:sz w:val="24"/>
          <w:szCs w:val="24"/>
          <w:lang w:val="sr-Cyrl-CS"/>
        </w:rPr>
        <w:t>е</w:t>
      </w:r>
      <w:r w:rsidR="00FB3266">
        <w:rPr>
          <w:rFonts w:ascii="Times New Roman" w:hAnsi="Times New Roman"/>
          <w:sz w:val="24"/>
          <w:szCs w:val="24"/>
          <w:lang w:val="sr-Cyrl-CS"/>
        </w:rPr>
        <w:t xml:space="preserve">дефинисањем улоге државе, крајем двадесетог века, порези се све мање користе као инструменти за остваривање нефискалних циљева, него </w:t>
      </w:r>
      <w:r w:rsidR="008C59DF">
        <w:rPr>
          <w:rFonts w:ascii="Times New Roman" w:hAnsi="Times New Roman"/>
          <w:sz w:val="24"/>
          <w:szCs w:val="24"/>
          <w:lang w:val="sr-Cyrl-CS"/>
        </w:rPr>
        <w:t xml:space="preserve">се </w:t>
      </w:r>
      <w:r w:rsidR="00FB3266">
        <w:rPr>
          <w:rFonts w:ascii="Times New Roman" w:hAnsi="Times New Roman"/>
          <w:sz w:val="24"/>
          <w:szCs w:val="24"/>
          <w:lang w:val="sr-Cyrl-CS"/>
        </w:rPr>
        <w:t>у првом реду</w:t>
      </w:r>
      <w:r w:rsidR="008C59DF">
        <w:rPr>
          <w:rFonts w:ascii="Times New Roman" w:hAnsi="Times New Roman"/>
          <w:sz w:val="24"/>
          <w:szCs w:val="24"/>
          <w:lang w:val="sr-Cyrl-CS"/>
        </w:rPr>
        <w:t xml:space="preserve"> користе</w:t>
      </w:r>
      <w:r w:rsidR="00FB3266">
        <w:rPr>
          <w:rFonts w:ascii="Times New Roman" w:hAnsi="Times New Roman"/>
          <w:sz w:val="24"/>
          <w:szCs w:val="24"/>
          <w:lang w:val="sr-Cyrl-CS"/>
        </w:rPr>
        <w:t xml:space="preserve"> као инструменти фискалне политике. </w:t>
      </w:r>
      <w:r w:rsidR="00641705">
        <w:rPr>
          <w:rFonts w:ascii="Times New Roman" w:hAnsi="Times New Roman"/>
          <w:sz w:val="24"/>
          <w:szCs w:val="24"/>
          <w:lang w:val="sr-Cyrl-CS"/>
        </w:rPr>
        <w:t>„</w:t>
      </w:r>
      <w:r w:rsidR="00FB3266">
        <w:rPr>
          <w:rFonts w:ascii="Times New Roman" w:hAnsi="Times New Roman"/>
          <w:sz w:val="24"/>
          <w:szCs w:val="24"/>
          <w:lang w:val="sr-Cyrl-CS"/>
        </w:rPr>
        <w:t>У духу концепта неолиберализма који влада у савременој доктрини, сматра се да умерено и што неутралније опорезивање може с</w:t>
      </w:r>
      <w:r w:rsidR="00641705">
        <w:rPr>
          <w:rFonts w:ascii="Times New Roman" w:hAnsi="Times New Roman"/>
          <w:sz w:val="24"/>
          <w:szCs w:val="24"/>
          <w:lang w:val="sr-Cyrl-CS"/>
        </w:rPr>
        <w:t>творити услове за раст привреде</w:t>
      </w:r>
      <w:r w:rsidR="00AD3A10">
        <w:rPr>
          <w:rFonts w:ascii="Times New Roman" w:hAnsi="Times New Roman"/>
          <w:sz w:val="24"/>
          <w:szCs w:val="24"/>
          <w:lang w:val="sr-Cyrl-CS"/>
        </w:rPr>
        <w:t>,</w:t>
      </w:r>
      <w:r w:rsidR="00FB3266">
        <w:rPr>
          <w:rFonts w:ascii="Times New Roman" w:hAnsi="Times New Roman"/>
          <w:sz w:val="24"/>
          <w:szCs w:val="24"/>
          <w:lang w:val="sr-Cyrl-CS"/>
        </w:rPr>
        <w:t xml:space="preserve"> а повећани економски раст ублажити социјалне тензије </w:t>
      </w:r>
      <w:r w:rsidR="002E6919">
        <w:rPr>
          <w:rFonts w:ascii="Times New Roman" w:hAnsi="Times New Roman"/>
          <w:sz w:val="24"/>
          <w:szCs w:val="24"/>
          <w:lang w:val="sr-Cyrl-CS"/>
        </w:rPr>
        <w:t>преко увећања</w:t>
      </w:r>
      <w:r w:rsidR="00FB3266">
        <w:rPr>
          <w:rFonts w:ascii="Times New Roman" w:hAnsi="Times New Roman"/>
          <w:sz w:val="24"/>
          <w:szCs w:val="24"/>
          <w:lang w:val="sr-Cyrl-CS"/>
        </w:rPr>
        <w:t xml:space="preserve"> примања сиромашнијих категорија становништва у таквим условима.</w:t>
      </w:r>
      <w:r w:rsidR="00641705">
        <w:rPr>
          <w:rFonts w:ascii="Times New Roman" w:hAnsi="Times New Roman"/>
          <w:sz w:val="24"/>
          <w:szCs w:val="24"/>
          <w:lang w:val="sr-Cyrl-CS"/>
        </w:rPr>
        <w:t>“</w:t>
      </w:r>
      <w:r w:rsidR="00FB3266">
        <w:rPr>
          <w:rStyle w:val="FootnoteReference"/>
          <w:rFonts w:ascii="Times New Roman" w:hAnsi="Times New Roman"/>
          <w:sz w:val="24"/>
          <w:szCs w:val="24"/>
          <w:lang w:val="sr-Cyrl-CS"/>
        </w:rPr>
        <w:footnoteReference w:id="67"/>
      </w:r>
    </w:p>
    <w:p w:rsidR="00285F34" w:rsidRDefault="002E6919" w:rsidP="00A22DD5">
      <w:pPr>
        <w:ind w:firstLine="360"/>
        <w:jc w:val="both"/>
        <w:rPr>
          <w:rFonts w:ascii="Times New Roman" w:hAnsi="Times New Roman"/>
          <w:sz w:val="24"/>
          <w:szCs w:val="24"/>
          <w:lang w:val="sr-Cyrl-CS"/>
        </w:rPr>
      </w:pPr>
      <w:r>
        <w:rPr>
          <w:rFonts w:ascii="Times New Roman" w:hAnsi="Times New Roman"/>
          <w:sz w:val="24"/>
          <w:szCs w:val="24"/>
          <w:lang w:val="sr-Cyrl-CS"/>
        </w:rPr>
        <w:t>Е</w:t>
      </w:r>
      <w:r w:rsidR="00791E3B">
        <w:rPr>
          <w:rFonts w:ascii="Times New Roman" w:hAnsi="Times New Roman"/>
          <w:sz w:val="24"/>
          <w:szCs w:val="24"/>
          <w:lang w:val="sr-Cyrl-CS"/>
        </w:rPr>
        <w:t>фекти пореза су</w:t>
      </w:r>
      <w:r>
        <w:rPr>
          <w:rFonts w:ascii="Times New Roman" w:hAnsi="Times New Roman"/>
          <w:sz w:val="24"/>
          <w:szCs w:val="24"/>
          <w:lang w:val="sr-Cyrl-CS"/>
        </w:rPr>
        <w:t xml:space="preserve"> према томе</w:t>
      </w:r>
      <w:r w:rsidR="00791E3B">
        <w:rPr>
          <w:rFonts w:ascii="Times New Roman" w:hAnsi="Times New Roman"/>
          <w:sz w:val="24"/>
          <w:szCs w:val="24"/>
          <w:lang w:val="sr-Cyrl-CS"/>
        </w:rPr>
        <w:t xml:space="preserve"> снажно повезани са циљевима пореза и пореске политике.</w:t>
      </w:r>
      <w:r w:rsidR="005922C3">
        <w:rPr>
          <w:rFonts w:ascii="Times New Roman" w:hAnsi="Times New Roman"/>
          <w:sz w:val="24"/>
          <w:szCs w:val="24"/>
          <w:lang w:val="sr-Cyrl-CS"/>
        </w:rPr>
        <w:t xml:space="preserve"> </w:t>
      </w:r>
      <w:r w:rsidR="008B4FBE">
        <w:rPr>
          <w:rFonts w:ascii="Times New Roman" w:hAnsi="Times New Roman"/>
          <w:sz w:val="24"/>
          <w:szCs w:val="24"/>
          <w:lang w:val="sr-Cyrl-CS"/>
        </w:rPr>
        <w:t>Н</w:t>
      </w:r>
      <w:r w:rsidR="005922C3">
        <w:rPr>
          <w:rFonts w:ascii="Times New Roman" w:hAnsi="Times New Roman"/>
          <w:sz w:val="24"/>
          <w:szCs w:val="24"/>
          <w:lang w:val="sr-Cyrl-CS"/>
        </w:rPr>
        <w:t xml:space="preserve">еспорно је да </w:t>
      </w:r>
      <w:r w:rsidR="008B4FBE">
        <w:rPr>
          <w:rFonts w:ascii="Times New Roman" w:hAnsi="Times New Roman"/>
          <w:sz w:val="24"/>
          <w:szCs w:val="24"/>
          <w:lang w:val="sr-Cyrl-CS"/>
        </w:rPr>
        <w:t xml:space="preserve">ће </w:t>
      </w:r>
      <w:r w:rsidR="00791E3B">
        <w:rPr>
          <w:rFonts w:ascii="Times New Roman" w:hAnsi="Times New Roman"/>
          <w:sz w:val="24"/>
          <w:szCs w:val="24"/>
          <w:lang w:val="sr-Cyrl-CS"/>
        </w:rPr>
        <w:t xml:space="preserve">избегавање плаћања пореза </w:t>
      </w:r>
      <w:r w:rsidR="008B4FBE">
        <w:rPr>
          <w:rFonts w:ascii="Times New Roman" w:hAnsi="Times New Roman"/>
          <w:sz w:val="24"/>
          <w:szCs w:val="24"/>
          <w:lang w:val="sr-Cyrl-CS"/>
        </w:rPr>
        <w:t xml:space="preserve">изазвати </w:t>
      </w:r>
      <w:r w:rsidR="000B75B9">
        <w:rPr>
          <w:rFonts w:ascii="Times New Roman" w:hAnsi="Times New Roman"/>
          <w:sz w:val="24"/>
          <w:szCs w:val="24"/>
          <w:lang w:val="sr-Cyrl-CS"/>
        </w:rPr>
        <w:t>значајне</w:t>
      </w:r>
      <w:r w:rsidR="008B4FBE">
        <w:rPr>
          <w:rFonts w:ascii="Times New Roman" w:hAnsi="Times New Roman"/>
          <w:sz w:val="24"/>
          <w:szCs w:val="24"/>
          <w:lang w:val="sr-Cyrl-CS"/>
        </w:rPr>
        <w:t xml:space="preserve"> последице јер неће</w:t>
      </w:r>
      <w:r w:rsidR="00791E3B">
        <w:rPr>
          <w:rFonts w:ascii="Times New Roman" w:hAnsi="Times New Roman"/>
          <w:sz w:val="24"/>
          <w:szCs w:val="24"/>
          <w:lang w:val="sr-Cyrl-CS"/>
        </w:rPr>
        <w:t xml:space="preserve"> доћи до реализације циљева фискалне полит</w:t>
      </w:r>
      <w:r w:rsidR="008B4FBE">
        <w:rPr>
          <w:rFonts w:ascii="Times New Roman" w:hAnsi="Times New Roman"/>
          <w:sz w:val="24"/>
          <w:szCs w:val="24"/>
          <w:lang w:val="sr-Cyrl-CS"/>
        </w:rPr>
        <w:t>ике, као ни јавних функција, пошто</w:t>
      </w:r>
      <w:r w:rsidR="00791E3B">
        <w:rPr>
          <w:rFonts w:ascii="Times New Roman" w:hAnsi="Times New Roman"/>
          <w:sz w:val="24"/>
          <w:szCs w:val="24"/>
          <w:lang w:val="sr-Cyrl-CS"/>
        </w:rPr>
        <w:t xml:space="preserve"> њихово остваривање зависи од прик</w:t>
      </w:r>
      <w:r w:rsidR="00347C1D">
        <w:rPr>
          <w:rFonts w:ascii="Times New Roman" w:hAnsi="Times New Roman"/>
          <w:sz w:val="24"/>
          <w:szCs w:val="24"/>
          <w:lang w:val="sr-Cyrl-CS"/>
        </w:rPr>
        <w:t>упљених средстава за њихово финан</w:t>
      </w:r>
      <w:r w:rsidR="00A22DD5">
        <w:rPr>
          <w:rFonts w:ascii="Times New Roman" w:hAnsi="Times New Roman"/>
          <w:sz w:val="24"/>
          <w:szCs w:val="24"/>
          <w:lang w:val="sr-Cyrl-CS"/>
        </w:rPr>
        <w:t>сирање.</w:t>
      </w:r>
    </w:p>
    <w:p w:rsidR="00285F34" w:rsidRDefault="00285F34" w:rsidP="000D487B">
      <w:pPr>
        <w:jc w:val="both"/>
        <w:rPr>
          <w:rFonts w:ascii="Times New Roman" w:hAnsi="Times New Roman"/>
          <w:sz w:val="24"/>
          <w:szCs w:val="24"/>
          <w:lang w:val="sr-Cyrl-CS"/>
        </w:rPr>
      </w:pPr>
    </w:p>
    <w:p w:rsidR="00285F34" w:rsidRDefault="00285F34" w:rsidP="000D487B">
      <w:pPr>
        <w:jc w:val="both"/>
        <w:rPr>
          <w:rFonts w:ascii="Times New Roman" w:hAnsi="Times New Roman"/>
          <w:sz w:val="24"/>
          <w:szCs w:val="24"/>
          <w:lang w:val="sr-Cyrl-CS"/>
        </w:rPr>
      </w:pPr>
    </w:p>
    <w:p w:rsidR="00A64C29" w:rsidRDefault="00A64C29" w:rsidP="000D487B">
      <w:pPr>
        <w:jc w:val="both"/>
        <w:rPr>
          <w:rFonts w:ascii="Times New Roman" w:hAnsi="Times New Roman"/>
          <w:sz w:val="24"/>
          <w:szCs w:val="24"/>
          <w:lang w:val="sr-Cyrl-CS"/>
        </w:rPr>
      </w:pPr>
    </w:p>
    <w:p w:rsidR="00A64C29" w:rsidRDefault="00A64C29" w:rsidP="000D487B">
      <w:pPr>
        <w:jc w:val="both"/>
        <w:rPr>
          <w:rFonts w:ascii="Times New Roman" w:hAnsi="Times New Roman"/>
          <w:sz w:val="24"/>
          <w:szCs w:val="24"/>
          <w:lang w:val="sr-Cyrl-CS"/>
        </w:rPr>
      </w:pPr>
    </w:p>
    <w:p w:rsidR="00A64C29" w:rsidRDefault="00A64C29" w:rsidP="000D487B">
      <w:pPr>
        <w:jc w:val="both"/>
        <w:rPr>
          <w:rFonts w:ascii="Times New Roman" w:hAnsi="Times New Roman"/>
          <w:sz w:val="24"/>
          <w:szCs w:val="24"/>
          <w:lang w:val="sr-Cyrl-CS"/>
        </w:rPr>
      </w:pPr>
    </w:p>
    <w:p w:rsidR="00A64C29" w:rsidRDefault="00A64C29" w:rsidP="000D487B">
      <w:pPr>
        <w:jc w:val="both"/>
        <w:rPr>
          <w:rFonts w:ascii="Times New Roman" w:hAnsi="Times New Roman"/>
          <w:sz w:val="24"/>
          <w:szCs w:val="24"/>
          <w:lang w:val="sr-Cyrl-CS"/>
        </w:rPr>
      </w:pPr>
    </w:p>
    <w:p w:rsidR="00A64C29" w:rsidRDefault="00A64C29" w:rsidP="000D487B">
      <w:pPr>
        <w:jc w:val="both"/>
        <w:rPr>
          <w:rFonts w:ascii="Times New Roman" w:hAnsi="Times New Roman"/>
          <w:sz w:val="24"/>
          <w:szCs w:val="24"/>
          <w:lang w:val="sr-Cyrl-CS"/>
        </w:rPr>
      </w:pPr>
    </w:p>
    <w:p w:rsidR="00A64C29" w:rsidRDefault="00A64C29" w:rsidP="000D487B">
      <w:pPr>
        <w:jc w:val="both"/>
        <w:rPr>
          <w:rFonts w:ascii="Times New Roman" w:hAnsi="Times New Roman"/>
          <w:sz w:val="24"/>
          <w:szCs w:val="24"/>
          <w:lang w:val="sr-Cyrl-CS"/>
        </w:rPr>
      </w:pPr>
    </w:p>
    <w:p w:rsidR="00A64C29" w:rsidRDefault="00A64C29" w:rsidP="000D487B">
      <w:pPr>
        <w:jc w:val="both"/>
        <w:rPr>
          <w:rFonts w:ascii="Times New Roman" w:hAnsi="Times New Roman"/>
          <w:sz w:val="24"/>
          <w:szCs w:val="24"/>
          <w:lang w:val="sr-Cyrl-CS"/>
        </w:rPr>
      </w:pPr>
    </w:p>
    <w:p w:rsidR="00A64C29" w:rsidRDefault="00A64C29" w:rsidP="000D487B">
      <w:pPr>
        <w:jc w:val="both"/>
        <w:rPr>
          <w:rFonts w:ascii="Times New Roman" w:hAnsi="Times New Roman"/>
          <w:sz w:val="24"/>
          <w:szCs w:val="24"/>
          <w:lang w:val="sr-Cyrl-CS"/>
        </w:rPr>
      </w:pPr>
    </w:p>
    <w:p w:rsidR="001E6839" w:rsidRDefault="001E6839" w:rsidP="001E6839">
      <w:pPr>
        <w:jc w:val="center"/>
        <w:rPr>
          <w:rFonts w:ascii="Times New Roman" w:hAnsi="Times New Roman"/>
          <w:b/>
          <w:sz w:val="24"/>
          <w:szCs w:val="24"/>
          <w:lang w:val="sr-Cyrl-CS"/>
        </w:rPr>
      </w:pPr>
      <w:r>
        <w:rPr>
          <w:rFonts w:ascii="Times New Roman" w:hAnsi="Times New Roman"/>
          <w:b/>
          <w:sz w:val="24"/>
          <w:szCs w:val="24"/>
          <w:lang w:val="sr-Cyrl-CS"/>
        </w:rPr>
        <w:lastRenderedPageBreak/>
        <w:t>ДЕО ДРУГИ</w:t>
      </w:r>
    </w:p>
    <w:p w:rsidR="001E6839" w:rsidRPr="00D838AD" w:rsidRDefault="001E6839" w:rsidP="001E6839">
      <w:pPr>
        <w:jc w:val="center"/>
        <w:rPr>
          <w:rFonts w:ascii="Times New Roman" w:hAnsi="Times New Roman"/>
          <w:b/>
          <w:sz w:val="24"/>
          <w:szCs w:val="24"/>
          <w:lang w:val="sr-Cyrl-CS"/>
        </w:rPr>
      </w:pPr>
    </w:p>
    <w:p w:rsidR="001E6839" w:rsidRDefault="001E6839" w:rsidP="00A64C29">
      <w:pPr>
        <w:ind w:firstLine="630"/>
        <w:jc w:val="both"/>
        <w:rPr>
          <w:rFonts w:ascii="Times New Roman" w:hAnsi="Times New Roman"/>
          <w:b/>
          <w:sz w:val="24"/>
          <w:szCs w:val="24"/>
          <w:lang w:val="sr-Cyrl-CS"/>
        </w:rPr>
      </w:pPr>
      <w:r w:rsidRPr="00C73790">
        <w:rPr>
          <w:rFonts w:ascii="Times New Roman" w:hAnsi="Times New Roman"/>
          <w:b/>
          <w:sz w:val="24"/>
          <w:szCs w:val="24"/>
        </w:rPr>
        <w:t xml:space="preserve"> ИЗБЕГАВАЊЕ ПЛАЋАЊА ПОРЕЗА СА АСПЕКТА ПОРЕСКОГ ПРАВА </w:t>
      </w:r>
    </w:p>
    <w:p w:rsidR="00A76342" w:rsidRPr="00A76342" w:rsidRDefault="00A76342" w:rsidP="00A64C29">
      <w:pPr>
        <w:ind w:firstLine="630"/>
        <w:jc w:val="both"/>
        <w:rPr>
          <w:rFonts w:ascii="Times New Roman" w:hAnsi="Times New Roman"/>
          <w:b/>
          <w:sz w:val="24"/>
          <w:szCs w:val="24"/>
          <w:lang w:val="sr-Cyrl-CS"/>
        </w:rPr>
      </w:pPr>
    </w:p>
    <w:p w:rsidR="001E6839" w:rsidRDefault="001E6839" w:rsidP="001E6839">
      <w:pPr>
        <w:widowControl w:val="0"/>
        <w:numPr>
          <w:ilvl w:val="0"/>
          <w:numId w:val="1"/>
        </w:numPr>
        <w:suppressAutoHyphens/>
        <w:spacing w:after="0" w:line="240" w:lineRule="auto"/>
        <w:jc w:val="center"/>
        <w:rPr>
          <w:rFonts w:ascii="Times New Roman" w:hAnsi="Times New Roman"/>
          <w:b/>
          <w:i/>
          <w:sz w:val="28"/>
          <w:szCs w:val="28"/>
          <w:lang w:val="sr-Cyrl-CS"/>
        </w:rPr>
      </w:pPr>
      <w:r w:rsidRPr="008D2546">
        <w:rPr>
          <w:rFonts w:ascii="Times New Roman" w:hAnsi="Times New Roman"/>
          <w:b/>
          <w:i/>
          <w:sz w:val="28"/>
          <w:szCs w:val="28"/>
          <w:lang w:val="sr-Cyrl-CS"/>
        </w:rPr>
        <w:t>Дефинисање избегавања плаћања порез</w:t>
      </w:r>
      <w:r>
        <w:rPr>
          <w:rFonts w:ascii="Times New Roman" w:hAnsi="Times New Roman"/>
          <w:b/>
          <w:i/>
          <w:sz w:val="28"/>
          <w:szCs w:val="28"/>
          <w:lang w:val="sr-Cyrl-CS"/>
        </w:rPr>
        <w:t>а</w:t>
      </w:r>
    </w:p>
    <w:p w:rsidR="001E6839" w:rsidRDefault="001E6839" w:rsidP="001E6839">
      <w:pPr>
        <w:widowControl w:val="0"/>
        <w:suppressAutoHyphens/>
        <w:spacing w:after="0" w:line="240" w:lineRule="auto"/>
        <w:ind w:left="990"/>
        <w:rPr>
          <w:rFonts w:ascii="Times New Roman" w:hAnsi="Times New Roman"/>
          <w:b/>
          <w:i/>
          <w:sz w:val="28"/>
          <w:szCs w:val="28"/>
          <w:lang w:val="sr-Cyrl-CS"/>
        </w:rPr>
      </w:pPr>
    </w:p>
    <w:p w:rsidR="00A76342" w:rsidRDefault="00A76342" w:rsidP="001E6839">
      <w:pPr>
        <w:widowControl w:val="0"/>
        <w:suppressAutoHyphens/>
        <w:spacing w:after="0" w:line="240" w:lineRule="auto"/>
        <w:ind w:left="990"/>
        <w:rPr>
          <w:rFonts w:ascii="Times New Roman" w:hAnsi="Times New Roman"/>
          <w:b/>
          <w:i/>
          <w:sz w:val="28"/>
          <w:szCs w:val="28"/>
          <w:lang w:val="sr-Cyrl-CS"/>
        </w:rPr>
      </w:pPr>
    </w:p>
    <w:p w:rsidR="001E6839" w:rsidRDefault="001E6839" w:rsidP="001E6839">
      <w:pPr>
        <w:widowControl w:val="0"/>
        <w:suppressAutoHyphens/>
        <w:spacing w:after="0" w:line="240" w:lineRule="auto"/>
        <w:jc w:val="both"/>
        <w:rPr>
          <w:rFonts w:ascii="Times New Roman" w:hAnsi="Times New Roman"/>
          <w:sz w:val="24"/>
          <w:szCs w:val="24"/>
          <w:lang w:val="sr-Cyrl-CS"/>
        </w:rPr>
      </w:pPr>
    </w:p>
    <w:p w:rsidR="001E6839" w:rsidRDefault="001E6839" w:rsidP="004F3A7D">
      <w:pPr>
        <w:ind w:firstLine="360"/>
        <w:jc w:val="both"/>
        <w:rPr>
          <w:rFonts w:ascii="Times New Roman" w:hAnsi="Times New Roman"/>
          <w:sz w:val="24"/>
          <w:szCs w:val="24"/>
          <w:lang w:val="sr-Cyrl-CS"/>
        </w:rPr>
      </w:pPr>
      <w:r>
        <w:rPr>
          <w:rFonts w:ascii="Times New Roman" w:hAnsi="Times New Roman"/>
          <w:sz w:val="24"/>
          <w:szCs w:val="24"/>
          <w:lang w:val="sr-Cyrl-CS"/>
        </w:rPr>
        <w:t xml:space="preserve">Реч евазија потиче од латинског глагола </w:t>
      </w:r>
      <w:r>
        <w:rPr>
          <w:rFonts w:ascii="Times New Roman" w:hAnsi="Times New Roman"/>
          <w:sz w:val="24"/>
          <w:szCs w:val="24"/>
        </w:rPr>
        <w:t>„</w:t>
      </w:r>
      <w:r>
        <w:rPr>
          <w:rFonts w:ascii="Times New Roman" w:hAnsi="Times New Roman"/>
          <w:sz w:val="24"/>
          <w:szCs w:val="24"/>
          <w:lang w:val="sr-Cyrl-CS"/>
        </w:rPr>
        <w:t>evаdere</w:t>
      </w:r>
      <w:r>
        <w:rPr>
          <w:rFonts w:ascii="Times New Roman" w:hAnsi="Times New Roman"/>
          <w:sz w:val="24"/>
          <w:szCs w:val="24"/>
        </w:rPr>
        <w:t xml:space="preserve">“, што значи </w:t>
      </w:r>
      <w:r w:rsidR="00A43DCD">
        <w:rPr>
          <w:rFonts w:ascii="Times New Roman" w:hAnsi="Times New Roman"/>
          <w:sz w:val="24"/>
          <w:szCs w:val="24"/>
        </w:rPr>
        <w:t>бежати, избе</w:t>
      </w:r>
      <w:r w:rsidR="00A43DCD">
        <w:rPr>
          <w:rFonts w:ascii="Times New Roman" w:hAnsi="Times New Roman"/>
          <w:sz w:val="24"/>
          <w:szCs w:val="24"/>
          <w:lang w:val="sr-Cyrl-CS"/>
        </w:rPr>
        <w:t>гавати</w:t>
      </w:r>
      <w:r>
        <w:rPr>
          <w:rFonts w:ascii="Times New Roman" w:hAnsi="Times New Roman"/>
          <w:sz w:val="24"/>
          <w:szCs w:val="24"/>
        </w:rPr>
        <w:t>.</w:t>
      </w:r>
      <w:r>
        <w:rPr>
          <w:rStyle w:val="FootnoteReference"/>
          <w:rFonts w:ascii="Times New Roman" w:hAnsi="Times New Roman"/>
          <w:sz w:val="24"/>
          <w:szCs w:val="24"/>
        </w:rPr>
        <w:footnoteReference w:id="68"/>
      </w:r>
      <w:r>
        <w:rPr>
          <w:rFonts w:ascii="Times New Roman" w:hAnsi="Times New Roman"/>
          <w:sz w:val="24"/>
          <w:szCs w:val="24"/>
          <w:lang w:val="sr-Cyrl-CS"/>
        </w:rPr>
        <w:t xml:space="preserve"> Увођење пореза за сваког пореског обвезника представља трошак и отуда стална потреба да се порески терет смањи или избегне.</w:t>
      </w:r>
      <w:r w:rsidR="00EF7DC6">
        <w:rPr>
          <w:rFonts w:ascii="Times New Roman" w:hAnsi="Times New Roman"/>
          <w:sz w:val="24"/>
          <w:szCs w:val="24"/>
          <w:lang w:val="sr-Cyrl-CS"/>
        </w:rPr>
        <w:t xml:space="preserve"> </w:t>
      </w:r>
      <w:r>
        <w:rPr>
          <w:rFonts w:ascii="Times New Roman" w:hAnsi="Times New Roman"/>
          <w:sz w:val="24"/>
          <w:szCs w:val="24"/>
          <w:lang w:val="sr-Cyrl-CS"/>
        </w:rPr>
        <w:t xml:space="preserve">Порески обвезници имају негативан став према обавези плаћања пореза јер порез карактерише присилност, неповратност и одсуство непосредне противуслуге. </w:t>
      </w:r>
    </w:p>
    <w:p w:rsidR="001E6839" w:rsidRDefault="001E6839" w:rsidP="004F3A7D">
      <w:pPr>
        <w:widowControl w:val="0"/>
        <w:suppressAutoHyphens/>
        <w:spacing w:line="240" w:lineRule="auto"/>
        <w:ind w:firstLine="360"/>
        <w:jc w:val="both"/>
        <w:rPr>
          <w:rFonts w:ascii="Times New Roman" w:hAnsi="Times New Roman"/>
          <w:sz w:val="24"/>
          <w:szCs w:val="24"/>
          <w:lang w:val="sr-Cyrl-CS"/>
        </w:rPr>
      </w:pPr>
      <w:r>
        <w:rPr>
          <w:rFonts w:ascii="Times New Roman" w:hAnsi="Times New Roman"/>
          <w:sz w:val="24"/>
          <w:szCs w:val="24"/>
          <w:lang w:val="sr-Cyrl-CS"/>
        </w:rPr>
        <w:t>Плаћање пореза представља грађанску дужност која је наметнута пореским обвезницима од стране државе како би се прикупила фина</w:t>
      </w:r>
      <w:r w:rsidR="00EC0068">
        <w:rPr>
          <w:rFonts w:ascii="Times New Roman" w:hAnsi="Times New Roman"/>
          <w:sz w:val="24"/>
          <w:szCs w:val="24"/>
          <w:lang w:val="sr-Cyrl-CS"/>
        </w:rPr>
        <w:t>н</w:t>
      </w:r>
      <w:r>
        <w:rPr>
          <w:rFonts w:ascii="Times New Roman" w:hAnsi="Times New Roman"/>
          <w:sz w:val="24"/>
          <w:szCs w:val="24"/>
          <w:lang w:val="sr-Cyrl-CS"/>
        </w:rPr>
        <w:t xml:space="preserve">сијска средства за обављање јавних функција државе. Избегавање плаћања пореза ствара разлику између стварног и потенцијалног прихода. Опорезивање није само главни извор јавних прихода, него је и средство којим држава остварује економске циљеве у области монетарне и фискалне политике. Према томе, опорезивање је битан фактор за економски раст и просперитет. Избегавање плаћања пореза све ове функције значајно угрожава.  </w:t>
      </w:r>
    </w:p>
    <w:p w:rsidR="001E6839" w:rsidRDefault="001E6839" w:rsidP="001E6839">
      <w:pPr>
        <w:widowControl w:val="0"/>
        <w:suppressAutoHyphens/>
        <w:spacing w:after="0" w:line="240" w:lineRule="auto"/>
        <w:ind w:firstLine="360"/>
        <w:jc w:val="both"/>
        <w:rPr>
          <w:rFonts w:ascii="Times New Roman" w:hAnsi="Times New Roman"/>
          <w:sz w:val="24"/>
          <w:szCs w:val="24"/>
          <w:lang w:val="sr-Cyrl-CS"/>
        </w:rPr>
      </w:pPr>
      <w:r>
        <w:rPr>
          <w:rFonts w:ascii="Times New Roman" w:hAnsi="Times New Roman"/>
          <w:sz w:val="24"/>
          <w:szCs w:val="24"/>
        </w:rPr>
        <w:t>Сложеност феномена</w:t>
      </w:r>
      <w:r>
        <w:rPr>
          <w:rFonts w:ascii="Times New Roman" w:hAnsi="Times New Roman"/>
          <w:sz w:val="24"/>
          <w:szCs w:val="24"/>
          <w:lang w:val="sr-Cyrl-CS"/>
        </w:rPr>
        <w:t xml:space="preserve"> изб</w:t>
      </w:r>
      <w:r w:rsidR="0067011B">
        <w:rPr>
          <w:rFonts w:ascii="Times New Roman" w:hAnsi="Times New Roman"/>
          <w:sz w:val="24"/>
          <w:szCs w:val="24"/>
          <w:lang w:val="sr-Cyrl-CS"/>
        </w:rPr>
        <w:t>е</w:t>
      </w:r>
      <w:r>
        <w:rPr>
          <w:rFonts w:ascii="Times New Roman" w:hAnsi="Times New Roman"/>
          <w:sz w:val="24"/>
          <w:szCs w:val="24"/>
          <w:lang w:val="sr-Cyrl-CS"/>
        </w:rPr>
        <w:t>гавања плаћања пореза се огледа у томе што је овај феномен тешко</w:t>
      </w:r>
      <w:r w:rsidR="0067011B">
        <w:rPr>
          <w:rFonts w:ascii="Times New Roman" w:hAnsi="Times New Roman"/>
          <w:sz w:val="24"/>
          <w:szCs w:val="24"/>
          <w:lang w:val="sr-Cyrl-CS"/>
        </w:rPr>
        <w:t xml:space="preserve"> прецизно одредити и дефинисати</w:t>
      </w:r>
      <w:r>
        <w:rPr>
          <w:rFonts w:ascii="Times New Roman" w:hAnsi="Times New Roman"/>
          <w:sz w:val="24"/>
          <w:szCs w:val="24"/>
          <w:lang w:val="sr-Cyrl-CS"/>
        </w:rPr>
        <w:t xml:space="preserve"> </w:t>
      </w:r>
      <w:r w:rsidR="0067011B">
        <w:rPr>
          <w:rFonts w:ascii="Times New Roman" w:hAnsi="Times New Roman"/>
          <w:sz w:val="24"/>
          <w:szCs w:val="24"/>
          <w:lang w:val="sr-Cyrl-CS"/>
        </w:rPr>
        <w:t>због разноврсности</w:t>
      </w:r>
      <w:r>
        <w:rPr>
          <w:rFonts w:ascii="Times New Roman" w:hAnsi="Times New Roman"/>
          <w:sz w:val="24"/>
          <w:szCs w:val="24"/>
          <w:lang w:val="sr-Cyrl-CS"/>
        </w:rPr>
        <w:t xml:space="preserve"> начина избегавања плаћања пореза. Избегавање плаћања пореза постоји када </w:t>
      </w:r>
      <w:r w:rsidR="0067011B">
        <w:rPr>
          <w:rFonts w:ascii="Times New Roman" w:hAnsi="Times New Roman"/>
          <w:sz w:val="24"/>
          <w:szCs w:val="24"/>
          <w:lang w:val="sr-Cyrl-CS"/>
        </w:rPr>
        <w:t xml:space="preserve">порески </w:t>
      </w:r>
      <w:r>
        <w:rPr>
          <w:rFonts w:ascii="Times New Roman" w:hAnsi="Times New Roman"/>
          <w:sz w:val="24"/>
          <w:szCs w:val="24"/>
          <w:lang w:val="sr-Cyrl-CS"/>
        </w:rPr>
        <w:t>обвезник порез избегне да плати, а притом не пренесе терет плаћања на друго лице.</w:t>
      </w:r>
      <w:r w:rsidR="0067011B">
        <w:rPr>
          <w:rFonts w:ascii="Times New Roman" w:hAnsi="Times New Roman"/>
          <w:sz w:val="24"/>
          <w:szCs w:val="24"/>
          <w:lang w:val="sr-Cyrl-CS"/>
        </w:rPr>
        <w:t xml:space="preserve"> Према томе, порез није плаћен и оштећен је финансијски интерес државе, а да је порез преваљен била би оштећена лица на која је пребачен порески терет, а не држава из разлога што је она порез наплатила.</w:t>
      </w:r>
      <w:r>
        <w:rPr>
          <w:rStyle w:val="FootnoteReference"/>
          <w:rFonts w:ascii="Times New Roman" w:hAnsi="Times New Roman"/>
          <w:sz w:val="24"/>
          <w:szCs w:val="24"/>
          <w:lang w:val="sr-Cyrl-CS"/>
        </w:rPr>
        <w:footnoteReference w:id="69"/>
      </w:r>
    </w:p>
    <w:p w:rsidR="001E6839" w:rsidRDefault="001E6839" w:rsidP="004F3A7D">
      <w:pPr>
        <w:widowControl w:val="0"/>
        <w:suppressAutoHyphens/>
        <w:spacing w:after="0" w:line="240" w:lineRule="auto"/>
        <w:jc w:val="both"/>
        <w:rPr>
          <w:rFonts w:ascii="Times New Roman" w:hAnsi="Times New Roman"/>
          <w:sz w:val="24"/>
          <w:szCs w:val="24"/>
          <w:lang w:val="sr-Cyrl-CS"/>
        </w:rPr>
      </w:pPr>
    </w:p>
    <w:p w:rsidR="001E6839" w:rsidRDefault="001E6839" w:rsidP="00A64C29">
      <w:pPr>
        <w:widowControl w:val="0"/>
        <w:suppressAutoHyphens/>
        <w:spacing w:line="240" w:lineRule="auto"/>
        <w:ind w:firstLine="360"/>
        <w:jc w:val="both"/>
        <w:rPr>
          <w:rFonts w:ascii="Times New Roman" w:hAnsi="Times New Roman"/>
          <w:sz w:val="24"/>
          <w:szCs w:val="24"/>
          <w:lang w:val="sr-Cyrl-CS"/>
        </w:rPr>
      </w:pPr>
      <w:r>
        <w:rPr>
          <w:rFonts w:ascii="Times New Roman" w:hAnsi="Times New Roman"/>
          <w:sz w:val="24"/>
          <w:szCs w:val="24"/>
          <w:lang w:val="sr-Cyrl-CS"/>
        </w:rPr>
        <w:t>Према неким ауторима основу за прављење разлике да ли је избегавање пореза у оквиру закона или не, треба да представља тумачење закона од стране судова а не оно што пореске власти претпостављају да је закон хтео да каже.</w:t>
      </w:r>
      <w:r>
        <w:rPr>
          <w:rStyle w:val="FootnoteReference"/>
          <w:rFonts w:ascii="Times New Roman" w:hAnsi="Times New Roman"/>
          <w:sz w:val="24"/>
          <w:szCs w:val="24"/>
          <w:lang w:val="sr-Cyrl-CS"/>
        </w:rPr>
        <w:footnoteReference w:id="70"/>
      </w:r>
      <w:r>
        <w:rPr>
          <w:rFonts w:ascii="Times New Roman" w:hAnsi="Times New Roman"/>
          <w:sz w:val="24"/>
          <w:szCs w:val="24"/>
          <w:lang w:val="sr-Cyrl-CS"/>
        </w:rPr>
        <w:t xml:space="preserve"> Неусклађеност тумачења пореских закона између судова и пореске администрације пружа веће могућности пореским обвезницима за избегавање пореза у законским оквирима.</w:t>
      </w:r>
    </w:p>
    <w:p w:rsidR="001E6839" w:rsidRDefault="001E6839" w:rsidP="001E6839">
      <w:pPr>
        <w:widowControl w:val="0"/>
        <w:suppressAutoHyphens/>
        <w:spacing w:after="0" w:line="240" w:lineRule="auto"/>
        <w:ind w:firstLine="360"/>
        <w:jc w:val="both"/>
        <w:rPr>
          <w:rFonts w:ascii="Times New Roman" w:hAnsi="Times New Roman"/>
          <w:sz w:val="24"/>
          <w:szCs w:val="24"/>
          <w:lang w:val="sr-Cyrl-CS"/>
        </w:rPr>
      </w:pPr>
      <w:r>
        <w:rPr>
          <w:rFonts w:ascii="Times New Roman" w:hAnsi="Times New Roman"/>
          <w:sz w:val="24"/>
          <w:szCs w:val="24"/>
          <w:lang w:val="sr-Cyrl-CS"/>
        </w:rPr>
        <w:t xml:space="preserve">При том, треба правити разлику између пореске евазије, као ширег појма, од пореске утаје, као ужег појма. Пореска утаја је једна од врста евазије која се односи на незакониту евазију. Није увек </w:t>
      </w:r>
      <w:r w:rsidR="005359AD">
        <w:rPr>
          <w:rFonts w:ascii="Times New Roman" w:hAnsi="Times New Roman"/>
          <w:sz w:val="24"/>
          <w:szCs w:val="24"/>
          <w:lang w:val="sr-Cyrl-CS"/>
        </w:rPr>
        <w:t>једноставно разликовати ове појаве</w:t>
      </w:r>
      <w:r>
        <w:rPr>
          <w:rFonts w:ascii="Times New Roman" w:hAnsi="Times New Roman"/>
          <w:sz w:val="24"/>
          <w:szCs w:val="24"/>
          <w:lang w:val="sr-Cyrl-CS"/>
        </w:rPr>
        <w:t xml:space="preserve">, а то према неким ауторима још више компликује елеменат вољности осносно намере (eng. </w:t>
      </w:r>
      <w:r w:rsidRPr="003C0655">
        <w:rPr>
          <w:rFonts w:ascii="Times New Roman" w:hAnsi="Times New Roman"/>
          <w:sz w:val="24"/>
          <w:szCs w:val="24"/>
          <w:lang w:val="sr-Cyrl-CS"/>
        </w:rPr>
        <w:t xml:space="preserve">element of </w:t>
      </w:r>
      <w:r w:rsidRPr="003C0655">
        <w:rPr>
          <w:rFonts w:ascii="Times New Roman" w:hAnsi="Times New Roman"/>
          <w:sz w:val="24"/>
          <w:szCs w:val="24"/>
          <w:lang w:val="sr-Cyrl-CS"/>
        </w:rPr>
        <w:lastRenderedPageBreak/>
        <w:t>intentionality</w:t>
      </w:r>
      <w:r w:rsidR="00D8517B">
        <w:rPr>
          <w:rFonts w:ascii="Times New Roman" w:hAnsi="Times New Roman"/>
          <w:sz w:val="24"/>
          <w:szCs w:val="24"/>
        </w:rPr>
        <w:t>)</w:t>
      </w:r>
      <w:r>
        <w:rPr>
          <w:rFonts w:ascii="Times New Roman" w:hAnsi="Times New Roman"/>
          <w:sz w:val="24"/>
          <w:szCs w:val="24"/>
          <w:lang w:val="sr-Cyrl-CS"/>
        </w:rPr>
        <w:t>.</w:t>
      </w:r>
      <w:r>
        <w:rPr>
          <w:rStyle w:val="FootnoteReference"/>
          <w:rFonts w:ascii="Times New Roman" w:hAnsi="Times New Roman"/>
          <w:sz w:val="24"/>
          <w:szCs w:val="24"/>
          <w:lang w:val="sr-Cyrl-CS"/>
        </w:rPr>
        <w:footnoteReference w:id="71"/>
      </w:r>
      <w:r>
        <w:rPr>
          <w:rFonts w:ascii="Times New Roman" w:hAnsi="Times New Roman"/>
          <w:sz w:val="24"/>
          <w:szCs w:val="24"/>
          <w:lang w:val="sr-Cyrl-CS"/>
        </w:rPr>
        <w:t xml:space="preserve">  </w:t>
      </w:r>
    </w:p>
    <w:p w:rsidR="001E6839" w:rsidRPr="00EA2155" w:rsidRDefault="001E6839" w:rsidP="001E6839">
      <w:pPr>
        <w:widowControl w:val="0"/>
        <w:suppressAutoHyphens/>
        <w:spacing w:after="0" w:line="240" w:lineRule="auto"/>
        <w:jc w:val="both"/>
        <w:rPr>
          <w:rFonts w:ascii="Times New Roman" w:hAnsi="Times New Roman"/>
          <w:sz w:val="24"/>
          <w:szCs w:val="24"/>
        </w:rPr>
      </w:pPr>
    </w:p>
    <w:p w:rsidR="001E6839" w:rsidRDefault="001E6839" w:rsidP="001E6839">
      <w:pPr>
        <w:widowControl w:val="0"/>
        <w:suppressAutoHyphens/>
        <w:spacing w:after="0" w:line="240" w:lineRule="auto"/>
        <w:ind w:firstLine="360"/>
        <w:jc w:val="both"/>
        <w:rPr>
          <w:rFonts w:ascii="Times New Roman" w:hAnsi="Times New Roman"/>
          <w:sz w:val="24"/>
          <w:szCs w:val="24"/>
          <w:lang w:val="sr-Cyrl-CS"/>
        </w:rPr>
      </w:pPr>
      <w:r>
        <w:rPr>
          <w:rFonts w:ascii="Times New Roman" w:hAnsi="Times New Roman"/>
          <w:sz w:val="24"/>
          <w:szCs w:val="24"/>
          <w:lang w:val="sr-Cyrl-CS"/>
        </w:rPr>
        <w:t xml:space="preserve">Утаја пореза се односи на радњу која </w:t>
      </w:r>
      <w:r w:rsidR="00855064">
        <w:rPr>
          <w:rFonts w:ascii="Times New Roman" w:hAnsi="Times New Roman"/>
          <w:sz w:val="24"/>
          <w:szCs w:val="24"/>
          <w:lang w:val="sr-Cyrl-CS"/>
        </w:rPr>
        <w:t>је у супротности са законом</w:t>
      </w:r>
      <w:r>
        <w:rPr>
          <w:rFonts w:ascii="Times New Roman" w:hAnsi="Times New Roman"/>
          <w:sz w:val="24"/>
          <w:szCs w:val="24"/>
          <w:lang w:val="sr-Cyrl-CS"/>
        </w:rPr>
        <w:t xml:space="preserve"> </w:t>
      </w:r>
      <w:r w:rsidR="00855064">
        <w:rPr>
          <w:rFonts w:ascii="Times New Roman" w:hAnsi="Times New Roman"/>
          <w:sz w:val="24"/>
          <w:szCs w:val="24"/>
          <w:lang w:val="sr-Cyrl-CS"/>
        </w:rPr>
        <w:t>помоћу које</w:t>
      </w:r>
      <w:r>
        <w:rPr>
          <w:rFonts w:ascii="Times New Roman" w:hAnsi="Times New Roman"/>
          <w:sz w:val="24"/>
          <w:szCs w:val="24"/>
          <w:lang w:val="sr-Cyrl-CS"/>
        </w:rPr>
        <w:t xml:space="preserve"> порески обвезник не плаћа порез или плаћа мањи порез од оног који би био </w:t>
      </w:r>
      <w:r w:rsidR="00855064">
        <w:rPr>
          <w:rFonts w:ascii="Times New Roman" w:hAnsi="Times New Roman"/>
          <w:sz w:val="24"/>
          <w:szCs w:val="24"/>
          <w:lang w:val="sr-Cyrl-CS"/>
        </w:rPr>
        <w:t>дужан</w:t>
      </w:r>
      <w:r>
        <w:rPr>
          <w:rFonts w:ascii="Times New Roman" w:hAnsi="Times New Roman"/>
          <w:sz w:val="24"/>
          <w:szCs w:val="24"/>
          <w:lang w:val="sr-Cyrl-CS"/>
        </w:rPr>
        <w:t xml:space="preserve"> да плати. Са др</w:t>
      </w:r>
      <w:r w:rsidR="00855064">
        <w:rPr>
          <w:rFonts w:ascii="Times New Roman" w:hAnsi="Times New Roman"/>
          <w:sz w:val="24"/>
          <w:szCs w:val="24"/>
          <w:lang w:val="sr-Cyrl-CS"/>
        </w:rPr>
        <w:t>уге стране избегавање пореза обично подразумева</w:t>
      </w:r>
      <w:r>
        <w:rPr>
          <w:rFonts w:ascii="Times New Roman" w:hAnsi="Times New Roman"/>
          <w:sz w:val="24"/>
          <w:szCs w:val="24"/>
          <w:lang w:val="sr-Cyrl-CS"/>
        </w:rPr>
        <w:t xml:space="preserve"> акт у окиру закона.</w:t>
      </w:r>
      <w:r>
        <w:rPr>
          <w:rStyle w:val="FootnoteReference"/>
          <w:rFonts w:ascii="Times New Roman" w:hAnsi="Times New Roman"/>
          <w:sz w:val="24"/>
          <w:szCs w:val="24"/>
          <w:lang w:val="sr-Cyrl-CS"/>
        </w:rPr>
        <w:footnoteReference w:id="72"/>
      </w:r>
      <w:r>
        <w:rPr>
          <w:rFonts w:ascii="Times New Roman" w:hAnsi="Times New Roman"/>
          <w:sz w:val="24"/>
          <w:szCs w:val="24"/>
          <w:lang w:val="sr-Cyrl-CS"/>
        </w:rPr>
        <w:t xml:space="preserve">  </w:t>
      </w:r>
    </w:p>
    <w:p w:rsidR="001E6839" w:rsidRPr="00EA2155" w:rsidRDefault="001E6839" w:rsidP="001E6839">
      <w:pPr>
        <w:widowControl w:val="0"/>
        <w:suppressAutoHyphens/>
        <w:spacing w:after="0" w:line="240" w:lineRule="auto"/>
        <w:jc w:val="both"/>
        <w:rPr>
          <w:rFonts w:ascii="Times New Roman" w:hAnsi="Times New Roman"/>
          <w:sz w:val="24"/>
          <w:szCs w:val="24"/>
        </w:rPr>
      </w:pPr>
    </w:p>
    <w:p w:rsidR="001E6839" w:rsidRDefault="001E6839" w:rsidP="001E6839">
      <w:pPr>
        <w:widowControl w:val="0"/>
        <w:suppressAutoHyphens/>
        <w:spacing w:after="0" w:line="240" w:lineRule="auto"/>
        <w:ind w:firstLine="360"/>
        <w:jc w:val="both"/>
        <w:rPr>
          <w:rFonts w:ascii="Times New Roman" w:hAnsi="Times New Roman"/>
          <w:sz w:val="24"/>
          <w:szCs w:val="24"/>
          <w:lang w:val="sr-Cyrl-CS"/>
        </w:rPr>
      </w:pPr>
      <w:r>
        <w:rPr>
          <w:rFonts w:ascii="Times New Roman" w:hAnsi="Times New Roman"/>
          <w:sz w:val="24"/>
          <w:szCs w:val="24"/>
          <w:lang w:val="sr-Cyrl-CS"/>
        </w:rPr>
        <w:t>Према томе</w:t>
      </w:r>
      <w:r w:rsidR="00EA2155">
        <w:rPr>
          <w:rFonts w:ascii="Times New Roman" w:hAnsi="Times New Roman"/>
          <w:sz w:val="24"/>
          <w:szCs w:val="24"/>
        </w:rPr>
        <w:t>,</w:t>
      </w:r>
      <w:r>
        <w:rPr>
          <w:rFonts w:ascii="Times New Roman" w:hAnsi="Times New Roman"/>
          <w:sz w:val="24"/>
          <w:szCs w:val="24"/>
          <w:lang w:val="sr-Cyrl-CS"/>
        </w:rPr>
        <w:t xml:space="preserve"> основни критеријум за разликовање  јесте да ли </w:t>
      </w:r>
      <w:r w:rsidR="000008C9">
        <w:rPr>
          <w:rFonts w:ascii="Times New Roman" w:hAnsi="Times New Roman"/>
          <w:sz w:val="24"/>
          <w:szCs w:val="24"/>
          <w:lang w:val="sr-Cyrl-CS"/>
        </w:rPr>
        <w:t>се крше законски прописи или не према коме се</w:t>
      </w:r>
      <w:r>
        <w:rPr>
          <w:rFonts w:ascii="Times New Roman" w:hAnsi="Times New Roman"/>
          <w:sz w:val="24"/>
          <w:szCs w:val="24"/>
          <w:lang w:val="sr-Cyrl-CS"/>
        </w:rPr>
        <w:t xml:space="preserve"> </w:t>
      </w:r>
      <w:r w:rsidR="000008C9">
        <w:rPr>
          <w:rFonts w:ascii="Times New Roman" w:hAnsi="Times New Roman"/>
          <w:sz w:val="24"/>
          <w:szCs w:val="24"/>
          <w:lang w:val="sr-Cyrl-CS"/>
        </w:rPr>
        <w:t xml:space="preserve">прави разлика између прихватљивог и неприхватљивог пореског понашања. </w:t>
      </w:r>
      <w:r>
        <w:rPr>
          <w:rFonts w:ascii="Times New Roman" w:hAnsi="Times New Roman"/>
          <w:sz w:val="24"/>
          <w:szCs w:val="24"/>
          <w:lang w:val="sr-Cyrl-CS"/>
        </w:rPr>
        <w:t>ОЕЦД у својој анализи под називом „Студија о улози пореских посредника“ пр</w:t>
      </w:r>
      <w:r w:rsidR="000008C9">
        <w:rPr>
          <w:rFonts w:ascii="Times New Roman" w:hAnsi="Times New Roman"/>
          <w:sz w:val="24"/>
          <w:szCs w:val="24"/>
          <w:lang w:val="sr-Cyrl-CS"/>
        </w:rPr>
        <w:t xml:space="preserve">ави разлику између прихватљивог пореског понашања и </w:t>
      </w:r>
      <w:r>
        <w:rPr>
          <w:rFonts w:ascii="Times New Roman" w:hAnsi="Times New Roman"/>
          <w:sz w:val="24"/>
          <w:szCs w:val="24"/>
          <w:lang w:val="sr-Cyrl-CS"/>
        </w:rPr>
        <w:t xml:space="preserve">агресивног пореског планирања </w:t>
      </w:r>
      <w:r>
        <w:rPr>
          <w:rFonts w:ascii="Times New Roman" w:hAnsi="Times New Roman"/>
          <w:sz w:val="24"/>
          <w:szCs w:val="24"/>
        </w:rPr>
        <w:t xml:space="preserve">(eng. aggressive tax planning), </w:t>
      </w:r>
      <w:r>
        <w:rPr>
          <w:rFonts w:ascii="Times New Roman" w:hAnsi="Times New Roman"/>
          <w:sz w:val="24"/>
          <w:szCs w:val="24"/>
          <w:lang w:val="sr-Cyrl-CS"/>
        </w:rPr>
        <w:t xml:space="preserve">које укључује преварне </w:t>
      </w:r>
      <w:r w:rsidR="000008C9">
        <w:rPr>
          <w:rFonts w:ascii="Times New Roman" w:hAnsi="Times New Roman"/>
          <w:sz w:val="24"/>
          <w:szCs w:val="24"/>
          <w:lang w:val="sr-Cyrl-CS"/>
        </w:rPr>
        <w:t>радње</w:t>
      </w:r>
      <w:r>
        <w:rPr>
          <w:rFonts w:ascii="Times New Roman" w:hAnsi="Times New Roman"/>
          <w:sz w:val="24"/>
          <w:szCs w:val="24"/>
          <w:lang w:val="sr-Cyrl-CS"/>
        </w:rPr>
        <w:t>.</w:t>
      </w:r>
      <w:r>
        <w:rPr>
          <w:rStyle w:val="FootnoteReference"/>
          <w:rFonts w:ascii="Times New Roman" w:hAnsi="Times New Roman"/>
          <w:sz w:val="24"/>
          <w:szCs w:val="24"/>
          <w:lang w:val="sr-Cyrl-CS"/>
        </w:rPr>
        <w:footnoteReference w:id="73"/>
      </w:r>
      <w:r>
        <w:rPr>
          <w:rFonts w:ascii="Times New Roman" w:hAnsi="Times New Roman"/>
          <w:sz w:val="24"/>
          <w:szCs w:val="24"/>
        </w:rPr>
        <w:t xml:space="preserve"> </w:t>
      </w:r>
      <w:r>
        <w:rPr>
          <w:rFonts w:ascii="Times New Roman" w:hAnsi="Times New Roman"/>
          <w:sz w:val="24"/>
          <w:szCs w:val="24"/>
          <w:lang w:val="sr-Cyrl-CS"/>
        </w:rPr>
        <w:t xml:space="preserve"> </w:t>
      </w:r>
    </w:p>
    <w:p w:rsidR="001E6839" w:rsidRPr="00EA2155" w:rsidRDefault="001E6839" w:rsidP="001E6839">
      <w:pPr>
        <w:widowControl w:val="0"/>
        <w:suppressAutoHyphens/>
        <w:spacing w:after="0" w:line="240" w:lineRule="auto"/>
        <w:jc w:val="both"/>
        <w:rPr>
          <w:rFonts w:ascii="Times New Roman" w:hAnsi="Times New Roman"/>
          <w:sz w:val="24"/>
          <w:szCs w:val="24"/>
        </w:rPr>
      </w:pPr>
    </w:p>
    <w:p w:rsidR="001E6839" w:rsidRPr="00A64C29" w:rsidRDefault="001E6839" w:rsidP="00A64C29">
      <w:pPr>
        <w:ind w:firstLine="360"/>
        <w:jc w:val="both"/>
        <w:rPr>
          <w:rFonts w:ascii="Times New Roman" w:hAnsi="Times New Roman"/>
          <w:sz w:val="24"/>
          <w:szCs w:val="24"/>
          <w:lang w:val="sr-Cyrl-CS"/>
        </w:rPr>
      </w:pPr>
      <w:r w:rsidRPr="00A64C29">
        <w:rPr>
          <w:rFonts w:ascii="Times New Roman" w:hAnsi="Times New Roman"/>
          <w:sz w:val="24"/>
          <w:szCs w:val="24"/>
          <w:lang w:val="sr-Cyrl-CS"/>
        </w:rPr>
        <w:t xml:space="preserve">Дакле, избегавање плаћања пореза представља скуп активности које порески обвезници предузимају како би избегли или умањили своје пореске обавезе. При томе, могу да крше законске прописе, али то могу бити и активности којима се не крше законски прописи. </w:t>
      </w:r>
    </w:p>
    <w:p w:rsidR="00775100" w:rsidRDefault="001E6839" w:rsidP="00A64C29">
      <w:pPr>
        <w:ind w:firstLine="360"/>
        <w:jc w:val="both"/>
        <w:rPr>
          <w:rFonts w:ascii="Times New Roman" w:hAnsi="Times New Roman"/>
          <w:sz w:val="24"/>
          <w:szCs w:val="24"/>
          <w:lang w:val="sr-Cyrl-CS"/>
        </w:rPr>
      </w:pPr>
      <w:r w:rsidRPr="00A64C29">
        <w:rPr>
          <w:rFonts w:ascii="Times New Roman" w:hAnsi="Times New Roman"/>
          <w:sz w:val="24"/>
          <w:szCs w:val="24"/>
          <w:lang w:val="sr-Cyrl-CS"/>
        </w:rPr>
        <w:t xml:space="preserve">Посебан проблем представља избегавање плаћања </w:t>
      </w:r>
      <w:r w:rsidR="000008C9" w:rsidRPr="00A64C29">
        <w:rPr>
          <w:rFonts w:ascii="Times New Roman" w:hAnsi="Times New Roman"/>
          <w:sz w:val="24"/>
          <w:szCs w:val="24"/>
          <w:lang w:val="sr-Cyrl-CS"/>
        </w:rPr>
        <w:t>пореза у међународним размерама.</w:t>
      </w:r>
      <w:r w:rsidR="000008C9" w:rsidRPr="00A64C29">
        <w:rPr>
          <w:rFonts w:ascii="Times New Roman" w:hAnsi="Times New Roman"/>
          <w:sz w:val="24"/>
          <w:szCs w:val="24"/>
        </w:rPr>
        <w:t xml:space="preserve"> </w:t>
      </w:r>
      <w:r w:rsidRPr="00A64C29">
        <w:rPr>
          <w:rFonts w:ascii="Times New Roman" w:hAnsi="Times New Roman"/>
          <w:sz w:val="24"/>
          <w:szCs w:val="24"/>
          <w:lang w:val="sr-Cyrl-CS"/>
        </w:rPr>
        <w:t xml:space="preserve">Недостатак размене информација међу земљама и транспарентности само олакшавају </w:t>
      </w:r>
      <w:r w:rsidR="003200A0" w:rsidRPr="00A64C29">
        <w:rPr>
          <w:rFonts w:ascii="Times New Roman" w:hAnsi="Times New Roman"/>
          <w:sz w:val="24"/>
          <w:szCs w:val="24"/>
          <w:lang w:val="sr-Cyrl-CS"/>
        </w:rPr>
        <w:t>избегавање пореза</w:t>
      </w:r>
      <w:r w:rsidRPr="00A64C29">
        <w:rPr>
          <w:rFonts w:ascii="Times New Roman" w:hAnsi="Times New Roman"/>
          <w:sz w:val="24"/>
          <w:szCs w:val="24"/>
          <w:lang w:val="sr-Cyrl-CS"/>
        </w:rPr>
        <w:t xml:space="preserve">. Ова два проблема (недостатак информација и нетранспарентност) </w:t>
      </w:r>
      <w:r w:rsidR="003200A0" w:rsidRPr="00A64C29">
        <w:rPr>
          <w:rFonts w:ascii="Times New Roman" w:hAnsi="Times New Roman"/>
          <w:sz w:val="24"/>
          <w:szCs w:val="24"/>
          <w:lang w:val="sr-Cyrl-CS"/>
        </w:rPr>
        <w:t>у вези су</w:t>
      </w:r>
      <w:r w:rsidRPr="00A64C29">
        <w:rPr>
          <w:rFonts w:ascii="Times New Roman" w:hAnsi="Times New Roman"/>
          <w:sz w:val="24"/>
          <w:szCs w:val="24"/>
          <w:lang w:val="sr-Cyrl-CS"/>
        </w:rPr>
        <w:t xml:space="preserve"> са избегавањем плаћања пореза и представљају велики проблем зато што отежавају једној земљи да открије и спречи коришћење страних пореских режима.</w:t>
      </w:r>
      <w:r w:rsidRPr="00A64C29">
        <w:rPr>
          <w:rStyle w:val="FootnoteReference"/>
          <w:rFonts w:ascii="Times New Roman" w:hAnsi="Times New Roman"/>
          <w:sz w:val="24"/>
          <w:szCs w:val="24"/>
          <w:lang w:val="sr-Cyrl-CS"/>
        </w:rPr>
        <w:footnoteReference w:id="74"/>
      </w:r>
    </w:p>
    <w:p w:rsidR="00A76342" w:rsidRDefault="00A76342" w:rsidP="00A64C29">
      <w:pPr>
        <w:ind w:firstLine="360"/>
        <w:jc w:val="both"/>
        <w:rPr>
          <w:rFonts w:ascii="Times New Roman" w:hAnsi="Times New Roman"/>
          <w:sz w:val="24"/>
          <w:szCs w:val="24"/>
          <w:lang w:val="sr-Cyrl-CS"/>
        </w:rPr>
      </w:pPr>
    </w:p>
    <w:p w:rsidR="00A76342" w:rsidRDefault="00A76342" w:rsidP="00A64C29">
      <w:pPr>
        <w:ind w:firstLine="360"/>
        <w:jc w:val="both"/>
        <w:rPr>
          <w:rFonts w:ascii="Times New Roman" w:hAnsi="Times New Roman"/>
          <w:sz w:val="24"/>
          <w:szCs w:val="24"/>
          <w:lang w:val="sr-Cyrl-CS"/>
        </w:rPr>
      </w:pPr>
    </w:p>
    <w:p w:rsidR="00A76342" w:rsidRDefault="00A76342" w:rsidP="00A64C29">
      <w:pPr>
        <w:ind w:firstLine="360"/>
        <w:jc w:val="both"/>
        <w:rPr>
          <w:rFonts w:ascii="Times New Roman" w:hAnsi="Times New Roman"/>
          <w:sz w:val="24"/>
          <w:szCs w:val="24"/>
          <w:lang w:val="sr-Cyrl-CS"/>
        </w:rPr>
      </w:pPr>
    </w:p>
    <w:p w:rsidR="00A76342" w:rsidRDefault="00A76342" w:rsidP="00A64C29">
      <w:pPr>
        <w:ind w:firstLine="360"/>
        <w:jc w:val="both"/>
        <w:rPr>
          <w:rFonts w:ascii="Times New Roman" w:hAnsi="Times New Roman"/>
          <w:sz w:val="24"/>
          <w:szCs w:val="24"/>
          <w:lang w:val="sr-Cyrl-CS"/>
        </w:rPr>
      </w:pPr>
    </w:p>
    <w:p w:rsidR="00A76342" w:rsidRDefault="00A76342" w:rsidP="00A64C29">
      <w:pPr>
        <w:ind w:firstLine="360"/>
        <w:jc w:val="both"/>
        <w:rPr>
          <w:rFonts w:ascii="Times New Roman" w:hAnsi="Times New Roman"/>
          <w:sz w:val="24"/>
          <w:szCs w:val="24"/>
          <w:lang w:val="sr-Cyrl-CS"/>
        </w:rPr>
      </w:pPr>
    </w:p>
    <w:p w:rsidR="00A76342" w:rsidRDefault="00A76342" w:rsidP="00A64C29">
      <w:pPr>
        <w:ind w:firstLine="360"/>
        <w:jc w:val="both"/>
        <w:rPr>
          <w:rFonts w:ascii="Times New Roman" w:hAnsi="Times New Roman"/>
          <w:sz w:val="24"/>
          <w:szCs w:val="24"/>
          <w:lang w:val="sr-Cyrl-CS"/>
        </w:rPr>
      </w:pPr>
    </w:p>
    <w:p w:rsidR="00A76342" w:rsidRDefault="00A76342" w:rsidP="00A64C29">
      <w:pPr>
        <w:ind w:firstLine="360"/>
        <w:jc w:val="both"/>
        <w:rPr>
          <w:rFonts w:ascii="Times New Roman" w:hAnsi="Times New Roman"/>
          <w:sz w:val="24"/>
          <w:szCs w:val="24"/>
          <w:lang w:val="sr-Cyrl-CS"/>
        </w:rPr>
      </w:pPr>
    </w:p>
    <w:p w:rsidR="00A76342" w:rsidRDefault="00A76342" w:rsidP="00A64C29">
      <w:pPr>
        <w:ind w:firstLine="360"/>
        <w:jc w:val="both"/>
        <w:rPr>
          <w:rFonts w:ascii="Times New Roman" w:hAnsi="Times New Roman"/>
          <w:sz w:val="24"/>
          <w:szCs w:val="24"/>
          <w:lang w:val="sr-Cyrl-CS"/>
        </w:rPr>
      </w:pPr>
    </w:p>
    <w:p w:rsidR="00A76342" w:rsidRPr="00A64C29" w:rsidRDefault="00A76342" w:rsidP="00A64C29">
      <w:pPr>
        <w:ind w:firstLine="360"/>
        <w:jc w:val="both"/>
        <w:rPr>
          <w:rFonts w:ascii="Times New Roman" w:hAnsi="Times New Roman"/>
          <w:sz w:val="24"/>
          <w:szCs w:val="24"/>
          <w:lang w:val="sr-Cyrl-CS"/>
        </w:rPr>
      </w:pPr>
    </w:p>
    <w:p w:rsidR="001E6839" w:rsidRPr="00C73790" w:rsidRDefault="001E6839" w:rsidP="001E6839">
      <w:pPr>
        <w:widowControl w:val="0"/>
        <w:suppressAutoHyphens/>
        <w:spacing w:after="0" w:line="240" w:lineRule="auto"/>
        <w:ind w:left="990"/>
        <w:jc w:val="both"/>
        <w:rPr>
          <w:rFonts w:ascii="Times New Roman" w:hAnsi="Times New Roman"/>
          <w:b/>
          <w:i/>
          <w:sz w:val="24"/>
          <w:szCs w:val="24"/>
          <w:lang w:val="sr-Cyrl-CS"/>
        </w:rPr>
      </w:pPr>
    </w:p>
    <w:p w:rsidR="001E6839" w:rsidRDefault="001E6839" w:rsidP="001E6839">
      <w:pPr>
        <w:widowControl w:val="0"/>
        <w:numPr>
          <w:ilvl w:val="0"/>
          <w:numId w:val="1"/>
        </w:numPr>
        <w:suppressAutoHyphens/>
        <w:spacing w:after="0" w:line="240" w:lineRule="auto"/>
        <w:jc w:val="center"/>
        <w:rPr>
          <w:rFonts w:ascii="Times New Roman" w:hAnsi="Times New Roman"/>
          <w:b/>
          <w:i/>
          <w:sz w:val="28"/>
          <w:szCs w:val="28"/>
          <w:lang w:val="sr-Cyrl-CS"/>
        </w:rPr>
      </w:pPr>
      <w:r w:rsidRPr="008D2546">
        <w:rPr>
          <w:rFonts w:ascii="Times New Roman" w:hAnsi="Times New Roman"/>
          <w:b/>
          <w:i/>
          <w:sz w:val="28"/>
          <w:szCs w:val="28"/>
          <w:lang w:val="sr-Cyrl-CS"/>
        </w:rPr>
        <w:t>Актуелност проблема</w:t>
      </w:r>
    </w:p>
    <w:p w:rsidR="001E6839" w:rsidRDefault="001E6839" w:rsidP="001E6839">
      <w:pPr>
        <w:widowControl w:val="0"/>
        <w:suppressAutoHyphens/>
        <w:spacing w:after="0" w:line="240" w:lineRule="auto"/>
        <w:ind w:left="990"/>
        <w:jc w:val="both"/>
        <w:rPr>
          <w:rFonts w:ascii="Times New Roman" w:hAnsi="Times New Roman"/>
          <w:b/>
          <w:i/>
          <w:sz w:val="28"/>
          <w:szCs w:val="28"/>
          <w:lang w:val="sr-Cyrl-CS"/>
        </w:rPr>
      </w:pPr>
    </w:p>
    <w:p w:rsidR="001E6839" w:rsidRDefault="001E6839" w:rsidP="001E6839">
      <w:pPr>
        <w:widowControl w:val="0"/>
        <w:suppressAutoHyphens/>
        <w:spacing w:after="0" w:line="240" w:lineRule="auto"/>
        <w:ind w:left="990"/>
        <w:jc w:val="both"/>
        <w:rPr>
          <w:rFonts w:ascii="Times New Roman" w:hAnsi="Times New Roman"/>
          <w:b/>
          <w:i/>
          <w:sz w:val="28"/>
          <w:szCs w:val="28"/>
          <w:lang w:val="sr-Cyrl-CS"/>
        </w:rPr>
      </w:pPr>
    </w:p>
    <w:p w:rsidR="001E6839" w:rsidRDefault="001E6839" w:rsidP="001E6839">
      <w:pPr>
        <w:widowControl w:val="0"/>
        <w:suppressAutoHyphens/>
        <w:spacing w:after="0" w:line="240" w:lineRule="auto"/>
        <w:ind w:left="990"/>
        <w:jc w:val="both"/>
        <w:rPr>
          <w:rFonts w:ascii="Times New Roman" w:hAnsi="Times New Roman"/>
          <w:b/>
          <w:i/>
          <w:sz w:val="28"/>
          <w:szCs w:val="28"/>
          <w:lang w:val="sr-Cyrl-CS"/>
        </w:rPr>
      </w:pPr>
    </w:p>
    <w:p w:rsidR="001E6839" w:rsidRPr="00B96897" w:rsidRDefault="001E6839" w:rsidP="001E6839">
      <w:pPr>
        <w:widowControl w:val="0"/>
        <w:suppressAutoHyphens/>
        <w:spacing w:after="0" w:line="240" w:lineRule="auto"/>
        <w:ind w:firstLine="630"/>
        <w:jc w:val="both"/>
        <w:rPr>
          <w:rFonts w:ascii="Times New Roman" w:hAnsi="Times New Roman"/>
          <w:sz w:val="24"/>
          <w:szCs w:val="24"/>
          <w:lang w:val="sr-Cyrl-CS"/>
        </w:rPr>
      </w:pPr>
      <w:r>
        <w:rPr>
          <w:rFonts w:ascii="Times New Roman" w:hAnsi="Times New Roman"/>
          <w:sz w:val="28"/>
          <w:szCs w:val="28"/>
          <w:lang w:val="sr-Cyrl-CS"/>
        </w:rPr>
        <w:t>„</w:t>
      </w:r>
      <w:r w:rsidRPr="00B96897">
        <w:rPr>
          <w:rFonts w:ascii="Times New Roman" w:hAnsi="Times New Roman"/>
          <w:sz w:val="24"/>
          <w:szCs w:val="24"/>
          <w:lang w:val="sr-Cyrl-CS"/>
        </w:rPr>
        <w:t>Порези и евазија су</w:t>
      </w:r>
      <w:r>
        <w:rPr>
          <w:rFonts w:ascii="Times New Roman" w:hAnsi="Times New Roman"/>
          <w:sz w:val="24"/>
          <w:szCs w:val="24"/>
          <w:lang w:val="sr-Cyrl-CS"/>
        </w:rPr>
        <w:t xml:space="preserve"> неодвојиви као човек и његова сенка“.</w:t>
      </w:r>
      <w:r>
        <w:rPr>
          <w:rStyle w:val="FootnoteReference"/>
          <w:rFonts w:ascii="Times New Roman" w:hAnsi="Times New Roman"/>
          <w:sz w:val="24"/>
          <w:szCs w:val="24"/>
          <w:lang w:val="sr-Cyrl-CS"/>
        </w:rPr>
        <w:footnoteReference w:id="75"/>
      </w:r>
    </w:p>
    <w:p w:rsidR="001E6839" w:rsidRPr="00B96897" w:rsidRDefault="001E6839" w:rsidP="001E6839">
      <w:pPr>
        <w:widowControl w:val="0"/>
        <w:suppressAutoHyphens/>
        <w:spacing w:after="0" w:line="240" w:lineRule="auto"/>
        <w:ind w:left="990"/>
        <w:jc w:val="both"/>
        <w:rPr>
          <w:rFonts w:ascii="Times New Roman" w:hAnsi="Times New Roman"/>
          <w:b/>
          <w:i/>
          <w:sz w:val="24"/>
          <w:szCs w:val="24"/>
          <w:lang w:val="sr-Cyrl-CS"/>
        </w:rPr>
      </w:pPr>
    </w:p>
    <w:p w:rsidR="001E6839" w:rsidRDefault="001E6839" w:rsidP="001E6839">
      <w:pPr>
        <w:pStyle w:val="ListParagraph"/>
        <w:ind w:left="0" w:firstLine="630"/>
        <w:jc w:val="both"/>
        <w:rPr>
          <w:rFonts w:ascii="Times New Roman" w:hAnsi="Times New Roman"/>
          <w:sz w:val="24"/>
          <w:szCs w:val="24"/>
          <w:lang w:val="sr-Cyrl-CS"/>
        </w:rPr>
      </w:pPr>
      <w:r w:rsidRPr="00794D92">
        <w:rPr>
          <w:rFonts w:ascii="Times New Roman" w:hAnsi="Times New Roman"/>
          <w:sz w:val="24"/>
          <w:szCs w:val="24"/>
          <w:lang w:val="sr-Cyrl-CS"/>
        </w:rPr>
        <w:t xml:space="preserve">Избегавање </w:t>
      </w:r>
      <w:r>
        <w:rPr>
          <w:rFonts w:ascii="Times New Roman" w:hAnsi="Times New Roman"/>
          <w:sz w:val="24"/>
          <w:szCs w:val="24"/>
          <w:lang w:val="sr-Cyrl-CS"/>
        </w:rPr>
        <w:t>плаћања пореза је присутно у свим земљама света. Овај феномен представља наличје пореског система. То је реакција пореског обвезника на намеру државе да му одузме финансијска средства, без непосредне противнакнаде. Без обзира што се прикупљена средства користе за задовољавање општекорисних друштвених потреба, порески обвезници измиривање пореских обавеза доживљавају као терет јер се наплаћене дажбине често троше другачије него што би они учинили.</w:t>
      </w:r>
    </w:p>
    <w:p w:rsidR="001E6839" w:rsidRDefault="001E6839" w:rsidP="001E6839">
      <w:pPr>
        <w:pStyle w:val="ListParagraph"/>
        <w:ind w:left="0" w:firstLine="630"/>
        <w:jc w:val="both"/>
        <w:rPr>
          <w:rFonts w:ascii="Times New Roman" w:hAnsi="Times New Roman"/>
          <w:sz w:val="24"/>
          <w:szCs w:val="24"/>
          <w:lang w:val="sr-Cyrl-CS"/>
        </w:rPr>
      </w:pPr>
    </w:p>
    <w:p w:rsidR="001E6839" w:rsidRPr="0066299F" w:rsidRDefault="001E6839" w:rsidP="001E6839">
      <w:pPr>
        <w:pStyle w:val="ListParagraph"/>
        <w:ind w:left="0" w:firstLine="630"/>
        <w:jc w:val="both"/>
        <w:rPr>
          <w:rFonts w:ascii="Times New Roman" w:hAnsi="Times New Roman"/>
          <w:sz w:val="24"/>
          <w:szCs w:val="24"/>
          <w:lang w:val="sr-Cyrl-CS"/>
        </w:rPr>
      </w:pPr>
      <w:r w:rsidRPr="0066299F">
        <w:rPr>
          <w:rFonts w:ascii="Times New Roman" w:hAnsi="Times New Roman"/>
          <w:sz w:val="24"/>
          <w:szCs w:val="24"/>
          <w:lang w:val="sr-Cyrl-CS"/>
        </w:rPr>
        <w:t xml:space="preserve">      </w:t>
      </w:r>
      <w:r>
        <w:rPr>
          <w:rFonts w:ascii="Times New Roman" w:hAnsi="Times New Roman"/>
          <w:color w:val="000000"/>
          <w:sz w:val="24"/>
          <w:szCs w:val="24"/>
          <w:lang w:val="sr-Cyrl-CS"/>
        </w:rPr>
        <w:t>Ма колико да је мали</w:t>
      </w:r>
      <w:r w:rsidRPr="0066299F">
        <w:rPr>
          <w:rFonts w:ascii="Times New Roman" w:hAnsi="Times New Roman"/>
          <w:color w:val="000000"/>
          <w:sz w:val="24"/>
          <w:szCs w:val="24"/>
        </w:rPr>
        <w:t xml:space="preserve">, </w:t>
      </w:r>
      <w:r>
        <w:rPr>
          <w:rFonts w:ascii="Times New Roman" w:hAnsi="Times New Roman"/>
          <w:color w:val="000000"/>
          <w:sz w:val="24"/>
          <w:szCs w:val="24"/>
          <w:lang w:val="sr-Cyrl-CS"/>
        </w:rPr>
        <w:t>ономе ко плаћа порез је велики</w:t>
      </w:r>
      <w:r w:rsidRPr="0066299F">
        <w:rPr>
          <w:rFonts w:ascii="Times New Roman" w:hAnsi="Times New Roman"/>
          <w:color w:val="000000"/>
          <w:sz w:val="24"/>
          <w:szCs w:val="24"/>
        </w:rPr>
        <w:t xml:space="preserve">. </w:t>
      </w:r>
      <w:r>
        <w:rPr>
          <w:rFonts w:ascii="Times New Roman" w:hAnsi="Times New Roman"/>
          <w:color w:val="000000"/>
          <w:sz w:val="24"/>
          <w:szCs w:val="24"/>
          <w:lang w:val="sr-Cyrl-CS"/>
        </w:rPr>
        <w:t>Због тога не изненађују бројни и различити, законити и незаконити, облици избегавања плаћања пореза.</w:t>
      </w:r>
    </w:p>
    <w:p w:rsidR="001E6839" w:rsidRDefault="001E6839" w:rsidP="001E6839">
      <w:pPr>
        <w:pStyle w:val="ListParagraph"/>
        <w:ind w:left="0"/>
        <w:jc w:val="both"/>
        <w:rPr>
          <w:rFonts w:ascii="Times New Roman" w:hAnsi="Times New Roman"/>
          <w:sz w:val="24"/>
          <w:szCs w:val="24"/>
          <w:lang w:val="sr-Cyrl-CS"/>
        </w:rPr>
      </w:pPr>
    </w:p>
    <w:p w:rsidR="001E6839" w:rsidRDefault="001E6839" w:rsidP="001E6839">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Пореска евазија и избегавање плаћања пореза су толико значајни да утичу на обим и природу финансија државе. Ове штетне појаве коштају развијене земље 385 билиона долара годишње.</w:t>
      </w:r>
      <w:r>
        <w:rPr>
          <w:rStyle w:val="FootnoteReference"/>
          <w:rFonts w:ascii="Times New Roman" w:hAnsi="Times New Roman"/>
          <w:sz w:val="24"/>
          <w:szCs w:val="24"/>
          <w:lang w:val="sr-Cyrl-CS"/>
        </w:rPr>
        <w:footnoteReference w:id="76"/>
      </w:r>
      <w:r>
        <w:rPr>
          <w:rFonts w:ascii="Times New Roman" w:hAnsi="Times New Roman"/>
          <w:sz w:val="24"/>
          <w:szCs w:val="24"/>
          <w:lang w:val="sr-Cyrl-CS"/>
        </w:rPr>
        <w:t xml:space="preserve"> Сведоци смо учесталих фина</w:t>
      </w:r>
      <w:r w:rsidR="00EC0068">
        <w:rPr>
          <w:rFonts w:ascii="Times New Roman" w:hAnsi="Times New Roman"/>
          <w:sz w:val="24"/>
          <w:szCs w:val="24"/>
          <w:lang w:val="sr-Cyrl-CS"/>
        </w:rPr>
        <w:t>н</w:t>
      </w:r>
      <w:r>
        <w:rPr>
          <w:rFonts w:ascii="Times New Roman" w:hAnsi="Times New Roman"/>
          <w:sz w:val="24"/>
          <w:szCs w:val="24"/>
          <w:lang w:val="sr-Cyrl-CS"/>
        </w:rPr>
        <w:t>сијских трансакција које пре свега имају за циљ избегавање плаћања пореза. Вести о оваквим трансакцијама пуне новинске наслове. Велики износи новчаних средстава остају изван контроле државних органа. Избегавање плаћања пореза доводи до тога да је мањ</w:t>
      </w:r>
      <w:r>
        <w:rPr>
          <w:rFonts w:ascii="Times New Roman" w:hAnsi="Times New Roman"/>
          <w:sz w:val="24"/>
          <w:szCs w:val="24"/>
        </w:rPr>
        <w:t>и</w:t>
      </w:r>
      <w:r>
        <w:rPr>
          <w:rFonts w:ascii="Times New Roman" w:hAnsi="Times New Roman"/>
          <w:sz w:val="24"/>
          <w:szCs w:val="24"/>
          <w:lang w:val="sr-Cyrl-CS"/>
        </w:rPr>
        <w:t xml:space="preserve"> прикупљен износ јавних прихода. То даље ремети остварење постављених јавних и општекорисних циљева. У неким случајевима чак долази до драстичног смањења јавних прихода. Овај феномен прожима целокупну економију и спречава постизање планова економске политике. </w:t>
      </w:r>
    </w:p>
    <w:p w:rsidR="001E6839" w:rsidRDefault="001E6839" w:rsidP="001E6839">
      <w:pPr>
        <w:pStyle w:val="ListParagraph"/>
        <w:ind w:left="0"/>
        <w:jc w:val="both"/>
        <w:rPr>
          <w:rFonts w:ascii="Times New Roman" w:hAnsi="Times New Roman"/>
          <w:sz w:val="24"/>
          <w:szCs w:val="24"/>
          <w:lang w:val="sr-Cyrl-CS"/>
        </w:rPr>
      </w:pPr>
    </w:p>
    <w:p w:rsidR="001E6839" w:rsidRDefault="001E6839" w:rsidP="001E6839">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Утаја пореза представља битан проблем у савременим пореским системима и у великој мери оштећује државни буџет. На пример, италијанска финансијска полиција је саопштила да је током 2012. године откривено 12.000 утајивача пореза који су оштетили буџет за 56 милијарди евра, као и да је 16.233 особе радило на црно.</w:t>
      </w:r>
      <w:r>
        <w:rPr>
          <w:rStyle w:val="FootnoteReference"/>
          <w:rFonts w:ascii="Times New Roman" w:hAnsi="Times New Roman"/>
          <w:sz w:val="24"/>
          <w:szCs w:val="24"/>
          <w:lang w:val="sr-Cyrl-CS"/>
        </w:rPr>
        <w:footnoteReference w:id="77"/>
      </w:r>
      <w:r>
        <w:rPr>
          <w:rFonts w:ascii="Times New Roman" w:hAnsi="Times New Roman"/>
          <w:sz w:val="24"/>
          <w:szCs w:val="24"/>
        </w:rPr>
        <w:t xml:space="preserve"> </w:t>
      </w:r>
      <w:r>
        <w:rPr>
          <w:rFonts w:ascii="Times New Roman" w:hAnsi="Times New Roman"/>
          <w:sz w:val="24"/>
          <w:szCs w:val="24"/>
          <w:lang w:val="sr-Cyrl-CS"/>
        </w:rPr>
        <w:t>Избегавање плаћања пореза и пореска евазија је према процени Сената САД довела до губитка у јавним приходима у износу од око 100 милијарди долара годишње. У многим другим земљама ова сума износи билионе евра. То значи мање средстава за инфраструктуру, јавне услуге, здравство, образовање и смањење животног стандарда у развијеним земљама и земљама у развоју.</w:t>
      </w:r>
      <w:r>
        <w:rPr>
          <w:rStyle w:val="FootnoteReference"/>
          <w:rFonts w:ascii="Times New Roman" w:hAnsi="Times New Roman"/>
          <w:sz w:val="24"/>
          <w:szCs w:val="24"/>
          <w:lang w:val="sr-Cyrl-CS"/>
        </w:rPr>
        <w:footnoteReference w:id="78"/>
      </w:r>
    </w:p>
    <w:p w:rsidR="001E6839" w:rsidRDefault="001E6839" w:rsidP="001E6839">
      <w:pPr>
        <w:pStyle w:val="ListParagraph"/>
        <w:ind w:left="0" w:firstLine="630"/>
        <w:jc w:val="both"/>
        <w:rPr>
          <w:rFonts w:ascii="Times New Roman" w:hAnsi="Times New Roman"/>
          <w:sz w:val="24"/>
          <w:szCs w:val="24"/>
          <w:lang w:val="sr-Cyrl-CS"/>
        </w:rPr>
      </w:pPr>
    </w:p>
    <w:p w:rsidR="00775100" w:rsidRDefault="001E6839" w:rsidP="00775100">
      <w:pPr>
        <w:pStyle w:val="ListParagraph"/>
        <w:ind w:left="0" w:firstLine="630"/>
        <w:jc w:val="both"/>
        <w:rPr>
          <w:rFonts w:ascii="Times New Roman" w:hAnsi="Times New Roman"/>
          <w:sz w:val="24"/>
          <w:szCs w:val="24"/>
        </w:rPr>
      </w:pPr>
      <w:r>
        <w:rPr>
          <w:rFonts w:ascii="Times New Roman" w:hAnsi="Times New Roman"/>
          <w:sz w:val="24"/>
          <w:szCs w:val="24"/>
          <w:lang w:val="sr-Cyrl-CS"/>
        </w:rPr>
        <w:lastRenderedPageBreak/>
        <w:t xml:space="preserve">Данас је избегавање плаћања пореза толико раширено да нико не може оспорити значај и актуелност овог феномена. Међутим, тешко је статистички проценити његов обим. Један од таквих покушаја је приказан у табели која следи.  </w:t>
      </w:r>
    </w:p>
    <w:p w:rsidR="00775100" w:rsidRPr="00775100" w:rsidRDefault="00775100" w:rsidP="001E6839">
      <w:pPr>
        <w:pStyle w:val="ListParagraph"/>
        <w:ind w:left="0"/>
        <w:jc w:val="both"/>
        <w:rPr>
          <w:rFonts w:ascii="Times New Roman" w:hAnsi="Times New Roman"/>
          <w:sz w:val="24"/>
          <w:szCs w:val="24"/>
        </w:rPr>
      </w:pPr>
    </w:p>
    <w:p w:rsidR="00A22DD5" w:rsidRDefault="00A22DD5" w:rsidP="001E6839">
      <w:pPr>
        <w:pStyle w:val="ListParagraph"/>
        <w:ind w:left="0"/>
        <w:jc w:val="both"/>
        <w:rPr>
          <w:rFonts w:ascii="Times New Roman" w:hAnsi="Times New Roman"/>
          <w:sz w:val="24"/>
          <w:szCs w:val="24"/>
          <w:lang w:val="sr-Cyrl-CS"/>
        </w:rPr>
      </w:pPr>
    </w:p>
    <w:p w:rsidR="001E6839" w:rsidRDefault="00A74A8E" w:rsidP="001E6839">
      <w:pPr>
        <w:pStyle w:val="ListParagraph"/>
        <w:ind w:left="0"/>
        <w:jc w:val="both"/>
        <w:rPr>
          <w:rFonts w:ascii="Times New Roman" w:hAnsi="Times New Roman"/>
          <w:sz w:val="24"/>
          <w:szCs w:val="24"/>
          <w:lang w:val="sr-Cyrl-CS"/>
        </w:rPr>
      </w:pPr>
      <w:r>
        <w:rPr>
          <w:rFonts w:ascii="Times New Roman" w:hAnsi="Times New Roman"/>
          <w:b/>
          <w:sz w:val="24"/>
          <w:szCs w:val="24"/>
          <w:lang w:val="sr-Cyrl-CS"/>
        </w:rPr>
        <w:t>Табела 1</w:t>
      </w:r>
      <w:r w:rsidR="001E6839">
        <w:rPr>
          <w:rFonts w:ascii="Times New Roman" w:hAnsi="Times New Roman"/>
          <w:b/>
          <w:sz w:val="24"/>
          <w:szCs w:val="24"/>
          <w:lang w:val="sr-Cyrl-CS"/>
        </w:rPr>
        <w:t>. Десет</w:t>
      </w:r>
      <w:r w:rsidR="001E6839" w:rsidRPr="00591E3C">
        <w:rPr>
          <w:rFonts w:ascii="Times New Roman" w:hAnsi="Times New Roman"/>
          <w:b/>
          <w:sz w:val="24"/>
          <w:szCs w:val="24"/>
          <w:lang w:val="sr-Cyrl-CS"/>
        </w:rPr>
        <w:t xml:space="preserve"> </w:t>
      </w:r>
      <w:r w:rsidR="001E6839">
        <w:rPr>
          <w:rFonts w:ascii="Times New Roman" w:hAnsi="Times New Roman"/>
          <w:b/>
          <w:sz w:val="24"/>
          <w:szCs w:val="24"/>
          <w:lang w:val="sr-Cyrl-CS"/>
        </w:rPr>
        <w:t>земаља са највећим губицима од пореске евазије у 2011.год.</w:t>
      </w:r>
      <w:r w:rsidR="001E6839">
        <w:rPr>
          <w:rStyle w:val="FootnoteReference"/>
          <w:rFonts w:ascii="Times New Roman" w:hAnsi="Times New Roman"/>
          <w:sz w:val="24"/>
          <w:szCs w:val="24"/>
          <w:lang w:val="sr-Cyrl-CS"/>
        </w:rPr>
        <w:footnoteReference w:id="79"/>
      </w:r>
      <w:r w:rsidR="001E6839">
        <w:rPr>
          <w:rFonts w:ascii="Times New Roman" w:hAnsi="Times New Roman"/>
          <w:b/>
          <w:sz w:val="24"/>
          <w:szCs w:val="24"/>
          <w:lang w:val="sr-Cyrl-CS"/>
        </w:rPr>
        <w:t xml:space="preserve"> </w:t>
      </w:r>
    </w:p>
    <w:p w:rsidR="001E6839" w:rsidRDefault="001E6839" w:rsidP="001E6839">
      <w:pPr>
        <w:pStyle w:val="ListParagraph"/>
        <w:ind w:left="0"/>
        <w:jc w:val="both"/>
        <w:rPr>
          <w:rFonts w:ascii="Times New Roman" w:hAnsi="Times New Roman"/>
          <w:sz w:val="24"/>
          <w:szCs w:val="24"/>
          <w:lang w:val="sr-Cyrl-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15"/>
        <w:gridCol w:w="1877"/>
        <w:gridCol w:w="2030"/>
        <w:gridCol w:w="1836"/>
        <w:gridCol w:w="1729"/>
      </w:tblGrid>
      <w:tr w:rsidR="001E6839" w:rsidRPr="009A2682" w:rsidTr="00797641">
        <w:tc>
          <w:tcPr>
            <w:tcW w:w="1842" w:type="dxa"/>
          </w:tcPr>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ЗЕМЉА</w:t>
            </w:r>
          </w:p>
        </w:tc>
        <w:tc>
          <w:tcPr>
            <w:tcW w:w="1842" w:type="dxa"/>
          </w:tcPr>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БДП($милиони)</w:t>
            </w:r>
          </w:p>
        </w:tc>
        <w:tc>
          <w:tcPr>
            <w:tcW w:w="1842" w:type="dxa"/>
          </w:tcPr>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ВЕЛИЧИНА</w:t>
            </w:r>
          </w:p>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СИВЕ</w:t>
            </w:r>
          </w:p>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ЕКОНОМИЈЕ(%)</w:t>
            </w:r>
          </w:p>
        </w:tc>
        <w:tc>
          <w:tcPr>
            <w:tcW w:w="1842" w:type="dxa"/>
          </w:tcPr>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УКУПНО</w:t>
            </w:r>
          </w:p>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ПОРЕСКО</w:t>
            </w:r>
          </w:p>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ОПТЕРЕЋЕЊЕ (%)</w:t>
            </w:r>
          </w:p>
        </w:tc>
        <w:tc>
          <w:tcPr>
            <w:tcW w:w="1843" w:type="dxa"/>
          </w:tcPr>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ПОРЕСКИ ГУБИЦИ</w:t>
            </w:r>
          </w:p>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 милиони)</w:t>
            </w:r>
          </w:p>
        </w:tc>
      </w:tr>
      <w:tr w:rsidR="001E6839" w:rsidRPr="009A2682" w:rsidTr="00797641">
        <w:tc>
          <w:tcPr>
            <w:tcW w:w="1842" w:type="dxa"/>
          </w:tcPr>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САД</w:t>
            </w:r>
          </w:p>
        </w:tc>
        <w:tc>
          <w:tcPr>
            <w:tcW w:w="1842" w:type="dxa"/>
          </w:tcPr>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14.582,400</w:t>
            </w:r>
          </w:p>
        </w:tc>
        <w:tc>
          <w:tcPr>
            <w:tcW w:w="1842" w:type="dxa"/>
          </w:tcPr>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8,6%</w:t>
            </w:r>
          </w:p>
        </w:tc>
        <w:tc>
          <w:tcPr>
            <w:tcW w:w="1842" w:type="dxa"/>
          </w:tcPr>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26,9%</w:t>
            </w:r>
          </w:p>
        </w:tc>
        <w:tc>
          <w:tcPr>
            <w:tcW w:w="1843" w:type="dxa"/>
          </w:tcPr>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337,349</w:t>
            </w:r>
          </w:p>
        </w:tc>
      </w:tr>
      <w:tr w:rsidR="001E6839" w:rsidRPr="009A2682" w:rsidTr="00797641">
        <w:tc>
          <w:tcPr>
            <w:tcW w:w="1842" w:type="dxa"/>
          </w:tcPr>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БРАЗИЛ</w:t>
            </w:r>
          </w:p>
        </w:tc>
        <w:tc>
          <w:tcPr>
            <w:tcW w:w="1842" w:type="dxa"/>
          </w:tcPr>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2.087,890</w:t>
            </w:r>
          </w:p>
        </w:tc>
        <w:tc>
          <w:tcPr>
            <w:tcW w:w="1842" w:type="dxa"/>
          </w:tcPr>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39%</w:t>
            </w:r>
          </w:p>
        </w:tc>
        <w:tc>
          <w:tcPr>
            <w:tcW w:w="1842" w:type="dxa"/>
          </w:tcPr>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34,4%</w:t>
            </w:r>
          </w:p>
        </w:tc>
        <w:tc>
          <w:tcPr>
            <w:tcW w:w="1843" w:type="dxa"/>
          </w:tcPr>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280,111</w:t>
            </w:r>
          </w:p>
        </w:tc>
      </w:tr>
      <w:tr w:rsidR="001E6839" w:rsidRPr="009A2682" w:rsidTr="00797641">
        <w:tc>
          <w:tcPr>
            <w:tcW w:w="1842" w:type="dxa"/>
          </w:tcPr>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ИТАЛИЈА</w:t>
            </w:r>
          </w:p>
        </w:tc>
        <w:tc>
          <w:tcPr>
            <w:tcW w:w="1842" w:type="dxa"/>
          </w:tcPr>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2.051,412</w:t>
            </w:r>
          </w:p>
        </w:tc>
        <w:tc>
          <w:tcPr>
            <w:tcW w:w="1842" w:type="dxa"/>
          </w:tcPr>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27%</w:t>
            </w:r>
          </w:p>
        </w:tc>
        <w:tc>
          <w:tcPr>
            <w:tcW w:w="1842" w:type="dxa"/>
          </w:tcPr>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43,1%</w:t>
            </w:r>
          </w:p>
        </w:tc>
        <w:tc>
          <w:tcPr>
            <w:tcW w:w="1843" w:type="dxa"/>
          </w:tcPr>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238,723</w:t>
            </w:r>
          </w:p>
        </w:tc>
      </w:tr>
      <w:tr w:rsidR="001E6839" w:rsidRPr="009A2682" w:rsidTr="00797641">
        <w:tc>
          <w:tcPr>
            <w:tcW w:w="1842" w:type="dxa"/>
          </w:tcPr>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РУСИЈА</w:t>
            </w:r>
          </w:p>
        </w:tc>
        <w:tc>
          <w:tcPr>
            <w:tcW w:w="1842" w:type="dxa"/>
          </w:tcPr>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1.479,819</w:t>
            </w:r>
          </w:p>
        </w:tc>
        <w:tc>
          <w:tcPr>
            <w:tcW w:w="1842" w:type="dxa"/>
          </w:tcPr>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43,8%</w:t>
            </w:r>
          </w:p>
        </w:tc>
        <w:tc>
          <w:tcPr>
            <w:tcW w:w="1842" w:type="dxa"/>
          </w:tcPr>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34,1%</w:t>
            </w:r>
          </w:p>
        </w:tc>
        <w:tc>
          <w:tcPr>
            <w:tcW w:w="1843" w:type="dxa"/>
          </w:tcPr>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221,023</w:t>
            </w:r>
          </w:p>
        </w:tc>
      </w:tr>
      <w:tr w:rsidR="001E6839" w:rsidRPr="009A2682" w:rsidTr="00797641">
        <w:tc>
          <w:tcPr>
            <w:tcW w:w="1842" w:type="dxa"/>
          </w:tcPr>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НЕМАЧКА</w:t>
            </w:r>
          </w:p>
        </w:tc>
        <w:tc>
          <w:tcPr>
            <w:tcW w:w="1842" w:type="dxa"/>
          </w:tcPr>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3.309,669</w:t>
            </w:r>
          </w:p>
        </w:tc>
        <w:tc>
          <w:tcPr>
            <w:tcW w:w="1842" w:type="dxa"/>
          </w:tcPr>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16%</w:t>
            </w:r>
          </w:p>
        </w:tc>
        <w:tc>
          <w:tcPr>
            <w:tcW w:w="1842" w:type="dxa"/>
          </w:tcPr>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40,6%</w:t>
            </w:r>
          </w:p>
        </w:tc>
        <w:tc>
          <w:tcPr>
            <w:tcW w:w="1843" w:type="dxa"/>
          </w:tcPr>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214,996</w:t>
            </w:r>
          </w:p>
        </w:tc>
      </w:tr>
      <w:tr w:rsidR="001E6839" w:rsidRPr="009A2682" w:rsidTr="00797641">
        <w:tc>
          <w:tcPr>
            <w:tcW w:w="1842" w:type="dxa"/>
          </w:tcPr>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ФРАНЦУСКА</w:t>
            </w:r>
          </w:p>
        </w:tc>
        <w:tc>
          <w:tcPr>
            <w:tcW w:w="1842" w:type="dxa"/>
          </w:tcPr>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2.650,002</w:t>
            </w:r>
          </w:p>
        </w:tc>
        <w:tc>
          <w:tcPr>
            <w:tcW w:w="1842" w:type="dxa"/>
          </w:tcPr>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15%</w:t>
            </w:r>
          </w:p>
        </w:tc>
        <w:tc>
          <w:tcPr>
            <w:tcW w:w="1842" w:type="dxa"/>
          </w:tcPr>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44,6%</w:t>
            </w:r>
          </w:p>
        </w:tc>
        <w:tc>
          <w:tcPr>
            <w:tcW w:w="1843" w:type="dxa"/>
          </w:tcPr>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171,264</w:t>
            </w:r>
          </w:p>
        </w:tc>
      </w:tr>
      <w:tr w:rsidR="001E6839" w:rsidRPr="009A2682" w:rsidTr="00797641">
        <w:tc>
          <w:tcPr>
            <w:tcW w:w="1842" w:type="dxa"/>
          </w:tcPr>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ЈАПАН</w:t>
            </w:r>
          </w:p>
        </w:tc>
        <w:tc>
          <w:tcPr>
            <w:tcW w:w="1842" w:type="dxa"/>
          </w:tcPr>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5.497,813</w:t>
            </w:r>
          </w:p>
        </w:tc>
        <w:tc>
          <w:tcPr>
            <w:tcW w:w="1842" w:type="dxa"/>
          </w:tcPr>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11%</w:t>
            </w:r>
          </w:p>
        </w:tc>
        <w:tc>
          <w:tcPr>
            <w:tcW w:w="1842" w:type="dxa"/>
          </w:tcPr>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28,3%</w:t>
            </w:r>
          </w:p>
        </w:tc>
        <w:tc>
          <w:tcPr>
            <w:tcW w:w="1843" w:type="dxa"/>
          </w:tcPr>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171,147</w:t>
            </w:r>
          </w:p>
        </w:tc>
      </w:tr>
      <w:tr w:rsidR="001E6839" w:rsidRPr="009A2682" w:rsidTr="00797641">
        <w:tc>
          <w:tcPr>
            <w:tcW w:w="1842" w:type="dxa"/>
          </w:tcPr>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КИНА</w:t>
            </w:r>
          </w:p>
        </w:tc>
        <w:tc>
          <w:tcPr>
            <w:tcW w:w="1842" w:type="dxa"/>
          </w:tcPr>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5.878,620</w:t>
            </w:r>
          </w:p>
        </w:tc>
        <w:tc>
          <w:tcPr>
            <w:tcW w:w="1842" w:type="dxa"/>
          </w:tcPr>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12,7%</w:t>
            </w:r>
          </w:p>
        </w:tc>
        <w:tc>
          <w:tcPr>
            <w:tcW w:w="1842" w:type="dxa"/>
          </w:tcPr>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18%</w:t>
            </w:r>
          </w:p>
        </w:tc>
        <w:tc>
          <w:tcPr>
            <w:tcW w:w="1843" w:type="dxa"/>
          </w:tcPr>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134,385</w:t>
            </w:r>
          </w:p>
        </w:tc>
      </w:tr>
      <w:tr w:rsidR="001E6839" w:rsidRPr="009A2682" w:rsidTr="00797641">
        <w:tc>
          <w:tcPr>
            <w:tcW w:w="1842" w:type="dxa"/>
          </w:tcPr>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ВЕЛИКА</w:t>
            </w:r>
          </w:p>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БРИТАНИЈА</w:t>
            </w:r>
          </w:p>
        </w:tc>
        <w:tc>
          <w:tcPr>
            <w:tcW w:w="1842" w:type="dxa"/>
          </w:tcPr>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2.246,079</w:t>
            </w:r>
          </w:p>
        </w:tc>
        <w:tc>
          <w:tcPr>
            <w:tcW w:w="1842" w:type="dxa"/>
          </w:tcPr>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12,5%</w:t>
            </w:r>
          </w:p>
        </w:tc>
        <w:tc>
          <w:tcPr>
            <w:tcW w:w="1842" w:type="dxa"/>
          </w:tcPr>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38,9%</w:t>
            </w:r>
          </w:p>
        </w:tc>
        <w:tc>
          <w:tcPr>
            <w:tcW w:w="1843" w:type="dxa"/>
          </w:tcPr>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109,216</w:t>
            </w:r>
          </w:p>
        </w:tc>
      </w:tr>
      <w:tr w:rsidR="001E6839" w:rsidRPr="009A2682" w:rsidTr="00797641">
        <w:tc>
          <w:tcPr>
            <w:tcW w:w="1842" w:type="dxa"/>
          </w:tcPr>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ШПАНИЈА</w:t>
            </w:r>
          </w:p>
        </w:tc>
        <w:tc>
          <w:tcPr>
            <w:tcW w:w="1842" w:type="dxa"/>
          </w:tcPr>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1.407,405</w:t>
            </w:r>
          </w:p>
        </w:tc>
        <w:tc>
          <w:tcPr>
            <w:tcW w:w="1842" w:type="dxa"/>
          </w:tcPr>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22,5%</w:t>
            </w:r>
          </w:p>
        </w:tc>
        <w:tc>
          <w:tcPr>
            <w:tcW w:w="1842" w:type="dxa"/>
          </w:tcPr>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33,9%</w:t>
            </w:r>
          </w:p>
        </w:tc>
        <w:tc>
          <w:tcPr>
            <w:tcW w:w="1843" w:type="dxa"/>
          </w:tcPr>
          <w:p w:rsidR="001E6839" w:rsidRPr="009A2682" w:rsidRDefault="001E6839" w:rsidP="00797641">
            <w:pPr>
              <w:pStyle w:val="ListParagraph"/>
              <w:ind w:left="0"/>
              <w:jc w:val="both"/>
              <w:rPr>
                <w:rFonts w:ascii="Times New Roman" w:hAnsi="Times New Roman"/>
                <w:sz w:val="24"/>
                <w:szCs w:val="24"/>
                <w:lang w:val="sr-Cyrl-CS"/>
              </w:rPr>
            </w:pPr>
            <w:r w:rsidRPr="009A2682">
              <w:rPr>
                <w:rFonts w:ascii="Times New Roman" w:hAnsi="Times New Roman"/>
                <w:sz w:val="24"/>
                <w:szCs w:val="24"/>
                <w:lang w:val="sr-Cyrl-CS"/>
              </w:rPr>
              <w:t>107,350</w:t>
            </w:r>
          </w:p>
        </w:tc>
      </w:tr>
    </w:tbl>
    <w:p w:rsidR="001E6839" w:rsidRDefault="001E6839" w:rsidP="001E6839">
      <w:pPr>
        <w:pStyle w:val="ListParagraph"/>
        <w:ind w:left="0"/>
        <w:jc w:val="both"/>
        <w:rPr>
          <w:rFonts w:ascii="Times New Roman" w:hAnsi="Times New Roman"/>
          <w:sz w:val="24"/>
          <w:szCs w:val="24"/>
          <w:lang w:val="sr-Cyrl-CS"/>
        </w:rPr>
      </w:pPr>
    </w:p>
    <w:p w:rsidR="001E6839" w:rsidRDefault="001E6839" w:rsidP="001E6839">
      <w:pPr>
        <w:pStyle w:val="ListParagraph"/>
        <w:ind w:left="0" w:firstLine="708"/>
        <w:jc w:val="both"/>
        <w:rPr>
          <w:rFonts w:ascii="Times New Roman" w:hAnsi="Times New Roman"/>
          <w:sz w:val="24"/>
          <w:szCs w:val="24"/>
          <w:lang w:val="sr-Cyrl-CS"/>
        </w:rPr>
      </w:pPr>
      <w:r>
        <w:rPr>
          <w:rFonts w:ascii="Times New Roman" w:hAnsi="Times New Roman"/>
          <w:sz w:val="24"/>
          <w:szCs w:val="24"/>
          <w:lang w:val="sr-Cyrl-CS"/>
        </w:rPr>
        <w:t xml:space="preserve">Из наведене табеле се види колики је обим пореске евазије у 2011. години. Ови подаци доводе у питање опште прихваћену корелацију између високих пореских стопа и обима утаје пореза. САД имају ниже пореске стопе, а налазе се међу земљама са великим обимом пореске евазије. Порески морал је развијен у САД и  сива економија износи свега 8,6 (%БДП), дакле далеко мање од било које земље на листи. Број кривичних случајева везано за утају пореза је порастао 33% између 2009.- 2011. године. Бразил који има највећи економски систем међу земљама Латинске Америке, налази се на другом месту на овој листи. На трећем месту је Италија, чији су медији пуни вести о људима без легитимних прихода који возе скупе спортске аутомобиле. Русија је на четвртом месту. На петом месту је Немачка, која је недавно потписала споразум о пореској евазији са Швајцарском. Према наводима медија, у швајцарским банкама крије се више од 180 милијарди евра немачке имовине. На шестом месту је Француска, </w:t>
      </w:r>
      <w:r>
        <w:rPr>
          <w:rFonts w:ascii="Times New Roman" w:hAnsi="Times New Roman"/>
          <w:sz w:val="24"/>
          <w:szCs w:val="24"/>
          <w:lang w:val="sr-Cyrl-CS"/>
        </w:rPr>
        <w:lastRenderedPageBreak/>
        <w:t>а на седмом Јапан. Јапански премијер је објаснио да је потребно повећање пореза ради санирања последица разорног земљотреса, као последица цунамија, који се догодио у марту 2011. године. На осмом месту је Кина по висини пореске евазије. На деветом месту је Велика Британија и на десетом месту је Шпанија. Према неким проценама, 80% шпанских компанија крије новац у пореским рајевима.</w:t>
      </w:r>
      <w:r>
        <w:rPr>
          <w:rStyle w:val="FootnoteReference"/>
          <w:rFonts w:ascii="Times New Roman" w:hAnsi="Times New Roman"/>
          <w:sz w:val="24"/>
          <w:szCs w:val="24"/>
          <w:lang w:val="sr-Cyrl-CS"/>
        </w:rPr>
        <w:footnoteReference w:id="80"/>
      </w:r>
      <w:r>
        <w:rPr>
          <w:rFonts w:ascii="Times New Roman" w:hAnsi="Times New Roman"/>
          <w:sz w:val="24"/>
          <w:szCs w:val="24"/>
          <w:lang w:val="sr-Cyrl-CS"/>
        </w:rPr>
        <w:t xml:space="preserve"> </w:t>
      </w:r>
    </w:p>
    <w:p w:rsidR="001E6839" w:rsidRDefault="001E6839" w:rsidP="001E6839">
      <w:pPr>
        <w:pStyle w:val="ListParagraph"/>
        <w:ind w:left="0"/>
        <w:jc w:val="both"/>
        <w:rPr>
          <w:rFonts w:ascii="Times New Roman" w:hAnsi="Times New Roman"/>
          <w:sz w:val="24"/>
          <w:szCs w:val="24"/>
          <w:lang w:val="sr-Cyrl-CS"/>
        </w:rPr>
      </w:pPr>
    </w:p>
    <w:p w:rsidR="001E6839" w:rsidRDefault="001E6839" w:rsidP="001E6839">
      <w:pPr>
        <w:pStyle w:val="ListParagraph"/>
        <w:ind w:left="0" w:firstLine="708"/>
        <w:jc w:val="both"/>
        <w:rPr>
          <w:rFonts w:ascii="Times New Roman" w:hAnsi="Times New Roman"/>
          <w:sz w:val="24"/>
          <w:szCs w:val="24"/>
          <w:lang w:val="sr-Cyrl-CS"/>
        </w:rPr>
      </w:pPr>
      <w:r>
        <w:rPr>
          <w:rFonts w:ascii="Times New Roman" w:hAnsi="Times New Roman"/>
          <w:sz w:val="24"/>
          <w:szCs w:val="24"/>
          <w:lang w:val="sr-Cyrl-CS"/>
        </w:rPr>
        <w:t>Према једном новијем истраживању, у 38 земаља ОЕЦД за период од 1999. до 2010. године забележен је тренд смањивања пореске евазије. Просечна величина пореске евазије у наведеном периоду је 3,2% од БДП. Земља са највећом просечном вредношћу је Мексико са 6,8%, следи Турска са 6,7%, а у доњем делу ове листе су САД  и Луксембург.</w:t>
      </w:r>
      <w:r>
        <w:rPr>
          <w:rStyle w:val="FootnoteReference"/>
          <w:rFonts w:ascii="Times New Roman" w:hAnsi="Times New Roman"/>
          <w:sz w:val="24"/>
          <w:szCs w:val="24"/>
          <w:lang w:val="sr-Cyrl-CS"/>
        </w:rPr>
        <w:footnoteReference w:id="81"/>
      </w:r>
    </w:p>
    <w:p w:rsidR="001E6839" w:rsidRDefault="001E6839" w:rsidP="001E6839">
      <w:pPr>
        <w:pStyle w:val="ListParagraph"/>
        <w:ind w:left="0"/>
        <w:jc w:val="both"/>
        <w:rPr>
          <w:rFonts w:ascii="Times New Roman" w:hAnsi="Times New Roman"/>
          <w:sz w:val="24"/>
          <w:szCs w:val="24"/>
          <w:lang w:val="sr-Cyrl-CS"/>
        </w:rPr>
      </w:pPr>
    </w:p>
    <w:p w:rsidR="001E6839" w:rsidRDefault="001E6839" w:rsidP="001E6839">
      <w:pPr>
        <w:pStyle w:val="ListParagraph"/>
        <w:ind w:left="0" w:firstLine="708"/>
        <w:jc w:val="both"/>
        <w:rPr>
          <w:rFonts w:ascii="Times New Roman" w:hAnsi="Times New Roman"/>
          <w:sz w:val="24"/>
          <w:szCs w:val="24"/>
          <w:lang w:val="sr-Cyrl-CS"/>
        </w:rPr>
      </w:pPr>
      <w:r>
        <w:rPr>
          <w:rFonts w:ascii="Times New Roman" w:hAnsi="Times New Roman"/>
          <w:sz w:val="24"/>
          <w:szCs w:val="24"/>
          <w:lang w:val="sr-Cyrl-CS"/>
        </w:rPr>
        <w:t xml:space="preserve">Према другом скорашњем истраживању пореска евазија износи 5,1% од светског БДП и дошло се до закључка да се више од 1$ долар утаји на сваких 6$ посматрано у светским размерама. </w:t>
      </w:r>
      <w:r w:rsidR="00C51CF9">
        <w:rPr>
          <w:rFonts w:ascii="Times New Roman" w:hAnsi="Times New Roman"/>
          <w:sz w:val="24"/>
          <w:szCs w:val="24"/>
          <w:lang w:val="sr-Cyrl-CS"/>
        </w:rPr>
        <w:t>Овај однос је највиши у  Еропи</w:t>
      </w:r>
      <w:r>
        <w:rPr>
          <w:rFonts w:ascii="Times New Roman" w:hAnsi="Times New Roman"/>
          <w:sz w:val="24"/>
          <w:szCs w:val="24"/>
          <w:lang w:val="sr-Cyrl-CS"/>
        </w:rPr>
        <w:t xml:space="preserve">, где се утаји више од 1$ на 5$, посебно </w:t>
      </w:r>
      <w:r w:rsidR="00C51CF9">
        <w:rPr>
          <w:rFonts w:ascii="Times New Roman" w:hAnsi="Times New Roman"/>
          <w:sz w:val="24"/>
          <w:szCs w:val="24"/>
          <w:lang w:val="sr-Cyrl-CS"/>
        </w:rPr>
        <w:t>у Грчкој и Италији</w:t>
      </w:r>
      <w:r>
        <w:rPr>
          <w:rFonts w:ascii="Times New Roman" w:hAnsi="Times New Roman"/>
          <w:sz w:val="24"/>
          <w:szCs w:val="24"/>
          <w:lang w:val="sr-Cyrl-CS"/>
        </w:rPr>
        <w:t xml:space="preserve">, са резултатом утаје више од 1$ на 4$ у сивој економији. Пореска утаја </w:t>
      </w:r>
      <w:r w:rsidR="00AB5175">
        <w:rPr>
          <w:rFonts w:ascii="Times New Roman" w:hAnsi="Times New Roman"/>
          <w:sz w:val="24"/>
          <w:szCs w:val="24"/>
          <w:lang w:val="sr-Cyrl-CS"/>
        </w:rPr>
        <w:t>је увек злочин и то не само</w:t>
      </w:r>
      <w:r>
        <w:rPr>
          <w:rFonts w:ascii="Times New Roman" w:hAnsi="Times New Roman"/>
          <w:sz w:val="24"/>
          <w:szCs w:val="24"/>
          <w:lang w:val="sr-Cyrl-CS"/>
        </w:rPr>
        <w:t xml:space="preserve"> злочин против појединца, </w:t>
      </w:r>
      <w:r w:rsidR="00AB5175">
        <w:rPr>
          <w:rFonts w:ascii="Times New Roman" w:hAnsi="Times New Roman"/>
          <w:sz w:val="24"/>
          <w:szCs w:val="24"/>
          <w:lang w:val="sr-Cyrl-CS"/>
        </w:rPr>
        <w:t>него је и</w:t>
      </w:r>
      <w:r>
        <w:rPr>
          <w:rFonts w:ascii="Times New Roman" w:hAnsi="Times New Roman"/>
          <w:sz w:val="24"/>
          <w:szCs w:val="24"/>
          <w:lang w:val="sr-Cyrl-CS"/>
        </w:rPr>
        <w:t xml:space="preserve"> злочин против друштва и демократије.</w:t>
      </w:r>
      <w:r>
        <w:rPr>
          <w:rStyle w:val="FootnoteReference"/>
          <w:rFonts w:ascii="Times New Roman" w:hAnsi="Times New Roman"/>
          <w:sz w:val="24"/>
          <w:szCs w:val="24"/>
          <w:lang w:val="sr-Cyrl-CS"/>
        </w:rPr>
        <w:footnoteReference w:id="82"/>
      </w:r>
      <w:r>
        <w:rPr>
          <w:rFonts w:ascii="Times New Roman" w:hAnsi="Times New Roman"/>
          <w:sz w:val="24"/>
          <w:szCs w:val="24"/>
          <w:lang w:val="sr-Cyrl-CS"/>
        </w:rPr>
        <w:t xml:space="preserve"> </w:t>
      </w:r>
    </w:p>
    <w:p w:rsidR="001E6839" w:rsidRDefault="001E6839" w:rsidP="001E6839">
      <w:pPr>
        <w:pStyle w:val="ListParagraph"/>
        <w:ind w:left="0" w:firstLine="708"/>
        <w:jc w:val="both"/>
        <w:rPr>
          <w:rFonts w:ascii="Times New Roman" w:hAnsi="Times New Roman"/>
          <w:sz w:val="24"/>
          <w:szCs w:val="24"/>
          <w:lang w:val="sr-Cyrl-CS"/>
        </w:rPr>
      </w:pPr>
    </w:p>
    <w:p w:rsidR="001E6839" w:rsidRDefault="001E6839" w:rsidP="001E6839">
      <w:pPr>
        <w:pStyle w:val="ListParagraph"/>
        <w:ind w:left="0" w:firstLine="708"/>
        <w:jc w:val="both"/>
        <w:rPr>
          <w:rFonts w:ascii="Times New Roman" w:hAnsi="Times New Roman"/>
          <w:sz w:val="24"/>
          <w:szCs w:val="24"/>
          <w:lang w:val="sr-Cyrl-CS"/>
        </w:rPr>
      </w:pPr>
      <w:r>
        <w:rPr>
          <w:rFonts w:ascii="Times New Roman" w:hAnsi="Times New Roman"/>
          <w:sz w:val="24"/>
          <w:szCs w:val="24"/>
          <w:lang w:val="sr-Cyrl-CS"/>
        </w:rPr>
        <w:t xml:space="preserve">Значај овог феномена произилази из озбиљних последица које изазива. Али и поред тога није довољно проучен и не посвећује му се пажња од стране правних, економских и фискалних стручњака, коју заслужује и поред тога што се историјски посматрано ради о старој појави. Заправо, избегавање плаћања пореза је старо колико и опорезивање и представља наличје опорезивања. У посматрању значаја и актуелности овог феномена, посебно треба имати у виду да је он много више изражен у савременом друштву, са проширеном улогом државних функција, које више нису само фискалне, него су попримиле економски, политички, социјални, културни и други карактер. У ранијим периодима, када је држава имала много уже функције, овај проблем није имао такав обим, па је и отпор против њега био на нивоу појединачног, уз повремено избијање побуна ширих размера. Међутим, у савременом друштву бројне су функције државе, које се финансирају јавним приходима, чији је најзначајнији део управо од пореза. Са друге стране, облици и разноврсност избегавања плаћања пореза су много већи него раније, а самим тим је и већа тежина откривања ове појаве. Због тога је овај феномен у савременим условима много опаснији по друштвену заједницу, у којој је много сложенија пореска структура и начин утврђивања и наплате пореза. </w:t>
      </w:r>
    </w:p>
    <w:p w:rsidR="00A76342" w:rsidRDefault="00A76342" w:rsidP="001E6839">
      <w:pPr>
        <w:pStyle w:val="ListParagraph"/>
        <w:ind w:left="0" w:firstLine="708"/>
        <w:jc w:val="both"/>
        <w:rPr>
          <w:rFonts w:ascii="Times New Roman" w:hAnsi="Times New Roman"/>
          <w:sz w:val="24"/>
          <w:szCs w:val="24"/>
          <w:lang w:val="sr-Cyrl-CS"/>
        </w:rPr>
      </w:pPr>
    </w:p>
    <w:p w:rsidR="00A76342" w:rsidRDefault="00A76342" w:rsidP="001E6839">
      <w:pPr>
        <w:pStyle w:val="ListParagraph"/>
        <w:ind w:left="0" w:firstLine="708"/>
        <w:jc w:val="both"/>
        <w:rPr>
          <w:rFonts w:ascii="Times New Roman" w:hAnsi="Times New Roman"/>
          <w:sz w:val="24"/>
          <w:szCs w:val="24"/>
          <w:lang w:val="sr-Cyrl-CS"/>
        </w:rPr>
      </w:pPr>
    </w:p>
    <w:p w:rsidR="001E6839" w:rsidRDefault="001E6839" w:rsidP="001E6839">
      <w:pPr>
        <w:pStyle w:val="ListParagraph"/>
        <w:ind w:left="0"/>
        <w:jc w:val="both"/>
        <w:rPr>
          <w:rFonts w:ascii="Times New Roman" w:hAnsi="Times New Roman"/>
          <w:sz w:val="24"/>
          <w:szCs w:val="24"/>
          <w:lang w:val="sr-Cyrl-CS"/>
        </w:rPr>
      </w:pPr>
    </w:p>
    <w:p w:rsidR="001E6839" w:rsidRDefault="001E6839" w:rsidP="001E6839">
      <w:pPr>
        <w:pStyle w:val="ListParagraph"/>
        <w:ind w:left="0" w:firstLine="360"/>
        <w:jc w:val="both"/>
        <w:rPr>
          <w:rFonts w:ascii="Times New Roman" w:hAnsi="Times New Roman"/>
          <w:sz w:val="24"/>
          <w:szCs w:val="24"/>
          <w:lang w:val="sr-Cyrl-CS"/>
        </w:rPr>
      </w:pPr>
      <w:r>
        <w:rPr>
          <w:rFonts w:ascii="Times New Roman" w:hAnsi="Times New Roman"/>
          <w:sz w:val="24"/>
          <w:szCs w:val="24"/>
          <w:lang w:val="sr-Cyrl-CS"/>
        </w:rPr>
        <w:lastRenderedPageBreak/>
        <w:t xml:space="preserve">Актуелност и значај овог феномена може се посматрати на два нивоа, кроз супротстављене интересе државе и појединаца и то: </w:t>
      </w:r>
    </w:p>
    <w:p w:rsidR="001E6839" w:rsidRDefault="001E6839" w:rsidP="001E6839">
      <w:pPr>
        <w:pStyle w:val="ListParagraph"/>
        <w:ind w:left="0"/>
        <w:jc w:val="both"/>
        <w:rPr>
          <w:rFonts w:ascii="Times New Roman" w:hAnsi="Times New Roman"/>
          <w:sz w:val="24"/>
          <w:szCs w:val="24"/>
          <w:lang w:val="sr-Cyrl-CS"/>
        </w:rPr>
      </w:pPr>
    </w:p>
    <w:p w:rsidR="001E6839" w:rsidRDefault="001E6839" w:rsidP="008A3795">
      <w:pPr>
        <w:pStyle w:val="ListParagraph"/>
        <w:numPr>
          <w:ilvl w:val="0"/>
          <w:numId w:val="18"/>
        </w:numPr>
        <w:jc w:val="both"/>
        <w:rPr>
          <w:rFonts w:ascii="Times New Roman" w:hAnsi="Times New Roman"/>
          <w:sz w:val="24"/>
          <w:szCs w:val="24"/>
          <w:lang w:val="sr-Cyrl-CS"/>
        </w:rPr>
      </w:pPr>
      <w:r w:rsidRPr="00730816">
        <w:rPr>
          <w:rFonts w:ascii="Times New Roman" w:hAnsi="Times New Roman"/>
          <w:sz w:val="24"/>
          <w:szCs w:val="24"/>
          <w:lang w:val="sr-Cyrl-CS"/>
        </w:rPr>
        <w:t>На нивоу државе</w:t>
      </w:r>
      <w:r>
        <w:rPr>
          <w:rFonts w:ascii="Times New Roman" w:hAnsi="Times New Roman"/>
          <w:sz w:val="24"/>
          <w:szCs w:val="24"/>
          <w:lang w:val="sr-Cyrl-CS"/>
        </w:rPr>
        <w:t>,</w:t>
      </w:r>
      <w:r w:rsidRPr="00730816">
        <w:rPr>
          <w:rFonts w:ascii="Times New Roman" w:hAnsi="Times New Roman"/>
          <w:sz w:val="24"/>
          <w:szCs w:val="24"/>
          <w:lang w:val="sr-Cyrl-CS"/>
        </w:rPr>
        <w:t xml:space="preserve"> </w:t>
      </w:r>
      <w:r>
        <w:rPr>
          <w:rFonts w:ascii="Times New Roman" w:hAnsi="Times New Roman"/>
          <w:sz w:val="24"/>
          <w:szCs w:val="24"/>
          <w:lang w:val="sr-Cyrl-CS"/>
        </w:rPr>
        <w:t>интерес је да се прикупе фин</w:t>
      </w:r>
      <w:r w:rsidR="00EC0068">
        <w:rPr>
          <w:rFonts w:ascii="Times New Roman" w:hAnsi="Times New Roman"/>
          <w:sz w:val="24"/>
          <w:szCs w:val="24"/>
          <w:lang w:val="sr-Cyrl-CS"/>
        </w:rPr>
        <w:t>ан</w:t>
      </w:r>
      <w:r>
        <w:rPr>
          <w:rFonts w:ascii="Times New Roman" w:hAnsi="Times New Roman"/>
          <w:sz w:val="24"/>
          <w:szCs w:val="24"/>
          <w:lang w:val="sr-Cyrl-CS"/>
        </w:rPr>
        <w:t>сијска средства за подмиривање бројних јавних функција. И</w:t>
      </w:r>
      <w:r w:rsidRPr="00730816">
        <w:rPr>
          <w:rFonts w:ascii="Times New Roman" w:hAnsi="Times New Roman"/>
          <w:sz w:val="24"/>
          <w:szCs w:val="24"/>
          <w:lang w:val="sr-Cyrl-CS"/>
        </w:rPr>
        <w:t>збегавање плаћања пореза директно погађа фина</w:t>
      </w:r>
      <w:r w:rsidR="00EC0068">
        <w:rPr>
          <w:rFonts w:ascii="Times New Roman" w:hAnsi="Times New Roman"/>
          <w:sz w:val="24"/>
          <w:szCs w:val="24"/>
          <w:lang w:val="sr-Cyrl-CS"/>
        </w:rPr>
        <w:t>н</w:t>
      </w:r>
      <w:r w:rsidRPr="00730816">
        <w:rPr>
          <w:rFonts w:ascii="Times New Roman" w:hAnsi="Times New Roman"/>
          <w:sz w:val="24"/>
          <w:szCs w:val="24"/>
          <w:lang w:val="sr-Cyrl-CS"/>
        </w:rPr>
        <w:t>сијске интересе</w:t>
      </w:r>
      <w:r>
        <w:rPr>
          <w:rFonts w:ascii="Times New Roman" w:hAnsi="Times New Roman"/>
          <w:sz w:val="24"/>
          <w:szCs w:val="24"/>
          <w:lang w:val="sr-Cyrl-CS"/>
        </w:rPr>
        <w:t xml:space="preserve"> државе</w:t>
      </w:r>
      <w:r w:rsidRPr="00730816">
        <w:rPr>
          <w:rFonts w:ascii="Times New Roman" w:hAnsi="Times New Roman"/>
          <w:sz w:val="24"/>
          <w:szCs w:val="24"/>
          <w:lang w:val="sr-Cyrl-CS"/>
        </w:rPr>
        <w:t>. Ово даље повлачи са собом неостваривање постављених циљева и недовољно средстава за остваривање бројних функција и задатака савремене државе. Како би се премостио овај проблем мањка средстава, услед избегавања пореза, неке функције државе се неће остварити или ће се прибећи строжијем опорезивању, кроз повећане пореске стопе, а што све доводи до подривања основних социјално-политичких принципа опорезивања, пре свега општост</w:t>
      </w:r>
      <w:r>
        <w:rPr>
          <w:rFonts w:ascii="Times New Roman" w:hAnsi="Times New Roman"/>
          <w:sz w:val="24"/>
          <w:szCs w:val="24"/>
          <w:lang w:val="sr-Cyrl-CS"/>
        </w:rPr>
        <w:t>и</w:t>
      </w:r>
      <w:r w:rsidRPr="00730816">
        <w:rPr>
          <w:rFonts w:ascii="Times New Roman" w:hAnsi="Times New Roman"/>
          <w:sz w:val="24"/>
          <w:szCs w:val="24"/>
          <w:lang w:val="sr-Cyrl-CS"/>
        </w:rPr>
        <w:t xml:space="preserve"> пореза и једнакост</w:t>
      </w:r>
      <w:r>
        <w:rPr>
          <w:rFonts w:ascii="Times New Roman" w:hAnsi="Times New Roman"/>
          <w:sz w:val="24"/>
          <w:szCs w:val="24"/>
          <w:lang w:val="sr-Cyrl-CS"/>
        </w:rPr>
        <w:t>и</w:t>
      </w:r>
      <w:r w:rsidRPr="00730816">
        <w:rPr>
          <w:rFonts w:ascii="Times New Roman" w:hAnsi="Times New Roman"/>
          <w:sz w:val="24"/>
          <w:szCs w:val="24"/>
          <w:lang w:val="sr-Cyrl-CS"/>
        </w:rPr>
        <w:t xml:space="preserve"> у опорезивању. Порески терет се пребацује</w:t>
      </w:r>
      <w:r>
        <w:rPr>
          <w:rFonts w:ascii="Times New Roman" w:hAnsi="Times New Roman"/>
          <w:sz w:val="24"/>
          <w:szCs w:val="24"/>
          <w:lang w:val="sr-Cyrl-CS"/>
        </w:rPr>
        <w:t xml:space="preserve"> на савесне пореске обвезнике, </w:t>
      </w:r>
      <w:r w:rsidRPr="00730816">
        <w:rPr>
          <w:rFonts w:ascii="Times New Roman" w:hAnsi="Times New Roman"/>
          <w:sz w:val="24"/>
          <w:szCs w:val="24"/>
          <w:lang w:val="sr-Cyrl-CS"/>
        </w:rPr>
        <w:t>на сиромашније слојеве и економски слабије привредне субјект</w:t>
      </w:r>
      <w:r>
        <w:rPr>
          <w:rFonts w:ascii="Times New Roman" w:hAnsi="Times New Roman"/>
          <w:sz w:val="24"/>
          <w:szCs w:val="24"/>
          <w:lang w:val="sr-Cyrl-CS"/>
        </w:rPr>
        <w:t>е, кроз нелојалну конкуренцију. Избегавање пореза је значајан генератор социјалних разлика у друштву и стварања тзв. „нове елите“ која своје богатство и висок стандард умногоме дугује управо сивој економији и пореској евазији.</w:t>
      </w:r>
    </w:p>
    <w:p w:rsidR="001E6839" w:rsidRDefault="001E6839" w:rsidP="001E6839">
      <w:pPr>
        <w:pStyle w:val="ListParagraph"/>
        <w:jc w:val="both"/>
        <w:rPr>
          <w:rFonts w:ascii="Times New Roman" w:hAnsi="Times New Roman"/>
          <w:sz w:val="24"/>
          <w:szCs w:val="24"/>
          <w:lang w:val="sr-Cyrl-CS"/>
        </w:rPr>
      </w:pPr>
    </w:p>
    <w:p w:rsidR="001E6839" w:rsidRDefault="001E6839" w:rsidP="001E6839">
      <w:pPr>
        <w:pStyle w:val="ListParagraph"/>
        <w:jc w:val="both"/>
        <w:rPr>
          <w:rFonts w:ascii="Times New Roman" w:hAnsi="Times New Roman"/>
          <w:b/>
          <w:sz w:val="24"/>
          <w:szCs w:val="24"/>
          <w:lang w:val="sr-Cyrl-CS"/>
        </w:rPr>
      </w:pPr>
      <w:r>
        <w:rPr>
          <w:rFonts w:ascii="Times New Roman" w:hAnsi="Times New Roman"/>
          <w:sz w:val="24"/>
          <w:szCs w:val="24"/>
          <w:lang w:val="sr-Cyrl-CS"/>
        </w:rPr>
        <w:t xml:space="preserve">Приликом пореских реформи мора се водити рачуна о дејству пореза на процес производње и размене, да се опорезивањем не ремети ток привредног развоја, те да се кроз ефекте примене мера пореске политике утиче на смањење евазије.  </w:t>
      </w:r>
    </w:p>
    <w:p w:rsidR="001E6839" w:rsidRDefault="001E6839" w:rsidP="001E6839">
      <w:pPr>
        <w:pStyle w:val="ListParagraph"/>
        <w:ind w:firstLine="696"/>
        <w:jc w:val="both"/>
        <w:rPr>
          <w:rFonts w:ascii="Times New Roman" w:hAnsi="Times New Roman"/>
          <w:b/>
          <w:sz w:val="24"/>
          <w:szCs w:val="24"/>
          <w:lang w:val="sr-Cyrl-CS"/>
        </w:rPr>
      </w:pPr>
    </w:p>
    <w:p w:rsidR="001E6839" w:rsidRPr="00846187" w:rsidRDefault="001E6839" w:rsidP="008A3795">
      <w:pPr>
        <w:pStyle w:val="ListParagraph"/>
        <w:numPr>
          <w:ilvl w:val="0"/>
          <w:numId w:val="18"/>
        </w:numPr>
        <w:jc w:val="both"/>
        <w:rPr>
          <w:rFonts w:ascii="Times New Roman" w:hAnsi="Times New Roman"/>
          <w:sz w:val="24"/>
          <w:szCs w:val="24"/>
          <w:lang w:val="sr-Cyrl-CS"/>
        </w:rPr>
      </w:pPr>
      <w:r>
        <w:rPr>
          <w:rFonts w:ascii="Times New Roman" w:hAnsi="Times New Roman"/>
          <w:sz w:val="24"/>
          <w:szCs w:val="24"/>
          <w:lang w:val="sr-Cyrl-CS"/>
        </w:rPr>
        <w:t xml:space="preserve">На </w:t>
      </w:r>
      <w:r w:rsidRPr="00591E3C">
        <w:rPr>
          <w:rFonts w:ascii="Times New Roman" w:hAnsi="Times New Roman"/>
          <w:sz w:val="24"/>
          <w:szCs w:val="24"/>
          <w:lang w:val="sr-Cyrl-CS"/>
        </w:rPr>
        <w:t>нивоу пореских обвезника</w:t>
      </w:r>
      <w:r>
        <w:rPr>
          <w:rFonts w:ascii="Times New Roman" w:hAnsi="Times New Roman"/>
          <w:sz w:val="24"/>
          <w:szCs w:val="24"/>
          <w:lang w:val="sr-Cyrl-CS"/>
        </w:rPr>
        <w:t xml:space="preserve"> битно је разумети мотиве којима се руководе.  Основни мотив је да се избегну последице у виду смањења имовине или дохотка. Већ сама најава увођења пореза утиче на њихово понашање. То су тзв. сигнална дејства пореза. Веома је битан став појединаца према пореској власти и њихово схватање правичности расподеле пореског терета.  Битно је поклапање личног и општег интереса. Уколико је поклапање веће биће мањи раскорак између планираних и прикупљених пореских прихода. Такође је битно да се постојећим пореским системом поштује принцип плаћања пореза у складу са економском снагом. Плаћање пореза утиче на промену економског и друштвеног статуса пореских обвезника.</w:t>
      </w:r>
    </w:p>
    <w:p w:rsidR="001E6839" w:rsidRPr="0066299F" w:rsidRDefault="001E6839" w:rsidP="001E6839">
      <w:pPr>
        <w:ind w:left="360" w:firstLine="348"/>
        <w:jc w:val="both"/>
        <w:rPr>
          <w:rFonts w:ascii="Times New Roman" w:hAnsi="Times New Roman"/>
          <w:sz w:val="24"/>
          <w:szCs w:val="24"/>
          <w:lang w:val="sr-Cyrl-CS"/>
        </w:rPr>
      </w:pPr>
      <w:r w:rsidRPr="00846187">
        <w:rPr>
          <w:rFonts w:ascii="Times New Roman" w:hAnsi="Times New Roman"/>
          <w:sz w:val="24"/>
          <w:szCs w:val="24"/>
          <w:lang w:val="sr-Cyrl-CS"/>
        </w:rPr>
        <w:t>Једно је сигурно,</w:t>
      </w:r>
      <w:r>
        <w:rPr>
          <w:rFonts w:ascii="Times New Roman" w:hAnsi="Times New Roman"/>
          <w:sz w:val="24"/>
          <w:szCs w:val="24"/>
          <w:lang w:val="sr-Cyrl-CS"/>
        </w:rPr>
        <w:t xml:space="preserve"> а то је да су порези најзначајнији</w:t>
      </w:r>
      <w:r w:rsidRPr="00846187">
        <w:rPr>
          <w:rFonts w:ascii="Times New Roman" w:hAnsi="Times New Roman"/>
          <w:sz w:val="24"/>
          <w:szCs w:val="24"/>
          <w:lang w:val="sr-Cyrl-CS"/>
        </w:rPr>
        <w:t xml:space="preserve"> облик јавних прихода у свременим државама. Порез по обиму </w:t>
      </w:r>
      <w:r w:rsidR="00D8517B">
        <w:rPr>
          <w:rFonts w:ascii="Times New Roman" w:hAnsi="Times New Roman"/>
          <w:sz w:val="24"/>
          <w:szCs w:val="24"/>
          <w:lang w:val="sr-Cyrl-CS"/>
        </w:rPr>
        <w:t xml:space="preserve">учествује </w:t>
      </w:r>
      <w:r w:rsidRPr="00846187">
        <w:rPr>
          <w:rFonts w:ascii="Times New Roman" w:hAnsi="Times New Roman"/>
          <w:sz w:val="24"/>
          <w:szCs w:val="24"/>
          <w:lang w:val="sr-Cyrl-CS"/>
        </w:rPr>
        <w:t xml:space="preserve">у формирању укупних прихода </w:t>
      </w:r>
      <w:r w:rsidR="00D8517B">
        <w:rPr>
          <w:rFonts w:ascii="Times New Roman" w:hAnsi="Times New Roman"/>
          <w:sz w:val="24"/>
          <w:szCs w:val="24"/>
          <w:lang w:val="sr-Cyrl-CS"/>
        </w:rPr>
        <w:t>у значајној мери</w:t>
      </w:r>
      <w:r w:rsidRPr="00846187">
        <w:rPr>
          <w:rFonts w:ascii="Times New Roman" w:hAnsi="Times New Roman"/>
          <w:sz w:val="24"/>
          <w:szCs w:val="24"/>
          <w:lang w:val="sr-Cyrl-CS"/>
        </w:rPr>
        <w:t>. Све то говори у прилог сложености овог инструмента формирања јавних финансија, као и о разлозима заин</w:t>
      </w:r>
      <w:r>
        <w:rPr>
          <w:rFonts w:ascii="Times New Roman" w:hAnsi="Times New Roman"/>
          <w:sz w:val="24"/>
          <w:szCs w:val="24"/>
          <w:lang w:val="sr-Cyrl-CS"/>
        </w:rPr>
        <w:t>т</w:t>
      </w:r>
      <w:r w:rsidRPr="00846187">
        <w:rPr>
          <w:rFonts w:ascii="Times New Roman" w:hAnsi="Times New Roman"/>
          <w:sz w:val="24"/>
          <w:szCs w:val="24"/>
          <w:lang w:val="sr-Cyrl-CS"/>
        </w:rPr>
        <w:t xml:space="preserve">ересованости сваке државе, од најстаријих времена до данас, за изучавање и дефинисање овог феномена, као и да различите облике избегавања плаћања пореза сузбије. </w:t>
      </w:r>
      <w:r>
        <w:rPr>
          <w:rFonts w:ascii="Times New Roman" w:hAnsi="Times New Roman"/>
          <w:sz w:val="24"/>
          <w:szCs w:val="24"/>
          <w:lang w:val="sr-Cyrl-CS"/>
        </w:rPr>
        <w:t xml:space="preserve"> </w:t>
      </w:r>
    </w:p>
    <w:p w:rsidR="001E6839" w:rsidRPr="00794D92" w:rsidRDefault="001E6839" w:rsidP="001E6839">
      <w:pPr>
        <w:widowControl w:val="0"/>
        <w:suppressAutoHyphens/>
        <w:spacing w:after="0" w:line="240" w:lineRule="auto"/>
        <w:jc w:val="both"/>
        <w:rPr>
          <w:rFonts w:ascii="Times New Roman" w:hAnsi="Times New Roman"/>
          <w:i/>
          <w:sz w:val="28"/>
          <w:szCs w:val="28"/>
          <w:lang w:val="sr-Cyrl-CS"/>
        </w:rPr>
      </w:pPr>
    </w:p>
    <w:p w:rsidR="001E6839" w:rsidRPr="00C73790" w:rsidRDefault="001E6839" w:rsidP="001E6839">
      <w:pPr>
        <w:widowControl w:val="0"/>
        <w:suppressAutoHyphens/>
        <w:spacing w:after="0" w:line="240" w:lineRule="auto"/>
        <w:jc w:val="both"/>
        <w:rPr>
          <w:rFonts w:ascii="Times New Roman" w:hAnsi="Times New Roman"/>
          <w:b/>
          <w:i/>
          <w:sz w:val="24"/>
          <w:szCs w:val="24"/>
          <w:lang w:val="sr-Cyrl-CS"/>
        </w:rPr>
      </w:pPr>
    </w:p>
    <w:p w:rsidR="001E6839" w:rsidRDefault="001E6839" w:rsidP="001E6839">
      <w:pPr>
        <w:numPr>
          <w:ilvl w:val="0"/>
          <w:numId w:val="1"/>
        </w:numPr>
        <w:jc w:val="both"/>
        <w:rPr>
          <w:rFonts w:ascii="Times New Roman" w:hAnsi="Times New Roman"/>
          <w:b/>
          <w:i/>
          <w:sz w:val="28"/>
          <w:szCs w:val="28"/>
          <w:lang w:val="sr-Cyrl-CS"/>
        </w:rPr>
      </w:pPr>
      <w:r>
        <w:rPr>
          <w:rFonts w:ascii="Times New Roman" w:hAnsi="Times New Roman"/>
          <w:b/>
          <w:i/>
          <w:sz w:val="28"/>
          <w:szCs w:val="28"/>
          <w:lang w:val="sr-Cyrl-CS"/>
        </w:rPr>
        <w:lastRenderedPageBreak/>
        <w:t>Узроци, услови и околности који</w:t>
      </w:r>
      <w:r w:rsidRPr="008D2546">
        <w:rPr>
          <w:rFonts w:ascii="Times New Roman" w:hAnsi="Times New Roman"/>
          <w:b/>
          <w:i/>
          <w:sz w:val="28"/>
          <w:szCs w:val="28"/>
          <w:lang w:val="sr-Cyrl-CS"/>
        </w:rPr>
        <w:t xml:space="preserve"> погодују избегавању плаћања пореза</w:t>
      </w:r>
    </w:p>
    <w:p w:rsidR="001E6839" w:rsidRDefault="001E6839" w:rsidP="001E6839">
      <w:pPr>
        <w:ind w:left="990"/>
        <w:jc w:val="both"/>
        <w:rPr>
          <w:rFonts w:ascii="Times New Roman" w:hAnsi="Times New Roman"/>
          <w:b/>
          <w:i/>
          <w:sz w:val="28"/>
          <w:szCs w:val="28"/>
          <w:lang w:val="sr-Cyrl-CS"/>
        </w:rPr>
      </w:pPr>
    </w:p>
    <w:p w:rsidR="001E6839" w:rsidRDefault="001E6839" w:rsidP="001E6839">
      <w:pPr>
        <w:ind w:firstLine="630"/>
        <w:jc w:val="both"/>
        <w:rPr>
          <w:rFonts w:ascii="Times New Roman" w:hAnsi="Times New Roman"/>
          <w:sz w:val="24"/>
          <w:szCs w:val="24"/>
          <w:lang w:val="sr-Cyrl-CS"/>
        </w:rPr>
      </w:pPr>
      <w:r>
        <w:rPr>
          <w:rFonts w:ascii="Times New Roman" w:hAnsi="Times New Roman"/>
          <w:sz w:val="24"/>
          <w:szCs w:val="24"/>
          <w:lang w:val="sr-Cyrl-CS"/>
        </w:rPr>
        <w:t xml:space="preserve">Чињеница да избегавање плаћања пореза доводи до тога да нема довољно средстава за остваривање економских, социјалних, културних и других циљева, указује на потребу изучавања и сагледавања узрока ове појаве, што представља важан аспекат опорезивања. Имајући у виду значај и актуелност који има феномен избегавања плаћања пореза, постоји посебан теоријски и практичан интерес да се анализирају узроци, услови и околности који погодују избегавању плаћања пореза, а што је неопходно и како би се смањио обим ове појаве. </w:t>
      </w:r>
    </w:p>
    <w:p w:rsidR="001E6839" w:rsidRDefault="001E6839" w:rsidP="001E6839">
      <w:pPr>
        <w:pStyle w:val="ListParagraph"/>
        <w:ind w:left="0" w:firstLine="360"/>
        <w:jc w:val="both"/>
        <w:rPr>
          <w:rFonts w:ascii="Times New Roman" w:hAnsi="Times New Roman"/>
          <w:sz w:val="24"/>
          <w:szCs w:val="24"/>
        </w:rPr>
      </w:pPr>
      <w:r>
        <w:rPr>
          <w:rFonts w:ascii="Times New Roman" w:hAnsi="Times New Roman"/>
          <w:sz w:val="24"/>
          <w:szCs w:val="24"/>
          <w:lang w:val="sr-Cyrl-CS"/>
        </w:rPr>
        <w:t>Плаћање пореза изазива смањење економске снаге пореских обвезника (дохотка и имовине) и због тога код пореских обвезника изазива отпор плаћању пореза. Порески обвезници пре свега теже да неутралишу негативне ефекте плаћања пореза на њихову економску снагу. Пореска евазија је показатељ неприхватања пореског терета и у њеној основи</w:t>
      </w:r>
      <w:r>
        <w:rPr>
          <w:rFonts w:ascii="Times New Roman" w:hAnsi="Times New Roman"/>
          <w:sz w:val="24"/>
          <w:szCs w:val="24"/>
        </w:rPr>
        <w:t xml:space="preserve"> се налази отпор плаћању пореза. </w:t>
      </w:r>
      <w:r>
        <w:rPr>
          <w:rFonts w:ascii="Times New Roman" w:hAnsi="Times New Roman"/>
          <w:sz w:val="24"/>
          <w:szCs w:val="24"/>
          <w:lang w:val="sr-Cyrl-CS"/>
        </w:rPr>
        <w:t xml:space="preserve">У зависности од пореских облика постоји разлика у </w:t>
      </w:r>
      <w:r w:rsidRPr="00C92A2D">
        <w:rPr>
          <w:rFonts w:ascii="Times New Roman" w:hAnsi="Times New Roman"/>
          <w:sz w:val="24"/>
          <w:szCs w:val="24"/>
          <w:lang w:val="sr-Cyrl-CS"/>
        </w:rPr>
        <w:t>отпору</w:t>
      </w:r>
      <w:r>
        <w:rPr>
          <w:rFonts w:ascii="Times New Roman" w:hAnsi="Times New Roman"/>
          <w:sz w:val="24"/>
          <w:szCs w:val="24"/>
          <w:lang w:val="sr-Cyrl-CS"/>
        </w:rPr>
        <w:t xml:space="preserve"> пореза. Код индиректних пореза, због тога што је порез укључен у цену производа или услуге, порески обвезници често нису ни свесни да приликом куповине плаћају и порез, односно који износ пореза је у питању, па је и отпор мањи за разлику од директних пореза.  </w:t>
      </w:r>
    </w:p>
    <w:p w:rsidR="001E6839" w:rsidRPr="003A4740" w:rsidRDefault="001E6839" w:rsidP="001E6839">
      <w:pPr>
        <w:pStyle w:val="ListParagraph"/>
        <w:ind w:left="0"/>
        <w:jc w:val="both"/>
        <w:rPr>
          <w:rFonts w:ascii="Times New Roman" w:hAnsi="Times New Roman"/>
          <w:sz w:val="24"/>
          <w:szCs w:val="24"/>
        </w:rPr>
      </w:pPr>
    </w:p>
    <w:p w:rsidR="001E6839" w:rsidRDefault="001E6839" w:rsidP="00DF0FE9">
      <w:pPr>
        <w:pStyle w:val="ListParagraph"/>
        <w:ind w:left="0" w:firstLine="360"/>
        <w:jc w:val="both"/>
        <w:rPr>
          <w:rFonts w:ascii="Times New Roman" w:hAnsi="Times New Roman"/>
          <w:sz w:val="24"/>
          <w:szCs w:val="24"/>
          <w:lang w:val="sr-Cyrl-CS"/>
        </w:rPr>
      </w:pPr>
      <w:r>
        <w:rPr>
          <w:rFonts w:ascii="Times New Roman" w:hAnsi="Times New Roman"/>
          <w:sz w:val="24"/>
          <w:szCs w:val="24"/>
          <w:lang w:val="sr-Cyrl-CS"/>
        </w:rPr>
        <w:t>Отпор плаћању пореза</w:t>
      </w:r>
      <w:r w:rsidR="00D13FE2">
        <w:rPr>
          <w:rFonts w:ascii="Times New Roman" w:hAnsi="Times New Roman"/>
          <w:sz w:val="24"/>
          <w:szCs w:val="24"/>
          <w:lang w:val="sr-Cyrl-CS"/>
        </w:rPr>
        <w:t>, који се налази у основи пореске евазије,</w:t>
      </w:r>
      <w:r>
        <w:rPr>
          <w:rFonts w:ascii="Times New Roman" w:hAnsi="Times New Roman"/>
          <w:sz w:val="24"/>
          <w:szCs w:val="24"/>
          <w:lang w:val="sr-Cyrl-CS"/>
        </w:rPr>
        <w:t xml:space="preserve"> има многобројне узроке. </w:t>
      </w:r>
      <w:r w:rsidR="00D13FE2">
        <w:rPr>
          <w:rFonts w:ascii="Times New Roman" w:hAnsi="Times New Roman"/>
          <w:sz w:val="24"/>
          <w:szCs w:val="24"/>
          <w:lang w:val="sr-Cyrl-CS"/>
        </w:rPr>
        <w:t>Елементи</w:t>
      </w:r>
      <w:r>
        <w:rPr>
          <w:rFonts w:ascii="Times New Roman" w:hAnsi="Times New Roman"/>
          <w:sz w:val="24"/>
          <w:szCs w:val="24"/>
          <w:lang w:val="sr-Cyrl-CS"/>
        </w:rPr>
        <w:t xml:space="preserve"> који утичу на интензитет отпора плаћању пореза су: 1) висина пореског оптерећења, 2) намена трошења средстава прикупљених порезом, 3) врст</w:t>
      </w:r>
      <w:r w:rsidR="00F67B37">
        <w:rPr>
          <w:rFonts w:ascii="Times New Roman" w:hAnsi="Times New Roman"/>
          <w:sz w:val="24"/>
          <w:szCs w:val="24"/>
          <w:lang w:val="sr-Cyrl-CS"/>
        </w:rPr>
        <w:t>а пореског облика, 4) перцепција</w:t>
      </w:r>
      <w:r>
        <w:rPr>
          <w:rFonts w:ascii="Times New Roman" w:hAnsi="Times New Roman"/>
          <w:sz w:val="24"/>
          <w:szCs w:val="24"/>
          <w:lang w:val="sr-Cyrl-CS"/>
        </w:rPr>
        <w:t xml:space="preserve"> јавности да ли је порески систем правичан или није и др.</w:t>
      </w:r>
      <w:r>
        <w:rPr>
          <w:rStyle w:val="FootnoteReference"/>
          <w:rFonts w:ascii="Times New Roman" w:hAnsi="Times New Roman"/>
          <w:sz w:val="24"/>
          <w:szCs w:val="24"/>
          <w:lang w:val="sr-Cyrl-CS"/>
        </w:rPr>
        <w:footnoteReference w:id="83"/>
      </w:r>
      <w:r>
        <w:rPr>
          <w:rFonts w:ascii="Times New Roman" w:hAnsi="Times New Roman"/>
          <w:sz w:val="24"/>
          <w:szCs w:val="24"/>
          <w:lang w:val="sr-Cyrl-CS"/>
        </w:rPr>
        <w:t xml:space="preserve"> Уколико је већа висина пореског оптерећења и отпор пла</w:t>
      </w:r>
      <w:r w:rsidR="00DF0FE9">
        <w:rPr>
          <w:rFonts w:ascii="Times New Roman" w:hAnsi="Times New Roman"/>
          <w:sz w:val="24"/>
          <w:szCs w:val="24"/>
          <w:lang w:val="sr-Cyrl-CS"/>
        </w:rPr>
        <w:t>ћању пореза ће бити израженији, а смањују се прикупљени порески приходи. Б</w:t>
      </w:r>
      <w:r>
        <w:rPr>
          <w:rFonts w:ascii="Times New Roman" w:hAnsi="Times New Roman"/>
          <w:sz w:val="24"/>
          <w:szCs w:val="24"/>
          <w:lang w:val="sr-Cyrl-CS"/>
        </w:rPr>
        <w:t xml:space="preserve">итан је </w:t>
      </w:r>
      <w:r w:rsidRPr="005B57A1">
        <w:rPr>
          <w:rFonts w:ascii="Times New Roman" w:hAnsi="Times New Roman"/>
          <w:sz w:val="24"/>
          <w:szCs w:val="24"/>
          <w:lang w:val="sr-Cyrl-CS"/>
        </w:rPr>
        <w:t>и став јавности</w:t>
      </w:r>
      <w:r w:rsidR="00DF0FE9">
        <w:rPr>
          <w:rFonts w:ascii="Times New Roman" w:hAnsi="Times New Roman"/>
          <w:sz w:val="24"/>
          <w:szCs w:val="24"/>
          <w:lang w:val="sr-Cyrl-CS"/>
        </w:rPr>
        <w:t xml:space="preserve"> и</w:t>
      </w:r>
      <w:r>
        <w:rPr>
          <w:rFonts w:ascii="Times New Roman" w:hAnsi="Times New Roman"/>
          <w:sz w:val="24"/>
          <w:szCs w:val="24"/>
          <w:lang w:val="sr-Cyrl-CS"/>
        </w:rPr>
        <w:t xml:space="preserve"> уколико случајеви неплаћања пореза не изазивају осуду у јавности и отпор плаћања порезу ће бити већи.</w:t>
      </w:r>
      <w:r w:rsidR="00DF0FE9">
        <w:rPr>
          <w:rFonts w:ascii="Times New Roman" w:hAnsi="Times New Roman"/>
          <w:sz w:val="24"/>
          <w:szCs w:val="24"/>
          <w:lang w:val="sr-Cyrl-CS"/>
        </w:rPr>
        <w:t xml:space="preserve"> Осим тога, отпор плаћању пореза биће већи и уколико порески обвезници сматрају да се прикупљена пореска средства неодговорно троше. </w:t>
      </w:r>
      <w:r w:rsidR="00F67B37">
        <w:rPr>
          <w:rFonts w:ascii="Times New Roman" w:hAnsi="Times New Roman"/>
          <w:sz w:val="24"/>
          <w:szCs w:val="24"/>
          <w:lang w:val="sr-Cyrl-CS"/>
        </w:rPr>
        <w:t xml:space="preserve">Битну улогу у отпору плаћању пореза може имати и </w:t>
      </w:r>
      <w:r w:rsidR="00DF0FE9">
        <w:rPr>
          <w:rFonts w:ascii="Times New Roman" w:hAnsi="Times New Roman"/>
          <w:sz w:val="24"/>
          <w:szCs w:val="24"/>
          <w:lang w:val="sr-Cyrl-CS"/>
        </w:rPr>
        <w:t>однос пореских органа према пореским обвезницима као и порески облик и технике опорезивања.</w:t>
      </w:r>
    </w:p>
    <w:p w:rsidR="001E6839" w:rsidRPr="00451329" w:rsidRDefault="001E6839" w:rsidP="001E6839">
      <w:pPr>
        <w:pStyle w:val="ListParagraph"/>
        <w:ind w:left="0"/>
        <w:jc w:val="both"/>
        <w:rPr>
          <w:rFonts w:ascii="Times New Roman" w:hAnsi="Times New Roman"/>
          <w:sz w:val="24"/>
          <w:szCs w:val="24"/>
          <w:lang w:val="sr-Cyrl-CS"/>
        </w:rPr>
      </w:pPr>
    </w:p>
    <w:p w:rsidR="001E6839" w:rsidRDefault="00EC0FBE" w:rsidP="001E6839">
      <w:pPr>
        <w:ind w:firstLine="708"/>
        <w:jc w:val="both"/>
        <w:rPr>
          <w:rFonts w:ascii="Times New Roman" w:hAnsi="Times New Roman"/>
          <w:sz w:val="24"/>
          <w:szCs w:val="24"/>
          <w:lang w:val="sr-Cyrl-CS"/>
        </w:rPr>
      </w:pPr>
      <w:r>
        <w:rPr>
          <w:rFonts w:ascii="Times New Roman" w:hAnsi="Times New Roman"/>
          <w:sz w:val="24"/>
          <w:szCs w:val="24"/>
          <w:lang w:val="sr-Cyrl-CS"/>
        </w:rPr>
        <w:t xml:space="preserve">Распострањеност пореске </w:t>
      </w:r>
      <w:r w:rsidR="001E6839">
        <w:rPr>
          <w:rFonts w:ascii="Times New Roman" w:hAnsi="Times New Roman"/>
          <w:sz w:val="24"/>
          <w:szCs w:val="24"/>
          <w:lang w:val="sr-Cyrl-CS"/>
        </w:rPr>
        <w:t xml:space="preserve"> евазије зависи од:</w:t>
      </w:r>
      <w:r w:rsidR="001E6839">
        <w:rPr>
          <w:rStyle w:val="FootnoteReference"/>
          <w:rFonts w:ascii="Times New Roman" w:hAnsi="Times New Roman"/>
          <w:sz w:val="24"/>
          <w:szCs w:val="24"/>
          <w:lang w:val="sr-Cyrl-CS"/>
        </w:rPr>
        <w:footnoteReference w:id="84"/>
      </w:r>
    </w:p>
    <w:p w:rsidR="001E6839" w:rsidRDefault="001E6839" w:rsidP="001E6839">
      <w:pPr>
        <w:jc w:val="both"/>
        <w:rPr>
          <w:rFonts w:ascii="Times New Roman" w:hAnsi="Times New Roman"/>
          <w:sz w:val="24"/>
          <w:szCs w:val="24"/>
          <w:lang w:val="sr-Cyrl-CS"/>
        </w:rPr>
      </w:pPr>
      <w:r>
        <w:rPr>
          <w:rFonts w:ascii="Times New Roman" w:hAnsi="Times New Roman"/>
          <w:sz w:val="24"/>
          <w:szCs w:val="24"/>
          <w:lang w:val="sr-Cyrl-CS"/>
        </w:rPr>
        <w:t>-</w:t>
      </w:r>
      <w:r w:rsidR="00EC0FBE">
        <w:rPr>
          <w:rFonts w:ascii="Times New Roman" w:hAnsi="Times New Roman"/>
          <w:sz w:val="24"/>
          <w:szCs w:val="24"/>
          <w:lang w:val="sr-Cyrl-CS"/>
        </w:rPr>
        <w:t>о</w:t>
      </w:r>
      <w:r w:rsidRPr="005B57A1">
        <w:rPr>
          <w:rFonts w:ascii="Times New Roman" w:hAnsi="Times New Roman"/>
          <w:sz w:val="24"/>
          <w:szCs w:val="24"/>
          <w:lang w:val="sr-Cyrl-CS"/>
        </w:rPr>
        <w:t>туђености</w:t>
      </w:r>
      <w:r>
        <w:rPr>
          <w:rFonts w:ascii="Times New Roman" w:hAnsi="Times New Roman"/>
          <w:sz w:val="24"/>
          <w:szCs w:val="24"/>
          <w:lang w:val="sr-Cyrl-CS"/>
        </w:rPr>
        <w:t xml:space="preserve"> грађана од државе </w:t>
      </w:r>
      <w:r w:rsidR="00EC0FBE">
        <w:rPr>
          <w:rFonts w:ascii="Times New Roman" w:hAnsi="Times New Roman"/>
          <w:sz w:val="24"/>
          <w:szCs w:val="24"/>
          <w:lang w:val="sr-Cyrl-CS"/>
        </w:rPr>
        <w:t xml:space="preserve">као </w:t>
      </w:r>
      <w:r>
        <w:rPr>
          <w:rFonts w:ascii="Times New Roman" w:hAnsi="Times New Roman"/>
          <w:sz w:val="24"/>
          <w:szCs w:val="24"/>
          <w:lang w:val="sr-Cyrl-CS"/>
        </w:rPr>
        <w:t>и обрнуто</w:t>
      </w:r>
      <w:r w:rsidR="00EC0FBE">
        <w:rPr>
          <w:rFonts w:ascii="Times New Roman" w:hAnsi="Times New Roman"/>
          <w:sz w:val="24"/>
          <w:szCs w:val="24"/>
          <w:lang w:val="sr-Cyrl-CS"/>
        </w:rPr>
        <w:t>;</w:t>
      </w:r>
    </w:p>
    <w:p w:rsidR="00EC0FBE" w:rsidRDefault="001E6839" w:rsidP="001E6839">
      <w:pPr>
        <w:jc w:val="both"/>
        <w:rPr>
          <w:rFonts w:ascii="Times New Roman" w:hAnsi="Times New Roman"/>
          <w:sz w:val="24"/>
          <w:szCs w:val="24"/>
          <w:lang w:val="sr-Cyrl-CS"/>
        </w:rPr>
      </w:pPr>
      <w:r>
        <w:rPr>
          <w:rFonts w:ascii="Times New Roman" w:hAnsi="Times New Roman"/>
          <w:sz w:val="24"/>
          <w:szCs w:val="24"/>
          <w:lang w:val="sr-Cyrl-CS"/>
        </w:rPr>
        <w:lastRenderedPageBreak/>
        <w:t>-</w:t>
      </w:r>
      <w:r w:rsidR="00EC0FBE">
        <w:rPr>
          <w:rFonts w:ascii="Times New Roman" w:hAnsi="Times New Roman"/>
          <w:sz w:val="24"/>
          <w:szCs w:val="24"/>
          <w:lang w:val="sr-Cyrl-CS"/>
        </w:rPr>
        <w:t>с</w:t>
      </w:r>
      <w:r w:rsidRPr="005B57A1">
        <w:rPr>
          <w:rFonts w:ascii="Times New Roman" w:hAnsi="Times New Roman"/>
          <w:sz w:val="24"/>
          <w:szCs w:val="24"/>
          <w:lang w:val="sr-Cyrl-CS"/>
        </w:rPr>
        <w:t>тепена фискалног оптерећења</w:t>
      </w:r>
      <w:r>
        <w:rPr>
          <w:rFonts w:ascii="Times New Roman" w:hAnsi="Times New Roman"/>
          <w:sz w:val="24"/>
          <w:szCs w:val="24"/>
          <w:lang w:val="sr-Cyrl-CS"/>
        </w:rPr>
        <w:t>, јер ће порески обвезник у</w:t>
      </w:r>
      <w:r w:rsidR="00EC0FBE">
        <w:rPr>
          <w:rFonts w:ascii="Times New Roman" w:hAnsi="Times New Roman"/>
          <w:sz w:val="24"/>
          <w:szCs w:val="24"/>
          <w:lang w:val="sr-Cyrl-CS"/>
        </w:rPr>
        <w:t>колико му је</w:t>
      </w:r>
      <w:r>
        <w:rPr>
          <w:rFonts w:ascii="Times New Roman" w:hAnsi="Times New Roman"/>
          <w:sz w:val="24"/>
          <w:szCs w:val="24"/>
          <w:lang w:val="sr-Cyrl-CS"/>
        </w:rPr>
        <w:t xml:space="preserve"> </w:t>
      </w:r>
      <w:r w:rsidR="00EC0FBE">
        <w:rPr>
          <w:rFonts w:ascii="Times New Roman" w:hAnsi="Times New Roman"/>
          <w:sz w:val="24"/>
          <w:szCs w:val="24"/>
          <w:lang w:val="sr-Cyrl-CS"/>
        </w:rPr>
        <w:t>високим  порезима угрожена</w:t>
      </w:r>
      <w:r>
        <w:rPr>
          <w:rFonts w:ascii="Times New Roman" w:hAnsi="Times New Roman"/>
          <w:sz w:val="24"/>
          <w:szCs w:val="24"/>
          <w:lang w:val="sr-Cyrl-CS"/>
        </w:rPr>
        <w:t xml:space="preserve"> егзистенција и обављање делатности, настој</w:t>
      </w:r>
      <w:r w:rsidR="00EC0FBE">
        <w:rPr>
          <w:rFonts w:ascii="Times New Roman" w:hAnsi="Times New Roman"/>
          <w:sz w:val="24"/>
          <w:szCs w:val="24"/>
          <w:lang w:val="sr-Cyrl-CS"/>
        </w:rPr>
        <w:t>ати да избегне плаћање пореза;</w:t>
      </w:r>
      <w:r>
        <w:rPr>
          <w:rFonts w:ascii="Times New Roman" w:hAnsi="Times New Roman"/>
          <w:sz w:val="24"/>
          <w:szCs w:val="24"/>
          <w:lang w:val="sr-Cyrl-CS"/>
        </w:rPr>
        <w:t xml:space="preserve"> </w:t>
      </w:r>
    </w:p>
    <w:p w:rsidR="001E6839" w:rsidRDefault="00EC0FBE" w:rsidP="001E6839">
      <w:pPr>
        <w:jc w:val="both"/>
        <w:rPr>
          <w:rFonts w:ascii="Times New Roman" w:hAnsi="Times New Roman"/>
          <w:sz w:val="24"/>
          <w:szCs w:val="24"/>
          <w:lang w:val="sr-Cyrl-CS"/>
        </w:rPr>
      </w:pPr>
      <w:r>
        <w:rPr>
          <w:rFonts w:ascii="Times New Roman" w:hAnsi="Times New Roman"/>
          <w:sz w:val="24"/>
          <w:szCs w:val="24"/>
          <w:lang w:val="sr-Cyrl-CS"/>
        </w:rPr>
        <w:t>-с</w:t>
      </w:r>
      <w:r w:rsidR="001E6839">
        <w:rPr>
          <w:rFonts w:ascii="Times New Roman" w:hAnsi="Times New Roman"/>
          <w:sz w:val="24"/>
          <w:szCs w:val="24"/>
          <w:lang w:val="sr-Cyrl-CS"/>
        </w:rPr>
        <w:t>истем</w:t>
      </w:r>
      <w:r w:rsidR="00786FD7">
        <w:rPr>
          <w:rFonts w:ascii="Times New Roman" w:hAnsi="Times New Roman"/>
          <w:sz w:val="24"/>
          <w:szCs w:val="24"/>
          <w:lang w:val="sr-Cyrl-CS"/>
        </w:rPr>
        <w:t>а</w:t>
      </w:r>
      <w:r w:rsidR="001E6839">
        <w:rPr>
          <w:rFonts w:ascii="Times New Roman" w:hAnsi="Times New Roman"/>
          <w:sz w:val="24"/>
          <w:szCs w:val="24"/>
          <w:lang w:val="sr-Cyrl-CS"/>
        </w:rPr>
        <w:t xml:space="preserve"> опорезивања</w:t>
      </w:r>
      <w:r w:rsidR="00786FD7">
        <w:rPr>
          <w:rFonts w:ascii="Times New Roman" w:hAnsi="Times New Roman"/>
          <w:sz w:val="24"/>
          <w:szCs w:val="24"/>
          <w:lang w:val="sr-Cyrl-CS"/>
        </w:rPr>
        <w:t>,</w:t>
      </w:r>
      <w:r w:rsidR="001E6839">
        <w:rPr>
          <w:rFonts w:ascii="Times New Roman" w:hAnsi="Times New Roman"/>
          <w:sz w:val="24"/>
          <w:szCs w:val="24"/>
          <w:lang w:val="sr-Cyrl-CS"/>
        </w:rPr>
        <w:t xml:space="preserve"> </w:t>
      </w:r>
      <w:r>
        <w:rPr>
          <w:rFonts w:ascii="Times New Roman" w:hAnsi="Times New Roman"/>
          <w:sz w:val="24"/>
          <w:szCs w:val="24"/>
          <w:lang w:val="sr-Cyrl-CS"/>
        </w:rPr>
        <w:t>је</w:t>
      </w:r>
      <w:r w:rsidR="00786FD7">
        <w:rPr>
          <w:rFonts w:ascii="Times New Roman" w:hAnsi="Times New Roman"/>
          <w:sz w:val="24"/>
          <w:szCs w:val="24"/>
          <w:lang w:val="sr-Cyrl-CS"/>
        </w:rPr>
        <w:t>р</w:t>
      </w:r>
      <w:r>
        <w:rPr>
          <w:rFonts w:ascii="Times New Roman" w:hAnsi="Times New Roman"/>
          <w:sz w:val="24"/>
          <w:szCs w:val="24"/>
          <w:lang w:val="sr-Cyrl-CS"/>
        </w:rPr>
        <w:t xml:space="preserve"> утиче</w:t>
      </w:r>
      <w:r w:rsidR="001E6839">
        <w:rPr>
          <w:rFonts w:ascii="Times New Roman" w:hAnsi="Times New Roman"/>
          <w:sz w:val="24"/>
          <w:szCs w:val="24"/>
          <w:lang w:val="sr-Cyrl-CS"/>
        </w:rPr>
        <w:t xml:space="preserve"> на понашање пореских обвезника да прикрију или непотпуно прикажу чињенице од значаја за опорезивање. </w:t>
      </w:r>
    </w:p>
    <w:p w:rsidR="001E6839" w:rsidRDefault="00EC0FBE" w:rsidP="001E6839">
      <w:pPr>
        <w:jc w:val="both"/>
        <w:rPr>
          <w:rFonts w:ascii="Times New Roman" w:hAnsi="Times New Roman"/>
          <w:sz w:val="24"/>
          <w:szCs w:val="24"/>
          <w:lang w:val="sr-Cyrl-CS"/>
        </w:rPr>
      </w:pPr>
      <w:r>
        <w:rPr>
          <w:rFonts w:ascii="Times New Roman" w:hAnsi="Times New Roman"/>
          <w:sz w:val="24"/>
          <w:szCs w:val="24"/>
          <w:lang w:val="sr-Cyrl-CS"/>
        </w:rPr>
        <w:t>-с</w:t>
      </w:r>
      <w:r w:rsidR="001E6839">
        <w:rPr>
          <w:rFonts w:ascii="Times New Roman" w:hAnsi="Times New Roman"/>
          <w:sz w:val="24"/>
          <w:szCs w:val="24"/>
          <w:lang w:val="sr-Cyrl-CS"/>
        </w:rPr>
        <w:t xml:space="preserve">лабости </w:t>
      </w:r>
      <w:r w:rsidR="001E6839" w:rsidRPr="005B57A1">
        <w:rPr>
          <w:rFonts w:ascii="Times New Roman" w:hAnsi="Times New Roman"/>
          <w:sz w:val="24"/>
          <w:szCs w:val="24"/>
          <w:lang w:val="sr-Cyrl-CS"/>
        </w:rPr>
        <w:t xml:space="preserve">контроле и </w:t>
      </w:r>
      <w:r>
        <w:rPr>
          <w:rFonts w:ascii="Times New Roman" w:hAnsi="Times New Roman"/>
          <w:sz w:val="24"/>
          <w:szCs w:val="24"/>
          <w:lang w:val="sr-Cyrl-CS"/>
        </w:rPr>
        <w:t>казнене политике</w:t>
      </w:r>
      <w:r w:rsidR="001E6839">
        <w:rPr>
          <w:rFonts w:ascii="Times New Roman" w:hAnsi="Times New Roman"/>
          <w:sz w:val="24"/>
          <w:szCs w:val="24"/>
          <w:lang w:val="sr-Cyrl-CS"/>
        </w:rPr>
        <w:t xml:space="preserve"> </w:t>
      </w:r>
      <w:r>
        <w:rPr>
          <w:rFonts w:ascii="Times New Roman" w:hAnsi="Times New Roman"/>
          <w:sz w:val="24"/>
          <w:szCs w:val="24"/>
          <w:lang w:val="sr-Cyrl-CS"/>
        </w:rPr>
        <w:t xml:space="preserve">(благе санкције) </w:t>
      </w:r>
      <w:r w:rsidR="001E6839">
        <w:rPr>
          <w:rFonts w:ascii="Times New Roman" w:hAnsi="Times New Roman"/>
          <w:sz w:val="24"/>
          <w:szCs w:val="24"/>
          <w:lang w:val="sr-Cyrl-CS"/>
        </w:rPr>
        <w:t>и др.</w:t>
      </w:r>
    </w:p>
    <w:p w:rsidR="001E6839" w:rsidRDefault="001E6839" w:rsidP="001E6839">
      <w:pPr>
        <w:ind w:firstLine="360"/>
        <w:jc w:val="both"/>
        <w:rPr>
          <w:rFonts w:ascii="Times New Roman" w:hAnsi="Times New Roman"/>
          <w:sz w:val="24"/>
          <w:szCs w:val="24"/>
          <w:lang w:val="sr-Cyrl-CS"/>
        </w:rPr>
      </w:pPr>
      <w:r w:rsidRPr="005B57A1">
        <w:rPr>
          <w:rFonts w:ascii="Times New Roman" w:hAnsi="Times New Roman"/>
          <w:sz w:val="24"/>
          <w:szCs w:val="24"/>
          <w:lang w:val="sr-Cyrl-CS"/>
        </w:rPr>
        <w:t>Узроци</w:t>
      </w:r>
      <w:r>
        <w:rPr>
          <w:rFonts w:ascii="Times New Roman" w:hAnsi="Times New Roman"/>
          <w:sz w:val="24"/>
          <w:szCs w:val="24"/>
          <w:lang w:val="sr-Cyrl-CS"/>
        </w:rPr>
        <w:t xml:space="preserve"> за настанак пореске евазије могу бити различити, а у финансијској литератури уобичајена је подела на узроке субјективног карактера, који су везани за личност пореског обвезника и на узроке објективног карактера, који </w:t>
      </w:r>
      <w:r w:rsidR="00141A8D">
        <w:rPr>
          <w:rFonts w:ascii="Times New Roman" w:hAnsi="Times New Roman"/>
          <w:sz w:val="24"/>
          <w:szCs w:val="24"/>
          <w:lang w:val="sr-Cyrl-CS"/>
        </w:rPr>
        <w:t>ни</w:t>
      </w:r>
      <w:r>
        <w:rPr>
          <w:rFonts w:ascii="Times New Roman" w:hAnsi="Times New Roman"/>
          <w:sz w:val="24"/>
          <w:szCs w:val="24"/>
          <w:lang w:val="sr-Cyrl-CS"/>
        </w:rPr>
        <w:t xml:space="preserve">су </w:t>
      </w:r>
      <w:r w:rsidR="00141A8D">
        <w:rPr>
          <w:rFonts w:ascii="Times New Roman" w:hAnsi="Times New Roman"/>
          <w:sz w:val="24"/>
          <w:szCs w:val="24"/>
          <w:lang w:val="sr-Cyrl-CS"/>
        </w:rPr>
        <w:t>везани за</w:t>
      </w:r>
      <w:r>
        <w:rPr>
          <w:rFonts w:ascii="Times New Roman" w:hAnsi="Times New Roman"/>
          <w:sz w:val="24"/>
          <w:szCs w:val="24"/>
          <w:lang w:val="sr-Cyrl-CS"/>
        </w:rPr>
        <w:t xml:space="preserve"> пореског обвезника :</w:t>
      </w:r>
      <w:r>
        <w:rPr>
          <w:rStyle w:val="FootnoteReference"/>
          <w:rFonts w:ascii="Times New Roman" w:hAnsi="Times New Roman"/>
          <w:sz w:val="24"/>
          <w:szCs w:val="24"/>
          <w:lang w:val="sr-Cyrl-CS"/>
        </w:rPr>
        <w:footnoteReference w:id="85"/>
      </w:r>
      <w:r>
        <w:rPr>
          <w:rFonts w:ascii="Times New Roman" w:hAnsi="Times New Roman"/>
          <w:sz w:val="24"/>
          <w:szCs w:val="24"/>
          <w:lang w:val="sr-Cyrl-CS"/>
        </w:rPr>
        <w:t xml:space="preserve"> </w:t>
      </w:r>
    </w:p>
    <w:p w:rsidR="001E6839" w:rsidRDefault="001E6839" w:rsidP="008A3795">
      <w:pPr>
        <w:numPr>
          <w:ilvl w:val="0"/>
          <w:numId w:val="17"/>
        </w:numPr>
        <w:jc w:val="both"/>
        <w:rPr>
          <w:rFonts w:ascii="Times New Roman" w:hAnsi="Times New Roman"/>
          <w:sz w:val="24"/>
          <w:szCs w:val="24"/>
          <w:lang w:val="sr-Cyrl-CS"/>
        </w:rPr>
      </w:pPr>
      <w:r>
        <w:rPr>
          <w:rFonts w:ascii="Times New Roman" w:hAnsi="Times New Roman"/>
          <w:sz w:val="24"/>
          <w:szCs w:val="24"/>
          <w:lang w:val="sr-Cyrl-CS"/>
        </w:rPr>
        <w:t xml:space="preserve">У прву групу узрока субјективног карактера многи аутори сврставају: </w:t>
      </w:r>
      <w:r w:rsidR="00141A8D">
        <w:rPr>
          <w:rFonts w:ascii="Times New Roman" w:hAnsi="Times New Roman"/>
          <w:sz w:val="24"/>
          <w:szCs w:val="24"/>
          <w:lang w:val="sr-Cyrl-CS"/>
        </w:rPr>
        <w:t>непостојање пореске</w:t>
      </w:r>
      <w:r>
        <w:rPr>
          <w:rFonts w:ascii="Times New Roman" w:hAnsi="Times New Roman"/>
          <w:sz w:val="24"/>
          <w:szCs w:val="24"/>
          <w:lang w:val="sr-Cyrl-CS"/>
        </w:rPr>
        <w:t xml:space="preserve"> свест</w:t>
      </w:r>
      <w:r w:rsidR="00141A8D">
        <w:rPr>
          <w:rFonts w:ascii="Times New Roman" w:hAnsi="Times New Roman"/>
          <w:sz w:val="24"/>
          <w:szCs w:val="24"/>
          <w:lang w:val="sr-Cyrl-CS"/>
        </w:rPr>
        <w:t>и</w:t>
      </w:r>
      <w:r>
        <w:rPr>
          <w:rFonts w:ascii="Times New Roman" w:hAnsi="Times New Roman"/>
          <w:sz w:val="24"/>
          <w:szCs w:val="24"/>
          <w:lang w:val="sr-Cyrl-CS"/>
        </w:rPr>
        <w:t>, порески морал, егоизам</w:t>
      </w:r>
      <w:r w:rsidR="00141A8D">
        <w:rPr>
          <w:rFonts w:ascii="Times New Roman" w:hAnsi="Times New Roman"/>
          <w:sz w:val="24"/>
          <w:szCs w:val="24"/>
          <w:lang w:val="sr-Cyrl-CS"/>
        </w:rPr>
        <w:t xml:space="preserve"> и</w:t>
      </w:r>
      <w:r>
        <w:rPr>
          <w:rFonts w:ascii="Times New Roman" w:hAnsi="Times New Roman"/>
          <w:sz w:val="24"/>
          <w:szCs w:val="24"/>
          <w:lang w:val="sr-Cyrl-CS"/>
        </w:rPr>
        <w:t xml:space="preserve"> тежњу за стицањем профита, схватање </w:t>
      </w:r>
      <w:r w:rsidR="00141A8D">
        <w:rPr>
          <w:rFonts w:ascii="Times New Roman" w:hAnsi="Times New Roman"/>
          <w:sz w:val="24"/>
          <w:szCs w:val="24"/>
          <w:lang w:val="sr-Cyrl-CS"/>
        </w:rPr>
        <w:t xml:space="preserve">о </w:t>
      </w:r>
      <w:r>
        <w:rPr>
          <w:rFonts w:ascii="Times New Roman" w:hAnsi="Times New Roman"/>
          <w:sz w:val="24"/>
          <w:szCs w:val="24"/>
          <w:lang w:val="sr-Cyrl-CS"/>
        </w:rPr>
        <w:t>правичности пореског система.</w:t>
      </w:r>
    </w:p>
    <w:p w:rsidR="001E6839" w:rsidRDefault="001E6839" w:rsidP="008A3795">
      <w:pPr>
        <w:numPr>
          <w:ilvl w:val="0"/>
          <w:numId w:val="17"/>
        </w:numPr>
        <w:jc w:val="both"/>
        <w:rPr>
          <w:rFonts w:ascii="Times New Roman" w:hAnsi="Times New Roman"/>
          <w:sz w:val="24"/>
          <w:szCs w:val="24"/>
          <w:lang w:val="sr-Cyrl-CS"/>
        </w:rPr>
      </w:pPr>
      <w:r>
        <w:rPr>
          <w:rFonts w:ascii="Times New Roman" w:hAnsi="Times New Roman"/>
          <w:sz w:val="24"/>
          <w:szCs w:val="24"/>
          <w:lang w:val="sr-Cyrl-CS"/>
        </w:rPr>
        <w:t>У другу групу узрока објективног карактера многи аутори сврставају: укупно економско стање, присуство сиве економије, висина пореског оптерећења, стабилност пореских стопа, једнакост у третирању пореских обвезника, н</w:t>
      </w:r>
      <w:r w:rsidR="00141A8D">
        <w:rPr>
          <w:rFonts w:ascii="Times New Roman" w:hAnsi="Times New Roman"/>
          <w:sz w:val="24"/>
          <w:szCs w:val="24"/>
          <w:lang w:val="sr-Cyrl-CS"/>
        </w:rPr>
        <w:t>амена прикупљања јавних прихода, облик јавних прихода</w:t>
      </w:r>
      <w:r>
        <w:rPr>
          <w:rFonts w:ascii="Times New Roman" w:hAnsi="Times New Roman"/>
          <w:sz w:val="24"/>
          <w:szCs w:val="24"/>
          <w:lang w:val="sr-Cyrl-CS"/>
        </w:rPr>
        <w:t xml:space="preserve">. </w:t>
      </w:r>
    </w:p>
    <w:p w:rsidR="001E6839" w:rsidRDefault="001E6839" w:rsidP="001E6839">
      <w:pPr>
        <w:pStyle w:val="ListParagraph"/>
        <w:ind w:left="0"/>
        <w:jc w:val="both"/>
        <w:rPr>
          <w:rFonts w:ascii="Times New Roman" w:hAnsi="Times New Roman"/>
          <w:sz w:val="24"/>
          <w:szCs w:val="24"/>
          <w:lang w:val="sr-Cyrl-CS"/>
        </w:rPr>
      </w:pPr>
    </w:p>
    <w:p w:rsidR="001E6839" w:rsidRDefault="00701484" w:rsidP="001E6839">
      <w:pPr>
        <w:pStyle w:val="ListParagraph"/>
        <w:ind w:left="0" w:firstLine="360"/>
        <w:jc w:val="both"/>
        <w:rPr>
          <w:rFonts w:ascii="Times New Roman" w:hAnsi="Times New Roman"/>
          <w:sz w:val="24"/>
          <w:szCs w:val="24"/>
          <w:lang w:val="sr-Cyrl-CS"/>
        </w:rPr>
      </w:pPr>
      <w:r>
        <w:rPr>
          <w:rFonts w:ascii="Times New Roman" w:hAnsi="Times New Roman"/>
          <w:sz w:val="24"/>
          <w:szCs w:val="24"/>
          <w:lang w:val="sr-Cyrl-CS"/>
        </w:rPr>
        <w:t>Уколико је порески систем неефикасан то оставља</w:t>
      </w:r>
      <w:r w:rsidR="001E6839">
        <w:rPr>
          <w:rFonts w:ascii="Times New Roman" w:hAnsi="Times New Roman"/>
          <w:sz w:val="24"/>
          <w:szCs w:val="24"/>
          <w:lang w:val="sr-Cyrl-CS"/>
        </w:rPr>
        <w:t xml:space="preserve"> доста простора пореској евазији. Утврђивање пореске способности често захтева</w:t>
      </w:r>
      <w:r>
        <w:rPr>
          <w:rFonts w:ascii="Times New Roman" w:hAnsi="Times New Roman"/>
          <w:sz w:val="24"/>
          <w:szCs w:val="24"/>
          <w:lang w:val="sr-Cyrl-CS"/>
        </w:rPr>
        <w:t xml:space="preserve"> скупе технике пореске контроле, а порески обвезници користе ситуације у којима се пореска основица тешко може утврдити. Пример за то су готовинска плаћања. </w:t>
      </w:r>
      <w:r w:rsidR="001E6839">
        <w:rPr>
          <w:rFonts w:ascii="Times New Roman" w:hAnsi="Times New Roman"/>
          <w:sz w:val="24"/>
          <w:szCs w:val="24"/>
          <w:lang w:val="sr-Cyrl-CS"/>
        </w:rPr>
        <w:t xml:space="preserve"> Пореска процедура </w:t>
      </w:r>
      <w:r>
        <w:rPr>
          <w:rFonts w:ascii="Times New Roman" w:hAnsi="Times New Roman"/>
          <w:sz w:val="24"/>
          <w:szCs w:val="24"/>
          <w:lang w:val="sr-Cyrl-CS"/>
        </w:rPr>
        <w:t>током које ће бити наплаћен порез или откривена особа која врши</w:t>
      </w:r>
      <w:r w:rsidR="001E6839">
        <w:rPr>
          <w:rFonts w:ascii="Times New Roman" w:hAnsi="Times New Roman"/>
          <w:sz w:val="24"/>
          <w:szCs w:val="24"/>
          <w:lang w:val="sr-Cyrl-CS"/>
        </w:rPr>
        <w:t xml:space="preserve"> пореску утају може бити дуга и скупа, </w:t>
      </w:r>
      <w:r>
        <w:rPr>
          <w:rFonts w:ascii="Times New Roman" w:hAnsi="Times New Roman"/>
          <w:sz w:val="24"/>
          <w:szCs w:val="24"/>
          <w:lang w:val="sr-Cyrl-CS"/>
        </w:rPr>
        <w:t>па то повећава</w:t>
      </w:r>
      <w:r w:rsidR="001E6839">
        <w:rPr>
          <w:rFonts w:ascii="Times New Roman" w:hAnsi="Times New Roman"/>
          <w:sz w:val="24"/>
          <w:szCs w:val="24"/>
          <w:lang w:val="sr-Cyrl-CS"/>
        </w:rPr>
        <w:t xml:space="preserve"> трошко</w:t>
      </w:r>
      <w:r>
        <w:rPr>
          <w:rFonts w:ascii="Times New Roman" w:hAnsi="Times New Roman"/>
          <w:sz w:val="24"/>
          <w:szCs w:val="24"/>
          <w:lang w:val="sr-Cyrl-CS"/>
        </w:rPr>
        <w:t>ве плаћања пореским обвезницима.</w:t>
      </w:r>
      <w:r w:rsidR="001E6839">
        <w:rPr>
          <w:rFonts w:ascii="Times New Roman" w:hAnsi="Times New Roman"/>
          <w:sz w:val="24"/>
          <w:szCs w:val="24"/>
          <w:lang w:val="sr-Cyrl-CS"/>
        </w:rPr>
        <w:t xml:space="preserve"> </w:t>
      </w:r>
      <w:r>
        <w:rPr>
          <w:rFonts w:ascii="Times New Roman" w:hAnsi="Times New Roman"/>
          <w:sz w:val="24"/>
          <w:szCs w:val="24"/>
          <w:lang w:val="sr-Cyrl-CS"/>
        </w:rPr>
        <w:t>Тиме</w:t>
      </w:r>
      <w:r w:rsidR="001E6839">
        <w:rPr>
          <w:rFonts w:ascii="Times New Roman" w:hAnsi="Times New Roman"/>
          <w:sz w:val="24"/>
          <w:szCs w:val="24"/>
          <w:lang w:val="sr-Cyrl-CS"/>
        </w:rPr>
        <w:t xml:space="preserve"> се слаби порески морал и додатно ствара порески отпор према држави. </w:t>
      </w:r>
      <w:r>
        <w:rPr>
          <w:rFonts w:ascii="Times New Roman" w:hAnsi="Times New Roman"/>
          <w:sz w:val="24"/>
          <w:szCs w:val="24"/>
          <w:lang w:val="sr-Cyrl-CS"/>
        </w:rPr>
        <w:t>„</w:t>
      </w:r>
      <w:r w:rsidR="001E6839">
        <w:rPr>
          <w:rFonts w:ascii="Times New Roman" w:hAnsi="Times New Roman"/>
          <w:sz w:val="24"/>
          <w:szCs w:val="24"/>
          <w:lang w:val="sr-Cyrl-CS"/>
        </w:rPr>
        <w:t>Институциони аспекти, који се огледају у ефикасности пореске администрације, обиму контролних овлашћења политичара и бирократије, као и величина мита и корупције играју главну улогу у „игри погађања“ између владе и пореских обвезника.</w:t>
      </w:r>
      <w:r>
        <w:rPr>
          <w:rFonts w:ascii="Times New Roman" w:hAnsi="Times New Roman"/>
          <w:sz w:val="24"/>
          <w:szCs w:val="24"/>
          <w:lang w:val="sr-Cyrl-CS"/>
        </w:rPr>
        <w:t>“</w:t>
      </w:r>
      <w:r w:rsidR="001E6839">
        <w:rPr>
          <w:rStyle w:val="FootnoteReference"/>
          <w:rFonts w:ascii="Times New Roman" w:hAnsi="Times New Roman"/>
          <w:sz w:val="24"/>
          <w:szCs w:val="24"/>
          <w:lang w:val="sr-Cyrl-CS"/>
        </w:rPr>
        <w:footnoteReference w:id="86"/>
      </w:r>
      <w:r w:rsidR="001E6839">
        <w:rPr>
          <w:rFonts w:ascii="Times New Roman" w:hAnsi="Times New Roman"/>
          <w:sz w:val="24"/>
          <w:szCs w:val="24"/>
          <w:lang w:val="sr-Cyrl-CS"/>
        </w:rPr>
        <w:t xml:space="preserve"> Посебно су штетне појаве корупције радника пореске администрације и привилеговање појединих пореских обвезника. То доприноси стварању неједнакости у плаћању пореских обвезника, значајно нарушава правичност пореског система и утиче на став јавности о пореској политици.</w:t>
      </w:r>
    </w:p>
    <w:p w:rsidR="001E6839" w:rsidRDefault="001E6839" w:rsidP="001E6839">
      <w:pPr>
        <w:pStyle w:val="ListParagraph"/>
        <w:ind w:left="0" w:firstLine="360"/>
        <w:jc w:val="both"/>
        <w:rPr>
          <w:rFonts w:ascii="Times New Roman" w:hAnsi="Times New Roman"/>
          <w:sz w:val="24"/>
          <w:szCs w:val="24"/>
          <w:lang w:val="sr-Cyrl-CS"/>
        </w:rPr>
      </w:pPr>
    </w:p>
    <w:p w:rsidR="001E6839" w:rsidRDefault="001E6839" w:rsidP="001E6839">
      <w:pPr>
        <w:pStyle w:val="ListParagraph"/>
        <w:ind w:left="0" w:firstLine="360"/>
        <w:jc w:val="both"/>
        <w:rPr>
          <w:rFonts w:ascii="Times New Roman" w:hAnsi="Times New Roman"/>
          <w:sz w:val="24"/>
          <w:szCs w:val="24"/>
          <w:lang w:val="sr-Cyrl-CS"/>
        </w:rPr>
      </w:pPr>
      <w:r w:rsidRPr="00E065C9">
        <w:rPr>
          <w:rFonts w:ascii="Times New Roman" w:hAnsi="Times New Roman"/>
          <w:sz w:val="24"/>
          <w:szCs w:val="24"/>
          <w:lang w:val="sr-Cyrl-CS"/>
        </w:rPr>
        <w:t>Значајан</w:t>
      </w:r>
      <w:r>
        <w:rPr>
          <w:rFonts w:ascii="Times New Roman" w:hAnsi="Times New Roman"/>
          <w:sz w:val="24"/>
          <w:szCs w:val="24"/>
          <w:lang w:val="sr-Cyrl-CS"/>
        </w:rPr>
        <w:t xml:space="preserve"> фактор неефикасности примене пореског система представљају </w:t>
      </w:r>
      <w:r>
        <w:rPr>
          <w:rFonts w:ascii="Times New Roman" w:hAnsi="Times New Roman"/>
          <w:sz w:val="24"/>
          <w:szCs w:val="24"/>
        </w:rPr>
        <w:t xml:space="preserve"> </w:t>
      </w:r>
      <w:r>
        <w:rPr>
          <w:rFonts w:ascii="Times New Roman" w:hAnsi="Times New Roman"/>
          <w:sz w:val="24"/>
          <w:szCs w:val="24"/>
          <w:lang w:val="sr-Cyrl-CS"/>
        </w:rPr>
        <w:t xml:space="preserve">и </w:t>
      </w:r>
      <w:r>
        <w:rPr>
          <w:rFonts w:ascii="Times New Roman" w:hAnsi="Times New Roman"/>
          <w:sz w:val="24"/>
          <w:szCs w:val="24"/>
        </w:rPr>
        <w:t>правн</w:t>
      </w:r>
      <w:r>
        <w:rPr>
          <w:rFonts w:ascii="Times New Roman" w:hAnsi="Times New Roman"/>
          <w:sz w:val="24"/>
          <w:szCs w:val="24"/>
          <w:lang w:val="sr-Cyrl-CS"/>
        </w:rPr>
        <w:t>е</w:t>
      </w:r>
      <w:r>
        <w:rPr>
          <w:rFonts w:ascii="Times New Roman" w:hAnsi="Times New Roman"/>
          <w:sz w:val="24"/>
          <w:szCs w:val="24"/>
        </w:rPr>
        <w:t xml:space="preserve"> празнин</w:t>
      </w:r>
      <w:r>
        <w:rPr>
          <w:rFonts w:ascii="Times New Roman" w:hAnsi="Times New Roman"/>
          <w:sz w:val="24"/>
          <w:szCs w:val="24"/>
          <w:lang w:val="sr-Cyrl-CS"/>
        </w:rPr>
        <w:t>е</w:t>
      </w:r>
      <w:r>
        <w:rPr>
          <w:rFonts w:ascii="Times New Roman" w:hAnsi="Times New Roman"/>
          <w:sz w:val="24"/>
          <w:szCs w:val="24"/>
        </w:rPr>
        <w:t xml:space="preserve"> </w:t>
      </w:r>
      <w:r w:rsidRPr="001305AF">
        <w:rPr>
          <w:rFonts w:ascii="Times New Roman" w:hAnsi="Times New Roman"/>
          <w:sz w:val="24"/>
          <w:szCs w:val="24"/>
          <w:lang w:val="sr-Cyrl-CS"/>
        </w:rPr>
        <w:t>(eng. lex imperfecta)</w:t>
      </w:r>
      <w:r>
        <w:rPr>
          <w:rFonts w:ascii="Times New Roman" w:hAnsi="Times New Roman"/>
          <w:b/>
          <w:sz w:val="24"/>
          <w:szCs w:val="24"/>
          <w:lang w:val="sr-Cyrl-CS"/>
        </w:rPr>
        <w:t xml:space="preserve"> </w:t>
      </w:r>
      <w:r>
        <w:rPr>
          <w:rFonts w:ascii="Times New Roman" w:hAnsi="Times New Roman"/>
          <w:sz w:val="24"/>
          <w:szCs w:val="24"/>
        </w:rPr>
        <w:t>у проп</w:t>
      </w:r>
      <w:r>
        <w:rPr>
          <w:rFonts w:ascii="Times New Roman" w:hAnsi="Times New Roman"/>
          <w:sz w:val="24"/>
          <w:szCs w:val="24"/>
          <w:lang w:val="sr-Cyrl-CS"/>
        </w:rPr>
        <w:t>иси</w:t>
      </w:r>
      <w:r>
        <w:rPr>
          <w:rFonts w:ascii="Times New Roman" w:hAnsi="Times New Roman"/>
          <w:sz w:val="24"/>
          <w:szCs w:val="24"/>
        </w:rPr>
        <w:t xml:space="preserve">ма који регулишу пореску материју. </w:t>
      </w:r>
      <w:r>
        <w:rPr>
          <w:rFonts w:ascii="Times New Roman" w:hAnsi="Times New Roman"/>
          <w:sz w:val="24"/>
          <w:szCs w:val="24"/>
          <w:lang w:val="sr-Cyrl-CS"/>
        </w:rPr>
        <w:t xml:space="preserve">Честе </w:t>
      </w:r>
      <w:r>
        <w:rPr>
          <w:rFonts w:ascii="Times New Roman" w:hAnsi="Times New Roman"/>
          <w:sz w:val="24"/>
          <w:szCs w:val="24"/>
          <w:lang w:val="sr-Cyrl-CS"/>
        </w:rPr>
        <w:lastRenderedPageBreak/>
        <w:t xml:space="preserve">измене </w:t>
      </w:r>
      <w:r w:rsidRPr="005B57A1">
        <w:rPr>
          <w:rFonts w:ascii="Times New Roman" w:hAnsi="Times New Roman"/>
          <w:sz w:val="24"/>
          <w:szCs w:val="24"/>
          <w:lang w:val="sr-Cyrl-CS"/>
        </w:rPr>
        <w:t>законских прописа</w:t>
      </w:r>
      <w:r>
        <w:rPr>
          <w:rFonts w:ascii="Times New Roman" w:hAnsi="Times New Roman"/>
          <w:sz w:val="24"/>
          <w:szCs w:val="24"/>
          <w:lang w:val="sr-Cyrl-CS"/>
        </w:rPr>
        <w:t>, бројни законски и подзаконски акти, недореченост закона, правне празнине погодују ширењу овог феномена.</w:t>
      </w:r>
    </w:p>
    <w:p w:rsidR="001E6839" w:rsidRDefault="001E6839" w:rsidP="001E6839">
      <w:pPr>
        <w:ind w:firstLine="708"/>
        <w:jc w:val="both"/>
        <w:rPr>
          <w:rFonts w:ascii="Times New Roman" w:hAnsi="Times New Roman"/>
          <w:sz w:val="24"/>
          <w:szCs w:val="24"/>
          <w:lang w:val="sr-Cyrl-CS"/>
        </w:rPr>
      </w:pPr>
      <w:r w:rsidRPr="005B57A1">
        <w:rPr>
          <w:rFonts w:ascii="Times New Roman" w:hAnsi="Times New Roman"/>
          <w:sz w:val="24"/>
          <w:szCs w:val="24"/>
          <w:lang w:val="sr-Cyrl-CS"/>
        </w:rPr>
        <w:t>Сложеност и неразумљивост пореског система</w:t>
      </w:r>
      <w:r>
        <w:rPr>
          <w:rFonts w:ascii="Times New Roman" w:hAnsi="Times New Roman"/>
          <w:sz w:val="24"/>
          <w:szCs w:val="24"/>
          <w:lang w:val="sr-Cyrl-CS"/>
        </w:rPr>
        <w:t>, према томе, поспешују избегавање плаћања пореза. Већа сложеност пореског ситема доприноси и повећању трошкова опорезивања. Она може довести до тога да откривање избегавања плаћања пореза постане сложеније, а самим тим и скупље. Поједностављење пореског система је због тога битан фактор у борби против избегавања плаћања пореза. Тиме се избегава примена принудних мера, смањују се трошкови, а спровођење пореске политике постаје ефикасније.</w:t>
      </w:r>
      <w:r w:rsidRPr="005B57A1">
        <w:rPr>
          <w:rFonts w:ascii="Times New Roman" w:hAnsi="Times New Roman"/>
          <w:sz w:val="24"/>
          <w:szCs w:val="24"/>
          <w:lang w:val="sr-Cyrl-CS"/>
        </w:rPr>
        <w:t xml:space="preserve"> </w:t>
      </w:r>
    </w:p>
    <w:p w:rsidR="001E6839" w:rsidRDefault="001E6839" w:rsidP="001E6839">
      <w:pPr>
        <w:ind w:firstLine="360"/>
        <w:jc w:val="both"/>
        <w:rPr>
          <w:rFonts w:ascii="Times New Roman" w:hAnsi="Times New Roman"/>
          <w:sz w:val="24"/>
          <w:szCs w:val="24"/>
          <w:lang w:val="sr-Cyrl-CS"/>
        </w:rPr>
      </w:pPr>
      <w:r>
        <w:rPr>
          <w:rFonts w:ascii="Times New Roman" w:hAnsi="Times New Roman"/>
          <w:sz w:val="24"/>
          <w:szCs w:val="24"/>
          <w:lang w:val="sr-Cyrl-CS"/>
        </w:rPr>
        <w:t>Према неким ауторима</w:t>
      </w:r>
      <w:r>
        <w:rPr>
          <w:rStyle w:val="FootnoteReference"/>
          <w:rFonts w:ascii="Times New Roman" w:hAnsi="Times New Roman"/>
          <w:sz w:val="24"/>
          <w:szCs w:val="24"/>
          <w:lang w:val="sr-Cyrl-CS"/>
        </w:rPr>
        <w:footnoteReference w:id="87"/>
      </w:r>
      <w:r>
        <w:rPr>
          <w:rFonts w:ascii="Times New Roman" w:hAnsi="Times New Roman"/>
          <w:sz w:val="24"/>
          <w:szCs w:val="24"/>
          <w:lang w:val="sr-Cyrl-CS"/>
        </w:rPr>
        <w:t xml:space="preserve"> основа од које се полази у разумевању избегавања плаћања пор</w:t>
      </w:r>
      <w:r w:rsidR="00141A8D">
        <w:rPr>
          <w:rFonts w:ascii="Times New Roman" w:hAnsi="Times New Roman"/>
          <w:sz w:val="24"/>
          <w:szCs w:val="24"/>
          <w:lang w:val="sr-Cyrl-CS"/>
        </w:rPr>
        <w:t xml:space="preserve">еза је етички аспект посматрања јер се одлуке појединаца </w:t>
      </w:r>
      <w:r>
        <w:rPr>
          <w:rFonts w:ascii="Times New Roman" w:hAnsi="Times New Roman"/>
          <w:sz w:val="24"/>
          <w:szCs w:val="24"/>
          <w:lang w:val="sr-Cyrl-CS"/>
        </w:rPr>
        <w:t xml:space="preserve">не могу у потпуности разумети без уважавања моралних разматрања </w:t>
      </w:r>
      <w:r w:rsidRPr="005B57A1">
        <w:rPr>
          <w:rFonts w:ascii="Times New Roman" w:hAnsi="Times New Roman"/>
          <w:sz w:val="24"/>
          <w:szCs w:val="24"/>
          <w:lang w:val="sr-Cyrl-CS"/>
        </w:rPr>
        <w:t>етичког аспекта</w:t>
      </w:r>
      <w:r>
        <w:rPr>
          <w:rFonts w:ascii="Times New Roman" w:hAnsi="Times New Roman"/>
          <w:sz w:val="24"/>
          <w:szCs w:val="24"/>
          <w:lang w:val="sr-Cyrl-CS"/>
        </w:rPr>
        <w:t xml:space="preserve"> посматрања. </w:t>
      </w:r>
      <w:r w:rsidRPr="005B57A1">
        <w:rPr>
          <w:rFonts w:ascii="Times New Roman" w:hAnsi="Times New Roman"/>
          <w:sz w:val="24"/>
          <w:szCs w:val="24"/>
          <w:lang w:val="sr-Cyrl-CS"/>
        </w:rPr>
        <w:t>Порески морал</w:t>
      </w:r>
      <w:r>
        <w:rPr>
          <w:rFonts w:ascii="Times New Roman" w:hAnsi="Times New Roman"/>
          <w:sz w:val="24"/>
          <w:szCs w:val="24"/>
          <w:lang w:val="sr-Cyrl-CS"/>
        </w:rPr>
        <w:t xml:space="preserve"> </w:t>
      </w:r>
      <w:r w:rsidR="00141A8D">
        <w:rPr>
          <w:rFonts w:ascii="Times New Roman" w:hAnsi="Times New Roman"/>
          <w:sz w:val="24"/>
          <w:szCs w:val="24"/>
          <w:lang w:val="sr-Cyrl-CS"/>
        </w:rPr>
        <w:t xml:space="preserve">је </w:t>
      </w:r>
      <w:r>
        <w:rPr>
          <w:rFonts w:ascii="Times New Roman" w:hAnsi="Times New Roman"/>
          <w:sz w:val="24"/>
          <w:szCs w:val="24"/>
          <w:lang w:val="sr-Cyrl-CS"/>
        </w:rPr>
        <w:t xml:space="preserve">део </w:t>
      </w:r>
      <w:r w:rsidR="002720E9">
        <w:rPr>
          <w:rFonts w:ascii="Times New Roman" w:hAnsi="Times New Roman"/>
          <w:sz w:val="24"/>
          <w:szCs w:val="24"/>
          <w:lang w:val="sr-Cyrl-CS"/>
        </w:rPr>
        <w:t xml:space="preserve">укупног морала једног друштва, </w:t>
      </w:r>
      <w:r>
        <w:rPr>
          <w:rFonts w:ascii="Times New Roman" w:hAnsi="Times New Roman"/>
          <w:sz w:val="24"/>
          <w:szCs w:val="24"/>
          <w:lang w:val="sr-Cyrl-CS"/>
        </w:rPr>
        <w:t>он се огледа у односу друштвене средине према пореском обвезнику који чини пореске деликте</w:t>
      </w:r>
      <w:r w:rsidR="00141A8D">
        <w:rPr>
          <w:rFonts w:ascii="Times New Roman" w:hAnsi="Times New Roman"/>
          <w:sz w:val="24"/>
          <w:szCs w:val="24"/>
          <w:lang w:val="sr-Cyrl-CS"/>
        </w:rPr>
        <w:t xml:space="preserve"> и представља </w:t>
      </w:r>
      <w:r w:rsidR="002720E9">
        <w:rPr>
          <w:rFonts w:ascii="Times New Roman" w:hAnsi="Times New Roman"/>
          <w:sz w:val="24"/>
          <w:szCs w:val="24"/>
          <w:lang w:val="sr-Cyrl-CS"/>
        </w:rPr>
        <w:t>општи став грађана према њиховим пореским обавезама</w:t>
      </w:r>
      <w:r>
        <w:rPr>
          <w:rFonts w:ascii="Times New Roman" w:hAnsi="Times New Roman"/>
          <w:sz w:val="24"/>
          <w:szCs w:val="24"/>
          <w:lang w:val="sr-Cyrl-CS"/>
        </w:rPr>
        <w:t>.</w:t>
      </w:r>
      <w:r>
        <w:rPr>
          <w:rStyle w:val="FootnoteReference"/>
          <w:rFonts w:ascii="Times New Roman" w:hAnsi="Times New Roman"/>
          <w:sz w:val="24"/>
          <w:szCs w:val="24"/>
          <w:lang w:val="sr-Cyrl-CS"/>
        </w:rPr>
        <w:footnoteReference w:id="88"/>
      </w:r>
      <w:r>
        <w:rPr>
          <w:rFonts w:ascii="Times New Roman" w:hAnsi="Times New Roman"/>
          <w:sz w:val="24"/>
          <w:szCs w:val="24"/>
          <w:lang w:val="sr-Cyrl-CS"/>
        </w:rPr>
        <w:t xml:space="preserve"> </w:t>
      </w:r>
      <w:r w:rsidRPr="005B57A1">
        <w:rPr>
          <w:rFonts w:ascii="Times New Roman" w:hAnsi="Times New Roman"/>
          <w:sz w:val="24"/>
          <w:szCs w:val="24"/>
          <w:lang w:val="sr-Cyrl-CS"/>
        </w:rPr>
        <w:t>Морал</w:t>
      </w:r>
      <w:r>
        <w:rPr>
          <w:rFonts w:ascii="Times New Roman" w:hAnsi="Times New Roman"/>
          <w:sz w:val="24"/>
          <w:szCs w:val="24"/>
          <w:lang w:val="sr-Cyrl-CS"/>
        </w:rPr>
        <w:t xml:space="preserve"> као облик друштвене свести је у нашим условима недовољно развијен. Доминирају ситносопственички циљеви увећања богатства, односно имовине. Уколико је у друштву заступљено мишљење да је морално избегавати јавне приходе и да нико није оштећен иако је оштећена држава, то ће свакако допринети да оваквих појава буде више. </w:t>
      </w:r>
    </w:p>
    <w:p w:rsidR="001E6839" w:rsidRPr="00C35A7E" w:rsidRDefault="00786FD7" w:rsidP="001E6839">
      <w:pPr>
        <w:jc w:val="both"/>
        <w:rPr>
          <w:rFonts w:ascii="Times New Roman" w:hAnsi="Times New Roman"/>
          <w:sz w:val="24"/>
          <w:szCs w:val="24"/>
          <w:lang w:val="sr-Cyrl-CS"/>
        </w:rPr>
      </w:pPr>
      <w:r>
        <w:rPr>
          <w:rFonts w:ascii="Times New Roman" w:hAnsi="Times New Roman"/>
          <w:sz w:val="24"/>
          <w:szCs w:val="24"/>
          <w:lang w:val="sr-Cyrl-CS"/>
        </w:rPr>
        <w:t>Према статистичком истраживању</w:t>
      </w:r>
      <w:r w:rsidR="001E6839">
        <w:rPr>
          <w:rFonts w:ascii="Times New Roman" w:hAnsi="Times New Roman"/>
          <w:sz w:val="24"/>
          <w:szCs w:val="24"/>
          <w:lang w:val="sr-Cyrl-CS"/>
        </w:rPr>
        <w:t xml:space="preserve"> је утврђено да постоји више облика пореског морала:</w:t>
      </w:r>
      <w:r w:rsidR="001E6839">
        <w:rPr>
          <w:rStyle w:val="FootnoteReference"/>
          <w:rFonts w:ascii="Times New Roman" w:hAnsi="Times New Roman"/>
          <w:sz w:val="24"/>
          <w:szCs w:val="24"/>
          <w:lang w:val="sr-Cyrl-CS"/>
        </w:rPr>
        <w:footnoteReference w:id="89"/>
      </w:r>
    </w:p>
    <w:p w:rsidR="001E6839" w:rsidRDefault="001E6839" w:rsidP="001E6839">
      <w:pPr>
        <w:jc w:val="both"/>
        <w:rPr>
          <w:rFonts w:ascii="Times New Roman" w:hAnsi="Times New Roman"/>
          <w:sz w:val="24"/>
          <w:szCs w:val="24"/>
          <w:lang w:val="sr-Cyrl-CS"/>
        </w:rPr>
      </w:pPr>
      <w:r>
        <w:rPr>
          <w:rFonts w:ascii="Times New Roman" w:hAnsi="Times New Roman"/>
          <w:sz w:val="28"/>
          <w:szCs w:val="28"/>
          <w:lang w:val="sr-Cyrl-CS"/>
        </w:rPr>
        <w:t>-</w:t>
      </w:r>
      <w:r>
        <w:rPr>
          <w:rFonts w:ascii="Times New Roman" w:hAnsi="Times New Roman"/>
          <w:sz w:val="24"/>
          <w:szCs w:val="24"/>
          <w:lang w:val="sr-Cyrl-CS"/>
        </w:rPr>
        <w:t xml:space="preserve">високи порески морал (САД, </w:t>
      </w:r>
      <w:r w:rsidR="00786FD7">
        <w:rPr>
          <w:rFonts w:ascii="Times New Roman" w:hAnsi="Times New Roman"/>
          <w:sz w:val="24"/>
          <w:szCs w:val="24"/>
          <w:lang w:val="sr-Cyrl-CS"/>
        </w:rPr>
        <w:t>Швајцарска, Немачка</w:t>
      </w:r>
      <w:r>
        <w:rPr>
          <w:rFonts w:ascii="Times New Roman" w:hAnsi="Times New Roman"/>
          <w:sz w:val="24"/>
          <w:szCs w:val="24"/>
          <w:lang w:val="sr-Cyrl-CS"/>
        </w:rPr>
        <w:t>);</w:t>
      </w:r>
    </w:p>
    <w:p w:rsidR="001E6839" w:rsidRDefault="001E6839" w:rsidP="001E6839">
      <w:pPr>
        <w:jc w:val="both"/>
        <w:rPr>
          <w:rFonts w:ascii="Times New Roman" w:hAnsi="Times New Roman"/>
          <w:sz w:val="24"/>
          <w:szCs w:val="24"/>
          <w:lang w:val="sr-Cyrl-CS"/>
        </w:rPr>
      </w:pPr>
      <w:r>
        <w:rPr>
          <w:rFonts w:ascii="Times New Roman" w:hAnsi="Times New Roman"/>
          <w:sz w:val="24"/>
          <w:szCs w:val="24"/>
          <w:lang w:val="sr-Cyrl-CS"/>
        </w:rPr>
        <w:t xml:space="preserve">-оптималан порески морал (Француска, </w:t>
      </w:r>
      <w:r w:rsidR="00786FD7">
        <w:rPr>
          <w:rFonts w:ascii="Times New Roman" w:hAnsi="Times New Roman"/>
          <w:sz w:val="24"/>
          <w:szCs w:val="24"/>
          <w:lang w:val="sr-Cyrl-CS"/>
        </w:rPr>
        <w:t>Италија, Шпанија</w:t>
      </w:r>
      <w:r>
        <w:rPr>
          <w:rFonts w:ascii="Times New Roman" w:hAnsi="Times New Roman"/>
          <w:sz w:val="24"/>
          <w:szCs w:val="24"/>
          <w:lang w:val="sr-Cyrl-CS"/>
        </w:rPr>
        <w:t>);</w:t>
      </w:r>
    </w:p>
    <w:p w:rsidR="001E6839" w:rsidRDefault="001E6839" w:rsidP="001E6839">
      <w:pPr>
        <w:jc w:val="both"/>
        <w:rPr>
          <w:rFonts w:ascii="Times New Roman" w:hAnsi="Times New Roman"/>
          <w:sz w:val="24"/>
          <w:szCs w:val="24"/>
          <w:lang w:val="sr-Cyrl-CS"/>
        </w:rPr>
      </w:pPr>
      <w:r>
        <w:rPr>
          <w:rFonts w:ascii="Times New Roman" w:hAnsi="Times New Roman"/>
          <w:sz w:val="24"/>
          <w:szCs w:val="24"/>
          <w:lang w:val="sr-Cyrl-CS"/>
        </w:rPr>
        <w:t>-низак порески морал (Јужна Америка, неке афричке земље).</w:t>
      </w:r>
    </w:p>
    <w:p w:rsidR="001E6839" w:rsidRDefault="001E6839" w:rsidP="001E6839">
      <w:pPr>
        <w:ind w:firstLine="708"/>
        <w:jc w:val="both"/>
        <w:rPr>
          <w:rFonts w:ascii="Times New Roman" w:hAnsi="Times New Roman"/>
          <w:sz w:val="24"/>
          <w:szCs w:val="24"/>
          <w:lang w:val="sr-Cyrl-CS"/>
        </w:rPr>
      </w:pPr>
      <w:r>
        <w:rPr>
          <w:rFonts w:ascii="Times New Roman" w:hAnsi="Times New Roman"/>
          <w:sz w:val="24"/>
          <w:szCs w:val="24"/>
          <w:lang w:val="sr-Cyrl-CS"/>
        </w:rPr>
        <w:t xml:space="preserve">Са економске стране посматрања на одлуку пореског обвезника да избегну порез и у којој мери ће то учинити утиче колика је вероватноћа да ће бити откривен и однос користи и губитка у овом ризичном подухвату. Многи теоретичари </w:t>
      </w:r>
      <w:r w:rsidRPr="005B57A1">
        <w:rPr>
          <w:rFonts w:ascii="Times New Roman" w:hAnsi="Times New Roman"/>
          <w:sz w:val="24"/>
          <w:szCs w:val="24"/>
          <w:lang w:val="sr-Cyrl-CS"/>
        </w:rPr>
        <w:t>порески морал</w:t>
      </w:r>
      <w:r>
        <w:rPr>
          <w:rFonts w:ascii="Times New Roman" w:hAnsi="Times New Roman"/>
          <w:sz w:val="24"/>
          <w:szCs w:val="24"/>
          <w:lang w:val="sr-Cyrl-CS"/>
        </w:rPr>
        <w:t xml:space="preserve"> објашњавају као резултат процене овог односа добитка и губитка</w:t>
      </w:r>
      <w:r w:rsidRPr="002F30F2">
        <w:rPr>
          <w:rFonts w:ascii="Times New Roman" w:hAnsi="Times New Roman"/>
          <w:sz w:val="24"/>
          <w:szCs w:val="24"/>
          <w:lang w:val="sr-Cyrl-CS"/>
        </w:rPr>
        <w:t xml:space="preserve"> </w:t>
      </w:r>
      <w:r>
        <w:rPr>
          <w:rFonts w:ascii="Times New Roman" w:hAnsi="Times New Roman"/>
          <w:sz w:val="24"/>
          <w:szCs w:val="24"/>
          <w:lang w:val="sr-Cyrl-CS"/>
        </w:rPr>
        <w:t xml:space="preserve">од стране пореског обвезника, односно колико добија, а колико губи. Са једне стране уколико не плати порез, неће доћи до умањења његове економске снаге. Са друге стране, уколико буде откривен од стране пореских органа мораће да плати порез, али и да сноси казну. Порески обвезник пореди очекивану добит и очекивани губитак,  а то су величине губитка или добитка помножене са својом вероватноћом. Уколико је очекиван добитак </w:t>
      </w:r>
      <w:r>
        <w:rPr>
          <w:rFonts w:ascii="Times New Roman" w:hAnsi="Times New Roman"/>
          <w:sz w:val="24"/>
          <w:szCs w:val="24"/>
          <w:lang w:val="sr-Cyrl-CS"/>
        </w:rPr>
        <w:lastRenderedPageBreak/>
        <w:t xml:space="preserve">већи од очекиваног губитка порески обвезник ће пре покушати да макар умањи пореску обавезу. Избегавање пореза зависи од обвезникове процене ризика и очекиване добити. </w:t>
      </w:r>
    </w:p>
    <w:p w:rsidR="001E6839" w:rsidRDefault="001E6839" w:rsidP="001E6839">
      <w:pPr>
        <w:ind w:firstLine="708"/>
        <w:jc w:val="both"/>
        <w:rPr>
          <w:rFonts w:ascii="Times New Roman" w:hAnsi="Times New Roman"/>
          <w:sz w:val="24"/>
          <w:szCs w:val="24"/>
          <w:lang w:val="sr-Cyrl-CS"/>
        </w:rPr>
      </w:pPr>
      <w:r>
        <w:rPr>
          <w:rFonts w:ascii="Times New Roman" w:hAnsi="Times New Roman"/>
          <w:sz w:val="24"/>
          <w:szCs w:val="24"/>
        </w:rPr>
        <w:t xml:space="preserve">Да би се илустровао овај приступ, може се </w:t>
      </w:r>
      <w:r>
        <w:rPr>
          <w:rFonts w:ascii="Times New Roman" w:hAnsi="Times New Roman"/>
          <w:sz w:val="24"/>
          <w:szCs w:val="24"/>
          <w:lang w:val="sr-Cyrl-CS"/>
        </w:rPr>
        <w:t>применити следећи образац.</w:t>
      </w:r>
      <w:r>
        <w:rPr>
          <w:rStyle w:val="FootnoteReference"/>
          <w:rFonts w:ascii="Times New Roman" w:hAnsi="Times New Roman"/>
          <w:sz w:val="24"/>
          <w:szCs w:val="24"/>
          <w:lang w:val="sr-Cyrl-CS"/>
        </w:rPr>
        <w:footnoteReference w:id="90"/>
      </w:r>
      <w:r>
        <w:rPr>
          <w:rFonts w:ascii="Times New Roman" w:hAnsi="Times New Roman"/>
          <w:sz w:val="24"/>
          <w:szCs w:val="24"/>
          <w:lang w:val="sr-Cyrl-CS"/>
        </w:rPr>
        <w:t xml:space="preserve"> Уколико претпоставимо да ће појединац добити фиксни износ прихода, који означавамо са </w:t>
      </w:r>
      <w:r>
        <w:rPr>
          <w:rFonts w:ascii="Times New Roman" w:hAnsi="Times New Roman"/>
          <w:sz w:val="24"/>
          <w:szCs w:val="24"/>
        </w:rPr>
        <w:t>I</w:t>
      </w:r>
      <w:r>
        <w:rPr>
          <w:rFonts w:ascii="Times New Roman" w:hAnsi="Times New Roman"/>
          <w:sz w:val="24"/>
          <w:szCs w:val="24"/>
          <w:lang w:val="sr-Cyrl-CS"/>
        </w:rPr>
        <w:t xml:space="preserve"> и да мора одлучити који износ прихода ће пријавити пореском органу, а који износ неће пријавити, појединац плаћа порез по стопи (</w:t>
      </w:r>
      <w:r>
        <w:rPr>
          <w:rFonts w:ascii="Times New Roman" w:hAnsi="Times New Roman"/>
          <w:sz w:val="24"/>
          <w:szCs w:val="24"/>
        </w:rPr>
        <w:t>t</w:t>
      </w:r>
      <w:r>
        <w:rPr>
          <w:rFonts w:ascii="Times New Roman" w:hAnsi="Times New Roman"/>
          <w:sz w:val="24"/>
          <w:szCs w:val="24"/>
          <w:lang w:val="sr-Cyrl-CS"/>
        </w:rPr>
        <w:t>) на сваки долар (</w:t>
      </w:r>
      <w:r>
        <w:rPr>
          <w:rFonts w:ascii="Times New Roman" w:hAnsi="Times New Roman"/>
          <w:sz w:val="24"/>
          <w:szCs w:val="24"/>
        </w:rPr>
        <w:t>D</w:t>
      </w:r>
      <w:r>
        <w:rPr>
          <w:rFonts w:ascii="Times New Roman" w:hAnsi="Times New Roman"/>
          <w:sz w:val="24"/>
          <w:szCs w:val="24"/>
          <w:lang w:val="sr-Cyrl-CS"/>
        </w:rPr>
        <w:t>) од прихода који је пријавио, а неће платити порез на приход који није пријавио. Међутим, појединац може да пође од вероватноће (</w:t>
      </w:r>
      <w:r>
        <w:rPr>
          <w:rFonts w:ascii="Times New Roman" w:hAnsi="Times New Roman"/>
          <w:sz w:val="24"/>
          <w:szCs w:val="24"/>
        </w:rPr>
        <w:t>p</w:t>
      </w:r>
      <w:r>
        <w:rPr>
          <w:rFonts w:ascii="Times New Roman" w:hAnsi="Times New Roman"/>
          <w:sz w:val="24"/>
          <w:szCs w:val="24"/>
          <w:lang w:val="sr-Cyrl-CS"/>
        </w:rPr>
        <w:t>) да ће непријављен приход бити откривен и да ће морати да плати казну (</w:t>
      </w:r>
      <w:r>
        <w:rPr>
          <w:rFonts w:ascii="Times New Roman" w:hAnsi="Times New Roman"/>
          <w:sz w:val="24"/>
          <w:szCs w:val="24"/>
        </w:rPr>
        <w:t>f</w:t>
      </w:r>
      <w:r>
        <w:rPr>
          <w:rFonts w:ascii="Times New Roman" w:hAnsi="Times New Roman"/>
          <w:sz w:val="24"/>
          <w:szCs w:val="24"/>
          <w:lang w:val="sr-Cyrl-CS"/>
        </w:rPr>
        <w:t>) на сваки долар на који је требао да плати порез, али није. Приход појединца (</w:t>
      </w:r>
      <w:r>
        <w:rPr>
          <w:rFonts w:ascii="Times New Roman" w:hAnsi="Times New Roman"/>
          <w:sz w:val="24"/>
          <w:szCs w:val="24"/>
        </w:rPr>
        <w:t>Ic</w:t>
      </w:r>
      <w:r>
        <w:rPr>
          <w:rFonts w:ascii="Times New Roman" w:hAnsi="Times New Roman"/>
          <w:sz w:val="24"/>
          <w:szCs w:val="24"/>
          <w:lang w:val="sr-Cyrl-CS"/>
        </w:rPr>
        <w:t>) се онда може приказати кроз следећу једначину:</w:t>
      </w:r>
    </w:p>
    <w:p w:rsidR="001E6839" w:rsidRPr="00EE5B16" w:rsidRDefault="001E6839" w:rsidP="001E6839">
      <w:pPr>
        <w:ind w:left="720"/>
        <w:jc w:val="both"/>
        <w:rPr>
          <w:rFonts w:ascii="Times New Roman" w:hAnsi="Times New Roman"/>
          <w:sz w:val="28"/>
          <w:szCs w:val="28"/>
          <w:lang w:val="sr-Cyrl-CS"/>
        </w:rPr>
      </w:pPr>
      <w:r>
        <w:rPr>
          <w:rFonts w:ascii="Times New Roman" w:hAnsi="Times New Roman"/>
          <w:sz w:val="28"/>
          <w:szCs w:val="28"/>
          <w:lang w:val="sr-Cyrl-CS"/>
        </w:rPr>
        <w:t>I</w:t>
      </w:r>
      <w:r>
        <w:rPr>
          <w:rFonts w:ascii="Times New Roman" w:hAnsi="Times New Roman"/>
          <w:sz w:val="28"/>
          <w:szCs w:val="28"/>
        </w:rPr>
        <w:t>c</w:t>
      </w:r>
      <w:r w:rsidRPr="00EE5B16">
        <w:rPr>
          <w:rFonts w:ascii="Times New Roman" w:hAnsi="Times New Roman"/>
          <w:sz w:val="28"/>
          <w:szCs w:val="28"/>
          <w:lang w:val="sr-Cyrl-CS"/>
        </w:rPr>
        <w:t>=I-tD-f[t(I-D)]</w:t>
      </w:r>
      <w:r>
        <w:rPr>
          <w:rFonts w:ascii="Times New Roman" w:hAnsi="Times New Roman"/>
          <w:sz w:val="28"/>
          <w:szCs w:val="28"/>
          <w:lang w:val="sr-Cyrl-CS"/>
        </w:rPr>
        <w:t>,</w:t>
      </w:r>
    </w:p>
    <w:p w:rsidR="001E6839" w:rsidRDefault="001E6839" w:rsidP="001E6839">
      <w:pPr>
        <w:jc w:val="both"/>
        <w:rPr>
          <w:rFonts w:ascii="Times New Roman" w:hAnsi="Times New Roman"/>
          <w:sz w:val="24"/>
          <w:szCs w:val="24"/>
          <w:lang w:val="sr-Cyrl-CS"/>
        </w:rPr>
      </w:pPr>
      <w:r>
        <w:rPr>
          <w:rFonts w:ascii="Times New Roman" w:hAnsi="Times New Roman"/>
          <w:sz w:val="24"/>
          <w:szCs w:val="24"/>
          <w:lang w:val="sr-Cyrl-CS"/>
        </w:rPr>
        <w:t xml:space="preserve">или мање плаћен порез на пријављен приход значи мању казну на непријављен приход. Уколико непријављивање није откривено, приход </w:t>
      </w:r>
      <w:r>
        <w:rPr>
          <w:rFonts w:ascii="Times New Roman" w:hAnsi="Times New Roman"/>
          <w:sz w:val="24"/>
          <w:szCs w:val="24"/>
        </w:rPr>
        <w:t>(In)</w:t>
      </w:r>
      <w:r>
        <w:rPr>
          <w:rFonts w:ascii="Times New Roman" w:hAnsi="Times New Roman"/>
          <w:sz w:val="24"/>
          <w:szCs w:val="24"/>
          <w:lang w:val="sr-Cyrl-CS"/>
        </w:rPr>
        <w:t xml:space="preserve"> је:</w:t>
      </w:r>
    </w:p>
    <w:p w:rsidR="001E6839" w:rsidRDefault="001E6839" w:rsidP="001E6839">
      <w:pPr>
        <w:ind w:left="720"/>
        <w:jc w:val="both"/>
        <w:rPr>
          <w:rFonts w:ascii="Times New Roman" w:hAnsi="Times New Roman"/>
          <w:sz w:val="28"/>
          <w:szCs w:val="28"/>
          <w:lang w:val="sr-Cyrl-CS"/>
        </w:rPr>
      </w:pPr>
      <w:r>
        <w:rPr>
          <w:rFonts w:ascii="Times New Roman" w:hAnsi="Times New Roman"/>
          <w:sz w:val="28"/>
          <w:szCs w:val="28"/>
          <w:lang w:val="sr-Cyrl-CS"/>
        </w:rPr>
        <w:t>I</w:t>
      </w:r>
      <w:r>
        <w:rPr>
          <w:rFonts w:ascii="Times New Roman" w:hAnsi="Times New Roman"/>
          <w:sz w:val="28"/>
          <w:szCs w:val="28"/>
        </w:rPr>
        <w:t>n</w:t>
      </w:r>
      <w:r w:rsidRPr="00EE5B16">
        <w:rPr>
          <w:rFonts w:ascii="Times New Roman" w:hAnsi="Times New Roman"/>
          <w:sz w:val="28"/>
          <w:szCs w:val="28"/>
          <w:lang w:val="sr-Cyrl-CS"/>
        </w:rPr>
        <w:t>=I-tD</w:t>
      </w:r>
      <w:r>
        <w:rPr>
          <w:rFonts w:ascii="Times New Roman" w:hAnsi="Times New Roman"/>
          <w:sz w:val="28"/>
          <w:szCs w:val="28"/>
          <w:lang w:val="sr-Cyrl-CS"/>
        </w:rPr>
        <w:t>,</w:t>
      </w:r>
    </w:p>
    <w:p w:rsidR="001E6839" w:rsidRDefault="001E6839" w:rsidP="001E6839">
      <w:pPr>
        <w:jc w:val="both"/>
        <w:rPr>
          <w:rFonts w:ascii="Times New Roman" w:hAnsi="Times New Roman"/>
          <w:sz w:val="24"/>
          <w:szCs w:val="24"/>
          <w:lang w:val="sr-Cyrl-CS"/>
        </w:rPr>
      </w:pPr>
      <w:r>
        <w:rPr>
          <w:rFonts w:ascii="Times New Roman" w:hAnsi="Times New Roman"/>
          <w:sz w:val="24"/>
          <w:szCs w:val="24"/>
          <w:lang w:val="sr-Cyrl-CS"/>
        </w:rPr>
        <w:t>или мање плаћен порез на пријављен приход. Повећање вероватноће откривања (</w:t>
      </w:r>
      <w:r>
        <w:rPr>
          <w:rFonts w:ascii="Times New Roman" w:hAnsi="Times New Roman"/>
          <w:sz w:val="24"/>
          <w:szCs w:val="24"/>
        </w:rPr>
        <w:t>p</w:t>
      </w:r>
      <w:r>
        <w:rPr>
          <w:rFonts w:ascii="Times New Roman" w:hAnsi="Times New Roman"/>
          <w:sz w:val="24"/>
          <w:szCs w:val="24"/>
          <w:lang w:val="sr-Cyrl-CS"/>
        </w:rPr>
        <w:t>) и висине казне (</w:t>
      </w:r>
      <w:r>
        <w:rPr>
          <w:rFonts w:ascii="Times New Roman" w:hAnsi="Times New Roman"/>
          <w:sz w:val="24"/>
          <w:szCs w:val="24"/>
        </w:rPr>
        <w:t>f</w:t>
      </w:r>
      <w:r>
        <w:rPr>
          <w:rFonts w:ascii="Times New Roman" w:hAnsi="Times New Roman"/>
          <w:sz w:val="24"/>
          <w:szCs w:val="24"/>
          <w:lang w:val="sr-Cyrl-CS"/>
        </w:rPr>
        <w:t>), несумњиво доводи до повећања пријављеног прихода. У пракси су ови односи у много сложенијој међузависности и једноставни торијски модели се не могу у потпуности применити.</w:t>
      </w:r>
    </w:p>
    <w:p w:rsidR="001E6839" w:rsidRPr="00E04259" w:rsidRDefault="001E6839" w:rsidP="001E6839">
      <w:pPr>
        <w:ind w:firstLine="708"/>
        <w:jc w:val="both"/>
        <w:rPr>
          <w:rFonts w:ascii="Times New Roman" w:hAnsi="Times New Roman"/>
          <w:sz w:val="28"/>
          <w:szCs w:val="28"/>
        </w:rPr>
      </w:pPr>
      <w:r>
        <w:rPr>
          <w:rFonts w:ascii="Times New Roman" w:hAnsi="Times New Roman"/>
          <w:sz w:val="24"/>
          <w:szCs w:val="24"/>
          <w:lang w:val="sr-Cyrl-CS"/>
        </w:rPr>
        <w:t>У сваком случају, овде се ради о занимљивом економском приступу криминалу, који даје разуман и прихватљив закључак да појединци плаћају порез због страха да ће бити откривени и кажњени. Имајући то у виду, држава треба да пооштри казнену политику и контролу плаћања пореза.  Међутим, често је казнена политика блага и казне за пореску утају ретко премашују износ утајеног пореза. Према томе, строжије санкционисање оваквог понашања има битну улогу у његовом сузбијању, али треба наћи праву меру, јер престрого санкционисање није лако за примену у пракси и повећава трошкове. Због тога, тежиште треба да буде на већем ризику пореских обвезника да ће бити откривени, те ће то утицати приликом одлучивања пореских обвезника и допринети да се смањи обим ове негативне појаве.</w:t>
      </w:r>
    </w:p>
    <w:p w:rsidR="001E6839" w:rsidRDefault="001E6839" w:rsidP="001E6839">
      <w:pPr>
        <w:ind w:firstLine="708"/>
        <w:jc w:val="both"/>
        <w:rPr>
          <w:rFonts w:ascii="Times New Roman" w:hAnsi="Times New Roman"/>
          <w:sz w:val="24"/>
          <w:szCs w:val="24"/>
          <w:lang w:val="sr-Cyrl-CS"/>
        </w:rPr>
      </w:pPr>
      <w:r>
        <w:rPr>
          <w:rFonts w:ascii="Times New Roman" w:hAnsi="Times New Roman"/>
          <w:sz w:val="24"/>
          <w:szCs w:val="24"/>
          <w:lang w:val="sr-Cyrl-CS"/>
        </w:rPr>
        <w:t xml:space="preserve"> Да би се потпуније разумели психолошки узроци избегавања плаћања пореза треба ући у сложен свет унутрашњих психолошких стања пореских обвезника који одређује њихово понашање, а то није нимало једноставно. </w:t>
      </w:r>
    </w:p>
    <w:p w:rsidR="001E6839" w:rsidRDefault="001E6839" w:rsidP="001E6839">
      <w:pPr>
        <w:ind w:firstLine="708"/>
        <w:jc w:val="both"/>
        <w:rPr>
          <w:rFonts w:ascii="Times New Roman" w:hAnsi="Times New Roman"/>
          <w:sz w:val="24"/>
          <w:szCs w:val="24"/>
          <w:lang w:val="sr-Cyrl-CS"/>
        </w:rPr>
      </w:pPr>
      <w:r>
        <w:rPr>
          <w:rFonts w:ascii="Times New Roman" w:hAnsi="Times New Roman"/>
          <w:sz w:val="24"/>
          <w:szCs w:val="24"/>
          <w:lang w:val="sr-Cyrl-CS"/>
        </w:rPr>
        <w:t>Током класичног периода економија је имала јаку везу са психологијом. Тако је на пример још Адам Смит</w:t>
      </w:r>
      <w:r>
        <w:rPr>
          <w:rFonts w:ascii="Times New Roman" w:hAnsi="Times New Roman"/>
          <w:sz w:val="24"/>
          <w:szCs w:val="24"/>
        </w:rPr>
        <w:t xml:space="preserve">, </w:t>
      </w:r>
      <w:r>
        <w:rPr>
          <w:rFonts w:ascii="Times New Roman" w:hAnsi="Times New Roman"/>
          <w:sz w:val="24"/>
          <w:szCs w:val="24"/>
          <w:lang w:val="sr-Cyrl-CS"/>
        </w:rPr>
        <w:t xml:space="preserve">оснивач политичке економије, уочио значај везе између психологије и економије. Он је описао психолошке принципе индивидуалног понашања и развио је теорију моралних осећања. У свом </w:t>
      </w:r>
      <w:r w:rsidRPr="005B57A1">
        <w:rPr>
          <w:rFonts w:ascii="Times New Roman" w:hAnsi="Times New Roman"/>
          <w:sz w:val="24"/>
          <w:szCs w:val="24"/>
          <w:lang w:val="sr-Cyrl-CS"/>
        </w:rPr>
        <w:t>истоименом</w:t>
      </w:r>
      <w:r>
        <w:rPr>
          <w:rFonts w:ascii="Times New Roman" w:hAnsi="Times New Roman"/>
          <w:sz w:val="24"/>
          <w:szCs w:val="24"/>
          <w:lang w:val="sr-Cyrl-CS"/>
        </w:rPr>
        <w:t xml:space="preserve"> делу је навео да не постоје посебни закони економије који су одвојени од људског функционисања и да је основна </w:t>
      </w:r>
      <w:r>
        <w:rPr>
          <w:rFonts w:ascii="Times New Roman" w:hAnsi="Times New Roman"/>
          <w:sz w:val="24"/>
          <w:szCs w:val="24"/>
          <w:lang w:val="sr-Cyrl-CS"/>
        </w:rPr>
        <w:lastRenderedPageBreak/>
        <w:t xml:space="preserve">морална особина корист. Међутим, већ до средине двадесетог века економија се дистанцирала од психологије. </w:t>
      </w:r>
    </w:p>
    <w:p w:rsidR="00AF24F2" w:rsidRDefault="001E6839" w:rsidP="00AF24F2">
      <w:pPr>
        <w:ind w:firstLine="708"/>
        <w:jc w:val="both"/>
        <w:rPr>
          <w:rFonts w:ascii="Times New Roman" w:hAnsi="Times New Roman"/>
          <w:sz w:val="24"/>
          <w:szCs w:val="24"/>
          <w:lang w:val="sr-Cyrl-CS"/>
        </w:rPr>
      </w:pPr>
      <w:r>
        <w:rPr>
          <w:rFonts w:ascii="Times New Roman" w:hAnsi="Times New Roman"/>
          <w:sz w:val="24"/>
          <w:szCs w:val="24"/>
          <w:lang w:val="sr-Cyrl-CS"/>
        </w:rPr>
        <w:t>Бихејвиорална економија</w:t>
      </w:r>
      <w:r w:rsidR="00C072B3">
        <w:rPr>
          <w:rFonts w:ascii="Times New Roman" w:hAnsi="Times New Roman"/>
          <w:sz w:val="24"/>
          <w:szCs w:val="24"/>
          <w:lang w:val="sr-Cyrl-CS"/>
        </w:rPr>
        <w:t>,</w:t>
      </w:r>
      <w:r>
        <w:rPr>
          <w:rFonts w:ascii="Times New Roman" w:hAnsi="Times New Roman"/>
          <w:sz w:val="24"/>
          <w:szCs w:val="24"/>
          <w:lang w:val="sr-Cyrl-CS"/>
        </w:rPr>
        <w:t xml:space="preserve"> поново враћа у фокус посматрања однос психологије и економије. </w:t>
      </w:r>
      <w:r w:rsidR="00AF24F2">
        <w:rPr>
          <w:rFonts w:ascii="Times New Roman" w:hAnsi="Times New Roman"/>
          <w:sz w:val="24"/>
          <w:szCs w:val="24"/>
          <w:lang w:val="sr-Cyrl-CS"/>
        </w:rPr>
        <w:t>Све више привлачи пажњу у домаћој и страној литератури.</w:t>
      </w:r>
      <w:r w:rsidR="00AF24F2" w:rsidRPr="00AF24F2">
        <w:rPr>
          <w:rStyle w:val="FootnoteReference"/>
          <w:rFonts w:ascii="Times New Roman" w:hAnsi="Times New Roman"/>
          <w:sz w:val="24"/>
          <w:szCs w:val="24"/>
          <w:lang w:val="sr-Cyrl-CS"/>
        </w:rPr>
        <w:t xml:space="preserve"> </w:t>
      </w:r>
      <w:r w:rsidR="00AF24F2">
        <w:rPr>
          <w:rStyle w:val="FootnoteReference"/>
          <w:rFonts w:ascii="Times New Roman" w:hAnsi="Times New Roman"/>
          <w:sz w:val="24"/>
          <w:szCs w:val="24"/>
          <w:lang w:val="sr-Cyrl-CS"/>
        </w:rPr>
        <w:footnoteReference w:id="91"/>
      </w:r>
      <w:r w:rsidR="00AF24F2">
        <w:rPr>
          <w:rFonts w:ascii="Times New Roman" w:hAnsi="Times New Roman"/>
          <w:sz w:val="24"/>
          <w:szCs w:val="24"/>
          <w:lang w:val="sr-Cyrl-CS"/>
        </w:rPr>
        <w:t xml:space="preserve"> </w:t>
      </w:r>
      <w:r>
        <w:rPr>
          <w:rFonts w:ascii="Times New Roman" w:hAnsi="Times New Roman"/>
          <w:sz w:val="24"/>
          <w:szCs w:val="24"/>
          <w:lang w:val="sr-Cyrl-CS"/>
        </w:rPr>
        <w:t xml:space="preserve">Мада је теоретичар </w:t>
      </w:r>
      <w:r>
        <w:rPr>
          <w:rFonts w:ascii="Times New Roman" w:hAnsi="Times New Roman"/>
          <w:sz w:val="24"/>
          <w:szCs w:val="24"/>
        </w:rPr>
        <w:t>Johnson Boulding</w:t>
      </w:r>
      <w:r>
        <w:rPr>
          <w:rFonts w:ascii="Times New Roman" w:hAnsi="Times New Roman"/>
          <w:sz w:val="24"/>
          <w:szCs w:val="24"/>
          <w:lang w:val="sr-Cyrl-CS"/>
        </w:rPr>
        <w:t xml:space="preserve">  термин бихејвиорална економија употребио  још 1958. године, посебно се развила у последњој деценији и поставља низ питања филозофске, историјске и методолошке природе. Она своја објашњења економских појава извлачи из психологије и социологије. Покушава да објасни како људско понашање и емоције утичу на </w:t>
      </w:r>
      <w:r w:rsidR="00AF24F2">
        <w:rPr>
          <w:rFonts w:ascii="Times New Roman" w:hAnsi="Times New Roman"/>
          <w:sz w:val="24"/>
          <w:szCs w:val="24"/>
          <w:lang w:val="sr-Cyrl-CS"/>
        </w:rPr>
        <w:t xml:space="preserve">економске одлуке. </w:t>
      </w:r>
      <w:r w:rsidR="00640112">
        <w:rPr>
          <w:rFonts w:ascii="Times New Roman" w:hAnsi="Times New Roman"/>
          <w:sz w:val="24"/>
          <w:szCs w:val="24"/>
          <w:lang w:val="sr-Cyrl-CS"/>
        </w:rPr>
        <w:t xml:space="preserve">Бихејвиорална економија није посебно поље економије. То је школа мишљења која користи доказе из психологије и других наука и примењује моделе о систематским недостацима људске рационалности, проучавајући организације, тржиште и политику. </w:t>
      </w:r>
      <w:r w:rsidR="00AF24F2">
        <w:rPr>
          <w:rFonts w:ascii="Times New Roman" w:hAnsi="Times New Roman"/>
          <w:sz w:val="24"/>
          <w:szCs w:val="24"/>
          <w:lang w:val="sr-Cyrl-CS"/>
        </w:rPr>
        <w:t xml:space="preserve">Постигла је значајан развој у полседњих петнаест година </w:t>
      </w:r>
      <w:r>
        <w:rPr>
          <w:rFonts w:ascii="Times New Roman" w:hAnsi="Times New Roman"/>
          <w:sz w:val="24"/>
          <w:szCs w:val="24"/>
          <w:lang w:val="sr-Cyrl-CS"/>
        </w:rPr>
        <w:t>зато што психологија систематски објашњава процес одлучивања, расуђивања и понашања људи, те се тако на комплетнији и другачији начин могу упознати за економију важне чињенице, него што их традиционално објашњава економија.</w:t>
      </w:r>
      <w:r w:rsidR="00AF24F2">
        <w:rPr>
          <w:rFonts w:ascii="Times New Roman" w:hAnsi="Times New Roman"/>
          <w:sz w:val="24"/>
          <w:szCs w:val="24"/>
          <w:lang w:val="sr-Cyrl-CS"/>
        </w:rPr>
        <w:t xml:space="preserve"> У страној литератури се користи израз „психолошка економија“ или „економија понашања“.</w:t>
      </w:r>
      <w:r>
        <w:rPr>
          <w:rFonts w:ascii="Times New Roman" w:hAnsi="Times New Roman"/>
          <w:sz w:val="24"/>
          <w:szCs w:val="24"/>
          <w:lang w:val="sr-Cyrl-CS"/>
        </w:rPr>
        <w:t xml:space="preserve"> </w:t>
      </w:r>
    </w:p>
    <w:p w:rsidR="001E6839" w:rsidRDefault="00C072B3" w:rsidP="001E6839">
      <w:pPr>
        <w:ind w:firstLine="708"/>
        <w:jc w:val="both"/>
        <w:rPr>
          <w:rFonts w:ascii="Times New Roman" w:hAnsi="Times New Roman"/>
          <w:sz w:val="24"/>
          <w:szCs w:val="24"/>
          <w:lang w:val="sr-Cyrl-CS"/>
        </w:rPr>
      </w:pPr>
      <w:r>
        <w:rPr>
          <w:rFonts w:ascii="Times New Roman" w:hAnsi="Times New Roman"/>
          <w:sz w:val="24"/>
          <w:szCs w:val="24"/>
          <w:lang w:val="sr-Cyrl-CS"/>
        </w:rPr>
        <w:t>Социолошке теорије</w:t>
      </w:r>
      <w:r w:rsidR="001E6839">
        <w:rPr>
          <w:rFonts w:ascii="Times New Roman" w:hAnsi="Times New Roman"/>
          <w:sz w:val="24"/>
          <w:szCs w:val="24"/>
          <w:lang w:val="sr-Cyrl-CS"/>
        </w:rPr>
        <w:t xml:space="preserve"> траже узроке промена у понашању пореских обвезника у факторима који споља делују на прихватање или неприхватање пореске обавезе. </w:t>
      </w:r>
      <w:r>
        <w:rPr>
          <w:rFonts w:ascii="Times New Roman" w:hAnsi="Times New Roman"/>
          <w:sz w:val="24"/>
          <w:szCs w:val="24"/>
          <w:lang w:val="sr-Cyrl-CS"/>
        </w:rPr>
        <w:t>Због тога</w:t>
      </w:r>
      <w:r w:rsidR="001E6839">
        <w:rPr>
          <w:rFonts w:ascii="Times New Roman" w:hAnsi="Times New Roman"/>
          <w:sz w:val="24"/>
          <w:szCs w:val="24"/>
          <w:lang w:val="sr-Cyrl-CS"/>
        </w:rPr>
        <w:t xml:space="preserve"> у истраживању ове проблематике све више </w:t>
      </w:r>
      <w:r w:rsidR="00A40364">
        <w:rPr>
          <w:rFonts w:ascii="Times New Roman" w:hAnsi="Times New Roman"/>
          <w:sz w:val="24"/>
          <w:szCs w:val="24"/>
          <w:lang w:val="sr-Cyrl-CS"/>
        </w:rPr>
        <w:t>добија на значају</w:t>
      </w:r>
      <w:r w:rsidR="001E6839">
        <w:rPr>
          <w:rFonts w:ascii="Times New Roman" w:hAnsi="Times New Roman"/>
          <w:sz w:val="24"/>
          <w:szCs w:val="24"/>
          <w:lang w:val="sr-Cyrl-CS"/>
        </w:rPr>
        <w:t xml:space="preserve"> саглашавањ</w:t>
      </w:r>
      <w:r w:rsidR="00A40364">
        <w:rPr>
          <w:rFonts w:ascii="Times New Roman" w:hAnsi="Times New Roman"/>
          <w:sz w:val="24"/>
          <w:szCs w:val="24"/>
          <w:lang w:val="sr-Cyrl-CS"/>
        </w:rPr>
        <w:t>е или несаглашавање</w:t>
      </w:r>
      <w:r w:rsidR="001E6839">
        <w:rPr>
          <w:rFonts w:ascii="Times New Roman" w:hAnsi="Times New Roman"/>
          <w:sz w:val="24"/>
          <w:szCs w:val="24"/>
          <w:lang w:val="sr-Cyrl-CS"/>
        </w:rPr>
        <w:t xml:space="preserve"> обвезника са друштвеном нормом уре</w:t>
      </w:r>
      <w:r w:rsidR="00A40364">
        <w:rPr>
          <w:rFonts w:ascii="Times New Roman" w:hAnsi="Times New Roman"/>
          <w:sz w:val="24"/>
          <w:szCs w:val="24"/>
          <w:lang w:val="sr-Cyrl-CS"/>
        </w:rPr>
        <w:t>дног испуњавања пореске обавезе. Од велкиког значаја у борби против пореске евазије је у</w:t>
      </w:r>
      <w:r w:rsidR="001E6839">
        <w:rPr>
          <w:rFonts w:ascii="Times New Roman" w:hAnsi="Times New Roman"/>
          <w:sz w:val="24"/>
          <w:szCs w:val="24"/>
          <w:lang w:val="sr-Cyrl-CS"/>
        </w:rPr>
        <w:t>колико држава успе да адекватним мерама утиче на поштовање ове друшт</w:t>
      </w:r>
      <w:r w:rsidR="00D37DF5">
        <w:rPr>
          <w:rFonts w:ascii="Times New Roman" w:hAnsi="Times New Roman"/>
          <w:sz w:val="24"/>
          <w:szCs w:val="24"/>
          <w:lang w:val="sr-Cyrl-CS"/>
        </w:rPr>
        <w:t>вене норме</w:t>
      </w:r>
      <w:r w:rsidR="00A40364">
        <w:rPr>
          <w:rFonts w:ascii="Times New Roman" w:hAnsi="Times New Roman"/>
          <w:sz w:val="24"/>
          <w:szCs w:val="24"/>
          <w:lang w:val="sr-Cyrl-CS"/>
        </w:rPr>
        <w:t>.</w:t>
      </w:r>
      <w:r w:rsidR="001E6839">
        <w:rPr>
          <w:rStyle w:val="FootnoteReference"/>
          <w:rFonts w:ascii="Times New Roman" w:hAnsi="Times New Roman"/>
          <w:sz w:val="24"/>
          <w:szCs w:val="24"/>
          <w:lang w:val="sr-Cyrl-CS"/>
        </w:rPr>
        <w:footnoteReference w:id="92"/>
      </w:r>
    </w:p>
    <w:p w:rsidR="001E6839" w:rsidRPr="00344132" w:rsidRDefault="00AD1223" w:rsidP="001E6839">
      <w:pPr>
        <w:ind w:firstLine="708"/>
        <w:jc w:val="both"/>
        <w:rPr>
          <w:rFonts w:ascii="Times New Roman" w:hAnsi="Times New Roman"/>
          <w:sz w:val="24"/>
          <w:szCs w:val="24"/>
          <w:lang w:val="sr-Cyrl-CS"/>
        </w:rPr>
      </w:pPr>
      <w:r>
        <w:rPr>
          <w:rFonts w:ascii="Times New Roman" w:hAnsi="Times New Roman"/>
          <w:sz w:val="24"/>
          <w:szCs w:val="24"/>
          <w:lang w:val="sr-Cyrl-CS"/>
        </w:rPr>
        <w:t>Избегавање плаћања пореза је значајан проблем са којим</w:t>
      </w:r>
      <w:r w:rsidR="001E6839">
        <w:rPr>
          <w:rFonts w:ascii="Times New Roman" w:hAnsi="Times New Roman"/>
          <w:sz w:val="24"/>
          <w:szCs w:val="24"/>
          <w:lang w:val="sr-Cyrl-CS"/>
        </w:rPr>
        <w:t xml:space="preserve"> се суочавају земље Европске уније. </w:t>
      </w:r>
      <w:r>
        <w:rPr>
          <w:rFonts w:ascii="Times New Roman" w:hAnsi="Times New Roman"/>
          <w:color w:val="000000"/>
          <w:sz w:val="24"/>
          <w:szCs w:val="24"/>
          <w:lang w:val="sr-Cyrl-CS"/>
        </w:rPr>
        <w:t>А</w:t>
      </w:r>
      <w:r w:rsidRPr="00344132">
        <w:rPr>
          <w:rFonts w:ascii="Times New Roman" w:hAnsi="Times New Roman"/>
          <w:color w:val="000000"/>
          <w:sz w:val="24"/>
          <w:szCs w:val="24"/>
          <w:lang w:val="sr-Cyrl-CS"/>
        </w:rPr>
        <w:t xml:space="preserve">налитичари земаља чланица Уније као решење </w:t>
      </w:r>
      <w:r>
        <w:rPr>
          <w:rFonts w:ascii="Times New Roman" w:hAnsi="Times New Roman"/>
          <w:color w:val="000000"/>
          <w:sz w:val="24"/>
          <w:szCs w:val="24"/>
          <w:lang w:val="sr-Cyrl-CS"/>
        </w:rPr>
        <w:t xml:space="preserve">против овог проблема </w:t>
      </w:r>
      <w:r w:rsidRPr="00344132">
        <w:rPr>
          <w:rFonts w:ascii="Times New Roman" w:hAnsi="Times New Roman"/>
          <w:color w:val="000000"/>
          <w:sz w:val="24"/>
          <w:szCs w:val="24"/>
          <w:lang w:val="sr-Cyrl-CS"/>
        </w:rPr>
        <w:t xml:space="preserve">препоручују мере пореске истраге </w:t>
      </w:r>
      <w:r>
        <w:rPr>
          <w:rFonts w:ascii="Times New Roman" w:hAnsi="Times New Roman"/>
          <w:color w:val="000000"/>
          <w:sz w:val="24"/>
          <w:szCs w:val="24"/>
          <w:lang w:val="sr-Cyrl-CS"/>
        </w:rPr>
        <w:t>о</w:t>
      </w:r>
      <w:r w:rsidR="001E6839" w:rsidRPr="00344132">
        <w:rPr>
          <w:rFonts w:ascii="Times New Roman" w:hAnsi="Times New Roman"/>
          <w:color w:val="000000"/>
          <w:sz w:val="24"/>
          <w:szCs w:val="24"/>
          <w:lang w:val="sr-Cyrl-CS"/>
        </w:rPr>
        <w:t>цењујући да је у земљама Европске Уније створен један нов амбијент који ствара добру подлогу за пој</w:t>
      </w:r>
      <w:r>
        <w:rPr>
          <w:rFonts w:ascii="Times New Roman" w:hAnsi="Times New Roman"/>
          <w:color w:val="000000"/>
          <w:sz w:val="24"/>
          <w:szCs w:val="24"/>
          <w:lang w:val="sr-Cyrl-CS"/>
        </w:rPr>
        <w:t>аву нових облика евазије пореза</w:t>
      </w:r>
      <w:r w:rsidR="001E6839" w:rsidRPr="00344132">
        <w:rPr>
          <w:rFonts w:ascii="Times New Roman" w:hAnsi="Times New Roman"/>
          <w:color w:val="000000"/>
          <w:sz w:val="24"/>
          <w:szCs w:val="24"/>
          <w:lang w:val="sr-Cyrl-CS"/>
        </w:rPr>
        <w:t xml:space="preserve">. Уговором Уније из Мастрихта и Амстердама установљена је надлежност Уније за питања пореске утаје и обезбеђење правних мера у борби против </w:t>
      </w:r>
      <w:r>
        <w:rPr>
          <w:rFonts w:ascii="Times New Roman" w:hAnsi="Times New Roman"/>
          <w:color w:val="000000"/>
          <w:sz w:val="24"/>
          <w:szCs w:val="24"/>
          <w:lang w:val="sr-Cyrl-CS"/>
        </w:rPr>
        <w:t>те појаве у земљама – чланицама, а о</w:t>
      </w:r>
      <w:r w:rsidR="001E6839" w:rsidRPr="00344132">
        <w:rPr>
          <w:rFonts w:ascii="Times New Roman" w:hAnsi="Times New Roman"/>
          <w:color w:val="000000"/>
          <w:sz w:val="24"/>
          <w:szCs w:val="24"/>
          <w:lang w:val="sr-Cyrl-CS"/>
        </w:rPr>
        <w:t>снован је и посебан Директорат за превентивно сузбијање пореске утаје (</w:t>
      </w:r>
      <w:r w:rsidR="001E6839">
        <w:rPr>
          <w:rFonts w:ascii="Times New Roman" w:hAnsi="Times New Roman"/>
          <w:color w:val="000000"/>
          <w:sz w:val="24"/>
          <w:szCs w:val="24"/>
        </w:rPr>
        <w:t>UCLAF</w:t>
      </w:r>
      <w:r w:rsidR="001E6839" w:rsidRPr="00344132">
        <w:rPr>
          <w:rFonts w:ascii="Times New Roman" w:hAnsi="Times New Roman"/>
          <w:color w:val="000000"/>
          <w:sz w:val="24"/>
          <w:szCs w:val="24"/>
          <w:lang w:val="sr-Cyrl-CS"/>
        </w:rPr>
        <w:t xml:space="preserve">). </w:t>
      </w:r>
      <w:r>
        <w:rPr>
          <w:rFonts w:ascii="Times New Roman" w:hAnsi="Times New Roman"/>
          <w:color w:val="000000"/>
          <w:sz w:val="24"/>
          <w:szCs w:val="24"/>
          <w:lang w:val="sr-Cyrl-CS"/>
        </w:rPr>
        <w:t>Осим тога, у</w:t>
      </w:r>
      <w:r w:rsidR="001E6839" w:rsidRPr="00344132">
        <w:rPr>
          <w:rFonts w:ascii="Times New Roman" w:hAnsi="Times New Roman"/>
          <w:color w:val="000000"/>
          <w:sz w:val="24"/>
          <w:szCs w:val="24"/>
          <w:lang w:val="sr-Cyrl-CS"/>
        </w:rPr>
        <w:t>становљена је нова врста контроле којом се налаже да са пријавом пореза на додату вредност мора да буде упозната Централна служба за комуникацију (</w:t>
      </w:r>
      <w:r w:rsidR="001E6839">
        <w:rPr>
          <w:rFonts w:ascii="Times New Roman" w:hAnsi="Times New Roman"/>
          <w:color w:val="000000"/>
          <w:sz w:val="24"/>
          <w:szCs w:val="24"/>
        </w:rPr>
        <w:t>CLO</w:t>
      </w:r>
      <w:r w:rsidR="001E6839">
        <w:rPr>
          <w:rFonts w:ascii="Times New Roman" w:hAnsi="Times New Roman"/>
          <w:color w:val="000000"/>
          <w:sz w:val="24"/>
          <w:szCs w:val="24"/>
          <w:lang w:val="sr-Cyrl-CS"/>
        </w:rPr>
        <w:t xml:space="preserve"> –</w:t>
      </w:r>
      <w:r w:rsidR="001E6839">
        <w:rPr>
          <w:rFonts w:ascii="Times New Roman" w:hAnsi="Times New Roman"/>
          <w:color w:val="000000"/>
          <w:sz w:val="24"/>
          <w:szCs w:val="24"/>
        </w:rPr>
        <w:t>Central Liason Office</w:t>
      </w:r>
      <w:r w:rsidR="001E6839" w:rsidRPr="00344132">
        <w:rPr>
          <w:rFonts w:ascii="Times New Roman" w:hAnsi="Times New Roman"/>
          <w:color w:val="000000"/>
          <w:sz w:val="24"/>
          <w:szCs w:val="24"/>
          <w:lang w:val="sr-Cyrl-CS"/>
        </w:rPr>
        <w:t xml:space="preserve">) која је формирана у свакој земљи - чланици </w:t>
      </w:r>
      <w:r w:rsidR="001E6839" w:rsidRPr="00344132">
        <w:rPr>
          <w:rFonts w:ascii="Times New Roman" w:hAnsi="Times New Roman"/>
          <w:color w:val="000000"/>
          <w:sz w:val="24"/>
          <w:szCs w:val="24"/>
          <w:lang w:val="sr-Cyrl-CS"/>
        </w:rPr>
        <w:lastRenderedPageBreak/>
        <w:t>као део пореске администрације.</w:t>
      </w:r>
      <w:r w:rsidR="001E6839" w:rsidRPr="00344132">
        <w:rPr>
          <w:rStyle w:val="FootnoteReference"/>
          <w:rFonts w:ascii="Times New Roman" w:hAnsi="Times New Roman"/>
          <w:color w:val="000000"/>
          <w:sz w:val="24"/>
          <w:szCs w:val="24"/>
          <w:lang w:val="sr-Cyrl-CS"/>
        </w:rPr>
        <w:footnoteReference w:id="93"/>
      </w:r>
      <w:r w:rsidR="001E6839" w:rsidRPr="00344132">
        <w:rPr>
          <w:rFonts w:ascii="Times New Roman" w:hAnsi="Times New Roman"/>
          <w:color w:val="000000"/>
          <w:sz w:val="24"/>
          <w:szCs w:val="24"/>
          <w:lang w:val="sr-Cyrl-CS"/>
        </w:rPr>
        <w:t xml:space="preserve"> </w:t>
      </w:r>
      <w:r w:rsidR="001E6839">
        <w:rPr>
          <w:rFonts w:ascii="Times New Roman" w:hAnsi="Times New Roman"/>
          <w:color w:val="000000"/>
          <w:sz w:val="24"/>
          <w:szCs w:val="24"/>
          <w:lang w:val="sr-Cyrl-CS"/>
        </w:rPr>
        <w:t>Осим</w:t>
      </w:r>
      <w:r w:rsidR="001E6839" w:rsidRPr="00344132">
        <w:rPr>
          <w:rFonts w:ascii="Times New Roman" w:hAnsi="Times New Roman"/>
          <w:color w:val="000000"/>
          <w:sz w:val="24"/>
          <w:szCs w:val="24"/>
          <w:lang w:val="sr-Cyrl-CS"/>
        </w:rPr>
        <w:t xml:space="preserve"> тога предузимају се бројне мере у циљу реформе пореског система, о којима ће бити више речи </w:t>
      </w:r>
      <w:r w:rsidR="001E6839">
        <w:rPr>
          <w:rFonts w:ascii="Times New Roman" w:hAnsi="Times New Roman"/>
          <w:color w:val="000000"/>
          <w:sz w:val="24"/>
          <w:szCs w:val="24"/>
          <w:lang w:val="sr-Cyrl-CS"/>
        </w:rPr>
        <w:t>у каснијем излагању</w:t>
      </w:r>
      <w:r w:rsidR="001E6839" w:rsidRPr="00344132">
        <w:rPr>
          <w:rFonts w:ascii="Times New Roman" w:hAnsi="Times New Roman"/>
          <w:color w:val="000000"/>
          <w:sz w:val="24"/>
          <w:szCs w:val="24"/>
          <w:lang w:val="sr-Cyrl-CS"/>
        </w:rPr>
        <w:t>.</w:t>
      </w:r>
    </w:p>
    <w:p w:rsidR="001E6839" w:rsidRDefault="001E6839" w:rsidP="001E6839">
      <w:pPr>
        <w:jc w:val="both"/>
        <w:rPr>
          <w:rFonts w:ascii="Times New Roman" w:hAnsi="Times New Roman"/>
          <w:sz w:val="24"/>
          <w:szCs w:val="24"/>
          <w:lang w:val="sr-Cyrl-CS"/>
        </w:rPr>
      </w:pPr>
    </w:p>
    <w:p w:rsidR="001E6839" w:rsidRPr="00285F34" w:rsidRDefault="00285F34" w:rsidP="00285F34">
      <w:pPr>
        <w:ind w:left="709"/>
        <w:jc w:val="center"/>
        <w:rPr>
          <w:rFonts w:ascii="Times New Roman" w:hAnsi="Times New Roman"/>
          <w:b/>
          <w:sz w:val="24"/>
          <w:szCs w:val="24"/>
          <w:lang w:val="sr-Cyrl-CS"/>
        </w:rPr>
      </w:pPr>
      <w:r>
        <w:rPr>
          <w:rFonts w:ascii="Times New Roman" w:hAnsi="Times New Roman"/>
          <w:b/>
          <w:sz w:val="24"/>
          <w:szCs w:val="24"/>
          <w:lang w:val="sr-Cyrl-CS"/>
        </w:rPr>
        <w:t>3.1.</w:t>
      </w:r>
      <w:r w:rsidR="001E6839" w:rsidRPr="00285F34">
        <w:rPr>
          <w:rFonts w:ascii="Times New Roman" w:hAnsi="Times New Roman"/>
          <w:b/>
          <w:sz w:val="24"/>
          <w:szCs w:val="24"/>
          <w:lang w:val="sr-Cyrl-CS"/>
        </w:rPr>
        <w:t xml:space="preserve"> Једнакост у опорезивању и границе опорезивања у контексту избегавања плаћања пореза</w:t>
      </w:r>
    </w:p>
    <w:p w:rsidR="001E6839" w:rsidRDefault="001E6839" w:rsidP="001E6839">
      <w:pPr>
        <w:pStyle w:val="ListParagraph"/>
        <w:ind w:left="1069"/>
        <w:rPr>
          <w:rFonts w:ascii="Times New Roman" w:hAnsi="Times New Roman"/>
          <w:b/>
          <w:sz w:val="24"/>
          <w:szCs w:val="24"/>
          <w:lang w:val="sr-Cyrl-CS"/>
        </w:rPr>
      </w:pPr>
    </w:p>
    <w:p w:rsidR="001E6839" w:rsidRPr="0050152D" w:rsidRDefault="001E6839" w:rsidP="001E6839">
      <w:pPr>
        <w:pStyle w:val="ListParagraph"/>
        <w:ind w:left="1069"/>
        <w:jc w:val="both"/>
        <w:rPr>
          <w:rFonts w:ascii="Times New Roman" w:hAnsi="Times New Roman"/>
          <w:b/>
          <w:sz w:val="24"/>
          <w:szCs w:val="24"/>
          <w:lang w:val="sr-Cyrl-CS"/>
        </w:rPr>
      </w:pPr>
    </w:p>
    <w:p w:rsidR="001E6839" w:rsidRDefault="001E6839" w:rsidP="001E6839">
      <w:pPr>
        <w:ind w:firstLine="360"/>
        <w:jc w:val="both"/>
        <w:rPr>
          <w:rFonts w:ascii="Times New Roman" w:hAnsi="Times New Roman"/>
          <w:sz w:val="24"/>
          <w:szCs w:val="24"/>
          <w:lang w:val="sr-Cyrl-CS"/>
        </w:rPr>
      </w:pPr>
      <w:r>
        <w:rPr>
          <w:rFonts w:ascii="Times New Roman" w:hAnsi="Times New Roman"/>
          <w:sz w:val="24"/>
          <w:szCs w:val="24"/>
          <w:lang w:val="sr-Cyrl-CS"/>
        </w:rPr>
        <w:t>Јендакост у опорезивању произилази из принципа једнакости грађана пред законом, као темеља владавине права. У Уставу Републике Србије</w:t>
      </w:r>
      <w:r>
        <w:rPr>
          <w:rStyle w:val="FootnoteReference"/>
          <w:rFonts w:ascii="Times New Roman" w:hAnsi="Times New Roman"/>
          <w:sz w:val="24"/>
          <w:szCs w:val="24"/>
          <w:lang w:val="sr-Cyrl-CS"/>
        </w:rPr>
        <w:footnoteReference w:id="94"/>
      </w:r>
      <w:r>
        <w:rPr>
          <w:rFonts w:ascii="Times New Roman" w:hAnsi="Times New Roman"/>
          <w:sz w:val="24"/>
          <w:szCs w:val="24"/>
          <w:lang w:val="sr-Cyrl-CS"/>
        </w:rPr>
        <w:t xml:space="preserve"> је дефинисано да је наша држава заснована на владавини права и социјалној правди, начелима грађанске демократије, људским и мањинским правима и слободама и припадности европским принципима и вредностима, дакле ради се о правној држави. Сви грађани су једнаки пред законом, па је и пореска обавеза општа. Општост пореске обавезе је услов правичности, јер сви грађани морају да учествују у плаћању пореза, као што сви грађани имају право да користе услуге државе. Према томе, према домаћем праву обавеза плаћања пореза и других дажбина је општа и заснива се на економској моћи пореског обвезника.</w:t>
      </w:r>
      <w:r>
        <w:rPr>
          <w:rStyle w:val="FootnoteReference"/>
          <w:rFonts w:ascii="Times New Roman" w:hAnsi="Times New Roman"/>
          <w:sz w:val="24"/>
          <w:szCs w:val="24"/>
          <w:lang w:val="sr-Cyrl-CS"/>
        </w:rPr>
        <w:footnoteReference w:id="95"/>
      </w:r>
      <w:r>
        <w:rPr>
          <w:rFonts w:ascii="Times New Roman" w:hAnsi="Times New Roman"/>
          <w:sz w:val="24"/>
          <w:szCs w:val="24"/>
          <w:lang w:val="sr-Cyrl-CS"/>
        </w:rPr>
        <w:t xml:space="preserve"> </w:t>
      </w:r>
    </w:p>
    <w:p w:rsidR="001E6839" w:rsidRDefault="001E6839" w:rsidP="001E6839">
      <w:pPr>
        <w:ind w:firstLine="708"/>
        <w:jc w:val="both"/>
        <w:rPr>
          <w:rFonts w:ascii="Times New Roman" w:hAnsi="Times New Roman"/>
          <w:sz w:val="24"/>
          <w:szCs w:val="24"/>
          <w:lang w:val="sr-Cyrl-CS"/>
        </w:rPr>
      </w:pPr>
      <w:r>
        <w:rPr>
          <w:rFonts w:ascii="Times New Roman" w:hAnsi="Times New Roman"/>
          <w:sz w:val="24"/>
          <w:szCs w:val="24"/>
          <w:lang w:val="sr-Cyrl-CS"/>
        </w:rPr>
        <w:t xml:space="preserve">Држава је ограничена  концептом владавине права приликом одређивања начина на који ће финансирати своје активности. Према томе и доношење и спровођење пореских закона не може бити мимо правне државе и опорезивање се може вршити само на основу закона. Пореска област је осим закона регулисана и подзаконским актима и то: уредбама, одлукама и правилницима, којима се ближе уређују права и обавезе пореских дужника </w:t>
      </w:r>
    </w:p>
    <w:p w:rsidR="001E6839" w:rsidRDefault="001E6839" w:rsidP="00465488">
      <w:pPr>
        <w:ind w:firstLine="360"/>
        <w:jc w:val="both"/>
        <w:rPr>
          <w:rFonts w:ascii="Times New Roman" w:hAnsi="Times New Roman"/>
          <w:sz w:val="24"/>
          <w:szCs w:val="24"/>
          <w:lang w:val="sr-Cyrl-CS"/>
        </w:rPr>
      </w:pPr>
      <w:r>
        <w:rPr>
          <w:rFonts w:ascii="Times New Roman" w:hAnsi="Times New Roman"/>
          <w:sz w:val="24"/>
          <w:szCs w:val="24"/>
          <w:lang w:val="sr-Cyrl-CS"/>
        </w:rPr>
        <w:t xml:space="preserve">Идеја једнакости у опорезивању тумачена је на различите начине. </w:t>
      </w:r>
      <w:r w:rsidRPr="0050152D">
        <w:rPr>
          <w:rFonts w:ascii="Times New Roman" w:hAnsi="Times New Roman"/>
          <w:sz w:val="24"/>
          <w:szCs w:val="24"/>
        </w:rPr>
        <w:t>John Stuart Mill</w:t>
      </w:r>
      <w:r>
        <w:rPr>
          <w:rFonts w:ascii="Times New Roman" w:hAnsi="Times New Roman"/>
          <w:sz w:val="24"/>
          <w:szCs w:val="24"/>
        </w:rPr>
        <w:t xml:space="preserve"> </w:t>
      </w:r>
      <w:r>
        <w:rPr>
          <w:rFonts w:ascii="Times New Roman" w:hAnsi="Times New Roman"/>
          <w:sz w:val="24"/>
          <w:szCs w:val="24"/>
          <w:lang w:val="sr-Cyrl-CS"/>
        </w:rPr>
        <w:t>је сматрао да једнакост у опорезивању значи једнакост жртве и да се прогресивним опорезивањем кажњавају они који напорније раде и штеде више, па је због тога прогресивно опорезивање попут неког блажег облика пљачке. Он се залагао за једнаку стопу пореза без обзира на приходе. Касније су његова схватања била више социјалистички оријентисана, али су основни ставови о једнакости опорезивања остали непромењени.</w:t>
      </w:r>
    </w:p>
    <w:p w:rsidR="001E6839" w:rsidRPr="00B50697" w:rsidRDefault="001E6839" w:rsidP="00B50697">
      <w:pPr>
        <w:ind w:firstLine="360"/>
        <w:jc w:val="both"/>
        <w:rPr>
          <w:rFonts w:ascii="Times New Roman" w:hAnsi="Times New Roman"/>
          <w:sz w:val="24"/>
          <w:szCs w:val="24"/>
        </w:rPr>
      </w:pPr>
      <w:r>
        <w:rPr>
          <w:rFonts w:ascii="Times New Roman" w:hAnsi="Times New Roman"/>
          <w:sz w:val="24"/>
          <w:szCs w:val="24"/>
          <w:lang w:val="sr-Cyrl-CS"/>
        </w:rPr>
        <w:t xml:space="preserve">У политичкој филозофији друштвени уговор или политичка теорија представља теорију која је настала у време просветитељства и између осталог се бави питањем легитимности државе над појединцем. Заговорници ове теорије сматрају да појединци предају део својих слобода држави у замену за заштиту својих права. Творац ове </w:t>
      </w:r>
      <w:r>
        <w:rPr>
          <w:rFonts w:ascii="Times New Roman" w:hAnsi="Times New Roman"/>
          <w:sz w:val="24"/>
          <w:szCs w:val="24"/>
          <w:lang w:val="sr-Cyrl-CS"/>
        </w:rPr>
        <w:lastRenderedPageBreak/>
        <w:t xml:space="preserve">теорије је </w:t>
      </w:r>
      <w:r>
        <w:rPr>
          <w:rFonts w:ascii="Times New Roman" w:hAnsi="Times New Roman"/>
          <w:sz w:val="24"/>
          <w:szCs w:val="24"/>
        </w:rPr>
        <w:t xml:space="preserve">Jean Jacques Rousseau. </w:t>
      </w:r>
      <w:r>
        <w:rPr>
          <w:rFonts w:ascii="Times New Roman" w:hAnsi="Times New Roman"/>
          <w:sz w:val="24"/>
          <w:szCs w:val="24"/>
          <w:lang w:val="sr-Cyrl-CS"/>
        </w:rPr>
        <w:t xml:space="preserve">Иако се зачеци ове теорије налазе још у античко доба, у грчкој и стоичкој филозофији, врхунац ове теорије био је  од средине седамнаестог до почетком деветнаестог века, а међу најистакнутије представнике теорије друштвеног уговора и природних права спадају </w:t>
      </w:r>
      <w:r w:rsidRPr="0050152D">
        <w:rPr>
          <w:rFonts w:ascii="Times New Roman" w:hAnsi="Times New Roman"/>
          <w:sz w:val="24"/>
          <w:szCs w:val="24"/>
          <w:lang w:val="sr-Cyrl-CS"/>
        </w:rPr>
        <w:t xml:space="preserve">Томас Хобс, Џон Лок, Жан Жак Русо и Имануел Кант. </w:t>
      </w:r>
      <w:r>
        <w:rPr>
          <w:rFonts w:ascii="Times New Roman" w:hAnsi="Times New Roman"/>
          <w:sz w:val="24"/>
          <w:szCs w:val="24"/>
          <w:lang w:val="sr-Cyrl-CS"/>
        </w:rPr>
        <w:t>Сваки од њих је на различите начине тумачио проблем политичког ауторитета. Хобс је тврдио да се људи добровољно одричу својих права у корист апсолутног ауторитета власти. Лок је веровао да су природна права неотуђива и да је због тога владавина Бога замењена владавином државног органа. Русо је веровао да је демократија најбољи начин да се осигура опште благостање, уз одржавање личне слободе у складу са владавином права.</w:t>
      </w:r>
    </w:p>
    <w:p w:rsidR="001E6839" w:rsidRDefault="001E6839" w:rsidP="00B50697">
      <w:pPr>
        <w:ind w:firstLine="360"/>
        <w:jc w:val="both"/>
        <w:rPr>
          <w:rFonts w:ascii="Times New Roman" w:hAnsi="Times New Roman"/>
          <w:sz w:val="24"/>
          <w:szCs w:val="24"/>
          <w:lang w:val="sr-Cyrl-CS"/>
        </w:rPr>
      </w:pPr>
      <w:r>
        <w:rPr>
          <w:rFonts w:ascii="Times New Roman" w:hAnsi="Times New Roman"/>
          <w:sz w:val="24"/>
          <w:szCs w:val="24"/>
          <w:lang w:val="sr-Cyrl-CS"/>
        </w:rPr>
        <w:t xml:space="preserve"> Правичност опорезивања се најчешће везује за економску снагу пореског обвезника, односно за његов доходак, потрошњу или имовину. Од тога се полази при расподели пореског терета. Правичност треба да буде остварена у хоризонталном и вертикалном смислу. Код хоризоталне правичности лица са истом економском снагом треба да плате исти, а код вертикалне правичности лица са већом економском снагом треба да плате већи порез. </w:t>
      </w:r>
    </w:p>
    <w:p w:rsidR="00451329" w:rsidRPr="00B50697" w:rsidRDefault="00451329" w:rsidP="00451329">
      <w:pPr>
        <w:ind w:firstLine="360"/>
        <w:jc w:val="both"/>
        <w:rPr>
          <w:rFonts w:ascii="Times New Roman" w:hAnsi="Times New Roman"/>
          <w:sz w:val="24"/>
          <w:szCs w:val="24"/>
        </w:rPr>
      </w:pPr>
      <w:r>
        <w:rPr>
          <w:rFonts w:ascii="Times New Roman" w:hAnsi="Times New Roman"/>
          <w:sz w:val="24"/>
          <w:szCs w:val="24"/>
          <w:lang w:val="sr-Cyrl-CS"/>
        </w:rPr>
        <w:t>Ови принципи су садржани још у начелима која је формулисао А. Смит, који наводи четири принципа у форми канона:</w:t>
      </w:r>
    </w:p>
    <w:p w:rsidR="00451329" w:rsidRDefault="00451329" w:rsidP="00451329">
      <w:pPr>
        <w:ind w:firstLine="360"/>
        <w:jc w:val="both"/>
        <w:rPr>
          <w:rFonts w:ascii="Times New Roman" w:hAnsi="Times New Roman"/>
          <w:sz w:val="24"/>
          <w:szCs w:val="24"/>
          <w:lang w:val="sr-Cyrl-CS"/>
        </w:rPr>
      </w:pPr>
      <w:r>
        <w:rPr>
          <w:rFonts w:ascii="Times New Roman" w:hAnsi="Times New Roman"/>
          <w:sz w:val="24"/>
          <w:szCs w:val="24"/>
          <w:lang w:val="sr-Cyrl-CS"/>
        </w:rPr>
        <w:t>-сваки грађанин је дужан да</w:t>
      </w:r>
      <w:r w:rsidR="004E3750">
        <w:rPr>
          <w:rFonts w:ascii="Times New Roman" w:hAnsi="Times New Roman"/>
          <w:sz w:val="24"/>
          <w:szCs w:val="24"/>
          <w:lang w:val="sr-Cyrl-CS"/>
        </w:rPr>
        <w:t xml:space="preserve"> плаћа порез држави према својим</w:t>
      </w:r>
      <w:r>
        <w:rPr>
          <w:rFonts w:ascii="Times New Roman" w:hAnsi="Times New Roman"/>
          <w:sz w:val="24"/>
          <w:szCs w:val="24"/>
          <w:lang w:val="sr-Cyrl-CS"/>
        </w:rPr>
        <w:t xml:space="preserve"> могућностима,</w:t>
      </w:r>
    </w:p>
    <w:p w:rsidR="00451329" w:rsidRDefault="00451329" w:rsidP="00451329">
      <w:pPr>
        <w:ind w:firstLine="360"/>
        <w:jc w:val="both"/>
        <w:rPr>
          <w:rFonts w:ascii="Times New Roman" w:hAnsi="Times New Roman"/>
          <w:sz w:val="24"/>
          <w:szCs w:val="24"/>
          <w:lang w:val="sr-Cyrl-CS"/>
        </w:rPr>
      </w:pPr>
      <w:r>
        <w:rPr>
          <w:rFonts w:ascii="Times New Roman" w:hAnsi="Times New Roman"/>
          <w:sz w:val="24"/>
          <w:szCs w:val="24"/>
          <w:lang w:val="sr-Cyrl-CS"/>
        </w:rPr>
        <w:t>-</w:t>
      </w:r>
      <w:r w:rsidR="004E3750">
        <w:rPr>
          <w:rFonts w:ascii="Times New Roman" w:hAnsi="Times New Roman"/>
          <w:sz w:val="24"/>
          <w:szCs w:val="24"/>
          <w:lang w:val="sr-Cyrl-CS"/>
        </w:rPr>
        <w:t xml:space="preserve">време, место и начин плаћања пореза </w:t>
      </w:r>
      <w:r>
        <w:rPr>
          <w:rFonts w:ascii="Times New Roman" w:hAnsi="Times New Roman"/>
          <w:sz w:val="24"/>
          <w:szCs w:val="24"/>
          <w:lang w:val="sr-Cyrl-CS"/>
        </w:rPr>
        <w:t xml:space="preserve">треба да буду </w:t>
      </w:r>
      <w:r w:rsidR="004E3750">
        <w:rPr>
          <w:rFonts w:ascii="Times New Roman" w:hAnsi="Times New Roman"/>
          <w:sz w:val="24"/>
          <w:szCs w:val="24"/>
          <w:lang w:val="sr-Cyrl-CS"/>
        </w:rPr>
        <w:t xml:space="preserve">одређени и </w:t>
      </w:r>
      <w:r>
        <w:rPr>
          <w:rFonts w:ascii="Times New Roman" w:hAnsi="Times New Roman"/>
          <w:sz w:val="24"/>
          <w:szCs w:val="24"/>
          <w:lang w:val="sr-Cyrl-CS"/>
        </w:rPr>
        <w:t xml:space="preserve">познати пореском обвезнику </w:t>
      </w:r>
      <w:r w:rsidR="004E3750">
        <w:rPr>
          <w:rFonts w:ascii="Times New Roman" w:hAnsi="Times New Roman"/>
          <w:sz w:val="24"/>
          <w:szCs w:val="24"/>
          <w:lang w:val="sr-Cyrl-CS"/>
        </w:rPr>
        <w:t>јер неодређеност пореза фаворизује корупцију</w:t>
      </w:r>
      <w:r>
        <w:rPr>
          <w:rFonts w:ascii="Times New Roman" w:hAnsi="Times New Roman"/>
          <w:sz w:val="24"/>
          <w:szCs w:val="24"/>
          <w:lang w:val="sr-Cyrl-CS"/>
        </w:rPr>
        <w:t>,</w:t>
      </w:r>
    </w:p>
    <w:p w:rsidR="00451329" w:rsidRDefault="004E3750" w:rsidP="00451329">
      <w:pPr>
        <w:ind w:firstLine="360"/>
        <w:jc w:val="both"/>
        <w:rPr>
          <w:rFonts w:ascii="Times New Roman" w:hAnsi="Times New Roman"/>
          <w:sz w:val="24"/>
          <w:szCs w:val="24"/>
          <w:lang w:val="sr-Cyrl-CS"/>
        </w:rPr>
      </w:pPr>
      <w:r>
        <w:rPr>
          <w:rFonts w:ascii="Times New Roman" w:hAnsi="Times New Roman"/>
          <w:sz w:val="24"/>
          <w:szCs w:val="24"/>
          <w:lang w:val="sr-Cyrl-CS"/>
        </w:rPr>
        <w:t>-порез се плаћа у најпогодније време и онда када је то за пореског обвезника најповољније</w:t>
      </w:r>
      <w:r w:rsidR="00451329">
        <w:rPr>
          <w:rFonts w:ascii="Times New Roman" w:hAnsi="Times New Roman"/>
          <w:sz w:val="24"/>
          <w:szCs w:val="24"/>
          <w:lang w:val="sr-Cyrl-CS"/>
        </w:rPr>
        <w:t>,</w:t>
      </w:r>
    </w:p>
    <w:p w:rsidR="00451329" w:rsidRPr="00451329" w:rsidRDefault="00451329" w:rsidP="00451329">
      <w:pPr>
        <w:ind w:firstLine="360"/>
        <w:jc w:val="both"/>
        <w:rPr>
          <w:rFonts w:ascii="Times New Roman" w:hAnsi="Times New Roman"/>
          <w:sz w:val="24"/>
          <w:szCs w:val="24"/>
          <w:lang w:val="sr-Cyrl-CS"/>
        </w:rPr>
      </w:pPr>
      <w:r>
        <w:rPr>
          <w:rFonts w:ascii="Times New Roman" w:hAnsi="Times New Roman"/>
          <w:sz w:val="24"/>
          <w:szCs w:val="24"/>
          <w:lang w:val="sr-Cyrl-CS"/>
        </w:rPr>
        <w:t>-пореска администрација треба да има што мање трошкова.</w:t>
      </w:r>
      <w:r>
        <w:rPr>
          <w:rStyle w:val="FootnoteReference"/>
          <w:rFonts w:ascii="Times New Roman" w:hAnsi="Times New Roman"/>
          <w:sz w:val="24"/>
          <w:szCs w:val="24"/>
          <w:lang w:val="sr-Cyrl-CS"/>
        </w:rPr>
        <w:footnoteReference w:id="96"/>
      </w:r>
      <w:r>
        <w:rPr>
          <w:rFonts w:ascii="Times New Roman" w:hAnsi="Times New Roman"/>
          <w:sz w:val="24"/>
          <w:szCs w:val="24"/>
          <w:lang w:val="sr-Cyrl-CS"/>
        </w:rPr>
        <w:t xml:space="preserve"> </w:t>
      </w:r>
    </w:p>
    <w:p w:rsidR="001E6839" w:rsidRPr="00B50697" w:rsidRDefault="001E6839" w:rsidP="00B50697">
      <w:pPr>
        <w:ind w:firstLine="360"/>
        <w:jc w:val="both"/>
        <w:rPr>
          <w:rFonts w:ascii="Times New Roman" w:hAnsi="Times New Roman"/>
          <w:sz w:val="24"/>
          <w:szCs w:val="24"/>
        </w:rPr>
      </w:pPr>
      <w:r w:rsidRPr="00CC13BC">
        <w:rPr>
          <w:rFonts w:ascii="Times New Roman" w:hAnsi="Times New Roman"/>
          <w:sz w:val="24"/>
          <w:szCs w:val="24"/>
          <w:lang w:val="sr-Cyrl-CS"/>
        </w:rPr>
        <w:t xml:space="preserve">У теорији и пракси није јасно </w:t>
      </w:r>
      <w:r>
        <w:rPr>
          <w:rFonts w:ascii="Times New Roman" w:hAnsi="Times New Roman"/>
          <w:sz w:val="24"/>
          <w:szCs w:val="24"/>
          <w:lang w:val="sr-Cyrl-CS"/>
        </w:rPr>
        <w:t xml:space="preserve">повучена линија између доње и горње границе у висини пореског оптерећења. Право сваке државе да уводи порезе је утврђено уставом. </w:t>
      </w:r>
      <w:r w:rsidRPr="00B03FF4">
        <w:rPr>
          <w:rFonts w:ascii="Times New Roman" w:hAnsi="Times New Roman"/>
          <w:sz w:val="24"/>
          <w:szCs w:val="24"/>
          <w:lang w:val="sr-Cyrl-CS"/>
        </w:rPr>
        <w:t xml:space="preserve">У Уставу Републике Србије </w:t>
      </w:r>
      <w:r>
        <w:rPr>
          <w:rFonts w:ascii="Times New Roman" w:hAnsi="Times New Roman"/>
          <w:sz w:val="24"/>
          <w:szCs w:val="24"/>
          <w:lang w:val="sr-Cyrl-CS"/>
        </w:rPr>
        <w:t xml:space="preserve">у делу у коме се говори о јавним финансијама </w:t>
      </w:r>
      <w:r w:rsidRPr="00B03FF4">
        <w:rPr>
          <w:rFonts w:ascii="Times New Roman" w:hAnsi="Times New Roman"/>
          <w:sz w:val="24"/>
          <w:szCs w:val="24"/>
          <w:lang w:val="sr-Cyrl-CS"/>
        </w:rPr>
        <w:t xml:space="preserve">се наводи </w:t>
      </w:r>
      <w:r>
        <w:rPr>
          <w:rFonts w:ascii="Times New Roman" w:hAnsi="Times New Roman"/>
          <w:sz w:val="24"/>
          <w:szCs w:val="24"/>
          <w:lang w:val="sr-Cyrl-CS"/>
        </w:rPr>
        <w:t xml:space="preserve">у чл. 91. да се </w:t>
      </w:r>
      <w:r w:rsidRPr="00903FA6">
        <w:rPr>
          <w:rFonts w:ascii="Times New Roman" w:hAnsi="Times New Roman"/>
          <w:sz w:val="24"/>
          <w:szCs w:val="24"/>
          <w:lang w:val="sr-Cyrl-CS"/>
        </w:rPr>
        <w:t xml:space="preserve"> </w:t>
      </w:r>
      <w:r>
        <w:rPr>
          <w:rFonts w:ascii="Times New Roman" w:hAnsi="Times New Roman"/>
          <w:sz w:val="24"/>
          <w:szCs w:val="24"/>
          <w:lang w:val="sr-Cyrl-CS"/>
        </w:rPr>
        <w:t>средства</w:t>
      </w:r>
      <w:r w:rsidRPr="00903FA6">
        <w:rPr>
          <w:rFonts w:ascii="Times New Roman" w:hAnsi="Times New Roman"/>
          <w:sz w:val="24"/>
          <w:szCs w:val="24"/>
          <w:lang w:val="sr-Cyrl-CS"/>
        </w:rPr>
        <w:t xml:space="preserve"> </w:t>
      </w:r>
      <w:r>
        <w:rPr>
          <w:rFonts w:ascii="Times New Roman" w:hAnsi="Times New Roman"/>
          <w:sz w:val="24"/>
          <w:szCs w:val="24"/>
          <w:lang w:val="sr-Cyrl-CS"/>
        </w:rPr>
        <w:t>из</w:t>
      </w:r>
      <w:r w:rsidRPr="00903FA6">
        <w:rPr>
          <w:rFonts w:ascii="Times New Roman" w:hAnsi="Times New Roman"/>
          <w:sz w:val="24"/>
          <w:szCs w:val="24"/>
          <w:lang w:val="sr-Cyrl-CS"/>
        </w:rPr>
        <w:t xml:space="preserve"> </w:t>
      </w:r>
      <w:r>
        <w:rPr>
          <w:rFonts w:ascii="Times New Roman" w:hAnsi="Times New Roman"/>
          <w:sz w:val="24"/>
          <w:szCs w:val="24"/>
          <w:lang w:val="sr-Cyrl-CS"/>
        </w:rPr>
        <w:t>којих</w:t>
      </w:r>
      <w:r w:rsidRPr="00903FA6">
        <w:rPr>
          <w:rFonts w:ascii="Times New Roman" w:hAnsi="Times New Roman"/>
          <w:sz w:val="24"/>
          <w:szCs w:val="24"/>
          <w:lang w:val="sr-Cyrl-CS"/>
        </w:rPr>
        <w:t xml:space="preserve"> </w:t>
      </w:r>
      <w:r>
        <w:rPr>
          <w:rFonts w:ascii="Times New Roman" w:hAnsi="Times New Roman"/>
          <w:sz w:val="24"/>
          <w:szCs w:val="24"/>
          <w:lang w:val="sr-Cyrl-CS"/>
        </w:rPr>
        <w:t>се</w:t>
      </w:r>
      <w:r w:rsidRPr="00903FA6">
        <w:rPr>
          <w:rFonts w:ascii="Times New Roman" w:hAnsi="Times New Roman"/>
          <w:sz w:val="24"/>
          <w:szCs w:val="24"/>
          <w:lang w:val="sr-Cyrl-CS"/>
        </w:rPr>
        <w:t xml:space="preserve"> </w:t>
      </w:r>
      <w:r>
        <w:rPr>
          <w:rFonts w:ascii="Times New Roman" w:hAnsi="Times New Roman"/>
          <w:sz w:val="24"/>
          <w:szCs w:val="24"/>
          <w:lang w:val="sr-Cyrl-CS"/>
        </w:rPr>
        <w:t>финансирају</w:t>
      </w:r>
      <w:r w:rsidRPr="00903FA6">
        <w:rPr>
          <w:rFonts w:ascii="Times New Roman" w:hAnsi="Times New Roman"/>
          <w:sz w:val="24"/>
          <w:szCs w:val="24"/>
          <w:lang w:val="sr-Cyrl-CS"/>
        </w:rPr>
        <w:t xml:space="preserve"> </w:t>
      </w:r>
      <w:r>
        <w:rPr>
          <w:rFonts w:ascii="Times New Roman" w:hAnsi="Times New Roman"/>
          <w:sz w:val="24"/>
          <w:szCs w:val="24"/>
          <w:lang w:val="sr-Cyrl-CS"/>
        </w:rPr>
        <w:t>надлежности</w:t>
      </w:r>
      <w:r w:rsidRPr="00903FA6">
        <w:rPr>
          <w:rFonts w:ascii="Times New Roman" w:hAnsi="Times New Roman"/>
          <w:sz w:val="24"/>
          <w:szCs w:val="24"/>
          <w:lang w:val="sr-Cyrl-CS"/>
        </w:rPr>
        <w:t xml:space="preserve"> </w:t>
      </w:r>
      <w:r>
        <w:rPr>
          <w:rFonts w:ascii="Times New Roman" w:hAnsi="Times New Roman"/>
          <w:sz w:val="24"/>
          <w:szCs w:val="24"/>
          <w:lang w:val="sr-Cyrl-CS"/>
        </w:rPr>
        <w:t>Републике</w:t>
      </w:r>
      <w:r w:rsidRPr="00903FA6">
        <w:rPr>
          <w:rFonts w:ascii="Times New Roman" w:hAnsi="Times New Roman"/>
          <w:sz w:val="24"/>
          <w:szCs w:val="24"/>
          <w:lang w:val="sr-Cyrl-CS"/>
        </w:rPr>
        <w:t xml:space="preserve"> </w:t>
      </w:r>
      <w:r>
        <w:rPr>
          <w:rFonts w:ascii="Times New Roman" w:hAnsi="Times New Roman"/>
          <w:sz w:val="24"/>
          <w:szCs w:val="24"/>
          <w:lang w:val="sr-Cyrl-CS"/>
        </w:rPr>
        <w:t>Србије</w:t>
      </w:r>
      <w:r w:rsidRPr="00903FA6">
        <w:rPr>
          <w:rFonts w:ascii="Times New Roman" w:hAnsi="Times New Roman"/>
          <w:sz w:val="24"/>
          <w:szCs w:val="24"/>
          <w:lang w:val="sr-Cyrl-CS"/>
        </w:rPr>
        <w:t xml:space="preserve">, </w:t>
      </w:r>
      <w:r>
        <w:rPr>
          <w:rFonts w:ascii="Times New Roman" w:hAnsi="Times New Roman"/>
          <w:sz w:val="24"/>
          <w:szCs w:val="24"/>
          <w:lang w:val="sr-Cyrl-CS"/>
        </w:rPr>
        <w:t>аутономних</w:t>
      </w:r>
      <w:r w:rsidRPr="00903FA6">
        <w:rPr>
          <w:rFonts w:ascii="Times New Roman" w:hAnsi="Times New Roman"/>
          <w:sz w:val="24"/>
          <w:szCs w:val="24"/>
          <w:lang w:val="sr-Cyrl-CS"/>
        </w:rPr>
        <w:t xml:space="preserve"> </w:t>
      </w:r>
      <w:r>
        <w:rPr>
          <w:rFonts w:ascii="Times New Roman" w:hAnsi="Times New Roman"/>
          <w:sz w:val="24"/>
          <w:szCs w:val="24"/>
          <w:lang w:val="sr-Cyrl-CS"/>
        </w:rPr>
        <w:t>покрајина</w:t>
      </w:r>
      <w:r w:rsidRPr="00903FA6">
        <w:rPr>
          <w:rFonts w:ascii="Times New Roman" w:hAnsi="Times New Roman"/>
          <w:sz w:val="24"/>
          <w:szCs w:val="24"/>
          <w:lang w:val="sr-Cyrl-CS"/>
        </w:rPr>
        <w:t xml:space="preserve"> </w:t>
      </w:r>
      <w:r>
        <w:rPr>
          <w:rFonts w:ascii="Times New Roman" w:hAnsi="Times New Roman"/>
          <w:sz w:val="24"/>
          <w:szCs w:val="24"/>
          <w:lang w:val="sr-Cyrl-CS"/>
        </w:rPr>
        <w:t>и</w:t>
      </w:r>
      <w:r w:rsidRPr="00903FA6">
        <w:rPr>
          <w:rFonts w:ascii="Times New Roman" w:hAnsi="Times New Roman"/>
          <w:sz w:val="24"/>
          <w:szCs w:val="24"/>
          <w:lang w:val="sr-Cyrl-CS"/>
        </w:rPr>
        <w:t xml:space="preserve"> </w:t>
      </w:r>
      <w:r>
        <w:rPr>
          <w:rFonts w:ascii="Times New Roman" w:hAnsi="Times New Roman"/>
          <w:sz w:val="24"/>
          <w:szCs w:val="24"/>
          <w:lang w:val="sr-Cyrl-CS"/>
        </w:rPr>
        <w:t>јединица</w:t>
      </w:r>
      <w:r w:rsidRPr="00903FA6">
        <w:rPr>
          <w:rFonts w:ascii="Times New Roman" w:hAnsi="Times New Roman"/>
          <w:sz w:val="24"/>
          <w:szCs w:val="24"/>
          <w:lang w:val="sr-Cyrl-CS"/>
        </w:rPr>
        <w:t xml:space="preserve"> </w:t>
      </w:r>
      <w:r>
        <w:rPr>
          <w:rFonts w:ascii="Times New Roman" w:hAnsi="Times New Roman"/>
          <w:sz w:val="24"/>
          <w:szCs w:val="24"/>
          <w:lang w:val="sr-Cyrl-CS"/>
        </w:rPr>
        <w:t xml:space="preserve">локалне самоуправе обезбеђују </w:t>
      </w:r>
      <w:r w:rsidRPr="00903FA6">
        <w:rPr>
          <w:rFonts w:ascii="Times New Roman" w:hAnsi="Times New Roman"/>
          <w:sz w:val="24"/>
          <w:szCs w:val="24"/>
          <w:lang w:val="sr-Cyrl-CS"/>
        </w:rPr>
        <w:t xml:space="preserve"> </w:t>
      </w:r>
      <w:r>
        <w:rPr>
          <w:rFonts w:ascii="Times New Roman" w:hAnsi="Times New Roman"/>
          <w:sz w:val="24"/>
          <w:szCs w:val="24"/>
          <w:lang w:val="sr-Cyrl-CS"/>
        </w:rPr>
        <w:t>из</w:t>
      </w:r>
      <w:r w:rsidRPr="00903FA6">
        <w:rPr>
          <w:rFonts w:ascii="Times New Roman" w:hAnsi="Times New Roman"/>
          <w:sz w:val="24"/>
          <w:szCs w:val="24"/>
          <w:lang w:val="sr-Cyrl-CS"/>
        </w:rPr>
        <w:t xml:space="preserve"> </w:t>
      </w:r>
      <w:r>
        <w:rPr>
          <w:rFonts w:ascii="Times New Roman" w:hAnsi="Times New Roman"/>
          <w:sz w:val="24"/>
          <w:szCs w:val="24"/>
          <w:lang w:val="sr-Cyrl-CS"/>
        </w:rPr>
        <w:t>пореза</w:t>
      </w:r>
      <w:r w:rsidRPr="00903FA6">
        <w:rPr>
          <w:rFonts w:ascii="Times New Roman" w:hAnsi="Times New Roman"/>
          <w:sz w:val="24"/>
          <w:szCs w:val="24"/>
          <w:lang w:val="sr-Cyrl-CS"/>
        </w:rPr>
        <w:t xml:space="preserve"> </w:t>
      </w:r>
      <w:r>
        <w:rPr>
          <w:rFonts w:ascii="Times New Roman" w:hAnsi="Times New Roman"/>
          <w:sz w:val="24"/>
          <w:szCs w:val="24"/>
          <w:lang w:val="sr-Cyrl-CS"/>
        </w:rPr>
        <w:t>и</w:t>
      </w:r>
      <w:r w:rsidRPr="00903FA6">
        <w:rPr>
          <w:rFonts w:ascii="Times New Roman" w:hAnsi="Times New Roman"/>
          <w:sz w:val="24"/>
          <w:szCs w:val="24"/>
          <w:lang w:val="sr-Cyrl-CS"/>
        </w:rPr>
        <w:t xml:space="preserve"> </w:t>
      </w:r>
      <w:r>
        <w:rPr>
          <w:rFonts w:ascii="Times New Roman" w:hAnsi="Times New Roman"/>
          <w:sz w:val="24"/>
          <w:szCs w:val="24"/>
          <w:lang w:val="sr-Cyrl-CS"/>
        </w:rPr>
        <w:t>других</w:t>
      </w:r>
      <w:r w:rsidRPr="00903FA6">
        <w:rPr>
          <w:rFonts w:ascii="Times New Roman" w:hAnsi="Times New Roman"/>
          <w:sz w:val="24"/>
          <w:szCs w:val="24"/>
          <w:lang w:val="sr-Cyrl-CS"/>
        </w:rPr>
        <w:t xml:space="preserve"> </w:t>
      </w:r>
      <w:r>
        <w:rPr>
          <w:rFonts w:ascii="Times New Roman" w:hAnsi="Times New Roman"/>
          <w:sz w:val="24"/>
          <w:szCs w:val="24"/>
          <w:lang w:val="sr-Cyrl-CS"/>
        </w:rPr>
        <w:t>прихода</w:t>
      </w:r>
      <w:r w:rsidRPr="00903FA6">
        <w:rPr>
          <w:rFonts w:ascii="Times New Roman" w:hAnsi="Times New Roman"/>
          <w:sz w:val="24"/>
          <w:szCs w:val="24"/>
          <w:lang w:val="sr-Cyrl-CS"/>
        </w:rPr>
        <w:t xml:space="preserve"> </w:t>
      </w:r>
      <w:r>
        <w:rPr>
          <w:rFonts w:ascii="Times New Roman" w:hAnsi="Times New Roman"/>
          <w:sz w:val="24"/>
          <w:szCs w:val="24"/>
          <w:lang w:val="sr-Cyrl-CS"/>
        </w:rPr>
        <w:t>утврђених</w:t>
      </w:r>
      <w:r w:rsidRPr="00903FA6">
        <w:rPr>
          <w:rFonts w:ascii="Times New Roman" w:hAnsi="Times New Roman"/>
          <w:sz w:val="24"/>
          <w:szCs w:val="24"/>
          <w:lang w:val="sr-Cyrl-CS"/>
        </w:rPr>
        <w:t xml:space="preserve"> </w:t>
      </w:r>
      <w:r>
        <w:rPr>
          <w:rFonts w:ascii="Times New Roman" w:hAnsi="Times New Roman"/>
          <w:sz w:val="24"/>
          <w:szCs w:val="24"/>
          <w:lang w:val="sr-Cyrl-CS"/>
        </w:rPr>
        <w:t>законом</w:t>
      </w:r>
      <w:r w:rsidRPr="00903FA6">
        <w:rPr>
          <w:rFonts w:ascii="Times New Roman" w:hAnsi="Times New Roman"/>
          <w:sz w:val="24"/>
          <w:szCs w:val="24"/>
          <w:lang w:val="sr-Cyrl-CS"/>
        </w:rPr>
        <w:t xml:space="preserve">. </w:t>
      </w:r>
      <w:r>
        <w:rPr>
          <w:rFonts w:ascii="Times New Roman" w:hAnsi="Times New Roman"/>
          <w:sz w:val="24"/>
          <w:szCs w:val="24"/>
          <w:lang w:val="sr-Cyrl-CS"/>
        </w:rPr>
        <w:t>Обавеза</w:t>
      </w:r>
      <w:r w:rsidRPr="00903FA6">
        <w:rPr>
          <w:rFonts w:ascii="Times New Roman" w:hAnsi="Times New Roman"/>
          <w:sz w:val="24"/>
          <w:szCs w:val="24"/>
          <w:lang w:val="sr-Cyrl-CS"/>
        </w:rPr>
        <w:t xml:space="preserve"> </w:t>
      </w:r>
      <w:r>
        <w:rPr>
          <w:rFonts w:ascii="Times New Roman" w:hAnsi="Times New Roman"/>
          <w:sz w:val="24"/>
          <w:szCs w:val="24"/>
          <w:lang w:val="sr-Cyrl-CS"/>
        </w:rPr>
        <w:t>плаћања</w:t>
      </w:r>
      <w:r w:rsidRPr="00903FA6">
        <w:rPr>
          <w:rFonts w:ascii="Times New Roman" w:hAnsi="Times New Roman"/>
          <w:sz w:val="24"/>
          <w:szCs w:val="24"/>
          <w:lang w:val="sr-Cyrl-CS"/>
        </w:rPr>
        <w:t xml:space="preserve"> </w:t>
      </w:r>
      <w:r>
        <w:rPr>
          <w:rFonts w:ascii="Times New Roman" w:hAnsi="Times New Roman"/>
          <w:sz w:val="24"/>
          <w:szCs w:val="24"/>
          <w:lang w:val="sr-Cyrl-CS"/>
        </w:rPr>
        <w:t>пореза</w:t>
      </w:r>
      <w:r w:rsidRPr="00903FA6">
        <w:rPr>
          <w:rFonts w:ascii="Times New Roman" w:hAnsi="Times New Roman"/>
          <w:sz w:val="24"/>
          <w:szCs w:val="24"/>
          <w:lang w:val="sr-Cyrl-CS"/>
        </w:rPr>
        <w:t xml:space="preserve"> </w:t>
      </w:r>
      <w:r>
        <w:rPr>
          <w:rFonts w:ascii="Times New Roman" w:hAnsi="Times New Roman"/>
          <w:sz w:val="24"/>
          <w:szCs w:val="24"/>
          <w:lang w:val="sr-Cyrl-CS"/>
        </w:rPr>
        <w:t>и</w:t>
      </w:r>
      <w:r w:rsidRPr="00903FA6">
        <w:rPr>
          <w:rFonts w:ascii="Times New Roman" w:hAnsi="Times New Roman"/>
          <w:sz w:val="24"/>
          <w:szCs w:val="24"/>
          <w:lang w:val="sr-Cyrl-CS"/>
        </w:rPr>
        <w:t xml:space="preserve"> </w:t>
      </w:r>
      <w:r>
        <w:rPr>
          <w:rFonts w:ascii="Times New Roman" w:hAnsi="Times New Roman"/>
          <w:sz w:val="24"/>
          <w:szCs w:val="24"/>
          <w:lang w:val="sr-Cyrl-CS"/>
        </w:rPr>
        <w:t>других</w:t>
      </w:r>
      <w:r w:rsidRPr="00903FA6">
        <w:rPr>
          <w:rFonts w:ascii="Times New Roman" w:hAnsi="Times New Roman"/>
          <w:sz w:val="24"/>
          <w:szCs w:val="24"/>
          <w:lang w:val="sr-Cyrl-CS"/>
        </w:rPr>
        <w:t xml:space="preserve"> </w:t>
      </w:r>
      <w:r>
        <w:rPr>
          <w:rFonts w:ascii="Times New Roman" w:hAnsi="Times New Roman"/>
          <w:sz w:val="24"/>
          <w:szCs w:val="24"/>
          <w:lang w:val="sr-Cyrl-CS"/>
        </w:rPr>
        <w:t>дажбина</w:t>
      </w:r>
      <w:r w:rsidRPr="00903FA6">
        <w:rPr>
          <w:rFonts w:ascii="Times New Roman" w:hAnsi="Times New Roman"/>
          <w:sz w:val="24"/>
          <w:szCs w:val="24"/>
          <w:lang w:val="sr-Cyrl-CS"/>
        </w:rPr>
        <w:t xml:space="preserve"> </w:t>
      </w:r>
      <w:r>
        <w:rPr>
          <w:rFonts w:ascii="Times New Roman" w:hAnsi="Times New Roman"/>
          <w:sz w:val="24"/>
          <w:szCs w:val="24"/>
          <w:lang w:val="sr-Cyrl-CS"/>
        </w:rPr>
        <w:t>је</w:t>
      </w:r>
      <w:r w:rsidRPr="00903FA6">
        <w:rPr>
          <w:rFonts w:ascii="Times New Roman" w:hAnsi="Times New Roman"/>
          <w:sz w:val="24"/>
          <w:szCs w:val="24"/>
          <w:lang w:val="sr-Cyrl-CS"/>
        </w:rPr>
        <w:t xml:space="preserve"> </w:t>
      </w:r>
      <w:r>
        <w:rPr>
          <w:rFonts w:ascii="Times New Roman" w:hAnsi="Times New Roman"/>
          <w:sz w:val="24"/>
          <w:szCs w:val="24"/>
          <w:lang w:val="sr-Cyrl-CS"/>
        </w:rPr>
        <w:t>општа</w:t>
      </w:r>
      <w:r w:rsidRPr="00903FA6">
        <w:rPr>
          <w:rFonts w:ascii="Times New Roman" w:hAnsi="Times New Roman"/>
          <w:sz w:val="24"/>
          <w:szCs w:val="24"/>
          <w:lang w:val="sr-Cyrl-CS"/>
        </w:rPr>
        <w:t xml:space="preserve"> </w:t>
      </w:r>
      <w:r>
        <w:rPr>
          <w:rFonts w:ascii="Times New Roman" w:hAnsi="Times New Roman"/>
          <w:sz w:val="24"/>
          <w:szCs w:val="24"/>
          <w:lang w:val="sr-Cyrl-CS"/>
        </w:rPr>
        <w:t>и</w:t>
      </w:r>
      <w:r w:rsidRPr="00903FA6">
        <w:rPr>
          <w:rFonts w:ascii="Times New Roman" w:hAnsi="Times New Roman"/>
          <w:sz w:val="24"/>
          <w:szCs w:val="24"/>
          <w:lang w:val="sr-Cyrl-CS"/>
        </w:rPr>
        <w:t xml:space="preserve"> </w:t>
      </w:r>
      <w:r>
        <w:rPr>
          <w:rFonts w:ascii="Times New Roman" w:hAnsi="Times New Roman"/>
          <w:sz w:val="24"/>
          <w:szCs w:val="24"/>
          <w:lang w:val="sr-Cyrl-CS"/>
        </w:rPr>
        <w:t>заснива</w:t>
      </w:r>
      <w:r w:rsidRPr="00903FA6">
        <w:rPr>
          <w:rFonts w:ascii="Times New Roman" w:hAnsi="Times New Roman"/>
          <w:sz w:val="24"/>
          <w:szCs w:val="24"/>
          <w:lang w:val="sr-Cyrl-CS"/>
        </w:rPr>
        <w:t xml:space="preserve"> </w:t>
      </w:r>
      <w:r>
        <w:rPr>
          <w:rFonts w:ascii="Times New Roman" w:hAnsi="Times New Roman"/>
          <w:sz w:val="24"/>
          <w:szCs w:val="24"/>
          <w:lang w:val="sr-Cyrl-CS"/>
        </w:rPr>
        <w:t>се</w:t>
      </w:r>
      <w:r w:rsidRPr="00903FA6">
        <w:rPr>
          <w:rFonts w:ascii="Times New Roman" w:hAnsi="Times New Roman"/>
          <w:sz w:val="24"/>
          <w:szCs w:val="24"/>
          <w:lang w:val="sr-Cyrl-CS"/>
        </w:rPr>
        <w:t xml:space="preserve"> </w:t>
      </w:r>
      <w:r>
        <w:rPr>
          <w:rFonts w:ascii="Times New Roman" w:hAnsi="Times New Roman"/>
          <w:sz w:val="24"/>
          <w:szCs w:val="24"/>
          <w:lang w:val="sr-Cyrl-CS"/>
        </w:rPr>
        <w:t>на</w:t>
      </w:r>
      <w:r w:rsidRPr="00903FA6">
        <w:rPr>
          <w:rFonts w:ascii="Times New Roman" w:hAnsi="Times New Roman"/>
          <w:sz w:val="24"/>
          <w:szCs w:val="24"/>
          <w:lang w:val="sr-Cyrl-CS"/>
        </w:rPr>
        <w:t xml:space="preserve"> </w:t>
      </w:r>
      <w:r>
        <w:rPr>
          <w:rFonts w:ascii="Times New Roman" w:hAnsi="Times New Roman"/>
          <w:sz w:val="24"/>
          <w:szCs w:val="24"/>
          <w:lang w:val="sr-Cyrl-CS"/>
        </w:rPr>
        <w:t>економској</w:t>
      </w:r>
      <w:r w:rsidRPr="00903FA6">
        <w:rPr>
          <w:rFonts w:ascii="Times New Roman" w:hAnsi="Times New Roman"/>
          <w:sz w:val="24"/>
          <w:szCs w:val="24"/>
          <w:lang w:val="sr-Cyrl-CS"/>
        </w:rPr>
        <w:t xml:space="preserve"> </w:t>
      </w:r>
      <w:r>
        <w:rPr>
          <w:rFonts w:ascii="Times New Roman" w:hAnsi="Times New Roman"/>
          <w:sz w:val="24"/>
          <w:szCs w:val="24"/>
          <w:lang w:val="sr-Cyrl-CS"/>
        </w:rPr>
        <w:t>моћи</w:t>
      </w:r>
      <w:r w:rsidRPr="00903FA6">
        <w:rPr>
          <w:rFonts w:ascii="Times New Roman" w:hAnsi="Times New Roman"/>
          <w:sz w:val="24"/>
          <w:szCs w:val="24"/>
          <w:lang w:val="sr-Cyrl-CS"/>
        </w:rPr>
        <w:t xml:space="preserve"> </w:t>
      </w:r>
      <w:r>
        <w:rPr>
          <w:rFonts w:ascii="Times New Roman" w:hAnsi="Times New Roman"/>
          <w:sz w:val="24"/>
          <w:szCs w:val="24"/>
          <w:lang w:val="sr-Cyrl-CS"/>
        </w:rPr>
        <w:t>обвезника</w:t>
      </w:r>
      <w:r w:rsidRPr="00903FA6">
        <w:rPr>
          <w:rFonts w:ascii="Times New Roman" w:hAnsi="Times New Roman"/>
          <w:sz w:val="24"/>
          <w:szCs w:val="24"/>
          <w:lang w:val="sr-Cyrl-CS"/>
        </w:rPr>
        <w:t>.</w:t>
      </w:r>
    </w:p>
    <w:p w:rsidR="001E6839" w:rsidRPr="00B50697" w:rsidRDefault="001E6839" w:rsidP="00B50697">
      <w:pPr>
        <w:ind w:firstLine="360"/>
        <w:jc w:val="both"/>
        <w:rPr>
          <w:rFonts w:ascii="Times New Roman" w:hAnsi="Times New Roman"/>
          <w:sz w:val="24"/>
          <w:szCs w:val="24"/>
        </w:rPr>
      </w:pPr>
      <w:r>
        <w:rPr>
          <w:rFonts w:ascii="Times New Roman" w:hAnsi="Times New Roman"/>
          <w:sz w:val="24"/>
          <w:szCs w:val="24"/>
          <w:lang w:val="sr-Cyrl-CS"/>
        </w:rPr>
        <w:t xml:space="preserve">Граница фискалног оптерећења је релативан појам. </w:t>
      </w:r>
      <w:r w:rsidR="00465488">
        <w:rPr>
          <w:rFonts w:ascii="Times New Roman" w:hAnsi="Times New Roman"/>
          <w:sz w:val="24"/>
          <w:szCs w:val="24"/>
          <w:lang w:val="sr-Cyrl-CS"/>
        </w:rPr>
        <w:t>Могло би се</w:t>
      </w:r>
      <w:r>
        <w:rPr>
          <w:rFonts w:ascii="Times New Roman" w:hAnsi="Times New Roman"/>
          <w:sz w:val="24"/>
          <w:szCs w:val="24"/>
          <w:lang w:val="sr-Cyrl-CS"/>
        </w:rPr>
        <w:t xml:space="preserve"> рећи да је она обележена оном висином пореза која ће кроз јавне расходе обезбедити максимални пораст националног производа. Представничко тело, вршећи избор на бази економских и политичких мерила, између приватних и јавних интереса, одредиће ону висину пореском оптерећењу која ће омогућити нај</w:t>
      </w:r>
      <w:r w:rsidR="00465488">
        <w:rPr>
          <w:rFonts w:ascii="Times New Roman" w:hAnsi="Times New Roman"/>
          <w:sz w:val="24"/>
          <w:szCs w:val="24"/>
          <w:lang w:val="sr-Cyrl-CS"/>
        </w:rPr>
        <w:t xml:space="preserve">боље задовољење општих потреба. </w:t>
      </w:r>
      <w:r>
        <w:rPr>
          <w:rFonts w:ascii="Times New Roman" w:hAnsi="Times New Roman"/>
          <w:sz w:val="24"/>
          <w:szCs w:val="24"/>
          <w:lang w:val="sr-Cyrl-CS"/>
        </w:rPr>
        <w:t xml:space="preserve">Ако </w:t>
      </w:r>
      <w:r>
        <w:rPr>
          <w:rFonts w:ascii="Times New Roman" w:hAnsi="Times New Roman"/>
          <w:sz w:val="24"/>
          <w:szCs w:val="24"/>
          <w:lang w:val="sr-Cyrl-CS"/>
        </w:rPr>
        <w:lastRenderedPageBreak/>
        <w:t>порески терет расте, а с њим и национални д</w:t>
      </w:r>
      <w:r w:rsidR="00465488">
        <w:rPr>
          <w:rFonts w:ascii="Times New Roman" w:hAnsi="Times New Roman"/>
          <w:sz w:val="24"/>
          <w:szCs w:val="24"/>
          <w:lang w:val="sr-Cyrl-CS"/>
        </w:rPr>
        <w:t>оходак, граница није достигнута. А</w:t>
      </w:r>
      <w:r>
        <w:rPr>
          <w:rFonts w:ascii="Times New Roman" w:hAnsi="Times New Roman"/>
          <w:sz w:val="24"/>
          <w:szCs w:val="24"/>
          <w:lang w:val="sr-Cyrl-CS"/>
        </w:rPr>
        <w:t>ко се фискални терет повећава</w:t>
      </w:r>
      <w:r w:rsidR="00465488">
        <w:rPr>
          <w:rFonts w:ascii="Times New Roman" w:hAnsi="Times New Roman"/>
          <w:sz w:val="24"/>
          <w:szCs w:val="24"/>
          <w:lang w:val="sr-Cyrl-CS"/>
        </w:rPr>
        <w:t>, а национални доходак смањује онда је</w:t>
      </w:r>
      <w:r>
        <w:rPr>
          <w:rFonts w:ascii="Times New Roman" w:hAnsi="Times New Roman"/>
          <w:sz w:val="24"/>
          <w:szCs w:val="24"/>
          <w:lang w:val="sr-Cyrl-CS"/>
        </w:rPr>
        <w:t xml:space="preserve"> гр</w:t>
      </w:r>
      <w:r w:rsidR="00465488">
        <w:rPr>
          <w:rFonts w:ascii="Times New Roman" w:hAnsi="Times New Roman"/>
          <w:sz w:val="24"/>
          <w:szCs w:val="24"/>
          <w:lang w:val="sr-Cyrl-CS"/>
        </w:rPr>
        <w:t xml:space="preserve">аница </w:t>
      </w:r>
      <w:r>
        <w:rPr>
          <w:rFonts w:ascii="Times New Roman" w:hAnsi="Times New Roman"/>
          <w:sz w:val="24"/>
          <w:szCs w:val="24"/>
          <w:lang w:val="sr-Cyrl-CS"/>
        </w:rPr>
        <w:t xml:space="preserve">пређена. </w:t>
      </w:r>
      <w:r w:rsidR="00465488">
        <w:rPr>
          <w:rFonts w:ascii="Times New Roman" w:hAnsi="Times New Roman"/>
          <w:sz w:val="24"/>
          <w:szCs w:val="24"/>
          <w:lang w:val="sr-Cyrl-CS"/>
        </w:rPr>
        <w:t>Порезима се држава</w:t>
      </w:r>
      <w:r>
        <w:rPr>
          <w:rFonts w:ascii="Times New Roman" w:hAnsi="Times New Roman"/>
          <w:sz w:val="24"/>
          <w:szCs w:val="24"/>
          <w:lang w:val="sr-Cyrl-CS"/>
        </w:rPr>
        <w:t xml:space="preserve"> може служити до извесне мере. Ако и то средство није довољно, држава се мора обратити ванредним изворима прихода: зајму или додатној емисији папирног новца</w:t>
      </w:r>
      <w:r w:rsidR="00465488">
        <w:rPr>
          <w:rFonts w:ascii="Times New Roman" w:hAnsi="Times New Roman"/>
          <w:sz w:val="24"/>
          <w:szCs w:val="24"/>
          <w:lang w:val="sr-Cyrl-CS"/>
        </w:rPr>
        <w:t>, у ком случају није више реч о редовном финансирању.</w:t>
      </w:r>
      <w:r>
        <w:rPr>
          <w:rStyle w:val="FootnoteReference"/>
          <w:rFonts w:ascii="Times New Roman" w:hAnsi="Times New Roman"/>
          <w:sz w:val="24"/>
          <w:szCs w:val="24"/>
          <w:lang w:val="sr-Cyrl-CS"/>
        </w:rPr>
        <w:footnoteReference w:id="97"/>
      </w:r>
      <w:r>
        <w:rPr>
          <w:rFonts w:ascii="Times New Roman" w:hAnsi="Times New Roman"/>
          <w:sz w:val="24"/>
          <w:szCs w:val="24"/>
          <w:lang w:val="sr-Cyrl-CS"/>
        </w:rPr>
        <w:t xml:space="preserve"> </w:t>
      </w:r>
    </w:p>
    <w:p w:rsidR="001E6839" w:rsidRPr="00100FD8" w:rsidRDefault="001E6839" w:rsidP="00100FD8">
      <w:pPr>
        <w:ind w:firstLine="360"/>
        <w:jc w:val="both"/>
        <w:rPr>
          <w:rFonts w:ascii="Times New Roman" w:hAnsi="Times New Roman"/>
          <w:sz w:val="24"/>
          <w:szCs w:val="24"/>
        </w:rPr>
      </w:pPr>
      <w:r>
        <w:rPr>
          <w:rFonts w:ascii="Times New Roman" w:hAnsi="Times New Roman"/>
          <w:sz w:val="24"/>
          <w:szCs w:val="24"/>
          <w:lang w:val="sr-Cyrl-CS"/>
        </w:rPr>
        <w:t>Према томе, не сме се прећи горња граница пореског оптерећења, односно граница која је одређена оствареним дохотком и расположивом имовином пореског обвезника. Доња граница пореског оптерећења</w:t>
      </w:r>
      <w:r w:rsidR="00100FD8">
        <w:rPr>
          <w:rFonts w:ascii="Times New Roman" w:hAnsi="Times New Roman"/>
          <w:sz w:val="24"/>
          <w:szCs w:val="24"/>
          <w:lang w:val="sr-Cyrl-CS"/>
        </w:rPr>
        <w:t>,</w:t>
      </w:r>
      <w:r>
        <w:rPr>
          <w:rFonts w:ascii="Times New Roman" w:hAnsi="Times New Roman"/>
          <w:sz w:val="24"/>
          <w:szCs w:val="24"/>
          <w:lang w:val="sr-Cyrl-CS"/>
        </w:rPr>
        <w:t xml:space="preserve"> са становишта појединца</w:t>
      </w:r>
      <w:r w:rsidR="00100FD8">
        <w:rPr>
          <w:rFonts w:ascii="Times New Roman" w:hAnsi="Times New Roman"/>
          <w:sz w:val="24"/>
          <w:szCs w:val="24"/>
          <w:lang w:val="sr-Cyrl-CS"/>
        </w:rPr>
        <w:t>,</w:t>
      </w:r>
      <w:r>
        <w:rPr>
          <w:rFonts w:ascii="Times New Roman" w:hAnsi="Times New Roman"/>
          <w:sz w:val="24"/>
          <w:szCs w:val="24"/>
          <w:lang w:val="sr-Cyrl-CS"/>
        </w:rPr>
        <w:t xml:space="preserve"> </w:t>
      </w:r>
      <w:r w:rsidR="00100FD8">
        <w:rPr>
          <w:rFonts w:ascii="Times New Roman" w:hAnsi="Times New Roman"/>
          <w:sz w:val="24"/>
          <w:szCs w:val="24"/>
          <w:lang w:val="sr-Cyrl-CS"/>
        </w:rPr>
        <w:t>представља минимум</w:t>
      </w:r>
      <w:r>
        <w:rPr>
          <w:rFonts w:ascii="Times New Roman" w:hAnsi="Times New Roman"/>
          <w:sz w:val="24"/>
          <w:szCs w:val="24"/>
          <w:lang w:val="sr-Cyrl-CS"/>
        </w:rPr>
        <w:t xml:space="preserve"> </w:t>
      </w:r>
      <w:r w:rsidR="00100FD8">
        <w:rPr>
          <w:rFonts w:ascii="Times New Roman" w:hAnsi="Times New Roman"/>
          <w:sz w:val="24"/>
          <w:szCs w:val="24"/>
          <w:lang w:val="sr-Cyrl-CS"/>
        </w:rPr>
        <w:t>егзистенције пореског обвезника, а с</w:t>
      </w:r>
      <w:r>
        <w:rPr>
          <w:rFonts w:ascii="Times New Roman" w:hAnsi="Times New Roman"/>
          <w:sz w:val="24"/>
          <w:szCs w:val="24"/>
          <w:lang w:val="sr-Cyrl-CS"/>
        </w:rPr>
        <w:t xml:space="preserve">а друштвеног становишта, </w:t>
      </w:r>
      <w:r w:rsidR="00100FD8">
        <w:rPr>
          <w:rFonts w:ascii="Times New Roman" w:hAnsi="Times New Roman"/>
          <w:sz w:val="24"/>
          <w:szCs w:val="24"/>
          <w:lang w:val="sr-Cyrl-CS"/>
        </w:rPr>
        <w:t>представља трошкове</w:t>
      </w:r>
      <w:r>
        <w:rPr>
          <w:rFonts w:ascii="Times New Roman" w:hAnsi="Times New Roman"/>
          <w:sz w:val="24"/>
          <w:szCs w:val="24"/>
          <w:lang w:val="sr-Cyrl-CS"/>
        </w:rPr>
        <w:t xml:space="preserve"> разре</w:t>
      </w:r>
      <w:r w:rsidR="00100FD8">
        <w:rPr>
          <w:rFonts w:ascii="Times New Roman" w:hAnsi="Times New Roman"/>
          <w:sz w:val="24"/>
          <w:szCs w:val="24"/>
          <w:lang w:val="sr-Cyrl-CS"/>
        </w:rPr>
        <w:t>за и наплате, односно трошкове</w:t>
      </w:r>
      <w:r>
        <w:rPr>
          <w:rFonts w:ascii="Times New Roman" w:hAnsi="Times New Roman"/>
          <w:sz w:val="24"/>
          <w:szCs w:val="24"/>
          <w:lang w:val="sr-Cyrl-CS"/>
        </w:rPr>
        <w:t xml:space="preserve"> убирања пореза. </w:t>
      </w:r>
      <w:r w:rsidR="00100FD8">
        <w:rPr>
          <w:rFonts w:ascii="Times New Roman" w:hAnsi="Times New Roman"/>
          <w:sz w:val="24"/>
          <w:szCs w:val="24"/>
          <w:lang w:val="sr-Cyrl-CS"/>
        </w:rPr>
        <w:t>О</w:t>
      </w:r>
      <w:r>
        <w:rPr>
          <w:rFonts w:ascii="Times New Roman" w:hAnsi="Times New Roman"/>
          <w:sz w:val="24"/>
          <w:szCs w:val="24"/>
          <w:lang w:val="sr-Cyrl-CS"/>
        </w:rPr>
        <w:t>порезивање где су трошкови убирања једнаки или већи од износа који је убран опорезивањем</w:t>
      </w:r>
      <w:r w:rsidR="00100FD8">
        <w:rPr>
          <w:rFonts w:ascii="Times New Roman" w:hAnsi="Times New Roman"/>
          <w:sz w:val="24"/>
          <w:szCs w:val="24"/>
          <w:lang w:val="sr-Cyrl-CS"/>
        </w:rPr>
        <w:t xml:space="preserve"> само се у изузетним случајевима мо</w:t>
      </w:r>
      <w:r w:rsidR="006626BF">
        <w:rPr>
          <w:rFonts w:ascii="Times New Roman" w:hAnsi="Times New Roman"/>
          <w:sz w:val="24"/>
          <w:szCs w:val="24"/>
          <w:lang w:val="sr-Cyrl-CS"/>
        </w:rPr>
        <w:t>же</w:t>
      </w:r>
      <w:r w:rsidR="00100FD8">
        <w:rPr>
          <w:rFonts w:ascii="Times New Roman" w:hAnsi="Times New Roman"/>
          <w:sz w:val="24"/>
          <w:szCs w:val="24"/>
          <w:lang w:val="sr-Cyrl-CS"/>
        </w:rPr>
        <w:t xml:space="preserve"> оправдати</w:t>
      </w:r>
      <w:r>
        <w:rPr>
          <w:rFonts w:ascii="Times New Roman" w:hAnsi="Times New Roman"/>
          <w:sz w:val="24"/>
          <w:szCs w:val="24"/>
          <w:lang w:val="sr-Cyrl-CS"/>
        </w:rPr>
        <w:t>.</w:t>
      </w:r>
      <w:r>
        <w:rPr>
          <w:rStyle w:val="FootnoteReference"/>
          <w:rFonts w:ascii="Times New Roman" w:hAnsi="Times New Roman"/>
          <w:sz w:val="24"/>
          <w:szCs w:val="24"/>
          <w:lang w:val="sr-Cyrl-CS"/>
        </w:rPr>
        <w:footnoteReference w:id="98"/>
      </w:r>
      <w:r>
        <w:rPr>
          <w:rFonts w:ascii="Times New Roman" w:hAnsi="Times New Roman"/>
          <w:sz w:val="24"/>
          <w:szCs w:val="24"/>
          <w:lang w:val="sr-Cyrl-CS"/>
        </w:rPr>
        <w:t xml:space="preserve"> </w:t>
      </w:r>
    </w:p>
    <w:p w:rsidR="001E6839" w:rsidRPr="00B50697" w:rsidRDefault="001E6839" w:rsidP="00B50697">
      <w:pPr>
        <w:ind w:firstLine="360"/>
        <w:jc w:val="both"/>
        <w:rPr>
          <w:rFonts w:ascii="Times New Roman" w:hAnsi="Times New Roman"/>
          <w:sz w:val="24"/>
          <w:szCs w:val="24"/>
        </w:rPr>
      </w:pPr>
      <w:r>
        <w:rPr>
          <w:rFonts w:ascii="Times New Roman" w:hAnsi="Times New Roman"/>
          <w:sz w:val="24"/>
          <w:szCs w:val="24"/>
          <w:lang w:val="sr-Cyrl-CS"/>
        </w:rPr>
        <w:t xml:space="preserve">Да ли је пореско оптерећење у једној земљи високо или није, може се </w:t>
      </w:r>
      <w:r w:rsidR="00967B71">
        <w:rPr>
          <w:rFonts w:ascii="Times New Roman" w:hAnsi="Times New Roman"/>
          <w:sz w:val="24"/>
          <w:szCs w:val="24"/>
          <w:lang w:val="sr-Cyrl-CS"/>
        </w:rPr>
        <w:t>утврдити емпирисјки када се уочи</w:t>
      </w:r>
      <w:r>
        <w:rPr>
          <w:rFonts w:ascii="Times New Roman" w:hAnsi="Times New Roman"/>
          <w:sz w:val="24"/>
          <w:szCs w:val="24"/>
          <w:lang w:val="sr-Cyrl-CS"/>
        </w:rPr>
        <w:t xml:space="preserve"> да порески приходи подбацују, да се животни стандард у земљи снижава, да незапосленост расте, да привредни живот показује знаке стагнирања, да се јављају стечајеви и да су у</w:t>
      </w:r>
      <w:r w:rsidR="00967B71">
        <w:rPr>
          <w:rFonts w:ascii="Times New Roman" w:hAnsi="Times New Roman"/>
          <w:sz w:val="24"/>
          <w:szCs w:val="24"/>
          <w:lang w:val="sr-Cyrl-CS"/>
        </w:rPr>
        <w:t>честале принудне наплате пореза,</w:t>
      </w:r>
      <w:r>
        <w:rPr>
          <w:rFonts w:ascii="Times New Roman" w:hAnsi="Times New Roman"/>
          <w:sz w:val="24"/>
          <w:szCs w:val="24"/>
          <w:lang w:val="sr-Cyrl-CS"/>
        </w:rPr>
        <w:t xml:space="preserve"> </w:t>
      </w:r>
      <w:r w:rsidR="00967B71">
        <w:rPr>
          <w:rFonts w:ascii="Times New Roman" w:hAnsi="Times New Roman"/>
          <w:sz w:val="24"/>
          <w:szCs w:val="24"/>
          <w:lang w:val="sr-Cyrl-CS"/>
        </w:rPr>
        <w:t>док је са друге стране</w:t>
      </w:r>
      <w:r>
        <w:rPr>
          <w:rFonts w:ascii="Times New Roman" w:hAnsi="Times New Roman"/>
          <w:sz w:val="24"/>
          <w:szCs w:val="24"/>
          <w:lang w:val="sr-Cyrl-CS"/>
        </w:rPr>
        <w:t xml:space="preserve"> код пореских обвезника </w:t>
      </w:r>
      <w:r w:rsidR="00967B71">
        <w:rPr>
          <w:rFonts w:ascii="Times New Roman" w:hAnsi="Times New Roman"/>
          <w:sz w:val="24"/>
          <w:szCs w:val="24"/>
          <w:lang w:val="sr-Cyrl-CS"/>
        </w:rPr>
        <w:t>уочљив</w:t>
      </w:r>
      <w:r>
        <w:rPr>
          <w:rFonts w:ascii="Times New Roman" w:hAnsi="Times New Roman"/>
          <w:sz w:val="24"/>
          <w:szCs w:val="24"/>
          <w:lang w:val="sr-Cyrl-CS"/>
        </w:rPr>
        <w:t xml:space="preserve"> отпор, било индиректан (пореска дефраудација, прикривање богатства, напуштање места запослења или самог запослења), било директан (порески штрајкови, на пример чувени „</w:t>
      </w:r>
      <w:r w:rsidRPr="00CF4485">
        <w:rPr>
          <w:rFonts w:ascii="Times New Roman" w:hAnsi="Times New Roman"/>
          <w:sz w:val="24"/>
          <w:szCs w:val="24"/>
          <w:lang w:val="sr-Cyrl-CS"/>
        </w:rPr>
        <w:t>Пужадов покрет“ у Француској</w:t>
      </w:r>
      <w:r w:rsidR="00967B71">
        <w:rPr>
          <w:rFonts w:ascii="Times New Roman" w:hAnsi="Times New Roman"/>
          <w:sz w:val="24"/>
          <w:szCs w:val="24"/>
          <w:lang w:val="sr-Cyrl-CS"/>
        </w:rPr>
        <w:t>). Сви такви случајеви су показатељ</w:t>
      </w:r>
      <w:r>
        <w:rPr>
          <w:rFonts w:ascii="Times New Roman" w:hAnsi="Times New Roman"/>
          <w:sz w:val="24"/>
          <w:szCs w:val="24"/>
          <w:lang w:val="sr-Cyrl-CS"/>
        </w:rPr>
        <w:t xml:space="preserve"> да је пореско оптерећење у земљи достигло горњи ниво, тзв. плафон.</w:t>
      </w:r>
      <w:r w:rsidRPr="00CF4485">
        <w:rPr>
          <w:rFonts w:ascii="Times New Roman" w:hAnsi="Times New Roman"/>
          <w:sz w:val="24"/>
          <w:szCs w:val="24"/>
          <w:lang w:val="sr-Cyrl-CS"/>
        </w:rPr>
        <w:t xml:space="preserve"> </w:t>
      </w:r>
      <w:r w:rsidR="00967B71">
        <w:rPr>
          <w:rFonts w:ascii="Times New Roman" w:hAnsi="Times New Roman"/>
          <w:sz w:val="24"/>
          <w:szCs w:val="24"/>
          <w:lang w:val="sr-Cyrl-CS"/>
        </w:rPr>
        <w:t xml:space="preserve">Због тога </w:t>
      </w:r>
      <w:r>
        <w:rPr>
          <w:rFonts w:ascii="Times New Roman" w:hAnsi="Times New Roman"/>
          <w:sz w:val="24"/>
          <w:szCs w:val="24"/>
          <w:lang w:val="sr-Cyrl-CS"/>
        </w:rPr>
        <w:t xml:space="preserve">утврђивању </w:t>
      </w:r>
      <w:r w:rsidR="00967B71">
        <w:rPr>
          <w:rFonts w:ascii="Times New Roman" w:hAnsi="Times New Roman"/>
          <w:sz w:val="24"/>
          <w:szCs w:val="24"/>
          <w:lang w:val="sr-Cyrl-CS"/>
        </w:rPr>
        <w:t xml:space="preserve">максималне </w:t>
      </w:r>
      <w:r>
        <w:rPr>
          <w:rFonts w:ascii="Times New Roman" w:hAnsi="Times New Roman"/>
          <w:sz w:val="24"/>
          <w:szCs w:val="24"/>
          <w:lang w:val="sr-Cyrl-CS"/>
        </w:rPr>
        <w:t xml:space="preserve">пореске стопе </w:t>
      </w:r>
      <w:r w:rsidR="00967B71">
        <w:rPr>
          <w:rFonts w:ascii="Times New Roman" w:hAnsi="Times New Roman"/>
          <w:sz w:val="24"/>
          <w:szCs w:val="24"/>
          <w:lang w:val="sr-Cyrl-CS"/>
        </w:rPr>
        <w:t>треба приступити тако да се</w:t>
      </w:r>
      <w:r>
        <w:rPr>
          <w:rFonts w:ascii="Times New Roman" w:hAnsi="Times New Roman"/>
          <w:sz w:val="24"/>
          <w:szCs w:val="24"/>
          <w:lang w:val="sr-Cyrl-CS"/>
        </w:rPr>
        <w:t xml:space="preserve"> пође од најниже стопе </w:t>
      </w:r>
      <w:r w:rsidR="00967B71">
        <w:rPr>
          <w:rFonts w:ascii="Times New Roman" w:hAnsi="Times New Roman"/>
          <w:sz w:val="24"/>
          <w:szCs w:val="24"/>
          <w:lang w:val="sr-Cyrl-CS"/>
        </w:rPr>
        <w:t>која се потом</w:t>
      </w:r>
      <w:r>
        <w:rPr>
          <w:rFonts w:ascii="Times New Roman" w:hAnsi="Times New Roman"/>
          <w:sz w:val="24"/>
          <w:szCs w:val="24"/>
          <w:lang w:val="sr-Cyrl-CS"/>
        </w:rPr>
        <w:t xml:space="preserve"> пос</w:t>
      </w:r>
      <w:r w:rsidR="00967B71">
        <w:rPr>
          <w:rFonts w:ascii="Times New Roman" w:hAnsi="Times New Roman"/>
          <w:sz w:val="24"/>
          <w:szCs w:val="24"/>
          <w:lang w:val="sr-Cyrl-CS"/>
        </w:rPr>
        <w:t>тепено повећава док</w:t>
      </w:r>
      <w:r>
        <w:rPr>
          <w:rFonts w:ascii="Times New Roman" w:hAnsi="Times New Roman"/>
          <w:sz w:val="24"/>
          <w:szCs w:val="24"/>
          <w:lang w:val="sr-Cyrl-CS"/>
        </w:rPr>
        <w:t xml:space="preserve"> се не почну јављати неповољни симптоми фискалног оптерећења. </w:t>
      </w:r>
      <w:r w:rsidR="00967B71">
        <w:rPr>
          <w:rFonts w:ascii="Times New Roman" w:hAnsi="Times New Roman"/>
          <w:sz w:val="24"/>
          <w:szCs w:val="24"/>
          <w:lang w:val="sr-Cyrl-CS"/>
        </w:rPr>
        <w:t>Т</w:t>
      </w:r>
      <w:r>
        <w:rPr>
          <w:rFonts w:ascii="Times New Roman" w:hAnsi="Times New Roman"/>
          <w:sz w:val="24"/>
          <w:szCs w:val="24"/>
          <w:lang w:val="sr-Cyrl-CS"/>
        </w:rPr>
        <w:t xml:space="preserve">ада </w:t>
      </w:r>
      <w:r w:rsidR="00967B71">
        <w:rPr>
          <w:rFonts w:ascii="Times New Roman" w:hAnsi="Times New Roman"/>
          <w:sz w:val="24"/>
          <w:szCs w:val="24"/>
          <w:lang w:val="sr-Cyrl-CS"/>
        </w:rPr>
        <w:t>треба стати</w:t>
      </w:r>
      <w:r>
        <w:rPr>
          <w:rFonts w:ascii="Times New Roman" w:hAnsi="Times New Roman"/>
          <w:sz w:val="24"/>
          <w:szCs w:val="24"/>
          <w:lang w:val="sr-Cyrl-CS"/>
        </w:rPr>
        <w:t xml:space="preserve"> па и нешто снизити стопе.</w:t>
      </w:r>
      <w:r>
        <w:rPr>
          <w:rStyle w:val="FootnoteReference"/>
          <w:rFonts w:ascii="Times New Roman" w:hAnsi="Times New Roman"/>
          <w:sz w:val="24"/>
          <w:szCs w:val="24"/>
          <w:lang w:val="sr-Cyrl-CS"/>
        </w:rPr>
        <w:footnoteReference w:id="99"/>
      </w:r>
    </w:p>
    <w:p w:rsidR="001E6839" w:rsidRPr="00B50697" w:rsidRDefault="001E6839" w:rsidP="00B50697">
      <w:pPr>
        <w:ind w:firstLine="360"/>
        <w:jc w:val="both"/>
        <w:rPr>
          <w:rFonts w:ascii="Times New Roman" w:hAnsi="Times New Roman"/>
          <w:sz w:val="24"/>
          <w:szCs w:val="24"/>
        </w:rPr>
      </w:pPr>
      <w:r>
        <w:rPr>
          <w:rFonts w:ascii="Times New Roman" w:hAnsi="Times New Roman"/>
          <w:sz w:val="24"/>
          <w:szCs w:val="24"/>
          <w:lang w:val="sr-Cyrl-CS"/>
        </w:rPr>
        <w:t>Доња граница пореског оптерећења може се одредити када се утврди егзистенцијални минимум. Међутим, много је компликованије одредити горњу границу пореског оптерећења. У сваком случају, са већим пореским захватањима, веће су и могућности да ће порески обвезници настојати да избегавају плаћање пореза. Обвезници, при томе, разматрају однос користи које имају од избегавања плаћања пореза и евентуалних последица, па је у том смислу битно строжије санкционисање кажњивог понашања, јер ће блага казнена политика само допринети ширењу ове негативне појаве.</w:t>
      </w:r>
    </w:p>
    <w:p w:rsidR="001E6839" w:rsidRPr="00B50697" w:rsidRDefault="001E6839" w:rsidP="00B50697">
      <w:pPr>
        <w:ind w:firstLine="360"/>
        <w:jc w:val="both"/>
        <w:rPr>
          <w:rFonts w:ascii="Times New Roman" w:hAnsi="Times New Roman"/>
          <w:sz w:val="24"/>
          <w:szCs w:val="24"/>
        </w:rPr>
      </w:pPr>
      <w:r>
        <w:rPr>
          <w:rFonts w:ascii="Times New Roman" w:hAnsi="Times New Roman"/>
          <w:sz w:val="24"/>
          <w:szCs w:val="24"/>
          <w:lang w:val="sr-Cyrl-CS"/>
        </w:rPr>
        <w:t>Пораст дохотка омогућава повећање границе пореског оптерећења. Са порастом националног дохотка</w:t>
      </w:r>
      <w:r w:rsidRPr="00E155CA">
        <w:rPr>
          <w:rFonts w:ascii="Times New Roman" w:hAnsi="Times New Roman"/>
          <w:sz w:val="24"/>
          <w:szCs w:val="24"/>
        </w:rPr>
        <w:t xml:space="preserve"> </w:t>
      </w:r>
      <w:r>
        <w:rPr>
          <w:rFonts w:ascii="Times New Roman" w:hAnsi="Times New Roman"/>
          <w:sz w:val="24"/>
          <w:szCs w:val="24"/>
          <w:lang w:val="sr-Cyrl-CS"/>
        </w:rPr>
        <w:t>по становнику</w:t>
      </w:r>
      <w:r w:rsidRPr="00E155CA">
        <w:rPr>
          <w:rFonts w:ascii="Times New Roman" w:hAnsi="Times New Roman"/>
          <w:sz w:val="24"/>
          <w:szCs w:val="24"/>
        </w:rPr>
        <w:t xml:space="preserve"> </w:t>
      </w:r>
      <w:r>
        <w:rPr>
          <w:rFonts w:ascii="Times New Roman" w:hAnsi="Times New Roman"/>
          <w:sz w:val="24"/>
          <w:szCs w:val="24"/>
          <w:lang w:val="sr-Cyrl-CS"/>
        </w:rPr>
        <w:t>повећава се горња граница опорезивања</w:t>
      </w:r>
      <w:r w:rsidRPr="00E155CA">
        <w:rPr>
          <w:rFonts w:ascii="Times New Roman" w:hAnsi="Times New Roman"/>
          <w:sz w:val="24"/>
          <w:szCs w:val="24"/>
        </w:rPr>
        <w:t xml:space="preserve">, </w:t>
      </w:r>
      <w:r>
        <w:rPr>
          <w:rFonts w:ascii="Times New Roman" w:hAnsi="Times New Roman"/>
          <w:sz w:val="24"/>
          <w:szCs w:val="24"/>
          <w:lang w:val="sr-Cyrl-CS"/>
        </w:rPr>
        <w:t>али и  при истом нивоу националног дохотка по становнику она је различита</w:t>
      </w:r>
      <w:r w:rsidRPr="00E155CA">
        <w:rPr>
          <w:rFonts w:ascii="Times New Roman" w:hAnsi="Times New Roman"/>
          <w:sz w:val="24"/>
          <w:szCs w:val="24"/>
        </w:rPr>
        <w:t>.</w:t>
      </w:r>
      <w:r>
        <w:rPr>
          <w:rFonts w:ascii="Times New Roman" w:hAnsi="Times New Roman"/>
          <w:sz w:val="24"/>
          <w:szCs w:val="24"/>
          <w:lang w:val="sr-Cyrl-CS"/>
        </w:rPr>
        <w:t xml:space="preserve">Посматрањем односа  укупних пореских прихода према друштеном производу или националном дохотку (tax ratio), можемо оквирно видети колико износи пореско оптерећење у једној земљи. </w:t>
      </w:r>
    </w:p>
    <w:p w:rsidR="001E6839" w:rsidRDefault="001E6839" w:rsidP="001E6839">
      <w:pPr>
        <w:ind w:firstLine="360"/>
        <w:jc w:val="both"/>
        <w:rPr>
          <w:rFonts w:ascii="Times New Roman" w:hAnsi="Times New Roman"/>
          <w:sz w:val="24"/>
          <w:szCs w:val="24"/>
          <w:lang w:val="sr-Cyrl-CS"/>
        </w:rPr>
      </w:pPr>
      <w:r>
        <w:rPr>
          <w:rFonts w:ascii="Times New Roman" w:hAnsi="Times New Roman"/>
          <w:sz w:val="24"/>
          <w:szCs w:val="24"/>
          <w:lang w:val="sr-Cyrl-CS"/>
        </w:rPr>
        <w:lastRenderedPageBreak/>
        <w:t>Наиме, у финансијској теорији фискално оптерећење се може израчунати преко следећег обрасца:</w:t>
      </w:r>
    </w:p>
    <w:p w:rsidR="001E6839" w:rsidRDefault="001E6839" w:rsidP="001E6839">
      <w:pPr>
        <w:jc w:val="both"/>
        <w:rPr>
          <w:rFonts w:ascii="Times New Roman" w:hAnsi="Times New Roman"/>
          <w:sz w:val="24"/>
          <w:szCs w:val="24"/>
          <w:lang w:val="sr-Cyrl-CS"/>
        </w:rPr>
      </w:pPr>
    </w:p>
    <w:p w:rsidR="001E6839" w:rsidRPr="0064577E" w:rsidRDefault="001E6839" w:rsidP="001E6839">
      <w:pPr>
        <w:jc w:val="both"/>
        <w:rPr>
          <w:lang w:val="sr-Cyrl-CS"/>
        </w:rPr>
      </w:pPr>
      <w:r>
        <w:rPr>
          <w:rFonts w:ascii="Times New Roman" w:hAnsi="Times New Roman"/>
          <w:sz w:val="24"/>
          <w:szCs w:val="24"/>
          <w:lang w:val="sr-Cyrl-CS"/>
        </w:rPr>
        <w:t xml:space="preserve">                    </w:t>
      </w:r>
      <w:r>
        <w:rPr>
          <w:lang w:val="sr-Cyrl-CS"/>
        </w:rPr>
        <w:t>Сд</w:t>
      </w:r>
    </w:p>
    <w:p w:rsidR="001E6839" w:rsidRPr="0064577E" w:rsidRDefault="001E6839" w:rsidP="001E6839">
      <w:pPr>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lang w:val="sr-Cyrl-CS"/>
        </w:rPr>
        <w:t>Ф</w:t>
      </w:r>
      <w:r w:rsidRPr="0064577E">
        <w:rPr>
          <w:rFonts w:ascii="Times New Roman" w:hAnsi="Times New Roman"/>
          <w:sz w:val="24"/>
          <w:szCs w:val="24"/>
        </w:rPr>
        <w:t>o=  —  x 100</w:t>
      </w:r>
    </w:p>
    <w:p w:rsidR="001E6839" w:rsidRDefault="001E6839" w:rsidP="001E6839">
      <w:pPr>
        <w:jc w:val="both"/>
        <w:rPr>
          <w:rFonts w:ascii="Times New Roman" w:hAnsi="Times New Roman"/>
          <w:sz w:val="24"/>
          <w:szCs w:val="24"/>
          <w:lang w:val="sr-Cyrl-CS"/>
        </w:rPr>
      </w:pPr>
      <w:r>
        <w:rPr>
          <w:rFonts w:ascii="Times New Roman" w:hAnsi="Times New Roman"/>
          <w:sz w:val="24"/>
          <w:szCs w:val="24"/>
        </w:rPr>
        <w:tab/>
      </w:r>
      <w:r>
        <w:rPr>
          <w:rFonts w:ascii="Times New Roman" w:hAnsi="Times New Roman"/>
          <w:sz w:val="24"/>
          <w:szCs w:val="24"/>
          <w:lang w:val="sr-Cyrl-CS"/>
        </w:rPr>
        <w:t xml:space="preserve">       До</w:t>
      </w:r>
    </w:p>
    <w:p w:rsidR="001E6839" w:rsidRPr="0064577E" w:rsidRDefault="001E6839" w:rsidP="001E6839">
      <w:pPr>
        <w:jc w:val="both"/>
        <w:rPr>
          <w:rFonts w:ascii="Times New Roman" w:hAnsi="Times New Roman"/>
          <w:sz w:val="24"/>
          <w:szCs w:val="24"/>
          <w:lang w:val="sr-Cyrl-CS"/>
        </w:rPr>
      </w:pPr>
    </w:p>
    <w:p w:rsidR="001E6839" w:rsidRDefault="001E6839" w:rsidP="001E6839">
      <w:pPr>
        <w:jc w:val="both"/>
        <w:rPr>
          <w:rFonts w:ascii="Times New Roman" w:hAnsi="Times New Roman"/>
          <w:sz w:val="24"/>
          <w:szCs w:val="24"/>
          <w:lang w:val="sr-Cyrl-CS"/>
        </w:rPr>
      </w:pPr>
      <w:r>
        <w:rPr>
          <w:rFonts w:ascii="Times New Roman" w:hAnsi="Times New Roman"/>
          <w:sz w:val="24"/>
          <w:szCs w:val="24"/>
          <w:lang w:val="sr-Cyrl-CS"/>
        </w:rPr>
        <w:t>Сд - обухвата све наплаћене порезе, таксе, доприносе, накнаде, казне итд.</w:t>
      </w:r>
    </w:p>
    <w:p w:rsidR="001E6839" w:rsidRDefault="001E6839" w:rsidP="001E6839">
      <w:pPr>
        <w:jc w:val="both"/>
        <w:rPr>
          <w:rFonts w:ascii="Times New Roman" w:hAnsi="Times New Roman"/>
          <w:sz w:val="24"/>
          <w:szCs w:val="24"/>
          <w:lang w:val="sr-Cyrl-CS"/>
        </w:rPr>
      </w:pPr>
      <w:r>
        <w:rPr>
          <w:rFonts w:ascii="Times New Roman" w:hAnsi="Times New Roman"/>
          <w:sz w:val="24"/>
          <w:szCs w:val="24"/>
          <w:lang w:val="sr-Cyrl-CS"/>
        </w:rPr>
        <w:t xml:space="preserve">До – обухвата БДП </w:t>
      </w:r>
    </w:p>
    <w:p w:rsidR="001E6839" w:rsidRDefault="001E6839" w:rsidP="001E6839">
      <w:pPr>
        <w:jc w:val="both"/>
        <w:rPr>
          <w:rFonts w:ascii="Times New Roman" w:hAnsi="Times New Roman"/>
          <w:sz w:val="24"/>
          <w:szCs w:val="24"/>
          <w:lang w:val="sr-Cyrl-CS"/>
        </w:rPr>
      </w:pPr>
      <w:r>
        <w:rPr>
          <w:rFonts w:ascii="Times New Roman" w:hAnsi="Times New Roman"/>
          <w:sz w:val="24"/>
          <w:szCs w:val="24"/>
          <w:lang w:val="sr-Cyrl-CS"/>
        </w:rPr>
        <w:t>Ако износ укупних пореских прихода посматрамо у односу према друштвеном производу, можемо оквирно добити одговор колико износи пореско оптерећење.</w:t>
      </w:r>
    </w:p>
    <w:p w:rsidR="001E6839" w:rsidRDefault="001E6839" w:rsidP="001E6839">
      <w:pPr>
        <w:jc w:val="both"/>
        <w:rPr>
          <w:rFonts w:ascii="Times New Roman" w:hAnsi="Times New Roman"/>
          <w:sz w:val="24"/>
          <w:szCs w:val="24"/>
          <w:lang w:val="sr-Cyrl-CS"/>
        </w:rPr>
      </w:pPr>
    </w:p>
    <w:p w:rsidR="001E6839" w:rsidRPr="001D1526" w:rsidRDefault="001E6839" w:rsidP="001E6839">
      <w:pPr>
        <w:jc w:val="both"/>
        <w:rPr>
          <w:rFonts w:ascii="Times New Roman" w:hAnsi="Times New Roman"/>
          <w:b/>
          <w:sz w:val="24"/>
          <w:szCs w:val="24"/>
          <w:lang w:val="sr-Cyrl-CS"/>
        </w:rPr>
      </w:pPr>
      <w:r w:rsidRPr="001D1526">
        <w:rPr>
          <w:rFonts w:ascii="Times New Roman" w:hAnsi="Times New Roman"/>
          <w:b/>
          <w:noProof/>
          <w:sz w:val="24"/>
          <w:szCs w:val="24"/>
        </w:rPr>
        <w:drawing>
          <wp:anchor distT="0" distB="0" distL="114300" distR="114300" simplePos="0" relativeHeight="251896320" behindDoc="0" locked="0" layoutInCell="1" allowOverlap="1">
            <wp:simplePos x="0" y="0"/>
            <wp:positionH relativeFrom="column">
              <wp:posOffset>91440</wp:posOffset>
            </wp:positionH>
            <wp:positionV relativeFrom="paragraph">
              <wp:posOffset>369570</wp:posOffset>
            </wp:positionV>
            <wp:extent cx="5114925" cy="2809875"/>
            <wp:effectExtent l="19050" t="0" r="9525" b="0"/>
            <wp:wrapTopAndBottom/>
            <wp:docPr id="3" name="Picture 3" descr="350px-1_Total_tax_revenue_in_the_EU-27_and_euro_area_as_a_percentage_of_GD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50px-1_Total_tax_revenue_in_the_EU-27_and_euro_area_as_a_percentage_of_GDP"/>
                    <pic:cNvPicPr>
                      <a:picLocks noChangeAspect="1" noChangeArrowheads="1"/>
                    </pic:cNvPicPr>
                  </pic:nvPicPr>
                  <pic:blipFill>
                    <a:blip r:embed="rId8"/>
                    <a:srcRect/>
                    <a:stretch>
                      <a:fillRect/>
                    </a:stretch>
                  </pic:blipFill>
                  <pic:spPr bwMode="auto">
                    <a:xfrm>
                      <a:off x="0" y="0"/>
                      <a:ext cx="5114925" cy="2809875"/>
                    </a:xfrm>
                    <a:prstGeom prst="rect">
                      <a:avLst/>
                    </a:prstGeom>
                    <a:noFill/>
                    <a:ln w="9525">
                      <a:noFill/>
                      <a:miter lim="800000"/>
                      <a:headEnd/>
                      <a:tailEnd/>
                    </a:ln>
                  </pic:spPr>
                </pic:pic>
              </a:graphicData>
            </a:graphic>
          </wp:anchor>
        </w:drawing>
      </w:r>
      <w:r w:rsidR="00A74A8E">
        <w:rPr>
          <w:rFonts w:ascii="Times New Roman" w:hAnsi="Times New Roman"/>
          <w:b/>
          <w:sz w:val="24"/>
          <w:szCs w:val="24"/>
          <w:lang w:val="sr-Cyrl-CS"/>
        </w:rPr>
        <w:t>Слика 1</w:t>
      </w:r>
      <w:r>
        <w:rPr>
          <w:rFonts w:ascii="Times New Roman" w:hAnsi="Times New Roman"/>
          <w:b/>
          <w:sz w:val="24"/>
          <w:szCs w:val="24"/>
          <w:lang w:val="sr-Cyrl-CS"/>
        </w:rPr>
        <w:t xml:space="preserve">. </w:t>
      </w:r>
      <w:r w:rsidRPr="001D1526">
        <w:rPr>
          <w:rFonts w:ascii="Times New Roman" w:hAnsi="Times New Roman"/>
          <w:b/>
          <w:sz w:val="24"/>
          <w:szCs w:val="24"/>
          <w:lang w:val="sr-Cyrl-CS"/>
        </w:rPr>
        <w:t xml:space="preserve">Укупан </w:t>
      </w:r>
      <w:r>
        <w:rPr>
          <w:rFonts w:ascii="Times New Roman" w:hAnsi="Times New Roman"/>
          <w:b/>
          <w:sz w:val="24"/>
          <w:szCs w:val="24"/>
          <w:lang w:val="sr-Cyrl-CS"/>
        </w:rPr>
        <w:t>порески приход у ЕУ и ЕА, % од Б</w:t>
      </w:r>
      <w:r w:rsidRPr="001D1526">
        <w:rPr>
          <w:rFonts w:ascii="Times New Roman" w:hAnsi="Times New Roman"/>
          <w:b/>
          <w:sz w:val="24"/>
          <w:szCs w:val="24"/>
          <w:lang w:val="sr-Cyrl-CS"/>
        </w:rPr>
        <w:t xml:space="preserve">ДП у периоду 1995-2011 </w:t>
      </w:r>
    </w:p>
    <w:p w:rsidR="001E6839" w:rsidRPr="00A30149" w:rsidRDefault="001E6839" w:rsidP="001E6839">
      <w:pPr>
        <w:jc w:val="both"/>
        <w:rPr>
          <w:lang w:val="sr-Cyrl-CS"/>
        </w:rPr>
      </w:pPr>
    </w:p>
    <w:p w:rsidR="001E6839" w:rsidRDefault="001E6839" w:rsidP="001E6839">
      <w:pPr>
        <w:ind w:firstLine="708"/>
        <w:jc w:val="both"/>
        <w:rPr>
          <w:rFonts w:ascii="Times New Roman" w:hAnsi="Times New Roman"/>
          <w:sz w:val="24"/>
          <w:szCs w:val="24"/>
          <w:lang w:val="sr-Cyrl-CS"/>
        </w:rPr>
      </w:pPr>
      <w:r w:rsidRPr="004B3F29">
        <w:rPr>
          <w:rFonts w:ascii="Times New Roman" w:hAnsi="Times New Roman"/>
          <w:sz w:val="24"/>
          <w:szCs w:val="24"/>
          <w:lang w:val="sr-Cyrl-CS"/>
        </w:rPr>
        <w:t xml:space="preserve">На </w:t>
      </w:r>
      <w:r>
        <w:rPr>
          <w:rFonts w:ascii="Times New Roman" w:hAnsi="Times New Roman"/>
          <w:sz w:val="24"/>
          <w:szCs w:val="24"/>
          <w:lang w:val="sr-Cyrl-CS"/>
        </w:rPr>
        <w:t>основу табеле се закључује да је након пада укупних пореских прихода у односу према БДП, током 2011. године дошло до поновног њиховог раста. Порески приходи у ЕУ (са доприносима) у 2011. години чине</w:t>
      </w:r>
      <w:r w:rsidR="00F044B0">
        <w:rPr>
          <w:rFonts w:ascii="Times New Roman" w:hAnsi="Times New Roman"/>
          <w:sz w:val="24"/>
          <w:szCs w:val="24"/>
          <w:lang w:val="sr-Cyrl-CS"/>
        </w:rPr>
        <w:t xml:space="preserve"> 40% од друштвеног производа, (</w:t>
      </w:r>
      <w:r>
        <w:rPr>
          <w:rFonts w:ascii="Times New Roman" w:hAnsi="Times New Roman"/>
          <w:sz w:val="24"/>
          <w:szCs w:val="24"/>
          <w:lang w:val="sr-Cyrl-CS"/>
        </w:rPr>
        <w:t xml:space="preserve">39,6% у 2010. години),  а 40,8% ( 40,3% у 2010. години) у Евро зони. У 2011. години порески приход чини 90% од државног прихода у ЕУ. У 2010. години укупни порески </w:t>
      </w:r>
      <w:r>
        <w:rPr>
          <w:rFonts w:ascii="Times New Roman" w:hAnsi="Times New Roman"/>
          <w:sz w:val="24"/>
          <w:szCs w:val="24"/>
          <w:lang w:val="sr-Cyrl-CS"/>
        </w:rPr>
        <w:lastRenderedPageBreak/>
        <w:t>приходи у осносу на БДП су били на најнижем нивоу у периоду од 1995. до 2011. године.</w:t>
      </w:r>
      <w:r>
        <w:rPr>
          <w:rStyle w:val="FootnoteReference"/>
          <w:rFonts w:ascii="Times New Roman" w:hAnsi="Times New Roman"/>
          <w:sz w:val="24"/>
          <w:szCs w:val="24"/>
          <w:lang w:val="sr-Cyrl-CS"/>
        </w:rPr>
        <w:footnoteReference w:id="100"/>
      </w:r>
    </w:p>
    <w:p w:rsidR="00B50697" w:rsidRPr="00A76342" w:rsidRDefault="00B50697" w:rsidP="001E6839">
      <w:pPr>
        <w:jc w:val="both"/>
        <w:rPr>
          <w:lang w:val="sr-Cyrl-CS"/>
        </w:rPr>
      </w:pPr>
    </w:p>
    <w:p w:rsidR="001E6839" w:rsidRPr="001D1526" w:rsidRDefault="00A74A8E" w:rsidP="001E6839">
      <w:pPr>
        <w:jc w:val="both"/>
        <w:rPr>
          <w:rFonts w:ascii="Times New Roman" w:hAnsi="Times New Roman"/>
          <w:b/>
          <w:lang w:val="sr-Cyrl-CS"/>
        </w:rPr>
      </w:pPr>
      <w:r>
        <w:rPr>
          <w:rFonts w:ascii="Times New Roman" w:hAnsi="Times New Roman"/>
          <w:b/>
          <w:lang w:val="sr-Cyrl-CS"/>
        </w:rPr>
        <w:t>Слика 2</w:t>
      </w:r>
      <w:r w:rsidR="001E6839">
        <w:rPr>
          <w:rFonts w:ascii="Times New Roman" w:hAnsi="Times New Roman"/>
          <w:b/>
          <w:lang w:val="sr-Cyrl-CS"/>
        </w:rPr>
        <w:t xml:space="preserve">. </w:t>
      </w:r>
      <w:r w:rsidR="001E6839" w:rsidRPr="001D1526">
        <w:rPr>
          <w:rFonts w:ascii="Times New Roman" w:hAnsi="Times New Roman"/>
          <w:b/>
          <w:lang w:val="sr-Cyrl-CS"/>
        </w:rPr>
        <w:t>Учешће укупне вредности пореских прихода у земљама</w:t>
      </w:r>
      <w:r w:rsidR="001E6839">
        <w:rPr>
          <w:rFonts w:ascii="Times New Roman" w:hAnsi="Times New Roman"/>
          <w:b/>
          <w:lang w:val="sr-Cyrl-CS"/>
        </w:rPr>
        <w:t xml:space="preserve"> ЕУ и Еврозоне, изражене као % Б</w:t>
      </w:r>
      <w:r w:rsidR="001E6839" w:rsidRPr="001D1526">
        <w:rPr>
          <w:rFonts w:ascii="Times New Roman" w:hAnsi="Times New Roman"/>
          <w:b/>
          <w:lang w:val="sr-Cyrl-CS"/>
        </w:rPr>
        <w:t>ДП  2011. године</w:t>
      </w:r>
    </w:p>
    <w:p w:rsidR="001E6839" w:rsidRDefault="001E6839" w:rsidP="001E6839">
      <w:pPr>
        <w:jc w:val="both"/>
        <w:rPr>
          <w:lang w:val="sr-Cyrl-CS"/>
        </w:rPr>
      </w:pPr>
    </w:p>
    <w:p w:rsidR="001E6839" w:rsidRDefault="001E6839" w:rsidP="001E6839">
      <w:pPr>
        <w:jc w:val="both"/>
        <w:rPr>
          <w:lang w:val="sr-Cyrl-CS"/>
        </w:rPr>
      </w:pPr>
      <w:r>
        <w:rPr>
          <w:noProof/>
        </w:rPr>
        <w:drawing>
          <wp:inline distT="0" distB="0" distL="0" distR="0">
            <wp:extent cx="3333750" cy="3848100"/>
            <wp:effectExtent l="19050" t="0" r="0" b="0"/>
            <wp:docPr id="6" name="Picture 4" descr="350px-2_Ranking_of_total_tax_revenue_by_Member_States_and_EFTA_countries_as_a_%25_of_GD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50px-2_Ranking_of_total_tax_revenue_by_Member_States_and_EFTA_countries_as_a_%25_of_GDP"/>
                    <pic:cNvPicPr>
                      <a:picLocks noChangeAspect="1" noChangeArrowheads="1"/>
                    </pic:cNvPicPr>
                  </pic:nvPicPr>
                  <pic:blipFill>
                    <a:blip r:embed="rId9"/>
                    <a:srcRect/>
                    <a:stretch>
                      <a:fillRect/>
                    </a:stretch>
                  </pic:blipFill>
                  <pic:spPr bwMode="auto">
                    <a:xfrm>
                      <a:off x="0" y="0"/>
                      <a:ext cx="3333750" cy="3848100"/>
                    </a:xfrm>
                    <a:prstGeom prst="rect">
                      <a:avLst/>
                    </a:prstGeom>
                    <a:noFill/>
                    <a:ln w="9525">
                      <a:noFill/>
                      <a:miter lim="800000"/>
                      <a:headEnd/>
                      <a:tailEnd/>
                    </a:ln>
                  </pic:spPr>
                </pic:pic>
              </a:graphicData>
            </a:graphic>
          </wp:inline>
        </w:drawing>
      </w:r>
    </w:p>
    <w:p w:rsidR="001E6839" w:rsidRDefault="001E6839" w:rsidP="001E6839">
      <w:pPr>
        <w:jc w:val="both"/>
        <w:rPr>
          <w:rFonts w:ascii="Times New Roman" w:hAnsi="Times New Roman"/>
          <w:sz w:val="24"/>
          <w:szCs w:val="24"/>
        </w:rPr>
      </w:pPr>
      <w:r>
        <w:rPr>
          <w:rFonts w:ascii="Times New Roman" w:hAnsi="Times New Roman"/>
          <w:sz w:val="24"/>
          <w:szCs w:val="24"/>
          <w:lang w:val="sr-Cyrl-CS"/>
        </w:rPr>
        <w:t>Из табеле произилази да је учешће укупних пореских прихода, посматрано у односу према друштвеном производу, било је највеће у Данској (48,6%), Белгији (46,7%) и Француској (45,9%), док су најниже забележене у Литванији (26,4% БДП), Бугарској (27,2% БДП) и Летонији (27,7% БДП).</w:t>
      </w:r>
      <w:r>
        <w:rPr>
          <w:rStyle w:val="FootnoteReference"/>
          <w:rFonts w:ascii="Times New Roman" w:hAnsi="Times New Roman"/>
          <w:sz w:val="24"/>
          <w:szCs w:val="24"/>
          <w:lang w:val="sr-Cyrl-CS"/>
        </w:rPr>
        <w:footnoteReference w:id="101"/>
      </w:r>
      <w:r>
        <w:rPr>
          <w:rFonts w:ascii="Times New Roman" w:hAnsi="Times New Roman"/>
          <w:sz w:val="24"/>
          <w:szCs w:val="24"/>
          <w:lang w:val="sr-Cyrl-CS"/>
        </w:rPr>
        <w:t xml:space="preserve"> </w:t>
      </w:r>
    </w:p>
    <w:p w:rsidR="00B50697" w:rsidRDefault="00B50697" w:rsidP="001E6839">
      <w:pPr>
        <w:jc w:val="both"/>
        <w:rPr>
          <w:rFonts w:ascii="Times New Roman" w:hAnsi="Times New Roman"/>
          <w:sz w:val="24"/>
          <w:szCs w:val="24"/>
        </w:rPr>
      </w:pPr>
    </w:p>
    <w:p w:rsidR="00B50697" w:rsidRDefault="00B50697" w:rsidP="001E6839">
      <w:pPr>
        <w:jc w:val="both"/>
        <w:rPr>
          <w:rFonts w:ascii="Times New Roman" w:hAnsi="Times New Roman"/>
          <w:sz w:val="24"/>
          <w:szCs w:val="24"/>
        </w:rPr>
      </w:pPr>
    </w:p>
    <w:p w:rsidR="00B50697" w:rsidRDefault="00B50697" w:rsidP="001E6839">
      <w:pPr>
        <w:jc w:val="both"/>
        <w:rPr>
          <w:rFonts w:ascii="Times New Roman" w:hAnsi="Times New Roman"/>
          <w:sz w:val="24"/>
          <w:szCs w:val="24"/>
        </w:rPr>
      </w:pPr>
    </w:p>
    <w:p w:rsidR="00B50697" w:rsidRDefault="00B50697" w:rsidP="001E6839">
      <w:pPr>
        <w:jc w:val="both"/>
        <w:rPr>
          <w:rFonts w:ascii="Times New Roman" w:hAnsi="Times New Roman"/>
          <w:sz w:val="24"/>
          <w:szCs w:val="24"/>
        </w:rPr>
      </w:pPr>
    </w:p>
    <w:p w:rsidR="00B50697" w:rsidRPr="00A76342" w:rsidRDefault="00B50697" w:rsidP="001E6839">
      <w:pPr>
        <w:jc w:val="both"/>
        <w:rPr>
          <w:rFonts w:ascii="Times New Roman" w:hAnsi="Times New Roman"/>
          <w:sz w:val="24"/>
          <w:szCs w:val="24"/>
          <w:lang w:val="sr-Cyrl-CS"/>
        </w:rPr>
      </w:pPr>
    </w:p>
    <w:p w:rsidR="001E6839" w:rsidRPr="004D5D9D" w:rsidRDefault="00A74A8E" w:rsidP="001E6839">
      <w:pPr>
        <w:jc w:val="both"/>
        <w:rPr>
          <w:rFonts w:ascii="Times New Roman" w:hAnsi="Times New Roman"/>
          <w:b/>
          <w:sz w:val="24"/>
          <w:szCs w:val="24"/>
          <w:lang w:val="sr-Cyrl-CS"/>
        </w:rPr>
      </w:pPr>
      <w:r>
        <w:rPr>
          <w:rFonts w:ascii="Times New Roman" w:hAnsi="Times New Roman"/>
          <w:b/>
          <w:sz w:val="24"/>
          <w:szCs w:val="24"/>
          <w:lang w:val="sr-Cyrl-CS"/>
        </w:rPr>
        <w:lastRenderedPageBreak/>
        <w:t xml:space="preserve"> Слика 3</w:t>
      </w:r>
      <w:r w:rsidR="001E6839" w:rsidRPr="004D5D9D">
        <w:rPr>
          <w:rFonts w:ascii="Times New Roman" w:hAnsi="Times New Roman"/>
          <w:b/>
          <w:sz w:val="24"/>
          <w:szCs w:val="24"/>
          <w:lang w:val="sr-Cyrl-CS"/>
        </w:rPr>
        <w:t>.</w:t>
      </w:r>
      <w:r w:rsidR="001E6839">
        <w:rPr>
          <w:lang w:val="sr-Cyrl-CS"/>
        </w:rPr>
        <w:t xml:space="preserve"> </w:t>
      </w:r>
      <w:r w:rsidR="001E6839" w:rsidRPr="004D5D9D">
        <w:rPr>
          <w:rFonts w:ascii="Times New Roman" w:hAnsi="Times New Roman"/>
          <w:b/>
          <w:sz w:val="24"/>
          <w:szCs w:val="24"/>
        </w:rPr>
        <w:t xml:space="preserve">Приказ кретања укупних пореских прихода </w:t>
      </w:r>
      <w:r w:rsidR="001E6839" w:rsidRPr="004D5D9D">
        <w:rPr>
          <w:rFonts w:ascii="Times New Roman" w:hAnsi="Times New Roman"/>
          <w:b/>
          <w:sz w:val="24"/>
          <w:szCs w:val="24"/>
          <w:lang w:val="sr-Cyrl-CS"/>
        </w:rPr>
        <w:t>у ЕУ и ЕА, у билионима еура, 1995-2011</w:t>
      </w:r>
    </w:p>
    <w:p w:rsidR="001E6839" w:rsidRDefault="001E6839" w:rsidP="001E6839">
      <w:pPr>
        <w:jc w:val="both"/>
        <w:rPr>
          <w:lang w:val="sr-Cyrl-CS"/>
        </w:rPr>
      </w:pPr>
      <w:r w:rsidRPr="004B3F29">
        <w:rPr>
          <w:lang w:val="sr-Cyrl-CS"/>
        </w:rPr>
        <w:t xml:space="preserve"> </w:t>
      </w:r>
      <w:r>
        <w:rPr>
          <w:noProof/>
        </w:rPr>
        <w:drawing>
          <wp:inline distT="0" distB="0" distL="0" distR="0">
            <wp:extent cx="4591050" cy="2724150"/>
            <wp:effectExtent l="19050" t="0" r="0" b="0"/>
            <wp:docPr id="7" name="Picture 5" descr="350px-3_Evolution_of_tax_revenue_in_the_EU-27_and_EA-17_billions_of_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50px-3_Evolution_of_tax_revenue_in_the_EU-27_and_EA-17_billions_of_eur"/>
                    <pic:cNvPicPr>
                      <a:picLocks noChangeAspect="1" noChangeArrowheads="1"/>
                    </pic:cNvPicPr>
                  </pic:nvPicPr>
                  <pic:blipFill>
                    <a:blip r:embed="rId10"/>
                    <a:srcRect/>
                    <a:stretch>
                      <a:fillRect/>
                    </a:stretch>
                  </pic:blipFill>
                  <pic:spPr bwMode="auto">
                    <a:xfrm>
                      <a:off x="0" y="0"/>
                      <a:ext cx="4591050" cy="2724150"/>
                    </a:xfrm>
                    <a:prstGeom prst="rect">
                      <a:avLst/>
                    </a:prstGeom>
                    <a:noFill/>
                    <a:ln w="9525">
                      <a:noFill/>
                      <a:miter lim="800000"/>
                      <a:headEnd/>
                      <a:tailEnd/>
                    </a:ln>
                  </pic:spPr>
                </pic:pic>
              </a:graphicData>
            </a:graphic>
          </wp:inline>
        </w:drawing>
      </w:r>
    </w:p>
    <w:p w:rsidR="001E6839" w:rsidRPr="001D1526" w:rsidRDefault="001E6839" w:rsidP="001E6839">
      <w:pPr>
        <w:ind w:firstLine="708"/>
        <w:jc w:val="both"/>
        <w:rPr>
          <w:rFonts w:ascii="Times New Roman" w:hAnsi="Times New Roman"/>
          <w:sz w:val="24"/>
          <w:szCs w:val="24"/>
        </w:rPr>
      </w:pPr>
      <w:r>
        <w:rPr>
          <w:rFonts w:ascii="Times New Roman" w:hAnsi="Times New Roman"/>
          <w:sz w:val="24"/>
          <w:szCs w:val="24"/>
          <w:lang w:val="sr-Cyrl-CS"/>
        </w:rPr>
        <w:t>На основу табеле се може закључити да је у односу на вредности укупних пореских прихода изражених као проценат у друштвеном производу у 2007. години, њихов ниво смањен у 2010. години, док током 2011. године долази до пораста, што је резултат пореских мера које су последњих година предузеле државе чланице како би се смањио буџески дефицит. Постоји много разлога за варирање процента укупних пореских прихода у БДП, али се главни разлози огледају у променама економских активности, променама пореских закона (у погледу пореских стопа, пореских основица, пореских ослобођења итд.), као и у променама у нивоу БДП.  У периоду 2009-2011 на ниво и структуру пореских прихода јак утицај има криза и мере фискалне политике, иако су први ефекти били видљиви у 2008. години. Забележен пораст у 2011. години је резултат предузетих мера у неким земљама чланицама као што су повећане стопе пореза на додату вредност и увођење нових пореза.</w:t>
      </w:r>
      <w:r>
        <w:rPr>
          <w:rStyle w:val="FootnoteReference"/>
          <w:rFonts w:ascii="Times New Roman" w:hAnsi="Times New Roman"/>
          <w:sz w:val="24"/>
          <w:szCs w:val="24"/>
          <w:lang w:val="sr-Cyrl-CS"/>
        </w:rPr>
        <w:footnoteReference w:id="102"/>
      </w:r>
      <w:r>
        <w:rPr>
          <w:rFonts w:ascii="Times New Roman" w:hAnsi="Times New Roman"/>
          <w:sz w:val="24"/>
          <w:szCs w:val="24"/>
          <w:lang w:val="sr-Cyrl-CS"/>
        </w:rPr>
        <w:t xml:space="preserve"> </w:t>
      </w:r>
      <w:r>
        <w:rPr>
          <w:rFonts w:ascii="Times New Roman" w:hAnsi="Times New Roman"/>
          <w:sz w:val="24"/>
          <w:szCs w:val="24"/>
        </w:rPr>
        <w:t>Из наведених статистичких података произлази да је у појединим земљама удео пореза (са доприносима) скоро 50%</w:t>
      </w:r>
      <w:r>
        <w:rPr>
          <w:rFonts w:ascii="Times New Roman" w:hAnsi="Times New Roman"/>
          <w:sz w:val="24"/>
          <w:szCs w:val="24"/>
          <w:lang w:val="sr-Cyrl-CS"/>
        </w:rPr>
        <w:t xml:space="preserve">, те да је у свим земљама током 2011. године дошло до пораста пореског оптерећења. </w:t>
      </w:r>
    </w:p>
    <w:p w:rsidR="001E6839" w:rsidRPr="004D5D9D" w:rsidRDefault="001E6839" w:rsidP="001E6839">
      <w:pPr>
        <w:ind w:firstLine="708"/>
        <w:jc w:val="both"/>
        <w:rPr>
          <w:rFonts w:ascii="Times New Roman" w:hAnsi="Times New Roman"/>
          <w:sz w:val="24"/>
          <w:szCs w:val="24"/>
          <w:lang w:val="sr-Cyrl-CS"/>
        </w:rPr>
      </w:pPr>
      <w:r>
        <w:rPr>
          <w:rFonts w:ascii="Times New Roman" w:hAnsi="Times New Roman"/>
          <w:sz w:val="24"/>
          <w:szCs w:val="24"/>
          <w:lang w:val="sr-Cyrl-CS"/>
        </w:rPr>
        <w:t>Према извештају Пореске управе у САД грађани су у просеку платили 9,9% својих прихода на порезе током 2010. године. То је више за 9,3% у односу на 2000. годину, али је пореско оптерећење у основи непромењено у односу на 2009. годину. Са друге стране приход по глави становника је пао са 42.539</w:t>
      </w:r>
      <w:r>
        <w:rPr>
          <w:rFonts w:ascii="Times New Roman" w:hAnsi="Times New Roman"/>
          <w:sz w:val="24"/>
          <w:szCs w:val="24"/>
          <w:lang w:val="en-US"/>
        </w:rPr>
        <w:t>$</w:t>
      </w:r>
      <w:r>
        <w:rPr>
          <w:rFonts w:ascii="Times New Roman" w:hAnsi="Times New Roman"/>
          <w:sz w:val="24"/>
          <w:szCs w:val="24"/>
          <w:lang w:val="sr-Cyrl-CS"/>
        </w:rPr>
        <w:t xml:space="preserve"> у 2009. години на 41.146</w:t>
      </w:r>
      <w:r>
        <w:rPr>
          <w:rFonts w:ascii="Times New Roman" w:hAnsi="Times New Roman"/>
          <w:sz w:val="24"/>
          <w:szCs w:val="24"/>
          <w:lang w:val="en-US"/>
        </w:rPr>
        <w:t>$</w:t>
      </w:r>
      <w:r>
        <w:rPr>
          <w:rFonts w:ascii="Times New Roman" w:hAnsi="Times New Roman"/>
          <w:sz w:val="24"/>
          <w:szCs w:val="24"/>
          <w:lang w:val="sr-Cyrl-CS"/>
        </w:rPr>
        <w:t xml:space="preserve"> у 2010. години</w:t>
      </w:r>
      <w:r>
        <w:rPr>
          <w:rFonts w:ascii="Times New Roman" w:hAnsi="Times New Roman"/>
          <w:sz w:val="24"/>
          <w:szCs w:val="24"/>
          <w:lang w:val="en-US"/>
        </w:rPr>
        <w:t xml:space="preserve">. </w:t>
      </w:r>
      <w:r>
        <w:rPr>
          <w:rFonts w:ascii="Times New Roman" w:hAnsi="Times New Roman"/>
          <w:sz w:val="24"/>
          <w:szCs w:val="24"/>
          <w:lang w:val="sr-Cyrl-CS"/>
        </w:rPr>
        <w:t>У неким државама САД пореско оптерећење грађана у односу на њихове приходе је знатно повећано. У држави Њујорк порези који се плаћају по глави становника су порасли за више од 200</w:t>
      </w:r>
      <w:r>
        <w:rPr>
          <w:rFonts w:ascii="Times New Roman" w:hAnsi="Times New Roman"/>
          <w:sz w:val="24"/>
          <w:szCs w:val="24"/>
          <w:lang w:val="en-US"/>
        </w:rPr>
        <w:t>$</w:t>
      </w:r>
      <w:r>
        <w:rPr>
          <w:rFonts w:ascii="Times New Roman" w:hAnsi="Times New Roman"/>
          <w:sz w:val="24"/>
          <w:szCs w:val="24"/>
          <w:lang w:val="sr-Cyrl-CS"/>
        </w:rPr>
        <w:t xml:space="preserve"> , док је приход по глави становника пао за више од 1000</w:t>
      </w:r>
      <w:r>
        <w:rPr>
          <w:rFonts w:ascii="Times New Roman" w:hAnsi="Times New Roman"/>
          <w:sz w:val="24"/>
          <w:szCs w:val="24"/>
          <w:lang w:val="en-US"/>
        </w:rPr>
        <w:t>$.</w:t>
      </w:r>
      <w:r>
        <w:rPr>
          <w:rFonts w:ascii="Times New Roman" w:hAnsi="Times New Roman"/>
          <w:sz w:val="24"/>
          <w:szCs w:val="24"/>
          <w:lang w:val="sr-Cyrl-CS"/>
        </w:rPr>
        <w:t xml:space="preserve"> Становници Њујорка су платили 12,8% својих прихода за порезе. У држави </w:t>
      </w:r>
      <w:r>
        <w:rPr>
          <w:rFonts w:ascii="Times New Roman" w:hAnsi="Times New Roman"/>
          <w:sz w:val="24"/>
          <w:szCs w:val="24"/>
          <w:lang w:val="sr-Cyrl-CS"/>
        </w:rPr>
        <w:lastRenderedPageBreak/>
        <w:t>Њујорк је највеће пореско оптерећење док на Аљасци порески обвезници плаћају 7% од својих прихода на порезе.</w:t>
      </w:r>
      <w:r>
        <w:rPr>
          <w:rStyle w:val="FootnoteReference"/>
          <w:rFonts w:ascii="Times New Roman" w:hAnsi="Times New Roman"/>
          <w:sz w:val="24"/>
          <w:szCs w:val="24"/>
          <w:lang w:val="sr-Cyrl-CS"/>
        </w:rPr>
        <w:footnoteReference w:id="103"/>
      </w:r>
    </w:p>
    <w:p w:rsidR="001E6839" w:rsidRPr="001D1526" w:rsidRDefault="00A74A8E" w:rsidP="001E6839">
      <w:pPr>
        <w:jc w:val="both"/>
        <w:rPr>
          <w:rFonts w:ascii="Times New Roman" w:hAnsi="Times New Roman"/>
          <w:b/>
          <w:lang w:val="sr-Cyrl-CS"/>
        </w:rPr>
      </w:pPr>
      <w:r>
        <w:rPr>
          <w:rFonts w:ascii="Times New Roman" w:hAnsi="Times New Roman"/>
          <w:b/>
          <w:lang w:val="sr-Cyrl-CS"/>
        </w:rPr>
        <w:t>Табела 2</w:t>
      </w:r>
      <w:r w:rsidR="001E6839">
        <w:rPr>
          <w:rFonts w:ascii="Times New Roman" w:hAnsi="Times New Roman"/>
          <w:b/>
          <w:lang w:val="sr-Cyrl-CS"/>
        </w:rPr>
        <w:t xml:space="preserve">. </w:t>
      </w:r>
      <w:r w:rsidR="001E6839" w:rsidRPr="001D1526">
        <w:rPr>
          <w:rFonts w:ascii="Times New Roman" w:hAnsi="Times New Roman"/>
          <w:b/>
        </w:rPr>
        <w:t>Укупни порески</w:t>
      </w:r>
      <w:r w:rsidR="001E6839">
        <w:rPr>
          <w:rFonts w:ascii="Times New Roman" w:hAnsi="Times New Roman"/>
          <w:b/>
        </w:rPr>
        <w:t xml:space="preserve"> приходи изражени као проценат </w:t>
      </w:r>
      <w:r w:rsidR="001E6839">
        <w:rPr>
          <w:rFonts w:ascii="Times New Roman" w:hAnsi="Times New Roman"/>
          <w:b/>
          <w:lang w:val="sr-Cyrl-CS"/>
        </w:rPr>
        <w:t>Б</w:t>
      </w:r>
      <w:r w:rsidR="001E6839" w:rsidRPr="001D1526">
        <w:rPr>
          <w:rFonts w:ascii="Times New Roman" w:hAnsi="Times New Roman"/>
          <w:b/>
        </w:rPr>
        <w:t xml:space="preserve">ДП у </w:t>
      </w:r>
      <w:r w:rsidR="001E6839" w:rsidRPr="001D1526">
        <w:rPr>
          <w:rFonts w:ascii="Times New Roman" w:hAnsi="Times New Roman"/>
          <w:b/>
          <w:lang w:val="sr-Cyrl-CS"/>
        </w:rPr>
        <w:t>чланицама ОЕЦД, 2008-2011</w:t>
      </w:r>
    </w:p>
    <w:tbl>
      <w:tblPr>
        <w:tblW w:w="8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23"/>
        <w:gridCol w:w="1743"/>
        <w:gridCol w:w="1744"/>
        <w:gridCol w:w="1744"/>
        <w:gridCol w:w="1744"/>
      </w:tblGrid>
      <w:tr w:rsidR="001E6839" w:rsidRPr="00E34AB2" w:rsidTr="00797641">
        <w:trPr>
          <w:trHeight w:val="132"/>
        </w:trPr>
        <w:tc>
          <w:tcPr>
            <w:tcW w:w="1923" w:type="dxa"/>
          </w:tcPr>
          <w:p w:rsidR="001E6839" w:rsidRPr="006D724E" w:rsidRDefault="001E6839" w:rsidP="00797641">
            <w:pPr>
              <w:pStyle w:val="NoSpacing"/>
              <w:rPr>
                <w:szCs w:val="24"/>
              </w:rPr>
            </w:pPr>
          </w:p>
        </w:tc>
        <w:tc>
          <w:tcPr>
            <w:tcW w:w="1743" w:type="dxa"/>
          </w:tcPr>
          <w:p w:rsidR="001E6839" w:rsidRPr="006D724E" w:rsidRDefault="001E6839" w:rsidP="00797641">
            <w:pPr>
              <w:pStyle w:val="NoSpacing"/>
              <w:rPr>
                <w:szCs w:val="24"/>
              </w:rPr>
            </w:pPr>
            <w:r w:rsidRPr="006D724E">
              <w:rPr>
                <w:szCs w:val="24"/>
              </w:rPr>
              <w:t>2008</w:t>
            </w:r>
          </w:p>
        </w:tc>
        <w:tc>
          <w:tcPr>
            <w:tcW w:w="1744" w:type="dxa"/>
          </w:tcPr>
          <w:p w:rsidR="001E6839" w:rsidRPr="006D724E" w:rsidRDefault="001E6839" w:rsidP="00797641">
            <w:pPr>
              <w:pStyle w:val="NoSpacing"/>
              <w:rPr>
                <w:szCs w:val="24"/>
              </w:rPr>
            </w:pPr>
            <w:r w:rsidRPr="006D724E">
              <w:rPr>
                <w:szCs w:val="24"/>
              </w:rPr>
              <w:t>2009</w:t>
            </w:r>
          </w:p>
        </w:tc>
        <w:tc>
          <w:tcPr>
            <w:tcW w:w="1744" w:type="dxa"/>
          </w:tcPr>
          <w:p w:rsidR="001E6839" w:rsidRPr="006D724E" w:rsidRDefault="001E6839" w:rsidP="00797641">
            <w:pPr>
              <w:pStyle w:val="NoSpacing"/>
              <w:rPr>
                <w:szCs w:val="24"/>
              </w:rPr>
            </w:pPr>
            <w:r w:rsidRPr="006D724E">
              <w:rPr>
                <w:szCs w:val="24"/>
              </w:rPr>
              <w:t>2010</w:t>
            </w:r>
          </w:p>
        </w:tc>
        <w:tc>
          <w:tcPr>
            <w:tcW w:w="1744" w:type="dxa"/>
          </w:tcPr>
          <w:p w:rsidR="001E6839" w:rsidRPr="006D724E" w:rsidRDefault="001E6839" w:rsidP="00797641">
            <w:pPr>
              <w:pStyle w:val="NoSpacing"/>
              <w:rPr>
                <w:szCs w:val="24"/>
              </w:rPr>
            </w:pPr>
            <w:r w:rsidRPr="006D724E">
              <w:rPr>
                <w:szCs w:val="24"/>
              </w:rPr>
              <w:t>2011</w:t>
            </w:r>
          </w:p>
        </w:tc>
      </w:tr>
      <w:tr w:rsidR="001E6839" w:rsidRPr="00E34AB2" w:rsidTr="00797641">
        <w:trPr>
          <w:trHeight w:val="132"/>
        </w:trPr>
        <w:tc>
          <w:tcPr>
            <w:tcW w:w="1923" w:type="dxa"/>
          </w:tcPr>
          <w:p w:rsidR="001E6839" w:rsidRPr="006D724E" w:rsidRDefault="001E6839" w:rsidP="00797641">
            <w:pPr>
              <w:pStyle w:val="NoSpacing"/>
              <w:rPr>
                <w:szCs w:val="24"/>
              </w:rPr>
            </w:pPr>
            <w:r w:rsidRPr="006D724E">
              <w:rPr>
                <w:szCs w:val="24"/>
              </w:rPr>
              <w:t>АУСТРАЛИЈА</w:t>
            </w:r>
          </w:p>
        </w:tc>
        <w:tc>
          <w:tcPr>
            <w:tcW w:w="1743" w:type="dxa"/>
          </w:tcPr>
          <w:p w:rsidR="001E6839" w:rsidRPr="006D724E" w:rsidRDefault="001E6839" w:rsidP="00797641">
            <w:pPr>
              <w:pStyle w:val="NoSpacing"/>
              <w:rPr>
                <w:szCs w:val="24"/>
              </w:rPr>
            </w:pPr>
            <w:r w:rsidRPr="006D724E">
              <w:rPr>
                <w:szCs w:val="24"/>
              </w:rPr>
              <w:t>27,1</w:t>
            </w:r>
          </w:p>
        </w:tc>
        <w:tc>
          <w:tcPr>
            <w:tcW w:w="1744" w:type="dxa"/>
          </w:tcPr>
          <w:p w:rsidR="001E6839" w:rsidRPr="006D724E" w:rsidRDefault="001E6839" w:rsidP="00797641">
            <w:pPr>
              <w:pStyle w:val="NoSpacing"/>
              <w:rPr>
                <w:szCs w:val="24"/>
              </w:rPr>
            </w:pPr>
            <w:r w:rsidRPr="006D724E">
              <w:rPr>
                <w:szCs w:val="24"/>
              </w:rPr>
              <w:t>25,8</w:t>
            </w:r>
          </w:p>
        </w:tc>
        <w:tc>
          <w:tcPr>
            <w:tcW w:w="1744" w:type="dxa"/>
          </w:tcPr>
          <w:p w:rsidR="001E6839" w:rsidRPr="006D724E" w:rsidRDefault="001E6839" w:rsidP="00797641">
            <w:pPr>
              <w:pStyle w:val="NoSpacing"/>
              <w:rPr>
                <w:szCs w:val="24"/>
              </w:rPr>
            </w:pPr>
            <w:r w:rsidRPr="006D724E">
              <w:rPr>
                <w:szCs w:val="24"/>
              </w:rPr>
              <w:t>25,6</w:t>
            </w:r>
          </w:p>
        </w:tc>
        <w:tc>
          <w:tcPr>
            <w:tcW w:w="1744" w:type="dxa"/>
          </w:tcPr>
          <w:p w:rsidR="001E6839" w:rsidRPr="006D724E" w:rsidRDefault="001E6839" w:rsidP="00797641">
            <w:pPr>
              <w:pStyle w:val="NoSpacing"/>
              <w:rPr>
                <w:szCs w:val="24"/>
              </w:rPr>
            </w:pPr>
          </w:p>
        </w:tc>
      </w:tr>
      <w:tr w:rsidR="001E6839" w:rsidRPr="00E34AB2" w:rsidTr="00797641">
        <w:trPr>
          <w:trHeight w:val="132"/>
        </w:trPr>
        <w:tc>
          <w:tcPr>
            <w:tcW w:w="1923" w:type="dxa"/>
          </w:tcPr>
          <w:p w:rsidR="001E6839" w:rsidRPr="006D724E" w:rsidRDefault="001E6839" w:rsidP="00797641">
            <w:pPr>
              <w:pStyle w:val="NoSpacing"/>
              <w:rPr>
                <w:szCs w:val="24"/>
              </w:rPr>
            </w:pPr>
            <w:r w:rsidRPr="006D724E">
              <w:rPr>
                <w:szCs w:val="24"/>
              </w:rPr>
              <w:t>АУСТРИЈА</w:t>
            </w:r>
          </w:p>
        </w:tc>
        <w:tc>
          <w:tcPr>
            <w:tcW w:w="1743" w:type="dxa"/>
          </w:tcPr>
          <w:p w:rsidR="001E6839" w:rsidRPr="006D724E" w:rsidRDefault="001E6839" w:rsidP="00797641">
            <w:pPr>
              <w:pStyle w:val="NoSpacing"/>
              <w:rPr>
                <w:szCs w:val="24"/>
              </w:rPr>
            </w:pPr>
            <w:r w:rsidRPr="006D724E">
              <w:rPr>
                <w:szCs w:val="24"/>
              </w:rPr>
              <w:t>42,8</w:t>
            </w:r>
          </w:p>
        </w:tc>
        <w:tc>
          <w:tcPr>
            <w:tcW w:w="1744" w:type="dxa"/>
          </w:tcPr>
          <w:p w:rsidR="001E6839" w:rsidRPr="006D724E" w:rsidRDefault="001E6839" w:rsidP="00797641">
            <w:pPr>
              <w:pStyle w:val="NoSpacing"/>
              <w:rPr>
                <w:szCs w:val="24"/>
              </w:rPr>
            </w:pPr>
            <w:r w:rsidRPr="006D724E">
              <w:rPr>
                <w:szCs w:val="24"/>
              </w:rPr>
              <w:t>42,5</w:t>
            </w:r>
          </w:p>
        </w:tc>
        <w:tc>
          <w:tcPr>
            <w:tcW w:w="1744" w:type="dxa"/>
          </w:tcPr>
          <w:p w:rsidR="001E6839" w:rsidRPr="006D724E" w:rsidRDefault="001E6839" w:rsidP="00797641">
            <w:pPr>
              <w:pStyle w:val="NoSpacing"/>
              <w:rPr>
                <w:szCs w:val="24"/>
              </w:rPr>
            </w:pPr>
            <w:r w:rsidRPr="006D724E">
              <w:rPr>
                <w:szCs w:val="24"/>
              </w:rPr>
              <w:t>42,0</w:t>
            </w:r>
          </w:p>
        </w:tc>
        <w:tc>
          <w:tcPr>
            <w:tcW w:w="1744" w:type="dxa"/>
          </w:tcPr>
          <w:p w:rsidR="001E6839" w:rsidRPr="006D724E" w:rsidRDefault="001E6839" w:rsidP="00797641">
            <w:pPr>
              <w:pStyle w:val="NoSpacing"/>
              <w:rPr>
                <w:szCs w:val="24"/>
              </w:rPr>
            </w:pPr>
            <w:r w:rsidRPr="006D724E">
              <w:rPr>
                <w:szCs w:val="24"/>
              </w:rPr>
              <w:t>42,1</w:t>
            </w:r>
          </w:p>
        </w:tc>
      </w:tr>
      <w:tr w:rsidR="001E6839" w:rsidRPr="00E34AB2" w:rsidTr="00797641">
        <w:trPr>
          <w:trHeight w:val="132"/>
        </w:trPr>
        <w:tc>
          <w:tcPr>
            <w:tcW w:w="1923" w:type="dxa"/>
          </w:tcPr>
          <w:p w:rsidR="001E6839" w:rsidRPr="006D724E" w:rsidRDefault="001E6839" w:rsidP="00797641">
            <w:pPr>
              <w:pStyle w:val="NoSpacing"/>
              <w:rPr>
                <w:szCs w:val="24"/>
              </w:rPr>
            </w:pPr>
            <w:r w:rsidRPr="006D724E">
              <w:rPr>
                <w:szCs w:val="24"/>
              </w:rPr>
              <w:t>БЕЛГИЈА</w:t>
            </w:r>
          </w:p>
        </w:tc>
        <w:tc>
          <w:tcPr>
            <w:tcW w:w="1743" w:type="dxa"/>
          </w:tcPr>
          <w:p w:rsidR="001E6839" w:rsidRPr="006D724E" w:rsidRDefault="001E6839" w:rsidP="00797641">
            <w:pPr>
              <w:pStyle w:val="NoSpacing"/>
              <w:rPr>
                <w:szCs w:val="24"/>
              </w:rPr>
            </w:pPr>
            <w:r w:rsidRPr="006D724E">
              <w:rPr>
                <w:szCs w:val="24"/>
              </w:rPr>
              <w:t>43,9</w:t>
            </w:r>
          </w:p>
        </w:tc>
        <w:tc>
          <w:tcPr>
            <w:tcW w:w="1744" w:type="dxa"/>
          </w:tcPr>
          <w:p w:rsidR="001E6839" w:rsidRPr="006D724E" w:rsidRDefault="001E6839" w:rsidP="00797641">
            <w:pPr>
              <w:pStyle w:val="NoSpacing"/>
              <w:rPr>
                <w:szCs w:val="24"/>
              </w:rPr>
            </w:pPr>
            <w:r w:rsidRPr="006D724E">
              <w:rPr>
                <w:szCs w:val="24"/>
              </w:rPr>
              <w:t>43,1</w:t>
            </w:r>
          </w:p>
        </w:tc>
        <w:tc>
          <w:tcPr>
            <w:tcW w:w="1744" w:type="dxa"/>
          </w:tcPr>
          <w:p w:rsidR="001E6839" w:rsidRPr="006D724E" w:rsidRDefault="001E6839" w:rsidP="00797641">
            <w:pPr>
              <w:pStyle w:val="NoSpacing"/>
              <w:rPr>
                <w:szCs w:val="24"/>
              </w:rPr>
            </w:pPr>
            <w:r w:rsidRPr="006D724E">
              <w:rPr>
                <w:szCs w:val="24"/>
              </w:rPr>
              <w:t>43,5</w:t>
            </w:r>
          </w:p>
        </w:tc>
        <w:tc>
          <w:tcPr>
            <w:tcW w:w="1744" w:type="dxa"/>
          </w:tcPr>
          <w:p w:rsidR="001E6839" w:rsidRPr="006D724E" w:rsidRDefault="001E6839" w:rsidP="00797641">
            <w:pPr>
              <w:pStyle w:val="NoSpacing"/>
              <w:rPr>
                <w:szCs w:val="24"/>
              </w:rPr>
            </w:pPr>
            <w:r w:rsidRPr="006D724E">
              <w:rPr>
                <w:szCs w:val="24"/>
              </w:rPr>
              <w:t>44,0</w:t>
            </w:r>
          </w:p>
        </w:tc>
      </w:tr>
      <w:tr w:rsidR="001E6839" w:rsidRPr="00E34AB2" w:rsidTr="00797641">
        <w:trPr>
          <w:trHeight w:val="132"/>
        </w:trPr>
        <w:tc>
          <w:tcPr>
            <w:tcW w:w="1923" w:type="dxa"/>
          </w:tcPr>
          <w:p w:rsidR="001E6839" w:rsidRPr="006D724E" w:rsidRDefault="001E6839" w:rsidP="00797641">
            <w:pPr>
              <w:pStyle w:val="NoSpacing"/>
              <w:rPr>
                <w:szCs w:val="24"/>
              </w:rPr>
            </w:pPr>
            <w:r w:rsidRPr="006D724E">
              <w:rPr>
                <w:szCs w:val="24"/>
              </w:rPr>
              <w:t xml:space="preserve">КАНАДА </w:t>
            </w:r>
          </w:p>
        </w:tc>
        <w:tc>
          <w:tcPr>
            <w:tcW w:w="1743" w:type="dxa"/>
          </w:tcPr>
          <w:p w:rsidR="001E6839" w:rsidRPr="006D724E" w:rsidRDefault="001E6839" w:rsidP="00797641">
            <w:pPr>
              <w:pStyle w:val="NoSpacing"/>
              <w:rPr>
                <w:szCs w:val="24"/>
              </w:rPr>
            </w:pPr>
            <w:r w:rsidRPr="006D724E">
              <w:rPr>
                <w:szCs w:val="24"/>
              </w:rPr>
              <w:t>32,3</w:t>
            </w:r>
          </w:p>
        </w:tc>
        <w:tc>
          <w:tcPr>
            <w:tcW w:w="1744" w:type="dxa"/>
          </w:tcPr>
          <w:p w:rsidR="001E6839" w:rsidRPr="006D724E" w:rsidRDefault="001E6839" w:rsidP="00797641">
            <w:pPr>
              <w:pStyle w:val="NoSpacing"/>
              <w:rPr>
                <w:szCs w:val="24"/>
              </w:rPr>
            </w:pPr>
            <w:r w:rsidRPr="006D724E">
              <w:rPr>
                <w:szCs w:val="24"/>
              </w:rPr>
              <w:t>32,1</w:t>
            </w:r>
          </w:p>
        </w:tc>
        <w:tc>
          <w:tcPr>
            <w:tcW w:w="1744" w:type="dxa"/>
          </w:tcPr>
          <w:p w:rsidR="001E6839" w:rsidRPr="006D724E" w:rsidRDefault="001E6839" w:rsidP="00797641">
            <w:pPr>
              <w:pStyle w:val="NoSpacing"/>
              <w:rPr>
                <w:szCs w:val="24"/>
              </w:rPr>
            </w:pPr>
            <w:r w:rsidRPr="006D724E">
              <w:rPr>
                <w:szCs w:val="24"/>
              </w:rPr>
              <w:t>31,0</w:t>
            </w:r>
          </w:p>
        </w:tc>
        <w:tc>
          <w:tcPr>
            <w:tcW w:w="1744" w:type="dxa"/>
          </w:tcPr>
          <w:p w:rsidR="001E6839" w:rsidRPr="006D724E" w:rsidRDefault="001E6839" w:rsidP="00797641">
            <w:pPr>
              <w:pStyle w:val="NoSpacing"/>
              <w:rPr>
                <w:szCs w:val="24"/>
              </w:rPr>
            </w:pPr>
            <w:r w:rsidRPr="006D724E">
              <w:rPr>
                <w:szCs w:val="24"/>
              </w:rPr>
              <w:t>31,0</w:t>
            </w:r>
          </w:p>
        </w:tc>
      </w:tr>
      <w:tr w:rsidR="001E6839" w:rsidRPr="00E34AB2" w:rsidTr="00797641">
        <w:trPr>
          <w:trHeight w:val="132"/>
        </w:trPr>
        <w:tc>
          <w:tcPr>
            <w:tcW w:w="1923" w:type="dxa"/>
          </w:tcPr>
          <w:p w:rsidR="001E6839" w:rsidRPr="006D724E" w:rsidRDefault="001E6839" w:rsidP="00797641">
            <w:pPr>
              <w:pStyle w:val="NoSpacing"/>
              <w:rPr>
                <w:szCs w:val="24"/>
              </w:rPr>
            </w:pPr>
            <w:r w:rsidRPr="006D724E">
              <w:rPr>
                <w:szCs w:val="24"/>
              </w:rPr>
              <w:t>ЧИЛЕ</w:t>
            </w:r>
          </w:p>
        </w:tc>
        <w:tc>
          <w:tcPr>
            <w:tcW w:w="1743" w:type="dxa"/>
          </w:tcPr>
          <w:p w:rsidR="001E6839" w:rsidRPr="006D724E" w:rsidRDefault="001E6839" w:rsidP="00797641">
            <w:pPr>
              <w:pStyle w:val="NoSpacing"/>
              <w:rPr>
                <w:szCs w:val="24"/>
              </w:rPr>
            </w:pPr>
            <w:r w:rsidRPr="006D724E">
              <w:rPr>
                <w:szCs w:val="24"/>
              </w:rPr>
              <w:t>21,4</w:t>
            </w:r>
          </w:p>
        </w:tc>
        <w:tc>
          <w:tcPr>
            <w:tcW w:w="1744" w:type="dxa"/>
          </w:tcPr>
          <w:p w:rsidR="001E6839" w:rsidRPr="006D724E" w:rsidRDefault="001E6839" w:rsidP="00797641">
            <w:pPr>
              <w:pStyle w:val="NoSpacing"/>
              <w:rPr>
                <w:szCs w:val="24"/>
              </w:rPr>
            </w:pPr>
            <w:r w:rsidRPr="006D724E">
              <w:rPr>
                <w:szCs w:val="24"/>
              </w:rPr>
              <w:t>17,1</w:t>
            </w:r>
          </w:p>
        </w:tc>
        <w:tc>
          <w:tcPr>
            <w:tcW w:w="1744" w:type="dxa"/>
          </w:tcPr>
          <w:p w:rsidR="001E6839" w:rsidRPr="006D724E" w:rsidRDefault="001E6839" w:rsidP="00797641">
            <w:pPr>
              <w:pStyle w:val="NoSpacing"/>
              <w:rPr>
                <w:szCs w:val="24"/>
              </w:rPr>
            </w:pPr>
            <w:r w:rsidRPr="006D724E">
              <w:rPr>
                <w:szCs w:val="24"/>
              </w:rPr>
              <w:t>19,6</w:t>
            </w:r>
          </w:p>
        </w:tc>
        <w:tc>
          <w:tcPr>
            <w:tcW w:w="1744" w:type="dxa"/>
          </w:tcPr>
          <w:p w:rsidR="001E6839" w:rsidRPr="006D724E" w:rsidRDefault="001E6839" w:rsidP="00797641">
            <w:pPr>
              <w:pStyle w:val="NoSpacing"/>
              <w:rPr>
                <w:szCs w:val="24"/>
              </w:rPr>
            </w:pPr>
            <w:r w:rsidRPr="006D724E">
              <w:rPr>
                <w:szCs w:val="24"/>
              </w:rPr>
              <w:t>21,4</w:t>
            </w:r>
          </w:p>
        </w:tc>
      </w:tr>
      <w:tr w:rsidR="001E6839" w:rsidRPr="00E34AB2" w:rsidTr="00797641">
        <w:trPr>
          <w:trHeight w:val="132"/>
        </w:trPr>
        <w:tc>
          <w:tcPr>
            <w:tcW w:w="1923" w:type="dxa"/>
          </w:tcPr>
          <w:p w:rsidR="001E6839" w:rsidRPr="006D724E" w:rsidRDefault="001E6839" w:rsidP="00797641">
            <w:pPr>
              <w:pStyle w:val="NoSpacing"/>
              <w:rPr>
                <w:szCs w:val="24"/>
              </w:rPr>
            </w:pPr>
            <w:r w:rsidRPr="006D724E">
              <w:rPr>
                <w:szCs w:val="24"/>
              </w:rPr>
              <w:t>ЧЕШКА РЕПУБЛИКА</w:t>
            </w:r>
          </w:p>
        </w:tc>
        <w:tc>
          <w:tcPr>
            <w:tcW w:w="1743" w:type="dxa"/>
          </w:tcPr>
          <w:p w:rsidR="001E6839" w:rsidRPr="006D724E" w:rsidRDefault="001E6839" w:rsidP="00797641">
            <w:pPr>
              <w:pStyle w:val="NoSpacing"/>
              <w:rPr>
                <w:szCs w:val="24"/>
              </w:rPr>
            </w:pPr>
            <w:r w:rsidRPr="006D724E">
              <w:rPr>
                <w:szCs w:val="24"/>
              </w:rPr>
              <w:t>35,0</w:t>
            </w:r>
          </w:p>
        </w:tc>
        <w:tc>
          <w:tcPr>
            <w:tcW w:w="1744" w:type="dxa"/>
          </w:tcPr>
          <w:p w:rsidR="001E6839" w:rsidRPr="006D724E" w:rsidRDefault="001E6839" w:rsidP="00797641">
            <w:pPr>
              <w:pStyle w:val="NoSpacing"/>
              <w:rPr>
                <w:szCs w:val="24"/>
              </w:rPr>
            </w:pPr>
            <w:r w:rsidRPr="006D724E">
              <w:rPr>
                <w:szCs w:val="24"/>
              </w:rPr>
              <w:t>33,9</w:t>
            </w:r>
          </w:p>
        </w:tc>
        <w:tc>
          <w:tcPr>
            <w:tcW w:w="1744" w:type="dxa"/>
          </w:tcPr>
          <w:p w:rsidR="001E6839" w:rsidRPr="006D724E" w:rsidRDefault="001E6839" w:rsidP="00797641">
            <w:pPr>
              <w:pStyle w:val="NoSpacing"/>
              <w:rPr>
                <w:szCs w:val="24"/>
              </w:rPr>
            </w:pPr>
            <w:r w:rsidRPr="006D724E">
              <w:rPr>
                <w:szCs w:val="24"/>
              </w:rPr>
              <w:t>34,2</w:t>
            </w:r>
          </w:p>
        </w:tc>
        <w:tc>
          <w:tcPr>
            <w:tcW w:w="1744" w:type="dxa"/>
          </w:tcPr>
          <w:p w:rsidR="001E6839" w:rsidRPr="006D724E" w:rsidRDefault="001E6839" w:rsidP="00797641">
            <w:pPr>
              <w:pStyle w:val="NoSpacing"/>
              <w:rPr>
                <w:szCs w:val="24"/>
              </w:rPr>
            </w:pPr>
            <w:r w:rsidRPr="006D724E">
              <w:rPr>
                <w:szCs w:val="24"/>
              </w:rPr>
              <w:t>35,3</w:t>
            </w:r>
          </w:p>
        </w:tc>
      </w:tr>
      <w:tr w:rsidR="001E6839" w:rsidRPr="00E34AB2" w:rsidTr="00797641">
        <w:trPr>
          <w:trHeight w:val="132"/>
        </w:trPr>
        <w:tc>
          <w:tcPr>
            <w:tcW w:w="1923" w:type="dxa"/>
          </w:tcPr>
          <w:p w:rsidR="001E6839" w:rsidRPr="006D724E" w:rsidRDefault="001E6839" w:rsidP="00797641">
            <w:pPr>
              <w:pStyle w:val="NoSpacing"/>
              <w:rPr>
                <w:szCs w:val="24"/>
              </w:rPr>
            </w:pPr>
            <w:r w:rsidRPr="006D724E">
              <w:rPr>
                <w:szCs w:val="24"/>
              </w:rPr>
              <w:t xml:space="preserve">ДАНСКА </w:t>
            </w:r>
          </w:p>
        </w:tc>
        <w:tc>
          <w:tcPr>
            <w:tcW w:w="1743" w:type="dxa"/>
          </w:tcPr>
          <w:p w:rsidR="001E6839" w:rsidRPr="006D724E" w:rsidRDefault="001E6839" w:rsidP="00797641">
            <w:pPr>
              <w:pStyle w:val="NoSpacing"/>
              <w:rPr>
                <w:szCs w:val="24"/>
              </w:rPr>
            </w:pPr>
            <w:r w:rsidRPr="006D724E">
              <w:rPr>
                <w:szCs w:val="24"/>
              </w:rPr>
              <w:t>47,8</w:t>
            </w:r>
          </w:p>
        </w:tc>
        <w:tc>
          <w:tcPr>
            <w:tcW w:w="1744" w:type="dxa"/>
          </w:tcPr>
          <w:p w:rsidR="001E6839" w:rsidRPr="006D724E" w:rsidRDefault="001E6839" w:rsidP="00797641">
            <w:pPr>
              <w:pStyle w:val="NoSpacing"/>
              <w:rPr>
                <w:szCs w:val="24"/>
              </w:rPr>
            </w:pPr>
            <w:r w:rsidRPr="006D724E">
              <w:rPr>
                <w:szCs w:val="24"/>
              </w:rPr>
              <w:t>47,8</w:t>
            </w:r>
          </w:p>
        </w:tc>
        <w:tc>
          <w:tcPr>
            <w:tcW w:w="1744" w:type="dxa"/>
          </w:tcPr>
          <w:p w:rsidR="001E6839" w:rsidRPr="006D724E" w:rsidRDefault="001E6839" w:rsidP="00797641">
            <w:pPr>
              <w:pStyle w:val="NoSpacing"/>
              <w:rPr>
                <w:szCs w:val="24"/>
              </w:rPr>
            </w:pPr>
            <w:r w:rsidRPr="006D724E">
              <w:rPr>
                <w:szCs w:val="24"/>
              </w:rPr>
              <w:t>47,6</w:t>
            </w:r>
          </w:p>
        </w:tc>
        <w:tc>
          <w:tcPr>
            <w:tcW w:w="1744" w:type="dxa"/>
          </w:tcPr>
          <w:p w:rsidR="001E6839" w:rsidRPr="006D724E" w:rsidRDefault="001E6839" w:rsidP="00797641">
            <w:pPr>
              <w:pStyle w:val="NoSpacing"/>
              <w:rPr>
                <w:szCs w:val="24"/>
              </w:rPr>
            </w:pPr>
            <w:r w:rsidRPr="006D724E">
              <w:rPr>
                <w:szCs w:val="24"/>
              </w:rPr>
              <w:t>48,1</w:t>
            </w:r>
          </w:p>
        </w:tc>
      </w:tr>
      <w:tr w:rsidR="001E6839" w:rsidRPr="00E34AB2" w:rsidTr="00797641">
        <w:trPr>
          <w:trHeight w:val="132"/>
        </w:trPr>
        <w:tc>
          <w:tcPr>
            <w:tcW w:w="1923" w:type="dxa"/>
          </w:tcPr>
          <w:p w:rsidR="001E6839" w:rsidRPr="006D724E" w:rsidRDefault="001E6839" w:rsidP="00797641">
            <w:pPr>
              <w:pStyle w:val="NoSpacing"/>
              <w:rPr>
                <w:szCs w:val="24"/>
              </w:rPr>
            </w:pPr>
            <w:r w:rsidRPr="006D724E">
              <w:rPr>
                <w:szCs w:val="24"/>
              </w:rPr>
              <w:t xml:space="preserve">ЕСТОНИЈА </w:t>
            </w:r>
          </w:p>
        </w:tc>
        <w:tc>
          <w:tcPr>
            <w:tcW w:w="1743" w:type="dxa"/>
          </w:tcPr>
          <w:p w:rsidR="001E6839" w:rsidRPr="006D724E" w:rsidRDefault="001E6839" w:rsidP="00797641">
            <w:pPr>
              <w:pStyle w:val="NoSpacing"/>
              <w:rPr>
                <w:szCs w:val="24"/>
              </w:rPr>
            </w:pPr>
            <w:r w:rsidRPr="006D724E">
              <w:rPr>
                <w:szCs w:val="24"/>
              </w:rPr>
              <w:t>31,7</w:t>
            </w:r>
          </w:p>
        </w:tc>
        <w:tc>
          <w:tcPr>
            <w:tcW w:w="1744" w:type="dxa"/>
          </w:tcPr>
          <w:p w:rsidR="001E6839" w:rsidRPr="006D724E" w:rsidRDefault="001E6839" w:rsidP="00797641">
            <w:pPr>
              <w:pStyle w:val="NoSpacing"/>
              <w:rPr>
                <w:szCs w:val="24"/>
              </w:rPr>
            </w:pPr>
            <w:r w:rsidRPr="006D724E">
              <w:rPr>
                <w:szCs w:val="24"/>
              </w:rPr>
              <w:t>31,7</w:t>
            </w:r>
          </w:p>
        </w:tc>
        <w:tc>
          <w:tcPr>
            <w:tcW w:w="1744" w:type="dxa"/>
          </w:tcPr>
          <w:p w:rsidR="001E6839" w:rsidRPr="006D724E" w:rsidRDefault="001E6839" w:rsidP="00797641">
            <w:pPr>
              <w:pStyle w:val="NoSpacing"/>
              <w:rPr>
                <w:szCs w:val="24"/>
              </w:rPr>
            </w:pPr>
            <w:r w:rsidRPr="006D724E">
              <w:rPr>
                <w:szCs w:val="24"/>
              </w:rPr>
              <w:t>34,2</w:t>
            </w:r>
          </w:p>
        </w:tc>
        <w:tc>
          <w:tcPr>
            <w:tcW w:w="1744" w:type="dxa"/>
          </w:tcPr>
          <w:p w:rsidR="001E6839" w:rsidRPr="006D724E" w:rsidRDefault="001E6839" w:rsidP="00797641">
            <w:pPr>
              <w:pStyle w:val="NoSpacing"/>
              <w:rPr>
                <w:szCs w:val="24"/>
              </w:rPr>
            </w:pPr>
            <w:r w:rsidRPr="006D724E">
              <w:rPr>
                <w:szCs w:val="24"/>
              </w:rPr>
              <w:t>32,8</w:t>
            </w:r>
          </w:p>
        </w:tc>
      </w:tr>
      <w:tr w:rsidR="001E6839" w:rsidRPr="00E34AB2" w:rsidTr="00797641">
        <w:trPr>
          <w:trHeight w:val="132"/>
        </w:trPr>
        <w:tc>
          <w:tcPr>
            <w:tcW w:w="1923" w:type="dxa"/>
          </w:tcPr>
          <w:p w:rsidR="001E6839" w:rsidRPr="006D724E" w:rsidRDefault="001E6839" w:rsidP="00797641">
            <w:pPr>
              <w:pStyle w:val="NoSpacing"/>
              <w:rPr>
                <w:szCs w:val="24"/>
              </w:rPr>
            </w:pPr>
            <w:r w:rsidRPr="006D724E">
              <w:rPr>
                <w:szCs w:val="24"/>
              </w:rPr>
              <w:t>ФИНСКА</w:t>
            </w:r>
          </w:p>
        </w:tc>
        <w:tc>
          <w:tcPr>
            <w:tcW w:w="1743" w:type="dxa"/>
          </w:tcPr>
          <w:p w:rsidR="001E6839" w:rsidRPr="006D724E" w:rsidRDefault="001E6839" w:rsidP="00797641">
            <w:pPr>
              <w:pStyle w:val="NoSpacing"/>
              <w:rPr>
                <w:szCs w:val="24"/>
              </w:rPr>
            </w:pPr>
            <w:r w:rsidRPr="006D724E">
              <w:rPr>
                <w:szCs w:val="24"/>
              </w:rPr>
              <w:t>42,9</w:t>
            </w:r>
          </w:p>
        </w:tc>
        <w:tc>
          <w:tcPr>
            <w:tcW w:w="1744" w:type="dxa"/>
          </w:tcPr>
          <w:p w:rsidR="001E6839" w:rsidRPr="006D724E" w:rsidRDefault="001E6839" w:rsidP="00797641">
            <w:pPr>
              <w:pStyle w:val="NoSpacing"/>
              <w:rPr>
                <w:szCs w:val="24"/>
              </w:rPr>
            </w:pPr>
            <w:r w:rsidRPr="006D724E">
              <w:rPr>
                <w:szCs w:val="24"/>
              </w:rPr>
              <w:t>42,8</w:t>
            </w:r>
          </w:p>
        </w:tc>
        <w:tc>
          <w:tcPr>
            <w:tcW w:w="1744" w:type="dxa"/>
          </w:tcPr>
          <w:p w:rsidR="001E6839" w:rsidRPr="006D724E" w:rsidRDefault="001E6839" w:rsidP="00797641">
            <w:pPr>
              <w:pStyle w:val="NoSpacing"/>
              <w:rPr>
                <w:szCs w:val="24"/>
              </w:rPr>
            </w:pPr>
            <w:r w:rsidRPr="006D724E">
              <w:rPr>
                <w:szCs w:val="24"/>
              </w:rPr>
              <w:t>42,5</w:t>
            </w:r>
          </w:p>
        </w:tc>
        <w:tc>
          <w:tcPr>
            <w:tcW w:w="1744" w:type="dxa"/>
          </w:tcPr>
          <w:p w:rsidR="001E6839" w:rsidRPr="006D724E" w:rsidRDefault="001E6839" w:rsidP="00797641">
            <w:pPr>
              <w:pStyle w:val="NoSpacing"/>
              <w:rPr>
                <w:szCs w:val="24"/>
              </w:rPr>
            </w:pPr>
            <w:r w:rsidRPr="006D724E">
              <w:rPr>
                <w:szCs w:val="24"/>
              </w:rPr>
              <w:t>43,4</w:t>
            </w:r>
          </w:p>
        </w:tc>
      </w:tr>
      <w:tr w:rsidR="001E6839" w:rsidRPr="00E34AB2" w:rsidTr="00797641">
        <w:trPr>
          <w:trHeight w:val="132"/>
        </w:trPr>
        <w:tc>
          <w:tcPr>
            <w:tcW w:w="1923" w:type="dxa"/>
          </w:tcPr>
          <w:p w:rsidR="001E6839" w:rsidRPr="006D724E" w:rsidRDefault="001E6839" w:rsidP="00797641">
            <w:pPr>
              <w:pStyle w:val="NoSpacing"/>
              <w:rPr>
                <w:szCs w:val="24"/>
              </w:rPr>
            </w:pPr>
            <w:r w:rsidRPr="006D724E">
              <w:rPr>
                <w:szCs w:val="24"/>
              </w:rPr>
              <w:t>ФРАНЦУСКА</w:t>
            </w:r>
          </w:p>
        </w:tc>
        <w:tc>
          <w:tcPr>
            <w:tcW w:w="1743" w:type="dxa"/>
          </w:tcPr>
          <w:p w:rsidR="001E6839" w:rsidRPr="006D724E" w:rsidRDefault="001E6839" w:rsidP="00797641">
            <w:pPr>
              <w:pStyle w:val="NoSpacing"/>
              <w:rPr>
                <w:szCs w:val="24"/>
              </w:rPr>
            </w:pPr>
            <w:r w:rsidRPr="006D724E">
              <w:rPr>
                <w:szCs w:val="24"/>
              </w:rPr>
              <w:t>43,5</w:t>
            </w:r>
          </w:p>
        </w:tc>
        <w:tc>
          <w:tcPr>
            <w:tcW w:w="1744" w:type="dxa"/>
          </w:tcPr>
          <w:p w:rsidR="001E6839" w:rsidRPr="006D724E" w:rsidRDefault="001E6839" w:rsidP="00797641">
            <w:pPr>
              <w:pStyle w:val="NoSpacing"/>
              <w:rPr>
                <w:szCs w:val="24"/>
              </w:rPr>
            </w:pPr>
            <w:r w:rsidRPr="006D724E">
              <w:rPr>
                <w:szCs w:val="24"/>
              </w:rPr>
              <w:t>42,5</w:t>
            </w:r>
          </w:p>
        </w:tc>
        <w:tc>
          <w:tcPr>
            <w:tcW w:w="1744" w:type="dxa"/>
          </w:tcPr>
          <w:p w:rsidR="001E6839" w:rsidRPr="006D724E" w:rsidRDefault="001E6839" w:rsidP="00797641">
            <w:pPr>
              <w:pStyle w:val="NoSpacing"/>
              <w:rPr>
                <w:szCs w:val="24"/>
              </w:rPr>
            </w:pPr>
            <w:r w:rsidRPr="006D724E">
              <w:rPr>
                <w:szCs w:val="24"/>
              </w:rPr>
              <w:t>42,9</w:t>
            </w:r>
          </w:p>
        </w:tc>
        <w:tc>
          <w:tcPr>
            <w:tcW w:w="1744" w:type="dxa"/>
          </w:tcPr>
          <w:p w:rsidR="001E6839" w:rsidRPr="006D724E" w:rsidRDefault="001E6839" w:rsidP="00797641">
            <w:pPr>
              <w:pStyle w:val="NoSpacing"/>
              <w:rPr>
                <w:szCs w:val="24"/>
              </w:rPr>
            </w:pPr>
            <w:r w:rsidRPr="006D724E">
              <w:rPr>
                <w:szCs w:val="24"/>
              </w:rPr>
              <w:t>44,2</w:t>
            </w:r>
          </w:p>
        </w:tc>
      </w:tr>
      <w:tr w:rsidR="001E6839" w:rsidRPr="00E34AB2" w:rsidTr="00797641">
        <w:trPr>
          <w:trHeight w:val="132"/>
        </w:trPr>
        <w:tc>
          <w:tcPr>
            <w:tcW w:w="1923" w:type="dxa"/>
          </w:tcPr>
          <w:p w:rsidR="001E6839" w:rsidRPr="006D724E" w:rsidRDefault="001E6839" w:rsidP="00797641">
            <w:pPr>
              <w:pStyle w:val="NoSpacing"/>
              <w:rPr>
                <w:szCs w:val="24"/>
              </w:rPr>
            </w:pPr>
            <w:r w:rsidRPr="006D724E">
              <w:rPr>
                <w:szCs w:val="24"/>
              </w:rPr>
              <w:t>НЕМАЧКА</w:t>
            </w:r>
          </w:p>
        </w:tc>
        <w:tc>
          <w:tcPr>
            <w:tcW w:w="1743" w:type="dxa"/>
          </w:tcPr>
          <w:p w:rsidR="001E6839" w:rsidRPr="006D724E" w:rsidRDefault="001E6839" w:rsidP="00797641">
            <w:pPr>
              <w:pStyle w:val="NoSpacing"/>
              <w:rPr>
                <w:szCs w:val="24"/>
              </w:rPr>
            </w:pPr>
            <w:r w:rsidRPr="006D724E">
              <w:rPr>
                <w:szCs w:val="24"/>
              </w:rPr>
              <w:t>36,5</w:t>
            </w:r>
          </w:p>
        </w:tc>
        <w:tc>
          <w:tcPr>
            <w:tcW w:w="1744" w:type="dxa"/>
          </w:tcPr>
          <w:p w:rsidR="001E6839" w:rsidRPr="006D724E" w:rsidRDefault="001E6839" w:rsidP="00797641">
            <w:pPr>
              <w:pStyle w:val="NoSpacing"/>
              <w:rPr>
                <w:szCs w:val="24"/>
              </w:rPr>
            </w:pPr>
            <w:r w:rsidRPr="006D724E">
              <w:rPr>
                <w:szCs w:val="24"/>
              </w:rPr>
              <w:t>37,3</w:t>
            </w:r>
          </w:p>
        </w:tc>
        <w:tc>
          <w:tcPr>
            <w:tcW w:w="1744" w:type="dxa"/>
          </w:tcPr>
          <w:p w:rsidR="001E6839" w:rsidRPr="006D724E" w:rsidRDefault="001E6839" w:rsidP="00797641">
            <w:pPr>
              <w:pStyle w:val="NoSpacing"/>
              <w:rPr>
                <w:szCs w:val="24"/>
              </w:rPr>
            </w:pPr>
            <w:r w:rsidRPr="006D724E">
              <w:rPr>
                <w:szCs w:val="24"/>
              </w:rPr>
              <w:t>36,1</w:t>
            </w:r>
          </w:p>
        </w:tc>
        <w:tc>
          <w:tcPr>
            <w:tcW w:w="1744" w:type="dxa"/>
          </w:tcPr>
          <w:p w:rsidR="001E6839" w:rsidRPr="006D724E" w:rsidRDefault="001E6839" w:rsidP="00797641">
            <w:pPr>
              <w:pStyle w:val="NoSpacing"/>
              <w:rPr>
                <w:szCs w:val="24"/>
              </w:rPr>
            </w:pPr>
            <w:r w:rsidRPr="006D724E">
              <w:rPr>
                <w:szCs w:val="24"/>
              </w:rPr>
              <w:t>37,1</w:t>
            </w:r>
          </w:p>
        </w:tc>
      </w:tr>
      <w:tr w:rsidR="001E6839" w:rsidRPr="00E34AB2" w:rsidTr="00797641">
        <w:trPr>
          <w:trHeight w:val="132"/>
        </w:trPr>
        <w:tc>
          <w:tcPr>
            <w:tcW w:w="1923" w:type="dxa"/>
          </w:tcPr>
          <w:p w:rsidR="001E6839" w:rsidRPr="006D724E" w:rsidRDefault="001E6839" w:rsidP="00797641">
            <w:pPr>
              <w:pStyle w:val="NoSpacing"/>
              <w:rPr>
                <w:szCs w:val="24"/>
              </w:rPr>
            </w:pPr>
            <w:r w:rsidRPr="006D724E">
              <w:rPr>
                <w:szCs w:val="24"/>
              </w:rPr>
              <w:t>ГРЧКА</w:t>
            </w:r>
          </w:p>
        </w:tc>
        <w:tc>
          <w:tcPr>
            <w:tcW w:w="1743" w:type="dxa"/>
          </w:tcPr>
          <w:p w:rsidR="001E6839" w:rsidRPr="006D724E" w:rsidRDefault="001E6839" w:rsidP="00797641">
            <w:pPr>
              <w:pStyle w:val="NoSpacing"/>
              <w:rPr>
                <w:szCs w:val="24"/>
              </w:rPr>
            </w:pPr>
            <w:r w:rsidRPr="006D724E">
              <w:rPr>
                <w:szCs w:val="24"/>
              </w:rPr>
              <w:t>23,1</w:t>
            </w:r>
          </w:p>
        </w:tc>
        <w:tc>
          <w:tcPr>
            <w:tcW w:w="1744" w:type="dxa"/>
          </w:tcPr>
          <w:p w:rsidR="001E6839" w:rsidRPr="006D724E" w:rsidRDefault="001E6839" w:rsidP="00797641">
            <w:pPr>
              <w:pStyle w:val="NoSpacing"/>
              <w:rPr>
                <w:szCs w:val="24"/>
              </w:rPr>
            </w:pPr>
            <w:r w:rsidRPr="006D724E">
              <w:rPr>
                <w:szCs w:val="24"/>
              </w:rPr>
              <w:t>30,4</w:t>
            </w:r>
          </w:p>
        </w:tc>
        <w:tc>
          <w:tcPr>
            <w:tcW w:w="1744" w:type="dxa"/>
          </w:tcPr>
          <w:p w:rsidR="001E6839" w:rsidRPr="006D724E" w:rsidRDefault="001E6839" w:rsidP="00797641">
            <w:pPr>
              <w:pStyle w:val="NoSpacing"/>
              <w:rPr>
                <w:szCs w:val="24"/>
              </w:rPr>
            </w:pPr>
            <w:r w:rsidRPr="006D724E">
              <w:rPr>
                <w:szCs w:val="24"/>
              </w:rPr>
              <w:t>30,3</w:t>
            </w:r>
          </w:p>
        </w:tc>
        <w:tc>
          <w:tcPr>
            <w:tcW w:w="1744" w:type="dxa"/>
          </w:tcPr>
          <w:p w:rsidR="001E6839" w:rsidRPr="006D724E" w:rsidRDefault="001E6839" w:rsidP="00797641">
            <w:pPr>
              <w:pStyle w:val="NoSpacing"/>
              <w:rPr>
                <w:szCs w:val="24"/>
              </w:rPr>
            </w:pPr>
            <w:r w:rsidRPr="006D724E">
              <w:rPr>
                <w:szCs w:val="24"/>
              </w:rPr>
              <w:t>31,2</w:t>
            </w:r>
          </w:p>
        </w:tc>
      </w:tr>
      <w:tr w:rsidR="001E6839" w:rsidRPr="00E34AB2" w:rsidTr="00797641">
        <w:trPr>
          <w:trHeight w:val="132"/>
        </w:trPr>
        <w:tc>
          <w:tcPr>
            <w:tcW w:w="1923" w:type="dxa"/>
          </w:tcPr>
          <w:p w:rsidR="001E6839" w:rsidRPr="006D724E" w:rsidRDefault="001E6839" w:rsidP="00797641">
            <w:pPr>
              <w:pStyle w:val="NoSpacing"/>
              <w:rPr>
                <w:szCs w:val="24"/>
              </w:rPr>
            </w:pPr>
            <w:r w:rsidRPr="006D724E">
              <w:rPr>
                <w:szCs w:val="24"/>
              </w:rPr>
              <w:t>МАЂАРСКА</w:t>
            </w:r>
          </w:p>
        </w:tc>
        <w:tc>
          <w:tcPr>
            <w:tcW w:w="1743" w:type="dxa"/>
          </w:tcPr>
          <w:p w:rsidR="001E6839" w:rsidRPr="006D724E" w:rsidRDefault="001E6839" w:rsidP="00797641">
            <w:pPr>
              <w:pStyle w:val="NoSpacing"/>
              <w:rPr>
                <w:szCs w:val="24"/>
              </w:rPr>
            </w:pPr>
            <w:r w:rsidRPr="006D724E">
              <w:rPr>
                <w:szCs w:val="24"/>
              </w:rPr>
              <w:t>40,1</w:t>
            </w:r>
          </w:p>
        </w:tc>
        <w:tc>
          <w:tcPr>
            <w:tcW w:w="1744" w:type="dxa"/>
          </w:tcPr>
          <w:p w:rsidR="001E6839" w:rsidRPr="006D724E" w:rsidRDefault="001E6839" w:rsidP="00797641">
            <w:pPr>
              <w:pStyle w:val="NoSpacing"/>
              <w:rPr>
                <w:szCs w:val="24"/>
              </w:rPr>
            </w:pPr>
            <w:r w:rsidRPr="006D724E">
              <w:rPr>
                <w:szCs w:val="24"/>
              </w:rPr>
              <w:t>39,9</w:t>
            </w:r>
          </w:p>
        </w:tc>
        <w:tc>
          <w:tcPr>
            <w:tcW w:w="1744" w:type="dxa"/>
          </w:tcPr>
          <w:p w:rsidR="001E6839" w:rsidRPr="006D724E" w:rsidRDefault="001E6839" w:rsidP="00797641">
            <w:pPr>
              <w:pStyle w:val="NoSpacing"/>
              <w:rPr>
                <w:szCs w:val="24"/>
              </w:rPr>
            </w:pPr>
            <w:r w:rsidRPr="006D724E">
              <w:rPr>
                <w:szCs w:val="24"/>
              </w:rPr>
              <w:t>37,9</w:t>
            </w:r>
          </w:p>
        </w:tc>
        <w:tc>
          <w:tcPr>
            <w:tcW w:w="1744" w:type="dxa"/>
          </w:tcPr>
          <w:p w:rsidR="001E6839" w:rsidRPr="006D724E" w:rsidRDefault="001E6839" w:rsidP="00797641">
            <w:pPr>
              <w:pStyle w:val="NoSpacing"/>
              <w:rPr>
                <w:szCs w:val="24"/>
              </w:rPr>
            </w:pPr>
            <w:r w:rsidRPr="006D724E">
              <w:rPr>
                <w:szCs w:val="24"/>
              </w:rPr>
              <w:t>35,7</w:t>
            </w:r>
          </w:p>
        </w:tc>
      </w:tr>
      <w:tr w:rsidR="001E6839" w:rsidRPr="00E34AB2" w:rsidTr="00797641">
        <w:trPr>
          <w:trHeight w:val="132"/>
        </w:trPr>
        <w:tc>
          <w:tcPr>
            <w:tcW w:w="1923" w:type="dxa"/>
          </w:tcPr>
          <w:p w:rsidR="001E6839" w:rsidRPr="006D724E" w:rsidRDefault="001E6839" w:rsidP="00797641">
            <w:pPr>
              <w:pStyle w:val="NoSpacing"/>
              <w:rPr>
                <w:szCs w:val="24"/>
              </w:rPr>
            </w:pPr>
            <w:r w:rsidRPr="006D724E">
              <w:rPr>
                <w:szCs w:val="24"/>
              </w:rPr>
              <w:t>ИСЛАНД</w:t>
            </w:r>
          </w:p>
        </w:tc>
        <w:tc>
          <w:tcPr>
            <w:tcW w:w="1743" w:type="dxa"/>
          </w:tcPr>
          <w:p w:rsidR="001E6839" w:rsidRPr="006D724E" w:rsidRDefault="001E6839" w:rsidP="00797641">
            <w:pPr>
              <w:pStyle w:val="NoSpacing"/>
              <w:rPr>
                <w:szCs w:val="24"/>
              </w:rPr>
            </w:pPr>
            <w:r w:rsidRPr="006D724E">
              <w:rPr>
                <w:szCs w:val="24"/>
              </w:rPr>
              <w:t>36,7</w:t>
            </w:r>
          </w:p>
        </w:tc>
        <w:tc>
          <w:tcPr>
            <w:tcW w:w="1744" w:type="dxa"/>
          </w:tcPr>
          <w:p w:rsidR="001E6839" w:rsidRPr="006D724E" w:rsidRDefault="001E6839" w:rsidP="00797641">
            <w:pPr>
              <w:pStyle w:val="NoSpacing"/>
              <w:rPr>
                <w:szCs w:val="24"/>
              </w:rPr>
            </w:pPr>
            <w:r w:rsidRPr="006D724E">
              <w:rPr>
                <w:szCs w:val="24"/>
              </w:rPr>
              <w:t>33,9</w:t>
            </w:r>
          </w:p>
        </w:tc>
        <w:tc>
          <w:tcPr>
            <w:tcW w:w="1744" w:type="dxa"/>
          </w:tcPr>
          <w:p w:rsidR="001E6839" w:rsidRPr="006D724E" w:rsidRDefault="001E6839" w:rsidP="00797641">
            <w:pPr>
              <w:pStyle w:val="NoSpacing"/>
              <w:rPr>
                <w:szCs w:val="24"/>
              </w:rPr>
            </w:pPr>
            <w:r w:rsidRPr="006D724E">
              <w:rPr>
                <w:szCs w:val="24"/>
              </w:rPr>
              <w:t>35,2</w:t>
            </w:r>
          </w:p>
        </w:tc>
        <w:tc>
          <w:tcPr>
            <w:tcW w:w="1744" w:type="dxa"/>
          </w:tcPr>
          <w:p w:rsidR="001E6839" w:rsidRPr="006D724E" w:rsidRDefault="001E6839" w:rsidP="00797641">
            <w:pPr>
              <w:pStyle w:val="NoSpacing"/>
              <w:rPr>
                <w:szCs w:val="24"/>
              </w:rPr>
            </w:pPr>
            <w:r w:rsidRPr="006D724E">
              <w:rPr>
                <w:szCs w:val="24"/>
              </w:rPr>
              <w:t>36,0</w:t>
            </w:r>
          </w:p>
        </w:tc>
      </w:tr>
      <w:tr w:rsidR="001E6839" w:rsidRPr="00E34AB2" w:rsidTr="00797641">
        <w:trPr>
          <w:trHeight w:val="132"/>
        </w:trPr>
        <w:tc>
          <w:tcPr>
            <w:tcW w:w="1923" w:type="dxa"/>
          </w:tcPr>
          <w:p w:rsidR="001E6839" w:rsidRPr="006D724E" w:rsidRDefault="001E6839" w:rsidP="00797641">
            <w:pPr>
              <w:pStyle w:val="NoSpacing"/>
              <w:rPr>
                <w:szCs w:val="24"/>
              </w:rPr>
            </w:pPr>
            <w:r w:rsidRPr="006D724E">
              <w:rPr>
                <w:szCs w:val="24"/>
              </w:rPr>
              <w:t>ИРСКА</w:t>
            </w:r>
          </w:p>
        </w:tc>
        <w:tc>
          <w:tcPr>
            <w:tcW w:w="1743" w:type="dxa"/>
          </w:tcPr>
          <w:p w:rsidR="001E6839" w:rsidRPr="006D724E" w:rsidRDefault="001E6839" w:rsidP="00797641">
            <w:pPr>
              <w:pStyle w:val="NoSpacing"/>
              <w:rPr>
                <w:szCs w:val="24"/>
              </w:rPr>
            </w:pPr>
            <w:r w:rsidRPr="006D724E">
              <w:rPr>
                <w:szCs w:val="24"/>
              </w:rPr>
              <w:t>29,1</w:t>
            </w:r>
          </w:p>
        </w:tc>
        <w:tc>
          <w:tcPr>
            <w:tcW w:w="1744" w:type="dxa"/>
          </w:tcPr>
          <w:p w:rsidR="001E6839" w:rsidRPr="006D724E" w:rsidRDefault="001E6839" w:rsidP="00797641">
            <w:pPr>
              <w:pStyle w:val="NoSpacing"/>
              <w:rPr>
                <w:szCs w:val="24"/>
              </w:rPr>
            </w:pPr>
            <w:r w:rsidRPr="006D724E">
              <w:rPr>
                <w:szCs w:val="24"/>
              </w:rPr>
              <w:t>27,4</w:t>
            </w:r>
          </w:p>
        </w:tc>
        <w:tc>
          <w:tcPr>
            <w:tcW w:w="1744" w:type="dxa"/>
          </w:tcPr>
          <w:p w:rsidR="001E6839" w:rsidRPr="006D724E" w:rsidRDefault="001E6839" w:rsidP="00797641">
            <w:pPr>
              <w:pStyle w:val="NoSpacing"/>
              <w:rPr>
                <w:szCs w:val="24"/>
              </w:rPr>
            </w:pPr>
            <w:r w:rsidRPr="006D724E">
              <w:rPr>
                <w:szCs w:val="24"/>
              </w:rPr>
              <w:t>27,6</w:t>
            </w:r>
          </w:p>
        </w:tc>
        <w:tc>
          <w:tcPr>
            <w:tcW w:w="1744" w:type="dxa"/>
          </w:tcPr>
          <w:p w:rsidR="001E6839" w:rsidRPr="006D724E" w:rsidRDefault="001E6839" w:rsidP="00797641">
            <w:pPr>
              <w:pStyle w:val="NoSpacing"/>
              <w:rPr>
                <w:szCs w:val="24"/>
              </w:rPr>
            </w:pPr>
          </w:p>
        </w:tc>
      </w:tr>
      <w:tr w:rsidR="001E6839" w:rsidRPr="00E34AB2" w:rsidTr="00797641">
        <w:trPr>
          <w:trHeight w:val="132"/>
        </w:trPr>
        <w:tc>
          <w:tcPr>
            <w:tcW w:w="1923" w:type="dxa"/>
          </w:tcPr>
          <w:p w:rsidR="001E6839" w:rsidRPr="006D724E" w:rsidRDefault="001E6839" w:rsidP="00797641">
            <w:pPr>
              <w:pStyle w:val="NoSpacing"/>
              <w:rPr>
                <w:szCs w:val="24"/>
              </w:rPr>
            </w:pPr>
            <w:r w:rsidRPr="006D724E">
              <w:rPr>
                <w:szCs w:val="24"/>
              </w:rPr>
              <w:t>ИЗРАЕЛ</w:t>
            </w:r>
          </w:p>
        </w:tc>
        <w:tc>
          <w:tcPr>
            <w:tcW w:w="1743" w:type="dxa"/>
          </w:tcPr>
          <w:p w:rsidR="001E6839" w:rsidRPr="006D724E" w:rsidRDefault="001E6839" w:rsidP="00797641">
            <w:pPr>
              <w:pStyle w:val="NoSpacing"/>
              <w:rPr>
                <w:szCs w:val="24"/>
              </w:rPr>
            </w:pPr>
            <w:r w:rsidRPr="006D724E">
              <w:rPr>
                <w:szCs w:val="24"/>
              </w:rPr>
              <w:t>33,8</w:t>
            </w:r>
          </w:p>
        </w:tc>
        <w:tc>
          <w:tcPr>
            <w:tcW w:w="1744" w:type="dxa"/>
          </w:tcPr>
          <w:p w:rsidR="001E6839" w:rsidRPr="006D724E" w:rsidRDefault="001E6839" w:rsidP="00797641">
            <w:pPr>
              <w:pStyle w:val="NoSpacing"/>
              <w:rPr>
                <w:szCs w:val="24"/>
              </w:rPr>
            </w:pPr>
            <w:r w:rsidRPr="006D724E">
              <w:rPr>
                <w:szCs w:val="24"/>
              </w:rPr>
              <w:t>31,4</w:t>
            </w:r>
          </w:p>
        </w:tc>
        <w:tc>
          <w:tcPr>
            <w:tcW w:w="1744" w:type="dxa"/>
          </w:tcPr>
          <w:p w:rsidR="001E6839" w:rsidRPr="006D724E" w:rsidRDefault="001E6839" w:rsidP="00797641">
            <w:pPr>
              <w:pStyle w:val="NoSpacing"/>
              <w:rPr>
                <w:szCs w:val="24"/>
              </w:rPr>
            </w:pPr>
            <w:r w:rsidRPr="006D724E">
              <w:rPr>
                <w:szCs w:val="24"/>
              </w:rPr>
              <w:t>32,4</w:t>
            </w:r>
          </w:p>
        </w:tc>
        <w:tc>
          <w:tcPr>
            <w:tcW w:w="1744" w:type="dxa"/>
          </w:tcPr>
          <w:p w:rsidR="001E6839" w:rsidRPr="006D724E" w:rsidRDefault="001E6839" w:rsidP="00797641">
            <w:pPr>
              <w:pStyle w:val="NoSpacing"/>
              <w:rPr>
                <w:szCs w:val="24"/>
              </w:rPr>
            </w:pPr>
            <w:r w:rsidRPr="006D724E">
              <w:rPr>
                <w:szCs w:val="24"/>
              </w:rPr>
              <w:t>32,6</w:t>
            </w:r>
          </w:p>
        </w:tc>
      </w:tr>
      <w:tr w:rsidR="001E6839" w:rsidRPr="00E34AB2" w:rsidTr="00797641">
        <w:trPr>
          <w:trHeight w:val="132"/>
        </w:trPr>
        <w:tc>
          <w:tcPr>
            <w:tcW w:w="1923" w:type="dxa"/>
          </w:tcPr>
          <w:p w:rsidR="001E6839" w:rsidRPr="006D724E" w:rsidRDefault="001E6839" w:rsidP="00797641">
            <w:pPr>
              <w:pStyle w:val="NoSpacing"/>
              <w:rPr>
                <w:szCs w:val="24"/>
              </w:rPr>
            </w:pPr>
            <w:r w:rsidRPr="006D724E">
              <w:rPr>
                <w:szCs w:val="24"/>
              </w:rPr>
              <w:t>ИТАЛИЈА</w:t>
            </w:r>
          </w:p>
        </w:tc>
        <w:tc>
          <w:tcPr>
            <w:tcW w:w="1743" w:type="dxa"/>
          </w:tcPr>
          <w:p w:rsidR="001E6839" w:rsidRPr="006D724E" w:rsidRDefault="001E6839" w:rsidP="00797641">
            <w:pPr>
              <w:pStyle w:val="NoSpacing"/>
              <w:rPr>
                <w:szCs w:val="24"/>
              </w:rPr>
            </w:pPr>
            <w:r w:rsidRPr="006D724E">
              <w:rPr>
                <w:szCs w:val="24"/>
              </w:rPr>
              <w:t>43,0</w:t>
            </w:r>
          </w:p>
        </w:tc>
        <w:tc>
          <w:tcPr>
            <w:tcW w:w="1744" w:type="dxa"/>
          </w:tcPr>
          <w:p w:rsidR="001E6839" w:rsidRPr="006D724E" w:rsidRDefault="001E6839" w:rsidP="00797641">
            <w:pPr>
              <w:pStyle w:val="NoSpacing"/>
              <w:rPr>
                <w:szCs w:val="24"/>
              </w:rPr>
            </w:pPr>
            <w:r w:rsidRPr="006D724E">
              <w:rPr>
                <w:szCs w:val="24"/>
              </w:rPr>
              <w:t>43,0</w:t>
            </w:r>
          </w:p>
        </w:tc>
        <w:tc>
          <w:tcPr>
            <w:tcW w:w="1744" w:type="dxa"/>
          </w:tcPr>
          <w:p w:rsidR="001E6839" w:rsidRPr="006D724E" w:rsidRDefault="001E6839" w:rsidP="00797641">
            <w:pPr>
              <w:pStyle w:val="NoSpacing"/>
              <w:rPr>
                <w:szCs w:val="24"/>
              </w:rPr>
            </w:pPr>
            <w:r w:rsidRPr="006D724E">
              <w:rPr>
                <w:szCs w:val="24"/>
              </w:rPr>
              <w:t>42,9</w:t>
            </w:r>
          </w:p>
        </w:tc>
        <w:tc>
          <w:tcPr>
            <w:tcW w:w="1744" w:type="dxa"/>
          </w:tcPr>
          <w:p w:rsidR="001E6839" w:rsidRPr="006D724E" w:rsidRDefault="001E6839" w:rsidP="00797641">
            <w:pPr>
              <w:pStyle w:val="NoSpacing"/>
              <w:rPr>
                <w:szCs w:val="24"/>
              </w:rPr>
            </w:pPr>
            <w:r w:rsidRPr="006D724E">
              <w:rPr>
                <w:szCs w:val="24"/>
              </w:rPr>
              <w:t>42,9</w:t>
            </w:r>
          </w:p>
        </w:tc>
      </w:tr>
      <w:tr w:rsidR="001E6839" w:rsidRPr="00E34AB2" w:rsidTr="00797641">
        <w:trPr>
          <w:trHeight w:val="132"/>
        </w:trPr>
        <w:tc>
          <w:tcPr>
            <w:tcW w:w="1923" w:type="dxa"/>
          </w:tcPr>
          <w:p w:rsidR="001E6839" w:rsidRPr="006D724E" w:rsidRDefault="001E6839" w:rsidP="00797641">
            <w:pPr>
              <w:pStyle w:val="NoSpacing"/>
              <w:rPr>
                <w:szCs w:val="24"/>
              </w:rPr>
            </w:pPr>
            <w:r w:rsidRPr="006D724E">
              <w:rPr>
                <w:szCs w:val="24"/>
              </w:rPr>
              <w:t>ЈАПАН</w:t>
            </w:r>
          </w:p>
        </w:tc>
        <w:tc>
          <w:tcPr>
            <w:tcW w:w="1743" w:type="dxa"/>
          </w:tcPr>
          <w:p w:rsidR="001E6839" w:rsidRPr="006D724E" w:rsidRDefault="001E6839" w:rsidP="00797641">
            <w:pPr>
              <w:pStyle w:val="NoSpacing"/>
              <w:rPr>
                <w:szCs w:val="24"/>
              </w:rPr>
            </w:pPr>
            <w:r w:rsidRPr="006D724E">
              <w:rPr>
                <w:szCs w:val="24"/>
              </w:rPr>
              <w:t>28,5</w:t>
            </w:r>
          </w:p>
        </w:tc>
        <w:tc>
          <w:tcPr>
            <w:tcW w:w="1744" w:type="dxa"/>
          </w:tcPr>
          <w:p w:rsidR="001E6839" w:rsidRPr="006D724E" w:rsidRDefault="001E6839" w:rsidP="00797641">
            <w:pPr>
              <w:pStyle w:val="NoSpacing"/>
              <w:rPr>
                <w:szCs w:val="24"/>
              </w:rPr>
            </w:pPr>
            <w:r w:rsidRPr="006D724E">
              <w:rPr>
                <w:szCs w:val="24"/>
              </w:rPr>
              <w:t>28,5</w:t>
            </w:r>
          </w:p>
        </w:tc>
        <w:tc>
          <w:tcPr>
            <w:tcW w:w="1744" w:type="dxa"/>
          </w:tcPr>
          <w:p w:rsidR="001E6839" w:rsidRPr="006D724E" w:rsidRDefault="001E6839" w:rsidP="00797641">
            <w:pPr>
              <w:pStyle w:val="NoSpacing"/>
              <w:rPr>
                <w:szCs w:val="24"/>
              </w:rPr>
            </w:pPr>
            <w:r w:rsidRPr="006D724E">
              <w:rPr>
                <w:szCs w:val="24"/>
              </w:rPr>
              <w:t>27,6</w:t>
            </w:r>
          </w:p>
        </w:tc>
        <w:tc>
          <w:tcPr>
            <w:tcW w:w="1744" w:type="dxa"/>
          </w:tcPr>
          <w:p w:rsidR="001E6839" w:rsidRPr="006D724E" w:rsidRDefault="001E6839" w:rsidP="00797641">
            <w:pPr>
              <w:pStyle w:val="NoSpacing"/>
              <w:rPr>
                <w:szCs w:val="24"/>
              </w:rPr>
            </w:pPr>
          </w:p>
        </w:tc>
      </w:tr>
      <w:tr w:rsidR="001E6839" w:rsidRPr="00E34AB2" w:rsidTr="00797641">
        <w:trPr>
          <w:trHeight w:val="132"/>
        </w:trPr>
        <w:tc>
          <w:tcPr>
            <w:tcW w:w="1923" w:type="dxa"/>
          </w:tcPr>
          <w:p w:rsidR="001E6839" w:rsidRPr="006D724E" w:rsidRDefault="001E6839" w:rsidP="00797641">
            <w:pPr>
              <w:pStyle w:val="NoSpacing"/>
              <w:rPr>
                <w:szCs w:val="24"/>
              </w:rPr>
            </w:pPr>
            <w:r w:rsidRPr="006D724E">
              <w:rPr>
                <w:szCs w:val="24"/>
              </w:rPr>
              <w:t>КОРЕЈА</w:t>
            </w:r>
          </w:p>
        </w:tc>
        <w:tc>
          <w:tcPr>
            <w:tcW w:w="1743" w:type="dxa"/>
          </w:tcPr>
          <w:p w:rsidR="001E6839" w:rsidRPr="006D724E" w:rsidRDefault="001E6839" w:rsidP="00797641">
            <w:pPr>
              <w:pStyle w:val="NoSpacing"/>
              <w:rPr>
                <w:szCs w:val="24"/>
              </w:rPr>
            </w:pPr>
            <w:r w:rsidRPr="006D724E">
              <w:rPr>
                <w:szCs w:val="24"/>
              </w:rPr>
              <w:t>26,5</w:t>
            </w:r>
          </w:p>
        </w:tc>
        <w:tc>
          <w:tcPr>
            <w:tcW w:w="1744" w:type="dxa"/>
          </w:tcPr>
          <w:p w:rsidR="001E6839" w:rsidRPr="006D724E" w:rsidRDefault="001E6839" w:rsidP="00797641">
            <w:pPr>
              <w:pStyle w:val="NoSpacing"/>
              <w:rPr>
                <w:szCs w:val="24"/>
              </w:rPr>
            </w:pPr>
            <w:r w:rsidRPr="006D724E">
              <w:rPr>
                <w:szCs w:val="24"/>
              </w:rPr>
              <w:t>26,5</w:t>
            </w:r>
          </w:p>
        </w:tc>
        <w:tc>
          <w:tcPr>
            <w:tcW w:w="1744" w:type="dxa"/>
          </w:tcPr>
          <w:p w:rsidR="001E6839" w:rsidRPr="006D724E" w:rsidRDefault="001E6839" w:rsidP="00797641">
            <w:pPr>
              <w:pStyle w:val="NoSpacing"/>
              <w:rPr>
                <w:szCs w:val="24"/>
              </w:rPr>
            </w:pPr>
            <w:r w:rsidRPr="006D724E">
              <w:rPr>
                <w:szCs w:val="24"/>
              </w:rPr>
              <w:t>25,1</w:t>
            </w:r>
          </w:p>
        </w:tc>
        <w:tc>
          <w:tcPr>
            <w:tcW w:w="1744" w:type="dxa"/>
          </w:tcPr>
          <w:p w:rsidR="001E6839" w:rsidRPr="006D724E" w:rsidRDefault="001E6839" w:rsidP="00797641">
            <w:pPr>
              <w:pStyle w:val="NoSpacing"/>
              <w:rPr>
                <w:szCs w:val="24"/>
              </w:rPr>
            </w:pPr>
            <w:r w:rsidRPr="006D724E">
              <w:rPr>
                <w:szCs w:val="24"/>
              </w:rPr>
              <w:t>25,9</w:t>
            </w:r>
          </w:p>
        </w:tc>
      </w:tr>
      <w:tr w:rsidR="001E6839" w:rsidRPr="00E34AB2" w:rsidTr="00797641">
        <w:trPr>
          <w:trHeight w:val="132"/>
        </w:trPr>
        <w:tc>
          <w:tcPr>
            <w:tcW w:w="1923" w:type="dxa"/>
          </w:tcPr>
          <w:p w:rsidR="001E6839" w:rsidRPr="006D724E" w:rsidRDefault="001E6839" w:rsidP="00797641">
            <w:pPr>
              <w:pStyle w:val="NoSpacing"/>
              <w:rPr>
                <w:szCs w:val="24"/>
              </w:rPr>
            </w:pPr>
            <w:r w:rsidRPr="006D724E">
              <w:rPr>
                <w:szCs w:val="24"/>
              </w:rPr>
              <w:t>ЛУКСЕМБУРГ</w:t>
            </w:r>
          </w:p>
        </w:tc>
        <w:tc>
          <w:tcPr>
            <w:tcW w:w="1743" w:type="dxa"/>
          </w:tcPr>
          <w:p w:rsidR="001E6839" w:rsidRPr="006D724E" w:rsidRDefault="001E6839" w:rsidP="00797641">
            <w:pPr>
              <w:pStyle w:val="NoSpacing"/>
              <w:rPr>
                <w:szCs w:val="24"/>
              </w:rPr>
            </w:pPr>
            <w:r w:rsidRPr="006D724E">
              <w:rPr>
                <w:szCs w:val="24"/>
              </w:rPr>
              <w:t>35,5</w:t>
            </w:r>
          </w:p>
        </w:tc>
        <w:tc>
          <w:tcPr>
            <w:tcW w:w="1744" w:type="dxa"/>
          </w:tcPr>
          <w:p w:rsidR="001E6839" w:rsidRPr="006D724E" w:rsidRDefault="001E6839" w:rsidP="00797641">
            <w:pPr>
              <w:pStyle w:val="NoSpacing"/>
              <w:rPr>
                <w:szCs w:val="24"/>
              </w:rPr>
            </w:pPr>
            <w:r w:rsidRPr="006D724E">
              <w:rPr>
                <w:szCs w:val="24"/>
              </w:rPr>
              <w:t>35,5</w:t>
            </w:r>
          </w:p>
        </w:tc>
        <w:tc>
          <w:tcPr>
            <w:tcW w:w="1744" w:type="dxa"/>
          </w:tcPr>
          <w:p w:rsidR="001E6839" w:rsidRPr="006D724E" w:rsidRDefault="001E6839" w:rsidP="00797641">
            <w:pPr>
              <w:pStyle w:val="NoSpacing"/>
              <w:rPr>
                <w:szCs w:val="24"/>
              </w:rPr>
            </w:pPr>
            <w:r w:rsidRPr="006D724E">
              <w:rPr>
                <w:szCs w:val="24"/>
              </w:rPr>
              <w:t>37,1</w:t>
            </w:r>
          </w:p>
        </w:tc>
        <w:tc>
          <w:tcPr>
            <w:tcW w:w="1744" w:type="dxa"/>
          </w:tcPr>
          <w:p w:rsidR="001E6839" w:rsidRPr="006D724E" w:rsidRDefault="001E6839" w:rsidP="00797641">
            <w:pPr>
              <w:pStyle w:val="NoSpacing"/>
              <w:rPr>
                <w:szCs w:val="24"/>
              </w:rPr>
            </w:pPr>
            <w:r w:rsidRPr="006D724E">
              <w:rPr>
                <w:szCs w:val="24"/>
              </w:rPr>
              <w:t>37,1</w:t>
            </w:r>
          </w:p>
        </w:tc>
      </w:tr>
      <w:tr w:rsidR="001E6839" w:rsidRPr="00E34AB2" w:rsidTr="00797641">
        <w:trPr>
          <w:trHeight w:val="132"/>
        </w:trPr>
        <w:tc>
          <w:tcPr>
            <w:tcW w:w="1923" w:type="dxa"/>
          </w:tcPr>
          <w:p w:rsidR="001E6839" w:rsidRPr="006D724E" w:rsidRDefault="001E6839" w:rsidP="00797641">
            <w:pPr>
              <w:pStyle w:val="NoSpacing"/>
              <w:rPr>
                <w:szCs w:val="24"/>
              </w:rPr>
            </w:pPr>
            <w:r w:rsidRPr="006D724E">
              <w:rPr>
                <w:szCs w:val="24"/>
              </w:rPr>
              <w:t>МЕКСИКО</w:t>
            </w:r>
          </w:p>
        </w:tc>
        <w:tc>
          <w:tcPr>
            <w:tcW w:w="1743" w:type="dxa"/>
          </w:tcPr>
          <w:p w:rsidR="001E6839" w:rsidRPr="006D724E" w:rsidRDefault="001E6839" w:rsidP="00797641">
            <w:pPr>
              <w:pStyle w:val="NoSpacing"/>
              <w:rPr>
                <w:szCs w:val="24"/>
              </w:rPr>
            </w:pPr>
            <w:r w:rsidRPr="006D724E">
              <w:rPr>
                <w:szCs w:val="24"/>
              </w:rPr>
              <w:t>20,9</w:t>
            </w:r>
          </w:p>
        </w:tc>
        <w:tc>
          <w:tcPr>
            <w:tcW w:w="1744" w:type="dxa"/>
          </w:tcPr>
          <w:p w:rsidR="001E6839" w:rsidRPr="006D724E" w:rsidRDefault="001E6839" w:rsidP="00797641">
            <w:pPr>
              <w:pStyle w:val="NoSpacing"/>
              <w:rPr>
                <w:szCs w:val="24"/>
              </w:rPr>
            </w:pPr>
            <w:r w:rsidRPr="006D724E">
              <w:rPr>
                <w:szCs w:val="24"/>
              </w:rPr>
              <w:t>20,9</w:t>
            </w:r>
          </w:p>
        </w:tc>
        <w:tc>
          <w:tcPr>
            <w:tcW w:w="1744" w:type="dxa"/>
          </w:tcPr>
          <w:p w:rsidR="001E6839" w:rsidRPr="006D724E" w:rsidRDefault="001E6839" w:rsidP="00797641">
            <w:pPr>
              <w:pStyle w:val="NoSpacing"/>
              <w:rPr>
                <w:szCs w:val="24"/>
              </w:rPr>
            </w:pPr>
            <w:r w:rsidRPr="006D724E">
              <w:rPr>
                <w:szCs w:val="24"/>
              </w:rPr>
              <w:t>18,8</w:t>
            </w:r>
          </w:p>
        </w:tc>
        <w:tc>
          <w:tcPr>
            <w:tcW w:w="1744" w:type="dxa"/>
          </w:tcPr>
          <w:p w:rsidR="001E6839" w:rsidRPr="006D724E" w:rsidRDefault="001E6839" w:rsidP="00797641">
            <w:pPr>
              <w:pStyle w:val="NoSpacing"/>
              <w:rPr>
                <w:szCs w:val="24"/>
              </w:rPr>
            </w:pPr>
          </w:p>
        </w:tc>
      </w:tr>
      <w:tr w:rsidR="001E6839" w:rsidRPr="00E34AB2" w:rsidTr="00797641">
        <w:trPr>
          <w:trHeight w:val="324"/>
        </w:trPr>
        <w:tc>
          <w:tcPr>
            <w:tcW w:w="1923" w:type="dxa"/>
          </w:tcPr>
          <w:p w:rsidR="001E6839" w:rsidRPr="006D724E" w:rsidRDefault="001E6839" w:rsidP="00797641">
            <w:pPr>
              <w:pStyle w:val="NoSpacing"/>
              <w:rPr>
                <w:szCs w:val="24"/>
              </w:rPr>
            </w:pPr>
            <w:r w:rsidRPr="006D724E">
              <w:rPr>
                <w:szCs w:val="24"/>
              </w:rPr>
              <w:t>ХОЛАНДИЈА</w:t>
            </w:r>
          </w:p>
        </w:tc>
        <w:tc>
          <w:tcPr>
            <w:tcW w:w="1743" w:type="dxa"/>
          </w:tcPr>
          <w:p w:rsidR="001E6839" w:rsidRPr="006D724E" w:rsidRDefault="001E6839" w:rsidP="00797641">
            <w:pPr>
              <w:pStyle w:val="NoSpacing"/>
              <w:rPr>
                <w:szCs w:val="24"/>
              </w:rPr>
            </w:pPr>
            <w:r w:rsidRPr="006D724E">
              <w:rPr>
                <w:szCs w:val="24"/>
              </w:rPr>
              <w:t>39,3</w:t>
            </w:r>
          </w:p>
        </w:tc>
        <w:tc>
          <w:tcPr>
            <w:tcW w:w="1744" w:type="dxa"/>
          </w:tcPr>
          <w:p w:rsidR="001E6839" w:rsidRPr="006D724E" w:rsidRDefault="001E6839" w:rsidP="00797641">
            <w:pPr>
              <w:pStyle w:val="NoSpacing"/>
              <w:rPr>
                <w:szCs w:val="24"/>
              </w:rPr>
            </w:pPr>
            <w:r w:rsidRPr="006D724E">
              <w:rPr>
                <w:szCs w:val="24"/>
              </w:rPr>
              <w:t>39,3</w:t>
            </w:r>
          </w:p>
        </w:tc>
        <w:tc>
          <w:tcPr>
            <w:tcW w:w="1744" w:type="dxa"/>
          </w:tcPr>
          <w:p w:rsidR="001E6839" w:rsidRPr="006D724E" w:rsidRDefault="001E6839" w:rsidP="00797641">
            <w:pPr>
              <w:pStyle w:val="NoSpacing"/>
              <w:rPr>
                <w:szCs w:val="24"/>
              </w:rPr>
            </w:pPr>
            <w:r w:rsidRPr="006D724E">
              <w:rPr>
                <w:szCs w:val="24"/>
              </w:rPr>
              <w:t>38,7</w:t>
            </w:r>
          </w:p>
        </w:tc>
        <w:tc>
          <w:tcPr>
            <w:tcW w:w="1744" w:type="dxa"/>
          </w:tcPr>
          <w:p w:rsidR="001E6839" w:rsidRPr="006D724E" w:rsidRDefault="001E6839" w:rsidP="00797641">
            <w:pPr>
              <w:pStyle w:val="NoSpacing"/>
              <w:rPr>
                <w:szCs w:val="24"/>
              </w:rPr>
            </w:pPr>
            <w:r w:rsidRPr="006D724E">
              <w:rPr>
                <w:szCs w:val="24"/>
              </w:rPr>
              <w:t>31,7</w:t>
            </w:r>
          </w:p>
        </w:tc>
      </w:tr>
      <w:tr w:rsidR="001E6839" w:rsidRPr="00E34AB2" w:rsidTr="00797641">
        <w:trPr>
          <w:trHeight w:val="260"/>
        </w:trPr>
        <w:tc>
          <w:tcPr>
            <w:tcW w:w="1923" w:type="dxa"/>
          </w:tcPr>
          <w:p w:rsidR="001E6839" w:rsidRPr="006D724E" w:rsidRDefault="001E6839" w:rsidP="00797641">
            <w:pPr>
              <w:pStyle w:val="NoSpacing"/>
              <w:rPr>
                <w:szCs w:val="24"/>
              </w:rPr>
            </w:pPr>
            <w:r w:rsidRPr="006D724E">
              <w:rPr>
                <w:szCs w:val="24"/>
              </w:rPr>
              <w:t>НОВИ ЗЕЛАНД</w:t>
            </w:r>
          </w:p>
        </w:tc>
        <w:tc>
          <w:tcPr>
            <w:tcW w:w="1743" w:type="dxa"/>
          </w:tcPr>
          <w:p w:rsidR="001E6839" w:rsidRPr="006D724E" w:rsidRDefault="001E6839" w:rsidP="00797641">
            <w:pPr>
              <w:pStyle w:val="NoSpacing"/>
              <w:rPr>
                <w:szCs w:val="24"/>
              </w:rPr>
            </w:pPr>
            <w:r w:rsidRPr="006D724E">
              <w:rPr>
                <w:szCs w:val="24"/>
              </w:rPr>
              <w:t>33,8</w:t>
            </w:r>
          </w:p>
        </w:tc>
        <w:tc>
          <w:tcPr>
            <w:tcW w:w="1744" w:type="dxa"/>
          </w:tcPr>
          <w:p w:rsidR="001E6839" w:rsidRPr="006D724E" w:rsidRDefault="001E6839" w:rsidP="00797641">
            <w:pPr>
              <w:pStyle w:val="NoSpacing"/>
              <w:rPr>
                <w:szCs w:val="24"/>
              </w:rPr>
            </w:pPr>
            <w:r w:rsidRPr="006D724E">
              <w:rPr>
                <w:szCs w:val="24"/>
              </w:rPr>
              <w:t>33,8</w:t>
            </w:r>
          </w:p>
        </w:tc>
        <w:tc>
          <w:tcPr>
            <w:tcW w:w="1744" w:type="dxa"/>
          </w:tcPr>
          <w:p w:rsidR="001E6839" w:rsidRPr="006D724E" w:rsidRDefault="001E6839" w:rsidP="00797641">
            <w:pPr>
              <w:pStyle w:val="NoSpacing"/>
              <w:rPr>
                <w:szCs w:val="24"/>
              </w:rPr>
            </w:pPr>
            <w:r w:rsidRPr="006D724E">
              <w:rPr>
                <w:szCs w:val="24"/>
              </w:rPr>
              <w:t>31,5</w:t>
            </w:r>
          </w:p>
        </w:tc>
        <w:tc>
          <w:tcPr>
            <w:tcW w:w="1744" w:type="dxa"/>
          </w:tcPr>
          <w:p w:rsidR="001E6839" w:rsidRPr="006D724E" w:rsidRDefault="001E6839" w:rsidP="00797641">
            <w:pPr>
              <w:pStyle w:val="NoSpacing"/>
              <w:rPr>
                <w:szCs w:val="24"/>
              </w:rPr>
            </w:pPr>
            <w:r w:rsidRPr="006D724E">
              <w:rPr>
                <w:szCs w:val="24"/>
              </w:rPr>
              <w:t>43,2</w:t>
            </w:r>
          </w:p>
        </w:tc>
      </w:tr>
      <w:tr w:rsidR="001E6839" w:rsidRPr="00E34AB2" w:rsidTr="00797641">
        <w:trPr>
          <w:trHeight w:val="290"/>
        </w:trPr>
        <w:tc>
          <w:tcPr>
            <w:tcW w:w="1923" w:type="dxa"/>
          </w:tcPr>
          <w:p w:rsidR="001E6839" w:rsidRPr="006D724E" w:rsidRDefault="001E6839" w:rsidP="00797641">
            <w:pPr>
              <w:pStyle w:val="NoSpacing"/>
              <w:rPr>
                <w:szCs w:val="24"/>
              </w:rPr>
            </w:pPr>
            <w:r w:rsidRPr="006D724E">
              <w:rPr>
                <w:szCs w:val="24"/>
              </w:rPr>
              <w:t>НОРВЕШКА</w:t>
            </w:r>
          </w:p>
        </w:tc>
        <w:tc>
          <w:tcPr>
            <w:tcW w:w="1743" w:type="dxa"/>
          </w:tcPr>
          <w:p w:rsidR="001E6839" w:rsidRPr="006D724E" w:rsidRDefault="001E6839" w:rsidP="00797641">
            <w:pPr>
              <w:pStyle w:val="NoSpacing"/>
              <w:rPr>
                <w:szCs w:val="24"/>
              </w:rPr>
            </w:pPr>
            <w:r w:rsidRPr="006D724E">
              <w:rPr>
                <w:szCs w:val="24"/>
              </w:rPr>
              <w:t>42,1</w:t>
            </w:r>
          </w:p>
        </w:tc>
        <w:tc>
          <w:tcPr>
            <w:tcW w:w="1744" w:type="dxa"/>
          </w:tcPr>
          <w:p w:rsidR="001E6839" w:rsidRPr="006D724E" w:rsidRDefault="001E6839" w:rsidP="00797641">
            <w:pPr>
              <w:pStyle w:val="NoSpacing"/>
              <w:rPr>
                <w:szCs w:val="24"/>
              </w:rPr>
            </w:pPr>
            <w:r w:rsidRPr="006D724E">
              <w:rPr>
                <w:szCs w:val="24"/>
              </w:rPr>
              <w:t>42,1</w:t>
            </w:r>
          </w:p>
        </w:tc>
        <w:tc>
          <w:tcPr>
            <w:tcW w:w="1744" w:type="dxa"/>
          </w:tcPr>
          <w:p w:rsidR="001E6839" w:rsidRPr="006D724E" w:rsidRDefault="001E6839" w:rsidP="00797641">
            <w:pPr>
              <w:pStyle w:val="NoSpacing"/>
              <w:rPr>
                <w:szCs w:val="24"/>
              </w:rPr>
            </w:pPr>
            <w:r w:rsidRPr="006D724E">
              <w:rPr>
                <w:szCs w:val="24"/>
              </w:rPr>
              <w:t>42,9</w:t>
            </w:r>
          </w:p>
        </w:tc>
        <w:tc>
          <w:tcPr>
            <w:tcW w:w="1744" w:type="dxa"/>
          </w:tcPr>
          <w:p w:rsidR="001E6839" w:rsidRPr="006D724E" w:rsidRDefault="001E6839" w:rsidP="00797641">
            <w:pPr>
              <w:pStyle w:val="NoSpacing"/>
              <w:rPr>
                <w:szCs w:val="24"/>
              </w:rPr>
            </w:pPr>
            <w:r w:rsidRPr="006D724E">
              <w:rPr>
                <w:szCs w:val="24"/>
              </w:rPr>
              <w:t>43,2</w:t>
            </w:r>
          </w:p>
        </w:tc>
      </w:tr>
      <w:tr w:rsidR="001E6839" w:rsidRPr="00E34AB2" w:rsidTr="00797641">
        <w:trPr>
          <w:trHeight w:val="280"/>
        </w:trPr>
        <w:tc>
          <w:tcPr>
            <w:tcW w:w="1923" w:type="dxa"/>
          </w:tcPr>
          <w:p w:rsidR="001E6839" w:rsidRPr="006D724E" w:rsidRDefault="001E6839" w:rsidP="00797641">
            <w:pPr>
              <w:pStyle w:val="NoSpacing"/>
              <w:rPr>
                <w:szCs w:val="24"/>
              </w:rPr>
            </w:pPr>
            <w:r w:rsidRPr="006D724E">
              <w:rPr>
                <w:szCs w:val="24"/>
              </w:rPr>
              <w:t>ПОЉСКА</w:t>
            </w:r>
          </w:p>
        </w:tc>
        <w:tc>
          <w:tcPr>
            <w:tcW w:w="1743" w:type="dxa"/>
          </w:tcPr>
          <w:p w:rsidR="001E6839" w:rsidRPr="006D724E" w:rsidRDefault="001E6839" w:rsidP="00797641">
            <w:pPr>
              <w:pStyle w:val="NoSpacing"/>
              <w:rPr>
                <w:szCs w:val="24"/>
              </w:rPr>
            </w:pPr>
            <w:r w:rsidRPr="006D724E">
              <w:rPr>
                <w:szCs w:val="24"/>
              </w:rPr>
              <w:t>34,2</w:t>
            </w:r>
          </w:p>
        </w:tc>
        <w:tc>
          <w:tcPr>
            <w:tcW w:w="1744" w:type="dxa"/>
          </w:tcPr>
          <w:p w:rsidR="001E6839" w:rsidRPr="006D724E" w:rsidRDefault="001E6839" w:rsidP="00797641">
            <w:pPr>
              <w:pStyle w:val="NoSpacing"/>
              <w:rPr>
                <w:szCs w:val="24"/>
              </w:rPr>
            </w:pPr>
            <w:r w:rsidRPr="006D724E">
              <w:rPr>
                <w:szCs w:val="24"/>
              </w:rPr>
              <w:t>34,2</w:t>
            </w:r>
          </w:p>
        </w:tc>
        <w:tc>
          <w:tcPr>
            <w:tcW w:w="1744" w:type="dxa"/>
          </w:tcPr>
          <w:p w:rsidR="001E6839" w:rsidRPr="006D724E" w:rsidRDefault="001E6839" w:rsidP="00797641">
            <w:pPr>
              <w:pStyle w:val="NoSpacing"/>
              <w:rPr>
                <w:szCs w:val="24"/>
              </w:rPr>
            </w:pPr>
            <w:r w:rsidRPr="006D724E">
              <w:rPr>
                <w:szCs w:val="24"/>
              </w:rPr>
              <w:t>31,7</w:t>
            </w:r>
          </w:p>
        </w:tc>
        <w:tc>
          <w:tcPr>
            <w:tcW w:w="1744" w:type="dxa"/>
          </w:tcPr>
          <w:p w:rsidR="001E6839" w:rsidRPr="006D724E" w:rsidRDefault="001E6839" w:rsidP="00797641">
            <w:pPr>
              <w:pStyle w:val="NoSpacing"/>
              <w:rPr>
                <w:szCs w:val="24"/>
              </w:rPr>
            </w:pPr>
          </w:p>
        </w:tc>
      </w:tr>
      <w:tr w:rsidR="001E6839" w:rsidRPr="00E34AB2" w:rsidTr="00797641">
        <w:trPr>
          <w:trHeight w:val="256"/>
        </w:trPr>
        <w:tc>
          <w:tcPr>
            <w:tcW w:w="1923" w:type="dxa"/>
          </w:tcPr>
          <w:p w:rsidR="001E6839" w:rsidRPr="006D724E" w:rsidRDefault="001E6839" w:rsidP="00797641">
            <w:pPr>
              <w:pStyle w:val="NoSpacing"/>
              <w:rPr>
                <w:szCs w:val="24"/>
              </w:rPr>
            </w:pPr>
            <w:r w:rsidRPr="006D724E">
              <w:rPr>
                <w:szCs w:val="24"/>
              </w:rPr>
              <w:t>ПОРТУГАЛИЈА</w:t>
            </w:r>
          </w:p>
        </w:tc>
        <w:tc>
          <w:tcPr>
            <w:tcW w:w="1743" w:type="dxa"/>
          </w:tcPr>
          <w:p w:rsidR="001E6839" w:rsidRPr="006D724E" w:rsidRDefault="001E6839" w:rsidP="00797641">
            <w:pPr>
              <w:pStyle w:val="NoSpacing"/>
              <w:rPr>
                <w:szCs w:val="24"/>
              </w:rPr>
            </w:pPr>
            <w:r w:rsidRPr="006D724E">
              <w:rPr>
                <w:szCs w:val="24"/>
              </w:rPr>
              <w:t>32,5</w:t>
            </w:r>
          </w:p>
        </w:tc>
        <w:tc>
          <w:tcPr>
            <w:tcW w:w="1744" w:type="dxa"/>
          </w:tcPr>
          <w:p w:rsidR="001E6839" w:rsidRPr="006D724E" w:rsidRDefault="001E6839" w:rsidP="00797641">
            <w:pPr>
              <w:pStyle w:val="NoSpacing"/>
              <w:rPr>
                <w:szCs w:val="24"/>
              </w:rPr>
            </w:pPr>
            <w:r w:rsidRPr="006D724E">
              <w:rPr>
                <w:szCs w:val="24"/>
              </w:rPr>
              <w:t>32,5</w:t>
            </w:r>
          </w:p>
        </w:tc>
        <w:tc>
          <w:tcPr>
            <w:tcW w:w="1744" w:type="dxa"/>
          </w:tcPr>
          <w:p w:rsidR="001E6839" w:rsidRPr="006D724E" w:rsidRDefault="001E6839" w:rsidP="00797641">
            <w:pPr>
              <w:pStyle w:val="NoSpacing"/>
              <w:rPr>
                <w:szCs w:val="24"/>
              </w:rPr>
            </w:pPr>
            <w:r w:rsidRPr="006D724E">
              <w:rPr>
                <w:szCs w:val="24"/>
              </w:rPr>
              <w:t>31,3</w:t>
            </w:r>
          </w:p>
        </w:tc>
        <w:tc>
          <w:tcPr>
            <w:tcW w:w="1744" w:type="dxa"/>
          </w:tcPr>
          <w:p w:rsidR="001E6839" w:rsidRPr="006D724E" w:rsidRDefault="001E6839" w:rsidP="00797641">
            <w:pPr>
              <w:pStyle w:val="NoSpacing"/>
              <w:rPr>
                <w:szCs w:val="24"/>
              </w:rPr>
            </w:pPr>
          </w:p>
        </w:tc>
      </w:tr>
      <w:tr w:rsidR="001E6839" w:rsidRPr="00E34AB2" w:rsidTr="00797641">
        <w:trPr>
          <w:trHeight w:val="274"/>
        </w:trPr>
        <w:tc>
          <w:tcPr>
            <w:tcW w:w="1923" w:type="dxa"/>
          </w:tcPr>
          <w:p w:rsidR="001E6839" w:rsidRPr="006D724E" w:rsidRDefault="001E6839" w:rsidP="00797641">
            <w:pPr>
              <w:pStyle w:val="NoSpacing"/>
              <w:rPr>
                <w:szCs w:val="24"/>
              </w:rPr>
            </w:pPr>
            <w:r w:rsidRPr="006D724E">
              <w:rPr>
                <w:szCs w:val="24"/>
              </w:rPr>
              <w:t>СЛОВАЧКА</w:t>
            </w:r>
          </w:p>
        </w:tc>
        <w:tc>
          <w:tcPr>
            <w:tcW w:w="1743" w:type="dxa"/>
          </w:tcPr>
          <w:p w:rsidR="001E6839" w:rsidRPr="006D724E" w:rsidRDefault="001E6839" w:rsidP="00797641">
            <w:pPr>
              <w:pStyle w:val="NoSpacing"/>
              <w:rPr>
                <w:szCs w:val="24"/>
              </w:rPr>
            </w:pPr>
            <w:r w:rsidRPr="006D724E">
              <w:rPr>
                <w:szCs w:val="24"/>
              </w:rPr>
              <w:t>29,5</w:t>
            </w:r>
          </w:p>
        </w:tc>
        <w:tc>
          <w:tcPr>
            <w:tcW w:w="1744" w:type="dxa"/>
          </w:tcPr>
          <w:p w:rsidR="001E6839" w:rsidRPr="006D724E" w:rsidRDefault="001E6839" w:rsidP="00797641">
            <w:pPr>
              <w:pStyle w:val="NoSpacing"/>
              <w:rPr>
                <w:szCs w:val="24"/>
              </w:rPr>
            </w:pPr>
            <w:r w:rsidRPr="006D724E">
              <w:rPr>
                <w:szCs w:val="24"/>
              </w:rPr>
              <w:t>29,5</w:t>
            </w:r>
          </w:p>
        </w:tc>
        <w:tc>
          <w:tcPr>
            <w:tcW w:w="1744" w:type="dxa"/>
          </w:tcPr>
          <w:p w:rsidR="001E6839" w:rsidRPr="006D724E" w:rsidRDefault="001E6839" w:rsidP="00797641">
            <w:pPr>
              <w:pStyle w:val="NoSpacing"/>
              <w:rPr>
                <w:szCs w:val="24"/>
              </w:rPr>
            </w:pPr>
            <w:r w:rsidRPr="006D724E">
              <w:rPr>
                <w:szCs w:val="24"/>
              </w:rPr>
              <w:t>38,3</w:t>
            </w:r>
          </w:p>
        </w:tc>
        <w:tc>
          <w:tcPr>
            <w:tcW w:w="1744" w:type="dxa"/>
          </w:tcPr>
          <w:p w:rsidR="001E6839" w:rsidRPr="006D724E" w:rsidRDefault="001E6839" w:rsidP="00797641">
            <w:pPr>
              <w:pStyle w:val="NoSpacing"/>
              <w:rPr>
                <w:szCs w:val="24"/>
              </w:rPr>
            </w:pPr>
            <w:r w:rsidRPr="006D724E">
              <w:rPr>
                <w:szCs w:val="24"/>
              </w:rPr>
              <w:t>36,8</w:t>
            </w:r>
          </w:p>
        </w:tc>
      </w:tr>
      <w:tr w:rsidR="001E6839" w:rsidRPr="00E34AB2" w:rsidTr="00797641">
        <w:trPr>
          <w:trHeight w:val="278"/>
        </w:trPr>
        <w:tc>
          <w:tcPr>
            <w:tcW w:w="1923" w:type="dxa"/>
          </w:tcPr>
          <w:p w:rsidR="001E6839" w:rsidRPr="006D724E" w:rsidRDefault="001E6839" w:rsidP="00797641">
            <w:pPr>
              <w:pStyle w:val="NoSpacing"/>
              <w:rPr>
                <w:szCs w:val="24"/>
              </w:rPr>
            </w:pPr>
            <w:r w:rsidRPr="006D724E">
              <w:rPr>
                <w:szCs w:val="24"/>
              </w:rPr>
              <w:t>СЛОВЕНИЈА</w:t>
            </w:r>
          </w:p>
        </w:tc>
        <w:tc>
          <w:tcPr>
            <w:tcW w:w="1743" w:type="dxa"/>
          </w:tcPr>
          <w:p w:rsidR="001E6839" w:rsidRPr="006D724E" w:rsidRDefault="001E6839" w:rsidP="00797641">
            <w:pPr>
              <w:pStyle w:val="NoSpacing"/>
              <w:rPr>
                <w:szCs w:val="24"/>
              </w:rPr>
            </w:pPr>
            <w:r w:rsidRPr="006D724E">
              <w:rPr>
                <w:szCs w:val="24"/>
              </w:rPr>
              <w:t>37,1</w:t>
            </w:r>
          </w:p>
        </w:tc>
        <w:tc>
          <w:tcPr>
            <w:tcW w:w="1744" w:type="dxa"/>
          </w:tcPr>
          <w:p w:rsidR="001E6839" w:rsidRPr="006D724E" w:rsidRDefault="001E6839" w:rsidP="00797641">
            <w:pPr>
              <w:pStyle w:val="NoSpacing"/>
              <w:rPr>
                <w:szCs w:val="24"/>
              </w:rPr>
            </w:pPr>
            <w:r w:rsidRPr="006D724E">
              <w:rPr>
                <w:szCs w:val="24"/>
              </w:rPr>
              <w:t>37,1</w:t>
            </w:r>
          </w:p>
        </w:tc>
        <w:tc>
          <w:tcPr>
            <w:tcW w:w="1744" w:type="dxa"/>
          </w:tcPr>
          <w:p w:rsidR="001E6839" w:rsidRPr="006D724E" w:rsidRDefault="001E6839" w:rsidP="00797641">
            <w:pPr>
              <w:pStyle w:val="NoSpacing"/>
              <w:rPr>
                <w:szCs w:val="24"/>
              </w:rPr>
            </w:pPr>
            <w:r w:rsidRPr="006D724E">
              <w:rPr>
                <w:szCs w:val="24"/>
              </w:rPr>
              <w:t>37,5</w:t>
            </w:r>
          </w:p>
        </w:tc>
        <w:tc>
          <w:tcPr>
            <w:tcW w:w="1744" w:type="dxa"/>
          </w:tcPr>
          <w:p w:rsidR="001E6839" w:rsidRPr="006D724E" w:rsidRDefault="001E6839" w:rsidP="00797641">
            <w:pPr>
              <w:pStyle w:val="NoSpacing"/>
              <w:rPr>
                <w:szCs w:val="24"/>
              </w:rPr>
            </w:pPr>
            <w:r w:rsidRPr="006D724E">
              <w:rPr>
                <w:szCs w:val="24"/>
              </w:rPr>
              <w:t>36,8</w:t>
            </w:r>
          </w:p>
        </w:tc>
      </w:tr>
      <w:tr w:rsidR="001E6839" w:rsidRPr="00E34AB2" w:rsidTr="00797641">
        <w:trPr>
          <w:trHeight w:val="285"/>
        </w:trPr>
        <w:tc>
          <w:tcPr>
            <w:tcW w:w="1923" w:type="dxa"/>
            <w:tcBorders>
              <w:bottom w:val="single" w:sz="4" w:space="0" w:color="auto"/>
            </w:tcBorders>
          </w:tcPr>
          <w:p w:rsidR="001E6839" w:rsidRPr="006D724E" w:rsidRDefault="001E6839" w:rsidP="00797641">
            <w:pPr>
              <w:pStyle w:val="NoSpacing"/>
              <w:rPr>
                <w:szCs w:val="24"/>
              </w:rPr>
            </w:pPr>
            <w:r w:rsidRPr="006D724E">
              <w:rPr>
                <w:szCs w:val="24"/>
              </w:rPr>
              <w:t xml:space="preserve">ШПАНИЈА </w:t>
            </w:r>
          </w:p>
        </w:tc>
        <w:tc>
          <w:tcPr>
            <w:tcW w:w="1743" w:type="dxa"/>
            <w:tcBorders>
              <w:bottom w:val="single" w:sz="4" w:space="0" w:color="auto"/>
            </w:tcBorders>
          </w:tcPr>
          <w:p w:rsidR="001E6839" w:rsidRPr="006D724E" w:rsidRDefault="001E6839" w:rsidP="00797641">
            <w:pPr>
              <w:pStyle w:val="NoSpacing"/>
              <w:rPr>
                <w:szCs w:val="24"/>
              </w:rPr>
            </w:pPr>
            <w:r w:rsidRPr="006D724E">
              <w:rPr>
                <w:szCs w:val="24"/>
              </w:rPr>
              <w:t>33,1</w:t>
            </w:r>
          </w:p>
        </w:tc>
        <w:tc>
          <w:tcPr>
            <w:tcW w:w="1744" w:type="dxa"/>
            <w:tcBorders>
              <w:bottom w:val="single" w:sz="4" w:space="0" w:color="auto"/>
            </w:tcBorders>
          </w:tcPr>
          <w:p w:rsidR="001E6839" w:rsidRPr="006D724E" w:rsidRDefault="001E6839" w:rsidP="00797641">
            <w:pPr>
              <w:pStyle w:val="NoSpacing"/>
              <w:rPr>
                <w:szCs w:val="24"/>
              </w:rPr>
            </w:pPr>
            <w:r w:rsidRPr="006D724E">
              <w:rPr>
                <w:szCs w:val="24"/>
              </w:rPr>
              <w:t>33,1</w:t>
            </w:r>
          </w:p>
        </w:tc>
        <w:tc>
          <w:tcPr>
            <w:tcW w:w="1744" w:type="dxa"/>
            <w:tcBorders>
              <w:bottom w:val="single" w:sz="4" w:space="0" w:color="auto"/>
            </w:tcBorders>
          </w:tcPr>
          <w:p w:rsidR="001E6839" w:rsidRPr="006D724E" w:rsidRDefault="001E6839" w:rsidP="00797641">
            <w:pPr>
              <w:pStyle w:val="NoSpacing"/>
              <w:rPr>
                <w:szCs w:val="24"/>
              </w:rPr>
            </w:pPr>
            <w:r w:rsidRPr="006D724E">
              <w:rPr>
                <w:szCs w:val="24"/>
              </w:rPr>
              <w:t>32,3</w:t>
            </w:r>
          </w:p>
        </w:tc>
        <w:tc>
          <w:tcPr>
            <w:tcW w:w="1744" w:type="dxa"/>
            <w:tcBorders>
              <w:bottom w:val="single" w:sz="4" w:space="0" w:color="auto"/>
            </w:tcBorders>
          </w:tcPr>
          <w:p w:rsidR="001E6839" w:rsidRPr="006D724E" w:rsidRDefault="001E6839" w:rsidP="00797641">
            <w:pPr>
              <w:pStyle w:val="NoSpacing"/>
              <w:rPr>
                <w:szCs w:val="24"/>
              </w:rPr>
            </w:pPr>
            <w:r w:rsidRPr="006D724E">
              <w:rPr>
                <w:szCs w:val="24"/>
              </w:rPr>
              <w:t>31,6</w:t>
            </w:r>
          </w:p>
        </w:tc>
      </w:tr>
      <w:tr w:rsidR="001E6839" w:rsidRPr="00E34AB2" w:rsidTr="00797641">
        <w:trPr>
          <w:trHeight w:val="238"/>
        </w:trPr>
        <w:tc>
          <w:tcPr>
            <w:tcW w:w="1923" w:type="dxa"/>
            <w:tcBorders>
              <w:top w:val="single" w:sz="4" w:space="0" w:color="auto"/>
            </w:tcBorders>
          </w:tcPr>
          <w:p w:rsidR="001E6839" w:rsidRPr="006D724E" w:rsidRDefault="001E6839" w:rsidP="00797641">
            <w:pPr>
              <w:pStyle w:val="NoSpacing"/>
              <w:rPr>
                <w:szCs w:val="24"/>
              </w:rPr>
            </w:pPr>
            <w:r w:rsidRPr="006D724E">
              <w:rPr>
                <w:szCs w:val="24"/>
              </w:rPr>
              <w:t>ШВЕДСКА</w:t>
            </w:r>
          </w:p>
        </w:tc>
        <w:tc>
          <w:tcPr>
            <w:tcW w:w="1743" w:type="dxa"/>
            <w:tcBorders>
              <w:top w:val="single" w:sz="4" w:space="0" w:color="auto"/>
            </w:tcBorders>
          </w:tcPr>
          <w:p w:rsidR="001E6839" w:rsidRPr="006D724E" w:rsidRDefault="001E6839" w:rsidP="00797641">
            <w:pPr>
              <w:pStyle w:val="NoSpacing"/>
              <w:rPr>
                <w:szCs w:val="24"/>
              </w:rPr>
            </w:pPr>
            <w:r w:rsidRPr="006D724E">
              <w:rPr>
                <w:szCs w:val="24"/>
              </w:rPr>
              <w:t>46,4</w:t>
            </w:r>
          </w:p>
        </w:tc>
        <w:tc>
          <w:tcPr>
            <w:tcW w:w="1744" w:type="dxa"/>
            <w:tcBorders>
              <w:top w:val="single" w:sz="4" w:space="0" w:color="auto"/>
            </w:tcBorders>
          </w:tcPr>
          <w:p w:rsidR="001E6839" w:rsidRPr="006D724E" w:rsidRDefault="001E6839" w:rsidP="00797641">
            <w:pPr>
              <w:pStyle w:val="NoSpacing"/>
              <w:rPr>
                <w:szCs w:val="24"/>
              </w:rPr>
            </w:pPr>
            <w:r w:rsidRPr="006D724E">
              <w:rPr>
                <w:szCs w:val="24"/>
              </w:rPr>
              <w:t>46,1</w:t>
            </w:r>
          </w:p>
        </w:tc>
        <w:tc>
          <w:tcPr>
            <w:tcW w:w="1744" w:type="dxa"/>
            <w:tcBorders>
              <w:top w:val="single" w:sz="4" w:space="0" w:color="auto"/>
            </w:tcBorders>
          </w:tcPr>
          <w:p w:rsidR="001E6839" w:rsidRPr="006D724E" w:rsidRDefault="001E6839" w:rsidP="00797641">
            <w:pPr>
              <w:pStyle w:val="NoSpacing"/>
              <w:rPr>
                <w:szCs w:val="24"/>
              </w:rPr>
            </w:pPr>
            <w:r w:rsidRPr="006D724E">
              <w:rPr>
                <w:szCs w:val="24"/>
              </w:rPr>
              <w:t>45,5</w:t>
            </w:r>
          </w:p>
        </w:tc>
        <w:tc>
          <w:tcPr>
            <w:tcW w:w="1744" w:type="dxa"/>
            <w:tcBorders>
              <w:top w:val="single" w:sz="4" w:space="0" w:color="auto"/>
            </w:tcBorders>
          </w:tcPr>
          <w:p w:rsidR="001E6839" w:rsidRPr="006D724E" w:rsidRDefault="001E6839" w:rsidP="00797641">
            <w:pPr>
              <w:pStyle w:val="NoSpacing"/>
              <w:rPr>
                <w:szCs w:val="24"/>
              </w:rPr>
            </w:pPr>
            <w:r w:rsidRPr="006D724E">
              <w:rPr>
                <w:szCs w:val="24"/>
              </w:rPr>
              <w:t>44,5</w:t>
            </w:r>
          </w:p>
        </w:tc>
      </w:tr>
      <w:tr w:rsidR="001E6839" w:rsidRPr="00E34AB2" w:rsidTr="00797641">
        <w:trPr>
          <w:trHeight w:val="276"/>
        </w:trPr>
        <w:tc>
          <w:tcPr>
            <w:tcW w:w="1923" w:type="dxa"/>
          </w:tcPr>
          <w:p w:rsidR="001E6839" w:rsidRPr="006D724E" w:rsidRDefault="001E6839" w:rsidP="00797641">
            <w:pPr>
              <w:pStyle w:val="NoSpacing"/>
              <w:rPr>
                <w:szCs w:val="24"/>
              </w:rPr>
            </w:pPr>
            <w:r w:rsidRPr="006D724E">
              <w:rPr>
                <w:szCs w:val="24"/>
              </w:rPr>
              <w:t>ШВАЈЦАРСКА</w:t>
            </w:r>
          </w:p>
        </w:tc>
        <w:tc>
          <w:tcPr>
            <w:tcW w:w="1743" w:type="dxa"/>
          </w:tcPr>
          <w:p w:rsidR="001E6839" w:rsidRPr="006D724E" w:rsidRDefault="001E6839" w:rsidP="00797641">
            <w:pPr>
              <w:pStyle w:val="NoSpacing"/>
              <w:rPr>
                <w:szCs w:val="24"/>
              </w:rPr>
            </w:pPr>
            <w:r w:rsidRPr="006D724E">
              <w:rPr>
                <w:szCs w:val="24"/>
              </w:rPr>
              <w:t>28,1</w:t>
            </w:r>
          </w:p>
        </w:tc>
        <w:tc>
          <w:tcPr>
            <w:tcW w:w="1744" w:type="dxa"/>
          </w:tcPr>
          <w:p w:rsidR="001E6839" w:rsidRPr="006D724E" w:rsidRDefault="001E6839" w:rsidP="00797641">
            <w:pPr>
              <w:pStyle w:val="NoSpacing"/>
              <w:rPr>
                <w:szCs w:val="24"/>
              </w:rPr>
            </w:pPr>
            <w:r w:rsidRPr="006D724E">
              <w:rPr>
                <w:szCs w:val="24"/>
              </w:rPr>
              <w:t>28,1</w:t>
            </w:r>
          </w:p>
        </w:tc>
        <w:tc>
          <w:tcPr>
            <w:tcW w:w="1744" w:type="dxa"/>
          </w:tcPr>
          <w:p w:rsidR="001E6839" w:rsidRPr="006D724E" w:rsidRDefault="001E6839" w:rsidP="00797641">
            <w:pPr>
              <w:pStyle w:val="NoSpacing"/>
              <w:rPr>
                <w:szCs w:val="24"/>
              </w:rPr>
            </w:pPr>
            <w:r w:rsidRPr="006D724E">
              <w:rPr>
                <w:szCs w:val="24"/>
              </w:rPr>
              <w:t>28,1</w:t>
            </w:r>
          </w:p>
        </w:tc>
        <w:tc>
          <w:tcPr>
            <w:tcW w:w="1744" w:type="dxa"/>
          </w:tcPr>
          <w:p w:rsidR="001E6839" w:rsidRPr="006D724E" w:rsidRDefault="001E6839" w:rsidP="00797641">
            <w:pPr>
              <w:pStyle w:val="NoSpacing"/>
              <w:rPr>
                <w:szCs w:val="24"/>
              </w:rPr>
            </w:pPr>
            <w:r w:rsidRPr="006D724E">
              <w:rPr>
                <w:szCs w:val="24"/>
              </w:rPr>
              <w:t>28,5</w:t>
            </w:r>
          </w:p>
        </w:tc>
      </w:tr>
      <w:tr w:rsidR="001E6839" w:rsidRPr="00E34AB2" w:rsidTr="00797641">
        <w:trPr>
          <w:trHeight w:val="280"/>
        </w:trPr>
        <w:tc>
          <w:tcPr>
            <w:tcW w:w="1923" w:type="dxa"/>
          </w:tcPr>
          <w:p w:rsidR="001E6839" w:rsidRPr="006D724E" w:rsidRDefault="001E6839" w:rsidP="00797641">
            <w:pPr>
              <w:pStyle w:val="NoSpacing"/>
              <w:rPr>
                <w:szCs w:val="24"/>
              </w:rPr>
            </w:pPr>
            <w:r w:rsidRPr="006D724E">
              <w:rPr>
                <w:szCs w:val="24"/>
              </w:rPr>
              <w:t>ТУРСКА</w:t>
            </w:r>
          </w:p>
        </w:tc>
        <w:tc>
          <w:tcPr>
            <w:tcW w:w="1743" w:type="dxa"/>
          </w:tcPr>
          <w:p w:rsidR="001E6839" w:rsidRPr="006D724E" w:rsidRDefault="001E6839" w:rsidP="00797641">
            <w:pPr>
              <w:pStyle w:val="NoSpacing"/>
              <w:rPr>
                <w:szCs w:val="24"/>
              </w:rPr>
            </w:pPr>
            <w:r w:rsidRPr="006D724E">
              <w:rPr>
                <w:szCs w:val="24"/>
              </w:rPr>
              <w:t>24,2</w:t>
            </w:r>
          </w:p>
        </w:tc>
        <w:tc>
          <w:tcPr>
            <w:tcW w:w="1744" w:type="dxa"/>
          </w:tcPr>
          <w:p w:rsidR="001E6839" w:rsidRPr="006D724E" w:rsidRDefault="001E6839" w:rsidP="00797641">
            <w:pPr>
              <w:pStyle w:val="NoSpacing"/>
              <w:rPr>
                <w:szCs w:val="24"/>
              </w:rPr>
            </w:pPr>
            <w:r w:rsidRPr="006D724E">
              <w:rPr>
                <w:szCs w:val="24"/>
              </w:rPr>
              <w:t>25,7</w:t>
            </w:r>
          </w:p>
        </w:tc>
        <w:tc>
          <w:tcPr>
            <w:tcW w:w="1744" w:type="dxa"/>
          </w:tcPr>
          <w:p w:rsidR="001E6839" w:rsidRPr="006D724E" w:rsidRDefault="001E6839" w:rsidP="00797641">
            <w:pPr>
              <w:pStyle w:val="NoSpacing"/>
              <w:rPr>
                <w:szCs w:val="24"/>
              </w:rPr>
            </w:pPr>
            <w:r w:rsidRPr="006D724E">
              <w:rPr>
                <w:szCs w:val="24"/>
              </w:rPr>
              <w:t>25,7</w:t>
            </w:r>
          </w:p>
        </w:tc>
        <w:tc>
          <w:tcPr>
            <w:tcW w:w="1744" w:type="dxa"/>
          </w:tcPr>
          <w:p w:rsidR="001E6839" w:rsidRPr="006D724E" w:rsidRDefault="001E6839" w:rsidP="00797641">
            <w:pPr>
              <w:pStyle w:val="NoSpacing"/>
              <w:rPr>
                <w:szCs w:val="24"/>
              </w:rPr>
            </w:pPr>
            <w:r w:rsidRPr="006D724E">
              <w:rPr>
                <w:szCs w:val="24"/>
              </w:rPr>
              <w:t>25,0</w:t>
            </w:r>
          </w:p>
        </w:tc>
      </w:tr>
      <w:tr w:rsidR="001E6839" w:rsidRPr="00E34AB2" w:rsidTr="00797641">
        <w:trPr>
          <w:trHeight w:val="426"/>
        </w:trPr>
        <w:tc>
          <w:tcPr>
            <w:tcW w:w="1923" w:type="dxa"/>
          </w:tcPr>
          <w:p w:rsidR="001E6839" w:rsidRPr="006D724E" w:rsidRDefault="001E6839" w:rsidP="00797641">
            <w:pPr>
              <w:pStyle w:val="NoSpacing"/>
              <w:rPr>
                <w:szCs w:val="24"/>
              </w:rPr>
            </w:pPr>
            <w:r w:rsidRPr="006D724E">
              <w:rPr>
                <w:szCs w:val="24"/>
              </w:rPr>
              <w:t>ВЕЛИКА БРИТАНИЈА</w:t>
            </w:r>
          </w:p>
        </w:tc>
        <w:tc>
          <w:tcPr>
            <w:tcW w:w="1743" w:type="dxa"/>
          </w:tcPr>
          <w:p w:rsidR="001E6839" w:rsidRPr="006D724E" w:rsidRDefault="001E6839" w:rsidP="00797641">
            <w:pPr>
              <w:pStyle w:val="NoSpacing"/>
              <w:rPr>
                <w:szCs w:val="24"/>
              </w:rPr>
            </w:pPr>
            <w:r w:rsidRPr="006D724E">
              <w:rPr>
                <w:szCs w:val="24"/>
              </w:rPr>
              <w:t>35,8</w:t>
            </w:r>
          </w:p>
        </w:tc>
        <w:tc>
          <w:tcPr>
            <w:tcW w:w="1744" w:type="dxa"/>
          </w:tcPr>
          <w:p w:rsidR="001E6839" w:rsidRPr="006D724E" w:rsidRDefault="001E6839" w:rsidP="00797641">
            <w:pPr>
              <w:pStyle w:val="NoSpacing"/>
              <w:rPr>
                <w:szCs w:val="24"/>
              </w:rPr>
            </w:pPr>
            <w:r w:rsidRPr="006D724E">
              <w:rPr>
                <w:szCs w:val="24"/>
              </w:rPr>
              <w:t>34,9</w:t>
            </w:r>
          </w:p>
        </w:tc>
        <w:tc>
          <w:tcPr>
            <w:tcW w:w="1744" w:type="dxa"/>
          </w:tcPr>
          <w:p w:rsidR="001E6839" w:rsidRPr="006D724E" w:rsidRDefault="001E6839" w:rsidP="00797641">
            <w:pPr>
              <w:pStyle w:val="NoSpacing"/>
              <w:rPr>
                <w:szCs w:val="24"/>
              </w:rPr>
            </w:pPr>
            <w:r w:rsidRPr="006D724E">
              <w:rPr>
                <w:szCs w:val="24"/>
              </w:rPr>
              <w:t>34,9</w:t>
            </w:r>
          </w:p>
        </w:tc>
        <w:tc>
          <w:tcPr>
            <w:tcW w:w="1744" w:type="dxa"/>
          </w:tcPr>
          <w:p w:rsidR="001E6839" w:rsidRPr="006D724E" w:rsidRDefault="001E6839" w:rsidP="00797641">
            <w:pPr>
              <w:pStyle w:val="NoSpacing"/>
              <w:rPr>
                <w:szCs w:val="24"/>
              </w:rPr>
            </w:pPr>
            <w:r w:rsidRPr="006D724E">
              <w:rPr>
                <w:szCs w:val="24"/>
              </w:rPr>
              <w:t>35,5</w:t>
            </w:r>
          </w:p>
        </w:tc>
      </w:tr>
      <w:tr w:rsidR="001E6839" w:rsidRPr="00E34AB2" w:rsidTr="00797641">
        <w:trPr>
          <w:trHeight w:val="292"/>
        </w:trPr>
        <w:tc>
          <w:tcPr>
            <w:tcW w:w="1923" w:type="dxa"/>
          </w:tcPr>
          <w:p w:rsidR="001E6839" w:rsidRPr="006D724E" w:rsidRDefault="001E6839" w:rsidP="00797641">
            <w:pPr>
              <w:pStyle w:val="NoSpacing"/>
              <w:rPr>
                <w:szCs w:val="24"/>
              </w:rPr>
            </w:pPr>
            <w:r w:rsidRPr="006D724E">
              <w:rPr>
                <w:szCs w:val="24"/>
              </w:rPr>
              <w:t>САД</w:t>
            </w:r>
          </w:p>
        </w:tc>
        <w:tc>
          <w:tcPr>
            <w:tcW w:w="1743" w:type="dxa"/>
          </w:tcPr>
          <w:p w:rsidR="001E6839" w:rsidRPr="006D724E" w:rsidRDefault="001E6839" w:rsidP="00797641">
            <w:pPr>
              <w:pStyle w:val="NoSpacing"/>
              <w:rPr>
                <w:szCs w:val="24"/>
              </w:rPr>
            </w:pPr>
            <w:r w:rsidRPr="006D724E">
              <w:rPr>
                <w:szCs w:val="24"/>
              </w:rPr>
              <w:t>26,3</w:t>
            </w:r>
          </w:p>
        </w:tc>
        <w:tc>
          <w:tcPr>
            <w:tcW w:w="1744" w:type="dxa"/>
          </w:tcPr>
          <w:p w:rsidR="001E6839" w:rsidRPr="006D724E" w:rsidRDefault="001E6839" w:rsidP="00797641">
            <w:pPr>
              <w:pStyle w:val="NoSpacing"/>
              <w:rPr>
                <w:szCs w:val="24"/>
              </w:rPr>
            </w:pPr>
            <w:r w:rsidRPr="006D724E">
              <w:rPr>
                <w:szCs w:val="24"/>
              </w:rPr>
              <w:t>24,8</w:t>
            </w:r>
          </w:p>
        </w:tc>
        <w:tc>
          <w:tcPr>
            <w:tcW w:w="1744" w:type="dxa"/>
          </w:tcPr>
          <w:p w:rsidR="001E6839" w:rsidRPr="006D724E" w:rsidRDefault="001E6839" w:rsidP="00797641">
            <w:pPr>
              <w:pStyle w:val="NoSpacing"/>
              <w:rPr>
                <w:szCs w:val="24"/>
              </w:rPr>
            </w:pPr>
            <w:r w:rsidRPr="006D724E">
              <w:rPr>
                <w:szCs w:val="24"/>
              </w:rPr>
              <w:t>24,8</w:t>
            </w:r>
          </w:p>
        </w:tc>
        <w:tc>
          <w:tcPr>
            <w:tcW w:w="1744" w:type="dxa"/>
          </w:tcPr>
          <w:p w:rsidR="001E6839" w:rsidRPr="006D724E" w:rsidRDefault="001E6839" w:rsidP="00797641">
            <w:pPr>
              <w:pStyle w:val="NoSpacing"/>
              <w:rPr>
                <w:szCs w:val="24"/>
              </w:rPr>
            </w:pPr>
            <w:r w:rsidRPr="006D724E">
              <w:rPr>
                <w:szCs w:val="24"/>
              </w:rPr>
              <w:t>25,1</w:t>
            </w:r>
          </w:p>
        </w:tc>
      </w:tr>
      <w:tr w:rsidR="001E6839" w:rsidRPr="00E34AB2" w:rsidTr="00797641">
        <w:trPr>
          <w:trHeight w:val="282"/>
        </w:trPr>
        <w:tc>
          <w:tcPr>
            <w:tcW w:w="1923" w:type="dxa"/>
          </w:tcPr>
          <w:p w:rsidR="001E6839" w:rsidRPr="006D724E" w:rsidRDefault="001E6839" w:rsidP="00797641">
            <w:pPr>
              <w:pStyle w:val="NoSpacing"/>
              <w:rPr>
                <w:szCs w:val="24"/>
              </w:rPr>
            </w:pPr>
            <w:r>
              <w:rPr>
                <w:szCs w:val="24"/>
              </w:rPr>
              <w:t>ОЕЦ</w:t>
            </w:r>
            <w:r>
              <w:rPr>
                <w:szCs w:val="24"/>
                <w:lang w:val="sr-Cyrl-CS"/>
              </w:rPr>
              <w:t>Д</w:t>
            </w:r>
            <w:r w:rsidRPr="006D724E">
              <w:rPr>
                <w:szCs w:val="24"/>
              </w:rPr>
              <w:t>-ТОТАЛ</w:t>
            </w:r>
          </w:p>
        </w:tc>
        <w:tc>
          <w:tcPr>
            <w:tcW w:w="1743" w:type="dxa"/>
          </w:tcPr>
          <w:p w:rsidR="001E6839" w:rsidRPr="006D724E" w:rsidRDefault="001E6839" w:rsidP="00797641">
            <w:pPr>
              <w:pStyle w:val="NoSpacing"/>
              <w:rPr>
                <w:szCs w:val="24"/>
              </w:rPr>
            </w:pPr>
            <w:r w:rsidRPr="006D724E">
              <w:rPr>
                <w:szCs w:val="24"/>
              </w:rPr>
              <w:t>34,5</w:t>
            </w:r>
          </w:p>
        </w:tc>
        <w:tc>
          <w:tcPr>
            <w:tcW w:w="1744" w:type="dxa"/>
          </w:tcPr>
          <w:p w:rsidR="001E6839" w:rsidRPr="006D724E" w:rsidRDefault="001E6839" w:rsidP="00797641">
            <w:pPr>
              <w:pStyle w:val="NoSpacing"/>
              <w:rPr>
                <w:szCs w:val="24"/>
              </w:rPr>
            </w:pPr>
            <w:r w:rsidRPr="006D724E">
              <w:rPr>
                <w:szCs w:val="24"/>
              </w:rPr>
              <w:t>33,7</w:t>
            </w:r>
          </w:p>
        </w:tc>
        <w:tc>
          <w:tcPr>
            <w:tcW w:w="1744" w:type="dxa"/>
          </w:tcPr>
          <w:p w:rsidR="001E6839" w:rsidRPr="006D724E" w:rsidRDefault="001E6839" w:rsidP="00797641">
            <w:pPr>
              <w:pStyle w:val="NoSpacing"/>
              <w:rPr>
                <w:szCs w:val="24"/>
              </w:rPr>
            </w:pPr>
            <w:r w:rsidRPr="006D724E">
              <w:rPr>
                <w:szCs w:val="24"/>
              </w:rPr>
              <w:t>33,8</w:t>
            </w:r>
          </w:p>
        </w:tc>
        <w:tc>
          <w:tcPr>
            <w:tcW w:w="1744" w:type="dxa"/>
          </w:tcPr>
          <w:p w:rsidR="001E6839" w:rsidRPr="006D724E" w:rsidRDefault="001E6839" w:rsidP="00797641">
            <w:pPr>
              <w:pStyle w:val="NoSpacing"/>
              <w:rPr>
                <w:szCs w:val="24"/>
              </w:rPr>
            </w:pPr>
          </w:p>
        </w:tc>
      </w:tr>
    </w:tbl>
    <w:p w:rsidR="001E6839" w:rsidRDefault="001E6839" w:rsidP="001E6839">
      <w:pPr>
        <w:pStyle w:val="NoSpacing"/>
        <w:rPr>
          <w:rFonts w:ascii="Times New Roman" w:hAnsi="Times New Roman"/>
          <w:sz w:val="24"/>
          <w:szCs w:val="24"/>
        </w:rPr>
      </w:pPr>
    </w:p>
    <w:p w:rsidR="001E6839" w:rsidRDefault="001E6839" w:rsidP="001E6839">
      <w:pPr>
        <w:jc w:val="both"/>
        <w:rPr>
          <w:rFonts w:ascii="Times New Roman" w:hAnsi="Times New Roman"/>
          <w:sz w:val="24"/>
          <w:szCs w:val="24"/>
        </w:rPr>
      </w:pPr>
    </w:p>
    <w:p w:rsidR="001E6839" w:rsidRPr="000019AD" w:rsidRDefault="001E6839" w:rsidP="001E6839">
      <w:pPr>
        <w:ind w:firstLine="708"/>
        <w:jc w:val="both"/>
        <w:rPr>
          <w:rFonts w:ascii="Times New Roman" w:hAnsi="Times New Roman"/>
          <w:sz w:val="24"/>
          <w:szCs w:val="24"/>
        </w:rPr>
      </w:pPr>
      <w:r>
        <w:rPr>
          <w:rFonts w:ascii="Times New Roman" w:hAnsi="Times New Roman"/>
          <w:sz w:val="24"/>
          <w:szCs w:val="24"/>
          <w:lang w:val="sr-Cyrl-CS"/>
        </w:rPr>
        <w:lastRenderedPageBreak/>
        <w:t xml:space="preserve">Из </w:t>
      </w:r>
      <w:r>
        <w:rPr>
          <w:rFonts w:ascii="Times New Roman" w:hAnsi="Times New Roman"/>
          <w:sz w:val="24"/>
          <w:szCs w:val="24"/>
        </w:rPr>
        <w:t xml:space="preserve">претходне </w:t>
      </w:r>
      <w:r>
        <w:rPr>
          <w:rFonts w:ascii="Times New Roman" w:hAnsi="Times New Roman"/>
          <w:sz w:val="24"/>
          <w:szCs w:val="24"/>
          <w:lang w:val="sr-Cyrl-CS"/>
        </w:rPr>
        <w:t>табеле</w:t>
      </w:r>
      <w:r>
        <w:rPr>
          <w:rStyle w:val="FootnoteReference"/>
          <w:rFonts w:ascii="Times New Roman" w:hAnsi="Times New Roman"/>
          <w:sz w:val="24"/>
          <w:szCs w:val="24"/>
          <w:lang w:val="sr-Cyrl-CS"/>
        </w:rPr>
        <w:footnoteReference w:id="104"/>
      </w:r>
      <w:r>
        <w:rPr>
          <w:rFonts w:ascii="Times New Roman" w:hAnsi="Times New Roman"/>
          <w:sz w:val="24"/>
          <w:szCs w:val="24"/>
          <w:lang w:val="sr-Cyrl-CS"/>
        </w:rPr>
        <w:t xml:space="preserve">  произилази да је дошло до пораста пореског оптерећења готово у свим државама. Пореско оптерећење је у свим државама ОЕЦД 1965. године износило 25,5%, док је 2010. године износило 33,8%. Тиме се потврђује да са повећањем дохотка расте и пореско оптерећење у свим државам.  Из наведене табеле произилази да  пореско оптерећење у САД </w:t>
      </w:r>
      <w:r>
        <w:rPr>
          <w:rFonts w:ascii="Times New Roman" w:hAnsi="Times New Roman"/>
          <w:sz w:val="24"/>
          <w:szCs w:val="24"/>
        </w:rPr>
        <w:t xml:space="preserve">спада </w:t>
      </w:r>
      <w:r>
        <w:rPr>
          <w:rFonts w:ascii="Times New Roman" w:hAnsi="Times New Roman"/>
          <w:sz w:val="24"/>
          <w:szCs w:val="24"/>
          <w:lang w:val="sr-Cyrl-CS"/>
        </w:rPr>
        <w:t>међу најниже у свету. Од 34 земље чланице ОЕЦД, САД се налази на 32. месту. Само Мексико и Чиле се налазе иза САД.  У појединим државама пореско оптерећење је веома високо, премашује 50%. Удео дохотка у БДП у земљама у развоју не би требало да пређе 25%.</w:t>
      </w:r>
    </w:p>
    <w:p w:rsidR="001E6839" w:rsidRDefault="001E6839" w:rsidP="001E6839">
      <w:pPr>
        <w:ind w:firstLine="708"/>
        <w:jc w:val="both"/>
        <w:rPr>
          <w:rFonts w:ascii="Times New Roman" w:hAnsi="Times New Roman"/>
          <w:sz w:val="24"/>
          <w:szCs w:val="24"/>
          <w:lang w:val="sr-Cyrl-CS"/>
        </w:rPr>
      </w:pPr>
      <w:r>
        <w:rPr>
          <w:rFonts w:ascii="Times New Roman" w:hAnsi="Times New Roman"/>
          <w:sz w:val="24"/>
          <w:szCs w:val="24"/>
          <w:lang w:val="sr-Cyrl-CS"/>
        </w:rPr>
        <w:t xml:space="preserve">У сваком случају треба поштовати принцип умерености пореског оптерећења, односно порези не треба да буду превисоки. Један од најважнијих принципа у опорезивању је да повећање пореза не доноси пропорционално повећање пореских прихода. Повећање пореза може дестимулисати привредну активност, која ће се смањити и самим тим ће се смањити порески приход. То се може видети у једноставном примеру. Наиме, ако је привредна активност 100 динара, а порез је 20%, приход за буџет је 20 динара. Али ако се порез повећа на 40%, привредна активност неће више бити 100 него ће се дестимулисана порезима смањити, можда на 90, тако да порески приход више није 40 него 32. Посебно треба имати у виду да се код већих пореза избегавање плаћања пореза више исплати. Закон опадајућих приноса који делује при опорезивању, односно да раст пореске стопе доводи до споријег раста прихода, већ дуго је познат. </w:t>
      </w:r>
    </w:p>
    <w:p w:rsidR="001E6839" w:rsidRPr="0090272F" w:rsidRDefault="001E6839" w:rsidP="001E6839">
      <w:pPr>
        <w:ind w:firstLine="708"/>
        <w:jc w:val="both"/>
        <w:rPr>
          <w:rFonts w:ascii="Times New Roman" w:hAnsi="Times New Roman"/>
          <w:sz w:val="24"/>
          <w:szCs w:val="24"/>
          <w:lang w:val="sr-Cyrl-CS"/>
        </w:rPr>
      </w:pPr>
      <w:r>
        <w:rPr>
          <w:rFonts w:ascii="Times New Roman" w:hAnsi="Times New Roman"/>
          <w:sz w:val="24"/>
          <w:szCs w:val="24"/>
          <w:lang w:val="sr-Cyrl-CS"/>
        </w:rPr>
        <w:t>Преко тзв. Лаферове криве</w:t>
      </w:r>
      <w:r>
        <w:rPr>
          <w:rStyle w:val="FootnoteReference"/>
          <w:rFonts w:ascii="Times New Roman" w:hAnsi="Times New Roman"/>
          <w:sz w:val="24"/>
          <w:szCs w:val="24"/>
          <w:lang w:val="sr-Cyrl-CS"/>
        </w:rPr>
        <w:footnoteReference w:id="105"/>
      </w:r>
      <w:r>
        <w:rPr>
          <w:rFonts w:ascii="Times New Roman" w:hAnsi="Times New Roman"/>
          <w:sz w:val="24"/>
          <w:szCs w:val="24"/>
          <w:lang w:val="sr-Cyrl-CS"/>
        </w:rPr>
        <w:t xml:space="preserve"> се може објаснити на једноставан н</w:t>
      </w:r>
      <w:r w:rsidR="0009246C">
        <w:rPr>
          <w:rFonts w:ascii="Times New Roman" w:hAnsi="Times New Roman"/>
          <w:sz w:val="24"/>
          <w:szCs w:val="24"/>
          <w:lang w:val="sr-Cyrl-CS"/>
        </w:rPr>
        <w:t>ачин однос између пореских стопа</w:t>
      </w:r>
      <w:r>
        <w:rPr>
          <w:rFonts w:ascii="Times New Roman" w:hAnsi="Times New Roman"/>
          <w:sz w:val="24"/>
          <w:szCs w:val="24"/>
          <w:lang w:val="sr-Cyrl-CS"/>
        </w:rPr>
        <w:t xml:space="preserve"> и прихода и да снижавањем пореских стопа може доћи до повећања пореских прихода, који су резултат повећане производне активности и већег економског раста. После нивоа</w:t>
      </w:r>
      <w:r w:rsidR="0009246C">
        <w:rPr>
          <w:rFonts w:ascii="Times New Roman" w:hAnsi="Times New Roman"/>
          <w:sz w:val="24"/>
          <w:szCs w:val="24"/>
          <w:lang w:val="sr-Cyrl-CS"/>
        </w:rPr>
        <w:t xml:space="preserve"> апсолутног пореског лимита</w:t>
      </w:r>
      <w:r>
        <w:rPr>
          <w:rFonts w:ascii="Times New Roman" w:hAnsi="Times New Roman"/>
          <w:sz w:val="24"/>
          <w:szCs w:val="24"/>
          <w:lang w:val="sr-Cyrl-CS"/>
        </w:rPr>
        <w:t xml:space="preserve"> даљи раст пореских стопа чак доводи до пада пореских прихода. Држава може доћи до истог прихода путем две пореске стопе</w:t>
      </w:r>
      <w:r w:rsidR="0009246C">
        <w:rPr>
          <w:rFonts w:ascii="Times New Roman" w:hAnsi="Times New Roman"/>
          <w:sz w:val="24"/>
          <w:szCs w:val="24"/>
          <w:lang w:val="sr-Cyrl-CS"/>
        </w:rPr>
        <w:t xml:space="preserve"> (Д и Е)</w:t>
      </w:r>
      <w:r>
        <w:rPr>
          <w:rFonts w:ascii="Times New Roman" w:hAnsi="Times New Roman"/>
          <w:sz w:val="24"/>
          <w:szCs w:val="24"/>
          <w:lang w:val="sr-Cyrl-CS"/>
        </w:rPr>
        <w:t>, једне више и једне ниже.  При пореској стопи од 0 и 100, односно у тачкама А и Б порески приход је 0, а између тих тачака се остварује порески приход. Тачка Ц Лаферове криве представља оптималну пореску стопу уз коју се остварује максимални порески приход. Када се ова тачка пређе остварују се нижи приходи.</w:t>
      </w:r>
      <w:r w:rsidR="0009246C">
        <w:rPr>
          <w:rFonts w:ascii="Times New Roman" w:hAnsi="Times New Roman"/>
          <w:sz w:val="24"/>
          <w:szCs w:val="24"/>
          <w:lang w:val="sr-Cyrl-CS"/>
        </w:rPr>
        <w:t xml:space="preserve"> </w:t>
      </w:r>
      <w:r>
        <w:rPr>
          <w:rFonts w:ascii="Times New Roman" w:hAnsi="Times New Roman"/>
          <w:sz w:val="24"/>
          <w:szCs w:val="24"/>
          <w:lang w:val="sr-Cyrl-CS"/>
        </w:rPr>
        <w:t xml:space="preserve">Међутим, пракса је демантовала ову теорију, али је Лаферова крива и даље предмет проучавања. У сваком случају, пореска власт мора да води рачуна да </w:t>
      </w:r>
      <w:r w:rsidR="00FD0036">
        <w:rPr>
          <w:rFonts w:ascii="Times New Roman" w:hAnsi="Times New Roman"/>
          <w:sz w:val="24"/>
          <w:szCs w:val="24"/>
          <w:lang w:val="sr-Cyrl-CS"/>
        </w:rPr>
        <w:t>пореско оптерећење буде умерено, односно да се води рачуна о нивоу пореског оптерећења друштвеног производа при којем даље повећање пореских стопа или увођење нових пореза не би више могло да увећа порески приход.</w:t>
      </w:r>
    </w:p>
    <w:p w:rsidR="00B50697" w:rsidRDefault="00B50697" w:rsidP="001E6839">
      <w:pPr>
        <w:jc w:val="both"/>
        <w:rPr>
          <w:rFonts w:ascii="Times New Roman" w:hAnsi="Times New Roman"/>
          <w:b/>
          <w:sz w:val="24"/>
          <w:szCs w:val="24"/>
          <w:lang w:val="sr-Cyrl-CS"/>
        </w:rPr>
      </w:pPr>
    </w:p>
    <w:p w:rsidR="00A76342" w:rsidRPr="0009246C" w:rsidRDefault="00A76342" w:rsidP="001E6839">
      <w:pPr>
        <w:jc w:val="both"/>
        <w:rPr>
          <w:rFonts w:ascii="Times New Roman" w:hAnsi="Times New Roman"/>
          <w:b/>
          <w:sz w:val="24"/>
          <w:szCs w:val="24"/>
          <w:lang w:val="sr-Cyrl-CS"/>
        </w:rPr>
      </w:pPr>
    </w:p>
    <w:p w:rsidR="001E6839" w:rsidRDefault="00A74A8E" w:rsidP="001E6839">
      <w:pPr>
        <w:jc w:val="both"/>
        <w:rPr>
          <w:rFonts w:ascii="Times New Roman" w:hAnsi="Times New Roman"/>
          <w:b/>
          <w:sz w:val="24"/>
          <w:szCs w:val="24"/>
          <w:lang w:val="sr-Cyrl-CS"/>
        </w:rPr>
      </w:pPr>
      <w:r>
        <w:rPr>
          <w:rFonts w:ascii="Times New Roman" w:hAnsi="Times New Roman"/>
          <w:b/>
          <w:sz w:val="24"/>
          <w:szCs w:val="24"/>
          <w:lang w:val="sr-Cyrl-CS"/>
        </w:rPr>
        <w:lastRenderedPageBreak/>
        <w:t>Слика 4</w:t>
      </w:r>
      <w:r w:rsidR="001E6839">
        <w:rPr>
          <w:rFonts w:ascii="Times New Roman" w:hAnsi="Times New Roman"/>
          <w:b/>
          <w:sz w:val="24"/>
          <w:szCs w:val="24"/>
          <w:lang w:val="sr-Cyrl-CS"/>
        </w:rPr>
        <w:t>.</w:t>
      </w:r>
    </w:p>
    <w:p w:rsidR="001E6839" w:rsidRPr="008E098B" w:rsidRDefault="001E6839" w:rsidP="001E6839">
      <w:pPr>
        <w:jc w:val="both"/>
        <w:rPr>
          <w:rFonts w:ascii="Times New Roman" w:hAnsi="Times New Roman"/>
          <w:b/>
          <w:sz w:val="24"/>
          <w:szCs w:val="24"/>
          <w:lang w:val="sr-Cyrl-CS"/>
        </w:rPr>
      </w:pPr>
      <w:r w:rsidRPr="008E098B">
        <w:rPr>
          <w:rFonts w:ascii="Times New Roman" w:hAnsi="Times New Roman"/>
          <w:b/>
          <w:sz w:val="24"/>
          <w:szCs w:val="24"/>
          <w:lang w:val="sr-Cyrl-CS"/>
        </w:rPr>
        <w:t>Лаферова крива</w:t>
      </w:r>
    </w:p>
    <w:p w:rsidR="001E6839" w:rsidRDefault="001E6839" w:rsidP="001E6839">
      <w:pPr>
        <w:jc w:val="both"/>
        <w:rPr>
          <w:rFonts w:ascii="Times New Roman" w:hAnsi="Times New Roman"/>
          <w:sz w:val="24"/>
          <w:szCs w:val="24"/>
          <w:lang w:val="sr-Cyrl-CS"/>
        </w:rPr>
      </w:pPr>
    </w:p>
    <w:p w:rsidR="001E6839" w:rsidRDefault="001E6839" w:rsidP="001E6839">
      <w:pPr>
        <w:jc w:val="both"/>
        <w:rPr>
          <w:rFonts w:ascii="Times New Roman" w:hAnsi="Times New Roman"/>
          <w:sz w:val="24"/>
          <w:szCs w:val="24"/>
          <w:lang w:val="sr-Cyrl-CS"/>
        </w:rPr>
      </w:pPr>
    </w:p>
    <w:p w:rsidR="001E6839" w:rsidRPr="00E048C2" w:rsidRDefault="001E6839" w:rsidP="001E6839">
      <w:pPr>
        <w:jc w:val="both"/>
        <w:rPr>
          <w:rFonts w:ascii="Times New Roman" w:hAnsi="Times New Roman"/>
          <w:sz w:val="24"/>
          <w:szCs w:val="24"/>
          <w:lang w:val="sr-Cyrl-CS"/>
        </w:rPr>
      </w:pPr>
      <w:r>
        <w:rPr>
          <w:rFonts w:ascii="Times New Roman" w:hAnsi="Times New Roman"/>
          <w:sz w:val="24"/>
          <w:szCs w:val="24"/>
          <w:lang w:val="sr-Cyrl-CS"/>
        </w:rPr>
        <w:t xml:space="preserve">                          </w:t>
      </w:r>
    </w:p>
    <w:p w:rsidR="001E6839" w:rsidRPr="00297DCF" w:rsidRDefault="00616181" w:rsidP="001E6839">
      <w:pPr>
        <w:ind w:firstLine="360"/>
        <w:jc w:val="both"/>
        <w:rPr>
          <w:rFonts w:ascii="Times New Roman" w:hAnsi="Times New Roman"/>
          <w:sz w:val="18"/>
          <w:szCs w:val="18"/>
          <w:lang w:val="sr-Cyrl-CS"/>
        </w:rPr>
      </w:pPr>
      <w:r>
        <w:rPr>
          <w:rFonts w:ascii="Times New Roman" w:hAnsi="Times New Roman"/>
          <w:noProof/>
          <w:sz w:val="18"/>
          <w:szCs w:val="18"/>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577" type="#_x0000_t120" style="position:absolute;left:0;text-align:left;margin-left:93.8pt;margin-top:4.9pt;width:7.15pt;height:3.55pt;flip:y;z-index:251897344"/>
        </w:pict>
      </w:r>
      <w:r>
        <w:rPr>
          <w:rFonts w:ascii="Times New Roman" w:hAnsi="Times New Roman"/>
          <w:noProof/>
          <w:sz w:val="18"/>
          <w:szCs w:val="18"/>
        </w:rPr>
        <w:pict>
          <v:shape id="_x0000_s1576" style="position:absolute;left:0;text-align:left;margin-left:13.95pt;margin-top:4.9pt;width:159pt;height:129pt;z-index:251895296" coordsize="3180,2580" path="m,2580c605,1290,1210,,1740,v530,,1200,2150,1440,2580e" filled="f">
            <v:path arrowok="t"/>
          </v:shape>
        </w:pict>
      </w:r>
      <w:r>
        <w:rPr>
          <w:rFonts w:ascii="Times New Roman" w:hAnsi="Times New Roman"/>
          <w:noProof/>
          <w:sz w:val="18"/>
          <w:szCs w:val="18"/>
        </w:rPr>
        <w:pict>
          <v:shapetype id="_x0000_t32" coordsize="21600,21600" o:spt="32" o:oned="t" path="m,l21600,21600e" filled="f">
            <v:path arrowok="t" fillok="f" o:connecttype="none"/>
            <o:lock v:ext="edit" shapetype="t"/>
          </v:shapetype>
          <v:shape id="_x0000_s1574" type="#_x0000_t32" style="position:absolute;left:0;text-align:left;margin-left:13.2pt;margin-top:-34.1pt;width:.75pt;height:168pt;flip:x y;z-index:251893248" o:connectortype="straight"/>
        </w:pict>
      </w:r>
      <w:r w:rsidR="001E6839" w:rsidRPr="00297DCF">
        <w:rPr>
          <w:rFonts w:ascii="Times New Roman" w:hAnsi="Times New Roman"/>
          <w:sz w:val="18"/>
          <w:szCs w:val="18"/>
          <w:lang w:val="sr-Cyrl-CS"/>
        </w:rPr>
        <w:t>порески приходи</w:t>
      </w:r>
      <w:r w:rsidR="001E6839">
        <w:rPr>
          <w:rFonts w:ascii="Times New Roman" w:hAnsi="Times New Roman"/>
          <w:sz w:val="18"/>
          <w:szCs w:val="18"/>
          <w:lang w:val="sr-Cyrl-CS"/>
        </w:rPr>
        <w:t xml:space="preserve">           Ц          </w:t>
      </w:r>
    </w:p>
    <w:p w:rsidR="001E6839" w:rsidRDefault="0009246C" w:rsidP="001E6839">
      <w:pPr>
        <w:ind w:firstLine="360"/>
        <w:jc w:val="both"/>
        <w:rPr>
          <w:rFonts w:ascii="Times New Roman" w:hAnsi="Times New Roman"/>
          <w:sz w:val="24"/>
          <w:szCs w:val="24"/>
          <w:lang w:val="sr-Cyrl-CS"/>
        </w:rPr>
      </w:pPr>
      <w:r>
        <w:rPr>
          <w:rFonts w:ascii="Times New Roman" w:hAnsi="Times New Roman"/>
          <w:sz w:val="24"/>
          <w:szCs w:val="24"/>
          <w:lang w:val="sr-Cyrl-CS"/>
        </w:rPr>
        <w:t xml:space="preserve">                    Д               Е</w:t>
      </w:r>
    </w:p>
    <w:p w:rsidR="001E6839" w:rsidRDefault="001E6839" w:rsidP="001E6839">
      <w:pPr>
        <w:ind w:firstLine="360"/>
        <w:jc w:val="both"/>
        <w:rPr>
          <w:rFonts w:ascii="Times New Roman" w:hAnsi="Times New Roman"/>
          <w:sz w:val="24"/>
          <w:szCs w:val="24"/>
          <w:lang w:val="sr-Cyrl-CS"/>
        </w:rPr>
      </w:pPr>
      <w:r>
        <w:rPr>
          <w:rFonts w:ascii="Times New Roman" w:hAnsi="Times New Roman"/>
          <w:sz w:val="24"/>
          <w:szCs w:val="24"/>
          <w:lang w:val="sr-Cyrl-CS"/>
        </w:rPr>
        <w:t xml:space="preserve">                                     </w:t>
      </w:r>
    </w:p>
    <w:p w:rsidR="001E6839" w:rsidRDefault="001E6839" w:rsidP="001E6839">
      <w:pPr>
        <w:ind w:firstLine="360"/>
        <w:jc w:val="both"/>
        <w:rPr>
          <w:rFonts w:ascii="Times New Roman" w:hAnsi="Times New Roman"/>
          <w:sz w:val="24"/>
          <w:szCs w:val="24"/>
          <w:lang w:val="sr-Cyrl-CS"/>
        </w:rPr>
      </w:pPr>
    </w:p>
    <w:p w:rsidR="001E6839" w:rsidRDefault="001E6839" w:rsidP="001E6839">
      <w:pPr>
        <w:ind w:firstLine="360"/>
        <w:jc w:val="both"/>
        <w:rPr>
          <w:rFonts w:ascii="Times New Roman" w:hAnsi="Times New Roman"/>
          <w:sz w:val="24"/>
          <w:szCs w:val="24"/>
          <w:lang w:val="sr-Cyrl-CS"/>
        </w:rPr>
      </w:pPr>
    </w:p>
    <w:p w:rsidR="001E6839" w:rsidRPr="00297DCF" w:rsidRDefault="00616181" w:rsidP="001E6839">
      <w:pPr>
        <w:jc w:val="both"/>
        <w:rPr>
          <w:rFonts w:ascii="Times New Roman" w:hAnsi="Times New Roman"/>
          <w:sz w:val="24"/>
          <w:szCs w:val="24"/>
          <w:lang w:val="sr-Cyrl-CS"/>
        </w:rPr>
      </w:pPr>
      <w:r>
        <w:rPr>
          <w:rFonts w:ascii="Times New Roman" w:hAnsi="Times New Roman"/>
          <w:noProof/>
          <w:sz w:val="24"/>
          <w:szCs w:val="24"/>
        </w:rPr>
        <w:pict>
          <v:shape id="_x0000_s1575" type="#_x0000_t32" style="position:absolute;left:0;text-align:left;margin-left:13.95pt;margin-top:4.55pt;width:202.5pt;height:0;z-index:251894272" o:connectortype="straight"/>
        </w:pict>
      </w:r>
      <w:r w:rsidR="001E6839">
        <w:rPr>
          <w:rFonts w:ascii="Times New Roman" w:hAnsi="Times New Roman"/>
          <w:sz w:val="24"/>
          <w:szCs w:val="24"/>
          <w:lang w:val="sr-Cyrl-CS"/>
        </w:rPr>
        <w:t xml:space="preserve">     0                       50                    100              </w:t>
      </w:r>
      <w:r w:rsidR="001E6839" w:rsidRPr="00297DCF">
        <w:rPr>
          <w:rFonts w:ascii="Times New Roman" w:hAnsi="Times New Roman"/>
          <w:sz w:val="18"/>
          <w:szCs w:val="18"/>
          <w:lang w:val="sr-Cyrl-CS"/>
        </w:rPr>
        <w:t>пореска стопа</w:t>
      </w:r>
    </w:p>
    <w:p w:rsidR="001E6839" w:rsidRPr="00325EDD" w:rsidRDefault="001E6839" w:rsidP="001E6839">
      <w:pPr>
        <w:ind w:firstLine="360"/>
        <w:jc w:val="both"/>
        <w:rPr>
          <w:rFonts w:ascii="Times New Roman" w:hAnsi="Times New Roman"/>
          <w:sz w:val="24"/>
          <w:szCs w:val="24"/>
          <w:lang w:val="sr-Cyrl-CS"/>
        </w:rPr>
      </w:pPr>
      <w:r w:rsidRPr="00325EDD">
        <w:rPr>
          <w:rFonts w:ascii="Times New Roman" w:hAnsi="Times New Roman"/>
          <w:sz w:val="24"/>
          <w:szCs w:val="24"/>
          <w:lang w:val="sr-Cyrl-CS"/>
        </w:rPr>
        <w:t xml:space="preserve">А                               </w:t>
      </w:r>
      <w:r>
        <w:rPr>
          <w:rFonts w:ascii="Times New Roman" w:hAnsi="Times New Roman"/>
          <w:sz w:val="24"/>
          <w:szCs w:val="24"/>
          <w:lang w:val="sr-Cyrl-CS"/>
        </w:rPr>
        <w:t xml:space="preserve">               </w:t>
      </w:r>
      <w:r w:rsidRPr="00325EDD">
        <w:rPr>
          <w:rFonts w:ascii="Times New Roman" w:hAnsi="Times New Roman"/>
          <w:sz w:val="24"/>
          <w:szCs w:val="24"/>
          <w:lang w:val="sr-Cyrl-CS"/>
        </w:rPr>
        <w:t xml:space="preserve"> Б              </w:t>
      </w:r>
    </w:p>
    <w:p w:rsidR="001E6839" w:rsidRDefault="001E6839" w:rsidP="00A76342">
      <w:pPr>
        <w:ind w:firstLine="360"/>
        <w:jc w:val="both"/>
        <w:rPr>
          <w:rFonts w:ascii="Times New Roman" w:hAnsi="Times New Roman"/>
          <w:sz w:val="24"/>
          <w:szCs w:val="24"/>
          <w:lang w:val="sr-Cyrl-CS"/>
        </w:rPr>
      </w:pPr>
      <w:r>
        <w:rPr>
          <w:rFonts w:ascii="Times New Roman" w:hAnsi="Times New Roman"/>
          <w:sz w:val="24"/>
          <w:szCs w:val="24"/>
          <w:lang w:val="sr-Cyrl-CS"/>
        </w:rPr>
        <w:t xml:space="preserve">  </w:t>
      </w:r>
    </w:p>
    <w:p w:rsidR="001E6839" w:rsidRDefault="001E6839" w:rsidP="001E6839">
      <w:pPr>
        <w:ind w:firstLine="360"/>
        <w:jc w:val="both"/>
        <w:rPr>
          <w:rFonts w:ascii="Times New Roman" w:hAnsi="Times New Roman"/>
          <w:sz w:val="24"/>
          <w:szCs w:val="24"/>
          <w:lang w:val="sr-Cyrl-CS"/>
        </w:rPr>
      </w:pPr>
      <w:r>
        <w:rPr>
          <w:rFonts w:ascii="Times New Roman" w:hAnsi="Times New Roman"/>
          <w:sz w:val="24"/>
          <w:szCs w:val="24"/>
          <w:lang w:val="sr-Cyrl-CS"/>
        </w:rPr>
        <w:t xml:space="preserve">Утврдити границе пореског оптерећења је од изузетне важности за сваку привреду. Претерано опорезивање има озбиљне последице, које се огледају у домену пореске евазије, производње, размене, акумулације, смањивања потрошње, слабљења инвестиционих напора, изазивања бекства капитала, дестимулисања продуктивног рада  итд. </w:t>
      </w:r>
    </w:p>
    <w:p w:rsidR="001E6839" w:rsidRDefault="001E6839" w:rsidP="001E6839">
      <w:pPr>
        <w:ind w:firstLine="360"/>
        <w:jc w:val="both"/>
        <w:rPr>
          <w:rFonts w:ascii="Times New Roman" w:hAnsi="Times New Roman"/>
          <w:sz w:val="24"/>
          <w:szCs w:val="24"/>
          <w:lang w:val="sr-Cyrl-CS"/>
        </w:rPr>
      </w:pPr>
    </w:p>
    <w:p w:rsidR="001E6839" w:rsidRPr="00285F34" w:rsidRDefault="001E6839" w:rsidP="008A3795">
      <w:pPr>
        <w:pStyle w:val="ListParagraph"/>
        <w:numPr>
          <w:ilvl w:val="1"/>
          <w:numId w:val="61"/>
        </w:numPr>
        <w:jc w:val="both"/>
        <w:rPr>
          <w:rFonts w:ascii="Times New Roman" w:hAnsi="Times New Roman"/>
          <w:b/>
          <w:sz w:val="24"/>
          <w:szCs w:val="24"/>
          <w:lang w:val="sr-Cyrl-CS"/>
        </w:rPr>
      </w:pPr>
      <w:r w:rsidRPr="00285F34">
        <w:rPr>
          <w:rFonts w:ascii="Times New Roman" w:hAnsi="Times New Roman"/>
          <w:b/>
          <w:sz w:val="24"/>
          <w:szCs w:val="24"/>
          <w:lang w:val="sr-Cyrl-CS"/>
        </w:rPr>
        <w:t>Економско стање и избегавање плаћања пореза</w:t>
      </w:r>
    </w:p>
    <w:p w:rsidR="001E6839" w:rsidRPr="00FE215E" w:rsidRDefault="001E6839" w:rsidP="001E6839">
      <w:pPr>
        <w:pStyle w:val="ListParagraph"/>
        <w:ind w:left="1069"/>
        <w:jc w:val="both"/>
        <w:rPr>
          <w:rFonts w:ascii="Times New Roman" w:hAnsi="Times New Roman"/>
          <w:b/>
          <w:sz w:val="24"/>
          <w:szCs w:val="24"/>
          <w:lang w:val="sr-Cyrl-CS"/>
        </w:rPr>
      </w:pPr>
    </w:p>
    <w:p w:rsidR="001E6839" w:rsidRDefault="001E6839" w:rsidP="001E6839">
      <w:pPr>
        <w:ind w:firstLine="360"/>
        <w:jc w:val="both"/>
        <w:rPr>
          <w:rFonts w:ascii="Times New Roman" w:hAnsi="Times New Roman"/>
          <w:sz w:val="24"/>
          <w:szCs w:val="24"/>
          <w:lang w:val="sr-Cyrl-CS"/>
        </w:rPr>
      </w:pPr>
      <w:r>
        <w:rPr>
          <w:rFonts w:ascii="Times New Roman" w:hAnsi="Times New Roman"/>
          <w:sz w:val="24"/>
          <w:szCs w:val="24"/>
          <w:lang w:val="sr-Cyrl-CS"/>
        </w:rPr>
        <w:t xml:space="preserve">Укупно економско стање, са једне стране, као и економски положај пореског обвезника, са друге стране утичу на плаћање пореза. Наиме, савремена привреда, а посебно земље у транзицији се сусрећу са разним облицима избегавања плаћања пореза. Овај феномен се јавља без обзира на степен привредног развоја, али му посебно погодује економска криза и инфлација. Стабилан пословни амбијент ствара добре услове да се мање избегава плаћање пореза. Економска криза и нестабилни привредни токови поспешују овај феномен. </w:t>
      </w:r>
    </w:p>
    <w:p w:rsidR="001E6839" w:rsidRDefault="00D86EDA" w:rsidP="001E6839">
      <w:pPr>
        <w:ind w:firstLine="360"/>
        <w:jc w:val="both"/>
        <w:rPr>
          <w:rFonts w:ascii="Times New Roman" w:hAnsi="Times New Roman"/>
          <w:sz w:val="24"/>
          <w:szCs w:val="24"/>
          <w:lang w:val="sr-Cyrl-CS"/>
        </w:rPr>
      </w:pPr>
      <w:r>
        <w:rPr>
          <w:rFonts w:ascii="Times New Roman" w:hAnsi="Times New Roman"/>
          <w:sz w:val="24"/>
          <w:szCs w:val="24"/>
          <w:lang w:val="sr-Cyrl-CS"/>
        </w:rPr>
        <w:t>Услед економског колапса, који је посебно испољен после 1965. године, н</w:t>
      </w:r>
      <w:r w:rsidR="001E6839">
        <w:rPr>
          <w:rFonts w:ascii="Times New Roman" w:hAnsi="Times New Roman"/>
          <w:sz w:val="24"/>
          <w:szCs w:val="24"/>
          <w:lang w:val="sr-Cyrl-CS"/>
        </w:rPr>
        <w:t xml:space="preserve">а </w:t>
      </w:r>
      <w:r>
        <w:rPr>
          <w:rFonts w:ascii="Times New Roman" w:hAnsi="Times New Roman"/>
          <w:sz w:val="24"/>
          <w:szCs w:val="24"/>
          <w:lang w:val="sr-Cyrl-CS"/>
        </w:rPr>
        <w:t>територији</w:t>
      </w:r>
      <w:r w:rsidR="001E6839">
        <w:rPr>
          <w:rFonts w:ascii="Times New Roman" w:hAnsi="Times New Roman"/>
          <w:sz w:val="24"/>
          <w:szCs w:val="24"/>
          <w:lang w:val="sr-Cyrl-CS"/>
        </w:rPr>
        <w:t xml:space="preserve"> бивше СФРЈ дошло је до повећања избегавања плаћања </w:t>
      </w:r>
      <w:r>
        <w:rPr>
          <w:rFonts w:ascii="Times New Roman" w:hAnsi="Times New Roman"/>
          <w:sz w:val="24"/>
          <w:szCs w:val="24"/>
          <w:lang w:val="sr-Cyrl-CS"/>
        </w:rPr>
        <w:t>пореза</w:t>
      </w:r>
      <w:r w:rsidR="001E6839">
        <w:rPr>
          <w:rFonts w:ascii="Times New Roman" w:hAnsi="Times New Roman"/>
          <w:sz w:val="24"/>
          <w:szCs w:val="24"/>
          <w:lang w:val="sr-Cyrl-CS"/>
        </w:rPr>
        <w:t xml:space="preserve">. </w:t>
      </w:r>
      <w:r>
        <w:rPr>
          <w:rFonts w:ascii="Times New Roman" w:hAnsi="Times New Roman"/>
          <w:sz w:val="24"/>
          <w:szCs w:val="24"/>
          <w:lang w:val="sr-Cyrl-CS"/>
        </w:rPr>
        <w:t xml:space="preserve">Економски колапс </w:t>
      </w:r>
      <w:r w:rsidR="001E6839">
        <w:rPr>
          <w:rFonts w:ascii="Times New Roman" w:hAnsi="Times New Roman"/>
          <w:sz w:val="24"/>
          <w:szCs w:val="24"/>
          <w:lang w:val="sr-Cyrl-CS"/>
        </w:rPr>
        <w:t xml:space="preserve">вуче корене из </w:t>
      </w:r>
      <w:r>
        <w:rPr>
          <w:rFonts w:ascii="Times New Roman" w:hAnsi="Times New Roman"/>
          <w:sz w:val="24"/>
          <w:szCs w:val="24"/>
          <w:lang w:val="sr-Cyrl-CS"/>
        </w:rPr>
        <w:t>начињених</w:t>
      </w:r>
      <w:r w:rsidR="001E6839">
        <w:rPr>
          <w:rFonts w:ascii="Times New Roman" w:hAnsi="Times New Roman"/>
          <w:sz w:val="24"/>
          <w:szCs w:val="24"/>
          <w:lang w:val="sr-Cyrl-CS"/>
        </w:rPr>
        <w:t xml:space="preserve"> промашаја у оквиру дефинисане и спровођене </w:t>
      </w:r>
      <w:r w:rsidR="001E6839">
        <w:rPr>
          <w:rFonts w:ascii="Times New Roman" w:hAnsi="Times New Roman"/>
          <w:sz w:val="24"/>
          <w:szCs w:val="24"/>
          <w:lang w:val="sr-Cyrl-CS"/>
        </w:rPr>
        <w:lastRenderedPageBreak/>
        <w:t>економске полити</w:t>
      </w:r>
      <w:r>
        <w:rPr>
          <w:rFonts w:ascii="Times New Roman" w:hAnsi="Times New Roman"/>
          <w:sz w:val="24"/>
          <w:szCs w:val="24"/>
          <w:lang w:val="sr-Cyrl-CS"/>
        </w:rPr>
        <w:t>ке и био је основни генератор испољених економских проблема з</w:t>
      </w:r>
      <w:r w:rsidR="001E6839">
        <w:rPr>
          <w:rFonts w:ascii="Times New Roman" w:hAnsi="Times New Roman"/>
          <w:sz w:val="24"/>
          <w:szCs w:val="24"/>
          <w:lang w:val="sr-Cyrl-CS"/>
        </w:rPr>
        <w:t xml:space="preserve">аједно са грешкама у конституисању тадашњег </w:t>
      </w:r>
      <w:r>
        <w:rPr>
          <w:rFonts w:ascii="Times New Roman" w:hAnsi="Times New Roman"/>
          <w:sz w:val="24"/>
          <w:szCs w:val="24"/>
          <w:lang w:val="sr-Cyrl-CS"/>
        </w:rPr>
        <w:t>политичког и привредног система</w:t>
      </w:r>
      <w:r w:rsidR="001E6839">
        <w:rPr>
          <w:rFonts w:ascii="Times New Roman" w:hAnsi="Times New Roman"/>
          <w:sz w:val="24"/>
          <w:szCs w:val="24"/>
          <w:lang w:val="sr-Cyrl-CS"/>
        </w:rPr>
        <w:t>.</w:t>
      </w:r>
      <w:r w:rsidR="001E6839">
        <w:rPr>
          <w:rStyle w:val="FootnoteReference"/>
          <w:rFonts w:ascii="Times New Roman" w:hAnsi="Times New Roman"/>
          <w:sz w:val="24"/>
          <w:szCs w:val="24"/>
          <w:lang w:val="sr-Cyrl-CS"/>
        </w:rPr>
        <w:footnoteReference w:id="106"/>
      </w:r>
    </w:p>
    <w:p w:rsidR="001E6839" w:rsidRDefault="001E6839" w:rsidP="001E6839">
      <w:pPr>
        <w:ind w:firstLine="360"/>
        <w:jc w:val="both"/>
        <w:rPr>
          <w:rFonts w:ascii="Times New Roman" w:hAnsi="Times New Roman"/>
          <w:sz w:val="24"/>
          <w:szCs w:val="24"/>
          <w:lang w:val="sr-Cyrl-CS"/>
        </w:rPr>
      </w:pPr>
      <w:r>
        <w:rPr>
          <w:rFonts w:ascii="Times New Roman" w:hAnsi="Times New Roman"/>
          <w:sz w:val="24"/>
          <w:szCs w:val="24"/>
          <w:lang w:val="sr-Cyrl-CS"/>
        </w:rPr>
        <w:t xml:space="preserve">Овоме је тек следила хиперинфлација која се догодила 1992-1994 године. Рат у окружењу, распад земље, санкције УН, које су довеле до потпуног финансијског и економског ембарга, допринели су слому економског и монетарног система, а становништво се налазило на граници преживљавања. </w:t>
      </w:r>
    </w:p>
    <w:p w:rsidR="001E6839" w:rsidRDefault="00D86EDA" w:rsidP="001E6839">
      <w:pPr>
        <w:ind w:firstLine="360"/>
        <w:jc w:val="both"/>
        <w:rPr>
          <w:rFonts w:ascii="Times New Roman" w:hAnsi="Times New Roman"/>
          <w:sz w:val="24"/>
          <w:szCs w:val="24"/>
          <w:lang w:val="sr-Cyrl-CS"/>
        </w:rPr>
      </w:pPr>
      <w:r>
        <w:rPr>
          <w:rFonts w:ascii="Times New Roman" w:hAnsi="Times New Roman"/>
          <w:sz w:val="24"/>
          <w:szCs w:val="24"/>
          <w:lang w:val="sr-Cyrl-CS"/>
        </w:rPr>
        <w:t xml:space="preserve">Треба имати у виду да </w:t>
      </w:r>
      <w:r w:rsidR="001E6839">
        <w:rPr>
          <w:rFonts w:ascii="Times New Roman" w:hAnsi="Times New Roman"/>
          <w:sz w:val="24"/>
          <w:szCs w:val="24"/>
          <w:lang w:val="sr-Cyrl-CS"/>
        </w:rPr>
        <w:t xml:space="preserve">инфлација </w:t>
      </w:r>
      <w:r>
        <w:rPr>
          <w:rFonts w:ascii="Times New Roman" w:hAnsi="Times New Roman"/>
          <w:sz w:val="24"/>
          <w:szCs w:val="24"/>
          <w:lang w:val="sr-Cyrl-CS"/>
        </w:rPr>
        <w:t xml:space="preserve">није случајност </w:t>
      </w:r>
      <w:r w:rsidR="001E6839">
        <w:rPr>
          <w:rFonts w:ascii="Times New Roman" w:hAnsi="Times New Roman"/>
          <w:sz w:val="24"/>
          <w:szCs w:val="24"/>
          <w:lang w:val="sr-Cyrl-CS"/>
        </w:rPr>
        <w:t xml:space="preserve">самоуправног етатистичког модела, </w:t>
      </w:r>
      <w:r>
        <w:rPr>
          <w:rFonts w:ascii="Times New Roman" w:hAnsi="Times New Roman"/>
          <w:sz w:val="24"/>
          <w:szCs w:val="24"/>
          <w:lang w:val="sr-Cyrl-CS"/>
        </w:rPr>
        <w:t>већ његов нужни пратилац</w:t>
      </w:r>
      <w:r w:rsidR="001E6839">
        <w:rPr>
          <w:rFonts w:ascii="Times New Roman" w:hAnsi="Times New Roman"/>
          <w:sz w:val="24"/>
          <w:szCs w:val="24"/>
          <w:lang w:val="sr-Cyrl-CS"/>
        </w:rPr>
        <w:t xml:space="preserve">. </w:t>
      </w:r>
      <w:r>
        <w:rPr>
          <w:rFonts w:ascii="Times New Roman" w:hAnsi="Times New Roman"/>
          <w:sz w:val="24"/>
          <w:szCs w:val="24"/>
          <w:lang w:val="sr-Cyrl-CS"/>
        </w:rPr>
        <w:t>Када је систем такав да</w:t>
      </w:r>
      <w:r w:rsidR="001E6839">
        <w:rPr>
          <w:rFonts w:ascii="Times New Roman" w:hAnsi="Times New Roman"/>
          <w:sz w:val="24"/>
          <w:szCs w:val="24"/>
          <w:lang w:val="sr-Cyrl-CS"/>
        </w:rPr>
        <w:t xml:space="preserve"> држава</w:t>
      </w:r>
      <w:r>
        <w:rPr>
          <w:rFonts w:ascii="Times New Roman" w:hAnsi="Times New Roman"/>
          <w:sz w:val="24"/>
          <w:szCs w:val="24"/>
          <w:lang w:val="sr-Cyrl-CS"/>
        </w:rPr>
        <w:t xml:space="preserve"> себи може да дозволи</w:t>
      </w:r>
      <w:r w:rsidR="001E6839">
        <w:rPr>
          <w:rFonts w:ascii="Times New Roman" w:hAnsi="Times New Roman"/>
          <w:sz w:val="24"/>
          <w:szCs w:val="24"/>
          <w:lang w:val="sr-Cyrl-CS"/>
        </w:rPr>
        <w:t xml:space="preserve">, уз помоћ централне монетарне власти, фалсификовање новца, </w:t>
      </w:r>
      <w:r>
        <w:rPr>
          <w:rFonts w:ascii="Times New Roman" w:hAnsi="Times New Roman"/>
          <w:sz w:val="24"/>
          <w:szCs w:val="24"/>
          <w:lang w:val="sr-Cyrl-CS"/>
        </w:rPr>
        <w:t xml:space="preserve">тада и </w:t>
      </w:r>
      <w:r w:rsidR="001E6839">
        <w:rPr>
          <w:rFonts w:ascii="Times New Roman" w:hAnsi="Times New Roman"/>
          <w:sz w:val="24"/>
          <w:szCs w:val="24"/>
          <w:lang w:val="sr-Cyrl-CS"/>
        </w:rPr>
        <w:t xml:space="preserve">остали учесници привредног живота себи такође могу да дозволе бројне „несташлуке“. </w:t>
      </w:r>
      <w:r>
        <w:rPr>
          <w:rFonts w:ascii="Times New Roman" w:hAnsi="Times New Roman"/>
          <w:sz w:val="24"/>
          <w:szCs w:val="24"/>
          <w:lang w:val="sr-Cyrl-CS"/>
        </w:rPr>
        <w:t>М</w:t>
      </w:r>
      <w:r w:rsidR="001E6839">
        <w:rPr>
          <w:rFonts w:ascii="Times New Roman" w:hAnsi="Times New Roman"/>
          <w:sz w:val="24"/>
          <w:szCs w:val="24"/>
          <w:lang w:val="sr-Cyrl-CS"/>
        </w:rPr>
        <w:t>огућност некажњеног нерационалног пословања на дужи рок,</w:t>
      </w:r>
      <w:r>
        <w:rPr>
          <w:rFonts w:ascii="Times New Roman" w:hAnsi="Times New Roman"/>
          <w:sz w:val="24"/>
          <w:szCs w:val="24"/>
          <w:lang w:val="sr-Cyrl-CS"/>
        </w:rPr>
        <w:t xml:space="preserve"> које је финансирано</w:t>
      </w:r>
      <w:r w:rsidR="001E6839">
        <w:rPr>
          <w:rFonts w:ascii="Times New Roman" w:hAnsi="Times New Roman"/>
          <w:sz w:val="24"/>
          <w:szCs w:val="24"/>
          <w:lang w:val="sr-Cyrl-CS"/>
        </w:rPr>
        <w:t xml:space="preserve"> инфлаторним средствима, </w:t>
      </w:r>
      <w:r>
        <w:rPr>
          <w:rFonts w:ascii="Times New Roman" w:hAnsi="Times New Roman"/>
          <w:sz w:val="24"/>
          <w:szCs w:val="24"/>
          <w:lang w:val="sr-Cyrl-CS"/>
        </w:rPr>
        <w:t xml:space="preserve">чини стечај беспредметним, </w:t>
      </w:r>
      <w:r w:rsidR="001E6839">
        <w:rPr>
          <w:rFonts w:ascii="Times New Roman" w:hAnsi="Times New Roman"/>
          <w:sz w:val="24"/>
          <w:szCs w:val="24"/>
          <w:lang w:val="sr-Cyrl-CS"/>
        </w:rPr>
        <w:t xml:space="preserve">а све ово води ка расту цена, хиперинфлацији и општем привредном колапсу, какав </w:t>
      </w:r>
      <w:r>
        <w:rPr>
          <w:rFonts w:ascii="Times New Roman" w:hAnsi="Times New Roman"/>
          <w:sz w:val="24"/>
          <w:szCs w:val="24"/>
          <w:lang w:val="sr-Cyrl-CS"/>
        </w:rPr>
        <w:t>је био</w:t>
      </w:r>
      <w:r w:rsidR="001E6839">
        <w:rPr>
          <w:rFonts w:ascii="Times New Roman" w:hAnsi="Times New Roman"/>
          <w:sz w:val="24"/>
          <w:szCs w:val="24"/>
          <w:lang w:val="sr-Cyrl-CS"/>
        </w:rPr>
        <w:t xml:space="preserve"> крајем 1993. године.</w:t>
      </w:r>
      <w:r w:rsidR="001E6839">
        <w:rPr>
          <w:rStyle w:val="FootnoteReference"/>
          <w:rFonts w:ascii="Times New Roman" w:hAnsi="Times New Roman"/>
          <w:sz w:val="24"/>
          <w:szCs w:val="24"/>
          <w:lang w:val="sr-Cyrl-CS"/>
        </w:rPr>
        <w:footnoteReference w:id="107"/>
      </w:r>
    </w:p>
    <w:p w:rsidR="001E6839" w:rsidRDefault="001E6839" w:rsidP="001E6839">
      <w:pPr>
        <w:ind w:firstLine="360"/>
        <w:jc w:val="both"/>
        <w:rPr>
          <w:rFonts w:ascii="Times New Roman" w:hAnsi="Times New Roman"/>
          <w:sz w:val="24"/>
          <w:szCs w:val="24"/>
          <w:lang w:val="sr-Cyrl-CS"/>
        </w:rPr>
      </w:pPr>
      <w:r>
        <w:rPr>
          <w:rFonts w:ascii="Times New Roman" w:hAnsi="Times New Roman"/>
          <w:sz w:val="24"/>
          <w:szCs w:val="24"/>
          <w:lang w:val="sr-Cyrl-CS"/>
        </w:rPr>
        <w:t xml:space="preserve">Губици привреде били су огромни, дошло је до драстичног смањења друштвеног богатства, велике незапослености, смањења животног стандарда и сиромаштва. Највећи део прихода трошио се за исхрану, а остајало је мало или нимало за задовољавање других потреба. Средњи слој се изгубио, а економски положај тзв. „нових богаташа“ је почео драстично да одскаче у односу на све остале.  </w:t>
      </w:r>
    </w:p>
    <w:p w:rsidR="001E6839" w:rsidRDefault="001E6839" w:rsidP="001E6839">
      <w:pPr>
        <w:ind w:firstLine="360"/>
        <w:jc w:val="both"/>
        <w:rPr>
          <w:rFonts w:ascii="Times New Roman" w:hAnsi="Times New Roman"/>
          <w:sz w:val="24"/>
          <w:szCs w:val="24"/>
          <w:lang w:val="sr-Cyrl-CS"/>
        </w:rPr>
      </w:pPr>
      <w:r>
        <w:rPr>
          <w:rFonts w:ascii="Times New Roman" w:hAnsi="Times New Roman"/>
          <w:sz w:val="24"/>
          <w:szCs w:val="24"/>
          <w:lang w:val="sr-Cyrl-CS"/>
        </w:rPr>
        <w:t xml:space="preserve">Пад привредне активности, поремећен економски систем, нефункционисање тржишних закона, осиромашење становништа свакако да ће утицати и на обим избегавања плаћања пореза. Када се порески обвезник налази у тешком економском положају пре ће тежити да избегне плаћање пореза, који директно утиче на још веће смањење његове имовине или прихода. Уколико је незапосленост велика, порески обвезник ће пре прибећи остваривању прихода у домену сиве економије. Уколико је порески обвезник у повољнијем економском положају, правилније ће измиривати своју пореску обавезу. Самим тим што има већа примања и након опорезивања ће му остати довољни приходи. Међутим, у ситуацији када се порески обвезник налази у лошем економском положају, плаћање пореза му може угрозити опстанак, па ће пре прибећи избегавању плаћања пореза.  </w:t>
      </w:r>
    </w:p>
    <w:p w:rsidR="001E6839" w:rsidRDefault="001E6839" w:rsidP="001E6839">
      <w:pPr>
        <w:ind w:firstLine="360"/>
        <w:jc w:val="both"/>
        <w:rPr>
          <w:rFonts w:ascii="Times New Roman" w:hAnsi="Times New Roman"/>
          <w:sz w:val="24"/>
          <w:szCs w:val="24"/>
          <w:lang w:val="sr-Cyrl-CS"/>
        </w:rPr>
      </w:pPr>
      <w:r>
        <w:rPr>
          <w:rFonts w:ascii="Times New Roman" w:hAnsi="Times New Roman"/>
          <w:sz w:val="24"/>
          <w:szCs w:val="24"/>
          <w:lang w:val="sr-Cyrl-CS"/>
        </w:rPr>
        <w:t xml:space="preserve">Према томе, </w:t>
      </w:r>
      <w:r w:rsidR="00A83988">
        <w:rPr>
          <w:rFonts w:ascii="Times New Roman" w:hAnsi="Times New Roman"/>
          <w:sz w:val="24"/>
          <w:szCs w:val="24"/>
          <w:lang w:val="sr-Cyrl-CS"/>
        </w:rPr>
        <w:t>мада се наплатом пореза осигуравају бројне користи као што су: стабилност државе, функцонисање њеног правног поретка, заштита имовине као и физички интегритет пореског обвезника, услед</w:t>
      </w:r>
      <w:r>
        <w:rPr>
          <w:rFonts w:ascii="Times New Roman" w:hAnsi="Times New Roman"/>
          <w:sz w:val="24"/>
          <w:szCs w:val="24"/>
          <w:lang w:val="sr-Cyrl-CS"/>
        </w:rPr>
        <w:t xml:space="preserve"> неповољног деловања опорезивања избегавање плаћања пореза или пореска евазија присутна је у готово свим поре</w:t>
      </w:r>
      <w:r w:rsidR="00A83988">
        <w:rPr>
          <w:rFonts w:ascii="Times New Roman" w:hAnsi="Times New Roman"/>
          <w:sz w:val="24"/>
          <w:szCs w:val="24"/>
          <w:lang w:val="sr-Cyrl-CS"/>
        </w:rPr>
        <w:t>ским системима</w:t>
      </w:r>
      <w:r>
        <w:rPr>
          <w:rFonts w:ascii="Times New Roman" w:hAnsi="Times New Roman"/>
          <w:sz w:val="24"/>
          <w:szCs w:val="24"/>
          <w:lang w:val="sr-Cyrl-CS"/>
        </w:rPr>
        <w:t xml:space="preserve">. </w:t>
      </w:r>
      <w:r w:rsidR="00A83988">
        <w:rPr>
          <w:rFonts w:ascii="Times New Roman" w:hAnsi="Times New Roman"/>
          <w:sz w:val="24"/>
          <w:szCs w:val="24"/>
          <w:lang w:val="sr-Cyrl-CS"/>
        </w:rPr>
        <w:t>Економисти Fishlow и Friedman (1994) су</w:t>
      </w:r>
      <w:r w:rsidR="00E32E2C">
        <w:rPr>
          <w:rFonts w:ascii="Times New Roman" w:hAnsi="Times New Roman"/>
          <w:sz w:val="24"/>
          <w:szCs w:val="24"/>
          <w:lang w:val="sr-Cyrl-CS"/>
        </w:rPr>
        <w:t>,</w:t>
      </w:r>
      <w:r w:rsidR="00A83988">
        <w:rPr>
          <w:rFonts w:ascii="Times New Roman" w:hAnsi="Times New Roman"/>
          <w:sz w:val="24"/>
          <w:szCs w:val="24"/>
          <w:lang w:val="sr-Cyrl-CS"/>
        </w:rPr>
        <w:t xml:space="preserve"> приликом анализе </w:t>
      </w:r>
      <w:r>
        <w:rPr>
          <w:rFonts w:ascii="Times New Roman" w:hAnsi="Times New Roman"/>
          <w:sz w:val="24"/>
          <w:szCs w:val="24"/>
          <w:lang w:val="sr-Cyrl-CS"/>
        </w:rPr>
        <w:t>стабилност</w:t>
      </w:r>
      <w:r w:rsidR="00A83988">
        <w:rPr>
          <w:rFonts w:ascii="Times New Roman" w:hAnsi="Times New Roman"/>
          <w:sz w:val="24"/>
          <w:szCs w:val="24"/>
          <w:lang w:val="sr-Cyrl-CS"/>
        </w:rPr>
        <w:t>и</w:t>
      </w:r>
      <w:r>
        <w:rPr>
          <w:rFonts w:ascii="Times New Roman" w:hAnsi="Times New Roman"/>
          <w:sz w:val="24"/>
          <w:szCs w:val="24"/>
          <w:lang w:val="sr-Cyrl-CS"/>
        </w:rPr>
        <w:t xml:space="preserve"> пореског система и могућнос</w:t>
      </w:r>
      <w:r w:rsidR="00A83988">
        <w:rPr>
          <w:rFonts w:ascii="Times New Roman" w:hAnsi="Times New Roman"/>
          <w:sz w:val="24"/>
          <w:szCs w:val="24"/>
          <w:lang w:val="sr-Cyrl-CS"/>
        </w:rPr>
        <w:t>и</w:t>
      </w:r>
      <w:r>
        <w:rPr>
          <w:rFonts w:ascii="Times New Roman" w:hAnsi="Times New Roman"/>
          <w:sz w:val="24"/>
          <w:szCs w:val="24"/>
          <w:lang w:val="sr-Cyrl-CS"/>
        </w:rPr>
        <w:t xml:space="preserve"> избегања уредног плаћања пореза, </w:t>
      </w:r>
      <w:r w:rsidR="00A83988">
        <w:rPr>
          <w:rFonts w:ascii="Times New Roman" w:hAnsi="Times New Roman"/>
          <w:sz w:val="24"/>
          <w:szCs w:val="24"/>
          <w:lang w:val="sr-Cyrl-CS"/>
        </w:rPr>
        <w:t>извели закључак</w:t>
      </w:r>
      <w:r>
        <w:rPr>
          <w:rFonts w:ascii="Times New Roman" w:hAnsi="Times New Roman"/>
          <w:sz w:val="24"/>
          <w:szCs w:val="24"/>
          <w:lang w:val="sr-Cyrl-CS"/>
        </w:rPr>
        <w:t xml:space="preserve"> да се </w:t>
      </w:r>
      <w:r>
        <w:rPr>
          <w:rFonts w:ascii="Times New Roman" w:hAnsi="Times New Roman"/>
          <w:sz w:val="24"/>
          <w:szCs w:val="24"/>
          <w:lang w:val="sr-Cyrl-CS"/>
        </w:rPr>
        <w:lastRenderedPageBreak/>
        <w:t>подмиривање пореске обавезе (eng. tax compliance) смањује ако долази до смањења текућег дохотка и због инфлаторних кретања у земљи или рецесије.</w:t>
      </w:r>
      <w:r>
        <w:rPr>
          <w:rStyle w:val="FootnoteReference"/>
          <w:rFonts w:ascii="Times New Roman" w:hAnsi="Times New Roman"/>
          <w:sz w:val="24"/>
          <w:szCs w:val="24"/>
          <w:lang w:val="sr-Cyrl-CS"/>
        </w:rPr>
        <w:footnoteReference w:id="108"/>
      </w:r>
    </w:p>
    <w:p w:rsidR="001E6839" w:rsidRDefault="001E6839" w:rsidP="001E6839">
      <w:pPr>
        <w:ind w:firstLine="360"/>
        <w:jc w:val="both"/>
        <w:rPr>
          <w:rFonts w:ascii="Times New Roman" w:hAnsi="Times New Roman"/>
          <w:sz w:val="24"/>
          <w:szCs w:val="24"/>
          <w:lang w:val="sr-Cyrl-CS"/>
        </w:rPr>
      </w:pPr>
      <w:r>
        <w:rPr>
          <w:rFonts w:ascii="Times New Roman" w:hAnsi="Times New Roman"/>
          <w:sz w:val="24"/>
          <w:szCs w:val="24"/>
          <w:lang w:val="sr-Cyrl-CS"/>
        </w:rPr>
        <w:t xml:space="preserve">При свему наведеном битан </w:t>
      </w:r>
      <w:r w:rsidR="00E32E2C">
        <w:rPr>
          <w:rFonts w:ascii="Times New Roman" w:hAnsi="Times New Roman"/>
          <w:sz w:val="24"/>
          <w:szCs w:val="24"/>
          <w:lang w:val="sr-Cyrl-CS"/>
        </w:rPr>
        <w:t>чинилац</w:t>
      </w:r>
      <w:r>
        <w:rPr>
          <w:rFonts w:ascii="Times New Roman" w:hAnsi="Times New Roman"/>
          <w:sz w:val="24"/>
          <w:szCs w:val="24"/>
          <w:lang w:val="sr-Cyrl-CS"/>
        </w:rPr>
        <w:t xml:space="preserve"> је могућност преваљивања пореског терета. </w:t>
      </w:r>
      <w:r w:rsidR="00E32E2C">
        <w:rPr>
          <w:rFonts w:ascii="Times New Roman" w:hAnsi="Times New Roman"/>
          <w:sz w:val="24"/>
          <w:szCs w:val="24"/>
          <w:lang w:val="sr-Cyrl-CS"/>
        </w:rPr>
        <w:t>У</w:t>
      </w:r>
      <w:r>
        <w:rPr>
          <w:rFonts w:ascii="Times New Roman" w:hAnsi="Times New Roman"/>
          <w:sz w:val="24"/>
          <w:szCs w:val="24"/>
          <w:lang w:val="sr-Cyrl-CS"/>
        </w:rPr>
        <w:t>колико је привредни амбијент</w:t>
      </w:r>
      <w:r w:rsidR="00E32E2C">
        <w:rPr>
          <w:rFonts w:ascii="Times New Roman" w:hAnsi="Times New Roman"/>
          <w:sz w:val="24"/>
          <w:szCs w:val="24"/>
          <w:lang w:val="sr-Cyrl-CS"/>
        </w:rPr>
        <w:t xml:space="preserve"> такав да омогућава преваљивање</w:t>
      </w:r>
      <w:r>
        <w:rPr>
          <w:rFonts w:ascii="Times New Roman" w:hAnsi="Times New Roman"/>
          <w:sz w:val="24"/>
          <w:szCs w:val="24"/>
          <w:lang w:val="sr-Cyrl-CS"/>
        </w:rPr>
        <w:t xml:space="preserve"> порески обвезници ће избегавати плаћање пореза у мањој мери</w:t>
      </w:r>
      <w:r w:rsidR="00E32E2C">
        <w:rPr>
          <w:rFonts w:ascii="Times New Roman" w:hAnsi="Times New Roman"/>
          <w:sz w:val="24"/>
          <w:szCs w:val="24"/>
          <w:lang w:val="sr-Cyrl-CS"/>
        </w:rPr>
        <w:t xml:space="preserve"> јер</w:t>
      </w:r>
      <w:r>
        <w:rPr>
          <w:rFonts w:ascii="Times New Roman" w:hAnsi="Times New Roman"/>
          <w:sz w:val="24"/>
          <w:szCs w:val="24"/>
          <w:lang w:val="sr-Cyrl-CS"/>
        </w:rPr>
        <w:t xml:space="preserve"> порески терет могу</w:t>
      </w:r>
      <w:r w:rsidR="00E32E2C">
        <w:rPr>
          <w:rFonts w:ascii="Times New Roman" w:hAnsi="Times New Roman"/>
          <w:sz w:val="24"/>
          <w:szCs w:val="24"/>
          <w:lang w:val="sr-Cyrl-CS"/>
        </w:rPr>
        <w:t xml:space="preserve"> лако да пребаце на неког другог, без обзира на то што порески обвезници у условима кризе теже да повећају своје приходе</w:t>
      </w:r>
      <w:r>
        <w:rPr>
          <w:rFonts w:ascii="Times New Roman" w:hAnsi="Times New Roman"/>
          <w:sz w:val="24"/>
          <w:szCs w:val="24"/>
          <w:lang w:val="sr-Cyrl-CS"/>
        </w:rPr>
        <w:t xml:space="preserve">. Успех у преваљивању највише зависи </w:t>
      </w:r>
      <w:r w:rsidR="00490DEA">
        <w:rPr>
          <w:rFonts w:ascii="Times New Roman" w:hAnsi="Times New Roman"/>
          <w:sz w:val="24"/>
          <w:szCs w:val="24"/>
          <w:lang w:val="sr-Cyrl-CS"/>
        </w:rPr>
        <w:t>од еластичности понуде и тражње, а што се може приказати на следећ</w:t>
      </w:r>
      <w:r w:rsidR="005640AB">
        <w:rPr>
          <w:rFonts w:ascii="Times New Roman" w:hAnsi="Times New Roman"/>
          <w:sz w:val="24"/>
          <w:szCs w:val="24"/>
          <w:lang w:val="sr-Cyrl-CS"/>
        </w:rPr>
        <w:t>е</w:t>
      </w:r>
      <w:r w:rsidR="00490DEA">
        <w:rPr>
          <w:rFonts w:ascii="Times New Roman" w:hAnsi="Times New Roman"/>
          <w:sz w:val="24"/>
          <w:szCs w:val="24"/>
          <w:lang w:val="sr-Cyrl-CS"/>
        </w:rPr>
        <w:t xml:space="preserve"> начин</w:t>
      </w:r>
      <w:r w:rsidR="005640AB">
        <w:rPr>
          <w:rFonts w:ascii="Times New Roman" w:hAnsi="Times New Roman"/>
          <w:sz w:val="24"/>
          <w:szCs w:val="24"/>
          <w:lang w:val="sr-Cyrl-CS"/>
        </w:rPr>
        <w:t>е</w:t>
      </w:r>
      <w:r w:rsidR="00490DEA">
        <w:rPr>
          <w:rFonts w:ascii="Times New Roman" w:hAnsi="Times New Roman"/>
          <w:sz w:val="24"/>
          <w:szCs w:val="24"/>
          <w:lang w:val="sr-Cyrl-CS"/>
        </w:rPr>
        <w:t>:</w:t>
      </w:r>
      <w:r w:rsidR="005640AB">
        <w:rPr>
          <w:rStyle w:val="FootnoteReference"/>
          <w:rFonts w:ascii="Times New Roman" w:hAnsi="Times New Roman"/>
          <w:sz w:val="24"/>
          <w:szCs w:val="24"/>
          <w:lang w:val="sr-Cyrl-CS"/>
        </w:rPr>
        <w:footnoteReference w:id="109"/>
      </w:r>
    </w:p>
    <w:p w:rsidR="001E6839" w:rsidRDefault="001E6839" w:rsidP="001E6839">
      <w:pPr>
        <w:ind w:firstLine="360"/>
        <w:jc w:val="both"/>
        <w:rPr>
          <w:rFonts w:ascii="Times New Roman" w:hAnsi="Times New Roman"/>
          <w:sz w:val="24"/>
          <w:szCs w:val="24"/>
          <w:lang w:val="sr-Cyrl-CS"/>
        </w:rPr>
      </w:pPr>
    </w:p>
    <w:p w:rsidR="001E6839" w:rsidRPr="00913416" w:rsidRDefault="00A74A8E" w:rsidP="001E6839">
      <w:pPr>
        <w:jc w:val="both"/>
        <w:rPr>
          <w:rFonts w:ascii="Times New Roman" w:hAnsi="Times New Roman"/>
          <w:b/>
          <w:sz w:val="24"/>
          <w:szCs w:val="24"/>
          <w:lang w:val="sr-Cyrl-CS"/>
        </w:rPr>
      </w:pPr>
      <w:r>
        <w:rPr>
          <w:rFonts w:ascii="Times New Roman" w:hAnsi="Times New Roman"/>
          <w:b/>
          <w:sz w:val="24"/>
          <w:szCs w:val="24"/>
          <w:lang w:val="sr-Cyrl-CS"/>
        </w:rPr>
        <w:t>Слика 5</w:t>
      </w:r>
      <w:r w:rsidR="001E6839" w:rsidRPr="00913416">
        <w:rPr>
          <w:rFonts w:ascii="Times New Roman" w:hAnsi="Times New Roman"/>
          <w:b/>
          <w:sz w:val="24"/>
          <w:szCs w:val="24"/>
          <w:lang w:val="sr-Cyrl-CS"/>
        </w:rPr>
        <w:t>.</w:t>
      </w:r>
    </w:p>
    <w:p w:rsidR="001E6839" w:rsidRDefault="001E6839" w:rsidP="001E6839">
      <w:pPr>
        <w:ind w:firstLine="360"/>
        <w:jc w:val="both"/>
        <w:rPr>
          <w:rFonts w:ascii="Times New Roman" w:hAnsi="Times New Roman"/>
          <w:sz w:val="24"/>
          <w:szCs w:val="24"/>
          <w:lang w:val="sr-Cyrl-CS"/>
        </w:rPr>
      </w:pPr>
    </w:p>
    <w:p w:rsidR="001E6839" w:rsidRDefault="00616181" w:rsidP="001E6839">
      <w:pPr>
        <w:ind w:firstLine="360"/>
        <w:jc w:val="both"/>
        <w:rPr>
          <w:rFonts w:ascii="Times New Roman" w:hAnsi="Times New Roman"/>
          <w:sz w:val="24"/>
          <w:szCs w:val="24"/>
          <w:lang w:val="sr-Cyrl-CS"/>
        </w:rPr>
      </w:pPr>
      <w:r>
        <w:rPr>
          <w:rFonts w:ascii="Times New Roman" w:hAnsi="Times New Roman"/>
          <w:noProof/>
          <w:sz w:val="24"/>
          <w:szCs w:val="24"/>
        </w:rPr>
        <w:pict>
          <v:shape id="_x0000_s1544" type="#_x0000_t32" style="position:absolute;left:0;text-align:left;margin-left:262.95pt;margin-top:16.9pt;width:0;height:117pt;flip:y;z-index:251862528" o:connectortype="straight">
            <v:stroke endarrow="block"/>
          </v:shape>
        </w:pict>
      </w:r>
      <w:r>
        <w:rPr>
          <w:rFonts w:ascii="Times New Roman" w:hAnsi="Times New Roman"/>
          <w:noProof/>
          <w:sz w:val="24"/>
          <w:szCs w:val="24"/>
        </w:rPr>
        <w:pict>
          <v:shape id="_x0000_s1542" type="#_x0000_t32" style="position:absolute;left:0;text-align:left;margin-left:22.2pt;margin-top:22.15pt;width:0;height:111.75pt;flip:y;z-index:251860480" o:connectortype="straight">
            <v:stroke endarrow="block"/>
          </v:shape>
        </w:pict>
      </w:r>
      <w:r w:rsidR="001E6839">
        <w:rPr>
          <w:rFonts w:ascii="Times New Roman" w:hAnsi="Times New Roman"/>
          <w:sz w:val="24"/>
          <w:szCs w:val="24"/>
          <w:lang w:val="sr-Cyrl-CS"/>
        </w:rPr>
        <w:t>цена                                                                          цена</w:t>
      </w:r>
    </w:p>
    <w:p w:rsidR="001E6839" w:rsidRDefault="001E6839" w:rsidP="001E6839">
      <w:pPr>
        <w:ind w:firstLine="360"/>
        <w:jc w:val="both"/>
        <w:rPr>
          <w:rFonts w:ascii="Times New Roman" w:hAnsi="Times New Roman"/>
          <w:sz w:val="24"/>
          <w:szCs w:val="24"/>
          <w:lang w:val="sr-Cyrl-CS"/>
        </w:rPr>
      </w:pPr>
    </w:p>
    <w:p w:rsidR="001E6839" w:rsidRDefault="00616181" w:rsidP="001E6839">
      <w:pPr>
        <w:ind w:firstLine="360"/>
        <w:jc w:val="both"/>
        <w:rPr>
          <w:rFonts w:ascii="Times New Roman" w:hAnsi="Times New Roman"/>
          <w:sz w:val="24"/>
          <w:szCs w:val="24"/>
          <w:lang w:val="sr-Cyrl-CS"/>
        </w:rPr>
      </w:pPr>
      <w:r>
        <w:rPr>
          <w:rFonts w:ascii="Times New Roman" w:hAnsi="Times New Roman"/>
          <w:noProof/>
          <w:sz w:val="24"/>
          <w:szCs w:val="24"/>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546" type="#_x0000_t19" style="position:absolute;left:0;text-align:left;margin-left:262.95pt;margin-top:.4pt;width:105pt;height:69.75pt;flip:x y;z-index:251864576"/>
        </w:pict>
      </w:r>
      <w:r>
        <w:rPr>
          <w:rFonts w:ascii="Times New Roman" w:hAnsi="Times New Roman"/>
          <w:noProof/>
          <w:sz w:val="24"/>
          <w:szCs w:val="24"/>
        </w:rPr>
        <w:pict>
          <v:shape id="_x0000_s1545" type="#_x0000_t19" style="position:absolute;left:0;text-align:left;margin-left:25.95pt;margin-top:5.65pt;width:96.75pt;height:70.5pt;flip:x y;z-index:251863552"/>
        </w:pict>
      </w:r>
    </w:p>
    <w:p w:rsidR="001E6839" w:rsidRDefault="001E6839" w:rsidP="001E6839">
      <w:pPr>
        <w:ind w:firstLine="360"/>
        <w:jc w:val="both"/>
        <w:rPr>
          <w:rFonts w:ascii="Times New Roman" w:hAnsi="Times New Roman"/>
          <w:sz w:val="24"/>
          <w:szCs w:val="24"/>
          <w:lang w:val="sr-Cyrl-CS"/>
        </w:rPr>
      </w:pPr>
      <w:r>
        <w:rPr>
          <w:rFonts w:ascii="Times New Roman" w:hAnsi="Times New Roman"/>
          <w:sz w:val="24"/>
          <w:szCs w:val="24"/>
          <w:lang w:val="sr-Cyrl-CS"/>
        </w:rPr>
        <w:t xml:space="preserve">               Е&gt;1                                      </w:t>
      </w:r>
      <w:r w:rsidR="00C21E40">
        <w:rPr>
          <w:rFonts w:ascii="Times New Roman" w:hAnsi="Times New Roman"/>
          <w:sz w:val="24"/>
          <w:szCs w:val="24"/>
          <w:lang w:val="sr-Cyrl-CS"/>
        </w:rPr>
        <w:t xml:space="preserve">                              Е</w:t>
      </w:r>
      <w:r w:rsidR="00C21E40" w:rsidRPr="00C21E40">
        <w:rPr>
          <w:rFonts w:ascii="Arial" w:hAnsi="Arial" w:cs="Arial"/>
          <w:color w:val="000000"/>
          <w:sz w:val="21"/>
          <w:szCs w:val="21"/>
          <w:shd w:val="clear" w:color="auto" w:fill="F9F9F9"/>
        </w:rPr>
        <w:t xml:space="preserve"> </w:t>
      </w:r>
      <w:r w:rsidR="00C21E40">
        <w:rPr>
          <w:rFonts w:ascii="Arial" w:hAnsi="Arial" w:cs="Arial"/>
          <w:color w:val="000000"/>
          <w:sz w:val="21"/>
          <w:szCs w:val="21"/>
          <w:shd w:val="clear" w:color="auto" w:fill="F9F9F9"/>
        </w:rPr>
        <w:t>&lt;</w:t>
      </w:r>
      <w:r w:rsidR="00C21E40">
        <w:rPr>
          <w:rFonts w:ascii="Times New Roman" w:hAnsi="Times New Roman"/>
          <w:sz w:val="24"/>
          <w:szCs w:val="24"/>
          <w:lang w:val="sr-Cyrl-CS"/>
        </w:rPr>
        <w:t xml:space="preserve"> </w:t>
      </w:r>
      <w:r>
        <w:rPr>
          <w:rFonts w:ascii="Times New Roman" w:hAnsi="Times New Roman"/>
          <w:sz w:val="24"/>
          <w:szCs w:val="24"/>
          <w:lang w:val="sr-Cyrl-CS"/>
        </w:rPr>
        <w:t>1</w:t>
      </w:r>
    </w:p>
    <w:p w:rsidR="001E6839" w:rsidRDefault="001E6839" w:rsidP="001E6839">
      <w:pPr>
        <w:ind w:firstLine="360"/>
        <w:jc w:val="both"/>
        <w:rPr>
          <w:rFonts w:ascii="Times New Roman" w:hAnsi="Times New Roman"/>
          <w:sz w:val="24"/>
          <w:szCs w:val="24"/>
          <w:lang w:val="sr-Cyrl-CS"/>
        </w:rPr>
      </w:pPr>
    </w:p>
    <w:p w:rsidR="001E6839" w:rsidRDefault="00616181" w:rsidP="001E6839">
      <w:pPr>
        <w:ind w:firstLine="360"/>
        <w:jc w:val="both"/>
        <w:rPr>
          <w:rFonts w:ascii="Times New Roman" w:hAnsi="Times New Roman"/>
          <w:sz w:val="24"/>
          <w:szCs w:val="24"/>
          <w:lang w:val="sr-Cyrl-CS"/>
        </w:rPr>
      </w:pPr>
      <w:r>
        <w:rPr>
          <w:rFonts w:ascii="Times New Roman" w:hAnsi="Times New Roman"/>
          <w:noProof/>
          <w:sz w:val="24"/>
          <w:szCs w:val="24"/>
        </w:rPr>
        <w:pict>
          <v:shape id="_x0000_s1543" type="#_x0000_t32" style="position:absolute;left:0;text-align:left;margin-left:262.95pt;margin-top:4.55pt;width:126pt;height:0;z-index:251861504" o:connectortype="straight">
            <v:stroke endarrow="block"/>
          </v:shape>
        </w:pict>
      </w:r>
      <w:r>
        <w:rPr>
          <w:rFonts w:ascii="Times New Roman" w:hAnsi="Times New Roman"/>
          <w:noProof/>
          <w:sz w:val="24"/>
          <w:szCs w:val="24"/>
        </w:rPr>
        <w:pict>
          <v:shape id="_x0000_s1541" type="#_x0000_t32" style="position:absolute;left:0;text-align:left;margin-left:22.2pt;margin-top:4.55pt;width:126pt;height:1.5pt;flip:y;z-index:251859456" o:connectortype="straight">
            <v:stroke endarrow="block"/>
          </v:shape>
        </w:pict>
      </w:r>
    </w:p>
    <w:p w:rsidR="001E6839" w:rsidRDefault="001E6839" w:rsidP="001E6839">
      <w:pPr>
        <w:ind w:firstLine="360"/>
        <w:jc w:val="both"/>
        <w:rPr>
          <w:rFonts w:ascii="Times New Roman" w:hAnsi="Times New Roman"/>
          <w:sz w:val="24"/>
          <w:szCs w:val="24"/>
          <w:lang w:val="sr-Cyrl-CS"/>
        </w:rPr>
      </w:pPr>
      <w:r>
        <w:rPr>
          <w:rFonts w:ascii="Times New Roman" w:hAnsi="Times New Roman"/>
          <w:sz w:val="24"/>
          <w:szCs w:val="24"/>
          <w:lang w:val="sr-Cyrl-CS"/>
        </w:rPr>
        <w:t xml:space="preserve">  тражња                                                                        тражња</w:t>
      </w:r>
    </w:p>
    <w:p w:rsidR="001E6839" w:rsidRPr="00E048EB" w:rsidRDefault="001E6839" w:rsidP="001E6839">
      <w:pPr>
        <w:ind w:firstLine="360"/>
        <w:jc w:val="both"/>
        <w:rPr>
          <w:rFonts w:ascii="Times New Roman" w:hAnsi="Times New Roman"/>
          <w:b/>
          <w:sz w:val="24"/>
          <w:szCs w:val="24"/>
          <w:lang w:val="sr-Cyrl-CS"/>
        </w:rPr>
      </w:pPr>
      <w:r w:rsidRPr="00E048EB">
        <w:rPr>
          <w:rFonts w:ascii="Times New Roman" w:hAnsi="Times New Roman"/>
          <w:b/>
          <w:sz w:val="24"/>
          <w:szCs w:val="24"/>
          <w:lang w:val="sr-Cyrl-CS"/>
        </w:rPr>
        <w:t>Сразмерно еластична                                                 Сразмерно нееластична</w:t>
      </w:r>
    </w:p>
    <w:p w:rsidR="001E6839" w:rsidRPr="00E048EB" w:rsidRDefault="001E6839" w:rsidP="001E6839">
      <w:pPr>
        <w:ind w:firstLine="360"/>
        <w:jc w:val="both"/>
        <w:rPr>
          <w:rFonts w:ascii="Times New Roman" w:hAnsi="Times New Roman"/>
          <w:b/>
          <w:sz w:val="24"/>
          <w:szCs w:val="24"/>
          <w:lang w:val="sr-Cyrl-CS"/>
        </w:rPr>
      </w:pPr>
      <w:r w:rsidRPr="00E048EB">
        <w:rPr>
          <w:rFonts w:ascii="Times New Roman" w:hAnsi="Times New Roman"/>
          <w:b/>
          <w:sz w:val="24"/>
          <w:szCs w:val="24"/>
          <w:lang w:val="sr-Cyrl-CS"/>
        </w:rPr>
        <w:t xml:space="preserve">тражња                                                                          тражња                                                                </w:t>
      </w:r>
    </w:p>
    <w:p w:rsidR="001E6839" w:rsidRDefault="001E6839" w:rsidP="001E6839">
      <w:pPr>
        <w:ind w:firstLine="360"/>
        <w:jc w:val="both"/>
        <w:rPr>
          <w:rFonts w:ascii="Times New Roman" w:hAnsi="Times New Roman"/>
          <w:sz w:val="24"/>
          <w:szCs w:val="24"/>
          <w:lang w:val="sr-Cyrl-CS"/>
        </w:rPr>
      </w:pPr>
    </w:p>
    <w:p w:rsidR="005640AB" w:rsidRDefault="005640AB" w:rsidP="001E6839">
      <w:pPr>
        <w:ind w:firstLine="360"/>
        <w:jc w:val="both"/>
        <w:rPr>
          <w:rFonts w:ascii="Times New Roman" w:hAnsi="Times New Roman"/>
          <w:sz w:val="24"/>
          <w:szCs w:val="24"/>
          <w:lang w:val="sr-Cyrl-CS"/>
        </w:rPr>
      </w:pPr>
    </w:p>
    <w:p w:rsidR="005640AB" w:rsidRDefault="005640AB" w:rsidP="001E6839">
      <w:pPr>
        <w:ind w:firstLine="360"/>
        <w:jc w:val="both"/>
        <w:rPr>
          <w:rFonts w:ascii="Times New Roman" w:hAnsi="Times New Roman"/>
          <w:sz w:val="24"/>
          <w:szCs w:val="24"/>
          <w:lang w:val="sr-Cyrl-CS"/>
        </w:rPr>
      </w:pPr>
    </w:p>
    <w:p w:rsidR="005640AB" w:rsidRDefault="005640AB" w:rsidP="001E6839">
      <w:pPr>
        <w:ind w:firstLine="360"/>
        <w:jc w:val="both"/>
        <w:rPr>
          <w:rFonts w:ascii="Times New Roman" w:hAnsi="Times New Roman"/>
          <w:sz w:val="24"/>
          <w:szCs w:val="24"/>
          <w:lang w:val="sr-Cyrl-CS"/>
        </w:rPr>
      </w:pPr>
    </w:p>
    <w:p w:rsidR="005640AB" w:rsidRDefault="005640AB" w:rsidP="001E6839">
      <w:pPr>
        <w:ind w:firstLine="360"/>
        <w:jc w:val="both"/>
        <w:rPr>
          <w:rFonts w:ascii="Times New Roman" w:hAnsi="Times New Roman"/>
          <w:sz w:val="24"/>
          <w:szCs w:val="24"/>
          <w:lang w:val="sr-Cyrl-CS"/>
        </w:rPr>
      </w:pPr>
    </w:p>
    <w:p w:rsidR="005640AB" w:rsidRDefault="005640AB" w:rsidP="001E6839">
      <w:pPr>
        <w:ind w:firstLine="360"/>
        <w:jc w:val="both"/>
        <w:rPr>
          <w:rFonts w:ascii="Times New Roman" w:hAnsi="Times New Roman"/>
          <w:sz w:val="24"/>
          <w:szCs w:val="24"/>
          <w:lang w:val="sr-Cyrl-CS"/>
        </w:rPr>
      </w:pPr>
    </w:p>
    <w:p w:rsidR="00797641" w:rsidRDefault="00797641" w:rsidP="001E6839">
      <w:pPr>
        <w:ind w:firstLine="360"/>
        <w:jc w:val="both"/>
        <w:rPr>
          <w:rFonts w:ascii="Times New Roman" w:hAnsi="Times New Roman"/>
          <w:sz w:val="24"/>
          <w:szCs w:val="24"/>
          <w:lang w:val="sr-Cyrl-CS"/>
        </w:rPr>
      </w:pPr>
    </w:p>
    <w:p w:rsidR="001E6839" w:rsidRDefault="001E6839" w:rsidP="001E6839">
      <w:pPr>
        <w:ind w:firstLine="360"/>
        <w:jc w:val="both"/>
        <w:rPr>
          <w:rFonts w:ascii="Times New Roman" w:hAnsi="Times New Roman"/>
          <w:sz w:val="24"/>
          <w:szCs w:val="24"/>
          <w:lang w:val="sr-Cyrl-CS"/>
        </w:rPr>
      </w:pPr>
      <w:r>
        <w:rPr>
          <w:rFonts w:ascii="Times New Roman" w:hAnsi="Times New Roman"/>
          <w:sz w:val="24"/>
          <w:szCs w:val="24"/>
          <w:lang w:val="sr-Cyrl-CS"/>
        </w:rPr>
        <w:t>цена                                                                      цена</w:t>
      </w:r>
    </w:p>
    <w:p w:rsidR="001E6839" w:rsidRDefault="00616181" w:rsidP="001E6839">
      <w:pPr>
        <w:ind w:firstLine="360"/>
        <w:jc w:val="both"/>
        <w:rPr>
          <w:rFonts w:ascii="Times New Roman" w:hAnsi="Times New Roman"/>
          <w:sz w:val="24"/>
          <w:szCs w:val="24"/>
          <w:lang w:val="sr-Cyrl-CS"/>
        </w:rPr>
      </w:pPr>
      <w:r>
        <w:rPr>
          <w:rFonts w:ascii="Times New Roman" w:hAnsi="Times New Roman"/>
          <w:noProof/>
          <w:sz w:val="24"/>
          <w:szCs w:val="24"/>
        </w:rPr>
        <w:pict>
          <v:shape id="_x0000_s1550" type="#_x0000_t32" style="position:absolute;left:0;text-align:left;margin-left:252.45pt;margin-top:6.05pt;width:0;height:118.5pt;flip:y;z-index:251868672" o:connectortype="straight">
            <v:stroke endarrow="block"/>
          </v:shape>
        </w:pict>
      </w:r>
      <w:r>
        <w:rPr>
          <w:rFonts w:ascii="Times New Roman" w:hAnsi="Times New Roman"/>
          <w:noProof/>
          <w:sz w:val="24"/>
          <w:szCs w:val="24"/>
        </w:rPr>
        <w:pict>
          <v:shape id="_x0000_s1548" type="#_x0000_t32" style="position:absolute;left:0;text-align:left;margin-left:19.95pt;margin-top:6.05pt;width:0;height:127.5pt;flip:y;z-index:251866624" o:connectortype="straight">
            <v:stroke endarrow="block"/>
          </v:shape>
        </w:pict>
      </w:r>
    </w:p>
    <w:p w:rsidR="001E6839" w:rsidRDefault="00616181" w:rsidP="001E6839">
      <w:pPr>
        <w:ind w:firstLine="360"/>
        <w:jc w:val="both"/>
        <w:rPr>
          <w:rFonts w:ascii="Times New Roman" w:hAnsi="Times New Roman"/>
          <w:sz w:val="24"/>
          <w:szCs w:val="24"/>
          <w:lang w:val="sr-Cyrl-CS"/>
        </w:rPr>
      </w:pPr>
      <w:r>
        <w:rPr>
          <w:rFonts w:ascii="Times New Roman" w:hAnsi="Times New Roman"/>
          <w:noProof/>
          <w:sz w:val="24"/>
          <w:szCs w:val="24"/>
        </w:rPr>
        <w:pict>
          <v:shape id="_x0000_s1552" type="#_x0000_t32" style="position:absolute;left:0;text-align:left;margin-left:315.45pt;margin-top:12.4pt;width:0;height:86.25pt;flip:y;z-index:251870720" o:connectortype="straight"/>
        </w:pict>
      </w:r>
    </w:p>
    <w:p w:rsidR="001E6839" w:rsidRDefault="001E6839" w:rsidP="001E6839">
      <w:pPr>
        <w:ind w:firstLine="360"/>
        <w:jc w:val="both"/>
        <w:rPr>
          <w:rFonts w:ascii="Times New Roman" w:hAnsi="Times New Roman"/>
          <w:sz w:val="24"/>
          <w:szCs w:val="24"/>
          <w:lang w:val="sr-Cyrl-CS"/>
        </w:rPr>
      </w:pPr>
      <w:r>
        <w:rPr>
          <w:rFonts w:ascii="Times New Roman" w:hAnsi="Times New Roman"/>
          <w:sz w:val="24"/>
          <w:szCs w:val="24"/>
          <w:lang w:val="sr-Cyrl-CS"/>
        </w:rPr>
        <w:t xml:space="preserve">          Е=бесконачно                                                                        Е=0</w:t>
      </w:r>
    </w:p>
    <w:p w:rsidR="001E6839" w:rsidRDefault="00616181" w:rsidP="001E6839">
      <w:pPr>
        <w:ind w:firstLine="360"/>
        <w:jc w:val="both"/>
        <w:rPr>
          <w:rFonts w:ascii="Times New Roman" w:hAnsi="Times New Roman"/>
          <w:sz w:val="24"/>
          <w:szCs w:val="24"/>
          <w:lang w:val="sr-Cyrl-CS"/>
        </w:rPr>
      </w:pPr>
      <w:r>
        <w:rPr>
          <w:rFonts w:ascii="Times New Roman" w:hAnsi="Times New Roman"/>
          <w:noProof/>
          <w:sz w:val="24"/>
          <w:szCs w:val="24"/>
        </w:rPr>
        <w:pict>
          <v:shape id="_x0000_s1551" type="#_x0000_t32" style="position:absolute;left:0;text-align:left;margin-left:19.95pt;margin-top:12.45pt;width:107.25pt;height:.75pt;flip:y;z-index:251869696" o:connectortype="straight"/>
        </w:pict>
      </w:r>
    </w:p>
    <w:p w:rsidR="001E6839" w:rsidRDefault="00616181" w:rsidP="001E6839">
      <w:pPr>
        <w:ind w:firstLine="360"/>
        <w:jc w:val="both"/>
        <w:rPr>
          <w:rFonts w:ascii="Times New Roman" w:hAnsi="Times New Roman"/>
          <w:sz w:val="24"/>
          <w:szCs w:val="24"/>
          <w:lang w:val="sr-Cyrl-CS"/>
        </w:rPr>
      </w:pPr>
      <w:r>
        <w:rPr>
          <w:rFonts w:ascii="Times New Roman" w:hAnsi="Times New Roman"/>
          <w:noProof/>
          <w:sz w:val="24"/>
          <w:szCs w:val="24"/>
        </w:rPr>
        <w:pict>
          <v:shape id="_x0000_s1549" type="#_x0000_t32" style="position:absolute;left:0;text-align:left;margin-left:252.45pt;margin-top:24.8pt;width:141pt;height:.75pt;flip:y;z-index:251867648" o:connectortype="straight">
            <v:stroke endarrow="block"/>
          </v:shape>
        </w:pict>
      </w:r>
    </w:p>
    <w:p w:rsidR="001E6839" w:rsidRDefault="00616181" w:rsidP="001E6839">
      <w:pPr>
        <w:ind w:firstLine="360"/>
        <w:jc w:val="both"/>
        <w:rPr>
          <w:rFonts w:ascii="Times New Roman" w:hAnsi="Times New Roman"/>
          <w:sz w:val="24"/>
          <w:szCs w:val="24"/>
          <w:lang w:val="sr-Cyrl-CS"/>
        </w:rPr>
      </w:pPr>
      <w:r>
        <w:rPr>
          <w:rFonts w:ascii="Times New Roman" w:hAnsi="Times New Roman"/>
          <w:noProof/>
          <w:sz w:val="24"/>
          <w:szCs w:val="24"/>
        </w:rPr>
        <w:pict>
          <v:shape id="_x0000_s1547" type="#_x0000_t32" style="position:absolute;left:0;text-align:left;margin-left:19.95pt;margin-top:4.2pt;width:147.75pt;height:0;z-index:251865600" o:connectortype="straight">
            <v:stroke endarrow="block"/>
          </v:shape>
        </w:pict>
      </w:r>
      <w:r w:rsidR="001E6839">
        <w:rPr>
          <w:rFonts w:ascii="Times New Roman" w:hAnsi="Times New Roman"/>
          <w:sz w:val="24"/>
          <w:szCs w:val="24"/>
          <w:lang w:val="sr-Cyrl-CS"/>
        </w:rPr>
        <w:t>тражња                                                                 тражња</w:t>
      </w:r>
    </w:p>
    <w:p w:rsidR="001E6839" w:rsidRPr="00E048EB" w:rsidRDefault="001E6839" w:rsidP="001E6839">
      <w:pPr>
        <w:ind w:firstLine="360"/>
        <w:jc w:val="both"/>
        <w:rPr>
          <w:rFonts w:ascii="Times New Roman" w:hAnsi="Times New Roman"/>
          <w:b/>
          <w:sz w:val="24"/>
          <w:szCs w:val="24"/>
          <w:lang w:val="sr-Cyrl-CS"/>
        </w:rPr>
      </w:pPr>
      <w:r w:rsidRPr="00E048EB">
        <w:rPr>
          <w:rFonts w:ascii="Times New Roman" w:hAnsi="Times New Roman"/>
          <w:b/>
          <w:sz w:val="24"/>
          <w:szCs w:val="24"/>
          <w:lang w:val="sr-Cyrl-CS"/>
        </w:rPr>
        <w:t>Савршено еластична                                           Савршено нееластична</w:t>
      </w:r>
    </w:p>
    <w:p w:rsidR="001E6839" w:rsidRPr="00E048EB" w:rsidRDefault="001E6839" w:rsidP="001E6839">
      <w:pPr>
        <w:ind w:firstLine="360"/>
        <w:jc w:val="both"/>
        <w:rPr>
          <w:rFonts w:ascii="Times New Roman" w:hAnsi="Times New Roman"/>
          <w:b/>
          <w:sz w:val="24"/>
          <w:szCs w:val="24"/>
          <w:lang w:val="sr-Cyrl-CS"/>
        </w:rPr>
      </w:pPr>
      <w:r w:rsidRPr="00E048EB">
        <w:rPr>
          <w:rFonts w:ascii="Times New Roman" w:hAnsi="Times New Roman"/>
          <w:b/>
          <w:sz w:val="24"/>
          <w:szCs w:val="24"/>
          <w:lang w:val="sr-Cyrl-CS"/>
        </w:rPr>
        <w:t xml:space="preserve">тражња                                                                   тражња                  </w:t>
      </w:r>
    </w:p>
    <w:p w:rsidR="001E6839" w:rsidRDefault="001E6839" w:rsidP="001E6839">
      <w:pPr>
        <w:ind w:firstLine="360"/>
        <w:jc w:val="both"/>
        <w:rPr>
          <w:rFonts w:ascii="Times New Roman" w:hAnsi="Times New Roman"/>
          <w:sz w:val="24"/>
          <w:szCs w:val="24"/>
          <w:lang w:val="sr-Cyrl-CS"/>
        </w:rPr>
      </w:pPr>
      <w:r>
        <w:rPr>
          <w:rFonts w:ascii="Times New Roman" w:hAnsi="Times New Roman"/>
          <w:sz w:val="24"/>
          <w:szCs w:val="24"/>
          <w:lang w:val="sr-Cyrl-CS"/>
        </w:rPr>
        <w:t xml:space="preserve">Еластичност јесте мера која показује колико промена једне економске величине утиче на промену друге величине. Ценовна еластичност </w:t>
      </w:r>
      <w:r>
        <w:rPr>
          <w:rFonts w:ascii="Times New Roman" w:hAnsi="Times New Roman"/>
          <w:sz w:val="24"/>
          <w:szCs w:val="24"/>
        </w:rPr>
        <w:t>т</w:t>
      </w:r>
      <w:r>
        <w:rPr>
          <w:rFonts w:ascii="Times New Roman" w:hAnsi="Times New Roman"/>
          <w:sz w:val="24"/>
          <w:szCs w:val="24"/>
          <w:lang w:val="sr-Cyrl-CS"/>
        </w:rPr>
        <w:t xml:space="preserve">ражње показује колико количина тражње неке робе реагује на промену цене те робе (% промене количине тражње % промене цене). Ценовна еластичност понуде показује колико количина понуде неке робе реагује на промену цене те тобе. Повећање пореза доводи до повећања цене робе, што доводи до смањења тражње. Код сразмерно нееластичне тражње веће су процентуалне промене у цени од промена у тражњи. Код савршено еластичне тражње свако повећање цена изазива пад тражње на нулу. </w:t>
      </w:r>
      <w:r w:rsidR="00A51D09">
        <w:rPr>
          <w:rFonts w:ascii="Times New Roman" w:hAnsi="Times New Roman"/>
          <w:sz w:val="24"/>
          <w:szCs w:val="24"/>
          <w:lang w:val="sr-Cyrl-CS"/>
        </w:rPr>
        <w:t>Ако</w:t>
      </w:r>
      <w:r>
        <w:rPr>
          <w:rFonts w:ascii="Times New Roman" w:hAnsi="Times New Roman"/>
          <w:sz w:val="24"/>
          <w:szCs w:val="24"/>
          <w:lang w:val="sr-Cyrl-CS"/>
        </w:rPr>
        <w:t xml:space="preserve"> дође до смањења цене тражња ће се безгранично повећати. Код савршено нееластичне тражње без обзира на то колико се мења цена, тражња се неће променити. </w:t>
      </w:r>
    </w:p>
    <w:p w:rsidR="001E6839" w:rsidRDefault="00616181" w:rsidP="001E6839">
      <w:pPr>
        <w:ind w:firstLine="360"/>
        <w:jc w:val="both"/>
        <w:rPr>
          <w:rFonts w:ascii="Times New Roman" w:hAnsi="Times New Roman"/>
          <w:sz w:val="24"/>
          <w:szCs w:val="24"/>
          <w:lang w:val="sr-Cyrl-CS"/>
        </w:rPr>
      </w:pPr>
      <w:r>
        <w:rPr>
          <w:rFonts w:ascii="Times New Roman" w:hAnsi="Times New Roman"/>
          <w:noProof/>
          <w:sz w:val="24"/>
          <w:szCs w:val="24"/>
        </w:rPr>
        <w:pict>
          <v:shape id="_x0000_s1556" type="#_x0000_t32" style="position:absolute;left:0;text-align:left;margin-left:268.2pt;margin-top:17.4pt;width:0;height:117.75pt;flip:y;z-index:251874816" o:connectortype="straight">
            <v:stroke endarrow="block"/>
          </v:shape>
        </w:pict>
      </w:r>
      <w:r>
        <w:rPr>
          <w:rFonts w:ascii="Times New Roman" w:hAnsi="Times New Roman"/>
          <w:noProof/>
          <w:sz w:val="24"/>
          <w:szCs w:val="24"/>
        </w:rPr>
        <w:pict>
          <v:shape id="_x0000_s1554" type="#_x0000_t32" style="position:absolute;left:0;text-align:left;margin-left:19.95pt;margin-top:21.15pt;width:0;height:108.75pt;flip:y;z-index:251872768" o:connectortype="straight">
            <v:stroke endarrow="block"/>
          </v:shape>
        </w:pict>
      </w:r>
      <w:r w:rsidR="001E6839">
        <w:rPr>
          <w:rFonts w:ascii="Times New Roman" w:hAnsi="Times New Roman"/>
          <w:sz w:val="24"/>
          <w:szCs w:val="24"/>
          <w:lang w:val="sr-Cyrl-CS"/>
        </w:rPr>
        <w:t>цена                                                                             цена</w:t>
      </w:r>
    </w:p>
    <w:p w:rsidR="001E6839" w:rsidRDefault="001E6839" w:rsidP="001E6839">
      <w:pPr>
        <w:ind w:firstLine="360"/>
        <w:jc w:val="both"/>
        <w:rPr>
          <w:rFonts w:ascii="Times New Roman" w:hAnsi="Times New Roman"/>
          <w:sz w:val="24"/>
          <w:szCs w:val="24"/>
          <w:lang w:val="sr-Cyrl-CS"/>
        </w:rPr>
      </w:pPr>
    </w:p>
    <w:p w:rsidR="001E6839" w:rsidRDefault="00616181" w:rsidP="001E6839">
      <w:pPr>
        <w:ind w:firstLine="360"/>
        <w:jc w:val="both"/>
        <w:rPr>
          <w:rFonts w:ascii="Times New Roman" w:hAnsi="Times New Roman"/>
          <w:sz w:val="24"/>
          <w:szCs w:val="24"/>
          <w:lang w:val="sr-Cyrl-CS"/>
        </w:rPr>
      </w:pPr>
      <w:r>
        <w:rPr>
          <w:rFonts w:ascii="Times New Roman" w:hAnsi="Times New Roman"/>
          <w:noProof/>
          <w:sz w:val="24"/>
          <w:szCs w:val="24"/>
        </w:rPr>
        <w:pict>
          <v:shape id="_x0000_s1557" type="#_x0000_t32" style="position:absolute;left:0;text-align:left;margin-left:100.2pt;margin-top:5.4pt;width:.75pt;height:72.75pt;flip:y;z-index:251875840" o:connectortype="straight"/>
        </w:pict>
      </w:r>
    </w:p>
    <w:p w:rsidR="001E6839" w:rsidRDefault="00616181" w:rsidP="001E6839">
      <w:pPr>
        <w:ind w:firstLine="360"/>
        <w:jc w:val="both"/>
        <w:rPr>
          <w:rFonts w:ascii="Times New Roman" w:hAnsi="Times New Roman"/>
          <w:sz w:val="24"/>
          <w:szCs w:val="24"/>
          <w:lang w:val="sr-Cyrl-CS"/>
        </w:rPr>
      </w:pPr>
      <w:r>
        <w:rPr>
          <w:rFonts w:ascii="Times New Roman" w:hAnsi="Times New Roman"/>
          <w:noProof/>
          <w:sz w:val="24"/>
          <w:szCs w:val="24"/>
        </w:rPr>
        <w:pict>
          <v:shape id="_x0000_s1558" type="#_x0000_t32" style="position:absolute;left:0;text-align:left;margin-left:268.2pt;margin-top:18.55pt;width:108.75pt;height:.75pt;flip:y;z-index:251876864" o:connectortype="straight"/>
        </w:pict>
      </w:r>
      <w:r w:rsidR="001E6839">
        <w:rPr>
          <w:rFonts w:ascii="Times New Roman" w:hAnsi="Times New Roman"/>
          <w:sz w:val="24"/>
          <w:szCs w:val="24"/>
          <w:lang w:val="sr-Cyrl-CS"/>
        </w:rPr>
        <w:t xml:space="preserve">                             Е=0                                                   Е=бесконачно</w:t>
      </w:r>
    </w:p>
    <w:p w:rsidR="001E6839" w:rsidRDefault="001E6839" w:rsidP="001E6839">
      <w:pPr>
        <w:ind w:firstLine="360"/>
        <w:jc w:val="both"/>
        <w:rPr>
          <w:rFonts w:ascii="Times New Roman" w:hAnsi="Times New Roman"/>
          <w:sz w:val="24"/>
          <w:szCs w:val="24"/>
          <w:lang w:val="sr-Cyrl-CS"/>
        </w:rPr>
      </w:pPr>
    </w:p>
    <w:p w:rsidR="001E6839" w:rsidRDefault="00616181" w:rsidP="001E6839">
      <w:pPr>
        <w:ind w:firstLine="360"/>
        <w:jc w:val="both"/>
        <w:rPr>
          <w:rFonts w:ascii="Times New Roman" w:hAnsi="Times New Roman"/>
          <w:sz w:val="24"/>
          <w:szCs w:val="24"/>
        </w:rPr>
      </w:pPr>
      <w:r>
        <w:rPr>
          <w:rFonts w:ascii="Times New Roman" w:hAnsi="Times New Roman"/>
          <w:noProof/>
          <w:sz w:val="24"/>
          <w:szCs w:val="24"/>
        </w:rPr>
        <w:pict>
          <v:shape id="_x0000_s1555" type="#_x0000_t32" style="position:absolute;left:0;text-align:left;margin-left:268.2pt;margin-top:5.05pt;width:125.25pt;height:0;z-index:251873792" o:connectortype="straight">
            <v:stroke endarrow="block"/>
          </v:shape>
        </w:pict>
      </w:r>
      <w:r>
        <w:rPr>
          <w:rFonts w:ascii="Times New Roman" w:hAnsi="Times New Roman"/>
          <w:noProof/>
          <w:sz w:val="24"/>
          <w:szCs w:val="24"/>
        </w:rPr>
        <w:pict>
          <v:shape id="_x0000_s1553" type="#_x0000_t32" style="position:absolute;left:0;text-align:left;margin-left:19.95pt;margin-top:5.05pt;width:135pt;height:.75pt;z-index:251871744" o:connectortype="straight">
            <v:stroke endarrow="block"/>
          </v:shape>
        </w:pict>
      </w:r>
      <w:r w:rsidR="001E6839">
        <w:rPr>
          <w:rFonts w:ascii="Times New Roman" w:hAnsi="Times New Roman"/>
          <w:sz w:val="24"/>
          <w:szCs w:val="24"/>
          <w:lang w:val="sr-Cyrl-CS"/>
        </w:rPr>
        <w:t xml:space="preserve">                                                                 </w:t>
      </w:r>
      <w:r w:rsidR="001E6839">
        <w:rPr>
          <w:rFonts w:ascii="Times New Roman" w:hAnsi="Times New Roman"/>
          <w:sz w:val="24"/>
          <w:szCs w:val="24"/>
        </w:rPr>
        <w:t xml:space="preserve">         </w:t>
      </w:r>
    </w:p>
    <w:p w:rsidR="001E6839" w:rsidRPr="00E048EB" w:rsidRDefault="001E6839" w:rsidP="001E6839">
      <w:pPr>
        <w:ind w:firstLine="360"/>
        <w:jc w:val="both"/>
        <w:rPr>
          <w:rFonts w:ascii="Times New Roman" w:hAnsi="Times New Roman"/>
          <w:b/>
          <w:sz w:val="24"/>
          <w:szCs w:val="24"/>
          <w:lang w:val="sr-Cyrl-CS"/>
        </w:rPr>
      </w:pPr>
      <w:r w:rsidRPr="00E048EB">
        <w:rPr>
          <w:rFonts w:ascii="Times New Roman" w:hAnsi="Times New Roman"/>
          <w:b/>
          <w:sz w:val="24"/>
          <w:szCs w:val="24"/>
        </w:rPr>
        <w:t xml:space="preserve">  </w:t>
      </w:r>
      <w:r w:rsidRPr="00E048EB">
        <w:rPr>
          <w:rFonts w:ascii="Times New Roman" w:hAnsi="Times New Roman"/>
          <w:b/>
          <w:sz w:val="24"/>
          <w:szCs w:val="24"/>
          <w:lang w:val="sr-Cyrl-CS"/>
        </w:rPr>
        <w:t>Савршено</w:t>
      </w:r>
      <w:r w:rsidRPr="00E048EB">
        <w:rPr>
          <w:rFonts w:ascii="Times New Roman" w:hAnsi="Times New Roman"/>
          <w:b/>
          <w:sz w:val="24"/>
          <w:szCs w:val="24"/>
        </w:rPr>
        <w:t xml:space="preserve">  </w:t>
      </w:r>
      <w:r w:rsidRPr="00E048EB">
        <w:rPr>
          <w:rFonts w:ascii="Times New Roman" w:hAnsi="Times New Roman"/>
          <w:b/>
          <w:sz w:val="24"/>
          <w:szCs w:val="24"/>
          <w:lang w:val="sr-Cyrl-CS"/>
        </w:rPr>
        <w:t>нееластична понуда</w:t>
      </w:r>
      <w:r w:rsidRPr="00E048EB">
        <w:rPr>
          <w:rFonts w:ascii="Times New Roman" w:hAnsi="Times New Roman"/>
          <w:b/>
          <w:sz w:val="24"/>
          <w:szCs w:val="24"/>
        </w:rPr>
        <w:t xml:space="preserve">                            </w:t>
      </w:r>
      <w:r w:rsidRPr="00E048EB">
        <w:rPr>
          <w:rFonts w:ascii="Times New Roman" w:hAnsi="Times New Roman"/>
          <w:b/>
          <w:sz w:val="24"/>
          <w:szCs w:val="24"/>
          <w:lang w:val="sr-Cyrl-CS"/>
        </w:rPr>
        <w:t>Савршено еластична понуда</w:t>
      </w:r>
    </w:p>
    <w:p w:rsidR="001E6839" w:rsidRDefault="001E6839" w:rsidP="001E6839">
      <w:pPr>
        <w:ind w:firstLine="360"/>
        <w:jc w:val="both"/>
        <w:rPr>
          <w:rFonts w:ascii="Times New Roman" w:hAnsi="Times New Roman"/>
          <w:sz w:val="24"/>
          <w:szCs w:val="24"/>
          <w:lang w:val="sr-Cyrl-CS"/>
        </w:rPr>
      </w:pPr>
    </w:p>
    <w:p w:rsidR="001E6839" w:rsidRDefault="001E6839" w:rsidP="001E6839">
      <w:pPr>
        <w:ind w:firstLine="360"/>
        <w:jc w:val="both"/>
        <w:rPr>
          <w:rFonts w:ascii="Times New Roman" w:hAnsi="Times New Roman"/>
          <w:sz w:val="24"/>
          <w:szCs w:val="24"/>
          <w:lang w:val="sr-Cyrl-CS"/>
        </w:rPr>
      </w:pPr>
    </w:p>
    <w:p w:rsidR="001E6839" w:rsidRDefault="001E6839" w:rsidP="001E6839">
      <w:pPr>
        <w:ind w:firstLine="360"/>
        <w:jc w:val="both"/>
        <w:rPr>
          <w:rFonts w:ascii="Times New Roman" w:hAnsi="Times New Roman"/>
          <w:sz w:val="24"/>
          <w:szCs w:val="24"/>
          <w:lang w:val="sr-Cyrl-CS"/>
        </w:rPr>
      </w:pPr>
      <w:r>
        <w:rPr>
          <w:rFonts w:ascii="Times New Roman" w:hAnsi="Times New Roman"/>
          <w:sz w:val="24"/>
          <w:szCs w:val="24"/>
          <w:lang w:val="sr-Cyrl-CS"/>
        </w:rPr>
        <w:lastRenderedPageBreak/>
        <w:t xml:space="preserve">Савршено еластична понуда се приказује кривом која је ближа апсциси, док се савршено нееластична понуда приказује кривом која је ближа ординати. </w:t>
      </w:r>
    </w:p>
    <w:p w:rsidR="001E6839" w:rsidRDefault="001E6839" w:rsidP="001E6839">
      <w:pPr>
        <w:jc w:val="both"/>
        <w:rPr>
          <w:rFonts w:ascii="Times New Roman" w:hAnsi="Times New Roman"/>
          <w:sz w:val="24"/>
          <w:szCs w:val="24"/>
        </w:rPr>
      </w:pPr>
    </w:p>
    <w:p w:rsidR="001E6839" w:rsidRPr="00913416" w:rsidRDefault="00285F34" w:rsidP="00285F34">
      <w:pPr>
        <w:pStyle w:val="ListParagraph"/>
        <w:ind w:firstLine="696"/>
        <w:rPr>
          <w:rFonts w:ascii="Times New Roman" w:hAnsi="Times New Roman"/>
          <w:b/>
          <w:sz w:val="24"/>
          <w:szCs w:val="24"/>
        </w:rPr>
      </w:pPr>
      <w:r>
        <w:rPr>
          <w:rFonts w:ascii="Times New Roman" w:hAnsi="Times New Roman"/>
          <w:b/>
          <w:sz w:val="24"/>
          <w:szCs w:val="24"/>
          <w:lang w:val="sr-Cyrl-CS"/>
        </w:rPr>
        <w:t>3.3.</w:t>
      </w:r>
      <w:r w:rsidR="001E6839">
        <w:rPr>
          <w:rFonts w:ascii="Times New Roman" w:hAnsi="Times New Roman"/>
          <w:b/>
          <w:sz w:val="24"/>
          <w:szCs w:val="24"/>
          <w:lang w:val="sr-Cyrl-CS"/>
        </w:rPr>
        <w:t>Сива економија и избегавање плаћања пореза</w:t>
      </w:r>
    </w:p>
    <w:p w:rsidR="001E6839" w:rsidRPr="00FE215E" w:rsidRDefault="001E6839" w:rsidP="001E6839">
      <w:pPr>
        <w:pStyle w:val="ListParagraph"/>
        <w:ind w:left="1069"/>
        <w:rPr>
          <w:rFonts w:ascii="Times New Roman" w:hAnsi="Times New Roman"/>
          <w:b/>
          <w:sz w:val="24"/>
          <w:szCs w:val="24"/>
        </w:rPr>
      </w:pPr>
    </w:p>
    <w:p w:rsidR="001E6839" w:rsidRPr="00FE215E" w:rsidRDefault="001E6839" w:rsidP="001E6839">
      <w:pPr>
        <w:pStyle w:val="ListParagraph"/>
        <w:ind w:left="1069"/>
        <w:rPr>
          <w:rFonts w:ascii="Times New Roman" w:hAnsi="Times New Roman"/>
          <w:b/>
          <w:sz w:val="24"/>
          <w:szCs w:val="24"/>
        </w:rPr>
      </w:pPr>
    </w:p>
    <w:p w:rsidR="001E6839" w:rsidRDefault="001E6839" w:rsidP="001E6839">
      <w:pPr>
        <w:ind w:firstLine="708"/>
        <w:jc w:val="both"/>
        <w:rPr>
          <w:rFonts w:ascii="Times New Roman" w:hAnsi="Times New Roman"/>
          <w:sz w:val="24"/>
          <w:szCs w:val="24"/>
          <w:lang w:val="sr-Cyrl-CS"/>
        </w:rPr>
      </w:pPr>
      <w:r>
        <w:rPr>
          <w:rFonts w:ascii="Times New Roman" w:hAnsi="Times New Roman"/>
          <w:sz w:val="24"/>
          <w:szCs w:val="24"/>
          <w:lang w:val="sr-Cyrl-CS"/>
        </w:rPr>
        <w:t>Избегавање плаћања пореза представља последицу сиве економије која је  пратилац свих привреда и свих привредних делатности. Сива економија потпомогнута корупцијом посебно је заступљена у земљама у транзицији.</w:t>
      </w:r>
    </w:p>
    <w:p w:rsidR="001E6839" w:rsidRDefault="001E6839" w:rsidP="001E6839">
      <w:pPr>
        <w:ind w:firstLine="708"/>
        <w:jc w:val="both"/>
        <w:rPr>
          <w:rFonts w:ascii="Times New Roman" w:hAnsi="Times New Roman"/>
          <w:sz w:val="24"/>
          <w:szCs w:val="24"/>
          <w:lang w:val="sr-Cyrl-CS"/>
        </w:rPr>
      </w:pPr>
      <w:r>
        <w:rPr>
          <w:rFonts w:ascii="Times New Roman" w:hAnsi="Times New Roman"/>
          <w:sz w:val="24"/>
          <w:szCs w:val="24"/>
          <w:lang w:val="sr-Cyrl-CS"/>
        </w:rPr>
        <w:t xml:space="preserve">Не постоји јединствена дефиниција сиве економије у литератури. Не постоји ни јединствен назив. За овај феномен различити аутори у домаћој литератури користе разне називе попут, црна, скривена, у сенци, илегална економија и сл., а у страној литератури изразе попут: Informal, Grey, Underground, Parallel и сл. Неки аутори сиву економију називају неопорезована економија. </w:t>
      </w:r>
    </w:p>
    <w:p w:rsidR="001E6839" w:rsidRDefault="001E6839" w:rsidP="001E6839">
      <w:pPr>
        <w:ind w:firstLine="708"/>
        <w:jc w:val="both"/>
        <w:rPr>
          <w:rFonts w:ascii="Times New Roman" w:hAnsi="Times New Roman"/>
          <w:sz w:val="24"/>
          <w:szCs w:val="24"/>
          <w:lang w:val="sr-Cyrl-CS"/>
        </w:rPr>
      </w:pPr>
      <w:r>
        <w:rPr>
          <w:rFonts w:ascii="Times New Roman" w:hAnsi="Times New Roman"/>
          <w:sz w:val="24"/>
          <w:szCs w:val="24"/>
          <w:lang w:val="sr-Cyrl-CS"/>
        </w:rPr>
        <w:t xml:space="preserve">Али, без  обзира који од наведених термина користе поједини аутори, </w:t>
      </w:r>
      <w:r w:rsidR="003B1BCB">
        <w:rPr>
          <w:rFonts w:ascii="Times New Roman" w:hAnsi="Times New Roman"/>
          <w:sz w:val="24"/>
          <w:szCs w:val="24"/>
          <w:lang w:val="sr-Cyrl-CS"/>
        </w:rPr>
        <w:t>скоро да</w:t>
      </w:r>
      <w:r>
        <w:rPr>
          <w:rFonts w:ascii="Times New Roman" w:hAnsi="Times New Roman"/>
          <w:sz w:val="24"/>
          <w:szCs w:val="24"/>
          <w:lang w:val="sr-Cyrl-CS"/>
        </w:rPr>
        <w:t xml:space="preserve"> су сви сагласни да </w:t>
      </w:r>
      <w:r w:rsidR="003B1BCB">
        <w:rPr>
          <w:rFonts w:ascii="Times New Roman" w:hAnsi="Times New Roman"/>
          <w:sz w:val="24"/>
          <w:szCs w:val="24"/>
          <w:lang w:val="sr-Cyrl-CS"/>
        </w:rPr>
        <w:t xml:space="preserve">је овде реч </w:t>
      </w:r>
      <w:r>
        <w:rPr>
          <w:rFonts w:ascii="Times New Roman" w:hAnsi="Times New Roman"/>
          <w:sz w:val="24"/>
          <w:szCs w:val="24"/>
          <w:lang w:val="sr-Cyrl-CS"/>
        </w:rPr>
        <w:t xml:space="preserve">о активностима са којима нешто није у реду или </w:t>
      </w:r>
      <w:r w:rsidR="003B1BCB">
        <w:rPr>
          <w:rFonts w:ascii="Times New Roman" w:hAnsi="Times New Roman"/>
          <w:sz w:val="24"/>
          <w:szCs w:val="24"/>
          <w:lang w:val="sr-Cyrl-CS"/>
        </w:rPr>
        <w:t xml:space="preserve">нешто </w:t>
      </w:r>
      <w:r>
        <w:rPr>
          <w:rFonts w:ascii="Times New Roman" w:hAnsi="Times New Roman"/>
          <w:sz w:val="24"/>
          <w:szCs w:val="24"/>
          <w:lang w:val="sr-Cyrl-CS"/>
        </w:rPr>
        <w:t xml:space="preserve">није у реду у вези са информацијама о </w:t>
      </w:r>
      <w:r w:rsidR="003B1BCB">
        <w:rPr>
          <w:rFonts w:ascii="Times New Roman" w:hAnsi="Times New Roman"/>
          <w:sz w:val="24"/>
          <w:szCs w:val="24"/>
          <w:lang w:val="sr-Cyrl-CS"/>
        </w:rPr>
        <w:t>тим</w:t>
      </w:r>
      <w:r>
        <w:rPr>
          <w:rFonts w:ascii="Times New Roman" w:hAnsi="Times New Roman"/>
          <w:sz w:val="24"/>
          <w:szCs w:val="24"/>
          <w:lang w:val="sr-Cyrl-CS"/>
        </w:rPr>
        <w:t xml:space="preserve"> активностима.</w:t>
      </w:r>
      <w:r>
        <w:rPr>
          <w:rStyle w:val="FootnoteReference"/>
          <w:rFonts w:ascii="Times New Roman" w:hAnsi="Times New Roman"/>
          <w:sz w:val="24"/>
          <w:szCs w:val="24"/>
          <w:lang w:val="sr-Cyrl-CS"/>
        </w:rPr>
        <w:footnoteReference w:id="110"/>
      </w:r>
      <w:r>
        <w:rPr>
          <w:rFonts w:ascii="Times New Roman" w:hAnsi="Times New Roman"/>
          <w:sz w:val="24"/>
          <w:szCs w:val="24"/>
          <w:lang w:val="sr-Cyrl-CS"/>
        </w:rPr>
        <w:t xml:space="preserve"> </w:t>
      </w:r>
      <w:r w:rsidR="00701484">
        <w:rPr>
          <w:rFonts w:ascii="Times New Roman" w:hAnsi="Times New Roman"/>
          <w:sz w:val="24"/>
          <w:szCs w:val="24"/>
          <w:lang w:val="sr-Cyrl-CS"/>
        </w:rPr>
        <w:t>Оно што је заједничко овим активностима је</w:t>
      </w:r>
      <w:r>
        <w:rPr>
          <w:rFonts w:ascii="Times New Roman" w:hAnsi="Times New Roman"/>
          <w:sz w:val="24"/>
          <w:szCs w:val="24"/>
          <w:lang w:val="sr-Cyrl-CS"/>
        </w:rPr>
        <w:t xml:space="preserve"> да су противзаконите </w:t>
      </w:r>
      <w:r w:rsidR="00701484">
        <w:rPr>
          <w:rFonts w:ascii="Times New Roman" w:hAnsi="Times New Roman"/>
          <w:sz w:val="24"/>
          <w:szCs w:val="24"/>
          <w:lang w:val="sr-Cyrl-CS"/>
        </w:rPr>
        <w:t>и да имају циљ</w:t>
      </w:r>
      <w:r>
        <w:rPr>
          <w:rFonts w:ascii="Times New Roman" w:hAnsi="Times New Roman"/>
          <w:sz w:val="24"/>
          <w:szCs w:val="24"/>
          <w:lang w:val="sr-Cyrl-CS"/>
        </w:rPr>
        <w:t xml:space="preserve"> да не буду откривене, као и стицање економске користи. Овакве активности </w:t>
      </w:r>
      <w:r w:rsidR="00701484">
        <w:rPr>
          <w:rFonts w:ascii="Times New Roman" w:hAnsi="Times New Roman"/>
          <w:sz w:val="24"/>
          <w:szCs w:val="24"/>
          <w:lang w:val="sr-Cyrl-CS"/>
        </w:rPr>
        <w:t xml:space="preserve">су штетне јер </w:t>
      </w:r>
      <w:r>
        <w:rPr>
          <w:rFonts w:ascii="Times New Roman" w:hAnsi="Times New Roman"/>
          <w:sz w:val="24"/>
          <w:szCs w:val="24"/>
          <w:lang w:val="sr-Cyrl-CS"/>
        </w:rPr>
        <w:t>озбиљно ремете основни порески принцип сношења пореског те</w:t>
      </w:r>
      <w:r w:rsidR="00701484">
        <w:rPr>
          <w:rFonts w:ascii="Times New Roman" w:hAnsi="Times New Roman"/>
          <w:sz w:val="24"/>
          <w:szCs w:val="24"/>
          <w:lang w:val="sr-Cyrl-CS"/>
        </w:rPr>
        <w:t>рета сразмерно економској снази</w:t>
      </w:r>
      <w:r>
        <w:rPr>
          <w:rFonts w:ascii="Times New Roman" w:hAnsi="Times New Roman"/>
          <w:sz w:val="24"/>
          <w:szCs w:val="24"/>
          <w:lang w:val="sr-Cyrl-CS"/>
        </w:rPr>
        <w:t>.</w:t>
      </w:r>
      <w:r>
        <w:rPr>
          <w:rStyle w:val="FootnoteReference"/>
          <w:rFonts w:ascii="Times New Roman" w:hAnsi="Times New Roman"/>
          <w:sz w:val="24"/>
          <w:szCs w:val="24"/>
          <w:lang w:val="sr-Cyrl-CS"/>
        </w:rPr>
        <w:footnoteReference w:id="111"/>
      </w:r>
      <w:r>
        <w:rPr>
          <w:rFonts w:ascii="Times New Roman" w:hAnsi="Times New Roman"/>
          <w:sz w:val="24"/>
          <w:szCs w:val="24"/>
          <w:lang w:val="sr-Cyrl-CS"/>
        </w:rPr>
        <w:t xml:space="preserve"> Сива економија се јавља у веома рзличитим делатностима као што је промет непокретности, грађевинарство, радни односи, промет роба и услуга и сл.</w:t>
      </w:r>
    </w:p>
    <w:p w:rsidR="001E6839" w:rsidRDefault="00B05BAF" w:rsidP="001E6839">
      <w:pPr>
        <w:ind w:firstLine="708"/>
        <w:jc w:val="both"/>
        <w:rPr>
          <w:rFonts w:ascii="Times New Roman" w:hAnsi="Times New Roman"/>
          <w:sz w:val="24"/>
          <w:szCs w:val="24"/>
          <w:lang w:val="sr-Cyrl-CS"/>
        </w:rPr>
      </w:pPr>
      <w:r>
        <w:rPr>
          <w:rFonts w:ascii="Times New Roman" w:hAnsi="Times New Roman"/>
          <w:sz w:val="24"/>
          <w:szCs w:val="24"/>
          <w:lang w:val="sr-Cyrl-CS"/>
        </w:rPr>
        <w:t xml:space="preserve">Један од главних разлога за постојање овог феномена је незаконита пореска евазија. </w:t>
      </w:r>
      <w:r w:rsidR="001E6839">
        <w:rPr>
          <w:rFonts w:ascii="Times New Roman" w:hAnsi="Times New Roman"/>
          <w:sz w:val="24"/>
          <w:szCs w:val="24"/>
          <w:lang w:val="sr-Cyrl-CS"/>
        </w:rPr>
        <w:t xml:space="preserve">У најширем смислу, сива економија </w:t>
      </w:r>
      <w:r>
        <w:rPr>
          <w:rFonts w:ascii="Times New Roman" w:hAnsi="Times New Roman"/>
          <w:sz w:val="24"/>
          <w:szCs w:val="24"/>
          <w:lang w:val="sr-Cyrl-CS"/>
        </w:rPr>
        <w:t>се може схватити као свака противзаконита привредна активност усмерена</w:t>
      </w:r>
      <w:r w:rsidR="001E6839">
        <w:rPr>
          <w:rFonts w:ascii="Times New Roman" w:hAnsi="Times New Roman"/>
          <w:sz w:val="24"/>
          <w:szCs w:val="24"/>
          <w:lang w:val="sr-Cyrl-CS"/>
        </w:rPr>
        <w:t xml:space="preserve"> на стицање економске користи за лице које је обавља, а на штету фискуса и по правилу других лица која легално обављају делатност.</w:t>
      </w:r>
      <w:r w:rsidR="001E6839">
        <w:rPr>
          <w:rStyle w:val="FootnoteReference"/>
          <w:rFonts w:ascii="Times New Roman" w:hAnsi="Times New Roman"/>
          <w:sz w:val="24"/>
          <w:szCs w:val="24"/>
          <w:lang w:val="sr-Cyrl-CS"/>
        </w:rPr>
        <w:footnoteReference w:id="112"/>
      </w:r>
      <w:r w:rsidR="001E6839">
        <w:rPr>
          <w:rFonts w:ascii="Times New Roman" w:hAnsi="Times New Roman"/>
          <w:sz w:val="24"/>
          <w:szCs w:val="24"/>
          <w:lang w:val="sr-Cyrl-CS"/>
        </w:rPr>
        <w:t xml:space="preserve"> Сива економија у свим земљама односи велики део друштвеног производа, а она је најзначајнији модалитет евазије пореза. Црно тржиште конкурише легалном тржишту и доводи до повољнијег економског положаја оних који избегавају плаћање пореза, до хоризонталне неједнакости, смањења државних прихода и буџетског дефицита, а њена последица је и стварање слоја тзв. „нових богаташа“ који свој висок стандард дугују управо сивој економији и корупцији. Али често сива економија осигурава социјални мир. Због постојања избегавања плаћања пореза држава мора одлучити између виших пореских прихода и социјалног мира.</w:t>
      </w:r>
    </w:p>
    <w:p w:rsidR="001E6839" w:rsidRPr="00534260" w:rsidRDefault="001E6839" w:rsidP="001E6839">
      <w:pPr>
        <w:ind w:firstLine="708"/>
        <w:jc w:val="both"/>
        <w:rPr>
          <w:rFonts w:ascii="Times New Roman" w:hAnsi="Times New Roman"/>
          <w:sz w:val="24"/>
          <w:szCs w:val="24"/>
          <w:lang w:val="sr-Cyrl-CS"/>
        </w:rPr>
      </w:pPr>
      <w:r>
        <w:rPr>
          <w:rFonts w:ascii="Times New Roman" w:hAnsi="Times New Roman"/>
          <w:sz w:val="24"/>
          <w:szCs w:val="24"/>
          <w:lang w:val="sr-Cyrl-CS"/>
        </w:rPr>
        <w:lastRenderedPageBreak/>
        <w:t>У неким ситуацијама избегавање плаћања пореза није узрок него последица обављања нелегалних активности. На пример у случају рада „на црно“ непријављивање радника и дохотка доводи до избегавања пореза на зараде и друге приходе и доприноса за социјално осигурање. Дакле, избегавање једних обавеза, повлачи за собом избегавање других обавеза.</w:t>
      </w:r>
    </w:p>
    <w:p w:rsidR="001E6839" w:rsidRPr="00446D74" w:rsidRDefault="001E6839" w:rsidP="001E6839">
      <w:pPr>
        <w:jc w:val="both"/>
        <w:rPr>
          <w:rFonts w:ascii="Times New Roman" w:hAnsi="Times New Roman"/>
          <w:sz w:val="24"/>
          <w:szCs w:val="24"/>
          <w:lang w:val="sr-Cyrl-CS"/>
        </w:rPr>
      </w:pPr>
      <w:r>
        <w:rPr>
          <w:rFonts w:ascii="Times New Roman" w:hAnsi="Times New Roman"/>
          <w:sz w:val="24"/>
          <w:szCs w:val="24"/>
          <w:lang w:val="sr-Cyrl-CS"/>
        </w:rPr>
        <w:t xml:space="preserve"> </w:t>
      </w:r>
      <w:r>
        <w:rPr>
          <w:rFonts w:ascii="Times New Roman" w:hAnsi="Times New Roman"/>
          <w:sz w:val="24"/>
          <w:szCs w:val="24"/>
          <w:lang w:val="sr-Cyrl-CS"/>
        </w:rPr>
        <w:tab/>
        <w:t>Сива економија се појављује у свим областима при</w:t>
      </w:r>
      <w:r w:rsidR="00AE25DC">
        <w:rPr>
          <w:rFonts w:ascii="Times New Roman" w:hAnsi="Times New Roman"/>
          <w:sz w:val="24"/>
          <w:szCs w:val="24"/>
          <w:lang w:val="sr-Cyrl-CS"/>
        </w:rPr>
        <w:t>вредне и непривредне активности, а највише је</w:t>
      </w:r>
      <w:r>
        <w:rPr>
          <w:rFonts w:ascii="Times New Roman" w:hAnsi="Times New Roman"/>
          <w:sz w:val="24"/>
          <w:szCs w:val="24"/>
          <w:lang w:val="sr-Cyrl-CS"/>
        </w:rPr>
        <w:t xml:space="preserve"> </w:t>
      </w:r>
      <w:r w:rsidR="00AE25DC">
        <w:rPr>
          <w:rFonts w:ascii="Times New Roman" w:hAnsi="Times New Roman"/>
          <w:sz w:val="24"/>
          <w:szCs w:val="24"/>
          <w:lang w:val="sr-Cyrl-CS"/>
        </w:rPr>
        <w:t>изражена</w:t>
      </w:r>
      <w:r>
        <w:rPr>
          <w:rFonts w:ascii="Times New Roman" w:hAnsi="Times New Roman"/>
          <w:sz w:val="24"/>
          <w:szCs w:val="24"/>
          <w:lang w:val="sr-Cyrl-CS"/>
        </w:rPr>
        <w:t xml:space="preserve"> у областима:</w:t>
      </w:r>
      <w:r w:rsidR="00AE25DC">
        <w:rPr>
          <w:rStyle w:val="FootnoteReference"/>
          <w:rFonts w:ascii="Times New Roman" w:hAnsi="Times New Roman"/>
          <w:sz w:val="24"/>
          <w:szCs w:val="24"/>
          <w:lang w:val="sr-Cyrl-CS"/>
        </w:rPr>
        <w:footnoteReference w:id="113"/>
      </w:r>
      <w:r>
        <w:rPr>
          <w:rFonts w:ascii="Times New Roman" w:hAnsi="Times New Roman"/>
          <w:sz w:val="24"/>
          <w:szCs w:val="24"/>
          <w:lang w:val="sr-Cyrl-CS"/>
        </w:rPr>
        <w:t xml:space="preserve"> </w:t>
      </w:r>
      <w:r w:rsidR="00AE25DC">
        <w:rPr>
          <w:rFonts w:ascii="Times New Roman" w:hAnsi="Times New Roman"/>
          <w:sz w:val="24"/>
          <w:szCs w:val="24"/>
          <w:lang w:val="sr-Cyrl-CS"/>
        </w:rPr>
        <w:t>банкарског пословања</w:t>
      </w:r>
      <w:r>
        <w:rPr>
          <w:rFonts w:ascii="Times New Roman" w:hAnsi="Times New Roman"/>
          <w:sz w:val="24"/>
          <w:szCs w:val="24"/>
          <w:lang w:val="sr-Cyrl-CS"/>
        </w:rPr>
        <w:t xml:space="preserve">, платног промета, кредитно-монетарног система, </w:t>
      </w:r>
      <w:r w:rsidR="00AE25DC">
        <w:rPr>
          <w:rFonts w:ascii="Times New Roman" w:hAnsi="Times New Roman"/>
          <w:sz w:val="24"/>
          <w:szCs w:val="24"/>
          <w:lang w:val="sr-Cyrl-CS"/>
        </w:rPr>
        <w:t>промета роба и услуга</w:t>
      </w:r>
      <w:r>
        <w:rPr>
          <w:rFonts w:ascii="Times New Roman" w:hAnsi="Times New Roman"/>
          <w:sz w:val="24"/>
          <w:szCs w:val="24"/>
          <w:lang w:val="sr-Cyrl-CS"/>
        </w:rPr>
        <w:t>, тржишта рада, грађевинарства,</w:t>
      </w:r>
      <w:r w:rsidR="00AE25DC">
        <w:rPr>
          <w:rFonts w:ascii="Times New Roman" w:hAnsi="Times New Roman"/>
          <w:sz w:val="24"/>
          <w:szCs w:val="24"/>
          <w:lang w:val="sr-Cyrl-CS"/>
        </w:rPr>
        <w:t xml:space="preserve"> стамбено комуналној делатности </w:t>
      </w:r>
      <w:r>
        <w:rPr>
          <w:rFonts w:ascii="Times New Roman" w:hAnsi="Times New Roman"/>
          <w:sz w:val="24"/>
          <w:szCs w:val="24"/>
          <w:lang w:val="sr-Cyrl-CS"/>
        </w:rPr>
        <w:t>и у области промета непокретности.</w:t>
      </w:r>
      <w:r w:rsidR="00AE25DC">
        <w:rPr>
          <w:rFonts w:ascii="Times New Roman" w:hAnsi="Times New Roman"/>
          <w:sz w:val="24"/>
          <w:szCs w:val="24"/>
          <w:lang w:val="sr-Cyrl-CS"/>
        </w:rPr>
        <w:t xml:space="preserve"> У области кредитно-монетарног система појавни </w:t>
      </w:r>
      <w:r w:rsidR="004A1EC6">
        <w:rPr>
          <w:rFonts w:ascii="Times New Roman" w:hAnsi="Times New Roman"/>
          <w:sz w:val="24"/>
          <w:szCs w:val="24"/>
          <w:lang w:val="sr-Cyrl-CS"/>
        </w:rPr>
        <w:t xml:space="preserve">облици </w:t>
      </w:r>
      <w:r w:rsidR="00AE25DC">
        <w:rPr>
          <w:rFonts w:ascii="Times New Roman" w:hAnsi="Times New Roman"/>
          <w:sz w:val="24"/>
          <w:szCs w:val="24"/>
          <w:lang w:val="sr-Cyrl-CS"/>
        </w:rPr>
        <w:t xml:space="preserve">сиве економије су: нерегистровано уношење и изношење девиза из иностранства и у иностранство, „штицовање“ девиза, давање кредита уз скривену цену или са зарачунатим банкарским трошковима, или ван банкарског система, ненаменско трошење кредита и сл. </w:t>
      </w:r>
      <w:r>
        <w:rPr>
          <w:rFonts w:ascii="Times New Roman" w:hAnsi="Times New Roman"/>
          <w:sz w:val="24"/>
          <w:szCs w:val="24"/>
          <w:lang w:val="sr-Cyrl-CS"/>
        </w:rPr>
        <w:t xml:space="preserve">У области платног промета најчешћи </w:t>
      </w:r>
      <w:r w:rsidR="00AE25DC">
        <w:rPr>
          <w:rFonts w:ascii="Times New Roman" w:hAnsi="Times New Roman"/>
          <w:sz w:val="24"/>
          <w:szCs w:val="24"/>
          <w:lang w:val="sr-Cyrl-CS"/>
        </w:rPr>
        <w:t xml:space="preserve">појавни облици сиве економије </w:t>
      </w:r>
      <w:r>
        <w:rPr>
          <w:rFonts w:ascii="Times New Roman" w:hAnsi="Times New Roman"/>
          <w:sz w:val="24"/>
          <w:szCs w:val="24"/>
          <w:lang w:val="sr-Cyrl-CS"/>
        </w:rPr>
        <w:t xml:space="preserve">су: стварање нелегалног тржишта новца ван пословних рачуна, измиривање обавеза путем компензације, асигнације и цесије, супротно прописима, исплата зарада запосленима из дневних пазара и сл. </w:t>
      </w:r>
      <w:r w:rsidR="00AE25DC">
        <w:rPr>
          <w:rFonts w:ascii="Times New Roman" w:hAnsi="Times New Roman"/>
          <w:sz w:val="24"/>
          <w:szCs w:val="24"/>
          <w:lang w:val="sr-Cyrl-CS"/>
        </w:rPr>
        <w:t>Најзначајнији појавни облици сиве економије у области промета роба и услуга су: нелегалан увоз и извоз, стављање у промет робе која није прописно евидентирана, продаја робе без доказа о пореклу и плаћеним дажбинама, формирање двојних цена, неуредно вођење пословних књига, промет робе преко синдикалних организација не недозвољен начин, бесплатно коришћење услуга и сл. У</w:t>
      </w:r>
      <w:r>
        <w:rPr>
          <w:rFonts w:ascii="Times New Roman" w:hAnsi="Times New Roman"/>
          <w:sz w:val="24"/>
          <w:szCs w:val="24"/>
          <w:lang w:val="sr-Cyrl-CS"/>
        </w:rPr>
        <w:t xml:space="preserve"> области тржишта и радних односа </w:t>
      </w:r>
      <w:r w:rsidR="00AE25DC">
        <w:rPr>
          <w:rFonts w:ascii="Times New Roman" w:hAnsi="Times New Roman"/>
          <w:sz w:val="24"/>
          <w:szCs w:val="24"/>
          <w:lang w:val="sr-Cyrl-CS"/>
        </w:rPr>
        <w:t>то је</w:t>
      </w:r>
      <w:r>
        <w:rPr>
          <w:rFonts w:ascii="Times New Roman" w:hAnsi="Times New Roman"/>
          <w:sz w:val="24"/>
          <w:szCs w:val="24"/>
          <w:lang w:val="sr-Cyrl-CS"/>
        </w:rPr>
        <w:t xml:space="preserve"> запошљавање радника на црно и бесправан рад. У области грађевинарства, стамбено-комуналне делатности и промета непокретности, </w:t>
      </w:r>
      <w:r w:rsidR="00AE25DC">
        <w:rPr>
          <w:rFonts w:ascii="Times New Roman" w:hAnsi="Times New Roman"/>
          <w:sz w:val="24"/>
          <w:szCs w:val="24"/>
          <w:lang w:val="sr-Cyrl-CS"/>
        </w:rPr>
        <w:t>сива економија се појављује у следећим облицима</w:t>
      </w:r>
      <w:r>
        <w:rPr>
          <w:rFonts w:ascii="Times New Roman" w:hAnsi="Times New Roman"/>
          <w:sz w:val="24"/>
          <w:szCs w:val="24"/>
          <w:lang w:val="sr-Cyrl-CS"/>
        </w:rPr>
        <w:t>: бесправна градња, располагање заједничким просторијама супротно прописима, шпекулативни откуп друштвених станова, шпекулација код промета непокретности и сл.</w:t>
      </w:r>
    </w:p>
    <w:p w:rsidR="001E6839" w:rsidRPr="00730857" w:rsidRDefault="001E6839" w:rsidP="001E6839">
      <w:pPr>
        <w:ind w:firstLine="708"/>
        <w:jc w:val="both"/>
        <w:rPr>
          <w:rFonts w:ascii="Times New Roman" w:hAnsi="Times New Roman"/>
          <w:sz w:val="24"/>
          <w:szCs w:val="24"/>
          <w:lang w:val="sr-Cyrl-CS"/>
        </w:rPr>
      </w:pPr>
      <w:r w:rsidRPr="00E95EF4">
        <w:rPr>
          <w:rFonts w:ascii="Times New Roman" w:hAnsi="Times New Roman"/>
          <w:sz w:val="24"/>
          <w:szCs w:val="24"/>
          <w:lang w:val="sr-Cyrl-CS"/>
        </w:rPr>
        <w:t xml:space="preserve">Резултати </w:t>
      </w:r>
      <w:r>
        <w:rPr>
          <w:rFonts w:ascii="Times New Roman" w:hAnsi="Times New Roman"/>
          <w:sz w:val="24"/>
          <w:szCs w:val="24"/>
          <w:lang w:val="sr-Cyrl-CS"/>
        </w:rPr>
        <w:t>везани за процене сиве економије у појединим земљама се разликују у зависности од примењене методологије. У Извештају „Пореске реформе у чланицама ЕУ 2012“  у издању Европске комисије се наводи да доступни резултати пружају само наговештај овог проблема, а процењени нивои не треба да се узимају као апсолутни.</w:t>
      </w:r>
      <w:r>
        <w:rPr>
          <w:rStyle w:val="FootnoteReference"/>
          <w:rFonts w:ascii="Times New Roman" w:hAnsi="Times New Roman"/>
          <w:sz w:val="24"/>
          <w:szCs w:val="24"/>
          <w:lang w:val="sr-Cyrl-CS"/>
        </w:rPr>
        <w:footnoteReference w:id="114"/>
      </w:r>
      <w:r>
        <w:rPr>
          <w:rFonts w:ascii="Times New Roman" w:hAnsi="Times New Roman"/>
          <w:sz w:val="24"/>
          <w:szCs w:val="24"/>
          <w:lang w:val="sr-Cyrl-CS"/>
        </w:rPr>
        <w:t xml:space="preserve">  </w:t>
      </w:r>
    </w:p>
    <w:p w:rsidR="001E6839" w:rsidRDefault="001E6839" w:rsidP="001E6839">
      <w:pPr>
        <w:jc w:val="both"/>
        <w:rPr>
          <w:rFonts w:ascii="Times New Roman" w:hAnsi="Times New Roman"/>
          <w:sz w:val="24"/>
          <w:szCs w:val="24"/>
          <w:lang w:val="sr-Cyrl-CS"/>
        </w:rPr>
      </w:pPr>
    </w:p>
    <w:p w:rsidR="008D7BE4" w:rsidRPr="008D7BE4" w:rsidRDefault="008D7BE4" w:rsidP="001E6839">
      <w:pPr>
        <w:jc w:val="both"/>
        <w:rPr>
          <w:rFonts w:ascii="Times New Roman" w:hAnsi="Times New Roman"/>
          <w:sz w:val="24"/>
          <w:szCs w:val="24"/>
          <w:lang w:val="sr-Cyrl-CS"/>
        </w:rPr>
      </w:pPr>
    </w:p>
    <w:p w:rsidR="001E6839" w:rsidRPr="00B436A4" w:rsidRDefault="00A74A8E" w:rsidP="001E6839">
      <w:pPr>
        <w:jc w:val="both"/>
        <w:rPr>
          <w:rFonts w:ascii="Times New Roman" w:hAnsi="Times New Roman"/>
          <w:b/>
          <w:sz w:val="24"/>
          <w:szCs w:val="24"/>
          <w:lang w:val="sr-Cyrl-CS"/>
        </w:rPr>
      </w:pPr>
      <w:r>
        <w:rPr>
          <w:rFonts w:ascii="Times New Roman" w:hAnsi="Times New Roman"/>
          <w:b/>
          <w:sz w:val="24"/>
          <w:szCs w:val="24"/>
          <w:lang w:val="sr-Cyrl-CS"/>
        </w:rPr>
        <w:lastRenderedPageBreak/>
        <w:t>Табела 3</w:t>
      </w:r>
      <w:r w:rsidR="001E6839">
        <w:rPr>
          <w:rFonts w:ascii="Times New Roman" w:hAnsi="Times New Roman"/>
          <w:b/>
          <w:sz w:val="24"/>
          <w:szCs w:val="24"/>
          <w:lang w:val="sr-Cyrl-CS"/>
        </w:rPr>
        <w:t xml:space="preserve">. </w:t>
      </w:r>
      <w:r w:rsidR="001E6839" w:rsidRPr="00B436A4">
        <w:rPr>
          <w:rFonts w:ascii="Times New Roman" w:hAnsi="Times New Roman"/>
          <w:b/>
          <w:sz w:val="24"/>
          <w:szCs w:val="24"/>
          <w:lang w:val="sr-Cyrl-CS"/>
        </w:rPr>
        <w:t>Сива економија 31 земље ЕУ у 2012. год. (% БДП)</w:t>
      </w:r>
      <w:r w:rsidR="001E6839">
        <w:rPr>
          <w:rStyle w:val="FootnoteReference"/>
          <w:rFonts w:ascii="Times New Roman" w:hAnsi="Times New Roman"/>
          <w:b/>
          <w:sz w:val="24"/>
          <w:szCs w:val="24"/>
          <w:lang w:val="sr-Cyrl-CS"/>
        </w:rPr>
        <w:footnoteReference w:id="115"/>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29"/>
        <w:gridCol w:w="1037"/>
        <w:gridCol w:w="1053"/>
        <w:gridCol w:w="1053"/>
        <w:gridCol w:w="1053"/>
        <w:gridCol w:w="1054"/>
        <w:gridCol w:w="1054"/>
        <w:gridCol w:w="1054"/>
      </w:tblGrid>
      <w:tr w:rsidR="001E6839" w:rsidRPr="000D1183" w:rsidTr="00797641">
        <w:tc>
          <w:tcPr>
            <w:tcW w:w="1929" w:type="dxa"/>
          </w:tcPr>
          <w:p w:rsidR="001E6839" w:rsidRPr="000D1183" w:rsidRDefault="001E6839" w:rsidP="00797641">
            <w:pPr>
              <w:pStyle w:val="NoSpacing"/>
              <w:rPr>
                <w:lang w:val="sr-Cyrl-CS"/>
              </w:rPr>
            </w:pPr>
            <w:r w:rsidRPr="000D1183">
              <w:rPr>
                <w:lang w:val="sr-Cyrl-CS"/>
              </w:rPr>
              <w:t>0</w:t>
            </w:r>
            <w:r>
              <w:rPr>
                <w:lang w:val="sr-Cyrl-CS"/>
              </w:rPr>
              <w:t>%</w:t>
            </w:r>
          </w:p>
        </w:tc>
        <w:tc>
          <w:tcPr>
            <w:tcW w:w="1037" w:type="dxa"/>
          </w:tcPr>
          <w:p w:rsidR="001E6839" w:rsidRPr="000D1183" w:rsidRDefault="001E6839" w:rsidP="00797641">
            <w:pPr>
              <w:pStyle w:val="NoSpacing"/>
              <w:rPr>
                <w:lang w:val="sr-Cyrl-CS"/>
              </w:rPr>
            </w:pPr>
            <w:r w:rsidRPr="000D1183">
              <w:rPr>
                <w:lang w:val="sr-Cyrl-CS"/>
              </w:rPr>
              <w:t>5</w:t>
            </w:r>
            <w:r>
              <w:rPr>
                <w:lang w:val="sr-Cyrl-CS"/>
              </w:rPr>
              <w:t>%</w:t>
            </w:r>
          </w:p>
        </w:tc>
        <w:tc>
          <w:tcPr>
            <w:tcW w:w="1053" w:type="dxa"/>
          </w:tcPr>
          <w:p w:rsidR="001E6839" w:rsidRPr="000D1183" w:rsidRDefault="001E6839" w:rsidP="00797641">
            <w:pPr>
              <w:pStyle w:val="NoSpacing"/>
              <w:rPr>
                <w:lang w:val="sr-Cyrl-CS"/>
              </w:rPr>
            </w:pPr>
            <w:r w:rsidRPr="000D1183">
              <w:rPr>
                <w:lang w:val="sr-Cyrl-CS"/>
              </w:rPr>
              <w:t>10</w:t>
            </w:r>
            <w:r>
              <w:rPr>
                <w:lang w:val="sr-Cyrl-CS"/>
              </w:rPr>
              <w:t>%</w:t>
            </w:r>
          </w:p>
        </w:tc>
        <w:tc>
          <w:tcPr>
            <w:tcW w:w="1053" w:type="dxa"/>
          </w:tcPr>
          <w:p w:rsidR="001E6839" w:rsidRPr="000D1183" w:rsidRDefault="001E6839" w:rsidP="00797641">
            <w:pPr>
              <w:pStyle w:val="NoSpacing"/>
              <w:rPr>
                <w:lang w:val="sr-Cyrl-CS"/>
              </w:rPr>
            </w:pPr>
            <w:r w:rsidRPr="000D1183">
              <w:rPr>
                <w:lang w:val="sr-Cyrl-CS"/>
              </w:rPr>
              <w:t>15</w:t>
            </w:r>
            <w:r>
              <w:rPr>
                <w:lang w:val="sr-Cyrl-CS"/>
              </w:rPr>
              <w:t>%</w:t>
            </w:r>
          </w:p>
        </w:tc>
        <w:tc>
          <w:tcPr>
            <w:tcW w:w="1053" w:type="dxa"/>
          </w:tcPr>
          <w:p w:rsidR="001E6839" w:rsidRPr="000D1183" w:rsidRDefault="001E6839" w:rsidP="00797641">
            <w:pPr>
              <w:pStyle w:val="NoSpacing"/>
              <w:rPr>
                <w:lang w:val="sr-Cyrl-CS"/>
              </w:rPr>
            </w:pPr>
            <w:r w:rsidRPr="000D1183">
              <w:rPr>
                <w:lang w:val="sr-Cyrl-CS"/>
              </w:rPr>
              <w:t>20</w:t>
            </w:r>
            <w:r>
              <w:rPr>
                <w:lang w:val="sr-Cyrl-CS"/>
              </w:rPr>
              <w:t>%</w:t>
            </w:r>
          </w:p>
        </w:tc>
        <w:tc>
          <w:tcPr>
            <w:tcW w:w="1054" w:type="dxa"/>
          </w:tcPr>
          <w:p w:rsidR="001E6839" w:rsidRPr="000D1183" w:rsidRDefault="001E6839" w:rsidP="00797641">
            <w:pPr>
              <w:pStyle w:val="NoSpacing"/>
              <w:rPr>
                <w:lang w:val="sr-Cyrl-CS"/>
              </w:rPr>
            </w:pPr>
            <w:r w:rsidRPr="000D1183">
              <w:rPr>
                <w:lang w:val="sr-Cyrl-CS"/>
              </w:rPr>
              <w:t>25</w:t>
            </w:r>
            <w:r>
              <w:rPr>
                <w:lang w:val="sr-Cyrl-CS"/>
              </w:rPr>
              <w:t>%</w:t>
            </w:r>
          </w:p>
        </w:tc>
        <w:tc>
          <w:tcPr>
            <w:tcW w:w="1054" w:type="dxa"/>
          </w:tcPr>
          <w:p w:rsidR="001E6839" w:rsidRPr="000D1183" w:rsidRDefault="001E6839" w:rsidP="00797641">
            <w:pPr>
              <w:pStyle w:val="NoSpacing"/>
              <w:rPr>
                <w:lang w:val="sr-Cyrl-CS"/>
              </w:rPr>
            </w:pPr>
            <w:r w:rsidRPr="000D1183">
              <w:rPr>
                <w:lang w:val="sr-Cyrl-CS"/>
              </w:rPr>
              <w:t>30</w:t>
            </w:r>
            <w:r>
              <w:rPr>
                <w:lang w:val="sr-Cyrl-CS"/>
              </w:rPr>
              <w:t>%</w:t>
            </w:r>
          </w:p>
        </w:tc>
        <w:tc>
          <w:tcPr>
            <w:tcW w:w="1054" w:type="dxa"/>
          </w:tcPr>
          <w:p w:rsidR="001E6839" w:rsidRPr="000D1183" w:rsidRDefault="001E6839" w:rsidP="00797641">
            <w:pPr>
              <w:pStyle w:val="NoSpacing"/>
              <w:rPr>
                <w:lang w:val="sr-Cyrl-CS"/>
              </w:rPr>
            </w:pPr>
            <w:r w:rsidRPr="000D1183">
              <w:rPr>
                <w:lang w:val="sr-Cyrl-CS"/>
              </w:rPr>
              <w:t>35</w:t>
            </w:r>
            <w:r>
              <w:rPr>
                <w:lang w:val="sr-Cyrl-CS"/>
              </w:rPr>
              <w:t>%</w:t>
            </w:r>
          </w:p>
        </w:tc>
      </w:tr>
      <w:tr w:rsidR="001E6839" w:rsidRPr="000D1183" w:rsidTr="00797641">
        <w:tc>
          <w:tcPr>
            <w:tcW w:w="1929" w:type="dxa"/>
          </w:tcPr>
          <w:p w:rsidR="001E6839" w:rsidRPr="000D1183" w:rsidRDefault="001E6839" w:rsidP="00797641">
            <w:pPr>
              <w:pStyle w:val="NoSpacing"/>
              <w:rPr>
                <w:lang w:val="sr-Cyrl-CS"/>
              </w:rPr>
            </w:pPr>
            <w:r w:rsidRPr="000D1183">
              <w:rPr>
                <w:lang w:val="sr-Cyrl-CS"/>
              </w:rPr>
              <w:t>БУГАРСКА</w:t>
            </w:r>
          </w:p>
        </w:tc>
        <w:tc>
          <w:tcPr>
            <w:tcW w:w="1037"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r w:rsidRPr="000D1183">
              <w:rPr>
                <w:lang w:val="sr-Cyrl-CS"/>
              </w:rPr>
              <w:t>32,3</w:t>
            </w:r>
          </w:p>
        </w:tc>
      </w:tr>
      <w:tr w:rsidR="001E6839" w:rsidRPr="000D1183" w:rsidTr="00797641">
        <w:tc>
          <w:tcPr>
            <w:tcW w:w="1929" w:type="dxa"/>
          </w:tcPr>
          <w:p w:rsidR="001E6839" w:rsidRPr="000D1183" w:rsidRDefault="001E6839" w:rsidP="00797641">
            <w:pPr>
              <w:pStyle w:val="NoSpacing"/>
              <w:rPr>
                <w:lang w:val="sr-Cyrl-CS"/>
              </w:rPr>
            </w:pPr>
            <w:r w:rsidRPr="000D1183">
              <w:rPr>
                <w:lang w:val="sr-Cyrl-CS"/>
              </w:rPr>
              <w:t>РУМУНИЈА</w:t>
            </w:r>
          </w:p>
        </w:tc>
        <w:tc>
          <w:tcPr>
            <w:tcW w:w="1037"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r w:rsidRPr="000D1183">
              <w:rPr>
                <w:lang w:val="sr-Cyrl-CS"/>
              </w:rPr>
              <w:t>29,6</w:t>
            </w:r>
          </w:p>
        </w:tc>
        <w:tc>
          <w:tcPr>
            <w:tcW w:w="1054" w:type="dxa"/>
          </w:tcPr>
          <w:p w:rsidR="001E6839" w:rsidRPr="000D1183" w:rsidRDefault="001E6839" w:rsidP="00797641">
            <w:pPr>
              <w:pStyle w:val="NoSpacing"/>
              <w:rPr>
                <w:lang w:val="sr-Cyrl-CS"/>
              </w:rPr>
            </w:pPr>
          </w:p>
        </w:tc>
      </w:tr>
      <w:tr w:rsidR="001E6839" w:rsidRPr="000D1183" w:rsidTr="00797641">
        <w:tc>
          <w:tcPr>
            <w:tcW w:w="1929" w:type="dxa"/>
          </w:tcPr>
          <w:p w:rsidR="001E6839" w:rsidRPr="000D1183" w:rsidRDefault="001E6839" w:rsidP="00797641">
            <w:pPr>
              <w:pStyle w:val="NoSpacing"/>
              <w:rPr>
                <w:lang w:val="sr-Cyrl-CS"/>
              </w:rPr>
            </w:pPr>
            <w:r w:rsidRPr="000D1183">
              <w:rPr>
                <w:lang w:val="sr-Cyrl-CS"/>
              </w:rPr>
              <w:t>ХРВАТСКА</w:t>
            </w:r>
          </w:p>
        </w:tc>
        <w:tc>
          <w:tcPr>
            <w:tcW w:w="1037"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r w:rsidRPr="000D1183">
              <w:rPr>
                <w:lang w:val="sr-Cyrl-CS"/>
              </w:rPr>
              <w:t>29,5</w:t>
            </w:r>
          </w:p>
        </w:tc>
        <w:tc>
          <w:tcPr>
            <w:tcW w:w="1054" w:type="dxa"/>
          </w:tcPr>
          <w:p w:rsidR="001E6839" w:rsidRPr="000D1183" w:rsidRDefault="001E6839" w:rsidP="00797641">
            <w:pPr>
              <w:pStyle w:val="NoSpacing"/>
              <w:rPr>
                <w:lang w:val="sr-Cyrl-CS"/>
              </w:rPr>
            </w:pPr>
          </w:p>
        </w:tc>
      </w:tr>
      <w:tr w:rsidR="001E6839" w:rsidRPr="000D1183" w:rsidTr="00797641">
        <w:tc>
          <w:tcPr>
            <w:tcW w:w="1929" w:type="dxa"/>
          </w:tcPr>
          <w:p w:rsidR="001E6839" w:rsidRPr="000D1183" w:rsidRDefault="001E6839" w:rsidP="00797641">
            <w:pPr>
              <w:pStyle w:val="NoSpacing"/>
              <w:rPr>
                <w:lang w:val="sr-Cyrl-CS"/>
              </w:rPr>
            </w:pPr>
            <w:r w:rsidRPr="000D1183">
              <w:rPr>
                <w:lang w:val="sr-Cyrl-CS"/>
              </w:rPr>
              <w:t>ЛИТВАНИЈА</w:t>
            </w:r>
          </w:p>
        </w:tc>
        <w:tc>
          <w:tcPr>
            <w:tcW w:w="1037"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r w:rsidRPr="000D1183">
              <w:rPr>
                <w:lang w:val="sr-Cyrl-CS"/>
              </w:rPr>
              <w:t>29,0</w:t>
            </w:r>
          </w:p>
        </w:tc>
        <w:tc>
          <w:tcPr>
            <w:tcW w:w="1054"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r>
      <w:tr w:rsidR="001E6839" w:rsidRPr="000D1183" w:rsidTr="00797641">
        <w:tc>
          <w:tcPr>
            <w:tcW w:w="1929" w:type="dxa"/>
          </w:tcPr>
          <w:p w:rsidR="001E6839" w:rsidRPr="000D1183" w:rsidRDefault="001E6839" w:rsidP="00797641">
            <w:pPr>
              <w:pStyle w:val="NoSpacing"/>
              <w:rPr>
                <w:lang w:val="sr-Cyrl-CS"/>
              </w:rPr>
            </w:pPr>
            <w:r w:rsidRPr="000D1183">
              <w:rPr>
                <w:lang w:val="sr-Cyrl-CS"/>
              </w:rPr>
              <w:t>ЕСТОНИЈА</w:t>
            </w:r>
          </w:p>
        </w:tc>
        <w:tc>
          <w:tcPr>
            <w:tcW w:w="1037"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r w:rsidRPr="000D1183">
              <w:rPr>
                <w:lang w:val="sr-Cyrl-CS"/>
              </w:rPr>
              <w:t>28,6</w:t>
            </w:r>
          </w:p>
        </w:tc>
        <w:tc>
          <w:tcPr>
            <w:tcW w:w="1054"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r>
      <w:tr w:rsidR="001E6839" w:rsidRPr="000D1183" w:rsidTr="00797641">
        <w:tc>
          <w:tcPr>
            <w:tcW w:w="1929" w:type="dxa"/>
          </w:tcPr>
          <w:p w:rsidR="001E6839" w:rsidRPr="000D1183" w:rsidRDefault="001E6839" w:rsidP="00797641">
            <w:pPr>
              <w:pStyle w:val="NoSpacing"/>
              <w:rPr>
                <w:lang w:val="sr-Cyrl-CS"/>
              </w:rPr>
            </w:pPr>
            <w:r w:rsidRPr="000D1183">
              <w:rPr>
                <w:lang w:val="sr-Cyrl-CS"/>
              </w:rPr>
              <w:t>ТУРСКА</w:t>
            </w:r>
          </w:p>
        </w:tc>
        <w:tc>
          <w:tcPr>
            <w:tcW w:w="1037"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r w:rsidRPr="000D1183">
              <w:rPr>
                <w:lang w:val="sr-Cyrl-CS"/>
              </w:rPr>
              <w:t>27,7</w:t>
            </w:r>
          </w:p>
        </w:tc>
        <w:tc>
          <w:tcPr>
            <w:tcW w:w="1054"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r>
      <w:tr w:rsidR="001E6839" w:rsidRPr="000D1183" w:rsidTr="00797641">
        <w:tc>
          <w:tcPr>
            <w:tcW w:w="1929" w:type="dxa"/>
          </w:tcPr>
          <w:p w:rsidR="001E6839" w:rsidRPr="000D1183" w:rsidRDefault="001E6839" w:rsidP="00797641">
            <w:pPr>
              <w:pStyle w:val="NoSpacing"/>
              <w:rPr>
                <w:lang w:val="sr-Cyrl-CS"/>
              </w:rPr>
            </w:pPr>
            <w:r w:rsidRPr="000D1183">
              <w:rPr>
                <w:lang w:val="sr-Cyrl-CS"/>
              </w:rPr>
              <w:t>ЛЕТОНИЈА</w:t>
            </w:r>
          </w:p>
        </w:tc>
        <w:tc>
          <w:tcPr>
            <w:tcW w:w="1037"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r w:rsidRPr="000D1183">
              <w:rPr>
                <w:lang w:val="sr-Cyrl-CS"/>
              </w:rPr>
              <w:t>26,5</w:t>
            </w:r>
          </w:p>
        </w:tc>
        <w:tc>
          <w:tcPr>
            <w:tcW w:w="1054"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r>
      <w:tr w:rsidR="001E6839" w:rsidRPr="000D1183" w:rsidTr="00797641">
        <w:tc>
          <w:tcPr>
            <w:tcW w:w="1929" w:type="dxa"/>
          </w:tcPr>
          <w:p w:rsidR="001E6839" w:rsidRPr="000D1183" w:rsidRDefault="001E6839" w:rsidP="00797641">
            <w:pPr>
              <w:pStyle w:val="NoSpacing"/>
              <w:rPr>
                <w:lang w:val="sr-Cyrl-CS"/>
              </w:rPr>
            </w:pPr>
            <w:r w:rsidRPr="000D1183">
              <w:rPr>
                <w:lang w:val="sr-Cyrl-CS"/>
              </w:rPr>
              <w:t>КИПАР</w:t>
            </w:r>
          </w:p>
        </w:tc>
        <w:tc>
          <w:tcPr>
            <w:tcW w:w="1037"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r w:rsidRPr="000D1183">
              <w:rPr>
                <w:lang w:val="sr-Cyrl-CS"/>
              </w:rPr>
              <w:t>26,0</w:t>
            </w:r>
          </w:p>
        </w:tc>
        <w:tc>
          <w:tcPr>
            <w:tcW w:w="1054"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r>
      <w:tr w:rsidR="001E6839" w:rsidRPr="000D1183" w:rsidTr="00797641">
        <w:tc>
          <w:tcPr>
            <w:tcW w:w="1929" w:type="dxa"/>
          </w:tcPr>
          <w:p w:rsidR="001E6839" w:rsidRPr="000D1183" w:rsidRDefault="001E6839" w:rsidP="00797641">
            <w:pPr>
              <w:pStyle w:val="NoSpacing"/>
              <w:rPr>
                <w:lang w:val="sr-Cyrl-CS"/>
              </w:rPr>
            </w:pPr>
            <w:r w:rsidRPr="000D1183">
              <w:rPr>
                <w:lang w:val="sr-Cyrl-CS"/>
              </w:rPr>
              <w:t>МАЛТА</w:t>
            </w:r>
          </w:p>
        </w:tc>
        <w:tc>
          <w:tcPr>
            <w:tcW w:w="1037"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r w:rsidRPr="000D1183">
              <w:rPr>
                <w:lang w:val="sr-Cyrl-CS"/>
              </w:rPr>
              <w:t>25,8</w:t>
            </w:r>
          </w:p>
        </w:tc>
        <w:tc>
          <w:tcPr>
            <w:tcW w:w="1054"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r>
      <w:tr w:rsidR="001E6839" w:rsidRPr="000D1183" w:rsidTr="00797641">
        <w:tc>
          <w:tcPr>
            <w:tcW w:w="1929" w:type="dxa"/>
          </w:tcPr>
          <w:p w:rsidR="001E6839" w:rsidRPr="000D1183" w:rsidRDefault="001E6839" w:rsidP="00797641">
            <w:pPr>
              <w:pStyle w:val="NoSpacing"/>
              <w:rPr>
                <w:lang w:val="sr-Cyrl-CS"/>
              </w:rPr>
            </w:pPr>
            <w:r w:rsidRPr="000D1183">
              <w:rPr>
                <w:lang w:val="sr-Cyrl-CS"/>
              </w:rPr>
              <w:t>ПОЉСКА</w:t>
            </w:r>
          </w:p>
        </w:tc>
        <w:tc>
          <w:tcPr>
            <w:tcW w:w="1037"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r w:rsidRPr="000D1183">
              <w:rPr>
                <w:lang w:val="sr-Cyrl-CS"/>
              </w:rPr>
              <w:t>25,0</w:t>
            </w:r>
          </w:p>
        </w:tc>
        <w:tc>
          <w:tcPr>
            <w:tcW w:w="1054"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r>
      <w:tr w:rsidR="001E6839" w:rsidRPr="000D1183" w:rsidTr="00797641">
        <w:tc>
          <w:tcPr>
            <w:tcW w:w="1929" w:type="dxa"/>
          </w:tcPr>
          <w:p w:rsidR="001E6839" w:rsidRPr="000D1183" w:rsidRDefault="001E6839" w:rsidP="00797641">
            <w:pPr>
              <w:pStyle w:val="NoSpacing"/>
              <w:rPr>
                <w:lang w:val="sr-Cyrl-CS"/>
              </w:rPr>
            </w:pPr>
            <w:r w:rsidRPr="000D1183">
              <w:rPr>
                <w:lang w:val="sr-Cyrl-CS"/>
              </w:rPr>
              <w:t>ГРЧКА</w:t>
            </w:r>
          </w:p>
        </w:tc>
        <w:tc>
          <w:tcPr>
            <w:tcW w:w="1037"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r w:rsidRPr="000D1183">
              <w:rPr>
                <w:lang w:val="sr-Cyrl-CS"/>
              </w:rPr>
              <w:t>24,3</w:t>
            </w:r>
          </w:p>
        </w:tc>
        <w:tc>
          <w:tcPr>
            <w:tcW w:w="1054"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r>
      <w:tr w:rsidR="001E6839" w:rsidRPr="000D1183" w:rsidTr="00797641">
        <w:tc>
          <w:tcPr>
            <w:tcW w:w="1929" w:type="dxa"/>
          </w:tcPr>
          <w:p w:rsidR="001E6839" w:rsidRPr="000D1183" w:rsidRDefault="001E6839" w:rsidP="00797641">
            <w:pPr>
              <w:pStyle w:val="NoSpacing"/>
              <w:rPr>
                <w:lang w:val="sr-Cyrl-CS"/>
              </w:rPr>
            </w:pPr>
            <w:r w:rsidRPr="000D1183">
              <w:rPr>
                <w:lang w:val="sr-Cyrl-CS"/>
              </w:rPr>
              <w:t>МАЂАРСКА</w:t>
            </w:r>
          </w:p>
        </w:tc>
        <w:tc>
          <w:tcPr>
            <w:tcW w:w="1037"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r w:rsidRPr="000D1183">
              <w:rPr>
                <w:lang w:val="sr-Cyrl-CS"/>
              </w:rPr>
              <w:t>22,8</w:t>
            </w:r>
          </w:p>
        </w:tc>
        <w:tc>
          <w:tcPr>
            <w:tcW w:w="1054"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r>
      <w:tr w:rsidR="001E6839" w:rsidRPr="000D1183" w:rsidTr="00797641">
        <w:tc>
          <w:tcPr>
            <w:tcW w:w="1929" w:type="dxa"/>
          </w:tcPr>
          <w:p w:rsidR="001E6839" w:rsidRPr="000D1183" w:rsidRDefault="001E6839" w:rsidP="00797641">
            <w:pPr>
              <w:pStyle w:val="NoSpacing"/>
              <w:rPr>
                <w:lang w:val="sr-Cyrl-CS"/>
              </w:rPr>
            </w:pPr>
            <w:r w:rsidRPr="000D1183">
              <w:rPr>
                <w:lang w:val="sr-Cyrl-CS"/>
              </w:rPr>
              <w:t>ИТАЛИЈА</w:t>
            </w:r>
          </w:p>
        </w:tc>
        <w:tc>
          <w:tcPr>
            <w:tcW w:w="1037"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r w:rsidRPr="000D1183">
              <w:rPr>
                <w:lang w:val="sr-Cyrl-CS"/>
              </w:rPr>
              <w:t>21,6</w:t>
            </w:r>
          </w:p>
        </w:tc>
        <w:tc>
          <w:tcPr>
            <w:tcW w:w="1054"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r>
      <w:tr w:rsidR="001E6839" w:rsidRPr="000D1183" w:rsidTr="00797641">
        <w:tc>
          <w:tcPr>
            <w:tcW w:w="1929" w:type="dxa"/>
          </w:tcPr>
          <w:p w:rsidR="001E6839" w:rsidRPr="000D1183" w:rsidRDefault="001E6839" w:rsidP="00797641">
            <w:pPr>
              <w:pStyle w:val="NoSpacing"/>
              <w:rPr>
                <w:lang w:val="sr-Cyrl-CS"/>
              </w:rPr>
            </w:pPr>
            <w:r w:rsidRPr="000D1183">
              <w:rPr>
                <w:lang w:val="sr-Cyrl-CS"/>
              </w:rPr>
              <w:t>ПОРТУГАЛИЈА</w:t>
            </w:r>
          </w:p>
        </w:tc>
        <w:tc>
          <w:tcPr>
            <w:tcW w:w="1037"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r w:rsidRPr="000D1183">
              <w:rPr>
                <w:lang w:val="sr-Cyrl-CS"/>
              </w:rPr>
              <w:t>19,4</w:t>
            </w:r>
          </w:p>
        </w:tc>
        <w:tc>
          <w:tcPr>
            <w:tcW w:w="1053"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r>
      <w:tr w:rsidR="001E6839" w:rsidRPr="000D1183" w:rsidTr="00797641">
        <w:tc>
          <w:tcPr>
            <w:tcW w:w="1929" w:type="dxa"/>
          </w:tcPr>
          <w:p w:rsidR="001E6839" w:rsidRPr="000D1183" w:rsidRDefault="001E6839" w:rsidP="00797641">
            <w:pPr>
              <w:pStyle w:val="NoSpacing"/>
              <w:rPr>
                <w:b/>
                <w:lang w:val="sr-Cyrl-CS"/>
              </w:rPr>
            </w:pPr>
            <w:r w:rsidRPr="000D1183">
              <w:rPr>
                <w:b/>
                <w:lang w:val="sr-Cyrl-CS"/>
              </w:rPr>
              <w:t>ПРОСЕК</w:t>
            </w:r>
          </w:p>
        </w:tc>
        <w:tc>
          <w:tcPr>
            <w:tcW w:w="1037" w:type="dxa"/>
          </w:tcPr>
          <w:p w:rsidR="001E6839" w:rsidRPr="000D1183" w:rsidRDefault="001E6839" w:rsidP="00797641">
            <w:pPr>
              <w:pStyle w:val="NoSpacing"/>
              <w:rPr>
                <w:b/>
                <w:lang w:val="sr-Cyrl-CS"/>
              </w:rPr>
            </w:pPr>
          </w:p>
        </w:tc>
        <w:tc>
          <w:tcPr>
            <w:tcW w:w="1053" w:type="dxa"/>
          </w:tcPr>
          <w:p w:rsidR="001E6839" w:rsidRPr="000D1183" w:rsidRDefault="001E6839" w:rsidP="00797641">
            <w:pPr>
              <w:pStyle w:val="NoSpacing"/>
              <w:rPr>
                <w:b/>
                <w:lang w:val="sr-Cyrl-CS"/>
              </w:rPr>
            </w:pPr>
          </w:p>
        </w:tc>
        <w:tc>
          <w:tcPr>
            <w:tcW w:w="1053" w:type="dxa"/>
          </w:tcPr>
          <w:p w:rsidR="001E6839" w:rsidRPr="000D1183" w:rsidRDefault="001E6839" w:rsidP="00797641">
            <w:pPr>
              <w:pStyle w:val="NoSpacing"/>
              <w:rPr>
                <w:b/>
                <w:lang w:val="sr-Cyrl-CS"/>
              </w:rPr>
            </w:pPr>
            <w:r w:rsidRPr="000D1183">
              <w:rPr>
                <w:b/>
                <w:lang w:val="sr-Cyrl-CS"/>
              </w:rPr>
              <w:t>19,2</w:t>
            </w:r>
          </w:p>
        </w:tc>
        <w:tc>
          <w:tcPr>
            <w:tcW w:w="1053"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r>
      <w:tr w:rsidR="001E6839" w:rsidRPr="000D1183" w:rsidTr="00797641">
        <w:tc>
          <w:tcPr>
            <w:tcW w:w="1929" w:type="dxa"/>
          </w:tcPr>
          <w:p w:rsidR="001E6839" w:rsidRPr="000D1183" w:rsidRDefault="001E6839" w:rsidP="00797641">
            <w:pPr>
              <w:pStyle w:val="NoSpacing"/>
              <w:rPr>
                <w:lang w:val="sr-Cyrl-CS"/>
              </w:rPr>
            </w:pPr>
            <w:r w:rsidRPr="000D1183">
              <w:rPr>
                <w:lang w:val="sr-Cyrl-CS"/>
              </w:rPr>
              <w:t>ШПАНИЈА</w:t>
            </w:r>
          </w:p>
        </w:tc>
        <w:tc>
          <w:tcPr>
            <w:tcW w:w="1037"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r w:rsidRPr="000D1183">
              <w:rPr>
                <w:lang w:val="sr-Cyrl-CS"/>
              </w:rPr>
              <w:t>19,2</w:t>
            </w:r>
          </w:p>
        </w:tc>
        <w:tc>
          <w:tcPr>
            <w:tcW w:w="1053"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r>
      <w:tr w:rsidR="001E6839" w:rsidRPr="000D1183" w:rsidTr="00797641">
        <w:tc>
          <w:tcPr>
            <w:tcW w:w="1929" w:type="dxa"/>
          </w:tcPr>
          <w:p w:rsidR="001E6839" w:rsidRPr="000D1183" w:rsidRDefault="001E6839" w:rsidP="00797641">
            <w:pPr>
              <w:pStyle w:val="NoSpacing"/>
              <w:rPr>
                <w:lang w:val="sr-Cyrl-CS"/>
              </w:rPr>
            </w:pPr>
            <w:r w:rsidRPr="000D1183">
              <w:rPr>
                <w:lang w:val="sr-Cyrl-CS"/>
              </w:rPr>
              <w:t>БЕЛГИЈА</w:t>
            </w:r>
          </w:p>
        </w:tc>
        <w:tc>
          <w:tcPr>
            <w:tcW w:w="1037"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r w:rsidRPr="000D1183">
              <w:rPr>
                <w:lang w:val="sr-Cyrl-CS"/>
              </w:rPr>
              <w:t>17,1</w:t>
            </w:r>
          </w:p>
        </w:tc>
        <w:tc>
          <w:tcPr>
            <w:tcW w:w="1053"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r>
      <w:tr w:rsidR="001E6839" w:rsidRPr="000D1183" w:rsidTr="00797641">
        <w:tc>
          <w:tcPr>
            <w:tcW w:w="1929" w:type="dxa"/>
          </w:tcPr>
          <w:p w:rsidR="001E6839" w:rsidRPr="000D1183" w:rsidRDefault="001E6839" w:rsidP="00797641">
            <w:pPr>
              <w:pStyle w:val="NoSpacing"/>
              <w:rPr>
                <w:lang w:val="sr-Cyrl-CS"/>
              </w:rPr>
            </w:pPr>
            <w:r w:rsidRPr="000D1183">
              <w:rPr>
                <w:lang w:val="sr-Cyrl-CS"/>
              </w:rPr>
              <w:t>ЧЕШКА</w:t>
            </w:r>
          </w:p>
        </w:tc>
        <w:tc>
          <w:tcPr>
            <w:tcW w:w="1037"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r w:rsidRPr="000D1183">
              <w:rPr>
                <w:lang w:val="sr-Cyrl-CS"/>
              </w:rPr>
              <w:t>16,4</w:t>
            </w:r>
          </w:p>
        </w:tc>
        <w:tc>
          <w:tcPr>
            <w:tcW w:w="1053"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r>
      <w:tr w:rsidR="001E6839" w:rsidRPr="000D1183" w:rsidTr="00797641">
        <w:tc>
          <w:tcPr>
            <w:tcW w:w="1929" w:type="dxa"/>
          </w:tcPr>
          <w:p w:rsidR="001E6839" w:rsidRPr="000D1183" w:rsidRDefault="001E6839" w:rsidP="00797641">
            <w:pPr>
              <w:pStyle w:val="NoSpacing"/>
              <w:rPr>
                <w:lang w:val="sr-Cyrl-CS"/>
              </w:rPr>
            </w:pPr>
            <w:r w:rsidRPr="000D1183">
              <w:rPr>
                <w:lang w:val="sr-Cyrl-CS"/>
              </w:rPr>
              <w:t>СЛОВЕНИЈА</w:t>
            </w:r>
          </w:p>
        </w:tc>
        <w:tc>
          <w:tcPr>
            <w:tcW w:w="1037"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r w:rsidRPr="000D1183">
              <w:rPr>
                <w:lang w:val="sr-Cyrl-CS"/>
              </w:rPr>
              <w:t>16,0</w:t>
            </w:r>
          </w:p>
        </w:tc>
        <w:tc>
          <w:tcPr>
            <w:tcW w:w="1053"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r>
      <w:tr w:rsidR="001E6839" w:rsidRPr="000D1183" w:rsidTr="00797641">
        <w:tc>
          <w:tcPr>
            <w:tcW w:w="1929" w:type="dxa"/>
          </w:tcPr>
          <w:p w:rsidR="001E6839" w:rsidRPr="000D1183" w:rsidRDefault="001E6839" w:rsidP="00797641">
            <w:pPr>
              <w:pStyle w:val="NoSpacing"/>
              <w:rPr>
                <w:lang w:val="sr-Cyrl-CS"/>
              </w:rPr>
            </w:pPr>
            <w:r w:rsidRPr="000D1183">
              <w:rPr>
                <w:lang w:val="sr-Cyrl-CS"/>
              </w:rPr>
              <w:t>СЛОВАЧКА</w:t>
            </w:r>
          </w:p>
        </w:tc>
        <w:tc>
          <w:tcPr>
            <w:tcW w:w="1037"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r w:rsidRPr="000D1183">
              <w:rPr>
                <w:lang w:val="sr-Cyrl-CS"/>
              </w:rPr>
              <w:t>16,0</w:t>
            </w:r>
          </w:p>
        </w:tc>
        <w:tc>
          <w:tcPr>
            <w:tcW w:w="1053"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r>
      <w:tr w:rsidR="001E6839" w:rsidRPr="000D1183" w:rsidTr="00797641">
        <w:tc>
          <w:tcPr>
            <w:tcW w:w="1929" w:type="dxa"/>
          </w:tcPr>
          <w:p w:rsidR="001E6839" w:rsidRPr="000D1183" w:rsidRDefault="001E6839" w:rsidP="00797641">
            <w:pPr>
              <w:pStyle w:val="NoSpacing"/>
              <w:rPr>
                <w:lang w:val="sr-Cyrl-CS"/>
              </w:rPr>
            </w:pPr>
            <w:r w:rsidRPr="000D1183">
              <w:rPr>
                <w:lang w:val="sr-Cyrl-CS"/>
              </w:rPr>
              <w:t>НОРВЕШКА</w:t>
            </w:r>
          </w:p>
        </w:tc>
        <w:tc>
          <w:tcPr>
            <w:tcW w:w="1037"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r w:rsidRPr="000D1183">
              <w:rPr>
                <w:lang w:val="sr-Cyrl-CS"/>
              </w:rPr>
              <w:t>14,8</w:t>
            </w:r>
          </w:p>
        </w:tc>
        <w:tc>
          <w:tcPr>
            <w:tcW w:w="1053"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r>
      <w:tr w:rsidR="001E6839" w:rsidRPr="000D1183" w:rsidTr="00797641">
        <w:tc>
          <w:tcPr>
            <w:tcW w:w="1929" w:type="dxa"/>
          </w:tcPr>
          <w:p w:rsidR="001E6839" w:rsidRPr="000D1183" w:rsidRDefault="001E6839" w:rsidP="00797641">
            <w:pPr>
              <w:pStyle w:val="NoSpacing"/>
              <w:rPr>
                <w:lang w:val="sr-Cyrl-CS"/>
              </w:rPr>
            </w:pPr>
            <w:r w:rsidRPr="000D1183">
              <w:rPr>
                <w:lang w:val="sr-Cyrl-CS"/>
              </w:rPr>
              <w:t>ШВЕДСКА</w:t>
            </w:r>
          </w:p>
        </w:tc>
        <w:tc>
          <w:tcPr>
            <w:tcW w:w="1037"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r w:rsidRPr="000D1183">
              <w:rPr>
                <w:lang w:val="sr-Cyrl-CS"/>
              </w:rPr>
              <w:t>14,7</w:t>
            </w:r>
          </w:p>
        </w:tc>
        <w:tc>
          <w:tcPr>
            <w:tcW w:w="1053"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r>
      <w:tr w:rsidR="001E6839" w:rsidRPr="000D1183" w:rsidTr="00797641">
        <w:tc>
          <w:tcPr>
            <w:tcW w:w="1929" w:type="dxa"/>
          </w:tcPr>
          <w:p w:rsidR="001E6839" w:rsidRPr="000D1183" w:rsidRDefault="001E6839" w:rsidP="00797641">
            <w:pPr>
              <w:pStyle w:val="NoSpacing"/>
              <w:rPr>
                <w:lang w:val="sr-Cyrl-CS"/>
              </w:rPr>
            </w:pPr>
            <w:r w:rsidRPr="000D1183">
              <w:rPr>
                <w:lang w:val="sr-Cyrl-CS"/>
              </w:rPr>
              <w:t>ДАНСКА</w:t>
            </w:r>
          </w:p>
        </w:tc>
        <w:tc>
          <w:tcPr>
            <w:tcW w:w="1037"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r w:rsidRPr="000D1183">
              <w:rPr>
                <w:lang w:val="sr-Cyrl-CS"/>
              </w:rPr>
              <w:t>13,8</w:t>
            </w:r>
          </w:p>
        </w:tc>
        <w:tc>
          <w:tcPr>
            <w:tcW w:w="1053"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r>
      <w:tr w:rsidR="001E6839" w:rsidRPr="000D1183" w:rsidTr="00797641">
        <w:tc>
          <w:tcPr>
            <w:tcW w:w="1929" w:type="dxa"/>
          </w:tcPr>
          <w:p w:rsidR="001E6839" w:rsidRPr="000D1183" w:rsidRDefault="001E6839" w:rsidP="00797641">
            <w:pPr>
              <w:pStyle w:val="NoSpacing"/>
              <w:rPr>
                <w:lang w:val="sr-Cyrl-CS"/>
              </w:rPr>
            </w:pPr>
            <w:r w:rsidRPr="000D1183">
              <w:rPr>
                <w:lang w:val="sr-Cyrl-CS"/>
              </w:rPr>
              <w:t>ФИНСКА</w:t>
            </w:r>
          </w:p>
        </w:tc>
        <w:tc>
          <w:tcPr>
            <w:tcW w:w="1037"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r w:rsidRPr="000D1183">
              <w:rPr>
                <w:lang w:val="sr-Cyrl-CS"/>
              </w:rPr>
              <w:t>13,7</w:t>
            </w:r>
          </w:p>
        </w:tc>
        <w:tc>
          <w:tcPr>
            <w:tcW w:w="1053"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r>
      <w:tr w:rsidR="001E6839" w:rsidRPr="000D1183" w:rsidTr="00797641">
        <w:tc>
          <w:tcPr>
            <w:tcW w:w="1929" w:type="dxa"/>
          </w:tcPr>
          <w:p w:rsidR="001E6839" w:rsidRPr="000D1183" w:rsidRDefault="001E6839" w:rsidP="00797641">
            <w:pPr>
              <w:pStyle w:val="NoSpacing"/>
              <w:rPr>
                <w:lang w:val="sr-Cyrl-CS"/>
              </w:rPr>
            </w:pPr>
            <w:r w:rsidRPr="000D1183">
              <w:rPr>
                <w:lang w:val="sr-Cyrl-CS"/>
              </w:rPr>
              <w:t>НЕМАЧКА</w:t>
            </w:r>
          </w:p>
        </w:tc>
        <w:tc>
          <w:tcPr>
            <w:tcW w:w="1037"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r w:rsidRPr="000D1183">
              <w:rPr>
                <w:lang w:val="sr-Cyrl-CS"/>
              </w:rPr>
              <w:t>13,5</w:t>
            </w:r>
          </w:p>
        </w:tc>
        <w:tc>
          <w:tcPr>
            <w:tcW w:w="1053"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r>
      <w:tr w:rsidR="001E6839" w:rsidRPr="000D1183" w:rsidTr="00797641">
        <w:tc>
          <w:tcPr>
            <w:tcW w:w="1929" w:type="dxa"/>
          </w:tcPr>
          <w:p w:rsidR="001E6839" w:rsidRPr="000D1183" w:rsidRDefault="001E6839" w:rsidP="00797641">
            <w:pPr>
              <w:pStyle w:val="NoSpacing"/>
              <w:rPr>
                <w:lang w:val="sr-Cyrl-CS"/>
              </w:rPr>
            </w:pPr>
            <w:r w:rsidRPr="000D1183">
              <w:rPr>
                <w:lang w:val="sr-Cyrl-CS"/>
              </w:rPr>
              <w:t>ИРСКА</w:t>
            </w:r>
          </w:p>
        </w:tc>
        <w:tc>
          <w:tcPr>
            <w:tcW w:w="1037"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r w:rsidRPr="000D1183">
              <w:rPr>
                <w:lang w:val="sr-Cyrl-CS"/>
              </w:rPr>
              <w:t>12,8</w:t>
            </w:r>
          </w:p>
        </w:tc>
        <w:tc>
          <w:tcPr>
            <w:tcW w:w="1053"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r>
      <w:tr w:rsidR="001E6839" w:rsidRPr="000D1183" w:rsidTr="00797641">
        <w:tc>
          <w:tcPr>
            <w:tcW w:w="1929" w:type="dxa"/>
          </w:tcPr>
          <w:p w:rsidR="001E6839" w:rsidRPr="000D1183" w:rsidRDefault="001E6839" w:rsidP="00797641">
            <w:pPr>
              <w:pStyle w:val="NoSpacing"/>
              <w:rPr>
                <w:lang w:val="sr-Cyrl-CS"/>
              </w:rPr>
            </w:pPr>
            <w:r w:rsidRPr="000D1183">
              <w:rPr>
                <w:lang w:val="sr-Cyrl-CS"/>
              </w:rPr>
              <w:t>ФРАНЦУСКА</w:t>
            </w:r>
          </w:p>
        </w:tc>
        <w:tc>
          <w:tcPr>
            <w:tcW w:w="1037"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r w:rsidRPr="000D1183">
              <w:rPr>
                <w:lang w:val="sr-Cyrl-CS"/>
              </w:rPr>
              <w:t>11,0</w:t>
            </w:r>
          </w:p>
        </w:tc>
        <w:tc>
          <w:tcPr>
            <w:tcW w:w="1053"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r>
      <w:tr w:rsidR="001E6839" w:rsidRPr="000D1183" w:rsidTr="00797641">
        <w:tc>
          <w:tcPr>
            <w:tcW w:w="1929" w:type="dxa"/>
          </w:tcPr>
          <w:p w:rsidR="001E6839" w:rsidRPr="000D1183" w:rsidRDefault="001E6839" w:rsidP="00797641">
            <w:pPr>
              <w:pStyle w:val="NoSpacing"/>
              <w:rPr>
                <w:lang w:val="sr-Cyrl-CS"/>
              </w:rPr>
            </w:pPr>
            <w:r w:rsidRPr="000D1183">
              <w:rPr>
                <w:lang w:val="sr-Cyrl-CS"/>
              </w:rPr>
              <w:t>ВЕЛИКА БРИТ.</w:t>
            </w:r>
          </w:p>
        </w:tc>
        <w:tc>
          <w:tcPr>
            <w:tcW w:w="1037"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r w:rsidRPr="000D1183">
              <w:rPr>
                <w:lang w:val="sr-Cyrl-CS"/>
              </w:rPr>
              <w:t>10,5</w:t>
            </w:r>
          </w:p>
        </w:tc>
        <w:tc>
          <w:tcPr>
            <w:tcW w:w="1053"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r>
      <w:tr w:rsidR="001E6839" w:rsidRPr="000D1183" w:rsidTr="00797641">
        <w:tc>
          <w:tcPr>
            <w:tcW w:w="1929" w:type="dxa"/>
          </w:tcPr>
          <w:p w:rsidR="001E6839" w:rsidRPr="000D1183" w:rsidRDefault="001E6839" w:rsidP="00797641">
            <w:pPr>
              <w:pStyle w:val="NoSpacing"/>
              <w:rPr>
                <w:lang w:val="sr-Cyrl-CS"/>
              </w:rPr>
            </w:pPr>
            <w:r w:rsidRPr="000D1183">
              <w:rPr>
                <w:lang w:val="sr-Cyrl-CS"/>
              </w:rPr>
              <w:t>ХОЛАНДИЈА</w:t>
            </w:r>
          </w:p>
        </w:tc>
        <w:tc>
          <w:tcPr>
            <w:tcW w:w="1037" w:type="dxa"/>
          </w:tcPr>
          <w:p w:rsidR="001E6839" w:rsidRPr="000D1183" w:rsidRDefault="001E6839" w:rsidP="00797641">
            <w:pPr>
              <w:pStyle w:val="NoSpacing"/>
              <w:rPr>
                <w:lang w:val="sr-Cyrl-CS"/>
              </w:rPr>
            </w:pPr>
            <w:r w:rsidRPr="000D1183">
              <w:rPr>
                <w:lang w:val="sr-Cyrl-CS"/>
              </w:rPr>
              <w:t>9,8</w:t>
            </w:r>
          </w:p>
        </w:tc>
        <w:tc>
          <w:tcPr>
            <w:tcW w:w="1053"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r>
      <w:tr w:rsidR="001E6839" w:rsidRPr="000D1183" w:rsidTr="00797641">
        <w:tc>
          <w:tcPr>
            <w:tcW w:w="1929" w:type="dxa"/>
          </w:tcPr>
          <w:p w:rsidR="001E6839" w:rsidRPr="000D1183" w:rsidRDefault="001E6839" w:rsidP="00797641">
            <w:pPr>
              <w:pStyle w:val="NoSpacing"/>
              <w:rPr>
                <w:lang w:val="sr-Cyrl-CS"/>
              </w:rPr>
            </w:pPr>
            <w:r w:rsidRPr="000D1183">
              <w:rPr>
                <w:lang w:val="sr-Cyrl-CS"/>
              </w:rPr>
              <w:t>ЛУКСЕМБУРГ</w:t>
            </w:r>
          </w:p>
        </w:tc>
        <w:tc>
          <w:tcPr>
            <w:tcW w:w="1037" w:type="dxa"/>
          </w:tcPr>
          <w:p w:rsidR="001E6839" w:rsidRPr="000D1183" w:rsidRDefault="001E6839" w:rsidP="00797641">
            <w:pPr>
              <w:pStyle w:val="NoSpacing"/>
              <w:rPr>
                <w:lang w:val="sr-Cyrl-CS"/>
              </w:rPr>
            </w:pPr>
            <w:r w:rsidRPr="000D1183">
              <w:rPr>
                <w:lang w:val="sr-Cyrl-CS"/>
              </w:rPr>
              <w:t>8,2</w:t>
            </w:r>
          </w:p>
        </w:tc>
        <w:tc>
          <w:tcPr>
            <w:tcW w:w="1053"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r>
      <w:tr w:rsidR="001E6839" w:rsidRPr="000D1183" w:rsidTr="00797641">
        <w:tc>
          <w:tcPr>
            <w:tcW w:w="1929" w:type="dxa"/>
          </w:tcPr>
          <w:p w:rsidR="001E6839" w:rsidRPr="000D1183" w:rsidRDefault="001E6839" w:rsidP="00797641">
            <w:pPr>
              <w:pStyle w:val="NoSpacing"/>
              <w:rPr>
                <w:lang w:val="sr-Cyrl-CS"/>
              </w:rPr>
            </w:pPr>
            <w:r w:rsidRPr="000D1183">
              <w:rPr>
                <w:lang w:val="sr-Cyrl-CS"/>
              </w:rPr>
              <w:t>АУСТРИЈА</w:t>
            </w:r>
          </w:p>
        </w:tc>
        <w:tc>
          <w:tcPr>
            <w:tcW w:w="1037" w:type="dxa"/>
          </w:tcPr>
          <w:p w:rsidR="001E6839" w:rsidRPr="000D1183" w:rsidRDefault="001E6839" w:rsidP="00797641">
            <w:pPr>
              <w:pStyle w:val="NoSpacing"/>
              <w:rPr>
                <w:lang w:val="sr-Cyrl-CS"/>
              </w:rPr>
            </w:pPr>
            <w:r w:rsidRPr="000D1183">
              <w:rPr>
                <w:lang w:val="sr-Cyrl-CS"/>
              </w:rPr>
              <w:t>7,9</w:t>
            </w:r>
          </w:p>
        </w:tc>
        <w:tc>
          <w:tcPr>
            <w:tcW w:w="1053"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r>
      <w:tr w:rsidR="001E6839" w:rsidRPr="000D1183" w:rsidTr="00797641">
        <w:tc>
          <w:tcPr>
            <w:tcW w:w="1929" w:type="dxa"/>
          </w:tcPr>
          <w:p w:rsidR="001E6839" w:rsidRPr="000D1183" w:rsidRDefault="001E6839" w:rsidP="00797641">
            <w:pPr>
              <w:pStyle w:val="NoSpacing"/>
              <w:rPr>
                <w:lang w:val="sr-Cyrl-CS"/>
              </w:rPr>
            </w:pPr>
            <w:r w:rsidRPr="000D1183">
              <w:rPr>
                <w:lang w:val="sr-Cyrl-CS"/>
              </w:rPr>
              <w:t>ШВАЈЦАРСКА</w:t>
            </w:r>
          </w:p>
        </w:tc>
        <w:tc>
          <w:tcPr>
            <w:tcW w:w="1037" w:type="dxa"/>
          </w:tcPr>
          <w:p w:rsidR="001E6839" w:rsidRPr="000D1183" w:rsidRDefault="001E6839" w:rsidP="00797641">
            <w:pPr>
              <w:pStyle w:val="NoSpacing"/>
              <w:rPr>
                <w:lang w:val="sr-Cyrl-CS"/>
              </w:rPr>
            </w:pPr>
            <w:r w:rsidRPr="000D1183">
              <w:rPr>
                <w:lang w:val="sr-Cyrl-CS"/>
              </w:rPr>
              <w:t>7,8</w:t>
            </w:r>
          </w:p>
        </w:tc>
        <w:tc>
          <w:tcPr>
            <w:tcW w:w="1053"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p>
        </w:tc>
        <w:tc>
          <w:tcPr>
            <w:tcW w:w="1053"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c>
          <w:tcPr>
            <w:tcW w:w="1054" w:type="dxa"/>
          </w:tcPr>
          <w:p w:rsidR="001E6839" w:rsidRPr="000D1183" w:rsidRDefault="001E6839" w:rsidP="00797641">
            <w:pPr>
              <w:pStyle w:val="NoSpacing"/>
              <w:rPr>
                <w:lang w:val="sr-Cyrl-CS"/>
              </w:rPr>
            </w:pPr>
          </w:p>
        </w:tc>
      </w:tr>
    </w:tbl>
    <w:p w:rsidR="001E6839" w:rsidRPr="00D43A7C" w:rsidRDefault="001E6839" w:rsidP="001E6839">
      <w:pPr>
        <w:jc w:val="both"/>
        <w:rPr>
          <w:rFonts w:ascii="Times New Roman" w:hAnsi="Times New Roman"/>
          <w:sz w:val="24"/>
          <w:szCs w:val="24"/>
          <w:lang w:val="sr-Cyrl-CS"/>
        </w:rPr>
      </w:pPr>
    </w:p>
    <w:p w:rsidR="001E6839" w:rsidRDefault="001E6839" w:rsidP="001E6839">
      <w:pPr>
        <w:ind w:firstLine="708"/>
        <w:jc w:val="both"/>
        <w:rPr>
          <w:rFonts w:ascii="Times New Roman" w:hAnsi="Times New Roman"/>
          <w:sz w:val="24"/>
          <w:szCs w:val="24"/>
          <w:lang w:val="sr-Cyrl-CS"/>
        </w:rPr>
      </w:pPr>
      <w:r>
        <w:rPr>
          <w:rFonts w:ascii="Times New Roman" w:hAnsi="Times New Roman"/>
          <w:sz w:val="24"/>
          <w:szCs w:val="24"/>
          <w:lang w:val="sr-Cyrl-CS"/>
        </w:rPr>
        <w:t xml:space="preserve">Ако упоредимо просек за 31 земљу, које су наведене у претходној табели, у 2003. години просечна величина је била 22,4% (од БДП), да би опала на 19,4% у 2008. години, па потом се повећала на 19,9% у 2009. години. У 2012. години овај просек је још више смањен. Према томе, у већини земаља је смањена сива економија, а до тога је дошло због опоравка од велике економске и финансијске кризе. То значи да појединци </w:t>
      </w:r>
      <w:r>
        <w:rPr>
          <w:rFonts w:ascii="Times New Roman" w:hAnsi="Times New Roman"/>
          <w:sz w:val="24"/>
          <w:szCs w:val="24"/>
          <w:lang w:val="sr-Cyrl-CS"/>
        </w:rPr>
        <w:lastRenderedPageBreak/>
        <w:t>имају мање подстицаја да предузму додатне активности у сфери сиве економије, и да зараде додатни новац „на црно“.</w:t>
      </w:r>
      <w:r>
        <w:rPr>
          <w:rStyle w:val="FootnoteReference"/>
          <w:rFonts w:ascii="Times New Roman" w:hAnsi="Times New Roman"/>
          <w:sz w:val="24"/>
          <w:szCs w:val="24"/>
          <w:lang w:val="sr-Cyrl-CS"/>
        </w:rPr>
        <w:footnoteReference w:id="116"/>
      </w:r>
      <w:r>
        <w:rPr>
          <w:rFonts w:ascii="Times New Roman" w:hAnsi="Times New Roman"/>
          <w:sz w:val="24"/>
          <w:szCs w:val="24"/>
          <w:lang w:val="sr-Cyrl-CS"/>
        </w:rPr>
        <w:t xml:space="preserve"> </w:t>
      </w:r>
    </w:p>
    <w:p w:rsidR="001E6839" w:rsidRDefault="001E6839" w:rsidP="001E6839">
      <w:pPr>
        <w:ind w:firstLine="360"/>
        <w:jc w:val="both"/>
        <w:rPr>
          <w:rFonts w:ascii="Times New Roman" w:hAnsi="Times New Roman"/>
          <w:sz w:val="24"/>
          <w:szCs w:val="24"/>
          <w:lang w:val="sr-Cyrl-CS"/>
        </w:rPr>
      </w:pPr>
      <w:r>
        <w:rPr>
          <w:rFonts w:ascii="Times New Roman" w:hAnsi="Times New Roman"/>
          <w:sz w:val="24"/>
          <w:szCs w:val="24"/>
          <w:lang w:val="sr-Cyrl-CS"/>
        </w:rPr>
        <w:t>Висока пореска оптерећења утичу на повећање феномена сиве економије, за разлику од нижих пореских стопа. Честе промене законскох прописа такође погодују овом феномену, као и економски услови привређивања. Међутим, према неким новијим истраживањима</w:t>
      </w:r>
      <w:r>
        <w:rPr>
          <w:rStyle w:val="FootnoteReference"/>
          <w:rFonts w:ascii="Times New Roman" w:hAnsi="Times New Roman"/>
          <w:sz w:val="24"/>
          <w:szCs w:val="24"/>
          <w:lang w:val="sr-Cyrl-CS"/>
        </w:rPr>
        <w:footnoteReference w:id="117"/>
      </w:r>
      <w:r>
        <w:rPr>
          <w:rFonts w:ascii="Times New Roman" w:hAnsi="Times New Roman"/>
          <w:sz w:val="24"/>
          <w:szCs w:val="24"/>
          <w:lang w:val="sr-Cyrl-CS"/>
        </w:rPr>
        <w:t xml:space="preserve">  не постоји позитивна корелација између пореских стопа и величине сиве економије. Овакво једно истраживање извлачи следеће закључке:</w:t>
      </w:r>
    </w:p>
    <w:p w:rsidR="001E6839" w:rsidRPr="00540D1D" w:rsidRDefault="001E6839" w:rsidP="008A3795">
      <w:pPr>
        <w:numPr>
          <w:ilvl w:val="0"/>
          <w:numId w:val="19"/>
        </w:numPr>
        <w:jc w:val="both"/>
        <w:rPr>
          <w:rFonts w:ascii="Times New Roman" w:hAnsi="Times New Roman"/>
          <w:sz w:val="24"/>
          <w:szCs w:val="24"/>
        </w:rPr>
      </w:pPr>
      <w:r>
        <w:rPr>
          <w:rFonts w:ascii="Times New Roman" w:hAnsi="Times New Roman"/>
          <w:sz w:val="24"/>
          <w:szCs w:val="24"/>
          <w:lang w:val="sr-Cyrl-CS"/>
        </w:rPr>
        <w:t xml:space="preserve">Не постоји позитивна корелација између пореских стопа и величине сиве економије. Према процени </w:t>
      </w:r>
      <w:r>
        <w:rPr>
          <w:rFonts w:ascii="Times New Roman" w:hAnsi="Times New Roman"/>
          <w:sz w:val="24"/>
          <w:szCs w:val="24"/>
        </w:rPr>
        <w:t>TICPI (Transparency International Corruption Perception Index)</w:t>
      </w:r>
      <w:r>
        <w:rPr>
          <w:rFonts w:ascii="Times New Roman" w:hAnsi="Times New Roman"/>
          <w:sz w:val="24"/>
          <w:szCs w:val="24"/>
          <w:lang w:val="sr-Cyrl-CS"/>
        </w:rPr>
        <w:t xml:space="preserve"> Шведска спада међу најтранспарентније земље са малим обимом сиве економије, иако спада међу земље са највишим пореским стопама. Са друге стране, Русија, са једном од најнижих пореских стопа, обично се сврстава међу најнетранспарентније земље са великим обимом сиве економије.</w:t>
      </w:r>
      <w:r>
        <w:rPr>
          <w:rFonts w:ascii="Times New Roman" w:hAnsi="Times New Roman"/>
          <w:sz w:val="24"/>
          <w:szCs w:val="24"/>
        </w:rPr>
        <w:t xml:space="preserve"> </w:t>
      </w:r>
    </w:p>
    <w:p w:rsidR="001E6839" w:rsidRPr="00540D1D" w:rsidRDefault="001E6839" w:rsidP="008A3795">
      <w:pPr>
        <w:numPr>
          <w:ilvl w:val="0"/>
          <w:numId w:val="19"/>
        </w:numPr>
        <w:jc w:val="both"/>
        <w:rPr>
          <w:rFonts w:ascii="Times New Roman" w:hAnsi="Times New Roman"/>
          <w:sz w:val="24"/>
          <w:szCs w:val="24"/>
        </w:rPr>
      </w:pPr>
      <w:r>
        <w:rPr>
          <w:rFonts w:ascii="Times New Roman" w:hAnsi="Times New Roman"/>
          <w:sz w:val="24"/>
          <w:szCs w:val="24"/>
          <w:lang w:val="sr-Cyrl-CS"/>
        </w:rPr>
        <w:t xml:space="preserve">Са порастом корупције расте и сива економија. То значи да је корупција тесно повезана са сивом економијом, али није нужно у корелацији са пореским стопама. </w:t>
      </w:r>
    </w:p>
    <w:p w:rsidR="001E6839" w:rsidRPr="00540D1D" w:rsidRDefault="001E6839" w:rsidP="008A3795">
      <w:pPr>
        <w:numPr>
          <w:ilvl w:val="0"/>
          <w:numId w:val="19"/>
        </w:numPr>
        <w:jc w:val="both"/>
        <w:rPr>
          <w:rFonts w:ascii="Times New Roman" w:hAnsi="Times New Roman"/>
          <w:sz w:val="24"/>
          <w:szCs w:val="24"/>
        </w:rPr>
      </w:pPr>
      <w:r>
        <w:rPr>
          <w:rFonts w:ascii="Times New Roman" w:hAnsi="Times New Roman"/>
          <w:sz w:val="24"/>
          <w:szCs w:val="24"/>
          <w:lang w:val="sr-Cyrl-CS"/>
        </w:rPr>
        <w:t>Порески приходи (као % БДП) су у негативној корелацији са величином сиве економије.</w:t>
      </w:r>
    </w:p>
    <w:p w:rsidR="001E6839" w:rsidRPr="005C5288" w:rsidRDefault="001E6839" w:rsidP="008A3795">
      <w:pPr>
        <w:numPr>
          <w:ilvl w:val="0"/>
          <w:numId w:val="19"/>
        </w:numPr>
        <w:jc w:val="both"/>
        <w:rPr>
          <w:rFonts w:ascii="Times New Roman" w:hAnsi="Times New Roman"/>
          <w:sz w:val="24"/>
          <w:szCs w:val="24"/>
        </w:rPr>
      </w:pPr>
      <w:r>
        <w:rPr>
          <w:rFonts w:ascii="Times New Roman" w:hAnsi="Times New Roman"/>
          <w:sz w:val="24"/>
          <w:szCs w:val="24"/>
          <w:lang w:val="sr-Cyrl-CS"/>
        </w:rPr>
        <w:t>Порески приходи расту са порастом транспарентности.</w:t>
      </w:r>
    </w:p>
    <w:p w:rsidR="001E6839" w:rsidRDefault="001E6839" w:rsidP="001E6839">
      <w:pPr>
        <w:ind w:firstLine="360"/>
        <w:jc w:val="both"/>
        <w:rPr>
          <w:rFonts w:ascii="Times New Roman" w:hAnsi="Times New Roman"/>
          <w:sz w:val="24"/>
          <w:szCs w:val="24"/>
        </w:rPr>
      </w:pPr>
      <w:r>
        <w:rPr>
          <w:rFonts w:ascii="Times New Roman" w:hAnsi="Times New Roman"/>
          <w:sz w:val="24"/>
          <w:szCs w:val="24"/>
          <w:lang w:val="sr-Cyrl-CS"/>
        </w:rPr>
        <w:t xml:space="preserve">Први закључак не негира чињеницу да се сива економија користи како би се избегао порез, а у томе је битан фактор корупција јавних служби, што омогућава избегавање пореза. То потврђује други закључак да са порстом корупције расте и сива економија. Међутим, присуство корупције и повећање пореских стопа резултирају повећањем обима сиве економије, што доводи до мањих пореских прихода, што потврђује трећи закључак. Имајући у виду позитивну корелацију између сиве економије и корупције, према другом закључку, приход је у негативној корелацији са корупцијом јавног сектора, што потврђује даље четврти закључак. </w:t>
      </w:r>
    </w:p>
    <w:p w:rsidR="001E6839" w:rsidRDefault="001E6839" w:rsidP="001E6839">
      <w:pPr>
        <w:ind w:firstLine="360"/>
        <w:jc w:val="both"/>
        <w:rPr>
          <w:rFonts w:ascii="Times New Roman" w:hAnsi="Times New Roman"/>
          <w:sz w:val="24"/>
          <w:szCs w:val="24"/>
          <w:lang w:val="sr-Cyrl-CS"/>
        </w:rPr>
      </w:pPr>
      <w:r>
        <w:rPr>
          <w:rFonts w:ascii="Times New Roman" w:hAnsi="Times New Roman"/>
          <w:sz w:val="24"/>
          <w:szCs w:val="24"/>
          <w:lang w:val="sr-Cyrl-CS"/>
        </w:rPr>
        <w:t xml:space="preserve">У сваком случају, распрострањеност овог феномена указује на поремећаје у развоју привреде. Узроци сиве економије </w:t>
      </w:r>
      <w:r w:rsidR="004A1EC6">
        <w:rPr>
          <w:rFonts w:ascii="Times New Roman" w:hAnsi="Times New Roman"/>
          <w:sz w:val="24"/>
          <w:szCs w:val="24"/>
          <w:lang w:val="sr-Cyrl-CS"/>
        </w:rPr>
        <w:t>су вишеструки и могу се поделити на економске, психолошке</w:t>
      </w:r>
      <w:r>
        <w:rPr>
          <w:rFonts w:ascii="Times New Roman" w:hAnsi="Times New Roman"/>
          <w:sz w:val="24"/>
          <w:szCs w:val="24"/>
          <w:lang w:val="sr-Cyrl-CS"/>
        </w:rPr>
        <w:t xml:space="preserve"> и факторе опортунитета. </w:t>
      </w:r>
      <w:r w:rsidR="004A1EC6">
        <w:rPr>
          <w:rFonts w:ascii="Times New Roman" w:hAnsi="Times New Roman"/>
          <w:sz w:val="24"/>
          <w:szCs w:val="24"/>
          <w:lang w:val="sr-Cyrl-CS"/>
        </w:rPr>
        <w:t>Међу</w:t>
      </w:r>
      <w:r>
        <w:rPr>
          <w:rFonts w:ascii="Times New Roman" w:hAnsi="Times New Roman"/>
          <w:sz w:val="24"/>
          <w:szCs w:val="24"/>
          <w:lang w:val="sr-Cyrl-CS"/>
        </w:rPr>
        <w:t xml:space="preserve"> економске факторе </w:t>
      </w:r>
      <w:r w:rsidR="004A1EC6">
        <w:rPr>
          <w:rFonts w:ascii="Times New Roman" w:hAnsi="Times New Roman"/>
          <w:sz w:val="24"/>
          <w:szCs w:val="24"/>
          <w:lang w:val="sr-Cyrl-CS"/>
        </w:rPr>
        <w:t>убрајамо финансијске</w:t>
      </w:r>
      <w:r>
        <w:rPr>
          <w:rFonts w:ascii="Times New Roman" w:hAnsi="Times New Roman"/>
          <w:sz w:val="24"/>
          <w:szCs w:val="24"/>
          <w:lang w:val="sr-Cyrl-CS"/>
        </w:rPr>
        <w:t xml:space="preserve"> пробле</w:t>
      </w:r>
      <w:r w:rsidR="004A1EC6">
        <w:rPr>
          <w:rFonts w:ascii="Times New Roman" w:hAnsi="Times New Roman"/>
          <w:sz w:val="24"/>
          <w:szCs w:val="24"/>
          <w:lang w:val="sr-Cyrl-CS"/>
        </w:rPr>
        <w:t>ме</w:t>
      </w:r>
      <w:r>
        <w:rPr>
          <w:rFonts w:ascii="Times New Roman" w:hAnsi="Times New Roman"/>
          <w:sz w:val="24"/>
          <w:szCs w:val="24"/>
          <w:lang w:val="sr-Cyrl-CS"/>
        </w:rPr>
        <w:t>, вис</w:t>
      </w:r>
      <w:r w:rsidR="004A1EC6">
        <w:rPr>
          <w:rFonts w:ascii="Times New Roman" w:hAnsi="Times New Roman"/>
          <w:sz w:val="24"/>
          <w:szCs w:val="24"/>
          <w:lang w:val="sr-Cyrl-CS"/>
        </w:rPr>
        <w:t>оке пореске обавезе, вероватноћу</w:t>
      </w:r>
      <w:r>
        <w:rPr>
          <w:rFonts w:ascii="Times New Roman" w:hAnsi="Times New Roman"/>
          <w:sz w:val="24"/>
          <w:szCs w:val="24"/>
          <w:lang w:val="sr-Cyrl-CS"/>
        </w:rPr>
        <w:t xml:space="preserve"> детекције (нада да пореска утаја неће бити откривена), строгост санкција (нада да санкције неће </w:t>
      </w:r>
      <w:r w:rsidR="00D65448">
        <w:rPr>
          <w:rFonts w:ascii="Times New Roman" w:hAnsi="Times New Roman"/>
          <w:sz w:val="24"/>
          <w:szCs w:val="24"/>
          <w:lang w:val="sr-Cyrl-CS"/>
        </w:rPr>
        <w:t>бити оштре), очекивани профит (</w:t>
      </w:r>
      <w:r>
        <w:rPr>
          <w:rFonts w:ascii="Times New Roman" w:hAnsi="Times New Roman"/>
          <w:sz w:val="24"/>
          <w:szCs w:val="24"/>
          <w:lang w:val="sr-Cyrl-CS"/>
        </w:rPr>
        <w:t xml:space="preserve">висок профит због високог ризика) и др. </w:t>
      </w:r>
      <w:r w:rsidR="004A1EC6">
        <w:rPr>
          <w:rFonts w:ascii="Times New Roman" w:hAnsi="Times New Roman"/>
          <w:sz w:val="24"/>
          <w:szCs w:val="24"/>
          <w:lang w:val="sr-Cyrl-CS"/>
        </w:rPr>
        <w:t>У</w:t>
      </w:r>
      <w:r>
        <w:rPr>
          <w:rFonts w:ascii="Times New Roman" w:hAnsi="Times New Roman"/>
          <w:sz w:val="24"/>
          <w:szCs w:val="24"/>
          <w:lang w:val="sr-Cyrl-CS"/>
        </w:rPr>
        <w:t xml:space="preserve"> психолошке факторе </w:t>
      </w:r>
      <w:r w:rsidR="004A1EC6">
        <w:rPr>
          <w:rFonts w:ascii="Times New Roman" w:hAnsi="Times New Roman"/>
          <w:sz w:val="24"/>
          <w:szCs w:val="24"/>
          <w:lang w:val="sr-Cyrl-CS"/>
        </w:rPr>
        <w:t>спадају</w:t>
      </w:r>
      <w:r>
        <w:rPr>
          <w:rFonts w:ascii="Times New Roman" w:hAnsi="Times New Roman"/>
          <w:sz w:val="24"/>
          <w:szCs w:val="24"/>
          <w:lang w:val="sr-Cyrl-CS"/>
        </w:rPr>
        <w:t xml:space="preserve"> неслагање са циљевима и средствима економске политике, као и став према ризику. </w:t>
      </w:r>
      <w:r w:rsidR="004A1EC6">
        <w:rPr>
          <w:rFonts w:ascii="Times New Roman" w:hAnsi="Times New Roman"/>
          <w:sz w:val="24"/>
          <w:szCs w:val="24"/>
          <w:lang w:val="sr-Cyrl-CS"/>
        </w:rPr>
        <w:lastRenderedPageBreak/>
        <w:t>Најзначајнији</w:t>
      </w:r>
      <w:r>
        <w:rPr>
          <w:rFonts w:ascii="Times New Roman" w:hAnsi="Times New Roman"/>
          <w:sz w:val="24"/>
          <w:szCs w:val="24"/>
          <w:lang w:val="sr-Cyrl-CS"/>
        </w:rPr>
        <w:t xml:space="preserve"> фактор опортунитета </w:t>
      </w:r>
      <w:r w:rsidR="004A1EC6">
        <w:rPr>
          <w:rFonts w:ascii="Times New Roman" w:hAnsi="Times New Roman"/>
          <w:sz w:val="24"/>
          <w:szCs w:val="24"/>
          <w:lang w:val="sr-Cyrl-CS"/>
        </w:rPr>
        <w:t>је</w:t>
      </w:r>
      <w:r>
        <w:rPr>
          <w:rFonts w:ascii="Times New Roman" w:hAnsi="Times New Roman"/>
          <w:sz w:val="24"/>
          <w:szCs w:val="24"/>
          <w:lang w:val="sr-Cyrl-CS"/>
        </w:rPr>
        <w:t xml:space="preserve"> радно искусто и образовање значајно за налажење посла и његово успешно обављање изван законске регулативе.</w:t>
      </w:r>
      <w:r>
        <w:rPr>
          <w:rStyle w:val="FootnoteReference"/>
          <w:rFonts w:ascii="Times New Roman" w:hAnsi="Times New Roman"/>
          <w:sz w:val="24"/>
          <w:szCs w:val="24"/>
          <w:lang w:val="sr-Cyrl-CS"/>
        </w:rPr>
        <w:footnoteReference w:id="118"/>
      </w:r>
    </w:p>
    <w:p w:rsidR="001E6839" w:rsidRDefault="001E6839" w:rsidP="001E6839">
      <w:pPr>
        <w:ind w:firstLine="360"/>
        <w:jc w:val="both"/>
        <w:rPr>
          <w:rFonts w:ascii="Times New Roman" w:hAnsi="Times New Roman"/>
          <w:sz w:val="24"/>
          <w:szCs w:val="24"/>
          <w:lang w:val="sr-Cyrl-CS"/>
        </w:rPr>
      </w:pPr>
      <w:r>
        <w:rPr>
          <w:rFonts w:ascii="Times New Roman" w:hAnsi="Times New Roman"/>
          <w:sz w:val="24"/>
          <w:szCs w:val="24"/>
          <w:lang w:val="sr-Cyrl-CS"/>
        </w:rPr>
        <w:t xml:space="preserve">Процес глобализације у савременом свету погодовао је повећању сиве економије. Од краја осамдесетих долази до прилива миграната у земље ЕУ из Земаља трећег света и Источне Европе. Оваква појава се често посматра као главни фактор који доприноси повећању проблема рада „на црно“ у ЕУ. </w:t>
      </w:r>
      <w:r>
        <w:rPr>
          <w:rFonts w:ascii="Times New Roman" w:hAnsi="Times New Roman"/>
          <w:sz w:val="24"/>
          <w:szCs w:val="24"/>
          <w:shd w:val="clear" w:color="auto" w:fill="FFFFFF"/>
          <w:lang w:val="sr-Cyrl-CS"/>
        </w:rPr>
        <w:t>Ангажовање радника „на црно“ или пријављивање нижих зарада од стварно исплаћених држава бива ускраћена за плаћање пореза и доприноса и тиме се стварају нижи трошкови пословања</w:t>
      </w:r>
      <w:r>
        <w:rPr>
          <w:rFonts w:ascii="Times New Roman" w:hAnsi="Times New Roman"/>
          <w:sz w:val="24"/>
          <w:szCs w:val="24"/>
          <w:lang w:val="sr-Cyrl-CS"/>
        </w:rPr>
        <w:t xml:space="preserve">. Међутим,  ова појава је у великој мери последица постојања домаће сиве економије, која има снажан утицај у глобализованом свету у коме неуравнотежен привредни систем у неразвијеним земљама подстиче склоност ка миграцијама у потрази за бољим животом. Оваква радна снага за којом развијене земље немају потребу, изазива вишак понуде радне снаге, која обавља непријављене послове у домену сиве економије. </w:t>
      </w:r>
    </w:p>
    <w:p w:rsidR="001E6839" w:rsidRDefault="001E6839" w:rsidP="001E6839">
      <w:pPr>
        <w:ind w:firstLine="360"/>
        <w:jc w:val="both"/>
        <w:rPr>
          <w:rFonts w:ascii="Times New Roman" w:hAnsi="Times New Roman"/>
          <w:sz w:val="24"/>
          <w:szCs w:val="24"/>
          <w:lang w:val="sr-Cyrl-CS"/>
        </w:rPr>
      </w:pPr>
      <w:r>
        <w:rPr>
          <w:rFonts w:ascii="Times New Roman" w:hAnsi="Times New Roman"/>
          <w:sz w:val="24"/>
          <w:szCs w:val="24"/>
          <w:lang w:val="sr-Cyrl-CS"/>
        </w:rPr>
        <w:t xml:space="preserve">Узимајући у обзир све касније поднете пријаве ради регулисања статуса, може се проценити да је број оваквих досељеника, који су ушли у одређену земљу без дозволе, велики и то је три од четири особе у Италији, а више од половине у Шпанији и Португалији. У Грчкој је то само један од десет странаца који тамо живе. Највећи број миграната није из најсиромашнијих земаља, већ из земаља које су на средњем нивоу развоја и то нису људи из најсиромашнијих слојева, него људи који имају материјалне и културне ресурсе да поднесу трошкове и невоље које носи имиграција. Ти људи емигрирају не због тога што су једва преживљавали, већ због пада њихових растућих очекивања изазваних глобализацијом модела западног  модерног свакодневног живота. Већина миграната долази из урбаних области неразвијених земаља, то су веома образовани млади људи, чије породице у њиховој земљи нису најугроженије. Ово је последица дубоких промена кроз које земље у развоју пролазе, а посебно се услед економског раста ствара вишак образованих радника, који више нису вољни да постану део домаћег недовољно развијеног економског система, а имају потребне информације и образовање да емигрирају и желе да напредују на социјалној лествици. Ови млади људи желе да одбаце традиционална ограничења која њихова средина носи и да живе западњачким начином живота, дакле не емигрирају из чисто економских разлога. Али, чак и </w:t>
      </w:r>
      <w:r>
        <w:rPr>
          <w:rFonts w:ascii="Times New Roman" w:hAnsi="Times New Roman"/>
          <w:sz w:val="24"/>
          <w:szCs w:val="24"/>
        </w:rPr>
        <w:t>o</w:t>
      </w:r>
      <w:r>
        <w:rPr>
          <w:rFonts w:ascii="Times New Roman" w:hAnsi="Times New Roman"/>
          <w:sz w:val="24"/>
          <w:szCs w:val="24"/>
          <w:lang w:val="sr-Cyrl-CS"/>
        </w:rPr>
        <w:t xml:space="preserve">ни који емигрирају из чисто економских разлога су мање вођени потребом да зараде новац, а више потребом да побољшају квалитет свог живота и чланова своје породице, која је остала у њиховој земљи. Дакле разлози нису само економски, него </w:t>
      </w:r>
      <w:r>
        <w:rPr>
          <w:rFonts w:ascii="Times New Roman" w:hAnsi="Times New Roman"/>
          <w:sz w:val="24"/>
          <w:szCs w:val="24"/>
        </w:rPr>
        <w:t xml:space="preserve">утицај имају </w:t>
      </w:r>
      <w:r>
        <w:rPr>
          <w:rFonts w:ascii="Times New Roman" w:hAnsi="Times New Roman"/>
          <w:sz w:val="24"/>
          <w:szCs w:val="24"/>
          <w:lang w:val="sr-Cyrl-CS"/>
        </w:rPr>
        <w:t>и културни фактори, при чему медијска пропаганда западњачког начина живота игра битну улогу. Сива економија оваквој радној снази нуди широк спектар за рад на пословима без било какве документације и  без дозволе боравка.</w:t>
      </w:r>
      <w:r>
        <w:rPr>
          <w:rStyle w:val="FootnoteReference"/>
          <w:rFonts w:ascii="Times New Roman" w:hAnsi="Times New Roman"/>
          <w:sz w:val="24"/>
          <w:szCs w:val="24"/>
          <w:lang w:val="sr-Cyrl-CS"/>
        </w:rPr>
        <w:footnoteReference w:id="119"/>
      </w:r>
      <w:r>
        <w:rPr>
          <w:rFonts w:ascii="Times New Roman" w:hAnsi="Times New Roman"/>
          <w:sz w:val="24"/>
          <w:szCs w:val="24"/>
          <w:lang w:val="sr-Cyrl-CS"/>
        </w:rPr>
        <w:t xml:space="preserve"> </w:t>
      </w:r>
    </w:p>
    <w:p w:rsidR="001E6839" w:rsidRDefault="00F3446F" w:rsidP="001E6839">
      <w:pPr>
        <w:ind w:firstLine="360"/>
        <w:jc w:val="both"/>
        <w:rPr>
          <w:rFonts w:ascii="Times New Roman" w:hAnsi="Times New Roman"/>
          <w:sz w:val="24"/>
          <w:szCs w:val="24"/>
          <w:lang w:val="sr-Cyrl-CS"/>
        </w:rPr>
      </w:pPr>
      <w:r>
        <w:rPr>
          <w:rFonts w:ascii="Times New Roman" w:hAnsi="Times New Roman"/>
          <w:sz w:val="24"/>
          <w:szCs w:val="24"/>
          <w:lang w:val="sr-Cyrl-CS"/>
        </w:rPr>
        <w:t>Сивој економији највише погодују</w:t>
      </w:r>
      <w:r w:rsidR="001E6839">
        <w:rPr>
          <w:rFonts w:ascii="Times New Roman" w:hAnsi="Times New Roman"/>
          <w:sz w:val="24"/>
          <w:szCs w:val="24"/>
          <w:lang w:val="sr-Cyrl-CS"/>
        </w:rPr>
        <w:t xml:space="preserve"> периоди криза и инфлација. </w:t>
      </w:r>
      <w:r>
        <w:rPr>
          <w:rFonts w:ascii="Times New Roman" w:hAnsi="Times New Roman"/>
          <w:sz w:val="24"/>
          <w:szCs w:val="24"/>
          <w:lang w:val="sr-Cyrl-CS"/>
        </w:rPr>
        <w:t>„</w:t>
      </w:r>
      <w:r w:rsidR="001E6839">
        <w:rPr>
          <w:rFonts w:ascii="Times New Roman" w:hAnsi="Times New Roman"/>
          <w:sz w:val="24"/>
          <w:szCs w:val="24"/>
          <w:lang w:val="sr-Cyrl-CS"/>
        </w:rPr>
        <w:t xml:space="preserve">Експанзијом посредничких активности на црном тржишту роба, новца и девизних средстава сива </w:t>
      </w:r>
      <w:r w:rsidR="001E6839">
        <w:rPr>
          <w:rFonts w:ascii="Times New Roman" w:hAnsi="Times New Roman"/>
          <w:sz w:val="24"/>
          <w:szCs w:val="24"/>
          <w:lang w:val="sr-Cyrl-CS"/>
        </w:rPr>
        <w:lastRenderedPageBreak/>
        <w:t>економија је у периоду од 1991. до 1995. године код нас била скоро „легализована“ с обзиром на то да су легални новчани токови са иностранством били блокирани, а у земљи је функционисање привреде било отежано великим административним ограничењима, високим порезима и неодговарајућом пореском политиком. Циљ ових нелегалних активности у поменутом периоду био је олакшавање промета, повећање обрта и циркулације робе и капитала. Најучесталије су биле трансакције које су се одвијале између друштвених предузећа и приватног сектора, уз избегавање плаћања пореза и трансакције везане за државну контролу издавања дозвола и доделе права за обављање трансакција које су биле под административним ограничењима.</w:t>
      </w:r>
      <w:r>
        <w:rPr>
          <w:rFonts w:ascii="Times New Roman" w:hAnsi="Times New Roman"/>
          <w:sz w:val="24"/>
          <w:szCs w:val="24"/>
          <w:lang w:val="sr-Cyrl-CS"/>
        </w:rPr>
        <w:t>“</w:t>
      </w:r>
      <w:r w:rsidR="001E6839">
        <w:rPr>
          <w:rStyle w:val="FootnoteReference"/>
          <w:rFonts w:ascii="Times New Roman" w:hAnsi="Times New Roman"/>
          <w:sz w:val="24"/>
          <w:szCs w:val="24"/>
          <w:lang w:val="sr-Cyrl-CS"/>
        </w:rPr>
        <w:footnoteReference w:id="120"/>
      </w:r>
    </w:p>
    <w:p w:rsidR="001E6839" w:rsidRDefault="001E6839" w:rsidP="001E6839">
      <w:pPr>
        <w:ind w:firstLine="360"/>
        <w:jc w:val="both"/>
        <w:rPr>
          <w:rFonts w:ascii="Times New Roman" w:hAnsi="Times New Roman"/>
          <w:sz w:val="24"/>
          <w:szCs w:val="24"/>
          <w:lang w:val="sr-Cyrl-CS"/>
        </w:rPr>
      </w:pPr>
      <w:r>
        <w:rPr>
          <w:rFonts w:ascii="Times New Roman" w:hAnsi="Times New Roman"/>
          <w:sz w:val="24"/>
          <w:szCs w:val="24"/>
          <w:lang w:val="sr-Cyrl-CS"/>
        </w:rPr>
        <w:t xml:space="preserve">У земљама у транзицији јављају се неки </w:t>
      </w:r>
      <w:r w:rsidR="00FB50E9">
        <w:rPr>
          <w:rFonts w:ascii="Times New Roman" w:hAnsi="Times New Roman"/>
          <w:sz w:val="24"/>
          <w:szCs w:val="24"/>
          <w:lang w:val="sr-Cyrl-CS"/>
        </w:rPr>
        <w:t>карактеристични</w:t>
      </w:r>
      <w:r>
        <w:rPr>
          <w:rFonts w:ascii="Times New Roman" w:hAnsi="Times New Roman"/>
          <w:sz w:val="24"/>
          <w:szCs w:val="24"/>
          <w:lang w:val="sr-Cyrl-CS"/>
        </w:rPr>
        <w:t xml:space="preserve"> облици сиве економије</w:t>
      </w:r>
      <w:r w:rsidR="00FE6C74">
        <w:rPr>
          <w:rFonts w:ascii="Times New Roman" w:hAnsi="Times New Roman"/>
          <w:sz w:val="24"/>
          <w:szCs w:val="24"/>
          <w:lang w:val="sr-Cyrl-CS"/>
        </w:rPr>
        <w:t xml:space="preserve"> као што су</w:t>
      </w:r>
      <w:r>
        <w:rPr>
          <w:rFonts w:ascii="Times New Roman" w:hAnsi="Times New Roman"/>
          <w:sz w:val="24"/>
          <w:szCs w:val="24"/>
          <w:lang w:val="sr-Cyrl-CS"/>
        </w:rPr>
        <w:t xml:space="preserve">: </w:t>
      </w:r>
      <w:r w:rsidR="00FE6C74">
        <w:rPr>
          <w:rFonts w:ascii="Times New Roman" w:hAnsi="Times New Roman"/>
          <w:sz w:val="24"/>
          <w:szCs w:val="24"/>
          <w:lang w:val="sr-Cyrl-CS"/>
        </w:rPr>
        <w:t>неевидентирање</w:t>
      </w:r>
      <w:r>
        <w:rPr>
          <w:rFonts w:ascii="Times New Roman" w:hAnsi="Times New Roman"/>
          <w:sz w:val="24"/>
          <w:szCs w:val="24"/>
          <w:lang w:val="sr-Cyrl-CS"/>
        </w:rPr>
        <w:t xml:space="preserve"> дела прихода </w:t>
      </w:r>
      <w:r w:rsidR="00FE6C74">
        <w:rPr>
          <w:rFonts w:ascii="Times New Roman" w:hAnsi="Times New Roman"/>
          <w:sz w:val="24"/>
          <w:szCs w:val="24"/>
          <w:lang w:val="sr-Cyrl-CS"/>
        </w:rPr>
        <w:t>који је остварен продајом</w:t>
      </w:r>
      <w:r w:rsidR="00FB50E9">
        <w:rPr>
          <w:rFonts w:ascii="Times New Roman" w:hAnsi="Times New Roman"/>
          <w:sz w:val="24"/>
          <w:szCs w:val="24"/>
          <w:lang w:val="sr-Cyrl-CS"/>
        </w:rPr>
        <w:t xml:space="preserve">, приказивање </w:t>
      </w:r>
      <w:r>
        <w:rPr>
          <w:rFonts w:ascii="Times New Roman" w:hAnsi="Times New Roman"/>
          <w:sz w:val="24"/>
          <w:szCs w:val="24"/>
          <w:lang w:val="sr-Cyrl-CS"/>
        </w:rPr>
        <w:t xml:space="preserve">инпута </w:t>
      </w:r>
      <w:r w:rsidR="00FB50E9">
        <w:rPr>
          <w:rFonts w:ascii="Times New Roman" w:hAnsi="Times New Roman"/>
          <w:sz w:val="24"/>
          <w:szCs w:val="24"/>
          <w:lang w:val="sr-Cyrl-CS"/>
        </w:rPr>
        <w:t xml:space="preserve">који нису плаћени </w:t>
      </w:r>
      <w:r>
        <w:rPr>
          <w:rFonts w:ascii="Times New Roman" w:hAnsi="Times New Roman"/>
          <w:sz w:val="24"/>
          <w:szCs w:val="24"/>
          <w:lang w:val="sr-Cyrl-CS"/>
        </w:rPr>
        <w:t xml:space="preserve">као трошкова сопствене производње, </w:t>
      </w:r>
      <w:r w:rsidR="00FB50E9">
        <w:rPr>
          <w:rFonts w:ascii="Times New Roman" w:hAnsi="Times New Roman"/>
          <w:sz w:val="24"/>
          <w:szCs w:val="24"/>
          <w:lang w:val="sr-Cyrl-CS"/>
        </w:rPr>
        <w:t>када се различити трошкови</w:t>
      </w:r>
      <w:r>
        <w:rPr>
          <w:rFonts w:ascii="Times New Roman" w:hAnsi="Times New Roman"/>
          <w:sz w:val="24"/>
          <w:szCs w:val="24"/>
          <w:lang w:val="sr-Cyrl-CS"/>
        </w:rPr>
        <w:t xml:space="preserve"> сопствено</w:t>
      </w:r>
      <w:r w:rsidR="00FB50E9">
        <w:rPr>
          <w:rFonts w:ascii="Times New Roman" w:hAnsi="Times New Roman"/>
          <w:sz w:val="24"/>
          <w:szCs w:val="24"/>
          <w:lang w:val="sr-Cyrl-CS"/>
        </w:rPr>
        <w:t>г</w:t>
      </w:r>
      <w:r>
        <w:rPr>
          <w:rFonts w:ascii="Times New Roman" w:hAnsi="Times New Roman"/>
          <w:sz w:val="24"/>
          <w:szCs w:val="24"/>
          <w:lang w:val="sr-Cyrl-CS"/>
        </w:rPr>
        <w:t xml:space="preserve"> домаћинс</w:t>
      </w:r>
      <w:r w:rsidR="00FB50E9">
        <w:rPr>
          <w:rFonts w:ascii="Times New Roman" w:hAnsi="Times New Roman"/>
          <w:sz w:val="24"/>
          <w:szCs w:val="24"/>
          <w:lang w:val="sr-Cyrl-CS"/>
        </w:rPr>
        <w:t>тва приказују</w:t>
      </w:r>
      <w:r>
        <w:rPr>
          <w:rFonts w:ascii="Times New Roman" w:hAnsi="Times New Roman"/>
          <w:sz w:val="24"/>
          <w:szCs w:val="24"/>
          <w:lang w:val="sr-Cyrl-CS"/>
        </w:rPr>
        <w:t xml:space="preserve"> </w:t>
      </w:r>
      <w:r w:rsidR="00FB50E9">
        <w:rPr>
          <w:rFonts w:ascii="Times New Roman" w:hAnsi="Times New Roman"/>
          <w:sz w:val="24"/>
          <w:szCs w:val="24"/>
          <w:lang w:val="sr-Cyrl-CS"/>
        </w:rPr>
        <w:t>као трошкови</w:t>
      </w:r>
      <w:r>
        <w:rPr>
          <w:rFonts w:ascii="Times New Roman" w:hAnsi="Times New Roman"/>
          <w:sz w:val="24"/>
          <w:szCs w:val="24"/>
          <w:lang w:val="sr-Cyrl-CS"/>
        </w:rPr>
        <w:t xml:space="preserve"> </w:t>
      </w:r>
      <w:r w:rsidR="00FB50E9">
        <w:rPr>
          <w:rFonts w:ascii="Times New Roman" w:hAnsi="Times New Roman"/>
          <w:sz w:val="24"/>
          <w:szCs w:val="24"/>
          <w:lang w:val="sr-Cyrl-CS"/>
        </w:rPr>
        <w:t>предузећа</w:t>
      </w:r>
      <w:r>
        <w:rPr>
          <w:rFonts w:ascii="Times New Roman" w:hAnsi="Times New Roman"/>
          <w:sz w:val="24"/>
          <w:szCs w:val="24"/>
          <w:lang w:val="sr-Cyrl-CS"/>
        </w:rPr>
        <w:t xml:space="preserve">, куповина и коришћење службених возила у приватне сврхе, </w:t>
      </w:r>
      <w:r w:rsidR="00FB50E9">
        <w:rPr>
          <w:rFonts w:ascii="Times New Roman" w:hAnsi="Times New Roman"/>
          <w:sz w:val="24"/>
          <w:szCs w:val="24"/>
          <w:lang w:val="sr-Cyrl-CS"/>
        </w:rPr>
        <w:t>приказивање приватних путовања као службених</w:t>
      </w:r>
      <w:r>
        <w:rPr>
          <w:rFonts w:ascii="Times New Roman" w:hAnsi="Times New Roman"/>
          <w:sz w:val="24"/>
          <w:szCs w:val="24"/>
          <w:lang w:val="sr-Cyrl-CS"/>
        </w:rPr>
        <w:t xml:space="preserve">, нелегални трансфер профита, </w:t>
      </w:r>
      <w:r w:rsidR="00FB50E9">
        <w:rPr>
          <w:rFonts w:ascii="Times New Roman" w:hAnsi="Times New Roman"/>
          <w:sz w:val="24"/>
          <w:szCs w:val="24"/>
          <w:lang w:val="sr-Cyrl-CS"/>
        </w:rPr>
        <w:t>смањивање</w:t>
      </w:r>
      <w:r>
        <w:rPr>
          <w:rFonts w:ascii="Times New Roman" w:hAnsi="Times New Roman"/>
          <w:sz w:val="24"/>
          <w:szCs w:val="24"/>
          <w:lang w:val="sr-Cyrl-CS"/>
        </w:rPr>
        <w:t xml:space="preserve"> залиха на крају године </w:t>
      </w:r>
      <w:r w:rsidR="00FB50E9">
        <w:rPr>
          <w:rFonts w:ascii="Times New Roman" w:hAnsi="Times New Roman"/>
          <w:sz w:val="24"/>
          <w:szCs w:val="24"/>
          <w:lang w:val="sr-Cyrl-CS"/>
        </w:rPr>
        <w:t>како би се смањио опорезован профит</w:t>
      </w:r>
      <w:r>
        <w:rPr>
          <w:rFonts w:ascii="Times New Roman" w:hAnsi="Times New Roman"/>
          <w:sz w:val="24"/>
          <w:szCs w:val="24"/>
          <w:lang w:val="sr-Cyrl-CS"/>
        </w:rPr>
        <w:t xml:space="preserve">, </w:t>
      </w:r>
      <w:r w:rsidR="00FB50E9">
        <w:rPr>
          <w:rFonts w:ascii="Times New Roman" w:hAnsi="Times New Roman"/>
          <w:sz w:val="24"/>
          <w:szCs w:val="24"/>
          <w:lang w:val="sr-Cyrl-CS"/>
        </w:rPr>
        <w:t xml:space="preserve">неевидентирање </w:t>
      </w:r>
      <w:r>
        <w:rPr>
          <w:rFonts w:ascii="Times New Roman" w:hAnsi="Times New Roman"/>
          <w:sz w:val="24"/>
          <w:szCs w:val="24"/>
          <w:lang w:val="sr-Cyrl-CS"/>
        </w:rPr>
        <w:t xml:space="preserve">исплата зарада запосленима, </w:t>
      </w:r>
      <w:r w:rsidR="00FB50E9">
        <w:rPr>
          <w:rFonts w:ascii="Times New Roman" w:hAnsi="Times New Roman"/>
          <w:sz w:val="24"/>
          <w:szCs w:val="24"/>
          <w:lang w:val="sr-Cyrl-CS"/>
        </w:rPr>
        <w:t>исплате зарада</w:t>
      </w:r>
      <w:r>
        <w:rPr>
          <w:rFonts w:ascii="Times New Roman" w:hAnsi="Times New Roman"/>
          <w:sz w:val="24"/>
          <w:szCs w:val="24"/>
          <w:lang w:val="sr-Cyrl-CS"/>
        </w:rPr>
        <w:t xml:space="preserve"> запосленима који нису пријављени, оснивање фантомских фирми итд.</w:t>
      </w:r>
      <w:r>
        <w:rPr>
          <w:rStyle w:val="FootnoteReference"/>
          <w:rFonts w:ascii="Times New Roman" w:hAnsi="Times New Roman"/>
          <w:sz w:val="24"/>
          <w:szCs w:val="24"/>
          <w:lang w:val="sr-Cyrl-CS"/>
        </w:rPr>
        <w:footnoteReference w:id="121"/>
      </w:r>
    </w:p>
    <w:p w:rsidR="001E6839" w:rsidRDefault="001E6839" w:rsidP="001E6839">
      <w:pPr>
        <w:ind w:firstLine="708"/>
        <w:jc w:val="both"/>
        <w:rPr>
          <w:rFonts w:ascii="Times New Roman" w:hAnsi="Times New Roman"/>
          <w:sz w:val="24"/>
          <w:szCs w:val="24"/>
          <w:lang w:val="sr-Cyrl-CS"/>
        </w:rPr>
      </w:pPr>
      <w:r>
        <w:rPr>
          <w:rFonts w:ascii="Times New Roman" w:hAnsi="Times New Roman"/>
          <w:sz w:val="24"/>
          <w:szCs w:val="24"/>
          <w:lang w:val="sr-Cyrl-CS"/>
        </w:rPr>
        <w:t>Фактори који утичу на сиву економију могу се поделити на следеће:</w:t>
      </w:r>
    </w:p>
    <w:p w:rsidR="001E6839" w:rsidRDefault="001E6839" w:rsidP="001E6839">
      <w:pPr>
        <w:jc w:val="both"/>
        <w:rPr>
          <w:rFonts w:ascii="Times New Roman" w:hAnsi="Times New Roman"/>
          <w:sz w:val="24"/>
          <w:szCs w:val="24"/>
          <w:lang w:val="sr-Cyrl-CS"/>
        </w:rPr>
      </w:pPr>
      <w:r>
        <w:rPr>
          <w:rFonts w:ascii="Times New Roman" w:hAnsi="Times New Roman"/>
          <w:sz w:val="24"/>
          <w:szCs w:val="24"/>
          <w:lang w:val="sr-Cyrl-CS"/>
        </w:rPr>
        <w:t>-Већи порески терет условљава већи обим сиве економије, јер дисторзија укупног пореског оптерећења утиче на однос рада и слободног времена и може да стимулише рад „на црно“. Већа разлика између цене рада у легалним токовима и након опорезивања доходака, представља подстицај за рад „на црно“ у циљу смањивања пореског оптерећења.</w:t>
      </w:r>
    </w:p>
    <w:p w:rsidR="001E6839" w:rsidRDefault="001E6839" w:rsidP="001E6839">
      <w:pPr>
        <w:jc w:val="both"/>
        <w:rPr>
          <w:rFonts w:ascii="Times New Roman" w:hAnsi="Times New Roman"/>
          <w:sz w:val="24"/>
          <w:szCs w:val="24"/>
          <w:lang w:val="sr-Cyrl-CS"/>
        </w:rPr>
      </w:pPr>
      <w:r>
        <w:rPr>
          <w:rFonts w:ascii="Times New Roman" w:hAnsi="Times New Roman"/>
          <w:sz w:val="24"/>
          <w:szCs w:val="24"/>
          <w:lang w:val="sr-Cyrl-CS"/>
        </w:rPr>
        <w:t>-Уколико је мањи порески морал већа је сива економија. Ефикасност јавног сектора има индиректан утицај на обим сиве економије, јер то утиче на порески морал. Веома је битна усклађеност права и обавеза између пореских обвезника и државе и њених пореских органа. Порески обвезници ће у већој мери измиривати своје пореске обавезе уколико добијају квалитетну јавну услугу у замену. Уколико се води транспарентна и фер пореска политика и порески обвезници ће је више поштовати. Такође, третман пореског обвезника од стране пореских органа игра важну улогу. Уколико се порески обвезници не третирају само као подређени у хијерархијском односу, они ће психолошки лакше подносити и испуњавати своје обавезе. Дакле, бољи порески морал и боље поштовање друштвених норми могу смањити вероватноћу појављивања рада „на црно“.</w:t>
      </w:r>
    </w:p>
    <w:p w:rsidR="001E6839" w:rsidRDefault="001E6839" w:rsidP="001E6839">
      <w:pPr>
        <w:jc w:val="both"/>
        <w:rPr>
          <w:rFonts w:ascii="Times New Roman" w:hAnsi="Times New Roman"/>
          <w:sz w:val="24"/>
          <w:szCs w:val="24"/>
          <w:lang w:val="sr-Cyrl-CS"/>
        </w:rPr>
      </w:pPr>
      <w:r>
        <w:rPr>
          <w:rFonts w:ascii="Times New Roman" w:hAnsi="Times New Roman"/>
          <w:sz w:val="24"/>
          <w:szCs w:val="24"/>
          <w:lang w:val="sr-Cyrl-CS"/>
        </w:rPr>
        <w:t>-Уколико је већа незапосленост већа је сива економија.</w:t>
      </w:r>
    </w:p>
    <w:p w:rsidR="001E6839" w:rsidRDefault="001E6839" w:rsidP="001E6839">
      <w:pPr>
        <w:jc w:val="both"/>
        <w:rPr>
          <w:rFonts w:ascii="Times New Roman" w:hAnsi="Times New Roman"/>
          <w:sz w:val="24"/>
          <w:szCs w:val="24"/>
          <w:lang w:val="sr-Cyrl-CS"/>
        </w:rPr>
      </w:pPr>
      <w:r>
        <w:rPr>
          <w:rFonts w:ascii="Times New Roman" w:hAnsi="Times New Roman"/>
          <w:sz w:val="24"/>
          <w:szCs w:val="24"/>
          <w:lang w:val="sr-Cyrl-CS"/>
        </w:rPr>
        <w:lastRenderedPageBreak/>
        <w:t>-Неефикасност прописа у области регулисања тржишта или трговинских баријера су важан фактор који сужава слободу (избора) појединаца у легалној економији. То доводи до значајног повећања трошкова рада у званичној економији пружајући тако још један мотив за рад у сивој економији.</w:t>
      </w:r>
    </w:p>
    <w:p w:rsidR="001E6839" w:rsidRPr="00534260" w:rsidRDefault="001E6839" w:rsidP="001E6839">
      <w:pPr>
        <w:jc w:val="both"/>
        <w:rPr>
          <w:rFonts w:ascii="Times New Roman" w:hAnsi="Times New Roman"/>
          <w:sz w:val="24"/>
          <w:szCs w:val="24"/>
          <w:lang w:val="sr-Cyrl-CS"/>
        </w:rPr>
      </w:pPr>
      <w:r>
        <w:rPr>
          <w:rFonts w:ascii="Times New Roman" w:hAnsi="Times New Roman"/>
          <w:sz w:val="24"/>
          <w:szCs w:val="24"/>
          <w:lang w:val="sr-Cyrl-CS"/>
        </w:rPr>
        <w:t>-Нижи квалитет надлежних институција (нема владавине права и заступљена корупција). Ово је веома битан фактор. Дискрециона примена пореских закона и прописа доприноси повећању степена сиве економије, чак и више од стварног пореског терета. Бирократија са корумпираним службеницима повећава постојање нелегалних токова, док са друге стране поштовање и спровођење закона у пракси повећава корисност легислативе.  Заправо, ефикасно спроведена пореска политика од стране надлежних органа утиче на ниво опорезивања. Пословање у домену сиве економије се развија као последица неуспеха политичких институција у промовисању ефикасне тржишне економије и сива економија се може смањити ако надлежне иснституције и фискална политика буду ефикасније и ближе преференцијама грађана.</w:t>
      </w:r>
    </w:p>
    <w:p w:rsidR="001E6839" w:rsidRDefault="001E6839" w:rsidP="001E6839">
      <w:pPr>
        <w:ind w:firstLine="360"/>
        <w:jc w:val="both"/>
        <w:rPr>
          <w:rFonts w:ascii="Times New Roman" w:hAnsi="Times New Roman"/>
          <w:sz w:val="24"/>
          <w:szCs w:val="24"/>
          <w:lang w:val="sr-Cyrl-CS"/>
        </w:rPr>
      </w:pPr>
      <w:r>
        <w:rPr>
          <w:rFonts w:ascii="Times New Roman" w:hAnsi="Times New Roman"/>
          <w:sz w:val="24"/>
          <w:szCs w:val="24"/>
          <w:lang w:val="sr-Cyrl-CS"/>
        </w:rPr>
        <w:t>Мере које могу да утичу на смањење сиве економије, које се наводе у ЕУ су следеће:</w:t>
      </w:r>
      <w:r>
        <w:rPr>
          <w:rStyle w:val="FootnoteReference"/>
          <w:rFonts w:ascii="Times New Roman" w:hAnsi="Times New Roman"/>
          <w:sz w:val="24"/>
          <w:szCs w:val="24"/>
          <w:lang w:val="sr-Cyrl-CS"/>
        </w:rPr>
        <w:footnoteReference w:id="122"/>
      </w:r>
    </w:p>
    <w:p w:rsidR="001E6839" w:rsidRDefault="001E6839" w:rsidP="001E6839">
      <w:pPr>
        <w:jc w:val="both"/>
        <w:rPr>
          <w:rFonts w:ascii="Times New Roman" w:hAnsi="Times New Roman"/>
          <w:sz w:val="24"/>
          <w:szCs w:val="24"/>
          <w:lang w:val="sr-Cyrl-CS"/>
        </w:rPr>
      </w:pPr>
      <w:r>
        <w:rPr>
          <w:rFonts w:ascii="Times New Roman" w:hAnsi="Times New Roman"/>
          <w:sz w:val="24"/>
          <w:szCs w:val="24"/>
          <w:lang w:val="sr-Cyrl-CS"/>
        </w:rPr>
        <w:t>-</w:t>
      </w:r>
      <w:r w:rsidR="00172F45">
        <w:rPr>
          <w:rFonts w:ascii="Times New Roman" w:hAnsi="Times New Roman"/>
          <w:sz w:val="24"/>
          <w:szCs w:val="24"/>
          <w:lang w:val="sr-Cyrl-CS"/>
        </w:rPr>
        <w:t>одговарајуће</w:t>
      </w:r>
      <w:r>
        <w:rPr>
          <w:rFonts w:ascii="Times New Roman" w:hAnsi="Times New Roman"/>
          <w:sz w:val="24"/>
          <w:szCs w:val="24"/>
          <w:lang w:val="sr-Cyrl-CS"/>
        </w:rPr>
        <w:t xml:space="preserve"> </w:t>
      </w:r>
      <w:r w:rsidR="00172F45">
        <w:rPr>
          <w:rFonts w:ascii="Times New Roman" w:hAnsi="Times New Roman"/>
          <w:sz w:val="24"/>
          <w:szCs w:val="24"/>
          <w:lang w:val="sr-Cyrl-CS"/>
        </w:rPr>
        <w:t>санкционисање незаконитих активности</w:t>
      </w:r>
      <w:r>
        <w:rPr>
          <w:rFonts w:ascii="Times New Roman" w:hAnsi="Times New Roman"/>
          <w:sz w:val="24"/>
          <w:szCs w:val="24"/>
          <w:lang w:val="sr-Cyrl-CS"/>
        </w:rPr>
        <w:t>,</w:t>
      </w:r>
    </w:p>
    <w:p w:rsidR="00172F45" w:rsidRDefault="00172F45" w:rsidP="001E6839">
      <w:pPr>
        <w:jc w:val="both"/>
        <w:rPr>
          <w:rFonts w:ascii="Times New Roman" w:hAnsi="Times New Roman"/>
          <w:sz w:val="24"/>
          <w:szCs w:val="24"/>
          <w:lang w:val="sr-Cyrl-CS"/>
        </w:rPr>
      </w:pPr>
      <w:r>
        <w:rPr>
          <w:rFonts w:ascii="Times New Roman" w:hAnsi="Times New Roman"/>
          <w:sz w:val="24"/>
          <w:szCs w:val="24"/>
          <w:lang w:val="sr-Cyrl-CS"/>
        </w:rPr>
        <w:t>-повећање ефикасности контроле чиме се повећава вероватноћа да ће делатности у сектору сиве економије бити откривене,</w:t>
      </w:r>
    </w:p>
    <w:p w:rsidR="00172F45" w:rsidRDefault="00172F45" w:rsidP="001E6839">
      <w:pPr>
        <w:jc w:val="both"/>
        <w:rPr>
          <w:rFonts w:ascii="Times New Roman" w:hAnsi="Times New Roman"/>
          <w:sz w:val="24"/>
          <w:szCs w:val="24"/>
          <w:lang w:val="sr-Cyrl-CS"/>
        </w:rPr>
      </w:pPr>
      <w:r>
        <w:rPr>
          <w:rFonts w:ascii="Times New Roman" w:hAnsi="Times New Roman"/>
          <w:sz w:val="24"/>
          <w:szCs w:val="24"/>
          <w:lang w:val="sr-Cyrl-CS"/>
        </w:rPr>
        <w:t>-електронски начин плаћања приликом куповине,</w:t>
      </w:r>
    </w:p>
    <w:p w:rsidR="00FE1A9F" w:rsidRDefault="00FE1A9F" w:rsidP="001E6839">
      <w:pPr>
        <w:jc w:val="both"/>
        <w:rPr>
          <w:rFonts w:ascii="Times New Roman" w:hAnsi="Times New Roman"/>
          <w:sz w:val="24"/>
          <w:szCs w:val="24"/>
          <w:lang w:val="sr-Cyrl-CS"/>
        </w:rPr>
      </w:pPr>
      <w:r>
        <w:rPr>
          <w:rFonts w:ascii="Times New Roman" w:hAnsi="Times New Roman"/>
          <w:sz w:val="24"/>
          <w:szCs w:val="24"/>
          <w:lang w:val="sr-Cyrl-CS"/>
        </w:rPr>
        <w:t>-увођење пореских олакшица за одређене активности у областима где је изражена сива економија,</w:t>
      </w:r>
    </w:p>
    <w:p w:rsidR="00FE1A9F" w:rsidRDefault="00FE1A9F" w:rsidP="001E6839">
      <w:pPr>
        <w:jc w:val="both"/>
        <w:rPr>
          <w:rFonts w:ascii="Times New Roman" w:hAnsi="Times New Roman"/>
          <w:sz w:val="24"/>
          <w:szCs w:val="24"/>
          <w:lang w:val="sr-Cyrl-CS"/>
        </w:rPr>
      </w:pPr>
      <w:r>
        <w:rPr>
          <w:rFonts w:ascii="Times New Roman" w:hAnsi="Times New Roman"/>
          <w:sz w:val="24"/>
          <w:szCs w:val="24"/>
          <w:lang w:val="sr-Cyrl-CS"/>
        </w:rPr>
        <w:t xml:space="preserve">-коришћење података електронских трансакција за контролу пореских обвезника и поређење са приказаним приходима. Уколико су приказани ниски приходи </w:t>
      </w:r>
      <w:r w:rsidR="008964A4">
        <w:rPr>
          <w:rFonts w:ascii="Times New Roman" w:hAnsi="Times New Roman"/>
          <w:sz w:val="24"/>
          <w:szCs w:val="24"/>
          <w:lang w:val="sr-Cyrl-CS"/>
        </w:rPr>
        <w:t xml:space="preserve">док је истовремено </w:t>
      </w:r>
      <w:r>
        <w:rPr>
          <w:rFonts w:ascii="Times New Roman" w:hAnsi="Times New Roman"/>
          <w:sz w:val="24"/>
          <w:szCs w:val="24"/>
          <w:lang w:val="sr-Cyrl-CS"/>
        </w:rPr>
        <w:t>повећ</w:t>
      </w:r>
      <w:r w:rsidR="008964A4">
        <w:rPr>
          <w:rFonts w:ascii="Times New Roman" w:hAnsi="Times New Roman"/>
          <w:sz w:val="24"/>
          <w:szCs w:val="24"/>
          <w:lang w:val="sr-Cyrl-CS"/>
        </w:rPr>
        <w:t>ан ниво приватне потрошње то мо</w:t>
      </w:r>
      <w:r>
        <w:rPr>
          <w:rFonts w:ascii="Times New Roman" w:hAnsi="Times New Roman"/>
          <w:sz w:val="24"/>
          <w:szCs w:val="24"/>
          <w:lang w:val="sr-Cyrl-CS"/>
        </w:rPr>
        <w:t>же бити показа</w:t>
      </w:r>
      <w:r w:rsidR="00A94DE5">
        <w:rPr>
          <w:rFonts w:ascii="Times New Roman" w:hAnsi="Times New Roman"/>
          <w:sz w:val="24"/>
          <w:szCs w:val="24"/>
          <w:lang w:val="sr-Cyrl-CS"/>
        </w:rPr>
        <w:t>тељ избегавања пореских обавеза,</w:t>
      </w:r>
    </w:p>
    <w:p w:rsidR="00A94DE5" w:rsidRDefault="00A94DE5" w:rsidP="001E6839">
      <w:pPr>
        <w:jc w:val="both"/>
        <w:rPr>
          <w:rFonts w:ascii="Times New Roman" w:hAnsi="Times New Roman"/>
          <w:sz w:val="24"/>
          <w:szCs w:val="24"/>
          <w:lang w:val="sr-Cyrl-CS"/>
        </w:rPr>
      </w:pPr>
      <w:r>
        <w:rPr>
          <w:rFonts w:ascii="Times New Roman" w:hAnsi="Times New Roman"/>
          <w:sz w:val="24"/>
          <w:szCs w:val="24"/>
          <w:lang w:val="sr-Cyrl-CS"/>
        </w:rPr>
        <w:t xml:space="preserve">-подизање пореског морала у корелацији са побољшањем пореског система кроз повећање његове правичности јер поступање пореских обвезника у складу са законом зависи  од  перцепције коју порески обвезници имају према  правичности пореског система и начину трошења пореских прихода, </w:t>
      </w:r>
    </w:p>
    <w:p w:rsidR="00A94DE5" w:rsidRDefault="00A94DE5" w:rsidP="001E6839">
      <w:pPr>
        <w:jc w:val="both"/>
        <w:rPr>
          <w:rFonts w:ascii="Times New Roman" w:hAnsi="Times New Roman"/>
          <w:sz w:val="24"/>
          <w:szCs w:val="24"/>
          <w:lang w:val="sr-Cyrl-CS"/>
        </w:rPr>
      </w:pPr>
      <w:r>
        <w:rPr>
          <w:rFonts w:ascii="Times New Roman" w:hAnsi="Times New Roman"/>
          <w:sz w:val="24"/>
          <w:szCs w:val="24"/>
          <w:lang w:val="sr-Cyrl-CS"/>
        </w:rPr>
        <w:t>-системско вођење такве политике којом се штити и негује порески порал становништа у комбинацији са успешним акцијама откривања незаконитих активности,</w:t>
      </w:r>
    </w:p>
    <w:p w:rsidR="008964A4" w:rsidRDefault="008964A4" w:rsidP="001E6839">
      <w:pPr>
        <w:jc w:val="both"/>
        <w:rPr>
          <w:rFonts w:ascii="Times New Roman" w:hAnsi="Times New Roman"/>
          <w:sz w:val="24"/>
          <w:szCs w:val="24"/>
          <w:lang w:val="sr-Cyrl-CS"/>
        </w:rPr>
      </w:pPr>
      <w:r>
        <w:rPr>
          <w:rFonts w:ascii="Times New Roman" w:hAnsi="Times New Roman"/>
          <w:sz w:val="24"/>
          <w:szCs w:val="24"/>
          <w:lang w:val="sr-Cyrl-CS"/>
        </w:rPr>
        <w:t>-обавезно електронско плаћање за куповине преко одређеног износа,</w:t>
      </w:r>
    </w:p>
    <w:p w:rsidR="00A94DE5" w:rsidRDefault="00A94DE5" w:rsidP="001E6839">
      <w:pPr>
        <w:jc w:val="both"/>
        <w:rPr>
          <w:rFonts w:ascii="Times New Roman" w:hAnsi="Times New Roman"/>
          <w:sz w:val="24"/>
          <w:szCs w:val="24"/>
          <w:lang w:val="sr-Cyrl-CS"/>
        </w:rPr>
      </w:pPr>
      <w:r>
        <w:rPr>
          <w:rFonts w:ascii="Times New Roman" w:hAnsi="Times New Roman"/>
          <w:sz w:val="24"/>
          <w:szCs w:val="24"/>
          <w:lang w:val="sr-Cyrl-CS"/>
        </w:rPr>
        <w:lastRenderedPageBreak/>
        <w:t xml:space="preserve">-системско осмишљавање и вођење кампања у којима се објашњавају негативни ефекти сиве економије чиме се подиже свест </w:t>
      </w:r>
      <w:r w:rsidR="00D27CA7">
        <w:rPr>
          <w:rFonts w:ascii="Times New Roman" w:hAnsi="Times New Roman"/>
          <w:sz w:val="24"/>
          <w:szCs w:val="24"/>
          <w:lang w:val="sr-Cyrl-CS"/>
        </w:rPr>
        <w:t>пореских обвезника,</w:t>
      </w:r>
    </w:p>
    <w:p w:rsidR="0076688C" w:rsidRDefault="0076688C" w:rsidP="001E6839">
      <w:pPr>
        <w:jc w:val="both"/>
        <w:rPr>
          <w:rFonts w:ascii="Times New Roman" w:hAnsi="Times New Roman"/>
          <w:sz w:val="24"/>
          <w:szCs w:val="24"/>
          <w:lang w:val="sr-Cyrl-CS"/>
        </w:rPr>
      </w:pPr>
      <w:r>
        <w:rPr>
          <w:rFonts w:ascii="Times New Roman" w:hAnsi="Times New Roman"/>
          <w:sz w:val="24"/>
          <w:szCs w:val="24"/>
          <w:lang w:val="sr-Cyrl-CS"/>
        </w:rPr>
        <w:t>-указивање на позитивне стране прикупљања и трошења пореских прихода, на ризике и трошкове које са собом носи непријављени рад, посебно на ризик од санкциј</w:t>
      </w:r>
      <w:r w:rsidR="008964A4">
        <w:rPr>
          <w:rFonts w:ascii="Times New Roman" w:hAnsi="Times New Roman"/>
          <w:sz w:val="24"/>
          <w:szCs w:val="24"/>
          <w:lang w:val="sr-Cyrl-CS"/>
        </w:rPr>
        <w:t>а</w:t>
      </w:r>
      <w:r>
        <w:rPr>
          <w:rFonts w:ascii="Times New Roman" w:hAnsi="Times New Roman"/>
          <w:sz w:val="24"/>
          <w:szCs w:val="24"/>
          <w:lang w:val="sr-Cyrl-CS"/>
        </w:rPr>
        <w:t>,</w:t>
      </w:r>
    </w:p>
    <w:p w:rsidR="001E6839" w:rsidRDefault="001E6839" w:rsidP="001E6839">
      <w:pPr>
        <w:jc w:val="both"/>
        <w:rPr>
          <w:rFonts w:ascii="Times New Roman" w:hAnsi="Times New Roman"/>
          <w:sz w:val="24"/>
          <w:szCs w:val="24"/>
          <w:lang w:val="sr-Cyrl-CS"/>
        </w:rPr>
      </w:pPr>
      <w:r>
        <w:rPr>
          <w:rFonts w:ascii="Times New Roman" w:hAnsi="Times New Roman"/>
          <w:sz w:val="24"/>
          <w:szCs w:val="24"/>
          <w:lang w:val="sr-Cyrl-CS"/>
        </w:rPr>
        <w:t xml:space="preserve">-поједностављење опорезивања </w:t>
      </w:r>
      <w:r w:rsidR="00D27CA7">
        <w:rPr>
          <w:rFonts w:ascii="Times New Roman" w:hAnsi="Times New Roman"/>
          <w:sz w:val="24"/>
          <w:szCs w:val="24"/>
          <w:lang w:val="sr-Cyrl-CS"/>
        </w:rPr>
        <w:t>и</w:t>
      </w:r>
      <w:r>
        <w:rPr>
          <w:rFonts w:ascii="Times New Roman" w:hAnsi="Times New Roman"/>
          <w:sz w:val="24"/>
          <w:szCs w:val="24"/>
          <w:lang w:val="sr-Cyrl-CS"/>
        </w:rPr>
        <w:t xml:space="preserve"> смањењ</w:t>
      </w:r>
      <w:r w:rsidR="00D27CA7">
        <w:rPr>
          <w:rFonts w:ascii="Times New Roman" w:hAnsi="Times New Roman"/>
          <w:sz w:val="24"/>
          <w:szCs w:val="24"/>
          <w:lang w:val="sr-Cyrl-CS"/>
        </w:rPr>
        <w:t>е трошкова</w:t>
      </w:r>
      <w:r>
        <w:rPr>
          <w:rFonts w:ascii="Times New Roman" w:hAnsi="Times New Roman"/>
          <w:sz w:val="24"/>
          <w:szCs w:val="24"/>
          <w:lang w:val="sr-Cyrl-CS"/>
        </w:rPr>
        <w:t>,</w:t>
      </w:r>
    </w:p>
    <w:p w:rsidR="001E6839" w:rsidRDefault="001E6839" w:rsidP="001E6839">
      <w:pPr>
        <w:jc w:val="both"/>
        <w:rPr>
          <w:rFonts w:ascii="Times New Roman" w:hAnsi="Times New Roman"/>
          <w:sz w:val="24"/>
          <w:szCs w:val="24"/>
          <w:lang w:val="sr-Cyrl-CS"/>
        </w:rPr>
      </w:pPr>
      <w:r>
        <w:rPr>
          <w:rFonts w:ascii="Times New Roman" w:hAnsi="Times New Roman"/>
          <w:sz w:val="24"/>
          <w:szCs w:val="24"/>
          <w:lang w:val="sr-Cyrl-CS"/>
        </w:rPr>
        <w:t>-</w:t>
      </w:r>
      <w:r w:rsidR="0076688C">
        <w:rPr>
          <w:rFonts w:ascii="Times New Roman" w:hAnsi="Times New Roman"/>
          <w:sz w:val="24"/>
          <w:szCs w:val="24"/>
          <w:lang w:val="sr-Cyrl-CS"/>
        </w:rPr>
        <w:t>унапређење</w:t>
      </w:r>
      <w:r>
        <w:rPr>
          <w:rFonts w:ascii="Times New Roman" w:hAnsi="Times New Roman"/>
          <w:sz w:val="24"/>
          <w:szCs w:val="24"/>
          <w:lang w:val="sr-Cyrl-CS"/>
        </w:rPr>
        <w:t xml:space="preserve"> савремених информационих си</w:t>
      </w:r>
      <w:r w:rsidR="0076688C">
        <w:rPr>
          <w:rFonts w:ascii="Times New Roman" w:hAnsi="Times New Roman"/>
          <w:sz w:val="24"/>
          <w:szCs w:val="24"/>
          <w:lang w:val="sr-Cyrl-CS"/>
        </w:rPr>
        <w:t xml:space="preserve">стема и </w:t>
      </w:r>
      <w:r>
        <w:rPr>
          <w:rFonts w:ascii="Times New Roman" w:hAnsi="Times New Roman"/>
          <w:sz w:val="24"/>
          <w:szCs w:val="24"/>
          <w:lang w:val="sr-Cyrl-CS"/>
        </w:rPr>
        <w:t>административних база података,</w:t>
      </w:r>
    </w:p>
    <w:p w:rsidR="001E6839" w:rsidRPr="0076688C" w:rsidRDefault="001E6839" w:rsidP="001E6839">
      <w:pPr>
        <w:jc w:val="both"/>
        <w:rPr>
          <w:rFonts w:ascii="Times New Roman" w:hAnsi="Times New Roman"/>
          <w:sz w:val="24"/>
          <w:szCs w:val="24"/>
          <w:lang w:val="sr-Cyrl-CS"/>
        </w:rPr>
      </w:pPr>
      <w:r>
        <w:rPr>
          <w:rFonts w:ascii="Times New Roman" w:hAnsi="Times New Roman"/>
          <w:sz w:val="24"/>
          <w:szCs w:val="24"/>
          <w:lang w:val="sr-Cyrl-CS"/>
        </w:rPr>
        <w:t xml:space="preserve">- </w:t>
      </w:r>
      <w:r w:rsidRPr="0076688C">
        <w:rPr>
          <w:rFonts w:ascii="Times New Roman" w:hAnsi="Times New Roman"/>
          <w:sz w:val="24"/>
          <w:szCs w:val="24"/>
          <w:lang w:val="sr-Cyrl-CS"/>
        </w:rPr>
        <w:t xml:space="preserve">повезано деловање </w:t>
      </w:r>
      <w:r w:rsidR="00A94DE5" w:rsidRPr="0076688C">
        <w:rPr>
          <w:rFonts w:ascii="Times New Roman" w:hAnsi="Times New Roman"/>
          <w:sz w:val="24"/>
          <w:szCs w:val="24"/>
          <w:lang w:val="sr-Cyrl-CS"/>
        </w:rPr>
        <w:t xml:space="preserve">и сарадња свих </w:t>
      </w:r>
      <w:r w:rsidRPr="0076688C">
        <w:rPr>
          <w:rFonts w:ascii="Times New Roman" w:hAnsi="Times New Roman"/>
          <w:sz w:val="24"/>
          <w:szCs w:val="24"/>
          <w:lang w:val="sr-Cyrl-CS"/>
        </w:rPr>
        <w:t>надлежних органа,</w:t>
      </w:r>
    </w:p>
    <w:p w:rsidR="001E6839" w:rsidRDefault="001E6839" w:rsidP="001E6839">
      <w:pPr>
        <w:jc w:val="both"/>
        <w:rPr>
          <w:rFonts w:ascii="Times New Roman" w:hAnsi="Times New Roman"/>
          <w:sz w:val="24"/>
          <w:szCs w:val="24"/>
          <w:lang w:val="sr-Cyrl-CS"/>
        </w:rPr>
      </w:pPr>
      <w:r w:rsidRPr="0076688C">
        <w:rPr>
          <w:rFonts w:ascii="Times New Roman" w:hAnsi="Times New Roman"/>
          <w:b/>
          <w:sz w:val="24"/>
          <w:szCs w:val="24"/>
          <w:lang w:val="sr-Cyrl-CS"/>
        </w:rPr>
        <w:t>-</w:t>
      </w:r>
      <w:r w:rsidRPr="0076688C">
        <w:rPr>
          <w:rFonts w:ascii="Times New Roman" w:hAnsi="Times New Roman"/>
          <w:sz w:val="24"/>
          <w:szCs w:val="24"/>
          <w:lang w:val="sr-Cyrl-CS"/>
        </w:rPr>
        <w:t xml:space="preserve">системски приступ регулисању </w:t>
      </w:r>
      <w:r w:rsidR="0076688C" w:rsidRPr="0076688C">
        <w:rPr>
          <w:rFonts w:ascii="Times New Roman" w:hAnsi="Times New Roman"/>
          <w:sz w:val="24"/>
          <w:szCs w:val="24"/>
          <w:lang w:val="sr-Cyrl-CS"/>
        </w:rPr>
        <w:t>непријављеног рада,</w:t>
      </w:r>
    </w:p>
    <w:p w:rsidR="008964A4" w:rsidRPr="0076688C" w:rsidRDefault="008964A4" w:rsidP="001E6839">
      <w:pPr>
        <w:jc w:val="both"/>
        <w:rPr>
          <w:rFonts w:ascii="Times New Roman" w:hAnsi="Times New Roman"/>
          <w:sz w:val="24"/>
          <w:szCs w:val="24"/>
          <w:lang w:val="sr-Cyrl-CS"/>
        </w:rPr>
      </w:pPr>
      <w:r>
        <w:rPr>
          <w:rFonts w:ascii="Times New Roman" w:hAnsi="Times New Roman"/>
          <w:sz w:val="24"/>
          <w:szCs w:val="24"/>
          <w:lang w:val="sr-Cyrl-CS"/>
        </w:rPr>
        <w:t>-ефикасније контроле у домену непријављеног рада и социјалне заштите,</w:t>
      </w:r>
    </w:p>
    <w:p w:rsidR="001E6839" w:rsidRDefault="001E6839" w:rsidP="001E6839">
      <w:pPr>
        <w:jc w:val="both"/>
        <w:rPr>
          <w:rFonts w:ascii="Times New Roman" w:hAnsi="Times New Roman"/>
          <w:sz w:val="24"/>
          <w:szCs w:val="24"/>
          <w:lang w:val="sr-Cyrl-CS"/>
        </w:rPr>
      </w:pPr>
      <w:r>
        <w:rPr>
          <w:rFonts w:ascii="Times New Roman" w:hAnsi="Times New Roman"/>
          <w:sz w:val="24"/>
          <w:szCs w:val="24"/>
          <w:lang w:val="sr-Cyrl-CS"/>
        </w:rPr>
        <w:t>-</w:t>
      </w:r>
      <w:r w:rsidR="0076688C">
        <w:rPr>
          <w:rFonts w:ascii="Times New Roman" w:hAnsi="Times New Roman"/>
          <w:sz w:val="24"/>
          <w:szCs w:val="24"/>
          <w:lang w:val="sr-Cyrl-CS"/>
        </w:rPr>
        <w:t xml:space="preserve">побољшање </w:t>
      </w:r>
      <w:r>
        <w:rPr>
          <w:rFonts w:ascii="Times New Roman" w:hAnsi="Times New Roman"/>
          <w:sz w:val="24"/>
          <w:szCs w:val="24"/>
          <w:lang w:val="sr-Cyrl-CS"/>
        </w:rPr>
        <w:t xml:space="preserve"> сарадњ</w:t>
      </w:r>
      <w:r w:rsidR="0076688C">
        <w:rPr>
          <w:rFonts w:ascii="Times New Roman" w:hAnsi="Times New Roman"/>
          <w:sz w:val="24"/>
          <w:szCs w:val="24"/>
          <w:lang w:val="sr-Cyrl-CS"/>
        </w:rPr>
        <w:t>е</w:t>
      </w:r>
      <w:r>
        <w:rPr>
          <w:rFonts w:ascii="Times New Roman" w:hAnsi="Times New Roman"/>
          <w:sz w:val="24"/>
          <w:szCs w:val="24"/>
          <w:lang w:val="sr-Cyrl-CS"/>
        </w:rPr>
        <w:t xml:space="preserve"> међу државама чланицама,</w:t>
      </w:r>
    </w:p>
    <w:p w:rsidR="001E6839" w:rsidRDefault="001E6839" w:rsidP="001E6839">
      <w:pPr>
        <w:jc w:val="both"/>
        <w:rPr>
          <w:rFonts w:ascii="Times New Roman" w:hAnsi="Times New Roman"/>
          <w:sz w:val="24"/>
          <w:szCs w:val="24"/>
          <w:lang w:val="sr-Cyrl-CS"/>
        </w:rPr>
      </w:pPr>
      <w:r>
        <w:rPr>
          <w:rFonts w:ascii="Times New Roman" w:hAnsi="Times New Roman"/>
          <w:sz w:val="24"/>
          <w:szCs w:val="24"/>
          <w:lang w:val="sr-Cyrl-CS"/>
        </w:rPr>
        <w:t>-</w:t>
      </w:r>
      <w:r w:rsidR="0076688C">
        <w:rPr>
          <w:rFonts w:ascii="Times New Roman" w:hAnsi="Times New Roman"/>
          <w:sz w:val="24"/>
          <w:szCs w:val="24"/>
          <w:lang w:val="sr-Cyrl-CS"/>
        </w:rPr>
        <w:t xml:space="preserve">заједничке контроле, стручне обуке кроз размене запослених у надлежним органима, упознавање са добрим решењима у пракси и мерама које </w:t>
      </w:r>
      <w:r w:rsidR="008964A4">
        <w:rPr>
          <w:rFonts w:ascii="Times New Roman" w:hAnsi="Times New Roman"/>
          <w:sz w:val="24"/>
          <w:szCs w:val="24"/>
          <w:lang w:val="sr-Cyrl-CS"/>
        </w:rPr>
        <w:t xml:space="preserve">су </w:t>
      </w:r>
      <w:r w:rsidR="0076688C">
        <w:rPr>
          <w:rFonts w:ascii="Times New Roman" w:hAnsi="Times New Roman"/>
          <w:sz w:val="24"/>
          <w:szCs w:val="24"/>
          <w:lang w:val="sr-Cyrl-CS"/>
        </w:rPr>
        <w:t xml:space="preserve">се показале ефикасне у циљу повећања стручности у </w:t>
      </w:r>
      <w:r w:rsidR="008964A4">
        <w:rPr>
          <w:rFonts w:ascii="Times New Roman" w:hAnsi="Times New Roman"/>
          <w:sz w:val="24"/>
          <w:szCs w:val="24"/>
          <w:lang w:val="sr-Cyrl-CS"/>
        </w:rPr>
        <w:t xml:space="preserve">поступку </w:t>
      </w:r>
      <w:r w:rsidR="0076688C">
        <w:rPr>
          <w:rFonts w:ascii="Times New Roman" w:hAnsi="Times New Roman"/>
          <w:sz w:val="24"/>
          <w:szCs w:val="24"/>
          <w:lang w:val="sr-Cyrl-CS"/>
        </w:rPr>
        <w:t>контрол</w:t>
      </w:r>
      <w:r w:rsidR="008964A4">
        <w:rPr>
          <w:rFonts w:ascii="Times New Roman" w:hAnsi="Times New Roman"/>
          <w:sz w:val="24"/>
          <w:szCs w:val="24"/>
          <w:lang w:val="sr-Cyrl-CS"/>
        </w:rPr>
        <w:t>е</w:t>
      </w:r>
      <w:r w:rsidR="0076688C">
        <w:rPr>
          <w:rFonts w:ascii="Times New Roman" w:hAnsi="Times New Roman"/>
          <w:sz w:val="24"/>
          <w:szCs w:val="24"/>
          <w:lang w:val="sr-Cyrl-CS"/>
        </w:rPr>
        <w:t xml:space="preserve"> и примени мера у овом домену.</w:t>
      </w:r>
    </w:p>
    <w:p w:rsidR="001E6839" w:rsidRDefault="001E6839" w:rsidP="001E6839">
      <w:pPr>
        <w:ind w:firstLine="708"/>
        <w:jc w:val="both"/>
        <w:rPr>
          <w:rFonts w:ascii="Times New Roman" w:hAnsi="Times New Roman"/>
          <w:sz w:val="24"/>
          <w:szCs w:val="24"/>
          <w:lang w:val="sr-Cyrl-CS"/>
        </w:rPr>
      </w:pPr>
      <w:r>
        <w:rPr>
          <w:rFonts w:ascii="Times New Roman" w:hAnsi="Times New Roman"/>
          <w:sz w:val="24"/>
          <w:szCs w:val="24"/>
          <w:lang w:val="sr-Cyrl-CS"/>
        </w:rPr>
        <w:t xml:space="preserve">Спречавање и одвраћање од рада на црно су првенствени задаци држава чланица ЕУ, које треба да примене низ мера које могу  бити превентивне, затим могу предузимати административне реформе и поједностављење и јачање надзора и механизма санкција. У 2012. години </w:t>
      </w:r>
      <w:r>
        <w:rPr>
          <w:rFonts w:ascii="Times New Roman" w:hAnsi="Times New Roman"/>
          <w:sz w:val="24"/>
          <w:szCs w:val="24"/>
        </w:rPr>
        <w:t xml:space="preserve">EUROFOUND </w:t>
      </w:r>
      <w:r>
        <w:rPr>
          <w:rFonts w:ascii="Times New Roman" w:hAnsi="Times New Roman"/>
          <w:sz w:val="24"/>
          <w:szCs w:val="24"/>
          <w:lang w:val="sr-Cyrl-CS"/>
        </w:rPr>
        <w:t>је представио преглед политичких смерница и мера које су имплементиране у државама чланицама ЕУ (ЕУ 27) и Норвешкој како би се бориле против рада „на црно“ од почетка рецесије 2008. године. Међутим, тренутно не постоји кохерентан приступ на нивоу ЕУ у борби против сиве економије, односно у спречавању рада „на црно“ и утаје пореза. У том циљу је у децембру 2012. године Европска комисија усвојила Акциони план</w:t>
      </w:r>
      <w:r>
        <w:rPr>
          <w:rStyle w:val="FootnoteReference"/>
          <w:rFonts w:ascii="Times New Roman" w:hAnsi="Times New Roman"/>
          <w:sz w:val="24"/>
          <w:szCs w:val="24"/>
          <w:lang w:val="sr-Cyrl-CS"/>
        </w:rPr>
        <w:footnoteReference w:id="123"/>
      </w:r>
      <w:r>
        <w:rPr>
          <w:rFonts w:ascii="Times New Roman" w:hAnsi="Times New Roman"/>
          <w:sz w:val="24"/>
          <w:szCs w:val="24"/>
          <w:lang w:val="sr-Cyrl-CS"/>
        </w:rPr>
        <w:t xml:space="preserve"> који обухвата преко тридесет мера за борбу против ових негативних појава, како би се заштитили приходи држава чланица. Приоритет држава чланица треба да буде поред унапређења националних пореских система и што боље искоришћавање постојећих мера и договор о новим правилима и стратегијама. </w:t>
      </w:r>
    </w:p>
    <w:p w:rsidR="001E6839" w:rsidRPr="00D43A7C" w:rsidRDefault="001E6839" w:rsidP="001E6839">
      <w:pPr>
        <w:ind w:firstLine="708"/>
        <w:jc w:val="both"/>
        <w:rPr>
          <w:rFonts w:ascii="Times New Roman" w:hAnsi="Times New Roman"/>
          <w:sz w:val="24"/>
          <w:szCs w:val="24"/>
          <w:lang w:val="sr-Cyrl-CS"/>
        </w:rPr>
      </w:pPr>
      <w:r>
        <w:rPr>
          <w:rFonts w:ascii="Times New Roman" w:hAnsi="Times New Roman"/>
          <w:sz w:val="24"/>
          <w:szCs w:val="24"/>
          <w:lang w:val="sr-Cyrl-CS"/>
        </w:rPr>
        <w:t xml:space="preserve">Повећање сиве економије </w:t>
      </w:r>
      <w:r w:rsidR="00954912">
        <w:rPr>
          <w:rFonts w:ascii="Times New Roman" w:hAnsi="Times New Roman"/>
          <w:sz w:val="24"/>
          <w:szCs w:val="24"/>
          <w:lang w:val="sr-Cyrl-CS"/>
        </w:rPr>
        <w:t>доводи до смањења јавних прихода</w:t>
      </w:r>
      <w:r>
        <w:rPr>
          <w:rFonts w:ascii="Times New Roman" w:hAnsi="Times New Roman"/>
          <w:sz w:val="24"/>
          <w:szCs w:val="24"/>
          <w:lang w:val="sr-Cyrl-CS"/>
        </w:rPr>
        <w:t xml:space="preserve"> што даље смањује квалитет и квантитет  јавних добара. </w:t>
      </w:r>
      <w:r w:rsidR="000A3369">
        <w:rPr>
          <w:rFonts w:ascii="Times New Roman" w:hAnsi="Times New Roman"/>
          <w:sz w:val="24"/>
          <w:szCs w:val="24"/>
          <w:lang w:val="sr-Cyrl-CS"/>
        </w:rPr>
        <w:t xml:space="preserve">Како би надоместила </w:t>
      </w:r>
      <w:r w:rsidR="00954912">
        <w:rPr>
          <w:rFonts w:ascii="Times New Roman" w:hAnsi="Times New Roman"/>
          <w:sz w:val="24"/>
          <w:szCs w:val="24"/>
          <w:lang w:val="sr-Cyrl-CS"/>
        </w:rPr>
        <w:t>смањен</w:t>
      </w:r>
      <w:r w:rsidR="000A3369">
        <w:rPr>
          <w:rFonts w:ascii="Times New Roman" w:hAnsi="Times New Roman"/>
          <w:sz w:val="24"/>
          <w:szCs w:val="24"/>
          <w:lang w:val="sr-Cyrl-CS"/>
        </w:rPr>
        <w:t>е</w:t>
      </w:r>
      <w:r w:rsidR="00954912">
        <w:rPr>
          <w:rFonts w:ascii="Times New Roman" w:hAnsi="Times New Roman"/>
          <w:sz w:val="24"/>
          <w:szCs w:val="24"/>
          <w:lang w:val="sr-Cyrl-CS"/>
        </w:rPr>
        <w:t xml:space="preserve"> јавн</w:t>
      </w:r>
      <w:r w:rsidR="000A3369">
        <w:rPr>
          <w:rFonts w:ascii="Times New Roman" w:hAnsi="Times New Roman"/>
          <w:sz w:val="24"/>
          <w:szCs w:val="24"/>
          <w:lang w:val="sr-Cyrl-CS"/>
        </w:rPr>
        <w:t>е</w:t>
      </w:r>
      <w:r w:rsidR="00954912">
        <w:rPr>
          <w:rFonts w:ascii="Times New Roman" w:hAnsi="Times New Roman"/>
          <w:sz w:val="24"/>
          <w:szCs w:val="24"/>
          <w:lang w:val="sr-Cyrl-CS"/>
        </w:rPr>
        <w:t xml:space="preserve"> приход</w:t>
      </w:r>
      <w:r w:rsidR="000A3369">
        <w:rPr>
          <w:rFonts w:ascii="Times New Roman" w:hAnsi="Times New Roman"/>
          <w:sz w:val="24"/>
          <w:szCs w:val="24"/>
          <w:lang w:val="sr-Cyrl-CS"/>
        </w:rPr>
        <w:t xml:space="preserve">е држава може да избегне поштовање одређених правних стадарда на тржишту рада, као шти су минималне зараде, максимални радни сати или безбедносни стандарди и административне процедуре. </w:t>
      </w:r>
      <w:r w:rsidR="00954912">
        <w:rPr>
          <w:rFonts w:ascii="Times New Roman" w:hAnsi="Times New Roman"/>
          <w:sz w:val="24"/>
          <w:szCs w:val="24"/>
          <w:lang w:val="sr-Cyrl-CS"/>
        </w:rPr>
        <w:t>Све то даље води јачању</w:t>
      </w:r>
      <w:r>
        <w:rPr>
          <w:rFonts w:ascii="Times New Roman" w:hAnsi="Times New Roman"/>
          <w:sz w:val="24"/>
          <w:szCs w:val="24"/>
          <w:lang w:val="sr-Cyrl-CS"/>
        </w:rPr>
        <w:t xml:space="preserve"> подстицај</w:t>
      </w:r>
      <w:r w:rsidR="00954912">
        <w:rPr>
          <w:rFonts w:ascii="Times New Roman" w:hAnsi="Times New Roman"/>
          <w:sz w:val="24"/>
          <w:szCs w:val="24"/>
          <w:lang w:val="sr-Cyrl-CS"/>
        </w:rPr>
        <w:t>а</w:t>
      </w:r>
      <w:r>
        <w:rPr>
          <w:rFonts w:ascii="Times New Roman" w:hAnsi="Times New Roman"/>
          <w:sz w:val="24"/>
          <w:szCs w:val="24"/>
          <w:lang w:val="sr-Cyrl-CS"/>
        </w:rPr>
        <w:t xml:space="preserve"> да се учествује у сивој економији. </w:t>
      </w:r>
      <w:r w:rsidR="00AB799A">
        <w:rPr>
          <w:rFonts w:ascii="Times New Roman" w:hAnsi="Times New Roman"/>
          <w:sz w:val="24"/>
          <w:szCs w:val="24"/>
          <w:lang w:val="sr-Cyrl-CS"/>
        </w:rPr>
        <w:t xml:space="preserve">Главни изазов је да се активности из домена сиве економије доведу у </w:t>
      </w:r>
      <w:r w:rsidR="00AB799A">
        <w:rPr>
          <w:rFonts w:ascii="Times New Roman" w:hAnsi="Times New Roman"/>
          <w:sz w:val="24"/>
          <w:szCs w:val="24"/>
          <w:lang w:val="sr-Cyrl-CS"/>
        </w:rPr>
        <w:lastRenderedPageBreak/>
        <w:t xml:space="preserve">званичну економију јер ће </w:t>
      </w:r>
      <w:r w:rsidR="00954912">
        <w:rPr>
          <w:rFonts w:ascii="Times New Roman" w:hAnsi="Times New Roman"/>
          <w:sz w:val="24"/>
          <w:szCs w:val="24"/>
          <w:lang w:val="sr-Cyrl-CS"/>
        </w:rPr>
        <w:t xml:space="preserve">се </w:t>
      </w:r>
      <w:r w:rsidR="00AB799A">
        <w:rPr>
          <w:rFonts w:ascii="Times New Roman" w:hAnsi="Times New Roman"/>
          <w:sz w:val="24"/>
          <w:szCs w:val="24"/>
          <w:lang w:val="sr-Cyrl-CS"/>
        </w:rPr>
        <w:t xml:space="preserve">тако </w:t>
      </w:r>
      <w:r w:rsidR="00954912">
        <w:rPr>
          <w:rFonts w:ascii="Times New Roman" w:hAnsi="Times New Roman"/>
          <w:sz w:val="24"/>
          <w:szCs w:val="24"/>
          <w:lang w:val="sr-Cyrl-CS"/>
        </w:rPr>
        <w:t xml:space="preserve">роба и даље производити и услуге пружати, а </w:t>
      </w:r>
      <w:r w:rsidR="00AB799A">
        <w:rPr>
          <w:rFonts w:ascii="Times New Roman" w:hAnsi="Times New Roman"/>
          <w:sz w:val="24"/>
          <w:szCs w:val="24"/>
          <w:lang w:val="sr-Cyrl-CS"/>
        </w:rPr>
        <w:t xml:space="preserve">држава </w:t>
      </w:r>
      <w:r w:rsidR="00954912">
        <w:rPr>
          <w:rFonts w:ascii="Times New Roman" w:hAnsi="Times New Roman"/>
          <w:sz w:val="24"/>
          <w:szCs w:val="24"/>
          <w:lang w:val="sr-Cyrl-CS"/>
        </w:rPr>
        <w:t xml:space="preserve">ће </w:t>
      </w:r>
      <w:r w:rsidR="00AB799A">
        <w:rPr>
          <w:rFonts w:ascii="Times New Roman" w:hAnsi="Times New Roman"/>
          <w:sz w:val="24"/>
          <w:szCs w:val="24"/>
          <w:lang w:val="sr-Cyrl-CS"/>
        </w:rPr>
        <w:t>повећати пореске приходе</w:t>
      </w:r>
      <w:r w:rsidR="00954912">
        <w:rPr>
          <w:rFonts w:ascii="Times New Roman" w:hAnsi="Times New Roman"/>
          <w:sz w:val="24"/>
          <w:szCs w:val="24"/>
          <w:lang w:val="sr-Cyrl-CS"/>
        </w:rPr>
        <w:t>.</w:t>
      </w:r>
      <w:r>
        <w:rPr>
          <w:rStyle w:val="FootnoteReference"/>
          <w:rFonts w:ascii="Times New Roman" w:hAnsi="Times New Roman"/>
          <w:sz w:val="24"/>
          <w:szCs w:val="24"/>
          <w:lang w:val="sr-Cyrl-CS"/>
        </w:rPr>
        <w:footnoteReference w:id="124"/>
      </w:r>
      <w:r>
        <w:rPr>
          <w:rFonts w:ascii="Times New Roman" w:hAnsi="Times New Roman"/>
          <w:sz w:val="24"/>
          <w:szCs w:val="24"/>
          <w:lang w:val="sr-Cyrl-CS"/>
        </w:rPr>
        <w:t xml:space="preserve"> </w:t>
      </w:r>
    </w:p>
    <w:p w:rsidR="001E6839" w:rsidRDefault="001E6839" w:rsidP="001E6839">
      <w:pPr>
        <w:rPr>
          <w:b/>
          <w:lang w:val="sr-Cyrl-CS"/>
        </w:rPr>
      </w:pPr>
    </w:p>
    <w:p w:rsidR="001E6839" w:rsidRDefault="001E6839" w:rsidP="008A3795">
      <w:pPr>
        <w:pStyle w:val="ListParagraph"/>
        <w:numPr>
          <w:ilvl w:val="0"/>
          <w:numId w:val="61"/>
        </w:numPr>
        <w:rPr>
          <w:rFonts w:ascii="Times New Roman" w:hAnsi="Times New Roman"/>
          <w:b/>
          <w:sz w:val="24"/>
          <w:szCs w:val="24"/>
          <w:lang w:val="sr-Cyrl-CS"/>
        </w:rPr>
      </w:pPr>
      <w:r w:rsidRPr="004238AC">
        <w:rPr>
          <w:rFonts w:ascii="Times New Roman" w:hAnsi="Times New Roman"/>
          <w:b/>
          <w:sz w:val="24"/>
          <w:szCs w:val="24"/>
          <w:lang w:val="sr-Cyrl-CS"/>
        </w:rPr>
        <w:t xml:space="preserve">Врсте </w:t>
      </w:r>
      <w:r>
        <w:rPr>
          <w:rFonts w:ascii="Times New Roman" w:hAnsi="Times New Roman"/>
          <w:b/>
          <w:sz w:val="24"/>
          <w:szCs w:val="24"/>
          <w:lang w:val="sr-Cyrl-CS"/>
        </w:rPr>
        <w:t xml:space="preserve"> </w:t>
      </w:r>
      <w:r w:rsidRPr="004238AC">
        <w:rPr>
          <w:rFonts w:ascii="Times New Roman" w:hAnsi="Times New Roman"/>
          <w:b/>
          <w:sz w:val="24"/>
          <w:szCs w:val="24"/>
          <w:lang w:val="sr-Cyrl-CS"/>
        </w:rPr>
        <w:t xml:space="preserve">избегавања плаћања пореза и однос са неким </w:t>
      </w:r>
      <w:r>
        <w:rPr>
          <w:rFonts w:ascii="Times New Roman" w:hAnsi="Times New Roman"/>
          <w:b/>
          <w:sz w:val="24"/>
          <w:szCs w:val="24"/>
          <w:lang w:val="sr-Cyrl-CS"/>
        </w:rPr>
        <w:t xml:space="preserve">другим </w:t>
      </w:r>
      <w:r w:rsidRPr="004238AC">
        <w:rPr>
          <w:rFonts w:ascii="Times New Roman" w:hAnsi="Times New Roman"/>
          <w:b/>
          <w:sz w:val="24"/>
          <w:szCs w:val="24"/>
          <w:lang w:val="sr-Cyrl-CS"/>
        </w:rPr>
        <w:t xml:space="preserve"> ефектима опорезивања</w:t>
      </w:r>
    </w:p>
    <w:p w:rsidR="001E6839" w:rsidRPr="004220EA" w:rsidRDefault="001E6839" w:rsidP="004220EA">
      <w:pPr>
        <w:rPr>
          <w:rFonts w:ascii="Times New Roman" w:hAnsi="Times New Roman"/>
          <w:b/>
          <w:sz w:val="24"/>
          <w:szCs w:val="24"/>
          <w:lang w:val="sr-Cyrl-CS"/>
        </w:rPr>
      </w:pPr>
    </w:p>
    <w:p w:rsidR="001E6839" w:rsidRPr="00BF318D" w:rsidRDefault="001E6839" w:rsidP="001E6839">
      <w:pPr>
        <w:ind w:firstLine="360"/>
        <w:jc w:val="both"/>
        <w:rPr>
          <w:rFonts w:ascii="Times New Roman" w:hAnsi="Times New Roman"/>
          <w:sz w:val="24"/>
          <w:szCs w:val="24"/>
        </w:rPr>
      </w:pPr>
      <w:r>
        <w:rPr>
          <w:rFonts w:ascii="Times New Roman" w:hAnsi="Times New Roman"/>
          <w:sz w:val="24"/>
          <w:szCs w:val="24"/>
          <w:lang w:val="sr-Cyrl-CS"/>
        </w:rPr>
        <w:t xml:space="preserve">Уобичајено се у финансијској литератури разликују законита и незаконита пореска евазија. </w:t>
      </w:r>
    </w:p>
    <w:p w:rsidR="001E6839" w:rsidRPr="00353AF0" w:rsidRDefault="001E6839" w:rsidP="001E6839">
      <w:pPr>
        <w:pStyle w:val="ListParagraph"/>
        <w:ind w:left="1069"/>
        <w:jc w:val="both"/>
        <w:rPr>
          <w:rFonts w:ascii="Times New Roman" w:hAnsi="Times New Roman"/>
          <w:b/>
          <w:sz w:val="24"/>
          <w:szCs w:val="24"/>
          <w:lang w:val="sr-Cyrl-CS"/>
        </w:rPr>
      </w:pPr>
    </w:p>
    <w:p w:rsidR="001E6839" w:rsidRDefault="001E6839" w:rsidP="001E6839">
      <w:pPr>
        <w:pStyle w:val="ListParagraph"/>
        <w:jc w:val="center"/>
        <w:rPr>
          <w:rFonts w:ascii="Times New Roman" w:hAnsi="Times New Roman"/>
          <w:b/>
          <w:sz w:val="24"/>
          <w:szCs w:val="24"/>
          <w:lang w:val="sr-Cyrl-CS"/>
        </w:rPr>
      </w:pPr>
      <w:r>
        <w:rPr>
          <w:rFonts w:ascii="Times New Roman" w:hAnsi="Times New Roman"/>
          <w:b/>
          <w:sz w:val="24"/>
          <w:szCs w:val="24"/>
          <w:lang w:val="sr-Cyrl-CS"/>
        </w:rPr>
        <w:t>4.1.Законита</w:t>
      </w:r>
      <w:r w:rsidRPr="00353AF0">
        <w:rPr>
          <w:rFonts w:ascii="Times New Roman" w:hAnsi="Times New Roman"/>
          <w:b/>
          <w:sz w:val="24"/>
          <w:szCs w:val="24"/>
          <w:lang w:val="sr-Cyrl-CS"/>
        </w:rPr>
        <w:t xml:space="preserve"> </w:t>
      </w:r>
      <w:r>
        <w:rPr>
          <w:rFonts w:ascii="Times New Roman" w:hAnsi="Times New Roman"/>
          <w:b/>
          <w:sz w:val="24"/>
          <w:szCs w:val="24"/>
          <w:lang w:val="sr-Cyrl-CS"/>
        </w:rPr>
        <w:t>пореска евазија</w:t>
      </w:r>
    </w:p>
    <w:p w:rsidR="00A76342" w:rsidRDefault="00A76342" w:rsidP="001E6839">
      <w:pPr>
        <w:pStyle w:val="ListParagraph"/>
        <w:jc w:val="center"/>
        <w:rPr>
          <w:rFonts w:ascii="Times New Roman" w:hAnsi="Times New Roman"/>
          <w:b/>
          <w:sz w:val="24"/>
          <w:szCs w:val="24"/>
          <w:lang w:val="sr-Cyrl-CS"/>
        </w:rPr>
      </w:pPr>
    </w:p>
    <w:p w:rsidR="00A76342" w:rsidRPr="00353AF0" w:rsidRDefault="00A76342" w:rsidP="001E6839">
      <w:pPr>
        <w:pStyle w:val="ListParagraph"/>
        <w:jc w:val="center"/>
        <w:rPr>
          <w:rFonts w:ascii="Times New Roman" w:hAnsi="Times New Roman"/>
          <w:sz w:val="24"/>
          <w:szCs w:val="24"/>
          <w:lang w:val="sr-Cyrl-CS"/>
        </w:rPr>
      </w:pPr>
    </w:p>
    <w:p w:rsidR="001E6839" w:rsidRPr="00353AF0" w:rsidRDefault="001E6839" w:rsidP="001E6839">
      <w:pPr>
        <w:ind w:firstLine="708"/>
        <w:jc w:val="both"/>
        <w:rPr>
          <w:rFonts w:ascii="Times New Roman" w:hAnsi="Times New Roman"/>
          <w:sz w:val="24"/>
          <w:szCs w:val="24"/>
        </w:rPr>
      </w:pPr>
      <w:r>
        <w:rPr>
          <w:rFonts w:ascii="Times New Roman" w:hAnsi="Times New Roman"/>
          <w:sz w:val="24"/>
          <w:szCs w:val="24"/>
          <w:lang w:val="sr-Cyrl-CS"/>
        </w:rPr>
        <w:t>Пореска евазија</w:t>
      </w:r>
      <w:r w:rsidRPr="00353AF0">
        <w:rPr>
          <w:rFonts w:ascii="Times New Roman" w:hAnsi="Times New Roman"/>
          <w:sz w:val="24"/>
          <w:szCs w:val="24"/>
          <w:lang w:val="sr-Cyrl-CS"/>
        </w:rPr>
        <w:t xml:space="preserve"> обухвата предузимање одређених радњи од стране пореских обвезника или пак пропуштање одређених радњи, са циљем да се избегне пореска обавеза. Законска </w:t>
      </w:r>
      <w:r>
        <w:rPr>
          <w:rFonts w:ascii="Times New Roman" w:hAnsi="Times New Roman"/>
          <w:sz w:val="24"/>
          <w:szCs w:val="24"/>
          <w:lang w:val="sr-Cyrl-CS"/>
        </w:rPr>
        <w:t xml:space="preserve">(легална, дозвољена) </w:t>
      </w:r>
      <w:r w:rsidRPr="00353AF0">
        <w:rPr>
          <w:rFonts w:ascii="Times New Roman" w:hAnsi="Times New Roman"/>
          <w:sz w:val="24"/>
          <w:szCs w:val="24"/>
          <w:lang w:val="sr-Cyrl-CS"/>
        </w:rPr>
        <w:t>евазија (eng. tax avoidance)</w:t>
      </w:r>
      <w:r>
        <w:rPr>
          <w:rFonts w:ascii="Times New Roman" w:hAnsi="Times New Roman"/>
          <w:sz w:val="24"/>
          <w:szCs w:val="24"/>
          <w:lang w:val="sr-Cyrl-CS"/>
        </w:rPr>
        <w:t xml:space="preserve"> је смањење висине плаћања пореза или избегавање плаћања пореза, које није у супротности са законом. Заправо, порески обвезници почињу размишљати како да избегну или смање своју пореску обавезу чим буду упознати да ће доћи до увођења неког новог пореског облика.</w:t>
      </w:r>
      <w:r w:rsidRPr="00E1709D">
        <w:rPr>
          <w:rFonts w:ascii="Times New Roman" w:hAnsi="Times New Roman"/>
          <w:sz w:val="24"/>
          <w:szCs w:val="24"/>
          <w:lang w:val="sr-Cyrl-CS"/>
        </w:rPr>
        <w:t xml:space="preserve"> </w:t>
      </w:r>
      <w:r>
        <w:rPr>
          <w:rFonts w:ascii="Times New Roman" w:hAnsi="Times New Roman"/>
          <w:sz w:val="24"/>
          <w:szCs w:val="24"/>
          <w:lang w:val="sr-Cyrl-CS"/>
        </w:rPr>
        <w:t xml:space="preserve">Енглески економиста Артур Пигу је запазио да већ само најављивање да ће бити уведен порез, изазива реакције  са циљем да се избегне или смањи пореска обавеза. Ради се о тзв. </w:t>
      </w:r>
      <w:r w:rsidRPr="004238AC">
        <w:rPr>
          <w:rFonts w:ascii="Times New Roman" w:hAnsi="Times New Roman"/>
          <w:sz w:val="24"/>
          <w:szCs w:val="24"/>
          <w:lang w:val="sr-Cyrl-CS"/>
        </w:rPr>
        <w:t xml:space="preserve">сигналном дејству пореза. </w:t>
      </w:r>
    </w:p>
    <w:p w:rsidR="001E6839" w:rsidRPr="004238AC" w:rsidRDefault="001E6839" w:rsidP="001E6839">
      <w:pPr>
        <w:pStyle w:val="ListParagraph"/>
        <w:ind w:left="0" w:firstLine="708"/>
        <w:jc w:val="both"/>
        <w:rPr>
          <w:rFonts w:ascii="Times New Roman" w:hAnsi="Times New Roman"/>
          <w:sz w:val="24"/>
          <w:szCs w:val="24"/>
          <w:lang w:val="sr-Cyrl-CS"/>
        </w:rPr>
      </w:pPr>
    </w:p>
    <w:p w:rsidR="001E6839" w:rsidRDefault="001E6839" w:rsidP="001E6839">
      <w:pPr>
        <w:pStyle w:val="ListParagraph"/>
        <w:ind w:left="0" w:firstLine="708"/>
        <w:jc w:val="both"/>
        <w:rPr>
          <w:rFonts w:ascii="Times New Roman" w:hAnsi="Times New Roman"/>
          <w:sz w:val="24"/>
          <w:szCs w:val="24"/>
          <w:lang w:val="sr-Cyrl-CS"/>
        </w:rPr>
      </w:pPr>
      <w:r>
        <w:rPr>
          <w:rFonts w:ascii="Times New Roman" w:hAnsi="Times New Roman"/>
          <w:sz w:val="24"/>
          <w:szCs w:val="24"/>
          <w:lang w:val="sr-Cyrl-CS"/>
        </w:rPr>
        <w:t xml:space="preserve">У привреди </w:t>
      </w:r>
      <w:r w:rsidR="00555DD2">
        <w:rPr>
          <w:rFonts w:ascii="Times New Roman" w:hAnsi="Times New Roman"/>
          <w:sz w:val="24"/>
          <w:szCs w:val="24"/>
          <w:lang w:val="sr-Cyrl-CS"/>
        </w:rPr>
        <w:t xml:space="preserve">се </w:t>
      </w:r>
      <w:r>
        <w:rPr>
          <w:rFonts w:ascii="Times New Roman" w:hAnsi="Times New Roman"/>
          <w:sz w:val="24"/>
          <w:szCs w:val="24"/>
          <w:lang w:val="sr-Cyrl-CS"/>
        </w:rPr>
        <w:t xml:space="preserve">сигнална дејства могу јавити у периоду формирања дохотка и у периоду потрошње дохотка, </w:t>
      </w:r>
      <w:r w:rsidR="00555DD2">
        <w:rPr>
          <w:rFonts w:ascii="Times New Roman" w:hAnsi="Times New Roman"/>
          <w:sz w:val="24"/>
          <w:szCs w:val="24"/>
          <w:lang w:val="sr-Cyrl-CS"/>
        </w:rPr>
        <w:t>при чему</w:t>
      </w:r>
      <w:r>
        <w:rPr>
          <w:rFonts w:ascii="Times New Roman" w:hAnsi="Times New Roman"/>
          <w:sz w:val="24"/>
          <w:szCs w:val="24"/>
          <w:lang w:val="sr-Cyrl-CS"/>
        </w:rPr>
        <w:t xml:space="preserve"> више у другом случају. </w:t>
      </w:r>
      <w:r w:rsidR="00555DD2">
        <w:rPr>
          <w:rFonts w:ascii="Times New Roman" w:hAnsi="Times New Roman"/>
          <w:sz w:val="24"/>
          <w:szCs w:val="24"/>
          <w:lang w:val="sr-Cyrl-CS"/>
        </w:rPr>
        <w:t xml:space="preserve">Уколико </w:t>
      </w:r>
      <w:r>
        <w:rPr>
          <w:rFonts w:ascii="Times New Roman" w:hAnsi="Times New Roman"/>
          <w:sz w:val="24"/>
          <w:szCs w:val="24"/>
          <w:lang w:val="sr-Cyrl-CS"/>
        </w:rPr>
        <w:t xml:space="preserve">предстоје порези који теже терете једне него друге професије </w:t>
      </w:r>
      <w:r w:rsidR="00555DD2">
        <w:rPr>
          <w:rFonts w:ascii="Times New Roman" w:hAnsi="Times New Roman"/>
          <w:sz w:val="24"/>
          <w:szCs w:val="24"/>
          <w:lang w:val="sr-Cyrl-CS"/>
        </w:rPr>
        <w:t>порески обвезници</w:t>
      </w:r>
      <w:r>
        <w:rPr>
          <w:rFonts w:ascii="Times New Roman" w:hAnsi="Times New Roman"/>
          <w:sz w:val="24"/>
          <w:szCs w:val="24"/>
          <w:lang w:val="sr-Cyrl-CS"/>
        </w:rPr>
        <w:t xml:space="preserve"> неће хтети да обавља</w:t>
      </w:r>
      <w:r w:rsidR="00555DD2">
        <w:rPr>
          <w:rFonts w:ascii="Times New Roman" w:hAnsi="Times New Roman"/>
          <w:sz w:val="24"/>
          <w:szCs w:val="24"/>
          <w:lang w:val="sr-Cyrl-CS"/>
        </w:rPr>
        <w:t>ју</w:t>
      </w:r>
      <w:r>
        <w:rPr>
          <w:rFonts w:ascii="Times New Roman" w:hAnsi="Times New Roman"/>
          <w:sz w:val="24"/>
          <w:szCs w:val="24"/>
          <w:lang w:val="sr-Cyrl-CS"/>
        </w:rPr>
        <w:t xml:space="preserve"> </w:t>
      </w:r>
      <w:r w:rsidR="00555DD2">
        <w:rPr>
          <w:rFonts w:ascii="Times New Roman" w:hAnsi="Times New Roman"/>
          <w:sz w:val="24"/>
          <w:szCs w:val="24"/>
          <w:lang w:val="sr-Cyrl-CS"/>
        </w:rPr>
        <w:t xml:space="preserve">такве </w:t>
      </w:r>
      <w:r>
        <w:rPr>
          <w:rFonts w:ascii="Times New Roman" w:hAnsi="Times New Roman"/>
          <w:sz w:val="24"/>
          <w:szCs w:val="24"/>
          <w:lang w:val="sr-Cyrl-CS"/>
        </w:rPr>
        <w:t xml:space="preserve">професије. </w:t>
      </w:r>
      <w:r w:rsidR="00555DD2">
        <w:rPr>
          <w:rFonts w:ascii="Times New Roman" w:hAnsi="Times New Roman"/>
          <w:sz w:val="24"/>
          <w:szCs w:val="24"/>
          <w:lang w:val="sr-Cyrl-CS"/>
        </w:rPr>
        <w:t>Стварна супституција представља замену теже опорезивих</w:t>
      </w:r>
      <w:r>
        <w:rPr>
          <w:rFonts w:ascii="Times New Roman" w:hAnsi="Times New Roman"/>
          <w:sz w:val="24"/>
          <w:szCs w:val="24"/>
          <w:lang w:val="sr-Cyrl-CS"/>
        </w:rPr>
        <w:t xml:space="preserve"> предмете за лакше </w:t>
      </w:r>
      <w:r w:rsidR="00555DD2">
        <w:rPr>
          <w:rFonts w:ascii="Times New Roman" w:hAnsi="Times New Roman"/>
          <w:sz w:val="24"/>
          <w:szCs w:val="24"/>
          <w:lang w:val="sr-Cyrl-CS"/>
        </w:rPr>
        <w:t xml:space="preserve">опорезиве </w:t>
      </w:r>
      <w:r>
        <w:rPr>
          <w:rFonts w:ascii="Times New Roman" w:hAnsi="Times New Roman"/>
          <w:sz w:val="24"/>
          <w:szCs w:val="24"/>
          <w:lang w:val="sr-Cyrl-CS"/>
        </w:rPr>
        <w:t>и</w:t>
      </w:r>
      <w:r w:rsidR="00555DD2">
        <w:rPr>
          <w:rFonts w:ascii="Times New Roman" w:hAnsi="Times New Roman"/>
          <w:sz w:val="24"/>
          <w:szCs w:val="24"/>
          <w:lang w:val="sr-Cyrl-CS"/>
        </w:rPr>
        <w:t>ли за оне који нису опорезовани.</w:t>
      </w:r>
      <w:r>
        <w:rPr>
          <w:rFonts w:ascii="Times New Roman" w:hAnsi="Times New Roman"/>
          <w:sz w:val="24"/>
          <w:szCs w:val="24"/>
          <w:lang w:val="sr-Cyrl-CS"/>
        </w:rPr>
        <w:t xml:space="preserve"> Сигнално дејство </w:t>
      </w:r>
      <w:r w:rsidR="00555DD2">
        <w:rPr>
          <w:rFonts w:ascii="Times New Roman" w:hAnsi="Times New Roman"/>
          <w:sz w:val="24"/>
          <w:szCs w:val="24"/>
          <w:lang w:val="sr-Cyrl-CS"/>
        </w:rPr>
        <w:t>може да доводе до</w:t>
      </w:r>
      <w:r>
        <w:rPr>
          <w:rFonts w:ascii="Times New Roman" w:hAnsi="Times New Roman"/>
          <w:sz w:val="24"/>
          <w:szCs w:val="24"/>
          <w:lang w:val="sr-Cyrl-CS"/>
        </w:rPr>
        <w:t xml:space="preserve"> бекства капитала из државе или </w:t>
      </w:r>
      <w:r w:rsidR="00555DD2">
        <w:rPr>
          <w:rFonts w:ascii="Times New Roman" w:hAnsi="Times New Roman"/>
          <w:sz w:val="24"/>
          <w:szCs w:val="24"/>
          <w:lang w:val="sr-Cyrl-CS"/>
        </w:rPr>
        <w:t xml:space="preserve">до </w:t>
      </w:r>
      <w:r>
        <w:rPr>
          <w:rFonts w:ascii="Times New Roman" w:hAnsi="Times New Roman"/>
          <w:sz w:val="24"/>
          <w:szCs w:val="24"/>
          <w:lang w:val="sr-Cyrl-CS"/>
        </w:rPr>
        <w:t xml:space="preserve">концентрације предузећа како би се опорезивање свело на једну фазу. </w:t>
      </w:r>
      <w:r w:rsidR="00555DD2">
        <w:rPr>
          <w:rFonts w:ascii="Times New Roman" w:hAnsi="Times New Roman"/>
          <w:sz w:val="24"/>
          <w:szCs w:val="24"/>
          <w:lang w:val="sr-Cyrl-CS"/>
        </w:rPr>
        <w:t>Поред супсти</w:t>
      </w:r>
      <w:r w:rsidR="00F12231">
        <w:rPr>
          <w:rFonts w:ascii="Times New Roman" w:hAnsi="Times New Roman"/>
          <w:sz w:val="24"/>
          <w:szCs w:val="24"/>
          <w:lang w:val="sr-Cyrl-CS"/>
        </w:rPr>
        <w:t>т</w:t>
      </w:r>
      <w:r w:rsidR="00555DD2">
        <w:rPr>
          <w:rFonts w:ascii="Times New Roman" w:hAnsi="Times New Roman"/>
          <w:sz w:val="24"/>
          <w:szCs w:val="24"/>
          <w:lang w:val="sr-Cyrl-CS"/>
        </w:rPr>
        <w:t>уције може доћи и до повећања штедње чиме се смањује потрошња</w:t>
      </w:r>
      <w:r>
        <w:rPr>
          <w:rFonts w:ascii="Times New Roman" w:hAnsi="Times New Roman"/>
          <w:sz w:val="24"/>
          <w:szCs w:val="24"/>
          <w:lang w:val="sr-Cyrl-CS"/>
        </w:rPr>
        <w:t>.</w:t>
      </w:r>
      <w:r>
        <w:rPr>
          <w:rStyle w:val="FootnoteReference"/>
          <w:rFonts w:ascii="Times New Roman" w:hAnsi="Times New Roman"/>
          <w:sz w:val="24"/>
          <w:szCs w:val="24"/>
          <w:lang w:val="sr-Cyrl-CS"/>
        </w:rPr>
        <w:footnoteReference w:id="125"/>
      </w:r>
      <w:r>
        <w:rPr>
          <w:rFonts w:ascii="Times New Roman" w:hAnsi="Times New Roman"/>
          <w:sz w:val="24"/>
          <w:szCs w:val="24"/>
          <w:lang w:val="sr-Cyrl-CS"/>
        </w:rPr>
        <w:t xml:space="preserve"> </w:t>
      </w:r>
    </w:p>
    <w:p w:rsidR="001E6839" w:rsidRDefault="001E6839" w:rsidP="001E6839">
      <w:pPr>
        <w:pStyle w:val="ListParagraph"/>
        <w:ind w:left="0"/>
        <w:jc w:val="both"/>
        <w:rPr>
          <w:rFonts w:ascii="Times New Roman" w:hAnsi="Times New Roman"/>
          <w:sz w:val="24"/>
          <w:szCs w:val="24"/>
          <w:lang w:val="sr-Cyrl-CS"/>
        </w:rPr>
      </w:pPr>
    </w:p>
    <w:p w:rsidR="001E6839" w:rsidRPr="009A1AF8" w:rsidRDefault="00332CDC" w:rsidP="001E6839">
      <w:pPr>
        <w:pStyle w:val="ListParagraph"/>
        <w:ind w:left="0" w:firstLine="708"/>
        <w:jc w:val="both"/>
        <w:rPr>
          <w:rFonts w:ascii="Times New Roman" w:hAnsi="Times New Roman"/>
          <w:sz w:val="24"/>
          <w:szCs w:val="24"/>
          <w:lang w:val="sr-Cyrl-CS"/>
        </w:rPr>
      </w:pPr>
      <w:r>
        <w:rPr>
          <w:rFonts w:ascii="Times New Roman" w:hAnsi="Times New Roman"/>
          <w:sz w:val="24"/>
          <w:szCs w:val="24"/>
          <w:lang w:val="sr-Cyrl-CS"/>
        </w:rPr>
        <w:t>Код законите пореске евазије не долази до</w:t>
      </w:r>
      <w:r w:rsidR="001E6839">
        <w:rPr>
          <w:rFonts w:ascii="Times New Roman" w:hAnsi="Times New Roman"/>
          <w:sz w:val="24"/>
          <w:szCs w:val="24"/>
          <w:lang w:val="sr-Cyrl-CS"/>
        </w:rPr>
        <w:t xml:space="preserve"> повреде важећих прописа.  Порески обвезници избегавају или умањују пореску обавезу, али </w:t>
      </w:r>
      <w:r>
        <w:rPr>
          <w:rFonts w:ascii="Times New Roman" w:hAnsi="Times New Roman"/>
          <w:sz w:val="24"/>
          <w:szCs w:val="24"/>
          <w:lang w:val="sr-Cyrl-CS"/>
        </w:rPr>
        <w:t>не крше пореску процедуру</w:t>
      </w:r>
      <w:r w:rsidR="001E6839">
        <w:rPr>
          <w:rFonts w:ascii="Times New Roman" w:hAnsi="Times New Roman"/>
          <w:sz w:val="24"/>
          <w:szCs w:val="24"/>
          <w:lang w:val="sr-Cyrl-CS"/>
        </w:rPr>
        <w:t xml:space="preserve">. </w:t>
      </w:r>
      <w:r>
        <w:rPr>
          <w:rFonts w:ascii="Times New Roman" w:hAnsi="Times New Roman"/>
          <w:sz w:val="24"/>
          <w:szCs w:val="24"/>
          <w:lang w:val="sr-Cyrl-CS"/>
        </w:rPr>
        <w:t>П</w:t>
      </w:r>
      <w:r w:rsidR="001E6839">
        <w:rPr>
          <w:rFonts w:ascii="Times New Roman" w:hAnsi="Times New Roman"/>
          <w:sz w:val="24"/>
          <w:szCs w:val="24"/>
          <w:lang w:val="sr-Cyrl-CS"/>
        </w:rPr>
        <w:t xml:space="preserve">орески обвезници користе законске подстицаје или правне празнине у закону. Порески подстицаји </w:t>
      </w:r>
      <w:r>
        <w:rPr>
          <w:rFonts w:ascii="Times New Roman" w:hAnsi="Times New Roman"/>
          <w:sz w:val="24"/>
          <w:szCs w:val="24"/>
          <w:lang w:val="sr-Cyrl-CS"/>
        </w:rPr>
        <w:t>се односе на</w:t>
      </w:r>
      <w:r w:rsidR="001E6839">
        <w:rPr>
          <w:rFonts w:ascii="Times New Roman" w:hAnsi="Times New Roman"/>
          <w:sz w:val="24"/>
          <w:szCs w:val="24"/>
          <w:lang w:val="sr-Cyrl-CS"/>
        </w:rPr>
        <w:t xml:space="preserve"> пореског обвезника, пор</w:t>
      </w:r>
      <w:r>
        <w:rPr>
          <w:rFonts w:ascii="Times New Roman" w:hAnsi="Times New Roman"/>
          <w:sz w:val="24"/>
          <w:szCs w:val="24"/>
          <w:lang w:val="sr-Cyrl-CS"/>
        </w:rPr>
        <w:t xml:space="preserve">еску основицу, пореске стопе </w:t>
      </w:r>
      <w:r>
        <w:rPr>
          <w:rFonts w:ascii="Times New Roman" w:hAnsi="Times New Roman"/>
          <w:sz w:val="24"/>
          <w:szCs w:val="24"/>
          <w:lang w:val="sr-Cyrl-CS"/>
        </w:rPr>
        <w:lastRenderedPageBreak/>
        <w:t>или износ</w:t>
      </w:r>
      <w:r w:rsidR="001E6839">
        <w:rPr>
          <w:rFonts w:ascii="Times New Roman" w:hAnsi="Times New Roman"/>
          <w:sz w:val="24"/>
          <w:szCs w:val="24"/>
          <w:lang w:val="sr-Cyrl-CS"/>
        </w:rPr>
        <w:t xml:space="preserve"> пореза. Међутим, обвезници могу бити мотивисани не само фискалним, него и нефискалним циљевима. Наиме, предузеће мотивисано конкуренцијом врши набавку нове опреме и машина или упошљава већи број високостручног кадра. </w:t>
      </w:r>
      <w:r>
        <w:rPr>
          <w:rFonts w:ascii="Times New Roman" w:hAnsi="Times New Roman"/>
          <w:sz w:val="24"/>
          <w:szCs w:val="24"/>
          <w:lang w:val="sr-Cyrl-CS"/>
        </w:rPr>
        <w:t>Захваљујући набавци нове опреме и већој</w:t>
      </w:r>
      <w:r w:rsidR="001E6839">
        <w:rPr>
          <w:rFonts w:ascii="Times New Roman" w:hAnsi="Times New Roman"/>
          <w:sz w:val="24"/>
          <w:szCs w:val="24"/>
          <w:lang w:val="sr-Cyrl-CS"/>
        </w:rPr>
        <w:t xml:space="preserve"> упосленост</w:t>
      </w:r>
      <w:r>
        <w:rPr>
          <w:rFonts w:ascii="Times New Roman" w:hAnsi="Times New Roman"/>
          <w:sz w:val="24"/>
          <w:szCs w:val="24"/>
          <w:lang w:val="sr-Cyrl-CS"/>
        </w:rPr>
        <w:t>и</w:t>
      </w:r>
      <w:r w:rsidR="001E6839">
        <w:rPr>
          <w:rFonts w:ascii="Times New Roman" w:hAnsi="Times New Roman"/>
          <w:sz w:val="24"/>
          <w:szCs w:val="24"/>
          <w:lang w:val="sr-Cyrl-CS"/>
        </w:rPr>
        <w:t xml:space="preserve"> предузеће стиче право на порески кредит. </w:t>
      </w:r>
      <w:r>
        <w:rPr>
          <w:rFonts w:ascii="Times New Roman" w:hAnsi="Times New Roman"/>
          <w:sz w:val="24"/>
          <w:szCs w:val="24"/>
          <w:lang w:val="sr-Cyrl-CS"/>
        </w:rPr>
        <w:t>На овај начин</w:t>
      </w:r>
      <w:r w:rsidR="001E6839">
        <w:rPr>
          <w:rFonts w:ascii="Times New Roman" w:hAnsi="Times New Roman"/>
          <w:sz w:val="24"/>
          <w:szCs w:val="24"/>
          <w:lang w:val="sr-Cyrl-CS"/>
        </w:rPr>
        <w:t xml:space="preserve"> предузеће је умањило пореску обавезу. </w:t>
      </w:r>
      <w:r>
        <w:rPr>
          <w:rFonts w:ascii="Times New Roman" w:hAnsi="Times New Roman"/>
          <w:sz w:val="24"/>
          <w:szCs w:val="24"/>
          <w:lang w:val="sr-Cyrl-CS"/>
        </w:rPr>
        <w:t>Према томе, м</w:t>
      </w:r>
      <w:r w:rsidR="001E6839">
        <w:rPr>
          <w:rFonts w:ascii="Times New Roman" w:hAnsi="Times New Roman"/>
          <w:sz w:val="24"/>
          <w:szCs w:val="24"/>
          <w:lang w:val="sr-Cyrl-CS"/>
        </w:rPr>
        <w:t xml:space="preserve">отив набавке опреме и већа упосленост није фискалне природе већ тржишне. </w:t>
      </w:r>
      <w:r>
        <w:rPr>
          <w:rFonts w:ascii="Times New Roman" w:hAnsi="Times New Roman"/>
          <w:sz w:val="24"/>
          <w:szCs w:val="24"/>
          <w:lang w:val="sr-Cyrl-CS"/>
        </w:rPr>
        <w:t>У неким случајевима</w:t>
      </w:r>
      <w:r w:rsidR="001E6839">
        <w:rPr>
          <w:rFonts w:ascii="Times New Roman" w:hAnsi="Times New Roman"/>
          <w:sz w:val="24"/>
          <w:szCs w:val="24"/>
          <w:lang w:val="sr-Cyrl-CS"/>
        </w:rPr>
        <w:t xml:space="preserve"> нефискални циљ доводи до остварења фискалног циља.</w:t>
      </w:r>
      <w:r w:rsidR="001E6839">
        <w:rPr>
          <w:rStyle w:val="FootnoteReference"/>
          <w:rFonts w:ascii="Times New Roman" w:hAnsi="Times New Roman"/>
          <w:sz w:val="24"/>
          <w:szCs w:val="24"/>
          <w:lang w:val="sr-Cyrl-CS"/>
        </w:rPr>
        <w:footnoteReference w:id="126"/>
      </w:r>
    </w:p>
    <w:p w:rsidR="001E6839" w:rsidRDefault="001E6839" w:rsidP="001E6839">
      <w:pPr>
        <w:ind w:firstLine="708"/>
        <w:jc w:val="both"/>
        <w:rPr>
          <w:rFonts w:ascii="Times New Roman" w:hAnsi="Times New Roman"/>
          <w:sz w:val="24"/>
          <w:szCs w:val="24"/>
          <w:lang w:val="sr-Cyrl-CS"/>
        </w:rPr>
      </w:pPr>
      <w:r>
        <w:rPr>
          <w:rFonts w:ascii="Times New Roman" w:hAnsi="Times New Roman"/>
          <w:sz w:val="24"/>
          <w:szCs w:val="24"/>
          <w:lang w:val="sr-Cyrl-CS"/>
        </w:rPr>
        <w:t>Различити су облици законите пореске евазије као што су: коришћење правних празнина, односно недоречености и нејасноћа у фискалним прописима, промена места боравка, промена врсте делатности, давање дела прихода у хуманитарне сврхе, замена производа који се користе и сл., којима се не долази у сукоб са прописима. Тако на пример, ако је у најави повећање пореза за неке професије, порески обвезник се може преоријентисати на професије са мањим пореским теретом. Уколико је у најави веће пореско оптерећење за неке артикле, порески обвезник се може преоријентисати на коришћење неког другог артикла са мањим порезом или да престане да користи неке артикле како би избегао порез. Код вишефазног опорезивања порески обвезник може смањити број фаза и тако смањити порески притисак.</w:t>
      </w:r>
    </w:p>
    <w:p w:rsidR="001E6839" w:rsidRPr="009A1AF8" w:rsidRDefault="001E6839" w:rsidP="001E6839">
      <w:pPr>
        <w:ind w:firstLine="708"/>
        <w:jc w:val="both"/>
        <w:rPr>
          <w:rFonts w:ascii="Times New Roman" w:hAnsi="Times New Roman"/>
          <w:sz w:val="24"/>
          <w:szCs w:val="24"/>
          <w:lang w:val="sr-Cyrl-CS"/>
        </w:rPr>
      </w:pPr>
      <w:r>
        <w:rPr>
          <w:rFonts w:ascii="Times New Roman" w:hAnsi="Times New Roman"/>
          <w:sz w:val="24"/>
          <w:szCs w:val="24"/>
          <w:lang w:val="sr-Cyrl-CS"/>
        </w:rPr>
        <w:t>Пореског обвезника пореске погодности које се примењују у некој другој земљи, посебно у тзв. пореским рајевима, могу навести да тамо почне обављати своју привредну делатност. Такође, намера избегавања плаћања пореза може навести пореске обвезнике да промене своје пребивалиште и оду у неку другу земљу где је ниже пореско оптерећење. Промена места пребавалишта или боравишта или седишта обављања привредне делатности пореског обвезника је тзв. порески порески бег (eng. tax flight). Тако су на пример, својевремено новинске наслове пуниле вести да је чувени француски глумац Жерар Депардје постао руски држављанин.</w:t>
      </w:r>
      <w:r>
        <w:rPr>
          <w:rStyle w:val="FootnoteReference"/>
          <w:rFonts w:ascii="Times New Roman" w:hAnsi="Times New Roman"/>
          <w:sz w:val="24"/>
          <w:szCs w:val="24"/>
          <w:lang w:val="sr-Cyrl-CS"/>
        </w:rPr>
        <w:footnoteReference w:id="127"/>
      </w:r>
      <w:r>
        <w:rPr>
          <w:rFonts w:ascii="Times New Roman" w:hAnsi="Times New Roman"/>
          <w:sz w:val="24"/>
          <w:szCs w:val="24"/>
          <w:lang w:val="sr-Cyrl-CS"/>
        </w:rPr>
        <w:t xml:space="preserve"> Код продаје непокретности одлаже се пренос власништва, како би продавац одложио плаћање пореске обавезе на капиталну добит, итд.</w:t>
      </w:r>
    </w:p>
    <w:p w:rsidR="001E6839" w:rsidRDefault="001E6839" w:rsidP="001E6839">
      <w:pPr>
        <w:ind w:firstLine="708"/>
        <w:jc w:val="both"/>
        <w:rPr>
          <w:rFonts w:ascii="Times New Roman" w:hAnsi="Times New Roman"/>
          <w:sz w:val="24"/>
          <w:szCs w:val="24"/>
          <w:lang w:val="sr-Cyrl-CS"/>
        </w:rPr>
      </w:pPr>
      <w:r>
        <w:rPr>
          <w:rFonts w:ascii="Times New Roman" w:hAnsi="Times New Roman"/>
          <w:sz w:val="24"/>
          <w:szCs w:val="24"/>
          <w:lang w:val="sr-Cyrl-CS"/>
        </w:rPr>
        <w:t>Избегавање плаћање пореза у складу са пореским законом јавља се у два облика: као прихватљиво и неприхватљиво.</w:t>
      </w:r>
    </w:p>
    <w:p w:rsidR="00A76342" w:rsidRDefault="00A76342" w:rsidP="001E6839">
      <w:pPr>
        <w:ind w:firstLine="708"/>
        <w:jc w:val="both"/>
        <w:rPr>
          <w:rFonts w:ascii="Times New Roman" w:hAnsi="Times New Roman"/>
          <w:sz w:val="24"/>
          <w:szCs w:val="24"/>
          <w:lang w:val="sr-Cyrl-CS"/>
        </w:rPr>
      </w:pPr>
    </w:p>
    <w:p w:rsidR="001E6839" w:rsidRPr="00A76342" w:rsidRDefault="001E6839" w:rsidP="001E6839">
      <w:pPr>
        <w:ind w:firstLine="708"/>
        <w:jc w:val="both"/>
        <w:rPr>
          <w:rFonts w:ascii="Times New Roman" w:hAnsi="Times New Roman"/>
          <w:sz w:val="24"/>
          <w:szCs w:val="24"/>
          <w:lang w:val="sr-Cyrl-CS"/>
        </w:rPr>
      </w:pPr>
    </w:p>
    <w:p w:rsidR="001E6839" w:rsidRDefault="001E6839" w:rsidP="001E6839">
      <w:pPr>
        <w:jc w:val="both"/>
        <w:rPr>
          <w:rFonts w:ascii="Times New Roman" w:hAnsi="Times New Roman"/>
          <w:sz w:val="24"/>
          <w:szCs w:val="24"/>
          <w:lang w:val="sr-Cyrl-CS"/>
        </w:rPr>
      </w:pPr>
      <w:r>
        <w:rPr>
          <w:rFonts w:ascii="Times New Roman" w:hAnsi="Times New Roman"/>
          <w:sz w:val="24"/>
          <w:szCs w:val="24"/>
          <w:lang w:val="sr-Cyrl-CS"/>
        </w:rPr>
        <w:lastRenderedPageBreak/>
        <w:t>-</w:t>
      </w:r>
      <w:r w:rsidRPr="00CE0F41">
        <w:rPr>
          <w:rFonts w:ascii="Times New Roman" w:hAnsi="Times New Roman"/>
          <w:b/>
          <w:sz w:val="24"/>
          <w:szCs w:val="24"/>
          <w:lang w:val="sr-Cyrl-CS"/>
        </w:rPr>
        <w:t>Прихватљива (легитимна</w:t>
      </w:r>
      <w:r>
        <w:rPr>
          <w:rFonts w:ascii="Times New Roman" w:hAnsi="Times New Roman"/>
          <w:b/>
          <w:sz w:val="24"/>
          <w:szCs w:val="24"/>
          <w:lang w:val="sr-Cyrl-CS"/>
        </w:rPr>
        <w:t>,</w:t>
      </w:r>
      <w:r w:rsidRPr="00CE0F41">
        <w:rPr>
          <w:rFonts w:ascii="Times New Roman" w:hAnsi="Times New Roman"/>
          <w:b/>
          <w:sz w:val="24"/>
          <w:szCs w:val="24"/>
          <w:lang w:val="sr-Cyrl-CS"/>
        </w:rPr>
        <w:t xml:space="preserve"> законита) евазија коју је предвидео законодавац (легитимно избегавање пореза)</w:t>
      </w:r>
    </w:p>
    <w:p w:rsidR="001E6839" w:rsidRDefault="001E6839" w:rsidP="001E6839">
      <w:pPr>
        <w:ind w:firstLine="708"/>
        <w:jc w:val="both"/>
        <w:rPr>
          <w:rFonts w:ascii="Times New Roman" w:hAnsi="Times New Roman"/>
          <w:sz w:val="24"/>
          <w:szCs w:val="24"/>
        </w:rPr>
      </w:pPr>
      <w:r>
        <w:rPr>
          <w:rFonts w:ascii="Times New Roman" w:hAnsi="Times New Roman"/>
          <w:sz w:val="24"/>
          <w:szCs w:val="24"/>
          <w:lang w:val="sr-Cyrl-CS"/>
        </w:rPr>
        <w:t>То су ситуације када држава преко пореза жели да изазове одређене реакције пореских обвезника, да их дестимулише у њиховим одређеним активностима или одврати од куповине одређених производа. Ово је један пример како се путем пореза могу остваривати ванфискални циљеви. Тако се на пример здравствени циљ може остварити кроз високе стопе опорезивања дувана и алкохолних пића у циљу смањења потрошње ових призвода. Избегавање плаћања пореза у овом случају је у складу са вољом законодавца, односно са његовим мотивом да се оствари одређен циљ опорезивања захваљујући одрицању од дела пореских прихода.</w:t>
      </w:r>
    </w:p>
    <w:p w:rsidR="001E6839" w:rsidRPr="0017701C" w:rsidRDefault="001E6839" w:rsidP="001E6839">
      <w:pPr>
        <w:ind w:firstLine="708"/>
        <w:jc w:val="both"/>
        <w:rPr>
          <w:rFonts w:ascii="Times New Roman" w:hAnsi="Times New Roman"/>
          <w:sz w:val="24"/>
          <w:szCs w:val="24"/>
          <w:lang w:val="sr-Cyrl-CS"/>
        </w:rPr>
      </w:pPr>
      <w:r>
        <w:rPr>
          <w:rFonts w:ascii="Times New Roman" w:hAnsi="Times New Roman"/>
          <w:sz w:val="24"/>
          <w:szCs w:val="24"/>
        </w:rPr>
        <w:t xml:space="preserve">Увођење пореза </w:t>
      </w:r>
      <w:r w:rsidR="00332CDC">
        <w:rPr>
          <w:rFonts w:ascii="Times New Roman" w:hAnsi="Times New Roman"/>
          <w:sz w:val="24"/>
          <w:szCs w:val="24"/>
          <w:lang w:val="sr-Cyrl-CS"/>
        </w:rPr>
        <w:t>није увек</w:t>
      </w:r>
      <w:r>
        <w:rPr>
          <w:rFonts w:ascii="Times New Roman" w:hAnsi="Times New Roman"/>
          <w:sz w:val="24"/>
          <w:szCs w:val="24"/>
        </w:rPr>
        <w:t xml:space="preserve"> </w:t>
      </w:r>
      <w:r w:rsidR="00F3446F">
        <w:rPr>
          <w:rFonts w:ascii="Times New Roman" w:hAnsi="Times New Roman"/>
          <w:sz w:val="24"/>
          <w:szCs w:val="24"/>
        </w:rPr>
        <w:t>мотивисано само фискалним циљем</w:t>
      </w:r>
      <w:r w:rsidR="00F3446F">
        <w:rPr>
          <w:rFonts w:ascii="Times New Roman" w:hAnsi="Times New Roman"/>
          <w:sz w:val="24"/>
          <w:szCs w:val="24"/>
          <w:lang w:val="sr-Cyrl-CS"/>
        </w:rPr>
        <w:t xml:space="preserve"> јер је</w:t>
      </w:r>
      <w:r>
        <w:rPr>
          <w:rFonts w:ascii="Times New Roman" w:hAnsi="Times New Roman"/>
          <w:sz w:val="24"/>
          <w:szCs w:val="24"/>
        </w:rPr>
        <w:t xml:space="preserve"> </w:t>
      </w:r>
      <w:r w:rsidR="00F3446F">
        <w:rPr>
          <w:rFonts w:ascii="Times New Roman" w:hAnsi="Times New Roman"/>
          <w:sz w:val="24"/>
          <w:szCs w:val="24"/>
          <w:lang w:val="sr-Cyrl-CS"/>
        </w:rPr>
        <w:t>ц</w:t>
      </w:r>
      <w:r w:rsidR="00332CDC">
        <w:rPr>
          <w:rFonts w:ascii="Times New Roman" w:hAnsi="Times New Roman"/>
          <w:sz w:val="24"/>
          <w:szCs w:val="24"/>
          <w:lang w:val="sr-Cyrl-CS"/>
        </w:rPr>
        <w:t>иљ</w:t>
      </w:r>
      <w:r w:rsidR="00F3446F">
        <w:rPr>
          <w:rFonts w:ascii="Times New Roman" w:hAnsi="Times New Roman"/>
          <w:sz w:val="24"/>
          <w:szCs w:val="24"/>
          <w:lang w:val="sr-Cyrl-CS"/>
        </w:rPr>
        <w:t xml:space="preserve"> бројних пореских одредаба </w:t>
      </w:r>
      <w:r w:rsidR="007A3327">
        <w:rPr>
          <w:rFonts w:ascii="Times New Roman" w:hAnsi="Times New Roman"/>
          <w:sz w:val="24"/>
          <w:szCs w:val="24"/>
          <w:lang w:val="sr-Cyrl-CS"/>
        </w:rPr>
        <w:t xml:space="preserve">и </w:t>
      </w:r>
      <w:r>
        <w:rPr>
          <w:rFonts w:ascii="Times New Roman" w:hAnsi="Times New Roman"/>
          <w:sz w:val="24"/>
          <w:szCs w:val="24"/>
          <w:lang w:val="sr-Cyrl-CS"/>
        </w:rPr>
        <w:t xml:space="preserve">стимулација одређеног облика понашања код пореског обвезника. </w:t>
      </w:r>
      <w:r>
        <w:rPr>
          <w:rFonts w:ascii="Times New Roman" w:hAnsi="Times New Roman"/>
          <w:sz w:val="24"/>
          <w:szCs w:val="24"/>
        </w:rPr>
        <w:t xml:space="preserve">Тако је на пример основни циљ еколошких пореза да се </w:t>
      </w:r>
      <w:r w:rsidR="00332CDC">
        <w:rPr>
          <w:rFonts w:ascii="Times New Roman" w:hAnsi="Times New Roman"/>
          <w:sz w:val="24"/>
          <w:szCs w:val="24"/>
          <w:lang w:val="sr-Cyrl-CS"/>
        </w:rPr>
        <w:t xml:space="preserve">смањи загађивање животне средине </w:t>
      </w:r>
      <w:r w:rsidR="00F3446F">
        <w:rPr>
          <w:rFonts w:ascii="Times New Roman" w:hAnsi="Times New Roman"/>
          <w:sz w:val="24"/>
          <w:szCs w:val="24"/>
          <w:lang w:val="sr-Cyrl-CS"/>
        </w:rPr>
        <w:t>тако што би се загађивачи подстакли</w:t>
      </w:r>
      <w:r>
        <w:rPr>
          <w:rFonts w:ascii="Times New Roman" w:hAnsi="Times New Roman"/>
          <w:sz w:val="24"/>
          <w:szCs w:val="24"/>
        </w:rPr>
        <w:t xml:space="preserve"> </w:t>
      </w:r>
      <w:r>
        <w:rPr>
          <w:rFonts w:ascii="Times New Roman" w:hAnsi="Times New Roman"/>
          <w:sz w:val="24"/>
          <w:szCs w:val="24"/>
          <w:lang w:val="sr-Cyrl-CS"/>
        </w:rPr>
        <w:t>н</w:t>
      </w:r>
      <w:r>
        <w:rPr>
          <w:rFonts w:ascii="Times New Roman" w:hAnsi="Times New Roman"/>
          <w:sz w:val="24"/>
          <w:szCs w:val="24"/>
        </w:rPr>
        <w:t xml:space="preserve">а еколошки прихватљивије </w:t>
      </w:r>
      <w:r w:rsidR="00332CDC">
        <w:rPr>
          <w:rFonts w:ascii="Times New Roman" w:hAnsi="Times New Roman"/>
          <w:sz w:val="24"/>
          <w:szCs w:val="24"/>
          <w:lang w:val="sr-Cyrl-CS"/>
        </w:rPr>
        <w:t>понашање</w:t>
      </w:r>
      <w:r>
        <w:rPr>
          <w:rFonts w:ascii="Times New Roman" w:hAnsi="Times New Roman"/>
          <w:sz w:val="24"/>
          <w:szCs w:val="24"/>
        </w:rPr>
        <w:t>.</w:t>
      </w:r>
      <w:r>
        <w:rPr>
          <w:rStyle w:val="FootnoteReference"/>
          <w:rFonts w:ascii="Times New Roman" w:hAnsi="Times New Roman"/>
          <w:sz w:val="24"/>
          <w:szCs w:val="24"/>
        </w:rPr>
        <w:footnoteReference w:id="128"/>
      </w:r>
    </w:p>
    <w:p w:rsidR="001E6839" w:rsidRDefault="001E6839" w:rsidP="001E6839">
      <w:pPr>
        <w:ind w:firstLine="708"/>
        <w:jc w:val="both"/>
        <w:rPr>
          <w:rFonts w:ascii="Times New Roman" w:hAnsi="Times New Roman"/>
          <w:sz w:val="24"/>
          <w:szCs w:val="24"/>
          <w:lang w:val="sr-Cyrl-CS"/>
        </w:rPr>
      </w:pPr>
      <w:r>
        <w:rPr>
          <w:rFonts w:ascii="Times New Roman" w:hAnsi="Times New Roman"/>
          <w:sz w:val="24"/>
          <w:szCs w:val="24"/>
          <w:lang w:val="sr-Cyrl-CS"/>
        </w:rPr>
        <w:t>Када држава жели да утиче на смањење потрошње одређених домаћих производа, у циљу повећања извоза, то такође може постићи повећањем пореског оптерећења за те производе. У свим сличним случајевима остварују се жељени циљеви пореске политике. Што је број случајева такве евазије већи то је порески систем ближи остваривању екстрафискалних и ванфискалних циљева, који се свесно планирају и остварују пореским инструментима.</w:t>
      </w:r>
      <w:r>
        <w:rPr>
          <w:rStyle w:val="FootnoteReference"/>
          <w:rFonts w:ascii="Times New Roman" w:hAnsi="Times New Roman"/>
          <w:sz w:val="24"/>
          <w:szCs w:val="24"/>
          <w:lang w:val="sr-Cyrl-CS"/>
        </w:rPr>
        <w:footnoteReference w:id="129"/>
      </w:r>
      <w:r>
        <w:rPr>
          <w:rFonts w:ascii="Times New Roman" w:hAnsi="Times New Roman"/>
          <w:sz w:val="24"/>
          <w:szCs w:val="24"/>
          <w:lang w:val="sr-Cyrl-CS"/>
        </w:rPr>
        <w:t xml:space="preserve"> Овај вид избегавања плаћања пореза је у складу са намерама законодавца да се одрекне дела прихода како би се остварио неки порески ефекат. Порески обвезници формално-правно не крше законске одредбе и при том се остварују циљеви опорезивања.</w:t>
      </w:r>
      <w:r w:rsidR="00FD2E98">
        <w:rPr>
          <w:rFonts w:ascii="Times New Roman" w:hAnsi="Times New Roman"/>
          <w:sz w:val="24"/>
          <w:szCs w:val="24"/>
          <w:lang w:val="sr-Cyrl-CS"/>
        </w:rPr>
        <w:t xml:space="preserve"> Најједноставнији начин избегавања пореза, а да се при томе остане у границама закона, је уздржавање од обављања опорезиве делатности  као и смањење потрошње производа.</w:t>
      </w:r>
    </w:p>
    <w:p w:rsidR="00A76342" w:rsidRDefault="001E6839" w:rsidP="00A76342">
      <w:pPr>
        <w:ind w:firstLine="708"/>
        <w:jc w:val="both"/>
        <w:rPr>
          <w:rFonts w:ascii="Times New Roman" w:hAnsi="Times New Roman"/>
          <w:sz w:val="24"/>
          <w:szCs w:val="24"/>
          <w:lang w:val="sr-Cyrl-CS"/>
        </w:rPr>
      </w:pPr>
      <w:r>
        <w:rPr>
          <w:rFonts w:ascii="Times New Roman" w:hAnsi="Times New Roman"/>
          <w:sz w:val="24"/>
          <w:szCs w:val="24"/>
          <w:lang w:val="sr-Cyrl-CS"/>
        </w:rPr>
        <w:t>Дакле ради се о предузимању или пропуштању неких радњи које нису у супротности са законом. Неки аутори овај облик називају легитимним минимизовањем пореске обавезе.</w:t>
      </w:r>
      <w:r>
        <w:rPr>
          <w:rStyle w:val="FootnoteReference"/>
          <w:rFonts w:ascii="Times New Roman" w:hAnsi="Times New Roman"/>
          <w:sz w:val="24"/>
          <w:szCs w:val="24"/>
          <w:lang w:val="sr-Cyrl-CS"/>
        </w:rPr>
        <w:footnoteReference w:id="130"/>
      </w:r>
      <w:r>
        <w:rPr>
          <w:rFonts w:ascii="Times New Roman" w:hAnsi="Times New Roman"/>
          <w:sz w:val="24"/>
          <w:szCs w:val="24"/>
          <w:lang w:val="sr-Cyrl-CS"/>
        </w:rPr>
        <w:t xml:space="preserve"> </w:t>
      </w:r>
    </w:p>
    <w:p w:rsidR="00A76342" w:rsidRDefault="00A76342" w:rsidP="00A76342">
      <w:pPr>
        <w:ind w:firstLine="708"/>
        <w:jc w:val="both"/>
        <w:rPr>
          <w:rFonts w:ascii="Times New Roman" w:hAnsi="Times New Roman"/>
          <w:sz w:val="24"/>
          <w:szCs w:val="24"/>
          <w:lang w:val="sr-Cyrl-CS"/>
        </w:rPr>
      </w:pPr>
    </w:p>
    <w:p w:rsidR="00A76342" w:rsidRDefault="00A76342" w:rsidP="00A76342">
      <w:pPr>
        <w:ind w:firstLine="708"/>
        <w:jc w:val="both"/>
        <w:rPr>
          <w:rFonts w:ascii="Times New Roman" w:hAnsi="Times New Roman"/>
          <w:sz w:val="24"/>
          <w:szCs w:val="24"/>
          <w:lang w:val="sr-Cyrl-CS"/>
        </w:rPr>
      </w:pPr>
    </w:p>
    <w:p w:rsidR="00A76342" w:rsidRDefault="00A76342" w:rsidP="00A76342">
      <w:pPr>
        <w:ind w:firstLine="708"/>
        <w:jc w:val="both"/>
        <w:rPr>
          <w:rFonts w:ascii="Times New Roman" w:hAnsi="Times New Roman"/>
          <w:sz w:val="24"/>
          <w:szCs w:val="24"/>
          <w:lang w:val="sr-Cyrl-CS"/>
        </w:rPr>
      </w:pPr>
    </w:p>
    <w:p w:rsidR="001E6839" w:rsidRPr="00913416" w:rsidRDefault="001E6839" w:rsidP="001E6839">
      <w:pPr>
        <w:jc w:val="both"/>
        <w:rPr>
          <w:rFonts w:ascii="Times New Roman" w:hAnsi="Times New Roman"/>
          <w:sz w:val="24"/>
          <w:szCs w:val="24"/>
        </w:rPr>
      </w:pPr>
      <w:r>
        <w:rPr>
          <w:rFonts w:ascii="Times New Roman" w:hAnsi="Times New Roman"/>
          <w:sz w:val="24"/>
          <w:szCs w:val="24"/>
          <w:lang w:val="sr-Cyrl-CS"/>
        </w:rPr>
        <w:lastRenderedPageBreak/>
        <w:t>-</w:t>
      </w:r>
      <w:r w:rsidRPr="00CE0F41">
        <w:rPr>
          <w:rFonts w:ascii="Times New Roman" w:hAnsi="Times New Roman"/>
          <w:b/>
          <w:sz w:val="24"/>
          <w:szCs w:val="24"/>
          <w:lang w:val="sr-Cyrl-CS"/>
        </w:rPr>
        <w:t>Неприхватљива</w:t>
      </w:r>
      <w:r>
        <w:rPr>
          <w:rFonts w:ascii="Times New Roman" w:hAnsi="Times New Roman"/>
          <w:b/>
          <w:sz w:val="24"/>
          <w:szCs w:val="24"/>
          <w:lang w:val="sr-Cyrl-CS"/>
        </w:rPr>
        <w:t xml:space="preserve"> (нелегитимна)</w:t>
      </w:r>
      <w:r w:rsidRPr="00CE0F41">
        <w:rPr>
          <w:rFonts w:ascii="Times New Roman" w:hAnsi="Times New Roman"/>
          <w:b/>
          <w:sz w:val="24"/>
          <w:szCs w:val="24"/>
          <w:lang w:val="sr-Cyrl-CS"/>
        </w:rPr>
        <w:t xml:space="preserve"> евазија (нелегитимно минимизовање пореске обавезе</w:t>
      </w:r>
      <w:r w:rsidR="00A76342">
        <w:rPr>
          <w:rFonts w:ascii="Times New Roman" w:hAnsi="Times New Roman"/>
          <w:b/>
          <w:sz w:val="24"/>
          <w:szCs w:val="24"/>
          <w:lang w:val="sr-Cyrl-CS"/>
        </w:rPr>
        <w:t>)</w:t>
      </w:r>
      <w:r>
        <w:rPr>
          <w:rStyle w:val="FootnoteReference"/>
          <w:rFonts w:ascii="Times New Roman" w:hAnsi="Times New Roman"/>
          <w:sz w:val="24"/>
          <w:szCs w:val="24"/>
          <w:lang w:val="sr-Cyrl-CS"/>
        </w:rPr>
        <w:footnoteReference w:id="131"/>
      </w:r>
      <w:r>
        <w:rPr>
          <w:rFonts w:ascii="Times New Roman" w:hAnsi="Times New Roman"/>
          <w:sz w:val="24"/>
          <w:szCs w:val="24"/>
          <w:lang w:val="sr-Cyrl-CS"/>
        </w:rPr>
        <w:t xml:space="preserve"> </w:t>
      </w:r>
    </w:p>
    <w:p w:rsidR="001E6839" w:rsidRDefault="001E6839" w:rsidP="001E6839">
      <w:pPr>
        <w:ind w:firstLine="708"/>
        <w:jc w:val="both"/>
        <w:rPr>
          <w:rFonts w:ascii="Times New Roman" w:hAnsi="Times New Roman"/>
          <w:sz w:val="24"/>
          <w:szCs w:val="24"/>
          <w:lang w:val="sr-Cyrl-CS"/>
        </w:rPr>
      </w:pPr>
      <w:r>
        <w:rPr>
          <w:rFonts w:ascii="Times New Roman" w:hAnsi="Times New Roman"/>
          <w:sz w:val="24"/>
          <w:szCs w:val="24"/>
          <w:lang w:val="sr-Cyrl-CS"/>
        </w:rPr>
        <w:t xml:space="preserve">Када је нејасан порески систем са недореченим законским прописима, порески обвезници то могу искористити у циљу избегавања плаћања пореза. </w:t>
      </w:r>
      <w:r>
        <w:rPr>
          <w:rFonts w:ascii="Times New Roman" w:hAnsi="Times New Roman"/>
          <w:sz w:val="24"/>
          <w:szCs w:val="24"/>
        </w:rPr>
        <w:t xml:space="preserve">Такве ситуације </w:t>
      </w:r>
      <w:r>
        <w:rPr>
          <w:rFonts w:ascii="Times New Roman" w:hAnsi="Times New Roman"/>
          <w:sz w:val="24"/>
          <w:szCs w:val="24"/>
          <w:lang w:val="sr-Cyrl-CS"/>
        </w:rPr>
        <w:t xml:space="preserve">не планира законодавац, нити се остварују циљеви опорезивања, иако се фирмално-правно не крше законске одредбе. </w:t>
      </w:r>
      <w:r>
        <w:rPr>
          <w:rFonts w:ascii="Times New Roman" w:hAnsi="Times New Roman"/>
          <w:sz w:val="24"/>
          <w:szCs w:val="24"/>
        </w:rPr>
        <w:t xml:space="preserve">Порески обвезници теже да своју пореску обавезу смање </w:t>
      </w:r>
      <w:r>
        <w:rPr>
          <w:rFonts w:ascii="Times New Roman" w:hAnsi="Times New Roman"/>
          <w:sz w:val="24"/>
          <w:szCs w:val="24"/>
          <w:lang w:val="sr-Cyrl-CS"/>
        </w:rPr>
        <w:t xml:space="preserve">испод нивоа коју је законодавац намеравао да постигне, при том користећи </w:t>
      </w:r>
      <w:r w:rsidRPr="00025D62">
        <w:rPr>
          <w:rFonts w:ascii="Times New Roman" w:hAnsi="Times New Roman"/>
          <w:sz w:val="24"/>
          <w:szCs w:val="24"/>
          <w:lang w:val="sr-Cyrl-CS"/>
        </w:rPr>
        <w:t>правне празнине</w:t>
      </w:r>
      <w:r>
        <w:rPr>
          <w:rFonts w:ascii="Times New Roman" w:hAnsi="Times New Roman"/>
          <w:sz w:val="24"/>
          <w:szCs w:val="24"/>
          <w:lang w:val="sr-Cyrl-CS"/>
        </w:rPr>
        <w:t xml:space="preserve"> или путем артифицијелних (вештачких) правних конструкција. Пореска материја је подложна честим променама, које се законом не могу увек предвидети ни обухватити, па све то погодује пореским обвезницима за изналажење тзв. правних празнина у закону. За остварење овог циља могу се користити саветима стручних лица-пореских саветника, како би приходе приказали што мањим, а расходе што већим и тако избегли плаћање пореза. У овом случају, за разлику од прихватљиве евазије, се не остварују циљеви пореске политике. </w:t>
      </w:r>
    </w:p>
    <w:p w:rsidR="001E6839" w:rsidRDefault="001E6839" w:rsidP="001E6839">
      <w:pPr>
        <w:ind w:firstLine="708"/>
        <w:jc w:val="both"/>
        <w:rPr>
          <w:rFonts w:ascii="Times New Roman" w:hAnsi="Times New Roman"/>
          <w:sz w:val="24"/>
          <w:szCs w:val="24"/>
        </w:rPr>
      </w:pPr>
      <w:r>
        <w:rPr>
          <w:rFonts w:ascii="Times New Roman" w:hAnsi="Times New Roman"/>
          <w:sz w:val="24"/>
          <w:szCs w:val="24"/>
          <w:lang w:val="sr-Cyrl-CS"/>
        </w:rPr>
        <w:t>Како би се утврдило у којим случајевима се ради о неприхватљивом избегавању пореза могу се на сумњиве трансакције применити следећи тестови</w:t>
      </w:r>
      <w:r>
        <w:rPr>
          <w:rStyle w:val="FootnoteReference"/>
          <w:rFonts w:ascii="Times New Roman" w:hAnsi="Times New Roman"/>
          <w:sz w:val="24"/>
          <w:szCs w:val="24"/>
          <w:lang w:val="sr-Cyrl-CS"/>
        </w:rPr>
        <w:footnoteReference w:id="132"/>
      </w:r>
      <w:r>
        <w:rPr>
          <w:rFonts w:ascii="Times New Roman" w:hAnsi="Times New Roman"/>
          <w:sz w:val="24"/>
          <w:szCs w:val="24"/>
          <w:lang w:val="sr-Cyrl-CS"/>
        </w:rPr>
        <w:t>:</w:t>
      </w:r>
    </w:p>
    <w:p w:rsidR="001E6839" w:rsidRPr="00EE719D" w:rsidRDefault="001E6839" w:rsidP="001E6839">
      <w:pPr>
        <w:jc w:val="both"/>
        <w:rPr>
          <w:rFonts w:ascii="Times New Roman" w:hAnsi="Times New Roman"/>
          <w:sz w:val="24"/>
          <w:szCs w:val="24"/>
          <w:lang w:val="sr-Cyrl-CS"/>
        </w:rPr>
      </w:pPr>
      <w:r>
        <w:rPr>
          <w:rFonts w:ascii="Times New Roman" w:hAnsi="Times New Roman"/>
          <w:sz w:val="24"/>
          <w:szCs w:val="24"/>
        </w:rPr>
        <w:t>-Тест намере</w:t>
      </w:r>
    </w:p>
    <w:p w:rsidR="001E6839" w:rsidRPr="00160F7A" w:rsidRDefault="001E6839" w:rsidP="001E6839">
      <w:pPr>
        <w:ind w:firstLine="708"/>
        <w:jc w:val="both"/>
        <w:rPr>
          <w:rFonts w:ascii="Times New Roman" w:hAnsi="Times New Roman"/>
          <w:sz w:val="24"/>
          <w:szCs w:val="24"/>
          <w:lang w:val="sr-Cyrl-CS"/>
        </w:rPr>
      </w:pPr>
      <w:r>
        <w:rPr>
          <w:rFonts w:ascii="Times New Roman" w:hAnsi="Times New Roman"/>
          <w:sz w:val="24"/>
          <w:szCs w:val="24"/>
          <w:lang w:val="sr-Cyrl-CS"/>
        </w:rPr>
        <w:t>Према овом критеријуму води се рачуна о објективним чињеницама које могу указати какву је намеру имао порески обвезник. Уколико је његова намера била да смањи или избегне пореску обавезу радиће се о неприхватљивој евазији.</w:t>
      </w:r>
    </w:p>
    <w:p w:rsidR="001E6839" w:rsidRDefault="001E6839" w:rsidP="001E6839">
      <w:pPr>
        <w:jc w:val="both"/>
        <w:rPr>
          <w:rFonts w:ascii="Times New Roman" w:hAnsi="Times New Roman"/>
          <w:sz w:val="24"/>
          <w:szCs w:val="24"/>
          <w:lang w:val="sr-Cyrl-CS"/>
        </w:rPr>
      </w:pPr>
      <w:r>
        <w:rPr>
          <w:rFonts w:ascii="Times New Roman" w:hAnsi="Times New Roman"/>
          <w:sz w:val="24"/>
          <w:szCs w:val="24"/>
          <w:lang w:val="sr-Cyrl-CS"/>
        </w:rPr>
        <w:t>-Тест постојања елемената вештачког (артифицијелног)</w:t>
      </w:r>
    </w:p>
    <w:p w:rsidR="001E6839" w:rsidRDefault="001E6839" w:rsidP="001E6839">
      <w:pPr>
        <w:ind w:firstLine="708"/>
        <w:jc w:val="both"/>
        <w:rPr>
          <w:rFonts w:ascii="Times New Roman" w:hAnsi="Times New Roman"/>
          <w:sz w:val="24"/>
          <w:szCs w:val="24"/>
          <w:lang w:val="sr-Cyrl-CS"/>
        </w:rPr>
      </w:pPr>
      <w:r>
        <w:rPr>
          <w:rFonts w:ascii="Times New Roman" w:hAnsi="Times New Roman"/>
          <w:sz w:val="24"/>
          <w:szCs w:val="24"/>
          <w:lang w:val="sr-Cyrl-CS"/>
        </w:rPr>
        <w:t xml:space="preserve">Према овом критеријуму се полази од конструкције приватног права која је искоришћена у одређеном случају, а која не би имала тај облик да нема пореза и зато је вештачка или артифицијелна. Овакве конструкције се користе искључиво ради избегавања плаћања пореза. </w:t>
      </w:r>
    </w:p>
    <w:p w:rsidR="001E6839" w:rsidRDefault="001E6839" w:rsidP="001E6839">
      <w:pPr>
        <w:jc w:val="both"/>
        <w:rPr>
          <w:rFonts w:ascii="Times New Roman" w:hAnsi="Times New Roman"/>
          <w:sz w:val="24"/>
          <w:szCs w:val="24"/>
          <w:lang w:val="sr-Cyrl-CS"/>
        </w:rPr>
      </w:pPr>
      <w:r>
        <w:rPr>
          <w:rFonts w:ascii="Times New Roman" w:hAnsi="Times New Roman"/>
          <w:sz w:val="24"/>
          <w:szCs w:val="24"/>
          <w:lang w:val="sr-Cyrl-CS"/>
        </w:rPr>
        <w:t>-Тест пореске уштеде</w:t>
      </w:r>
    </w:p>
    <w:p w:rsidR="001E6839" w:rsidRDefault="001E6839" w:rsidP="001E6839">
      <w:pPr>
        <w:ind w:firstLine="708"/>
        <w:jc w:val="both"/>
        <w:rPr>
          <w:rFonts w:ascii="Times New Roman" w:hAnsi="Times New Roman"/>
          <w:sz w:val="24"/>
          <w:szCs w:val="24"/>
          <w:lang w:val="sr-Cyrl-CS"/>
        </w:rPr>
      </w:pPr>
      <w:r>
        <w:rPr>
          <w:rFonts w:ascii="Times New Roman" w:hAnsi="Times New Roman"/>
          <w:sz w:val="24"/>
          <w:szCs w:val="24"/>
          <w:lang w:val="sr-Cyrl-CS"/>
        </w:rPr>
        <w:t>Уколико је остварена пореска уштеда она указује на постојање неплаћеног пореза.</w:t>
      </w:r>
    </w:p>
    <w:p w:rsidR="001E6839" w:rsidRDefault="001E6839" w:rsidP="001E6839">
      <w:pPr>
        <w:jc w:val="both"/>
        <w:rPr>
          <w:rFonts w:ascii="Times New Roman" w:hAnsi="Times New Roman"/>
          <w:sz w:val="24"/>
          <w:szCs w:val="24"/>
          <w:lang w:val="sr-Cyrl-CS"/>
        </w:rPr>
      </w:pPr>
      <w:r>
        <w:rPr>
          <w:rFonts w:ascii="Times New Roman" w:hAnsi="Times New Roman"/>
          <w:sz w:val="24"/>
          <w:szCs w:val="24"/>
          <w:lang w:val="sr-Cyrl-CS"/>
        </w:rPr>
        <w:t xml:space="preserve">-Тест постојања решења надлежног пореског органа </w:t>
      </w:r>
    </w:p>
    <w:p w:rsidR="001E6839" w:rsidRDefault="001E6839" w:rsidP="001E6839">
      <w:pPr>
        <w:ind w:firstLine="708"/>
        <w:jc w:val="both"/>
        <w:rPr>
          <w:rFonts w:ascii="Times New Roman" w:hAnsi="Times New Roman"/>
          <w:sz w:val="24"/>
          <w:szCs w:val="24"/>
          <w:lang w:val="sr-Cyrl-CS"/>
        </w:rPr>
      </w:pPr>
      <w:r>
        <w:rPr>
          <w:rFonts w:ascii="Times New Roman" w:hAnsi="Times New Roman"/>
          <w:sz w:val="24"/>
          <w:szCs w:val="24"/>
          <w:lang w:val="sr-Cyrl-CS"/>
        </w:rPr>
        <w:t xml:space="preserve">Уколико је порески обвезник користећи артифицијелне (вештачке) конструкције избегао да плати порез и остварио пореску уштеду, надлежни порески орган то утврђује својим решењем. Али, ако је у питању законита пореска евазија, поставља се питање </w:t>
      </w:r>
      <w:r>
        <w:rPr>
          <w:rFonts w:ascii="Times New Roman" w:hAnsi="Times New Roman"/>
          <w:sz w:val="24"/>
          <w:szCs w:val="24"/>
          <w:lang w:val="sr-Cyrl-CS"/>
        </w:rPr>
        <w:lastRenderedPageBreak/>
        <w:t>правног основа за доношење таквог решења и улоге суда, односно законодавца у попуњавању правних празнина и „рупа“ у прописима. Битан је и начин тумачења пореских закона. Они се могу тумачити придржавајући се доктрине да је суштина важнија од форме. У земљама у којима по принципима поделе власти суд не сме да замењује законодавца, суд ће одустати од наметања пореза, уколико порески закон пропусти да опорезује поједине ситуације, тј. када постоје правне празнине у прописима. Тада најчешће долази до ослањања на анти-абузивно законодавство, тј. на законске мере уведене да би се добили општи прописи који се примењују уколико порески обвезници предузимају своје трансакције у посебним правним формама како би остварили пореску корист коју порески закон није имао у виду. Постоје и специфичне ант</w:t>
      </w:r>
      <w:r w:rsidR="00343158">
        <w:rPr>
          <w:rFonts w:ascii="Times New Roman" w:hAnsi="Times New Roman"/>
          <w:sz w:val="24"/>
          <w:szCs w:val="24"/>
          <w:lang w:val="sr-Cyrl-CS"/>
        </w:rPr>
        <w:t>и</w:t>
      </w:r>
      <w:r>
        <w:rPr>
          <w:rFonts w:ascii="Times New Roman" w:hAnsi="Times New Roman"/>
          <w:sz w:val="24"/>
          <w:szCs w:val="24"/>
          <w:lang w:val="sr-Cyrl-CS"/>
        </w:rPr>
        <w:t>-абузивне мере којима се ускраћују поједине погодности под одређеним околностима (нпр. правила о утањеној капитализацији, лимитирању расхода на репрезентацију и сл.). У земљама у којима  судови стриктно тумаче пореске законе, али не постоји опште анти-абузивно законодавство, судови се ослањају на судску праксу и специфичне анти-абузивне мере. Јасно законско регулисање пореских облика и забрана артифицијелних правних конструкција доприноси борби против неприхватљиве евазије.</w:t>
      </w:r>
    </w:p>
    <w:p w:rsidR="001E6839" w:rsidRDefault="001E6839" w:rsidP="001E6839">
      <w:pPr>
        <w:ind w:firstLine="708"/>
        <w:jc w:val="both"/>
        <w:rPr>
          <w:rFonts w:ascii="Times New Roman" w:hAnsi="Times New Roman"/>
          <w:sz w:val="24"/>
          <w:szCs w:val="24"/>
          <w:lang w:val="sr-Cyrl-CS"/>
        </w:rPr>
      </w:pPr>
      <w:r>
        <w:rPr>
          <w:rFonts w:ascii="Times New Roman" w:hAnsi="Times New Roman"/>
          <w:sz w:val="24"/>
          <w:szCs w:val="24"/>
          <w:lang w:val="sr-Cyrl-CS"/>
        </w:rPr>
        <w:t>Према домаћим позитивним прописима</w:t>
      </w:r>
      <w:r>
        <w:rPr>
          <w:rStyle w:val="FootnoteReference"/>
          <w:rFonts w:ascii="Times New Roman" w:hAnsi="Times New Roman"/>
          <w:sz w:val="24"/>
          <w:szCs w:val="24"/>
          <w:lang w:val="sr-Cyrl-CS"/>
        </w:rPr>
        <w:footnoteReference w:id="133"/>
      </w:r>
      <w:r>
        <w:rPr>
          <w:rFonts w:ascii="Times New Roman" w:hAnsi="Times New Roman"/>
          <w:sz w:val="24"/>
          <w:szCs w:val="24"/>
          <w:lang w:val="sr-Cyrl-CS"/>
        </w:rPr>
        <w:t xml:space="preserve"> пореске чињенице се утврђују према њиховој економској суштини. Ако се симулованим правним послом прикрива неки други правни посао, за утврђивање пореске обавезе основу чини дисимуловани правни посао. Када су на прописима супротан начин остварени приходи, односно стечена имовина, Пореска управа ће утврдити пореску обавезу у складу са законом којим се уређује одговарајућа врста пореза.  </w:t>
      </w:r>
    </w:p>
    <w:p w:rsidR="001E6839" w:rsidRDefault="001E6839" w:rsidP="001E6839">
      <w:pPr>
        <w:ind w:firstLine="708"/>
        <w:jc w:val="both"/>
        <w:rPr>
          <w:rFonts w:ascii="Times New Roman" w:hAnsi="Times New Roman"/>
          <w:sz w:val="24"/>
          <w:szCs w:val="24"/>
          <w:lang w:val="sr-Cyrl-CS"/>
        </w:rPr>
      </w:pPr>
      <w:r>
        <w:rPr>
          <w:rFonts w:ascii="Times New Roman" w:hAnsi="Times New Roman"/>
          <w:sz w:val="24"/>
          <w:szCs w:val="24"/>
          <w:lang w:val="sr-Cyrl-CS"/>
        </w:rPr>
        <w:t xml:space="preserve">Код законитог избегавања постоји много начина на који се оно може изврштити што отежава откривање. Порески обвезници полазе од тога колики је ризик да ће бити откривени. Често прибегавају ангажовању стручних лица, тзв. пореских саветника, како би се смањила вероватноћа њиховог откривања. Све то изазива додатне трошкове за пореског обвезника. Порески обвезници у циљу тежег откривања прибегавају сложеним трансакцијама, са великим бројем учесника. Према томе, законита пореска евазија је  захтевнија и више софистицирана за спровођење у пракси, него што је то незаконита. Захтева високо специјализована и стручна знања, али исто тако захтева већу стручност за откривање од стране надлежних органа. Битну улогу у смањивању законите евазије има поједностављење пореских прописа. </w:t>
      </w:r>
    </w:p>
    <w:p w:rsidR="001E6839" w:rsidRDefault="001E6839" w:rsidP="001E6839">
      <w:pPr>
        <w:ind w:firstLine="708"/>
        <w:jc w:val="both"/>
        <w:rPr>
          <w:rFonts w:ascii="Times New Roman" w:hAnsi="Times New Roman"/>
          <w:sz w:val="24"/>
          <w:szCs w:val="24"/>
          <w:lang w:val="sr-Cyrl-CS"/>
        </w:rPr>
      </w:pPr>
      <w:r>
        <w:rPr>
          <w:rFonts w:ascii="Times New Roman" w:hAnsi="Times New Roman"/>
          <w:sz w:val="24"/>
          <w:szCs w:val="24"/>
          <w:lang w:val="sr-Cyrl-CS"/>
        </w:rPr>
        <w:t>Због свега наведеног, законски прописи треба да буду јасни и недвосмислени, а порески систем транспарентан. Неразумљивост пореских прописа, честе измене и допуне, разна тумачења, бројни подзаконски акти, отежава доступност пореских прописа, утиче на висину пореске обавезе и доприноси избегавању плаћања пореза.</w:t>
      </w:r>
    </w:p>
    <w:p w:rsidR="001E6839" w:rsidRPr="00343158" w:rsidRDefault="001E6839" w:rsidP="001E6839">
      <w:pPr>
        <w:jc w:val="both"/>
        <w:rPr>
          <w:rFonts w:ascii="Times New Roman" w:hAnsi="Times New Roman"/>
          <w:sz w:val="24"/>
          <w:szCs w:val="24"/>
          <w:lang w:val="sr-Cyrl-CS"/>
        </w:rPr>
      </w:pPr>
    </w:p>
    <w:p w:rsidR="001E6839" w:rsidRPr="00AF3EA2" w:rsidRDefault="001E6839" w:rsidP="001E6839">
      <w:pPr>
        <w:ind w:left="709"/>
        <w:jc w:val="both"/>
        <w:rPr>
          <w:rFonts w:ascii="Times New Roman" w:hAnsi="Times New Roman"/>
          <w:sz w:val="24"/>
          <w:szCs w:val="24"/>
          <w:lang w:val="sr-Cyrl-CS"/>
        </w:rPr>
      </w:pPr>
      <w:r>
        <w:rPr>
          <w:rFonts w:ascii="Times New Roman" w:hAnsi="Times New Roman"/>
          <w:b/>
          <w:sz w:val="24"/>
          <w:szCs w:val="24"/>
          <w:lang w:val="sr-Cyrl-CS"/>
        </w:rPr>
        <w:lastRenderedPageBreak/>
        <w:t>4.2.</w:t>
      </w:r>
      <w:r w:rsidRPr="00AF3EA2">
        <w:rPr>
          <w:rFonts w:ascii="Times New Roman" w:hAnsi="Times New Roman"/>
          <w:b/>
          <w:sz w:val="24"/>
          <w:szCs w:val="24"/>
          <w:lang w:val="sr-Cyrl-CS"/>
        </w:rPr>
        <w:t xml:space="preserve">Незаконита </w:t>
      </w:r>
      <w:r>
        <w:rPr>
          <w:rFonts w:ascii="Times New Roman" w:hAnsi="Times New Roman"/>
          <w:b/>
          <w:sz w:val="24"/>
          <w:szCs w:val="24"/>
          <w:lang w:val="sr-Cyrl-CS"/>
        </w:rPr>
        <w:t>пореска евазија</w:t>
      </w:r>
    </w:p>
    <w:p w:rsidR="001E6839" w:rsidRPr="00353AF0" w:rsidRDefault="001E6839" w:rsidP="001E6839">
      <w:pPr>
        <w:pStyle w:val="ListParagraph"/>
        <w:ind w:left="1429"/>
        <w:jc w:val="both"/>
        <w:rPr>
          <w:rFonts w:ascii="Times New Roman" w:hAnsi="Times New Roman"/>
          <w:sz w:val="24"/>
          <w:szCs w:val="24"/>
          <w:lang w:val="sr-Cyrl-CS"/>
        </w:rPr>
      </w:pPr>
    </w:p>
    <w:p w:rsidR="006D249D" w:rsidRDefault="001E6839" w:rsidP="006D249D">
      <w:pPr>
        <w:ind w:firstLine="708"/>
        <w:jc w:val="both"/>
        <w:rPr>
          <w:rFonts w:ascii="Times New Roman" w:hAnsi="Times New Roman"/>
          <w:sz w:val="24"/>
          <w:szCs w:val="24"/>
          <w:lang w:val="sr-Cyrl-CS"/>
        </w:rPr>
      </w:pPr>
      <w:r w:rsidRPr="00353AF0">
        <w:rPr>
          <w:rFonts w:ascii="Times New Roman" w:hAnsi="Times New Roman"/>
          <w:sz w:val="24"/>
          <w:szCs w:val="24"/>
          <w:lang w:val="sr-Cyrl-CS"/>
        </w:rPr>
        <w:t xml:space="preserve">Незаконита (нелегална, недозвољена) евазија пореза (eng. </w:t>
      </w:r>
      <w:r w:rsidRPr="00353AF0">
        <w:rPr>
          <w:rFonts w:ascii="Times New Roman" w:hAnsi="Times New Roman"/>
          <w:sz w:val="24"/>
          <w:szCs w:val="24"/>
        </w:rPr>
        <w:t>t</w:t>
      </w:r>
      <w:r w:rsidRPr="00353AF0">
        <w:rPr>
          <w:rFonts w:ascii="Times New Roman" w:hAnsi="Times New Roman"/>
          <w:sz w:val="24"/>
          <w:szCs w:val="24"/>
          <w:lang w:val="sr-Cyrl-CS"/>
        </w:rPr>
        <w:t xml:space="preserve">ax </w:t>
      </w:r>
      <w:r w:rsidRPr="00353AF0">
        <w:rPr>
          <w:rFonts w:ascii="Times New Roman" w:hAnsi="Times New Roman"/>
          <w:sz w:val="24"/>
          <w:szCs w:val="24"/>
        </w:rPr>
        <w:t>evasion)</w:t>
      </w:r>
      <w:r w:rsidRPr="00353AF0">
        <w:rPr>
          <w:rFonts w:ascii="Times New Roman" w:hAnsi="Times New Roman"/>
          <w:sz w:val="24"/>
          <w:szCs w:val="24"/>
          <w:lang w:val="sr-Cyrl-CS"/>
        </w:rPr>
        <w:t xml:space="preserve"> је стари феномен. </w:t>
      </w:r>
      <w:r>
        <w:rPr>
          <w:rFonts w:ascii="Times New Roman" w:hAnsi="Times New Roman"/>
          <w:sz w:val="24"/>
          <w:szCs w:val="24"/>
          <w:lang w:val="sr-Cyrl-CS"/>
        </w:rPr>
        <w:t xml:space="preserve">Код незаконите пореске евазије </w:t>
      </w:r>
      <w:r w:rsidR="00193C1C">
        <w:rPr>
          <w:rFonts w:ascii="Times New Roman" w:hAnsi="Times New Roman"/>
          <w:sz w:val="24"/>
          <w:szCs w:val="24"/>
          <w:lang w:val="sr-Cyrl-CS"/>
        </w:rPr>
        <w:t>се порески обвезник сукобљава са законом и другим пропис</w:t>
      </w:r>
      <w:r w:rsidR="006D249D">
        <w:rPr>
          <w:rFonts w:ascii="Times New Roman" w:hAnsi="Times New Roman"/>
          <w:sz w:val="24"/>
          <w:szCs w:val="24"/>
          <w:lang w:val="sr-Cyrl-CS"/>
        </w:rPr>
        <w:t>и</w:t>
      </w:r>
      <w:r w:rsidR="00193C1C">
        <w:rPr>
          <w:rFonts w:ascii="Times New Roman" w:hAnsi="Times New Roman"/>
          <w:sz w:val="24"/>
          <w:szCs w:val="24"/>
          <w:lang w:val="sr-Cyrl-CS"/>
        </w:rPr>
        <w:t>ма у циљу избегавања пореске обавезе.</w:t>
      </w:r>
      <w:r w:rsidR="006D249D" w:rsidRPr="006D249D">
        <w:rPr>
          <w:rFonts w:ascii="Times New Roman" w:hAnsi="Times New Roman"/>
          <w:sz w:val="24"/>
          <w:szCs w:val="24"/>
          <w:lang w:val="sr-Cyrl-CS"/>
        </w:rPr>
        <w:t xml:space="preserve"> </w:t>
      </w:r>
      <w:r w:rsidR="006D249D">
        <w:rPr>
          <w:rFonts w:ascii="Times New Roman" w:hAnsi="Times New Roman"/>
          <w:sz w:val="24"/>
          <w:szCs w:val="24"/>
          <w:lang w:val="sr-Cyrl-CS"/>
        </w:rPr>
        <w:t xml:space="preserve">Порески обвезник прикрива или нетачно приказује чињенице од значаја за опорезивање или пак, у мањем броју случајева, одбија да изврши пореску обавезу, која му је утврђена. </w:t>
      </w:r>
    </w:p>
    <w:p w:rsidR="001E6839" w:rsidRPr="00B04C42" w:rsidRDefault="006D249D" w:rsidP="006D249D">
      <w:pPr>
        <w:jc w:val="both"/>
        <w:rPr>
          <w:rFonts w:ascii="Times New Roman" w:hAnsi="Times New Roman"/>
          <w:sz w:val="24"/>
          <w:szCs w:val="24"/>
          <w:lang w:val="sr-Cyrl-CS"/>
        </w:rPr>
      </w:pPr>
      <w:r>
        <w:rPr>
          <w:rFonts w:ascii="Times New Roman" w:hAnsi="Times New Roman"/>
          <w:sz w:val="24"/>
          <w:szCs w:val="24"/>
          <w:lang w:val="sr-Cyrl-CS"/>
        </w:rPr>
        <w:tab/>
      </w:r>
      <w:r w:rsidR="00334996">
        <w:rPr>
          <w:rFonts w:ascii="Times New Roman" w:hAnsi="Times New Roman"/>
          <w:sz w:val="24"/>
          <w:szCs w:val="24"/>
          <w:lang w:val="sr-Cyrl-CS"/>
        </w:rPr>
        <w:t>Према томе, н</w:t>
      </w:r>
      <w:r w:rsidR="001E6839">
        <w:rPr>
          <w:rFonts w:ascii="Times New Roman" w:hAnsi="Times New Roman"/>
          <w:sz w:val="24"/>
          <w:szCs w:val="24"/>
          <w:lang w:val="sr-Cyrl-CS"/>
        </w:rPr>
        <w:t>ез</w:t>
      </w:r>
      <w:r w:rsidR="00334996">
        <w:rPr>
          <w:rFonts w:ascii="Times New Roman" w:hAnsi="Times New Roman"/>
          <w:sz w:val="24"/>
          <w:szCs w:val="24"/>
          <w:lang w:val="sr-Cyrl-CS"/>
        </w:rPr>
        <w:t xml:space="preserve">аконита пореска евазија </w:t>
      </w:r>
      <w:r w:rsidR="001E6839">
        <w:rPr>
          <w:rFonts w:ascii="Times New Roman" w:hAnsi="Times New Roman"/>
          <w:sz w:val="24"/>
          <w:szCs w:val="24"/>
          <w:lang w:val="sr-Cyrl-CS"/>
        </w:rPr>
        <w:t xml:space="preserve">обухвата поступке пореског обвезника усмерене на избегавање плаћања пореза </w:t>
      </w:r>
      <w:r w:rsidR="00334996">
        <w:rPr>
          <w:rFonts w:ascii="Times New Roman" w:hAnsi="Times New Roman"/>
          <w:sz w:val="24"/>
          <w:szCs w:val="24"/>
          <w:lang w:val="sr-Cyrl-CS"/>
        </w:rPr>
        <w:t xml:space="preserve">који представљају повреду закона. Ти </w:t>
      </w:r>
      <w:r w:rsidR="001E6839">
        <w:rPr>
          <w:rFonts w:ascii="Times New Roman" w:hAnsi="Times New Roman"/>
          <w:sz w:val="24"/>
          <w:szCs w:val="24"/>
          <w:lang w:val="sr-Cyrl-CS"/>
        </w:rPr>
        <w:t xml:space="preserve"> поступци </w:t>
      </w:r>
      <w:r w:rsidR="00334996">
        <w:rPr>
          <w:rFonts w:ascii="Times New Roman" w:hAnsi="Times New Roman"/>
          <w:sz w:val="24"/>
          <w:szCs w:val="24"/>
          <w:lang w:val="sr-Cyrl-CS"/>
        </w:rPr>
        <w:t xml:space="preserve">се </w:t>
      </w:r>
      <w:r w:rsidR="001E6839">
        <w:rPr>
          <w:rFonts w:ascii="Times New Roman" w:hAnsi="Times New Roman"/>
          <w:sz w:val="24"/>
          <w:szCs w:val="24"/>
          <w:lang w:val="sr-Cyrl-CS"/>
        </w:rPr>
        <w:t xml:space="preserve">своде на сам чин неплаћања пореза (у потпуности или делимично), </w:t>
      </w:r>
      <w:r w:rsidR="00334996">
        <w:rPr>
          <w:rFonts w:ascii="Times New Roman" w:hAnsi="Times New Roman"/>
          <w:sz w:val="24"/>
          <w:szCs w:val="24"/>
          <w:lang w:val="sr-Cyrl-CS"/>
        </w:rPr>
        <w:t xml:space="preserve">или </w:t>
      </w:r>
      <w:r w:rsidR="001E6839">
        <w:rPr>
          <w:rFonts w:ascii="Times New Roman" w:hAnsi="Times New Roman"/>
          <w:sz w:val="24"/>
          <w:szCs w:val="24"/>
          <w:lang w:val="sr-Cyrl-CS"/>
        </w:rPr>
        <w:t>на пропуштање да се поступи у складу са захтевима из пореског управног односа, који су пореском обвезнику наметнути да би се обезбедило да главна пореска обавеза буде испуњена (да поднесе пореску пријаву, да уредно води пословне књиге, да допусти пореску контролу и др.).</w:t>
      </w:r>
      <w:r w:rsidR="001E6839">
        <w:rPr>
          <w:rStyle w:val="FootnoteReference"/>
          <w:rFonts w:ascii="Times New Roman" w:hAnsi="Times New Roman"/>
          <w:sz w:val="24"/>
          <w:szCs w:val="24"/>
          <w:lang w:val="sr-Cyrl-CS"/>
        </w:rPr>
        <w:footnoteReference w:id="134"/>
      </w:r>
    </w:p>
    <w:p w:rsidR="001E6839" w:rsidRPr="00BE4631" w:rsidRDefault="001E6839" w:rsidP="001E6839">
      <w:pPr>
        <w:ind w:firstLine="708"/>
        <w:jc w:val="both"/>
        <w:rPr>
          <w:rFonts w:ascii="Times New Roman" w:hAnsi="Times New Roman"/>
          <w:sz w:val="24"/>
          <w:szCs w:val="24"/>
          <w:lang w:val="sr-Cyrl-CS"/>
        </w:rPr>
      </w:pPr>
      <w:r>
        <w:rPr>
          <w:rFonts w:ascii="Times New Roman" w:hAnsi="Times New Roman"/>
          <w:sz w:val="24"/>
          <w:szCs w:val="24"/>
          <w:lang w:val="sr-Cyrl-CS"/>
        </w:rPr>
        <w:t xml:space="preserve">Незаконито избегавање пореза може се извршити </w:t>
      </w:r>
      <w:r w:rsidR="007A3327">
        <w:rPr>
          <w:rFonts w:ascii="Times New Roman" w:hAnsi="Times New Roman"/>
          <w:sz w:val="24"/>
          <w:szCs w:val="24"/>
          <w:lang w:val="sr-Cyrl-CS"/>
        </w:rPr>
        <w:t>„</w:t>
      </w:r>
      <w:r>
        <w:rPr>
          <w:rFonts w:ascii="Times New Roman" w:hAnsi="Times New Roman"/>
          <w:sz w:val="24"/>
          <w:szCs w:val="24"/>
          <w:lang w:val="sr-Cyrl-CS"/>
        </w:rPr>
        <w:t xml:space="preserve">пропуштањем навођења опорезивог дохотка </w:t>
      </w:r>
      <w:r>
        <w:rPr>
          <w:rFonts w:ascii="Times New Roman" w:hAnsi="Times New Roman"/>
          <w:sz w:val="24"/>
          <w:szCs w:val="24"/>
        </w:rPr>
        <w:t xml:space="preserve">(taxable income) </w:t>
      </w:r>
      <w:r>
        <w:rPr>
          <w:rFonts w:ascii="Times New Roman" w:hAnsi="Times New Roman"/>
          <w:sz w:val="24"/>
          <w:szCs w:val="24"/>
          <w:lang w:val="sr-Cyrl-CS"/>
        </w:rPr>
        <w:t xml:space="preserve">или трансакција из пореске пријаве, навођењем виших одбитних трошкова </w:t>
      </w:r>
      <w:r>
        <w:rPr>
          <w:rFonts w:ascii="Times New Roman" w:hAnsi="Times New Roman"/>
          <w:sz w:val="24"/>
          <w:szCs w:val="24"/>
        </w:rPr>
        <w:t xml:space="preserve">(expenses) </w:t>
      </w:r>
      <w:r>
        <w:rPr>
          <w:rFonts w:ascii="Times New Roman" w:hAnsi="Times New Roman"/>
          <w:sz w:val="24"/>
          <w:szCs w:val="24"/>
          <w:lang w:val="sr-Cyrl-CS"/>
        </w:rPr>
        <w:t>него што су стварни, пропуштањем подношења пријаве</w:t>
      </w:r>
      <w:r>
        <w:rPr>
          <w:rFonts w:ascii="Times New Roman" w:hAnsi="Times New Roman"/>
          <w:sz w:val="24"/>
          <w:szCs w:val="24"/>
        </w:rPr>
        <w:t xml:space="preserve"> (return)</w:t>
      </w:r>
      <w:r>
        <w:rPr>
          <w:rFonts w:ascii="Times New Roman" w:hAnsi="Times New Roman"/>
          <w:sz w:val="24"/>
          <w:szCs w:val="24"/>
          <w:lang w:val="sr-Cyrl-CS"/>
        </w:rPr>
        <w:t>, смањењем износа који се стварно дугује, лажним изјавама или приказивањем чињеница.</w:t>
      </w:r>
      <w:r w:rsidR="007A3327">
        <w:rPr>
          <w:rFonts w:ascii="Times New Roman" w:hAnsi="Times New Roman"/>
          <w:sz w:val="24"/>
          <w:szCs w:val="24"/>
          <w:lang w:val="sr-Cyrl-CS"/>
        </w:rPr>
        <w:t>“</w:t>
      </w:r>
      <w:r>
        <w:rPr>
          <w:rStyle w:val="FootnoteReference"/>
          <w:rFonts w:ascii="Times New Roman" w:hAnsi="Times New Roman"/>
          <w:sz w:val="24"/>
          <w:szCs w:val="24"/>
          <w:lang w:val="sr-Cyrl-CS"/>
        </w:rPr>
        <w:footnoteReference w:id="135"/>
      </w:r>
      <w:r>
        <w:rPr>
          <w:rFonts w:ascii="Times New Roman" w:hAnsi="Times New Roman"/>
          <w:sz w:val="24"/>
          <w:szCs w:val="24"/>
          <w:lang w:val="sr-Cyrl-CS"/>
        </w:rPr>
        <w:t xml:space="preserve"> </w:t>
      </w:r>
    </w:p>
    <w:p w:rsidR="001E6839" w:rsidRDefault="001E6839" w:rsidP="001E6839">
      <w:pPr>
        <w:ind w:firstLine="708"/>
        <w:jc w:val="both"/>
        <w:rPr>
          <w:rFonts w:ascii="Times New Roman" w:hAnsi="Times New Roman"/>
          <w:sz w:val="24"/>
          <w:szCs w:val="24"/>
          <w:lang w:val="sr-Cyrl-CS"/>
        </w:rPr>
      </w:pPr>
      <w:r>
        <w:rPr>
          <w:rFonts w:ascii="Times New Roman" w:hAnsi="Times New Roman"/>
          <w:sz w:val="24"/>
          <w:szCs w:val="24"/>
          <w:lang w:val="sr-Cyrl-CS"/>
        </w:rPr>
        <w:t>Према нашим позитивним прописима, непоштовање пореских прописа је кажњиво као порески прекршај, привредни преступ или кривично дело.</w:t>
      </w:r>
    </w:p>
    <w:p w:rsidR="001E6839" w:rsidRDefault="001E6839" w:rsidP="001E6839">
      <w:pPr>
        <w:ind w:firstLine="708"/>
        <w:jc w:val="both"/>
        <w:rPr>
          <w:rFonts w:ascii="Times New Roman" w:hAnsi="Times New Roman"/>
          <w:sz w:val="24"/>
          <w:szCs w:val="24"/>
          <w:lang w:val="sr-Cyrl-CS"/>
        </w:rPr>
      </w:pPr>
      <w:r>
        <w:rPr>
          <w:rFonts w:ascii="Times New Roman" w:hAnsi="Times New Roman"/>
          <w:sz w:val="24"/>
          <w:szCs w:val="24"/>
          <w:lang w:val="sr-Cyrl-CS"/>
        </w:rPr>
        <w:t xml:space="preserve">У литератури се срећу разне </w:t>
      </w:r>
      <w:r w:rsidR="00334996">
        <w:rPr>
          <w:rFonts w:ascii="Times New Roman" w:hAnsi="Times New Roman"/>
          <w:sz w:val="24"/>
          <w:szCs w:val="24"/>
          <w:lang w:val="sr-Cyrl-CS"/>
        </w:rPr>
        <w:t>поделе</w:t>
      </w:r>
      <w:r>
        <w:rPr>
          <w:rFonts w:ascii="Times New Roman" w:hAnsi="Times New Roman"/>
          <w:sz w:val="24"/>
          <w:szCs w:val="24"/>
          <w:lang w:val="sr-Cyrl-CS"/>
        </w:rPr>
        <w:t xml:space="preserve"> незаконите пореске евазије. Ако за основу посматрања узмемо размере избегавања плаћања пореза, незаконита пореска евазија може бити потпуна или делимична. Потпуна постоји када обвезник не пријави целокупан износ оствареног прихода или сву имовину која подлеже опорезивању, односно ако прикрије трансакције које доводе до настанка пореске обавезе. </w:t>
      </w:r>
      <w:r w:rsidR="00334996">
        <w:rPr>
          <w:rFonts w:ascii="Times New Roman" w:hAnsi="Times New Roman"/>
          <w:sz w:val="24"/>
          <w:szCs w:val="24"/>
          <w:lang w:val="sr-Cyrl-CS"/>
        </w:rPr>
        <w:t>Међутим</w:t>
      </w:r>
      <w:r>
        <w:rPr>
          <w:rFonts w:ascii="Times New Roman" w:hAnsi="Times New Roman"/>
          <w:sz w:val="24"/>
          <w:szCs w:val="24"/>
          <w:lang w:val="sr-Cyrl-CS"/>
        </w:rPr>
        <w:t xml:space="preserve">, ако је пореским властима пријавио приходе, имовину или трансакције, </w:t>
      </w:r>
      <w:r w:rsidR="00334996">
        <w:rPr>
          <w:rFonts w:ascii="Times New Roman" w:hAnsi="Times New Roman"/>
          <w:sz w:val="24"/>
          <w:szCs w:val="24"/>
          <w:lang w:val="sr-Cyrl-CS"/>
        </w:rPr>
        <w:t>на начин да је</w:t>
      </w:r>
      <w:r>
        <w:rPr>
          <w:rFonts w:ascii="Times New Roman" w:hAnsi="Times New Roman"/>
          <w:sz w:val="24"/>
          <w:szCs w:val="24"/>
          <w:lang w:val="sr-Cyrl-CS"/>
        </w:rPr>
        <w:t xml:space="preserve"> дао непотпуне или нетачне податке, односно ако је навођењем нетачних података умањио пореску обавезу, а да на то није имао право или су размере те олакшице требало да буду мање, ради се о делимичној незаконитој пореској евазији.</w:t>
      </w:r>
      <w:r>
        <w:rPr>
          <w:rStyle w:val="FootnoteReference"/>
          <w:rFonts w:ascii="Times New Roman" w:hAnsi="Times New Roman"/>
          <w:sz w:val="24"/>
          <w:szCs w:val="24"/>
          <w:lang w:val="sr-Cyrl-CS"/>
        </w:rPr>
        <w:footnoteReference w:id="136"/>
      </w:r>
    </w:p>
    <w:p w:rsidR="00850A3E" w:rsidRDefault="00850A3E" w:rsidP="001E6839">
      <w:pPr>
        <w:ind w:firstLine="708"/>
        <w:jc w:val="both"/>
        <w:rPr>
          <w:rFonts w:ascii="Times New Roman" w:hAnsi="Times New Roman"/>
          <w:sz w:val="24"/>
          <w:szCs w:val="24"/>
          <w:lang w:val="sr-Cyrl-CS"/>
        </w:rPr>
      </w:pPr>
      <w:r>
        <w:rPr>
          <w:rFonts w:ascii="Times New Roman" w:hAnsi="Times New Roman"/>
          <w:sz w:val="24"/>
          <w:szCs w:val="24"/>
          <w:lang w:val="sr-Cyrl-CS"/>
        </w:rPr>
        <w:t>У погледу обима незаконите пореске евазије, према подацима Пореске управе који су базирани на броју поднетих пријава, за период од 2003. до 2009. године</w:t>
      </w:r>
      <w:r w:rsidR="001B657D">
        <w:rPr>
          <w:rFonts w:ascii="Times New Roman" w:hAnsi="Times New Roman"/>
          <w:sz w:val="24"/>
          <w:szCs w:val="24"/>
          <w:lang w:val="sr-Cyrl-CS"/>
        </w:rPr>
        <w:t>, кривичним пријавама ј</w:t>
      </w:r>
      <w:r>
        <w:rPr>
          <w:rFonts w:ascii="Times New Roman" w:hAnsi="Times New Roman"/>
          <w:sz w:val="24"/>
          <w:szCs w:val="24"/>
          <w:lang w:val="sr-Cyrl-CS"/>
        </w:rPr>
        <w:t xml:space="preserve">е обухваћено 11.850 лица због утаје пореза у износу од 83,5 милијарде динара. У структури избегнутог пореза порез по одбитку учествује са </w:t>
      </w:r>
      <w:r>
        <w:rPr>
          <w:rFonts w:ascii="Times New Roman" w:hAnsi="Times New Roman"/>
          <w:sz w:val="24"/>
          <w:szCs w:val="24"/>
          <w:lang w:val="sr-Cyrl-CS"/>
        </w:rPr>
        <w:lastRenderedPageBreak/>
        <w:t>52,06%, а порез на додату вредност са 27,39%. Порез на добит предузећа и порез на доходак грађана са мање од 1% има</w:t>
      </w:r>
      <w:r w:rsidR="001B657D">
        <w:rPr>
          <w:rFonts w:ascii="Times New Roman" w:hAnsi="Times New Roman"/>
          <w:sz w:val="24"/>
          <w:szCs w:val="24"/>
          <w:lang w:val="sr-Cyrl-CS"/>
        </w:rPr>
        <w:t xml:space="preserve"> </w:t>
      </w:r>
      <w:r>
        <w:rPr>
          <w:rFonts w:ascii="Times New Roman" w:hAnsi="Times New Roman"/>
          <w:sz w:val="24"/>
          <w:szCs w:val="24"/>
          <w:lang w:val="sr-Cyrl-CS"/>
        </w:rPr>
        <w:t>симболично учешће у укупно откривеним пореским утајама за дати период, мада не треба занемарити ове појавне облике утаје пореза. Структура избегнутог пореза по пореским облицима за наведени период се може илустровати следећим графичким приказом.</w:t>
      </w:r>
      <w:r>
        <w:rPr>
          <w:rStyle w:val="FootnoteReference"/>
          <w:rFonts w:ascii="Times New Roman" w:hAnsi="Times New Roman"/>
          <w:sz w:val="24"/>
          <w:szCs w:val="24"/>
          <w:lang w:val="sr-Cyrl-CS"/>
        </w:rPr>
        <w:footnoteReference w:id="137"/>
      </w:r>
    </w:p>
    <w:p w:rsidR="001B657D" w:rsidRDefault="001B657D" w:rsidP="001B657D">
      <w:pPr>
        <w:jc w:val="both"/>
        <w:rPr>
          <w:rFonts w:ascii="Times New Roman" w:hAnsi="Times New Roman"/>
          <w:sz w:val="24"/>
          <w:szCs w:val="24"/>
          <w:lang w:val="sr-Cyrl-CS"/>
        </w:rPr>
      </w:pPr>
    </w:p>
    <w:p w:rsidR="001B657D" w:rsidRPr="001B657D" w:rsidRDefault="007A3327" w:rsidP="001B657D">
      <w:pPr>
        <w:jc w:val="both"/>
        <w:rPr>
          <w:rFonts w:ascii="Times New Roman" w:hAnsi="Times New Roman"/>
          <w:b/>
          <w:sz w:val="24"/>
          <w:szCs w:val="24"/>
          <w:lang w:val="sr-Cyrl-CS"/>
        </w:rPr>
      </w:pPr>
      <w:r>
        <w:rPr>
          <w:rFonts w:ascii="Times New Roman" w:hAnsi="Times New Roman"/>
          <w:b/>
          <w:sz w:val="24"/>
          <w:szCs w:val="24"/>
          <w:lang w:val="sr-Cyrl-CS"/>
        </w:rPr>
        <w:t xml:space="preserve">Слика </w:t>
      </w:r>
      <w:r w:rsidR="004C0E90">
        <w:rPr>
          <w:rFonts w:ascii="Times New Roman" w:hAnsi="Times New Roman"/>
          <w:b/>
          <w:sz w:val="24"/>
          <w:szCs w:val="24"/>
          <w:lang w:val="sr-Cyrl-CS"/>
        </w:rPr>
        <w:t>6</w:t>
      </w:r>
      <w:r>
        <w:rPr>
          <w:rFonts w:ascii="Times New Roman" w:hAnsi="Times New Roman"/>
          <w:b/>
          <w:sz w:val="24"/>
          <w:szCs w:val="24"/>
          <w:lang w:val="sr-Cyrl-CS"/>
        </w:rPr>
        <w:t xml:space="preserve">. </w:t>
      </w:r>
      <w:r w:rsidR="001B657D" w:rsidRPr="001B657D">
        <w:rPr>
          <w:rFonts w:ascii="Times New Roman" w:hAnsi="Times New Roman"/>
          <w:b/>
          <w:sz w:val="24"/>
          <w:szCs w:val="24"/>
          <w:lang w:val="sr-Cyrl-CS"/>
        </w:rPr>
        <w:t>Структура избегнутог пореза по пореским облицима 2003-2009. године</w:t>
      </w:r>
    </w:p>
    <w:p w:rsidR="001B657D" w:rsidRDefault="001B657D" w:rsidP="001B657D">
      <w:pPr>
        <w:jc w:val="both"/>
        <w:rPr>
          <w:rFonts w:ascii="Times New Roman" w:hAnsi="Times New Roman"/>
          <w:sz w:val="24"/>
          <w:szCs w:val="24"/>
          <w:lang w:val="sr-Cyrl-CS"/>
        </w:rPr>
      </w:pPr>
      <w:r>
        <w:rPr>
          <w:rFonts w:ascii="Times New Roman" w:hAnsi="Times New Roman"/>
          <w:noProof/>
          <w:sz w:val="24"/>
          <w:szCs w:val="24"/>
        </w:rPr>
        <w:drawing>
          <wp:inline distT="0" distB="0" distL="0" distR="0">
            <wp:extent cx="5760085" cy="3317374"/>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5760085" cy="3317374"/>
                    </a:xfrm>
                    <a:prstGeom prst="rect">
                      <a:avLst/>
                    </a:prstGeom>
                    <a:noFill/>
                    <a:ln w="9525">
                      <a:noFill/>
                      <a:miter lim="800000"/>
                      <a:headEnd/>
                      <a:tailEnd/>
                    </a:ln>
                  </pic:spPr>
                </pic:pic>
              </a:graphicData>
            </a:graphic>
          </wp:inline>
        </w:drawing>
      </w:r>
    </w:p>
    <w:p w:rsidR="001B657D" w:rsidRDefault="001B657D" w:rsidP="001E6839">
      <w:pPr>
        <w:ind w:firstLine="708"/>
        <w:jc w:val="both"/>
        <w:rPr>
          <w:rFonts w:ascii="Times New Roman" w:hAnsi="Times New Roman"/>
          <w:sz w:val="24"/>
          <w:szCs w:val="24"/>
          <w:lang w:val="sr-Cyrl-CS"/>
        </w:rPr>
      </w:pPr>
    </w:p>
    <w:p w:rsidR="001E6839" w:rsidRPr="00913416" w:rsidRDefault="00C0306F" w:rsidP="001E6839">
      <w:pPr>
        <w:ind w:firstLine="708"/>
        <w:jc w:val="both"/>
        <w:rPr>
          <w:rFonts w:ascii="Times New Roman" w:hAnsi="Times New Roman"/>
          <w:sz w:val="24"/>
          <w:szCs w:val="24"/>
        </w:rPr>
      </w:pPr>
      <w:r>
        <w:rPr>
          <w:rFonts w:ascii="Times New Roman" w:hAnsi="Times New Roman"/>
          <w:sz w:val="24"/>
          <w:szCs w:val="24"/>
          <w:lang w:val="sr-Cyrl-CS"/>
        </w:rPr>
        <w:t>Н</w:t>
      </w:r>
      <w:r w:rsidR="001E6839">
        <w:rPr>
          <w:rFonts w:ascii="Times New Roman" w:hAnsi="Times New Roman"/>
          <w:sz w:val="24"/>
          <w:szCs w:val="24"/>
          <w:lang w:val="sr-Cyrl-CS"/>
        </w:rPr>
        <w:t xml:space="preserve">езаконита пореска евазија </w:t>
      </w:r>
      <w:r>
        <w:rPr>
          <w:rFonts w:ascii="Times New Roman" w:hAnsi="Times New Roman"/>
          <w:sz w:val="24"/>
          <w:szCs w:val="24"/>
          <w:lang w:val="sr-Cyrl-CS"/>
        </w:rPr>
        <w:t xml:space="preserve">се може јавити у два облика </w:t>
      </w:r>
      <w:r w:rsidR="001E6839">
        <w:rPr>
          <w:rFonts w:ascii="Times New Roman" w:hAnsi="Times New Roman"/>
          <w:sz w:val="24"/>
          <w:szCs w:val="24"/>
        </w:rPr>
        <w:t xml:space="preserve"> </w:t>
      </w:r>
      <w:r w:rsidR="001E6839">
        <w:rPr>
          <w:rFonts w:ascii="Times New Roman" w:hAnsi="Times New Roman"/>
          <w:sz w:val="24"/>
          <w:szCs w:val="24"/>
          <w:lang w:val="sr-Cyrl-CS"/>
        </w:rPr>
        <w:t xml:space="preserve">као пореска утаја и </w:t>
      </w:r>
      <w:r>
        <w:rPr>
          <w:rFonts w:ascii="Times New Roman" w:hAnsi="Times New Roman"/>
          <w:sz w:val="24"/>
          <w:szCs w:val="24"/>
          <w:lang w:val="sr-Cyrl-CS"/>
        </w:rPr>
        <w:t xml:space="preserve">као </w:t>
      </w:r>
      <w:r w:rsidR="001E6839">
        <w:rPr>
          <w:rFonts w:ascii="Times New Roman" w:hAnsi="Times New Roman"/>
          <w:sz w:val="24"/>
          <w:szCs w:val="24"/>
          <w:lang w:val="sr-Cyrl-CS"/>
        </w:rPr>
        <w:t>кријумчарење.</w:t>
      </w:r>
    </w:p>
    <w:p w:rsidR="001E6839" w:rsidRPr="00913416" w:rsidRDefault="001E6839" w:rsidP="001E6839">
      <w:pPr>
        <w:tabs>
          <w:tab w:val="center" w:pos="4535"/>
        </w:tabs>
        <w:jc w:val="both"/>
        <w:rPr>
          <w:rFonts w:ascii="Times New Roman" w:hAnsi="Times New Roman"/>
          <w:b/>
          <w:sz w:val="24"/>
          <w:szCs w:val="24"/>
        </w:rPr>
      </w:pPr>
      <w:r>
        <w:rPr>
          <w:rFonts w:ascii="Times New Roman" w:hAnsi="Times New Roman"/>
          <w:sz w:val="24"/>
          <w:szCs w:val="24"/>
          <w:lang w:val="sr-Cyrl-CS"/>
        </w:rPr>
        <w:t xml:space="preserve">А) </w:t>
      </w:r>
      <w:r w:rsidRPr="00B04C42">
        <w:rPr>
          <w:rFonts w:ascii="Times New Roman" w:hAnsi="Times New Roman"/>
          <w:b/>
          <w:sz w:val="24"/>
          <w:szCs w:val="24"/>
          <w:lang w:val="sr-Cyrl-CS"/>
        </w:rPr>
        <w:t>Дефраудација (пореска утаја)</w:t>
      </w:r>
      <w:r>
        <w:rPr>
          <w:rFonts w:ascii="Times New Roman" w:hAnsi="Times New Roman"/>
          <w:sz w:val="24"/>
          <w:szCs w:val="24"/>
          <w:lang w:val="sr-Cyrl-CS"/>
        </w:rPr>
        <w:tab/>
      </w:r>
    </w:p>
    <w:p w:rsidR="001E6839" w:rsidRDefault="001E6839" w:rsidP="001E6839">
      <w:pPr>
        <w:ind w:firstLine="708"/>
        <w:jc w:val="both"/>
        <w:rPr>
          <w:rFonts w:ascii="Times New Roman" w:hAnsi="Times New Roman"/>
          <w:sz w:val="24"/>
          <w:szCs w:val="24"/>
          <w:lang w:val="sr-Cyrl-CS"/>
        </w:rPr>
      </w:pPr>
      <w:r>
        <w:rPr>
          <w:rFonts w:ascii="Times New Roman" w:hAnsi="Times New Roman"/>
          <w:sz w:val="24"/>
          <w:szCs w:val="24"/>
          <w:lang w:val="sr-Cyrl-CS"/>
        </w:rPr>
        <w:t xml:space="preserve">То је избегавање пореске обавезе код непосредних (директних) пореза ( порез на доходак и порез на имовину). У зависности од тога да ли је порески обвезник пријавио само део елемената од значаја за опорезивање или ништа није пријавио разликује се потпуна и делимична дефраудација. Она се дакле врши нетачним пријављивањем или непријављивањем чињеница битних за опорезивање. У пракси се манифестује на више начина и то: лажним приказивањем књиговодствених података, неиздавањем рачуна код обављања услуга, приказивањем већих трошкова од стварних, давањем лажних </w:t>
      </w:r>
      <w:r>
        <w:rPr>
          <w:rFonts w:ascii="Times New Roman" w:hAnsi="Times New Roman"/>
          <w:sz w:val="24"/>
          <w:szCs w:val="24"/>
          <w:lang w:val="sr-Cyrl-CS"/>
        </w:rPr>
        <w:lastRenderedPageBreak/>
        <w:t xml:space="preserve">изјава и сл. Тиме се порески органи доводе у заблуду о економској снази пореских обвезника. </w:t>
      </w:r>
    </w:p>
    <w:p w:rsidR="001E6839" w:rsidRDefault="001E6839" w:rsidP="001E6839">
      <w:pPr>
        <w:ind w:firstLine="708"/>
        <w:jc w:val="both"/>
        <w:rPr>
          <w:rFonts w:ascii="Times New Roman" w:hAnsi="Times New Roman"/>
          <w:sz w:val="24"/>
          <w:szCs w:val="24"/>
          <w:lang w:val="sr-Cyrl-CS"/>
        </w:rPr>
      </w:pPr>
      <w:r>
        <w:rPr>
          <w:rFonts w:ascii="Times New Roman" w:hAnsi="Times New Roman"/>
          <w:sz w:val="24"/>
          <w:szCs w:val="24"/>
          <w:lang w:val="sr-Cyrl-CS"/>
        </w:rPr>
        <w:t xml:space="preserve">Пореска </w:t>
      </w:r>
      <w:r w:rsidR="002A31FD">
        <w:rPr>
          <w:rFonts w:ascii="Times New Roman" w:hAnsi="Times New Roman"/>
          <w:sz w:val="24"/>
          <w:szCs w:val="24"/>
          <w:lang w:val="sr-Cyrl-CS"/>
        </w:rPr>
        <w:t>утаја је веома раширен феномен који је заступљен</w:t>
      </w:r>
      <w:r>
        <w:rPr>
          <w:rFonts w:ascii="Times New Roman" w:hAnsi="Times New Roman"/>
          <w:sz w:val="24"/>
          <w:szCs w:val="24"/>
          <w:lang w:val="sr-Cyrl-CS"/>
        </w:rPr>
        <w:t xml:space="preserve"> у свим слојевима друштва. Најчешће радње извршења пореске утаје су:</w:t>
      </w:r>
    </w:p>
    <w:p w:rsidR="001E6839" w:rsidRDefault="001E6839" w:rsidP="001E6839">
      <w:pPr>
        <w:jc w:val="both"/>
        <w:rPr>
          <w:rFonts w:ascii="Times New Roman" w:hAnsi="Times New Roman"/>
          <w:sz w:val="24"/>
          <w:szCs w:val="24"/>
          <w:lang w:val="sr-Cyrl-CS"/>
        </w:rPr>
      </w:pPr>
      <w:r>
        <w:rPr>
          <w:rFonts w:ascii="Times New Roman" w:hAnsi="Times New Roman"/>
          <w:sz w:val="24"/>
          <w:szCs w:val="24"/>
          <w:lang w:val="sr-Cyrl-CS"/>
        </w:rPr>
        <w:t>-давање лажних података о законито стеченим приходима, имовини или другим чињеницама од значаја за опорезивање,</w:t>
      </w:r>
    </w:p>
    <w:p w:rsidR="001E6839" w:rsidRDefault="001E6839" w:rsidP="001E6839">
      <w:pPr>
        <w:jc w:val="both"/>
        <w:rPr>
          <w:rFonts w:ascii="Times New Roman" w:hAnsi="Times New Roman"/>
          <w:sz w:val="24"/>
          <w:szCs w:val="24"/>
          <w:lang w:val="sr-Cyrl-CS"/>
        </w:rPr>
      </w:pPr>
      <w:r>
        <w:rPr>
          <w:rFonts w:ascii="Times New Roman" w:hAnsi="Times New Roman"/>
          <w:sz w:val="24"/>
          <w:szCs w:val="24"/>
          <w:lang w:val="sr-Cyrl-CS"/>
        </w:rPr>
        <w:t>-непријављивање прихода, имовине или других чињеница од значаја за опорезивање,</w:t>
      </w:r>
    </w:p>
    <w:p w:rsidR="001E6839" w:rsidRDefault="001E6839" w:rsidP="001E6839">
      <w:pPr>
        <w:jc w:val="both"/>
        <w:rPr>
          <w:rFonts w:ascii="Times New Roman" w:hAnsi="Times New Roman"/>
          <w:sz w:val="24"/>
          <w:szCs w:val="24"/>
        </w:rPr>
      </w:pPr>
      <w:r>
        <w:rPr>
          <w:rFonts w:ascii="Times New Roman" w:hAnsi="Times New Roman"/>
          <w:sz w:val="24"/>
          <w:szCs w:val="24"/>
          <w:lang w:val="sr-Cyrl-CS"/>
        </w:rPr>
        <w:t>-прикривање података који се односе на утврђивање пореских обавеза.</w:t>
      </w:r>
      <w:r>
        <w:rPr>
          <w:rStyle w:val="FootnoteReference"/>
          <w:rFonts w:ascii="Times New Roman" w:hAnsi="Times New Roman"/>
          <w:sz w:val="24"/>
          <w:szCs w:val="24"/>
          <w:lang w:val="sr-Cyrl-CS"/>
        </w:rPr>
        <w:footnoteReference w:id="138"/>
      </w:r>
    </w:p>
    <w:p w:rsidR="001E6839" w:rsidRPr="00913416" w:rsidRDefault="001E6839" w:rsidP="001E6839">
      <w:pPr>
        <w:jc w:val="both"/>
        <w:rPr>
          <w:rFonts w:ascii="Times New Roman" w:hAnsi="Times New Roman"/>
          <w:sz w:val="24"/>
          <w:szCs w:val="24"/>
        </w:rPr>
      </w:pPr>
    </w:p>
    <w:p w:rsidR="001E6839" w:rsidRDefault="001E6839" w:rsidP="001E6839">
      <w:pPr>
        <w:jc w:val="both"/>
        <w:rPr>
          <w:rFonts w:ascii="Times New Roman" w:hAnsi="Times New Roman"/>
          <w:b/>
          <w:sz w:val="24"/>
          <w:szCs w:val="24"/>
        </w:rPr>
      </w:pPr>
      <w:r>
        <w:rPr>
          <w:rFonts w:ascii="Times New Roman" w:hAnsi="Times New Roman"/>
          <w:sz w:val="24"/>
          <w:szCs w:val="24"/>
          <w:lang w:val="sr-Cyrl-CS"/>
        </w:rPr>
        <w:t xml:space="preserve">Б) </w:t>
      </w:r>
      <w:r w:rsidRPr="00B04C42">
        <w:rPr>
          <w:rFonts w:ascii="Times New Roman" w:hAnsi="Times New Roman"/>
          <w:b/>
          <w:sz w:val="24"/>
          <w:szCs w:val="24"/>
          <w:lang w:val="sr-Cyrl-CS"/>
        </w:rPr>
        <w:t>Контрабанда (кријумчарење, шверц)</w:t>
      </w:r>
    </w:p>
    <w:p w:rsidR="001E6839" w:rsidRPr="00913416" w:rsidRDefault="001E6839" w:rsidP="001E6839">
      <w:pPr>
        <w:jc w:val="both"/>
        <w:rPr>
          <w:rFonts w:ascii="Times New Roman" w:hAnsi="Times New Roman"/>
          <w:b/>
          <w:sz w:val="24"/>
          <w:szCs w:val="24"/>
        </w:rPr>
      </w:pPr>
    </w:p>
    <w:p w:rsidR="001E6839" w:rsidRDefault="001E6839" w:rsidP="001E6839">
      <w:pPr>
        <w:ind w:firstLine="708"/>
        <w:jc w:val="both"/>
        <w:rPr>
          <w:rFonts w:ascii="Times New Roman" w:hAnsi="Times New Roman"/>
          <w:sz w:val="24"/>
          <w:szCs w:val="24"/>
          <w:lang w:val="sr-Cyrl-CS"/>
        </w:rPr>
      </w:pPr>
      <w:r>
        <w:rPr>
          <w:rFonts w:ascii="Times New Roman" w:hAnsi="Times New Roman"/>
          <w:sz w:val="24"/>
          <w:szCs w:val="24"/>
          <w:lang w:val="sr-Cyrl-CS"/>
        </w:rPr>
        <w:t>То је избегавање</w:t>
      </w:r>
      <w:r w:rsidR="00FD2E98">
        <w:rPr>
          <w:rFonts w:ascii="Times New Roman" w:hAnsi="Times New Roman"/>
          <w:sz w:val="24"/>
          <w:szCs w:val="24"/>
          <w:lang w:val="sr-Cyrl-CS"/>
        </w:rPr>
        <w:t xml:space="preserve"> пореске обавезе код посредних </w:t>
      </w:r>
      <w:r>
        <w:rPr>
          <w:rFonts w:ascii="Times New Roman" w:hAnsi="Times New Roman"/>
          <w:sz w:val="24"/>
          <w:szCs w:val="24"/>
          <w:lang w:val="sr-Cyrl-CS"/>
        </w:rPr>
        <w:t>пореза (порез</w:t>
      </w:r>
      <w:r w:rsidR="00FD2E98">
        <w:rPr>
          <w:rFonts w:ascii="Times New Roman" w:hAnsi="Times New Roman"/>
          <w:sz w:val="24"/>
          <w:szCs w:val="24"/>
          <w:lang w:val="sr-Cyrl-CS"/>
        </w:rPr>
        <w:t>а</w:t>
      </w:r>
      <w:r>
        <w:rPr>
          <w:rFonts w:ascii="Times New Roman" w:hAnsi="Times New Roman"/>
          <w:sz w:val="24"/>
          <w:szCs w:val="24"/>
          <w:lang w:val="sr-Cyrl-CS"/>
        </w:rPr>
        <w:t xml:space="preserve"> на промет, царине, акцизе и других индиректних пореза). </w:t>
      </w:r>
      <w:r w:rsidR="00FD2E98">
        <w:rPr>
          <w:rFonts w:ascii="Times New Roman" w:hAnsi="Times New Roman"/>
          <w:sz w:val="24"/>
          <w:szCs w:val="24"/>
          <w:lang w:val="sr-Cyrl-CS"/>
        </w:rPr>
        <w:t>Врши се</w:t>
      </w:r>
      <w:r>
        <w:rPr>
          <w:rFonts w:ascii="Times New Roman" w:hAnsi="Times New Roman"/>
          <w:sz w:val="24"/>
          <w:szCs w:val="24"/>
          <w:lang w:val="sr-Cyrl-CS"/>
        </w:rPr>
        <w:t xml:space="preserve"> када се роба која подлеже плаћању ових пореза незаконито пребацује преко државне границе. На нашим просторима је највише заступљен шверц цигарета, алкохола и нафте. </w:t>
      </w:r>
    </w:p>
    <w:p w:rsidR="001E6839" w:rsidRDefault="00334996" w:rsidP="001E6839">
      <w:pPr>
        <w:ind w:firstLine="708"/>
        <w:jc w:val="both"/>
        <w:rPr>
          <w:rFonts w:ascii="Times New Roman" w:hAnsi="Times New Roman"/>
          <w:sz w:val="24"/>
          <w:szCs w:val="24"/>
          <w:lang w:val="sr-Cyrl-CS"/>
        </w:rPr>
      </w:pPr>
      <w:r>
        <w:rPr>
          <w:rFonts w:ascii="Times New Roman" w:hAnsi="Times New Roman"/>
          <w:sz w:val="24"/>
          <w:szCs w:val="24"/>
          <w:lang w:val="sr-Cyrl-CS"/>
        </w:rPr>
        <w:t>Понашање</w:t>
      </w:r>
      <w:r w:rsidR="001E6839">
        <w:rPr>
          <w:rFonts w:ascii="Times New Roman" w:hAnsi="Times New Roman"/>
          <w:sz w:val="24"/>
          <w:szCs w:val="24"/>
          <w:lang w:val="sr-Cyrl-CS"/>
        </w:rPr>
        <w:t xml:space="preserve"> пореских обвезника </w:t>
      </w:r>
      <w:r>
        <w:rPr>
          <w:rFonts w:ascii="Times New Roman" w:hAnsi="Times New Roman"/>
          <w:sz w:val="24"/>
          <w:szCs w:val="24"/>
          <w:lang w:val="sr-Cyrl-CS"/>
        </w:rPr>
        <w:t xml:space="preserve">суочених са могућношћу </w:t>
      </w:r>
      <w:r w:rsidR="007F3607">
        <w:rPr>
          <w:rFonts w:ascii="Times New Roman" w:hAnsi="Times New Roman"/>
          <w:sz w:val="24"/>
          <w:szCs w:val="24"/>
          <w:lang w:val="sr-Cyrl-CS"/>
        </w:rPr>
        <w:t>незаконите пореске евазије</w:t>
      </w:r>
      <w:r>
        <w:rPr>
          <w:rFonts w:ascii="Times New Roman" w:hAnsi="Times New Roman"/>
          <w:sz w:val="24"/>
          <w:szCs w:val="24"/>
          <w:lang w:val="sr-Cyrl-CS"/>
        </w:rPr>
        <w:t xml:space="preserve"> </w:t>
      </w:r>
      <w:r w:rsidR="007F3607">
        <w:rPr>
          <w:rFonts w:ascii="Times New Roman" w:hAnsi="Times New Roman"/>
          <w:sz w:val="24"/>
          <w:szCs w:val="24"/>
          <w:lang w:val="sr-Cyrl-CS"/>
        </w:rPr>
        <w:t>може се моделовати,</w:t>
      </w:r>
      <w:r w:rsidR="001E6839">
        <w:rPr>
          <w:rFonts w:ascii="Times New Roman" w:hAnsi="Times New Roman"/>
          <w:sz w:val="24"/>
          <w:szCs w:val="24"/>
          <w:lang w:val="sr-Cyrl-CS"/>
        </w:rPr>
        <w:t xml:space="preserve"> у циљу избегавања незаконите пореске евазије</w:t>
      </w:r>
      <w:r w:rsidR="007F3607">
        <w:rPr>
          <w:rFonts w:ascii="Times New Roman" w:hAnsi="Times New Roman"/>
          <w:sz w:val="24"/>
          <w:szCs w:val="24"/>
          <w:lang w:val="sr-Cyrl-CS"/>
        </w:rPr>
        <w:t>,</w:t>
      </w:r>
      <w:r w:rsidR="001E6839">
        <w:rPr>
          <w:rFonts w:ascii="Times New Roman" w:hAnsi="Times New Roman"/>
          <w:sz w:val="24"/>
          <w:szCs w:val="24"/>
          <w:lang w:val="sr-Cyrl-CS"/>
        </w:rPr>
        <w:t xml:space="preserve"> применом тзв. Спајсеровог модела.</w:t>
      </w:r>
      <w:r w:rsidR="001E6839">
        <w:rPr>
          <w:rStyle w:val="FootnoteReference"/>
          <w:rFonts w:ascii="Times New Roman" w:hAnsi="Times New Roman"/>
          <w:sz w:val="24"/>
          <w:szCs w:val="24"/>
          <w:lang w:val="sr-Cyrl-CS"/>
        </w:rPr>
        <w:footnoteReference w:id="139"/>
      </w:r>
      <w:r w:rsidR="001E6839" w:rsidRPr="006F6F16">
        <w:t xml:space="preserve"> </w:t>
      </w:r>
      <w:r w:rsidR="001E6839" w:rsidRPr="000F7306">
        <w:rPr>
          <w:rFonts w:ascii="Times New Roman" w:hAnsi="Times New Roman"/>
          <w:sz w:val="24"/>
          <w:szCs w:val="24"/>
          <w:lang w:val="sr-Cyrl-CS"/>
        </w:rPr>
        <w:t>Ако</w:t>
      </w:r>
      <w:r w:rsidR="001E6839">
        <w:rPr>
          <w:lang w:val="sr-Cyrl-CS"/>
        </w:rPr>
        <w:t xml:space="preserve"> </w:t>
      </w:r>
      <w:r w:rsidR="001E6839">
        <w:rPr>
          <w:rFonts w:ascii="Times New Roman" w:hAnsi="Times New Roman"/>
          <w:sz w:val="24"/>
          <w:szCs w:val="24"/>
          <w:lang w:val="sr-Cyrl-CS"/>
        </w:rPr>
        <w:t xml:space="preserve">означимо са t  пореску стопу, са f опорезовани доходак </w:t>
      </w:r>
      <w:r w:rsidR="001E6839" w:rsidRPr="006F6F16">
        <w:rPr>
          <w:rFonts w:ascii="Times New Roman" w:hAnsi="Times New Roman"/>
          <w:sz w:val="24"/>
          <w:szCs w:val="24"/>
          <w:lang w:val="sr-Cyrl-CS"/>
        </w:rPr>
        <w:t xml:space="preserve"> који неће</w:t>
      </w:r>
      <w:r w:rsidR="001E6839">
        <w:rPr>
          <w:rFonts w:ascii="Times New Roman" w:hAnsi="Times New Roman"/>
          <w:sz w:val="24"/>
          <w:szCs w:val="24"/>
          <w:lang w:val="sr-Cyrl-CS"/>
        </w:rPr>
        <w:t xml:space="preserve"> бити пријављен, са Y опорезовани доходак, са p </w:t>
      </w:r>
      <w:r w:rsidR="001E6839" w:rsidRPr="006F6F16">
        <w:rPr>
          <w:rFonts w:ascii="Times New Roman" w:hAnsi="Times New Roman"/>
          <w:sz w:val="24"/>
          <w:szCs w:val="24"/>
          <w:lang w:val="sr-Cyrl-CS"/>
        </w:rPr>
        <w:t>вероватноћу да ће обвезник бити откривен о</w:t>
      </w:r>
      <w:r w:rsidR="001E6839">
        <w:rPr>
          <w:rFonts w:ascii="Times New Roman" w:hAnsi="Times New Roman"/>
          <w:sz w:val="24"/>
          <w:szCs w:val="24"/>
          <w:lang w:val="sr-Cyrl-CS"/>
        </w:rPr>
        <w:t xml:space="preserve">д стране пореске власти, са К износ казне, а са </w:t>
      </w:r>
      <w:r>
        <w:rPr>
          <w:rFonts w:ascii="Times New Roman" w:hAnsi="Times New Roman"/>
          <w:sz w:val="24"/>
          <w:szCs w:val="24"/>
          <w:lang w:val="sr-Cyrl-CS"/>
        </w:rPr>
        <w:t>¥</w:t>
      </w:r>
      <w:r w:rsidR="001E6839">
        <w:rPr>
          <w:rFonts w:ascii="Times New Roman" w:hAnsi="Times New Roman"/>
          <w:sz w:val="24"/>
          <w:szCs w:val="24"/>
          <w:lang w:val="sr-Cyrl-CS"/>
        </w:rPr>
        <w:t xml:space="preserve"> </w:t>
      </w:r>
      <w:r w:rsidR="001E6839" w:rsidRPr="006F6F16">
        <w:rPr>
          <w:rFonts w:ascii="Times New Roman" w:hAnsi="Times New Roman"/>
          <w:sz w:val="24"/>
          <w:szCs w:val="24"/>
          <w:lang w:val="sr-Cyrl-CS"/>
        </w:rPr>
        <w:t>пси</w:t>
      </w:r>
      <w:r w:rsidR="001E6839">
        <w:rPr>
          <w:rFonts w:ascii="Times New Roman" w:hAnsi="Times New Roman"/>
          <w:sz w:val="24"/>
          <w:szCs w:val="24"/>
          <w:lang w:val="sr-Cyrl-CS"/>
        </w:rPr>
        <w:t xml:space="preserve">хичке трошкове,  порески обвезник ће </w:t>
      </w:r>
      <w:r w:rsidR="007F3607">
        <w:rPr>
          <w:rFonts w:ascii="Times New Roman" w:hAnsi="Times New Roman"/>
          <w:sz w:val="24"/>
          <w:szCs w:val="24"/>
          <w:lang w:val="sr-Cyrl-CS"/>
        </w:rPr>
        <w:t>извршити пореску евазију</w:t>
      </w:r>
      <w:r w:rsidR="001E6839" w:rsidRPr="006F6F16">
        <w:rPr>
          <w:rFonts w:ascii="Times New Roman" w:hAnsi="Times New Roman"/>
          <w:sz w:val="24"/>
          <w:szCs w:val="24"/>
          <w:lang w:val="sr-Cyrl-CS"/>
        </w:rPr>
        <w:t xml:space="preserve"> ако је:</w:t>
      </w:r>
      <w:r w:rsidR="001E6839">
        <w:rPr>
          <w:rFonts w:ascii="Times New Roman" w:hAnsi="Times New Roman"/>
          <w:sz w:val="24"/>
          <w:szCs w:val="24"/>
          <w:lang w:val="sr-Cyrl-CS"/>
        </w:rPr>
        <w:t xml:space="preserve">  </w:t>
      </w:r>
    </w:p>
    <w:p w:rsidR="001E6839" w:rsidRDefault="001E6839" w:rsidP="001E6839">
      <w:pPr>
        <w:jc w:val="both"/>
        <w:rPr>
          <w:rFonts w:ascii="Times New Roman" w:hAnsi="Times New Roman"/>
          <w:sz w:val="24"/>
          <w:szCs w:val="24"/>
          <w:lang w:val="sr-Cyrl-CS"/>
        </w:rPr>
      </w:pPr>
      <w:r w:rsidRPr="000F7306">
        <w:rPr>
          <w:rFonts w:ascii="Times New Roman" w:hAnsi="Times New Roman"/>
          <w:sz w:val="24"/>
          <w:szCs w:val="24"/>
          <w:lang w:val="sr-Cyrl-CS"/>
        </w:rPr>
        <w:t>(1 – p)tfY &gt; pК+</w:t>
      </w:r>
      <w:r w:rsidR="00035573">
        <w:rPr>
          <w:rFonts w:ascii="Times New Roman" w:hAnsi="Times New Roman"/>
          <w:sz w:val="24"/>
          <w:szCs w:val="24"/>
          <w:lang w:val="sr-Cyrl-CS"/>
        </w:rPr>
        <w:t>¥</w:t>
      </w:r>
    </w:p>
    <w:p w:rsidR="001E6839" w:rsidRDefault="007F3607" w:rsidP="001E6839">
      <w:pPr>
        <w:ind w:firstLine="708"/>
        <w:jc w:val="both"/>
        <w:rPr>
          <w:rFonts w:ascii="Times New Roman" w:hAnsi="Times New Roman"/>
          <w:sz w:val="24"/>
          <w:szCs w:val="24"/>
          <w:lang w:val="sr-Cyrl-CS"/>
        </w:rPr>
      </w:pPr>
      <w:r>
        <w:rPr>
          <w:rFonts w:ascii="Times New Roman" w:hAnsi="Times New Roman"/>
          <w:sz w:val="24"/>
          <w:szCs w:val="24"/>
          <w:lang w:val="sr-Cyrl-CS"/>
        </w:rPr>
        <w:t>Питање које се поставља је како одредити психичке трошкове</w:t>
      </w:r>
      <w:r w:rsidR="001E6839">
        <w:rPr>
          <w:rFonts w:ascii="Times New Roman" w:hAnsi="Times New Roman"/>
          <w:sz w:val="24"/>
          <w:szCs w:val="24"/>
          <w:lang w:val="sr-Cyrl-CS"/>
        </w:rPr>
        <w:t xml:space="preserve"> (</w:t>
      </w:r>
      <w:r w:rsidR="00035573">
        <w:rPr>
          <w:rFonts w:ascii="Times New Roman" w:hAnsi="Times New Roman"/>
          <w:sz w:val="24"/>
          <w:szCs w:val="24"/>
          <w:lang w:val="sr-Cyrl-CS"/>
        </w:rPr>
        <w:t>¥</w:t>
      </w:r>
      <w:r w:rsidR="001E6839">
        <w:rPr>
          <w:rFonts w:ascii="Times New Roman" w:hAnsi="Times New Roman"/>
          <w:sz w:val="24"/>
          <w:szCs w:val="24"/>
          <w:lang w:val="sr-Cyrl-CS"/>
        </w:rPr>
        <w:t xml:space="preserve">), јер је ове трошкове </w:t>
      </w:r>
      <w:r w:rsidR="001E6839" w:rsidRPr="000F7306">
        <w:rPr>
          <w:rFonts w:ascii="Times New Roman" w:hAnsi="Times New Roman"/>
          <w:sz w:val="24"/>
          <w:szCs w:val="24"/>
          <w:lang w:val="sr-Cyrl-CS"/>
        </w:rPr>
        <w:t>релативно те</w:t>
      </w:r>
      <w:r w:rsidR="001E6839">
        <w:rPr>
          <w:rFonts w:ascii="Times New Roman" w:hAnsi="Times New Roman"/>
          <w:sz w:val="24"/>
          <w:szCs w:val="24"/>
          <w:lang w:val="sr-Cyrl-CS"/>
        </w:rPr>
        <w:t>шко одредити</w:t>
      </w:r>
      <w:r>
        <w:rPr>
          <w:rFonts w:ascii="Times New Roman" w:hAnsi="Times New Roman"/>
          <w:sz w:val="24"/>
          <w:szCs w:val="24"/>
          <w:lang w:val="sr-Cyrl-CS"/>
        </w:rPr>
        <w:t>, пошто нису егзактна категорија</w:t>
      </w:r>
      <w:r w:rsidR="001E6839" w:rsidRPr="000F7306">
        <w:rPr>
          <w:rFonts w:ascii="Times New Roman" w:hAnsi="Times New Roman"/>
          <w:sz w:val="24"/>
          <w:szCs w:val="24"/>
          <w:lang w:val="sr-Cyrl-CS"/>
        </w:rPr>
        <w:t xml:space="preserve">. </w:t>
      </w:r>
      <w:r>
        <w:rPr>
          <w:rFonts w:ascii="Times New Roman" w:hAnsi="Times New Roman"/>
          <w:sz w:val="24"/>
          <w:szCs w:val="24"/>
          <w:lang w:val="sr-Cyrl-CS"/>
        </w:rPr>
        <w:t>К</w:t>
      </w:r>
      <w:r w:rsidR="001E6839">
        <w:rPr>
          <w:rFonts w:ascii="Times New Roman" w:hAnsi="Times New Roman"/>
          <w:sz w:val="24"/>
          <w:szCs w:val="24"/>
          <w:lang w:val="sr-Cyrl-CS"/>
        </w:rPr>
        <w:t xml:space="preserve">ада једно лице има „искуство“ у кршењу прописа, „психички трошкови“ постају све мањи </w:t>
      </w:r>
      <w:r>
        <w:rPr>
          <w:rFonts w:ascii="Times New Roman" w:hAnsi="Times New Roman"/>
          <w:sz w:val="24"/>
          <w:szCs w:val="24"/>
          <w:lang w:val="sr-Cyrl-CS"/>
        </w:rPr>
        <w:t>па би</w:t>
      </w:r>
      <w:r w:rsidR="001E6839" w:rsidRPr="000F7306">
        <w:rPr>
          <w:rFonts w:ascii="Times New Roman" w:hAnsi="Times New Roman"/>
          <w:sz w:val="24"/>
          <w:szCs w:val="24"/>
          <w:lang w:val="sr-Cyrl-CS"/>
        </w:rPr>
        <w:t xml:space="preserve"> модел </w:t>
      </w:r>
      <w:r>
        <w:rPr>
          <w:rFonts w:ascii="Times New Roman" w:hAnsi="Times New Roman"/>
          <w:sz w:val="24"/>
          <w:szCs w:val="24"/>
          <w:lang w:val="sr-Cyrl-CS"/>
        </w:rPr>
        <w:t>не</w:t>
      </w:r>
      <w:r w:rsidR="001E6839" w:rsidRPr="000F7306">
        <w:rPr>
          <w:rFonts w:ascii="Times New Roman" w:hAnsi="Times New Roman"/>
          <w:sz w:val="24"/>
          <w:szCs w:val="24"/>
          <w:lang w:val="sr-Cyrl-CS"/>
        </w:rPr>
        <w:t xml:space="preserve">једначине незаконите пореске евазије </w:t>
      </w:r>
      <w:r>
        <w:rPr>
          <w:rFonts w:ascii="Times New Roman" w:hAnsi="Times New Roman"/>
          <w:sz w:val="24"/>
          <w:szCs w:val="24"/>
          <w:lang w:val="sr-Cyrl-CS"/>
        </w:rPr>
        <w:t>био</w:t>
      </w:r>
      <w:r w:rsidR="001E6839" w:rsidRPr="000F7306">
        <w:rPr>
          <w:rFonts w:ascii="Times New Roman" w:hAnsi="Times New Roman"/>
          <w:sz w:val="24"/>
          <w:szCs w:val="24"/>
          <w:lang w:val="sr-Cyrl-CS"/>
        </w:rPr>
        <w:t>:</w:t>
      </w:r>
      <w:r w:rsidR="001E6839">
        <w:rPr>
          <w:rFonts w:ascii="Times New Roman" w:hAnsi="Times New Roman"/>
          <w:sz w:val="24"/>
          <w:szCs w:val="24"/>
          <w:lang w:val="sr-Cyrl-CS"/>
        </w:rPr>
        <w:t xml:space="preserve"> </w:t>
      </w:r>
    </w:p>
    <w:p w:rsidR="001E6839" w:rsidRDefault="001E6839" w:rsidP="001E6839">
      <w:pPr>
        <w:jc w:val="both"/>
        <w:rPr>
          <w:rFonts w:ascii="Times New Roman" w:hAnsi="Times New Roman"/>
          <w:sz w:val="24"/>
          <w:szCs w:val="24"/>
          <w:lang w:val="sr-Cyrl-CS"/>
        </w:rPr>
      </w:pPr>
      <w:r w:rsidRPr="000F7306">
        <w:rPr>
          <w:rFonts w:ascii="Times New Roman" w:hAnsi="Times New Roman"/>
          <w:sz w:val="24"/>
          <w:szCs w:val="24"/>
          <w:lang w:val="sr-Cyrl-CS"/>
        </w:rPr>
        <w:t>(1 – p)tfY &gt; pК.</w:t>
      </w:r>
    </w:p>
    <w:p w:rsidR="001E6839" w:rsidRDefault="001E6839" w:rsidP="001E6839">
      <w:pPr>
        <w:ind w:firstLine="708"/>
        <w:jc w:val="both"/>
        <w:rPr>
          <w:rFonts w:ascii="Times New Roman" w:hAnsi="Times New Roman"/>
          <w:sz w:val="24"/>
          <w:szCs w:val="24"/>
          <w:lang w:val="sr-Cyrl-CS"/>
        </w:rPr>
      </w:pPr>
      <w:r>
        <w:rPr>
          <w:rFonts w:ascii="Times New Roman" w:hAnsi="Times New Roman"/>
          <w:sz w:val="24"/>
          <w:szCs w:val="24"/>
          <w:lang w:val="sr-Cyrl-CS"/>
        </w:rPr>
        <w:t xml:space="preserve">Дакле, </w:t>
      </w:r>
      <w:r w:rsidR="007F3607">
        <w:rPr>
          <w:rFonts w:ascii="Times New Roman" w:hAnsi="Times New Roman"/>
          <w:sz w:val="24"/>
          <w:szCs w:val="24"/>
          <w:lang w:val="sr-Cyrl-CS"/>
        </w:rPr>
        <w:t>о</w:t>
      </w:r>
      <w:r w:rsidRPr="000F7306">
        <w:rPr>
          <w:rFonts w:ascii="Times New Roman" w:hAnsi="Times New Roman"/>
          <w:sz w:val="24"/>
          <w:szCs w:val="24"/>
          <w:lang w:val="sr-Cyrl-CS"/>
        </w:rPr>
        <w:t>бвезник ће</w:t>
      </w:r>
      <w:r>
        <w:rPr>
          <w:rFonts w:ascii="Times New Roman" w:hAnsi="Times New Roman"/>
          <w:sz w:val="24"/>
          <w:szCs w:val="24"/>
          <w:lang w:val="sr-Cyrl-CS"/>
        </w:rPr>
        <w:t xml:space="preserve"> </w:t>
      </w:r>
      <w:r w:rsidR="007F3607">
        <w:rPr>
          <w:rFonts w:ascii="Times New Roman" w:hAnsi="Times New Roman"/>
          <w:sz w:val="24"/>
          <w:szCs w:val="24"/>
          <w:lang w:val="sr-Cyrl-CS"/>
        </w:rPr>
        <w:t xml:space="preserve">се </w:t>
      </w:r>
      <w:r w:rsidRPr="000F7306">
        <w:rPr>
          <w:rFonts w:ascii="Times New Roman" w:hAnsi="Times New Roman"/>
          <w:sz w:val="24"/>
          <w:szCs w:val="24"/>
          <w:lang w:val="sr-Cyrl-CS"/>
        </w:rPr>
        <w:t xml:space="preserve">одлучити </w:t>
      </w:r>
      <w:r w:rsidR="007F3607">
        <w:rPr>
          <w:rFonts w:ascii="Times New Roman" w:hAnsi="Times New Roman"/>
          <w:sz w:val="24"/>
          <w:szCs w:val="24"/>
          <w:lang w:val="sr-Cyrl-CS"/>
        </w:rPr>
        <w:t>на незакониту пореску евазију</w:t>
      </w:r>
      <w:r w:rsidRPr="000F7306">
        <w:rPr>
          <w:rFonts w:ascii="Times New Roman" w:hAnsi="Times New Roman"/>
          <w:sz w:val="24"/>
          <w:szCs w:val="24"/>
          <w:lang w:val="sr-Cyrl-CS"/>
        </w:rPr>
        <w:t xml:space="preserve"> само ако је очекивана корист од пореске евазије већа од очекиваних губитака ко</w:t>
      </w:r>
      <w:r>
        <w:rPr>
          <w:rFonts w:ascii="Times New Roman" w:hAnsi="Times New Roman"/>
          <w:sz w:val="24"/>
          <w:szCs w:val="24"/>
          <w:lang w:val="sr-Cyrl-CS"/>
        </w:rPr>
        <w:t xml:space="preserve">ји се испољавају у виду казни и </w:t>
      </w:r>
      <w:r w:rsidR="007F3607">
        <w:rPr>
          <w:rFonts w:ascii="Times New Roman" w:hAnsi="Times New Roman"/>
          <w:sz w:val="24"/>
          <w:szCs w:val="24"/>
          <w:lang w:val="sr-Cyrl-CS"/>
        </w:rPr>
        <w:t>психичких трошкова, па пореска евазија представља и морални проблем.</w:t>
      </w:r>
    </w:p>
    <w:p w:rsidR="001E6839" w:rsidRDefault="001E6839" w:rsidP="001E6839">
      <w:pPr>
        <w:ind w:firstLine="360"/>
        <w:jc w:val="both"/>
        <w:rPr>
          <w:rFonts w:ascii="Times New Roman" w:hAnsi="Times New Roman"/>
          <w:sz w:val="24"/>
          <w:szCs w:val="24"/>
          <w:lang w:val="sr-Cyrl-CS"/>
        </w:rPr>
      </w:pPr>
      <w:r>
        <w:rPr>
          <w:rFonts w:ascii="Times New Roman" w:hAnsi="Times New Roman"/>
          <w:sz w:val="24"/>
          <w:szCs w:val="24"/>
          <w:lang w:val="sr-Cyrl-CS"/>
        </w:rPr>
        <w:lastRenderedPageBreak/>
        <w:t>Граница између законите евазије и незаконите евазије је веома танка тако да избегавање плаћања пореза веома неприметно може прећи у утају пореза.</w:t>
      </w:r>
    </w:p>
    <w:p w:rsidR="001E6839" w:rsidRDefault="001E6839" w:rsidP="001E6839">
      <w:pPr>
        <w:jc w:val="both"/>
        <w:rPr>
          <w:rFonts w:ascii="Times New Roman" w:hAnsi="Times New Roman"/>
          <w:sz w:val="24"/>
          <w:szCs w:val="24"/>
          <w:lang w:val="sr-Cyrl-CS"/>
        </w:rPr>
      </w:pPr>
    </w:p>
    <w:p w:rsidR="001E6839" w:rsidRPr="00353AF0" w:rsidRDefault="001E6839" w:rsidP="001E6839">
      <w:pPr>
        <w:pStyle w:val="ListParagraph"/>
        <w:ind w:left="1069"/>
        <w:rPr>
          <w:rFonts w:ascii="Times New Roman" w:hAnsi="Times New Roman"/>
          <w:b/>
          <w:sz w:val="24"/>
          <w:szCs w:val="24"/>
          <w:lang w:val="sr-Cyrl-CS"/>
        </w:rPr>
      </w:pPr>
    </w:p>
    <w:p w:rsidR="001E6839" w:rsidRPr="004802D7" w:rsidRDefault="001E6839" w:rsidP="001E6839">
      <w:pPr>
        <w:ind w:left="709"/>
        <w:jc w:val="center"/>
        <w:rPr>
          <w:rFonts w:ascii="Times New Roman" w:hAnsi="Times New Roman"/>
          <w:b/>
          <w:sz w:val="24"/>
          <w:szCs w:val="24"/>
        </w:rPr>
      </w:pPr>
      <w:r>
        <w:rPr>
          <w:rFonts w:ascii="Times New Roman" w:hAnsi="Times New Roman"/>
          <w:b/>
          <w:sz w:val="24"/>
          <w:szCs w:val="24"/>
          <w:lang w:val="sr-Cyrl-CS"/>
        </w:rPr>
        <w:t>4.3.</w:t>
      </w:r>
      <w:r w:rsidRPr="004802D7">
        <w:rPr>
          <w:rFonts w:ascii="Times New Roman" w:hAnsi="Times New Roman"/>
          <w:b/>
          <w:sz w:val="24"/>
          <w:szCs w:val="24"/>
          <w:lang w:val="sr-Cyrl-CS"/>
        </w:rPr>
        <w:t>Преваљивање пореза</w:t>
      </w:r>
    </w:p>
    <w:p w:rsidR="001E6839" w:rsidRPr="00913416" w:rsidRDefault="001E6839" w:rsidP="001E6839">
      <w:pPr>
        <w:pStyle w:val="ListParagraph"/>
        <w:ind w:left="1429"/>
        <w:rPr>
          <w:rFonts w:ascii="Times New Roman" w:hAnsi="Times New Roman"/>
          <w:b/>
          <w:sz w:val="24"/>
          <w:szCs w:val="24"/>
        </w:rPr>
      </w:pPr>
    </w:p>
    <w:p w:rsidR="001E6839" w:rsidRDefault="001E6839" w:rsidP="001E6839">
      <w:pPr>
        <w:ind w:firstLine="360"/>
        <w:jc w:val="both"/>
        <w:rPr>
          <w:rFonts w:ascii="Times New Roman" w:hAnsi="Times New Roman"/>
          <w:sz w:val="24"/>
          <w:szCs w:val="24"/>
          <w:lang w:val="sr-Cyrl-CS"/>
        </w:rPr>
      </w:pPr>
      <w:r>
        <w:rPr>
          <w:rFonts w:ascii="Times New Roman" w:hAnsi="Times New Roman"/>
          <w:sz w:val="24"/>
          <w:szCs w:val="24"/>
          <w:lang w:val="sr-Cyrl-CS"/>
        </w:rPr>
        <w:t xml:space="preserve">У овом случају преваљивања пореза порески обвезници, у циљу избегавања или смањења пореске обавезе, дакле у истом циљу као и код пореске евазије, преваљују своју пореску обавезу на неко треће лице. Дакле, за разлику од претходних случајева, овде долази у крајњем случају до плаћања пореза и за преваљиве пореза нису предвиђене санкције. У овом случају није оштећен буџет, него лица на које је преваљен порез. Овде се прави разлика између пореског обвезника и пореског платца, односно лица које стварно плаћа порез. Заправо, феномен преваљивања пореза постоји увек када се порески обвезник разликује од лица које коначно плаћа порез.  </w:t>
      </w:r>
    </w:p>
    <w:p w:rsidR="001E6839" w:rsidRPr="00635B85" w:rsidRDefault="00024F34" w:rsidP="001E6839">
      <w:pPr>
        <w:ind w:firstLine="360"/>
        <w:jc w:val="both"/>
        <w:rPr>
          <w:rFonts w:ascii="Times New Roman" w:hAnsi="Times New Roman"/>
          <w:sz w:val="24"/>
          <w:szCs w:val="24"/>
        </w:rPr>
      </w:pPr>
      <w:r>
        <w:rPr>
          <w:rFonts w:ascii="Times New Roman" w:hAnsi="Times New Roman"/>
          <w:sz w:val="24"/>
          <w:szCs w:val="24"/>
          <w:lang w:val="sr-Cyrl-CS"/>
        </w:rPr>
        <w:t xml:space="preserve">Преваљивање представља </w:t>
      </w:r>
      <w:r w:rsidR="001E6839">
        <w:rPr>
          <w:rFonts w:ascii="Times New Roman" w:hAnsi="Times New Roman"/>
          <w:sz w:val="24"/>
          <w:szCs w:val="24"/>
          <w:lang w:val="sr-Cyrl-CS"/>
        </w:rPr>
        <w:t xml:space="preserve">економски процес </w:t>
      </w:r>
      <w:r>
        <w:rPr>
          <w:rFonts w:ascii="Times New Roman" w:hAnsi="Times New Roman"/>
          <w:sz w:val="24"/>
          <w:szCs w:val="24"/>
          <w:lang w:val="sr-Cyrl-CS"/>
        </w:rPr>
        <w:t>који се јавља на тржишту у виду промене у ценама произведених добара и услуга. И</w:t>
      </w:r>
      <w:r w:rsidR="001E6839">
        <w:rPr>
          <w:rFonts w:ascii="Times New Roman" w:hAnsi="Times New Roman"/>
          <w:sz w:val="24"/>
          <w:szCs w:val="24"/>
          <w:lang w:val="sr-Cyrl-CS"/>
        </w:rPr>
        <w:t xml:space="preserve">зазван </w:t>
      </w:r>
      <w:r>
        <w:rPr>
          <w:rFonts w:ascii="Times New Roman" w:hAnsi="Times New Roman"/>
          <w:sz w:val="24"/>
          <w:szCs w:val="24"/>
          <w:lang w:val="sr-Cyrl-CS"/>
        </w:rPr>
        <w:t xml:space="preserve">је </w:t>
      </w:r>
      <w:r w:rsidR="001E6839">
        <w:rPr>
          <w:rFonts w:ascii="Times New Roman" w:hAnsi="Times New Roman"/>
          <w:sz w:val="24"/>
          <w:szCs w:val="24"/>
          <w:lang w:val="sr-Cyrl-CS"/>
        </w:rPr>
        <w:t xml:space="preserve">пореским оптерећењем који се јавља на тржишту. </w:t>
      </w:r>
      <w:r>
        <w:rPr>
          <w:rFonts w:ascii="Times New Roman" w:hAnsi="Times New Roman"/>
          <w:sz w:val="24"/>
          <w:szCs w:val="24"/>
          <w:lang w:val="sr-Cyrl-CS"/>
        </w:rPr>
        <w:t>То је</w:t>
      </w:r>
      <w:r w:rsidR="001E6839">
        <w:rPr>
          <w:rFonts w:ascii="Times New Roman" w:hAnsi="Times New Roman"/>
          <w:sz w:val="24"/>
          <w:szCs w:val="24"/>
          <w:lang w:val="sr-Cyrl-CS"/>
        </w:rPr>
        <w:t xml:space="preserve"> покушај лица које је платило порез да</w:t>
      </w:r>
      <w:r w:rsidR="001E6839">
        <w:rPr>
          <w:rFonts w:ascii="Times New Roman" w:hAnsi="Times New Roman"/>
          <w:sz w:val="24"/>
          <w:szCs w:val="24"/>
        </w:rPr>
        <w:t xml:space="preserve"> </w:t>
      </w:r>
      <w:r w:rsidR="001E6839">
        <w:rPr>
          <w:rFonts w:ascii="Times New Roman" w:hAnsi="Times New Roman"/>
          <w:sz w:val="24"/>
          <w:szCs w:val="24"/>
          <w:lang w:val="sr-Cyrl-CS"/>
        </w:rPr>
        <w:t xml:space="preserve">терет тог пореза пренесе на </w:t>
      </w:r>
      <w:r>
        <w:rPr>
          <w:rFonts w:ascii="Times New Roman" w:hAnsi="Times New Roman"/>
          <w:sz w:val="24"/>
          <w:szCs w:val="24"/>
          <w:lang w:val="sr-Cyrl-CS"/>
        </w:rPr>
        <w:t>друга лица како би његов доходак или имовина остали</w:t>
      </w:r>
      <w:r w:rsidR="001E6839">
        <w:rPr>
          <w:rFonts w:ascii="Times New Roman" w:hAnsi="Times New Roman"/>
          <w:sz w:val="24"/>
          <w:szCs w:val="24"/>
          <w:lang w:val="sr-Cyrl-CS"/>
        </w:rPr>
        <w:t xml:space="preserve"> несмањени.</w:t>
      </w:r>
      <w:r w:rsidR="001E6839">
        <w:rPr>
          <w:rStyle w:val="FootnoteReference"/>
          <w:rFonts w:ascii="Times New Roman" w:hAnsi="Times New Roman"/>
          <w:sz w:val="24"/>
          <w:szCs w:val="24"/>
          <w:lang w:val="sr-Cyrl-CS"/>
        </w:rPr>
        <w:footnoteReference w:id="140"/>
      </w:r>
      <w:r w:rsidR="001E6839">
        <w:rPr>
          <w:rFonts w:ascii="Times New Roman" w:hAnsi="Times New Roman"/>
          <w:sz w:val="24"/>
          <w:szCs w:val="24"/>
          <w:lang w:val="sr-Cyrl-CS"/>
        </w:rPr>
        <w:t xml:space="preserve"> </w:t>
      </w:r>
    </w:p>
    <w:p w:rsidR="001E6839" w:rsidRDefault="001E6839" w:rsidP="001E6839">
      <w:pPr>
        <w:ind w:firstLine="360"/>
        <w:jc w:val="both"/>
        <w:rPr>
          <w:rFonts w:ascii="Times New Roman" w:hAnsi="Times New Roman"/>
          <w:sz w:val="24"/>
          <w:szCs w:val="24"/>
          <w:lang w:val="sr-Cyrl-CS"/>
        </w:rPr>
      </w:pPr>
      <w:r>
        <w:rPr>
          <w:rFonts w:ascii="Times New Roman" w:hAnsi="Times New Roman"/>
          <w:sz w:val="24"/>
          <w:szCs w:val="24"/>
          <w:lang w:val="sr-Cyrl-CS"/>
        </w:rPr>
        <w:t xml:space="preserve">Преваљиваље пореза добија све већи значај и постаје озбиљан економски и политички проблем. Порезима се не остварују само фискални циљеви. Није дакле само битно да се прикупе одређена средства за покриће јавних расхода. Интенција законодавца је да се порезима остварују веома значајни нефискални циљеви, који су наведени у претходном излагању. Самим тим феномен преваљивања може довести до тога да ови циљеви изостану. Тај поступак све чешће и све мање контролисаног преношења пореског терета захтева озбиљну анализу, за разлику од неких ранијих схватања која ову појаву нису третирала озбиљно и која су маргинализовала значај овог феномена, јер се дешава у оквиру закона. Савремени приступ овом проблему улази у његову суштину, схватајући да је у питању један процес, који је често недовољно контролисан и који законодавац није ни имао у виду. Овакав ефекат опорезивања, посебно мимо предвиђања законодавца, може довести до нежељених промена у читавом пореском систему и циљевима економске политике. Ова појава може довести до сасвим других ефеката пореске политике. </w:t>
      </w:r>
    </w:p>
    <w:p w:rsidR="001E6839" w:rsidRDefault="001E6839" w:rsidP="001E6839">
      <w:pPr>
        <w:ind w:firstLine="360"/>
        <w:jc w:val="both"/>
        <w:rPr>
          <w:rFonts w:ascii="Times New Roman" w:hAnsi="Times New Roman"/>
          <w:sz w:val="24"/>
          <w:szCs w:val="24"/>
          <w:lang w:val="sr-Cyrl-CS"/>
        </w:rPr>
      </w:pPr>
      <w:r>
        <w:rPr>
          <w:rFonts w:ascii="Times New Roman" w:hAnsi="Times New Roman"/>
          <w:sz w:val="24"/>
          <w:szCs w:val="24"/>
          <w:lang w:val="sr-Cyrl-CS"/>
        </w:rPr>
        <w:t xml:space="preserve">Преваљивање пореза може бити изазвано услед интенције самог законодавца, као и услед интенције самог пореског обвезника да његов доходак и имовина остану неоптерећени. Уколико је преваљивање представљало намеру законодавца, ради се о намерном преваљивању, што наравно не значи да ће у пракси преваљивање бити </w:t>
      </w:r>
      <w:r>
        <w:rPr>
          <w:rFonts w:ascii="Times New Roman" w:hAnsi="Times New Roman"/>
          <w:sz w:val="24"/>
          <w:szCs w:val="24"/>
          <w:lang w:val="sr-Cyrl-CS"/>
        </w:rPr>
        <w:lastRenderedPageBreak/>
        <w:t xml:space="preserve">остварено, у ком случају циљ опорезивања не би био остварен. На пример код увоза робе, увозник одмах плати царину и порез, али порески терет на крају сносе потрошачи. Међутим, може се десити, због лоших прилика на тржишту, да се производ мора продати испод тржишне цене, па у том случају не долази до преваљивања.  </w:t>
      </w:r>
    </w:p>
    <w:p w:rsidR="001E6839" w:rsidRDefault="00B72C2F" w:rsidP="001E6839">
      <w:pPr>
        <w:ind w:firstLine="360"/>
        <w:jc w:val="both"/>
        <w:rPr>
          <w:rFonts w:ascii="Times New Roman" w:hAnsi="Times New Roman"/>
          <w:sz w:val="24"/>
          <w:szCs w:val="24"/>
          <w:lang w:val="sr-Cyrl-CS"/>
        </w:rPr>
      </w:pPr>
      <w:r>
        <w:rPr>
          <w:rFonts w:ascii="Times New Roman" w:hAnsi="Times New Roman"/>
          <w:sz w:val="24"/>
          <w:szCs w:val="24"/>
          <w:lang w:val="sr-Cyrl-CS"/>
        </w:rPr>
        <w:t>После преваљивања пореза р</w:t>
      </w:r>
      <w:r w:rsidR="001E6839">
        <w:rPr>
          <w:rFonts w:ascii="Times New Roman" w:hAnsi="Times New Roman"/>
          <w:sz w:val="24"/>
          <w:szCs w:val="24"/>
          <w:lang w:val="sr-Cyrl-CS"/>
        </w:rPr>
        <w:t xml:space="preserve">еакције пореских обвезника </w:t>
      </w:r>
      <w:r>
        <w:rPr>
          <w:rFonts w:ascii="Times New Roman" w:hAnsi="Times New Roman"/>
          <w:sz w:val="24"/>
          <w:szCs w:val="24"/>
          <w:lang w:val="sr-Cyrl-CS"/>
        </w:rPr>
        <w:t>утичу на</w:t>
      </w:r>
      <w:r w:rsidR="001E6839">
        <w:rPr>
          <w:rFonts w:ascii="Times New Roman" w:hAnsi="Times New Roman"/>
          <w:sz w:val="24"/>
          <w:szCs w:val="24"/>
          <w:lang w:val="sr-Cyrl-CS"/>
        </w:rPr>
        <w:t xml:space="preserve"> понашање и економски положај других субјеката на тржишту, иако они нису били директно погођени пореским теретом. </w:t>
      </w:r>
      <w:r>
        <w:rPr>
          <w:rFonts w:ascii="Times New Roman" w:hAnsi="Times New Roman"/>
          <w:sz w:val="24"/>
          <w:szCs w:val="24"/>
          <w:lang w:val="sr-Cyrl-CS"/>
        </w:rPr>
        <w:t>Поједнци могу реаговати на различите начине како би повратили свој економски положај:</w:t>
      </w:r>
      <w:r w:rsidR="001E6839">
        <w:rPr>
          <w:rStyle w:val="FootnoteReference"/>
          <w:rFonts w:ascii="Times New Roman" w:hAnsi="Times New Roman"/>
          <w:sz w:val="24"/>
          <w:szCs w:val="24"/>
          <w:lang w:val="sr-Cyrl-CS"/>
        </w:rPr>
        <w:footnoteReference w:id="141"/>
      </w:r>
      <w:r w:rsidR="001E6839">
        <w:rPr>
          <w:rFonts w:ascii="Times New Roman" w:hAnsi="Times New Roman"/>
          <w:sz w:val="24"/>
          <w:szCs w:val="24"/>
          <w:lang w:val="sr-Cyrl-CS"/>
        </w:rPr>
        <w:t xml:space="preserve"> повећањем радног напора, смањењем потрошње и штедње и смањењем инвестиција. </w:t>
      </w:r>
      <w:r>
        <w:rPr>
          <w:rFonts w:ascii="Times New Roman" w:hAnsi="Times New Roman"/>
          <w:sz w:val="24"/>
          <w:szCs w:val="24"/>
          <w:lang w:val="sr-Cyrl-CS"/>
        </w:rPr>
        <w:t>Плаћање пореза смањује доходак</w:t>
      </w:r>
      <w:r w:rsidR="001E6839">
        <w:rPr>
          <w:rFonts w:ascii="Times New Roman" w:hAnsi="Times New Roman"/>
          <w:sz w:val="24"/>
          <w:szCs w:val="24"/>
          <w:lang w:val="sr-Cyrl-CS"/>
        </w:rPr>
        <w:t xml:space="preserve">. </w:t>
      </w:r>
      <w:r>
        <w:rPr>
          <w:rFonts w:ascii="Times New Roman" w:hAnsi="Times New Roman"/>
          <w:sz w:val="24"/>
          <w:szCs w:val="24"/>
          <w:lang w:val="sr-Cyrl-CS"/>
        </w:rPr>
        <w:t>Порески обвезник н</w:t>
      </w:r>
      <w:r w:rsidR="001E6839">
        <w:rPr>
          <w:rFonts w:ascii="Times New Roman" w:hAnsi="Times New Roman"/>
          <w:sz w:val="24"/>
          <w:szCs w:val="24"/>
          <w:lang w:val="sr-Cyrl-CS"/>
        </w:rPr>
        <w:t xml:space="preserve">а увођење пореза </w:t>
      </w:r>
      <w:r>
        <w:rPr>
          <w:rFonts w:ascii="Times New Roman" w:hAnsi="Times New Roman"/>
          <w:sz w:val="24"/>
          <w:szCs w:val="24"/>
          <w:lang w:val="sr-Cyrl-CS"/>
        </w:rPr>
        <w:t>може да не реагује или то може да доведе до</w:t>
      </w:r>
      <w:r w:rsidR="001E6839">
        <w:rPr>
          <w:rFonts w:ascii="Times New Roman" w:hAnsi="Times New Roman"/>
          <w:sz w:val="24"/>
          <w:szCs w:val="24"/>
          <w:lang w:val="sr-Cyrl-CS"/>
        </w:rPr>
        <w:t xml:space="preserve"> повећањ</w:t>
      </w:r>
      <w:r>
        <w:rPr>
          <w:rFonts w:ascii="Times New Roman" w:hAnsi="Times New Roman"/>
          <w:sz w:val="24"/>
          <w:szCs w:val="24"/>
          <w:lang w:val="sr-Cyrl-CS"/>
        </w:rPr>
        <w:t>а</w:t>
      </w:r>
      <w:r w:rsidR="001E6839">
        <w:rPr>
          <w:rFonts w:ascii="Times New Roman" w:hAnsi="Times New Roman"/>
          <w:sz w:val="24"/>
          <w:szCs w:val="24"/>
          <w:lang w:val="sr-Cyrl-CS"/>
        </w:rPr>
        <w:t xml:space="preserve"> радног напора појединца </w:t>
      </w:r>
      <w:r>
        <w:rPr>
          <w:rFonts w:ascii="Times New Roman" w:hAnsi="Times New Roman"/>
          <w:sz w:val="24"/>
          <w:szCs w:val="24"/>
          <w:lang w:val="sr-Cyrl-CS"/>
        </w:rPr>
        <w:t>како би надокнадио онај део дохотка који је плаћањем пореза смањен</w:t>
      </w:r>
      <w:r w:rsidR="001E6839">
        <w:rPr>
          <w:rFonts w:ascii="Times New Roman" w:hAnsi="Times New Roman"/>
          <w:sz w:val="24"/>
          <w:szCs w:val="24"/>
          <w:lang w:val="sr-Cyrl-CS"/>
        </w:rPr>
        <w:t xml:space="preserve">. </w:t>
      </w:r>
      <w:r>
        <w:rPr>
          <w:rFonts w:ascii="Times New Roman" w:hAnsi="Times New Roman"/>
          <w:sz w:val="24"/>
          <w:szCs w:val="24"/>
          <w:lang w:val="sr-Cyrl-CS"/>
        </w:rPr>
        <w:t>Начин реакције</w:t>
      </w:r>
      <w:r w:rsidR="001E6839">
        <w:rPr>
          <w:rFonts w:ascii="Times New Roman" w:hAnsi="Times New Roman"/>
          <w:sz w:val="24"/>
          <w:szCs w:val="24"/>
          <w:lang w:val="sr-Cyrl-CS"/>
        </w:rPr>
        <w:t xml:space="preserve"> </w:t>
      </w:r>
      <w:r>
        <w:rPr>
          <w:rFonts w:ascii="Times New Roman" w:hAnsi="Times New Roman"/>
          <w:sz w:val="24"/>
          <w:szCs w:val="24"/>
          <w:lang w:val="sr-Cyrl-CS"/>
        </w:rPr>
        <w:t>је условљен висином</w:t>
      </w:r>
      <w:r w:rsidR="001E6839">
        <w:rPr>
          <w:rFonts w:ascii="Times New Roman" w:hAnsi="Times New Roman"/>
          <w:sz w:val="24"/>
          <w:szCs w:val="24"/>
          <w:lang w:val="sr-Cyrl-CS"/>
        </w:rPr>
        <w:t xml:space="preserve"> дохотка и да ли се примењује пропорционално или прогресивно опорезивање. </w:t>
      </w:r>
      <w:r>
        <w:rPr>
          <w:rFonts w:ascii="Times New Roman" w:hAnsi="Times New Roman"/>
          <w:sz w:val="24"/>
          <w:szCs w:val="24"/>
          <w:lang w:val="sr-Cyrl-CS"/>
        </w:rPr>
        <w:t>Лица</w:t>
      </w:r>
      <w:r w:rsidR="001E6839">
        <w:rPr>
          <w:rFonts w:ascii="Times New Roman" w:hAnsi="Times New Roman"/>
          <w:sz w:val="24"/>
          <w:szCs w:val="24"/>
          <w:lang w:val="sr-Cyrl-CS"/>
        </w:rPr>
        <w:t xml:space="preserve"> са релативно ниским дохотком</w:t>
      </w:r>
      <w:r>
        <w:rPr>
          <w:rFonts w:ascii="Times New Roman" w:hAnsi="Times New Roman"/>
          <w:sz w:val="24"/>
          <w:szCs w:val="24"/>
          <w:lang w:val="sr-Cyrl-CS"/>
        </w:rPr>
        <w:t>, која зарађени новац превасходно користе за задовољавање основних егзистенцијалних потреба,</w:t>
      </w:r>
      <w:r w:rsidR="001E6839">
        <w:rPr>
          <w:rFonts w:ascii="Times New Roman" w:hAnsi="Times New Roman"/>
          <w:sz w:val="24"/>
          <w:szCs w:val="24"/>
          <w:lang w:val="sr-Cyrl-CS"/>
        </w:rPr>
        <w:t xml:space="preserve"> на</w:t>
      </w:r>
      <w:r>
        <w:rPr>
          <w:rFonts w:ascii="Times New Roman" w:hAnsi="Times New Roman"/>
          <w:sz w:val="24"/>
          <w:szCs w:val="24"/>
          <w:lang w:val="sr-Cyrl-CS"/>
        </w:rPr>
        <w:t>стојаће да повећају радни напор,</w:t>
      </w:r>
      <w:r w:rsidR="001E6839">
        <w:rPr>
          <w:rFonts w:ascii="Times New Roman" w:hAnsi="Times New Roman"/>
          <w:sz w:val="24"/>
          <w:szCs w:val="24"/>
          <w:lang w:val="sr-Cyrl-CS"/>
        </w:rPr>
        <w:t xml:space="preserve"> али да ли увек на тај начин порез утиче на радни елан је и данас актуелно и још увек </w:t>
      </w:r>
      <w:r>
        <w:rPr>
          <w:rFonts w:ascii="Times New Roman" w:hAnsi="Times New Roman"/>
          <w:sz w:val="24"/>
          <w:szCs w:val="24"/>
          <w:lang w:val="sr-Cyrl-CS"/>
        </w:rPr>
        <w:t>нерешено</w:t>
      </w:r>
      <w:r w:rsidR="001E6839">
        <w:rPr>
          <w:rFonts w:ascii="Times New Roman" w:hAnsi="Times New Roman"/>
          <w:sz w:val="24"/>
          <w:szCs w:val="24"/>
          <w:lang w:val="sr-Cyrl-CS"/>
        </w:rPr>
        <w:t xml:space="preserve"> питање. </w:t>
      </w:r>
      <w:r>
        <w:rPr>
          <w:rFonts w:ascii="Times New Roman" w:hAnsi="Times New Roman"/>
          <w:sz w:val="24"/>
          <w:szCs w:val="24"/>
          <w:lang w:val="sr-Cyrl-CS"/>
        </w:rPr>
        <w:t>Међутим, до повећања</w:t>
      </w:r>
      <w:r w:rsidR="001E6839">
        <w:rPr>
          <w:rFonts w:ascii="Times New Roman" w:hAnsi="Times New Roman"/>
          <w:sz w:val="24"/>
          <w:szCs w:val="24"/>
          <w:lang w:val="sr-Cyrl-CS"/>
        </w:rPr>
        <w:t xml:space="preserve"> радног напора </w:t>
      </w:r>
      <w:r>
        <w:rPr>
          <w:rFonts w:ascii="Times New Roman" w:hAnsi="Times New Roman"/>
          <w:sz w:val="24"/>
          <w:szCs w:val="24"/>
          <w:lang w:val="sr-Cyrl-CS"/>
        </w:rPr>
        <w:t>неће доћи само код пореских обвезника</w:t>
      </w:r>
      <w:r w:rsidR="001E6839">
        <w:rPr>
          <w:rFonts w:ascii="Times New Roman" w:hAnsi="Times New Roman"/>
          <w:sz w:val="24"/>
          <w:szCs w:val="24"/>
          <w:lang w:val="sr-Cyrl-CS"/>
        </w:rPr>
        <w:t xml:space="preserve"> са ниским дохотком, него и код </w:t>
      </w:r>
      <w:r>
        <w:rPr>
          <w:rFonts w:ascii="Times New Roman" w:hAnsi="Times New Roman"/>
          <w:sz w:val="24"/>
          <w:szCs w:val="24"/>
          <w:lang w:val="sr-Cyrl-CS"/>
        </w:rPr>
        <w:t>пореских обвезника са високим дохотком</w:t>
      </w:r>
      <w:r w:rsidR="001E6839">
        <w:rPr>
          <w:rFonts w:ascii="Times New Roman" w:hAnsi="Times New Roman"/>
          <w:sz w:val="24"/>
          <w:szCs w:val="24"/>
          <w:lang w:val="sr-Cyrl-CS"/>
        </w:rPr>
        <w:t xml:space="preserve"> </w:t>
      </w:r>
      <w:r>
        <w:rPr>
          <w:rFonts w:ascii="Times New Roman" w:hAnsi="Times New Roman"/>
          <w:sz w:val="24"/>
          <w:szCs w:val="24"/>
          <w:lang w:val="sr-Cyrl-CS"/>
        </w:rPr>
        <w:t>јер они теже да очувају свој статус</w:t>
      </w:r>
      <w:r w:rsidR="001E6839">
        <w:rPr>
          <w:rFonts w:ascii="Times New Roman" w:hAnsi="Times New Roman"/>
          <w:sz w:val="24"/>
          <w:szCs w:val="24"/>
          <w:lang w:val="sr-Cyrl-CS"/>
        </w:rPr>
        <w:t xml:space="preserve">. </w:t>
      </w:r>
      <w:r>
        <w:rPr>
          <w:rFonts w:ascii="Times New Roman" w:hAnsi="Times New Roman"/>
          <w:sz w:val="24"/>
          <w:szCs w:val="24"/>
          <w:lang w:val="sr-Cyrl-CS"/>
        </w:rPr>
        <w:t xml:space="preserve">Када су </w:t>
      </w:r>
      <w:r w:rsidR="001E6839">
        <w:rPr>
          <w:rFonts w:ascii="Times New Roman" w:hAnsi="Times New Roman"/>
          <w:sz w:val="24"/>
          <w:szCs w:val="24"/>
          <w:lang w:val="sr-Cyrl-CS"/>
        </w:rPr>
        <w:t xml:space="preserve">порези </w:t>
      </w:r>
      <w:r>
        <w:rPr>
          <w:rFonts w:ascii="Times New Roman" w:hAnsi="Times New Roman"/>
          <w:sz w:val="24"/>
          <w:szCs w:val="24"/>
          <w:lang w:val="sr-Cyrl-CS"/>
        </w:rPr>
        <w:t>оштро прогресивни негативна последица може бити опадање</w:t>
      </w:r>
      <w:r w:rsidR="001E6839">
        <w:rPr>
          <w:rFonts w:ascii="Times New Roman" w:hAnsi="Times New Roman"/>
          <w:sz w:val="24"/>
          <w:szCs w:val="24"/>
          <w:lang w:val="sr-Cyrl-CS"/>
        </w:rPr>
        <w:t xml:space="preserve"> воље за радом или чак изазвати напуштање рада.  </w:t>
      </w:r>
    </w:p>
    <w:p w:rsidR="001E6839" w:rsidRDefault="001E6839" w:rsidP="001E6839">
      <w:pPr>
        <w:jc w:val="both"/>
        <w:rPr>
          <w:rFonts w:ascii="Times New Roman" w:hAnsi="Times New Roman"/>
          <w:sz w:val="24"/>
          <w:szCs w:val="24"/>
        </w:rPr>
      </w:pPr>
    </w:p>
    <w:p w:rsidR="001E6839" w:rsidRPr="00913416" w:rsidRDefault="004C0E90" w:rsidP="001E6839">
      <w:pPr>
        <w:jc w:val="both"/>
        <w:rPr>
          <w:rFonts w:ascii="Times New Roman" w:hAnsi="Times New Roman"/>
          <w:b/>
          <w:sz w:val="24"/>
          <w:szCs w:val="24"/>
          <w:lang w:val="sr-Cyrl-CS"/>
        </w:rPr>
      </w:pPr>
      <w:r>
        <w:rPr>
          <w:rFonts w:ascii="Times New Roman" w:hAnsi="Times New Roman"/>
          <w:b/>
          <w:sz w:val="24"/>
          <w:szCs w:val="24"/>
          <w:lang w:val="sr-Cyrl-CS"/>
        </w:rPr>
        <w:t>Слика 7</w:t>
      </w:r>
      <w:r w:rsidR="001E6839" w:rsidRPr="00913416">
        <w:rPr>
          <w:rFonts w:ascii="Times New Roman" w:hAnsi="Times New Roman"/>
          <w:b/>
          <w:sz w:val="24"/>
          <w:szCs w:val="24"/>
          <w:lang w:val="sr-Cyrl-CS"/>
        </w:rPr>
        <w:t>.</w:t>
      </w:r>
    </w:p>
    <w:p w:rsidR="001E6839" w:rsidRDefault="00616181" w:rsidP="001E6839">
      <w:pPr>
        <w:jc w:val="both"/>
        <w:rPr>
          <w:rFonts w:ascii="Times New Roman" w:hAnsi="Times New Roman"/>
          <w:sz w:val="24"/>
          <w:szCs w:val="24"/>
          <w:lang w:val="sr-Cyrl-CS"/>
        </w:rPr>
      </w:pPr>
      <w:r>
        <w:rPr>
          <w:rFonts w:ascii="Times New Roman" w:hAnsi="Times New Roman"/>
          <w:noProof/>
          <w:sz w:val="24"/>
          <w:szCs w:val="24"/>
        </w:rPr>
        <w:pict>
          <v:shape id="_x0000_s1560" type="#_x0000_t32" style="position:absolute;left:0;text-align:left;margin-left:23.7pt;margin-top:8.3pt;width:0;height:104.25pt;flip:y;z-index:251878912" o:connectortype="straight">
            <v:stroke endarrow="block"/>
          </v:shape>
        </w:pict>
      </w:r>
    </w:p>
    <w:p w:rsidR="001E6839" w:rsidRPr="002E4B25" w:rsidRDefault="00616181" w:rsidP="001E6839">
      <w:pPr>
        <w:jc w:val="both"/>
        <w:rPr>
          <w:rFonts w:ascii="Times New Roman" w:hAnsi="Times New Roman"/>
          <w:sz w:val="24"/>
          <w:szCs w:val="24"/>
        </w:rPr>
      </w:pPr>
      <w:r>
        <w:rPr>
          <w:rFonts w:ascii="Times New Roman" w:hAnsi="Times New Roman"/>
          <w:noProof/>
          <w:sz w:val="24"/>
          <w:szCs w:val="24"/>
        </w:rPr>
        <w:pict>
          <v:shape id="_x0000_s1565" type="#_x0000_t32" style="position:absolute;left:0;text-align:left;margin-left:81.45pt;margin-top:.45pt;width:64.5pt;height:63.75pt;flip:y;z-index:251884032" o:connectortype="straight"/>
        </w:pict>
      </w:r>
      <w:r>
        <w:rPr>
          <w:rFonts w:ascii="Times New Roman" w:hAnsi="Times New Roman"/>
          <w:noProof/>
          <w:sz w:val="24"/>
          <w:szCs w:val="24"/>
        </w:rPr>
        <w:pict>
          <v:shape id="_x0000_s1562" type="#_x0000_t32" style="position:absolute;left:0;text-align:left;margin-left:134.7pt;margin-top:12.45pt;width:0;height:1in;z-index:251880960" o:connectortype="straight"/>
        </w:pict>
      </w:r>
      <w:r>
        <w:rPr>
          <w:rFonts w:ascii="Times New Roman" w:hAnsi="Times New Roman"/>
          <w:noProof/>
          <w:sz w:val="24"/>
          <w:szCs w:val="24"/>
        </w:rPr>
        <w:pict>
          <v:shape id="_x0000_s1561" type="#_x0000_t32" style="position:absolute;left:0;text-align:left;margin-left:49.2pt;margin-top:12.45pt;width:85.5pt;height:.75pt;flip:y;z-index:251879936" o:connectortype="straight"/>
        </w:pict>
      </w:r>
      <w:r w:rsidR="001E6839">
        <w:rPr>
          <w:rFonts w:ascii="Times New Roman" w:hAnsi="Times New Roman"/>
          <w:sz w:val="24"/>
          <w:szCs w:val="24"/>
          <w:lang w:val="sr-Cyrl-CS"/>
        </w:rPr>
        <w:t xml:space="preserve">            </w:t>
      </w:r>
      <w:r w:rsidR="00454270">
        <w:rPr>
          <w:rFonts w:ascii="Times New Roman" w:hAnsi="Times New Roman"/>
          <w:sz w:val="24"/>
          <w:szCs w:val="24"/>
        </w:rPr>
        <w:t>W</w:t>
      </w:r>
      <w:r w:rsidR="001E6839">
        <w:rPr>
          <w:rFonts w:ascii="Times New Roman" w:hAnsi="Times New Roman"/>
          <w:sz w:val="24"/>
          <w:szCs w:val="24"/>
          <w:lang w:val="sr-Cyrl-CS"/>
        </w:rPr>
        <w:t>1</w:t>
      </w:r>
      <w:r w:rsidR="001E6839">
        <w:rPr>
          <w:rFonts w:ascii="Times New Roman" w:hAnsi="Times New Roman"/>
          <w:sz w:val="24"/>
          <w:szCs w:val="24"/>
        </w:rPr>
        <w:t xml:space="preserve">                                 s</w:t>
      </w:r>
    </w:p>
    <w:p w:rsidR="001E6839" w:rsidRPr="002E4B25" w:rsidRDefault="00616181" w:rsidP="001E6839">
      <w:pPr>
        <w:jc w:val="both"/>
        <w:rPr>
          <w:rFonts w:ascii="Times New Roman" w:hAnsi="Times New Roman"/>
          <w:sz w:val="24"/>
          <w:szCs w:val="24"/>
        </w:rPr>
      </w:pPr>
      <w:r>
        <w:rPr>
          <w:rFonts w:ascii="Times New Roman" w:hAnsi="Times New Roman"/>
          <w:noProof/>
          <w:sz w:val="24"/>
          <w:szCs w:val="24"/>
        </w:rPr>
        <w:pict>
          <v:shape id="_x0000_s1564" type="#_x0000_t32" style="position:absolute;left:0;text-align:left;margin-left:121.2pt;margin-top:.85pt;width:0;height:60pt;z-index:251883008" o:connectortype="straight"/>
        </w:pict>
      </w:r>
      <w:r>
        <w:rPr>
          <w:rFonts w:ascii="Times New Roman" w:hAnsi="Times New Roman"/>
          <w:noProof/>
          <w:sz w:val="24"/>
          <w:szCs w:val="24"/>
        </w:rPr>
        <w:pict>
          <v:shape id="_x0000_s1563" type="#_x0000_t32" style="position:absolute;left:0;text-align:left;margin-left:49.2pt;margin-top:.85pt;width:1in;height:1.5pt;flip:y;z-index:251881984" o:connectortype="straight"/>
        </w:pict>
      </w:r>
      <w:r w:rsidR="00454270">
        <w:rPr>
          <w:rFonts w:ascii="Times New Roman" w:hAnsi="Times New Roman"/>
          <w:sz w:val="24"/>
          <w:szCs w:val="24"/>
        </w:rPr>
        <w:t xml:space="preserve">            W</w:t>
      </w:r>
      <w:r w:rsidR="001E6839">
        <w:rPr>
          <w:rFonts w:ascii="Times New Roman" w:hAnsi="Times New Roman"/>
          <w:sz w:val="24"/>
          <w:szCs w:val="24"/>
        </w:rPr>
        <w:t>2</w:t>
      </w:r>
    </w:p>
    <w:p w:rsidR="001E6839" w:rsidRPr="002E4B25" w:rsidRDefault="001E6839" w:rsidP="001E6839">
      <w:pPr>
        <w:jc w:val="both"/>
        <w:rPr>
          <w:rFonts w:ascii="Times New Roman" w:hAnsi="Times New Roman"/>
          <w:sz w:val="24"/>
          <w:szCs w:val="24"/>
        </w:rPr>
      </w:pPr>
      <w:r>
        <w:rPr>
          <w:rFonts w:ascii="Times New Roman" w:hAnsi="Times New Roman"/>
          <w:sz w:val="24"/>
          <w:szCs w:val="24"/>
        </w:rPr>
        <w:t xml:space="preserve">          </w:t>
      </w:r>
      <w:r w:rsidR="00454270">
        <w:rPr>
          <w:rFonts w:ascii="Times New Roman" w:hAnsi="Times New Roman"/>
          <w:sz w:val="24"/>
          <w:szCs w:val="24"/>
        </w:rPr>
        <w:t xml:space="preserve">               s               X2 X</w:t>
      </w:r>
      <w:r>
        <w:rPr>
          <w:rFonts w:ascii="Times New Roman" w:hAnsi="Times New Roman"/>
          <w:sz w:val="24"/>
          <w:szCs w:val="24"/>
        </w:rPr>
        <w:t>1</w:t>
      </w:r>
    </w:p>
    <w:p w:rsidR="001E6839" w:rsidRDefault="00616181" w:rsidP="001E6839">
      <w:pPr>
        <w:jc w:val="both"/>
        <w:rPr>
          <w:rFonts w:ascii="Times New Roman" w:hAnsi="Times New Roman"/>
          <w:sz w:val="24"/>
          <w:szCs w:val="24"/>
          <w:lang w:val="sr-Cyrl-CS"/>
        </w:rPr>
      </w:pPr>
      <w:r>
        <w:rPr>
          <w:rFonts w:ascii="Times New Roman" w:hAnsi="Times New Roman"/>
          <w:noProof/>
          <w:sz w:val="24"/>
          <w:szCs w:val="24"/>
        </w:rPr>
        <w:pict>
          <v:shape id="_x0000_s1559" type="#_x0000_t32" style="position:absolute;left:0;text-align:left;margin-left:23.7pt;margin-top:6.85pt;width:133.5pt;height:2.25pt;flip:y;z-index:251877888" o:connectortype="straight">
            <v:stroke endarrow="block"/>
          </v:shape>
        </w:pict>
      </w:r>
    </w:p>
    <w:p w:rsidR="001E6839" w:rsidRPr="00E85D66" w:rsidRDefault="001E6839" w:rsidP="001E6839">
      <w:pPr>
        <w:jc w:val="both"/>
        <w:rPr>
          <w:rFonts w:ascii="Times New Roman" w:hAnsi="Times New Roman"/>
          <w:b/>
          <w:sz w:val="24"/>
          <w:szCs w:val="24"/>
          <w:lang w:val="sr-Cyrl-CS"/>
        </w:rPr>
      </w:pPr>
      <w:r w:rsidRPr="00E85D66">
        <w:rPr>
          <w:rFonts w:ascii="Times New Roman" w:hAnsi="Times New Roman"/>
          <w:b/>
          <w:sz w:val="24"/>
          <w:szCs w:val="24"/>
          <w:lang w:val="sr-Cyrl-CS"/>
        </w:rPr>
        <w:t>Утицај пореза на радни напор и висину наднице</w:t>
      </w:r>
      <w:r w:rsidR="00086C38">
        <w:rPr>
          <w:rStyle w:val="FootnoteReference"/>
          <w:rFonts w:ascii="Times New Roman" w:hAnsi="Times New Roman"/>
          <w:b/>
          <w:sz w:val="24"/>
          <w:szCs w:val="24"/>
          <w:lang w:val="sr-Cyrl-CS"/>
        </w:rPr>
        <w:footnoteReference w:id="142"/>
      </w:r>
    </w:p>
    <w:p w:rsidR="001E6839" w:rsidRDefault="001E6839" w:rsidP="001E6839">
      <w:pPr>
        <w:jc w:val="both"/>
        <w:rPr>
          <w:rFonts w:ascii="Times New Roman" w:hAnsi="Times New Roman"/>
          <w:sz w:val="24"/>
          <w:szCs w:val="24"/>
          <w:lang w:val="sr-Cyrl-CS"/>
        </w:rPr>
      </w:pPr>
    </w:p>
    <w:p w:rsidR="001E6839" w:rsidRPr="00454270" w:rsidRDefault="00395853" w:rsidP="00454270">
      <w:pPr>
        <w:ind w:firstLine="708"/>
        <w:jc w:val="both"/>
        <w:rPr>
          <w:rFonts w:ascii="Times New Roman" w:hAnsi="Times New Roman"/>
          <w:sz w:val="24"/>
          <w:szCs w:val="24"/>
        </w:rPr>
      </w:pPr>
      <w:r>
        <w:rPr>
          <w:rFonts w:ascii="Times New Roman" w:hAnsi="Times New Roman"/>
          <w:sz w:val="24"/>
          <w:szCs w:val="24"/>
          <w:lang w:val="sr-Cyrl-CS"/>
        </w:rPr>
        <w:t xml:space="preserve">На слици је смањење плате услед увођења пореза означено са </w:t>
      </w:r>
      <w:r w:rsidR="001E6839">
        <w:rPr>
          <w:rFonts w:ascii="Times New Roman" w:hAnsi="Times New Roman"/>
          <w:sz w:val="24"/>
          <w:szCs w:val="24"/>
        </w:rPr>
        <w:t xml:space="preserve">W1 </w:t>
      </w:r>
      <w:r w:rsidR="001E6839">
        <w:rPr>
          <w:rFonts w:ascii="Times New Roman" w:hAnsi="Times New Roman"/>
          <w:sz w:val="24"/>
          <w:szCs w:val="24"/>
          <w:lang w:val="sr-Cyrl-CS"/>
        </w:rPr>
        <w:t xml:space="preserve">(ниво пре увођења пореза) на </w:t>
      </w:r>
      <w:r w:rsidR="001E6839">
        <w:rPr>
          <w:rFonts w:ascii="Times New Roman" w:hAnsi="Times New Roman"/>
          <w:sz w:val="24"/>
          <w:szCs w:val="24"/>
        </w:rPr>
        <w:t xml:space="preserve">W2 </w:t>
      </w:r>
      <w:r w:rsidR="001E6839">
        <w:rPr>
          <w:rFonts w:ascii="Times New Roman" w:hAnsi="Times New Roman"/>
          <w:sz w:val="24"/>
          <w:szCs w:val="24"/>
          <w:lang w:val="sr-Cyrl-CS"/>
        </w:rPr>
        <w:t>(н</w:t>
      </w:r>
      <w:r>
        <w:rPr>
          <w:rFonts w:ascii="Times New Roman" w:hAnsi="Times New Roman"/>
          <w:sz w:val="24"/>
          <w:szCs w:val="24"/>
          <w:lang w:val="sr-Cyrl-CS"/>
        </w:rPr>
        <w:t xml:space="preserve">иво плата после увођења пореза), док је </w:t>
      </w:r>
      <w:r w:rsidR="001E6839">
        <w:rPr>
          <w:rFonts w:ascii="Times New Roman" w:hAnsi="Times New Roman"/>
          <w:sz w:val="24"/>
          <w:szCs w:val="24"/>
          <w:lang w:val="sr-Cyrl-CS"/>
        </w:rPr>
        <w:t xml:space="preserve">опадање воље за радом, односно </w:t>
      </w:r>
      <w:r>
        <w:rPr>
          <w:rFonts w:ascii="Times New Roman" w:hAnsi="Times New Roman"/>
          <w:sz w:val="24"/>
          <w:szCs w:val="24"/>
          <w:lang w:val="sr-Cyrl-CS"/>
        </w:rPr>
        <w:t>смањење</w:t>
      </w:r>
      <w:r w:rsidR="001E6839">
        <w:rPr>
          <w:rFonts w:ascii="Times New Roman" w:hAnsi="Times New Roman"/>
          <w:sz w:val="24"/>
          <w:szCs w:val="24"/>
          <w:lang w:val="sr-Cyrl-CS"/>
        </w:rPr>
        <w:t xml:space="preserve"> одговарајућег броја радних сати</w:t>
      </w:r>
      <w:r>
        <w:rPr>
          <w:rFonts w:ascii="Times New Roman" w:hAnsi="Times New Roman"/>
          <w:sz w:val="24"/>
          <w:szCs w:val="24"/>
          <w:lang w:val="sr-Cyrl-CS"/>
        </w:rPr>
        <w:t>, које је проузроковано опорезивањем,</w:t>
      </w:r>
      <w:r w:rsidR="001E6839">
        <w:rPr>
          <w:rFonts w:ascii="Times New Roman" w:hAnsi="Times New Roman"/>
          <w:sz w:val="24"/>
          <w:szCs w:val="24"/>
          <w:lang w:val="sr-Cyrl-CS"/>
        </w:rPr>
        <w:t xml:space="preserve"> </w:t>
      </w:r>
      <w:r>
        <w:rPr>
          <w:rFonts w:ascii="Times New Roman" w:hAnsi="Times New Roman"/>
          <w:sz w:val="24"/>
          <w:szCs w:val="24"/>
          <w:lang w:val="sr-Cyrl-CS"/>
        </w:rPr>
        <w:t xml:space="preserve">означено </w:t>
      </w:r>
      <w:r w:rsidR="001E6839">
        <w:rPr>
          <w:rFonts w:ascii="Times New Roman" w:hAnsi="Times New Roman"/>
          <w:sz w:val="24"/>
          <w:szCs w:val="24"/>
          <w:lang w:val="sr-Cyrl-CS"/>
        </w:rPr>
        <w:t>са</w:t>
      </w:r>
      <w:r w:rsidR="001E6839">
        <w:rPr>
          <w:rFonts w:ascii="Times New Roman" w:hAnsi="Times New Roman"/>
          <w:sz w:val="24"/>
          <w:szCs w:val="24"/>
        </w:rPr>
        <w:t xml:space="preserve"> x1</w:t>
      </w:r>
      <w:r w:rsidR="001E6839">
        <w:rPr>
          <w:rFonts w:ascii="Times New Roman" w:hAnsi="Times New Roman"/>
          <w:sz w:val="24"/>
          <w:szCs w:val="24"/>
          <w:lang w:val="sr-Cyrl-CS"/>
        </w:rPr>
        <w:t xml:space="preserve"> на </w:t>
      </w:r>
      <w:r w:rsidR="001E6839">
        <w:rPr>
          <w:rFonts w:ascii="Times New Roman" w:hAnsi="Times New Roman"/>
          <w:sz w:val="24"/>
          <w:szCs w:val="24"/>
        </w:rPr>
        <w:t>x2</w:t>
      </w:r>
      <w:r w:rsidR="001E6839">
        <w:rPr>
          <w:rFonts w:ascii="Times New Roman" w:hAnsi="Times New Roman"/>
          <w:sz w:val="24"/>
          <w:szCs w:val="24"/>
          <w:lang w:val="sr-Cyrl-CS"/>
        </w:rPr>
        <w:t>.</w:t>
      </w:r>
    </w:p>
    <w:p w:rsidR="00421A83" w:rsidRPr="003A57BB" w:rsidRDefault="001E6839" w:rsidP="003A57BB">
      <w:pPr>
        <w:ind w:firstLine="708"/>
        <w:jc w:val="both"/>
        <w:rPr>
          <w:rFonts w:ascii="Times New Roman" w:hAnsi="Times New Roman"/>
          <w:sz w:val="24"/>
          <w:szCs w:val="24"/>
          <w:lang w:val="sr-Cyrl-CS"/>
        </w:rPr>
      </w:pPr>
      <w:r>
        <w:rPr>
          <w:rFonts w:ascii="Times New Roman" w:hAnsi="Times New Roman"/>
          <w:sz w:val="24"/>
          <w:szCs w:val="24"/>
        </w:rPr>
        <w:lastRenderedPageBreak/>
        <w:t>Како би сачувао свој статус, одн</w:t>
      </w:r>
      <w:r>
        <w:rPr>
          <w:rFonts w:ascii="Times New Roman" w:hAnsi="Times New Roman"/>
          <w:sz w:val="24"/>
          <w:szCs w:val="24"/>
          <w:lang w:val="sr-Cyrl-CS"/>
        </w:rPr>
        <w:t>о</w:t>
      </w:r>
      <w:r>
        <w:rPr>
          <w:rFonts w:ascii="Times New Roman" w:hAnsi="Times New Roman"/>
          <w:sz w:val="24"/>
          <w:szCs w:val="24"/>
        </w:rPr>
        <w:t>сно спречио смањење економске снаге услед увођења пореза,</w:t>
      </w:r>
      <w:r>
        <w:rPr>
          <w:rFonts w:ascii="Times New Roman" w:hAnsi="Times New Roman"/>
          <w:sz w:val="24"/>
          <w:szCs w:val="24"/>
          <w:lang w:val="sr-Cyrl-CS"/>
        </w:rPr>
        <w:t xml:space="preserve"> појединац је принуђен да више ради и да кроз додатне активности оствари своје потребе. </w:t>
      </w:r>
      <w:r w:rsidR="00395853">
        <w:rPr>
          <w:rFonts w:ascii="Times New Roman" w:hAnsi="Times New Roman"/>
          <w:sz w:val="24"/>
          <w:szCs w:val="24"/>
          <w:lang w:val="sr-Cyrl-CS"/>
        </w:rPr>
        <w:t>Због повећаног рада, односно броја радних сати појединцу је смањено слободно време</w:t>
      </w:r>
      <w:r>
        <w:rPr>
          <w:rFonts w:ascii="Times New Roman" w:hAnsi="Times New Roman"/>
          <w:sz w:val="24"/>
          <w:szCs w:val="24"/>
          <w:lang w:val="sr-Cyrl-CS"/>
        </w:rPr>
        <w:t>.</w:t>
      </w:r>
      <w:r>
        <w:rPr>
          <w:rFonts w:ascii="Times New Roman" w:hAnsi="Times New Roman"/>
          <w:sz w:val="24"/>
          <w:szCs w:val="24"/>
        </w:rPr>
        <w:t xml:space="preserve"> </w:t>
      </w:r>
      <w:r>
        <w:rPr>
          <w:rFonts w:ascii="Times New Roman" w:hAnsi="Times New Roman"/>
          <w:sz w:val="24"/>
          <w:szCs w:val="24"/>
          <w:lang w:val="sr-Cyrl-CS"/>
        </w:rPr>
        <w:t xml:space="preserve"> </w:t>
      </w:r>
    </w:p>
    <w:p w:rsidR="001E6839" w:rsidRPr="00E85D66" w:rsidRDefault="00616181" w:rsidP="001E6839">
      <w:pPr>
        <w:ind w:firstLine="708"/>
        <w:jc w:val="both"/>
        <w:rPr>
          <w:rFonts w:ascii="Times New Roman" w:hAnsi="Times New Roman"/>
          <w:sz w:val="24"/>
          <w:szCs w:val="24"/>
          <w:lang w:val="sr-Cyrl-CS"/>
        </w:rPr>
      </w:pPr>
      <w:r>
        <w:rPr>
          <w:rFonts w:ascii="Times New Roman" w:hAnsi="Times New Roman"/>
          <w:noProof/>
          <w:sz w:val="24"/>
          <w:szCs w:val="24"/>
        </w:rPr>
        <w:pict>
          <v:shape id="_x0000_s1566" type="#_x0000_t32" style="position:absolute;left:0;text-align:left;margin-left:7.95pt;margin-top:23.15pt;width:.75pt;height:107.25pt;flip:x y;z-index:251885056" o:connectortype="straight">
            <v:stroke endarrow="block"/>
          </v:shape>
        </w:pict>
      </w:r>
    </w:p>
    <w:p w:rsidR="001E6839" w:rsidRPr="006E078C" w:rsidRDefault="00616181" w:rsidP="001E6839">
      <w:pPr>
        <w:jc w:val="both"/>
        <w:rPr>
          <w:rFonts w:ascii="Times New Roman" w:hAnsi="Times New Roman"/>
          <w:sz w:val="24"/>
          <w:szCs w:val="24"/>
        </w:rPr>
      </w:pPr>
      <w:r>
        <w:rPr>
          <w:rFonts w:ascii="Times New Roman" w:hAnsi="Times New Roman"/>
          <w:noProof/>
          <w:sz w:val="24"/>
          <w:szCs w:val="24"/>
        </w:rPr>
        <w:pict>
          <v:shape id="_x0000_s1572" type="#_x0000_t19" style="position:absolute;left:0;text-align:left;margin-left:56.7pt;margin-top:13.05pt;width:71.25pt;height:48pt;z-index:251891200"/>
        </w:pict>
      </w:r>
      <w:r>
        <w:rPr>
          <w:rFonts w:ascii="Times New Roman" w:hAnsi="Times New Roman"/>
          <w:noProof/>
          <w:sz w:val="24"/>
          <w:szCs w:val="24"/>
        </w:rPr>
        <w:pict>
          <v:shape id="_x0000_s1569" type="#_x0000_t32" style="position:absolute;left:0;text-align:left;margin-left:95.7pt;margin-top:21.3pt;width:0;height:83.25pt;z-index:251888128" o:connectortype="straight"/>
        </w:pict>
      </w:r>
      <w:r>
        <w:rPr>
          <w:rFonts w:ascii="Times New Roman" w:hAnsi="Times New Roman"/>
          <w:noProof/>
          <w:sz w:val="24"/>
          <w:szCs w:val="24"/>
        </w:rPr>
        <w:pict>
          <v:shape id="_x0000_s1568" type="#_x0000_t32" style="position:absolute;left:0;text-align:left;margin-left:7.95pt;margin-top:21.3pt;width:87.75pt;height:0;z-index:251887104" o:connectortype="straight"/>
        </w:pict>
      </w:r>
      <w:r w:rsidR="001E6839">
        <w:rPr>
          <w:rFonts w:ascii="Times New Roman" w:hAnsi="Times New Roman"/>
          <w:sz w:val="24"/>
          <w:szCs w:val="24"/>
          <w:lang w:val="sr-Cyrl-CS"/>
        </w:rPr>
        <w:t xml:space="preserve">     </w:t>
      </w:r>
      <w:r w:rsidR="001E6839">
        <w:rPr>
          <w:rFonts w:ascii="Times New Roman" w:hAnsi="Times New Roman"/>
          <w:sz w:val="24"/>
          <w:szCs w:val="24"/>
        </w:rPr>
        <w:t>W1</w:t>
      </w:r>
      <w:r w:rsidR="001E6839">
        <w:rPr>
          <w:rFonts w:ascii="Times New Roman" w:hAnsi="Times New Roman"/>
          <w:sz w:val="24"/>
          <w:szCs w:val="24"/>
          <w:lang w:val="sr-Cyrl-CS"/>
        </w:rPr>
        <w:t xml:space="preserve">         </w:t>
      </w:r>
      <w:r w:rsidR="001E6839">
        <w:rPr>
          <w:rFonts w:ascii="Times New Roman" w:hAnsi="Times New Roman"/>
          <w:sz w:val="24"/>
          <w:szCs w:val="24"/>
        </w:rPr>
        <w:t xml:space="preserve">  </w:t>
      </w:r>
      <w:r w:rsidR="001E6839">
        <w:rPr>
          <w:rFonts w:ascii="Times New Roman" w:hAnsi="Times New Roman"/>
          <w:sz w:val="24"/>
          <w:szCs w:val="24"/>
          <w:lang w:val="sr-Cyrl-CS"/>
        </w:rPr>
        <w:t>S</w:t>
      </w:r>
    </w:p>
    <w:p w:rsidR="001E6839" w:rsidRPr="006E078C" w:rsidRDefault="00616181" w:rsidP="001E6839">
      <w:pPr>
        <w:jc w:val="both"/>
        <w:rPr>
          <w:rFonts w:ascii="Times New Roman" w:hAnsi="Times New Roman"/>
          <w:sz w:val="24"/>
          <w:szCs w:val="24"/>
        </w:rPr>
      </w:pPr>
      <w:r>
        <w:rPr>
          <w:rFonts w:ascii="Times New Roman" w:hAnsi="Times New Roman"/>
          <w:noProof/>
          <w:sz w:val="24"/>
          <w:szCs w:val="24"/>
        </w:rPr>
        <w:pict>
          <v:shape id="_x0000_s1571" type="#_x0000_t32" style="position:absolute;left:0;text-align:left;margin-left:121.2pt;margin-top:15.65pt;width:0;height:63pt;z-index:251890176" o:connectortype="straight"/>
        </w:pict>
      </w:r>
      <w:r>
        <w:rPr>
          <w:rFonts w:ascii="Times New Roman" w:hAnsi="Times New Roman"/>
          <w:noProof/>
          <w:sz w:val="24"/>
          <w:szCs w:val="24"/>
        </w:rPr>
        <w:pict>
          <v:shape id="_x0000_s1570" type="#_x0000_t32" style="position:absolute;left:0;text-align:left;margin-left:7.95pt;margin-top:15.65pt;width:113.25pt;height:.75pt;flip:y;z-index:251889152" o:connectortype="straight"/>
        </w:pict>
      </w:r>
      <w:r w:rsidR="001E6839">
        <w:rPr>
          <w:rFonts w:ascii="Times New Roman" w:hAnsi="Times New Roman"/>
          <w:sz w:val="24"/>
          <w:szCs w:val="24"/>
        </w:rPr>
        <w:t xml:space="preserve">      W2</w:t>
      </w:r>
    </w:p>
    <w:p w:rsidR="001E6839" w:rsidRDefault="00616181" w:rsidP="001E6839">
      <w:pPr>
        <w:jc w:val="both"/>
        <w:rPr>
          <w:rFonts w:ascii="Times New Roman" w:hAnsi="Times New Roman"/>
          <w:sz w:val="24"/>
          <w:szCs w:val="24"/>
          <w:lang w:val="sr-Cyrl-CS"/>
        </w:rPr>
      </w:pPr>
      <w:r>
        <w:rPr>
          <w:rFonts w:ascii="Times New Roman" w:hAnsi="Times New Roman"/>
          <w:noProof/>
          <w:sz w:val="24"/>
          <w:szCs w:val="24"/>
        </w:rPr>
        <w:pict>
          <v:shape id="_x0000_s1573" type="#_x0000_t19" style="position:absolute;left:0;text-align:left;margin-left:73.2pt;margin-top:9.3pt;width:54.75pt;height:18pt;flip:y;z-index:251892224"/>
        </w:pict>
      </w:r>
    </w:p>
    <w:p w:rsidR="001E6839" w:rsidRPr="006E078C" w:rsidRDefault="001E6839" w:rsidP="001E6839">
      <w:pPr>
        <w:jc w:val="both"/>
        <w:rPr>
          <w:rFonts w:ascii="Times New Roman" w:hAnsi="Times New Roman"/>
          <w:sz w:val="24"/>
          <w:szCs w:val="24"/>
        </w:rPr>
      </w:pPr>
      <w:r>
        <w:rPr>
          <w:rFonts w:ascii="Times New Roman" w:hAnsi="Times New Roman"/>
          <w:sz w:val="24"/>
          <w:szCs w:val="24"/>
        </w:rPr>
        <w:t xml:space="preserve">                     S</w:t>
      </w:r>
    </w:p>
    <w:p w:rsidR="001E6839" w:rsidRDefault="00616181" w:rsidP="001E6839">
      <w:pPr>
        <w:jc w:val="both"/>
        <w:rPr>
          <w:rFonts w:ascii="Times New Roman" w:hAnsi="Times New Roman"/>
          <w:sz w:val="24"/>
          <w:szCs w:val="24"/>
        </w:rPr>
      </w:pPr>
      <w:r>
        <w:rPr>
          <w:rFonts w:ascii="Times New Roman" w:hAnsi="Times New Roman"/>
          <w:noProof/>
          <w:sz w:val="24"/>
          <w:szCs w:val="24"/>
        </w:rPr>
        <w:pict>
          <v:shape id="_x0000_s1567" type="#_x0000_t32" style="position:absolute;left:0;text-align:left;margin-left:7.95pt;margin-top:1.05pt;width:149.25pt;height:0;z-index:251886080" o:connectortype="straight">
            <v:stroke endarrow="block"/>
          </v:shape>
        </w:pict>
      </w:r>
      <w:r w:rsidR="001E6839">
        <w:rPr>
          <w:rFonts w:ascii="Times New Roman" w:hAnsi="Times New Roman"/>
          <w:sz w:val="24"/>
          <w:szCs w:val="24"/>
        </w:rPr>
        <w:t xml:space="preserve">                             x1    x2</w:t>
      </w:r>
    </w:p>
    <w:p w:rsidR="001E6839" w:rsidRPr="00E85D66" w:rsidRDefault="004C0E90" w:rsidP="001E6839">
      <w:pPr>
        <w:jc w:val="both"/>
        <w:rPr>
          <w:rFonts w:ascii="Times New Roman" w:hAnsi="Times New Roman"/>
          <w:b/>
          <w:sz w:val="24"/>
          <w:szCs w:val="24"/>
          <w:lang w:val="sr-Cyrl-CS"/>
        </w:rPr>
      </w:pPr>
      <w:r>
        <w:rPr>
          <w:rFonts w:ascii="Times New Roman" w:hAnsi="Times New Roman"/>
          <w:b/>
          <w:sz w:val="24"/>
          <w:szCs w:val="24"/>
          <w:lang w:val="sr-Cyrl-CS"/>
        </w:rPr>
        <w:t>Слика 8</w:t>
      </w:r>
      <w:r w:rsidR="001E6839">
        <w:rPr>
          <w:rFonts w:ascii="Times New Roman" w:hAnsi="Times New Roman"/>
          <w:b/>
          <w:sz w:val="24"/>
          <w:szCs w:val="24"/>
          <w:lang w:val="sr-Cyrl-CS"/>
        </w:rPr>
        <w:t xml:space="preserve">. </w:t>
      </w:r>
      <w:r w:rsidR="001E6839" w:rsidRPr="00E85D66">
        <w:rPr>
          <w:rFonts w:ascii="Times New Roman" w:hAnsi="Times New Roman"/>
          <w:b/>
          <w:sz w:val="24"/>
          <w:szCs w:val="24"/>
          <w:lang w:val="sr-Cyrl-CS"/>
        </w:rPr>
        <w:t>Доходовни ефекат пореског обвезника на увођење пореза</w:t>
      </w:r>
      <w:r w:rsidR="00086C38">
        <w:rPr>
          <w:rStyle w:val="FootnoteReference"/>
          <w:rFonts w:ascii="Times New Roman" w:hAnsi="Times New Roman"/>
          <w:b/>
          <w:sz w:val="24"/>
          <w:szCs w:val="24"/>
          <w:lang w:val="sr-Cyrl-CS"/>
        </w:rPr>
        <w:footnoteReference w:id="143"/>
      </w:r>
    </w:p>
    <w:p w:rsidR="001E6839" w:rsidRDefault="00395853" w:rsidP="001E6839">
      <w:pPr>
        <w:ind w:firstLine="708"/>
        <w:jc w:val="both"/>
        <w:rPr>
          <w:rFonts w:ascii="Times New Roman" w:hAnsi="Times New Roman"/>
          <w:sz w:val="24"/>
          <w:szCs w:val="24"/>
        </w:rPr>
      </w:pPr>
      <w:r>
        <w:rPr>
          <w:rFonts w:ascii="Times New Roman" w:hAnsi="Times New Roman"/>
          <w:sz w:val="24"/>
          <w:szCs w:val="24"/>
          <w:lang w:val="sr-Cyrl-CS"/>
        </w:rPr>
        <w:t xml:space="preserve">Стопе плата и њихово смањење после увођења пореза на слици је означено са </w:t>
      </w:r>
      <w:r w:rsidR="001E6839">
        <w:rPr>
          <w:rFonts w:ascii="Times New Roman" w:hAnsi="Times New Roman"/>
          <w:sz w:val="24"/>
          <w:szCs w:val="24"/>
        </w:rPr>
        <w:t>W1</w:t>
      </w:r>
      <w:r w:rsidR="001E6839">
        <w:rPr>
          <w:rFonts w:ascii="Times New Roman" w:hAnsi="Times New Roman"/>
          <w:sz w:val="24"/>
          <w:szCs w:val="24"/>
          <w:lang w:val="sr-Cyrl-CS"/>
        </w:rPr>
        <w:t xml:space="preserve"> на </w:t>
      </w:r>
      <w:r w:rsidR="001E6839">
        <w:rPr>
          <w:rFonts w:ascii="Times New Roman" w:hAnsi="Times New Roman"/>
          <w:sz w:val="24"/>
          <w:szCs w:val="24"/>
        </w:rPr>
        <w:t>W2</w:t>
      </w:r>
      <w:r>
        <w:rPr>
          <w:rFonts w:ascii="Times New Roman" w:hAnsi="Times New Roman"/>
          <w:sz w:val="24"/>
          <w:szCs w:val="24"/>
          <w:lang w:val="sr-Cyrl-CS"/>
        </w:rPr>
        <w:t xml:space="preserve">, што даље </w:t>
      </w:r>
      <w:r w:rsidR="001E6839">
        <w:rPr>
          <w:rFonts w:ascii="Times New Roman" w:hAnsi="Times New Roman"/>
          <w:sz w:val="24"/>
          <w:szCs w:val="24"/>
          <w:lang w:val="sr-Cyrl-CS"/>
        </w:rPr>
        <w:t xml:space="preserve">доводи до повећања броја радних сати </w:t>
      </w:r>
      <w:r w:rsidR="001E6839">
        <w:rPr>
          <w:rFonts w:ascii="Times New Roman" w:hAnsi="Times New Roman"/>
          <w:sz w:val="24"/>
          <w:szCs w:val="24"/>
        </w:rPr>
        <w:t xml:space="preserve"> </w:t>
      </w:r>
      <w:r>
        <w:rPr>
          <w:rFonts w:ascii="Times New Roman" w:hAnsi="Times New Roman"/>
          <w:sz w:val="24"/>
          <w:szCs w:val="24"/>
          <w:lang w:val="sr-Cyrl-CS"/>
        </w:rPr>
        <w:t xml:space="preserve">који су означени </w:t>
      </w:r>
      <w:r w:rsidR="001E6839">
        <w:rPr>
          <w:rFonts w:ascii="Times New Roman" w:hAnsi="Times New Roman"/>
          <w:sz w:val="24"/>
          <w:szCs w:val="24"/>
          <w:lang w:val="sr-Cyrl-CS"/>
        </w:rPr>
        <w:t xml:space="preserve">са </w:t>
      </w:r>
      <w:r w:rsidR="001E6839">
        <w:rPr>
          <w:rFonts w:ascii="Times New Roman" w:hAnsi="Times New Roman"/>
          <w:sz w:val="24"/>
          <w:szCs w:val="24"/>
        </w:rPr>
        <w:t xml:space="preserve">H1 </w:t>
      </w:r>
      <w:r w:rsidR="001E6839">
        <w:rPr>
          <w:rFonts w:ascii="Times New Roman" w:hAnsi="Times New Roman"/>
          <w:sz w:val="24"/>
          <w:szCs w:val="24"/>
          <w:lang w:val="sr-Cyrl-CS"/>
        </w:rPr>
        <w:t>на</w:t>
      </w:r>
      <w:r w:rsidR="001E6839">
        <w:rPr>
          <w:rFonts w:ascii="Times New Roman" w:hAnsi="Times New Roman"/>
          <w:sz w:val="24"/>
          <w:szCs w:val="24"/>
        </w:rPr>
        <w:t xml:space="preserve"> H2</w:t>
      </w:r>
      <w:r>
        <w:rPr>
          <w:rFonts w:ascii="Times New Roman" w:hAnsi="Times New Roman"/>
          <w:sz w:val="24"/>
          <w:szCs w:val="24"/>
          <w:lang w:val="sr-Cyrl-CS"/>
        </w:rPr>
        <w:t>. Према томе, порез је довео до повећања</w:t>
      </w:r>
      <w:r w:rsidR="001E6839">
        <w:rPr>
          <w:rFonts w:ascii="Times New Roman" w:hAnsi="Times New Roman"/>
          <w:sz w:val="24"/>
          <w:szCs w:val="24"/>
          <w:lang w:val="sr-Cyrl-CS"/>
        </w:rPr>
        <w:t xml:space="preserve"> радних активности. </w:t>
      </w:r>
    </w:p>
    <w:p w:rsidR="001E6839" w:rsidRDefault="001E6839" w:rsidP="001E6839">
      <w:pPr>
        <w:ind w:firstLine="708"/>
        <w:jc w:val="both"/>
        <w:rPr>
          <w:rFonts w:ascii="Times New Roman" w:hAnsi="Times New Roman"/>
          <w:sz w:val="24"/>
          <w:szCs w:val="24"/>
          <w:lang w:val="sr-Cyrl-CS"/>
        </w:rPr>
      </w:pPr>
      <w:r>
        <w:rPr>
          <w:rFonts w:ascii="Times New Roman" w:hAnsi="Times New Roman"/>
          <w:sz w:val="24"/>
          <w:szCs w:val="24"/>
        </w:rPr>
        <w:t>У досадашњој анализи реаговање радника на промене дохотка изазвано по</w:t>
      </w:r>
      <w:r>
        <w:rPr>
          <w:rFonts w:ascii="Times New Roman" w:hAnsi="Times New Roman"/>
          <w:sz w:val="24"/>
          <w:szCs w:val="24"/>
          <w:lang w:val="sr-Cyrl-CS"/>
        </w:rPr>
        <w:t>р</w:t>
      </w:r>
      <w:r>
        <w:rPr>
          <w:rFonts w:ascii="Times New Roman" w:hAnsi="Times New Roman"/>
          <w:sz w:val="24"/>
          <w:szCs w:val="24"/>
        </w:rPr>
        <w:t xml:space="preserve">езом једнако је његовом реаговању на раст радног напора, али то не мора да буде правило. Увођење пореза може да изазове осећај незадовољства, жељу да се одбаци и да се нанесе губитак држави смањењем радног напора, а тиме и пореске основице. Незадовољство порезом намеће код запослених жељу да раде само онолико колико је потребно да би остварили доходак </w:t>
      </w:r>
      <w:r w:rsidR="00087C35">
        <w:rPr>
          <w:rFonts w:ascii="Times New Roman" w:hAnsi="Times New Roman"/>
          <w:sz w:val="24"/>
          <w:szCs w:val="24"/>
          <w:lang w:val="sr-Cyrl-CS"/>
        </w:rPr>
        <w:t xml:space="preserve">потребан </w:t>
      </w:r>
      <w:r>
        <w:rPr>
          <w:rFonts w:ascii="Times New Roman" w:hAnsi="Times New Roman"/>
          <w:sz w:val="24"/>
          <w:szCs w:val="24"/>
        </w:rPr>
        <w:t xml:space="preserve">за егзистенцијални минимум. </w:t>
      </w:r>
      <w:r w:rsidR="00087C35">
        <w:rPr>
          <w:rFonts w:ascii="Times New Roman" w:hAnsi="Times New Roman"/>
          <w:sz w:val="24"/>
          <w:szCs w:val="24"/>
          <w:lang w:val="sr-Cyrl-CS"/>
        </w:rPr>
        <w:t>У случају постојања</w:t>
      </w:r>
      <w:r>
        <w:rPr>
          <w:rFonts w:ascii="Times New Roman" w:hAnsi="Times New Roman"/>
          <w:sz w:val="24"/>
          <w:szCs w:val="24"/>
        </w:rPr>
        <w:t xml:space="preserve"> </w:t>
      </w:r>
      <w:r w:rsidR="00087C35">
        <w:rPr>
          <w:rFonts w:ascii="Times New Roman" w:hAnsi="Times New Roman"/>
          <w:sz w:val="24"/>
          <w:szCs w:val="24"/>
        </w:rPr>
        <w:t>ефек</w:t>
      </w:r>
      <w:r w:rsidR="00087C35">
        <w:rPr>
          <w:rFonts w:ascii="Times New Roman" w:hAnsi="Times New Roman"/>
          <w:sz w:val="24"/>
          <w:szCs w:val="24"/>
          <w:lang w:val="sr-Cyrl-CS"/>
        </w:rPr>
        <w:t>та</w:t>
      </w:r>
      <w:r>
        <w:rPr>
          <w:rFonts w:ascii="Times New Roman" w:hAnsi="Times New Roman"/>
          <w:sz w:val="24"/>
          <w:szCs w:val="24"/>
        </w:rPr>
        <w:t xml:space="preserve"> супротстављања, настало смањење радног напора биће веће, или ће пораст бити знатно мањи, него што би био иначе.</w:t>
      </w:r>
      <w:r w:rsidR="00852883">
        <w:rPr>
          <w:rStyle w:val="FootnoteReference"/>
          <w:rFonts w:ascii="Times New Roman" w:hAnsi="Times New Roman"/>
          <w:sz w:val="24"/>
          <w:szCs w:val="24"/>
        </w:rPr>
        <w:footnoteReference w:id="144"/>
      </w:r>
      <w:r w:rsidR="00087C35">
        <w:rPr>
          <w:rFonts w:ascii="Times New Roman" w:hAnsi="Times New Roman"/>
          <w:sz w:val="24"/>
          <w:szCs w:val="24"/>
          <w:lang w:val="sr-Cyrl-CS"/>
        </w:rPr>
        <w:t xml:space="preserve"> </w:t>
      </w:r>
      <w:r>
        <w:rPr>
          <w:rFonts w:ascii="Times New Roman" w:hAnsi="Times New Roman"/>
          <w:sz w:val="24"/>
          <w:szCs w:val="24"/>
          <w:lang w:val="sr-Cyrl-CS"/>
        </w:rPr>
        <w:t xml:space="preserve">Из наведеног </w:t>
      </w:r>
      <w:r w:rsidR="00CB2B21">
        <w:rPr>
          <w:rFonts w:ascii="Times New Roman" w:hAnsi="Times New Roman"/>
          <w:sz w:val="24"/>
          <w:szCs w:val="24"/>
          <w:lang w:val="sr-Cyrl-CS"/>
        </w:rPr>
        <w:t xml:space="preserve">се види </w:t>
      </w:r>
      <w:r>
        <w:rPr>
          <w:rFonts w:ascii="Times New Roman" w:hAnsi="Times New Roman"/>
          <w:sz w:val="24"/>
          <w:szCs w:val="24"/>
          <w:lang w:val="sr-Cyrl-CS"/>
        </w:rPr>
        <w:t xml:space="preserve">сложеност и значај психолошких механизама који детерминишу овај феномен. </w:t>
      </w:r>
      <w:r w:rsidR="00CB2B21">
        <w:rPr>
          <w:rFonts w:ascii="Times New Roman" w:hAnsi="Times New Roman"/>
          <w:sz w:val="24"/>
          <w:szCs w:val="24"/>
          <w:lang w:val="sr-Cyrl-CS"/>
        </w:rPr>
        <w:t xml:space="preserve">Уколико се </w:t>
      </w:r>
      <w:r w:rsidR="00427744">
        <w:rPr>
          <w:rFonts w:ascii="Times New Roman" w:hAnsi="Times New Roman"/>
          <w:sz w:val="24"/>
          <w:szCs w:val="24"/>
          <w:lang w:val="sr-Cyrl-CS"/>
        </w:rPr>
        <w:t xml:space="preserve">обавеза </w:t>
      </w:r>
      <w:r w:rsidR="00CB2B21">
        <w:rPr>
          <w:rFonts w:ascii="Times New Roman" w:hAnsi="Times New Roman"/>
          <w:sz w:val="24"/>
          <w:szCs w:val="24"/>
          <w:lang w:val="sr-Cyrl-CS"/>
        </w:rPr>
        <w:t>плаћањ</w:t>
      </w:r>
      <w:r w:rsidR="00427744">
        <w:rPr>
          <w:rFonts w:ascii="Times New Roman" w:hAnsi="Times New Roman"/>
          <w:sz w:val="24"/>
          <w:szCs w:val="24"/>
          <w:lang w:val="sr-Cyrl-CS"/>
        </w:rPr>
        <w:t>а</w:t>
      </w:r>
      <w:r>
        <w:rPr>
          <w:rFonts w:ascii="Times New Roman" w:hAnsi="Times New Roman"/>
          <w:sz w:val="24"/>
          <w:szCs w:val="24"/>
          <w:lang w:val="sr-Cyrl-CS"/>
        </w:rPr>
        <w:t xml:space="preserve"> пореза буде </w:t>
      </w:r>
      <w:r w:rsidR="00427744">
        <w:rPr>
          <w:rFonts w:ascii="Times New Roman" w:hAnsi="Times New Roman"/>
          <w:sz w:val="24"/>
          <w:szCs w:val="24"/>
          <w:lang w:val="sr-Cyrl-CS"/>
        </w:rPr>
        <w:t>подржала</w:t>
      </w:r>
      <w:r w:rsidR="00CB2B21">
        <w:rPr>
          <w:rFonts w:ascii="Times New Roman" w:hAnsi="Times New Roman"/>
          <w:sz w:val="24"/>
          <w:szCs w:val="24"/>
          <w:lang w:val="sr-Cyrl-CS"/>
        </w:rPr>
        <w:t xml:space="preserve"> </w:t>
      </w:r>
      <w:r>
        <w:rPr>
          <w:rFonts w:ascii="Times New Roman" w:hAnsi="Times New Roman"/>
          <w:sz w:val="24"/>
          <w:szCs w:val="24"/>
          <w:lang w:val="sr-Cyrl-CS"/>
        </w:rPr>
        <w:t xml:space="preserve">у јавности као </w:t>
      </w:r>
      <w:r w:rsidR="00CB2B21">
        <w:rPr>
          <w:rFonts w:ascii="Times New Roman" w:hAnsi="Times New Roman"/>
          <w:sz w:val="24"/>
          <w:szCs w:val="24"/>
          <w:lang w:val="sr-Cyrl-CS"/>
        </w:rPr>
        <w:t>обавез</w:t>
      </w:r>
      <w:r w:rsidR="00427744">
        <w:rPr>
          <w:rFonts w:ascii="Times New Roman" w:hAnsi="Times New Roman"/>
          <w:sz w:val="24"/>
          <w:szCs w:val="24"/>
          <w:lang w:val="sr-Cyrl-CS"/>
        </w:rPr>
        <w:t>а</w:t>
      </w:r>
      <w:r w:rsidR="00CB2B21">
        <w:rPr>
          <w:rFonts w:ascii="Times New Roman" w:hAnsi="Times New Roman"/>
          <w:sz w:val="24"/>
          <w:szCs w:val="24"/>
          <w:lang w:val="sr-Cyrl-CS"/>
        </w:rPr>
        <w:t xml:space="preserve"> која је </w:t>
      </w:r>
      <w:r>
        <w:rPr>
          <w:rFonts w:ascii="Times New Roman" w:hAnsi="Times New Roman"/>
          <w:sz w:val="24"/>
          <w:szCs w:val="24"/>
          <w:lang w:val="sr-Cyrl-CS"/>
        </w:rPr>
        <w:t xml:space="preserve"> </w:t>
      </w:r>
      <w:r w:rsidR="00CB2B21">
        <w:rPr>
          <w:rFonts w:ascii="Times New Roman" w:hAnsi="Times New Roman"/>
          <w:sz w:val="24"/>
          <w:szCs w:val="24"/>
          <w:lang w:val="sr-Cyrl-CS"/>
        </w:rPr>
        <w:t>неопходно потребна држави</w:t>
      </w:r>
      <w:r>
        <w:rPr>
          <w:rFonts w:ascii="Times New Roman" w:hAnsi="Times New Roman"/>
          <w:sz w:val="24"/>
          <w:szCs w:val="24"/>
          <w:lang w:val="sr-Cyrl-CS"/>
        </w:rPr>
        <w:t>, то ће значити да су се стекли елементи подршке, уместо ефекта супротстављања.</w:t>
      </w:r>
      <w:r>
        <w:rPr>
          <w:rStyle w:val="FootnoteReference"/>
          <w:rFonts w:ascii="Times New Roman" w:hAnsi="Times New Roman"/>
          <w:sz w:val="24"/>
          <w:szCs w:val="24"/>
        </w:rPr>
        <w:footnoteReference w:id="145"/>
      </w:r>
      <w:r>
        <w:rPr>
          <w:rFonts w:ascii="Times New Roman" w:hAnsi="Times New Roman"/>
          <w:sz w:val="24"/>
          <w:szCs w:val="24"/>
          <w:lang w:val="sr-Cyrl-CS"/>
        </w:rPr>
        <w:t xml:space="preserve"> </w:t>
      </w:r>
    </w:p>
    <w:p w:rsidR="001E6839" w:rsidRPr="00DC7971" w:rsidRDefault="001E6839" w:rsidP="001E6839">
      <w:pPr>
        <w:ind w:firstLine="708"/>
        <w:jc w:val="both"/>
        <w:rPr>
          <w:rFonts w:ascii="Times New Roman" w:hAnsi="Times New Roman"/>
          <w:sz w:val="24"/>
          <w:szCs w:val="24"/>
          <w:lang w:val="sr-Cyrl-CS"/>
        </w:rPr>
      </w:pPr>
      <w:r>
        <w:rPr>
          <w:rFonts w:ascii="Times New Roman" w:hAnsi="Times New Roman"/>
          <w:sz w:val="24"/>
          <w:szCs w:val="24"/>
          <w:lang w:val="sr-Cyrl-CS"/>
        </w:rPr>
        <w:t xml:space="preserve">Феномен преваљивања пореског терета се јавља и код пословања предузећа јер плаћање непосредних пореза смањује добит и ликвидна средства предузећа. То приморава предузећа да воде политику повећања радног напора, у ком случају се ради о позитивној последици. Али може доћи и до негативног утицаја када је предузеће изгубило своју позицију на тржишту, у ком случају је држава дестимулативно деловала </w:t>
      </w:r>
      <w:r>
        <w:rPr>
          <w:rFonts w:ascii="Times New Roman" w:hAnsi="Times New Roman"/>
          <w:sz w:val="24"/>
          <w:szCs w:val="24"/>
          <w:lang w:val="sr-Cyrl-CS"/>
        </w:rPr>
        <w:lastRenderedPageBreak/>
        <w:t>на услове привређивања, својом пореском политиком, што дугорочно посматрано има негативне ефекте на фискалне приходе.</w:t>
      </w:r>
    </w:p>
    <w:p w:rsidR="001E6839" w:rsidRDefault="001E6839" w:rsidP="001E6839">
      <w:pPr>
        <w:ind w:firstLine="708"/>
        <w:jc w:val="both"/>
        <w:rPr>
          <w:rFonts w:ascii="Times New Roman" w:hAnsi="Times New Roman"/>
          <w:sz w:val="24"/>
          <w:szCs w:val="24"/>
          <w:lang w:val="sr-Cyrl-CS"/>
        </w:rPr>
      </w:pPr>
      <w:r>
        <w:rPr>
          <w:rFonts w:ascii="Times New Roman" w:hAnsi="Times New Roman"/>
          <w:sz w:val="24"/>
          <w:szCs w:val="24"/>
          <w:lang w:val="sr-Cyrl-CS"/>
        </w:rPr>
        <w:t>Схватања су била подељена и у погледу тога да ли су сви порези преваљиви, па су класични аутори сматрали да постоје порези који се не могу превалити. Према једном становишту у условима постојања и деловања монопола немогуће је преваљивање пореза. Међутим, данас преовлађује мишљење да се сви порези могу превалити, па и у условима постојања монопола, осим субјектних пореза. Увек треба поћи од претпоставке о преваљивости пор</w:t>
      </w:r>
      <w:r w:rsidR="00DD0AC8">
        <w:rPr>
          <w:rFonts w:ascii="Times New Roman" w:hAnsi="Times New Roman"/>
          <w:sz w:val="24"/>
          <w:szCs w:val="24"/>
          <w:lang w:val="sr-Cyrl-CS"/>
        </w:rPr>
        <w:t>еза. За преваљивање је неопходно</w:t>
      </w:r>
      <w:r>
        <w:rPr>
          <w:rFonts w:ascii="Times New Roman" w:hAnsi="Times New Roman"/>
          <w:sz w:val="24"/>
          <w:szCs w:val="24"/>
          <w:lang w:val="sr-Cyrl-CS"/>
        </w:rPr>
        <w:t xml:space="preserve"> да постоји тржишни механизам понуде и тражње, односно робно-новчани односи. Да ли ће до преваљивања доћи зависи од односа понуде и тражње.</w:t>
      </w:r>
      <w:r>
        <w:rPr>
          <w:rStyle w:val="FootnoteReference"/>
          <w:rFonts w:ascii="Times New Roman" w:hAnsi="Times New Roman"/>
          <w:sz w:val="24"/>
          <w:szCs w:val="24"/>
          <w:lang w:val="sr-Cyrl-CS"/>
        </w:rPr>
        <w:footnoteReference w:id="146"/>
      </w:r>
      <w:r>
        <w:rPr>
          <w:rFonts w:ascii="Times New Roman" w:hAnsi="Times New Roman"/>
          <w:sz w:val="24"/>
          <w:szCs w:val="24"/>
          <w:lang w:val="sr-Cyrl-CS"/>
        </w:rPr>
        <w:t xml:space="preserve"> </w:t>
      </w:r>
    </w:p>
    <w:p w:rsidR="002A44D5" w:rsidRDefault="002A44D5" w:rsidP="00A22DD5">
      <w:pPr>
        <w:ind w:firstLine="708"/>
        <w:jc w:val="both"/>
        <w:rPr>
          <w:rFonts w:ascii="Times New Roman" w:hAnsi="Times New Roman"/>
          <w:sz w:val="24"/>
          <w:szCs w:val="24"/>
          <w:lang w:val="sr-Cyrl-CS"/>
        </w:rPr>
      </w:pPr>
      <w:r>
        <w:rPr>
          <w:rFonts w:ascii="Times New Roman" w:hAnsi="Times New Roman"/>
          <w:sz w:val="24"/>
          <w:szCs w:val="24"/>
          <w:lang w:val="sr-Cyrl-CS"/>
        </w:rPr>
        <w:t>Посредни порези не смањују доходак, али доводе до раста цена, што даље води паду куповне снаге потрошача. Сви порези имају утицај на доходак и теже да смање потрошњу и да ограниче штедњу. Порез на доходак ће више смањити потрошњу уколико је доходак нижи, те самим тим неће бити склоности ка штедњи и обрнуто високи дохотци одражавају се негативно на штедњу уколико се иде од ниже ка вишој класи дохотка, а потрошњу задржавају на истом нивоу. Осим тога, феномен преваљивања утиче на рентабилност инвестиција јер повећава ризик улагања и смањује ниво очекиваних прихода инвеститора, који постају нерентабилни у поређењу са инвестицијама из неопорезованих прихода. Самим тим, утицај пореза је значајан приликом оцене инвестиционог подухвата, без обзира на то што  су инвестиције одређене, пре свега, каматом и нивоом националног дохотка.</w:t>
      </w:r>
      <w:r>
        <w:rPr>
          <w:rStyle w:val="FootnoteReference"/>
          <w:rFonts w:ascii="Times New Roman" w:hAnsi="Times New Roman"/>
          <w:sz w:val="24"/>
          <w:szCs w:val="24"/>
          <w:lang w:val="sr-Cyrl-CS"/>
        </w:rPr>
        <w:footnoteReference w:id="147"/>
      </w:r>
      <w:r>
        <w:rPr>
          <w:rFonts w:ascii="Times New Roman" w:hAnsi="Times New Roman"/>
          <w:sz w:val="24"/>
          <w:szCs w:val="24"/>
          <w:lang w:val="sr-Cyrl-CS"/>
        </w:rPr>
        <w:t xml:space="preserve"> </w:t>
      </w:r>
    </w:p>
    <w:p w:rsidR="001E6839" w:rsidRDefault="001E6839" w:rsidP="001E6839">
      <w:pPr>
        <w:jc w:val="both"/>
        <w:rPr>
          <w:rFonts w:ascii="Times New Roman" w:hAnsi="Times New Roman"/>
          <w:sz w:val="24"/>
          <w:szCs w:val="24"/>
          <w:lang w:val="sr-Cyrl-CS"/>
        </w:rPr>
      </w:pPr>
      <w:r>
        <w:rPr>
          <w:rFonts w:ascii="Times New Roman" w:hAnsi="Times New Roman"/>
          <w:sz w:val="24"/>
          <w:szCs w:val="24"/>
          <w:lang w:val="sr-Cyrl-CS"/>
        </w:rPr>
        <w:tab/>
        <w:t>Из свега наведеног произилази да је преваљивање пореза сложен процес, али се поједностављено може разврстати у четири фазе: перкусија, реперкусија, инциденца и дифузија.</w:t>
      </w:r>
    </w:p>
    <w:p w:rsidR="001E6839" w:rsidRDefault="001E6839" w:rsidP="001E6839">
      <w:pPr>
        <w:ind w:firstLine="360"/>
        <w:jc w:val="both"/>
        <w:rPr>
          <w:rFonts w:ascii="Times New Roman" w:hAnsi="Times New Roman"/>
          <w:sz w:val="24"/>
          <w:szCs w:val="24"/>
          <w:lang w:val="sr-Cyrl-CS"/>
        </w:rPr>
      </w:pPr>
      <w:r>
        <w:rPr>
          <w:rFonts w:ascii="Times New Roman" w:hAnsi="Times New Roman"/>
          <w:sz w:val="24"/>
          <w:szCs w:val="24"/>
          <w:lang w:val="sr-Cyrl-CS"/>
        </w:rPr>
        <w:t>Перкусија је прва фаза у процесу преваљивања. То је фаза настанка пореске обавезе у којој се означава пореска обавеза и порески обвезник који de iure треба да плати порез.</w:t>
      </w:r>
    </w:p>
    <w:p w:rsidR="001E6839" w:rsidRDefault="001E6839" w:rsidP="001E6839">
      <w:pPr>
        <w:ind w:firstLine="360"/>
        <w:jc w:val="both"/>
        <w:rPr>
          <w:rFonts w:ascii="Times New Roman" w:hAnsi="Times New Roman"/>
          <w:sz w:val="24"/>
          <w:szCs w:val="24"/>
          <w:lang w:val="sr-Cyrl-CS"/>
        </w:rPr>
      </w:pPr>
      <w:r>
        <w:rPr>
          <w:rFonts w:ascii="Times New Roman" w:hAnsi="Times New Roman"/>
          <w:sz w:val="24"/>
          <w:szCs w:val="24"/>
          <w:lang w:val="sr-Cyrl-CS"/>
        </w:rPr>
        <w:t xml:space="preserve">Реперкусија је друга фаза преваљивања у којој порески обвезник прихвата порески терет али и предузима мере да га пребаци на друго лице које de facto сноси пореску обавезу (унапред, уназад или бочно). То може учинити продавац тако што ће порез обухватити ценом својих производа и услуга, а купац тако што ће смањити смањити цену робе или услуга. </w:t>
      </w:r>
    </w:p>
    <w:p w:rsidR="001E6839" w:rsidRPr="00A0026E" w:rsidRDefault="001E6839" w:rsidP="001E6839">
      <w:pPr>
        <w:ind w:firstLine="360"/>
        <w:jc w:val="both"/>
        <w:rPr>
          <w:rFonts w:ascii="Times New Roman" w:hAnsi="Times New Roman"/>
          <w:sz w:val="24"/>
          <w:szCs w:val="24"/>
          <w:lang w:val="sr-Cyrl-CS"/>
        </w:rPr>
      </w:pPr>
      <w:r>
        <w:rPr>
          <w:rFonts w:ascii="Times New Roman" w:hAnsi="Times New Roman"/>
          <w:sz w:val="24"/>
          <w:szCs w:val="24"/>
          <w:lang w:val="sr-Cyrl-CS"/>
        </w:rPr>
        <w:t xml:space="preserve">Успех у преваљивању условљен је пре свега економским факторима. У условима понуде и тражње на тржишту порески обвезник користи осцилације понуде и тражње, приликом преваљивања пореског терета. Дакле, успех у преваљивању пореза условљен је пре свега еластичношћу тражње и понуде добара која су предмет опорезивања. </w:t>
      </w:r>
      <w:r>
        <w:rPr>
          <w:rFonts w:ascii="Times New Roman" w:hAnsi="Times New Roman"/>
          <w:sz w:val="24"/>
          <w:szCs w:val="24"/>
          <w:lang w:val="sr-Cyrl-CS"/>
        </w:rPr>
        <w:lastRenderedPageBreak/>
        <w:t xml:space="preserve">Еластичност тражње показује за колико процената се мења тражња за добром, када му се цена промени за 1%. Дакле, ценовна еластичност тражње мери колико тражена количина (тражња) реагује на промену цене. Формула ценовне еластичности тражње гласи:     </w:t>
      </w:r>
    </w:p>
    <w:p w:rsidR="001E6839" w:rsidRPr="000B0223" w:rsidRDefault="001E6839" w:rsidP="001E6839">
      <w:pPr>
        <w:pStyle w:val="NoSpacing"/>
      </w:pPr>
      <w:r w:rsidRPr="000B0223">
        <w:t xml:space="preserve">                                        &amp;D</w:t>
      </w:r>
    </w:p>
    <w:p w:rsidR="001E6839" w:rsidRPr="000B0223" w:rsidRDefault="001E6839" w:rsidP="001E6839">
      <w:pPr>
        <w:pStyle w:val="NoSpacing"/>
      </w:pPr>
      <w:r w:rsidRPr="000B0223">
        <w:t xml:space="preserve">                                        _____</w:t>
      </w:r>
    </w:p>
    <w:p w:rsidR="001E6839" w:rsidRPr="000B0223" w:rsidRDefault="001E6839" w:rsidP="001E6839">
      <w:pPr>
        <w:pStyle w:val="NoSpacing"/>
      </w:pPr>
      <w:r w:rsidRPr="000B0223">
        <w:t xml:space="preserve">                                           D</w:t>
      </w:r>
    </w:p>
    <w:p w:rsidR="001E6839" w:rsidRPr="000B0223" w:rsidRDefault="001E6839" w:rsidP="001E6839">
      <w:pPr>
        <w:pStyle w:val="NoSpacing"/>
      </w:pPr>
      <w:r w:rsidRPr="000B0223">
        <w:t xml:space="preserve">                            E(p) = ---------</w:t>
      </w:r>
    </w:p>
    <w:p w:rsidR="001E6839" w:rsidRPr="000B0223" w:rsidRDefault="001E6839" w:rsidP="001E6839">
      <w:pPr>
        <w:pStyle w:val="NoSpacing"/>
      </w:pPr>
      <w:r w:rsidRPr="000B0223">
        <w:t xml:space="preserve">                                          &amp;p</w:t>
      </w:r>
    </w:p>
    <w:p w:rsidR="001E6839" w:rsidRPr="000B0223" w:rsidRDefault="001E6839" w:rsidP="001E6839">
      <w:pPr>
        <w:pStyle w:val="NoSpacing"/>
      </w:pPr>
      <w:r w:rsidRPr="000B0223">
        <w:t xml:space="preserve">                                        ______</w:t>
      </w:r>
    </w:p>
    <w:p w:rsidR="001E6839" w:rsidRPr="000B0223" w:rsidRDefault="001E6839" w:rsidP="001E6839">
      <w:pPr>
        <w:pStyle w:val="NoSpacing"/>
      </w:pPr>
      <w:r w:rsidRPr="000B0223">
        <w:t xml:space="preserve">                                             p</w:t>
      </w:r>
    </w:p>
    <w:p w:rsidR="001E6839" w:rsidRDefault="001E6839" w:rsidP="001E6839">
      <w:pPr>
        <w:rPr>
          <w:rFonts w:ascii="Times New Roman" w:hAnsi="Times New Roman"/>
          <w:sz w:val="24"/>
          <w:szCs w:val="24"/>
        </w:rPr>
      </w:pPr>
    </w:p>
    <w:p w:rsidR="001E6839" w:rsidRPr="00642387" w:rsidRDefault="001E6839" w:rsidP="001E6839">
      <w:pPr>
        <w:jc w:val="both"/>
        <w:rPr>
          <w:rFonts w:ascii="Times New Roman" w:hAnsi="Times New Roman"/>
          <w:sz w:val="24"/>
          <w:szCs w:val="24"/>
          <w:lang w:val="sr-Cyrl-CS"/>
        </w:rPr>
      </w:pPr>
      <w:r>
        <w:rPr>
          <w:rFonts w:ascii="Times New Roman" w:hAnsi="Times New Roman"/>
          <w:sz w:val="24"/>
          <w:szCs w:val="24"/>
        </w:rPr>
        <w:t>D</w:t>
      </w:r>
      <w:r>
        <w:rPr>
          <w:rFonts w:ascii="Times New Roman" w:hAnsi="Times New Roman"/>
          <w:sz w:val="24"/>
          <w:szCs w:val="24"/>
          <w:lang w:val="sr-Cyrl-CS"/>
        </w:rPr>
        <w:t xml:space="preserve"> </w:t>
      </w:r>
      <w:r>
        <w:rPr>
          <w:rFonts w:ascii="Times New Roman" w:hAnsi="Times New Roman"/>
          <w:sz w:val="24"/>
          <w:szCs w:val="24"/>
        </w:rPr>
        <w:t xml:space="preserve">- </w:t>
      </w:r>
      <w:r>
        <w:rPr>
          <w:rFonts w:ascii="Times New Roman" w:hAnsi="Times New Roman"/>
          <w:sz w:val="24"/>
          <w:szCs w:val="24"/>
          <w:lang w:val="sr-Cyrl-CS"/>
        </w:rPr>
        <w:t>тражња,</w:t>
      </w:r>
    </w:p>
    <w:p w:rsidR="001E6839" w:rsidRPr="00642387" w:rsidRDefault="001E6839" w:rsidP="001E6839">
      <w:pPr>
        <w:jc w:val="both"/>
        <w:rPr>
          <w:rFonts w:ascii="Times New Roman" w:hAnsi="Times New Roman"/>
          <w:sz w:val="24"/>
          <w:szCs w:val="24"/>
          <w:lang w:val="sr-Cyrl-CS"/>
        </w:rPr>
      </w:pPr>
      <w:r>
        <w:rPr>
          <w:rFonts w:ascii="Times New Roman" w:hAnsi="Times New Roman"/>
          <w:sz w:val="24"/>
          <w:szCs w:val="24"/>
        </w:rPr>
        <w:t>P</w:t>
      </w:r>
      <w:r>
        <w:rPr>
          <w:rFonts w:ascii="Times New Roman" w:hAnsi="Times New Roman"/>
          <w:sz w:val="24"/>
          <w:szCs w:val="24"/>
          <w:lang w:val="sr-Cyrl-CS"/>
        </w:rPr>
        <w:t xml:space="preserve"> </w:t>
      </w:r>
      <w:r>
        <w:rPr>
          <w:rFonts w:ascii="Times New Roman" w:hAnsi="Times New Roman"/>
          <w:sz w:val="24"/>
          <w:szCs w:val="24"/>
        </w:rPr>
        <w:t>–</w:t>
      </w:r>
      <w:r>
        <w:rPr>
          <w:rFonts w:ascii="Times New Roman" w:hAnsi="Times New Roman"/>
          <w:sz w:val="24"/>
          <w:szCs w:val="24"/>
          <w:lang w:val="sr-Cyrl-CS"/>
        </w:rPr>
        <w:t xml:space="preserve"> цена.</w:t>
      </w:r>
    </w:p>
    <w:p w:rsidR="001E6839" w:rsidRDefault="001E6839" w:rsidP="001E6839">
      <w:pPr>
        <w:jc w:val="both"/>
        <w:rPr>
          <w:rFonts w:ascii="Times New Roman" w:hAnsi="Times New Roman"/>
          <w:sz w:val="24"/>
          <w:szCs w:val="24"/>
          <w:lang w:val="sr-Cyrl-CS"/>
        </w:rPr>
      </w:pPr>
      <w:r>
        <w:rPr>
          <w:rFonts w:ascii="Times New Roman" w:hAnsi="Times New Roman"/>
          <w:sz w:val="24"/>
          <w:szCs w:val="24"/>
        </w:rPr>
        <w:t>E(p)</w:t>
      </w:r>
      <w:r>
        <w:rPr>
          <w:rFonts w:ascii="Times New Roman" w:hAnsi="Times New Roman"/>
          <w:sz w:val="24"/>
          <w:szCs w:val="24"/>
          <w:lang w:val="sr-Cyrl-CS"/>
        </w:rPr>
        <w:t xml:space="preserve"> </w:t>
      </w:r>
      <w:r>
        <w:rPr>
          <w:rFonts w:ascii="Times New Roman" w:hAnsi="Times New Roman"/>
          <w:sz w:val="24"/>
          <w:szCs w:val="24"/>
        </w:rPr>
        <w:t>-</w:t>
      </w:r>
      <w:r>
        <w:rPr>
          <w:rFonts w:ascii="Times New Roman" w:hAnsi="Times New Roman"/>
          <w:sz w:val="24"/>
          <w:szCs w:val="24"/>
          <w:lang w:val="sr-Cyrl-CS"/>
        </w:rPr>
        <w:t xml:space="preserve">  може бити једнака јединици, већа од јединице и мања од јединице. Већи коефицјент од јединице значи еластичну тражњу, јер су процентуално веће промене у тражњи, а мањи коефицјент </w:t>
      </w:r>
      <w:r w:rsidR="006B1493">
        <w:rPr>
          <w:rFonts w:ascii="Times New Roman" w:hAnsi="Times New Roman"/>
          <w:sz w:val="24"/>
          <w:szCs w:val="24"/>
          <w:lang w:val="sr-Cyrl-CS"/>
        </w:rPr>
        <w:t xml:space="preserve">од јединице </w:t>
      </w:r>
      <w:r>
        <w:rPr>
          <w:rFonts w:ascii="Times New Roman" w:hAnsi="Times New Roman"/>
          <w:sz w:val="24"/>
          <w:szCs w:val="24"/>
          <w:lang w:val="sr-Cyrl-CS"/>
        </w:rPr>
        <w:t>означава нееластичну тражњу.</w:t>
      </w:r>
      <w:r w:rsidR="006B1493">
        <w:rPr>
          <w:rStyle w:val="FootnoteReference"/>
          <w:rFonts w:ascii="Times New Roman" w:hAnsi="Times New Roman"/>
          <w:sz w:val="24"/>
          <w:szCs w:val="24"/>
          <w:lang w:val="sr-Cyrl-CS"/>
        </w:rPr>
        <w:footnoteReference w:id="148"/>
      </w:r>
    </w:p>
    <w:p w:rsidR="001E6839" w:rsidRDefault="001E6839" w:rsidP="001E6839">
      <w:pPr>
        <w:ind w:firstLine="708"/>
        <w:jc w:val="both"/>
        <w:rPr>
          <w:rFonts w:ascii="Times New Roman" w:hAnsi="Times New Roman"/>
          <w:sz w:val="24"/>
          <w:szCs w:val="24"/>
          <w:lang w:val="sr-Cyrl-CS"/>
        </w:rPr>
      </w:pPr>
      <w:r>
        <w:rPr>
          <w:rFonts w:ascii="Times New Roman" w:hAnsi="Times New Roman"/>
          <w:sz w:val="24"/>
          <w:szCs w:val="24"/>
          <w:lang w:val="sr-Cyrl-CS"/>
        </w:rPr>
        <w:t>Са друге стране, еластичност понуде показује за колико се процената мења понуда добра, када му се цена промени за 1%. Дакле, ценовна еластичност понуде мери колико понуђена количина реагује на промену цене. Формула ценовне еластичности понуде гласи:</w:t>
      </w:r>
    </w:p>
    <w:p w:rsidR="001E6839" w:rsidRDefault="001E6839" w:rsidP="001E6839">
      <w:pPr>
        <w:pStyle w:val="NoSpacing"/>
      </w:pPr>
      <w:r>
        <w:t xml:space="preserve">                                           &amp;S</w:t>
      </w:r>
    </w:p>
    <w:p w:rsidR="001E6839" w:rsidRDefault="001E6839" w:rsidP="001E6839">
      <w:pPr>
        <w:pStyle w:val="NoSpacing"/>
      </w:pPr>
      <w:r>
        <w:t xml:space="preserve">                                          _____</w:t>
      </w:r>
    </w:p>
    <w:p w:rsidR="001E6839" w:rsidRDefault="001E6839" w:rsidP="001E6839">
      <w:pPr>
        <w:pStyle w:val="NoSpacing"/>
      </w:pPr>
      <w:r>
        <w:t xml:space="preserve">                                             S</w:t>
      </w:r>
    </w:p>
    <w:p w:rsidR="001E6839" w:rsidRDefault="001E6839" w:rsidP="001E6839">
      <w:pPr>
        <w:pStyle w:val="NoSpacing"/>
      </w:pPr>
      <w:r>
        <w:t xml:space="preserve">                                E(s) = --------</w:t>
      </w:r>
    </w:p>
    <w:p w:rsidR="001E6839" w:rsidRDefault="001E6839" w:rsidP="001E6839">
      <w:pPr>
        <w:pStyle w:val="NoSpacing"/>
      </w:pPr>
      <w:r>
        <w:t xml:space="preserve">                                             &amp;p</w:t>
      </w:r>
    </w:p>
    <w:p w:rsidR="001E6839" w:rsidRDefault="001E6839" w:rsidP="001E6839">
      <w:pPr>
        <w:pStyle w:val="NoSpacing"/>
      </w:pPr>
      <w:r>
        <w:t xml:space="preserve">                                           _____</w:t>
      </w:r>
    </w:p>
    <w:p w:rsidR="001E6839" w:rsidRDefault="001E6839" w:rsidP="001E6839">
      <w:pPr>
        <w:pStyle w:val="NoSpacing"/>
      </w:pPr>
      <w:r>
        <w:t xml:space="preserve">                                                  p</w:t>
      </w:r>
    </w:p>
    <w:p w:rsidR="001E6839" w:rsidRPr="008E1E23" w:rsidRDefault="001E6839" w:rsidP="001E6839">
      <w:pPr>
        <w:jc w:val="both"/>
        <w:rPr>
          <w:rFonts w:ascii="Times New Roman" w:hAnsi="Times New Roman"/>
          <w:sz w:val="24"/>
          <w:szCs w:val="24"/>
        </w:rPr>
      </w:pPr>
    </w:p>
    <w:p w:rsidR="001E6839" w:rsidRPr="008E1E23" w:rsidRDefault="001E6839" w:rsidP="001E6839">
      <w:pPr>
        <w:jc w:val="both"/>
        <w:rPr>
          <w:rFonts w:ascii="Times New Roman" w:hAnsi="Times New Roman"/>
          <w:sz w:val="24"/>
          <w:szCs w:val="24"/>
          <w:lang w:val="sr-Cyrl-CS"/>
        </w:rPr>
      </w:pPr>
      <w:r>
        <w:rPr>
          <w:rFonts w:ascii="Times New Roman" w:hAnsi="Times New Roman"/>
          <w:sz w:val="24"/>
          <w:szCs w:val="24"/>
        </w:rPr>
        <w:t>S – понуда,</w:t>
      </w:r>
    </w:p>
    <w:p w:rsidR="001E6839" w:rsidRPr="008E1E23" w:rsidRDefault="001E6839" w:rsidP="001E6839">
      <w:pPr>
        <w:jc w:val="both"/>
        <w:rPr>
          <w:rFonts w:ascii="Times New Roman" w:hAnsi="Times New Roman"/>
          <w:sz w:val="24"/>
          <w:szCs w:val="24"/>
          <w:lang w:val="sr-Cyrl-CS"/>
        </w:rPr>
      </w:pPr>
      <w:r>
        <w:rPr>
          <w:rFonts w:ascii="Times New Roman" w:hAnsi="Times New Roman"/>
          <w:sz w:val="24"/>
          <w:szCs w:val="24"/>
        </w:rPr>
        <w:t>p –</w:t>
      </w:r>
      <w:r>
        <w:rPr>
          <w:rFonts w:ascii="Times New Roman" w:hAnsi="Times New Roman"/>
          <w:sz w:val="24"/>
          <w:szCs w:val="24"/>
          <w:lang w:val="sr-Cyrl-CS"/>
        </w:rPr>
        <w:t xml:space="preserve"> цена.</w:t>
      </w:r>
    </w:p>
    <w:p w:rsidR="001E6839" w:rsidRDefault="001E6839" w:rsidP="001E6839">
      <w:pPr>
        <w:jc w:val="both"/>
        <w:rPr>
          <w:rFonts w:ascii="Times New Roman" w:hAnsi="Times New Roman"/>
          <w:sz w:val="24"/>
          <w:szCs w:val="24"/>
          <w:lang w:val="sr-Cyrl-CS"/>
        </w:rPr>
      </w:pPr>
      <w:r>
        <w:rPr>
          <w:rFonts w:ascii="Times New Roman" w:hAnsi="Times New Roman"/>
          <w:sz w:val="24"/>
          <w:szCs w:val="24"/>
        </w:rPr>
        <w:t>E(s) –</w:t>
      </w:r>
      <w:r>
        <w:rPr>
          <w:rFonts w:ascii="Times New Roman" w:hAnsi="Times New Roman"/>
          <w:sz w:val="24"/>
          <w:szCs w:val="24"/>
          <w:lang w:val="sr-Cyrl-CS"/>
        </w:rPr>
        <w:t xml:space="preserve"> може бити једнака јединици, већа или мања од јединице. Ако је коефицијент еластичности понуде већи од јединице, понуда је еластична, је су процентулно веће промене у понуди у односу на промене у цени.</w:t>
      </w:r>
      <w:r>
        <w:rPr>
          <w:rStyle w:val="FootnoteReference"/>
          <w:rFonts w:ascii="Times New Roman" w:hAnsi="Times New Roman"/>
          <w:sz w:val="24"/>
          <w:szCs w:val="24"/>
          <w:lang w:val="sr-Cyrl-CS"/>
        </w:rPr>
        <w:footnoteReference w:id="149"/>
      </w:r>
    </w:p>
    <w:p w:rsidR="001E6839" w:rsidRPr="00C6772E" w:rsidRDefault="003F78E1" w:rsidP="001E6839">
      <w:pPr>
        <w:ind w:firstLine="708"/>
        <w:jc w:val="both"/>
        <w:rPr>
          <w:rFonts w:ascii="Times New Roman" w:hAnsi="Times New Roman"/>
          <w:sz w:val="24"/>
          <w:szCs w:val="24"/>
          <w:lang w:val="sr-Cyrl-CS"/>
        </w:rPr>
      </w:pPr>
      <w:r>
        <w:rPr>
          <w:rFonts w:ascii="Times New Roman" w:hAnsi="Times New Roman"/>
          <w:sz w:val="24"/>
          <w:szCs w:val="24"/>
          <w:lang w:val="sr-Cyrl-CS"/>
        </w:rPr>
        <w:lastRenderedPageBreak/>
        <w:t>Коефицијент</w:t>
      </w:r>
      <w:r w:rsidR="001E6839">
        <w:rPr>
          <w:rFonts w:ascii="Times New Roman" w:hAnsi="Times New Roman"/>
          <w:sz w:val="24"/>
          <w:szCs w:val="24"/>
          <w:lang w:val="sr-Cyrl-CS"/>
        </w:rPr>
        <w:t xml:space="preserve"> ценовне еластичности понуде</w:t>
      </w:r>
      <w:r>
        <w:rPr>
          <w:rFonts w:ascii="Times New Roman" w:hAnsi="Times New Roman"/>
          <w:sz w:val="24"/>
          <w:szCs w:val="24"/>
          <w:lang w:val="sr-Cyrl-CS"/>
        </w:rPr>
        <w:t xml:space="preserve"> приказује однос између кретања понуде и цена производа, односно</w:t>
      </w:r>
      <w:r w:rsidR="001E6839">
        <w:rPr>
          <w:rFonts w:ascii="Times New Roman" w:hAnsi="Times New Roman"/>
          <w:sz w:val="24"/>
          <w:szCs w:val="24"/>
          <w:lang w:val="sr-Cyrl-CS"/>
        </w:rPr>
        <w:t xml:space="preserve"> изражава однос између процент</w:t>
      </w:r>
      <w:r w:rsidR="003F27BE">
        <w:rPr>
          <w:rFonts w:ascii="Times New Roman" w:hAnsi="Times New Roman"/>
          <w:sz w:val="24"/>
          <w:szCs w:val="24"/>
          <w:lang w:val="sr-Cyrl-CS"/>
        </w:rPr>
        <w:t>у</w:t>
      </w:r>
      <w:r w:rsidR="001E6839">
        <w:rPr>
          <w:rFonts w:ascii="Times New Roman" w:hAnsi="Times New Roman"/>
          <w:sz w:val="24"/>
          <w:szCs w:val="24"/>
          <w:lang w:val="sr-Cyrl-CS"/>
        </w:rPr>
        <w:t xml:space="preserve">алне промене у обиму понуђене количине </w:t>
      </w:r>
      <w:r>
        <w:rPr>
          <w:rFonts w:ascii="Times New Roman" w:hAnsi="Times New Roman"/>
          <w:sz w:val="24"/>
          <w:szCs w:val="24"/>
          <w:lang w:val="sr-Cyrl-CS"/>
        </w:rPr>
        <w:t xml:space="preserve">и </w:t>
      </w:r>
      <w:r w:rsidR="001E6839">
        <w:rPr>
          <w:rFonts w:ascii="Times New Roman" w:hAnsi="Times New Roman"/>
          <w:sz w:val="24"/>
          <w:szCs w:val="24"/>
          <w:lang w:val="sr-Cyrl-CS"/>
        </w:rPr>
        <w:t xml:space="preserve">у нивоу тржишних цена </w:t>
      </w:r>
      <w:r>
        <w:rPr>
          <w:rFonts w:ascii="Times New Roman" w:hAnsi="Times New Roman"/>
          <w:sz w:val="24"/>
          <w:szCs w:val="24"/>
          <w:lang w:val="sr-Cyrl-CS"/>
        </w:rPr>
        <w:t>неке</w:t>
      </w:r>
      <w:r w:rsidR="001E6839">
        <w:rPr>
          <w:rFonts w:ascii="Times New Roman" w:hAnsi="Times New Roman"/>
          <w:sz w:val="24"/>
          <w:szCs w:val="24"/>
          <w:lang w:val="sr-Cyrl-CS"/>
        </w:rPr>
        <w:t xml:space="preserve"> робе. </w:t>
      </w:r>
      <w:r>
        <w:rPr>
          <w:rFonts w:ascii="Times New Roman" w:hAnsi="Times New Roman"/>
          <w:sz w:val="24"/>
          <w:szCs w:val="24"/>
          <w:lang w:val="sr-Cyrl-CS"/>
        </w:rPr>
        <w:t>Крајњи</w:t>
      </w:r>
      <w:r w:rsidR="001E6839">
        <w:rPr>
          <w:rFonts w:ascii="Times New Roman" w:hAnsi="Times New Roman"/>
          <w:sz w:val="24"/>
          <w:szCs w:val="24"/>
          <w:lang w:val="sr-Cyrl-CS"/>
        </w:rPr>
        <w:t xml:space="preserve"> случајеви су када је коефицијент ценовне еластичности једнак нули</w:t>
      </w:r>
      <w:r>
        <w:rPr>
          <w:rFonts w:ascii="Times New Roman" w:hAnsi="Times New Roman"/>
          <w:sz w:val="24"/>
          <w:szCs w:val="24"/>
          <w:lang w:val="sr-Cyrl-CS"/>
        </w:rPr>
        <w:t xml:space="preserve"> и тада се ради о савршено нееластичној понуди  у ком случају је крива понуде вертикална и независна од кретања цена и када је бесконачно велики и тада се ради </w:t>
      </w:r>
      <w:r w:rsidR="001E6839">
        <w:rPr>
          <w:rFonts w:ascii="Times New Roman" w:hAnsi="Times New Roman"/>
          <w:sz w:val="24"/>
          <w:szCs w:val="24"/>
          <w:lang w:val="sr-Cyrl-CS"/>
        </w:rPr>
        <w:t>о савршено еластичној понуди на промену цена</w:t>
      </w:r>
      <w:r>
        <w:rPr>
          <w:rFonts w:ascii="Times New Roman" w:hAnsi="Times New Roman"/>
          <w:sz w:val="24"/>
          <w:szCs w:val="24"/>
          <w:lang w:val="sr-Cyrl-CS"/>
        </w:rPr>
        <w:t xml:space="preserve"> у ком случају је крива понуде </w:t>
      </w:r>
      <w:r w:rsidR="001E6839">
        <w:rPr>
          <w:rFonts w:ascii="Times New Roman" w:hAnsi="Times New Roman"/>
          <w:sz w:val="24"/>
          <w:szCs w:val="24"/>
          <w:lang w:val="sr-Cyrl-CS"/>
        </w:rPr>
        <w:t>хоризонтална у односу на цене</w:t>
      </w:r>
      <w:r>
        <w:rPr>
          <w:rFonts w:ascii="Times New Roman" w:hAnsi="Times New Roman"/>
          <w:sz w:val="24"/>
          <w:szCs w:val="24"/>
          <w:lang w:val="sr-Cyrl-CS"/>
        </w:rPr>
        <w:t>.</w:t>
      </w:r>
      <w:r w:rsidR="001E6839">
        <w:rPr>
          <w:rStyle w:val="FootnoteReference"/>
          <w:rFonts w:ascii="Times New Roman" w:hAnsi="Times New Roman"/>
          <w:sz w:val="24"/>
          <w:szCs w:val="24"/>
          <w:lang w:val="sr-Cyrl-CS"/>
        </w:rPr>
        <w:footnoteReference w:id="150"/>
      </w:r>
      <w:r w:rsidR="001E6839">
        <w:rPr>
          <w:rFonts w:ascii="Times New Roman" w:hAnsi="Times New Roman"/>
          <w:sz w:val="24"/>
          <w:szCs w:val="24"/>
          <w:lang w:val="sr-Cyrl-CS"/>
        </w:rPr>
        <w:t xml:space="preserve"> Код нееластичне тражње (основне егзистенцијалне намирнице) порез се лако преваљује на крајњег потрошача. </w:t>
      </w:r>
    </w:p>
    <w:p w:rsidR="001E6839" w:rsidRDefault="0000615A" w:rsidP="001E6839">
      <w:pPr>
        <w:ind w:firstLine="708"/>
        <w:jc w:val="both"/>
        <w:rPr>
          <w:rFonts w:ascii="Times New Roman" w:hAnsi="Times New Roman"/>
          <w:sz w:val="24"/>
          <w:szCs w:val="24"/>
          <w:lang w:val="sr-Cyrl-CS"/>
        </w:rPr>
      </w:pPr>
      <w:r>
        <w:rPr>
          <w:rFonts w:ascii="Times New Roman" w:hAnsi="Times New Roman"/>
          <w:sz w:val="24"/>
          <w:szCs w:val="24"/>
          <w:lang w:val="sr-Cyrl-CS"/>
        </w:rPr>
        <w:t>Т</w:t>
      </w:r>
      <w:r w:rsidR="001E6839">
        <w:rPr>
          <w:rFonts w:ascii="Times New Roman" w:hAnsi="Times New Roman"/>
          <w:sz w:val="24"/>
          <w:szCs w:val="24"/>
          <w:lang w:val="sr-Cyrl-CS"/>
        </w:rPr>
        <w:t>рећа фаза у преваљивању пореза</w:t>
      </w:r>
      <w:r>
        <w:rPr>
          <w:rFonts w:ascii="Times New Roman" w:hAnsi="Times New Roman"/>
          <w:sz w:val="24"/>
          <w:szCs w:val="24"/>
          <w:lang w:val="sr-Cyrl-CS"/>
        </w:rPr>
        <w:t xml:space="preserve"> је инциденца</w:t>
      </w:r>
      <w:r w:rsidR="001E6839">
        <w:rPr>
          <w:rFonts w:ascii="Times New Roman" w:hAnsi="Times New Roman"/>
          <w:sz w:val="24"/>
          <w:szCs w:val="24"/>
          <w:lang w:val="sr-Cyrl-CS"/>
        </w:rPr>
        <w:t xml:space="preserve">, код које лице на које је пребачен порески терет исти стварно и сноси </w:t>
      </w:r>
      <w:r w:rsidR="001E6839">
        <w:rPr>
          <w:rFonts w:ascii="Times New Roman" w:hAnsi="Times New Roman"/>
          <w:sz w:val="24"/>
          <w:szCs w:val="24"/>
        </w:rPr>
        <w:t xml:space="preserve">de facto </w:t>
      </w:r>
      <w:r w:rsidR="001E6839">
        <w:rPr>
          <w:rFonts w:ascii="Times New Roman" w:hAnsi="Times New Roman"/>
          <w:sz w:val="24"/>
          <w:szCs w:val="24"/>
          <w:lang w:val="sr-Cyrl-CS"/>
        </w:rPr>
        <w:t xml:space="preserve">и постаје коначни платац или дестинатар. Инциденца може </w:t>
      </w:r>
      <w:r>
        <w:rPr>
          <w:rFonts w:ascii="Times New Roman" w:hAnsi="Times New Roman"/>
          <w:sz w:val="24"/>
          <w:szCs w:val="24"/>
          <w:lang w:val="sr-Cyrl-CS"/>
        </w:rPr>
        <w:t>довести до повећаног радног напора у циљу спречавања</w:t>
      </w:r>
      <w:r w:rsidR="001E6839">
        <w:rPr>
          <w:rFonts w:ascii="Times New Roman" w:hAnsi="Times New Roman"/>
          <w:sz w:val="24"/>
          <w:szCs w:val="24"/>
          <w:lang w:val="sr-Cyrl-CS"/>
        </w:rPr>
        <w:t xml:space="preserve"> пад</w:t>
      </w:r>
      <w:r>
        <w:rPr>
          <w:rFonts w:ascii="Times New Roman" w:hAnsi="Times New Roman"/>
          <w:sz w:val="24"/>
          <w:szCs w:val="24"/>
          <w:lang w:val="sr-Cyrl-CS"/>
        </w:rPr>
        <w:t>а</w:t>
      </w:r>
      <w:r w:rsidR="001E6839">
        <w:rPr>
          <w:rFonts w:ascii="Times New Roman" w:hAnsi="Times New Roman"/>
          <w:sz w:val="24"/>
          <w:szCs w:val="24"/>
          <w:lang w:val="sr-Cyrl-CS"/>
        </w:rPr>
        <w:t xml:space="preserve"> дохотка због увођења пореза. </w:t>
      </w:r>
      <w:r>
        <w:rPr>
          <w:rFonts w:ascii="Times New Roman" w:hAnsi="Times New Roman"/>
          <w:sz w:val="24"/>
          <w:szCs w:val="24"/>
          <w:lang w:val="sr-Cyrl-CS"/>
        </w:rPr>
        <w:t>Међутим,</w:t>
      </w:r>
      <w:r w:rsidR="001E6839">
        <w:rPr>
          <w:rFonts w:ascii="Times New Roman" w:hAnsi="Times New Roman"/>
          <w:sz w:val="24"/>
          <w:szCs w:val="24"/>
          <w:lang w:val="sr-Cyrl-CS"/>
        </w:rPr>
        <w:t xml:space="preserve"> може </w:t>
      </w:r>
      <w:r>
        <w:rPr>
          <w:rFonts w:ascii="Times New Roman" w:hAnsi="Times New Roman"/>
          <w:sz w:val="24"/>
          <w:szCs w:val="24"/>
          <w:lang w:val="sr-Cyrl-CS"/>
        </w:rPr>
        <w:t>се десити и супротно јер у</w:t>
      </w:r>
      <w:r w:rsidR="001E6839">
        <w:rPr>
          <w:rFonts w:ascii="Times New Roman" w:hAnsi="Times New Roman"/>
          <w:sz w:val="24"/>
          <w:szCs w:val="24"/>
          <w:lang w:val="sr-Cyrl-CS"/>
        </w:rPr>
        <w:t>вођење пореза може да изазове осећање незадовољства, жељу да се одбаци и да се нанесе губитак држави, смањењем радног напора, а тиме и пореске основице.</w:t>
      </w:r>
      <w:r w:rsidR="001E6839">
        <w:rPr>
          <w:rStyle w:val="FootnoteReference"/>
          <w:rFonts w:ascii="Times New Roman" w:hAnsi="Times New Roman"/>
          <w:sz w:val="24"/>
          <w:szCs w:val="24"/>
          <w:lang w:val="sr-Cyrl-CS"/>
        </w:rPr>
        <w:footnoteReference w:id="151"/>
      </w:r>
      <w:r w:rsidR="001E6839">
        <w:rPr>
          <w:rFonts w:ascii="Times New Roman" w:hAnsi="Times New Roman"/>
          <w:sz w:val="24"/>
          <w:szCs w:val="24"/>
          <w:lang w:val="sr-Cyrl-CS"/>
        </w:rPr>
        <w:t xml:space="preserve"> Инциденца може изазвати и смањење потрошње и штедње, као и смањење инвестиција. </w:t>
      </w:r>
    </w:p>
    <w:p w:rsidR="001E6839" w:rsidRDefault="00113925" w:rsidP="001E6839">
      <w:pPr>
        <w:ind w:firstLine="708"/>
        <w:jc w:val="both"/>
        <w:rPr>
          <w:rFonts w:ascii="Times New Roman" w:hAnsi="Times New Roman"/>
          <w:sz w:val="24"/>
          <w:szCs w:val="24"/>
          <w:lang w:val="sr-Cyrl-CS"/>
        </w:rPr>
      </w:pPr>
      <w:r>
        <w:rPr>
          <w:rFonts w:ascii="Times New Roman" w:hAnsi="Times New Roman"/>
          <w:sz w:val="24"/>
          <w:szCs w:val="24"/>
          <w:lang w:val="sr-Cyrl-CS"/>
        </w:rPr>
        <w:t>Елементи еластичности имају одлучујућу улогу к</w:t>
      </w:r>
      <w:r w:rsidR="001E6839">
        <w:rPr>
          <w:rFonts w:ascii="Times New Roman" w:hAnsi="Times New Roman"/>
          <w:sz w:val="24"/>
          <w:szCs w:val="24"/>
          <w:lang w:val="sr-Cyrl-CS"/>
        </w:rPr>
        <w:t>од смањења потрошње услед инциденце</w:t>
      </w:r>
      <w:r>
        <w:rPr>
          <w:rFonts w:ascii="Times New Roman" w:hAnsi="Times New Roman"/>
          <w:sz w:val="24"/>
          <w:szCs w:val="24"/>
          <w:lang w:val="sr-Cyrl-CS"/>
        </w:rPr>
        <w:t xml:space="preserve"> јер п</w:t>
      </w:r>
      <w:r w:rsidR="001E6839">
        <w:rPr>
          <w:rFonts w:ascii="Times New Roman" w:hAnsi="Times New Roman"/>
          <w:sz w:val="24"/>
          <w:szCs w:val="24"/>
          <w:lang w:val="sr-Cyrl-CS"/>
        </w:rPr>
        <w:t xml:space="preserve">отрошња производа зависи од коефицјента еластичности тражње производа и услуга. Уколико је тражња производа савршено нееластична, инциденца неће утицати </w:t>
      </w:r>
      <w:r>
        <w:rPr>
          <w:rFonts w:ascii="Times New Roman" w:hAnsi="Times New Roman"/>
          <w:sz w:val="24"/>
          <w:szCs w:val="24"/>
          <w:lang w:val="sr-Cyrl-CS"/>
        </w:rPr>
        <w:t>на квантитет потрошње производа, као што је</w:t>
      </w:r>
      <w:r w:rsidR="001E6839">
        <w:rPr>
          <w:rFonts w:ascii="Times New Roman" w:hAnsi="Times New Roman"/>
          <w:sz w:val="24"/>
          <w:szCs w:val="24"/>
          <w:lang w:val="sr-Cyrl-CS"/>
        </w:rPr>
        <w:t xml:space="preserve"> случај са потрошњом основних егзистенцијалних намирница (хлеб, млеко). </w:t>
      </w:r>
      <w:r>
        <w:rPr>
          <w:rFonts w:ascii="Times New Roman" w:hAnsi="Times New Roman"/>
          <w:sz w:val="24"/>
          <w:szCs w:val="24"/>
          <w:lang w:val="sr-Cyrl-CS"/>
        </w:rPr>
        <w:t>Али уколико</w:t>
      </w:r>
      <w:r w:rsidR="001E6839">
        <w:rPr>
          <w:rFonts w:ascii="Times New Roman" w:hAnsi="Times New Roman"/>
          <w:sz w:val="24"/>
          <w:szCs w:val="24"/>
          <w:lang w:val="sr-Cyrl-CS"/>
        </w:rPr>
        <w:t xml:space="preserve"> је потрошња производа еластична, инциденца ће условити промену у потрошњи. </w:t>
      </w:r>
      <w:r>
        <w:rPr>
          <w:rFonts w:ascii="Times New Roman" w:hAnsi="Times New Roman"/>
          <w:sz w:val="24"/>
          <w:szCs w:val="24"/>
          <w:lang w:val="sr-Cyrl-CS"/>
        </w:rPr>
        <w:t>На основу наведеног, може се закључити</w:t>
      </w:r>
      <w:r w:rsidR="001E6839">
        <w:rPr>
          <w:rFonts w:ascii="Times New Roman" w:hAnsi="Times New Roman"/>
          <w:sz w:val="24"/>
          <w:szCs w:val="24"/>
          <w:lang w:val="sr-Cyrl-CS"/>
        </w:rPr>
        <w:t xml:space="preserve"> да порез на животне потребе пада теже на потрошњу од пореза на луксуз.</w:t>
      </w:r>
      <w:r w:rsidR="001E6839">
        <w:rPr>
          <w:rStyle w:val="FootnoteReference"/>
          <w:rFonts w:ascii="Times New Roman" w:hAnsi="Times New Roman"/>
          <w:sz w:val="24"/>
          <w:szCs w:val="24"/>
          <w:lang w:val="sr-Cyrl-CS"/>
        </w:rPr>
        <w:footnoteReference w:id="152"/>
      </w:r>
    </w:p>
    <w:p w:rsidR="001E6839" w:rsidRDefault="001E6839" w:rsidP="001E6839">
      <w:pPr>
        <w:ind w:firstLine="708"/>
        <w:jc w:val="both"/>
        <w:rPr>
          <w:rFonts w:ascii="Times New Roman" w:hAnsi="Times New Roman"/>
          <w:sz w:val="24"/>
          <w:szCs w:val="24"/>
          <w:lang w:val="sr-Cyrl-CS"/>
        </w:rPr>
      </w:pPr>
      <w:r>
        <w:rPr>
          <w:rFonts w:ascii="Times New Roman" w:hAnsi="Times New Roman"/>
          <w:sz w:val="24"/>
          <w:szCs w:val="24"/>
          <w:lang w:val="sr-Cyrl-CS"/>
        </w:rPr>
        <w:t>Дифузија је последња фаза у преваљивању пореза и одражава се на целокупу привреду кроз осцилације понуде и тражње. Ова фаза изражава опште ефекте опорезивања који се огледају кроз смањење економске снаге пореског дестинатара, што даље води до промене у односима понуде и тражње, цена, висини плата и сл.</w:t>
      </w:r>
    </w:p>
    <w:p w:rsidR="001E6839" w:rsidRDefault="001E6839" w:rsidP="001E6839">
      <w:pPr>
        <w:ind w:firstLine="708"/>
        <w:jc w:val="both"/>
        <w:rPr>
          <w:rFonts w:ascii="Times New Roman" w:hAnsi="Times New Roman"/>
          <w:sz w:val="24"/>
          <w:szCs w:val="24"/>
          <w:lang w:val="sr-Cyrl-CS"/>
        </w:rPr>
      </w:pPr>
      <w:r>
        <w:rPr>
          <w:rFonts w:ascii="Times New Roman" w:hAnsi="Times New Roman"/>
          <w:sz w:val="24"/>
          <w:szCs w:val="24"/>
          <w:lang w:val="sr-Cyrl-CS"/>
        </w:rPr>
        <w:t xml:space="preserve">У крајњој линији, од степена еластичности понуде и тражње зависи степен преваљивања. Ту треба правити разлику између луксузне робе, код које је потражња еластичнија, јер раст цена те робе, услед опорезивања, доводи до мање тражње те робе. Међутим, код прехрамбених производа и других егзистенцијалних роба ситуација је другачија. Повећање цена доводи до тога да продавци могу лако превалити порез на </w:t>
      </w:r>
      <w:r>
        <w:rPr>
          <w:rFonts w:ascii="Times New Roman" w:hAnsi="Times New Roman"/>
          <w:sz w:val="24"/>
          <w:szCs w:val="24"/>
          <w:lang w:val="sr-Cyrl-CS"/>
        </w:rPr>
        <w:lastRenderedPageBreak/>
        <w:t>купце те робе. Према томе, преваљивање се врши кроз цену производа. Због тога је преваљивање карактеристично за посредне порезе.</w:t>
      </w:r>
    </w:p>
    <w:p w:rsidR="001E6839" w:rsidRDefault="001E6839" w:rsidP="001E6839">
      <w:pPr>
        <w:jc w:val="both"/>
        <w:rPr>
          <w:rFonts w:ascii="Times New Roman" w:hAnsi="Times New Roman"/>
          <w:sz w:val="24"/>
          <w:szCs w:val="24"/>
        </w:rPr>
      </w:pPr>
    </w:p>
    <w:p w:rsidR="00421A83" w:rsidRPr="00421A83" w:rsidRDefault="00421A83" w:rsidP="001E6839">
      <w:pPr>
        <w:jc w:val="both"/>
        <w:rPr>
          <w:rFonts w:ascii="Times New Roman" w:hAnsi="Times New Roman"/>
          <w:sz w:val="24"/>
          <w:szCs w:val="24"/>
        </w:rPr>
      </w:pPr>
    </w:p>
    <w:p w:rsidR="001E6839" w:rsidRDefault="001E6839" w:rsidP="001E6839">
      <w:pPr>
        <w:jc w:val="center"/>
        <w:rPr>
          <w:rFonts w:ascii="Times New Roman" w:hAnsi="Times New Roman"/>
          <w:b/>
          <w:sz w:val="24"/>
          <w:szCs w:val="24"/>
          <w:lang w:val="sr-Cyrl-CS"/>
        </w:rPr>
      </w:pPr>
      <w:r w:rsidRPr="00353AF0">
        <w:rPr>
          <w:rFonts w:ascii="Times New Roman" w:hAnsi="Times New Roman"/>
          <w:b/>
          <w:sz w:val="24"/>
          <w:szCs w:val="24"/>
          <w:lang w:val="sr-Cyrl-CS"/>
        </w:rPr>
        <w:t>4.</w:t>
      </w:r>
      <w:r>
        <w:rPr>
          <w:rFonts w:ascii="Times New Roman" w:hAnsi="Times New Roman"/>
          <w:b/>
          <w:sz w:val="24"/>
          <w:szCs w:val="24"/>
          <w:lang w:val="sr-Cyrl-CS"/>
        </w:rPr>
        <w:t>4.</w:t>
      </w:r>
      <w:r>
        <w:rPr>
          <w:rFonts w:ascii="Times New Roman" w:hAnsi="Times New Roman"/>
          <w:sz w:val="24"/>
          <w:szCs w:val="24"/>
          <w:lang w:val="sr-Cyrl-CS"/>
        </w:rPr>
        <w:t xml:space="preserve"> </w:t>
      </w:r>
      <w:r>
        <w:rPr>
          <w:rFonts w:ascii="Times New Roman" w:hAnsi="Times New Roman"/>
          <w:b/>
          <w:sz w:val="24"/>
          <w:szCs w:val="24"/>
          <w:lang w:val="sr-Cyrl-CS"/>
        </w:rPr>
        <w:t>Трансформација пореза</w:t>
      </w:r>
    </w:p>
    <w:p w:rsidR="001E6839" w:rsidRPr="00847798" w:rsidRDefault="001E6839" w:rsidP="001E6839">
      <w:pPr>
        <w:jc w:val="center"/>
        <w:rPr>
          <w:rFonts w:ascii="Times New Roman" w:hAnsi="Times New Roman"/>
          <w:b/>
          <w:sz w:val="24"/>
          <w:szCs w:val="24"/>
          <w:lang w:val="sr-Cyrl-CS"/>
        </w:rPr>
      </w:pPr>
    </w:p>
    <w:p w:rsidR="001E6839" w:rsidRDefault="001E6839" w:rsidP="001E6839">
      <w:pPr>
        <w:ind w:firstLine="708"/>
        <w:jc w:val="both"/>
        <w:rPr>
          <w:rFonts w:ascii="Times New Roman" w:hAnsi="Times New Roman"/>
          <w:sz w:val="24"/>
          <w:szCs w:val="24"/>
          <w:lang w:val="sr-Cyrl-CS"/>
        </w:rPr>
      </w:pPr>
      <w:r>
        <w:rPr>
          <w:rFonts w:ascii="Times New Roman" w:hAnsi="Times New Roman"/>
          <w:sz w:val="24"/>
          <w:szCs w:val="24"/>
          <w:lang w:val="sr-Cyrl-CS"/>
        </w:rPr>
        <w:t xml:space="preserve">За разлику од утаје пореза, (где не долази до плаћања пореза),  и преваљивања пореза (где се порез пребацује на неко друго лице како порески приход, односно доходак не би био смањен), код трансформације пореза порески обвезник сноси порески терет, али такође предузима мере да му порески приход, односно доходак не буде смањен. То не чини пребацивањем пореског оптерећења на друго лице него постизањем већих ефеката у производњи. Порески обвезник смањује порески терет </w:t>
      </w:r>
      <w:r w:rsidR="0047659A">
        <w:rPr>
          <w:rFonts w:ascii="Times New Roman" w:hAnsi="Times New Roman"/>
          <w:sz w:val="24"/>
          <w:szCs w:val="24"/>
          <w:lang w:val="sr-Cyrl-CS"/>
        </w:rPr>
        <w:t>проналазећи</w:t>
      </w:r>
      <w:r>
        <w:rPr>
          <w:rFonts w:ascii="Times New Roman" w:hAnsi="Times New Roman"/>
          <w:sz w:val="24"/>
          <w:szCs w:val="24"/>
          <w:lang w:val="sr-Cyrl-CS"/>
        </w:rPr>
        <w:t xml:space="preserve"> разне могућности </w:t>
      </w:r>
      <w:r w:rsidR="0047659A">
        <w:rPr>
          <w:rFonts w:ascii="Times New Roman" w:hAnsi="Times New Roman"/>
          <w:sz w:val="24"/>
          <w:szCs w:val="24"/>
          <w:lang w:val="sr-Cyrl-CS"/>
        </w:rPr>
        <w:t>као што су повећање</w:t>
      </w:r>
      <w:r>
        <w:rPr>
          <w:rFonts w:ascii="Times New Roman" w:hAnsi="Times New Roman"/>
          <w:sz w:val="24"/>
          <w:szCs w:val="24"/>
          <w:lang w:val="sr-Cyrl-CS"/>
        </w:rPr>
        <w:t xml:space="preserve"> продуктив</w:t>
      </w:r>
      <w:r w:rsidR="0047659A">
        <w:rPr>
          <w:rFonts w:ascii="Times New Roman" w:hAnsi="Times New Roman"/>
          <w:sz w:val="24"/>
          <w:szCs w:val="24"/>
          <w:lang w:val="sr-Cyrl-CS"/>
        </w:rPr>
        <w:t>ности производње, боља организација</w:t>
      </w:r>
      <w:r>
        <w:rPr>
          <w:rFonts w:ascii="Times New Roman" w:hAnsi="Times New Roman"/>
          <w:sz w:val="24"/>
          <w:szCs w:val="24"/>
          <w:lang w:val="sr-Cyrl-CS"/>
        </w:rPr>
        <w:t xml:space="preserve"> рада, економичније</w:t>
      </w:r>
      <w:r w:rsidR="0047659A">
        <w:rPr>
          <w:rFonts w:ascii="Times New Roman" w:hAnsi="Times New Roman"/>
          <w:sz w:val="24"/>
          <w:szCs w:val="24"/>
          <w:lang w:val="sr-Cyrl-CS"/>
        </w:rPr>
        <w:t xml:space="preserve"> пословање</w:t>
      </w:r>
      <w:r>
        <w:rPr>
          <w:rFonts w:ascii="Times New Roman" w:hAnsi="Times New Roman"/>
          <w:sz w:val="24"/>
          <w:szCs w:val="24"/>
          <w:lang w:val="sr-Cyrl-CS"/>
        </w:rPr>
        <w:t xml:space="preserve"> и сл. У пракси  оваква ситуација захтева постојање низа повољних околности које би омогућиле услове за повећану производњу, као и тржиште за резултате исте, па због тога овај феномен није тако чест и карактеристичан је за непосредне порезе.  </w:t>
      </w:r>
    </w:p>
    <w:p w:rsidR="001E6839" w:rsidRDefault="001E6839" w:rsidP="001E6839">
      <w:pPr>
        <w:ind w:firstLine="630"/>
        <w:jc w:val="both"/>
        <w:rPr>
          <w:rFonts w:ascii="Times New Roman" w:hAnsi="Times New Roman"/>
          <w:sz w:val="24"/>
          <w:szCs w:val="24"/>
          <w:lang w:val="sr-Cyrl-CS"/>
        </w:rPr>
      </w:pPr>
      <w:r>
        <w:rPr>
          <w:rFonts w:ascii="Times New Roman" w:hAnsi="Times New Roman"/>
          <w:sz w:val="24"/>
          <w:szCs w:val="24"/>
          <w:lang w:val="sr-Cyrl-CS"/>
        </w:rPr>
        <w:t xml:space="preserve">Дакле, овај феномен се </w:t>
      </w:r>
      <w:r w:rsidR="0047659A">
        <w:rPr>
          <w:rFonts w:ascii="Times New Roman" w:hAnsi="Times New Roman"/>
          <w:sz w:val="24"/>
          <w:szCs w:val="24"/>
          <w:lang w:val="sr-Cyrl-CS"/>
        </w:rPr>
        <w:t>појављује</w:t>
      </w:r>
      <w:r>
        <w:rPr>
          <w:rFonts w:ascii="Times New Roman" w:hAnsi="Times New Roman"/>
          <w:sz w:val="24"/>
          <w:szCs w:val="24"/>
          <w:lang w:val="sr-Cyrl-CS"/>
        </w:rPr>
        <w:t xml:space="preserve"> када порез изазива пораст дохотка пореског обезника за висину пореског оптерећења или за његов део и </w:t>
      </w:r>
      <w:r w:rsidR="0047659A">
        <w:rPr>
          <w:rFonts w:ascii="Times New Roman" w:hAnsi="Times New Roman"/>
          <w:sz w:val="24"/>
          <w:szCs w:val="24"/>
          <w:lang w:val="sr-Cyrl-CS"/>
        </w:rPr>
        <w:t>битно је да</w:t>
      </w:r>
      <w:r>
        <w:rPr>
          <w:rFonts w:ascii="Times New Roman" w:hAnsi="Times New Roman"/>
          <w:sz w:val="24"/>
          <w:szCs w:val="24"/>
          <w:lang w:val="sr-Cyrl-CS"/>
        </w:rPr>
        <w:t xml:space="preserve"> то повећање потиче из производње.</w:t>
      </w:r>
      <w:r>
        <w:rPr>
          <w:rStyle w:val="FootnoteReference"/>
          <w:rFonts w:ascii="Times New Roman" w:hAnsi="Times New Roman"/>
          <w:sz w:val="24"/>
          <w:szCs w:val="24"/>
          <w:lang w:val="sr-Cyrl-CS"/>
        </w:rPr>
        <w:footnoteReference w:id="153"/>
      </w:r>
    </w:p>
    <w:p w:rsidR="001E6839" w:rsidRPr="005310AD" w:rsidRDefault="001E6839" w:rsidP="001E6839">
      <w:pPr>
        <w:jc w:val="both"/>
        <w:rPr>
          <w:rFonts w:ascii="Times New Roman" w:hAnsi="Times New Roman"/>
          <w:sz w:val="24"/>
          <w:szCs w:val="24"/>
          <w:lang w:val="sr-Cyrl-CS"/>
        </w:rPr>
      </w:pPr>
    </w:p>
    <w:p w:rsidR="001E6839" w:rsidRPr="00913416" w:rsidRDefault="001E6839" w:rsidP="001E6839">
      <w:pPr>
        <w:jc w:val="center"/>
        <w:rPr>
          <w:rFonts w:ascii="Times New Roman" w:hAnsi="Times New Roman"/>
          <w:b/>
          <w:i/>
          <w:sz w:val="28"/>
          <w:szCs w:val="28"/>
          <w:lang w:val="sr-Cyrl-CS"/>
        </w:rPr>
      </w:pPr>
      <w:r w:rsidRPr="00913416">
        <w:rPr>
          <w:rFonts w:ascii="Times New Roman" w:hAnsi="Times New Roman"/>
          <w:b/>
          <w:i/>
          <w:sz w:val="28"/>
          <w:szCs w:val="28"/>
          <w:lang w:val="sr-Cyrl-CS"/>
        </w:rPr>
        <w:t>5.Последице избегавања плаћања пореза</w:t>
      </w:r>
    </w:p>
    <w:p w:rsidR="001E6839" w:rsidRDefault="001E6839" w:rsidP="001E6839">
      <w:pPr>
        <w:ind w:left="990"/>
        <w:jc w:val="both"/>
        <w:rPr>
          <w:rFonts w:ascii="Times New Roman" w:hAnsi="Times New Roman"/>
          <w:b/>
          <w:i/>
          <w:sz w:val="24"/>
          <w:szCs w:val="24"/>
          <w:lang w:val="sr-Cyrl-CS"/>
        </w:rPr>
      </w:pPr>
    </w:p>
    <w:p w:rsidR="001E6839" w:rsidRDefault="001E6839" w:rsidP="001E6839">
      <w:pPr>
        <w:ind w:firstLine="630"/>
        <w:jc w:val="both"/>
        <w:rPr>
          <w:rFonts w:ascii="Times New Roman" w:hAnsi="Times New Roman"/>
          <w:sz w:val="24"/>
          <w:szCs w:val="24"/>
          <w:lang w:val="sr-Cyrl-CS"/>
        </w:rPr>
      </w:pPr>
      <w:r>
        <w:rPr>
          <w:rFonts w:ascii="Times New Roman" w:hAnsi="Times New Roman"/>
          <w:sz w:val="24"/>
          <w:szCs w:val="24"/>
          <w:lang w:val="sr-Cyrl-CS"/>
        </w:rPr>
        <w:t xml:space="preserve">Избегавање плаћања пореза је глобални проблем и има озбиљне последице за сваку државу, </w:t>
      </w:r>
      <w:r w:rsidRPr="008C6C1E">
        <w:rPr>
          <w:rFonts w:ascii="Times New Roman" w:hAnsi="Times New Roman"/>
          <w:sz w:val="24"/>
          <w:szCs w:val="24"/>
          <w:lang w:val="sr-Cyrl-CS"/>
        </w:rPr>
        <w:t>без обзира на разлике у друштвено-економском и политичком уређењу.</w:t>
      </w:r>
      <w:r>
        <w:rPr>
          <w:rFonts w:ascii="Times New Roman" w:hAnsi="Times New Roman"/>
          <w:sz w:val="24"/>
          <w:szCs w:val="24"/>
          <w:lang w:val="sr-Cyrl-CS"/>
        </w:rPr>
        <w:t xml:space="preserve"> У буџет не пристижу планирана средства, угрожава се принцип хоризонталне правичности, што повлачи одређене последице у моралној и у правној сфери и доводи до повреде начела општости пореске обавезе. Како се опорезивањем поред фискалних остварују и циљеви у области економске и социјалне политке, избегавање плаћања пореза оставља последице на економском и социјално-политичком плану.</w:t>
      </w:r>
    </w:p>
    <w:p w:rsidR="001E6839" w:rsidRDefault="001E6839" w:rsidP="001E6839">
      <w:pPr>
        <w:ind w:firstLine="630"/>
        <w:jc w:val="both"/>
        <w:rPr>
          <w:rFonts w:ascii="Times New Roman" w:hAnsi="Times New Roman"/>
          <w:sz w:val="24"/>
          <w:szCs w:val="24"/>
          <w:lang w:val="sr-Cyrl-CS"/>
        </w:rPr>
      </w:pPr>
      <w:r>
        <w:rPr>
          <w:rFonts w:ascii="Times New Roman" w:hAnsi="Times New Roman"/>
          <w:sz w:val="24"/>
          <w:szCs w:val="24"/>
          <w:lang w:val="sr-Cyrl-CS"/>
        </w:rPr>
        <w:t xml:space="preserve">Избегавањем плаћања пореза подрива се основа за спровођење привредних мера и инструмената. </w:t>
      </w:r>
      <w:r w:rsidRPr="00160B76">
        <w:rPr>
          <w:rFonts w:ascii="Times New Roman" w:hAnsi="Times New Roman"/>
          <w:sz w:val="24"/>
          <w:szCs w:val="24"/>
          <w:lang w:val="sr-Cyrl-CS"/>
        </w:rPr>
        <w:t xml:space="preserve">Последице избегавања </w:t>
      </w:r>
      <w:r>
        <w:rPr>
          <w:rFonts w:ascii="Times New Roman" w:hAnsi="Times New Roman"/>
          <w:sz w:val="24"/>
          <w:szCs w:val="24"/>
          <w:lang w:val="sr-Cyrl-CS"/>
        </w:rPr>
        <w:t xml:space="preserve">плаћања пореза се могу двојако посматрати. Са становишта пореских обвезника када се испољавају у виду повећања пореског терета и </w:t>
      </w:r>
      <w:r>
        <w:rPr>
          <w:rFonts w:ascii="Times New Roman" w:hAnsi="Times New Roman"/>
          <w:sz w:val="24"/>
          <w:szCs w:val="24"/>
          <w:lang w:val="sr-Cyrl-CS"/>
        </w:rPr>
        <w:lastRenderedPageBreak/>
        <w:t xml:space="preserve">неједнакој расподели пореских задужења због смањеног броја пореских обвезника и са становишта државе када се превасходно испољавају кроз смањење прикупљених пореских средстава.  </w:t>
      </w:r>
    </w:p>
    <w:p w:rsidR="001E6839" w:rsidRDefault="00960BF6" w:rsidP="001E6839">
      <w:pPr>
        <w:ind w:firstLine="630"/>
        <w:jc w:val="both"/>
        <w:rPr>
          <w:rFonts w:ascii="Times New Roman" w:hAnsi="Times New Roman"/>
          <w:sz w:val="24"/>
          <w:szCs w:val="24"/>
          <w:lang w:val="sr-Cyrl-CS"/>
        </w:rPr>
      </w:pPr>
      <w:r>
        <w:rPr>
          <w:rFonts w:ascii="Times New Roman" w:hAnsi="Times New Roman"/>
          <w:sz w:val="24"/>
          <w:szCs w:val="24"/>
          <w:lang w:val="sr-Cyrl-CS"/>
        </w:rPr>
        <w:t>Последице</w:t>
      </w:r>
      <w:r>
        <w:rPr>
          <w:rStyle w:val="FootnoteReference"/>
          <w:rFonts w:ascii="Times New Roman" w:hAnsi="Times New Roman"/>
          <w:sz w:val="24"/>
          <w:szCs w:val="24"/>
          <w:lang w:val="sr-Cyrl-CS"/>
        </w:rPr>
        <w:footnoteReference w:id="154"/>
      </w:r>
      <w:r w:rsidR="001E6839">
        <w:rPr>
          <w:rFonts w:ascii="Times New Roman" w:hAnsi="Times New Roman"/>
          <w:sz w:val="24"/>
          <w:szCs w:val="24"/>
          <w:lang w:val="sr-Cyrl-CS"/>
        </w:rPr>
        <w:t xml:space="preserve">евазије уочавају се и на плану законодавно-правне активности  </w:t>
      </w:r>
      <w:r w:rsidR="00F17A3C">
        <w:rPr>
          <w:rFonts w:ascii="Times New Roman" w:hAnsi="Times New Roman"/>
          <w:sz w:val="24"/>
          <w:szCs w:val="24"/>
          <w:lang w:val="sr-Cyrl-CS"/>
        </w:rPr>
        <w:t>која се огледа у тежњи државе да поједностави пореску регулативу како би је порески обвезници боље разумели, као и у виду доношења</w:t>
      </w:r>
      <w:r w:rsidR="001E6839">
        <w:rPr>
          <w:rFonts w:ascii="Times New Roman" w:hAnsi="Times New Roman"/>
          <w:sz w:val="24"/>
          <w:szCs w:val="24"/>
          <w:lang w:val="sr-Cyrl-CS"/>
        </w:rPr>
        <w:t xml:space="preserve"> нових прописа </w:t>
      </w:r>
      <w:r w:rsidR="00F17A3C">
        <w:rPr>
          <w:rFonts w:ascii="Times New Roman" w:hAnsi="Times New Roman"/>
          <w:sz w:val="24"/>
          <w:szCs w:val="24"/>
          <w:lang w:val="sr-Cyrl-CS"/>
        </w:rPr>
        <w:t>ради санкционисања</w:t>
      </w:r>
      <w:r w:rsidR="001E6839">
        <w:rPr>
          <w:rFonts w:ascii="Times New Roman" w:hAnsi="Times New Roman"/>
          <w:sz w:val="24"/>
          <w:szCs w:val="24"/>
          <w:lang w:val="sr-Cyrl-CS"/>
        </w:rPr>
        <w:t xml:space="preserve"> </w:t>
      </w:r>
      <w:r w:rsidR="00F17A3C">
        <w:rPr>
          <w:rFonts w:ascii="Times New Roman" w:hAnsi="Times New Roman"/>
          <w:sz w:val="24"/>
          <w:szCs w:val="24"/>
          <w:lang w:val="sr-Cyrl-CS"/>
        </w:rPr>
        <w:t>избегавања плаћања пореза</w:t>
      </w:r>
      <w:r w:rsidR="001E6839">
        <w:rPr>
          <w:rFonts w:ascii="Times New Roman" w:hAnsi="Times New Roman"/>
          <w:sz w:val="24"/>
          <w:szCs w:val="24"/>
          <w:lang w:val="sr-Cyrl-CS"/>
        </w:rPr>
        <w:t xml:space="preserve">. Правни ефекти евазије </w:t>
      </w:r>
      <w:r w:rsidR="00F17A3C">
        <w:rPr>
          <w:rFonts w:ascii="Times New Roman" w:hAnsi="Times New Roman"/>
          <w:sz w:val="24"/>
          <w:szCs w:val="24"/>
          <w:lang w:val="sr-Cyrl-CS"/>
        </w:rPr>
        <w:t>се манифестују у</w:t>
      </w:r>
      <w:r w:rsidR="001E6839">
        <w:rPr>
          <w:rFonts w:ascii="Times New Roman" w:hAnsi="Times New Roman"/>
          <w:sz w:val="24"/>
          <w:szCs w:val="24"/>
          <w:lang w:val="sr-Cyrl-CS"/>
        </w:rPr>
        <w:t xml:space="preserve"> </w:t>
      </w:r>
      <w:r w:rsidR="003D2184">
        <w:rPr>
          <w:rFonts w:ascii="Times New Roman" w:hAnsi="Times New Roman"/>
          <w:sz w:val="24"/>
          <w:szCs w:val="24"/>
          <w:lang w:val="sr-Cyrl-CS"/>
        </w:rPr>
        <w:t>великом броју</w:t>
      </w:r>
      <w:r w:rsidR="001E6839">
        <w:rPr>
          <w:rFonts w:ascii="Times New Roman" w:hAnsi="Times New Roman"/>
          <w:sz w:val="24"/>
          <w:szCs w:val="24"/>
          <w:lang w:val="sr-Cyrl-CS"/>
        </w:rPr>
        <w:t xml:space="preserve"> пореских спорова. </w:t>
      </w:r>
      <w:r w:rsidR="00F17A3C">
        <w:rPr>
          <w:rFonts w:ascii="Times New Roman" w:hAnsi="Times New Roman"/>
          <w:sz w:val="24"/>
          <w:szCs w:val="24"/>
          <w:lang w:val="sr-Cyrl-CS"/>
        </w:rPr>
        <w:t>Економски ефекти</w:t>
      </w:r>
      <w:r w:rsidR="001E6839">
        <w:rPr>
          <w:rFonts w:ascii="Times New Roman" w:hAnsi="Times New Roman"/>
          <w:sz w:val="24"/>
          <w:szCs w:val="24"/>
          <w:lang w:val="sr-Cyrl-CS"/>
        </w:rPr>
        <w:t xml:space="preserve"> </w:t>
      </w:r>
      <w:r w:rsidR="00F17A3C">
        <w:rPr>
          <w:rFonts w:ascii="Times New Roman" w:hAnsi="Times New Roman"/>
          <w:sz w:val="24"/>
          <w:szCs w:val="24"/>
          <w:lang w:val="sr-Cyrl-CS"/>
        </w:rPr>
        <w:t xml:space="preserve">могу бити </w:t>
      </w:r>
      <w:r w:rsidR="001E6839">
        <w:rPr>
          <w:rFonts w:ascii="Times New Roman" w:hAnsi="Times New Roman"/>
          <w:sz w:val="24"/>
          <w:szCs w:val="24"/>
          <w:lang w:val="sr-Cyrl-CS"/>
        </w:rPr>
        <w:t>посебно штетни за привреду</w:t>
      </w:r>
      <w:r w:rsidR="00F17A3C">
        <w:rPr>
          <w:rFonts w:ascii="Times New Roman" w:hAnsi="Times New Roman"/>
          <w:sz w:val="24"/>
          <w:szCs w:val="24"/>
          <w:lang w:val="sr-Cyrl-CS"/>
        </w:rPr>
        <w:t xml:space="preserve"> у виду стварања нелојалне конкуренције  између савесних и несавесних пореских обвезника</w:t>
      </w:r>
      <w:r w:rsidR="003D2184">
        <w:rPr>
          <w:rFonts w:ascii="Times New Roman" w:hAnsi="Times New Roman"/>
          <w:sz w:val="24"/>
          <w:szCs w:val="24"/>
          <w:lang w:val="sr-Cyrl-CS"/>
        </w:rPr>
        <w:t xml:space="preserve">, чиме се прави разлика у </w:t>
      </w:r>
      <w:r w:rsidR="001E6839">
        <w:rPr>
          <w:rFonts w:ascii="Times New Roman" w:hAnsi="Times New Roman"/>
          <w:sz w:val="24"/>
          <w:szCs w:val="24"/>
          <w:lang w:val="sr-Cyrl-CS"/>
        </w:rPr>
        <w:t xml:space="preserve"> </w:t>
      </w:r>
      <w:r w:rsidR="00F17A3C">
        <w:rPr>
          <w:rFonts w:ascii="Times New Roman" w:hAnsi="Times New Roman"/>
          <w:sz w:val="24"/>
          <w:szCs w:val="24"/>
          <w:lang w:val="sr-Cyrl-CS"/>
        </w:rPr>
        <w:t>услов</w:t>
      </w:r>
      <w:r w:rsidR="003D2184">
        <w:rPr>
          <w:rFonts w:ascii="Times New Roman" w:hAnsi="Times New Roman"/>
          <w:sz w:val="24"/>
          <w:szCs w:val="24"/>
          <w:lang w:val="sr-Cyrl-CS"/>
        </w:rPr>
        <w:t>има</w:t>
      </w:r>
      <w:r w:rsidR="00F17A3C">
        <w:rPr>
          <w:rFonts w:ascii="Times New Roman" w:hAnsi="Times New Roman"/>
          <w:sz w:val="24"/>
          <w:szCs w:val="24"/>
          <w:lang w:val="sr-Cyrl-CS"/>
        </w:rPr>
        <w:t xml:space="preserve"> пословања</w:t>
      </w:r>
      <w:r w:rsidR="003D2184">
        <w:rPr>
          <w:rFonts w:ascii="Times New Roman" w:hAnsi="Times New Roman"/>
          <w:sz w:val="24"/>
          <w:szCs w:val="24"/>
          <w:lang w:val="sr-Cyrl-CS"/>
        </w:rPr>
        <w:t>, што даље води до</w:t>
      </w:r>
      <w:r w:rsidR="00F17A3C">
        <w:rPr>
          <w:rFonts w:ascii="Times New Roman" w:hAnsi="Times New Roman"/>
          <w:sz w:val="24"/>
          <w:szCs w:val="24"/>
          <w:lang w:val="sr-Cyrl-CS"/>
        </w:rPr>
        <w:t xml:space="preserve"> </w:t>
      </w:r>
      <w:r w:rsidR="003D2184">
        <w:rPr>
          <w:rFonts w:ascii="Times New Roman" w:hAnsi="Times New Roman"/>
          <w:sz w:val="24"/>
          <w:szCs w:val="24"/>
          <w:lang w:val="sr-Cyrl-CS"/>
        </w:rPr>
        <w:t xml:space="preserve"> ценовног</w:t>
      </w:r>
      <w:r w:rsidR="001E6839">
        <w:rPr>
          <w:rFonts w:ascii="Times New Roman" w:hAnsi="Times New Roman"/>
          <w:sz w:val="24"/>
          <w:szCs w:val="24"/>
          <w:lang w:val="sr-Cyrl-CS"/>
        </w:rPr>
        <w:t xml:space="preserve"> ди</w:t>
      </w:r>
      <w:r w:rsidR="003D2184">
        <w:rPr>
          <w:rFonts w:ascii="Times New Roman" w:hAnsi="Times New Roman"/>
          <w:sz w:val="24"/>
          <w:szCs w:val="24"/>
          <w:lang w:val="sr-Cyrl-CS"/>
        </w:rPr>
        <w:t xml:space="preserve">спаритета роба између савесних и несавесних произвођача. Ови ефекти могу даље попримити облик </w:t>
      </w:r>
      <w:r w:rsidR="001E6839">
        <w:rPr>
          <w:rFonts w:ascii="Times New Roman" w:hAnsi="Times New Roman"/>
          <w:sz w:val="24"/>
          <w:szCs w:val="24"/>
          <w:lang w:val="sr-Cyrl-CS"/>
        </w:rPr>
        <w:t xml:space="preserve">секторских неравнотежа на тржишту када се под утицајем евазије ремете економски избори привредних субјеката, што </w:t>
      </w:r>
      <w:r w:rsidR="003D2184">
        <w:rPr>
          <w:rFonts w:ascii="Times New Roman" w:hAnsi="Times New Roman"/>
          <w:sz w:val="24"/>
          <w:szCs w:val="24"/>
          <w:lang w:val="sr-Cyrl-CS"/>
        </w:rPr>
        <w:t xml:space="preserve">се све </w:t>
      </w:r>
      <w:r w:rsidR="001E6839">
        <w:rPr>
          <w:rFonts w:ascii="Times New Roman" w:hAnsi="Times New Roman"/>
          <w:sz w:val="24"/>
          <w:szCs w:val="24"/>
          <w:lang w:val="sr-Cyrl-CS"/>
        </w:rPr>
        <w:t xml:space="preserve">даље </w:t>
      </w:r>
      <w:r w:rsidR="003D2184">
        <w:rPr>
          <w:rFonts w:ascii="Times New Roman" w:hAnsi="Times New Roman"/>
          <w:sz w:val="24"/>
          <w:szCs w:val="24"/>
          <w:lang w:val="sr-Cyrl-CS"/>
        </w:rPr>
        <w:t xml:space="preserve">одражава на </w:t>
      </w:r>
      <w:r w:rsidR="001E6839">
        <w:rPr>
          <w:rFonts w:ascii="Times New Roman" w:hAnsi="Times New Roman"/>
          <w:sz w:val="24"/>
          <w:szCs w:val="24"/>
          <w:lang w:val="sr-Cyrl-CS"/>
        </w:rPr>
        <w:t xml:space="preserve">ефикасност привређивања. </w:t>
      </w:r>
    </w:p>
    <w:p w:rsidR="001E6839" w:rsidRDefault="001E6839" w:rsidP="001E6839">
      <w:pPr>
        <w:ind w:firstLine="630"/>
        <w:jc w:val="both"/>
        <w:rPr>
          <w:rFonts w:ascii="Times New Roman" w:hAnsi="Times New Roman"/>
          <w:sz w:val="24"/>
          <w:szCs w:val="24"/>
          <w:lang w:val="sr-Cyrl-CS"/>
        </w:rPr>
      </w:pPr>
      <w:r>
        <w:rPr>
          <w:rFonts w:ascii="Times New Roman" w:hAnsi="Times New Roman"/>
          <w:sz w:val="24"/>
          <w:szCs w:val="24"/>
          <w:lang w:val="sr-Cyrl-CS"/>
        </w:rPr>
        <w:t xml:space="preserve">Социјални ефекти су везани за ремећење пореске једнакости јер </w:t>
      </w:r>
      <w:r w:rsidR="003D2184">
        <w:rPr>
          <w:rFonts w:ascii="Times New Roman" w:hAnsi="Times New Roman"/>
          <w:sz w:val="24"/>
          <w:szCs w:val="24"/>
          <w:lang w:val="sr-Cyrl-CS"/>
        </w:rPr>
        <w:t xml:space="preserve">се избегавањем пореза порески обвезници </w:t>
      </w:r>
      <w:r>
        <w:rPr>
          <w:rFonts w:ascii="Times New Roman" w:hAnsi="Times New Roman"/>
          <w:sz w:val="24"/>
          <w:szCs w:val="24"/>
          <w:lang w:val="sr-Cyrl-CS"/>
        </w:rPr>
        <w:t>доводе у неједнак економски и социјални положај. То даље в</w:t>
      </w:r>
      <w:r w:rsidR="003D2184">
        <w:rPr>
          <w:rFonts w:ascii="Times New Roman" w:hAnsi="Times New Roman"/>
          <w:sz w:val="24"/>
          <w:szCs w:val="24"/>
          <w:lang w:val="sr-Cyrl-CS"/>
        </w:rPr>
        <w:t>оди хоризонталној неједнакости. Пореска евазија</w:t>
      </w:r>
      <w:r>
        <w:rPr>
          <w:rFonts w:ascii="Times New Roman" w:hAnsi="Times New Roman"/>
          <w:sz w:val="24"/>
          <w:szCs w:val="24"/>
          <w:lang w:val="sr-Cyrl-CS"/>
        </w:rPr>
        <w:t xml:space="preserve"> </w:t>
      </w:r>
      <w:r w:rsidR="003D2184">
        <w:rPr>
          <w:rFonts w:ascii="Times New Roman" w:hAnsi="Times New Roman"/>
          <w:sz w:val="24"/>
          <w:szCs w:val="24"/>
          <w:lang w:val="sr-Cyrl-CS"/>
        </w:rPr>
        <w:t>доводи и до ублажавања</w:t>
      </w:r>
      <w:r>
        <w:rPr>
          <w:rFonts w:ascii="Times New Roman" w:hAnsi="Times New Roman"/>
          <w:sz w:val="24"/>
          <w:szCs w:val="24"/>
          <w:lang w:val="sr-Cyrl-CS"/>
        </w:rPr>
        <w:t xml:space="preserve"> прогресивног дејства пореза, јер што су стопе више, то је јачи подстицај избегавања пореза.</w:t>
      </w:r>
    </w:p>
    <w:p w:rsidR="001E6839" w:rsidRDefault="001E6839" w:rsidP="001E6839">
      <w:pPr>
        <w:ind w:firstLine="630"/>
        <w:jc w:val="both"/>
        <w:rPr>
          <w:rFonts w:ascii="Times New Roman" w:hAnsi="Times New Roman"/>
          <w:sz w:val="24"/>
          <w:szCs w:val="24"/>
          <w:lang w:val="sr-Cyrl-CS"/>
        </w:rPr>
      </w:pPr>
      <w:r>
        <w:rPr>
          <w:rFonts w:ascii="Times New Roman" w:hAnsi="Times New Roman"/>
          <w:sz w:val="24"/>
          <w:szCs w:val="24"/>
          <w:lang w:val="sr-Cyrl-CS"/>
        </w:rPr>
        <w:t xml:space="preserve">Ефекти </w:t>
      </w:r>
      <w:r w:rsidR="003D2184">
        <w:rPr>
          <w:rFonts w:ascii="Times New Roman" w:hAnsi="Times New Roman"/>
          <w:sz w:val="24"/>
          <w:szCs w:val="24"/>
          <w:lang w:val="sr-Cyrl-CS"/>
        </w:rPr>
        <w:t xml:space="preserve">се манифестују и </w:t>
      </w:r>
      <w:r>
        <w:rPr>
          <w:rFonts w:ascii="Times New Roman" w:hAnsi="Times New Roman"/>
          <w:sz w:val="24"/>
          <w:szCs w:val="24"/>
          <w:lang w:val="sr-Cyrl-CS"/>
        </w:rPr>
        <w:t xml:space="preserve">у домену политичког система јер евазивно понашање пореских обвезника поткопава његове основе, што пореску евазију повезује са уставном обавезом плаћања пореза. Њеним непоштовањем нарушава се начело </w:t>
      </w:r>
      <w:r w:rsidR="00393D14">
        <w:rPr>
          <w:rFonts w:ascii="Times New Roman" w:hAnsi="Times New Roman"/>
          <w:sz w:val="24"/>
          <w:szCs w:val="24"/>
          <w:lang w:val="sr-Cyrl-CS"/>
        </w:rPr>
        <w:t>плаћања пореза</w:t>
      </w:r>
      <w:r>
        <w:rPr>
          <w:rFonts w:ascii="Times New Roman" w:hAnsi="Times New Roman"/>
          <w:sz w:val="24"/>
          <w:szCs w:val="24"/>
          <w:lang w:val="sr-Cyrl-CS"/>
        </w:rPr>
        <w:t xml:space="preserve"> сразмерно економској снази пореских обвезника. Политички ефекти неплаћања пореза повезују се са пол</w:t>
      </w:r>
      <w:r w:rsidR="00393D14">
        <w:rPr>
          <w:rFonts w:ascii="Times New Roman" w:hAnsi="Times New Roman"/>
          <w:sz w:val="24"/>
          <w:szCs w:val="24"/>
          <w:lang w:val="sr-Cyrl-CS"/>
        </w:rPr>
        <w:t>итичким опортунизмом ове појаве која</w:t>
      </w:r>
      <w:r>
        <w:rPr>
          <w:rFonts w:ascii="Times New Roman" w:hAnsi="Times New Roman"/>
          <w:sz w:val="24"/>
          <w:szCs w:val="24"/>
          <w:lang w:val="sr-Cyrl-CS"/>
        </w:rPr>
        <w:t xml:space="preserve"> се користи као аргумент за оспоравање и оправдање нелојалног понашања према фискусу. Постојање пореске евазије доводи у питање поштовање принципа солидарности. Све то доводи до пооштреног опорезивања на штету савесних пореских обвезника, који нерадо прихватају пореско оптерећење и тиме улогу жртве, знајући да оно неће бити равномерно распоређено на све слојеве друштва.</w:t>
      </w:r>
    </w:p>
    <w:p w:rsidR="001E6839" w:rsidRDefault="004E04D1" w:rsidP="004E04D1">
      <w:pPr>
        <w:ind w:firstLine="630"/>
        <w:jc w:val="both"/>
        <w:rPr>
          <w:rFonts w:ascii="Times New Roman" w:hAnsi="Times New Roman"/>
          <w:sz w:val="24"/>
          <w:szCs w:val="24"/>
          <w:lang w:val="sr-Cyrl-CS"/>
        </w:rPr>
      </w:pPr>
      <w:r>
        <w:rPr>
          <w:rFonts w:ascii="Times New Roman" w:hAnsi="Times New Roman"/>
          <w:sz w:val="24"/>
          <w:szCs w:val="24"/>
          <w:lang w:val="sr-Cyrl-CS"/>
        </w:rPr>
        <w:t>Најштетнији психолошки ефекат пореске евазије огледа се у њеном повратном утицају. Наиме, случајеви пореске евазије који су остали неоткривени и тако избегли санкционисање могу повољно утицати на склоност неких лица да избегну плаћање пореза. Када се овај повратни утицај удружи са личним интересом да се пореском евазијом лако оствари  корист и са уверењем да пореска евазија не представља кажњиви деликт јасно ј</w:t>
      </w:r>
      <w:r w:rsidR="007A3327">
        <w:rPr>
          <w:rFonts w:ascii="Times New Roman" w:hAnsi="Times New Roman"/>
          <w:sz w:val="24"/>
          <w:szCs w:val="24"/>
          <w:lang w:val="sr-Cyrl-CS"/>
        </w:rPr>
        <w:t>е да се ради о најзначајнијем пс</w:t>
      </w:r>
      <w:r>
        <w:rPr>
          <w:rFonts w:ascii="Times New Roman" w:hAnsi="Times New Roman"/>
          <w:sz w:val="24"/>
          <w:szCs w:val="24"/>
          <w:lang w:val="sr-Cyrl-CS"/>
        </w:rPr>
        <w:t>ихолошком утицају пореске евазије</w:t>
      </w:r>
      <w:r w:rsidR="001E6839">
        <w:rPr>
          <w:rFonts w:ascii="Times New Roman" w:hAnsi="Times New Roman"/>
          <w:sz w:val="24"/>
          <w:szCs w:val="24"/>
          <w:lang w:val="sr-Cyrl-CS"/>
        </w:rPr>
        <w:t>.</w:t>
      </w:r>
      <w:r w:rsidR="001E6839">
        <w:rPr>
          <w:rStyle w:val="FootnoteReference"/>
          <w:rFonts w:ascii="Times New Roman" w:hAnsi="Times New Roman"/>
          <w:sz w:val="24"/>
          <w:szCs w:val="24"/>
          <w:lang w:val="sr-Cyrl-CS"/>
        </w:rPr>
        <w:footnoteReference w:id="155"/>
      </w:r>
    </w:p>
    <w:p w:rsidR="001E6839" w:rsidRPr="008C6C1E" w:rsidRDefault="001E6839" w:rsidP="001E6839">
      <w:pPr>
        <w:ind w:firstLine="630"/>
        <w:jc w:val="both"/>
        <w:rPr>
          <w:rFonts w:ascii="Times New Roman" w:hAnsi="Times New Roman"/>
          <w:sz w:val="24"/>
          <w:szCs w:val="24"/>
          <w:lang w:val="sr-Cyrl-CS"/>
        </w:rPr>
      </w:pPr>
      <w:r>
        <w:rPr>
          <w:rFonts w:ascii="Times New Roman" w:hAnsi="Times New Roman"/>
          <w:sz w:val="24"/>
          <w:szCs w:val="24"/>
          <w:lang w:val="sr-Cyrl-CS"/>
        </w:rPr>
        <w:lastRenderedPageBreak/>
        <w:t>Е</w:t>
      </w:r>
      <w:r w:rsidRPr="008C6C1E">
        <w:rPr>
          <w:rFonts w:ascii="Times New Roman" w:hAnsi="Times New Roman"/>
          <w:sz w:val="24"/>
          <w:szCs w:val="24"/>
          <w:lang w:val="sr-Cyrl-CS"/>
        </w:rPr>
        <w:t>вазија пореза</w:t>
      </w:r>
      <w:r>
        <w:rPr>
          <w:rFonts w:ascii="Times New Roman" w:hAnsi="Times New Roman"/>
          <w:sz w:val="24"/>
          <w:szCs w:val="24"/>
          <w:lang w:val="sr-Cyrl-CS"/>
        </w:rPr>
        <w:t>, дакле,</w:t>
      </w:r>
      <w:r w:rsidRPr="008C6C1E">
        <w:rPr>
          <w:rFonts w:ascii="Times New Roman" w:hAnsi="Times New Roman"/>
          <w:sz w:val="24"/>
          <w:szCs w:val="24"/>
          <w:lang w:val="sr-Cyrl-CS"/>
        </w:rPr>
        <w:t xml:space="preserve"> представља озбиљан друштвени проблем. Она </w:t>
      </w:r>
      <w:r>
        <w:rPr>
          <w:rFonts w:ascii="Times New Roman" w:hAnsi="Times New Roman"/>
          <w:sz w:val="24"/>
          <w:szCs w:val="24"/>
          <w:lang w:val="sr-Cyrl-CS"/>
        </w:rPr>
        <w:t xml:space="preserve">подрива </w:t>
      </w:r>
      <w:r w:rsidRPr="008C6C1E">
        <w:rPr>
          <w:rFonts w:ascii="Times New Roman" w:hAnsi="Times New Roman"/>
          <w:sz w:val="24"/>
          <w:szCs w:val="24"/>
          <w:lang w:val="sr-Cyrl-CS"/>
        </w:rPr>
        <w:t xml:space="preserve">економску основу друштва и узрокује поремећаје у економском систему. Пореска евазија представља </w:t>
      </w:r>
      <w:r>
        <w:rPr>
          <w:rFonts w:ascii="Times New Roman" w:hAnsi="Times New Roman"/>
          <w:sz w:val="24"/>
          <w:szCs w:val="24"/>
          <w:lang w:val="sr-Cyrl-CS"/>
        </w:rPr>
        <w:t xml:space="preserve">и </w:t>
      </w:r>
      <w:r w:rsidRPr="008C6C1E">
        <w:rPr>
          <w:rFonts w:ascii="Times New Roman" w:hAnsi="Times New Roman"/>
          <w:sz w:val="24"/>
          <w:szCs w:val="24"/>
          <w:lang w:val="sr-Cyrl-CS"/>
        </w:rPr>
        <w:t xml:space="preserve">један од </w:t>
      </w:r>
      <w:r>
        <w:rPr>
          <w:rFonts w:ascii="Times New Roman" w:hAnsi="Times New Roman"/>
          <w:sz w:val="24"/>
          <w:szCs w:val="24"/>
          <w:lang w:val="sr-Cyrl-CS"/>
        </w:rPr>
        <w:t>базичних</w:t>
      </w:r>
      <w:r w:rsidRPr="008C6C1E">
        <w:rPr>
          <w:rFonts w:ascii="Times New Roman" w:hAnsi="Times New Roman"/>
          <w:sz w:val="24"/>
          <w:szCs w:val="24"/>
          <w:lang w:val="sr-Cyrl-CS"/>
        </w:rPr>
        <w:t xml:space="preserve"> узрока великог економског раслојавања у нашем друштву са свим последицама</w:t>
      </w:r>
      <w:r>
        <w:rPr>
          <w:rFonts w:ascii="Times New Roman" w:hAnsi="Times New Roman"/>
          <w:sz w:val="24"/>
          <w:szCs w:val="24"/>
          <w:lang w:val="sr-Cyrl-CS"/>
        </w:rPr>
        <w:t xml:space="preserve"> </w:t>
      </w:r>
      <w:r w:rsidRPr="008C6C1E">
        <w:rPr>
          <w:rFonts w:ascii="Times New Roman" w:hAnsi="Times New Roman"/>
          <w:sz w:val="24"/>
          <w:szCs w:val="24"/>
          <w:lang w:val="sr-Cyrl-CS"/>
        </w:rPr>
        <w:t xml:space="preserve">које то раслојавање са собом доноси. </w:t>
      </w:r>
    </w:p>
    <w:p w:rsidR="001E6839" w:rsidRDefault="001E6839" w:rsidP="001E6839">
      <w:pPr>
        <w:ind w:firstLine="630"/>
        <w:jc w:val="both"/>
        <w:rPr>
          <w:rFonts w:ascii="Times New Roman" w:hAnsi="Times New Roman"/>
          <w:sz w:val="24"/>
          <w:szCs w:val="24"/>
          <w:lang w:val="sr-Cyrl-CS"/>
        </w:rPr>
      </w:pPr>
      <w:r>
        <w:rPr>
          <w:rFonts w:ascii="Times New Roman" w:hAnsi="Times New Roman"/>
          <w:sz w:val="24"/>
          <w:szCs w:val="24"/>
          <w:lang w:val="sr-Cyrl-CS"/>
        </w:rPr>
        <w:t xml:space="preserve">Дакле, са једне стране су веома бројне и свеобухватне последице које изазива евазија пореза. Смањено прикупљање јавних прихода услед избегавања плаћања пореза се даље одражава на економско-политичком и социјално-политичком плану. Неједнака расподела пореског терета и стварање нелојалне конкуренције отвара питање економске правде и једнакости и дискриминације легалних активности. Са друге стране, јавне услуге сви користе, како они који избегавају плаћање пореза, тако и они који своје обавезе уредно испуњавају.  </w:t>
      </w:r>
    </w:p>
    <w:p w:rsidR="001E6839" w:rsidRPr="00913416" w:rsidRDefault="001E6839" w:rsidP="001E6839">
      <w:pPr>
        <w:ind w:firstLine="630"/>
        <w:jc w:val="both"/>
        <w:rPr>
          <w:rFonts w:ascii="Times New Roman" w:hAnsi="Times New Roman"/>
          <w:sz w:val="24"/>
          <w:szCs w:val="24"/>
          <w:lang w:val="sr-Cyrl-CS"/>
        </w:rPr>
      </w:pPr>
    </w:p>
    <w:p w:rsidR="001E6839" w:rsidRPr="00913416" w:rsidRDefault="001E6839" w:rsidP="001E6839">
      <w:pPr>
        <w:jc w:val="center"/>
        <w:rPr>
          <w:rFonts w:ascii="Times New Roman" w:hAnsi="Times New Roman"/>
          <w:b/>
          <w:i/>
          <w:sz w:val="28"/>
          <w:szCs w:val="28"/>
          <w:lang w:val="sr-Cyrl-CS"/>
        </w:rPr>
      </w:pPr>
      <w:r w:rsidRPr="00913416">
        <w:rPr>
          <w:rFonts w:ascii="Times New Roman" w:hAnsi="Times New Roman"/>
          <w:b/>
          <w:i/>
          <w:sz w:val="28"/>
          <w:szCs w:val="28"/>
          <w:lang w:val="sr-Cyrl-CS"/>
        </w:rPr>
        <w:t>6.Начини и методи избегавања плаћања пореза</w:t>
      </w:r>
    </w:p>
    <w:p w:rsidR="001E6839" w:rsidRPr="005A614A" w:rsidRDefault="001E6839" w:rsidP="001E6839">
      <w:pPr>
        <w:jc w:val="center"/>
        <w:rPr>
          <w:rFonts w:ascii="Times New Roman" w:hAnsi="Times New Roman"/>
          <w:sz w:val="24"/>
          <w:szCs w:val="24"/>
        </w:rPr>
      </w:pPr>
    </w:p>
    <w:p w:rsidR="001E6839" w:rsidRPr="008C6C1E" w:rsidRDefault="001E6839" w:rsidP="001E6839">
      <w:pPr>
        <w:ind w:firstLine="708"/>
        <w:jc w:val="both"/>
        <w:rPr>
          <w:rFonts w:ascii="Times New Roman" w:hAnsi="Times New Roman"/>
          <w:sz w:val="24"/>
          <w:szCs w:val="24"/>
          <w:lang w:val="sr-Cyrl-CS"/>
        </w:rPr>
      </w:pPr>
      <w:r>
        <w:rPr>
          <w:rFonts w:ascii="Times New Roman" w:hAnsi="Times New Roman"/>
          <w:sz w:val="24"/>
          <w:szCs w:val="24"/>
          <w:lang w:val="sr-Cyrl-CS"/>
        </w:rPr>
        <w:t>Познавање начина и метода избегавања плаћања пореза је битно како би се успешно могле предузети мере за спречавање ове негативне појаве. Посебно треба имати у виду да се н</w:t>
      </w:r>
      <w:r w:rsidRPr="008C6C1E">
        <w:rPr>
          <w:rFonts w:ascii="Times New Roman" w:hAnsi="Times New Roman"/>
          <w:sz w:val="24"/>
          <w:szCs w:val="24"/>
          <w:lang w:val="sr-Cyrl-CS"/>
        </w:rPr>
        <w:t>ачин</w:t>
      </w:r>
      <w:r>
        <w:rPr>
          <w:rFonts w:ascii="Times New Roman" w:hAnsi="Times New Roman"/>
          <w:sz w:val="24"/>
          <w:szCs w:val="24"/>
          <w:lang w:val="sr-Cyrl-CS"/>
        </w:rPr>
        <w:t>и</w:t>
      </w:r>
      <w:r w:rsidRPr="008C6C1E">
        <w:rPr>
          <w:rFonts w:ascii="Times New Roman" w:hAnsi="Times New Roman"/>
          <w:sz w:val="24"/>
          <w:szCs w:val="24"/>
          <w:lang w:val="sr-Cyrl-CS"/>
        </w:rPr>
        <w:t xml:space="preserve"> и методи извршења </w:t>
      </w:r>
      <w:r w:rsidR="00B64C9B">
        <w:rPr>
          <w:rFonts w:ascii="Times New Roman" w:hAnsi="Times New Roman"/>
          <w:sz w:val="24"/>
          <w:szCs w:val="24"/>
          <w:lang w:val="sr-Cyrl-CS"/>
        </w:rPr>
        <w:t>пореске евазије</w:t>
      </w:r>
      <w:r w:rsidRPr="008C6C1E">
        <w:rPr>
          <w:rFonts w:ascii="Times New Roman" w:hAnsi="Times New Roman"/>
          <w:sz w:val="24"/>
          <w:szCs w:val="24"/>
          <w:lang w:val="sr-Cyrl-CS"/>
        </w:rPr>
        <w:t xml:space="preserve"> веома</w:t>
      </w:r>
      <w:r>
        <w:rPr>
          <w:rFonts w:ascii="Times New Roman" w:hAnsi="Times New Roman"/>
          <w:sz w:val="24"/>
          <w:szCs w:val="24"/>
          <w:lang w:val="sr-Cyrl-CS"/>
        </w:rPr>
        <w:t xml:space="preserve"> </w:t>
      </w:r>
      <w:r w:rsidRPr="008C6C1E">
        <w:rPr>
          <w:rFonts w:ascii="Times New Roman" w:hAnsi="Times New Roman"/>
          <w:sz w:val="24"/>
          <w:szCs w:val="24"/>
          <w:lang w:val="sr-Cyrl-CS"/>
        </w:rPr>
        <w:t xml:space="preserve">брзо мењају и тешко откривају што још више усложава проблематику њиховог расветљавања и доказивања. </w:t>
      </w:r>
    </w:p>
    <w:p w:rsidR="001E6839" w:rsidRDefault="00FA2AD6" w:rsidP="001E6839">
      <w:pPr>
        <w:ind w:firstLine="708"/>
        <w:jc w:val="both"/>
        <w:rPr>
          <w:rFonts w:ascii="Times New Roman" w:hAnsi="Times New Roman"/>
          <w:sz w:val="24"/>
          <w:szCs w:val="24"/>
          <w:lang w:val="sr-Cyrl-CS"/>
        </w:rPr>
      </w:pPr>
      <w:r>
        <w:rPr>
          <w:rFonts w:ascii="Times New Roman" w:hAnsi="Times New Roman"/>
          <w:sz w:val="24"/>
          <w:szCs w:val="24"/>
          <w:lang w:val="sr-Cyrl-CS"/>
        </w:rPr>
        <w:t>Управо</w:t>
      </w:r>
      <w:r w:rsidR="001E6839">
        <w:rPr>
          <w:rFonts w:ascii="Times New Roman" w:hAnsi="Times New Roman"/>
          <w:sz w:val="24"/>
          <w:szCs w:val="24"/>
          <w:lang w:val="sr-Cyrl-CS"/>
        </w:rPr>
        <w:t xml:space="preserve"> због сложености и мултидисиплинарности овог феномена тешко је открити начине и методе извршења евазије пореза. </w:t>
      </w:r>
      <w:r>
        <w:rPr>
          <w:rFonts w:ascii="Times New Roman" w:hAnsi="Times New Roman"/>
          <w:sz w:val="24"/>
          <w:szCs w:val="24"/>
          <w:lang w:val="sr-Cyrl-CS"/>
        </w:rPr>
        <w:t>При том, о</w:t>
      </w:r>
      <w:r w:rsidR="001E6839">
        <w:rPr>
          <w:rFonts w:ascii="Times New Roman" w:hAnsi="Times New Roman"/>
          <w:sz w:val="24"/>
          <w:szCs w:val="24"/>
          <w:lang w:val="sr-Cyrl-CS"/>
        </w:rPr>
        <w:t xml:space="preserve">ни се у пракси брзо мењају и стално се појављују нови облици. </w:t>
      </w:r>
      <w:r>
        <w:rPr>
          <w:rFonts w:ascii="Times New Roman" w:hAnsi="Times New Roman"/>
          <w:sz w:val="24"/>
          <w:szCs w:val="24"/>
          <w:lang w:val="sr-Cyrl-CS"/>
        </w:rPr>
        <w:t xml:space="preserve">Због тога је од великог занчаја </w:t>
      </w:r>
      <w:r w:rsidR="001E6839">
        <w:rPr>
          <w:rFonts w:ascii="Times New Roman" w:hAnsi="Times New Roman"/>
          <w:sz w:val="24"/>
          <w:szCs w:val="24"/>
          <w:lang w:val="sr-Cyrl-CS"/>
        </w:rPr>
        <w:t>разјаснити да ли се ради о непријављивању или лажном пријављивању чињеница значајних за одређивање пореских обавеза, да ли је учинилац п</w:t>
      </w:r>
      <w:r>
        <w:rPr>
          <w:rFonts w:ascii="Times New Roman" w:hAnsi="Times New Roman"/>
          <w:sz w:val="24"/>
          <w:szCs w:val="24"/>
          <w:lang w:val="sr-Cyrl-CS"/>
        </w:rPr>
        <w:t>орески обвезник или друго лице,</w:t>
      </w:r>
      <w:r w:rsidR="001E6839">
        <w:rPr>
          <w:rFonts w:ascii="Times New Roman" w:hAnsi="Times New Roman"/>
          <w:sz w:val="24"/>
          <w:szCs w:val="24"/>
          <w:lang w:val="sr-Cyrl-CS"/>
        </w:rPr>
        <w:t xml:space="preserve"> који </w:t>
      </w:r>
      <w:r>
        <w:rPr>
          <w:rFonts w:ascii="Times New Roman" w:hAnsi="Times New Roman"/>
          <w:sz w:val="24"/>
          <w:szCs w:val="24"/>
          <w:lang w:val="sr-Cyrl-CS"/>
        </w:rPr>
        <w:t>су мотиви</w:t>
      </w:r>
      <w:r w:rsidR="001E6839">
        <w:rPr>
          <w:rFonts w:ascii="Times New Roman" w:hAnsi="Times New Roman"/>
          <w:sz w:val="24"/>
          <w:szCs w:val="24"/>
          <w:lang w:val="sr-Cyrl-CS"/>
        </w:rPr>
        <w:t xml:space="preserve">, </w:t>
      </w:r>
      <w:r>
        <w:rPr>
          <w:rFonts w:ascii="Times New Roman" w:hAnsi="Times New Roman"/>
          <w:sz w:val="24"/>
          <w:szCs w:val="24"/>
          <w:lang w:val="sr-Cyrl-CS"/>
        </w:rPr>
        <w:t>колика је прибављена имовинска корист и како је иста утрошена</w:t>
      </w:r>
      <w:r w:rsidR="001E6839">
        <w:rPr>
          <w:rFonts w:ascii="Times New Roman" w:hAnsi="Times New Roman"/>
          <w:sz w:val="24"/>
          <w:szCs w:val="24"/>
          <w:lang w:val="sr-Cyrl-CS"/>
        </w:rPr>
        <w:t>.</w:t>
      </w:r>
      <w:r w:rsidR="001E6839">
        <w:rPr>
          <w:rStyle w:val="FootnoteReference"/>
          <w:rFonts w:ascii="Times New Roman" w:hAnsi="Times New Roman"/>
          <w:sz w:val="24"/>
          <w:szCs w:val="24"/>
          <w:lang w:val="sr-Cyrl-CS"/>
        </w:rPr>
        <w:footnoteReference w:id="156"/>
      </w:r>
      <w:r w:rsidR="001E6839">
        <w:rPr>
          <w:rFonts w:ascii="Times New Roman" w:hAnsi="Times New Roman"/>
          <w:sz w:val="24"/>
          <w:szCs w:val="24"/>
          <w:lang w:val="sr-Cyrl-CS"/>
        </w:rPr>
        <w:t xml:space="preserve"> </w:t>
      </w:r>
    </w:p>
    <w:p w:rsidR="001E6839" w:rsidRDefault="001E6839" w:rsidP="001E6839">
      <w:pPr>
        <w:ind w:firstLine="708"/>
        <w:jc w:val="both"/>
        <w:rPr>
          <w:rFonts w:ascii="Times New Roman" w:hAnsi="Times New Roman"/>
          <w:sz w:val="24"/>
          <w:szCs w:val="24"/>
          <w:lang w:val="sr-Cyrl-CS"/>
        </w:rPr>
      </w:pPr>
      <w:r>
        <w:rPr>
          <w:rFonts w:ascii="Times New Roman" w:hAnsi="Times New Roman"/>
          <w:sz w:val="24"/>
          <w:szCs w:val="24"/>
          <w:lang w:val="sr-Cyrl-CS"/>
        </w:rPr>
        <w:t>Код избегавања плаћања пореза заступљена је велика разноврсност начина и метода, о којима је детаљно било речи у претходном излагању, везано за поједине облике пореза у трећем делу овог рада. Овде ћемо навести неке од начина као примере за закониту евазију пореза, дефраудацију и контрабанду.</w:t>
      </w:r>
    </w:p>
    <w:p w:rsidR="001E6839" w:rsidRDefault="001E6839" w:rsidP="001E6839">
      <w:pPr>
        <w:ind w:firstLine="708"/>
        <w:jc w:val="both"/>
        <w:rPr>
          <w:rFonts w:ascii="Times New Roman" w:hAnsi="Times New Roman"/>
          <w:sz w:val="24"/>
          <w:szCs w:val="24"/>
          <w:lang w:val="sr-Cyrl-CS"/>
        </w:rPr>
      </w:pPr>
      <w:r>
        <w:rPr>
          <w:rFonts w:ascii="Times New Roman" w:hAnsi="Times New Roman"/>
          <w:sz w:val="24"/>
          <w:szCs w:val="24"/>
          <w:lang w:val="sr-Cyrl-CS"/>
        </w:rPr>
        <w:t xml:space="preserve">Наиме, постоје различити начини којима се законито избегава плаћање пореза као што је коришћење правних празнина, коришћење законских подстицаја, уздржавање од куповине одређених производа или од обављања одређене делатности, пословна преоријентација, промена места боравка и обављања делатности, хуманитарна давања, селидба у пореске рајеве, оснивање off shore фирми и слично.  </w:t>
      </w:r>
    </w:p>
    <w:p w:rsidR="001E6839" w:rsidRPr="00A37613" w:rsidRDefault="00B748D9" w:rsidP="001E6839">
      <w:pPr>
        <w:ind w:firstLine="708"/>
        <w:jc w:val="both"/>
        <w:rPr>
          <w:rFonts w:ascii="Times New Roman" w:hAnsi="Times New Roman"/>
          <w:sz w:val="24"/>
          <w:szCs w:val="24"/>
          <w:lang w:val="sr-Cyrl-CS"/>
        </w:rPr>
      </w:pPr>
      <w:r>
        <w:rPr>
          <w:rFonts w:ascii="Times New Roman" w:hAnsi="Times New Roman"/>
          <w:sz w:val="24"/>
          <w:szCs w:val="24"/>
          <w:lang w:val="sr-Cyrl-CS"/>
        </w:rPr>
        <w:lastRenderedPageBreak/>
        <w:t xml:space="preserve">Начин који је </w:t>
      </w:r>
      <w:r w:rsidR="001E6839">
        <w:rPr>
          <w:rFonts w:ascii="Times New Roman" w:hAnsi="Times New Roman"/>
          <w:sz w:val="24"/>
          <w:szCs w:val="24"/>
          <w:lang w:val="sr-Cyrl-CS"/>
        </w:rPr>
        <w:t>најједноставнији</w:t>
      </w:r>
      <w:r>
        <w:rPr>
          <w:rFonts w:ascii="Times New Roman" w:hAnsi="Times New Roman"/>
          <w:sz w:val="24"/>
          <w:szCs w:val="24"/>
          <w:lang w:val="sr-Cyrl-CS"/>
        </w:rPr>
        <w:t xml:space="preserve"> за избегавања пореских обавеза, а да се при томе остане</w:t>
      </w:r>
      <w:r w:rsidR="001E6839">
        <w:rPr>
          <w:rFonts w:ascii="Times New Roman" w:hAnsi="Times New Roman"/>
          <w:sz w:val="24"/>
          <w:szCs w:val="24"/>
          <w:lang w:val="sr-Cyrl-CS"/>
        </w:rPr>
        <w:t xml:space="preserve"> </w:t>
      </w:r>
      <w:r>
        <w:rPr>
          <w:rFonts w:ascii="Times New Roman" w:hAnsi="Times New Roman"/>
          <w:sz w:val="24"/>
          <w:szCs w:val="24"/>
          <w:lang w:val="sr-Cyrl-CS"/>
        </w:rPr>
        <w:t>у ок</w:t>
      </w:r>
      <w:r w:rsidR="0087793C">
        <w:rPr>
          <w:rFonts w:ascii="Times New Roman" w:hAnsi="Times New Roman"/>
          <w:sz w:val="24"/>
          <w:szCs w:val="24"/>
          <w:lang w:val="sr-Cyrl-CS"/>
        </w:rPr>
        <w:t>вирима</w:t>
      </w:r>
      <w:r>
        <w:rPr>
          <w:rFonts w:ascii="Times New Roman" w:hAnsi="Times New Roman"/>
          <w:sz w:val="24"/>
          <w:szCs w:val="24"/>
          <w:lang w:val="sr-Cyrl-CS"/>
        </w:rPr>
        <w:t xml:space="preserve"> закона, јесте уздржавање од обављања опорезиве делатности</w:t>
      </w:r>
      <w:r w:rsidR="001E6839">
        <w:rPr>
          <w:rFonts w:ascii="Times New Roman" w:hAnsi="Times New Roman"/>
          <w:sz w:val="24"/>
          <w:szCs w:val="24"/>
          <w:lang w:val="sr-Cyrl-CS"/>
        </w:rPr>
        <w:t xml:space="preserve">. </w:t>
      </w:r>
      <w:r>
        <w:rPr>
          <w:rFonts w:ascii="Times New Roman" w:hAnsi="Times New Roman"/>
          <w:sz w:val="24"/>
          <w:szCs w:val="24"/>
          <w:lang w:val="sr-Cyrl-CS"/>
        </w:rPr>
        <w:t>У том случају о</w:t>
      </w:r>
      <w:r w:rsidR="001E6839">
        <w:rPr>
          <w:rFonts w:ascii="Times New Roman" w:hAnsi="Times New Roman"/>
          <w:sz w:val="24"/>
          <w:szCs w:val="24"/>
          <w:lang w:val="sr-Cyrl-CS"/>
        </w:rPr>
        <w:t xml:space="preserve">бвезник се одриче вршења одређене делатности мотивисан фискалним и нефискалним разлозима. </w:t>
      </w:r>
      <w:r>
        <w:rPr>
          <w:rFonts w:ascii="Times New Roman" w:hAnsi="Times New Roman"/>
          <w:sz w:val="24"/>
          <w:szCs w:val="24"/>
          <w:lang w:val="sr-Cyrl-CS"/>
        </w:rPr>
        <w:t>Док ф</w:t>
      </w:r>
      <w:r w:rsidR="001E6839">
        <w:rPr>
          <w:rFonts w:ascii="Times New Roman" w:hAnsi="Times New Roman"/>
          <w:sz w:val="24"/>
          <w:szCs w:val="24"/>
          <w:lang w:val="sr-Cyrl-CS"/>
        </w:rPr>
        <w:t>искални разлози проистичу из висине фискалног терет</w:t>
      </w:r>
      <w:r>
        <w:rPr>
          <w:rFonts w:ascii="Times New Roman" w:hAnsi="Times New Roman"/>
          <w:sz w:val="24"/>
          <w:szCs w:val="24"/>
          <w:lang w:val="sr-Cyrl-CS"/>
        </w:rPr>
        <w:t>а којим су оптерећени обвезници, нефискални разлози попут политичке</w:t>
      </w:r>
      <w:r w:rsidR="001E6839">
        <w:rPr>
          <w:rFonts w:ascii="Times New Roman" w:hAnsi="Times New Roman"/>
          <w:sz w:val="24"/>
          <w:szCs w:val="24"/>
          <w:lang w:val="sr-Cyrl-CS"/>
        </w:rPr>
        <w:t xml:space="preserve"> нестабилност</w:t>
      </w:r>
      <w:r>
        <w:rPr>
          <w:rFonts w:ascii="Times New Roman" w:hAnsi="Times New Roman"/>
          <w:sz w:val="24"/>
          <w:szCs w:val="24"/>
          <w:lang w:val="sr-Cyrl-CS"/>
        </w:rPr>
        <w:t>и</w:t>
      </w:r>
      <w:r w:rsidR="001E6839">
        <w:rPr>
          <w:rFonts w:ascii="Times New Roman" w:hAnsi="Times New Roman"/>
          <w:sz w:val="24"/>
          <w:szCs w:val="24"/>
          <w:lang w:val="sr-Cyrl-CS"/>
        </w:rPr>
        <w:t>, неповољно</w:t>
      </w:r>
      <w:r>
        <w:rPr>
          <w:rFonts w:ascii="Times New Roman" w:hAnsi="Times New Roman"/>
          <w:sz w:val="24"/>
          <w:szCs w:val="24"/>
          <w:lang w:val="sr-Cyrl-CS"/>
        </w:rPr>
        <w:t>г</w:t>
      </w:r>
      <w:r w:rsidR="001E6839">
        <w:rPr>
          <w:rFonts w:ascii="Times New Roman" w:hAnsi="Times New Roman"/>
          <w:sz w:val="24"/>
          <w:szCs w:val="24"/>
          <w:lang w:val="sr-Cyrl-CS"/>
        </w:rPr>
        <w:t xml:space="preserve"> међународно</w:t>
      </w:r>
      <w:r>
        <w:rPr>
          <w:rFonts w:ascii="Times New Roman" w:hAnsi="Times New Roman"/>
          <w:sz w:val="24"/>
          <w:szCs w:val="24"/>
          <w:lang w:val="sr-Cyrl-CS"/>
        </w:rPr>
        <w:t>г окружења, санкција</w:t>
      </w:r>
      <w:r w:rsidR="001E6839">
        <w:rPr>
          <w:rFonts w:ascii="Times New Roman" w:hAnsi="Times New Roman"/>
          <w:sz w:val="24"/>
          <w:szCs w:val="24"/>
          <w:lang w:val="sr-Cyrl-CS"/>
        </w:rPr>
        <w:t xml:space="preserve"> и сл., могу такође снажно утицати на одустајање од делатности. </w:t>
      </w:r>
      <w:r>
        <w:rPr>
          <w:rFonts w:ascii="Times New Roman" w:hAnsi="Times New Roman"/>
          <w:sz w:val="24"/>
          <w:szCs w:val="24"/>
          <w:lang w:val="sr-Cyrl-CS"/>
        </w:rPr>
        <w:t>За Србију је карактеристична к</w:t>
      </w:r>
      <w:r w:rsidR="001E6839">
        <w:rPr>
          <w:rFonts w:ascii="Times New Roman" w:hAnsi="Times New Roman"/>
          <w:sz w:val="24"/>
          <w:szCs w:val="24"/>
          <w:lang w:val="sr-Cyrl-CS"/>
        </w:rPr>
        <w:t xml:space="preserve">омбинација фискалних и нефискалних </w:t>
      </w:r>
      <w:r>
        <w:rPr>
          <w:rFonts w:ascii="Times New Roman" w:hAnsi="Times New Roman"/>
          <w:sz w:val="24"/>
          <w:szCs w:val="24"/>
          <w:lang w:val="sr-Cyrl-CS"/>
        </w:rPr>
        <w:t>разлога</w:t>
      </w:r>
      <w:r w:rsidR="001E6839">
        <w:rPr>
          <w:rFonts w:ascii="Times New Roman" w:hAnsi="Times New Roman"/>
          <w:sz w:val="24"/>
          <w:szCs w:val="24"/>
          <w:lang w:val="sr-Cyrl-CS"/>
        </w:rPr>
        <w:t xml:space="preserve">. </w:t>
      </w:r>
      <w:r>
        <w:rPr>
          <w:rFonts w:ascii="Times New Roman" w:hAnsi="Times New Roman"/>
          <w:sz w:val="24"/>
          <w:szCs w:val="24"/>
          <w:lang w:val="sr-Cyrl-CS"/>
        </w:rPr>
        <w:t xml:space="preserve">Међутим, невезано о ком разлогу </w:t>
      </w:r>
      <w:r w:rsidR="0087793C">
        <w:rPr>
          <w:rFonts w:ascii="Times New Roman" w:hAnsi="Times New Roman"/>
          <w:sz w:val="24"/>
          <w:szCs w:val="24"/>
          <w:lang w:val="sr-Cyrl-CS"/>
        </w:rPr>
        <w:t>који је обвезника подстакао да се уздржи од делатности</w:t>
      </w:r>
      <w:r>
        <w:rPr>
          <w:rFonts w:ascii="Times New Roman" w:hAnsi="Times New Roman"/>
          <w:sz w:val="24"/>
          <w:szCs w:val="24"/>
          <w:lang w:val="sr-Cyrl-CS"/>
        </w:rPr>
        <w:t xml:space="preserve"> се ради</w:t>
      </w:r>
      <w:r w:rsidR="001E6839">
        <w:rPr>
          <w:rFonts w:ascii="Times New Roman" w:hAnsi="Times New Roman"/>
          <w:sz w:val="24"/>
          <w:szCs w:val="24"/>
          <w:lang w:val="sr-Cyrl-CS"/>
        </w:rPr>
        <w:t>, пореска обавеза неће настати, јер се не обавља активнос</w:t>
      </w:r>
      <w:r>
        <w:rPr>
          <w:rFonts w:ascii="Times New Roman" w:hAnsi="Times New Roman"/>
          <w:sz w:val="24"/>
          <w:szCs w:val="24"/>
          <w:lang w:val="sr-Cyrl-CS"/>
        </w:rPr>
        <w:t>т која се подвргава опорезивању, односно</w:t>
      </w:r>
      <w:r w:rsidR="001E6839">
        <w:rPr>
          <w:rFonts w:ascii="Times New Roman" w:hAnsi="Times New Roman"/>
          <w:sz w:val="24"/>
          <w:szCs w:val="24"/>
          <w:lang w:val="sr-Cyrl-CS"/>
        </w:rPr>
        <w:t xml:space="preserve"> у реалном животу </w:t>
      </w:r>
      <w:r>
        <w:rPr>
          <w:rFonts w:ascii="Times New Roman" w:hAnsi="Times New Roman"/>
          <w:sz w:val="24"/>
          <w:szCs w:val="24"/>
          <w:lang w:val="sr-Cyrl-CS"/>
        </w:rPr>
        <w:t xml:space="preserve">се </w:t>
      </w:r>
      <w:r w:rsidR="001E6839">
        <w:rPr>
          <w:rFonts w:ascii="Times New Roman" w:hAnsi="Times New Roman"/>
          <w:sz w:val="24"/>
          <w:szCs w:val="24"/>
          <w:lang w:val="sr-Cyrl-CS"/>
        </w:rPr>
        <w:t xml:space="preserve">нису оствариле чињенице које се могу подвести под законски опис пореског чињеничног стања. Законита евазија пореза може се остварити и </w:t>
      </w:r>
      <w:r w:rsidR="0087793C">
        <w:rPr>
          <w:rFonts w:ascii="Times New Roman" w:hAnsi="Times New Roman"/>
          <w:sz w:val="24"/>
          <w:szCs w:val="24"/>
          <w:lang w:val="sr-Cyrl-CS"/>
        </w:rPr>
        <w:t xml:space="preserve">коришћењем </w:t>
      </w:r>
      <w:r w:rsidR="001E6839">
        <w:rPr>
          <w:rFonts w:ascii="Times New Roman" w:hAnsi="Times New Roman"/>
          <w:sz w:val="24"/>
          <w:szCs w:val="24"/>
          <w:lang w:val="sr-Cyrl-CS"/>
        </w:rPr>
        <w:t xml:space="preserve">пореског ослобођења. </w:t>
      </w:r>
      <w:r w:rsidR="0087793C">
        <w:rPr>
          <w:rFonts w:ascii="Times New Roman" w:hAnsi="Times New Roman"/>
          <w:sz w:val="24"/>
          <w:szCs w:val="24"/>
          <w:lang w:val="sr-Cyrl-CS"/>
        </w:rPr>
        <w:t>Пореска ослобођења се у закону прописују како би</w:t>
      </w:r>
      <w:r w:rsidR="001E6839">
        <w:rPr>
          <w:rFonts w:ascii="Times New Roman" w:hAnsi="Times New Roman"/>
          <w:sz w:val="24"/>
          <w:szCs w:val="24"/>
          <w:lang w:val="sr-Cyrl-CS"/>
        </w:rPr>
        <w:t xml:space="preserve"> </w:t>
      </w:r>
      <w:r w:rsidR="0087793C">
        <w:rPr>
          <w:rFonts w:ascii="Times New Roman" w:hAnsi="Times New Roman"/>
          <w:sz w:val="24"/>
          <w:szCs w:val="24"/>
          <w:lang w:val="sr-Cyrl-CS"/>
        </w:rPr>
        <w:t xml:space="preserve">се </w:t>
      </w:r>
      <w:r w:rsidR="001E6839">
        <w:rPr>
          <w:rFonts w:ascii="Times New Roman" w:hAnsi="Times New Roman"/>
          <w:sz w:val="24"/>
          <w:szCs w:val="24"/>
          <w:lang w:val="sr-Cyrl-CS"/>
        </w:rPr>
        <w:t>у пуној мери оствари</w:t>
      </w:r>
      <w:r w:rsidR="0087793C">
        <w:rPr>
          <w:rFonts w:ascii="Times New Roman" w:hAnsi="Times New Roman"/>
          <w:sz w:val="24"/>
          <w:szCs w:val="24"/>
          <w:lang w:val="sr-Cyrl-CS"/>
        </w:rPr>
        <w:t>о</w:t>
      </w:r>
      <w:r w:rsidR="001E6839">
        <w:rPr>
          <w:rFonts w:ascii="Times New Roman" w:hAnsi="Times New Roman"/>
          <w:sz w:val="24"/>
          <w:szCs w:val="24"/>
          <w:lang w:val="sr-Cyrl-CS"/>
        </w:rPr>
        <w:t xml:space="preserve"> прокламовани циљ опорезивања. Међутим, </w:t>
      </w:r>
      <w:r w:rsidR="0087793C">
        <w:rPr>
          <w:rFonts w:ascii="Times New Roman" w:hAnsi="Times New Roman"/>
          <w:sz w:val="24"/>
          <w:szCs w:val="24"/>
          <w:lang w:val="sr-Cyrl-CS"/>
        </w:rPr>
        <w:t>пореско ослобођење може послужити</w:t>
      </w:r>
      <w:r w:rsidR="001E6839">
        <w:rPr>
          <w:rFonts w:ascii="Times New Roman" w:hAnsi="Times New Roman"/>
          <w:sz w:val="24"/>
          <w:szCs w:val="24"/>
          <w:lang w:val="sr-Cyrl-CS"/>
        </w:rPr>
        <w:t xml:space="preserve"> </w:t>
      </w:r>
      <w:r w:rsidR="0087793C">
        <w:rPr>
          <w:rFonts w:ascii="Times New Roman" w:hAnsi="Times New Roman"/>
          <w:sz w:val="24"/>
          <w:szCs w:val="24"/>
          <w:lang w:val="sr-Cyrl-CS"/>
        </w:rPr>
        <w:t>за нелегитимно</w:t>
      </w:r>
      <w:r w:rsidR="001E6839">
        <w:rPr>
          <w:rFonts w:ascii="Times New Roman" w:hAnsi="Times New Roman"/>
          <w:sz w:val="24"/>
          <w:szCs w:val="24"/>
          <w:lang w:val="sr-Cyrl-CS"/>
        </w:rPr>
        <w:t xml:space="preserve"> закони</w:t>
      </w:r>
      <w:r w:rsidR="0087793C">
        <w:rPr>
          <w:rFonts w:ascii="Times New Roman" w:hAnsi="Times New Roman"/>
          <w:sz w:val="24"/>
          <w:szCs w:val="24"/>
          <w:lang w:val="sr-Cyrl-CS"/>
        </w:rPr>
        <w:t>то умањење пореза, па а</w:t>
      </w:r>
      <w:r w:rsidR="001E6839">
        <w:rPr>
          <w:rFonts w:ascii="Times New Roman" w:hAnsi="Times New Roman"/>
          <w:sz w:val="24"/>
          <w:szCs w:val="24"/>
          <w:lang w:val="sr-Cyrl-CS"/>
        </w:rPr>
        <w:t>ко порески обвезник оствари пореску уштеду првенствено из фискалних, а не из пословних разлога, тада се неће остварити намера законодавца, а тиме ни фискални циљ.</w:t>
      </w:r>
      <w:r w:rsidR="001E6839">
        <w:rPr>
          <w:rStyle w:val="FootnoteReference"/>
          <w:rFonts w:ascii="Times New Roman" w:hAnsi="Times New Roman"/>
          <w:sz w:val="24"/>
          <w:szCs w:val="24"/>
          <w:lang w:val="sr-Cyrl-CS"/>
        </w:rPr>
        <w:footnoteReference w:id="157"/>
      </w:r>
      <w:r w:rsidR="001E6839">
        <w:rPr>
          <w:rFonts w:ascii="Times New Roman" w:hAnsi="Times New Roman"/>
          <w:sz w:val="24"/>
          <w:szCs w:val="24"/>
          <w:lang w:val="sr-Cyrl-CS"/>
        </w:rPr>
        <w:t xml:space="preserve">  </w:t>
      </w:r>
    </w:p>
    <w:p w:rsidR="00F31453" w:rsidRDefault="001E6839" w:rsidP="00F31453">
      <w:pPr>
        <w:ind w:firstLine="708"/>
        <w:jc w:val="both"/>
        <w:rPr>
          <w:rFonts w:ascii="Times New Roman" w:hAnsi="Times New Roman"/>
          <w:sz w:val="24"/>
          <w:szCs w:val="24"/>
          <w:lang w:val="sr-Cyrl-CS"/>
        </w:rPr>
      </w:pPr>
      <w:r>
        <w:rPr>
          <w:rFonts w:ascii="Times New Roman" w:hAnsi="Times New Roman"/>
          <w:sz w:val="24"/>
          <w:szCs w:val="24"/>
        </w:rPr>
        <w:t>Постоје различити начини утаје пореза</w:t>
      </w:r>
      <w:r>
        <w:rPr>
          <w:rFonts w:ascii="Times New Roman" w:hAnsi="Times New Roman"/>
          <w:sz w:val="24"/>
          <w:szCs w:val="24"/>
          <w:lang w:val="sr-Cyrl-CS"/>
        </w:rPr>
        <w:t xml:space="preserve"> (дефраудација)</w:t>
      </w:r>
      <w:r w:rsidR="0087793C">
        <w:rPr>
          <w:rFonts w:ascii="Times New Roman" w:hAnsi="Times New Roman"/>
          <w:sz w:val="24"/>
          <w:szCs w:val="24"/>
          <w:lang w:val="sr-Cyrl-CS"/>
        </w:rPr>
        <w:t xml:space="preserve"> </w:t>
      </w:r>
      <w:r w:rsidR="00654CF1">
        <w:rPr>
          <w:rFonts w:ascii="Times New Roman" w:hAnsi="Times New Roman"/>
          <w:sz w:val="24"/>
          <w:szCs w:val="24"/>
          <w:lang w:val="sr-Cyrl-CS"/>
        </w:rPr>
        <w:t>који се појављују у пракси. Неки од њих су</w:t>
      </w:r>
      <w:r>
        <w:rPr>
          <w:rFonts w:ascii="Times New Roman" w:hAnsi="Times New Roman"/>
          <w:sz w:val="24"/>
          <w:szCs w:val="24"/>
        </w:rPr>
        <w:t>:</w:t>
      </w:r>
    </w:p>
    <w:p w:rsidR="00F31453" w:rsidRPr="00F31453" w:rsidRDefault="00F31453" w:rsidP="00F31453">
      <w:pPr>
        <w:jc w:val="both"/>
        <w:rPr>
          <w:rFonts w:ascii="Times New Roman" w:hAnsi="Times New Roman"/>
          <w:sz w:val="24"/>
          <w:szCs w:val="24"/>
          <w:lang w:val="sr-Cyrl-CS"/>
        </w:rPr>
      </w:pPr>
      <w:r>
        <w:rPr>
          <w:rFonts w:ascii="Times New Roman" w:hAnsi="Times New Roman"/>
          <w:sz w:val="24"/>
          <w:szCs w:val="24"/>
          <w:lang w:val="sr-Cyrl-CS"/>
        </w:rPr>
        <w:t>-вођење дуплог књиговодства ( једне књиге се приказују контролним органима, док се у другима се бележи стварно пословање),</w:t>
      </w:r>
    </w:p>
    <w:p w:rsidR="00F31453" w:rsidRDefault="00F31453" w:rsidP="00F31453">
      <w:pPr>
        <w:jc w:val="both"/>
        <w:rPr>
          <w:rFonts w:ascii="Times New Roman" w:hAnsi="Times New Roman"/>
          <w:sz w:val="24"/>
          <w:szCs w:val="24"/>
          <w:lang w:val="sr-Cyrl-CS"/>
        </w:rPr>
      </w:pPr>
      <w:r>
        <w:rPr>
          <w:rFonts w:ascii="Times New Roman" w:hAnsi="Times New Roman"/>
          <w:sz w:val="24"/>
          <w:szCs w:val="24"/>
          <w:lang w:val="sr-Cyrl-CS"/>
        </w:rPr>
        <w:t>-неуплаћивање обавеза по основу пореза на доходак грађана (исплата дела дохотка у натури, кроз разне облике донација и слично),</w:t>
      </w:r>
    </w:p>
    <w:p w:rsidR="00F31453" w:rsidRDefault="00F31453" w:rsidP="00F31453">
      <w:pPr>
        <w:jc w:val="both"/>
        <w:rPr>
          <w:rFonts w:ascii="Times New Roman" w:hAnsi="Times New Roman"/>
          <w:sz w:val="24"/>
          <w:szCs w:val="24"/>
          <w:lang w:val="sr-Cyrl-CS"/>
        </w:rPr>
      </w:pPr>
      <w:r>
        <w:rPr>
          <w:rFonts w:ascii="Times New Roman" w:hAnsi="Times New Roman"/>
          <w:sz w:val="24"/>
          <w:szCs w:val="24"/>
          <w:lang w:val="sr-Cyrl-CS"/>
        </w:rPr>
        <w:t>-исплате хонорара у готовом новцу естрадним уметницима чиме се прикрива стварни приход и избегаваа пореска обавеза,</w:t>
      </w:r>
    </w:p>
    <w:p w:rsidR="00F31453" w:rsidRDefault="00F31453" w:rsidP="00F31453">
      <w:pPr>
        <w:jc w:val="both"/>
        <w:rPr>
          <w:rFonts w:ascii="Times New Roman" w:hAnsi="Times New Roman"/>
          <w:sz w:val="24"/>
          <w:szCs w:val="24"/>
          <w:lang w:val="sr-Cyrl-CS"/>
        </w:rPr>
      </w:pPr>
      <w:r>
        <w:rPr>
          <w:rFonts w:ascii="Times New Roman" w:hAnsi="Times New Roman"/>
          <w:sz w:val="24"/>
          <w:szCs w:val="24"/>
          <w:lang w:val="sr-Cyrl-CS"/>
        </w:rPr>
        <w:t>-фиктивно увећање материјалних трошкова пословања, ( лажно исказивање билансних позиција у пореском билансу, у циљу смањења обавеза по основу пореза на добит предузећа),</w:t>
      </w:r>
    </w:p>
    <w:p w:rsidR="00F31453" w:rsidRDefault="00F31453" w:rsidP="00F31453">
      <w:pPr>
        <w:jc w:val="both"/>
        <w:rPr>
          <w:rFonts w:ascii="Times New Roman" w:hAnsi="Times New Roman"/>
          <w:sz w:val="24"/>
          <w:szCs w:val="24"/>
          <w:lang w:val="sr-Cyrl-CS"/>
        </w:rPr>
      </w:pPr>
      <w:r>
        <w:rPr>
          <w:rFonts w:ascii="Times New Roman" w:hAnsi="Times New Roman"/>
          <w:sz w:val="24"/>
          <w:szCs w:val="24"/>
          <w:lang w:val="sr-Cyrl-CS"/>
        </w:rPr>
        <w:t>- избегавање пореске обавезе код пореза на имовину на приходе које лица стичу издавањем станова, пословних објеката и других просторија у закуп,</w:t>
      </w:r>
    </w:p>
    <w:p w:rsidR="00F31453" w:rsidRDefault="00F31453" w:rsidP="00F31453">
      <w:pPr>
        <w:jc w:val="both"/>
        <w:rPr>
          <w:rFonts w:ascii="Times New Roman" w:hAnsi="Times New Roman"/>
          <w:sz w:val="24"/>
          <w:szCs w:val="24"/>
          <w:lang w:val="sr-Cyrl-CS"/>
        </w:rPr>
      </w:pPr>
      <w:r>
        <w:rPr>
          <w:rFonts w:ascii="Times New Roman" w:hAnsi="Times New Roman"/>
          <w:sz w:val="24"/>
          <w:szCs w:val="24"/>
          <w:lang w:val="sr-Cyrl-CS"/>
        </w:rPr>
        <w:t>- подизање стамбених објеката, при чему приходи који су остварени од стране извођача грађевинских радова нису адекватно обухваћени опорезивањем,</w:t>
      </w:r>
    </w:p>
    <w:p w:rsidR="00F31453" w:rsidRDefault="00F31453" w:rsidP="00F31453">
      <w:pPr>
        <w:jc w:val="both"/>
        <w:rPr>
          <w:rFonts w:ascii="Times New Roman" w:hAnsi="Times New Roman"/>
          <w:sz w:val="24"/>
          <w:szCs w:val="24"/>
          <w:lang w:val="sr-Cyrl-CS"/>
        </w:rPr>
      </w:pPr>
      <w:r>
        <w:rPr>
          <w:rFonts w:ascii="Times New Roman" w:hAnsi="Times New Roman"/>
          <w:sz w:val="24"/>
          <w:szCs w:val="24"/>
          <w:lang w:val="sr-Cyrl-CS"/>
        </w:rPr>
        <w:t xml:space="preserve">-не приказивање стварне количине произведене и продате робе </w:t>
      </w:r>
      <w:r w:rsidR="004230D7">
        <w:rPr>
          <w:rFonts w:ascii="Times New Roman" w:hAnsi="Times New Roman"/>
          <w:sz w:val="24"/>
          <w:szCs w:val="24"/>
          <w:lang w:val="sr-Cyrl-CS"/>
        </w:rPr>
        <w:t xml:space="preserve">и </w:t>
      </w:r>
      <w:r w:rsidR="004C38A0">
        <w:rPr>
          <w:rFonts w:ascii="Times New Roman" w:hAnsi="Times New Roman"/>
          <w:sz w:val="24"/>
          <w:szCs w:val="24"/>
          <w:lang w:val="sr-Cyrl-CS"/>
        </w:rPr>
        <w:t>кроз неисказивање стварног обима пружених услуга, код опорезивања промета и акциза,</w:t>
      </w:r>
    </w:p>
    <w:p w:rsidR="004C38A0" w:rsidRDefault="004C38A0" w:rsidP="00F31453">
      <w:pPr>
        <w:jc w:val="both"/>
        <w:rPr>
          <w:rFonts w:ascii="Times New Roman" w:hAnsi="Times New Roman"/>
          <w:sz w:val="24"/>
          <w:szCs w:val="24"/>
          <w:lang w:val="sr-Cyrl-CS"/>
        </w:rPr>
      </w:pPr>
      <w:r>
        <w:rPr>
          <w:rFonts w:ascii="Times New Roman" w:hAnsi="Times New Roman"/>
          <w:sz w:val="24"/>
          <w:szCs w:val="24"/>
          <w:lang w:val="sr-Cyrl-CS"/>
        </w:rPr>
        <w:lastRenderedPageBreak/>
        <w:t>-непријављивање, односно нерегистровање радње, предузећа или делатности која се обавља,</w:t>
      </w:r>
    </w:p>
    <w:p w:rsidR="001E6839" w:rsidRDefault="004C38A0" w:rsidP="001E6839">
      <w:pPr>
        <w:jc w:val="both"/>
        <w:rPr>
          <w:rFonts w:ascii="Times New Roman" w:hAnsi="Times New Roman"/>
          <w:sz w:val="24"/>
          <w:szCs w:val="24"/>
          <w:lang w:val="sr-Cyrl-CS"/>
        </w:rPr>
      </w:pPr>
      <w:r>
        <w:rPr>
          <w:rFonts w:ascii="Times New Roman" w:hAnsi="Times New Roman"/>
          <w:sz w:val="24"/>
          <w:szCs w:val="24"/>
          <w:lang w:val="sr-Cyrl-CS"/>
        </w:rPr>
        <w:t>-обављање послова преко фиктивних предузећа, основаних само у циљу „прања промета“, а тиме и новца (промет се исказује коришћењем документације о наводном пословању са предузећима из Црне Горе и Републике Српске, а та предузећа у многим случајевима, не само да нису пословала са правним лицима из Републике Србије, већ не постоји ни акт о њиховом оснивању).</w:t>
      </w:r>
      <w:r w:rsidR="001E6839">
        <w:rPr>
          <w:rStyle w:val="FootnoteReference"/>
          <w:rFonts w:ascii="Times New Roman" w:hAnsi="Times New Roman"/>
          <w:sz w:val="24"/>
          <w:szCs w:val="24"/>
          <w:lang w:val="sr-Cyrl-CS"/>
        </w:rPr>
        <w:footnoteReference w:id="158"/>
      </w:r>
      <w:r w:rsidR="001E6839">
        <w:rPr>
          <w:rFonts w:ascii="Times New Roman" w:hAnsi="Times New Roman"/>
          <w:sz w:val="24"/>
          <w:szCs w:val="24"/>
          <w:lang w:val="sr-Cyrl-CS"/>
        </w:rPr>
        <w:t xml:space="preserve"> </w:t>
      </w:r>
    </w:p>
    <w:p w:rsidR="001E6839" w:rsidRDefault="001E6839" w:rsidP="001E6839">
      <w:pPr>
        <w:ind w:firstLine="708"/>
        <w:jc w:val="both"/>
        <w:rPr>
          <w:rFonts w:ascii="Times New Roman" w:hAnsi="Times New Roman"/>
          <w:sz w:val="24"/>
          <w:szCs w:val="24"/>
          <w:lang w:val="sr-Cyrl-CS"/>
        </w:rPr>
      </w:pPr>
      <w:r>
        <w:rPr>
          <w:rFonts w:ascii="Times New Roman" w:hAnsi="Times New Roman"/>
          <w:sz w:val="24"/>
          <w:szCs w:val="24"/>
          <w:lang w:val="sr-Cyrl-CS"/>
        </w:rPr>
        <w:t xml:space="preserve">Постоје разни начини за контрабанду (кријумчарење, шверц). Код акциза избегавање пореских обавеза је нарочито изражено кроз прикривање стварне количине робе. </w:t>
      </w:r>
    </w:p>
    <w:p w:rsidR="00903A1A" w:rsidRDefault="001E6839" w:rsidP="005F2506">
      <w:pPr>
        <w:ind w:firstLine="708"/>
        <w:jc w:val="both"/>
        <w:rPr>
          <w:rFonts w:ascii="Times New Roman" w:hAnsi="Times New Roman"/>
          <w:sz w:val="24"/>
          <w:szCs w:val="24"/>
          <w:lang w:val="sr-Cyrl-CS"/>
        </w:rPr>
      </w:pPr>
      <w:r>
        <w:rPr>
          <w:rFonts w:ascii="Times New Roman" w:hAnsi="Times New Roman"/>
          <w:sz w:val="24"/>
          <w:szCs w:val="24"/>
          <w:lang w:val="sr-Cyrl-CS"/>
        </w:rPr>
        <w:t xml:space="preserve">Данас се плаћање акциза најчешће избегава код промета нафтних деривата. Нафтни деривати </w:t>
      </w:r>
      <w:r w:rsidR="002A31FD">
        <w:rPr>
          <w:rFonts w:ascii="Times New Roman" w:hAnsi="Times New Roman"/>
          <w:sz w:val="24"/>
          <w:szCs w:val="24"/>
          <w:lang w:val="sr-Cyrl-CS"/>
        </w:rPr>
        <w:t>се набављају преко класичних кријумчарских канала са илегалног тржишта из суседних земаља</w:t>
      </w:r>
      <w:r>
        <w:rPr>
          <w:rFonts w:ascii="Times New Roman" w:hAnsi="Times New Roman"/>
          <w:sz w:val="24"/>
          <w:szCs w:val="24"/>
          <w:lang w:val="sr-Cyrl-CS"/>
        </w:rPr>
        <w:t xml:space="preserve">. </w:t>
      </w:r>
      <w:r w:rsidR="002A31FD">
        <w:rPr>
          <w:rFonts w:ascii="Times New Roman" w:hAnsi="Times New Roman"/>
          <w:sz w:val="24"/>
          <w:szCs w:val="24"/>
          <w:lang w:val="sr-Cyrl-CS"/>
        </w:rPr>
        <w:t>У ове</w:t>
      </w:r>
      <w:r>
        <w:rPr>
          <w:rFonts w:ascii="Times New Roman" w:hAnsi="Times New Roman"/>
          <w:sz w:val="24"/>
          <w:szCs w:val="24"/>
          <w:lang w:val="sr-Cyrl-CS"/>
        </w:rPr>
        <w:t xml:space="preserve"> канале су укључена и предузећа која нафтне деривате дистрибуирају на легалном</w:t>
      </w:r>
      <w:r w:rsidR="002A31FD">
        <w:rPr>
          <w:rFonts w:ascii="Times New Roman" w:hAnsi="Times New Roman"/>
          <w:sz w:val="24"/>
          <w:szCs w:val="24"/>
          <w:lang w:val="sr-Cyrl-CS"/>
        </w:rPr>
        <w:t xml:space="preserve"> тржишту </w:t>
      </w:r>
      <w:r w:rsidR="00366D77">
        <w:rPr>
          <w:rFonts w:ascii="Times New Roman" w:hAnsi="Times New Roman"/>
          <w:sz w:val="24"/>
          <w:szCs w:val="24"/>
          <w:lang w:val="sr-Cyrl-CS"/>
        </w:rPr>
        <w:t>пошто се</w:t>
      </w:r>
      <w:r w:rsidR="002A31FD">
        <w:rPr>
          <w:rFonts w:ascii="Times New Roman" w:hAnsi="Times New Roman"/>
          <w:sz w:val="24"/>
          <w:szCs w:val="24"/>
          <w:lang w:val="sr-Cyrl-CS"/>
        </w:rPr>
        <w:t xml:space="preserve"> нафтни деривати</w:t>
      </w:r>
      <w:r>
        <w:rPr>
          <w:rFonts w:ascii="Times New Roman" w:hAnsi="Times New Roman"/>
          <w:sz w:val="24"/>
          <w:szCs w:val="24"/>
          <w:lang w:val="sr-Cyrl-CS"/>
        </w:rPr>
        <w:t xml:space="preserve"> </w:t>
      </w:r>
      <w:r w:rsidR="00366D77">
        <w:rPr>
          <w:rFonts w:ascii="Times New Roman" w:hAnsi="Times New Roman"/>
          <w:sz w:val="24"/>
          <w:szCs w:val="24"/>
          <w:lang w:val="sr-Cyrl-CS"/>
        </w:rPr>
        <w:t xml:space="preserve">претходно </w:t>
      </w:r>
      <w:r>
        <w:rPr>
          <w:rFonts w:ascii="Times New Roman" w:hAnsi="Times New Roman"/>
          <w:sz w:val="24"/>
          <w:szCs w:val="24"/>
          <w:lang w:val="sr-Cyrl-CS"/>
        </w:rPr>
        <w:t xml:space="preserve">купују на илегалном тржишту од лица или организација које се баве илегалним пребацивањем тих добара у земљу. </w:t>
      </w:r>
      <w:r w:rsidR="00ED3B3F">
        <w:rPr>
          <w:rFonts w:ascii="Times New Roman" w:hAnsi="Times New Roman"/>
          <w:sz w:val="24"/>
          <w:szCs w:val="24"/>
          <w:lang w:val="sr-Cyrl-CS"/>
        </w:rPr>
        <w:t>Након</w:t>
      </w:r>
      <w:r>
        <w:rPr>
          <w:rFonts w:ascii="Times New Roman" w:hAnsi="Times New Roman"/>
          <w:sz w:val="24"/>
          <w:szCs w:val="24"/>
          <w:lang w:val="sr-Cyrl-CS"/>
        </w:rPr>
        <w:t xml:space="preserve"> куповине за готов новац, приказује се фиктивна куповина тих нафтних деривата од фантом предузећа </w:t>
      </w:r>
      <w:r w:rsidR="00ED3B3F">
        <w:rPr>
          <w:rFonts w:ascii="Times New Roman" w:hAnsi="Times New Roman"/>
          <w:sz w:val="24"/>
          <w:szCs w:val="24"/>
          <w:lang w:val="sr-Cyrl-CS"/>
        </w:rPr>
        <w:t>као</w:t>
      </w:r>
      <w:r>
        <w:rPr>
          <w:rFonts w:ascii="Times New Roman" w:hAnsi="Times New Roman"/>
          <w:sz w:val="24"/>
          <w:szCs w:val="24"/>
          <w:lang w:val="sr-Cyrl-CS"/>
        </w:rPr>
        <w:t xml:space="preserve"> добављача</w:t>
      </w:r>
      <w:r w:rsidR="00ED3B3F">
        <w:rPr>
          <w:rFonts w:ascii="Times New Roman" w:hAnsi="Times New Roman"/>
          <w:sz w:val="24"/>
          <w:szCs w:val="24"/>
          <w:lang w:val="sr-Cyrl-CS"/>
        </w:rPr>
        <w:t xml:space="preserve"> и сачињавају се лажне фактуре</w:t>
      </w:r>
      <w:r>
        <w:rPr>
          <w:rFonts w:ascii="Times New Roman" w:hAnsi="Times New Roman"/>
          <w:sz w:val="24"/>
          <w:szCs w:val="24"/>
          <w:lang w:val="sr-Cyrl-CS"/>
        </w:rPr>
        <w:t xml:space="preserve"> фантом предузећа </w:t>
      </w:r>
      <w:r w:rsidR="00ED3B3F">
        <w:rPr>
          <w:rFonts w:ascii="Times New Roman" w:hAnsi="Times New Roman"/>
          <w:sz w:val="24"/>
          <w:szCs w:val="24"/>
          <w:lang w:val="sr-Cyrl-CS"/>
        </w:rPr>
        <w:t>на којој се исказују</w:t>
      </w:r>
      <w:r>
        <w:rPr>
          <w:rFonts w:ascii="Times New Roman" w:hAnsi="Times New Roman"/>
          <w:sz w:val="24"/>
          <w:szCs w:val="24"/>
          <w:lang w:val="sr-Cyrl-CS"/>
        </w:rPr>
        <w:t xml:space="preserve"> акциза и ПДВ. Таква фактура </w:t>
      </w:r>
      <w:r w:rsidR="00ED3B3F">
        <w:rPr>
          <w:rFonts w:ascii="Times New Roman" w:hAnsi="Times New Roman"/>
          <w:sz w:val="24"/>
          <w:szCs w:val="24"/>
          <w:lang w:val="sr-Cyrl-CS"/>
        </w:rPr>
        <w:t xml:space="preserve">не само што је фиктивна него се по правилу </w:t>
      </w:r>
      <w:r>
        <w:rPr>
          <w:rFonts w:ascii="Times New Roman" w:hAnsi="Times New Roman"/>
          <w:sz w:val="24"/>
          <w:szCs w:val="24"/>
          <w:lang w:val="sr-Cyrl-CS"/>
        </w:rPr>
        <w:t xml:space="preserve"> не плаћа, што подразумева и неплаћање</w:t>
      </w:r>
      <w:r w:rsidR="00ED3B3F">
        <w:rPr>
          <w:rFonts w:ascii="Times New Roman" w:hAnsi="Times New Roman"/>
          <w:sz w:val="24"/>
          <w:szCs w:val="24"/>
          <w:lang w:val="sr-Cyrl-CS"/>
        </w:rPr>
        <w:t xml:space="preserve"> износа који су на њој исказани и служи како би се обезбедио </w:t>
      </w:r>
      <w:r>
        <w:rPr>
          <w:rFonts w:ascii="Times New Roman" w:hAnsi="Times New Roman"/>
          <w:sz w:val="24"/>
          <w:szCs w:val="24"/>
          <w:lang w:val="sr-Cyrl-CS"/>
        </w:rPr>
        <w:t>улазни документ о набавци робе у пословној докумен</w:t>
      </w:r>
      <w:r w:rsidR="00ED3B3F">
        <w:rPr>
          <w:rFonts w:ascii="Times New Roman" w:hAnsi="Times New Roman"/>
          <w:sz w:val="24"/>
          <w:szCs w:val="24"/>
          <w:lang w:val="sr-Cyrl-CS"/>
        </w:rPr>
        <w:t xml:space="preserve">тцији продавца нафтних деривата. Продавац </w:t>
      </w:r>
      <w:r>
        <w:rPr>
          <w:rFonts w:ascii="Times New Roman" w:hAnsi="Times New Roman"/>
          <w:sz w:val="24"/>
          <w:szCs w:val="24"/>
          <w:lang w:val="sr-Cyrl-CS"/>
        </w:rPr>
        <w:t xml:space="preserve"> сада нафтне деривате слободно продаје</w:t>
      </w:r>
      <w:r w:rsidR="002A31FD">
        <w:rPr>
          <w:rFonts w:ascii="Times New Roman" w:hAnsi="Times New Roman"/>
          <w:sz w:val="24"/>
          <w:szCs w:val="24"/>
          <w:lang w:val="sr-Cyrl-CS"/>
        </w:rPr>
        <w:t xml:space="preserve"> на легалном тржишту</w:t>
      </w:r>
      <w:r w:rsidR="00ED3B3F">
        <w:rPr>
          <w:rFonts w:ascii="Times New Roman" w:hAnsi="Times New Roman"/>
          <w:sz w:val="24"/>
          <w:szCs w:val="24"/>
          <w:lang w:val="sr-Cyrl-CS"/>
        </w:rPr>
        <w:t>, те је на овај начин буџет</w:t>
      </w:r>
      <w:r>
        <w:rPr>
          <w:rFonts w:ascii="Times New Roman" w:hAnsi="Times New Roman"/>
          <w:sz w:val="24"/>
          <w:szCs w:val="24"/>
          <w:lang w:val="sr-Cyrl-CS"/>
        </w:rPr>
        <w:t xml:space="preserve"> оштећен за неплаћену акцизу и припадајући ПДВ.</w:t>
      </w:r>
      <w:r>
        <w:rPr>
          <w:rStyle w:val="FootnoteReference"/>
          <w:rFonts w:ascii="Times New Roman" w:hAnsi="Times New Roman"/>
          <w:sz w:val="24"/>
          <w:szCs w:val="24"/>
          <w:lang w:val="sr-Cyrl-CS"/>
        </w:rPr>
        <w:footnoteReference w:id="159"/>
      </w:r>
    </w:p>
    <w:p w:rsidR="00903A1A" w:rsidRPr="00421A83" w:rsidRDefault="00903A1A" w:rsidP="000D487B">
      <w:pPr>
        <w:jc w:val="both"/>
        <w:rPr>
          <w:rFonts w:ascii="Times New Roman" w:hAnsi="Times New Roman"/>
          <w:b/>
          <w:sz w:val="24"/>
          <w:szCs w:val="24"/>
        </w:rPr>
      </w:pPr>
    </w:p>
    <w:p w:rsidR="003B25B0" w:rsidRDefault="003B25B0" w:rsidP="000D487B">
      <w:pPr>
        <w:jc w:val="both"/>
        <w:rPr>
          <w:rFonts w:ascii="Times New Roman" w:hAnsi="Times New Roman"/>
          <w:b/>
          <w:sz w:val="24"/>
          <w:szCs w:val="24"/>
          <w:lang w:val="sr-Cyrl-CS"/>
        </w:rPr>
      </w:pPr>
    </w:p>
    <w:p w:rsidR="00A22DD5" w:rsidRDefault="00A22DD5" w:rsidP="000D487B">
      <w:pPr>
        <w:jc w:val="both"/>
        <w:rPr>
          <w:rFonts w:ascii="Times New Roman" w:hAnsi="Times New Roman"/>
          <w:b/>
          <w:sz w:val="24"/>
          <w:szCs w:val="24"/>
          <w:lang w:val="sr-Cyrl-CS"/>
        </w:rPr>
      </w:pPr>
    </w:p>
    <w:p w:rsidR="00A22DD5" w:rsidRDefault="00A22DD5" w:rsidP="000D487B">
      <w:pPr>
        <w:jc w:val="both"/>
        <w:rPr>
          <w:rFonts w:ascii="Times New Roman" w:hAnsi="Times New Roman"/>
          <w:b/>
          <w:sz w:val="24"/>
          <w:szCs w:val="24"/>
          <w:lang w:val="sr-Cyrl-CS"/>
        </w:rPr>
      </w:pPr>
    </w:p>
    <w:p w:rsidR="00A22DD5" w:rsidRDefault="00A22DD5" w:rsidP="000D487B">
      <w:pPr>
        <w:jc w:val="both"/>
        <w:rPr>
          <w:rFonts w:ascii="Times New Roman" w:hAnsi="Times New Roman"/>
          <w:b/>
          <w:sz w:val="24"/>
          <w:szCs w:val="24"/>
          <w:lang w:val="sr-Cyrl-CS"/>
        </w:rPr>
      </w:pPr>
    </w:p>
    <w:p w:rsidR="00A22DD5" w:rsidRDefault="00A22DD5" w:rsidP="000D487B">
      <w:pPr>
        <w:jc w:val="both"/>
        <w:rPr>
          <w:rFonts w:ascii="Times New Roman" w:hAnsi="Times New Roman"/>
          <w:b/>
          <w:sz w:val="24"/>
          <w:szCs w:val="24"/>
          <w:lang w:val="sr-Cyrl-CS"/>
        </w:rPr>
      </w:pPr>
    </w:p>
    <w:p w:rsidR="00A22DD5" w:rsidRDefault="00A22DD5" w:rsidP="000D487B">
      <w:pPr>
        <w:jc w:val="both"/>
        <w:rPr>
          <w:rFonts w:ascii="Times New Roman" w:hAnsi="Times New Roman"/>
          <w:b/>
          <w:sz w:val="24"/>
          <w:szCs w:val="24"/>
          <w:lang w:val="sr-Cyrl-CS"/>
        </w:rPr>
      </w:pPr>
    </w:p>
    <w:p w:rsidR="003A57BB" w:rsidRPr="00347C1D" w:rsidRDefault="003A57BB" w:rsidP="000D487B">
      <w:pPr>
        <w:jc w:val="both"/>
        <w:rPr>
          <w:rFonts w:ascii="Times New Roman" w:hAnsi="Times New Roman"/>
          <w:b/>
          <w:sz w:val="24"/>
          <w:szCs w:val="24"/>
          <w:lang w:val="sr-Cyrl-CS"/>
        </w:rPr>
      </w:pPr>
    </w:p>
    <w:p w:rsidR="000D487B" w:rsidRDefault="00347C1D" w:rsidP="00347C1D">
      <w:pPr>
        <w:jc w:val="center"/>
        <w:rPr>
          <w:rFonts w:ascii="Times New Roman" w:hAnsi="Times New Roman"/>
          <w:b/>
          <w:sz w:val="24"/>
          <w:szCs w:val="24"/>
          <w:lang w:val="sr-Cyrl-CS"/>
        </w:rPr>
      </w:pPr>
      <w:r>
        <w:rPr>
          <w:rFonts w:ascii="Times New Roman" w:hAnsi="Times New Roman"/>
          <w:b/>
          <w:sz w:val="24"/>
          <w:szCs w:val="24"/>
          <w:lang w:val="sr-Cyrl-CS"/>
        </w:rPr>
        <w:lastRenderedPageBreak/>
        <w:t xml:space="preserve">ДЕО </w:t>
      </w:r>
      <w:r w:rsidR="001E6839">
        <w:rPr>
          <w:rFonts w:ascii="Times New Roman" w:hAnsi="Times New Roman"/>
          <w:b/>
          <w:sz w:val="24"/>
          <w:szCs w:val="24"/>
          <w:lang w:val="sr-Cyrl-CS"/>
        </w:rPr>
        <w:t>ТРЕЋИ</w:t>
      </w:r>
    </w:p>
    <w:p w:rsidR="00347C1D" w:rsidRDefault="00347C1D" w:rsidP="000D487B">
      <w:pPr>
        <w:jc w:val="both"/>
        <w:rPr>
          <w:rFonts w:ascii="Times New Roman" w:hAnsi="Times New Roman"/>
          <w:b/>
          <w:sz w:val="24"/>
          <w:szCs w:val="24"/>
          <w:lang w:val="sr-Cyrl-CS"/>
        </w:rPr>
      </w:pPr>
    </w:p>
    <w:p w:rsidR="000D487B" w:rsidRDefault="000D487B" w:rsidP="00347C1D">
      <w:pPr>
        <w:jc w:val="center"/>
        <w:rPr>
          <w:rFonts w:ascii="Times New Roman" w:hAnsi="Times New Roman"/>
          <w:b/>
          <w:sz w:val="24"/>
          <w:szCs w:val="24"/>
          <w:lang w:val="sr-Cyrl-CS"/>
        </w:rPr>
      </w:pPr>
      <w:r>
        <w:rPr>
          <w:rFonts w:ascii="Times New Roman" w:hAnsi="Times New Roman"/>
          <w:b/>
          <w:sz w:val="24"/>
          <w:szCs w:val="24"/>
        </w:rPr>
        <w:t>ПОРЕСКИ СИСТЕМ РЕПУБЛИКЕ СРБИЈЕ</w:t>
      </w:r>
    </w:p>
    <w:p w:rsidR="00347C1D" w:rsidRPr="00347C1D" w:rsidRDefault="00347C1D" w:rsidP="00347C1D">
      <w:pPr>
        <w:jc w:val="center"/>
        <w:rPr>
          <w:rFonts w:ascii="Times New Roman" w:hAnsi="Times New Roman"/>
          <w:b/>
          <w:sz w:val="24"/>
          <w:szCs w:val="24"/>
          <w:lang w:val="sr-Cyrl-CS"/>
        </w:rPr>
      </w:pPr>
    </w:p>
    <w:p w:rsidR="0046264C" w:rsidRPr="00C93ECC" w:rsidRDefault="00C73790" w:rsidP="007C25FA">
      <w:pPr>
        <w:pStyle w:val="ListParagraph"/>
        <w:numPr>
          <w:ilvl w:val="0"/>
          <w:numId w:val="3"/>
        </w:numPr>
        <w:jc w:val="both"/>
        <w:rPr>
          <w:rFonts w:ascii="Times New Roman" w:hAnsi="Times New Roman"/>
          <w:b/>
          <w:i/>
          <w:sz w:val="28"/>
          <w:szCs w:val="28"/>
          <w:lang w:val="sr-Cyrl-CS"/>
        </w:rPr>
      </w:pPr>
      <w:r w:rsidRPr="00C93ECC">
        <w:rPr>
          <w:rFonts w:ascii="Times New Roman" w:hAnsi="Times New Roman"/>
          <w:b/>
          <w:i/>
          <w:sz w:val="28"/>
          <w:szCs w:val="28"/>
          <w:lang w:val="sr-Cyrl-CS"/>
        </w:rPr>
        <w:t>Кратак историјски преглед пореских реформи</w:t>
      </w:r>
    </w:p>
    <w:p w:rsidR="00347C1D" w:rsidRPr="007C0496" w:rsidRDefault="00347C1D" w:rsidP="00347C1D">
      <w:pPr>
        <w:pStyle w:val="ListParagraph"/>
        <w:ind w:left="1069"/>
        <w:jc w:val="both"/>
        <w:rPr>
          <w:rFonts w:ascii="Times New Roman" w:hAnsi="Times New Roman"/>
          <w:b/>
          <w:i/>
          <w:sz w:val="24"/>
          <w:szCs w:val="24"/>
          <w:lang w:val="sr-Cyrl-CS"/>
        </w:rPr>
      </w:pPr>
    </w:p>
    <w:p w:rsidR="007C0496" w:rsidRDefault="007C0496" w:rsidP="007C0496">
      <w:pPr>
        <w:pStyle w:val="ListParagraph"/>
        <w:ind w:left="0"/>
        <w:jc w:val="both"/>
        <w:rPr>
          <w:rFonts w:ascii="Times New Roman" w:hAnsi="Times New Roman"/>
          <w:sz w:val="24"/>
          <w:szCs w:val="24"/>
        </w:rPr>
      </w:pPr>
    </w:p>
    <w:p w:rsidR="007C0496" w:rsidRDefault="007C0496" w:rsidP="007C0496">
      <w:pPr>
        <w:pStyle w:val="ListParagraph"/>
        <w:ind w:left="0" w:firstLine="708"/>
        <w:jc w:val="both"/>
        <w:rPr>
          <w:rFonts w:ascii="Times New Roman" w:hAnsi="Times New Roman"/>
          <w:sz w:val="24"/>
          <w:szCs w:val="24"/>
          <w:lang w:val="sr-Cyrl-CS"/>
        </w:rPr>
      </w:pPr>
      <w:r>
        <w:rPr>
          <w:rFonts w:ascii="Times New Roman" w:hAnsi="Times New Roman"/>
          <w:sz w:val="24"/>
          <w:szCs w:val="24"/>
        </w:rPr>
        <w:t>Порески систем у Србији</w:t>
      </w:r>
      <w:r>
        <w:rPr>
          <w:rFonts w:ascii="Times New Roman" w:hAnsi="Times New Roman"/>
          <w:sz w:val="24"/>
          <w:szCs w:val="24"/>
          <w:lang w:val="sr-Cyrl-CS"/>
        </w:rPr>
        <w:t xml:space="preserve"> је у више наврата реформисан</w:t>
      </w:r>
      <w:r>
        <w:rPr>
          <w:rFonts w:ascii="Times New Roman" w:hAnsi="Times New Roman"/>
          <w:sz w:val="24"/>
          <w:szCs w:val="24"/>
        </w:rPr>
        <w:t xml:space="preserve"> и има</w:t>
      </w:r>
      <w:r>
        <w:rPr>
          <w:rFonts w:ascii="Times New Roman" w:hAnsi="Times New Roman"/>
          <w:sz w:val="24"/>
          <w:szCs w:val="24"/>
          <w:lang w:val="sr-Cyrl-CS"/>
        </w:rPr>
        <w:t>о је</w:t>
      </w:r>
      <w:r>
        <w:rPr>
          <w:rFonts w:ascii="Times New Roman" w:hAnsi="Times New Roman"/>
          <w:sz w:val="24"/>
          <w:szCs w:val="24"/>
        </w:rPr>
        <w:t xml:space="preserve"> специфичан пут развоја, </w:t>
      </w:r>
      <w:r>
        <w:rPr>
          <w:rFonts w:ascii="Times New Roman" w:hAnsi="Times New Roman"/>
          <w:sz w:val="24"/>
          <w:szCs w:val="24"/>
          <w:lang w:val="sr-Cyrl-CS"/>
        </w:rPr>
        <w:t>у зависности од друштвено-економских и политичких промена</w:t>
      </w:r>
      <w:r w:rsidR="00126407">
        <w:rPr>
          <w:rFonts w:ascii="Times New Roman" w:hAnsi="Times New Roman"/>
          <w:sz w:val="24"/>
          <w:szCs w:val="24"/>
          <w:lang w:val="sr-Cyrl-CS"/>
        </w:rPr>
        <w:t>. У скла</w:t>
      </w:r>
      <w:r>
        <w:rPr>
          <w:rFonts w:ascii="Times New Roman" w:hAnsi="Times New Roman"/>
          <w:sz w:val="24"/>
          <w:szCs w:val="24"/>
          <w:lang w:val="sr-Cyrl-CS"/>
        </w:rPr>
        <w:t xml:space="preserve">ду са тим треба посматрати и његове елементе. </w:t>
      </w:r>
    </w:p>
    <w:p w:rsidR="007C0496" w:rsidRPr="007C0496" w:rsidRDefault="007C0496" w:rsidP="007C0496">
      <w:pPr>
        <w:pStyle w:val="ListParagraph"/>
        <w:ind w:left="0" w:firstLine="708"/>
        <w:jc w:val="both"/>
        <w:rPr>
          <w:rFonts w:ascii="Times New Roman" w:hAnsi="Times New Roman"/>
          <w:sz w:val="24"/>
          <w:szCs w:val="24"/>
          <w:lang w:val="sr-Cyrl-CS"/>
        </w:rPr>
      </w:pPr>
    </w:p>
    <w:p w:rsidR="00605DE7" w:rsidRDefault="009F7A1A" w:rsidP="00CB05F8">
      <w:pPr>
        <w:pStyle w:val="ListParagraph"/>
        <w:ind w:left="0" w:firstLine="708"/>
        <w:jc w:val="both"/>
        <w:rPr>
          <w:rFonts w:ascii="Times New Roman" w:hAnsi="Times New Roman"/>
          <w:sz w:val="24"/>
          <w:szCs w:val="24"/>
          <w:lang w:val="sr-Cyrl-CS"/>
        </w:rPr>
      </w:pPr>
      <w:r>
        <w:rPr>
          <w:rFonts w:ascii="Times New Roman" w:hAnsi="Times New Roman"/>
          <w:sz w:val="24"/>
          <w:szCs w:val="24"/>
          <w:lang w:val="sr-Cyrl-CS"/>
        </w:rPr>
        <w:t>С</w:t>
      </w:r>
      <w:r w:rsidR="00605DE7">
        <w:rPr>
          <w:rFonts w:ascii="Times New Roman" w:hAnsi="Times New Roman"/>
          <w:sz w:val="24"/>
          <w:szCs w:val="24"/>
          <w:lang w:val="sr-Cyrl-CS"/>
        </w:rPr>
        <w:t>а развојем државне организације и стицањем суверени</w:t>
      </w:r>
      <w:r w:rsidR="008F77E7">
        <w:rPr>
          <w:rFonts w:ascii="Times New Roman" w:hAnsi="Times New Roman"/>
          <w:sz w:val="24"/>
          <w:szCs w:val="24"/>
          <w:lang w:val="sr-Cyrl-CS"/>
        </w:rPr>
        <w:t>тета</w:t>
      </w:r>
      <w:r>
        <w:rPr>
          <w:rFonts w:ascii="Times New Roman" w:hAnsi="Times New Roman"/>
          <w:sz w:val="24"/>
          <w:szCs w:val="24"/>
          <w:lang w:val="sr-Cyrl-CS"/>
        </w:rPr>
        <w:t xml:space="preserve"> развија се и </w:t>
      </w:r>
      <w:r w:rsidR="00054363">
        <w:rPr>
          <w:rFonts w:ascii="Times New Roman" w:hAnsi="Times New Roman"/>
          <w:sz w:val="24"/>
          <w:szCs w:val="24"/>
          <w:lang w:val="sr-Cyrl-CS"/>
        </w:rPr>
        <w:t>п</w:t>
      </w:r>
      <w:r w:rsidR="003F6F49">
        <w:rPr>
          <w:rFonts w:ascii="Times New Roman" w:hAnsi="Times New Roman"/>
          <w:sz w:val="24"/>
          <w:szCs w:val="24"/>
          <w:lang w:val="sr-Cyrl-CS"/>
        </w:rPr>
        <w:t>орески систем</w:t>
      </w:r>
      <w:r w:rsidR="00605DE7">
        <w:rPr>
          <w:rFonts w:ascii="Times New Roman" w:hAnsi="Times New Roman"/>
          <w:sz w:val="24"/>
          <w:szCs w:val="24"/>
          <w:lang w:val="sr-Cyrl-CS"/>
        </w:rPr>
        <w:t xml:space="preserve">. </w:t>
      </w:r>
      <w:r w:rsidR="00054363">
        <w:rPr>
          <w:rFonts w:ascii="Times New Roman" w:hAnsi="Times New Roman"/>
          <w:sz w:val="24"/>
          <w:szCs w:val="24"/>
          <w:lang w:val="sr-Cyrl-CS"/>
        </w:rPr>
        <w:t xml:space="preserve">Систем непосредних пореза у Србији био је регулисан </w:t>
      </w:r>
      <w:r w:rsidR="00605DE7">
        <w:rPr>
          <w:rFonts w:ascii="Times New Roman" w:hAnsi="Times New Roman"/>
          <w:sz w:val="24"/>
          <w:szCs w:val="24"/>
          <w:lang w:val="sr-Cyrl-CS"/>
        </w:rPr>
        <w:t>Законом о неп</w:t>
      </w:r>
      <w:r w:rsidR="006F0420">
        <w:rPr>
          <w:rFonts w:ascii="Times New Roman" w:hAnsi="Times New Roman"/>
          <w:sz w:val="24"/>
          <w:szCs w:val="24"/>
          <w:lang w:val="sr-Cyrl-CS"/>
        </w:rPr>
        <w:t>о</w:t>
      </w:r>
      <w:r w:rsidR="00605DE7">
        <w:rPr>
          <w:rFonts w:ascii="Times New Roman" w:hAnsi="Times New Roman"/>
          <w:sz w:val="24"/>
          <w:szCs w:val="24"/>
          <w:lang w:val="sr-Cyrl-CS"/>
        </w:rPr>
        <w:t xml:space="preserve">средним порезима из 1884. </w:t>
      </w:r>
      <w:r w:rsidR="008F77E7">
        <w:rPr>
          <w:rFonts w:ascii="Times New Roman" w:hAnsi="Times New Roman"/>
          <w:sz w:val="24"/>
          <w:szCs w:val="24"/>
          <w:lang w:val="sr-Cyrl-CS"/>
        </w:rPr>
        <w:t>г</w:t>
      </w:r>
      <w:r w:rsidR="00605DE7">
        <w:rPr>
          <w:rFonts w:ascii="Times New Roman" w:hAnsi="Times New Roman"/>
          <w:sz w:val="24"/>
          <w:szCs w:val="24"/>
          <w:lang w:val="sr-Cyrl-CS"/>
        </w:rPr>
        <w:t xml:space="preserve">одине, који је прву допуну имао већ 1885. године, а последњу дванаесту измену 1907. године, којом је уведено шест пореза: </w:t>
      </w:r>
      <w:r w:rsidR="00CB05F8">
        <w:rPr>
          <w:rFonts w:ascii="Times New Roman" w:hAnsi="Times New Roman"/>
          <w:sz w:val="24"/>
          <w:szCs w:val="24"/>
          <w:lang w:val="sr-Cyrl-CS"/>
        </w:rPr>
        <w:t xml:space="preserve"> </w:t>
      </w:r>
    </w:p>
    <w:p w:rsidR="00CB05F8" w:rsidRDefault="00CB05F8" w:rsidP="00806D97">
      <w:pPr>
        <w:pStyle w:val="ListParagraph"/>
        <w:ind w:left="0"/>
        <w:jc w:val="both"/>
        <w:rPr>
          <w:rFonts w:ascii="Times New Roman" w:hAnsi="Times New Roman"/>
          <w:sz w:val="24"/>
          <w:szCs w:val="24"/>
          <w:lang w:val="sr-Cyrl-CS"/>
        </w:rPr>
      </w:pPr>
    </w:p>
    <w:p w:rsidR="00605DE7" w:rsidRDefault="00605DE7" w:rsidP="00806D97">
      <w:pPr>
        <w:pStyle w:val="ListParagraph"/>
        <w:jc w:val="both"/>
        <w:rPr>
          <w:rFonts w:ascii="Times New Roman" w:hAnsi="Times New Roman"/>
          <w:sz w:val="24"/>
          <w:szCs w:val="24"/>
          <w:lang w:val="sr-Cyrl-CS"/>
        </w:rPr>
      </w:pPr>
      <w:r>
        <w:rPr>
          <w:rFonts w:ascii="Times New Roman" w:hAnsi="Times New Roman"/>
          <w:sz w:val="24"/>
          <w:szCs w:val="24"/>
          <w:lang w:val="sr-Cyrl-CS"/>
        </w:rPr>
        <w:t>1.порез на земљиште,</w:t>
      </w:r>
    </w:p>
    <w:p w:rsidR="00605DE7" w:rsidRDefault="00605DE7" w:rsidP="00806D97">
      <w:pPr>
        <w:pStyle w:val="ListParagraph"/>
        <w:jc w:val="both"/>
        <w:rPr>
          <w:rFonts w:ascii="Times New Roman" w:hAnsi="Times New Roman"/>
          <w:sz w:val="24"/>
          <w:szCs w:val="24"/>
          <w:lang w:val="sr-Cyrl-CS"/>
        </w:rPr>
      </w:pPr>
      <w:r>
        <w:rPr>
          <w:rFonts w:ascii="Times New Roman" w:hAnsi="Times New Roman"/>
          <w:sz w:val="24"/>
          <w:szCs w:val="24"/>
          <w:lang w:val="sr-Cyrl-CS"/>
        </w:rPr>
        <w:t>2.порез на зграде.</w:t>
      </w:r>
    </w:p>
    <w:p w:rsidR="00605DE7" w:rsidRDefault="00605DE7" w:rsidP="00806D97">
      <w:pPr>
        <w:pStyle w:val="ListParagraph"/>
        <w:jc w:val="both"/>
        <w:rPr>
          <w:rFonts w:ascii="Times New Roman" w:hAnsi="Times New Roman"/>
          <w:sz w:val="24"/>
          <w:szCs w:val="24"/>
          <w:lang w:val="sr-Cyrl-CS"/>
        </w:rPr>
      </w:pPr>
      <w:r>
        <w:rPr>
          <w:rFonts w:ascii="Times New Roman" w:hAnsi="Times New Roman"/>
          <w:sz w:val="24"/>
          <w:szCs w:val="24"/>
          <w:lang w:val="sr-Cyrl-CS"/>
        </w:rPr>
        <w:t>3.порез на приход од капитала,</w:t>
      </w:r>
    </w:p>
    <w:p w:rsidR="00605DE7" w:rsidRDefault="00605DE7" w:rsidP="00806D97">
      <w:pPr>
        <w:pStyle w:val="ListParagraph"/>
        <w:jc w:val="both"/>
        <w:rPr>
          <w:rFonts w:ascii="Times New Roman" w:hAnsi="Times New Roman"/>
          <w:sz w:val="24"/>
          <w:szCs w:val="24"/>
          <w:lang w:val="sr-Cyrl-CS"/>
        </w:rPr>
      </w:pPr>
      <w:r>
        <w:rPr>
          <w:rFonts w:ascii="Times New Roman" w:hAnsi="Times New Roman"/>
          <w:sz w:val="24"/>
          <w:szCs w:val="24"/>
          <w:lang w:val="sr-Cyrl-CS"/>
        </w:rPr>
        <w:t>4.порез на приход од радњи и личног рада,</w:t>
      </w:r>
    </w:p>
    <w:p w:rsidR="00605DE7" w:rsidRDefault="00605DE7" w:rsidP="00806D97">
      <w:pPr>
        <w:pStyle w:val="ListParagraph"/>
        <w:jc w:val="both"/>
        <w:rPr>
          <w:rFonts w:ascii="Times New Roman" w:hAnsi="Times New Roman"/>
          <w:sz w:val="24"/>
          <w:szCs w:val="24"/>
          <w:lang w:val="sr-Cyrl-CS"/>
        </w:rPr>
      </w:pPr>
      <w:r>
        <w:rPr>
          <w:rFonts w:ascii="Times New Roman" w:hAnsi="Times New Roman"/>
          <w:sz w:val="24"/>
          <w:szCs w:val="24"/>
          <w:lang w:val="sr-Cyrl-CS"/>
        </w:rPr>
        <w:t>5.порез на обрт у радњи</w:t>
      </w:r>
    </w:p>
    <w:p w:rsidR="00605DE7" w:rsidRDefault="00605DE7" w:rsidP="00806D97">
      <w:pPr>
        <w:pStyle w:val="ListParagraph"/>
        <w:jc w:val="both"/>
        <w:rPr>
          <w:rFonts w:ascii="Times New Roman" w:hAnsi="Times New Roman"/>
          <w:sz w:val="24"/>
          <w:szCs w:val="24"/>
          <w:lang w:val="sr-Cyrl-CS"/>
        </w:rPr>
      </w:pPr>
      <w:r>
        <w:rPr>
          <w:rFonts w:ascii="Times New Roman" w:hAnsi="Times New Roman"/>
          <w:sz w:val="24"/>
          <w:szCs w:val="24"/>
          <w:lang w:val="sr-Cyrl-CS"/>
        </w:rPr>
        <w:t>6.порез на личност.</w:t>
      </w:r>
      <w:r>
        <w:rPr>
          <w:rStyle w:val="FootnoteReference"/>
          <w:rFonts w:ascii="Times New Roman" w:hAnsi="Times New Roman"/>
          <w:sz w:val="24"/>
          <w:szCs w:val="24"/>
          <w:lang w:val="sr-Cyrl-CS"/>
        </w:rPr>
        <w:footnoteReference w:id="160"/>
      </w:r>
    </w:p>
    <w:p w:rsidR="005F26AC" w:rsidRDefault="005F26AC" w:rsidP="00C95F23">
      <w:pPr>
        <w:pStyle w:val="ListParagraph"/>
        <w:ind w:left="0"/>
        <w:jc w:val="both"/>
        <w:rPr>
          <w:rFonts w:ascii="Times New Roman" w:hAnsi="Times New Roman"/>
          <w:sz w:val="24"/>
          <w:szCs w:val="24"/>
          <w:lang w:val="sr-Cyrl-CS"/>
        </w:rPr>
      </w:pPr>
    </w:p>
    <w:p w:rsidR="00126407" w:rsidRDefault="00126407" w:rsidP="006F0420">
      <w:pPr>
        <w:pStyle w:val="ListParagraph"/>
        <w:ind w:left="0"/>
        <w:jc w:val="both"/>
        <w:rPr>
          <w:rFonts w:ascii="Times New Roman" w:hAnsi="Times New Roman"/>
          <w:sz w:val="24"/>
          <w:szCs w:val="24"/>
          <w:lang w:val="sr-Cyrl-CS"/>
        </w:rPr>
      </w:pPr>
    </w:p>
    <w:p w:rsidR="00126407" w:rsidRDefault="00CB05F8" w:rsidP="00CB05F8">
      <w:pPr>
        <w:pStyle w:val="ListParagraph"/>
        <w:ind w:left="0" w:firstLine="360"/>
        <w:jc w:val="both"/>
        <w:rPr>
          <w:rFonts w:ascii="Times New Roman" w:hAnsi="Times New Roman"/>
          <w:sz w:val="24"/>
          <w:szCs w:val="24"/>
          <w:lang w:val="sr-Cyrl-CS"/>
        </w:rPr>
      </w:pPr>
      <w:r>
        <w:rPr>
          <w:rFonts w:ascii="Times New Roman" w:hAnsi="Times New Roman"/>
          <w:sz w:val="24"/>
          <w:szCs w:val="24"/>
          <w:lang w:val="sr-Cyrl-CS"/>
        </w:rPr>
        <w:t>Н</w:t>
      </w:r>
      <w:r w:rsidR="00126407">
        <w:rPr>
          <w:rFonts w:ascii="Times New Roman" w:hAnsi="Times New Roman"/>
          <w:sz w:val="24"/>
          <w:szCs w:val="24"/>
          <w:lang w:val="sr-Cyrl-CS"/>
        </w:rPr>
        <w:t xml:space="preserve">а територији Краљевине Југославије важило је пет пореских система и то: српски, аустријски, </w:t>
      </w:r>
      <w:r w:rsidR="008C745F">
        <w:rPr>
          <w:rFonts w:ascii="Times New Roman" w:hAnsi="Times New Roman"/>
          <w:sz w:val="24"/>
          <w:szCs w:val="24"/>
          <w:lang w:val="sr-Cyrl-CS"/>
        </w:rPr>
        <w:t>угарски</w:t>
      </w:r>
      <w:r w:rsidR="00126407">
        <w:rPr>
          <w:rFonts w:ascii="Times New Roman" w:hAnsi="Times New Roman"/>
          <w:sz w:val="24"/>
          <w:szCs w:val="24"/>
          <w:lang w:val="sr-Cyrl-CS"/>
        </w:rPr>
        <w:t>, турски и црногорски</w:t>
      </w:r>
      <w:r w:rsidR="00126407">
        <w:rPr>
          <w:rStyle w:val="FootnoteReference"/>
          <w:rFonts w:ascii="Times New Roman" w:hAnsi="Times New Roman"/>
          <w:sz w:val="24"/>
          <w:szCs w:val="24"/>
          <w:lang w:val="sr-Cyrl-CS"/>
        </w:rPr>
        <w:footnoteReference w:id="161"/>
      </w:r>
      <w:r w:rsidR="00126407">
        <w:rPr>
          <w:rFonts w:ascii="Times New Roman" w:hAnsi="Times New Roman"/>
          <w:sz w:val="24"/>
          <w:szCs w:val="24"/>
          <w:lang w:val="sr-Cyrl-CS"/>
        </w:rPr>
        <w:t>.</w:t>
      </w:r>
      <w:r>
        <w:rPr>
          <w:rFonts w:ascii="Times New Roman" w:hAnsi="Times New Roman"/>
          <w:sz w:val="24"/>
          <w:szCs w:val="24"/>
          <w:lang w:val="sr-Cyrl-CS"/>
        </w:rPr>
        <w:t xml:space="preserve"> </w:t>
      </w:r>
    </w:p>
    <w:p w:rsidR="00126407" w:rsidRDefault="00126407" w:rsidP="006F0420">
      <w:pPr>
        <w:pStyle w:val="ListParagraph"/>
        <w:ind w:left="0"/>
        <w:jc w:val="both"/>
        <w:rPr>
          <w:rFonts w:ascii="Times New Roman" w:hAnsi="Times New Roman"/>
          <w:sz w:val="24"/>
          <w:szCs w:val="24"/>
          <w:lang w:val="sr-Cyrl-CS"/>
        </w:rPr>
      </w:pPr>
    </w:p>
    <w:p w:rsidR="00126407" w:rsidRPr="008C745F" w:rsidRDefault="00126407" w:rsidP="008A3795">
      <w:pPr>
        <w:pStyle w:val="ListParagraph"/>
        <w:numPr>
          <w:ilvl w:val="0"/>
          <w:numId w:val="63"/>
        </w:numPr>
        <w:jc w:val="both"/>
        <w:rPr>
          <w:rFonts w:ascii="Times New Roman" w:hAnsi="Times New Roman"/>
          <w:sz w:val="24"/>
          <w:szCs w:val="24"/>
          <w:lang w:val="sr-Cyrl-CS"/>
        </w:rPr>
      </w:pPr>
      <w:r w:rsidRPr="008C745F">
        <w:rPr>
          <w:rFonts w:ascii="Times New Roman" w:hAnsi="Times New Roman"/>
          <w:sz w:val="24"/>
          <w:szCs w:val="24"/>
          <w:lang w:val="sr-Cyrl-CS"/>
        </w:rPr>
        <w:t>Према  српском пореском систему  разрез пореза је углавном вршен на бази пореских пријава обвезника и уз вођење рачуна о томе да ће приликом пријављивања обавеза порески обвезници покушати да порески терет убл</w:t>
      </w:r>
      <w:r w:rsidR="008C745F" w:rsidRPr="008C745F">
        <w:rPr>
          <w:rFonts w:ascii="Times New Roman" w:hAnsi="Times New Roman"/>
          <w:sz w:val="24"/>
          <w:szCs w:val="24"/>
          <w:lang w:val="sr-Cyrl-CS"/>
        </w:rPr>
        <w:t>аже. П</w:t>
      </w:r>
      <w:r w:rsidRPr="008C745F">
        <w:rPr>
          <w:rFonts w:ascii="Times New Roman" w:hAnsi="Times New Roman"/>
          <w:sz w:val="24"/>
          <w:szCs w:val="24"/>
          <w:lang w:val="sr-Cyrl-CS"/>
        </w:rPr>
        <w:t xml:space="preserve">лаћање пореза била је </w:t>
      </w:r>
      <w:r w:rsidR="008C745F" w:rsidRPr="008C745F">
        <w:rPr>
          <w:rFonts w:ascii="Times New Roman" w:hAnsi="Times New Roman"/>
          <w:sz w:val="24"/>
          <w:szCs w:val="24"/>
          <w:lang w:val="sr-Cyrl-CS"/>
        </w:rPr>
        <w:t xml:space="preserve">законска </w:t>
      </w:r>
      <w:r w:rsidRPr="008C745F">
        <w:rPr>
          <w:rFonts w:ascii="Times New Roman" w:hAnsi="Times New Roman"/>
          <w:sz w:val="24"/>
          <w:szCs w:val="24"/>
          <w:lang w:val="sr-Cyrl-CS"/>
        </w:rPr>
        <w:t xml:space="preserve">обавеза свих држављана Краљевине. </w:t>
      </w:r>
      <w:r w:rsidR="0068337B" w:rsidRPr="008C745F">
        <w:rPr>
          <w:rFonts w:ascii="Times New Roman" w:hAnsi="Times New Roman"/>
          <w:sz w:val="24"/>
          <w:szCs w:val="24"/>
          <w:lang w:val="sr-Cyrl-CS"/>
        </w:rPr>
        <w:t xml:space="preserve">Разрез пореза је био двогодишњи, </w:t>
      </w:r>
      <w:r w:rsidR="008C745F" w:rsidRPr="008C745F">
        <w:rPr>
          <w:rFonts w:ascii="Times New Roman" w:hAnsi="Times New Roman"/>
          <w:sz w:val="24"/>
          <w:szCs w:val="24"/>
          <w:lang w:val="sr-Cyrl-CS"/>
        </w:rPr>
        <w:t xml:space="preserve">док су предузећа </w:t>
      </w:r>
      <w:r w:rsidR="0068337B" w:rsidRPr="008C745F">
        <w:rPr>
          <w:rFonts w:ascii="Times New Roman" w:hAnsi="Times New Roman"/>
          <w:sz w:val="24"/>
          <w:szCs w:val="24"/>
          <w:lang w:val="sr-Cyrl-CS"/>
        </w:rPr>
        <w:t>била обавезна да сваке године подносе извештаје о резултатима пословања.</w:t>
      </w:r>
    </w:p>
    <w:p w:rsidR="00CB05F8" w:rsidRDefault="00CB05F8" w:rsidP="00CB05F8">
      <w:pPr>
        <w:pStyle w:val="ListParagraph"/>
        <w:jc w:val="both"/>
        <w:rPr>
          <w:rFonts w:ascii="Times New Roman" w:hAnsi="Times New Roman"/>
          <w:sz w:val="24"/>
          <w:szCs w:val="24"/>
          <w:lang w:val="sr-Cyrl-CS"/>
        </w:rPr>
      </w:pPr>
    </w:p>
    <w:p w:rsidR="0068337B" w:rsidRPr="008C745F" w:rsidRDefault="008C745F" w:rsidP="008A3795">
      <w:pPr>
        <w:pStyle w:val="ListParagraph"/>
        <w:numPr>
          <w:ilvl w:val="0"/>
          <w:numId w:val="63"/>
        </w:numPr>
        <w:jc w:val="both"/>
        <w:rPr>
          <w:rFonts w:ascii="Times New Roman" w:hAnsi="Times New Roman"/>
          <w:sz w:val="24"/>
          <w:szCs w:val="24"/>
          <w:lang w:val="sr-Cyrl-CS"/>
        </w:rPr>
      </w:pPr>
      <w:r>
        <w:rPr>
          <w:rFonts w:ascii="Times New Roman" w:hAnsi="Times New Roman"/>
          <w:sz w:val="24"/>
          <w:szCs w:val="24"/>
          <w:lang w:val="sr-Cyrl-CS"/>
        </w:rPr>
        <w:t>Према црногорском систему</w:t>
      </w:r>
      <w:r w:rsidR="0068337B" w:rsidRPr="008C745F">
        <w:rPr>
          <w:rFonts w:ascii="Times New Roman" w:hAnsi="Times New Roman"/>
          <w:sz w:val="24"/>
          <w:szCs w:val="24"/>
          <w:lang w:val="sr-Cyrl-CS"/>
        </w:rPr>
        <w:t xml:space="preserve"> </w:t>
      </w:r>
      <w:r>
        <w:rPr>
          <w:rFonts w:ascii="Times New Roman" w:hAnsi="Times New Roman"/>
          <w:sz w:val="24"/>
          <w:szCs w:val="24"/>
          <w:lang w:val="sr-Cyrl-CS"/>
        </w:rPr>
        <w:t>постојале</w:t>
      </w:r>
      <w:r w:rsidR="0068337B" w:rsidRPr="008C745F">
        <w:rPr>
          <w:rFonts w:ascii="Times New Roman" w:hAnsi="Times New Roman"/>
          <w:sz w:val="24"/>
          <w:szCs w:val="24"/>
          <w:lang w:val="sr-Cyrl-CS"/>
        </w:rPr>
        <w:t xml:space="preserve"> су се две врсте неп</w:t>
      </w:r>
      <w:r w:rsidR="00CB05F8" w:rsidRPr="008C745F">
        <w:rPr>
          <w:rFonts w:ascii="Times New Roman" w:hAnsi="Times New Roman"/>
          <w:sz w:val="24"/>
          <w:szCs w:val="24"/>
          <w:lang w:val="sr-Cyrl-CS"/>
        </w:rPr>
        <w:t>о</w:t>
      </w:r>
      <w:r w:rsidR="0068337B" w:rsidRPr="008C745F">
        <w:rPr>
          <w:rFonts w:ascii="Times New Roman" w:hAnsi="Times New Roman"/>
          <w:sz w:val="24"/>
          <w:szCs w:val="24"/>
          <w:lang w:val="sr-Cyrl-CS"/>
        </w:rPr>
        <w:t>средних пореза: дације и пор</w:t>
      </w:r>
      <w:r>
        <w:rPr>
          <w:rFonts w:ascii="Times New Roman" w:hAnsi="Times New Roman"/>
          <w:sz w:val="24"/>
          <w:szCs w:val="24"/>
          <w:lang w:val="sr-Cyrl-CS"/>
        </w:rPr>
        <w:t>ез на принос од капитала и рада, при чему се д</w:t>
      </w:r>
      <w:r w:rsidR="0068337B" w:rsidRPr="008C745F">
        <w:rPr>
          <w:rFonts w:ascii="Times New Roman" w:hAnsi="Times New Roman"/>
          <w:sz w:val="24"/>
          <w:szCs w:val="24"/>
          <w:lang w:val="sr-Cyrl-CS"/>
        </w:rPr>
        <w:t xml:space="preserve">ација </w:t>
      </w:r>
      <w:r w:rsidR="00CB05F8" w:rsidRPr="008C745F">
        <w:rPr>
          <w:rFonts w:ascii="Times New Roman" w:hAnsi="Times New Roman"/>
          <w:sz w:val="24"/>
          <w:szCs w:val="24"/>
          <w:lang w:val="sr-Cyrl-CS"/>
        </w:rPr>
        <w:t xml:space="preserve">наплаћивала </w:t>
      </w:r>
      <w:r w:rsidR="00CB05F8" w:rsidRPr="008C745F">
        <w:rPr>
          <w:rFonts w:ascii="Times New Roman" w:hAnsi="Times New Roman"/>
          <w:sz w:val="24"/>
          <w:szCs w:val="24"/>
          <w:lang w:val="sr-Cyrl-CS"/>
        </w:rPr>
        <w:lastRenderedPageBreak/>
        <w:t>полугодишње, 1. јула и 26. о</w:t>
      </w:r>
      <w:r w:rsidR="0068337B" w:rsidRPr="008C745F">
        <w:rPr>
          <w:rFonts w:ascii="Times New Roman" w:hAnsi="Times New Roman"/>
          <w:sz w:val="24"/>
          <w:szCs w:val="24"/>
          <w:lang w:val="sr-Cyrl-CS"/>
        </w:rPr>
        <w:t xml:space="preserve">ктобра. </w:t>
      </w:r>
      <w:r>
        <w:rPr>
          <w:rFonts w:ascii="Times New Roman" w:hAnsi="Times New Roman"/>
          <w:sz w:val="24"/>
          <w:szCs w:val="24"/>
          <w:lang w:val="sr-Cyrl-CS"/>
        </w:rPr>
        <w:t xml:space="preserve">Орган који је био надлежан да </w:t>
      </w:r>
      <w:r w:rsidRPr="008C745F">
        <w:rPr>
          <w:rFonts w:ascii="Times New Roman" w:hAnsi="Times New Roman"/>
          <w:sz w:val="24"/>
          <w:szCs w:val="24"/>
          <w:lang w:val="sr-Cyrl-CS"/>
        </w:rPr>
        <w:t xml:space="preserve">да проверава тачност пријављених објеката на који се плаћа дација </w:t>
      </w:r>
      <w:r>
        <w:rPr>
          <w:rFonts w:ascii="Times New Roman" w:hAnsi="Times New Roman"/>
          <w:sz w:val="24"/>
          <w:szCs w:val="24"/>
          <w:lang w:val="sr-Cyrl-CS"/>
        </w:rPr>
        <w:t>био је  порески одбор</w:t>
      </w:r>
      <w:r w:rsidR="0068337B" w:rsidRPr="008C745F">
        <w:rPr>
          <w:rFonts w:ascii="Times New Roman" w:hAnsi="Times New Roman"/>
          <w:sz w:val="24"/>
          <w:szCs w:val="24"/>
          <w:lang w:val="sr-Cyrl-CS"/>
        </w:rPr>
        <w:t xml:space="preserve">. </w:t>
      </w:r>
      <w:r>
        <w:rPr>
          <w:rFonts w:ascii="Times New Roman" w:hAnsi="Times New Roman"/>
          <w:sz w:val="24"/>
          <w:szCs w:val="24"/>
          <w:lang w:val="sr-Cyrl-CS"/>
        </w:rPr>
        <w:t>Овај орган је</w:t>
      </w:r>
      <w:r w:rsidR="0068337B" w:rsidRPr="008C745F">
        <w:rPr>
          <w:rFonts w:ascii="Times New Roman" w:hAnsi="Times New Roman"/>
          <w:sz w:val="24"/>
          <w:szCs w:val="24"/>
          <w:lang w:val="sr-Cyrl-CS"/>
        </w:rPr>
        <w:t xml:space="preserve"> фун</w:t>
      </w:r>
      <w:r>
        <w:rPr>
          <w:rFonts w:ascii="Times New Roman" w:hAnsi="Times New Roman"/>
          <w:sz w:val="24"/>
          <w:szCs w:val="24"/>
          <w:lang w:val="sr-Cyrl-CS"/>
        </w:rPr>
        <w:t>кционисао у свакој вароши. У његовом саставу</w:t>
      </w:r>
      <w:r w:rsidR="0068337B" w:rsidRPr="008C745F">
        <w:rPr>
          <w:rFonts w:ascii="Times New Roman" w:hAnsi="Times New Roman"/>
          <w:sz w:val="24"/>
          <w:szCs w:val="24"/>
          <w:lang w:val="sr-Cyrl-CS"/>
        </w:rPr>
        <w:t xml:space="preserve"> </w:t>
      </w:r>
      <w:r>
        <w:rPr>
          <w:rFonts w:ascii="Times New Roman" w:hAnsi="Times New Roman"/>
          <w:sz w:val="24"/>
          <w:szCs w:val="24"/>
          <w:lang w:val="sr-Cyrl-CS"/>
        </w:rPr>
        <w:t>било је</w:t>
      </w:r>
      <w:r w:rsidR="0068337B" w:rsidRPr="008C745F">
        <w:rPr>
          <w:rFonts w:ascii="Times New Roman" w:hAnsi="Times New Roman"/>
          <w:sz w:val="24"/>
          <w:szCs w:val="24"/>
          <w:lang w:val="sr-Cyrl-CS"/>
        </w:rPr>
        <w:t xml:space="preserve"> пет, односно три члана, у зависности од величине вароши.</w:t>
      </w:r>
    </w:p>
    <w:p w:rsidR="0068337B" w:rsidRDefault="0068337B" w:rsidP="0068337B">
      <w:pPr>
        <w:pStyle w:val="ListParagraph"/>
        <w:jc w:val="both"/>
        <w:rPr>
          <w:rFonts w:ascii="Times New Roman" w:hAnsi="Times New Roman"/>
          <w:sz w:val="24"/>
          <w:szCs w:val="24"/>
          <w:lang w:val="sr-Cyrl-CS"/>
        </w:rPr>
      </w:pPr>
    </w:p>
    <w:p w:rsidR="00A525E6" w:rsidRDefault="0068337B" w:rsidP="008A3795">
      <w:pPr>
        <w:pStyle w:val="ListParagraph"/>
        <w:numPr>
          <w:ilvl w:val="0"/>
          <w:numId w:val="63"/>
        </w:numPr>
        <w:jc w:val="both"/>
        <w:rPr>
          <w:rFonts w:ascii="Times New Roman" w:hAnsi="Times New Roman"/>
          <w:sz w:val="24"/>
          <w:szCs w:val="24"/>
          <w:lang w:val="sr-Cyrl-CS"/>
        </w:rPr>
      </w:pPr>
      <w:r w:rsidRPr="006D07EB">
        <w:rPr>
          <w:rFonts w:ascii="Times New Roman" w:hAnsi="Times New Roman"/>
          <w:sz w:val="24"/>
          <w:szCs w:val="24"/>
          <w:lang w:val="sr-Cyrl-CS"/>
        </w:rPr>
        <w:t>Према аустријском систему, који се прим</w:t>
      </w:r>
      <w:r w:rsidR="00CB05F8" w:rsidRPr="006D07EB">
        <w:rPr>
          <w:rFonts w:ascii="Times New Roman" w:hAnsi="Times New Roman"/>
          <w:sz w:val="24"/>
          <w:szCs w:val="24"/>
          <w:lang w:val="sr-Cyrl-CS"/>
        </w:rPr>
        <w:t>ењивао у Словенији и Далма</w:t>
      </w:r>
      <w:r w:rsidRPr="006D07EB">
        <w:rPr>
          <w:rFonts w:ascii="Times New Roman" w:hAnsi="Times New Roman"/>
          <w:sz w:val="24"/>
          <w:szCs w:val="24"/>
          <w:lang w:val="sr-Cyrl-CS"/>
        </w:rPr>
        <w:t>цији, за разрез пореза биле с</w:t>
      </w:r>
      <w:r w:rsidR="006D07EB" w:rsidRPr="006D07EB">
        <w:rPr>
          <w:rFonts w:ascii="Times New Roman" w:hAnsi="Times New Roman"/>
          <w:sz w:val="24"/>
          <w:szCs w:val="24"/>
          <w:lang w:val="sr-Cyrl-CS"/>
        </w:rPr>
        <w:t xml:space="preserve">у задужене котарске власти </w:t>
      </w:r>
      <w:r w:rsidRPr="006D07EB">
        <w:rPr>
          <w:rFonts w:ascii="Times New Roman" w:hAnsi="Times New Roman"/>
          <w:sz w:val="24"/>
          <w:szCs w:val="24"/>
          <w:lang w:val="sr-Cyrl-CS"/>
        </w:rPr>
        <w:t xml:space="preserve">у седишту сваког среза. </w:t>
      </w:r>
      <w:r w:rsidR="006D07EB" w:rsidRPr="006D07EB">
        <w:rPr>
          <w:rFonts w:ascii="Times New Roman" w:hAnsi="Times New Roman"/>
          <w:sz w:val="24"/>
          <w:szCs w:val="24"/>
          <w:lang w:val="sr-Cyrl-CS"/>
        </w:rPr>
        <w:t>За сваки судски срез били су формирани порески уреди који су вршили наплату пореза, док су р</w:t>
      </w:r>
      <w:r w:rsidR="00A525E6" w:rsidRPr="006D07EB">
        <w:rPr>
          <w:rFonts w:ascii="Times New Roman" w:hAnsi="Times New Roman"/>
          <w:sz w:val="24"/>
          <w:szCs w:val="24"/>
          <w:lang w:val="sr-Cyrl-CS"/>
        </w:rPr>
        <w:t>азрез доходарине и о</w:t>
      </w:r>
      <w:r w:rsidR="006D07EB" w:rsidRPr="006D07EB">
        <w:rPr>
          <w:rFonts w:ascii="Times New Roman" w:hAnsi="Times New Roman"/>
          <w:sz w:val="24"/>
          <w:szCs w:val="24"/>
          <w:lang w:val="sr-Cyrl-CS"/>
        </w:rPr>
        <w:t>пште течевине обављали</w:t>
      </w:r>
      <w:r w:rsidR="00A525E6" w:rsidRPr="006D07EB">
        <w:rPr>
          <w:rFonts w:ascii="Times New Roman" w:hAnsi="Times New Roman"/>
          <w:sz w:val="24"/>
          <w:szCs w:val="24"/>
          <w:lang w:val="sr-Cyrl-CS"/>
        </w:rPr>
        <w:t xml:space="preserve"> посебни порески одбори и то комисије за оцењивање доходарине и комисије за резрез течевине. </w:t>
      </w:r>
      <w:r w:rsidR="006D07EB" w:rsidRPr="006D07EB">
        <w:rPr>
          <w:rFonts w:ascii="Times New Roman" w:hAnsi="Times New Roman"/>
          <w:sz w:val="24"/>
          <w:szCs w:val="24"/>
          <w:lang w:val="sr-Cyrl-CS"/>
        </w:rPr>
        <w:t>Половину чланова ових комисија бирали су порески обвезници док је п</w:t>
      </w:r>
      <w:r w:rsidR="00A525E6" w:rsidRPr="006D07EB">
        <w:rPr>
          <w:rFonts w:ascii="Times New Roman" w:hAnsi="Times New Roman"/>
          <w:sz w:val="24"/>
          <w:szCs w:val="24"/>
          <w:lang w:val="sr-Cyrl-CS"/>
        </w:rPr>
        <w:t xml:space="preserve">редседника и </w:t>
      </w:r>
      <w:r w:rsidR="006D07EB" w:rsidRPr="006D07EB">
        <w:rPr>
          <w:rFonts w:ascii="Times New Roman" w:hAnsi="Times New Roman"/>
          <w:sz w:val="24"/>
          <w:szCs w:val="24"/>
          <w:lang w:val="sr-Cyrl-CS"/>
        </w:rPr>
        <w:t xml:space="preserve">преосталу </w:t>
      </w:r>
      <w:r w:rsidR="00A525E6" w:rsidRPr="006D07EB">
        <w:rPr>
          <w:rFonts w:ascii="Times New Roman" w:hAnsi="Times New Roman"/>
          <w:sz w:val="24"/>
          <w:szCs w:val="24"/>
          <w:lang w:val="sr-Cyrl-CS"/>
        </w:rPr>
        <w:t xml:space="preserve">половину чланова ових </w:t>
      </w:r>
      <w:r w:rsidR="006D07EB">
        <w:rPr>
          <w:rFonts w:ascii="Times New Roman" w:hAnsi="Times New Roman"/>
          <w:sz w:val="24"/>
          <w:szCs w:val="24"/>
          <w:lang w:val="sr-Cyrl-CS"/>
        </w:rPr>
        <w:t xml:space="preserve">комисија </w:t>
      </w:r>
      <w:r w:rsidR="006D07EB" w:rsidRPr="006D07EB">
        <w:rPr>
          <w:rFonts w:ascii="Times New Roman" w:hAnsi="Times New Roman"/>
          <w:sz w:val="24"/>
          <w:szCs w:val="24"/>
          <w:lang w:val="sr-Cyrl-CS"/>
        </w:rPr>
        <w:t xml:space="preserve">постављао </w:t>
      </w:r>
      <w:r w:rsidR="00CB05F8" w:rsidRPr="006D07EB">
        <w:rPr>
          <w:rFonts w:ascii="Times New Roman" w:hAnsi="Times New Roman"/>
          <w:sz w:val="24"/>
          <w:szCs w:val="24"/>
          <w:lang w:val="sr-Cyrl-CS"/>
        </w:rPr>
        <w:t>министа</w:t>
      </w:r>
      <w:r w:rsidR="006D07EB" w:rsidRPr="006D07EB">
        <w:rPr>
          <w:rFonts w:ascii="Times New Roman" w:hAnsi="Times New Roman"/>
          <w:sz w:val="24"/>
          <w:szCs w:val="24"/>
          <w:lang w:val="sr-Cyrl-CS"/>
        </w:rPr>
        <w:t>р финасија.</w:t>
      </w:r>
      <w:r w:rsidR="00A525E6" w:rsidRPr="006D07EB">
        <w:rPr>
          <w:rFonts w:ascii="Times New Roman" w:hAnsi="Times New Roman"/>
          <w:sz w:val="24"/>
          <w:szCs w:val="24"/>
          <w:lang w:val="sr-Cyrl-CS"/>
        </w:rPr>
        <w:t xml:space="preserve"> </w:t>
      </w:r>
    </w:p>
    <w:p w:rsidR="006D07EB" w:rsidRPr="006D07EB" w:rsidRDefault="006D07EB" w:rsidP="006D07EB">
      <w:pPr>
        <w:pStyle w:val="ListParagraph"/>
        <w:rPr>
          <w:rFonts w:ascii="Times New Roman" w:hAnsi="Times New Roman"/>
          <w:sz w:val="24"/>
          <w:szCs w:val="24"/>
          <w:lang w:val="sr-Cyrl-CS"/>
        </w:rPr>
      </w:pPr>
    </w:p>
    <w:p w:rsidR="006D07EB" w:rsidRPr="006D07EB" w:rsidRDefault="006D07EB" w:rsidP="006D07EB">
      <w:pPr>
        <w:pStyle w:val="ListParagraph"/>
        <w:jc w:val="both"/>
        <w:rPr>
          <w:rFonts w:ascii="Times New Roman" w:hAnsi="Times New Roman"/>
          <w:sz w:val="24"/>
          <w:szCs w:val="24"/>
          <w:lang w:val="sr-Cyrl-CS"/>
        </w:rPr>
      </w:pPr>
    </w:p>
    <w:p w:rsidR="00A525E6" w:rsidRPr="008C745F" w:rsidRDefault="006D07EB" w:rsidP="008A3795">
      <w:pPr>
        <w:pStyle w:val="ListParagraph"/>
        <w:numPr>
          <w:ilvl w:val="0"/>
          <w:numId w:val="63"/>
        </w:numPr>
        <w:jc w:val="both"/>
        <w:rPr>
          <w:rFonts w:ascii="Times New Roman" w:hAnsi="Times New Roman"/>
          <w:sz w:val="24"/>
          <w:szCs w:val="24"/>
          <w:lang w:val="sr-Cyrl-CS"/>
        </w:rPr>
      </w:pPr>
      <w:r>
        <w:rPr>
          <w:rFonts w:ascii="Times New Roman" w:hAnsi="Times New Roman"/>
          <w:sz w:val="24"/>
          <w:szCs w:val="24"/>
          <w:lang w:val="sr-Cyrl-CS"/>
        </w:rPr>
        <w:t xml:space="preserve">Према </w:t>
      </w:r>
      <w:r w:rsidR="00A525E6" w:rsidRPr="008C745F">
        <w:rPr>
          <w:rFonts w:ascii="Times New Roman" w:hAnsi="Times New Roman"/>
          <w:sz w:val="24"/>
          <w:szCs w:val="24"/>
          <w:lang w:val="sr-Cyrl-CS"/>
        </w:rPr>
        <w:t>угарском систему, који се примењивао у једно</w:t>
      </w:r>
      <w:r w:rsidR="005A33A3" w:rsidRPr="008C745F">
        <w:rPr>
          <w:rFonts w:ascii="Times New Roman" w:hAnsi="Times New Roman"/>
          <w:sz w:val="24"/>
          <w:szCs w:val="24"/>
          <w:lang w:val="sr-Cyrl-CS"/>
        </w:rPr>
        <w:t>м делу Војводине и Хрватске,</w:t>
      </w:r>
      <w:r w:rsidR="00A525E6" w:rsidRPr="008C745F">
        <w:rPr>
          <w:rFonts w:ascii="Times New Roman" w:hAnsi="Times New Roman"/>
          <w:sz w:val="24"/>
          <w:szCs w:val="24"/>
          <w:lang w:val="sr-Cyrl-CS"/>
        </w:rPr>
        <w:t xml:space="preserve"> примарни порески орга</w:t>
      </w:r>
      <w:r w:rsidR="005A33A3" w:rsidRPr="008C745F">
        <w:rPr>
          <w:rFonts w:ascii="Times New Roman" w:hAnsi="Times New Roman"/>
          <w:sz w:val="24"/>
          <w:szCs w:val="24"/>
          <w:lang w:val="sr-Cyrl-CS"/>
        </w:rPr>
        <w:t xml:space="preserve">ни били су финансијска равнатељства. </w:t>
      </w:r>
      <w:r>
        <w:rPr>
          <w:rFonts w:ascii="Times New Roman" w:hAnsi="Times New Roman"/>
          <w:sz w:val="24"/>
          <w:szCs w:val="24"/>
          <w:lang w:val="sr-Cyrl-CS"/>
        </w:rPr>
        <w:t>П</w:t>
      </w:r>
      <w:r w:rsidR="005A33A3" w:rsidRPr="008C745F">
        <w:rPr>
          <w:rFonts w:ascii="Times New Roman" w:hAnsi="Times New Roman"/>
          <w:sz w:val="24"/>
          <w:szCs w:val="24"/>
          <w:lang w:val="sr-Cyrl-CS"/>
        </w:rPr>
        <w:t xml:space="preserve">омоћни органи </w:t>
      </w:r>
      <w:r>
        <w:rPr>
          <w:rFonts w:ascii="Times New Roman" w:hAnsi="Times New Roman"/>
          <w:sz w:val="24"/>
          <w:szCs w:val="24"/>
          <w:lang w:val="sr-Cyrl-CS"/>
        </w:rPr>
        <w:t>су били</w:t>
      </w:r>
      <w:r w:rsidR="005A33A3" w:rsidRPr="008C745F">
        <w:rPr>
          <w:rFonts w:ascii="Times New Roman" w:hAnsi="Times New Roman"/>
          <w:sz w:val="24"/>
          <w:szCs w:val="24"/>
          <w:lang w:val="sr-Cyrl-CS"/>
        </w:rPr>
        <w:t xml:space="preserve"> државни порески уреди, градки порески уреди, општине и разни порески одбори. Порески уреди водили су бригу око књи</w:t>
      </w:r>
      <w:r>
        <w:rPr>
          <w:rFonts w:ascii="Times New Roman" w:hAnsi="Times New Roman"/>
          <w:sz w:val="24"/>
          <w:szCs w:val="24"/>
          <w:lang w:val="sr-Cyrl-CS"/>
        </w:rPr>
        <w:t>жења и наплате пореза, док су о</w:t>
      </w:r>
      <w:r w:rsidR="00230BB7" w:rsidRPr="008C745F">
        <w:rPr>
          <w:rFonts w:ascii="Times New Roman" w:hAnsi="Times New Roman"/>
          <w:sz w:val="24"/>
          <w:szCs w:val="24"/>
          <w:lang w:val="sr-Cyrl-CS"/>
        </w:rPr>
        <w:t>пштине и</w:t>
      </w:r>
      <w:r>
        <w:rPr>
          <w:rFonts w:ascii="Times New Roman" w:hAnsi="Times New Roman"/>
          <w:sz w:val="24"/>
          <w:szCs w:val="24"/>
          <w:lang w:val="sr-Cyrl-CS"/>
        </w:rPr>
        <w:t xml:space="preserve"> разни порески одбори вршили </w:t>
      </w:r>
      <w:r w:rsidR="00230BB7" w:rsidRPr="008C745F">
        <w:rPr>
          <w:rFonts w:ascii="Times New Roman" w:hAnsi="Times New Roman"/>
          <w:sz w:val="24"/>
          <w:szCs w:val="24"/>
          <w:lang w:val="sr-Cyrl-CS"/>
        </w:rPr>
        <w:t>књижење и наплату само оних пореза за које</w:t>
      </w:r>
      <w:r w:rsidR="006E02BD" w:rsidRPr="008C745F">
        <w:rPr>
          <w:rFonts w:ascii="Times New Roman" w:hAnsi="Times New Roman"/>
          <w:sz w:val="24"/>
          <w:szCs w:val="24"/>
          <w:lang w:val="sr-Cyrl-CS"/>
        </w:rPr>
        <w:t xml:space="preserve"> су били задужени од стране држа</w:t>
      </w:r>
      <w:r w:rsidR="00230BB7" w:rsidRPr="008C745F">
        <w:rPr>
          <w:rFonts w:ascii="Times New Roman" w:hAnsi="Times New Roman"/>
          <w:sz w:val="24"/>
          <w:szCs w:val="24"/>
          <w:lang w:val="sr-Cyrl-CS"/>
        </w:rPr>
        <w:t>ве.</w:t>
      </w:r>
    </w:p>
    <w:p w:rsidR="00230BB7" w:rsidRDefault="00230BB7" w:rsidP="00230BB7">
      <w:pPr>
        <w:pStyle w:val="ListParagraph"/>
        <w:rPr>
          <w:rFonts w:ascii="Times New Roman" w:hAnsi="Times New Roman"/>
          <w:sz w:val="24"/>
          <w:szCs w:val="24"/>
          <w:lang w:val="sr-Cyrl-CS"/>
        </w:rPr>
      </w:pPr>
    </w:p>
    <w:p w:rsidR="00230BB7" w:rsidRPr="008C745F" w:rsidRDefault="00230BB7" w:rsidP="008A3795">
      <w:pPr>
        <w:pStyle w:val="ListParagraph"/>
        <w:numPr>
          <w:ilvl w:val="0"/>
          <w:numId w:val="63"/>
        </w:numPr>
        <w:jc w:val="both"/>
        <w:rPr>
          <w:rFonts w:ascii="Times New Roman" w:hAnsi="Times New Roman"/>
          <w:sz w:val="24"/>
          <w:szCs w:val="24"/>
          <w:lang w:val="sr-Cyrl-CS"/>
        </w:rPr>
      </w:pPr>
      <w:r w:rsidRPr="008C745F">
        <w:rPr>
          <w:rFonts w:ascii="Times New Roman" w:hAnsi="Times New Roman"/>
          <w:sz w:val="24"/>
          <w:szCs w:val="24"/>
          <w:lang w:val="sr-Cyrl-CS"/>
        </w:rPr>
        <w:t>Према турском пореском систему, који се примењивао у Босни и Херцеговини, за разрез и наплату пореза, као првостепене пореске власти били су задужени пор</w:t>
      </w:r>
      <w:r w:rsidR="0021242E" w:rsidRPr="008C745F">
        <w:rPr>
          <w:rFonts w:ascii="Times New Roman" w:hAnsi="Times New Roman"/>
          <w:sz w:val="24"/>
          <w:szCs w:val="24"/>
          <w:lang w:val="sr-Cyrl-CS"/>
        </w:rPr>
        <w:t>е</w:t>
      </w:r>
      <w:r w:rsidR="006D07EB">
        <w:rPr>
          <w:rFonts w:ascii="Times New Roman" w:hAnsi="Times New Roman"/>
          <w:sz w:val="24"/>
          <w:szCs w:val="24"/>
          <w:lang w:val="sr-Cyrl-CS"/>
        </w:rPr>
        <w:t xml:space="preserve">ски уреди који </w:t>
      </w:r>
      <w:r w:rsidRPr="008C745F">
        <w:rPr>
          <w:rFonts w:ascii="Times New Roman" w:hAnsi="Times New Roman"/>
          <w:sz w:val="24"/>
          <w:szCs w:val="24"/>
          <w:lang w:val="sr-Cyrl-CS"/>
        </w:rPr>
        <w:t>су водили еви</w:t>
      </w:r>
      <w:r w:rsidR="0021242E" w:rsidRPr="008C745F">
        <w:rPr>
          <w:rFonts w:ascii="Times New Roman" w:hAnsi="Times New Roman"/>
          <w:sz w:val="24"/>
          <w:szCs w:val="24"/>
          <w:lang w:val="sr-Cyrl-CS"/>
        </w:rPr>
        <w:t>д</w:t>
      </w:r>
      <w:r w:rsidRPr="008C745F">
        <w:rPr>
          <w:rFonts w:ascii="Times New Roman" w:hAnsi="Times New Roman"/>
          <w:sz w:val="24"/>
          <w:szCs w:val="24"/>
          <w:lang w:val="sr-Cyrl-CS"/>
        </w:rPr>
        <w:t xml:space="preserve">енцију о пореским обвезницима који су имали домицил </w:t>
      </w:r>
      <w:r w:rsidR="0009237D" w:rsidRPr="008C745F">
        <w:rPr>
          <w:rFonts w:ascii="Times New Roman" w:hAnsi="Times New Roman"/>
          <w:sz w:val="24"/>
          <w:szCs w:val="24"/>
          <w:lang w:val="sr-Cyrl-CS"/>
        </w:rPr>
        <w:t xml:space="preserve">на територији пореског среза у оквиру кога су они вршили разрез и наплату пореза. </w:t>
      </w:r>
      <w:r w:rsidR="006D07EB">
        <w:rPr>
          <w:rFonts w:ascii="Times New Roman" w:hAnsi="Times New Roman"/>
          <w:sz w:val="24"/>
          <w:szCs w:val="24"/>
          <w:lang w:val="sr-Cyrl-CS"/>
        </w:rPr>
        <w:t>Порески одбори су вршили о</w:t>
      </w:r>
      <w:r w:rsidR="0009237D" w:rsidRPr="008C745F">
        <w:rPr>
          <w:rFonts w:ascii="Times New Roman" w:hAnsi="Times New Roman"/>
          <w:sz w:val="24"/>
          <w:szCs w:val="24"/>
          <w:lang w:val="sr-Cyrl-CS"/>
        </w:rPr>
        <w:t>цену величине приноса одређеног об</w:t>
      </w:r>
      <w:r w:rsidR="006D07EB">
        <w:rPr>
          <w:rFonts w:ascii="Times New Roman" w:hAnsi="Times New Roman"/>
          <w:sz w:val="24"/>
          <w:szCs w:val="24"/>
          <w:lang w:val="sr-Cyrl-CS"/>
        </w:rPr>
        <w:t xml:space="preserve">везника и </w:t>
      </w:r>
      <w:r w:rsidR="0009237D" w:rsidRPr="008C745F">
        <w:rPr>
          <w:rFonts w:ascii="Times New Roman" w:hAnsi="Times New Roman"/>
          <w:sz w:val="24"/>
          <w:szCs w:val="24"/>
          <w:lang w:val="sr-Cyrl-CS"/>
        </w:rPr>
        <w:t xml:space="preserve">били </w:t>
      </w:r>
      <w:r w:rsidR="006D07EB">
        <w:rPr>
          <w:rFonts w:ascii="Times New Roman" w:hAnsi="Times New Roman"/>
          <w:sz w:val="24"/>
          <w:szCs w:val="24"/>
          <w:lang w:val="sr-Cyrl-CS"/>
        </w:rPr>
        <w:t xml:space="preserve">су </w:t>
      </w:r>
      <w:r w:rsidR="0009237D" w:rsidRPr="008C745F">
        <w:rPr>
          <w:rFonts w:ascii="Times New Roman" w:hAnsi="Times New Roman"/>
          <w:sz w:val="24"/>
          <w:szCs w:val="24"/>
          <w:lang w:val="sr-Cyrl-CS"/>
        </w:rPr>
        <w:t xml:space="preserve">састављени од председника и четири члана, а у већим градовима, поред председника, имали су шест чланова. </w:t>
      </w:r>
      <w:r w:rsidR="006D07EB">
        <w:rPr>
          <w:rFonts w:ascii="Times New Roman" w:hAnsi="Times New Roman"/>
          <w:sz w:val="24"/>
          <w:szCs w:val="24"/>
          <w:lang w:val="sr-Cyrl-CS"/>
        </w:rPr>
        <w:t>Њихове чланове бирали су порески обвезници</w:t>
      </w:r>
      <w:r w:rsidR="0009237D" w:rsidRPr="008C745F">
        <w:rPr>
          <w:rFonts w:ascii="Times New Roman" w:hAnsi="Times New Roman"/>
          <w:sz w:val="24"/>
          <w:szCs w:val="24"/>
          <w:lang w:val="sr-Cyrl-CS"/>
        </w:rPr>
        <w:t xml:space="preserve">. </w:t>
      </w:r>
      <w:r w:rsidR="006D07EB">
        <w:rPr>
          <w:rFonts w:ascii="Times New Roman" w:hAnsi="Times New Roman"/>
          <w:sz w:val="24"/>
          <w:szCs w:val="24"/>
          <w:lang w:val="sr-Cyrl-CS"/>
        </w:rPr>
        <w:t>Након</w:t>
      </w:r>
      <w:r w:rsidR="0009237D" w:rsidRPr="008C745F">
        <w:rPr>
          <w:rFonts w:ascii="Times New Roman" w:hAnsi="Times New Roman"/>
          <w:sz w:val="24"/>
          <w:szCs w:val="24"/>
          <w:lang w:val="sr-Cyrl-CS"/>
        </w:rPr>
        <w:t xml:space="preserve"> разреза пореза </w:t>
      </w:r>
      <w:r w:rsidR="006D07EB">
        <w:rPr>
          <w:rFonts w:ascii="Times New Roman" w:hAnsi="Times New Roman"/>
          <w:sz w:val="24"/>
          <w:szCs w:val="24"/>
          <w:lang w:val="sr-Cyrl-CS"/>
        </w:rPr>
        <w:t xml:space="preserve">порески уред је обавештавао </w:t>
      </w:r>
      <w:r w:rsidR="0009237D" w:rsidRPr="008C745F">
        <w:rPr>
          <w:rFonts w:ascii="Times New Roman" w:hAnsi="Times New Roman"/>
          <w:sz w:val="24"/>
          <w:szCs w:val="24"/>
          <w:lang w:val="sr-Cyrl-CS"/>
        </w:rPr>
        <w:t xml:space="preserve"> сваког пореског обвезника о величини </w:t>
      </w:r>
      <w:r w:rsidR="006D07EB">
        <w:rPr>
          <w:rFonts w:ascii="Times New Roman" w:hAnsi="Times New Roman"/>
          <w:sz w:val="24"/>
          <w:szCs w:val="24"/>
          <w:lang w:val="sr-Cyrl-CS"/>
        </w:rPr>
        <w:t>пореске обавезе</w:t>
      </w:r>
      <w:r w:rsidR="0009237D" w:rsidRPr="008C745F">
        <w:rPr>
          <w:rFonts w:ascii="Times New Roman" w:hAnsi="Times New Roman"/>
          <w:sz w:val="24"/>
          <w:szCs w:val="24"/>
          <w:lang w:val="sr-Cyrl-CS"/>
        </w:rPr>
        <w:t>.</w:t>
      </w:r>
    </w:p>
    <w:p w:rsidR="0009237D" w:rsidRDefault="0009237D" w:rsidP="0009237D">
      <w:pPr>
        <w:pStyle w:val="ListParagraph"/>
        <w:rPr>
          <w:rFonts w:ascii="Times New Roman" w:hAnsi="Times New Roman"/>
          <w:sz w:val="24"/>
          <w:szCs w:val="24"/>
          <w:lang w:val="sr-Cyrl-CS"/>
        </w:rPr>
      </w:pPr>
    </w:p>
    <w:p w:rsidR="0009237D" w:rsidRDefault="0009237D" w:rsidP="0009237D">
      <w:pPr>
        <w:pStyle w:val="ListParagraph"/>
        <w:ind w:left="0" w:firstLine="360"/>
        <w:jc w:val="both"/>
        <w:rPr>
          <w:rFonts w:ascii="Times New Roman" w:hAnsi="Times New Roman"/>
          <w:sz w:val="24"/>
          <w:szCs w:val="24"/>
          <w:lang w:val="sr-Cyrl-CS"/>
        </w:rPr>
      </w:pPr>
      <w:r>
        <w:rPr>
          <w:rFonts w:ascii="Times New Roman" w:hAnsi="Times New Roman"/>
          <w:sz w:val="24"/>
          <w:szCs w:val="24"/>
          <w:lang w:val="sr-Cyrl-CS"/>
        </w:rPr>
        <w:t>Примена различитих пореских система наметала је потребу усвајања једног пореског система и доношења јединствених прописа из области управе и судства. Законом о непосредним порезим, који је донет 1928. године, а ступио је на снагу 1. јануара 1929. године,  омогућена је примена јединствених пореских про</w:t>
      </w:r>
      <w:r w:rsidR="0021242E">
        <w:rPr>
          <w:rFonts w:ascii="Times New Roman" w:hAnsi="Times New Roman"/>
          <w:sz w:val="24"/>
          <w:szCs w:val="24"/>
          <w:lang w:val="sr-Cyrl-CS"/>
        </w:rPr>
        <w:t>п</w:t>
      </w:r>
      <w:r>
        <w:rPr>
          <w:rFonts w:ascii="Times New Roman" w:hAnsi="Times New Roman"/>
          <w:sz w:val="24"/>
          <w:szCs w:val="24"/>
          <w:lang w:val="sr-Cyrl-CS"/>
        </w:rPr>
        <w:t xml:space="preserve">иса на целој територији Краљевства, као и функионисање пореске администрације </w:t>
      </w:r>
      <w:r w:rsidR="00C95F23">
        <w:rPr>
          <w:rFonts w:ascii="Times New Roman" w:hAnsi="Times New Roman"/>
          <w:sz w:val="24"/>
          <w:szCs w:val="24"/>
          <w:lang w:val="sr-Cyrl-CS"/>
        </w:rPr>
        <w:t xml:space="preserve">на јединствен начин. У савком срезу постојао је један или више пореских одбора, у зависности од броја становника. Председника и половину чланова одбора именовао је министар финсансија, док је преостале чланове бирао општински одбор. У сваком случају, за члана одбора могао је бити изабран само држављанин Краљевине, који станује у </w:t>
      </w:r>
      <w:r w:rsidR="00C95F23">
        <w:rPr>
          <w:rFonts w:ascii="Times New Roman" w:hAnsi="Times New Roman"/>
          <w:sz w:val="24"/>
          <w:szCs w:val="24"/>
          <w:lang w:val="sr-Cyrl-CS"/>
        </w:rPr>
        <w:lastRenderedPageBreak/>
        <w:t>дотичној држави најмање пет година, који није осу</w:t>
      </w:r>
      <w:r w:rsidR="008744E9">
        <w:rPr>
          <w:rFonts w:ascii="Times New Roman" w:hAnsi="Times New Roman"/>
          <w:sz w:val="24"/>
          <w:szCs w:val="24"/>
          <w:lang w:val="sr-Cyrl-CS"/>
        </w:rPr>
        <w:t>ђи</w:t>
      </w:r>
      <w:r w:rsidR="00C95F23">
        <w:rPr>
          <w:rFonts w:ascii="Times New Roman" w:hAnsi="Times New Roman"/>
          <w:sz w:val="24"/>
          <w:szCs w:val="24"/>
          <w:lang w:val="sr-Cyrl-CS"/>
        </w:rPr>
        <w:t>ван и који на име непос</w:t>
      </w:r>
      <w:r w:rsidR="008744E9">
        <w:rPr>
          <w:rFonts w:ascii="Times New Roman" w:hAnsi="Times New Roman"/>
          <w:sz w:val="24"/>
          <w:szCs w:val="24"/>
          <w:lang w:val="sr-Cyrl-CS"/>
        </w:rPr>
        <w:t>редног пореза плаћа нај</w:t>
      </w:r>
      <w:r w:rsidR="00C95F23">
        <w:rPr>
          <w:rFonts w:ascii="Times New Roman" w:hAnsi="Times New Roman"/>
          <w:sz w:val="24"/>
          <w:szCs w:val="24"/>
          <w:lang w:val="sr-Cyrl-CS"/>
        </w:rPr>
        <w:t>мање 50 динара.</w:t>
      </w:r>
      <w:r w:rsidR="00387E8A">
        <w:rPr>
          <w:rStyle w:val="FootnoteReference"/>
          <w:rFonts w:ascii="Times New Roman" w:hAnsi="Times New Roman"/>
          <w:sz w:val="24"/>
          <w:szCs w:val="24"/>
          <w:lang w:val="sr-Cyrl-CS"/>
        </w:rPr>
        <w:footnoteReference w:id="162"/>
      </w:r>
    </w:p>
    <w:p w:rsidR="00C95F23" w:rsidRDefault="00C95F23" w:rsidP="0009237D">
      <w:pPr>
        <w:pStyle w:val="ListParagraph"/>
        <w:ind w:left="0" w:firstLine="360"/>
        <w:jc w:val="both"/>
        <w:rPr>
          <w:rFonts w:ascii="Times New Roman" w:hAnsi="Times New Roman"/>
          <w:sz w:val="24"/>
          <w:szCs w:val="24"/>
          <w:lang w:val="sr-Cyrl-CS"/>
        </w:rPr>
      </w:pPr>
    </w:p>
    <w:p w:rsidR="00C95F23" w:rsidRDefault="00C95F23" w:rsidP="00C95F23">
      <w:pPr>
        <w:pStyle w:val="ListParagraph"/>
        <w:ind w:left="0" w:firstLine="360"/>
        <w:jc w:val="both"/>
        <w:rPr>
          <w:rFonts w:ascii="Times New Roman" w:hAnsi="Times New Roman"/>
          <w:sz w:val="24"/>
          <w:szCs w:val="24"/>
          <w:lang w:val="sr-Cyrl-CS"/>
        </w:rPr>
      </w:pPr>
      <w:r>
        <w:rPr>
          <w:rFonts w:ascii="Times New Roman" w:hAnsi="Times New Roman"/>
          <w:sz w:val="24"/>
          <w:szCs w:val="24"/>
          <w:lang w:val="sr-Cyrl-CS"/>
        </w:rPr>
        <w:t xml:space="preserve">Законом о називу и подели Краљевине на управна подручја и Законом о банској управи из 1929. године, дозвољено је бановинама да утврђују властите приходе. Законом о општинама и Законом о градовима из 1933. године градови и општине су могли уводити прирезе на непосредне државне порезе и градске општинске посебне порезе – трошарине и таксе. Ако су општински прирези на државне непосредне порезе, у буџету </w:t>
      </w:r>
      <w:r w:rsidRPr="00C95F23">
        <w:rPr>
          <w:rFonts w:ascii="Times New Roman" w:hAnsi="Times New Roman"/>
          <w:sz w:val="24"/>
          <w:szCs w:val="24"/>
          <w:lang w:val="sr-Cyrl-CS"/>
        </w:rPr>
        <w:t>општине, били до 50%, сагласност на буџет је давао срески начелник уз овлашћење</w:t>
      </w:r>
      <w:r>
        <w:rPr>
          <w:rFonts w:ascii="Times New Roman" w:hAnsi="Times New Roman"/>
          <w:sz w:val="24"/>
          <w:szCs w:val="24"/>
          <w:lang w:val="sr-Cyrl-CS"/>
        </w:rPr>
        <w:t xml:space="preserve"> бана. Ако су општински прирези на државне непосредне порезе, били преко 50%, сагласност је давао бан, а преко ове стопе, по одобрењу, министар финасија.</w:t>
      </w:r>
      <w:r>
        <w:rPr>
          <w:rStyle w:val="FootnoteReference"/>
          <w:rFonts w:ascii="Times New Roman" w:hAnsi="Times New Roman"/>
          <w:sz w:val="24"/>
          <w:szCs w:val="24"/>
          <w:lang w:val="sr-Cyrl-CS"/>
        </w:rPr>
        <w:footnoteReference w:id="163"/>
      </w:r>
    </w:p>
    <w:p w:rsidR="005F26AC" w:rsidRDefault="005F26AC" w:rsidP="008744E9">
      <w:pPr>
        <w:pStyle w:val="ListParagraph"/>
        <w:ind w:left="0"/>
        <w:jc w:val="both"/>
        <w:rPr>
          <w:rFonts w:ascii="Times New Roman" w:hAnsi="Times New Roman"/>
          <w:sz w:val="24"/>
          <w:szCs w:val="24"/>
          <w:lang w:val="sr-Cyrl-CS"/>
        </w:rPr>
      </w:pPr>
    </w:p>
    <w:p w:rsidR="00E37181" w:rsidRDefault="00C95F23" w:rsidP="00E37181">
      <w:pPr>
        <w:pStyle w:val="ListParagraph"/>
        <w:ind w:left="0" w:firstLine="708"/>
        <w:jc w:val="both"/>
        <w:rPr>
          <w:rFonts w:ascii="Times New Roman" w:hAnsi="Times New Roman"/>
          <w:sz w:val="24"/>
          <w:szCs w:val="24"/>
          <w:lang w:val="sr-Cyrl-CS"/>
        </w:rPr>
      </w:pPr>
      <w:r>
        <w:rPr>
          <w:rFonts w:ascii="Times New Roman" w:hAnsi="Times New Roman"/>
          <w:sz w:val="24"/>
          <w:szCs w:val="24"/>
          <w:lang w:val="sr-Cyrl-CS"/>
        </w:rPr>
        <w:t>По завршетку Другог светског рата долази до стварања</w:t>
      </w:r>
      <w:r w:rsidR="005F26AC">
        <w:rPr>
          <w:rFonts w:ascii="Times New Roman" w:hAnsi="Times New Roman"/>
          <w:sz w:val="24"/>
          <w:szCs w:val="24"/>
          <w:lang w:val="sr-Cyrl-CS"/>
        </w:rPr>
        <w:t xml:space="preserve"> </w:t>
      </w:r>
      <w:r w:rsidR="005F26AC" w:rsidRPr="00C95F23">
        <w:rPr>
          <w:rFonts w:ascii="Times New Roman" w:hAnsi="Times New Roman"/>
          <w:sz w:val="24"/>
          <w:szCs w:val="24"/>
          <w:lang w:val="sr-Cyrl-CS"/>
        </w:rPr>
        <w:t>друге Југославије</w:t>
      </w:r>
      <w:r w:rsidR="005F26AC">
        <w:rPr>
          <w:rFonts w:ascii="Times New Roman" w:hAnsi="Times New Roman"/>
          <w:sz w:val="24"/>
          <w:szCs w:val="24"/>
          <w:lang w:val="sr-Cyrl-CS"/>
        </w:rPr>
        <w:t xml:space="preserve"> </w:t>
      </w:r>
      <w:r>
        <w:rPr>
          <w:rFonts w:ascii="Times New Roman" w:hAnsi="Times New Roman"/>
          <w:sz w:val="24"/>
          <w:szCs w:val="24"/>
          <w:lang w:val="sr-Cyrl-CS"/>
        </w:rPr>
        <w:t xml:space="preserve">у новим социјалистичким условима и </w:t>
      </w:r>
      <w:r w:rsidR="005F26AC">
        <w:rPr>
          <w:rFonts w:ascii="Times New Roman" w:hAnsi="Times New Roman"/>
          <w:sz w:val="24"/>
          <w:szCs w:val="24"/>
          <w:lang w:val="sr-Cyrl-CS"/>
        </w:rPr>
        <w:t xml:space="preserve"> до промена у фискалном систему. </w:t>
      </w:r>
      <w:r>
        <w:rPr>
          <w:rFonts w:ascii="Times New Roman" w:hAnsi="Times New Roman"/>
          <w:sz w:val="24"/>
          <w:szCs w:val="24"/>
          <w:lang w:val="sr-Cyrl-CS"/>
        </w:rPr>
        <w:t xml:space="preserve"> </w:t>
      </w:r>
      <w:r w:rsidR="00E37181">
        <w:rPr>
          <w:rFonts w:ascii="Times New Roman" w:hAnsi="Times New Roman"/>
          <w:sz w:val="24"/>
          <w:szCs w:val="24"/>
          <w:lang w:val="sr-Cyrl-CS"/>
        </w:rPr>
        <w:t>У области утврђивања пореза, уведене су мере комис</w:t>
      </w:r>
      <w:r w:rsidR="008744E9">
        <w:rPr>
          <w:rFonts w:ascii="Times New Roman" w:hAnsi="Times New Roman"/>
          <w:sz w:val="24"/>
          <w:szCs w:val="24"/>
          <w:lang w:val="sr-Cyrl-CS"/>
        </w:rPr>
        <w:t>и</w:t>
      </w:r>
      <w:r w:rsidR="00E37181">
        <w:rPr>
          <w:rFonts w:ascii="Times New Roman" w:hAnsi="Times New Roman"/>
          <w:sz w:val="24"/>
          <w:szCs w:val="24"/>
          <w:lang w:val="sr-Cyrl-CS"/>
        </w:rPr>
        <w:t>ј</w:t>
      </w:r>
      <w:r w:rsidR="008744E9">
        <w:rPr>
          <w:rFonts w:ascii="Times New Roman" w:hAnsi="Times New Roman"/>
          <w:sz w:val="24"/>
          <w:szCs w:val="24"/>
          <w:lang w:val="sr-Cyrl-CS"/>
        </w:rPr>
        <w:t>ск</w:t>
      </w:r>
      <w:r w:rsidR="00E37181">
        <w:rPr>
          <w:rFonts w:ascii="Times New Roman" w:hAnsi="Times New Roman"/>
          <w:sz w:val="24"/>
          <w:szCs w:val="24"/>
          <w:lang w:val="sr-Cyrl-CS"/>
        </w:rPr>
        <w:t>ог утврђивања пореске основице и разреза пореза. Пореске комисије уведене су при среским народним одборима. Смањен је број пореских облика, а коначна одлука о пореским обавезама била је на среским народним одборима, који су били изборни органи.</w:t>
      </w:r>
      <w:r w:rsidR="00426991">
        <w:rPr>
          <w:rStyle w:val="FootnoteReference"/>
          <w:rFonts w:ascii="Times New Roman" w:hAnsi="Times New Roman"/>
          <w:sz w:val="24"/>
          <w:szCs w:val="24"/>
          <w:lang w:val="sr-Cyrl-CS"/>
        </w:rPr>
        <w:footnoteReference w:id="164"/>
      </w:r>
      <w:r w:rsidR="00E37181">
        <w:rPr>
          <w:rFonts w:ascii="Times New Roman" w:hAnsi="Times New Roman"/>
          <w:sz w:val="24"/>
          <w:szCs w:val="24"/>
          <w:lang w:val="sr-Cyrl-CS"/>
        </w:rPr>
        <w:t xml:space="preserve"> </w:t>
      </w:r>
    </w:p>
    <w:p w:rsidR="00E37181" w:rsidRDefault="00E37181" w:rsidP="00E37181">
      <w:pPr>
        <w:pStyle w:val="ListParagraph"/>
        <w:ind w:left="0" w:firstLine="708"/>
        <w:jc w:val="both"/>
        <w:rPr>
          <w:rFonts w:ascii="Times New Roman" w:hAnsi="Times New Roman"/>
          <w:sz w:val="24"/>
          <w:szCs w:val="24"/>
          <w:lang w:val="sr-Cyrl-CS"/>
        </w:rPr>
      </w:pPr>
    </w:p>
    <w:p w:rsidR="005F26AC" w:rsidRDefault="00C95F23" w:rsidP="00C95F23">
      <w:pPr>
        <w:pStyle w:val="ListParagraph"/>
        <w:ind w:left="0" w:firstLine="360"/>
        <w:jc w:val="both"/>
        <w:rPr>
          <w:rFonts w:ascii="Times New Roman" w:hAnsi="Times New Roman"/>
          <w:sz w:val="24"/>
          <w:szCs w:val="24"/>
          <w:lang w:val="sr-Cyrl-CS"/>
        </w:rPr>
      </w:pPr>
      <w:r>
        <w:rPr>
          <w:rFonts w:ascii="Times New Roman" w:hAnsi="Times New Roman"/>
          <w:sz w:val="24"/>
          <w:szCs w:val="24"/>
          <w:lang w:val="sr-Cyrl-CS"/>
        </w:rPr>
        <w:t>У те</w:t>
      </w:r>
      <w:r w:rsidR="006E02BD">
        <w:rPr>
          <w:rFonts w:ascii="Times New Roman" w:hAnsi="Times New Roman"/>
          <w:sz w:val="24"/>
          <w:szCs w:val="24"/>
          <w:lang w:val="sr-Cyrl-CS"/>
        </w:rPr>
        <w:t>о</w:t>
      </w:r>
      <w:r>
        <w:rPr>
          <w:rFonts w:ascii="Times New Roman" w:hAnsi="Times New Roman"/>
          <w:sz w:val="24"/>
          <w:szCs w:val="24"/>
          <w:lang w:val="sr-Cyrl-CS"/>
        </w:rPr>
        <w:t>рији је заступљена подела на следеће периоде развоја пореског система:</w:t>
      </w:r>
    </w:p>
    <w:p w:rsidR="005F26AC" w:rsidRDefault="005F26AC" w:rsidP="005F26AC">
      <w:pPr>
        <w:pStyle w:val="ListParagraph"/>
        <w:jc w:val="both"/>
        <w:rPr>
          <w:rFonts w:ascii="Times New Roman" w:hAnsi="Times New Roman"/>
          <w:sz w:val="24"/>
          <w:szCs w:val="24"/>
          <w:lang w:val="sr-Cyrl-CS"/>
        </w:rPr>
      </w:pPr>
    </w:p>
    <w:p w:rsidR="009A4026" w:rsidRDefault="005F26AC" w:rsidP="008A3795">
      <w:pPr>
        <w:pStyle w:val="ListParagraph"/>
        <w:numPr>
          <w:ilvl w:val="0"/>
          <w:numId w:val="9"/>
        </w:numPr>
        <w:jc w:val="both"/>
        <w:rPr>
          <w:rFonts w:ascii="Times New Roman" w:hAnsi="Times New Roman"/>
          <w:sz w:val="24"/>
          <w:szCs w:val="24"/>
          <w:lang w:val="sr-Cyrl-CS"/>
        </w:rPr>
      </w:pPr>
      <w:r>
        <w:rPr>
          <w:rFonts w:ascii="Times New Roman" w:hAnsi="Times New Roman"/>
          <w:sz w:val="24"/>
          <w:szCs w:val="24"/>
          <w:lang w:val="sr-Cyrl-CS"/>
        </w:rPr>
        <w:t xml:space="preserve">Период од друге половине </w:t>
      </w:r>
      <w:r w:rsidRPr="00802C6E">
        <w:rPr>
          <w:rFonts w:ascii="Times New Roman" w:hAnsi="Times New Roman"/>
          <w:sz w:val="24"/>
          <w:szCs w:val="24"/>
          <w:lang w:val="sr-Cyrl-CS"/>
        </w:rPr>
        <w:t xml:space="preserve">1944. године до краја 1946. </w:t>
      </w:r>
      <w:r w:rsidR="00C93ECC">
        <w:rPr>
          <w:rFonts w:ascii="Times New Roman" w:hAnsi="Times New Roman"/>
          <w:sz w:val="24"/>
          <w:szCs w:val="24"/>
          <w:lang w:val="sr-Cyrl-CS"/>
        </w:rPr>
        <w:t>г</w:t>
      </w:r>
      <w:r w:rsidRPr="00802C6E">
        <w:rPr>
          <w:rFonts w:ascii="Times New Roman" w:hAnsi="Times New Roman"/>
          <w:sz w:val="24"/>
          <w:szCs w:val="24"/>
          <w:lang w:val="sr-Cyrl-CS"/>
        </w:rPr>
        <w:t>одине</w:t>
      </w:r>
    </w:p>
    <w:p w:rsidR="00C93ECC" w:rsidRDefault="00C93ECC" w:rsidP="00C93ECC">
      <w:pPr>
        <w:pStyle w:val="ListParagraph"/>
        <w:ind w:left="1080"/>
        <w:jc w:val="both"/>
        <w:rPr>
          <w:rFonts w:ascii="Times New Roman" w:hAnsi="Times New Roman"/>
          <w:sz w:val="24"/>
          <w:szCs w:val="24"/>
          <w:lang w:val="sr-Cyrl-CS"/>
        </w:rPr>
      </w:pPr>
    </w:p>
    <w:p w:rsidR="00C95F23" w:rsidRDefault="005F26AC" w:rsidP="00802C6E">
      <w:pPr>
        <w:pStyle w:val="ListParagraph"/>
        <w:ind w:left="0" w:firstLine="708"/>
        <w:jc w:val="both"/>
        <w:rPr>
          <w:rFonts w:ascii="Times New Roman" w:hAnsi="Times New Roman"/>
          <w:sz w:val="24"/>
          <w:szCs w:val="24"/>
          <w:lang w:val="sr-Cyrl-CS"/>
        </w:rPr>
      </w:pPr>
      <w:r>
        <w:rPr>
          <w:rFonts w:ascii="Times New Roman" w:hAnsi="Times New Roman"/>
          <w:sz w:val="24"/>
          <w:szCs w:val="24"/>
          <w:lang w:val="sr-Cyrl-CS"/>
        </w:rPr>
        <w:t xml:space="preserve">Све до 1946. године када је урађен први буџет, на основу Закона о државном буџету из 1945. </w:t>
      </w:r>
      <w:r w:rsidR="00283F6E">
        <w:rPr>
          <w:rFonts w:ascii="Times New Roman" w:hAnsi="Times New Roman"/>
          <w:sz w:val="24"/>
          <w:szCs w:val="24"/>
          <w:lang w:val="sr-Cyrl-CS"/>
        </w:rPr>
        <w:t>г</w:t>
      </w:r>
      <w:r>
        <w:rPr>
          <w:rFonts w:ascii="Times New Roman" w:hAnsi="Times New Roman"/>
          <w:sz w:val="24"/>
          <w:szCs w:val="24"/>
          <w:lang w:val="sr-Cyrl-CS"/>
        </w:rPr>
        <w:t>одине, примењивали су се порески облици</w:t>
      </w:r>
      <w:r w:rsidR="00C95F23">
        <w:rPr>
          <w:rFonts w:ascii="Times New Roman" w:hAnsi="Times New Roman"/>
          <w:sz w:val="24"/>
          <w:szCs w:val="24"/>
          <w:lang w:val="sr-Cyrl-CS"/>
        </w:rPr>
        <w:t xml:space="preserve"> из старе Југославије. Н</w:t>
      </w:r>
      <w:r>
        <w:rPr>
          <w:rFonts w:ascii="Times New Roman" w:hAnsi="Times New Roman"/>
          <w:sz w:val="24"/>
          <w:szCs w:val="24"/>
          <w:lang w:val="sr-Cyrl-CS"/>
        </w:rPr>
        <w:t>ародноослобод</w:t>
      </w:r>
      <w:r w:rsidR="00C95F23">
        <w:rPr>
          <w:rFonts w:ascii="Times New Roman" w:hAnsi="Times New Roman"/>
          <w:sz w:val="24"/>
          <w:szCs w:val="24"/>
          <w:lang w:val="sr-Cyrl-CS"/>
        </w:rPr>
        <w:t>илачки одбори, који су створени још у току рата,</w:t>
      </w:r>
      <w:r w:rsidR="00283F6E">
        <w:rPr>
          <w:rFonts w:ascii="Times New Roman" w:hAnsi="Times New Roman"/>
          <w:sz w:val="24"/>
          <w:szCs w:val="24"/>
          <w:lang w:val="sr-Cyrl-CS"/>
        </w:rPr>
        <w:t xml:space="preserve"> су заменили стари апарат локалних власти, али они нису били самостални јер су републички органи одређивали приходе и расходе.</w:t>
      </w:r>
      <w:r w:rsidR="007C0496">
        <w:rPr>
          <w:rFonts w:ascii="Times New Roman" w:hAnsi="Times New Roman"/>
          <w:sz w:val="24"/>
          <w:szCs w:val="24"/>
          <w:lang w:val="sr-Cyrl-CS"/>
        </w:rPr>
        <w:t xml:space="preserve"> Шире посматрано, у домену система финансија, период од 1946. године, када је донет Устав СФРЈ, а потом и Устав република чланица, представ</w:t>
      </w:r>
      <w:r w:rsidR="008F77E7">
        <w:rPr>
          <w:rFonts w:ascii="Times New Roman" w:hAnsi="Times New Roman"/>
          <w:sz w:val="24"/>
          <w:szCs w:val="24"/>
          <w:lang w:val="sr-Cyrl-CS"/>
        </w:rPr>
        <w:t xml:space="preserve">ља фазу централизације </w:t>
      </w:r>
      <w:r w:rsidR="007C0496">
        <w:rPr>
          <w:rFonts w:ascii="Times New Roman" w:hAnsi="Times New Roman"/>
          <w:sz w:val="24"/>
          <w:szCs w:val="24"/>
          <w:lang w:val="sr-Cyrl-CS"/>
        </w:rPr>
        <w:t>јавних прихода, тако што су најважније функције и најиздашнији извори при</w:t>
      </w:r>
      <w:r w:rsidR="008F77E7">
        <w:rPr>
          <w:rFonts w:ascii="Times New Roman" w:hAnsi="Times New Roman"/>
          <w:sz w:val="24"/>
          <w:szCs w:val="24"/>
          <w:lang w:val="sr-Cyrl-CS"/>
        </w:rPr>
        <w:t xml:space="preserve">хода били поверени федерацији, док су републикама </w:t>
      </w:r>
      <w:r w:rsidR="007C0496">
        <w:rPr>
          <w:rFonts w:ascii="Times New Roman" w:hAnsi="Times New Roman"/>
          <w:sz w:val="24"/>
          <w:szCs w:val="24"/>
          <w:lang w:val="sr-Cyrl-CS"/>
        </w:rPr>
        <w:t>припадале мање значајне функције.</w:t>
      </w:r>
      <w:r w:rsidR="00C95F23">
        <w:rPr>
          <w:rFonts w:ascii="Times New Roman" w:hAnsi="Times New Roman"/>
          <w:sz w:val="24"/>
          <w:szCs w:val="24"/>
          <w:lang w:val="sr-Cyrl-CS"/>
        </w:rPr>
        <w:t xml:space="preserve"> </w:t>
      </w:r>
    </w:p>
    <w:p w:rsidR="003A57BB" w:rsidRDefault="003A57BB" w:rsidP="00802C6E">
      <w:pPr>
        <w:pStyle w:val="ListParagraph"/>
        <w:ind w:left="0" w:firstLine="708"/>
        <w:jc w:val="both"/>
        <w:rPr>
          <w:rFonts w:ascii="Times New Roman" w:hAnsi="Times New Roman"/>
          <w:sz w:val="24"/>
          <w:szCs w:val="24"/>
          <w:lang w:val="sr-Cyrl-CS"/>
        </w:rPr>
      </w:pPr>
    </w:p>
    <w:p w:rsidR="003A57BB" w:rsidRDefault="003A57BB" w:rsidP="00802C6E">
      <w:pPr>
        <w:pStyle w:val="ListParagraph"/>
        <w:ind w:left="0" w:firstLine="708"/>
        <w:jc w:val="both"/>
        <w:rPr>
          <w:rFonts w:ascii="Times New Roman" w:hAnsi="Times New Roman"/>
          <w:sz w:val="24"/>
          <w:szCs w:val="24"/>
          <w:lang w:val="sr-Cyrl-CS"/>
        </w:rPr>
      </w:pPr>
    </w:p>
    <w:p w:rsidR="003A57BB" w:rsidRDefault="003A57BB" w:rsidP="00802C6E">
      <w:pPr>
        <w:pStyle w:val="ListParagraph"/>
        <w:ind w:left="0" w:firstLine="708"/>
        <w:jc w:val="both"/>
        <w:rPr>
          <w:rFonts w:ascii="Times New Roman" w:hAnsi="Times New Roman"/>
          <w:sz w:val="24"/>
          <w:szCs w:val="24"/>
          <w:lang w:val="sr-Cyrl-CS"/>
        </w:rPr>
      </w:pPr>
    </w:p>
    <w:p w:rsidR="003A57BB" w:rsidRDefault="003A57BB" w:rsidP="00802C6E">
      <w:pPr>
        <w:pStyle w:val="ListParagraph"/>
        <w:ind w:left="0" w:firstLine="708"/>
        <w:jc w:val="both"/>
        <w:rPr>
          <w:rFonts w:ascii="Times New Roman" w:hAnsi="Times New Roman"/>
          <w:sz w:val="24"/>
          <w:szCs w:val="24"/>
          <w:lang w:val="sr-Cyrl-CS"/>
        </w:rPr>
      </w:pPr>
    </w:p>
    <w:p w:rsidR="003B25B0" w:rsidRDefault="003B25B0" w:rsidP="005F26AC">
      <w:pPr>
        <w:pStyle w:val="ListParagraph"/>
        <w:ind w:left="0"/>
        <w:jc w:val="both"/>
        <w:rPr>
          <w:rFonts w:ascii="Times New Roman" w:hAnsi="Times New Roman"/>
          <w:sz w:val="24"/>
          <w:szCs w:val="24"/>
          <w:lang w:val="sr-Cyrl-CS"/>
        </w:rPr>
      </w:pPr>
    </w:p>
    <w:p w:rsidR="003B25B0" w:rsidRDefault="003B25B0" w:rsidP="005F26AC">
      <w:pPr>
        <w:pStyle w:val="ListParagraph"/>
        <w:ind w:left="0"/>
        <w:jc w:val="both"/>
        <w:rPr>
          <w:rFonts w:ascii="Times New Roman" w:hAnsi="Times New Roman"/>
          <w:sz w:val="24"/>
          <w:szCs w:val="24"/>
          <w:lang w:val="sr-Cyrl-CS"/>
        </w:rPr>
      </w:pPr>
    </w:p>
    <w:p w:rsidR="00283F6E" w:rsidRDefault="00283F6E" w:rsidP="008A3795">
      <w:pPr>
        <w:pStyle w:val="ListParagraph"/>
        <w:numPr>
          <w:ilvl w:val="0"/>
          <w:numId w:val="9"/>
        </w:numPr>
        <w:jc w:val="both"/>
        <w:rPr>
          <w:rFonts w:ascii="Times New Roman" w:hAnsi="Times New Roman"/>
          <w:sz w:val="24"/>
          <w:szCs w:val="24"/>
          <w:lang w:val="sr-Cyrl-CS"/>
        </w:rPr>
      </w:pPr>
      <w:r w:rsidRPr="00802C6E">
        <w:rPr>
          <w:rFonts w:ascii="Times New Roman" w:hAnsi="Times New Roman"/>
          <w:sz w:val="24"/>
          <w:szCs w:val="24"/>
          <w:lang w:val="sr-Cyrl-CS"/>
        </w:rPr>
        <w:lastRenderedPageBreak/>
        <w:t xml:space="preserve">Перод од 1947. до 1951. </w:t>
      </w:r>
      <w:r w:rsidR="00C93ECC">
        <w:rPr>
          <w:rFonts w:ascii="Times New Roman" w:hAnsi="Times New Roman"/>
          <w:sz w:val="24"/>
          <w:szCs w:val="24"/>
          <w:lang w:val="sr-Cyrl-CS"/>
        </w:rPr>
        <w:t>г</w:t>
      </w:r>
      <w:r w:rsidRPr="00802C6E">
        <w:rPr>
          <w:rFonts w:ascii="Times New Roman" w:hAnsi="Times New Roman"/>
          <w:sz w:val="24"/>
          <w:szCs w:val="24"/>
          <w:lang w:val="sr-Cyrl-CS"/>
        </w:rPr>
        <w:t>одине</w:t>
      </w:r>
    </w:p>
    <w:p w:rsidR="00C93ECC" w:rsidRDefault="00C93ECC" w:rsidP="00C93ECC">
      <w:pPr>
        <w:pStyle w:val="ListParagraph"/>
        <w:ind w:left="1080"/>
        <w:jc w:val="both"/>
        <w:rPr>
          <w:rFonts w:ascii="Times New Roman" w:hAnsi="Times New Roman"/>
          <w:sz w:val="24"/>
          <w:szCs w:val="24"/>
          <w:lang w:val="sr-Cyrl-CS"/>
        </w:rPr>
      </w:pPr>
    </w:p>
    <w:p w:rsidR="00802C6E" w:rsidRPr="00802C6E" w:rsidRDefault="00802C6E" w:rsidP="00802C6E">
      <w:pPr>
        <w:pStyle w:val="ListParagraph"/>
        <w:ind w:left="1080"/>
        <w:jc w:val="both"/>
        <w:rPr>
          <w:rFonts w:ascii="Times New Roman" w:hAnsi="Times New Roman"/>
          <w:sz w:val="24"/>
          <w:szCs w:val="24"/>
          <w:lang w:val="sr-Cyrl-CS"/>
        </w:rPr>
      </w:pPr>
    </w:p>
    <w:p w:rsidR="005F26AC" w:rsidRDefault="00E37181" w:rsidP="00802C6E">
      <w:pPr>
        <w:pStyle w:val="ListParagraph"/>
        <w:ind w:left="0" w:firstLine="708"/>
        <w:jc w:val="both"/>
        <w:rPr>
          <w:rFonts w:ascii="Times New Roman" w:hAnsi="Times New Roman"/>
          <w:sz w:val="24"/>
          <w:szCs w:val="24"/>
        </w:rPr>
      </w:pPr>
      <w:r>
        <w:rPr>
          <w:rFonts w:ascii="Times New Roman" w:hAnsi="Times New Roman"/>
          <w:sz w:val="24"/>
          <w:szCs w:val="24"/>
          <w:lang w:val="sr-Cyrl-CS"/>
        </w:rPr>
        <w:t xml:space="preserve">То је период административног управљања привредом. Циљеви пореске политике у то време нису били само фискалне природе. </w:t>
      </w:r>
      <w:r w:rsidR="00AA2204">
        <w:rPr>
          <w:rFonts w:ascii="Times New Roman" w:hAnsi="Times New Roman"/>
          <w:sz w:val="24"/>
          <w:szCs w:val="24"/>
          <w:lang w:val="sr-Cyrl-CS"/>
        </w:rPr>
        <w:t>Крајем 1946. године донет је Закон</w:t>
      </w:r>
      <w:r>
        <w:rPr>
          <w:rFonts w:ascii="Times New Roman" w:hAnsi="Times New Roman"/>
          <w:sz w:val="24"/>
          <w:szCs w:val="24"/>
          <w:lang w:val="sr-Cyrl-CS"/>
        </w:rPr>
        <w:t xml:space="preserve"> о порезима </w:t>
      </w:r>
      <w:r w:rsidR="00AA2204">
        <w:rPr>
          <w:rFonts w:ascii="Times New Roman" w:hAnsi="Times New Roman"/>
          <w:sz w:val="24"/>
          <w:szCs w:val="24"/>
          <w:lang w:val="sr-Cyrl-CS"/>
        </w:rPr>
        <w:t xml:space="preserve">којим су </w:t>
      </w:r>
      <w:r>
        <w:rPr>
          <w:rFonts w:ascii="Times New Roman" w:hAnsi="Times New Roman"/>
          <w:sz w:val="24"/>
          <w:szCs w:val="24"/>
          <w:lang w:val="sr-Cyrl-CS"/>
        </w:rPr>
        <w:t xml:space="preserve">регулисане пореске обавезе привреде и грађана. Порески систем </w:t>
      </w:r>
      <w:r w:rsidR="00AA2204">
        <w:rPr>
          <w:rFonts w:ascii="Times New Roman" w:hAnsi="Times New Roman"/>
          <w:sz w:val="24"/>
          <w:szCs w:val="24"/>
          <w:lang w:val="sr-Cyrl-CS"/>
        </w:rPr>
        <w:t>је био подељен на два дела при чему се један део односио на државна предузећа, а други део на грађане и задруге</w:t>
      </w:r>
      <w:r>
        <w:rPr>
          <w:rFonts w:ascii="Times New Roman" w:hAnsi="Times New Roman"/>
          <w:sz w:val="24"/>
          <w:szCs w:val="24"/>
          <w:lang w:val="sr-Cyrl-CS"/>
        </w:rPr>
        <w:t>.</w:t>
      </w:r>
      <w:r>
        <w:rPr>
          <w:rStyle w:val="FootnoteReference"/>
          <w:rFonts w:ascii="Times New Roman" w:hAnsi="Times New Roman"/>
          <w:sz w:val="24"/>
          <w:szCs w:val="24"/>
          <w:lang w:val="sr-Cyrl-CS"/>
        </w:rPr>
        <w:footnoteReference w:id="165"/>
      </w:r>
      <w:r w:rsidR="00802C6E">
        <w:rPr>
          <w:rFonts w:ascii="Times New Roman" w:hAnsi="Times New Roman"/>
          <w:sz w:val="24"/>
          <w:szCs w:val="24"/>
          <w:lang w:val="sr-Cyrl-CS"/>
        </w:rPr>
        <w:t xml:space="preserve"> </w:t>
      </w:r>
    </w:p>
    <w:p w:rsidR="000C4553" w:rsidRPr="000C4553" w:rsidRDefault="000C4553" w:rsidP="00802C6E">
      <w:pPr>
        <w:pStyle w:val="ListParagraph"/>
        <w:ind w:left="0" w:firstLine="708"/>
        <w:jc w:val="both"/>
        <w:rPr>
          <w:rFonts w:ascii="Times New Roman" w:hAnsi="Times New Roman"/>
          <w:b/>
          <w:sz w:val="24"/>
          <w:szCs w:val="24"/>
        </w:rPr>
      </w:pPr>
    </w:p>
    <w:p w:rsidR="00283F6E" w:rsidRDefault="00283F6E" w:rsidP="00283F6E">
      <w:pPr>
        <w:pStyle w:val="ListParagraph"/>
        <w:ind w:left="0"/>
        <w:jc w:val="both"/>
        <w:rPr>
          <w:rFonts w:ascii="Times New Roman" w:hAnsi="Times New Roman"/>
          <w:sz w:val="24"/>
          <w:szCs w:val="24"/>
          <w:lang w:val="sr-Cyrl-CS"/>
        </w:rPr>
      </w:pPr>
    </w:p>
    <w:p w:rsidR="00283F6E" w:rsidRDefault="00283F6E" w:rsidP="008A3795">
      <w:pPr>
        <w:pStyle w:val="ListParagraph"/>
        <w:numPr>
          <w:ilvl w:val="0"/>
          <w:numId w:val="9"/>
        </w:numPr>
        <w:jc w:val="both"/>
        <w:rPr>
          <w:rFonts w:ascii="Times New Roman" w:hAnsi="Times New Roman"/>
          <w:sz w:val="24"/>
          <w:szCs w:val="24"/>
          <w:lang w:val="sr-Cyrl-CS"/>
        </w:rPr>
      </w:pPr>
      <w:r>
        <w:rPr>
          <w:rFonts w:ascii="Times New Roman" w:hAnsi="Times New Roman"/>
          <w:sz w:val="24"/>
          <w:szCs w:val="24"/>
          <w:lang w:val="sr-Cyrl-CS"/>
        </w:rPr>
        <w:t xml:space="preserve">Период од </w:t>
      </w:r>
      <w:r w:rsidRPr="00F43198">
        <w:rPr>
          <w:rFonts w:ascii="Times New Roman" w:hAnsi="Times New Roman"/>
          <w:sz w:val="24"/>
          <w:szCs w:val="24"/>
          <w:lang w:val="sr-Cyrl-CS"/>
        </w:rPr>
        <w:t xml:space="preserve">1952. до 1953. </w:t>
      </w:r>
      <w:r w:rsidR="00C93ECC">
        <w:rPr>
          <w:rFonts w:ascii="Times New Roman" w:hAnsi="Times New Roman"/>
          <w:sz w:val="24"/>
          <w:szCs w:val="24"/>
          <w:lang w:val="sr-Cyrl-CS"/>
        </w:rPr>
        <w:t>г</w:t>
      </w:r>
      <w:r w:rsidRPr="00F43198">
        <w:rPr>
          <w:rFonts w:ascii="Times New Roman" w:hAnsi="Times New Roman"/>
          <w:sz w:val="24"/>
          <w:szCs w:val="24"/>
          <w:lang w:val="sr-Cyrl-CS"/>
        </w:rPr>
        <w:t>одине</w:t>
      </w:r>
    </w:p>
    <w:p w:rsidR="00C93ECC" w:rsidRDefault="00C93ECC" w:rsidP="00C93ECC">
      <w:pPr>
        <w:pStyle w:val="ListParagraph"/>
        <w:ind w:left="1080"/>
        <w:jc w:val="both"/>
        <w:rPr>
          <w:rFonts w:ascii="Times New Roman" w:hAnsi="Times New Roman"/>
          <w:sz w:val="24"/>
          <w:szCs w:val="24"/>
          <w:lang w:val="sr-Cyrl-CS"/>
        </w:rPr>
      </w:pPr>
    </w:p>
    <w:p w:rsidR="00F43198" w:rsidRDefault="00F43198" w:rsidP="00F43198">
      <w:pPr>
        <w:pStyle w:val="ListParagraph"/>
        <w:ind w:left="1080"/>
        <w:jc w:val="both"/>
        <w:rPr>
          <w:rFonts w:ascii="Times New Roman" w:hAnsi="Times New Roman"/>
          <w:sz w:val="24"/>
          <w:szCs w:val="24"/>
          <w:lang w:val="sr-Cyrl-CS"/>
        </w:rPr>
      </w:pPr>
    </w:p>
    <w:p w:rsidR="00283F6E" w:rsidRDefault="00283F6E" w:rsidP="00F43198">
      <w:pPr>
        <w:pStyle w:val="ListParagraph"/>
        <w:ind w:left="0" w:firstLine="708"/>
        <w:jc w:val="both"/>
        <w:rPr>
          <w:rFonts w:ascii="Times New Roman" w:hAnsi="Times New Roman"/>
          <w:sz w:val="24"/>
          <w:szCs w:val="24"/>
        </w:rPr>
      </w:pPr>
      <w:r>
        <w:rPr>
          <w:rFonts w:ascii="Times New Roman" w:hAnsi="Times New Roman"/>
          <w:sz w:val="24"/>
          <w:szCs w:val="24"/>
          <w:lang w:val="sr-Cyrl-CS"/>
        </w:rPr>
        <w:t>У овом периоду је донет Основни закон о друштвеном доприносу и порезима</w:t>
      </w:r>
      <w:r w:rsidR="00A16AA4">
        <w:rPr>
          <w:rStyle w:val="FootnoteReference"/>
          <w:rFonts w:ascii="Times New Roman" w:hAnsi="Times New Roman"/>
          <w:sz w:val="24"/>
          <w:szCs w:val="24"/>
          <w:lang w:val="sr-Cyrl-CS"/>
        </w:rPr>
        <w:footnoteReference w:id="166"/>
      </w:r>
      <w:r>
        <w:rPr>
          <w:rFonts w:ascii="Times New Roman" w:hAnsi="Times New Roman"/>
          <w:sz w:val="24"/>
          <w:szCs w:val="24"/>
          <w:lang w:val="sr-Cyrl-CS"/>
        </w:rPr>
        <w:t xml:space="preserve"> и Закон о буџетима</w:t>
      </w:r>
      <w:r w:rsidR="00AA2204">
        <w:rPr>
          <w:rFonts w:ascii="Times New Roman" w:hAnsi="Times New Roman"/>
          <w:sz w:val="24"/>
          <w:szCs w:val="24"/>
          <w:lang w:val="sr-Cyrl-CS"/>
        </w:rPr>
        <w:t>.</w:t>
      </w:r>
      <w:r w:rsidR="00A16AA4">
        <w:rPr>
          <w:rStyle w:val="FootnoteReference"/>
          <w:rFonts w:ascii="Times New Roman" w:hAnsi="Times New Roman"/>
          <w:sz w:val="24"/>
          <w:szCs w:val="24"/>
          <w:lang w:val="sr-Cyrl-CS"/>
        </w:rPr>
        <w:footnoteReference w:id="167"/>
      </w:r>
      <w:r>
        <w:rPr>
          <w:rFonts w:ascii="Times New Roman" w:hAnsi="Times New Roman"/>
          <w:sz w:val="24"/>
          <w:szCs w:val="24"/>
          <w:lang w:val="sr-Cyrl-CS"/>
        </w:rPr>
        <w:t xml:space="preserve"> </w:t>
      </w:r>
      <w:r w:rsidR="00E37181">
        <w:rPr>
          <w:rFonts w:ascii="Times New Roman" w:hAnsi="Times New Roman"/>
          <w:sz w:val="24"/>
          <w:szCs w:val="24"/>
          <w:lang w:val="sr-Cyrl-CS"/>
        </w:rPr>
        <w:t>Овом реформом уведени су доприноси.</w:t>
      </w:r>
      <w:r w:rsidR="00F43198">
        <w:rPr>
          <w:rFonts w:ascii="Times New Roman" w:hAnsi="Times New Roman"/>
          <w:sz w:val="24"/>
          <w:szCs w:val="24"/>
          <w:lang w:val="sr-Cyrl-CS"/>
        </w:rPr>
        <w:t xml:space="preserve"> </w:t>
      </w:r>
    </w:p>
    <w:p w:rsidR="000C4553" w:rsidRPr="000C4553" w:rsidRDefault="000C4553" w:rsidP="00F43198">
      <w:pPr>
        <w:pStyle w:val="ListParagraph"/>
        <w:ind w:left="0" w:firstLine="708"/>
        <w:jc w:val="both"/>
        <w:rPr>
          <w:rFonts w:ascii="Times New Roman" w:hAnsi="Times New Roman"/>
          <w:sz w:val="24"/>
          <w:szCs w:val="24"/>
        </w:rPr>
      </w:pPr>
    </w:p>
    <w:p w:rsidR="00A16AA4" w:rsidRDefault="00A16AA4" w:rsidP="00A16AA4">
      <w:pPr>
        <w:pStyle w:val="ListParagraph"/>
        <w:jc w:val="both"/>
        <w:rPr>
          <w:rFonts w:ascii="Times New Roman" w:hAnsi="Times New Roman"/>
          <w:sz w:val="24"/>
          <w:szCs w:val="24"/>
          <w:lang w:val="sr-Cyrl-CS"/>
        </w:rPr>
      </w:pPr>
    </w:p>
    <w:p w:rsidR="00A16AA4" w:rsidRDefault="00A16AA4" w:rsidP="008A3795">
      <w:pPr>
        <w:pStyle w:val="ListParagraph"/>
        <w:numPr>
          <w:ilvl w:val="0"/>
          <w:numId w:val="9"/>
        </w:numPr>
        <w:jc w:val="both"/>
        <w:rPr>
          <w:rFonts w:ascii="Times New Roman" w:hAnsi="Times New Roman"/>
          <w:sz w:val="24"/>
          <w:szCs w:val="24"/>
          <w:lang w:val="sr-Cyrl-CS"/>
        </w:rPr>
      </w:pPr>
      <w:r w:rsidRPr="00F43198">
        <w:rPr>
          <w:rFonts w:ascii="Times New Roman" w:hAnsi="Times New Roman"/>
          <w:sz w:val="24"/>
          <w:szCs w:val="24"/>
          <w:lang w:val="sr-Cyrl-CS"/>
        </w:rPr>
        <w:t xml:space="preserve">Перод од 1954 до 1958. </w:t>
      </w:r>
      <w:r w:rsidR="00C93ECC">
        <w:rPr>
          <w:rFonts w:ascii="Times New Roman" w:hAnsi="Times New Roman"/>
          <w:sz w:val="24"/>
          <w:szCs w:val="24"/>
          <w:lang w:val="sr-Cyrl-CS"/>
        </w:rPr>
        <w:t>г</w:t>
      </w:r>
      <w:r w:rsidRPr="00F43198">
        <w:rPr>
          <w:rFonts w:ascii="Times New Roman" w:hAnsi="Times New Roman"/>
          <w:sz w:val="24"/>
          <w:szCs w:val="24"/>
          <w:lang w:val="sr-Cyrl-CS"/>
        </w:rPr>
        <w:t>одине</w:t>
      </w:r>
    </w:p>
    <w:p w:rsidR="00C93ECC" w:rsidRPr="00F43198" w:rsidRDefault="00C93ECC" w:rsidP="00C93ECC">
      <w:pPr>
        <w:pStyle w:val="ListParagraph"/>
        <w:ind w:left="1080"/>
        <w:jc w:val="both"/>
        <w:rPr>
          <w:rFonts w:ascii="Times New Roman" w:hAnsi="Times New Roman"/>
          <w:sz w:val="24"/>
          <w:szCs w:val="24"/>
          <w:lang w:val="sr-Cyrl-CS"/>
        </w:rPr>
      </w:pPr>
    </w:p>
    <w:p w:rsidR="00F43198" w:rsidRDefault="00F43198" w:rsidP="00F43198">
      <w:pPr>
        <w:pStyle w:val="ListParagraph"/>
        <w:ind w:left="1080"/>
        <w:jc w:val="both"/>
        <w:rPr>
          <w:rFonts w:ascii="Times New Roman" w:hAnsi="Times New Roman"/>
          <w:b/>
          <w:sz w:val="24"/>
          <w:szCs w:val="24"/>
          <w:lang w:val="sr-Cyrl-CS"/>
        </w:rPr>
      </w:pPr>
    </w:p>
    <w:p w:rsidR="00A16AA4" w:rsidRDefault="00DC434C" w:rsidP="00F43198">
      <w:pPr>
        <w:pStyle w:val="ListParagraph"/>
        <w:ind w:left="0" w:firstLine="708"/>
        <w:jc w:val="both"/>
        <w:rPr>
          <w:rFonts w:ascii="Times New Roman" w:hAnsi="Times New Roman"/>
          <w:sz w:val="24"/>
          <w:szCs w:val="24"/>
          <w:lang w:val="sr-Cyrl-CS"/>
        </w:rPr>
      </w:pPr>
      <w:r>
        <w:rPr>
          <w:rFonts w:ascii="Times New Roman" w:hAnsi="Times New Roman"/>
          <w:sz w:val="24"/>
          <w:szCs w:val="24"/>
          <w:lang w:val="sr-Cyrl-CS"/>
        </w:rPr>
        <w:t>Основни циљеви пореске реформе која је извршена т</w:t>
      </w:r>
      <w:r w:rsidR="00F43198">
        <w:rPr>
          <w:rFonts w:ascii="Times New Roman" w:hAnsi="Times New Roman"/>
          <w:sz w:val="24"/>
          <w:szCs w:val="24"/>
          <w:lang w:val="sr-Cyrl-CS"/>
        </w:rPr>
        <w:t xml:space="preserve">оком </w:t>
      </w:r>
      <w:r w:rsidR="00A16AA4" w:rsidRPr="00A16AA4">
        <w:rPr>
          <w:rFonts w:ascii="Times New Roman" w:hAnsi="Times New Roman"/>
          <w:sz w:val="24"/>
          <w:szCs w:val="24"/>
          <w:lang w:val="sr-Cyrl-CS"/>
        </w:rPr>
        <w:t xml:space="preserve">1956. године </w:t>
      </w:r>
      <w:r w:rsidR="00A16AA4">
        <w:rPr>
          <w:rFonts w:ascii="Times New Roman" w:hAnsi="Times New Roman"/>
          <w:sz w:val="24"/>
          <w:szCs w:val="24"/>
          <w:lang w:val="sr-Cyrl-CS"/>
        </w:rPr>
        <w:t xml:space="preserve">били </w:t>
      </w:r>
      <w:r>
        <w:rPr>
          <w:rFonts w:ascii="Times New Roman" w:hAnsi="Times New Roman"/>
          <w:sz w:val="24"/>
          <w:szCs w:val="24"/>
          <w:lang w:val="sr-Cyrl-CS"/>
        </w:rPr>
        <w:t xml:space="preserve">су </w:t>
      </w:r>
      <w:r w:rsidR="00A16AA4">
        <w:rPr>
          <w:rFonts w:ascii="Times New Roman" w:hAnsi="Times New Roman"/>
          <w:sz w:val="24"/>
          <w:szCs w:val="24"/>
          <w:lang w:val="sr-Cyrl-CS"/>
        </w:rPr>
        <w:t>економски, а то је да се изврши ра</w:t>
      </w:r>
      <w:r w:rsidR="00254881">
        <w:rPr>
          <w:rFonts w:ascii="Times New Roman" w:hAnsi="Times New Roman"/>
          <w:sz w:val="24"/>
          <w:szCs w:val="24"/>
          <w:lang w:val="sr-Cyrl-CS"/>
        </w:rPr>
        <w:t>с</w:t>
      </w:r>
      <w:r w:rsidR="00A16AA4">
        <w:rPr>
          <w:rFonts w:ascii="Times New Roman" w:hAnsi="Times New Roman"/>
          <w:sz w:val="24"/>
          <w:szCs w:val="24"/>
          <w:lang w:val="sr-Cyrl-CS"/>
        </w:rPr>
        <w:t>подела пореског терета код земљорадника и да се комунама као политичко-територијалним јединицама да право да утичу преко одређених финансијских инструмената на кретање привреде.</w:t>
      </w:r>
      <w:r w:rsidR="00A16AA4">
        <w:rPr>
          <w:rStyle w:val="FootnoteReference"/>
          <w:rFonts w:ascii="Times New Roman" w:hAnsi="Times New Roman"/>
          <w:sz w:val="24"/>
          <w:szCs w:val="24"/>
          <w:lang w:val="sr-Cyrl-CS"/>
        </w:rPr>
        <w:footnoteReference w:id="168"/>
      </w:r>
      <w:r>
        <w:rPr>
          <w:rFonts w:ascii="Times New Roman" w:hAnsi="Times New Roman"/>
          <w:sz w:val="24"/>
          <w:szCs w:val="24"/>
          <w:lang w:val="sr-Cyrl-CS"/>
        </w:rPr>
        <w:t xml:space="preserve"> </w:t>
      </w:r>
      <w:r w:rsidR="00E37181">
        <w:rPr>
          <w:rFonts w:ascii="Times New Roman" w:hAnsi="Times New Roman"/>
          <w:sz w:val="24"/>
          <w:szCs w:val="24"/>
          <w:lang w:val="sr-Cyrl-CS"/>
        </w:rPr>
        <w:t>Овом реформом уведене су таксе</w:t>
      </w:r>
      <w:r w:rsidR="00DB6B7B">
        <w:rPr>
          <w:rFonts w:ascii="Times New Roman" w:hAnsi="Times New Roman"/>
          <w:sz w:val="24"/>
          <w:szCs w:val="24"/>
          <w:lang w:val="sr-Cyrl-CS"/>
        </w:rPr>
        <w:t>.</w:t>
      </w:r>
      <w:r w:rsidR="00E37181">
        <w:rPr>
          <w:rFonts w:ascii="Times New Roman" w:hAnsi="Times New Roman"/>
          <w:sz w:val="24"/>
          <w:szCs w:val="24"/>
          <w:lang w:val="sr-Cyrl-CS"/>
        </w:rPr>
        <w:t xml:space="preserve"> </w:t>
      </w:r>
      <w:r w:rsidR="004F3947">
        <w:rPr>
          <w:rFonts w:ascii="Times New Roman" w:hAnsi="Times New Roman"/>
          <w:sz w:val="24"/>
          <w:szCs w:val="24"/>
          <w:lang w:val="sr-Cyrl-CS"/>
        </w:rPr>
        <w:t>Током 1954. године н</w:t>
      </w:r>
      <w:r w:rsidR="00E37181">
        <w:rPr>
          <w:rFonts w:ascii="Times New Roman" w:hAnsi="Times New Roman"/>
          <w:sz w:val="24"/>
          <w:szCs w:val="24"/>
          <w:lang w:val="sr-Cyrl-CS"/>
        </w:rPr>
        <w:t>апуштен је систем утврђивања порске обавезе на основу процене пореских комисија, а обавеза пољопривредних прозвођача се утврђивала</w:t>
      </w:r>
      <w:r>
        <w:rPr>
          <w:rFonts w:ascii="Times New Roman" w:hAnsi="Times New Roman"/>
          <w:sz w:val="24"/>
          <w:szCs w:val="24"/>
          <w:lang w:val="sr-Cyrl-CS"/>
        </w:rPr>
        <w:t xml:space="preserve"> на основу катастарског прихода,</w:t>
      </w:r>
      <w:r w:rsidR="00E37181">
        <w:rPr>
          <w:rFonts w:ascii="Times New Roman" w:hAnsi="Times New Roman"/>
          <w:sz w:val="24"/>
          <w:szCs w:val="24"/>
          <w:lang w:val="sr-Cyrl-CS"/>
        </w:rPr>
        <w:t xml:space="preserve"> </w:t>
      </w:r>
      <w:r>
        <w:rPr>
          <w:rFonts w:ascii="Times New Roman" w:hAnsi="Times New Roman"/>
          <w:sz w:val="24"/>
          <w:szCs w:val="24"/>
          <w:lang w:val="sr-Cyrl-CS"/>
        </w:rPr>
        <w:t xml:space="preserve">који </w:t>
      </w:r>
      <w:r w:rsidR="00E37181">
        <w:rPr>
          <w:rFonts w:ascii="Times New Roman" w:hAnsi="Times New Roman"/>
          <w:sz w:val="24"/>
          <w:szCs w:val="24"/>
          <w:lang w:val="sr-Cyrl-CS"/>
        </w:rPr>
        <w:t xml:space="preserve"> је служио као основни елемент </w:t>
      </w:r>
      <w:r w:rsidR="002B76EC">
        <w:rPr>
          <w:rFonts w:ascii="Times New Roman" w:hAnsi="Times New Roman"/>
          <w:sz w:val="24"/>
          <w:szCs w:val="24"/>
          <w:lang w:val="sr-Cyrl-CS"/>
        </w:rPr>
        <w:t>од кога је зависила висина пореске обавезе.</w:t>
      </w:r>
      <w:r w:rsidR="004F3947">
        <w:rPr>
          <w:rStyle w:val="FootnoteReference"/>
          <w:rFonts w:ascii="Times New Roman" w:hAnsi="Times New Roman"/>
          <w:sz w:val="24"/>
          <w:szCs w:val="24"/>
          <w:lang w:val="sr-Cyrl-CS"/>
        </w:rPr>
        <w:footnoteReference w:id="169"/>
      </w:r>
    </w:p>
    <w:p w:rsidR="00C93ECC" w:rsidRDefault="00C93ECC" w:rsidP="00A16AA4">
      <w:pPr>
        <w:pStyle w:val="ListParagraph"/>
        <w:ind w:left="0"/>
        <w:jc w:val="both"/>
        <w:rPr>
          <w:rFonts w:ascii="Times New Roman" w:hAnsi="Times New Roman"/>
          <w:sz w:val="24"/>
          <w:szCs w:val="24"/>
          <w:lang w:val="sr-Cyrl-CS"/>
        </w:rPr>
      </w:pPr>
    </w:p>
    <w:p w:rsidR="00C93ECC" w:rsidRDefault="00C93ECC" w:rsidP="00A16AA4">
      <w:pPr>
        <w:pStyle w:val="ListParagraph"/>
        <w:ind w:left="0"/>
        <w:jc w:val="both"/>
        <w:rPr>
          <w:rFonts w:ascii="Times New Roman" w:hAnsi="Times New Roman"/>
          <w:sz w:val="24"/>
          <w:szCs w:val="24"/>
          <w:lang w:val="sr-Cyrl-CS"/>
        </w:rPr>
      </w:pPr>
    </w:p>
    <w:p w:rsidR="00254881" w:rsidRDefault="00254881" w:rsidP="008A3795">
      <w:pPr>
        <w:pStyle w:val="ListParagraph"/>
        <w:numPr>
          <w:ilvl w:val="0"/>
          <w:numId w:val="9"/>
        </w:numPr>
        <w:jc w:val="both"/>
        <w:rPr>
          <w:rFonts w:ascii="Times New Roman" w:hAnsi="Times New Roman"/>
          <w:sz w:val="24"/>
          <w:szCs w:val="24"/>
          <w:lang w:val="sr-Cyrl-CS"/>
        </w:rPr>
      </w:pPr>
      <w:r>
        <w:rPr>
          <w:rFonts w:ascii="Times New Roman" w:hAnsi="Times New Roman"/>
          <w:sz w:val="24"/>
          <w:szCs w:val="24"/>
          <w:lang w:val="sr-Cyrl-CS"/>
        </w:rPr>
        <w:t xml:space="preserve">Период од </w:t>
      </w:r>
      <w:r w:rsidR="00BC4F8D" w:rsidRPr="00BC4F8D">
        <w:rPr>
          <w:rFonts w:ascii="Times New Roman" w:hAnsi="Times New Roman"/>
          <w:sz w:val="24"/>
          <w:szCs w:val="24"/>
          <w:lang w:val="sr-Cyrl-CS"/>
        </w:rPr>
        <w:t xml:space="preserve"> </w:t>
      </w:r>
      <w:r w:rsidR="00C93ECC">
        <w:rPr>
          <w:rFonts w:ascii="Times New Roman" w:hAnsi="Times New Roman"/>
          <w:sz w:val="24"/>
          <w:szCs w:val="24"/>
          <w:lang w:val="sr-Cyrl-CS"/>
        </w:rPr>
        <w:t>1958. до</w:t>
      </w:r>
      <w:r w:rsidR="00BC4F8D" w:rsidRPr="00254881">
        <w:rPr>
          <w:rFonts w:ascii="Times New Roman" w:hAnsi="Times New Roman"/>
          <w:sz w:val="24"/>
          <w:szCs w:val="24"/>
          <w:lang w:val="sr-Cyrl-CS"/>
        </w:rPr>
        <w:t xml:space="preserve"> 1965.</w:t>
      </w:r>
      <w:r w:rsidR="00BC4F8D" w:rsidRPr="00BC4F8D">
        <w:rPr>
          <w:rFonts w:ascii="Times New Roman" w:hAnsi="Times New Roman"/>
          <w:sz w:val="24"/>
          <w:szCs w:val="24"/>
          <w:lang w:val="sr-Cyrl-CS"/>
        </w:rPr>
        <w:t xml:space="preserve"> </w:t>
      </w:r>
      <w:r>
        <w:rPr>
          <w:rFonts w:ascii="Times New Roman" w:hAnsi="Times New Roman"/>
          <w:sz w:val="24"/>
          <w:szCs w:val="24"/>
          <w:lang w:val="sr-Cyrl-CS"/>
        </w:rPr>
        <w:t xml:space="preserve">године </w:t>
      </w:r>
    </w:p>
    <w:p w:rsidR="00C93ECC" w:rsidRDefault="00C93ECC" w:rsidP="00C93ECC">
      <w:pPr>
        <w:pStyle w:val="ListParagraph"/>
        <w:ind w:left="1080"/>
        <w:jc w:val="both"/>
        <w:rPr>
          <w:rFonts w:ascii="Times New Roman" w:hAnsi="Times New Roman"/>
          <w:sz w:val="24"/>
          <w:szCs w:val="24"/>
          <w:lang w:val="sr-Cyrl-CS"/>
        </w:rPr>
      </w:pPr>
    </w:p>
    <w:p w:rsidR="00254881" w:rsidRDefault="00254881" w:rsidP="004F3947">
      <w:pPr>
        <w:pStyle w:val="ListParagraph"/>
        <w:ind w:left="0"/>
        <w:jc w:val="both"/>
        <w:rPr>
          <w:rFonts w:ascii="Times New Roman" w:hAnsi="Times New Roman"/>
          <w:sz w:val="24"/>
          <w:szCs w:val="24"/>
          <w:lang w:val="sr-Cyrl-CS"/>
        </w:rPr>
      </w:pPr>
    </w:p>
    <w:p w:rsidR="004F3947" w:rsidRDefault="00254881" w:rsidP="00254881">
      <w:pPr>
        <w:pStyle w:val="ListParagraph"/>
        <w:ind w:left="0" w:firstLine="708"/>
        <w:jc w:val="both"/>
        <w:rPr>
          <w:rFonts w:ascii="Times New Roman" w:hAnsi="Times New Roman"/>
          <w:sz w:val="24"/>
          <w:szCs w:val="24"/>
        </w:rPr>
      </w:pPr>
      <w:r>
        <w:rPr>
          <w:rFonts w:ascii="Times New Roman" w:hAnsi="Times New Roman"/>
          <w:sz w:val="24"/>
          <w:szCs w:val="24"/>
          <w:lang w:val="sr-Cyrl-CS"/>
        </w:rPr>
        <w:t>Крајем</w:t>
      </w:r>
      <w:r w:rsidR="00BC4F8D" w:rsidRPr="00BC4F8D">
        <w:rPr>
          <w:rFonts w:ascii="Times New Roman" w:hAnsi="Times New Roman"/>
          <w:sz w:val="24"/>
          <w:szCs w:val="24"/>
          <w:lang w:val="sr-Cyrl-CS"/>
        </w:rPr>
        <w:t xml:space="preserve"> 1959. </w:t>
      </w:r>
      <w:r>
        <w:rPr>
          <w:rFonts w:ascii="Times New Roman" w:hAnsi="Times New Roman"/>
          <w:sz w:val="24"/>
          <w:szCs w:val="24"/>
          <w:lang w:val="sr-Cyrl-CS"/>
        </w:rPr>
        <w:t>и</w:t>
      </w:r>
      <w:r w:rsidR="00BC4F8D" w:rsidRPr="00BC4F8D">
        <w:rPr>
          <w:rFonts w:ascii="Times New Roman" w:hAnsi="Times New Roman"/>
          <w:sz w:val="24"/>
          <w:szCs w:val="24"/>
          <w:lang w:val="sr-Cyrl-CS"/>
        </w:rPr>
        <w:t xml:space="preserve"> </w:t>
      </w:r>
      <w:r>
        <w:rPr>
          <w:rFonts w:ascii="Times New Roman" w:hAnsi="Times New Roman"/>
          <w:sz w:val="24"/>
          <w:szCs w:val="24"/>
          <w:lang w:val="sr-Cyrl-CS"/>
        </w:rPr>
        <w:t>почетком</w:t>
      </w:r>
      <w:r w:rsidR="00BC4F8D" w:rsidRPr="00BC4F8D">
        <w:rPr>
          <w:rFonts w:ascii="Times New Roman" w:hAnsi="Times New Roman"/>
          <w:sz w:val="24"/>
          <w:szCs w:val="24"/>
          <w:lang w:val="sr-Cyrl-CS"/>
        </w:rPr>
        <w:t xml:space="preserve"> 1960. </w:t>
      </w:r>
      <w:r>
        <w:rPr>
          <w:rFonts w:ascii="Times New Roman" w:hAnsi="Times New Roman"/>
          <w:sz w:val="24"/>
          <w:szCs w:val="24"/>
          <w:lang w:val="sr-Cyrl-CS"/>
        </w:rPr>
        <w:t>године</w:t>
      </w:r>
      <w:r w:rsidR="00BC4F8D" w:rsidRPr="00BC4F8D">
        <w:rPr>
          <w:rFonts w:ascii="Times New Roman" w:hAnsi="Times New Roman"/>
          <w:sz w:val="24"/>
          <w:szCs w:val="24"/>
          <w:lang w:val="sr-Cyrl-CS"/>
        </w:rPr>
        <w:t xml:space="preserve"> </w:t>
      </w:r>
      <w:r w:rsidR="00DC434C">
        <w:rPr>
          <w:rFonts w:ascii="Times New Roman" w:hAnsi="Times New Roman"/>
          <w:sz w:val="24"/>
          <w:szCs w:val="24"/>
          <w:lang w:val="sr-Cyrl-CS"/>
        </w:rPr>
        <w:t>на</w:t>
      </w:r>
      <w:r w:rsidR="00DC434C" w:rsidRPr="00BC4F8D">
        <w:rPr>
          <w:rFonts w:ascii="Times New Roman" w:hAnsi="Times New Roman"/>
          <w:sz w:val="24"/>
          <w:szCs w:val="24"/>
          <w:lang w:val="sr-Cyrl-CS"/>
        </w:rPr>
        <w:t xml:space="preserve"> </w:t>
      </w:r>
      <w:r w:rsidR="00DC434C">
        <w:rPr>
          <w:rFonts w:ascii="Times New Roman" w:hAnsi="Times New Roman"/>
          <w:sz w:val="24"/>
          <w:szCs w:val="24"/>
          <w:lang w:val="sr-Cyrl-CS"/>
        </w:rPr>
        <w:t>основу</w:t>
      </w:r>
      <w:r w:rsidR="00DC434C" w:rsidRPr="00BC4F8D">
        <w:rPr>
          <w:rFonts w:ascii="Times New Roman" w:hAnsi="Times New Roman"/>
          <w:sz w:val="24"/>
          <w:szCs w:val="24"/>
          <w:lang w:val="sr-Cyrl-CS"/>
        </w:rPr>
        <w:t xml:space="preserve"> </w:t>
      </w:r>
      <w:r w:rsidR="00DC434C">
        <w:rPr>
          <w:rFonts w:ascii="Times New Roman" w:hAnsi="Times New Roman"/>
          <w:sz w:val="24"/>
          <w:szCs w:val="24"/>
          <w:lang w:val="sr-Cyrl-CS"/>
        </w:rPr>
        <w:t>Закона</w:t>
      </w:r>
      <w:r w:rsidR="00DC434C" w:rsidRPr="00BC4F8D">
        <w:rPr>
          <w:rFonts w:ascii="Times New Roman" w:hAnsi="Times New Roman"/>
          <w:sz w:val="24"/>
          <w:szCs w:val="24"/>
          <w:lang w:val="sr-Cyrl-CS"/>
        </w:rPr>
        <w:t xml:space="preserve"> </w:t>
      </w:r>
      <w:r w:rsidR="00DC434C">
        <w:rPr>
          <w:rFonts w:ascii="Times New Roman" w:hAnsi="Times New Roman"/>
          <w:sz w:val="24"/>
          <w:szCs w:val="24"/>
          <w:lang w:val="sr-Cyrl-CS"/>
        </w:rPr>
        <w:t>о</w:t>
      </w:r>
      <w:r w:rsidR="00DC434C" w:rsidRPr="00BC4F8D">
        <w:rPr>
          <w:rFonts w:ascii="Times New Roman" w:hAnsi="Times New Roman"/>
          <w:sz w:val="24"/>
          <w:szCs w:val="24"/>
          <w:lang w:val="sr-Cyrl-CS"/>
        </w:rPr>
        <w:t xml:space="preserve"> </w:t>
      </w:r>
      <w:r w:rsidR="00DC434C">
        <w:rPr>
          <w:rFonts w:ascii="Times New Roman" w:hAnsi="Times New Roman"/>
          <w:sz w:val="24"/>
          <w:szCs w:val="24"/>
          <w:lang w:val="sr-Cyrl-CS"/>
        </w:rPr>
        <w:t xml:space="preserve">буџетима је </w:t>
      </w:r>
      <w:r>
        <w:rPr>
          <w:rFonts w:ascii="Times New Roman" w:hAnsi="Times New Roman"/>
          <w:sz w:val="24"/>
          <w:szCs w:val="24"/>
          <w:lang w:val="sr-Cyrl-CS"/>
        </w:rPr>
        <w:t>извршена</w:t>
      </w:r>
      <w:r w:rsidR="00BC4F8D" w:rsidRPr="00BC4F8D">
        <w:rPr>
          <w:rFonts w:ascii="Times New Roman" w:hAnsi="Times New Roman"/>
          <w:sz w:val="24"/>
          <w:szCs w:val="24"/>
          <w:lang w:val="sr-Cyrl-CS"/>
        </w:rPr>
        <w:t xml:space="preserve"> </w:t>
      </w:r>
      <w:r>
        <w:rPr>
          <w:rFonts w:ascii="Times New Roman" w:hAnsi="Times New Roman"/>
          <w:sz w:val="24"/>
          <w:szCs w:val="24"/>
          <w:lang w:val="sr-Cyrl-CS"/>
        </w:rPr>
        <w:t>буџетска</w:t>
      </w:r>
      <w:r w:rsidR="00BC4F8D" w:rsidRPr="00BC4F8D">
        <w:rPr>
          <w:rFonts w:ascii="Times New Roman" w:hAnsi="Times New Roman"/>
          <w:sz w:val="24"/>
          <w:szCs w:val="24"/>
          <w:lang w:val="sr-Cyrl-CS"/>
        </w:rPr>
        <w:t xml:space="preserve"> </w:t>
      </w:r>
      <w:r>
        <w:rPr>
          <w:rFonts w:ascii="Times New Roman" w:hAnsi="Times New Roman"/>
          <w:sz w:val="24"/>
          <w:szCs w:val="24"/>
          <w:lang w:val="sr-Cyrl-CS"/>
        </w:rPr>
        <w:t>реформа</w:t>
      </w:r>
      <w:r w:rsidR="00DC434C">
        <w:rPr>
          <w:rFonts w:ascii="Times New Roman" w:hAnsi="Times New Roman"/>
          <w:sz w:val="24"/>
          <w:szCs w:val="24"/>
          <w:lang w:val="sr-Cyrl-CS"/>
        </w:rPr>
        <w:t>.</w:t>
      </w:r>
      <w:r w:rsidR="00BC4F8D" w:rsidRPr="00BC4F8D">
        <w:rPr>
          <w:rFonts w:ascii="Times New Roman" w:hAnsi="Times New Roman"/>
          <w:sz w:val="24"/>
          <w:szCs w:val="24"/>
          <w:lang w:val="sr-Cyrl-CS"/>
        </w:rPr>
        <w:t xml:space="preserve"> </w:t>
      </w:r>
      <w:r w:rsidR="00DC434C">
        <w:rPr>
          <w:rFonts w:ascii="Times New Roman" w:hAnsi="Times New Roman"/>
          <w:sz w:val="24"/>
          <w:szCs w:val="24"/>
          <w:lang w:val="sr-Cyrl-CS"/>
        </w:rPr>
        <w:t>Све веће потребе општина условиле су потребу</w:t>
      </w:r>
      <w:r w:rsidR="00BC4F8D" w:rsidRPr="00BC4F8D">
        <w:rPr>
          <w:rFonts w:ascii="Times New Roman" w:hAnsi="Times New Roman"/>
          <w:sz w:val="24"/>
          <w:szCs w:val="24"/>
          <w:lang w:val="sr-Cyrl-CS"/>
        </w:rPr>
        <w:t xml:space="preserve"> </w:t>
      </w:r>
      <w:r>
        <w:rPr>
          <w:rFonts w:ascii="Times New Roman" w:hAnsi="Times New Roman"/>
          <w:sz w:val="24"/>
          <w:szCs w:val="24"/>
          <w:lang w:val="sr-Cyrl-CS"/>
        </w:rPr>
        <w:t>за</w:t>
      </w:r>
      <w:r w:rsidR="00BC4F8D" w:rsidRPr="00BC4F8D">
        <w:rPr>
          <w:rFonts w:ascii="Times New Roman" w:hAnsi="Times New Roman"/>
          <w:sz w:val="24"/>
          <w:szCs w:val="24"/>
          <w:lang w:val="sr-Cyrl-CS"/>
        </w:rPr>
        <w:t xml:space="preserve"> </w:t>
      </w:r>
      <w:r>
        <w:rPr>
          <w:rFonts w:ascii="Times New Roman" w:hAnsi="Times New Roman"/>
          <w:sz w:val="24"/>
          <w:szCs w:val="24"/>
          <w:lang w:val="sr-Cyrl-CS"/>
        </w:rPr>
        <w:t>прерасподелом</w:t>
      </w:r>
      <w:r w:rsidR="00BC4F8D" w:rsidRPr="00BC4F8D">
        <w:rPr>
          <w:rFonts w:ascii="Times New Roman" w:hAnsi="Times New Roman"/>
          <w:sz w:val="24"/>
          <w:szCs w:val="24"/>
          <w:lang w:val="sr-Cyrl-CS"/>
        </w:rPr>
        <w:t xml:space="preserve"> </w:t>
      </w:r>
      <w:r>
        <w:rPr>
          <w:rFonts w:ascii="Times New Roman" w:hAnsi="Times New Roman"/>
          <w:sz w:val="24"/>
          <w:szCs w:val="24"/>
          <w:lang w:val="sr-Cyrl-CS"/>
        </w:rPr>
        <w:t>извора</w:t>
      </w:r>
      <w:r w:rsidR="00BC4F8D" w:rsidRPr="00BC4F8D">
        <w:rPr>
          <w:rFonts w:ascii="Times New Roman" w:hAnsi="Times New Roman"/>
          <w:sz w:val="24"/>
          <w:szCs w:val="24"/>
          <w:lang w:val="sr-Cyrl-CS"/>
        </w:rPr>
        <w:t xml:space="preserve"> </w:t>
      </w:r>
      <w:r>
        <w:rPr>
          <w:rFonts w:ascii="Times New Roman" w:hAnsi="Times New Roman"/>
          <w:sz w:val="24"/>
          <w:szCs w:val="24"/>
          <w:lang w:val="sr-Cyrl-CS"/>
        </w:rPr>
        <w:t>прихода</w:t>
      </w:r>
      <w:r w:rsidR="00BC4F8D" w:rsidRPr="00BC4F8D">
        <w:rPr>
          <w:rFonts w:ascii="Times New Roman" w:hAnsi="Times New Roman"/>
          <w:sz w:val="24"/>
          <w:szCs w:val="24"/>
          <w:lang w:val="sr-Cyrl-CS"/>
        </w:rPr>
        <w:t xml:space="preserve"> </w:t>
      </w:r>
      <w:r>
        <w:rPr>
          <w:rFonts w:ascii="Times New Roman" w:hAnsi="Times New Roman"/>
          <w:sz w:val="24"/>
          <w:szCs w:val="24"/>
          <w:lang w:val="sr-Cyrl-CS"/>
        </w:rPr>
        <w:t>између</w:t>
      </w:r>
      <w:r w:rsidR="00BC4F8D" w:rsidRPr="00BC4F8D">
        <w:rPr>
          <w:rFonts w:ascii="Times New Roman" w:hAnsi="Times New Roman"/>
          <w:sz w:val="24"/>
          <w:szCs w:val="24"/>
          <w:lang w:val="sr-Cyrl-CS"/>
        </w:rPr>
        <w:t xml:space="preserve"> </w:t>
      </w:r>
      <w:r>
        <w:rPr>
          <w:rFonts w:ascii="Times New Roman" w:hAnsi="Times New Roman"/>
          <w:sz w:val="24"/>
          <w:szCs w:val="24"/>
          <w:lang w:val="sr-Cyrl-CS"/>
        </w:rPr>
        <w:t>различитог</w:t>
      </w:r>
      <w:r w:rsidR="00BC4F8D" w:rsidRPr="00BC4F8D">
        <w:rPr>
          <w:rFonts w:ascii="Times New Roman" w:hAnsi="Times New Roman"/>
          <w:sz w:val="24"/>
          <w:szCs w:val="24"/>
          <w:lang w:val="sr-Cyrl-CS"/>
        </w:rPr>
        <w:t xml:space="preserve"> </w:t>
      </w:r>
      <w:r>
        <w:rPr>
          <w:rFonts w:ascii="Times New Roman" w:hAnsi="Times New Roman"/>
          <w:sz w:val="24"/>
          <w:szCs w:val="24"/>
          <w:lang w:val="sr-Cyrl-CS"/>
        </w:rPr>
        <w:t>нивоа</w:t>
      </w:r>
      <w:r w:rsidR="00BC4F8D" w:rsidRPr="00BC4F8D">
        <w:rPr>
          <w:rFonts w:ascii="Times New Roman" w:hAnsi="Times New Roman"/>
          <w:sz w:val="24"/>
          <w:szCs w:val="24"/>
          <w:lang w:val="sr-Cyrl-CS"/>
        </w:rPr>
        <w:t xml:space="preserve"> </w:t>
      </w:r>
      <w:r>
        <w:rPr>
          <w:rFonts w:ascii="Times New Roman" w:hAnsi="Times New Roman"/>
          <w:sz w:val="24"/>
          <w:szCs w:val="24"/>
          <w:lang w:val="sr-Cyrl-CS"/>
        </w:rPr>
        <w:t>политичко</w:t>
      </w:r>
      <w:r w:rsidR="00BC4F8D" w:rsidRPr="00BC4F8D">
        <w:rPr>
          <w:rFonts w:ascii="Times New Roman" w:hAnsi="Times New Roman"/>
          <w:sz w:val="24"/>
          <w:szCs w:val="24"/>
          <w:lang w:val="sr-Cyrl-CS"/>
        </w:rPr>
        <w:t>-</w:t>
      </w:r>
      <w:r>
        <w:rPr>
          <w:rFonts w:ascii="Times New Roman" w:hAnsi="Times New Roman"/>
          <w:sz w:val="24"/>
          <w:szCs w:val="24"/>
          <w:lang w:val="sr-Cyrl-CS"/>
        </w:rPr>
        <w:t>територијалних</w:t>
      </w:r>
      <w:r w:rsidR="00BC4F8D" w:rsidRPr="00BC4F8D">
        <w:rPr>
          <w:rFonts w:ascii="Times New Roman" w:hAnsi="Times New Roman"/>
          <w:sz w:val="24"/>
          <w:szCs w:val="24"/>
          <w:lang w:val="sr-Cyrl-CS"/>
        </w:rPr>
        <w:t xml:space="preserve"> </w:t>
      </w:r>
      <w:r>
        <w:rPr>
          <w:rFonts w:ascii="Times New Roman" w:hAnsi="Times New Roman"/>
          <w:sz w:val="24"/>
          <w:szCs w:val="24"/>
          <w:lang w:val="sr-Cyrl-CS"/>
        </w:rPr>
        <w:t>заједница</w:t>
      </w:r>
      <w:r w:rsidR="00BC4F8D" w:rsidRPr="00BC4F8D">
        <w:rPr>
          <w:rFonts w:ascii="Times New Roman" w:hAnsi="Times New Roman"/>
          <w:sz w:val="24"/>
          <w:szCs w:val="24"/>
          <w:lang w:val="sr-Cyrl-CS"/>
        </w:rPr>
        <w:t xml:space="preserve">, </w:t>
      </w:r>
      <w:r>
        <w:rPr>
          <w:rFonts w:ascii="Times New Roman" w:hAnsi="Times New Roman"/>
          <w:sz w:val="24"/>
          <w:szCs w:val="24"/>
          <w:lang w:val="sr-Cyrl-CS"/>
        </w:rPr>
        <w:t>јер</w:t>
      </w:r>
      <w:r w:rsidR="00BC4F8D" w:rsidRPr="00BC4F8D">
        <w:rPr>
          <w:rFonts w:ascii="Times New Roman" w:hAnsi="Times New Roman"/>
          <w:sz w:val="24"/>
          <w:szCs w:val="24"/>
          <w:lang w:val="sr-Cyrl-CS"/>
        </w:rPr>
        <w:t xml:space="preserve"> </w:t>
      </w:r>
      <w:r>
        <w:rPr>
          <w:rFonts w:ascii="Times New Roman" w:hAnsi="Times New Roman"/>
          <w:sz w:val="24"/>
          <w:szCs w:val="24"/>
          <w:lang w:val="sr-Cyrl-CS"/>
        </w:rPr>
        <w:t>су</w:t>
      </w:r>
      <w:r w:rsidR="00BC4F8D" w:rsidRPr="00BC4F8D">
        <w:rPr>
          <w:rFonts w:ascii="Times New Roman" w:hAnsi="Times New Roman"/>
          <w:sz w:val="24"/>
          <w:szCs w:val="24"/>
          <w:lang w:val="sr-Cyrl-CS"/>
        </w:rPr>
        <w:t xml:space="preserve"> </w:t>
      </w:r>
      <w:r>
        <w:rPr>
          <w:rFonts w:ascii="Times New Roman" w:hAnsi="Times New Roman"/>
          <w:sz w:val="24"/>
          <w:szCs w:val="24"/>
          <w:lang w:val="sr-Cyrl-CS"/>
        </w:rPr>
        <w:t>анализе</w:t>
      </w:r>
      <w:r w:rsidR="00BC4F8D" w:rsidRPr="00BC4F8D">
        <w:rPr>
          <w:rFonts w:ascii="Times New Roman" w:hAnsi="Times New Roman"/>
          <w:sz w:val="24"/>
          <w:szCs w:val="24"/>
          <w:lang w:val="sr-Cyrl-CS"/>
        </w:rPr>
        <w:t xml:space="preserve"> </w:t>
      </w:r>
      <w:r>
        <w:rPr>
          <w:rFonts w:ascii="Times New Roman" w:hAnsi="Times New Roman"/>
          <w:sz w:val="24"/>
          <w:szCs w:val="24"/>
          <w:lang w:val="sr-Cyrl-CS"/>
        </w:rPr>
        <w:t>показивале</w:t>
      </w:r>
      <w:r w:rsidR="00BC4F8D" w:rsidRPr="00BC4F8D">
        <w:rPr>
          <w:rFonts w:ascii="Times New Roman" w:hAnsi="Times New Roman"/>
          <w:sz w:val="24"/>
          <w:szCs w:val="24"/>
          <w:lang w:val="sr-Cyrl-CS"/>
        </w:rPr>
        <w:t xml:space="preserve"> </w:t>
      </w:r>
      <w:r>
        <w:rPr>
          <w:rFonts w:ascii="Times New Roman" w:hAnsi="Times New Roman"/>
          <w:sz w:val="24"/>
          <w:szCs w:val="24"/>
          <w:lang w:val="sr-Cyrl-CS"/>
        </w:rPr>
        <w:t>да</w:t>
      </w:r>
      <w:r w:rsidR="00BC4F8D" w:rsidRPr="00BC4F8D">
        <w:rPr>
          <w:rFonts w:ascii="Times New Roman" w:hAnsi="Times New Roman"/>
          <w:sz w:val="24"/>
          <w:szCs w:val="24"/>
          <w:lang w:val="sr-Cyrl-CS"/>
        </w:rPr>
        <w:t xml:space="preserve"> </w:t>
      </w:r>
      <w:r>
        <w:rPr>
          <w:rFonts w:ascii="Times New Roman" w:hAnsi="Times New Roman"/>
          <w:sz w:val="24"/>
          <w:szCs w:val="24"/>
          <w:lang w:val="sr-Cyrl-CS"/>
        </w:rPr>
        <w:t>се</w:t>
      </w:r>
      <w:r w:rsidR="00BC4F8D" w:rsidRPr="00BC4F8D">
        <w:rPr>
          <w:rFonts w:ascii="Times New Roman" w:hAnsi="Times New Roman"/>
          <w:sz w:val="24"/>
          <w:szCs w:val="24"/>
          <w:lang w:val="sr-Cyrl-CS"/>
        </w:rPr>
        <w:t xml:space="preserve"> </w:t>
      </w:r>
      <w:r>
        <w:rPr>
          <w:rFonts w:ascii="Times New Roman" w:hAnsi="Times New Roman"/>
          <w:sz w:val="24"/>
          <w:szCs w:val="24"/>
          <w:lang w:val="sr-Cyrl-CS"/>
        </w:rPr>
        <w:t>динамика</w:t>
      </w:r>
      <w:r w:rsidR="00BC4F8D" w:rsidRPr="00BC4F8D">
        <w:rPr>
          <w:rFonts w:ascii="Times New Roman" w:hAnsi="Times New Roman"/>
          <w:sz w:val="24"/>
          <w:szCs w:val="24"/>
          <w:lang w:val="sr-Cyrl-CS"/>
        </w:rPr>
        <w:t xml:space="preserve"> </w:t>
      </w:r>
      <w:r>
        <w:rPr>
          <w:rFonts w:ascii="Times New Roman" w:hAnsi="Times New Roman"/>
          <w:sz w:val="24"/>
          <w:szCs w:val="24"/>
          <w:lang w:val="sr-Cyrl-CS"/>
        </w:rPr>
        <w:t>стварања</w:t>
      </w:r>
      <w:r w:rsidR="00BC4F8D" w:rsidRPr="00BC4F8D">
        <w:rPr>
          <w:rFonts w:ascii="Times New Roman" w:hAnsi="Times New Roman"/>
          <w:sz w:val="24"/>
          <w:szCs w:val="24"/>
          <w:lang w:val="sr-Cyrl-CS"/>
        </w:rPr>
        <w:t xml:space="preserve"> </w:t>
      </w:r>
      <w:r>
        <w:rPr>
          <w:rFonts w:ascii="Times New Roman" w:hAnsi="Times New Roman"/>
          <w:sz w:val="24"/>
          <w:szCs w:val="24"/>
          <w:lang w:val="sr-Cyrl-CS"/>
        </w:rPr>
        <w:t>буџетских</w:t>
      </w:r>
      <w:r w:rsidR="00BC4F8D" w:rsidRPr="00BC4F8D">
        <w:rPr>
          <w:rFonts w:ascii="Times New Roman" w:hAnsi="Times New Roman"/>
          <w:sz w:val="24"/>
          <w:szCs w:val="24"/>
          <w:lang w:val="sr-Cyrl-CS"/>
        </w:rPr>
        <w:t xml:space="preserve"> </w:t>
      </w:r>
      <w:r>
        <w:rPr>
          <w:rFonts w:ascii="Times New Roman" w:hAnsi="Times New Roman"/>
          <w:sz w:val="24"/>
          <w:szCs w:val="24"/>
          <w:lang w:val="sr-Cyrl-CS"/>
        </w:rPr>
        <w:t>средстава</w:t>
      </w:r>
      <w:r w:rsidR="00BC4F8D" w:rsidRPr="00BC4F8D">
        <w:rPr>
          <w:rFonts w:ascii="Times New Roman" w:hAnsi="Times New Roman"/>
          <w:sz w:val="24"/>
          <w:szCs w:val="24"/>
          <w:lang w:val="sr-Cyrl-CS"/>
        </w:rPr>
        <w:t xml:space="preserve"> </w:t>
      </w:r>
      <w:r>
        <w:rPr>
          <w:rFonts w:ascii="Times New Roman" w:hAnsi="Times New Roman"/>
          <w:sz w:val="24"/>
          <w:szCs w:val="24"/>
          <w:lang w:val="sr-Cyrl-CS"/>
        </w:rPr>
        <w:t>општина</w:t>
      </w:r>
      <w:r w:rsidR="00BC4F8D" w:rsidRPr="00BC4F8D">
        <w:rPr>
          <w:rFonts w:ascii="Times New Roman" w:hAnsi="Times New Roman"/>
          <w:sz w:val="24"/>
          <w:szCs w:val="24"/>
          <w:lang w:val="sr-Cyrl-CS"/>
        </w:rPr>
        <w:t xml:space="preserve"> </w:t>
      </w:r>
      <w:r>
        <w:rPr>
          <w:rFonts w:ascii="Times New Roman" w:hAnsi="Times New Roman"/>
          <w:sz w:val="24"/>
          <w:szCs w:val="24"/>
          <w:lang w:val="sr-Cyrl-CS"/>
        </w:rPr>
        <w:t>и</w:t>
      </w:r>
      <w:r w:rsidR="00BC4F8D" w:rsidRPr="00BC4F8D">
        <w:rPr>
          <w:rFonts w:ascii="Times New Roman" w:hAnsi="Times New Roman"/>
          <w:sz w:val="24"/>
          <w:szCs w:val="24"/>
          <w:lang w:val="sr-Cyrl-CS"/>
        </w:rPr>
        <w:t xml:space="preserve"> </w:t>
      </w:r>
      <w:r>
        <w:rPr>
          <w:rFonts w:ascii="Times New Roman" w:hAnsi="Times New Roman"/>
          <w:sz w:val="24"/>
          <w:szCs w:val="24"/>
          <w:lang w:val="sr-Cyrl-CS"/>
        </w:rPr>
        <w:t>поред</w:t>
      </w:r>
      <w:r w:rsidR="00BC4F8D" w:rsidRPr="00BC4F8D">
        <w:rPr>
          <w:rFonts w:ascii="Times New Roman" w:hAnsi="Times New Roman"/>
          <w:sz w:val="24"/>
          <w:szCs w:val="24"/>
          <w:lang w:val="sr-Cyrl-CS"/>
        </w:rPr>
        <w:t xml:space="preserve"> </w:t>
      </w:r>
      <w:r>
        <w:rPr>
          <w:rFonts w:ascii="Times New Roman" w:hAnsi="Times New Roman"/>
          <w:sz w:val="24"/>
          <w:szCs w:val="24"/>
          <w:lang w:val="sr-Cyrl-CS"/>
        </w:rPr>
        <w:t>њиховог</w:t>
      </w:r>
      <w:r w:rsidR="00BC4F8D" w:rsidRPr="00BC4F8D">
        <w:rPr>
          <w:rFonts w:ascii="Times New Roman" w:hAnsi="Times New Roman"/>
          <w:sz w:val="24"/>
          <w:szCs w:val="24"/>
          <w:lang w:val="sr-Cyrl-CS"/>
        </w:rPr>
        <w:t xml:space="preserve"> </w:t>
      </w:r>
      <w:r>
        <w:rPr>
          <w:rFonts w:ascii="Times New Roman" w:hAnsi="Times New Roman"/>
          <w:sz w:val="24"/>
          <w:szCs w:val="24"/>
          <w:lang w:val="sr-Cyrl-CS"/>
        </w:rPr>
        <w:t>сталног</w:t>
      </w:r>
      <w:r w:rsidR="00BC4F8D" w:rsidRPr="00BC4F8D">
        <w:rPr>
          <w:rFonts w:ascii="Times New Roman" w:hAnsi="Times New Roman"/>
          <w:sz w:val="24"/>
          <w:szCs w:val="24"/>
          <w:lang w:val="sr-Cyrl-CS"/>
        </w:rPr>
        <w:t xml:space="preserve"> </w:t>
      </w:r>
      <w:r>
        <w:rPr>
          <w:rFonts w:ascii="Times New Roman" w:hAnsi="Times New Roman"/>
          <w:sz w:val="24"/>
          <w:szCs w:val="24"/>
          <w:lang w:val="sr-Cyrl-CS"/>
        </w:rPr>
        <w:t>пораста</w:t>
      </w:r>
      <w:r w:rsidR="00BC4F8D" w:rsidRPr="00BC4F8D">
        <w:rPr>
          <w:rFonts w:ascii="Times New Roman" w:hAnsi="Times New Roman"/>
          <w:sz w:val="24"/>
          <w:szCs w:val="24"/>
          <w:lang w:val="sr-Cyrl-CS"/>
        </w:rPr>
        <w:t xml:space="preserve">, </w:t>
      </w:r>
      <w:r>
        <w:rPr>
          <w:rFonts w:ascii="Times New Roman" w:hAnsi="Times New Roman"/>
          <w:sz w:val="24"/>
          <w:szCs w:val="24"/>
          <w:lang w:val="sr-Cyrl-CS"/>
        </w:rPr>
        <w:t>не</w:t>
      </w:r>
      <w:r w:rsidR="00BC4F8D" w:rsidRPr="00BC4F8D">
        <w:rPr>
          <w:rFonts w:ascii="Times New Roman" w:hAnsi="Times New Roman"/>
          <w:sz w:val="24"/>
          <w:szCs w:val="24"/>
          <w:lang w:val="sr-Cyrl-CS"/>
        </w:rPr>
        <w:t xml:space="preserve"> </w:t>
      </w:r>
      <w:r>
        <w:rPr>
          <w:rFonts w:ascii="Times New Roman" w:hAnsi="Times New Roman"/>
          <w:sz w:val="24"/>
          <w:szCs w:val="24"/>
          <w:lang w:val="sr-Cyrl-CS"/>
        </w:rPr>
        <w:t>креће</w:t>
      </w:r>
      <w:r w:rsidR="00BC4F8D" w:rsidRPr="00BC4F8D">
        <w:rPr>
          <w:rFonts w:ascii="Times New Roman" w:hAnsi="Times New Roman"/>
          <w:sz w:val="24"/>
          <w:szCs w:val="24"/>
          <w:lang w:val="sr-Cyrl-CS"/>
        </w:rPr>
        <w:t xml:space="preserve"> </w:t>
      </w:r>
      <w:r>
        <w:rPr>
          <w:rFonts w:ascii="Times New Roman" w:hAnsi="Times New Roman"/>
          <w:sz w:val="24"/>
          <w:szCs w:val="24"/>
          <w:lang w:val="sr-Cyrl-CS"/>
        </w:rPr>
        <w:t>у</w:t>
      </w:r>
      <w:r w:rsidR="00BC4F8D" w:rsidRPr="00BC4F8D">
        <w:rPr>
          <w:rFonts w:ascii="Times New Roman" w:hAnsi="Times New Roman"/>
          <w:sz w:val="24"/>
          <w:szCs w:val="24"/>
          <w:lang w:val="sr-Cyrl-CS"/>
        </w:rPr>
        <w:t xml:space="preserve"> </w:t>
      </w:r>
      <w:r>
        <w:rPr>
          <w:rFonts w:ascii="Times New Roman" w:hAnsi="Times New Roman"/>
          <w:sz w:val="24"/>
          <w:szCs w:val="24"/>
          <w:lang w:val="sr-Cyrl-CS"/>
        </w:rPr>
        <w:t>складу</w:t>
      </w:r>
      <w:r w:rsidR="004F3947">
        <w:rPr>
          <w:rFonts w:ascii="Times New Roman" w:hAnsi="Times New Roman"/>
          <w:sz w:val="24"/>
          <w:szCs w:val="24"/>
          <w:lang w:val="sr-Cyrl-CS"/>
        </w:rPr>
        <w:t xml:space="preserve"> </w:t>
      </w:r>
      <w:r>
        <w:rPr>
          <w:rFonts w:ascii="Times New Roman" w:hAnsi="Times New Roman"/>
          <w:sz w:val="24"/>
          <w:szCs w:val="24"/>
          <w:lang w:val="sr-Cyrl-CS"/>
        </w:rPr>
        <w:t>са</w:t>
      </w:r>
      <w:r w:rsidR="00BC4F8D" w:rsidRPr="00BC4F8D">
        <w:rPr>
          <w:rFonts w:ascii="Times New Roman" w:hAnsi="Times New Roman"/>
          <w:sz w:val="24"/>
          <w:szCs w:val="24"/>
          <w:lang w:val="sr-Cyrl-CS"/>
        </w:rPr>
        <w:t xml:space="preserve"> </w:t>
      </w:r>
      <w:r>
        <w:rPr>
          <w:rFonts w:ascii="Times New Roman" w:hAnsi="Times New Roman"/>
          <w:sz w:val="24"/>
          <w:szCs w:val="24"/>
          <w:lang w:val="sr-Cyrl-CS"/>
        </w:rPr>
        <w:t>повећањем</w:t>
      </w:r>
      <w:r w:rsidR="00BC4F8D" w:rsidRPr="00BC4F8D">
        <w:rPr>
          <w:rFonts w:ascii="Times New Roman" w:hAnsi="Times New Roman"/>
          <w:sz w:val="24"/>
          <w:szCs w:val="24"/>
          <w:lang w:val="sr-Cyrl-CS"/>
        </w:rPr>
        <w:t xml:space="preserve"> </w:t>
      </w:r>
      <w:r>
        <w:rPr>
          <w:rFonts w:ascii="Times New Roman" w:hAnsi="Times New Roman"/>
          <w:sz w:val="24"/>
          <w:szCs w:val="24"/>
          <w:lang w:val="sr-Cyrl-CS"/>
        </w:rPr>
        <w:t>локалних</w:t>
      </w:r>
      <w:r w:rsidR="00BC4F8D" w:rsidRPr="00BC4F8D">
        <w:rPr>
          <w:rFonts w:ascii="Times New Roman" w:hAnsi="Times New Roman"/>
          <w:sz w:val="24"/>
          <w:szCs w:val="24"/>
          <w:lang w:val="sr-Cyrl-CS"/>
        </w:rPr>
        <w:t xml:space="preserve"> </w:t>
      </w:r>
      <w:r>
        <w:rPr>
          <w:rFonts w:ascii="Times New Roman" w:hAnsi="Times New Roman"/>
          <w:sz w:val="24"/>
          <w:szCs w:val="24"/>
          <w:lang w:val="sr-Cyrl-CS"/>
        </w:rPr>
        <w:t>надлежности</w:t>
      </w:r>
      <w:r w:rsidR="00BC4F8D">
        <w:rPr>
          <w:rFonts w:ascii="Times New Roman" w:hAnsi="Times New Roman"/>
          <w:sz w:val="24"/>
          <w:szCs w:val="24"/>
          <w:lang w:val="sr-Cyrl-CS"/>
        </w:rPr>
        <w:t xml:space="preserve"> </w:t>
      </w:r>
      <w:r>
        <w:rPr>
          <w:rFonts w:ascii="Times New Roman" w:hAnsi="Times New Roman"/>
          <w:sz w:val="24"/>
          <w:szCs w:val="24"/>
          <w:lang w:val="sr-Cyrl-CS"/>
        </w:rPr>
        <w:t>у</w:t>
      </w:r>
      <w:r w:rsidR="00BC4F8D">
        <w:rPr>
          <w:rFonts w:ascii="Times New Roman" w:hAnsi="Times New Roman"/>
          <w:sz w:val="24"/>
          <w:szCs w:val="24"/>
          <w:lang w:val="sr-Cyrl-CS"/>
        </w:rPr>
        <w:t xml:space="preserve"> </w:t>
      </w:r>
      <w:r>
        <w:rPr>
          <w:rFonts w:ascii="Times New Roman" w:hAnsi="Times New Roman"/>
          <w:sz w:val="24"/>
          <w:szCs w:val="24"/>
          <w:lang w:val="sr-Cyrl-CS"/>
        </w:rPr>
        <w:lastRenderedPageBreak/>
        <w:t>процесу</w:t>
      </w:r>
      <w:r w:rsidR="00BC4F8D">
        <w:rPr>
          <w:rFonts w:ascii="Times New Roman" w:hAnsi="Times New Roman"/>
          <w:sz w:val="24"/>
          <w:szCs w:val="24"/>
          <w:lang w:val="sr-Cyrl-CS"/>
        </w:rPr>
        <w:t xml:space="preserve"> </w:t>
      </w:r>
      <w:r>
        <w:rPr>
          <w:rFonts w:ascii="Times New Roman" w:hAnsi="Times New Roman"/>
          <w:sz w:val="24"/>
          <w:szCs w:val="24"/>
          <w:lang w:val="sr-Cyrl-CS"/>
        </w:rPr>
        <w:t>децентрализације</w:t>
      </w:r>
      <w:r w:rsidR="00BC4F8D">
        <w:rPr>
          <w:rFonts w:ascii="Times New Roman" w:hAnsi="Times New Roman"/>
          <w:sz w:val="24"/>
          <w:szCs w:val="24"/>
          <w:lang w:val="sr-Cyrl-CS"/>
        </w:rPr>
        <w:t>.</w:t>
      </w:r>
      <w:r w:rsidR="00BC4F8D">
        <w:rPr>
          <w:rStyle w:val="FootnoteReference"/>
          <w:rFonts w:ascii="Times New Roman" w:hAnsi="Times New Roman"/>
          <w:sz w:val="24"/>
          <w:szCs w:val="24"/>
          <w:lang w:val="sr-Cyrl-CS"/>
        </w:rPr>
        <w:footnoteReference w:id="170"/>
      </w:r>
      <w:r w:rsidR="004F3947">
        <w:rPr>
          <w:rFonts w:ascii="Times New Roman" w:hAnsi="Times New Roman"/>
          <w:sz w:val="24"/>
          <w:szCs w:val="24"/>
          <w:lang w:val="sr-Cyrl-CS"/>
        </w:rPr>
        <w:t xml:space="preserve"> Значајан закон којим је регулисана поре</w:t>
      </w:r>
      <w:r>
        <w:rPr>
          <w:rFonts w:ascii="Times New Roman" w:hAnsi="Times New Roman"/>
          <w:sz w:val="24"/>
          <w:szCs w:val="24"/>
          <w:lang w:val="sr-Cyrl-CS"/>
        </w:rPr>
        <w:t>ск</w:t>
      </w:r>
      <w:r w:rsidR="004F3947">
        <w:rPr>
          <w:rFonts w:ascii="Times New Roman" w:hAnsi="Times New Roman"/>
          <w:sz w:val="24"/>
          <w:szCs w:val="24"/>
          <w:lang w:val="sr-Cyrl-CS"/>
        </w:rPr>
        <w:t>а материја је Основни закон о доприн</w:t>
      </w:r>
      <w:r>
        <w:rPr>
          <w:rFonts w:ascii="Times New Roman" w:hAnsi="Times New Roman"/>
          <w:sz w:val="24"/>
          <w:szCs w:val="24"/>
          <w:lang w:val="sr-Cyrl-CS"/>
        </w:rPr>
        <w:t>о</w:t>
      </w:r>
      <w:r w:rsidR="004F3947">
        <w:rPr>
          <w:rFonts w:ascii="Times New Roman" w:hAnsi="Times New Roman"/>
          <w:sz w:val="24"/>
          <w:szCs w:val="24"/>
          <w:lang w:val="sr-Cyrl-CS"/>
        </w:rPr>
        <w:t xml:space="preserve">сима и порезима грађана из 1964. године. </w:t>
      </w:r>
    </w:p>
    <w:p w:rsidR="000C4553" w:rsidRPr="000C4553" w:rsidRDefault="000C4553" w:rsidP="00254881">
      <w:pPr>
        <w:pStyle w:val="ListParagraph"/>
        <w:ind w:left="0" w:firstLine="708"/>
        <w:jc w:val="both"/>
        <w:rPr>
          <w:rFonts w:ascii="Times New Roman" w:hAnsi="Times New Roman"/>
          <w:sz w:val="24"/>
          <w:szCs w:val="24"/>
        </w:rPr>
      </w:pPr>
    </w:p>
    <w:p w:rsidR="004F3947" w:rsidRDefault="004F3947" w:rsidP="004F3947">
      <w:pPr>
        <w:pStyle w:val="ListParagraph"/>
        <w:ind w:left="0"/>
        <w:jc w:val="both"/>
        <w:rPr>
          <w:rFonts w:ascii="Times New Roman" w:hAnsi="Times New Roman"/>
          <w:sz w:val="24"/>
          <w:szCs w:val="24"/>
          <w:lang w:val="sr-Cyrl-CS"/>
        </w:rPr>
      </w:pPr>
    </w:p>
    <w:p w:rsidR="00254881" w:rsidRDefault="00254881" w:rsidP="008A3795">
      <w:pPr>
        <w:pStyle w:val="ListParagraph"/>
        <w:numPr>
          <w:ilvl w:val="0"/>
          <w:numId w:val="9"/>
        </w:numPr>
        <w:jc w:val="both"/>
        <w:rPr>
          <w:rFonts w:ascii="Times New Roman" w:hAnsi="Times New Roman"/>
          <w:sz w:val="24"/>
          <w:szCs w:val="24"/>
          <w:lang w:val="sr-Cyrl-CS"/>
        </w:rPr>
      </w:pPr>
      <w:r>
        <w:rPr>
          <w:rFonts w:ascii="Times New Roman" w:hAnsi="Times New Roman"/>
          <w:sz w:val="24"/>
          <w:szCs w:val="24"/>
          <w:lang w:val="sr-Cyrl-CS"/>
        </w:rPr>
        <w:t xml:space="preserve">Период од </w:t>
      </w:r>
      <w:r w:rsidR="00BC4F8D" w:rsidRPr="00BC4F8D">
        <w:rPr>
          <w:rFonts w:ascii="Times New Roman" w:hAnsi="Times New Roman"/>
          <w:sz w:val="24"/>
          <w:szCs w:val="24"/>
          <w:lang w:val="sr-Cyrl-CS"/>
        </w:rPr>
        <w:t xml:space="preserve"> </w:t>
      </w:r>
      <w:r w:rsidR="00C93ECC">
        <w:rPr>
          <w:rFonts w:ascii="Times New Roman" w:hAnsi="Times New Roman"/>
          <w:sz w:val="24"/>
          <w:szCs w:val="24"/>
          <w:lang w:val="sr-Cyrl-CS"/>
        </w:rPr>
        <w:t>1965. до</w:t>
      </w:r>
      <w:r w:rsidR="00BC4F8D" w:rsidRPr="00254881">
        <w:rPr>
          <w:rFonts w:ascii="Times New Roman" w:hAnsi="Times New Roman"/>
          <w:sz w:val="24"/>
          <w:szCs w:val="24"/>
          <w:lang w:val="sr-Cyrl-CS"/>
        </w:rPr>
        <w:t xml:space="preserve"> 1971</w:t>
      </w:r>
      <w:r w:rsidR="00BC4F8D" w:rsidRPr="00BC4F8D">
        <w:rPr>
          <w:rFonts w:ascii="Times New Roman" w:hAnsi="Times New Roman"/>
          <w:sz w:val="24"/>
          <w:szCs w:val="24"/>
          <w:lang w:val="sr-Cyrl-CS"/>
        </w:rPr>
        <w:t xml:space="preserve">. </w:t>
      </w:r>
      <w:r w:rsidR="007A3327">
        <w:rPr>
          <w:rFonts w:ascii="Times New Roman" w:hAnsi="Times New Roman"/>
          <w:sz w:val="24"/>
          <w:szCs w:val="24"/>
          <w:lang w:val="sr-Cyrl-CS"/>
        </w:rPr>
        <w:t>г</w:t>
      </w:r>
      <w:r>
        <w:rPr>
          <w:rFonts w:ascii="Times New Roman" w:hAnsi="Times New Roman"/>
          <w:sz w:val="24"/>
          <w:szCs w:val="24"/>
          <w:lang w:val="sr-Cyrl-CS"/>
        </w:rPr>
        <w:t>одине</w:t>
      </w:r>
    </w:p>
    <w:p w:rsidR="00C93ECC" w:rsidRDefault="00C93ECC" w:rsidP="00C93ECC">
      <w:pPr>
        <w:pStyle w:val="ListParagraph"/>
        <w:ind w:left="1080"/>
        <w:jc w:val="both"/>
        <w:rPr>
          <w:rFonts w:ascii="Times New Roman" w:hAnsi="Times New Roman"/>
          <w:sz w:val="24"/>
          <w:szCs w:val="24"/>
          <w:lang w:val="sr-Cyrl-CS"/>
        </w:rPr>
      </w:pPr>
    </w:p>
    <w:p w:rsidR="00254881" w:rsidRDefault="00254881" w:rsidP="004F3947">
      <w:pPr>
        <w:pStyle w:val="ListParagraph"/>
        <w:ind w:left="0"/>
        <w:jc w:val="both"/>
        <w:rPr>
          <w:rFonts w:ascii="Times New Roman" w:hAnsi="Times New Roman"/>
          <w:sz w:val="24"/>
          <w:szCs w:val="24"/>
          <w:lang w:val="sr-Cyrl-CS"/>
        </w:rPr>
      </w:pPr>
    </w:p>
    <w:p w:rsidR="004F3947" w:rsidRDefault="00254881" w:rsidP="00254881">
      <w:pPr>
        <w:pStyle w:val="ListParagraph"/>
        <w:ind w:left="0" w:firstLine="708"/>
        <w:jc w:val="both"/>
        <w:rPr>
          <w:rFonts w:ascii="Times New Roman" w:hAnsi="Times New Roman"/>
          <w:sz w:val="24"/>
          <w:szCs w:val="24"/>
        </w:rPr>
      </w:pPr>
      <w:r>
        <w:rPr>
          <w:rFonts w:ascii="Times New Roman" w:hAnsi="Times New Roman"/>
          <w:sz w:val="24"/>
          <w:szCs w:val="24"/>
          <w:lang w:val="sr-Cyrl-CS"/>
        </w:rPr>
        <w:t>На основу Основног</w:t>
      </w:r>
      <w:r w:rsidRPr="00BC4F8D">
        <w:rPr>
          <w:rFonts w:ascii="Times New Roman" w:hAnsi="Times New Roman"/>
          <w:sz w:val="24"/>
          <w:szCs w:val="24"/>
          <w:lang w:val="sr-Cyrl-CS"/>
        </w:rPr>
        <w:t xml:space="preserve"> </w:t>
      </w:r>
      <w:r>
        <w:rPr>
          <w:rFonts w:ascii="Times New Roman" w:hAnsi="Times New Roman"/>
          <w:sz w:val="24"/>
          <w:szCs w:val="24"/>
          <w:lang w:val="sr-Cyrl-CS"/>
        </w:rPr>
        <w:t>закона</w:t>
      </w:r>
      <w:r w:rsidRPr="00BC4F8D">
        <w:rPr>
          <w:rFonts w:ascii="Times New Roman" w:hAnsi="Times New Roman"/>
          <w:sz w:val="24"/>
          <w:szCs w:val="24"/>
          <w:lang w:val="sr-Cyrl-CS"/>
        </w:rPr>
        <w:t xml:space="preserve"> </w:t>
      </w:r>
      <w:r>
        <w:rPr>
          <w:rFonts w:ascii="Times New Roman" w:hAnsi="Times New Roman"/>
          <w:sz w:val="24"/>
          <w:szCs w:val="24"/>
          <w:lang w:val="sr-Cyrl-CS"/>
        </w:rPr>
        <w:t>о</w:t>
      </w:r>
      <w:r w:rsidRPr="00BC4F8D">
        <w:rPr>
          <w:rFonts w:ascii="Times New Roman" w:hAnsi="Times New Roman"/>
          <w:sz w:val="24"/>
          <w:szCs w:val="24"/>
          <w:lang w:val="sr-Cyrl-CS"/>
        </w:rPr>
        <w:t xml:space="preserve"> </w:t>
      </w:r>
      <w:r>
        <w:rPr>
          <w:rFonts w:ascii="Times New Roman" w:hAnsi="Times New Roman"/>
          <w:sz w:val="24"/>
          <w:szCs w:val="24"/>
          <w:lang w:val="sr-Cyrl-CS"/>
        </w:rPr>
        <w:t>финансирању</w:t>
      </w:r>
      <w:r w:rsidRPr="00BC4F8D">
        <w:rPr>
          <w:rFonts w:ascii="Times New Roman" w:hAnsi="Times New Roman"/>
          <w:sz w:val="24"/>
          <w:szCs w:val="24"/>
          <w:lang w:val="sr-Cyrl-CS"/>
        </w:rPr>
        <w:t xml:space="preserve"> </w:t>
      </w:r>
      <w:r>
        <w:rPr>
          <w:rFonts w:ascii="Times New Roman" w:hAnsi="Times New Roman"/>
          <w:sz w:val="24"/>
          <w:szCs w:val="24"/>
          <w:lang w:val="sr-Cyrl-CS"/>
        </w:rPr>
        <w:t>друштвено</w:t>
      </w:r>
      <w:r w:rsidRPr="00BC4F8D">
        <w:rPr>
          <w:rFonts w:ascii="Times New Roman" w:hAnsi="Times New Roman"/>
          <w:sz w:val="24"/>
          <w:szCs w:val="24"/>
          <w:lang w:val="sr-Cyrl-CS"/>
        </w:rPr>
        <w:t>-</w:t>
      </w:r>
      <w:r>
        <w:rPr>
          <w:rFonts w:ascii="Times New Roman" w:hAnsi="Times New Roman"/>
          <w:sz w:val="24"/>
          <w:szCs w:val="24"/>
          <w:lang w:val="sr-Cyrl-CS"/>
        </w:rPr>
        <w:t>политичких</w:t>
      </w:r>
      <w:r w:rsidRPr="00BC4F8D">
        <w:rPr>
          <w:rFonts w:ascii="Times New Roman" w:hAnsi="Times New Roman"/>
          <w:sz w:val="24"/>
          <w:szCs w:val="24"/>
          <w:lang w:val="sr-Cyrl-CS"/>
        </w:rPr>
        <w:t xml:space="preserve"> </w:t>
      </w:r>
      <w:r>
        <w:rPr>
          <w:rFonts w:ascii="Times New Roman" w:hAnsi="Times New Roman"/>
          <w:sz w:val="24"/>
          <w:szCs w:val="24"/>
          <w:lang w:val="sr-Cyrl-CS"/>
        </w:rPr>
        <w:t>заједница</w:t>
      </w:r>
      <w:r w:rsidRPr="00BC4F8D">
        <w:rPr>
          <w:rFonts w:ascii="Times New Roman" w:hAnsi="Times New Roman"/>
          <w:sz w:val="24"/>
          <w:szCs w:val="24"/>
          <w:lang w:val="sr-Cyrl-CS"/>
        </w:rPr>
        <w:t xml:space="preserve"> </w:t>
      </w:r>
      <w:r>
        <w:rPr>
          <w:rFonts w:ascii="Times New Roman" w:hAnsi="Times New Roman"/>
          <w:sz w:val="24"/>
          <w:szCs w:val="24"/>
          <w:lang w:val="sr-Cyrl-CS"/>
        </w:rPr>
        <w:t>из</w:t>
      </w:r>
      <w:r w:rsidRPr="00BC4F8D">
        <w:rPr>
          <w:rFonts w:ascii="Times New Roman" w:hAnsi="Times New Roman"/>
          <w:sz w:val="24"/>
          <w:szCs w:val="24"/>
          <w:lang w:val="sr-Cyrl-CS"/>
        </w:rPr>
        <w:t xml:space="preserve"> 1965. </w:t>
      </w:r>
      <w:r>
        <w:rPr>
          <w:rFonts w:ascii="Times New Roman" w:hAnsi="Times New Roman"/>
          <w:sz w:val="24"/>
          <w:szCs w:val="24"/>
          <w:lang w:val="sr-Cyrl-CS"/>
        </w:rPr>
        <w:t>године</w:t>
      </w:r>
      <w:r w:rsidRPr="00BC4F8D">
        <w:rPr>
          <w:rFonts w:ascii="Times New Roman" w:hAnsi="Times New Roman"/>
          <w:sz w:val="24"/>
          <w:szCs w:val="24"/>
          <w:lang w:val="sr-Cyrl-CS"/>
        </w:rPr>
        <w:t xml:space="preserve"> </w:t>
      </w:r>
      <w:r>
        <w:rPr>
          <w:rFonts w:ascii="Times New Roman" w:hAnsi="Times New Roman"/>
          <w:sz w:val="24"/>
          <w:szCs w:val="24"/>
          <w:lang w:val="sr-Cyrl-CS"/>
        </w:rPr>
        <w:t>утврђени</w:t>
      </w:r>
      <w:r w:rsidR="00BC4F8D" w:rsidRPr="00BC4F8D">
        <w:rPr>
          <w:rFonts w:ascii="Times New Roman" w:hAnsi="Times New Roman"/>
          <w:sz w:val="24"/>
          <w:szCs w:val="24"/>
          <w:lang w:val="sr-Cyrl-CS"/>
        </w:rPr>
        <w:t xml:space="preserve"> </w:t>
      </w:r>
      <w:r>
        <w:rPr>
          <w:rFonts w:ascii="Times New Roman" w:hAnsi="Times New Roman"/>
          <w:sz w:val="24"/>
          <w:szCs w:val="24"/>
          <w:lang w:val="sr-Cyrl-CS"/>
        </w:rPr>
        <w:t>су</w:t>
      </w:r>
      <w:r w:rsidR="00BC4F8D" w:rsidRPr="00BC4F8D">
        <w:rPr>
          <w:rFonts w:ascii="Times New Roman" w:hAnsi="Times New Roman"/>
          <w:sz w:val="24"/>
          <w:szCs w:val="24"/>
          <w:lang w:val="sr-Cyrl-CS"/>
        </w:rPr>
        <w:t xml:space="preserve"> </w:t>
      </w:r>
      <w:r>
        <w:rPr>
          <w:rFonts w:ascii="Times New Roman" w:hAnsi="Times New Roman"/>
          <w:sz w:val="24"/>
          <w:szCs w:val="24"/>
          <w:lang w:val="sr-Cyrl-CS"/>
        </w:rPr>
        <w:t>извори</w:t>
      </w:r>
      <w:r w:rsidR="00BC4F8D" w:rsidRPr="00BC4F8D">
        <w:rPr>
          <w:rFonts w:ascii="Times New Roman" w:hAnsi="Times New Roman"/>
          <w:sz w:val="24"/>
          <w:szCs w:val="24"/>
          <w:lang w:val="sr-Cyrl-CS"/>
        </w:rPr>
        <w:t xml:space="preserve"> </w:t>
      </w:r>
      <w:r>
        <w:rPr>
          <w:rFonts w:ascii="Times New Roman" w:hAnsi="Times New Roman"/>
          <w:sz w:val="24"/>
          <w:szCs w:val="24"/>
          <w:lang w:val="sr-Cyrl-CS"/>
        </w:rPr>
        <w:t>и</w:t>
      </w:r>
      <w:r w:rsidR="00BC4F8D" w:rsidRPr="00BC4F8D">
        <w:rPr>
          <w:rFonts w:ascii="Times New Roman" w:hAnsi="Times New Roman"/>
          <w:sz w:val="24"/>
          <w:szCs w:val="24"/>
          <w:lang w:val="sr-Cyrl-CS"/>
        </w:rPr>
        <w:t xml:space="preserve"> </w:t>
      </w:r>
      <w:r>
        <w:rPr>
          <w:rFonts w:ascii="Times New Roman" w:hAnsi="Times New Roman"/>
          <w:sz w:val="24"/>
          <w:szCs w:val="24"/>
          <w:lang w:val="sr-Cyrl-CS"/>
        </w:rPr>
        <w:t>врсте</w:t>
      </w:r>
      <w:r w:rsidR="00BC4F8D" w:rsidRPr="00BC4F8D">
        <w:rPr>
          <w:rFonts w:ascii="Times New Roman" w:hAnsi="Times New Roman"/>
          <w:sz w:val="24"/>
          <w:szCs w:val="24"/>
          <w:lang w:val="sr-Cyrl-CS"/>
        </w:rPr>
        <w:t xml:space="preserve"> </w:t>
      </w:r>
      <w:r>
        <w:rPr>
          <w:rFonts w:ascii="Times New Roman" w:hAnsi="Times New Roman"/>
          <w:sz w:val="24"/>
          <w:szCs w:val="24"/>
          <w:lang w:val="sr-Cyrl-CS"/>
        </w:rPr>
        <w:t>прихода</w:t>
      </w:r>
      <w:r w:rsidR="00BC4F8D" w:rsidRPr="00BC4F8D">
        <w:rPr>
          <w:rFonts w:ascii="Times New Roman" w:hAnsi="Times New Roman"/>
          <w:sz w:val="24"/>
          <w:szCs w:val="24"/>
          <w:lang w:val="sr-Cyrl-CS"/>
        </w:rPr>
        <w:t xml:space="preserve"> </w:t>
      </w:r>
      <w:r>
        <w:rPr>
          <w:rFonts w:ascii="Times New Roman" w:hAnsi="Times New Roman"/>
          <w:sz w:val="24"/>
          <w:szCs w:val="24"/>
          <w:lang w:val="sr-Cyrl-CS"/>
        </w:rPr>
        <w:t>друштвено</w:t>
      </w:r>
      <w:r w:rsidR="00BC4F8D" w:rsidRPr="00BC4F8D">
        <w:rPr>
          <w:rFonts w:ascii="Times New Roman" w:hAnsi="Times New Roman"/>
          <w:sz w:val="24"/>
          <w:szCs w:val="24"/>
          <w:lang w:val="sr-Cyrl-CS"/>
        </w:rPr>
        <w:t>-</w:t>
      </w:r>
      <w:r>
        <w:rPr>
          <w:rFonts w:ascii="Times New Roman" w:hAnsi="Times New Roman"/>
          <w:sz w:val="24"/>
          <w:szCs w:val="24"/>
          <w:lang w:val="sr-Cyrl-CS"/>
        </w:rPr>
        <w:t>политичких</w:t>
      </w:r>
      <w:r w:rsidR="00BC4F8D" w:rsidRPr="00BC4F8D">
        <w:rPr>
          <w:rFonts w:ascii="Times New Roman" w:hAnsi="Times New Roman"/>
          <w:sz w:val="24"/>
          <w:szCs w:val="24"/>
          <w:lang w:val="sr-Cyrl-CS"/>
        </w:rPr>
        <w:t xml:space="preserve"> </w:t>
      </w:r>
      <w:r>
        <w:rPr>
          <w:rFonts w:ascii="Times New Roman" w:hAnsi="Times New Roman"/>
          <w:sz w:val="24"/>
          <w:szCs w:val="24"/>
          <w:lang w:val="sr-Cyrl-CS"/>
        </w:rPr>
        <w:t>заједница</w:t>
      </w:r>
      <w:r w:rsidR="00BC4F8D" w:rsidRPr="00BC4F8D">
        <w:rPr>
          <w:rFonts w:ascii="Times New Roman" w:hAnsi="Times New Roman"/>
          <w:sz w:val="24"/>
          <w:szCs w:val="24"/>
          <w:lang w:val="sr-Cyrl-CS"/>
        </w:rPr>
        <w:t>.</w:t>
      </w:r>
      <w:r w:rsidR="00366F7F">
        <w:rPr>
          <w:rStyle w:val="FootnoteReference"/>
          <w:rFonts w:ascii="Times New Roman" w:hAnsi="Times New Roman"/>
          <w:sz w:val="24"/>
          <w:szCs w:val="24"/>
          <w:lang w:val="sr-Cyrl-CS"/>
        </w:rPr>
        <w:footnoteReference w:id="171"/>
      </w:r>
      <w:r w:rsidR="004F3947">
        <w:rPr>
          <w:rFonts w:ascii="Times New Roman" w:hAnsi="Times New Roman"/>
          <w:sz w:val="24"/>
          <w:szCs w:val="24"/>
          <w:lang w:val="sr-Cyrl-CS"/>
        </w:rPr>
        <w:t xml:space="preserve"> Такође, значајан закон који је донет из пореске материје је Основни закон о порезу на промет из 1965. године.</w:t>
      </w:r>
      <w:r>
        <w:rPr>
          <w:rFonts w:ascii="Times New Roman" w:hAnsi="Times New Roman"/>
          <w:sz w:val="24"/>
          <w:szCs w:val="24"/>
          <w:lang w:val="sr-Cyrl-CS"/>
        </w:rPr>
        <w:t xml:space="preserve"> </w:t>
      </w:r>
    </w:p>
    <w:p w:rsidR="000C4553" w:rsidRPr="000C4553" w:rsidRDefault="000C4553" w:rsidP="00254881">
      <w:pPr>
        <w:pStyle w:val="ListParagraph"/>
        <w:ind w:left="0" w:firstLine="708"/>
        <w:jc w:val="both"/>
        <w:rPr>
          <w:rFonts w:ascii="Times New Roman" w:hAnsi="Times New Roman"/>
          <w:sz w:val="24"/>
          <w:szCs w:val="24"/>
        </w:rPr>
      </w:pPr>
    </w:p>
    <w:p w:rsidR="00BC4F8D" w:rsidRDefault="00BC4F8D" w:rsidP="004F3947">
      <w:pPr>
        <w:pStyle w:val="ListParagraph"/>
        <w:ind w:left="0"/>
        <w:jc w:val="both"/>
        <w:rPr>
          <w:rFonts w:ascii="Times New Roman" w:hAnsi="Times New Roman"/>
          <w:sz w:val="24"/>
          <w:szCs w:val="24"/>
          <w:lang w:val="sr-Cyrl-CS"/>
        </w:rPr>
      </w:pPr>
    </w:p>
    <w:p w:rsidR="00BC4F8D" w:rsidRDefault="00BC4F8D" w:rsidP="008A3795">
      <w:pPr>
        <w:pStyle w:val="ListParagraph"/>
        <w:numPr>
          <w:ilvl w:val="0"/>
          <w:numId w:val="9"/>
        </w:numPr>
        <w:jc w:val="both"/>
        <w:rPr>
          <w:rFonts w:ascii="Times New Roman" w:hAnsi="Times New Roman"/>
          <w:sz w:val="24"/>
          <w:szCs w:val="24"/>
          <w:lang w:val="sr-Cyrl-CS"/>
        </w:rPr>
      </w:pPr>
      <w:r w:rsidRPr="00BC4F8D">
        <w:rPr>
          <w:rFonts w:ascii="Times New Roman" w:hAnsi="Times New Roman"/>
          <w:sz w:val="24"/>
          <w:szCs w:val="24"/>
          <w:lang w:val="sr-Cyrl-CS"/>
        </w:rPr>
        <w:t xml:space="preserve"> </w:t>
      </w:r>
      <w:r w:rsidR="00254881">
        <w:rPr>
          <w:rFonts w:ascii="Times New Roman" w:hAnsi="Times New Roman"/>
          <w:sz w:val="24"/>
          <w:szCs w:val="24"/>
          <w:lang w:val="sr-Cyrl-CS"/>
        </w:rPr>
        <w:t>Период од</w:t>
      </w:r>
      <w:r w:rsidRPr="00BC4F8D">
        <w:rPr>
          <w:rFonts w:ascii="Times New Roman" w:hAnsi="Times New Roman"/>
          <w:sz w:val="24"/>
          <w:szCs w:val="24"/>
          <w:lang w:val="sr-Cyrl-CS"/>
        </w:rPr>
        <w:t xml:space="preserve"> </w:t>
      </w:r>
      <w:r w:rsidR="00C93ECC">
        <w:rPr>
          <w:rFonts w:ascii="Times New Roman" w:hAnsi="Times New Roman"/>
          <w:sz w:val="24"/>
          <w:szCs w:val="24"/>
          <w:lang w:val="sr-Cyrl-CS"/>
        </w:rPr>
        <w:t>1972. до</w:t>
      </w:r>
      <w:r w:rsidRPr="00254881">
        <w:rPr>
          <w:rFonts w:ascii="Times New Roman" w:hAnsi="Times New Roman"/>
          <w:sz w:val="24"/>
          <w:szCs w:val="24"/>
          <w:lang w:val="sr-Cyrl-CS"/>
        </w:rPr>
        <w:t xml:space="preserve"> 1991</w:t>
      </w:r>
      <w:r w:rsidRPr="00BC4F8D">
        <w:rPr>
          <w:rFonts w:ascii="Times New Roman" w:hAnsi="Times New Roman"/>
          <w:sz w:val="24"/>
          <w:szCs w:val="24"/>
          <w:lang w:val="sr-Cyrl-CS"/>
        </w:rPr>
        <w:t xml:space="preserve">. </w:t>
      </w:r>
      <w:r w:rsidR="007A3327">
        <w:rPr>
          <w:rFonts w:ascii="Times New Roman" w:hAnsi="Times New Roman"/>
          <w:sz w:val="24"/>
          <w:szCs w:val="24"/>
          <w:lang w:val="sr-Cyrl-CS"/>
        </w:rPr>
        <w:t>г</w:t>
      </w:r>
      <w:r w:rsidR="00254881">
        <w:rPr>
          <w:rFonts w:ascii="Times New Roman" w:hAnsi="Times New Roman"/>
          <w:sz w:val="24"/>
          <w:szCs w:val="24"/>
          <w:lang w:val="sr-Cyrl-CS"/>
        </w:rPr>
        <w:t>одине</w:t>
      </w:r>
    </w:p>
    <w:p w:rsidR="00C93ECC" w:rsidRDefault="00C93ECC" w:rsidP="00C93ECC">
      <w:pPr>
        <w:pStyle w:val="ListParagraph"/>
        <w:ind w:left="1080"/>
        <w:jc w:val="both"/>
        <w:rPr>
          <w:rFonts w:ascii="Times New Roman" w:hAnsi="Times New Roman"/>
          <w:sz w:val="24"/>
          <w:szCs w:val="24"/>
          <w:lang w:val="sr-Cyrl-CS"/>
        </w:rPr>
      </w:pPr>
    </w:p>
    <w:p w:rsidR="00250FAB" w:rsidRDefault="00250FAB" w:rsidP="00250FAB">
      <w:pPr>
        <w:pStyle w:val="ListParagraph"/>
        <w:jc w:val="both"/>
        <w:rPr>
          <w:rFonts w:ascii="Times New Roman" w:hAnsi="Times New Roman"/>
          <w:sz w:val="24"/>
          <w:szCs w:val="24"/>
          <w:lang w:val="sr-Cyrl-CS"/>
        </w:rPr>
      </w:pPr>
    </w:p>
    <w:p w:rsidR="004E62C4" w:rsidRDefault="00250FAB" w:rsidP="00254881">
      <w:pPr>
        <w:pStyle w:val="ListParagraph"/>
        <w:ind w:left="0" w:firstLine="708"/>
        <w:jc w:val="both"/>
        <w:rPr>
          <w:rFonts w:ascii="Times New Roman" w:hAnsi="Times New Roman"/>
          <w:sz w:val="24"/>
          <w:szCs w:val="24"/>
          <w:lang w:val="sr-Cyrl-CS"/>
        </w:rPr>
      </w:pPr>
      <w:r>
        <w:rPr>
          <w:rFonts w:ascii="Times New Roman" w:hAnsi="Times New Roman"/>
          <w:sz w:val="24"/>
          <w:szCs w:val="24"/>
          <w:lang w:val="sr-Cyrl-CS"/>
        </w:rPr>
        <w:t xml:space="preserve">Доношењем Устава СФРЈ из 1974. године долази до промена </w:t>
      </w:r>
      <w:r w:rsidR="004E62C4">
        <w:rPr>
          <w:rFonts w:ascii="Times New Roman" w:hAnsi="Times New Roman"/>
          <w:sz w:val="24"/>
          <w:szCs w:val="24"/>
          <w:lang w:val="sr-Cyrl-CS"/>
        </w:rPr>
        <w:t xml:space="preserve">у друштвено-економском и политичком систему, али и </w:t>
      </w:r>
      <w:r>
        <w:rPr>
          <w:rFonts w:ascii="Times New Roman" w:hAnsi="Times New Roman"/>
          <w:sz w:val="24"/>
          <w:szCs w:val="24"/>
          <w:lang w:val="sr-Cyrl-CS"/>
        </w:rPr>
        <w:t xml:space="preserve">у систему јавних прихода који постаје децентрализован, јер су републике чланице и аутономне покрајине </w:t>
      </w:r>
      <w:r w:rsidR="0025671E">
        <w:rPr>
          <w:rFonts w:ascii="Times New Roman" w:hAnsi="Times New Roman"/>
          <w:sz w:val="24"/>
          <w:szCs w:val="24"/>
          <w:lang w:val="sr-Cyrl-CS"/>
        </w:rPr>
        <w:t>имал</w:t>
      </w:r>
      <w:r>
        <w:rPr>
          <w:rFonts w:ascii="Times New Roman" w:hAnsi="Times New Roman"/>
          <w:sz w:val="24"/>
          <w:szCs w:val="24"/>
          <w:lang w:val="sr-Cyrl-CS"/>
        </w:rPr>
        <w:t xml:space="preserve">е </w:t>
      </w:r>
      <w:r w:rsidR="004F3947">
        <w:rPr>
          <w:rFonts w:ascii="Times New Roman" w:hAnsi="Times New Roman"/>
          <w:sz w:val="24"/>
          <w:szCs w:val="24"/>
          <w:lang w:val="sr-Cyrl-CS"/>
        </w:rPr>
        <w:t>право</w:t>
      </w:r>
      <w:r w:rsidR="00A66944">
        <w:rPr>
          <w:rFonts w:ascii="Times New Roman" w:hAnsi="Times New Roman"/>
          <w:sz w:val="24"/>
          <w:szCs w:val="24"/>
          <w:lang w:val="sr-Cyrl-CS"/>
        </w:rPr>
        <w:t xml:space="preserve"> да уводе одређене порезе.</w:t>
      </w:r>
      <w:r>
        <w:rPr>
          <w:rFonts w:ascii="Times New Roman" w:hAnsi="Times New Roman"/>
          <w:sz w:val="24"/>
          <w:szCs w:val="24"/>
          <w:lang w:val="sr-Cyrl-CS"/>
        </w:rPr>
        <w:t xml:space="preserve"> </w:t>
      </w:r>
      <w:r w:rsidR="00A66944">
        <w:rPr>
          <w:rFonts w:ascii="Times New Roman" w:hAnsi="Times New Roman"/>
          <w:sz w:val="24"/>
          <w:szCs w:val="24"/>
          <w:lang w:val="sr-Cyrl-CS"/>
        </w:rPr>
        <w:t xml:space="preserve">У овом децентрализованом систему јавних прихода постојало је </w:t>
      </w:r>
      <w:r w:rsidR="00334969">
        <w:rPr>
          <w:rFonts w:ascii="Times New Roman" w:hAnsi="Times New Roman"/>
          <w:sz w:val="24"/>
          <w:szCs w:val="24"/>
          <w:lang w:val="sr-Cyrl-CS"/>
        </w:rPr>
        <w:t>девет пореских система</w:t>
      </w:r>
      <w:r w:rsidR="00A66944">
        <w:rPr>
          <w:rFonts w:ascii="Times New Roman" w:hAnsi="Times New Roman"/>
          <w:sz w:val="24"/>
          <w:szCs w:val="24"/>
          <w:lang w:val="sr-Cyrl-CS"/>
        </w:rPr>
        <w:t xml:space="preserve"> који је обухватао федерацију, шест република и две покрајине, а поред тога су и општине водиле своју фискалну политику.</w:t>
      </w:r>
      <w:r w:rsidR="00334969">
        <w:rPr>
          <w:rFonts w:ascii="Times New Roman" w:hAnsi="Times New Roman"/>
          <w:sz w:val="24"/>
          <w:szCs w:val="24"/>
          <w:lang w:val="sr-Cyrl-CS"/>
        </w:rPr>
        <w:t xml:space="preserve"> Фискални систем био је под снажним утицајем самоуправне економије.</w:t>
      </w:r>
      <w:r w:rsidR="00921086">
        <w:rPr>
          <w:rFonts w:ascii="Times New Roman" w:hAnsi="Times New Roman"/>
          <w:sz w:val="24"/>
          <w:szCs w:val="24"/>
          <w:lang w:val="sr-Cyrl-CS"/>
        </w:rPr>
        <w:t xml:space="preserve"> Федерација </w:t>
      </w:r>
      <w:r w:rsidR="006E02BD">
        <w:rPr>
          <w:rFonts w:ascii="Times New Roman" w:hAnsi="Times New Roman"/>
          <w:sz w:val="24"/>
          <w:szCs w:val="24"/>
          <w:lang w:val="sr-Cyrl-CS"/>
        </w:rPr>
        <w:t>у условима децентрализације није</w:t>
      </w:r>
      <w:r w:rsidR="00921086">
        <w:rPr>
          <w:rFonts w:ascii="Times New Roman" w:hAnsi="Times New Roman"/>
          <w:sz w:val="24"/>
          <w:szCs w:val="24"/>
          <w:lang w:val="sr-Cyrl-CS"/>
        </w:rPr>
        <w:t xml:space="preserve"> остваривала довољне приходе за финасирање </w:t>
      </w:r>
      <w:r w:rsidR="00921086">
        <w:rPr>
          <w:rFonts w:ascii="Times New Roman" w:hAnsi="Times New Roman"/>
          <w:sz w:val="24"/>
          <w:szCs w:val="24"/>
        </w:rPr>
        <w:t xml:space="preserve">својих </w:t>
      </w:r>
      <w:r w:rsidR="00921086">
        <w:rPr>
          <w:rFonts w:ascii="Times New Roman" w:hAnsi="Times New Roman"/>
          <w:sz w:val="24"/>
          <w:szCs w:val="24"/>
          <w:lang w:val="sr-Cyrl-CS"/>
        </w:rPr>
        <w:t>јавних расхода.</w:t>
      </w:r>
      <w:r w:rsidR="00254881">
        <w:rPr>
          <w:rFonts w:ascii="Times New Roman" w:hAnsi="Times New Roman"/>
          <w:sz w:val="24"/>
          <w:szCs w:val="24"/>
          <w:lang w:val="sr-Cyrl-CS"/>
        </w:rPr>
        <w:t xml:space="preserve"> </w:t>
      </w:r>
    </w:p>
    <w:p w:rsidR="004E62C4" w:rsidRDefault="004E62C4" w:rsidP="00AB33D8">
      <w:pPr>
        <w:pStyle w:val="ListParagraph"/>
        <w:ind w:left="0"/>
        <w:jc w:val="both"/>
        <w:rPr>
          <w:rFonts w:ascii="Times New Roman" w:hAnsi="Times New Roman"/>
          <w:sz w:val="24"/>
          <w:szCs w:val="24"/>
          <w:lang w:val="sr-Cyrl-CS"/>
        </w:rPr>
      </w:pPr>
    </w:p>
    <w:p w:rsidR="00D948C1" w:rsidRDefault="00414CB8" w:rsidP="00254881">
      <w:pPr>
        <w:pStyle w:val="ListParagraph"/>
        <w:ind w:left="0" w:firstLine="708"/>
        <w:jc w:val="both"/>
        <w:rPr>
          <w:rFonts w:ascii="Times New Roman" w:hAnsi="Times New Roman"/>
          <w:sz w:val="24"/>
          <w:szCs w:val="24"/>
          <w:lang w:val="sr-Cyrl-CS"/>
        </w:rPr>
      </w:pPr>
      <w:r>
        <w:rPr>
          <w:rFonts w:ascii="Times New Roman" w:hAnsi="Times New Roman"/>
          <w:sz w:val="24"/>
          <w:szCs w:val="24"/>
          <w:lang w:val="sr-Cyrl-CS"/>
        </w:rPr>
        <w:t xml:space="preserve">Наведено стање представљало је препреку за вођење јединствене економске и социјалне политике. </w:t>
      </w:r>
      <w:r w:rsidR="00A66944">
        <w:rPr>
          <w:rFonts w:ascii="Times New Roman" w:hAnsi="Times New Roman"/>
          <w:sz w:val="24"/>
          <w:szCs w:val="24"/>
          <w:lang w:val="sr-Cyrl-CS"/>
        </w:rPr>
        <w:t>Овакав ф</w:t>
      </w:r>
      <w:r w:rsidR="00AA03C9">
        <w:rPr>
          <w:rFonts w:ascii="Times New Roman" w:hAnsi="Times New Roman"/>
          <w:sz w:val="24"/>
          <w:szCs w:val="24"/>
          <w:lang w:val="sr-Cyrl-CS"/>
        </w:rPr>
        <w:t>искални систем</w:t>
      </w:r>
      <w:r w:rsidR="00A66944">
        <w:rPr>
          <w:rFonts w:ascii="Times New Roman" w:hAnsi="Times New Roman"/>
          <w:sz w:val="24"/>
          <w:szCs w:val="24"/>
          <w:lang w:val="sr-Cyrl-CS"/>
        </w:rPr>
        <w:t xml:space="preserve"> је био под утицајем самоуправне економије и </w:t>
      </w:r>
      <w:r w:rsidR="00AA03C9">
        <w:rPr>
          <w:rFonts w:ascii="Times New Roman" w:hAnsi="Times New Roman"/>
          <w:sz w:val="24"/>
          <w:szCs w:val="24"/>
          <w:lang w:val="sr-Cyrl-CS"/>
        </w:rPr>
        <w:t>није био сагласан са системом развијених тржишних привреда</w:t>
      </w:r>
      <w:r w:rsidR="00A66944">
        <w:rPr>
          <w:rFonts w:ascii="Times New Roman" w:hAnsi="Times New Roman"/>
          <w:sz w:val="24"/>
          <w:szCs w:val="24"/>
          <w:lang w:val="sr-Cyrl-CS"/>
        </w:rPr>
        <w:t>.</w:t>
      </w:r>
      <w:r w:rsidR="00AA03C9">
        <w:rPr>
          <w:rFonts w:ascii="Times New Roman" w:hAnsi="Times New Roman"/>
          <w:sz w:val="24"/>
          <w:szCs w:val="24"/>
          <w:lang w:val="sr-Cyrl-CS"/>
        </w:rPr>
        <w:t xml:space="preserve"> </w:t>
      </w:r>
      <w:r w:rsidR="00A66944">
        <w:rPr>
          <w:rFonts w:ascii="Times New Roman" w:hAnsi="Times New Roman"/>
          <w:sz w:val="24"/>
          <w:szCs w:val="24"/>
          <w:lang w:val="sr-Cyrl-CS"/>
        </w:rPr>
        <w:t>Наметала се потреба да се изгради</w:t>
      </w:r>
      <w:r w:rsidR="004E62C4">
        <w:rPr>
          <w:rFonts w:ascii="Times New Roman" w:hAnsi="Times New Roman"/>
          <w:sz w:val="24"/>
          <w:szCs w:val="24"/>
          <w:lang w:val="sr-Cyrl-CS"/>
        </w:rPr>
        <w:t xml:space="preserve"> потпуно нов порески систем</w:t>
      </w:r>
      <w:r w:rsidR="00A66944">
        <w:rPr>
          <w:rFonts w:ascii="Times New Roman" w:hAnsi="Times New Roman"/>
          <w:sz w:val="24"/>
          <w:szCs w:val="24"/>
          <w:lang w:val="sr-Cyrl-CS"/>
        </w:rPr>
        <w:t xml:space="preserve"> који не би представљао кочницу даљег развоја</w:t>
      </w:r>
      <w:r w:rsidR="004E62C4">
        <w:rPr>
          <w:rFonts w:ascii="Times New Roman" w:hAnsi="Times New Roman"/>
          <w:sz w:val="24"/>
          <w:szCs w:val="24"/>
          <w:lang w:val="sr-Cyrl-CS"/>
        </w:rPr>
        <w:t>. Крајем 1981. године скупштине република и покрајина закључиле су дог</w:t>
      </w:r>
      <w:r w:rsidR="0025671E">
        <w:rPr>
          <w:rFonts w:ascii="Times New Roman" w:hAnsi="Times New Roman"/>
          <w:sz w:val="24"/>
          <w:szCs w:val="24"/>
          <w:lang w:val="sr-Cyrl-CS"/>
        </w:rPr>
        <w:t xml:space="preserve">овор о основама система пореза којим су </w:t>
      </w:r>
      <w:r w:rsidR="006E02BD">
        <w:rPr>
          <w:rFonts w:ascii="Times New Roman" w:hAnsi="Times New Roman"/>
          <w:sz w:val="24"/>
          <w:szCs w:val="24"/>
          <w:lang w:val="sr-Cyrl-CS"/>
        </w:rPr>
        <w:t>се об</w:t>
      </w:r>
      <w:r w:rsidR="004E62C4">
        <w:rPr>
          <w:rFonts w:ascii="Times New Roman" w:hAnsi="Times New Roman"/>
          <w:sz w:val="24"/>
          <w:szCs w:val="24"/>
          <w:lang w:val="sr-Cyrl-CS"/>
        </w:rPr>
        <w:t xml:space="preserve">авезали да ће решења садржана у договору унети у прописе. </w:t>
      </w:r>
      <w:r w:rsidR="0025671E">
        <w:rPr>
          <w:rFonts w:ascii="Times New Roman" w:hAnsi="Times New Roman"/>
          <w:sz w:val="24"/>
          <w:szCs w:val="24"/>
          <w:lang w:val="sr-Cyrl-CS"/>
        </w:rPr>
        <w:t>О</w:t>
      </w:r>
      <w:r w:rsidR="004E62C4">
        <w:rPr>
          <w:rFonts w:ascii="Times New Roman" w:hAnsi="Times New Roman"/>
          <w:sz w:val="24"/>
          <w:szCs w:val="24"/>
          <w:lang w:val="sr-Cyrl-CS"/>
        </w:rPr>
        <w:t xml:space="preserve">сновни порез на промет и царина </w:t>
      </w:r>
      <w:r w:rsidR="0025671E">
        <w:rPr>
          <w:rFonts w:ascii="Times New Roman" w:hAnsi="Times New Roman"/>
          <w:sz w:val="24"/>
          <w:szCs w:val="24"/>
          <w:lang w:val="sr-Cyrl-CS"/>
        </w:rPr>
        <w:t xml:space="preserve">су </w:t>
      </w:r>
      <w:r w:rsidR="004E62C4">
        <w:rPr>
          <w:rFonts w:ascii="Times New Roman" w:hAnsi="Times New Roman"/>
          <w:sz w:val="24"/>
          <w:szCs w:val="24"/>
          <w:lang w:val="sr-Cyrl-CS"/>
        </w:rPr>
        <w:t xml:space="preserve">били регулисани савезним законом, а сви </w:t>
      </w:r>
      <w:r w:rsidR="0025671E">
        <w:rPr>
          <w:rFonts w:ascii="Times New Roman" w:hAnsi="Times New Roman"/>
          <w:sz w:val="24"/>
          <w:szCs w:val="24"/>
          <w:lang w:val="sr-Cyrl-CS"/>
        </w:rPr>
        <w:t>остали јавни приходи су били регулисни</w:t>
      </w:r>
      <w:r w:rsidR="004E62C4">
        <w:rPr>
          <w:rFonts w:ascii="Times New Roman" w:hAnsi="Times New Roman"/>
          <w:sz w:val="24"/>
          <w:szCs w:val="24"/>
          <w:lang w:val="sr-Cyrl-CS"/>
        </w:rPr>
        <w:t xml:space="preserve"> републичким и покрајинским прописима. Није постојала јединствена пореска администрација која би се бавила п</w:t>
      </w:r>
      <w:r w:rsidR="0025671E">
        <w:rPr>
          <w:rFonts w:ascii="Times New Roman" w:hAnsi="Times New Roman"/>
          <w:sz w:val="24"/>
          <w:szCs w:val="24"/>
          <w:lang w:val="sr-Cyrl-CS"/>
        </w:rPr>
        <w:t>ословима убирања јавних прихода па су се п</w:t>
      </w:r>
      <w:r w:rsidR="004E62C4">
        <w:rPr>
          <w:rFonts w:ascii="Times New Roman" w:hAnsi="Times New Roman"/>
          <w:sz w:val="24"/>
          <w:szCs w:val="24"/>
          <w:lang w:val="sr-Cyrl-CS"/>
        </w:rPr>
        <w:t>ословима утврђивања, наплате и к</w:t>
      </w:r>
      <w:r w:rsidR="0025671E">
        <w:rPr>
          <w:rFonts w:ascii="Times New Roman" w:hAnsi="Times New Roman"/>
          <w:sz w:val="24"/>
          <w:szCs w:val="24"/>
          <w:lang w:val="sr-Cyrl-CS"/>
        </w:rPr>
        <w:t>онтроле јавних прихода бавиле поред</w:t>
      </w:r>
      <w:r w:rsidR="004E62C4">
        <w:rPr>
          <w:rFonts w:ascii="Times New Roman" w:hAnsi="Times New Roman"/>
          <w:sz w:val="24"/>
          <w:szCs w:val="24"/>
          <w:lang w:val="sr-Cyrl-CS"/>
        </w:rPr>
        <w:t xml:space="preserve"> Служб</w:t>
      </w:r>
      <w:r w:rsidR="0025671E">
        <w:rPr>
          <w:rFonts w:ascii="Times New Roman" w:hAnsi="Times New Roman"/>
          <w:sz w:val="24"/>
          <w:szCs w:val="24"/>
          <w:lang w:val="sr-Cyrl-CS"/>
        </w:rPr>
        <w:t>е</w:t>
      </w:r>
      <w:r w:rsidR="004E62C4">
        <w:rPr>
          <w:rFonts w:ascii="Times New Roman" w:hAnsi="Times New Roman"/>
          <w:sz w:val="24"/>
          <w:szCs w:val="24"/>
          <w:lang w:val="sr-Cyrl-CS"/>
        </w:rPr>
        <w:t xml:space="preserve"> друштвеног књиговодства и републичка и општинске управе д</w:t>
      </w:r>
      <w:r w:rsidR="0025671E">
        <w:rPr>
          <w:rFonts w:ascii="Times New Roman" w:hAnsi="Times New Roman"/>
          <w:sz w:val="24"/>
          <w:szCs w:val="24"/>
          <w:lang w:val="sr-Cyrl-CS"/>
        </w:rPr>
        <w:t xml:space="preserve">руштвених прихода, а </w:t>
      </w:r>
      <w:r w:rsidR="000B57A3">
        <w:rPr>
          <w:rFonts w:ascii="Times New Roman" w:hAnsi="Times New Roman"/>
          <w:sz w:val="24"/>
          <w:szCs w:val="24"/>
          <w:lang w:val="sr-Cyrl-CS"/>
        </w:rPr>
        <w:t>одређене послове из о</w:t>
      </w:r>
      <w:r w:rsidR="004E62C4">
        <w:rPr>
          <w:rFonts w:ascii="Times New Roman" w:hAnsi="Times New Roman"/>
          <w:sz w:val="24"/>
          <w:szCs w:val="24"/>
          <w:lang w:val="sr-Cyrl-CS"/>
        </w:rPr>
        <w:t>ве области обављала су и предузећа и банке.</w:t>
      </w:r>
      <w:r w:rsidR="000B57A3">
        <w:rPr>
          <w:rFonts w:ascii="Times New Roman" w:hAnsi="Times New Roman"/>
          <w:sz w:val="24"/>
          <w:szCs w:val="24"/>
          <w:lang w:val="sr-Cyrl-CS"/>
        </w:rPr>
        <w:t xml:space="preserve"> </w:t>
      </w:r>
      <w:r w:rsidR="000B57A3">
        <w:rPr>
          <w:rStyle w:val="FootnoteReference"/>
          <w:rFonts w:ascii="Times New Roman" w:hAnsi="Times New Roman"/>
          <w:sz w:val="24"/>
          <w:szCs w:val="24"/>
          <w:lang w:val="sr-Cyrl-CS"/>
        </w:rPr>
        <w:footnoteReference w:id="172"/>
      </w:r>
      <w:r w:rsidR="00921086">
        <w:rPr>
          <w:rFonts w:ascii="Times New Roman" w:hAnsi="Times New Roman"/>
          <w:sz w:val="24"/>
          <w:szCs w:val="24"/>
          <w:lang w:val="sr-Cyrl-CS"/>
        </w:rPr>
        <w:t xml:space="preserve"> Постојали су организациони недостаци </w:t>
      </w:r>
      <w:r w:rsidR="00921086">
        <w:rPr>
          <w:rFonts w:ascii="Times New Roman" w:hAnsi="Times New Roman"/>
          <w:sz w:val="24"/>
          <w:szCs w:val="24"/>
          <w:lang w:val="sr-Cyrl-CS"/>
        </w:rPr>
        <w:lastRenderedPageBreak/>
        <w:t>пореске администрације.</w:t>
      </w:r>
      <w:r w:rsidR="00254881">
        <w:rPr>
          <w:rFonts w:ascii="Times New Roman" w:hAnsi="Times New Roman"/>
          <w:sz w:val="24"/>
          <w:szCs w:val="24"/>
          <w:lang w:val="sr-Cyrl-CS"/>
        </w:rPr>
        <w:t xml:space="preserve"> </w:t>
      </w:r>
      <w:r w:rsidR="00921086">
        <w:rPr>
          <w:rFonts w:ascii="Times New Roman" w:hAnsi="Times New Roman"/>
          <w:sz w:val="24"/>
          <w:szCs w:val="24"/>
          <w:lang w:val="sr-Cyrl-CS"/>
        </w:rPr>
        <w:t>Слабости фиска</w:t>
      </w:r>
      <w:r w:rsidR="00BA742B">
        <w:rPr>
          <w:rFonts w:ascii="Times New Roman" w:hAnsi="Times New Roman"/>
          <w:sz w:val="24"/>
          <w:szCs w:val="24"/>
          <w:lang w:val="sr-Cyrl-CS"/>
        </w:rPr>
        <w:t>лне</w:t>
      </w:r>
      <w:r w:rsidR="00D948C1">
        <w:rPr>
          <w:rFonts w:ascii="Times New Roman" w:hAnsi="Times New Roman"/>
          <w:sz w:val="24"/>
          <w:szCs w:val="24"/>
          <w:lang w:val="sr-Cyrl-CS"/>
        </w:rPr>
        <w:t xml:space="preserve"> структуре су се огледале </w:t>
      </w:r>
      <w:r w:rsidR="00254881">
        <w:rPr>
          <w:rFonts w:ascii="Times New Roman" w:hAnsi="Times New Roman"/>
          <w:sz w:val="24"/>
          <w:szCs w:val="24"/>
          <w:lang w:val="sr-Cyrl-CS"/>
        </w:rPr>
        <w:t>пре свега у децентрализацији.</w:t>
      </w:r>
    </w:p>
    <w:p w:rsidR="00921086" w:rsidRDefault="00921086" w:rsidP="004E62C4">
      <w:pPr>
        <w:pStyle w:val="ListParagraph"/>
        <w:ind w:left="0" w:firstLine="708"/>
        <w:jc w:val="both"/>
        <w:rPr>
          <w:rFonts w:ascii="Times New Roman" w:hAnsi="Times New Roman"/>
          <w:sz w:val="24"/>
          <w:szCs w:val="24"/>
          <w:lang w:val="sr-Cyrl-CS"/>
        </w:rPr>
      </w:pPr>
    </w:p>
    <w:p w:rsidR="000B57A3" w:rsidRDefault="00921086" w:rsidP="004E62C4">
      <w:pPr>
        <w:pStyle w:val="ListParagraph"/>
        <w:ind w:left="0" w:firstLine="708"/>
        <w:jc w:val="both"/>
        <w:rPr>
          <w:rFonts w:ascii="Times New Roman" w:hAnsi="Times New Roman"/>
          <w:sz w:val="24"/>
          <w:szCs w:val="24"/>
          <w:lang w:val="sr-Cyrl-CS"/>
        </w:rPr>
      </w:pPr>
      <w:r>
        <w:rPr>
          <w:rFonts w:ascii="Times New Roman" w:hAnsi="Times New Roman"/>
          <w:sz w:val="24"/>
          <w:szCs w:val="24"/>
          <w:lang w:val="sr-Cyrl-CS"/>
        </w:rPr>
        <w:t xml:space="preserve"> Србија није могла да функционише као модерна држава</w:t>
      </w:r>
      <w:r w:rsidR="00030666">
        <w:rPr>
          <w:rFonts w:ascii="Times New Roman" w:hAnsi="Times New Roman"/>
          <w:sz w:val="24"/>
          <w:szCs w:val="24"/>
          <w:lang w:val="sr-Cyrl-CS"/>
        </w:rPr>
        <w:t>,</w:t>
      </w:r>
      <w:r>
        <w:rPr>
          <w:rFonts w:ascii="Times New Roman" w:hAnsi="Times New Roman"/>
          <w:sz w:val="24"/>
          <w:szCs w:val="24"/>
          <w:lang w:val="sr-Cyrl-CS"/>
        </w:rPr>
        <w:t xml:space="preserve"> која се определила за </w:t>
      </w:r>
      <w:r w:rsidR="00030666">
        <w:rPr>
          <w:rFonts w:ascii="Times New Roman" w:hAnsi="Times New Roman"/>
          <w:sz w:val="24"/>
          <w:szCs w:val="24"/>
          <w:lang w:val="sr-Cyrl-CS"/>
        </w:rPr>
        <w:t>тржишну привред</w:t>
      </w:r>
      <w:r w:rsidR="00C807B2">
        <w:rPr>
          <w:rFonts w:ascii="Times New Roman" w:hAnsi="Times New Roman"/>
          <w:sz w:val="24"/>
          <w:szCs w:val="24"/>
          <w:lang w:val="sr-Cyrl-CS"/>
        </w:rPr>
        <w:t>у</w:t>
      </w:r>
      <w:r w:rsidR="00030666">
        <w:rPr>
          <w:rFonts w:ascii="Times New Roman" w:hAnsi="Times New Roman"/>
          <w:sz w:val="24"/>
          <w:szCs w:val="24"/>
          <w:lang w:val="sr-Cyrl-CS"/>
        </w:rPr>
        <w:t>,</w:t>
      </w:r>
      <w:r>
        <w:rPr>
          <w:rFonts w:ascii="Times New Roman" w:hAnsi="Times New Roman"/>
          <w:sz w:val="24"/>
          <w:szCs w:val="24"/>
          <w:lang w:val="sr-Cyrl-CS"/>
        </w:rPr>
        <w:t xml:space="preserve"> са </w:t>
      </w:r>
      <w:r w:rsidR="00030666">
        <w:rPr>
          <w:rFonts w:ascii="Times New Roman" w:hAnsi="Times New Roman"/>
          <w:sz w:val="24"/>
          <w:szCs w:val="24"/>
          <w:lang w:val="sr-Cyrl-CS"/>
        </w:rPr>
        <w:t>наслеђеним фискалним</w:t>
      </w:r>
      <w:r>
        <w:rPr>
          <w:rFonts w:ascii="Times New Roman" w:hAnsi="Times New Roman"/>
          <w:sz w:val="24"/>
          <w:szCs w:val="24"/>
          <w:lang w:val="sr-Cyrl-CS"/>
        </w:rPr>
        <w:t xml:space="preserve"> системом</w:t>
      </w:r>
      <w:r w:rsidR="00030666">
        <w:rPr>
          <w:rFonts w:ascii="Times New Roman" w:hAnsi="Times New Roman"/>
          <w:sz w:val="24"/>
          <w:szCs w:val="24"/>
          <w:lang w:val="sr-Cyrl-CS"/>
        </w:rPr>
        <w:t xml:space="preserve"> из </w:t>
      </w:r>
      <w:r>
        <w:rPr>
          <w:rFonts w:ascii="Times New Roman" w:hAnsi="Times New Roman"/>
          <w:sz w:val="24"/>
          <w:szCs w:val="24"/>
          <w:lang w:val="sr-Cyrl-CS"/>
        </w:rPr>
        <w:t xml:space="preserve"> </w:t>
      </w:r>
      <w:r w:rsidR="00030666">
        <w:rPr>
          <w:rFonts w:ascii="Times New Roman" w:hAnsi="Times New Roman"/>
          <w:sz w:val="24"/>
          <w:szCs w:val="24"/>
          <w:lang w:val="sr-Cyrl-CS"/>
        </w:rPr>
        <w:t>периода договорне економије. Ф</w:t>
      </w:r>
      <w:r>
        <w:rPr>
          <w:rFonts w:ascii="Times New Roman" w:hAnsi="Times New Roman"/>
          <w:sz w:val="24"/>
          <w:szCs w:val="24"/>
          <w:lang w:val="sr-Cyrl-CS"/>
        </w:rPr>
        <w:t>искални систем је имао</w:t>
      </w:r>
      <w:r w:rsidR="000B57A3">
        <w:rPr>
          <w:rFonts w:ascii="Times New Roman" w:hAnsi="Times New Roman"/>
          <w:sz w:val="24"/>
          <w:szCs w:val="24"/>
          <w:lang w:val="sr-Cyrl-CS"/>
        </w:rPr>
        <w:t xml:space="preserve"> бројне недостатке. Све је то погодовало избегавању плаћања пореза.</w:t>
      </w:r>
    </w:p>
    <w:p w:rsidR="00C807B2" w:rsidRDefault="00C807B2" w:rsidP="004E62C4">
      <w:pPr>
        <w:pStyle w:val="ListParagraph"/>
        <w:ind w:left="0" w:firstLine="708"/>
        <w:jc w:val="both"/>
        <w:rPr>
          <w:rFonts w:ascii="Times New Roman" w:hAnsi="Times New Roman"/>
          <w:sz w:val="24"/>
          <w:szCs w:val="24"/>
          <w:lang w:val="sr-Cyrl-CS"/>
        </w:rPr>
      </w:pPr>
    </w:p>
    <w:p w:rsidR="00030666" w:rsidRDefault="00FA7B9B" w:rsidP="004E62C4">
      <w:pPr>
        <w:pStyle w:val="ListParagraph"/>
        <w:ind w:left="0" w:firstLine="708"/>
        <w:jc w:val="both"/>
        <w:rPr>
          <w:rFonts w:ascii="Times New Roman" w:hAnsi="Times New Roman"/>
          <w:sz w:val="24"/>
          <w:szCs w:val="24"/>
          <w:lang w:val="sr-Cyrl-CS"/>
        </w:rPr>
      </w:pPr>
      <w:r>
        <w:rPr>
          <w:rFonts w:ascii="Times New Roman" w:hAnsi="Times New Roman"/>
          <w:sz w:val="24"/>
          <w:szCs w:val="24"/>
          <w:lang w:val="sr-Cyrl-CS"/>
        </w:rPr>
        <w:t>Концепцију реформе југословенског фискалног система и политике определили су значај фискалног система као</w:t>
      </w:r>
      <w:r w:rsidR="00030666">
        <w:rPr>
          <w:rFonts w:ascii="Times New Roman" w:hAnsi="Times New Roman"/>
          <w:sz w:val="24"/>
          <w:szCs w:val="24"/>
          <w:lang w:val="sr-Cyrl-CS"/>
        </w:rPr>
        <w:t xml:space="preserve"> и трендови у свременој фискалној теорији и пракси</w:t>
      </w:r>
      <w:r>
        <w:rPr>
          <w:rFonts w:ascii="Times New Roman" w:hAnsi="Times New Roman"/>
          <w:sz w:val="24"/>
          <w:szCs w:val="24"/>
          <w:lang w:val="sr-Cyrl-CS"/>
        </w:rPr>
        <w:t>.</w:t>
      </w:r>
      <w:r w:rsidR="00030666">
        <w:rPr>
          <w:rFonts w:ascii="Times New Roman" w:hAnsi="Times New Roman"/>
          <w:sz w:val="24"/>
          <w:szCs w:val="24"/>
          <w:lang w:val="sr-Cyrl-CS"/>
        </w:rPr>
        <w:t xml:space="preserve"> </w:t>
      </w:r>
      <w:r>
        <w:rPr>
          <w:rFonts w:ascii="Times New Roman" w:hAnsi="Times New Roman"/>
          <w:sz w:val="24"/>
          <w:szCs w:val="24"/>
          <w:lang w:val="sr-Cyrl-CS"/>
        </w:rPr>
        <w:t>Ова концепција полази од следећих принципа</w:t>
      </w:r>
      <w:r w:rsidR="00030666">
        <w:rPr>
          <w:rFonts w:ascii="Times New Roman" w:hAnsi="Times New Roman"/>
          <w:sz w:val="24"/>
          <w:szCs w:val="24"/>
          <w:lang w:val="sr-Cyrl-CS"/>
        </w:rPr>
        <w:t>:</w:t>
      </w:r>
    </w:p>
    <w:p w:rsidR="00030666" w:rsidRDefault="00030666" w:rsidP="004E62C4">
      <w:pPr>
        <w:pStyle w:val="ListParagraph"/>
        <w:ind w:left="0" w:firstLine="708"/>
        <w:jc w:val="both"/>
        <w:rPr>
          <w:rFonts w:ascii="Times New Roman" w:hAnsi="Times New Roman"/>
          <w:sz w:val="24"/>
          <w:szCs w:val="24"/>
          <w:lang w:val="sr-Cyrl-CS"/>
        </w:rPr>
      </w:pPr>
    </w:p>
    <w:p w:rsidR="00030666" w:rsidRDefault="00FA7B9B" w:rsidP="00030666">
      <w:pPr>
        <w:pStyle w:val="ListParagraph"/>
        <w:ind w:left="0"/>
        <w:jc w:val="both"/>
        <w:rPr>
          <w:rFonts w:ascii="Times New Roman" w:hAnsi="Times New Roman"/>
          <w:sz w:val="24"/>
          <w:szCs w:val="24"/>
          <w:lang w:val="sr-Cyrl-CS"/>
        </w:rPr>
      </w:pPr>
      <w:r>
        <w:rPr>
          <w:rFonts w:ascii="Times New Roman" w:hAnsi="Times New Roman"/>
          <w:sz w:val="24"/>
          <w:szCs w:val="24"/>
          <w:lang w:val="sr-Cyrl-CS"/>
        </w:rPr>
        <w:t>-што већа</w:t>
      </w:r>
      <w:r w:rsidR="00030666">
        <w:rPr>
          <w:rFonts w:ascii="Times New Roman" w:hAnsi="Times New Roman"/>
          <w:sz w:val="24"/>
          <w:szCs w:val="24"/>
          <w:lang w:val="sr-Cyrl-CS"/>
        </w:rPr>
        <w:t xml:space="preserve"> компатибилности домицилног реформисаног фискалног система са фискалним систем</w:t>
      </w:r>
      <w:r>
        <w:rPr>
          <w:rFonts w:ascii="Times New Roman" w:hAnsi="Times New Roman"/>
          <w:sz w:val="24"/>
          <w:szCs w:val="24"/>
          <w:lang w:val="sr-Cyrl-CS"/>
        </w:rPr>
        <w:t>ом развијених тржишних привреда,</w:t>
      </w:r>
    </w:p>
    <w:p w:rsidR="00C807B2" w:rsidRDefault="00C807B2" w:rsidP="00030666">
      <w:pPr>
        <w:pStyle w:val="ListParagraph"/>
        <w:ind w:left="0"/>
        <w:jc w:val="both"/>
        <w:rPr>
          <w:rFonts w:ascii="Times New Roman" w:hAnsi="Times New Roman"/>
          <w:sz w:val="24"/>
          <w:szCs w:val="24"/>
          <w:lang w:val="sr-Cyrl-CS"/>
        </w:rPr>
      </w:pPr>
    </w:p>
    <w:p w:rsidR="00030666" w:rsidRDefault="00030666" w:rsidP="00030666">
      <w:pPr>
        <w:pStyle w:val="ListParagraph"/>
        <w:ind w:left="0"/>
        <w:jc w:val="both"/>
        <w:rPr>
          <w:rFonts w:ascii="Times New Roman" w:hAnsi="Times New Roman"/>
          <w:sz w:val="24"/>
          <w:szCs w:val="24"/>
          <w:lang w:val="sr-Cyrl-CS"/>
        </w:rPr>
      </w:pPr>
      <w:r>
        <w:rPr>
          <w:rFonts w:ascii="Times New Roman" w:hAnsi="Times New Roman"/>
          <w:sz w:val="24"/>
          <w:szCs w:val="24"/>
          <w:lang w:val="sr-Cyrl-CS"/>
        </w:rPr>
        <w:t>-</w:t>
      </w:r>
      <w:r w:rsidR="00FA7B9B">
        <w:rPr>
          <w:rFonts w:ascii="Times New Roman" w:hAnsi="Times New Roman"/>
          <w:sz w:val="24"/>
          <w:szCs w:val="24"/>
          <w:lang w:val="sr-Cyrl-CS"/>
        </w:rPr>
        <w:t>постојање заједничких карактеристика у погледу најзначајнијих пореских облика и начела на којима су различити системи базирани и поред разлика</w:t>
      </w:r>
      <w:r>
        <w:rPr>
          <w:rFonts w:ascii="Times New Roman" w:hAnsi="Times New Roman"/>
          <w:sz w:val="24"/>
          <w:szCs w:val="24"/>
          <w:lang w:val="sr-Cyrl-CS"/>
        </w:rPr>
        <w:t xml:space="preserve"> </w:t>
      </w:r>
      <w:r w:rsidR="00FA7B9B">
        <w:rPr>
          <w:rFonts w:ascii="Times New Roman" w:hAnsi="Times New Roman"/>
          <w:sz w:val="24"/>
          <w:szCs w:val="24"/>
          <w:lang w:val="sr-Cyrl-CS"/>
        </w:rPr>
        <w:t>у погледу</w:t>
      </w:r>
      <w:r>
        <w:rPr>
          <w:rFonts w:ascii="Times New Roman" w:hAnsi="Times New Roman"/>
          <w:sz w:val="24"/>
          <w:szCs w:val="24"/>
          <w:lang w:val="sr-Cyrl-CS"/>
        </w:rPr>
        <w:t xml:space="preserve"> степена развијености, привредне структуре, традиције и низ</w:t>
      </w:r>
      <w:r w:rsidR="00FA7B9B">
        <w:rPr>
          <w:rFonts w:ascii="Times New Roman" w:hAnsi="Times New Roman"/>
          <w:sz w:val="24"/>
          <w:szCs w:val="24"/>
          <w:lang w:val="sr-Cyrl-CS"/>
        </w:rPr>
        <w:t xml:space="preserve">а других фактора, </w:t>
      </w:r>
    </w:p>
    <w:p w:rsidR="00C807B2" w:rsidRDefault="00C807B2" w:rsidP="00030666">
      <w:pPr>
        <w:pStyle w:val="ListParagraph"/>
        <w:ind w:left="0"/>
        <w:jc w:val="both"/>
        <w:rPr>
          <w:rFonts w:ascii="Times New Roman" w:hAnsi="Times New Roman"/>
          <w:sz w:val="24"/>
          <w:szCs w:val="24"/>
          <w:lang w:val="sr-Cyrl-CS"/>
        </w:rPr>
      </w:pPr>
    </w:p>
    <w:p w:rsidR="00030666" w:rsidRDefault="00FA7B9B" w:rsidP="00030666">
      <w:pPr>
        <w:pStyle w:val="ListParagraph"/>
        <w:ind w:left="0"/>
        <w:jc w:val="both"/>
        <w:rPr>
          <w:rFonts w:ascii="Times New Roman" w:hAnsi="Times New Roman"/>
          <w:sz w:val="24"/>
          <w:szCs w:val="24"/>
          <w:lang w:val="sr-Cyrl-CS"/>
        </w:rPr>
      </w:pPr>
      <w:r>
        <w:rPr>
          <w:rFonts w:ascii="Times New Roman" w:hAnsi="Times New Roman"/>
          <w:sz w:val="24"/>
          <w:szCs w:val="24"/>
          <w:lang w:val="sr-Cyrl-CS"/>
        </w:rPr>
        <w:t>-уважавање</w:t>
      </w:r>
      <w:r w:rsidR="00030666">
        <w:rPr>
          <w:rFonts w:ascii="Times New Roman" w:hAnsi="Times New Roman"/>
          <w:sz w:val="24"/>
          <w:szCs w:val="24"/>
          <w:lang w:val="sr-Cyrl-CS"/>
        </w:rPr>
        <w:t xml:space="preserve"> плурали</w:t>
      </w:r>
      <w:r>
        <w:rPr>
          <w:rFonts w:ascii="Times New Roman" w:hAnsi="Times New Roman"/>
          <w:sz w:val="24"/>
          <w:szCs w:val="24"/>
          <w:lang w:val="sr-Cyrl-CS"/>
        </w:rPr>
        <w:t>зма својинских облика и једнак третман</w:t>
      </w:r>
      <w:r w:rsidR="00030666">
        <w:rPr>
          <w:rFonts w:ascii="Times New Roman" w:hAnsi="Times New Roman"/>
          <w:sz w:val="24"/>
          <w:szCs w:val="24"/>
          <w:lang w:val="sr-Cyrl-CS"/>
        </w:rPr>
        <w:t xml:space="preserve"> свих привредн</w:t>
      </w:r>
      <w:r>
        <w:rPr>
          <w:rFonts w:ascii="Times New Roman" w:hAnsi="Times New Roman"/>
          <w:sz w:val="24"/>
          <w:szCs w:val="24"/>
          <w:lang w:val="sr-Cyrl-CS"/>
        </w:rPr>
        <w:t>их, односно фискалних субјеката,</w:t>
      </w:r>
    </w:p>
    <w:p w:rsidR="00C807B2" w:rsidRDefault="00C807B2" w:rsidP="00030666">
      <w:pPr>
        <w:pStyle w:val="ListParagraph"/>
        <w:ind w:left="0"/>
        <w:jc w:val="both"/>
        <w:rPr>
          <w:rFonts w:ascii="Times New Roman" w:hAnsi="Times New Roman"/>
          <w:sz w:val="24"/>
          <w:szCs w:val="24"/>
          <w:lang w:val="sr-Cyrl-CS"/>
        </w:rPr>
      </w:pPr>
    </w:p>
    <w:p w:rsidR="00030666" w:rsidRDefault="00030666" w:rsidP="00030666">
      <w:pPr>
        <w:pStyle w:val="ListParagraph"/>
        <w:ind w:left="0"/>
        <w:jc w:val="both"/>
        <w:rPr>
          <w:rFonts w:ascii="Times New Roman" w:hAnsi="Times New Roman"/>
          <w:sz w:val="24"/>
          <w:szCs w:val="24"/>
          <w:lang w:val="sr-Cyrl-CS"/>
        </w:rPr>
      </w:pPr>
      <w:r>
        <w:rPr>
          <w:rFonts w:ascii="Times New Roman" w:hAnsi="Times New Roman"/>
          <w:sz w:val="24"/>
          <w:szCs w:val="24"/>
          <w:lang w:val="sr-Cyrl-CS"/>
        </w:rPr>
        <w:t>-</w:t>
      </w:r>
      <w:r w:rsidR="00FA7B9B">
        <w:rPr>
          <w:rFonts w:ascii="Times New Roman" w:hAnsi="Times New Roman"/>
          <w:sz w:val="24"/>
          <w:szCs w:val="24"/>
          <w:lang w:val="sr-Cyrl-CS"/>
        </w:rPr>
        <w:t>оптимално димензионирање</w:t>
      </w:r>
      <w:r w:rsidR="006122FF">
        <w:rPr>
          <w:rFonts w:ascii="Times New Roman" w:hAnsi="Times New Roman"/>
          <w:sz w:val="24"/>
          <w:szCs w:val="24"/>
          <w:lang w:val="sr-Cyrl-CS"/>
        </w:rPr>
        <w:t xml:space="preserve"> укупне ја</w:t>
      </w:r>
      <w:r w:rsidR="00FA7B9B">
        <w:rPr>
          <w:rFonts w:ascii="Times New Roman" w:hAnsi="Times New Roman"/>
          <w:sz w:val="24"/>
          <w:szCs w:val="24"/>
          <w:lang w:val="sr-Cyrl-CS"/>
        </w:rPr>
        <w:t>вне потрошње и фискалне пресије,</w:t>
      </w:r>
    </w:p>
    <w:p w:rsidR="00C807B2" w:rsidRDefault="00C807B2" w:rsidP="00030666">
      <w:pPr>
        <w:pStyle w:val="ListParagraph"/>
        <w:ind w:left="0"/>
        <w:jc w:val="both"/>
        <w:rPr>
          <w:rFonts w:ascii="Times New Roman" w:hAnsi="Times New Roman"/>
          <w:sz w:val="24"/>
          <w:szCs w:val="24"/>
          <w:lang w:val="sr-Cyrl-CS"/>
        </w:rPr>
      </w:pPr>
    </w:p>
    <w:p w:rsidR="006122FF" w:rsidRDefault="00FA7B9B" w:rsidP="00030666">
      <w:pPr>
        <w:pStyle w:val="ListParagraph"/>
        <w:ind w:left="0"/>
        <w:jc w:val="both"/>
        <w:rPr>
          <w:rFonts w:ascii="Times New Roman" w:hAnsi="Times New Roman"/>
          <w:sz w:val="24"/>
          <w:szCs w:val="24"/>
          <w:lang w:val="sr-Cyrl-CS"/>
        </w:rPr>
      </w:pPr>
      <w:r>
        <w:rPr>
          <w:rFonts w:ascii="Times New Roman" w:hAnsi="Times New Roman"/>
          <w:sz w:val="24"/>
          <w:szCs w:val="24"/>
          <w:lang w:val="sr-Cyrl-CS"/>
        </w:rPr>
        <w:t>-максимално стимулисање</w:t>
      </w:r>
      <w:r w:rsidR="006122FF">
        <w:rPr>
          <w:rFonts w:ascii="Times New Roman" w:hAnsi="Times New Roman"/>
          <w:sz w:val="24"/>
          <w:szCs w:val="24"/>
          <w:lang w:val="sr-Cyrl-CS"/>
        </w:rPr>
        <w:t xml:space="preserve"> штедње, акумулац</w:t>
      </w:r>
      <w:r>
        <w:rPr>
          <w:rFonts w:ascii="Times New Roman" w:hAnsi="Times New Roman"/>
          <w:sz w:val="24"/>
          <w:szCs w:val="24"/>
          <w:lang w:val="sr-Cyrl-CS"/>
        </w:rPr>
        <w:t>ије, инвестиција и запослености,</w:t>
      </w:r>
    </w:p>
    <w:p w:rsidR="00C807B2" w:rsidRDefault="00C807B2" w:rsidP="00030666">
      <w:pPr>
        <w:pStyle w:val="ListParagraph"/>
        <w:ind w:left="0"/>
        <w:jc w:val="both"/>
        <w:rPr>
          <w:rFonts w:ascii="Times New Roman" w:hAnsi="Times New Roman"/>
          <w:sz w:val="24"/>
          <w:szCs w:val="24"/>
          <w:lang w:val="sr-Cyrl-CS"/>
        </w:rPr>
      </w:pPr>
    </w:p>
    <w:p w:rsidR="006122FF" w:rsidRDefault="00FA7B9B" w:rsidP="00030666">
      <w:pPr>
        <w:pStyle w:val="ListParagraph"/>
        <w:ind w:left="0"/>
        <w:jc w:val="both"/>
        <w:rPr>
          <w:rFonts w:ascii="Times New Roman" w:hAnsi="Times New Roman"/>
          <w:sz w:val="24"/>
          <w:szCs w:val="24"/>
          <w:lang w:val="sr-Cyrl-CS"/>
        </w:rPr>
      </w:pPr>
      <w:r>
        <w:rPr>
          <w:rFonts w:ascii="Times New Roman" w:hAnsi="Times New Roman"/>
          <w:sz w:val="24"/>
          <w:szCs w:val="24"/>
          <w:lang w:val="sr-Cyrl-CS"/>
        </w:rPr>
        <w:t>-подстицање</w:t>
      </w:r>
      <w:r w:rsidR="006122FF">
        <w:rPr>
          <w:rFonts w:ascii="Times New Roman" w:hAnsi="Times New Roman"/>
          <w:sz w:val="24"/>
          <w:szCs w:val="24"/>
          <w:lang w:val="sr-Cyrl-CS"/>
        </w:rPr>
        <w:t xml:space="preserve"> структурног прилагођавања и технолошког мо</w:t>
      </w:r>
      <w:r>
        <w:rPr>
          <w:rFonts w:ascii="Times New Roman" w:hAnsi="Times New Roman"/>
          <w:sz w:val="24"/>
          <w:szCs w:val="24"/>
          <w:lang w:val="sr-Cyrl-CS"/>
        </w:rPr>
        <w:t>дернизовања привреде,</w:t>
      </w:r>
    </w:p>
    <w:p w:rsidR="00C807B2" w:rsidRDefault="00C807B2" w:rsidP="00030666">
      <w:pPr>
        <w:pStyle w:val="ListParagraph"/>
        <w:ind w:left="0"/>
        <w:jc w:val="both"/>
        <w:rPr>
          <w:rFonts w:ascii="Times New Roman" w:hAnsi="Times New Roman"/>
          <w:sz w:val="24"/>
          <w:szCs w:val="24"/>
          <w:lang w:val="sr-Cyrl-CS"/>
        </w:rPr>
      </w:pPr>
    </w:p>
    <w:p w:rsidR="006122FF" w:rsidRDefault="00FA7B9B" w:rsidP="00030666">
      <w:pPr>
        <w:pStyle w:val="ListParagraph"/>
        <w:ind w:left="0"/>
        <w:jc w:val="both"/>
        <w:rPr>
          <w:rFonts w:ascii="Times New Roman" w:hAnsi="Times New Roman"/>
          <w:sz w:val="24"/>
          <w:szCs w:val="24"/>
          <w:lang w:val="sr-Cyrl-CS"/>
        </w:rPr>
      </w:pPr>
      <w:r>
        <w:rPr>
          <w:rFonts w:ascii="Times New Roman" w:hAnsi="Times New Roman"/>
          <w:sz w:val="24"/>
          <w:szCs w:val="24"/>
          <w:lang w:val="sr-Cyrl-CS"/>
        </w:rPr>
        <w:t>-стимулисање</w:t>
      </w:r>
      <w:r w:rsidR="006122FF">
        <w:rPr>
          <w:rFonts w:ascii="Times New Roman" w:hAnsi="Times New Roman"/>
          <w:sz w:val="24"/>
          <w:szCs w:val="24"/>
          <w:lang w:val="sr-Cyrl-CS"/>
        </w:rPr>
        <w:t xml:space="preserve"> развоја мале привреде.</w:t>
      </w:r>
      <w:r w:rsidR="006122FF">
        <w:rPr>
          <w:rStyle w:val="FootnoteReference"/>
          <w:rFonts w:ascii="Times New Roman" w:hAnsi="Times New Roman"/>
          <w:sz w:val="24"/>
          <w:szCs w:val="24"/>
          <w:lang w:val="sr-Cyrl-CS"/>
        </w:rPr>
        <w:footnoteReference w:id="173"/>
      </w:r>
    </w:p>
    <w:p w:rsidR="000B57A3" w:rsidRDefault="000B57A3" w:rsidP="004E62C4">
      <w:pPr>
        <w:pStyle w:val="ListParagraph"/>
        <w:ind w:left="0" w:firstLine="708"/>
        <w:jc w:val="both"/>
        <w:rPr>
          <w:rFonts w:ascii="Times New Roman" w:hAnsi="Times New Roman"/>
          <w:sz w:val="24"/>
          <w:szCs w:val="24"/>
          <w:lang w:val="sr-Cyrl-CS"/>
        </w:rPr>
      </w:pPr>
    </w:p>
    <w:p w:rsidR="00BC4F8D" w:rsidRDefault="00BC4F8D" w:rsidP="00BC4F8D">
      <w:pPr>
        <w:pStyle w:val="ListParagraph"/>
        <w:jc w:val="both"/>
        <w:rPr>
          <w:rFonts w:ascii="Times New Roman" w:hAnsi="Times New Roman"/>
          <w:sz w:val="24"/>
          <w:szCs w:val="24"/>
          <w:lang w:val="sr-Cyrl-CS"/>
        </w:rPr>
      </w:pPr>
    </w:p>
    <w:p w:rsidR="00205AD1" w:rsidRDefault="00BC4F8D" w:rsidP="008A3795">
      <w:pPr>
        <w:pStyle w:val="ListParagraph"/>
        <w:numPr>
          <w:ilvl w:val="0"/>
          <w:numId w:val="9"/>
        </w:numPr>
        <w:jc w:val="both"/>
        <w:rPr>
          <w:rFonts w:ascii="Times New Roman" w:hAnsi="Times New Roman"/>
          <w:sz w:val="24"/>
          <w:szCs w:val="24"/>
          <w:lang w:val="sr-Cyrl-CS"/>
        </w:rPr>
      </w:pPr>
      <w:r w:rsidRPr="00BC4F8D">
        <w:rPr>
          <w:rFonts w:ascii="Times New Roman" w:hAnsi="Times New Roman"/>
          <w:sz w:val="24"/>
          <w:szCs w:val="24"/>
          <w:lang w:val="sr-Cyrl-CS"/>
        </w:rPr>
        <w:t xml:space="preserve"> </w:t>
      </w:r>
      <w:r w:rsidR="00205AD1">
        <w:rPr>
          <w:rFonts w:ascii="Times New Roman" w:hAnsi="Times New Roman"/>
          <w:sz w:val="24"/>
          <w:szCs w:val="24"/>
          <w:lang w:val="sr-Cyrl-CS"/>
        </w:rPr>
        <w:t xml:space="preserve">Период од </w:t>
      </w:r>
      <w:r w:rsidRPr="00BC4F8D">
        <w:rPr>
          <w:rFonts w:ascii="Times New Roman" w:hAnsi="Times New Roman"/>
          <w:sz w:val="24"/>
          <w:szCs w:val="24"/>
          <w:lang w:val="sr-Cyrl-CS"/>
        </w:rPr>
        <w:t xml:space="preserve"> </w:t>
      </w:r>
      <w:r w:rsidR="00C93ECC">
        <w:rPr>
          <w:rFonts w:ascii="Times New Roman" w:hAnsi="Times New Roman"/>
          <w:sz w:val="24"/>
          <w:szCs w:val="24"/>
          <w:lang w:val="sr-Cyrl-CS"/>
        </w:rPr>
        <w:t>1992. до</w:t>
      </w:r>
      <w:r w:rsidRPr="00205AD1">
        <w:rPr>
          <w:rFonts w:ascii="Times New Roman" w:hAnsi="Times New Roman"/>
          <w:sz w:val="24"/>
          <w:szCs w:val="24"/>
          <w:lang w:val="sr-Cyrl-CS"/>
        </w:rPr>
        <w:t xml:space="preserve"> 2000</w:t>
      </w:r>
      <w:r w:rsidRPr="00BC4F8D">
        <w:rPr>
          <w:rFonts w:ascii="Times New Roman" w:hAnsi="Times New Roman"/>
          <w:sz w:val="24"/>
          <w:szCs w:val="24"/>
          <w:lang w:val="sr-Cyrl-CS"/>
        </w:rPr>
        <w:t>.</w:t>
      </w:r>
      <w:r w:rsidR="00205AD1">
        <w:rPr>
          <w:rFonts w:ascii="Times New Roman" w:hAnsi="Times New Roman"/>
          <w:sz w:val="24"/>
          <w:szCs w:val="24"/>
          <w:lang w:val="sr-Cyrl-CS"/>
        </w:rPr>
        <w:t xml:space="preserve"> </w:t>
      </w:r>
      <w:r w:rsidR="00C93ECC">
        <w:rPr>
          <w:rFonts w:ascii="Times New Roman" w:hAnsi="Times New Roman"/>
          <w:sz w:val="24"/>
          <w:szCs w:val="24"/>
          <w:lang w:val="sr-Cyrl-CS"/>
        </w:rPr>
        <w:t>г</w:t>
      </w:r>
      <w:r w:rsidR="00205AD1">
        <w:rPr>
          <w:rFonts w:ascii="Times New Roman" w:hAnsi="Times New Roman"/>
          <w:sz w:val="24"/>
          <w:szCs w:val="24"/>
          <w:lang w:val="sr-Cyrl-CS"/>
        </w:rPr>
        <w:t>одине</w:t>
      </w:r>
    </w:p>
    <w:p w:rsidR="00C93ECC" w:rsidRDefault="00C93ECC" w:rsidP="00C93ECC">
      <w:pPr>
        <w:pStyle w:val="ListParagraph"/>
        <w:ind w:left="1080"/>
        <w:jc w:val="both"/>
        <w:rPr>
          <w:rFonts w:ascii="Times New Roman" w:hAnsi="Times New Roman"/>
          <w:sz w:val="24"/>
          <w:szCs w:val="24"/>
          <w:lang w:val="sr-Cyrl-CS"/>
        </w:rPr>
      </w:pPr>
    </w:p>
    <w:p w:rsidR="00205AD1" w:rsidRDefault="00205AD1" w:rsidP="00205AD1">
      <w:pPr>
        <w:pStyle w:val="ListParagraph"/>
        <w:ind w:left="1080"/>
        <w:jc w:val="both"/>
        <w:rPr>
          <w:rFonts w:ascii="Times New Roman" w:hAnsi="Times New Roman"/>
          <w:sz w:val="24"/>
          <w:szCs w:val="24"/>
          <w:lang w:val="sr-Cyrl-CS"/>
        </w:rPr>
      </w:pPr>
    </w:p>
    <w:p w:rsidR="008D42CF" w:rsidRDefault="008D3E50" w:rsidP="008D42CF">
      <w:pPr>
        <w:pStyle w:val="ListParagraph"/>
        <w:ind w:left="0" w:firstLine="708"/>
        <w:jc w:val="both"/>
        <w:rPr>
          <w:rFonts w:ascii="Times New Roman" w:hAnsi="Times New Roman"/>
          <w:sz w:val="24"/>
          <w:szCs w:val="24"/>
        </w:rPr>
      </w:pPr>
      <w:r>
        <w:rPr>
          <w:rFonts w:ascii="Times New Roman" w:hAnsi="Times New Roman"/>
          <w:sz w:val="24"/>
          <w:szCs w:val="24"/>
          <w:lang w:val="sr-Cyrl-CS"/>
        </w:rPr>
        <w:t>Почетком деведесетих долази до распада СФРЈ и формирања 1992. године СР Југославије која се тада као федерална држава састојала</w:t>
      </w:r>
      <w:r w:rsidRPr="00BC4F8D">
        <w:rPr>
          <w:rFonts w:ascii="Times New Roman" w:hAnsi="Times New Roman"/>
          <w:sz w:val="24"/>
          <w:szCs w:val="24"/>
          <w:lang w:val="sr-Cyrl-CS"/>
        </w:rPr>
        <w:t xml:space="preserve"> </w:t>
      </w:r>
      <w:r>
        <w:rPr>
          <w:rFonts w:ascii="Times New Roman" w:hAnsi="Times New Roman"/>
          <w:sz w:val="24"/>
          <w:szCs w:val="24"/>
          <w:lang w:val="sr-Cyrl-CS"/>
        </w:rPr>
        <w:t>од две федералне јединице</w:t>
      </w:r>
      <w:r w:rsidRPr="00BC4F8D">
        <w:rPr>
          <w:rFonts w:ascii="Times New Roman" w:hAnsi="Times New Roman"/>
          <w:sz w:val="24"/>
          <w:szCs w:val="24"/>
          <w:lang w:val="sr-Cyrl-CS"/>
        </w:rPr>
        <w:t xml:space="preserve"> </w:t>
      </w:r>
      <w:r>
        <w:rPr>
          <w:rFonts w:ascii="Times New Roman" w:hAnsi="Times New Roman"/>
          <w:sz w:val="24"/>
          <w:szCs w:val="24"/>
          <w:lang w:val="sr-Cyrl-CS"/>
        </w:rPr>
        <w:t>Србије и Црне Горе</w:t>
      </w:r>
      <w:r w:rsidRPr="00BC4F8D">
        <w:rPr>
          <w:rFonts w:ascii="Times New Roman" w:hAnsi="Times New Roman"/>
          <w:sz w:val="24"/>
          <w:szCs w:val="24"/>
          <w:lang w:val="sr-Cyrl-CS"/>
        </w:rPr>
        <w:t>.</w:t>
      </w:r>
      <w:r>
        <w:rPr>
          <w:rFonts w:ascii="Times New Roman" w:hAnsi="Times New Roman"/>
          <w:sz w:val="24"/>
          <w:szCs w:val="24"/>
          <w:lang w:val="sr-Cyrl-CS"/>
        </w:rPr>
        <w:t xml:space="preserve"> </w:t>
      </w:r>
      <w:r w:rsidR="00250FAB">
        <w:rPr>
          <w:rFonts w:ascii="Times New Roman" w:hAnsi="Times New Roman"/>
          <w:sz w:val="24"/>
          <w:szCs w:val="24"/>
          <w:lang w:val="sr-Cyrl-CS"/>
        </w:rPr>
        <w:t>Почетком деведесетих година, када је</w:t>
      </w:r>
      <w:r w:rsidR="00A25ACC">
        <w:rPr>
          <w:rFonts w:ascii="Times New Roman" w:hAnsi="Times New Roman"/>
          <w:sz w:val="24"/>
          <w:szCs w:val="24"/>
          <w:lang w:val="sr-Cyrl-CS"/>
        </w:rPr>
        <w:t xml:space="preserve"> </w:t>
      </w:r>
      <w:r w:rsidR="00250FAB">
        <w:rPr>
          <w:rFonts w:ascii="Times New Roman" w:hAnsi="Times New Roman"/>
          <w:sz w:val="24"/>
          <w:szCs w:val="24"/>
          <w:lang w:val="sr-Cyrl-CS"/>
        </w:rPr>
        <w:t xml:space="preserve">1990. </w:t>
      </w:r>
      <w:r>
        <w:rPr>
          <w:rFonts w:ascii="Times New Roman" w:hAnsi="Times New Roman"/>
          <w:sz w:val="24"/>
          <w:szCs w:val="24"/>
          <w:lang w:val="sr-Cyrl-CS"/>
        </w:rPr>
        <w:t>г</w:t>
      </w:r>
      <w:r w:rsidR="00205AD1">
        <w:rPr>
          <w:rFonts w:ascii="Times New Roman" w:hAnsi="Times New Roman"/>
          <w:sz w:val="24"/>
          <w:szCs w:val="24"/>
          <w:lang w:val="sr-Cyrl-CS"/>
        </w:rPr>
        <w:t>одине донет Устав</w:t>
      </w:r>
      <w:r w:rsidR="00250FAB">
        <w:rPr>
          <w:rFonts w:ascii="Times New Roman" w:hAnsi="Times New Roman"/>
          <w:sz w:val="24"/>
          <w:szCs w:val="24"/>
          <w:lang w:val="sr-Cyrl-CS"/>
        </w:rPr>
        <w:t xml:space="preserve"> Србије </w:t>
      </w:r>
      <w:r>
        <w:rPr>
          <w:rFonts w:ascii="Times New Roman" w:hAnsi="Times New Roman"/>
          <w:sz w:val="24"/>
          <w:szCs w:val="24"/>
          <w:lang w:val="sr-Cyrl-CS"/>
        </w:rPr>
        <w:t>поред реформе</w:t>
      </w:r>
      <w:r w:rsidR="00A25ACC">
        <w:rPr>
          <w:rFonts w:ascii="Times New Roman" w:hAnsi="Times New Roman"/>
          <w:sz w:val="24"/>
          <w:szCs w:val="24"/>
          <w:lang w:val="sr-Cyrl-CS"/>
        </w:rPr>
        <w:t xml:space="preserve"> система јавних прихода и јавних расхода, извршена је и реформа фискалног система. </w:t>
      </w:r>
      <w:r w:rsidR="00656EE5">
        <w:rPr>
          <w:rFonts w:ascii="Times New Roman" w:hAnsi="Times New Roman"/>
          <w:sz w:val="24"/>
          <w:szCs w:val="24"/>
          <w:lang w:val="sr-Cyrl-CS"/>
        </w:rPr>
        <w:t>Током 1991. године донет</w:t>
      </w:r>
      <w:r w:rsidR="004F13B2">
        <w:rPr>
          <w:rFonts w:ascii="Times New Roman" w:hAnsi="Times New Roman"/>
          <w:sz w:val="24"/>
          <w:szCs w:val="24"/>
          <w:lang w:val="sr-Cyrl-CS"/>
        </w:rPr>
        <w:t xml:space="preserve"> је </w:t>
      </w:r>
      <w:r w:rsidR="00656EE5">
        <w:rPr>
          <w:rFonts w:ascii="Times New Roman" w:hAnsi="Times New Roman"/>
          <w:sz w:val="24"/>
          <w:szCs w:val="24"/>
          <w:lang w:val="sr-Cyrl-CS"/>
        </w:rPr>
        <w:t xml:space="preserve">„пакет“ </w:t>
      </w:r>
      <w:r w:rsidR="004F13B2">
        <w:rPr>
          <w:rFonts w:ascii="Times New Roman" w:hAnsi="Times New Roman"/>
          <w:sz w:val="24"/>
          <w:szCs w:val="24"/>
          <w:lang w:val="sr-Cyrl-CS"/>
        </w:rPr>
        <w:t xml:space="preserve">законских прописа </w:t>
      </w:r>
      <w:r w:rsidR="00656EE5">
        <w:rPr>
          <w:rFonts w:ascii="Times New Roman" w:hAnsi="Times New Roman"/>
          <w:sz w:val="24"/>
          <w:szCs w:val="24"/>
          <w:lang w:val="sr-Cyrl-CS"/>
        </w:rPr>
        <w:t xml:space="preserve">и подзаконских аката, са применом </w:t>
      </w:r>
      <w:r w:rsidR="00205AD1">
        <w:rPr>
          <w:rFonts w:ascii="Times New Roman" w:hAnsi="Times New Roman"/>
          <w:sz w:val="24"/>
          <w:szCs w:val="24"/>
          <w:lang w:val="sr-Cyrl-CS"/>
        </w:rPr>
        <w:t>од 1. ј</w:t>
      </w:r>
      <w:r w:rsidR="00A63A6E">
        <w:rPr>
          <w:rFonts w:ascii="Times New Roman" w:hAnsi="Times New Roman"/>
          <w:sz w:val="24"/>
          <w:szCs w:val="24"/>
          <w:lang w:val="sr-Cyrl-CS"/>
        </w:rPr>
        <w:t xml:space="preserve">ануара 1992 са циљем изградње система </w:t>
      </w:r>
      <w:r w:rsidR="00A63A6E">
        <w:rPr>
          <w:rFonts w:ascii="Times New Roman" w:hAnsi="Times New Roman"/>
          <w:sz w:val="24"/>
          <w:szCs w:val="24"/>
          <w:lang w:val="sr-Cyrl-CS"/>
        </w:rPr>
        <w:lastRenderedPageBreak/>
        <w:t xml:space="preserve">опорезивања који ће бити компатибилан са пореским системима чланица ОЕЦД. </w:t>
      </w:r>
      <w:r w:rsidR="00656EE5">
        <w:rPr>
          <w:rFonts w:ascii="Times New Roman" w:hAnsi="Times New Roman"/>
          <w:sz w:val="24"/>
          <w:szCs w:val="24"/>
          <w:lang w:val="sr-Cyrl-CS"/>
        </w:rPr>
        <w:t>Донети су</w:t>
      </w:r>
      <w:r w:rsidR="00205AD1">
        <w:rPr>
          <w:rFonts w:ascii="Times New Roman" w:hAnsi="Times New Roman"/>
          <w:sz w:val="24"/>
          <w:szCs w:val="24"/>
          <w:lang w:val="sr-Cyrl-CS"/>
        </w:rPr>
        <w:t xml:space="preserve"> следећи закони</w:t>
      </w:r>
      <w:r w:rsidR="004F13B2">
        <w:rPr>
          <w:rFonts w:ascii="Times New Roman" w:hAnsi="Times New Roman"/>
          <w:sz w:val="24"/>
          <w:szCs w:val="24"/>
          <w:lang w:val="sr-Cyrl-CS"/>
        </w:rPr>
        <w:t xml:space="preserve">: Закон о јавним приходима и јавним расходима, Закон о порезу на доходак грађана, Закон о доприносима за социјално осигурање, Закон о порезу на имовину и Закон о порезу на добит корпорација. </w:t>
      </w:r>
      <w:r w:rsidR="00AA6AAD">
        <w:rPr>
          <w:rFonts w:ascii="Times New Roman" w:hAnsi="Times New Roman"/>
          <w:sz w:val="24"/>
          <w:szCs w:val="24"/>
          <w:lang w:val="sr-Cyrl-CS"/>
        </w:rPr>
        <w:t>Замишљени порески систем требао је да буде компатибилан са пореским системима земаља развије</w:t>
      </w:r>
      <w:r w:rsidR="008D42CF">
        <w:rPr>
          <w:rFonts w:ascii="Times New Roman" w:hAnsi="Times New Roman"/>
          <w:sz w:val="24"/>
          <w:szCs w:val="24"/>
          <w:lang w:val="sr-Cyrl-CS"/>
        </w:rPr>
        <w:t>не</w:t>
      </w:r>
      <w:r w:rsidR="00AA6AAD">
        <w:rPr>
          <w:rFonts w:ascii="Times New Roman" w:hAnsi="Times New Roman"/>
          <w:sz w:val="24"/>
          <w:szCs w:val="24"/>
          <w:lang w:val="sr-Cyrl-CS"/>
        </w:rPr>
        <w:t xml:space="preserve"> тржишне привреде.</w:t>
      </w:r>
      <w:r w:rsidR="00205AD1">
        <w:rPr>
          <w:rFonts w:ascii="Times New Roman" w:hAnsi="Times New Roman"/>
          <w:sz w:val="24"/>
          <w:szCs w:val="24"/>
          <w:lang w:val="sr-Cyrl-CS"/>
        </w:rPr>
        <w:t xml:space="preserve"> </w:t>
      </w:r>
    </w:p>
    <w:p w:rsidR="008D42CF" w:rsidRDefault="008D42CF" w:rsidP="008D42CF">
      <w:pPr>
        <w:pStyle w:val="ListParagraph"/>
        <w:ind w:left="0" w:firstLine="708"/>
        <w:jc w:val="both"/>
        <w:rPr>
          <w:rFonts w:ascii="Times New Roman" w:hAnsi="Times New Roman"/>
          <w:sz w:val="24"/>
          <w:szCs w:val="24"/>
        </w:rPr>
      </w:pPr>
    </w:p>
    <w:p w:rsidR="006122FF" w:rsidRDefault="0031565A" w:rsidP="008D42CF">
      <w:pPr>
        <w:pStyle w:val="ListParagraph"/>
        <w:ind w:left="0" w:firstLine="708"/>
        <w:jc w:val="both"/>
        <w:rPr>
          <w:rFonts w:ascii="Times New Roman" w:hAnsi="Times New Roman"/>
          <w:sz w:val="24"/>
          <w:szCs w:val="24"/>
          <w:lang w:val="sr-Cyrl-CS"/>
        </w:rPr>
      </w:pPr>
      <w:r>
        <w:rPr>
          <w:rFonts w:ascii="Times New Roman" w:hAnsi="Times New Roman"/>
          <w:sz w:val="24"/>
          <w:szCs w:val="24"/>
          <w:lang w:val="sr-Cyrl-CS"/>
        </w:rPr>
        <w:t>Током 1992. године почела је р</w:t>
      </w:r>
      <w:r w:rsidR="00A25ACC">
        <w:rPr>
          <w:rFonts w:ascii="Times New Roman" w:hAnsi="Times New Roman"/>
          <w:sz w:val="24"/>
          <w:szCs w:val="24"/>
          <w:lang w:val="sr-Cyrl-CS"/>
        </w:rPr>
        <w:t>еформа система јавних прихода и јавних расхода у републикама</w:t>
      </w:r>
      <w:r w:rsidR="008D3E50">
        <w:rPr>
          <w:rFonts w:ascii="Times New Roman" w:hAnsi="Times New Roman"/>
          <w:sz w:val="24"/>
          <w:szCs w:val="24"/>
          <w:lang w:val="sr-Cyrl-CS"/>
        </w:rPr>
        <w:t xml:space="preserve"> </w:t>
      </w:r>
      <w:r w:rsidR="008D42CF">
        <w:rPr>
          <w:rFonts w:ascii="Times New Roman" w:hAnsi="Times New Roman"/>
          <w:sz w:val="24"/>
          <w:szCs w:val="24"/>
          <w:lang w:val="sr-Cyrl-CS"/>
        </w:rPr>
        <w:t>у саставу Савезне Републике Југославије</w:t>
      </w:r>
      <w:r w:rsidR="008D3E50">
        <w:rPr>
          <w:rFonts w:ascii="Times New Roman" w:hAnsi="Times New Roman"/>
          <w:sz w:val="24"/>
          <w:szCs w:val="24"/>
          <w:lang w:val="sr-Cyrl-CS"/>
        </w:rPr>
        <w:t>, а у ф</w:t>
      </w:r>
      <w:r w:rsidR="00A25ACC">
        <w:rPr>
          <w:rFonts w:ascii="Times New Roman" w:hAnsi="Times New Roman"/>
          <w:sz w:val="24"/>
          <w:szCs w:val="24"/>
          <w:lang w:val="sr-Cyrl-CS"/>
        </w:rPr>
        <w:t>едерацији</w:t>
      </w:r>
      <w:r>
        <w:rPr>
          <w:rFonts w:ascii="Times New Roman" w:hAnsi="Times New Roman"/>
          <w:sz w:val="24"/>
          <w:szCs w:val="24"/>
          <w:lang w:val="sr-Cyrl-CS"/>
        </w:rPr>
        <w:t xml:space="preserve"> </w:t>
      </w:r>
      <w:r w:rsidR="00A25ACC">
        <w:rPr>
          <w:rFonts w:ascii="Times New Roman" w:hAnsi="Times New Roman"/>
          <w:sz w:val="24"/>
          <w:szCs w:val="24"/>
          <w:lang w:val="sr-Cyrl-CS"/>
        </w:rPr>
        <w:t xml:space="preserve">1993. године. </w:t>
      </w:r>
      <w:r w:rsidR="006E02BD">
        <w:rPr>
          <w:rFonts w:ascii="Times New Roman" w:hAnsi="Times New Roman"/>
          <w:sz w:val="24"/>
          <w:szCs w:val="24"/>
          <w:lang w:val="sr-Cyrl-CS"/>
        </w:rPr>
        <w:t>Истовремено</w:t>
      </w:r>
      <w:r>
        <w:rPr>
          <w:rFonts w:ascii="Times New Roman" w:hAnsi="Times New Roman"/>
          <w:sz w:val="24"/>
          <w:szCs w:val="24"/>
          <w:lang w:val="sr-Cyrl-CS"/>
        </w:rPr>
        <w:t xml:space="preserve"> са реформом система јавних прихода </w:t>
      </w:r>
      <w:r w:rsidR="006E02BD">
        <w:rPr>
          <w:rFonts w:ascii="Times New Roman" w:hAnsi="Times New Roman"/>
          <w:sz w:val="24"/>
          <w:szCs w:val="24"/>
          <w:lang w:val="sr-Cyrl-CS"/>
        </w:rPr>
        <w:t xml:space="preserve">извршена </w:t>
      </w:r>
      <w:r>
        <w:rPr>
          <w:rFonts w:ascii="Times New Roman" w:hAnsi="Times New Roman"/>
          <w:sz w:val="24"/>
          <w:szCs w:val="24"/>
          <w:lang w:val="sr-Cyrl-CS"/>
        </w:rPr>
        <w:t xml:space="preserve">је </w:t>
      </w:r>
      <w:r w:rsidR="0077460E">
        <w:rPr>
          <w:rFonts w:ascii="Times New Roman" w:hAnsi="Times New Roman"/>
          <w:sz w:val="24"/>
          <w:szCs w:val="24"/>
          <w:lang w:val="sr-Cyrl-CS"/>
        </w:rPr>
        <w:t xml:space="preserve">и </w:t>
      </w:r>
      <w:r w:rsidR="006E02BD">
        <w:rPr>
          <w:rFonts w:ascii="Times New Roman" w:hAnsi="Times New Roman"/>
          <w:sz w:val="24"/>
          <w:szCs w:val="24"/>
          <w:lang w:val="sr-Cyrl-CS"/>
        </w:rPr>
        <w:t>фис</w:t>
      </w:r>
      <w:r w:rsidR="008D3E50">
        <w:rPr>
          <w:rFonts w:ascii="Times New Roman" w:hAnsi="Times New Roman"/>
          <w:sz w:val="24"/>
          <w:szCs w:val="24"/>
          <w:lang w:val="sr-Cyrl-CS"/>
        </w:rPr>
        <w:t>кална реформа која је дефинисала и одредила јавне приходе, основ, врсту и припадност јавн</w:t>
      </w:r>
      <w:r>
        <w:rPr>
          <w:rFonts w:ascii="Times New Roman" w:hAnsi="Times New Roman"/>
          <w:sz w:val="24"/>
          <w:szCs w:val="24"/>
          <w:lang w:val="sr-Cyrl-CS"/>
        </w:rPr>
        <w:t>их прихода и њихово прописивање,</w:t>
      </w:r>
      <w:r w:rsidR="008D3E50">
        <w:rPr>
          <w:rFonts w:ascii="Times New Roman" w:hAnsi="Times New Roman"/>
          <w:sz w:val="24"/>
          <w:szCs w:val="24"/>
          <w:lang w:val="sr-Cyrl-CS"/>
        </w:rPr>
        <w:t xml:space="preserve"> </w:t>
      </w:r>
      <w:r>
        <w:rPr>
          <w:rFonts w:ascii="Times New Roman" w:hAnsi="Times New Roman"/>
          <w:sz w:val="24"/>
          <w:szCs w:val="24"/>
          <w:lang w:val="sr-Cyrl-CS"/>
        </w:rPr>
        <w:t xml:space="preserve">чиме су </w:t>
      </w:r>
      <w:r w:rsidR="008D3E50">
        <w:rPr>
          <w:rFonts w:ascii="Times New Roman" w:hAnsi="Times New Roman"/>
          <w:sz w:val="24"/>
          <w:szCs w:val="24"/>
          <w:lang w:val="sr-Cyrl-CS"/>
        </w:rPr>
        <w:t xml:space="preserve">у </w:t>
      </w:r>
      <w:r w:rsidR="007E15E9">
        <w:rPr>
          <w:rFonts w:ascii="Times New Roman" w:hAnsi="Times New Roman"/>
          <w:sz w:val="24"/>
          <w:szCs w:val="24"/>
          <w:lang w:val="sr-Cyrl-CS"/>
        </w:rPr>
        <w:t>дефинисане и саме основе финансирања свеукупних државних функција и функција које се фина</w:t>
      </w:r>
      <w:r w:rsidR="006E02BD">
        <w:rPr>
          <w:rFonts w:ascii="Times New Roman" w:hAnsi="Times New Roman"/>
          <w:sz w:val="24"/>
          <w:szCs w:val="24"/>
          <w:lang w:val="sr-Cyrl-CS"/>
        </w:rPr>
        <w:t>н</w:t>
      </w:r>
      <w:r w:rsidR="007E15E9">
        <w:rPr>
          <w:rFonts w:ascii="Times New Roman" w:hAnsi="Times New Roman"/>
          <w:sz w:val="24"/>
          <w:szCs w:val="24"/>
          <w:lang w:val="sr-Cyrl-CS"/>
        </w:rPr>
        <w:t>сирају на основу доприноса по основу социјалног осигурања.</w:t>
      </w:r>
      <w:r w:rsidR="007E15E9">
        <w:rPr>
          <w:rStyle w:val="FootnoteReference"/>
          <w:rFonts w:ascii="Times New Roman" w:hAnsi="Times New Roman"/>
          <w:sz w:val="24"/>
          <w:szCs w:val="24"/>
          <w:lang w:val="sr-Cyrl-CS"/>
        </w:rPr>
        <w:footnoteReference w:id="174"/>
      </w:r>
      <w:r w:rsidR="008D3E50">
        <w:rPr>
          <w:rFonts w:ascii="Times New Roman" w:hAnsi="Times New Roman"/>
          <w:sz w:val="24"/>
          <w:szCs w:val="24"/>
          <w:lang w:val="sr-Cyrl-CS"/>
        </w:rPr>
        <w:t xml:space="preserve"> </w:t>
      </w:r>
      <w:r w:rsidR="006122FF">
        <w:rPr>
          <w:rFonts w:ascii="Times New Roman" w:hAnsi="Times New Roman"/>
          <w:sz w:val="24"/>
          <w:szCs w:val="24"/>
          <w:lang w:val="sr-Cyrl-CS"/>
        </w:rPr>
        <w:t>Нови фискални систем је усклађен са земљама Европске уније и ОЕЦД. Тиме су остварени услови за даљи развој привреде на тржишним принципима и интеграцију домаће привреде у светске привредне токове.</w:t>
      </w:r>
      <w:r>
        <w:rPr>
          <w:rFonts w:ascii="Times New Roman" w:hAnsi="Times New Roman"/>
          <w:sz w:val="24"/>
          <w:szCs w:val="24"/>
          <w:lang w:val="sr-Cyrl-CS"/>
        </w:rPr>
        <w:t xml:space="preserve"> </w:t>
      </w:r>
    </w:p>
    <w:p w:rsidR="006122FF" w:rsidRDefault="006122FF" w:rsidP="00AB33D8">
      <w:pPr>
        <w:pStyle w:val="ListParagraph"/>
        <w:ind w:left="0"/>
        <w:jc w:val="both"/>
        <w:rPr>
          <w:rFonts w:ascii="Times New Roman" w:hAnsi="Times New Roman"/>
          <w:sz w:val="24"/>
          <w:szCs w:val="24"/>
          <w:lang w:val="sr-Cyrl-CS"/>
        </w:rPr>
      </w:pPr>
    </w:p>
    <w:p w:rsidR="008D3E50" w:rsidRDefault="00A25ACC" w:rsidP="002806F1">
      <w:pPr>
        <w:pStyle w:val="ListParagraph"/>
        <w:ind w:left="0" w:firstLine="708"/>
        <w:jc w:val="both"/>
        <w:rPr>
          <w:rFonts w:ascii="Times New Roman" w:hAnsi="Times New Roman"/>
          <w:sz w:val="24"/>
          <w:szCs w:val="24"/>
          <w:lang w:val="sr-Cyrl-CS"/>
        </w:rPr>
      </w:pPr>
      <w:r>
        <w:rPr>
          <w:rFonts w:ascii="Times New Roman" w:hAnsi="Times New Roman"/>
          <w:sz w:val="24"/>
          <w:szCs w:val="24"/>
          <w:lang w:val="sr-Cyrl-CS"/>
        </w:rPr>
        <w:t>Донета су два закона од значаја за фискал</w:t>
      </w:r>
      <w:r w:rsidR="006122FF">
        <w:rPr>
          <w:rFonts w:ascii="Times New Roman" w:hAnsi="Times New Roman"/>
          <w:sz w:val="24"/>
          <w:szCs w:val="24"/>
          <w:lang w:val="sr-Cyrl-CS"/>
        </w:rPr>
        <w:t>ну реформу и то: Закон о  јавним приходима</w:t>
      </w:r>
      <w:r>
        <w:rPr>
          <w:rFonts w:ascii="Times New Roman" w:hAnsi="Times New Roman"/>
          <w:sz w:val="24"/>
          <w:szCs w:val="24"/>
          <w:lang w:val="sr-Cyrl-CS"/>
        </w:rPr>
        <w:t xml:space="preserve"> и јавни</w:t>
      </w:r>
      <w:r w:rsidR="006122FF">
        <w:rPr>
          <w:rFonts w:ascii="Times New Roman" w:hAnsi="Times New Roman"/>
          <w:sz w:val="24"/>
          <w:szCs w:val="24"/>
          <w:lang w:val="sr-Cyrl-CS"/>
        </w:rPr>
        <w:t>м</w:t>
      </w:r>
      <w:r>
        <w:rPr>
          <w:rFonts w:ascii="Times New Roman" w:hAnsi="Times New Roman"/>
          <w:sz w:val="24"/>
          <w:szCs w:val="24"/>
          <w:lang w:val="sr-Cyrl-CS"/>
        </w:rPr>
        <w:t xml:space="preserve"> расход</w:t>
      </w:r>
      <w:r w:rsidR="006122FF">
        <w:rPr>
          <w:rFonts w:ascii="Times New Roman" w:hAnsi="Times New Roman"/>
          <w:sz w:val="24"/>
          <w:szCs w:val="24"/>
          <w:lang w:val="sr-Cyrl-CS"/>
        </w:rPr>
        <w:t>има</w:t>
      </w:r>
      <w:r w:rsidR="005B1442">
        <w:rPr>
          <w:rStyle w:val="FootnoteReference"/>
          <w:rFonts w:ascii="Times New Roman" w:hAnsi="Times New Roman"/>
          <w:sz w:val="24"/>
          <w:szCs w:val="24"/>
          <w:lang w:val="sr-Cyrl-CS"/>
        </w:rPr>
        <w:footnoteReference w:id="175"/>
      </w:r>
      <w:r>
        <w:rPr>
          <w:rFonts w:ascii="Times New Roman" w:hAnsi="Times New Roman"/>
          <w:sz w:val="24"/>
          <w:szCs w:val="24"/>
          <w:lang w:val="sr-Cyrl-CS"/>
        </w:rPr>
        <w:t xml:space="preserve"> и Закон о контроли, утврђивању и наплати јавних прихода</w:t>
      </w:r>
      <w:r w:rsidR="005B1442">
        <w:rPr>
          <w:rStyle w:val="FootnoteReference"/>
          <w:rFonts w:ascii="Times New Roman" w:hAnsi="Times New Roman"/>
          <w:sz w:val="24"/>
          <w:szCs w:val="24"/>
          <w:lang w:val="sr-Cyrl-CS"/>
        </w:rPr>
        <w:footnoteReference w:id="176"/>
      </w:r>
      <w:r>
        <w:rPr>
          <w:rFonts w:ascii="Times New Roman" w:hAnsi="Times New Roman"/>
          <w:sz w:val="24"/>
          <w:szCs w:val="24"/>
          <w:lang w:val="sr-Cyrl-CS"/>
        </w:rPr>
        <w:t xml:space="preserve">, као и низ других прописа. </w:t>
      </w:r>
    </w:p>
    <w:p w:rsidR="002806F1" w:rsidRDefault="002806F1" w:rsidP="00AB33D8">
      <w:pPr>
        <w:pStyle w:val="ListParagraph"/>
        <w:ind w:left="0"/>
        <w:jc w:val="both"/>
        <w:rPr>
          <w:rFonts w:ascii="Times New Roman" w:hAnsi="Times New Roman"/>
          <w:sz w:val="24"/>
          <w:szCs w:val="24"/>
          <w:lang w:val="sr-Cyrl-CS"/>
        </w:rPr>
      </w:pPr>
    </w:p>
    <w:p w:rsidR="005B55EC" w:rsidRDefault="00BB6977" w:rsidP="006E02BD">
      <w:pPr>
        <w:pStyle w:val="ListParagraph"/>
        <w:ind w:left="0" w:firstLine="708"/>
        <w:jc w:val="both"/>
        <w:rPr>
          <w:rFonts w:ascii="Times New Roman" w:hAnsi="Times New Roman"/>
          <w:sz w:val="24"/>
          <w:szCs w:val="24"/>
          <w:lang w:val="sr-Cyrl-CS"/>
        </w:rPr>
      </w:pPr>
      <w:r>
        <w:rPr>
          <w:rFonts w:ascii="Times New Roman" w:hAnsi="Times New Roman"/>
          <w:sz w:val="24"/>
          <w:szCs w:val="24"/>
          <w:lang w:val="sr-Cyrl-CS"/>
        </w:rPr>
        <w:t>Према поменутом Закону о јавним приходима и јавним расходима</w:t>
      </w:r>
      <w:r w:rsidR="005B55EC">
        <w:rPr>
          <w:rFonts w:ascii="Times New Roman" w:hAnsi="Times New Roman"/>
          <w:sz w:val="24"/>
          <w:szCs w:val="24"/>
          <w:lang w:val="sr-Cyrl-CS"/>
        </w:rPr>
        <w:t xml:space="preserve"> у јавне приходе спадају:</w:t>
      </w:r>
      <w:r w:rsidR="002806F1">
        <w:rPr>
          <w:rFonts w:ascii="Times New Roman" w:hAnsi="Times New Roman"/>
          <w:sz w:val="24"/>
          <w:szCs w:val="24"/>
          <w:lang w:val="sr-Cyrl-CS"/>
        </w:rPr>
        <w:t xml:space="preserve"> </w:t>
      </w:r>
      <w:r w:rsidR="005B55EC">
        <w:rPr>
          <w:rFonts w:ascii="Times New Roman" w:hAnsi="Times New Roman"/>
          <w:sz w:val="24"/>
          <w:szCs w:val="24"/>
          <w:lang w:val="sr-Cyrl-CS"/>
        </w:rPr>
        <w:t>порез, таксе, накнаде за коришћење добара од општег интер</w:t>
      </w:r>
      <w:r w:rsidR="006E02BD">
        <w:rPr>
          <w:rFonts w:ascii="Times New Roman" w:hAnsi="Times New Roman"/>
          <w:sz w:val="24"/>
          <w:szCs w:val="24"/>
          <w:lang w:val="sr-Cyrl-CS"/>
        </w:rPr>
        <w:t xml:space="preserve">еса, </w:t>
      </w:r>
      <w:r w:rsidR="005B55EC">
        <w:rPr>
          <w:rFonts w:ascii="Times New Roman" w:hAnsi="Times New Roman"/>
          <w:sz w:val="24"/>
          <w:szCs w:val="24"/>
          <w:lang w:val="sr-Cyrl-CS"/>
        </w:rPr>
        <w:t>доприноси за финансирање</w:t>
      </w:r>
      <w:r w:rsidR="006E02BD">
        <w:rPr>
          <w:rFonts w:ascii="Times New Roman" w:hAnsi="Times New Roman"/>
          <w:sz w:val="24"/>
          <w:szCs w:val="24"/>
          <w:lang w:val="sr-Cyrl-CS"/>
        </w:rPr>
        <w:t xml:space="preserve"> обавезног социјалног осигурања, локални јавни приходи и</w:t>
      </w:r>
    </w:p>
    <w:p w:rsidR="005B55EC" w:rsidRDefault="005B55EC" w:rsidP="00AB33D8">
      <w:pPr>
        <w:pStyle w:val="ListParagraph"/>
        <w:ind w:left="0"/>
        <w:jc w:val="both"/>
        <w:rPr>
          <w:rFonts w:ascii="Times New Roman" w:hAnsi="Times New Roman"/>
          <w:sz w:val="24"/>
          <w:szCs w:val="24"/>
          <w:lang w:val="sr-Cyrl-CS"/>
        </w:rPr>
      </w:pPr>
      <w:r>
        <w:rPr>
          <w:rFonts w:ascii="Times New Roman" w:hAnsi="Times New Roman"/>
          <w:sz w:val="24"/>
          <w:szCs w:val="24"/>
          <w:lang w:val="sr-Cyrl-CS"/>
        </w:rPr>
        <w:t>остали јавни приходи.</w:t>
      </w:r>
    </w:p>
    <w:p w:rsidR="00BB6977" w:rsidRDefault="00BB6977" w:rsidP="00AB33D8">
      <w:pPr>
        <w:pStyle w:val="ListParagraph"/>
        <w:ind w:left="0"/>
        <w:jc w:val="both"/>
        <w:rPr>
          <w:rFonts w:ascii="Times New Roman" w:hAnsi="Times New Roman"/>
          <w:sz w:val="24"/>
          <w:szCs w:val="24"/>
          <w:lang w:val="sr-Cyrl-CS"/>
        </w:rPr>
      </w:pPr>
    </w:p>
    <w:p w:rsidR="00656EE5" w:rsidRDefault="005B55EC" w:rsidP="00AB33D8">
      <w:pPr>
        <w:pStyle w:val="ListParagraph"/>
        <w:ind w:left="0"/>
        <w:jc w:val="both"/>
        <w:rPr>
          <w:rFonts w:ascii="Times New Roman" w:hAnsi="Times New Roman"/>
          <w:sz w:val="24"/>
          <w:szCs w:val="24"/>
          <w:lang w:val="sr-Cyrl-CS"/>
        </w:rPr>
      </w:pPr>
      <w:r>
        <w:rPr>
          <w:rFonts w:ascii="Times New Roman" w:hAnsi="Times New Roman"/>
          <w:sz w:val="24"/>
          <w:szCs w:val="24"/>
          <w:lang w:val="sr-Cyrl-CS"/>
        </w:rPr>
        <w:t xml:space="preserve"> </w:t>
      </w:r>
      <w:r w:rsidR="002806F1">
        <w:rPr>
          <w:rFonts w:ascii="Times New Roman" w:hAnsi="Times New Roman"/>
          <w:sz w:val="24"/>
          <w:szCs w:val="24"/>
          <w:lang w:val="sr-Cyrl-CS"/>
        </w:rPr>
        <w:tab/>
      </w:r>
      <w:r>
        <w:rPr>
          <w:rFonts w:ascii="Times New Roman" w:hAnsi="Times New Roman"/>
          <w:sz w:val="24"/>
          <w:szCs w:val="24"/>
          <w:lang w:val="sr-Cyrl-CS"/>
        </w:rPr>
        <w:t>Ј</w:t>
      </w:r>
      <w:r w:rsidR="00BB6977">
        <w:rPr>
          <w:rFonts w:ascii="Times New Roman" w:hAnsi="Times New Roman"/>
          <w:sz w:val="24"/>
          <w:szCs w:val="24"/>
          <w:lang w:val="sr-Cyrl-CS"/>
        </w:rPr>
        <w:t>авни приходи су дефинисани као приходи којима се финансирају п</w:t>
      </w:r>
      <w:r>
        <w:rPr>
          <w:rFonts w:ascii="Times New Roman" w:hAnsi="Times New Roman"/>
          <w:sz w:val="24"/>
          <w:szCs w:val="24"/>
          <w:lang w:val="sr-Cyrl-CS"/>
        </w:rPr>
        <w:t>рава и дужности Републике и посл</w:t>
      </w:r>
      <w:r w:rsidR="00BB6977">
        <w:rPr>
          <w:rFonts w:ascii="Times New Roman" w:hAnsi="Times New Roman"/>
          <w:sz w:val="24"/>
          <w:szCs w:val="24"/>
          <w:lang w:val="sr-Cyrl-CS"/>
        </w:rPr>
        <w:t>ови и задаци гр</w:t>
      </w:r>
      <w:r>
        <w:rPr>
          <w:rFonts w:ascii="Times New Roman" w:hAnsi="Times New Roman"/>
          <w:sz w:val="24"/>
          <w:szCs w:val="24"/>
          <w:lang w:val="sr-Cyrl-CS"/>
        </w:rPr>
        <w:t>ада Београда и општина, као и до</w:t>
      </w:r>
      <w:r w:rsidR="00BB6977">
        <w:rPr>
          <w:rFonts w:ascii="Times New Roman" w:hAnsi="Times New Roman"/>
          <w:sz w:val="24"/>
          <w:szCs w:val="24"/>
          <w:lang w:val="sr-Cyrl-CS"/>
        </w:rPr>
        <w:t xml:space="preserve">приноси за социјално осигурање. </w:t>
      </w:r>
      <w:r w:rsidR="007C09C4">
        <w:rPr>
          <w:rFonts w:ascii="Times New Roman" w:hAnsi="Times New Roman"/>
          <w:sz w:val="24"/>
          <w:szCs w:val="24"/>
          <w:lang w:val="sr-Cyrl-CS"/>
        </w:rPr>
        <w:t>Опредељене су врсте такса које се могу уводити и то: административне, судске, комуналне, регистрационе и посебне републичке таксе. Врсте накнада за коришћење добара од општег интереса су: накнаде за коришћење воде, накнаде за коришћење шума, накн</w:t>
      </w:r>
      <w:r w:rsidR="006E02BD">
        <w:rPr>
          <w:rFonts w:ascii="Times New Roman" w:hAnsi="Times New Roman"/>
          <w:sz w:val="24"/>
          <w:szCs w:val="24"/>
          <w:lang w:val="sr-Cyrl-CS"/>
        </w:rPr>
        <w:t>а</w:t>
      </w:r>
      <w:r w:rsidR="007C09C4">
        <w:rPr>
          <w:rFonts w:ascii="Times New Roman" w:hAnsi="Times New Roman"/>
          <w:sz w:val="24"/>
          <w:szCs w:val="24"/>
          <w:lang w:val="sr-Cyrl-CS"/>
        </w:rPr>
        <w:t xml:space="preserve">де за коришћење путева, накнаде за коришћење земљишта, накнаде за коришћење природног лековитог фактора и накнаде за коришћење рудног блага. </w:t>
      </w:r>
      <w:r w:rsidR="00656EE5">
        <w:rPr>
          <w:rFonts w:ascii="Times New Roman" w:hAnsi="Times New Roman"/>
          <w:sz w:val="24"/>
          <w:szCs w:val="24"/>
          <w:lang w:val="sr-Cyrl-CS"/>
        </w:rPr>
        <w:t>Структуру доприноса чине: доприноси за пензијско и инвалидско ос</w:t>
      </w:r>
      <w:r w:rsidR="002806F1">
        <w:rPr>
          <w:rFonts w:ascii="Times New Roman" w:hAnsi="Times New Roman"/>
          <w:sz w:val="24"/>
          <w:szCs w:val="24"/>
          <w:lang w:val="sr-Cyrl-CS"/>
        </w:rPr>
        <w:t>игурање, допринос</w:t>
      </w:r>
      <w:r w:rsidR="00656EE5">
        <w:rPr>
          <w:rFonts w:ascii="Times New Roman" w:hAnsi="Times New Roman"/>
          <w:sz w:val="24"/>
          <w:szCs w:val="24"/>
          <w:lang w:val="sr-Cyrl-CS"/>
        </w:rPr>
        <w:t>и за здравствено осигура</w:t>
      </w:r>
      <w:r w:rsidR="002806F1">
        <w:rPr>
          <w:rFonts w:ascii="Times New Roman" w:hAnsi="Times New Roman"/>
          <w:sz w:val="24"/>
          <w:szCs w:val="24"/>
          <w:lang w:val="sr-Cyrl-CS"/>
        </w:rPr>
        <w:t>ње и доприноси за случај незапосленос</w:t>
      </w:r>
      <w:r w:rsidR="00656EE5">
        <w:rPr>
          <w:rFonts w:ascii="Times New Roman" w:hAnsi="Times New Roman"/>
          <w:sz w:val="24"/>
          <w:szCs w:val="24"/>
          <w:lang w:val="sr-Cyrl-CS"/>
        </w:rPr>
        <w:t>ти. Опредељени су остали јавни приходи у које се убрајају: новчане казне изречене у кривичном, прекршајном и другом поступку који се води пред државним органом, одузета имовинска корист и средства добијена продајом одузетих предмета у кривичном, прекршајном и другом поступку који се води пред државним орган</w:t>
      </w:r>
      <w:r w:rsidR="002806F1">
        <w:rPr>
          <w:rFonts w:ascii="Times New Roman" w:hAnsi="Times New Roman"/>
          <w:sz w:val="24"/>
          <w:szCs w:val="24"/>
          <w:lang w:val="sr-Cyrl-CS"/>
        </w:rPr>
        <w:t xml:space="preserve">ом, </w:t>
      </w:r>
      <w:r w:rsidR="002806F1">
        <w:rPr>
          <w:rFonts w:ascii="Times New Roman" w:hAnsi="Times New Roman"/>
          <w:sz w:val="24"/>
          <w:szCs w:val="24"/>
          <w:lang w:val="sr-Cyrl-CS"/>
        </w:rPr>
        <w:lastRenderedPageBreak/>
        <w:t>приходи које својом делатно</w:t>
      </w:r>
      <w:r w:rsidR="00656EE5">
        <w:rPr>
          <w:rFonts w:ascii="Times New Roman" w:hAnsi="Times New Roman"/>
          <w:sz w:val="24"/>
          <w:szCs w:val="24"/>
          <w:lang w:val="sr-Cyrl-CS"/>
        </w:rPr>
        <w:t>шћу остваре државни органи, приходе од продаје и давања у закуп, односно на коришћење непокретности и покретних ствари у државној својини, новчане казне изречене у прекршајном поступку за прекршаје прописане актом скупштине општине, као и одузета имовинска корист у том поступку, приходе од концесионе накнаде, приходе остварене од продаје друштвеног капитала предузећа, који се трансформише и од продаје акција које је предузеће стекло без накнаде другом предузећу, као и од продаје акција стечених својинском трансформацијом, приходи остварени од продаје државног капитала предузећа које се трансформише и приходе по основу ација.</w:t>
      </w:r>
    </w:p>
    <w:p w:rsidR="00656EE5" w:rsidRDefault="00656EE5" w:rsidP="00AB33D8">
      <w:pPr>
        <w:pStyle w:val="ListParagraph"/>
        <w:ind w:left="0"/>
        <w:jc w:val="both"/>
        <w:rPr>
          <w:rFonts w:ascii="Times New Roman" w:hAnsi="Times New Roman"/>
          <w:sz w:val="24"/>
          <w:szCs w:val="24"/>
          <w:lang w:val="sr-Cyrl-CS"/>
        </w:rPr>
      </w:pPr>
    </w:p>
    <w:p w:rsidR="00BB6977" w:rsidRDefault="007C09C4" w:rsidP="002806F1">
      <w:pPr>
        <w:pStyle w:val="ListParagraph"/>
        <w:ind w:left="0" w:firstLine="708"/>
        <w:jc w:val="both"/>
        <w:rPr>
          <w:rFonts w:ascii="Times New Roman" w:hAnsi="Times New Roman"/>
          <w:sz w:val="24"/>
          <w:szCs w:val="24"/>
          <w:lang w:val="sr-Cyrl-CS"/>
        </w:rPr>
      </w:pPr>
      <w:r>
        <w:rPr>
          <w:rFonts w:ascii="Times New Roman" w:hAnsi="Times New Roman"/>
          <w:sz w:val="24"/>
          <w:szCs w:val="24"/>
          <w:lang w:val="sr-Cyrl-CS"/>
        </w:rPr>
        <w:t xml:space="preserve">Опредељен је садржај локалних јавних прихода које чине: самодопринос, локалне комуналне таксе, општинске административне таксе, приходи које </w:t>
      </w:r>
      <w:r w:rsidR="002806F1">
        <w:rPr>
          <w:rFonts w:ascii="Times New Roman" w:hAnsi="Times New Roman"/>
          <w:sz w:val="24"/>
          <w:szCs w:val="24"/>
          <w:lang w:val="sr-Cyrl-CS"/>
        </w:rPr>
        <w:t>остваре општински органи, накна</w:t>
      </w:r>
      <w:r>
        <w:rPr>
          <w:rFonts w:ascii="Times New Roman" w:hAnsi="Times New Roman"/>
          <w:sz w:val="24"/>
          <w:szCs w:val="24"/>
          <w:lang w:val="sr-Cyrl-CS"/>
        </w:rPr>
        <w:t xml:space="preserve">де за коришћење градског грађевинског земљишта, накнаде за коришћење комуналних добара од општег интереса и средства за солидарну стамбену изградњу. </w:t>
      </w:r>
      <w:r w:rsidR="002806F1">
        <w:rPr>
          <w:rFonts w:ascii="Times New Roman" w:hAnsi="Times New Roman"/>
          <w:sz w:val="24"/>
          <w:szCs w:val="24"/>
          <w:lang w:val="sr-Cyrl-CS"/>
        </w:rPr>
        <w:t xml:space="preserve"> </w:t>
      </w:r>
    </w:p>
    <w:p w:rsidR="005B55EC" w:rsidRDefault="005B55EC" w:rsidP="00AB33D8">
      <w:pPr>
        <w:pStyle w:val="ListParagraph"/>
        <w:ind w:left="0"/>
        <w:jc w:val="both"/>
        <w:rPr>
          <w:rFonts w:ascii="Times New Roman" w:hAnsi="Times New Roman"/>
          <w:sz w:val="24"/>
          <w:szCs w:val="24"/>
          <w:lang w:val="sr-Cyrl-CS"/>
        </w:rPr>
      </w:pPr>
    </w:p>
    <w:p w:rsidR="00C86CFB" w:rsidRDefault="00467AE8" w:rsidP="002806F1">
      <w:pPr>
        <w:pStyle w:val="ListParagraph"/>
        <w:ind w:left="0" w:firstLine="708"/>
        <w:jc w:val="both"/>
        <w:rPr>
          <w:rFonts w:ascii="Times New Roman" w:hAnsi="Times New Roman"/>
          <w:sz w:val="24"/>
          <w:szCs w:val="24"/>
          <w:lang w:val="sr-Cyrl-CS"/>
        </w:rPr>
      </w:pPr>
      <w:r>
        <w:rPr>
          <w:rFonts w:ascii="Times New Roman" w:hAnsi="Times New Roman"/>
          <w:sz w:val="24"/>
          <w:szCs w:val="24"/>
          <w:lang w:val="sr-Cyrl-CS"/>
        </w:rPr>
        <w:t>Неопходност</w:t>
      </w:r>
      <w:r w:rsidR="00C86CFB">
        <w:rPr>
          <w:rFonts w:ascii="Times New Roman" w:hAnsi="Times New Roman"/>
          <w:sz w:val="24"/>
          <w:szCs w:val="24"/>
          <w:lang w:val="sr-Cyrl-CS"/>
        </w:rPr>
        <w:t xml:space="preserve"> конституисања </w:t>
      </w:r>
      <w:r w:rsidR="001A2236">
        <w:rPr>
          <w:rFonts w:ascii="Times New Roman" w:hAnsi="Times New Roman"/>
          <w:sz w:val="24"/>
          <w:szCs w:val="24"/>
          <w:lang w:val="sr-Cyrl-CS"/>
        </w:rPr>
        <w:t>система јавних прихода који ће облике захватања за јавне потр</w:t>
      </w:r>
      <w:r w:rsidR="002806F1">
        <w:rPr>
          <w:rFonts w:ascii="Times New Roman" w:hAnsi="Times New Roman"/>
          <w:sz w:val="24"/>
          <w:szCs w:val="24"/>
          <w:lang w:val="sr-Cyrl-CS"/>
        </w:rPr>
        <w:t>е</w:t>
      </w:r>
      <w:r w:rsidR="001A2236">
        <w:rPr>
          <w:rFonts w:ascii="Times New Roman" w:hAnsi="Times New Roman"/>
          <w:sz w:val="24"/>
          <w:szCs w:val="24"/>
          <w:lang w:val="sr-Cyrl-CS"/>
        </w:rPr>
        <w:t>бе свести на најмању меру</w:t>
      </w:r>
      <w:r w:rsidRPr="00467AE8">
        <w:rPr>
          <w:rFonts w:ascii="Times New Roman" w:hAnsi="Times New Roman"/>
          <w:sz w:val="24"/>
          <w:szCs w:val="24"/>
          <w:lang w:val="sr-Cyrl-CS"/>
        </w:rPr>
        <w:t xml:space="preserve"> </w:t>
      </w:r>
      <w:r>
        <w:rPr>
          <w:rFonts w:ascii="Times New Roman" w:hAnsi="Times New Roman"/>
          <w:sz w:val="24"/>
          <w:szCs w:val="24"/>
          <w:lang w:val="sr-Cyrl-CS"/>
        </w:rPr>
        <w:t>представља једно од основних концепцијских опредељења пореске реформе</w:t>
      </w:r>
      <w:r w:rsidR="001A2236">
        <w:rPr>
          <w:rFonts w:ascii="Times New Roman" w:hAnsi="Times New Roman"/>
          <w:sz w:val="24"/>
          <w:szCs w:val="24"/>
          <w:lang w:val="sr-Cyrl-CS"/>
        </w:rPr>
        <w:t xml:space="preserve">. </w:t>
      </w:r>
      <w:r>
        <w:rPr>
          <w:rFonts w:ascii="Times New Roman" w:hAnsi="Times New Roman"/>
          <w:sz w:val="24"/>
          <w:szCs w:val="24"/>
          <w:lang w:val="sr-Cyrl-CS"/>
        </w:rPr>
        <w:t>Закон</w:t>
      </w:r>
      <w:r w:rsidR="001A2236">
        <w:rPr>
          <w:rFonts w:ascii="Times New Roman" w:hAnsi="Times New Roman"/>
          <w:sz w:val="24"/>
          <w:szCs w:val="24"/>
          <w:lang w:val="sr-Cyrl-CS"/>
        </w:rPr>
        <w:t xml:space="preserve"> о јавним приходим</w:t>
      </w:r>
      <w:r>
        <w:rPr>
          <w:rFonts w:ascii="Times New Roman" w:hAnsi="Times New Roman"/>
          <w:sz w:val="24"/>
          <w:szCs w:val="24"/>
          <w:lang w:val="sr-Cyrl-CS"/>
        </w:rPr>
        <w:t>а и јавним расходима конципиран је</w:t>
      </w:r>
      <w:r w:rsidR="001A2236">
        <w:rPr>
          <w:rFonts w:ascii="Times New Roman" w:hAnsi="Times New Roman"/>
          <w:sz w:val="24"/>
          <w:szCs w:val="24"/>
          <w:lang w:val="sr-Cyrl-CS"/>
        </w:rPr>
        <w:t xml:space="preserve"> управо тако да се </w:t>
      </w:r>
      <w:r>
        <w:rPr>
          <w:rFonts w:ascii="Times New Roman" w:hAnsi="Times New Roman"/>
          <w:sz w:val="24"/>
          <w:szCs w:val="24"/>
          <w:lang w:val="sr-Cyrl-CS"/>
        </w:rPr>
        <w:t>јавни приходи за финансирање јавних функција</w:t>
      </w:r>
      <w:r w:rsidR="001A2236">
        <w:rPr>
          <w:rFonts w:ascii="Times New Roman" w:hAnsi="Times New Roman"/>
          <w:sz w:val="24"/>
          <w:szCs w:val="24"/>
          <w:lang w:val="sr-Cyrl-CS"/>
        </w:rPr>
        <w:t xml:space="preserve"> сведу само на оне облике који се т</w:t>
      </w:r>
      <w:r w:rsidR="002806F1">
        <w:rPr>
          <w:rFonts w:ascii="Times New Roman" w:hAnsi="Times New Roman"/>
          <w:sz w:val="24"/>
          <w:szCs w:val="24"/>
          <w:lang w:val="sr-Cyrl-CS"/>
        </w:rPr>
        <w:t>радиционал</w:t>
      </w:r>
      <w:r w:rsidR="001A2236">
        <w:rPr>
          <w:rFonts w:ascii="Times New Roman" w:hAnsi="Times New Roman"/>
          <w:sz w:val="24"/>
          <w:szCs w:val="24"/>
          <w:lang w:val="sr-Cyrl-CS"/>
        </w:rPr>
        <w:t>но и упоредноправно сматрају класичним јавним приходима.</w:t>
      </w:r>
      <w:r w:rsidR="001A2236">
        <w:rPr>
          <w:rStyle w:val="FootnoteReference"/>
          <w:rFonts w:ascii="Times New Roman" w:hAnsi="Times New Roman"/>
          <w:sz w:val="24"/>
          <w:szCs w:val="24"/>
          <w:lang w:val="sr-Cyrl-CS"/>
        </w:rPr>
        <w:footnoteReference w:id="177"/>
      </w:r>
      <w:r w:rsidR="002806F1">
        <w:rPr>
          <w:rFonts w:ascii="Times New Roman" w:hAnsi="Times New Roman"/>
          <w:sz w:val="24"/>
          <w:szCs w:val="24"/>
          <w:lang w:val="sr-Cyrl-CS"/>
        </w:rPr>
        <w:t xml:space="preserve"> </w:t>
      </w:r>
    </w:p>
    <w:p w:rsidR="008D3E50" w:rsidRDefault="008D3E50" w:rsidP="00AB33D8">
      <w:pPr>
        <w:pStyle w:val="ListParagraph"/>
        <w:ind w:left="0"/>
        <w:jc w:val="both"/>
        <w:rPr>
          <w:rFonts w:ascii="Times New Roman" w:hAnsi="Times New Roman"/>
          <w:sz w:val="24"/>
          <w:szCs w:val="24"/>
          <w:lang w:val="sr-Cyrl-CS"/>
        </w:rPr>
      </w:pPr>
    </w:p>
    <w:p w:rsidR="00AA6AAD" w:rsidRDefault="002806F1" w:rsidP="000E71A2">
      <w:pPr>
        <w:pStyle w:val="ListParagraph"/>
        <w:ind w:left="0" w:firstLine="708"/>
        <w:jc w:val="both"/>
        <w:rPr>
          <w:rFonts w:ascii="Times New Roman" w:hAnsi="Times New Roman"/>
          <w:sz w:val="24"/>
          <w:szCs w:val="24"/>
          <w:lang w:val="sr-Cyrl-CS"/>
        </w:rPr>
      </w:pPr>
      <w:r>
        <w:rPr>
          <w:rFonts w:ascii="Times New Roman" w:hAnsi="Times New Roman"/>
          <w:sz w:val="24"/>
          <w:szCs w:val="24"/>
          <w:lang w:val="sr-Cyrl-CS"/>
        </w:rPr>
        <w:t>Међутим, в</w:t>
      </w:r>
      <w:r w:rsidR="00AA6AAD">
        <w:rPr>
          <w:rFonts w:ascii="Times New Roman" w:hAnsi="Times New Roman"/>
          <w:sz w:val="24"/>
          <w:szCs w:val="24"/>
          <w:lang w:val="sr-Cyrl-CS"/>
        </w:rPr>
        <w:t>ећ у току 1992. и 1993. године долази до бројних измена и допуна нормативних аката.</w:t>
      </w:r>
      <w:r>
        <w:rPr>
          <w:rFonts w:ascii="Times New Roman" w:hAnsi="Times New Roman"/>
          <w:sz w:val="24"/>
          <w:szCs w:val="24"/>
          <w:lang w:val="sr-Cyrl-CS"/>
        </w:rPr>
        <w:t xml:space="preserve"> </w:t>
      </w:r>
      <w:r w:rsidR="00136387">
        <w:rPr>
          <w:rFonts w:ascii="Times New Roman" w:hAnsi="Times New Roman"/>
          <w:sz w:val="24"/>
          <w:szCs w:val="24"/>
          <w:lang w:val="sr-Cyrl-CS"/>
        </w:rPr>
        <w:t xml:space="preserve">Започета реформа није дуго трајала и није могла дати очекиване резултате </w:t>
      </w:r>
      <w:r w:rsidR="00AA6AAD">
        <w:rPr>
          <w:rFonts w:ascii="Times New Roman" w:hAnsi="Times New Roman"/>
          <w:sz w:val="24"/>
          <w:szCs w:val="24"/>
          <w:lang w:val="sr-Cyrl-CS"/>
        </w:rPr>
        <w:t xml:space="preserve">и </w:t>
      </w:r>
      <w:r w:rsidR="00136387">
        <w:rPr>
          <w:rFonts w:ascii="Times New Roman" w:hAnsi="Times New Roman"/>
          <w:sz w:val="24"/>
          <w:szCs w:val="24"/>
          <w:lang w:val="sr-Cyrl-CS"/>
        </w:rPr>
        <w:t xml:space="preserve">због догађаја који су се дешавали. </w:t>
      </w:r>
      <w:r w:rsidR="0031565A">
        <w:rPr>
          <w:rFonts w:ascii="Times New Roman" w:hAnsi="Times New Roman"/>
          <w:sz w:val="24"/>
          <w:szCs w:val="24"/>
          <w:lang w:val="sr-Cyrl-CS"/>
        </w:rPr>
        <w:t>Наиме,</w:t>
      </w:r>
      <w:r w:rsidR="00403EF7">
        <w:rPr>
          <w:rFonts w:ascii="Times New Roman" w:hAnsi="Times New Roman"/>
          <w:sz w:val="24"/>
          <w:szCs w:val="24"/>
          <w:lang w:val="sr-Cyrl-CS"/>
        </w:rPr>
        <w:t xml:space="preserve"> дошло је потпуног слома економс</w:t>
      </w:r>
      <w:r w:rsidR="0031565A">
        <w:rPr>
          <w:rFonts w:ascii="Times New Roman" w:hAnsi="Times New Roman"/>
          <w:sz w:val="24"/>
          <w:szCs w:val="24"/>
          <w:lang w:val="sr-Cyrl-CS"/>
        </w:rPr>
        <w:t>ког система услед рата и санкција Савета безбедности УН. Хиперинфлација је заустављена захваљујући Програму реконструкције који је ступио на снагу крајем јануара 1994. године.</w:t>
      </w:r>
      <w:r w:rsidR="00BC4F8D" w:rsidRPr="00BC4F8D">
        <w:rPr>
          <w:rFonts w:ascii="Times New Roman" w:hAnsi="Times New Roman"/>
          <w:sz w:val="24"/>
          <w:szCs w:val="24"/>
          <w:lang w:val="sr-Cyrl-CS"/>
        </w:rPr>
        <w:t xml:space="preserve"> </w:t>
      </w:r>
    </w:p>
    <w:p w:rsidR="000E71A2" w:rsidRDefault="000E71A2" w:rsidP="000E71A2">
      <w:pPr>
        <w:pStyle w:val="ListParagraph"/>
        <w:ind w:left="0" w:firstLine="708"/>
        <w:jc w:val="both"/>
        <w:rPr>
          <w:rFonts w:ascii="Times New Roman" w:hAnsi="Times New Roman"/>
          <w:sz w:val="24"/>
          <w:szCs w:val="24"/>
          <w:lang w:val="sr-Cyrl-CS"/>
        </w:rPr>
      </w:pPr>
    </w:p>
    <w:p w:rsidR="004F13B2" w:rsidRDefault="00403EF7" w:rsidP="00917DC1">
      <w:pPr>
        <w:pStyle w:val="ListParagraph"/>
        <w:ind w:left="0" w:firstLine="708"/>
        <w:jc w:val="both"/>
        <w:rPr>
          <w:rFonts w:ascii="Times New Roman" w:hAnsi="Times New Roman"/>
          <w:sz w:val="24"/>
          <w:szCs w:val="24"/>
          <w:lang w:val="sr-Cyrl-CS"/>
        </w:rPr>
      </w:pPr>
      <w:r>
        <w:rPr>
          <w:rFonts w:ascii="Times New Roman" w:hAnsi="Times New Roman"/>
          <w:sz w:val="24"/>
          <w:szCs w:val="24"/>
          <w:lang w:val="sr-Cyrl-CS"/>
        </w:rPr>
        <w:t>Према поменутом Програму</w:t>
      </w:r>
      <w:r w:rsidR="00AA6AAD">
        <w:rPr>
          <w:rFonts w:ascii="Times New Roman" w:hAnsi="Times New Roman"/>
          <w:sz w:val="24"/>
          <w:szCs w:val="24"/>
          <w:lang w:val="sr-Cyrl-CS"/>
        </w:rPr>
        <w:t xml:space="preserve"> реконструкције монетарног система и стратегије економског опоравка, </w:t>
      </w:r>
      <w:r>
        <w:rPr>
          <w:rFonts w:ascii="Times New Roman" w:hAnsi="Times New Roman"/>
          <w:sz w:val="24"/>
          <w:szCs w:val="24"/>
          <w:lang w:val="sr-Cyrl-CS"/>
        </w:rPr>
        <w:t>циљеви измена и допуна</w:t>
      </w:r>
      <w:r w:rsidR="00AA6AAD">
        <w:rPr>
          <w:rFonts w:ascii="Times New Roman" w:hAnsi="Times New Roman"/>
          <w:sz w:val="24"/>
          <w:szCs w:val="24"/>
          <w:lang w:val="sr-Cyrl-CS"/>
        </w:rPr>
        <w:t xml:space="preserve"> пореског система и пореске политике </w:t>
      </w:r>
      <w:r>
        <w:rPr>
          <w:rFonts w:ascii="Times New Roman" w:hAnsi="Times New Roman"/>
          <w:sz w:val="24"/>
          <w:szCs w:val="24"/>
          <w:lang w:val="sr-Cyrl-CS"/>
        </w:rPr>
        <w:t>били су да се</w:t>
      </w:r>
      <w:r w:rsidR="00AA6AAD">
        <w:rPr>
          <w:rFonts w:ascii="Times New Roman" w:hAnsi="Times New Roman"/>
          <w:sz w:val="24"/>
          <w:szCs w:val="24"/>
          <w:lang w:val="sr-Cyrl-CS"/>
        </w:rPr>
        <w:t>:</w:t>
      </w:r>
    </w:p>
    <w:p w:rsidR="00917DC1" w:rsidRDefault="00917DC1" w:rsidP="00917DC1">
      <w:pPr>
        <w:pStyle w:val="ListParagraph"/>
        <w:ind w:left="0" w:firstLine="708"/>
        <w:jc w:val="both"/>
        <w:rPr>
          <w:rFonts w:ascii="Times New Roman" w:hAnsi="Times New Roman"/>
          <w:sz w:val="24"/>
          <w:szCs w:val="24"/>
          <w:lang w:val="sr-Cyrl-CS"/>
        </w:rPr>
      </w:pPr>
    </w:p>
    <w:p w:rsidR="00AA6AAD" w:rsidRDefault="00917DC1" w:rsidP="00AB33D8">
      <w:pPr>
        <w:pStyle w:val="ListParagraph"/>
        <w:ind w:left="0"/>
        <w:jc w:val="both"/>
        <w:rPr>
          <w:rFonts w:ascii="Times New Roman" w:hAnsi="Times New Roman"/>
          <w:sz w:val="24"/>
          <w:szCs w:val="24"/>
          <w:lang w:val="sr-Cyrl-CS"/>
        </w:rPr>
      </w:pPr>
      <w:r>
        <w:rPr>
          <w:rFonts w:ascii="Times New Roman" w:hAnsi="Times New Roman"/>
          <w:sz w:val="24"/>
          <w:szCs w:val="24"/>
          <w:lang w:val="sr-Cyrl-CS"/>
        </w:rPr>
        <w:t>-е</w:t>
      </w:r>
      <w:r w:rsidR="006E02BD">
        <w:rPr>
          <w:rFonts w:ascii="Times New Roman" w:hAnsi="Times New Roman"/>
          <w:sz w:val="24"/>
          <w:szCs w:val="24"/>
          <w:lang w:val="sr-Cyrl-CS"/>
        </w:rPr>
        <w:t>лиминише дефицит у биланс</w:t>
      </w:r>
      <w:r w:rsidR="00AA6AAD">
        <w:rPr>
          <w:rFonts w:ascii="Times New Roman" w:hAnsi="Times New Roman"/>
          <w:sz w:val="24"/>
          <w:szCs w:val="24"/>
          <w:lang w:val="sr-Cyrl-CS"/>
        </w:rPr>
        <w:t>има јавне потрошње и то кроз ширење пореске основице уз</w:t>
      </w:r>
      <w:r w:rsidR="006E02BD">
        <w:rPr>
          <w:rFonts w:ascii="Times New Roman" w:hAnsi="Times New Roman"/>
          <w:sz w:val="24"/>
          <w:szCs w:val="24"/>
          <w:lang w:val="sr-Cyrl-CS"/>
        </w:rPr>
        <w:t xml:space="preserve"> истовремено снижавање појединач</w:t>
      </w:r>
      <w:r w:rsidR="00AA6AAD">
        <w:rPr>
          <w:rFonts w:ascii="Times New Roman" w:hAnsi="Times New Roman"/>
          <w:sz w:val="24"/>
          <w:szCs w:val="24"/>
          <w:lang w:val="sr-Cyrl-CS"/>
        </w:rPr>
        <w:t>них пореских оптерећења,</w:t>
      </w:r>
    </w:p>
    <w:p w:rsidR="00917DC1" w:rsidRDefault="00917DC1" w:rsidP="00AB33D8">
      <w:pPr>
        <w:pStyle w:val="ListParagraph"/>
        <w:ind w:left="0"/>
        <w:jc w:val="both"/>
        <w:rPr>
          <w:rFonts w:ascii="Times New Roman" w:hAnsi="Times New Roman"/>
          <w:sz w:val="24"/>
          <w:szCs w:val="24"/>
          <w:lang w:val="sr-Cyrl-CS"/>
        </w:rPr>
      </w:pPr>
    </w:p>
    <w:p w:rsidR="00AA6AAD" w:rsidRDefault="00AA6AAD" w:rsidP="00AB33D8">
      <w:pPr>
        <w:pStyle w:val="ListParagraph"/>
        <w:ind w:left="0"/>
        <w:jc w:val="both"/>
        <w:rPr>
          <w:rFonts w:ascii="Times New Roman" w:hAnsi="Times New Roman"/>
          <w:sz w:val="24"/>
          <w:szCs w:val="24"/>
          <w:lang w:val="sr-Cyrl-CS"/>
        </w:rPr>
      </w:pPr>
      <w:r>
        <w:rPr>
          <w:rFonts w:ascii="Times New Roman" w:hAnsi="Times New Roman"/>
          <w:sz w:val="24"/>
          <w:szCs w:val="24"/>
          <w:lang w:val="sr-Cyrl-CS"/>
        </w:rPr>
        <w:t xml:space="preserve">-ширење стимулације и </w:t>
      </w:r>
      <w:r w:rsidR="00403EF7">
        <w:rPr>
          <w:rFonts w:ascii="Times New Roman" w:hAnsi="Times New Roman"/>
          <w:sz w:val="24"/>
          <w:szCs w:val="24"/>
          <w:lang w:val="sr-Cyrl-CS"/>
        </w:rPr>
        <w:t>пореских подстицаја</w:t>
      </w:r>
      <w:r>
        <w:rPr>
          <w:rFonts w:ascii="Times New Roman" w:hAnsi="Times New Roman"/>
          <w:sz w:val="24"/>
          <w:szCs w:val="24"/>
          <w:lang w:val="sr-Cyrl-CS"/>
        </w:rPr>
        <w:t>.</w:t>
      </w:r>
      <w:r>
        <w:rPr>
          <w:rStyle w:val="FootnoteReference"/>
          <w:rFonts w:ascii="Times New Roman" w:hAnsi="Times New Roman"/>
          <w:sz w:val="24"/>
          <w:szCs w:val="24"/>
          <w:lang w:val="sr-Cyrl-CS"/>
        </w:rPr>
        <w:footnoteReference w:id="178"/>
      </w:r>
    </w:p>
    <w:p w:rsidR="00917DC1" w:rsidRDefault="00917DC1" w:rsidP="00AB33D8">
      <w:pPr>
        <w:pStyle w:val="ListParagraph"/>
        <w:ind w:left="0"/>
        <w:jc w:val="both"/>
        <w:rPr>
          <w:rFonts w:ascii="Times New Roman" w:hAnsi="Times New Roman"/>
          <w:sz w:val="24"/>
          <w:szCs w:val="24"/>
          <w:lang w:val="sr-Cyrl-CS"/>
        </w:rPr>
      </w:pPr>
    </w:p>
    <w:p w:rsidR="004F13B2" w:rsidRDefault="001A2E71" w:rsidP="00917DC1">
      <w:pPr>
        <w:pStyle w:val="ListParagraph"/>
        <w:ind w:left="0" w:firstLine="708"/>
        <w:jc w:val="both"/>
        <w:rPr>
          <w:rFonts w:ascii="Times New Roman" w:hAnsi="Times New Roman"/>
          <w:sz w:val="24"/>
          <w:szCs w:val="24"/>
          <w:lang w:val="sr-Cyrl-CS"/>
        </w:rPr>
      </w:pPr>
      <w:r>
        <w:rPr>
          <w:rFonts w:ascii="Times New Roman" w:hAnsi="Times New Roman"/>
          <w:sz w:val="24"/>
          <w:szCs w:val="24"/>
          <w:lang w:val="sr-Cyrl-CS"/>
        </w:rPr>
        <w:lastRenderedPageBreak/>
        <w:t>Законс</w:t>
      </w:r>
      <w:r w:rsidR="005841D0">
        <w:rPr>
          <w:rFonts w:ascii="Times New Roman" w:hAnsi="Times New Roman"/>
          <w:sz w:val="24"/>
          <w:szCs w:val="24"/>
          <w:lang w:val="sr-Cyrl-CS"/>
        </w:rPr>
        <w:t>к</w:t>
      </w:r>
      <w:r>
        <w:rPr>
          <w:rFonts w:ascii="Times New Roman" w:hAnsi="Times New Roman"/>
          <w:sz w:val="24"/>
          <w:szCs w:val="24"/>
          <w:lang w:val="sr-Cyrl-CS"/>
        </w:rPr>
        <w:t>и акт којим се уређују основе пореског система на територији Савезне Републике Југославије је донет тек 1996. године</w:t>
      </w:r>
      <w:r>
        <w:rPr>
          <w:rStyle w:val="FootnoteReference"/>
          <w:rFonts w:ascii="Times New Roman" w:hAnsi="Times New Roman"/>
          <w:sz w:val="24"/>
          <w:szCs w:val="24"/>
          <w:lang w:val="sr-Cyrl-CS"/>
        </w:rPr>
        <w:footnoteReference w:id="179"/>
      </w:r>
      <w:r>
        <w:rPr>
          <w:rFonts w:ascii="Times New Roman" w:hAnsi="Times New Roman"/>
          <w:sz w:val="24"/>
          <w:szCs w:val="24"/>
          <w:lang w:val="sr-Cyrl-CS"/>
        </w:rPr>
        <w:t xml:space="preserve">. </w:t>
      </w:r>
      <w:r w:rsidR="005841D0">
        <w:rPr>
          <w:rFonts w:ascii="Times New Roman" w:hAnsi="Times New Roman"/>
          <w:sz w:val="24"/>
          <w:szCs w:val="24"/>
          <w:lang w:val="sr-Cyrl-CS"/>
        </w:rPr>
        <w:t>Њиме су уређене врсте пореза на територији Савезне Републике Југославије, предмет опорезивања, порески обвезник, пореска основица, врсте пореских стопа, као и висина, однос</w:t>
      </w:r>
      <w:r w:rsidR="00917DC1">
        <w:rPr>
          <w:rFonts w:ascii="Times New Roman" w:hAnsi="Times New Roman"/>
          <w:sz w:val="24"/>
          <w:szCs w:val="24"/>
          <w:lang w:val="sr-Cyrl-CS"/>
        </w:rPr>
        <w:t>но распон пореских стопа, пореска ослобођења и пореске олакшице</w:t>
      </w:r>
      <w:r w:rsidR="005841D0">
        <w:rPr>
          <w:rFonts w:ascii="Times New Roman" w:hAnsi="Times New Roman"/>
          <w:sz w:val="24"/>
          <w:szCs w:val="24"/>
          <w:lang w:val="sr-Cyrl-CS"/>
        </w:rPr>
        <w:t xml:space="preserve"> за порезе кој</w:t>
      </w:r>
      <w:r w:rsidR="006E02BD">
        <w:rPr>
          <w:rFonts w:ascii="Times New Roman" w:hAnsi="Times New Roman"/>
          <w:sz w:val="24"/>
          <w:szCs w:val="24"/>
          <w:lang w:val="sr-Cyrl-CS"/>
        </w:rPr>
        <w:t>и су од</w:t>
      </w:r>
      <w:r w:rsidR="00917DC1">
        <w:rPr>
          <w:rFonts w:ascii="Times New Roman" w:hAnsi="Times New Roman"/>
          <w:sz w:val="24"/>
          <w:szCs w:val="24"/>
          <w:lang w:val="sr-Cyrl-CS"/>
        </w:rPr>
        <w:t xml:space="preserve"> значаја за једин</w:t>
      </w:r>
      <w:r w:rsidR="005841D0">
        <w:rPr>
          <w:rFonts w:ascii="Times New Roman" w:hAnsi="Times New Roman"/>
          <w:sz w:val="24"/>
          <w:szCs w:val="24"/>
          <w:lang w:val="sr-Cyrl-CS"/>
        </w:rPr>
        <w:t>ствено тржиште.</w:t>
      </w:r>
    </w:p>
    <w:p w:rsidR="00917DC1" w:rsidRDefault="00917DC1" w:rsidP="00917DC1">
      <w:pPr>
        <w:pStyle w:val="ListParagraph"/>
        <w:ind w:left="0" w:firstLine="708"/>
        <w:jc w:val="both"/>
        <w:rPr>
          <w:rFonts w:ascii="Times New Roman" w:hAnsi="Times New Roman"/>
          <w:sz w:val="24"/>
          <w:szCs w:val="24"/>
          <w:lang w:val="sr-Cyrl-CS"/>
        </w:rPr>
      </w:pPr>
    </w:p>
    <w:p w:rsidR="005841D0" w:rsidRDefault="005841D0" w:rsidP="00AB33D8">
      <w:pPr>
        <w:pStyle w:val="ListParagraph"/>
        <w:ind w:left="0"/>
        <w:jc w:val="both"/>
        <w:rPr>
          <w:rFonts w:ascii="Times New Roman" w:hAnsi="Times New Roman"/>
          <w:sz w:val="24"/>
          <w:szCs w:val="24"/>
          <w:lang w:val="sr-Cyrl-CS"/>
        </w:rPr>
      </w:pPr>
      <w:r>
        <w:rPr>
          <w:rFonts w:ascii="Times New Roman" w:hAnsi="Times New Roman"/>
          <w:sz w:val="24"/>
          <w:szCs w:val="24"/>
          <w:lang w:val="sr-Cyrl-CS"/>
        </w:rPr>
        <w:t>Врсте пореза на територији СР Југославије били су:</w:t>
      </w:r>
    </w:p>
    <w:p w:rsidR="00917DC1" w:rsidRDefault="00917DC1" w:rsidP="00AB33D8">
      <w:pPr>
        <w:pStyle w:val="ListParagraph"/>
        <w:ind w:left="0"/>
        <w:jc w:val="both"/>
        <w:rPr>
          <w:rFonts w:ascii="Times New Roman" w:hAnsi="Times New Roman"/>
          <w:sz w:val="24"/>
          <w:szCs w:val="24"/>
          <w:lang w:val="sr-Cyrl-CS"/>
        </w:rPr>
      </w:pPr>
    </w:p>
    <w:p w:rsidR="005841D0" w:rsidRDefault="005841D0" w:rsidP="00AB33D8">
      <w:pPr>
        <w:pStyle w:val="ListParagraph"/>
        <w:ind w:left="0"/>
        <w:jc w:val="both"/>
        <w:rPr>
          <w:rFonts w:ascii="Times New Roman" w:hAnsi="Times New Roman"/>
          <w:sz w:val="24"/>
          <w:szCs w:val="24"/>
          <w:lang w:val="sr-Cyrl-CS"/>
        </w:rPr>
      </w:pPr>
      <w:r>
        <w:rPr>
          <w:rFonts w:ascii="Times New Roman" w:hAnsi="Times New Roman"/>
          <w:sz w:val="24"/>
          <w:szCs w:val="24"/>
          <w:lang w:val="sr-Cyrl-CS"/>
        </w:rPr>
        <w:t>-порез на промет (који обухвата следеће облике: акцизе, порез на промет прозвода, и порез на промет услуга);</w:t>
      </w:r>
    </w:p>
    <w:p w:rsidR="005841D0" w:rsidRDefault="005841D0" w:rsidP="00AB33D8">
      <w:pPr>
        <w:pStyle w:val="ListParagraph"/>
        <w:ind w:left="0"/>
        <w:jc w:val="both"/>
        <w:rPr>
          <w:rFonts w:ascii="Times New Roman" w:hAnsi="Times New Roman"/>
          <w:sz w:val="24"/>
          <w:szCs w:val="24"/>
          <w:lang w:val="sr-Cyrl-CS"/>
        </w:rPr>
      </w:pPr>
      <w:r>
        <w:rPr>
          <w:rFonts w:ascii="Times New Roman" w:hAnsi="Times New Roman"/>
          <w:sz w:val="24"/>
          <w:szCs w:val="24"/>
          <w:lang w:val="sr-Cyrl-CS"/>
        </w:rPr>
        <w:t xml:space="preserve">-порез на добит ( чији је предмет добит коју порески обвезник, односно правно лице које је организовано као друштво капитала или изузетно правно лице које је организовано </w:t>
      </w:r>
      <w:r w:rsidR="00257FB9">
        <w:rPr>
          <w:rFonts w:ascii="Times New Roman" w:hAnsi="Times New Roman"/>
          <w:sz w:val="24"/>
          <w:szCs w:val="24"/>
          <w:lang w:val="sr-Cyrl-CS"/>
        </w:rPr>
        <w:t>као ортачко или командитно друштво, а остварује приходе продајом производа и вршењем услуга уз надокнаду на тржишту</w:t>
      </w:r>
      <w:r w:rsidR="00AB4724">
        <w:rPr>
          <w:rFonts w:ascii="Times New Roman" w:hAnsi="Times New Roman"/>
          <w:sz w:val="24"/>
          <w:szCs w:val="24"/>
          <w:lang w:val="sr-Cyrl-CS"/>
        </w:rPr>
        <w:t xml:space="preserve">, </w:t>
      </w:r>
      <w:r>
        <w:rPr>
          <w:rFonts w:ascii="Times New Roman" w:hAnsi="Times New Roman"/>
          <w:sz w:val="24"/>
          <w:szCs w:val="24"/>
          <w:lang w:val="sr-Cyrl-CS"/>
        </w:rPr>
        <w:t>оствари у току календарске године);</w:t>
      </w:r>
    </w:p>
    <w:p w:rsidR="00917DC1" w:rsidRDefault="00AB4724" w:rsidP="00AB33D8">
      <w:pPr>
        <w:pStyle w:val="ListParagraph"/>
        <w:ind w:left="0"/>
        <w:jc w:val="both"/>
        <w:rPr>
          <w:rFonts w:ascii="Times New Roman" w:hAnsi="Times New Roman"/>
          <w:sz w:val="24"/>
          <w:szCs w:val="24"/>
          <w:lang w:val="sr-Cyrl-CS"/>
        </w:rPr>
      </w:pPr>
      <w:r>
        <w:rPr>
          <w:rFonts w:ascii="Times New Roman" w:hAnsi="Times New Roman"/>
          <w:sz w:val="24"/>
          <w:szCs w:val="24"/>
          <w:lang w:val="sr-Cyrl-CS"/>
        </w:rPr>
        <w:t>-порез на доходак (коме подлежу следеће врсте прихода: лична примања, приходи од пољопривреде и шумарства, приходи од самосталне делатности, приход</w:t>
      </w:r>
      <w:r w:rsidR="00917DC1">
        <w:rPr>
          <w:rFonts w:ascii="Times New Roman" w:hAnsi="Times New Roman"/>
          <w:sz w:val="24"/>
          <w:szCs w:val="24"/>
          <w:lang w:val="sr-Cyrl-CS"/>
        </w:rPr>
        <w:t>и од ауторских права и права ин</w:t>
      </w:r>
      <w:r>
        <w:rPr>
          <w:rFonts w:ascii="Times New Roman" w:hAnsi="Times New Roman"/>
          <w:sz w:val="24"/>
          <w:szCs w:val="24"/>
          <w:lang w:val="sr-Cyrl-CS"/>
        </w:rPr>
        <w:t>дустријске својине, приходи од капитала, приходи од непокретности, капитални добици и остали приходи);</w:t>
      </w:r>
    </w:p>
    <w:p w:rsidR="005841D0" w:rsidRDefault="005841D0" w:rsidP="00AB33D8">
      <w:pPr>
        <w:pStyle w:val="ListParagraph"/>
        <w:ind w:left="0"/>
        <w:jc w:val="both"/>
        <w:rPr>
          <w:rFonts w:ascii="Times New Roman" w:hAnsi="Times New Roman"/>
          <w:sz w:val="24"/>
          <w:szCs w:val="24"/>
          <w:lang w:val="sr-Cyrl-CS"/>
        </w:rPr>
      </w:pPr>
      <w:r>
        <w:rPr>
          <w:rFonts w:ascii="Times New Roman" w:hAnsi="Times New Roman"/>
          <w:sz w:val="24"/>
          <w:szCs w:val="24"/>
          <w:lang w:val="sr-Cyrl-CS"/>
        </w:rPr>
        <w:t>-порез на имовину</w:t>
      </w:r>
      <w:r w:rsidR="00AB4724">
        <w:rPr>
          <w:rFonts w:ascii="Times New Roman" w:hAnsi="Times New Roman"/>
          <w:sz w:val="24"/>
          <w:szCs w:val="24"/>
          <w:lang w:val="sr-Cyrl-CS"/>
        </w:rPr>
        <w:t xml:space="preserve"> (који се плаћа на следећа права на непокретности: право својине, право плодоуживања, право употребе и паво становања, право врменског коришћења, право дугорочног закупа, право коришћења градског грађевиснког земљишта преко 10 ари)</w:t>
      </w:r>
      <w:r>
        <w:rPr>
          <w:rFonts w:ascii="Times New Roman" w:hAnsi="Times New Roman"/>
          <w:sz w:val="24"/>
          <w:szCs w:val="24"/>
          <w:lang w:val="sr-Cyrl-CS"/>
        </w:rPr>
        <w:t>;</w:t>
      </w:r>
    </w:p>
    <w:p w:rsidR="00AA2680" w:rsidRDefault="005841D0" w:rsidP="0003409C">
      <w:pPr>
        <w:pStyle w:val="ListParagraph"/>
        <w:ind w:left="0"/>
        <w:jc w:val="both"/>
        <w:rPr>
          <w:rFonts w:ascii="Times New Roman" w:hAnsi="Times New Roman"/>
          <w:sz w:val="24"/>
          <w:szCs w:val="24"/>
          <w:lang w:val="sr-Cyrl-CS"/>
        </w:rPr>
      </w:pPr>
      <w:r>
        <w:rPr>
          <w:rFonts w:ascii="Times New Roman" w:hAnsi="Times New Roman"/>
          <w:sz w:val="24"/>
          <w:szCs w:val="24"/>
          <w:lang w:val="sr-Cyrl-CS"/>
        </w:rPr>
        <w:t>-порез на приход од међународног саобраћаја</w:t>
      </w:r>
      <w:r w:rsidR="00AB4724">
        <w:rPr>
          <w:rFonts w:ascii="Times New Roman" w:hAnsi="Times New Roman"/>
          <w:sz w:val="24"/>
          <w:szCs w:val="24"/>
          <w:lang w:val="sr-Cyrl-CS"/>
        </w:rPr>
        <w:t xml:space="preserve"> (чија је основица пореза сваки појединачни бруто приход остварен од превоза путника и робе у Југославији и из Југославије)</w:t>
      </w:r>
      <w:r>
        <w:rPr>
          <w:rFonts w:ascii="Times New Roman" w:hAnsi="Times New Roman"/>
          <w:sz w:val="24"/>
          <w:szCs w:val="24"/>
          <w:lang w:val="sr-Cyrl-CS"/>
        </w:rPr>
        <w:t>.</w:t>
      </w:r>
    </w:p>
    <w:p w:rsidR="0003409C" w:rsidRPr="0003409C" w:rsidRDefault="0003409C" w:rsidP="0003409C">
      <w:pPr>
        <w:pStyle w:val="ListParagraph"/>
        <w:ind w:left="0"/>
        <w:jc w:val="both"/>
        <w:rPr>
          <w:rFonts w:ascii="Times New Roman" w:hAnsi="Times New Roman"/>
          <w:sz w:val="24"/>
          <w:szCs w:val="24"/>
          <w:lang w:val="sr-Cyrl-CS"/>
        </w:rPr>
      </w:pPr>
    </w:p>
    <w:p w:rsidR="005F26AC" w:rsidRDefault="00BC431E" w:rsidP="00AA2680">
      <w:pPr>
        <w:pStyle w:val="ListParagraph"/>
        <w:ind w:left="0" w:firstLine="360"/>
        <w:jc w:val="both"/>
        <w:rPr>
          <w:rFonts w:ascii="Times New Roman" w:hAnsi="Times New Roman"/>
          <w:sz w:val="24"/>
          <w:szCs w:val="24"/>
          <w:lang w:val="sr-Cyrl-CS"/>
        </w:rPr>
      </w:pPr>
      <w:r>
        <w:rPr>
          <w:rFonts w:ascii="Times New Roman" w:hAnsi="Times New Roman"/>
          <w:sz w:val="24"/>
          <w:szCs w:val="24"/>
          <w:lang w:val="sr-Cyrl-CS"/>
        </w:rPr>
        <w:t>Реформисани систем јавних прихода и јавних расход</w:t>
      </w:r>
      <w:r w:rsidR="00136387">
        <w:rPr>
          <w:rFonts w:ascii="Times New Roman" w:hAnsi="Times New Roman"/>
          <w:sz w:val="24"/>
          <w:szCs w:val="24"/>
          <w:lang w:val="sr-Cyrl-CS"/>
        </w:rPr>
        <w:t>а није дао очекиване резултате, промене пореских закона су биле честе и бројне, повећан је укупан број прихода, тако да је систем јавних прихода постао гломазан</w:t>
      </w:r>
      <w:r w:rsidR="00AB33D8">
        <w:rPr>
          <w:rFonts w:ascii="Times New Roman" w:hAnsi="Times New Roman"/>
          <w:sz w:val="24"/>
          <w:szCs w:val="24"/>
          <w:lang w:val="sr-Cyrl-CS"/>
        </w:rPr>
        <w:t xml:space="preserve">, па је систем финансирања </w:t>
      </w:r>
      <w:r w:rsidR="00136387">
        <w:rPr>
          <w:rFonts w:ascii="Times New Roman" w:hAnsi="Times New Roman"/>
          <w:sz w:val="24"/>
          <w:szCs w:val="24"/>
          <w:lang w:val="sr-Cyrl-CS"/>
        </w:rPr>
        <w:t>све више почео да одступа од циљева који су постављени пореском реформом.</w:t>
      </w:r>
      <w:r w:rsidR="00AA2680">
        <w:rPr>
          <w:rFonts w:ascii="Times New Roman" w:hAnsi="Times New Roman"/>
          <w:sz w:val="24"/>
          <w:szCs w:val="24"/>
          <w:lang w:val="sr-Cyrl-CS"/>
        </w:rPr>
        <w:t xml:space="preserve"> </w:t>
      </w:r>
    </w:p>
    <w:p w:rsidR="004F13B2" w:rsidRDefault="004F13B2" w:rsidP="00AB33D8">
      <w:pPr>
        <w:pStyle w:val="ListParagraph"/>
        <w:ind w:left="0"/>
        <w:jc w:val="both"/>
        <w:rPr>
          <w:rFonts w:ascii="Times New Roman" w:hAnsi="Times New Roman"/>
          <w:sz w:val="24"/>
          <w:szCs w:val="24"/>
          <w:lang w:val="sr-Cyrl-CS"/>
        </w:rPr>
      </w:pPr>
    </w:p>
    <w:p w:rsidR="000C4553" w:rsidRDefault="004F13B2" w:rsidP="000C4553">
      <w:pPr>
        <w:pStyle w:val="ListParagraph"/>
        <w:ind w:left="0" w:firstLine="360"/>
        <w:jc w:val="both"/>
        <w:rPr>
          <w:rFonts w:ascii="Times New Roman" w:hAnsi="Times New Roman"/>
          <w:sz w:val="24"/>
          <w:szCs w:val="24"/>
        </w:rPr>
      </w:pPr>
      <w:r>
        <w:rPr>
          <w:rFonts w:ascii="Times New Roman" w:hAnsi="Times New Roman"/>
          <w:sz w:val="24"/>
          <w:szCs w:val="24"/>
          <w:lang w:val="sr-Cyrl-CS"/>
        </w:rPr>
        <w:t>Примену проп</w:t>
      </w:r>
      <w:r w:rsidR="00AA2680">
        <w:rPr>
          <w:rFonts w:ascii="Times New Roman" w:hAnsi="Times New Roman"/>
          <w:sz w:val="24"/>
          <w:szCs w:val="24"/>
          <w:lang w:val="sr-Cyrl-CS"/>
        </w:rPr>
        <w:t>и</w:t>
      </w:r>
      <w:r>
        <w:rPr>
          <w:rFonts w:ascii="Times New Roman" w:hAnsi="Times New Roman"/>
          <w:sz w:val="24"/>
          <w:szCs w:val="24"/>
          <w:lang w:val="sr-Cyrl-CS"/>
        </w:rPr>
        <w:t>са из области јавних приход</w:t>
      </w:r>
      <w:r w:rsidR="001A2E71">
        <w:rPr>
          <w:rFonts w:ascii="Times New Roman" w:hAnsi="Times New Roman"/>
          <w:sz w:val="24"/>
          <w:szCs w:val="24"/>
          <w:lang w:val="sr-Cyrl-CS"/>
        </w:rPr>
        <w:t>а вршила је Републичка управа јавних прихода, док је посл</w:t>
      </w:r>
      <w:r>
        <w:rPr>
          <w:rFonts w:ascii="Times New Roman" w:hAnsi="Times New Roman"/>
          <w:sz w:val="24"/>
          <w:szCs w:val="24"/>
          <w:lang w:val="sr-Cyrl-CS"/>
        </w:rPr>
        <w:t>ове контроле јавних прихода вршила посебна организа</w:t>
      </w:r>
      <w:r w:rsidR="00AA2680">
        <w:rPr>
          <w:rFonts w:ascii="Times New Roman" w:hAnsi="Times New Roman"/>
          <w:sz w:val="24"/>
          <w:szCs w:val="24"/>
          <w:lang w:val="sr-Cyrl-CS"/>
        </w:rPr>
        <w:t>ц</w:t>
      </w:r>
      <w:r>
        <w:rPr>
          <w:rFonts w:ascii="Times New Roman" w:hAnsi="Times New Roman"/>
          <w:sz w:val="24"/>
          <w:szCs w:val="24"/>
          <w:lang w:val="sr-Cyrl-CS"/>
        </w:rPr>
        <w:t>иона јединица Финансијска полиција.</w:t>
      </w:r>
      <w:r w:rsidR="00AA2680">
        <w:rPr>
          <w:rFonts w:ascii="Times New Roman" w:hAnsi="Times New Roman"/>
          <w:sz w:val="24"/>
          <w:szCs w:val="24"/>
          <w:lang w:val="sr-Cyrl-CS"/>
        </w:rPr>
        <w:t xml:space="preserve"> </w:t>
      </w:r>
    </w:p>
    <w:p w:rsidR="000C4553" w:rsidRPr="000C4553" w:rsidRDefault="000C4553" w:rsidP="000C4553">
      <w:pPr>
        <w:pStyle w:val="ListParagraph"/>
        <w:ind w:left="0" w:firstLine="360"/>
        <w:jc w:val="both"/>
        <w:rPr>
          <w:rFonts w:ascii="Times New Roman" w:hAnsi="Times New Roman"/>
          <w:sz w:val="24"/>
          <w:szCs w:val="24"/>
        </w:rPr>
      </w:pPr>
    </w:p>
    <w:p w:rsidR="008E60D4" w:rsidRDefault="008E60D4" w:rsidP="00AB33D8">
      <w:pPr>
        <w:pStyle w:val="ListParagraph"/>
        <w:ind w:left="0"/>
        <w:jc w:val="both"/>
        <w:rPr>
          <w:rFonts w:ascii="Times New Roman" w:hAnsi="Times New Roman"/>
          <w:sz w:val="24"/>
          <w:szCs w:val="24"/>
          <w:lang w:val="sr-Cyrl-CS"/>
        </w:rPr>
      </w:pPr>
    </w:p>
    <w:p w:rsidR="003A57BB" w:rsidRDefault="003A57BB" w:rsidP="00AB33D8">
      <w:pPr>
        <w:pStyle w:val="ListParagraph"/>
        <w:ind w:left="0"/>
        <w:jc w:val="both"/>
        <w:rPr>
          <w:rFonts w:ascii="Times New Roman" w:hAnsi="Times New Roman"/>
          <w:sz w:val="24"/>
          <w:szCs w:val="24"/>
          <w:lang w:val="sr-Cyrl-CS"/>
        </w:rPr>
      </w:pPr>
    </w:p>
    <w:p w:rsidR="003A57BB" w:rsidRDefault="003A57BB" w:rsidP="00AB33D8">
      <w:pPr>
        <w:pStyle w:val="ListParagraph"/>
        <w:ind w:left="0"/>
        <w:jc w:val="both"/>
        <w:rPr>
          <w:rFonts w:ascii="Times New Roman" w:hAnsi="Times New Roman"/>
          <w:sz w:val="24"/>
          <w:szCs w:val="24"/>
          <w:lang w:val="sr-Cyrl-CS"/>
        </w:rPr>
      </w:pPr>
    </w:p>
    <w:p w:rsidR="00A74A8E" w:rsidRDefault="00A74A8E" w:rsidP="00AB33D8">
      <w:pPr>
        <w:pStyle w:val="ListParagraph"/>
        <w:ind w:left="0"/>
        <w:jc w:val="both"/>
        <w:rPr>
          <w:rFonts w:ascii="Times New Roman" w:hAnsi="Times New Roman"/>
          <w:sz w:val="24"/>
          <w:szCs w:val="24"/>
          <w:lang w:val="sr-Cyrl-CS"/>
        </w:rPr>
      </w:pPr>
    </w:p>
    <w:p w:rsidR="008E60D4" w:rsidRDefault="008E60D4" w:rsidP="008A3795">
      <w:pPr>
        <w:pStyle w:val="ListParagraph"/>
        <w:numPr>
          <w:ilvl w:val="0"/>
          <w:numId w:val="9"/>
        </w:numPr>
        <w:jc w:val="both"/>
        <w:rPr>
          <w:rFonts w:ascii="Times New Roman" w:hAnsi="Times New Roman"/>
          <w:sz w:val="24"/>
          <w:szCs w:val="24"/>
          <w:lang w:val="sr-Cyrl-CS"/>
        </w:rPr>
      </w:pPr>
      <w:r w:rsidRPr="00AA2680">
        <w:rPr>
          <w:rFonts w:ascii="Times New Roman" w:hAnsi="Times New Roman"/>
          <w:sz w:val="24"/>
          <w:szCs w:val="24"/>
          <w:lang w:val="sr-Cyrl-CS"/>
        </w:rPr>
        <w:lastRenderedPageBreak/>
        <w:t xml:space="preserve">Пореска реформа од 2001. </w:t>
      </w:r>
      <w:r w:rsidR="00664EBE">
        <w:rPr>
          <w:rFonts w:ascii="Times New Roman" w:hAnsi="Times New Roman"/>
          <w:sz w:val="24"/>
          <w:szCs w:val="24"/>
          <w:lang w:val="sr-Cyrl-CS"/>
        </w:rPr>
        <w:t>г</w:t>
      </w:r>
      <w:r w:rsidRPr="00AA2680">
        <w:rPr>
          <w:rFonts w:ascii="Times New Roman" w:hAnsi="Times New Roman"/>
          <w:sz w:val="24"/>
          <w:szCs w:val="24"/>
          <w:lang w:val="sr-Cyrl-CS"/>
        </w:rPr>
        <w:t>одине</w:t>
      </w:r>
      <w:r w:rsidR="00664EBE">
        <w:rPr>
          <w:rFonts w:ascii="Times New Roman" w:hAnsi="Times New Roman"/>
          <w:sz w:val="24"/>
          <w:szCs w:val="24"/>
          <w:lang w:val="sr-Cyrl-CS"/>
        </w:rPr>
        <w:t xml:space="preserve"> </w:t>
      </w:r>
    </w:p>
    <w:p w:rsidR="000C4553" w:rsidRPr="00AA2680" w:rsidRDefault="000C4553" w:rsidP="000C4553">
      <w:pPr>
        <w:pStyle w:val="ListParagraph"/>
        <w:ind w:left="1080"/>
        <w:jc w:val="both"/>
        <w:rPr>
          <w:rFonts w:ascii="Times New Roman" w:hAnsi="Times New Roman"/>
          <w:sz w:val="24"/>
          <w:szCs w:val="24"/>
          <w:lang w:val="sr-Cyrl-CS"/>
        </w:rPr>
      </w:pPr>
    </w:p>
    <w:p w:rsidR="008E60D4" w:rsidRDefault="008E60D4" w:rsidP="00AB33D8">
      <w:pPr>
        <w:pStyle w:val="ListParagraph"/>
        <w:ind w:left="0"/>
        <w:jc w:val="both"/>
        <w:rPr>
          <w:rFonts w:ascii="Times New Roman" w:hAnsi="Times New Roman"/>
          <w:sz w:val="24"/>
          <w:szCs w:val="24"/>
          <w:lang w:val="sr-Cyrl-CS"/>
        </w:rPr>
      </w:pPr>
    </w:p>
    <w:p w:rsidR="008E60D4" w:rsidRDefault="0003409C" w:rsidP="00AA2680">
      <w:pPr>
        <w:pStyle w:val="ListParagraph"/>
        <w:ind w:left="0" w:firstLine="708"/>
        <w:jc w:val="both"/>
        <w:rPr>
          <w:rFonts w:ascii="Times New Roman" w:hAnsi="Times New Roman"/>
          <w:sz w:val="24"/>
          <w:szCs w:val="24"/>
          <w:lang w:val="sr-Cyrl-CS"/>
        </w:rPr>
      </w:pPr>
      <w:r>
        <w:rPr>
          <w:rFonts w:ascii="Times New Roman" w:hAnsi="Times New Roman"/>
          <w:sz w:val="24"/>
          <w:szCs w:val="24"/>
          <w:lang w:val="sr-Cyrl-CS"/>
        </w:rPr>
        <w:t>„</w:t>
      </w:r>
      <w:r w:rsidR="008E60D4">
        <w:rPr>
          <w:rFonts w:ascii="Times New Roman" w:hAnsi="Times New Roman"/>
          <w:sz w:val="24"/>
          <w:szCs w:val="24"/>
          <w:lang w:val="sr-Cyrl-CS"/>
        </w:rPr>
        <w:t>Дугогодишња криза која је захватила све области нашег живота испољила је бројне слабости система који је грађен претходних пет деценија. Наш, толико хваљен и оригиналан концепт социјалистичког самоуправног друштва, утемењен на друштвеној својини над средствима за производњу, није одолео изазовима новог времена, у коме се све више афирмишу предности система са развијеном тржишном оријентацијом и успешном приватном иницијативом. Оно што смо деценијама замишљали као камен темељац, готово преко ноћи се претворило у камен спотицања.</w:t>
      </w:r>
      <w:r>
        <w:rPr>
          <w:rFonts w:ascii="Times New Roman" w:hAnsi="Times New Roman"/>
          <w:sz w:val="24"/>
          <w:szCs w:val="24"/>
          <w:lang w:val="sr-Cyrl-CS"/>
        </w:rPr>
        <w:t>“</w:t>
      </w:r>
      <w:r w:rsidR="008E60D4">
        <w:rPr>
          <w:rStyle w:val="FootnoteReference"/>
          <w:rFonts w:ascii="Times New Roman" w:hAnsi="Times New Roman"/>
          <w:sz w:val="24"/>
          <w:szCs w:val="24"/>
          <w:lang w:val="sr-Cyrl-CS"/>
        </w:rPr>
        <w:footnoteReference w:id="180"/>
      </w:r>
      <w:r w:rsidR="00AA2680">
        <w:rPr>
          <w:rFonts w:ascii="Times New Roman" w:hAnsi="Times New Roman"/>
          <w:sz w:val="24"/>
          <w:szCs w:val="24"/>
          <w:lang w:val="sr-Cyrl-CS"/>
        </w:rPr>
        <w:t xml:space="preserve"> </w:t>
      </w:r>
    </w:p>
    <w:p w:rsidR="00BC431E" w:rsidRDefault="00BC431E" w:rsidP="00A25ACC">
      <w:pPr>
        <w:pStyle w:val="ListParagraph"/>
        <w:jc w:val="both"/>
        <w:rPr>
          <w:rFonts w:ascii="Times New Roman" w:hAnsi="Times New Roman"/>
          <w:sz w:val="24"/>
          <w:szCs w:val="24"/>
          <w:lang w:val="sr-Cyrl-CS"/>
        </w:rPr>
      </w:pPr>
    </w:p>
    <w:p w:rsidR="00BC431E" w:rsidRDefault="00B44462" w:rsidP="00AA2680">
      <w:pPr>
        <w:pStyle w:val="ListParagraph"/>
        <w:ind w:left="0" w:firstLine="708"/>
        <w:jc w:val="both"/>
        <w:rPr>
          <w:rFonts w:ascii="Times New Roman" w:hAnsi="Times New Roman"/>
          <w:sz w:val="24"/>
          <w:szCs w:val="24"/>
          <w:lang w:val="sr-Cyrl-CS"/>
        </w:rPr>
      </w:pPr>
      <w:r>
        <w:rPr>
          <w:rFonts w:ascii="Times New Roman" w:hAnsi="Times New Roman"/>
          <w:sz w:val="24"/>
          <w:szCs w:val="24"/>
          <w:lang w:val="sr-Cyrl-CS"/>
        </w:rPr>
        <w:t xml:space="preserve">После демократских промена током 2000. године, српско друштво је кренуло бржим темпом од социјалистичке ка тржишној (капиталистичкој) привреди. </w:t>
      </w:r>
      <w:r w:rsidR="00BC431E">
        <w:rPr>
          <w:rFonts w:ascii="Times New Roman" w:hAnsi="Times New Roman"/>
          <w:sz w:val="24"/>
          <w:szCs w:val="24"/>
          <w:lang w:val="sr-Cyrl-CS"/>
        </w:rPr>
        <w:t xml:space="preserve">Са </w:t>
      </w:r>
      <w:r w:rsidR="00AB33D8">
        <w:rPr>
          <w:rFonts w:ascii="Times New Roman" w:hAnsi="Times New Roman"/>
          <w:sz w:val="24"/>
          <w:szCs w:val="24"/>
          <w:lang w:val="sr-Cyrl-CS"/>
        </w:rPr>
        <w:t xml:space="preserve">политичким променама, односно са </w:t>
      </w:r>
      <w:r w:rsidR="00BC431E">
        <w:rPr>
          <w:rFonts w:ascii="Times New Roman" w:hAnsi="Times New Roman"/>
          <w:sz w:val="24"/>
          <w:szCs w:val="24"/>
          <w:lang w:val="sr-Cyrl-CS"/>
        </w:rPr>
        <w:t xml:space="preserve">променом власти октобра 2000. </w:t>
      </w:r>
      <w:r w:rsidR="00AB33D8">
        <w:rPr>
          <w:rFonts w:ascii="Times New Roman" w:hAnsi="Times New Roman"/>
          <w:sz w:val="24"/>
          <w:szCs w:val="24"/>
          <w:lang w:val="sr-Cyrl-CS"/>
        </w:rPr>
        <w:t>г</w:t>
      </w:r>
      <w:r w:rsidR="00BC431E">
        <w:rPr>
          <w:rFonts w:ascii="Times New Roman" w:hAnsi="Times New Roman"/>
          <w:sz w:val="24"/>
          <w:szCs w:val="24"/>
          <w:lang w:val="sr-Cyrl-CS"/>
        </w:rPr>
        <w:t>одине</w:t>
      </w:r>
      <w:r w:rsidR="00AB33D8">
        <w:rPr>
          <w:rFonts w:ascii="Times New Roman" w:hAnsi="Times New Roman"/>
          <w:sz w:val="24"/>
          <w:szCs w:val="24"/>
          <w:lang w:val="sr-Cyrl-CS"/>
        </w:rPr>
        <w:t>,</w:t>
      </w:r>
      <w:r w:rsidR="00BC431E">
        <w:rPr>
          <w:rFonts w:ascii="Times New Roman" w:hAnsi="Times New Roman"/>
          <w:sz w:val="24"/>
          <w:szCs w:val="24"/>
          <w:lang w:val="sr-Cyrl-CS"/>
        </w:rPr>
        <w:t xml:space="preserve"> започела је нова реформа фискалног система у Републици Србији, </w:t>
      </w:r>
      <w:r w:rsidR="00AB33D8">
        <w:rPr>
          <w:rFonts w:ascii="Times New Roman" w:hAnsi="Times New Roman"/>
          <w:sz w:val="24"/>
          <w:szCs w:val="24"/>
          <w:lang w:val="sr-Cyrl-CS"/>
        </w:rPr>
        <w:t xml:space="preserve">а самим тим и </w:t>
      </w:r>
      <w:r>
        <w:rPr>
          <w:rFonts w:ascii="Times New Roman" w:hAnsi="Times New Roman"/>
          <w:sz w:val="24"/>
          <w:szCs w:val="24"/>
          <w:lang w:val="sr-Cyrl-CS"/>
        </w:rPr>
        <w:t xml:space="preserve">свеобухватна </w:t>
      </w:r>
      <w:r w:rsidR="00AB33D8">
        <w:rPr>
          <w:rFonts w:ascii="Times New Roman" w:hAnsi="Times New Roman"/>
          <w:sz w:val="24"/>
          <w:szCs w:val="24"/>
          <w:lang w:val="sr-Cyrl-CS"/>
        </w:rPr>
        <w:t xml:space="preserve">пореска реформа, </w:t>
      </w:r>
      <w:r w:rsidR="00BC431E">
        <w:rPr>
          <w:rFonts w:ascii="Times New Roman" w:hAnsi="Times New Roman"/>
          <w:sz w:val="24"/>
          <w:szCs w:val="24"/>
          <w:lang w:val="sr-Cyrl-CS"/>
        </w:rPr>
        <w:t xml:space="preserve">која </w:t>
      </w:r>
      <w:r w:rsidR="00136387">
        <w:rPr>
          <w:rFonts w:ascii="Times New Roman" w:hAnsi="Times New Roman"/>
          <w:sz w:val="24"/>
          <w:szCs w:val="24"/>
          <w:lang w:val="sr-Cyrl-CS"/>
        </w:rPr>
        <w:t xml:space="preserve">заправо представља наставак предузете реформе из деведесетих година и </w:t>
      </w:r>
      <w:r w:rsidR="00BC431E">
        <w:rPr>
          <w:rFonts w:ascii="Times New Roman" w:hAnsi="Times New Roman"/>
          <w:sz w:val="24"/>
          <w:szCs w:val="24"/>
          <w:lang w:val="sr-Cyrl-CS"/>
        </w:rPr>
        <w:t xml:space="preserve">сукцесивно </w:t>
      </w:r>
      <w:r w:rsidR="00136387">
        <w:rPr>
          <w:rFonts w:ascii="Times New Roman" w:hAnsi="Times New Roman"/>
          <w:sz w:val="24"/>
          <w:szCs w:val="24"/>
          <w:lang w:val="sr-Cyrl-CS"/>
        </w:rPr>
        <w:t xml:space="preserve">се </w:t>
      </w:r>
      <w:r w:rsidR="00BC431E">
        <w:rPr>
          <w:rFonts w:ascii="Times New Roman" w:hAnsi="Times New Roman"/>
          <w:sz w:val="24"/>
          <w:szCs w:val="24"/>
          <w:lang w:val="sr-Cyrl-CS"/>
        </w:rPr>
        <w:t>спроводила у неколико фаза.</w:t>
      </w:r>
      <w:r w:rsidR="00AB33D8">
        <w:rPr>
          <w:rFonts w:ascii="Times New Roman" w:hAnsi="Times New Roman"/>
          <w:sz w:val="24"/>
          <w:szCs w:val="24"/>
          <w:lang w:val="sr-Cyrl-CS"/>
        </w:rPr>
        <w:t xml:space="preserve"> Ова реформа још увек траје.</w:t>
      </w:r>
      <w:r w:rsidR="00AA2680">
        <w:rPr>
          <w:rFonts w:ascii="Times New Roman" w:hAnsi="Times New Roman"/>
          <w:sz w:val="24"/>
          <w:szCs w:val="24"/>
          <w:lang w:val="sr-Cyrl-CS"/>
        </w:rPr>
        <w:t xml:space="preserve"> </w:t>
      </w:r>
    </w:p>
    <w:p w:rsidR="00C72BEB" w:rsidRPr="00D92BAC" w:rsidRDefault="00C72BEB" w:rsidP="000F43CB">
      <w:pPr>
        <w:pStyle w:val="Default"/>
        <w:ind w:firstLine="708"/>
        <w:jc w:val="both"/>
        <w:rPr>
          <w:rFonts w:ascii="Times New Roman" w:hAnsi="Times New Roman" w:cs="Times New Roman"/>
          <w:lang w:val="sr-Cyrl-CS"/>
        </w:rPr>
      </w:pPr>
      <w:r w:rsidRPr="00D92BAC">
        <w:rPr>
          <w:rFonts w:ascii="Times New Roman" w:hAnsi="Times New Roman" w:cs="Times New Roman"/>
          <w:lang w:val="sr-Cyrl-CS"/>
        </w:rPr>
        <w:t xml:space="preserve">У првој фази фискалне реформе 2001. године, која је превасходно обухватала систем </w:t>
      </w:r>
      <w:r w:rsidR="006E02BD">
        <w:rPr>
          <w:rFonts w:ascii="Times New Roman" w:hAnsi="Times New Roman" w:cs="Times New Roman"/>
          <w:lang w:val="sr-Cyrl-CS"/>
        </w:rPr>
        <w:t>јавних прихода, у циљу веће</w:t>
      </w:r>
      <w:r w:rsidRPr="00D92BAC">
        <w:rPr>
          <w:rFonts w:ascii="Times New Roman" w:hAnsi="Times New Roman" w:cs="Times New Roman"/>
          <w:lang w:val="sr-Cyrl-CS"/>
        </w:rPr>
        <w:t xml:space="preserve"> транспарентности и правичности система, донето је више нових закона из ове области и то:</w:t>
      </w:r>
      <w:r w:rsidR="000F43CB">
        <w:rPr>
          <w:rFonts w:ascii="Times New Roman" w:hAnsi="Times New Roman" w:cs="Times New Roman"/>
          <w:lang w:val="sr-Cyrl-CS"/>
        </w:rPr>
        <w:t xml:space="preserve"> </w:t>
      </w:r>
    </w:p>
    <w:p w:rsidR="00BE7D2E" w:rsidRPr="00BE7D2E" w:rsidRDefault="00BE7D2E" w:rsidP="00BC431E">
      <w:pPr>
        <w:pStyle w:val="Default"/>
        <w:rPr>
          <w:rFonts w:ascii="Calibri" w:hAnsi="Calibri"/>
          <w:sz w:val="20"/>
          <w:szCs w:val="20"/>
          <w:lang w:val="sr-Cyrl-CS"/>
        </w:rPr>
      </w:pPr>
    </w:p>
    <w:p w:rsidR="00BC431E" w:rsidRPr="000F43CB" w:rsidRDefault="00BC431E" w:rsidP="00BC431E">
      <w:pPr>
        <w:pStyle w:val="Default"/>
        <w:rPr>
          <w:rFonts w:ascii="Times New Roman" w:hAnsi="Times New Roman" w:cs="Times New Roman"/>
        </w:rPr>
      </w:pPr>
      <w:r w:rsidRPr="000F43CB">
        <w:rPr>
          <w:rFonts w:ascii="Times New Roman" w:hAnsi="Times New Roman" w:cs="Times New Roman"/>
        </w:rPr>
        <w:t xml:space="preserve">- </w:t>
      </w:r>
      <w:r w:rsidR="007E25F9" w:rsidRPr="000F43CB">
        <w:rPr>
          <w:rFonts w:ascii="Times New Roman" w:hAnsi="Times New Roman" w:cs="Times New Roman"/>
        </w:rPr>
        <w:t>Закон</w:t>
      </w:r>
      <w:r w:rsidRPr="000F43CB">
        <w:rPr>
          <w:rFonts w:ascii="Times New Roman" w:hAnsi="Times New Roman" w:cs="Times New Roman"/>
        </w:rPr>
        <w:t xml:space="preserve"> </w:t>
      </w:r>
      <w:r w:rsidR="007E25F9" w:rsidRPr="000F43CB">
        <w:rPr>
          <w:rFonts w:ascii="Times New Roman" w:hAnsi="Times New Roman" w:cs="Times New Roman"/>
        </w:rPr>
        <w:t>о</w:t>
      </w:r>
      <w:r w:rsidRPr="000F43CB">
        <w:rPr>
          <w:rFonts w:ascii="Times New Roman" w:hAnsi="Times New Roman" w:cs="Times New Roman"/>
        </w:rPr>
        <w:t xml:space="preserve"> </w:t>
      </w:r>
      <w:r w:rsidR="007E25F9" w:rsidRPr="000F43CB">
        <w:rPr>
          <w:rFonts w:ascii="Times New Roman" w:hAnsi="Times New Roman" w:cs="Times New Roman"/>
        </w:rPr>
        <w:t>изменама</w:t>
      </w:r>
      <w:r w:rsidRPr="000F43CB">
        <w:rPr>
          <w:rFonts w:ascii="Times New Roman" w:hAnsi="Times New Roman" w:cs="Times New Roman"/>
        </w:rPr>
        <w:t xml:space="preserve"> </w:t>
      </w:r>
      <w:r w:rsidR="007E25F9" w:rsidRPr="000F43CB">
        <w:rPr>
          <w:rFonts w:ascii="Times New Roman" w:hAnsi="Times New Roman" w:cs="Times New Roman"/>
        </w:rPr>
        <w:t>и</w:t>
      </w:r>
      <w:r w:rsidRPr="000F43CB">
        <w:rPr>
          <w:rFonts w:ascii="Times New Roman" w:hAnsi="Times New Roman" w:cs="Times New Roman"/>
        </w:rPr>
        <w:t xml:space="preserve"> </w:t>
      </w:r>
      <w:r w:rsidR="007E25F9" w:rsidRPr="000F43CB">
        <w:rPr>
          <w:rFonts w:ascii="Times New Roman" w:hAnsi="Times New Roman" w:cs="Times New Roman"/>
        </w:rPr>
        <w:t>допунама</w:t>
      </w:r>
      <w:r w:rsidRPr="000F43CB">
        <w:rPr>
          <w:rFonts w:ascii="Times New Roman" w:hAnsi="Times New Roman" w:cs="Times New Roman"/>
        </w:rPr>
        <w:t xml:space="preserve"> </w:t>
      </w:r>
      <w:r w:rsidR="007E25F9" w:rsidRPr="000F43CB">
        <w:rPr>
          <w:rFonts w:ascii="Times New Roman" w:hAnsi="Times New Roman" w:cs="Times New Roman"/>
        </w:rPr>
        <w:t>Закона</w:t>
      </w:r>
      <w:r w:rsidRPr="000F43CB">
        <w:rPr>
          <w:rFonts w:ascii="Times New Roman" w:hAnsi="Times New Roman" w:cs="Times New Roman"/>
        </w:rPr>
        <w:t xml:space="preserve"> </w:t>
      </w:r>
      <w:r w:rsidR="007E25F9" w:rsidRPr="000F43CB">
        <w:rPr>
          <w:rFonts w:ascii="Times New Roman" w:hAnsi="Times New Roman" w:cs="Times New Roman"/>
        </w:rPr>
        <w:t>о</w:t>
      </w:r>
      <w:r w:rsidRPr="000F43CB">
        <w:rPr>
          <w:rFonts w:ascii="Times New Roman" w:hAnsi="Times New Roman" w:cs="Times New Roman"/>
        </w:rPr>
        <w:t xml:space="preserve"> </w:t>
      </w:r>
      <w:r w:rsidR="007E25F9" w:rsidRPr="000F43CB">
        <w:rPr>
          <w:rFonts w:ascii="Times New Roman" w:hAnsi="Times New Roman" w:cs="Times New Roman"/>
        </w:rPr>
        <w:t>јавним</w:t>
      </w:r>
      <w:r w:rsidRPr="000F43CB">
        <w:rPr>
          <w:rFonts w:ascii="Times New Roman" w:hAnsi="Times New Roman" w:cs="Times New Roman"/>
        </w:rPr>
        <w:t xml:space="preserve"> </w:t>
      </w:r>
      <w:r w:rsidR="007E25F9" w:rsidRPr="000F43CB">
        <w:rPr>
          <w:rFonts w:ascii="Times New Roman" w:hAnsi="Times New Roman" w:cs="Times New Roman"/>
        </w:rPr>
        <w:t>приходима</w:t>
      </w:r>
      <w:r w:rsidRPr="000F43CB">
        <w:rPr>
          <w:rFonts w:ascii="Times New Roman" w:hAnsi="Times New Roman" w:cs="Times New Roman"/>
        </w:rPr>
        <w:t xml:space="preserve"> </w:t>
      </w:r>
      <w:r w:rsidR="007E25F9" w:rsidRPr="000F43CB">
        <w:rPr>
          <w:rFonts w:ascii="Times New Roman" w:hAnsi="Times New Roman" w:cs="Times New Roman"/>
        </w:rPr>
        <w:t>и</w:t>
      </w:r>
      <w:r w:rsidRPr="000F43CB">
        <w:rPr>
          <w:rFonts w:ascii="Times New Roman" w:hAnsi="Times New Roman" w:cs="Times New Roman"/>
        </w:rPr>
        <w:t xml:space="preserve"> </w:t>
      </w:r>
      <w:r w:rsidR="007E25F9" w:rsidRPr="000F43CB">
        <w:rPr>
          <w:rFonts w:ascii="Times New Roman" w:hAnsi="Times New Roman" w:cs="Times New Roman"/>
        </w:rPr>
        <w:t>јавним</w:t>
      </w:r>
      <w:r w:rsidRPr="000F43CB">
        <w:rPr>
          <w:rFonts w:ascii="Times New Roman" w:hAnsi="Times New Roman" w:cs="Times New Roman"/>
        </w:rPr>
        <w:t xml:space="preserve"> </w:t>
      </w:r>
      <w:r w:rsidR="007E25F9" w:rsidRPr="000F43CB">
        <w:rPr>
          <w:rFonts w:ascii="Times New Roman" w:hAnsi="Times New Roman" w:cs="Times New Roman"/>
        </w:rPr>
        <w:t>расходима</w:t>
      </w:r>
      <w:r w:rsidR="000F43CB">
        <w:rPr>
          <w:rFonts w:ascii="Times New Roman" w:hAnsi="Times New Roman" w:cs="Times New Roman"/>
          <w:lang w:val="sr-Cyrl-CS"/>
        </w:rPr>
        <w:t>,</w:t>
      </w:r>
      <w:r w:rsidR="00AB33D8" w:rsidRPr="000F43CB">
        <w:rPr>
          <w:rStyle w:val="FootnoteReference"/>
          <w:rFonts w:ascii="Times New Roman" w:hAnsi="Times New Roman" w:cs="Times New Roman"/>
        </w:rPr>
        <w:footnoteReference w:id="181"/>
      </w:r>
      <w:r w:rsidRPr="000F43CB">
        <w:rPr>
          <w:rFonts w:ascii="Times New Roman" w:hAnsi="Times New Roman" w:cs="Times New Roman"/>
        </w:rPr>
        <w:t xml:space="preserve"> </w:t>
      </w:r>
    </w:p>
    <w:p w:rsidR="00BC431E" w:rsidRPr="000F43CB" w:rsidRDefault="00BC431E" w:rsidP="00BC431E">
      <w:pPr>
        <w:pStyle w:val="Default"/>
        <w:rPr>
          <w:rFonts w:ascii="Times New Roman" w:hAnsi="Times New Roman" w:cs="Times New Roman"/>
          <w:lang w:val="sr-Cyrl-CS"/>
        </w:rPr>
      </w:pPr>
      <w:r w:rsidRPr="000F43CB">
        <w:rPr>
          <w:rFonts w:ascii="Times New Roman" w:hAnsi="Times New Roman" w:cs="Times New Roman"/>
        </w:rPr>
        <w:t xml:space="preserve">- </w:t>
      </w:r>
      <w:r w:rsidR="007E25F9" w:rsidRPr="000F43CB">
        <w:rPr>
          <w:rFonts w:ascii="Times New Roman" w:hAnsi="Times New Roman" w:cs="Times New Roman"/>
        </w:rPr>
        <w:t>Закон</w:t>
      </w:r>
      <w:r w:rsidRPr="000F43CB">
        <w:rPr>
          <w:rFonts w:ascii="Times New Roman" w:hAnsi="Times New Roman" w:cs="Times New Roman"/>
        </w:rPr>
        <w:t xml:space="preserve"> </w:t>
      </w:r>
      <w:r w:rsidR="007E25F9" w:rsidRPr="000F43CB">
        <w:rPr>
          <w:rFonts w:ascii="Times New Roman" w:hAnsi="Times New Roman" w:cs="Times New Roman"/>
        </w:rPr>
        <w:t>о</w:t>
      </w:r>
      <w:r w:rsidRPr="000F43CB">
        <w:rPr>
          <w:rFonts w:ascii="Times New Roman" w:hAnsi="Times New Roman" w:cs="Times New Roman"/>
        </w:rPr>
        <w:t xml:space="preserve"> </w:t>
      </w:r>
      <w:r w:rsidR="007E25F9" w:rsidRPr="000F43CB">
        <w:rPr>
          <w:rFonts w:ascii="Times New Roman" w:hAnsi="Times New Roman" w:cs="Times New Roman"/>
        </w:rPr>
        <w:t>изменама</w:t>
      </w:r>
      <w:r w:rsidRPr="000F43CB">
        <w:rPr>
          <w:rFonts w:ascii="Times New Roman" w:hAnsi="Times New Roman" w:cs="Times New Roman"/>
        </w:rPr>
        <w:t xml:space="preserve"> </w:t>
      </w:r>
      <w:r w:rsidR="007E25F9" w:rsidRPr="000F43CB">
        <w:rPr>
          <w:rFonts w:ascii="Times New Roman" w:hAnsi="Times New Roman" w:cs="Times New Roman"/>
        </w:rPr>
        <w:t>и</w:t>
      </w:r>
      <w:r w:rsidRPr="000F43CB">
        <w:rPr>
          <w:rFonts w:ascii="Times New Roman" w:hAnsi="Times New Roman" w:cs="Times New Roman"/>
        </w:rPr>
        <w:t xml:space="preserve"> </w:t>
      </w:r>
      <w:r w:rsidR="007E25F9" w:rsidRPr="000F43CB">
        <w:rPr>
          <w:rFonts w:ascii="Times New Roman" w:hAnsi="Times New Roman" w:cs="Times New Roman"/>
        </w:rPr>
        <w:t>допунама</w:t>
      </w:r>
      <w:r w:rsidRPr="000F43CB">
        <w:rPr>
          <w:rFonts w:ascii="Times New Roman" w:hAnsi="Times New Roman" w:cs="Times New Roman"/>
        </w:rPr>
        <w:t xml:space="preserve"> </w:t>
      </w:r>
      <w:r w:rsidR="007E25F9" w:rsidRPr="000F43CB">
        <w:rPr>
          <w:rFonts w:ascii="Times New Roman" w:hAnsi="Times New Roman" w:cs="Times New Roman"/>
        </w:rPr>
        <w:t>Закона</w:t>
      </w:r>
      <w:r w:rsidRPr="000F43CB">
        <w:rPr>
          <w:rFonts w:ascii="Times New Roman" w:hAnsi="Times New Roman" w:cs="Times New Roman"/>
        </w:rPr>
        <w:t xml:space="preserve"> </w:t>
      </w:r>
      <w:r w:rsidR="007E25F9" w:rsidRPr="000F43CB">
        <w:rPr>
          <w:rFonts w:ascii="Times New Roman" w:hAnsi="Times New Roman" w:cs="Times New Roman"/>
        </w:rPr>
        <w:t>о</w:t>
      </w:r>
      <w:r w:rsidRPr="000F43CB">
        <w:rPr>
          <w:rFonts w:ascii="Times New Roman" w:hAnsi="Times New Roman" w:cs="Times New Roman"/>
        </w:rPr>
        <w:t xml:space="preserve"> </w:t>
      </w:r>
      <w:r w:rsidR="007E25F9" w:rsidRPr="000F43CB">
        <w:rPr>
          <w:rFonts w:ascii="Times New Roman" w:hAnsi="Times New Roman" w:cs="Times New Roman"/>
        </w:rPr>
        <w:t>локалној</w:t>
      </w:r>
      <w:r w:rsidRPr="000F43CB">
        <w:rPr>
          <w:rFonts w:ascii="Times New Roman" w:hAnsi="Times New Roman" w:cs="Times New Roman"/>
        </w:rPr>
        <w:t xml:space="preserve"> </w:t>
      </w:r>
      <w:r w:rsidR="007E25F9" w:rsidRPr="000F43CB">
        <w:rPr>
          <w:rFonts w:ascii="Times New Roman" w:hAnsi="Times New Roman" w:cs="Times New Roman"/>
        </w:rPr>
        <w:t>самоуправи</w:t>
      </w:r>
      <w:r w:rsidR="000F43CB">
        <w:rPr>
          <w:rFonts w:ascii="Times New Roman" w:hAnsi="Times New Roman" w:cs="Times New Roman"/>
          <w:lang w:val="sr-Cyrl-CS"/>
        </w:rPr>
        <w:t>,</w:t>
      </w:r>
      <w:r w:rsidR="00BE7D2E" w:rsidRPr="000F43CB">
        <w:rPr>
          <w:rStyle w:val="FootnoteReference"/>
          <w:rFonts w:ascii="Times New Roman" w:hAnsi="Times New Roman" w:cs="Times New Roman"/>
        </w:rPr>
        <w:footnoteReference w:id="182"/>
      </w:r>
      <w:r w:rsidRPr="000F43CB">
        <w:rPr>
          <w:rFonts w:ascii="Times New Roman" w:hAnsi="Times New Roman" w:cs="Times New Roman"/>
        </w:rPr>
        <w:t xml:space="preserve"> </w:t>
      </w:r>
    </w:p>
    <w:p w:rsidR="00BC431E" w:rsidRPr="000F43CB" w:rsidRDefault="00BC431E" w:rsidP="00BC431E">
      <w:pPr>
        <w:pStyle w:val="Default"/>
        <w:rPr>
          <w:rFonts w:ascii="Times New Roman" w:hAnsi="Times New Roman" w:cs="Times New Roman"/>
        </w:rPr>
      </w:pPr>
      <w:r w:rsidRPr="000F43CB">
        <w:rPr>
          <w:rFonts w:ascii="Times New Roman" w:hAnsi="Times New Roman" w:cs="Times New Roman"/>
        </w:rPr>
        <w:t xml:space="preserve">- </w:t>
      </w:r>
      <w:r w:rsidR="007E25F9" w:rsidRPr="000F43CB">
        <w:rPr>
          <w:rFonts w:ascii="Times New Roman" w:hAnsi="Times New Roman" w:cs="Times New Roman"/>
        </w:rPr>
        <w:t>Закон</w:t>
      </w:r>
      <w:r w:rsidRPr="000F43CB">
        <w:rPr>
          <w:rFonts w:ascii="Times New Roman" w:hAnsi="Times New Roman" w:cs="Times New Roman"/>
        </w:rPr>
        <w:t xml:space="preserve"> </w:t>
      </w:r>
      <w:r w:rsidR="007E25F9" w:rsidRPr="000F43CB">
        <w:rPr>
          <w:rFonts w:ascii="Times New Roman" w:hAnsi="Times New Roman" w:cs="Times New Roman"/>
        </w:rPr>
        <w:t>о</w:t>
      </w:r>
      <w:r w:rsidRPr="000F43CB">
        <w:rPr>
          <w:rFonts w:ascii="Times New Roman" w:hAnsi="Times New Roman" w:cs="Times New Roman"/>
        </w:rPr>
        <w:t xml:space="preserve"> </w:t>
      </w:r>
      <w:r w:rsidR="007E25F9" w:rsidRPr="000F43CB">
        <w:rPr>
          <w:rFonts w:ascii="Times New Roman" w:hAnsi="Times New Roman" w:cs="Times New Roman"/>
        </w:rPr>
        <w:t>акцизама</w:t>
      </w:r>
      <w:r w:rsidR="000F43CB">
        <w:rPr>
          <w:rFonts w:ascii="Times New Roman" w:hAnsi="Times New Roman" w:cs="Times New Roman"/>
          <w:lang w:val="sr-Cyrl-CS"/>
        </w:rPr>
        <w:t>,</w:t>
      </w:r>
      <w:r w:rsidR="00877907" w:rsidRPr="000F43CB">
        <w:rPr>
          <w:rStyle w:val="FootnoteReference"/>
          <w:rFonts w:ascii="Times New Roman" w:hAnsi="Times New Roman" w:cs="Times New Roman"/>
        </w:rPr>
        <w:footnoteReference w:id="183"/>
      </w:r>
      <w:r w:rsidRPr="000F43CB">
        <w:rPr>
          <w:rFonts w:ascii="Times New Roman" w:hAnsi="Times New Roman" w:cs="Times New Roman"/>
        </w:rPr>
        <w:t xml:space="preserve"> </w:t>
      </w:r>
    </w:p>
    <w:p w:rsidR="00BC431E" w:rsidRPr="000F43CB" w:rsidRDefault="00BC431E" w:rsidP="00BC431E">
      <w:pPr>
        <w:pStyle w:val="Default"/>
        <w:rPr>
          <w:rFonts w:ascii="Times New Roman" w:hAnsi="Times New Roman" w:cs="Times New Roman"/>
        </w:rPr>
      </w:pPr>
      <w:r w:rsidRPr="000F43CB">
        <w:rPr>
          <w:rFonts w:ascii="Times New Roman" w:hAnsi="Times New Roman" w:cs="Times New Roman"/>
        </w:rPr>
        <w:t xml:space="preserve">- </w:t>
      </w:r>
      <w:r w:rsidR="007E25F9" w:rsidRPr="000F43CB">
        <w:rPr>
          <w:rFonts w:ascii="Times New Roman" w:hAnsi="Times New Roman" w:cs="Times New Roman"/>
        </w:rPr>
        <w:t>Закон</w:t>
      </w:r>
      <w:r w:rsidRPr="000F43CB">
        <w:rPr>
          <w:rFonts w:ascii="Times New Roman" w:hAnsi="Times New Roman" w:cs="Times New Roman"/>
        </w:rPr>
        <w:t xml:space="preserve"> </w:t>
      </w:r>
      <w:r w:rsidR="007E25F9" w:rsidRPr="000F43CB">
        <w:rPr>
          <w:rFonts w:ascii="Times New Roman" w:hAnsi="Times New Roman" w:cs="Times New Roman"/>
        </w:rPr>
        <w:t>о</w:t>
      </w:r>
      <w:r w:rsidRPr="000F43CB">
        <w:rPr>
          <w:rFonts w:ascii="Times New Roman" w:hAnsi="Times New Roman" w:cs="Times New Roman"/>
        </w:rPr>
        <w:t xml:space="preserve"> </w:t>
      </w:r>
      <w:r w:rsidR="007E25F9" w:rsidRPr="000F43CB">
        <w:rPr>
          <w:rFonts w:ascii="Times New Roman" w:hAnsi="Times New Roman" w:cs="Times New Roman"/>
        </w:rPr>
        <w:t>порезу</w:t>
      </w:r>
      <w:r w:rsidRPr="000F43CB">
        <w:rPr>
          <w:rFonts w:ascii="Times New Roman" w:hAnsi="Times New Roman" w:cs="Times New Roman"/>
        </w:rPr>
        <w:t xml:space="preserve"> </w:t>
      </w:r>
      <w:r w:rsidR="007E25F9" w:rsidRPr="000F43CB">
        <w:rPr>
          <w:rFonts w:ascii="Times New Roman" w:hAnsi="Times New Roman" w:cs="Times New Roman"/>
        </w:rPr>
        <w:t>на</w:t>
      </w:r>
      <w:r w:rsidRPr="000F43CB">
        <w:rPr>
          <w:rFonts w:ascii="Times New Roman" w:hAnsi="Times New Roman" w:cs="Times New Roman"/>
        </w:rPr>
        <w:t xml:space="preserve"> </w:t>
      </w:r>
      <w:r w:rsidR="007E25F9" w:rsidRPr="000F43CB">
        <w:rPr>
          <w:rFonts w:ascii="Times New Roman" w:hAnsi="Times New Roman" w:cs="Times New Roman"/>
        </w:rPr>
        <w:t>промет</w:t>
      </w:r>
      <w:r w:rsidR="000F43CB">
        <w:rPr>
          <w:rFonts w:ascii="Times New Roman" w:hAnsi="Times New Roman" w:cs="Times New Roman"/>
          <w:lang w:val="sr-Cyrl-CS"/>
        </w:rPr>
        <w:t>,</w:t>
      </w:r>
      <w:r w:rsidR="00877907" w:rsidRPr="000F43CB">
        <w:rPr>
          <w:rStyle w:val="FootnoteReference"/>
          <w:rFonts w:ascii="Times New Roman" w:hAnsi="Times New Roman" w:cs="Times New Roman"/>
        </w:rPr>
        <w:footnoteReference w:id="184"/>
      </w:r>
      <w:r w:rsidRPr="000F43CB">
        <w:rPr>
          <w:rFonts w:ascii="Times New Roman" w:hAnsi="Times New Roman" w:cs="Times New Roman"/>
        </w:rPr>
        <w:t xml:space="preserve"> </w:t>
      </w:r>
    </w:p>
    <w:p w:rsidR="00BC431E" w:rsidRPr="000F43CB" w:rsidRDefault="00BC431E" w:rsidP="00BC431E">
      <w:pPr>
        <w:pStyle w:val="Default"/>
        <w:rPr>
          <w:rFonts w:ascii="Times New Roman" w:hAnsi="Times New Roman" w:cs="Times New Roman"/>
          <w:lang w:val="sr-Cyrl-CS"/>
        </w:rPr>
      </w:pPr>
      <w:r w:rsidRPr="000F43CB">
        <w:rPr>
          <w:rFonts w:ascii="Times New Roman" w:hAnsi="Times New Roman" w:cs="Times New Roman"/>
        </w:rPr>
        <w:t xml:space="preserve">- </w:t>
      </w:r>
      <w:r w:rsidR="007E25F9" w:rsidRPr="000F43CB">
        <w:rPr>
          <w:rFonts w:ascii="Times New Roman" w:hAnsi="Times New Roman" w:cs="Times New Roman"/>
        </w:rPr>
        <w:t>Закон</w:t>
      </w:r>
      <w:r w:rsidRPr="000F43CB">
        <w:rPr>
          <w:rFonts w:ascii="Times New Roman" w:hAnsi="Times New Roman" w:cs="Times New Roman"/>
        </w:rPr>
        <w:t xml:space="preserve"> </w:t>
      </w:r>
      <w:r w:rsidR="007E25F9" w:rsidRPr="000F43CB">
        <w:rPr>
          <w:rFonts w:ascii="Times New Roman" w:hAnsi="Times New Roman" w:cs="Times New Roman"/>
        </w:rPr>
        <w:t>о</w:t>
      </w:r>
      <w:r w:rsidRPr="000F43CB">
        <w:rPr>
          <w:rFonts w:ascii="Times New Roman" w:hAnsi="Times New Roman" w:cs="Times New Roman"/>
        </w:rPr>
        <w:t xml:space="preserve"> </w:t>
      </w:r>
      <w:r w:rsidR="007E25F9" w:rsidRPr="000F43CB">
        <w:rPr>
          <w:rFonts w:ascii="Times New Roman" w:hAnsi="Times New Roman" w:cs="Times New Roman"/>
        </w:rPr>
        <w:t>порезу</w:t>
      </w:r>
      <w:r w:rsidRPr="000F43CB">
        <w:rPr>
          <w:rFonts w:ascii="Times New Roman" w:hAnsi="Times New Roman" w:cs="Times New Roman"/>
        </w:rPr>
        <w:t xml:space="preserve"> </w:t>
      </w:r>
      <w:r w:rsidR="007E25F9" w:rsidRPr="000F43CB">
        <w:rPr>
          <w:rFonts w:ascii="Times New Roman" w:hAnsi="Times New Roman" w:cs="Times New Roman"/>
        </w:rPr>
        <w:t>на</w:t>
      </w:r>
      <w:r w:rsidRPr="000F43CB">
        <w:rPr>
          <w:rFonts w:ascii="Times New Roman" w:hAnsi="Times New Roman" w:cs="Times New Roman"/>
        </w:rPr>
        <w:t xml:space="preserve"> </w:t>
      </w:r>
      <w:r w:rsidR="007E25F9" w:rsidRPr="000F43CB">
        <w:rPr>
          <w:rFonts w:ascii="Times New Roman" w:hAnsi="Times New Roman" w:cs="Times New Roman"/>
        </w:rPr>
        <w:t>доходак</w:t>
      </w:r>
      <w:r w:rsidRPr="000F43CB">
        <w:rPr>
          <w:rFonts w:ascii="Times New Roman" w:hAnsi="Times New Roman" w:cs="Times New Roman"/>
        </w:rPr>
        <w:t xml:space="preserve"> </w:t>
      </w:r>
      <w:r w:rsidR="007E25F9" w:rsidRPr="000F43CB">
        <w:rPr>
          <w:rFonts w:ascii="Times New Roman" w:hAnsi="Times New Roman" w:cs="Times New Roman"/>
        </w:rPr>
        <w:t>гра</w:t>
      </w:r>
      <w:r w:rsidR="000F43CB">
        <w:rPr>
          <w:rFonts w:ascii="Times New Roman" w:hAnsi="Times New Roman" w:cs="Times New Roman"/>
          <w:lang w:val="sr-Cyrl-CS"/>
        </w:rPr>
        <w:t>ђ</w:t>
      </w:r>
      <w:r w:rsidR="007E25F9" w:rsidRPr="000F43CB">
        <w:rPr>
          <w:rFonts w:ascii="Times New Roman" w:hAnsi="Times New Roman" w:cs="Times New Roman"/>
        </w:rPr>
        <w:t>ана</w:t>
      </w:r>
      <w:r w:rsidR="000F43CB">
        <w:rPr>
          <w:rFonts w:ascii="Times New Roman" w:hAnsi="Times New Roman" w:cs="Times New Roman"/>
          <w:lang w:val="sr-Cyrl-CS"/>
        </w:rPr>
        <w:t>,</w:t>
      </w:r>
      <w:r w:rsidR="00877907" w:rsidRPr="000F43CB">
        <w:rPr>
          <w:rStyle w:val="FootnoteReference"/>
          <w:rFonts w:ascii="Times New Roman" w:hAnsi="Times New Roman" w:cs="Times New Roman"/>
        </w:rPr>
        <w:footnoteReference w:id="185"/>
      </w:r>
    </w:p>
    <w:p w:rsidR="00BC431E" w:rsidRPr="000F43CB" w:rsidRDefault="00BC431E" w:rsidP="00BC431E">
      <w:pPr>
        <w:pStyle w:val="Default"/>
        <w:rPr>
          <w:rFonts w:ascii="Times New Roman" w:hAnsi="Times New Roman" w:cs="Times New Roman"/>
        </w:rPr>
      </w:pPr>
      <w:r w:rsidRPr="000F43CB">
        <w:rPr>
          <w:rFonts w:ascii="Times New Roman" w:hAnsi="Times New Roman" w:cs="Times New Roman"/>
        </w:rPr>
        <w:t xml:space="preserve">- </w:t>
      </w:r>
      <w:r w:rsidR="007E25F9" w:rsidRPr="000F43CB">
        <w:rPr>
          <w:rFonts w:ascii="Times New Roman" w:hAnsi="Times New Roman" w:cs="Times New Roman"/>
        </w:rPr>
        <w:t>Закон</w:t>
      </w:r>
      <w:r w:rsidRPr="000F43CB">
        <w:rPr>
          <w:rFonts w:ascii="Times New Roman" w:hAnsi="Times New Roman" w:cs="Times New Roman"/>
        </w:rPr>
        <w:t xml:space="preserve"> </w:t>
      </w:r>
      <w:r w:rsidR="007E25F9" w:rsidRPr="000F43CB">
        <w:rPr>
          <w:rFonts w:ascii="Times New Roman" w:hAnsi="Times New Roman" w:cs="Times New Roman"/>
        </w:rPr>
        <w:t>о</w:t>
      </w:r>
      <w:r w:rsidRPr="000F43CB">
        <w:rPr>
          <w:rFonts w:ascii="Times New Roman" w:hAnsi="Times New Roman" w:cs="Times New Roman"/>
        </w:rPr>
        <w:t xml:space="preserve"> </w:t>
      </w:r>
      <w:r w:rsidR="007E25F9" w:rsidRPr="000F43CB">
        <w:rPr>
          <w:rFonts w:ascii="Times New Roman" w:hAnsi="Times New Roman" w:cs="Times New Roman"/>
        </w:rPr>
        <w:t>порезу</w:t>
      </w:r>
      <w:r w:rsidRPr="000F43CB">
        <w:rPr>
          <w:rFonts w:ascii="Times New Roman" w:hAnsi="Times New Roman" w:cs="Times New Roman"/>
        </w:rPr>
        <w:t xml:space="preserve"> </w:t>
      </w:r>
      <w:r w:rsidR="007E25F9" w:rsidRPr="000F43CB">
        <w:rPr>
          <w:rFonts w:ascii="Times New Roman" w:hAnsi="Times New Roman" w:cs="Times New Roman"/>
        </w:rPr>
        <w:t>на</w:t>
      </w:r>
      <w:r w:rsidRPr="000F43CB">
        <w:rPr>
          <w:rFonts w:ascii="Times New Roman" w:hAnsi="Times New Roman" w:cs="Times New Roman"/>
        </w:rPr>
        <w:t xml:space="preserve"> </w:t>
      </w:r>
      <w:r w:rsidR="007E25F9" w:rsidRPr="000F43CB">
        <w:rPr>
          <w:rFonts w:ascii="Times New Roman" w:hAnsi="Times New Roman" w:cs="Times New Roman"/>
        </w:rPr>
        <w:t>добит</w:t>
      </w:r>
      <w:r w:rsidRPr="000F43CB">
        <w:rPr>
          <w:rFonts w:ascii="Times New Roman" w:hAnsi="Times New Roman" w:cs="Times New Roman"/>
        </w:rPr>
        <w:t xml:space="preserve"> </w:t>
      </w:r>
      <w:r w:rsidR="007E25F9" w:rsidRPr="000F43CB">
        <w:rPr>
          <w:rFonts w:ascii="Times New Roman" w:hAnsi="Times New Roman" w:cs="Times New Roman"/>
        </w:rPr>
        <w:t>предузе</w:t>
      </w:r>
      <w:r w:rsidR="000F43CB">
        <w:rPr>
          <w:rFonts w:ascii="Times New Roman" w:hAnsi="Times New Roman" w:cs="Times New Roman"/>
          <w:lang w:val="sr-Cyrl-CS"/>
        </w:rPr>
        <w:t>ћ</w:t>
      </w:r>
      <w:r w:rsidR="007E25F9" w:rsidRPr="000F43CB">
        <w:rPr>
          <w:rFonts w:ascii="Times New Roman" w:hAnsi="Times New Roman" w:cs="Times New Roman"/>
        </w:rPr>
        <w:t>а</w:t>
      </w:r>
      <w:r w:rsidR="000F43CB">
        <w:rPr>
          <w:rFonts w:ascii="Times New Roman" w:hAnsi="Times New Roman" w:cs="Times New Roman"/>
          <w:lang w:val="sr-Cyrl-CS"/>
        </w:rPr>
        <w:t>,</w:t>
      </w:r>
      <w:r w:rsidR="00877907" w:rsidRPr="000F43CB">
        <w:rPr>
          <w:rStyle w:val="FootnoteReference"/>
          <w:rFonts w:ascii="Times New Roman" w:hAnsi="Times New Roman" w:cs="Times New Roman"/>
        </w:rPr>
        <w:footnoteReference w:id="186"/>
      </w:r>
      <w:r w:rsidRPr="000F43CB">
        <w:rPr>
          <w:rFonts w:ascii="Times New Roman" w:hAnsi="Times New Roman" w:cs="Times New Roman"/>
        </w:rPr>
        <w:t xml:space="preserve"> </w:t>
      </w:r>
    </w:p>
    <w:p w:rsidR="00BC431E" w:rsidRPr="000F43CB" w:rsidRDefault="00BC431E" w:rsidP="00BC431E">
      <w:pPr>
        <w:pStyle w:val="Default"/>
        <w:rPr>
          <w:rFonts w:ascii="Times New Roman" w:hAnsi="Times New Roman" w:cs="Times New Roman"/>
        </w:rPr>
      </w:pPr>
      <w:r w:rsidRPr="000F43CB">
        <w:rPr>
          <w:rFonts w:ascii="Times New Roman" w:hAnsi="Times New Roman" w:cs="Times New Roman"/>
        </w:rPr>
        <w:t xml:space="preserve">- </w:t>
      </w:r>
      <w:r w:rsidR="007E25F9" w:rsidRPr="000F43CB">
        <w:rPr>
          <w:rFonts w:ascii="Times New Roman" w:hAnsi="Times New Roman" w:cs="Times New Roman"/>
        </w:rPr>
        <w:t>Закон</w:t>
      </w:r>
      <w:r w:rsidRPr="000F43CB">
        <w:rPr>
          <w:rFonts w:ascii="Times New Roman" w:hAnsi="Times New Roman" w:cs="Times New Roman"/>
        </w:rPr>
        <w:t xml:space="preserve"> </w:t>
      </w:r>
      <w:r w:rsidR="007E25F9" w:rsidRPr="000F43CB">
        <w:rPr>
          <w:rFonts w:ascii="Times New Roman" w:hAnsi="Times New Roman" w:cs="Times New Roman"/>
        </w:rPr>
        <w:t>о</w:t>
      </w:r>
      <w:r w:rsidRPr="000F43CB">
        <w:rPr>
          <w:rFonts w:ascii="Times New Roman" w:hAnsi="Times New Roman" w:cs="Times New Roman"/>
        </w:rPr>
        <w:t xml:space="preserve"> </w:t>
      </w:r>
      <w:r w:rsidR="007E25F9" w:rsidRPr="000F43CB">
        <w:rPr>
          <w:rFonts w:ascii="Times New Roman" w:hAnsi="Times New Roman" w:cs="Times New Roman"/>
        </w:rPr>
        <w:t>порезима</w:t>
      </w:r>
      <w:r w:rsidRPr="000F43CB">
        <w:rPr>
          <w:rFonts w:ascii="Times New Roman" w:hAnsi="Times New Roman" w:cs="Times New Roman"/>
        </w:rPr>
        <w:t xml:space="preserve"> </w:t>
      </w:r>
      <w:r w:rsidR="007E25F9" w:rsidRPr="000F43CB">
        <w:rPr>
          <w:rFonts w:ascii="Times New Roman" w:hAnsi="Times New Roman" w:cs="Times New Roman"/>
        </w:rPr>
        <w:t>на</w:t>
      </w:r>
      <w:r w:rsidRPr="000F43CB">
        <w:rPr>
          <w:rFonts w:ascii="Times New Roman" w:hAnsi="Times New Roman" w:cs="Times New Roman"/>
        </w:rPr>
        <w:t xml:space="preserve"> </w:t>
      </w:r>
      <w:r w:rsidR="007E25F9" w:rsidRPr="000F43CB">
        <w:rPr>
          <w:rFonts w:ascii="Times New Roman" w:hAnsi="Times New Roman" w:cs="Times New Roman"/>
        </w:rPr>
        <w:t>имовину</w:t>
      </w:r>
      <w:r w:rsidR="000F43CB">
        <w:rPr>
          <w:rFonts w:ascii="Times New Roman" w:hAnsi="Times New Roman" w:cs="Times New Roman"/>
          <w:lang w:val="sr-Cyrl-CS"/>
        </w:rPr>
        <w:t>,</w:t>
      </w:r>
      <w:r w:rsidR="00877907" w:rsidRPr="000F43CB">
        <w:rPr>
          <w:rStyle w:val="FootnoteReference"/>
          <w:rFonts w:ascii="Times New Roman" w:hAnsi="Times New Roman" w:cs="Times New Roman"/>
        </w:rPr>
        <w:footnoteReference w:id="187"/>
      </w:r>
      <w:r w:rsidRPr="000F43CB">
        <w:rPr>
          <w:rFonts w:ascii="Times New Roman" w:hAnsi="Times New Roman" w:cs="Times New Roman"/>
        </w:rPr>
        <w:t xml:space="preserve"> </w:t>
      </w:r>
    </w:p>
    <w:p w:rsidR="00BC431E" w:rsidRPr="000F43CB" w:rsidRDefault="00BC431E" w:rsidP="00BC431E">
      <w:pPr>
        <w:pStyle w:val="Default"/>
        <w:rPr>
          <w:rFonts w:ascii="Times New Roman" w:hAnsi="Times New Roman" w:cs="Times New Roman"/>
        </w:rPr>
      </w:pPr>
      <w:r w:rsidRPr="000F43CB">
        <w:rPr>
          <w:rFonts w:ascii="Times New Roman" w:hAnsi="Times New Roman" w:cs="Times New Roman"/>
        </w:rPr>
        <w:t xml:space="preserve">- </w:t>
      </w:r>
      <w:r w:rsidR="007E25F9" w:rsidRPr="000F43CB">
        <w:rPr>
          <w:rFonts w:ascii="Times New Roman" w:hAnsi="Times New Roman" w:cs="Times New Roman"/>
        </w:rPr>
        <w:t>Закон</w:t>
      </w:r>
      <w:r w:rsidRPr="000F43CB">
        <w:rPr>
          <w:rFonts w:ascii="Times New Roman" w:hAnsi="Times New Roman" w:cs="Times New Roman"/>
        </w:rPr>
        <w:t xml:space="preserve"> </w:t>
      </w:r>
      <w:r w:rsidR="007E25F9" w:rsidRPr="000F43CB">
        <w:rPr>
          <w:rFonts w:ascii="Times New Roman" w:hAnsi="Times New Roman" w:cs="Times New Roman"/>
        </w:rPr>
        <w:t>о</w:t>
      </w:r>
      <w:r w:rsidRPr="000F43CB">
        <w:rPr>
          <w:rFonts w:ascii="Times New Roman" w:hAnsi="Times New Roman" w:cs="Times New Roman"/>
        </w:rPr>
        <w:t xml:space="preserve"> </w:t>
      </w:r>
      <w:r w:rsidR="007E25F9" w:rsidRPr="000F43CB">
        <w:rPr>
          <w:rFonts w:ascii="Times New Roman" w:hAnsi="Times New Roman" w:cs="Times New Roman"/>
        </w:rPr>
        <w:t>порезима</w:t>
      </w:r>
      <w:r w:rsidRPr="000F43CB">
        <w:rPr>
          <w:rFonts w:ascii="Times New Roman" w:hAnsi="Times New Roman" w:cs="Times New Roman"/>
        </w:rPr>
        <w:t xml:space="preserve"> </w:t>
      </w:r>
      <w:r w:rsidR="007E25F9" w:rsidRPr="000F43CB">
        <w:rPr>
          <w:rFonts w:ascii="Times New Roman" w:hAnsi="Times New Roman" w:cs="Times New Roman"/>
        </w:rPr>
        <w:t>на</w:t>
      </w:r>
      <w:r w:rsidRPr="000F43CB">
        <w:rPr>
          <w:rFonts w:ascii="Times New Roman" w:hAnsi="Times New Roman" w:cs="Times New Roman"/>
        </w:rPr>
        <w:t xml:space="preserve"> </w:t>
      </w:r>
      <w:r w:rsidR="007E25F9" w:rsidRPr="000F43CB">
        <w:rPr>
          <w:rFonts w:ascii="Times New Roman" w:hAnsi="Times New Roman" w:cs="Times New Roman"/>
        </w:rPr>
        <w:t>употребу</w:t>
      </w:r>
      <w:r w:rsidRPr="000F43CB">
        <w:rPr>
          <w:rFonts w:ascii="Times New Roman" w:hAnsi="Times New Roman" w:cs="Times New Roman"/>
        </w:rPr>
        <w:t xml:space="preserve">, </w:t>
      </w:r>
      <w:r w:rsidR="007E25F9" w:rsidRPr="000F43CB">
        <w:rPr>
          <w:rFonts w:ascii="Times New Roman" w:hAnsi="Times New Roman" w:cs="Times New Roman"/>
        </w:rPr>
        <w:t>др</w:t>
      </w:r>
      <w:r w:rsidR="000F43CB">
        <w:rPr>
          <w:rFonts w:ascii="Times New Roman" w:hAnsi="Times New Roman" w:cs="Times New Roman"/>
          <w:lang w:val="sr-Cyrl-CS"/>
        </w:rPr>
        <w:t>ж</w:t>
      </w:r>
      <w:r w:rsidR="007E25F9" w:rsidRPr="000F43CB">
        <w:rPr>
          <w:rFonts w:ascii="Times New Roman" w:hAnsi="Times New Roman" w:cs="Times New Roman"/>
        </w:rPr>
        <w:t>ање</w:t>
      </w:r>
      <w:r w:rsidRPr="000F43CB">
        <w:rPr>
          <w:rFonts w:ascii="Times New Roman" w:hAnsi="Times New Roman" w:cs="Times New Roman"/>
        </w:rPr>
        <w:t xml:space="preserve"> </w:t>
      </w:r>
      <w:r w:rsidR="007E25F9" w:rsidRPr="000F43CB">
        <w:rPr>
          <w:rFonts w:ascii="Times New Roman" w:hAnsi="Times New Roman" w:cs="Times New Roman"/>
        </w:rPr>
        <w:t>и</w:t>
      </w:r>
      <w:r w:rsidRPr="000F43CB">
        <w:rPr>
          <w:rFonts w:ascii="Times New Roman" w:hAnsi="Times New Roman" w:cs="Times New Roman"/>
        </w:rPr>
        <w:t xml:space="preserve"> </w:t>
      </w:r>
      <w:r w:rsidR="007E25F9" w:rsidRPr="000F43CB">
        <w:rPr>
          <w:rFonts w:ascii="Times New Roman" w:hAnsi="Times New Roman" w:cs="Times New Roman"/>
        </w:rPr>
        <w:t>но</w:t>
      </w:r>
      <w:r w:rsidR="000F43CB">
        <w:rPr>
          <w:rFonts w:ascii="Times New Roman" w:hAnsi="Times New Roman" w:cs="Times New Roman"/>
          <w:lang w:val="sr-Cyrl-CS"/>
        </w:rPr>
        <w:t>ш</w:t>
      </w:r>
      <w:r w:rsidR="007E25F9" w:rsidRPr="000F43CB">
        <w:rPr>
          <w:rFonts w:ascii="Times New Roman" w:hAnsi="Times New Roman" w:cs="Times New Roman"/>
        </w:rPr>
        <w:t>ење</w:t>
      </w:r>
      <w:r w:rsidRPr="000F43CB">
        <w:rPr>
          <w:rFonts w:ascii="Times New Roman" w:hAnsi="Times New Roman" w:cs="Times New Roman"/>
        </w:rPr>
        <w:t xml:space="preserve"> </w:t>
      </w:r>
      <w:r w:rsidR="007E25F9" w:rsidRPr="000F43CB">
        <w:rPr>
          <w:rFonts w:ascii="Times New Roman" w:hAnsi="Times New Roman" w:cs="Times New Roman"/>
        </w:rPr>
        <w:t>добара</w:t>
      </w:r>
      <w:r w:rsidR="000F43CB">
        <w:rPr>
          <w:rFonts w:ascii="Times New Roman" w:hAnsi="Times New Roman" w:cs="Times New Roman"/>
          <w:lang w:val="sr-Cyrl-CS"/>
        </w:rPr>
        <w:t>,</w:t>
      </w:r>
      <w:r w:rsidR="007836A5" w:rsidRPr="000F43CB">
        <w:rPr>
          <w:rStyle w:val="FootnoteReference"/>
          <w:rFonts w:ascii="Times New Roman" w:hAnsi="Times New Roman" w:cs="Times New Roman"/>
        </w:rPr>
        <w:footnoteReference w:id="188"/>
      </w:r>
      <w:r w:rsidRPr="000F43CB">
        <w:rPr>
          <w:rFonts w:ascii="Times New Roman" w:hAnsi="Times New Roman" w:cs="Times New Roman"/>
        </w:rPr>
        <w:t xml:space="preserve"> </w:t>
      </w:r>
    </w:p>
    <w:p w:rsidR="00BC431E" w:rsidRPr="000F43CB" w:rsidRDefault="00BC431E" w:rsidP="00BC431E">
      <w:pPr>
        <w:pStyle w:val="Default"/>
        <w:rPr>
          <w:rFonts w:ascii="Times New Roman" w:hAnsi="Times New Roman" w:cs="Times New Roman"/>
        </w:rPr>
      </w:pPr>
      <w:r w:rsidRPr="000F43CB">
        <w:rPr>
          <w:rFonts w:ascii="Times New Roman" w:hAnsi="Times New Roman" w:cs="Times New Roman"/>
        </w:rPr>
        <w:t xml:space="preserve">- </w:t>
      </w:r>
      <w:r w:rsidR="007E25F9" w:rsidRPr="000F43CB">
        <w:rPr>
          <w:rFonts w:ascii="Times New Roman" w:hAnsi="Times New Roman" w:cs="Times New Roman"/>
        </w:rPr>
        <w:t>Закон</w:t>
      </w:r>
      <w:r w:rsidRPr="000F43CB">
        <w:rPr>
          <w:rFonts w:ascii="Times New Roman" w:hAnsi="Times New Roman" w:cs="Times New Roman"/>
        </w:rPr>
        <w:t xml:space="preserve"> </w:t>
      </w:r>
      <w:r w:rsidR="007E25F9" w:rsidRPr="000F43CB">
        <w:rPr>
          <w:rFonts w:ascii="Times New Roman" w:hAnsi="Times New Roman" w:cs="Times New Roman"/>
        </w:rPr>
        <w:t>о</w:t>
      </w:r>
      <w:r w:rsidRPr="000F43CB">
        <w:rPr>
          <w:rFonts w:ascii="Times New Roman" w:hAnsi="Times New Roman" w:cs="Times New Roman"/>
        </w:rPr>
        <w:t xml:space="preserve"> </w:t>
      </w:r>
      <w:r w:rsidR="007E25F9" w:rsidRPr="000F43CB">
        <w:rPr>
          <w:rFonts w:ascii="Times New Roman" w:hAnsi="Times New Roman" w:cs="Times New Roman"/>
        </w:rPr>
        <w:t>порезу</w:t>
      </w:r>
      <w:r w:rsidRPr="000F43CB">
        <w:rPr>
          <w:rFonts w:ascii="Times New Roman" w:hAnsi="Times New Roman" w:cs="Times New Roman"/>
        </w:rPr>
        <w:t xml:space="preserve"> </w:t>
      </w:r>
      <w:r w:rsidR="007E25F9" w:rsidRPr="000F43CB">
        <w:rPr>
          <w:rFonts w:ascii="Times New Roman" w:hAnsi="Times New Roman" w:cs="Times New Roman"/>
        </w:rPr>
        <w:t>на</w:t>
      </w:r>
      <w:r w:rsidRPr="000F43CB">
        <w:rPr>
          <w:rFonts w:ascii="Times New Roman" w:hAnsi="Times New Roman" w:cs="Times New Roman"/>
        </w:rPr>
        <w:t xml:space="preserve"> </w:t>
      </w:r>
      <w:r w:rsidR="007E25F9" w:rsidRPr="000F43CB">
        <w:rPr>
          <w:rFonts w:ascii="Times New Roman" w:hAnsi="Times New Roman" w:cs="Times New Roman"/>
        </w:rPr>
        <w:t>финансијске</w:t>
      </w:r>
      <w:r w:rsidRPr="000F43CB">
        <w:rPr>
          <w:rFonts w:ascii="Times New Roman" w:hAnsi="Times New Roman" w:cs="Times New Roman"/>
        </w:rPr>
        <w:t xml:space="preserve"> </w:t>
      </w:r>
      <w:r w:rsidR="007E25F9" w:rsidRPr="000F43CB">
        <w:rPr>
          <w:rFonts w:ascii="Times New Roman" w:hAnsi="Times New Roman" w:cs="Times New Roman"/>
        </w:rPr>
        <w:t>трансакције</w:t>
      </w:r>
      <w:r w:rsidR="000F43CB">
        <w:rPr>
          <w:rFonts w:ascii="Times New Roman" w:hAnsi="Times New Roman" w:cs="Times New Roman"/>
          <w:lang w:val="sr-Cyrl-CS"/>
        </w:rPr>
        <w:t>,</w:t>
      </w:r>
      <w:r w:rsidR="007836A5" w:rsidRPr="000F43CB">
        <w:rPr>
          <w:rStyle w:val="FootnoteReference"/>
          <w:rFonts w:ascii="Times New Roman" w:hAnsi="Times New Roman" w:cs="Times New Roman"/>
        </w:rPr>
        <w:footnoteReference w:id="189"/>
      </w:r>
      <w:r w:rsidRPr="000F43CB">
        <w:rPr>
          <w:rFonts w:ascii="Times New Roman" w:hAnsi="Times New Roman" w:cs="Times New Roman"/>
        </w:rPr>
        <w:t xml:space="preserve"> </w:t>
      </w:r>
    </w:p>
    <w:p w:rsidR="000F43CB" w:rsidRDefault="000F43CB" w:rsidP="000F43CB">
      <w:pPr>
        <w:pStyle w:val="ListParagraph"/>
        <w:ind w:left="0"/>
        <w:jc w:val="both"/>
        <w:rPr>
          <w:rFonts w:ascii="Times New Roman" w:hAnsi="Times New Roman"/>
          <w:sz w:val="24"/>
          <w:szCs w:val="24"/>
          <w:lang w:val="sr-Cyrl-CS"/>
        </w:rPr>
      </w:pPr>
      <w:r w:rsidRPr="000F43CB">
        <w:rPr>
          <w:rFonts w:ascii="Times New Roman" w:hAnsi="Times New Roman"/>
          <w:sz w:val="24"/>
          <w:szCs w:val="24"/>
          <w:lang w:val="sr-Cyrl-CS"/>
        </w:rPr>
        <w:t xml:space="preserve">- </w:t>
      </w:r>
      <w:r w:rsidR="007E25F9" w:rsidRPr="000F43CB">
        <w:rPr>
          <w:rFonts w:ascii="Times New Roman" w:hAnsi="Times New Roman"/>
          <w:sz w:val="24"/>
          <w:szCs w:val="24"/>
        </w:rPr>
        <w:t>Закон</w:t>
      </w:r>
      <w:r w:rsidR="00BC431E" w:rsidRPr="000F43CB">
        <w:rPr>
          <w:rFonts w:ascii="Times New Roman" w:hAnsi="Times New Roman"/>
          <w:sz w:val="24"/>
          <w:szCs w:val="24"/>
        </w:rPr>
        <w:t xml:space="preserve"> </w:t>
      </w:r>
      <w:r w:rsidR="007E25F9" w:rsidRPr="000F43CB">
        <w:rPr>
          <w:rFonts w:ascii="Times New Roman" w:hAnsi="Times New Roman"/>
          <w:sz w:val="24"/>
          <w:szCs w:val="24"/>
        </w:rPr>
        <w:t>о</w:t>
      </w:r>
      <w:r w:rsidR="00BC431E" w:rsidRPr="000F43CB">
        <w:rPr>
          <w:rFonts w:ascii="Times New Roman" w:hAnsi="Times New Roman"/>
          <w:sz w:val="24"/>
          <w:szCs w:val="24"/>
        </w:rPr>
        <w:t xml:space="preserve"> </w:t>
      </w:r>
      <w:r w:rsidR="007E25F9" w:rsidRPr="000F43CB">
        <w:rPr>
          <w:rFonts w:ascii="Times New Roman" w:hAnsi="Times New Roman"/>
          <w:sz w:val="24"/>
          <w:szCs w:val="24"/>
        </w:rPr>
        <w:t>порезу</w:t>
      </w:r>
      <w:r w:rsidR="00BC431E" w:rsidRPr="000F43CB">
        <w:rPr>
          <w:rFonts w:ascii="Times New Roman" w:hAnsi="Times New Roman"/>
          <w:sz w:val="24"/>
          <w:szCs w:val="24"/>
        </w:rPr>
        <w:t xml:space="preserve"> </w:t>
      </w:r>
      <w:r w:rsidR="007E25F9" w:rsidRPr="000F43CB">
        <w:rPr>
          <w:rFonts w:ascii="Times New Roman" w:hAnsi="Times New Roman"/>
          <w:sz w:val="24"/>
          <w:szCs w:val="24"/>
        </w:rPr>
        <w:t>на</w:t>
      </w:r>
      <w:r w:rsidR="00BC431E" w:rsidRPr="000F43CB">
        <w:rPr>
          <w:rFonts w:ascii="Times New Roman" w:hAnsi="Times New Roman"/>
          <w:sz w:val="24"/>
          <w:szCs w:val="24"/>
        </w:rPr>
        <w:t xml:space="preserve"> </w:t>
      </w:r>
      <w:r w:rsidR="007E25F9" w:rsidRPr="000F43CB">
        <w:rPr>
          <w:rFonts w:ascii="Times New Roman" w:hAnsi="Times New Roman"/>
          <w:sz w:val="24"/>
          <w:szCs w:val="24"/>
        </w:rPr>
        <w:t>фонд</w:t>
      </w:r>
      <w:r w:rsidR="00BC431E" w:rsidRPr="000F43CB">
        <w:rPr>
          <w:rFonts w:ascii="Times New Roman" w:hAnsi="Times New Roman"/>
          <w:sz w:val="24"/>
          <w:szCs w:val="24"/>
        </w:rPr>
        <w:t xml:space="preserve"> </w:t>
      </w:r>
      <w:r w:rsidR="007E25F9" w:rsidRPr="000F43CB">
        <w:rPr>
          <w:rFonts w:ascii="Times New Roman" w:hAnsi="Times New Roman"/>
          <w:sz w:val="24"/>
          <w:szCs w:val="24"/>
        </w:rPr>
        <w:t>зарада</w:t>
      </w:r>
      <w:r>
        <w:rPr>
          <w:rFonts w:ascii="Times New Roman" w:hAnsi="Times New Roman"/>
          <w:sz w:val="24"/>
          <w:szCs w:val="24"/>
          <w:lang w:val="sr-Cyrl-CS"/>
        </w:rPr>
        <w:t>,</w:t>
      </w:r>
      <w:r w:rsidR="00BE7D2E" w:rsidRPr="000F43CB">
        <w:rPr>
          <w:rStyle w:val="FootnoteReference"/>
          <w:rFonts w:ascii="Times New Roman" w:hAnsi="Times New Roman"/>
          <w:sz w:val="24"/>
          <w:szCs w:val="24"/>
        </w:rPr>
        <w:footnoteReference w:id="190"/>
      </w:r>
    </w:p>
    <w:p w:rsidR="00BC431E" w:rsidRPr="000F43CB" w:rsidRDefault="000F43CB" w:rsidP="000F43CB">
      <w:pPr>
        <w:pStyle w:val="ListParagraph"/>
        <w:ind w:left="0"/>
        <w:jc w:val="both"/>
        <w:rPr>
          <w:rFonts w:ascii="Times New Roman" w:hAnsi="Times New Roman"/>
          <w:sz w:val="24"/>
          <w:szCs w:val="24"/>
          <w:lang w:val="sr-Cyrl-CS"/>
        </w:rPr>
      </w:pPr>
      <w:r>
        <w:rPr>
          <w:rFonts w:ascii="Times New Roman" w:hAnsi="Times New Roman"/>
          <w:sz w:val="24"/>
          <w:szCs w:val="24"/>
          <w:lang w:val="sr-Cyrl-CS"/>
        </w:rPr>
        <w:t>-</w:t>
      </w:r>
      <w:r w:rsidR="007E25F9" w:rsidRPr="000F43CB">
        <w:rPr>
          <w:rFonts w:ascii="Times New Roman" w:hAnsi="Times New Roman"/>
          <w:sz w:val="24"/>
          <w:szCs w:val="24"/>
        </w:rPr>
        <w:t>Закон</w:t>
      </w:r>
      <w:r w:rsidR="00BC431E" w:rsidRPr="000F43CB">
        <w:rPr>
          <w:rFonts w:ascii="Times New Roman" w:hAnsi="Times New Roman"/>
          <w:sz w:val="24"/>
          <w:szCs w:val="24"/>
        </w:rPr>
        <w:t xml:space="preserve"> </w:t>
      </w:r>
      <w:r w:rsidR="007E25F9" w:rsidRPr="000F43CB">
        <w:rPr>
          <w:rFonts w:ascii="Times New Roman" w:hAnsi="Times New Roman"/>
          <w:sz w:val="24"/>
          <w:szCs w:val="24"/>
        </w:rPr>
        <w:t>о</w:t>
      </w:r>
      <w:r w:rsidR="00BC431E" w:rsidRPr="000F43CB">
        <w:rPr>
          <w:rFonts w:ascii="Times New Roman" w:hAnsi="Times New Roman"/>
          <w:sz w:val="24"/>
          <w:szCs w:val="24"/>
        </w:rPr>
        <w:t xml:space="preserve"> </w:t>
      </w:r>
      <w:r w:rsidR="007E25F9" w:rsidRPr="000F43CB">
        <w:rPr>
          <w:rFonts w:ascii="Times New Roman" w:hAnsi="Times New Roman"/>
          <w:sz w:val="24"/>
          <w:szCs w:val="24"/>
        </w:rPr>
        <w:t>једнократном</w:t>
      </w:r>
      <w:r w:rsidR="00BC431E" w:rsidRPr="000F43CB">
        <w:rPr>
          <w:rFonts w:ascii="Times New Roman" w:hAnsi="Times New Roman"/>
          <w:sz w:val="24"/>
          <w:szCs w:val="24"/>
        </w:rPr>
        <w:t xml:space="preserve"> </w:t>
      </w:r>
      <w:r w:rsidR="007E25F9" w:rsidRPr="000F43CB">
        <w:rPr>
          <w:rFonts w:ascii="Times New Roman" w:hAnsi="Times New Roman"/>
          <w:sz w:val="24"/>
          <w:szCs w:val="24"/>
        </w:rPr>
        <w:t>порезу</w:t>
      </w:r>
      <w:r w:rsidR="00BC431E" w:rsidRPr="000F43CB">
        <w:rPr>
          <w:rFonts w:ascii="Times New Roman" w:hAnsi="Times New Roman"/>
          <w:sz w:val="24"/>
          <w:szCs w:val="24"/>
        </w:rPr>
        <w:t xml:space="preserve"> </w:t>
      </w:r>
      <w:r w:rsidR="007E25F9" w:rsidRPr="000F43CB">
        <w:rPr>
          <w:rFonts w:ascii="Times New Roman" w:hAnsi="Times New Roman"/>
          <w:sz w:val="24"/>
          <w:szCs w:val="24"/>
        </w:rPr>
        <w:t>на</w:t>
      </w:r>
      <w:r w:rsidR="00BC431E" w:rsidRPr="000F43CB">
        <w:rPr>
          <w:rFonts w:ascii="Times New Roman" w:hAnsi="Times New Roman"/>
          <w:sz w:val="24"/>
          <w:szCs w:val="24"/>
        </w:rPr>
        <w:t xml:space="preserve"> </w:t>
      </w:r>
      <w:r w:rsidR="007E25F9" w:rsidRPr="000F43CB">
        <w:rPr>
          <w:rFonts w:ascii="Times New Roman" w:hAnsi="Times New Roman"/>
          <w:sz w:val="24"/>
          <w:szCs w:val="24"/>
        </w:rPr>
        <w:t>екстра</w:t>
      </w:r>
      <w:r w:rsidR="00BC431E" w:rsidRPr="000F43CB">
        <w:rPr>
          <w:rFonts w:ascii="Times New Roman" w:hAnsi="Times New Roman"/>
          <w:sz w:val="24"/>
          <w:szCs w:val="24"/>
        </w:rPr>
        <w:t xml:space="preserve"> </w:t>
      </w:r>
      <w:r w:rsidR="007E25F9" w:rsidRPr="000F43CB">
        <w:rPr>
          <w:rFonts w:ascii="Times New Roman" w:hAnsi="Times New Roman"/>
          <w:sz w:val="24"/>
          <w:szCs w:val="24"/>
        </w:rPr>
        <w:t>доходак</w:t>
      </w:r>
      <w:r w:rsidR="00BC431E" w:rsidRPr="000F43CB">
        <w:rPr>
          <w:rFonts w:ascii="Times New Roman" w:hAnsi="Times New Roman"/>
          <w:sz w:val="24"/>
          <w:szCs w:val="24"/>
        </w:rPr>
        <w:t xml:space="preserve"> </w:t>
      </w:r>
      <w:r w:rsidR="007E25F9" w:rsidRPr="000F43CB">
        <w:rPr>
          <w:rFonts w:ascii="Times New Roman" w:hAnsi="Times New Roman"/>
          <w:sz w:val="24"/>
          <w:szCs w:val="24"/>
        </w:rPr>
        <w:t>и</w:t>
      </w:r>
      <w:r w:rsidR="00BC431E" w:rsidRPr="000F43CB">
        <w:rPr>
          <w:rFonts w:ascii="Times New Roman" w:hAnsi="Times New Roman"/>
          <w:sz w:val="24"/>
          <w:szCs w:val="24"/>
        </w:rPr>
        <w:t xml:space="preserve"> </w:t>
      </w:r>
      <w:r w:rsidR="007E25F9" w:rsidRPr="000F43CB">
        <w:rPr>
          <w:rFonts w:ascii="Times New Roman" w:hAnsi="Times New Roman"/>
          <w:sz w:val="24"/>
          <w:szCs w:val="24"/>
        </w:rPr>
        <w:t>екстра</w:t>
      </w:r>
      <w:r w:rsidR="00BC431E" w:rsidRPr="000F43CB">
        <w:rPr>
          <w:rFonts w:ascii="Times New Roman" w:hAnsi="Times New Roman"/>
          <w:sz w:val="24"/>
          <w:szCs w:val="24"/>
        </w:rPr>
        <w:t xml:space="preserve"> </w:t>
      </w:r>
      <w:r w:rsidR="007E25F9" w:rsidRPr="000F43CB">
        <w:rPr>
          <w:rFonts w:ascii="Times New Roman" w:hAnsi="Times New Roman"/>
          <w:sz w:val="24"/>
          <w:szCs w:val="24"/>
        </w:rPr>
        <w:t>имовину</w:t>
      </w:r>
      <w:r w:rsidR="00BC431E" w:rsidRPr="000F43CB">
        <w:rPr>
          <w:rFonts w:ascii="Times New Roman" w:hAnsi="Times New Roman"/>
          <w:sz w:val="24"/>
          <w:szCs w:val="24"/>
        </w:rPr>
        <w:t xml:space="preserve"> </w:t>
      </w:r>
      <w:r w:rsidR="007E25F9" w:rsidRPr="000F43CB">
        <w:rPr>
          <w:rFonts w:ascii="Times New Roman" w:hAnsi="Times New Roman"/>
          <w:sz w:val="24"/>
          <w:szCs w:val="24"/>
        </w:rPr>
        <w:t>сте</w:t>
      </w:r>
      <w:r>
        <w:rPr>
          <w:rFonts w:ascii="Times New Roman" w:hAnsi="Times New Roman"/>
          <w:sz w:val="24"/>
          <w:szCs w:val="24"/>
          <w:lang w:val="sr-Cyrl-CS"/>
        </w:rPr>
        <w:t>ч</w:t>
      </w:r>
      <w:r w:rsidR="007E25F9" w:rsidRPr="000F43CB">
        <w:rPr>
          <w:rFonts w:ascii="Times New Roman" w:hAnsi="Times New Roman"/>
          <w:sz w:val="24"/>
          <w:szCs w:val="24"/>
        </w:rPr>
        <w:t>ену</w:t>
      </w:r>
      <w:r w:rsidR="00BC431E" w:rsidRPr="000F43CB">
        <w:rPr>
          <w:rFonts w:ascii="Times New Roman" w:hAnsi="Times New Roman"/>
          <w:sz w:val="24"/>
          <w:szCs w:val="24"/>
        </w:rPr>
        <w:t xml:space="preserve"> </w:t>
      </w:r>
      <w:r w:rsidR="007E25F9" w:rsidRPr="000F43CB">
        <w:rPr>
          <w:rFonts w:ascii="Times New Roman" w:hAnsi="Times New Roman"/>
          <w:sz w:val="24"/>
          <w:szCs w:val="24"/>
        </w:rPr>
        <w:t>искори</w:t>
      </w:r>
      <w:r>
        <w:rPr>
          <w:rFonts w:ascii="Times New Roman" w:hAnsi="Times New Roman"/>
          <w:sz w:val="24"/>
          <w:szCs w:val="24"/>
          <w:lang w:val="sr-Cyrl-CS"/>
        </w:rPr>
        <w:t>шћ</w:t>
      </w:r>
      <w:r w:rsidR="007E25F9" w:rsidRPr="000F43CB">
        <w:rPr>
          <w:rFonts w:ascii="Times New Roman" w:hAnsi="Times New Roman"/>
          <w:sz w:val="24"/>
          <w:szCs w:val="24"/>
        </w:rPr>
        <w:t>авањем</w:t>
      </w:r>
      <w:r w:rsidR="00013005" w:rsidRPr="000F43CB">
        <w:rPr>
          <w:rFonts w:ascii="Times New Roman" w:hAnsi="Times New Roman"/>
          <w:sz w:val="24"/>
          <w:szCs w:val="24"/>
        </w:rPr>
        <w:t xml:space="preserve"> </w:t>
      </w:r>
      <w:r w:rsidR="007E25F9" w:rsidRPr="000F43CB">
        <w:rPr>
          <w:rFonts w:ascii="Times New Roman" w:hAnsi="Times New Roman"/>
          <w:sz w:val="24"/>
          <w:szCs w:val="24"/>
        </w:rPr>
        <w:t>посебних</w:t>
      </w:r>
      <w:r w:rsidR="00013005" w:rsidRPr="000F43CB">
        <w:rPr>
          <w:rFonts w:ascii="Times New Roman" w:hAnsi="Times New Roman"/>
          <w:sz w:val="24"/>
          <w:szCs w:val="24"/>
        </w:rPr>
        <w:t xml:space="preserve"> </w:t>
      </w:r>
      <w:r w:rsidR="007E25F9" w:rsidRPr="000F43CB">
        <w:rPr>
          <w:rFonts w:ascii="Times New Roman" w:hAnsi="Times New Roman"/>
          <w:sz w:val="24"/>
          <w:szCs w:val="24"/>
        </w:rPr>
        <w:t>погодности</w:t>
      </w:r>
      <w:r>
        <w:rPr>
          <w:rFonts w:ascii="Times New Roman" w:hAnsi="Times New Roman"/>
          <w:sz w:val="24"/>
          <w:szCs w:val="24"/>
          <w:lang w:val="sr-Cyrl-CS"/>
        </w:rPr>
        <w:t>.</w:t>
      </w:r>
      <w:r w:rsidR="00013005" w:rsidRPr="000F43CB">
        <w:rPr>
          <w:rStyle w:val="FootnoteReference"/>
          <w:rFonts w:ascii="Times New Roman" w:hAnsi="Times New Roman"/>
          <w:sz w:val="24"/>
          <w:szCs w:val="24"/>
        </w:rPr>
        <w:footnoteReference w:id="191"/>
      </w:r>
    </w:p>
    <w:p w:rsidR="00F80C1D" w:rsidRPr="00F80C1D" w:rsidRDefault="00F80C1D" w:rsidP="00BC431E">
      <w:pPr>
        <w:pStyle w:val="Default"/>
        <w:rPr>
          <w:rFonts w:ascii="Calibri" w:hAnsi="Calibri"/>
          <w:sz w:val="20"/>
          <w:szCs w:val="20"/>
          <w:lang w:val="sr-Cyrl-CS"/>
        </w:rPr>
      </w:pPr>
    </w:p>
    <w:p w:rsidR="00BC431E" w:rsidRPr="00A37E4D" w:rsidRDefault="005576FB" w:rsidP="00A37E4D">
      <w:pPr>
        <w:pStyle w:val="Default"/>
        <w:ind w:firstLine="708"/>
        <w:rPr>
          <w:rFonts w:ascii="Times New Roman" w:hAnsi="Times New Roman" w:cs="Times New Roman"/>
          <w:lang w:val="sr-Cyrl-CS"/>
        </w:rPr>
      </w:pPr>
      <w:r>
        <w:rPr>
          <w:rFonts w:ascii="Times New Roman" w:hAnsi="Times New Roman" w:cs="Times New Roman"/>
          <w:lang w:val="sr-Cyrl-CS"/>
        </w:rPr>
        <w:t>Међутим, већ у наредној фази</w:t>
      </w:r>
      <w:r w:rsidR="00BC431E" w:rsidRPr="00A37E4D">
        <w:rPr>
          <w:rFonts w:ascii="Times New Roman" w:hAnsi="Times New Roman" w:cs="Times New Roman"/>
        </w:rPr>
        <w:t xml:space="preserve"> </w:t>
      </w:r>
      <w:r w:rsidR="00A37E4D">
        <w:rPr>
          <w:rFonts w:ascii="Times New Roman" w:hAnsi="Times New Roman" w:cs="Times New Roman"/>
        </w:rPr>
        <w:t>реформ</w:t>
      </w:r>
      <w:r w:rsidR="00A37E4D">
        <w:rPr>
          <w:rFonts w:ascii="Times New Roman" w:hAnsi="Times New Roman" w:cs="Times New Roman"/>
          <w:lang w:val="sr-Cyrl-CS"/>
        </w:rPr>
        <w:t>е</w:t>
      </w:r>
      <w:r w:rsidR="00BC431E" w:rsidRPr="00A37E4D">
        <w:rPr>
          <w:rFonts w:ascii="Times New Roman" w:hAnsi="Times New Roman" w:cs="Times New Roman"/>
        </w:rPr>
        <w:t xml:space="preserve"> </w:t>
      </w:r>
      <w:r w:rsidR="007E25F9" w:rsidRPr="00A37E4D">
        <w:rPr>
          <w:rFonts w:ascii="Times New Roman" w:hAnsi="Times New Roman" w:cs="Times New Roman"/>
        </w:rPr>
        <w:t>фискалног</w:t>
      </w:r>
      <w:r w:rsidR="00BC431E" w:rsidRPr="00A37E4D">
        <w:rPr>
          <w:rFonts w:ascii="Times New Roman" w:hAnsi="Times New Roman" w:cs="Times New Roman"/>
        </w:rPr>
        <w:t xml:space="preserve"> </w:t>
      </w:r>
      <w:r w:rsidR="007E25F9" w:rsidRPr="00A37E4D">
        <w:rPr>
          <w:rFonts w:ascii="Times New Roman" w:hAnsi="Times New Roman" w:cs="Times New Roman"/>
        </w:rPr>
        <w:t>система</w:t>
      </w:r>
      <w:r w:rsidR="00BC431E" w:rsidRPr="00A37E4D">
        <w:rPr>
          <w:rFonts w:ascii="Times New Roman" w:hAnsi="Times New Roman" w:cs="Times New Roman"/>
        </w:rPr>
        <w:t xml:space="preserve"> </w:t>
      </w:r>
      <w:r w:rsidR="007E25F9" w:rsidRPr="00A37E4D">
        <w:rPr>
          <w:rFonts w:ascii="Times New Roman" w:hAnsi="Times New Roman" w:cs="Times New Roman"/>
        </w:rPr>
        <w:t>Републике</w:t>
      </w:r>
      <w:r w:rsidR="00BC431E" w:rsidRPr="00A37E4D">
        <w:rPr>
          <w:rFonts w:ascii="Times New Roman" w:hAnsi="Times New Roman" w:cs="Times New Roman"/>
        </w:rPr>
        <w:t xml:space="preserve"> </w:t>
      </w:r>
      <w:r w:rsidR="007E25F9" w:rsidRPr="00A37E4D">
        <w:rPr>
          <w:rFonts w:ascii="Times New Roman" w:hAnsi="Times New Roman" w:cs="Times New Roman"/>
        </w:rPr>
        <w:t>Србије</w:t>
      </w:r>
      <w:r w:rsidR="00A37E4D">
        <w:rPr>
          <w:rFonts w:ascii="Times New Roman" w:hAnsi="Times New Roman" w:cs="Times New Roman"/>
          <w:lang w:val="sr-Cyrl-CS"/>
        </w:rPr>
        <w:t>,</w:t>
      </w:r>
      <w:r w:rsidR="00BC431E" w:rsidRPr="00A37E4D">
        <w:rPr>
          <w:rFonts w:ascii="Times New Roman" w:hAnsi="Times New Roman" w:cs="Times New Roman"/>
        </w:rPr>
        <w:t xml:space="preserve"> </w:t>
      </w:r>
      <w:r w:rsidR="007E25F9" w:rsidRPr="00A37E4D">
        <w:rPr>
          <w:rFonts w:ascii="Times New Roman" w:hAnsi="Times New Roman" w:cs="Times New Roman"/>
        </w:rPr>
        <w:t>крајем</w:t>
      </w:r>
      <w:r w:rsidR="00C72BEB" w:rsidRPr="00A37E4D">
        <w:rPr>
          <w:rFonts w:ascii="Times New Roman" w:hAnsi="Times New Roman" w:cs="Times New Roman"/>
        </w:rPr>
        <w:t xml:space="preserve"> 2002. </w:t>
      </w:r>
      <w:r w:rsidR="00C72BEB" w:rsidRPr="00A37E4D">
        <w:rPr>
          <w:rFonts w:ascii="Times New Roman" w:hAnsi="Times New Roman" w:cs="Times New Roman"/>
          <w:lang w:val="sr-Cyrl-CS"/>
        </w:rPr>
        <w:t>г</w:t>
      </w:r>
      <w:r w:rsidR="007E25F9" w:rsidRPr="00A37E4D">
        <w:rPr>
          <w:rFonts w:ascii="Times New Roman" w:hAnsi="Times New Roman" w:cs="Times New Roman"/>
        </w:rPr>
        <w:t>одине</w:t>
      </w:r>
      <w:r w:rsidR="00C72BEB" w:rsidRPr="00A37E4D">
        <w:rPr>
          <w:rFonts w:ascii="Times New Roman" w:hAnsi="Times New Roman" w:cs="Times New Roman"/>
          <w:lang w:val="sr-Cyrl-CS"/>
        </w:rPr>
        <w:t>, измењено је</w:t>
      </w:r>
      <w:r w:rsidR="00A37E4D">
        <w:rPr>
          <w:rFonts w:ascii="Times New Roman" w:hAnsi="Times New Roman" w:cs="Times New Roman"/>
          <w:lang w:val="sr-Cyrl-CS"/>
        </w:rPr>
        <w:t xml:space="preserve"> </w:t>
      </w:r>
      <w:r w:rsidR="00C72BEB" w:rsidRPr="00A37E4D">
        <w:rPr>
          <w:rFonts w:ascii="Times New Roman" w:hAnsi="Times New Roman" w:cs="Times New Roman"/>
          <w:lang w:val="sr-Cyrl-CS"/>
        </w:rPr>
        <w:t>и  допуњено више</w:t>
      </w:r>
      <w:r w:rsidR="00BC431E" w:rsidRPr="00A37E4D">
        <w:rPr>
          <w:rFonts w:ascii="Times New Roman" w:hAnsi="Times New Roman" w:cs="Times New Roman"/>
        </w:rPr>
        <w:t xml:space="preserve"> </w:t>
      </w:r>
      <w:r w:rsidR="007E25F9" w:rsidRPr="00A37E4D">
        <w:rPr>
          <w:rFonts w:ascii="Times New Roman" w:hAnsi="Times New Roman" w:cs="Times New Roman"/>
        </w:rPr>
        <w:t>постоје</w:t>
      </w:r>
      <w:r w:rsidR="00A37E4D">
        <w:rPr>
          <w:rFonts w:ascii="Times New Roman" w:hAnsi="Times New Roman" w:cs="Times New Roman"/>
          <w:lang w:val="sr-Cyrl-CS"/>
        </w:rPr>
        <w:t>ћ</w:t>
      </w:r>
      <w:r w:rsidR="007E25F9" w:rsidRPr="00A37E4D">
        <w:rPr>
          <w:rFonts w:ascii="Times New Roman" w:hAnsi="Times New Roman" w:cs="Times New Roman"/>
        </w:rPr>
        <w:t>их</w:t>
      </w:r>
      <w:r w:rsidR="00BC431E" w:rsidRPr="00A37E4D">
        <w:rPr>
          <w:rFonts w:ascii="Times New Roman" w:hAnsi="Times New Roman" w:cs="Times New Roman"/>
        </w:rPr>
        <w:t xml:space="preserve"> </w:t>
      </w:r>
      <w:r w:rsidR="007E25F9" w:rsidRPr="00A37E4D">
        <w:rPr>
          <w:rFonts w:ascii="Times New Roman" w:hAnsi="Times New Roman" w:cs="Times New Roman"/>
        </w:rPr>
        <w:t>закона</w:t>
      </w:r>
      <w:r w:rsidR="00BC431E" w:rsidRPr="00A37E4D">
        <w:rPr>
          <w:rFonts w:ascii="Times New Roman" w:hAnsi="Times New Roman" w:cs="Times New Roman"/>
        </w:rPr>
        <w:t xml:space="preserve"> </w:t>
      </w:r>
      <w:r w:rsidR="007E25F9" w:rsidRPr="00A37E4D">
        <w:rPr>
          <w:rFonts w:ascii="Times New Roman" w:hAnsi="Times New Roman" w:cs="Times New Roman"/>
        </w:rPr>
        <w:t>и</w:t>
      </w:r>
      <w:r w:rsidR="00BC431E" w:rsidRPr="00A37E4D">
        <w:rPr>
          <w:rFonts w:ascii="Times New Roman" w:hAnsi="Times New Roman" w:cs="Times New Roman"/>
        </w:rPr>
        <w:t xml:space="preserve"> </w:t>
      </w:r>
      <w:r w:rsidR="007E25F9" w:rsidRPr="00A37E4D">
        <w:rPr>
          <w:rFonts w:ascii="Times New Roman" w:hAnsi="Times New Roman" w:cs="Times New Roman"/>
        </w:rPr>
        <w:t>то</w:t>
      </w:r>
      <w:r w:rsidR="00BC431E" w:rsidRPr="00A37E4D">
        <w:rPr>
          <w:rFonts w:ascii="Times New Roman" w:hAnsi="Times New Roman" w:cs="Times New Roman"/>
        </w:rPr>
        <w:t xml:space="preserve">: </w:t>
      </w:r>
    </w:p>
    <w:p w:rsidR="00C72BEB" w:rsidRPr="00A37E4D" w:rsidRDefault="00C72BEB" w:rsidP="00BC431E">
      <w:pPr>
        <w:pStyle w:val="Default"/>
        <w:rPr>
          <w:rFonts w:ascii="Times New Roman" w:hAnsi="Times New Roman" w:cs="Times New Roman"/>
          <w:lang w:val="sr-Cyrl-CS"/>
        </w:rPr>
      </w:pPr>
    </w:p>
    <w:p w:rsidR="00BC431E" w:rsidRPr="00A37E4D" w:rsidRDefault="00BC431E" w:rsidP="00BC431E">
      <w:pPr>
        <w:pStyle w:val="Default"/>
        <w:rPr>
          <w:rFonts w:ascii="Times New Roman" w:hAnsi="Times New Roman" w:cs="Times New Roman"/>
        </w:rPr>
      </w:pPr>
      <w:r w:rsidRPr="00A37E4D">
        <w:rPr>
          <w:rFonts w:ascii="Times New Roman" w:hAnsi="Times New Roman" w:cs="Times New Roman"/>
        </w:rPr>
        <w:t xml:space="preserve">- </w:t>
      </w:r>
      <w:r w:rsidR="007E25F9" w:rsidRPr="00A37E4D">
        <w:rPr>
          <w:rFonts w:ascii="Times New Roman" w:hAnsi="Times New Roman" w:cs="Times New Roman"/>
        </w:rPr>
        <w:t>Закон</w:t>
      </w:r>
      <w:r w:rsidRPr="00A37E4D">
        <w:rPr>
          <w:rFonts w:ascii="Times New Roman" w:hAnsi="Times New Roman" w:cs="Times New Roman"/>
        </w:rPr>
        <w:t xml:space="preserve"> </w:t>
      </w:r>
      <w:r w:rsidR="007E25F9" w:rsidRPr="00A37E4D">
        <w:rPr>
          <w:rFonts w:ascii="Times New Roman" w:hAnsi="Times New Roman" w:cs="Times New Roman"/>
        </w:rPr>
        <w:t>о</w:t>
      </w:r>
      <w:r w:rsidRPr="00A37E4D">
        <w:rPr>
          <w:rFonts w:ascii="Times New Roman" w:hAnsi="Times New Roman" w:cs="Times New Roman"/>
        </w:rPr>
        <w:t xml:space="preserve"> </w:t>
      </w:r>
      <w:r w:rsidR="007E25F9" w:rsidRPr="00A37E4D">
        <w:rPr>
          <w:rFonts w:ascii="Times New Roman" w:hAnsi="Times New Roman" w:cs="Times New Roman"/>
        </w:rPr>
        <w:t>порезу</w:t>
      </w:r>
      <w:r w:rsidRPr="00A37E4D">
        <w:rPr>
          <w:rFonts w:ascii="Times New Roman" w:hAnsi="Times New Roman" w:cs="Times New Roman"/>
        </w:rPr>
        <w:t xml:space="preserve"> </w:t>
      </w:r>
      <w:r w:rsidR="007E25F9" w:rsidRPr="00A37E4D">
        <w:rPr>
          <w:rFonts w:ascii="Times New Roman" w:hAnsi="Times New Roman" w:cs="Times New Roman"/>
        </w:rPr>
        <w:t>на</w:t>
      </w:r>
      <w:r w:rsidRPr="00A37E4D">
        <w:rPr>
          <w:rFonts w:ascii="Times New Roman" w:hAnsi="Times New Roman" w:cs="Times New Roman"/>
        </w:rPr>
        <w:t xml:space="preserve"> </w:t>
      </w:r>
      <w:r w:rsidR="007E25F9" w:rsidRPr="00A37E4D">
        <w:rPr>
          <w:rFonts w:ascii="Times New Roman" w:hAnsi="Times New Roman" w:cs="Times New Roman"/>
        </w:rPr>
        <w:t>промет</w:t>
      </w:r>
      <w:r w:rsidRPr="00A37E4D">
        <w:rPr>
          <w:rFonts w:ascii="Times New Roman" w:hAnsi="Times New Roman" w:cs="Times New Roman"/>
        </w:rPr>
        <w:t xml:space="preserve">, </w:t>
      </w:r>
    </w:p>
    <w:p w:rsidR="00BC431E" w:rsidRPr="00A37E4D" w:rsidRDefault="00BC431E" w:rsidP="00BC431E">
      <w:pPr>
        <w:pStyle w:val="Default"/>
        <w:rPr>
          <w:rFonts w:ascii="Times New Roman" w:hAnsi="Times New Roman" w:cs="Times New Roman"/>
        </w:rPr>
      </w:pPr>
      <w:r w:rsidRPr="00A37E4D">
        <w:rPr>
          <w:rFonts w:ascii="Times New Roman" w:hAnsi="Times New Roman" w:cs="Times New Roman"/>
        </w:rPr>
        <w:t xml:space="preserve">- </w:t>
      </w:r>
      <w:r w:rsidR="007E25F9" w:rsidRPr="00A37E4D">
        <w:rPr>
          <w:rFonts w:ascii="Times New Roman" w:hAnsi="Times New Roman" w:cs="Times New Roman"/>
        </w:rPr>
        <w:t>Закон</w:t>
      </w:r>
      <w:r w:rsidRPr="00A37E4D">
        <w:rPr>
          <w:rFonts w:ascii="Times New Roman" w:hAnsi="Times New Roman" w:cs="Times New Roman"/>
        </w:rPr>
        <w:t xml:space="preserve"> </w:t>
      </w:r>
      <w:r w:rsidR="007E25F9" w:rsidRPr="00A37E4D">
        <w:rPr>
          <w:rFonts w:ascii="Times New Roman" w:hAnsi="Times New Roman" w:cs="Times New Roman"/>
        </w:rPr>
        <w:t>о</w:t>
      </w:r>
      <w:r w:rsidRPr="00A37E4D">
        <w:rPr>
          <w:rFonts w:ascii="Times New Roman" w:hAnsi="Times New Roman" w:cs="Times New Roman"/>
        </w:rPr>
        <w:t xml:space="preserve"> </w:t>
      </w:r>
      <w:r w:rsidR="007E25F9" w:rsidRPr="00A37E4D">
        <w:rPr>
          <w:rFonts w:ascii="Times New Roman" w:hAnsi="Times New Roman" w:cs="Times New Roman"/>
        </w:rPr>
        <w:t>порезу</w:t>
      </w:r>
      <w:r w:rsidRPr="00A37E4D">
        <w:rPr>
          <w:rFonts w:ascii="Times New Roman" w:hAnsi="Times New Roman" w:cs="Times New Roman"/>
        </w:rPr>
        <w:t xml:space="preserve"> </w:t>
      </w:r>
      <w:r w:rsidR="007E25F9" w:rsidRPr="00A37E4D">
        <w:rPr>
          <w:rFonts w:ascii="Times New Roman" w:hAnsi="Times New Roman" w:cs="Times New Roman"/>
        </w:rPr>
        <w:t>на</w:t>
      </w:r>
      <w:r w:rsidRPr="00A37E4D">
        <w:rPr>
          <w:rFonts w:ascii="Times New Roman" w:hAnsi="Times New Roman" w:cs="Times New Roman"/>
        </w:rPr>
        <w:t xml:space="preserve"> </w:t>
      </w:r>
      <w:r w:rsidR="007E25F9" w:rsidRPr="00A37E4D">
        <w:rPr>
          <w:rFonts w:ascii="Times New Roman" w:hAnsi="Times New Roman" w:cs="Times New Roman"/>
        </w:rPr>
        <w:t>добит</w:t>
      </w:r>
      <w:r w:rsidRPr="00A37E4D">
        <w:rPr>
          <w:rFonts w:ascii="Times New Roman" w:hAnsi="Times New Roman" w:cs="Times New Roman"/>
        </w:rPr>
        <w:t xml:space="preserve"> </w:t>
      </w:r>
      <w:r w:rsidR="007E25F9" w:rsidRPr="00A37E4D">
        <w:rPr>
          <w:rFonts w:ascii="Times New Roman" w:hAnsi="Times New Roman" w:cs="Times New Roman"/>
        </w:rPr>
        <w:t>предузе</w:t>
      </w:r>
      <w:r w:rsidR="00A37E4D">
        <w:rPr>
          <w:rFonts w:ascii="Times New Roman" w:hAnsi="Times New Roman" w:cs="Times New Roman"/>
          <w:lang w:val="sr-Cyrl-CS"/>
        </w:rPr>
        <w:t>ћ</w:t>
      </w:r>
      <w:r w:rsidR="007E25F9" w:rsidRPr="00A37E4D">
        <w:rPr>
          <w:rFonts w:ascii="Times New Roman" w:hAnsi="Times New Roman" w:cs="Times New Roman"/>
        </w:rPr>
        <w:t>а</w:t>
      </w:r>
      <w:r w:rsidRPr="00A37E4D">
        <w:rPr>
          <w:rFonts w:ascii="Times New Roman" w:hAnsi="Times New Roman" w:cs="Times New Roman"/>
        </w:rPr>
        <w:t xml:space="preserve">, </w:t>
      </w:r>
    </w:p>
    <w:p w:rsidR="00BC431E" w:rsidRPr="00A37E4D" w:rsidRDefault="00BC431E" w:rsidP="00BC431E">
      <w:pPr>
        <w:pStyle w:val="Default"/>
        <w:rPr>
          <w:rFonts w:ascii="Times New Roman" w:hAnsi="Times New Roman" w:cs="Times New Roman"/>
        </w:rPr>
      </w:pPr>
      <w:r w:rsidRPr="00A37E4D">
        <w:rPr>
          <w:rFonts w:ascii="Times New Roman" w:hAnsi="Times New Roman" w:cs="Times New Roman"/>
        </w:rPr>
        <w:t xml:space="preserve">- </w:t>
      </w:r>
      <w:r w:rsidR="007E25F9" w:rsidRPr="00A37E4D">
        <w:rPr>
          <w:rFonts w:ascii="Times New Roman" w:hAnsi="Times New Roman" w:cs="Times New Roman"/>
        </w:rPr>
        <w:t>Закон</w:t>
      </w:r>
      <w:r w:rsidRPr="00A37E4D">
        <w:rPr>
          <w:rFonts w:ascii="Times New Roman" w:hAnsi="Times New Roman" w:cs="Times New Roman"/>
        </w:rPr>
        <w:t xml:space="preserve"> </w:t>
      </w:r>
      <w:r w:rsidR="007E25F9" w:rsidRPr="00A37E4D">
        <w:rPr>
          <w:rFonts w:ascii="Times New Roman" w:hAnsi="Times New Roman" w:cs="Times New Roman"/>
        </w:rPr>
        <w:t>о</w:t>
      </w:r>
      <w:r w:rsidRPr="00A37E4D">
        <w:rPr>
          <w:rFonts w:ascii="Times New Roman" w:hAnsi="Times New Roman" w:cs="Times New Roman"/>
        </w:rPr>
        <w:t xml:space="preserve"> </w:t>
      </w:r>
      <w:r w:rsidR="007E25F9" w:rsidRPr="00A37E4D">
        <w:rPr>
          <w:rFonts w:ascii="Times New Roman" w:hAnsi="Times New Roman" w:cs="Times New Roman"/>
        </w:rPr>
        <w:t>порезима</w:t>
      </w:r>
      <w:r w:rsidR="00877907" w:rsidRPr="00A37E4D">
        <w:rPr>
          <w:rFonts w:ascii="Times New Roman" w:hAnsi="Times New Roman" w:cs="Times New Roman"/>
        </w:rPr>
        <w:t xml:space="preserve"> </w:t>
      </w:r>
      <w:r w:rsidR="007E25F9" w:rsidRPr="00A37E4D">
        <w:rPr>
          <w:rFonts w:ascii="Times New Roman" w:hAnsi="Times New Roman" w:cs="Times New Roman"/>
        </w:rPr>
        <w:t>на</w:t>
      </w:r>
      <w:r w:rsidR="00877907" w:rsidRPr="00A37E4D">
        <w:rPr>
          <w:rFonts w:ascii="Times New Roman" w:hAnsi="Times New Roman" w:cs="Times New Roman"/>
        </w:rPr>
        <w:t xml:space="preserve"> </w:t>
      </w:r>
      <w:r w:rsidR="007E25F9" w:rsidRPr="00A37E4D">
        <w:rPr>
          <w:rFonts w:ascii="Times New Roman" w:hAnsi="Times New Roman" w:cs="Times New Roman"/>
        </w:rPr>
        <w:t>употребу</w:t>
      </w:r>
      <w:r w:rsidR="00877907" w:rsidRPr="00A37E4D">
        <w:rPr>
          <w:rFonts w:ascii="Times New Roman" w:hAnsi="Times New Roman" w:cs="Times New Roman"/>
        </w:rPr>
        <w:t xml:space="preserve">, </w:t>
      </w:r>
      <w:r w:rsidR="007E25F9" w:rsidRPr="00A37E4D">
        <w:rPr>
          <w:rFonts w:ascii="Times New Roman" w:hAnsi="Times New Roman" w:cs="Times New Roman"/>
        </w:rPr>
        <w:t>др</w:t>
      </w:r>
      <w:r w:rsidR="00A37E4D">
        <w:rPr>
          <w:rFonts w:ascii="Times New Roman" w:hAnsi="Times New Roman" w:cs="Times New Roman"/>
          <w:lang w:val="sr-Cyrl-CS"/>
        </w:rPr>
        <w:t>ж</w:t>
      </w:r>
      <w:r w:rsidR="007E25F9" w:rsidRPr="00A37E4D">
        <w:rPr>
          <w:rFonts w:ascii="Times New Roman" w:hAnsi="Times New Roman" w:cs="Times New Roman"/>
        </w:rPr>
        <w:t>ање</w:t>
      </w:r>
      <w:r w:rsidR="00877907" w:rsidRPr="00A37E4D">
        <w:rPr>
          <w:rFonts w:ascii="Times New Roman" w:hAnsi="Times New Roman" w:cs="Times New Roman"/>
        </w:rPr>
        <w:t xml:space="preserve"> </w:t>
      </w:r>
      <w:r w:rsidR="007E25F9" w:rsidRPr="00A37E4D">
        <w:rPr>
          <w:rFonts w:ascii="Times New Roman" w:hAnsi="Times New Roman" w:cs="Times New Roman"/>
        </w:rPr>
        <w:t>и</w:t>
      </w:r>
      <w:r w:rsidR="00877907" w:rsidRPr="00A37E4D">
        <w:rPr>
          <w:rFonts w:ascii="Times New Roman" w:hAnsi="Times New Roman" w:cs="Times New Roman"/>
        </w:rPr>
        <w:t xml:space="preserve"> </w:t>
      </w:r>
      <w:r w:rsidR="007E25F9" w:rsidRPr="00A37E4D">
        <w:rPr>
          <w:rFonts w:ascii="Times New Roman" w:hAnsi="Times New Roman" w:cs="Times New Roman"/>
        </w:rPr>
        <w:t>но</w:t>
      </w:r>
      <w:r w:rsidR="00877907" w:rsidRPr="00A37E4D">
        <w:rPr>
          <w:rFonts w:ascii="Times New Roman" w:hAnsi="Times New Roman" w:cs="Times New Roman"/>
          <w:lang w:val="sr-Cyrl-CS"/>
        </w:rPr>
        <w:t>ш</w:t>
      </w:r>
      <w:r w:rsidR="007E25F9" w:rsidRPr="00A37E4D">
        <w:rPr>
          <w:rFonts w:ascii="Times New Roman" w:hAnsi="Times New Roman" w:cs="Times New Roman"/>
        </w:rPr>
        <w:t>ење</w:t>
      </w:r>
      <w:r w:rsidRPr="00A37E4D">
        <w:rPr>
          <w:rFonts w:ascii="Times New Roman" w:hAnsi="Times New Roman" w:cs="Times New Roman"/>
        </w:rPr>
        <w:t xml:space="preserve"> </w:t>
      </w:r>
      <w:r w:rsidR="007E25F9" w:rsidRPr="00A37E4D">
        <w:rPr>
          <w:rFonts w:ascii="Times New Roman" w:hAnsi="Times New Roman" w:cs="Times New Roman"/>
        </w:rPr>
        <w:t>добара</w:t>
      </w:r>
      <w:r w:rsidRPr="00A37E4D">
        <w:rPr>
          <w:rFonts w:ascii="Times New Roman" w:hAnsi="Times New Roman" w:cs="Times New Roman"/>
        </w:rPr>
        <w:t xml:space="preserve">, </w:t>
      </w:r>
    </w:p>
    <w:p w:rsidR="00BC431E" w:rsidRPr="00A37E4D" w:rsidRDefault="00BC431E" w:rsidP="00BC431E">
      <w:pPr>
        <w:pStyle w:val="Default"/>
        <w:rPr>
          <w:rFonts w:ascii="Times New Roman" w:hAnsi="Times New Roman" w:cs="Times New Roman"/>
        </w:rPr>
      </w:pPr>
      <w:r w:rsidRPr="00A37E4D">
        <w:rPr>
          <w:rFonts w:ascii="Times New Roman" w:hAnsi="Times New Roman" w:cs="Times New Roman"/>
        </w:rPr>
        <w:t xml:space="preserve">- </w:t>
      </w:r>
      <w:r w:rsidR="007E25F9" w:rsidRPr="00A37E4D">
        <w:rPr>
          <w:rFonts w:ascii="Times New Roman" w:hAnsi="Times New Roman" w:cs="Times New Roman"/>
        </w:rPr>
        <w:t>Закон</w:t>
      </w:r>
      <w:r w:rsidRPr="00A37E4D">
        <w:rPr>
          <w:rFonts w:ascii="Times New Roman" w:hAnsi="Times New Roman" w:cs="Times New Roman"/>
        </w:rPr>
        <w:t xml:space="preserve"> </w:t>
      </w:r>
      <w:r w:rsidR="007E25F9" w:rsidRPr="00A37E4D">
        <w:rPr>
          <w:rFonts w:ascii="Times New Roman" w:hAnsi="Times New Roman" w:cs="Times New Roman"/>
        </w:rPr>
        <w:t>о</w:t>
      </w:r>
      <w:r w:rsidRPr="00A37E4D">
        <w:rPr>
          <w:rFonts w:ascii="Times New Roman" w:hAnsi="Times New Roman" w:cs="Times New Roman"/>
        </w:rPr>
        <w:t xml:space="preserve"> </w:t>
      </w:r>
      <w:r w:rsidR="007E25F9" w:rsidRPr="00A37E4D">
        <w:rPr>
          <w:rFonts w:ascii="Times New Roman" w:hAnsi="Times New Roman" w:cs="Times New Roman"/>
        </w:rPr>
        <w:t>порезима</w:t>
      </w:r>
      <w:r w:rsidRPr="00A37E4D">
        <w:rPr>
          <w:rFonts w:ascii="Times New Roman" w:hAnsi="Times New Roman" w:cs="Times New Roman"/>
        </w:rPr>
        <w:t xml:space="preserve"> </w:t>
      </w:r>
      <w:r w:rsidR="007E25F9" w:rsidRPr="00A37E4D">
        <w:rPr>
          <w:rFonts w:ascii="Times New Roman" w:hAnsi="Times New Roman" w:cs="Times New Roman"/>
        </w:rPr>
        <w:t>на</w:t>
      </w:r>
      <w:r w:rsidRPr="00A37E4D">
        <w:rPr>
          <w:rFonts w:ascii="Times New Roman" w:hAnsi="Times New Roman" w:cs="Times New Roman"/>
        </w:rPr>
        <w:t xml:space="preserve"> </w:t>
      </w:r>
      <w:r w:rsidR="007E25F9" w:rsidRPr="00A37E4D">
        <w:rPr>
          <w:rFonts w:ascii="Times New Roman" w:hAnsi="Times New Roman" w:cs="Times New Roman"/>
        </w:rPr>
        <w:t>имовину</w:t>
      </w:r>
      <w:r w:rsidRPr="00A37E4D">
        <w:rPr>
          <w:rFonts w:ascii="Times New Roman" w:hAnsi="Times New Roman" w:cs="Times New Roman"/>
        </w:rPr>
        <w:t xml:space="preserve">, </w:t>
      </w:r>
    </w:p>
    <w:p w:rsidR="00BC431E" w:rsidRPr="00A37E4D" w:rsidRDefault="00BC431E" w:rsidP="00BC431E">
      <w:pPr>
        <w:pStyle w:val="Default"/>
        <w:rPr>
          <w:rFonts w:ascii="Times New Roman" w:hAnsi="Times New Roman" w:cs="Times New Roman"/>
        </w:rPr>
      </w:pPr>
      <w:r w:rsidRPr="00A37E4D">
        <w:rPr>
          <w:rFonts w:ascii="Times New Roman" w:hAnsi="Times New Roman" w:cs="Times New Roman"/>
        </w:rPr>
        <w:t xml:space="preserve">- </w:t>
      </w:r>
      <w:r w:rsidR="007E25F9" w:rsidRPr="00A37E4D">
        <w:rPr>
          <w:rFonts w:ascii="Times New Roman" w:hAnsi="Times New Roman" w:cs="Times New Roman"/>
        </w:rPr>
        <w:t>Закон</w:t>
      </w:r>
      <w:r w:rsidRPr="00A37E4D">
        <w:rPr>
          <w:rFonts w:ascii="Times New Roman" w:hAnsi="Times New Roman" w:cs="Times New Roman"/>
        </w:rPr>
        <w:t xml:space="preserve"> </w:t>
      </w:r>
      <w:r w:rsidR="007E25F9" w:rsidRPr="00A37E4D">
        <w:rPr>
          <w:rFonts w:ascii="Times New Roman" w:hAnsi="Times New Roman" w:cs="Times New Roman"/>
        </w:rPr>
        <w:t>о</w:t>
      </w:r>
      <w:r w:rsidRPr="00A37E4D">
        <w:rPr>
          <w:rFonts w:ascii="Times New Roman" w:hAnsi="Times New Roman" w:cs="Times New Roman"/>
        </w:rPr>
        <w:t xml:space="preserve"> </w:t>
      </w:r>
      <w:r w:rsidR="007E25F9" w:rsidRPr="00A37E4D">
        <w:rPr>
          <w:rFonts w:ascii="Times New Roman" w:hAnsi="Times New Roman" w:cs="Times New Roman"/>
        </w:rPr>
        <w:t>порезима</w:t>
      </w:r>
      <w:r w:rsidRPr="00A37E4D">
        <w:rPr>
          <w:rFonts w:ascii="Times New Roman" w:hAnsi="Times New Roman" w:cs="Times New Roman"/>
        </w:rPr>
        <w:t xml:space="preserve"> </w:t>
      </w:r>
      <w:r w:rsidR="007E25F9" w:rsidRPr="00A37E4D">
        <w:rPr>
          <w:rFonts w:ascii="Times New Roman" w:hAnsi="Times New Roman" w:cs="Times New Roman"/>
        </w:rPr>
        <w:t>на</w:t>
      </w:r>
      <w:r w:rsidRPr="00A37E4D">
        <w:rPr>
          <w:rFonts w:ascii="Times New Roman" w:hAnsi="Times New Roman" w:cs="Times New Roman"/>
        </w:rPr>
        <w:t xml:space="preserve"> </w:t>
      </w:r>
      <w:r w:rsidR="007E25F9" w:rsidRPr="00A37E4D">
        <w:rPr>
          <w:rFonts w:ascii="Times New Roman" w:hAnsi="Times New Roman" w:cs="Times New Roman"/>
        </w:rPr>
        <w:t>доходак</w:t>
      </w:r>
      <w:r w:rsidRPr="00A37E4D">
        <w:rPr>
          <w:rFonts w:ascii="Times New Roman" w:hAnsi="Times New Roman" w:cs="Times New Roman"/>
        </w:rPr>
        <w:t xml:space="preserve"> </w:t>
      </w:r>
      <w:r w:rsidR="007E25F9" w:rsidRPr="00A37E4D">
        <w:rPr>
          <w:rFonts w:ascii="Times New Roman" w:hAnsi="Times New Roman" w:cs="Times New Roman"/>
        </w:rPr>
        <w:t>гра</w:t>
      </w:r>
      <w:r w:rsidR="00A37E4D">
        <w:rPr>
          <w:rFonts w:ascii="Times New Roman" w:hAnsi="Times New Roman" w:cs="Times New Roman"/>
          <w:lang w:val="sr-Cyrl-CS"/>
        </w:rPr>
        <w:t>ђ</w:t>
      </w:r>
      <w:r w:rsidR="007E25F9" w:rsidRPr="00A37E4D">
        <w:rPr>
          <w:rFonts w:ascii="Times New Roman" w:hAnsi="Times New Roman" w:cs="Times New Roman"/>
        </w:rPr>
        <w:t>ана</w:t>
      </w:r>
      <w:r w:rsidRPr="00A37E4D">
        <w:rPr>
          <w:rFonts w:ascii="Times New Roman" w:hAnsi="Times New Roman" w:cs="Times New Roman"/>
        </w:rPr>
        <w:t xml:space="preserve">, </w:t>
      </w:r>
    </w:p>
    <w:p w:rsidR="00106CF8" w:rsidRPr="00A37E4D" w:rsidRDefault="00106CF8" w:rsidP="00BC431E">
      <w:pPr>
        <w:pStyle w:val="Default"/>
        <w:rPr>
          <w:rFonts w:ascii="Times New Roman" w:hAnsi="Times New Roman" w:cs="Times New Roman"/>
          <w:lang w:val="sr-Cyrl-CS"/>
        </w:rPr>
      </w:pPr>
      <w:r w:rsidRPr="00A37E4D">
        <w:rPr>
          <w:rFonts w:ascii="Times New Roman" w:hAnsi="Times New Roman" w:cs="Times New Roman"/>
        </w:rPr>
        <w:t xml:space="preserve">- </w:t>
      </w:r>
      <w:r w:rsidR="007E25F9" w:rsidRPr="00A37E4D">
        <w:rPr>
          <w:rFonts w:ascii="Times New Roman" w:hAnsi="Times New Roman" w:cs="Times New Roman"/>
        </w:rPr>
        <w:t>Закон</w:t>
      </w:r>
      <w:r w:rsidRPr="00A37E4D">
        <w:rPr>
          <w:rFonts w:ascii="Times New Roman" w:hAnsi="Times New Roman" w:cs="Times New Roman"/>
        </w:rPr>
        <w:t xml:space="preserve"> </w:t>
      </w:r>
      <w:r w:rsidR="007E25F9" w:rsidRPr="00A37E4D">
        <w:rPr>
          <w:rFonts w:ascii="Times New Roman" w:hAnsi="Times New Roman" w:cs="Times New Roman"/>
        </w:rPr>
        <w:t>о</w:t>
      </w:r>
      <w:r w:rsidRPr="00A37E4D">
        <w:rPr>
          <w:rFonts w:ascii="Times New Roman" w:hAnsi="Times New Roman" w:cs="Times New Roman"/>
        </w:rPr>
        <w:t xml:space="preserve"> </w:t>
      </w:r>
      <w:r w:rsidR="007E25F9" w:rsidRPr="00A37E4D">
        <w:rPr>
          <w:rFonts w:ascii="Times New Roman" w:hAnsi="Times New Roman" w:cs="Times New Roman"/>
        </w:rPr>
        <w:t>акцизама</w:t>
      </w:r>
      <w:r w:rsidRPr="00A37E4D">
        <w:rPr>
          <w:rFonts w:ascii="Times New Roman" w:hAnsi="Times New Roman" w:cs="Times New Roman"/>
          <w:lang w:val="sr-Cyrl-CS"/>
        </w:rPr>
        <w:t>.</w:t>
      </w:r>
    </w:p>
    <w:p w:rsidR="00BC431E" w:rsidRDefault="00BC431E" w:rsidP="00BC431E">
      <w:pPr>
        <w:pStyle w:val="Default"/>
        <w:rPr>
          <w:sz w:val="20"/>
          <w:szCs w:val="20"/>
        </w:rPr>
      </w:pPr>
      <w:r>
        <w:rPr>
          <w:sz w:val="20"/>
          <w:szCs w:val="20"/>
        </w:rPr>
        <w:t xml:space="preserve"> </w:t>
      </w:r>
    </w:p>
    <w:p w:rsidR="00BC431E" w:rsidRPr="00AB5758" w:rsidRDefault="00106CF8" w:rsidP="0003409C">
      <w:pPr>
        <w:pStyle w:val="Default"/>
        <w:ind w:firstLine="708"/>
        <w:jc w:val="both"/>
        <w:rPr>
          <w:rFonts w:ascii="Times New Roman" w:hAnsi="Times New Roman" w:cs="Times New Roman"/>
          <w:lang w:val="sr-Cyrl-CS"/>
        </w:rPr>
      </w:pPr>
      <w:r w:rsidRPr="00A37E4D">
        <w:rPr>
          <w:rFonts w:ascii="Times New Roman" w:hAnsi="Times New Roman" w:cs="Times New Roman"/>
          <w:lang w:val="sr-Cyrl-CS"/>
        </w:rPr>
        <w:t>Мимо тога, донет је</w:t>
      </w:r>
      <w:r w:rsidR="00BC431E" w:rsidRPr="00A37E4D">
        <w:rPr>
          <w:rFonts w:ascii="Times New Roman" w:hAnsi="Times New Roman" w:cs="Times New Roman"/>
        </w:rPr>
        <w:t xml:space="preserve"> </w:t>
      </w:r>
      <w:r w:rsidR="007E25F9" w:rsidRPr="00A37E4D">
        <w:rPr>
          <w:rFonts w:ascii="Times New Roman" w:hAnsi="Times New Roman" w:cs="Times New Roman"/>
        </w:rPr>
        <w:t>Закон</w:t>
      </w:r>
      <w:r w:rsidR="00BC431E" w:rsidRPr="00A37E4D">
        <w:rPr>
          <w:rFonts w:ascii="Times New Roman" w:hAnsi="Times New Roman" w:cs="Times New Roman"/>
        </w:rPr>
        <w:t xml:space="preserve"> </w:t>
      </w:r>
      <w:r w:rsidR="007E25F9" w:rsidRPr="00A37E4D">
        <w:rPr>
          <w:rFonts w:ascii="Times New Roman" w:hAnsi="Times New Roman" w:cs="Times New Roman"/>
        </w:rPr>
        <w:t>о</w:t>
      </w:r>
      <w:r w:rsidR="00BC431E" w:rsidRPr="00A37E4D">
        <w:rPr>
          <w:rFonts w:ascii="Times New Roman" w:hAnsi="Times New Roman" w:cs="Times New Roman"/>
        </w:rPr>
        <w:t xml:space="preserve"> </w:t>
      </w:r>
      <w:r w:rsidR="007E25F9" w:rsidRPr="00A37E4D">
        <w:rPr>
          <w:rFonts w:ascii="Times New Roman" w:hAnsi="Times New Roman" w:cs="Times New Roman"/>
        </w:rPr>
        <w:t>пореском</w:t>
      </w:r>
      <w:r w:rsidR="00BC431E" w:rsidRPr="00A37E4D">
        <w:rPr>
          <w:rFonts w:ascii="Times New Roman" w:hAnsi="Times New Roman" w:cs="Times New Roman"/>
        </w:rPr>
        <w:t xml:space="preserve"> </w:t>
      </w:r>
      <w:r w:rsidR="007E25F9" w:rsidRPr="00A37E4D">
        <w:rPr>
          <w:rFonts w:ascii="Times New Roman" w:hAnsi="Times New Roman" w:cs="Times New Roman"/>
        </w:rPr>
        <w:t>поступку</w:t>
      </w:r>
      <w:r w:rsidR="00BC431E" w:rsidRPr="00A37E4D">
        <w:rPr>
          <w:rFonts w:ascii="Times New Roman" w:hAnsi="Times New Roman" w:cs="Times New Roman"/>
        </w:rPr>
        <w:t xml:space="preserve"> </w:t>
      </w:r>
      <w:r w:rsidR="007E25F9" w:rsidRPr="00A37E4D">
        <w:rPr>
          <w:rFonts w:ascii="Times New Roman" w:hAnsi="Times New Roman" w:cs="Times New Roman"/>
        </w:rPr>
        <w:t>и</w:t>
      </w:r>
      <w:r w:rsidR="00BC431E" w:rsidRPr="00A37E4D">
        <w:rPr>
          <w:rFonts w:ascii="Times New Roman" w:hAnsi="Times New Roman" w:cs="Times New Roman"/>
        </w:rPr>
        <w:t xml:space="preserve"> </w:t>
      </w:r>
      <w:r w:rsidR="007E25F9" w:rsidRPr="00A37E4D">
        <w:rPr>
          <w:rFonts w:ascii="Times New Roman" w:hAnsi="Times New Roman" w:cs="Times New Roman"/>
        </w:rPr>
        <w:t>пореској</w:t>
      </w:r>
      <w:r w:rsidR="00BC431E" w:rsidRPr="00A37E4D">
        <w:rPr>
          <w:rFonts w:ascii="Times New Roman" w:hAnsi="Times New Roman" w:cs="Times New Roman"/>
        </w:rPr>
        <w:t xml:space="preserve"> </w:t>
      </w:r>
      <w:r w:rsidR="007E25F9" w:rsidRPr="00A37E4D">
        <w:rPr>
          <w:rFonts w:ascii="Times New Roman" w:hAnsi="Times New Roman" w:cs="Times New Roman"/>
        </w:rPr>
        <w:t>администрацији</w:t>
      </w:r>
      <w:r w:rsidR="00BC431E" w:rsidRPr="00A37E4D">
        <w:rPr>
          <w:rFonts w:ascii="Times New Roman" w:hAnsi="Times New Roman" w:cs="Times New Roman"/>
        </w:rPr>
        <w:t xml:space="preserve"> </w:t>
      </w:r>
      <w:r w:rsidR="007E25F9" w:rsidRPr="00A37E4D">
        <w:rPr>
          <w:rFonts w:ascii="Times New Roman" w:hAnsi="Times New Roman" w:cs="Times New Roman"/>
        </w:rPr>
        <w:t>који</w:t>
      </w:r>
      <w:r w:rsidR="00BC431E" w:rsidRPr="00A37E4D">
        <w:rPr>
          <w:rFonts w:ascii="Times New Roman" w:hAnsi="Times New Roman" w:cs="Times New Roman"/>
        </w:rPr>
        <w:t xml:space="preserve"> </w:t>
      </w:r>
      <w:r w:rsidR="007E25F9" w:rsidRPr="00A37E4D">
        <w:rPr>
          <w:rFonts w:ascii="Times New Roman" w:hAnsi="Times New Roman" w:cs="Times New Roman"/>
        </w:rPr>
        <w:t>је</w:t>
      </w:r>
      <w:r w:rsidR="00BC431E" w:rsidRPr="00A37E4D">
        <w:rPr>
          <w:rFonts w:ascii="Times New Roman" w:hAnsi="Times New Roman" w:cs="Times New Roman"/>
        </w:rPr>
        <w:t xml:space="preserve"> </w:t>
      </w:r>
      <w:r w:rsidR="007E25F9" w:rsidRPr="00A37E4D">
        <w:rPr>
          <w:rFonts w:ascii="Times New Roman" w:hAnsi="Times New Roman" w:cs="Times New Roman"/>
        </w:rPr>
        <w:t>уредио</w:t>
      </w:r>
      <w:r w:rsidR="00BC431E" w:rsidRPr="00A37E4D">
        <w:rPr>
          <w:rFonts w:ascii="Times New Roman" w:hAnsi="Times New Roman" w:cs="Times New Roman"/>
        </w:rPr>
        <w:t xml:space="preserve"> </w:t>
      </w:r>
      <w:r w:rsidR="007E25F9" w:rsidRPr="00A37E4D">
        <w:rPr>
          <w:rFonts w:ascii="Times New Roman" w:hAnsi="Times New Roman" w:cs="Times New Roman"/>
        </w:rPr>
        <w:t>поступак</w:t>
      </w:r>
      <w:r w:rsidR="00BC431E" w:rsidRPr="00A37E4D">
        <w:rPr>
          <w:rFonts w:ascii="Times New Roman" w:hAnsi="Times New Roman" w:cs="Times New Roman"/>
        </w:rPr>
        <w:t xml:space="preserve"> </w:t>
      </w:r>
      <w:r w:rsidR="007E25F9" w:rsidRPr="00A37E4D">
        <w:rPr>
          <w:rFonts w:ascii="Times New Roman" w:hAnsi="Times New Roman" w:cs="Times New Roman"/>
        </w:rPr>
        <w:t>утвр</w:t>
      </w:r>
      <w:r w:rsidR="00A37E4D">
        <w:rPr>
          <w:rFonts w:ascii="Times New Roman" w:hAnsi="Times New Roman" w:cs="Times New Roman"/>
          <w:lang w:val="sr-Cyrl-CS"/>
        </w:rPr>
        <w:t>ђ</w:t>
      </w:r>
      <w:r w:rsidR="007E25F9" w:rsidRPr="00A37E4D">
        <w:rPr>
          <w:rFonts w:ascii="Times New Roman" w:hAnsi="Times New Roman" w:cs="Times New Roman"/>
        </w:rPr>
        <w:t>ивања</w:t>
      </w:r>
      <w:r w:rsidR="00BC431E" w:rsidRPr="00A37E4D">
        <w:rPr>
          <w:rFonts w:ascii="Times New Roman" w:hAnsi="Times New Roman" w:cs="Times New Roman"/>
        </w:rPr>
        <w:t xml:space="preserve">, </w:t>
      </w:r>
      <w:r w:rsidR="007E25F9" w:rsidRPr="00A37E4D">
        <w:rPr>
          <w:rFonts w:ascii="Times New Roman" w:hAnsi="Times New Roman" w:cs="Times New Roman"/>
        </w:rPr>
        <w:t>наплате</w:t>
      </w:r>
      <w:r w:rsidR="00BC431E" w:rsidRPr="00A37E4D">
        <w:rPr>
          <w:rFonts w:ascii="Times New Roman" w:hAnsi="Times New Roman" w:cs="Times New Roman"/>
        </w:rPr>
        <w:t xml:space="preserve"> </w:t>
      </w:r>
      <w:r w:rsidR="007E25F9" w:rsidRPr="00A37E4D">
        <w:rPr>
          <w:rFonts w:ascii="Times New Roman" w:hAnsi="Times New Roman" w:cs="Times New Roman"/>
        </w:rPr>
        <w:t>и</w:t>
      </w:r>
      <w:r w:rsidR="00BC431E" w:rsidRPr="00A37E4D">
        <w:rPr>
          <w:rFonts w:ascii="Times New Roman" w:hAnsi="Times New Roman" w:cs="Times New Roman"/>
        </w:rPr>
        <w:t xml:space="preserve"> </w:t>
      </w:r>
      <w:r w:rsidR="007E25F9" w:rsidRPr="00A37E4D">
        <w:rPr>
          <w:rFonts w:ascii="Times New Roman" w:hAnsi="Times New Roman" w:cs="Times New Roman"/>
        </w:rPr>
        <w:t>контроле</w:t>
      </w:r>
      <w:r w:rsidR="00BC431E" w:rsidRPr="00A37E4D">
        <w:rPr>
          <w:rFonts w:ascii="Times New Roman" w:hAnsi="Times New Roman" w:cs="Times New Roman"/>
        </w:rPr>
        <w:t xml:space="preserve"> </w:t>
      </w:r>
      <w:r w:rsidR="007E25F9" w:rsidRPr="00A37E4D">
        <w:rPr>
          <w:rFonts w:ascii="Times New Roman" w:hAnsi="Times New Roman" w:cs="Times New Roman"/>
        </w:rPr>
        <w:t>јавних</w:t>
      </w:r>
      <w:r w:rsidR="00BC431E" w:rsidRPr="00A37E4D">
        <w:rPr>
          <w:rFonts w:ascii="Times New Roman" w:hAnsi="Times New Roman" w:cs="Times New Roman"/>
        </w:rPr>
        <w:t xml:space="preserve"> </w:t>
      </w:r>
      <w:r w:rsidR="007E25F9" w:rsidRPr="00A37E4D">
        <w:rPr>
          <w:rFonts w:ascii="Times New Roman" w:hAnsi="Times New Roman" w:cs="Times New Roman"/>
        </w:rPr>
        <w:t>прихода</w:t>
      </w:r>
      <w:r w:rsidR="00BC431E" w:rsidRPr="00A37E4D">
        <w:rPr>
          <w:rFonts w:ascii="Times New Roman" w:hAnsi="Times New Roman" w:cs="Times New Roman"/>
        </w:rPr>
        <w:t xml:space="preserve">, </w:t>
      </w:r>
      <w:r w:rsidRPr="00A37E4D">
        <w:rPr>
          <w:rFonts w:ascii="Times New Roman" w:hAnsi="Times New Roman" w:cs="Times New Roman"/>
          <w:lang w:val="sr-Cyrl-CS"/>
        </w:rPr>
        <w:t xml:space="preserve">као и </w:t>
      </w:r>
      <w:r w:rsidR="007E25F9" w:rsidRPr="00A37E4D">
        <w:rPr>
          <w:rFonts w:ascii="Times New Roman" w:hAnsi="Times New Roman" w:cs="Times New Roman"/>
        </w:rPr>
        <w:t>права</w:t>
      </w:r>
      <w:r w:rsidR="00BC431E" w:rsidRPr="00A37E4D">
        <w:rPr>
          <w:rFonts w:ascii="Times New Roman" w:hAnsi="Times New Roman" w:cs="Times New Roman"/>
        </w:rPr>
        <w:t xml:space="preserve"> </w:t>
      </w:r>
      <w:r w:rsidR="007E25F9" w:rsidRPr="00A37E4D">
        <w:rPr>
          <w:rFonts w:ascii="Times New Roman" w:hAnsi="Times New Roman" w:cs="Times New Roman"/>
        </w:rPr>
        <w:t>и</w:t>
      </w:r>
      <w:r w:rsidR="00BC431E" w:rsidRPr="00A37E4D">
        <w:rPr>
          <w:rFonts w:ascii="Times New Roman" w:hAnsi="Times New Roman" w:cs="Times New Roman"/>
        </w:rPr>
        <w:t xml:space="preserve"> </w:t>
      </w:r>
      <w:r w:rsidR="007E25F9" w:rsidRPr="00A37E4D">
        <w:rPr>
          <w:rFonts w:ascii="Times New Roman" w:hAnsi="Times New Roman" w:cs="Times New Roman"/>
        </w:rPr>
        <w:t>обавезе</w:t>
      </w:r>
      <w:r w:rsidR="00BC431E" w:rsidRPr="00A37E4D">
        <w:rPr>
          <w:rFonts w:ascii="Times New Roman" w:hAnsi="Times New Roman" w:cs="Times New Roman"/>
        </w:rPr>
        <w:t xml:space="preserve"> </w:t>
      </w:r>
      <w:r w:rsidR="007E25F9" w:rsidRPr="00A37E4D">
        <w:rPr>
          <w:rFonts w:ascii="Times New Roman" w:hAnsi="Times New Roman" w:cs="Times New Roman"/>
        </w:rPr>
        <w:t>пореских</w:t>
      </w:r>
      <w:r w:rsidR="00BC431E" w:rsidRPr="00A37E4D">
        <w:rPr>
          <w:rFonts w:ascii="Times New Roman" w:hAnsi="Times New Roman" w:cs="Times New Roman"/>
        </w:rPr>
        <w:t xml:space="preserve"> </w:t>
      </w:r>
      <w:r w:rsidR="007E25F9" w:rsidRPr="00A37E4D">
        <w:rPr>
          <w:rFonts w:ascii="Times New Roman" w:hAnsi="Times New Roman" w:cs="Times New Roman"/>
        </w:rPr>
        <w:t>обвезника</w:t>
      </w:r>
      <w:r w:rsidRPr="00A37E4D">
        <w:rPr>
          <w:rFonts w:ascii="Times New Roman" w:hAnsi="Times New Roman" w:cs="Times New Roman"/>
          <w:lang w:val="sr-Cyrl-CS"/>
        </w:rPr>
        <w:t xml:space="preserve">, а у истом су наведени прекршаји и </w:t>
      </w:r>
      <w:r w:rsidR="00A37E4D">
        <w:rPr>
          <w:rFonts w:ascii="Times New Roman" w:hAnsi="Times New Roman" w:cs="Times New Roman"/>
        </w:rPr>
        <w:t>пореск</w:t>
      </w:r>
      <w:r w:rsidR="00A37E4D">
        <w:rPr>
          <w:rFonts w:ascii="Times New Roman" w:hAnsi="Times New Roman" w:cs="Times New Roman"/>
          <w:lang w:val="sr-Cyrl-CS"/>
        </w:rPr>
        <w:t>а</w:t>
      </w:r>
      <w:r w:rsidRPr="00A37E4D">
        <w:rPr>
          <w:rFonts w:ascii="Times New Roman" w:hAnsi="Times New Roman" w:cs="Times New Roman"/>
        </w:rPr>
        <w:t xml:space="preserve"> </w:t>
      </w:r>
      <w:r w:rsidR="007E25F9" w:rsidRPr="00A37E4D">
        <w:rPr>
          <w:rFonts w:ascii="Times New Roman" w:hAnsi="Times New Roman" w:cs="Times New Roman"/>
        </w:rPr>
        <w:t>криви</w:t>
      </w:r>
      <w:r w:rsidR="00A37E4D">
        <w:rPr>
          <w:rFonts w:ascii="Times New Roman" w:hAnsi="Times New Roman" w:cs="Times New Roman"/>
          <w:lang w:val="sr-Cyrl-CS"/>
        </w:rPr>
        <w:t>ч</w:t>
      </w:r>
      <w:r w:rsidR="00A37E4D">
        <w:rPr>
          <w:rFonts w:ascii="Times New Roman" w:hAnsi="Times New Roman" w:cs="Times New Roman"/>
        </w:rPr>
        <w:t>н</w:t>
      </w:r>
      <w:r w:rsidR="00A37E4D">
        <w:rPr>
          <w:rFonts w:ascii="Times New Roman" w:hAnsi="Times New Roman" w:cs="Times New Roman"/>
          <w:lang w:val="sr-Cyrl-CS"/>
        </w:rPr>
        <w:t>а</w:t>
      </w:r>
      <w:r w:rsidRPr="00A37E4D">
        <w:rPr>
          <w:rFonts w:ascii="Times New Roman" w:hAnsi="Times New Roman" w:cs="Times New Roman"/>
        </w:rPr>
        <w:t xml:space="preserve"> </w:t>
      </w:r>
      <w:r w:rsidR="007E25F9" w:rsidRPr="00A37E4D">
        <w:rPr>
          <w:rFonts w:ascii="Times New Roman" w:hAnsi="Times New Roman" w:cs="Times New Roman"/>
        </w:rPr>
        <w:t>дела</w:t>
      </w:r>
      <w:r w:rsidRPr="00A37E4D">
        <w:rPr>
          <w:rFonts w:ascii="Times New Roman" w:hAnsi="Times New Roman" w:cs="Times New Roman"/>
          <w:lang w:val="sr-Cyrl-CS"/>
        </w:rPr>
        <w:t xml:space="preserve">, те је тако </w:t>
      </w:r>
      <w:r w:rsidR="00BC431E" w:rsidRPr="00A37E4D">
        <w:rPr>
          <w:rFonts w:ascii="Times New Roman" w:hAnsi="Times New Roman" w:cs="Times New Roman"/>
        </w:rPr>
        <w:t xml:space="preserve"> </w:t>
      </w:r>
      <w:r w:rsidRPr="00A37E4D">
        <w:rPr>
          <w:rFonts w:ascii="Times New Roman" w:hAnsi="Times New Roman" w:cs="Times New Roman"/>
          <w:lang w:val="sr-Cyrl-CS"/>
        </w:rPr>
        <w:t>замењено кривично дело пореске утаје из чл. 154 КЗРС.</w:t>
      </w:r>
      <w:r w:rsidR="00BC431E" w:rsidRPr="00A37E4D">
        <w:rPr>
          <w:rFonts w:ascii="Times New Roman" w:hAnsi="Times New Roman" w:cs="Times New Roman"/>
        </w:rPr>
        <w:t xml:space="preserve"> </w:t>
      </w:r>
      <w:r w:rsidR="00AB5758" w:rsidRPr="00AB5758">
        <w:rPr>
          <w:rFonts w:ascii="Times New Roman" w:hAnsi="Times New Roman" w:cs="Times New Roman"/>
          <w:lang w:val="sr-Cyrl-CS"/>
        </w:rPr>
        <w:t xml:space="preserve">Установљена је Пореска управа као јединствена преска администрација. </w:t>
      </w:r>
      <w:r w:rsidR="00AB5758">
        <w:rPr>
          <w:rFonts w:ascii="Times New Roman" w:hAnsi="Times New Roman" w:cs="Times New Roman"/>
          <w:lang w:val="sr-Cyrl-CS"/>
        </w:rPr>
        <w:t xml:space="preserve">Установљена је </w:t>
      </w:r>
      <w:r>
        <w:rPr>
          <w:rFonts w:ascii="Times New Roman" w:hAnsi="Times New Roman" w:cs="Times New Roman"/>
          <w:lang w:val="sr-Cyrl-CS"/>
        </w:rPr>
        <w:t xml:space="preserve">и </w:t>
      </w:r>
      <w:r w:rsidR="00AB5758">
        <w:rPr>
          <w:rFonts w:ascii="Times New Roman" w:hAnsi="Times New Roman" w:cs="Times New Roman"/>
          <w:lang w:val="sr-Cyrl-CS"/>
        </w:rPr>
        <w:t>јединствена регистрација пореских обвезника и порески број, што је требало да омогући прела</w:t>
      </w:r>
      <w:r>
        <w:rPr>
          <w:rFonts w:ascii="Times New Roman" w:hAnsi="Times New Roman" w:cs="Times New Roman"/>
          <w:lang w:val="sr-Cyrl-CS"/>
        </w:rPr>
        <w:t>зак на порез на додату вредност</w:t>
      </w:r>
      <w:r w:rsidR="00AB5758">
        <w:rPr>
          <w:rFonts w:ascii="Times New Roman" w:hAnsi="Times New Roman" w:cs="Times New Roman"/>
          <w:lang w:val="sr-Cyrl-CS"/>
        </w:rPr>
        <w:t xml:space="preserve"> и синтетичко опорезивање дохотка грађана. </w:t>
      </w:r>
      <w:r>
        <w:rPr>
          <w:rFonts w:ascii="Times New Roman" w:hAnsi="Times New Roman" w:cs="Times New Roman"/>
          <w:lang w:val="sr-Cyrl-CS"/>
        </w:rPr>
        <w:t xml:space="preserve"> </w:t>
      </w:r>
    </w:p>
    <w:p w:rsidR="00F80C1D" w:rsidRPr="00F80C1D" w:rsidRDefault="00F80C1D" w:rsidP="00BC431E">
      <w:pPr>
        <w:pStyle w:val="Default"/>
        <w:rPr>
          <w:rFonts w:ascii="Calibri" w:hAnsi="Calibri"/>
          <w:sz w:val="20"/>
          <w:szCs w:val="20"/>
          <w:lang w:val="sr-Cyrl-CS"/>
        </w:rPr>
      </w:pPr>
    </w:p>
    <w:p w:rsidR="00BC431E" w:rsidRPr="00A37E4D" w:rsidRDefault="00106CF8" w:rsidP="00BC431E">
      <w:pPr>
        <w:pStyle w:val="Default"/>
        <w:rPr>
          <w:rFonts w:ascii="Times New Roman" w:hAnsi="Times New Roman" w:cs="Times New Roman"/>
          <w:lang w:val="sr-Cyrl-CS"/>
        </w:rPr>
      </w:pPr>
      <w:r w:rsidRPr="00A37E4D">
        <w:rPr>
          <w:rFonts w:ascii="Times New Roman" w:hAnsi="Times New Roman" w:cs="Times New Roman"/>
          <w:lang w:val="sr-Cyrl-CS"/>
        </w:rPr>
        <w:t>Нове измене и допуне у априлу</w:t>
      </w:r>
      <w:r w:rsidR="00BC431E" w:rsidRPr="00A37E4D">
        <w:rPr>
          <w:rFonts w:ascii="Times New Roman" w:hAnsi="Times New Roman" w:cs="Times New Roman"/>
        </w:rPr>
        <w:t xml:space="preserve"> 2003. </w:t>
      </w:r>
      <w:r w:rsidR="007E25F9" w:rsidRPr="00A37E4D">
        <w:rPr>
          <w:rFonts w:ascii="Times New Roman" w:hAnsi="Times New Roman" w:cs="Times New Roman"/>
        </w:rPr>
        <w:t>године</w:t>
      </w:r>
      <w:r w:rsidR="00BC431E" w:rsidRPr="00A37E4D">
        <w:rPr>
          <w:rFonts w:ascii="Times New Roman" w:hAnsi="Times New Roman" w:cs="Times New Roman"/>
        </w:rPr>
        <w:t xml:space="preserve"> </w:t>
      </w:r>
      <w:r w:rsidR="00763B17">
        <w:rPr>
          <w:rFonts w:ascii="Times New Roman" w:hAnsi="Times New Roman" w:cs="Times New Roman"/>
          <w:lang w:val="sr-Cyrl-CS"/>
        </w:rPr>
        <w:t>обухватиле су следеће пореске законе</w:t>
      </w:r>
      <w:r w:rsidR="00BC431E" w:rsidRPr="00A37E4D">
        <w:rPr>
          <w:rFonts w:ascii="Times New Roman" w:hAnsi="Times New Roman" w:cs="Times New Roman"/>
        </w:rPr>
        <w:t xml:space="preserve">: </w:t>
      </w:r>
    </w:p>
    <w:p w:rsidR="00106CF8" w:rsidRPr="00A37E4D" w:rsidRDefault="00106CF8" w:rsidP="00BC431E">
      <w:pPr>
        <w:pStyle w:val="Default"/>
        <w:rPr>
          <w:rFonts w:ascii="Times New Roman" w:hAnsi="Times New Roman" w:cs="Times New Roman"/>
          <w:lang w:val="sr-Cyrl-CS"/>
        </w:rPr>
      </w:pPr>
    </w:p>
    <w:p w:rsidR="00BC431E" w:rsidRPr="00A37E4D" w:rsidRDefault="00BC431E" w:rsidP="00BC431E">
      <w:pPr>
        <w:pStyle w:val="Default"/>
        <w:rPr>
          <w:rFonts w:ascii="Times New Roman" w:hAnsi="Times New Roman" w:cs="Times New Roman"/>
        </w:rPr>
      </w:pPr>
      <w:r w:rsidRPr="00A37E4D">
        <w:rPr>
          <w:rFonts w:ascii="Times New Roman" w:hAnsi="Times New Roman" w:cs="Times New Roman"/>
        </w:rPr>
        <w:t xml:space="preserve">- </w:t>
      </w:r>
      <w:r w:rsidR="007E25F9" w:rsidRPr="00A37E4D">
        <w:rPr>
          <w:rFonts w:ascii="Times New Roman" w:hAnsi="Times New Roman" w:cs="Times New Roman"/>
        </w:rPr>
        <w:t>Закон</w:t>
      </w:r>
      <w:r w:rsidRPr="00A37E4D">
        <w:rPr>
          <w:rFonts w:ascii="Times New Roman" w:hAnsi="Times New Roman" w:cs="Times New Roman"/>
        </w:rPr>
        <w:t xml:space="preserve"> </w:t>
      </w:r>
      <w:r w:rsidR="007E25F9" w:rsidRPr="00A37E4D">
        <w:rPr>
          <w:rFonts w:ascii="Times New Roman" w:hAnsi="Times New Roman" w:cs="Times New Roman"/>
        </w:rPr>
        <w:t>о</w:t>
      </w:r>
      <w:r w:rsidRPr="00A37E4D">
        <w:rPr>
          <w:rFonts w:ascii="Times New Roman" w:hAnsi="Times New Roman" w:cs="Times New Roman"/>
        </w:rPr>
        <w:t xml:space="preserve"> </w:t>
      </w:r>
      <w:r w:rsidR="007E25F9" w:rsidRPr="00A37E4D">
        <w:rPr>
          <w:rFonts w:ascii="Times New Roman" w:hAnsi="Times New Roman" w:cs="Times New Roman"/>
        </w:rPr>
        <w:t>порезу</w:t>
      </w:r>
      <w:r w:rsidRPr="00A37E4D">
        <w:rPr>
          <w:rFonts w:ascii="Times New Roman" w:hAnsi="Times New Roman" w:cs="Times New Roman"/>
        </w:rPr>
        <w:t xml:space="preserve"> </w:t>
      </w:r>
      <w:r w:rsidR="007E25F9" w:rsidRPr="00A37E4D">
        <w:rPr>
          <w:rFonts w:ascii="Times New Roman" w:hAnsi="Times New Roman" w:cs="Times New Roman"/>
        </w:rPr>
        <w:t>на</w:t>
      </w:r>
      <w:r w:rsidRPr="00A37E4D">
        <w:rPr>
          <w:rFonts w:ascii="Times New Roman" w:hAnsi="Times New Roman" w:cs="Times New Roman"/>
        </w:rPr>
        <w:t xml:space="preserve"> </w:t>
      </w:r>
      <w:r w:rsidR="007E25F9" w:rsidRPr="00A37E4D">
        <w:rPr>
          <w:rFonts w:ascii="Times New Roman" w:hAnsi="Times New Roman" w:cs="Times New Roman"/>
        </w:rPr>
        <w:t>добит</w:t>
      </w:r>
      <w:r w:rsidRPr="00A37E4D">
        <w:rPr>
          <w:rFonts w:ascii="Times New Roman" w:hAnsi="Times New Roman" w:cs="Times New Roman"/>
        </w:rPr>
        <w:t xml:space="preserve"> </w:t>
      </w:r>
      <w:r w:rsidR="007E25F9" w:rsidRPr="00A37E4D">
        <w:rPr>
          <w:rFonts w:ascii="Times New Roman" w:hAnsi="Times New Roman" w:cs="Times New Roman"/>
        </w:rPr>
        <w:t>предузе</w:t>
      </w:r>
      <w:r w:rsidR="00A37E4D">
        <w:rPr>
          <w:rFonts w:ascii="Times New Roman" w:hAnsi="Times New Roman" w:cs="Times New Roman"/>
          <w:lang w:val="sr-Cyrl-CS"/>
        </w:rPr>
        <w:t>ћ</w:t>
      </w:r>
      <w:r w:rsidR="007E25F9" w:rsidRPr="00A37E4D">
        <w:rPr>
          <w:rFonts w:ascii="Times New Roman" w:hAnsi="Times New Roman" w:cs="Times New Roman"/>
        </w:rPr>
        <w:t>а</w:t>
      </w:r>
      <w:r w:rsidRPr="00A37E4D">
        <w:rPr>
          <w:rFonts w:ascii="Times New Roman" w:hAnsi="Times New Roman" w:cs="Times New Roman"/>
        </w:rPr>
        <w:t xml:space="preserve">, </w:t>
      </w:r>
    </w:p>
    <w:p w:rsidR="00BC431E" w:rsidRPr="00A37E4D" w:rsidRDefault="00BC431E" w:rsidP="00BC431E">
      <w:pPr>
        <w:pStyle w:val="Default"/>
        <w:rPr>
          <w:rFonts w:ascii="Times New Roman" w:hAnsi="Times New Roman" w:cs="Times New Roman"/>
          <w:lang w:val="sr-Cyrl-CS"/>
        </w:rPr>
      </w:pPr>
      <w:r w:rsidRPr="00A37E4D">
        <w:rPr>
          <w:rFonts w:ascii="Times New Roman" w:hAnsi="Times New Roman" w:cs="Times New Roman"/>
        </w:rPr>
        <w:t xml:space="preserve">- </w:t>
      </w:r>
      <w:r w:rsidR="007E25F9" w:rsidRPr="00A37E4D">
        <w:rPr>
          <w:rFonts w:ascii="Times New Roman" w:hAnsi="Times New Roman" w:cs="Times New Roman"/>
        </w:rPr>
        <w:t>Закон</w:t>
      </w:r>
      <w:r w:rsidRPr="00A37E4D">
        <w:rPr>
          <w:rFonts w:ascii="Times New Roman" w:hAnsi="Times New Roman" w:cs="Times New Roman"/>
        </w:rPr>
        <w:t xml:space="preserve"> </w:t>
      </w:r>
      <w:r w:rsidR="007E25F9" w:rsidRPr="00A37E4D">
        <w:rPr>
          <w:rFonts w:ascii="Times New Roman" w:hAnsi="Times New Roman" w:cs="Times New Roman"/>
        </w:rPr>
        <w:t>о</w:t>
      </w:r>
      <w:r w:rsidRPr="00A37E4D">
        <w:rPr>
          <w:rFonts w:ascii="Times New Roman" w:hAnsi="Times New Roman" w:cs="Times New Roman"/>
        </w:rPr>
        <w:t xml:space="preserve"> </w:t>
      </w:r>
      <w:r w:rsidR="007E25F9" w:rsidRPr="00A37E4D">
        <w:rPr>
          <w:rFonts w:ascii="Times New Roman" w:hAnsi="Times New Roman" w:cs="Times New Roman"/>
        </w:rPr>
        <w:t>акцизама</w:t>
      </w:r>
      <w:r w:rsidRPr="00A37E4D">
        <w:rPr>
          <w:rFonts w:ascii="Times New Roman" w:hAnsi="Times New Roman" w:cs="Times New Roman"/>
        </w:rPr>
        <w:t xml:space="preserve"> </w:t>
      </w:r>
      <w:r w:rsidR="007E25F9" w:rsidRPr="00A37E4D">
        <w:rPr>
          <w:rFonts w:ascii="Times New Roman" w:hAnsi="Times New Roman" w:cs="Times New Roman"/>
        </w:rPr>
        <w:t>и</w:t>
      </w:r>
      <w:r w:rsidRPr="00A37E4D">
        <w:rPr>
          <w:rFonts w:ascii="Times New Roman" w:hAnsi="Times New Roman" w:cs="Times New Roman"/>
        </w:rPr>
        <w:t xml:space="preserve"> </w:t>
      </w:r>
    </w:p>
    <w:p w:rsidR="00526BB6" w:rsidRDefault="00A37E4D" w:rsidP="00A37E4D">
      <w:pPr>
        <w:pStyle w:val="ListParagraph"/>
        <w:ind w:left="0"/>
        <w:jc w:val="both"/>
        <w:rPr>
          <w:rFonts w:ascii="Times New Roman" w:hAnsi="Times New Roman"/>
          <w:sz w:val="24"/>
          <w:szCs w:val="24"/>
          <w:lang w:val="sr-Cyrl-CS"/>
        </w:rPr>
      </w:pPr>
      <w:r>
        <w:rPr>
          <w:rFonts w:ascii="Times New Roman" w:hAnsi="Times New Roman"/>
          <w:sz w:val="24"/>
          <w:szCs w:val="24"/>
          <w:lang w:val="sr-Cyrl-CS"/>
        </w:rPr>
        <w:t>-</w:t>
      </w:r>
      <w:r w:rsidR="007E25F9" w:rsidRPr="00A37E4D">
        <w:rPr>
          <w:rFonts w:ascii="Times New Roman" w:hAnsi="Times New Roman"/>
          <w:sz w:val="24"/>
          <w:szCs w:val="24"/>
        </w:rPr>
        <w:t>Закон</w:t>
      </w:r>
      <w:r w:rsidR="00BC431E" w:rsidRPr="00A37E4D">
        <w:rPr>
          <w:rFonts w:ascii="Times New Roman" w:hAnsi="Times New Roman"/>
          <w:sz w:val="24"/>
          <w:szCs w:val="24"/>
        </w:rPr>
        <w:t xml:space="preserve"> </w:t>
      </w:r>
      <w:r w:rsidR="007E25F9" w:rsidRPr="00A37E4D">
        <w:rPr>
          <w:rFonts w:ascii="Times New Roman" w:hAnsi="Times New Roman"/>
          <w:sz w:val="24"/>
          <w:szCs w:val="24"/>
        </w:rPr>
        <w:t>о</w:t>
      </w:r>
      <w:r w:rsidR="00BC431E" w:rsidRPr="00A37E4D">
        <w:rPr>
          <w:rFonts w:ascii="Times New Roman" w:hAnsi="Times New Roman"/>
          <w:sz w:val="24"/>
          <w:szCs w:val="24"/>
        </w:rPr>
        <w:t xml:space="preserve"> </w:t>
      </w:r>
      <w:r w:rsidR="007E25F9" w:rsidRPr="00A37E4D">
        <w:rPr>
          <w:rFonts w:ascii="Times New Roman" w:hAnsi="Times New Roman"/>
          <w:sz w:val="24"/>
          <w:szCs w:val="24"/>
        </w:rPr>
        <w:t>порезу</w:t>
      </w:r>
      <w:r w:rsidR="00BC431E" w:rsidRPr="00A37E4D">
        <w:rPr>
          <w:rFonts w:ascii="Times New Roman" w:hAnsi="Times New Roman"/>
          <w:sz w:val="24"/>
          <w:szCs w:val="24"/>
        </w:rPr>
        <w:t xml:space="preserve"> </w:t>
      </w:r>
      <w:r w:rsidR="007E25F9" w:rsidRPr="00A37E4D">
        <w:rPr>
          <w:rFonts w:ascii="Times New Roman" w:hAnsi="Times New Roman"/>
          <w:sz w:val="24"/>
          <w:szCs w:val="24"/>
        </w:rPr>
        <w:t>на</w:t>
      </w:r>
      <w:r w:rsidR="00BC431E" w:rsidRPr="00A37E4D">
        <w:rPr>
          <w:rFonts w:ascii="Times New Roman" w:hAnsi="Times New Roman"/>
          <w:sz w:val="24"/>
          <w:szCs w:val="24"/>
        </w:rPr>
        <w:t xml:space="preserve"> </w:t>
      </w:r>
      <w:r w:rsidR="007E25F9" w:rsidRPr="00A37E4D">
        <w:rPr>
          <w:rFonts w:ascii="Times New Roman" w:hAnsi="Times New Roman"/>
          <w:sz w:val="24"/>
          <w:szCs w:val="24"/>
        </w:rPr>
        <w:t>финансијске</w:t>
      </w:r>
      <w:r w:rsidR="00BC431E" w:rsidRPr="00A37E4D">
        <w:rPr>
          <w:rFonts w:ascii="Times New Roman" w:hAnsi="Times New Roman"/>
          <w:sz w:val="24"/>
          <w:szCs w:val="24"/>
        </w:rPr>
        <w:t xml:space="preserve"> </w:t>
      </w:r>
      <w:r w:rsidR="007E25F9" w:rsidRPr="00A37E4D">
        <w:rPr>
          <w:rFonts w:ascii="Times New Roman" w:hAnsi="Times New Roman"/>
          <w:sz w:val="24"/>
          <w:szCs w:val="24"/>
        </w:rPr>
        <w:t>трансакције</w:t>
      </w:r>
      <w:r w:rsidR="00BC431E" w:rsidRPr="00A37E4D">
        <w:rPr>
          <w:rFonts w:ascii="Times New Roman" w:hAnsi="Times New Roman"/>
          <w:sz w:val="24"/>
          <w:szCs w:val="24"/>
        </w:rPr>
        <w:t>.</w:t>
      </w:r>
      <w:r w:rsidR="00BC431E" w:rsidRPr="00A37E4D">
        <w:rPr>
          <w:rStyle w:val="FootnoteReference"/>
          <w:rFonts w:ascii="Times New Roman" w:hAnsi="Times New Roman"/>
          <w:sz w:val="24"/>
          <w:szCs w:val="24"/>
        </w:rPr>
        <w:footnoteReference w:id="192"/>
      </w:r>
    </w:p>
    <w:p w:rsidR="00A37E4D" w:rsidRDefault="007E25F9" w:rsidP="003E5986">
      <w:pPr>
        <w:pStyle w:val="Default"/>
        <w:rPr>
          <w:rFonts w:ascii="Times New Roman" w:hAnsi="Times New Roman" w:cs="Times New Roman"/>
          <w:lang w:val="sr-Cyrl-CS"/>
        </w:rPr>
      </w:pPr>
      <w:r w:rsidRPr="00A37E4D">
        <w:rPr>
          <w:rFonts w:ascii="Times New Roman" w:hAnsi="Times New Roman" w:cs="Times New Roman"/>
        </w:rPr>
        <w:t>Постоји</w:t>
      </w:r>
      <w:r w:rsidR="00526BB6" w:rsidRPr="00A37E4D">
        <w:rPr>
          <w:rFonts w:ascii="Times New Roman" w:hAnsi="Times New Roman" w:cs="Times New Roman"/>
        </w:rPr>
        <w:t xml:space="preserve"> </w:t>
      </w:r>
      <w:r w:rsidRPr="00A37E4D">
        <w:rPr>
          <w:rFonts w:ascii="Times New Roman" w:hAnsi="Times New Roman" w:cs="Times New Roman"/>
        </w:rPr>
        <w:t>неколико</w:t>
      </w:r>
      <w:r w:rsidR="00526BB6" w:rsidRPr="00A37E4D">
        <w:rPr>
          <w:rFonts w:ascii="Times New Roman" w:hAnsi="Times New Roman" w:cs="Times New Roman"/>
        </w:rPr>
        <w:t xml:space="preserve"> </w:t>
      </w:r>
      <w:r w:rsidRPr="00A37E4D">
        <w:rPr>
          <w:rFonts w:ascii="Times New Roman" w:hAnsi="Times New Roman" w:cs="Times New Roman"/>
        </w:rPr>
        <w:t>врста</w:t>
      </w:r>
      <w:r w:rsidR="00526BB6" w:rsidRPr="00A37E4D">
        <w:rPr>
          <w:rFonts w:ascii="Times New Roman" w:hAnsi="Times New Roman" w:cs="Times New Roman"/>
        </w:rPr>
        <w:t xml:space="preserve"> </w:t>
      </w:r>
      <w:r w:rsidRPr="00A37E4D">
        <w:rPr>
          <w:rFonts w:ascii="Times New Roman" w:hAnsi="Times New Roman" w:cs="Times New Roman"/>
        </w:rPr>
        <w:t>јавних</w:t>
      </w:r>
      <w:r w:rsidR="00526BB6" w:rsidRPr="00A37E4D">
        <w:rPr>
          <w:rFonts w:ascii="Times New Roman" w:hAnsi="Times New Roman" w:cs="Times New Roman"/>
        </w:rPr>
        <w:t xml:space="preserve"> </w:t>
      </w:r>
      <w:r w:rsidRPr="00A37E4D">
        <w:rPr>
          <w:rFonts w:ascii="Times New Roman" w:hAnsi="Times New Roman" w:cs="Times New Roman"/>
        </w:rPr>
        <w:t>прихода</w:t>
      </w:r>
      <w:r w:rsidR="00A37E4D">
        <w:rPr>
          <w:rFonts w:ascii="Times New Roman" w:hAnsi="Times New Roman" w:cs="Times New Roman"/>
          <w:lang w:val="sr-Cyrl-CS"/>
        </w:rPr>
        <w:t xml:space="preserve"> и то:</w:t>
      </w:r>
    </w:p>
    <w:p w:rsidR="003E5986" w:rsidRPr="00A37E4D" w:rsidRDefault="00526BB6" w:rsidP="003E5986">
      <w:pPr>
        <w:pStyle w:val="Default"/>
        <w:rPr>
          <w:rFonts w:ascii="Times New Roman" w:hAnsi="Times New Roman" w:cs="Times New Roman"/>
          <w:lang w:val="sr-Cyrl-CS"/>
        </w:rPr>
      </w:pPr>
      <w:r w:rsidRPr="00A37E4D">
        <w:rPr>
          <w:rFonts w:ascii="Times New Roman" w:hAnsi="Times New Roman" w:cs="Times New Roman"/>
        </w:rPr>
        <w:t xml:space="preserve"> </w:t>
      </w:r>
    </w:p>
    <w:p w:rsidR="003E5986" w:rsidRPr="00A37E4D" w:rsidRDefault="003E5986" w:rsidP="003E5986">
      <w:pPr>
        <w:pStyle w:val="Default"/>
        <w:rPr>
          <w:rFonts w:ascii="Times New Roman" w:hAnsi="Times New Roman" w:cs="Times New Roman"/>
          <w:lang w:val="sr-Cyrl-CS"/>
        </w:rPr>
      </w:pPr>
      <w:r w:rsidRPr="00A37E4D">
        <w:rPr>
          <w:rFonts w:ascii="Times New Roman" w:hAnsi="Times New Roman" w:cs="Times New Roman"/>
          <w:lang w:val="sr-Cyrl-CS"/>
        </w:rPr>
        <w:t>1.порези</w:t>
      </w:r>
      <w:r w:rsidRPr="00A37E4D">
        <w:rPr>
          <w:rFonts w:ascii="Times New Roman" w:hAnsi="Times New Roman" w:cs="Times New Roman"/>
        </w:rPr>
        <w:t xml:space="preserve"> </w:t>
      </w:r>
    </w:p>
    <w:p w:rsidR="003E5986" w:rsidRPr="00A37E4D" w:rsidRDefault="003E5986" w:rsidP="003E5986">
      <w:pPr>
        <w:pStyle w:val="Default"/>
        <w:rPr>
          <w:rFonts w:ascii="Times New Roman" w:hAnsi="Times New Roman" w:cs="Times New Roman"/>
          <w:lang w:val="sr-Cyrl-CS"/>
        </w:rPr>
      </w:pPr>
    </w:p>
    <w:p w:rsidR="003E5986" w:rsidRPr="00A37E4D" w:rsidRDefault="003E5986" w:rsidP="003E5986">
      <w:pPr>
        <w:pStyle w:val="Default"/>
        <w:rPr>
          <w:rFonts w:ascii="Times New Roman" w:hAnsi="Times New Roman" w:cs="Times New Roman"/>
        </w:rPr>
      </w:pPr>
      <w:r w:rsidRPr="00A37E4D">
        <w:rPr>
          <w:rFonts w:ascii="Times New Roman" w:hAnsi="Times New Roman" w:cs="Times New Roman"/>
          <w:lang w:val="sr-Cyrl-CS"/>
        </w:rPr>
        <w:t>-</w:t>
      </w:r>
      <w:r w:rsidR="007E25F9" w:rsidRPr="00A37E4D">
        <w:rPr>
          <w:rFonts w:ascii="Times New Roman" w:hAnsi="Times New Roman" w:cs="Times New Roman"/>
        </w:rPr>
        <w:t>порез</w:t>
      </w:r>
      <w:r w:rsidRPr="00A37E4D">
        <w:rPr>
          <w:rFonts w:ascii="Times New Roman" w:hAnsi="Times New Roman" w:cs="Times New Roman"/>
        </w:rPr>
        <w:t xml:space="preserve"> </w:t>
      </w:r>
      <w:r w:rsidR="007E25F9" w:rsidRPr="00A37E4D">
        <w:rPr>
          <w:rFonts w:ascii="Times New Roman" w:hAnsi="Times New Roman" w:cs="Times New Roman"/>
        </w:rPr>
        <w:t>на</w:t>
      </w:r>
      <w:r w:rsidRPr="00A37E4D">
        <w:rPr>
          <w:rFonts w:ascii="Times New Roman" w:hAnsi="Times New Roman" w:cs="Times New Roman"/>
        </w:rPr>
        <w:t xml:space="preserve"> </w:t>
      </w:r>
      <w:r w:rsidR="007E25F9" w:rsidRPr="00A37E4D">
        <w:rPr>
          <w:rFonts w:ascii="Times New Roman" w:hAnsi="Times New Roman" w:cs="Times New Roman"/>
        </w:rPr>
        <w:t>добит</w:t>
      </w:r>
      <w:r w:rsidRPr="00A37E4D">
        <w:rPr>
          <w:rFonts w:ascii="Times New Roman" w:hAnsi="Times New Roman" w:cs="Times New Roman"/>
        </w:rPr>
        <w:t xml:space="preserve"> </w:t>
      </w:r>
      <w:r w:rsidR="007E25F9" w:rsidRPr="00A37E4D">
        <w:rPr>
          <w:rFonts w:ascii="Times New Roman" w:hAnsi="Times New Roman" w:cs="Times New Roman"/>
        </w:rPr>
        <w:t>предузе</w:t>
      </w:r>
      <w:r w:rsidR="00A37E4D">
        <w:rPr>
          <w:rFonts w:ascii="Times New Roman" w:hAnsi="Times New Roman" w:cs="Times New Roman"/>
          <w:lang w:val="sr-Cyrl-CS"/>
        </w:rPr>
        <w:t>ћ</w:t>
      </w:r>
      <w:r w:rsidR="007E25F9" w:rsidRPr="00A37E4D">
        <w:rPr>
          <w:rFonts w:ascii="Times New Roman" w:hAnsi="Times New Roman" w:cs="Times New Roman"/>
        </w:rPr>
        <w:t>а</w:t>
      </w:r>
      <w:r w:rsidRPr="00A37E4D">
        <w:rPr>
          <w:rFonts w:ascii="Times New Roman" w:hAnsi="Times New Roman" w:cs="Times New Roman"/>
        </w:rPr>
        <w:t xml:space="preserve">, </w:t>
      </w:r>
    </w:p>
    <w:p w:rsidR="003E5986" w:rsidRPr="00A37E4D" w:rsidRDefault="003E5986" w:rsidP="003E5986">
      <w:pPr>
        <w:pStyle w:val="Default"/>
        <w:rPr>
          <w:rFonts w:ascii="Times New Roman" w:hAnsi="Times New Roman" w:cs="Times New Roman"/>
        </w:rPr>
      </w:pPr>
      <w:r w:rsidRPr="00A37E4D">
        <w:rPr>
          <w:rFonts w:ascii="Times New Roman" w:hAnsi="Times New Roman" w:cs="Times New Roman"/>
          <w:lang w:val="sr-Cyrl-CS"/>
        </w:rPr>
        <w:t>-</w:t>
      </w:r>
      <w:r w:rsidR="007E25F9" w:rsidRPr="00A37E4D">
        <w:rPr>
          <w:rFonts w:ascii="Times New Roman" w:hAnsi="Times New Roman" w:cs="Times New Roman"/>
        </w:rPr>
        <w:t>порез</w:t>
      </w:r>
      <w:r w:rsidRPr="00A37E4D">
        <w:rPr>
          <w:rFonts w:ascii="Times New Roman" w:hAnsi="Times New Roman" w:cs="Times New Roman"/>
        </w:rPr>
        <w:t xml:space="preserve"> </w:t>
      </w:r>
      <w:r w:rsidR="007E25F9" w:rsidRPr="00A37E4D">
        <w:rPr>
          <w:rFonts w:ascii="Times New Roman" w:hAnsi="Times New Roman" w:cs="Times New Roman"/>
        </w:rPr>
        <w:t>на</w:t>
      </w:r>
      <w:r w:rsidRPr="00A37E4D">
        <w:rPr>
          <w:rFonts w:ascii="Times New Roman" w:hAnsi="Times New Roman" w:cs="Times New Roman"/>
        </w:rPr>
        <w:t xml:space="preserve"> </w:t>
      </w:r>
      <w:r w:rsidR="007E25F9" w:rsidRPr="00A37E4D">
        <w:rPr>
          <w:rFonts w:ascii="Times New Roman" w:hAnsi="Times New Roman" w:cs="Times New Roman"/>
        </w:rPr>
        <w:t>доходак</w:t>
      </w:r>
      <w:r w:rsidRPr="00A37E4D">
        <w:rPr>
          <w:rFonts w:ascii="Times New Roman" w:hAnsi="Times New Roman" w:cs="Times New Roman"/>
        </w:rPr>
        <w:t xml:space="preserve"> </w:t>
      </w:r>
      <w:r w:rsidR="007E25F9" w:rsidRPr="00A37E4D">
        <w:rPr>
          <w:rFonts w:ascii="Times New Roman" w:hAnsi="Times New Roman" w:cs="Times New Roman"/>
        </w:rPr>
        <w:t>гра</w:t>
      </w:r>
      <w:r w:rsidR="00A37E4D">
        <w:rPr>
          <w:rFonts w:ascii="Times New Roman" w:hAnsi="Times New Roman" w:cs="Times New Roman"/>
          <w:lang w:val="sr-Cyrl-CS"/>
        </w:rPr>
        <w:t>ђ</w:t>
      </w:r>
      <w:r w:rsidR="007E25F9" w:rsidRPr="00A37E4D">
        <w:rPr>
          <w:rFonts w:ascii="Times New Roman" w:hAnsi="Times New Roman" w:cs="Times New Roman"/>
        </w:rPr>
        <w:t>ана</w:t>
      </w:r>
      <w:r w:rsidRPr="00A37E4D">
        <w:rPr>
          <w:rFonts w:ascii="Times New Roman" w:hAnsi="Times New Roman" w:cs="Times New Roman"/>
        </w:rPr>
        <w:t xml:space="preserve">, </w:t>
      </w:r>
    </w:p>
    <w:p w:rsidR="003E5986" w:rsidRPr="00A37E4D" w:rsidRDefault="003E5986" w:rsidP="003E5986">
      <w:pPr>
        <w:pStyle w:val="Default"/>
        <w:rPr>
          <w:rFonts w:ascii="Times New Roman" w:hAnsi="Times New Roman" w:cs="Times New Roman"/>
        </w:rPr>
      </w:pPr>
      <w:r w:rsidRPr="00A37E4D">
        <w:rPr>
          <w:rFonts w:ascii="Times New Roman" w:hAnsi="Times New Roman" w:cs="Times New Roman"/>
          <w:lang w:val="sr-Cyrl-CS"/>
        </w:rPr>
        <w:t>-</w:t>
      </w:r>
      <w:r w:rsidR="007E25F9" w:rsidRPr="00A37E4D">
        <w:rPr>
          <w:rFonts w:ascii="Times New Roman" w:hAnsi="Times New Roman" w:cs="Times New Roman"/>
        </w:rPr>
        <w:t>порез</w:t>
      </w:r>
      <w:r w:rsidRPr="00A37E4D">
        <w:rPr>
          <w:rFonts w:ascii="Times New Roman" w:hAnsi="Times New Roman" w:cs="Times New Roman"/>
        </w:rPr>
        <w:t xml:space="preserve"> </w:t>
      </w:r>
      <w:r w:rsidR="007E25F9" w:rsidRPr="00A37E4D">
        <w:rPr>
          <w:rFonts w:ascii="Times New Roman" w:hAnsi="Times New Roman" w:cs="Times New Roman"/>
        </w:rPr>
        <w:t>на</w:t>
      </w:r>
      <w:r w:rsidRPr="00A37E4D">
        <w:rPr>
          <w:rFonts w:ascii="Times New Roman" w:hAnsi="Times New Roman" w:cs="Times New Roman"/>
        </w:rPr>
        <w:t xml:space="preserve"> </w:t>
      </w:r>
      <w:r w:rsidR="007E25F9" w:rsidRPr="00A37E4D">
        <w:rPr>
          <w:rFonts w:ascii="Times New Roman" w:hAnsi="Times New Roman" w:cs="Times New Roman"/>
        </w:rPr>
        <w:t>имовину</w:t>
      </w:r>
      <w:r w:rsidRPr="00A37E4D">
        <w:rPr>
          <w:rFonts w:ascii="Times New Roman" w:hAnsi="Times New Roman" w:cs="Times New Roman"/>
        </w:rPr>
        <w:t xml:space="preserve">, </w:t>
      </w:r>
    </w:p>
    <w:p w:rsidR="003E5986" w:rsidRPr="00A37E4D" w:rsidRDefault="003E5986" w:rsidP="003E5986">
      <w:pPr>
        <w:pStyle w:val="Default"/>
        <w:rPr>
          <w:rFonts w:ascii="Times New Roman" w:hAnsi="Times New Roman" w:cs="Times New Roman"/>
        </w:rPr>
      </w:pPr>
      <w:r w:rsidRPr="00A37E4D">
        <w:rPr>
          <w:rFonts w:ascii="Times New Roman" w:hAnsi="Times New Roman" w:cs="Times New Roman"/>
          <w:lang w:val="sr-Cyrl-CS"/>
        </w:rPr>
        <w:t>-</w:t>
      </w:r>
      <w:r w:rsidR="007E25F9" w:rsidRPr="00A37E4D">
        <w:rPr>
          <w:rFonts w:ascii="Times New Roman" w:hAnsi="Times New Roman" w:cs="Times New Roman"/>
        </w:rPr>
        <w:t>порез</w:t>
      </w:r>
      <w:r w:rsidRPr="00A37E4D">
        <w:rPr>
          <w:rFonts w:ascii="Times New Roman" w:hAnsi="Times New Roman" w:cs="Times New Roman"/>
        </w:rPr>
        <w:t xml:space="preserve"> </w:t>
      </w:r>
      <w:r w:rsidR="007E25F9" w:rsidRPr="00A37E4D">
        <w:rPr>
          <w:rFonts w:ascii="Times New Roman" w:hAnsi="Times New Roman" w:cs="Times New Roman"/>
        </w:rPr>
        <w:t>на</w:t>
      </w:r>
      <w:r w:rsidRPr="00A37E4D">
        <w:rPr>
          <w:rFonts w:ascii="Times New Roman" w:hAnsi="Times New Roman" w:cs="Times New Roman"/>
        </w:rPr>
        <w:t xml:space="preserve"> </w:t>
      </w:r>
      <w:r w:rsidR="007E25F9" w:rsidRPr="00A37E4D">
        <w:rPr>
          <w:rFonts w:ascii="Times New Roman" w:hAnsi="Times New Roman" w:cs="Times New Roman"/>
        </w:rPr>
        <w:t>насле</w:t>
      </w:r>
      <w:r w:rsidR="00A37E4D">
        <w:rPr>
          <w:rFonts w:ascii="Times New Roman" w:hAnsi="Times New Roman" w:cs="Times New Roman"/>
          <w:lang w:val="sr-Cyrl-CS"/>
        </w:rPr>
        <w:t>ђ</w:t>
      </w:r>
      <w:r w:rsidR="007E25F9" w:rsidRPr="00A37E4D">
        <w:rPr>
          <w:rFonts w:ascii="Times New Roman" w:hAnsi="Times New Roman" w:cs="Times New Roman"/>
        </w:rPr>
        <w:t>е</w:t>
      </w:r>
      <w:r w:rsidRPr="00A37E4D">
        <w:rPr>
          <w:rFonts w:ascii="Times New Roman" w:hAnsi="Times New Roman" w:cs="Times New Roman"/>
        </w:rPr>
        <w:t xml:space="preserve"> </w:t>
      </w:r>
      <w:r w:rsidR="007E25F9" w:rsidRPr="00A37E4D">
        <w:rPr>
          <w:rFonts w:ascii="Times New Roman" w:hAnsi="Times New Roman" w:cs="Times New Roman"/>
        </w:rPr>
        <w:t>и</w:t>
      </w:r>
      <w:r w:rsidRPr="00A37E4D">
        <w:rPr>
          <w:rFonts w:ascii="Times New Roman" w:hAnsi="Times New Roman" w:cs="Times New Roman"/>
        </w:rPr>
        <w:t xml:space="preserve"> </w:t>
      </w:r>
      <w:r w:rsidR="007E25F9" w:rsidRPr="00A37E4D">
        <w:rPr>
          <w:rFonts w:ascii="Times New Roman" w:hAnsi="Times New Roman" w:cs="Times New Roman"/>
        </w:rPr>
        <w:t>поклон</w:t>
      </w:r>
      <w:r w:rsidRPr="00A37E4D">
        <w:rPr>
          <w:rFonts w:ascii="Times New Roman" w:hAnsi="Times New Roman" w:cs="Times New Roman"/>
        </w:rPr>
        <w:t xml:space="preserve">, </w:t>
      </w:r>
    </w:p>
    <w:p w:rsidR="003E5986" w:rsidRPr="00A37E4D" w:rsidRDefault="003E5986" w:rsidP="003E5986">
      <w:pPr>
        <w:pStyle w:val="Default"/>
        <w:rPr>
          <w:rFonts w:ascii="Times New Roman" w:hAnsi="Times New Roman" w:cs="Times New Roman"/>
        </w:rPr>
      </w:pPr>
      <w:r w:rsidRPr="00A37E4D">
        <w:rPr>
          <w:rFonts w:ascii="Times New Roman" w:hAnsi="Times New Roman" w:cs="Times New Roman"/>
          <w:lang w:val="sr-Cyrl-CS"/>
        </w:rPr>
        <w:t>-</w:t>
      </w:r>
      <w:r w:rsidR="007E25F9" w:rsidRPr="00A37E4D">
        <w:rPr>
          <w:rFonts w:ascii="Times New Roman" w:hAnsi="Times New Roman" w:cs="Times New Roman"/>
        </w:rPr>
        <w:t>порез</w:t>
      </w:r>
      <w:r w:rsidRPr="00A37E4D">
        <w:rPr>
          <w:rFonts w:ascii="Times New Roman" w:hAnsi="Times New Roman" w:cs="Times New Roman"/>
        </w:rPr>
        <w:t xml:space="preserve"> </w:t>
      </w:r>
      <w:r w:rsidR="007E25F9" w:rsidRPr="00A37E4D">
        <w:rPr>
          <w:rFonts w:ascii="Times New Roman" w:hAnsi="Times New Roman" w:cs="Times New Roman"/>
        </w:rPr>
        <w:t>на</w:t>
      </w:r>
      <w:r w:rsidRPr="00A37E4D">
        <w:rPr>
          <w:rFonts w:ascii="Times New Roman" w:hAnsi="Times New Roman" w:cs="Times New Roman"/>
        </w:rPr>
        <w:t xml:space="preserve"> </w:t>
      </w:r>
      <w:r w:rsidR="007E25F9" w:rsidRPr="00A37E4D">
        <w:rPr>
          <w:rFonts w:ascii="Times New Roman" w:hAnsi="Times New Roman" w:cs="Times New Roman"/>
        </w:rPr>
        <w:t>пренос</w:t>
      </w:r>
      <w:r w:rsidRPr="00A37E4D">
        <w:rPr>
          <w:rFonts w:ascii="Times New Roman" w:hAnsi="Times New Roman" w:cs="Times New Roman"/>
        </w:rPr>
        <w:t xml:space="preserve"> </w:t>
      </w:r>
      <w:r w:rsidR="007E25F9" w:rsidRPr="00A37E4D">
        <w:rPr>
          <w:rFonts w:ascii="Times New Roman" w:hAnsi="Times New Roman" w:cs="Times New Roman"/>
        </w:rPr>
        <w:t>апсолутних</w:t>
      </w:r>
      <w:r w:rsidRPr="00A37E4D">
        <w:rPr>
          <w:rFonts w:ascii="Times New Roman" w:hAnsi="Times New Roman" w:cs="Times New Roman"/>
        </w:rPr>
        <w:t xml:space="preserve"> </w:t>
      </w:r>
      <w:r w:rsidR="007E25F9" w:rsidRPr="00A37E4D">
        <w:rPr>
          <w:rFonts w:ascii="Times New Roman" w:hAnsi="Times New Roman" w:cs="Times New Roman"/>
        </w:rPr>
        <w:t>права</w:t>
      </w:r>
      <w:r w:rsidRPr="00A37E4D">
        <w:rPr>
          <w:rFonts w:ascii="Times New Roman" w:hAnsi="Times New Roman" w:cs="Times New Roman"/>
        </w:rPr>
        <w:t xml:space="preserve">, </w:t>
      </w:r>
    </w:p>
    <w:p w:rsidR="003E5986" w:rsidRPr="00A37E4D" w:rsidRDefault="003E5986" w:rsidP="003E5986">
      <w:pPr>
        <w:pStyle w:val="Default"/>
        <w:rPr>
          <w:rFonts w:ascii="Times New Roman" w:hAnsi="Times New Roman" w:cs="Times New Roman"/>
        </w:rPr>
      </w:pPr>
      <w:r w:rsidRPr="00A37E4D">
        <w:rPr>
          <w:rFonts w:ascii="Times New Roman" w:hAnsi="Times New Roman" w:cs="Times New Roman"/>
          <w:lang w:val="sr-Cyrl-CS"/>
        </w:rPr>
        <w:t>-</w:t>
      </w:r>
      <w:r w:rsidR="007E25F9" w:rsidRPr="00A37E4D">
        <w:rPr>
          <w:rFonts w:ascii="Times New Roman" w:hAnsi="Times New Roman" w:cs="Times New Roman"/>
        </w:rPr>
        <w:t>порез</w:t>
      </w:r>
      <w:r w:rsidRPr="00A37E4D">
        <w:rPr>
          <w:rFonts w:ascii="Times New Roman" w:hAnsi="Times New Roman" w:cs="Times New Roman"/>
        </w:rPr>
        <w:t xml:space="preserve"> </w:t>
      </w:r>
      <w:r w:rsidR="007E25F9" w:rsidRPr="00A37E4D">
        <w:rPr>
          <w:rFonts w:ascii="Times New Roman" w:hAnsi="Times New Roman" w:cs="Times New Roman"/>
        </w:rPr>
        <w:t>на</w:t>
      </w:r>
      <w:r w:rsidRPr="00A37E4D">
        <w:rPr>
          <w:rFonts w:ascii="Times New Roman" w:hAnsi="Times New Roman" w:cs="Times New Roman"/>
        </w:rPr>
        <w:t xml:space="preserve"> </w:t>
      </w:r>
      <w:r w:rsidR="007E25F9" w:rsidRPr="00A37E4D">
        <w:rPr>
          <w:rFonts w:ascii="Times New Roman" w:hAnsi="Times New Roman" w:cs="Times New Roman"/>
        </w:rPr>
        <w:t>промет</w:t>
      </w:r>
      <w:r w:rsidRPr="00A37E4D">
        <w:rPr>
          <w:rFonts w:ascii="Times New Roman" w:hAnsi="Times New Roman" w:cs="Times New Roman"/>
        </w:rPr>
        <w:t xml:space="preserve">, </w:t>
      </w:r>
    </w:p>
    <w:p w:rsidR="003E5986" w:rsidRPr="00A37E4D" w:rsidRDefault="003E5986" w:rsidP="003E5986">
      <w:pPr>
        <w:pStyle w:val="Default"/>
        <w:rPr>
          <w:rFonts w:ascii="Times New Roman" w:hAnsi="Times New Roman" w:cs="Times New Roman"/>
        </w:rPr>
      </w:pPr>
      <w:r w:rsidRPr="00A37E4D">
        <w:rPr>
          <w:rFonts w:ascii="Times New Roman" w:hAnsi="Times New Roman" w:cs="Times New Roman"/>
          <w:lang w:val="sr-Cyrl-CS"/>
        </w:rPr>
        <w:t>-</w:t>
      </w:r>
      <w:r w:rsidR="007E25F9" w:rsidRPr="00A37E4D">
        <w:rPr>
          <w:rFonts w:ascii="Times New Roman" w:hAnsi="Times New Roman" w:cs="Times New Roman"/>
        </w:rPr>
        <w:t>акцизе</w:t>
      </w:r>
      <w:r w:rsidRPr="00A37E4D">
        <w:rPr>
          <w:rFonts w:ascii="Times New Roman" w:hAnsi="Times New Roman" w:cs="Times New Roman"/>
        </w:rPr>
        <w:t xml:space="preserve">, </w:t>
      </w:r>
    </w:p>
    <w:p w:rsidR="003E5986" w:rsidRPr="00A37E4D" w:rsidRDefault="003E5986" w:rsidP="003E5986">
      <w:pPr>
        <w:pStyle w:val="Default"/>
        <w:rPr>
          <w:rFonts w:ascii="Times New Roman" w:hAnsi="Times New Roman" w:cs="Times New Roman"/>
        </w:rPr>
      </w:pPr>
      <w:r w:rsidRPr="00A37E4D">
        <w:rPr>
          <w:rFonts w:ascii="Times New Roman" w:hAnsi="Times New Roman" w:cs="Times New Roman"/>
          <w:lang w:val="sr-Cyrl-CS"/>
        </w:rPr>
        <w:t>-</w:t>
      </w:r>
      <w:r w:rsidR="007E25F9" w:rsidRPr="00A37E4D">
        <w:rPr>
          <w:rFonts w:ascii="Times New Roman" w:hAnsi="Times New Roman" w:cs="Times New Roman"/>
        </w:rPr>
        <w:t>порез</w:t>
      </w:r>
      <w:r w:rsidRPr="00A37E4D">
        <w:rPr>
          <w:rFonts w:ascii="Times New Roman" w:hAnsi="Times New Roman" w:cs="Times New Roman"/>
        </w:rPr>
        <w:t xml:space="preserve"> </w:t>
      </w:r>
      <w:r w:rsidR="007E25F9" w:rsidRPr="00A37E4D">
        <w:rPr>
          <w:rFonts w:ascii="Times New Roman" w:hAnsi="Times New Roman" w:cs="Times New Roman"/>
        </w:rPr>
        <w:t>на</w:t>
      </w:r>
      <w:r w:rsidRPr="00A37E4D">
        <w:rPr>
          <w:rFonts w:ascii="Times New Roman" w:hAnsi="Times New Roman" w:cs="Times New Roman"/>
        </w:rPr>
        <w:t xml:space="preserve"> </w:t>
      </w:r>
      <w:r w:rsidR="007E25F9" w:rsidRPr="00A37E4D">
        <w:rPr>
          <w:rFonts w:ascii="Times New Roman" w:hAnsi="Times New Roman" w:cs="Times New Roman"/>
        </w:rPr>
        <w:t>употребу</w:t>
      </w:r>
      <w:r w:rsidRPr="00A37E4D">
        <w:rPr>
          <w:rFonts w:ascii="Times New Roman" w:hAnsi="Times New Roman" w:cs="Times New Roman"/>
        </w:rPr>
        <w:t xml:space="preserve">, </w:t>
      </w:r>
      <w:r w:rsidR="007E25F9" w:rsidRPr="00A37E4D">
        <w:rPr>
          <w:rFonts w:ascii="Times New Roman" w:hAnsi="Times New Roman" w:cs="Times New Roman"/>
        </w:rPr>
        <w:t>др</w:t>
      </w:r>
      <w:r w:rsidR="00A37E4D">
        <w:rPr>
          <w:rFonts w:ascii="Times New Roman" w:hAnsi="Times New Roman" w:cs="Times New Roman"/>
          <w:lang w:val="sr-Cyrl-CS"/>
        </w:rPr>
        <w:t>ж</w:t>
      </w:r>
      <w:r w:rsidR="007E25F9" w:rsidRPr="00A37E4D">
        <w:rPr>
          <w:rFonts w:ascii="Times New Roman" w:hAnsi="Times New Roman" w:cs="Times New Roman"/>
        </w:rPr>
        <w:t>ање</w:t>
      </w:r>
      <w:r w:rsidRPr="00A37E4D">
        <w:rPr>
          <w:rFonts w:ascii="Times New Roman" w:hAnsi="Times New Roman" w:cs="Times New Roman"/>
        </w:rPr>
        <w:t xml:space="preserve"> </w:t>
      </w:r>
      <w:r w:rsidR="007E25F9" w:rsidRPr="00A37E4D">
        <w:rPr>
          <w:rFonts w:ascii="Times New Roman" w:hAnsi="Times New Roman" w:cs="Times New Roman"/>
        </w:rPr>
        <w:t>и</w:t>
      </w:r>
      <w:r w:rsidRPr="00A37E4D">
        <w:rPr>
          <w:rFonts w:ascii="Times New Roman" w:hAnsi="Times New Roman" w:cs="Times New Roman"/>
        </w:rPr>
        <w:t xml:space="preserve"> </w:t>
      </w:r>
      <w:r w:rsidR="007E25F9" w:rsidRPr="00A37E4D">
        <w:rPr>
          <w:rFonts w:ascii="Times New Roman" w:hAnsi="Times New Roman" w:cs="Times New Roman"/>
        </w:rPr>
        <w:t>но</w:t>
      </w:r>
      <w:r w:rsidR="00A37E4D">
        <w:rPr>
          <w:rFonts w:ascii="Times New Roman" w:hAnsi="Times New Roman" w:cs="Times New Roman"/>
          <w:lang w:val="sr-Cyrl-CS"/>
        </w:rPr>
        <w:t>ш</w:t>
      </w:r>
      <w:r w:rsidR="007E25F9" w:rsidRPr="00A37E4D">
        <w:rPr>
          <w:rFonts w:ascii="Times New Roman" w:hAnsi="Times New Roman" w:cs="Times New Roman"/>
        </w:rPr>
        <w:t>ење</w:t>
      </w:r>
      <w:r w:rsidRPr="00A37E4D">
        <w:rPr>
          <w:rFonts w:ascii="Times New Roman" w:hAnsi="Times New Roman" w:cs="Times New Roman"/>
        </w:rPr>
        <w:t xml:space="preserve"> </w:t>
      </w:r>
      <w:r w:rsidR="007E25F9" w:rsidRPr="00A37E4D">
        <w:rPr>
          <w:rFonts w:ascii="Times New Roman" w:hAnsi="Times New Roman" w:cs="Times New Roman"/>
        </w:rPr>
        <w:t>одре</w:t>
      </w:r>
      <w:r w:rsidR="00A37E4D">
        <w:rPr>
          <w:rFonts w:ascii="Times New Roman" w:hAnsi="Times New Roman" w:cs="Times New Roman"/>
          <w:lang w:val="sr-Cyrl-CS"/>
        </w:rPr>
        <w:t>ђ</w:t>
      </w:r>
      <w:r w:rsidR="007E25F9" w:rsidRPr="00A37E4D">
        <w:rPr>
          <w:rFonts w:ascii="Times New Roman" w:hAnsi="Times New Roman" w:cs="Times New Roman"/>
        </w:rPr>
        <w:t>ених</w:t>
      </w:r>
      <w:r w:rsidRPr="00A37E4D">
        <w:rPr>
          <w:rFonts w:ascii="Times New Roman" w:hAnsi="Times New Roman" w:cs="Times New Roman"/>
        </w:rPr>
        <w:t xml:space="preserve"> </w:t>
      </w:r>
      <w:r w:rsidR="007E25F9" w:rsidRPr="00A37E4D">
        <w:rPr>
          <w:rFonts w:ascii="Times New Roman" w:hAnsi="Times New Roman" w:cs="Times New Roman"/>
        </w:rPr>
        <w:t>добара</w:t>
      </w:r>
      <w:r w:rsidRPr="00A37E4D">
        <w:rPr>
          <w:rFonts w:ascii="Times New Roman" w:hAnsi="Times New Roman" w:cs="Times New Roman"/>
        </w:rPr>
        <w:t xml:space="preserve">, </w:t>
      </w:r>
    </w:p>
    <w:p w:rsidR="003E5986" w:rsidRPr="00A37E4D" w:rsidRDefault="003E5986" w:rsidP="003E5986">
      <w:pPr>
        <w:pStyle w:val="Default"/>
        <w:rPr>
          <w:rFonts w:ascii="Times New Roman" w:hAnsi="Times New Roman" w:cs="Times New Roman"/>
        </w:rPr>
      </w:pPr>
      <w:r w:rsidRPr="00A37E4D">
        <w:rPr>
          <w:rFonts w:ascii="Times New Roman" w:hAnsi="Times New Roman" w:cs="Times New Roman"/>
          <w:lang w:val="sr-Cyrl-CS"/>
        </w:rPr>
        <w:t>-</w:t>
      </w:r>
      <w:r w:rsidRPr="00A37E4D">
        <w:rPr>
          <w:rFonts w:ascii="Times New Roman" w:hAnsi="Times New Roman" w:cs="Times New Roman"/>
        </w:rPr>
        <w:t xml:space="preserve"> </w:t>
      </w:r>
      <w:r w:rsidR="007E25F9" w:rsidRPr="00A37E4D">
        <w:rPr>
          <w:rFonts w:ascii="Times New Roman" w:hAnsi="Times New Roman" w:cs="Times New Roman"/>
        </w:rPr>
        <w:t>порез</w:t>
      </w:r>
      <w:r w:rsidRPr="00A37E4D">
        <w:rPr>
          <w:rFonts w:ascii="Times New Roman" w:hAnsi="Times New Roman" w:cs="Times New Roman"/>
        </w:rPr>
        <w:t xml:space="preserve"> </w:t>
      </w:r>
      <w:r w:rsidR="007E25F9" w:rsidRPr="00A37E4D">
        <w:rPr>
          <w:rFonts w:ascii="Times New Roman" w:hAnsi="Times New Roman" w:cs="Times New Roman"/>
        </w:rPr>
        <w:t>на</w:t>
      </w:r>
      <w:r w:rsidRPr="00A37E4D">
        <w:rPr>
          <w:rFonts w:ascii="Times New Roman" w:hAnsi="Times New Roman" w:cs="Times New Roman"/>
        </w:rPr>
        <w:t xml:space="preserve"> </w:t>
      </w:r>
      <w:r w:rsidR="007E25F9" w:rsidRPr="00A37E4D">
        <w:rPr>
          <w:rFonts w:ascii="Times New Roman" w:hAnsi="Times New Roman" w:cs="Times New Roman"/>
        </w:rPr>
        <w:t>финансијске</w:t>
      </w:r>
      <w:r w:rsidRPr="00A37E4D">
        <w:rPr>
          <w:rFonts w:ascii="Times New Roman" w:hAnsi="Times New Roman" w:cs="Times New Roman"/>
        </w:rPr>
        <w:t xml:space="preserve"> </w:t>
      </w:r>
      <w:r w:rsidR="007E25F9" w:rsidRPr="00A37E4D">
        <w:rPr>
          <w:rFonts w:ascii="Times New Roman" w:hAnsi="Times New Roman" w:cs="Times New Roman"/>
        </w:rPr>
        <w:t>трансакције</w:t>
      </w:r>
      <w:r w:rsidRPr="00A37E4D">
        <w:rPr>
          <w:rFonts w:ascii="Times New Roman" w:hAnsi="Times New Roman" w:cs="Times New Roman"/>
        </w:rPr>
        <w:t xml:space="preserve">, </w:t>
      </w:r>
    </w:p>
    <w:p w:rsidR="003E5986" w:rsidRPr="00A37E4D" w:rsidRDefault="003E5986" w:rsidP="003E5986">
      <w:pPr>
        <w:pStyle w:val="Default"/>
        <w:rPr>
          <w:rFonts w:ascii="Times New Roman" w:hAnsi="Times New Roman" w:cs="Times New Roman"/>
        </w:rPr>
      </w:pPr>
      <w:r w:rsidRPr="00A37E4D">
        <w:rPr>
          <w:rFonts w:ascii="Times New Roman" w:hAnsi="Times New Roman" w:cs="Times New Roman"/>
          <w:lang w:val="sr-Cyrl-CS"/>
        </w:rPr>
        <w:t>-</w:t>
      </w:r>
      <w:r w:rsidR="007E25F9" w:rsidRPr="00A37E4D">
        <w:rPr>
          <w:rFonts w:ascii="Times New Roman" w:hAnsi="Times New Roman" w:cs="Times New Roman"/>
        </w:rPr>
        <w:t>порез</w:t>
      </w:r>
      <w:r w:rsidRPr="00A37E4D">
        <w:rPr>
          <w:rFonts w:ascii="Times New Roman" w:hAnsi="Times New Roman" w:cs="Times New Roman"/>
        </w:rPr>
        <w:t xml:space="preserve"> </w:t>
      </w:r>
      <w:r w:rsidR="007E25F9" w:rsidRPr="00A37E4D">
        <w:rPr>
          <w:rFonts w:ascii="Times New Roman" w:hAnsi="Times New Roman" w:cs="Times New Roman"/>
        </w:rPr>
        <w:t>на</w:t>
      </w:r>
      <w:r w:rsidRPr="00A37E4D">
        <w:rPr>
          <w:rFonts w:ascii="Times New Roman" w:hAnsi="Times New Roman" w:cs="Times New Roman"/>
        </w:rPr>
        <w:t xml:space="preserve"> </w:t>
      </w:r>
      <w:r w:rsidR="007E25F9" w:rsidRPr="00A37E4D">
        <w:rPr>
          <w:rFonts w:ascii="Times New Roman" w:hAnsi="Times New Roman" w:cs="Times New Roman"/>
        </w:rPr>
        <w:t>фонд</w:t>
      </w:r>
      <w:r w:rsidRPr="00A37E4D">
        <w:rPr>
          <w:rFonts w:ascii="Times New Roman" w:hAnsi="Times New Roman" w:cs="Times New Roman"/>
        </w:rPr>
        <w:t xml:space="preserve"> </w:t>
      </w:r>
      <w:r w:rsidR="007E25F9" w:rsidRPr="00A37E4D">
        <w:rPr>
          <w:rFonts w:ascii="Times New Roman" w:hAnsi="Times New Roman" w:cs="Times New Roman"/>
        </w:rPr>
        <w:t>зарада</w:t>
      </w:r>
      <w:r w:rsidRPr="00A37E4D">
        <w:rPr>
          <w:rFonts w:ascii="Times New Roman" w:hAnsi="Times New Roman" w:cs="Times New Roman"/>
        </w:rPr>
        <w:t xml:space="preserve">, </w:t>
      </w:r>
    </w:p>
    <w:p w:rsidR="003E5986" w:rsidRPr="00A37E4D" w:rsidRDefault="003E5986" w:rsidP="003E5986">
      <w:pPr>
        <w:pStyle w:val="Default"/>
        <w:rPr>
          <w:rFonts w:ascii="Times New Roman" w:hAnsi="Times New Roman" w:cs="Times New Roman"/>
        </w:rPr>
      </w:pPr>
      <w:r w:rsidRPr="00A37E4D">
        <w:rPr>
          <w:rFonts w:ascii="Times New Roman" w:hAnsi="Times New Roman" w:cs="Times New Roman"/>
          <w:lang w:val="sr-Cyrl-CS"/>
        </w:rPr>
        <w:t>-</w:t>
      </w:r>
      <w:r w:rsidRPr="00A37E4D">
        <w:rPr>
          <w:rFonts w:ascii="Times New Roman" w:hAnsi="Times New Roman" w:cs="Times New Roman"/>
        </w:rPr>
        <w:t xml:space="preserve"> </w:t>
      </w:r>
      <w:r w:rsidR="007E25F9" w:rsidRPr="00A37E4D">
        <w:rPr>
          <w:rFonts w:ascii="Times New Roman" w:hAnsi="Times New Roman" w:cs="Times New Roman"/>
        </w:rPr>
        <w:t>једнократни</w:t>
      </w:r>
      <w:r w:rsidRPr="00A37E4D">
        <w:rPr>
          <w:rFonts w:ascii="Times New Roman" w:hAnsi="Times New Roman" w:cs="Times New Roman"/>
        </w:rPr>
        <w:t xml:space="preserve"> </w:t>
      </w:r>
      <w:r w:rsidR="007E25F9" w:rsidRPr="00A37E4D">
        <w:rPr>
          <w:rFonts w:ascii="Times New Roman" w:hAnsi="Times New Roman" w:cs="Times New Roman"/>
        </w:rPr>
        <w:t>порез</w:t>
      </w:r>
      <w:r w:rsidRPr="00A37E4D">
        <w:rPr>
          <w:rFonts w:ascii="Times New Roman" w:hAnsi="Times New Roman" w:cs="Times New Roman"/>
        </w:rPr>
        <w:t xml:space="preserve"> </w:t>
      </w:r>
      <w:r w:rsidR="007E25F9" w:rsidRPr="00A37E4D">
        <w:rPr>
          <w:rFonts w:ascii="Times New Roman" w:hAnsi="Times New Roman" w:cs="Times New Roman"/>
        </w:rPr>
        <w:t>на</w:t>
      </w:r>
      <w:r w:rsidRPr="00A37E4D">
        <w:rPr>
          <w:rFonts w:ascii="Times New Roman" w:hAnsi="Times New Roman" w:cs="Times New Roman"/>
        </w:rPr>
        <w:t xml:space="preserve"> </w:t>
      </w:r>
      <w:r w:rsidR="007E25F9" w:rsidRPr="00A37E4D">
        <w:rPr>
          <w:rFonts w:ascii="Times New Roman" w:hAnsi="Times New Roman" w:cs="Times New Roman"/>
        </w:rPr>
        <w:t>екстра</w:t>
      </w:r>
      <w:r w:rsidRPr="00A37E4D">
        <w:rPr>
          <w:rFonts w:ascii="Times New Roman" w:hAnsi="Times New Roman" w:cs="Times New Roman"/>
        </w:rPr>
        <w:t xml:space="preserve"> </w:t>
      </w:r>
      <w:r w:rsidR="007E25F9" w:rsidRPr="00A37E4D">
        <w:rPr>
          <w:rFonts w:ascii="Times New Roman" w:hAnsi="Times New Roman" w:cs="Times New Roman"/>
        </w:rPr>
        <w:t>доходак</w:t>
      </w:r>
      <w:r w:rsidRPr="00A37E4D">
        <w:rPr>
          <w:rFonts w:ascii="Times New Roman" w:hAnsi="Times New Roman" w:cs="Times New Roman"/>
        </w:rPr>
        <w:t xml:space="preserve"> </w:t>
      </w:r>
      <w:r w:rsidR="007E25F9" w:rsidRPr="00A37E4D">
        <w:rPr>
          <w:rFonts w:ascii="Times New Roman" w:hAnsi="Times New Roman" w:cs="Times New Roman"/>
        </w:rPr>
        <w:t>и</w:t>
      </w:r>
      <w:r w:rsidRPr="00A37E4D">
        <w:rPr>
          <w:rFonts w:ascii="Times New Roman" w:hAnsi="Times New Roman" w:cs="Times New Roman"/>
        </w:rPr>
        <w:t xml:space="preserve"> </w:t>
      </w:r>
      <w:r w:rsidR="007E25F9" w:rsidRPr="00A37E4D">
        <w:rPr>
          <w:rFonts w:ascii="Times New Roman" w:hAnsi="Times New Roman" w:cs="Times New Roman"/>
        </w:rPr>
        <w:t>екстра</w:t>
      </w:r>
      <w:r w:rsidRPr="00A37E4D">
        <w:rPr>
          <w:rFonts w:ascii="Times New Roman" w:hAnsi="Times New Roman" w:cs="Times New Roman"/>
        </w:rPr>
        <w:t xml:space="preserve"> </w:t>
      </w:r>
      <w:r w:rsidR="007E25F9" w:rsidRPr="00A37E4D">
        <w:rPr>
          <w:rFonts w:ascii="Times New Roman" w:hAnsi="Times New Roman" w:cs="Times New Roman"/>
        </w:rPr>
        <w:t>имовину</w:t>
      </w:r>
      <w:r w:rsidRPr="00A37E4D">
        <w:rPr>
          <w:rFonts w:ascii="Times New Roman" w:hAnsi="Times New Roman" w:cs="Times New Roman"/>
        </w:rPr>
        <w:t xml:space="preserve"> </w:t>
      </w:r>
      <w:r w:rsidR="007E25F9" w:rsidRPr="00A37E4D">
        <w:rPr>
          <w:rFonts w:ascii="Times New Roman" w:hAnsi="Times New Roman" w:cs="Times New Roman"/>
        </w:rPr>
        <w:t>сте</w:t>
      </w:r>
      <w:r w:rsidR="00A37E4D">
        <w:rPr>
          <w:rFonts w:ascii="Times New Roman" w:hAnsi="Times New Roman" w:cs="Times New Roman"/>
          <w:lang w:val="sr-Cyrl-CS"/>
        </w:rPr>
        <w:t>ч</w:t>
      </w:r>
      <w:r w:rsidR="007E25F9" w:rsidRPr="00A37E4D">
        <w:rPr>
          <w:rFonts w:ascii="Times New Roman" w:hAnsi="Times New Roman" w:cs="Times New Roman"/>
        </w:rPr>
        <w:t>ену</w:t>
      </w:r>
      <w:r w:rsidRPr="00A37E4D">
        <w:rPr>
          <w:rFonts w:ascii="Times New Roman" w:hAnsi="Times New Roman" w:cs="Times New Roman"/>
        </w:rPr>
        <w:t xml:space="preserve"> </w:t>
      </w:r>
      <w:r w:rsidR="007E25F9" w:rsidRPr="00A37E4D">
        <w:rPr>
          <w:rFonts w:ascii="Times New Roman" w:hAnsi="Times New Roman" w:cs="Times New Roman"/>
        </w:rPr>
        <w:t>искори</w:t>
      </w:r>
      <w:r w:rsidR="00A37E4D">
        <w:rPr>
          <w:rFonts w:ascii="Times New Roman" w:hAnsi="Times New Roman" w:cs="Times New Roman"/>
          <w:lang w:val="sr-Cyrl-CS"/>
        </w:rPr>
        <w:t>шћ</w:t>
      </w:r>
      <w:r w:rsidR="007E25F9" w:rsidRPr="00A37E4D">
        <w:rPr>
          <w:rFonts w:ascii="Times New Roman" w:hAnsi="Times New Roman" w:cs="Times New Roman"/>
        </w:rPr>
        <w:t>авањем</w:t>
      </w:r>
      <w:r w:rsidRPr="00A37E4D">
        <w:rPr>
          <w:rFonts w:ascii="Times New Roman" w:hAnsi="Times New Roman" w:cs="Times New Roman"/>
        </w:rPr>
        <w:t xml:space="preserve"> </w:t>
      </w:r>
      <w:r w:rsidR="007E25F9" w:rsidRPr="00A37E4D">
        <w:rPr>
          <w:rFonts w:ascii="Times New Roman" w:hAnsi="Times New Roman" w:cs="Times New Roman"/>
        </w:rPr>
        <w:t>посебних</w:t>
      </w:r>
      <w:r w:rsidRPr="00A37E4D">
        <w:rPr>
          <w:rFonts w:ascii="Times New Roman" w:hAnsi="Times New Roman" w:cs="Times New Roman"/>
        </w:rPr>
        <w:t xml:space="preserve"> </w:t>
      </w:r>
      <w:r w:rsidR="007E25F9" w:rsidRPr="00A37E4D">
        <w:rPr>
          <w:rFonts w:ascii="Times New Roman" w:hAnsi="Times New Roman" w:cs="Times New Roman"/>
        </w:rPr>
        <w:t>погодности</w:t>
      </w:r>
      <w:r w:rsidRPr="00A37E4D">
        <w:rPr>
          <w:rFonts w:ascii="Times New Roman" w:hAnsi="Times New Roman" w:cs="Times New Roman"/>
        </w:rPr>
        <w:t xml:space="preserve">. </w:t>
      </w:r>
    </w:p>
    <w:p w:rsidR="00526BB6" w:rsidRPr="00A37E4D" w:rsidRDefault="00526BB6" w:rsidP="00526BB6">
      <w:pPr>
        <w:pStyle w:val="Default"/>
        <w:rPr>
          <w:rFonts w:ascii="Times New Roman" w:hAnsi="Times New Roman" w:cs="Times New Roman"/>
        </w:rPr>
      </w:pPr>
      <w:r w:rsidRPr="00A37E4D">
        <w:rPr>
          <w:rFonts w:ascii="Times New Roman" w:hAnsi="Times New Roman" w:cs="Times New Roman"/>
        </w:rPr>
        <w:t xml:space="preserve"> </w:t>
      </w:r>
    </w:p>
    <w:p w:rsidR="002127FB" w:rsidRPr="00A37E4D" w:rsidRDefault="003E5986" w:rsidP="003E5986">
      <w:pPr>
        <w:pStyle w:val="Default"/>
        <w:rPr>
          <w:rFonts w:ascii="Times New Roman" w:hAnsi="Times New Roman" w:cs="Times New Roman"/>
          <w:lang w:val="sr-Cyrl-CS"/>
        </w:rPr>
      </w:pPr>
      <w:r w:rsidRPr="00A37E4D">
        <w:rPr>
          <w:rFonts w:ascii="Times New Roman" w:hAnsi="Times New Roman" w:cs="Times New Roman"/>
          <w:lang w:val="sr-Cyrl-CS"/>
        </w:rPr>
        <w:t>2.</w:t>
      </w:r>
      <w:r w:rsidR="007E25F9" w:rsidRPr="00A37E4D">
        <w:rPr>
          <w:rFonts w:ascii="Times New Roman" w:hAnsi="Times New Roman" w:cs="Times New Roman"/>
        </w:rPr>
        <w:t>таксе</w:t>
      </w:r>
      <w:r w:rsidR="00A37E4D">
        <w:rPr>
          <w:rFonts w:ascii="Times New Roman" w:hAnsi="Times New Roman" w:cs="Times New Roman"/>
          <w:lang w:val="sr-Cyrl-CS"/>
        </w:rPr>
        <w:t xml:space="preserve"> </w:t>
      </w:r>
    </w:p>
    <w:p w:rsidR="003E5986" w:rsidRPr="00A37E4D" w:rsidRDefault="003E5986" w:rsidP="003E5986">
      <w:pPr>
        <w:pStyle w:val="Default"/>
        <w:rPr>
          <w:rFonts w:ascii="Times New Roman" w:hAnsi="Times New Roman" w:cs="Times New Roman"/>
          <w:lang w:val="sr-Cyrl-CS"/>
        </w:rPr>
      </w:pPr>
    </w:p>
    <w:p w:rsidR="003E5986" w:rsidRPr="00A37E4D" w:rsidRDefault="003E5986" w:rsidP="003E5986">
      <w:pPr>
        <w:pStyle w:val="Default"/>
        <w:rPr>
          <w:rFonts w:ascii="Times New Roman" w:hAnsi="Times New Roman" w:cs="Times New Roman"/>
        </w:rPr>
      </w:pPr>
      <w:r w:rsidRPr="00A37E4D">
        <w:rPr>
          <w:rFonts w:ascii="Times New Roman" w:hAnsi="Times New Roman" w:cs="Times New Roman"/>
          <w:lang w:val="sr-Cyrl-CS"/>
        </w:rPr>
        <w:t>-</w:t>
      </w:r>
      <w:r w:rsidR="007E25F9" w:rsidRPr="00A37E4D">
        <w:rPr>
          <w:rFonts w:ascii="Times New Roman" w:hAnsi="Times New Roman" w:cs="Times New Roman"/>
        </w:rPr>
        <w:t>административне</w:t>
      </w:r>
      <w:r w:rsidRPr="00A37E4D">
        <w:rPr>
          <w:rFonts w:ascii="Times New Roman" w:hAnsi="Times New Roman" w:cs="Times New Roman"/>
        </w:rPr>
        <w:t xml:space="preserve"> </w:t>
      </w:r>
      <w:r w:rsidR="007E25F9" w:rsidRPr="00A37E4D">
        <w:rPr>
          <w:rFonts w:ascii="Times New Roman" w:hAnsi="Times New Roman" w:cs="Times New Roman"/>
        </w:rPr>
        <w:t>таксе</w:t>
      </w:r>
      <w:r w:rsidRPr="00A37E4D">
        <w:rPr>
          <w:rFonts w:ascii="Times New Roman" w:hAnsi="Times New Roman" w:cs="Times New Roman"/>
        </w:rPr>
        <w:t xml:space="preserve">, </w:t>
      </w:r>
    </w:p>
    <w:p w:rsidR="003E5986" w:rsidRPr="00A37E4D" w:rsidRDefault="003E5986" w:rsidP="003E5986">
      <w:pPr>
        <w:pStyle w:val="Default"/>
        <w:rPr>
          <w:rFonts w:ascii="Times New Roman" w:hAnsi="Times New Roman" w:cs="Times New Roman"/>
        </w:rPr>
      </w:pPr>
      <w:r w:rsidRPr="00A37E4D">
        <w:rPr>
          <w:rFonts w:ascii="Times New Roman" w:hAnsi="Times New Roman" w:cs="Times New Roman"/>
          <w:lang w:val="sr-Cyrl-CS"/>
        </w:rPr>
        <w:t>-</w:t>
      </w:r>
      <w:r w:rsidR="007E25F9" w:rsidRPr="00A37E4D">
        <w:rPr>
          <w:rFonts w:ascii="Times New Roman" w:hAnsi="Times New Roman" w:cs="Times New Roman"/>
        </w:rPr>
        <w:t>судске</w:t>
      </w:r>
      <w:r w:rsidRPr="00A37E4D">
        <w:rPr>
          <w:rFonts w:ascii="Times New Roman" w:hAnsi="Times New Roman" w:cs="Times New Roman"/>
        </w:rPr>
        <w:t xml:space="preserve"> </w:t>
      </w:r>
      <w:r w:rsidR="007E25F9" w:rsidRPr="00A37E4D">
        <w:rPr>
          <w:rFonts w:ascii="Times New Roman" w:hAnsi="Times New Roman" w:cs="Times New Roman"/>
        </w:rPr>
        <w:t>таксе</w:t>
      </w:r>
      <w:r w:rsidRPr="00A37E4D">
        <w:rPr>
          <w:rFonts w:ascii="Times New Roman" w:hAnsi="Times New Roman" w:cs="Times New Roman"/>
        </w:rPr>
        <w:t xml:space="preserve">, </w:t>
      </w:r>
    </w:p>
    <w:p w:rsidR="00A37E4D" w:rsidRDefault="003E5986" w:rsidP="00A37E4D">
      <w:pPr>
        <w:pStyle w:val="ListParagraph"/>
        <w:ind w:left="0"/>
        <w:jc w:val="both"/>
        <w:rPr>
          <w:rFonts w:ascii="Times New Roman" w:hAnsi="Times New Roman"/>
          <w:sz w:val="24"/>
          <w:szCs w:val="24"/>
          <w:lang w:val="sr-Cyrl-CS"/>
        </w:rPr>
      </w:pPr>
      <w:r w:rsidRPr="00A37E4D">
        <w:rPr>
          <w:rFonts w:ascii="Times New Roman" w:hAnsi="Times New Roman"/>
          <w:sz w:val="24"/>
          <w:szCs w:val="24"/>
          <w:lang w:val="sr-Cyrl-CS"/>
        </w:rPr>
        <w:lastRenderedPageBreak/>
        <w:t>-</w:t>
      </w:r>
      <w:r w:rsidR="007E25F9" w:rsidRPr="00A37E4D">
        <w:rPr>
          <w:rFonts w:ascii="Times New Roman" w:hAnsi="Times New Roman"/>
          <w:sz w:val="24"/>
          <w:szCs w:val="24"/>
        </w:rPr>
        <w:t>комуналне</w:t>
      </w:r>
      <w:r w:rsidRPr="00A37E4D">
        <w:rPr>
          <w:rFonts w:ascii="Times New Roman" w:hAnsi="Times New Roman"/>
          <w:sz w:val="24"/>
          <w:szCs w:val="24"/>
        </w:rPr>
        <w:t xml:space="preserve"> </w:t>
      </w:r>
      <w:r w:rsidR="007E25F9" w:rsidRPr="00A37E4D">
        <w:rPr>
          <w:rFonts w:ascii="Times New Roman" w:hAnsi="Times New Roman"/>
          <w:sz w:val="24"/>
          <w:szCs w:val="24"/>
        </w:rPr>
        <w:t>таксе</w:t>
      </w:r>
      <w:r w:rsidR="00A37E4D">
        <w:rPr>
          <w:rFonts w:ascii="Times New Roman" w:hAnsi="Times New Roman"/>
          <w:sz w:val="24"/>
          <w:szCs w:val="24"/>
          <w:lang w:val="sr-Cyrl-CS"/>
        </w:rPr>
        <w:t>,</w:t>
      </w:r>
    </w:p>
    <w:p w:rsidR="003E5986" w:rsidRPr="00A37E4D" w:rsidRDefault="00A37E4D" w:rsidP="00A37E4D">
      <w:pPr>
        <w:pStyle w:val="ListParagraph"/>
        <w:ind w:left="0"/>
        <w:jc w:val="both"/>
        <w:rPr>
          <w:rFonts w:ascii="Times New Roman" w:hAnsi="Times New Roman"/>
          <w:sz w:val="24"/>
          <w:szCs w:val="24"/>
          <w:lang w:val="sr-Cyrl-CS"/>
        </w:rPr>
      </w:pPr>
      <w:r>
        <w:rPr>
          <w:rFonts w:ascii="Times New Roman" w:hAnsi="Times New Roman"/>
          <w:sz w:val="24"/>
          <w:szCs w:val="24"/>
          <w:lang w:val="sr-Cyrl-CS"/>
        </w:rPr>
        <w:t>-</w:t>
      </w:r>
      <w:r w:rsidR="007E25F9" w:rsidRPr="00A37E4D">
        <w:rPr>
          <w:rFonts w:ascii="Times New Roman" w:hAnsi="Times New Roman"/>
          <w:sz w:val="24"/>
          <w:szCs w:val="24"/>
        </w:rPr>
        <w:t>регистрационе</w:t>
      </w:r>
      <w:r w:rsidR="003E5986" w:rsidRPr="00A37E4D">
        <w:rPr>
          <w:rFonts w:ascii="Times New Roman" w:hAnsi="Times New Roman"/>
          <w:sz w:val="24"/>
          <w:szCs w:val="24"/>
          <w:lang w:val="sr-Cyrl-CS"/>
        </w:rPr>
        <w:t xml:space="preserve"> таксе</w:t>
      </w:r>
      <w:r w:rsidR="003E5986" w:rsidRPr="00A37E4D">
        <w:rPr>
          <w:rFonts w:ascii="Times New Roman" w:hAnsi="Times New Roman"/>
          <w:sz w:val="24"/>
          <w:szCs w:val="24"/>
        </w:rPr>
        <w:t xml:space="preserve">. </w:t>
      </w:r>
    </w:p>
    <w:p w:rsidR="003E5986" w:rsidRPr="00A37E4D" w:rsidRDefault="002127FB" w:rsidP="003E5986">
      <w:pPr>
        <w:pStyle w:val="Default"/>
        <w:rPr>
          <w:rFonts w:ascii="Times New Roman" w:hAnsi="Times New Roman" w:cs="Times New Roman"/>
          <w:lang w:val="sr-Cyrl-CS"/>
        </w:rPr>
      </w:pPr>
      <w:r w:rsidRPr="00A37E4D">
        <w:rPr>
          <w:rFonts w:ascii="Times New Roman" w:hAnsi="Times New Roman" w:cs="Times New Roman"/>
          <w:lang w:val="sr-Cyrl-CS"/>
        </w:rPr>
        <w:t>3.</w:t>
      </w:r>
      <w:r w:rsidR="00526BB6" w:rsidRPr="00A37E4D">
        <w:rPr>
          <w:rFonts w:ascii="Times New Roman" w:hAnsi="Times New Roman" w:cs="Times New Roman"/>
        </w:rPr>
        <w:t xml:space="preserve"> </w:t>
      </w:r>
      <w:r w:rsidR="00A37E4D">
        <w:rPr>
          <w:rFonts w:ascii="Times New Roman" w:hAnsi="Times New Roman" w:cs="Times New Roman"/>
          <w:lang w:val="sr-Cyrl-CS"/>
        </w:rPr>
        <w:t>накнаде</w:t>
      </w:r>
      <w:r w:rsidR="003E5986" w:rsidRPr="00A37E4D">
        <w:rPr>
          <w:rFonts w:ascii="Times New Roman" w:hAnsi="Times New Roman" w:cs="Times New Roman"/>
        </w:rPr>
        <w:t xml:space="preserve"> </w:t>
      </w:r>
    </w:p>
    <w:p w:rsidR="003E5986" w:rsidRPr="00A37E4D" w:rsidRDefault="003E5986" w:rsidP="003E5986">
      <w:pPr>
        <w:pStyle w:val="Default"/>
        <w:rPr>
          <w:rFonts w:ascii="Times New Roman" w:hAnsi="Times New Roman" w:cs="Times New Roman"/>
          <w:lang w:val="sr-Cyrl-CS"/>
        </w:rPr>
      </w:pPr>
    </w:p>
    <w:p w:rsidR="003E5986" w:rsidRPr="00A37E4D" w:rsidRDefault="003E5986" w:rsidP="003E5986">
      <w:pPr>
        <w:pStyle w:val="Default"/>
        <w:rPr>
          <w:rFonts w:ascii="Times New Roman" w:hAnsi="Times New Roman" w:cs="Times New Roman"/>
        </w:rPr>
      </w:pPr>
      <w:r w:rsidRPr="00A37E4D">
        <w:rPr>
          <w:rFonts w:ascii="Times New Roman" w:hAnsi="Times New Roman" w:cs="Times New Roman"/>
        </w:rPr>
        <w:t xml:space="preserve">1. </w:t>
      </w:r>
      <w:r w:rsidR="007E25F9" w:rsidRPr="00A37E4D">
        <w:rPr>
          <w:rFonts w:ascii="Times New Roman" w:hAnsi="Times New Roman" w:cs="Times New Roman"/>
        </w:rPr>
        <w:t>накнаде</w:t>
      </w:r>
      <w:r w:rsidRPr="00A37E4D">
        <w:rPr>
          <w:rFonts w:ascii="Times New Roman" w:hAnsi="Times New Roman" w:cs="Times New Roman"/>
        </w:rPr>
        <w:t xml:space="preserve"> </w:t>
      </w:r>
      <w:r w:rsidR="007E25F9" w:rsidRPr="00A37E4D">
        <w:rPr>
          <w:rFonts w:ascii="Times New Roman" w:hAnsi="Times New Roman" w:cs="Times New Roman"/>
        </w:rPr>
        <w:t>за</w:t>
      </w:r>
      <w:r w:rsidRPr="00A37E4D">
        <w:rPr>
          <w:rFonts w:ascii="Times New Roman" w:hAnsi="Times New Roman" w:cs="Times New Roman"/>
        </w:rPr>
        <w:t xml:space="preserve"> </w:t>
      </w:r>
      <w:r w:rsidR="007E25F9" w:rsidRPr="00A37E4D">
        <w:rPr>
          <w:rFonts w:ascii="Times New Roman" w:hAnsi="Times New Roman" w:cs="Times New Roman"/>
        </w:rPr>
        <w:t>кори</w:t>
      </w:r>
      <w:r w:rsidR="00A37E4D">
        <w:rPr>
          <w:rFonts w:ascii="Times New Roman" w:hAnsi="Times New Roman" w:cs="Times New Roman"/>
          <w:lang w:val="sr-Cyrl-CS"/>
        </w:rPr>
        <w:t>шћ</w:t>
      </w:r>
      <w:r w:rsidR="007E25F9" w:rsidRPr="00A37E4D">
        <w:rPr>
          <w:rFonts w:ascii="Times New Roman" w:hAnsi="Times New Roman" w:cs="Times New Roman"/>
        </w:rPr>
        <w:t>ење</w:t>
      </w:r>
      <w:r w:rsidRPr="00A37E4D">
        <w:rPr>
          <w:rFonts w:ascii="Times New Roman" w:hAnsi="Times New Roman" w:cs="Times New Roman"/>
        </w:rPr>
        <w:t xml:space="preserve"> </w:t>
      </w:r>
      <w:r w:rsidR="007E25F9" w:rsidRPr="00A37E4D">
        <w:rPr>
          <w:rFonts w:ascii="Times New Roman" w:hAnsi="Times New Roman" w:cs="Times New Roman"/>
        </w:rPr>
        <w:t>вода</w:t>
      </w:r>
      <w:r w:rsidRPr="00A37E4D">
        <w:rPr>
          <w:rFonts w:ascii="Times New Roman" w:hAnsi="Times New Roman" w:cs="Times New Roman"/>
        </w:rPr>
        <w:t xml:space="preserve">, </w:t>
      </w:r>
    </w:p>
    <w:p w:rsidR="003E5986" w:rsidRPr="00A37E4D" w:rsidRDefault="003E5986" w:rsidP="003E5986">
      <w:pPr>
        <w:pStyle w:val="Default"/>
        <w:rPr>
          <w:rFonts w:ascii="Times New Roman" w:hAnsi="Times New Roman" w:cs="Times New Roman"/>
        </w:rPr>
      </w:pPr>
      <w:r w:rsidRPr="00A37E4D">
        <w:rPr>
          <w:rFonts w:ascii="Times New Roman" w:hAnsi="Times New Roman" w:cs="Times New Roman"/>
        </w:rPr>
        <w:t xml:space="preserve">2. </w:t>
      </w:r>
      <w:r w:rsidR="007E25F9" w:rsidRPr="00A37E4D">
        <w:rPr>
          <w:rFonts w:ascii="Times New Roman" w:hAnsi="Times New Roman" w:cs="Times New Roman"/>
        </w:rPr>
        <w:t>накнаде</w:t>
      </w:r>
      <w:r w:rsidRPr="00A37E4D">
        <w:rPr>
          <w:rFonts w:ascii="Times New Roman" w:hAnsi="Times New Roman" w:cs="Times New Roman"/>
        </w:rPr>
        <w:t xml:space="preserve"> </w:t>
      </w:r>
      <w:r w:rsidR="007E25F9" w:rsidRPr="00A37E4D">
        <w:rPr>
          <w:rFonts w:ascii="Times New Roman" w:hAnsi="Times New Roman" w:cs="Times New Roman"/>
        </w:rPr>
        <w:t>за</w:t>
      </w:r>
      <w:r w:rsidRPr="00A37E4D">
        <w:rPr>
          <w:rFonts w:ascii="Times New Roman" w:hAnsi="Times New Roman" w:cs="Times New Roman"/>
        </w:rPr>
        <w:t xml:space="preserve"> </w:t>
      </w:r>
      <w:r w:rsidR="007E25F9" w:rsidRPr="00A37E4D">
        <w:rPr>
          <w:rFonts w:ascii="Times New Roman" w:hAnsi="Times New Roman" w:cs="Times New Roman"/>
        </w:rPr>
        <w:t>кори</w:t>
      </w:r>
      <w:r w:rsidR="00A37E4D">
        <w:rPr>
          <w:rFonts w:ascii="Times New Roman" w:hAnsi="Times New Roman" w:cs="Times New Roman"/>
          <w:lang w:val="sr-Cyrl-CS"/>
        </w:rPr>
        <w:t>шћ</w:t>
      </w:r>
      <w:r w:rsidR="007E25F9" w:rsidRPr="00A37E4D">
        <w:rPr>
          <w:rFonts w:ascii="Times New Roman" w:hAnsi="Times New Roman" w:cs="Times New Roman"/>
        </w:rPr>
        <w:t>ење</w:t>
      </w:r>
      <w:r w:rsidR="00A37E4D">
        <w:rPr>
          <w:rFonts w:ascii="Times New Roman" w:hAnsi="Times New Roman" w:cs="Times New Roman"/>
        </w:rPr>
        <w:t xml:space="preserve"> </w:t>
      </w:r>
      <w:r w:rsidR="00A37E4D">
        <w:rPr>
          <w:rFonts w:ascii="Times New Roman" w:hAnsi="Times New Roman" w:cs="Times New Roman"/>
          <w:lang w:val="sr-Cyrl-CS"/>
        </w:rPr>
        <w:t>ш</w:t>
      </w:r>
      <w:r w:rsidR="007E25F9" w:rsidRPr="00A37E4D">
        <w:rPr>
          <w:rFonts w:ascii="Times New Roman" w:hAnsi="Times New Roman" w:cs="Times New Roman"/>
        </w:rPr>
        <w:t>ума</w:t>
      </w:r>
      <w:r w:rsidRPr="00A37E4D">
        <w:rPr>
          <w:rFonts w:ascii="Times New Roman" w:hAnsi="Times New Roman" w:cs="Times New Roman"/>
        </w:rPr>
        <w:t xml:space="preserve">, </w:t>
      </w:r>
    </w:p>
    <w:p w:rsidR="003E5986" w:rsidRPr="00A37E4D" w:rsidRDefault="003E5986" w:rsidP="003E5986">
      <w:pPr>
        <w:pStyle w:val="Default"/>
        <w:rPr>
          <w:rFonts w:ascii="Times New Roman" w:hAnsi="Times New Roman" w:cs="Times New Roman"/>
        </w:rPr>
      </w:pPr>
      <w:r w:rsidRPr="00A37E4D">
        <w:rPr>
          <w:rFonts w:ascii="Times New Roman" w:hAnsi="Times New Roman" w:cs="Times New Roman"/>
        </w:rPr>
        <w:t xml:space="preserve">3. </w:t>
      </w:r>
      <w:r w:rsidR="007E25F9" w:rsidRPr="00A37E4D">
        <w:rPr>
          <w:rFonts w:ascii="Times New Roman" w:hAnsi="Times New Roman" w:cs="Times New Roman"/>
        </w:rPr>
        <w:t>накнаде</w:t>
      </w:r>
      <w:r w:rsidRPr="00A37E4D">
        <w:rPr>
          <w:rFonts w:ascii="Times New Roman" w:hAnsi="Times New Roman" w:cs="Times New Roman"/>
        </w:rPr>
        <w:t xml:space="preserve"> </w:t>
      </w:r>
      <w:r w:rsidR="007E25F9" w:rsidRPr="00A37E4D">
        <w:rPr>
          <w:rFonts w:ascii="Times New Roman" w:hAnsi="Times New Roman" w:cs="Times New Roman"/>
        </w:rPr>
        <w:t>за</w:t>
      </w:r>
      <w:r w:rsidRPr="00A37E4D">
        <w:rPr>
          <w:rFonts w:ascii="Times New Roman" w:hAnsi="Times New Roman" w:cs="Times New Roman"/>
        </w:rPr>
        <w:t xml:space="preserve"> </w:t>
      </w:r>
      <w:r w:rsidR="007E25F9" w:rsidRPr="00A37E4D">
        <w:rPr>
          <w:rFonts w:ascii="Times New Roman" w:hAnsi="Times New Roman" w:cs="Times New Roman"/>
        </w:rPr>
        <w:t>кори</w:t>
      </w:r>
      <w:r w:rsidR="00A37E4D">
        <w:rPr>
          <w:rFonts w:ascii="Times New Roman" w:hAnsi="Times New Roman" w:cs="Times New Roman"/>
          <w:lang w:val="sr-Cyrl-CS"/>
        </w:rPr>
        <w:t>шћ</w:t>
      </w:r>
      <w:r w:rsidR="007E25F9" w:rsidRPr="00A37E4D">
        <w:rPr>
          <w:rFonts w:ascii="Times New Roman" w:hAnsi="Times New Roman" w:cs="Times New Roman"/>
        </w:rPr>
        <w:t>ење</w:t>
      </w:r>
      <w:r w:rsidRPr="00A37E4D">
        <w:rPr>
          <w:rFonts w:ascii="Times New Roman" w:hAnsi="Times New Roman" w:cs="Times New Roman"/>
        </w:rPr>
        <w:t xml:space="preserve"> </w:t>
      </w:r>
      <w:r w:rsidR="007E25F9" w:rsidRPr="00A37E4D">
        <w:rPr>
          <w:rFonts w:ascii="Times New Roman" w:hAnsi="Times New Roman" w:cs="Times New Roman"/>
        </w:rPr>
        <w:t>путева</w:t>
      </w:r>
      <w:r w:rsidRPr="00A37E4D">
        <w:rPr>
          <w:rFonts w:ascii="Times New Roman" w:hAnsi="Times New Roman" w:cs="Times New Roman"/>
        </w:rPr>
        <w:t xml:space="preserve">, </w:t>
      </w:r>
    </w:p>
    <w:p w:rsidR="003E5986" w:rsidRPr="00A37E4D" w:rsidRDefault="003E5986" w:rsidP="003E5986">
      <w:pPr>
        <w:pStyle w:val="Default"/>
        <w:rPr>
          <w:rFonts w:ascii="Times New Roman" w:hAnsi="Times New Roman" w:cs="Times New Roman"/>
        </w:rPr>
      </w:pPr>
      <w:r w:rsidRPr="00A37E4D">
        <w:rPr>
          <w:rFonts w:ascii="Times New Roman" w:hAnsi="Times New Roman" w:cs="Times New Roman"/>
        </w:rPr>
        <w:t xml:space="preserve">4. </w:t>
      </w:r>
      <w:r w:rsidR="007E25F9" w:rsidRPr="00A37E4D">
        <w:rPr>
          <w:rFonts w:ascii="Times New Roman" w:hAnsi="Times New Roman" w:cs="Times New Roman"/>
        </w:rPr>
        <w:t>накнаде</w:t>
      </w:r>
      <w:r w:rsidRPr="00A37E4D">
        <w:rPr>
          <w:rFonts w:ascii="Times New Roman" w:hAnsi="Times New Roman" w:cs="Times New Roman"/>
        </w:rPr>
        <w:t xml:space="preserve"> </w:t>
      </w:r>
      <w:r w:rsidR="007E25F9" w:rsidRPr="00A37E4D">
        <w:rPr>
          <w:rFonts w:ascii="Times New Roman" w:hAnsi="Times New Roman" w:cs="Times New Roman"/>
        </w:rPr>
        <w:t>за</w:t>
      </w:r>
      <w:r w:rsidRPr="00A37E4D">
        <w:rPr>
          <w:rFonts w:ascii="Times New Roman" w:hAnsi="Times New Roman" w:cs="Times New Roman"/>
        </w:rPr>
        <w:t xml:space="preserve"> </w:t>
      </w:r>
      <w:r w:rsidR="007E25F9" w:rsidRPr="00A37E4D">
        <w:rPr>
          <w:rFonts w:ascii="Times New Roman" w:hAnsi="Times New Roman" w:cs="Times New Roman"/>
        </w:rPr>
        <w:t>кори</w:t>
      </w:r>
      <w:r w:rsidR="00A37E4D">
        <w:rPr>
          <w:rFonts w:ascii="Times New Roman" w:hAnsi="Times New Roman" w:cs="Times New Roman"/>
          <w:lang w:val="sr-Cyrl-CS"/>
        </w:rPr>
        <w:t>шћ</w:t>
      </w:r>
      <w:r w:rsidR="007E25F9" w:rsidRPr="00A37E4D">
        <w:rPr>
          <w:rFonts w:ascii="Times New Roman" w:hAnsi="Times New Roman" w:cs="Times New Roman"/>
        </w:rPr>
        <w:t>ење</w:t>
      </w:r>
      <w:r w:rsidRPr="00A37E4D">
        <w:rPr>
          <w:rFonts w:ascii="Times New Roman" w:hAnsi="Times New Roman" w:cs="Times New Roman"/>
        </w:rPr>
        <w:t xml:space="preserve"> </w:t>
      </w:r>
      <w:r w:rsidR="007E25F9" w:rsidRPr="00A37E4D">
        <w:rPr>
          <w:rFonts w:ascii="Times New Roman" w:hAnsi="Times New Roman" w:cs="Times New Roman"/>
        </w:rPr>
        <w:t>земљи</w:t>
      </w:r>
      <w:r w:rsidR="00A37E4D">
        <w:rPr>
          <w:rFonts w:ascii="Times New Roman" w:hAnsi="Times New Roman" w:cs="Times New Roman"/>
          <w:lang w:val="sr-Cyrl-CS"/>
        </w:rPr>
        <w:t>ш</w:t>
      </w:r>
      <w:r w:rsidR="007E25F9" w:rsidRPr="00A37E4D">
        <w:rPr>
          <w:rFonts w:ascii="Times New Roman" w:hAnsi="Times New Roman" w:cs="Times New Roman"/>
        </w:rPr>
        <w:t>та</w:t>
      </w:r>
      <w:r w:rsidRPr="00A37E4D">
        <w:rPr>
          <w:rFonts w:ascii="Times New Roman" w:hAnsi="Times New Roman" w:cs="Times New Roman"/>
        </w:rPr>
        <w:t xml:space="preserve">, </w:t>
      </w:r>
    </w:p>
    <w:p w:rsidR="003E5986" w:rsidRPr="00A37E4D" w:rsidRDefault="003E5986" w:rsidP="003E5986">
      <w:pPr>
        <w:pStyle w:val="Default"/>
        <w:rPr>
          <w:rFonts w:ascii="Times New Roman" w:hAnsi="Times New Roman" w:cs="Times New Roman"/>
        </w:rPr>
      </w:pPr>
      <w:r w:rsidRPr="00A37E4D">
        <w:rPr>
          <w:rFonts w:ascii="Times New Roman" w:hAnsi="Times New Roman" w:cs="Times New Roman"/>
        </w:rPr>
        <w:t xml:space="preserve">5. </w:t>
      </w:r>
      <w:r w:rsidR="007E25F9" w:rsidRPr="00A37E4D">
        <w:rPr>
          <w:rFonts w:ascii="Times New Roman" w:hAnsi="Times New Roman" w:cs="Times New Roman"/>
        </w:rPr>
        <w:t>накнаде</w:t>
      </w:r>
      <w:r w:rsidRPr="00A37E4D">
        <w:rPr>
          <w:rFonts w:ascii="Times New Roman" w:hAnsi="Times New Roman" w:cs="Times New Roman"/>
        </w:rPr>
        <w:t xml:space="preserve"> </w:t>
      </w:r>
      <w:r w:rsidR="007E25F9" w:rsidRPr="00A37E4D">
        <w:rPr>
          <w:rFonts w:ascii="Times New Roman" w:hAnsi="Times New Roman" w:cs="Times New Roman"/>
        </w:rPr>
        <w:t>за</w:t>
      </w:r>
      <w:r w:rsidRPr="00A37E4D">
        <w:rPr>
          <w:rFonts w:ascii="Times New Roman" w:hAnsi="Times New Roman" w:cs="Times New Roman"/>
        </w:rPr>
        <w:t xml:space="preserve"> </w:t>
      </w:r>
      <w:r w:rsidR="007E25F9" w:rsidRPr="00A37E4D">
        <w:rPr>
          <w:rFonts w:ascii="Times New Roman" w:hAnsi="Times New Roman" w:cs="Times New Roman"/>
        </w:rPr>
        <w:t>кори</w:t>
      </w:r>
      <w:r w:rsidR="00A37E4D">
        <w:rPr>
          <w:rFonts w:ascii="Times New Roman" w:hAnsi="Times New Roman" w:cs="Times New Roman"/>
          <w:lang w:val="sr-Cyrl-CS"/>
        </w:rPr>
        <w:t>шћ</w:t>
      </w:r>
      <w:r w:rsidR="007E25F9" w:rsidRPr="00A37E4D">
        <w:rPr>
          <w:rFonts w:ascii="Times New Roman" w:hAnsi="Times New Roman" w:cs="Times New Roman"/>
        </w:rPr>
        <w:t>ење</w:t>
      </w:r>
      <w:r w:rsidRPr="00A37E4D">
        <w:rPr>
          <w:rFonts w:ascii="Times New Roman" w:hAnsi="Times New Roman" w:cs="Times New Roman"/>
        </w:rPr>
        <w:t xml:space="preserve"> </w:t>
      </w:r>
      <w:r w:rsidR="007E25F9" w:rsidRPr="00A37E4D">
        <w:rPr>
          <w:rFonts w:ascii="Times New Roman" w:hAnsi="Times New Roman" w:cs="Times New Roman"/>
        </w:rPr>
        <w:t>природног</w:t>
      </w:r>
      <w:r w:rsidRPr="00A37E4D">
        <w:rPr>
          <w:rFonts w:ascii="Times New Roman" w:hAnsi="Times New Roman" w:cs="Times New Roman"/>
        </w:rPr>
        <w:t xml:space="preserve"> </w:t>
      </w:r>
      <w:r w:rsidR="007E25F9" w:rsidRPr="00A37E4D">
        <w:rPr>
          <w:rFonts w:ascii="Times New Roman" w:hAnsi="Times New Roman" w:cs="Times New Roman"/>
        </w:rPr>
        <w:t>лековитог</w:t>
      </w:r>
      <w:r w:rsidRPr="00A37E4D">
        <w:rPr>
          <w:rFonts w:ascii="Times New Roman" w:hAnsi="Times New Roman" w:cs="Times New Roman"/>
        </w:rPr>
        <w:t xml:space="preserve"> </w:t>
      </w:r>
      <w:r w:rsidR="007E25F9" w:rsidRPr="00A37E4D">
        <w:rPr>
          <w:rFonts w:ascii="Times New Roman" w:hAnsi="Times New Roman" w:cs="Times New Roman"/>
        </w:rPr>
        <w:t>фактора</w:t>
      </w:r>
      <w:r w:rsidRPr="00A37E4D">
        <w:rPr>
          <w:rFonts w:ascii="Times New Roman" w:hAnsi="Times New Roman" w:cs="Times New Roman"/>
        </w:rPr>
        <w:t xml:space="preserve">, </w:t>
      </w:r>
    </w:p>
    <w:p w:rsidR="003E5986" w:rsidRPr="00A37E4D" w:rsidRDefault="003E5986" w:rsidP="003E5986">
      <w:pPr>
        <w:pStyle w:val="Default"/>
        <w:rPr>
          <w:rFonts w:ascii="Times New Roman" w:hAnsi="Times New Roman" w:cs="Times New Roman"/>
        </w:rPr>
      </w:pPr>
      <w:r w:rsidRPr="00A37E4D">
        <w:rPr>
          <w:rFonts w:ascii="Times New Roman" w:hAnsi="Times New Roman" w:cs="Times New Roman"/>
        </w:rPr>
        <w:t xml:space="preserve">6. </w:t>
      </w:r>
      <w:r w:rsidR="007E25F9" w:rsidRPr="00A37E4D">
        <w:rPr>
          <w:rFonts w:ascii="Times New Roman" w:hAnsi="Times New Roman" w:cs="Times New Roman"/>
        </w:rPr>
        <w:t>накнаде</w:t>
      </w:r>
      <w:r w:rsidRPr="00A37E4D">
        <w:rPr>
          <w:rFonts w:ascii="Times New Roman" w:hAnsi="Times New Roman" w:cs="Times New Roman"/>
        </w:rPr>
        <w:t xml:space="preserve"> </w:t>
      </w:r>
      <w:r w:rsidR="007E25F9" w:rsidRPr="00A37E4D">
        <w:rPr>
          <w:rFonts w:ascii="Times New Roman" w:hAnsi="Times New Roman" w:cs="Times New Roman"/>
        </w:rPr>
        <w:t>за</w:t>
      </w:r>
      <w:r w:rsidRPr="00A37E4D">
        <w:rPr>
          <w:rFonts w:ascii="Times New Roman" w:hAnsi="Times New Roman" w:cs="Times New Roman"/>
        </w:rPr>
        <w:t xml:space="preserve"> </w:t>
      </w:r>
      <w:r w:rsidR="007E25F9" w:rsidRPr="00A37E4D">
        <w:rPr>
          <w:rFonts w:ascii="Times New Roman" w:hAnsi="Times New Roman" w:cs="Times New Roman"/>
        </w:rPr>
        <w:t>кори</w:t>
      </w:r>
      <w:r w:rsidR="00A37E4D">
        <w:rPr>
          <w:rFonts w:ascii="Times New Roman" w:hAnsi="Times New Roman" w:cs="Times New Roman"/>
          <w:lang w:val="sr-Cyrl-CS"/>
        </w:rPr>
        <w:t>шћ</w:t>
      </w:r>
      <w:r w:rsidR="007E25F9" w:rsidRPr="00A37E4D">
        <w:rPr>
          <w:rFonts w:ascii="Times New Roman" w:hAnsi="Times New Roman" w:cs="Times New Roman"/>
        </w:rPr>
        <w:t>ење</w:t>
      </w:r>
      <w:r w:rsidRPr="00A37E4D">
        <w:rPr>
          <w:rFonts w:ascii="Times New Roman" w:hAnsi="Times New Roman" w:cs="Times New Roman"/>
        </w:rPr>
        <w:t xml:space="preserve"> </w:t>
      </w:r>
      <w:r w:rsidR="007E25F9" w:rsidRPr="00A37E4D">
        <w:rPr>
          <w:rFonts w:ascii="Times New Roman" w:hAnsi="Times New Roman" w:cs="Times New Roman"/>
        </w:rPr>
        <w:t>рудног</w:t>
      </w:r>
      <w:r w:rsidRPr="00A37E4D">
        <w:rPr>
          <w:rFonts w:ascii="Times New Roman" w:hAnsi="Times New Roman" w:cs="Times New Roman"/>
        </w:rPr>
        <w:t xml:space="preserve"> </w:t>
      </w:r>
      <w:r w:rsidR="007E25F9" w:rsidRPr="00A37E4D">
        <w:rPr>
          <w:rFonts w:ascii="Times New Roman" w:hAnsi="Times New Roman" w:cs="Times New Roman"/>
        </w:rPr>
        <w:t>блага</w:t>
      </w:r>
      <w:r w:rsidRPr="00A37E4D">
        <w:rPr>
          <w:rFonts w:ascii="Times New Roman" w:hAnsi="Times New Roman" w:cs="Times New Roman"/>
        </w:rPr>
        <w:t xml:space="preserve">. </w:t>
      </w:r>
    </w:p>
    <w:p w:rsidR="002127FB" w:rsidRPr="00A37E4D" w:rsidRDefault="00526BB6" w:rsidP="002127FB">
      <w:pPr>
        <w:pStyle w:val="Default"/>
        <w:rPr>
          <w:rFonts w:ascii="Times New Roman" w:hAnsi="Times New Roman" w:cs="Times New Roman"/>
          <w:lang w:val="sr-Cyrl-CS"/>
        </w:rPr>
      </w:pPr>
      <w:r w:rsidRPr="00A37E4D">
        <w:rPr>
          <w:rFonts w:ascii="Times New Roman" w:hAnsi="Times New Roman" w:cs="Times New Roman"/>
        </w:rPr>
        <w:t xml:space="preserve"> </w:t>
      </w:r>
    </w:p>
    <w:p w:rsidR="003E5986" w:rsidRDefault="003E5986" w:rsidP="003E5986">
      <w:pPr>
        <w:pStyle w:val="Default"/>
        <w:rPr>
          <w:rFonts w:ascii="Times New Roman" w:hAnsi="Times New Roman" w:cs="Times New Roman"/>
          <w:lang w:val="sr-Cyrl-CS"/>
        </w:rPr>
      </w:pPr>
      <w:r w:rsidRPr="00A37E4D">
        <w:rPr>
          <w:rFonts w:ascii="Times New Roman" w:hAnsi="Times New Roman" w:cs="Times New Roman"/>
          <w:lang w:val="sr-Cyrl-CS"/>
        </w:rPr>
        <w:t>5.</w:t>
      </w:r>
      <w:r w:rsidR="007E25F9" w:rsidRPr="00A37E4D">
        <w:rPr>
          <w:rFonts w:ascii="Times New Roman" w:hAnsi="Times New Roman" w:cs="Times New Roman"/>
        </w:rPr>
        <w:t>доприноси</w:t>
      </w:r>
      <w:r w:rsidR="00526BB6" w:rsidRPr="00A37E4D">
        <w:rPr>
          <w:rFonts w:ascii="Times New Roman" w:hAnsi="Times New Roman" w:cs="Times New Roman"/>
        </w:rPr>
        <w:t xml:space="preserve"> </w:t>
      </w:r>
    </w:p>
    <w:p w:rsidR="00A37E4D" w:rsidRPr="00A37E4D" w:rsidRDefault="00A37E4D" w:rsidP="003E5986">
      <w:pPr>
        <w:pStyle w:val="Default"/>
        <w:rPr>
          <w:rFonts w:ascii="Times New Roman" w:hAnsi="Times New Roman" w:cs="Times New Roman"/>
          <w:lang w:val="sr-Cyrl-CS"/>
        </w:rPr>
      </w:pPr>
    </w:p>
    <w:p w:rsidR="002127FB" w:rsidRPr="00A37E4D" w:rsidRDefault="003E5986" w:rsidP="003E5986">
      <w:pPr>
        <w:pStyle w:val="Default"/>
        <w:rPr>
          <w:rFonts w:ascii="Times New Roman" w:hAnsi="Times New Roman" w:cs="Times New Roman"/>
          <w:lang w:val="sr-Cyrl-CS"/>
        </w:rPr>
      </w:pPr>
      <w:r w:rsidRPr="00A37E4D">
        <w:rPr>
          <w:rFonts w:ascii="Times New Roman" w:hAnsi="Times New Roman" w:cs="Times New Roman"/>
          <w:lang w:val="sr-Cyrl-CS"/>
        </w:rPr>
        <w:t xml:space="preserve">-доприноси </w:t>
      </w:r>
      <w:r w:rsidR="007E25F9" w:rsidRPr="00A37E4D">
        <w:rPr>
          <w:rFonts w:ascii="Times New Roman" w:hAnsi="Times New Roman" w:cs="Times New Roman"/>
        </w:rPr>
        <w:t>за</w:t>
      </w:r>
      <w:r w:rsidR="00526BB6" w:rsidRPr="00A37E4D">
        <w:rPr>
          <w:rFonts w:ascii="Times New Roman" w:hAnsi="Times New Roman" w:cs="Times New Roman"/>
        </w:rPr>
        <w:t xml:space="preserve"> </w:t>
      </w:r>
      <w:r w:rsidR="007E25F9" w:rsidRPr="00A37E4D">
        <w:rPr>
          <w:rFonts w:ascii="Times New Roman" w:hAnsi="Times New Roman" w:cs="Times New Roman"/>
        </w:rPr>
        <w:t>финансирање</w:t>
      </w:r>
      <w:r w:rsidR="00526BB6" w:rsidRPr="00A37E4D">
        <w:rPr>
          <w:rFonts w:ascii="Times New Roman" w:hAnsi="Times New Roman" w:cs="Times New Roman"/>
        </w:rPr>
        <w:t xml:space="preserve"> </w:t>
      </w:r>
      <w:r w:rsidR="007E25F9" w:rsidRPr="00A37E4D">
        <w:rPr>
          <w:rFonts w:ascii="Times New Roman" w:hAnsi="Times New Roman" w:cs="Times New Roman"/>
        </w:rPr>
        <w:t>обавезног</w:t>
      </w:r>
      <w:r w:rsidR="00526BB6" w:rsidRPr="00A37E4D">
        <w:rPr>
          <w:rFonts w:ascii="Times New Roman" w:hAnsi="Times New Roman" w:cs="Times New Roman"/>
        </w:rPr>
        <w:t xml:space="preserve"> </w:t>
      </w:r>
      <w:r w:rsidR="007E25F9" w:rsidRPr="00A37E4D">
        <w:rPr>
          <w:rFonts w:ascii="Times New Roman" w:hAnsi="Times New Roman" w:cs="Times New Roman"/>
        </w:rPr>
        <w:t>социјалног</w:t>
      </w:r>
      <w:r w:rsidR="00526BB6" w:rsidRPr="00A37E4D">
        <w:rPr>
          <w:rFonts w:ascii="Times New Roman" w:hAnsi="Times New Roman" w:cs="Times New Roman"/>
        </w:rPr>
        <w:t xml:space="preserve"> </w:t>
      </w:r>
      <w:r w:rsidR="007E25F9" w:rsidRPr="00A37E4D">
        <w:rPr>
          <w:rFonts w:ascii="Times New Roman" w:hAnsi="Times New Roman" w:cs="Times New Roman"/>
        </w:rPr>
        <w:t>осигурања</w:t>
      </w:r>
      <w:r w:rsidR="00A37E4D">
        <w:rPr>
          <w:rFonts w:ascii="Times New Roman" w:hAnsi="Times New Roman" w:cs="Times New Roman"/>
          <w:lang w:val="sr-Cyrl-CS"/>
        </w:rPr>
        <w:t>,</w:t>
      </w:r>
    </w:p>
    <w:p w:rsidR="00526BB6" w:rsidRPr="00A37E4D" w:rsidRDefault="002127FB" w:rsidP="00526BB6">
      <w:pPr>
        <w:pStyle w:val="Default"/>
        <w:rPr>
          <w:rFonts w:ascii="Times New Roman" w:hAnsi="Times New Roman" w:cs="Times New Roman"/>
          <w:lang w:val="sr-Cyrl-CS"/>
        </w:rPr>
      </w:pPr>
      <w:r w:rsidRPr="00A37E4D">
        <w:rPr>
          <w:rFonts w:ascii="Times New Roman" w:hAnsi="Times New Roman" w:cs="Times New Roman"/>
          <w:lang w:val="sr-Cyrl-CS"/>
        </w:rPr>
        <w:t>-допринос за пензијско и инвалидско осигурање</w:t>
      </w:r>
      <w:r w:rsidR="00526BB6" w:rsidRPr="00A37E4D">
        <w:rPr>
          <w:rFonts w:ascii="Times New Roman" w:hAnsi="Times New Roman" w:cs="Times New Roman"/>
        </w:rPr>
        <w:t xml:space="preserve">, </w:t>
      </w:r>
    </w:p>
    <w:p w:rsidR="002127FB" w:rsidRPr="00A37E4D" w:rsidRDefault="002127FB" w:rsidP="00526BB6">
      <w:pPr>
        <w:pStyle w:val="Default"/>
        <w:rPr>
          <w:rFonts w:ascii="Times New Roman" w:hAnsi="Times New Roman" w:cs="Times New Roman"/>
          <w:lang w:val="sr-Cyrl-CS"/>
        </w:rPr>
      </w:pPr>
      <w:r w:rsidRPr="00A37E4D">
        <w:rPr>
          <w:rFonts w:ascii="Times New Roman" w:hAnsi="Times New Roman" w:cs="Times New Roman"/>
          <w:lang w:val="sr-Cyrl-CS"/>
        </w:rPr>
        <w:t>-допринос за здравствено осигурање и</w:t>
      </w:r>
    </w:p>
    <w:p w:rsidR="002127FB" w:rsidRPr="00A37E4D" w:rsidRDefault="002127FB" w:rsidP="00526BB6">
      <w:pPr>
        <w:pStyle w:val="Default"/>
        <w:rPr>
          <w:rFonts w:ascii="Times New Roman" w:hAnsi="Times New Roman" w:cs="Times New Roman"/>
          <w:lang w:val="sr-Cyrl-CS"/>
        </w:rPr>
      </w:pPr>
      <w:r w:rsidRPr="00A37E4D">
        <w:rPr>
          <w:rFonts w:ascii="Times New Roman" w:hAnsi="Times New Roman" w:cs="Times New Roman"/>
          <w:lang w:val="sr-Cyrl-CS"/>
        </w:rPr>
        <w:t>-допринос за осигурање за случај незапослености,</w:t>
      </w:r>
    </w:p>
    <w:p w:rsidR="002127FB" w:rsidRPr="00A37E4D" w:rsidRDefault="002127FB" w:rsidP="00526BB6">
      <w:pPr>
        <w:pStyle w:val="Default"/>
        <w:rPr>
          <w:rFonts w:ascii="Times New Roman" w:hAnsi="Times New Roman" w:cs="Times New Roman"/>
          <w:lang w:val="sr-Cyrl-CS"/>
        </w:rPr>
      </w:pPr>
    </w:p>
    <w:p w:rsidR="002127FB" w:rsidRDefault="007E25F9" w:rsidP="008A3795">
      <w:pPr>
        <w:pStyle w:val="Default"/>
        <w:numPr>
          <w:ilvl w:val="0"/>
          <w:numId w:val="61"/>
        </w:numPr>
        <w:rPr>
          <w:rFonts w:ascii="Times New Roman" w:hAnsi="Times New Roman" w:cs="Times New Roman"/>
          <w:lang w:val="sr-Cyrl-CS"/>
        </w:rPr>
      </w:pPr>
      <w:r w:rsidRPr="00A37E4D">
        <w:rPr>
          <w:rFonts w:ascii="Times New Roman" w:hAnsi="Times New Roman" w:cs="Times New Roman"/>
        </w:rPr>
        <w:t>локални</w:t>
      </w:r>
      <w:r w:rsidR="00526BB6" w:rsidRPr="00A37E4D">
        <w:rPr>
          <w:rFonts w:ascii="Times New Roman" w:hAnsi="Times New Roman" w:cs="Times New Roman"/>
        </w:rPr>
        <w:t xml:space="preserve"> </w:t>
      </w:r>
      <w:r w:rsidRPr="00A37E4D">
        <w:rPr>
          <w:rFonts w:ascii="Times New Roman" w:hAnsi="Times New Roman" w:cs="Times New Roman"/>
        </w:rPr>
        <w:t>јавни</w:t>
      </w:r>
      <w:r w:rsidR="00526BB6" w:rsidRPr="00A37E4D">
        <w:rPr>
          <w:rFonts w:ascii="Times New Roman" w:hAnsi="Times New Roman" w:cs="Times New Roman"/>
        </w:rPr>
        <w:t xml:space="preserve"> </w:t>
      </w:r>
      <w:r w:rsidRPr="00A37E4D">
        <w:rPr>
          <w:rFonts w:ascii="Times New Roman" w:hAnsi="Times New Roman" w:cs="Times New Roman"/>
        </w:rPr>
        <w:t>приходи</w:t>
      </w:r>
      <w:r w:rsidR="00F573AC" w:rsidRPr="00A37E4D">
        <w:rPr>
          <w:rFonts w:ascii="Times New Roman" w:hAnsi="Times New Roman" w:cs="Times New Roman"/>
          <w:lang w:val="sr-Cyrl-CS"/>
        </w:rPr>
        <w:t>,</w:t>
      </w:r>
    </w:p>
    <w:p w:rsidR="00A37E4D" w:rsidRPr="00A37E4D" w:rsidRDefault="00A37E4D" w:rsidP="00A37E4D">
      <w:pPr>
        <w:pStyle w:val="Default"/>
        <w:ind w:left="540"/>
        <w:rPr>
          <w:rFonts w:ascii="Times New Roman" w:hAnsi="Times New Roman" w:cs="Times New Roman"/>
          <w:lang w:val="sr-Cyrl-CS"/>
        </w:rPr>
      </w:pPr>
    </w:p>
    <w:p w:rsidR="002127FB" w:rsidRDefault="007E25F9" w:rsidP="008A3795">
      <w:pPr>
        <w:pStyle w:val="Default"/>
        <w:numPr>
          <w:ilvl w:val="0"/>
          <w:numId w:val="61"/>
        </w:numPr>
        <w:rPr>
          <w:rFonts w:ascii="Times New Roman" w:hAnsi="Times New Roman" w:cs="Times New Roman"/>
          <w:lang w:val="sr-Cyrl-CS"/>
        </w:rPr>
      </w:pPr>
      <w:r w:rsidRPr="00A37E4D">
        <w:rPr>
          <w:rFonts w:ascii="Times New Roman" w:hAnsi="Times New Roman" w:cs="Times New Roman"/>
        </w:rPr>
        <w:t>остали</w:t>
      </w:r>
      <w:r w:rsidR="002127FB" w:rsidRPr="00A37E4D">
        <w:rPr>
          <w:rFonts w:ascii="Times New Roman" w:hAnsi="Times New Roman" w:cs="Times New Roman"/>
        </w:rPr>
        <w:t xml:space="preserve"> </w:t>
      </w:r>
      <w:r w:rsidRPr="00A37E4D">
        <w:rPr>
          <w:rFonts w:ascii="Times New Roman" w:hAnsi="Times New Roman" w:cs="Times New Roman"/>
        </w:rPr>
        <w:t>јавни</w:t>
      </w:r>
      <w:r w:rsidR="002127FB" w:rsidRPr="00A37E4D">
        <w:rPr>
          <w:rFonts w:ascii="Times New Roman" w:hAnsi="Times New Roman" w:cs="Times New Roman"/>
        </w:rPr>
        <w:t xml:space="preserve"> </w:t>
      </w:r>
      <w:r w:rsidRPr="00A37E4D">
        <w:rPr>
          <w:rFonts w:ascii="Times New Roman" w:hAnsi="Times New Roman" w:cs="Times New Roman"/>
        </w:rPr>
        <w:t>приходи</w:t>
      </w:r>
    </w:p>
    <w:p w:rsidR="00A37E4D" w:rsidRPr="00A37E4D" w:rsidRDefault="00A37E4D" w:rsidP="00A37E4D">
      <w:pPr>
        <w:pStyle w:val="Default"/>
        <w:rPr>
          <w:rFonts w:ascii="Times New Roman" w:hAnsi="Times New Roman" w:cs="Times New Roman"/>
          <w:lang w:val="sr-Cyrl-CS"/>
        </w:rPr>
      </w:pPr>
    </w:p>
    <w:p w:rsidR="002127FB" w:rsidRPr="00A37E4D" w:rsidRDefault="002127FB" w:rsidP="00526BB6">
      <w:pPr>
        <w:pStyle w:val="Default"/>
        <w:rPr>
          <w:rFonts w:ascii="Times New Roman" w:hAnsi="Times New Roman" w:cs="Times New Roman"/>
          <w:lang w:val="sr-Cyrl-CS"/>
        </w:rPr>
      </w:pPr>
      <w:r w:rsidRPr="00A37E4D">
        <w:rPr>
          <w:rFonts w:ascii="Times New Roman" w:hAnsi="Times New Roman" w:cs="Times New Roman"/>
          <w:lang w:val="sr-Cyrl-CS"/>
        </w:rPr>
        <w:t>-новчане казне изречене у кривичном, прекршајном и другом поступку који се води пред државним органом,</w:t>
      </w:r>
    </w:p>
    <w:p w:rsidR="002127FB" w:rsidRPr="00A37E4D" w:rsidRDefault="002127FB" w:rsidP="00526BB6">
      <w:pPr>
        <w:pStyle w:val="Default"/>
        <w:rPr>
          <w:rFonts w:ascii="Times New Roman" w:hAnsi="Times New Roman" w:cs="Times New Roman"/>
          <w:lang w:val="sr-Cyrl-CS"/>
        </w:rPr>
      </w:pPr>
      <w:r w:rsidRPr="00A37E4D">
        <w:rPr>
          <w:rFonts w:ascii="Times New Roman" w:hAnsi="Times New Roman" w:cs="Times New Roman"/>
          <w:lang w:val="sr-Cyrl-CS"/>
        </w:rPr>
        <w:t>-одузета имовинска корист и средства добијена продајом предмета у овим поступцима,</w:t>
      </w:r>
    </w:p>
    <w:p w:rsidR="002127FB" w:rsidRPr="00A37E4D" w:rsidRDefault="00A37E4D" w:rsidP="00526BB6">
      <w:pPr>
        <w:pStyle w:val="Default"/>
        <w:rPr>
          <w:rFonts w:ascii="Times New Roman" w:hAnsi="Times New Roman" w:cs="Times New Roman"/>
          <w:lang w:val="sr-Cyrl-CS"/>
        </w:rPr>
      </w:pPr>
      <w:r>
        <w:rPr>
          <w:rFonts w:ascii="Times New Roman" w:hAnsi="Times New Roman" w:cs="Times New Roman"/>
          <w:lang w:val="sr-Cyrl-CS"/>
        </w:rPr>
        <w:t>-приходи</w:t>
      </w:r>
      <w:r w:rsidR="002127FB" w:rsidRPr="00A37E4D">
        <w:rPr>
          <w:rFonts w:ascii="Times New Roman" w:hAnsi="Times New Roman" w:cs="Times New Roman"/>
          <w:lang w:val="sr-Cyrl-CS"/>
        </w:rPr>
        <w:t xml:space="preserve"> од к</w:t>
      </w:r>
      <w:r>
        <w:rPr>
          <w:rFonts w:ascii="Times New Roman" w:hAnsi="Times New Roman" w:cs="Times New Roman"/>
          <w:lang w:val="sr-Cyrl-CS"/>
        </w:rPr>
        <w:t>о</w:t>
      </w:r>
      <w:r w:rsidR="002127FB" w:rsidRPr="00A37E4D">
        <w:rPr>
          <w:rFonts w:ascii="Times New Roman" w:hAnsi="Times New Roman" w:cs="Times New Roman"/>
          <w:lang w:val="sr-Cyrl-CS"/>
        </w:rPr>
        <w:t>нцесионе накнаде,</w:t>
      </w:r>
    </w:p>
    <w:p w:rsidR="002127FB" w:rsidRPr="00A37E4D" w:rsidRDefault="00A37E4D" w:rsidP="00526BB6">
      <w:pPr>
        <w:pStyle w:val="Default"/>
        <w:rPr>
          <w:rFonts w:ascii="Times New Roman" w:hAnsi="Times New Roman" w:cs="Times New Roman"/>
          <w:lang w:val="sr-Cyrl-CS"/>
        </w:rPr>
      </w:pPr>
      <w:r>
        <w:rPr>
          <w:rFonts w:ascii="Times New Roman" w:hAnsi="Times New Roman" w:cs="Times New Roman"/>
          <w:lang w:val="sr-Cyrl-CS"/>
        </w:rPr>
        <w:t>-приходи остварени</w:t>
      </w:r>
      <w:r w:rsidR="002127FB" w:rsidRPr="00A37E4D">
        <w:rPr>
          <w:rFonts w:ascii="Times New Roman" w:hAnsi="Times New Roman" w:cs="Times New Roman"/>
          <w:lang w:val="sr-Cyrl-CS"/>
        </w:rPr>
        <w:t xml:space="preserve"> као резултат спровођења поступка својинске трансформације предузећа и</w:t>
      </w:r>
    </w:p>
    <w:p w:rsidR="002127FB" w:rsidRPr="00A37E4D" w:rsidRDefault="00A37E4D" w:rsidP="00526BB6">
      <w:pPr>
        <w:pStyle w:val="Default"/>
        <w:rPr>
          <w:rFonts w:ascii="Times New Roman" w:hAnsi="Times New Roman" w:cs="Times New Roman"/>
          <w:lang w:val="sr-Cyrl-CS"/>
        </w:rPr>
      </w:pPr>
      <w:r>
        <w:rPr>
          <w:rFonts w:ascii="Times New Roman" w:hAnsi="Times New Roman" w:cs="Times New Roman"/>
          <w:lang w:val="sr-Cyrl-CS"/>
        </w:rPr>
        <w:t>-приходи</w:t>
      </w:r>
      <w:r w:rsidR="002127FB" w:rsidRPr="00A37E4D">
        <w:rPr>
          <w:rFonts w:ascii="Times New Roman" w:hAnsi="Times New Roman" w:cs="Times New Roman"/>
          <w:lang w:val="sr-Cyrl-CS"/>
        </w:rPr>
        <w:t xml:space="preserve"> од донација.</w:t>
      </w:r>
      <w:r>
        <w:rPr>
          <w:rFonts w:ascii="Times New Roman" w:hAnsi="Times New Roman" w:cs="Times New Roman"/>
          <w:lang w:val="sr-Cyrl-CS"/>
        </w:rPr>
        <w:t xml:space="preserve"> </w:t>
      </w:r>
    </w:p>
    <w:p w:rsidR="00526BB6" w:rsidRPr="0003409C" w:rsidRDefault="00526BB6" w:rsidP="00526BB6">
      <w:pPr>
        <w:pStyle w:val="Default"/>
        <w:rPr>
          <w:rFonts w:ascii="Times New Roman" w:hAnsi="Times New Roman" w:cs="Times New Roman"/>
          <w:lang w:val="sr-Cyrl-CS"/>
        </w:rPr>
      </w:pPr>
      <w:r w:rsidRPr="00A37E4D">
        <w:rPr>
          <w:rFonts w:ascii="Times New Roman" w:hAnsi="Times New Roman" w:cs="Times New Roman"/>
        </w:rPr>
        <w:t xml:space="preserve"> </w:t>
      </w:r>
    </w:p>
    <w:p w:rsidR="00806D97" w:rsidRPr="00806D97" w:rsidRDefault="001D0BD6" w:rsidP="0093628E">
      <w:pPr>
        <w:pStyle w:val="ListParagraph"/>
        <w:ind w:left="0" w:firstLine="708"/>
        <w:jc w:val="both"/>
        <w:rPr>
          <w:rFonts w:ascii="Times New Roman" w:hAnsi="Times New Roman"/>
          <w:sz w:val="24"/>
          <w:szCs w:val="24"/>
          <w:lang w:val="sr-Cyrl-CS"/>
        </w:rPr>
      </w:pPr>
      <w:r>
        <w:rPr>
          <w:rFonts w:ascii="Times New Roman" w:hAnsi="Times New Roman"/>
          <w:sz w:val="24"/>
          <w:szCs w:val="24"/>
          <w:lang w:val="sr-Cyrl-CS"/>
        </w:rPr>
        <w:t xml:space="preserve">Током 2004. године донет је </w:t>
      </w:r>
      <w:r w:rsidR="007E25F9">
        <w:rPr>
          <w:rFonts w:ascii="Times New Roman" w:hAnsi="Times New Roman"/>
          <w:sz w:val="24"/>
          <w:szCs w:val="24"/>
          <w:lang w:val="sr-Cyrl-CS"/>
        </w:rPr>
        <w:t>Закон</w:t>
      </w:r>
      <w:r w:rsidR="00806D97" w:rsidRPr="00806D97">
        <w:rPr>
          <w:rFonts w:ascii="Times New Roman" w:hAnsi="Times New Roman"/>
          <w:sz w:val="24"/>
          <w:szCs w:val="24"/>
          <w:lang w:val="sr-Cyrl-CS"/>
        </w:rPr>
        <w:t xml:space="preserve"> </w:t>
      </w:r>
      <w:r w:rsidR="007E25F9">
        <w:rPr>
          <w:rFonts w:ascii="Times New Roman" w:hAnsi="Times New Roman"/>
          <w:sz w:val="24"/>
          <w:szCs w:val="24"/>
          <w:lang w:val="sr-Cyrl-CS"/>
        </w:rPr>
        <w:t>о</w:t>
      </w:r>
      <w:r w:rsidR="00806D97" w:rsidRPr="00806D97">
        <w:rPr>
          <w:rFonts w:ascii="Times New Roman" w:hAnsi="Times New Roman"/>
          <w:sz w:val="24"/>
          <w:szCs w:val="24"/>
          <w:lang w:val="sr-Cyrl-CS"/>
        </w:rPr>
        <w:t xml:space="preserve"> </w:t>
      </w:r>
      <w:r w:rsidR="007E25F9">
        <w:rPr>
          <w:rFonts w:ascii="Times New Roman" w:hAnsi="Times New Roman"/>
          <w:sz w:val="24"/>
          <w:szCs w:val="24"/>
          <w:lang w:val="sr-Cyrl-CS"/>
        </w:rPr>
        <w:t>порезу</w:t>
      </w:r>
      <w:r w:rsidR="00806D97" w:rsidRPr="00806D97">
        <w:rPr>
          <w:rFonts w:ascii="Times New Roman" w:hAnsi="Times New Roman"/>
          <w:sz w:val="24"/>
          <w:szCs w:val="24"/>
          <w:lang w:val="sr-Cyrl-CS"/>
        </w:rPr>
        <w:t xml:space="preserve"> </w:t>
      </w:r>
      <w:r w:rsidR="007E25F9">
        <w:rPr>
          <w:rFonts w:ascii="Times New Roman" w:hAnsi="Times New Roman"/>
          <w:sz w:val="24"/>
          <w:szCs w:val="24"/>
          <w:lang w:val="sr-Cyrl-CS"/>
        </w:rPr>
        <w:t>на</w:t>
      </w:r>
      <w:r w:rsidR="00806D97" w:rsidRPr="00806D97">
        <w:rPr>
          <w:rFonts w:ascii="Times New Roman" w:hAnsi="Times New Roman"/>
          <w:sz w:val="24"/>
          <w:szCs w:val="24"/>
          <w:lang w:val="sr-Cyrl-CS"/>
        </w:rPr>
        <w:t xml:space="preserve"> </w:t>
      </w:r>
      <w:r w:rsidR="007E25F9">
        <w:rPr>
          <w:rFonts w:ascii="Times New Roman" w:hAnsi="Times New Roman"/>
          <w:sz w:val="24"/>
          <w:szCs w:val="24"/>
          <w:lang w:val="sr-Cyrl-CS"/>
        </w:rPr>
        <w:t>додату</w:t>
      </w:r>
      <w:r w:rsidR="00806D97" w:rsidRPr="00806D97">
        <w:rPr>
          <w:rFonts w:ascii="Times New Roman" w:hAnsi="Times New Roman"/>
          <w:sz w:val="24"/>
          <w:szCs w:val="24"/>
          <w:lang w:val="sr-Cyrl-CS"/>
        </w:rPr>
        <w:t xml:space="preserve"> </w:t>
      </w:r>
      <w:r w:rsidR="007E25F9">
        <w:rPr>
          <w:rFonts w:ascii="Times New Roman" w:hAnsi="Times New Roman"/>
          <w:sz w:val="24"/>
          <w:szCs w:val="24"/>
          <w:lang w:val="sr-Cyrl-CS"/>
        </w:rPr>
        <w:t>вредност</w:t>
      </w:r>
      <w:r w:rsidR="00806D97">
        <w:rPr>
          <w:rStyle w:val="FootnoteReference"/>
          <w:rFonts w:ascii="Times New Roman" w:hAnsi="Times New Roman"/>
          <w:sz w:val="24"/>
          <w:szCs w:val="24"/>
          <w:lang w:val="sr-Cyrl-CS"/>
        </w:rPr>
        <w:footnoteReference w:id="193"/>
      </w:r>
      <w:r>
        <w:rPr>
          <w:rFonts w:ascii="Times New Roman" w:hAnsi="Times New Roman"/>
          <w:sz w:val="24"/>
          <w:szCs w:val="24"/>
          <w:lang w:val="sr-Cyrl-CS"/>
        </w:rPr>
        <w:t xml:space="preserve">, </w:t>
      </w:r>
      <w:r w:rsidR="00806D97" w:rsidRPr="00806D97">
        <w:rPr>
          <w:rFonts w:ascii="Times New Roman" w:hAnsi="Times New Roman"/>
          <w:sz w:val="24"/>
          <w:szCs w:val="24"/>
          <w:lang w:val="sr-Cyrl-CS"/>
        </w:rPr>
        <w:t xml:space="preserve"> </w:t>
      </w:r>
      <w:r w:rsidR="007E25F9">
        <w:rPr>
          <w:rFonts w:ascii="Times New Roman" w:hAnsi="Times New Roman"/>
          <w:sz w:val="24"/>
          <w:szCs w:val="24"/>
          <w:lang w:val="sr-Cyrl-CS"/>
        </w:rPr>
        <w:t>који</w:t>
      </w:r>
      <w:r w:rsidR="00806D97" w:rsidRPr="00806D97">
        <w:rPr>
          <w:rFonts w:ascii="Times New Roman" w:hAnsi="Times New Roman"/>
          <w:sz w:val="24"/>
          <w:szCs w:val="24"/>
          <w:lang w:val="sr-Cyrl-CS"/>
        </w:rPr>
        <w:t xml:space="preserve"> </w:t>
      </w:r>
      <w:r w:rsidR="007E25F9">
        <w:rPr>
          <w:rFonts w:ascii="Times New Roman" w:hAnsi="Times New Roman"/>
          <w:sz w:val="24"/>
          <w:szCs w:val="24"/>
          <w:lang w:val="sr-Cyrl-CS"/>
        </w:rPr>
        <w:t>је</w:t>
      </w:r>
      <w:r w:rsidR="00806D97" w:rsidRPr="00806D97">
        <w:rPr>
          <w:rFonts w:ascii="Times New Roman" w:hAnsi="Times New Roman"/>
          <w:sz w:val="24"/>
          <w:szCs w:val="24"/>
          <w:lang w:val="sr-Cyrl-CS"/>
        </w:rPr>
        <w:t xml:space="preserve"> </w:t>
      </w:r>
      <w:r w:rsidR="007E25F9">
        <w:rPr>
          <w:rFonts w:ascii="Times New Roman" w:hAnsi="Times New Roman"/>
          <w:sz w:val="24"/>
          <w:szCs w:val="24"/>
          <w:lang w:val="sr-Cyrl-CS"/>
        </w:rPr>
        <w:t>ступио</w:t>
      </w:r>
      <w:r w:rsidR="00806D97" w:rsidRPr="00806D97">
        <w:rPr>
          <w:rFonts w:ascii="Times New Roman" w:hAnsi="Times New Roman"/>
          <w:sz w:val="24"/>
          <w:szCs w:val="24"/>
          <w:lang w:val="sr-Cyrl-CS"/>
        </w:rPr>
        <w:t xml:space="preserve"> </w:t>
      </w:r>
      <w:r w:rsidR="007E25F9">
        <w:rPr>
          <w:rFonts w:ascii="Times New Roman" w:hAnsi="Times New Roman"/>
          <w:sz w:val="24"/>
          <w:szCs w:val="24"/>
          <w:lang w:val="sr-Cyrl-CS"/>
        </w:rPr>
        <w:t>на</w:t>
      </w:r>
      <w:r w:rsidR="00806D97" w:rsidRPr="00806D97">
        <w:rPr>
          <w:rFonts w:ascii="Times New Roman" w:hAnsi="Times New Roman"/>
          <w:sz w:val="24"/>
          <w:szCs w:val="24"/>
          <w:lang w:val="sr-Cyrl-CS"/>
        </w:rPr>
        <w:t xml:space="preserve"> </w:t>
      </w:r>
      <w:r w:rsidR="007E25F9">
        <w:rPr>
          <w:rFonts w:ascii="Times New Roman" w:hAnsi="Times New Roman"/>
          <w:sz w:val="24"/>
          <w:szCs w:val="24"/>
          <w:lang w:val="sr-Cyrl-CS"/>
        </w:rPr>
        <w:t>снагу</w:t>
      </w:r>
      <w:r w:rsidR="00806D97" w:rsidRPr="00806D97">
        <w:rPr>
          <w:rFonts w:ascii="Times New Roman" w:hAnsi="Times New Roman"/>
          <w:sz w:val="24"/>
          <w:szCs w:val="24"/>
          <w:lang w:val="sr-Cyrl-CS"/>
        </w:rPr>
        <w:t xml:space="preserve"> 1. </w:t>
      </w:r>
      <w:r w:rsidR="007E25F9">
        <w:rPr>
          <w:rFonts w:ascii="Times New Roman" w:hAnsi="Times New Roman"/>
          <w:sz w:val="24"/>
          <w:szCs w:val="24"/>
          <w:lang w:val="sr-Cyrl-CS"/>
        </w:rPr>
        <w:t>јануара</w:t>
      </w:r>
      <w:r w:rsidR="00806D97" w:rsidRPr="00806D97">
        <w:rPr>
          <w:rFonts w:ascii="Times New Roman" w:hAnsi="Times New Roman"/>
          <w:sz w:val="24"/>
          <w:szCs w:val="24"/>
          <w:lang w:val="sr-Cyrl-CS"/>
        </w:rPr>
        <w:t xml:space="preserve"> 2005. </w:t>
      </w:r>
      <w:r w:rsidR="007E25F9">
        <w:rPr>
          <w:rFonts w:ascii="Times New Roman" w:hAnsi="Times New Roman"/>
          <w:sz w:val="24"/>
          <w:szCs w:val="24"/>
          <w:lang w:val="sr-Cyrl-CS"/>
        </w:rPr>
        <w:t>године</w:t>
      </w:r>
      <w:r w:rsidR="00806D97" w:rsidRPr="00806D97">
        <w:rPr>
          <w:rFonts w:ascii="Times New Roman" w:hAnsi="Times New Roman"/>
          <w:sz w:val="24"/>
          <w:szCs w:val="24"/>
          <w:lang w:val="sr-Cyrl-CS"/>
        </w:rPr>
        <w:t>.</w:t>
      </w:r>
      <w:r w:rsidR="00AB5758">
        <w:rPr>
          <w:rFonts w:ascii="Times New Roman" w:hAnsi="Times New Roman"/>
          <w:sz w:val="24"/>
          <w:szCs w:val="24"/>
          <w:lang w:val="sr-Cyrl-CS"/>
        </w:rPr>
        <w:t xml:space="preserve"> Увођење пореза на додату вредност у наш правни систем предста</w:t>
      </w:r>
      <w:r w:rsidR="005576FB">
        <w:rPr>
          <w:rFonts w:ascii="Times New Roman" w:hAnsi="Times New Roman"/>
          <w:sz w:val="24"/>
          <w:szCs w:val="24"/>
          <w:lang w:val="sr-Cyrl-CS"/>
        </w:rPr>
        <w:t>в</w:t>
      </w:r>
      <w:r w:rsidR="00AB5758">
        <w:rPr>
          <w:rFonts w:ascii="Times New Roman" w:hAnsi="Times New Roman"/>
          <w:sz w:val="24"/>
          <w:szCs w:val="24"/>
          <w:lang w:val="sr-Cyrl-CS"/>
        </w:rPr>
        <w:t xml:space="preserve">љало је корениту промену у пореском систему и битан корак у правцу усклађивања нашег пореског права са пореским правом ЕУ. Решења која садржи </w:t>
      </w:r>
      <w:r>
        <w:rPr>
          <w:rFonts w:ascii="Times New Roman" w:hAnsi="Times New Roman"/>
          <w:sz w:val="24"/>
          <w:szCs w:val="24"/>
          <w:lang w:val="sr-Cyrl-CS"/>
        </w:rPr>
        <w:t>Закон о порезу на додату вреднос</w:t>
      </w:r>
      <w:r w:rsidR="00AB5758">
        <w:rPr>
          <w:rFonts w:ascii="Times New Roman" w:hAnsi="Times New Roman"/>
          <w:sz w:val="24"/>
          <w:szCs w:val="24"/>
          <w:lang w:val="sr-Cyrl-CS"/>
        </w:rPr>
        <w:t>т су по узору на директиве ЕУ.</w:t>
      </w:r>
      <w:r w:rsidR="0093628E">
        <w:rPr>
          <w:rFonts w:ascii="Times New Roman" w:hAnsi="Times New Roman"/>
          <w:sz w:val="24"/>
          <w:szCs w:val="24"/>
          <w:lang w:val="sr-Cyrl-CS"/>
        </w:rPr>
        <w:t xml:space="preserve"> </w:t>
      </w:r>
    </w:p>
    <w:p w:rsidR="00F573AC" w:rsidRPr="0093628E" w:rsidRDefault="007E25F9" w:rsidP="005576FB">
      <w:pPr>
        <w:pStyle w:val="Default"/>
        <w:ind w:firstLine="708"/>
        <w:jc w:val="both"/>
        <w:rPr>
          <w:rFonts w:ascii="Times New Roman" w:hAnsi="Times New Roman" w:cs="Times New Roman"/>
        </w:rPr>
      </w:pPr>
      <w:r w:rsidRPr="0093628E">
        <w:rPr>
          <w:rFonts w:ascii="Times New Roman" w:hAnsi="Times New Roman" w:cs="Times New Roman"/>
        </w:rPr>
        <w:t>У</w:t>
      </w:r>
      <w:r w:rsidR="00C25583" w:rsidRPr="0093628E">
        <w:rPr>
          <w:rFonts w:ascii="Times New Roman" w:hAnsi="Times New Roman" w:cs="Times New Roman"/>
        </w:rPr>
        <w:t xml:space="preserve"> </w:t>
      </w:r>
      <w:r w:rsidRPr="0093628E">
        <w:rPr>
          <w:rFonts w:ascii="Times New Roman" w:hAnsi="Times New Roman" w:cs="Times New Roman"/>
        </w:rPr>
        <w:t>Републици</w:t>
      </w:r>
      <w:r w:rsidR="00C25583" w:rsidRPr="0093628E">
        <w:rPr>
          <w:rFonts w:ascii="Times New Roman" w:hAnsi="Times New Roman" w:cs="Times New Roman"/>
        </w:rPr>
        <w:t xml:space="preserve"> </w:t>
      </w:r>
      <w:r w:rsidRPr="0093628E">
        <w:rPr>
          <w:rFonts w:ascii="Times New Roman" w:hAnsi="Times New Roman" w:cs="Times New Roman"/>
        </w:rPr>
        <w:t>Србији</w:t>
      </w:r>
      <w:r w:rsidR="00C25583" w:rsidRPr="0093628E">
        <w:rPr>
          <w:rFonts w:ascii="Times New Roman" w:hAnsi="Times New Roman" w:cs="Times New Roman"/>
        </w:rPr>
        <w:t xml:space="preserve"> </w:t>
      </w:r>
      <w:r w:rsidR="00F573AC" w:rsidRPr="0093628E">
        <w:rPr>
          <w:rFonts w:ascii="Times New Roman" w:hAnsi="Times New Roman" w:cs="Times New Roman"/>
        </w:rPr>
        <w:t xml:space="preserve"> </w:t>
      </w:r>
      <w:r w:rsidRPr="0093628E">
        <w:rPr>
          <w:rFonts w:ascii="Times New Roman" w:hAnsi="Times New Roman" w:cs="Times New Roman"/>
        </w:rPr>
        <w:t>се</w:t>
      </w:r>
      <w:r w:rsidR="00F573AC" w:rsidRPr="0093628E">
        <w:rPr>
          <w:rFonts w:ascii="Times New Roman" w:hAnsi="Times New Roman" w:cs="Times New Roman"/>
        </w:rPr>
        <w:t xml:space="preserve"> </w:t>
      </w:r>
      <w:r w:rsidR="00C25583" w:rsidRPr="0093628E">
        <w:rPr>
          <w:rFonts w:ascii="Times New Roman" w:hAnsi="Times New Roman" w:cs="Times New Roman"/>
          <w:lang w:val="sr-Cyrl-CS"/>
        </w:rPr>
        <w:t xml:space="preserve">дакле </w:t>
      </w:r>
      <w:r w:rsidRPr="0093628E">
        <w:rPr>
          <w:rFonts w:ascii="Times New Roman" w:hAnsi="Times New Roman" w:cs="Times New Roman"/>
        </w:rPr>
        <w:t>систем</w:t>
      </w:r>
      <w:r w:rsidR="00F573AC" w:rsidRPr="0093628E">
        <w:rPr>
          <w:rFonts w:ascii="Times New Roman" w:hAnsi="Times New Roman" w:cs="Times New Roman"/>
        </w:rPr>
        <w:t xml:space="preserve"> </w:t>
      </w:r>
      <w:r w:rsidRPr="0093628E">
        <w:rPr>
          <w:rFonts w:ascii="Times New Roman" w:hAnsi="Times New Roman" w:cs="Times New Roman"/>
        </w:rPr>
        <w:t>јавних</w:t>
      </w:r>
      <w:r w:rsidR="00F573AC" w:rsidRPr="0093628E">
        <w:rPr>
          <w:rFonts w:ascii="Times New Roman" w:hAnsi="Times New Roman" w:cs="Times New Roman"/>
        </w:rPr>
        <w:t xml:space="preserve"> </w:t>
      </w:r>
      <w:r w:rsidRPr="0093628E">
        <w:rPr>
          <w:rFonts w:ascii="Times New Roman" w:hAnsi="Times New Roman" w:cs="Times New Roman"/>
        </w:rPr>
        <w:t>прихода</w:t>
      </w:r>
      <w:r w:rsidR="00F573AC" w:rsidRPr="0093628E">
        <w:rPr>
          <w:rFonts w:ascii="Times New Roman" w:hAnsi="Times New Roman" w:cs="Times New Roman"/>
        </w:rPr>
        <w:t xml:space="preserve"> </w:t>
      </w:r>
      <w:r w:rsidRPr="0093628E">
        <w:rPr>
          <w:rFonts w:ascii="Times New Roman" w:hAnsi="Times New Roman" w:cs="Times New Roman"/>
        </w:rPr>
        <w:t>заснива</w:t>
      </w:r>
      <w:r w:rsidR="00F573AC" w:rsidRPr="0093628E">
        <w:rPr>
          <w:rFonts w:ascii="Times New Roman" w:hAnsi="Times New Roman" w:cs="Times New Roman"/>
        </w:rPr>
        <w:t xml:space="preserve"> </w:t>
      </w:r>
      <w:r w:rsidRPr="0093628E">
        <w:rPr>
          <w:rFonts w:ascii="Times New Roman" w:hAnsi="Times New Roman" w:cs="Times New Roman"/>
        </w:rPr>
        <w:t>практи</w:t>
      </w:r>
      <w:r w:rsidR="0093628E">
        <w:rPr>
          <w:rFonts w:ascii="Times New Roman" w:hAnsi="Times New Roman" w:cs="Times New Roman"/>
          <w:lang w:val="sr-Cyrl-CS"/>
        </w:rPr>
        <w:t>ч</w:t>
      </w:r>
      <w:r w:rsidRPr="0093628E">
        <w:rPr>
          <w:rFonts w:ascii="Times New Roman" w:hAnsi="Times New Roman" w:cs="Times New Roman"/>
        </w:rPr>
        <w:t>но</w:t>
      </w:r>
      <w:r w:rsidR="00F573AC" w:rsidRPr="0093628E">
        <w:rPr>
          <w:rFonts w:ascii="Times New Roman" w:hAnsi="Times New Roman" w:cs="Times New Roman"/>
        </w:rPr>
        <w:t xml:space="preserve"> </w:t>
      </w:r>
      <w:r w:rsidRPr="0093628E">
        <w:rPr>
          <w:rFonts w:ascii="Times New Roman" w:hAnsi="Times New Roman" w:cs="Times New Roman"/>
        </w:rPr>
        <w:t>на</w:t>
      </w:r>
      <w:r w:rsidR="00F573AC" w:rsidRPr="0093628E">
        <w:rPr>
          <w:rFonts w:ascii="Times New Roman" w:hAnsi="Times New Roman" w:cs="Times New Roman"/>
        </w:rPr>
        <w:t xml:space="preserve"> </w:t>
      </w:r>
      <w:r w:rsidRPr="0093628E">
        <w:rPr>
          <w:rFonts w:ascii="Times New Roman" w:hAnsi="Times New Roman" w:cs="Times New Roman"/>
        </w:rPr>
        <w:t>фискалном</w:t>
      </w:r>
      <w:r w:rsidR="00F573AC" w:rsidRPr="0093628E">
        <w:rPr>
          <w:rFonts w:ascii="Times New Roman" w:hAnsi="Times New Roman" w:cs="Times New Roman"/>
        </w:rPr>
        <w:t xml:space="preserve"> </w:t>
      </w:r>
      <w:r w:rsidRPr="0093628E">
        <w:rPr>
          <w:rFonts w:ascii="Times New Roman" w:hAnsi="Times New Roman" w:cs="Times New Roman"/>
        </w:rPr>
        <w:t>систему</w:t>
      </w:r>
      <w:r w:rsidR="00F573AC" w:rsidRPr="0093628E">
        <w:rPr>
          <w:rFonts w:ascii="Times New Roman" w:hAnsi="Times New Roman" w:cs="Times New Roman"/>
        </w:rPr>
        <w:t xml:space="preserve"> </w:t>
      </w:r>
      <w:r w:rsidRPr="0093628E">
        <w:rPr>
          <w:rFonts w:ascii="Times New Roman" w:hAnsi="Times New Roman" w:cs="Times New Roman"/>
        </w:rPr>
        <w:t>из</w:t>
      </w:r>
      <w:r w:rsidR="00F573AC" w:rsidRPr="0093628E">
        <w:rPr>
          <w:rFonts w:ascii="Times New Roman" w:hAnsi="Times New Roman" w:cs="Times New Roman"/>
        </w:rPr>
        <w:t xml:space="preserve"> </w:t>
      </w:r>
      <w:r w:rsidRPr="0093628E">
        <w:rPr>
          <w:rFonts w:ascii="Times New Roman" w:hAnsi="Times New Roman" w:cs="Times New Roman"/>
        </w:rPr>
        <w:t>кога</w:t>
      </w:r>
      <w:r w:rsidR="00F573AC" w:rsidRPr="0093628E">
        <w:rPr>
          <w:rFonts w:ascii="Times New Roman" w:hAnsi="Times New Roman" w:cs="Times New Roman"/>
        </w:rPr>
        <w:t xml:space="preserve"> </w:t>
      </w:r>
      <w:r w:rsidRPr="0093628E">
        <w:rPr>
          <w:rFonts w:ascii="Times New Roman" w:hAnsi="Times New Roman" w:cs="Times New Roman"/>
        </w:rPr>
        <w:t>се</w:t>
      </w:r>
      <w:r w:rsidR="00F573AC" w:rsidRPr="0093628E">
        <w:rPr>
          <w:rFonts w:ascii="Times New Roman" w:hAnsi="Times New Roman" w:cs="Times New Roman"/>
        </w:rPr>
        <w:t xml:space="preserve"> </w:t>
      </w:r>
      <w:r w:rsidRPr="0093628E">
        <w:rPr>
          <w:rFonts w:ascii="Times New Roman" w:hAnsi="Times New Roman" w:cs="Times New Roman"/>
        </w:rPr>
        <w:t>одре</w:t>
      </w:r>
      <w:r w:rsidR="0093628E">
        <w:rPr>
          <w:rFonts w:ascii="Times New Roman" w:hAnsi="Times New Roman" w:cs="Times New Roman"/>
          <w:lang w:val="sr-Cyrl-CS"/>
        </w:rPr>
        <w:t>ђ</w:t>
      </w:r>
      <w:r w:rsidRPr="0093628E">
        <w:rPr>
          <w:rFonts w:ascii="Times New Roman" w:hAnsi="Times New Roman" w:cs="Times New Roman"/>
        </w:rPr>
        <w:t>ени</w:t>
      </w:r>
      <w:r w:rsidR="00F573AC" w:rsidRPr="0093628E">
        <w:rPr>
          <w:rFonts w:ascii="Times New Roman" w:hAnsi="Times New Roman" w:cs="Times New Roman"/>
        </w:rPr>
        <w:t xml:space="preserve"> </w:t>
      </w:r>
      <w:r w:rsidRPr="0093628E">
        <w:rPr>
          <w:rFonts w:ascii="Times New Roman" w:hAnsi="Times New Roman" w:cs="Times New Roman"/>
        </w:rPr>
        <w:t>део</w:t>
      </w:r>
      <w:r w:rsidR="00F573AC" w:rsidRPr="0093628E">
        <w:rPr>
          <w:rFonts w:ascii="Times New Roman" w:hAnsi="Times New Roman" w:cs="Times New Roman"/>
        </w:rPr>
        <w:t xml:space="preserve"> </w:t>
      </w:r>
      <w:r w:rsidRPr="0093628E">
        <w:rPr>
          <w:rFonts w:ascii="Times New Roman" w:hAnsi="Times New Roman" w:cs="Times New Roman"/>
        </w:rPr>
        <w:t>прихода</w:t>
      </w:r>
      <w:r w:rsidR="00F573AC" w:rsidRPr="0093628E">
        <w:rPr>
          <w:rFonts w:ascii="Times New Roman" w:hAnsi="Times New Roman" w:cs="Times New Roman"/>
        </w:rPr>
        <w:t xml:space="preserve"> </w:t>
      </w:r>
      <w:r w:rsidRPr="0093628E">
        <w:rPr>
          <w:rFonts w:ascii="Times New Roman" w:hAnsi="Times New Roman" w:cs="Times New Roman"/>
        </w:rPr>
        <w:t>уступа</w:t>
      </w:r>
      <w:r w:rsidR="00F573AC" w:rsidRPr="0093628E">
        <w:rPr>
          <w:rFonts w:ascii="Times New Roman" w:hAnsi="Times New Roman" w:cs="Times New Roman"/>
        </w:rPr>
        <w:t xml:space="preserve"> </w:t>
      </w:r>
      <w:r w:rsidRPr="0093628E">
        <w:rPr>
          <w:rFonts w:ascii="Times New Roman" w:hAnsi="Times New Roman" w:cs="Times New Roman"/>
        </w:rPr>
        <w:t>граду</w:t>
      </w:r>
      <w:r w:rsidR="00F573AC" w:rsidRPr="0093628E">
        <w:rPr>
          <w:rFonts w:ascii="Times New Roman" w:hAnsi="Times New Roman" w:cs="Times New Roman"/>
        </w:rPr>
        <w:t xml:space="preserve"> </w:t>
      </w:r>
      <w:r w:rsidRPr="0093628E">
        <w:rPr>
          <w:rFonts w:ascii="Times New Roman" w:hAnsi="Times New Roman" w:cs="Times New Roman"/>
        </w:rPr>
        <w:t>и</w:t>
      </w:r>
      <w:r w:rsidR="00F573AC" w:rsidRPr="0093628E">
        <w:rPr>
          <w:rFonts w:ascii="Times New Roman" w:hAnsi="Times New Roman" w:cs="Times New Roman"/>
        </w:rPr>
        <w:t xml:space="preserve"> </w:t>
      </w:r>
      <w:r w:rsidRPr="0093628E">
        <w:rPr>
          <w:rFonts w:ascii="Times New Roman" w:hAnsi="Times New Roman" w:cs="Times New Roman"/>
        </w:rPr>
        <w:t>оп</w:t>
      </w:r>
      <w:r w:rsidR="0093628E">
        <w:rPr>
          <w:rFonts w:ascii="Times New Roman" w:hAnsi="Times New Roman" w:cs="Times New Roman"/>
          <w:lang w:val="sr-Cyrl-CS"/>
        </w:rPr>
        <w:t>ш</w:t>
      </w:r>
      <w:r w:rsidR="005576FB">
        <w:rPr>
          <w:rFonts w:ascii="Times New Roman" w:hAnsi="Times New Roman" w:cs="Times New Roman"/>
        </w:rPr>
        <w:t>тин</w:t>
      </w:r>
      <w:r w:rsidR="005576FB">
        <w:rPr>
          <w:rFonts w:ascii="Times New Roman" w:hAnsi="Times New Roman" w:cs="Times New Roman"/>
          <w:lang w:val="sr-Cyrl-CS"/>
        </w:rPr>
        <w:t>ама</w:t>
      </w:r>
      <w:r w:rsidR="00F573AC" w:rsidRPr="0093628E">
        <w:rPr>
          <w:rFonts w:ascii="Times New Roman" w:hAnsi="Times New Roman" w:cs="Times New Roman"/>
        </w:rPr>
        <w:t xml:space="preserve"> </w:t>
      </w:r>
      <w:r w:rsidRPr="0093628E">
        <w:rPr>
          <w:rFonts w:ascii="Times New Roman" w:hAnsi="Times New Roman" w:cs="Times New Roman"/>
        </w:rPr>
        <w:t>док</w:t>
      </w:r>
      <w:r w:rsidR="00F573AC" w:rsidRPr="0093628E">
        <w:rPr>
          <w:rFonts w:ascii="Times New Roman" w:hAnsi="Times New Roman" w:cs="Times New Roman"/>
        </w:rPr>
        <w:t xml:space="preserve"> </w:t>
      </w:r>
      <w:r w:rsidR="005576FB">
        <w:rPr>
          <w:rFonts w:ascii="Times New Roman" w:hAnsi="Times New Roman" w:cs="Times New Roman"/>
          <w:lang w:val="sr-Cyrl-CS"/>
        </w:rPr>
        <w:t>највећи део прихода припада Републици</w:t>
      </w:r>
      <w:r w:rsidR="00F573AC" w:rsidRPr="0093628E">
        <w:rPr>
          <w:rFonts w:ascii="Times New Roman" w:hAnsi="Times New Roman" w:cs="Times New Roman"/>
        </w:rPr>
        <w:t xml:space="preserve">. </w:t>
      </w:r>
      <w:r w:rsidR="005576FB">
        <w:rPr>
          <w:rFonts w:ascii="Times New Roman" w:hAnsi="Times New Roman" w:cs="Times New Roman"/>
          <w:lang w:val="sr-Cyrl-CS"/>
        </w:rPr>
        <w:t>Најзначајнији фискални приходи</w:t>
      </w:r>
      <w:r w:rsidR="0093628E">
        <w:rPr>
          <w:rFonts w:ascii="Times New Roman" w:hAnsi="Times New Roman" w:cs="Times New Roman"/>
          <w:lang w:val="sr-Cyrl-CS"/>
        </w:rPr>
        <w:t xml:space="preserve"> су</w:t>
      </w:r>
      <w:r w:rsidR="00F573AC" w:rsidRPr="0093628E">
        <w:rPr>
          <w:rFonts w:ascii="Times New Roman" w:hAnsi="Times New Roman" w:cs="Times New Roman"/>
        </w:rPr>
        <w:t xml:space="preserve">:  </w:t>
      </w:r>
      <w:r w:rsidRPr="0093628E">
        <w:rPr>
          <w:rFonts w:ascii="Times New Roman" w:hAnsi="Times New Roman" w:cs="Times New Roman"/>
        </w:rPr>
        <w:t>порези</w:t>
      </w:r>
      <w:r w:rsidR="00F573AC" w:rsidRPr="0093628E">
        <w:rPr>
          <w:rFonts w:ascii="Times New Roman" w:hAnsi="Times New Roman" w:cs="Times New Roman"/>
        </w:rPr>
        <w:t xml:space="preserve">,  </w:t>
      </w:r>
      <w:r w:rsidRPr="0093628E">
        <w:rPr>
          <w:rFonts w:ascii="Times New Roman" w:hAnsi="Times New Roman" w:cs="Times New Roman"/>
        </w:rPr>
        <w:t>таксе</w:t>
      </w:r>
      <w:r w:rsidR="00F573AC" w:rsidRPr="0093628E">
        <w:rPr>
          <w:rFonts w:ascii="Times New Roman" w:hAnsi="Times New Roman" w:cs="Times New Roman"/>
        </w:rPr>
        <w:t xml:space="preserve">, </w:t>
      </w:r>
      <w:r w:rsidRPr="0093628E">
        <w:rPr>
          <w:rFonts w:ascii="Times New Roman" w:hAnsi="Times New Roman" w:cs="Times New Roman"/>
        </w:rPr>
        <w:t>накнаде</w:t>
      </w:r>
      <w:r w:rsidR="00F573AC" w:rsidRPr="0093628E">
        <w:rPr>
          <w:rFonts w:ascii="Times New Roman" w:hAnsi="Times New Roman" w:cs="Times New Roman"/>
        </w:rPr>
        <w:t xml:space="preserve"> </w:t>
      </w:r>
      <w:r w:rsidRPr="0093628E">
        <w:rPr>
          <w:rFonts w:ascii="Times New Roman" w:hAnsi="Times New Roman" w:cs="Times New Roman"/>
        </w:rPr>
        <w:t>и</w:t>
      </w:r>
      <w:r w:rsidR="00F573AC" w:rsidRPr="0093628E">
        <w:rPr>
          <w:rFonts w:ascii="Times New Roman" w:hAnsi="Times New Roman" w:cs="Times New Roman"/>
        </w:rPr>
        <w:t xml:space="preserve">  </w:t>
      </w:r>
      <w:r w:rsidRPr="0093628E">
        <w:rPr>
          <w:rFonts w:ascii="Times New Roman" w:hAnsi="Times New Roman" w:cs="Times New Roman"/>
        </w:rPr>
        <w:t>доприноси</w:t>
      </w:r>
      <w:r w:rsidR="00F573AC" w:rsidRPr="0093628E">
        <w:rPr>
          <w:rFonts w:ascii="Times New Roman" w:hAnsi="Times New Roman" w:cs="Times New Roman"/>
        </w:rPr>
        <w:t xml:space="preserve">. </w:t>
      </w:r>
    </w:p>
    <w:p w:rsidR="00F573AC" w:rsidRPr="0093628E" w:rsidRDefault="00F573AC" w:rsidP="00806D97">
      <w:pPr>
        <w:pStyle w:val="ListParagraph"/>
        <w:jc w:val="both"/>
        <w:rPr>
          <w:rFonts w:ascii="Times New Roman" w:hAnsi="Times New Roman"/>
          <w:sz w:val="24"/>
          <w:szCs w:val="24"/>
          <w:lang w:val="sr-Cyrl-CS"/>
        </w:rPr>
      </w:pPr>
    </w:p>
    <w:p w:rsidR="00F42A10" w:rsidRPr="00763B17" w:rsidRDefault="007E25F9" w:rsidP="003A57BB">
      <w:pPr>
        <w:pStyle w:val="ListParagraph"/>
        <w:ind w:left="0" w:firstLine="708"/>
        <w:jc w:val="both"/>
        <w:rPr>
          <w:rFonts w:ascii="Times New Roman" w:hAnsi="Times New Roman"/>
          <w:sz w:val="24"/>
          <w:szCs w:val="24"/>
          <w:lang w:val="sr-Cyrl-CS"/>
        </w:rPr>
      </w:pPr>
      <w:r w:rsidRPr="0093628E">
        <w:rPr>
          <w:rFonts w:ascii="Times New Roman" w:hAnsi="Times New Roman"/>
          <w:sz w:val="24"/>
          <w:szCs w:val="24"/>
        </w:rPr>
        <w:t>Ме</w:t>
      </w:r>
      <w:r w:rsidR="0093628E">
        <w:rPr>
          <w:rFonts w:ascii="Times New Roman" w:hAnsi="Times New Roman"/>
          <w:sz w:val="24"/>
          <w:szCs w:val="24"/>
          <w:lang w:val="sr-Cyrl-CS"/>
        </w:rPr>
        <w:t>ђ</w:t>
      </w:r>
      <w:r w:rsidRPr="0093628E">
        <w:rPr>
          <w:rFonts w:ascii="Times New Roman" w:hAnsi="Times New Roman"/>
          <w:sz w:val="24"/>
          <w:szCs w:val="24"/>
        </w:rPr>
        <w:t>у</w:t>
      </w:r>
      <w:r w:rsidR="00F573AC" w:rsidRPr="0093628E">
        <w:rPr>
          <w:rFonts w:ascii="Times New Roman" w:hAnsi="Times New Roman"/>
          <w:sz w:val="24"/>
          <w:szCs w:val="24"/>
        </w:rPr>
        <w:t xml:space="preserve"> </w:t>
      </w:r>
      <w:r w:rsidRPr="0093628E">
        <w:rPr>
          <w:rFonts w:ascii="Times New Roman" w:hAnsi="Times New Roman"/>
          <w:sz w:val="24"/>
          <w:szCs w:val="24"/>
        </w:rPr>
        <w:t>свим</w:t>
      </w:r>
      <w:r w:rsidR="00F573AC" w:rsidRPr="0093628E">
        <w:rPr>
          <w:rFonts w:ascii="Times New Roman" w:hAnsi="Times New Roman"/>
          <w:sz w:val="24"/>
          <w:szCs w:val="24"/>
        </w:rPr>
        <w:t xml:space="preserve"> </w:t>
      </w:r>
      <w:r w:rsidRPr="0093628E">
        <w:rPr>
          <w:rFonts w:ascii="Times New Roman" w:hAnsi="Times New Roman"/>
          <w:sz w:val="24"/>
          <w:szCs w:val="24"/>
        </w:rPr>
        <w:t>тим</w:t>
      </w:r>
      <w:r w:rsidR="00F573AC" w:rsidRPr="0093628E">
        <w:rPr>
          <w:rFonts w:ascii="Times New Roman" w:hAnsi="Times New Roman"/>
          <w:sz w:val="24"/>
          <w:szCs w:val="24"/>
        </w:rPr>
        <w:t xml:space="preserve"> </w:t>
      </w:r>
      <w:r w:rsidR="005576FB">
        <w:rPr>
          <w:rFonts w:ascii="Times New Roman" w:hAnsi="Times New Roman"/>
          <w:sz w:val="24"/>
          <w:szCs w:val="24"/>
          <w:lang w:val="sr-Cyrl-CS"/>
        </w:rPr>
        <w:t>врстама</w:t>
      </w:r>
      <w:r w:rsidR="00F573AC" w:rsidRPr="0093628E">
        <w:rPr>
          <w:rFonts w:ascii="Times New Roman" w:hAnsi="Times New Roman"/>
          <w:sz w:val="24"/>
          <w:szCs w:val="24"/>
        </w:rPr>
        <w:t xml:space="preserve"> </w:t>
      </w:r>
      <w:r w:rsidRPr="0093628E">
        <w:rPr>
          <w:rFonts w:ascii="Times New Roman" w:hAnsi="Times New Roman"/>
          <w:sz w:val="24"/>
          <w:szCs w:val="24"/>
        </w:rPr>
        <w:t>најве</w:t>
      </w:r>
      <w:r w:rsidR="005576FB">
        <w:rPr>
          <w:rFonts w:ascii="Times New Roman" w:hAnsi="Times New Roman"/>
          <w:sz w:val="24"/>
          <w:szCs w:val="24"/>
          <w:lang w:val="sr-Cyrl-CS"/>
        </w:rPr>
        <w:t>ћ</w:t>
      </w:r>
      <w:r w:rsidRPr="0093628E">
        <w:rPr>
          <w:rFonts w:ascii="Times New Roman" w:hAnsi="Times New Roman"/>
          <w:sz w:val="24"/>
          <w:szCs w:val="24"/>
        </w:rPr>
        <w:t>и</w:t>
      </w:r>
      <w:r w:rsidR="00F573AC" w:rsidRPr="0093628E">
        <w:rPr>
          <w:rFonts w:ascii="Times New Roman" w:hAnsi="Times New Roman"/>
          <w:sz w:val="24"/>
          <w:szCs w:val="24"/>
        </w:rPr>
        <w:t xml:space="preserve"> </w:t>
      </w:r>
      <w:r w:rsidRPr="0093628E">
        <w:rPr>
          <w:rFonts w:ascii="Times New Roman" w:hAnsi="Times New Roman"/>
          <w:sz w:val="24"/>
          <w:szCs w:val="24"/>
        </w:rPr>
        <w:t>зна</w:t>
      </w:r>
      <w:r w:rsidR="0093628E">
        <w:rPr>
          <w:rFonts w:ascii="Times New Roman" w:hAnsi="Times New Roman"/>
          <w:sz w:val="24"/>
          <w:szCs w:val="24"/>
          <w:lang w:val="sr-Cyrl-CS"/>
        </w:rPr>
        <w:t>ч</w:t>
      </w:r>
      <w:r w:rsidRPr="0093628E">
        <w:rPr>
          <w:rFonts w:ascii="Times New Roman" w:hAnsi="Times New Roman"/>
          <w:sz w:val="24"/>
          <w:szCs w:val="24"/>
        </w:rPr>
        <w:t>ај</w:t>
      </w:r>
      <w:r w:rsidR="00F573AC" w:rsidRPr="0093628E">
        <w:rPr>
          <w:rFonts w:ascii="Times New Roman" w:hAnsi="Times New Roman"/>
          <w:sz w:val="24"/>
          <w:szCs w:val="24"/>
        </w:rPr>
        <w:t xml:space="preserve"> </w:t>
      </w:r>
      <w:r w:rsidRPr="0093628E">
        <w:rPr>
          <w:rFonts w:ascii="Times New Roman" w:hAnsi="Times New Roman"/>
          <w:sz w:val="24"/>
          <w:szCs w:val="24"/>
        </w:rPr>
        <w:t>имају</w:t>
      </w:r>
      <w:r w:rsidR="00F573AC" w:rsidRPr="0093628E">
        <w:rPr>
          <w:rFonts w:ascii="Times New Roman" w:hAnsi="Times New Roman"/>
          <w:sz w:val="24"/>
          <w:szCs w:val="24"/>
        </w:rPr>
        <w:t xml:space="preserve"> </w:t>
      </w:r>
      <w:r w:rsidRPr="0093628E">
        <w:rPr>
          <w:rFonts w:ascii="Times New Roman" w:hAnsi="Times New Roman"/>
          <w:sz w:val="24"/>
          <w:szCs w:val="24"/>
        </w:rPr>
        <w:t>порези</w:t>
      </w:r>
      <w:r w:rsidR="00763B17">
        <w:rPr>
          <w:rFonts w:ascii="Times New Roman" w:hAnsi="Times New Roman"/>
          <w:sz w:val="24"/>
          <w:szCs w:val="24"/>
          <w:lang w:val="sr-Cyrl-CS"/>
        </w:rPr>
        <w:t xml:space="preserve"> који</w:t>
      </w:r>
      <w:r w:rsidR="00F573AC" w:rsidRPr="0093628E">
        <w:rPr>
          <w:rFonts w:ascii="Times New Roman" w:hAnsi="Times New Roman"/>
          <w:sz w:val="24"/>
          <w:szCs w:val="24"/>
          <w:lang w:val="sr-Cyrl-CS"/>
        </w:rPr>
        <w:t xml:space="preserve"> чине највећи део јавних прихода. То значи да је порески си</w:t>
      </w:r>
      <w:r w:rsidR="005576FB">
        <w:rPr>
          <w:rFonts w:ascii="Times New Roman" w:hAnsi="Times New Roman"/>
          <w:sz w:val="24"/>
          <w:szCs w:val="24"/>
          <w:lang w:val="sr-Cyrl-CS"/>
        </w:rPr>
        <w:t>с</w:t>
      </w:r>
      <w:r w:rsidR="00F573AC" w:rsidRPr="0093628E">
        <w:rPr>
          <w:rFonts w:ascii="Times New Roman" w:hAnsi="Times New Roman"/>
          <w:sz w:val="24"/>
          <w:szCs w:val="24"/>
          <w:lang w:val="sr-Cyrl-CS"/>
        </w:rPr>
        <w:t>тем најзначајнији део фискалног система Републике Србије.</w:t>
      </w:r>
    </w:p>
    <w:p w:rsidR="00F42A10" w:rsidRPr="00605DE7" w:rsidRDefault="00F42A10" w:rsidP="00BC4F8D">
      <w:pPr>
        <w:pStyle w:val="ListParagraph"/>
        <w:jc w:val="both"/>
        <w:rPr>
          <w:rFonts w:ascii="Times New Roman" w:hAnsi="Times New Roman"/>
          <w:sz w:val="24"/>
          <w:szCs w:val="24"/>
          <w:lang w:val="sr-Cyrl-CS"/>
        </w:rPr>
      </w:pPr>
    </w:p>
    <w:p w:rsidR="0046264C" w:rsidRPr="000C4553" w:rsidRDefault="0046264C" w:rsidP="001E4AF5">
      <w:pPr>
        <w:pStyle w:val="ListParagraph"/>
        <w:numPr>
          <w:ilvl w:val="0"/>
          <w:numId w:val="3"/>
        </w:numPr>
        <w:jc w:val="both"/>
        <w:rPr>
          <w:rFonts w:ascii="Times New Roman" w:hAnsi="Times New Roman"/>
          <w:b/>
          <w:i/>
          <w:sz w:val="28"/>
          <w:szCs w:val="28"/>
          <w:lang w:val="sr-Cyrl-CS"/>
        </w:rPr>
      </w:pPr>
      <w:r w:rsidRPr="000C4553">
        <w:rPr>
          <w:rFonts w:ascii="Times New Roman" w:hAnsi="Times New Roman"/>
          <w:b/>
          <w:i/>
          <w:sz w:val="28"/>
          <w:szCs w:val="28"/>
          <w:lang w:val="sr-Cyrl-CS"/>
        </w:rPr>
        <w:lastRenderedPageBreak/>
        <w:t>Савремена кретања у области опорезивања у Републици Србији</w:t>
      </w:r>
    </w:p>
    <w:p w:rsidR="00EB7DC5" w:rsidRDefault="00EB7DC5" w:rsidP="00EB7DC5">
      <w:pPr>
        <w:pStyle w:val="ListParagraph"/>
        <w:jc w:val="both"/>
        <w:rPr>
          <w:rFonts w:ascii="Times New Roman" w:hAnsi="Times New Roman"/>
          <w:b/>
          <w:i/>
          <w:sz w:val="24"/>
          <w:szCs w:val="24"/>
          <w:lang w:val="sr-Cyrl-CS"/>
        </w:rPr>
      </w:pPr>
    </w:p>
    <w:p w:rsidR="004742CF" w:rsidRPr="004742CF" w:rsidRDefault="004742CF" w:rsidP="004742CF">
      <w:pPr>
        <w:pStyle w:val="ListParagraph"/>
        <w:ind w:left="1069"/>
        <w:jc w:val="both"/>
        <w:rPr>
          <w:rFonts w:ascii="Times New Roman" w:hAnsi="Times New Roman"/>
          <w:b/>
          <w:i/>
          <w:sz w:val="24"/>
          <w:szCs w:val="24"/>
          <w:lang w:val="sr-Cyrl-CS"/>
        </w:rPr>
      </w:pPr>
    </w:p>
    <w:p w:rsidR="004A0930" w:rsidRDefault="004742CF" w:rsidP="000C33E3">
      <w:pPr>
        <w:pStyle w:val="ListParagraph"/>
        <w:ind w:left="0" w:firstLine="360"/>
        <w:jc w:val="both"/>
        <w:rPr>
          <w:rFonts w:ascii="Times New Roman" w:hAnsi="Times New Roman"/>
          <w:sz w:val="24"/>
          <w:szCs w:val="24"/>
          <w:lang w:val="sr-Cyrl-CS"/>
        </w:rPr>
      </w:pPr>
      <w:r w:rsidRPr="004742CF">
        <w:rPr>
          <w:rFonts w:ascii="Times New Roman" w:hAnsi="Times New Roman"/>
          <w:sz w:val="24"/>
          <w:szCs w:val="24"/>
          <w:lang w:val="sr-Cyrl-CS"/>
        </w:rPr>
        <w:t xml:space="preserve">Пореска </w:t>
      </w:r>
      <w:r>
        <w:rPr>
          <w:rFonts w:ascii="Times New Roman" w:hAnsi="Times New Roman"/>
          <w:sz w:val="24"/>
          <w:szCs w:val="24"/>
          <w:lang w:val="sr-Cyrl-CS"/>
        </w:rPr>
        <w:t xml:space="preserve">реформа </w:t>
      </w:r>
      <w:r w:rsidR="000C33E3">
        <w:rPr>
          <w:rFonts w:ascii="Times New Roman" w:hAnsi="Times New Roman"/>
          <w:sz w:val="24"/>
          <w:szCs w:val="24"/>
          <w:lang w:val="sr-Cyrl-CS"/>
        </w:rPr>
        <w:t>представља значајан део</w:t>
      </w:r>
      <w:r>
        <w:rPr>
          <w:rFonts w:ascii="Times New Roman" w:hAnsi="Times New Roman"/>
          <w:sz w:val="24"/>
          <w:szCs w:val="24"/>
          <w:lang w:val="sr-Cyrl-CS"/>
        </w:rPr>
        <w:t xml:space="preserve"> економске реформе, посебно за земље у транзицији, чије је пореске системе потребно прилагодити захтевима савремених економских система развијених земаља. </w:t>
      </w:r>
      <w:r w:rsidR="000C33E3">
        <w:rPr>
          <w:rFonts w:ascii="Times New Roman" w:hAnsi="Times New Roman"/>
          <w:sz w:val="24"/>
          <w:szCs w:val="24"/>
          <w:lang w:val="sr-Cyrl-CS"/>
        </w:rPr>
        <w:t>Сложености пореских реформи доприносе специфичности које постоје у сваком економском систему</w:t>
      </w:r>
      <w:r>
        <w:rPr>
          <w:rFonts w:ascii="Times New Roman" w:hAnsi="Times New Roman"/>
          <w:sz w:val="24"/>
          <w:szCs w:val="24"/>
          <w:lang w:val="sr-Cyrl-CS"/>
        </w:rPr>
        <w:t xml:space="preserve"> земаља у транзицији </w:t>
      </w:r>
      <w:r w:rsidR="000C33E3">
        <w:rPr>
          <w:rFonts w:ascii="Times New Roman" w:hAnsi="Times New Roman"/>
          <w:sz w:val="24"/>
          <w:szCs w:val="24"/>
          <w:lang w:val="sr-Cyrl-CS"/>
        </w:rPr>
        <w:t xml:space="preserve">па се не могу </w:t>
      </w:r>
      <w:r>
        <w:rPr>
          <w:rFonts w:ascii="Times New Roman" w:hAnsi="Times New Roman"/>
          <w:sz w:val="24"/>
          <w:szCs w:val="24"/>
          <w:lang w:val="sr-Cyrl-CS"/>
        </w:rPr>
        <w:t xml:space="preserve">само </w:t>
      </w:r>
      <w:r w:rsidR="000C33E3">
        <w:rPr>
          <w:rFonts w:ascii="Times New Roman" w:hAnsi="Times New Roman"/>
          <w:sz w:val="24"/>
          <w:szCs w:val="24"/>
          <w:lang w:val="sr-Cyrl-CS"/>
        </w:rPr>
        <w:t>преузимати</w:t>
      </w:r>
      <w:r>
        <w:rPr>
          <w:rFonts w:ascii="Times New Roman" w:hAnsi="Times New Roman"/>
          <w:sz w:val="24"/>
          <w:szCs w:val="24"/>
          <w:lang w:val="sr-Cyrl-CS"/>
        </w:rPr>
        <w:t xml:space="preserve"> готова решења из </w:t>
      </w:r>
      <w:r w:rsidR="004D42AE">
        <w:rPr>
          <w:rFonts w:ascii="Times New Roman" w:hAnsi="Times New Roman"/>
          <w:sz w:val="24"/>
          <w:szCs w:val="24"/>
          <w:lang w:val="sr-Cyrl-CS"/>
        </w:rPr>
        <w:t xml:space="preserve">прописа </w:t>
      </w:r>
      <w:r w:rsidR="00E12EC8">
        <w:rPr>
          <w:rFonts w:ascii="Times New Roman" w:hAnsi="Times New Roman"/>
          <w:sz w:val="24"/>
          <w:szCs w:val="24"/>
          <w:lang w:val="sr-Cyrl-CS"/>
        </w:rPr>
        <w:t xml:space="preserve">развијених </w:t>
      </w:r>
      <w:r w:rsidR="00EB7DC5">
        <w:rPr>
          <w:rFonts w:ascii="Times New Roman" w:hAnsi="Times New Roman"/>
          <w:sz w:val="24"/>
          <w:szCs w:val="24"/>
          <w:lang w:val="sr-Cyrl-CS"/>
        </w:rPr>
        <w:t>з</w:t>
      </w:r>
      <w:r w:rsidR="00E12EC8">
        <w:rPr>
          <w:rFonts w:ascii="Times New Roman" w:hAnsi="Times New Roman"/>
          <w:sz w:val="24"/>
          <w:szCs w:val="24"/>
          <w:lang w:val="sr-Cyrl-CS"/>
        </w:rPr>
        <w:t>емаља</w:t>
      </w:r>
      <w:r w:rsidR="000C33E3">
        <w:rPr>
          <w:rFonts w:ascii="Times New Roman" w:hAnsi="Times New Roman"/>
          <w:sz w:val="24"/>
          <w:szCs w:val="24"/>
          <w:lang w:val="sr-Cyrl-CS"/>
        </w:rPr>
        <w:t>.</w:t>
      </w:r>
      <w:r>
        <w:rPr>
          <w:rFonts w:ascii="Times New Roman" w:hAnsi="Times New Roman"/>
          <w:sz w:val="24"/>
          <w:szCs w:val="24"/>
          <w:lang w:val="sr-Cyrl-CS"/>
        </w:rPr>
        <w:t xml:space="preserve"> </w:t>
      </w:r>
      <w:r w:rsidR="000C33E3">
        <w:rPr>
          <w:rFonts w:ascii="Times New Roman" w:hAnsi="Times New Roman"/>
          <w:sz w:val="24"/>
          <w:szCs w:val="24"/>
          <w:lang w:val="sr-Cyrl-CS"/>
        </w:rPr>
        <w:t xml:space="preserve">Овој сложености доприноси </w:t>
      </w:r>
      <w:r w:rsidR="00002158">
        <w:rPr>
          <w:rFonts w:ascii="Times New Roman" w:hAnsi="Times New Roman"/>
          <w:sz w:val="24"/>
          <w:szCs w:val="24"/>
          <w:lang w:val="sr-Cyrl-CS"/>
        </w:rPr>
        <w:t xml:space="preserve">и сама природа пореза који представљају изузетно динамичну и променљиву категорију. </w:t>
      </w:r>
      <w:r w:rsidR="000C33E3">
        <w:rPr>
          <w:rFonts w:ascii="Times New Roman" w:hAnsi="Times New Roman"/>
          <w:sz w:val="24"/>
          <w:szCs w:val="24"/>
          <w:lang w:val="sr-Cyrl-CS"/>
        </w:rPr>
        <w:t>П</w:t>
      </w:r>
      <w:r w:rsidR="00002158">
        <w:rPr>
          <w:rFonts w:ascii="Times New Roman" w:hAnsi="Times New Roman"/>
          <w:sz w:val="24"/>
          <w:szCs w:val="24"/>
          <w:lang w:val="sr-Cyrl-CS"/>
        </w:rPr>
        <w:t xml:space="preserve">ореским реформама </w:t>
      </w:r>
      <w:r w:rsidR="000C33E3">
        <w:rPr>
          <w:rFonts w:ascii="Times New Roman" w:hAnsi="Times New Roman"/>
          <w:sz w:val="24"/>
          <w:szCs w:val="24"/>
          <w:lang w:val="sr-Cyrl-CS"/>
        </w:rPr>
        <w:t xml:space="preserve">се тежи </w:t>
      </w:r>
      <w:r w:rsidR="00002158">
        <w:rPr>
          <w:rFonts w:ascii="Times New Roman" w:hAnsi="Times New Roman"/>
          <w:sz w:val="24"/>
          <w:szCs w:val="24"/>
          <w:lang w:val="sr-Cyrl-CS"/>
        </w:rPr>
        <w:t xml:space="preserve"> различити</w:t>
      </w:r>
      <w:r w:rsidR="000C33E3">
        <w:rPr>
          <w:rFonts w:ascii="Times New Roman" w:hAnsi="Times New Roman"/>
          <w:sz w:val="24"/>
          <w:szCs w:val="24"/>
          <w:lang w:val="sr-Cyrl-CS"/>
        </w:rPr>
        <w:t>м циљевима</w:t>
      </w:r>
      <w:r w:rsidR="00002158">
        <w:rPr>
          <w:rFonts w:ascii="Times New Roman" w:hAnsi="Times New Roman"/>
          <w:sz w:val="24"/>
          <w:szCs w:val="24"/>
          <w:lang w:val="sr-Cyrl-CS"/>
        </w:rPr>
        <w:t xml:space="preserve"> попут правичније ра</w:t>
      </w:r>
      <w:r w:rsidR="00C207AE">
        <w:rPr>
          <w:rFonts w:ascii="Times New Roman" w:hAnsi="Times New Roman"/>
          <w:sz w:val="24"/>
          <w:szCs w:val="24"/>
          <w:lang w:val="sr-Cyrl-CS"/>
        </w:rPr>
        <w:t>споделе пореског терета, смањења</w:t>
      </w:r>
      <w:r w:rsidR="00002158">
        <w:rPr>
          <w:rFonts w:ascii="Times New Roman" w:hAnsi="Times New Roman"/>
          <w:sz w:val="24"/>
          <w:szCs w:val="24"/>
          <w:lang w:val="sr-Cyrl-CS"/>
        </w:rPr>
        <w:t xml:space="preserve"> фиск</w:t>
      </w:r>
      <w:r w:rsidR="00030F3B">
        <w:rPr>
          <w:rFonts w:ascii="Times New Roman" w:hAnsi="Times New Roman"/>
          <w:sz w:val="24"/>
          <w:szCs w:val="24"/>
          <w:lang w:val="sr-Cyrl-CS"/>
        </w:rPr>
        <w:t>алног оптерећења, хармонизације</w:t>
      </w:r>
      <w:r w:rsidR="00002158">
        <w:rPr>
          <w:rFonts w:ascii="Times New Roman" w:hAnsi="Times New Roman"/>
          <w:sz w:val="24"/>
          <w:szCs w:val="24"/>
          <w:lang w:val="sr-Cyrl-CS"/>
        </w:rPr>
        <w:t xml:space="preserve"> пореске структуре</w:t>
      </w:r>
      <w:r w:rsidR="00B446C8">
        <w:rPr>
          <w:rFonts w:ascii="Times New Roman" w:hAnsi="Times New Roman"/>
          <w:sz w:val="24"/>
          <w:szCs w:val="24"/>
          <w:lang w:val="sr-Cyrl-CS"/>
        </w:rPr>
        <w:t>, ширења пореских основица, снижавања</w:t>
      </w:r>
      <w:r w:rsidR="0060399C">
        <w:rPr>
          <w:rFonts w:ascii="Times New Roman" w:hAnsi="Times New Roman"/>
          <w:sz w:val="24"/>
          <w:szCs w:val="24"/>
          <w:lang w:val="sr-Cyrl-CS"/>
        </w:rPr>
        <w:t xml:space="preserve"> пореских стопа </w:t>
      </w:r>
      <w:r w:rsidR="00002158">
        <w:rPr>
          <w:rFonts w:ascii="Times New Roman" w:hAnsi="Times New Roman"/>
          <w:sz w:val="24"/>
          <w:szCs w:val="24"/>
          <w:lang w:val="sr-Cyrl-CS"/>
        </w:rPr>
        <w:t xml:space="preserve">и слично, али у сваком случају пореске реформе земаља у транзицији </w:t>
      </w:r>
      <w:r w:rsidR="00E12EC8">
        <w:rPr>
          <w:rFonts w:ascii="Times New Roman" w:hAnsi="Times New Roman"/>
          <w:sz w:val="24"/>
          <w:szCs w:val="24"/>
          <w:lang w:val="sr-Cyrl-CS"/>
        </w:rPr>
        <w:t>представљају значајан заокрет у односу на претходне системе и</w:t>
      </w:r>
      <w:r w:rsidR="00002158">
        <w:rPr>
          <w:rFonts w:ascii="Times New Roman" w:hAnsi="Times New Roman"/>
          <w:sz w:val="24"/>
          <w:szCs w:val="24"/>
          <w:lang w:val="sr-Cyrl-CS"/>
        </w:rPr>
        <w:t xml:space="preserve"> </w:t>
      </w:r>
      <w:r w:rsidR="00C770EA">
        <w:rPr>
          <w:rFonts w:ascii="Times New Roman" w:hAnsi="Times New Roman"/>
          <w:sz w:val="24"/>
          <w:szCs w:val="24"/>
          <w:lang w:val="sr-Cyrl-CS"/>
        </w:rPr>
        <w:t>стварање нових пореских си</w:t>
      </w:r>
      <w:r w:rsidR="00B446C8">
        <w:rPr>
          <w:rFonts w:ascii="Times New Roman" w:hAnsi="Times New Roman"/>
          <w:sz w:val="24"/>
          <w:szCs w:val="24"/>
          <w:lang w:val="sr-Cyrl-CS"/>
        </w:rPr>
        <w:t>с</w:t>
      </w:r>
      <w:r w:rsidR="00C770EA">
        <w:rPr>
          <w:rFonts w:ascii="Times New Roman" w:hAnsi="Times New Roman"/>
          <w:sz w:val="24"/>
          <w:szCs w:val="24"/>
          <w:lang w:val="sr-Cyrl-CS"/>
        </w:rPr>
        <w:t>т</w:t>
      </w:r>
      <w:r w:rsidR="00E12EC8">
        <w:rPr>
          <w:rFonts w:ascii="Times New Roman" w:hAnsi="Times New Roman"/>
          <w:sz w:val="24"/>
          <w:szCs w:val="24"/>
          <w:lang w:val="sr-Cyrl-CS"/>
        </w:rPr>
        <w:t>ема.</w:t>
      </w:r>
      <w:r w:rsidR="000C33E3">
        <w:rPr>
          <w:rFonts w:ascii="Times New Roman" w:hAnsi="Times New Roman"/>
          <w:sz w:val="24"/>
          <w:szCs w:val="24"/>
          <w:lang w:val="sr-Cyrl-CS"/>
        </w:rPr>
        <w:t xml:space="preserve"> </w:t>
      </w:r>
      <w:r w:rsidR="00593F4E">
        <w:rPr>
          <w:rFonts w:ascii="Times New Roman" w:hAnsi="Times New Roman"/>
          <w:sz w:val="24"/>
          <w:szCs w:val="24"/>
          <w:lang w:val="sr-Cyrl-CS"/>
        </w:rPr>
        <w:t>При том, к</w:t>
      </w:r>
      <w:r w:rsidR="0060399C">
        <w:rPr>
          <w:rFonts w:ascii="Times New Roman" w:hAnsi="Times New Roman"/>
          <w:sz w:val="24"/>
          <w:szCs w:val="24"/>
          <w:lang w:val="sr-Cyrl-CS"/>
        </w:rPr>
        <w:t>од директних пореза ова сложеност више долази до изражаја него код индиректних пореза.</w:t>
      </w:r>
      <w:r w:rsidR="0060399C">
        <w:rPr>
          <w:rStyle w:val="FootnoteReference"/>
          <w:rFonts w:ascii="Times New Roman" w:hAnsi="Times New Roman"/>
          <w:sz w:val="24"/>
          <w:szCs w:val="24"/>
          <w:lang w:val="sr-Cyrl-CS"/>
        </w:rPr>
        <w:footnoteReference w:id="194"/>
      </w:r>
      <w:r w:rsidR="00B446C8">
        <w:rPr>
          <w:rFonts w:ascii="Times New Roman" w:hAnsi="Times New Roman"/>
          <w:sz w:val="24"/>
          <w:szCs w:val="24"/>
          <w:lang w:val="sr-Cyrl-CS"/>
        </w:rPr>
        <w:t xml:space="preserve"> </w:t>
      </w:r>
    </w:p>
    <w:p w:rsidR="004A0930" w:rsidRDefault="004A0930" w:rsidP="004742CF">
      <w:pPr>
        <w:pStyle w:val="ListParagraph"/>
        <w:ind w:left="0"/>
        <w:jc w:val="both"/>
        <w:rPr>
          <w:rFonts w:ascii="Times New Roman" w:hAnsi="Times New Roman"/>
          <w:sz w:val="24"/>
          <w:szCs w:val="24"/>
          <w:lang w:val="sr-Cyrl-CS"/>
        </w:rPr>
      </w:pPr>
    </w:p>
    <w:p w:rsidR="00C207AE" w:rsidRDefault="004A0930" w:rsidP="00B446C8">
      <w:pPr>
        <w:pStyle w:val="ListParagraph"/>
        <w:ind w:left="0" w:firstLine="360"/>
        <w:jc w:val="both"/>
        <w:rPr>
          <w:rFonts w:ascii="Times New Roman" w:hAnsi="Times New Roman"/>
          <w:sz w:val="24"/>
          <w:szCs w:val="24"/>
          <w:lang w:val="sr-Cyrl-CS"/>
        </w:rPr>
      </w:pPr>
      <w:r>
        <w:rPr>
          <w:rFonts w:ascii="Times New Roman" w:hAnsi="Times New Roman"/>
          <w:sz w:val="24"/>
          <w:szCs w:val="24"/>
          <w:lang w:val="sr-Cyrl-CS"/>
        </w:rPr>
        <w:t xml:space="preserve">Порески систем </w:t>
      </w:r>
      <w:r w:rsidR="005364D4">
        <w:rPr>
          <w:rFonts w:ascii="Times New Roman" w:hAnsi="Times New Roman"/>
          <w:sz w:val="24"/>
          <w:szCs w:val="24"/>
          <w:lang w:val="sr-Cyrl-CS"/>
        </w:rPr>
        <w:t>који је карактеристичан за социјалистичке привреде</w:t>
      </w:r>
      <w:r>
        <w:rPr>
          <w:rFonts w:ascii="Times New Roman" w:hAnsi="Times New Roman"/>
          <w:sz w:val="24"/>
          <w:szCs w:val="24"/>
          <w:lang w:val="sr-Cyrl-CS"/>
        </w:rPr>
        <w:t xml:space="preserve"> значајно се разликовао од пореског система у тржишној привреди. </w:t>
      </w:r>
      <w:r w:rsidR="005364D4">
        <w:rPr>
          <w:rFonts w:ascii="Times New Roman" w:hAnsi="Times New Roman"/>
          <w:sz w:val="24"/>
          <w:szCs w:val="24"/>
          <w:lang w:val="sr-Cyrl-CS"/>
        </w:rPr>
        <w:t xml:space="preserve">Као и у осталим земљама које су пролазиле кроз процес транзиције и у Србији је био циљ да се реформама пореског система створе услови за прелазак у тржишну привреду. </w:t>
      </w:r>
      <w:r>
        <w:rPr>
          <w:rFonts w:ascii="Times New Roman" w:hAnsi="Times New Roman"/>
          <w:sz w:val="24"/>
          <w:szCs w:val="24"/>
          <w:lang w:val="sr-Cyrl-CS"/>
        </w:rPr>
        <w:t xml:space="preserve">За разлику од класичних </w:t>
      </w:r>
      <w:r w:rsidR="005364D4">
        <w:rPr>
          <w:rFonts w:ascii="Times New Roman" w:hAnsi="Times New Roman"/>
          <w:sz w:val="24"/>
          <w:szCs w:val="24"/>
          <w:lang w:val="sr-Cyrl-CS"/>
        </w:rPr>
        <w:t xml:space="preserve">улога карактеристичних за порески систем тржишне привреде као што су алокативна, дистрибутивна и стабилизациона, </w:t>
      </w:r>
      <w:r w:rsidR="00B446C8">
        <w:rPr>
          <w:rFonts w:ascii="Times New Roman" w:hAnsi="Times New Roman"/>
          <w:sz w:val="24"/>
          <w:szCs w:val="24"/>
          <w:lang w:val="sr-Cyrl-CS"/>
        </w:rPr>
        <w:t>осн</w:t>
      </w:r>
      <w:r w:rsidR="005364D4">
        <w:rPr>
          <w:rFonts w:ascii="Times New Roman" w:hAnsi="Times New Roman"/>
          <w:sz w:val="24"/>
          <w:szCs w:val="24"/>
          <w:lang w:val="sr-Cyrl-CS"/>
        </w:rPr>
        <w:t>овна улога пореског си</w:t>
      </w:r>
      <w:r>
        <w:rPr>
          <w:rFonts w:ascii="Times New Roman" w:hAnsi="Times New Roman"/>
          <w:sz w:val="24"/>
          <w:szCs w:val="24"/>
          <w:lang w:val="sr-Cyrl-CS"/>
        </w:rPr>
        <w:t xml:space="preserve">тема у </w:t>
      </w:r>
      <w:r w:rsidR="00B446C8">
        <w:rPr>
          <w:rFonts w:ascii="Times New Roman" w:hAnsi="Times New Roman"/>
          <w:sz w:val="24"/>
          <w:szCs w:val="24"/>
          <w:lang w:val="sr-Cyrl-CS"/>
        </w:rPr>
        <w:t>централнопланској економији била</w:t>
      </w:r>
      <w:r>
        <w:rPr>
          <w:rFonts w:ascii="Times New Roman" w:hAnsi="Times New Roman"/>
          <w:sz w:val="24"/>
          <w:szCs w:val="24"/>
          <w:lang w:val="sr-Cyrl-CS"/>
        </w:rPr>
        <w:t xml:space="preserve"> је остваривање плана</w:t>
      </w:r>
      <w:r w:rsidR="00C207AE">
        <w:rPr>
          <w:rFonts w:ascii="Times New Roman" w:hAnsi="Times New Roman"/>
          <w:sz w:val="24"/>
          <w:szCs w:val="24"/>
          <w:lang w:val="sr-Cyrl-CS"/>
        </w:rPr>
        <w:t>.</w:t>
      </w:r>
      <w:r w:rsidR="00C207AE">
        <w:rPr>
          <w:rStyle w:val="FootnoteReference"/>
          <w:rFonts w:ascii="Times New Roman" w:hAnsi="Times New Roman"/>
          <w:sz w:val="24"/>
          <w:szCs w:val="24"/>
          <w:lang w:val="sr-Cyrl-CS"/>
        </w:rPr>
        <w:footnoteReference w:id="195"/>
      </w:r>
      <w:r w:rsidR="00C207AE">
        <w:rPr>
          <w:rFonts w:ascii="Times New Roman" w:hAnsi="Times New Roman"/>
          <w:sz w:val="24"/>
          <w:szCs w:val="24"/>
          <w:lang w:val="sr-Cyrl-CS"/>
        </w:rPr>
        <w:t xml:space="preserve"> </w:t>
      </w:r>
      <w:r w:rsidR="00B446C8">
        <w:rPr>
          <w:rFonts w:ascii="Times New Roman" w:hAnsi="Times New Roman"/>
          <w:sz w:val="24"/>
          <w:szCs w:val="24"/>
          <w:lang w:val="sr-Cyrl-CS"/>
        </w:rPr>
        <w:t xml:space="preserve"> </w:t>
      </w:r>
      <w:r w:rsidR="00EB7DC5">
        <w:rPr>
          <w:rFonts w:ascii="Times New Roman" w:hAnsi="Times New Roman"/>
          <w:sz w:val="24"/>
          <w:szCs w:val="24"/>
          <w:lang w:val="sr-Cyrl-CS"/>
        </w:rPr>
        <w:t xml:space="preserve"> </w:t>
      </w:r>
    </w:p>
    <w:p w:rsidR="0060399C" w:rsidRDefault="0060399C" w:rsidP="004742CF">
      <w:pPr>
        <w:pStyle w:val="ListParagraph"/>
        <w:ind w:left="0"/>
        <w:jc w:val="both"/>
        <w:rPr>
          <w:rFonts w:ascii="Times New Roman" w:hAnsi="Times New Roman"/>
          <w:sz w:val="24"/>
          <w:szCs w:val="24"/>
          <w:lang w:val="sr-Cyrl-CS"/>
        </w:rPr>
      </w:pPr>
    </w:p>
    <w:p w:rsidR="00C75F8C" w:rsidRDefault="004A0930" w:rsidP="00C75F8C">
      <w:pPr>
        <w:pStyle w:val="ListParagraph"/>
        <w:ind w:left="0"/>
        <w:jc w:val="both"/>
        <w:rPr>
          <w:rFonts w:ascii="Times New Roman" w:hAnsi="Times New Roman"/>
          <w:sz w:val="24"/>
          <w:szCs w:val="24"/>
          <w:lang w:val="sr-Cyrl-CS"/>
        </w:rPr>
      </w:pPr>
      <w:r>
        <w:rPr>
          <w:rFonts w:ascii="Times New Roman" w:hAnsi="Times New Roman"/>
          <w:sz w:val="24"/>
          <w:szCs w:val="24"/>
          <w:lang w:val="sr-Cyrl-CS"/>
        </w:rPr>
        <w:t xml:space="preserve"> </w:t>
      </w:r>
      <w:r w:rsidR="00B446C8">
        <w:rPr>
          <w:rFonts w:ascii="Times New Roman" w:hAnsi="Times New Roman"/>
          <w:sz w:val="24"/>
          <w:szCs w:val="24"/>
          <w:lang w:val="sr-Cyrl-CS"/>
        </w:rPr>
        <w:tab/>
      </w:r>
      <w:r w:rsidR="00723C38">
        <w:rPr>
          <w:rFonts w:ascii="Times New Roman" w:hAnsi="Times New Roman"/>
          <w:sz w:val="24"/>
          <w:szCs w:val="24"/>
          <w:lang w:val="sr-Cyrl-CS"/>
        </w:rPr>
        <w:t xml:space="preserve">Глобализација има значајан утицај на ове промене чиме их чини још сложенијим јер се утицаји пореске политике </w:t>
      </w:r>
      <w:r w:rsidR="0060399C">
        <w:rPr>
          <w:rFonts w:ascii="Times New Roman" w:hAnsi="Times New Roman"/>
          <w:sz w:val="24"/>
          <w:szCs w:val="24"/>
          <w:lang w:val="sr-Cyrl-CS"/>
        </w:rPr>
        <w:t xml:space="preserve">не могу ограничити на националне оквире, него их далеко превазилазе. </w:t>
      </w:r>
      <w:r w:rsidR="00723C38">
        <w:rPr>
          <w:rFonts w:ascii="Times New Roman" w:hAnsi="Times New Roman"/>
          <w:sz w:val="24"/>
          <w:szCs w:val="24"/>
          <w:lang w:val="sr-Cyrl-CS"/>
        </w:rPr>
        <w:t>Ј</w:t>
      </w:r>
      <w:r w:rsidR="0060399C">
        <w:rPr>
          <w:rFonts w:ascii="Times New Roman" w:hAnsi="Times New Roman"/>
          <w:sz w:val="24"/>
          <w:szCs w:val="24"/>
          <w:lang w:val="sr-Cyrl-CS"/>
        </w:rPr>
        <w:t>едан од основних услова приступању чланству ЕУ</w:t>
      </w:r>
      <w:r w:rsidR="00723C38">
        <w:rPr>
          <w:rFonts w:ascii="Times New Roman" w:hAnsi="Times New Roman"/>
          <w:sz w:val="24"/>
          <w:szCs w:val="24"/>
          <w:lang w:val="sr-Cyrl-CS"/>
        </w:rPr>
        <w:t>, чему земље у транзицији теже, је</w:t>
      </w:r>
      <w:r w:rsidR="0060399C">
        <w:rPr>
          <w:rFonts w:ascii="Times New Roman" w:hAnsi="Times New Roman"/>
          <w:sz w:val="24"/>
          <w:szCs w:val="24"/>
          <w:lang w:val="sr-Cyrl-CS"/>
        </w:rPr>
        <w:t xml:space="preserve"> хармонизација пореских система са пореским системима земаља чланица ЕУ</w:t>
      </w:r>
      <w:r w:rsidR="00266E27">
        <w:rPr>
          <w:rFonts w:ascii="Times New Roman" w:hAnsi="Times New Roman"/>
          <w:sz w:val="24"/>
          <w:szCs w:val="24"/>
          <w:lang w:val="sr-Cyrl-CS"/>
        </w:rPr>
        <w:t xml:space="preserve"> </w:t>
      </w:r>
      <w:r w:rsidR="0060399C">
        <w:rPr>
          <w:rFonts w:ascii="Times New Roman" w:hAnsi="Times New Roman"/>
          <w:sz w:val="24"/>
          <w:szCs w:val="24"/>
          <w:lang w:val="sr-Cyrl-CS"/>
        </w:rPr>
        <w:t>и тај процес се назива тиха хармонизација.</w:t>
      </w:r>
      <w:r w:rsidR="0060399C">
        <w:rPr>
          <w:rStyle w:val="FootnoteReference"/>
          <w:rFonts w:ascii="Times New Roman" w:hAnsi="Times New Roman"/>
          <w:sz w:val="24"/>
          <w:szCs w:val="24"/>
          <w:lang w:val="sr-Cyrl-CS"/>
        </w:rPr>
        <w:footnoteReference w:id="196"/>
      </w:r>
      <w:r w:rsidR="00C75F8C">
        <w:rPr>
          <w:rFonts w:ascii="Times New Roman" w:hAnsi="Times New Roman"/>
          <w:sz w:val="24"/>
          <w:szCs w:val="24"/>
          <w:lang w:val="sr-Cyrl-CS"/>
        </w:rPr>
        <w:t xml:space="preserve"> </w:t>
      </w:r>
      <w:r w:rsidR="00941773" w:rsidRPr="00941773">
        <w:rPr>
          <w:rFonts w:ascii="Times New Roman" w:hAnsi="Times New Roman"/>
          <w:sz w:val="24"/>
          <w:szCs w:val="24"/>
          <w:lang w:val="sr-Cyrl-CS"/>
        </w:rPr>
        <w:t>Србија је 29. априла 2008. године потписала Споразум о стабилизацији и придруживању</w:t>
      </w:r>
      <w:r w:rsidR="00C75F8C">
        <w:rPr>
          <w:rFonts w:ascii="Times New Roman" w:hAnsi="Times New Roman"/>
          <w:sz w:val="24"/>
          <w:szCs w:val="24"/>
          <w:lang w:val="sr-Cyrl-CS"/>
        </w:rPr>
        <w:t>.</w:t>
      </w:r>
      <w:r w:rsidR="00941773" w:rsidRPr="00941773">
        <w:rPr>
          <w:rFonts w:ascii="Times New Roman" w:hAnsi="Times New Roman"/>
          <w:sz w:val="24"/>
          <w:szCs w:val="24"/>
          <w:lang w:val="sr-Cyrl-CS"/>
        </w:rPr>
        <w:t xml:space="preserve"> </w:t>
      </w:r>
      <w:r w:rsidR="00AB4E77" w:rsidRPr="00941773">
        <w:rPr>
          <w:rFonts w:ascii="Times New Roman" w:hAnsi="Times New Roman"/>
          <w:sz w:val="24"/>
          <w:szCs w:val="24"/>
          <w:lang w:val="sr-Cyrl-CS"/>
        </w:rPr>
        <w:t>Европски савет је 1. марта 2012. године донео одлуку да Србији додели статус кандидата за чланство у Е</w:t>
      </w:r>
      <w:r w:rsidR="00DC27CA" w:rsidRPr="00941773">
        <w:rPr>
          <w:rFonts w:ascii="Times New Roman" w:hAnsi="Times New Roman"/>
          <w:sz w:val="24"/>
          <w:szCs w:val="24"/>
          <w:lang w:val="sr-Cyrl-CS"/>
        </w:rPr>
        <w:t xml:space="preserve">ропској унији и тако је постала једна од четири земље кандидата за чланство у Европској унији поред Републике Македоније, Црне Горе и Турске. </w:t>
      </w:r>
      <w:r w:rsidR="00AB4E77" w:rsidRPr="00941773">
        <w:rPr>
          <w:rFonts w:ascii="Times New Roman" w:hAnsi="Times New Roman"/>
          <w:sz w:val="24"/>
          <w:szCs w:val="24"/>
          <w:lang w:val="sr-Cyrl-CS"/>
        </w:rPr>
        <w:t>Фазе процеса интеграције државе кандидата у ЕУ представља</w:t>
      </w:r>
      <w:r w:rsidR="00F150E0" w:rsidRPr="00941773">
        <w:rPr>
          <w:rFonts w:ascii="Times New Roman" w:hAnsi="Times New Roman"/>
          <w:sz w:val="24"/>
          <w:szCs w:val="24"/>
          <w:lang w:val="sr-Cyrl-CS"/>
        </w:rPr>
        <w:t>ју</w:t>
      </w:r>
      <w:r w:rsidR="00AB4E77" w:rsidRPr="00941773">
        <w:rPr>
          <w:rFonts w:ascii="Times New Roman" w:hAnsi="Times New Roman"/>
          <w:sz w:val="24"/>
          <w:szCs w:val="24"/>
          <w:lang w:val="sr-Cyrl-CS"/>
        </w:rPr>
        <w:t xml:space="preserve"> закључивање Споразума о стабилизацији и придруживању, стицање статуса кандидата и преговори о приступању. Држава кандидат је у обавези да усвоји правне тековине ЕУ у целини и обезбеди њихову примену, након чега се сачи</w:t>
      </w:r>
      <w:r w:rsidR="00266E27" w:rsidRPr="00941773">
        <w:rPr>
          <w:rFonts w:ascii="Times New Roman" w:hAnsi="Times New Roman"/>
          <w:sz w:val="24"/>
          <w:szCs w:val="24"/>
          <w:lang w:val="sr-Cyrl-CS"/>
        </w:rPr>
        <w:t>њав</w:t>
      </w:r>
      <w:r w:rsidR="00AB4E77" w:rsidRPr="00941773">
        <w:rPr>
          <w:rFonts w:ascii="Times New Roman" w:hAnsi="Times New Roman"/>
          <w:sz w:val="24"/>
          <w:szCs w:val="24"/>
          <w:lang w:val="sr-Cyrl-CS"/>
        </w:rPr>
        <w:t xml:space="preserve">а нацрт споразума о приступању, на основу </w:t>
      </w:r>
      <w:r w:rsidR="00AB4E77" w:rsidRPr="00941773">
        <w:rPr>
          <w:rFonts w:ascii="Times New Roman" w:hAnsi="Times New Roman"/>
          <w:sz w:val="24"/>
          <w:szCs w:val="24"/>
          <w:lang w:val="sr-Cyrl-CS"/>
        </w:rPr>
        <w:lastRenderedPageBreak/>
        <w:t xml:space="preserve">кога Европска комисија доноси одлуку о захтеву државе кандидата за чланство, а одлуку о приступању нове државе </w:t>
      </w:r>
      <w:r w:rsidR="00265B10" w:rsidRPr="00941773">
        <w:rPr>
          <w:rFonts w:ascii="Times New Roman" w:hAnsi="Times New Roman"/>
          <w:sz w:val="24"/>
          <w:szCs w:val="24"/>
          <w:lang w:val="sr-Cyrl-CS"/>
        </w:rPr>
        <w:t xml:space="preserve">ЕУ доноси Савет једногласно. </w:t>
      </w:r>
    </w:p>
    <w:p w:rsidR="00C75F8C" w:rsidRDefault="00C75F8C" w:rsidP="00C75F8C">
      <w:pPr>
        <w:pStyle w:val="ListParagraph"/>
        <w:ind w:left="0"/>
        <w:jc w:val="both"/>
        <w:rPr>
          <w:rFonts w:ascii="Times New Roman" w:hAnsi="Times New Roman"/>
          <w:sz w:val="24"/>
          <w:szCs w:val="24"/>
          <w:lang w:val="sr-Cyrl-CS"/>
        </w:rPr>
      </w:pPr>
    </w:p>
    <w:p w:rsidR="00941773" w:rsidRPr="00C75F8C" w:rsidRDefault="00265B10" w:rsidP="00C75F8C">
      <w:pPr>
        <w:pStyle w:val="ListParagraph"/>
        <w:ind w:left="0" w:firstLine="708"/>
        <w:jc w:val="both"/>
        <w:rPr>
          <w:rFonts w:ascii="Times New Roman" w:hAnsi="Times New Roman"/>
          <w:sz w:val="24"/>
          <w:szCs w:val="24"/>
        </w:rPr>
      </w:pPr>
      <w:r w:rsidRPr="00941773">
        <w:rPr>
          <w:rFonts w:ascii="Times New Roman" w:hAnsi="Times New Roman"/>
          <w:sz w:val="24"/>
          <w:szCs w:val="24"/>
          <w:lang w:val="sr-Cyrl-CS"/>
        </w:rPr>
        <w:t xml:space="preserve">Споразум о стабилизацији </w:t>
      </w:r>
      <w:r w:rsidR="00266E27" w:rsidRPr="00941773">
        <w:rPr>
          <w:rFonts w:ascii="Times New Roman" w:hAnsi="Times New Roman"/>
          <w:sz w:val="24"/>
          <w:szCs w:val="24"/>
          <w:lang w:val="sr-Cyrl-CS"/>
        </w:rPr>
        <w:t>и придруживању је потписан 29. а</w:t>
      </w:r>
      <w:r w:rsidRPr="00941773">
        <w:rPr>
          <w:rFonts w:ascii="Times New Roman" w:hAnsi="Times New Roman"/>
          <w:sz w:val="24"/>
          <w:szCs w:val="24"/>
          <w:lang w:val="sr-Cyrl-CS"/>
        </w:rPr>
        <w:t xml:space="preserve">прила 2008. године </w:t>
      </w:r>
      <w:r w:rsidR="00DC27CA" w:rsidRPr="00941773">
        <w:rPr>
          <w:rFonts w:ascii="Times New Roman" w:hAnsi="Times New Roman"/>
          <w:sz w:val="24"/>
          <w:szCs w:val="24"/>
          <w:lang w:val="sr-Cyrl-CS"/>
        </w:rPr>
        <w:t xml:space="preserve">у Луксембургу </w:t>
      </w:r>
      <w:r w:rsidRPr="00941773">
        <w:rPr>
          <w:rFonts w:ascii="Times New Roman" w:hAnsi="Times New Roman"/>
          <w:sz w:val="24"/>
          <w:szCs w:val="24"/>
          <w:lang w:val="sr-Cyrl-CS"/>
        </w:rPr>
        <w:t>између Републике Србије и ЕУ</w:t>
      </w:r>
      <w:r w:rsidR="00941773" w:rsidRPr="00941773">
        <w:rPr>
          <w:rFonts w:ascii="Times New Roman" w:hAnsi="Times New Roman"/>
          <w:sz w:val="24"/>
          <w:szCs w:val="24"/>
          <w:lang w:val="sr-Cyrl-CS"/>
        </w:rPr>
        <w:t xml:space="preserve"> </w:t>
      </w:r>
      <w:r w:rsidR="00C75F8C">
        <w:rPr>
          <w:rFonts w:ascii="Times New Roman" w:hAnsi="Times New Roman"/>
          <w:sz w:val="24"/>
          <w:szCs w:val="24"/>
          <w:lang w:val="sr-Cyrl-CS"/>
        </w:rPr>
        <w:t xml:space="preserve">као </w:t>
      </w:r>
      <w:r w:rsidR="00941773" w:rsidRPr="00941773">
        <w:rPr>
          <w:rFonts w:ascii="Times New Roman" w:hAnsi="Times New Roman"/>
          <w:sz w:val="24"/>
          <w:szCs w:val="24"/>
          <w:lang w:val="sr-Cyrl-CS"/>
        </w:rPr>
        <w:t>и Прелазни трговински споразум са ЕУ. Споразум о стабилизацији и придруживању  обезбеђује оквир за узајамне обавезе у вези са широким низом политичких, трговинских и економских питања.</w:t>
      </w:r>
      <w:r w:rsidR="00C75F8C">
        <w:rPr>
          <w:rFonts w:ascii="Times New Roman" w:hAnsi="Times New Roman"/>
          <w:sz w:val="24"/>
          <w:szCs w:val="24"/>
          <w:lang w:val="sr-Cyrl-CS"/>
        </w:rPr>
        <w:t xml:space="preserve"> </w:t>
      </w:r>
      <w:r w:rsidRPr="00941773">
        <w:rPr>
          <w:rFonts w:ascii="Times New Roman" w:hAnsi="Times New Roman"/>
          <w:sz w:val="24"/>
          <w:szCs w:val="24"/>
          <w:lang w:val="sr-Cyrl-CS"/>
        </w:rPr>
        <w:t xml:space="preserve">Према овом Споразуму један од основних циљева придруживања је подржавање напора Србије да заврши транзицију </w:t>
      </w:r>
      <w:r w:rsidR="00AB4E77" w:rsidRPr="00941773">
        <w:rPr>
          <w:rFonts w:ascii="Times New Roman" w:hAnsi="Times New Roman"/>
          <w:sz w:val="24"/>
          <w:szCs w:val="24"/>
          <w:lang w:val="sr-Cyrl-CS"/>
        </w:rPr>
        <w:t xml:space="preserve"> </w:t>
      </w:r>
      <w:r w:rsidRPr="00941773">
        <w:rPr>
          <w:rFonts w:ascii="Times New Roman" w:hAnsi="Times New Roman"/>
          <w:sz w:val="24"/>
          <w:szCs w:val="24"/>
          <w:lang w:val="sr-Cyrl-CS"/>
        </w:rPr>
        <w:t>у функционалну тржишну привреду.</w:t>
      </w:r>
      <w:r w:rsidR="00941773" w:rsidRPr="00941773">
        <w:rPr>
          <w:rFonts w:ascii="Times New Roman" w:hAnsi="Times New Roman"/>
          <w:sz w:val="24"/>
          <w:szCs w:val="24"/>
          <w:lang w:val="sr-Cyrl-CS"/>
        </w:rPr>
        <w:t xml:space="preserve"> У</w:t>
      </w:r>
      <w:r w:rsidR="00C75F8C">
        <w:rPr>
          <w:rFonts w:ascii="Times New Roman" w:hAnsi="Times New Roman"/>
          <w:sz w:val="24"/>
          <w:szCs w:val="24"/>
          <w:lang w:val="sr-Cyrl-CS"/>
        </w:rPr>
        <w:t xml:space="preserve"> јануару 2009. године</w:t>
      </w:r>
      <w:r w:rsidR="00941773" w:rsidRPr="00941773">
        <w:rPr>
          <w:rFonts w:ascii="Times New Roman" w:hAnsi="Times New Roman"/>
          <w:sz w:val="24"/>
          <w:szCs w:val="24"/>
          <w:lang w:val="sr-Cyrl-CS"/>
        </w:rPr>
        <w:t xml:space="preserve"> Србија је почела да спроводи одредбе Прелазног споразума, а </w:t>
      </w:r>
      <w:r w:rsidR="00941773" w:rsidRPr="00941773">
        <w:t xml:space="preserve"> </w:t>
      </w:r>
      <w:r w:rsidR="00941773" w:rsidRPr="00941773">
        <w:rPr>
          <w:rFonts w:ascii="Times New Roman" w:hAnsi="Times New Roman"/>
          <w:sz w:val="24"/>
          <w:szCs w:val="24"/>
          <w:lang w:val="sr-Cyrl-CS"/>
        </w:rPr>
        <w:t>Европска унија даје смернице властима у Србији по питању реформских приоритета у оквиру Европског партнерства</w:t>
      </w:r>
      <w:r w:rsidR="00941773">
        <w:rPr>
          <w:rFonts w:ascii="Times New Roman" w:hAnsi="Times New Roman"/>
          <w:sz w:val="24"/>
          <w:szCs w:val="24"/>
          <w:lang w:val="sr-Cyrl-CS"/>
        </w:rPr>
        <w:t>.</w:t>
      </w:r>
      <w:r w:rsidR="00C75F8C">
        <w:rPr>
          <w:rFonts w:ascii="Times New Roman" w:hAnsi="Times New Roman"/>
          <w:sz w:val="24"/>
          <w:szCs w:val="24"/>
          <w:lang w:val="sr-Cyrl-CS"/>
        </w:rPr>
        <w:t xml:space="preserve"> </w:t>
      </w:r>
    </w:p>
    <w:p w:rsidR="00265B10" w:rsidRDefault="00265B10" w:rsidP="004742CF">
      <w:pPr>
        <w:pStyle w:val="ListParagraph"/>
        <w:ind w:left="0"/>
        <w:jc w:val="both"/>
        <w:rPr>
          <w:rFonts w:ascii="Times New Roman" w:hAnsi="Times New Roman"/>
          <w:sz w:val="24"/>
          <w:szCs w:val="24"/>
          <w:lang w:val="sr-Cyrl-CS"/>
        </w:rPr>
      </w:pPr>
    </w:p>
    <w:p w:rsidR="00265B10" w:rsidRDefault="00265B10" w:rsidP="00266E27">
      <w:pPr>
        <w:pStyle w:val="ListParagraph"/>
        <w:ind w:left="0" w:firstLine="708"/>
        <w:jc w:val="both"/>
        <w:rPr>
          <w:rFonts w:ascii="Times New Roman" w:hAnsi="Times New Roman"/>
          <w:sz w:val="24"/>
          <w:szCs w:val="24"/>
          <w:lang w:val="sr-Cyrl-CS"/>
        </w:rPr>
      </w:pPr>
      <w:r>
        <w:rPr>
          <w:rFonts w:ascii="Times New Roman" w:hAnsi="Times New Roman"/>
          <w:sz w:val="24"/>
          <w:szCs w:val="24"/>
          <w:lang w:val="sr-Cyrl-CS"/>
        </w:rPr>
        <w:t>Према Споразуму о ста</w:t>
      </w:r>
      <w:r w:rsidR="00F150E0">
        <w:rPr>
          <w:rFonts w:ascii="Times New Roman" w:hAnsi="Times New Roman"/>
          <w:sz w:val="24"/>
          <w:szCs w:val="24"/>
          <w:lang w:val="sr-Cyrl-CS"/>
        </w:rPr>
        <w:t>билизацији и придруживању Србија и ЕУ</w:t>
      </w:r>
      <w:r>
        <w:rPr>
          <w:rFonts w:ascii="Times New Roman" w:hAnsi="Times New Roman"/>
          <w:sz w:val="24"/>
          <w:szCs w:val="24"/>
          <w:lang w:val="sr-Cyrl-CS"/>
        </w:rPr>
        <w:t xml:space="preserve"> ће сарађивати </w:t>
      </w:r>
      <w:r w:rsidR="00D22277">
        <w:rPr>
          <w:rFonts w:ascii="Times New Roman" w:hAnsi="Times New Roman"/>
          <w:sz w:val="24"/>
          <w:szCs w:val="24"/>
          <w:lang w:val="sr-Cyrl-CS"/>
        </w:rPr>
        <w:t>и на</w:t>
      </w:r>
      <w:r w:rsidR="00F150E0">
        <w:rPr>
          <w:rFonts w:ascii="Times New Roman" w:hAnsi="Times New Roman"/>
          <w:sz w:val="24"/>
          <w:szCs w:val="24"/>
          <w:lang w:val="sr-Cyrl-CS"/>
        </w:rPr>
        <w:t xml:space="preserve"> </w:t>
      </w:r>
      <w:r w:rsidR="00D22277">
        <w:rPr>
          <w:rFonts w:ascii="Times New Roman" w:hAnsi="Times New Roman"/>
          <w:sz w:val="24"/>
          <w:szCs w:val="24"/>
          <w:lang w:val="sr-Cyrl-CS"/>
        </w:rPr>
        <w:t>тај начин олакшати процес е</w:t>
      </w:r>
      <w:r w:rsidR="00F150E0">
        <w:rPr>
          <w:rFonts w:ascii="Times New Roman" w:hAnsi="Times New Roman"/>
          <w:sz w:val="24"/>
          <w:szCs w:val="24"/>
          <w:lang w:val="sr-Cyrl-CS"/>
        </w:rPr>
        <w:t>кономске реформе да би побољшале</w:t>
      </w:r>
      <w:r w:rsidR="00D22277">
        <w:rPr>
          <w:rFonts w:ascii="Times New Roman" w:hAnsi="Times New Roman"/>
          <w:sz w:val="24"/>
          <w:szCs w:val="24"/>
          <w:lang w:val="sr-Cyrl-CS"/>
        </w:rPr>
        <w:t xml:space="preserve"> разумевање основа својих економија, формулацију и примену економске политике у тржишним економијама. У том циљу Србија и Заједница ће сарађивати ради:</w:t>
      </w:r>
      <w:r w:rsidR="00266E27">
        <w:rPr>
          <w:rFonts w:ascii="Times New Roman" w:hAnsi="Times New Roman"/>
          <w:sz w:val="24"/>
          <w:szCs w:val="24"/>
          <w:lang w:val="sr-Cyrl-CS"/>
        </w:rPr>
        <w:t xml:space="preserve"> </w:t>
      </w:r>
    </w:p>
    <w:p w:rsidR="00F150E0" w:rsidRDefault="00F150E0" w:rsidP="00266E27">
      <w:pPr>
        <w:pStyle w:val="ListParagraph"/>
        <w:ind w:left="0" w:firstLine="708"/>
        <w:jc w:val="both"/>
        <w:rPr>
          <w:rFonts w:ascii="Times New Roman" w:hAnsi="Times New Roman"/>
          <w:sz w:val="24"/>
          <w:szCs w:val="24"/>
          <w:lang w:val="sr-Cyrl-CS"/>
        </w:rPr>
      </w:pPr>
    </w:p>
    <w:p w:rsidR="00D22277" w:rsidRDefault="00D22277" w:rsidP="004742CF">
      <w:pPr>
        <w:pStyle w:val="ListParagraph"/>
        <w:ind w:left="0"/>
        <w:jc w:val="both"/>
        <w:rPr>
          <w:rFonts w:ascii="Times New Roman" w:hAnsi="Times New Roman"/>
          <w:sz w:val="24"/>
          <w:szCs w:val="24"/>
          <w:lang w:val="sr-Cyrl-CS"/>
        </w:rPr>
      </w:pPr>
      <w:r>
        <w:rPr>
          <w:rFonts w:ascii="Times New Roman" w:hAnsi="Times New Roman"/>
          <w:sz w:val="24"/>
          <w:szCs w:val="24"/>
          <w:lang w:val="sr-Cyrl-CS"/>
        </w:rPr>
        <w:t>А) размене инфо</w:t>
      </w:r>
      <w:r w:rsidR="00C770EA">
        <w:rPr>
          <w:rFonts w:ascii="Times New Roman" w:hAnsi="Times New Roman"/>
          <w:sz w:val="24"/>
          <w:szCs w:val="24"/>
          <w:lang w:val="sr-Cyrl-CS"/>
        </w:rPr>
        <w:t>рмација о макроекономским резул</w:t>
      </w:r>
      <w:r>
        <w:rPr>
          <w:rFonts w:ascii="Times New Roman" w:hAnsi="Times New Roman"/>
          <w:sz w:val="24"/>
          <w:szCs w:val="24"/>
          <w:lang w:val="sr-Cyrl-CS"/>
        </w:rPr>
        <w:t>та</w:t>
      </w:r>
      <w:r w:rsidR="00C770EA">
        <w:rPr>
          <w:rFonts w:ascii="Times New Roman" w:hAnsi="Times New Roman"/>
          <w:sz w:val="24"/>
          <w:szCs w:val="24"/>
          <w:lang w:val="sr-Cyrl-CS"/>
        </w:rPr>
        <w:t>т</w:t>
      </w:r>
      <w:r>
        <w:rPr>
          <w:rFonts w:ascii="Times New Roman" w:hAnsi="Times New Roman"/>
          <w:sz w:val="24"/>
          <w:szCs w:val="24"/>
          <w:lang w:val="sr-Cyrl-CS"/>
        </w:rPr>
        <w:t>има и могућностима као и о развојним стратегијама;</w:t>
      </w:r>
    </w:p>
    <w:p w:rsidR="00F150E0" w:rsidRDefault="00F150E0" w:rsidP="004742CF">
      <w:pPr>
        <w:pStyle w:val="ListParagraph"/>
        <w:ind w:left="0"/>
        <w:jc w:val="both"/>
        <w:rPr>
          <w:rFonts w:ascii="Times New Roman" w:hAnsi="Times New Roman"/>
          <w:sz w:val="24"/>
          <w:szCs w:val="24"/>
          <w:lang w:val="sr-Cyrl-CS"/>
        </w:rPr>
      </w:pPr>
    </w:p>
    <w:p w:rsidR="00D22277" w:rsidRDefault="00D22277" w:rsidP="004742CF">
      <w:pPr>
        <w:pStyle w:val="ListParagraph"/>
        <w:ind w:left="0"/>
        <w:jc w:val="both"/>
        <w:rPr>
          <w:rFonts w:ascii="Times New Roman" w:hAnsi="Times New Roman"/>
          <w:sz w:val="24"/>
          <w:szCs w:val="24"/>
          <w:lang w:val="sr-Cyrl-CS"/>
        </w:rPr>
      </w:pPr>
      <w:r>
        <w:rPr>
          <w:rFonts w:ascii="Times New Roman" w:hAnsi="Times New Roman"/>
          <w:sz w:val="24"/>
          <w:szCs w:val="24"/>
          <w:lang w:val="sr-Cyrl-CS"/>
        </w:rPr>
        <w:t>Б) заједничке анализе економских питања од заједничког интереса, укључујући обликовање економске политике и инструмената за њену примену;</w:t>
      </w:r>
    </w:p>
    <w:p w:rsidR="00F150E0" w:rsidRDefault="00F150E0" w:rsidP="004742CF">
      <w:pPr>
        <w:pStyle w:val="ListParagraph"/>
        <w:ind w:left="0"/>
        <w:jc w:val="both"/>
        <w:rPr>
          <w:rFonts w:ascii="Times New Roman" w:hAnsi="Times New Roman"/>
          <w:sz w:val="24"/>
          <w:szCs w:val="24"/>
          <w:lang w:val="sr-Cyrl-CS"/>
        </w:rPr>
      </w:pPr>
    </w:p>
    <w:p w:rsidR="00D22277" w:rsidRDefault="00D22277" w:rsidP="004742CF">
      <w:pPr>
        <w:pStyle w:val="ListParagraph"/>
        <w:ind w:left="0"/>
        <w:jc w:val="both"/>
        <w:rPr>
          <w:rFonts w:ascii="Times New Roman" w:hAnsi="Times New Roman"/>
          <w:sz w:val="24"/>
          <w:szCs w:val="24"/>
          <w:lang w:val="sr-Cyrl-CS"/>
        </w:rPr>
      </w:pPr>
      <w:r>
        <w:rPr>
          <w:rFonts w:ascii="Times New Roman" w:hAnsi="Times New Roman"/>
          <w:sz w:val="24"/>
          <w:szCs w:val="24"/>
          <w:lang w:val="sr-Cyrl-CS"/>
        </w:rPr>
        <w:t>Ц) промовисање шире сарадње ради убрз</w:t>
      </w:r>
      <w:r w:rsidR="00C770EA">
        <w:rPr>
          <w:rFonts w:ascii="Times New Roman" w:hAnsi="Times New Roman"/>
          <w:sz w:val="24"/>
          <w:szCs w:val="24"/>
          <w:lang w:val="sr-Cyrl-CS"/>
        </w:rPr>
        <w:t>а</w:t>
      </w:r>
      <w:r>
        <w:rPr>
          <w:rFonts w:ascii="Times New Roman" w:hAnsi="Times New Roman"/>
          <w:sz w:val="24"/>
          <w:szCs w:val="24"/>
          <w:lang w:val="sr-Cyrl-CS"/>
        </w:rPr>
        <w:t>вања преноса знања и искуства</w:t>
      </w:r>
      <w:r>
        <w:rPr>
          <w:rFonts w:ascii="Times New Roman" w:hAnsi="Times New Roman"/>
          <w:sz w:val="24"/>
          <w:szCs w:val="24"/>
        </w:rPr>
        <w:t xml:space="preserve"> (know-how)</w:t>
      </w:r>
      <w:r>
        <w:rPr>
          <w:rFonts w:ascii="Times New Roman" w:hAnsi="Times New Roman"/>
          <w:sz w:val="24"/>
          <w:szCs w:val="24"/>
          <w:lang w:val="sr-Cyrl-CS"/>
        </w:rPr>
        <w:t xml:space="preserve"> и приступа новим технологијама.</w:t>
      </w:r>
      <w:r>
        <w:rPr>
          <w:rStyle w:val="FootnoteReference"/>
          <w:rFonts w:ascii="Times New Roman" w:hAnsi="Times New Roman"/>
          <w:sz w:val="24"/>
          <w:szCs w:val="24"/>
          <w:lang w:val="sr-Cyrl-CS"/>
        </w:rPr>
        <w:footnoteReference w:id="197"/>
      </w:r>
    </w:p>
    <w:p w:rsidR="00D22277" w:rsidRDefault="00D22277" w:rsidP="004742CF">
      <w:pPr>
        <w:pStyle w:val="ListParagraph"/>
        <w:ind w:left="0"/>
        <w:jc w:val="both"/>
        <w:rPr>
          <w:rFonts w:ascii="Times New Roman" w:hAnsi="Times New Roman"/>
          <w:sz w:val="24"/>
          <w:szCs w:val="24"/>
          <w:lang w:val="sr-Cyrl-CS"/>
        </w:rPr>
      </w:pPr>
    </w:p>
    <w:p w:rsidR="00D22277" w:rsidRDefault="00D22277" w:rsidP="00F150E0">
      <w:pPr>
        <w:pStyle w:val="ListParagraph"/>
        <w:ind w:left="0" w:firstLine="708"/>
        <w:jc w:val="both"/>
        <w:rPr>
          <w:rFonts w:ascii="Times New Roman" w:hAnsi="Times New Roman"/>
          <w:sz w:val="24"/>
          <w:szCs w:val="24"/>
          <w:lang w:val="sr-Cyrl-CS"/>
        </w:rPr>
      </w:pPr>
      <w:r>
        <w:rPr>
          <w:rFonts w:ascii="Times New Roman" w:hAnsi="Times New Roman"/>
          <w:sz w:val="24"/>
          <w:szCs w:val="24"/>
          <w:lang w:val="sr-Cyrl-CS"/>
        </w:rPr>
        <w:t xml:space="preserve">Стране ће успоставити сарадњу на подручју опорезивања, укључујући мере усмерене ка даљој реформи фискалног система и реструктуирању пореске управе ради осигурања делотворности убирања пореза и борбе против </w:t>
      </w:r>
      <w:r w:rsidR="00F150E0">
        <w:rPr>
          <w:rFonts w:ascii="Times New Roman" w:hAnsi="Times New Roman"/>
          <w:sz w:val="24"/>
          <w:szCs w:val="24"/>
          <w:lang w:val="sr-Cyrl-CS"/>
        </w:rPr>
        <w:t>пореских превара. У оквиру сара</w:t>
      </w:r>
      <w:r>
        <w:rPr>
          <w:rFonts w:ascii="Times New Roman" w:hAnsi="Times New Roman"/>
          <w:sz w:val="24"/>
          <w:szCs w:val="24"/>
          <w:lang w:val="sr-Cyrl-CS"/>
        </w:rPr>
        <w:t>дње узеће се у обзир приоритетне области које се тичу правних тековина Заједнице у области пореза и у оквиру борбе против штетне пореске конкуренције. Елиминисање штетне пореске конкуренције треба да</w:t>
      </w:r>
      <w:r w:rsidR="00AE2458">
        <w:rPr>
          <w:rFonts w:ascii="Times New Roman" w:hAnsi="Times New Roman"/>
          <w:sz w:val="24"/>
          <w:szCs w:val="24"/>
          <w:lang w:val="sr-Cyrl-CS"/>
        </w:rPr>
        <w:t xml:space="preserve"> се обави </w:t>
      </w:r>
      <w:r w:rsidR="00F150E0">
        <w:rPr>
          <w:rFonts w:ascii="Times New Roman" w:hAnsi="Times New Roman"/>
          <w:sz w:val="24"/>
          <w:szCs w:val="24"/>
          <w:lang w:val="sr-Cyrl-CS"/>
        </w:rPr>
        <w:t>на основу начела Кодекса понаша</w:t>
      </w:r>
      <w:r w:rsidR="00C770EA">
        <w:rPr>
          <w:rFonts w:ascii="Times New Roman" w:hAnsi="Times New Roman"/>
          <w:sz w:val="24"/>
          <w:szCs w:val="24"/>
          <w:lang w:val="sr-Cyrl-CS"/>
        </w:rPr>
        <w:t>ња</w:t>
      </w:r>
      <w:r w:rsidR="00AE2458">
        <w:rPr>
          <w:rFonts w:ascii="Times New Roman" w:hAnsi="Times New Roman"/>
          <w:sz w:val="24"/>
          <w:szCs w:val="24"/>
          <w:lang w:val="sr-Cyrl-CS"/>
        </w:rPr>
        <w:t xml:space="preserve"> за пословна опорез</w:t>
      </w:r>
      <w:r w:rsidR="00F150E0">
        <w:rPr>
          <w:rFonts w:ascii="Times New Roman" w:hAnsi="Times New Roman"/>
          <w:sz w:val="24"/>
          <w:szCs w:val="24"/>
          <w:lang w:val="sr-Cyrl-CS"/>
        </w:rPr>
        <w:t>ивања које је Савет усвојио 1. децембра 1997. г</w:t>
      </w:r>
      <w:r w:rsidR="00AE2458">
        <w:rPr>
          <w:rFonts w:ascii="Times New Roman" w:hAnsi="Times New Roman"/>
          <w:sz w:val="24"/>
          <w:szCs w:val="24"/>
          <w:lang w:val="sr-Cyrl-CS"/>
        </w:rPr>
        <w:t xml:space="preserve">одине. Сарадња ће такође укључити побољшање транспарентности и борбу против корупције </w:t>
      </w:r>
      <w:r w:rsidR="00C770EA">
        <w:rPr>
          <w:rFonts w:ascii="Times New Roman" w:hAnsi="Times New Roman"/>
          <w:sz w:val="24"/>
          <w:szCs w:val="24"/>
          <w:lang w:val="sr-Cyrl-CS"/>
        </w:rPr>
        <w:t>укључујући размену информа</w:t>
      </w:r>
      <w:r w:rsidR="00761350">
        <w:rPr>
          <w:rFonts w:ascii="Times New Roman" w:hAnsi="Times New Roman"/>
          <w:sz w:val="24"/>
          <w:szCs w:val="24"/>
          <w:lang w:val="sr-Cyrl-CS"/>
        </w:rPr>
        <w:t>ција са државама чланицама, ради олакшавања извршења мера које спречавају пореску превару, утају пореза и избегавање пореза. Србија ће комплетирати мрежу билатералних споразума са др</w:t>
      </w:r>
      <w:r w:rsidR="00F150E0">
        <w:rPr>
          <w:rFonts w:ascii="Times New Roman" w:hAnsi="Times New Roman"/>
          <w:sz w:val="24"/>
          <w:szCs w:val="24"/>
          <w:lang w:val="sr-Cyrl-CS"/>
        </w:rPr>
        <w:t>ж</w:t>
      </w:r>
      <w:r w:rsidR="00761350">
        <w:rPr>
          <w:rFonts w:ascii="Times New Roman" w:hAnsi="Times New Roman"/>
          <w:sz w:val="24"/>
          <w:szCs w:val="24"/>
          <w:lang w:val="sr-Cyrl-CS"/>
        </w:rPr>
        <w:t>авама чланицама у складу с</w:t>
      </w:r>
      <w:r w:rsidR="00F150E0">
        <w:rPr>
          <w:rFonts w:ascii="Times New Roman" w:hAnsi="Times New Roman"/>
          <w:sz w:val="24"/>
          <w:szCs w:val="24"/>
          <w:lang w:val="sr-Cyrl-CS"/>
        </w:rPr>
        <w:t>а посл</w:t>
      </w:r>
      <w:r w:rsidR="00761350">
        <w:rPr>
          <w:rFonts w:ascii="Times New Roman" w:hAnsi="Times New Roman"/>
          <w:sz w:val="24"/>
          <w:szCs w:val="24"/>
          <w:lang w:val="sr-Cyrl-CS"/>
        </w:rPr>
        <w:t>едњим измена</w:t>
      </w:r>
      <w:r w:rsidR="00C770EA">
        <w:rPr>
          <w:rFonts w:ascii="Times New Roman" w:hAnsi="Times New Roman"/>
          <w:sz w:val="24"/>
          <w:szCs w:val="24"/>
          <w:lang w:val="sr-Cyrl-CS"/>
        </w:rPr>
        <w:t>ма ОЕЦД М</w:t>
      </w:r>
      <w:r w:rsidR="00761350">
        <w:rPr>
          <w:rFonts w:ascii="Times New Roman" w:hAnsi="Times New Roman"/>
          <w:sz w:val="24"/>
          <w:szCs w:val="24"/>
          <w:lang w:val="sr-Cyrl-CS"/>
        </w:rPr>
        <w:t>одела конвенције о порезима и приходима на капитал као и на основу ОЕЦД модела споразума о размени информација у пореским стварима, у мери у којој су државе чланице преузеле обавезу према овим конвенцијама.</w:t>
      </w:r>
      <w:r w:rsidR="00761350">
        <w:rPr>
          <w:rStyle w:val="FootnoteReference"/>
          <w:rFonts w:ascii="Times New Roman" w:hAnsi="Times New Roman"/>
          <w:sz w:val="24"/>
          <w:szCs w:val="24"/>
          <w:lang w:val="sr-Cyrl-CS"/>
        </w:rPr>
        <w:footnoteReference w:id="198"/>
      </w:r>
      <w:r w:rsidR="00F150E0">
        <w:rPr>
          <w:rFonts w:ascii="Times New Roman" w:hAnsi="Times New Roman"/>
          <w:sz w:val="24"/>
          <w:szCs w:val="24"/>
          <w:lang w:val="sr-Cyrl-CS"/>
        </w:rPr>
        <w:t xml:space="preserve"> </w:t>
      </w:r>
    </w:p>
    <w:p w:rsidR="000C5068" w:rsidRDefault="000C5068" w:rsidP="004742CF">
      <w:pPr>
        <w:pStyle w:val="ListParagraph"/>
        <w:ind w:left="0"/>
        <w:jc w:val="both"/>
        <w:rPr>
          <w:rFonts w:ascii="Times New Roman" w:hAnsi="Times New Roman"/>
          <w:sz w:val="24"/>
          <w:szCs w:val="24"/>
          <w:lang w:val="sr-Cyrl-CS"/>
        </w:rPr>
      </w:pPr>
    </w:p>
    <w:p w:rsidR="009A5F7A" w:rsidRDefault="000C5068" w:rsidP="00F150E0">
      <w:pPr>
        <w:pStyle w:val="ListParagraph"/>
        <w:ind w:left="0" w:firstLine="708"/>
        <w:jc w:val="both"/>
        <w:rPr>
          <w:rFonts w:ascii="Times New Roman" w:hAnsi="Times New Roman"/>
          <w:sz w:val="24"/>
          <w:szCs w:val="24"/>
          <w:lang w:val="sr-Cyrl-CS"/>
        </w:rPr>
      </w:pPr>
      <w:r>
        <w:rPr>
          <w:rFonts w:ascii="Times New Roman" w:hAnsi="Times New Roman"/>
          <w:sz w:val="24"/>
          <w:szCs w:val="24"/>
          <w:lang w:val="sr-Cyrl-CS"/>
        </w:rPr>
        <w:t xml:space="preserve">Европска комисија једном годишње оцењује напредак појединачних држава кандидата и потенцијалних кандидата у процесу приступања Европској унији, па тако и наше земље. </w:t>
      </w:r>
      <w:r w:rsidR="00D60FB6" w:rsidRPr="00D60FB6">
        <w:rPr>
          <w:rFonts w:ascii="Times New Roman" w:hAnsi="Times New Roman"/>
          <w:sz w:val="24"/>
          <w:szCs w:val="24"/>
          <w:lang w:val="sr-Cyrl-CS"/>
        </w:rPr>
        <w:t>Од марта 2002. године Комисија подноси редовне извештаје Савету и Парламенту о постигнутом напретку земаља запа</w:t>
      </w:r>
      <w:r w:rsidR="009A5F7A">
        <w:rPr>
          <w:rFonts w:ascii="Times New Roman" w:hAnsi="Times New Roman"/>
          <w:sz w:val="24"/>
          <w:szCs w:val="24"/>
          <w:lang w:val="sr-Cyrl-CS"/>
        </w:rPr>
        <w:t>дног Балкана, па тако и извештаје о напретку Србије.</w:t>
      </w:r>
      <w:r w:rsidR="009A5F7A">
        <w:rPr>
          <w:rStyle w:val="FootnoteReference"/>
          <w:rFonts w:ascii="Times New Roman" w:hAnsi="Times New Roman"/>
          <w:sz w:val="24"/>
          <w:szCs w:val="24"/>
          <w:lang w:val="sr-Cyrl-CS"/>
        </w:rPr>
        <w:footnoteReference w:id="199"/>
      </w:r>
      <w:r w:rsidR="009A5F7A">
        <w:rPr>
          <w:rFonts w:ascii="Times New Roman" w:hAnsi="Times New Roman"/>
          <w:sz w:val="24"/>
          <w:szCs w:val="24"/>
          <w:lang w:val="sr-Cyrl-CS"/>
        </w:rPr>
        <w:t xml:space="preserve">   </w:t>
      </w:r>
    </w:p>
    <w:p w:rsidR="009A5F7A" w:rsidRDefault="009A5F7A" w:rsidP="00F150E0">
      <w:pPr>
        <w:pStyle w:val="ListParagraph"/>
        <w:ind w:left="0" w:firstLine="708"/>
        <w:jc w:val="both"/>
        <w:rPr>
          <w:rFonts w:ascii="Times New Roman" w:hAnsi="Times New Roman"/>
          <w:sz w:val="24"/>
          <w:szCs w:val="24"/>
          <w:lang w:val="sr-Cyrl-CS"/>
        </w:rPr>
      </w:pPr>
    </w:p>
    <w:p w:rsidR="009A5F7A" w:rsidRDefault="0055093D" w:rsidP="0096382A">
      <w:pPr>
        <w:pStyle w:val="ListParagraph"/>
        <w:ind w:left="0" w:firstLine="708"/>
        <w:jc w:val="both"/>
        <w:rPr>
          <w:rFonts w:ascii="Times New Roman" w:hAnsi="Times New Roman"/>
          <w:sz w:val="24"/>
          <w:szCs w:val="24"/>
          <w:lang w:val="sr-Cyrl-CS"/>
        </w:rPr>
      </w:pPr>
      <w:r>
        <w:rPr>
          <w:rFonts w:ascii="Times New Roman" w:hAnsi="Times New Roman"/>
          <w:sz w:val="24"/>
          <w:szCs w:val="24"/>
          <w:lang w:val="sr-Cyrl-CS"/>
        </w:rPr>
        <w:t xml:space="preserve">Овај напредак је знатан </w:t>
      </w:r>
      <w:r w:rsidR="00BC1ADF">
        <w:rPr>
          <w:rFonts w:ascii="Times New Roman" w:hAnsi="Times New Roman"/>
          <w:sz w:val="24"/>
          <w:szCs w:val="24"/>
          <w:lang w:val="sr-Cyrl-CS"/>
        </w:rPr>
        <w:t>током</w:t>
      </w:r>
      <w:r>
        <w:rPr>
          <w:rFonts w:ascii="Times New Roman" w:hAnsi="Times New Roman"/>
          <w:sz w:val="24"/>
          <w:szCs w:val="24"/>
          <w:lang w:val="sr-Cyrl-CS"/>
        </w:rPr>
        <w:t xml:space="preserve"> темељне пореске реформе</w:t>
      </w:r>
      <w:r w:rsidR="009A5F7A">
        <w:rPr>
          <w:rFonts w:ascii="Times New Roman" w:hAnsi="Times New Roman"/>
          <w:sz w:val="24"/>
          <w:szCs w:val="24"/>
          <w:lang w:val="sr-Cyrl-CS"/>
        </w:rPr>
        <w:t xml:space="preserve"> у Србији,</w:t>
      </w:r>
      <w:r>
        <w:rPr>
          <w:rFonts w:ascii="Times New Roman" w:hAnsi="Times New Roman"/>
          <w:sz w:val="24"/>
          <w:szCs w:val="24"/>
          <w:lang w:val="sr-Cyrl-CS"/>
        </w:rPr>
        <w:t xml:space="preserve"> али реформа није завршена</w:t>
      </w:r>
      <w:r w:rsidR="0027038A">
        <w:rPr>
          <w:rFonts w:ascii="Times New Roman" w:hAnsi="Times New Roman"/>
          <w:sz w:val="24"/>
          <w:szCs w:val="24"/>
          <w:lang w:val="sr-Cyrl-CS"/>
        </w:rPr>
        <w:t xml:space="preserve"> и бројне измене тек предстоје. Као што је наведено у претходном излагању, </w:t>
      </w:r>
      <w:r w:rsidR="0062756D">
        <w:rPr>
          <w:rFonts w:ascii="Times New Roman" w:hAnsi="Times New Roman"/>
          <w:sz w:val="24"/>
          <w:szCs w:val="24"/>
          <w:lang w:val="sr-Cyrl-CS"/>
        </w:rPr>
        <w:t xml:space="preserve">од 2000. године српско друштво је кренуло бржим темпом ка тржишној привреди и </w:t>
      </w:r>
      <w:r w:rsidR="008E78EB">
        <w:rPr>
          <w:rFonts w:ascii="Times New Roman" w:hAnsi="Times New Roman"/>
          <w:sz w:val="24"/>
          <w:szCs w:val="24"/>
          <w:lang w:val="sr-Cyrl-CS"/>
        </w:rPr>
        <w:t>започета</w:t>
      </w:r>
      <w:r w:rsidR="0062756D">
        <w:rPr>
          <w:rFonts w:ascii="Times New Roman" w:hAnsi="Times New Roman"/>
          <w:sz w:val="24"/>
          <w:szCs w:val="24"/>
          <w:lang w:val="sr-Cyrl-CS"/>
        </w:rPr>
        <w:t xml:space="preserve"> је нова реформа фискалног система, а самим тим и свеобухватна пореска реформа, која заправо представља наставак предузете реформе из деведесетих. </w:t>
      </w:r>
      <w:r w:rsidR="009A5F7A">
        <w:rPr>
          <w:rFonts w:ascii="Times New Roman" w:hAnsi="Times New Roman"/>
          <w:sz w:val="24"/>
          <w:szCs w:val="24"/>
          <w:lang w:val="sr-Cyrl-CS"/>
        </w:rPr>
        <w:t xml:space="preserve">Након увођења ПДВ </w:t>
      </w:r>
      <w:r w:rsidR="0062756D">
        <w:rPr>
          <w:rFonts w:ascii="Times New Roman" w:hAnsi="Times New Roman"/>
          <w:sz w:val="24"/>
          <w:szCs w:val="24"/>
          <w:lang w:val="sr-Cyrl-CS"/>
        </w:rPr>
        <w:t xml:space="preserve">2005. године </w:t>
      </w:r>
      <w:r w:rsidR="009A5F7A">
        <w:rPr>
          <w:rFonts w:ascii="Times New Roman" w:hAnsi="Times New Roman"/>
          <w:sz w:val="24"/>
          <w:szCs w:val="24"/>
          <w:lang w:val="sr-Cyrl-CS"/>
        </w:rPr>
        <w:t>настављено је са реформом законодавства и Пореске управе</w:t>
      </w:r>
      <w:r w:rsidR="0062756D">
        <w:rPr>
          <w:rFonts w:ascii="Times New Roman" w:hAnsi="Times New Roman"/>
          <w:sz w:val="24"/>
          <w:szCs w:val="24"/>
          <w:lang w:val="sr-Cyrl-CS"/>
        </w:rPr>
        <w:t xml:space="preserve">, као и са </w:t>
      </w:r>
      <w:r w:rsidR="009A5F7A">
        <w:rPr>
          <w:rFonts w:ascii="Times New Roman" w:hAnsi="Times New Roman"/>
          <w:sz w:val="24"/>
          <w:szCs w:val="24"/>
          <w:lang w:val="sr-Cyrl-CS"/>
        </w:rPr>
        <w:t>стварањем новог законског оквира како би борба против избегавања плаћања пореза била успешнија. Закон о пореском поступку и пореској администрацији  је измењен и допуњен</w:t>
      </w:r>
      <w:r w:rsidR="0062756D">
        <w:rPr>
          <w:rFonts w:ascii="Times New Roman" w:hAnsi="Times New Roman"/>
          <w:sz w:val="24"/>
          <w:szCs w:val="24"/>
          <w:lang w:val="sr-Cyrl-CS"/>
        </w:rPr>
        <w:t>.</w:t>
      </w:r>
      <w:r w:rsidR="009A5F7A">
        <w:rPr>
          <w:rStyle w:val="FootnoteReference"/>
          <w:rFonts w:ascii="Times New Roman" w:hAnsi="Times New Roman"/>
          <w:sz w:val="24"/>
          <w:szCs w:val="24"/>
          <w:lang w:val="sr-Cyrl-CS"/>
        </w:rPr>
        <w:footnoteReference w:id="200"/>
      </w:r>
      <w:r w:rsidR="009A5F7A">
        <w:rPr>
          <w:rFonts w:ascii="Times New Roman" w:hAnsi="Times New Roman"/>
          <w:sz w:val="24"/>
          <w:szCs w:val="24"/>
          <w:lang w:val="sr-Cyrl-CS"/>
        </w:rPr>
        <w:t xml:space="preserve"> </w:t>
      </w:r>
      <w:r w:rsidR="0062756D">
        <w:rPr>
          <w:rFonts w:ascii="Times New Roman" w:hAnsi="Times New Roman"/>
          <w:sz w:val="24"/>
          <w:szCs w:val="24"/>
          <w:lang w:val="sr-Cyrl-CS"/>
        </w:rPr>
        <w:t>Значајна промена је и та што с</w:t>
      </w:r>
      <w:r w:rsidR="009A5F7A">
        <w:rPr>
          <w:rFonts w:ascii="Times New Roman" w:hAnsi="Times New Roman"/>
          <w:sz w:val="24"/>
          <w:szCs w:val="24"/>
          <w:lang w:val="sr-Cyrl-CS"/>
        </w:rPr>
        <w:t xml:space="preserve">удови престају да буду надлежни за упис у судски регистар, него Агенција за привредне регистре врши упис у Регистар привредних субјеката и о извршеном упису доставља обавештење Пореској управи. Предузете су </w:t>
      </w:r>
      <w:r w:rsidR="0062756D">
        <w:rPr>
          <w:rFonts w:ascii="Times New Roman" w:hAnsi="Times New Roman"/>
          <w:sz w:val="24"/>
          <w:szCs w:val="24"/>
          <w:lang w:val="sr-Cyrl-CS"/>
        </w:rPr>
        <w:t xml:space="preserve">и </w:t>
      </w:r>
      <w:r w:rsidR="009A5F7A">
        <w:rPr>
          <w:rFonts w:ascii="Times New Roman" w:hAnsi="Times New Roman"/>
          <w:sz w:val="24"/>
          <w:szCs w:val="24"/>
          <w:lang w:val="sr-Cyrl-CS"/>
        </w:rPr>
        <w:t xml:space="preserve">мере са циљем повећања пореске дисциплине. Обавеза плаћања новчане казне доспева у краћем року од 15 дана, а не у року од 30 дана, а скраћен је и рок у коме порески обвезник који није измирио пореску обавезу исту треба да плати од дана пријема опомене Пореске управе (пет дана, уместо десет дана).  Уводи се привремена мера обезбеђења пореског потраживања у принудној наплати из новчаних средстава пореског обвезника, која се установљава ради обезбеђења наплате пореза  после почетка поступка принудне наплате. Детаљније су прописана овлашћења Пореске полиције у преткривичном поступку ради откривања пореских кривичних дела и њихових извршилаца. Уведено је </w:t>
      </w:r>
      <w:r w:rsidR="0062756D">
        <w:rPr>
          <w:rFonts w:ascii="Times New Roman" w:hAnsi="Times New Roman"/>
          <w:sz w:val="24"/>
          <w:szCs w:val="24"/>
          <w:lang w:val="sr-Cyrl-CS"/>
        </w:rPr>
        <w:t xml:space="preserve">и </w:t>
      </w:r>
      <w:r w:rsidR="009A5F7A">
        <w:rPr>
          <w:rFonts w:ascii="Times New Roman" w:hAnsi="Times New Roman"/>
          <w:sz w:val="24"/>
          <w:szCs w:val="24"/>
          <w:lang w:val="sr-Cyrl-CS"/>
        </w:rPr>
        <w:t>ново пореско кривично дело Неосновано исказивање износа за повраћај пореза и порески кредит</w:t>
      </w:r>
      <w:r w:rsidR="008E78EB">
        <w:rPr>
          <w:rStyle w:val="FootnoteReference"/>
          <w:rFonts w:ascii="Times New Roman" w:hAnsi="Times New Roman"/>
          <w:sz w:val="24"/>
          <w:szCs w:val="24"/>
          <w:lang w:val="sr-Cyrl-CS"/>
        </w:rPr>
        <w:footnoteReference w:id="201"/>
      </w:r>
      <w:r w:rsidR="009A5F7A">
        <w:rPr>
          <w:rFonts w:ascii="Times New Roman" w:hAnsi="Times New Roman"/>
          <w:sz w:val="24"/>
          <w:szCs w:val="24"/>
          <w:lang w:val="sr-Cyrl-CS"/>
        </w:rPr>
        <w:t xml:space="preserve">, а постојећа кривична дела и порески прекршају су детаљније регулисани.  </w:t>
      </w:r>
      <w:r w:rsidR="00C770EA">
        <w:rPr>
          <w:rFonts w:ascii="Times New Roman" w:hAnsi="Times New Roman"/>
          <w:sz w:val="24"/>
          <w:szCs w:val="24"/>
          <w:lang w:val="sr-Cyrl-CS"/>
        </w:rPr>
        <w:t>Поред</w:t>
      </w:r>
      <w:r w:rsidR="0062756D">
        <w:rPr>
          <w:rFonts w:ascii="Times New Roman" w:hAnsi="Times New Roman"/>
          <w:sz w:val="24"/>
          <w:szCs w:val="24"/>
          <w:lang w:val="sr-Cyrl-CS"/>
        </w:rPr>
        <w:t xml:space="preserve"> тога, </w:t>
      </w:r>
      <w:r w:rsidR="009A5F7A">
        <w:rPr>
          <w:rFonts w:ascii="Times New Roman" w:hAnsi="Times New Roman"/>
          <w:sz w:val="24"/>
          <w:szCs w:val="24"/>
          <w:lang w:val="sr-Cyrl-CS"/>
        </w:rPr>
        <w:t>Закон о акцизама је измењен и допуњен</w:t>
      </w:r>
      <w:r w:rsidR="009A5F7A">
        <w:rPr>
          <w:rStyle w:val="FootnoteReference"/>
          <w:rFonts w:ascii="Times New Roman" w:hAnsi="Times New Roman"/>
          <w:sz w:val="24"/>
          <w:szCs w:val="24"/>
          <w:lang w:val="sr-Cyrl-CS"/>
        </w:rPr>
        <w:footnoteReference w:id="202"/>
      </w:r>
      <w:r w:rsidR="009A5F7A">
        <w:rPr>
          <w:rFonts w:ascii="Times New Roman" w:hAnsi="Times New Roman"/>
          <w:sz w:val="24"/>
          <w:szCs w:val="24"/>
          <w:lang w:val="sr-Cyrl-CS"/>
        </w:rPr>
        <w:t xml:space="preserve"> тако што су измењене стопе и повећана количина акцизне робе, а уведен је повраћај ПДВ за донаторску помоћ. </w:t>
      </w:r>
    </w:p>
    <w:p w:rsidR="0096382A" w:rsidRDefault="0096382A" w:rsidP="0096382A">
      <w:pPr>
        <w:pStyle w:val="ListParagraph"/>
        <w:ind w:left="0" w:firstLine="708"/>
        <w:jc w:val="both"/>
        <w:rPr>
          <w:rFonts w:ascii="Times New Roman" w:hAnsi="Times New Roman"/>
          <w:sz w:val="24"/>
          <w:szCs w:val="24"/>
          <w:lang w:val="sr-Cyrl-CS"/>
        </w:rPr>
      </w:pPr>
    </w:p>
    <w:p w:rsidR="00DB410E" w:rsidRDefault="005A7FCD" w:rsidP="0096382A">
      <w:pPr>
        <w:pStyle w:val="ListParagraph"/>
        <w:ind w:left="0" w:firstLine="708"/>
        <w:jc w:val="both"/>
        <w:rPr>
          <w:rFonts w:ascii="Times New Roman" w:hAnsi="Times New Roman"/>
          <w:sz w:val="24"/>
          <w:szCs w:val="24"/>
          <w:lang w:val="sr-Cyrl-CS"/>
        </w:rPr>
      </w:pPr>
      <w:r>
        <w:rPr>
          <w:rFonts w:ascii="Times New Roman" w:hAnsi="Times New Roman"/>
          <w:sz w:val="24"/>
          <w:szCs w:val="24"/>
          <w:lang w:val="sr-Cyrl-CS"/>
        </w:rPr>
        <w:t>Током 2007. године усвојен је нови З</w:t>
      </w:r>
      <w:r w:rsidR="009A5F7A" w:rsidRPr="00D60FB6">
        <w:rPr>
          <w:rFonts w:ascii="Times New Roman" w:hAnsi="Times New Roman"/>
          <w:sz w:val="24"/>
          <w:szCs w:val="24"/>
          <w:lang w:val="sr-Cyrl-CS"/>
        </w:rPr>
        <w:t>акон о акцизама</w:t>
      </w:r>
      <w:r>
        <w:rPr>
          <w:rStyle w:val="FootnoteReference"/>
          <w:rFonts w:ascii="Times New Roman" w:hAnsi="Times New Roman"/>
          <w:sz w:val="24"/>
          <w:szCs w:val="24"/>
          <w:lang w:val="sr-Cyrl-CS"/>
        </w:rPr>
        <w:footnoteReference w:id="203"/>
      </w:r>
      <w:r w:rsidR="009A5F7A" w:rsidRPr="00D60FB6">
        <w:rPr>
          <w:rFonts w:ascii="Times New Roman" w:hAnsi="Times New Roman"/>
          <w:sz w:val="24"/>
          <w:szCs w:val="24"/>
          <w:lang w:val="sr-Cyrl-CS"/>
        </w:rPr>
        <w:t xml:space="preserve">, којим се </w:t>
      </w:r>
      <w:r w:rsidR="0096382A">
        <w:rPr>
          <w:rFonts w:ascii="Times New Roman" w:hAnsi="Times New Roman"/>
          <w:sz w:val="24"/>
          <w:szCs w:val="24"/>
          <w:lang w:val="sr-Cyrl-CS"/>
        </w:rPr>
        <w:t>у великој мери структура приближава европским стандардима</w:t>
      </w:r>
      <w:r w:rsidR="00995849">
        <w:rPr>
          <w:rFonts w:ascii="Times New Roman" w:hAnsi="Times New Roman"/>
          <w:sz w:val="24"/>
          <w:szCs w:val="24"/>
          <w:lang w:val="sr-Cyrl-CS"/>
        </w:rPr>
        <w:t>,</w:t>
      </w:r>
      <w:r w:rsidR="0096382A">
        <w:rPr>
          <w:rStyle w:val="FootnoteReference"/>
          <w:rFonts w:ascii="Times New Roman" w:hAnsi="Times New Roman"/>
          <w:sz w:val="24"/>
          <w:szCs w:val="24"/>
          <w:lang w:val="sr-Cyrl-CS"/>
        </w:rPr>
        <w:footnoteReference w:id="204"/>
      </w:r>
      <w:r w:rsidR="0096382A">
        <w:rPr>
          <w:rFonts w:ascii="Times New Roman" w:hAnsi="Times New Roman"/>
          <w:sz w:val="24"/>
          <w:szCs w:val="24"/>
          <w:lang w:val="sr-Cyrl-CS"/>
        </w:rPr>
        <w:t xml:space="preserve"> </w:t>
      </w:r>
      <w:r w:rsidR="00995849">
        <w:rPr>
          <w:rFonts w:ascii="Times New Roman" w:hAnsi="Times New Roman"/>
          <w:sz w:val="24"/>
          <w:szCs w:val="24"/>
          <w:lang w:val="sr-Cyrl-CS"/>
        </w:rPr>
        <w:t>а са тим трендом је настављено и током 2008. године</w:t>
      </w:r>
      <w:r w:rsidR="009A5F7A" w:rsidRPr="00D60FB6">
        <w:rPr>
          <w:rFonts w:ascii="Times New Roman" w:hAnsi="Times New Roman"/>
          <w:sz w:val="24"/>
          <w:szCs w:val="24"/>
          <w:lang w:val="sr-Cyrl-CS"/>
        </w:rPr>
        <w:t xml:space="preserve">. </w:t>
      </w:r>
      <w:r w:rsidR="00C75F8C">
        <w:rPr>
          <w:rFonts w:ascii="Times New Roman" w:hAnsi="Times New Roman"/>
          <w:sz w:val="24"/>
          <w:szCs w:val="24"/>
          <w:lang w:val="sr-Cyrl-CS"/>
        </w:rPr>
        <w:t xml:space="preserve">У периоду од </w:t>
      </w:r>
      <w:r w:rsidR="00C75F8C" w:rsidRPr="00ED0611">
        <w:rPr>
          <w:rFonts w:ascii="Times New Roman" w:hAnsi="Times New Roman"/>
          <w:sz w:val="24"/>
          <w:szCs w:val="24"/>
          <w:lang w:val="sr-Cyrl-CS"/>
        </w:rPr>
        <w:t>2001. до 2008.</w:t>
      </w:r>
      <w:r w:rsidR="00C75F8C">
        <w:rPr>
          <w:rFonts w:ascii="Times New Roman" w:hAnsi="Times New Roman"/>
          <w:sz w:val="24"/>
          <w:szCs w:val="24"/>
          <w:lang w:val="sr-Cyrl-CS"/>
        </w:rPr>
        <w:t xml:space="preserve"> године донето је преко 500 закона </w:t>
      </w:r>
      <w:r w:rsidR="00C75F8C">
        <w:rPr>
          <w:rFonts w:ascii="Times New Roman" w:hAnsi="Times New Roman"/>
          <w:sz w:val="24"/>
          <w:szCs w:val="24"/>
          <w:lang w:val="sr-Cyrl-CS"/>
        </w:rPr>
        <w:lastRenderedPageBreak/>
        <w:t>којима се уређује тржишни систем и који су у значајној мери хармонизовани са прописима ЕУ. У протеклом транзиционом периоду постављена је институционална основа за бржи раст привреде Србије</w:t>
      </w:r>
      <w:r w:rsidR="00C770EA">
        <w:rPr>
          <w:rFonts w:ascii="Times New Roman" w:hAnsi="Times New Roman"/>
          <w:sz w:val="24"/>
          <w:szCs w:val="24"/>
          <w:lang w:val="sr-Cyrl-CS"/>
        </w:rPr>
        <w:t>,</w:t>
      </w:r>
      <w:r w:rsidR="00C75F8C">
        <w:rPr>
          <w:rFonts w:ascii="Times New Roman" w:hAnsi="Times New Roman"/>
          <w:sz w:val="24"/>
          <w:szCs w:val="24"/>
          <w:lang w:val="sr-Cyrl-CS"/>
        </w:rPr>
        <w:t xml:space="preserve"> између осталог</w:t>
      </w:r>
      <w:r w:rsidR="00C770EA">
        <w:rPr>
          <w:rFonts w:ascii="Times New Roman" w:hAnsi="Times New Roman"/>
          <w:sz w:val="24"/>
          <w:szCs w:val="24"/>
          <w:lang w:val="sr-Cyrl-CS"/>
        </w:rPr>
        <w:t>,</w:t>
      </w:r>
      <w:r w:rsidR="00C75F8C">
        <w:rPr>
          <w:rFonts w:ascii="Times New Roman" w:hAnsi="Times New Roman"/>
          <w:sz w:val="24"/>
          <w:szCs w:val="24"/>
          <w:lang w:val="sr-Cyrl-CS"/>
        </w:rPr>
        <w:t xml:space="preserve"> и кроз реформу пореског и банкарског система.</w:t>
      </w:r>
    </w:p>
    <w:p w:rsidR="00DB410E" w:rsidRDefault="00DB410E" w:rsidP="0096382A">
      <w:pPr>
        <w:pStyle w:val="ListParagraph"/>
        <w:ind w:left="0" w:firstLine="708"/>
        <w:jc w:val="both"/>
        <w:rPr>
          <w:rFonts w:ascii="Times New Roman" w:hAnsi="Times New Roman"/>
          <w:sz w:val="24"/>
          <w:szCs w:val="24"/>
          <w:lang w:val="sr-Cyrl-CS"/>
        </w:rPr>
      </w:pPr>
    </w:p>
    <w:p w:rsidR="00DB410E" w:rsidRDefault="00DB410E" w:rsidP="00D57B44">
      <w:pPr>
        <w:pStyle w:val="ListParagraph"/>
        <w:ind w:left="0" w:firstLine="708"/>
        <w:jc w:val="both"/>
        <w:rPr>
          <w:rFonts w:ascii="Times New Roman" w:hAnsi="Times New Roman"/>
          <w:sz w:val="24"/>
          <w:szCs w:val="24"/>
          <w:lang w:val="sr-Cyrl-CS"/>
        </w:rPr>
      </w:pPr>
      <w:r>
        <w:rPr>
          <w:rFonts w:ascii="Times New Roman" w:hAnsi="Times New Roman"/>
          <w:sz w:val="24"/>
          <w:szCs w:val="24"/>
          <w:lang w:val="sr-Cyrl-CS"/>
        </w:rPr>
        <w:t xml:space="preserve">У јануару 2009. године усвојене су </w:t>
      </w:r>
      <w:r w:rsidRPr="00ED0611">
        <w:rPr>
          <w:rFonts w:ascii="Times New Roman" w:hAnsi="Times New Roman"/>
          <w:sz w:val="24"/>
          <w:szCs w:val="24"/>
          <w:lang w:val="sr-Cyrl-CS"/>
        </w:rPr>
        <w:t>измене и допуне Закона о акцизима</w:t>
      </w:r>
      <w:r w:rsidR="00ED0611">
        <w:rPr>
          <w:rStyle w:val="FootnoteReference"/>
          <w:rFonts w:ascii="Times New Roman" w:hAnsi="Times New Roman"/>
          <w:sz w:val="24"/>
          <w:szCs w:val="24"/>
          <w:lang w:val="sr-Cyrl-CS"/>
        </w:rPr>
        <w:footnoteReference w:id="205"/>
      </w:r>
      <w:r w:rsidRPr="00ED0611">
        <w:rPr>
          <w:rFonts w:ascii="Times New Roman" w:hAnsi="Times New Roman"/>
          <w:sz w:val="24"/>
          <w:szCs w:val="24"/>
          <w:lang w:val="sr-Cyrl-CS"/>
        </w:rPr>
        <w:t xml:space="preserve"> и  Закона о порезу на имовину</w:t>
      </w:r>
      <w:r>
        <w:rPr>
          <w:rFonts w:ascii="Times New Roman" w:hAnsi="Times New Roman"/>
          <w:sz w:val="24"/>
          <w:szCs w:val="24"/>
          <w:lang w:val="sr-Cyrl-CS"/>
        </w:rPr>
        <w:t>.</w:t>
      </w:r>
      <w:r w:rsidR="00ED0611">
        <w:rPr>
          <w:rStyle w:val="FootnoteReference"/>
          <w:rFonts w:ascii="Times New Roman" w:hAnsi="Times New Roman"/>
          <w:sz w:val="24"/>
          <w:szCs w:val="24"/>
          <w:lang w:val="sr-Cyrl-CS"/>
        </w:rPr>
        <w:footnoteReference w:id="206"/>
      </w:r>
      <w:r>
        <w:rPr>
          <w:rFonts w:ascii="Times New Roman" w:hAnsi="Times New Roman"/>
          <w:sz w:val="24"/>
          <w:szCs w:val="24"/>
          <w:lang w:val="sr-Cyrl-CS"/>
        </w:rPr>
        <w:t xml:space="preserve"> </w:t>
      </w:r>
      <w:r w:rsidRPr="000A672D">
        <w:rPr>
          <w:rFonts w:ascii="Times New Roman" w:hAnsi="Times New Roman"/>
          <w:sz w:val="24"/>
          <w:szCs w:val="24"/>
          <w:lang w:val="sr-Cyrl-CS"/>
        </w:rPr>
        <w:t>Царина на увезене аутомобиле смањена је са 20% на 12,5%, док су повећане акцизе на нафтне деривате, посебно аутомобилско гориво, на пиво и цигарете, као и порез на луксузну робу. Скупштина је такође усвојила нови порез на мобилну телефонију.</w:t>
      </w:r>
      <w:r>
        <w:rPr>
          <w:rFonts w:ascii="Times New Roman" w:hAnsi="Times New Roman"/>
          <w:sz w:val="24"/>
          <w:szCs w:val="24"/>
          <w:lang w:val="sr-Cyrl-CS"/>
        </w:rPr>
        <w:t xml:space="preserve"> </w:t>
      </w:r>
      <w:r w:rsidR="00D57B44" w:rsidRPr="00533BCE">
        <w:rPr>
          <w:rFonts w:ascii="Times New Roman" w:hAnsi="Times New Roman"/>
          <w:sz w:val="24"/>
          <w:szCs w:val="24"/>
          <w:lang w:val="sr-Cyrl-CS"/>
        </w:rPr>
        <w:t>У децембру 2009. године основане су не</w:t>
      </w:r>
      <w:r w:rsidR="00C770EA">
        <w:rPr>
          <w:rFonts w:ascii="Times New Roman" w:hAnsi="Times New Roman"/>
          <w:sz w:val="24"/>
          <w:szCs w:val="24"/>
          <w:lang w:val="sr-Cyrl-CS"/>
        </w:rPr>
        <w:t xml:space="preserve">ке нове организационе јединице Пореске управе </w:t>
      </w:r>
      <w:r w:rsidR="00D57B44" w:rsidRPr="00533BCE">
        <w:rPr>
          <w:rFonts w:ascii="Times New Roman" w:hAnsi="Times New Roman"/>
          <w:sz w:val="24"/>
          <w:szCs w:val="24"/>
          <w:lang w:val="sr-Cyrl-CS"/>
        </w:rPr>
        <w:t xml:space="preserve">као што су Група за стратегију и координацију, Група за управљање ризиком и Група за интерну ревизију. Крајем 2009. године употпуњен је јединствени регистар пореских обвезника као основа за будући нови </w:t>
      </w:r>
      <w:r w:rsidR="00C770EA">
        <w:rPr>
          <w:rFonts w:ascii="Times New Roman" w:hAnsi="Times New Roman"/>
          <w:sz w:val="24"/>
          <w:szCs w:val="24"/>
          <w:lang w:val="sr-Cyrl-CS"/>
        </w:rPr>
        <w:t xml:space="preserve">порески </w:t>
      </w:r>
      <w:r w:rsidR="00D57B44" w:rsidRPr="00533BCE">
        <w:rPr>
          <w:rFonts w:ascii="Times New Roman" w:hAnsi="Times New Roman"/>
          <w:sz w:val="24"/>
          <w:szCs w:val="24"/>
          <w:lang w:val="sr-Cyrl-CS"/>
        </w:rPr>
        <w:t>информациони систем.</w:t>
      </w:r>
    </w:p>
    <w:p w:rsidR="00DB410E" w:rsidRDefault="00DB410E" w:rsidP="00DB410E">
      <w:pPr>
        <w:pStyle w:val="ListParagraph"/>
        <w:ind w:left="0" w:firstLine="708"/>
        <w:jc w:val="both"/>
        <w:rPr>
          <w:rFonts w:ascii="Times New Roman" w:hAnsi="Times New Roman"/>
          <w:sz w:val="24"/>
          <w:szCs w:val="24"/>
          <w:lang w:val="sr-Cyrl-CS"/>
        </w:rPr>
      </w:pPr>
    </w:p>
    <w:p w:rsidR="00DB410E" w:rsidRDefault="00DB410E" w:rsidP="007C0838">
      <w:pPr>
        <w:pStyle w:val="ListParagraph"/>
        <w:ind w:left="0" w:firstLine="708"/>
        <w:jc w:val="both"/>
        <w:rPr>
          <w:rFonts w:ascii="Times New Roman" w:hAnsi="Times New Roman"/>
          <w:sz w:val="24"/>
          <w:szCs w:val="24"/>
          <w:lang w:val="sr-Cyrl-CS"/>
        </w:rPr>
      </w:pPr>
      <w:r>
        <w:rPr>
          <w:rFonts w:ascii="Times New Roman" w:hAnsi="Times New Roman"/>
          <w:sz w:val="24"/>
          <w:szCs w:val="24"/>
          <w:lang w:val="sr-Cyrl-CS"/>
        </w:rPr>
        <w:t xml:space="preserve">Током 2010. године усвојене су </w:t>
      </w:r>
      <w:r w:rsidRPr="00533BCE">
        <w:rPr>
          <w:rFonts w:ascii="Times New Roman" w:hAnsi="Times New Roman"/>
          <w:sz w:val="24"/>
          <w:szCs w:val="24"/>
          <w:lang w:val="sr-Cyrl-CS"/>
        </w:rPr>
        <w:t xml:space="preserve"> измене и допуне </w:t>
      </w:r>
      <w:r w:rsidRPr="00ED0611">
        <w:rPr>
          <w:rFonts w:ascii="Times New Roman" w:hAnsi="Times New Roman"/>
          <w:sz w:val="24"/>
          <w:szCs w:val="24"/>
          <w:lang w:val="sr-Cyrl-CS"/>
        </w:rPr>
        <w:t>Закона о порезу на добит предузећа</w:t>
      </w:r>
      <w:r w:rsidR="00ED0611">
        <w:rPr>
          <w:rStyle w:val="FootnoteReference"/>
          <w:rFonts w:ascii="Times New Roman" w:hAnsi="Times New Roman"/>
          <w:sz w:val="24"/>
          <w:szCs w:val="24"/>
          <w:lang w:val="sr-Cyrl-CS"/>
        </w:rPr>
        <w:footnoteReference w:id="207"/>
      </w:r>
      <w:r w:rsidRPr="00ED0611">
        <w:rPr>
          <w:rFonts w:ascii="Times New Roman" w:hAnsi="Times New Roman"/>
          <w:sz w:val="24"/>
          <w:szCs w:val="24"/>
          <w:lang w:val="sr-Cyrl-CS"/>
        </w:rPr>
        <w:t xml:space="preserve"> и</w:t>
      </w:r>
      <w:r>
        <w:rPr>
          <w:rFonts w:ascii="Times New Roman" w:hAnsi="Times New Roman"/>
          <w:sz w:val="24"/>
          <w:szCs w:val="24"/>
          <w:lang w:val="sr-Cyrl-CS"/>
        </w:rPr>
        <w:t xml:space="preserve"> </w:t>
      </w:r>
      <w:r w:rsidRPr="00533BCE">
        <w:rPr>
          <w:rFonts w:ascii="Times New Roman" w:hAnsi="Times New Roman"/>
          <w:sz w:val="24"/>
          <w:szCs w:val="24"/>
          <w:lang w:val="sr-Cyrl-CS"/>
        </w:rPr>
        <w:t>Закон</w:t>
      </w:r>
      <w:r w:rsidR="00D57B44">
        <w:rPr>
          <w:rFonts w:ascii="Times New Roman" w:hAnsi="Times New Roman"/>
          <w:sz w:val="24"/>
          <w:szCs w:val="24"/>
          <w:lang w:val="sr-Cyrl-CS"/>
        </w:rPr>
        <w:t>а</w:t>
      </w:r>
      <w:r w:rsidR="00C65D73">
        <w:rPr>
          <w:rFonts w:ascii="Times New Roman" w:hAnsi="Times New Roman"/>
          <w:sz w:val="24"/>
          <w:szCs w:val="24"/>
          <w:lang w:val="sr-Cyrl-CS"/>
        </w:rPr>
        <w:t xml:space="preserve"> о порезу на доходак грађана</w:t>
      </w:r>
      <w:r w:rsidRPr="00533BCE">
        <w:rPr>
          <w:rFonts w:ascii="Times New Roman" w:hAnsi="Times New Roman"/>
          <w:sz w:val="24"/>
          <w:szCs w:val="24"/>
          <w:lang w:val="sr-Cyrl-CS"/>
        </w:rPr>
        <w:t>,</w:t>
      </w:r>
      <w:r w:rsidR="00C65D73">
        <w:rPr>
          <w:rStyle w:val="FootnoteReference"/>
          <w:rFonts w:ascii="Times New Roman" w:hAnsi="Times New Roman"/>
          <w:sz w:val="24"/>
          <w:szCs w:val="24"/>
          <w:lang w:val="sr-Cyrl-CS"/>
        </w:rPr>
        <w:footnoteReference w:id="208"/>
      </w:r>
      <w:r w:rsidRPr="00533BCE">
        <w:rPr>
          <w:rFonts w:ascii="Times New Roman" w:hAnsi="Times New Roman"/>
          <w:sz w:val="24"/>
          <w:szCs w:val="24"/>
          <w:lang w:val="sr-Cyrl-CS"/>
        </w:rPr>
        <w:t xml:space="preserve"> у складу са правним тековинама Европске уније. Народна скупштина Србије је усвојила </w:t>
      </w:r>
      <w:r>
        <w:rPr>
          <w:rFonts w:ascii="Times New Roman" w:hAnsi="Times New Roman"/>
          <w:sz w:val="24"/>
          <w:szCs w:val="24"/>
          <w:lang w:val="sr-Cyrl-CS"/>
        </w:rPr>
        <w:t xml:space="preserve">и </w:t>
      </w:r>
      <w:r w:rsidRPr="00533BCE">
        <w:rPr>
          <w:rFonts w:ascii="Times New Roman" w:hAnsi="Times New Roman"/>
          <w:sz w:val="24"/>
          <w:szCs w:val="24"/>
          <w:lang w:val="sr-Cyrl-CS"/>
        </w:rPr>
        <w:t xml:space="preserve">измене и допуне Закона о пореском поступку и пореској </w:t>
      </w:r>
      <w:r w:rsidR="007907AC">
        <w:rPr>
          <w:rFonts w:ascii="Times New Roman" w:hAnsi="Times New Roman"/>
          <w:sz w:val="24"/>
          <w:szCs w:val="24"/>
          <w:lang w:val="sr-Cyrl-CS"/>
        </w:rPr>
        <w:t>администрацији</w:t>
      </w:r>
      <w:r w:rsidRPr="00533BCE">
        <w:rPr>
          <w:rFonts w:ascii="Times New Roman" w:hAnsi="Times New Roman"/>
          <w:sz w:val="24"/>
          <w:szCs w:val="24"/>
          <w:lang w:val="sr-Cyrl-CS"/>
        </w:rPr>
        <w:t xml:space="preserve">. </w:t>
      </w:r>
      <w:r>
        <w:rPr>
          <w:rFonts w:ascii="Times New Roman" w:hAnsi="Times New Roman"/>
          <w:sz w:val="24"/>
          <w:szCs w:val="24"/>
          <w:lang w:val="sr-Cyrl-CS"/>
        </w:rPr>
        <w:t xml:space="preserve">Усвојени су и </w:t>
      </w:r>
      <w:r w:rsidRPr="00533BCE">
        <w:rPr>
          <w:rFonts w:ascii="Times New Roman" w:hAnsi="Times New Roman"/>
          <w:sz w:val="24"/>
          <w:szCs w:val="24"/>
          <w:lang w:val="sr-Cyrl-CS"/>
        </w:rPr>
        <w:t xml:space="preserve"> подзаконски прописи којима ће Центар за велике пореске обвезнике обухватити </w:t>
      </w:r>
      <w:r w:rsidR="007C0838">
        <w:rPr>
          <w:rFonts w:ascii="Times New Roman" w:hAnsi="Times New Roman"/>
          <w:sz w:val="24"/>
          <w:szCs w:val="24"/>
          <w:lang w:val="sr-Cyrl-CS"/>
        </w:rPr>
        <w:t>велики број пореских обвезника у</w:t>
      </w:r>
      <w:r w:rsidR="00C65D73">
        <w:rPr>
          <w:rFonts w:ascii="Times New Roman" w:hAnsi="Times New Roman"/>
          <w:sz w:val="24"/>
          <w:szCs w:val="24"/>
          <w:lang w:val="sr-Cyrl-CS"/>
        </w:rPr>
        <w:t xml:space="preserve"> циљу боље наплате прихода, као </w:t>
      </w:r>
      <w:r w:rsidR="007907AC">
        <w:rPr>
          <w:rFonts w:ascii="Times New Roman" w:hAnsi="Times New Roman"/>
          <w:sz w:val="24"/>
          <w:szCs w:val="24"/>
          <w:lang w:val="sr-Cyrl-CS"/>
        </w:rPr>
        <w:t xml:space="preserve">и </w:t>
      </w:r>
      <w:r w:rsidRPr="00533BCE">
        <w:rPr>
          <w:rFonts w:ascii="Times New Roman" w:hAnsi="Times New Roman"/>
          <w:sz w:val="24"/>
          <w:szCs w:val="24"/>
          <w:lang w:val="sr-Cyrl-CS"/>
        </w:rPr>
        <w:t xml:space="preserve">подзаконски прописи о пореском идентификационом броју правних лица, </w:t>
      </w:r>
      <w:r w:rsidR="007C0838">
        <w:rPr>
          <w:rFonts w:ascii="Times New Roman" w:hAnsi="Times New Roman"/>
          <w:sz w:val="24"/>
          <w:szCs w:val="24"/>
          <w:lang w:val="sr-Cyrl-CS"/>
        </w:rPr>
        <w:t>са циљем</w:t>
      </w:r>
      <w:r w:rsidR="007907AC">
        <w:rPr>
          <w:rFonts w:ascii="Times New Roman" w:hAnsi="Times New Roman"/>
          <w:sz w:val="24"/>
          <w:szCs w:val="24"/>
          <w:lang w:val="sr-Cyrl-CS"/>
        </w:rPr>
        <w:t xml:space="preserve"> поједностављивања</w:t>
      </w:r>
      <w:r w:rsidRPr="00533BCE">
        <w:rPr>
          <w:rFonts w:ascii="Times New Roman" w:hAnsi="Times New Roman"/>
          <w:sz w:val="24"/>
          <w:szCs w:val="24"/>
          <w:lang w:val="sr-Cyrl-CS"/>
        </w:rPr>
        <w:t xml:space="preserve"> поступка</w:t>
      </w:r>
      <w:r w:rsidR="007C0838">
        <w:rPr>
          <w:rFonts w:ascii="Times New Roman" w:hAnsi="Times New Roman"/>
          <w:sz w:val="24"/>
          <w:szCs w:val="24"/>
          <w:lang w:val="sr-Cyrl-CS"/>
        </w:rPr>
        <w:t>.</w:t>
      </w:r>
      <w:r w:rsidR="00D57B44">
        <w:rPr>
          <w:rFonts w:ascii="Times New Roman" w:hAnsi="Times New Roman"/>
          <w:sz w:val="24"/>
          <w:szCs w:val="24"/>
          <w:lang w:val="sr-Cyrl-CS"/>
        </w:rPr>
        <w:t xml:space="preserve"> Н</w:t>
      </w:r>
      <w:r w:rsidR="00D57B44" w:rsidRPr="00533BCE">
        <w:rPr>
          <w:rFonts w:ascii="Times New Roman" w:hAnsi="Times New Roman"/>
          <w:sz w:val="24"/>
          <w:szCs w:val="24"/>
          <w:lang w:val="sr-Cyrl-CS"/>
        </w:rPr>
        <w:t>ови контакт-центар као интегрисани и централизовани информациони центар за обавештавање пореских обвезника</w:t>
      </w:r>
      <w:r w:rsidR="00D57B44">
        <w:rPr>
          <w:rFonts w:ascii="Times New Roman" w:hAnsi="Times New Roman"/>
          <w:sz w:val="24"/>
          <w:szCs w:val="24"/>
          <w:lang w:val="sr-Cyrl-CS"/>
        </w:rPr>
        <w:t xml:space="preserve"> Пореска управа је отворила у</w:t>
      </w:r>
      <w:r w:rsidR="00D57B44" w:rsidRPr="00533BCE">
        <w:rPr>
          <w:rFonts w:ascii="Times New Roman" w:hAnsi="Times New Roman"/>
          <w:sz w:val="24"/>
          <w:szCs w:val="24"/>
          <w:lang w:val="sr-Cyrl-CS"/>
        </w:rPr>
        <w:t xml:space="preserve"> априлу 201</w:t>
      </w:r>
      <w:r w:rsidR="00D57B44">
        <w:rPr>
          <w:rFonts w:ascii="Times New Roman" w:hAnsi="Times New Roman"/>
          <w:sz w:val="24"/>
          <w:szCs w:val="24"/>
          <w:lang w:val="sr-Cyrl-CS"/>
        </w:rPr>
        <w:t>0. године.</w:t>
      </w:r>
    </w:p>
    <w:p w:rsidR="00C75F8C" w:rsidRDefault="00C75F8C" w:rsidP="007C0838">
      <w:pPr>
        <w:pStyle w:val="ListParagraph"/>
        <w:ind w:left="0" w:firstLine="708"/>
        <w:jc w:val="both"/>
        <w:rPr>
          <w:rFonts w:ascii="Times New Roman" w:hAnsi="Times New Roman"/>
          <w:sz w:val="24"/>
          <w:szCs w:val="24"/>
          <w:lang w:val="sr-Cyrl-CS"/>
        </w:rPr>
      </w:pPr>
    </w:p>
    <w:p w:rsidR="00ED0611" w:rsidRDefault="00C75F8C" w:rsidP="00ED0611">
      <w:pPr>
        <w:pStyle w:val="ListParagraph"/>
        <w:ind w:left="0" w:firstLine="708"/>
        <w:jc w:val="both"/>
        <w:rPr>
          <w:rFonts w:ascii="Times New Roman" w:hAnsi="Times New Roman"/>
          <w:sz w:val="24"/>
          <w:szCs w:val="24"/>
          <w:lang w:val="sr-Cyrl-CS"/>
        </w:rPr>
      </w:pPr>
      <w:r>
        <w:rPr>
          <w:rFonts w:ascii="Times New Roman" w:hAnsi="Times New Roman"/>
          <w:sz w:val="24"/>
          <w:szCs w:val="24"/>
          <w:lang w:val="sr-Cyrl-CS"/>
        </w:rPr>
        <w:t>Према проценама</w:t>
      </w:r>
      <w:r>
        <w:rPr>
          <w:rStyle w:val="FootnoteReference"/>
          <w:rFonts w:ascii="Times New Roman" w:hAnsi="Times New Roman"/>
          <w:sz w:val="24"/>
          <w:szCs w:val="24"/>
          <w:lang w:val="sr-Cyrl-CS"/>
        </w:rPr>
        <w:footnoteReference w:id="209"/>
      </w:r>
      <w:r>
        <w:rPr>
          <w:rFonts w:ascii="Times New Roman" w:hAnsi="Times New Roman"/>
          <w:sz w:val="24"/>
          <w:szCs w:val="24"/>
          <w:lang w:val="sr-Cyrl-CS"/>
        </w:rPr>
        <w:t xml:space="preserve"> према транзиционим индикаторима ЕБРД </w:t>
      </w:r>
      <w:r w:rsidR="003407BF">
        <w:rPr>
          <w:rFonts w:ascii="Times New Roman" w:hAnsi="Times New Roman"/>
          <w:sz w:val="24"/>
          <w:szCs w:val="24"/>
          <w:lang w:val="sr-Cyrl-CS"/>
        </w:rPr>
        <w:t xml:space="preserve">Србија </w:t>
      </w:r>
      <w:r>
        <w:rPr>
          <w:rFonts w:ascii="Times New Roman" w:hAnsi="Times New Roman"/>
          <w:sz w:val="24"/>
          <w:szCs w:val="24"/>
          <w:lang w:val="sr-Cyrl-CS"/>
        </w:rPr>
        <w:t>заоста</w:t>
      </w:r>
      <w:r w:rsidR="003407BF">
        <w:rPr>
          <w:rFonts w:ascii="Times New Roman" w:hAnsi="Times New Roman"/>
          <w:sz w:val="24"/>
          <w:szCs w:val="24"/>
          <w:lang w:val="sr-Cyrl-CS"/>
        </w:rPr>
        <w:t>је за успешним транзиционим земљ</w:t>
      </w:r>
      <w:r>
        <w:rPr>
          <w:rFonts w:ascii="Times New Roman" w:hAnsi="Times New Roman"/>
          <w:sz w:val="24"/>
          <w:szCs w:val="24"/>
          <w:lang w:val="sr-Cyrl-CS"/>
        </w:rPr>
        <w:t>ама и свој привредни раст је засновала више на расту домаће потрошње и увоза захваљујући приватизационим приходима и приватном задуживању у иностранству, него на реформама и конкурентности. Због наведеног Србија треба да убрза реформск</w:t>
      </w:r>
      <w:r w:rsidR="00B079DA">
        <w:rPr>
          <w:rFonts w:ascii="Times New Roman" w:hAnsi="Times New Roman"/>
          <w:sz w:val="24"/>
          <w:szCs w:val="24"/>
          <w:lang w:val="sr-Cyrl-CS"/>
        </w:rPr>
        <w:t>е процесе</w:t>
      </w:r>
      <w:r w:rsidR="003407BF">
        <w:rPr>
          <w:rFonts w:ascii="Times New Roman" w:hAnsi="Times New Roman"/>
          <w:sz w:val="24"/>
          <w:szCs w:val="24"/>
          <w:lang w:val="sr-Cyrl-CS"/>
        </w:rPr>
        <w:t>, а посебно место заузимају</w:t>
      </w:r>
      <w:r>
        <w:rPr>
          <w:rFonts w:ascii="Times New Roman" w:hAnsi="Times New Roman"/>
          <w:sz w:val="24"/>
          <w:szCs w:val="24"/>
          <w:lang w:val="sr-Cyrl-CS"/>
        </w:rPr>
        <w:t xml:space="preserve"> порески систем, </w:t>
      </w:r>
      <w:r w:rsidR="003407BF">
        <w:rPr>
          <w:rFonts w:ascii="Times New Roman" w:hAnsi="Times New Roman"/>
          <w:sz w:val="24"/>
          <w:szCs w:val="24"/>
          <w:lang w:val="sr-Cyrl-CS"/>
        </w:rPr>
        <w:t xml:space="preserve">ефикасно правосуђе и борба против корупције. </w:t>
      </w:r>
    </w:p>
    <w:p w:rsidR="003407BF" w:rsidRPr="00ED0611" w:rsidRDefault="003407BF" w:rsidP="00ED0611">
      <w:pPr>
        <w:pStyle w:val="ListParagraph"/>
        <w:ind w:left="0" w:firstLine="708"/>
        <w:jc w:val="both"/>
        <w:rPr>
          <w:rFonts w:ascii="Times New Roman" w:hAnsi="Times New Roman"/>
          <w:sz w:val="24"/>
          <w:szCs w:val="24"/>
          <w:lang w:val="sr-Cyrl-CS"/>
        </w:rPr>
      </w:pPr>
    </w:p>
    <w:p w:rsidR="00BF703A" w:rsidRPr="00533BCE" w:rsidRDefault="00BF703A" w:rsidP="00820FB9">
      <w:pPr>
        <w:pStyle w:val="ListParagraph"/>
        <w:ind w:left="0" w:firstLine="708"/>
        <w:jc w:val="both"/>
        <w:rPr>
          <w:rFonts w:ascii="Times New Roman" w:hAnsi="Times New Roman"/>
          <w:sz w:val="24"/>
          <w:szCs w:val="24"/>
        </w:rPr>
      </w:pPr>
      <w:r>
        <w:rPr>
          <w:rFonts w:ascii="Times New Roman" w:hAnsi="Times New Roman"/>
          <w:sz w:val="24"/>
          <w:szCs w:val="24"/>
          <w:lang w:val="sr-Cyrl-CS"/>
        </w:rPr>
        <w:t xml:space="preserve">Током 2011. године измењен је и допуњен </w:t>
      </w:r>
      <w:r w:rsidRPr="00C65D73">
        <w:rPr>
          <w:rFonts w:ascii="Times New Roman" w:hAnsi="Times New Roman"/>
          <w:sz w:val="24"/>
          <w:szCs w:val="24"/>
        </w:rPr>
        <w:t>Закон о акцизама</w:t>
      </w:r>
      <w:r w:rsidR="00C65D73">
        <w:rPr>
          <w:rStyle w:val="FootnoteReference"/>
          <w:rFonts w:ascii="Times New Roman" w:hAnsi="Times New Roman"/>
          <w:sz w:val="24"/>
          <w:szCs w:val="24"/>
        </w:rPr>
        <w:footnoteReference w:id="210"/>
      </w:r>
      <w:r w:rsidRPr="00BF703A">
        <w:rPr>
          <w:rFonts w:ascii="Times New Roman" w:hAnsi="Times New Roman"/>
          <w:b/>
          <w:sz w:val="24"/>
          <w:szCs w:val="24"/>
        </w:rPr>
        <w:t xml:space="preserve"> </w:t>
      </w:r>
      <w:r w:rsidRPr="00533BCE">
        <w:rPr>
          <w:rFonts w:ascii="Times New Roman" w:hAnsi="Times New Roman"/>
          <w:sz w:val="24"/>
          <w:szCs w:val="24"/>
        </w:rPr>
        <w:t>како би се даље усагласио са правним тековинама ЕУ у области опорезивања дувана. Повећане су акцизе на малопродајне цене. Такође је уведен концепт</w:t>
      </w:r>
      <w:r>
        <w:rPr>
          <w:rFonts w:ascii="Times New Roman" w:hAnsi="Times New Roman"/>
          <w:sz w:val="24"/>
          <w:szCs w:val="24"/>
        </w:rPr>
        <w:t xml:space="preserve"> пондерисане малопродајне цене </w:t>
      </w:r>
      <w:r>
        <w:rPr>
          <w:rFonts w:ascii="Times New Roman" w:hAnsi="Times New Roman"/>
          <w:sz w:val="24"/>
          <w:szCs w:val="24"/>
          <w:lang w:val="sr-Cyrl-CS"/>
        </w:rPr>
        <w:t>који је</w:t>
      </w:r>
      <w:r w:rsidRPr="00533BCE">
        <w:rPr>
          <w:rFonts w:ascii="Times New Roman" w:hAnsi="Times New Roman"/>
          <w:sz w:val="24"/>
          <w:szCs w:val="24"/>
        </w:rPr>
        <w:t xml:space="preserve"> сличан </w:t>
      </w:r>
      <w:r>
        <w:rPr>
          <w:rFonts w:ascii="Times New Roman" w:hAnsi="Times New Roman"/>
          <w:sz w:val="24"/>
          <w:szCs w:val="24"/>
        </w:rPr>
        <w:t xml:space="preserve">оном који се примењује у ЕУ </w:t>
      </w:r>
      <w:r>
        <w:rPr>
          <w:rFonts w:ascii="Times New Roman" w:hAnsi="Times New Roman"/>
          <w:sz w:val="24"/>
          <w:szCs w:val="24"/>
          <w:lang w:val="sr-Cyrl-CS"/>
        </w:rPr>
        <w:t>и тиме</w:t>
      </w:r>
      <w:r w:rsidRPr="00533BCE">
        <w:rPr>
          <w:rFonts w:ascii="Times New Roman" w:hAnsi="Times New Roman"/>
          <w:sz w:val="24"/>
          <w:szCs w:val="24"/>
        </w:rPr>
        <w:t xml:space="preserve"> је замењена најпопуларнија цена као основа за обрачун минималне акцизе.</w:t>
      </w:r>
      <w:r>
        <w:rPr>
          <w:rFonts w:ascii="Times New Roman" w:hAnsi="Times New Roman"/>
          <w:sz w:val="24"/>
          <w:szCs w:val="24"/>
          <w:lang w:val="sr-Cyrl-CS"/>
        </w:rPr>
        <w:t xml:space="preserve"> </w:t>
      </w:r>
      <w:r w:rsidR="00820FB9">
        <w:rPr>
          <w:rFonts w:ascii="Times New Roman" w:hAnsi="Times New Roman"/>
          <w:sz w:val="24"/>
          <w:szCs w:val="24"/>
          <w:lang w:val="sr-Cyrl-CS"/>
        </w:rPr>
        <w:t>Д</w:t>
      </w:r>
      <w:r w:rsidRPr="00533BCE">
        <w:rPr>
          <w:rFonts w:ascii="Times New Roman" w:hAnsi="Times New Roman"/>
          <w:sz w:val="24"/>
          <w:szCs w:val="24"/>
        </w:rPr>
        <w:t xml:space="preserve">онете су измене и допуне Закона о порезима </w:t>
      </w:r>
      <w:r w:rsidRPr="00533BCE">
        <w:rPr>
          <w:rFonts w:ascii="Times New Roman" w:hAnsi="Times New Roman"/>
          <w:sz w:val="24"/>
          <w:szCs w:val="24"/>
        </w:rPr>
        <w:lastRenderedPageBreak/>
        <w:t xml:space="preserve">на имовину, којима се повећање пореза одлаже после 2012. </w:t>
      </w:r>
      <w:r>
        <w:rPr>
          <w:rFonts w:ascii="Times New Roman" w:hAnsi="Times New Roman"/>
          <w:sz w:val="24"/>
          <w:szCs w:val="24"/>
          <w:lang w:val="sr-Cyrl-CS"/>
        </w:rPr>
        <w:t xml:space="preserve"> </w:t>
      </w:r>
      <w:r w:rsidR="00820FB9">
        <w:rPr>
          <w:rFonts w:ascii="Times New Roman" w:hAnsi="Times New Roman"/>
          <w:sz w:val="24"/>
          <w:szCs w:val="24"/>
          <w:lang w:val="sr-Cyrl-CS"/>
        </w:rPr>
        <w:t>г</w:t>
      </w:r>
      <w:r w:rsidRPr="00533BCE">
        <w:rPr>
          <w:rFonts w:ascii="Times New Roman" w:hAnsi="Times New Roman"/>
          <w:sz w:val="24"/>
          <w:szCs w:val="24"/>
        </w:rPr>
        <w:t>одине</w:t>
      </w:r>
      <w:r w:rsidR="00820FB9">
        <w:rPr>
          <w:rFonts w:ascii="Times New Roman" w:hAnsi="Times New Roman"/>
          <w:sz w:val="24"/>
          <w:szCs w:val="24"/>
          <w:lang w:val="sr-Cyrl-CS"/>
        </w:rPr>
        <w:t xml:space="preserve">. Такође је </w:t>
      </w:r>
      <w:r w:rsidR="00820FB9">
        <w:rPr>
          <w:rFonts w:ascii="Times New Roman" w:hAnsi="Times New Roman"/>
          <w:sz w:val="24"/>
          <w:szCs w:val="24"/>
        </w:rPr>
        <w:t xml:space="preserve"> измењен </w:t>
      </w:r>
      <w:r w:rsidRPr="00533BCE">
        <w:rPr>
          <w:rFonts w:ascii="Times New Roman" w:hAnsi="Times New Roman"/>
          <w:sz w:val="24"/>
          <w:szCs w:val="24"/>
        </w:rPr>
        <w:t xml:space="preserve"> и допуњен Закон о порезу на добит правних лица </w:t>
      </w:r>
      <w:r w:rsidR="00820FB9">
        <w:rPr>
          <w:rFonts w:ascii="Times New Roman" w:hAnsi="Times New Roman"/>
          <w:sz w:val="24"/>
          <w:szCs w:val="24"/>
        </w:rPr>
        <w:t>којим</w:t>
      </w:r>
      <w:r w:rsidRPr="00533BCE">
        <w:rPr>
          <w:rFonts w:ascii="Times New Roman" w:hAnsi="Times New Roman"/>
          <w:sz w:val="24"/>
          <w:szCs w:val="24"/>
        </w:rPr>
        <w:t xml:space="preserve"> су предвиђене одређене пореске олакшице за привредна друштва у поступку финансијског реструктурисања. Уведене су пореске олакшице за добит остварену произ</w:t>
      </w:r>
      <w:r w:rsidR="00820FB9">
        <w:rPr>
          <w:rFonts w:ascii="Times New Roman" w:hAnsi="Times New Roman"/>
          <w:sz w:val="24"/>
          <w:szCs w:val="24"/>
        </w:rPr>
        <w:t>водњом у слободним зонама. Изме</w:t>
      </w:r>
      <w:r w:rsidR="00820FB9">
        <w:rPr>
          <w:rFonts w:ascii="Times New Roman" w:hAnsi="Times New Roman"/>
          <w:sz w:val="24"/>
          <w:szCs w:val="24"/>
          <w:lang w:val="sr-Cyrl-CS"/>
        </w:rPr>
        <w:t>њ</w:t>
      </w:r>
      <w:r w:rsidRPr="00533BCE">
        <w:rPr>
          <w:rFonts w:ascii="Times New Roman" w:hAnsi="Times New Roman"/>
          <w:sz w:val="24"/>
          <w:szCs w:val="24"/>
        </w:rPr>
        <w:t>е</w:t>
      </w:r>
      <w:r w:rsidR="00820FB9">
        <w:rPr>
          <w:rFonts w:ascii="Times New Roman" w:hAnsi="Times New Roman"/>
          <w:sz w:val="24"/>
          <w:szCs w:val="24"/>
          <w:lang w:val="sr-Cyrl-CS"/>
        </w:rPr>
        <w:t xml:space="preserve">н је </w:t>
      </w:r>
      <w:r w:rsidR="00820FB9">
        <w:rPr>
          <w:rFonts w:ascii="Times New Roman" w:hAnsi="Times New Roman"/>
          <w:sz w:val="24"/>
          <w:szCs w:val="24"/>
        </w:rPr>
        <w:t xml:space="preserve"> и допу</w:t>
      </w:r>
      <w:r w:rsidR="00820FB9">
        <w:rPr>
          <w:rFonts w:ascii="Times New Roman" w:hAnsi="Times New Roman"/>
          <w:sz w:val="24"/>
          <w:szCs w:val="24"/>
          <w:lang w:val="sr-Cyrl-CS"/>
        </w:rPr>
        <w:t>њ</w:t>
      </w:r>
      <w:r w:rsidRPr="00533BCE">
        <w:rPr>
          <w:rFonts w:ascii="Times New Roman" w:hAnsi="Times New Roman"/>
          <w:sz w:val="24"/>
          <w:szCs w:val="24"/>
        </w:rPr>
        <w:t>е</w:t>
      </w:r>
      <w:r w:rsidR="00820FB9">
        <w:rPr>
          <w:rFonts w:ascii="Times New Roman" w:hAnsi="Times New Roman"/>
          <w:sz w:val="24"/>
          <w:szCs w:val="24"/>
          <w:lang w:val="sr-Cyrl-CS"/>
        </w:rPr>
        <w:t>н</w:t>
      </w:r>
      <w:r w:rsidR="00820FB9">
        <w:rPr>
          <w:rFonts w:ascii="Times New Roman" w:hAnsi="Times New Roman"/>
          <w:sz w:val="24"/>
          <w:szCs w:val="24"/>
        </w:rPr>
        <w:t xml:space="preserve"> Закон</w:t>
      </w:r>
      <w:r w:rsidRPr="00533BCE">
        <w:rPr>
          <w:rFonts w:ascii="Times New Roman" w:hAnsi="Times New Roman"/>
          <w:sz w:val="24"/>
          <w:szCs w:val="24"/>
        </w:rPr>
        <w:t xml:space="preserve"> о пореском поступку и пореској администрацији </w:t>
      </w:r>
      <w:r w:rsidR="00820FB9">
        <w:rPr>
          <w:rFonts w:ascii="Times New Roman" w:hAnsi="Times New Roman"/>
          <w:sz w:val="24"/>
          <w:szCs w:val="24"/>
          <w:lang w:val="sr-Cyrl-CS"/>
        </w:rPr>
        <w:t xml:space="preserve">у циљу </w:t>
      </w:r>
      <w:r w:rsidRPr="00533BCE">
        <w:rPr>
          <w:rFonts w:ascii="Times New Roman" w:hAnsi="Times New Roman"/>
          <w:sz w:val="24"/>
          <w:szCs w:val="24"/>
        </w:rPr>
        <w:t xml:space="preserve"> </w:t>
      </w:r>
      <w:r w:rsidR="00820FB9">
        <w:rPr>
          <w:rFonts w:ascii="Times New Roman" w:hAnsi="Times New Roman"/>
          <w:sz w:val="24"/>
          <w:szCs w:val="24"/>
          <w:lang w:val="sr-Cyrl-CS"/>
        </w:rPr>
        <w:t xml:space="preserve">јачања </w:t>
      </w:r>
      <w:r w:rsidR="00820FB9">
        <w:rPr>
          <w:rFonts w:ascii="Times New Roman" w:hAnsi="Times New Roman"/>
          <w:sz w:val="24"/>
          <w:szCs w:val="24"/>
        </w:rPr>
        <w:t>финансијск</w:t>
      </w:r>
      <w:r w:rsidR="00820FB9">
        <w:rPr>
          <w:rFonts w:ascii="Times New Roman" w:hAnsi="Times New Roman"/>
          <w:sz w:val="24"/>
          <w:szCs w:val="24"/>
          <w:lang w:val="sr-Cyrl-CS"/>
        </w:rPr>
        <w:t>е</w:t>
      </w:r>
      <w:r w:rsidRPr="00533BCE">
        <w:rPr>
          <w:rFonts w:ascii="Times New Roman" w:hAnsi="Times New Roman"/>
          <w:sz w:val="24"/>
          <w:szCs w:val="24"/>
        </w:rPr>
        <w:t xml:space="preserve"> </w:t>
      </w:r>
      <w:r w:rsidR="00820FB9">
        <w:rPr>
          <w:rFonts w:ascii="Times New Roman" w:hAnsi="Times New Roman"/>
          <w:sz w:val="24"/>
          <w:szCs w:val="24"/>
          <w:lang w:val="sr-Cyrl-CS"/>
        </w:rPr>
        <w:t xml:space="preserve"> дисциплине</w:t>
      </w:r>
      <w:r w:rsidRPr="00533BCE">
        <w:rPr>
          <w:rFonts w:ascii="Times New Roman" w:hAnsi="Times New Roman"/>
          <w:sz w:val="24"/>
          <w:szCs w:val="24"/>
        </w:rPr>
        <w:t xml:space="preserve">. </w:t>
      </w:r>
    </w:p>
    <w:p w:rsidR="00BF703A" w:rsidRPr="00BF703A" w:rsidRDefault="00BF703A" w:rsidP="00BF703A">
      <w:pPr>
        <w:pStyle w:val="ListParagraph"/>
        <w:ind w:left="0" w:firstLine="708"/>
        <w:jc w:val="both"/>
        <w:rPr>
          <w:rFonts w:ascii="Times New Roman" w:hAnsi="Times New Roman"/>
          <w:sz w:val="24"/>
          <w:szCs w:val="24"/>
          <w:lang w:val="sr-Cyrl-CS"/>
        </w:rPr>
      </w:pPr>
    </w:p>
    <w:p w:rsidR="009A5F7A" w:rsidRDefault="0096382A" w:rsidP="00A66408">
      <w:pPr>
        <w:pStyle w:val="ListParagraph"/>
        <w:ind w:left="0" w:firstLine="708"/>
        <w:jc w:val="both"/>
        <w:rPr>
          <w:rFonts w:ascii="Times New Roman" w:hAnsi="Times New Roman"/>
          <w:sz w:val="24"/>
          <w:szCs w:val="24"/>
          <w:lang w:val="sr-Cyrl-CS"/>
        </w:rPr>
      </w:pPr>
      <w:r>
        <w:rPr>
          <w:rFonts w:ascii="Times New Roman" w:hAnsi="Times New Roman"/>
          <w:sz w:val="24"/>
          <w:szCs w:val="24"/>
          <w:lang w:val="sr-Cyrl-CS"/>
        </w:rPr>
        <w:t>Настављено је и са јачањем капацитета Пореске упр</w:t>
      </w:r>
      <w:r w:rsidR="00995849">
        <w:rPr>
          <w:rFonts w:ascii="Times New Roman" w:hAnsi="Times New Roman"/>
          <w:sz w:val="24"/>
          <w:szCs w:val="24"/>
          <w:lang w:val="sr-Cyrl-CS"/>
        </w:rPr>
        <w:t>аве, која је појачала редовну и принудну наплату пореза и покренула више стечајних процедура против пореских дужника са циљем наплате пореза. Значајан напредак представља и увођење обавезног електронског пријављивања за повраћај пореза за велике пореске обвезнике током 2008. године.</w:t>
      </w:r>
      <w:r w:rsidR="003F0A3D">
        <w:rPr>
          <w:rFonts w:ascii="Times New Roman" w:hAnsi="Times New Roman"/>
          <w:sz w:val="24"/>
          <w:szCs w:val="24"/>
          <w:lang w:val="sr-Cyrl-CS"/>
        </w:rPr>
        <w:t xml:space="preserve"> Пореска управа</w:t>
      </w:r>
      <w:r w:rsidR="00995849">
        <w:rPr>
          <w:rFonts w:ascii="Times New Roman" w:hAnsi="Times New Roman"/>
          <w:sz w:val="24"/>
          <w:szCs w:val="24"/>
          <w:lang w:val="sr-Cyrl-CS"/>
        </w:rPr>
        <w:t xml:space="preserve"> је појачала борбу против пореске евазије кроз откривање великог броја фантомских фирми и повећан број кривичних пријава.</w:t>
      </w:r>
      <w:r w:rsidR="00A66408">
        <w:rPr>
          <w:rFonts w:ascii="Times New Roman" w:hAnsi="Times New Roman"/>
          <w:sz w:val="24"/>
          <w:szCs w:val="24"/>
          <w:lang w:val="sr-Cyrl-CS"/>
        </w:rPr>
        <w:t xml:space="preserve"> </w:t>
      </w:r>
    </w:p>
    <w:p w:rsidR="00D57B44" w:rsidRDefault="00D57B44" w:rsidP="00A66408">
      <w:pPr>
        <w:pStyle w:val="ListParagraph"/>
        <w:ind w:left="0"/>
        <w:jc w:val="both"/>
        <w:rPr>
          <w:rFonts w:ascii="Times New Roman" w:hAnsi="Times New Roman"/>
          <w:sz w:val="24"/>
          <w:szCs w:val="24"/>
          <w:lang w:val="sr-Cyrl-CS"/>
        </w:rPr>
      </w:pPr>
    </w:p>
    <w:p w:rsidR="00A66408" w:rsidRDefault="003F0A3D" w:rsidP="00A66408">
      <w:pPr>
        <w:pStyle w:val="ListParagraph"/>
        <w:ind w:left="0" w:firstLine="708"/>
        <w:jc w:val="both"/>
        <w:rPr>
          <w:rFonts w:ascii="Times New Roman" w:hAnsi="Times New Roman"/>
          <w:sz w:val="24"/>
          <w:szCs w:val="24"/>
          <w:lang w:val="sr-Cyrl-CS"/>
        </w:rPr>
      </w:pPr>
      <w:r>
        <w:rPr>
          <w:rFonts w:ascii="Times New Roman" w:hAnsi="Times New Roman"/>
          <w:sz w:val="24"/>
          <w:szCs w:val="24"/>
          <w:lang w:val="sr-Cyrl-CS"/>
        </w:rPr>
        <w:t xml:space="preserve">Настављено је </w:t>
      </w:r>
      <w:r w:rsidR="00A66408">
        <w:rPr>
          <w:rFonts w:ascii="Times New Roman" w:hAnsi="Times New Roman"/>
          <w:sz w:val="24"/>
          <w:szCs w:val="24"/>
          <w:lang w:val="sr-Cyrl-CS"/>
        </w:rPr>
        <w:t>и са р</w:t>
      </w:r>
      <w:r w:rsidR="00DB410E">
        <w:rPr>
          <w:rFonts w:ascii="Times New Roman" w:hAnsi="Times New Roman"/>
          <w:sz w:val="24"/>
          <w:szCs w:val="24"/>
          <w:lang w:val="sr-Cyrl-CS"/>
        </w:rPr>
        <w:t xml:space="preserve">азвијањем електронског система, </w:t>
      </w:r>
      <w:r>
        <w:rPr>
          <w:rFonts w:ascii="Times New Roman" w:hAnsi="Times New Roman"/>
          <w:sz w:val="24"/>
          <w:szCs w:val="24"/>
          <w:lang w:val="sr-Cyrl-CS"/>
        </w:rPr>
        <w:t xml:space="preserve">а побољшана је и међународна сарадња </w:t>
      </w:r>
      <w:r w:rsidRPr="000A672D">
        <w:rPr>
          <w:rFonts w:ascii="Times New Roman" w:hAnsi="Times New Roman"/>
          <w:sz w:val="24"/>
          <w:szCs w:val="24"/>
          <w:lang w:val="sr-Cyrl-CS"/>
        </w:rPr>
        <w:t xml:space="preserve">са другим пореским управама кроз имплементацију ратификованих билатералних споразума, пре свега за избегавање двоструког опорезивања, сарадњу и узајамну помоћ. </w:t>
      </w:r>
      <w:r w:rsidR="00820FB9" w:rsidRPr="00533BCE">
        <w:rPr>
          <w:rFonts w:ascii="Times New Roman" w:hAnsi="Times New Roman"/>
          <w:sz w:val="24"/>
          <w:szCs w:val="24"/>
        </w:rPr>
        <w:t xml:space="preserve">Споразуми о избегавању двоструког опорезивања потписани су са Канадом, Грузијом и Тунисом априла 2012. године, док су споразуми са Црном Гором и Ираном ступили на снагу почев од 1. јануара 2012. године. </w:t>
      </w:r>
    </w:p>
    <w:p w:rsidR="00A66408" w:rsidRDefault="00A66408" w:rsidP="00A66408">
      <w:pPr>
        <w:pStyle w:val="ListParagraph"/>
        <w:ind w:left="0" w:firstLine="708"/>
        <w:jc w:val="both"/>
        <w:rPr>
          <w:rFonts w:ascii="Times New Roman" w:hAnsi="Times New Roman"/>
          <w:sz w:val="24"/>
          <w:szCs w:val="24"/>
          <w:lang w:val="sr-Cyrl-CS"/>
        </w:rPr>
      </w:pPr>
    </w:p>
    <w:p w:rsidR="009A5F7A" w:rsidRPr="00A66408" w:rsidRDefault="003F0A3D" w:rsidP="00A66408">
      <w:pPr>
        <w:pStyle w:val="ListParagraph"/>
        <w:ind w:left="0" w:firstLine="708"/>
        <w:jc w:val="both"/>
        <w:rPr>
          <w:rFonts w:ascii="Times New Roman" w:hAnsi="Times New Roman"/>
          <w:sz w:val="24"/>
          <w:szCs w:val="24"/>
          <w:lang w:val="sr-Cyrl-CS"/>
        </w:rPr>
      </w:pPr>
      <w:r>
        <w:rPr>
          <w:rFonts w:ascii="Times New Roman" w:hAnsi="Times New Roman"/>
          <w:sz w:val="24"/>
          <w:szCs w:val="24"/>
          <w:lang w:val="sr-Cyrl-CS"/>
        </w:rPr>
        <w:t>Међутим, сектор си</w:t>
      </w:r>
      <w:r w:rsidR="00A66408">
        <w:rPr>
          <w:rFonts w:ascii="Times New Roman" w:hAnsi="Times New Roman"/>
          <w:sz w:val="24"/>
          <w:szCs w:val="24"/>
          <w:lang w:val="sr-Cyrl-CS"/>
        </w:rPr>
        <w:t xml:space="preserve">ве економије и даље је значајан, а пореско законодавство и даље није усклађено са комунитарним правом, како у погледу акциза и ПДВ, тако и у погледу директног опорезивања, које је тек у почетној фази. Такође је потребно </w:t>
      </w:r>
      <w:r w:rsidR="00A66408" w:rsidRPr="000A672D">
        <w:rPr>
          <w:rFonts w:ascii="Times New Roman" w:hAnsi="Times New Roman"/>
          <w:sz w:val="24"/>
          <w:szCs w:val="24"/>
          <w:lang w:val="sr-Cyrl-CS"/>
        </w:rPr>
        <w:t xml:space="preserve">додатно </w:t>
      </w:r>
      <w:r w:rsidR="00A66408">
        <w:rPr>
          <w:rFonts w:ascii="Times New Roman" w:hAnsi="Times New Roman"/>
          <w:sz w:val="24"/>
          <w:szCs w:val="24"/>
          <w:lang w:val="sr-Cyrl-CS"/>
        </w:rPr>
        <w:t>усклађивање</w:t>
      </w:r>
      <w:r w:rsidR="00A66408" w:rsidRPr="000A672D">
        <w:rPr>
          <w:rFonts w:ascii="Times New Roman" w:hAnsi="Times New Roman"/>
          <w:sz w:val="24"/>
          <w:szCs w:val="24"/>
          <w:lang w:val="sr-Cyrl-CS"/>
        </w:rPr>
        <w:t xml:space="preserve"> пореског законодавства са </w:t>
      </w:r>
      <w:r w:rsidR="00A66408" w:rsidRPr="00C65D73">
        <w:rPr>
          <w:rFonts w:ascii="Times New Roman" w:hAnsi="Times New Roman"/>
          <w:sz w:val="24"/>
          <w:szCs w:val="24"/>
          <w:lang w:val="sr-Cyrl-CS"/>
        </w:rPr>
        <w:t xml:space="preserve">Кодексом понашања </w:t>
      </w:r>
      <w:r w:rsidR="00C65D73">
        <w:rPr>
          <w:rFonts w:ascii="Times New Roman" w:hAnsi="Times New Roman"/>
          <w:sz w:val="24"/>
          <w:szCs w:val="24"/>
          <w:lang w:val="sr-Cyrl-CS"/>
        </w:rPr>
        <w:t xml:space="preserve">у опорезивању пословне активности, </w:t>
      </w:r>
      <w:r w:rsidR="00713DA8">
        <w:rPr>
          <w:rFonts w:ascii="Times New Roman" w:hAnsi="Times New Roman"/>
          <w:sz w:val="24"/>
          <w:szCs w:val="24"/>
          <w:lang w:val="sr-Cyrl-CS"/>
        </w:rPr>
        <w:t xml:space="preserve">који је усвојен 1997. године у ЕУ, </w:t>
      </w:r>
      <w:r w:rsidR="00C65D73">
        <w:rPr>
          <w:rFonts w:ascii="Times New Roman" w:hAnsi="Times New Roman"/>
          <w:sz w:val="24"/>
          <w:szCs w:val="24"/>
          <w:lang w:val="sr-Cyrl-CS"/>
        </w:rPr>
        <w:t xml:space="preserve">који се </w:t>
      </w:r>
      <w:r w:rsidR="00713DA8">
        <w:rPr>
          <w:rFonts w:ascii="Times New Roman" w:hAnsi="Times New Roman"/>
          <w:sz w:val="24"/>
          <w:szCs w:val="24"/>
          <w:lang w:val="sr-Cyrl-CS"/>
        </w:rPr>
        <w:t>односи на поштовање принципа пра</w:t>
      </w:r>
      <w:r w:rsidR="00C65D73">
        <w:rPr>
          <w:rFonts w:ascii="Times New Roman" w:hAnsi="Times New Roman"/>
          <w:sz w:val="24"/>
          <w:szCs w:val="24"/>
          <w:lang w:val="sr-Cyrl-CS"/>
        </w:rPr>
        <w:t>вичне конкуренције и суздржавање од примене мера које могу довести до неправич</w:t>
      </w:r>
      <w:r w:rsidR="00713DA8">
        <w:rPr>
          <w:rFonts w:ascii="Times New Roman" w:hAnsi="Times New Roman"/>
          <w:sz w:val="24"/>
          <w:szCs w:val="24"/>
          <w:lang w:val="sr-Cyrl-CS"/>
        </w:rPr>
        <w:t>не конкуренције у пореској области.</w:t>
      </w:r>
      <w:r w:rsidR="00C65D73">
        <w:rPr>
          <w:rStyle w:val="FootnoteReference"/>
          <w:rFonts w:ascii="Times New Roman" w:hAnsi="Times New Roman"/>
          <w:sz w:val="24"/>
          <w:szCs w:val="24"/>
          <w:lang w:val="sr-Cyrl-CS"/>
        </w:rPr>
        <w:footnoteReference w:id="211"/>
      </w:r>
      <w:r w:rsidR="00A66408">
        <w:rPr>
          <w:rFonts w:ascii="Times New Roman" w:hAnsi="Times New Roman"/>
          <w:b/>
          <w:sz w:val="24"/>
          <w:szCs w:val="24"/>
          <w:lang w:val="sr-Cyrl-CS"/>
        </w:rPr>
        <w:t xml:space="preserve"> </w:t>
      </w:r>
      <w:r w:rsidR="00C75F8C" w:rsidRPr="00156419">
        <w:rPr>
          <w:rFonts w:ascii="Times New Roman" w:hAnsi="Times New Roman"/>
          <w:sz w:val="24"/>
          <w:szCs w:val="24"/>
          <w:lang w:val="sr-Cyrl-CS"/>
        </w:rPr>
        <w:t>Борба са сивим и црним тржиштем подразумева и координирану активност свих контролних органа, посебно сарадњу са Министарством унутрашњих послова, која је предуслов за делотворно сузбијање нелегалног промета</w:t>
      </w:r>
      <w:r w:rsidR="00A66408">
        <w:rPr>
          <w:rFonts w:ascii="Times New Roman" w:hAnsi="Times New Roman"/>
          <w:sz w:val="24"/>
          <w:szCs w:val="24"/>
          <w:lang w:val="sr-Cyrl-CS"/>
        </w:rPr>
        <w:t>.</w:t>
      </w:r>
      <w:r w:rsidR="00C75F8C">
        <w:rPr>
          <w:rStyle w:val="FootnoteReference"/>
          <w:rFonts w:ascii="Times New Roman" w:hAnsi="Times New Roman"/>
          <w:sz w:val="24"/>
          <w:szCs w:val="24"/>
          <w:lang w:val="sr-Cyrl-CS"/>
        </w:rPr>
        <w:footnoteReference w:id="212"/>
      </w:r>
      <w:r w:rsidR="00A66408">
        <w:rPr>
          <w:rFonts w:ascii="Times New Roman" w:hAnsi="Times New Roman"/>
          <w:sz w:val="24"/>
          <w:szCs w:val="24"/>
          <w:lang w:val="sr-Cyrl-CS"/>
        </w:rPr>
        <w:t xml:space="preserve"> </w:t>
      </w:r>
    </w:p>
    <w:p w:rsidR="009A5F7A" w:rsidRDefault="009A5F7A" w:rsidP="00F150E0">
      <w:pPr>
        <w:pStyle w:val="ListParagraph"/>
        <w:ind w:left="0" w:firstLine="708"/>
        <w:jc w:val="both"/>
        <w:rPr>
          <w:rFonts w:ascii="Times New Roman" w:hAnsi="Times New Roman"/>
          <w:sz w:val="24"/>
          <w:szCs w:val="24"/>
          <w:lang w:val="sr-Cyrl-CS"/>
        </w:rPr>
      </w:pPr>
    </w:p>
    <w:p w:rsidR="00D22277" w:rsidRDefault="000C5068" w:rsidP="00A66408">
      <w:pPr>
        <w:pStyle w:val="ListParagraph"/>
        <w:ind w:left="0" w:firstLine="708"/>
        <w:jc w:val="both"/>
        <w:rPr>
          <w:rFonts w:ascii="Times New Roman" w:hAnsi="Times New Roman"/>
          <w:sz w:val="24"/>
          <w:szCs w:val="24"/>
          <w:lang w:val="sr-Cyrl-CS"/>
        </w:rPr>
      </w:pPr>
      <w:r>
        <w:rPr>
          <w:rFonts w:ascii="Times New Roman" w:hAnsi="Times New Roman"/>
          <w:sz w:val="24"/>
          <w:szCs w:val="24"/>
          <w:lang w:val="sr-Cyrl-CS"/>
        </w:rPr>
        <w:t xml:space="preserve">Европска комисија је објавила </w:t>
      </w:r>
      <w:r w:rsidRPr="00913A0F">
        <w:rPr>
          <w:rFonts w:ascii="Times New Roman" w:hAnsi="Times New Roman"/>
          <w:sz w:val="24"/>
          <w:szCs w:val="24"/>
          <w:lang w:val="sr-Cyrl-CS"/>
        </w:rPr>
        <w:t>Извештај о напретку Срби</w:t>
      </w:r>
      <w:r w:rsidR="00924D24" w:rsidRPr="00913A0F">
        <w:rPr>
          <w:rFonts w:ascii="Times New Roman" w:hAnsi="Times New Roman"/>
          <w:sz w:val="24"/>
          <w:szCs w:val="24"/>
          <w:lang w:val="sr-Cyrl-CS"/>
        </w:rPr>
        <w:t>је</w:t>
      </w:r>
      <w:r w:rsidR="00924D24">
        <w:rPr>
          <w:rFonts w:ascii="Times New Roman" w:hAnsi="Times New Roman"/>
          <w:sz w:val="24"/>
          <w:szCs w:val="24"/>
          <w:lang w:val="sr-Cyrl-CS"/>
        </w:rPr>
        <w:t xml:space="preserve"> у еврои</w:t>
      </w:r>
      <w:r w:rsidR="00E553CD">
        <w:rPr>
          <w:rFonts w:ascii="Times New Roman" w:hAnsi="Times New Roman"/>
          <w:sz w:val="24"/>
          <w:szCs w:val="24"/>
          <w:lang w:val="sr-Cyrl-CS"/>
        </w:rPr>
        <w:t>н</w:t>
      </w:r>
      <w:r w:rsidR="00924D24">
        <w:rPr>
          <w:rFonts w:ascii="Times New Roman" w:hAnsi="Times New Roman"/>
          <w:sz w:val="24"/>
          <w:szCs w:val="24"/>
          <w:lang w:val="sr-Cyrl-CS"/>
        </w:rPr>
        <w:t xml:space="preserve">теграцијама за </w:t>
      </w:r>
      <w:r w:rsidR="00924D24" w:rsidRPr="00713DA8">
        <w:rPr>
          <w:rFonts w:ascii="Times New Roman" w:hAnsi="Times New Roman"/>
          <w:sz w:val="24"/>
          <w:szCs w:val="24"/>
          <w:lang w:val="sr-Cyrl-CS"/>
        </w:rPr>
        <w:t>2013.</w:t>
      </w:r>
      <w:r w:rsidR="00924D24">
        <w:rPr>
          <w:rFonts w:ascii="Times New Roman" w:hAnsi="Times New Roman"/>
          <w:sz w:val="24"/>
          <w:szCs w:val="24"/>
          <w:lang w:val="sr-Cyrl-CS"/>
        </w:rPr>
        <w:t xml:space="preserve"> г</w:t>
      </w:r>
      <w:r>
        <w:rPr>
          <w:rFonts w:ascii="Times New Roman" w:hAnsi="Times New Roman"/>
          <w:sz w:val="24"/>
          <w:szCs w:val="24"/>
          <w:lang w:val="sr-Cyrl-CS"/>
        </w:rPr>
        <w:t>одину</w:t>
      </w:r>
      <w:r w:rsidR="00913A0F">
        <w:rPr>
          <w:rStyle w:val="FootnoteReference"/>
          <w:rFonts w:ascii="Times New Roman" w:hAnsi="Times New Roman"/>
          <w:sz w:val="24"/>
          <w:szCs w:val="24"/>
          <w:lang w:val="sr-Cyrl-CS"/>
        </w:rPr>
        <w:footnoteReference w:id="213"/>
      </w:r>
      <w:r>
        <w:rPr>
          <w:rFonts w:ascii="Times New Roman" w:hAnsi="Times New Roman"/>
          <w:sz w:val="24"/>
          <w:szCs w:val="24"/>
          <w:lang w:val="sr-Cyrl-CS"/>
        </w:rPr>
        <w:t xml:space="preserve">  са оцен</w:t>
      </w:r>
      <w:r w:rsidR="00913A0F">
        <w:rPr>
          <w:rFonts w:ascii="Times New Roman" w:hAnsi="Times New Roman"/>
          <w:sz w:val="24"/>
          <w:szCs w:val="24"/>
          <w:lang w:val="sr-Cyrl-CS"/>
        </w:rPr>
        <w:t xml:space="preserve">ом да је та година историјска </w:t>
      </w:r>
      <w:r>
        <w:rPr>
          <w:rFonts w:ascii="Times New Roman" w:hAnsi="Times New Roman"/>
          <w:sz w:val="24"/>
          <w:szCs w:val="24"/>
          <w:lang w:val="sr-Cyrl-CS"/>
        </w:rPr>
        <w:t>Србију.</w:t>
      </w:r>
      <w:r w:rsidR="00913A0F">
        <w:rPr>
          <w:rFonts w:ascii="Times New Roman" w:hAnsi="Times New Roman"/>
          <w:sz w:val="24"/>
          <w:szCs w:val="24"/>
          <w:lang w:val="sr-Cyrl-CS"/>
        </w:rPr>
        <w:t xml:space="preserve"> У поменутом извештају се наводи да је приметан</w:t>
      </w:r>
      <w:r w:rsidR="00913A0F" w:rsidRPr="00913A0F">
        <w:rPr>
          <w:rFonts w:ascii="Times New Roman" w:hAnsi="Times New Roman"/>
          <w:sz w:val="24"/>
          <w:szCs w:val="24"/>
          <w:lang w:val="sr-Cyrl-CS"/>
        </w:rPr>
        <w:t xml:space="preserve"> известан на</w:t>
      </w:r>
      <w:r w:rsidR="00913A0F">
        <w:rPr>
          <w:rFonts w:ascii="Times New Roman" w:hAnsi="Times New Roman"/>
          <w:sz w:val="24"/>
          <w:szCs w:val="24"/>
          <w:lang w:val="sr-Cyrl-CS"/>
        </w:rPr>
        <w:t>предак у области опорезивања. Пореска управа</w:t>
      </w:r>
      <w:r w:rsidR="00913A0F" w:rsidRPr="00913A0F">
        <w:rPr>
          <w:rFonts w:ascii="Times New Roman" w:hAnsi="Times New Roman"/>
          <w:sz w:val="24"/>
          <w:szCs w:val="24"/>
          <w:lang w:val="sr-Cyrl-CS"/>
        </w:rPr>
        <w:t xml:space="preserve"> наставља са спровођењем своје корпоративне стратегије, али је и даље неопходна боља координација унутар Управе. Модернизација </w:t>
      </w:r>
      <w:r w:rsidR="003F0A3D">
        <w:rPr>
          <w:rFonts w:ascii="Times New Roman" w:hAnsi="Times New Roman"/>
          <w:sz w:val="24"/>
          <w:szCs w:val="24"/>
        </w:rPr>
        <w:t>IT</w:t>
      </w:r>
      <w:r w:rsidR="00913A0F" w:rsidRPr="00913A0F">
        <w:rPr>
          <w:rFonts w:ascii="Times New Roman" w:hAnsi="Times New Roman"/>
          <w:sz w:val="24"/>
          <w:szCs w:val="24"/>
          <w:lang w:val="sr-Cyrl-CS"/>
        </w:rPr>
        <w:t xml:space="preserve"> система и комуникација са пореским </w:t>
      </w:r>
      <w:r w:rsidR="00913A0F" w:rsidRPr="00913A0F">
        <w:rPr>
          <w:rFonts w:ascii="Times New Roman" w:hAnsi="Times New Roman"/>
          <w:sz w:val="24"/>
          <w:szCs w:val="24"/>
          <w:lang w:val="sr-Cyrl-CS"/>
        </w:rPr>
        <w:lastRenderedPageBreak/>
        <w:t>обвезницима се настављају, али је потребно додатно унапређивање. Уопштено говорећи, припреме у области опорезивања су умерено напредовале.</w:t>
      </w:r>
      <w:r w:rsidR="00913A0F">
        <w:rPr>
          <w:rFonts w:ascii="Times New Roman" w:hAnsi="Times New Roman"/>
          <w:sz w:val="24"/>
          <w:szCs w:val="24"/>
          <w:lang w:val="sr-Cyrl-CS"/>
        </w:rPr>
        <w:t xml:space="preserve"> </w:t>
      </w:r>
      <w:r w:rsidR="00A66408">
        <w:rPr>
          <w:rFonts w:ascii="Times New Roman" w:hAnsi="Times New Roman"/>
          <w:sz w:val="24"/>
          <w:szCs w:val="24"/>
          <w:lang w:val="sr-Cyrl-CS"/>
        </w:rPr>
        <w:t xml:space="preserve"> </w:t>
      </w:r>
    </w:p>
    <w:p w:rsidR="00E7415D" w:rsidRDefault="00E7415D" w:rsidP="00913A0F">
      <w:pPr>
        <w:pStyle w:val="ListParagraph"/>
        <w:ind w:left="0"/>
        <w:jc w:val="both"/>
        <w:rPr>
          <w:rFonts w:ascii="Times New Roman" w:hAnsi="Times New Roman"/>
          <w:sz w:val="24"/>
          <w:szCs w:val="24"/>
          <w:lang w:val="sr-Cyrl-CS"/>
        </w:rPr>
      </w:pPr>
    </w:p>
    <w:p w:rsidR="00E7415D" w:rsidRDefault="00E7415D" w:rsidP="00F150E0">
      <w:pPr>
        <w:pStyle w:val="ListParagraph"/>
        <w:ind w:left="0" w:firstLine="708"/>
        <w:jc w:val="both"/>
        <w:rPr>
          <w:rFonts w:ascii="Times New Roman" w:hAnsi="Times New Roman"/>
          <w:sz w:val="24"/>
          <w:szCs w:val="24"/>
          <w:lang w:val="sr-Cyrl-CS"/>
        </w:rPr>
      </w:pPr>
      <w:r w:rsidRPr="00913A0F">
        <w:rPr>
          <w:rFonts w:ascii="Times New Roman" w:hAnsi="Times New Roman"/>
          <w:sz w:val="24"/>
          <w:szCs w:val="24"/>
          <w:lang w:val="sr-Cyrl-CS"/>
        </w:rPr>
        <w:t xml:space="preserve">У области индиректног опорезивања, законски оквир о акцизама је поново промењен </w:t>
      </w:r>
      <w:r w:rsidRPr="002E20EE">
        <w:rPr>
          <w:rFonts w:ascii="Times New Roman" w:hAnsi="Times New Roman"/>
          <w:sz w:val="24"/>
          <w:szCs w:val="24"/>
          <w:lang w:val="sr-Cyrl-CS"/>
        </w:rPr>
        <w:t>у</w:t>
      </w:r>
      <w:r w:rsidRPr="00162C4D">
        <w:rPr>
          <w:rFonts w:ascii="Times New Roman" w:hAnsi="Times New Roman"/>
          <w:b/>
          <w:sz w:val="24"/>
          <w:szCs w:val="24"/>
          <w:lang w:val="sr-Cyrl-CS"/>
        </w:rPr>
        <w:t xml:space="preserve"> </w:t>
      </w:r>
      <w:r w:rsidRPr="00713DA8">
        <w:rPr>
          <w:rFonts w:ascii="Times New Roman" w:hAnsi="Times New Roman"/>
          <w:sz w:val="24"/>
          <w:szCs w:val="24"/>
          <w:lang w:val="sr-Cyrl-CS"/>
        </w:rPr>
        <w:t>децембру</w:t>
      </w:r>
      <w:r w:rsidR="002E20EE">
        <w:rPr>
          <w:rFonts w:ascii="Times New Roman" w:hAnsi="Times New Roman"/>
          <w:sz w:val="24"/>
          <w:szCs w:val="24"/>
          <w:lang w:val="sr-Cyrl-CS"/>
        </w:rPr>
        <w:t xml:space="preserve"> 2012. године</w:t>
      </w:r>
      <w:r w:rsidRPr="00913A0F">
        <w:rPr>
          <w:rFonts w:ascii="Times New Roman" w:hAnsi="Times New Roman"/>
          <w:sz w:val="24"/>
          <w:szCs w:val="24"/>
          <w:lang w:val="sr-Cyrl-CS"/>
        </w:rPr>
        <w:t>, након што је известан број закона о различитим индиректним порезима (као што су акцизе и ПДВ) измењен и допуњен у контексту фискалне консолидације. Структура акциза на цигарете усаглашена је са правним тековинама ЕУ, те су акцизе повећане. Усклађене су акцизе на нафтне деривате како би се даље усаглашавале са правним тековинама ЕУ. Међутим, други енергетски извори, као што су кокс, уље за ложење, природни гас и електрична енергија и даље остају неопорезовани, а поједини изузеци који се одобравају за посебно коришћење горива нису у складу са прописима ЕУ. Регулатива о ПДВ-у додатно је усаглашена са прописима ЕУ. Стопа ПДВ-а повећана је са 18% на 20%. Прописе о осталим акцизним производима и о питањима као што су кретање и контрола, акцизна складишта и складиштење или концепт пореског обвезника тек треба усагласити са правним тековинама ЕУ.</w:t>
      </w:r>
      <w:r>
        <w:rPr>
          <w:rFonts w:ascii="Times New Roman" w:hAnsi="Times New Roman"/>
          <w:sz w:val="24"/>
          <w:szCs w:val="24"/>
          <w:lang w:val="sr-Cyrl-CS"/>
        </w:rPr>
        <w:t xml:space="preserve"> </w:t>
      </w:r>
    </w:p>
    <w:p w:rsidR="00913A0F" w:rsidRDefault="00913A0F" w:rsidP="00913A0F">
      <w:pPr>
        <w:pStyle w:val="ListParagraph"/>
        <w:ind w:left="0"/>
        <w:jc w:val="both"/>
        <w:rPr>
          <w:rFonts w:ascii="Times New Roman" w:hAnsi="Times New Roman"/>
          <w:sz w:val="24"/>
          <w:szCs w:val="24"/>
          <w:lang w:val="sr-Cyrl-CS"/>
        </w:rPr>
      </w:pPr>
    </w:p>
    <w:p w:rsidR="00913A0F" w:rsidRDefault="00913A0F" w:rsidP="004D36D6">
      <w:pPr>
        <w:pStyle w:val="ListParagraph"/>
        <w:ind w:left="0" w:firstLine="708"/>
        <w:jc w:val="both"/>
        <w:rPr>
          <w:rFonts w:ascii="Times New Roman" w:hAnsi="Times New Roman"/>
          <w:sz w:val="24"/>
          <w:szCs w:val="24"/>
          <w:lang w:val="sr-Cyrl-CS"/>
        </w:rPr>
      </w:pPr>
      <w:r>
        <w:rPr>
          <w:rFonts w:ascii="Times New Roman" w:hAnsi="Times New Roman"/>
          <w:sz w:val="24"/>
          <w:szCs w:val="24"/>
          <w:lang w:val="sr-Cyrl-CS"/>
        </w:rPr>
        <w:t>У домену директног опорезивања</w:t>
      </w:r>
      <w:r w:rsidR="002E20EE">
        <w:rPr>
          <w:rFonts w:ascii="Times New Roman" w:hAnsi="Times New Roman"/>
          <w:sz w:val="24"/>
          <w:szCs w:val="24"/>
          <w:lang w:val="sr-Cyrl-CS"/>
        </w:rPr>
        <w:t xml:space="preserve"> у току 2012. године</w:t>
      </w:r>
      <w:r w:rsidRPr="00913A0F">
        <w:rPr>
          <w:rFonts w:ascii="Times New Roman" w:hAnsi="Times New Roman"/>
          <w:sz w:val="24"/>
          <w:szCs w:val="24"/>
          <w:lang w:val="sr-Cyrl-CS"/>
        </w:rPr>
        <w:t xml:space="preserve"> усвојене су измене и </w:t>
      </w:r>
      <w:r w:rsidRPr="00713DA8">
        <w:rPr>
          <w:rFonts w:ascii="Times New Roman" w:hAnsi="Times New Roman"/>
          <w:sz w:val="24"/>
          <w:szCs w:val="24"/>
          <w:lang w:val="sr-Cyrl-CS"/>
        </w:rPr>
        <w:t>допуне Закона о порезу на доходак грађана</w:t>
      </w:r>
      <w:r w:rsidR="002E20EE">
        <w:rPr>
          <w:rStyle w:val="FootnoteReference"/>
          <w:rFonts w:ascii="Times New Roman" w:hAnsi="Times New Roman"/>
          <w:sz w:val="24"/>
          <w:szCs w:val="24"/>
          <w:lang w:val="sr-Cyrl-CS"/>
        </w:rPr>
        <w:footnoteReference w:id="214"/>
      </w:r>
      <w:r w:rsidRPr="00913A0F">
        <w:rPr>
          <w:rFonts w:ascii="Times New Roman" w:hAnsi="Times New Roman"/>
          <w:sz w:val="24"/>
          <w:szCs w:val="24"/>
          <w:lang w:val="sr-Cyrl-CS"/>
        </w:rPr>
        <w:t>, којима се предвиђа повећање стопе пореза са 10% на 15% на приходе од капитала, капитални добитак и приходе од осигурања. Изменама и допунама Закона о порезу на добит правних лица</w:t>
      </w:r>
      <w:r w:rsidR="00542B21">
        <w:rPr>
          <w:rStyle w:val="FootnoteReference"/>
          <w:rFonts w:ascii="Times New Roman" w:hAnsi="Times New Roman"/>
          <w:sz w:val="24"/>
          <w:szCs w:val="24"/>
          <w:lang w:val="sr-Cyrl-CS"/>
        </w:rPr>
        <w:footnoteReference w:id="215"/>
      </w:r>
      <w:r w:rsidRPr="00913A0F">
        <w:rPr>
          <w:rFonts w:ascii="Times New Roman" w:hAnsi="Times New Roman"/>
          <w:sz w:val="24"/>
          <w:szCs w:val="24"/>
          <w:lang w:val="sr-Cyrl-CS"/>
        </w:rPr>
        <w:t xml:space="preserve"> стопа пореза на добит правних лица повећана је са 10% на 15%. Одлагање плаћања или отпис пореских дугова под одређеним условима помогли су предузећима са финансијским проблемима да измире своје пореске обавезе. Нови прописи о порезу на добит правних лица такође су додатно усклађени са ЕУ Директивом о матичним и зависним друштвима, као и са Директивом о каматама и ауторским накнадама. </w:t>
      </w:r>
      <w:r w:rsidRPr="00913A0F">
        <w:rPr>
          <w:rFonts w:ascii="Times New Roman" w:hAnsi="Times New Roman"/>
          <w:sz w:val="24"/>
          <w:szCs w:val="24"/>
          <w:lang w:val="sr-Cyrl-CS"/>
        </w:rPr>
        <w:cr/>
      </w:r>
      <w:r w:rsidR="004D36D6">
        <w:rPr>
          <w:rFonts w:ascii="Times New Roman" w:hAnsi="Times New Roman"/>
          <w:sz w:val="24"/>
          <w:szCs w:val="24"/>
          <w:lang w:val="sr-Cyrl-CS"/>
        </w:rPr>
        <w:t xml:space="preserve"> </w:t>
      </w:r>
    </w:p>
    <w:p w:rsidR="00CB2769" w:rsidRDefault="00913A0F" w:rsidP="004D36D6">
      <w:pPr>
        <w:pStyle w:val="ListParagraph"/>
        <w:ind w:left="0" w:firstLine="708"/>
        <w:jc w:val="both"/>
        <w:rPr>
          <w:rFonts w:ascii="Times New Roman" w:hAnsi="Times New Roman"/>
          <w:sz w:val="24"/>
          <w:szCs w:val="24"/>
          <w:lang w:val="sr-Cyrl-CS"/>
        </w:rPr>
      </w:pPr>
      <w:r w:rsidRPr="00913A0F">
        <w:rPr>
          <w:rFonts w:ascii="Times New Roman" w:hAnsi="Times New Roman"/>
          <w:sz w:val="24"/>
          <w:szCs w:val="24"/>
          <w:lang w:val="sr-Cyrl-CS"/>
        </w:rPr>
        <w:t xml:space="preserve">У области административне сарадње и узајамне помоћи, Србија је наставила да учествује на састанцима о сарадњи између пореских управа Б-6 (балканских земаља). </w:t>
      </w:r>
      <w:r w:rsidR="004D36D6">
        <w:rPr>
          <w:rFonts w:ascii="Times New Roman" w:hAnsi="Times New Roman"/>
          <w:sz w:val="24"/>
          <w:szCs w:val="24"/>
          <w:lang w:val="sr-Cyrl-CS"/>
        </w:rPr>
        <w:t xml:space="preserve">Нови </w:t>
      </w:r>
      <w:r w:rsidRPr="00913A0F">
        <w:rPr>
          <w:rFonts w:ascii="Times New Roman" w:hAnsi="Times New Roman"/>
          <w:sz w:val="24"/>
          <w:szCs w:val="24"/>
          <w:lang w:val="sr-Cyrl-CS"/>
        </w:rPr>
        <w:t xml:space="preserve">Споразуми о избегавању двоструког опорезивања потписани су са Палестином, Уједињеним Арапским </w:t>
      </w:r>
      <w:r>
        <w:rPr>
          <w:rFonts w:ascii="Times New Roman" w:hAnsi="Times New Roman"/>
          <w:sz w:val="24"/>
          <w:szCs w:val="24"/>
          <w:lang w:val="sr-Cyrl-CS"/>
        </w:rPr>
        <w:t xml:space="preserve">Емиратима и Вијетнамом. </w:t>
      </w:r>
      <w:r w:rsidRPr="00913A0F">
        <w:rPr>
          <w:rFonts w:ascii="Times New Roman" w:hAnsi="Times New Roman"/>
          <w:sz w:val="24"/>
          <w:szCs w:val="24"/>
          <w:lang w:val="sr-Cyrl-CS"/>
        </w:rPr>
        <w:t>У области оперативних капацитета и компјутериза</w:t>
      </w:r>
      <w:r w:rsidR="00E7415D">
        <w:rPr>
          <w:rFonts w:ascii="Times New Roman" w:hAnsi="Times New Roman"/>
          <w:sz w:val="24"/>
          <w:szCs w:val="24"/>
          <w:lang w:val="sr-Cyrl-CS"/>
        </w:rPr>
        <w:t>ције, Пореска управа Србије</w:t>
      </w:r>
      <w:r w:rsidRPr="00913A0F">
        <w:rPr>
          <w:rFonts w:ascii="Times New Roman" w:hAnsi="Times New Roman"/>
          <w:sz w:val="24"/>
          <w:szCs w:val="24"/>
          <w:lang w:val="sr-Cyrl-CS"/>
        </w:rPr>
        <w:t xml:space="preserve"> наставила је са спровођењем своје корпоративне ст</w:t>
      </w:r>
      <w:r w:rsidR="00E7415D">
        <w:rPr>
          <w:rFonts w:ascii="Times New Roman" w:hAnsi="Times New Roman"/>
          <w:sz w:val="24"/>
          <w:szCs w:val="24"/>
          <w:lang w:val="sr-Cyrl-CS"/>
        </w:rPr>
        <w:t xml:space="preserve">ратегије за период </w:t>
      </w:r>
      <w:r w:rsidR="00E90CC2">
        <w:rPr>
          <w:rFonts w:ascii="Times New Roman" w:hAnsi="Times New Roman"/>
          <w:sz w:val="24"/>
          <w:szCs w:val="24"/>
          <w:lang w:val="sr-Cyrl-CS"/>
        </w:rPr>
        <w:t>2013</w:t>
      </w:r>
      <w:r w:rsidR="00E7415D">
        <w:rPr>
          <w:rFonts w:ascii="Times New Roman" w:hAnsi="Times New Roman"/>
          <w:sz w:val="24"/>
          <w:szCs w:val="24"/>
          <w:lang w:val="sr-Cyrl-CS"/>
        </w:rPr>
        <w:t>–2015. Пореска управа</w:t>
      </w:r>
      <w:r w:rsidRPr="00913A0F">
        <w:rPr>
          <w:rFonts w:ascii="Times New Roman" w:hAnsi="Times New Roman"/>
          <w:sz w:val="24"/>
          <w:szCs w:val="24"/>
          <w:lang w:val="sr-Cyrl-CS"/>
        </w:rPr>
        <w:t xml:space="preserve"> је постала надлежна за игре на срећу. Број електронских услуга је порастао од како је у јануару </w:t>
      </w:r>
      <w:r w:rsidR="00E7415D">
        <w:rPr>
          <w:rFonts w:ascii="Times New Roman" w:hAnsi="Times New Roman"/>
          <w:sz w:val="24"/>
          <w:szCs w:val="24"/>
          <w:lang w:val="sr-Cyrl-CS"/>
        </w:rPr>
        <w:t xml:space="preserve">2013. год. </w:t>
      </w:r>
      <w:r w:rsidRPr="00913A0F">
        <w:rPr>
          <w:rFonts w:ascii="Times New Roman" w:hAnsi="Times New Roman"/>
          <w:sz w:val="24"/>
          <w:szCs w:val="24"/>
          <w:lang w:val="sr-Cyrl-CS"/>
        </w:rPr>
        <w:t>дозвољено да се годишња пријава пореза на доходак грађана и пријава акцизе подносе електронским путем. У току je увођењe електронских пореских пријава за порезе и доприносе. Обука и информисање пореских обвезника довели су до већег броја електронских пријава поднетих преко портала Поре</w:t>
      </w:r>
      <w:r w:rsidR="00E7415D">
        <w:rPr>
          <w:rFonts w:ascii="Times New Roman" w:hAnsi="Times New Roman"/>
          <w:sz w:val="24"/>
          <w:szCs w:val="24"/>
          <w:lang w:val="sr-Cyrl-CS"/>
        </w:rPr>
        <w:t xml:space="preserve">ске управе. </w:t>
      </w:r>
      <w:r w:rsidR="009A5F7A">
        <w:rPr>
          <w:rFonts w:ascii="Times New Roman" w:hAnsi="Times New Roman"/>
          <w:sz w:val="24"/>
          <w:szCs w:val="24"/>
          <w:lang w:val="sr-Cyrl-CS"/>
        </w:rPr>
        <w:t xml:space="preserve"> </w:t>
      </w:r>
    </w:p>
    <w:p w:rsidR="00CB2769" w:rsidRDefault="00CB2769" w:rsidP="004D36D6">
      <w:pPr>
        <w:pStyle w:val="ListParagraph"/>
        <w:ind w:left="0" w:firstLine="708"/>
        <w:jc w:val="both"/>
        <w:rPr>
          <w:rFonts w:ascii="Times New Roman" w:hAnsi="Times New Roman"/>
          <w:sz w:val="24"/>
          <w:szCs w:val="24"/>
          <w:lang w:val="sr-Cyrl-CS"/>
        </w:rPr>
      </w:pPr>
    </w:p>
    <w:p w:rsidR="00E90CC2" w:rsidRDefault="00E7415D" w:rsidP="004D36D6">
      <w:pPr>
        <w:pStyle w:val="ListParagraph"/>
        <w:ind w:left="0" w:firstLine="708"/>
        <w:jc w:val="both"/>
        <w:rPr>
          <w:rFonts w:ascii="Times New Roman" w:hAnsi="Times New Roman"/>
          <w:sz w:val="24"/>
          <w:szCs w:val="24"/>
          <w:lang w:val="sr-Cyrl-CS"/>
        </w:rPr>
      </w:pPr>
      <w:r>
        <w:rPr>
          <w:rFonts w:ascii="Times New Roman" w:hAnsi="Times New Roman"/>
          <w:sz w:val="24"/>
          <w:szCs w:val="24"/>
          <w:lang w:val="sr-Cyrl-CS"/>
        </w:rPr>
        <w:lastRenderedPageBreak/>
        <w:t>Број запослених у Пореској управи</w:t>
      </w:r>
      <w:r w:rsidR="00913A0F" w:rsidRPr="00913A0F">
        <w:rPr>
          <w:rFonts w:ascii="Times New Roman" w:hAnsi="Times New Roman"/>
          <w:sz w:val="24"/>
          <w:szCs w:val="24"/>
          <w:lang w:val="sr-Cyrl-CS"/>
        </w:rPr>
        <w:t xml:space="preserve"> је повећан. Започета је обука малих и средњих предузећа о управљању ризицима. Права и обавезе нису увек јасно приказани, због чега су подложни различитим тумачењима. Поред тога, процедуре се разликују од региона до региона. Поједина лица у пореским органима имају велика дискрециона овлашћења, а не постоји н</w:t>
      </w:r>
      <w:r w:rsidR="00913A0F">
        <w:rPr>
          <w:rFonts w:ascii="Times New Roman" w:hAnsi="Times New Roman"/>
          <w:sz w:val="24"/>
          <w:szCs w:val="24"/>
          <w:lang w:val="sr-Cyrl-CS"/>
        </w:rPr>
        <w:t xml:space="preserve">и адекватан механизам контроле. </w:t>
      </w:r>
      <w:r w:rsidR="00913A0F" w:rsidRPr="00913A0F">
        <w:rPr>
          <w:rFonts w:ascii="Times New Roman" w:hAnsi="Times New Roman"/>
          <w:sz w:val="24"/>
          <w:szCs w:val="24"/>
          <w:lang w:val="sr-Cyrl-CS"/>
        </w:rPr>
        <w:t xml:space="preserve">Суочавање са сивом економијом и даље је изазов. </w:t>
      </w:r>
      <w:r w:rsidR="004D36D6">
        <w:rPr>
          <w:rFonts w:ascii="Times New Roman" w:hAnsi="Times New Roman"/>
          <w:sz w:val="24"/>
          <w:szCs w:val="24"/>
          <w:lang w:val="sr-Cyrl-CS"/>
        </w:rPr>
        <w:t xml:space="preserve"> </w:t>
      </w:r>
    </w:p>
    <w:p w:rsidR="00E90CC2" w:rsidRDefault="00E90CC2" w:rsidP="004D36D6">
      <w:pPr>
        <w:pStyle w:val="ListParagraph"/>
        <w:ind w:left="0" w:firstLine="708"/>
        <w:jc w:val="both"/>
        <w:rPr>
          <w:rFonts w:ascii="Times New Roman" w:hAnsi="Times New Roman"/>
          <w:sz w:val="24"/>
          <w:szCs w:val="24"/>
          <w:lang w:val="sr-Cyrl-CS"/>
        </w:rPr>
      </w:pPr>
    </w:p>
    <w:p w:rsidR="00E90CC2" w:rsidRPr="00B752AB" w:rsidRDefault="00E90CC2" w:rsidP="00B752AB">
      <w:pPr>
        <w:pStyle w:val="ListParagraph"/>
        <w:ind w:left="0" w:firstLine="708"/>
        <w:jc w:val="both"/>
        <w:rPr>
          <w:rFonts w:ascii="Times New Roman" w:hAnsi="Times New Roman"/>
          <w:sz w:val="24"/>
          <w:szCs w:val="24"/>
          <w:lang w:val="sr-Cyrl-CS"/>
        </w:rPr>
      </w:pPr>
      <w:r>
        <w:rPr>
          <w:rFonts w:ascii="Times New Roman" w:hAnsi="Times New Roman"/>
          <w:sz w:val="24"/>
          <w:szCs w:val="24"/>
          <w:lang w:val="sr-Cyrl-CS"/>
        </w:rPr>
        <w:t>Према Фискалној стратегији за 2013. годину</w:t>
      </w:r>
      <w:r>
        <w:rPr>
          <w:rStyle w:val="FootnoteReference"/>
          <w:rFonts w:ascii="Times New Roman" w:hAnsi="Times New Roman"/>
          <w:sz w:val="24"/>
          <w:szCs w:val="24"/>
          <w:lang w:val="sr-Cyrl-CS"/>
        </w:rPr>
        <w:footnoteReference w:id="216"/>
      </w:r>
      <w:r>
        <w:rPr>
          <w:rFonts w:ascii="Times New Roman" w:hAnsi="Times New Roman"/>
          <w:sz w:val="24"/>
          <w:szCs w:val="24"/>
          <w:lang w:val="sr-Cyrl-CS"/>
        </w:rPr>
        <w:t xml:space="preserve"> планирано је повећање</w:t>
      </w:r>
      <w:r w:rsidRPr="000D3232">
        <w:rPr>
          <w:lang w:val="sr-Cyrl-CS"/>
        </w:rPr>
        <w:t xml:space="preserve"> </w:t>
      </w:r>
      <w:r w:rsidR="00B752AB" w:rsidRPr="00B752AB">
        <w:rPr>
          <w:rFonts w:ascii="Times New Roman" w:hAnsi="Times New Roman"/>
          <w:sz w:val="24"/>
          <w:szCs w:val="24"/>
          <w:lang w:val="sr-Cyrl-CS"/>
        </w:rPr>
        <w:t>ефикасност</w:t>
      </w:r>
      <w:r w:rsidRPr="00B752AB">
        <w:rPr>
          <w:rFonts w:ascii="Times New Roman" w:hAnsi="Times New Roman"/>
          <w:sz w:val="24"/>
          <w:szCs w:val="24"/>
          <w:lang w:val="sr-Cyrl-CS"/>
        </w:rPr>
        <w:t xml:space="preserve">и </w:t>
      </w:r>
      <w:r w:rsidR="00B752AB" w:rsidRPr="00B752AB">
        <w:rPr>
          <w:rFonts w:ascii="Times New Roman" w:hAnsi="Times New Roman"/>
          <w:sz w:val="24"/>
          <w:szCs w:val="24"/>
          <w:lang w:val="sr-Cyrl-CS"/>
        </w:rPr>
        <w:t>пореске</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администрације</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у</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борби</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против</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сиве</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економије</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и</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пореске</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утаје</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како</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би</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се</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додатно</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унапредио</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привредни</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амбијент</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и</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побољшали</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услови</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за</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ефикасно</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функционисање</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тржишта</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Циљ</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је</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да</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предузећа</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и</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грађани</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који</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остварују</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исти</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доходак</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и</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промет</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или</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поседују</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подједнако</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вредну</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имовину</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плаћају</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подједнак</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порез</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чиме</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се</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обезбеђује</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равноправност</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услова</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пословања</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предузећа</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и</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равноправност</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грађана</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Процењује</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се</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да</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се</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у</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средњем</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року</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по</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основу</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сузбијања</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сиве</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економије</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и</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пореских</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утаја</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може</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остварити</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значајно</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додатно</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повећање</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јавних</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прихода</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зависно</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од</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обима</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промета</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у</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сивој</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економији</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у</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Србији</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Кључни</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предуслови</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за</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то</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су</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политичка</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и</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друштвена</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спремност</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да</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се</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заустави</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кршење</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пореских</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закона</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и</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ефикасна</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пореска</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администрација</w:t>
      </w:r>
      <w:r w:rsidRPr="00B752AB">
        <w:rPr>
          <w:rFonts w:ascii="Times New Roman" w:hAnsi="Times New Roman"/>
          <w:sz w:val="24"/>
          <w:szCs w:val="24"/>
          <w:lang w:val="sr-Cyrl-CS"/>
        </w:rPr>
        <w:t xml:space="preserve">. Предвиђено је поједностављење пореске процедуре како би се обезбедило једноставније плаћање пореза, при чему се наглашава  </w:t>
      </w:r>
      <w:r w:rsidR="006C0227">
        <w:rPr>
          <w:rFonts w:ascii="Times New Roman" w:hAnsi="Times New Roman"/>
          <w:sz w:val="24"/>
          <w:szCs w:val="24"/>
          <w:lang w:val="sr-Cyrl-CS"/>
        </w:rPr>
        <w:t>значај  модернизације и повећања</w:t>
      </w:r>
      <w:r w:rsidRPr="00B752AB">
        <w:rPr>
          <w:rFonts w:ascii="Times New Roman" w:hAnsi="Times New Roman"/>
          <w:sz w:val="24"/>
          <w:szCs w:val="24"/>
          <w:lang w:val="sr-Cyrl-CS"/>
        </w:rPr>
        <w:t xml:space="preserve"> ефикасности пореске администрације.</w:t>
      </w:r>
      <w:r w:rsidR="006C0227">
        <w:rPr>
          <w:rFonts w:ascii="Times New Roman" w:hAnsi="Times New Roman"/>
          <w:sz w:val="24"/>
          <w:szCs w:val="24"/>
          <w:lang w:val="sr-Cyrl-CS"/>
        </w:rPr>
        <w:t xml:space="preserve"> </w:t>
      </w:r>
      <w:r w:rsidR="00B752AB" w:rsidRPr="00B752AB">
        <w:rPr>
          <w:rFonts w:ascii="Times New Roman" w:hAnsi="Times New Roman"/>
          <w:sz w:val="24"/>
          <w:szCs w:val="24"/>
          <w:lang w:val="sr-Cyrl-CS"/>
        </w:rPr>
        <w:t>Планирана</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административна</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унапређења</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између</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осталог</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омогућиће</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и</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повећавање напора</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Пореске</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управе</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на</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сузбијању</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класичне</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пореске</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евазије</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али</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и</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обима</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сиве</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економије</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и</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њено</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свођење</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у</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уобичајене</w:t>
      </w:r>
      <w:r w:rsidRPr="00B752AB">
        <w:rPr>
          <w:rFonts w:ascii="Times New Roman" w:hAnsi="Times New Roman"/>
          <w:sz w:val="24"/>
          <w:szCs w:val="24"/>
          <w:lang w:val="sr-Cyrl-CS"/>
        </w:rPr>
        <w:t xml:space="preserve"> </w:t>
      </w:r>
      <w:r w:rsidR="00B752AB" w:rsidRPr="00B752AB">
        <w:rPr>
          <w:rFonts w:ascii="Times New Roman" w:hAnsi="Times New Roman"/>
          <w:sz w:val="24"/>
          <w:szCs w:val="24"/>
          <w:lang w:val="sr-Cyrl-CS"/>
        </w:rPr>
        <w:t>оквире</w:t>
      </w:r>
      <w:r w:rsidRPr="00B752AB">
        <w:rPr>
          <w:rFonts w:ascii="Times New Roman" w:hAnsi="Times New Roman"/>
          <w:sz w:val="24"/>
          <w:szCs w:val="24"/>
          <w:lang w:val="sr-Cyrl-CS"/>
        </w:rPr>
        <w:t>.</w:t>
      </w:r>
      <w:r w:rsidR="006C0227">
        <w:rPr>
          <w:rFonts w:ascii="Times New Roman" w:hAnsi="Times New Roman"/>
          <w:sz w:val="24"/>
          <w:szCs w:val="24"/>
          <w:lang w:val="sr-Cyrl-CS"/>
        </w:rPr>
        <w:t xml:space="preserve"> </w:t>
      </w:r>
    </w:p>
    <w:p w:rsidR="00913A0F" w:rsidRDefault="00913A0F" w:rsidP="004D36D6">
      <w:pPr>
        <w:pStyle w:val="ListParagraph"/>
        <w:ind w:left="0" w:firstLine="708"/>
        <w:jc w:val="both"/>
        <w:rPr>
          <w:rFonts w:ascii="Times New Roman" w:hAnsi="Times New Roman"/>
          <w:sz w:val="24"/>
          <w:szCs w:val="24"/>
          <w:lang w:val="sr-Cyrl-CS"/>
        </w:rPr>
      </w:pPr>
    </w:p>
    <w:p w:rsidR="00A66408" w:rsidRDefault="00A66408" w:rsidP="00A66408">
      <w:pPr>
        <w:pStyle w:val="ListParagraph"/>
        <w:ind w:left="0" w:firstLine="360"/>
        <w:jc w:val="both"/>
        <w:rPr>
          <w:rFonts w:ascii="Times New Roman" w:hAnsi="Times New Roman"/>
          <w:sz w:val="24"/>
          <w:szCs w:val="24"/>
          <w:lang w:val="sr-Cyrl-CS"/>
        </w:rPr>
      </w:pPr>
      <w:r>
        <w:rPr>
          <w:rFonts w:ascii="Times New Roman" w:hAnsi="Times New Roman"/>
          <w:sz w:val="24"/>
          <w:szCs w:val="24"/>
          <w:lang w:val="sr-Cyrl-CS"/>
        </w:rPr>
        <w:t>Ефикасна пореска реформа тек предстоји у будућем периоду. Она треба да обухвати следеће захтеве</w:t>
      </w:r>
      <w:r>
        <w:rPr>
          <w:rStyle w:val="FootnoteReference"/>
          <w:rFonts w:ascii="Times New Roman" w:hAnsi="Times New Roman"/>
          <w:sz w:val="24"/>
          <w:szCs w:val="24"/>
          <w:lang w:val="sr-Cyrl-CS"/>
        </w:rPr>
        <w:footnoteReference w:id="217"/>
      </w:r>
      <w:r>
        <w:rPr>
          <w:rFonts w:ascii="Times New Roman" w:hAnsi="Times New Roman"/>
          <w:sz w:val="24"/>
          <w:szCs w:val="24"/>
          <w:lang w:val="sr-Cyrl-CS"/>
        </w:rPr>
        <w:t>:</w:t>
      </w:r>
    </w:p>
    <w:p w:rsidR="00A66408" w:rsidRDefault="00A66408" w:rsidP="00A66408">
      <w:pPr>
        <w:pStyle w:val="ListParagraph"/>
        <w:ind w:left="0" w:firstLine="360"/>
        <w:jc w:val="both"/>
        <w:rPr>
          <w:rFonts w:ascii="Times New Roman" w:hAnsi="Times New Roman"/>
          <w:sz w:val="24"/>
          <w:szCs w:val="24"/>
          <w:lang w:val="sr-Cyrl-CS"/>
        </w:rPr>
      </w:pPr>
    </w:p>
    <w:p w:rsidR="00FE195F" w:rsidRPr="003A57BB" w:rsidRDefault="00A66408" w:rsidP="003A57BB">
      <w:pPr>
        <w:pStyle w:val="ListParagraph"/>
        <w:numPr>
          <w:ilvl w:val="0"/>
          <w:numId w:val="2"/>
        </w:numPr>
        <w:jc w:val="both"/>
        <w:rPr>
          <w:rFonts w:ascii="Times New Roman" w:hAnsi="Times New Roman"/>
          <w:sz w:val="24"/>
          <w:szCs w:val="24"/>
          <w:lang w:val="sr-Cyrl-CS"/>
        </w:rPr>
      </w:pPr>
      <w:r>
        <w:rPr>
          <w:rFonts w:ascii="Times New Roman" w:hAnsi="Times New Roman"/>
          <w:sz w:val="24"/>
          <w:szCs w:val="24"/>
          <w:lang w:val="sr-Cyrl-CS"/>
        </w:rPr>
        <w:t>издашност пореских прихода, што омогућава несметано покриће јавних расхода без додатних извора финансирања;</w:t>
      </w:r>
    </w:p>
    <w:p w:rsidR="00A66408" w:rsidRPr="003A57BB" w:rsidRDefault="00A66408" w:rsidP="003A57BB">
      <w:pPr>
        <w:pStyle w:val="ListParagraph"/>
        <w:numPr>
          <w:ilvl w:val="0"/>
          <w:numId w:val="2"/>
        </w:numPr>
        <w:jc w:val="both"/>
        <w:rPr>
          <w:rFonts w:ascii="Times New Roman" w:hAnsi="Times New Roman"/>
          <w:sz w:val="24"/>
          <w:szCs w:val="24"/>
          <w:lang w:val="sr-Cyrl-CS"/>
        </w:rPr>
      </w:pPr>
      <w:r>
        <w:rPr>
          <w:rFonts w:ascii="Times New Roman" w:hAnsi="Times New Roman"/>
          <w:sz w:val="24"/>
          <w:szCs w:val="24"/>
          <w:lang w:val="sr-Cyrl-CS"/>
        </w:rPr>
        <w:t>ефикасност која значи да порески систем треба да омогући минимизирање дисторзивних ефеката које порези изазивају у производњи, потрошњи и  оствареним приходима;</w:t>
      </w:r>
    </w:p>
    <w:p w:rsidR="00A66408" w:rsidRPr="003A57BB" w:rsidRDefault="00A66408" w:rsidP="003A57BB">
      <w:pPr>
        <w:pStyle w:val="ListParagraph"/>
        <w:numPr>
          <w:ilvl w:val="0"/>
          <w:numId w:val="2"/>
        </w:numPr>
        <w:jc w:val="both"/>
        <w:rPr>
          <w:rFonts w:ascii="Times New Roman" w:hAnsi="Times New Roman"/>
          <w:sz w:val="24"/>
          <w:szCs w:val="24"/>
          <w:lang w:val="sr-Cyrl-CS"/>
        </w:rPr>
      </w:pPr>
      <w:r>
        <w:rPr>
          <w:rFonts w:ascii="Times New Roman" w:hAnsi="Times New Roman"/>
          <w:sz w:val="24"/>
          <w:szCs w:val="24"/>
          <w:lang w:val="sr-Cyrl-CS"/>
        </w:rPr>
        <w:t>транспарентност која значи јасне пореске законе са минималним коришћењем дискреционих овлашћења пореске власти и без честих промена;</w:t>
      </w:r>
    </w:p>
    <w:p w:rsidR="00A66408" w:rsidRDefault="00A66408" w:rsidP="00A66408">
      <w:pPr>
        <w:pStyle w:val="ListParagraph"/>
        <w:numPr>
          <w:ilvl w:val="0"/>
          <w:numId w:val="2"/>
        </w:numPr>
        <w:jc w:val="both"/>
        <w:rPr>
          <w:rFonts w:ascii="Times New Roman" w:hAnsi="Times New Roman"/>
          <w:sz w:val="24"/>
          <w:szCs w:val="24"/>
          <w:lang w:val="sr-Cyrl-CS"/>
        </w:rPr>
      </w:pPr>
      <w:r>
        <w:rPr>
          <w:rFonts w:ascii="Times New Roman" w:hAnsi="Times New Roman"/>
          <w:sz w:val="24"/>
          <w:szCs w:val="24"/>
          <w:lang w:val="sr-Cyrl-CS"/>
        </w:rPr>
        <w:t>праведност која се постиже употребом прогресивног опорезивања дохотка физичких лица и увођење акциза на луксузне производе на страни прихода и увођењем трансфера са социјалном наменом на расходној страни;</w:t>
      </w:r>
    </w:p>
    <w:p w:rsidR="00A66408" w:rsidRDefault="00A66408" w:rsidP="00A66408">
      <w:pPr>
        <w:pStyle w:val="ListParagraph"/>
        <w:rPr>
          <w:rFonts w:ascii="Times New Roman" w:hAnsi="Times New Roman"/>
          <w:sz w:val="24"/>
          <w:szCs w:val="24"/>
          <w:lang w:val="sr-Cyrl-CS"/>
        </w:rPr>
      </w:pPr>
    </w:p>
    <w:p w:rsidR="00A66408" w:rsidRDefault="00A66408" w:rsidP="00A66408">
      <w:pPr>
        <w:pStyle w:val="ListParagraph"/>
        <w:jc w:val="both"/>
        <w:rPr>
          <w:rFonts w:ascii="Times New Roman" w:hAnsi="Times New Roman"/>
          <w:sz w:val="24"/>
          <w:szCs w:val="24"/>
          <w:lang w:val="sr-Cyrl-CS"/>
        </w:rPr>
      </w:pPr>
    </w:p>
    <w:p w:rsidR="00A66408" w:rsidRPr="003A57BB" w:rsidRDefault="00A66408" w:rsidP="003A57BB">
      <w:pPr>
        <w:pStyle w:val="ListParagraph"/>
        <w:numPr>
          <w:ilvl w:val="0"/>
          <w:numId w:val="2"/>
        </w:numPr>
        <w:jc w:val="both"/>
        <w:rPr>
          <w:rFonts w:ascii="Times New Roman" w:hAnsi="Times New Roman"/>
          <w:sz w:val="24"/>
          <w:szCs w:val="24"/>
          <w:lang w:val="sr-Cyrl-CS"/>
        </w:rPr>
      </w:pPr>
      <w:r>
        <w:rPr>
          <w:rFonts w:ascii="Times New Roman" w:hAnsi="Times New Roman"/>
          <w:sz w:val="24"/>
          <w:szCs w:val="24"/>
          <w:lang w:val="sr-Cyrl-CS"/>
        </w:rPr>
        <w:lastRenderedPageBreak/>
        <w:t>умереност пореског оптерећења које за разлику од високог пореског оптерећења доводи до евазије пореза;</w:t>
      </w:r>
    </w:p>
    <w:p w:rsidR="00A66408" w:rsidRPr="004A0930" w:rsidRDefault="00A66408" w:rsidP="00A66408">
      <w:pPr>
        <w:pStyle w:val="ListParagraph"/>
        <w:numPr>
          <w:ilvl w:val="0"/>
          <w:numId w:val="2"/>
        </w:numPr>
        <w:jc w:val="both"/>
        <w:rPr>
          <w:rFonts w:ascii="Times New Roman" w:hAnsi="Times New Roman"/>
          <w:sz w:val="24"/>
          <w:szCs w:val="24"/>
          <w:lang w:val="sr-Cyrl-CS"/>
        </w:rPr>
      </w:pPr>
      <w:r>
        <w:rPr>
          <w:rFonts w:ascii="Times New Roman" w:hAnsi="Times New Roman"/>
          <w:sz w:val="24"/>
          <w:szCs w:val="24"/>
          <w:lang w:val="sr-Cyrl-CS"/>
        </w:rPr>
        <w:t>усклађеност пореских прописа са међународним пореским правилима, у циљу стварања пореских интеграција.</w:t>
      </w:r>
    </w:p>
    <w:p w:rsidR="00A66408" w:rsidRPr="004742CF" w:rsidRDefault="00A66408" w:rsidP="00A66408">
      <w:pPr>
        <w:pStyle w:val="ListParagraph"/>
        <w:ind w:left="0"/>
        <w:jc w:val="both"/>
        <w:rPr>
          <w:rFonts w:ascii="Times New Roman" w:hAnsi="Times New Roman"/>
          <w:sz w:val="24"/>
          <w:szCs w:val="24"/>
          <w:lang w:val="sr-Cyrl-CS"/>
        </w:rPr>
      </w:pPr>
      <w:r>
        <w:rPr>
          <w:rFonts w:ascii="Times New Roman" w:hAnsi="Times New Roman"/>
          <w:sz w:val="24"/>
          <w:szCs w:val="24"/>
          <w:lang w:val="sr-Cyrl-CS"/>
        </w:rPr>
        <w:t xml:space="preserve">  </w:t>
      </w:r>
    </w:p>
    <w:p w:rsidR="008B32D6" w:rsidRPr="00A66408" w:rsidRDefault="00A66408" w:rsidP="008B32D6">
      <w:pPr>
        <w:pStyle w:val="ListParagraph"/>
        <w:ind w:left="0"/>
        <w:jc w:val="both"/>
        <w:rPr>
          <w:rFonts w:ascii="Times New Roman" w:hAnsi="Times New Roman"/>
          <w:sz w:val="24"/>
          <w:szCs w:val="24"/>
          <w:lang w:val="sr-Cyrl-CS"/>
        </w:rPr>
      </w:pPr>
      <w:r>
        <w:rPr>
          <w:rFonts w:ascii="Times New Roman" w:hAnsi="Times New Roman"/>
          <w:sz w:val="24"/>
          <w:szCs w:val="24"/>
          <w:lang w:val="sr-Cyrl-CS"/>
        </w:rPr>
        <w:t xml:space="preserve"> </w:t>
      </w:r>
    </w:p>
    <w:p w:rsidR="00A66408" w:rsidRDefault="00A66408" w:rsidP="00A74A8E">
      <w:pPr>
        <w:pStyle w:val="ListParagraph"/>
        <w:ind w:left="0" w:firstLine="360"/>
        <w:jc w:val="both"/>
        <w:rPr>
          <w:rFonts w:ascii="Times New Roman" w:hAnsi="Times New Roman"/>
          <w:sz w:val="24"/>
          <w:szCs w:val="24"/>
          <w:lang w:val="sr-Cyrl-CS"/>
        </w:rPr>
      </w:pPr>
      <w:r>
        <w:rPr>
          <w:rFonts w:ascii="Times New Roman" w:hAnsi="Times New Roman"/>
          <w:sz w:val="24"/>
          <w:szCs w:val="24"/>
          <w:lang w:val="sr-Cyrl-CS"/>
        </w:rPr>
        <w:t>Коначно, циљ сваке ефикасне пореске реформе је ефикасан порески систем, који је предуслов за у</w:t>
      </w:r>
      <w:r w:rsidR="00E12EC8">
        <w:rPr>
          <w:rFonts w:ascii="Times New Roman" w:hAnsi="Times New Roman"/>
          <w:sz w:val="24"/>
          <w:szCs w:val="24"/>
          <w:lang w:val="sr-Cyrl-CS"/>
        </w:rPr>
        <w:t>спеш</w:t>
      </w:r>
      <w:r w:rsidR="004C51F3">
        <w:rPr>
          <w:rFonts w:ascii="Times New Roman" w:hAnsi="Times New Roman"/>
          <w:sz w:val="24"/>
          <w:szCs w:val="24"/>
          <w:lang w:val="sr-Cyrl-CS"/>
        </w:rPr>
        <w:t>н</w:t>
      </w:r>
      <w:r>
        <w:rPr>
          <w:rFonts w:ascii="Times New Roman" w:hAnsi="Times New Roman"/>
          <w:sz w:val="24"/>
          <w:szCs w:val="24"/>
          <w:lang w:val="sr-Cyrl-CS"/>
        </w:rPr>
        <w:t xml:space="preserve">о супротстављање избегавању плаћања пореза. </w:t>
      </w:r>
      <w:r w:rsidR="001E4AF5">
        <w:rPr>
          <w:rFonts w:ascii="Times New Roman" w:hAnsi="Times New Roman"/>
          <w:sz w:val="24"/>
          <w:szCs w:val="24"/>
          <w:lang w:val="sr-Cyrl-CS"/>
        </w:rPr>
        <w:t>Овај циљ није лако постићи, посебно за земље у транзицији јер и</w:t>
      </w:r>
      <w:r w:rsidR="004C51F3">
        <w:rPr>
          <w:rFonts w:ascii="Times New Roman" w:hAnsi="Times New Roman"/>
          <w:sz w:val="24"/>
          <w:szCs w:val="24"/>
          <w:lang w:val="sr-Cyrl-CS"/>
        </w:rPr>
        <w:t>зградња ефикасног пореског система у земљама у транзицији захтева савлађивање „наслеђа“ претходног система и то пре свега у следећим областима</w:t>
      </w:r>
      <w:r>
        <w:rPr>
          <w:rFonts w:ascii="Times New Roman" w:hAnsi="Times New Roman"/>
          <w:sz w:val="24"/>
          <w:szCs w:val="24"/>
          <w:lang w:val="sr-Cyrl-CS"/>
        </w:rPr>
        <w:t>:</w:t>
      </w:r>
      <w:r w:rsidR="004C51F3">
        <w:rPr>
          <w:rStyle w:val="FootnoteReference"/>
          <w:rFonts w:ascii="Times New Roman" w:hAnsi="Times New Roman"/>
          <w:sz w:val="24"/>
          <w:szCs w:val="24"/>
          <w:lang w:val="sr-Cyrl-CS"/>
        </w:rPr>
        <w:footnoteReference w:id="218"/>
      </w:r>
      <w:r w:rsidR="00002158">
        <w:rPr>
          <w:rFonts w:ascii="Times New Roman" w:hAnsi="Times New Roman"/>
          <w:sz w:val="24"/>
          <w:szCs w:val="24"/>
          <w:lang w:val="sr-Cyrl-CS"/>
        </w:rPr>
        <w:t xml:space="preserve"> </w:t>
      </w:r>
    </w:p>
    <w:p w:rsidR="003A57BB" w:rsidRPr="00A74A8E" w:rsidRDefault="003A57BB" w:rsidP="00A74A8E">
      <w:pPr>
        <w:pStyle w:val="ListParagraph"/>
        <w:ind w:left="0" w:firstLine="360"/>
        <w:jc w:val="both"/>
        <w:rPr>
          <w:rFonts w:ascii="Times New Roman" w:hAnsi="Times New Roman"/>
          <w:sz w:val="24"/>
          <w:szCs w:val="24"/>
          <w:lang w:val="sr-Cyrl-CS"/>
        </w:rPr>
      </w:pPr>
    </w:p>
    <w:p w:rsidR="003A57BB" w:rsidRPr="003A57BB" w:rsidRDefault="004A0930" w:rsidP="003A57BB">
      <w:pPr>
        <w:pStyle w:val="ListParagraph"/>
        <w:numPr>
          <w:ilvl w:val="0"/>
          <w:numId w:val="2"/>
        </w:numPr>
        <w:jc w:val="both"/>
        <w:rPr>
          <w:rFonts w:ascii="Times New Roman" w:hAnsi="Times New Roman"/>
          <w:sz w:val="24"/>
          <w:szCs w:val="24"/>
          <w:lang w:val="sr-Cyrl-CS"/>
        </w:rPr>
      </w:pPr>
      <w:r>
        <w:rPr>
          <w:rFonts w:ascii="Times New Roman" w:hAnsi="Times New Roman"/>
          <w:sz w:val="24"/>
          <w:szCs w:val="24"/>
          <w:lang w:val="sr-Cyrl-CS"/>
        </w:rPr>
        <w:t>особине на</w:t>
      </w:r>
      <w:r w:rsidR="008646F1">
        <w:rPr>
          <w:rFonts w:ascii="Times New Roman" w:hAnsi="Times New Roman"/>
          <w:sz w:val="24"/>
          <w:szCs w:val="24"/>
          <w:lang w:val="sr-Cyrl-CS"/>
        </w:rPr>
        <w:t xml:space="preserve">слеђене структуре у привредним </w:t>
      </w:r>
      <w:r>
        <w:rPr>
          <w:rFonts w:ascii="Times New Roman" w:hAnsi="Times New Roman"/>
          <w:sz w:val="24"/>
          <w:szCs w:val="24"/>
          <w:lang w:val="sr-Cyrl-CS"/>
        </w:rPr>
        <w:t>системима која не дозвољава или отежава убирање пореза;</w:t>
      </w:r>
    </w:p>
    <w:p w:rsidR="003A57BB" w:rsidRPr="003A57BB" w:rsidRDefault="004A0930" w:rsidP="003A57BB">
      <w:pPr>
        <w:pStyle w:val="ListParagraph"/>
        <w:numPr>
          <w:ilvl w:val="0"/>
          <w:numId w:val="2"/>
        </w:numPr>
        <w:jc w:val="both"/>
        <w:rPr>
          <w:rFonts w:ascii="Times New Roman" w:hAnsi="Times New Roman"/>
          <w:sz w:val="24"/>
          <w:szCs w:val="24"/>
          <w:lang w:val="sr-Cyrl-CS"/>
        </w:rPr>
      </w:pPr>
      <w:r>
        <w:rPr>
          <w:rFonts w:ascii="Times New Roman" w:hAnsi="Times New Roman"/>
          <w:sz w:val="24"/>
          <w:szCs w:val="24"/>
          <w:lang w:val="sr-Cyrl-CS"/>
        </w:rPr>
        <w:t>неразвијена пореска администрација;</w:t>
      </w:r>
    </w:p>
    <w:p w:rsidR="003A57BB" w:rsidRPr="003A57BB" w:rsidRDefault="004A0930" w:rsidP="003A57BB">
      <w:pPr>
        <w:pStyle w:val="ListParagraph"/>
        <w:numPr>
          <w:ilvl w:val="0"/>
          <w:numId w:val="2"/>
        </w:numPr>
        <w:jc w:val="both"/>
        <w:rPr>
          <w:rFonts w:ascii="Times New Roman" w:hAnsi="Times New Roman"/>
          <w:sz w:val="24"/>
          <w:szCs w:val="24"/>
          <w:lang w:val="sr-Cyrl-CS"/>
        </w:rPr>
      </w:pPr>
      <w:r>
        <w:rPr>
          <w:rFonts w:ascii="Times New Roman" w:hAnsi="Times New Roman"/>
          <w:sz w:val="24"/>
          <w:szCs w:val="24"/>
          <w:lang w:val="sr-Cyrl-CS"/>
        </w:rPr>
        <w:t>неквалитетна и некомплетна база података и</w:t>
      </w:r>
    </w:p>
    <w:p w:rsidR="001E4AF5" w:rsidRDefault="004A0930" w:rsidP="00A74A8E">
      <w:pPr>
        <w:pStyle w:val="ListParagraph"/>
        <w:numPr>
          <w:ilvl w:val="0"/>
          <w:numId w:val="2"/>
        </w:numPr>
        <w:jc w:val="both"/>
        <w:rPr>
          <w:rFonts w:ascii="Times New Roman" w:hAnsi="Times New Roman"/>
          <w:sz w:val="24"/>
          <w:szCs w:val="24"/>
          <w:lang w:val="sr-Cyrl-CS"/>
        </w:rPr>
      </w:pPr>
      <w:r>
        <w:rPr>
          <w:rFonts w:ascii="Times New Roman" w:hAnsi="Times New Roman"/>
          <w:sz w:val="24"/>
          <w:szCs w:val="24"/>
          <w:lang w:val="sr-Cyrl-CS"/>
        </w:rPr>
        <w:t>одсуство фактичке политичке подршке пореској реформи.</w:t>
      </w:r>
    </w:p>
    <w:p w:rsidR="003A57BB" w:rsidRPr="00A74A8E" w:rsidRDefault="003A57BB" w:rsidP="003A57BB">
      <w:pPr>
        <w:pStyle w:val="ListParagraph"/>
        <w:jc w:val="both"/>
        <w:rPr>
          <w:rFonts w:ascii="Times New Roman" w:hAnsi="Times New Roman"/>
          <w:sz w:val="24"/>
          <w:szCs w:val="24"/>
          <w:lang w:val="sr-Cyrl-CS"/>
        </w:rPr>
      </w:pPr>
    </w:p>
    <w:p w:rsidR="00C207AE" w:rsidRDefault="00C207AE" w:rsidP="00C207AE">
      <w:pPr>
        <w:pStyle w:val="ListParagraph"/>
        <w:ind w:left="360"/>
        <w:jc w:val="both"/>
        <w:rPr>
          <w:rFonts w:ascii="Times New Roman" w:hAnsi="Times New Roman"/>
          <w:sz w:val="24"/>
          <w:szCs w:val="24"/>
          <w:lang w:val="sr-Cyrl-CS"/>
        </w:rPr>
      </w:pPr>
    </w:p>
    <w:p w:rsidR="000D487B" w:rsidRPr="0077618E" w:rsidRDefault="000D487B" w:rsidP="001E4AF5">
      <w:pPr>
        <w:pStyle w:val="ListParagraph"/>
        <w:numPr>
          <w:ilvl w:val="0"/>
          <w:numId w:val="3"/>
        </w:numPr>
        <w:jc w:val="both"/>
        <w:rPr>
          <w:rFonts w:ascii="Times New Roman" w:hAnsi="Times New Roman"/>
          <w:b/>
          <w:i/>
          <w:sz w:val="28"/>
          <w:szCs w:val="28"/>
          <w:lang w:val="sr-Cyrl-CS"/>
        </w:rPr>
      </w:pPr>
      <w:r w:rsidRPr="0077618E">
        <w:rPr>
          <w:rFonts w:ascii="Times New Roman" w:hAnsi="Times New Roman"/>
          <w:b/>
          <w:i/>
          <w:sz w:val="28"/>
          <w:szCs w:val="28"/>
          <w:lang w:val="sr-Cyrl-CS"/>
        </w:rPr>
        <w:t>Структура јавних прихода</w:t>
      </w:r>
      <w:r w:rsidR="00870A2F" w:rsidRPr="0077618E">
        <w:rPr>
          <w:rFonts w:ascii="Times New Roman" w:hAnsi="Times New Roman"/>
          <w:b/>
          <w:i/>
          <w:sz w:val="28"/>
          <w:szCs w:val="28"/>
          <w:lang w:val="sr-Cyrl-CS"/>
        </w:rPr>
        <w:t xml:space="preserve"> </w:t>
      </w:r>
    </w:p>
    <w:p w:rsidR="00B812BC" w:rsidRDefault="00B812BC" w:rsidP="00B812BC">
      <w:pPr>
        <w:pStyle w:val="ListParagraph"/>
        <w:jc w:val="both"/>
        <w:rPr>
          <w:rFonts w:ascii="Times New Roman" w:hAnsi="Times New Roman"/>
          <w:sz w:val="24"/>
          <w:szCs w:val="24"/>
        </w:rPr>
      </w:pPr>
    </w:p>
    <w:p w:rsidR="000C4553" w:rsidRPr="000C4553" w:rsidRDefault="000C4553" w:rsidP="00B812BC">
      <w:pPr>
        <w:pStyle w:val="ListParagraph"/>
        <w:jc w:val="both"/>
        <w:rPr>
          <w:rFonts w:ascii="Times New Roman" w:hAnsi="Times New Roman"/>
          <w:sz w:val="24"/>
          <w:szCs w:val="24"/>
        </w:rPr>
      </w:pPr>
    </w:p>
    <w:p w:rsidR="00AC6785" w:rsidRDefault="00AC6785" w:rsidP="00AC6785">
      <w:pPr>
        <w:ind w:firstLine="567"/>
        <w:jc w:val="both"/>
        <w:rPr>
          <w:rFonts w:ascii="Times New Roman" w:hAnsi="Times New Roman"/>
          <w:sz w:val="24"/>
          <w:szCs w:val="24"/>
          <w:lang w:val="sr-Cyrl-CS"/>
        </w:rPr>
      </w:pPr>
      <w:r>
        <w:rPr>
          <w:rFonts w:ascii="Times New Roman" w:hAnsi="Times New Roman"/>
          <w:sz w:val="24"/>
          <w:szCs w:val="24"/>
          <w:lang w:val="sr-Cyrl-CS"/>
        </w:rPr>
        <w:t xml:space="preserve">Подела прихода према домаћим </w:t>
      </w:r>
      <w:r>
        <w:rPr>
          <w:rFonts w:ascii="Times New Roman" w:hAnsi="Times New Roman"/>
          <w:sz w:val="24"/>
          <w:szCs w:val="24"/>
        </w:rPr>
        <w:t>позитивним прописима</w:t>
      </w:r>
      <w:r>
        <w:rPr>
          <w:rFonts w:ascii="Times New Roman" w:hAnsi="Times New Roman"/>
          <w:sz w:val="24"/>
          <w:szCs w:val="24"/>
          <w:lang w:val="sr-Cyrl-CS"/>
        </w:rPr>
        <w:t xml:space="preserve"> је</w:t>
      </w:r>
      <w:r>
        <w:rPr>
          <w:rFonts w:ascii="Times New Roman" w:hAnsi="Times New Roman"/>
          <w:sz w:val="24"/>
          <w:szCs w:val="24"/>
        </w:rPr>
        <w:t xml:space="preserve"> базиран</w:t>
      </w:r>
      <w:r>
        <w:rPr>
          <w:rFonts w:ascii="Times New Roman" w:hAnsi="Times New Roman"/>
          <w:sz w:val="24"/>
          <w:szCs w:val="24"/>
          <w:lang w:val="sr-Cyrl-CS"/>
        </w:rPr>
        <w:t xml:space="preserve">а на класификацији јавних прихода коју примењује Међународни монетарни </w:t>
      </w:r>
      <w:r w:rsidR="00CB394F">
        <w:rPr>
          <w:rFonts w:ascii="Times New Roman" w:hAnsi="Times New Roman"/>
          <w:sz w:val="24"/>
          <w:szCs w:val="24"/>
          <w:lang w:val="sr-Cyrl-CS"/>
        </w:rPr>
        <w:t>фонд, односно у ск</w:t>
      </w:r>
      <w:r>
        <w:rPr>
          <w:rFonts w:ascii="Times New Roman" w:hAnsi="Times New Roman"/>
          <w:sz w:val="24"/>
          <w:szCs w:val="24"/>
          <w:lang w:val="sr-Cyrl-CS"/>
        </w:rPr>
        <w:t>ладу је са међ</w:t>
      </w:r>
      <w:r w:rsidR="00CB394F">
        <w:rPr>
          <w:rFonts w:ascii="Times New Roman" w:hAnsi="Times New Roman"/>
          <w:sz w:val="24"/>
          <w:szCs w:val="24"/>
          <w:lang w:val="sr-Cyrl-CS"/>
        </w:rPr>
        <w:t>ународном ГФС методологијом (Статисти</w:t>
      </w:r>
      <w:r>
        <w:rPr>
          <w:rFonts w:ascii="Times New Roman" w:hAnsi="Times New Roman"/>
          <w:sz w:val="24"/>
          <w:szCs w:val="24"/>
          <w:lang w:val="sr-Cyrl-CS"/>
        </w:rPr>
        <w:t>ка државних финансија- eng.Government Finance Statisics),</w:t>
      </w:r>
      <w:r>
        <w:rPr>
          <w:rStyle w:val="FootnoteReference"/>
          <w:rFonts w:ascii="Times New Roman" w:hAnsi="Times New Roman"/>
          <w:sz w:val="24"/>
          <w:szCs w:val="24"/>
          <w:lang w:val="sr-Cyrl-CS"/>
        </w:rPr>
        <w:footnoteReference w:id="219"/>
      </w:r>
      <w:r w:rsidR="00664207">
        <w:rPr>
          <w:rFonts w:ascii="Times New Roman" w:hAnsi="Times New Roman"/>
          <w:sz w:val="24"/>
          <w:szCs w:val="24"/>
          <w:lang w:val="sr-Cyrl-CS"/>
        </w:rPr>
        <w:t xml:space="preserve"> </w:t>
      </w:r>
      <w:r>
        <w:rPr>
          <w:rFonts w:ascii="Times New Roman" w:hAnsi="Times New Roman"/>
          <w:sz w:val="24"/>
          <w:szCs w:val="24"/>
          <w:lang w:val="sr-Cyrl-CS"/>
        </w:rPr>
        <w:t xml:space="preserve">те су Правилником о стандардном класификационом оквиру и контном плану за буџетски систем прописана конта за све јавноправне и приватноправне приходе. Наиме, </w:t>
      </w:r>
      <w:r w:rsidR="00095739">
        <w:rPr>
          <w:rFonts w:ascii="Times New Roman" w:hAnsi="Times New Roman"/>
          <w:sz w:val="24"/>
          <w:szCs w:val="24"/>
          <w:lang w:val="sr-Cyrl-CS"/>
        </w:rPr>
        <w:t xml:space="preserve">када је СР Југославија приступила </w:t>
      </w:r>
      <w:r>
        <w:rPr>
          <w:rFonts w:ascii="Times New Roman" w:hAnsi="Times New Roman"/>
          <w:sz w:val="24"/>
          <w:szCs w:val="24"/>
          <w:lang w:val="sr-Cyrl-CS"/>
        </w:rPr>
        <w:t>Међународном монетарном фонду</w:t>
      </w:r>
      <w:r w:rsidR="00095739">
        <w:rPr>
          <w:rFonts w:ascii="Times New Roman" w:hAnsi="Times New Roman"/>
          <w:sz w:val="24"/>
          <w:szCs w:val="24"/>
          <w:lang w:val="sr-Cyrl-CS"/>
        </w:rPr>
        <w:t>,</w:t>
      </w:r>
      <w:r>
        <w:rPr>
          <w:rFonts w:ascii="Times New Roman" w:hAnsi="Times New Roman"/>
          <w:sz w:val="24"/>
          <w:szCs w:val="24"/>
          <w:lang w:val="sr-Cyrl-CS"/>
        </w:rPr>
        <w:t xml:space="preserve"> пред крај 2000. године, преузела је обавезу да своју статистику јавних финансија води према правилима која је ММФ формулисао у Government Statistics Manual-u. </w:t>
      </w:r>
      <w:r w:rsidR="00095739">
        <w:rPr>
          <w:rFonts w:ascii="Times New Roman" w:hAnsi="Times New Roman"/>
          <w:sz w:val="24"/>
          <w:szCs w:val="24"/>
          <w:lang w:val="sr-Cyrl-CS"/>
        </w:rPr>
        <w:t xml:space="preserve">ГФС класификација представља класификацију свих јавних прихода. </w:t>
      </w:r>
      <w:r>
        <w:rPr>
          <w:rFonts w:ascii="Times New Roman" w:hAnsi="Times New Roman"/>
          <w:sz w:val="24"/>
          <w:szCs w:val="24"/>
          <w:lang w:val="sr-Cyrl-CS"/>
        </w:rPr>
        <w:t>ОЕЦД класифика</w:t>
      </w:r>
      <w:r w:rsidR="00095739">
        <w:rPr>
          <w:rFonts w:ascii="Times New Roman" w:hAnsi="Times New Roman"/>
          <w:sz w:val="24"/>
          <w:szCs w:val="24"/>
          <w:lang w:val="sr-Cyrl-CS"/>
        </w:rPr>
        <w:t>ција обухвата искључиво порезе</w:t>
      </w:r>
      <w:r>
        <w:rPr>
          <w:rFonts w:ascii="Times New Roman" w:hAnsi="Times New Roman"/>
          <w:sz w:val="24"/>
          <w:szCs w:val="24"/>
          <w:lang w:val="sr-Cyrl-CS"/>
        </w:rPr>
        <w:t>.</w:t>
      </w:r>
      <w:r w:rsidR="00095739" w:rsidRPr="00095739">
        <w:rPr>
          <w:rStyle w:val="FootnoteReference"/>
          <w:rFonts w:ascii="Times New Roman" w:hAnsi="Times New Roman"/>
          <w:sz w:val="24"/>
          <w:szCs w:val="24"/>
          <w:lang w:val="sr-Cyrl-CS"/>
        </w:rPr>
        <w:t xml:space="preserve"> </w:t>
      </w:r>
      <w:r w:rsidR="00095739">
        <w:rPr>
          <w:rStyle w:val="FootnoteReference"/>
          <w:rFonts w:ascii="Times New Roman" w:hAnsi="Times New Roman"/>
          <w:sz w:val="24"/>
          <w:szCs w:val="24"/>
          <w:lang w:val="sr-Cyrl-CS"/>
        </w:rPr>
        <w:footnoteReference w:id="220"/>
      </w:r>
      <w:r w:rsidR="00095739">
        <w:rPr>
          <w:rFonts w:ascii="Times New Roman" w:hAnsi="Times New Roman"/>
          <w:sz w:val="24"/>
          <w:szCs w:val="24"/>
          <w:lang w:val="sr-Cyrl-CS"/>
        </w:rPr>
        <w:t xml:space="preserve">  </w:t>
      </w:r>
      <w:r>
        <w:rPr>
          <w:rFonts w:ascii="Times New Roman" w:hAnsi="Times New Roman"/>
          <w:sz w:val="24"/>
          <w:szCs w:val="24"/>
          <w:lang w:val="sr-Cyrl-CS"/>
        </w:rPr>
        <w:t xml:space="preserve"> </w:t>
      </w:r>
    </w:p>
    <w:p w:rsidR="000C1307" w:rsidRDefault="000C1307" w:rsidP="000C1307">
      <w:pPr>
        <w:ind w:firstLine="567"/>
        <w:jc w:val="both"/>
        <w:rPr>
          <w:rFonts w:ascii="Times New Roman" w:hAnsi="Times New Roman"/>
          <w:sz w:val="24"/>
          <w:szCs w:val="24"/>
          <w:lang w:val="sr-Cyrl-CS"/>
        </w:rPr>
      </w:pPr>
      <w:r>
        <w:rPr>
          <w:rFonts w:ascii="Times New Roman" w:hAnsi="Times New Roman"/>
          <w:sz w:val="24"/>
          <w:szCs w:val="24"/>
          <w:lang w:val="en-US"/>
        </w:rPr>
        <w:t xml:space="preserve">Према ГФС класификацији </w:t>
      </w:r>
      <w:r>
        <w:rPr>
          <w:rFonts w:ascii="Times New Roman" w:hAnsi="Times New Roman"/>
          <w:sz w:val="24"/>
          <w:szCs w:val="24"/>
          <w:lang w:val="sr-Cyrl-CS"/>
        </w:rPr>
        <w:t xml:space="preserve">доприноси за социјално осигурање се не сматрају порезима, већ су издвојени у посебну категорију текућих прихода – социјални доприноси, док су порези на међународну трговину и трансакције издвојени из пореза на добра и услуге у посебну групу пореза, по чему се ова класификација разликује од </w:t>
      </w:r>
      <w:r>
        <w:rPr>
          <w:rFonts w:ascii="Times New Roman" w:hAnsi="Times New Roman"/>
          <w:sz w:val="24"/>
          <w:szCs w:val="24"/>
          <w:lang w:val="sr-Cyrl-CS"/>
        </w:rPr>
        <w:lastRenderedPageBreak/>
        <w:t>ОЕЦД класификације. Сврставање доприноса за социјално осигурање у порезе према ОЕЦД класификацији је нејасно имајући у виду да се порези дефинишу као обавезна плаћања држави без непосредне противнакнаде.</w:t>
      </w:r>
      <w:r>
        <w:rPr>
          <w:rStyle w:val="FootnoteReference"/>
          <w:rFonts w:ascii="Times New Roman" w:hAnsi="Times New Roman"/>
          <w:sz w:val="24"/>
          <w:szCs w:val="24"/>
          <w:lang w:val="sr-Cyrl-CS"/>
        </w:rPr>
        <w:footnoteReference w:id="221"/>
      </w:r>
      <w:r>
        <w:rPr>
          <w:rFonts w:ascii="Times New Roman" w:hAnsi="Times New Roman"/>
          <w:sz w:val="24"/>
          <w:szCs w:val="24"/>
          <w:lang w:val="sr-Cyrl-CS"/>
        </w:rPr>
        <w:t xml:space="preserve"> Међутим као и у ОЕЦД класификацији и овде се порези деле према пореској основици</w:t>
      </w:r>
      <w:r w:rsidR="00CB394F">
        <w:rPr>
          <w:rFonts w:ascii="Times New Roman" w:hAnsi="Times New Roman"/>
          <w:sz w:val="24"/>
          <w:szCs w:val="24"/>
          <w:lang w:val="sr-Cyrl-CS"/>
        </w:rPr>
        <w:t>.</w:t>
      </w:r>
    </w:p>
    <w:p w:rsidR="003A57BB" w:rsidRDefault="003A57BB" w:rsidP="000C1307">
      <w:pPr>
        <w:ind w:firstLine="567"/>
        <w:jc w:val="both"/>
        <w:rPr>
          <w:rFonts w:ascii="Times New Roman" w:hAnsi="Times New Roman"/>
          <w:sz w:val="24"/>
          <w:szCs w:val="24"/>
          <w:lang w:val="sr-Cyrl-CS"/>
        </w:rPr>
      </w:pPr>
    </w:p>
    <w:p w:rsidR="00D4358D" w:rsidRDefault="000C1307" w:rsidP="00347C1D">
      <w:pPr>
        <w:ind w:firstLine="567"/>
        <w:jc w:val="both"/>
        <w:rPr>
          <w:rFonts w:ascii="Times New Roman" w:hAnsi="Times New Roman"/>
          <w:sz w:val="24"/>
          <w:szCs w:val="24"/>
          <w:lang w:val="sr-Cyrl-CS"/>
        </w:rPr>
      </w:pPr>
      <w:r>
        <w:rPr>
          <w:rFonts w:ascii="Times New Roman" w:hAnsi="Times New Roman"/>
          <w:sz w:val="24"/>
          <w:szCs w:val="24"/>
          <w:lang w:val="sr-Cyrl-CS"/>
        </w:rPr>
        <w:t xml:space="preserve"> </w:t>
      </w:r>
    </w:p>
    <w:p w:rsidR="00AC6785" w:rsidRDefault="00AC6785" w:rsidP="00AC6785">
      <w:pPr>
        <w:ind w:firstLine="567"/>
        <w:jc w:val="center"/>
        <w:rPr>
          <w:rFonts w:ascii="Times New Roman" w:hAnsi="Times New Roman"/>
          <w:sz w:val="24"/>
          <w:szCs w:val="24"/>
          <w:lang w:val="sr-Cyrl-CS"/>
        </w:rPr>
      </w:pPr>
      <w:r>
        <w:rPr>
          <w:rFonts w:ascii="Times New Roman" w:hAnsi="Times New Roman"/>
          <w:sz w:val="24"/>
          <w:szCs w:val="24"/>
          <w:lang w:val="sr-Cyrl-CS"/>
        </w:rPr>
        <w:t>ГФС КЛАСИФИКАЦИЈА ЈАВНИХ (ТЕКУЋИХ) ПРИХОДА</w:t>
      </w:r>
    </w:p>
    <w:p w:rsidR="00AC6785" w:rsidRDefault="00AC6785" w:rsidP="00AC6785">
      <w:pPr>
        <w:ind w:firstLine="567"/>
        <w:jc w:val="center"/>
        <w:rPr>
          <w:rFonts w:ascii="Times New Roman" w:hAnsi="Times New Roman"/>
          <w:sz w:val="24"/>
          <w:szCs w:val="24"/>
        </w:rPr>
      </w:pPr>
      <w:r>
        <w:rPr>
          <w:rFonts w:ascii="Times New Roman" w:hAnsi="Times New Roman"/>
          <w:sz w:val="24"/>
          <w:szCs w:val="24"/>
          <w:lang w:val="sr-Cyrl-CS"/>
        </w:rPr>
        <w:t>(класа 700000)</w:t>
      </w:r>
    </w:p>
    <w:p w:rsidR="000C4553" w:rsidRPr="000C4553" w:rsidRDefault="000C4553" w:rsidP="00AC6785">
      <w:pPr>
        <w:ind w:firstLine="567"/>
        <w:jc w:val="center"/>
        <w:rPr>
          <w:rFonts w:ascii="Times New Roman" w:hAnsi="Times New Roman"/>
          <w:sz w:val="24"/>
          <w:szCs w:val="24"/>
        </w:rPr>
      </w:pPr>
    </w:p>
    <w:p w:rsidR="00AC6785" w:rsidRDefault="00AC6785" w:rsidP="00AC6785">
      <w:pPr>
        <w:ind w:firstLine="567"/>
        <w:rPr>
          <w:rFonts w:ascii="Times New Roman" w:hAnsi="Times New Roman"/>
          <w:sz w:val="24"/>
          <w:szCs w:val="24"/>
          <w:lang w:val="sr-Cyrl-CS"/>
        </w:rPr>
      </w:pPr>
      <w:r>
        <w:rPr>
          <w:rFonts w:ascii="Times New Roman" w:hAnsi="Times New Roman"/>
          <w:sz w:val="24"/>
          <w:szCs w:val="24"/>
          <w:lang w:val="sr-Cyrl-CS"/>
        </w:rPr>
        <w:t>7110000 ПОРЕЗИ</w:t>
      </w:r>
    </w:p>
    <w:p w:rsidR="00AC6785" w:rsidRDefault="00AC6785" w:rsidP="00AC6785">
      <w:pPr>
        <w:ind w:firstLine="567"/>
        <w:rPr>
          <w:rFonts w:ascii="Times New Roman" w:hAnsi="Times New Roman"/>
          <w:sz w:val="24"/>
          <w:szCs w:val="24"/>
          <w:lang w:val="sr-Cyrl-CS"/>
        </w:rPr>
      </w:pPr>
      <w:r>
        <w:rPr>
          <w:rFonts w:ascii="Times New Roman" w:hAnsi="Times New Roman"/>
          <w:sz w:val="24"/>
          <w:szCs w:val="24"/>
          <w:lang w:val="sr-Cyrl-CS"/>
        </w:rPr>
        <w:t xml:space="preserve">711000 Порези на доходак, добит и капиталне добитке </w:t>
      </w:r>
    </w:p>
    <w:p w:rsidR="00AC6785" w:rsidRDefault="00AC6785" w:rsidP="00AC6785">
      <w:pPr>
        <w:ind w:firstLine="567"/>
        <w:rPr>
          <w:rFonts w:ascii="Times New Roman" w:hAnsi="Times New Roman"/>
          <w:sz w:val="24"/>
          <w:szCs w:val="24"/>
          <w:lang w:val="sr-Cyrl-CS"/>
        </w:rPr>
      </w:pPr>
      <w:r>
        <w:rPr>
          <w:rFonts w:ascii="Times New Roman" w:hAnsi="Times New Roman"/>
          <w:sz w:val="24"/>
          <w:szCs w:val="24"/>
          <w:lang w:val="sr-Cyrl-CS"/>
        </w:rPr>
        <w:t>712000 Порез на фонд зарада и радну снагу</w:t>
      </w:r>
    </w:p>
    <w:p w:rsidR="00AC6785" w:rsidRDefault="00AC6785" w:rsidP="00AC6785">
      <w:pPr>
        <w:ind w:firstLine="567"/>
        <w:rPr>
          <w:rFonts w:ascii="Times New Roman" w:hAnsi="Times New Roman"/>
          <w:sz w:val="24"/>
          <w:szCs w:val="24"/>
          <w:lang w:val="sr-Cyrl-CS"/>
        </w:rPr>
      </w:pPr>
      <w:r>
        <w:rPr>
          <w:rFonts w:ascii="Times New Roman" w:hAnsi="Times New Roman"/>
          <w:sz w:val="24"/>
          <w:szCs w:val="24"/>
          <w:lang w:val="sr-Cyrl-CS"/>
        </w:rPr>
        <w:t>713000 Порез на имовину</w:t>
      </w:r>
    </w:p>
    <w:p w:rsidR="00AC6785" w:rsidRDefault="00AC6785" w:rsidP="00AC6785">
      <w:pPr>
        <w:ind w:firstLine="567"/>
        <w:rPr>
          <w:rFonts w:ascii="Times New Roman" w:hAnsi="Times New Roman"/>
          <w:sz w:val="24"/>
          <w:szCs w:val="24"/>
          <w:lang w:val="sr-Cyrl-CS"/>
        </w:rPr>
      </w:pPr>
      <w:r>
        <w:rPr>
          <w:rFonts w:ascii="Times New Roman" w:hAnsi="Times New Roman"/>
          <w:sz w:val="24"/>
          <w:szCs w:val="24"/>
          <w:lang w:val="sr-Cyrl-CS"/>
        </w:rPr>
        <w:t>714000 Порез на добра и услуге</w:t>
      </w:r>
    </w:p>
    <w:p w:rsidR="00AC6785" w:rsidRDefault="00AC6785" w:rsidP="00AC6785">
      <w:pPr>
        <w:ind w:firstLine="567"/>
        <w:rPr>
          <w:rFonts w:ascii="Times New Roman" w:hAnsi="Times New Roman"/>
          <w:sz w:val="24"/>
          <w:szCs w:val="24"/>
          <w:lang w:val="sr-Cyrl-CS"/>
        </w:rPr>
      </w:pPr>
      <w:r>
        <w:rPr>
          <w:rFonts w:ascii="Times New Roman" w:hAnsi="Times New Roman"/>
          <w:sz w:val="24"/>
          <w:szCs w:val="24"/>
          <w:lang w:val="sr-Cyrl-CS"/>
        </w:rPr>
        <w:t>715000 Порез на међународну трговину и трансакције</w:t>
      </w:r>
    </w:p>
    <w:p w:rsidR="00AC6785" w:rsidRDefault="00AC6785" w:rsidP="00AC6785">
      <w:pPr>
        <w:ind w:firstLine="567"/>
        <w:rPr>
          <w:rFonts w:ascii="Times New Roman" w:hAnsi="Times New Roman"/>
          <w:sz w:val="24"/>
          <w:szCs w:val="24"/>
          <w:lang w:val="sr-Cyrl-CS"/>
        </w:rPr>
      </w:pPr>
      <w:r>
        <w:rPr>
          <w:rFonts w:ascii="Times New Roman" w:hAnsi="Times New Roman"/>
          <w:sz w:val="24"/>
          <w:szCs w:val="24"/>
          <w:lang w:val="sr-Cyrl-CS"/>
        </w:rPr>
        <w:t>716000 Други порези</w:t>
      </w:r>
    </w:p>
    <w:p w:rsidR="00AC6785" w:rsidRDefault="00AC6785" w:rsidP="00AC6785">
      <w:pPr>
        <w:ind w:firstLine="567"/>
        <w:rPr>
          <w:rFonts w:ascii="Times New Roman" w:hAnsi="Times New Roman"/>
          <w:sz w:val="24"/>
          <w:szCs w:val="24"/>
          <w:lang w:val="sr-Cyrl-CS"/>
        </w:rPr>
      </w:pPr>
      <w:r>
        <w:rPr>
          <w:rFonts w:ascii="Times New Roman" w:hAnsi="Times New Roman"/>
          <w:sz w:val="24"/>
          <w:szCs w:val="24"/>
          <w:lang w:val="sr-Cyrl-CS"/>
        </w:rPr>
        <w:t>720000 СОЦИЈАЛНИ ДОПРИНОСИ</w:t>
      </w:r>
    </w:p>
    <w:p w:rsidR="00AC6785" w:rsidRDefault="00AC6785" w:rsidP="00AC6785">
      <w:pPr>
        <w:ind w:firstLine="567"/>
        <w:rPr>
          <w:rFonts w:ascii="Times New Roman" w:hAnsi="Times New Roman"/>
          <w:sz w:val="24"/>
          <w:szCs w:val="24"/>
          <w:lang w:val="sr-Cyrl-CS"/>
        </w:rPr>
      </w:pPr>
      <w:r>
        <w:rPr>
          <w:rFonts w:ascii="Times New Roman" w:hAnsi="Times New Roman"/>
          <w:sz w:val="24"/>
          <w:szCs w:val="24"/>
          <w:lang w:val="sr-Cyrl-CS"/>
        </w:rPr>
        <w:t>730000 ДОНАЦИЈЕ И ТРАНСФЕРИ</w:t>
      </w:r>
    </w:p>
    <w:p w:rsidR="00AC6785" w:rsidRDefault="00AC6785" w:rsidP="00AC6785">
      <w:pPr>
        <w:ind w:firstLine="567"/>
        <w:rPr>
          <w:rFonts w:ascii="Times New Roman" w:hAnsi="Times New Roman"/>
          <w:sz w:val="24"/>
          <w:szCs w:val="24"/>
          <w:lang w:val="sr-Cyrl-CS"/>
        </w:rPr>
      </w:pPr>
      <w:r>
        <w:rPr>
          <w:rFonts w:ascii="Times New Roman" w:hAnsi="Times New Roman"/>
          <w:sz w:val="24"/>
          <w:szCs w:val="24"/>
          <w:lang w:val="sr-Cyrl-CS"/>
        </w:rPr>
        <w:t>740000 ДРУГИ ПРИХОДИ</w:t>
      </w:r>
    </w:p>
    <w:p w:rsidR="00AC6785" w:rsidRDefault="00AC6785" w:rsidP="00AC6785">
      <w:pPr>
        <w:ind w:firstLine="567"/>
        <w:rPr>
          <w:rFonts w:ascii="Times New Roman" w:hAnsi="Times New Roman"/>
          <w:sz w:val="24"/>
          <w:szCs w:val="24"/>
          <w:lang w:val="sr-Cyrl-CS"/>
        </w:rPr>
      </w:pPr>
      <w:r>
        <w:rPr>
          <w:rFonts w:ascii="Times New Roman" w:hAnsi="Times New Roman"/>
          <w:sz w:val="24"/>
          <w:szCs w:val="24"/>
          <w:lang w:val="sr-Cyrl-CS"/>
        </w:rPr>
        <w:t>741000 Приходи од имовине (камате, дивиденде, закупнина непроизведене имовине и сл.)</w:t>
      </w:r>
    </w:p>
    <w:p w:rsidR="00AC6785" w:rsidRDefault="00AC6785" w:rsidP="00AC6785">
      <w:pPr>
        <w:ind w:firstLine="567"/>
        <w:rPr>
          <w:rFonts w:ascii="Times New Roman" w:hAnsi="Times New Roman"/>
          <w:sz w:val="24"/>
          <w:szCs w:val="24"/>
          <w:lang w:val="sr-Cyrl-CS"/>
        </w:rPr>
      </w:pPr>
      <w:r>
        <w:rPr>
          <w:rFonts w:ascii="Times New Roman" w:hAnsi="Times New Roman"/>
          <w:sz w:val="24"/>
          <w:szCs w:val="24"/>
          <w:lang w:val="sr-Cyrl-CS"/>
        </w:rPr>
        <w:t>742000 Приходи од продаје добара и услуга ( таксе и сл.)</w:t>
      </w:r>
    </w:p>
    <w:p w:rsidR="00AC6785" w:rsidRDefault="00AC6785" w:rsidP="00AC6785">
      <w:pPr>
        <w:ind w:firstLine="567"/>
        <w:rPr>
          <w:rFonts w:ascii="Times New Roman" w:hAnsi="Times New Roman"/>
          <w:sz w:val="24"/>
          <w:szCs w:val="24"/>
          <w:lang w:val="sr-Cyrl-CS"/>
        </w:rPr>
      </w:pPr>
      <w:r>
        <w:rPr>
          <w:rFonts w:ascii="Times New Roman" w:hAnsi="Times New Roman"/>
          <w:sz w:val="24"/>
          <w:szCs w:val="24"/>
          <w:lang w:val="sr-Cyrl-CS"/>
        </w:rPr>
        <w:t xml:space="preserve">743000 Новчане казне и одузета имвинска корист </w:t>
      </w:r>
    </w:p>
    <w:p w:rsidR="00AC6785" w:rsidRDefault="00AC6785" w:rsidP="00AC6785">
      <w:pPr>
        <w:ind w:firstLine="567"/>
        <w:rPr>
          <w:rFonts w:ascii="Times New Roman" w:hAnsi="Times New Roman"/>
          <w:sz w:val="24"/>
          <w:szCs w:val="24"/>
          <w:lang w:val="sr-Cyrl-CS"/>
        </w:rPr>
      </w:pPr>
      <w:r>
        <w:rPr>
          <w:rFonts w:ascii="Times New Roman" w:hAnsi="Times New Roman"/>
          <w:sz w:val="24"/>
          <w:szCs w:val="24"/>
          <w:lang w:val="sr-Cyrl-CS"/>
        </w:rPr>
        <w:t>744000 Добровољни трансфери од физичких и правних лица</w:t>
      </w:r>
    </w:p>
    <w:p w:rsidR="00AC6785" w:rsidRDefault="00AC6785" w:rsidP="00AC6785">
      <w:pPr>
        <w:ind w:firstLine="567"/>
        <w:rPr>
          <w:rFonts w:ascii="Times New Roman" w:hAnsi="Times New Roman"/>
          <w:sz w:val="24"/>
          <w:szCs w:val="24"/>
          <w:lang w:val="sr-Cyrl-CS"/>
        </w:rPr>
      </w:pPr>
      <w:r>
        <w:rPr>
          <w:rFonts w:ascii="Times New Roman" w:hAnsi="Times New Roman"/>
          <w:sz w:val="24"/>
          <w:szCs w:val="24"/>
          <w:lang w:val="sr-Cyrl-CS"/>
        </w:rPr>
        <w:t>745000 Мешовити и неодређени приходи</w:t>
      </w:r>
    </w:p>
    <w:p w:rsidR="00AC6785" w:rsidRDefault="00AC6785" w:rsidP="00AC6785">
      <w:pPr>
        <w:ind w:firstLine="567"/>
        <w:jc w:val="both"/>
        <w:rPr>
          <w:rFonts w:ascii="Times New Roman" w:hAnsi="Times New Roman"/>
          <w:sz w:val="24"/>
          <w:szCs w:val="24"/>
          <w:lang w:val="sr-Cyrl-CS"/>
        </w:rPr>
      </w:pPr>
      <w:r>
        <w:rPr>
          <w:rFonts w:ascii="Times New Roman" w:hAnsi="Times New Roman"/>
          <w:sz w:val="24"/>
          <w:szCs w:val="24"/>
          <w:lang w:val="sr-Cyrl-CS"/>
        </w:rPr>
        <w:lastRenderedPageBreak/>
        <w:t>Законом о буџетском систему</w:t>
      </w:r>
      <w:r>
        <w:rPr>
          <w:rStyle w:val="FootnoteReference"/>
          <w:rFonts w:ascii="Times New Roman" w:hAnsi="Times New Roman"/>
          <w:sz w:val="24"/>
          <w:szCs w:val="24"/>
          <w:lang w:val="sr-Cyrl-CS"/>
        </w:rPr>
        <w:footnoteReference w:id="222"/>
      </w:r>
      <w:r>
        <w:rPr>
          <w:rFonts w:ascii="Times New Roman" w:hAnsi="Times New Roman"/>
          <w:sz w:val="24"/>
          <w:szCs w:val="24"/>
          <w:lang w:val="sr-Cyrl-CS"/>
        </w:rPr>
        <w:t xml:space="preserve"> уређује се врста и припадност јавних прихода и јавних расхода и уводи једнообразна примена буџетских правила на ванбуџетске фондове у којима држава има одлучујући утицај на управљање. </w:t>
      </w:r>
    </w:p>
    <w:p w:rsidR="0093206A" w:rsidRDefault="0093206A" w:rsidP="000B5565">
      <w:pPr>
        <w:ind w:firstLine="567"/>
        <w:jc w:val="both"/>
        <w:rPr>
          <w:rFonts w:ascii="Arial" w:hAnsi="Arial" w:cs="Arial"/>
          <w:color w:val="000000"/>
          <w:sz w:val="18"/>
          <w:szCs w:val="18"/>
          <w:shd w:val="clear" w:color="auto" w:fill="FFFFFF"/>
          <w:lang w:val="sr-Cyrl-CS"/>
        </w:rPr>
      </w:pPr>
      <w:r w:rsidRPr="000B5565">
        <w:rPr>
          <w:rFonts w:ascii="Times New Roman" w:hAnsi="Times New Roman"/>
          <w:sz w:val="24"/>
          <w:szCs w:val="24"/>
          <w:lang w:val="sr-Cyrl-CS"/>
        </w:rPr>
        <w:t>Јавни приходи су дефинисани као</w:t>
      </w:r>
      <w:r w:rsidRPr="000B5565">
        <w:rPr>
          <w:rFonts w:ascii="Times New Roman" w:hAnsi="Times New Roman"/>
          <w:color w:val="000000"/>
          <w:sz w:val="24"/>
          <w:szCs w:val="24"/>
          <w:shd w:val="clear" w:color="auto" w:fill="FFFFFF"/>
        </w:rPr>
        <w:t xml:space="preserve"> </w:t>
      </w:r>
      <w:r w:rsidR="000B5565" w:rsidRPr="000B5565">
        <w:rPr>
          <w:rFonts w:ascii="Times New Roman" w:hAnsi="Times New Roman"/>
          <w:color w:val="000000"/>
          <w:sz w:val="24"/>
          <w:szCs w:val="24"/>
          <w:shd w:val="clear" w:color="auto" w:fill="FFFFFF"/>
        </w:rPr>
        <w:t>сви</w:t>
      </w:r>
      <w:r w:rsidRPr="000B5565">
        <w:rPr>
          <w:rFonts w:ascii="Times New Roman" w:hAnsi="Times New Roman"/>
          <w:color w:val="000000"/>
          <w:sz w:val="24"/>
          <w:szCs w:val="24"/>
          <w:shd w:val="clear" w:color="auto" w:fill="FFFFFF"/>
        </w:rPr>
        <w:t xml:space="preserve"> </w:t>
      </w:r>
      <w:r w:rsidR="000B5565" w:rsidRPr="000B5565">
        <w:rPr>
          <w:rFonts w:ascii="Times New Roman" w:hAnsi="Times New Roman"/>
          <w:color w:val="000000"/>
          <w:sz w:val="24"/>
          <w:szCs w:val="24"/>
          <w:shd w:val="clear" w:color="auto" w:fill="FFFFFF"/>
        </w:rPr>
        <w:t>приходи</w:t>
      </w:r>
      <w:r w:rsidRPr="000B5565">
        <w:rPr>
          <w:rFonts w:ascii="Times New Roman" w:hAnsi="Times New Roman"/>
          <w:color w:val="000000"/>
          <w:sz w:val="24"/>
          <w:szCs w:val="24"/>
          <w:shd w:val="clear" w:color="auto" w:fill="FFFFFF"/>
        </w:rPr>
        <w:t xml:space="preserve"> </w:t>
      </w:r>
      <w:r w:rsidR="000B5565" w:rsidRPr="000B5565">
        <w:rPr>
          <w:rFonts w:ascii="Times New Roman" w:hAnsi="Times New Roman"/>
          <w:color w:val="000000"/>
          <w:sz w:val="24"/>
          <w:szCs w:val="24"/>
          <w:shd w:val="clear" w:color="auto" w:fill="FFFFFF"/>
        </w:rPr>
        <w:t>остварени</w:t>
      </w:r>
      <w:r w:rsidRPr="000B5565">
        <w:rPr>
          <w:rFonts w:ascii="Times New Roman" w:hAnsi="Times New Roman"/>
          <w:color w:val="000000"/>
          <w:sz w:val="24"/>
          <w:szCs w:val="24"/>
          <w:shd w:val="clear" w:color="auto" w:fill="FFFFFF"/>
        </w:rPr>
        <w:t xml:space="preserve"> </w:t>
      </w:r>
      <w:r w:rsidR="000B5565" w:rsidRPr="000B5565">
        <w:rPr>
          <w:rFonts w:ascii="Times New Roman" w:hAnsi="Times New Roman"/>
          <w:color w:val="000000"/>
          <w:sz w:val="24"/>
          <w:szCs w:val="24"/>
          <w:shd w:val="clear" w:color="auto" w:fill="FFFFFF"/>
        </w:rPr>
        <w:t>обавезним</w:t>
      </w:r>
      <w:r w:rsidRPr="000B5565">
        <w:rPr>
          <w:rFonts w:ascii="Times New Roman" w:hAnsi="Times New Roman"/>
          <w:color w:val="000000"/>
          <w:sz w:val="24"/>
          <w:szCs w:val="24"/>
          <w:shd w:val="clear" w:color="auto" w:fill="FFFFFF"/>
        </w:rPr>
        <w:t xml:space="preserve"> </w:t>
      </w:r>
      <w:r w:rsidR="000B5565" w:rsidRPr="000B5565">
        <w:rPr>
          <w:rFonts w:ascii="Times New Roman" w:hAnsi="Times New Roman"/>
          <w:color w:val="000000"/>
          <w:sz w:val="24"/>
          <w:szCs w:val="24"/>
          <w:shd w:val="clear" w:color="auto" w:fill="FFFFFF"/>
        </w:rPr>
        <w:t>плаћањима</w:t>
      </w:r>
      <w:r w:rsidRPr="000B5565">
        <w:rPr>
          <w:rFonts w:ascii="Times New Roman" w:hAnsi="Times New Roman"/>
          <w:color w:val="000000"/>
          <w:sz w:val="24"/>
          <w:szCs w:val="24"/>
          <w:shd w:val="clear" w:color="auto" w:fill="FFFFFF"/>
        </w:rPr>
        <w:t xml:space="preserve"> </w:t>
      </w:r>
      <w:r w:rsidR="000B5565" w:rsidRPr="000B5565">
        <w:rPr>
          <w:rFonts w:ascii="Times New Roman" w:hAnsi="Times New Roman"/>
          <w:color w:val="000000"/>
          <w:sz w:val="24"/>
          <w:szCs w:val="24"/>
          <w:shd w:val="clear" w:color="auto" w:fill="FFFFFF"/>
        </w:rPr>
        <w:t>пореских</w:t>
      </w:r>
      <w:r w:rsidRPr="000B5565">
        <w:rPr>
          <w:rFonts w:ascii="Times New Roman" w:hAnsi="Times New Roman"/>
          <w:color w:val="000000"/>
          <w:sz w:val="24"/>
          <w:szCs w:val="24"/>
          <w:shd w:val="clear" w:color="auto" w:fill="FFFFFF"/>
        </w:rPr>
        <w:t xml:space="preserve"> </w:t>
      </w:r>
      <w:r w:rsidR="000B5565" w:rsidRPr="000B5565">
        <w:rPr>
          <w:rFonts w:ascii="Times New Roman" w:hAnsi="Times New Roman"/>
          <w:color w:val="000000"/>
          <w:sz w:val="24"/>
          <w:szCs w:val="24"/>
          <w:shd w:val="clear" w:color="auto" w:fill="FFFFFF"/>
        </w:rPr>
        <w:t>обвезника</w:t>
      </w:r>
      <w:r w:rsidRPr="000B5565">
        <w:rPr>
          <w:rFonts w:ascii="Times New Roman" w:hAnsi="Times New Roman"/>
          <w:color w:val="000000"/>
          <w:sz w:val="24"/>
          <w:szCs w:val="24"/>
          <w:shd w:val="clear" w:color="auto" w:fill="FFFFFF"/>
        </w:rPr>
        <w:t xml:space="preserve">, </w:t>
      </w:r>
      <w:r w:rsidR="000B5565" w:rsidRPr="000B5565">
        <w:rPr>
          <w:rFonts w:ascii="Times New Roman" w:hAnsi="Times New Roman"/>
          <w:color w:val="000000"/>
          <w:sz w:val="24"/>
          <w:szCs w:val="24"/>
          <w:shd w:val="clear" w:color="auto" w:fill="FFFFFF"/>
        </w:rPr>
        <w:t>правних</w:t>
      </w:r>
      <w:r w:rsidRPr="000B5565">
        <w:rPr>
          <w:rFonts w:ascii="Times New Roman" w:hAnsi="Times New Roman"/>
          <w:color w:val="000000"/>
          <w:sz w:val="24"/>
          <w:szCs w:val="24"/>
          <w:shd w:val="clear" w:color="auto" w:fill="FFFFFF"/>
        </w:rPr>
        <w:t xml:space="preserve"> </w:t>
      </w:r>
      <w:r w:rsidR="000B5565" w:rsidRPr="000B5565">
        <w:rPr>
          <w:rFonts w:ascii="Times New Roman" w:hAnsi="Times New Roman"/>
          <w:color w:val="000000"/>
          <w:sz w:val="24"/>
          <w:szCs w:val="24"/>
          <w:shd w:val="clear" w:color="auto" w:fill="FFFFFF"/>
        </w:rPr>
        <w:t>и</w:t>
      </w:r>
      <w:r w:rsidRPr="000B5565">
        <w:rPr>
          <w:rFonts w:ascii="Times New Roman" w:hAnsi="Times New Roman"/>
          <w:color w:val="000000"/>
          <w:sz w:val="24"/>
          <w:szCs w:val="24"/>
          <w:shd w:val="clear" w:color="auto" w:fill="FFFFFF"/>
        </w:rPr>
        <w:t xml:space="preserve"> </w:t>
      </w:r>
      <w:r w:rsidR="000B5565" w:rsidRPr="000B5565">
        <w:rPr>
          <w:rFonts w:ascii="Times New Roman" w:hAnsi="Times New Roman"/>
          <w:color w:val="000000"/>
          <w:sz w:val="24"/>
          <w:szCs w:val="24"/>
          <w:shd w:val="clear" w:color="auto" w:fill="FFFFFF"/>
        </w:rPr>
        <w:t>физичких</w:t>
      </w:r>
      <w:r w:rsidRPr="000B5565">
        <w:rPr>
          <w:rFonts w:ascii="Times New Roman" w:hAnsi="Times New Roman"/>
          <w:color w:val="000000"/>
          <w:sz w:val="24"/>
          <w:szCs w:val="24"/>
          <w:shd w:val="clear" w:color="auto" w:fill="FFFFFF"/>
        </w:rPr>
        <w:t xml:space="preserve"> </w:t>
      </w:r>
      <w:r w:rsidR="000B5565" w:rsidRPr="000B5565">
        <w:rPr>
          <w:rFonts w:ascii="Times New Roman" w:hAnsi="Times New Roman"/>
          <w:color w:val="000000"/>
          <w:sz w:val="24"/>
          <w:szCs w:val="24"/>
          <w:shd w:val="clear" w:color="auto" w:fill="FFFFFF"/>
        </w:rPr>
        <w:t>лица</w:t>
      </w:r>
      <w:r w:rsidRPr="000B5565">
        <w:rPr>
          <w:rFonts w:ascii="Times New Roman" w:hAnsi="Times New Roman"/>
          <w:color w:val="000000"/>
          <w:sz w:val="24"/>
          <w:szCs w:val="24"/>
          <w:shd w:val="clear" w:color="auto" w:fill="FFFFFF"/>
        </w:rPr>
        <w:t xml:space="preserve"> </w:t>
      </w:r>
      <w:r w:rsidR="000B5565" w:rsidRPr="000B5565">
        <w:rPr>
          <w:rFonts w:ascii="Times New Roman" w:hAnsi="Times New Roman"/>
          <w:color w:val="000000"/>
          <w:sz w:val="24"/>
          <w:szCs w:val="24"/>
          <w:shd w:val="clear" w:color="auto" w:fill="FFFFFF"/>
        </w:rPr>
        <w:t>која</w:t>
      </w:r>
      <w:r w:rsidRPr="000B5565">
        <w:rPr>
          <w:rFonts w:ascii="Times New Roman" w:hAnsi="Times New Roman"/>
          <w:color w:val="000000"/>
          <w:sz w:val="24"/>
          <w:szCs w:val="24"/>
          <w:shd w:val="clear" w:color="auto" w:fill="FFFFFF"/>
        </w:rPr>
        <w:t xml:space="preserve"> </w:t>
      </w:r>
      <w:r w:rsidR="000B5565" w:rsidRPr="000B5565">
        <w:rPr>
          <w:rFonts w:ascii="Times New Roman" w:hAnsi="Times New Roman"/>
          <w:color w:val="000000"/>
          <w:sz w:val="24"/>
          <w:szCs w:val="24"/>
          <w:shd w:val="clear" w:color="auto" w:fill="FFFFFF"/>
        </w:rPr>
        <w:t>користе</w:t>
      </w:r>
      <w:r w:rsidRPr="000B5565">
        <w:rPr>
          <w:rFonts w:ascii="Times New Roman" w:hAnsi="Times New Roman"/>
          <w:color w:val="000000"/>
          <w:sz w:val="24"/>
          <w:szCs w:val="24"/>
          <w:shd w:val="clear" w:color="auto" w:fill="FFFFFF"/>
        </w:rPr>
        <w:t xml:space="preserve"> </w:t>
      </w:r>
      <w:r w:rsidR="000B5565" w:rsidRPr="000B5565">
        <w:rPr>
          <w:rFonts w:ascii="Times New Roman" w:hAnsi="Times New Roman"/>
          <w:color w:val="000000"/>
          <w:sz w:val="24"/>
          <w:szCs w:val="24"/>
          <w:shd w:val="clear" w:color="auto" w:fill="FFFFFF"/>
        </w:rPr>
        <w:t>одређено</w:t>
      </w:r>
      <w:r w:rsidRPr="000B5565">
        <w:rPr>
          <w:rFonts w:ascii="Times New Roman" w:hAnsi="Times New Roman"/>
          <w:color w:val="000000"/>
          <w:sz w:val="24"/>
          <w:szCs w:val="24"/>
          <w:shd w:val="clear" w:color="auto" w:fill="FFFFFF"/>
        </w:rPr>
        <w:t xml:space="preserve"> </w:t>
      </w:r>
      <w:r w:rsidR="000B5565" w:rsidRPr="000B5565">
        <w:rPr>
          <w:rFonts w:ascii="Times New Roman" w:hAnsi="Times New Roman"/>
          <w:color w:val="000000"/>
          <w:sz w:val="24"/>
          <w:szCs w:val="24"/>
          <w:shd w:val="clear" w:color="auto" w:fill="FFFFFF"/>
        </w:rPr>
        <w:t>јавно</w:t>
      </w:r>
      <w:r w:rsidRPr="000B5565">
        <w:rPr>
          <w:rFonts w:ascii="Times New Roman" w:hAnsi="Times New Roman"/>
          <w:color w:val="000000"/>
          <w:sz w:val="24"/>
          <w:szCs w:val="24"/>
          <w:shd w:val="clear" w:color="auto" w:fill="FFFFFF"/>
        </w:rPr>
        <w:t xml:space="preserve"> </w:t>
      </w:r>
      <w:r w:rsidR="000B5565" w:rsidRPr="000B5565">
        <w:rPr>
          <w:rFonts w:ascii="Times New Roman" w:hAnsi="Times New Roman"/>
          <w:color w:val="000000"/>
          <w:sz w:val="24"/>
          <w:szCs w:val="24"/>
          <w:shd w:val="clear" w:color="auto" w:fill="FFFFFF"/>
        </w:rPr>
        <w:t>добро</w:t>
      </w:r>
      <w:r w:rsidRPr="000B5565">
        <w:rPr>
          <w:rFonts w:ascii="Times New Roman" w:hAnsi="Times New Roman"/>
          <w:color w:val="000000"/>
          <w:sz w:val="24"/>
          <w:szCs w:val="24"/>
          <w:shd w:val="clear" w:color="auto" w:fill="FFFFFF"/>
        </w:rPr>
        <w:t xml:space="preserve"> </w:t>
      </w:r>
      <w:r w:rsidR="000B5565" w:rsidRPr="000B5565">
        <w:rPr>
          <w:rFonts w:ascii="Times New Roman" w:hAnsi="Times New Roman"/>
          <w:color w:val="000000"/>
          <w:sz w:val="24"/>
          <w:szCs w:val="24"/>
          <w:shd w:val="clear" w:color="auto" w:fill="FFFFFF"/>
        </w:rPr>
        <w:t>или</w:t>
      </w:r>
      <w:r w:rsidRPr="000B5565">
        <w:rPr>
          <w:rFonts w:ascii="Times New Roman" w:hAnsi="Times New Roman"/>
          <w:color w:val="000000"/>
          <w:sz w:val="24"/>
          <w:szCs w:val="24"/>
          <w:shd w:val="clear" w:color="auto" w:fill="FFFFFF"/>
        </w:rPr>
        <w:t xml:space="preserve"> </w:t>
      </w:r>
      <w:r w:rsidR="000B5565" w:rsidRPr="000B5565">
        <w:rPr>
          <w:rFonts w:ascii="Times New Roman" w:hAnsi="Times New Roman"/>
          <w:color w:val="000000"/>
          <w:sz w:val="24"/>
          <w:szCs w:val="24"/>
          <w:shd w:val="clear" w:color="auto" w:fill="FFFFFF"/>
        </w:rPr>
        <w:t>јавну</w:t>
      </w:r>
      <w:r w:rsidRPr="000B5565">
        <w:rPr>
          <w:rFonts w:ascii="Times New Roman" w:hAnsi="Times New Roman"/>
          <w:color w:val="000000"/>
          <w:sz w:val="24"/>
          <w:szCs w:val="24"/>
          <w:shd w:val="clear" w:color="auto" w:fill="FFFFFF"/>
        </w:rPr>
        <w:t xml:space="preserve"> </w:t>
      </w:r>
      <w:r w:rsidR="000B5565" w:rsidRPr="000B5565">
        <w:rPr>
          <w:rFonts w:ascii="Times New Roman" w:hAnsi="Times New Roman"/>
          <w:color w:val="000000"/>
          <w:sz w:val="24"/>
          <w:szCs w:val="24"/>
          <w:shd w:val="clear" w:color="auto" w:fill="FFFFFF"/>
        </w:rPr>
        <w:t>услугу</w:t>
      </w:r>
      <w:r w:rsidRPr="000B5565">
        <w:rPr>
          <w:rFonts w:ascii="Times New Roman" w:hAnsi="Times New Roman"/>
          <w:color w:val="000000"/>
          <w:sz w:val="24"/>
          <w:szCs w:val="24"/>
          <w:shd w:val="clear" w:color="auto" w:fill="FFFFFF"/>
        </w:rPr>
        <w:t xml:space="preserve">, </w:t>
      </w:r>
      <w:r w:rsidR="000B5565" w:rsidRPr="000B5565">
        <w:rPr>
          <w:rFonts w:ascii="Times New Roman" w:hAnsi="Times New Roman"/>
          <w:color w:val="000000"/>
          <w:sz w:val="24"/>
          <w:szCs w:val="24"/>
          <w:shd w:val="clear" w:color="auto" w:fill="FFFFFF"/>
        </w:rPr>
        <w:t>као</w:t>
      </w:r>
      <w:r w:rsidRPr="000B5565">
        <w:rPr>
          <w:rFonts w:ascii="Times New Roman" w:hAnsi="Times New Roman"/>
          <w:color w:val="000000"/>
          <w:sz w:val="24"/>
          <w:szCs w:val="24"/>
          <w:shd w:val="clear" w:color="auto" w:fill="FFFFFF"/>
        </w:rPr>
        <w:t xml:space="preserve"> </w:t>
      </w:r>
      <w:r w:rsidR="000B5565" w:rsidRPr="000B5565">
        <w:rPr>
          <w:rFonts w:ascii="Times New Roman" w:hAnsi="Times New Roman"/>
          <w:color w:val="000000"/>
          <w:sz w:val="24"/>
          <w:szCs w:val="24"/>
          <w:shd w:val="clear" w:color="auto" w:fill="FFFFFF"/>
        </w:rPr>
        <w:t>и</w:t>
      </w:r>
      <w:r w:rsidRPr="000B5565">
        <w:rPr>
          <w:rFonts w:ascii="Times New Roman" w:hAnsi="Times New Roman"/>
          <w:color w:val="000000"/>
          <w:sz w:val="24"/>
          <w:szCs w:val="24"/>
          <w:shd w:val="clear" w:color="auto" w:fill="FFFFFF"/>
        </w:rPr>
        <w:t xml:space="preserve"> </w:t>
      </w:r>
      <w:r w:rsidR="000B5565" w:rsidRPr="000B5565">
        <w:rPr>
          <w:rFonts w:ascii="Times New Roman" w:hAnsi="Times New Roman"/>
          <w:color w:val="000000"/>
          <w:sz w:val="24"/>
          <w:szCs w:val="24"/>
          <w:shd w:val="clear" w:color="auto" w:fill="FFFFFF"/>
        </w:rPr>
        <w:t>сви</w:t>
      </w:r>
      <w:r w:rsidRPr="000B5565">
        <w:rPr>
          <w:rFonts w:ascii="Times New Roman" w:hAnsi="Times New Roman"/>
          <w:color w:val="000000"/>
          <w:sz w:val="24"/>
          <w:szCs w:val="24"/>
          <w:shd w:val="clear" w:color="auto" w:fill="FFFFFF"/>
        </w:rPr>
        <w:t xml:space="preserve"> </w:t>
      </w:r>
      <w:r w:rsidR="000B5565" w:rsidRPr="000B5565">
        <w:rPr>
          <w:rFonts w:ascii="Times New Roman" w:hAnsi="Times New Roman"/>
          <w:color w:val="000000"/>
          <w:sz w:val="24"/>
          <w:szCs w:val="24"/>
          <w:shd w:val="clear" w:color="auto" w:fill="FFFFFF"/>
        </w:rPr>
        <w:t>други</w:t>
      </w:r>
      <w:r w:rsidRPr="000B5565">
        <w:rPr>
          <w:rFonts w:ascii="Times New Roman" w:hAnsi="Times New Roman"/>
          <w:color w:val="000000"/>
          <w:sz w:val="24"/>
          <w:szCs w:val="24"/>
          <w:shd w:val="clear" w:color="auto" w:fill="FFFFFF"/>
        </w:rPr>
        <w:t xml:space="preserve"> </w:t>
      </w:r>
      <w:r w:rsidR="000B5565" w:rsidRPr="000B5565">
        <w:rPr>
          <w:rFonts w:ascii="Times New Roman" w:hAnsi="Times New Roman"/>
          <w:color w:val="000000"/>
          <w:sz w:val="24"/>
          <w:szCs w:val="24"/>
          <w:shd w:val="clear" w:color="auto" w:fill="FFFFFF"/>
        </w:rPr>
        <w:t>приходи</w:t>
      </w:r>
      <w:r w:rsidRPr="000B5565">
        <w:rPr>
          <w:rFonts w:ascii="Times New Roman" w:hAnsi="Times New Roman"/>
          <w:color w:val="000000"/>
          <w:sz w:val="24"/>
          <w:szCs w:val="24"/>
          <w:shd w:val="clear" w:color="auto" w:fill="FFFFFF"/>
        </w:rPr>
        <w:t xml:space="preserve"> </w:t>
      </w:r>
      <w:r w:rsidR="000B5565" w:rsidRPr="000B5565">
        <w:rPr>
          <w:rFonts w:ascii="Times New Roman" w:hAnsi="Times New Roman"/>
          <w:color w:val="000000"/>
          <w:sz w:val="24"/>
          <w:szCs w:val="24"/>
          <w:shd w:val="clear" w:color="auto" w:fill="FFFFFF"/>
        </w:rPr>
        <w:t>које</w:t>
      </w:r>
      <w:r w:rsidRPr="000B5565">
        <w:rPr>
          <w:rFonts w:ascii="Times New Roman" w:hAnsi="Times New Roman"/>
          <w:color w:val="000000"/>
          <w:sz w:val="24"/>
          <w:szCs w:val="24"/>
          <w:shd w:val="clear" w:color="auto" w:fill="FFFFFF"/>
        </w:rPr>
        <w:t xml:space="preserve"> </w:t>
      </w:r>
      <w:r w:rsidR="000B5565" w:rsidRPr="000B5565">
        <w:rPr>
          <w:rFonts w:ascii="Times New Roman" w:hAnsi="Times New Roman"/>
          <w:color w:val="000000"/>
          <w:sz w:val="24"/>
          <w:szCs w:val="24"/>
          <w:shd w:val="clear" w:color="auto" w:fill="FFFFFF"/>
        </w:rPr>
        <w:t>остварују</w:t>
      </w:r>
      <w:r w:rsidRPr="000B5565">
        <w:rPr>
          <w:rFonts w:ascii="Times New Roman" w:hAnsi="Times New Roman"/>
          <w:color w:val="000000"/>
          <w:sz w:val="24"/>
          <w:szCs w:val="24"/>
          <w:shd w:val="clear" w:color="auto" w:fill="FFFFFF"/>
        </w:rPr>
        <w:t xml:space="preserve"> </w:t>
      </w:r>
      <w:r w:rsidR="000B5565" w:rsidRPr="000B5565">
        <w:rPr>
          <w:rFonts w:ascii="Times New Roman" w:hAnsi="Times New Roman"/>
          <w:color w:val="000000"/>
          <w:sz w:val="24"/>
          <w:szCs w:val="24"/>
          <w:shd w:val="clear" w:color="auto" w:fill="FFFFFF"/>
        </w:rPr>
        <w:t>корисници</w:t>
      </w:r>
      <w:r w:rsidRPr="000B5565">
        <w:rPr>
          <w:rFonts w:ascii="Times New Roman" w:hAnsi="Times New Roman"/>
          <w:color w:val="000000"/>
          <w:sz w:val="24"/>
          <w:szCs w:val="24"/>
          <w:shd w:val="clear" w:color="auto" w:fill="FFFFFF"/>
        </w:rPr>
        <w:t xml:space="preserve"> </w:t>
      </w:r>
      <w:r w:rsidR="000B5565" w:rsidRPr="000B5565">
        <w:rPr>
          <w:rFonts w:ascii="Times New Roman" w:hAnsi="Times New Roman"/>
          <w:color w:val="000000"/>
          <w:sz w:val="24"/>
          <w:szCs w:val="24"/>
          <w:shd w:val="clear" w:color="auto" w:fill="FFFFFF"/>
        </w:rPr>
        <w:t>буџетских</w:t>
      </w:r>
      <w:r w:rsidRPr="000B5565">
        <w:rPr>
          <w:rFonts w:ascii="Times New Roman" w:hAnsi="Times New Roman"/>
          <w:color w:val="000000"/>
          <w:sz w:val="24"/>
          <w:szCs w:val="24"/>
          <w:shd w:val="clear" w:color="auto" w:fill="FFFFFF"/>
        </w:rPr>
        <w:t xml:space="preserve"> </w:t>
      </w:r>
      <w:r w:rsidR="000B5565" w:rsidRPr="000B5565">
        <w:rPr>
          <w:rFonts w:ascii="Times New Roman" w:hAnsi="Times New Roman"/>
          <w:color w:val="000000"/>
          <w:sz w:val="24"/>
          <w:szCs w:val="24"/>
          <w:shd w:val="clear" w:color="auto" w:fill="FFFFFF"/>
        </w:rPr>
        <w:t>средстава</w:t>
      </w:r>
      <w:r w:rsidRPr="000B5565">
        <w:rPr>
          <w:rFonts w:ascii="Times New Roman" w:hAnsi="Times New Roman"/>
          <w:color w:val="000000"/>
          <w:sz w:val="24"/>
          <w:szCs w:val="24"/>
          <w:shd w:val="clear" w:color="auto" w:fill="FFFFFF"/>
        </w:rPr>
        <w:t xml:space="preserve"> </w:t>
      </w:r>
      <w:r w:rsidR="000B5565" w:rsidRPr="000B5565">
        <w:rPr>
          <w:rFonts w:ascii="Times New Roman" w:hAnsi="Times New Roman"/>
          <w:color w:val="000000"/>
          <w:sz w:val="24"/>
          <w:szCs w:val="24"/>
          <w:shd w:val="clear" w:color="auto" w:fill="FFFFFF"/>
        </w:rPr>
        <w:t>и</w:t>
      </w:r>
      <w:r w:rsidRPr="000B5565">
        <w:rPr>
          <w:rFonts w:ascii="Times New Roman" w:hAnsi="Times New Roman"/>
          <w:color w:val="000000"/>
          <w:sz w:val="24"/>
          <w:szCs w:val="24"/>
          <w:shd w:val="clear" w:color="auto" w:fill="FFFFFF"/>
        </w:rPr>
        <w:t xml:space="preserve"> </w:t>
      </w:r>
      <w:r w:rsidR="000B5565" w:rsidRPr="000B5565">
        <w:rPr>
          <w:rFonts w:ascii="Times New Roman" w:hAnsi="Times New Roman"/>
          <w:color w:val="000000"/>
          <w:sz w:val="24"/>
          <w:szCs w:val="24"/>
          <w:shd w:val="clear" w:color="auto" w:fill="FFFFFF"/>
        </w:rPr>
        <w:t>средстава</w:t>
      </w:r>
      <w:r w:rsidRPr="000B5565">
        <w:rPr>
          <w:rFonts w:ascii="Times New Roman" w:hAnsi="Times New Roman"/>
          <w:color w:val="000000"/>
          <w:sz w:val="24"/>
          <w:szCs w:val="24"/>
          <w:shd w:val="clear" w:color="auto" w:fill="FFFFFF"/>
        </w:rPr>
        <w:t xml:space="preserve"> </w:t>
      </w:r>
      <w:r w:rsidR="000B5565" w:rsidRPr="000B5565">
        <w:rPr>
          <w:rFonts w:ascii="Times New Roman" w:hAnsi="Times New Roman"/>
          <w:color w:val="000000"/>
          <w:sz w:val="24"/>
          <w:szCs w:val="24"/>
          <w:shd w:val="clear" w:color="auto" w:fill="FFFFFF"/>
        </w:rPr>
        <w:t>организација</w:t>
      </w:r>
      <w:r w:rsidRPr="000B5565">
        <w:rPr>
          <w:rFonts w:ascii="Times New Roman" w:hAnsi="Times New Roman"/>
          <w:color w:val="000000"/>
          <w:sz w:val="24"/>
          <w:szCs w:val="24"/>
          <w:shd w:val="clear" w:color="auto" w:fill="FFFFFF"/>
        </w:rPr>
        <w:t xml:space="preserve"> </w:t>
      </w:r>
      <w:r w:rsidR="000B5565" w:rsidRPr="000B5565">
        <w:rPr>
          <w:rFonts w:ascii="Times New Roman" w:hAnsi="Times New Roman"/>
          <w:color w:val="000000"/>
          <w:sz w:val="24"/>
          <w:szCs w:val="24"/>
          <w:shd w:val="clear" w:color="auto" w:fill="FFFFFF"/>
        </w:rPr>
        <w:t>за</w:t>
      </w:r>
      <w:r w:rsidRPr="000B5565">
        <w:rPr>
          <w:rFonts w:ascii="Times New Roman" w:hAnsi="Times New Roman"/>
          <w:color w:val="000000"/>
          <w:sz w:val="24"/>
          <w:szCs w:val="24"/>
          <w:shd w:val="clear" w:color="auto" w:fill="FFFFFF"/>
        </w:rPr>
        <w:t xml:space="preserve"> </w:t>
      </w:r>
      <w:r w:rsidR="000B5565" w:rsidRPr="000B5565">
        <w:rPr>
          <w:rFonts w:ascii="Times New Roman" w:hAnsi="Times New Roman"/>
          <w:color w:val="000000"/>
          <w:sz w:val="24"/>
          <w:szCs w:val="24"/>
          <w:shd w:val="clear" w:color="auto" w:fill="FFFFFF"/>
        </w:rPr>
        <w:t>обавезно</w:t>
      </w:r>
      <w:r w:rsidRPr="000B5565">
        <w:rPr>
          <w:rFonts w:ascii="Times New Roman" w:hAnsi="Times New Roman"/>
          <w:color w:val="000000"/>
          <w:sz w:val="24"/>
          <w:szCs w:val="24"/>
          <w:shd w:val="clear" w:color="auto" w:fill="FFFFFF"/>
        </w:rPr>
        <w:t xml:space="preserve"> </w:t>
      </w:r>
      <w:r w:rsidR="000B5565" w:rsidRPr="000B5565">
        <w:rPr>
          <w:rFonts w:ascii="Times New Roman" w:hAnsi="Times New Roman"/>
          <w:color w:val="000000"/>
          <w:sz w:val="24"/>
          <w:szCs w:val="24"/>
          <w:shd w:val="clear" w:color="auto" w:fill="FFFFFF"/>
        </w:rPr>
        <w:t>социјално</w:t>
      </w:r>
      <w:r w:rsidRPr="000B5565">
        <w:rPr>
          <w:rFonts w:ascii="Times New Roman" w:hAnsi="Times New Roman"/>
          <w:color w:val="000000"/>
          <w:sz w:val="24"/>
          <w:szCs w:val="24"/>
          <w:shd w:val="clear" w:color="auto" w:fill="FFFFFF"/>
        </w:rPr>
        <w:t xml:space="preserve"> </w:t>
      </w:r>
      <w:r w:rsidR="000B5565" w:rsidRPr="000B5565">
        <w:rPr>
          <w:rFonts w:ascii="Times New Roman" w:hAnsi="Times New Roman"/>
          <w:color w:val="000000"/>
          <w:sz w:val="24"/>
          <w:szCs w:val="24"/>
          <w:shd w:val="clear" w:color="auto" w:fill="FFFFFF"/>
        </w:rPr>
        <w:t>осигурање</w:t>
      </w:r>
      <w:r w:rsidRPr="000B5565">
        <w:rPr>
          <w:rFonts w:ascii="Times New Roman" w:hAnsi="Times New Roman"/>
          <w:color w:val="000000"/>
          <w:sz w:val="24"/>
          <w:szCs w:val="24"/>
          <w:shd w:val="clear" w:color="auto" w:fill="FFFFFF"/>
          <w:lang w:val="sr-Cyrl-CS"/>
        </w:rPr>
        <w:t xml:space="preserve">, док се порески приходи дефинишу као </w:t>
      </w:r>
      <w:r w:rsidR="000B5565" w:rsidRPr="000B5565">
        <w:rPr>
          <w:rFonts w:ascii="Times New Roman" w:hAnsi="Times New Roman"/>
          <w:color w:val="000000"/>
          <w:sz w:val="24"/>
          <w:szCs w:val="24"/>
          <w:shd w:val="clear" w:color="auto" w:fill="FFFFFF"/>
        </w:rPr>
        <w:t>врста</w:t>
      </w:r>
      <w:r w:rsidRPr="000B5565">
        <w:rPr>
          <w:rFonts w:ascii="Times New Roman" w:hAnsi="Times New Roman"/>
          <w:color w:val="000000"/>
          <w:sz w:val="24"/>
          <w:szCs w:val="24"/>
          <w:shd w:val="clear" w:color="auto" w:fill="FFFFFF"/>
        </w:rPr>
        <w:t xml:space="preserve"> </w:t>
      </w:r>
      <w:r w:rsidR="000B5565" w:rsidRPr="000B5565">
        <w:rPr>
          <w:rFonts w:ascii="Times New Roman" w:hAnsi="Times New Roman"/>
          <w:color w:val="000000"/>
          <w:sz w:val="24"/>
          <w:szCs w:val="24"/>
          <w:shd w:val="clear" w:color="auto" w:fill="FFFFFF"/>
        </w:rPr>
        <w:t>јавних</w:t>
      </w:r>
      <w:r w:rsidRPr="000B5565">
        <w:rPr>
          <w:rFonts w:ascii="Times New Roman" w:hAnsi="Times New Roman"/>
          <w:color w:val="000000"/>
          <w:sz w:val="24"/>
          <w:szCs w:val="24"/>
          <w:shd w:val="clear" w:color="auto" w:fill="FFFFFF"/>
        </w:rPr>
        <w:t xml:space="preserve"> </w:t>
      </w:r>
      <w:r w:rsidR="000B5565" w:rsidRPr="000B5565">
        <w:rPr>
          <w:rFonts w:ascii="Times New Roman" w:hAnsi="Times New Roman"/>
          <w:color w:val="000000"/>
          <w:sz w:val="24"/>
          <w:szCs w:val="24"/>
          <w:shd w:val="clear" w:color="auto" w:fill="FFFFFF"/>
        </w:rPr>
        <w:t>прихода</w:t>
      </w:r>
      <w:r w:rsidRPr="000B5565">
        <w:rPr>
          <w:rFonts w:ascii="Times New Roman" w:hAnsi="Times New Roman"/>
          <w:color w:val="000000"/>
          <w:sz w:val="24"/>
          <w:szCs w:val="24"/>
          <w:shd w:val="clear" w:color="auto" w:fill="FFFFFF"/>
        </w:rPr>
        <w:t xml:space="preserve"> </w:t>
      </w:r>
      <w:r w:rsidR="000B5565" w:rsidRPr="000B5565">
        <w:rPr>
          <w:rFonts w:ascii="Times New Roman" w:hAnsi="Times New Roman"/>
          <w:color w:val="000000"/>
          <w:sz w:val="24"/>
          <w:szCs w:val="24"/>
          <w:shd w:val="clear" w:color="auto" w:fill="FFFFFF"/>
        </w:rPr>
        <w:t>које</w:t>
      </w:r>
      <w:r w:rsidRPr="000B5565">
        <w:rPr>
          <w:rFonts w:ascii="Times New Roman" w:hAnsi="Times New Roman"/>
          <w:color w:val="000000"/>
          <w:sz w:val="24"/>
          <w:szCs w:val="24"/>
          <w:shd w:val="clear" w:color="auto" w:fill="FFFFFF"/>
        </w:rPr>
        <w:t xml:space="preserve"> </w:t>
      </w:r>
      <w:r w:rsidR="000B5565" w:rsidRPr="000B5565">
        <w:rPr>
          <w:rFonts w:ascii="Times New Roman" w:hAnsi="Times New Roman"/>
          <w:color w:val="000000"/>
          <w:sz w:val="24"/>
          <w:szCs w:val="24"/>
          <w:shd w:val="clear" w:color="auto" w:fill="FFFFFF"/>
        </w:rPr>
        <w:t>држава</w:t>
      </w:r>
      <w:r w:rsidRPr="000B5565">
        <w:rPr>
          <w:rFonts w:ascii="Times New Roman" w:hAnsi="Times New Roman"/>
          <w:color w:val="000000"/>
          <w:sz w:val="24"/>
          <w:szCs w:val="24"/>
          <w:shd w:val="clear" w:color="auto" w:fill="FFFFFF"/>
        </w:rPr>
        <w:t xml:space="preserve"> </w:t>
      </w:r>
      <w:r w:rsidR="000B5565" w:rsidRPr="000B5565">
        <w:rPr>
          <w:rFonts w:ascii="Times New Roman" w:hAnsi="Times New Roman"/>
          <w:color w:val="000000"/>
          <w:sz w:val="24"/>
          <w:szCs w:val="24"/>
          <w:shd w:val="clear" w:color="auto" w:fill="FFFFFF"/>
        </w:rPr>
        <w:t>прикупља</w:t>
      </w:r>
      <w:r w:rsidRPr="000B5565">
        <w:rPr>
          <w:rFonts w:ascii="Times New Roman" w:hAnsi="Times New Roman"/>
          <w:color w:val="000000"/>
          <w:sz w:val="24"/>
          <w:szCs w:val="24"/>
          <w:shd w:val="clear" w:color="auto" w:fill="FFFFFF"/>
        </w:rPr>
        <w:t xml:space="preserve"> </w:t>
      </w:r>
      <w:r w:rsidR="000B5565" w:rsidRPr="000B5565">
        <w:rPr>
          <w:rFonts w:ascii="Times New Roman" w:hAnsi="Times New Roman"/>
          <w:color w:val="000000"/>
          <w:sz w:val="24"/>
          <w:szCs w:val="24"/>
          <w:shd w:val="clear" w:color="auto" w:fill="FFFFFF"/>
        </w:rPr>
        <w:t>обавезним</w:t>
      </w:r>
      <w:r w:rsidRPr="000B5565">
        <w:rPr>
          <w:rFonts w:ascii="Times New Roman" w:hAnsi="Times New Roman"/>
          <w:color w:val="000000"/>
          <w:sz w:val="24"/>
          <w:szCs w:val="24"/>
          <w:shd w:val="clear" w:color="auto" w:fill="FFFFFF"/>
        </w:rPr>
        <w:t xml:space="preserve"> </w:t>
      </w:r>
      <w:r w:rsidR="000B5565" w:rsidRPr="000B5565">
        <w:rPr>
          <w:rFonts w:ascii="Times New Roman" w:hAnsi="Times New Roman"/>
          <w:color w:val="000000"/>
          <w:sz w:val="24"/>
          <w:szCs w:val="24"/>
          <w:shd w:val="clear" w:color="auto" w:fill="FFFFFF"/>
        </w:rPr>
        <w:t>плаћањима</w:t>
      </w:r>
      <w:r w:rsidRPr="000B5565">
        <w:rPr>
          <w:rFonts w:ascii="Times New Roman" w:hAnsi="Times New Roman"/>
          <w:color w:val="000000"/>
          <w:sz w:val="24"/>
          <w:szCs w:val="24"/>
          <w:shd w:val="clear" w:color="auto" w:fill="FFFFFF"/>
        </w:rPr>
        <w:t xml:space="preserve"> </w:t>
      </w:r>
      <w:r w:rsidR="000B5565" w:rsidRPr="000B5565">
        <w:rPr>
          <w:rFonts w:ascii="Times New Roman" w:hAnsi="Times New Roman"/>
          <w:color w:val="000000"/>
          <w:sz w:val="24"/>
          <w:szCs w:val="24"/>
          <w:shd w:val="clear" w:color="auto" w:fill="FFFFFF"/>
        </w:rPr>
        <w:t>пореских</w:t>
      </w:r>
      <w:r w:rsidRPr="000B5565">
        <w:rPr>
          <w:rFonts w:ascii="Times New Roman" w:hAnsi="Times New Roman"/>
          <w:color w:val="000000"/>
          <w:sz w:val="24"/>
          <w:szCs w:val="24"/>
          <w:shd w:val="clear" w:color="auto" w:fill="FFFFFF"/>
        </w:rPr>
        <w:t xml:space="preserve"> </w:t>
      </w:r>
      <w:r w:rsidR="000B5565" w:rsidRPr="000B5565">
        <w:rPr>
          <w:rFonts w:ascii="Times New Roman" w:hAnsi="Times New Roman"/>
          <w:color w:val="000000"/>
          <w:sz w:val="24"/>
          <w:szCs w:val="24"/>
          <w:shd w:val="clear" w:color="auto" w:fill="FFFFFF"/>
        </w:rPr>
        <w:t>обвезника</w:t>
      </w:r>
      <w:r w:rsidRPr="000B5565">
        <w:rPr>
          <w:rFonts w:ascii="Times New Roman" w:hAnsi="Times New Roman"/>
          <w:color w:val="000000"/>
          <w:sz w:val="24"/>
          <w:szCs w:val="24"/>
          <w:shd w:val="clear" w:color="auto" w:fill="FFFFFF"/>
        </w:rPr>
        <w:t xml:space="preserve"> </w:t>
      </w:r>
      <w:r w:rsidR="000B5565" w:rsidRPr="000B5565">
        <w:rPr>
          <w:rFonts w:ascii="Times New Roman" w:hAnsi="Times New Roman"/>
          <w:color w:val="000000"/>
          <w:sz w:val="24"/>
          <w:szCs w:val="24"/>
          <w:shd w:val="clear" w:color="auto" w:fill="FFFFFF"/>
        </w:rPr>
        <w:t>без</w:t>
      </w:r>
      <w:r w:rsidRPr="000B5565">
        <w:rPr>
          <w:rFonts w:ascii="Times New Roman" w:hAnsi="Times New Roman"/>
          <w:color w:val="000000"/>
          <w:sz w:val="24"/>
          <w:szCs w:val="24"/>
          <w:shd w:val="clear" w:color="auto" w:fill="FFFFFF"/>
        </w:rPr>
        <w:t xml:space="preserve"> </w:t>
      </w:r>
      <w:r w:rsidR="000B5565" w:rsidRPr="000B5565">
        <w:rPr>
          <w:rFonts w:ascii="Times New Roman" w:hAnsi="Times New Roman"/>
          <w:color w:val="000000"/>
          <w:sz w:val="24"/>
          <w:szCs w:val="24"/>
          <w:shd w:val="clear" w:color="auto" w:fill="FFFFFF"/>
        </w:rPr>
        <w:t>обавезе</w:t>
      </w:r>
      <w:r w:rsidRPr="000B5565">
        <w:rPr>
          <w:rFonts w:ascii="Times New Roman" w:hAnsi="Times New Roman"/>
          <w:color w:val="000000"/>
          <w:sz w:val="24"/>
          <w:szCs w:val="24"/>
          <w:shd w:val="clear" w:color="auto" w:fill="FFFFFF"/>
        </w:rPr>
        <w:t xml:space="preserve"> </w:t>
      </w:r>
      <w:r w:rsidR="000B5565" w:rsidRPr="000B5565">
        <w:rPr>
          <w:rFonts w:ascii="Times New Roman" w:hAnsi="Times New Roman"/>
          <w:color w:val="000000"/>
          <w:sz w:val="24"/>
          <w:szCs w:val="24"/>
          <w:shd w:val="clear" w:color="auto" w:fill="FFFFFF"/>
        </w:rPr>
        <w:t>извршења</w:t>
      </w:r>
      <w:r w:rsidRPr="000B5565">
        <w:rPr>
          <w:rFonts w:ascii="Times New Roman" w:hAnsi="Times New Roman"/>
          <w:color w:val="000000"/>
          <w:sz w:val="24"/>
          <w:szCs w:val="24"/>
          <w:shd w:val="clear" w:color="auto" w:fill="FFFFFF"/>
        </w:rPr>
        <w:t xml:space="preserve"> </w:t>
      </w:r>
      <w:r w:rsidR="000B5565" w:rsidRPr="000B5565">
        <w:rPr>
          <w:rFonts w:ascii="Times New Roman" w:hAnsi="Times New Roman"/>
          <w:color w:val="000000"/>
          <w:sz w:val="24"/>
          <w:szCs w:val="24"/>
          <w:shd w:val="clear" w:color="auto" w:fill="FFFFFF"/>
        </w:rPr>
        <w:t>специјалне</w:t>
      </w:r>
      <w:r w:rsidRPr="000B5565">
        <w:rPr>
          <w:rFonts w:ascii="Times New Roman" w:hAnsi="Times New Roman"/>
          <w:color w:val="000000"/>
          <w:sz w:val="24"/>
          <w:szCs w:val="24"/>
          <w:shd w:val="clear" w:color="auto" w:fill="FFFFFF"/>
        </w:rPr>
        <w:t xml:space="preserve"> </w:t>
      </w:r>
      <w:r w:rsidR="000B5565" w:rsidRPr="000B5565">
        <w:rPr>
          <w:rFonts w:ascii="Times New Roman" w:hAnsi="Times New Roman"/>
          <w:color w:val="000000"/>
          <w:sz w:val="24"/>
          <w:szCs w:val="24"/>
          <w:shd w:val="clear" w:color="auto" w:fill="FFFFFF"/>
        </w:rPr>
        <w:t>услуге</w:t>
      </w:r>
      <w:r w:rsidRPr="000B5565">
        <w:rPr>
          <w:rFonts w:ascii="Times New Roman" w:hAnsi="Times New Roman"/>
          <w:color w:val="000000"/>
          <w:sz w:val="24"/>
          <w:szCs w:val="24"/>
          <w:shd w:val="clear" w:color="auto" w:fill="FFFFFF"/>
        </w:rPr>
        <w:t xml:space="preserve"> </w:t>
      </w:r>
      <w:r w:rsidR="000B5565" w:rsidRPr="000B5565">
        <w:rPr>
          <w:rFonts w:ascii="Times New Roman" w:hAnsi="Times New Roman"/>
          <w:color w:val="000000"/>
          <w:sz w:val="24"/>
          <w:szCs w:val="24"/>
          <w:shd w:val="clear" w:color="auto" w:fill="FFFFFF"/>
        </w:rPr>
        <w:t>заузврат</w:t>
      </w:r>
      <w:r>
        <w:rPr>
          <w:rFonts w:ascii="Arial" w:hAnsi="Arial" w:cs="Arial"/>
          <w:color w:val="000000"/>
          <w:sz w:val="18"/>
          <w:szCs w:val="18"/>
          <w:shd w:val="clear" w:color="auto" w:fill="FFFFFF"/>
          <w:lang w:val="sr-Cyrl-CS"/>
        </w:rPr>
        <w:t>.</w:t>
      </w:r>
      <w:r>
        <w:rPr>
          <w:rStyle w:val="FootnoteReference"/>
          <w:rFonts w:ascii="Arial" w:hAnsi="Arial" w:cs="Arial"/>
          <w:color w:val="000000"/>
          <w:sz w:val="18"/>
          <w:szCs w:val="18"/>
          <w:shd w:val="clear" w:color="auto" w:fill="FFFFFF"/>
          <w:lang w:val="sr-Cyrl-CS"/>
        </w:rPr>
        <w:footnoteReference w:id="223"/>
      </w:r>
    </w:p>
    <w:p w:rsidR="00AC6785" w:rsidRDefault="0093206A" w:rsidP="00AC6785">
      <w:pPr>
        <w:ind w:firstLine="567"/>
        <w:jc w:val="both"/>
        <w:rPr>
          <w:rFonts w:ascii="Times New Roman" w:hAnsi="Times New Roman"/>
          <w:sz w:val="24"/>
          <w:szCs w:val="24"/>
          <w:lang w:val="sr-Cyrl-CS"/>
        </w:rPr>
      </w:pPr>
      <w:r>
        <w:rPr>
          <w:rFonts w:ascii="Times New Roman" w:hAnsi="Times New Roman"/>
          <w:sz w:val="24"/>
          <w:szCs w:val="24"/>
          <w:lang w:val="sr-Cyrl-CS"/>
        </w:rPr>
        <w:t xml:space="preserve"> </w:t>
      </w:r>
      <w:r w:rsidR="000B5565">
        <w:rPr>
          <w:rFonts w:ascii="Times New Roman" w:hAnsi="Times New Roman"/>
          <w:sz w:val="24"/>
          <w:szCs w:val="24"/>
          <w:lang w:val="sr-Cyrl-CS"/>
        </w:rPr>
        <w:t>Врсте јавних прихода су</w:t>
      </w:r>
      <w:r w:rsidR="00AC6785">
        <w:rPr>
          <w:rFonts w:ascii="Times New Roman" w:hAnsi="Times New Roman"/>
          <w:sz w:val="24"/>
          <w:szCs w:val="24"/>
          <w:lang w:val="sr-Cyrl-CS"/>
        </w:rPr>
        <w:t>:</w:t>
      </w:r>
      <w:r w:rsidR="00AC6785">
        <w:rPr>
          <w:rStyle w:val="FootnoteReference"/>
          <w:rFonts w:ascii="Times New Roman" w:hAnsi="Times New Roman"/>
          <w:sz w:val="24"/>
          <w:szCs w:val="24"/>
          <w:lang w:val="sr-Cyrl-CS"/>
        </w:rPr>
        <w:footnoteReference w:id="224"/>
      </w:r>
    </w:p>
    <w:p w:rsidR="00AC6785" w:rsidRDefault="00AC6785" w:rsidP="008A3795">
      <w:pPr>
        <w:numPr>
          <w:ilvl w:val="0"/>
          <w:numId w:val="8"/>
        </w:numPr>
        <w:rPr>
          <w:rFonts w:ascii="Times New Roman" w:hAnsi="Times New Roman"/>
          <w:sz w:val="24"/>
          <w:szCs w:val="24"/>
          <w:lang w:val="sr-Cyrl-CS"/>
        </w:rPr>
      </w:pPr>
      <w:r>
        <w:rPr>
          <w:rFonts w:ascii="Times New Roman" w:hAnsi="Times New Roman"/>
          <w:sz w:val="24"/>
          <w:szCs w:val="24"/>
          <w:lang w:val="sr-Cyrl-CS"/>
        </w:rPr>
        <w:t>порези;</w:t>
      </w:r>
    </w:p>
    <w:p w:rsidR="00AC6785" w:rsidRDefault="00AC6785" w:rsidP="008A3795">
      <w:pPr>
        <w:numPr>
          <w:ilvl w:val="0"/>
          <w:numId w:val="8"/>
        </w:numPr>
        <w:rPr>
          <w:rFonts w:ascii="Times New Roman" w:hAnsi="Times New Roman"/>
          <w:sz w:val="24"/>
          <w:szCs w:val="24"/>
          <w:lang w:val="sr-Cyrl-CS"/>
        </w:rPr>
      </w:pPr>
      <w:r>
        <w:rPr>
          <w:rFonts w:ascii="Times New Roman" w:hAnsi="Times New Roman"/>
          <w:sz w:val="24"/>
          <w:szCs w:val="24"/>
          <w:lang w:val="sr-Cyrl-CS"/>
        </w:rPr>
        <w:t>доприноси за обавезно социјално осигурање;</w:t>
      </w:r>
    </w:p>
    <w:p w:rsidR="00AC6785" w:rsidRDefault="00AC6785" w:rsidP="008A3795">
      <w:pPr>
        <w:numPr>
          <w:ilvl w:val="0"/>
          <w:numId w:val="8"/>
        </w:numPr>
        <w:rPr>
          <w:rFonts w:ascii="Times New Roman" w:hAnsi="Times New Roman"/>
          <w:sz w:val="24"/>
          <w:szCs w:val="24"/>
          <w:lang w:val="sr-Cyrl-CS"/>
        </w:rPr>
      </w:pPr>
      <w:r>
        <w:rPr>
          <w:rFonts w:ascii="Times New Roman" w:hAnsi="Times New Roman"/>
          <w:sz w:val="24"/>
          <w:szCs w:val="24"/>
          <w:lang w:val="sr-Cyrl-CS"/>
        </w:rPr>
        <w:t>непорески приходи</w:t>
      </w:r>
      <w:r>
        <w:rPr>
          <w:rStyle w:val="FootnoteReference"/>
          <w:rFonts w:ascii="Times New Roman" w:hAnsi="Times New Roman"/>
          <w:sz w:val="24"/>
          <w:szCs w:val="24"/>
          <w:lang w:val="sr-Cyrl-CS"/>
        </w:rPr>
        <w:footnoteReference w:id="225"/>
      </w:r>
      <w:r>
        <w:rPr>
          <w:rFonts w:ascii="Times New Roman" w:hAnsi="Times New Roman"/>
          <w:sz w:val="24"/>
          <w:szCs w:val="24"/>
          <w:lang w:val="sr-Cyrl-CS"/>
        </w:rPr>
        <w:t>, и то:</w:t>
      </w:r>
    </w:p>
    <w:p w:rsidR="00AC6785" w:rsidRDefault="00AC6785" w:rsidP="00AC6785">
      <w:pPr>
        <w:numPr>
          <w:ilvl w:val="0"/>
          <w:numId w:val="2"/>
        </w:numPr>
        <w:rPr>
          <w:rFonts w:ascii="Times New Roman" w:hAnsi="Times New Roman"/>
          <w:sz w:val="24"/>
          <w:szCs w:val="24"/>
          <w:lang w:val="sr-Cyrl-CS"/>
        </w:rPr>
      </w:pPr>
      <w:r>
        <w:rPr>
          <w:rFonts w:ascii="Times New Roman" w:hAnsi="Times New Roman"/>
          <w:sz w:val="24"/>
          <w:szCs w:val="24"/>
          <w:lang w:val="sr-Cyrl-CS"/>
        </w:rPr>
        <w:t>таксе,</w:t>
      </w:r>
    </w:p>
    <w:p w:rsidR="00AC6785" w:rsidRDefault="00AC6785" w:rsidP="00AC6785">
      <w:pPr>
        <w:numPr>
          <w:ilvl w:val="0"/>
          <w:numId w:val="2"/>
        </w:numPr>
        <w:rPr>
          <w:rFonts w:ascii="Times New Roman" w:hAnsi="Times New Roman"/>
          <w:sz w:val="24"/>
          <w:szCs w:val="24"/>
          <w:lang w:val="sr-Cyrl-CS"/>
        </w:rPr>
      </w:pPr>
      <w:r>
        <w:rPr>
          <w:rFonts w:ascii="Times New Roman" w:hAnsi="Times New Roman"/>
          <w:sz w:val="24"/>
          <w:szCs w:val="24"/>
          <w:lang w:val="sr-Cyrl-CS"/>
        </w:rPr>
        <w:t>накнаде,</w:t>
      </w:r>
    </w:p>
    <w:p w:rsidR="00AC6785" w:rsidRDefault="00AC6785" w:rsidP="00AC6785">
      <w:pPr>
        <w:numPr>
          <w:ilvl w:val="0"/>
          <w:numId w:val="2"/>
        </w:numPr>
        <w:rPr>
          <w:rFonts w:ascii="Times New Roman" w:hAnsi="Times New Roman"/>
          <w:sz w:val="24"/>
          <w:szCs w:val="24"/>
          <w:lang w:val="sr-Cyrl-CS"/>
        </w:rPr>
      </w:pPr>
      <w:r>
        <w:rPr>
          <w:rFonts w:ascii="Times New Roman" w:hAnsi="Times New Roman"/>
          <w:sz w:val="24"/>
          <w:szCs w:val="24"/>
          <w:lang w:val="sr-Cyrl-CS"/>
        </w:rPr>
        <w:t>казне,</w:t>
      </w:r>
    </w:p>
    <w:p w:rsidR="00AC6785" w:rsidRDefault="00AC6785" w:rsidP="00AC6785">
      <w:pPr>
        <w:numPr>
          <w:ilvl w:val="0"/>
          <w:numId w:val="2"/>
        </w:numPr>
        <w:rPr>
          <w:rFonts w:ascii="Times New Roman" w:hAnsi="Times New Roman"/>
          <w:sz w:val="24"/>
          <w:szCs w:val="24"/>
          <w:lang w:val="sr-Cyrl-CS"/>
        </w:rPr>
      </w:pPr>
      <w:r>
        <w:rPr>
          <w:rFonts w:ascii="Times New Roman" w:hAnsi="Times New Roman"/>
          <w:sz w:val="24"/>
          <w:szCs w:val="24"/>
          <w:lang w:val="sr-Cyrl-CS"/>
        </w:rPr>
        <w:t>приходи настали употребом јавних средстава,</w:t>
      </w:r>
    </w:p>
    <w:p w:rsidR="00AC6785" w:rsidRDefault="00AC6785" w:rsidP="00AC6785">
      <w:pPr>
        <w:ind w:left="720"/>
        <w:rPr>
          <w:rFonts w:ascii="Times New Roman" w:hAnsi="Times New Roman"/>
          <w:sz w:val="24"/>
          <w:szCs w:val="24"/>
          <w:lang w:val="sr-Cyrl-CS"/>
        </w:rPr>
      </w:pPr>
      <w:r>
        <w:rPr>
          <w:rFonts w:ascii="Times New Roman" w:hAnsi="Times New Roman"/>
          <w:sz w:val="24"/>
          <w:szCs w:val="24"/>
          <w:lang w:val="sr-Cyrl-CS"/>
        </w:rPr>
        <w:t>4)самодопринос;</w:t>
      </w:r>
    </w:p>
    <w:p w:rsidR="00AC6785" w:rsidRDefault="00AC6785" w:rsidP="000B5565">
      <w:pPr>
        <w:ind w:left="720"/>
        <w:rPr>
          <w:rFonts w:ascii="Times New Roman" w:hAnsi="Times New Roman"/>
          <w:sz w:val="24"/>
          <w:szCs w:val="24"/>
          <w:lang w:val="sr-Cyrl-CS"/>
        </w:rPr>
      </w:pPr>
      <w:r>
        <w:rPr>
          <w:rFonts w:ascii="Times New Roman" w:hAnsi="Times New Roman"/>
          <w:sz w:val="24"/>
          <w:szCs w:val="24"/>
          <w:lang w:val="sr-Cyrl-CS"/>
        </w:rPr>
        <w:t>5)донације, трансфери и финансијска помоћ Европске уније</w:t>
      </w:r>
      <w:r>
        <w:rPr>
          <w:rStyle w:val="FootnoteReference"/>
          <w:rFonts w:ascii="Times New Roman" w:hAnsi="Times New Roman"/>
          <w:sz w:val="24"/>
          <w:szCs w:val="24"/>
          <w:lang w:val="sr-Cyrl-CS"/>
        </w:rPr>
        <w:footnoteReference w:id="226"/>
      </w:r>
    </w:p>
    <w:p w:rsidR="00AC6785" w:rsidRDefault="00AC6785" w:rsidP="000B5565">
      <w:pPr>
        <w:ind w:left="1080"/>
        <w:rPr>
          <w:rFonts w:ascii="Times New Roman" w:hAnsi="Times New Roman"/>
          <w:sz w:val="24"/>
          <w:szCs w:val="24"/>
          <w:lang w:val="sr-Cyrl-CS"/>
        </w:rPr>
      </w:pPr>
    </w:p>
    <w:p w:rsidR="00AC6785" w:rsidRDefault="00AC6785" w:rsidP="00AC6785">
      <w:pPr>
        <w:ind w:firstLine="567"/>
        <w:jc w:val="both"/>
        <w:rPr>
          <w:rFonts w:ascii="Times New Roman" w:hAnsi="Times New Roman"/>
          <w:sz w:val="24"/>
          <w:szCs w:val="24"/>
          <w:lang w:val="sr-Cyrl-CS"/>
        </w:rPr>
      </w:pPr>
      <w:r>
        <w:rPr>
          <w:rFonts w:ascii="Times New Roman" w:hAnsi="Times New Roman"/>
          <w:sz w:val="24"/>
          <w:szCs w:val="24"/>
          <w:lang w:val="sr-Cyrl-CS"/>
        </w:rPr>
        <w:lastRenderedPageBreak/>
        <w:t>Доприноси за обавезно социјално осигурање уводе се за: пензијско и инвалидско осигурање, здравствено осигурање и осигурање за случај незапослености.</w:t>
      </w:r>
    </w:p>
    <w:p w:rsidR="00AC6785" w:rsidRDefault="00AC6785" w:rsidP="00AC6785">
      <w:pPr>
        <w:ind w:firstLine="567"/>
        <w:jc w:val="both"/>
        <w:rPr>
          <w:rFonts w:ascii="Times New Roman" w:hAnsi="Times New Roman"/>
          <w:sz w:val="24"/>
          <w:szCs w:val="24"/>
          <w:lang w:val="sr-Cyrl-CS"/>
        </w:rPr>
      </w:pPr>
      <w:r>
        <w:rPr>
          <w:rFonts w:ascii="Times New Roman" w:hAnsi="Times New Roman"/>
          <w:sz w:val="24"/>
          <w:szCs w:val="24"/>
          <w:lang w:val="sr-Cyrl-CS"/>
        </w:rPr>
        <w:t>Такса се наплаћује за непосредну пружену јавну услугу, односно спроведен поступак или радњу, коју је пружио, односно спровео надлежни субјекат. Таксе могу бити: административне, судске, комуналне и регистрационе.</w:t>
      </w:r>
    </w:p>
    <w:p w:rsidR="00AC6785" w:rsidRDefault="00AC6785" w:rsidP="00AC6785">
      <w:pPr>
        <w:ind w:firstLine="567"/>
        <w:jc w:val="both"/>
        <w:rPr>
          <w:rFonts w:ascii="Times New Roman" w:hAnsi="Times New Roman"/>
          <w:sz w:val="24"/>
          <w:szCs w:val="24"/>
          <w:lang w:val="sr-Cyrl-CS"/>
        </w:rPr>
      </w:pPr>
      <w:r>
        <w:rPr>
          <w:rFonts w:ascii="Times New Roman" w:hAnsi="Times New Roman"/>
          <w:sz w:val="24"/>
          <w:szCs w:val="24"/>
          <w:lang w:val="sr-Cyrl-CS"/>
        </w:rPr>
        <w:t>Накнаде се могу уводити за коришћење добара која су посебним законом утврђена као природна богатства, односно добра од општег интереса и добра у општој употреби. Предвиђене су следеће накнаде: за коришћење вода, за коришћење шума, за коришћење путева, за коришћење земљишта, за коришћење природног лековитог фактора и за коришћење рудног блага.</w:t>
      </w:r>
    </w:p>
    <w:p w:rsidR="00AC6785" w:rsidRDefault="00AC6785" w:rsidP="00AC6785">
      <w:pPr>
        <w:ind w:firstLine="567"/>
        <w:rPr>
          <w:rFonts w:ascii="Times New Roman" w:hAnsi="Times New Roman"/>
          <w:sz w:val="24"/>
          <w:szCs w:val="24"/>
          <w:lang w:val="sr-Cyrl-CS"/>
        </w:rPr>
      </w:pPr>
      <w:r>
        <w:rPr>
          <w:rFonts w:ascii="Times New Roman" w:hAnsi="Times New Roman"/>
          <w:sz w:val="24"/>
          <w:szCs w:val="24"/>
          <w:lang w:val="sr-Cyrl-CS"/>
        </w:rPr>
        <w:t>Донације и трансфери садрже групе и то:</w:t>
      </w:r>
    </w:p>
    <w:p w:rsidR="00AC6785" w:rsidRDefault="00AC6785" w:rsidP="00AC6785">
      <w:pPr>
        <w:ind w:firstLine="567"/>
        <w:rPr>
          <w:rFonts w:ascii="Times New Roman" w:hAnsi="Times New Roman"/>
          <w:sz w:val="24"/>
          <w:szCs w:val="24"/>
          <w:lang w:val="sr-Cyrl-CS"/>
        </w:rPr>
      </w:pPr>
      <w:r>
        <w:rPr>
          <w:rFonts w:ascii="Times New Roman" w:hAnsi="Times New Roman"/>
          <w:sz w:val="24"/>
          <w:szCs w:val="24"/>
          <w:lang w:val="sr-Cyrl-CS"/>
        </w:rPr>
        <w:t>-донације од иностраних држава;</w:t>
      </w:r>
    </w:p>
    <w:p w:rsidR="00AC6785" w:rsidRDefault="00AC6785" w:rsidP="00AC6785">
      <w:pPr>
        <w:ind w:firstLine="567"/>
        <w:rPr>
          <w:rFonts w:ascii="Times New Roman" w:hAnsi="Times New Roman"/>
          <w:sz w:val="24"/>
          <w:szCs w:val="24"/>
          <w:lang w:val="sr-Cyrl-CS"/>
        </w:rPr>
      </w:pPr>
      <w:r>
        <w:rPr>
          <w:rFonts w:ascii="Times New Roman" w:hAnsi="Times New Roman"/>
          <w:sz w:val="24"/>
          <w:szCs w:val="24"/>
          <w:lang w:val="sr-Cyrl-CS"/>
        </w:rPr>
        <w:t>-донације од међународних организација;</w:t>
      </w:r>
    </w:p>
    <w:p w:rsidR="00AC6785" w:rsidRDefault="00AC6785" w:rsidP="00AC6785">
      <w:pPr>
        <w:ind w:firstLine="567"/>
        <w:rPr>
          <w:rFonts w:ascii="Times New Roman" w:hAnsi="Times New Roman"/>
          <w:sz w:val="24"/>
          <w:szCs w:val="24"/>
          <w:lang w:val="sr-Cyrl-CS"/>
        </w:rPr>
      </w:pPr>
      <w:r>
        <w:rPr>
          <w:rFonts w:ascii="Times New Roman" w:hAnsi="Times New Roman"/>
          <w:sz w:val="24"/>
          <w:szCs w:val="24"/>
          <w:lang w:val="sr-Cyrl-CS"/>
        </w:rPr>
        <w:t>-трансфери од других нивоа власти.</w:t>
      </w:r>
    </w:p>
    <w:p w:rsidR="000C1307" w:rsidRPr="00713DA8" w:rsidRDefault="000C1307" w:rsidP="00713DA8">
      <w:pPr>
        <w:ind w:firstLine="567"/>
        <w:jc w:val="both"/>
        <w:rPr>
          <w:rFonts w:ascii="Times New Roman" w:hAnsi="Times New Roman"/>
          <w:sz w:val="24"/>
          <w:szCs w:val="24"/>
          <w:lang w:val="sr-Cyrl-CS"/>
        </w:rPr>
      </w:pPr>
      <w:r w:rsidRPr="00713DA8">
        <w:rPr>
          <w:rFonts w:ascii="Times New Roman" w:hAnsi="Times New Roman"/>
          <w:sz w:val="24"/>
          <w:szCs w:val="24"/>
          <w:lang w:val="sr-Cyrl-CS"/>
        </w:rPr>
        <w:t>На основу чл. 29. ст.4. Закона о буџетском систему донет је Правилник о стандардном класификационом оквиру и контном плану за буџетски систем.</w:t>
      </w:r>
      <w:r w:rsidRPr="00713DA8">
        <w:rPr>
          <w:rStyle w:val="FootnoteReference"/>
          <w:rFonts w:ascii="Times New Roman" w:hAnsi="Times New Roman"/>
          <w:sz w:val="24"/>
          <w:szCs w:val="24"/>
          <w:lang w:val="sr-Cyrl-CS"/>
        </w:rPr>
        <w:footnoteReference w:id="227"/>
      </w:r>
      <w:r w:rsidRPr="00713DA8">
        <w:rPr>
          <w:rFonts w:ascii="Times New Roman" w:hAnsi="Times New Roman"/>
          <w:sz w:val="24"/>
          <w:szCs w:val="24"/>
          <w:lang w:val="sr-Cyrl-CS"/>
        </w:rPr>
        <w:t xml:space="preserve"> Осми пут по реду донет је Правилник о изменама и допунама Правилник</w:t>
      </w:r>
      <w:r w:rsidR="00523842" w:rsidRPr="00713DA8">
        <w:rPr>
          <w:rFonts w:ascii="Times New Roman" w:hAnsi="Times New Roman"/>
          <w:sz w:val="24"/>
          <w:szCs w:val="24"/>
          <w:lang w:val="sr-Cyrl-CS"/>
        </w:rPr>
        <w:t>а</w:t>
      </w:r>
      <w:r w:rsidRPr="00713DA8">
        <w:rPr>
          <w:rFonts w:ascii="Times New Roman" w:hAnsi="Times New Roman"/>
          <w:sz w:val="24"/>
          <w:szCs w:val="24"/>
          <w:lang w:val="sr-Cyrl-CS"/>
        </w:rPr>
        <w:t xml:space="preserve"> о стандардном класификационом оквиру и контном плану за буџетски систем</w:t>
      </w:r>
      <w:r w:rsidR="00523842" w:rsidRPr="00713DA8">
        <w:rPr>
          <w:rStyle w:val="FootnoteReference"/>
          <w:rFonts w:ascii="Times New Roman" w:hAnsi="Times New Roman"/>
          <w:sz w:val="24"/>
          <w:szCs w:val="24"/>
          <w:lang w:val="sr-Cyrl-CS"/>
        </w:rPr>
        <w:footnoteReference w:id="228"/>
      </w:r>
      <w:r w:rsidR="00523842" w:rsidRPr="00713DA8">
        <w:rPr>
          <w:rFonts w:ascii="Times New Roman" w:hAnsi="Times New Roman"/>
          <w:sz w:val="24"/>
          <w:szCs w:val="24"/>
          <w:lang w:val="sr-Cyrl-CS"/>
        </w:rPr>
        <w:t xml:space="preserve"> због измена Правилника о условима и начину вођења рачуна за уплату јавних прихода и распоред средстава са тих рачуна</w:t>
      </w:r>
      <w:r w:rsidR="00523842" w:rsidRPr="00713DA8">
        <w:rPr>
          <w:rStyle w:val="FootnoteReference"/>
          <w:rFonts w:ascii="Times New Roman" w:hAnsi="Times New Roman"/>
          <w:sz w:val="24"/>
          <w:szCs w:val="24"/>
          <w:lang w:val="sr-Cyrl-CS"/>
        </w:rPr>
        <w:footnoteReference w:id="229"/>
      </w:r>
      <w:r w:rsidR="00523842" w:rsidRPr="00713DA8">
        <w:rPr>
          <w:rFonts w:ascii="Times New Roman" w:hAnsi="Times New Roman"/>
          <w:sz w:val="24"/>
          <w:szCs w:val="24"/>
          <w:lang w:val="sr-Cyrl-CS"/>
        </w:rPr>
        <w:t>, који</w:t>
      </w:r>
      <w:r w:rsidR="00523842">
        <w:rPr>
          <w:lang w:val="sr-Cyrl-CS"/>
        </w:rPr>
        <w:t xml:space="preserve"> </w:t>
      </w:r>
      <w:r w:rsidR="00523842" w:rsidRPr="00713DA8">
        <w:rPr>
          <w:rFonts w:ascii="Times New Roman" w:hAnsi="Times New Roman"/>
          <w:sz w:val="24"/>
          <w:szCs w:val="24"/>
          <w:lang w:val="sr-Cyrl-CS"/>
        </w:rPr>
        <w:t>такође има осам измена и допуна. Оба правилника су</w:t>
      </w:r>
      <w:r w:rsidR="00523842">
        <w:rPr>
          <w:lang w:val="sr-Cyrl-CS"/>
        </w:rPr>
        <w:t xml:space="preserve"> </w:t>
      </w:r>
      <w:r w:rsidR="00523842" w:rsidRPr="00713DA8">
        <w:rPr>
          <w:rFonts w:ascii="Times New Roman" w:hAnsi="Times New Roman"/>
          <w:sz w:val="24"/>
          <w:szCs w:val="24"/>
          <w:lang w:val="sr-Cyrl-CS"/>
        </w:rPr>
        <w:t xml:space="preserve">ступила на снагу 13. децембра 3013. </w:t>
      </w:r>
      <w:r w:rsidR="0051698C" w:rsidRPr="00713DA8">
        <w:rPr>
          <w:rFonts w:ascii="Times New Roman" w:hAnsi="Times New Roman"/>
          <w:sz w:val="24"/>
          <w:szCs w:val="24"/>
        </w:rPr>
        <w:t>г</w:t>
      </w:r>
      <w:r w:rsidR="00523842" w:rsidRPr="00713DA8">
        <w:rPr>
          <w:rFonts w:ascii="Times New Roman" w:hAnsi="Times New Roman"/>
          <w:sz w:val="24"/>
          <w:szCs w:val="24"/>
          <w:lang w:val="sr-Cyrl-CS"/>
        </w:rPr>
        <w:t>одине, а по осми пут су измењени и допуњени ради уподобљавања</w:t>
      </w:r>
      <w:r w:rsidR="0051698C" w:rsidRPr="00713DA8">
        <w:rPr>
          <w:rFonts w:ascii="Times New Roman" w:hAnsi="Times New Roman"/>
          <w:sz w:val="24"/>
          <w:szCs w:val="24"/>
          <w:lang w:val="sr-Cyrl-CS"/>
        </w:rPr>
        <w:t>, између осталог, поменутом Закону о буџеском систему, као и</w:t>
      </w:r>
      <w:r w:rsidR="00523842" w:rsidRPr="00713DA8">
        <w:rPr>
          <w:rFonts w:ascii="Times New Roman" w:hAnsi="Times New Roman"/>
          <w:sz w:val="24"/>
          <w:szCs w:val="24"/>
          <w:lang w:val="sr-Cyrl-CS"/>
        </w:rPr>
        <w:t xml:space="preserve"> са следећим прописима:</w:t>
      </w:r>
    </w:p>
    <w:p w:rsidR="00523842" w:rsidRPr="00505108" w:rsidRDefault="00523842" w:rsidP="00713DA8">
      <w:pPr>
        <w:jc w:val="both"/>
        <w:rPr>
          <w:rFonts w:ascii="Times New Roman" w:hAnsi="Times New Roman"/>
          <w:iCs/>
          <w:color w:val="000000"/>
          <w:sz w:val="24"/>
          <w:szCs w:val="24"/>
          <w:lang w:val="sr-Cyrl-CS"/>
        </w:rPr>
      </w:pPr>
      <w:r w:rsidRPr="00713DA8">
        <w:rPr>
          <w:rStyle w:val="apple-converted-space"/>
          <w:rFonts w:ascii="Times New Roman" w:hAnsi="Times New Roman"/>
          <w:b/>
          <w:bCs/>
          <w:i/>
          <w:iCs/>
          <w:color w:val="000000"/>
          <w:sz w:val="24"/>
          <w:szCs w:val="24"/>
        </w:rPr>
        <w:t> </w:t>
      </w:r>
      <w:r w:rsidRPr="00713DA8">
        <w:rPr>
          <w:rStyle w:val="apple-converted-space"/>
          <w:rFonts w:ascii="Times New Roman" w:hAnsi="Times New Roman"/>
          <w:b/>
          <w:bCs/>
          <w:i/>
          <w:iCs/>
          <w:color w:val="000000"/>
          <w:sz w:val="24"/>
          <w:szCs w:val="24"/>
          <w:lang w:val="sr-Cyrl-CS"/>
        </w:rPr>
        <w:t>-</w:t>
      </w:r>
      <w:r w:rsidRPr="00713DA8">
        <w:rPr>
          <w:rFonts w:ascii="Times New Roman" w:hAnsi="Times New Roman"/>
          <w:bCs/>
          <w:iCs/>
          <w:color w:val="000000"/>
          <w:sz w:val="24"/>
          <w:szCs w:val="24"/>
        </w:rPr>
        <w:t xml:space="preserve">Уредбом о управљању програмима претприступне помоћи Европске уније у оквиру компоненте </w:t>
      </w:r>
      <w:r w:rsidR="0051698C" w:rsidRPr="00713DA8">
        <w:rPr>
          <w:rFonts w:ascii="Times New Roman" w:hAnsi="Times New Roman"/>
          <w:bCs/>
          <w:iCs/>
          <w:color w:val="000000"/>
          <w:sz w:val="24"/>
          <w:szCs w:val="24"/>
        </w:rPr>
        <w:t>I</w:t>
      </w:r>
      <w:r w:rsidRPr="00713DA8">
        <w:rPr>
          <w:rFonts w:ascii="Times New Roman" w:hAnsi="Times New Roman"/>
          <w:bCs/>
          <w:iCs/>
          <w:color w:val="000000"/>
          <w:sz w:val="24"/>
          <w:szCs w:val="24"/>
        </w:rPr>
        <w:t xml:space="preserve"> Инструмента претприступне помоћи (</w:t>
      </w:r>
      <w:r w:rsidR="0051698C" w:rsidRPr="00713DA8">
        <w:rPr>
          <w:rFonts w:ascii="Times New Roman" w:hAnsi="Times New Roman"/>
          <w:bCs/>
          <w:iCs/>
          <w:color w:val="000000"/>
          <w:sz w:val="24"/>
          <w:szCs w:val="24"/>
        </w:rPr>
        <w:t>IPA</w:t>
      </w:r>
      <w:r w:rsidRPr="00713DA8">
        <w:rPr>
          <w:rFonts w:ascii="Times New Roman" w:hAnsi="Times New Roman"/>
          <w:bCs/>
          <w:iCs/>
          <w:color w:val="000000"/>
          <w:sz w:val="24"/>
          <w:szCs w:val="24"/>
        </w:rPr>
        <w:t>) - Помоћ у транзицији и изградња институција за период 2007-2013. године ("Сл. гласник РС", бр. 92/2013)</w:t>
      </w:r>
      <w:r w:rsidRPr="00713DA8">
        <w:rPr>
          <w:rFonts w:ascii="Times New Roman" w:hAnsi="Times New Roman"/>
          <w:iCs/>
          <w:color w:val="000000"/>
          <w:sz w:val="24"/>
          <w:szCs w:val="24"/>
        </w:rPr>
        <w:t>;</w:t>
      </w:r>
    </w:p>
    <w:p w:rsidR="00523842" w:rsidRPr="00505108" w:rsidRDefault="00523842" w:rsidP="00713DA8">
      <w:pPr>
        <w:jc w:val="both"/>
        <w:rPr>
          <w:rFonts w:ascii="Times New Roman" w:hAnsi="Times New Roman"/>
          <w:iCs/>
          <w:color w:val="000000"/>
          <w:sz w:val="24"/>
          <w:szCs w:val="24"/>
          <w:lang w:val="sr-Cyrl-CS"/>
        </w:rPr>
      </w:pPr>
      <w:r w:rsidRPr="00713DA8">
        <w:rPr>
          <w:rFonts w:ascii="Times New Roman" w:hAnsi="Times New Roman"/>
          <w:bCs/>
          <w:iCs/>
          <w:color w:val="000000"/>
          <w:sz w:val="24"/>
          <w:szCs w:val="24"/>
        </w:rPr>
        <w:t xml:space="preserve">-Уредбом о управљању програмима претприступне помоћи Европске уније у оквиру компоненте </w:t>
      </w:r>
      <w:r w:rsidR="0051698C" w:rsidRPr="00713DA8">
        <w:rPr>
          <w:rFonts w:ascii="Times New Roman" w:hAnsi="Times New Roman"/>
          <w:bCs/>
          <w:iCs/>
          <w:color w:val="000000"/>
          <w:sz w:val="24"/>
          <w:szCs w:val="24"/>
        </w:rPr>
        <w:t>IIb</w:t>
      </w:r>
      <w:r w:rsidRPr="00713DA8">
        <w:rPr>
          <w:rFonts w:ascii="Times New Roman" w:hAnsi="Times New Roman"/>
          <w:bCs/>
          <w:iCs/>
          <w:color w:val="000000"/>
          <w:sz w:val="24"/>
          <w:szCs w:val="24"/>
        </w:rPr>
        <w:t xml:space="preserve"> Инструмента претприступне помоћи (</w:t>
      </w:r>
      <w:r w:rsidR="0051698C" w:rsidRPr="00713DA8">
        <w:rPr>
          <w:rFonts w:ascii="Times New Roman" w:hAnsi="Times New Roman"/>
          <w:bCs/>
          <w:iCs/>
          <w:color w:val="000000"/>
          <w:sz w:val="24"/>
          <w:szCs w:val="24"/>
        </w:rPr>
        <w:t>IPA</w:t>
      </w:r>
      <w:r w:rsidRPr="00713DA8">
        <w:rPr>
          <w:rFonts w:ascii="Times New Roman" w:hAnsi="Times New Roman"/>
          <w:bCs/>
          <w:iCs/>
          <w:color w:val="000000"/>
          <w:sz w:val="24"/>
          <w:szCs w:val="24"/>
        </w:rPr>
        <w:t xml:space="preserve">) - програми Прекограничне сарадње са државама корисницама </w:t>
      </w:r>
      <w:r w:rsidR="0051698C" w:rsidRPr="00713DA8">
        <w:rPr>
          <w:rFonts w:ascii="Times New Roman" w:hAnsi="Times New Roman"/>
          <w:bCs/>
          <w:iCs/>
          <w:color w:val="000000"/>
          <w:sz w:val="24"/>
          <w:szCs w:val="24"/>
        </w:rPr>
        <w:t>IPA</w:t>
      </w:r>
      <w:r w:rsidRPr="00713DA8">
        <w:rPr>
          <w:rFonts w:ascii="Times New Roman" w:hAnsi="Times New Roman"/>
          <w:bCs/>
          <w:iCs/>
          <w:color w:val="000000"/>
          <w:sz w:val="24"/>
          <w:szCs w:val="24"/>
        </w:rPr>
        <w:t xml:space="preserve"> за период 2007-2013. године ("Сл. гласник РС", бр. 92/2013)</w:t>
      </w:r>
      <w:r w:rsidRPr="00713DA8">
        <w:rPr>
          <w:rFonts w:ascii="Times New Roman" w:hAnsi="Times New Roman"/>
          <w:iCs/>
          <w:color w:val="000000"/>
          <w:sz w:val="24"/>
          <w:szCs w:val="24"/>
        </w:rPr>
        <w:t>;</w:t>
      </w:r>
    </w:p>
    <w:p w:rsidR="00713DA8" w:rsidRDefault="00523842" w:rsidP="00713DA8">
      <w:pPr>
        <w:jc w:val="both"/>
        <w:rPr>
          <w:rFonts w:ascii="Times New Roman" w:hAnsi="Times New Roman"/>
          <w:iCs/>
          <w:color w:val="000000"/>
          <w:sz w:val="24"/>
          <w:szCs w:val="24"/>
          <w:lang w:val="sr-Cyrl-CS"/>
        </w:rPr>
      </w:pPr>
      <w:r w:rsidRPr="00713DA8">
        <w:rPr>
          <w:rFonts w:ascii="Times New Roman" w:hAnsi="Times New Roman"/>
          <w:bCs/>
          <w:iCs/>
          <w:color w:val="000000"/>
          <w:sz w:val="24"/>
          <w:szCs w:val="24"/>
          <w:lang w:val="sr-Cyrl-CS"/>
        </w:rPr>
        <w:lastRenderedPageBreak/>
        <w:t>-</w:t>
      </w:r>
      <w:r w:rsidRPr="00713DA8">
        <w:rPr>
          <w:rFonts w:ascii="Times New Roman" w:hAnsi="Times New Roman"/>
          <w:bCs/>
          <w:iCs/>
          <w:color w:val="000000"/>
          <w:sz w:val="24"/>
          <w:szCs w:val="24"/>
        </w:rPr>
        <w:t>Уредбом ЕК број 718/2007</w:t>
      </w:r>
      <w:r w:rsidRPr="00713DA8">
        <w:rPr>
          <w:rFonts w:ascii="Times New Roman" w:hAnsi="Times New Roman"/>
          <w:iCs/>
          <w:color w:val="000000"/>
          <w:sz w:val="24"/>
          <w:szCs w:val="24"/>
        </w:rPr>
        <w:t>, измењена и допуњена</w:t>
      </w:r>
      <w:r w:rsidRPr="00713DA8">
        <w:rPr>
          <w:rStyle w:val="apple-converted-space"/>
          <w:rFonts w:ascii="Times New Roman" w:hAnsi="Times New Roman"/>
          <w:iCs/>
          <w:color w:val="000000"/>
          <w:sz w:val="24"/>
          <w:szCs w:val="24"/>
        </w:rPr>
        <w:t> </w:t>
      </w:r>
      <w:r w:rsidRPr="00713DA8">
        <w:rPr>
          <w:rFonts w:ascii="Times New Roman" w:hAnsi="Times New Roman"/>
          <w:bCs/>
          <w:iCs/>
          <w:color w:val="000000"/>
          <w:sz w:val="24"/>
          <w:szCs w:val="24"/>
        </w:rPr>
        <w:t>Уредбом ЕК број 80/2010</w:t>
      </w:r>
      <w:r w:rsidRPr="00713DA8">
        <w:rPr>
          <w:rFonts w:ascii="Times New Roman" w:hAnsi="Times New Roman"/>
          <w:iCs/>
          <w:color w:val="000000"/>
          <w:sz w:val="24"/>
          <w:szCs w:val="24"/>
        </w:rPr>
        <w:t>, као и</w:t>
      </w:r>
      <w:r w:rsidRPr="00713DA8">
        <w:rPr>
          <w:rStyle w:val="apple-converted-space"/>
          <w:rFonts w:ascii="Times New Roman" w:hAnsi="Times New Roman"/>
          <w:iCs/>
          <w:color w:val="000000"/>
          <w:sz w:val="24"/>
          <w:szCs w:val="24"/>
        </w:rPr>
        <w:t> </w:t>
      </w:r>
      <w:r w:rsidRPr="00713DA8">
        <w:rPr>
          <w:rFonts w:ascii="Times New Roman" w:hAnsi="Times New Roman"/>
          <w:bCs/>
          <w:iCs/>
          <w:color w:val="000000"/>
          <w:sz w:val="24"/>
          <w:szCs w:val="24"/>
        </w:rPr>
        <w:t>Уредбом ЕК број 484/2013</w:t>
      </w:r>
      <w:r w:rsidRPr="00713DA8">
        <w:rPr>
          <w:rFonts w:ascii="Times New Roman" w:hAnsi="Times New Roman"/>
          <w:iCs/>
          <w:color w:val="000000"/>
          <w:sz w:val="24"/>
          <w:szCs w:val="24"/>
        </w:rPr>
        <w:t>, од 24. маја 2013. године;</w:t>
      </w:r>
    </w:p>
    <w:p w:rsidR="00060971" w:rsidRDefault="00DD19FF" w:rsidP="00060971">
      <w:pPr>
        <w:jc w:val="both"/>
        <w:rPr>
          <w:rFonts w:ascii="Times New Roman" w:hAnsi="Times New Roman"/>
          <w:sz w:val="24"/>
          <w:szCs w:val="24"/>
        </w:rPr>
      </w:pPr>
      <w:r>
        <w:rPr>
          <w:rFonts w:ascii="Times New Roman" w:hAnsi="Times New Roman"/>
          <w:sz w:val="24"/>
          <w:szCs w:val="24"/>
          <w:lang w:val="sr-Cyrl-CS"/>
        </w:rPr>
        <w:t>Према Правилнику</w:t>
      </w:r>
      <w:r w:rsidRPr="00D55BC1">
        <w:rPr>
          <w:rFonts w:ascii="Times New Roman" w:hAnsi="Times New Roman"/>
          <w:sz w:val="24"/>
          <w:szCs w:val="24"/>
          <w:lang w:val="sr-Cyrl-CS"/>
        </w:rPr>
        <w:t xml:space="preserve"> о стандардном класификационом оквиру и контном плану за буџетски систем</w:t>
      </w:r>
      <w:r w:rsidRPr="00D55BC1">
        <w:rPr>
          <w:rStyle w:val="FootnoteReference"/>
          <w:rFonts w:ascii="Times New Roman" w:hAnsi="Times New Roman"/>
          <w:sz w:val="24"/>
          <w:szCs w:val="24"/>
          <w:lang w:val="sr-Cyrl-CS"/>
        </w:rPr>
        <w:t xml:space="preserve"> </w:t>
      </w:r>
      <w:r>
        <w:rPr>
          <w:rStyle w:val="FootnoteReference"/>
          <w:rFonts w:ascii="Times New Roman" w:hAnsi="Times New Roman"/>
          <w:sz w:val="24"/>
          <w:szCs w:val="24"/>
          <w:lang w:val="sr-Cyrl-CS"/>
        </w:rPr>
        <w:footnoteReference w:id="230"/>
      </w:r>
      <w:r>
        <w:rPr>
          <w:rFonts w:ascii="Times New Roman" w:hAnsi="Times New Roman"/>
          <w:sz w:val="24"/>
          <w:szCs w:val="24"/>
          <w:lang w:val="sr-Cyrl-CS"/>
        </w:rPr>
        <w:t xml:space="preserve"> текући приходи  су сврстани у класу 700000 и садрже следеће категорије: </w:t>
      </w:r>
    </w:p>
    <w:p w:rsidR="000C4553" w:rsidRPr="000C4553" w:rsidRDefault="000C4553" w:rsidP="00060971">
      <w:pPr>
        <w:jc w:val="both"/>
        <w:rPr>
          <w:rFonts w:ascii="Times New Roman" w:hAnsi="Times New Roman"/>
          <w:sz w:val="24"/>
          <w:szCs w:val="24"/>
        </w:rPr>
      </w:pPr>
    </w:p>
    <w:p w:rsidR="00DD19FF" w:rsidRPr="00060971" w:rsidRDefault="00DD19FF" w:rsidP="00060971">
      <w:pPr>
        <w:pStyle w:val="NoSpacing"/>
        <w:rPr>
          <w:rFonts w:ascii="Times New Roman" w:hAnsi="Times New Roman"/>
          <w:iCs/>
          <w:sz w:val="24"/>
          <w:szCs w:val="24"/>
          <w:lang w:val="sr-Cyrl-CS"/>
        </w:rPr>
      </w:pPr>
      <w:r w:rsidRPr="00060971">
        <w:rPr>
          <w:rFonts w:ascii="Times New Roman" w:hAnsi="Times New Roman"/>
          <w:sz w:val="24"/>
          <w:szCs w:val="24"/>
        </w:rPr>
        <w:t xml:space="preserve">710000 - </w:t>
      </w:r>
      <w:r w:rsidRPr="00060971">
        <w:rPr>
          <w:rFonts w:ascii="Times New Roman" w:hAnsi="Times New Roman"/>
          <w:sz w:val="24"/>
          <w:szCs w:val="24"/>
          <w:lang w:val="sr-Cyrl-CS"/>
        </w:rPr>
        <w:t>Порези</w:t>
      </w:r>
      <w:r w:rsidRPr="00060971">
        <w:rPr>
          <w:rFonts w:ascii="Times New Roman" w:hAnsi="Times New Roman"/>
          <w:sz w:val="24"/>
          <w:szCs w:val="24"/>
        </w:rPr>
        <w:t>;</w:t>
      </w:r>
    </w:p>
    <w:p w:rsidR="00DD19FF" w:rsidRPr="00060971" w:rsidRDefault="00DD19FF" w:rsidP="00060971">
      <w:pPr>
        <w:pStyle w:val="NoSpacing"/>
        <w:rPr>
          <w:rFonts w:ascii="Times New Roman" w:hAnsi="Times New Roman"/>
          <w:sz w:val="24"/>
          <w:szCs w:val="24"/>
        </w:rPr>
      </w:pPr>
      <w:r w:rsidRPr="00060971">
        <w:rPr>
          <w:rFonts w:ascii="Times New Roman" w:hAnsi="Times New Roman"/>
          <w:sz w:val="24"/>
          <w:szCs w:val="24"/>
        </w:rPr>
        <w:t xml:space="preserve">720000 – </w:t>
      </w:r>
      <w:r w:rsidRPr="00060971">
        <w:rPr>
          <w:rFonts w:ascii="Times New Roman" w:hAnsi="Times New Roman"/>
          <w:sz w:val="24"/>
          <w:szCs w:val="24"/>
          <w:lang w:val="sr-Cyrl-CS"/>
        </w:rPr>
        <w:t>Социјални доприноси</w:t>
      </w:r>
      <w:r w:rsidRPr="00060971">
        <w:rPr>
          <w:rFonts w:ascii="Times New Roman" w:hAnsi="Times New Roman"/>
          <w:sz w:val="24"/>
          <w:szCs w:val="24"/>
        </w:rPr>
        <w:t>;</w:t>
      </w:r>
    </w:p>
    <w:p w:rsidR="00DD19FF" w:rsidRPr="008257C3" w:rsidRDefault="00DD19FF" w:rsidP="00DD19FF">
      <w:pPr>
        <w:pStyle w:val="normal0"/>
        <w:shd w:val="clear" w:color="auto" w:fill="FFFFFF"/>
        <w:spacing w:before="48" w:beforeAutospacing="0" w:after="48" w:afterAutospacing="0"/>
        <w:rPr>
          <w:color w:val="000000"/>
          <w:lang w:val="sr-Cyrl-CS"/>
        </w:rPr>
      </w:pPr>
      <w:r w:rsidRPr="00071753">
        <w:rPr>
          <w:color w:val="000000"/>
        </w:rPr>
        <w:t xml:space="preserve">730000 </w:t>
      </w:r>
      <w:r>
        <w:rPr>
          <w:color w:val="000000"/>
        </w:rPr>
        <w:t>–</w:t>
      </w:r>
      <w:r w:rsidRPr="00071753">
        <w:rPr>
          <w:color w:val="000000"/>
        </w:rPr>
        <w:t xml:space="preserve"> </w:t>
      </w:r>
      <w:r>
        <w:rPr>
          <w:color w:val="000000"/>
          <w:lang w:val="sr-Cyrl-CS"/>
        </w:rPr>
        <w:t>Донације, помоћи и трансфери</w:t>
      </w:r>
      <w:r w:rsidRPr="00071753">
        <w:rPr>
          <w:color w:val="000000"/>
        </w:rPr>
        <w:t>;</w:t>
      </w:r>
    </w:p>
    <w:p w:rsidR="00DD19FF" w:rsidRPr="00071753" w:rsidRDefault="00DD19FF" w:rsidP="00DD19FF">
      <w:pPr>
        <w:pStyle w:val="normal0"/>
        <w:shd w:val="clear" w:color="auto" w:fill="FFFFFF"/>
        <w:spacing w:before="48" w:beforeAutospacing="0" w:after="48" w:afterAutospacing="0"/>
        <w:rPr>
          <w:color w:val="000000"/>
        </w:rPr>
      </w:pPr>
      <w:r w:rsidRPr="00071753">
        <w:rPr>
          <w:color w:val="000000"/>
        </w:rPr>
        <w:t xml:space="preserve">740000 </w:t>
      </w:r>
      <w:r>
        <w:rPr>
          <w:color w:val="000000"/>
        </w:rPr>
        <w:t>–</w:t>
      </w:r>
      <w:r w:rsidRPr="00071753">
        <w:rPr>
          <w:color w:val="000000"/>
        </w:rPr>
        <w:t xml:space="preserve"> </w:t>
      </w:r>
      <w:r>
        <w:rPr>
          <w:color w:val="000000"/>
          <w:lang w:val="sr-Cyrl-CS"/>
        </w:rPr>
        <w:t>Други приходи</w:t>
      </w:r>
      <w:r w:rsidRPr="00071753">
        <w:rPr>
          <w:color w:val="000000"/>
        </w:rPr>
        <w:t>;</w:t>
      </w:r>
    </w:p>
    <w:p w:rsidR="00DD19FF" w:rsidRPr="00071753" w:rsidRDefault="00DD19FF" w:rsidP="00DD19FF">
      <w:pPr>
        <w:pStyle w:val="normal0"/>
        <w:shd w:val="clear" w:color="auto" w:fill="FFFFFF"/>
        <w:spacing w:before="48" w:beforeAutospacing="0" w:after="48" w:afterAutospacing="0"/>
        <w:rPr>
          <w:color w:val="000000"/>
        </w:rPr>
      </w:pPr>
      <w:r w:rsidRPr="00071753">
        <w:rPr>
          <w:color w:val="000000"/>
        </w:rPr>
        <w:t xml:space="preserve">770000 </w:t>
      </w:r>
      <w:r>
        <w:rPr>
          <w:color w:val="000000"/>
        </w:rPr>
        <w:t>–</w:t>
      </w:r>
      <w:r w:rsidRPr="00071753">
        <w:rPr>
          <w:color w:val="000000"/>
        </w:rPr>
        <w:t xml:space="preserve"> </w:t>
      </w:r>
      <w:r>
        <w:rPr>
          <w:color w:val="000000"/>
          <w:lang w:val="sr-Cyrl-CS"/>
        </w:rPr>
        <w:t>Меморандумске ставке за рефундацију расхода</w:t>
      </w:r>
      <w:r w:rsidRPr="00071753">
        <w:rPr>
          <w:color w:val="000000"/>
        </w:rPr>
        <w:t>;</w:t>
      </w:r>
    </w:p>
    <w:p w:rsidR="00DD19FF" w:rsidRPr="00071753" w:rsidRDefault="00DD19FF" w:rsidP="00DD19FF">
      <w:pPr>
        <w:pStyle w:val="normal0"/>
        <w:shd w:val="clear" w:color="auto" w:fill="FFFFFF"/>
        <w:spacing w:before="48" w:beforeAutospacing="0" w:after="48" w:afterAutospacing="0"/>
        <w:rPr>
          <w:color w:val="000000"/>
        </w:rPr>
      </w:pPr>
      <w:r w:rsidRPr="00071753">
        <w:rPr>
          <w:color w:val="000000"/>
        </w:rPr>
        <w:t xml:space="preserve">780000 </w:t>
      </w:r>
      <w:r>
        <w:rPr>
          <w:color w:val="000000"/>
        </w:rPr>
        <w:t>–</w:t>
      </w:r>
      <w:r w:rsidRPr="00071753">
        <w:rPr>
          <w:color w:val="000000"/>
        </w:rPr>
        <w:t xml:space="preserve"> </w:t>
      </w:r>
      <w:r>
        <w:rPr>
          <w:color w:val="000000"/>
          <w:lang w:val="sr-Cyrl-CS"/>
        </w:rPr>
        <w:t>Трансфери између буџетских корисника на истом нивоу</w:t>
      </w:r>
      <w:r w:rsidRPr="00071753">
        <w:rPr>
          <w:color w:val="000000"/>
        </w:rPr>
        <w:t>;</w:t>
      </w:r>
    </w:p>
    <w:p w:rsidR="00713DA8" w:rsidRDefault="00DD19FF" w:rsidP="00505108">
      <w:pPr>
        <w:pStyle w:val="normal0"/>
        <w:shd w:val="clear" w:color="auto" w:fill="FFFFFF"/>
        <w:spacing w:before="48" w:beforeAutospacing="0" w:after="48" w:afterAutospacing="0"/>
        <w:rPr>
          <w:color w:val="000000"/>
        </w:rPr>
      </w:pPr>
      <w:r w:rsidRPr="00071753">
        <w:rPr>
          <w:color w:val="000000"/>
        </w:rPr>
        <w:t xml:space="preserve">790000 </w:t>
      </w:r>
      <w:r>
        <w:rPr>
          <w:color w:val="000000"/>
        </w:rPr>
        <w:t>–</w:t>
      </w:r>
      <w:r w:rsidRPr="00071753">
        <w:rPr>
          <w:color w:val="000000"/>
        </w:rPr>
        <w:t xml:space="preserve"> </w:t>
      </w:r>
      <w:r>
        <w:rPr>
          <w:color w:val="000000"/>
          <w:lang w:val="sr-Cyrl-CS"/>
        </w:rPr>
        <w:t>Приходи из буџета</w:t>
      </w:r>
      <w:r w:rsidRPr="00071753">
        <w:rPr>
          <w:color w:val="000000"/>
        </w:rPr>
        <w:t>.</w:t>
      </w:r>
      <w:r>
        <w:rPr>
          <w:color w:val="000000"/>
          <w:lang w:val="sr-Cyrl-CS"/>
        </w:rPr>
        <w:t xml:space="preserve"> </w:t>
      </w:r>
    </w:p>
    <w:p w:rsidR="000C4553" w:rsidRDefault="000C4553" w:rsidP="00505108">
      <w:pPr>
        <w:pStyle w:val="normal0"/>
        <w:shd w:val="clear" w:color="auto" w:fill="FFFFFF"/>
        <w:spacing w:before="48" w:beforeAutospacing="0" w:after="48" w:afterAutospacing="0"/>
        <w:rPr>
          <w:color w:val="000000"/>
        </w:rPr>
      </w:pPr>
    </w:p>
    <w:p w:rsidR="000C4553" w:rsidRDefault="000C4553" w:rsidP="00505108">
      <w:pPr>
        <w:pStyle w:val="normal0"/>
        <w:shd w:val="clear" w:color="auto" w:fill="FFFFFF"/>
        <w:spacing w:before="48" w:beforeAutospacing="0" w:after="48" w:afterAutospacing="0"/>
        <w:rPr>
          <w:color w:val="000000"/>
        </w:rPr>
      </w:pPr>
    </w:p>
    <w:p w:rsidR="000C4553" w:rsidRDefault="000C4553" w:rsidP="00505108">
      <w:pPr>
        <w:pStyle w:val="normal0"/>
        <w:shd w:val="clear" w:color="auto" w:fill="FFFFFF"/>
        <w:spacing w:before="48" w:beforeAutospacing="0" w:after="48" w:afterAutospacing="0"/>
        <w:rPr>
          <w:color w:val="000000"/>
        </w:rPr>
      </w:pPr>
    </w:p>
    <w:p w:rsidR="000C4553" w:rsidRDefault="000C4553" w:rsidP="00505108">
      <w:pPr>
        <w:pStyle w:val="normal0"/>
        <w:shd w:val="clear" w:color="auto" w:fill="FFFFFF"/>
        <w:spacing w:before="48" w:beforeAutospacing="0" w:after="48" w:afterAutospacing="0"/>
        <w:rPr>
          <w:color w:val="000000"/>
        </w:rPr>
      </w:pPr>
    </w:p>
    <w:p w:rsidR="000C4553" w:rsidRDefault="000C4553" w:rsidP="00505108">
      <w:pPr>
        <w:pStyle w:val="normal0"/>
        <w:shd w:val="clear" w:color="auto" w:fill="FFFFFF"/>
        <w:spacing w:before="48" w:beforeAutospacing="0" w:after="48" w:afterAutospacing="0"/>
        <w:rPr>
          <w:color w:val="000000"/>
        </w:rPr>
      </w:pPr>
    </w:p>
    <w:p w:rsidR="000C4553" w:rsidRDefault="000C4553" w:rsidP="00505108">
      <w:pPr>
        <w:pStyle w:val="normal0"/>
        <w:shd w:val="clear" w:color="auto" w:fill="FFFFFF"/>
        <w:spacing w:before="48" w:beforeAutospacing="0" w:after="48" w:afterAutospacing="0"/>
        <w:rPr>
          <w:color w:val="000000"/>
        </w:rPr>
      </w:pPr>
    </w:p>
    <w:p w:rsidR="000C4553" w:rsidRDefault="000C4553" w:rsidP="00505108">
      <w:pPr>
        <w:pStyle w:val="normal0"/>
        <w:shd w:val="clear" w:color="auto" w:fill="FFFFFF"/>
        <w:spacing w:before="48" w:beforeAutospacing="0" w:after="48" w:afterAutospacing="0"/>
        <w:rPr>
          <w:color w:val="000000"/>
        </w:rPr>
      </w:pPr>
    </w:p>
    <w:p w:rsidR="000C4553" w:rsidRDefault="000C4553" w:rsidP="00505108">
      <w:pPr>
        <w:pStyle w:val="normal0"/>
        <w:shd w:val="clear" w:color="auto" w:fill="FFFFFF"/>
        <w:spacing w:before="48" w:beforeAutospacing="0" w:after="48" w:afterAutospacing="0"/>
        <w:rPr>
          <w:color w:val="000000"/>
        </w:rPr>
      </w:pPr>
    </w:p>
    <w:p w:rsidR="00B90C1E" w:rsidRDefault="00B90C1E" w:rsidP="00505108">
      <w:pPr>
        <w:pStyle w:val="normal0"/>
        <w:shd w:val="clear" w:color="auto" w:fill="FFFFFF"/>
        <w:spacing w:before="48" w:beforeAutospacing="0" w:after="48" w:afterAutospacing="0"/>
        <w:rPr>
          <w:color w:val="000000"/>
          <w:lang w:val="sr-Cyrl-CS"/>
        </w:rPr>
      </w:pPr>
    </w:p>
    <w:p w:rsidR="00A22DD5" w:rsidRDefault="00A22DD5" w:rsidP="00505108">
      <w:pPr>
        <w:pStyle w:val="normal0"/>
        <w:shd w:val="clear" w:color="auto" w:fill="FFFFFF"/>
        <w:spacing w:before="48" w:beforeAutospacing="0" w:after="48" w:afterAutospacing="0"/>
        <w:rPr>
          <w:color w:val="000000"/>
          <w:lang w:val="sr-Cyrl-CS"/>
        </w:rPr>
      </w:pPr>
    </w:p>
    <w:p w:rsidR="00A22DD5" w:rsidRDefault="00A22DD5" w:rsidP="00505108">
      <w:pPr>
        <w:pStyle w:val="normal0"/>
        <w:shd w:val="clear" w:color="auto" w:fill="FFFFFF"/>
        <w:spacing w:before="48" w:beforeAutospacing="0" w:after="48" w:afterAutospacing="0"/>
        <w:rPr>
          <w:color w:val="000000"/>
          <w:lang w:val="sr-Cyrl-CS"/>
        </w:rPr>
      </w:pPr>
    </w:p>
    <w:p w:rsidR="00A22DD5" w:rsidRDefault="00A22DD5" w:rsidP="00505108">
      <w:pPr>
        <w:pStyle w:val="normal0"/>
        <w:shd w:val="clear" w:color="auto" w:fill="FFFFFF"/>
        <w:spacing w:before="48" w:beforeAutospacing="0" w:after="48" w:afterAutospacing="0"/>
        <w:rPr>
          <w:color w:val="000000"/>
          <w:lang w:val="sr-Cyrl-CS"/>
        </w:rPr>
      </w:pPr>
    </w:p>
    <w:p w:rsidR="00A22DD5" w:rsidRDefault="00A22DD5" w:rsidP="00505108">
      <w:pPr>
        <w:pStyle w:val="normal0"/>
        <w:shd w:val="clear" w:color="auto" w:fill="FFFFFF"/>
        <w:spacing w:before="48" w:beforeAutospacing="0" w:after="48" w:afterAutospacing="0"/>
        <w:rPr>
          <w:color w:val="000000"/>
          <w:lang w:val="sr-Cyrl-CS"/>
        </w:rPr>
      </w:pPr>
    </w:p>
    <w:p w:rsidR="00A22DD5" w:rsidRDefault="00A22DD5" w:rsidP="00505108">
      <w:pPr>
        <w:pStyle w:val="normal0"/>
        <w:shd w:val="clear" w:color="auto" w:fill="FFFFFF"/>
        <w:spacing w:before="48" w:beforeAutospacing="0" w:after="48" w:afterAutospacing="0"/>
        <w:rPr>
          <w:color w:val="000000"/>
          <w:lang w:val="sr-Cyrl-CS"/>
        </w:rPr>
      </w:pPr>
    </w:p>
    <w:p w:rsidR="00A22DD5" w:rsidRDefault="00A22DD5" w:rsidP="00505108">
      <w:pPr>
        <w:pStyle w:val="normal0"/>
        <w:shd w:val="clear" w:color="auto" w:fill="FFFFFF"/>
        <w:spacing w:before="48" w:beforeAutospacing="0" w:after="48" w:afterAutospacing="0"/>
        <w:rPr>
          <w:color w:val="000000"/>
          <w:lang w:val="sr-Cyrl-CS"/>
        </w:rPr>
      </w:pPr>
    </w:p>
    <w:p w:rsidR="00A22DD5" w:rsidRDefault="00A22DD5" w:rsidP="00505108">
      <w:pPr>
        <w:pStyle w:val="normal0"/>
        <w:shd w:val="clear" w:color="auto" w:fill="FFFFFF"/>
        <w:spacing w:before="48" w:beforeAutospacing="0" w:after="48" w:afterAutospacing="0"/>
        <w:rPr>
          <w:color w:val="000000"/>
          <w:lang w:val="sr-Cyrl-CS"/>
        </w:rPr>
      </w:pPr>
    </w:p>
    <w:p w:rsidR="00A22DD5" w:rsidRDefault="00A22DD5" w:rsidP="00505108">
      <w:pPr>
        <w:pStyle w:val="normal0"/>
        <w:shd w:val="clear" w:color="auto" w:fill="FFFFFF"/>
        <w:spacing w:before="48" w:beforeAutospacing="0" w:after="48" w:afterAutospacing="0"/>
        <w:rPr>
          <w:color w:val="000000"/>
          <w:lang w:val="sr-Cyrl-CS"/>
        </w:rPr>
      </w:pPr>
    </w:p>
    <w:p w:rsidR="00A22DD5" w:rsidRDefault="00A22DD5" w:rsidP="00505108">
      <w:pPr>
        <w:pStyle w:val="normal0"/>
        <w:shd w:val="clear" w:color="auto" w:fill="FFFFFF"/>
        <w:spacing w:before="48" w:beforeAutospacing="0" w:after="48" w:afterAutospacing="0"/>
        <w:rPr>
          <w:color w:val="000000"/>
          <w:lang w:val="sr-Cyrl-CS"/>
        </w:rPr>
      </w:pPr>
    </w:p>
    <w:p w:rsidR="00A22DD5" w:rsidRDefault="00A22DD5" w:rsidP="00505108">
      <w:pPr>
        <w:pStyle w:val="normal0"/>
        <w:shd w:val="clear" w:color="auto" w:fill="FFFFFF"/>
        <w:spacing w:before="48" w:beforeAutospacing="0" w:after="48" w:afterAutospacing="0"/>
        <w:rPr>
          <w:color w:val="000000"/>
          <w:lang w:val="sr-Cyrl-CS"/>
        </w:rPr>
      </w:pPr>
    </w:p>
    <w:p w:rsidR="00A22DD5" w:rsidRDefault="00A22DD5" w:rsidP="00505108">
      <w:pPr>
        <w:pStyle w:val="normal0"/>
        <w:shd w:val="clear" w:color="auto" w:fill="FFFFFF"/>
        <w:spacing w:before="48" w:beforeAutospacing="0" w:after="48" w:afterAutospacing="0"/>
        <w:rPr>
          <w:color w:val="000000"/>
          <w:lang w:val="sr-Cyrl-CS"/>
        </w:rPr>
      </w:pPr>
    </w:p>
    <w:p w:rsidR="00A22DD5" w:rsidRPr="00A22DD5" w:rsidRDefault="00A22DD5" w:rsidP="00505108">
      <w:pPr>
        <w:pStyle w:val="normal0"/>
        <w:shd w:val="clear" w:color="auto" w:fill="FFFFFF"/>
        <w:spacing w:before="48" w:beforeAutospacing="0" w:after="48" w:afterAutospacing="0"/>
        <w:rPr>
          <w:color w:val="000000"/>
          <w:lang w:val="sr-Cyrl-CS"/>
        </w:rPr>
      </w:pPr>
    </w:p>
    <w:p w:rsidR="000C4553" w:rsidRDefault="000C4553" w:rsidP="00505108">
      <w:pPr>
        <w:pStyle w:val="normal0"/>
        <w:shd w:val="clear" w:color="auto" w:fill="FFFFFF"/>
        <w:spacing w:before="48" w:beforeAutospacing="0" w:after="48" w:afterAutospacing="0"/>
        <w:rPr>
          <w:color w:val="000000"/>
          <w:lang w:val="sr-Cyrl-CS"/>
        </w:rPr>
      </w:pPr>
    </w:p>
    <w:p w:rsidR="003A57BB" w:rsidRDefault="003A57BB" w:rsidP="00505108">
      <w:pPr>
        <w:pStyle w:val="normal0"/>
        <w:shd w:val="clear" w:color="auto" w:fill="FFFFFF"/>
        <w:spacing w:before="48" w:beforeAutospacing="0" w:after="48" w:afterAutospacing="0"/>
        <w:rPr>
          <w:color w:val="000000"/>
          <w:lang w:val="sr-Cyrl-CS"/>
        </w:rPr>
      </w:pPr>
    </w:p>
    <w:p w:rsidR="003A57BB" w:rsidRPr="003A57BB" w:rsidRDefault="003A57BB" w:rsidP="00505108">
      <w:pPr>
        <w:pStyle w:val="normal0"/>
        <w:shd w:val="clear" w:color="auto" w:fill="FFFFFF"/>
        <w:spacing w:before="48" w:beforeAutospacing="0" w:after="48" w:afterAutospacing="0"/>
        <w:rPr>
          <w:color w:val="000000"/>
          <w:lang w:val="sr-Cyrl-CS"/>
        </w:rPr>
      </w:pPr>
    </w:p>
    <w:p w:rsidR="00AC6785" w:rsidRPr="00060971" w:rsidRDefault="00A74A8E" w:rsidP="00060971">
      <w:pPr>
        <w:jc w:val="both"/>
        <w:rPr>
          <w:rFonts w:ascii="Times New Roman" w:hAnsi="Times New Roman"/>
          <w:sz w:val="24"/>
          <w:szCs w:val="24"/>
          <w:lang w:val="sr-Cyrl-CS"/>
        </w:rPr>
      </w:pPr>
      <w:r>
        <w:rPr>
          <w:rFonts w:ascii="Times New Roman" w:hAnsi="Times New Roman"/>
          <w:b/>
          <w:sz w:val="24"/>
          <w:szCs w:val="24"/>
          <w:lang w:val="sr-Cyrl-CS"/>
        </w:rPr>
        <w:lastRenderedPageBreak/>
        <w:t>Табела 4</w:t>
      </w:r>
      <w:r w:rsidR="00713DA8">
        <w:rPr>
          <w:rFonts w:ascii="Times New Roman" w:hAnsi="Times New Roman"/>
          <w:b/>
          <w:sz w:val="24"/>
          <w:szCs w:val="24"/>
          <w:lang w:val="sr-Cyrl-CS"/>
        </w:rPr>
        <w:t xml:space="preserve">. </w:t>
      </w:r>
      <w:r w:rsidR="00AC6785" w:rsidRPr="002A6BAE">
        <w:rPr>
          <w:rFonts w:ascii="Times New Roman" w:hAnsi="Times New Roman"/>
          <w:b/>
          <w:sz w:val="24"/>
          <w:szCs w:val="24"/>
          <w:lang w:val="sr-Cyrl-CS"/>
        </w:rPr>
        <w:t>Јавни приходи у 2009. и 2010. години ( у млрд. динара)</w:t>
      </w:r>
      <w:r w:rsidR="00060971" w:rsidRPr="00060971">
        <w:rPr>
          <w:rStyle w:val="FootnoteReference"/>
          <w:rFonts w:ascii="Times New Roman" w:hAnsi="Times New Roman"/>
          <w:sz w:val="24"/>
          <w:szCs w:val="24"/>
          <w:lang w:val="sr-Cyrl-CS"/>
        </w:rPr>
        <w:t xml:space="preserve"> </w:t>
      </w:r>
      <w:r w:rsidR="00060971">
        <w:rPr>
          <w:rStyle w:val="FootnoteReference"/>
          <w:rFonts w:ascii="Times New Roman" w:hAnsi="Times New Roman"/>
          <w:sz w:val="24"/>
          <w:szCs w:val="24"/>
          <w:lang w:val="sr-Cyrl-CS"/>
        </w:rPr>
        <w:footnoteReference w:id="231"/>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32"/>
        <w:gridCol w:w="1460"/>
        <w:gridCol w:w="1746"/>
        <w:gridCol w:w="1746"/>
        <w:gridCol w:w="1747"/>
      </w:tblGrid>
      <w:tr w:rsidR="00AC6785" w:rsidRPr="00EE4BFC" w:rsidTr="00102251">
        <w:trPr>
          <w:trHeight w:val="776"/>
        </w:trPr>
        <w:tc>
          <w:tcPr>
            <w:tcW w:w="2032" w:type="dxa"/>
          </w:tcPr>
          <w:p w:rsidR="00AC6785" w:rsidRPr="00EE4BFC" w:rsidRDefault="00AC6785" w:rsidP="00065FE5">
            <w:pPr>
              <w:jc w:val="both"/>
              <w:rPr>
                <w:rFonts w:ascii="Times New Roman" w:hAnsi="Times New Roman"/>
                <w:sz w:val="24"/>
                <w:szCs w:val="24"/>
                <w:lang w:val="sr-Cyrl-CS"/>
              </w:rPr>
            </w:pPr>
          </w:p>
        </w:tc>
        <w:tc>
          <w:tcPr>
            <w:tcW w:w="1460" w:type="dxa"/>
          </w:tcPr>
          <w:p w:rsidR="00AC6785" w:rsidRPr="00EE4BFC" w:rsidRDefault="00AC6785" w:rsidP="00065FE5">
            <w:pPr>
              <w:jc w:val="both"/>
              <w:rPr>
                <w:rFonts w:ascii="Times New Roman" w:hAnsi="Times New Roman"/>
                <w:sz w:val="24"/>
                <w:szCs w:val="24"/>
                <w:lang w:val="sr-Cyrl-CS"/>
              </w:rPr>
            </w:pPr>
            <w:r w:rsidRPr="00EE4BFC">
              <w:rPr>
                <w:rFonts w:ascii="Times New Roman" w:hAnsi="Times New Roman"/>
                <w:sz w:val="24"/>
                <w:szCs w:val="24"/>
                <w:lang w:val="sr-Cyrl-CS"/>
              </w:rPr>
              <w:t>2009.година</w:t>
            </w:r>
          </w:p>
        </w:tc>
        <w:tc>
          <w:tcPr>
            <w:tcW w:w="1746" w:type="dxa"/>
          </w:tcPr>
          <w:p w:rsidR="00AC6785" w:rsidRPr="00EE4BFC" w:rsidRDefault="00AC6785" w:rsidP="00065FE5">
            <w:pPr>
              <w:jc w:val="both"/>
              <w:rPr>
                <w:rFonts w:ascii="Times New Roman" w:hAnsi="Times New Roman"/>
                <w:sz w:val="24"/>
                <w:szCs w:val="24"/>
                <w:lang w:val="sr-Cyrl-CS"/>
              </w:rPr>
            </w:pPr>
            <w:r w:rsidRPr="00EE4BFC">
              <w:rPr>
                <w:rFonts w:ascii="Times New Roman" w:hAnsi="Times New Roman"/>
                <w:sz w:val="24"/>
                <w:szCs w:val="24"/>
                <w:lang w:val="sr-Cyrl-CS"/>
              </w:rPr>
              <w:t>2010.година</w:t>
            </w:r>
          </w:p>
        </w:tc>
        <w:tc>
          <w:tcPr>
            <w:tcW w:w="1746" w:type="dxa"/>
          </w:tcPr>
          <w:p w:rsidR="00AC6785" w:rsidRPr="00EE4BFC" w:rsidRDefault="00AC6785" w:rsidP="00065FE5">
            <w:pPr>
              <w:jc w:val="both"/>
              <w:rPr>
                <w:rFonts w:ascii="Times New Roman" w:hAnsi="Times New Roman"/>
                <w:sz w:val="24"/>
                <w:szCs w:val="24"/>
                <w:lang w:val="sr-Cyrl-CS"/>
              </w:rPr>
            </w:pPr>
            <w:r w:rsidRPr="00EE4BFC">
              <w:rPr>
                <w:rFonts w:ascii="Times New Roman" w:hAnsi="Times New Roman"/>
                <w:sz w:val="24"/>
                <w:szCs w:val="24"/>
                <w:lang w:val="sr-Cyrl-CS"/>
              </w:rPr>
              <w:t>Индекс номиналног раста</w:t>
            </w:r>
          </w:p>
        </w:tc>
        <w:tc>
          <w:tcPr>
            <w:tcW w:w="1747" w:type="dxa"/>
          </w:tcPr>
          <w:p w:rsidR="00AC6785" w:rsidRPr="00EE4BFC" w:rsidRDefault="00AC6785" w:rsidP="00065FE5">
            <w:pPr>
              <w:jc w:val="both"/>
              <w:rPr>
                <w:rFonts w:ascii="Times New Roman" w:hAnsi="Times New Roman"/>
                <w:sz w:val="24"/>
                <w:szCs w:val="24"/>
                <w:lang w:val="sr-Cyrl-CS"/>
              </w:rPr>
            </w:pPr>
            <w:r w:rsidRPr="00EE4BFC">
              <w:rPr>
                <w:rFonts w:ascii="Times New Roman" w:hAnsi="Times New Roman"/>
                <w:sz w:val="24"/>
                <w:szCs w:val="24"/>
                <w:lang w:val="sr-Cyrl-CS"/>
              </w:rPr>
              <w:t>Индекс реалног раста</w:t>
            </w:r>
          </w:p>
        </w:tc>
      </w:tr>
      <w:tr w:rsidR="00AC6785" w:rsidRPr="00EE4BFC" w:rsidTr="00102251">
        <w:trPr>
          <w:trHeight w:val="342"/>
        </w:trPr>
        <w:tc>
          <w:tcPr>
            <w:tcW w:w="2032" w:type="dxa"/>
          </w:tcPr>
          <w:p w:rsidR="00AC6785" w:rsidRPr="00EE4BFC" w:rsidRDefault="00AC6785" w:rsidP="00065FE5">
            <w:pPr>
              <w:jc w:val="both"/>
              <w:rPr>
                <w:rFonts w:ascii="Times New Roman" w:hAnsi="Times New Roman"/>
                <w:sz w:val="24"/>
                <w:szCs w:val="24"/>
                <w:lang w:val="sr-Cyrl-CS"/>
              </w:rPr>
            </w:pPr>
            <w:r w:rsidRPr="00EE4BFC">
              <w:rPr>
                <w:rFonts w:ascii="Times New Roman" w:hAnsi="Times New Roman"/>
                <w:sz w:val="24"/>
                <w:szCs w:val="24"/>
                <w:lang w:val="sr-Cyrl-CS"/>
              </w:rPr>
              <w:t>Јавни приходи</w:t>
            </w:r>
          </w:p>
        </w:tc>
        <w:tc>
          <w:tcPr>
            <w:tcW w:w="1460" w:type="dxa"/>
          </w:tcPr>
          <w:p w:rsidR="00AC6785" w:rsidRPr="00EE4BFC" w:rsidRDefault="00AC6785" w:rsidP="00065FE5">
            <w:pPr>
              <w:jc w:val="both"/>
              <w:rPr>
                <w:rFonts w:ascii="Times New Roman" w:hAnsi="Times New Roman"/>
                <w:sz w:val="24"/>
                <w:szCs w:val="24"/>
                <w:lang w:val="sr-Cyrl-CS"/>
              </w:rPr>
            </w:pPr>
            <w:r w:rsidRPr="00EE4BFC">
              <w:rPr>
                <w:rFonts w:ascii="Times New Roman" w:hAnsi="Times New Roman"/>
                <w:sz w:val="24"/>
                <w:szCs w:val="24"/>
                <w:lang w:val="sr-Cyrl-CS"/>
              </w:rPr>
              <w:t>1.146,5</w:t>
            </w:r>
          </w:p>
        </w:tc>
        <w:tc>
          <w:tcPr>
            <w:tcW w:w="1746" w:type="dxa"/>
          </w:tcPr>
          <w:p w:rsidR="00AC6785" w:rsidRPr="00EE4BFC" w:rsidRDefault="00AC6785" w:rsidP="00065FE5">
            <w:pPr>
              <w:jc w:val="both"/>
              <w:rPr>
                <w:rFonts w:ascii="Times New Roman" w:hAnsi="Times New Roman"/>
                <w:sz w:val="24"/>
                <w:szCs w:val="24"/>
                <w:lang w:val="sr-Cyrl-CS"/>
              </w:rPr>
            </w:pPr>
            <w:r w:rsidRPr="00EE4BFC">
              <w:rPr>
                <w:rFonts w:ascii="Times New Roman" w:hAnsi="Times New Roman"/>
                <w:sz w:val="24"/>
                <w:szCs w:val="24"/>
                <w:lang w:val="sr-Cyrl-CS"/>
              </w:rPr>
              <w:t>1.223,4</w:t>
            </w:r>
          </w:p>
        </w:tc>
        <w:tc>
          <w:tcPr>
            <w:tcW w:w="1746" w:type="dxa"/>
          </w:tcPr>
          <w:p w:rsidR="00AC6785" w:rsidRPr="00EE4BFC" w:rsidRDefault="00AC6785" w:rsidP="00065FE5">
            <w:pPr>
              <w:jc w:val="both"/>
              <w:rPr>
                <w:rFonts w:ascii="Times New Roman" w:hAnsi="Times New Roman"/>
                <w:sz w:val="24"/>
                <w:szCs w:val="24"/>
                <w:lang w:val="sr-Cyrl-CS"/>
              </w:rPr>
            </w:pPr>
            <w:r w:rsidRPr="00EE4BFC">
              <w:rPr>
                <w:rFonts w:ascii="Times New Roman" w:hAnsi="Times New Roman"/>
                <w:sz w:val="24"/>
                <w:szCs w:val="24"/>
                <w:lang w:val="sr-Cyrl-CS"/>
              </w:rPr>
              <w:t>106,7</w:t>
            </w:r>
          </w:p>
        </w:tc>
        <w:tc>
          <w:tcPr>
            <w:tcW w:w="1747" w:type="dxa"/>
          </w:tcPr>
          <w:p w:rsidR="00AC6785" w:rsidRPr="00EE4BFC" w:rsidRDefault="00AC6785" w:rsidP="00065FE5">
            <w:pPr>
              <w:jc w:val="both"/>
              <w:rPr>
                <w:rFonts w:ascii="Times New Roman" w:hAnsi="Times New Roman"/>
                <w:sz w:val="24"/>
                <w:szCs w:val="24"/>
                <w:lang w:val="sr-Cyrl-CS"/>
              </w:rPr>
            </w:pPr>
            <w:r w:rsidRPr="00EE4BFC">
              <w:rPr>
                <w:rFonts w:ascii="Times New Roman" w:hAnsi="Times New Roman"/>
                <w:sz w:val="24"/>
                <w:szCs w:val="24"/>
                <w:lang w:val="sr-Cyrl-CS"/>
              </w:rPr>
              <w:t>100,2</w:t>
            </w:r>
          </w:p>
        </w:tc>
      </w:tr>
      <w:tr w:rsidR="00AC6785" w:rsidRPr="00EE4BFC" w:rsidTr="00102251">
        <w:trPr>
          <w:trHeight w:val="554"/>
        </w:trPr>
        <w:tc>
          <w:tcPr>
            <w:tcW w:w="2032" w:type="dxa"/>
          </w:tcPr>
          <w:p w:rsidR="00AC6785" w:rsidRPr="00EE4BFC" w:rsidRDefault="00AC6785" w:rsidP="00065FE5">
            <w:pPr>
              <w:jc w:val="both"/>
              <w:rPr>
                <w:rFonts w:ascii="Times New Roman" w:hAnsi="Times New Roman"/>
                <w:sz w:val="24"/>
                <w:szCs w:val="24"/>
                <w:lang w:val="sr-Cyrl-CS"/>
              </w:rPr>
            </w:pPr>
            <w:r w:rsidRPr="00EE4BFC">
              <w:rPr>
                <w:rFonts w:ascii="Times New Roman" w:hAnsi="Times New Roman"/>
                <w:sz w:val="24"/>
                <w:szCs w:val="24"/>
                <w:lang w:val="sr-Cyrl-CS"/>
              </w:rPr>
              <w:t>Текући приходи</w:t>
            </w:r>
          </w:p>
        </w:tc>
        <w:tc>
          <w:tcPr>
            <w:tcW w:w="1460" w:type="dxa"/>
          </w:tcPr>
          <w:p w:rsidR="00AC6785" w:rsidRPr="00EE4BFC" w:rsidRDefault="00AC6785" w:rsidP="00065FE5">
            <w:pPr>
              <w:jc w:val="both"/>
              <w:rPr>
                <w:rFonts w:ascii="Times New Roman" w:hAnsi="Times New Roman"/>
                <w:sz w:val="24"/>
                <w:szCs w:val="24"/>
                <w:lang w:val="sr-Cyrl-CS"/>
              </w:rPr>
            </w:pPr>
            <w:r w:rsidRPr="00EE4BFC">
              <w:rPr>
                <w:rFonts w:ascii="Times New Roman" w:hAnsi="Times New Roman"/>
                <w:sz w:val="24"/>
                <w:szCs w:val="24"/>
                <w:lang w:val="sr-Cyrl-CS"/>
              </w:rPr>
              <w:t>1.139,8</w:t>
            </w:r>
          </w:p>
        </w:tc>
        <w:tc>
          <w:tcPr>
            <w:tcW w:w="1746" w:type="dxa"/>
          </w:tcPr>
          <w:p w:rsidR="00AC6785" w:rsidRPr="00EE4BFC" w:rsidRDefault="00AC6785" w:rsidP="00065FE5">
            <w:pPr>
              <w:jc w:val="both"/>
              <w:rPr>
                <w:rFonts w:ascii="Times New Roman" w:hAnsi="Times New Roman"/>
                <w:sz w:val="24"/>
                <w:szCs w:val="24"/>
                <w:lang w:val="sr-Cyrl-CS"/>
              </w:rPr>
            </w:pPr>
            <w:r w:rsidRPr="00EE4BFC">
              <w:rPr>
                <w:rFonts w:ascii="Times New Roman" w:hAnsi="Times New Roman"/>
                <w:sz w:val="24"/>
                <w:szCs w:val="24"/>
                <w:lang w:val="sr-Cyrl-CS"/>
              </w:rPr>
              <w:t>1.214,5</w:t>
            </w:r>
          </w:p>
        </w:tc>
        <w:tc>
          <w:tcPr>
            <w:tcW w:w="1746" w:type="dxa"/>
          </w:tcPr>
          <w:p w:rsidR="00AC6785" w:rsidRPr="00EE4BFC" w:rsidRDefault="00AC6785" w:rsidP="00065FE5">
            <w:pPr>
              <w:jc w:val="both"/>
              <w:rPr>
                <w:rFonts w:ascii="Times New Roman" w:hAnsi="Times New Roman"/>
                <w:sz w:val="24"/>
                <w:szCs w:val="24"/>
                <w:lang w:val="sr-Cyrl-CS"/>
              </w:rPr>
            </w:pPr>
            <w:r w:rsidRPr="00EE4BFC">
              <w:rPr>
                <w:rFonts w:ascii="Times New Roman" w:hAnsi="Times New Roman"/>
                <w:sz w:val="24"/>
                <w:szCs w:val="24"/>
                <w:lang w:val="sr-Cyrl-CS"/>
              </w:rPr>
              <w:t>106,5</w:t>
            </w:r>
          </w:p>
        </w:tc>
        <w:tc>
          <w:tcPr>
            <w:tcW w:w="1747" w:type="dxa"/>
          </w:tcPr>
          <w:p w:rsidR="00AC6785" w:rsidRPr="00EE4BFC" w:rsidRDefault="00AC6785" w:rsidP="00065FE5">
            <w:pPr>
              <w:jc w:val="both"/>
              <w:rPr>
                <w:rFonts w:ascii="Times New Roman" w:hAnsi="Times New Roman"/>
                <w:sz w:val="24"/>
                <w:szCs w:val="24"/>
                <w:lang w:val="sr-Cyrl-CS"/>
              </w:rPr>
            </w:pPr>
            <w:r w:rsidRPr="00EE4BFC">
              <w:rPr>
                <w:rFonts w:ascii="Times New Roman" w:hAnsi="Times New Roman"/>
                <w:sz w:val="24"/>
                <w:szCs w:val="24"/>
                <w:lang w:val="sr-Cyrl-CS"/>
              </w:rPr>
              <w:t>100,0</w:t>
            </w:r>
          </w:p>
        </w:tc>
      </w:tr>
      <w:tr w:rsidR="00AC6785" w:rsidRPr="00EE4BFC" w:rsidTr="00102251">
        <w:trPr>
          <w:trHeight w:val="565"/>
        </w:trPr>
        <w:tc>
          <w:tcPr>
            <w:tcW w:w="2032" w:type="dxa"/>
          </w:tcPr>
          <w:p w:rsidR="00AC6785" w:rsidRPr="00EE4BFC" w:rsidRDefault="00AC6785" w:rsidP="00065FE5">
            <w:pPr>
              <w:jc w:val="both"/>
              <w:rPr>
                <w:rFonts w:ascii="Times New Roman" w:hAnsi="Times New Roman"/>
                <w:sz w:val="24"/>
                <w:szCs w:val="24"/>
                <w:lang w:val="sr-Cyrl-CS"/>
              </w:rPr>
            </w:pPr>
            <w:r w:rsidRPr="00EE4BFC">
              <w:rPr>
                <w:rFonts w:ascii="Times New Roman" w:hAnsi="Times New Roman"/>
                <w:sz w:val="24"/>
                <w:szCs w:val="24"/>
                <w:lang w:val="sr-Cyrl-CS"/>
              </w:rPr>
              <w:t>Порески приходи</w:t>
            </w:r>
          </w:p>
        </w:tc>
        <w:tc>
          <w:tcPr>
            <w:tcW w:w="1460" w:type="dxa"/>
          </w:tcPr>
          <w:p w:rsidR="00AC6785" w:rsidRPr="00EE4BFC" w:rsidRDefault="00AC6785" w:rsidP="00065FE5">
            <w:pPr>
              <w:jc w:val="both"/>
              <w:rPr>
                <w:rFonts w:ascii="Times New Roman" w:hAnsi="Times New Roman"/>
                <w:sz w:val="24"/>
                <w:szCs w:val="24"/>
                <w:lang w:val="sr-Cyrl-CS"/>
              </w:rPr>
            </w:pPr>
            <w:r w:rsidRPr="00EE4BFC">
              <w:rPr>
                <w:rFonts w:ascii="Times New Roman" w:hAnsi="Times New Roman"/>
                <w:sz w:val="24"/>
                <w:szCs w:val="24"/>
                <w:lang w:val="sr-Cyrl-CS"/>
              </w:rPr>
              <w:t>1.000,3</w:t>
            </w:r>
          </w:p>
        </w:tc>
        <w:tc>
          <w:tcPr>
            <w:tcW w:w="1746" w:type="dxa"/>
          </w:tcPr>
          <w:p w:rsidR="00AC6785" w:rsidRPr="00EE4BFC" w:rsidRDefault="00AC6785" w:rsidP="00065FE5">
            <w:pPr>
              <w:jc w:val="both"/>
              <w:rPr>
                <w:rFonts w:ascii="Times New Roman" w:hAnsi="Times New Roman"/>
                <w:sz w:val="24"/>
                <w:szCs w:val="24"/>
                <w:lang w:val="sr-Cyrl-CS"/>
              </w:rPr>
            </w:pPr>
            <w:r w:rsidRPr="00EE4BFC">
              <w:rPr>
                <w:rFonts w:ascii="Times New Roman" w:hAnsi="Times New Roman"/>
                <w:sz w:val="24"/>
                <w:szCs w:val="24"/>
                <w:lang w:val="sr-Cyrl-CS"/>
              </w:rPr>
              <w:t>1056,5</w:t>
            </w:r>
          </w:p>
        </w:tc>
        <w:tc>
          <w:tcPr>
            <w:tcW w:w="1746" w:type="dxa"/>
          </w:tcPr>
          <w:p w:rsidR="00AC6785" w:rsidRPr="00EE4BFC" w:rsidRDefault="00AC6785" w:rsidP="00065FE5">
            <w:pPr>
              <w:jc w:val="both"/>
              <w:rPr>
                <w:rFonts w:ascii="Times New Roman" w:hAnsi="Times New Roman"/>
                <w:sz w:val="24"/>
                <w:szCs w:val="24"/>
                <w:lang w:val="sr-Cyrl-CS"/>
              </w:rPr>
            </w:pPr>
            <w:r w:rsidRPr="00EE4BFC">
              <w:rPr>
                <w:rFonts w:ascii="Times New Roman" w:hAnsi="Times New Roman"/>
                <w:sz w:val="24"/>
                <w:szCs w:val="24"/>
                <w:lang w:val="sr-Cyrl-CS"/>
              </w:rPr>
              <w:t>105,6</w:t>
            </w:r>
          </w:p>
        </w:tc>
        <w:tc>
          <w:tcPr>
            <w:tcW w:w="1747" w:type="dxa"/>
          </w:tcPr>
          <w:p w:rsidR="00AC6785" w:rsidRPr="00EE4BFC" w:rsidRDefault="00AC6785" w:rsidP="00065FE5">
            <w:pPr>
              <w:jc w:val="both"/>
              <w:rPr>
                <w:rFonts w:ascii="Times New Roman" w:hAnsi="Times New Roman"/>
                <w:sz w:val="24"/>
                <w:szCs w:val="24"/>
                <w:lang w:val="sr-Cyrl-CS"/>
              </w:rPr>
            </w:pPr>
            <w:r w:rsidRPr="00EE4BFC">
              <w:rPr>
                <w:rFonts w:ascii="Times New Roman" w:hAnsi="Times New Roman"/>
                <w:sz w:val="24"/>
                <w:szCs w:val="24"/>
                <w:lang w:val="sr-Cyrl-CS"/>
              </w:rPr>
              <w:t>99,2</w:t>
            </w:r>
          </w:p>
        </w:tc>
      </w:tr>
      <w:tr w:rsidR="00AC6785" w:rsidRPr="00EE4BFC" w:rsidTr="00102251">
        <w:trPr>
          <w:trHeight w:val="766"/>
        </w:trPr>
        <w:tc>
          <w:tcPr>
            <w:tcW w:w="2032" w:type="dxa"/>
          </w:tcPr>
          <w:p w:rsidR="00AC6785" w:rsidRPr="00EE4BFC" w:rsidRDefault="00AC6785" w:rsidP="00065FE5">
            <w:pPr>
              <w:jc w:val="both"/>
              <w:rPr>
                <w:rFonts w:ascii="Times New Roman" w:hAnsi="Times New Roman"/>
                <w:sz w:val="24"/>
                <w:szCs w:val="24"/>
                <w:lang w:val="sr-Cyrl-CS"/>
              </w:rPr>
            </w:pPr>
            <w:r w:rsidRPr="00EE4BFC">
              <w:rPr>
                <w:rFonts w:ascii="Times New Roman" w:hAnsi="Times New Roman"/>
                <w:sz w:val="24"/>
                <w:szCs w:val="24"/>
                <w:lang w:val="sr-Cyrl-CS"/>
              </w:rPr>
              <w:t>Порез на доходак грађана</w:t>
            </w:r>
          </w:p>
        </w:tc>
        <w:tc>
          <w:tcPr>
            <w:tcW w:w="1460" w:type="dxa"/>
          </w:tcPr>
          <w:p w:rsidR="00AC6785" w:rsidRPr="00EE4BFC" w:rsidRDefault="00AC6785" w:rsidP="00065FE5">
            <w:pPr>
              <w:jc w:val="both"/>
              <w:rPr>
                <w:rFonts w:ascii="Times New Roman" w:hAnsi="Times New Roman"/>
                <w:sz w:val="24"/>
                <w:szCs w:val="24"/>
                <w:lang w:val="sr-Cyrl-CS"/>
              </w:rPr>
            </w:pPr>
            <w:r w:rsidRPr="00EE4BFC">
              <w:rPr>
                <w:rFonts w:ascii="Times New Roman" w:hAnsi="Times New Roman"/>
                <w:sz w:val="24"/>
                <w:szCs w:val="24"/>
                <w:lang w:val="sr-Cyrl-CS"/>
              </w:rPr>
              <w:t>133,5</w:t>
            </w:r>
          </w:p>
        </w:tc>
        <w:tc>
          <w:tcPr>
            <w:tcW w:w="1746" w:type="dxa"/>
          </w:tcPr>
          <w:p w:rsidR="00AC6785" w:rsidRPr="00EE4BFC" w:rsidRDefault="00AC6785" w:rsidP="00065FE5">
            <w:pPr>
              <w:jc w:val="both"/>
              <w:rPr>
                <w:rFonts w:ascii="Times New Roman" w:hAnsi="Times New Roman"/>
                <w:sz w:val="24"/>
                <w:szCs w:val="24"/>
                <w:lang w:val="sr-Cyrl-CS"/>
              </w:rPr>
            </w:pPr>
            <w:r w:rsidRPr="00EE4BFC">
              <w:rPr>
                <w:rFonts w:ascii="Times New Roman" w:hAnsi="Times New Roman"/>
                <w:sz w:val="24"/>
                <w:szCs w:val="24"/>
                <w:lang w:val="sr-Cyrl-CS"/>
              </w:rPr>
              <w:t>139,1</w:t>
            </w:r>
          </w:p>
        </w:tc>
        <w:tc>
          <w:tcPr>
            <w:tcW w:w="1746" w:type="dxa"/>
          </w:tcPr>
          <w:p w:rsidR="00AC6785" w:rsidRPr="00EE4BFC" w:rsidRDefault="00AC6785" w:rsidP="00065FE5">
            <w:pPr>
              <w:jc w:val="both"/>
              <w:rPr>
                <w:rFonts w:ascii="Times New Roman" w:hAnsi="Times New Roman"/>
                <w:sz w:val="24"/>
                <w:szCs w:val="24"/>
                <w:lang w:val="sr-Cyrl-CS"/>
              </w:rPr>
            </w:pPr>
            <w:r w:rsidRPr="00EE4BFC">
              <w:rPr>
                <w:rFonts w:ascii="Times New Roman" w:hAnsi="Times New Roman"/>
                <w:sz w:val="24"/>
                <w:szCs w:val="24"/>
                <w:lang w:val="sr-Cyrl-CS"/>
              </w:rPr>
              <w:t>104,2</w:t>
            </w:r>
          </w:p>
        </w:tc>
        <w:tc>
          <w:tcPr>
            <w:tcW w:w="1747" w:type="dxa"/>
          </w:tcPr>
          <w:p w:rsidR="00AC6785" w:rsidRPr="00EE4BFC" w:rsidRDefault="00AC6785" w:rsidP="00065FE5">
            <w:pPr>
              <w:jc w:val="both"/>
              <w:rPr>
                <w:rFonts w:ascii="Times New Roman" w:hAnsi="Times New Roman"/>
                <w:sz w:val="24"/>
                <w:szCs w:val="24"/>
                <w:lang w:val="sr-Cyrl-CS"/>
              </w:rPr>
            </w:pPr>
            <w:r w:rsidRPr="00EE4BFC">
              <w:rPr>
                <w:rFonts w:ascii="Times New Roman" w:hAnsi="Times New Roman"/>
                <w:sz w:val="24"/>
                <w:szCs w:val="24"/>
                <w:lang w:val="sr-Cyrl-CS"/>
              </w:rPr>
              <w:t>97,8</w:t>
            </w:r>
          </w:p>
        </w:tc>
      </w:tr>
      <w:tr w:rsidR="00AC6785" w:rsidRPr="00EE4BFC" w:rsidTr="00102251">
        <w:trPr>
          <w:trHeight w:val="342"/>
        </w:trPr>
        <w:tc>
          <w:tcPr>
            <w:tcW w:w="2032" w:type="dxa"/>
          </w:tcPr>
          <w:p w:rsidR="00AC6785" w:rsidRPr="00EE4BFC" w:rsidRDefault="00AC6785" w:rsidP="00065FE5">
            <w:pPr>
              <w:jc w:val="both"/>
              <w:rPr>
                <w:rFonts w:ascii="Times New Roman" w:hAnsi="Times New Roman"/>
                <w:sz w:val="24"/>
                <w:szCs w:val="24"/>
                <w:lang w:val="sr-Cyrl-CS"/>
              </w:rPr>
            </w:pPr>
            <w:r w:rsidRPr="00EE4BFC">
              <w:rPr>
                <w:rFonts w:ascii="Times New Roman" w:hAnsi="Times New Roman"/>
                <w:sz w:val="24"/>
                <w:szCs w:val="24"/>
                <w:lang w:val="sr-Cyrl-CS"/>
              </w:rPr>
              <w:t>Порез на добит</w:t>
            </w:r>
          </w:p>
        </w:tc>
        <w:tc>
          <w:tcPr>
            <w:tcW w:w="1460" w:type="dxa"/>
          </w:tcPr>
          <w:p w:rsidR="00AC6785" w:rsidRPr="00EE4BFC" w:rsidRDefault="00AC6785" w:rsidP="00065FE5">
            <w:pPr>
              <w:jc w:val="both"/>
              <w:rPr>
                <w:rFonts w:ascii="Times New Roman" w:hAnsi="Times New Roman"/>
                <w:sz w:val="24"/>
                <w:szCs w:val="24"/>
                <w:lang w:val="sr-Cyrl-CS"/>
              </w:rPr>
            </w:pPr>
            <w:r w:rsidRPr="00EE4BFC">
              <w:rPr>
                <w:rFonts w:ascii="Times New Roman" w:hAnsi="Times New Roman"/>
                <w:sz w:val="24"/>
                <w:szCs w:val="24"/>
                <w:lang w:val="sr-Cyrl-CS"/>
              </w:rPr>
              <w:t>31,2</w:t>
            </w:r>
          </w:p>
        </w:tc>
        <w:tc>
          <w:tcPr>
            <w:tcW w:w="1746" w:type="dxa"/>
          </w:tcPr>
          <w:p w:rsidR="00AC6785" w:rsidRPr="00EE4BFC" w:rsidRDefault="00AC6785" w:rsidP="00065FE5">
            <w:pPr>
              <w:jc w:val="both"/>
              <w:rPr>
                <w:rFonts w:ascii="Times New Roman" w:hAnsi="Times New Roman"/>
                <w:sz w:val="24"/>
                <w:szCs w:val="24"/>
                <w:lang w:val="sr-Cyrl-CS"/>
              </w:rPr>
            </w:pPr>
            <w:r w:rsidRPr="00EE4BFC">
              <w:rPr>
                <w:rFonts w:ascii="Times New Roman" w:hAnsi="Times New Roman"/>
                <w:sz w:val="24"/>
                <w:szCs w:val="24"/>
                <w:lang w:val="sr-Cyrl-CS"/>
              </w:rPr>
              <w:t>32,6</w:t>
            </w:r>
          </w:p>
        </w:tc>
        <w:tc>
          <w:tcPr>
            <w:tcW w:w="1746" w:type="dxa"/>
          </w:tcPr>
          <w:p w:rsidR="00AC6785" w:rsidRPr="00EE4BFC" w:rsidRDefault="00AC6785" w:rsidP="00065FE5">
            <w:pPr>
              <w:jc w:val="both"/>
              <w:rPr>
                <w:rFonts w:ascii="Times New Roman" w:hAnsi="Times New Roman"/>
                <w:sz w:val="24"/>
                <w:szCs w:val="24"/>
                <w:lang w:val="sr-Cyrl-CS"/>
              </w:rPr>
            </w:pPr>
            <w:r w:rsidRPr="00EE4BFC">
              <w:rPr>
                <w:rFonts w:ascii="Times New Roman" w:hAnsi="Times New Roman"/>
                <w:sz w:val="24"/>
                <w:szCs w:val="24"/>
                <w:lang w:val="sr-Cyrl-CS"/>
              </w:rPr>
              <w:t>104,4</w:t>
            </w:r>
          </w:p>
        </w:tc>
        <w:tc>
          <w:tcPr>
            <w:tcW w:w="1747" w:type="dxa"/>
          </w:tcPr>
          <w:p w:rsidR="00AC6785" w:rsidRPr="00EE4BFC" w:rsidRDefault="00AC6785" w:rsidP="00065FE5">
            <w:pPr>
              <w:jc w:val="both"/>
              <w:rPr>
                <w:rFonts w:ascii="Times New Roman" w:hAnsi="Times New Roman"/>
                <w:sz w:val="24"/>
                <w:szCs w:val="24"/>
                <w:lang w:val="sr-Cyrl-CS"/>
              </w:rPr>
            </w:pPr>
            <w:r w:rsidRPr="00EE4BFC">
              <w:rPr>
                <w:rFonts w:ascii="Times New Roman" w:hAnsi="Times New Roman"/>
                <w:sz w:val="24"/>
                <w:szCs w:val="24"/>
                <w:lang w:val="sr-Cyrl-CS"/>
              </w:rPr>
              <w:t>98,0</w:t>
            </w:r>
          </w:p>
        </w:tc>
      </w:tr>
      <w:tr w:rsidR="00AC6785" w:rsidRPr="00EE4BFC" w:rsidTr="00102251">
        <w:trPr>
          <w:trHeight w:val="776"/>
        </w:trPr>
        <w:tc>
          <w:tcPr>
            <w:tcW w:w="2032" w:type="dxa"/>
          </w:tcPr>
          <w:p w:rsidR="00AC6785" w:rsidRPr="00EE4BFC" w:rsidRDefault="00AC6785" w:rsidP="00065FE5">
            <w:pPr>
              <w:jc w:val="both"/>
              <w:rPr>
                <w:rFonts w:ascii="Times New Roman" w:hAnsi="Times New Roman"/>
                <w:sz w:val="24"/>
                <w:szCs w:val="24"/>
                <w:lang w:val="sr-Cyrl-CS"/>
              </w:rPr>
            </w:pPr>
            <w:r w:rsidRPr="00EE4BFC">
              <w:rPr>
                <w:rFonts w:ascii="Times New Roman" w:hAnsi="Times New Roman"/>
                <w:sz w:val="24"/>
                <w:szCs w:val="24"/>
                <w:lang w:val="sr-Cyrl-CS"/>
              </w:rPr>
              <w:t>Порез на додату вредност</w:t>
            </w:r>
          </w:p>
        </w:tc>
        <w:tc>
          <w:tcPr>
            <w:tcW w:w="1460" w:type="dxa"/>
          </w:tcPr>
          <w:p w:rsidR="00AC6785" w:rsidRPr="00EE4BFC" w:rsidRDefault="00AC6785" w:rsidP="00065FE5">
            <w:pPr>
              <w:jc w:val="both"/>
              <w:rPr>
                <w:rFonts w:ascii="Times New Roman" w:hAnsi="Times New Roman"/>
                <w:sz w:val="24"/>
                <w:szCs w:val="24"/>
                <w:lang w:val="sr-Cyrl-CS"/>
              </w:rPr>
            </w:pPr>
            <w:r w:rsidRPr="00EE4BFC">
              <w:rPr>
                <w:rFonts w:ascii="Times New Roman" w:hAnsi="Times New Roman"/>
                <w:sz w:val="24"/>
                <w:szCs w:val="24"/>
                <w:lang w:val="sr-Cyrl-CS"/>
              </w:rPr>
              <w:t>296,9</w:t>
            </w:r>
          </w:p>
        </w:tc>
        <w:tc>
          <w:tcPr>
            <w:tcW w:w="1746" w:type="dxa"/>
          </w:tcPr>
          <w:p w:rsidR="00AC6785" w:rsidRPr="00EE4BFC" w:rsidRDefault="00AC6785" w:rsidP="00065FE5">
            <w:pPr>
              <w:jc w:val="both"/>
              <w:rPr>
                <w:rFonts w:ascii="Times New Roman" w:hAnsi="Times New Roman"/>
                <w:sz w:val="24"/>
                <w:szCs w:val="24"/>
                <w:lang w:val="sr-Cyrl-CS"/>
              </w:rPr>
            </w:pPr>
            <w:r w:rsidRPr="00EE4BFC">
              <w:rPr>
                <w:rFonts w:ascii="Times New Roman" w:hAnsi="Times New Roman"/>
                <w:sz w:val="24"/>
                <w:szCs w:val="24"/>
                <w:lang w:val="sr-Cyrl-CS"/>
              </w:rPr>
              <w:t>319,4</w:t>
            </w:r>
          </w:p>
        </w:tc>
        <w:tc>
          <w:tcPr>
            <w:tcW w:w="1746" w:type="dxa"/>
          </w:tcPr>
          <w:p w:rsidR="00AC6785" w:rsidRPr="00EE4BFC" w:rsidRDefault="00AC6785" w:rsidP="00065FE5">
            <w:pPr>
              <w:jc w:val="both"/>
              <w:rPr>
                <w:rFonts w:ascii="Times New Roman" w:hAnsi="Times New Roman"/>
                <w:sz w:val="24"/>
                <w:szCs w:val="24"/>
                <w:lang w:val="sr-Cyrl-CS"/>
              </w:rPr>
            </w:pPr>
            <w:r w:rsidRPr="00EE4BFC">
              <w:rPr>
                <w:rFonts w:ascii="Times New Roman" w:hAnsi="Times New Roman"/>
                <w:sz w:val="24"/>
                <w:szCs w:val="24"/>
                <w:lang w:val="sr-Cyrl-CS"/>
              </w:rPr>
              <w:t>107,6</w:t>
            </w:r>
          </w:p>
        </w:tc>
        <w:tc>
          <w:tcPr>
            <w:tcW w:w="1747" w:type="dxa"/>
          </w:tcPr>
          <w:p w:rsidR="00AC6785" w:rsidRPr="00EE4BFC" w:rsidRDefault="00AC6785" w:rsidP="00065FE5">
            <w:pPr>
              <w:jc w:val="both"/>
              <w:rPr>
                <w:rFonts w:ascii="Times New Roman" w:hAnsi="Times New Roman"/>
                <w:sz w:val="24"/>
                <w:szCs w:val="24"/>
                <w:lang w:val="sr-Cyrl-CS"/>
              </w:rPr>
            </w:pPr>
            <w:r w:rsidRPr="00EE4BFC">
              <w:rPr>
                <w:rFonts w:ascii="Times New Roman" w:hAnsi="Times New Roman"/>
                <w:sz w:val="24"/>
                <w:szCs w:val="24"/>
                <w:lang w:val="sr-Cyrl-CS"/>
              </w:rPr>
              <w:t>101,0</w:t>
            </w:r>
          </w:p>
        </w:tc>
      </w:tr>
      <w:tr w:rsidR="00AC6785" w:rsidRPr="00EE4BFC" w:rsidTr="00102251">
        <w:trPr>
          <w:trHeight w:val="342"/>
        </w:trPr>
        <w:tc>
          <w:tcPr>
            <w:tcW w:w="2032" w:type="dxa"/>
          </w:tcPr>
          <w:p w:rsidR="00AC6785" w:rsidRPr="00EE4BFC" w:rsidRDefault="00AC6785" w:rsidP="00065FE5">
            <w:pPr>
              <w:jc w:val="both"/>
              <w:rPr>
                <w:rFonts w:ascii="Times New Roman" w:hAnsi="Times New Roman"/>
                <w:sz w:val="24"/>
                <w:szCs w:val="24"/>
                <w:lang w:val="sr-Cyrl-CS"/>
              </w:rPr>
            </w:pPr>
            <w:r w:rsidRPr="00EE4BFC">
              <w:rPr>
                <w:rFonts w:ascii="Times New Roman" w:hAnsi="Times New Roman"/>
                <w:sz w:val="24"/>
                <w:szCs w:val="24"/>
                <w:lang w:val="sr-Cyrl-CS"/>
              </w:rPr>
              <w:t>акцизе</w:t>
            </w:r>
          </w:p>
        </w:tc>
        <w:tc>
          <w:tcPr>
            <w:tcW w:w="1460" w:type="dxa"/>
          </w:tcPr>
          <w:p w:rsidR="00AC6785" w:rsidRPr="00EE4BFC" w:rsidRDefault="00AC6785" w:rsidP="00065FE5">
            <w:pPr>
              <w:jc w:val="both"/>
              <w:rPr>
                <w:rFonts w:ascii="Times New Roman" w:hAnsi="Times New Roman"/>
                <w:sz w:val="24"/>
                <w:szCs w:val="24"/>
                <w:lang w:val="sr-Cyrl-CS"/>
              </w:rPr>
            </w:pPr>
            <w:r w:rsidRPr="00EE4BFC">
              <w:rPr>
                <w:rFonts w:ascii="Times New Roman" w:hAnsi="Times New Roman"/>
                <w:sz w:val="24"/>
                <w:szCs w:val="24"/>
                <w:lang w:val="sr-Cyrl-CS"/>
              </w:rPr>
              <w:t>134,8</w:t>
            </w:r>
          </w:p>
        </w:tc>
        <w:tc>
          <w:tcPr>
            <w:tcW w:w="1746" w:type="dxa"/>
          </w:tcPr>
          <w:p w:rsidR="00AC6785" w:rsidRPr="00EE4BFC" w:rsidRDefault="00AC6785" w:rsidP="00065FE5">
            <w:pPr>
              <w:jc w:val="both"/>
              <w:rPr>
                <w:rFonts w:ascii="Times New Roman" w:hAnsi="Times New Roman"/>
                <w:sz w:val="24"/>
                <w:szCs w:val="24"/>
                <w:lang w:val="sr-Cyrl-CS"/>
              </w:rPr>
            </w:pPr>
            <w:r w:rsidRPr="00EE4BFC">
              <w:rPr>
                <w:rFonts w:ascii="Times New Roman" w:hAnsi="Times New Roman"/>
                <w:sz w:val="24"/>
                <w:szCs w:val="24"/>
                <w:lang w:val="sr-Cyrl-CS"/>
              </w:rPr>
              <w:t>152,2</w:t>
            </w:r>
          </w:p>
        </w:tc>
        <w:tc>
          <w:tcPr>
            <w:tcW w:w="1746" w:type="dxa"/>
          </w:tcPr>
          <w:p w:rsidR="00AC6785" w:rsidRPr="00EE4BFC" w:rsidRDefault="00AC6785" w:rsidP="00065FE5">
            <w:pPr>
              <w:jc w:val="both"/>
              <w:rPr>
                <w:rFonts w:ascii="Times New Roman" w:hAnsi="Times New Roman"/>
                <w:sz w:val="24"/>
                <w:szCs w:val="24"/>
                <w:lang w:val="sr-Cyrl-CS"/>
              </w:rPr>
            </w:pPr>
            <w:r w:rsidRPr="00EE4BFC">
              <w:rPr>
                <w:rFonts w:ascii="Times New Roman" w:hAnsi="Times New Roman"/>
                <w:sz w:val="24"/>
                <w:szCs w:val="24"/>
                <w:lang w:val="sr-Cyrl-CS"/>
              </w:rPr>
              <w:t>112,9</w:t>
            </w:r>
          </w:p>
        </w:tc>
        <w:tc>
          <w:tcPr>
            <w:tcW w:w="1747" w:type="dxa"/>
          </w:tcPr>
          <w:p w:rsidR="00AC6785" w:rsidRPr="00EE4BFC" w:rsidRDefault="00AC6785" w:rsidP="00065FE5">
            <w:pPr>
              <w:jc w:val="both"/>
              <w:rPr>
                <w:rFonts w:ascii="Times New Roman" w:hAnsi="Times New Roman"/>
                <w:sz w:val="24"/>
                <w:szCs w:val="24"/>
                <w:lang w:val="sr-Cyrl-CS"/>
              </w:rPr>
            </w:pPr>
            <w:r w:rsidRPr="00EE4BFC">
              <w:rPr>
                <w:rFonts w:ascii="Times New Roman" w:hAnsi="Times New Roman"/>
                <w:sz w:val="24"/>
                <w:szCs w:val="24"/>
                <w:lang w:val="sr-Cyrl-CS"/>
              </w:rPr>
              <w:t>106,0</w:t>
            </w:r>
          </w:p>
        </w:tc>
      </w:tr>
      <w:tr w:rsidR="00AC6785" w:rsidRPr="00EE4BFC" w:rsidTr="00102251">
        <w:trPr>
          <w:trHeight w:val="342"/>
        </w:trPr>
        <w:tc>
          <w:tcPr>
            <w:tcW w:w="2032" w:type="dxa"/>
          </w:tcPr>
          <w:p w:rsidR="00AC6785" w:rsidRPr="00EE4BFC" w:rsidRDefault="00AC6785" w:rsidP="00065FE5">
            <w:pPr>
              <w:jc w:val="both"/>
              <w:rPr>
                <w:rFonts w:ascii="Times New Roman" w:hAnsi="Times New Roman"/>
                <w:sz w:val="24"/>
                <w:szCs w:val="24"/>
                <w:lang w:val="sr-Cyrl-CS"/>
              </w:rPr>
            </w:pPr>
            <w:r w:rsidRPr="00EE4BFC">
              <w:rPr>
                <w:rFonts w:ascii="Times New Roman" w:hAnsi="Times New Roman"/>
                <w:sz w:val="24"/>
                <w:szCs w:val="24"/>
                <w:lang w:val="sr-Cyrl-CS"/>
              </w:rPr>
              <w:t>царине</w:t>
            </w:r>
          </w:p>
        </w:tc>
        <w:tc>
          <w:tcPr>
            <w:tcW w:w="1460" w:type="dxa"/>
          </w:tcPr>
          <w:p w:rsidR="00AC6785" w:rsidRPr="00EE4BFC" w:rsidRDefault="00AC6785" w:rsidP="00065FE5">
            <w:pPr>
              <w:jc w:val="both"/>
              <w:rPr>
                <w:rFonts w:ascii="Times New Roman" w:hAnsi="Times New Roman"/>
                <w:sz w:val="24"/>
                <w:szCs w:val="24"/>
                <w:lang w:val="sr-Cyrl-CS"/>
              </w:rPr>
            </w:pPr>
            <w:r w:rsidRPr="00EE4BFC">
              <w:rPr>
                <w:rFonts w:ascii="Times New Roman" w:hAnsi="Times New Roman"/>
                <w:sz w:val="24"/>
                <w:szCs w:val="24"/>
                <w:lang w:val="sr-Cyrl-CS"/>
              </w:rPr>
              <w:t>48,0</w:t>
            </w:r>
          </w:p>
        </w:tc>
        <w:tc>
          <w:tcPr>
            <w:tcW w:w="1746" w:type="dxa"/>
          </w:tcPr>
          <w:p w:rsidR="00AC6785" w:rsidRPr="00EE4BFC" w:rsidRDefault="00AC6785" w:rsidP="00065FE5">
            <w:pPr>
              <w:jc w:val="both"/>
              <w:rPr>
                <w:rFonts w:ascii="Times New Roman" w:hAnsi="Times New Roman"/>
                <w:sz w:val="24"/>
                <w:szCs w:val="24"/>
                <w:lang w:val="sr-Cyrl-CS"/>
              </w:rPr>
            </w:pPr>
            <w:r w:rsidRPr="00EE4BFC">
              <w:rPr>
                <w:rFonts w:ascii="Times New Roman" w:hAnsi="Times New Roman"/>
                <w:sz w:val="24"/>
                <w:szCs w:val="24"/>
                <w:lang w:val="sr-Cyrl-CS"/>
              </w:rPr>
              <w:t>44,3</w:t>
            </w:r>
          </w:p>
        </w:tc>
        <w:tc>
          <w:tcPr>
            <w:tcW w:w="1746" w:type="dxa"/>
          </w:tcPr>
          <w:p w:rsidR="00AC6785" w:rsidRPr="00EE4BFC" w:rsidRDefault="00AC6785" w:rsidP="00065FE5">
            <w:pPr>
              <w:jc w:val="both"/>
              <w:rPr>
                <w:rFonts w:ascii="Times New Roman" w:hAnsi="Times New Roman"/>
                <w:sz w:val="24"/>
                <w:szCs w:val="24"/>
                <w:lang w:val="sr-Cyrl-CS"/>
              </w:rPr>
            </w:pPr>
            <w:r w:rsidRPr="00EE4BFC">
              <w:rPr>
                <w:rFonts w:ascii="Times New Roman" w:hAnsi="Times New Roman"/>
                <w:sz w:val="24"/>
                <w:szCs w:val="24"/>
                <w:lang w:val="sr-Cyrl-CS"/>
              </w:rPr>
              <w:t>92,2</w:t>
            </w:r>
          </w:p>
        </w:tc>
        <w:tc>
          <w:tcPr>
            <w:tcW w:w="1747" w:type="dxa"/>
          </w:tcPr>
          <w:p w:rsidR="00AC6785" w:rsidRPr="00EE4BFC" w:rsidRDefault="00AC6785" w:rsidP="00065FE5">
            <w:pPr>
              <w:jc w:val="both"/>
              <w:rPr>
                <w:rFonts w:ascii="Times New Roman" w:hAnsi="Times New Roman"/>
                <w:sz w:val="24"/>
                <w:szCs w:val="24"/>
                <w:lang w:val="sr-Cyrl-CS"/>
              </w:rPr>
            </w:pPr>
            <w:r w:rsidRPr="00EE4BFC">
              <w:rPr>
                <w:rFonts w:ascii="Times New Roman" w:hAnsi="Times New Roman"/>
                <w:sz w:val="24"/>
                <w:szCs w:val="24"/>
                <w:lang w:val="sr-Cyrl-CS"/>
              </w:rPr>
              <w:t>86,6</w:t>
            </w:r>
          </w:p>
        </w:tc>
      </w:tr>
      <w:tr w:rsidR="00AC6785" w:rsidRPr="00EE4BFC" w:rsidTr="00102251">
        <w:trPr>
          <w:trHeight w:val="565"/>
        </w:trPr>
        <w:tc>
          <w:tcPr>
            <w:tcW w:w="2032" w:type="dxa"/>
          </w:tcPr>
          <w:p w:rsidR="00AC6785" w:rsidRPr="00EE4BFC" w:rsidRDefault="00AC6785" w:rsidP="00065FE5">
            <w:pPr>
              <w:jc w:val="both"/>
              <w:rPr>
                <w:rFonts w:ascii="Times New Roman" w:hAnsi="Times New Roman"/>
                <w:sz w:val="24"/>
                <w:szCs w:val="24"/>
                <w:lang w:val="sr-Cyrl-CS"/>
              </w:rPr>
            </w:pPr>
            <w:r w:rsidRPr="00EE4BFC">
              <w:rPr>
                <w:rFonts w:ascii="Times New Roman" w:hAnsi="Times New Roman"/>
                <w:sz w:val="24"/>
                <w:szCs w:val="24"/>
                <w:lang w:val="sr-Cyrl-CS"/>
              </w:rPr>
              <w:t>Остали порески приход</w:t>
            </w:r>
          </w:p>
        </w:tc>
        <w:tc>
          <w:tcPr>
            <w:tcW w:w="1460" w:type="dxa"/>
          </w:tcPr>
          <w:p w:rsidR="00AC6785" w:rsidRPr="00EE4BFC" w:rsidRDefault="00AC6785" w:rsidP="00065FE5">
            <w:pPr>
              <w:jc w:val="both"/>
              <w:rPr>
                <w:rFonts w:ascii="Times New Roman" w:hAnsi="Times New Roman"/>
                <w:sz w:val="24"/>
                <w:szCs w:val="24"/>
                <w:lang w:val="sr-Cyrl-CS"/>
              </w:rPr>
            </w:pPr>
            <w:r>
              <w:rPr>
                <w:rFonts w:ascii="Times New Roman" w:hAnsi="Times New Roman"/>
                <w:sz w:val="24"/>
                <w:szCs w:val="24"/>
                <w:lang w:val="sr-Cyrl-CS"/>
              </w:rPr>
              <w:t>37,1</w:t>
            </w:r>
          </w:p>
        </w:tc>
        <w:tc>
          <w:tcPr>
            <w:tcW w:w="1746" w:type="dxa"/>
          </w:tcPr>
          <w:p w:rsidR="00AC6785" w:rsidRPr="00EE4BFC" w:rsidRDefault="00AC6785" w:rsidP="00065FE5">
            <w:pPr>
              <w:jc w:val="both"/>
              <w:rPr>
                <w:rFonts w:ascii="Times New Roman" w:hAnsi="Times New Roman"/>
                <w:sz w:val="24"/>
                <w:szCs w:val="24"/>
                <w:lang w:val="sr-Cyrl-CS"/>
              </w:rPr>
            </w:pPr>
            <w:r>
              <w:rPr>
                <w:rFonts w:ascii="Times New Roman" w:hAnsi="Times New Roman"/>
                <w:sz w:val="24"/>
                <w:szCs w:val="24"/>
                <w:lang w:val="sr-Cyrl-CS"/>
              </w:rPr>
              <w:t>46,0</w:t>
            </w:r>
          </w:p>
        </w:tc>
        <w:tc>
          <w:tcPr>
            <w:tcW w:w="1746" w:type="dxa"/>
          </w:tcPr>
          <w:p w:rsidR="00AC6785" w:rsidRPr="00EE4BFC" w:rsidRDefault="00AC6785" w:rsidP="00065FE5">
            <w:pPr>
              <w:jc w:val="both"/>
              <w:rPr>
                <w:rFonts w:ascii="Times New Roman" w:hAnsi="Times New Roman"/>
                <w:sz w:val="24"/>
                <w:szCs w:val="24"/>
                <w:lang w:val="sr-Cyrl-CS"/>
              </w:rPr>
            </w:pPr>
            <w:r>
              <w:rPr>
                <w:rFonts w:ascii="Times New Roman" w:hAnsi="Times New Roman"/>
                <w:sz w:val="24"/>
                <w:szCs w:val="24"/>
                <w:lang w:val="sr-Cyrl-CS"/>
              </w:rPr>
              <w:t>124,0</w:t>
            </w:r>
          </w:p>
        </w:tc>
        <w:tc>
          <w:tcPr>
            <w:tcW w:w="1747" w:type="dxa"/>
          </w:tcPr>
          <w:p w:rsidR="00AC6785" w:rsidRPr="00EE4BFC" w:rsidRDefault="00AC6785" w:rsidP="00065FE5">
            <w:pPr>
              <w:jc w:val="both"/>
              <w:rPr>
                <w:rFonts w:ascii="Times New Roman" w:hAnsi="Times New Roman"/>
                <w:sz w:val="24"/>
                <w:szCs w:val="24"/>
                <w:lang w:val="sr-Cyrl-CS"/>
              </w:rPr>
            </w:pPr>
            <w:r>
              <w:rPr>
                <w:rFonts w:ascii="Times New Roman" w:hAnsi="Times New Roman"/>
                <w:sz w:val="24"/>
                <w:szCs w:val="24"/>
                <w:lang w:val="sr-Cyrl-CS"/>
              </w:rPr>
              <w:t>116,5</w:t>
            </w:r>
          </w:p>
        </w:tc>
      </w:tr>
      <w:tr w:rsidR="00AC6785" w:rsidRPr="00EE4BFC" w:rsidTr="00102251">
        <w:trPr>
          <w:trHeight w:val="342"/>
        </w:trPr>
        <w:tc>
          <w:tcPr>
            <w:tcW w:w="2032" w:type="dxa"/>
          </w:tcPr>
          <w:p w:rsidR="00AC6785" w:rsidRPr="00EE4BFC" w:rsidRDefault="00AC6785" w:rsidP="00065FE5">
            <w:pPr>
              <w:jc w:val="both"/>
              <w:rPr>
                <w:rFonts w:ascii="Times New Roman" w:hAnsi="Times New Roman"/>
                <w:sz w:val="24"/>
                <w:szCs w:val="24"/>
                <w:lang w:val="sr-Cyrl-CS"/>
              </w:rPr>
            </w:pPr>
            <w:r w:rsidRPr="00EE4BFC">
              <w:rPr>
                <w:rFonts w:ascii="Times New Roman" w:hAnsi="Times New Roman"/>
                <w:sz w:val="24"/>
                <w:szCs w:val="24"/>
                <w:lang w:val="sr-Cyrl-CS"/>
              </w:rPr>
              <w:t>доприноси</w:t>
            </w:r>
          </w:p>
        </w:tc>
        <w:tc>
          <w:tcPr>
            <w:tcW w:w="1460" w:type="dxa"/>
          </w:tcPr>
          <w:p w:rsidR="00AC6785" w:rsidRPr="00EE4BFC" w:rsidRDefault="00AC6785" w:rsidP="00065FE5">
            <w:pPr>
              <w:jc w:val="both"/>
              <w:rPr>
                <w:rFonts w:ascii="Times New Roman" w:hAnsi="Times New Roman"/>
                <w:sz w:val="24"/>
                <w:szCs w:val="24"/>
                <w:lang w:val="sr-Cyrl-CS"/>
              </w:rPr>
            </w:pPr>
            <w:r>
              <w:rPr>
                <w:rFonts w:ascii="Times New Roman" w:hAnsi="Times New Roman"/>
                <w:sz w:val="24"/>
                <w:szCs w:val="24"/>
                <w:lang w:val="sr-Cyrl-CS"/>
              </w:rPr>
              <w:t>318,8</w:t>
            </w:r>
          </w:p>
        </w:tc>
        <w:tc>
          <w:tcPr>
            <w:tcW w:w="1746" w:type="dxa"/>
          </w:tcPr>
          <w:p w:rsidR="00AC6785" w:rsidRPr="00EE4BFC" w:rsidRDefault="00AC6785" w:rsidP="00065FE5">
            <w:pPr>
              <w:jc w:val="both"/>
              <w:rPr>
                <w:rFonts w:ascii="Times New Roman" w:hAnsi="Times New Roman"/>
                <w:sz w:val="24"/>
                <w:szCs w:val="24"/>
                <w:lang w:val="sr-Cyrl-CS"/>
              </w:rPr>
            </w:pPr>
            <w:r>
              <w:rPr>
                <w:rFonts w:ascii="Times New Roman" w:hAnsi="Times New Roman"/>
                <w:sz w:val="24"/>
                <w:szCs w:val="24"/>
                <w:lang w:val="sr-Cyrl-CS"/>
              </w:rPr>
              <w:t>323,0</w:t>
            </w:r>
          </w:p>
        </w:tc>
        <w:tc>
          <w:tcPr>
            <w:tcW w:w="1746" w:type="dxa"/>
          </w:tcPr>
          <w:p w:rsidR="00AC6785" w:rsidRPr="00EE4BFC" w:rsidRDefault="00AC6785" w:rsidP="00065FE5">
            <w:pPr>
              <w:jc w:val="both"/>
              <w:rPr>
                <w:rFonts w:ascii="Times New Roman" w:hAnsi="Times New Roman"/>
                <w:sz w:val="24"/>
                <w:szCs w:val="24"/>
                <w:lang w:val="sr-Cyrl-CS"/>
              </w:rPr>
            </w:pPr>
            <w:r>
              <w:rPr>
                <w:rFonts w:ascii="Times New Roman" w:hAnsi="Times New Roman"/>
                <w:sz w:val="24"/>
                <w:szCs w:val="24"/>
                <w:lang w:val="sr-Cyrl-CS"/>
              </w:rPr>
              <w:t>101,3</w:t>
            </w:r>
          </w:p>
        </w:tc>
        <w:tc>
          <w:tcPr>
            <w:tcW w:w="1747" w:type="dxa"/>
          </w:tcPr>
          <w:p w:rsidR="00AC6785" w:rsidRPr="00EE4BFC" w:rsidRDefault="00AC6785" w:rsidP="00065FE5">
            <w:pPr>
              <w:jc w:val="both"/>
              <w:rPr>
                <w:rFonts w:ascii="Times New Roman" w:hAnsi="Times New Roman"/>
                <w:sz w:val="24"/>
                <w:szCs w:val="24"/>
                <w:lang w:val="sr-Cyrl-CS"/>
              </w:rPr>
            </w:pPr>
            <w:r>
              <w:rPr>
                <w:rFonts w:ascii="Times New Roman" w:hAnsi="Times New Roman"/>
                <w:sz w:val="24"/>
                <w:szCs w:val="24"/>
                <w:lang w:val="sr-Cyrl-CS"/>
              </w:rPr>
              <w:t>95,1</w:t>
            </w:r>
          </w:p>
        </w:tc>
      </w:tr>
      <w:tr w:rsidR="00AC6785" w:rsidRPr="00EE4BFC" w:rsidTr="00102251">
        <w:trPr>
          <w:trHeight w:val="554"/>
        </w:trPr>
        <w:tc>
          <w:tcPr>
            <w:tcW w:w="2032" w:type="dxa"/>
          </w:tcPr>
          <w:p w:rsidR="00AC6785" w:rsidRPr="00EE4BFC" w:rsidRDefault="00AC6785" w:rsidP="00065FE5">
            <w:pPr>
              <w:jc w:val="both"/>
              <w:rPr>
                <w:rFonts w:ascii="Times New Roman" w:hAnsi="Times New Roman"/>
                <w:sz w:val="24"/>
                <w:szCs w:val="24"/>
                <w:lang w:val="sr-Cyrl-CS"/>
              </w:rPr>
            </w:pPr>
            <w:r w:rsidRPr="00EE4BFC">
              <w:rPr>
                <w:rFonts w:ascii="Times New Roman" w:hAnsi="Times New Roman"/>
                <w:sz w:val="24"/>
                <w:szCs w:val="24"/>
                <w:lang w:val="sr-Cyrl-CS"/>
              </w:rPr>
              <w:t>Непорески приход</w:t>
            </w:r>
          </w:p>
        </w:tc>
        <w:tc>
          <w:tcPr>
            <w:tcW w:w="1460" w:type="dxa"/>
          </w:tcPr>
          <w:p w:rsidR="00AC6785" w:rsidRPr="00EE4BFC" w:rsidRDefault="00AC6785" w:rsidP="00065FE5">
            <w:pPr>
              <w:jc w:val="both"/>
              <w:rPr>
                <w:rFonts w:ascii="Times New Roman" w:hAnsi="Times New Roman"/>
                <w:sz w:val="24"/>
                <w:szCs w:val="24"/>
                <w:lang w:val="sr-Cyrl-CS"/>
              </w:rPr>
            </w:pPr>
            <w:r>
              <w:rPr>
                <w:rFonts w:ascii="Times New Roman" w:hAnsi="Times New Roman"/>
                <w:sz w:val="24"/>
                <w:szCs w:val="24"/>
                <w:lang w:val="sr-Cyrl-CS"/>
              </w:rPr>
              <w:t>139,5</w:t>
            </w:r>
          </w:p>
        </w:tc>
        <w:tc>
          <w:tcPr>
            <w:tcW w:w="1746" w:type="dxa"/>
          </w:tcPr>
          <w:p w:rsidR="00AC6785" w:rsidRPr="00EE4BFC" w:rsidRDefault="00AC6785" w:rsidP="00065FE5">
            <w:pPr>
              <w:jc w:val="both"/>
              <w:rPr>
                <w:rFonts w:ascii="Times New Roman" w:hAnsi="Times New Roman"/>
                <w:sz w:val="24"/>
                <w:szCs w:val="24"/>
                <w:lang w:val="sr-Cyrl-CS"/>
              </w:rPr>
            </w:pPr>
            <w:r>
              <w:rPr>
                <w:rFonts w:ascii="Times New Roman" w:hAnsi="Times New Roman"/>
                <w:sz w:val="24"/>
                <w:szCs w:val="24"/>
                <w:lang w:val="sr-Cyrl-CS"/>
              </w:rPr>
              <w:t>158,0</w:t>
            </w:r>
          </w:p>
        </w:tc>
        <w:tc>
          <w:tcPr>
            <w:tcW w:w="1746" w:type="dxa"/>
          </w:tcPr>
          <w:p w:rsidR="00AC6785" w:rsidRPr="00EE4BFC" w:rsidRDefault="00AC6785" w:rsidP="00065FE5">
            <w:pPr>
              <w:jc w:val="both"/>
              <w:rPr>
                <w:rFonts w:ascii="Times New Roman" w:hAnsi="Times New Roman"/>
                <w:sz w:val="24"/>
                <w:szCs w:val="24"/>
                <w:lang w:val="sr-Cyrl-CS"/>
              </w:rPr>
            </w:pPr>
            <w:r>
              <w:rPr>
                <w:rFonts w:ascii="Times New Roman" w:hAnsi="Times New Roman"/>
                <w:sz w:val="24"/>
                <w:szCs w:val="24"/>
                <w:lang w:val="sr-Cyrl-CS"/>
              </w:rPr>
              <w:t>113,3</w:t>
            </w:r>
          </w:p>
        </w:tc>
        <w:tc>
          <w:tcPr>
            <w:tcW w:w="1747" w:type="dxa"/>
          </w:tcPr>
          <w:p w:rsidR="00AC6785" w:rsidRPr="00EE4BFC" w:rsidRDefault="00AC6785" w:rsidP="00065FE5">
            <w:pPr>
              <w:jc w:val="both"/>
              <w:rPr>
                <w:rFonts w:ascii="Times New Roman" w:hAnsi="Times New Roman"/>
                <w:sz w:val="24"/>
                <w:szCs w:val="24"/>
                <w:lang w:val="sr-Cyrl-CS"/>
              </w:rPr>
            </w:pPr>
            <w:r>
              <w:rPr>
                <w:rFonts w:ascii="Times New Roman" w:hAnsi="Times New Roman"/>
                <w:sz w:val="24"/>
                <w:szCs w:val="24"/>
                <w:lang w:val="sr-Cyrl-CS"/>
              </w:rPr>
              <w:t>106,4</w:t>
            </w:r>
          </w:p>
        </w:tc>
      </w:tr>
      <w:tr w:rsidR="00AC6785" w:rsidRPr="00EE4BFC" w:rsidTr="00102251">
        <w:trPr>
          <w:trHeight w:val="565"/>
        </w:trPr>
        <w:tc>
          <w:tcPr>
            <w:tcW w:w="2032" w:type="dxa"/>
          </w:tcPr>
          <w:p w:rsidR="00AC6785" w:rsidRPr="00EE4BFC" w:rsidRDefault="00AC6785" w:rsidP="00065FE5">
            <w:pPr>
              <w:jc w:val="both"/>
              <w:rPr>
                <w:rFonts w:ascii="Times New Roman" w:hAnsi="Times New Roman"/>
                <w:sz w:val="24"/>
                <w:szCs w:val="24"/>
                <w:lang w:val="sr-Cyrl-CS"/>
              </w:rPr>
            </w:pPr>
            <w:r w:rsidRPr="00EE4BFC">
              <w:rPr>
                <w:rFonts w:ascii="Times New Roman" w:hAnsi="Times New Roman"/>
                <w:sz w:val="24"/>
                <w:szCs w:val="24"/>
                <w:lang w:val="sr-Cyrl-CS"/>
              </w:rPr>
              <w:t>Капитални приходи</w:t>
            </w:r>
          </w:p>
        </w:tc>
        <w:tc>
          <w:tcPr>
            <w:tcW w:w="1460" w:type="dxa"/>
          </w:tcPr>
          <w:p w:rsidR="00AC6785" w:rsidRPr="00EE4BFC" w:rsidRDefault="00AC6785" w:rsidP="00065FE5">
            <w:pPr>
              <w:jc w:val="both"/>
              <w:rPr>
                <w:rFonts w:ascii="Times New Roman" w:hAnsi="Times New Roman"/>
                <w:sz w:val="24"/>
                <w:szCs w:val="24"/>
                <w:lang w:val="sr-Cyrl-CS"/>
              </w:rPr>
            </w:pPr>
            <w:r>
              <w:rPr>
                <w:rFonts w:ascii="Times New Roman" w:hAnsi="Times New Roman"/>
                <w:sz w:val="24"/>
                <w:szCs w:val="24"/>
                <w:lang w:val="sr-Cyrl-CS"/>
              </w:rPr>
              <w:t>0,2</w:t>
            </w:r>
          </w:p>
        </w:tc>
        <w:tc>
          <w:tcPr>
            <w:tcW w:w="1746" w:type="dxa"/>
          </w:tcPr>
          <w:p w:rsidR="00AC6785" w:rsidRPr="00EE4BFC" w:rsidRDefault="00AC6785" w:rsidP="00065FE5">
            <w:pPr>
              <w:jc w:val="both"/>
              <w:rPr>
                <w:rFonts w:ascii="Times New Roman" w:hAnsi="Times New Roman"/>
                <w:sz w:val="24"/>
                <w:szCs w:val="24"/>
                <w:lang w:val="sr-Cyrl-CS"/>
              </w:rPr>
            </w:pPr>
            <w:r>
              <w:rPr>
                <w:rFonts w:ascii="Times New Roman" w:hAnsi="Times New Roman"/>
                <w:sz w:val="24"/>
                <w:szCs w:val="24"/>
                <w:lang w:val="sr-Cyrl-CS"/>
              </w:rPr>
              <w:t>1,5</w:t>
            </w:r>
          </w:p>
        </w:tc>
        <w:tc>
          <w:tcPr>
            <w:tcW w:w="1746" w:type="dxa"/>
          </w:tcPr>
          <w:p w:rsidR="00AC6785" w:rsidRPr="00EE4BFC" w:rsidRDefault="00AC6785" w:rsidP="00065FE5">
            <w:pPr>
              <w:jc w:val="both"/>
              <w:rPr>
                <w:rFonts w:ascii="Times New Roman" w:hAnsi="Times New Roman"/>
                <w:sz w:val="24"/>
                <w:szCs w:val="24"/>
                <w:lang w:val="sr-Cyrl-CS"/>
              </w:rPr>
            </w:pPr>
            <w:r>
              <w:rPr>
                <w:rFonts w:ascii="Times New Roman" w:hAnsi="Times New Roman"/>
                <w:sz w:val="24"/>
                <w:szCs w:val="24"/>
                <w:lang w:val="sr-Cyrl-CS"/>
              </w:rPr>
              <w:t>812,0</w:t>
            </w:r>
          </w:p>
        </w:tc>
        <w:tc>
          <w:tcPr>
            <w:tcW w:w="1747" w:type="dxa"/>
          </w:tcPr>
          <w:p w:rsidR="00AC6785" w:rsidRPr="00EE4BFC" w:rsidRDefault="00AC6785" w:rsidP="00065FE5">
            <w:pPr>
              <w:jc w:val="both"/>
              <w:rPr>
                <w:rFonts w:ascii="Times New Roman" w:hAnsi="Times New Roman"/>
                <w:sz w:val="24"/>
                <w:szCs w:val="24"/>
                <w:lang w:val="sr-Cyrl-CS"/>
              </w:rPr>
            </w:pPr>
            <w:r>
              <w:rPr>
                <w:rFonts w:ascii="Times New Roman" w:hAnsi="Times New Roman"/>
                <w:sz w:val="24"/>
                <w:szCs w:val="24"/>
                <w:lang w:val="sr-Cyrl-CS"/>
              </w:rPr>
              <w:t>762,4</w:t>
            </w:r>
          </w:p>
        </w:tc>
      </w:tr>
      <w:tr w:rsidR="00AC6785" w:rsidRPr="00EE4BFC" w:rsidTr="00102251">
        <w:trPr>
          <w:trHeight w:val="97"/>
        </w:trPr>
        <w:tc>
          <w:tcPr>
            <w:tcW w:w="2032" w:type="dxa"/>
          </w:tcPr>
          <w:p w:rsidR="00AC6785" w:rsidRPr="00EE4BFC" w:rsidRDefault="00AC6785" w:rsidP="00065FE5">
            <w:pPr>
              <w:jc w:val="both"/>
              <w:rPr>
                <w:rFonts w:ascii="Times New Roman" w:hAnsi="Times New Roman"/>
                <w:sz w:val="24"/>
                <w:szCs w:val="24"/>
                <w:lang w:val="sr-Cyrl-CS"/>
              </w:rPr>
            </w:pPr>
            <w:r w:rsidRPr="00EE4BFC">
              <w:rPr>
                <w:rFonts w:ascii="Times New Roman" w:hAnsi="Times New Roman"/>
                <w:sz w:val="24"/>
                <w:szCs w:val="24"/>
                <w:lang w:val="sr-Cyrl-CS"/>
              </w:rPr>
              <w:t>донације</w:t>
            </w:r>
          </w:p>
        </w:tc>
        <w:tc>
          <w:tcPr>
            <w:tcW w:w="1460" w:type="dxa"/>
          </w:tcPr>
          <w:p w:rsidR="00AC6785" w:rsidRPr="00EE4BFC" w:rsidRDefault="00AC6785" w:rsidP="00065FE5">
            <w:pPr>
              <w:jc w:val="both"/>
              <w:rPr>
                <w:rFonts w:ascii="Times New Roman" w:hAnsi="Times New Roman"/>
                <w:sz w:val="24"/>
                <w:szCs w:val="24"/>
                <w:lang w:val="sr-Cyrl-CS"/>
              </w:rPr>
            </w:pPr>
            <w:r>
              <w:rPr>
                <w:rFonts w:ascii="Times New Roman" w:hAnsi="Times New Roman"/>
                <w:sz w:val="24"/>
                <w:szCs w:val="24"/>
                <w:lang w:val="sr-Cyrl-CS"/>
              </w:rPr>
              <w:t>6,5</w:t>
            </w:r>
          </w:p>
        </w:tc>
        <w:tc>
          <w:tcPr>
            <w:tcW w:w="1746" w:type="dxa"/>
          </w:tcPr>
          <w:p w:rsidR="00AC6785" w:rsidRPr="00EE4BFC" w:rsidRDefault="00AC6785" w:rsidP="00065FE5">
            <w:pPr>
              <w:jc w:val="both"/>
              <w:rPr>
                <w:rFonts w:ascii="Times New Roman" w:hAnsi="Times New Roman"/>
                <w:sz w:val="24"/>
                <w:szCs w:val="24"/>
                <w:lang w:val="sr-Cyrl-CS"/>
              </w:rPr>
            </w:pPr>
            <w:r>
              <w:rPr>
                <w:rFonts w:ascii="Times New Roman" w:hAnsi="Times New Roman"/>
                <w:sz w:val="24"/>
                <w:szCs w:val="24"/>
                <w:lang w:val="sr-Cyrl-CS"/>
              </w:rPr>
              <w:t>7,4</w:t>
            </w:r>
          </w:p>
        </w:tc>
        <w:tc>
          <w:tcPr>
            <w:tcW w:w="1746" w:type="dxa"/>
          </w:tcPr>
          <w:p w:rsidR="00AC6785" w:rsidRPr="00EE4BFC" w:rsidRDefault="00AC6785" w:rsidP="00065FE5">
            <w:pPr>
              <w:jc w:val="both"/>
              <w:rPr>
                <w:rFonts w:ascii="Times New Roman" w:hAnsi="Times New Roman"/>
                <w:sz w:val="24"/>
                <w:szCs w:val="24"/>
                <w:lang w:val="sr-Cyrl-CS"/>
              </w:rPr>
            </w:pPr>
            <w:r>
              <w:rPr>
                <w:rFonts w:ascii="Times New Roman" w:hAnsi="Times New Roman"/>
                <w:sz w:val="24"/>
                <w:szCs w:val="24"/>
                <w:lang w:val="sr-Cyrl-CS"/>
              </w:rPr>
              <w:t>114,4</w:t>
            </w:r>
          </w:p>
        </w:tc>
        <w:tc>
          <w:tcPr>
            <w:tcW w:w="1747" w:type="dxa"/>
          </w:tcPr>
          <w:p w:rsidR="00AC6785" w:rsidRPr="00EE4BFC" w:rsidRDefault="00AC6785" w:rsidP="00065FE5">
            <w:pPr>
              <w:jc w:val="both"/>
              <w:rPr>
                <w:rFonts w:ascii="Times New Roman" w:hAnsi="Times New Roman"/>
                <w:sz w:val="24"/>
                <w:szCs w:val="24"/>
                <w:lang w:val="sr-Cyrl-CS"/>
              </w:rPr>
            </w:pPr>
            <w:r>
              <w:rPr>
                <w:rFonts w:ascii="Times New Roman" w:hAnsi="Times New Roman"/>
                <w:sz w:val="24"/>
                <w:szCs w:val="24"/>
                <w:lang w:val="sr-Cyrl-CS"/>
              </w:rPr>
              <w:t>107,2</w:t>
            </w:r>
          </w:p>
        </w:tc>
      </w:tr>
    </w:tbl>
    <w:p w:rsidR="000C4553" w:rsidRDefault="000C4553" w:rsidP="00060971">
      <w:pPr>
        <w:ind w:firstLine="567"/>
        <w:jc w:val="both"/>
        <w:rPr>
          <w:rFonts w:ascii="Times New Roman" w:hAnsi="Times New Roman"/>
          <w:sz w:val="24"/>
          <w:szCs w:val="24"/>
        </w:rPr>
      </w:pPr>
    </w:p>
    <w:p w:rsidR="00D11BF8" w:rsidRDefault="002A6BAE" w:rsidP="00060971">
      <w:pPr>
        <w:ind w:firstLine="567"/>
        <w:jc w:val="both"/>
        <w:rPr>
          <w:rFonts w:ascii="Times New Roman" w:hAnsi="Times New Roman"/>
          <w:sz w:val="24"/>
          <w:szCs w:val="24"/>
          <w:lang w:val="sr-Cyrl-CS"/>
        </w:rPr>
      </w:pPr>
      <w:r w:rsidRPr="00F52D85">
        <w:rPr>
          <w:rFonts w:ascii="Times New Roman" w:hAnsi="Times New Roman"/>
          <w:sz w:val="24"/>
          <w:szCs w:val="24"/>
          <w:lang w:val="sr-Cyrl-CS"/>
        </w:rPr>
        <w:t>Јавни приходи сектора државе у периоду јануар - децембар 2010. године остварују номинални раст од 6,7%, док су реално приближно на нивоу претходне године.</w:t>
      </w:r>
      <w:r>
        <w:rPr>
          <w:rFonts w:ascii="Times New Roman" w:hAnsi="Times New Roman"/>
          <w:sz w:val="24"/>
          <w:szCs w:val="24"/>
          <w:lang w:val="sr-Cyrl-CS"/>
        </w:rPr>
        <w:t xml:space="preserve"> </w:t>
      </w:r>
      <w:r w:rsidRPr="00F52D85">
        <w:rPr>
          <w:rFonts w:ascii="Times New Roman" w:hAnsi="Times New Roman"/>
          <w:sz w:val="24"/>
          <w:szCs w:val="24"/>
          <w:lang w:val="sr-Cyrl-CS"/>
        </w:rPr>
        <w:t>Текући приходи порасли су до нивоа просечне инфлације, док реалног раста није било. На кретање текућих, односно</w:t>
      </w:r>
      <w:r>
        <w:rPr>
          <w:rFonts w:ascii="Times New Roman" w:hAnsi="Times New Roman"/>
          <w:sz w:val="24"/>
          <w:szCs w:val="24"/>
          <w:lang w:val="sr-Cyrl-CS"/>
        </w:rPr>
        <w:t xml:space="preserve"> </w:t>
      </w:r>
      <w:r w:rsidRPr="00F52D85">
        <w:rPr>
          <w:rFonts w:ascii="Times New Roman" w:hAnsi="Times New Roman"/>
          <w:sz w:val="24"/>
          <w:szCs w:val="24"/>
          <w:lang w:val="sr-Cyrl-CS"/>
        </w:rPr>
        <w:t xml:space="preserve">благи раст укупних јавних прихода није утицало кретање пореских већ непореских прихода. Порески приходи остварили су реални пад од 0,8%, док је реални раст непореских прихода износио 6,4%. Капитални приходи бележе </w:t>
      </w:r>
      <w:r w:rsidRPr="00F52D85">
        <w:rPr>
          <w:rFonts w:ascii="Times New Roman" w:hAnsi="Times New Roman"/>
          <w:sz w:val="24"/>
          <w:szCs w:val="24"/>
          <w:lang w:val="sr-Cyrl-CS"/>
        </w:rPr>
        <w:lastRenderedPageBreak/>
        <w:t>значајан реалан раст и први пут њихово кретање у нешто већој мери утиче на укупно</w:t>
      </w:r>
      <w:r>
        <w:rPr>
          <w:rFonts w:ascii="Times New Roman" w:hAnsi="Times New Roman"/>
          <w:sz w:val="24"/>
          <w:szCs w:val="24"/>
          <w:lang w:val="sr-Cyrl-CS"/>
        </w:rPr>
        <w:t xml:space="preserve"> </w:t>
      </w:r>
      <w:r w:rsidRPr="00F52D85">
        <w:rPr>
          <w:rFonts w:ascii="Times New Roman" w:hAnsi="Times New Roman"/>
          <w:sz w:val="24"/>
          <w:szCs w:val="24"/>
          <w:lang w:val="sr-Cyrl-CS"/>
        </w:rPr>
        <w:t>понашање прихода.</w:t>
      </w:r>
      <w:r>
        <w:rPr>
          <w:rFonts w:ascii="Times New Roman" w:hAnsi="Times New Roman"/>
          <w:sz w:val="24"/>
          <w:szCs w:val="24"/>
          <w:lang w:val="sr-Cyrl-CS"/>
        </w:rPr>
        <w:t xml:space="preserve"> </w:t>
      </w:r>
      <w:r w:rsidRPr="00F52D85">
        <w:rPr>
          <w:rFonts w:ascii="Times New Roman" w:hAnsi="Times New Roman"/>
          <w:sz w:val="24"/>
          <w:szCs w:val="24"/>
          <w:lang w:val="sr-Cyrl-CS"/>
        </w:rPr>
        <w:t>У оквиру пореских прихода индиректни</w:t>
      </w:r>
      <w:r>
        <w:rPr>
          <w:rFonts w:ascii="Times New Roman" w:hAnsi="Times New Roman"/>
          <w:sz w:val="24"/>
          <w:szCs w:val="24"/>
          <w:lang w:val="sr-Cyrl-CS"/>
        </w:rPr>
        <w:t xml:space="preserve"> </w:t>
      </w:r>
      <w:r w:rsidRPr="00F52D85">
        <w:rPr>
          <w:rFonts w:ascii="Times New Roman" w:hAnsi="Times New Roman"/>
          <w:sz w:val="24"/>
          <w:szCs w:val="24"/>
          <w:lang w:val="sr-Cyrl-CS"/>
        </w:rPr>
        <w:t>порези – ПДВ, незнатно и акцизе, значајно расту, док директни порези – порез на доходак грађана, порез на добит, као и доприноси бележе незнатан номинални раст и реалан пад у односу на претходну годину. Остали порески приходи, су такође остварили значајан реални раст у односу на претходну годин</w:t>
      </w:r>
      <w:r>
        <w:rPr>
          <w:rFonts w:ascii="Times New Roman" w:hAnsi="Times New Roman"/>
          <w:sz w:val="24"/>
          <w:szCs w:val="24"/>
          <w:lang w:val="sr-Cyrl-CS"/>
        </w:rPr>
        <w:t>у.</w:t>
      </w:r>
      <w:r>
        <w:rPr>
          <w:rStyle w:val="FootnoteReference"/>
          <w:rFonts w:ascii="Times New Roman" w:hAnsi="Times New Roman"/>
          <w:sz w:val="24"/>
          <w:szCs w:val="24"/>
          <w:lang w:val="sr-Cyrl-CS"/>
        </w:rPr>
        <w:footnoteReference w:id="232"/>
      </w:r>
      <w:r>
        <w:rPr>
          <w:rFonts w:ascii="Times New Roman" w:hAnsi="Times New Roman"/>
          <w:sz w:val="24"/>
          <w:szCs w:val="24"/>
          <w:lang w:val="sr-Cyrl-CS"/>
        </w:rPr>
        <w:t xml:space="preserve"> </w:t>
      </w:r>
      <w:r w:rsidR="00DD19FF">
        <w:rPr>
          <w:rFonts w:ascii="Times New Roman" w:hAnsi="Times New Roman"/>
          <w:sz w:val="24"/>
          <w:szCs w:val="24"/>
          <w:lang w:val="sr-Cyrl-CS"/>
        </w:rPr>
        <w:t xml:space="preserve"> </w:t>
      </w:r>
    </w:p>
    <w:p w:rsidR="00996F23" w:rsidRDefault="00996F23" w:rsidP="00060971">
      <w:pPr>
        <w:ind w:firstLine="567"/>
        <w:jc w:val="both"/>
        <w:rPr>
          <w:rFonts w:ascii="Times New Roman" w:hAnsi="Times New Roman"/>
          <w:sz w:val="24"/>
          <w:szCs w:val="24"/>
        </w:rPr>
      </w:pPr>
    </w:p>
    <w:p w:rsidR="000C4553" w:rsidRPr="000C4553" w:rsidRDefault="00A74A8E" w:rsidP="00060971">
      <w:pPr>
        <w:ind w:firstLine="567"/>
        <w:jc w:val="both"/>
        <w:rPr>
          <w:rFonts w:ascii="Times New Roman" w:hAnsi="Times New Roman"/>
          <w:b/>
          <w:sz w:val="24"/>
          <w:szCs w:val="24"/>
          <w:lang w:val="sr-Cyrl-CS"/>
        </w:rPr>
      </w:pPr>
      <w:r>
        <w:rPr>
          <w:rFonts w:ascii="Times New Roman" w:hAnsi="Times New Roman"/>
          <w:b/>
          <w:sz w:val="24"/>
          <w:szCs w:val="24"/>
          <w:lang w:val="sr-Cyrl-CS"/>
        </w:rPr>
        <w:t>Табела 5</w:t>
      </w:r>
      <w:r w:rsidR="000C4553" w:rsidRPr="000C4553">
        <w:rPr>
          <w:rFonts w:ascii="Times New Roman" w:hAnsi="Times New Roman"/>
          <w:b/>
          <w:sz w:val="24"/>
          <w:szCs w:val="24"/>
          <w:lang w:val="sr-Cyrl-CS"/>
        </w:rPr>
        <w:t>.</w:t>
      </w:r>
    </w:p>
    <w:p w:rsidR="00B812BC" w:rsidRPr="00713DA8" w:rsidRDefault="00924D24" w:rsidP="00713DA8">
      <w:pPr>
        <w:pStyle w:val="ListParagraph"/>
        <w:jc w:val="both"/>
        <w:rPr>
          <w:rFonts w:ascii="Times New Roman" w:hAnsi="Times New Roman"/>
          <w:sz w:val="24"/>
          <w:szCs w:val="24"/>
          <w:lang w:val="sr-Cyrl-CS"/>
        </w:rPr>
      </w:pPr>
      <w:r w:rsidRPr="002A6BAE">
        <w:rPr>
          <w:rFonts w:ascii="Times New Roman" w:hAnsi="Times New Roman"/>
          <w:b/>
          <w:sz w:val="24"/>
          <w:szCs w:val="24"/>
        </w:rPr>
        <w:t>Примања буџета Републике Срби</w:t>
      </w:r>
      <w:r w:rsidR="005017F9" w:rsidRPr="002A6BAE">
        <w:rPr>
          <w:rFonts w:ascii="Times New Roman" w:hAnsi="Times New Roman"/>
          <w:b/>
          <w:sz w:val="24"/>
          <w:szCs w:val="24"/>
        </w:rPr>
        <w:t xml:space="preserve">је 2008-септембар 2013.год  </w:t>
      </w:r>
      <w:r w:rsidRPr="002A6BAE">
        <w:rPr>
          <w:rFonts w:ascii="Times New Roman" w:hAnsi="Times New Roman"/>
          <w:b/>
          <w:sz w:val="24"/>
          <w:szCs w:val="24"/>
        </w:rPr>
        <w:t>у мл</w:t>
      </w:r>
      <w:r w:rsidR="005017F9" w:rsidRPr="002A6BAE">
        <w:rPr>
          <w:rFonts w:ascii="Times New Roman" w:hAnsi="Times New Roman"/>
          <w:b/>
          <w:sz w:val="24"/>
          <w:szCs w:val="24"/>
          <w:lang w:val="sr-Cyrl-CS"/>
        </w:rPr>
        <w:t>р</w:t>
      </w:r>
      <w:r w:rsidRPr="002A6BAE">
        <w:rPr>
          <w:rFonts w:ascii="Times New Roman" w:hAnsi="Times New Roman"/>
          <w:b/>
          <w:sz w:val="24"/>
          <w:szCs w:val="24"/>
        </w:rPr>
        <w:t>д.дин</w:t>
      </w:r>
      <w:r>
        <w:rPr>
          <w:rFonts w:ascii="Times New Roman" w:hAnsi="Times New Roman"/>
          <w:sz w:val="24"/>
          <w:szCs w:val="24"/>
        </w:rPr>
        <w:t>.</w:t>
      </w:r>
      <w:r>
        <w:rPr>
          <w:rStyle w:val="FootnoteReference"/>
          <w:rFonts w:ascii="Times New Roman" w:hAnsi="Times New Roman"/>
          <w:sz w:val="24"/>
          <w:szCs w:val="24"/>
        </w:rPr>
        <w:footnoteReference w:id="233"/>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24"/>
        <w:gridCol w:w="1208"/>
        <w:gridCol w:w="1207"/>
        <w:gridCol w:w="1207"/>
        <w:gridCol w:w="1207"/>
        <w:gridCol w:w="1207"/>
        <w:gridCol w:w="1207"/>
      </w:tblGrid>
      <w:tr w:rsidR="00A13A9E" w:rsidRPr="00384787" w:rsidTr="00384787">
        <w:tc>
          <w:tcPr>
            <w:tcW w:w="1315" w:type="dxa"/>
          </w:tcPr>
          <w:p w:rsidR="0096256F" w:rsidRPr="00384787" w:rsidRDefault="0096256F" w:rsidP="00384787">
            <w:pPr>
              <w:pStyle w:val="ListParagraph"/>
              <w:ind w:left="0"/>
              <w:jc w:val="both"/>
              <w:rPr>
                <w:rFonts w:ascii="Times New Roman" w:hAnsi="Times New Roman"/>
                <w:sz w:val="24"/>
                <w:szCs w:val="24"/>
                <w:lang w:val="sr-Cyrl-CS"/>
              </w:rPr>
            </w:pPr>
          </w:p>
        </w:tc>
        <w:tc>
          <w:tcPr>
            <w:tcW w:w="1316" w:type="dxa"/>
          </w:tcPr>
          <w:p w:rsidR="0096256F" w:rsidRPr="00384787" w:rsidRDefault="0096256F"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2008</w:t>
            </w:r>
          </w:p>
        </w:tc>
        <w:tc>
          <w:tcPr>
            <w:tcW w:w="1316" w:type="dxa"/>
          </w:tcPr>
          <w:p w:rsidR="0096256F" w:rsidRPr="00384787" w:rsidRDefault="0096256F"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2009</w:t>
            </w:r>
          </w:p>
        </w:tc>
        <w:tc>
          <w:tcPr>
            <w:tcW w:w="1316" w:type="dxa"/>
          </w:tcPr>
          <w:p w:rsidR="0096256F" w:rsidRPr="00384787" w:rsidRDefault="0096256F"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2010</w:t>
            </w:r>
          </w:p>
        </w:tc>
        <w:tc>
          <w:tcPr>
            <w:tcW w:w="1316" w:type="dxa"/>
          </w:tcPr>
          <w:p w:rsidR="0096256F" w:rsidRPr="00384787" w:rsidRDefault="0096256F"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2011</w:t>
            </w:r>
          </w:p>
        </w:tc>
        <w:tc>
          <w:tcPr>
            <w:tcW w:w="1316" w:type="dxa"/>
          </w:tcPr>
          <w:p w:rsidR="0096256F" w:rsidRPr="00384787" w:rsidRDefault="0096256F"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2012</w:t>
            </w:r>
          </w:p>
        </w:tc>
        <w:tc>
          <w:tcPr>
            <w:tcW w:w="1316" w:type="dxa"/>
          </w:tcPr>
          <w:p w:rsidR="0096256F" w:rsidRPr="00384787" w:rsidRDefault="0096256F"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2013</w:t>
            </w:r>
          </w:p>
        </w:tc>
      </w:tr>
      <w:tr w:rsidR="00A13A9E" w:rsidRPr="00384787" w:rsidTr="00384787">
        <w:tc>
          <w:tcPr>
            <w:tcW w:w="1315" w:type="dxa"/>
          </w:tcPr>
          <w:p w:rsidR="0096256F" w:rsidRPr="00384787" w:rsidRDefault="0096256F"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Примања буџета</w:t>
            </w:r>
          </w:p>
        </w:tc>
        <w:tc>
          <w:tcPr>
            <w:tcW w:w="1316" w:type="dxa"/>
          </w:tcPr>
          <w:p w:rsidR="0096256F" w:rsidRPr="00384787" w:rsidRDefault="0096256F"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651.271,9</w:t>
            </w:r>
          </w:p>
        </w:tc>
        <w:tc>
          <w:tcPr>
            <w:tcW w:w="1316" w:type="dxa"/>
          </w:tcPr>
          <w:p w:rsidR="0096256F" w:rsidRPr="00384787" w:rsidRDefault="0096256F"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655.995,1</w:t>
            </w:r>
          </w:p>
        </w:tc>
        <w:tc>
          <w:tcPr>
            <w:tcW w:w="1316" w:type="dxa"/>
          </w:tcPr>
          <w:p w:rsidR="0096256F" w:rsidRPr="00384787" w:rsidRDefault="00A13A9E"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712.225,9</w:t>
            </w:r>
          </w:p>
        </w:tc>
        <w:tc>
          <w:tcPr>
            <w:tcW w:w="1316" w:type="dxa"/>
          </w:tcPr>
          <w:p w:rsidR="0096256F" w:rsidRPr="00384787" w:rsidRDefault="00A13A9E"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744.760,8</w:t>
            </w:r>
          </w:p>
        </w:tc>
        <w:tc>
          <w:tcPr>
            <w:tcW w:w="1316" w:type="dxa"/>
          </w:tcPr>
          <w:p w:rsidR="0096256F" w:rsidRPr="00384787" w:rsidRDefault="00A13A9E"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788.505,0</w:t>
            </w:r>
          </w:p>
        </w:tc>
        <w:tc>
          <w:tcPr>
            <w:tcW w:w="1316" w:type="dxa"/>
          </w:tcPr>
          <w:p w:rsidR="0096256F" w:rsidRPr="00384787" w:rsidRDefault="00A13A9E"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586.592,3</w:t>
            </w:r>
          </w:p>
        </w:tc>
      </w:tr>
      <w:tr w:rsidR="00A13A9E" w:rsidRPr="00384787" w:rsidTr="00384787">
        <w:tc>
          <w:tcPr>
            <w:tcW w:w="1315" w:type="dxa"/>
          </w:tcPr>
          <w:p w:rsidR="0096256F" w:rsidRPr="00384787" w:rsidRDefault="0096256F"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Порески приходи</w:t>
            </w:r>
          </w:p>
        </w:tc>
        <w:tc>
          <w:tcPr>
            <w:tcW w:w="1316" w:type="dxa"/>
          </w:tcPr>
          <w:p w:rsidR="0096256F" w:rsidRPr="00384787" w:rsidRDefault="00A13A9E"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582.893,1</w:t>
            </w:r>
          </w:p>
        </w:tc>
        <w:tc>
          <w:tcPr>
            <w:tcW w:w="1316" w:type="dxa"/>
          </w:tcPr>
          <w:p w:rsidR="0096256F" w:rsidRPr="00384787" w:rsidRDefault="00A13A9E"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574.644,2</w:t>
            </w:r>
          </w:p>
        </w:tc>
        <w:tc>
          <w:tcPr>
            <w:tcW w:w="1316" w:type="dxa"/>
          </w:tcPr>
          <w:p w:rsidR="0096256F" w:rsidRPr="00384787" w:rsidRDefault="00A13A9E"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616.606,5</w:t>
            </w:r>
          </w:p>
        </w:tc>
        <w:tc>
          <w:tcPr>
            <w:tcW w:w="1316" w:type="dxa"/>
          </w:tcPr>
          <w:p w:rsidR="0096256F" w:rsidRPr="00384787" w:rsidRDefault="00A13A9E"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646.597,9</w:t>
            </w:r>
          </w:p>
        </w:tc>
        <w:tc>
          <w:tcPr>
            <w:tcW w:w="1316" w:type="dxa"/>
          </w:tcPr>
          <w:p w:rsidR="0096256F" w:rsidRPr="00384787" w:rsidRDefault="00A13A9E"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686.828,2</w:t>
            </w:r>
          </w:p>
        </w:tc>
        <w:tc>
          <w:tcPr>
            <w:tcW w:w="1316" w:type="dxa"/>
          </w:tcPr>
          <w:p w:rsidR="0096256F" w:rsidRPr="00384787" w:rsidRDefault="00A13A9E"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529.683,2</w:t>
            </w:r>
          </w:p>
        </w:tc>
      </w:tr>
      <w:tr w:rsidR="00A13A9E" w:rsidRPr="00384787" w:rsidTr="00384787">
        <w:tc>
          <w:tcPr>
            <w:tcW w:w="1315" w:type="dxa"/>
          </w:tcPr>
          <w:p w:rsidR="0096256F" w:rsidRPr="00384787" w:rsidRDefault="0096256F"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Порез на доходак грађана</w:t>
            </w:r>
          </w:p>
        </w:tc>
        <w:tc>
          <w:tcPr>
            <w:tcW w:w="1316" w:type="dxa"/>
          </w:tcPr>
          <w:p w:rsidR="0096256F" w:rsidRPr="00384787" w:rsidRDefault="00A13A9E"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74.695,4</w:t>
            </w:r>
          </w:p>
        </w:tc>
        <w:tc>
          <w:tcPr>
            <w:tcW w:w="1316" w:type="dxa"/>
          </w:tcPr>
          <w:p w:rsidR="0096256F" w:rsidRPr="00384787" w:rsidRDefault="00A13A9E"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71.307,9</w:t>
            </w:r>
          </w:p>
        </w:tc>
        <w:tc>
          <w:tcPr>
            <w:tcW w:w="1316" w:type="dxa"/>
          </w:tcPr>
          <w:p w:rsidR="0096256F" w:rsidRPr="00384787" w:rsidRDefault="00A13A9E"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75.175,3</w:t>
            </w:r>
          </w:p>
        </w:tc>
        <w:tc>
          <w:tcPr>
            <w:tcW w:w="1316" w:type="dxa"/>
          </w:tcPr>
          <w:p w:rsidR="0096256F" w:rsidRPr="00384787" w:rsidRDefault="00A13A9E"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70,284,9</w:t>
            </w:r>
          </w:p>
        </w:tc>
        <w:tc>
          <w:tcPr>
            <w:tcW w:w="1316" w:type="dxa"/>
          </w:tcPr>
          <w:p w:rsidR="0096256F" w:rsidRPr="00384787" w:rsidRDefault="00A13A9E"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46.432,4</w:t>
            </w:r>
          </w:p>
        </w:tc>
        <w:tc>
          <w:tcPr>
            <w:tcW w:w="1316" w:type="dxa"/>
          </w:tcPr>
          <w:p w:rsidR="0096256F" w:rsidRPr="00384787" w:rsidRDefault="00A13A9E"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31.116,4</w:t>
            </w:r>
          </w:p>
        </w:tc>
      </w:tr>
      <w:tr w:rsidR="00A13A9E" w:rsidRPr="00384787" w:rsidTr="00384787">
        <w:tc>
          <w:tcPr>
            <w:tcW w:w="1315" w:type="dxa"/>
          </w:tcPr>
          <w:p w:rsidR="0096256F" w:rsidRPr="00384787" w:rsidRDefault="0096256F"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Порез на добит предузећа</w:t>
            </w:r>
          </w:p>
        </w:tc>
        <w:tc>
          <w:tcPr>
            <w:tcW w:w="1316" w:type="dxa"/>
          </w:tcPr>
          <w:p w:rsidR="0096256F" w:rsidRPr="00384787" w:rsidRDefault="00A13A9E"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34.968,0</w:t>
            </w:r>
          </w:p>
        </w:tc>
        <w:tc>
          <w:tcPr>
            <w:tcW w:w="1316" w:type="dxa"/>
          </w:tcPr>
          <w:p w:rsidR="0096256F" w:rsidRPr="00384787" w:rsidRDefault="00A13A9E"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29.494,8</w:t>
            </w:r>
          </w:p>
        </w:tc>
        <w:tc>
          <w:tcPr>
            <w:tcW w:w="1316" w:type="dxa"/>
          </w:tcPr>
          <w:p w:rsidR="0096256F" w:rsidRPr="00384787" w:rsidRDefault="00A13A9E"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29.891,9</w:t>
            </w:r>
          </w:p>
        </w:tc>
        <w:tc>
          <w:tcPr>
            <w:tcW w:w="1316" w:type="dxa"/>
          </w:tcPr>
          <w:p w:rsidR="0096256F" w:rsidRPr="00384787" w:rsidRDefault="00A13A9E"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34.208,5</w:t>
            </w:r>
          </w:p>
        </w:tc>
        <w:tc>
          <w:tcPr>
            <w:tcW w:w="1316" w:type="dxa"/>
          </w:tcPr>
          <w:p w:rsidR="0096256F" w:rsidRPr="00384787" w:rsidRDefault="00A13A9E"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48.802,8</w:t>
            </w:r>
          </w:p>
        </w:tc>
        <w:tc>
          <w:tcPr>
            <w:tcW w:w="1316" w:type="dxa"/>
          </w:tcPr>
          <w:p w:rsidR="0096256F" w:rsidRPr="00384787" w:rsidRDefault="00A13A9E"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39.255,1</w:t>
            </w:r>
          </w:p>
        </w:tc>
      </w:tr>
      <w:tr w:rsidR="00A13A9E" w:rsidRPr="00384787" w:rsidTr="00384787">
        <w:tc>
          <w:tcPr>
            <w:tcW w:w="1315" w:type="dxa"/>
          </w:tcPr>
          <w:p w:rsidR="0096256F" w:rsidRPr="00384787" w:rsidRDefault="0096256F"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Порез на додату вредност</w:t>
            </w:r>
          </w:p>
        </w:tc>
        <w:tc>
          <w:tcPr>
            <w:tcW w:w="1316" w:type="dxa"/>
          </w:tcPr>
          <w:p w:rsidR="0096256F" w:rsidRPr="00384787" w:rsidRDefault="00A13A9E"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301.689,5</w:t>
            </w:r>
          </w:p>
        </w:tc>
        <w:tc>
          <w:tcPr>
            <w:tcW w:w="1316" w:type="dxa"/>
          </w:tcPr>
          <w:p w:rsidR="0096256F" w:rsidRPr="00384787" w:rsidRDefault="00C33750"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296.927,2</w:t>
            </w:r>
          </w:p>
        </w:tc>
        <w:tc>
          <w:tcPr>
            <w:tcW w:w="1316" w:type="dxa"/>
          </w:tcPr>
          <w:p w:rsidR="0096256F" w:rsidRPr="00384787" w:rsidRDefault="00C33750"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319,366,9</w:t>
            </w:r>
          </w:p>
        </w:tc>
        <w:tc>
          <w:tcPr>
            <w:tcW w:w="1316" w:type="dxa"/>
          </w:tcPr>
          <w:p w:rsidR="0096256F" w:rsidRPr="00384787" w:rsidRDefault="00C33750"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342.445,8</w:t>
            </w:r>
          </w:p>
        </w:tc>
        <w:tc>
          <w:tcPr>
            <w:tcW w:w="1316" w:type="dxa"/>
          </w:tcPr>
          <w:p w:rsidR="0096256F" w:rsidRPr="00384787" w:rsidRDefault="00C33750"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367.471,8</w:t>
            </w:r>
          </w:p>
        </w:tc>
        <w:tc>
          <w:tcPr>
            <w:tcW w:w="1316" w:type="dxa"/>
          </w:tcPr>
          <w:p w:rsidR="0096256F" w:rsidRPr="00384787" w:rsidRDefault="00C33750"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280.696,3</w:t>
            </w:r>
          </w:p>
        </w:tc>
      </w:tr>
      <w:tr w:rsidR="00A13A9E" w:rsidRPr="00384787" w:rsidTr="00384787">
        <w:tc>
          <w:tcPr>
            <w:tcW w:w="1315" w:type="dxa"/>
          </w:tcPr>
          <w:p w:rsidR="0096256F" w:rsidRPr="00384787" w:rsidRDefault="0096256F"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акцизе</w:t>
            </w:r>
          </w:p>
        </w:tc>
        <w:tc>
          <w:tcPr>
            <w:tcW w:w="1316" w:type="dxa"/>
          </w:tcPr>
          <w:p w:rsidR="0096256F" w:rsidRPr="00384787" w:rsidRDefault="00C33750"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100.626,7</w:t>
            </w:r>
          </w:p>
        </w:tc>
        <w:tc>
          <w:tcPr>
            <w:tcW w:w="1316" w:type="dxa"/>
          </w:tcPr>
          <w:p w:rsidR="0096256F" w:rsidRPr="00384787" w:rsidRDefault="00C33750"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119.820,1</w:t>
            </w:r>
          </w:p>
        </w:tc>
        <w:tc>
          <w:tcPr>
            <w:tcW w:w="1316" w:type="dxa"/>
          </w:tcPr>
          <w:p w:rsidR="0096256F" w:rsidRPr="00384787" w:rsidRDefault="00C33750"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135.589,4</w:t>
            </w:r>
          </w:p>
        </w:tc>
        <w:tc>
          <w:tcPr>
            <w:tcW w:w="1316" w:type="dxa"/>
          </w:tcPr>
          <w:p w:rsidR="0096256F" w:rsidRPr="00384787" w:rsidRDefault="00C33750"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152.425,1</w:t>
            </w:r>
          </w:p>
        </w:tc>
        <w:tc>
          <w:tcPr>
            <w:tcW w:w="1316" w:type="dxa"/>
          </w:tcPr>
          <w:p w:rsidR="0096256F" w:rsidRPr="00384787" w:rsidRDefault="00C33750"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180.627,9</w:t>
            </w:r>
          </w:p>
        </w:tc>
        <w:tc>
          <w:tcPr>
            <w:tcW w:w="1316" w:type="dxa"/>
          </w:tcPr>
          <w:p w:rsidR="0096256F" w:rsidRPr="00384787" w:rsidRDefault="00C33750"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148.496,</w:t>
            </w:r>
            <w:r w:rsidR="008B3E45" w:rsidRPr="00384787">
              <w:rPr>
                <w:rFonts w:ascii="Times New Roman" w:hAnsi="Times New Roman"/>
                <w:sz w:val="24"/>
                <w:szCs w:val="24"/>
                <w:lang w:val="sr-Cyrl-CS"/>
              </w:rPr>
              <w:t>4</w:t>
            </w:r>
          </w:p>
        </w:tc>
      </w:tr>
      <w:tr w:rsidR="00A13A9E" w:rsidRPr="00384787" w:rsidTr="00384787">
        <w:tc>
          <w:tcPr>
            <w:tcW w:w="1315" w:type="dxa"/>
          </w:tcPr>
          <w:p w:rsidR="0096256F" w:rsidRPr="00384787" w:rsidRDefault="0096256F"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царине</w:t>
            </w:r>
          </w:p>
        </w:tc>
        <w:tc>
          <w:tcPr>
            <w:tcW w:w="1316" w:type="dxa"/>
          </w:tcPr>
          <w:p w:rsidR="0096256F" w:rsidRPr="00384787" w:rsidRDefault="00C33750"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64.784,3</w:t>
            </w:r>
          </w:p>
        </w:tc>
        <w:tc>
          <w:tcPr>
            <w:tcW w:w="1316" w:type="dxa"/>
          </w:tcPr>
          <w:p w:rsidR="0096256F" w:rsidRPr="00384787" w:rsidRDefault="00C33750"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48.039,8</w:t>
            </w:r>
          </w:p>
        </w:tc>
        <w:tc>
          <w:tcPr>
            <w:tcW w:w="1316" w:type="dxa"/>
          </w:tcPr>
          <w:p w:rsidR="0096256F" w:rsidRPr="00384787" w:rsidRDefault="00C33750"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44.285,5</w:t>
            </w:r>
          </w:p>
        </w:tc>
        <w:tc>
          <w:tcPr>
            <w:tcW w:w="1316" w:type="dxa"/>
          </w:tcPr>
          <w:p w:rsidR="0096256F" w:rsidRPr="00384787" w:rsidRDefault="00C33750"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38.804,7</w:t>
            </w:r>
          </w:p>
        </w:tc>
        <w:tc>
          <w:tcPr>
            <w:tcW w:w="1316" w:type="dxa"/>
          </w:tcPr>
          <w:p w:rsidR="0096256F" w:rsidRPr="00384787" w:rsidRDefault="00C33750"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35.782,8</w:t>
            </w:r>
          </w:p>
        </w:tc>
        <w:tc>
          <w:tcPr>
            <w:tcW w:w="1316" w:type="dxa"/>
          </w:tcPr>
          <w:p w:rsidR="0096256F" w:rsidRPr="00384787" w:rsidRDefault="008B3E45"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23.419,0</w:t>
            </w:r>
          </w:p>
        </w:tc>
      </w:tr>
      <w:tr w:rsidR="00A13A9E" w:rsidRPr="00384787" w:rsidTr="00384787">
        <w:tc>
          <w:tcPr>
            <w:tcW w:w="1315" w:type="dxa"/>
          </w:tcPr>
          <w:p w:rsidR="0096256F" w:rsidRPr="00384787" w:rsidRDefault="0096256F"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Остали порески приходи</w:t>
            </w:r>
          </w:p>
        </w:tc>
        <w:tc>
          <w:tcPr>
            <w:tcW w:w="1316" w:type="dxa"/>
          </w:tcPr>
          <w:p w:rsidR="0096256F" w:rsidRPr="00384787" w:rsidRDefault="00C33750"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6.129,2</w:t>
            </w:r>
          </w:p>
        </w:tc>
        <w:tc>
          <w:tcPr>
            <w:tcW w:w="1316" w:type="dxa"/>
          </w:tcPr>
          <w:p w:rsidR="0096256F" w:rsidRPr="00384787" w:rsidRDefault="00C33750"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9.054,4</w:t>
            </w:r>
          </w:p>
        </w:tc>
        <w:tc>
          <w:tcPr>
            <w:tcW w:w="1316" w:type="dxa"/>
          </w:tcPr>
          <w:p w:rsidR="0096256F" w:rsidRPr="00384787" w:rsidRDefault="00C33750"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12.297,5</w:t>
            </w:r>
          </w:p>
        </w:tc>
        <w:tc>
          <w:tcPr>
            <w:tcW w:w="1316" w:type="dxa"/>
          </w:tcPr>
          <w:p w:rsidR="0096256F" w:rsidRPr="00384787" w:rsidRDefault="00C33750"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8.428,9</w:t>
            </w:r>
          </w:p>
        </w:tc>
        <w:tc>
          <w:tcPr>
            <w:tcW w:w="1316" w:type="dxa"/>
          </w:tcPr>
          <w:p w:rsidR="0096256F" w:rsidRPr="00384787" w:rsidRDefault="00C33750"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7.710,5</w:t>
            </w:r>
          </w:p>
        </w:tc>
        <w:tc>
          <w:tcPr>
            <w:tcW w:w="1316" w:type="dxa"/>
          </w:tcPr>
          <w:p w:rsidR="0096256F" w:rsidRPr="00384787" w:rsidRDefault="0096256F" w:rsidP="00384787">
            <w:pPr>
              <w:pStyle w:val="ListParagraph"/>
              <w:ind w:left="0"/>
              <w:jc w:val="both"/>
              <w:rPr>
                <w:rFonts w:ascii="Times New Roman" w:hAnsi="Times New Roman"/>
                <w:sz w:val="24"/>
                <w:szCs w:val="24"/>
                <w:lang w:val="sr-Cyrl-CS"/>
              </w:rPr>
            </w:pPr>
          </w:p>
        </w:tc>
      </w:tr>
      <w:tr w:rsidR="00A13A9E" w:rsidRPr="00384787" w:rsidTr="00384787">
        <w:tc>
          <w:tcPr>
            <w:tcW w:w="1315" w:type="dxa"/>
          </w:tcPr>
          <w:p w:rsidR="0096256F" w:rsidRPr="00384787" w:rsidRDefault="0096256F"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Непорески приходи</w:t>
            </w:r>
          </w:p>
        </w:tc>
        <w:tc>
          <w:tcPr>
            <w:tcW w:w="1316" w:type="dxa"/>
          </w:tcPr>
          <w:p w:rsidR="0096256F" w:rsidRPr="00384787" w:rsidRDefault="00C33750"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67.633,9</w:t>
            </w:r>
          </w:p>
        </w:tc>
        <w:tc>
          <w:tcPr>
            <w:tcW w:w="1316" w:type="dxa"/>
          </w:tcPr>
          <w:p w:rsidR="0096256F" w:rsidRPr="00384787" w:rsidRDefault="00C33750"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75.395,3</w:t>
            </w:r>
          </w:p>
        </w:tc>
        <w:tc>
          <w:tcPr>
            <w:tcW w:w="1316" w:type="dxa"/>
          </w:tcPr>
          <w:p w:rsidR="0096256F" w:rsidRPr="00384787" w:rsidRDefault="00C33750"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88.949,1</w:t>
            </w:r>
          </w:p>
        </w:tc>
        <w:tc>
          <w:tcPr>
            <w:tcW w:w="1316" w:type="dxa"/>
          </w:tcPr>
          <w:p w:rsidR="0096256F" w:rsidRPr="00384787" w:rsidRDefault="00C33750"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96.221,5</w:t>
            </w:r>
          </w:p>
        </w:tc>
        <w:tc>
          <w:tcPr>
            <w:tcW w:w="1316" w:type="dxa"/>
          </w:tcPr>
          <w:p w:rsidR="0096256F" w:rsidRPr="00384787" w:rsidRDefault="00C33750"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99.288,5</w:t>
            </w:r>
          </w:p>
        </w:tc>
        <w:tc>
          <w:tcPr>
            <w:tcW w:w="1316" w:type="dxa"/>
          </w:tcPr>
          <w:p w:rsidR="0096256F" w:rsidRPr="00384787" w:rsidRDefault="0096256F" w:rsidP="00384787">
            <w:pPr>
              <w:pStyle w:val="ListParagraph"/>
              <w:ind w:left="0"/>
              <w:jc w:val="both"/>
              <w:rPr>
                <w:rFonts w:ascii="Times New Roman" w:hAnsi="Times New Roman"/>
                <w:sz w:val="24"/>
                <w:szCs w:val="24"/>
                <w:lang w:val="sr-Cyrl-CS"/>
              </w:rPr>
            </w:pPr>
          </w:p>
        </w:tc>
      </w:tr>
      <w:tr w:rsidR="00A13A9E" w:rsidRPr="00384787" w:rsidTr="00384787">
        <w:tc>
          <w:tcPr>
            <w:tcW w:w="1315" w:type="dxa"/>
          </w:tcPr>
          <w:p w:rsidR="0096256F" w:rsidRPr="00384787" w:rsidRDefault="0096256F"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донације</w:t>
            </w:r>
          </w:p>
        </w:tc>
        <w:tc>
          <w:tcPr>
            <w:tcW w:w="1316" w:type="dxa"/>
          </w:tcPr>
          <w:p w:rsidR="0096256F" w:rsidRPr="00384787" w:rsidRDefault="00C33750"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744,9</w:t>
            </w:r>
          </w:p>
        </w:tc>
        <w:tc>
          <w:tcPr>
            <w:tcW w:w="1316" w:type="dxa"/>
          </w:tcPr>
          <w:p w:rsidR="0096256F" w:rsidRPr="00384787" w:rsidRDefault="00C33750"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5.955,6</w:t>
            </w:r>
          </w:p>
        </w:tc>
        <w:tc>
          <w:tcPr>
            <w:tcW w:w="1316" w:type="dxa"/>
          </w:tcPr>
          <w:p w:rsidR="0096256F" w:rsidRPr="00384787" w:rsidRDefault="00C33750"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6.670,3</w:t>
            </w:r>
          </w:p>
        </w:tc>
        <w:tc>
          <w:tcPr>
            <w:tcW w:w="1316" w:type="dxa"/>
          </w:tcPr>
          <w:p w:rsidR="0096256F" w:rsidRPr="00384787" w:rsidRDefault="00C33750"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1.941,4</w:t>
            </w:r>
          </w:p>
        </w:tc>
        <w:tc>
          <w:tcPr>
            <w:tcW w:w="1316" w:type="dxa"/>
          </w:tcPr>
          <w:p w:rsidR="0096256F" w:rsidRPr="00384787" w:rsidRDefault="00C33750" w:rsidP="00384787">
            <w:pPr>
              <w:pStyle w:val="ListParagraph"/>
              <w:ind w:left="0"/>
              <w:jc w:val="both"/>
              <w:rPr>
                <w:rFonts w:ascii="Times New Roman" w:hAnsi="Times New Roman"/>
                <w:sz w:val="24"/>
                <w:szCs w:val="24"/>
                <w:lang w:val="sr-Cyrl-CS"/>
              </w:rPr>
            </w:pPr>
            <w:r w:rsidRPr="00384787">
              <w:rPr>
                <w:rFonts w:ascii="Times New Roman" w:hAnsi="Times New Roman"/>
                <w:sz w:val="24"/>
                <w:szCs w:val="24"/>
                <w:lang w:val="sr-Cyrl-CS"/>
              </w:rPr>
              <w:t>2.388,3</w:t>
            </w:r>
          </w:p>
        </w:tc>
        <w:tc>
          <w:tcPr>
            <w:tcW w:w="1316" w:type="dxa"/>
          </w:tcPr>
          <w:p w:rsidR="0096256F" w:rsidRPr="00384787" w:rsidRDefault="0096256F" w:rsidP="00384787">
            <w:pPr>
              <w:pStyle w:val="ListParagraph"/>
              <w:ind w:left="0"/>
              <w:jc w:val="both"/>
              <w:rPr>
                <w:rFonts w:ascii="Times New Roman" w:hAnsi="Times New Roman"/>
                <w:sz w:val="24"/>
                <w:szCs w:val="24"/>
                <w:lang w:val="sr-Cyrl-CS"/>
              </w:rPr>
            </w:pPr>
          </w:p>
        </w:tc>
      </w:tr>
    </w:tbl>
    <w:p w:rsidR="0096256F" w:rsidRDefault="0096256F" w:rsidP="00B812BC">
      <w:pPr>
        <w:pStyle w:val="ListParagraph"/>
        <w:jc w:val="both"/>
        <w:rPr>
          <w:rFonts w:ascii="Times New Roman" w:hAnsi="Times New Roman"/>
          <w:sz w:val="24"/>
          <w:szCs w:val="24"/>
        </w:rPr>
      </w:pPr>
    </w:p>
    <w:p w:rsidR="00996F23" w:rsidRDefault="00996F23" w:rsidP="002A6BAE">
      <w:pPr>
        <w:pStyle w:val="ListParagraph"/>
        <w:ind w:left="0" w:firstLine="708"/>
        <w:jc w:val="both"/>
        <w:rPr>
          <w:rFonts w:ascii="Times New Roman" w:hAnsi="Times New Roman"/>
          <w:sz w:val="24"/>
          <w:szCs w:val="24"/>
          <w:lang w:val="sr-Cyrl-CS"/>
        </w:rPr>
      </w:pPr>
    </w:p>
    <w:p w:rsidR="00B72DF0" w:rsidRDefault="00553785" w:rsidP="002A6BAE">
      <w:pPr>
        <w:pStyle w:val="ListParagraph"/>
        <w:ind w:left="0" w:firstLine="708"/>
        <w:jc w:val="both"/>
        <w:rPr>
          <w:rFonts w:ascii="Times New Roman" w:hAnsi="Times New Roman"/>
          <w:sz w:val="24"/>
          <w:szCs w:val="24"/>
          <w:lang w:val="sr-Cyrl-CS"/>
        </w:rPr>
      </w:pPr>
      <w:r>
        <w:rPr>
          <w:rFonts w:ascii="Times New Roman" w:hAnsi="Times New Roman"/>
          <w:sz w:val="24"/>
          <w:szCs w:val="24"/>
          <w:lang w:val="sr-Cyrl-CS"/>
        </w:rPr>
        <w:lastRenderedPageBreak/>
        <w:t xml:space="preserve">Анализом дате табеле уочава се да доминирају приходи од пореза на додату вредност и акциза, дакле приходи од индиректних пореза. Убедљиво </w:t>
      </w:r>
      <w:r w:rsidR="009F3E4B">
        <w:rPr>
          <w:rFonts w:ascii="Times New Roman" w:hAnsi="Times New Roman"/>
          <w:sz w:val="24"/>
          <w:szCs w:val="24"/>
          <w:lang w:val="sr-Cyrl-CS"/>
        </w:rPr>
        <w:t xml:space="preserve">највеће учешће има порез на додату вредност. Међу директним порезима највеће учешће има порез на доходак грађана. </w:t>
      </w:r>
      <w:r w:rsidR="00B35CBC">
        <w:rPr>
          <w:rFonts w:ascii="Times New Roman" w:hAnsi="Times New Roman"/>
          <w:sz w:val="24"/>
          <w:szCs w:val="24"/>
          <w:lang w:val="sr-Cyrl-CS"/>
        </w:rPr>
        <w:t>Приходи од пореза на добит правних ли</w:t>
      </w:r>
      <w:r w:rsidR="002A6BAE">
        <w:rPr>
          <w:rFonts w:ascii="Times New Roman" w:hAnsi="Times New Roman"/>
          <w:sz w:val="24"/>
          <w:szCs w:val="24"/>
          <w:lang w:val="sr-Cyrl-CS"/>
        </w:rPr>
        <w:t>ца су забележили раст до 2009. г</w:t>
      </w:r>
      <w:r w:rsidR="00B35CBC">
        <w:rPr>
          <w:rFonts w:ascii="Times New Roman" w:hAnsi="Times New Roman"/>
          <w:sz w:val="24"/>
          <w:szCs w:val="24"/>
          <w:lang w:val="sr-Cyrl-CS"/>
        </w:rPr>
        <w:t>одине када опадају услед рецесије. Низак билансни значај овог пореског облика је услед ниске пореске стопе и широког система пореских подстицаја.</w:t>
      </w:r>
    </w:p>
    <w:p w:rsidR="00870A2F" w:rsidRDefault="00870A2F" w:rsidP="002A6BAE">
      <w:pPr>
        <w:pStyle w:val="ListParagraph"/>
        <w:ind w:left="0" w:firstLine="708"/>
        <w:jc w:val="both"/>
        <w:rPr>
          <w:rFonts w:ascii="Times New Roman" w:hAnsi="Times New Roman"/>
          <w:sz w:val="24"/>
          <w:szCs w:val="24"/>
          <w:lang w:val="sr-Cyrl-CS"/>
        </w:rPr>
      </w:pPr>
    </w:p>
    <w:p w:rsidR="00870A2F" w:rsidRDefault="00870A2F" w:rsidP="002A6BAE">
      <w:pPr>
        <w:pStyle w:val="ListParagraph"/>
        <w:ind w:left="0" w:firstLine="708"/>
        <w:jc w:val="both"/>
        <w:rPr>
          <w:rFonts w:ascii="Times New Roman" w:hAnsi="Times New Roman"/>
          <w:sz w:val="24"/>
          <w:szCs w:val="24"/>
          <w:lang w:val="sr-Cyrl-CS"/>
        </w:rPr>
      </w:pPr>
    </w:p>
    <w:p w:rsidR="00870A2F" w:rsidRDefault="00870A2F" w:rsidP="002A6BAE">
      <w:pPr>
        <w:pStyle w:val="ListParagraph"/>
        <w:ind w:left="0" w:firstLine="708"/>
        <w:jc w:val="both"/>
        <w:rPr>
          <w:rFonts w:ascii="Times New Roman" w:hAnsi="Times New Roman"/>
          <w:sz w:val="24"/>
          <w:szCs w:val="24"/>
          <w:lang w:val="sr-Cyrl-CS"/>
        </w:rPr>
      </w:pPr>
    </w:p>
    <w:p w:rsidR="00870A2F" w:rsidRPr="0077618E" w:rsidRDefault="00870A2F" w:rsidP="0077618E">
      <w:pPr>
        <w:pStyle w:val="ListParagraph"/>
        <w:numPr>
          <w:ilvl w:val="0"/>
          <w:numId w:val="3"/>
        </w:numPr>
        <w:jc w:val="center"/>
        <w:rPr>
          <w:rFonts w:ascii="Times New Roman" w:hAnsi="Times New Roman"/>
          <w:sz w:val="28"/>
          <w:szCs w:val="28"/>
          <w:lang w:val="sr-Cyrl-CS"/>
        </w:rPr>
      </w:pPr>
      <w:r w:rsidRPr="0077618E">
        <w:rPr>
          <w:rFonts w:ascii="Times New Roman" w:hAnsi="Times New Roman"/>
          <w:b/>
          <w:i/>
          <w:sz w:val="28"/>
          <w:szCs w:val="28"/>
          <w:lang w:val="sr-Cyrl-CS"/>
        </w:rPr>
        <w:t>Структура пореза</w:t>
      </w:r>
    </w:p>
    <w:p w:rsidR="00870A2F" w:rsidRDefault="00870A2F" w:rsidP="00870A2F">
      <w:pPr>
        <w:pStyle w:val="ListParagraph"/>
        <w:ind w:left="1069"/>
        <w:jc w:val="both"/>
        <w:rPr>
          <w:rFonts w:ascii="Times New Roman" w:hAnsi="Times New Roman"/>
          <w:b/>
          <w:i/>
          <w:sz w:val="24"/>
          <w:szCs w:val="24"/>
          <w:lang w:val="sr-Cyrl-CS"/>
        </w:rPr>
      </w:pPr>
    </w:p>
    <w:p w:rsidR="00870A2F" w:rsidRDefault="00870A2F" w:rsidP="00870A2F">
      <w:pPr>
        <w:ind w:firstLine="708"/>
        <w:jc w:val="both"/>
        <w:rPr>
          <w:rFonts w:ascii="Times New Roman" w:hAnsi="Times New Roman"/>
          <w:sz w:val="24"/>
          <w:szCs w:val="24"/>
          <w:lang w:val="sr-Cyrl-CS"/>
        </w:rPr>
      </w:pPr>
      <w:r w:rsidRPr="008257C3">
        <w:rPr>
          <w:rFonts w:ascii="Times New Roman" w:hAnsi="Times New Roman"/>
          <w:sz w:val="24"/>
          <w:szCs w:val="24"/>
          <w:lang w:val="sr-Cyrl-CS"/>
        </w:rPr>
        <w:t xml:space="preserve">Према </w:t>
      </w:r>
      <w:r>
        <w:rPr>
          <w:rFonts w:ascii="Times New Roman" w:hAnsi="Times New Roman"/>
          <w:sz w:val="24"/>
          <w:szCs w:val="24"/>
          <w:lang w:val="sr-Cyrl-CS"/>
        </w:rPr>
        <w:t>Закону о буџетском систему</w:t>
      </w:r>
      <w:r>
        <w:rPr>
          <w:rStyle w:val="FootnoteReference"/>
          <w:rFonts w:ascii="Times New Roman" w:hAnsi="Times New Roman"/>
          <w:sz w:val="24"/>
          <w:szCs w:val="24"/>
          <w:lang w:val="sr-Cyrl-CS"/>
        </w:rPr>
        <w:footnoteReference w:id="234"/>
      </w:r>
      <w:r>
        <w:rPr>
          <w:rFonts w:ascii="Times New Roman" w:hAnsi="Times New Roman"/>
          <w:sz w:val="24"/>
          <w:szCs w:val="24"/>
          <w:lang w:val="sr-Cyrl-CS"/>
        </w:rPr>
        <w:t xml:space="preserve"> </w:t>
      </w:r>
      <w:r w:rsidRPr="00EA7334">
        <w:rPr>
          <w:rFonts w:ascii="Times New Roman" w:hAnsi="Times New Roman"/>
          <w:color w:val="000000"/>
          <w:sz w:val="24"/>
          <w:szCs w:val="24"/>
          <w:shd w:val="clear" w:color="auto" w:fill="FFFFFF"/>
          <w:lang w:val="sr-Cyrl-CS"/>
        </w:rPr>
        <w:t>п</w:t>
      </w:r>
      <w:r w:rsidRPr="00EA7334">
        <w:rPr>
          <w:rFonts w:ascii="Times New Roman" w:hAnsi="Times New Roman"/>
          <w:color w:val="000000"/>
          <w:sz w:val="24"/>
          <w:szCs w:val="24"/>
          <w:shd w:val="clear" w:color="auto" w:fill="FFFFFF"/>
        </w:rPr>
        <w:t>орези се могу уводити само законом и то на потрошњу, доходак, добит, имовину и пренос имовине физичких и правних лица.</w:t>
      </w:r>
    </w:p>
    <w:p w:rsidR="00870A2F" w:rsidRDefault="00870A2F" w:rsidP="00870A2F">
      <w:pPr>
        <w:ind w:firstLine="708"/>
        <w:jc w:val="both"/>
        <w:rPr>
          <w:color w:val="000000"/>
          <w:lang w:val="sr-Cyrl-CS"/>
        </w:rPr>
      </w:pPr>
      <w:r>
        <w:rPr>
          <w:rFonts w:ascii="Times New Roman" w:hAnsi="Times New Roman"/>
          <w:sz w:val="24"/>
          <w:szCs w:val="24"/>
          <w:lang w:val="sr-Cyrl-CS"/>
        </w:rPr>
        <w:t>Према Правилнику</w:t>
      </w:r>
      <w:r w:rsidRPr="00D55BC1">
        <w:rPr>
          <w:rFonts w:ascii="Times New Roman" w:hAnsi="Times New Roman"/>
          <w:sz w:val="24"/>
          <w:szCs w:val="24"/>
          <w:lang w:val="sr-Cyrl-CS"/>
        </w:rPr>
        <w:t xml:space="preserve"> о стандардном класификационом оквиру и контном плану за буџетски систем</w:t>
      </w:r>
      <w:r>
        <w:rPr>
          <w:rFonts w:ascii="Times New Roman" w:hAnsi="Times New Roman"/>
          <w:sz w:val="24"/>
          <w:szCs w:val="24"/>
          <w:lang w:val="sr-Cyrl-CS"/>
        </w:rPr>
        <w:t>,</w:t>
      </w:r>
      <w:r w:rsidRPr="00D55BC1">
        <w:rPr>
          <w:rStyle w:val="FootnoteReference"/>
          <w:rFonts w:ascii="Times New Roman" w:hAnsi="Times New Roman"/>
          <w:sz w:val="24"/>
          <w:szCs w:val="24"/>
          <w:lang w:val="sr-Cyrl-CS"/>
        </w:rPr>
        <w:t xml:space="preserve"> </w:t>
      </w:r>
      <w:r>
        <w:rPr>
          <w:rStyle w:val="FootnoteReference"/>
          <w:rFonts w:ascii="Times New Roman" w:hAnsi="Times New Roman"/>
          <w:sz w:val="24"/>
          <w:szCs w:val="24"/>
          <w:lang w:val="sr-Cyrl-CS"/>
        </w:rPr>
        <w:footnoteReference w:id="235"/>
      </w:r>
      <w:r>
        <w:rPr>
          <w:rFonts w:ascii="Times New Roman" w:hAnsi="Times New Roman"/>
          <w:sz w:val="24"/>
          <w:szCs w:val="24"/>
          <w:lang w:val="sr-Cyrl-CS"/>
        </w:rPr>
        <w:t xml:space="preserve"> који је донет на основу чл. 29. ст. 4. наведеног Закона, као што је наведено у претходном излагању, текући приходи  су сврстани у класу 700000. </w:t>
      </w:r>
    </w:p>
    <w:p w:rsidR="00870A2F" w:rsidRPr="006D4220" w:rsidRDefault="00870A2F" w:rsidP="00870A2F">
      <w:pPr>
        <w:pStyle w:val="normal0"/>
        <w:shd w:val="clear" w:color="auto" w:fill="FFFFFF"/>
        <w:spacing w:before="48" w:beforeAutospacing="0" w:after="48" w:afterAutospacing="0"/>
        <w:rPr>
          <w:color w:val="000000"/>
          <w:lang w:val="sr-Cyrl-CS"/>
        </w:rPr>
      </w:pPr>
    </w:p>
    <w:p w:rsidR="00870A2F" w:rsidRPr="006D4220" w:rsidRDefault="00870A2F" w:rsidP="00870A2F">
      <w:pPr>
        <w:pStyle w:val="normal0"/>
        <w:shd w:val="clear" w:color="auto" w:fill="FFFFFF"/>
        <w:spacing w:before="48" w:beforeAutospacing="0" w:after="48" w:afterAutospacing="0"/>
        <w:rPr>
          <w:color w:val="000000"/>
        </w:rPr>
      </w:pPr>
      <w:r>
        <w:rPr>
          <w:color w:val="000000"/>
          <w:lang w:val="sr-Cyrl-CS"/>
        </w:rPr>
        <w:t>Категорија</w:t>
      </w:r>
      <w:r w:rsidRPr="006D4220">
        <w:rPr>
          <w:color w:val="000000"/>
        </w:rPr>
        <w:t xml:space="preserve"> 710000 </w:t>
      </w:r>
      <w:r>
        <w:rPr>
          <w:color w:val="000000"/>
        </w:rPr>
        <w:t>–</w:t>
      </w:r>
      <w:r w:rsidRPr="006D4220">
        <w:rPr>
          <w:color w:val="000000"/>
        </w:rPr>
        <w:t xml:space="preserve"> </w:t>
      </w:r>
      <w:r>
        <w:rPr>
          <w:color w:val="000000"/>
          <w:lang w:val="sr-Cyrl-CS"/>
        </w:rPr>
        <w:t>Порези садржи групе</w:t>
      </w:r>
      <w:r w:rsidRPr="006D4220">
        <w:rPr>
          <w:color w:val="000000"/>
        </w:rPr>
        <w:t xml:space="preserve">, </w:t>
      </w:r>
      <w:r>
        <w:rPr>
          <w:color w:val="000000"/>
          <w:lang w:val="sr-Cyrl-CS"/>
        </w:rPr>
        <w:t>и то</w:t>
      </w:r>
      <w:r w:rsidRPr="006D4220">
        <w:rPr>
          <w:color w:val="000000"/>
        </w:rPr>
        <w:t>:</w:t>
      </w:r>
    </w:p>
    <w:p w:rsidR="00870A2F" w:rsidRPr="006D4220" w:rsidRDefault="00870A2F" w:rsidP="00870A2F">
      <w:pPr>
        <w:pStyle w:val="normal0"/>
        <w:shd w:val="clear" w:color="auto" w:fill="FFFFFF"/>
        <w:spacing w:before="48" w:beforeAutospacing="0" w:after="48" w:afterAutospacing="0"/>
        <w:rPr>
          <w:color w:val="000000"/>
        </w:rPr>
      </w:pPr>
      <w:r w:rsidRPr="006D4220">
        <w:rPr>
          <w:color w:val="000000"/>
        </w:rPr>
        <w:t xml:space="preserve">711000 </w:t>
      </w:r>
      <w:r>
        <w:rPr>
          <w:color w:val="000000"/>
        </w:rPr>
        <w:t>–</w:t>
      </w:r>
      <w:r w:rsidRPr="006D4220">
        <w:rPr>
          <w:color w:val="000000"/>
        </w:rPr>
        <w:t xml:space="preserve"> </w:t>
      </w:r>
      <w:r>
        <w:rPr>
          <w:color w:val="000000"/>
          <w:lang w:val="sr-Cyrl-CS"/>
        </w:rPr>
        <w:t>Порез на доходак, добит и капиталне добитке</w:t>
      </w:r>
      <w:r w:rsidRPr="006D4220">
        <w:rPr>
          <w:color w:val="000000"/>
        </w:rPr>
        <w:t>;</w:t>
      </w:r>
    </w:p>
    <w:p w:rsidR="00870A2F" w:rsidRPr="006D4220" w:rsidRDefault="00870A2F" w:rsidP="00870A2F">
      <w:pPr>
        <w:pStyle w:val="normal0"/>
        <w:shd w:val="clear" w:color="auto" w:fill="FFFFFF"/>
        <w:spacing w:before="48" w:beforeAutospacing="0" w:after="48" w:afterAutospacing="0"/>
        <w:rPr>
          <w:color w:val="000000"/>
        </w:rPr>
      </w:pPr>
      <w:r w:rsidRPr="006D4220">
        <w:rPr>
          <w:color w:val="000000"/>
        </w:rPr>
        <w:t xml:space="preserve">712000 </w:t>
      </w:r>
      <w:r>
        <w:rPr>
          <w:color w:val="000000"/>
        </w:rPr>
        <w:t>–</w:t>
      </w:r>
      <w:r w:rsidRPr="006D4220">
        <w:rPr>
          <w:color w:val="000000"/>
        </w:rPr>
        <w:t xml:space="preserve"> </w:t>
      </w:r>
      <w:r>
        <w:rPr>
          <w:color w:val="000000"/>
          <w:lang w:val="sr-Cyrl-CS"/>
        </w:rPr>
        <w:t>Порез на фонд зарада</w:t>
      </w:r>
      <w:r w:rsidRPr="006D4220">
        <w:rPr>
          <w:color w:val="000000"/>
        </w:rPr>
        <w:t>;</w:t>
      </w:r>
    </w:p>
    <w:p w:rsidR="00870A2F" w:rsidRPr="006D4220" w:rsidRDefault="00870A2F" w:rsidP="00870A2F">
      <w:pPr>
        <w:pStyle w:val="normal0"/>
        <w:shd w:val="clear" w:color="auto" w:fill="FFFFFF"/>
        <w:spacing w:before="48" w:beforeAutospacing="0" w:after="48" w:afterAutospacing="0"/>
        <w:rPr>
          <w:color w:val="000000"/>
        </w:rPr>
      </w:pPr>
      <w:r w:rsidRPr="006D4220">
        <w:rPr>
          <w:color w:val="000000"/>
        </w:rPr>
        <w:t xml:space="preserve">713000 </w:t>
      </w:r>
      <w:r>
        <w:rPr>
          <w:color w:val="000000"/>
        </w:rPr>
        <w:t>–</w:t>
      </w:r>
      <w:r w:rsidRPr="006D4220">
        <w:rPr>
          <w:color w:val="000000"/>
        </w:rPr>
        <w:t xml:space="preserve"> </w:t>
      </w:r>
      <w:r>
        <w:rPr>
          <w:color w:val="000000"/>
          <w:lang w:val="sr-Cyrl-CS"/>
        </w:rPr>
        <w:t>Порез на имовину</w:t>
      </w:r>
      <w:r w:rsidRPr="006D4220">
        <w:rPr>
          <w:color w:val="000000"/>
        </w:rPr>
        <w:t>;</w:t>
      </w:r>
    </w:p>
    <w:p w:rsidR="00870A2F" w:rsidRPr="006D4220" w:rsidRDefault="00870A2F" w:rsidP="00870A2F">
      <w:pPr>
        <w:pStyle w:val="normal0"/>
        <w:shd w:val="clear" w:color="auto" w:fill="FFFFFF"/>
        <w:spacing w:before="48" w:beforeAutospacing="0" w:after="48" w:afterAutospacing="0"/>
        <w:rPr>
          <w:color w:val="000000"/>
        </w:rPr>
      </w:pPr>
      <w:r w:rsidRPr="006D4220">
        <w:rPr>
          <w:color w:val="000000"/>
        </w:rPr>
        <w:t xml:space="preserve">714000 </w:t>
      </w:r>
      <w:r>
        <w:rPr>
          <w:color w:val="000000"/>
        </w:rPr>
        <w:t>–</w:t>
      </w:r>
      <w:r w:rsidRPr="006D4220">
        <w:rPr>
          <w:color w:val="000000"/>
        </w:rPr>
        <w:t xml:space="preserve"> </w:t>
      </w:r>
      <w:r>
        <w:rPr>
          <w:color w:val="000000"/>
          <w:lang w:val="sr-Cyrl-CS"/>
        </w:rPr>
        <w:t>Порез на добра и услуге</w:t>
      </w:r>
      <w:r w:rsidRPr="006D4220">
        <w:rPr>
          <w:color w:val="000000"/>
        </w:rPr>
        <w:t>;</w:t>
      </w:r>
    </w:p>
    <w:p w:rsidR="00870A2F" w:rsidRPr="006D4220" w:rsidRDefault="00870A2F" w:rsidP="00870A2F">
      <w:pPr>
        <w:pStyle w:val="normal0"/>
        <w:shd w:val="clear" w:color="auto" w:fill="FFFFFF"/>
        <w:spacing w:before="48" w:beforeAutospacing="0" w:after="48" w:afterAutospacing="0"/>
        <w:rPr>
          <w:color w:val="000000"/>
        </w:rPr>
      </w:pPr>
      <w:r w:rsidRPr="006D4220">
        <w:rPr>
          <w:color w:val="000000"/>
        </w:rPr>
        <w:t xml:space="preserve">715000 </w:t>
      </w:r>
      <w:r>
        <w:rPr>
          <w:color w:val="000000"/>
        </w:rPr>
        <w:t>–</w:t>
      </w:r>
      <w:r w:rsidRPr="006D4220">
        <w:rPr>
          <w:color w:val="000000"/>
        </w:rPr>
        <w:t xml:space="preserve"> </w:t>
      </w:r>
      <w:r>
        <w:rPr>
          <w:color w:val="000000"/>
          <w:lang w:val="sr-Cyrl-CS"/>
        </w:rPr>
        <w:t>Порез на међународну трговину и трансакције</w:t>
      </w:r>
      <w:r w:rsidRPr="006D4220">
        <w:rPr>
          <w:color w:val="000000"/>
        </w:rPr>
        <w:t>;</w:t>
      </w:r>
    </w:p>
    <w:p w:rsidR="00870A2F" w:rsidRPr="006D4220" w:rsidRDefault="00870A2F" w:rsidP="00870A2F">
      <w:pPr>
        <w:pStyle w:val="normal0"/>
        <w:shd w:val="clear" w:color="auto" w:fill="FFFFFF"/>
        <w:spacing w:before="48" w:beforeAutospacing="0" w:after="48" w:afterAutospacing="0"/>
        <w:rPr>
          <w:color w:val="000000"/>
        </w:rPr>
      </w:pPr>
      <w:r w:rsidRPr="006D4220">
        <w:rPr>
          <w:color w:val="000000"/>
        </w:rPr>
        <w:t xml:space="preserve">716000 </w:t>
      </w:r>
      <w:r>
        <w:rPr>
          <w:color w:val="000000"/>
        </w:rPr>
        <w:t>–</w:t>
      </w:r>
      <w:r w:rsidRPr="006D4220">
        <w:rPr>
          <w:color w:val="000000"/>
        </w:rPr>
        <w:t xml:space="preserve"> </w:t>
      </w:r>
      <w:r>
        <w:rPr>
          <w:color w:val="000000"/>
          <w:lang w:val="sr-Cyrl-CS"/>
        </w:rPr>
        <w:t>Други порези</w:t>
      </w:r>
      <w:r w:rsidRPr="006D4220">
        <w:rPr>
          <w:color w:val="000000"/>
        </w:rPr>
        <w:t>;</w:t>
      </w:r>
    </w:p>
    <w:p w:rsidR="00870A2F" w:rsidRPr="006D4220" w:rsidRDefault="00870A2F" w:rsidP="00870A2F">
      <w:pPr>
        <w:pStyle w:val="normal0"/>
        <w:shd w:val="clear" w:color="auto" w:fill="FFFFFF"/>
        <w:spacing w:before="48" w:beforeAutospacing="0" w:after="48" w:afterAutospacing="0"/>
        <w:rPr>
          <w:color w:val="000000"/>
        </w:rPr>
      </w:pPr>
      <w:r w:rsidRPr="006D4220">
        <w:rPr>
          <w:color w:val="000000"/>
        </w:rPr>
        <w:t xml:space="preserve">717000 - </w:t>
      </w:r>
      <w:r>
        <w:rPr>
          <w:color w:val="000000"/>
          <w:lang w:val="sr-Cyrl-CS"/>
        </w:rPr>
        <w:t>Акцизе</w:t>
      </w:r>
      <w:r w:rsidRPr="006D4220">
        <w:rPr>
          <w:color w:val="000000"/>
        </w:rPr>
        <w:t>;</w:t>
      </w:r>
    </w:p>
    <w:p w:rsidR="00870A2F" w:rsidRDefault="00870A2F" w:rsidP="00870A2F">
      <w:pPr>
        <w:pStyle w:val="normal0"/>
        <w:shd w:val="clear" w:color="auto" w:fill="FFFFFF"/>
        <w:spacing w:before="48" w:beforeAutospacing="0" w:after="48" w:afterAutospacing="0"/>
        <w:rPr>
          <w:color w:val="000000"/>
          <w:lang w:val="sr-Cyrl-CS"/>
        </w:rPr>
      </w:pPr>
      <w:r w:rsidRPr="006D4220">
        <w:rPr>
          <w:color w:val="000000"/>
        </w:rPr>
        <w:t xml:space="preserve">719000 </w:t>
      </w:r>
      <w:r>
        <w:rPr>
          <w:color w:val="000000"/>
        </w:rPr>
        <w:t>–</w:t>
      </w:r>
      <w:r w:rsidRPr="006D4220">
        <w:rPr>
          <w:color w:val="000000"/>
        </w:rPr>
        <w:t xml:space="preserve"> </w:t>
      </w:r>
      <w:r>
        <w:rPr>
          <w:color w:val="000000"/>
          <w:lang w:val="sr-Cyrl-CS"/>
        </w:rPr>
        <w:t>Једнократни порез на екстрапрофит</w:t>
      </w:r>
      <w:r w:rsidRPr="006D4220">
        <w:rPr>
          <w:color w:val="000000"/>
        </w:rPr>
        <w:t xml:space="preserve"> </w:t>
      </w:r>
      <w:r>
        <w:rPr>
          <w:color w:val="000000"/>
          <w:lang w:val="sr-Cyrl-CS"/>
        </w:rPr>
        <w:t>и екстра имовину стечену коришћењем</w:t>
      </w:r>
      <w:r w:rsidRPr="006D4220">
        <w:rPr>
          <w:color w:val="000000"/>
        </w:rPr>
        <w:t xml:space="preserve"> </w:t>
      </w:r>
      <w:r>
        <w:rPr>
          <w:color w:val="000000"/>
          <w:lang w:val="sr-Cyrl-CS"/>
        </w:rPr>
        <w:t>посебних погодности</w:t>
      </w:r>
      <w:r w:rsidRPr="006D4220">
        <w:rPr>
          <w:color w:val="000000"/>
        </w:rPr>
        <w:t>.</w:t>
      </w:r>
    </w:p>
    <w:p w:rsidR="00870A2F" w:rsidRPr="006D4220" w:rsidRDefault="00870A2F" w:rsidP="00870A2F">
      <w:pPr>
        <w:pStyle w:val="normal0"/>
        <w:shd w:val="clear" w:color="auto" w:fill="FFFFFF"/>
        <w:spacing w:before="48" w:beforeAutospacing="0" w:after="48" w:afterAutospacing="0"/>
        <w:rPr>
          <w:color w:val="000000"/>
          <w:lang w:val="sr-Cyrl-CS"/>
        </w:rPr>
      </w:pPr>
    </w:p>
    <w:p w:rsidR="00870A2F" w:rsidRPr="006D4220" w:rsidRDefault="00CB394F" w:rsidP="00870A2F">
      <w:pPr>
        <w:pStyle w:val="normal0"/>
        <w:shd w:val="clear" w:color="auto" w:fill="FFFFFF"/>
        <w:spacing w:before="48" w:beforeAutospacing="0" w:after="48" w:afterAutospacing="0"/>
        <w:jc w:val="both"/>
        <w:rPr>
          <w:color w:val="000000"/>
          <w:lang w:val="sr-Cyrl-CS"/>
        </w:rPr>
      </w:pPr>
      <w:r>
        <w:rPr>
          <w:color w:val="000000"/>
          <w:lang w:val="sr-Cyrl-CS"/>
        </w:rPr>
        <w:t>Група</w:t>
      </w:r>
      <w:r w:rsidR="00870A2F" w:rsidRPr="006D4220">
        <w:rPr>
          <w:color w:val="000000"/>
        </w:rPr>
        <w:t xml:space="preserve"> 711000 </w:t>
      </w:r>
      <w:r w:rsidR="00870A2F">
        <w:rPr>
          <w:color w:val="000000"/>
        </w:rPr>
        <w:t>–</w:t>
      </w:r>
      <w:r w:rsidR="00870A2F" w:rsidRPr="006D4220">
        <w:rPr>
          <w:color w:val="000000"/>
        </w:rPr>
        <w:t xml:space="preserve"> </w:t>
      </w:r>
      <w:r w:rsidR="00870A2F">
        <w:rPr>
          <w:color w:val="000000"/>
          <w:lang w:val="sr-Cyrl-CS"/>
        </w:rPr>
        <w:t>Порез на доходак, добит и капиталне добитке</w:t>
      </w:r>
      <w:r w:rsidR="00870A2F" w:rsidRPr="006D4220">
        <w:rPr>
          <w:color w:val="000000"/>
        </w:rPr>
        <w:t xml:space="preserve"> </w:t>
      </w:r>
      <w:r w:rsidR="00870A2F">
        <w:rPr>
          <w:color w:val="000000"/>
          <w:lang w:val="sr-Cyrl-CS"/>
        </w:rPr>
        <w:t>садржи синтетичка конта, и то:</w:t>
      </w:r>
    </w:p>
    <w:p w:rsidR="00870A2F" w:rsidRPr="006D4220" w:rsidRDefault="00870A2F" w:rsidP="00870A2F">
      <w:pPr>
        <w:pStyle w:val="normal0"/>
        <w:shd w:val="clear" w:color="auto" w:fill="FFFFFF"/>
        <w:spacing w:before="48" w:beforeAutospacing="0" w:after="48" w:afterAutospacing="0"/>
        <w:jc w:val="both"/>
        <w:rPr>
          <w:color w:val="000000"/>
        </w:rPr>
      </w:pPr>
      <w:r w:rsidRPr="006D4220">
        <w:rPr>
          <w:color w:val="000000"/>
        </w:rPr>
        <w:t xml:space="preserve">711100 - </w:t>
      </w:r>
      <w:r>
        <w:rPr>
          <w:color w:val="000000"/>
          <w:lang w:val="sr-Cyrl-CS"/>
        </w:rPr>
        <w:t>Порез на доходак, добит и капиталне добитке</w:t>
      </w:r>
      <w:r w:rsidRPr="006D4220">
        <w:rPr>
          <w:color w:val="000000"/>
        </w:rPr>
        <w:t xml:space="preserve"> </w:t>
      </w:r>
      <w:r>
        <w:rPr>
          <w:color w:val="000000"/>
          <w:lang w:val="sr-Cyrl-CS"/>
        </w:rPr>
        <w:t>које плаћају физичка лица</w:t>
      </w:r>
      <w:r w:rsidRPr="006D4220">
        <w:rPr>
          <w:color w:val="000000"/>
        </w:rPr>
        <w:t>;</w:t>
      </w:r>
    </w:p>
    <w:p w:rsidR="00870A2F" w:rsidRPr="006D4220" w:rsidRDefault="00870A2F" w:rsidP="00870A2F">
      <w:pPr>
        <w:pStyle w:val="normal0"/>
        <w:shd w:val="clear" w:color="auto" w:fill="FFFFFF"/>
        <w:spacing w:before="48" w:beforeAutospacing="0" w:after="48" w:afterAutospacing="0"/>
        <w:jc w:val="both"/>
        <w:rPr>
          <w:color w:val="000000"/>
        </w:rPr>
      </w:pPr>
      <w:r w:rsidRPr="006D4220">
        <w:rPr>
          <w:color w:val="000000"/>
        </w:rPr>
        <w:t xml:space="preserve">711200 - </w:t>
      </w:r>
      <w:r>
        <w:rPr>
          <w:color w:val="000000"/>
          <w:lang w:val="sr-Cyrl-CS"/>
        </w:rPr>
        <w:t>Порез на доходак, добит и капиталне добитке</w:t>
      </w:r>
      <w:r w:rsidRPr="006D4220">
        <w:rPr>
          <w:color w:val="000000"/>
        </w:rPr>
        <w:t xml:space="preserve"> </w:t>
      </w:r>
      <w:r>
        <w:rPr>
          <w:color w:val="000000"/>
          <w:lang w:val="sr-Cyrl-CS"/>
        </w:rPr>
        <w:t>које плаћају предузећа и друга правна лица</w:t>
      </w:r>
      <w:r w:rsidRPr="006D4220">
        <w:rPr>
          <w:color w:val="000000"/>
        </w:rPr>
        <w:t>;</w:t>
      </w:r>
    </w:p>
    <w:p w:rsidR="00870A2F" w:rsidRDefault="00870A2F" w:rsidP="00870A2F">
      <w:pPr>
        <w:pStyle w:val="normal0"/>
        <w:shd w:val="clear" w:color="auto" w:fill="FFFFFF"/>
        <w:spacing w:before="48" w:beforeAutospacing="0" w:after="48" w:afterAutospacing="0"/>
        <w:jc w:val="both"/>
        <w:rPr>
          <w:color w:val="000000"/>
          <w:lang w:val="sr-Cyrl-CS"/>
        </w:rPr>
      </w:pPr>
      <w:r w:rsidRPr="006D4220">
        <w:rPr>
          <w:color w:val="000000"/>
        </w:rPr>
        <w:t xml:space="preserve">711300 - </w:t>
      </w:r>
      <w:r>
        <w:rPr>
          <w:color w:val="000000"/>
          <w:lang w:val="sr-Cyrl-CS"/>
        </w:rPr>
        <w:t>Порез на доходак, добит и капиталне добитке</w:t>
      </w:r>
      <w:r w:rsidRPr="006D4220">
        <w:rPr>
          <w:color w:val="000000"/>
        </w:rPr>
        <w:t xml:space="preserve"> </w:t>
      </w:r>
      <w:r>
        <w:rPr>
          <w:color w:val="000000"/>
          <w:lang w:val="sr-Cyrl-CS"/>
        </w:rPr>
        <w:t>који се не могу разврстати између физичких и павних лица</w:t>
      </w:r>
      <w:r w:rsidRPr="006D4220">
        <w:rPr>
          <w:color w:val="000000"/>
        </w:rPr>
        <w:t>.</w:t>
      </w:r>
    </w:p>
    <w:p w:rsidR="00870A2F" w:rsidRPr="006D4220" w:rsidRDefault="00870A2F" w:rsidP="00870A2F">
      <w:pPr>
        <w:pStyle w:val="normal0"/>
        <w:shd w:val="clear" w:color="auto" w:fill="FFFFFF"/>
        <w:spacing w:before="48" w:beforeAutospacing="0" w:after="48" w:afterAutospacing="0"/>
        <w:jc w:val="both"/>
        <w:rPr>
          <w:color w:val="000000"/>
        </w:rPr>
      </w:pPr>
      <w:r>
        <w:rPr>
          <w:color w:val="000000"/>
          <w:lang w:val="sr-Cyrl-CS"/>
        </w:rPr>
        <w:lastRenderedPageBreak/>
        <w:t>Синтетички конто</w:t>
      </w:r>
      <w:r w:rsidRPr="006D4220">
        <w:rPr>
          <w:color w:val="000000"/>
        </w:rPr>
        <w:t xml:space="preserve"> 711100 </w:t>
      </w:r>
      <w:r>
        <w:rPr>
          <w:color w:val="000000"/>
        </w:rPr>
        <w:t>–</w:t>
      </w:r>
      <w:r w:rsidRPr="006D4220">
        <w:rPr>
          <w:color w:val="000000"/>
        </w:rPr>
        <w:t xml:space="preserve"> </w:t>
      </w:r>
      <w:r>
        <w:rPr>
          <w:color w:val="000000"/>
          <w:lang w:val="sr-Cyrl-CS"/>
        </w:rPr>
        <w:t>Порез на доходак и капиталне добитке</w:t>
      </w:r>
      <w:r w:rsidRPr="006D4220">
        <w:rPr>
          <w:color w:val="000000"/>
        </w:rPr>
        <w:t xml:space="preserve"> </w:t>
      </w:r>
      <w:r>
        <w:rPr>
          <w:color w:val="000000"/>
          <w:lang w:val="sr-Cyrl-CS"/>
        </w:rPr>
        <w:t xml:space="preserve">које плаћају физичка лица садржи аналитичка конта </w:t>
      </w:r>
      <w:r w:rsidRPr="006D4220">
        <w:rPr>
          <w:color w:val="000000"/>
        </w:rPr>
        <w:t xml:space="preserve"> </w:t>
      </w:r>
      <w:r>
        <w:rPr>
          <w:color w:val="000000"/>
          <w:lang w:val="sr-Cyrl-CS"/>
        </w:rPr>
        <w:t>на којима се књиже порез на зараде</w:t>
      </w:r>
      <w:r w:rsidRPr="006D4220">
        <w:rPr>
          <w:color w:val="000000"/>
        </w:rPr>
        <w:t xml:space="preserve">, </w:t>
      </w:r>
      <w:r>
        <w:rPr>
          <w:color w:val="000000"/>
          <w:lang w:val="sr-Cyrl-CS"/>
        </w:rPr>
        <w:t>порез на приходе од самосталних делатности</w:t>
      </w:r>
      <w:r w:rsidRPr="006D4220">
        <w:rPr>
          <w:color w:val="000000"/>
        </w:rPr>
        <w:t xml:space="preserve">, </w:t>
      </w:r>
      <w:r>
        <w:rPr>
          <w:color w:val="000000"/>
          <w:lang w:val="sr-Cyrl-CS"/>
        </w:rPr>
        <w:t>порез на приходе од ауторских права</w:t>
      </w:r>
      <w:r w:rsidRPr="006D4220">
        <w:rPr>
          <w:color w:val="000000"/>
        </w:rPr>
        <w:t xml:space="preserve">, </w:t>
      </w:r>
      <w:r>
        <w:rPr>
          <w:color w:val="000000"/>
          <w:lang w:val="sr-Cyrl-CS"/>
        </w:rPr>
        <w:t>порез на приходе од имовине</w:t>
      </w:r>
      <w:r w:rsidRPr="006D4220">
        <w:rPr>
          <w:color w:val="000000"/>
        </w:rPr>
        <w:t xml:space="preserve">, </w:t>
      </w:r>
      <w:r>
        <w:rPr>
          <w:color w:val="000000"/>
          <w:lang w:val="sr-Cyrl-CS"/>
        </w:rPr>
        <w:t>порез на добитке од игара на срећу</w:t>
      </w:r>
      <w:r w:rsidRPr="006D4220">
        <w:rPr>
          <w:color w:val="000000"/>
        </w:rPr>
        <w:t xml:space="preserve">, </w:t>
      </w:r>
      <w:r>
        <w:rPr>
          <w:color w:val="000000"/>
          <w:lang w:val="sr-Cyrl-CS"/>
        </w:rPr>
        <w:t xml:space="preserve">порез на приходе од осигурања лица, </w:t>
      </w:r>
      <w:r w:rsidRPr="006D4220">
        <w:rPr>
          <w:color w:val="000000"/>
        </w:rPr>
        <w:t xml:space="preserve"> </w:t>
      </w:r>
      <w:r>
        <w:rPr>
          <w:color w:val="000000"/>
          <w:lang w:val="sr-Cyrl-CS"/>
        </w:rPr>
        <w:t>годишњи порез на доходак грађана</w:t>
      </w:r>
      <w:r w:rsidRPr="006D4220">
        <w:rPr>
          <w:color w:val="000000"/>
        </w:rPr>
        <w:t xml:space="preserve">, </w:t>
      </w:r>
      <w:r>
        <w:rPr>
          <w:color w:val="000000"/>
          <w:lang w:val="sr-Cyrl-CS"/>
        </w:rPr>
        <w:t>самодоприноси и порез на друе приходе</w:t>
      </w:r>
      <w:r w:rsidRPr="006D4220">
        <w:rPr>
          <w:color w:val="000000"/>
        </w:rPr>
        <w:t>.</w:t>
      </w:r>
    </w:p>
    <w:p w:rsidR="00870A2F" w:rsidRPr="006D4220" w:rsidRDefault="00870A2F" w:rsidP="00870A2F">
      <w:pPr>
        <w:pStyle w:val="normal0"/>
        <w:shd w:val="clear" w:color="auto" w:fill="FFFFFF"/>
        <w:spacing w:before="48" w:beforeAutospacing="0" w:after="48" w:afterAutospacing="0"/>
        <w:jc w:val="both"/>
        <w:rPr>
          <w:color w:val="000000"/>
        </w:rPr>
      </w:pPr>
      <w:r>
        <w:rPr>
          <w:color w:val="000000"/>
          <w:lang w:val="sr-Cyrl-CS"/>
        </w:rPr>
        <w:t>Синтетички конто</w:t>
      </w:r>
      <w:r w:rsidRPr="006D4220">
        <w:rPr>
          <w:color w:val="000000"/>
        </w:rPr>
        <w:t xml:space="preserve"> 711200 </w:t>
      </w:r>
      <w:r>
        <w:rPr>
          <w:color w:val="000000"/>
        </w:rPr>
        <w:t>–</w:t>
      </w:r>
      <w:r w:rsidRPr="006D4220">
        <w:rPr>
          <w:color w:val="000000"/>
        </w:rPr>
        <w:t xml:space="preserve"> </w:t>
      </w:r>
      <w:r>
        <w:rPr>
          <w:color w:val="000000"/>
          <w:lang w:val="sr-Cyrl-CS"/>
        </w:rPr>
        <w:t>Порез на добит и капиталне добитке</w:t>
      </w:r>
      <w:r w:rsidRPr="006D4220">
        <w:rPr>
          <w:color w:val="000000"/>
        </w:rPr>
        <w:t xml:space="preserve"> </w:t>
      </w:r>
      <w:r>
        <w:rPr>
          <w:color w:val="000000"/>
          <w:lang w:val="sr-Cyrl-CS"/>
        </w:rPr>
        <w:t>које плаћају предузећа и друга правна лица</w:t>
      </w:r>
      <w:r w:rsidRPr="006D4220">
        <w:rPr>
          <w:color w:val="000000"/>
        </w:rPr>
        <w:t xml:space="preserve"> </w:t>
      </w:r>
      <w:r>
        <w:rPr>
          <w:color w:val="000000"/>
          <w:lang w:val="sr-Cyrl-CS"/>
        </w:rPr>
        <w:t>садржи аналитички конто на којем се књижи порез на добит предузећа</w:t>
      </w:r>
      <w:r w:rsidRPr="006D4220">
        <w:rPr>
          <w:color w:val="000000"/>
        </w:rPr>
        <w:t>.</w:t>
      </w:r>
    </w:p>
    <w:p w:rsidR="00870A2F" w:rsidRDefault="00870A2F" w:rsidP="00870A2F">
      <w:pPr>
        <w:pStyle w:val="normal0"/>
        <w:shd w:val="clear" w:color="auto" w:fill="FFFFFF"/>
        <w:spacing w:before="48" w:beforeAutospacing="0" w:after="48" w:afterAutospacing="0"/>
        <w:jc w:val="both"/>
        <w:rPr>
          <w:color w:val="000000"/>
          <w:lang w:val="sr-Cyrl-CS"/>
        </w:rPr>
      </w:pPr>
      <w:r>
        <w:rPr>
          <w:color w:val="000000"/>
          <w:lang w:val="sr-Cyrl-CS"/>
        </w:rPr>
        <w:t>Синтетички конто</w:t>
      </w:r>
      <w:r w:rsidRPr="006D4220">
        <w:rPr>
          <w:color w:val="000000"/>
        </w:rPr>
        <w:t xml:space="preserve"> 711300 </w:t>
      </w:r>
      <w:r>
        <w:rPr>
          <w:color w:val="000000"/>
        </w:rPr>
        <w:t>–</w:t>
      </w:r>
      <w:r w:rsidRPr="006D4220">
        <w:rPr>
          <w:color w:val="000000"/>
        </w:rPr>
        <w:t xml:space="preserve"> </w:t>
      </w:r>
      <w:r>
        <w:rPr>
          <w:color w:val="000000"/>
          <w:lang w:val="sr-Cyrl-CS"/>
        </w:rPr>
        <w:t xml:space="preserve">Порез на доходак, добит и капиталне добитке </w:t>
      </w:r>
      <w:r w:rsidRPr="006D4220">
        <w:rPr>
          <w:color w:val="000000"/>
        </w:rPr>
        <w:t xml:space="preserve"> </w:t>
      </w:r>
      <w:r>
        <w:rPr>
          <w:color w:val="000000"/>
          <w:lang w:val="sr-Cyrl-CS"/>
        </w:rPr>
        <w:t xml:space="preserve">који се не могу разврстати између физичких и правних лица </w:t>
      </w:r>
      <w:r w:rsidRPr="006D4220">
        <w:rPr>
          <w:color w:val="000000"/>
        </w:rPr>
        <w:t xml:space="preserve"> </w:t>
      </w:r>
      <w:r>
        <w:rPr>
          <w:color w:val="000000"/>
          <w:lang w:val="sr-Cyrl-CS"/>
        </w:rPr>
        <w:t>садрже аналитички конто на којем се књижи порез на доходак</w:t>
      </w:r>
      <w:r w:rsidRPr="006D4220">
        <w:rPr>
          <w:color w:val="000000"/>
        </w:rPr>
        <w:t xml:space="preserve">, </w:t>
      </w:r>
      <w:r>
        <w:rPr>
          <w:color w:val="000000"/>
          <w:lang w:val="sr-Cyrl-CS"/>
        </w:rPr>
        <w:t>добит и капиталне добитке</w:t>
      </w:r>
      <w:r w:rsidRPr="006D4220">
        <w:rPr>
          <w:color w:val="000000"/>
        </w:rPr>
        <w:t xml:space="preserve"> </w:t>
      </w:r>
      <w:r>
        <w:rPr>
          <w:color w:val="000000"/>
          <w:lang w:val="sr-Cyrl-CS"/>
        </w:rPr>
        <w:t>који се не могу разврстати између физичких и правних лица</w:t>
      </w:r>
      <w:r w:rsidRPr="006D4220">
        <w:rPr>
          <w:color w:val="000000"/>
        </w:rPr>
        <w:t>.</w:t>
      </w:r>
    </w:p>
    <w:p w:rsidR="00870A2F" w:rsidRDefault="00870A2F" w:rsidP="00870A2F">
      <w:pPr>
        <w:pStyle w:val="normal0"/>
        <w:shd w:val="clear" w:color="auto" w:fill="FFFFFF"/>
        <w:spacing w:before="48" w:beforeAutospacing="0" w:after="48" w:afterAutospacing="0"/>
        <w:rPr>
          <w:color w:val="000000"/>
          <w:lang w:val="sr-Cyrl-CS"/>
        </w:rPr>
      </w:pPr>
    </w:p>
    <w:p w:rsidR="00870A2F" w:rsidRPr="00110AF7" w:rsidRDefault="00870A2F" w:rsidP="00870A2F">
      <w:pPr>
        <w:pStyle w:val="normal0"/>
        <w:shd w:val="clear" w:color="auto" w:fill="FFFFFF"/>
        <w:spacing w:before="48" w:beforeAutospacing="0" w:after="48" w:afterAutospacing="0"/>
        <w:rPr>
          <w:color w:val="000000"/>
          <w:lang w:val="sr-Cyrl-CS"/>
        </w:rPr>
      </w:pPr>
    </w:p>
    <w:p w:rsidR="00870A2F" w:rsidRDefault="00870A2F" w:rsidP="00870A2F">
      <w:pPr>
        <w:pStyle w:val="normal0"/>
        <w:shd w:val="clear" w:color="auto" w:fill="FFFFFF"/>
        <w:spacing w:before="48" w:beforeAutospacing="0" w:after="48" w:afterAutospacing="0"/>
        <w:rPr>
          <w:color w:val="000000"/>
          <w:lang w:val="sr-Cyrl-CS"/>
        </w:rPr>
      </w:pPr>
      <w:r w:rsidRPr="006948BE">
        <w:rPr>
          <w:color w:val="000000"/>
          <w:lang w:val="sr-Cyrl-CS"/>
        </w:rPr>
        <w:t>Група</w:t>
      </w:r>
      <w:r w:rsidRPr="006948BE">
        <w:rPr>
          <w:color w:val="000000"/>
        </w:rPr>
        <w:t xml:space="preserve"> 712000 – </w:t>
      </w:r>
      <w:r w:rsidRPr="006948BE">
        <w:rPr>
          <w:color w:val="000000"/>
          <w:lang w:val="sr-Cyrl-CS"/>
        </w:rPr>
        <w:t>Порез на фонд зарада садржи синтетички конто</w:t>
      </w:r>
      <w:r w:rsidRPr="006948BE">
        <w:rPr>
          <w:color w:val="000000"/>
        </w:rPr>
        <w:t>:</w:t>
      </w:r>
    </w:p>
    <w:p w:rsidR="00996F23" w:rsidRPr="00996F23" w:rsidRDefault="00996F23" w:rsidP="00870A2F">
      <w:pPr>
        <w:pStyle w:val="normal0"/>
        <w:shd w:val="clear" w:color="auto" w:fill="FFFFFF"/>
        <w:spacing w:before="48" w:beforeAutospacing="0" w:after="48" w:afterAutospacing="0"/>
        <w:rPr>
          <w:color w:val="000000"/>
          <w:lang w:val="sr-Cyrl-CS"/>
        </w:rPr>
      </w:pPr>
    </w:p>
    <w:p w:rsidR="00870A2F" w:rsidRPr="006948BE" w:rsidRDefault="00870A2F" w:rsidP="00870A2F">
      <w:pPr>
        <w:pStyle w:val="normal0"/>
        <w:shd w:val="clear" w:color="auto" w:fill="FFFFFF"/>
        <w:spacing w:before="48" w:beforeAutospacing="0" w:after="48" w:afterAutospacing="0"/>
        <w:rPr>
          <w:color w:val="000000"/>
        </w:rPr>
      </w:pPr>
      <w:r w:rsidRPr="006948BE">
        <w:rPr>
          <w:color w:val="000000"/>
        </w:rPr>
        <w:t xml:space="preserve">712100 – </w:t>
      </w:r>
      <w:r w:rsidRPr="006948BE">
        <w:rPr>
          <w:color w:val="000000"/>
          <w:lang w:val="sr-Cyrl-CS"/>
        </w:rPr>
        <w:t>Порез на фонд зарада</w:t>
      </w:r>
      <w:r w:rsidRPr="006948BE">
        <w:rPr>
          <w:color w:val="000000"/>
        </w:rPr>
        <w:t>.</w:t>
      </w:r>
    </w:p>
    <w:p w:rsidR="00870A2F" w:rsidRDefault="00870A2F" w:rsidP="00870A2F">
      <w:pPr>
        <w:pStyle w:val="normal0"/>
        <w:shd w:val="clear" w:color="auto" w:fill="FFFFFF"/>
        <w:spacing w:before="48" w:beforeAutospacing="0" w:after="48" w:afterAutospacing="0"/>
        <w:rPr>
          <w:color w:val="000000"/>
          <w:lang w:val="sr-Cyrl-CS"/>
        </w:rPr>
      </w:pPr>
      <w:r w:rsidRPr="006948BE">
        <w:rPr>
          <w:color w:val="000000"/>
          <w:lang w:val="sr-Cyrl-CS"/>
        </w:rPr>
        <w:t>Синтетички конто</w:t>
      </w:r>
      <w:r w:rsidRPr="006948BE">
        <w:rPr>
          <w:color w:val="000000"/>
        </w:rPr>
        <w:t xml:space="preserve"> 712100 – </w:t>
      </w:r>
      <w:r w:rsidRPr="006948BE">
        <w:rPr>
          <w:color w:val="000000"/>
          <w:lang w:val="sr-Cyrl-CS"/>
        </w:rPr>
        <w:t>порез на фонд зарада садржи</w:t>
      </w:r>
      <w:r>
        <w:rPr>
          <w:color w:val="000000"/>
        </w:rPr>
        <w:t xml:space="preserve"> </w:t>
      </w:r>
      <w:r w:rsidRPr="006948BE">
        <w:rPr>
          <w:color w:val="000000"/>
        </w:rPr>
        <w:t xml:space="preserve"> </w:t>
      </w:r>
      <w:r w:rsidRPr="006948BE">
        <w:rPr>
          <w:color w:val="000000"/>
          <w:lang w:val="sr-Cyrl-CS"/>
        </w:rPr>
        <w:t>аналитички конто на којем се књижи порез на фонд зарада</w:t>
      </w:r>
      <w:r w:rsidRPr="006948BE">
        <w:rPr>
          <w:color w:val="000000"/>
        </w:rPr>
        <w:t>.</w:t>
      </w:r>
    </w:p>
    <w:p w:rsidR="00870A2F" w:rsidRPr="00F80A7F" w:rsidRDefault="00870A2F" w:rsidP="00870A2F">
      <w:pPr>
        <w:pStyle w:val="normal0"/>
        <w:shd w:val="clear" w:color="auto" w:fill="FFFFFF"/>
        <w:spacing w:before="48" w:beforeAutospacing="0" w:after="48" w:afterAutospacing="0"/>
        <w:rPr>
          <w:color w:val="000000"/>
          <w:lang w:val="sr-Cyrl-CS"/>
        </w:rPr>
      </w:pPr>
    </w:p>
    <w:p w:rsidR="00870A2F" w:rsidRPr="006948BE" w:rsidRDefault="00870A2F" w:rsidP="00870A2F">
      <w:pPr>
        <w:pStyle w:val="normal0"/>
        <w:shd w:val="clear" w:color="auto" w:fill="FFFFFF"/>
        <w:spacing w:before="48" w:beforeAutospacing="0" w:after="48" w:afterAutospacing="0"/>
        <w:rPr>
          <w:color w:val="000000"/>
        </w:rPr>
      </w:pPr>
      <w:r w:rsidRPr="006948BE">
        <w:rPr>
          <w:color w:val="000000"/>
          <w:lang w:val="sr-Cyrl-CS"/>
        </w:rPr>
        <w:t>Група</w:t>
      </w:r>
      <w:r w:rsidRPr="006948BE">
        <w:rPr>
          <w:color w:val="000000"/>
        </w:rPr>
        <w:t xml:space="preserve">713000 – </w:t>
      </w:r>
      <w:r w:rsidRPr="006948BE">
        <w:rPr>
          <w:color w:val="000000"/>
          <w:lang w:val="sr-Cyrl-CS"/>
        </w:rPr>
        <w:t>Порез на имовину садржи синтетичка конта</w:t>
      </w:r>
      <w:r w:rsidRPr="006948BE">
        <w:rPr>
          <w:color w:val="000000"/>
        </w:rPr>
        <w:t xml:space="preserve">, </w:t>
      </w:r>
      <w:r w:rsidRPr="006948BE">
        <w:rPr>
          <w:color w:val="000000"/>
          <w:lang w:val="sr-Cyrl-CS"/>
        </w:rPr>
        <w:t>и то</w:t>
      </w:r>
      <w:r w:rsidRPr="006948BE">
        <w:rPr>
          <w:color w:val="000000"/>
        </w:rPr>
        <w:t>:</w:t>
      </w:r>
    </w:p>
    <w:p w:rsidR="00870A2F" w:rsidRPr="006948BE" w:rsidRDefault="00870A2F" w:rsidP="00870A2F">
      <w:pPr>
        <w:pStyle w:val="normal0"/>
        <w:shd w:val="clear" w:color="auto" w:fill="FFFFFF"/>
        <w:spacing w:before="48" w:beforeAutospacing="0" w:after="48" w:afterAutospacing="0"/>
        <w:rPr>
          <w:color w:val="000000"/>
        </w:rPr>
      </w:pPr>
      <w:r w:rsidRPr="006948BE">
        <w:rPr>
          <w:color w:val="000000"/>
        </w:rPr>
        <w:t xml:space="preserve">713100 – </w:t>
      </w:r>
      <w:r w:rsidRPr="006948BE">
        <w:rPr>
          <w:color w:val="000000"/>
          <w:lang w:val="sr-Cyrl-CS"/>
        </w:rPr>
        <w:t>Периодични порези на непокретности</w:t>
      </w:r>
      <w:r w:rsidRPr="006948BE">
        <w:rPr>
          <w:color w:val="000000"/>
        </w:rPr>
        <w:t>;</w:t>
      </w:r>
    </w:p>
    <w:p w:rsidR="00870A2F" w:rsidRPr="006948BE" w:rsidRDefault="00870A2F" w:rsidP="00870A2F">
      <w:pPr>
        <w:pStyle w:val="normal0"/>
        <w:shd w:val="clear" w:color="auto" w:fill="FFFFFF"/>
        <w:spacing w:before="48" w:beforeAutospacing="0" w:after="48" w:afterAutospacing="0"/>
        <w:rPr>
          <w:color w:val="000000"/>
        </w:rPr>
      </w:pPr>
      <w:r w:rsidRPr="006948BE">
        <w:rPr>
          <w:color w:val="000000"/>
        </w:rPr>
        <w:t xml:space="preserve">713200 – </w:t>
      </w:r>
      <w:r w:rsidRPr="006948BE">
        <w:rPr>
          <w:color w:val="000000"/>
          <w:lang w:val="sr-Cyrl-CS"/>
        </w:rPr>
        <w:t>Периодични порези на нето имовину</w:t>
      </w:r>
      <w:r w:rsidRPr="006948BE">
        <w:rPr>
          <w:color w:val="000000"/>
        </w:rPr>
        <w:t>;</w:t>
      </w:r>
    </w:p>
    <w:p w:rsidR="00870A2F" w:rsidRPr="006948BE" w:rsidRDefault="00870A2F" w:rsidP="00870A2F">
      <w:pPr>
        <w:pStyle w:val="normal0"/>
        <w:shd w:val="clear" w:color="auto" w:fill="FFFFFF"/>
        <w:spacing w:before="48" w:beforeAutospacing="0" w:after="48" w:afterAutospacing="0"/>
        <w:rPr>
          <w:color w:val="000000"/>
        </w:rPr>
      </w:pPr>
      <w:r w:rsidRPr="006948BE">
        <w:rPr>
          <w:color w:val="000000"/>
        </w:rPr>
        <w:t xml:space="preserve">713300 – </w:t>
      </w:r>
      <w:r w:rsidRPr="006948BE">
        <w:rPr>
          <w:color w:val="000000"/>
          <w:lang w:val="sr-Cyrl-CS"/>
        </w:rPr>
        <w:t>Порези на заоставштину, наслеђе и поклон</w:t>
      </w:r>
      <w:r w:rsidRPr="006948BE">
        <w:rPr>
          <w:color w:val="000000"/>
        </w:rPr>
        <w:t>;</w:t>
      </w:r>
    </w:p>
    <w:p w:rsidR="00870A2F" w:rsidRPr="006948BE" w:rsidRDefault="00870A2F" w:rsidP="00870A2F">
      <w:pPr>
        <w:pStyle w:val="normal0"/>
        <w:shd w:val="clear" w:color="auto" w:fill="FFFFFF"/>
        <w:spacing w:before="48" w:beforeAutospacing="0" w:after="48" w:afterAutospacing="0"/>
        <w:rPr>
          <w:color w:val="000000"/>
        </w:rPr>
      </w:pPr>
      <w:r w:rsidRPr="006948BE">
        <w:rPr>
          <w:color w:val="000000"/>
        </w:rPr>
        <w:t xml:space="preserve">713400 – </w:t>
      </w:r>
      <w:r w:rsidRPr="006948BE">
        <w:rPr>
          <w:color w:val="000000"/>
          <w:lang w:val="sr-Cyrl-CS"/>
        </w:rPr>
        <w:t>Порези на финансијске и капиталне трансакције</w:t>
      </w:r>
      <w:r w:rsidRPr="006948BE">
        <w:rPr>
          <w:color w:val="000000"/>
        </w:rPr>
        <w:t>;</w:t>
      </w:r>
    </w:p>
    <w:p w:rsidR="00870A2F" w:rsidRPr="006948BE" w:rsidRDefault="00870A2F" w:rsidP="00870A2F">
      <w:pPr>
        <w:pStyle w:val="normal0"/>
        <w:shd w:val="clear" w:color="auto" w:fill="FFFFFF"/>
        <w:spacing w:before="48" w:beforeAutospacing="0" w:after="48" w:afterAutospacing="0"/>
        <w:rPr>
          <w:color w:val="000000"/>
        </w:rPr>
      </w:pPr>
      <w:r w:rsidRPr="006948BE">
        <w:rPr>
          <w:color w:val="000000"/>
        </w:rPr>
        <w:t xml:space="preserve">713500 – </w:t>
      </w:r>
      <w:r w:rsidRPr="006948BE">
        <w:rPr>
          <w:color w:val="000000"/>
          <w:lang w:val="sr-Cyrl-CS"/>
        </w:rPr>
        <w:t>Други једноратни порези на имовину</w:t>
      </w:r>
      <w:r w:rsidRPr="006948BE">
        <w:rPr>
          <w:color w:val="000000"/>
        </w:rPr>
        <w:t>;</w:t>
      </w:r>
    </w:p>
    <w:p w:rsidR="00870A2F" w:rsidRDefault="00870A2F" w:rsidP="00870A2F">
      <w:pPr>
        <w:pStyle w:val="normal0"/>
        <w:shd w:val="clear" w:color="auto" w:fill="FFFFFF"/>
        <w:spacing w:before="48" w:beforeAutospacing="0" w:after="48" w:afterAutospacing="0"/>
        <w:rPr>
          <w:color w:val="000000"/>
          <w:lang w:val="sr-Cyrl-CS"/>
        </w:rPr>
      </w:pPr>
      <w:r w:rsidRPr="006948BE">
        <w:rPr>
          <w:color w:val="000000"/>
        </w:rPr>
        <w:t xml:space="preserve">713600 – </w:t>
      </w:r>
      <w:r w:rsidRPr="006948BE">
        <w:rPr>
          <w:color w:val="000000"/>
          <w:lang w:val="sr-Cyrl-CS"/>
        </w:rPr>
        <w:t>Други периодични порези на имовину</w:t>
      </w:r>
      <w:r w:rsidRPr="006948BE">
        <w:rPr>
          <w:color w:val="000000"/>
        </w:rPr>
        <w:t>.</w:t>
      </w:r>
    </w:p>
    <w:p w:rsidR="00870A2F" w:rsidRPr="0034787F" w:rsidRDefault="00870A2F" w:rsidP="00870A2F">
      <w:pPr>
        <w:pStyle w:val="normal0"/>
        <w:shd w:val="clear" w:color="auto" w:fill="FFFFFF"/>
        <w:spacing w:before="48" w:beforeAutospacing="0" w:after="48" w:afterAutospacing="0"/>
        <w:rPr>
          <w:color w:val="000000"/>
          <w:lang w:val="sr-Cyrl-CS"/>
        </w:rPr>
      </w:pPr>
    </w:p>
    <w:p w:rsidR="00870A2F" w:rsidRDefault="00870A2F" w:rsidP="00870A2F">
      <w:pPr>
        <w:pStyle w:val="normal0"/>
        <w:shd w:val="clear" w:color="auto" w:fill="FFFFFF"/>
        <w:spacing w:before="48" w:beforeAutospacing="0" w:after="48" w:afterAutospacing="0"/>
        <w:rPr>
          <w:color w:val="000000"/>
          <w:lang w:val="sr-Cyrl-CS"/>
        </w:rPr>
      </w:pPr>
      <w:r w:rsidRPr="0034787F">
        <w:rPr>
          <w:color w:val="000000"/>
          <w:lang w:val="sr-Cyrl-CS"/>
        </w:rPr>
        <w:t>Група</w:t>
      </w:r>
      <w:r w:rsidRPr="0034787F">
        <w:rPr>
          <w:color w:val="000000"/>
        </w:rPr>
        <w:t xml:space="preserve"> 714000 – </w:t>
      </w:r>
      <w:r w:rsidRPr="0034787F">
        <w:rPr>
          <w:color w:val="000000"/>
          <w:lang w:val="sr-Cyrl-CS"/>
        </w:rPr>
        <w:t>Порез на добра и услуге садржи синтетичка конта</w:t>
      </w:r>
      <w:r w:rsidRPr="0034787F">
        <w:rPr>
          <w:color w:val="000000"/>
        </w:rPr>
        <w:t xml:space="preserve">, </w:t>
      </w:r>
      <w:r w:rsidRPr="0034787F">
        <w:rPr>
          <w:color w:val="000000"/>
          <w:lang w:val="sr-Cyrl-CS"/>
        </w:rPr>
        <w:t>и то</w:t>
      </w:r>
      <w:r w:rsidRPr="0034787F">
        <w:rPr>
          <w:color w:val="000000"/>
        </w:rPr>
        <w:t>:</w:t>
      </w:r>
    </w:p>
    <w:p w:rsidR="00996F23" w:rsidRPr="00996F23" w:rsidRDefault="00996F23" w:rsidP="00870A2F">
      <w:pPr>
        <w:pStyle w:val="normal0"/>
        <w:shd w:val="clear" w:color="auto" w:fill="FFFFFF"/>
        <w:spacing w:before="48" w:beforeAutospacing="0" w:after="48" w:afterAutospacing="0"/>
        <w:rPr>
          <w:color w:val="000000"/>
          <w:lang w:val="sr-Cyrl-CS"/>
        </w:rPr>
      </w:pPr>
    </w:p>
    <w:p w:rsidR="00870A2F" w:rsidRPr="0034787F" w:rsidRDefault="00870A2F" w:rsidP="00870A2F">
      <w:pPr>
        <w:pStyle w:val="normal0"/>
        <w:shd w:val="clear" w:color="auto" w:fill="FFFFFF"/>
        <w:spacing w:before="48" w:beforeAutospacing="0" w:after="48" w:afterAutospacing="0"/>
        <w:rPr>
          <w:color w:val="000000"/>
        </w:rPr>
      </w:pPr>
      <w:r w:rsidRPr="0034787F">
        <w:rPr>
          <w:color w:val="000000"/>
        </w:rPr>
        <w:t xml:space="preserve">714100 – </w:t>
      </w:r>
      <w:r w:rsidRPr="0034787F">
        <w:rPr>
          <w:color w:val="000000"/>
          <w:lang w:val="sr-Cyrl-CS"/>
        </w:rPr>
        <w:t xml:space="preserve">Општи </w:t>
      </w:r>
      <w:r>
        <w:rPr>
          <w:color w:val="000000"/>
          <w:lang w:val="sr-Cyrl-CS"/>
        </w:rPr>
        <w:t>порез на добра и ус</w:t>
      </w:r>
      <w:r w:rsidRPr="0034787F">
        <w:rPr>
          <w:color w:val="000000"/>
          <w:lang w:val="sr-Cyrl-CS"/>
        </w:rPr>
        <w:t>луге</w:t>
      </w:r>
      <w:r w:rsidRPr="0034787F">
        <w:rPr>
          <w:color w:val="000000"/>
        </w:rPr>
        <w:t>;</w:t>
      </w:r>
    </w:p>
    <w:p w:rsidR="00870A2F" w:rsidRPr="0034787F" w:rsidRDefault="00870A2F" w:rsidP="00870A2F">
      <w:pPr>
        <w:pStyle w:val="normal0"/>
        <w:shd w:val="clear" w:color="auto" w:fill="FFFFFF"/>
        <w:spacing w:before="48" w:beforeAutospacing="0" w:after="48" w:afterAutospacing="0"/>
        <w:rPr>
          <w:color w:val="000000"/>
        </w:rPr>
      </w:pPr>
      <w:r w:rsidRPr="0034787F">
        <w:rPr>
          <w:color w:val="000000"/>
        </w:rPr>
        <w:t xml:space="preserve">714300 – </w:t>
      </w:r>
      <w:r w:rsidRPr="0034787F">
        <w:rPr>
          <w:color w:val="000000"/>
          <w:lang w:val="sr-Cyrl-CS"/>
        </w:rPr>
        <w:t>Добит фискалних монопола</w:t>
      </w:r>
      <w:r w:rsidRPr="0034787F">
        <w:rPr>
          <w:color w:val="000000"/>
        </w:rPr>
        <w:t>;</w:t>
      </w:r>
    </w:p>
    <w:p w:rsidR="00870A2F" w:rsidRPr="0034787F" w:rsidRDefault="00870A2F" w:rsidP="00870A2F">
      <w:pPr>
        <w:pStyle w:val="normal0"/>
        <w:shd w:val="clear" w:color="auto" w:fill="FFFFFF"/>
        <w:spacing w:before="48" w:beforeAutospacing="0" w:after="48" w:afterAutospacing="0"/>
        <w:rPr>
          <w:color w:val="000000"/>
        </w:rPr>
      </w:pPr>
      <w:r w:rsidRPr="0034787F">
        <w:rPr>
          <w:color w:val="000000"/>
        </w:rPr>
        <w:t xml:space="preserve">714400 – </w:t>
      </w:r>
      <w:r w:rsidRPr="0034787F">
        <w:rPr>
          <w:color w:val="000000"/>
          <w:lang w:val="sr-Cyrl-CS"/>
        </w:rPr>
        <w:t>Порези на појединачне услуге</w:t>
      </w:r>
      <w:r w:rsidRPr="0034787F">
        <w:rPr>
          <w:color w:val="000000"/>
        </w:rPr>
        <w:t>;</w:t>
      </w:r>
    </w:p>
    <w:p w:rsidR="00870A2F" w:rsidRPr="0034787F" w:rsidRDefault="00870A2F" w:rsidP="00870A2F">
      <w:pPr>
        <w:pStyle w:val="normal0"/>
        <w:shd w:val="clear" w:color="auto" w:fill="FFFFFF"/>
        <w:spacing w:before="48" w:beforeAutospacing="0" w:after="48" w:afterAutospacing="0"/>
        <w:rPr>
          <w:color w:val="000000"/>
        </w:rPr>
      </w:pPr>
      <w:r w:rsidRPr="0034787F">
        <w:rPr>
          <w:color w:val="000000"/>
        </w:rPr>
        <w:t xml:space="preserve">714500 – </w:t>
      </w:r>
      <w:r w:rsidRPr="0034787F">
        <w:rPr>
          <w:color w:val="000000"/>
          <w:lang w:val="sr-Cyrl-CS"/>
        </w:rPr>
        <w:t>Порези, таксе и накнаде</w:t>
      </w:r>
      <w:r w:rsidRPr="0034787F">
        <w:rPr>
          <w:color w:val="000000"/>
        </w:rPr>
        <w:t xml:space="preserve"> </w:t>
      </w:r>
      <w:r w:rsidRPr="0034787F">
        <w:rPr>
          <w:color w:val="000000"/>
          <w:lang w:val="sr-Cyrl-CS"/>
        </w:rPr>
        <w:t>на употребу добара и на дозволу да се добра употребљавају</w:t>
      </w:r>
      <w:r w:rsidRPr="0034787F">
        <w:rPr>
          <w:color w:val="000000"/>
        </w:rPr>
        <w:t xml:space="preserve"> </w:t>
      </w:r>
      <w:r w:rsidRPr="0034787F">
        <w:rPr>
          <w:color w:val="000000"/>
          <w:lang w:val="sr-Cyrl-CS"/>
        </w:rPr>
        <w:t>или делатности обављају</w:t>
      </w:r>
      <w:r w:rsidRPr="0034787F">
        <w:rPr>
          <w:color w:val="000000"/>
        </w:rPr>
        <w:t>;</w:t>
      </w:r>
    </w:p>
    <w:p w:rsidR="00870A2F" w:rsidRDefault="00870A2F" w:rsidP="00870A2F">
      <w:pPr>
        <w:pStyle w:val="normal0"/>
        <w:shd w:val="clear" w:color="auto" w:fill="FFFFFF"/>
        <w:spacing w:before="48" w:beforeAutospacing="0" w:after="48" w:afterAutospacing="0"/>
        <w:rPr>
          <w:color w:val="000000"/>
          <w:lang w:val="sr-Cyrl-CS"/>
        </w:rPr>
      </w:pPr>
      <w:r w:rsidRPr="0034787F">
        <w:rPr>
          <w:color w:val="000000"/>
        </w:rPr>
        <w:t xml:space="preserve">714600 – </w:t>
      </w:r>
      <w:r w:rsidRPr="0034787F">
        <w:rPr>
          <w:color w:val="000000"/>
          <w:lang w:val="sr-Cyrl-CS"/>
        </w:rPr>
        <w:t>Други порези на добра и услуге</w:t>
      </w:r>
      <w:r w:rsidRPr="0034787F">
        <w:rPr>
          <w:color w:val="000000"/>
        </w:rPr>
        <w:t>.</w:t>
      </w:r>
    </w:p>
    <w:p w:rsidR="00870A2F" w:rsidRPr="006D4220" w:rsidRDefault="00870A2F" w:rsidP="00870A2F">
      <w:pPr>
        <w:pStyle w:val="normal0"/>
        <w:shd w:val="clear" w:color="auto" w:fill="FFFFFF"/>
        <w:spacing w:before="48" w:beforeAutospacing="0" w:after="48" w:afterAutospacing="0"/>
        <w:rPr>
          <w:color w:val="000000"/>
          <w:lang w:val="sr-Cyrl-CS"/>
        </w:rPr>
      </w:pPr>
    </w:p>
    <w:p w:rsidR="00870A2F" w:rsidRDefault="00870A2F" w:rsidP="00870A2F">
      <w:pPr>
        <w:pStyle w:val="normal0"/>
        <w:shd w:val="clear" w:color="auto" w:fill="FFFFFF"/>
        <w:spacing w:before="48" w:beforeAutospacing="0" w:after="48" w:afterAutospacing="0"/>
        <w:rPr>
          <w:color w:val="000000"/>
          <w:lang w:val="sr-Cyrl-CS"/>
        </w:rPr>
      </w:pPr>
      <w:r w:rsidRPr="00AE021E">
        <w:rPr>
          <w:color w:val="000000"/>
          <w:lang w:val="sr-Cyrl-CS"/>
        </w:rPr>
        <w:t>Група</w:t>
      </w:r>
      <w:r w:rsidRPr="00AE021E">
        <w:rPr>
          <w:color w:val="000000"/>
        </w:rPr>
        <w:t xml:space="preserve"> 715000 – </w:t>
      </w:r>
      <w:r w:rsidRPr="00AE021E">
        <w:rPr>
          <w:color w:val="000000"/>
          <w:lang w:val="sr-Cyrl-CS"/>
        </w:rPr>
        <w:t>Порез на међународну трговину и трансакције</w:t>
      </w:r>
      <w:r w:rsidRPr="00AE021E">
        <w:rPr>
          <w:color w:val="000000"/>
        </w:rPr>
        <w:t xml:space="preserve"> </w:t>
      </w:r>
      <w:r w:rsidRPr="00AE021E">
        <w:rPr>
          <w:color w:val="000000"/>
          <w:lang w:val="sr-Cyrl-CS"/>
        </w:rPr>
        <w:t>садржи синтетичка конта</w:t>
      </w:r>
      <w:r w:rsidRPr="00AE021E">
        <w:rPr>
          <w:color w:val="000000"/>
        </w:rPr>
        <w:t xml:space="preserve">, </w:t>
      </w:r>
      <w:r w:rsidRPr="00AE021E">
        <w:rPr>
          <w:color w:val="000000"/>
          <w:lang w:val="sr-Cyrl-CS"/>
        </w:rPr>
        <w:t>и то</w:t>
      </w:r>
      <w:r w:rsidRPr="00AE021E">
        <w:rPr>
          <w:color w:val="000000"/>
        </w:rPr>
        <w:t>:</w:t>
      </w:r>
    </w:p>
    <w:p w:rsidR="00996F23" w:rsidRPr="00996F23" w:rsidRDefault="00996F23" w:rsidP="00870A2F">
      <w:pPr>
        <w:pStyle w:val="normal0"/>
        <w:shd w:val="clear" w:color="auto" w:fill="FFFFFF"/>
        <w:spacing w:before="48" w:beforeAutospacing="0" w:after="48" w:afterAutospacing="0"/>
        <w:rPr>
          <w:color w:val="000000"/>
          <w:lang w:val="sr-Cyrl-CS"/>
        </w:rPr>
      </w:pPr>
    </w:p>
    <w:p w:rsidR="00870A2F" w:rsidRPr="00AE021E" w:rsidRDefault="00870A2F" w:rsidP="00870A2F">
      <w:pPr>
        <w:pStyle w:val="normal0"/>
        <w:shd w:val="clear" w:color="auto" w:fill="FFFFFF"/>
        <w:spacing w:before="48" w:beforeAutospacing="0" w:after="48" w:afterAutospacing="0"/>
        <w:rPr>
          <w:color w:val="000000"/>
        </w:rPr>
      </w:pPr>
      <w:r w:rsidRPr="00AE021E">
        <w:rPr>
          <w:color w:val="000000"/>
        </w:rPr>
        <w:t xml:space="preserve">715100 – </w:t>
      </w:r>
      <w:r w:rsidRPr="00AE021E">
        <w:rPr>
          <w:color w:val="000000"/>
          <w:lang w:val="sr-Cyrl-CS"/>
        </w:rPr>
        <w:t>Царине и друге увозне дажбине</w:t>
      </w:r>
      <w:r w:rsidRPr="00AE021E">
        <w:rPr>
          <w:color w:val="000000"/>
        </w:rPr>
        <w:t>;</w:t>
      </w:r>
    </w:p>
    <w:p w:rsidR="00870A2F" w:rsidRPr="00AE021E" w:rsidRDefault="00870A2F" w:rsidP="00870A2F">
      <w:pPr>
        <w:pStyle w:val="normal0"/>
        <w:shd w:val="clear" w:color="auto" w:fill="FFFFFF"/>
        <w:spacing w:before="48" w:beforeAutospacing="0" w:after="48" w:afterAutospacing="0"/>
        <w:rPr>
          <w:color w:val="000000"/>
        </w:rPr>
      </w:pPr>
      <w:r w:rsidRPr="00AE021E">
        <w:rPr>
          <w:color w:val="000000"/>
        </w:rPr>
        <w:t xml:space="preserve">715200 – </w:t>
      </w:r>
      <w:r w:rsidRPr="00AE021E">
        <w:rPr>
          <w:color w:val="000000"/>
          <w:lang w:val="sr-Cyrl-CS"/>
        </w:rPr>
        <w:t>Порези на извоз</w:t>
      </w:r>
      <w:r w:rsidRPr="00AE021E">
        <w:rPr>
          <w:color w:val="000000"/>
        </w:rPr>
        <w:t>;</w:t>
      </w:r>
    </w:p>
    <w:p w:rsidR="00870A2F" w:rsidRPr="00AE021E" w:rsidRDefault="00870A2F" w:rsidP="00870A2F">
      <w:pPr>
        <w:pStyle w:val="normal0"/>
        <w:shd w:val="clear" w:color="auto" w:fill="FFFFFF"/>
        <w:spacing w:before="48" w:beforeAutospacing="0" w:after="48" w:afterAutospacing="0"/>
        <w:rPr>
          <w:color w:val="000000"/>
        </w:rPr>
      </w:pPr>
      <w:r w:rsidRPr="00AE021E">
        <w:rPr>
          <w:color w:val="000000"/>
        </w:rPr>
        <w:t xml:space="preserve">715300 – </w:t>
      </w:r>
      <w:r w:rsidRPr="00AE021E">
        <w:rPr>
          <w:color w:val="000000"/>
          <w:lang w:val="sr-Cyrl-CS"/>
        </w:rPr>
        <w:t>Добит извозних или увозних монопола</w:t>
      </w:r>
      <w:r w:rsidRPr="00AE021E">
        <w:rPr>
          <w:color w:val="000000"/>
        </w:rPr>
        <w:t>;</w:t>
      </w:r>
    </w:p>
    <w:p w:rsidR="00870A2F" w:rsidRPr="00AE021E" w:rsidRDefault="00870A2F" w:rsidP="00870A2F">
      <w:pPr>
        <w:pStyle w:val="normal0"/>
        <w:shd w:val="clear" w:color="auto" w:fill="FFFFFF"/>
        <w:spacing w:before="48" w:beforeAutospacing="0" w:after="48" w:afterAutospacing="0"/>
        <w:rPr>
          <w:color w:val="000000"/>
        </w:rPr>
      </w:pPr>
      <w:r>
        <w:rPr>
          <w:color w:val="000000"/>
        </w:rPr>
        <w:lastRenderedPageBreak/>
        <w:t>715400 -</w:t>
      </w:r>
      <w:r w:rsidRPr="00AE021E">
        <w:rPr>
          <w:color w:val="000000"/>
        </w:rPr>
        <w:t xml:space="preserve"> </w:t>
      </w:r>
      <w:r w:rsidRPr="00AE021E">
        <w:rPr>
          <w:color w:val="000000"/>
          <w:lang w:val="sr-Cyrl-CS"/>
        </w:rPr>
        <w:t>Добит по сонову разлике између</w:t>
      </w:r>
      <w:r w:rsidRPr="00AE021E">
        <w:rPr>
          <w:color w:val="000000"/>
        </w:rPr>
        <w:t xml:space="preserve"> </w:t>
      </w:r>
      <w:r w:rsidRPr="00AE021E">
        <w:rPr>
          <w:color w:val="000000"/>
          <w:lang w:val="sr-Cyrl-CS"/>
        </w:rPr>
        <w:t>куповног и продајног девизног курса</w:t>
      </w:r>
      <w:r w:rsidRPr="00AE021E">
        <w:rPr>
          <w:color w:val="000000"/>
        </w:rPr>
        <w:t>;</w:t>
      </w:r>
    </w:p>
    <w:p w:rsidR="00870A2F" w:rsidRPr="00AE021E" w:rsidRDefault="00870A2F" w:rsidP="00870A2F">
      <w:pPr>
        <w:pStyle w:val="normal0"/>
        <w:shd w:val="clear" w:color="auto" w:fill="FFFFFF"/>
        <w:spacing w:before="48" w:beforeAutospacing="0" w:after="48" w:afterAutospacing="0"/>
        <w:rPr>
          <w:color w:val="000000"/>
        </w:rPr>
      </w:pPr>
      <w:r w:rsidRPr="00AE021E">
        <w:rPr>
          <w:color w:val="000000"/>
        </w:rPr>
        <w:t xml:space="preserve">715500 – </w:t>
      </w:r>
      <w:r w:rsidRPr="00AE021E">
        <w:rPr>
          <w:color w:val="000000"/>
          <w:lang w:val="sr-Cyrl-CS"/>
        </w:rPr>
        <w:t>Порез на продају или куповину девиза</w:t>
      </w:r>
      <w:r w:rsidRPr="00AE021E">
        <w:rPr>
          <w:color w:val="000000"/>
        </w:rPr>
        <w:t>;</w:t>
      </w:r>
    </w:p>
    <w:p w:rsidR="00870A2F" w:rsidRDefault="00870A2F" w:rsidP="00870A2F">
      <w:pPr>
        <w:pStyle w:val="normal0"/>
        <w:shd w:val="clear" w:color="auto" w:fill="FFFFFF"/>
        <w:spacing w:before="48" w:beforeAutospacing="0" w:after="48" w:afterAutospacing="0"/>
        <w:rPr>
          <w:color w:val="000000"/>
          <w:lang w:val="sr-Cyrl-CS"/>
        </w:rPr>
      </w:pPr>
      <w:r w:rsidRPr="00AE021E">
        <w:rPr>
          <w:color w:val="000000"/>
        </w:rPr>
        <w:t xml:space="preserve">715600 – </w:t>
      </w:r>
      <w:r w:rsidRPr="00AE021E">
        <w:rPr>
          <w:color w:val="000000"/>
          <w:lang w:val="sr-Cyrl-CS"/>
        </w:rPr>
        <w:t>Други порези на међународну трговину и трнсакције</w:t>
      </w:r>
      <w:r w:rsidRPr="00AE021E">
        <w:rPr>
          <w:color w:val="000000"/>
        </w:rPr>
        <w:t>.</w:t>
      </w:r>
    </w:p>
    <w:p w:rsidR="00870A2F" w:rsidRDefault="00870A2F" w:rsidP="00870A2F">
      <w:pPr>
        <w:pStyle w:val="normal0"/>
        <w:shd w:val="clear" w:color="auto" w:fill="FFFFFF"/>
        <w:spacing w:before="48" w:beforeAutospacing="0" w:after="48" w:afterAutospacing="0"/>
        <w:rPr>
          <w:color w:val="000000"/>
          <w:lang w:val="sr-Cyrl-CS"/>
        </w:rPr>
      </w:pPr>
    </w:p>
    <w:p w:rsidR="00870A2F" w:rsidRPr="00AE021E" w:rsidRDefault="00870A2F" w:rsidP="00870A2F">
      <w:pPr>
        <w:pStyle w:val="normal0"/>
        <w:shd w:val="clear" w:color="auto" w:fill="FFFFFF"/>
        <w:spacing w:before="48" w:beforeAutospacing="0" w:after="48" w:afterAutospacing="0"/>
        <w:rPr>
          <w:color w:val="000000"/>
        </w:rPr>
      </w:pPr>
      <w:r w:rsidRPr="00AE021E">
        <w:rPr>
          <w:color w:val="000000"/>
          <w:lang w:val="sr-Cyrl-CS"/>
        </w:rPr>
        <w:t xml:space="preserve">Група </w:t>
      </w:r>
      <w:r w:rsidRPr="00AE021E">
        <w:rPr>
          <w:color w:val="000000"/>
        </w:rPr>
        <w:t xml:space="preserve">717000 – </w:t>
      </w:r>
      <w:r w:rsidRPr="00AE021E">
        <w:rPr>
          <w:color w:val="000000"/>
          <w:lang w:val="sr-Cyrl-CS"/>
        </w:rPr>
        <w:t>Акцизе садржи синтетичка конта</w:t>
      </w:r>
      <w:r w:rsidRPr="00AE021E">
        <w:rPr>
          <w:color w:val="000000"/>
        </w:rPr>
        <w:t xml:space="preserve">, </w:t>
      </w:r>
      <w:r w:rsidRPr="00AE021E">
        <w:rPr>
          <w:color w:val="000000"/>
          <w:lang w:val="sr-Cyrl-CS"/>
        </w:rPr>
        <w:t>и то</w:t>
      </w:r>
      <w:r w:rsidRPr="00AE021E">
        <w:rPr>
          <w:color w:val="000000"/>
        </w:rPr>
        <w:t>:</w:t>
      </w:r>
    </w:p>
    <w:p w:rsidR="00870A2F" w:rsidRPr="00AE021E" w:rsidRDefault="00870A2F" w:rsidP="00870A2F">
      <w:pPr>
        <w:pStyle w:val="normal0"/>
        <w:shd w:val="clear" w:color="auto" w:fill="FFFFFF"/>
        <w:spacing w:before="48" w:beforeAutospacing="0" w:after="48" w:afterAutospacing="0"/>
        <w:rPr>
          <w:color w:val="000000"/>
        </w:rPr>
      </w:pPr>
      <w:r w:rsidRPr="00AE021E">
        <w:rPr>
          <w:color w:val="000000"/>
        </w:rPr>
        <w:t xml:space="preserve">717100 – </w:t>
      </w:r>
      <w:r w:rsidRPr="00AE021E">
        <w:rPr>
          <w:color w:val="000000"/>
          <w:lang w:val="sr-Cyrl-CS"/>
        </w:rPr>
        <w:t>Акцизе на деривате нафте</w:t>
      </w:r>
      <w:r w:rsidRPr="00AE021E">
        <w:rPr>
          <w:color w:val="000000"/>
        </w:rPr>
        <w:t>;</w:t>
      </w:r>
    </w:p>
    <w:p w:rsidR="00870A2F" w:rsidRPr="00AE021E" w:rsidRDefault="00870A2F" w:rsidP="00870A2F">
      <w:pPr>
        <w:pStyle w:val="normal0"/>
        <w:shd w:val="clear" w:color="auto" w:fill="FFFFFF"/>
        <w:spacing w:before="48" w:beforeAutospacing="0" w:after="48" w:afterAutospacing="0"/>
        <w:rPr>
          <w:color w:val="000000"/>
        </w:rPr>
      </w:pPr>
      <w:r w:rsidRPr="00AE021E">
        <w:rPr>
          <w:color w:val="000000"/>
        </w:rPr>
        <w:t xml:space="preserve">717200 – </w:t>
      </w:r>
      <w:r w:rsidRPr="00AE021E">
        <w:rPr>
          <w:color w:val="000000"/>
          <w:lang w:val="sr-Cyrl-CS"/>
        </w:rPr>
        <w:t>Акцизе на дуванске прерађевине</w:t>
      </w:r>
      <w:r w:rsidRPr="00AE021E">
        <w:rPr>
          <w:color w:val="000000"/>
        </w:rPr>
        <w:t>;</w:t>
      </w:r>
    </w:p>
    <w:p w:rsidR="00870A2F" w:rsidRPr="00AE021E" w:rsidRDefault="00870A2F" w:rsidP="00870A2F">
      <w:pPr>
        <w:pStyle w:val="normal0"/>
        <w:shd w:val="clear" w:color="auto" w:fill="FFFFFF"/>
        <w:spacing w:before="48" w:beforeAutospacing="0" w:after="48" w:afterAutospacing="0"/>
        <w:rPr>
          <w:color w:val="000000"/>
        </w:rPr>
      </w:pPr>
      <w:r w:rsidRPr="00AE021E">
        <w:rPr>
          <w:color w:val="000000"/>
        </w:rPr>
        <w:t xml:space="preserve">717300 – </w:t>
      </w:r>
      <w:r w:rsidRPr="00AE021E">
        <w:rPr>
          <w:color w:val="000000"/>
          <w:lang w:val="sr-Cyrl-CS"/>
        </w:rPr>
        <w:t>Акцизе на алкохолна пића</w:t>
      </w:r>
      <w:r w:rsidRPr="00AE021E">
        <w:rPr>
          <w:color w:val="000000"/>
        </w:rPr>
        <w:t>;</w:t>
      </w:r>
    </w:p>
    <w:p w:rsidR="00870A2F" w:rsidRPr="00AE021E" w:rsidRDefault="00870A2F" w:rsidP="00870A2F">
      <w:pPr>
        <w:pStyle w:val="normal0"/>
        <w:shd w:val="clear" w:color="auto" w:fill="FFFFFF"/>
        <w:spacing w:before="48" w:beforeAutospacing="0" w:after="48" w:afterAutospacing="0"/>
        <w:rPr>
          <w:color w:val="000000"/>
        </w:rPr>
      </w:pPr>
      <w:r w:rsidRPr="00AE021E">
        <w:rPr>
          <w:color w:val="000000"/>
        </w:rPr>
        <w:t xml:space="preserve">717400 – </w:t>
      </w:r>
      <w:r w:rsidRPr="00AE021E">
        <w:rPr>
          <w:color w:val="000000"/>
          <w:lang w:val="sr-Cyrl-CS"/>
        </w:rPr>
        <w:t>Акцизе на освежавајућа безалкохолна пића</w:t>
      </w:r>
      <w:r w:rsidRPr="00AE021E">
        <w:rPr>
          <w:color w:val="000000"/>
        </w:rPr>
        <w:t>;</w:t>
      </w:r>
    </w:p>
    <w:p w:rsidR="00870A2F" w:rsidRPr="00AE021E" w:rsidRDefault="00870A2F" w:rsidP="00870A2F">
      <w:pPr>
        <w:pStyle w:val="normal0"/>
        <w:shd w:val="clear" w:color="auto" w:fill="FFFFFF"/>
        <w:spacing w:before="48" w:beforeAutospacing="0" w:after="48" w:afterAutospacing="0"/>
        <w:rPr>
          <w:color w:val="000000"/>
        </w:rPr>
      </w:pPr>
      <w:r w:rsidRPr="00AE021E">
        <w:rPr>
          <w:color w:val="000000"/>
        </w:rPr>
        <w:t xml:space="preserve">717500 – </w:t>
      </w:r>
      <w:r w:rsidRPr="00AE021E">
        <w:rPr>
          <w:color w:val="000000"/>
          <w:lang w:val="sr-Cyrl-CS"/>
        </w:rPr>
        <w:t>Акцизе на кафу</w:t>
      </w:r>
      <w:r w:rsidRPr="00AE021E">
        <w:rPr>
          <w:color w:val="000000"/>
        </w:rPr>
        <w:t>;</w:t>
      </w:r>
    </w:p>
    <w:p w:rsidR="00870A2F" w:rsidRDefault="00870A2F" w:rsidP="00870A2F">
      <w:pPr>
        <w:pStyle w:val="normal0"/>
        <w:shd w:val="clear" w:color="auto" w:fill="FFFFFF"/>
        <w:spacing w:before="48" w:beforeAutospacing="0" w:after="48" w:afterAutospacing="0"/>
        <w:rPr>
          <w:color w:val="000000"/>
          <w:lang w:val="sr-Cyrl-CS"/>
        </w:rPr>
      </w:pPr>
      <w:r w:rsidRPr="00AE021E">
        <w:rPr>
          <w:color w:val="000000"/>
        </w:rPr>
        <w:t xml:space="preserve">717600 – </w:t>
      </w:r>
      <w:r w:rsidRPr="00AE021E">
        <w:rPr>
          <w:color w:val="000000"/>
          <w:lang w:val="sr-Cyrl-CS"/>
        </w:rPr>
        <w:t>Друге акцизе</w:t>
      </w:r>
      <w:r w:rsidRPr="00AE021E">
        <w:rPr>
          <w:color w:val="000000"/>
        </w:rPr>
        <w:t>.</w:t>
      </w:r>
    </w:p>
    <w:p w:rsidR="00870A2F" w:rsidRPr="00AE021E" w:rsidRDefault="00870A2F" w:rsidP="00870A2F">
      <w:pPr>
        <w:pStyle w:val="normal0"/>
        <w:shd w:val="clear" w:color="auto" w:fill="FFFFFF"/>
        <w:spacing w:before="48" w:beforeAutospacing="0" w:after="48" w:afterAutospacing="0"/>
        <w:rPr>
          <w:color w:val="000000"/>
          <w:lang w:val="sr-Cyrl-CS"/>
        </w:rPr>
      </w:pPr>
    </w:p>
    <w:p w:rsidR="00870A2F" w:rsidRPr="00AE021E" w:rsidRDefault="00870A2F" w:rsidP="00870A2F">
      <w:pPr>
        <w:pStyle w:val="normal0"/>
        <w:shd w:val="clear" w:color="auto" w:fill="FFFFFF"/>
        <w:spacing w:before="48" w:beforeAutospacing="0" w:after="48" w:afterAutospacing="0"/>
        <w:rPr>
          <w:color w:val="000000"/>
        </w:rPr>
      </w:pPr>
      <w:r w:rsidRPr="00AE021E">
        <w:rPr>
          <w:color w:val="000000"/>
          <w:lang w:val="sr-Cyrl-CS"/>
        </w:rPr>
        <w:t>Група</w:t>
      </w:r>
      <w:r w:rsidRPr="00AE021E">
        <w:rPr>
          <w:color w:val="000000"/>
        </w:rPr>
        <w:t xml:space="preserve"> 719000 – </w:t>
      </w:r>
      <w:r w:rsidRPr="00AE021E">
        <w:rPr>
          <w:color w:val="000000"/>
          <w:lang w:val="sr-Cyrl-CS"/>
        </w:rPr>
        <w:t>Једнократни порез на екстра профит и екстра имовину стечену коришћењем посебних погодности садржи синтетичка конта</w:t>
      </w:r>
      <w:r w:rsidRPr="00AE021E">
        <w:rPr>
          <w:color w:val="000000"/>
        </w:rPr>
        <w:t xml:space="preserve">, </w:t>
      </w:r>
      <w:r w:rsidRPr="00AE021E">
        <w:rPr>
          <w:color w:val="000000"/>
          <w:lang w:val="sr-Cyrl-CS"/>
        </w:rPr>
        <w:t>и то</w:t>
      </w:r>
      <w:r w:rsidRPr="00AE021E">
        <w:rPr>
          <w:color w:val="000000"/>
        </w:rPr>
        <w:t>:</w:t>
      </w:r>
    </w:p>
    <w:p w:rsidR="00870A2F" w:rsidRPr="00AE021E" w:rsidRDefault="00870A2F" w:rsidP="00870A2F">
      <w:pPr>
        <w:pStyle w:val="normal0"/>
        <w:shd w:val="clear" w:color="auto" w:fill="FFFFFF"/>
        <w:spacing w:before="48" w:beforeAutospacing="0" w:after="48" w:afterAutospacing="0"/>
        <w:rPr>
          <w:color w:val="000000"/>
        </w:rPr>
      </w:pPr>
      <w:r w:rsidRPr="00AE021E">
        <w:rPr>
          <w:color w:val="000000"/>
        </w:rPr>
        <w:t xml:space="preserve">719100 – </w:t>
      </w:r>
      <w:r w:rsidRPr="00AE021E">
        <w:rPr>
          <w:color w:val="000000"/>
          <w:lang w:val="sr-Cyrl-CS"/>
        </w:rPr>
        <w:t xml:space="preserve">Порез на доходак, добит и капиталну добит </w:t>
      </w:r>
      <w:r w:rsidRPr="00AE021E">
        <w:rPr>
          <w:color w:val="000000"/>
        </w:rPr>
        <w:t xml:space="preserve"> </w:t>
      </w:r>
      <w:r w:rsidRPr="00AE021E">
        <w:rPr>
          <w:color w:val="000000"/>
          <w:lang w:val="sr-Cyrl-CS"/>
        </w:rPr>
        <w:t>на терет физичких лица</w:t>
      </w:r>
      <w:r w:rsidRPr="00AE021E">
        <w:rPr>
          <w:color w:val="000000"/>
        </w:rPr>
        <w:t>;</w:t>
      </w:r>
    </w:p>
    <w:p w:rsidR="00870A2F" w:rsidRPr="00AE021E" w:rsidRDefault="00870A2F" w:rsidP="00870A2F">
      <w:pPr>
        <w:pStyle w:val="normal0"/>
        <w:shd w:val="clear" w:color="auto" w:fill="FFFFFF"/>
        <w:spacing w:before="48" w:beforeAutospacing="0" w:after="48" w:afterAutospacing="0"/>
        <w:rPr>
          <w:color w:val="000000"/>
        </w:rPr>
      </w:pPr>
      <w:r w:rsidRPr="00AE021E">
        <w:rPr>
          <w:color w:val="000000"/>
        </w:rPr>
        <w:t xml:space="preserve">719200 - </w:t>
      </w:r>
      <w:r w:rsidRPr="00AE021E">
        <w:rPr>
          <w:color w:val="000000"/>
          <w:lang w:val="sr-Cyrl-CS"/>
        </w:rPr>
        <w:t xml:space="preserve">Порез на доходак, добит и капиталну добит </w:t>
      </w:r>
      <w:r w:rsidRPr="00AE021E">
        <w:rPr>
          <w:color w:val="000000"/>
        </w:rPr>
        <w:t xml:space="preserve"> </w:t>
      </w:r>
      <w:r w:rsidRPr="00AE021E">
        <w:rPr>
          <w:color w:val="000000"/>
          <w:lang w:val="sr-Cyrl-CS"/>
        </w:rPr>
        <w:t>на терет предузећа и осталих правних лица</w:t>
      </w:r>
      <w:r w:rsidRPr="00AE021E">
        <w:rPr>
          <w:color w:val="000000"/>
        </w:rPr>
        <w:t>;</w:t>
      </w:r>
    </w:p>
    <w:p w:rsidR="00870A2F" w:rsidRPr="00AE021E" w:rsidRDefault="00870A2F" w:rsidP="00870A2F">
      <w:pPr>
        <w:pStyle w:val="normal0"/>
        <w:shd w:val="clear" w:color="auto" w:fill="FFFFFF"/>
        <w:spacing w:before="48" w:beforeAutospacing="0" w:after="48" w:afterAutospacing="0"/>
        <w:rPr>
          <w:color w:val="000000"/>
        </w:rPr>
      </w:pPr>
      <w:r w:rsidRPr="00AE021E">
        <w:rPr>
          <w:color w:val="000000"/>
        </w:rPr>
        <w:t xml:space="preserve">719300 - </w:t>
      </w:r>
      <w:r w:rsidRPr="00AE021E">
        <w:rPr>
          <w:color w:val="000000"/>
          <w:lang w:val="sr-Cyrl-CS"/>
        </w:rPr>
        <w:t xml:space="preserve">Порез на доходак, добит и капиталну добит </w:t>
      </w:r>
      <w:r w:rsidRPr="00AE021E">
        <w:rPr>
          <w:color w:val="000000"/>
        </w:rPr>
        <w:t xml:space="preserve"> </w:t>
      </w:r>
      <w:r w:rsidRPr="00AE021E">
        <w:rPr>
          <w:color w:val="000000"/>
          <w:lang w:val="sr-Cyrl-CS"/>
        </w:rPr>
        <w:t>нераспоредив између физичких и правних лица</w:t>
      </w:r>
      <w:r w:rsidRPr="00AE021E">
        <w:rPr>
          <w:color w:val="000000"/>
        </w:rPr>
        <w:t>;</w:t>
      </w:r>
    </w:p>
    <w:p w:rsidR="00870A2F" w:rsidRPr="00AE021E" w:rsidRDefault="00870A2F" w:rsidP="00870A2F">
      <w:pPr>
        <w:pStyle w:val="normal0"/>
        <w:shd w:val="clear" w:color="auto" w:fill="FFFFFF"/>
        <w:spacing w:before="48" w:beforeAutospacing="0" w:after="48" w:afterAutospacing="0"/>
        <w:rPr>
          <w:color w:val="000000"/>
        </w:rPr>
      </w:pPr>
      <w:r w:rsidRPr="00AE021E">
        <w:rPr>
          <w:color w:val="000000"/>
        </w:rPr>
        <w:t xml:space="preserve">719400 – </w:t>
      </w:r>
      <w:r w:rsidRPr="00AE021E">
        <w:rPr>
          <w:color w:val="000000"/>
          <w:lang w:val="sr-Cyrl-CS"/>
        </w:rPr>
        <w:t>Остали једнократни порези на имовину</w:t>
      </w:r>
      <w:r w:rsidRPr="00AE021E">
        <w:rPr>
          <w:color w:val="000000"/>
        </w:rPr>
        <w:t>;</w:t>
      </w:r>
    </w:p>
    <w:p w:rsidR="00870A2F" w:rsidRPr="00AE021E" w:rsidRDefault="00870A2F" w:rsidP="00870A2F">
      <w:pPr>
        <w:pStyle w:val="normal0"/>
        <w:shd w:val="clear" w:color="auto" w:fill="FFFFFF"/>
        <w:spacing w:before="48" w:beforeAutospacing="0" w:after="48" w:afterAutospacing="0"/>
        <w:rPr>
          <w:color w:val="000000"/>
        </w:rPr>
      </w:pPr>
      <w:r w:rsidRPr="00AE021E">
        <w:rPr>
          <w:color w:val="000000"/>
        </w:rPr>
        <w:t xml:space="preserve">719500 – </w:t>
      </w:r>
      <w:r w:rsidRPr="00AE021E">
        <w:rPr>
          <w:color w:val="000000"/>
          <w:lang w:val="sr-Cyrl-CS"/>
        </w:rPr>
        <w:t>Остали порези које плаћају искључиво предузећа и предузетници</w:t>
      </w:r>
      <w:r w:rsidRPr="00AE021E">
        <w:rPr>
          <w:color w:val="000000"/>
        </w:rPr>
        <w:t>;</w:t>
      </w:r>
    </w:p>
    <w:p w:rsidR="00870A2F" w:rsidRDefault="00870A2F" w:rsidP="00870A2F">
      <w:pPr>
        <w:pStyle w:val="normal0"/>
        <w:shd w:val="clear" w:color="auto" w:fill="FFFFFF"/>
        <w:spacing w:before="48" w:beforeAutospacing="0" w:after="48" w:afterAutospacing="0"/>
        <w:rPr>
          <w:color w:val="000000"/>
          <w:lang w:val="sr-Cyrl-CS"/>
        </w:rPr>
      </w:pPr>
      <w:r w:rsidRPr="00AE021E">
        <w:rPr>
          <w:color w:val="000000"/>
        </w:rPr>
        <w:t xml:space="preserve">719600 – </w:t>
      </w:r>
      <w:r w:rsidRPr="00AE021E">
        <w:rPr>
          <w:color w:val="000000"/>
          <w:lang w:val="sr-Cyrl-CS"/>
        </w:rPr>
        <w:t>Остали порези која плаћају друга или неидентификована лица</w:t>
      </w:r>
      <w:r w:rsidRPr="00AE021E">
        <w:rPr>
          <w:color w:val="000000"/>
        </w:rPr>
        <w:t>.</w:t>
      </w:r>
    </w:p>
    <w:p w:rsidR="00CB394F" w:rsidRDefault="00CB394F" w:rsidP="00870A2F">
      <w:pPr>
        <w:pStyle w:val="normal0"/>
        <w:shd w:val="clear" w:color="auto" w:fill="FFFFFF"/>
        <w:spacing w:before="48" w:beforeAutospacing="0" w:after="48" w:afterAutospacing="0"/>
        <w:rPr>
          <w:color w:val="000000"/>
          <w:lang w:val="sr-Cyrl-CS"/>
        </w:rPr>
      </w:pPr>
    </w:p>
    <w:p w:rsidR="00A22DD5" w:rsidRDefault="00A22DD5" w:rsidP="002A6BAE">
      <w:pPr>
        <w:pStyle w:val="ListParagraph"/>
        <w:ind w:left="0"/>
        <w:jc w:val="both"/>
        <w:rPr>
          <w:rFonts w:ascii="Times New Roman" w:hAnsi="Times New Roman"/>
          <w:color w:val="000000"/>
          <w:sz w:val="24"/>
          <w:szCs w:val="24"/>
          <w:lang w:val="sr-Cyrl-CS"/>
        </w:rPr>
      </w:pPr>
    </w:p>
    <w:p w:rsidR="00A22DD5" w:rsidRDefault="00A22DD5" w:rsidP="002A6BAE">
      <w:pPr>
        <w:pStyle w:val="ListParagraph"/>
        <w:ind w:left="0"/>
        <w:jc w:val="both"/>
        <w:rPr>
          <w:rFonts w:ascii="Times New Roman" w:hAnsi="Times New Roman"/>
          <w:color w:val="000000"/>
          <w:sz w:val="24"/>
          <w:szCs w:val="24"/>
          <w:lang w:val="sr-Cyrl-CS"/>
        </w:rPr>
      </w:pPr>
    </w:p>
    <w:p w:rsidR="00A22DD5" w:rsidRDefault="00A22DD5" w:rsidP="002A6BAE">
      <w:pPr>
        <w:pStyle w:val="ListParagraph"/>
        <w:ind w:left="0"/>
        <w:jc w:val="both"/>
        <w:rPr>
          <w:rFonts w:ascii="Times New Roman" w:hAnsi="Times New Roman"/>
          <w:color w:val="000000"/>
          <w:sz w:val="24"/>
          <w:szCs w:val="24"/>
          <w:lang w:val="sr-Cyrl-CS"/>
        </w:rPr>
      </w:pPr>
    </w:p>
    <w:p w:rsidR="00A22DD5" w:rsidRDefault="00A22DD5" w:rsidP="002A6BAE">
      <w:pPr>
        <w:pStyle w:val="ListParagraph"/>
        <w:ind w:left="0"/>
        <w:jc w:val="both"/>
        <w:rPr>
          <w:rFonts w:ascii="Times New Roman" w:hAnsi="Times New Roman"/>
          <w:color w:val="000000"/>
          <w:sz w:val="24"/>
          <w:szCs w:val="24"/>
          <w:lang w:val="sr-Cyrl-CS"/>
        </w:rPr>
      </w:pPr>
    </w:p>
    <w:p w:rsidR="00A22DD5" w:rsidRDefault="00A22DD5" w:rsidP="002A6BAE">
      <w:pPr>
        <w:pStyle w:val="ListParagraph"/>
        <w:ind w:left="0"/>
        <w:jc w:val="both"/>
        <w:rPr>
          <w:rFonts w:ascii="Times New Roman" w:hAnsi="Times New Roman"/>
          <w:color w:val="000000"/>
          <w:sz w:val="24"/>
          <w:szCs w:val="24"/>
          <w:lang w:val="sr-Cyrl-CS"/>
        </w:rPr>
      </w:pPr>
    </w:p>
    <w:p w:rsidR="00A22DD5" w:rsidRDefault="00A22DD5" w:rsidP="002A6BAE">
      <w:pPr>
        <w:pStyle w:val="ListParagraph"/>
        <w:ind w:left="0"/>
        <w:jc w:val="both"/>
        <w:rPr>
          <w:rFonts w:ascii="Times New Roman" w:hAnsi="Times New Roman"/>
          <w:color w:val="000000"/>
          <w:sz w:val="24"/>
          <w:szCs w:val="24"/>
          <w:lang w:val="sr-Cyrl-CS"/>
        </w:rPr>
      </w:pPr>
    </w:p>
    <w:p w:rsidR="00A22DD5" w:rsidRDefault="00A22DD5" w:rsidP="002A6BAE">
      <w:pPr>
        <w:pStyle w:val="ListParagraph"/>
        <w:ind w:left="0"/>
        <w:jc w:val="both"/>
        <w:rPr>
          <w:rFonts w:ascii="Times New Roman" w:hAnsi="Times New Roman"/>
          <w:color w:val="000000"/>
          <w:sz w:val="24"/>
          <w:szCs w:val="24"/>
          <w:lang w:val="sr-Cyrl-CS"/>
        </w:rPr>
      </w:pPr>
    </w:p>
    <w:p w:rsidR="00A22DD5" w:rsidRDefault="00A22DD5" w:rsidP="002A6BAE">
      <w:pPr>
        <w:pStyle w:val="ListParagraph"/>
        <w:ind w:left="0"/>
        <w:jc w:val="both"/>
        <w:rPr>
          <w:rFonts w:ascii="Times New Roman" w:hAnsi="Times New Roman"/>
          <w:color w:val="000000"/>
          <w:sz w:val="24"/>
          <w:szCs w:val="24"/>
          <w:lang w:val="sr-Cyrl-CS"/>
        </w:rPr>
      </w:pPr>
    </w:p>
    <w:p w:rsidR="00A22DD5" w:rsidRDefault="00A22DD5" w:rsidP="002A6BAE">
      <w:pPr>
        <w:pStyle w:val="ListParagraph"/>
        <w:ind w:left="0"/>
        <w:jc w:val="both"/>
        <w:rPr>
          <w:rFonts w:ascii="Times New Roman" w:hAnsi="Times New Roman"/>
          <w:color w:val="000000"/>
          <w:sz w:val="24"/>
          <w:szCs w:val="24"/>
          <w:lang w:val="sr-Cyrl-CS"/>
        </w:rPr>
      </w:pPr>
    </w:p>
    <w:p w:rsidR="00A22DD5" w:rsidRDefault="00A22DD5" w:rsidP="002A6BAE">
      <w:pPr>
        <w:pStyle w:val="ListParagraph"/>
        <w:ind w:left="0"/>
        <w:jc w:val="both"/>
        <w:rPr>
          <w:rFonts w:ascii="Times New Roman" w:hAnsi="Times New Roman"/>
          <w:color w:val="000000"/>
          <w:sz w:val="24"/>
          <w:szCs w:val="24"/>
          <w:lang w:val="sr-Cyrl-CS"/>
        </w:rPr>
      </w:pPr>
    </w:p>
    <w:p w:rsidR="00A22DD5" w:rsidRDefault="00A22DD5" w:rsidP="002A6BAE">
      <w:pPr>
        <w:pStyle w:val="ListParagraph"/>
        <w:ind w:left="0"/>
        <w:jc w:val="both"/>
        <w:rPr>
          <w:rFonts w:ascii="Times New Roman" w:hAnsi="Times New Roman"/>
          <w:color w:val="000000"/>
          <w:sz w:val="24"/>
          <w:szCs w:val="24"/>
          <w:lang w:val="sr-Cyrl-CS"/>
        </w:rPr>
      </w:pPr>
    </w:p>
    <w:p w:rsidR="00A22DD5" w:rsidRDefault="00A22DD5" w:rsidP="002A6BAE">
      <w:pPr>
        <w:pStyle w:val="ListParagraph"/>
        <w:ind w:left="0"/>
        <w:jc w:val="both"/>
        <w:rPr>
          <w:rFonts w:ascii="Times New Roman" w:hAnsi="Times New Roman"/>
          <w:color w:val="000000"/>
          <w:sz w:val="24"/>
          <w:szCs w:val="24"/>
          <w:lang w:val="sr-Cyrl-CS"/>
        </w:rPr>
      </w:pPr>
    </w:p>
    <w:p w:rsidR="00A22DD5" w:rsidRDefault="00A22DD5" w:rsidP="002A6BAE">
      <w:pPr>
        <w:pStyle w:val="ListParagraph"/>
        <w:ind w:left="0"/>
        <w:jc w:val="both"/>
        <w:rPr>
          <w:rFonts w:ascii="Times New Roman" w:hAnsi="Times New Roman"/>
          <w:color w:val="000000"/>
          <w:sz w:val="24"/>
          <w:szCs w:val="24"/>
          <w:lang w:val="sr-Cyrl-CS"/>
        </w:rPr>
      </w:pPr>
    </w:p>
    <w:p w:rsidR="00A22DD5" w:rsidRDefault="00A22DD5" w:rsidP="002A6BAE">
      <w:pPr>
        <w:pStyle w:val="ListParagraph"/>
        <w:ind w:left="0"/>
        <w:jc w:val="both"/>
        <w:rPr>
          <w:rFonts w:ascii="Times New Roman" w:hAnsi="Times New Roman"/>
          <w:color w:val="000000"/>
          <w:sz w:val="24"/>
          <w:szCs w:val="24"/>
          <w:lang w:val="sr-Cyrl-CS"/>
        </w:rPr>
      </w:pPr>
    </w:p>
    <w:p w:rsidR="00A22DD5" w:rsidRDefault="00A22DD5" w:rsidP="002A6BAE">
      <w:pPr>
        <w:pStyle w:val="ListParagraph"/>
        <w:ind w:left="0"/>
        <w:jc w:val="both"/>
        <w:rPr>
          <w:rFonts w:ascii="Times New Roman" w:hAnsi="Times New Roman"/>
          <w:color w:val="000000"/>
          <w:sz w:val="24"/>
          <w:szCs w:val="24"/>
          <w:lang w:val="sr-Cyrl-CS"/>
        </w:rPr>
      </w:pPr>
    </w:p>
    <w:p w:rsidR="00A22DD5" w:rsidRDefault="00A22DD5" w:rsidP="002A6BAE">
      <w:pPr>
        <w:pStyle w:val="ListParagraph"/>
        <w:ind w:left="0"/>
        <w:jc w:val="both"/>
        <w:rPr>
          <w:rFonts w:ascii="Times New Roman" w:hAnsi="Times New Roman"/>
          <w:color w:val="000000"/>
          <w:sz w:val="24"/>
          <w:szCs w:val="24"/>
          <w:lang w:val="sr-Cyrl-CS"/>
        </w:rPr>
      </w:pPr>
    </w:p>
    <w:p w:rsidR="00A22DD5" w:rsidRDefault="00A22DD5" w:rsidP="002A6BAE">
      <w:pPr>
        <w:pStyle w:val="ListParagraph"/>
        <w:ind w:left="0"/>
        <w:jc w:val="both"/>
        <w:rPr>
          <w:rFonts w:ascii="Times New Roman" w:hAnsi="Times New Roman"/>
          <w:color w:val="000000"/>
          <w:sz w:val="24"/>
          <w:szCs w:val="24"/>
          <w:lang w:val="sr-Cyrl-CS"/>
        </w:rPr>
      </w:pPr>
    </w:p>
    <w:p w:rsidR="00A22DD5" w:rsidRPr="002A6BAE" w:rsidRDefault="00A22DD5" w:rsidP="002A6BAE">
      <w:pPr>
        <w:pStyle w:val="ListParagraph"/>
        <w:ind w:left="0"/>
        <w:jc w:val="both"/>
        <w:rPr>
          <w:rFonts w:ascii="Times New Roman" w:hAnsi="Times New Roman"/>
          <w:sz w:val="24"/>
          <w:szCs w:val="24"/>
          <w:lang w:val="sr-Cyrl-CS"/>
        </w:rPr>
      </w:pPr>
    </w:p>
    <w:p w:rsidR="00C73790" w:rsidRPr="0077618E" w:rsidRDefault="00743A12" w:rsidP="001E4AF5">
      <w:pPr>
        <w:numPr>
          <w:ilvl w:val="0"/>
          <w:numId w:val="3"/>
        </w:numPr>
        <w:jc w:val="both"/>
        <w:rPr>
          <w:rFonts w:ascii="Times New Roman" w:hAnsi="Times New Roman"/>
          <w:b/>
          <w:i/>
          <w:sz w:val="28"/>
          <w:szCs w:val="28"/>
          <w:lang w:val="sr-Cyrl-CS"/>
        </w:rPr>
      </w:pPr>
      <w:r w:rsidRPr="0077618E">
        <w:rPr>
          <w:rFonts w:ascii="Times New Roman" w:hAnsi="Times New Roman"/>
          <w:b/>
          <w:i/>
          <w:sz w:val="28"/>
          <w:szCs w:val="28"/>
          <w:lang w:val="sr-Cyrl-CS"/>
        </w:rPr>
        <w:lastRenderedPageBreak/>
        <w:t>Избегавање плаћања пореза са становишта</w:t>
      </w:r>
      <w:r w:rsidRPr="0077618E">
        <w:rPr>
          <w:rFonts w:ascii="Times New Roman" w:hAnsi="Times New Roman"/>
          <w:sz w:val="28"/>
          <w:szCs w:val="28"/>
          <w:lang w:val="sr-Cyrl-CS"/>
        </w:rPr>
        <w:t xml:space="preserve"> </w:t>
      </w:r>
      <w:r w:rsidR="009A6D9C" w:rsidRPr="0077618E">
        <w:rPr>
          <w:rFonts w:ascii="Times New Roman" w:hAnsi="Times New Roman"/>
          <w:b/>
          <w:i/>
          <w:sz w:val="28"/>
          <w:szCs w:val="28"/>
          <w:lang w:val="sr-Cyrl-CS"/>
        </w:rPr>
        <w:t xml:space="preserve">појединих </w:t>
      </w:r>
      <w:r w:rsidRPr="0077618E">
        <w:rPr>
          <w:rFonts w:ascii="Times New Roman" w:hAnsi="Times New Roman"/>
          <w:b/>
          <w:i/>
          <w:sz w:val="28"/>
          <w:szCs w:val="28"/>
          <w:lang w:val="sr-Cyrl-CS"/>
        </w:rPr>
        <w:t>пореских облика</w:t>
      </w:r>
      <w:r w:rsidR="00C73790" w:rsidRPr="0077618E">
        <w:rPr>
          <w:rFonts w:ascii="Times New Roman" w:hAnsi="Times New Roman"/>
          <w:b/>
          <w:i/>
          <w:sz w:val="28"/>
          <w:szCs w:val="28"/>
          <w:lang w:val="sr-Cyrl-CS"/>
        </w:rPr>
        <w:t xml:space="preserve"> у Републици Србији</w:t>
      </w:r>
    </w:p>
    <w:p w:rsidR="00347C1D" w:rsidRDefault="00347C1D" w:rsidP="00347C1D">
      <w:pPr>
        <w:ind w:left="1069"/>
        <w:jc w:val="both"/>
        <w:rPr>
          <w:rFonts w:ascii="Times New Roman" w:hAnsi="Times New Roman"/>
          <w:b/>
          <w:i/>
          <w:sz w:val="24"/>
          <w:szCs w:val="24"/>
          <w:lang w:val="sr-Cyrl-CS"/>
        </w:rPr>
      </w:pPr>
    </w:p>
    <w:p w:rsidR="00A77DD3" w:rsidRDefault="00A77DD3" w:rsidP="009A6D9C">
      <w:pPr>
        <w:ind w:firstLine="708"/>
        <w:jc w:val="both"/>
        <w:rPr>
          <w:rFonts w:ascii="Times New Roman" w:hAnsi="Times New Roman"/>
          <w:sz w:val="24"/>
          <w:szCs w:val="24"/>
          <w:lang w:val="sr-Cyrl-CS"/>
        </w:rPr>
      </w:pPr>
      <w:r>
        <w:rPr>
          <w:rFonts w:ascii="Times New Roman" w:hAnsi="Times New Roman"/>
          <w:sz w:val="24"/>
          <w:szCs w:val="24"/>
          <w:lang w:val="sr-Cyrl-CS"/>
        </w:rPr>
        <w:t>Изучавање избегавања плаћања пореза сваког пореског облика понаособ, полазећи од те</w:t>
      </w:r>
      <w:r w:rsidR="00CB394F">
        <w:rPr>
          <w:rFonts w:ascii="Times New Roman" w:hAnsi="Times New Roman"/>
          <w:sz w:val="24"/>
          <w:szCs w:val="24"/>
          <w:lang w:val="sr-Cyrl-CS"/>
        </w:rPr>
        <w:t>о</w:t>
      </w:r>
      <w:r>
        <w:rPr>
          <w:rFonts w:ascii="Times New Roman" w:hAnsi="Times New Roman"/>
          <w:sz w:val="24"/>
          <w:szCs w:val="24"/>
          <w:lang w:val="sr-Cyrl-CS"/>
        </w:rPr>
        <w:t>ријских и практичних искустава, може да помогне законодавцу у пост</w:t>
      </w:r>
      <w:r w:rsidR="00AE613C">
        <w:rPr>
          <w:rFonts w:ascii="Times New Roman" w:hAnsi="Times New Roman"/>
          <w:sz w:val="24"/>
          <w:szCs w:val="24"/>
          <w:lang w:val="sr-Cyrl-CS"/>
        </w:rPr>
        <w:t>упку креирања пореског система приликом</w:t>
      </w:r>
      <w:r>
        <w:rPr>
          <w:rFonts w:ascii="Times New Roman" w:hAnsi="Times New Roman"/>
          <w:sz w:val="24"/>
          <w:szCs w:val="24"/>
          <w:lang w:val="sr-Cyrl-CS"/>
        </w:rPr>
        <w:t xml:space="preserve"> </w:t>
      </w:r>
      <w:r w:rsidR="001E6397">
        <w:rPr>
          <w:rFonts w:ascii="Times New Roman" w:hAnsi="Times New Roman"/>
          <w:sz w:val="24"/>
          <w:szCs w:val="24"/>
          <w:lang w:val="sr-Cyrl-CS"/>
        </w:rPr>
        <w:t>осмишљавања</w:t>
      </w:r>
      <w:r w:rsidR="00553785">
        <w:rPr>
          <w:rFonts w:ascii="Times New Roman" w:hAnsi="Times New Roman"/>
          <w:sz w:val="24"/>
          <w:szCs w:val="24"/>
          <w:lang w:val="sr-Cyrl-CS"/>
        </w:rPr>
        <w:t xml:space="preserve"> конкретних решења</w:t>
      </w:r>
      <w:r w:rsidR="00553785">
        <w:rPr>
          <w:rFonts w:ascii="Times New Roman" w:hAnsi="Times New Roman"/>
          <w:sz w:val="24"/>
          <w:szCs w:val="24"/>
        </w:rPr>
        <w:t xml:space="preserve">. </w:t>
      </w:r>
      <w:r w:rsidR="001E6397">
        <w:rPr>
          <w:rFonts w:ascii="Times New Roman" w:hAnsi="Times New Roman"/>
          <w:sz w:val="24"/>
          <w:szCs w:val="24"/>
          <w:lang w:val="sr-Cyrl-CS"/>
        </w:rPr>
        <w:t xml:space="preserve">Проучавање  овог феномена у контексту сваког пореског облика је због тога корисније, а добијени резултати имају већи научни и практични значај, у односу на уопштено проучавање овог феномена, посебно имајући у виду његову комплексну природу. </w:t>
      </w:r>
      <w:r w:rsidR="009F3E4B">
        <w:rPr>
          <w:rFonts w:ascii="Times New Roman" w:hAnsi="Times New Roman"/>
          <w:sz w:val="24"/>
          <w:szCs w:val="24"/>
          <w:lang w:val="sr-Cyrl-CS"/>
        </w:rPr>
        <w:t>У Републици Србији је заступљен плурализам пореск</w:t>
      </w:r>
      <w:r w:rsidR="00870A2F">
        <w:rPr>
          <w:rFonts w:ascii="Times New Roman" w:hAnsi="Times New Roman"/>
          <w:sz w:val="24"/>
          <w:szCs w:val="24"/>
          <w:lang w:val="sr-Cyrl-CS"/>
        </w:rPr>
        <w:t>их облика. Н</w:t>
      </w:r>
      <w:r w:rsidR="009F3E4B">
        <w:rPr>
          <w:rFonts w:ascii="Times New Roman" w:hAnsi="Times New Roman"/>
          <w:sz w:val="24"/>
          <w:szCs w:val="24"/>
          <w:lang w:val="sr-Cyrl-CS"/>
        </w:rPr>
        <w:t>ајдоминантнији приходи се остварују од пореза на додату</w:t>
      </w:r>
      <w:r w:rsidR="00CB394F">
        <w:rPr>
          <w:rFonts w:ascii="Times New Roman" w:hAnsi="Times New Roman"/>
          <w:sz w:val="24"/>
          <w:szCs w:val="24"/>
          <w:lang w:val="sr-Cyrl-CS"/>
        </w:rPr>
        <w:t xml:space="preserve"> вредност, акциза и пореза на до</w:t>
      </w:r>
      <w:r w:rsidR="009F3E4B">
        <w:rPr>
          <w:rFonts w:ascii="Times New Roman" w:hAnsi="Times New Roman"/>
          <w:sz w:val="24"/>
          <w:szCs w:val="24"/>
          <w:lang w:val="sr-Cyrl-CS"/>
        </w:rPr>
        <w:t xml:space="preserve">ходак грађана. </w:t>
      </w:r>
      <w:r w:rsidR="00553785">
        <w:rPr>
          <w:rFonts w:ascii="Times New Roman" w:hAnsi="Times New Roman"/>
          <w:sz w:val="24"/>
          <w:szCs w:val="24"/>
          <w:lang w:val="sr-Cyrl-CS"/>
        </w:rPr>
        <w:t>Порески облици се од почетка реформе пореског сист</w:t>
      </w:r>
      <w:r w:rsidR="00870A2F">
        <w:rPr>
          <w:rFonts w:ascii="Times New Roman" w:hAnsi="Times New Roman"/>
          <w:sz w:val="24"/>
          <w:szCs w:val="24"/>
          <w:lang w:val="sr-Cyrl-CS"/>
        </w:rPr>
        <w:t>ема Републике Србије, почетком</w:t>
      </w:r>
      <w:r w:rsidR="00553785">
        <w:rPr>
          <w:rFonts w:ascii="Times New Roman" w:hAnsi="Times New Roman"/>
          <w:sz w:val="24"/>
          <w:szCs w:val="24"/>
          <w:lang w:val="sr-Cyrl-CS"/>
        </w:rPr>
        <w:t xml:space="preserve"> деведесетих година 20. века, налазе у процесу преображаја и прилагођавања изградњи тржишне привреде. </w:t>
      </w:r>
      <w:r w:rsidR="00EE49FD">
        <w:rPr>
          <w:rFonts w:ascii="Times New Roman" w:hAnsi="Times New Roman"/>
          <w:sz w:val="24"/>
          <w:szCs w:val="24"/>
          <w:lang w:val="sr-Cyrl-CS"/>
        </w:rPr>
        <w:t xml:space="preserve">Много радикалнији заокрет је предузет на подручју </w:t>
      </w:r>
      <w:r w:rsidR="00825D68">
        <w:rPr>
          <w:rFonts w:ascii="Times New Roman" w:hAnsi="Times New Roman"/>
          <w:sz w:val="24"/>
          <w:szCs w:val="24"/>
          <w:lang w:val="sr-Cyrl-CS"/>
        </w:rPr>
        <w:t>пореза на потрошњу (ПДВ, акцизе) него на подручју опорезивања фактора производње (порез на добит предузећа, порез на доходак грађана).</w:t>
      </w:r>
      <w:r w:rsidR="009A6D9C">
        <w:rPr>
          <w:rFonts w:ascii="Times New Roman" w:hAnsi="Times New Roman"/>
          <w:sz w:val="24"/>
          <w:szCs w:val="24"/>
          <w:lang w:val="sr-Cyrl-CS"/>
        </w:rPr>
        <w:t xml:space="preserve"> </w:t>
      </w:r>
      <w:r w:rsidR="00870A2F">
        <w:rPr>
          <w:rFonts w:ascii="Times New Roman" w:hAnsi="Times New Roman"/>
          <w:sz w:val="24"/>
          <w:szCs w:val="24"/>
          <w:lang w:val="sr-Cyrl-CS"/>
        </w:rPr>
        <w:t xml:space="preserve"> </w:t>
      </w:r>
    </w:p>
    <w:p w:rsidR="00347C1D" w:rsidRDefault="00347C1D" w:rsidP="009A6D9C">
      <w:pPr>
        <w:ind w:firstLine="708"/>
        <w:jc w:val="both"/>
        <w:rPr>
          <w:rFonts w:ascii="Times New Roman" w:hAnsi="Times New Roman"/>
          <w:sz w:val="24"/>
          <w:szCs w:val="24"/>
          <w:lang w:val="sr-Cyrl-CS"/>
        </w:rPr>
      </w:pPr>
    </w:p>
    <w:p w:rsidR="00996F23" w:rsidRPr="00553785" w:rsidRDefault="00996F23" w:rsidP="009A6D9C">
      <w:pPr>
        <w:ind w:firstLine="708"/>
        <w:jc w:val="both"/>
        <w:rPr>
          <w:rFonts w:ascii="Times New Roman" w:hAnsi="Times New Roman"/>
          <w:sz w:val="24"/>
          <w:szCs w:val="24"/>
          <w:lang w:val="sr-Cyrl-CS"/>
        </w:rPr>
      </w:pPr>
    </w:p>
    <w:p w:rsidR="00C73790" w:rsidRDefault="00291202" w:rsidP="0077618E">
      <w:pPr>
        <w:numPr>
          <w:ilvl w:val="1"/>
          <w:numId w:val="3"/>
        </w:numPr>
        <w:jc w:val="center"/>
        <w:rPr>
          <w:rFonts w:ascii="Times New Roman" w:hAnsi="Times New Roman"/>
          <w:b/>
          <w:sz w:val="24"/>
          <w:szCs w:val="24"/>
          <w:lang w:val="sr-Cyrl-CS"/>
        </w:rPr>
      </w:pPr>
      <w:r>
        <w:rPr>
          <w:rFonts w:ascii="Times New Roman" w:hAnsi="Times New Roman"/>
          <w:b/>
          <w:sz w:val="24"/>
          <w:szCs w:val="24"/>
          <w:lang w:val="sr-Cyrl-CS"/>
        </w:rPr>
        <w:t>Порез на добит предузећа</w:t>
      </w:r>
    </w:p>
    <w:p w:rsidR="00347C1D" w:rsidRPr="000F5FCA" w:rsidRDefault="00347C1D" w:rsidP="00347C1D">
      <w:pPr>
        <w:ind w:left="1129"/>
        <w:jc w:val="both"/>
        <w:rPr>
          <w:rFonts w:ascii="Times New Roman" w:hAnsi="Times New Roman"/>
          <w:b/>
          <w:sz w:val="24"/>
          <w:szCs w:val="24"/>
          <w:lang w:val="sr-Cyrl-CS"/>
        </w:rPr>
      </w:pPr>
    </w:p>
    <w:p w:rsidR="001E6397" w:rsidRDefault="00FF51AE" w:rsidP="00870A2F">
      <w:pPr>
        <w:ind w:firstLine="708"/>
        <w:jc w:val="both"/>
        <w:rPr>
          <w:rFonts w:ascii="Times New Roman" w:hAnsi="Times New Roman"/>
          <w:sz w:val="24"/>
          <w:szCs w:val="24"/>
          <w:lang w:val="sr-Cyrl-CS"/>
        </w:rPr>
      </w:pPr>
      <w:r>
        <w:rPr>
          <w:rFonts w:ascii="Times New Roman" w:hAnsi="Times New Roman"/>
          <w:sz w:val="24"/>
          <w:szCs w:val="24"/>
          <w:lang w:val="sr-Cyrl-CS"/>
        </w:rPr>
        <w:t xml:space="preserve">Порез на добит предузећа (eng. </w:t>
      </w:r>
      <w:r>
        <w:rPr>
          <w:rFonts w:ascii="Times New Roman" w:hAnsi="Times New Roman"/>
          <w:sz w:val="24"/>
          <w:szCs w:val="24"/>
        </w:rPr>
        <w:t xml:space="preserve">Corporation Income Tax) </w:t>
      </w:r>
      <w:r>
        <w:rPr>
          <w:rFonts w:ascii="Times New Roman" w:hAnsi="Times New Roman"/>
          <w:sz w:val="24"/>
          <w:szCs w:val="24"/>
          <w:lang w:val="sr-Cyrl-CS"/>
        </w:rPr>
        <w:t xml:space="preserve">је део система већине савремених држава. </w:t>
      </w:r>
      <w:r w:rsidR="005360CD">
        <w:rPr>
          <w:rFonts w:ascii="Times New Roman" w:hAnsi="Times New Roman"/>
          <w:sz w:val="24"/>
          <w:szCs w:val="24"/>
          <w:lang w:val="sr-Cyrl-CS"/>
        </w:rPr>
        <w:t>Порез на добит предузећа је уведен у порески систем Републике Србије још 1992. године под наз</w:t>
      </w:r>
      <w:r w:rsidR="00E3100A">
        <w:rPr>
          <w:rFonts w:ascii="Times New Roman" w:hAnsi="Times New Roman"/>
          <w:sz w:val="24"/>
          <w:szCs w:val="24"/>
          <w:lang w:val="sr-Cyrl-CS"/>
        </w:rPr>
        <w:t>ивом порез на добит корпорација, са циљем хармонизације нашег пореског система са модерним пореским системима.</w:t>
      </w:r>
      <w:r w:rsidR="005360CD">
        <w:rPr>
          <w:rFonts w:ascii="Times New Roman" w:hAnsi="Times New Roman"/>
          <w:sz w:val="24"/>
          <w:szCs w:val="24"/>
          <w:lang w:val="sr-Cyrl-CS"/>
        </w:rPr>
        <w:t xml:space="preserve"> У ОЕЦД класификацији налази се под називом порез на одбит корпорација и под тим називом је присутан у многим савременим државама. </w:t>
      </w:r>
      <w:r w:rsidR="00870A2F">
        <w:rPr>
          <w:rFonts w:ascii="Times New Roman" w:hAnsi="Times New Roman"/>
          <w:sz w:val="24"/>
          <w:szCs w:val="24"/>
          <w:lang w:val="sr-Cyrl-CS"/>
        </w:rPr>
        <w:t xml:space="preserve"> </w:t>
      </w:r>
    </w:p>
    <w:p w:rsidR="00A37855" w:rsidRPr="001E6397" w:rsidRDefault="001E6397" w:rsidP="00870A2F">
      <w:pPr>
        <w:ind w:firstLine="708"/>
        <w:jc w:val="both"/>
        <w:rPr>
          <w:rFonts w:ascii="Times New Roman" w:hAnsi="Times New Roman"/>
          <w:sz w:val="24"/>
          <w:szCs w:val="24"/>
          <w:lang w:val="sr-Cyrl-CS"/>
        </w:rPr>
      </w:pPr>
      <w:r>
        <w:rPr>
          <w:rFonts w:ascii="Times New Roman" w:hAnsi="Times New Roman"/>
          <w:sz w:val="24"/>
          <w:szCs w:val="24"/>
          <w:lang w:val="sr-Cyrl-CS"/>
        </w:rPr>
        <w:t xml:space="preserve">Иначе, као посебан порески облик, порез на добит корпорација је најпре уведен </w:t>
      </w:r>
      <w:r w:rsidR="00BD3CA3">
        <w:rPr>
          <w:rFonts w:ascii="Times New Roman" w:hAnsi="Times New Roman"/>
          <w:sz w:val="24"/>
          <w:szCs w:val="24"/>
          <w:lang w:val="sr-Cyrl-CS"/>
        </w:rPr>
        <w:t xml:space="preserve">1913. године </w:t>
      </w:r>
      <w:r>
        <w:rPr>
          <w:rFonts w:ascii="Times New Roman" w:hAnsi="Times New Roman"/>
          <w:sz w:val="24"/>
          <w:szCs w:val="24"/>
          <w:lang w:val="sr-Cyrl-CS"/>
        </w:rPr>
        <w:t xml:space="preserve">у </w:t>
      </w:r>
      <w:r w:rsidR="00BD3CA3">
        <w:rPr>
          <w:rFonts w:ascii="Times New Roman" w:hAnsi="Times New Roman"/>
          <w:sz w:val="24"/>
          <w:szCs w:val="24"/>
          <w:lang w:val="sr-Cyrl-CS"/>
        </w:rPr>
        <w:t xml:space="preserve">САД, потом у </w:t>
      </w:r>
      <w:r>
        <w:rPr>
          <w:rFonts w:ascii="Times New Roman" w:hAnsi="Times New Roman"/>
          <w:sz w:val="24"/>
          <w:szCs w:val="24"/>
          <w:lang w:val="sr-Cyrl-CS"/>
        </w:rPr>
        <w:t xml:space="preserve">Немачкој 1920. </w:t>
      </w:r>
      <w:r w:rsidR="00E3100A">
        <w:rPr>
          <w:rFonts w:ascii="Times New Roman" w:hAnsi="Times New Roman"/>
          <w:sz w:val="24"/>
          <w:szCs w:val="24"/>
          <w:lang w:val="sr-Cyrl-CS"/>
        </w:rPr>
        <w:t>г</w:t>
      </w:r>
      <w:r>
        <w:rPr>
          <w:rFonts w:ascii="Times New Roman" w:hAnsi="Times New Roman"/>
          <w:sz w:val="24"/>
          <w:szCs w:val="24"/>
          <w:lang w:val="sr-Cyrl-CS"/>
        </w:rPr>
        <w:t xml:space="preserve">одине, </w:t>
      </w:r>
      <w:r w:rsidR="00385DD8">
        <w:rPr>
          <w:rFonts w:ascii="Times New Roman" w:hAnsi="Times New Roman"/>
          <w:sz w:val="24"/>
          <w:szCs w:val="24"/>
          <w:lang w:val="sr-Cyrl-CS"/>
        </w:rPr>
        <w:t xml:space="preserve">а касније је прихваћен и у </w:t>
      </w:r>
      <w:r w:rsidR="00644847">
        <w:rPr>
          <w:rFonts w:ascii="Times New Roman" w:hAnsi="Times New Roman"/>
          <w:sz w:val="24"/>
          <w:szCs w:val="24"/>
          <w:lang w:val="sr-Cyrl-CS"/>
        </w:rPr>
        <w:t>већини других савремених држава.</w:t>
      </w:r>
      <w:r>
        <w:rPr>
          <w:rFonts w:ascii="Times New Roman" w:hAnsi="Times New Roman"/>
          <w:sz w:val="24"/>
          <w:szCs w:val="24"/>
          <w:lang w:val="sr-Cyrl-CS"/>
        </w:rPr>
        <w:t xml:space="preserve"> </w:t>
      </w:r>
      <w:r w:rsidR="00AE521E">
        <w:rPr>
          <w:rFonts w:ascii="Times New Roman" w:hAnsi="Times New Roman"/>
          <w:sz w:val="24"/>
          <w:szCs w:val="24"/>
          <w:lang w:val="sr-Cyrl-CS"/>
        </w:rPr>
        <w:t xml:space="preserve">Преовладао је став теорије </w:t>
      </w:r>
      <w:r w:rsidR="00385DD8">
        <w:rPr>
          <w:rFonts w:ascii="Times New Roman" w:hAnsi="Times New Roman"/>
          <w:sz w:val="24"/>
          <w:szCs w:val="24"/>
          <w:lang w:val="sr-Cyrl-CS"/>
        </w:rPr>
        <w:t xml:space="preserve"> да </w:t>
      </w:r>
      <w:r w:rsidR="00385DD8">
        <w:rPr>
          <w:rFonts w:ascii="Times New Roman" w:hAnsi="Times New Roman"/>
          <w:sz w:val="24"/>
          <w:szCs w:val="24"/>
          <w:lang w:val="en-US"/>
        </w:rPr>
        <w:t>и правно лице може имати</w:t>
      </w:r>
      <w:r w:rsidR="00385DD8">
        <w:rPr>
          <w:rFonts w:ascii="Times New Roman" w:hAnsi="Times New Roman"/>
          <w:sz w:val="24"/>
          <w:szCs w:val="24"/>
          <w:lang w:val="sr-Cyrl-CS"/>
        </w:rPr>
        <w:t xml:space="preserve"> </w:t>
      </w:r>
      <w:r w:rsidR="00385DD8">
        <w:rPr>
          <w:rFonts w:ascii="Times New Roman" w:hAnsi="Times New Roman"/>
          <w:sz w:val="24"/>
          <w:szCs w:val="24"/>
          <w:lang w:val="en-US"/>
        </w:rPr>
        <w:t xml:space="preserve">статус </w:t>
      </w:r>
      <w:r w:rsidR="00385DD8">
        <w:rPr>
          <w:rFonts w:ascii="Times New Roman" w:hAnsi="Times New Roman"/>
          <w:sz w:val="24"/>
          <w:szCs w:val="24"/>
          <w:lang w:val="sr-Cyrl-CS"/>
        </w:rPr>
        <w:t xml:space="preserve">пореског обвезника </w:t>
      </w:r>
      <w:r w:rsidR="00AE521E">
        <w:rPr>
          <w:rFonts w:ascii="Times New Roman" w:hAnsi="Times New Roman"/>
          <w:sz w:val="24"/>
          <w:szCs w:val="24"/>
          <w:lang w:val="sr-Cyrl-CS"/>
        </w:rPr>
        <w:t>за разлику од става</w:t>
      </w:r>
      <w:r>
        <w:rPr>
          <w:rFonts w:ascii="Times New Roman" w:hAnsi="Times New Roman"/>
          <w:sz w:val="24"/>
          <w:szCs w:val="24"/>
          <w:lang w:val="sr-Cyrl-CS"/>
        </w:rPr>
        <w:t xml:space="preserve"> </w:t>
      </w:r>
      <w:r>
        <w:rPr>
          <w:rFonts w:ascii="Times New Roman" w:hAnsi="Times New Roman"/>
          <w:sz w:val="24"/>
          <w:szCs w:val="24"/>
          <w:lang w:val="en-US"/>
        </w:rPr>
        <w:t>Dicela</w:t>
      </w:r>
      <w:r>
        <w:rPr>
          <w:rFonts w:ascii="Times New Roman" w:hAnsi="Times New Roman"/>
          <w:sz w:val="24"/>
          <w:szCs w:val="24"/>
          <w:lang w:val="sr-Cyrl-CS"/>
        </w:rPr>
        <w:t xml:space="preserve"> и других аутора из </w:t>
      </w:r>
      <w:r>
        <w:rPr>
          <w:rFonts w:ascii="Times New Roman" w:hAnsi="Times New Roman"/>
          <w:sz w:val="24"/>
          <w:szCs w:val="24"/>
          <w:lang w:val="en-US"/>
        </w:rPr>
        <w:t>XIX века</w:t>
      </w:r>
      <w:r w:rsidR="00AE521E">
        <w:rPr>
          <w:rFonts w:ascii="Times New Roman" w:hAnsi="Times New Roman"/>
          <w:sz w:val="24"/>
          <w:szCs w:val="24"/>
          <w:lang w:val="sr-Cyrl-CS"/>
        </w:rPr>
        <w:t xml:space="preserve"> према којима правна лица немају доходак у економском значењу те речи.</w:t>
      </w:r>
      <w:r>
        <w:rPr>
          <w:rStyle w:val="FootnoteReference"/>
          <w:rFonts w:ascii="Times New Roman" w:hAnsi="Times New Roman"/>
          <w:sz w:val="24"/>
          <w:szCs w:val="24"/>
          <w:lang w:val="sr-Cyrl-CS"/>
        </w:rPr>
        <w:footnoteReference w:id="236"/>
      </w:r>
      <w:r>
        <w:rPr>
          <w:rFonts w:ascii="Times New Roman" w:hAnsi="Times New Roman"/>
          <w:sz w:val="24"/>
          <w:szCs w:val="24"/>
          <w:lang w:val="sr-Cyrl-CS"/>
        </w:rPr>
        <w:t xml:space="preserve"> </w:t>
      </w:r>
      <w:r w:rsidR="00FF51AE">
        <w:rPr>
          <w:rFonts w:ascii="Times New Roman" w:hAnsi="Times New Roman"/>
          <w:sz w:val="24"/>
          <w:szCs w:val="24"/>
          <w:lang w:val="sr-Cyrl-CS"/>
        </w:rPr>
        <w:t xml:space="preserve">Због тога се настанак овог пореза везује за појаву друштва капитала </w:t>
      </w:r>
      <w:r w:rsidR="00A37855">
        <w:rPr>
          <w:rFonts w:ascii="Times New Roman" w:hAnsi="Times New Roman"/>
          <w:sz w:val="24"/>
          <w:szCs w:val="24"/>
          <w:lang w:val="sr-Cyrl-CS"/>
        </w:rPr>
        <w:t>која су се на почетку опорезивала порезом на доходак</w:t>
      </w:r>
      <w:r w:rsidR="00870A2F">
        <w:rPr>
          <w:rFonts w:ascii="Times New Roman" w:hAnsi="Times New Roman"/>
          <w:sz w:val="24"/>
          <w:szCs w:val="24"/>
          <w:lang w:val="sr-Cyrl-CS"/>
        </w:rPr>
        <w:t xml:space="preserve"> </w:t>
      </w:r>
      <w:r w:rsidR="00A37855">
        <w:rPr>
          <w:rFonts w:ascii="Times New Roman" w:hAnsi="Times New Roman"/>
          <w:sz w:val="24"/>
          <w:szCs w:val="24"/>
          <w:lang w:val="sr-Cyrl-CS"/>
        </w:rPr>
        <w:t>на нивоу акционара који су учестовали у добит</w:t>
      </w:r>
      <w:r w:rsidR="00870A2F">
        <w:rPr>
          <w:rFonts w:ascii="Times New Roman" w:hAnsi="Times New Roman"/>
          <w:sz w:val="24"/>
          <w:szCs w:val="24"/>
          <w:lang w:val="sr-Cyrl-CS"/>
        </w:rPr>
        <w:t>и</w:t>
      </w:r>
      <w:r w:rsidR="00A37855">
        <w:rPr>
          <w:rFonts w:ascii="Times New Roman" w:hAnsi="Times New Roman"/>
          <w:sz w:val="24"/>
          <w:szCs w:val="24"/>
          <w:lang w:val="sr-Cyrl-CS"/>
        </w:rPr>
        <w:t xml:space="preserve"> предузећа док је нераспоре</w:t>
      </w:r>
      <w:r w:rsidR="00870A2F">
        <w:rPr>
          <w:rFonts w:ascii="Times New Roman" w:hAnsi="Times New Roman"/>
          <w:sz w:val="24"/>
          <w:szCs w:val="24"/>
          <w:lang w:val="sr-Cyrl-CS"/>
        </w:rPr>
        <w:t>ђе</w:t>
      </w:r>
      <w:r w:rsidR="00A37855">
        <w:rPr>
          <w:rFonts w:ascii="Times New Roman" w:hAnsi="Times New Roman"/>
          <w:sz w:val="24"/>
          <w:szCs w:val="24"/>
          <w:lang w:val="sr-Cyrl-CS"/>
        </w:rPr>
        <w:t xml:space="preserve">на добит остајала неопорезована. </w:t>
      </w:r>
    </w:p>
    <w:p w:rsidR="005360CD" w:rsidRDefault="003F3C8A" w:rsidP="00291202">
      <w:pPr>
        <w:ind w:firstLine="708"/>
        <w:jc w:val="both"/>
        <w:rPr>
          <w:rFonts w:ascii="Times New Roman" w:hAnsi="Times New Roman"/>
          <w:sz w:val="24"/>
          <w:szCs w:val="24"/>
          <w:lang w:val="sr-Cyrl-CS"/>
        </w:rPr>
      </w:pPr>
      <w:r>
        <w:rPr>
          <w:rFonts w:ascii="Times New Roman" w:hAnsi="Times New Roman"/>
          <w:sz w:val="24"/>
          <w:szCs w:val="24"/>
          <w:lang w:val="sr-Cyrl-CS"/>
        </w:rPr>
        <w:lastRenderedPageBreak/>
        <w:t xml:space="preserve">Овај порески облик има за циљ </w:t>
      </w:r>
      <w:r w:rsidR="0014352F">
        <w:rPr>
          <w:rFonts w:ascii="Times New Roman" w:hAnsi="Times New Roman"/>
          <w:sz w:val="24"/>
          <w:szCs w:val="24"/>
          <w:lang w:val="sr-Cyrl-CS"/>
        </w:rPr>
        <w:t xml:space="preserve"> поред убирања пореских прихода и подстицање привредног раста.</w:t>
      </w:r>
      <w:r w:rsidR="00870A2F">
        <w:rPr>
          <w:rFonts w:ascii="Times New Roman" w:hAnsi="Times New Roman"/>
          <w:sz w:val="24"/>
          <w:szCs w:val="24"/>
          <w:lang w:val="sr-Cyrl-CS"/>
        </w:rPr>
        <w:t xml:space="preserve"> </w:t>
      </w:r>
      <w:r w:rsidR="005360CD">
        <w:rPr>
          <w:rFonts w:ascii="Times New Roman" w:hAnsi="Times New Roman"/>
          <w:sz w:val="24"/>
          <w:szCs w:val="24"/>
          <w:lang w:val="sr-Cyrl-CS"/>
        </w:rPr>
        <w:t xml:space="preserve">У компаративним фискалним системима земаља ОЕЦД примењују се два посебна </w:t>
      </w:r>
      <w:r>
        <w:rPr>
          <w:rFonts w:ascii="Times New Roman" w:hAnsi="Times New Roman"/>
          <w:sz w:val="24"/>
          <w:szCs w:val="24"/>
          <w:lang w:val="sr-Cyrl-CS"/>
        </w:rPr>
        <w:t>облика</w:t>
      </w:r>
      <w:r w:rsidR="005360CD">
        <w:rPr>
          <w:rFonts w:ascii="Times New Roman" w:hAnsi="Times New Roman"/>
          <w:sz w:val="24"/>
          <w:szCs w:val="24"/>
          <w:lang w:val="sr-Cyrl-CS"/>
        </w:rPr>
        <w:t xml:space="preserve"> опорезивања добити:</w:t>
      </w:r>
      <w:r w:rsidR="005360CD">
        <w:rPr>
          <w:rStyle w:val="FootnoteReference"/>
          <w:rFonts w:ascii="Times New Roman" w:hAnsi="Times New Roman"/>
          <w:sz w:val="24"/>
          <w:szCs w:val="24"/>
          <w:lang w:val="sr-Cyrl-CS"/>
        </w:rPr>
        <w:footnoteReference w:id="237"/>
      </w:r>
    </w:p>
    <w:p w:rsidR="005360CD" w:rsidRDefault="005360CD" w:rsidP="005360CD">
      <w:pPr>
        <w:numPr>
          <w:ilvl w:val="0"/>
          <w:numId w:val="2"/>
        </w:numPr>
        <w:jc w:val="both"/>
        <w:rPr>
          <w:rFonts w:ascii="Times New Roman" w:hAnsi="Times New Roman"/>
          <w:sz w:val="24"/>
          <w:szCs w:val="24"/>
          <w:lang w:val="sr-Cyrl-CS"/>
        </w:rPr>
      </w:pPr>
      <w:r>
        <w:rPr>
          <w:rFonts w:ascii="Times New Roman" w:hAnsi="Times New Roman"/>
          <w:sz w:val="24"/>
          <w:szCs w:val="24"/>
          <w:lang w:val="sr-Cyrl-CS"/>
        </w:rPr>
        <w:t>Порез на индивидуалан доходак (eng. Personal incom tax)</w:t>
      </w:r>
    </w:p>
    <w:p w:rsidR="005360CD" w:rsidRDefault="005360CD" w:rsidP="005360CD">
      <w:pPr>
        <w:numPr>
          <w:ilvl w:val="0"/>
          <w:numId w:val="2"/>
        </w:numPr>
        <w:jc w:val="both"/>
        <w:rPr>
          <w:rFonts w:ascii="Times New Roman" w:hAnsi="Times New Roman"/>
          <w:sz w:val="24"/>
          <w:szCs w:val="24"/>
          <w:lang w:val="sr-Cyrl-CS"/>
        </w:rPr>
      </w:pPr>
      <w:r>
        <w:rPr>
          <w:rFonts w:ascii="Times New Roman" w:hAnsi="Times New Roman"/>
          <w:sz w:val="24"/>
          <w:szCs w:val="24"/>
        </w:rPr>
        <w:t>Порез на добит</w:t>
      </w:r>
      <w:r>
        <w:rPr>
          <w:rFonts w:ascii="Times New Roman" w:hAnsi="Times New Roman"/>
          <w:sz w:val="24"/>
          <w:szCs w:val="24"/>
          <w:lang w:val="sr-Cyrl-CS"/>
        </w:rPr>
        <w:t xml:space="preserve"> </w:t>
      </w:r>
      <w:r w:rsidR="003F3C8A">
        <w:rPr>
          <w:rFonts w:ascii="Times New Roman" w:hAnsi="Times New Roman"/>
          <w:sz w:val="24"/>
          <w:szCs w:val="24"/>
          <w:lang w:val="sr-Cyrl-CS"/>
        </w:rPr>
        <w:t>(</w:t>
      </w:r>
      <w:r>
        <w:rPr>
          <w:rFonts w:ascii="Times New Roman" w:hAnsi="Times New Roman"/>
          <w:sz w:val="24"/>
          <w:szCs w:val="24"/>
          <w:lang w:val="sr-Cyrl-CS"/>
        </w:rPr>
        <w:t xml:space="preserve"> </w:t>
      </w:r>
      <w:r>
        <w:rPr>
          <w:rFonts w:ascii="Times New Roman" w:hAnsi="Times New Roman"/>
          <w:sz w:val="24"/>
          <w:szCs w:val="24"/>
        </w:rPr>
        <w:t>профит</w:t>
      </w:r>
      <w:r w:rsidR="003F3C8A">
        <w:rPr>
          <w:rFonts w:ascii="Times New Roman" w:hAnsi="Times New Roman"/>
          <w:sz w:val="24"/>
          <w:szCs w:val="24"/>
          <w:lang w:val="sr-Cyrl-CS"/>
        </w:rPr>
        <w:t>)</w:t>
      </w:r>
      <w:r>
        <w:rPr>
          <w:rFonts w:ascii="Times New Roman" w:hAnsi="Times New Roman"/>
          <w:sz w:val="24"/>
          <w:szCs w:val="24"/>
        </w:rPr>
        <w:t xml:space="preserve"> корпорација</w:t>
      </w:r>
      <w:r w:rsidR="003F3C8A">
        <w:rPr>
          <w:rFonts w:ascii="Times New Roman" w:hAnsi="Times New Roman"/>
          <w:sz w:val="24"/>
          <w:szCs w:val="24"/>
          <w:lang w:val="sr-Cyrl-CS"/>
        </w:rPr>
        <w:t xml:space="preserve">  </w:t>
      </w:r>
      <w:r>
        <w:rPr>
          <w:rFonts w:ascii="Times New Roman" w:hAnsi="Times New Roman"/>
          <w:sz w:val="24"/>
          <w:szCs w:val="24"/>
          <w:lang w:val="sr-Cyrl-CS"/>
        </w:rPr>
        <w:t>(eng. Corporate income tax)</w:t>
      </w:r>
    </w:p>
    <w:p w:rsidR="005360CD" w:rsidRDefault="00916A66" w:rsidP="00291202">
      <w:pPr>
        <w:ind w:firstLine="360"/>
        <w:jc w:val="both"/>
        <w:rPr>
          <w:rFonts w:ascii="Times New Roman" w:hAnsi="Times New Roman"/>
          <w:sz w:val="24"/>
          <w:szCs w:val="24"/>
          <w:lang w:val="sr-Cyrl-CS"/>
        </w:rPr>
      </w:pPr>
      <w:r>
        <w:rPr>
          <w:rFonts w:ascii="Times New Roman" w:hAnsi="Times New Roman"/>
          <w:sz w:val="24"/>
          <w:szCs w:val="24"/>
          <w:lang w:val="sr-Cyrl-CS"/>
        </w:rPr>
        <w:t xml:space="preserve">Порезом на индивидуални доходак </w:t>
      </w:r>
      <w:r w:rsidR="003F3C8A">
        <w:rPr>
          <w:rFonts w:ascii="Times New Roman" w:hAnsi="Times New Roman"/>
          <w:sz w:val="24"/>
          <w:szCs w:val="24"/>
          <w:lang w:val="sr-Cyrl-CS"/>
        </w:rPr>
        <w:t>обухваћена је</w:t>
      </w:r>
      <w:r>
        <w:rPr>
          <w:rFonts w:ascii="Times New Roman" w:hAnsi="Times New Roman"/>
          <w:sz w:val="24"/>
          <w:szCs w:val="24"/>
          <w:lang w:val="sr-Cyrl-CS"/>
        </w:rPr>
        <w:t xml:space="preserve"> добит предузећа која не пла</w:t>
      </w:r>
      <w:r w:rsidR="003F3C8A">
        <w:rPr>
          <w:rFonts w:ascii="Times New Roman" w:hAnsi="Times New Roman"/>
          <w:sz w:val="24"/>
          <w:szCs w:val="24"/>
          <w:lang w:val="sr-Cyrl-CS"/>
        </w:rPr>
        <w:t>ћају порез на добит корпорација</w:t>
      </w:r>
      <w:r>
        <w:rPr>
          <w:rFonts w:ascii="Times New Roman" w:hAnsi="Times New Roman"/>
          <w:sz w:val="24"/>
          <w:szCs w:val="24"/>
          <w:lang w:val="sr-Cyrl-CS"/>
        </w:rPr>
        <w:t>, радњи и других привредних и професионалних лукра</w:t>
      </w:r>
      <w:r w:rsidR="003F3C8A">
        <w:rPr>
          <w:rFonts w:ascii="Times New Roman" w:hAnsi="Times New Roman"/>
          <w:sz w:val="24"/>
          <w:szCs w:val="24"/>
          <w:lang w:val="sr-Cyrl-CS"/>
        </w:rPr>
        <w:t xml:space="preserve">тивних активности физичких лица. Другим обликом опорезивања добити </w:t>
      </w:r>
      <w:r>
        <w:rPr>
          <w:rFonts w:ascii="Times New Roman" w:hAnsi="Times New Roman"/>
          <w:sz w:val="24"/>
          <w:szCs w:val="24"/>
          <w:lang w:val="sr-Cyrl-CS"/>
        </w:rPr>
        <w:t xml:space="preserve">порезом на одбит корпорација </w:t>
      </w:r>
      <w:r w:rsidR="003F3C8A">
        <w:rPr>
          <w:rFonts w:ascii="Times New Roman" w:hAnsi="Times New Roman"/>
          <w:sz w:val="24"/>
          <w:szCs w:val="24"/>
          <w:lang w:val="sr-Cyrl-CS"/>
        </w:rPr>
        <w:t>обухваћена је</w:t>
      </w:r>
      <w:r>
        <w:rPr>
          <w:rFonts w:ascii="Times New Roman" w:hAnsi="Times New Roman"/>
          <w:sz w:val="24"/>
          <w:szCs w:val="24"/>
          <w:lang w:val="sr-Cyrl-CS"/>
        </w:rPr>
        <w:t xml:space="preserve"> добит привредних организација са статусом правног лица, која су организована у форми корпорација, компанија, друштва на бази акционарског капитала и добит државних, јавних предузећа, која послују на принципу профита.</w:t>
      </w:r>
      <w:r w:rsidR="00291202">
        <w:rPr>
          <w:rFonts w:ascii="Times New Roman" w:hAnsi="Times New Roman"/>
          <w:sz w:val="24"/>
          <w:szCs w:val="24"/>
          <w:lang w:val="sr-Cyrl-CS"/>
        </w:rPr>
        <w:t xml:space="preserve"> </w:t>
      </w:r>
    </w:p>
    <w:p w:rsidR="00BB3CD8" w:rsidRDefault="00BB3CD8" w:rsidP="005360CD">
      <w:pPr>
        <w:ind w:left="360"/>
        <w:jc w:val="both"/>
        <w:rPr>
          <w:rFonts w:ascii="Times New Roman" w:hAnsi="Times New Roman"/>
          <w:sz w:val="24"/>
          <w:szCs w:val="24"/>
          <w:lang w:val="sr-Cyrl-CS"/>
        </w:rPr>
      </w:pPr>
      <w:r>
        <w:rPr>
          <w:rFonts w:ascii="Times New Roman" w:hAnsi="Times New Roman"/>
          <w:sz w:val="24"/>
          <w:szCs w:val="24"/>
          <w:lang w:val="sr-Cyrl-CS"/>
        </w:rPr>
        <w:t xml:space="preserve">У пореској пракси </w:t>
      </w:r>
      <w:r w:rsidR="00563A60">
        <w:rPr>
          <w:rFonts w:ascii="Times New Roman" w:hAnsi="Times New Roman"/>
          <w:sz w:val="24"/>
          <w:szCs w:val="24"/>
          <w:lang w:val="sr-Cyrl-CS"/>
        </w:rPr>
        <w:t>заступљена су</w:t>
      </w:r>
      <w:r>
        <w:rPr>
          <w:rFonts w:ascii="Times New Roman" w:hAnsi="Times New Roman"/>
          <w:sz w:val="24"/>
          <w:szCs w:val="24"/>
          <w:lang w:val="sr-Cyrl-CS"/>
        </w:rPr>
        <w:t xml:space="preserve"> два концепта</w:t>
      </w:r>
      <w:r>
        <w:rPr>
          <w:rStyle w:val="FootnoteReference"/>
          <w:rFonts w:ascii="Times New Roman" w:hAnsi="Times New Roman"/>
          <w:sz w:val="24"/>
          <w:szCs w:val="24"/>
          <w:lang w:val="sr-Cyrl-CS"/>
        </w:rPr>
        <w:footnoteReference w:id="238"/>
      </w:r>
      <w:r>
        <w:rPr>
          <w:rFonts w:ascii="Times New Roman" w:hAnsi="Times New Roman"/>
          <w:sz w:val="24"/>
          <w:szCs w:val="24"/>
          <w:lang w:val="sr-Cyrl-CS"/>
        </w:rPr>
        <w:t xml:space="preserve"> опорезивања добити корпорација:</w:t>
      </w:r>
    </w:p>
    <w:p w:rsidR="00291202" w:rsidRDefault="00291202" w:rsidP="000F5FCA">
      <w:pPr>
        <w:jc w:val="both"/>
        <w:rPr>
          <w:rFonts w:ascii="Times New Roman" w:hAnsi="Times New Roman"/>
          <w:sz w:val="24"/>
          <w:szCs w:val="24"/>
          <w:lang w:val="sr-Cyrl-CS"/>
        </w:rPr>
      </w:pPr>
      <w:r>
        <w:rPr>
          <w:rFonts w:ascii="Times New Roman" w:hAnsi="Times New Roman"/>
          <w:sz w:val="24"/>
          <w:szCs w:val="24"/>
          <w:lang w:val="sr-Cyrl-CS"/>
        </w:rPr>
        <w:t xml:space="preserve">1)  </w:t>
      </w:r>
      <w:r w:rsidR="00BB3CD8">
        <w:rPr>
          <w:rFonts w:ascii="Times New Roman" w:hAnsi="Times New Roman"/>
          <w:sz w:val="24"/>
          <w:szCs w:val="24"/>
          <w:lang w:val="sr-Cyrl-CS"/>
        </w:rPr>
        <w:t xml:space="preserve">класичан </w:t>
      </w:r>
      <w:r w:rsidR="00657017">
        <w:rPr>
          <w:rFonts w:ascii="Times New Roman" w:hAnsi="Times New Roman"/>
          <w:sz w:val="24"/>
          <w:szCs w:val="24"/>
          <w:lang w:val="sr-Cyrl-CS"/>
        </w:rPr>
        <w:t>с</w:t>
      </w:r>
      <w:r w:rsidR="00BB3CD8">
        <w:rPr>
          <w:rFonts w:ascii="Times New Roman" w:hAnsi="Times New Roman"/>
          <w:sz w:val="24"/>
          <w:szCs w:val="24"/>
          <w:lang w:val="sr-Cyrl-CS"/>
        </w:rPr>
        <w:t xml:space="preserve">истем и </w:t>
      </w:r>
    </w:p>
    <w:p w:rsidR="00291202" w:rsidRDefault="00BB3CD8" w:rsidP="000F5FCA">
      <w:pPr>
        <w:jc w:val="both"/>
        <w:rPr>
          <w:rFonts w:ascii="Times New Roman" w:hAnsi="Times New Roman"/>
          <w:sz w:val="24"/>
          <w:szCs w:val="24"/>
          <w:lang w:val="sr-Cyrl-CS"/>
        </w:rPr>
      </w:pPr>
      <w:r>
        <w:rPr>
          <w:rFonts w:ascii="Times New Roman" w:hAnsi="Times New Roman"/>
          <w:sz w:val="24"/>
          <w:szCs w:val="24"/>
          <w:lang w:val="sr-Cyrl-CS"/>
        </w:rPr>
        <w:t xml:space="preserve">2) систем пореске интеграције. </w:t>
      </w:r>
    </w:p>
    <w:p w:rsidR="00291202" w:rsidRDefault="00BB3CD8" w:rsidP="00291202">
      <w:pPr>
        <w:ind w:firstLine="708"/>
        <w:jc w:val="both"/>
        <w:rPr>
          <w:rFonts w:ascii="Times New Roman" w:hAnsi="Times New Roman"/>
          <w:sz w:val="24"/>
          <w:szCs w:val="24"/>
          <w:lang w:val="sr-Cyrl-CS"/>
        </w:rPr>
      </w:pPr>
      <w:r>
        <w:rPr>
          <w:rFonts w:ascii="Times New Roman" w:hAnsi="Times New Roman"/>
          <w:sz w:val="24"/>
          <w:szCs w:val="24"/>
          <w:lang w:val="sr-Cyrl-CS"/>
        </w:rPr>
        <w:t xml:space="preserve">У класичном систему порез на добит </w:t>
      </w:r>
      <w:r w:rsidR="00563A60">
        <w:rPr>
          <w:rFonts w:ascii="Times New Roman" w:hAnsi="Times New Roman"/>
          <w:sz w:val="24"/>
          <w:szCs w:val="24"/>
          <w:lang w:val="sr-Cyrl-CS"/>
        </w:rPr>
        <w:t>обухвата</w:t>
      </w:r>
      <w:r>
        <w:rPr>
          <w:rFonts w:ascii="Times New Roman" w:hAnsi="Times New Roman"/>
          <w:sz w:val="24"/>
          <w:szCs w:val="24"/>
          <w:lang w:val="sr-Cyrl-CS"/>
        </w:rPr>
        <w:t xml:space="preserve"> добит корпорације у целини, а затим и дивиденде као део дохотка акционара</w:t>
      </w:r>
      <w:r w:rsidR="00563A60">
        <w:rPr>
          <w:rFonts w:ascii="Times New Roman" w:hAnsi="Times New Roman"/>
          <w:sz w:val="24"/>
          <w:szCs w:val="24"/>
          <w:lang w:val="sr-Cyrl-CS"/>
        </w:rPr>
        <w:t>.</w:t>
      </w:r>
      <w:r>
        <w:rPr>
          <w:rFonts w:ascii="Times New Roman" w:hAnsi="Times New Roman"/>
          <w:sz w:val="24"/>
          <w:szCs w:val="24"/>
          <w:lang w:val="sr-Cyrl-CS"/>
        </w:rPr>
        <w:t xml:space="preserve"> </w:t>
      </w:r>
      <w:r w:rsidR="00563A60">
        <w:rPr>
          <w:rFonts w:ascii="Times New Roman" w:hAnsi="Times New Roman"/>
          <w:sz w:val="24"/>
          <w:szCs w:val="24"/>
          <w:lang w:val="sr-Cyrl-CS"/>
        </w:rPr>
        <w:t xml:space="preserve">Овај </w:t>
      </w:r>
      <w:r>
        <w:rPr>
          <w:rFonts w:ascii="Times New Roman" w:hAnsi="Times New Roman"/>
          <w:sz w:val="24"/>
          <w:szCs w:val="24"/>
          <w:lang w:val="sr-Cyrl-CS"/>
        </w:rPr>
        <w:t xml:space="preserve">феномен познат у пореској теорији као </w:t>
      </w:r>
      <w:r w:rsidR="00C05098">
        <w:rPr>
          <w:rFonts w:ascii="Times New Roman" w:hAnsi="Times New Roman"/>
          <w:sz w:val="24"/>
          <w:szCs w:val="24"/>
          <w:lang w:val="sr-Cyrl-CS"/>
        </w:rPr>
        <w:t>двострук</w:t>
      </w:r>
      <w:r w:rsidR="00563A60">
        <w:rPr>
          <w:rFonts w:ascii="Times New Roman" w:hAnsi="Times New Roman"/>
          <w:sz w:val="24"/>
          <w:szCs w:val="24"/>
          <w:lang w:val="sr-Cyrl-CS"/>
        </w:rPr>
        <w:t xml:space="preserve">о економско опорезивање значи да се дивенде </w:t>
      </w:r>
      <w:r w:rsidR="00C05098">
        <w:rPr>
          <w:rFonts w:ascii="Times New Roman" w:hAnsi="Times New Roman"/>
          <w:sz w:val="24"/>
          <w:szCs w:val="24"/>
          <w:lang w:val="sr-Cyrl-CS"/>
        </w:rPr>
        <w:t>два пута опорезују</w:t>
      </w:r>
      <w:r w:rsidR="00563A60">
        <w:rPr>
          <w:rFonts w:ascii="Times New Roman" w:hAnsi="Times New Roman"/>
          <w:sz w:val="24"/>
          <w:szCs w:val="24"/>
          <w:lang w:val="sr-Cyrl-CS"/>
        </w:rPr>
        <w:t xml:space="preserve"> и није остварена веза између пореза на добит корпорација са порезом на доходак физичких лица</w:t>
      </w:r>
      <w:r w:rsidR="00C05098">
        <w:rPr>
          <w:rFonts w:ascii="Times New Roman" w:hAnsi="Times New Roman"/>
          <w:sz w:val="24"/>
          <w:szCs w:val="24"/>
          <w:lang w:val="sr-Cyrl-CS"/>
        </w:rPr>
        <w:t>.</w:t>
      </w:r>
      <w:r>
        <w:rPr>
          <w:rFonts w:ascii="Times New Roman" w:hAnsi="Times New Roman"/>
          <w:sz w:val="24"/>
          <w:szCs w:val="24"/>
          <w:lang w:val="sr-Cyrl-CS"/>
        </w:rPr>
        <w:t xml:space="preserve"> Овај систем се примењује у </w:t>
      </w:r>
      <w:r w:rsidR="00C05098">
        <w:rPr>
          <w:rFonts w:ascii="Times New Roman" w:hAnsi="Times New Roman"/>
          <w:sz w:val="24"/>
          <w:szCs w:val="24"/>
          <w:lang w:val="sr-Cyrl-CS"/>
        </w:rPr>
        <w:t xml:space="preserve">мањем броју </w:t>
      </w:r>
      <w:r w:rsidR="00563A60">
        <w:rPr>
          <w:rFonts w:ascii="Times New Roman" w:hAnsi="Times New Roman"/>
          <w:sz w:val="24"/>
          <w:szCs w:val="24"/>
          <w:lang w:val="sr-Cyrl-CS"/>
        </w:rPr>
        <w:t>држава  као што су САД, Швајцарска, Норвешкка, Ирска</w:t>
      </w:r>
      <w:r>
        <w:rPr>
          <w:rFonts w:ascii="Times New Roman" w:hAnsi="Times New Roman"/>
          <w:sz w:val="24"/>
          <w:szCs w:val="24"/>
          <w:lang w:val="sr-Cyrl-CS"/>
        </w:rPr>
        <w:t xml:space="preserve"> и Шв</w:t>
      </w:r>
      <w:r w:rsidR="00291202">
        <w:rPr>
          <w:rFonts w:ascii="Times New Roman" w:hAnsi="Times New Roman"/>
          <w:sz w:val="24"/>
          <w:szCs w:val="24"/>
          <w:lang w:val="sr-Cyrl-CS"/>
        </w:rPr>
        <w:t>е</w:t>
      </w:r>
      <w:r w:rsidR="00563A60">
        <w:rPr>
          <w:rFonts w:ascii="Times New Roman" w:hAnsi="Times New Roman"/>
          <w:sz w:val="24"/>
          <w:szCs w:val="24"/>
          <w:lang w:val="sr-Cyrl-CS"/>
        </w:rPr>
        <w:t>дска</w:t>
      </w:r>
      <w:r>
        <w:rPr>
          <w:rFonts w:ascii="Times New Roman" w:hAnsi="Times New Roman"/>
          <w:sz w:val="24"/>
          <w:szCs w:val="24"/>
          <w:lang w:val="sr-Cyrl-CS"/>
        </w:rPr>
        <w:t xml:space="preserve">. </w:t>
      </w:r>
    </w:p>
    <w:p w:rsidR="00C05098" w:rsidRDefault="00291202" w:rsidP="00347C1D">
      <w:pPr>
        <w:ind w:firstLine="708"/>
        <w:jc w:val="both"/>
        <w:rPr>
          <w:rFonts w:ascii="Times New Roman" w:hAnsi="Times New Roman"/>
          <w:sz w:val="24"/>
          <w:szCs w:val="24"/>
          <w:lang w:val="sr-Cyrl-CS"/>
        </w:rPr>
      </w:pPr>
      <w:r>
        <w:rPr>
          <w:rFonts w:ascii="Times New Roman" w:hAnsi="Times New Roman"/>
          <w:sz w:val="24"/>
          <w:szCs w:val="24"/>
          <w:lang w:val="sr-Cyrl-CS"/>
        </w:rPr>
        <w:t xml:space="preserve">Пореска интеграција </w:t>
      </w:r>
      <w:r w:rsidR="00BB3CD8">
        <w:rPr>
          <w:rFonts w:ascii="Times New Roman" w:hAnsi="Times New Roman"/>
          <w:sz w:val="24"/>
          <w:szCs w:val="24"/>
          <w:lang w:val="sr-Cyrl-CS"/>
        </w:rPr>
        <w:t>представља поступак којим се пружа олакшица за расподељену добит, како би се смањило или елиминисало економско двоструко опорезивање</w:t>
      </w:r>
      <w:r w:rsidR="00791466">
        <w:rPr>
          <w:rFonts w:ascii="Times New Roman" w:hAnsi="Times New Roman"/>
          <w:sz w:val="24"/>
          <w:szCs w:val="24"/>
          <w:lang w:val="sr-Cyrl-CS"/>
        </w:rPr>
        <w:t xml:space="preserve"> и примењује  се на нивоу корпорације и на нивоу акционара.</w:t>
      </w:r>
      <w:r w:rsidR="00657017">
        <w:rPr>
          <w:rFonts w:ascii="Times New Roman" w:hAnsi="Times New Roman"/>
          <w:sz w:val="24"/>
          <w:szCs w:val="24"/>
          <w:lang w:val="sr-Cyrl-CS"/>
        </w:rPr>
        <w:t xml:space="preserve"> Ублажавање економског двоструког опорезивања спроводи делимичном импутацијом или де</w:t>
      </w:r>
      <w:r w:rsidR="0007172C">
        <w:rPr>
          <w:rFonts w:ascii="Times New Roman" w:hAnsi="Times New Roman"/>
          <w:sz w:val="24"/>
          <w:szCs w:val="24"/>
          <w:lang w:val="sr-Cyrl-CS"/>
        </w:rPr>
        <w:t>лимичном олакшицом за акционаре</w:t>
      </w:r>
      <w:r w:rsidR="00791466">
        <w:rPr>
          <w:rFonts w:ascii="Times New Roman" w:hAnsi="Times New Roman"/>
          <w:sz w:val="24"/>
          <w:szCs w:val="24"/>
          <w:lang w:val="sr-Cyrl-CS"/>
        </w:rPr>
        <w:t xml:space="preserve">. </w:t>
      </w:r>
      <w:r w:rsidR="00140C93">
        <w:rPr>
          <w:rFonts w:ascii="Times New Roman" w:hAnsi="Times New Roman"/>
          <w:sz w:val="24"/>
          <w:szCs w:val="24"/>
          <w:lang w:val="sr-Cyrl-CS"/>
        </w:rPr>
        <w:t>Им</w:t>
      </w:r>
      <w:r w:rsidR="00791466">
        <w:rPr>
          <w:rFonts w:ascii="Times New Roman" w:hAnsi="Times New Roman"/>
          <w:sz w:val="24"/>
          <w:szCs w:val="24"/>
          <w:lang w:val="sr-Cyrl-CS"/>
        </w:rPr>
        <w:t>путација се спроводи у три фазе.</w:t>
      </w:r>
      <w:r w:rsidR="00140C93">
        <w:rPr>
          <w:rFonts w:ascii="Times New Roman" w:hAnsi="Times New Roman"/>
          <w:sz w:val="24"/>
          <w:szCs w:val="24"/>
          <w:lang w:val="sr-Cyrl-CS"/>
        </w:rPr>
        <w:t xml:space="preserve"> </w:t>
      </w:r>
      <w:r w:rsidR="00791466">
        <w:rPr>
          <w:rFonts w:ascii="Times New Roman" w:hAnsi="Times New Roman"/>
          <w:sz w:val="24"/>
          <w:szCs w:val="24"/>
          <w:lang w:val="sr-Cyrl-CS"/>
        </w:rPr>
        <w:t>Најпре се</w:t>
      </w:r>
      <w:r w:rsidR="00140C93">
        <w:rPr>
          <w:rFonts w:ascii="Times New Roman" w:hAnsi="Times New Roman"/>
          <w:sz w:val="24"/>
          <w:szCs w:val="24"/>
          <w:lang w:val="sr-Cyrl-CS"/>
        </w:rPr>
        <w:t xml:space="preserve"> на нивоу предузећа уводи порез на укупну добит, затим се у другој фази приходи од дивиденди укључују у доходак који се опорезује порезом на доходак. У опорезиви доходак се приписује (импутира) порез на добит предузећа на примљене дивиденде. У последњој </w:t>
      </w:r>
      <w:r w:rsidR="00791466">
        <w:rPr>
          <w:rFonts w:ascii="Times New Roman" w:hAnsi="Times New Roman"/>
          <w:sz w:val="24"/>
          <w:szCs w:val="24"/>
          <w:lang w:val="sr-Cyrl-CS"/>
        </w:rPr>
        <w:t xml:space="preserve">трећој </w:t>
      </w:r>
      <w:r w:rsidR="00140C93">
        <w:rPr>
          <w:rFonts w:ascii="Times New Roman" w:hAnsi="Times New Roman"/>
          <w:sz w:val="24"/>
          <w:szCs w:val="24"/>
          <w:lang w:val="sr-Cyrl-CS"/>
        </w:rPr>
        <w:t xml:space="preserve">фази се опорезује доходак акционара коме се у исто време даје порески кредит на име пореза на добит који је претходно импутирао. </w:t>
      </w:r>
      <w:r w:rsidR="00791466">
        <w:rPr>
          <w:rFonts w:ascii="Times New Roman" w:hAnsi="Times New Roman"/>
          <w:sz w:val="24"/>
          <w:szCs w:val="24"/>
          <w:lang w:val="sr-Cyrl-CS"/>
        </w:rPr>
        <w:t xml:space="preserve">Код другог облика односно одобравања делимичне олакшице за акционаре добит корпорације се прво опорезује по редовној стопи а потом се акционарима пружа пореска олакшица. </w:t>
      </w:r>
      <w:r w:rsidR="00611529">
        <w:rPr>
          <w:rFonts w:ascii="Times New Roman" w:hAnsi="Times New Roman"/>
          <w:sz w:val="24"/>
          <w:szCs w:val="24"/>
          <w:lang w:val="sr-Cyrl-CS"/>
        </w:rPr>
        <w:t xml:space="preserve">На нивоу корпорације примењује се систем одбијања дивиденди што значи да корпорација </w:t>
      </w:r>
      <w:r w:rsidR="00611529">
        <w:rPr>
          <w:rFonts w:ascii="Times New Roman" w:hAnsi="Times New Roman"/>
          <w:sz w:val="24"/>
          <w:szCs w:val="24"/>
          <w:lang w:val="sr-Cyrl-CS"/>
        </w:rPr>
        <w:lastRenderedPageBreak/>
        <w:t>има право да одбије део исплаћених дивиденди приликом утврђивања опорезив</w:t>
      </w:r>
      <w:r>
        <w:rPr>
          <w:rFonts w:ascii="Times New Roman" w:hAnsi="Times New Roman"/>
          <w:sz w:val="24"/>
          <w:szCs w:val="24"/>
          <w:lang w:val="sr-Cyrl-CS"/>
        </w:rPr>
        <w:t>е</w:t>
      </w:r>
      <w:r w:rsidR="00611529">
        <w:rPr>
          <w:rFonts w:ascii="Times New Roman" w:hAnsi="Times New Roman"/>
          <w:sz w:val="24"/>
          <w:szCs w:val="24"/>
          <w:lang w:val="sr-Cyrl-CS"/>
        </w:rPr>
        <w:t xml:space="preserve"> добити и систем двојних стопа.</w:t>
      </w:r>
    </w:p>
    <w:p w:rsidR="001E6839" w:rsidRPr="00B90C1E" w:rsidRDefault="001E6839" w:rsidP="00D57F68">
      <w:pPr>
        <w:jc w:val="both"/>
        <w:rPr>
          <w:rFonts w:ascii="Times New Roman" w:hAnsi="Times New Roman"/>
          <w:sz w:val="24"/>
          <w:szCs w:val="24"/>
        </w:rPr>
      </w:pPr>
    </w:p>
    <w:p w:rsidR="00C05098" w:rsidRPr="00C05098" w:rsidRDefault="004C0E90" w:rsidP="000F5FCA">
      <w:pPr>
        <w:jc w:val="both"/>
        <w:rPr>
          <w:rFonts w:ascii="Times New Roman" w:hAnsi="Times New Roman"/>
          <w:b/>
          <w:sz w:val="20"/>
          <w:szCs w:val="20"/>
          <w:lang w:val="sr-Cyrl-CS"/>
        </w:rPr>
      </w:pPr>
      <w:r>
        <w:rPr>
          <w:rFonts w:ascii="Times New Roman" w:hAnsi="Times New Roman"/>
          <w:b/>
          <w:sz w:val="20"/>
          <w:szCs w:val="20"/>
          <w:lang w:val="sr-Cyrl-CS"/>
        </w:rPr>
        <w:t>СЛИКА 9</w:t>
      </w:r>
      <w:r w:rsidR="00D57F68">
        <w:rPr>
          <w:rFonts w:ascii="Times New Roman" w:hAnsi="Times New Roman"/>
          <w:b/>
          <w:sz w:val="20"/>
          <w:szCs w:val="20"/>
          <w:lang w:val="sr-Cyrl-CS"/>
        </w:rPr>
        <w:t xml:space="preserve">. </w:t>
      </w:r>
      <w:r w:rsidR="00C05098" w:rsidRPr="00C05098">
        <w:rPr>
          <w:rFonts w:ascii="Times New Roman" w:hAnsi="Times New Roman"/>
          <w:b/>
          <w:sz w:val="20"/>
          <w:szCs w:val="20"/>
          <w:lang w:val="sr-Cyrl-CS"/>
        </w:rPr>
        <w:t>ШЕМАТСКИ ПРИКАЗ КОНЦЕПТА ОПОРЕЗИВАЊА ДОБИТИ</w:t>
      </w:r>
    </w:p>
    <w:p w:rsidR="00A37855" w:rsidRDefault="00616181" w:rsidP="000F5FCA">
      <w:pPr>
        <w:jc w:val="both"/>
        <w:rPr>
          <w:rFonts w:ascii="Times New Roman" w:hAnsi="Times New Roman"/>
          <w:sz w:val="24"/>
          <w:szCs w:val="24"/>
          <w:lang w:val="sr-Cyrl-CS"/>
        </w:rPr>
      </w:pPr>
      <w:r>
        <w:rPr>
          <w:rFonts w:ascii="Times New Roman" w:hAnsi="Times New Roman"/>
          <w:noProof/>
          <w:sz w:val="24"/>
          <w:szCs w:val="24"/>
        </w:rPr>
        <w:pict>
          <v:rect id="_x0000_s1149" style="position:absolute;left:0;text-align:left;margin-left:12.45pt;margin-top:10.05pt;width:146.25pt;height:35.25pt;z-index:251599360">
            <v:textbox>
              <w:txbxContent>
                <w:p w:rsidR="00767127" w:rsidRPr="0012198D" w:rsidRDefault="00767127">
                  <w:pPr>
                    <w:rPr>
                      <w:lang w:val="sr-Cyrl-CS"/>
                    </w:rPr>
                  </w:pPr>
                  <w:r>
                    <w:rPr>
                      <w:lang w:val="sr-Cyrl-CS"/>
                    </w:rPr>
                    <w:t>Концепти опорезивања добити</w:t>
                  </w:r>
                </w:p>
              </w:txbxContent>
            </v:textbox>
          </v:rect>
        </w:pict>
      </w:r>
      <w:r w:rsidR="0012198D">
        <w:rPr>
          <w:rFonts w:ascii="Times New Roman" w:hAnsi="Times New Roman"/>
          <w:sz w:val="24"/>
          <w:szCs w:val="24"/>
          <w:lang w:val="sr-Cyrl-CS"/>
        </w:rPr>
        <w:t xml:space="preserve">   </w:t>
      </w:r>
    </w:p>
    <w:p w:rsidR="00A37855" w:rsidRPr="0012198D" w:rsidRDefault="00616181" w:rsidP="000F5FCA">
      <w:pPr>
        <w:jc w:val="both"/>
        <w:rPr>
          <w:rFonts w:ascii="Times New Roman" w:hAnsi="Times New Roman"/>
          <w:sz w:val="20"/>
          <w:szCs w:val="20"/>
          <w:lang w:val="sr-Cyrl-CS"/>
        </w:rPr>
      </w:pPr>
      <w:r w:rsidRPr="00616181">
        <w:rPr>
          <w:rFonts w:ascii="Times New Roman" w:hAnsi="Times New Roman"/>
          <w:noProof/>
          <w:sz w:val="24"/>
          <w:szCs w:val="24"/>
        </w:rPr>
        <w:pict>
          <v:shape id="_x0000_s1154" type="#_x0000_t32" style="position:absolute;left:0;text-align:left;margin-left:66.45pt;margin-top:19.45pt;width:66pt;height:34.5pt;z-index:251603456" o:connectortype="straight">
            <v:stroke endarrow="block"/>
          </v:shape>
        </w:pict>
      </w:r>
      <w:r w:rsidRPr="00616181">
        <w:rPr>
          <w:rFonts w:ascii="Times New Roman" w:hAnsi="Times New Roman"/>
          <w:noProof/>
          <w:sz w:val="24"/>
          <w:szCs w:val="24"/>
        </w:rPr>
        <w:pict>
          <v:shape id="_x0000_s1153" type="#_x0000_t32" style="position:absolute;left:0;text-align:left;margin-left:38.7pt;margin-top:19.45pt;width:27.75pt;height:34.5pt;flip:x;z-index:251602432" o:connectortype="straight">
            <v:stroke endarrow="block"/>
          </v:shape>
        </w:pict>
      </w:r>
      <w:r w:rsidR="0012198D">
        <w:rPr>
          <w:rFonts w:ascii="Times New Roman" w:hAnsi="Times New Roman"/>
          <w:sz w:val="24"/>
          <w:szCs w:val="24"/>
          <w:lang w:val="sr-Cyrl-CS"/>
        </w:rPr>
        <w:t xml:space="preserve">      </w:t>
      </w:r>
    </w:p>
    <w:p w:rsidR="00A37855" w:rsidRDefault="002D6F9E" w:rsidP="000F5FCA">
      <w:pPr>
        <w:jc w:val="both"/>
        <w:rPr>
          <w:rFonts w:ascii="Times New Roman" w:hAnsi="Times New Roman"/>
          <w:sz w:val="24"/>
          <w:szCs w:val="24"/>
          <w:lang w:val="sr-Cyrl-CS"/>
        </w:rPr>
      </w:pPr>
      <w:r>
        <w:rPr>
          <w:rFonts w:ascii="Times New Roman" w:hAnsi="Times New Roman"/>
          <w:sz w:val="24"/>
          <w:szCs w:val="24"/>
          <w:lang w:val="sr-Cyrl-CS"/>
        </w:rPr>
        <w:t xml:space="preserve">                      </w:t>
      </w:r>
    </w:p>
    <w:p w:rsidR="002D6F9E" w:rsidRDefault="00616181" w:rsidP="000F5FCA">
      <w:pPr>
        <w:jc w:val="both"/>
        <w:rPr>
          <w:rFonts w:ascii="Times New Roman" w:hAnsi="Times New Roman"/>
          <w:sz w:val="24"/>
          <w:szCs w:val="24"/>
          <w:lang w:val="sr-Cyrl-CS"/>
        </w:rPr>
      </w:pPr>
      <w:r>
        <w:rPr>
          <w:rFonts w:ascii="Times New Roman" w:hAnsi="Times New Roman"/>
          <w:noProof/>
          <w:sz w:val="24"/>
          <w:szCs w:val="24"/>
        </w:rPr>
        <w:pict>
          <v:rect id="_x0000_s1152" style="position:absolute;left:0;text-align:left;margin-left:108.45pt;margin-top:2.2pt;width:93pt;height:48.75pt;z-index:251601408">
            <v:textbox>
              <w:txbxContent>
                <w:p w:rsidR="00767127" w:rsidRDefault="00767127">
                  <w:pPr>
                    <w:rPr>
                      <w:lang w:val="sr-Cyrl-CS"/>
                    </w:rPr>
                  </w:pPr>
                  <w:r>
                    <w:rPr>
                      <w:lang w:val="sr-Cyrl-CS"/>
                    </w:rPr>
                    <w:t>Систем пореске интеграције</w:t>
                  </w:r>
                </w:p>
                <w:p w:rsidR="00767127" w:rsidRPr="0012198D" w:rsidRDefault="00767127">
                  <w:pPr>
                    <w:rPr>
                      <w:lang w:val="sr-Cyrl-CS"/>
                    </w:rPr>
                  </w:pPr>
                </w:p>
              </w:txbxContent>
            </v:textbox>
          </v:rect>
        </w:pict>
      </w:r>
      <w:r>
        <w:rPr>
          <w:rFonts w:ascii="Times New Roman" w:hAnsi="Times New Roman"/>
          <w:noProof/>
          <w:sz w:val="24"/>
          <w:szCs w:val="24"/>
        </w:rPr>
        <w:pict>
          <v:rect id="_x0000_s1150" style="position:absolute;left:0;text-align:left;margin-left:1.2pt;margin-top:2.2pt;width:69.75pt;height:48.75pt;z-index:251600384">
            <v:textbox>
              <w:txbxContent>
                <w:p w:rsidR="00767127" w:rsidRPr="0012198D" w:rsidRDefault="00767127">
                  <w:pPr>
                    <w:rPr>
                      <w:lang w:val="sr-Cyrl-CS"/>
                    </w:rPr>
                  </w:pPr>
                  <w:r>
                    <w:rPr>
                      <w:lang w:val="sr-Cyrl-CS"/>
                    </w:rPr>
                    <w:t>Класичан систем</w:t>
                  </w:r>
                </w:p>
              </w:txbxContent>
            </v:textbox>
          </v:rect>
        </w:pict>
      </w:r>
      <w:r w:rsidR="002D6F9E">
        <w:rPr>
          <w:rFonts w:ascii="Times New Roman" w:hAnsi="Times New Roman"/>
          <w:sz w:val="24"/>
          <w:szCs w:val="24"/>
          <w:lang w:val="sr-Cyrl-CS"/>
        </w:rPr>
        <w:t xml:space="preserve">                                    </w:t>
      </w:r>
    </w:p>
    <w:p w:rsidR="002D6F9E" w:rsidRDefault="00616181" w:rsidP="000F5FCA">
      <w:pPr>
        <w:jc w:val="both"/>
        <w:rPr>
          <w:rFonts w:ascii="Times New Roman" w:hAnsi="Times New Roman"/>
          <w:sz w:val="24"/>
          <w:szCs w:val="24"/>
          <w:lang w:val="sr-Cyrl-CS"/>
        </w:rPr>
      </w:pPr>
      <w:r>
        <w:rPr>
          <w:rFonts w:ascii="Times New Roman" w:hAnsi="Times New Roman"/>
          <w:noProof/>
          <w:sz w:val="24"/>
          <w:szCs w:val="24"/>
        </w:rPr>
        <w:pict>
          <v:shape id="_x0000_s1158" type="#_x0000_t32" style="position:absolute;left:0;text-align:left;margin-left:139.95pt;margin-top:25.1pt;width:51pt;height:33pt;z-index:251607552" o:connectortype="straight">
            <v:stroke endarrow="block"/>
          </v:shape>
        </w:pict>
      </w:r>
      <w:r>
        <w:rPr>
          <w:rFonts w:ascii="Times New Roman" w:hAnsi="Times New Roman"/>
          <w:noProof/>
          <w:sz w:val="24"/>
          <w:szCs w:val="24"/>
        </w:rPr>
        <w:pict>
          <v:shape id="_x0000_s1157" type="#_x0000_t32" style="position:absolute;left:0;text-align:left;margin-left:103.2pt;margin-top:25.1pt;width:36.75pt;height:33pt;flip:x;z-index:251606528" o:connectortype="straight">
            <v:stroke endarrow="block"/>
          </v:shape>
        </w:pict>
      </w:r>
    </w:p>
    <w:p w:rsidR="002D6F9E" w:rsidRDefault="002D6F9E" w:rsidP="000F5FCA">
      <w:pPr>
        <w:jc w:val="both"/>
        <w:rPr>
          <w:rFonts w:ascii="Times New Roman" w:hAnsi="Times New Roman"/>
          <w:sz w:val="24"/>
          <w:szCs w:val="24"/>
          <w:lang w:val="sr-Cyrl-CS"/>
        </w:rPr>
      </w:pPr>
    </w:p>
    <w:p w:rsidR="002D6F9E" w:rsidRDefault="00616181" w:rsidP="000F5FCA">
      <w:pPr>
        <w:jc w:val="both"/>
        <w:rPr>
          <w:rFonts w:ascii="Times New Roman" w:hAnsi="Times New Roman"/>
          <w:sz w:val="24"/>
          <w:szCs w:val="24"/>
          <w:lang w:val="sr-Cyrl-CS"/>
        </w:rPr>
      </w:pPr>
      <w:r>
        <w:rPr>
          <w:rFonts w:ascii="Times New Roman" w:hAnsi="Times New Roman"/>
          <w:noProof/>
          <w:sz w:val="24"/>
          <w:szCs w:val="24"/>
        </w:rPr>
        <w:pict>
          <v:rect id="_x0000_s1156" style="position:absolute;left:0;text-align:left;margin-left:158.7pt;margin-top:6.35pt;width:116.25pt;height:48pt;z-index:251605504">
            <v:textbox>
              <w:txbxContent>
                <w:p w:rsidR="00767127" w:rsidRPr="0012198D" w:rsidRDefault="00767127">
                  <w:pPr>
                    <w:rPr>
                      <w:lang w:val="sr-Cyrl-CS"/>
                    </w:rPr>
                  </w:pPr>
                  <w:r>
                    <w:rPr>
                      <w:lang w:val="sr-Cyrl-CS"/>
                    </w:rPr>
                    <w:t>Систем делимичне интеграције</w:t>
                  </w:r>
                </w:p>
              </w:txbxContent>
            </v:textbox>
          </v:rect>
        </w:pict>
      </w:r>
      <w:r>
        <w:rPr>
          <w:rFonts w:ascii="Times New Roman" w:hAnsi="Times New Roman"/>
          <w:noProof/>
          <w:sz w:val="24"/>
          <w:szCs w:val="24"/>
        </w:rPr>
        <w:pict>
          <v:rect id="_x0000_s1155" style="position:absolute;left:0;text-align:left;margin-left:29.7pt;margin-top:6.35pt;width:110.25pt;height:48pt;z-index:251604480">
            <v:textbox>
              <w:txbxContent>
                <w:p w:rsidR="00767127" w:rsidRPr="0012198D" w:rsidRDefault="00767127">
                  <w:pPr>
                    <w:rPr>
                      <w:lang w:val="sr-Cyrl-CS"/>
                    </w:rPr>
                  </w:pPr>
                  <w:r>
                    <w:rPr>
                      <w:lang w:val="sr-Cyrl-CS"/>
                    </w:rPr>
                    <w:t>Систем потпуне интеграције</w:t>
                  </w:r>
                </w:p>
              </w:txbxContent>
            </v:textbox>
          </v:rect>
        </w:pict>
      </w:r>
      <w:r w:rsidR="002D6F9E">
        <w:rPr>
          <w:rFonts w:ascii="Times New Roman" w:hAnsi="Times New Roman"/>
          <w:sz w:val="24"/>
          <w:szCs w:val="24"/>
          <w:lang w:val="sr-Cyrl-CS"/>
        </w:rPr>
        <w:t xml:space="preserve">                                                     </w:t>
      </w:r>
    </w:p>
    <w:p w:rsidR="002D6F9E" w:rsidRDefault="002D6F9E" w:rsidP="000F5FCA">
      <w:pPr>
        <w:jc w:val="both"/>
        <w:rPr>
          <w:rFonts w:ascii="Times New Roman" w:hAnsi="Times New Roman"/>
          <w:sz w:val="24"/>
          <w:szCs w:val="24"/>
          <w:lang w:val="sr-Cyrl-CS"/>
        </w:rPr>
      </w:pPr>
    </w:p>
    <w:p w:rsidR="002D6F9E" w:rsidRDefault="00616181" w:rsidP="000F5FCA">
      <w:pPr>
        <w:jc w:val="both"/>
        <w:rPr>
          <w:rFonts w:ascii="Times New Roman" w:hAnsi="Times New Roman"/>
          <w:sz w:val="24"/>
          <w:szCs w:val="24"/>
          <w:lang w:val="sr-Cyrl-CS"/>
        </w:rPr>
      </w:pPr>
      <w:r>
        <w:rPr>
          <w:rFonts w:ascii="Times New Roman" w:hAnsi="Times New Roman"/>
          <w:noProof/>
          <w:sz w:val="24"/>
          <w:szCs w:val="24"/>
        </w:rPr>
        <w:pict>
          <v:shape id="_x0000_s1162" type="#_x0000_t32" style="position:absolute;left:0;text-align:left;margin-left:196.2pt;margin-top:2.6pt;width:42.75pt;height:30.75pt;z-index:251611648" o:connectortype="straight">
            <v:stroke endarrow="block"/>
          </v:shape>
        </w:pict>
      </w:r>
      <w:r>
        <w:rPr>
          <w:rFonts w:ascii="Times New Roman" w:hAnsi="Times New Roman"/>
          <w:noProof/>
          <w:sz w:val="24"/>
          <w:szCs w:val="24"/>
        </w:rPr>
        <w:pict>
          <v:shape id="_x0000_s1161" type="#_x0000_t32" style="position:absolute;left:0;text-align:left;margin-left:148.95pt;margin-top:2.6pt;width:47.25pt;height:30.75pt;flip:x;z-index:251610624" o:connectortype="straight">
            <v:stroke endarrow="block"/>
          </v:shape>
        </w:pict>
      </w:r>
    </w:p>
    <w:p w:rsidR="002D6F9E" w:rsidRDefault="00616181" w:rsidP="000F5FCA">
      <w:pPr>
        <w:jc w:val="both"/>
        <w:rPr>
          <w:rFonts w:ascii="Times New Roman" w:hAnsi="Times New Roman"/>
          <w:sz w:val="24"/>
          <w:szCs w:val="24"/>
          <w:lang w:val="sr-Cyrl-CS"/>
        </w:rPr>
      </w:pPr>
      <w:r>
        <w:rPr>
          <w:rFonts w:ascii="Times New Roman" w:hAnsi="Times New Roman"/>
          <w:noProof/>
          <w:sz w:val="24"/>
          <w:szCs w:val="24"/>
        </w:rPr>
        <w:pict>
          <v:rect id="_x0000_s1160" style="position:absolute;left:0;text-align:left;margin-left:201.45pt;margin-top:7.5pt;width:115.5pt;height:44.25pt;z-index:251609600">
            <v:textbox>
              <w:txbxContent>
                <w:p w:rsidR="00767127" w:rsidRPr="0012198D" w:rsidRDefault="00767127">
                  <w:pPr>
                    <w:rPr>
                      <w:lang w:val="sr-Cyrl-CS"/>
                    </w:rPr>
                  </w:pPr>
                  <w:r>
                    <w:rPr>
                      <w:lang w:val="sr-Cyrl-CS"/>
                    </w:rPr>
                    <w:t>На нивоу акционара</w:t>
                  </w:r>
                </w:p>
              </w:txbxContent>
            </v:textbox>
          </v:rect>
        </w:pict>
      </w:r>
      <w:r>
        <w:rPr>
          <w:rFonts w:ascii="Times New Roman" w:hAnsi="Times New Roman"/>
          <w:noProof/>
          <w:sz w:val="24"/>
          <w:szCs w:val="24"/>
        </w:rPr>
        <w:pict>
          <v:rect id="_x0000_s1159" style="position:absolute;left:0;text-align:left;margin-left:60.45pt;margin-top:7.5pt;width:126.75pt;height:44.25pt;z-index:251608576">
            <v:textbox>
              <w:txbxContent>
                <w:p w:rsidR="00767127" w:rsidRPr="0012198D" w:rsidRDefault="00767127">
                  <w:pPr>
                    <w:rPr>
                      <w:lang w:val="sr-Cyrl-CS"/>
                    </w:rPr>
                  </w:pPr>
                  <w:r>
                    <w:rPr>
                      <w:lang w:val="sr-Cyrl-CS"/>
                    </w:rPr>
                    <w:t>На нивоу предузећа</w:t>
                  </w:r>
                </w:p>
              </w:txbxContent>
            </v:textbox>
          </v:rect>
        </w:pict>
      </w:r>
      <w:r w:rsidR="002D6F9E">
        <w:rPr>
          <w:rFonts w:ascii="Times New Roman" w:hAnsi="Times New Roman"/>
          <w:sz w:val="24"/>
          <w:szCs w:val="24"/>
          <w:lang w:val="sr-Cyrl-CS"/>
        </w:rPr>
        <w:t xml:space="preserve">                                                                   </w:t>
      </w:r>
    </w:p>
    <w:p w:rsidR="002D6F9E" w:rsidRDefault="002D6F9E" w:rsidP="000F5FCA">
      <w:pPr>
        <w:jc w:val="both"/>
        <w:rPr>
          <w:rFonts w:ascii="Times New Roman" w:hAnsi="Times New Roman"/>
          <w:sz w:val="24"/>
          <w:szCs w:val="24"/>
          <w:lang w:val="sr-Cyrl-CS"/>
        </w:rPr>
      </w:pPr>
    </w:p>
    <w:p w:rsidR="002D6F9E" w:rsidRDefault="00616181" w:rsidP="000F5FCA">
      <w:pPr>
        <w:jc w:val="both"/>
        <w:rPr>
          <w:rFonts w:ascii="Times New Roman" w:hAnsi="Times New Roman"/>
          <w:sz w:val="24"/>
          <w:szCs w:val="24"/>
          <w:lang w:val="sr-Cyrl-CS"/>
        </w:rPr>
      </w:pPr>
      <w:r>
        <w:rPr>
          <w:rFonts w:ascii="Times New Roman" w:hAnsi="Times New Roman"/>
          <w:noProof/>
          <w:sz w:val="24"/>
          <w:szCs w:val="24"/>
        </w:rPr>
        <w:pict>
          <v:shape id="_x0000_s1173" type="#_x0000_t32" style="position:absolute;left:0;text-align:left;margin-left:246.45pt;margin-top:0;width:96.75pt;height:29.25pt;z-index:251619840" o:connectortype="straight">
            <v:stroke endarrow="block"/>
          </v:shape>
        </w:pict>
      </w:r>
      <w:r>
        <w:rPr>
          <w:rFonts w:ascii="Times New Roman" w:hAnsi="Times New Roman"/>
          <w:noProof/>
          <w:sz w:val="24"/>
          <w:szCs w:val="24"/>
        </w:rPr>
        <w:pict>
          <v:shape id="_x0000_s1172" type="#_x0000_t32" style="position:absolute;left:0;text-align:left;margin-left:246.45pt;margin-top:0;width:12.75pt;height:29.25pt;z-index:251618816" o:connectortype="straight">
            <v:stroke endarrow="block"/>
          </v:shape>
        </w:pict>
      </w:r>
      <w:r>
        <w:rPr>
          <w:rFonts w:ascii="Times New Roman" w:hAnsi="Times New Roman"/>
          <w:noProof/>
          <w:sz w:val="24"/>
          <w:szCs w:val="24"/>
        </w:rPr>
        <w:pict>
          <v:shape id="_x0000_s1171" type="#_x0000_t32" style="position:absolute;left:0;text-align:left;margin-left:148.95pt;margin-top:0;width:42pt;height:29.25pt;z-index:251617792" o:connectortype="straight">
            <v:stroke endarrow="block"/>
          </v:shape>
        </w:pict>
      </w:r>
      <w:r>
        <w:rPr>
          <w:rFonts w:ascii="Times New Roman" w:hAnsi="Times New Roman"/>
          <w:noProof/>
          <w:sz w:val="24"/>
          <w:szCs w:val="24"/>
        </w:rPr>
        <w:pict>
          <v:shape id="_x0000_s1170" type="#_x0000_t32" style="position:absolute;left:0;text-align:left;margin-left:94.2pt;margin-top:0;width:54.75pt;height:29.25pt;flip:x;z-index:251616768" o:connectortype="straight">
            <v:stroke endarrow="block"/>
          </v:shape>
        </w:pict>
      </w:r>
      <w:r w:rsidR="002D6F9E">
        <w:rPr>
          <w:rFonts w:ascii="Times New Roman" w:hAnsi="Times New Roman"/>
          <w:sz w:val="24"/>
          <w:szCs w:val="24"/>
          <w:lang w:val="sr-Cyrl-CS"/>
        </w:rPr>
        <w:t xml:space="preserve">                    </w:t>
      </w:r>
    </w:p>
    <w:p w:rsidR="002D6F9E" w:rsidRDefault="00616181" w:rsidP="000F5FCA">
      <w:pPr>
        <w:jc w:val="both"/>
        <w:rPr>
          <w:rFonts w:ascii="Times New Roman" w:hAnsi="Times New Roman"/>
          <w:sz w:val="24"/>
          <w:szCs w:val="24"/>
          <w:lang w:val="sr-Cyrl-CS"/>
        </w:rPr>
      </w:pPr>
      <w:r>
        <w:rPr>
          <w:rFonts w:ascii="Times New Roman" w:hAnsi="Times New Roman"/>
          <w:noProof/>
          <w:sz w:val="24"/>
          <w:szCs w:val="24"/>
        </w:rPr>
        <w:pict>
          <v:rect id="_x0000_s1169" style="position:absolute;left:0;text-align:left;margin-left:312.45pt;margin-top:3.4pt;width:90pt;height:39.75pt;z-index:251615744">
            <v:textbox>
              <w:txbxContent>
                <w:p w:rsidR="00767127" w:rsidRPr="005645CA" w:rsidRDefault="00767127">
                  <w:pPr>
                    <w:rPr>
                      <w:sz w:val="16"/>
                      <w:szCs w:val="16"/>
                      <w:lang w:val="sr-Cyrl-CS"/>
                    </w:rPr>
                  </w:pPr>
                  <w:r>
                    <w:rPr>
                      <w:sz w:val="16"/>
                      <w:szCs w:val="16"/>
                      <w:lang w:val="sr-Cyrl-CS"/>
                    </w:rPr>
                    <w:t>систем делимичне олакшице за акционаре</w:t>
                  </w:r>
                </w:p>
                <w:p w:rsidR="00767127" w:rsidRPr="005645CA" w:rsidRDefault="00767127">
                  <w:pPr>
                    <w:rPr>
                      <w:sz w:val="16"/>
                      <w:szCs w:val="16"/>
                      <w:lang w:val="sr-Cyrl-CS"/>
                    </w:rPr>
                  </w:pPr>
                </w:p>
              </w:txbxContent>
            </v:textbox>
          </v:rect>
        </w:pict>
      </w:r>
      <w:r>
        <w:rPr>
          <w:rFonts w:ascii="Times New Roman" w:hAnsi="Times New Roman"/>
          <w:noProof/>
          <w:sz w:val="24"/>
          <w:szCs w:val="24"/>
        </w:rPr>
        <w:pict>
          <v:rect id="_x0000_s1166" style="position:absolute;left:0;text-align:left;margin-left:231.45pt;margin-top:3.4pt;width:77.25pt;height:39.75pt;z-index:251614720">
            <v:textbox>
              <w:txbxContent>
                <w:p w:rsidR="00767127" w:rsidRPr="005645CA" w:rsidRDefault="00767127">
                  <w:pPr>
                    <w:rPr>
                      <w:lang w:val="sr-Cyrl-CS"/>
                    </w:rPr>
                  </w:pPr>
                  <w:r>
                    <w:rPr>
                      <w:lang w:val="sr-Cyrl-CS"/>
                    </w:rPr>
                    <w:t>Систем импутације</w:t>
                  </w:r>
                </w:p>
              </w:txbxContent>
            </v:textbox>
          </v:rect>
        </w:pict>
      </w:r>
      <w:r>
        <w:rPr>
          <w:rFonts w:ascii="Times New Roman" w:hAnsi="Times New Roman"/>
          <w:noProof/>
          <w:sz w:val="24"/>
          <w:szCs w:val="24"/>
        </w:rPr>
        <w:pict>
          <v:rect id="_x0000_s1165" style="position:absolute;left:0;text-align:left;margin-left:139.95pt;margin-top:3.4pt;width:84.75pt;height:39.75pt;z-index:251613696">
            <v:textbox>
              <w:txbxContent>
                <w:p w:rsidR="00767127" w:rsidRPr="0012198D" w:rsidRDefault="00767127">
                  <w:pPr>
                    <w:rPr>
                      <w:sz w:val="18"/>
                      <w:szCs w:val="18"/>
                      <w:lang w:val="sr-Cyrl-CS"/>
                    </w:rPr>
                  </w:pPr>
                  <w:r>
                    <w:rPr>
                      <w:sz w:val="18"/>
                      <w:szCs w:val="18"/>
                      <w:lang w:val="sr-Cyrl-CS"/>
                    </w:rPr>
                    <w:t>систем одбијања дивиденди</w:t>
                  </w:r>
                </w:p>
              </w:txbxContent>
            </v:textbox>
          </v:rect>
        </w:pict>
      </w:r>
      <w:r>
        <w:rPr>
          <w:rFonts w:ascii="Times New Roman" w:hAnsi="Times New Roman"/>
          <w:noProof/>
          <w:sz w:val="24"/>
          <w:szCs w:val="24"/>
        </w:rPr>
        <w:pict>
          <v:rect id="_x0000_s1163" style="position:absolute;left:0;text-align:left;margin-left:29.7pt;margin-top:3.4pt;width:102.75pt;height:39.75pt;z-index:251612672">
            <v:textbox>
              <w:txbxContent>
                <w:p w:rsidR="00767127" w:rsidRPr="00346AAC" w:rsidRDefault="00767127">
                  <w:pPr>
                    <w:rPr>
                      <w:lang w:val="sr-Cyrl-CS"/>
                    </w:rPr>
                  </w:pPr>
                  <w:r>
                    <w:rPr>
                      <w:lang w:val="sr-Cyrl-CS"/>
                    </w:rPr>
                    <w:t>систем двојних стопа</w:t>
                  </w:r>
                </w:p>
              </w:txbxContent>
            </v:textbox>
          </v:rect>
        </w:pict>
      </w:r>
      <w:r w:rsidR="002D6F9E">
        <w:rPr>
          <w:rFonts w:ascii="Times New Roman" w:hAnsi="Times New Roman"/>
          <w:sz w:val="24"/>
          <w:szCs w:val="24"/>
          <w:lang w:val="sr-Cyrl-CS"/>
        </w:rPr>
        <w:t xml:space="preserve">                                                                                                        </w:t>
      </w:r>
    </w:p>
    <w:p w:rsidR="002D6F9E" w:rsidRDefault="002D6F9E" w:rsidP="000F5FCA">
      <w:pPr>
        <w:jc w:val="both"/>
        <w:rPr>
          <w:rFonts w:ascii="Times New Roman" w:hAnsi="Times New Roman"/>
          <w:sz w:val="24"/>
          <w:szCs w:val="24"/>
          <w:lang w:val="sr-Cyrl-CS"/>
        </w:rPr>
      </w:pPr>
    </w:p>
    <w:p w:rsidR="002D6F9E" w:rsidRDefault="002D6F9E" w:rsidP="000F5FCA">
      <w:pPr>
        <w:jc w:val="both"/>
        <w:rPr>
          <w:rFonts w:ascii="Times New Roman" w:hAnsi="Times New Roman"/>
          <w:sz w:val="24"/>
          <w:szCs w:val="24"/>
          <w:lang w:val="sr-Cyrl-CS"/>
        </w:rPr>
      </w:pPr>
    </w:p>
    <w:p w:rsidR="00A83C7E" w:rsidRDefault="00657017" w:rsidP="00347C1D">
      <w:pPr>
        <w:ind w:firstLine="708"/>
        <w:jc w:val="both"/>
        <w:rPr>
          <w:rFonts w:ascii="Times New Roman" w:hAnsi="Times New Roman"/>
          <w:sz w:val="24"/>
          <w:szCs w:val="24"/>
          <w:lang w:val="sr-Cyrl-CS"/>
        </w:rPr>
      </w:pPr>
      <w:r>
        <w:rPr>
          <w:rFonts w:ascii="Times New Roman" w:hAnsi="Times New Roman"/>
          <w:sz w:val="24"/>
          <w:szCs w:val="24"/>
          <w:lang w:val="sr-Cyrl-CS"/>
        </w:rPr>
        <w:t>Са становишта пореске еваз</w:t>
      </w:r>
      <w:r w:rsidR="0007172C">
        <w:rPr>
          <w:rFonts w:ascii="Times New Roman" w:hAnsi="Times New Roman"/>
          <w:sz w:val="24"/>
          <w:szCs w:val="24"/>
          <w:lang w:val="sr-Cyrl-CS"/>
        </w:rPr>
        <w:t xml:space="preserve">ије значајан је систем </w:t>
      </w:r>
      <w:r>
        <w:rPr>
          <w:rFonts w:ascii="Times New Roman" w:hAnsi="Times New Roman"/>
          <w:sz w:val="24"/>
          <w:szCs w:val="24"/>
          <w:lang w:val="sr-Cyrl-CS"/>
        </w:rPr>
        <w:t xml:space="preserve"> импутације</w:t>
      </w:r>
      <w:r w:rsidR="0007172C">
        <w:rPr>
          <w:rFonts w:ascii="Times New Roman" w:hAnsi="Times New Roman"/>
          <w:sz w:val="24"/>
          <w:szCs w:val="24"/>
          <w:lang w:val="sr-Cyrl-CS"/>
        </w:rPr>
        <w:t xml:space="preserve"> који представља поступак код кога се најпре на нивоу корпорације плаћа порез на укупну добит корпорације, потом се на нивоу акционара приходи од дивиденди укључују у доходак акционара који подлеже опорезивању. Акционар је у обавези да претходно „увећа“ дивиденде за део пореза на добит који је платила корпорација, након чега му се утврђује порез на доходак. На крају, акционар има право на порески кредит </w:t>
      </w:r>
      <w:r w:rsidR="000F5FCA">
        <w:rPr>
          <w:rFonts w:ascii="Times New Roman" w:hAnsi="Times New Roman"/>
          <w:sz w:val="24"/>
          <w:szCs w:val="24"/>
          <w:lang w:val="sr-Cyrl-CS"/>
        </w:rPr>
        <w:t>по основу оног дела пореза на добит корпорације који је претходо „импутирао“ на своје нето дивиденде. Акционари имају обавезу да у пореској пријави наведу тачан износ примљених дивиденди како би могли да остваре право на пореску олакшицу, па је захваљујући томе овај систем погодан за смањење пореске евазије.</w:t>
      </w:r>
      <w:r w:rsidR="00291202">
        <w:rPr>
          <w:rFonts w:ascii="Times New Roman" w:hAnsi="Times New Roman"/>
          <w:sz w:val="24"/>
          <w:szCs w:val="24"/>
          <w:lang w:val="sr-Cyrl-CS"/>
        </w:rPr>
        <w:t xml:space="preserve"> </w:t>
      </w:r>
      <w:r w:rsidR="00026F60">
        <w:rPr>
          <w:rFonts w:ascii="Times New Roman" w:hAnsi="Times New Roman"/>
          <w:sz w:val="24"/>
          <w:szCs w:val="24"/>
          <w:lang w:val="sr-Cyrl-CS"/>
        </w:rPr>
        <w:t xml:space="preserve"> </w:t>
      </w:r>
    </w:p>
    <w:p w:rsidR="00060971" w:rsidRPr="00B90C1E" w:rsidRDefault="00060971" w:rsidP="00A83C7E">
      <w:pPr>
        <w:rPr>
          <w:rFonts w:ascii="Times New Roman" w:hAnsi="Times New Roman"/>
        </w:rPr>
      </w:pPr>
    </w:p>
    <w:p w:rsidR="00A83C7E" w:rsidRPr="00E8689E" w:rsidRDefault="00A74A8E" w:rsidP="00A83C7E">
      <w:pPr>
        <w:rPr>
          <w:rFonts w:ascii="Times New Roman" w:hAnsi="Times New Roman"/>
          <w:lang w:val="sr-Cyrl-CS"/>
        </w:rPr>
      </w:pPr>
      <w:r>
        <w:rPr>
          <w:rFonts w:ascii="Times New Roman" w:hAnsi="Times New Roman"/>
          <w:b/>
          <w:lang w:val="sr-Cyrl-CS"/>
        </w:rPr>
        <w:lastRenderedPageBreak/>
        <w:t>Табела 6</w:t>
      </w:r>
      <w:r w:rsidR="00D57F68" w:rsidRPr="00D57F68">
        <w:rPr>
          <w:rFonts w:ascii="Times New Roman" w:hAnsi="Times New Roman"/>
          <w:b/>
          <w:lang w:val="sr-Cyrl-CS"/>
        </w:rPr>
        <w:t xml:space="preserve">. </w:t>
      </w:r>
      <w:r w:rsidR="00A83C7E" w:rsidRPr="00D57F68">
        <w:rPr>
          <w:rFonts w:ascii="Times New Roman" w:hAnsi="Times New Roman"/>
          <w:b/>
          <w:lang w:val="sr-Cyrl-CS"/>
        </w:rPr>
        <w:t>Порез на добит корпорација у % БДП</w:t>
      </w:r>
      <w:r w:rsidR="00A83C7E" w:rsidRPr="00E8689E">
        <w:rPr>
          <w:rStyle w:val="FootnoteReference"/>
          <w:rFonts w:ascii="Times New Roman" w:hAnsi="Times New Roman"/>
          <w:color w:val="636363"/>
          <w:lang w:val="sr-Cyrl-CS"/>
        </w:rPr>
        <w:footnoteReference w:id="239"/>
      </w:r>
    </w:p>
    <w:p w:rsidR="00A83C7E" w:rsidRPr="00E8689E" w:rsidRDefault="00A83C7E" w:rsidP="00A83C7E">
      <w:pPr>
        <w:rPr>
          <w:rFonts w:ascii="Times New Roman" w:hAnsi="Times New Roman"/>
          <w:sz w:val="21"/>
          <w:szCs w:val="21"/>
          <w:lang w:val="sr-Cyrl-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8"/>
        <w:gridCol w:w="1000"/>
        <w:gridCol w:w="1000"/>
        <w:gridCol w:w="1000"/>
        <w:gridCol w:w="1001"/>
        <w:gridCol w:w="1002"/>
        <w:gridCol w:w="1002"/>
        <w:gridCol w:w="1002"/>
        <w:gridCol w:w="1002"/>
      </w:tblGrid>
      <w:tr w:rsidR="00A83C7E" w:rsidRPr="00E8689E" w:rsidTr="009B0B16">
        <w:tc>
          <w:tcPr>
            <w:tcW w:w="1278" w:type="dxa"/>
          </w:tcPr>
          <w:p w:rsidR="00A83C7E" w:rsidRPr="00E8689E" w:rsidRDefault="00A83C7E" w:rsidP="009B0B16">
            <w:pPr>
              <w:rPr>
                <w:rFonts w:ascii="Times New Roman" w:hAnsi="Times New Roman"/>
                <w:sz w:val="21"/>
                <w:szCs w:val="21"/>
                <w:lang w:val="sr-Cyrl-CS"/>
              </w:rPr>
            </w:pPr>
          </w:p>
        </w:tc>
        <w:tc>
          <w:tcPr>
            <w:tcW w:w="1000"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1"/>
                <w:szCs w:val="21"/>
                <w:lang w:val="sr-Cyrl-CS"/>
              </w:rPr>
              <w:t>2004</w:t>
            </w:r>
          </w:p>
        </w:tc>
        <w:tc>
          <w:tcPr>
            <w:tcW w:w="1000"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1"/>
                <w:szCs w:val="21"/>
                <w:lang w:val="sr-Cyrl-CS"/>
              </w:rPr>
              <w:t>2005</w:t>
            </w:r>
          </w:p>
        </w:tc>
        <w:tc>
          <w:tcPr>
            <w:tcW w:w="1000"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1"/>
                <w:szCs w:val="21"/>
                <w:lang w:val="sr-Cyrl-CS"/>
              </w:rPr>
              <w:t>2006</w:t>
            </w:r>
          </w:p>
        </w:tc>
        <w:tc>
          <w:tcPr>
            <w:tcW w:w="1001"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1"/>
                <w:szCs w:val="21"/>
                <w:lang w:val="sr-Cyrl-CS"/>
              </w:rPr>
              <w:t>2007</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1"/>
                <w:szCs w:val="21"/>
                <w:lang w:val="sr-Cyrl-CS"/>
              </w:rPr>
              <w:t>2008</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1"/>
                <w:szCs w:val="21"/>
                <w:lang w:val="sr-Cyrl-CS"/>
              </w:rPr>
              <w:t>2009</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1"/>
                <w:szCs w:val="21"/>
                <w:lang w:val="sr-Cyrl-CS"/>
              </w:rPr>
              <w:t>2010</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1"/>
                <w:szCs w:val="21"/>
                <w:lang w:val="sr-Cyrl-CS"/>
              </w:rPr>
              <w:t>2011</w:t>
            </w:r>
          </w:p>
        </w:tc>
      </w:tr>
      <w:tr w:rsidR="00A83C7E" w:rsidRPr="00E8689E" w:rsidTr="009B0B16">
        <w:tc>
          <w:tcPr>
            <w:tcW w:w="1278"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1"/>
                <w:szCs w:val="21"/>
                <w:lang w:val="sr-Cyrl-CS"/>
              </w:rPr>
              <w:t>Аустралија</w:t>
            </w:r>
          </w:p>
        </w:tc>
        <w:tc>
          <w:tcPr>
            <w:tcW w:w="1000"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5.5</w:t>
            </w:r>
          </w:p>
        </w:tc>
        <w:tc>
          <w:tcPr>
            <w:tcW w:w="1000"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5.8</w:t>
            </w:r>
          </w:p>
        </w:tc>
        <w:tc>
          <w:tcPr>
            <w:tcW w:w="1000"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6.4</w:t>
            </w:r>
          </w:p>
        </w:tc>
        <w:tc>
          <w:tcPr>
            <w:tcW w:w="1001"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6.9</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5.9</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4.8</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4.8</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1"/>
                <w:szCs w:val="21"/>
                <w:lang w:val="sr-Cyrl-CS"/>
              </w:rPr>
              <w:t>-</w:t>
            </w:r>
          </w:p>
        </w:tc>
      </w:tr>
      <w:tr w:rsidR="00A83C7E" w:rsidRPr="00E8689E" w:rsidTr="009B0B16">
        <w:tc>
          <w:tcPr>
            <w:tcW w:w="1278"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1"/>
                <w:szCs w:val="21"/>
                <w:lang w:val="sr-Cyrl-CS"/>
              </w:rPr>
              <w:t>Аустрија</w:t>
            </w:r>
          </w:p>
        </w:tc>
        <w:tc>
          <w:tcPr>
            <w:tcW w:w="1000"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2.2</w:t>
            </w:r>
          </w:p>
        </w:tc>
        <w:tc>
          <w:tcPr>
            <w:tcW w:w="1000"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2.2</w:t>
            </w:r>
          </w:p>
        </w:tc>
        <w:tc>
          <w:tcPr>
            <w:tcW w:w="1000"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2.2</w:t>
            </w:r>
          </w:p>
        </w:tc>
        <w:tc>
          <w:tcPr>
            <w:tcW w:w="1001"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2.4</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2.5</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1.7</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1.9</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2.2</w:t>
            </w:r>
          </w:p>
        </w:tc>
      </w:tr>
      <w:tr w:rsidR="00A83C7E" w:rsidRPr="00E8689E" w:rsidTr="009B0B16">
        <w:tc>
          <w:tcPr>
            <w:tcW w:w="1278"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1"/>
                <w:szCs w:val="21"/>
                <w:lang w:val="sr-Cyrl-CS"/>
              </w:rPr>
              <w:t>Белгија</w:t>
            </w:r>
          </w:p>
        </w:tc>
        <w:tc>
          <w:tcPr>
            <w:tcW w:w="1000"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3.1</w:t>
            </w:r>
          </w:p>
        </w:tc>
        <w:tc>
          <w:tcPr>
            <w:tcW w:w="1000"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3.3</w:t>
            </w:r>
          </w:p>
        </w:tc>
        <w:tc>
          <w:tcPr>
            <w:tcW w:w="1000"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3.5</w:t>
            </w:r>
          </w:p>
        </w:tc>
        <w:tc>
          <w:tcPr>
            <w:tcW w:w="1001"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3.5</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3.3</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2.5</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2.7</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3.0</w:t>
            </w:r>
          </w:p>
        </w:tc>
      </w:tr>
      <w:tr w:rsidR="00A83C7E" w:rsidRPr="00E8689E" w:rsidTr="009B0B16">
        <w:tc>
          <w:tcPr>
            <w:tcW w:w="1278"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1"/>
                <w:szCs w:val="21"/>
                <w:lang w:val="sr-Cyrl-CS"/>
              </w:rPr>
              <w:t>Канада</w:t>
            </w:r>
          </w:p>
        </w:tc>
        <w:tc>
          <w:tcPr>
            <w:tcW w:w="1000"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3.5</w:t>
            </w:r>
          </w:p>
        </w:tc>
        <w:tc>
          <w:tcPr>
            <w:tcW w:w="1000"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3.4</w:t>
            </w:r>
          </w:p>
        </w:tc>
        <w:tc>
          <w:tcPr>
            <w:tcW w:w="1000"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3.8</w:t>
            </w:r>
          </w:p>
        </w:tc>
        <w:tc>
          <w:tcPr>
            <w:tcW w:w="1001"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3.5</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3.4</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3.4</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3.3</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3.1</w:t>
            </w:r>
          </w:p>
        </w:tc>
      </w:tr>
      <w:tr w:rsidR="00A83C7E" w:rsidRPr="00E8689E" w:rsidTr="009B0B16">
        <w:tc>
          <w:tcPr>
            <w:tcW w:w="1278"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1"/>
                <w:szCs w:val="21"/>
                <w:lang w:val="sr-Cyrl-CS"/>
              </w:rPr>
              <w:t xml:space="preserve">Данска </w:t>
            </w:r>
          </w:p>
        </w:tc>
        <w:tc>
          <w:tcPr>
            <w:tcW w:w="1000"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3.2</w:t>
            </w:r>
          </w:p>
        </w:tc>
        <w:tc>
          <w:tcPr>
            <w:tcW w:w="1000"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3.9</w:t>
            </w:r>
          </w:p>
        </w:tc>
        <w:tc>
          <w:tcPr>
            <w:tcW w:w="1000"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4.3</w:t>
            </w:r>
          </w:p>
        </w:tc>
        <w:tc>
          <w:tcPr>
            <w:tcW w:w="1001"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3.8</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3.3</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2.3</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2.7</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1"/>
                <w:szCs w:val="21"/>
                <w:lang w:val="sr-Cyrl-CS"/>
              </w:rPr>
              <w:t>2,8</w:t>
            </w:r>
          </w:p>
        </w:tc>
      </w:tr>
      <w:tr w:rsidR="00A83C7E" w:rsidRPr="00E8689E" w:rsidTr="009B0B16">
        <w:tc>
          <w:tcPr>
            <w:tcW w:w="1278"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1"/>
                <w:szCs w:val="21"/>
                <w:lang w:val="sr-Cyrl-CS"/>
              </w:rPr>
              <w:t>Финска</w:t>
            </w:r>
          </w:p>
        </w:tc>
        <w:tc>
          <w:tcPr>
            <w:tcW w:w="1000"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3.5</w:t>
            </w:r>
          </w:p>
        </w:tc>
        <w:tc>
          <w:tcPr>
            <w:tcW w:w="1000"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3.3</w:t>
            </w:r>
          </w:p>
        </w:tc>
        <w:tc>
          <w:tcPr>
            <w:tcW w:w="1000"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3.4</w:t>
            </w:r>
          </w:p>
        </w:tc>
        <w:tc>
          <w:tcPr>
            <w:tcW w:w="1001"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3.9</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3.5</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2.0</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2.6</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1"/>
                <w:szCs w:val="21"/>
                <w:lang w:val="sr-Cyrl-CS"/>
              </w:rPr>
              <w:t>2,7</w:t>
            </w:r>
          </w:p>
        </w:tc>
      </w:tr>
      <w:tr w:rsidR="00A83C7E" w:rsidRPr="00E8689E" w:rsidTr="009B0B16">
        <w:tc>
          <w:tcPr>
            <w:tcW w:w="1278"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1"/>
                <w:szCs w:val="21"/>
                <w:lang w:val="sr-Cyrl-CS"/>
              </w:rPr>
              <w:t xml:space="preserve">Немачка </w:t>
            </w:r>
          </w:p>
        </w:tc>
        <w:tc>
          <w:tcPr>
            <w:tcW w:w="1000"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1.6</w:t>
            </w:r>
          </w:p>
        </w:tc>
        <w:tc>
          <w:tcPr>
            <w:tcW w:w="1000"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1.8</w:t>
            </w:r>
          </w:p>
        </w:tc>
        <w:tc>
          <w:tcPr>
            <w:tcW w:w="1000"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2.2</w:t>
            </w:r>
          </w:p>
        </w:tc>
        <w:tc>
          <w:tcPr>
            <w:tcW w:w="1001"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2.2</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1.9</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1.3</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1.5</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1.7</w:t>
            </w:r>
          </w:p>
        </w:tc>
      </w:tr>
      <w:tr w:rsidR="00A83C7E" w:rsidRPr="00E8689E" w:rsidTr="009B0B16">
        <w:tc>
          <w:tcPr>
            <w:tcW w:w="1278"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1"/>
                <w:szCs w:val="21"/>
                <w:lang w:val="sr-Cyrl-CS"/>
              </w:rPr>
              <w:t>Грчка</w:t>
            </w:r>
          </w:p>
        </w:tc>
        <w:tc>
          <w:tcPr>
            <w:tcW w:w="1000"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3.0</w:t>
            </w:r>
          </w:p>
        </w:tc>
        <w:tc>
          <w:tcPr>
            <w:tcW w:w="1000"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3.3</w:t>
            </w:r>
          </w:p>
        </w:tc>
        <w:tc>
          <w:tcPr>
            <w:tcW w:w="1000"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2.7</w:t>
            </w:r>
          </w:p>
        </w:tc>
        <w:tc>
          <w:tcPr>
            <w:tcW w:w="1001"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2.6</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2.5</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2.5</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2.4</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1"/>
                <w:szCs w:val="21"/>
                <w:lang w:val="sr-Cyrl-CS"/>
              </w:rPr>
              <w:t>-</w:t>
            </w:r>
          </w:p>
        </w:tc>
      </w:tr>
      <w:tr w:rsidR="00A83C7E" w:rsidRPr="00E8689E" w:rsidTr="009B0B16">
        <w:tc>
          <w:tcPr>
            <w:tcW w:w="1278"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1"/>
                <w:szCs w:val="21"/>
                <w:lang w:val="sr-Cyrl-CS"/>
              </w:rPr>
              <w:t>Мађарска</w:t>
            </w:r>
          </w:p>
        </w:tc>
        <w:tc>
          <w:tcPr>
            <w:tcW w:w="1000"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2.2</w:t>
            </w:r>
          </w:p>
        </w:tc>
        <w:tc>
          <w:tcPr>
            <w:tcW w:w="1000"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2.1</w:t>
            </w:r>
          </w:p>
        </w:tc>
        <w:tc>
          <w:tcPr>
            <w:tcW w:w="1000"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2.3</w:t>
            </w:r>
          </w:p>
        </w:tc>
        <w:tc>
          <w:tcPr>
            <w:tcW w:w="1001"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2.8</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2.6</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2.3</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1.2</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1.2</w:t>
            </w:r>
          </w:p>
        </w:tc>
      </w:tr>
      <w:tr w:rsidR="00A83C7E" w:rsidRPr="00E8689E" w:rsidTr="009B0B16">
        <w:tc>
          <w:tcPr>
            <w:tcW w:w="1278"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1"/>
                <w:szCs w:val="21"/>
                <w:lang w:val="sr-Cyrl-CS"/>
              </w:rPr>
              <w:t>Италија</w:t>
            </w:r>
          </w:p>
        </w:tc>
        <w:tc>
          <w:tcPr>
            <w:tcW w:w="1000"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2.8</w:t>
            </w:r>
          </w:p>
        </w:tc>
        <w:tc>
          <w:tcPr>
            <w:tcW w:w="1000"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2.8</w:t>
            </w:r>
          </w:p>
        </w:tc>
        <w:tc>
          <w:tcPr>
            <w:tcW w:w="1000"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3.4</w:t>
            </w:r>
          </w:p>
        </w:tc>
        <w:tc>
          <w:tcPr>
            <w:tcW w:w="1001"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3.8</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3.7</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3.1</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2.8</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2.7</w:t>
            </w:r>
          </w:p>
        </w:tc>
      </w:tr>
      <w:tr w:rsidR="00A83C7E" w:rsidRPr="00E8689E" w:rsidTr="009B0B16">
        <w:tc>
          <w:tcPr>
            <w:tcW w:w="1278"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1"/>
                <w:szCs w:val="21"/>
                <w:lang w:val="sr-Cyrl-CS"/>
              </w:rPr>
              <w:t>Јапан</w:t>
            </w:r>
          </w:p>
        </w:tc>
        <w:tc>
          <w:tcPr>
            <w:tcW w:w="1000"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3.7</w:t>
            </w:r>
          </w:p>
        </w:tc>
        <w:tc>
          <w:tcPr>
            <w:tcW w:w="1000"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4.2</w:t>
            </w:r>
          </w:p>
        </w:tc>
        <w:tc>
          <w:tcPr>
            <w:tcW w:w="1000"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4.8</w:t>
            </w:r>
          </w:p>
        </w:tc>
        <w:tc>
          <w:tcPr>
            <w:tcW w:w="1001"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4.8</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3.9</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2.6</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3.2</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3.3</w:t>
            </w:r>
          </w:p>
        </w:tc>
      </w:tr>
      <w:tr w:rsidR="00A83C7E" w:rsidRPr="00E8689E" w:rsidTr="009B0B16">
        <w:tc>
          <w:tcPr>
            <w:tcW w:w="1278"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1"/>
                <w:szCs w:val="21"/>
                <w:lang w:val="sr-Cyrl-CS"/>
              </w:rPr>
              <w:t xml:space="preserve">Пољска </w:t>
            </w:r>
          </w:p>
        </w:tc>
        <w:tc>
          <w:tcPr>
            <w:tcW w:w="1000"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2.2</w:t>
            </w:r>
          </w:p>
        </w:tc>
        <w:tc>
          <w:tcPr>
            <w:tcW w:w="1000"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2.5</w:t>
            </w:r>
          </w:p>
        </w:tc>
        <w:tc>
          <w:tcPr>
            <w:tcW w:w="1000"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2.4</w:t>
            </w:r>
          </w:p>
        </w:tc>
        <w:tc>
          <w:tcPr>
            <w:tcW w:w="1001"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2.8</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2.7</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2.3</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2.0</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1"/>
                <w:szCs w:val="21"/>
                <w:lang w:val="sr-Cyrl-CS"/>
              </w:rPr>
              <w:t>-</w:t>
            </w:r>
          </w:p>
        </w:tc>
      </w:tr>
      <w:tr w:rsidR="00A83C7E" w:rsidRPr="00E8689E" w:rsidTr="009B0B16">
        <w:tc>
          <w:tcPr>
            <w:tcW w:w="1278"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1"/>
                <w:szCs w:val="21"/>
                <w:lang w:val="sr-Cyrl-CS"/>
              </w:rPr>
              <w:t>Словенија</w:t>
            </w:r>
          </w:p>
        </w:tc>
        <w:tc>
          <w:tcPr>
            <w:tcW w:w="1000"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1.9</w:t>
            </w:r>
          </w:p>
        </w:tc>
        <w:tc>
          <w:tcPr>
            <w:tcW w:w="1000"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2.8</w:t>
            </w:r>
          </w:p>
        </w:tc>
        <w:tc>
          <w:tcPr>
            <w:tcW w:w="1000"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3.0</w:t>
            </w:r>
          </w:p>
        </w:tc>
        <w:tc>
          <w:tcPr>
            <w:tcW w:w="1001"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3.2</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2.5</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1.8</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1.9</w:t>
            </w:r>
          </w:p>
        </w:tc>
        <w:tc>
          <w:tcPr>
            <w:tcW w:w="1002" w:type="dxa"/>
          </w:tcPr>
          <w:p w:rsidR="00A83C7E" w:rsidRPr="00E8689E" w:rsidRDefault="00A83C7E" w:rsidP="009B0B16">
            <w:pPr>
              <w:rPr>
                <w:rFonts w:ascii="Times New Roman" w:hAnsi="Times New Roman"/>
                <w:sz w:val="20"/>
                <w:szCs w:val="20"/>
                <w:lang w:val="sr-Cyrl-CS"/>
              </w:rPr>
            </w:pPr>
            <w:r w:rsidRPr="00E8689E">
              <w:rPr>
                <w:rFonts w:ascii="Times New Roman" w:hAnsi="Times New Roman"/>
                <w:sz w:val="20"/>
                <w:szCs w:val="20"/>
              </w:rPr>
              <w:t>1.7</w:t>
            </w:r>
          </w:p>
        </w:tc>
      </w:tr>
      <w:tr w:rsidR="00A83C7E" w:rsidRPr="00E8689E" w:rsidTr="009B0B16">
        <w:trPr>
          <w:trHeight w:val="250"/>
        </w:trPr>
        <w:tc>
          <w:tcPr>
            <w:tcW w:w="1278"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1"/>
                <w:szCs w:val="21"/>
                <w:lang w:val="sr-Cyrl-CS"/>
              </w:rPr>
              <w:t>Шпанија</w:t>
            </w:r>
          </w:p>
        </w:tc>
        <w:tc>
          <w:tcPr>
            <w:tcW w:w="1000" w:type="dxa"/>
          </w:tcPr>
          <w:p w:rsidR="00A83C7E" w:rsidRPr="00E8689E" w:rsidRDefault="00A83C7E" w:rsidP="009B0B16">
            <w:pPr>
              <w:rPr>
                <w:rFonts w:ascii="Times New Roman" w:hAnsi="Times New Roman"/>
                <w:sz w:val="20"/>
                <w:szCs w:val="20"/>
                <w:lang w:val="sr-Cyrl-CS"/>
              </w:rPr>
            </w:pPr>
            <w:r w:rsidRPr="00E8689E">
              <w:rPr>
                <w:rFonts w:ascii="Times New Roman" w:hAnsi="Times New Roman"/>
                <w:sz w:val="20"/>
                <w:szCs w:val="20"/>
              </w:rPr>
              <w:t xml:space="preserve"> 3.4</w:t>
            </w:r>
          </w:p>
          <w:p w:rsidR="00A83C7E" w:rsidRPr="00E8689E" w:rsidRDefault="00A83C7E" w:rsidP="009B0B16">
            <w:pPr>
              <w:rPr>
                <w:rFonts w:ascii="Times New Roman" w:hAnsi="Times New Roman"/>
                <w:sz w:val="21"/>
                <w:szCs w:val="21"/>
                <w:lang w:val="sr-Cyrl-CS"/>
              </w:rPr>
            </w:pPr>
          </w:p>
        </w:tc>
        <w:tc>
          <w:tcPr>
            <w:tcW w:w="1000"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3.9</w:t>
            </w:r>
          </w:p>
        </w:tc>
        <w:tc>
          <w:tcPr>
            <w:tcW w:w="1000"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4.1</w:t>
            </w:r>
          </w:p>
        </w:tc>
        <w:tc>
          <w:tcPr>
            <w:tcW w:w="1001"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4.7</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2.8</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2.2</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1"/>
                <w:szCs w:val="21"/>
                <w:lang w:val="sr-Cyrl-CS"/>
              </w:rPr>
              <w:t>1,8</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1.8</w:t>
            </w:r>
          </w:p>
        </w:tc>
      </w:tr>
      <w:tr w:rsidR="00A83C7E" w:rsidRPr="00E8689E" w:rsidTr="009B0B16">
        <w:tc>
          <w:tcPr>
            <w:tcW w:w="1278"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1"/>
                <w:szCs w:val="21"/>
                <w:lang w:val="sr-Cyrl-CS"/>
              </w:rPr>
              <w:t>Шведска</w:t>
            </w:r>
          </w:p>
        </w:tc>
        <w:tc>
          <w:tcPr>
            <w:tcW w:w="1000"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3.0</w:t>
            </w:r>
          </w:p>
        </w:tc>
        <w:tc>
          <w:tcPr>
            <w:tcW w:w="1000"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3.7</w:t>
            </w:r>
          </w:p>
        </w:tc>
        <w:tc>
          <w:tcPr>
            <w:tcW w:w="1000"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3.6</w:t>
            </w:r>
          </w:p>
        </w:tc>
        <w:tc>
          <w:tcPr>
            <w:tcW w:w="1001"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3.7</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3.0</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3.0</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3.5</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3.5</w:t>
            </w:r>
          </w:p>
        </w:tc>
      </w:tr>
      <w:tr w:rsidR="00A83C7E" w:rsidRPr="00E8689E" w:rsidTr="009B0B16">
        <w:tc>
          <w:tcPr>
            <w:tcW w:w="1278"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1"/>
                <w:szCs w:val="21"/>
                <w:lang w:val="sr-Cyrl-CS"/>
              </w:rPr>
              <w:t>Швајцарска</w:t>
            </w:r>
          </w:p>
        </w:tc>
        <w:tc>
          <w:tcPr>
            <w:tcW w:w="1000"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2.3</w:t>
            </w:r>
          </w:p>
        </w:tc>
        <w:tc>
          <w:tcPr>
            <w:tcW w:w="1000"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2.4</w:t>
            </w:r>
          </w:p>
        </w:tc>
        <w:tc>
          <w:tcPr>
            <w:tcW w:w="1000"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2.9</w:t>
            </w:r>
          </w:p>
        </w:tc>
        <w:tc>
          <w:tcPr>
            <w:tcW w:w="1001"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3.0</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3.1</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3.0</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2.9</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2.9</w:t>
            </w:r>
          </w:p>
        </w:tc>
      </w:tr>
      <w:tr w:rsidR="00A83C7E" w:rsidRPr="00E8689E" w:rsidTr="009B0B16">
        <w:tc>
          <w:tcPr>
            <w:tcW w:w="1278"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1"/>
                <w:szCs w:val="21"/>
                <w:lang w:val="sr-Cyrl-CS"/>
              </w:rPr>
              <w:t>САД</w:t>
            </w:r>
          </w:p>
        </w:tc>
        <w:tc>
          <w:tcPr>
            <w:tcW w:w="1000"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2.5</w:t>
            </w:r>
          </w:p>
        </w:tc>
        <w:tc>
          <w:tcPr>
            <w:tcW w:w="1000"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3.2</w:t>
            </w:r>
          </w:p>
        </w:tc>
        <w:tc>
          <w:tcPr>
            <w:tcW w:w="1000"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3.4</w:t>
            </w:r>
          </w:p>
        </w:tc>
        <w:tc>
          <w:tcPr>
            <w:tcW w:w="1001"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3.0</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2.0</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1.8</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2.7</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2.6</w:t>
            </w:r>
          </w:p>
        </w:tc>
      </w:tr>
      <w:tr w:rsidR="00A83C7E" w:rsidRPr="00E8689E" w:rsidTr="009B0B16">
        <w:tc>
          <w:tcPr>
            <w:tcW w:w="1278"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1"/>
                <w:szCs w:val="21"/>
                <w:lang w:val="sr-Cyrl-CS"/>
              </w:rPr>
              <w:t>Велика Британија</w:t>
            </w:r>
          </w:p>
        </w:tc>
        <w:tc>
          <w:tcPr>
            <w:tcW w:w="1000"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2.8</w:t>
            </w:r>
          </w:p>
        </w:tc>
        <w:tc>
          <w:tcPr>
            <w:tcW w:w="1000"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3.3</w:t>
            </w:r>
          </w:p>
        </w:tc>
        <w:tc>
          <w:tcPr>
            <w:tcW w:w="1000"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3.9</w:t>
            </w:r>
          </w:p>
        </w:tc>
        <w:tc>
          <w:tcPr>
            <w:tcW w:w="1001"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3.4</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3.6</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2.8</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3.1</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2.8</w:t>
            </w:r>
          </w:p>
        </w:tc>
      </w:tr>
      <w:tr w:rsidR="00A83C7E" w:rsidRPr="00E8689E" w:rsidTr="009B0B16">
        <w:tc>
          <w:tcPr>
            <w:tcW w:w="1278"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1"/>
                <w:szCs w:val="21"/>
                <w:lang w:val="sr-Cyrl-CS"/>
              </w:rPr>
              <w:t>ОЕЦД-</w:t>
            </w:r>
            <w:r w:rsidRPr="00E8689E">
              <w:rPr>
                <w:rFonts w:ascii="Times New Roman" w:hAnsi="Times New Roman"/>
                <w:sz w:val="21"/>
                <w:szCs w:val="21"/>
              </w:rPr>
              <w:t>total</w:t>
            </w:r>
          </w:p>
        </w:tc>
        <w:tc>
          <w:tcPr>
            <w:tcW w:w="1000"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3.2</w:t>
            </w:r>
          </w:p>
        </w:tc>
        <w:tc>
          <w:tcPr>
            <w:tcW w:w="1000"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3.6</w:t>
            </w:r>
          </w:p>
        </w:tc>
        <w:tc>
          <w:tcPr>
            <w:tcW w:w="1000"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3.8</w:t>
            </w:r>
          </w:p>
        </w:tc>
        <w:tc>
          <w:tcPr>
            <w:tcW w:w="1001"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3.8</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3.5</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2.8</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0"/>
                <w:szCs w:val="20"/>
              </w:rPr>
              <w:t>2.9</w:t>
            </w:r>
          </w:p>
        </w:tc>
        <w:tc>
          <w:tcPr>
            <w:tcW w:w="1002" w:type="dxa"/>
          </w:tcPr>
          <w:p w:rsidR="00A83C7E" w:rsidRPr="00E8689E" w:rsidRDefault="00A83C7E" w:rsidP="009B0B16">
            <w:pPr>
              <w:rPr>
                <w:rFonts w:ascii="Times New Roman" w:hAnsi="Times New Roman"/>
                <w:sz w:val="21"/>
                <w:szCs w:val="21"/>
                <w:lang w:val="sr-Cyrl-CS"/>
              </w:rPr>
            </w:pPr>
            <w:r w:rsidRPr="00E8689E">
              <w:rPr>
                <w:rFonts w:ascii="Times New Roman" w:hAnsi="Times New Roman"/>
                <w:sz w:val="21"/>
                <w:szCs w:val="21"/>
                <w:lang w:val="sr-Cyrl-CS"/>
              </w:rPr>
              <w:t>-</w:t>
            </w:r>
          </w:p>
        </w:tc>
      </w:tr>
    </w:tbl>
    <w:p w:rsidR="00A83C7E" w:rsidRPr="00E8689E" w:rsidRDefault="00A83C7E" w:rsidP="00A83C7E">
      <w:pPr>
        <w:rPr>
          <w:rFonts w:ascii="Times New Roman" w:hAnsi="Times New Roman"/>
          <w:sz w:val="20"/>
          <w:szCs w:val="20"/>
        </w:rPr>
      </w:pPr>
      <w:r w:rsidRPr="00E8689E">
        <w:rPr>
          <w:rFonts w:ascii="Times New Roman" w:hAnsi="Times New Roman"/>
          <w:sz w:val="20"/>
          <w:szCs w:val="20"/>
        </w:rPr>
        <w:t xml:space="preserve"> </w:t>
      </w:r>
    </w:p>
    <w:p w:rsidR="00291202" w:rsidRDefault="00A83C7E" w:rsidP="00131403">
      <w:pPr>
        <w:ind w:firstLine="708"/>
        <w:jc w:val="both"/>
        <w:rPr>
          <w:rFonts w:ascii="Times New Roman" w:hAnsi="Times New Roman"/>
          <w:sz w:val="24"/>
          <w:szCs w:val="24"/>
          <w:lang w:val="sr-Cyrl-CS"/>
        </w:rPr>
      </w:pPr>
      <w:r w:rsidRPr="000857AB">
        <w:rPr>
          <w:rFonts w:ascii="Times New Roman" w:hAnsi="Times New Roman"/>
          <w:sz w:val="24"/>
          <w:szCs w:val="24"/>
          <w:lang w:val="sr-Cyrl-CS"/>
        </w:rPr>
        <w:t xml:space="preserve">Порез на добит корпорација у фискалним </w:t>
      </w:r>
      <w:r>
        <w:rPr>
          <w:rFonts w:ascii="Times New Roman" w:hAnsi="Times New Roman"/>
          <w:sz w:val="24"/>
          <w:szCs w:val="24"/>
          <w:lang w:val="sr-Cyrl-CS"/>
        </w:rPr>
        <w:t xml:space="preserve">структурама земаља ОЕЦД </w:t>
      </w:r>
      <w:r w:rsidR="0039054A">
        <w:rPr>
          <w:rFonts w:ascii="Times New Roman" w:hAnsi="Times New Roman"/>
          <w:sz w:val="24"/>
          <w:szCs w:val="24"/>
          <w:lang w:val="sr-Cyrl-CS"/>
        </w:rPr>
        <w:t>налази се на</w:t>
      </w:r>
      <w:r>
        <w:rPr>
          <w:rFonts w:ascii="Times New Roman" w:hAnsi="Times New Roman"/>
          <w:sz w:val="24"/>
          <w:szCs w:val="24"/>
          <w:lang w:val="sr-Cyrl-CS"/>
        </w:rPr>
        <w:t xml:space="preserve"> треће</w:t>
      </w:r>
      <w:r w:rsidR="0039054A">
        <w:rPr>
          <w:rFonts w:ascii="Times New Roman" w:hAnsi="Times New Roman"/>
          <w:sz w:val="24"/>
          <w:szCs w:val="24"/>
          <w:lang w:val="sr-Cyrl-CS"/>
        </w:rPr>
        <w:t>м месту</w:t>
      </w:r>
      <w:r>
        <w:rPr>
          <w:rFonts w:ascii="Times New Roman" w:hAnsi="Times New Roman"/>
          <w:sz w:val="24"/>
          <w:szCs w:val="24"/>
          <w:lang w:val="sr-Cyrl-CS"/>
        </w:rPr>
        <w:t xml:space="preserve"> (после пореза на додату вредност и пореза на доходак физичких лица).</w:t>
      </w:r>
      <w:r>
        <w:rPr>
          <w:rStyle w:val="FootnoteReference"/>
          <w:rFonts w:ascii="Times New Roman" w:hAnsi="Times New Roman"/>
          <w:sz w:val="24"/>
          <w:szCs w:val="24"/>
          <w:lang w:val="sr-Cyrl-CS"/>
        </w:rPr>
        <w:footnoteReference w:id="240"/>
      </w:r>
      <w:r>
        <w:rPr>
          <w:rFonts w:ascii="Times New Roman" w:hAnsi="Times New Roman"/>
          <w:sz w:val="24"/>
          <w:szCs w:val="24"/>
          <w:lang w:val="sr-Cyrl-CS"/>
        </w:rPr>
        <w:t xml:space="preserve"> Презентирани подаци показују да учешће пореза на добит корпорација варира </w:t>
      </w:r>
      <w:r>
        <w:rPr>
          <w:rFonts w:ascii="Times New Roman" w:hAnsi="Times New Roman"/>
          <w:sz w:val="24"/>
          <w:szCs w:val="24"/>
          <w:lang w:val="sr-Cyrl-CS"/>
        </w:rPr>
        <w:lastRenderedPageBreak/>
        <w:t>у 2011. години од најнижег у Немачкој, Мађарској и Словенији до највишег у Јапану и Шведској. Билансни значај пореза на добит корпорација није велики и учешће прихода од пореза на добит корпорација у БДП је релативно скромно и креће се око свега 3%.</w:t>
      </w:r>
    </w:p>
    <w:p w:rsidR="00131403" w:rsidRDefault="00131403" w:rsidP="00131403">
      <w:pPr>
        <w:ind w:firstLine="708"/>
        <w:jc w:val="both"/>
        <w:rPr>
          <w:rFonts w:ascii="Times New Roman" w:hAnsi="Times New Roman"/>
          <w:sz w:val="24"/>
          <w:szCs w:val="24"/>
          <w:lang w:val="sr-Cyrl-CS"/>
        </w:rPr>
      </w:pPr>
    </w:p>
    <w:p w:rsidR="00FD02A8" w:rsidRDefault="00384954" w:rsidP="00D57F68">
      <w:pPr>
        <w:numPr>
          <w:ilvl w:val="2"/>
          <w:numId w:val="3"/>
        </w:numPr>
        <w:jc w:val="center"/>
        <w:rPr>
          <w:rFonts w:ascii="Times New Roman" w:hAnsi="Times New Roman"/>
          <w:sz w:val="24"/>
          <w:szCs w:val="24"/>
          <w:lang w:val="sr-Cyrl-CS"/>
        </w:rPr>
      </w:pPr>
      <w:r>
        <w:rPr>
          <w:rFonts w:ascii="Times New Roman" w:hAnsi="Times New Roman"/>
          <w:b/>
          <w:sz w:val="24"/>
          <w:szCs w:val="24"/>
          <w:lang w:val="sr-Cyrl-CS"/>
        </w:rPr>
        <w:t>Правна природа</w:t>
      </w:r>
      <w:r w:rsidR="002842E0">
        <w:rPr>
          <w:rFonts w:ascii="Times New Roman" w:hAnsi="Times New Roman"/>
          <w:b/>
          <w:sz w:val="24"/>
          <w:szCs w:val="24"/>
          <w:lang w:val="sr-Cyrl-CS"/>
        </w:rPr>
        <w:t xml:space="preserve"> пореза на добит правних лица</w:t>
      </w:r>
    </w:p>
    <w:p w:rsidR="00D57F68" w:rsidRDefault="00D57F68" w:rsidP="00D57F68">
      <w:pPr>
        <w:ind w:left="1429"/>
        <w:jc w:val="both"/>
        <w:rPr>
          <w:rFonts w:ascii="Times New Roman" w:hAnsi="Times New Roman"/>
          <w:sz w:val="24"/>
          <w:szCs w:val="24"/>
          <w:lang w:val="sr-Cyrl-CS"/>
        </w:rPr>
      </w:pPr>
    </w:p>
    <w:p w:rsidR="00131403" w:rsidRDefault="00131403" w:rsidP="00131403">
      <w:pPr>
        <w:ind w:left="1429"/>
        <w:jc w:val="both"/>
        <w:rPr>
          <w:rFonts w:ascii="Times New Roman" w:hAnsi="Times New Roman"/>
          <w:sz w:val="24"/>
          <w:szCs w:val="24"/>
          <w:lang w:val="sr-Cyrl-CS"/>
        </w:rPr>
      </w:pPr>
    </w:p>
    <w:p w:rsidR="008F2B30" w:rsidRPr="00FB48CB" w:rsidRDefault="008F2B30" w:rsidP="00574E49">
      <w:pPr>
        <w:ind w:firstLine="360"/>
        <w:jc w:val="both"/>
        <w:rPr>
          <w:rFonts w:ascii="Times New Roman" w:hAnsi="Times New Roman"/>
          <w:sz w:val="24"/>
          <w:szCs w:val="24"/>
          <w:lang w:val="sr-Cyrl-CS"/>
        </w:rPr>
      </w:pPr>
      <w:r w:rsidRPr="00FB48CB">
        <w:rPr>
          <w:rFonts w:ascii="Times New Roman" w:hAnsi="Times New Roman"/>
          <w:sz w:val="24"/>
          <w:szCs w:val="24"/>
          <w:lang w:val="sr-Cyrl-CS"/>
        </w:rPr>
        <w:t>Према заступљеним класификацијама пореза у финансијској теорији</w:t>
      </w:r>
      <w:r>
        <w:rPr>
          <w:rFonts w:ascii="Times New Roman" w:hAnsi="Times New Roman"/>
          <w:sz w:val="24"/>
          <w:szCs w:val="24"/>
          <w:lang w:val="sr-Cyrl-CS"/>
        </w:rPr>
        <w:t>, које су наведене у претходном излагању, основна обележја порез на добит правних лица су</w:t>
      </w:r>
      <w:r w:rsidRPr="00FB48CB">
        <w:rPr>
          <w:rFonts w:ascii="Times New Roman" w:hAnsi="Times New Roman"/>
          <w:sz w:val="24"/>
          <w:szCs w:val="24"/>
          <w:lang w:val="sr-Cyrl-CS"/>
        </w:rPr>
        <w:t>:</w:t>
      </w:r>
      <w:r w:rsidR="00574E49">
        <w:rPr>
          <w:rFonts w:ascii="Times New Roman" w:hAnsi="Times New Roman"/>
          <w:sz w:val="24"/>
          <w:szCs w:val="24"/>
          <w:lang w:val="sr-Cyrl-CS"/>
        </w:rPr>
        <w:t xml:space="preserve"> </w:t>
      </w:r>
    </w:p>
    <w:p w:rsidR="008F2B30" w:rsidRPr="00B90C1E" w:rsidRDefault="008F2B30" w:rsidP="008A3795">
      <w:pPr>
        <w:pStyle w:val="ListParagraph"/>
        <w:numPr>
          <w:ilvl w:val="0"/>
          <w:numId w:val="22"/>
        </w:numPr>
        <w:jc w:val="both"/>
        <w:rPr>
          <w:rFonts w:ascii="Times New Roman" w:hAnsi="Times New Roman"/>
          <w:sz w:val="24"/>
          <w:szCs w:val="24"/>
          <w:lang w:val="sr-Cyrl-CS"/>
        </w:rPr>
      </w:pPr>
      <w:r w:rsidRPr="00FB48CB">
        <w:rPr>
          <w:rFonts w:ascii="Times New Roman" w:hAnsi="Times New Roman"/>
          <w:sz w:val="24"/>
          <w:szCs w:val="24"/>
          <w:lang w:val="sr-Cyrl-CS"/>
        </w:rPr>
        <w:t xml:space="preserve">не заснива </w:t>
      </w:r>
      <w:r w:rsidR="00574E49">
        <w:rPr>
          <w:rFonts w:ascii="Times New Roman" w:hAnsi="Times New Roman"/>
          <w:sz w:val="24"/>
          <w:szCs w:val="24"/>
          <w:lang w:val="sr-Cyrl-CS"/>
        </w:rPr>
        <w:t xml:space="preserve">се </w:t>
      </w:r>
      <w:r w:rsidRPr="00FB48CB">
        <w:rPr>
          <w:rFonts w:ascii="Times New Roman" w:hAnsi="Times New Roman"/>
          <w:sz w:val="24"/>
          <w:szCs w:val="24"/>
          <w:lang w:val="sr-Cyrl-CS"/>
        </w:rPr>
        <w:t>на п</w:t>
      </w:r>
      <w:r>
        <w:rPr>
          <w:rFonts w:ascii="Times New Roman" w:hAnsi="Times New Roman"/>
          <w:sz w:val="24"/>
          <w:szCs w:val="24"/>
          <w:lang w:val="sr-Cyrl-CS"/>
        </w:rPr>
        <w:t>отрошњи него на дохотку и терети</w:t>
      </w:r>
      <w:r w:rsidRPr="00FB48CB">
        <w:rPr>
          <w:rFonts w:ascii="Times New Roman" w:hAnsi="Times New Roman"/>
          <w:sz w:val="24"/>
          <w:szCs w:val="24"/>
          <w:lang w:val="sr-Cyrl-CS"/>
        </w:rPr>
        <w:t xml:space="preserve"> п</w:t>
      </w:r>
      <w:r>
        <w:rPr>
          <w:rFonts w:ascii="Times New Roman" w:hAnsi="Times New Roman"/>
          <w:sz w:val="24"/>
          <w:szCs w:val="24"/>
          <w:lang w:val="sr-Cyrl-CS"/>
        </w:rPr>
        <w:t>ривредну спсособност обвезника, па  због тога представља д</w:t>
      </w:r>
      <w:r w:rsidRPr="00FB48CB">
        <w:rPr>
          <w:rFonts w:ascii="Times New Roman" w:hAnsi="Times New Roman"/>
          <w:sz w:val="24"/>
          <w:szCs w:val="24"/>
          <w:lang w:val="sr-Cyrl-CS"/>
        </w:rPr>
        <w:t xml:space="preserve">иректан (непосредан) </w:t>
      </w:r>
      <w:r>
        <w:rPr>
          <w:rFonts w:ascii="Times New Roman" w:hAnsi="Times New Roman"/>
          <w:sz w:val="24"/>
          <w:szCs w:val="24"/>
          <w:lang w:val="sr-Cyrl-CS"/>
        </w:rPr>
        <w:t>порез</w:t>
      </w:r>
      <w:r w:rsidR="00574E49">
        <w:rPr>
          <w:rFonts w:ascii="Times New Roman" w:hAnsi="Times New Roman"/>
          <w:sz w:val="24"/>
          <w:szCs w:val="24"/>
          <w:lang w:val="sr-Cyrl-CS"/>
        </w:rPr>
        <w:t xml:space="preserve">, </w:t>
      </w:r>
      <w:r w:rsidR="008C4E54" w:rsidRPr="00574E49">
        <w:rPr>
          <w:rFonts w:ascii="Times New Roman" w:hAnsi="Times New Roman"/>
          <w:sz w:val="24"/>
          <w:szCs w:val="24"/>
          <w:lang w:val="sr-Cyrl-CS"/>
        </w:rPr>
        <w:t>јер се директно наплаћује и терети лица која је закондовац предвидео да сносе порески терет;</w:t>
      </w:r>
    </w:p>
    <w:p w:rsidR="00B90C1E" w:rsidRPr="00B90C1E" w:rsidRDefault="00B90C1E" w:rsidP="00B90C1E">
      <w:pPr>
        <w:pStyle w:val="ListParagraph"/>
        <w:jc w:val="both"/>
        <w:rPr>
          <w:rFonts w:ascii="Times New Roman" w:hAnsi="Times New Roman"/>
          <w:sz w:val="24"/>
          <w:szCs w:val="24"/>
          <w:lang w:val="sr-Cyrl-CS"/>
        </w:rPr>
      </w:pPr>
    </w:p>
    <w:p w:rsidR="008F2B30" w:rsidRDefault="008F2B30" w:rsidP="008A3795">
      <w:pPr>
        <w:pStyle w:val="ListParagraph"/>
        <w:numPr>
          <w:ilvl w:val="0"/>
          <w:numId w:val="22"/>
        </w:numPr>
        <w:jc w:val="both"/>
        <w:rPr>
          <w:rFonts w:ascii="Times New Roman" w:hAnsi="Times New Roman"/>
          <w:sz w:val="24"/>
          <w:szCs w:val="24"/>
          <w:lang w:val="sr-Cyrl-CS"/>
        </w:rPr>
      </w:pPr>
      <w:r>
        <w:rPr>
          <w:rFonts w:ascii="Times New Roman" w:hAnsi="Times New Roman"/>
          <w:sz w:val="24"/>
          <w:szCs w:val="24"/>
          <w:lang w:val="sr-Cyrl-CS"/>
        </w:rPr>
        <w:t xml:space="preserve">код овог пореза </w:t>
      </w:r>
      <w:r w:rsidRPr="00FB48CB">
        <w:rPr>
          <w:rFonts w:ascii="Times New Roman" w:hAnsi="Times New Roman"/>
          <w:sz w:val="24"/>
          <w:szCs w:val="24"/>
          <w:lang w:val="sr-Cyrl-CS"/>
        </w:rPr>
        <w:t xml:space="preserve">није унапред утврђена намена којој служе прикупљена средства и нису везани за конкретни расход, већ </w:t>
      </w:r>
      <w:r>
        <w:rPr>
          <w:rFonts w:ascii="Times New Roman" w:hAnsi="Times New Roman"/>
          <w:sz w:val="24"/>
          <w:szCs w:val="24"/>
          <w:lang w:val="sr-Cyrl-CS"/>
        </w:rPr>
        <w:t xml:space="preserve">прикупљена средства </w:t>
      </w:r>
      <w:r w:rsidRPr="00FB48CB">
        <w:rPr>
          <w:rFonts w:ascii="Times New Roman" w:hAnsi="Times New Roman"/>
          <w:sz w:val="24"/>
          <w:szCs w:val="24"/>
          <w:lang w:val="sr-Cyrl-CS"/>
        </w:rPr>
        <w:t>припадају у</w:t>
      </w:r>
      <w:r>
        <w:rPr>
          <w:rFonts w:ascii="Times New Roman" w:hAnsi="Times New Roman"/>
          <w:sz w:val="24"/>
          <w:szCs w:val="24"/>
          <w:lang w:val="sr-Cyrl-CS"/>
        </w:rPr>
        <w:t xml:space="preserve">купним </w:t>
      </w:r>
      <w:r w:rsidRPr="00FB48CB">
        <w:rPr>
          <w:rFonts w:ascii="Times New Roman" w:hAnsi="Times New Roman"/>
          <w:sz w:val="24"/>
          <w:szCs w:val="24"/>
          <w:lang w:val="sr-Cyrl-CS"/>
        </w:rPr>
        <w:t xml:space="preserve"> приходима која  служе за покриће јавних расхода</w:t>
      </w:r>
      <w:r>
        <w:rPr>
          <w:rFonts w:ascii="Times New Roman" w:hAnsi="Times New Roman"/>
          <w:sz w:val="24"/>
          <w:szCs w:val="24"/>
          <w:lang w:val="sr-Cyrl-CS"/>
        </w:rPr>
        <w:t xml:space="preserve"> па је због тога овај порез општи</w:t>
      </w:r>
      <w:r w:rsidRPr="00FB48CB">
        <w:rPr>
          <w:rFonts w:ascii="Times New Roman" w:hAnsi="Times New Roman"/>
          <w:sz w:val="24"/>
          <w:szCs w:val="24"/>
          <w:lang w:val="sr-Cyrl-CS"/>
        </w:rPr>
        <w:t>;</w:t>
      </w:r>
    </w:p>
    <w:p w:rsidR="008F2B30" w:rsidRPr="00FB48CB" w:rsidRDefault="008F2B30" w:rsidP="00E3100A">
      <w:pPr>
        <w:pStyle w:val="ListParagraph"/>
        <w:ind w:left="0"/>
        <w:rPr>
          <w:rFonts w:ascii="Times New Roman" w:hAnsi="Times New Roman"/>
          <w:sz w:val="24"/>
          <w:szCs w:val="24"/>
          <w:lang w:val="sr-Cyrl-CS"/>
        </w:rPr>
      </w:pPr>
    </w:p>
    <w:p w:rsidR="008F2B30" w:rsidRDefault="008F2B30" w:rsidP="008A3795">
      <w:pPr>
        <w:pStyle w:val="ListParagraph"/>
        <w:numPr>
          <w:ilvl w:val="0"/>
          <w:numId w:val="22"/>
        </w:numPr>
        <w:jc w:val="both"/>
        <w:rPr>
          <w:rFonts w:ascii="Times New Roman" w:hAnsi="Times New Roman"/>
          <w:sz w:val="24"/>
          <w:szCs w:val="24"/>
          <w:lang w:val="sr-Cyrl-CS"/>
        </w:rPr>
      </w:pPr>
      <w:r w:rsidRPr="00FB48CB">
        <w:rPr>
          <w:rFonts w:ascii="Times New Roman" w:hAnsi="Times New Roman"/>
          <w:sz w:val="24"/>
          <w:szCs w:val="24"/>
          <w:lang w:val="sr-Cyrl-CS"/>
        </w:rPr>
        <w:t>порески обвезници унапред знају колико износи висина њихове п</w:t>
      </w:r>
      <w:r>
        <w:rPr>
          <w:rFonts w:ascii="Times New Roman" w:hAnsi="Times New Roman"/>
          <w:sz w:val="24"/>
          <w:szCs w:val="24"/>
          <w:lang w:val="sr-Cyrl-CS"/>
        </w:rPr>
        <w:t>о</w:t>
      </w:r>
      <w:r w:rsidRPr="00FB48CB">
        <w:rPr>
          <w:rFonts w:ascii="Times New Roman" w:hAnsi="Times New Roman"/>
          <w:sz w:val="24"/>
          <w:szCs w:val="24"/>
          <w:lang w:val="sr-Cyrl-CS"/>
        </w:rPr>
        <w:t xml:space="preserve">реске обавезе, односно знају која стопа ће се применити на износ опорезиве добити, али држава није упозната унапред који износ средстава ће бити прикупљен, </w:t>
      </w:r>
      <w:r w:rsidR="0007493E">
        <w:rPr>
          <w:rFonts w:ascii="Times New Roman" w:hAnsi="Times New Roman"/>
          <w:sz w:val="24"/>
          <w:szCs w:val="24"/>
          <w:lang w:val="sr-Cyrl-CS"/>
        </w:rPr>
        <w:t xml:space="preserve">па је због тога овај порез </w:t>
      </w:r>
      <w:r w:rsidR="0007493E" w:rsidRPr="00FB48CB">
        <w:rPr>
          <w:rFonts w:ascii="Times New Roman" w:hAnsi="Times New Roman"/>
          <w:sz w:val="24"/>
          <w:szCs w:val="24"/>
          <w:lang w:val="sr-Cyrl-CS"/>
        </w:rPr>
        <w:t>квотитентни порез</w:t>
      </w:r>
      <w:r w:rsidR="0007493E">
        <w:rPr>
          <w:rFonts w:ascii="Times New Roman" w:hAnsi="Times New Roman"/>
          <w:sz w:val="24"/>
          <w:szCs w:val="24"/>
          <w:lang w:val="sr-Cyrl-CS"/>
        </w:rPr>
        <w:t>,</w:t>
      </w:r>
      <w:r w:rsidR="0007493E" w:rsidRPr="00FB48CB">
        <w:rPr>
          <w:rFonts w:ascii="Times New Roman" w:hAnsi="Times New Roman"/>
          <w:sz w:val="24"/>
          <w:szCs w:val="24"/>
          <w:lang w:val="sr-Cyrl-CS"/>
        </w:rPr>
        <w:t xml:space="preserve"> </w:t>
      </w:r>
      <w:r w:rsidRPr="00FB48CB">
        <w:rPr>
          <w:rFonts w:ascii="Times New Roman" w:hAnsi="Times New Roman"/>
          <w:sz w:val="24"/>
          <w:szCs w:val="24"/>
          <w:lang w:val="sr-Cyrl-CS"/>
        </w:rPr>
        <w:t>за разлику од репартиционог пореза код кога се зна унапред сума</w:t>
      </w:r>
      <w:r>
        <w:rPr>
          <w:rFonts w:ascii="Times New Roman" w:hAnsi="Times New Roman"/>
          <w:sz w:val="24"/>
          <w:szCs w:val="24"/>
          <w:lang w:val="sr-Cyrl-CS"/>
        </w:rPr>
        <w:t xml:space="preserve"> средстава која ће се прикупити па је </w:t>
      </w:r>
      <w:r w:rsidR="0007493E">
        <w:rPr>
          <w:rFonts w:ascii="Times New Roman" w:hAnsi="Times New Roman"/>
          <w:sz w:val="24"/>
          <w:szCs w:val="24"/>
          <w:lang w:val="sr-Cyrl-CS"/>
        </w:rPr>
        <w:t xml:space="preserve">самим тим </w:t>
      </w:r>
      <w:r>
        <w:rPr>
          <w:rFonts w:ascii="Times New Roman" w:hAnsi="Times New Roman"/>
          <w:sz w:val="24"/>
          <w:szCs w:val="24"/>
          <w:lang w:val="sr-Cyrl-CS"/>
        </w:rPr>
        <w:t xml:space="preserve">код ових пореза </w:t>
      </w:r>
      <w:r w:rsidRPr="00FB48CB">
        <w:rPr>
          <w:rFonts w:ascii="Times New Roman" w:hAnsi="Times New Roman"/>
          <w:sz w:val="24"/>
          <w:szCs w:val="24"/>
          <w:lang w:val="sr-Cyrl-CS"/>
        </w:rPr>
        <w:t>лакше утврдити износ пореза који није плаћен услед пореске евазије</w:t>
      </w:r>
      <w:r w:rsidR="0007493E">
        <w:rPr>
          <w:rFonts w:ascii="Times New Roman" w:hAnsi="Times New Roman"/>
          <w:sz w:val="24"/>
          <w:szCs w:val="24"/>
          <w:lang w:val="sr-Cyrl-CS"/>
        </w:rPr>
        <w:t>;</w:t>
      </w:r>
    </w:p>
    <w:p w:rsidR="008F2B30" w:rsidRPr="00FB48CB" w:rsidRDefault="008F2B30" w:rsidP="008F2B30">
      <w:pPr>
        <w:pStyle w:val="ListParagraph"/>
        <w:rPr>
          <w:rFonts w:ascii="Times New Roman" w:hAnsi="Times New Roman"/>
          <w:sz w:val="24"/>
          <w:szCs w:val="24"/>
          <w:lang w:val="sr-Cyrl-CS"/>
        </w:rPr>
      </w:pPr>
    </w:p>
    <w:p w:rsidR="008F2B30" w:rsidRDefault="0007493E" w:rsidP="008A3795">
      <w:pPr>
        <w:pStyle w:val="ListParagraph"/>
        <w:numPr>
          <w:ilvl w:val="0"/>
          <w:numId w:val="22"/>
        </w:numPr>
        <w:jc w:val="both"/>
        <w:rPr>
          <w:rFonts w:ascii="Times New Roman" w:hAnsi="Times New Roman"/>
          <w:sz w:val="24"/>
          <w:szCs w:val="24"/>
          <w:lang w:val="sr-Cyrl-CS"/>
        </w:rPr>
      </w:pPr>
      <w:r>
        <w:rPr>
          <w:rFonts w:ascii="Times New Roman" w:hAnsi="Times New Roman"/>
          <w:sz w:val="24"/>
          <w:szCs w:val="24"/>
          <w:lang w:val="sr-Cyrl-CS"/>
        </w:rPr>
        <w:t xml:space="preserve">овим порезом се </w:t>
      </w:r>
      <w:r w:rsidR="008F2B30" w:rsidRPr="00FB48CB">
        <w:rPr>
          <w:rFonts w:ascii="Times New Roman" w:hAnsi="Times New Roman"/>
          <w:sz w:val="24"/>
          <w:szCs w:val="24"/>
          <w:lang w:val="sr-Cyrl-CS"/>
        </w:rPr>
        <w:t>не погађа само један елемент пореске ситуације него се опорезује добит која се добија усклађивањем пословне добити, па се на тај начин обухвата целокупно пословање правног лица</w:t>
      </w:r>
      <w:r>
        <w:rPr>
          <w:rFonts w:ascii="Times New Roman" w:hAnsi="Times New Roman"/>
          <w:sz w:val="24"/>
          <w:szCs w:val="24"/>
          <w:lang w:val="sr-Cyrl-CS"/>
        </w:rPr>
        <w:t xml:space="preserve"> те је због тога синтетички;</w:t>
      </w:r>
    </w:p>
    <w:p w:rsidR="008F2B30" w:rsidRPr="00FB48CB" w:rsidRDefault="008F2B30" w:rsidP="00E3100A">
      <w:pPr>
        <w:pStyle w:val="ListParagraph"/>
        <w:ind w:left="0"/>
        <w:rPr>
          <w:rFonts w:ascii="Times New Roman" w:hAnsi="Times New Roman"/>
          <w:sz w:val="24"/>
          <w:szCs w:val="24"/>
          <w:lang w:val="sr-Cyrl-CS"/>
        </w:rPr>
      </w:pPr>
    </w:p>
    <w:p w:rsidR="008F2B30" w:rsidRDefault="0007493E" w:rsidP="008A3795">
      <w:pPr>
        <w:pStyle w:val="ListParagraph"/>
        <w:numPr>
          <w:ilvl w:val="0"/>
          <w:numId w:val="22"/>
        </w:numPr>
        <w:jc w:val="both"/>
        <w:rPr>
          <w:rFonts w:ascii="Times New Roman" w:hAnsi="Times New Roman"/>
          <w:sz w:val="24"/>
          <w:szCs w:val="24"/>
          <w:lang w:val="sr-Cyrl-CS"/>
        </w:rPr>
      </w:pPr>
      <w:r>
        <w:rPr>
          <w:rFonts w:ascii="Times New Roman" w:hAnsi="Times New Roman"/>
          <w:sz w:val="24"/>
          <w:szCs w:val="24"/>
          <w:lang w:val="sr-Cyrl-CS"/>
        </w:rPr>
        <w:t>н</w:t>
      </w:r>
      <w:r w:rsidR="008F2B30" w:rsidRPr="00FB48CB">
        <w:rPr>
          <w:rFonts w:ascii="Times New Roman" w:hAnsi="Times New Roman"/>
          <w:sz w:val="24"/>
          <w:szCs w:val="24"/>
          <w:lang w:val="sr-Cyrl-CS"/>
        </w:rPr>
        <w:t xml:space="preserve">аплаћује </w:t>
      </w:r>
      <w:r w:rsidR="00574E49">
        <w:rPr>
          <w:rFonts w:ascii="Times New Roman" w:hAnsi="Times New Roman"/>
          <w:sz w:val="24"/>
          <w:szCs w:val="24"/>
          <w:lang w:val="sr-Cyrl-CS"/>
        </w:rPr>
        <w:t xml:space="preserve">се </w:t>
      </w:r>
      <w:r w:rsidR="008F2B30" w:rsidRPr="00FB48CB">
        <w:rPr>
          <w:rFonts w:ascii="Times New Roman" w:hAnsi="Times New Roman"/>
          <w:sz w:val="24"/>
          <w:szCs w:val="24"/>
          <w:lang w:val="sr-Cyrl-CS"/>
        </w:rPr>
        <w:t>сваке године, а не само повремено</w:t>
      </w:r>
      <w:r w:rsidR="00574E49">
        <w:rPr>
          <w:rFonts w:ascii="Times New Roman" w:hAnsi="Times New Roman"/>
          <w:sz w:val="24"/>
          <w:szCs w:val="24"/>
          <w:lang w:val="sr-Cyrl-CS"/>
        </w:rPr>
        <w:t xml:space="preserve"> у ванредним околностима и служи</w:t>
      </w:r>
      <w:r w:rsidR="008F2B30" w:rsidRPr="00FB48CB">
        <w:rPr>
          <w:rFonts w:ascii="Times New Roman" w:hAnsi="Times New Roman"/>
          <w:sz w:val="24"/>
          <w:szCs w:val="24"/>
          <w:lang w:val="sr-Cyrl-CS"/>
        </w:rPr>
        <w:t xml:space="preserve"> покрићу јавних расхода</w:t>
      </w:r>
      <w:r>
        <w:rPr>
          <w:rFonts w:ascii="Times New Roman" w:hAnsi="Times New Roman"/>
          <w:sz w:val="24"/>
          <w:szCs w:val="24"/>
          <w:lang w:val="sr-Cyrl-CS"/>
        </w:rPr>
        <w:t>, па због ове своје особине спада у редован порез</w:t>
      </w:r>
      <w:r w:rsidR="008F2B30" w:rsidRPr="00FB48CB">
        <w:rPr>
          <w:rFonts w:ascii="Times New Roman" w:hAnsi="Times New Roman"/>
          <w:sz w:val="24"/>
          <w:szCs w:val="24"/>
          <w:lang w:val="sr-Cyrl-CS"/>
        </w:rPr>
        <w:t>;</w:t>
      </w:r>
    </w:p>
    <w:p w:rsidR="008F2B30" w:rsidRPr="00FB48CB" w:rsidRDefault="008F2B30" w:rsidP="008F2B30">
      <w:pPr>
        <w:pStyle w:val="ListParagraph"/>
        <w:rPr>
          <w:rFonts w:ascii="Times New Roman" w:hAnsi="Times New Roman"/>
          <w:sz w:val="24"/>
          <w:szCs w:val="24"/>
          <w:lang w:val="sr-Cyrl-CS"/>
        </w:rPr>
      </w:pPr>
    </w:p>
    <w:p w:rsidR="008F2B30" w:rsidRDefault="00E3100A" w:rsidP="008A3795">
      <w:pPr>
        <w:pStyle w:val="ListParagraph"/>
        <w:numPr>
          <w:ilvl w:val="0"/>
          <w:numId w:val="22"/>
        </w:numPr>
        <w:rPr>
          <w:rFonts w:ascii="Times New Roman" w:hAnsi="Times New Roman"/>
          <w:sz w:val="24"/>
          <w:szCs w:val="24"/>
          <w:lang w:val="sr-Cyrl-CS"/>
        </w:rPr>
      </w:pPr>
      <w:r>
        <w:rPr>
          <w:rFonts w:ascii="Times New Roman" w:hAnsi="Times New Roman"/>
          <w:sz w:val="24"/>
          <w:szCs w:val="24"/>
          <w:lang w:val="sr-Cyrl-CS"/>
        </w:rPr>
        <w:t>п</w:t>
      </w:r>
      <w:r w:rsidR="008F2B30" w:rsidRPr="00FB48CB">
        <w:rPr>
          <w:rFonts w:ascii="Times New Roman" w:hAnsi="Times New Roman"/>
          <w:sz w:val="24"/>
          <w:szCs w:val="24"/>
          <w:lang w:val="sr-Cyrl-CS"/>
        </w:rPr>
        <w:t>редставља приход од правних лица;</w:t>
      </w:r>
    </w:p>
    <w:p w:rsidR="008F2B30" w:rsidRPr="00FB48CB" w:rsidRDefault="008F2B30" w:rsidP="00E3100A">
      <w:pPr>
        <w:pStyle w:val="ListParagraph"/>
        <w:ind w:left="0"/>
        <w:rPr>
          <w:rFonts w:ascii="Times New Roman" w:hAnsi="Times New Roman"/>
          <w:sz w:val="24"/>
          <w:szCs w:val="24"/>
          <w:lang w:val="sr-Cyrl-CS"/>
        </w:rPr>
      </w:pPr>
    </w:p>
    <w:p w:rsidR="008F2B30" w:rsidRPr="00A46759" w:rsidRDefault="00E3100A" w:rsidP="008A3795">
      <w:pPr>
        <w:pStyle w:val="ListParagraph"/>
        <w:numPr>
          <w:ilvl w:val="0"/>
          <w:numId w:val="22"/>
        </w:numPr>
        <w:rPr>
          <w:lang w:val="sr-Cyrl-CS"/>
        </w:rPr>
      </w:pPr>
      <w:r>
        <w:rPr>
          <w:rFonts w:ascii="Times New Roman" w:hAnsi="Times New Roman"/>
          <w:sz w:val="24"/>
          <w:szCs w:val="24"/>
          <w:lang w:val="sr-Cyrl-CS"/>
        </w:rPr>
        <w:t>спада у</w:t>
      </w:r>
      <w:r w:rsidR="008F2B30" w:rsidRPr="00FB48CB">
        <w:rPr>
          <w:rFonts w:ascii="Times New Roman" w:hAnsi="Times New Roman"/>
          <w:sz w:val="24"/>
          <w:szCs w:val="24"/>
          <w:lang w:val="sr-Cyrl-CS"/>
        </w:rPr>
        <w:t xml:space="preserve"> дерива</w:t>
      </w:r>
      <w:r>
        <w:rPr>
          <w:rFonts w:ascii="Times New Roman" w:hAnsi="Times New Roman"/>
          <w:sz w:val="24"/>
          <w:szCs w:val="24"/>
          <w:lang w:val="sr-Cyrl-CS"/>
        </w:rPr>
        <w:t>тивне</w:t>
      </w:r>
      <w:r w:rsidR="008F2B30" w:rsidRPr="00FB48CB">
        <w:rPr>
          <w:rFonts w:ascii="Times New Roman" w:hAnsi="Times New Roman"/>
          <w:sz w:val="24"/>
          <w:szCs w:val="24"/>
          <w:lang w:val="sr-Cyrl-CS"/>
        </w:rPr>
        <w:t xml:space="preserve"> </w:t>
      </w:r>
      <w:r w:rsidR="008F2B30">
        <w:rPr>
          <w:rFonts w:ascii="Times New Roman" w:hAnsi="Times New Roman"/>
          <w:sz w:val="24"/>
          <w:szCs w:val="24"/>
          <w:lang w:val="sr-Cyrl-CS"/>
        </w:rPr>
        <w:t>(</w:t>
      </w:r>
      <w:r>
        <w:rPr>
          <w:rFonts w:ascii="Times New Roman" w:hAnsi="Times New Roman"/>
          <w:sz w:val="24"/>
          <w:szCs w:val="24"/>
          <w:lang w:val="sr-Cyrl-CS"/>
        </w:rPr>
        <w:t>јавноправне</w:t>
      </w:r>
      <w:r w:rsidR="008F2B30" w:rsidRPr="00FB48CB">
        <w:rPr>
          <w:rFonts w:ascii="Times New Roman" w:hAnsi="Times New Roman"/>
          <w:sz w:val="24"/>
          <w:szCs w:val="24"/>
          <w:lang w:val="sr-Cyrl-CS"/>
        </w:rPr>
        <w:t>) приход</w:t>
      </w:r>
      <w:r>
        <w:rPr>
          <w:rFonts w:ascii="Times New Roman" w:hAnsi="Times New Roman"/>
          <w:sz w:val="24"/>
          <w:szCs w:val="24"/>
          <w:lang w:val="sr-Cyrl-CS"/>
        </w:rPr>
        <w:t>е</w:t>
      </w:r>
      <w:r w:rsidR="008F2B30" w:rsidRPr="00FB48CB">
        <w:rPr>
          <w:rFonts w:ascii="Times New Roman" w:hAnsi="Times New Roman"/>
          <w:sz w:val="24"/>
          <w:szCs w:val="24"/>
          <w:lang w:val="sr-Cyrl-CS"/>
        </w:rPr>
        <w:t xml:space="preserve"> државе</w:t>
      </w:r>
      <w:r w:rsidR="00A46759">
        <w:rPr>
          <w:rFonts w:ascii="Times New Roman" w:hAnsi="Times New Roman"/>
          <w:sz w:val="24"/>
          <w:szCs w:val="24"/>
          <w:lang w:val="sr-Cyrl-CS"/>
        </w:rPr>
        <w:t>,</w:t>
      </w:r>
    </w:p>
    <w:p w:rsidR="00A46759" w:rsidRDefault="00A46759" w:rsidP="00A46759">
      <w:pPr>
        <w:pStyle w:val="ListParagraph"/>
        <w:rPr>
          <w:lang w:val="sr-Cyrl-CS"/>
        </w:rPr>
      </w:pPr>
    </w:p>
    <w:p w:rsidR="000E0CDB" w:rsidRPr="00B90C1E" w:rsidRDefault="00A46759" w:rsidP="008A3795">
      <w:pPr>
        <w:pStyle w:val="ListParagraph"/>
        <w:numPr>
          <w:ilvl w:val="0"/>
          <w:numId w:val="22"/>
        </w:numPr>
        <w:jc w:val="both"/>
        <w:rPr>
          <w:rFonts w:ascii="Times New Roman" w:hAnsi="Times New Roman"/>
          <w:sz w:val="24"/>
          <w:szCs w:val="24"/>
          <w:lang w:val="sr-Cyrl-CS"/>
        </w:rPr>
      </w:pPr>
      <w:r w:rsidRPr="00A46759">
        <w:rPr>
          <w:rFonts w:ascii="Times New Roman" w:hAnsi="Times New Roman"/>
          <w:sz w:val="24"/>
          <w:szCs w:val="24"/>
          <w:lang w:val="sr-Cyrl-CS"/>
        </w:rPr>
        <w:t xml:space="preserve">захтева сложенији порески третман </w:t>
      </w:r>
      <w:r>
        <w:rPr>
          <w:rFonts w:ascii="Times New Roman" w:hAnsi="Times New Roman"/>
          <w:sz w:val="24"/>
          <w:szCs w:val="24"/>
          <w:lang w:val="sr-Cyrl-CS"/>
        </w:rPr>
        <w:t xml:space="preserve">јер за пореску основицу има опорезиву добит у пореском билансу, која се утврђује усклађивањем пословне добити у </w:t>
      </w:r>
      <w:r>
        <w:rPr>
          <w:rFonts w:ascii="Times New Roman" w:hAnsi="Times New Roman"/>
          <w:sz w:val="24"/>
          <w:szCs w:val="24"/>
          <w:lang w:val="sr-Cyrl-CS"/>
        </w:rPr>
        <w:lastRenderedPageBreak/>
        <w:t>билансу успеха, при чему се значајан део прихода и расхода утврђује према рачуноводственим прописима. Порески закон је lex specialis</w:t>
      </w:r>
      <w:r>
        <w:rPr>
          <w:rFonts w:ascii="Times New Roman" w:hAnsi="Times New Roman"/>
          <w:sz w:val="24"/>
          <w:szCs w:val="24"/>
          <w:lang w:val="en-US"/>
        </w:rPr>
        <w:t xml:space="preserve"> у односу на рачуноводствени, што све </w:t>
      </w:r>
      <w:r>
        <w:rPr>
          <w:rFonts w:ascii="Times New Roman" w:hAnsi="Times New Roman"/>
          <w:sz w:val="24"/>
          <w:szCs w:val="24"/>
          <w:lang w:val="sr-Cyrl-CS"/>
        </w:rPr>
        <w:t xml:space="preserve">и </w:t>
      </w:r>
      <w:r>
        <w:rPr>
          <w:rFonts w:ascii="Times New Roman" w:hAnsi="Times New Roman"/>
          <w:sz w:val="24"/>
          <w:szCs w:val="24"/>
          <w:lang w:val="en-US"/>
        </w:rPr>
        <w:t>пробл</w:t>
      </w:r>
      <w:r>
        <w:rPr>
          <w:rFonts w:ascii="Times New Roman" w:hAnsi="Times New Roman"/>
          <w:sz w:val="24"/>
          <w:szCs w:val="24"/>
          <w:lang w:val="sr-Cyrl-CS"/>
        </w:rPr>
        <w:t>ематику</w:t>
      </w:r>
      <w:r>
        <w:rPr>
          <w:rFonts w:ascii="Times New Roman" w:hAnsi="Times New Roman"/>
          <w:sz w:val="24"/>
          <w:szCs w:val="24"/>
          <w:lang w:val="en-US"/>
        </w:rPr>
        <w:t xml:space="preserve"> избегавања плаћања пореза чини сложениј</w:t>
      </w:r>
      <w:r>
        <w:rPr>
          <w:rFonts w:ascii="Times New Roman" w:hAnsi="Times New Roman"/>
          <w:sz w:val="24"/>
          <w:szCs w:val="24"/>
          <w:lang w:val="sr-Cyrl-CS"/>
        </w:rPr>
        <w:t>о</w:t>
      </w:r>
      <w:r>
        <w:rPr>
          <w:rFonts w:ascii="Times New Roman" w:hAnsi="Times New Roman"/>
          <w:sz w:val="24"/>
          <w:szCs w:val="24"/>
          <w:lang w:val="en-US"/>
        </w:rPr>
        <w:t>м</w:t>
      </w:r>
      <w:r>
        <w:rPr>
          <w:rFonts w:ascii="Times New Roman" w:hAnsi="Times New Roman"/>
          <w:sz w:val="24"/>
          <w:szCs w:val="24"/>
          <w:lang w:val="sr-Cyrl-CS"/>
        </w:rPr>
        <w:t xml:space="preserve"> код овог пореског облика</w:t>
      </w:r>
      <w:r>
        <w:rPr>
          <w:rFonts w:ascii="Times New Roman" w:hAnsi="Times New Roman"/>
          <w:sz w:val="24"/>
          <w:szCs w:val="24"/>
          <w:lang w:val="en-US"/>
        </w:rPr>
        <w:t>. При свему наведеном</w:t>
      </w:r>
      <w:r>
        <w:rPr>
          <w:rFonts w:ascii="Times New Roman" w:hAnsi="Times New Roman"/>
          <w:sz w:val="24"/>
          <w:szCs w:val="24"/>
          <w:lang w:val="sr-Cyrl-CS"/>
        </w:rPr>
        <w:t xml:space="preserve">, </w:t>
      </w:r>
      <w:r>
        <w:rPr>
          <w:rFonts w:ascii="Times New Roman" w:hAnsi="Times New Roman"/>
          <w:sz w:val="24"/>
          <w:szCs w:val="24"/>
          <w:lang w:val="en-US"/>
        </w:rPr>
        <w:t xml:space="preserve"> правна лица предузимају комплексну и обимну делатност, битно различиту од активности физичких лица.</w:t>
      </w:r>
    </w:p>
    <w:p w:rsidR="000E0CDB" w:rsidRDefault="00CE130F" w:rsidP="00CE130F">
      <w:pPr>
        <w:pStyle w:val="normal0"/>
        <w:shd w:val="clear" w:color="auto" w:fill="FFFFFF"/>
        <w:spacing w:before="48" w:beforeAutospacing="0" w:after="48" w:afterAutospacing="0"/>
        <w:ind w:firstLine="708"/>
        <w:jc w:val="both"/>
        <w:rPr>
          <w:color w:val="000000"/>
          <w:lang w:val="sr-Cyrl-CS"/>
        </w:rPr>
      </w:pPr>
      <w:r w:rsidRPr="00CE130F">
        <w:rPr>
          <w:color w:val="000000"/>
        </w:rPr>
        <w:t>Порески</w:t>
      </w:r>
      <w:r w:rsidR="00B62AD2" w:rsidRPr="00CE130F">
        <w:rPr>
          <w:color w:val="000000"/>
        </w:rPr>
        <w:t xml:space="preserve"> </w:t>
      </w:r>
      <w:r w:rsidRPr="00CE130F">
        <w:rPr>
          <w:color w:val="000000"/>
        </w:rPr>
        <w:t>обвезник</w:t>
      </w:r>
      <w:r w:rsidR="00B62AD2" w:rsidRPr="00CE130F">
        <w:rPr>
          <w:color w:val="000000"/>
        </w:rPr>
        <w:t xml:space="preserve"> </w:t>
      </w:r>
      <w:r w:rsidR="00B62AD2" w:rsidRPr="00CE130F">
        <w:rPr>
          <w:color w:val="000000"/>
          <w:lang w:val="sr-Cyrl-CS"/>
        </w:rPr>
        <w:t xml:space="preserve"> је </w:t>
      </w:r>
      <w:r w:rsidRPr="00CE130F">
        <w:rPr>
          <w:color w:val="000000"/>
        </w:rPr>
        <w:t>дужан</w:t>
      </w:r>
      <w:r w:rsidR="00B62AD2" w:rsidRPr="00CE130F">
        <w:rPr>
          <w:color w:val="000000"/>
        </w:rPr>
        <w:t xml:space="preserve"> </w:t>
      </w:r>
      <w:r w:rsidR="000E0CDB" w:rsidRPr="00CE130F">
        <w:rPr>
          <w:color w:val="000000"/>
        </w:rPr>
        <w:t xml:space="preserve"> </w:t>
      </w:r>
      <w:r w:rsidRPr="00CE130F">
        <w:rPr>
          <w:color w:val="000000"/>
        </w:rPr>
        <w:t>да</w:t>
      </w:r>
      <w:r w:rsidR="000E0CDB" w:rsidRPr="00CE130F">
        <w:rPr>
          <w:color w:val="000000"/>
        </w:rPr>
        <w:t xml:space="preserve"> </w:t>
      </w:r>
      <w:r w:rsidRPr="00CE130F">
        <w:rPr>
          <w:color w:val="000000"/>
        </w:rPr>
        <w:t>надлежном</w:t>
      </w:r>
      <w:r w:rsidR="000E0CDB" w:rsidRPr="00CE130F">
        <w:rPr>
          <w:color w:val="000000"/>
        </w:rPr>
        <w:t xml:space="preserve"> </w:t>
      </w:r>
      <w:r w:rsidRPr="00CE130F">
        <w:rPr>
          <w:color w:val="000000"/>
        </w:rPr>
        <w:t>пореском</w:t>
      </w:r>
      <w:r w:rsidR="000E0CDB" w:rsidRPr="00CE130F">
        <w:rPr>
          <w:color w:val="000000"/>
        </w:rPr>
        <w:t xml:space="preserve"> </w:t>
      </w:r>
      <w:r w:rsidRPr="00CE130F">
        <w:rPr>
          <w:color w:val="000000"/>
        </w:rPr>
        <w:t>органу</w:t>
      </w:r>
      <w:r w:rsidR="000E0CDB" w:rsidRPr="00CE130F">
        <w:rPr>
          <w:color w:val="000000"/>
        </w:rPr>
        <w:t xml:space="preserve"> </w:t>
      </w:r>
      <w:r w:rsidRPr="00CE130F">
        <w:rPr>
          <w:color w:val="000000"/>
        </w:rPr>
        <w:t>поднесе</w:t>
      </w:r>
      <w:r w:rsidR="000E0CDB" w:rsidRPr="00CE130F">
        <w:rPr>
          <w:color w:val="000000"/>
        </w:rPr>
        <w:t xml:space="preserve"> </w:t>
      </w:r>
      <w:r w:rsidRPr="00CE130F">
        <w:rPr>
          <w:color w:val="000000"/>
        </w:rPr>
        <w:t>пореску</w:t>
      </w:r>
      <w:r w:rsidR="000E0CDB" w:rsidRPr="00CE130F">
        <w:rPr>
          <w:color w:val="000000"/>
        </w:rPr>
        <w:t xml:space="preserve"> </w:t>
      </w:r>
      <w:r w:rsidRPr="00CE130F">
        <w:rPr>
          <w:color w:val="000000"/>
        </w:rPr>
        <w:t>пријаву</w:t>
      </w:r>
      <w:r w:rsidR="000E0CDB" w:rsidRPr="00CE130F">
        <w:rPr>
          <w:color w:val="000000"/>
        </w:rPr>
        <w:t xml:space="preserve"> </w:t>
      </w:r>
      <w:r w:rsidRPr="00CE130F">
        <w:rPr>
          <w:color w:val="000000"/>
        </w:rPr>
        <w:t>у</w:t>
      </w:r>
      <w:r w:rsidR="000E0CDB" w:rsidRPr="00CE130F">
        <w:rPr>
          <w:color w:val="000000"/>
        </w:rPr>
        <w:t xml:space="preserve"> </w:t>
      </w:r>
      <w:r w:rsidRPr="00CE130F">
        <w:rPr>
          <w:color w:val="000000"/>
        </w:rPr>
        <w:t>којој</w:t>
      </w:r>
      <w:r w:rsidR="000E0CDB" w:rsidRPr="00CE130F">
        <w:rPr>
          <w:color w:val="000000"/>
        </w:rPr>
        <w:t xml:space="preserve"> </w:t>
      </w:r>
      <w:r w:rsidRPr="00CE130F">
        <w:rPr>
          <w:color w:val="000000"/>
        </w:rPr>
        <w:t>је</w:t>
      </w:r>
      <w:r w:rsidR="000E0CDB" w:rsidRPr="00CE130F">
        <w:rPr>
          <w:color w:val="000000"/>
        </w:rPr>
        <w:t xml:space="preserve"> </w:t>
      </w:r>
      <w:r w:rsidRPr="00CE130F">
        <w:rPr>
          <w:color w:val="000000"/>
        </w:rPr>
        <w:t>обрачунат</w:t>
      </w:r>
      <w:r w:rsidR="000E0CDB" w:rsidRPr="00CE130F">
        <w:rPr>
          <w:color w:val="000000"/>
        </w:rPr>
        <w:t xml:space="preserve"> </w:t>
      </w:r>
      <w:r w:rsidRPr="00CE130F">
        <w:rPr>
          <w:color w:val="000000"/>
        </w:rPr>
        <w:t>порез</w:t>
      </w:r>
      <w:r w:rsidR="000E0CDB" w:rsidRPr="00CE130F">
        <w:rPr>
          <w:color w:val="000000"/>
        </w:rPr>
        <w:t xml:space="preserve"> </w:t>
      </w:r>
      <w:r w:rsidRPr="00CE130F">
        <w:rPr>
          <w:color w:val="000000"/>
        </w:rPr>
        <w:t>и</w:t>
      </w:r>
      <w:r w:rsidR="000E0CDB" w:rsidRPr="00CE130F">
        <w:rPr>
          <w:color w:val="000000"/>
        </w:rPr>
        <w:t xml:space="preserve"> </w:t>
      </w:r>
      <w:r w:rsidRPr="00CE130F">
        <w:rPr>
          <w:color w:val="000000"/>
        </w:rPr>
        <w:t>порески</w:t>
      </w:r>
      <w:r w:rsidR="000E0CDB" w:rsidRPr="00CE130F">
        <w:rPr>
          <w:color w:val="000000"/>
        </w:rPr>
        <w:t xml:space="preserve"> </w:t>
      </w:r>
      <w:r w:rsidRPr="00CE130F">
        <w:rPr>
          <w:color w:val="000000"/>
        </w:rPr>
        <w:t>биланс</w:t>
      </w:r>
      <w:r w:rsidR="000E0CDB" w:rsidRPr="00CE130F">
        <w:rPr>
          <w:color w:val="000000"/>
        </w:rPr>
        <w:t xml:space="preserve"> </w:t>
      </w:r>
      <w:r w:rsidRPr="00CE130F">
        <w:rPr>
          <w:color w:val="000000"/>
        </w:rPr>
        <w:t>за</w:t>
      </w:r>
      <w:r w:rsidR="000E0CDB" w:rsidRPr="00CE130F">
        <w:rPr>
          <w:color w:val="000000"/>
        </w:rPr>
        <w:t xml:space="preserve"> </w:t>
      </w:r>
      <w:r w:rsidRPr="00CE130F">
        <w:rPr>
          <w:color w:val="000000"/>
        </w:rPr>
        <w:t>период</w:t>
      </w:r>
      <w:r w:rsidR="00B62AD2" w:rsidRPr="00CE130F">
        <w:rPr>
          <w:color w:val="000000"/>
        </w:rPr>
        <w:t xml:space="preserve"> </w:t>
      </w:r>
      <w:r w:rsidRPr="00CE130F">
        <w:rPr>
          <w:color w:val="000000"/>
        </w:rPr>
        <w:t>за</w:t>
      </w:r>
      <w:r w:rsidR="00B62AD2" w:rsidRPr="00CE130F">
        <w:rPr>
          <w:color w:val="000000"/>
        </w:rPr>
        <w:t xml:space="preserve"> </w:t>
      </w:r>
      <w:r w:rsidRPr="00CE130F">
        <w:rPr>
          <w:color w:val="000000"/>
        </w:rPr>
        <w:t>који</w:t>
      </w:r>
      <w:r w:rsidR="00B62AD2" w:rsidRPr="00CE130F">
        <w:rPr>
          <w:color w:val="000000"/>
        </w:rPr>
        <w:t xml:space="preserve"> </w:t>
      </w:r>
      <w:r w:rsidRPr="00CE130F">
        <w:rPr>
          <w:color w:val="000000"/>
        </w:rPr>
        <w:t>се</w:t>
      </w:r>
      <w:r w:rsidR="00B62AD2" w:rsidRPr="00CE130F">
        <w:rPr>
          <w:color w:val="000000"/>
        </w:rPr>
        <w:t xml:space="preserve"> </w:t>
      </w:r>
      <w:r w:rsidRPr="00CE130F">
        <w:rPr>
          <w:color w:val="000000"/>
        </w:rPr>
        <w:t>утврђује</w:t>
      </w:r>
      <w:r w:rsidR="00B62AD2" w:rsidRPr="00CE130F">
        <w:rPr>
          <w:color w:val="000000"/>
        </w:rPr>
        <w:t xml:space="preserve"> </w:t>
      </w:r>
      <w:r w:rsidRPr="00CE130F">
        <w:rPr>
          <w:color w:val="000000"/>
        </w:rPr>
        <w:t>порез</w:t>
      </w:r>
      <w:r w:rsidR="00B62AD2" w:rsidRPr="00CE130F">
        <w:rPr>
          <w:color w:val="000000"/>
          <w:lang w:val="sr-Cyrl-CS"/>
        </w:rPr>
        <w:t xml:space="preserve">, као и да </w:t>
      </w:r>
      <w:r w:rsidRPr="00CE130F">
        <w:rPr>
          <w:color w:val="000000"/>
        </w:rPr>
        <w:t>достави</w:t>
      </w:r>
      <w:r w:rsidR="000E0CDB" w:rsidRPr="00CE130F">
        <w:rPr>
          <w:color w:val="000000"/>
        </w:rPr>
        <w:t xml:space="preserve"> </w:t>
      </w:r>
      <w:r w:rsidRPr="00CE130F">
        <w:rPr>
          <w:color w:val="000000"/>
        </w:rPr>
        <w:t>документацију</w:t>
      </w:r>
      <w:r w:rsidR="000E0CDB" w:rsidRPr="00CE130F">
        <w:rPr>
          <w:color w:val="000000"/>
        </w:rPr>
        <w:t xml:space="preserve"> </w:t>
      </w:r>
      <w:r w:rsidRPr="00CE130F">
        <w:rPr>
          <w:color w:val="000000"/>
        </w:rPr>
        <w:t>коју</w:t>
      </w:r>
      <w:r w:rsidR="000E0CDB" w:rsidRPr="00CE130F">
        <w:rPr>
          <w:color w:val="000000"/>
        </w:rPr>
        <w:t xml:space="preserve"> </w:t>
      </w:r>
      <w:r w:rsidRPr="00CE130F">
        <w:rPr>
          <w:color w:val="000000"/>
        </w:rPr>
        <w:t>надлежни</w:t>
      </w:r>
      <w:r w:rsidR="000E0CDB" w:rsidRPr="00CE130F">
        <w:rPr>
          <w:color w:val="000000"/>
        </w:rPr>
        <w:t xml:space="preserve"> </w:t>
      </w:r>
      <w:r w:rsidRPr="00CE130F">
        <w:rPr>
          <w:color w:val="000000"/>
        </w:rPr>
        <w:t>орган</w:t>
      </w:r>
      <w:r w:rsidR="000E0CDB" w:rsidRPr="00CE130F">
        <w:rPr>
          <w:color w:val="000000"/>
        </w:rPr>
        <w:t xml:space="preserve"> </w:t>
      </w:r>
      <w:r w:rsidRPr="00CE130F">
        <w:rPr>
          <w:color w:val="000000"/>
        </w:rPr>
        <w:t>затражи</w:t>
      </w:r>
      <w:r w:rsidR="000E0CDB" w:rsidRPr="00CE130F">
        <w:rPr>
          <w:color w:val="000000"/>
        </w:rPr>
        <w:t xml:space="preserve"> </w:t>
      </w:r>
      <w:r w:rsidRPr="00CE130F">
        <w:rPr>
          <w:color w:val="000000"/>
        </w:rPr>
        <w:t>у</w:t>
      </w:r>
      <w:r w:rsidR="000E0CDB" w:rsidRPr="00CE130F">
        <w:rPr>
          <w:color w:val="000000"/>
        </w:rPr>
        <w:t xml:space="preserve"> </w:t>
      </w:r>
      <w:r w:rsidRPr="00CE130F">
        <w:rPr>
          <w:color w:val="000000"/>
        </w:rPr>
        <w:t>складу</w:t>
      </w:r>
      <w:r w:rsidR="000E0CDB" w:rsidRPr="00CE130F">
        <w:rPr>
          <w:color w:val="000000"/>
        </w:rPr>
        <w:t xml:space="preserve"> </w:t>
      </w:r>
      <w:r w:rsidRPr="00CE130F">
        <w:rPr>
          <w:color w:val="000000"/>
        </w:rPr>
        <w:t>са</w:t>
      </w:r>
      <w:r w:rsidR="000E0CDB" w:rsidRPr="00CE130F">
        <w:rPr>
          <w:color w:val="000000"/>
        </w:rPr>
        <w:t xml:space="preserve"> </w:t>
      </w:r>
      <w:r w:rsidRPr="00CE130F">
        <w:rPr>
          <w:color w:val="000000"/>
        </w:rPr>
        <w:t>прописима</w:t>
      </w:r>
      <w:r w:rsidR="000E0CDB" w:rsidRPr="00CE130F">
        <w:rPr>
          <w:color w:val="000000"/>
        </w:rPr>
        <w:t xml:space="preserve"> </w:t>
      </w:r>
      <w:r w:rsidRPr="00CE130F">
        <w:rPr>
          <w:color w:val="000000"/>
        </w:rPr>
        <w:t>којима</w:t>
      </w:r>
      <w:r w:rsidR="000E0CDB" w:rsidRPr="00CE130F">
        <w:rPr>
          <w:color w:val="000000"/>
        </w:rPr>
        <w:t xml:space="preserve"> </w:t>
      </w:r>
      <w:r w:rsidRPr="00CE130F">
        <w:rPr>
          <w:color w:val="000000"/>
        </w:rPr>
        <w:t>се</w:t>
      </w:r>
      <w:r w:rsidR="000E0CDB" w:rsidRPr="00CE130F">
        <w:rPr>
          <w:color w:val="000000"/>
        </w:rPr>
        <w:t xml:space="preserve"> </w:t>
      </w:r>
      <w:r w:rsidRPr="00CE130F">
        <w:rPr>
          <w:color w:val="000000"/>
        </w:rPr>
        <w:t>уређује</w:t>
      </w:r>
      <w:r w:rsidR="000E0CDB" w:rsidRPr="00CE130F">
        <w:rPr>
          <w:color w:val="000000"/>
        </w:rPr>
        <w:t xml:space="preserve"> </w:t>
      </w:r>
      <w:r w:rsidRPr="00CE130F">
        <w:rPr>
          <w:color w:val="000000"/>
        </w:rPr>
        <w:t>порески</w:t>
      </w:r>
      <w:r w:rsidR="000E0CDB" w:rsidRPr="00CE130F">
        <w:rPr>
          <w:color w:val="000000"/>
        </w:rPr>
        <w:t xml:space="preserve"> </w:t>
      </w:r>
      <w:r w:rsidRPr="00CE130F">
        <w:rPr>
          <w:color w:val="000000"/>
        </w:rPr>
        <w:t>поступак</w:t>
      </w:r>
      <w:r w:rsidR="000E0CDB" w:rsidRPr="00CE130F">
        <w:rPr>
          <w:color w:val="000000"/>
        </w:rPr>
        <w:t xml:space="preserve"> </w:t>
      </w:r>
      <w:r w:rsidRPr="00CE130F">
        <w:rPr>
          <w:color w:val="000000"/>
        </w:rPr>
        <w:t>и</w:t>
      </w:r>
      <w:r w:rsidR="000E0CDB" w:rsidRPr="00CE130F">
        <w:rPr>
          <w:color w:val="000000"/>
        </w:rPr>
        <w:t xml:space="preserve"> </w:t>
      </w:r>
      <w:r w:rsidRPr="00CE130F">
        <w:rPr>
          <w:color w:val="000000"/>
        </w:rPr>
        <w:t>пореска</w:t>
      </w:r>
      <w:r w:rsidR="000E0CDB" w:rsidRPr="00CE130F">
        <w:rPr>
          <w:color w:val="000000"/>
        </w:rPr>
        <w:t xml:space="preserve"> </w:t>
      </w:r>
      <w:r w:rsidRPr="00CE130F">
        <w:rPr>
          <w:color w:val="000000"/>
        </w:rPr>
        <w:t>администрација</w:t>
      </w:r>
      <w:r w:rsidR="000E0CDB" w:rsidRPr="00CE130F">
        <w:rPr>
          <w:color w:val="000000"/>
        </w:rPr>
        <w:t>.</w:t>
      </w:r>
      <w:r w:rsidR="00B62AD2" w:rsidRPr="00CE130F">
        <w:rPr>
          <w:color w:val="000000"/>
          <w:lang w:val="sr-Cyrl-CS"/>
        </w:rPr>
        <w:t xml:space="preserve"> </w:t>
      </w:r>
      <w:r w:rsidRPr="00CE130F">
        <w:rPr>
          <w:color w:val="000000"/>
        </w:rPr>
        <w:t>Пореска</w:t>
      </w:r>
      <w:r w:rsidR="000E0CDB" w:rsidRPr="00CE130F">
        <w:rPr>
          <w:color w:val="000000"/>
        </w:rPr>
        <w:t xml:space="preserve"> </w:t>
      </w:r>
      <w:r w:rsidRPr="00CE130F">
        <w:rPr>
          <w:color w:val="000000"/>
        </w:rPr>
        <w:t>пријава</w:t>
      </w:r>
      <w:r w:rsidR="000E0CDB" w:rsidRPr="00CE130F">
        <w:rPr>
          <w:color w:val="000000"/>
        </w:rPr>
        <w:t xml:space="preserve"> </w:t>
      </w:r>
      <w:r w:rsidRPr="00CE130F">
        <w:rPr>
          <w:color w:val="000000"/>
        </w:rPr>
        <w:t>подноси</w:t>
      </w:r>
      <w:r w:rsidR="000E0CDB" w:rsidRPr="00CE130F">
        <w:rPr>
          <w:color w:val="000000"/>
        </w:rPr>
        <w:t xml:space="preserve"> </w:t>
      </w:r>
      <w:r w:rsidRPr="00CE130F">
        <w:rPr>
          <w:color w:val="000000"/>
        </w:rPr>
        <w:t>се</w:t>
      </w:r>
      <w:r w:rsidR="000E0CDB" w:rsidRPr="00CE130F">
        <w:rPr>
          <w:color w:val="000000"/>
        </w:rPr>
        <w:t xml:space="preserve"> </w:t>
      </w:r>
      <w:r w:rsidRPr="00CE130F">
        <w:rPr>
          <w:color w:val="000000"/>
        </w:rPr>
        <w:t>у</w:t>
      </w:r>
      <w:r w:rsidR="000E0CDB" w:rsidRPr="00CE130F">
        <w:rPr>
          <w:color w:val="000000"/>
        </w:rPr>
        <w:t xml:space="preserve"> </w:t>
      </w:r>
      <w:r w:rsidRPr="00CE130F">
        <w:rPr>
          <w:color w:val="000000"/>
        </w:rPr>
        <w:t>року</w:t>
      </w:r>
      <w:r w:rsidR="000E0CDB" w:rsidRPr="00CE130F">
        <w:rPr>
          <w:color w:val="000000"/>
        </w:rPr>
        <w:t xml:space="preserve"> </w:t>
      </w:r>
      <w:r w:rsidRPr="00CE130F">
        <w:rPr>
          <w:color w:val="000000"/>
        </w:rPr>
        <w:t>од</w:t>
      </w:r>
      <w:r w:rsidR="000E0CDB" w:rsidRPr="00CE130F">
        <w:rPr>
          <w:color w:val="000000"/>
        </w:rPr>
        <w:t xml:space="preserve"> 180 </w:t>
      </w:r>
      <w:r w:rsidRPr="00CE130F">
        <w:rPr>
          <w:color w:val="000000"/>
        </w:rPr>
        <w:t>дана</w:t>
      </w:r>
      <w:r w:rsidR="000E0CDB" w:rsidRPr="00CE130F">
        <w:rPr>
          <w:color w:val="000000"/>
        </w:rPr>
        <w:t xml:space="preserve"> </w:t>
      </w:r>
      <w:r w:rsidRPr="00CE130F">
        <w:rPr>
          <w:color w:val="000000"/>
        </w:rPr>
        <w:t>од</w:t>
      </w:r>
      <w:r w:rsidR="000E0CDB" w:rsidRPr="00CE130F">
        <w:rPr>
          <w:color w:val="000000"/>
        </w:rPr>
        <w:t xml:space="preserve"> </w:t>
      </w:r>
      <w:r w:rsidRPr="00CE130F">
        <w:rPr>
          <w:color w:val="000000"/>
        </w:rPr>
        <w:t>дана</w:t>
      </w:r>
      <w:r w:rsidR="000E0CDB" w:rsidRPr="00CE130F">
        <w:rPr>
          <w:color w:val="000000"/>
        </w:rPr>
        <w:t xml:space="preserve"> </w:t>
      </w:r>
      <w:r w:rsidRPr="00CE130F">
        <w:rPr>
          <w:color w:val="000000"/>
        </w:rPr>
        <w:t>истека</w:t>
      </w:r>
      <w:r w:rsidR="000E0CDB" w:rsidRPr="00CE130F">
        <w:rPr>
          <w:color w:val="000000"/>
        </w:rPr>
        <w:t xml:space="preserve"> </w:t>
      </w:r>
      <w:r w:rsidRPr="00CE130F">
        <w:rPr>
          <w:color w:val="000000"/>
        </w:rPr>
        <w:t>периода</w:t>
      </w:r>
      <w:r w:rsidR="000E0CDB" w:rsidRPr="00CE130F">
        <w:rPr>
          <w:color w:val="000000"/>
        </w:rPr>
        <w:t xml:space="preserve"> </w:t>
      </w:r>
      <w:r w:rsidRPr="00CE130F">
        <w:rPr>
          <w:color w:val="000000"/>
        </w:rPr>
        <w:t>за</w:t>
      </w:r>
      <w:r w:rsidR="000E0CDB" w:rsidRPr="00CE130F">
        <w:rPr>
          <w:color w:val="000000"/>
        </w:rPr>
        <w:t xml:space="preserve"> </w:t>
      </w:r>
      <w:r w:rsidRPr="00CE130F">
        <w:rPr>
          <w:color w:val="000000"/>
        </w:rPr>
        <w:t>који</w:t>
      </w:r>
      <w:r w:rsidR="000E0CDB" w:rsidRPr="00CE130F">
        <w:rPr>
          <w:color w:val="000000"/>
        </w:rPr>
        <w:t xml:space="preserve"> </w:t>
      </w:r>
      <w:r w:rsidRPr="00CE130F">
        <w:rPr>
          <w:color w:val="000000"/>
        </w:rPr>
        <w:t>се</w:t>
      </w:r>
      <w:r w:rsidR="000E0CDB" w:rsidRPr="00CE130F">
        <w:rPr>
          <w:color w:val="000000"/>
        </w:rPr>
        <w:t xml:space="preserve"> </w:t>
      </w:r>
      <w:r w:rsidRPr="00CE130F">
        <w:rPr>
          <w:color w:val="000000"/>
        </w:rPr>
        <w:t>утврђује</w:t>
      </w:r>
      <w:r w:rsidR="000E0CDB" w:rsidRPr="00CE130F">
        <w:rPr>
          <w:color w:val="000000"/>
        </w:rPr>
        <w:t xml:space="preserve"> </w:t>
      </w:r>
      <w:r w:rsidRPr="00CE130F">
        <w:rPr>
          <w:color w:val="000000"/>
        </w:rPr>
        <w:t>пореска</w:t>
      </w:r>
      <w:r w:rsidR="000E0CDB" w:rsidRPr="00CE130F">
        <w:rPr>
          <w:color w:val="000000"/>
        </w:rPr>
        <w:t xml:space="preserve"> </w:t>
      </w:r>
      <w:r w:rsidRPr="00CE130F">
        <w:rPr>
          <w:color w:val="000000"/>
        </w:rPr>
        <w:t>обавеза</w:t>
      </w:r>
      <w:r w:rsidR="000E0CDB" w:rsidRPr="00CE130F">
        <w:rPr>
          <w:color w:val="000000"/>
        </w:rPr>
        <w:t xml:space="preserve">, </w:t>
      </w:r>
      <w:r w:rsidRPr="00CE130F">
        <w:rPr>
          <w:color w:val="000000"/>
        </w:rPr>
        <w:t>осим</w:t>
      </w:r>
      <w:r w:rsidR="000E0CDB" w:rsidRPr="00CE130F">
        <w:rPr>
          <w:color w:val="000000"/>
        </w:rPr>
        <w:t xml:space="preserve"> </w:t>
      </w:r>
      <w:r w:rsidRPr="00CE130F">
        <w:rPr>
          <w:color w:val="000000"/>
        </w:rPr>
        <w:t>у</w:t>
      </w:r>
      <w:r w:rsidR="000E0CDB" w:rsidRPr="00CE130F">
        <w:rPr>
          <w:color w:val="000000"/>
        </w:rPr>
        <w:t xml:space="preserve"> </w:t>
      </w:r>
      <w:r w:rsidRPr="00CE130F">
        <w:rPr>
          <w:color w:val="000000"/>
        </w:rPr>
        <w:t>случају</w:t>
      </w:r>
      <w:r w:rsidR="000E0CDB" w:rsidRPr="00CE130F">
        <w:rPr>
          <w:color w:val="000000"/>
        </w:rPr>
        <w:t xml:space="preserve"> </w:t>
      </w:r>
      <w:r w:rsidRPr="00CE130F">
        <w:rPr>
          <w:color w:val="000000"/>
        </w:rPr>
        <w:t>статусних</w:t>
      </w:r>
      <w:r w:rsidR="000E0CDB" w:rsidRPr="00CE130F">
        <w:rPr>
          <w:color w:val="000000"/>
        </w:rPr>
        <w:t xml:space="preserve"> </w:t>
      </w:r>
      <w:r w:rsidRPr="00CE130F">
        <w:rPr>
          <w:color w:val="000000"/>
        </w:rPr>
        <w:t>промена</w:t>
      </w:r>
      <w:r w:rsidR="000E0CDB" w:rsidRPr="00CE130F">
        <w:rPr>
          <w:color w:val="000000"/>
        </w:rPr>
        <w:t xml:space="preserve">, </w:t>
      </w:r>
      <w:r w:rsidRPr="00CE130F">
        <w:rPr>
          <w:color w:val="000000"/>
        </w:rPr>
        <w:t>ликвидације</w:t>
      </w:r>
      <w:r w:rsidR="000E0CDB" w:rsidRPr="00CE130F">
        <w:rPr>
          <w:color w:val="000000"/>
        </w:rPr>
        <w:t xml:space="preserve"> </w:t>
      </w:r>
      <w:r w:rsidRPr="00CE130F">
        <w:rPr>
          <w:color w:val="000000"/>
        </w:rPr>
        <w:t>или</w:t>
      </w:r>
      <w:r w:rsidR="000E0CDB" w:rsidRPr="00CE130F">
        <w:rPr>
          <w:color w:val="000000"/>
        </w:rPr>
        <w:t xml:space="preserve"> </w:t>
      </w:r>
      <w:r w:rsidRPr="00CE130F">
        <w:rPr>
          <w:color w:val="000000"/>
        </w:rPr>
        <w:t>стечаја</w:t>
      </w:r>
      <w:r w:rsidR="000E0CDB" w:rsidRPr="00CE130F">
        <w:rPr>
          <w:color w:val="000000"/>
        </w:rPr>
        <w:t xml:space="preserve"> </w:t>
      </w:r>
      <w:r w:rsidRPr="00CE130F">
        <w:rPr>
          <w:color w:val="000000"/>
        </w:rPr>
        <w:t>пореског</w:t>
      </w:r>
      <w:r w:rsidR="000E0CDB" w:rsidRPr="00CE130F">
        <w:rPr>
          <w:color w:val="000000"/>
        </w:rPr>
        <w:t xml:space="preserve"> </w:t>
      </w:r>
      <w:r w:rsidRPr="00CE130F">
        <w:rPr>
          <w:color w:val="000000"/>
        </w:rPr>
        <w:t>обвезника</w:t>
      </w:r>
      <w:r w:rsidR="000E0CDB" w:rsidRPr="00CE130F">
        <w:rPr>
          <w:color w:val="000000"/>
        </w:rPr>
        <w:t xml:space="preserve">, </w:t>
      </w:r>
      <w:r w:rsidRPr="00CE130F">
        <w:rPr>
          <w:color w:val="000000"/>
        </w:rPr>
        <w:t>када</w:t>
      </w:r>
      <w:r w:rsidR="000E0CDB" w:rsidRPr="00CE130F">
        <w:rPr>
          <w:color w:val="000000"/>
        </w:rPr>
        <w:t xml:space="preserve"> </w:t>
      </w:r>
      <w:r w:rsidRPr="00CE130F">
        <w:rPr>
          <w:color w:val="000000"/>
        </w:rPr>
        <w:t>се</w:t>
      </w:r>
      <w:r w:rsidR="000E0CDB" w:rsidRPr="00CE130F">
        <w:rPr>
          <w:color w:val="000000"/>
        </w:rPr>
        <w:t xml:space="preserve"> </w:t>
      </w:r>
      <w:r w:rsidRPr="00CE130F">
        <w:rPr>
          <w:color w:val="000000"/>
        </w:rPr>
        <w:t>подноси</w:t>
      </w:r>
      <w:r w:rsidR="000E0CDB" w:rsidRPr="00CE130F">
        <w:rPr>
          <w:color w:val="000000"/>
        </w:rPr>
        <w:t xml:space="preserve"> </w:t>
      </w:r>
      <w:r w:rsidRPr="00CE130F">
        <w:rPr>
          <w:color w:val="000000"/>
        </w:rPr>
        <w:t>у</w:t>
      </w:r>
      <w:r w:rsidR="000E0CDB" w:rsidRPr="00CE130F">
        <w:rPr>
          <w:color w:val="000000"/>
        </w:rPr>
        <w:t xml:space="preserve"> </w:t>
      </w:r>
      <w:r w:rsidRPr="00CE130F">
        <w:rPr>
          <w:color w:val="000000"/>
        </w:rPr>
        <w:t>року</w:t>
      </w:r>
      <w:r w:rsidR="000E0CDB" w:rsidRPr="00CE130F">
        <w:rPr>
          <w:color w:val="000000"/>
        </w:rPr>
        <w:t xml:space="preserve"> </w:t>
      </w:r>
      <w:r w:rsidRPr="00CE130F">
        <w:rPr>
          <w:color w:val="000000"/>
        </w:rPr>
        <w:t>од</w:t>
      </w:r>
      <w:r w:rsidR="000E0CDB" w:rsidRPr="00CE130F">
        <w:rPr>
          <w:color w:val="000000"/>
        </w:rPr>
        <w:t xml:space="preserve"> 15 </w:t>
      </w:r>
      <w:r w:rsidRPr="00CE130F">
        <w:rPr>
          <w:color w:val="000000"/>
        </w:rPr>
        <w:t>дана</w:t>
      </w:r>
      <w:r w:rsidR="000E0CDB" w:rsidRPr="00CE130F">
        <w:rPr>
          <w:color w:val="000000"/>
        </w:rPr>
        <w:t xml:space="preserve"> </w:t>
      </w:r>
      <w:r w:rsidRPr="00CE130F">
        <w:rPr>
          <w:color w:val="000000"/>
        </w:rPr>
        <w:t>од</w:t>
      </w:r>
      <w:r w:rsidR="000E0CDB" w:rsidRPr="00CE130F">
        <w:rPr>
          <w:color w:val="000000"/>
        </w:rPr>
        <w:t xml:space="preserve"> </w:t>
      </w:r>
      <w:r w:rsidRPr="00CE130F">
        <w:rPr>
          <w:color w:val="000000"/>
        </w:rPr>
        <w:t>дана</w:t>
      </w:r>
      <w:r w:rsidR="000E0CDB" w:rsidRPr="00CE130F">
        <w:rPr>
          <w:color w:val="000000"/>
        </w:rPr>
        <w:t xml:space="preserve"> </w:t>
      </w:r>
      <w:r w:rsidRPr="00CE130F">
        <w:rPr>
          <w:color w:val="000000"/>
        </w:rPr>
        <w:t>истека</w:t>
      </w:r>
      <w:r w:rsidR="000E0CDB" w:rsidRPr="00CE130F">
        <w:rPr>
          <w:color w:val="000000"/>
        </w:rPr>
        <w:t xml:space="preserve"> </w:t>
      </w:r>
      <w:r w:rsidRPr="00CE130F">
        <w:rPr>
          <w:color w:val="000000"/>
        </w:rPr>
        <w:t>рока</w:t>
      </w:r>
      <w:r w:rsidR="000E0CDB" w:rsidRPr="00CE130F">
        <w:rPr>
          <w:color w:val="000000"/>
        </w:rPr>
        <w:t xml:space="preserve"> </w:t>
      </w:r>
      <w:r w:rsidRPr="00CE130F">
        <w:rPr>
          <w:color w:val="000000"/>
        </w:rPr>
        <w:t>прописаног</w:t>
      </w:r>
      <w:r w:rsidR="000E0CDB" w:rsidRPr="00CE130F">
        <w:rPr>
          <w:color w:val="000000"/>
        </w:rPr>
        <w:t xml:space="preserve"> </w:t>
      </w:r>
      <w:r w:rsidRPr="00CE130F">
        <w:rPr>
          <w:color w:val="000000"/>
        </w:rPr>
        <w:t>за</w:t>
      </w:r>
      <w:r w:rsidR="000E0CDB" w:rsidRPr="00CE130F">
        <w:rPr>
          <w:color w:val="000000"/>
        </w:rPr>
        <w:t xml:space="preserve"> </w:t>
      </w:r>
      <w:r w:rsidRPr="00CE130F">
        <w:rPr>
          <w:color w:val="000000"/>
        </w:rPr>
        <w:t>подношење</w:t>
      </w:r>
      <w:r w:rsidR="000E0CDB" w:rsidRPr="00CE130F">
        <w:rPr>
          <w:color w:val="000000"/>
        </w:rPr>
        <w:t xml:space="preserve"> </w:t>
      </w:r>
      <w:r w:rsidRPr="00CE130F">
        <w:rPr>
          <w:color w:val="000000"/>
        </w:rPr>
        <w:t>финансијских</w:t>
      </w:r>
      <w:r w:rsidR="000E0CDB" w:rsidRPr="00CE130F">
        <w:rPr>
          <w:color w:val="000000"/>
        </w:rPr>
        <w:t xml:space="preserve"> </w:t>
      </w:r>
      <w:r w:rsidRPr="00CE130F">
        <w:rPr>
          <w:color w:val="000000"/>
        </w:rPr>
        <w:t>извештаја</w:t>
      </w:r>
      <w:r w:rsidR="000E0CDB" w:rsidRPr="00CE130F">
        <w:rPr>
          <w:color w:val="000000"/>
        </w:rPr>
        <w:t>.</w:t>
      </w:r>
      <w:r w:rsidRPr="00CE130F">
        <w:rPr>
          <w:rStyle w:val="FootnoteReference"/>
          <w:color w:val="000000"/>
        </w:rPr>
        <w:footnoteReference w:id="241"/>
      </w:r>
      <w:bookmarkStart w:id="0" w:name="clan_64"/>
      <w:bookmarkEnd w:id="0"/>
    </w:p>
    <w:p w:rsidR="00CE130F" w:rsidRPr="00CE130F" w:rsidRDefault="00CE130F" w:rsidP="00CE130F">
      <w:pPr>
        <w:pStyle w:val="normal0"/>
        <w:shd w:val="clear" w:color="auto" w:fill="FFFFFF"/>
        <w:spacing w:before="48" w:beforeAutospacing="0" w:after="48" w:afterAutospacing="0"/>
        <w:ind w:firstLine="708"/>
        <w:jc w:val="both"/>
        <w:rPr>
          <w:color w:val="000000"/>
          <w:lang w:val="sr-Cyrl-CS"/>
        </w:rPr>
      </w:pPr>
    </w:p>
    <w:p w:rsidR="00B90C1E" w:rsidRDefault="00B62AD2" w:rsidP="00B90C1E">
      <w:pPr>
        <w:pStyle w:val="normal0"/>
        <w:shd w:val="clear" w:color="auto" w:fill="FFFFFF"/>
        <w:spacing w:before="48" w:beforeAutospacing="0" w:after="48" w:afterAutospacing="0"/>
        <w:ind w:firstLine="708"/>
        <w:jc w:val="both"/>
        <w:rPr>
          <w:color w:val="000000"/>
        </w:rPr>
      </w:pPr>
      <w:r w:rsidRPr="00CE130F">
        <w:rPr>
          <w:color w:val="000000"/>
          <w:lang w:val="sr-Cyrl-CS"/>
        </w:rPr>
        <w:t>Мимо тога, о</w:t>
      </w:r>
      <w:r w:rsidR="00CE130F" w:rsidRPr="00CE130F">
        <w:rPr>
          <w:color w:val="000000"/>
        </w:rPr>
        <w:t>бвезник</w:t>
      </w:r>
      <w:r w:rsidR="000E0CDB" w:rsidRPr="00CE130F">
        <w:rPr>
          <w:color w:val="000000"/>
        </w:rPr>
        <w:t xml:space="preserve"> </w:t>
      </w:r>
      <w:r w:rsidR="00CE130F" w:rsidRPr="00CE130F">
        <w:rPr>
          <w:color w:val="000000"/>
        </w:rPr>
        <w:t>пореза</w:t>
      </w:r>
      <w:r w:rsidR="000E0CDB" w:rsidRPr="00CE130F">
        <w:rPr>
          <w:color w:val="000000"/>
        </w:rPr>
        <w:t xml:space="preserve"> </w:t>
      </w:r>
      <w:r w:rsidR="00CE130F" w:rsidRPr="00CE130F">
        <w:rPr>
          <w:color w:val="000000"/>
        </w:rPr>
        <w:t>који</w:t>
      </w:r>
      <w:r w:rsidR="000E0CDB" w:rsidRPr="00CE130F">
        <w:rPr>
          <w:color w:val="000000"/>
        </w:rPr>
        <w:t xml:space="preserve"> </w:t>
      </w:r>
      <w:r w:rsidR="00CE130F" w:rsidRPr="00CE130F">
        <w:rPr>
          <w:color w:val="000000"/>
        </w:rPr>
        <w:t>у</w:t>
      </w:r>
      <w:r w:rsidR="000E0CDB" w:rsidRPr="00CE130F">
        <w:rPr>
          <w:color w:val="000000"/>
        </w:rPr>
        <w:t xml:space="preserve"> </w:t>
      </w:r>
      <w:r w:rsidR="00CE130F" w:rsidRPr="00CE130F">
        <w:rPr>
          <w:color w:val="000000"/>
        </w:rPr>
        <w:t>току</w:t>
      </w:r>
      <w:r w:rsidR="000E0CDB" w:rsidRPr="00CE130F">
        <w:rPr>
          <w:color w:val="000000"/>
        </w:rPr>
        <w:t xml:space="preserve"> </w:t>
      </w:r>
      <w:r w:rsidR="00CE130F" w:rsidRPr="00CE130F">
        <w:rPr>
          <w:color w:val="000000"/>
        </w:rPr>
        <w:t>године</w:t>
      </w:r>
      <w:r w:rsidR="000E0CDB" w:rsidRPr="00CE130F">
        <w:rPr>
          <w:color w:val="000000"/>
        </w:rPr>
        <w:t xml:space="preserve"> </w:t>
      </w:r>
      <w:r w:rsidR="00CE130F" w:rsidRPr="00CE130F">
        <w:rPr>
          <w:color w:val="000000"/>
        </w:rPr>
        <w:t>отпочне</w:t>
      </w:r>
      <w:r w:rsidR="000E0CDB" w:rsidRPr="00CE130F">
        <w:rPr>
          <w:color w:val="000000"/>
        </w:rPr>
        <w:t xml:space="preserve"> </w:t>
      </w:r>
      <w:r w:rsidR="00CE130F" w:rsidRPr="00CE130F">
        <w:rPr>
          <w:color w:val="000000"/>
        </w:rPr>
        <w:t>са</w:t>
      </w:r>
      <w:r w:rsidR="000E0CDB" w:rsidRPr="00CE130F">
        <w:rPr>
          <w:color w:val="000000"/>
        </w:rPr>
        <w:t xml:space="preserve"> </w:t>
      </w:r>
      <w:r w:rsidR="00CE130F" w:rsidRPr="00CE130F">
        <w:rPr>
          <w:color w:val="000000"/>
        </w:rPr>
        <w:t>обављањем</w:t>
      </w:r>
      <w:r w:rsidR="000E0CDB" w:rsidRPr="00CE130F">
        <w:rPr>
          <w:color w:val="000000"/>
        </w:rPr>
        <w:t xml:space="preserve"> </w:t>
      </w:r>
      <w:r w:rsidR="00CE130F" w:rsidRPr="00CE130F">
        <w:rPr>
          <w:color w:val="000000"/>
        </w:rPr>
        <w:t>делатности</w:t>
      </w:r>
      <w:r w:rsidR="000E0CDB" w:rsidRPr="00CE130F">
        <w:rPr>
          <w:color w:val="000000"/>
        </w:rPr>
        <w:t xml:space="preserve"> </w:t>
      </w:r>
      <w:r w:rsidR="00CE130F" w:rsidRPr="00CE130F">
        <w:rPr>
          <w:color w:val="000000"/>
        </w:rPr>
        <w:t>дужан</w:t>
      </w:r>
      <w:r w:rsidR="000E0CDB" w:rsidRPr="00CE130F">
        <w:rPr>
          <w:color w:val="000000"/>
        </w:rPr>
        <w:t xml:space="preserve"> </w:t>
      </w:r>
      <w:r w:rsidR="00CE130F" w:rsidRPr="00CE130F">
        <w:rPr>
          <w:color w:val="000000"/>
        </w:rPr>
        <w:t>је</w:t>
      </w:r>
      <w:r w:rsidR="000E0CDB" w:rsidRPr="00CE130F">
        <w:rPr>
          <w:color w:val="000000"/>
        </w:rPr>
        <w:t xml:space="preserve"> </w:t>
      </w:r>
      <w:r w:rsidR="00CE130F" w:rsidRPr="00CE130F">
        <w:rPr>
          <w:color w:val="000000"/>
        </w:rPr>
        <w:t>да</w:t>
      </w:r>
      <w:r w:rsidR="000E0CDB" w:rsidRPr="00CE130F">
        <w:rPr>
          <w:color w:val="000000"/>
        </w:rPr>
        <w:t xml:space="preserve"> </w:t>
      </w:r>
      <w:r w:rsidR="00CE130F" w:rsidRPr="00CE130F">
        <w:rPr>
          <w:color w:val="000000"/>
        </w:rPr>
        <w:t>поднесе</w:t>
      </w:r>
      <w:r w:rsidR="000E0CDB" w:rsidRPr="00CE130F">
        <w:rPr>
          <w:color w:val="000000"/>
        </w:rPr>
        <w:t xml:space="preserve"> </w:t>
      </w:r>
      <w:r w:rsidR="00CE130F" w:rsidRPr="00CE130F">
        <w:rPr>
          <w:color w:val="000000"/>
        </w:rPr>
        <w:t>пореску</w:t>
      </w:r>
      <w:r w:rsidR="000E0CDB" w:rsidRPr="00CE130F">
        <w:rPr>
          <w:color w:val="000000"/>
        </w:rPr>
        <w:t xml:space="preserve"> </w:t>
      </w:r>
      <w:r w:rsidR="00CE130F" w:rsidRPr="00CE130F">
        <w:rPr>
          <w:color w:val="000000"/>
        </w:rPr>
        <w:t>пријаву</w:t>
      </w:r>
      <w:r w:rsidR="000E0CDB" w:rsidRPr="00CE130F">
        <w:rPr>
          <w:color w:val="000000"/>
        </w:rPr>
        <w:t xml:space="preserve"> </w:t>
      </w:r>
      <w:r w:rsidR="00CE130F" w:rsidRPr="00CE130F">
        <w:rPr>
          <w:color w:val="000000"/>
        </w:rPr>
        <w:t>у</w:t>
      </w:r>
      <w:r w:rsidR="000E0CDB" w:rsidRPr="00CE130F">
        <w:rPr>
          <w:color w:val="000000"/>
        </w:rPr>
        <w:t xml:space="preserve"> </w:t>
      </w:r>
      <w:r w:rsidR="00CE130F" w:rsidRPr="00CE130F">
        <w:rPr>
          <w:color w:val="000000"/>
        </w:rPr>
        <w:t>року</w:t>
      </w:r>
      <w:r w:rsidR="000E0CDB" w:rsidRPr="00CE130F">
        <w:rPr>
          <w:color w:val="000000"/>
        </w:rPr>
        <w:t xml:space="preserve"> </w:t>
      </w:r>
      <w:r w:rsidR="00CE130F" w:rsidRPr="00CE130F">
        <w:rPr>
          <w:color w:val="000000"/>
        </w:rPr>
        <w:t>од</w:t>
      </w:r>
      <w:r w:rsidR="000E0CDB" w:rsidRPr="00CE130F">
        <w:rPr>
          <w:color w:val="000000"/>
        </w:rPr>
        <w:t xml:space="preserve"> 15 </w:t>
      </w:r>
      <w:r w:rsidR="00CE130F" w:rsidRPr="00CE130F">
        <w:rPr>
          <w:color w:val="000000"/>
        </w:rPr>
        <w:t>дана</w:t>
      </w:r>
      <w:r w:rsidR="000E0CDB" w:rsidRPr="00CE130F">
        <w:rPr>
          <w:color w:val="000000"/>
        </w:rPr>
        <w:t xml:space="preserve"> </w:t>
      </w:r>
      <w:r w:rsidR="00CE130F" w:rsidRPr="00CE130F">
        <w:rPr>
          <w:color w:val="000000"/>
        </w:rPr>
        <w:t>од</w:t>
      </w:r>
      <w:r w:rsidR="000E0CDB" w:rsidRPr="00CE130F">
        <w:rPr>
          <w:color w:val="000000"/>
        </w:rPr>
        <w:t xml:space="preserve"> </w:t>
      </w:r>
      <w:r w:rsidR="00CE130F" w:rsidRPr="00CE130F">
        <w:rPr>
          <w:color w:val="000000"/>
        </w:rPr>
        <w:t>дана</w:t>
      </w:r>
      <w:r w:rsidR="000E0CDB" w:rsidRPr="00CE130F">
        <w:rPr>
          <w:color w:val="000000"/>
        </w:rPr>
        <w:t xml:space="preserve"> </w:t>
      </w:r>
      <w:r w:rsidR="00CE130F" w:rsidRPr="00CE130F">
        <w:rPr>
          <w:color w:val="000000"/>
        </w:rPr>
        <w:t>уписа</w:t>
      </w:r>
      <w:r w:rsidRPr="00CE130F">
        <w:rPr>
          <w:color w:val="000000"/>
        </w:rPr>
        <w:t xml:space="preserve"> </w:t>
      </w:r>
      <w:r w:rsidR="00CE130F" w:rsidRPr="00CE130F">
        <w:rPr>
          <w:color w:val="000000"/>
        </w:rPr>
        <w:t>у</w:t>
      </w:r>
      <w:r w:rsidRPr="00CE130F">
        <w:rPr>
          <w:color w:val="000000"/>
        </w:rPr>
        <w:t xml:space="preserve"> </w:t>
      </w:r>
      <w:r w:rsidR="00CE130F" w:rsidRPr="00CE130F">
        <w:rPr>
          <w:color w:val="000000"/>
        </w:rPr>
        <w:t>регистар</w:t>
      </w:r>
      <w:r w:rsidRPr="00CE130F">
        <w:rPr>
          <w:color w:val="000000"/>
        </w:rPr>
        <w:t xml:space="preserve"> </w:t>
      </w:r>
      <w:r w:rsidR="00CE130F" w:rsidRPr="00CE130F">
        <w:rPr>
          <w:color w:val="000000"/>
        </w:rPr>
        <w:t>надлежног</w:t>
      </w:r>
      <w:r w:rsidRPr="00CE130F">
        <w:rPr>
          <w:color w:val="000000"/>
        </w:rPr>
        <w:t xml:space="preserve"> </w:t>
      </w:r>
      <w:r w:rsidR="00CE130F" w:rsidRPr="00CE130F">
        <w:rPr>
          <w:color w:val="000000"/>
        </w:rPr>
        <w:t>органа</w:t>
      </w:r>
      <w:r w:rsidRPr="00CE130F">
        <w:rPr>
          <w:color w:val="000000"/>
          <w:lang w:val="sr-Cyrl-CS"/>
        </w:rPr>
        <w:t xml:space="preserve">, у којој </w:t>
      </w:r>
      <w:r w:rsidR="00CE130F" w:rsidRPr="00CE130F">
        <w:rPr>
          <w:color w:val="000000"/>
        </w:rPr>
        <w:t>даје</w:t>
      </w:r>
      <w:r w:rsidR="000E0CDB" w:rsidRPr="00CE130F">
        <w:rPr>
          <w:color w:val="000000"/>
        </w:rPr>
        <w:t xml:space="preserve"> </w:t>
      </w:r>
      <w:r w:rsidR="00CE130F" w:rsidRPr="00CE130F">
        <w:rPr>
          <w:color w:val="000000"/>
        </w:rPr>
        <w:t>процену</w:t>
      </w:r>
      <w:r w:rsidRPr="00CE130F">
        <w:rPr>
          <w:color w:val="000000"/>
        </w:rPr>
        <w:t xml:space="preserve"> </w:t>
      </w:r>
      <w:r w:rsidR="00CE130F" w:rsidRPr="00CE130F">
        <w:rPr>
          <w:color w:val="000000"/>
        </w:rPr>
        <w:t>прихода</w:t>
      </w:r>
      <w:r w:rsidRPr="00CE130F">
        <w:rPr>
          <w:color w:val="000000"/>
        </w:rPr>
        <w:t xml:space="preserve">, </w:t>
      </w:r>
      <w:r w:rsidR="00CE130F" w:rsidRPr="00CE130F">
        <w:rPr>
          <w:color w:val="000000"/>
        </w:rPr>
        <w:t>расхода</w:t>
      </w:r>
      <w:r w:rsidRPr="00CE130F">
        <w:rPr>
          <w:color w:val="000000"/>
        </w:rPr>
        <w:t xml:space="preserve"> </w:t>
      </w:r>
      <w:r w:rsidR="00CE130F" w:rsidRPr="00CE130F">
        <w:rPr>
          <w:color w:val="000000"/>
        </w:rPr>
        <w:t>и</w:t>
      </w:r>
      <w:r w:rsidRPr="00CE130F">
        <w:rPr>
          <w:color w:val="000000"/>
        </w:rPr>
        <w:t xml:space="preserve"> </w:t>
      </w:r>
      <w:r w:rsidR="00CE130F" w:rsidRPr="00CE130F">
        <w:rPr>
          <w:color w:val="000000"/>
        </w:rPr>
        <w:t>добити</w:t>
      </w:r>
      <w:r w:rsidRPr="00CE130F">
        <w:rPr>
          <w:color w:val="000000"/>
          <w:lang w:val="sr-Cyrl-CS"/>
        </w:rPr>
        <w:t xml:space="preserve">. </w:t>
      </w:r>
      <w:r w:rsidR="00CE130F" w:rsidRPr="00CE130F">
        <w:rPr>
          <w:color w:val="000000"/>
        </w:rPr>
        <w:t>У</w:t>
      </w:r>
      <w:r w:rsidR="000E0CDB" w:rsidRPr="00CE130F">
        <w:rPr>
          <w:color w:val="000000"/>
        </w:rPr>
        <w:t xml:space="preserve"> </w:t>
      </w:r>
      <w:r w:rsidR="00CE130F" w:rsidRPr="00CE130F">
        <w:rPr>
          <w:color w:val="000000"/>
        </w:rPr>
        <w:t>пореској</w:t>
      </w:r>
      <w:r w:rsidR="000E0CDB" w:rsidRPr="00CE130F">
        <w:rPr>
          <w:color w:val="000000"/>
        </w:rPr>
        <w:t xml:space="preserve"> </w:t>
      </w:r>
      <w:r w:rsidR="00CE130F" w:rsidRPr="00CE130F">
        <w:rPr>
          <w:color w:val="000000"/>
        </w:rPr>
        <w:t>пријави</w:t>
      </w:r>
      <w:r w:rsidR="000E0CDB" w:rsidRPr="00CE130F">
        <w:rPr>
          <w:color w:val="000000"/>
        </w:rPr>
        <w:t xml:space="preserve"> </w:t>
      </w:r>
      <w:r w:rsidR="00CE130F" w:rsidRPr="00CE130F">
        <w:rPr>
          <w:color w:val="000000"/>
        </w:rPr>
        <w:t>обвезник</w:t>
      </w:r>
      <w:r w:rsidR="000E0CDB" w:rsidRPr="00CE130F">
        <w:rPr>
          <w:color w:val="000000"/>
        </w:rPr>
        <w:t xml:space="preserve"> </w:t>
      </w:r>
      <w:r w:rsidR="00CE130F" w:rsidRPr="00CE130F">
        <w:rPr>
          <w:color w:val="000000"/>
        </w:rPr>
        <w:t>обрачунава</w:t>
      </w:r>
      <w:r w:rsidR="000E0CDB" w:rsidRPr="00CE130F">
        <w:rPr>
          <w:color w:val="000000"/>
        </w:rPr>
        <w:t xml:space="preserve"> </w:t>
      </w:r>
      <w:r w:rsidR="00CE130F" w:rsidRPr="00CE130F">
        <w:rPr>
          <w:color w:val="000000"/>
        </w:rPr>
        <w:t>и</w:t>
      </w:r>
      <w:r w:rsidR="000E0CDB" w:rsidRPr="00CE130F">
        <w:rPr>
          <w:color w:val="000000"/>
        </w:rPr>
        <w:t xml:space="preserve"> </w:t>
      </w:r>
      <w:r w:rsidR="00CE130F" w:rsidRPr="00CE130F">
        <w:rPr>
          <w:color w:val="000000"/>
        </w:rPr>
        <w:t>месечни</w:t>
      </w:r>
      <w:r w:rsidR="000E0CDB" w:rsidRPr="00CE130F">
        <w:rPr>
          <w:color w:val="000000"/>
        </w:rPr>
        <w:t xml:space="preserve"> </w:t>
      </w:r>
      <w:r w:rsidR="00CE130F" w:rsidRPr="00CE130F">
        <w:rPr>
          <w:color w:val="000000"/>
        </w:rPr>
        <w:t>износ</w:t>
      </w:r>
      <w:r w:rsidR="000E0CDB" w:rsidRPr="00CE130F">
        <w:rPr>
          <w:color w:val="000000"/>
        </w:rPr>
        <w:t xml:space="preserve"> </w:t>
      </w:r>
      <w:r w:rsidR="00CE130F" w:rsidRPr="00CE130F">
        <w:rPr>
          <w:color w:val="000000"/>
        </w:rPr>
        <w:t>аконтације</w:t>
      </w:r>
      <w:r w:rsidR="000E0CDB" w:rsidRPr="00CE130F">
        <w:rPr>
          <w:color w:val="000000"/>
        </w:rPr>
        <w:t xml:space="preserve"> </w:t>
      </w:r>
      <w:r w:rsidR="00CE130F" w:rsidRPr="00CE130F">
        <w:rPr>
          <w:color w:val="000000"/>
        </w:rPr>
        <w:t>пореза</w:t>
      </w:r>
      <w:r w:rsidR="000E0CDB" w:rsidRPr="00CE130F">
        <w:rPr>
          <w:color w:val="000000"/>
        </w:rPr>
        <w:t xml:space="preserve"> </w:t>
      </w:r>
      <w:r w:rsidR="00CE130F" w:rsidRPr="00CE130F">
        <w:rPr>
          <w:color w:val="000000"/>
        </w:rPr>
        <w:t>на</w:t>
      </w:r>
      <w:r w:rsidR="000E0CDB" w:rsidRPr="00CE130F">
        <w:rPr>
          <w:color w:val="000000"/>
        </w:rPr>
        <w:t xml:space="preserve"> </w:t>
      </w:r>
      <w:r w:rsidR="00CE130F" w:rsidRPr="00CE130F">
        <w:rPr>
          <w:color w:val="000000"/>
        </w:rPr>
        <w:t>добит</w:t>
      </w:r>
      <w:r w:rsidR="000E0CDB" w:rsidRPr="00CE130F">
        <w:rPr>
          <w:color w:val="000000"/>
        </w:rPr>
        <w:t>.</w:t>
      </w:r>
      <w:r w:rsidR="00CE130F" w:rsidRPr="00CE130F">
        <w:rPr>
          <w:rStyle w:val="FootnoteReference"/>
          <w:color w:val="000000"/>
        </w:rPr>
        <w:footnoteReference w:id="242"/>
      </w:r>
    </w:p>
    <w:p w:rsidR="000E0CDB" w:rsidRPr="00B90C1E" w:rsidRDefault="000E0CDB" w:rsidP="00B90C1E">
      <w:pPr>
        <w:pStyle w:val="normal0"/>
        <w:shd w:val="clear" w:color="auto" w:fill="FFFFFF"/>
        <w:spacing w:before="48" w:beforeAutospacing="0" w:after="48" w:afterAutospacing="0"/>
        <w:ind w:firstLine="708"/>
        <w:jc w:val="both"/>
        <w:rPr>
          <w:color w:val="000000"/>
          <w:lang w:val="sr-Cyrl-CS"/>
        </w:rPr>
      </w:pPr>
      <w:r w:rsidRPr="00B90C1E">
        <w:rPr>
          <w:lang w:val="sr-Cyrl-CS"/>
        </w:rPr>
        <w:t xml:space="preserve"> </w:t>
      </w:r>
    </w:p>
    <w:p w:rsidR="00B90C1E" w:rsidRDefault="00CE130F" w:rsidP="003A57BB">
      <w:pPr>
        <w:ind w:firstLine="708"/>
        <w:jc w:val="both"/>
        <w:rPr>
          <w:rFonts w:ascii="Times New Roman" w:hAnsi="Times New Roman"/>
          <w:sz w:val="24"/>
          <w:szCs w:val="24"/>
          <w:lang w:val="sr-Cyrl-CS"/>
        </w:rPr>
      </w:pPr>
      <w:r>
        <w:rPr>
          <w:rFonts w:ascii="Times New Roman" w:hAnsi="Times New Roman"/>
          <w:sz w:val="24"/>
          <w:szCs w:val="24"/>
          <w:lang w:val="sr-Cyrl-CS"/>
        </w:rPr>
        <w:t>Код</w:t>
      </w:r>
      <w:r w:rsidR="00622F6A">
        <w:rPr>
          <w:rFonts w:ascii="Times New Roman" w:hAnsi="Times New Roman"/>
          <w:sz w:val="24"/>
          <w:szCs w:val="24"/>
          <w:lang w:val="sr-Cyrl-CS"/>
        </w:rPr>
        <w:t xml:space="preserve"> овог пореског облика вели</w:t>
      </w:r>
      <w:r>
        <w:rPr>
          <w:rFonts w:ascii="Times New Roman" w:hAnsi="Times New Roman"/>
          <w:sz w:val="24"/>
          <w:szCs w:val="24"/>
          <w:lang w:val="sr-Cyrl-CS"/>
        </w:rPr>
        <w:t>ке су могућности евазије пореза, због његове сложености.</w:t>
      </w:r>
      <w:r w:rsidR="00622F6A">
        <w:rPr>
          <w:rFonts w:ascii="Times New Roman" w:hAnsi="Times New Roman"/>
          <w:sz w:val="24"/>
          <w:szCs w:val="24"/>
          <w:lang w:val="sr-Cyrl-CS"/>
        </w:rPr>
        <w:t xml:space="preserve"> </w:t>
      </w:r>
      <w:r w:rsidR="006C44E7">
        <w:rPr>
          <w:rFonts w:ascii="Times New Roman" w:hAnsi="Times New Roman"/>
          <w:sz w:val="24"/>
          <w:szCs w:val="24"/>
          <w:lang w:val="sr-Cyrl-CS"/>
        </w:rPr>
        <w:t>Исто тако порески обвезници у циљу избегавања плаћања овог пореског облика могу користити не само правне празнине у пореским прописима, него и правне празнине у рачуноводственим прописима, имајући у виду да се порески биланс значајно ослања на податке из пословног биланса и рачуновдстве податке. Због свега тога тачност прокњижених података је веома значајна. Правне празнине снижавају опорезиву добит и самим тим обрачунати порез. Према томе, нејасно формулисана правна норма пружа велики простор пореским обвезницима да законито умањују порез на добит правних лица.</w:t>
      </w:r>
      <w:r w:rsidR="00574E49">
        <w:rPr>
          <w:rFonts w:ascii="Times New Roman" w:hAnsi="Times New Roman"/>
          <w:sz w:val="24"/>
          <w:szCs w:val="24"/>
          <w:lang w:val="sr-Cyrl-CS"/>
        </w:rPr>
        <w:t xml:space="preserve"> </w:t>
      </w:r>
    </w:p>
    <w:p w:rsidR="003A57BB" w:rsidRPr="003A57BB" w:rsidRDefault="003A57BB" w:rsidP="003A57BB">
      <w:pPr>
        <w:ind w:firstLine="708"/>
        <w:jc w:val="both"/>
        <w:rPr>
          <w:rFonts w:ascii="Times New Roman" w:hAnsi="Times New Roman"/>
          <w:sz w:val="24"/>
          <w:szCs w:val="24"/>
          <w:lang w:val="sr-Cyrl-CS"/>
        </w:rPr>
      </w:pPr>
    </w:p>
    <w:p w:rsidR="00C062AC" w:rsidRDefault="00574E49" w:rsidP="00D57F68">
      <w:pPr>
        <w:pStyle w:val="ListParagraph"/>
        <w:numPr>
          <w:ilvl w:val="2"/>
          <w:numId w:val="3"/>
        </w:numPr>
        <w:jc w:val="center"/>
        <w:rPr>
          <w:rFonts w:ascii="Times New Roman" w:hAnsi="Times New Roman"/>
          <w:b/>
          <w:sz w:val="24"/>
          <w:szCs w:val="24"/>
          <w:lang w:val="sr-Cyrl-CS"/>
        </w:rPr>
      </w:pPr>
      <w:r w:rsidRPr="00D57F68">
        <w:rPr>
          <w:rFonts w:ascii="Times New Roman" w:hAnsi="Times New Roman"/>
          <w:b/>
          <w:sz w:val="24"/>
          <w:szCs w:val="24"/>
          <w:lang w:val="sr-Cyrl-CS"/>
        </w:rPr>
        <w:t>Порески обвезник</w:t>
      </w:r>
    </w:p>
    <w:p w:rsidR="003A57BB" w:rsidRPr="00D57F68" w:rsidRDefault="003A57BB" w:rsidP="003A57BB">
      <w:pPr>
        <w:pStyle w:val="ListParagraph"/>
        <w:ind w:left="1429"/>
        <w:rPr>
          <w:rFonts w:ascii="Times New Roman" w:hAnsi="Times New Roman"/>
          <w:b/>
          <w:sz w:val="24"/>
          <w:szCs w:val="24"/>
          <w:lang w:val="sr-Cyrl-CS"/>
        </w:rPr>
      </w:pPr>
    </w:p>
    <w:p w:rsidR="00D57F68" w:rsidRPr="00D57F68" w:rsidRDefault="00D57F68" w:rsidP="00D57F68">
      <w:pPr>
        <w:pStyle w:val="ListParagraph"/>
        <w:ind w:left="1429"/>
        <w:jc w:val="center"/>
        <w:rPr>
          <w:rFonts w:ascii="Times New Roman" w:hAnsi="Times New Roman"/>
          <w:b/>
          <w:sz w:val="24"/>
          <w:szCs w:val="24"/>
          <w:lang w:val="sr-Cyrl-CS"/>
        </w:rPr>
      </w:pPr>
    </w:p>
    <w:p w:rsidR="00A556CD" w:rsidRDefault="00FF51AE" w:rsidP="00537A03">
      <w:pPr>
        <w:ind w:firstLine="708"/>
        <w:jc w:val="both"/>
        <w:rPr>
          <w:rFonts w:ascii="Times New Roman" w:hAnsi="Times New Roman"/>
          <w:sz w:val="24"/>
          <w:szCs w:val="24"/>
          <w:lang w:val="sr-Cyrl-CS"/>
        </w:rPr>
      </w:pPr>
      <w:r>
        <w:rPr>
          <w:rFonts w:ascii="Times New Roman" w:hAnsi="Times New Roman"/>
          <w:sz w:val="24"/>
          <w:szCs w:val="24"/>
          <w:lang w:val="sr-Cyrl-CS"/>
        </w:rPr>
        <w:t>Порез на добит правних лица р</w:t>
      </w:r>
      <w:r w:rsidR="00771947">
        <w:rPr>
          <w:rFonts w:ascii="Times New Roman" w:hAnsi="Times New Roman"/>
          <w:sz w:val="24"/>
          <w:szCs w:val="24"/>
          <w:lang w:val="sr-Cyrl-CS"/>
        </w:rPr>
        <w:t>егулисан је у Републици Србији Законом о порезу на добит правних лица.</w:t>
      </w:r>
      <w:r w:rsidR="00771947">
        <w:rPr>
          <w:rStyle w:val="FootnoteReference"/>
          <w:rFonts w:ascii="Times New Roman" w:hAnsi="Times New Roman"/>
          <w:sz w:val="24"/>
          <w:szCs w:val="24"/>
          <w:lang w:val="sr-Cyrl-CS"/>
        </w:rPr>
        <w:footnoteReference w:id="243"/>
      </w:r>
      <w:r w:rsidR="00771947">
        <w:rPr>
          <w:rFonts w:ascii="Times New Roman" w:hAnsi="Times New Roman"/>
          <w:sz w:val="24"/>
          <w:szCs w:val="24"/>
          <w:lang w:val="sr-Cyrl-CS"/>
        </w:rPr>
        <w:t xml:space="preserve"> </w:t>
      </w:r>
      <w:r w:rsidR="00A556CD">
        <w:rPr>
          <w:rFonts w:ascii="Times New Roman" w:hAnsi="Times New Roman"/>
          <w:sz w:val="24"/>
          <w:szCs w:val="24"/>
          <w:lang w:val="sr-Cyrl-CS"/>
        </w:rPr>
        <w:t xml:space="preserve">Порески обвезник овог пореза може бити акционарско друштво, друштво са ограниченом одговорношћу, ортачко друштво, командитно </w:t>
      </w:r>
      <w:r w:rsidR="00A556CD">
        <w:rPr>
          <w:rFonts w:ascii="Times New Roman" w:hAnsi="Times New Roman"/>
          <w:sz w:val="24"/>
          <w:szCs w:val="24"/>
          <w:lang w:val="sr-Cyrl-CS"/>
        </w:rPr>
        <w:lastRenderedPageBreak/>
        <w:t>друштво, јавно предузеће, друштвено предузеће односно друго правно лице које остварује приходе продајом производа на тржишту или вршењем услуга уз накнаду, као и задруга која остварује приходе продајом производа на тржишту или вршењем услуга уз накнаду.</w:t>
      </w:r>
      <w:r w:rsidR="000F630E">
        <w:rPr>
          <w:rFonts w:ascii="Times New Roman" w:hAnsi="Times New Roman"/>
          <w:sz w:val="24"/>
          <w:szCs w:val="24"/>
          <w:lang w:val="sr-Cyrl-CS"/>
        </w:rPr>
        <w:t xml:space="preserve"> Према томе, овај порески облик се односи како на друштва капитала, тако и на друштва лица. Међутим, на почетку примене у нашем пореском систему, овај порески облик се звао порез на добит корпорација и порески обвезници су била само друштва капитала, а друштва лица су била обвезници пореза на доходак грађана</w:t>
      </w:r>
      <w:r w:rsidR="000F630E">
        <w:rPr>
          <w:rStyle w:val="FootnoteReference"/>
          <w:rFonts w:ascii="Times New Roman" w:hAnsi="Times New Roman"/>
          <w:sz w:val="24"/>
          <w:szCs w:val="24"/>
          <w:lang w:val="sr-Cyrl-CS"/>
        </w:rPr>
        <w:footnoteReference w:id="244"/>
      </w:r>
      <w:r w:rsidR="000F630E">
        <w:rPr>
          <w:rFonts w:ascii="Times New Roman" w:hAnsi="Times New Roman"/>
          <w:sz w:val="24"/>
          <w:szCs w:val="24"/>
          <w:lang w:val="sr-Cyrl-CS"/>
        </w:rPr>
        <w:t>.</w:t>
      </w:r>
    </w:p>
    <w:p w:rsidR="00A556CD" w:rsidRDefault="00A556CD" w:rsidP="00BE1A29">
      <w:pPr>
        <w:ind w:firstLine="360"/>
        <w:jc w:val="both"/>
        <w:rPr>
          <w:rFonts w:ascii="Times New Roman" w:hAnsi="Times New Roman"/>
          <w:sz w:val="24"/>
          <w:szCs w:val="24"/>
          <w:lang w:val="sr-Cyrl-CS"/>
        </w:rPr>
      </w:pPr>
      <w:r>
        <w:rPr>
          <w:rFonts w:ascii="Times New Roman" w:hAnsi="Times New Roman"/>
          <w:sz w:val="24"/>
          <w:szCs w:val="24"/>
          <w:lang w:val="sr-Cyrl-CS"/>
        </w:rPr>
        <w:t>Прави се разлика између три врсте пореских обвезника:</w:t>
      </w:r>
      <w:r w:rsidR="00BE1A29">
        <w:rPr>
          <w:rFonts w:ascii="Times New Roman" w:hAnsi="Times New Roman"/>
          <w:sz w:val="24"/>
          <w:szCs w:val="24"/>
          <w:lang w:val="sr-Cyrl-CS"/>
        </w:rPr>
        <w:t xml:space="preserve"> р</w:t>
      </w:r>
      <w:r>
        <w:rPr>
          <w:rFonts w:ascii="Times New Roman" w:hAnsi="Times New Roman"/>
          <w:sz w:val="24"/>
          <w:szCs w:val="24"/>
          <w:lang w:val="sr-Cyrl-CS"/>
        </w:rPr>
        <w:t>езидентни обвезник</w:t>
      </w:r>
      <w:r w:rsidR="00BE1A29">
        <w:rPr>
          <w:rFonts w:ascii="Times New Roman" w:hAnsi="Times New Roman"/>
          <w:sz w:val="24"/>
          <w:szCs w:val="24"/>
          <w:lang w:val="sr-Cyrl-CS"/>
        </w:rPr>
        <w:t>, н</w:t>
      </w:r>
      <w:r>
        <w:rPr>
          <w:rFonts w:ascii="Times New Roman" w:hAnsi="Times New Roman"/>
          <w:sz w:val="24"/>
          <w:szCs w:val="24"/>
          <w:lang w:val="sr-Cyrl-CS"/>
        </w:rPr>
        <w:t>ерезидентни обвезник</w:t>
      </w:r>
      <w:r w:rsidR="00BE1A29">
        <w:rPr>
          <w:rFonts w:ascii="Times New Roman" w:hAnsi="Times New Roman"/>
          <w:sz w:val="24"/>
          <w:szCs w:val="24"/>
          <w:lang w:val="sr-Cyrl-CS"/>
        </w:rPr>
        <w:t xml:space="preserve"> и не</w:t>
      </w:r>
      <w:r>
        <w:rPr>
          <w:rFonts w:ascii="Times New Roman" w:hAnsi="Times New Roman"/>
          <w:sz w:val="24"/>
          <w:szCs w:val="24"/>
          <w:lang w:val="sr-Cyrl-CS"/>
        </w:rPr>
        <w:t>резидентно правно лице из јурисдикције са преференцијалним пореским системом</w:t>
      </w:r>
      <w:r w:rsidR="00BE1A29">
        <w:rPr>
          <w:rFonts w:ascii="Times New Roman" w:hAnsi="Times New Roman"/>
          <w:sz w:val="24"/>
          <w:szCs w:val="24"/>
          <w:lang w:val="sr-Cyrl-CS"/>
        </w:rPr>
        <w:t xml:space="preserve">. </w:t>
      </w:r>
    </w:p>
    <w:p w:rsidR="000F5FCA" w:rsidRDefault="00771947" w:rsidP="00537A03">
      <w:pPr>
        <w:ind w:firstLine="360"/>
        <w:jc w:val="both"/>
        <w:rPr>
          <w:rFonts w:ascii="Times New Roman" w:hAnsi="Times New Roman"/>
          <w:sz w:val="24"/>
          <w:szCs w:val="24"/>
          <w:lang w:val="sr-Cyrl-CS"/>
        </w:rPr>
      </w:pPr>
      <w:r>
        <w:rPr>
          <w:rFonts w:ascii="Times New Roman" w:hAnsi="Times New Roman"/>
          <w:sz w:val="24"/>
          <w:szCs w:val="24"/>
          <w:lang w:val="sr-Cyrl-CS"/>
        </w:rPr>
        <w:t>Порески обв</w:t>
      </w:r>
      <w:r w:rsidR="007C267D">
        <w:rPr>
          <w:rFonts w:ascii="Times New Roman" w:hAnsi="Times New Roman"/>
          <w:sz w:val="24"/>
          <w:szCs w:val="24"/>
          <w:lang w:val="sr-Cyrl-CS"/>
        </w:rPr>
        <w:t>езник је резидент Републике Србије који подлеже опорезвању добити коју оствари на територији Републике Србије или изван ње. Резидент је правно лице које је основано или има место стварне управе и контроле на територији Р</w:t>
      </w:r>
      <w:r w:rsidR="00537A03">
        <w:rPr>
          <w:rFonts w:ascii="Times New Roman" w:hAnsi="Times New Roman"/>
          <w:sz w:val="24"/>
          <w:szCs w:val="24"/>
          <w:lang w:val="sr-Cyrl-CS"/>
        </w:rPr>
        <w:t>епублике. Порески обвезник је</w:t>
      </w:r>
      <w:r w:rsidR="007C267D">
        <w:rPr>
          <w:rFonts w:ascii="Times New Roman" w:hAnsi="Times New Roman"/>
          <w:sz w:val="24"/>
          <w:szCs w:val="24"/>
          <w:lang w:val="sr-Cyrl-CS"/>
        </w:rPr>
        <w:t xml:space="preserve"> и нерезидент који подлеже опорезивању добити коју оствари пословањем преко сталне пословне јединице која се налази на територији Републике. Нерезидент је правно лице  које је основано или има место стварне управе и контроле ван територије Републике.</w:t>
      </w:r>
      <w:r w:rsidR="00A556CD">
        <w:rPr>
          <w:rFonts w:ascii="Times New Roman" w:hAnsi="Times New Roman"/>
          <w:sz w:val="24"/>
          <w:szCs w:val="24"/>
          <w:lang w:val="sr-Cyrl-CS"/>
        </w:rPr>
        <w:t xml:space="preserve"> </w:t>
      </w:r>
      <w:r w:rsidR="00537A03">
        <w:rPr>
          <w:rFonts w:ascii="Times New Roman" w:hAnsi="Times New Roman"/>
          <w:sz w:val="24"/>
          <w:szCs w:val="24"/>
          <w:lang w:val="sr-Cyrl-CS"/>
        </w:rPr>
        <w:t xml:space="preserve"> </w:t>
      </w:r>
    </w:p>
    <w:p w:rsidR="00A556CD" w:rsidRDefault="00537A03" w:rsidP="00537A03">
      <w:pPr>
        <w:pStyle w:val="normal0"/>
        <w:shd w:val="clear" w:color="auto" w:fill="FFFFFF"/>
        <w:spacing w:before="48" w:beforeAutospacing="0" w:after="48" w:afterAutospacing="0"/>
        <w:ind w:firstLine="360"/>
        <w:rPr>
          <w:color w:val="000000"/>
          <w:lang w:val="sr-Cyrl-CS"/>
        </w:rPr>
      </w:pPr>
      <w:r w:rsidRPr="00537A03">
        <w:rPr>
          <w:color w:val="000000"/>
          <w:lang w:val="sr-Cyrl-CS"/>
        </w:rPr>
        <w:t>Нерезидентним</w:t>
      </w:r>
      <w:r w:rsidR="00A556CD" w:rsidRPr="00537A03">
        <w:rPr>
          <w:color w:val="000000"/>
          <w:lang w:val="sr-Cyrl-CS"/>
        </w:rPr>
        <w:t xml:space="preserve"> </w:t>
      </w:r>
      <w:r w:rsidRPr="00537A03">
        <w:rPr>
          <w:color w:val="000000"/>
          <w:lang w:val="sr-Cyrl-CS"/>
        </w:rPr>
        <w:t>правним</w:t>
      </w:r>
      <w:r w:rsidR="00A556CD" w:rsidRPr="00537A03">
        <w:rPr>
          <w:color w:val="000000"/>
          <w:lang w:val="sr-Cyrl-CS"/>
        </w:rPr>
        <w:t xml:space="preserve"> </w:t>
      </w:r>
      <w:r w:rsidRPr="00537A03">
        <w:rPr>
          <w:color w:val="000000"/>
          <w:lang w:val="sr-Cyrl-CS"/>
        </w:rPr>
        <w:t>лицем</w:t>
      </w:r>
      <w:r w:rsidR="00A556CD" w:rsidRPr="00537A03">
        <w:rPr>
          <w:color w:val="000000"/>
          <w:lang w:val="sr-Cyrl-CS"/>
        </w:rPr>
        <w:t xml:space="preserve"> </w:t>
      </w:r>
      <w:r w:rsidRPr="00537A03">
        <w:rPr>
          <w:color w:val="000000"/>
          <w:lang w:val="sr-Cyrl-CS"/>
        </w:rPr>
        <w:t>из</w:t>
      </w:r>
      <w:r w:rsidR="00A556CD" w:rsidRPr="00537A03">
        <w:rPr>
          <w:color w:val="000000"/>
          <w:lang w:val="sr-Cyrl-CS"/>
        </w:rPr>
        <w:t xml:space="preserve"> </w:t>
      </w:r>
      <w:r w:rsidRPr="00537A03">
        <w:rPr>
          <w:color w:val="000000"/>
          <w:lang w:val="sr-Cyrl-CS"/>
        </w:rPr>
        <w:t>јурисдикције</w:t>
      </w:r>
      <w:r w:rsidR="00A556CD" w:rsidRPr="00537A03">
        <w:rPr>
          <w:color w:val="000000"/>
          <w:lang w:val="sr-Cyrl-CS"/>
        </w:rPr>
        <w:t xml:space="preserve"> </w:t>
      </w:r>
      <w:r w:rsidRPr="00537A03">
        <w:rPr>
          <w:color w:val="000000"/>
          <w:lang w:val="sr-Cyrl-CS"/>
        </w:rPr>
        <w:t>са</w:t>
      </w:r>
      <w:r w:rsidR="00A556CD" w:rsidRPr="00537A03">
        <w:rPr>
          <w:color w:val="000000"/>
          <w:lang w:val="sr-Cyrl-CS"/>
        </w:rPr>
        <w:t xml:space="preserve"> </w:t>
      </w:r>
      <w:r w:rsidRPr="00537A03">
        <w:rPr>
          <w:color w:val="000000"/>
          <w:lang w:val="sr-Cyrl-CS"/>
        </w:rPr>
        <w:t>преференцијалним</w:t>
      </w:r>
      <w:r w:rsidR="00A556CD" w:rsidRPr="00537A03">
        <w:rPr>
          <w:color w:val="000000"/>
          <w:lang w:val="sr-Cyrl-CS"/>
        </w:rPr>
        <w:t xml:space="preserve"> </w:t>
      </w:r>
      <w:r w:rsidRPr="00537A03">
        <w:rPr>
          <w:color w:val="000000"/>
          <w:lang w:val="sr-Cyrl-CS"/>
        </w:rPr>
        <w:t>пореским</w:t>
      </w:r>
      <w:r w:rsidR="00A556CD" w:rsidRPr="00537A03">
        <w:rPr>
          <w:color w:val="000000"/>
          <w:lang w:val="sr-Cyrl-CS"/>
        </w:rPr>
        <w:t xml:space="preserve"> </w:t>
      </w:r>
      <w:r w:rsidRPr="00537A03">
        <w:rPr>
          <w:color w:val="000000"/>
          <w:lang w:val="sr-Cyrl-CS"/>
        </w:rPr>
        <w:t>системом</w:t>
      </w:r>
      <w:r>
        <w:rPr>
          <w:rStyle w:val="FootnoteReference"/>
          <w:color w:val="000000"/>
          <w:lang w:val="sr-Cyrl-CS"/>
        </w:rPr>
        <w:footnoteReference w:id="245"/>
      </w:r>
      <w:r w:rsidR="00A556CD" w:rsidRPr="00537A03">
        <w:rPr>
          <w:color w:val="000000"/>
          <w:lang w:val="sr-Cyrl-CS"/>
        </w:rPr>
        <w:t xml:space="preserve"> </w:t>
      </w:r>
      <w:r w:rsidRPr="00537A03">
        <w:rPr>
          <w:color w:val="000000"/>
          <w:lang w:val="sr-Cyrl-CS"/>
        </w:rPr>
        <w:t>сматра</w:t>
      </w:r>
      <w:r w:rsidR="00A556CD" w:rsidRPr="00537A03">
        <w:rPr>
          <w:color w:val="000000"/>
          <w:lang w:val="sr-Cyrl-CS"/>
        </w:rPr>
        <w:t xml:space="preserve"> </w:t>
      </w:r>
      <w:r w:rsidRPr="00537A03">
        <w:rPr>
          <w:color w:val="000000"/>
          <w:lang w:val="sr-Cyrl-CS"/>
        </w:rPr>
        <w:t>се</w:t>
      </w:r>
      <w:r w:rsidR="00A556CD" w:rsidRPr="00537A03">
        <w:rPr>
          <w:color w:val="000000"/>
          <w:lang w:val="sr-Cyrl-CS"/>
        </w:rPr>
        <w:t xml:space="preserve"> </w:t>
      </w:r>
      <w:r w:rsidRPr="00537A03">
        <w:rPr>
          <w:color w:val="000000"/>
          <w:lang w:val="sr-Cyrl-CS"/>
        </w:rPr>
        <w:t>нерезидентно</w:t>
      </w:r>
      <w:r w:rsidR="00A556CD" w:rsidRPr="00537A03">
        <w:rPr>
          <w:color w:val="000000"/>
          <w:lang w:val="sr-Cyrl-CS"/>
        </w:rPr>
        <w:t xml:space="preserve"> </w:t>
      </w:r>
      <w:r w:rsidRPr="00537A03">
        <w:rPr>
          <w:color w:val="000000"/>
          <w:lang w:val="sr-Cyrl-CS"/>
        </w:rPr>
        <w:t>правно</w:t>
      </w:r>
      <w:r w:rsidR="00A556CD" w:rsidRPr="00537A03">
        <w:rPr>
          <w:color w:val="000000"/>
          <w:lang w:val="sr-Cyrl-CS"/>
        </w:rPr>
        <w:t xml:space="preserve"> </w:t>
      </w:r>
      <w:r w:rsidRPr="00537A03">
        <w:rPr>
          <w:color w:val="000000"/>
          <w:lang w:val="sr-Cyrl-CS"/>
        </w:rPr>
        <w:t>лице</w:t>
      </w:r>
      <w:r w:rsidR="00A556CD" w:rsidRPr="00537A03">
        <w:rPr>
          <w:color w:val="000000"/>
          <w:lang w:val="sr-Cyrl-CS"/>
        </w:rPr>
        <w:t xml:space="preserve"> </w:t>
      </w:r>
      <w:r w:rsidRPr="00537A03">
        <w:rPr>
          <w:color w:val="000000"/>
          <w:lang w:val="sr-Cyrl-CS"/>
        </w:rPr>
        <w:t>које</w:t>
      </w:r>
      <w:r w:rsidR="00A556CD" w:rsidRPr="00537A03">
        <w:rPr>
          <w:color w:val="000000"/>
          <w:lang w:val="sr-Cyrl-CS"/>
        </w:rPr>
        <w:t>:</w:t>
      </w:r>
    </w:p>
    <w:p w:rsidR="00537A03" w:rsidRPr="00537A03" w:rsidRDefault="00537A03" w:rsidP="00537A03">
      <w:pPr>
        <w:pStyle w:val="normal0"/>
        <w:shd w:val="clear" w:color="auto" w:fill="FFFFFF"/>
        <w:spacing w:before="48" w:beforeAutospacing="0" w:after="48" w:afterAutospacing="0"/>
        <w:ind w:firstLine="360"/>
        <w:rPr>
          <w:color w:val="000000"/>
          <w:lang w:val="sr-Cyrl-CS"/>
        </w:rPr>
      </w:pPr>
    </w:p>
    <w:p w:rsidR="00A556CD" w:rsidRDefault="00537A03" w:rsidP="008A3795">
      <w:pPr>
        <w:pStyle w:val="normal0"/>
        <w:numPr>
          <w:ilvl w:val="0"/>
          <w:numId w:val="51"/>
        </w:numPr>
        <w:shd w:val="clear" w:color="auto" w:fill="FFFFFF"/>
        <w:spacing w:before="48" w:beforeAutospacing="0" w:after="48" w:afterAutospacing="0"/>
        <w:rPr>
          <w:color w:val="000000"/>
          <w:lang w:val="sr-Cyrl-CS"/>
        </w:rPr>
      </w:pPr>
      <w:r w:rsidRPr="00537A03">
        <w:rPr>
          <w:color w:val="000000"/>
          <w:lang w:val="sr-Cyrl-CS"/>
        </w:rPr>
        <w:t>је</w:t>
      </w:r>
      <w:r w:rsidR="00A556CD" w:rsidRPr="00537A03">
        <w:rPr>
          <w:color w:val="000000"/>
          <w:lang w:val="sr-Cyrl-CS"/>
        </w:rPr>
        <w:t xml:space="preserve"> </w:t>
      </w:r>
      <w:r w:rsidRPr="00537A03">
        <w:rPr>
          <w:color w:val="000000"/>
          <w:lang w:val="sr-Cyrl-CS"/>
        </w:rPr>
        <w:t>основано</w:t>
      </w:r>
      <w:r w:rsidR="00A556CD" w:rsidRPr="00537A03">
        <w:rPr>
          <w:color w:val="000000"/>
          <w:lang w:val="sr-Cyrl-CS"/>
        </w:rPr>
        <w:t xml:space="preserve"> </w:t>
      </w:r>
      <w:r w:rsidRPr="00537A03">
        <w:rPr>
          <w:color w:val="000000"/>
          <w:lang w:val="sr-Cyrl-CS"/>
        </w:rPr>
        <w:t>на</w:t>
      </w:r>
      <w:r w:rsidR="00A556CD" w:rsidRPr="00537A03">
        <w:rPr>
          <w:color w:val="000000"/>
          <w:lang w:val="sr-Cyrl-CS"/>
        </w:rPr>
        <w:t xml:space="preserve"> </w:t>
      </w:r>
      <w:r w:rsidRPr="00537A03">
        <w:rPr>
          <w:color w:val="000000"/>
          <w:lang w:val="sr-Cyrl-CS"/>
        </w:rPr>
        <w:t>територији</w:t>
      </w:r>
      <w:r w:rsidR="00A556CD" w:rsidRPr="00537A03">
        <w:rPr>
          <w:color w:val="000000"/>
          <w:lang w:val="sr-Cyrl-CS"/>
        </w:rPr>
        <w:t xml:space="preserve"> </w:t>
      </w:r>
      <w:r w:rsidRPr="00537A03">
        <w:rPr>
          <w:color w:val="000000"/>
          <w:lang w:val="sr-Cyrl-CS"/>
        </w:rPr>
        <w:t>јурисдикције</w:t>
      </w:r>
      <w:r w:rsidR="00A556CD" w:rsidRPr="00537A03">
        <w:rPr>
          <w:color w:val="000000"/>
          <w:lang w:val="sr-Cyrl-CS"/>
        </w:rPr>
        <w:t xml:space="preserve"> </w:t>
      </w:r>
      <w:r w:rsidRPr="00537A03">
        <w:rPr>
          <w:color w:val="000000"/>
          <w:lang w:val="sr-Cyrl-CS"/>
        </w:rPr>
        <w:t>са</w:t>
      </w:r>
      <w:r w:rsidR="00A556CD" w:rsidRPr="00537A03">
        <w:rPr>
          <w:color w:val="000000"/>
          <w:lang w:val="sr-Cyrl-CS"/>
        </w:rPr>
        <w:t xml:space="preserve"> </w:t>
      </w:r>
      <w:r w:rsidRPr="00537A03">
        <w:rPr>
          <w:color w:val="000000"/>
          <w:lang w:val="sr-Cyrl-CS"/>
        </w:rPr>
        <w:t>преференцијалним</w:t>
      </w:r>
      <w:r w:rsidR="00A556CD" w:rsidRPr="00537A03">
        <w:rPr>
          <w:color w:val="000000"/>
          <w:lang w:val="sr-Cyrl-CS"/>
        </w:rPr>
        <w:t xml:space="preserve"> </w:t>
      </w:r>
      <w:r w:rsidRPr="00537A03">
        <w:rPr>
          <w:color w:val="000000"/>
          <w:lang w:val="sr-Cyrl-CS"/>
        </w:rPr>
        <w:t>пореским</w:t>
      </w:r>
      <w:r w:rsidR="00A556CD" w:rsidRPr="00537A03">
        <w:rPr>
          <w:color w:val="000000"/>
          <w:lang w:val="sr-Cyrl-CS"/>
        </w:rPr>
        <w:t xml:space="preserve"> </w:t>
      </w:r>
      <w:r w:rsidRPr="00537A03">
        <w:rPr>
          <w:color w:val="000000"/>
          <w:lang w:val="sr-Cyrl-CS"/>
        </w:rPr>
        <w:t>системом</w:t>
      </w:r>
      <w:r w:rsidR="00A556CD" w:rsidRPr="00537A03">
        <w:rPr>
          <w:color w:val="000000"/>
          <w:lang w:val="sr-Cyrl-CS"/>
        </w:rPr>
        <w:t xml:space="preserve">, </w:t>
      </w:r>
      <w:r w:rsidRPr="00537A03">
        <w:rPr>
          <w:color w:val="000000"/>
          <w:lang w:val="sr-Cyrl-CS"/>
        </w:rPr>
        <w:t>или</w:t>
      </w:r>
    </w:p>
    <w:p w:rsidR="00537A03" w:rsidRPr="00537A03" w:rsidRDefault="00537A03" w:rsidP="00537A03">
      <w:pPr>
        <w:pStyle w:val="normal0"/>
        <w:shd w:val="clear" w:color="auto" w:fill="FFFFFF"/>
        <w:spacing w:before="48" w:beforeAutospacing="0" w:after="48" w:afterAutospacing="0"/>
        <w:ind w:left="720"/>
        <w:rPr>
          <w:color w:val="000000"/>
          <w:lang w:val="sr-Cyrl-CS"/>
        </w:rPr>
      </w:pPr>
    </w:p>
    <w:p w:rsidR="00A556CD" w:rsidRDefault="00537A03" w:rsidP="008A3795">
      <w:pPr>
        <w:pStyle w:val="normal0"/>
        <w:numPr>
          <w:ilvl w:val="0"/>
          <w:numId w:val="51"/>
        </w:numPr>
        <w:shd w:val="clear" w:color="auto" w:fill="FFFFFF"/>
        <w:spacing w:before="48" w:beforeAutospacing="0" w:after="48" w:afterAutospacing="0"/>
        <w:rPr>
          <w:color w:val="000000"/>
          <w:lang w:val="sr-Cyrl-CS"/>
        </w:rPr>
      </w:pPr>
      <w:r w:rsidRPr="00537A03">
        <w:rPr>
          <w:color w:val="000000"/>
          <w:lang w:val="sr-Cyrl-CS"/>
        </w:rPr>
        <w:t>има</w:t>
      </w:r>
      <w:r w:rsidR="00A556CD" w:rsidRPr="00537A03">
        <w:rPr>
          <w:color w:val="000000"/>
          <w:lang w:val="sr-Cyrl-CS"/>
        </w:rPr>
        <w:t xml:space="preserve"> </w:t>
      </w:r>
      <w:r w:rsidRPr="00537A03">
        <w:rPr>
          <w:color w:val="000000"/>
          <w:lang w:val="sr-Cyrl-CS"/>
        </w:rPr>
        <w:t>регистровано</w:t>
      </w:r>
      <w:r w:rsidR="00A556CD" w:rsidRPr="00537A03">
        <w:rPr>
          <w:color w:val="000000"/>
          <w:lang w:val="sr-Cyrl-CS"/>
        </w:rPr>
        <w:t xml:space="preserve"> </w:t>
      </w:r>
      <w:r w:rsidRPr="00537A03">
        <w:rPr>
          <w:color w:val="000000"/>
          <w:lang w:val="sr-Cyrl-CS"/>
        </w:rPr>
        <w:t>седиште</w:t>
      </w:r>
      <w:r w:rsidR="00A556CD" w:rsidRPr="00537A03">
        <w:rPr>
          <w:color w:val="000000"/>
          <w:lang w:val="sr-Cyrl-CS"/>
        </w:rPr>
        <w:t xml:space="preserve"> </w:t>
      </w:r>
      <w:r w:rsidRPr="00537A03">
        <w:rPr>
          <w:color w:val="000000"/>
          <w:lang w:val="sr-Cyrl-CS"/>
        </w:rPr>
        <w:t>на</w:t>
      </w:r>
      <w:r w:rsidR="00A556CD" w:rsidRPr="00537A03">
        <w:rPr>
          <w:color w:val="000000"/>
          <w:lang w:val="sr-Cyrl-CS"/>
        </w:rPr>
        <w:t xml:space="preserve"> </w:t>
      </w:r>
      <w:r w:rsidRPr="00537A03">
        <w:rPr>
          <w:color w:val="000000"/>
          <w:lang w:val="sr-Cyrl-CS"/>
        </w:rPr>
        <w:t>територији</w:t>
      </w:r>
      <w:r w:rsidR="00A556CD" w:rsidRPr="00537A03">
        <w:rPr>
          <w:color w:val="000000"/>
          <w:lang w:val="sr-Cyrl-CS"/>
        </w:rPr>
        <w:t xml:space="preserve"> </w:t>
      </w:r>
      <w:r w:rsidRPr="00537A03">
        <w:rPr>
          <w:color w:val="000000"/>
          <w:lang w:val="sr-Cyrl-CS"/>
        </w:rPr>
        <w:t>јурисдикције</w:t>
      </w:r>
      <w:r w:rsidR="00A556CD" w:rsidRPr="00537A03">
        <w:rPr>
          <w:color w:val="000000"/>
          <w:lang w:val="sr-Cyrl-CS"/>
        </w:rPr>
        <w:t xml:space="preserve"> </w:t>
      </w:r>
      <w:r w:rsidRPr="00537A03">
        <w:rPr>
          <w:color w:val="000000"/>
          <w:lang w:val="sr-Cyrl-CS"/>
        </w:rPr>
        <w:t>са</w:t>
      </w:r>
      <w:r w:rsidR="00A556CD" w:rsidRPr="00537A03">
        <w:rPr>
          <w:color w:val="000000"/>
          <w:lang w:val="sr-Cyrl-CS"/>
        </w:rPr>
        <w:t xml:space="preserve"> </w:t>
      </w:r>
      <w:r w:rsidRPr="00537A03">
        <w:rPr>
          <w:color w:val="000000"/>
          <w:lang w:val="sr-Cyrl-CS"/>
        </w:rPr>
        <w:t>преференцијалним</w:t>
      </w:r>
      <w:r w:rsidR="00A556CD" w:rsidRPr="00537A03">
        <w:rPr>
          <w:color w:val="000000"/>
          <w:lang w:val="sr-Cyrl-CS"/>
        </w:rPr>
        <w:t xml:space="preserve"> </w:t>
      </w:r>
      <w:r w:rsidRPr="00537A03">
        <w:rPr>
          <w:color w:val="000000"/>
          <w:lang w:val="sr-Cyrl-CS"/>
        </w:rPr>
        <w:t>пореским</w:t>
      </w:r>
      <w:r w:rsidR="00A556CD" w:rsidRPr="00537A03">
        <w:rPr>
          <w:color w:val="000000"/>
          <w:lang w:val="sr-Cyrl-CS"/>
        </w:rPr>
        <w:t xml:space="preserve"> </w:t>
      </w:r>
      <w:r w:rsidRPr="00537A03">
        <w:rPr>
          <w:color w:val="000000"/>
          <w:lang w:val="sr-Cyrl-CS"/>
        </w:rPr>
        <w:t>системом</w:t>
      </w:r>
      <w:r w:rsidR="00A556CD" w:rsidRPr="00537A03">
        <w:rPr>
          <w:color w:val="000000"/>
          <w:lang w:val="sr-Cyrl-CS"/>
        </w:rPr>
        <w:t xml:space="preserve">, </w:t>
      </w:r>
      <w:r w:rsidRPr="00537A03">
        <w:rPr>
          <w:color w:val="000000"/>
          <w:lang w:val="sr-Cyrl-CS"/>
        </w:rPr>
        <w:t>или</w:t>
      </w:r>
    </w:p>
    <w:p w:rsidR="00537A03" w:rsidRPr="00537A03" w:rsidRDefault="00537A03" w:rsidP="00537A03">
      <w:pPr>
        <w:pStyle w:val="normal0"/>
        <w:shd w:val="clear" w:color="auto" w:fill="FFFFFF"/>
        <w:spacing w:before="48" w:beforeAutospacing="0" w:after="48" w:afterAutospacing="0"/>
        <w:ind w:left="720"/>
        <w:rPr>
          <w:color w:val="000000"/>
          <w:lang w:val="sr-Cyrl-CS"/>
        </w:rPr>
      </w:pPr>
    </w:p>
    <w:p w:rsidR="00A556CD" w:rsidRDefault="00537A03" w:rsidP="008A3795">
      <w:pPr>
        <w:pStyle w:val="normal0"/>
        <w:numPr>
          <w:ilvl w:val="0"/>
          <w:numId w:val="51"/>
        </w:numPr>
        <w:shd w:val="clear" w:color="auto" w:fill="FFFFFF"/>
        <w:spacing w:before="48" w:beforeAutospacing="0" w:after="48" w:afterAutospacing="0"/>
        <w:rPr>
          <w:color w:val="000000"/>
          <w:lang w:val="sr-Cyrl-CS"/>
        </w:rPr>
      </w:pPr>
      <w:r w:rsidRPr="00537A03">
        <w:rPr>
          <w:color w:val="000000"/>
          <w:lang w:val="sr-Cyrl-CS"/>
        </w:rPr>
        <w:t>има</w:t>
      </w:r>
      <w:r w:rsidR="00A556CD" w:rsidRPr="00537A03">
        <w:rPr>
          <w:color w:val="000000"/>
          <w:lang w:val="sr-Cyrl-CS"/>
        </w:rPr>
        <w:t xml:space="preserve"> </w:t>
      </w:r>
      <w:r w:rsidRPr="00537A03">
        <w:rPr>
          <w:color w:val="000000"/>
          <w:lang w:val="sr-Cyrl-CS"/>
        </w:rPr>
        <w:t>седиште</w:t>
      </w:r>
      <w:r w:rsidR="00A556CD" w:rsidRPr="00537A03">
        <w:rPr>
          <w:color w:val="000000"/>
          <w:lang w:val="sr-Cyrl-CS"/>
        </w:rPr>
        <w:t xml:space="preserve"> </w:t>
      </w:r>
      <w:r w:rsidRPr="00537A03">
        <w:rPr>
          <w:color w:val="000000"/>
          <w:lang w:val="sr-Cyrl-CS"/>
        </w:rPr>
        <w:t>управе</w:t>
      </w:r>
      <w:r w:rsidR="00A556CD" w:rsidRPr="00537A03">
        <w:rPr>
          <w:color w:val="000000"/>
          <w:lang w:val="sr-Cyrl-CS"/>
        </w:rPr>
        <w:t xml:space="preserve"> </w:t>
      </w:r>
      <w:r w:rsidRPr="00537A03">
        <w:rPr>
          <w:color w:val="000000"/>
          <w:lang w:val="sr-Cyrl-CS"/>
        </w:rPr>
        <w:t>на</w:t>
      </w:r>
      <w:r w:rsidR="00A556CD" w:rsidRPr="00537A03">
        <w:rPr>
          <w:color w:val="000000"/>
          <w:lang w:val="sr-Cyrl-CS"/>
        </w:rPr>
        <w:t xml:space="preserve"> </w:t>
      </w:r>
      <w:r w:rsidRPr="00537A03">
        <w:rPr>
          <w:color w:val="000000"/>
          <w:lang w:val="sr-Cyrl-CS"/>
        </w:rPr>
        <w:t>територији</w:t>
      </w:r>
      <w:r w:rsidR="00A556CD" w:rsidRPr="00537A03">
        <w:rPr>
          <w:color w:val="000000"/>
          <w:lang w:val="sr-Cyrl-CS"/>
        </w:rPr>
        <w:t xml:space="preserve"> </w:t>
      </w:r>
      <w:r w:rsidRPr="00537A03">
        <w:rPr>
          <w:color w:val="000000"/>
          <w:lang w:val="sr-Cyrl-CS"/>
        </w:rPr>
        <w:t>јурисдикције</w:t>
      </w:r>
      <w:r w:rsidR="00A556CD" w:rsidRPr="00537A03">
        <w:rPr>
          <w:color w:val="000000"/>
          <w:lang w:val="sr-Cyrl-CS"/>
        </w:rPr>
        <w:t xml:space="preserve"> </w:t>
      </w:r>
      <w:r w:rsidRPr="00537A03">
        <w:rPr>
          <w:color w:val="000000"/>
          <w:lang w:val="sr-Cyrl-CS"/>
        </w:rPr>
        <w:t>са</w:t>
      </w:r>
      <w:r w:rsidR="00A556CD" w:rsidRPr="00537A03">
        <w:rPr>
          <w:color w:val="000000"/>
          <w:lang w:val="sr-Cyrl-CS"/>
        </w:rPr>
        <w:t xml:space="preserve"> </w:t>
      </w:r>
      <w:r w:rsidRPr="00537A03">
        <w:rPr>
          <w:color w:val="000000"/>
          <w:lang w:val="sr-Cyrl-CS"/>
        </w:rPr>
        <w:t>преференцијалним</w:t>
      </w:r>
      <w:r w:rsidR="00A556CD" w:rsidRPr="00537A03">
        <w:rPr>
          <w:color w:val="000000"/>
          <w:lang w:val="sr-Cyrl-CS"/>
        </w:rPr>
        <w:t xml:space="preserve"> </w:t>
      </w:r>
      <w:r w:rsidRPr="00537A03">
        <w:rPr>
          <w:color w:val="000000"/>
          <w:lang w:val="sr-Cyrl-CS"/>
        </w:rPr>
        <w:t>пореским</w:t>
      </w:r>
      <w:r w:rsidR="00A556CD" w:rsidRPr="00537A03">
        <w:rPr>
          <w:color w:val="000000"/>
          <w:lang w:val="sr-Cyrl-CS"/>
        </w:rPr>
        <w:t xml:space="preserve"> </w:t>
      </w:r>
      <w:r w:rsidRPr="00537A03">
        <w:rPr>
          <w:color w:val="000000"/>
          <w:lang w:val="sr-Cyrl-CS"/>
        </w:rPr>
        <w:t>системом</w:t>
      </w:r>
      <w:r w:rsidR="00A556CD" w:rsidRPr="00537A03">
        <w:rPr>
          <w:color w:val="000000"/>
          <w:lang w:val="sr-Cyrl-CS"/>
        </w:rPr>
        <w:t xml:space="preserve">, </w:t>
      </w:r>
      <w:r w:rsidRPr="00537A03">
        <w:rPr>
          <w:color w:val="000000"/>
          <w:lang w:val="sr-Cyrl-CS"/>
        </w:rPr>
        <w:t>или</w:t>
      </w:r>
    </w:p>
    <w:p w:rsidR="00537A03" w:rsidRPr="00537A03" w:rsidRDefault="00537A03" w:rsidP="00537A03">
      <w:pPr>
        <w:pStyle w:val="normal0"/>
        <w:shd w:val="clear" w:color="auto" w:fill="FFFFFF"/>
        <w:spacing w:before="48" w:beforeAutospacing="0" w:after="48" w:afterAutospacing="0"/>
        <w:ind w:left="720"/>
        <w:rPr>
          <w:color w:val="000000"/>
          <w:lang w:val="sr-Cyrl-CS"/>
        </w:rPr>
      </w:pPr>
    </w:p>
    <w:p w:rsidR="00537A03" w:rsidRDefault="00537A03" w:rsidP="008A3795">
      <w:pPr>
        <w:pStyle w:val="normal0"/>
        <w:numPr>
          <w:ilvl w:val="0"/>
          <w:numId w:val="51"/>
        </w:numPr>
        <w:shd w:val="clear" w:color="auto" w:fill="FFFFFF"/>
        <w:spacing w:before="48" w:beforeAutospacing="0" w:after="48" w:afterAutospacing="0"/>
        <w:rPr>
          <w:color w:val="000000"/>
          <w:lang w:val="sr-Cyrl-CS"/>
        </w:rPr>
      </w:pPr>
      <w:r w:rsidRPr="00537A03">
        <w:rPr>
          <w:color w:val="000000"/>
          <w:lang w:val="sr-Cyrl-CS"/>
        </w:rPr>
        <w:t>има</w:t>
      </w:r>
      <w:r w:rsidR="00A556CD" w:rsidRPr="00537A03">
        <w:rPr>
          <w:color w:val="000000"/>
          <w:lang w:val="sr-Cyrl-CS"/>
        </w:rPr>
        <w:t xml:space="preserve"> </w:t>
      </w:r>
      <w:r w:rsidRPr="00537A03">
        <w:rPr>
          <w:color w:val="000000"/>
          <w:lang w:val="sr-Cyrl-CS"/>
        </w:rPr>
        <w:t>место</w:t>
      </w:r>
      <w:r w:rsidR="00A556CD" w:rsidRPr="00537A03">
        <w:rPr>
          <w:color w:val="000000"/>
          <w:lang w:val="sr-Cyrl-CS"/>
        </w:rPr>
        <w:t xml:space="preserve"> </w:t>
      </w:r>
      <w:r w:rsidRPr="00537A03">
        <w:rPr>
          <w:color w:val="000000"/>
          <w:lang w:val="sr-Cyrl-CS"/>
        </w:rPr>
        <w:t>стварне</w:t>
      </w:r>
      <w:r w:rsidR="00A556CD" w:rsidRPr="00537A03">
        <w:rPr>
          <w:color w:val="000000"/>
          <w:lang w:val="sr-Cyrl-CS"/>
        </w:rPr>
        <w:t xml:space="preserve"> </w:t>
      </w:r>
      <w:r w:rsidRPr="00537A03">
        <w:rPr>
          <w:color w:val="000000"/>
          <w:lang w:val="sr-Cyrl-CS"/>
        </w:rPr>
        <w:t>управе</w:t>
      </w:r>
      <w:r w:rsidR="00A556CD" w:rsidRPr="00537A03">
        <w:rPr>
          <w:color w:val="000000"/>
          <w:lang w:val="sr-Cyrl-CS"/>
        </w:rPr>
        <w:t xml:space="preserve"> </w:t>
      </w:r>
      <w:r w:rsidRPr="00537A03">
        <w:rPr>
          <w:color w:val="000000"/>
          <w:lang w:val="sr-Cyrl-CS"/>
        </w:rPr>
        <w:t>на</w:t>
      </w:r>
      <w:r w:rsidR="00A556CD" w:rsidRPr="00537A03">
        <w:rPr>
          <w:color w:val="000000"/>
          <w:lang w:val="sr-Cyrl-CS"/>
        </w:rPr>
        <w:t xml:space="preserve"> </w:t>
      </w:r>
      <w:r w:rsidRPr="00537A03">
        <w:rPr>
          <w:color w:val="000000"/>
          <w:lang w:val="sr-Cyrl-CS"/>
        </w:rPr>
        <w:t>територији</w:t>
      </w:r>
      <w:r w:rsidR="00A556CD" w:rsidRPr="00537A03">
        <w:rPr>
          <w:color w:val="000000"/>
          <w:lang w:val="sr-Cyrl-CS"/>
        </w:rPr>
        <w:t xml:space="preserve"> </w:t>
      </w:r>
      <w:r w:rsidRPr="00537A03">
        <w:rPr>
          <w:color w:val="000000"/>
          <w:lang w:val="sr-Cyrl-CS"/>
        </w:rPr>
        <w:t>јурисдикције</w:t>
      </w:r>
      <w:r w:rsidR="00A556CD" w:rsidRPr="00537A03">
        <w:rPr>
          <w:color w:val="000000"/>
          <w:lang w:val="sr-Cyrl-CS"/>
        </w:rPr>
        <w:t xml:space="preserve"> </w:t>
      </w:r>
      <w:r w:rsidRPr="00537A03">
        <w:rPr>
          <w:color w:val="000000"/>
          <w:lang w:val="sr-Cyrl-CS"/>
        </w:rPr>
        <w:t>са</w:t>
      </w:r>
      <w:r w:rsidR="00A556CD" w:rsidRPr="00537A03">
        <w:rPr>
          <w:color w:val="000000"/>
          <w:lang w:val="sr-Cyrl-CS"/>
        </w:rPr>
        <w:t xml:space="preserve"> </w:t>
      </w:r>
      <w:r w:rsidRPr="00537A03">
        <w:rPr>
          <w:color w:val="000000"/>
          <w:lang w:val="sr-Cyrl-CS"/>
        </w:rPr>
        <w:t>преференцијалним</w:t>
      </w:r>
      <w:r w:rsidR="00A556CD" w:rsidRPr="00537A03">
        <w:rPr>
          <w:color w:val="000000"/>
          <w:lang w:val="sr-Cyrl-CS"/>
        </w:rPr>
        <w:t xml:space="preserve"> </w:t>
      </w:r>
    </w:p>
    <w:p w:rsidR="00537A03" w:rsidRPr="00537A03" w:rsidRDefault="00537A03" w:rsidP="00537A03">
      <w:pPr>
        <w:pStyle w:val="normal0"/>
        <w:shd w:val="clear" w:color="auto" w:fill="FFFFFF"/>
        <w:spacing w:before="48" w:beforeAutospacing="0" w:after="48" w:afterAutospacing="0"/>
        <w:ind w:left="720"/>
        <w:rPr>
          <w:color w:val="000000"/>
          <w:lang w:val="sr-Cyrl-CS"/>
        </w:rPr>
      </w:pPr>
      <w:r w:rsidRPr="00537A03">
        <w:rPr>
          <w:color w:val="000000"/>
          <w:lang w:val="sr-Cyrl-CS"/>
        </w:rPr>
        <w:t>пореским системом.</w:t>
      </w:r>
    </w:p>
    <w:p w:rsidR="00A556CD" w:rsidRPr="00A556CD" w:rsidRDefault="00537A03" w:rsidP="00537A03">
      <w:pPr>
        <w:pStyle w:val="normal0"/>
        <w:shd w:val="clear" w:color="auto" w:fill="FFFFFF"/>
        <w:spacing w:before="48" w:beforeAutospacing="0" w:after="48" w:afterAutospacing="0"/>
        <w:ind w:left="720"/>
        <w:rPr>
          <w:rFonts w:ascii="Arial" w:hAnsi="Arial" w:cs="Arial"/>
          <w:color w:val="000000"/>
          <w:sz w:val="18"/>
          <w:szCs w:val="18"/>
          <w:lang w:val="sr-Cyrl-CS"/>
        </w:rPr>
      </w:pPr>
      <w:r>
        <w:rPr>
          <w:color w:val="000000"/>
          <w:lang w:val="sr-Cyrl-CS"/>
        </w:rPr>
        <w:t xml:space="preserve">          </w:t>
      </w:r>
    </w:p>
    <w:p w:rsidR="00EA2A04" w:rsidRDefault="00A556CD" w:rsidP="00EA2A04">
      <w:pPr>
        <w:ind w:firstLine="708"/>
        <w:jc w:val="both"/>
        <w:rPr>
          <w:rFonts w:ascii="Arial" w:hAnsi="Arial" w:cs="Arial"/>
          <w:color w:val="555555"/>
          <w:sz w:val="20"/>
          <w:szCs w:val="20"/>
          <w:shd w:val="clear" w:color="auto" w:fill="FFFFFF"/>
        </w:rPr>
      </w:pPr>
      <w:r>
        <w:rPr>
          <w:rFonts w:ascii="Times New Roman" w:hAnsi="Times New Roman"/>
          <w:sz w:val="24"/>
          <w:szCs w:val="24"/>
          <w:lang w:val="sr-Cyrl-CS"/>
        </w:rPr>
        <w:t xml:space="preserve">Листа јурсдикција са преференцијалним пореским </w:t>
      </w:r>
      <w:r w:rsidR="00EA2A04">
        <w:rPr>
          <w:rFonts w:ascii="Times New Roman" w:hAnsi="Times New Roman"/>
          <w:sz w:val="24"/>
          <w:szCs w:val="24"/>
          <w:lang w:val="sr-Cyrl-CS"/>
        </w:rPr>
        <w:t>системом</w:t>
      </w:r>
      <w:r>
        <w:rPr>
          <w:rFonts w:ascii="Times New Roman" w:hAnsi="Times New Roman"/>
          <w:sz w:val="24"/>
          <w:szCs w:val="24"/>
          <w:lang w:val="sr-Cyrl-CS"/>
        </w:rPr>
        <w:t xml:space="preserve"> је утврђена </w:t>
      </w:r>
      <w:r w:rsidR="00EA2A04">
        <w:rPr>
          <w:rFonts w:ascii="Times New Roman" w:hAnsi="Times New Roman"/>
          <w:sz w:val="24"/>
          <w:szCs w:val="24"/>
          <w:lang w:val="sr-Cyrl-CS"/>
        </w:rPr>
        <w:t>Правилником о листи јурисдикција са преференцијалним пореским третманом</w:t>
      </w:r>
      <w:r w:rsidR="00EA2A04">
        <w:rPr>
          <w:rStyle w:val="FootnoteReference"/>
          <w:rFonts w:ascii="Times New Roman" w:hAnsi="Times New Roman"/>
          <w:sz w:val="24"/>
          <w:szCs w:val="24"/>
          <w:lang w:val="sr-Cyrl-CS"/>
        </w:rPr>
        <w:footnoteReference w:id="246"/>
      </w:r>
      <w:r w:rsidR="00EA2A04">
        <w:rPr>
          <w:rFonts w:ascii="Times New Roman" w:hAnsi="Times New Roman"/>
          <w:sz w:val="24"/>
          <w:szCs w:val="24"/>
          <w:lang w:val="sr-Cyrl-CS"/>
        </w:rPr>
        <w:t xml:space="preserve"> и то:</w:t>
      </w:r>
    </w:p>
    <w:p w:rsidR="00A556CD" w:rsidRDefault="00EA2A04" w:rsidP="00EA2A04">
      <w:pPr>
        <w:rPr>
          <w:rFonts w:ascii="Times New Roman" w:hAnsi="Times New Roman"/>
          <w:sz w:val="24"/>
          <w:szCs w:val="24"/>
          <w:shd w:val="clear" w:color="auto" w:fill="FFFFFF"/>
          <w:lang w:val="sr-Cyrl-CS"/>
        </w:rPr>
      </w:pPr>
      <w:r w:rsidRPr="00EA2A04">
        <w:rPr>
          <w:rFonts w:ascii="Times New Roman" w:hAnsi="Times New Roman"/>
          <w:sz w:val="24"/>
          <w:szCs w:val="24"/>
          <w:shd w:val="clear" w:color="auto" w:fill="FFFFFF"/>
          <w:lang w:val="sr-Cyrl-CS"/>
        </w:rPr>
        <w:t>Андора</w:t>
      </w:r>
      <w:r w:rsidR="00A556CD" w:rsidRPr="00EA2A04">
        <w:rPr>
          <w:rFonts w:ascii="Times New Roman" w:hAnsi="Times New Roman"/>
          <w:sz w:val="24"/>
          <w:szCs w:val="24"/>
          <w:shd w:val="clear" w:color="auto" w:fill="FFFFFF"/>
          <w:lang w:val="sr-Cyrl-CS"/>
        </w:rPr>
        <w:t xml:space="preserve">, </w:t>
      </w:r>
      <w:r w:rsidRPr="00EA2A04">
        <w:rPr>
          <w:rFonts w:ascii="Times New Roman" w:hAnsi="Times New Roman"/>
          <w:sz w:val="24"/>
          <w:szCs w:val="24"/>
          <w:shd w:val="clear" w:color="auto" w:fill="FFFFFF"/>
          <w:lang w:val="sr-Cyrl-CS"/>
        </w:rPr>
        <w:t>Ангвила</w:t>
      </w:r>
      <w:r w:rsidR="00A556CD" w:rsidRPr="00EA2A04">
        <w:rPr>
          <w:rFonts w:ascii="Times New Roman" w:hAnsi="Times New Roman"/>
          <w:sz w:val="24"/>
          <w:szCs w:val="24"/>
          <w:shd w:val="clear" w:color="auto" w:fill="FFFFFF"/>
          <w:lang w:val="sr-Cyrl-CS"/>
        </w:rPr>
        <w:t xml:space="preserve">, </w:t>
      </w:r>
      <w:r w:rsidRPr="00EA2A04">
        <w:rPr>
          <w:rFonts w:ascii="Times New Roman" w:hAnsi="Times New Roman"/>
          <w:sz w:val="24"/>
          <w:szCs w:val="24"/>
          <w:shd w:val="clear" w:color="auto" w:fill="FFFFFF"/>
          <w:lang w:val="sr-Cyrl-CS"/>
        </w:rPr>
        <w:t>Антигва</w:t>
      </w:r>
      <w:r w:rsidR="00A556CD" w:rsidRPr="00EA2A04">
        <w:rPr>
          <w:rFonts w:ascii="Times New Roman" w:hAnsi="Times New Roman"/>
          <w:sz w:val="24"/>
          <w:szCs w:val="24"/>
          <w:shd w:val="clear" w:color="auto" w:fill="FFFFFF"/>
          <w:lang w:val="sr-Cyrl-CS"/>
        </w:rPr>
        <w:t xml:space="preserve"> </w:t>
      </w:r>
      <w:r w:rsidRPr="00EA2A04">
        <w:rPr>
          <w:rFonts w:ascii="Times New Roman" w:hAnsi="Times New Roman"/>
          <w:sz w:val="24"/>
          <w:szCs w:val="24"/>
          <w:shd w:val="clear" w:color="auto" w:fill="FFFFFF"/>
          <w:lang w:val="sr-Cyrl-CS"/>
        </w:rPr>
        <w:t>и</w:t>
      </w:r>
      <w:r w:rsidR="00A556CD" w:rsidRPr="00EA2A04">
        <w:rPr>
          <w:rFonts w:ascii="Times New Roman" w:hAnsi="Times New Roman"/>
          <w:sz w:val="24"/>
          <w:szCs w:val="24"/>
          <w:shd w:val="clear" w:color="auto" w:fill="FFFFFF"/>
          <w:lang w:val="sr-Cyrl-CS"/>
        </w:rPr>
        <w:t xml:space="preserve"> </w:t>
      </w:r>
      <w:r w:rsidRPr="00EA2A04">
        <w:rPr>
          <w:rFonts w:ascii="Times New Roman" w:hAnsi="Times New Roman"/>
          <w:sz w:val="24"/>
          <w:szCs w:val="24"/>
          <w:shd w:val="clear" w:color="auto" w:fill="FFFFFF"/>
          <w:lang w:val="sr-Cyrl-CS"/>
        </w:rPr>
        <w:t>Барбуда</w:t>
      </w:r>
      <w:r w:rsidR="00A556CD" w:rsidRPr="00EA2A04">
        <w:rPr>
          <w:rFonts w:ascii="Times New Roman" w:hAnsi="Times New Roman"/>
          <w:sz w:val="24"/>
          <w:szCs w:val="24"/>
          <w:shd w:val="clear" w:color="auto" w:fill="FFFFFF"/>
          <w:lang w:val="sr-Cyrl-CS"/>
        </w:rPr>
        <w:t xml:space="preserve">, </w:t>
      </w:r>
      <w:r w:rsidRPr="00EA2A04">
        <w:rPr>
          <w:rFonts w:ascii="Times New Roman" w:hAnsi="Times New Roman"/>
          <w:sz w:val="24"/>
          <w:szCs w:val="24"/>
          <w:shd w:val="clear" w:color="auto" w:fill="FFFFFF"/>
          <w:lang w:val="sr-Cyrl-CS"/>
        </w:rPr>
        <w:t>Аруба</w:t>
      </w:r>
      <w:r w:rsidR="00A556CD" w:rsidRPr="00EA2A04">
        <w:rPr>
          <w:rFonts w:ascii="Times New Roman" w:hAnsi="Times New Roman"/>
          <w:sz w:val="24"/>
          <w:szCs w:val="24"/>
          <w:shd w:val="clear" w:color="auto" w:fill="FFFFFF"/>
          <w:lang w:val="sr-Cyrl-CS"/>
        </w:rPr>
        <w:t xml:space="preserve">, </w:t>
      </w:r>
      <w:r w:rsidRPr="00EA2A04">
        <w:rPr>
          <w:rFonts w:ascii="Times New Roman" w:hAnsi="Times New Roman"/>
          <w:sz w:val="24"/>
          <w:szCs w:val="24"/>
          <w:shd w:val="clear" w:color="auto" w:fill="FFFFFF"/>
          <w:lang w:val="sr-Cyrl-CS"/>
        </w:rPr>
        <w:t>Бахами</w:t>
      </w:r>
      <w:r w:rsidR="00A556CD" w:rsidRPr="00EA2A04">
        <w:rPr>
          <w:rFonts w:ascii="Times New Roman" w:hAnsi="Times New Roman"/>
          <w:sz w:val="24"/>
          <w:szCs w:val="24"/>
          <w:shd w:val="clear" w:color="auto" w:fill="FFFFFF"/>
          <w:lang w:val="sr-Cyrl-CS"/>
        </w:rPr>
        <w:t xml:space="preserve">, </w:t>
      </w:r>
      <w:r w:rsidRPr="00EA2A04">
        <w:rPr>
          <w:rFonts w:ascii="Times New Roman" w:hAnsi="Times New Roman"/>
          <w:sz w:val="24"/>
          <w:szCs w:val="24"/>
          <w:shd w:val="clear" w:color="auto" w:fill="FFFFFF"/>
          <w:lang w:val="sr-Cyrl-CS"/>
        </w:rPr>
        <w:t>Бахреин</w:t>
      </w:r>
      <w:r w:rsidR="00A556CD" w:rsidRPr="00EA2A04">
        <w:rPr>
          <w:rFonts w:ascii="Times New Roman" w:hAnsi="Times New Roman"/>
          <w:sz w:val="24"/>
          <w:szCs w:val="24"/>
          <w:shd w:val="clear" w:color="auto" w:fill="FFFFFF"/>
          <w:lang w:val="sr-Cyrl-CS"/>
        </w:rPr>
        <w:t xml:space="preserve">, </w:t>
      </w:r>
      <w:r w:rsidRPr="00EA2A04">
        <w:rPr>
          <w:rFonts w:ascii="Times New Roman" w:hAnsi="Times New Roman"/>
          <w:sz w:val="24"/>
          <w:szCs w:val="24"/>
          <w:shd w:val="clear" w:color="auto" w:fill="FFFFFF"/>
          <w:lang w:val="sr-Cyrl-CS"/>
        </w:rPr>
        <w:t>Барбадос</w:t>
      </w:r>
      <w:r w:rsidR="00A556CD" w:rsidRPr="00EA2A04">
        <w:rPr>
          <w:rFonts w:ascii="Times New Roman" w:hAnsi="Times New Roman"/>
          <w:sz w:val="24"/>
          <w:szCs w:val="24"/>
          <w:shd w:val="clear" w:color="auto" w:fill="FFFFFF"/>
          <w:lang w:val="sr-Cyrl-CS"/>
        </w:rPr>
        <w:t xml:space="preserve">, </w:t>
      </w:r>
      <w:r w:rsidRPr="00EA2A04">
        <w:rPr>
          <w:rFonts w:ascii="Times New Roman" w:hAnsi="Times New Roman"/>
          <w:sz w:val="24"/>
          <w:szCs w:val="24"/>
          <w:shd w:val="clear" w:color="auto" w:fill="FFFFFF"/>
          <w:lang w:val="sr-Cyrl-CS"/>
        </w:rPr>
        <w:t>Белизе</w:t>
      </w:r>
      <w:r w:rsidR="00A556CD" w:rsidRPr="00EA2A04">
        <w:rPr>
          <w:rFonts w:ascii="Times New Roman" w:hAnsi="Times New Roman"/>
          <w:sz w:val="24"/>
          <w:szCs w:val="24"/>
          <w:shd w:val="clear" w:color="auto" w:fill="FFFFFF"/>
          <w:lang w:val="sr-Cyrl-CS"/>
        </w:rPr>
        <w:t xml:space="preserve">, </w:t>
      </w:r>
      <w:r w:rsidRPr="00EA2A04">
        <w:rPr>
          <w:rFonts w:ascii="Times New Roman" w:hAnsi="Times New Roman"/>
          <w:sz w:val="24"/>
          <w:szCs w:val="24"/>
          <w:shd w:val="clear" w:color="auto" w:fill="FFFFFF"/>
          <w:lang w:val="sr-Cyrl-CS"/>
        </w:rPr>
        <w:t>Бермуда</w:t>
      </w:r>
      <w:r w:rsidR="00A556CD" w:rsidRPr="00EA2A04">
        <w:rPr>
          <w:rFonts w:ascii="Times New Roman" w:hAnsi="Times New Roman"/>
          <w:sz w:val="24"/>
          <w:szCs w:val="24"/>
          <w:shd w:val="clear" w:color="auto" w:fill="FFFFFF"/>
          <w:lang w:val="sr-Cyrl-CS"/>
        </w:rPr>
        <w:t xml:space="preserve">, </w:t>
      </w:r>
      <w:r w:rsidRPr="00EA2A04">
        <w:rPr>
          <w:rFonts w:ascii="Times New Roman" w:hAnsi="Times New Roman"/>
          <w:sz w:val="24"/>
          <w:szCs w:val="24"/>
          <w:shd w:val="clear" w:color="auto" w:fill="FFFFFF"/>
          <w:lang w:val="sr-Cyrl-CS"/>
        </w:rPr>
        <w:t>Британска</w:t>
      </w:r>
      <w:r w:rsidR="00A556CD" w:rsidRPr="00EA2A04">
        <w:rPr>
          <w:rFonts w:ascii="Times New Roman" w:hAnsi="Times New Roman"/>
          <w:sz w:val="24"/>
          <w:szCs w:val="24"/>
          <w:shd w:val="clear" w:color="auto" w:fill="FFFFFF"/>
          <w:lang w:val="sr-Cyrl-CS"/>
        </w:rPr>
        <w:t xml:space="preserve"> </w:t>
      </w:r>
      <w:r w:rsidRPr="00EA2A04">
        <w:rPr>
          <w:rFonts w:ascii="Times New Roman" w:hAnsi="Times New Roman"/>
          <w:sz w:val="24"/>
          <w:szCs w:val="24"/>
          <w:shd w:val="clear" w:color="auto" w:fill="FFFFFF"/>
          <w:lang w:val="sr-Cyrl-CS"/>
        </w:rPr>
        <w:t>девичанска</w:t>
      </w:r>
      <w:r w:rsidR="00A556CD" w:rsidRPr="00EA2A04">
        <w:rPr>
          <w:rFonts w:ascii="Times New Roman" w:hAnsi="Times New Roman"/>
          <w:sz w:val="24"/>
          <w:szCs w:val="24"/>
          <w:shd w:val="clear" w:color="auto" w:fill="FFFFFF"/>
          <w:lang w:val="sr-Cyrl-CS"/>
        </w:rPr>
        <w:t xml:space="preserve"> </w:t>
      </w:r>
      <w:r w:rsidRPr="00EA2A04">
        <w:rPr>
          <w:rFonts w:ascii="Times New Roman" w:hAnsi="Times New Roman"/>
          <w:sz w:val="24"/>
          <w:szCs w:val="24"/>
          <w:shd w:val="clear" w:color="auto" w:fill="FFFFFF"/>
          <w:lang w:val="sr-Cyrl-CS"/>
        </w:rPr>
        <w:t>острва</w:t>
      </w:r>
      <w:r w:rsidR="00A556CD" w:rsidRPr="00EA2A04">
        <w:rPr>
          <w:rFonts w:ascii="Times New Roman" w:hAnsi="Times New Roman"/>
          <w:sz w:val="24"/>
          <w:szCs w:val="24"/>
          <w:shd w:val="clear" w:color="auto" w:fill="FFFFFF"/>
          <w:lang w:val="sr-Cyrl-CS"/>
        </w:rPr>
        <w:t xml:space="preserve">, </w:t>
      </w:r>
      <w:r w:rsidRPr="00EA2A04">
        <w:rPr>
          <w:rFonts w:ascii="Times New Roman" w:hAnsi="Times New Roman"/>
          <w:sz w:val="24"/>
          <w:szCs w:val="24"/>
          <w:shd w:val="clear" w:color="auto" w:fill="FFFFFF"/>
          <w:lang w:val="sr-Cyrl-CS"/>
        </w:rPr>
        <w:t>Кајманска</w:t>
      </w:r>
      <w:r w:rsidR="00A556CD" w:rsidRPr="00EA2A04">
        <w:rPr>
          <w:rFonts w:ascii="Times New Roman" w:hAnsi="Times New Roman"/>
          <w:sz w:val="24"/>
          <w:szCs w:val="24"/>
          <w:shd w:val="clear" w:color="auto" w:fill="FFFFFF"/>
          <w:lang w:val="sr-Cyrl-CS"/>
        </w:rPr>
        <w:t xml:space="preserve"> </w:t>
      </w:r>
      <w:r w:rsidRPr="00EA2A04">
        <w:rPr>
          <w:rFonts w:ascii="Times New Roman" w:hAnsi="Times New Roman"/>
          <w:sz w:val="24"/>
          <w:szCs w:val="24"/>
          <w:shd w:val="clear" w:color="auto" w:fill="FFFFFF"/>
          <w:lang w:val="sr-Cyrl-CS"/>
        </w:rPr>
        <w:t>острва</w:t>
      </w:r>
      <w:r w:rsidR="00A556CD" w:rsidRPr="00EA2A04">
        <w:rPr>
          <w:rFonts w:ascii="Times New Roman" w:hAnsi="Times New Roman"/>
          <w:sz w:val="24"/>
          <w:szCs w:val="24"/>
          <w:shd w:val="clear" w:color="auto" w:fill="FFFFFF"/>
          <w:lang w:val="sr-Cyrl-CS"/>
        </w:rPr>
        <w:t xml:space="preserve">, </w:t>
      </w:r>
      <w:r w:rsidRPr="00EA2A04">
        <w:rPr>
          <w:rFonts w:ascii="Times New Roman" w:hAnsi="Times New Roman"/>
          <w:sz w:val="24"/>
          <w:szCs w:val="24"/>
          <w:shd w:val="clear" w:color="auto" w:fill="FFFFFF"/>
          <w:lang w:val="sr-Cyrl-CS"/>
        </w:rPr>
        <w:t>Божићно</w:t>
      </w:r>
      <w:r w:rsidR="00A556CD" w:rsidRPr="00EA2A04">
        <w:rPr>
          <w:rFonts w:ascii="Times New Roman" w:hAnsi="Times New Roman"/>
          <w:sz w:val="24"/>
          <w:szCs w:val="24"/>
          <w:shd w:val="clear" w:color="auto" w:fill="FFFFFF"/>
          <w:lang w:val="sr-Cyrl-CS"/>
        </w:rPr>
        <w:t xml:space="preserve"> </w:t>
      </w:r>
      <w:r w:rsidRPr="00EA2A04">
        <w:rPr>
          <w:rFonts w:ascii="Times New Roman" w:hAnsi="Times New Roman"/>
          <w:sz w:val="24"/>
          <w:szCs w:val="24"/>
          <w:shd w:val="clear" w:color="auto" w:fill="FFFFFF"/>
          <w:lang w:val="sr-Cyrl-CS"/>
        </w:rPr>
        <w:t>острво</w:t>
      </w:r>
      <w:r w:rsidR="00A556CD" w:rsidRPr="00EA2A04">
        <w:rPr>
          <w:rFonts w:ascii="Times New Roman" w:hAnsi="Times New Roman"/>
          <w:sz w:val="24"/>
          <w:szCs w:val="24"/>
          <w:shd w:val="clear" w:color="auto" w:fill="FFFFFF"/>
          <w:lang w:val="sr-Cyrl-CS"/>
        </w:rPr>
        <w:t xml:space="preserve">, </w:t>
      </w:r>
      <w:r w:rsidRPr="00EA2A04">
        <w:rPr>
          <w:rFonts w:ascii="Times New Roman" w:hAnsi="Times New Roman"/>
          <w:sz w:val="24"/>
          <w:szCs w:val="24"/>
          <w:shd w:val="clear" w:color="auto" w:fill="FFFFFF"/>
          <w:lang w:val="sr-Cyrl-CS"/>
        </w:rPr>
        <w:t>Кукова</w:t>
      </w:r>
      <w:r w:rsidR="00A556CD" w:rsidRPr="00EA2A04">
        <w:rPr>
          <w:rFonts w:ascii="Times New Roman" w:hAnsi="Times New Roman"/>
          <w:sz w:val="24"/>
          <w:szCs w:val="24"/>
          <w:shd w:val="clear" w:color="auto" w:fill="FFFFFF"/>
          <w:lang w:val="sr-Cyrl-CS"/>
        </w:rPr>
        <w:t xml:space="preserve"> </w:t>
      </w:r>
      <w:r w:rsidRPr="00EA2A04">
        <w:rPr>
          <w:rFonts w:ascii="Times New Roman" w:hAnsi="Times New Roman"/>
          <w:sz w:val="24"/>
          <w:szCs w:val="24"/>
          <w:shd w:val="clear" w:color="auto" w:fill="FFFFFF"/>
          <w:lang w:val="sr-Cyrl-CS"/>
        </w:rPr>
        <w:lastRenderedPageBreak/>
        <w:t>острва</w:t>
      </w:r>
      <w:r w:rsidR="00A556CD" w:rsidRPr="00EA2A04">
        <w:rPr>
          <w:rFonts w:ascii="Times New Roman" w:hAnsi="Times New Roman"/>
          <w:sz w:val="24"/>
          <w:szCs w:val="24"/>
          <w:shd w:val="clear" w:color="auto" w:fill="FFFFFF"/>
          <w:lang w:val="sr-Cyrl-CS"/>
        </w:rPr>
        <w:t xml:space="preserve">, </w:t>
      </w:r>
      <w:r w:rsidRPr="00EA2A04">
        <w:rPr>
          <w:rFonts w:ascii="Times New Roman" w:hAnsi="Times New Roman"/>
          <w:sz w:val="24"/>
          <w:szCs w:val="24"/>
          <w:shd w:val="clear" w:color="auto" w:fill="FFFFFF"/>
          <w:lang w:val="sr-Cyrl-CS"/>
        </w:rPr>
        <w:t>Доминиканска</w:t>
      </w:r>
      <w:r w:rsidR="00A556CD" w:rsidRPr="00EA2A04">
        <w:rPr>
          <w:rFonts w:ascii="Times New Roman" w:hAnsi="Times New Roman"/>
          <w:sz w:val="24"/>
          <w:szCs w:val="24"/>
          <w:shd w:val="clear" w:color="auto" w:fill="FFFFFF"/>
          <w:lang w:val="sr-Cyrl-CS"/>
        </w:rPr>
        <w:t xml:space="preserve"> </w:t>
      </w:r>
      <w:r w:rsidRPr="00EA2A04">
        <w:rPr>
          <w:rFonts w:ascii="Times New Roman" w:hAnsi="Times New Roman"/>
          <w:sz w:val="24"/>
          <w:szCs w:val="24"/>
          <w:shd w:val="clear" w:color="auto" w:fill="FFFFFF"/>
          <w:lang w:val="sr-Cyrl-CS"/>
        </w:rPr>
        <w:t>Република</w:t>
      </w:r>
      <w:r w:rsidR="00A556CD" w:rsidRPr="00EA2A04">
        <w:rPr>
          <w:rFonts w:ascii="Times New Roman" w:hAnsi="Times New Roman"/>
          <w:sz w:val="24"/>
          <w:szCs w:val="24"/>
          <w:shd w:val="clear" w:color="auto" w:fill="FFFFFF"/>
          <w:lang w:val="sr-Cyrl-CS"/>
        </w:rPr>
        <w:t xml:space="preserve">, </w:t>
      </w:r>
      <w:r w:rsidRPr="00EA2A04">
        <w:rPr>
          <w:rFonts w:ascii="Times New Roman" w:hAnsi="Times New Roman"/>
          <w:sz w:val="24"/>
          <w:szCs w:val="24"/>
          <w:shd w:val="clear" w:color="auto" w:fill="FFFFFF"/>
          <w:lang w:val="sr-Cyrl-CS"/>
        </w:rPr>
        <w:t>Фокландска</w:t>
      </w:r>
      <w:r w:rsidR="00A556CD" w:rsidRPr="00EA2A04">
        <w:rPr>
          <w:rFonts w:ascii="Times New Roman" w:hAnsi="Times New Roman"/>
          <w:sz w:val="24"/>
          <w:szCs w:val="24"/>
          <w:shd w:val="clear" w:color="auto" w:fill="FFFFFF"/>
          <w:lang w:val="sr-Cyrl-CS"/>
        </w:rPr>
        <w:t xml:space="preserve"> </w:t>
      </w:r>
      <w:r w:rsidRPr="00EA2A04">
        <w:rPr>
          <w:rFonts w:ascii="Times New Roman" w:hAnsi="Times New Roman"/>
          <w:sz w:val="24"/>
          <w:szCs w:val="24"/>
          <w:shd w:val="clear" w:color="auto" w:fill="FFFFFF"/>
          <w:lang w:val="sr-Cyrl-CS"/>
        </w:rPr>
        <w:t>острва</w:t>
      </w:r>
      <w:r w:rsidR="00A556CD" w:rsidRPr="00EA2A04">
        <w:rPr>
          <w:rFonts w:ascii="Times New Roman" w:hAnsi="Times New Roman"/>
          <w:sz w:val="24"/>
          <w:szCs w:val="24"/>
          <w:shd w:val="clear" w:color="auto" w:fill="FFFFFF"/>
          <w:lang w:val="sr-Cyrl-CS"/>
        </w:rPr>
        <w:t xml:space="preserve">, </w:t>
      </w:r>
      <w:r w:rsidRPr="00EA2A04">
        <w:rPr>
          <w:rFonts w:ascii="Times New Roman" w:hAnsi="Times New Roman"/>
          <w:sz w:val="24"/>
          <w:szCs w:val="24"/>
          <w:shd w:val="clear" w:color="auto" w:fill="FFFFFF"/>
          <w:lang w:val="sr-Cyrl-CS"/>
        </w:rPr>
        <w:t>Фи</w:t>
      </w:r>
      <w:r w:rsidR="00A556CD" w:rsidRPr="00EA2A04">
        <w:rPr>
          <w:rFonts w:ascii="Times New Roman" w:hAnsi="Times New Roman"/>
          <w:sz w:val="24"/>
          <w:szCs w:val="24"/>
          <w:shd w:val="clear" w:color="auto" w:fill="FFFFFF"/>
          <w:lang w:val="sr-Cyrl-CS"/>
        </w:rPr>
        <w:t>x</w:t>
      </w:r>
      <w:r w:rsidRPr="00EA2A04">
        <w:rPr>
          <w:rFonts w:ascii="Times New Roman" w:hAnsi="Times New Roman"/>
          <w:sz w:val="24"/>
          <w:szCs w:val="24"/>
          <w:shd w:val="clear" w:color="auto" w:fill="FFFFFF"/>
          <w:lang w:val="sr-Cyrl-CS"/>
        </w:rPr>
        <w:t>и</w:t>
      </w:r>
      <w:r w:rsidR="00A556CD" w:rsidRPr="00EA2A04">
        <w:rPr>
          <w:rFonts w:ascii="Times New Roman" w:hAnsi="Times New Roman"/>
          <w:sz w:val="24"/>
          <w:szCs w:val="24"/>
          <w:shd w:val="clear" w:color="auto" w:fill="FFFFFF"/>
          <w:lang w:val="sr-Cyrl-CS"/>
        </w:rPr>
        <w:t xml:space="preserve">, </w:t>
      </w:r>
      <w:r w:rsidRPr="00EA2A04">
        <w:rPr>
          <w:rFonts w:ascii="Times New Roman" w:hAnsi="Times New Roman"/>
          <w:sz w:val="24"/>
          <w:szCs w:val="24"/>
          <w:shd w:val="clear" w:color="auto" w:fill="FFFFFF"/>
          <w:lang w:val="sr-Cyrl-CS"/>
        </w:rPr>
        <w:t>Гибралтар</w:t>
      </w:r>
      <w:r w:rsidR="00A556CD" w:rsidRPr="00EA2A04">
        <w:rPr>
          <w:rFonts w:ascii="Times New Roman" w:hAnsi="Times New Roman"/>
          <w:sz w:val="24"/>
          <w:szCs w:val="24"/>
          <w:shd w:val="clear" w:color="auto" w:fill="FFFFFF"/>
          <w:lang w:val="sr-Cyrl-CS"/>
        </w:rPr>
        <w:t xml:space="preserve">, </w:t>
      </w:r>
      <w:r w:rsidRPr="00EA2A04">
        <w:rPr>
          <w:rFonts w:ascii="Times New Roman" w:hAnsi="Times New Roman"/>
          <w:sz w:val="24"/>
          <w:szCs w:val="24"/>
          <w:shd w:val="clear" w:color="auto" w:fill="FFFFFF"/>
          <w:lang w:val="sr-Cyrl-CS"/>
        </w:rPr>
        <w:t>Гренада</w:t>
      </w:r>
      <w:r w:rsidR="00A556CD" w:rsidRPr="00EA2A04">
        <w:rPr>
          <w:rFonts w:ascii="Times New Roman" w:hAnsi="Times New Roman"/>
          <w:sz w:val="24"/>
          <w:szCs w:val="24"/>
          <w:shd w:val="clear" w:color="auto" w:fill="FFFFFF"/>
          <w:lang w:val="sr-Cyrl-CS"/>
        </w:rPr>
        <w:t xml:space="preserve">, </w:t>
      </w:r>
      <w:r w:rsidRPr="00EA2A04">
        <w:rPr>
          <w:rFonts w:ascii="Times New Roman" w:hAnsi="Times New Roman"/>
          <w:sz w:val="24"/>
          <w:szCs w:val="24"/>
          <w:shd w:val="clear" w:color="auto" w:fill="FFFFFF"/>
          <w:lang w:val="sr-Cyrl-CS"/>
        </w:rPr>
        <w:t>Гвам</w:t>
      </w:r>
      <w:r w:rsidR="00A556CD" w:rsidRPr="00EA2A04">
        <w:rPr>
          <w:rFonts w:ascii="Times New Roman" w:hAnsi="Times New Roman"/>
          <w:sz w:val="24"/>
          <w:szCs w:val="24"/>
          <w:shd w:val="clear" w:color="auto" w:fill="FFFFFF"/>
          <w:lang w:val="sr-Cyrl-CS"/>
        </w:rPr>
        <w:t xml:space="preserve">, </w:t>
      </w:r>
      <w:r w:rsidRPr="00EA2A04">
        <w:rPr>
          <w:rFonts w:ascii="Times New Roman" w:hAnsi="Times New Roman"/>
          <w:sz w:val="24"/>
          <w:szCs w:val="24"/>
          <w:shd w:val="clear" w:color="auto" w:fill="FFFFFF"/>
          <w:lang w:val="sr-Cyrl-CS"/>
        </w:rPr>
        <w:t>Гернзи</w:t>
      </w:r>
      <w:r w:rsidR="00A556CD" w:rsidRPr="00EA2A04">
        <w:rPr>
          <w:rFonts w:ascii="Times New Roman" w:hAnsi="Times New Roman"/>
          <w:sz w:val="24"/>
          <w:szCs w:val="24"/>
          <w:shd w:val="clear" w:color="auto" w:fill="FFFFFF"/>
          <w:lang w:val="sr-Cyrl-CS"/>
        </w:rPr>
        <w:t xml:space="preserve">, </w:t>
      </w:r>
      <w:r w:rsidRPr="00EA2A04">
        <w:rPr>
          <w:rFonts w:ascii="Times New Roman" w:hAnsi="Times New Roman"/>
          <w:sz w:val="24"/>
          <w:szCs w:val="24"/>
          <w:shd w:val="clear" w:color="auto" w:fill="FFFFFF"/>
          <w:lang w:val="sr-Cyrl-CS"/>
        </w:rPr>
        <w:t>Гвајана</w:t>
      </w:r>
      <w:r w:rsidR="00A556CD" w:rsidRPr="00EA2A04">
        <w:rPr>
          <w:rFonts w:ascii="Times New Roman" w:hAnsi="Times New Roman"/>
          <w:sz w:val="24"/>
          <w:szCs w:val="24"/>
          <w:shd w:val="clear" w:color="auto" w:fill="FFFFFF"/>
          <w:lang w:val="sr-Cyrl-CS"/>
        </w:rPr>
        <w:t xml:space="preserve">, </w:t>
      </w:r>
      <w:r w:rsidRPr="00EA2A04">
        <w:rPr>
          <w:rFonts w:ascii="Times New Roman" w:hAnsi="Times New Roman"/>
          <w:sz w:val="24"/>
          <w:szCs w:val="24"/>
          <w:shd w:val="clear" w:color="auto" w:fill="FFFFFF"/>
          <w:lang w:val="sr-Cyrl-CS"/>
        </w:rPr>
        <w:t>Хонг</w:t>
      </w:r>
      <w:r w:rsidR="00A556CD" w:rsidRPr="00EA2A04">
        <w:rPr>
          <w:rFonts w:ascii="Times New Roman" w:hAnsi="Times New Roman"/>
          <w:sz w:val="24"/>
          <w:szCs w:val="24"/>
          <w:shd w:val="clear" w:color="auto" w:fill="FFFFFF"/>
          <w:lang w:val="sr-Cyrl-CS"/>
        </w:rPr>
        <w:t xml:space="preserve"> </w:t>
      </w:r>
      <w:r w:rsidRPr="00EA2A04">
        <w:rPr>
          <w:rFonts w:ascii="Times New Roman" w:hAnsi="Times New Roman"/>
          <w:sz w:val="24"/>
          <w:szCs w:val="24"/>
          <w:shd w:val="clear" w:color="auto" w:fill="FFFFFF"/>
          <w:lang w:val="sr-Cyrl-CS"/>
        </w:rPr>
        <w:t>Конг</w:t>
      </w:r>
      <w:r w:rsidR="00A556CD" w:rsidRPr="00EA2A04">
        <w:rPr>
          <w:rFonts w:ascii="Times New Roman" w:hAnsi="Times New Roman"/>
          <w:sz w:val="24"/>
          <w:szCs w:val="24"/>
          <w:shd w:val="clear" w:color="auto" w:fill="FFFFFF"/>
          <w:lang w:val="sr-Cyrl-CS"/>
        </w:rPr>
        <w:t xml:space="preserve">, </w:t>
      </w:r>
      <w:r w:rsidRPr="00EA2A04">
        <w:rPr>
          <w:rFonts w:ascii="Times New Roman" w:hAnsi="Times New Roman"/>
          <w:sz w:val="24"/>
          <w:szCs w:val="24"/>
          <w:shd w:val="clear" w:color="auto" w:fill="FFFFFF"/>
          <w:lang w:val="sr-Cyrl-CS"/>
        </w:rPr>
        <w:t>Острво</w:t>
      </w:r>
      <w:r w:rsidR="00A556CD" w:rsidRPr="00EA2A04">
        <w:rPr>
          <w:rFonts w:ascii="Times New Roman" w:hAnsi="Times New Roman"/>
          <w:sz w:val="24"/>
          <w:szCs w:val="24"/>
          <w:shd w:val="clear" w:color="auto" w:fill="FFFFFF"/>
          <w:lang w:val="sr-Cyrl-CS"/>
        </w:rPr>
        <w:t xml:space="preserve"> </w:t>
      </w:r>
      <w:r w:rsidRPr="00EA2A04">
        <w:rPr>
          <w:rFonts w:ascii="Times New Roman" w:hAnsi="Times New Roman"/>
          <w:sz w:val="24"/>
          <w:szCs w:val="24"/>
          <w:shd w:val="clear" w:color="auto" w:fill="FFFFFF"/>
          <w:lang w:val="sr-Cyrl-CS"/>
        </w:rPr>
        <w:t>Мен</w:t>
      </w:r>
      <w:r w:rsidR="00A556CD" w:rsidRPr="00EA2A04">
        <w:rPr>
          <w:rFonts w:ascii="Times New Roman" w:hAnsi="Times New Roman"/>
          <w:sz w:val="24"/>
          <w:szCs w:val="24"/>
          <w:shd w:val="clear" w:color="auto" w:fill="FFFFFF"/>
          <w:lang w:val="sr-Cyrl-CS"/>
        </w:rPr>
        <w:t>, X</w:t>
      </w:r>
      <w:r w:rsidRPr="00EA2A04">
        <w:rPr>
          <w:rFonts w:ascii="Times New Roman" w:hAnsi="Times New Roman"/>
          <w:sz w:val="24"/>
          <w:szCs w:val="24"/>
          <w:shd w:val="clear" w:color="auto" w:fill="FFFFFF"/>
          <w:lang w:val="sr-Cyrl-CS"/>
        </w:rPr>
        <w:t>ерси</w:t>
      </w:r>
      <w:r w:rsidR="00A556CD" w:rsidRPr="00EA2A04">
        <w:rPr>
          <w:rFonts w:ascii="Times New Roman" w:hAnsi="Times New Roman"/>
          <w:sz w:val="24"/>
          <w:szCs w:val="24"/>
          <w:shd w:val="clear" w:color="auto" w:fill="FFFFFF"/>
          <w:lang w:val="sr-Cyrl-CS"/>
        </w:rPr>
        <w:t xml:space="preserve">, </w:t>
      </w:r>
      <w:r w:rsidRPr="00EA2A04">
        <w:rPr>
          <w:rFonts w:ascii="Times New Roman" w:hAnsi="Times New Roman"/>
          <w:sz w:val="24"/>
          <w:szCs w:val="24"/>
          <w:shd w:val="clear" w:color="auto" w:fill="FFFFFF"/>
          <w:lang w:val="sr-Cyrl-CS"/>
        </w:rPr>
        <w:t>Либерија</w:t>
      </w:r>
      <w:r w:rsidR="00A556CD" w:rsidRPr="00EA2A04">
        <w:rPr>
          <w:rFonts w:ascii="Times New Roman" w:hAnsi="Times New Roman"/>
          <w:sz w:val="24"/>
          <w:szCs w:val="24"/>
          <w:shd w:val="clear" w:color="auto" w:fill="FFFFFF"/>
          <w:lang w:val="sr-Cyrl-CS"/>
        </w:rPr>
        <w:t xml:space="preserve">, </w:t>
      </w:r>
      <w:r w:rsidRPr="00EA2A04">
        <w:rPr>
          <w:rFonts w:ascii="Times New Roman" w:hAnsi="Times New Roman"/>
          <w:sz w:val="24"/>
          <w:szCs w:val="24"/>
          <w:shd w:val="clear" w:color="auto" w:fill="FFFFFF"/>
          <w:lang w:val="sr-Cyrl-CS"/>
        </w:rPr>
        <w:t>Лихтенштајн</w:t>
      </w:r>
      <w:r w:rsidR="00A556CD" w:rsidRPr="00EA2A04">
        <w:rPr>
          <w:rFonts w:ascii="Times New Roman" w:hAnsi="Times New Roman"/>
          <w:sz w:val="24"/>
          <w:szCs w:val="24"/>
          <w:shd w:val="clear" w:color="auto" w:fill="FFFFFF"/>
          <w:lang w:val="sr-Cyrl-CS"/>
        </w:rPr>
        <w:t xml:space="preserve">, </w:t>
      </w:r>
      <w:r w:rsidRPr="00EA2A04">
        <w:rPr>
          <w:rFonts w:ascii="Times New Roman" w:hAnsi="Times New Roman"/>
          <w:sz w:val="24"/>
          <w:szCs w:val="24"/>
          <w:shd w:val="clear" w:color="auto" w:fill="FFFFFF"/>
          <w:lang w:val="sr-Cyrl-CS"/>
        </w:rPr>
        <w:t>Макао</w:t>
      </w:r>
      <w:r w:rsidR="00A556CD" w:rsidRPr="00EA2A04">
        <w:rPr>
          <w:rFonts w:ascii="Times New Roman" w:hAnsi="Times New Roman"/>
          <w:sz w:val="24"/>
          <w:szCs w:val="24"/>
          <w:shd w:val="clear" w:color="auto" w:fill="FFFFFF"/>
          <w:lang w:val="sr-Cyrl-CS"/>
        </w:rPr>
        <w:t xml:space="preserve">, </w:t>
      </w:r>
      <w:r w:rsidRPr="00EA2A04">
        <w:rPr>
          <w:rFonts w:ascii="Times New Roman" w:hAnsi="Times New Roman"/>
          <w:sz w:val="24"/>
          <w:szCs w:val="24"/>
          <w:shd w:val="clear" w:color="auto" w:fill="FFFFFF"/>
          <w:lang w:val="sr-Cyrl-CS"/>
        </w:rPr>
        <w:t>Малдиви</w:t>
      </w:r>
      <w:r w:rsidR="00A556CD" w:rsidRPr="00EA2A04">
        <w:rPr>
          <w:rFonts w:ascii="Times New Roman" w:hAnsi="Times New Roman"/>
          <w:sz w:val="24"/>
          <w:szCs w:val="24"/>
          <w:shd w:val="clear" w:color="auto" w:fill="FFFFFF"/>
          <w:lang w:val="sr-Cyrl-CS"/>
        </w:rPr>
        <w:t xml:space="preserve">, </w:t>
      </w:r>
      <w:r w:rsidRPr="00EA2A04">
        <w:rPr>
          <w:rFonts w:ascii="Times New Roman" w:hAnsi="Times New Roman"/>
          <w:sz w:val="24"/>
          <w:szCs w:val="24"/>
          <w:shd w:val="clear" w:color="auto" w:fill="FFFFFF"/>
          <w:lang w:val="sr-Cyrl-CS"/>
        </w:rPr>
        <w:t>Маршалска</w:t>
      </w:r>
      <w:r w:rsidR="00A556CD" w:rsidRPr="00EA2A04">
        <w:rPr>
          <w:rFonts w:ascii="Times New Roman" w:hAnsi="Times New Roman"/>
          <w:sz w:val="24"/>
          <w:szCs w:val="24"/>
          <w:shd w:val="clear" w:color="auto" w:fill="FFFFFF"/>
          <w:lang w:val="sr-Cyrl-CS"/>
        </w:rPr>
        <w:t xml:space="preserve"> </w:t>
      </w:r>
      <w:r w:rsidRPr="00EA2A04">
        <w:rPr>
          <w:rFonts w:ascii="Times New Roman" w:hAnsi="Times New Roman"/>
          <w:sz w:val="24"/>
          <w:szCs w:val="24"/>
          <w:shd w:val="clear" w:color="auto" w:fill="FFFFFF"/>
          <w:lang w:val="sr-Cyrl-CS"/>
        </w:rPr>
        <w:t>острва</w:t>
      </w:r>
      <w:r w:rsidR="00A556CD" w:rsidRPr="00EA2A04">
        <w:rPr>
          <w:rFonts w:ascii="Times New Roman" w:hAnsi="Times New Roman"/>
          <w:sz w:val="24"/>
          <w:szCs w:val="24"/>
          <w:shd w:val="clear" w:color="auto" w:fill="FFFFFF"/>
          <w:lang w:val="sr-Cyrl-CS"/>
        </w:rPr>
        <w:t xml:space="preserve">, </w:t>
      </w:r>
      <w:r w:rsidRPr="00EA2A04">
        <w:rPr>
          <w:rFonts w:ascii="Times New Roman" w:hAnsi="Times New Roman"/>
          <w:sz w:val="24"/>
          <w:szCs w:val="24"/>
          <w:shd w:val="clear" w:color="auto" w:fill="FFFFFF"/>
          <w:lang w:val="sr-Cyrl-CS"/>
        </w:rPr>
        <w:t>Маурицијус</w:t>
      </w:r>
      <w:r>
        <w:rPr>
          <w:rFonts w:ascii="Times New Roman" w:hAnsi="Times New Roman"/>
          <w:sz w:val="24"/>
          <w:szCs w:val="24"/>
          <w:shd w:val="clear" w:color="auto" w:fill="FFFFFF"/>
          <w:lang w:val="sr-Cyrl-CS"/>
        </w:rPr>
        <w:t>.</w:t>
      </w:r>
    </w:p>
    <w:p w:rsidR="003A57BB" w:rsidRPr="003A57BB" w:rsidRDefault="003A57BB" w:rsidP="00EA2A04">
      <w:pPr>
        <w:rPr>
          <w:rFonts w:ascii="Times New Roman" w:hAnsi="Times New Roman"/>
          <w:sz w:val="24"/>
          <w:szCs w:val="24"/>
          <w:shd w:val="clear" w:color="auto" w:fill="FFFFFF"/>
          <w:lang w:val="sr-Cyrl-CS"/>
        </w:rPr>
      </w:pPr>
    </w:p>
    <w:p w:rsidR="00C062AC" w:rsidRDefault="009B0BBF" w:rsidP="00D57F68">
      <w:pPr>
        <w:jc w:val="center"/>
        <w:rPr>
          <w:rFonts w:ascii="Times New Roman" w:hAnsi="Times New Roman"/>
          <w:b/>
          <w:sz w:val="24"/>
          <w:szCs w:val="24"/>
          <w:lang w:val="sr-Cyrl-CS"/>
        </w:rPr>
      </w:pPr>
      <w:r>
        <w:rPr>
          <w:rFonts w:ascii="Times New Roman" w:hAnsi="Times New Roman"/>
          <w:sz w:val="24"/>
          <w:szCs w:val="24"/>
          <w:lang w:val="sr-Cyrl-CS"/>
        </w:rPr>
        <w:t>5.1.3</w:t>
      </w:r>
      <w:r w:rsidR="00C062AC">
        <w:rPr>
          <w:rFonts w:ascii="Times New Roman" w:hAnsi="Times New Roman"/>
          <w:sz w:val="24"/>
          <w:szCs w:val="24"/>
          <w:lang w:val="sr-Cyrl-CS"/>
        </w:rPr>
        <w:t xml:space="preserve">. </w:t>
      </w:r>
      <w:r w:rsidR="001B6908" w:rsidRPr="001B6908">
        <w:rPr>
          <w:rFonts w:ascii="Times New Roman" w:hAnsi="Times New Roman"/>
          <w:b/>
          <w:sz w:val="24"/>
          <w:szCs w:val="24"/>
          <w:lang w:val="sr-Cyrl-CS"/>
        </w:rPr>
        <w:t>Пореска основица</w:t>
      </w:r>
    </w:p>
    <w:p w:rsidR="001B6908" w:rsidRDefault="001B6908" w:rsidP="0007172C">
      <w:pPr>
        <w:jc w:val="both"/>
        <w:rPr>
          <w:rFonts w:ascii="Times New Roman" w:hAnsi="Times New Roman"/>
          <w:sz w:val="24"/>
          <w:szCs w:val="24"/>
          <w:lang w:val="sr-Cyrl-CS"/>
        </w:rPr>
      </w:pPr>
    </w:p>
    <w:p w:rsidR="003E3E29" w:rsidRDefault="0068752C" w:rsidP="00A01F75">
      <w:pPr>
        <w:pStyle w:val="normal0"/>
        <w:shd w:val="clear" w:color="auto" w:fill="FFFFFF"/>
        <w:spacing w:before="48" w:beforeAutospacing="0" w:after="48" w:afterAutospacing="0"/>
        <w:ind w:firstLine="708"/>
        <w:jc w:val="both"/>
        <w:rPr>
          <w:color w:val="000000"/>
          <w:lang w:val="sr-Cyrl-CS"/>
        </w:rPr>
      </w:pPr>
      <w:r>
        <w:rPr>
          <w:lang w:val="sr-Cyrl-CS"/>
        </w:rPr>
        <w:t>Основицу</w:t>
      </w:r>
      <w:r w:rsidR="007C267D" w:rsidRPr="00A01F75">
        <w:rPr>
          <w:lang w:val="sr-Cyrl-CS"/>
        </w:rPr>
        <w:t xml:space="preserve"> пореза на добит правних лица </w:t>
      </w:r>
      <w:r>
        <w:rPr>
          <w:lang w:val="sr-Cyrl-CS"/>
        </w:rPr>
        <w:t>чини</w:t>
      </w:r>
      <w:r w:rsidR="007C267D" w:rsidRPr="00A01F75">
        <w:rPr>
          <w:lang w:val="sr-Cyrl-CS"/>
        </w:rPr>
        <w:t xml:space="preserve"> опорезива добит</w:t>
      </w:r>
      <w:r w:rsidR="00C062AC" w:rsidRPr="00A01F75">
        <w:rPr>
          <w:lang w:val="sr-Cyrl-CS"/>
        </w:rPr>
        <w:t xml:space="preserve"> која</w:t>
      </w:r>
      <w:r>
        <w:rPr>
          <w:lang w:val="sr-Cyrl-CS"/>
        </w:rPr>
        <w:t xml:space="preserve"> се утврђује у пореском билансу и представља</w:t>
      </w:r>
      <w:r w:rsidR="00C062AC" w:rsidRPr="00A01F75">
        <w:rPr>
          <w:lang w:val="sr-Cyrl-CS"/>
        </w:rPr>
        <w:t xml:space="preserve"> </w:t>
      </w:r>
      <w:r>
        <w:rPr>
          <w:lang w:val="sr-Cyrl-CS"/>
        </w:rPr>
        <w:t>реализовану</w:t>
      </w:r>
      <w:r w:rsidR="008878D5" w:rsidRPr="00A01F75">
        <w:rPr>
          <w:lang w:val="sr-Cyrl-CS"/>
        </w:rPr>
        <w:t xml:space="preserve"> нето добит, која се добија умањењем бруто добити за </w:t>
      </w:r>
      <w:r w:rsidR="00A01F75">
        <w:rPr>
          <w:lang w:val="sr-Cyrl-CS"/>
        </w:rPr>
        <w:t>одређене дедукције</w:t>
      </w:r>
      <w:r w:rsidR="008878D5" w:rsidRPr="00A01F75">
        <w:rPr>
          <w:lang w:val="sr-Cyrl-CS"/>
        </w:rPr>
        <w:t>.</w:t>
      </w:r>
      <w:r w:rsidR="008878D5" w:rsidRPr="00A01F75">
        <w:rPr>
          <w:rStyle w:val="FootnoteReference"/>
          <w:lang w:val="sr-Cyrl-CS"/>
        </w:rPr>
        <w:footnoteReference w:id="247"/>
      </w:r>
      <w:r w:rsidR="008878D5" w:rsidRPr="00A01F75">
        <w:rPr>
          <w:lang w:val="sr-Cyrl-CS"/>
        </w:rPr>
        <w:t xml:space="preserve"> </w:t>
      </w:r>
      <w:r w:rsidR="00A01F75" w:rsidRPr="00A01F75">
        <w:rPr>
          <w:color w:val="000000"/>
        </w:rPr>
        <w:t>Опорезива</w:t>
      </w:r>
      <w:r w:rsidR="00C062AC" w:rsidRPr="00A01F75">
        <w:rPr>
          <w:color w:val="000000"/>
        </w:rPr>
        <w:t xml:space="preserve"> </w:t>
      </w:r>
      <w:r w:rsidR="00A01F75" w:rsidRPr="00A01F75">
        <w:rPr>
          <w:color w:val="000000"/>
        </w:rPr>
        <w:t>добит</w:t>
      </w:r>
      <w:r w:rsidR="00C062AC" w:rsidRPr="00A01F75">
        <w:rPr>
          <w:color w:val="000000"/>
        </w:rPr>
        <w:t xml:space="preserve"> </w:t>
      </w:r>
      <w:r w:rsidR="00A01F75" w:rsidRPr="00A01F75">
        <w:rPr>
          <w:color w:val="000000"/>
        </w:rPr>
        <w:t>утврђује</w:t>
      </w:r>
      <w:r w:rsidR="00C062AC" w:rsidRPr="00A01F75">
        <w:rPr>
          <w:color w:val="000000"/>
        </w:rPr>
        <w:t xml:space="preserve"> </w:t>
      </w:r>
      <w:r w:rsidR="00A01F75" w:rsidRPr="00A01F75">
        <w:rPr>
          <w:color w:val="000000"/>
        </w:rPr>
        <w:t>се</w:t>
      </w:r>
      <w:r w:rsidR="00C062AC" w:rsidRPr="00A01F75">
        <w:rPr>
          <w:color w:val="000000"/>
        </w:rPr>
        <w:t xml:space="preserve"> </w:t>
      </w:r>
      <w:r w:rsidR="00A01F75" w:rsidRPr="00A01F75">
        <w:rPr>
          <w:color w:val="000000"/>
        </w:rPr>
        <w:t>у</w:t>
      </w:r>
      <w:r w:rsidR="00C062AC" w:rsidRPr="00A01F75">
        <w:rPr>
          <w:color w:val="000000"/>
        </w:rPr>
        <w:t xml:space="preserve"> </w:t>
      </w:r>
      <w:r w:rsidR="00A01F75" w:rsidRPr="00A01F75">
        <w:rPr>
          <w:color w:val="000000"/>
        </w:rPr>
        <w:t>пореском</w:t>
      </w:r>
      <w:r w:rsidR="00C062AC" w:rsidRPr="00A01F75">
        <w:rPr>
          <w:color w:val="000000"/>
        </w:rPr>
        <w:t xml:space="preserve"> </w:t>
      </w:r>
      <w:r w:rsidR="00A01F75" w:rsidRPr="00A01F75">
        <w:rPr>
          <w:color w:val="000000"/>
        </w:rPr>
        <w:t>билансу</w:t>
      </w:r>
      <w:r w:rsidR="00C062AC" w:rsidRPr="00A01F75">
        <w:rPr>
          <w:color w:val="000000"/>
        </w:rPr>
        <w:t xml:space="preserve"> </w:t>
      </w:r>
      <w:r w:rsidR="00A01F75" w:rsidRPr="00A01F75">
        <w:rPr>
          <w:color w:val="000000"/>
        </w:rPr>
        <w:t>усклађивањем</w:t>
      </w:r>
      <w:r w:rsidR="00C062AC" w:rsidRPr="00A01F75">
        <w:rPr>
          <w:color w:val="000000"/>
        </w:rPr>
        <w:t xml:space="preserve"> </w:t>
      </w:r>
      <w:r w:rsidR="00A01F75" w:rsidRPr="00A01F75">
        <w:rPr>
          <w:color w:val="000000"/>
        </w:rPr>
        <w:t>добити</w:t>
      </w:r>
      <w:r w:rsidR="00C062AC" w:rsidRPr="00A01F75">
        <w:rPr>
          <w:color w:val="000000"/>
        </w:rPr>
        <w:t xml:space="preserve"> </w:t>
      </w:r>
      <w:r w:rsidR="00A01F75" w:rsidRPr="00A01F75">
        <w:rPr>
          <w:color w:val="000000"/>
        </w:rPr>
        <w:t>обвезника</w:t>
      </w:r>
      <w:r w:rsidR="00C062AC" w:rsidRPr="00A01F75">
        <w:rPr>
          <w:color w:val="000000"/>
        </w:rPr>
        <w:t xml:space="preserve"> </w:t>
      </w:r>
      <w:r w:rsidR="00A01F75" w:rsidRPr="00A01F75">
        <w:rPr>
          <w:color w:val="000000"/>
        </w:rPr>
        <w:t>исказане</w:t>
      </w:r>
      <w:r w:rsidR="00C062AC" w:rsidRPr="00A01F75">
        <w:rPr>
          <w:color w:val="000000"/>
        </w:rPr>
        <w:t xml:space="preserve"> </w:t>
      </w:r>
      <w:r w:rsidR="00A01F75" w:rsidRPr="00A01F75">
        <w:rPr>
          <w:color w:val="000000"/>
        </w:rPr>
        <w:t>у</w:t>
      </w:r>
      <w:r w:rsidR="00C062AC" w:rsidRPr="00A01F75">
        <w:rPr>
          <w:color w:val="000000"/>
        </w:rPr>
        <w:t xml:space="preserve"> </w:t>
      </w:r>
      <w:r w:rsidR="00A01F75" w:rsidRPr="00A01F75">
        <w:rPr>
          <w:color w:val="000000"/>
        </w:rPr>
        <w:t>билансу</w:t>
      </w:r>
      <w:r w:rsidR="00C062AC" w:rsidRPr="00A01F75">
        <w:rPr>
          <w:color w:val="000000"/>
        </w:rPr>
        <w:t xml:space="preserve"> </w:t>
      </w:r>
      <w:r w:rsidR="00A01F75" w:rsidRPr="00A01F75">
        <w:rPr>
          <w:color w:val="000000"/>
        </w:rPr>
        <w:t>успеха</w:t>
      </w:r>
      <w:r w:rsidR="00C062AC" w:rsidRPr="00A01F75">
        <w:rPr>
          <w:color w:val="000000"/>
        </w:rPr>
        <w:t xml:space="preserve">, </w:t>
      </w:r>
      <w:r w:rsidR="00A01F75" w:rsidRPr="00A01F75">
        <w:rPr>
          <w:color w:val="000000"/>
        </w:rPr>
        <w:t>који</w:t>
      </w:r>
      <w:r w:rsidR="00C062AC" w:rsidRPr="00A01F75">
        <w:rPr>
          <w:color w:val="000000"/>
        </w:rPr>
        <w:t xml:space="preserve"> </w:t>
      </w:r>
      <w:r w:rsidR="00A01F75" w:rsidRPr="00A01F75">
        <w:rPr>
          <w:color w:val="000000"/>
        </w:rPr>
        <w:t>је</w:t>
      </w:r>
      <w:r w:rsidR="00C062AC" w:rsidRPr="00A01F75">
        <w:rPr>
          <w:color w:val="000000"/>
        </w:rPr>
        <w:t xml:space="preserve"> </w:t>
      </w:r>
      <w:r w:rsidR="00A01F75" w:rsidRPr="00A01F75">
        <w:rPr>
          <w:color w:val="000000"/>
        </w:rPr>
        <w:t>сачињен</w:t>
      </w:r>
      <w:r w:rsidR="00C062AC" w:rsidRPr="00A01F75">
        <w:rPr>
          <w:color w:val="000000"/>
        </w:rPr>
        <w:t xml:space="preserve"> </w:t>
      </w:r>
      <w:r w:rsidR="00A01F75" w:rsidRPr="00A01F75">
        <w:rPr>
          <w:color w:val="000000"/>
        </w:rPr>
        <w:t>у</w:t>
      </w:r>
      <w:r w:rsidR="00C062AC" w:rsidRPr="00A01F75">
        <w:rPr>
          <w:color w:val="000000"/>
        </w:rPr>
        <w:t xml:space="preserve"> </w:t>
      </w:r>
      <w:r w:rsidR="00A01F75" w:rsidRPr="00A01F75">
        <w:rPr>
          <w:color w:val="000000"/>
        </w:rPr>
        <w:t>складу</w:t>
      </w:r>
      <w:r w:rsidR="00C062AC" w:rsidRPr="00A01F75">
        <w:rPr>
          <w:color w:val="000000"/>
        </w:rPr>
        <w:t xml:space="preserve"> </w:t>
      </w:r>
      <w:r w:rsidR="00A01F75" w:rsidRPr="00A01F75">
        <w:rPr>
          <w:color w:val="000000"/>
        </w:rPr>
        <w:t>са</w:t>
      </w:r>
      <w:r w:rsidR="00C062AC" w:rsidRPr="00A01F75">
        <w:rPr>
          <w:color w:val="000000"/>
        </w:rPr>
        <w:t xml:space="preserve"> </w:t>
      </w:r>
      <w:r w:rsidR="00A01F75" w:rsidRPr="00A01F75">
        <w:rPr>
          <w:color w:val="000000"/>
        </w:rPr>
        <w:t>међународним</w:t>
      </w:r>
      <w:r w:rsidR="00C062AC" w:rsidRPr="00A01F75">
        <w:rPr>
          <w:color w:val="000000"/>
        </w:rPr>
        <w:t xml:space="preserve"> </w:t>
      </w:r>
      <w:r w:rsidR="00A01F75" w:rsidRPr="00A01F75">
        <w:rPr>
          <w:color w:val="000000"/>
        </w:rPr>
        <w:t>рачуноводственим</w:t>
      </w:r>
      <w:r w:rsidR="00C062AC" w:rsidRPr="00A01F75">
        <w:rPr>
          <w:color w:val="000000"/>
        </w:rPr>
        <w:t xml:space="preserve"> </w:t>
      </w:r>
      <w:r w:rsidR="00A01F75" w:rsidRPr="00A01F75">
        <w:rPr>
          <w:color w:val="000000"/>
        </w:rPr>
        <w:t>стандардима</w:t>
      </w:r>
      <w:r w:rsidR="00C062AC" w:rsidRPr="00A01F75">
        <w:rPr>
          <w:color w:val="000000"/>
        </w:rPr>
        <w:t xml:space="preserve"> (</w:t>
      </w:r>
      <w:r w:rsidR="00A01F75" w:rsidRPr="00A01F75">
        <w:rPr>
          <w:color w:val="000000"/>
        </w:rPr>
        <w:t>МРС</w:t>
      </w:r>
      <w:r w:rsidR="00C062AC" w:rsidRPr="00A01F75">
        <w:rPr>
          <w:color w:val="000000"/>
        </w:rPr>
        <w:t xml:space="preserve">), </w:t>
      </w:r>
      <w:r w:rsidR="00A01F75" w:rsidRPr="00A01F75">
        <w:rPr>
          <w:color w:val="000000"/>
        </w:rPr>
        <w:t>односно</w:t>
      </w:r>
      <w:r w:rsidR="00C062AC" w:rsidRPr="00A01F75">
        <w:rPr>
          <w:color w:val="000000"/>
        </w:rPr>
        <w:t xml:space="preserve"> </w:t>
      </w:r>
      <w:r w:rsidR="00A01F75" w:rsidRPr="00A01F75">
        <w:rPr>
          <w:color w:val="000000"/>
        </w:rPr>
        <w:t>међународним</w:t>
      </w:r>
      <w:r w:rsidR="00C062AC" w:rsidRPr="00A01F75">
        <w:rPr>
          <w:color w:val="000000"/>
        </w:rPr>
        <w:t xml:space="preserve"> </w:t>
      </w:r>
      <w:r w:rsidR="00A01F75" w:rsidRPr="00A01F75">
        <w:rPr>
          <w:color w:val="000000"/>
        </w:rPr>
        <w:t>стандардима</w:t>
      </w:r>
      <w:r w:rsidR="00C062AC" w:rsidRPr="00A01F75">
        <w:rPr>
          <w:color w:val="000000"/>
        </w:rPr>
        <w:t xml:space="preserve"> </w:t>
      </w:r>
      <w:r w:rsidR="00A01F75" w:rsidRPr="00A01F75">
        <w:rPr>
          <w:color w:val="000000"/>
        </w:rPr>
        <w:t>финансијског</w:t>
      </w:r>
      <w:r w:rsidR="00C062AC" w:rsidRPr="00A01F75">
        <w:rPr>
          <w:color w:val="000000"/>
        </w:rPr>
        <w:t xml:space="preserve"> </w:t>
      </w:r>
      <w:r w:rsidR="00A01F75" w:rsidRPr="00A01F75">
        <w:rPr>
          <w:color w:val="000000"/>
        </w:rPr>
        <w:t>извештавања</w:t>
      </w:r>
      <w:r w:rsidR="00C062AC" w:rsidRPr="00A01F75">
        <w:rPr>
          <w:color w:val="000000"/>
        </w:rPr>
        <w:t xml:space="preserve"> (</w:t>
      </w:r>
      <w:r w:rsidR="00A01F75" w:rsidRPr="00A01F75">
        <w:rPr>
          <w:color w:val="000000"/>
        </w:rPr>
        <w:t>МСФИ</w:t>
      </w:r>
      <w:r w:rsidR="00C062AC" w:rsidRPr="00A01F75">
        <w:rPr>
          <w:color w:val="000000"/>
        </w:rPr>
        <w:t xml:space="preserve">) </w:t>
      </w:r>
      <w:r w:rsidR="00A01F75" w:rsidRPr="00A01F75">
        <w:rPr>
          <w:color w:val="000000"/>
        </w:rPr>
        <w:t>и</w:t>
      </w:r>
      <w:r w:rsidR="00C062AC" w:rsidRPr="00A01F75">
        <w:rPr>
          <w:color w:val="000000"/>
        </w:rPr>
        <w:t xml:space="preserve"> </w:t>
      </w:r>
      <w:r w:rsidR="00A01F75" w:rsidRPr="00A01F75">
        <w:rPr>
          <w:color w:val="000000"/>
        </w:rPr>
        <w:t>прописима</w:t>
      </w:r>
      <w:r w:rsidR="00C062AC" w:rsidRPr="00A01F75">
        <w:rPr>
          <w:color w:val="000000"/>
        </w:rPr>
        <w:t xml:space="preserve"> </w:t>
      </w:r>
      <w:r w:rsidR="00A01F75" w:rsidRPr="00A01F75">
        <w:rPr>
          <w:color w:val="000000"/>
        </w:rPr>
        <w:t>којима</w:t>
      </w:r>
      <w:r w:rsidR="00C062AC" w:rsidRPr="00A01F75">
        <w:rPr>
          <w:color w:val="000000"/>
        </w:rPr>
        <w:t xml:space="preserve"> </w:t>
      </w:r>
      <w:r w:rsidR="00A01F75" w:rsidRPr="00A01F75">
        <w:rPr>
          <w:color w:val="000000"/>
        </w:rPr>
        <w:t>се</w:t>
      </w:r>
      <w:r w:rsidR="00C062AC" w:rsidRPr="00A01F75">
        <w:rPr>
          <w:color w:val="000000"/>
        </w:rPr>
        <w:t xml:space="preserve"> </w:t>
      </w:r>
      <w:r w:rsidR="00A01F75" w:rsidRPr="00A01F75">
        <w:rPr>
          <w:color w:val="000000"/>
        </w:rPr>
        <w:t>уређује</w:t>
      </w:r>
      <w:r w:rsidR="00C062AC" w:rsidRPr="00A01F75">
        <w:rPr>
          <w:color w:val="000000"/>
        </w:rPr>
        <w:t xml:space="preserve"> </w:t>
      </w:r>
      <w:r w:rsidR="00A01F75" w:rsidRPr="00A01F75">
        <w:rPr>
          <w:color w:val="000000"/>
        </w:rPr>
        <w:t>рачуноводство</w:t>
      </w:r>
      <w:r w:rsidR="00C062AC" w:rsidRPr="00A01F75">
        <w:rPr>
          <w:color w:val="000000"/>
        </w:rPr>
        <w:t xml:space="preserve"> </w:t>
      </w:r>
      <w:r w:rsidR="00A01F75" w:rsidRPr="00A01F75">
        <w:rPr>
          <w:color w:val="000000"/>
        </w:rPr>
        <w:t>и</w:t>
      </w:r>
      <w:r w:rsidR="00C062AC" w:rsidRPr="00A01F75">
        <w:rPr>
          <w:color w:val="000000"/>
        </w:rPr>
        <w:t xml:space="preserve"> </w:t>
      </w:r>
      <w:r w:rsidR="00A01F75" w:rsidRPr="00A01F75">
        <w:rPr>
          <w:color w:val="000000"/>
        </w:rPr>
        <w:t>ревизија</w:t>
      </w:r>
      <w:r w:rsidR="00C062AC" w:rsidRPr="00A01F75">
        <w:rPr>
          <w:color w:val="000000"/>
        </w:rPr>
        <w:t xml:space="preserve">, </w:t>
      </w:r>
      <w:r w:rsidR="00A01F75" w:rsidRPr="00A01F75">
        <w:rPr>
          <w:color w:val="000000"/>
        </w:rPr>
        <w:t>на</w:t>
      </w:r>
      <w:r w:rsidR="00C062AC" w:rsidRPr="00A01F75">
        <w:rPr>
          <w:color w:val="000000"/>
        </w:rPr>
        <w:t xml:space="preserve"> </w:t>
      </w:r>
      <w:r w:rsidR="00A01F75" w:rsidRPr="00A01F75">
        <w:rPr>
          <w:color w:val="000000"/>
        </w:rPr>
        <w:t>начин</w:t>
      </w:r>
      <w:r w:rsidR="00C062AC" w:rsidRPr="00A01F75">
        <w:rPr>
          <w:color w:val="000000"/>
        </w:rPr>
        <w:t xml:space="preserve"> </w:t>
      </w:r>
      <w:r w:rsidR="00A01F75" w:rsidRPr="00A01F75">
        <w:rPr>
          <w:color w:val="000000"/>
        </w:rPr>
        <w:t>утврђен</w:t>
      </w:r>
      <w:r w:rsidR="00C062AC" w:rsidRPr="00A01F75">
        <w:rPr>
          <w:color w:val="000000"/>
        </w:rPr>
        <w:t xml:space="preserve"> </w:t>
      </w:r>
      <w:r w:rsidR="00A01F75" w:rsidRPr="00A01F75">
        <w:rPr>
          <w:color w:val="000000"/>
        </w:rPr>
        <w:t>овим</w:t>
      </w:r>
      <w:r w:rsidR="00C062AC" w:rsidRPr="00A01F75">
        <w:rPr>
          <w:color w:val="000000"/>
        </w:rPr>
        <w:t xml:space="preserve"> </w:t>
      </w:r>
      <w:r w:rsidR="00A01F75" w:rsidRPr="00A01F75">
        <w:rPr>
          <w:color w:val="000000"/>
        </w:rPr>
        <w:t>законом</w:t>
      </w:r>
      <w:r w:rsidR="00C062AC" w:rsidRPr="00A01F75">
        <w:rPr>
          <w:color w:val="000000"/>
        </w:rPr>
        <w:t>.</w:t>
      </w:r>
      <w:r w:rsidR="0014352F" w:rsidRPr="00A01F75">
        <w:rPr>
          <w:color w:val="000000"/>
          <w:lang w:val="sr-Cyrl-CS"/>
        </w:rPr>
        <w:t xml:space="preserve"> </w:t>
      </w:r>
    </w:p>
    <w:p w:rsidR="003E3E29" w:rsidRDefault="003E3E29" w:rsidP="00A01F75">
      <w:pPr>
        <w:pStyle w:val="normal0"/>
        <w:shd w:val="clear" w:color="auto" w:fill="FFFFFF"/>
        <w:spacing w:before="48" w:beforeAutospacing="0" w:after="48" w:afterAutospacing="0"/>
        <w:ind w:firstLine="708"/>
        <w:jc w:val="both"/>
        <w:rPr>
          <w:color w:val="000000"/>
          <w:lang w:val="sr-Cyrl-CS"/>
        </w:rPr>
      </w:pPr>
    </w:p>
    <w:p w:rsidR="003E3E29" w:rsidRDefault="003E3E29" w:rsidP="003E3E29">
      <w:pPr>
        <w:pStyle w:val="normal0"/>
        <w:shd w:val="clear" w:color="auto" w:fill="FFFFFF"/>
        <w:spacing w:before="48" w:beforeAutospacing="0" w:after="48" w:afterAutospacing="0"/>
        <w:ind w:firstLine="708"/>
        <w:jc w:val="both"/>
        <w:rPr>
          <w:rFonts w:ascii="Arial" w:hAnsi="Arial" w:cs="Arial"/>
          <w:color w:val="000000"/>
          <w:sz w:val="18"/>
          <w:szCs w:val="18"/>
          <w:lang w:val="sr-Cyrl-CS"/>
        </w:rPr>
      </w:pPr>
      <w:r w:rsidRPr="00A01F75">
        <w:rPr>
          <w:color w:val="000000"/>
        </w:rPr>
        <w:t xml:space="preserve">Опорезива добит обвезника који, према прописима којима се уређује рачуноводство и ревизија, не примењује МРС, односно МСФИ, утврђује се у пореском билансу усклађивањем добити обвезника, исказане у складу са начином признавања, мерења и процењивања прихода и расхода који прописује министар финансија, на начин утврђен </w:t>
      </w:r>
      <w:r w:rsidRPr="00A01F75">
        <w:rPr>
          <w:color w:val="000000"/>
          <w:lang w:val="sr-Cyrl-CS"/>
        </w:rPr>
        <w:t>Законом о порезу на добит правних лица</w:t>
      </w:r>
      <w:r>
        <w:rPr>
          <w:rFonts w:ascii="Arial" w:hAnsi="Arial" w:cs="Arial"/>
          <w:color w:val="000000"/>
          <w:sz w:val="18"/>
          <w:szCs w:val="18"/>
          <w:lang w:val="sr-Cyrl-CS"/>
        </w:rPr>
        <w:t xml:space="preserve">.  </w:t>
      </w:r>
    </w:p>
    <w:p w:rsidR="00A01F75" w:rsidRPr="00A01F75" w:rsidRDefault="00A01F75" w:rsidP="003E3E29">
      <w:pPr>
        <w:pStyle w:val="normal0"/>
        <w:shd w:val="clear" w:color="auto" w:fill="FFFFFF"/>
        <w:spacing w:before="48" w:beforeAutospacing="0" w:after="48" w:afterAutospacing="0"/>
        <w:ind w:firstLine="708"/>
        <w:jc w:val="both"/>
        <w:rPr>
          <w:color w:val="000000"/>
          <w:lang w:val="sr-Cyrl-CS"/>
        </w:rPr>
      </w:pPr>
      <w:r w:rsidRPr="00A01F75">
        <w:rPr>
          <w:color w:val="000000"/>
          <w:lang w:val="sr-Cyrl-CS"/>
        </w:rPr>
        <w:t xml:space="preserve"> </w:t>
      </w:r>
    </w:p>
    <w:p w:rsidR="00A01F75" w:rsidRDefault="0014352F" w:rsidP="003E3E29">
      <w:pPr>
        <w:autoSpaceDE w:val="0"/>
        <w:autoSpaceDN w:val="0"/>
        <w:adjustRightInd w:val="0"/>
        <w:spacing w:after="0" w:line="240" w:lineRule="auto"/>
        <w:ind w:firstLine="708"/>
        <w:jc w:val="both"/>
        <w:rPr>
          <w:rFonts w:ascii="Times New Roman" w:hAnsi="Times New Roman"/>
          <w:color w:val="000000"/>
          <w:sz w:val="24"/>
          <w:szCs w:val="24"/>
          <w:lang w:val="sr-Cyrl-CS"/>
        </w:rPr>
      </w:pPr>
      <w:r w:rsidRPr="003E3E29">
        <w:rPr>
          <w:rFonts w:ascii="Times New Roman" w:hAnsi="Times New Roman"/>
          <w:color w:val="000000"/>
          <w:sz w:val="24"/>
          <w:szCs w:val="24"/>
          <w:lang w:val="sr-Cyrl-CS"/>
        </w:rPr>
        <w:t xml:space="preserve">Дакле, код нас се примењује стандардни модел опорезивања кориговане добити исказане у билансу успеха. </w:t>
      </w:r>
      <w:r w:rsidR="005F0F6B" w:rsidRPr="003E3E29">
        <w:rPr>
          <w:rFonts w:ascii="Times New Roman" w:hAnsi="Times New Roman"/>
          <w:color w:val="000000"/>
          <w:sz w:val="24"/>
          <w:szCs w:val="24"/>
        </w:rPr>
        <w:t>Опорезива добит се утвр</w:t>
      </w:r>
      <w:r w:rsidR="000F630E" w:rsidRPr="003E3E29">
        <w:rPr>
          <w:rFonts w:ascii="Times New Roman" w:hAnsi="Times New Roman"/>
          <w:color w:val="000000"/>
          <w:sz w:val="24"/>
          <w:szCs w:val="24"/>
          <w:lang w:val="sr-Cyrl-CS"/>
        </w:rPr>
        <w:t>ђ</w:t>
      </w:r>
      <w:r w:rsidR="005F0F6B" w:rsidRPr="003E3E29">
        <w:rPr>
          <w:rFonts w:ascii="Times New Roman" w:hAnsi="Times New Roman"/>
          <w:color w:val="000000"/>
          <w:sz w:val="24"/>
          <w:szCs w:val="24"/>
        </w:rPr>
        <w:t xml:space="preserve">ује корекцијом </w:t>
      </w:r>
      <w:r w:rsidR="003C5B38" w:rsidRPr="003E3E29">
        <w:rPr>
          <w:rFonts w:ascii="Times New Roman" w:hAnsi="Times New Roman"/>
          <w:color w:val="000000"/>
          <w:sz w:val="24"/>
          <w:szCs w:val="24"/>
          <w:lang w:val="sr-Cyrl-CS"/>
        </w:rPr>
        <w:t xml:space="preserve">(усклађивањем) добити исказане у </w:t>
      </w:r>
      <w:r w:rsidR="003C5B38" w:rsidRPr="003E3E29">
        <w:rPr>
          <w:rFonts w:ascii="Times New Roman" w:hAnsi="Times New Roman"/>
          <w:color w:val="000000"/>
          <w:sz w:val="24"/>
          <w:szCs w:val="24"/>
        </w:rPr>
        <w:t>биланс</w:t>
      </w:r>
      <w:r w:rsidR="003C5B38" w:rsidRPr="003E3E29">
        <w:rPr>
          <w:rFonts w:ascii="Times New Roman" w:hAnsi="Times New Roman"/>
          <w:color w:val="000000"/>
          <w:sz w:val="24"/>
          <w:szCs w:val="24"/>
          <w:lang w:val="sr-Cyrl-CS"/>
        </w:rPr>
        <w:t>у</w:t>
      </w:r>
      <w:r w:rsidR="003C5B38" w:rsidRPr="003E3E29">
        <w:rPr>
          <w:rFonts w:ascii="Times New Roman" w:hAnsi="Times New Roman"/>
          <w:color w:val="000000"/>
          <w:sz w:val="24"/>
          <w:szCs w:val="24"/>
        </w:rPr>
        <w:t xml:space="preserve"> успеха</w:t>
      </w:r>
      <w:r w:rsidR="003C5B38" w:rsidRPr="003E3E29">
        <w:rPr>
          <w:rFonts w:ascii="Times New Roman" w:hAnsi="Times New Roman"/>
          <w:color w:val="000000"/>
          <w:sz w:val="24"/>
          <w:szCs w:val="24"/>
          <w:lang w:val="sr-Cyrl-CS"/>
        </w:rPr>
        <w:t>, у складу са пореским зак</w:t>
      </w:r>
      <w:r w:rsidR="00A01F75" w:rsidRPr="003E3E29">
        <w:rPr>
          <w:rFonts w:ascii="Times New Roman" w:hAnsi="Times New Roman"/>
          <w:color w:val="000000"/>
          <w:sz w:val="24"/>
          <w:szCs w:val="24"/>
          <w:lang w:val="sr-Cyrl-CS"/>
        </w:rPr>
        <w:t xml:space="preserve">оном. </w:t>
      </w:r>
      <w:r w:rsidR="003E3E29">
        <w:rPr>
          <w:rFonts w:ascii="Times New Roman" w:hAnsi="Times New Roman"/>
          <w:sz w:val="24"/>
          <w:szCs w:val="24"/>
          <w:lang w:val="sr-Cyrl-CS"/>
        </w:rPr>
        <w:t>О</w:t>
      </w:r>
      <w:r w:rsidR="003E3E29" w:rsidRPr="003E3E29">
        <w:rPr>
          <w:rFonts w:ascii="Times New Roman" w:hAnsi="Times New Roman"/>
          <w:sz w:val="24"/>
          <w:szCs w:val="24"/>
        </w:rPr>
        <w:t xml:space="preserve">порезива добит се утврђује тако што се </w:t>
      </w:r>
      <w:r w:rsidR="003E3E29" w:rsidRPr="003E3E29">
        <w:rPr>
          <w:rFonts w:ascii="Times New Roman" w:hAnsi="Times New Roman"/>
          <w:sz w:val="24"/>
          <w:szCs w:val="24"/>
          <w:lang w:val="sr-Cyrl-CS"/>
        </w:rPr>
        <w:t xml:space="preserve">пословна </w:t>
      </w:r>
      <w:r w:rsidR="003E3E29" w:rsidRPr="003E3E29">
        <w:rPr>
          <w:rFonts w:ascii="Times New Roman" w:hAnsi="Times New Roman"/>
          <w:sz w:val="24"/>
          <w:szCs w:val="24"/>
        </w:rPr>
        <w:t>добит пре опорезивањ</w:t>
      </w:r>
      <w:r w:rsidR="003E3E29">
        <w:rPr>
          <w:rFonts w:ascii="Times New Roman" w:hAnsi="Times New Roman"/>
          <w:sz w:val="24"/>
          <w:szCs w:val="24"/>
          <w:lang w:val="sr-Cyrl-CS"/>
        </w:rPr>
        <w:t xml:space="preserve">а </w:t>
      </w:r>
      <w:r w:rsidR="003E3E29" w:rsidRPr="003E3E29">
        <w:rPr>
          <w:rFonts w:ascii="Times New Roman" w:hAnsi="Times New Roman"/>
          <w:sz w:val="24"/>
          <w:szCs w:val="24"/>
        </w:rPr>
        <w:t>исказана у билансу успеха коригује за одређене ставке прихода и расхода који се не</w:t>
      </w:r>
      <w:r w:rsidR="003E3E29">
        <w:rPr>
          <w:rFonts w:ascii="Times New Roman" w:hAnsi="Times New Roman"/>
          <w:sz w:val="24"/>
          <w:szCs w:val="24"/>
          <w:lang w:val="sr-Cyrl-CS"/>
        </w:rPr>
        <w:t xml:space="preserve"> </w:t>
      </w:r>
      <w:r w:rsidR="003E3E29" w:rsidRPr="003E3E29">
        <w:rPr>
          <w:rFonts w:ascii="Times New Roman" w:hAnsi="Times New Roman"/>
          <w:sz w:val="24"/>
          <w:szCs w:val="24"/>
        </w:rPr>
        <w:t>признају као расход у пореске сврхе или се признају у ограниченом износу (при чему</w:t>
      </w:r>
      <w:r w:rsidR="003E3E29">
        <w:rPr>
          <w:rFonts w:ascii="Times New Roman" w:hAnsi="Times New Roman"/>
          <w:sz w:val="24"/>
          <w:szCs w:val="24"/>
          <w:lang w:val="sr-Cyrl-CS"/>
        </w:rPr>
        <w:t xml:space="preserve"> </w:t>
      </w:r>
      <w:r w:rsidR="003E3E29" w:rsidRPr="003E3E29">
        <w:rPr>
          <w:rFonts w:ascii="Times New Roman" w:hAnsi="Times New Roman"/>
          <w:sz w:val="24"/>
          <w:szCs w:val="24"/>
        </w:rPr>
        <w:t>су корекције расхода бројније тако да ће о њима бити више речи</w:t>
      </w:r>
      <w:r w:rsidR="003E3E29">
        <w:rPr>
          <w:rFonts w:ascii="MyriadPro-Regular" w:hAnsi="MyriadPro-Regular" w:cs="MyriadPro-Regular"/>
          <w:sz w:val="20"/>
          <w:szCs w:val="20"/>
        </w:rPr>
        <w:t xml:space="preserve">). </w:t>
      </w:r>
      <w:r w:rsidR="003E3E29">
        <w:rPr>
          <w:rFonts w:ascii="Times New Roman" w:hAnsi="Times New Roman"/>
          <w:sz w:val="24"/>
          <w:szCs w:val="24"/>
          <w:lang w:val="sr-Cyrl-CS"/>
        </w:rPr>
        <w:t>Ускла</w:t>
      </w:r>
      <w:r w:rsidR="003E3E29" w:rsidRPr="003E3E29">
        <w:rPr>
          <w:rFonts w:ascii="Times New Roman" w:hAnsi="Times New Roman"/>
          <w:sz w:val="24"/>
          <w:szCs w:val="24"/>
          <w:lang w:val="sr-Cyrl-CS"/>
        </w:rPr>
        <w:t>ђивањем пословне добити добија се опорезива добит.</w:t>
      </w:r>
      <w:r w:rsidR="003E3E29">
        <w:rPr>
          <w:rFonts w:ascii="Times New Roman" w:hAnsi="Times New Roman"/>
          <w:sz w:val="24"/>
          <w:szCs w:val="24"/>
          <w:lang w:val="sr-Cyrl-CS"/>
        </w:rPr>
        <w:t xml:space="preserve"> </w:t>
      </w:r>
      <w:r w:rsidR="00A01F75" w:rsidRPr="003E3E29">
        <w:rPr>
          <w:rFonts w:ascii="Times New Roman" w:hAnsi="Times New Roman"/>
          <w:color w:val="000000"/>
          <w:sz w:val="24"/>
          <w:szCs w:val="24"/>
          <w:lang w:val="sr-Cyrl-CS"/>
        </w:rPr>
        <w:t>Приликом корекције прихода</w:t>
      </w:r>
      <w:r w:rsidR="003C5B38" w:rsidRPr="003E3E29">
        <w:rPr>
          <w:rFonts w:ascii="Times New Roman" w:hAnsi="Times New Roman"/>
          <w:color w:val="000000"/>
          <w:sz w:val="24"/>
          <w:szCs w:val="24"/>
          <w:lang w:val="sr-Cyrl-CS"/>
        </w:rPr>
        <w:t xml:space="preserve"> врше се корекције цена које су исказане у извештајима и корекције ве</w:t>
      </w:r>
      <w:r w:rsidR="00312D46" w:rsidRPr="003E3E29">
        <w:rPr>
          <w:rFonts w:ascii="Times New Roman" w:hAnsi="Times New Roman"/>
          <w:color w:val="000000"/>
          <w:sz w:val="24"/>
          <w:szCs w:val="24"/>
          <w:lang w:val="sr-Cyrl-CS"/>
        </w:rPr>
        <w:t xml:space="preserve">зане за </w:t>
      </w:r>
      <w:r w:rsidR="00A01F75" w:rsidRPr="003E3E29">
        <w:rPr>
          <w:rFonts w:ascii="Times New Roman" w:hAnsi="Times New Roman"/>
          <w:color w:val="000000"/>
          <w:sz w:val="24"/>
          <w:szCs w:val="24"/>
          <w:lang w:val="sr-Cyrl-CS"/>
        </w:rPr>
        <w:t xml:space="preserve"> </w:t>
      </w:r>
      <w:r w:rsidR="00312D46" w:rsidRPr="003E3E29">
        <w:rPr>
          <w:rFonts w:ascii="Times New Roman" w:hAnsi="Times New Roman"/>
          <w:color w:val="000000"/>
          <w:sz w:val="24"/>
          <w:szCs w:val="24"/>
          <w:lang w:val="sr-Cyrl-CS"/>
        </w:rPr>
        <w:t>исказивање залиха. К</w:t>
      </w:r>
      <w:r w:rsidR="003C5B38" w:rsidRPr="003E3E29">
        <w:rPr>
          <w:rFonts w:ascii="Times New Roman" w:hAnsi="Times New Roman"/>
          <w:color w:val="000000"/>
          <w:sz w:val="24"/>
          <w:szCs w:val="24"/>
          <w:lang w:val="sr-Cyrl-CS"/>
        </w:rPr>
        <w:t>оре</w:t>
      </w:r>
      <w:r w:rsidR="00A01F75" w:rsidRPr="003E3E29">
        <w:rPr>
          <w:rFonts w:ascii="Times New Roman" w:hAnsi="Times New Roman"/>
          <w:color w:val="000000"/>
          <w:sz w:val="24"/>
          <w:szCs w:val="24"/>
          <w:lang w:val="sr-Cyrl-CS"/>
        </w:rPr>
        <w:t xml:space="preserve">кције расхода се тичу метода утврђивања цена, </w:t>
      </w:r>
      <w:r w:rsidR="00312D46" w:rsidRPr="003E3E29">
        <w:rPr>
          <w:rFonts w:ascii="Times New Roman" w:hAnsi="Times New Roman"/>
          <w:color w:val="000000"/>
          <w:sz w:val="24"/>
          <w:szCs w:val="24"/>
          <w:lang w:val="sr-Cyrl-CS"/>
        </w:rPr>
        <w:t>начин</w:t>
      </w:r>
      <w:r w:rsidR="00A01F75" w:rsidRPr="003E3E29">
        <w:rPr>
          <w:rFonts w:ascii="Times New Roman" w:hAnsi="Times New Roman"/>
          <w:color w:val="000000"/>
          <w:sz w:val="24"/>
          <w:szCs w:val="24"/>
          <w:lang w:val="sr-Cyrl-CS"/>
        </w:rPr>
        <w:t>а</w:t>
      </w:r>
      <w:r w:rsidR="00312D46" w:rsidRPr="003E3E29">
        <w:rPr>
          <w:rFonts w:ascii="Times New Roman" w:hAnsi="Times New Roman"/>
          <w:color w:val="000000"/>
          <w:sz w:val="24"/>
          <w:szCs w:val="24"/>
          <w:lang w:val="sr-Cyrl-CS"/>
        </w:rPr>
        <w:t xml:space="preserve"> о</w:t>
      </w:r>
      <w:r w:rsidR="00A01F75" w:rsidRPr="003E3E29">
        <w:rPr>
          <w:rFonts w:ascii="Times New Roman" w:hAnsi="Times New Roman"/>
          <w:color w:val="000000"/>
          <w:sz w:val="24"/>
          <w:szCs w:val="24"/>
          <w:lang w:val="sr-Cyrl-CS"/>
        </w:rPr>
        <w:t>брачуна амортизације,  корекције</w:t>
      </w:r>
      <w:r w:rsidR="00312D46" w:rsidRPr="003E3E29">
        <w:rPr>
          <w:rFonts w:ascii="Times New Roman" w:hAnsi="Times New Roman"/>
          <w:color w:val="000000"/>
          <w:sz w:val="24"/>
          <w:szCs w:val="24"/>
          <w:lang w:val="sr-Cyrl-CS"/>
        </w:rPr>
        <w:t xml:space="preserve"> камата и ограничавање одређених издатака.</w:t>
      </w:r>
    </w:p>
    <w:p w:rsidR="003E3E29" w:rsidRPr="003E3E29" w:rsidRDefault="003E3E29" w:rsidP="003E3E29">
      <w:pPr>
        <w:autoSpaceDE w:val="0"/>
        <w:autoSpaceDN w:val="0"/>
        <w:adjustRightInd w:val="0"/>
        <w:spacing w:after="0" w:line="240" w:lineRule="auto"/>
        <w:ind w:firstLine="708"/>
        <w:jc w:val="both"/>
        <w:rPr>
          <w:rFonts w:ascii="Times New Roman" w:hAnsi="Times New Roman"/>
          <w:sz w:val="24"/>
          <w:szCs w:val="24"/>
        </w:rPr>
      </w:pPr>
    </w:p>
    <w:p w:rsidR="00A568CB" w:rsidRDefault="003E3E29" w:rsidP="003E3E29">
      <w:pPr>
        <w:autoSpaceDE w:val="0"/>
        <w:autoSpaceDN w:val="0"/>
        <w:adjustRightInd w:val="0"/>
        <w:spacing w:after="0" w:line="240" w:lineRule="auto"/>
        <w:ind w:firstLine="708"/>
        <w:jc w:val="both"/>
        <w:rPr>
          <w:rFonts w:ascii="Times New Roman" w:hAnsi="Times New Roman"/>
          <w:sz w:val="24"/>
          <w:szCs w:val="24"/>
          <w:lang w:val="sr-Cyrl-CS"/>
        </w:rPr>
      </w:pPr>
      <w:r w:rsidRPr="003E3E29">
        <w:rPr>
          <w:rFonts w:ascii="Times New Roman" w:hAnsi="Times New Roman"/>
          <w:sz w:val="24"/>
          <w:szCs w:val="24"/>
        </w:rPr>
        <w:t>При</w:t>
      </w:r>
      <w:r w:rsidR="00A568CB" w:rsidRPr="003E3E29">
        <w:rPr>
          <w:rFonts w:ascii="Times New Roman" w:hAnsi="Times New Roman"/>
          <w:sz w:val="24"/>
          <w:szCs w:val="24"/>
        </w:rPr>
        <w:t xml:space="preserve"> </w:t>
      </w:r>
      <w:r w:rsidRPr="003E3E29">
        <w:rPr>
          <w:rFonts w:ascii="Times New Roman" w:hAnsi="Times New Roman"/>
          <w:sz w:val="24"/>
          <w:szCs w:val="24"/>
        </w:rPr>
        <w:t>утврђивању</w:t>
      </w:r>
      <w:r w:rsidR="00A568CB" w:rsidRPr="003E3E29">
        <w:rPr>
          <w:rFonts w:ascii="Times New Roman" w:hAnsi="Times New Roman"/>
          <w:sz w:val="24"/>
          <w:szCs w:val="24"/>
        </w:rPr>
        <w:t xml:space="preserve"> </w:t>
      </w:r>
      <w:r w:rsidRPr="003E3E29">
        <w:rPr>
          <w:rFonts w:ascii="Times New Roman" w:hAnsi="Times New Roman"/>
          <w:sz w:val="24"/>
          <w:szCs w:val="24"/>
        </w:rPr>
        <w:t>пореске</w:t>
      </w:r>
      <w:r>
        <w:rPr>
          <w:rFonts w:ascii="Times New Roman" w:hAnsi="Times New Roman"/>
          <w:sz w:val="24"/>
          <w:szCs w:val="24"/>
          <w:lang w:val="sr-Cyrl-CS"/>
        </w:rPr>
        <w:t xml:space="preserve"> </w:t>
      </w:r>
      <w:r w:rsidRPr="003E3E29">
        <w:rPr>
          <w:rFonts w:ascii="Times New Roman" w:hAnsi="Times New Roman"/>
          <w:sz w:val="24"/>
          <w:szCs w:val="24"/>
        </w:rPr>
        <w:t>основице</w:t>
      </w:r>
      <w:r w:rsidR="00A568CB" w:rsidRPr="003E3E29">
        <w:rPr>
          <w:rFonts w:ascii="Times New Roman" w:hAnsi="Times New Roman"/>
          <w:sz w:val="24"/>
          <w:szCs w:val="24"/>
        </w:rPr>
        <w:t xml:space="preserve"> </w:t>
      </w:r>
      <w:r w:rsidRPr="003E3E29">
        <w:rPr>
          <w:rFonts w:ascii="Times New Roman" w:hAnsi="Times New Roman"/>
          <w:sz w:val="24"/>
          <w:szCs w:val="24"/>
        </w:rPr>
        <w:t>као</w:t>
      </w:r>
      <w:r w:rsidR="00A568CB" w:rsidRPr="003E3E29">
        <w:rPr>
          <w:rFonts w:ascii="Times New Roman" w:hAnsi="Times New Roman"/>
          <w:sz w:val="24"/>
          <w:szCs w:val="24"/>
        </w:rPr>
        <w:t xml:space="preserve"> </w:t>
      </w:r>
      <w:r w:rsidRPr="003E3E29">
        <w:rPr>
          <w:rFonts w:ascii="Times New Roman" w:hAnsi="Times New Roman"/>
          <w:sz w:val="24"/>
          <w:szCs w:val="24"/>
        </w:rPr>
        <w:t>расходи</w:t>
      </w:r>
      <w:r w:rsidR="00A568CB" w:rsidRPr="003E3E29">
        <w:rPr>
          <w:rFonts w:ascii="Times New Roman" w:hAnsi="Times New Roman"/>
          <w:sz w:val="24"/>
          <w:szCs w:val="24"/>
        </w:rPr>
        <w:t xml:space="preserve"> </w:t>
      </w:r>
      <w:r w:rsidRPr="003E3E29">
        <w:rPr>
          <w:rFonts w:ascii="Times New Roman" w:hAnsi="Times New Roman"/>
          <w:sz w:val="24"/>
          <w:szCs w:val="24"/>
        </w:rPr>
        <w:t>у</w:t>
      </w:r>
      <w:r w:rsidR="00A568CB" w:rsidRPr="003E3E29">
        <w:rPr>
          <w:rFonts w:ascii="Times New Roman" w:hAnsi="Times New Roman"/>
          <w:sz w:val="24"/>
          <w:szCs w:val="24"/>
        </w:rPr>
        <w:t xml:space="preserve"> </w:t>
      </w:r>
      <w:r w:rsidRPr="003E3E29">
        <w:rPr>
          <w:rFonts w:ascii="Times New Roman" w:hAnsi="Times New Roman"/>
          <w:sz w:val="24"/>
          <w:szCs w:val="24"/>
        </w:rPr>
        <w:t>пореском</w:t>
      </w:r>
      <w:r w:rsidR="00A568CB" w:rsidRPr="003E3E29">
        <w:rPr>
          <w:rFonts w:ascii="Times New Roman" w:hAnsi="Times New Roman"/>
          <w:sz w:val="24"/>
          <w:szCs w:val="24"/>
        </w:rPr>
        <w:t xml:space="preserve"> </w:t>
      </w:r>
      <w:r w:rsidRPr="003E3E29">
        <w:rPr>
          <w:rFonts w:ascii="Times New Roman" w:hAnsi="Times New Roman"/>
          <w:sz w:val="24"/>
          <w:szCs w:val="24"/>
        </w:rPr>
        <w:t>билансу</w:t>
      </w:r>
      <w:r w:rsidR="00A568CB" w:rsidRPr="003E3E29">
        <w:rPr>
          <w:rFonts w:ascii="Times New Roman" w:hAnsi="Times New Roman"/>
          <w:sz w:val="24"/>
          <w:szCs w:val="24"/>
        </w:rPr>
        <w:t xml:space="preserve"> </w:t>
      </w:r>
      <w:r w:rsidRPr="003E3E29">
        <w:rPr>
          <w:rFonts w:ascii="Times New Roman" w:hAnsi="Times New Roman"/>
          <w:sz w:val="24"/>
          <w:szCs w:val="24"/>
        </w:rPr>
        <w:t>признају</w:t>
      </w:r>
      <w:r w:rsidR="00A568CB" w:rsidRPr="003E3E29">
        <w:rPr>
          <w:rFonts w:ascii="Times New Roman" w:hAnsi="Times New Roman"/>
          <w:sz w:val="24"/>
          <w:szCs w:val="24"/>
        </w:rPr>
        <w:t xml:space="preserve"> </w:t>
      </w:r>
      <w:r w:rsidRPr="003E3E29">
        <w:rPr>
          <w:rFonts w:ascii="Times New Roman" w:hAnsi="Times New Roman"/>
          <w:sz w:val="24"/>
          <w:szCs w:val="24"/>
        </w:rPr>
        <w:t>се</w:t>
      </w:r>
      <w:r w:rsidR="00A568CB" w:rsidRPr="003E3E29">
        <w:rPr>
          <w:rFonts w:ascii="Times New Roman" w:hAnsi="Times New Roman"/>
          <w:sz w:val="24"/>
          <w:szCs w:val="24"/>
        </w:rPr>
        <w:t xml:space="preserve"> </w:t>
      </w:r>
      <w:r w:rsidRPr="003E3E29">
        <w:rPr>
          <w:rFonts w:ascii="Times New Roman" w:hAnsi="Times New Roman"/>
          <w:sz w:val="24"/>
          <w:szCs w:val="24"/>
        </w:rPr>
        <w:t>сви</w:t>
      </w:r>
      <w:r w:rsidR="00A568CB" w:rsidRPr="003E3E29">
        <w:rPr>
          <w:rFonts w:ascii="Times New Roman" w:hAnsi="Times New Roman"/>
          <w:sz w:val="24"/>
          <w:szCs w:val="24"/>
        </w:rPr>
        <w:t xml:space="preserve"> </w:t>
      </w:r>
      <w:r w:rsidRPr="003E3E29">
        <w:rPr>
          <w:rFonts w:ascii="Times New Roman" w:hAnsi="Times New Roman"/>
          <w:sz w:val="24"/>
          <w:szCs w:val="24"/>
        </w:rPr>
        <w:t>расходи</w:t>
      </w:r>
      <w:r w:rsidR="00A568CB" w:rsidRPr="003E3E29">
        <w:rPr>
          <w:rFonts w:ascii="Times New Roman" w:hAnsi="Times New Roman"/>
          <w:sz w:val="24"/>
          <w:szCs w:val="24"/>
        </w:rPr>
        <w:t xml:space="preserve"> </w:t>
      </w:r>
      <w:r w:rsidRPr="003E3E29">
        <w:rPr>
          <w:rFonts w:ascii="Times New Roman" w:hAnsi="Times New Roman"/>
          <w:sz w:val="24"/>
          <w:szCs w:val="24"/>
        </w:rPr>
        <w:t>исказани</w:t>
      </w:r>
      <w:r w:rsidR="00A568CB" w:rsidRPr="003E3E29">
        <w:rPr>
          <w:rFonts w:ascii="Times New Roman" w:hAnsi="Times New Roman"/>
          <w:sz w:val="24"/>
          <w:szCs w:val="24"/>
        </w:rPr>
        <w:t xml:space="preserve"> </w:t>
      </w:r>
      <w:r w:rsidRPr="003E3E29">
        <w:rPr>
          <w:rFonts w:ascii="Times New Roman" w:hAnsi="Times New Roman"/>
          <w:sz w:val="24"/>
          <w:szCs w:val="24"/>
        </w:rPr>
        <w:t>у</w:t>
      </w:r>
      <w:r w:rsidR="00A568CB" w:rsidRPr="003E3E29">
        <w:rPr>
          <w:rFonts w:ascii="Times New Roman" w:hAnsi="Times New Roman"/>
          <w:sz w:val="24"/>
          <w:szCs w:val="24"/>
        </w:rPr>
        <w:t xml:space="preserve"> </w:t>
      </w:r>
      <w:r w:rsidRPr="003E3E29">
        <w:rPr>
          <w:rFonts w:ascii="Times New Roman" w:hAnsi="Times New Roman"/>
          <w:sz w:val="24"/>
          <w:szCs w:val="24"/>
        </w:rPr>
        <w:t>складу</w:t>
      </w:r>
      <w:r w:rsidR="00A568CB" w:rsidRPr="003E3E29">
        <w:rPr>
          <w:rFonts w:ascii="Times New Roman" w:hAnsi="Times New Roman"/>
          <w:sz w:val="24"/>
          <w:szCs w:val="24"/>
        </w:rPr>
        <w:t xml:space="preserve"> </w:t>
      </w:r>
      <w:r w:rsidRPr="003E3E29">
        <w:rPr>
          <w:rFonts w:ascii="Times New Roman" w:hAnsi="Times New Roman"/>
          <w:sz w:val="24"/>
          <w:szCs w:val="24"/>
        </w:rPr>
        <w:t>са</w:t>
      </w:r>
      <w:r>
        <w:rPr>
          <w:rFonts w:ascii="Times New Roman" w:hAnsi="Times New Roman"/>
          <w:sz w:val="24"/>
          <w:szCs w:val="24"/>
          <w:lang w:val="sr-Cyrl-CS"/>
        </w:rPr>
        <w:t xml:space="preserve"> </w:t>
      </w:r>
      <w:r w:rsidRPr="003E3E29">
        <w:rPr>
          <w:rFonts w:ascii="Times New Roman" w:hAnsi="Times New Roman"/>
          <w:sz w:val="24"/>
          <w:szCs w:val="24"/>
        </w:rPr>
        <w:t>међународним</w:t>
      </w:r>
      <w:r w:rsidR="00A568CB" w:rsidRPr="003E3E29">
        <w:rPr>
          <w:rFonts w:ascii="Times New Roman" w:hAnsi="Times New Roman"/>
          <w:sz w:val="24"/>
          <w:szCs w:val="24"/>
        </w:rPr>
        <w:t xml:space="preserve"> </w:t>
      </w:r>
      <w:r w:rsidRPr="003E3E29">
        <w:rPr>
          <w:rFonts w:ascii="Times New Roman" w:hAnsi="Times New Roman"/>
          <w:sz w:val="24"/>
          <w:szCs w:val="24"/>
        </w:rPr>
        <w:t>рачуноводственим</w:t>
      </w:r>
      <w:r w:rsidR="00A568CB" w:rsidRPr="003E3E29">
        <w:rPr>
          <w:rFonts w:ascii="Times New Roman" w:hAnsi="Times New Roman"/>
          <w:sz w:val="24"/>
          <w:szCs w:val="24"/>
        </w:rPr>
        <w:t xml:space="preserve"> </w:t>
      </w:r>
      <w:r w:rsidRPr="003E3E29">
        <w:rPr>
          <w:rFonts w:ascii="Times New Roman" w:hAnsi="Times New Roman"/>
          <w:sz w:val="24"/>
          <w:szCs w:val="24"/>
        </w:rPr>
        <w:t>стандардима</w:t>
      </w:r>
      <w:r w:rsidR="00A568CB" w:rsidRPr="003E3E29">
        <w:rPr>
          <w:rFonts w:ascii="Times New Roman" w:hAnsi="Times New Roman"/>
          <w:sz w:val="24"/>
          <w:szCs w:val="24"/>
        </w:rPr>
        <w:t xml:space="preserve"> (</w:t>
      </w:r>
      <w:r w:rsidRPr="003E3E29">
        <w:rPr>
          <w:rFonts w:ascii="Times New Roman" w:hAnsi="Times New Roman"/>
          <w:sz w:val="24"/>
          <w:szCs w:val="24"/>
        </w:rPr>
        <w:t>МРС</w:t>
      </w:r>
      <w:r w:rsidR="00A568CB" w:rsidRPr="003E3E29">
        <w:rPr>
          <w:rFonts w:ascii="Times New Roman" w:hAnsi="Times New Roman"/>
          <w:sz w:val="24"/>
          <w:szCs w:val="24"/>
        </w:rPr>
        <w:t xml:space="preserve">) </w:t>
      </w:r>
      <w:r w:rsidRPr="003E3E29">
        <w:rPr>
          <w:rFonts w:ascii="Times New Roman" w:hAnsi="Times New Roman"/>
          <w:sz w:val="24"/>
          <w:szCs w:val="24"/>
        </w:rPr>
        <w:t>и</w:t>
      </w:r>
      <w:r w:rsidR="00A568CB" w:rsidRPr="003E3E29">
        <w:rPr>
          <w:rFonts w:ascii="Times New Roman" w:hAnsi="Times New Roman"/>
          <w:sz w:val="24"/>
          <w:szCs w:val="24"/>
        </w:rPr>
        <w:t xml:space="preserve"> </w:t>
      </w:r>
      <w:r w:rsidRPr="003E3E29">
        <w:rPr>
          <w:rFonts w:ascii="Times New Roman" w:hAnsi="Times New Roman"/>
          <w:sz w:val="24"/>
          <w:szCs w:val="24"/>
        </w:rPr>
        <w:t>међународним</w:t>
      </w:r>
      <w:r w:rsidR="00A568CB" w:rsidRPr="003E3E29">
        <w:rPr>
          <w:rFonts w:ascii="Times New Roman" w:hAnsi="Times New Roman"/>
          <w:sz w:val="24"/>
          <w:szCs w:val="24"/>
        </w:rPr>
        <w:t xml:space="preserve"> </w:t>
      </w:r>
      <w:r w:rsidRPr="003E3E29">
        <w:rPr>
          <w:rFonts w:ascii="Times New Roman" w:hAnsi="Times New Roman"/>
          <w:sz w:val="24"/>
          <w:szCs w:val="24"/>
        </w:rPr>
        <w:t>стандардима</w:t>
      </w:r>
      <w:r>
        <w:rPr>
          <w:rFonts w:ascii="Times New Roman" w:hAnsi="Times New Roman"/>
          <w:sz w:val="24"/>
          <w:szCs w:val="24"/>
          <w:lang w:val="sr-Cyrl-CS"/>
        </w:rPr>
        <w:t xml:space="preserve"> </w:t>
      </w:r>
      <w:r w:rsidRPr="003E3E29">
        <w:rPr>
          <w:rFonts w:ascii="Times New Roman" w:hAnsi="Times New Roman"/>
          <w:sz w:val="24"/>
          <w:szCs w:val="24"/>
        </w:rPr>
        <w:t>финансијског</w:t>
      </w:r>
      <w:r w:rsidR="00A568CB" w:rsidRPr="003E3E29">
        <w:rPr>
          <w:rFonts w:ascii="Times New Roman" w:hAnsi="Times New Roman"/>
          <w:sz w:val="24"/>
          <w:szCs w:val="24"/>
        </w:rPr>
        <w:t xml:space="preserve"> </w:t>
      </w:r>
      <w:r w:rsidRPr="003E3E29">
        <w:rPr>
          <w:rFonts w:ascii="Times New Roman" w:hAnsi="Times New Roman"/>
          <w:sz w:val="24"/>
          <w:szCs w:val="24"/>
        </w:rPr>
        <w:t>извештавања</w:t>
      </w:r>
      <w:r w:rsidR="00A568CB" w:rsidRPr="003E3E29">
        <w:rPr>
          <w:rFonts w:ascii="Times New Roman" w:hAnsi="Times New Roman"/>
          <w:sz w:val="24"/>
          <w:szCs w:val="24"/>
        </w:rPr>
        <w:t xml:space="preserve"> (</w:t>
      </w:r>
      <w:r w:rsidRPr="003E3E29">
        <w:rPr>
          <w:rFonts w:ascii="Times New Roman" w:hAnsi="Times New Roman"/>
          <w:sz w:val="24"/>
          <w:szCs w:val="24"/>
        </w:rPr>
        <w:t>МСФИ</w:t>
      </w:r>
      <w:r w:rsidR="00A568CB" w:rsidRPr="003E3E29">
        <w:rPr>
          <w:rFonts w:ascii="Times New Roman" w:hAnsi="Times New Roman"/>
          <w:sz w:val="24"/>
          <w:szCs w:val="24"/>
        </w:rPr>
        <w:t xml:space="preserve">), </w:t>
      </w:r>
      <w:r w:rsidRPr="003E3E29">
        <w:rPr>
          <w:rFonts w:ascii="Times New Roman" w:hAnsi="Times New Roman"/>
          <w:sz w:val="24"/>
          <w:szCs w:val="24"/>
        </w:rPr>
        <w:t>осим</w:t>
      </w:r>
      <w:r w:rsidR="00A568CB" w:rsidRPr="003E3E29">
        <w:rPr>
          <w:rFonts w:ascii="Times New Roman" w:hAnsi="Times New Roman"/>
          <w:sz w:val="24"/>
          <w:szCs w:val="24"/>
        </w:rPr>
        <w:t xml:space="preserve"> </w:t>
      </w:r>
      <w:r w:rsidRPr="003E3E29">
        <w:rPr>
          <w:rFonts w:ascii="Times New Roman" w:hAnsi="Times New Roman"/>
          <w:sz w:val="24"/>
          <w:szCs w:val="24"/>
        </w:rPr>
        <w:t>расхода</w:t>
      </w:r>
      <w:r w:rsidR="00A568CB" w:rsidRPr="003E3E29">
        <w:rPr>
          <w:rFonts w:ascii="Times New Roman" w:hAnsi="Times New Roman"/>
          <w:sz w:val="24"/>
          <w:szCs w:val="24"/>
        </w:rPr>
        <w:t xml:space="preserve"> </w:t>
      </w:r>
      <w:r w:rsidRPr="003E3E29">
        <w:rPr>
          <w:rFonts w:ascii="Times New Roman" w:hAnsi="Times New Roman"/>
          <w:sz w:val="24"/>
          <w:szCs w:val="24"/>
        </w:rPr>
        <w:t>за</w:t>
      </w:r>
      <w:r w:rsidR="00A568CB" w:rsidRPr="003E3E29">
        <w:rPr>
          <w:rFonts w:ascii="Times New Roman" w:hAnsi="Times New Roman"/>
          <w:sz w:val="24"/>
          <w:szCs w:val="24"/>
        </w:rPr>
        <w:t xml:space="preserve"> </w:t>
      </w:r>
      <w:r w:rsidRPr="003E3E29">
        <w:rPr>
          <w:rFonts w:ascii="Times New Roman" w:hAnsi="Times New Roman"/>
          <w:sz w:val="24"/>
          <w:szCs w:val="24"/>
        </w:rPr>
        <w:t>које</w:t>
      </w:r>
      <w:r w:rsidR="00A568CB" w:rsidRPr="003E3E29">
        <w:rPr>
          <w:rFonts w:ascii="Times New Roman" w:hAnsi="Times New Roman"/>
          <w:sz w:val="24"/>
          <w:szCs w:val="24"/>
        </w:rPr>
        <w:t xml:space="preserve"> </w:t>
      </w:r>
      <w:r w:rsidRPr="003E3E29">
        <w:rPr>
          <w:rFonts w:ascii="Times New Roman" w:hAnsi="Times New Roman"/>
          <w:sz w:val="24"/>
          <w:szCs w:val="24"/>
        </w:rPr>
        <w:t>је</w:t>
      </w:r>
      <w:r w:rsidR="00A568CB" w:rsidRPr="003E3E29">
        <w:rPr>
          <w:rFonts w:ascii="Times New Roman" w:hAnsi="Times New Roman"/>
          <w:sz w:val="24"/>
          <w:szCs w:val="24"/>
        </w:rPr>
        <w:t xml:space="preserve"> </w:t>
      </w:r>
      <w:r w:rsidRPr="003E3E29">
        <w:rPr>
          <w:rFonts w:ascii="Times New Roman" w:hAnsi="Times New Roman"/>
          <w:sz w:val="24"/>
          <w:szCs w:val="24"/>
        </w:rPr>
        <w:t>Законом</w:t>
      </w:r>
      <w:r w:rsidR="00A568CB" w:rsidRPr="003E3E29">
        <w:rPr>
          <w:rFonts w:ascii="Times New Roman" w:hAnsi="Times New Roman"/>
          <w:sz w:val="24"/>
          <w:szCs w:val="24"/>
        </w:rPr>
        <w:t xml:space="preserve"> </w:t>
      </w:r>
      <w:r w:rsidRPr="003E3E29">
        <w:rPr>
          <w:rFonts w:ascii="Times New Roman" w:hAnsi="Times New Roman"/>
          <w:sz w:val="24"/>
          <w:szCs w:val="24"/>
        </w:rPr>
        <w:t>о</w:t>
      </w:r>
      <w:r w:rsidR="00A568CB" w:rsidRPr="003E3E29">
        <w:rPr>
          <w:rFonts w:ascii="Times New Roman" w:hAnsi="Times New Roman"/>
          <w:sz w:val="24"/>
          <w:szCs w:val="24"/>
        </w:rPr>
        <w:t xml:space="preserve"> </w:t>
      </w:r>
      <w:r w:rsidRPr="003E3E29">
        <w:rPr>
          <w:rFonts w:ascii="Times New Roman" w:hAnsi="Times New Roman"/>
          <w:sz w:val="24"/>
          <w:szCs w:val="24"/>
        </w:rPr>
        <w:t>порезу</w:t>
      </w:r>
      <w:r w:rsidR="00A568CB" w:rsidRPr="003E3E29">
        <w:rPr>
          <w:rFonts w:ascii="Times New Roman" w:hAnsi="Times New Roman"/>
          <w:sz w:val="24"/>
          <w:szCs w:val="24"/>
        </w:rPr>
        <w:t xml:space="preserve"> </w:t>
      </w:r>
      <w:r w:rsidRPr="003E3E29">
        <w:rPr>
          <w:rFonts w:ascii="Times New Roman" w:hAnsi="Times New Roman"/>
          <w:sz w:val="24"/>
          <w:szCs w:val="24"/>
        </w:rPr>
        <w:t>на</w:t>
      </w:r>
      <w:r>
        <w:rPr>
          <w:rFonts w:ascii="Times New Roman" w:hAnsi="Times New Roman"/>
          <w:sz w:val="24"/>
          <w:szCs w:val="24"/>
          <w:lang w:val="sr-Cyrl-CS"/>
        </w:rPr>
        <w:t xml:space="preserve"> </w:t>
      </w:r>
      <w:r w:rsidRPr="003E3E29">
        <w:rPr>
          <w:rFonts w:ascii="Times New Roman" w:hAnsi="Times New Roman"/>
          <w:sz w:val="24"/>
          <w:szCs w:val="24"/>
        </w:rPr>
        <w:t>добит</w:t>
      </w:r>
      <w:r w:rsidR="00A568CB" w:rsidRPr="003E3E29">
        <w:rPr>
          <w:rFonts w:ascii="Times New Roman" w:hAnsi="Times New Roman"/>
          <w:sz w:val="24"/>
          <w:szCs w:val="24"/>
        </w:rPr>
        <w:t xml:space="preserve"> </w:t>
      </w:r>
      <w:r w:rsidRPr="003E3E29">
        <w:rPr>
          <w:rFonts w:ascii="Times New Roman" w:hAnsi="Times New Roman"/>
          <w:sz w:val="24"/>
          <w:szCs w:val="24"/>
        </w:rPr>
        <w:t>предузећа</w:t>
      </w:r>
      <w:r w:rsidR="00A568CB" w:rsidRPr="003E3E29">
        <w:rPr>
          <w:rFonts w:ascii="Times New Roman" w:hAnsi="Times New Roman"/>
          <w:sz w:val="24"/>
          <w:szCs w:val="24"/>
        </w:rPr>
        <w:t xml:space="preserve"> </w:t>
      </w:r>
      <w:r w:rsidRPr="003E3E29">
        <w:rPr>
          <w:rFonts w:ascii="Times New Roman" w:hAnsi="Times New Roman"/>
          <w:sz w:val="24"/>
          <w:szCs w:val="24"/>
        </w:rPr>
        <w:t>прописано</w:t>
      </w:r>
      <w:r w:rsidR="00A568CB" w:rsidRPr="003E3E29">
        <w:rPr>
          <w:rFonts w:ascii="Times New Roman" w:hAnsi="Times New Roman"/>
          <w:sz w:val="24"/>
          <w:szCs w:val="24"/>
        </w:rPr>
        <w:t xml:space="preserve"> </w:t>
      </w:r>
      <w:r w:rsidRPr="003E3E29">
        <w:rPr>
          <w:rFonts w:ascii="Times New Roman" w:hAnsi="Times New Roman"/>
          <w:sz w:val="24"/>
          <w:szCs w:val="24"/>
        </w:rPr>
        <w:t>другачије</w:t>
      </w:r>
      <w:r w:rsidR="00A568CB" w:rsidRPr="003E3E29">
        <w:rPr>
          <w:rFonts w:ascii="Times New Roman" w:hAnsi="Times New Roman"/>
          <w:sz w:val="24"/>
          <w:szCs w:val="24"/>
        </w:rPr>
        <w:t xml:space="preserve">. </w:t>
      </w:r>
      <w:r w:rsidRPr="003E3E29">
        <w:rPr>
          <w:rFonts w:ascii="Times New Roman" w:hAnsi="Times New Roman"/>
          <w:sz w:val="24"/>
          <w:szCs w:val="24"/>
        </w:rPr>
        <w:t>Тако</w:t>
      </w:r>
      <w:r w:rsidR="00A568CB" w:rsidRPr="003E3E29">
        <w:rPr>
          <w:rFonts w:ascii="Times New Roman" w:hAnsi="Times New Roman"/>
          <w:sz w:val="24"/>
          <w:szCs w:val="24"/>
        </w:rPr>
        <w:t xml:space="preserve"> </w:t>
      </w:r>
      <w:r w:rsidRPr="003E3E29">
        <w:rPr>
          <w:rFonts w:ascii="Times New Roman" w:hAnsi="Times New Roman"/>
          <w:sz w:val="24"/>
          <w:szCs w:val="24"/>
        </w:rPr>
        <w:t>се</w:t>
      </w:r>
      <w:r w:rsidR="00A568CB" w:rsidRPr="003E3E29">
        <w:rPr>
          <w:rFonts w:ascii="Times New Roman" w:hAnsi="Times New Roman"/>
          <w:sz w:val="24"/>
          <w:szCs w:val="24"/>
        </w:rPr>
        <w:t xml:space="preserve"> </w:t>
      </w:r>
      <w:r w:rsidRPr="003E3E29">
        <w:rPr>
          <w:rFonts w:ascii="Times New Roman" w:hAnsi="Times New Roman"/>
          <w:sz w:val="24"/>
          <w:szCs w:val="24"/>
        </w:rPr>
        <w:t>корекције</w:t>
      </w:r>
      <w:r w:rsidR="00A568CB" w:rsidRPr="003E3E29">
        <w:rPr>
          <w:rFonts w:ascii="Times New Roman" w:hAnsi="Times New Roman"/>
          <w:sz w:val="24"/>
          <w:szCs w:val="24"/>
        </w:rPr>
        <w:t xml:space="preserve"> </w:t>
      </w:r>
      <w:r w:rsidRPr="003E3E29">
        <w:rPr>
          <w:rFonts w:ascii="Times New Roman" w:hAnsi="Times New Roman"/>
          <w:sz w:val="24"/>
          <w:szCs w:val="24"/>
        </w:rPr>
        <w:t>расхода</w:t>
      </w:r>
      <w:r w:rsidR="00A568CB" w:rsidRPr="003E3E29">
        <w:rPr>
          <w:rFonts w:ascii="Times New Roman" w:hAnsi="Times New Roman"/>
          <w:sz w:val="24"/>
          <w:szCs w:val="24"/>
        </w:rPr>
        <w:t xml:space="preserve"> </w:t>
      </w:r>
      <w:r w:rsidRPr="003E3E29">
        <w:rPr>
          <w:rFonts w:ascii="Times New Roman" w:hAnsi="Times New Roman"/>
          <w:sz w:val="24"/>
          <w:szCs w:val="24"/>
        </w:rPr>
        <w:t>у</w:t>
      </w:r>
      <w:r w:rsidR="00A568CB" w:rsidRPr="003E3E29">
        <w:rPr>
          <w:rFonts w:ascii="Times New Roman" w:hAnsi="Times New Roman"/>
          <w:sz w:val="24"/>
          <w:szCs w:val="24"/>
        </w:rPr>
        <w:t xml:space="preserve"> </w:t>
      </w:r>
      <w:r w:rsidRPr="003E3E29">
        <w:rPr>
          <w:rFonts w:ascii="Times New Roman" w:hAnsi="Times New Roman"/>
          <w:sz w:val="24"/>
          <w:szCs w:val="24"/>
        </w:rPr>
        <w:t>пореском</w:t>
      </w:r>
      <w:r w:rsidR="00A568CB" w:rsidRPr="003E3E29">
        <w:rPr>
          <w:rFonts w:ascii="Times New Roman" w:hAnsi="Times New Roman"/>
          <w:sz w:val="24"/>
          <w:szCs w:val="24"/>
        </w:rPr>
        <w:t xml:space="preserve"> </w:t>
      </w:r>
      <w:r w:rsidRPr="003E3E29">
        <w:rPr>
          <w:rFonts w:ascii="Times New Roman" w:hAnsi="Times New Roman"/>
          <w:sz w:val="24"/>
          <w:szCs w:val="24"/>
        </w:rPr>
        <w:t>билансу</w:t>
      </w:r>
      <w:r>
        <w:rPr>
          <w:rFonts w:ascii="Times New Roman" w:hAnsi="Times New Roman"/>
          <w:sz w:val="24"/>
          <w:szCs w:val="24"/>
          <w:lang w:val="sr-Cyrl-CS"/>
        </w:rPr>
        <w:t xml:space="preserve"> </w:t>
      </w:r>
      <w:r w:rsidRPr="003E3E29">
        <w:rPr>
          <w:rFonts w:ascii="Times New Roman" w:hAnsi="Times New Roman"/>
          <w:sz w:val="24"/>
          <w:szCs w:val="24"/>
        </w:rPr>
        <w:t>могу</w:t>
      </w:r>
      <w:r w:rsidR="00A568CB" w:rsidRPr="003E3E29">
        <w:rPr>
          <w:rFonts w:ascii="Times New Roman" w:hAnsi="Times New Roman"/>
          <w:sz w:val="24"/>
          <w:szCs w:val="24"/>
        </w:rPr>
        <w:t xml:space="preserve"> </w:t>
      </w:r>
      <w:r w:rsidRPr="003E3E29">
        <w:rPr>
          <w:rFonts w:ascii="Times New Roman" w:hAnsi="Times New Roman"/>
          <w:sz w:val="24"/>
          <w:szCs w:val="24"/>
        </w:rPr>
        <w:t>поделити</w:t>
      </w:r>
      <w:r w:rsidR="00A568CB" w:rsidRPr="003E3E29">
        <w:rPr>
          <w:rFonts w:ascii="Times New Roman" w:hAnsi="Times New Roman"/>
          <w:sz w:val="24"/>
          <w:szCs w:val="24"/>
        </w:rPr>
        <w:t xml:space="preserve"> </w:t>
      </w:r>
      <w:r w:rsidRPr="003E3E29">
        <w:rPr>
          <w:rFonts w:ascii="Times New Roman" w:hAnsi="Times New Roman"/>
          <w:sz w:val="24"/>
          <w:szCs w:val="24"/>
        </w:rPr>
        <w:t>у</w:t>
      </w:r>
      <w:r w:rsidR="00A568CB" w:rsidRPr="003E3E29">
        <w:rPr>
          <w:rFonts w:ascii="Times New Roman" w:hAnsi="Times New Roman"/>
          <w:sz w:val="24"/>
          <w:szCs w:val="24"/>
        </w:rPr>
        <w:t xml:space="preserve"> </w:t>
      </w:r>
      <w:r w:rsidRPr="003E3E29">
        <w:rPr>
          <w:rFonts w:ascii="Times New Roman" w:hAnsi="Times New Roman"/>
          <w:sz w:val="24"/>
          <w:szCs w:val="24"/>
        </w:rPr>
        <w:t>три</w:t>
      </w:r>
      <w:r w:rsidR="00A568CB" w:rsidRPr="003E3E29">
        <w:rPr>
          <w:rFonts w:ascii="Times New Roman" w:hAnsi="Times New Roman"/>
          <w:sz w:val="24"/>
          <w:szCs w:val="24"/>
        </w:rPr>
        <w:t xml:space="preserve"> </w:t>
      </w:r>
      <w:r w:rsidRPr="003E3E29">
        <w:rPr>
          <w:rFonts w:ascii="Times New Roman" w:hAnsi="Times New Roman"/>
          <w:sz w:val="24"/>
          <w:szCs w:val="24"/>
        </w:rPr>
        <w:t>групе</w:t>
      </w:r>
      <w:r w:rsidR="00A568CB" w:rsidRPr="003E3E29">
        <w:rPr>
          <w:rFonts w:ascii="Times New Roman" w:hAnsi="Times New Roman"/>
          <w:sz w:val="24"/>
          <w:szCs w:val="24"/>
        </w:rPr>
        <w:t>:</w:t>
      </w:r>
    </w:p>
    <w:p w:rsidR="003E3E29" w:rsidRPr="003E3E29" w:rsidRDefault="003E3E29" w:rsidP="00A568CB">
      <w:pPr>
        <w:autoSpaceDE w:val="0"/>
        <w:autoSpaceDN w:val="0"/>
        <w:adjustRightInd w:val="0"/>
        <w:spacing w:after="0" w:line="240" w:lineRule="auto"/>
        <w:rPr>
          <w:rFonts w:ascii="Times New Roman" w:hAnsi="Times New Roman"/>
          <w:sz w:val="24"/>
          <w:szCs w:val="24"/>
          <w:lang w:val="sr-Cyrl-CS"/>
        </w:rPr>
      </w:pPr>
    </w:p>
    <w:p w:rsidR="00A568CB" w:rsidRDefault="003E3E29" w:rsidP="003E3E29">
      <w:pPr>
        <w:autoSpaceDE w:val="0"/>
        <w:autoSpaceDN w:val="0"/>
        <w:adjustRightInd w:val="0"/>
        <w:spacing w:after="0" w:line="240" w:lineRule="auto"/>
        <w:jc w:val="both"/>
        <w:rPr>
          <w:rFonts w:ascii="Times New Roman" w:hAnsi="Times New Roman"/>
          <w:sz w:val="24"/>
          <w:szCs w:val="24"/>
          <w:lang w:val="sr-Cyrl-CS"/>
        </w:rPr>
      </w:pPr>
      <w:r w:rsidRPr="003E3E29">
        <w:rPr>
          <w:rFonts w:ascii="Times New Roman" w:hAnsi="Times New Roman"/>
          <w:sz w:val="24"/>
          <w:szCs w:val="24"/>
          <w:lang w:val="sr-Cyrl-CS"/>
        </w:rPr>
        <w:t xml:space="preserve">а) </w:t>
      </w:r>
      <w:r w:rsidRPr="003E3E29">
        <w:rPr>
          <w:rFonts w:ascii="Times New Roman" w:hAnsi="Times New Roman"/>
          <w:sz w:val="24"/>
          <w:szCs w:val="24"/>
        </w:rPr>
        <w:t>расходи</w:t>
      </w:r>
      <w:r w:rsidR="00A568CB" w:rsidRPr="003E3E29">
        <w:rPr>
          <w:rFonts w:ascii="Times New Roman" w:hAnsi="Times New Roman"/>
          <w:sz w:val="24"/>
          <w:szCs w:val="24"/>
        </w:rPr>
        <w:t xml:space="preserve"> </w:t>
      </w:r>
      <w:r w:rsidRPr="003E3E29">
        <w:rPr>
          <w:rFonts w:ascii="Times New Roman" w:hAnsi="Times New Roman"/>
          <w:sz w:val="24"/>
          <w:szCs w:val="24"/>
        </w:rPr>
        <w:t>који</w:t>
      </w:r>
      <w:r w:rsidR="00A568CB" w:rsidRPr="003E3E29">
        <w:rPr>
          <w:rFonts w:ascii="Times New Roman" w:hAnsi="Times New Roman"/>
          <w:sz w:val="24"/>
          <w:szCs w:val="24"/>
        </w:rPr>
        <w:t xml:space="preserve"> </w:t>
      </w:r>
      <w:r w:rsidRPr="003E3E29">
        <w:rPr>
          <w:rFonts w:ascii="Times New Roman" w:hAnsi="Times New Roman"/>
          <w:sz w:val="24"/>
          <w:szCs w:val="24"/>
        </w:rPr>
        <w:t>се</w:t>
      </w:r>
      <w:r w:rsidR="00A568CB" w:rsidRPr="003E3E29">
        <w:rPr>
          <w:rFonts w:ascii="Times New Roman" w:hAnsi="Times New Roman"/>
          <w:sz w:val="24"/>
          <w:szCs w:val="24"/>
        </w:rPr>
        <w:t xml:space="preserve"> </w:t>
      </w:r>
      <w:r w:rsidRPr="003E3E29">
        <w:rPr>
          <w:rFonts w:ascii="Times New Roman" w:hAnsi="Times New Roman"/>
          <w:sz w:val="24"/>
          <w:szCs w:val="24"/>
        </w:rPr>
        <w:t>у</w:t>
      </w:r>
      <w:r w:rsidR="00A568CB" w:rsidRPr="003E3E29">
        <w:rPr>
          <w:rFonts w:ascii="Times New Roman" w:hAnsi="Times New Roman"/>
          <w:sz w:val="24"/>
          <w:szCs w:val="24"/>
        </w:rPr>
        <w:t xml:space="preserve"> </w:t>
      </w:r>
      <w:r w:rsidRPr="003E3E29">
        <w:rPr>
          <w:rFonts w:ascii="Times New Roman" w:hAnsi="Times New Roman"/>
          <w:sz w:val="24"/>
          <w:szCs w:val="24"/>
        </w:rPr>
        <w:t>потпуности</w:t>
      </w:r>
      <w:r w:rsidR="00A568CB" w:rsidRPr="003E3E29">
        <w:rPr>
          <w:rFonts w:ascii="Times New Roman" w:hAnsi="Times New Roman"/>
          <w:sz w:val="24"/>
          <w:szCs w:val="24"/>
        </w:rPr>
        <w:t xml:space="preserve"> </w:t>
      </w:r>
      <w:r w:rsidRPr="003E3E29">
        <w:rPr>
          <w:rFonts w:ascii="Times New Roman" w:hAnsi="Times New Roman"/>
          <w:sz w:val="24"/>
          <w:szCs w:val="24"/>
        </w:rPr>
        <w:t>не</w:t>
      </w:r>
      <w:r w:rsidR="00A568CB" w:rsidRPr="003E3E29">
        <w:rPr>
          <w:rFonts w:ascii="Times New Roman" w:hAnsi="Times New Roman"/>
          <w:sz w:val="24"/>
          <w:szCs w:val="24"/>
        </w:rPr>
        <w:t xml:space="preserve"> </w:t>
      </w:r>
      <w:r w:rsidRPr="003E3E29">
        <w:rPr>
          <w:rFonts w:ascii="Times New Roman" w:hAnsi="Times New Roman"/>
          <w:sz w:val="24"/>
          <w:szCs w:val="24"/>
        </w:rPr>
        <w:t>признају</w:t>
      </w:r>
      <w:r w:rsidR="00A568CB" w:rsidRPr="003E3E29">
        <w:rPr>
          <w:rFonts w:ascii="Times New Roman" w:hAnsi="Times New Roman"/>
          <w:sz w:val="24"/>
          <w:szCs w:val="24"/>
        </w:rPr>
        <w:t xml:space="preserve"> – </w:t>
      </w:r>
      <w:r w:rsidRPr="003E3E29">
        <w:rPr>
          <w:rFonts w:ascii="Times New Roman" w:hAnsi="Times New Roman"/>
          <w:sz w:val="24"/>
          <w:szCs w:val="24"/>
        </w:rPr>
        <w:t>нпр</w:t>
      </w:r>
      <w:r w:rsidR="00A568CB" w:rsidRPr="003E3E29">
        <w:rPr>
          <w:rFonts w:ascii="Times New Roman" w:hAnsi="Times New Roman"/>
          <w:sz w:val="24"/>
          <w:szCs w:val="24"/>
        </w:rPr>
        <w:t xml:space="preserve">. </w:t>
      </w:r>
      <w:r w:rsidRPr="003E3E29">
        <w:rPr>
          <w:rFonts w:ascii="Times New Roman" w:hAnsi="Times New Roman"/>
          <w:sz w:val="24"/>
          <w:szCs w:val="24"/>
        </w:rPr>
        <w:t>недокументовани</w:t>
      </w:r>
      <w:r w:rsidR="00A568CB" w:rsidRPr="003E3E29">
        <w:rPr>
          <w:rFonts w:ascii="Times New Roman" w:hAnsi="Times New Roman"/>
          <w:sz w:val="24"/>
          <w:szCs w:val="24"/>
        </w:rPr>
        <w:t xml:space="preserve"> </w:t>
      </w:r>
      <w:r w:rsidR="00D40B0C" w:rsidRPr="003E3E29">
        <w:rPr>
          <w:rFonts w:ascii="Times New Roman" w:hAnsi="Times New Roman"/>
          <w:sz w:val="24"/>
          <w:szCs w:val="24"/>
          <w:lang w:val="sr-Cyrl-CS"/>
        </w:rPr>
        <w:t xml:space="preserve">трошкови, </w:t>
      </w:r>
      <w:r w:rsidR="00D40B0C" w:rsidRPr="003E3E29">
        <w:rPr>
          <w:rFonts w:ascii="Times New Roman" w:hAnsi="Times New Roman"/>
          <w:sz w:val="24"/>
          <w:szCs w:val="24"/>
        </w:rPr>
        <w:t xml:space="preserve"> </w:t>
      </w:r>
      <w:r w:rsidR="00D40B0C" w:rsidRPr="003E3E29">
        <w:rPr>
          <w:rFonts w:ascii="Times New Roman" w:hAnsi="Times New Roman"/>
          <w:sz w:val="24"/>
          <w:szCs w:val="24"/>
          <w:lang w:val="sr-Cyrl-CS"/>
        </w:rPr>
        <w:t>поклони и прилози дати политичким организацијама,</w:t>
      </w:r>
      <w:r>
        <w:rPr>
          <w:rFonts w:ascii="Times New Roman" w:hAnsi="Times New Roman"/>
          <w:sz w:val="24"/>
          <w:szCs w:val="24"/>
          <w:lang w:val="sr-Cyrl-CS"/>
        </w:rPr>
        <w:t xml:space="preserve"> </w:t>
      </w:r>
      <w:r w:rsidRPr="003E3E29">
        <w:rPr>
          <w:rFonts w:ascii="Times New Roman" w:hAnsi="Times New Roman"/>
          <w:sz w:val="24"/>
          <w:szCs w:val="24"/>
        </w:rPr>
        <w:t>новчане</w:t>
      </w:r>
      <w:r w:rsidR="00A568CB" w:rsidRPr="003E3E29">
        <w:rPr>
          <w:rFonts w:ascii="Times New Roman" w:hAnsi="Times New Roman"/>
          <w:sz w:val="24"/>
          <w:szCs w:val="24"/>
        </w:rPr>
        <w:t xml:space="preserve"> </w:t>
      </w:r>
      <w:r w:rsidRPr="003E3E29">
        <w:rPr>
          <w:rFonts w:ascii="Times New Roman" w:hAnsi="Times New Roman"/>
          <w:sz w:val="24"/>
          <w:szCs w:val="24"/>
        </w:rPr>
        <w:t>казне</w:t>
      </w:r>
      <w:r w:rsidR="00D40B0C" w:rsidRPr="003E3E29">
        <w:rPr>
          <w:rFonts w:ascii="Times New Roman" w:hAnsi="Times New Roman"/>
          <w:sz w:val="24"/>
          <w:szCs w:val="24"/>
          <w:lang w:val="sr-Cyrl-CS"/>
        </w:rPr>
        <w:t>, уговорне казне</w:t>
      </w:r>
      <w:r w:rsidR="00A568CB" w:rsidRPr="003E3E29">
        <w:rPr>
          <w:rFonts w:ascii="Times New Roman" w:hAnsi="Times New Roman"/>
          <w:sz w:val="24"/>
          <w:szCs w:val="24"/>
        </w:rPr>
        <w:t xml:space="preserve"> </w:t>
      </w:r>
      <w:r w:rsidRPr="003E3E29">
        <w:rPr>
          <w:rFonts w:ascii="Times New Roman" w:hAnsi="Times New Roman"/>
          <w:sz w:val="24"/>
          <w:szCs w:val="24"/>
        </w:rPr>
        <w:t>и</w:t>
      </w:r>
      <w:r w:rsidR="00A568CB" w:rsidRPr="003E3E29">
        <w:rPr>
          <w:rFonts w:ascii="Times New Roman" w:hAnsi="Times New Roman"/>
          <w:sz w:val="24"/>
          <w:szCs w:val="24"/>
        </w:rPr>
        <w:t xml:space="preserve"> </w:t>
      </w:r>
      <w:r w:rsidRPr="003E3E29">
        <w:rPr>
          <w:rFonts w:ascii="Times New Roman" w:hAnsi="Times New Roman"/>
          <w:sz w:val="24"/>
          <w:szCs w:val="24"/>
        </w:rPr>
        <w:t>пенали</w:t>
      </w:r>
      <w:r w:rsidR="00A568CB" w:rsidRPr="003E3E29">
        <w:rPr>
          <w:rFonts w:ascii="Times New Roman" w:hAnsi="Times New Roman"/>
          <w:sz w:val="24"/>
          <w:szCs w:val="24"/>
        </w:rPr>
        <w:t xml:space="preserve">, </w:t>
      </w:r>
      <w:r w:rsidRPr="003E3E29">
        <w:rPr>
          <w:rFonts w:ascii="Times New Roman" w:hAnsi="Times New Roman"/>
          <w:sz w:val="24"/>
          <w:szCs w:val="24"/>
        </w:rPr>
        <w:t>трошкови</w:t>
      </w:r>
      <w:r w:rsidR="00A568CB" w:rsidRPr="003E3E29">
        <w:rPr>
          <w:rFonts w:ascii="Times New Roman" w:hAnsi="Times New Roman"/>
          <w:sz w:val="24"/>
          <w:szCs w:val="24"/>
        </w:rPr>
        <w:t xml:space="preserve"> </w:t>
      </w:r>
      <w:r w:rsidRPr="003E3E29">
        <w:rPr>
          <w:rFonts w:ascii="Times New Roman" w:hAnsi="Times New Roman"/>
          <w:sz w:val="24"/>
          <w:szCs w:val="24"/>
        </w:rPr>
        <w:t>који</w:t>
      </w:r>
      <w:r w:rsidR="00A568CB" w:rsidRPr="003E3E29">
        <w:rPr>
          <w:rFonts w:ascii="Times New Roman" w:hAnsi="Times New Roman"/>
          <w:sz w:val="24"/>
          <w:szCs w:val="24"/>
        </w:rPr>
        <w:t xml:space="preserve"> </w:t>
      </w:r>
      <w:r w:rsidRPr="003E3E29">
        <w:rPr>
          <w:rFonts w:ascii="Times New Roman" w:hAnsi="Times New Roman"/>
          <w:sz w:val="24"/>
          <w:szCs w:val="24"/>
        </w:rPr>
        <w:t>нису</w:t>
      </w:r>
      <w:r w:rsidR="00A568CB" w:rsidRPr="003E3E29">
        <w:rPr>
          <w:rFonts w:ascii="Times New Roman" w:hAnsi="Times New Roman"/>
          <w:sz w:val="24"/>
          <w:szCs w:val="24"/>
        </w:rPr>
        <w:t xml:space="preserve"> </w:t>
      </w:r>
      <w:r w:rsidRPr="003E3E29">
        <w:rPr>
          <w:rFonts w:ascii="Times New Roman" w:hAnsi="Times New Roman"/>
          <w:sz w:val="24"/>
          <w:szCs w:val="24"/>
        </w:rPr>
        <w:t>настали</w:t>
      </w:r>
      <w:r w:rsidR="00A568CB" w:rsidRPr="003E3E29">
        <w:rPr>
          <w:rFonts w:ascii="Times New Roman" w:hAnsi="Times New Roman"/>
          <w:sz w:val="24"/>
          <w:szCs w:val="24"/>
        </w:rPr>
        <w:t xml:space="preserve"> </w:t>
      </w:r>
      <w:r w:rsidRPr="003E3E29">
        <w:rPr>
          <w:rFonts w:ascii="Times New Roman" w:hAnsi="Times New Roman"/>
          <w:sz w:val="24"/>
          <w:szCs w:val="24"/>
        </w:rPr>
        <w:t>у</w:t>
      </w:r>
      <w:r w:rsidR="00A568CB" w:rsidRPr="003E3E29">
        <w:rPr>
          <w:rFonts w:ascii="Times New Roman" w:hAnsi="Times New Roman"/>
          <w:sz w:val="24"/>
          <w:szCs w:val="24"/>
        </w:rPr>
        <w:t xml:space="preserve"> </w:t>
      </w:r>
      <w:r w:rsidRPr="003E3E29">
        <w:rPr>
          <w:rFonts w:ascii="Times New Roman" w:hAnsi="Times New Roman"/>
          <w:sz w:val="24"/>
          <w:szCs w:val="24"/>
        </w:rPr>
        <w:t>сврху</w:t>
      </w:r>
      <w:r w:rsidR="00A568CB" w:rsidRPr="003E3E29">
        <w:rPr>
          <w:rFonts w:ascii="Times New Roman" w:hAnsi="Times New Roman"/>
          <w:sz w:val="24"/>
          <w:szCs w:val="24"/>
        </w:rPr>
        <w:t xml:space="preserve"> </w:t>
      </w:r>
      <w:r w:rsidRPr="003E3E29">
        <w:rPr>
          <w:rFonts w:ascii="Times New Roman" w:hAnsi="Times New Roman"/>
          <w:sz w:val="24"/>
          <w:szCs w:val="24"/>
        </w:rPr>
        <w:t>обављања</w:t>
      </w:r>
      <w:r w:rsidR="00A568CB" w:rsidRPr="003E3E29">
        <w:rPr>
          <w:rFonts w:ascii="Times New Roman" w:hAnsi="Times New Roman"/>
          <w:sz w:val="24"/>
          <w:szCs w:val="24"/>
        </w:rPr>
        <w:t xml:space="preserve"> </w:t>
      </w:r>
      <w:r w:rsidRPr="003E3E29">
        <w:rPr>
          <w:rFonts w:ascii="Times New Roman" w:hAnsi="Times New Roman"/>
          <w:sz w:val="24"/>
          <w:szCs w:val="24"/>
        </w:rPr>
        <w:t>делатности</w:t>
      </w:r>
      <w:r>
        <w:rPr>
          <w:rFonts w:ascii="Times New Roman" w:hAnsi="Times New Roman"/>
          <w:sz w:val="24"/>
          <w:szCs w:val="24"/>
          <w:lang w:val="sr-Cyrl-CS"/>
        </w:rPr>
        <w:t xml:space="preserve"> </w:t>
      </w:r>
      <w:r w:rsidRPr="003E3E29">
        <w:rPr>
          <w:rFonts w:ascii="Times New Roman" w:hAnsi="Times New Roman"/>
          <w:sz w:val="24"/>
          <w:szCs w:val="24"/>
        </w:rPr>
        <w:t>и</w:t>
      </w:r>
      <w:r w:rsidR="00A568CB" w:rsidRPr="003E3E29">
        <w:rPr>
          <w:rFonts w:ascii="Times New Roman" w:hAnsi="Times New Roman"/>
          <w:sz w:val="24"/>
          <w:szCs w:val="24"/>
        </w:rPr>
        <w:t xml:space="preserve"> </w:t>
      </w:r>
      <w:r w:rsidRPr="003E3E29">
        <w:rPr>
          <w:rFonts w:ascii="Times New Roman" w:hAnsi="Times New Roman"/>
          <w:sz w:val="24"/>
          <w:szCs w:val="24"/>
        </w:rPr>
        <w:t>сл</w:t>
      </w:r>
      <w:r w:rsidR="00A568CB" w:rsidRPr="003E3E29">
        <w:rPr>
          <w:rFonts w:ascii="Times New Roman" w:hAnsi="Times New Roman"/>
          <w:sz w:val="24"/>
          <w:szCs w:val="24"/>
        </w:rPr>
        <w:t>.;</w:t>
      </w:r>
    </w:p>
    <w:p w:rsidR="003E3E29" w:rsidRPr="003E3E29" w:rsidRDefault="003E3E29" w:rsidP="003E3E29">
      <w:pPr>
        <w:autoSpaceDE w:val="0"/>
        <w:autoSpaceDN w:val="0"/>
        <w:adjustRightInd w:val="0"/>
        <w:spacing w:after="0" w:line="240" w:lineRule="auto"/>
        <w:jc w:val="both"/>
        <w:rPr>
          <w:rFonts w:ascii="Times New Roman" w:hAnsi="Times New Roman"/>
          <w:sz w:val="24"/>
          <w:szCs w:val="24"/>
          <w:lang w:val="sr-Cyrl-CS"/>
        </w:rPr>
      </w:pPr>
    </w:p>
    <w:p w:rsidR="00A568CB" w:rsidRDefault="003E3E29" w:rsidP="003E3E29">
      <w:pPr>
        <w:autoSpaceDE w:val="0"/>
        <w:autoSpaceDN w:val="0"/>
        <w:adjustRightInd w:val="0"/>
        <w:spacing w:after="0" w:line="240" w:lineRule="auto"/>
        <w:jc w:val="both"/>
        <w:rPr>
          <w:rFonts w:ascii="Times New Roman" w:hAnsi="Times New Roman"/>
          <w:sz w:val="24"/>
          <w:szCs w:val="24"/>
          <w:lang w:val="sr-Cyrl-CS"/>
        </w:rPr>
      </w:pPr>
      <w:r w:rsidRPr="003E3E29">
        <w:rPr>
          <w:rFonts w:ascii="Times New Roman" w:hAnsi="Times New Roman"/>
          <w:sz w:val="24"/>
          <w:szCs w:val="24"/>
        </w:rPr>
        <w:lastRenderedPageBreak/>
        <w:t>б</w:t>
      </w:r>
      <w:r w:rsidR="00A568CB" w:rsidRPr="003E3E29">
        <w:rPr>
          <w:rFonts w:ascii="Times New Roman" w:hAnsi="Times New Roman"/>
          <w:sz w:val="24"/>
          <w:szCs w:val="24"/>
        </w:rPr>
        <w:t xml:space="preserve">) </w:t>
      </w:r>
      <w:r w:rsidRPr="003E3E29">
        <w:rPr>
          <w:rFonts w:ascii="Times New Roman" w:hAnsi="Times New Roman"/>
          <w:sz w:val="24"/>
          <w:szCs w:val="24"/>
        </w:rPr>
        <w:t>расходи</w:t>
      </w:r>
      <w:r w:rsidR="00A568CB" w:rsidRPr="003E3E29">
        <w:rPr>
          <w:rFonts w:ascii="Times New Roman" w:hAnsi="Times New Roman"/>
          <w:sz w:val="24"/>
          <w:szCs w:val="24"/>
        </w:rPr>
        <w:t xml:space="preserve"> </w:t>
      </w:r>
      <w:r w:rsidRPr="003E3E29">
        <w:rPr>
          <w:rFonts w:ascii="Times New Roman" w:hAnsi="Times New Roman"/>
          <w:sz w:val="24"/>
          <w:szCs w:val="24"/>
        </w:rPr>
        <w:t>који</w:t>
      </w:r>
      <w:r w:rsidR="00A568CB" w:rsidRPr="003E3E29">
        <w:rPr>
          <w:rFonts w:ascii="Times New Roman" w:hAnsi="Times New Roman"/>
          <w:sz w:val="24"/>
          <w:szCs w:val="24"/>
        </w:rPr>
        <w:t xml:space="preserve"> </w:t>
      </w:r>
      <w:r w:rsidRPr="003E3E29">
        <w:rPr>
          <w:rFonts w:ascii="Times New Roman" w:hAnsi="Times New Roman"/>
          <w:sz w:val="24"/>
          <w:szCs w:val="24"/>
        </w:rPr>
        <w:t>се</w:t>
      </w:r>
      <w:r w:rsidR="00A568CB" w:rsidRPr="003E3E29">
        <w:rPr>
          <w:rFonts w:ascii="Times New Roman" w:hAnsi="Times New Roman"/>
          <w:sz w:val="24"/>
          <w:szCs w:val="24"/>
        </w:rPr>
        <w:t xml:space="preserve"> </w:t>
      </w:r>
      <w:r w:rsidRPr="003E3E29">
        <w:rPr>
          <w:rFonts w:ascii="Times New Roman" w:hAnsi="Times New Roman"/>
          <w:sz w:val="24"/>
          <w:szCs w:val="24"/>
        </w:rPr>
        <w:t>признају</w:t>
      </w:r>
      <w:r w:rsidR="00A568CB" w:rsidRPr="003E3E29">
        <w:rPr>
          <w:rFonts w:ascii="Times New Roman" w:hAnsi="Times New Roman"/>
          <w:sz w:val="24"/>
          <w:szCs w:val="24"/>
        </w:rPr>
        <w:t xml:space="preserve"> </w:t>
      </w:r>
      <w:r w:rsidRPr="003E3E29">
        <w:rPr>
          <w:rFonts w:ascii="Times New Roman" w:hAnsi="Times New Roman"/>
          <w:sz w:val="24"/>
          <w:szCs w:val="24"/>
        </w:rPr>
        <w:t>у</w:t>
      </w:r>
      <w:r w:rsidR="00A568CB" w:rsidRPr="003E3E29">
        <w:rPr>
          <w:rFonts w:ascii="Times New Roman" w:hAnsi="Times New Roman"/>
          <w:sz w:val="24"/>
          <w:szCs w:val="24"/>
        </w:rPr>
        <w:t xml:space="preserve"> </w:t>
      </w:r>
      <w:r w:rsidRPr="003E3E29">
        <w:rPr>
          <w:rFonts w:ascii="Times New Roman" w:hAnsi="Times New Roman"/>
          <w:sz w:val="24"/>
          <w:szCs w:val="24"/>
        </w:rPr>
        <w:t>делимичном</w:t>
      </w:r>
      <w:r w:rsidR="00A568CB" w:rsidRPr="003E3E29">
        <w:rPr>
          <w:rFonts w:ascii="Times New Roman" w:hAnsi="Times New Roman"/>
          <w:sz w:val="24"/>
          <w:szCs w:val="24"/>
        </w:rPr>
        <w:t xml:space="preserve"> </w:t>
      </w:r>
      <w:r w:rsidR="00BE1A29">
        <w:rPr>
          <w:rFonts w:ascii="Times New Roman" w:hAnsi="Times New Roman"/>
          <w:sz w:val="24"/>
          <w:szCs w:val="24"/>
        </w:rPr>
        <w:t>износ</w:t>
      </w:r>
      <w:r w:rsidR="00BE1A29">
        <w:rPr>
          <w:rFonts w:ascii="Times New Roman" w:hAnsi="Times New Roman"/>
          <w:sz w:val="24"/>
          <w:szCs w:val="24"/>
          <w:lang w:val="sr-Cyrl-CS"/>
        </w:rPr>
        <w:t>у</w:t>
      </w:r>
      <w:r w:rsidR="00A568CB" w:rsidRPr="003E3E29">
        <w:rPr>
          <w:rFonts w:ascii="Times New Roman" w:hAnsi="Times New Roman"/>
          <w:sz w:val="24"/>
          <w:szCs w:val="24"/>
        </w:rPr>
        <w:t xml:space="preserve"> – </w:t>
      </w:r>
      <w:r w:rsidRPr="003E3E29">
        <w:rPr>
          <w:rFonts w:ascii="Times New Roman" w:hAnsi="Times New Roman"/>
          <w:sz w:val="24"/>
          <w:szCs w:val="24"/>
        </w:rPr>
        <w:t>нпр</w:t>
      </w:r>
      <w:r w:rsidR="00A568CB" w:rsidRPr="003E3E29">
        <w:rPr>
          <w:rFonts w:ascii="Times New Roman" w:hAnsi="Times New Roman"/>
          <w:sz w:val="24"/>
          <w:szCs w:val="24"/>
        </w:rPr>
        <w:t xml:space="preserve">. </w:t>
      </w:r>
      <w:r w:rsidRPr="003E3E29">
        <w:rPr>
          <w:rFonts w:ascii="Times New Roman" w:hAnsi="Times New Roman"/>
          <w:sz w:val="24"/>
          <w:szCs w:val="24"/>
        </w:rPr>
        <w:t>расходи</w:t>
      </w:r>
      <w:r w:rsidR="00A568CB" w:rsidRPr="003E3E29">
        <w:rPr>
          <w:rFonts w:ascii="Times New Roman" w:hAnsi="Times New Roman"/>
          <w:sz w:val="24"/>
          <w:szCs w:val="24"/>
        </w:rPr>
        <w:t xml:space="preserve"> </w:t>
      </w:r>
      <w:r w:rsidRPr="003E3E29">
        <w:rPr>
          <w:rFonts w:ascii="Times New Roman" w:hAnsi="Times New Roman"/>
          <w:sz w:val="24"/>
          <w:szCs w:val="24"/>
        </w:rPr>
        <w:t>за</w:t>
      </w:r>
      <w:r w:rsidR="00A568CB" w:rsidRPr="003E3E29">
        <w:rPr>
          <w:rFonts w:ascii="Times New Roman" w:hAnsi="Times New Roman"/>
          <w:sz w:val="24"/>
          <w:szCs w:val="24"/>
        </w:rPr>
        <w:t xml:space="preserve"> </w:t>
      </w:r>
      <w:r w:rsidRPr="003E3E29">
        <w:rPr>
          <w:rFonts w:ascii="Times New Roman" w:hAnsi="Times New Roman"/>
          <w:sz w:val="24"/>
          <w:szCs w:val="24"/>
        </w:rPr>
        <w:t>рекламу</w:t>
      </w:r>
      <w:r w:rsidR="00D40B0C" w:rsidRPr="003E3E29">
        <w:rPr>
          <w:rFonts w:ascii="Times New Roman" w:hAnsi="Times New Roman"/>
          <w:sz w:val="24"/>
          <w:szCs w:val="24"/>
          <w:lang w:val="sr-Cyrl-CS"/>
        </w:rPr>
        <w:t xml:space="preserve"> и</w:t>
      </w:r>
      <w:r w:rsidR="00A568CB" w:rsidRPr="003E3E29">
        <w:rPr>
          <w:rFonts w:ascii="Times New Roman" w:hAnsi="Times New Roman"/>
          <w:sz w:val="24"/>
          <w:szCs w:val="24"/>
        </w:rPr>
        <w:t xml:space="preserve"> </w:t>
      </w:r>
      <w:r w:rsidRPr="003E3E29">
        <w:rPr>
          <w:rFonts w:ascii="Times New Roman" w:hAnsi="Times New Roman"/>
          <w:sz w:val="24"/>
          <w:szCs w:val="24"/>
        </w:rPr>
        <w:t>пропаганду</w:t>
      </w:r>
      <w:r>
        <w:rPr>
          <w:rFonts w:ascii="Times New Roman" w:hAnsi="Times New Roman"/>
          <w:sz w:val="24"/>
          <w:szCs w:val="24"/>
          <w:lang w:val="sr-Cyrl-CS"/>
        </w:rPr>
        <w:t xml:space="preserve"> </w:t>
      </w:r>
      <w:r w:rsidRPr="003E3E29">
        <w:rPr>
          <w:rFonts w:ascii="Times New Roman" w:hAnsi="Times New Roman"/>
          <w:sz w:val="24"/>
          <w:szCs w:val="24"/>
        </w:rPr>
        <w:t>се</w:t>
      </w:r>
      <w:r w:rsidR="00A568CB" w:rsidRPr="003E3E29">
        <w:rPr>
          <w:rFonts w:ascii="Times New Roman" w:hAnsi="Times New Roman"/>
          <w:sz w:val="24"/>
          <w:szCs w:val="24"/>
        </w:rPr>
        <w:t xml:space="preserve"> </w:t>
      </w:r>
      <w:r w:rsidRPr="003E3E29">
        <w:rPr>
          <w:rFonts w:ascii="Times New Roman" w:hAnsi="Times New Roman"/>
          <w:sz w:val="24"/>
          <w:szCs w:val="24"/>
        </w:rPr>
        <w:t>признају</w:t>
      </w:r>
      <w:r w:rsidR="00D40B0C" w:rsidRPr="003E3E29">
        <w:rPr>
          <w:rFonts w:ascii="Times New Roman" w:hAnsi="Times New Roman"/>
          <w:sz w:val="24"/>
          <w:szCs w:val="24"/>
        </w:rPr>
        <w:t xml:space="preserve"> </w:t>
      </w:r>
      <w:r w:rsidRPr="003E3E29">
        <w:rPr>
          <w:rFonts w:ascii="Times New Roman" w:hAnsi="Times New Roman"/>
          <w:sz w:val="24"/>
          <w:szCs w:val="24"/>
        </w:rPr>
        <w:t>као</w:t>
      </w:r>
      <w:r w:rsidR="00D40B0C" w:rsidRPr="003E3E29">
        <w:rPr>
          <w:rFonts w:ascii="Times New Roman" w:hAnsi="Times New Roman"/>
          <w:sz w:val="24"/>
          <w:szCs w:val="24"/>
        </w:rPr>
        <w:t xml:space="preserve"> </w:t>
      </w:r>
      <w:r w:rsidRPr="003E3E29">
        <w:rPr>
          <w:rFonts w:ascii="Times New Roman" w:hAnsi="Times New Roman"/>
          <w:sz w:val="24"/>
          <w:szCs w:val="24"/>
        </w:rPr>
        <w:t>расход</w:t>
      </w:r>
      <w:r w:rsidR="00D40B0C" w:rsidRPr="003E3E29">
        <w:rPr>
          <w:rFonts w:ascii="Times New Roman" w:hAnsi="Times New Roman"/>
          <w:sz w:val="24"/>
          <w:szCs w:val="24"/>
        </w:rPr>
        <w:t xml:space="preserve"> </w:t>
      </w:r>
      <w:r w:rsidRPr="003E3E29">
        <w:rPr>
          <w:rFonts w:ascii="Times New Roman" w:hAnsi="Times New Roman"/>
          <w:sz w:val="24"/>
          <w:szCs w:val="24"/>
        </w:rPr>
        <w:t>до</w:t>
      </w:r>
      <w:r w:rsidR="00D40B0C" w:rsidRPr="003E3E29">
        <w:rPr>
          <w:rFonts w:ascii="Times New Roman" w:hAnsi="Times New Roman"/>
          <w:sz w:val="24"/>
          <w:szCs w:val="24"/>
        </w:rPr>
        <w:t xml:space="preserve"> </w:t>
      </w:r>
      <w:r w:rsidRPr="003E3E29">
        <w:rPr>
          <w:rFonts w:ascii="Times New Roman" w:hAnsi="Times New Roman"/>
          <w:sz w:val="24"/>
          <w:szCs w:val="24"/>
        </w:rPr>
        <w:t>износа</w:t>
      </w:r>
      <w:r w:rsidR="00D40B0C" w:rsidRPr="003E3E29">
        <w:rPr>
          <w:rFonts w:ascii="Times New Roman" w:hAnsi="Times New Roman"/>
          <w:sz w:val="24"/>
          <w:szCs w:val="24"/>
        </w:rPr>
        <w:t xml:space="preserve"> </w:t>
      </w:r>
      <w:r w:rsidRPr="003E3E29">
        <w:rPr>
          <w:rFonts w:ascii="Times New Roman" w:hAnsi="Times New Roman"/>
          <w:sz w:val="24"/>
          <w:szCs w:val="24"/>
        </w:rPr>
        <w:t>једнаког</w:t>
      </w:r>
      <w:r w:rsidR="00D40B0C" w:rsidRPr="003E3E29">
        <w:rPr>
          <w:rFonts w:ascii="Times New Roman" w:hAnsi="Times New Roman"/>
          <w:sz w:val="24"/>
          <w:szCs w:val="24"/>
        </w:rPr>
        <w:t xml:space="preserve"> </w:t>
      </w:r>
      <w:r w:rsidR="00D40B0C" w:rsidRPr="003E3E29">
        <w:rPr>
          <w:rFonts w:ascii="Times New Roman" w:hAnsi="Times New Roman"/>
          <w:sz w:val="24"/>
          <w:szCs w:val="24"/>
          <w:lang w:val="sr-Cyrl-CS"/>
        </w:rPr>
        <w:t>10</w:t>
      </w:r>
      <w:r w:rsidR="00A568CB" w:rsidRPr="003E3E29">
        <w:rPr>
          <w:rFonts w:ascii="Times New Roman" w:hAnsi="Times New Roman"/>
          <w:sz w:val="24"/>
          <w:szCs w:val="24"/>
        </w:rPr>
        <w:t xml:space="preserve">% </w:t>
      </w:r>
      <w:r w:rsidRPr="003E3E29">
        <w:rPr>
          <w:rFonts w:ascii="Times New Roman" w:hAnsi="Times New Roman"/>
          <w:sz w:val="24"/>
          <w:szCs w:val="24"/>
        </w:rPr>
        <w:t>укупног</w:t>
      </w:r>
      <w:r>
        <w:rPr>
          <w:rFonts w:ascii="Times New Roman" w:hAnsi="Times New Roman"/>
          <w:sz w:val="24"/>
          <w:szCs w:val="24"/>
          <w:lang w:val="sr-Cyrl-CS"/>
        </w:rPr>
        <w:t xml:space="preserve"> </w:t>
      </w:r>
      <w:r w:rsidRPr="003E3E29">
        <w:rPr>
          <w:rFonts w:ascii="Times New Roman" w:hAnsi="Times New Roman"/>
          <w:sz w:val="24"/>
          <w:szCs w:val="24"/>
        </w:rPr>
        <w:t>прихода</w:t>
      </w:r>
      <w:r w:rsidR="00A568CB" w:rsidRPr="003E3E29">
        <w:rPr>
          <w:rFonts w:ascii="Times New Roman" w:hAnsi="Times New Roman"/>
          <w:sz w:val="24"/>
          <w:szCs w:val="24"/>
        </w:rPr>
        <w:t xml:space="preserve"> </w:t>
      </w:r>
      <w:r w:rsidRPr="003E3E29">
        <w:rPr>
          <w:rFonts w:ascii="Times New Roman" w:hAnsi="Times New Roman"/>
          <w:sz w:val="24"/>
          <w:szCs w:val="24"/>
        </w:rPr>
        <w:t>обвезника</w:t>
      </w:r>
      <w:r w:rsidR="00A568CB" w:rsidRPr="003E3E29">
        <w:rPr>
          <w:rFonts w:ascii="Times New Roman" w:hAnsi="Times New Roman"/>
          <w:sz w:val="24"/>
          <w:szCs w:val="24"/>
        </w:rPr>
        <w:t xml:space="preserve">, </w:t>
      </w:r>
      <w:r w:rsidR="00D40B0C" w:rsidRPr="003E3E29">
        <w:rPr>
          <w:rFonts w:ascii="Times New Roman" w:hAnsi="Times New Roman"/>
          <w:sz w:val="24"/>
          <w:szCs w:val="24"/>
          <w:lang w:val="sr-Cyrl-CS"/>
        </w:rPr>
        <w:t xml:space="preserve">издаци за репрезентацију признају се као расход у износу до 0,5% од укупног прихода, </w:t>
      </w:r>
      <w:r w:rsidRPr="003E3E29">
        <w:rPr>
          <w:rFonts w:ascii="Times New Roman" w:hAnsi="Times New Roman"/>
          <w:sz w:val="24"/>
          <w:szCs w:val="24"/>
        </w:rPr>
        <w:t>расходи</w:t>
      </w:r>
      <w:r w:rsidR="00A568CB" w:rsidRPr="003E3E29">
        <w:rPr>
          <w:rFonts w:ascii="Times New Roman" w:hAnsi="Times New Roman"/>
          <w:sz w:val="24"/>
          <w:szCs w:val="24"/>
        </w:rPr>
        <w:t xml:space="preserve"> </w:t>
      </w:r>
      <w:r w:rsidRPr="003E3E29">
        <w:rPr>
          <w:rFonts w:ascii="Times New Roman" w:hAnsi="Times New Roman"/>
          <w:sz w:val="24"/>
          <w:szCs w:val="24"/>
        </w:rPr>
        <w:t>амортизације</w:t>
      </w:r>
      <w:r w:rsidR="00A568CB" w:rsidRPr="003E3E29">
        <w:rPr>
          <w:rFonts w:ascii="Times New Roman" w:hAnsi="Times New Roman"/>
          <w:sz w:val="24"/>
          <w:szCs w:val="24"/>
        </w:rPr>
        <w:t xml:space="preserve"> </w:t>
      </w:r>
      <w:r w:rsidRPr="003E3E29">
        <w:rPr>
          <w:rFonts w:ascii="Times New Roman" w:hAnsi="Times New Roman"/>
          <w:sz w:val="24"/>
          <w:szCs w:val="24"/>
        </w:rPr>
        <w:t>обрачунати</w:t>
      </w:r>
      <w:r w:rsidR="00A568CB" w:rsidRPr="003E3E29">
        <w:rPr>
          <w:rFonts w:ascii="Times New Roman" w:hAnsi="Times New Roman"/>
          <w:sz w:val="24"/>
          <w:szCs w:val="24"/>
        </w:rPr>
        <w:t xml:space="preserve"> </w:t>
      </w:r>
      <w:r w:rsidRPr="003E3E29">
        <w:rPr>
          <w:rFonts w:ascii="Times New Roman" w:hAnsi="Times New Roman"/>
          <w:sz w:val="24"/>
          <w:szCs w:val="24"/>
        </w:rPr>
        <w:t>у</w:t>
      </w:r>
      <w:r w:rsidR="00A568CB" w:rsidRPr="003E3E29">
        <w:rPr>
          <w:rFonts w:ascii="Times New Roman" w:hAnsi="Times New Roman"/>
          <w:sz w:val="24"/>
          <w:szCs w:val="24"/>
        </w:rPr>
        <w:t xml:space="preserve"> </w:t>
      </w:r>
      <w:r w:rsidRPr="003E3E29">
        <w:rPr>
          <w:rFonts w:ascii="Times New Roman" w:hAnsi="Times New Roman"/>
          <w:sz w:val="24"/>
          <w:szCs w:val="24"/>
        </w:rPr>
        <w:t>складу</w:t>
      </w:r>
      <w:r w:rsidR="00A568CB" w:rsidRPr="003E3E29">
        <w:rPr>
          <w:rFonts w:ascii="Times New Roman" w:hAnsi="Times New Roman"/>
          <w:sz w:val="24"/>
          <w:szCs w:val="24"/>
        </w:rPr>
        <w:t xml:space="preserve"> </w:t>
      </w:r>
      <w:r w:rsidRPr="003E3E29">
        <w:rPr>
          <w:rFonts w:ascii="Times New Roman" w:hAnsi="Times New Roman"/>
          <w:sz w:val="24"/>
          <w:szCs w:val="24"/>
        </w:rPr>
        <w:t>са</w:t>
      </w:r>
      <w:r w:rsidR="00A568CB" w:rsidRPr="003E3E29">
        <w:rPr>
          <w:rFonts w:ascii="Times New Roman" w:hAnsi="Times New Roman"/>
          <w:sz w:val="24"/>
          <w:szCs w:val="24"/>
        </w:rPr>
        <w:t xml:space="preserve"> </w:t>
      </w:r>
      <w:r w:rsidRPr="003E3E29">
        <w:rPr>
          <w:rFonts w:ascii="Times New Roman" w:hAnsi="Times New Roman"/>
          <w:sz w:val="24"/>
          <w:szCs w:val="24"/>
        </w:rPr>
        <w:t>пореским</w:t>
      </w:r>
      <w:r w:rsidR="00A568CB" w:rsidRPr="003E3E29">
        <w:rPr>
          <w:rFonts w:ascii="Times New Roman" w:hAnsi="Times New Roman"/>
          <w:sz w:val="24"/>
          <w:szCs w:val="24"/>
        </w:rPr>
        <w:t xml:space="preserve"> </w:t>
      </w:r>
      <w:r w:rsidRPr="003E3E29">
        <w:rPr>
          <w:rFonts w:ascii="Times New Roman" w:hAnsi="Times New Roman"/>
          <w:sz w:val="24"/>
          <w:szCs w:val="24"/>
        </w:rPr>
        <w:t>прописима</w:t>
      </w:r>
      <w:r>
        <w:rPr>
          <w:rFonts w:ascii="Times New Roman" w:hAnsi="Times New Roman"/>
          <w:sz w:val="24"/>
          <w:szCs w:val="24"/>
          <w:lang w:val="sr-Cyrl-CS"/>
        </w:rPr>
        <w:t xml:space="preserve"> </w:t>
      </w:r>
      <w:r w:rsidRPr="003E3E29">
        <w:rPr>
          <w:rFonts w:ascii="Times New Roman" w:hAnsi="Times New Roman"/>
          <w:sz w:val="24"/>
          <w:szCs w:val="24"/>
        </w:rPr>
        <w:t>и</w:t>
      </w:r>
      <w:r w:rsidR="00A568CB" w:rsidRPr="003E3E29">
        <w:rPr>
          <w:rFonts w:ascii="Times New Roman" w:hAnsi="Times New Roman"/>
          <w:sz w:val="24"/>
          <w:szCs w:val="24"/>
        </w:rPr>
        <w:t xml:space="preserve"> </w:t>
      </w:r>
      <w:r w:rsidRPr="003E3E29">
        <w:rPr>
          <w:rFonts w:ascii="Times New Roman" w:hAnsi="Times New Roman"/>
          <w:sz w:val="24"/>
          <w:szCs w:val="24"/>
        </w:rPr>
        <w:t>сл</w:t>
      </w:r>
      <w:r w:rsidR="00A568CB" w:rsidRPr="003E3E29">
        <w:rPr>
          <w:rFonts w:ascii="Times New Roman" w:hAnsi="Times New Roman"/>
          <w:sz w:val="24"/>
          <w:szCs w:val="24"/>
        </w:rPr>
        <w:t>.;</w:t>
      </w:r>
    </w:p>
    <w:p w:rsidR="003E3E29" w:rsidRPr="003E3E29" w:rsidRDefault="003E3E29" w:rsidP="003E3E29">
      <w:pPr>
        <w:autoSpaceDE w:val="0"/>
        <w:autoSpaceDN w:val="0"/>
        <w:adjustRightInd w:val="0"/>
        <w:spacing w:after="0" w:line="240" w:lineRule="auto"/>
        <w:jc w:val="both"/>
        <w:rPr>
          <w:rFonts w:ascii="Times New Roman" w:hAnsi="Times New Roman"/>
          <w:sz w:val="24"/>
          <w:szCs w:val="24"/>
          <w:lang w:val="sr-Cyrl-CS"/>
        </w:rPr>
      </w:pPr>
    </w:p>
    <w:p w:rsidR="00A568CB" w:rsidRPr="003E3E29" w:rsidRDefault="003E3E29" w:rsidP="003E3E29">
      <w:pPr>
        <w:autoSpaceDE w:val="0"/>
        <w:autoSpaceDN w:val="0"/>
        <w:adjustRightInd w:val="0"/>
        <w:spacing w:after="0" w:line="240" w:lineRule="auto"/>
        <w:jc w:val="both"/>
        <w:rPr>
          <w:rFonts w:ascii="Times New Roman" w:hAnsi="Times New Roman"/>
          <w:sz w:val="24"/>
          <w:szCs w:val="24"/>
        </w:rPr>
      </w:pPr>
      <w:r w:rsidRPr="003E3E29">
        <w:rPr>
          <w:rFonts w:ascii="Times New Roman" w:hAnsi="Times New Roman"/>
          <w:sz w:val="24"/>
          <w:szCs w:val="24"/>
        </w:rPr>
        <w:t>ц</w:t>
      </w:r>
      <w:r w:rsidR="00A568CB" w:rsidRPr="003E3E29">
        <w:rPr>
          <w:rFonts w:ascii="Times New Roman" w:hAnsi="Times New Roman"/>
          <w:sz w:val="24"/>
          <w:szCs w:val="24"/>
        </w:rPr>
        <w:t xml:space="preserve">) </w:t>
      </w:r>
      <w:r w:rsidRPr="003E3E29">
        <w:rPr>
          <w:rFonts w:ascii="Times New Roman" w:hAnsi="Times New Roman"/>
          <w:sz w:val="24"/>
          <w:szCs w:val="24"/>
        </w:rPr>
        <w:t>расходи</w:t>
      </w:r>
      <w:r w:rsidR="00A568CB" w:rsidRPr="003E3E29">
        <w:rPr>
          <w:rFonts w:ascii="Times New Roman" w:hAnsi="Times New Roman"/>
          <w:sz w:val="24"/>
          <w:szCs w:val="24"/>
        </w:rPr>
        <w:t xml:space="preserve"> </w:t>
      </w:r>
      <w:r w:rsidRPr="003E3E29">
        <w:rPr>
          <w:rFonts w:ascii="Times New Roman" w:hAnsi="Times New Roman"/>
          <w:sz w:val="24"/>
          <w:szCs w:val="24"/>
        </w:rPr>
        <w:t>који</w:t>
      </w:r>
      <w:r w:rsidR="00A568CB" w:rsidRPr="003E3E29">
        <w:rPr>
          <w:rFonts w:ascii="Times New Roman" w:hAnsi="Times New Roman"/>
          <w:sz w:val="24"/>
          <w:szCs w:val="24"/>
        </w:rPr>
        <w:t xml:space="preserve"> </w:t>
      </w:r>
      <w:r w:rsidRPr="003E3E29">
        <w:rPr>
          <w:rFonts w:ascii="Times New Roman" w:hAnsi="Times New Roman"/>
          <w:sz w:val="24"/>
          <w:szCs w:val="24"/>
        </w:rPr>
        <w:t>се</w:t>
      </w:r>
      <w:r w:rsidR="00A568CB" w:rsidRPr="003E3E29">
        <w:rPr>
          <w:rFonts w:ascii="Times New Roman" w:hAnsi="Times New Roman"/>
          <w:sz w:val="24"/>
          <w:szCs w:val="24"/>
        </w:rPr>
        <w:t xml:space="preserve"> </w:t>
      </w:r>
      <w:r w:rsidRPr="003E3E29">
        <w:rPr>
          <w:rFonts w:ascii="Times New Roman" w:hAnsi="Times New Roman"/>
          <w:sz w:val="24"/>
          <w:szCs w:val="24"/>
        </w:rPr>
        <w:t>условно</w:t>
      </w:r>
      <w:r w:rsidR="00A568CB" w:rsidRPr="003E3E29">
        <w:rPr>
          <w:rFonts w:ascii="Times New Roman" w:hAnsi="Times New Roman"/>
          <w:sz w:val="24"/>
          <w:szCs w:val="24"/>
        </w:rPr>
        <w:t xml:space="preserve"> </w:t>
      </w:r>
      <w:r w:rsidRPr="003E3E29">
        <w:rPr>
          <w:rFonts w:ascii="Times New Roman" w:hAnsi="Times New Roman"/>
          <w:sz w:val="24"/>
          <w:szCs w:val="24"/>
        </w:rPr>
        <w:t>признају</w:t>
      </w:r>
      <w:r w:rsidR="00A568CB" w:rsidRPr="003E3E29">
        <w:rPr>
          <w:rFonts w:ascii="Times New Roman" w:hAnsi="Times New Roman"/>
          <w:sz w:val="24"/>
          <w:szCs w:val="24"/>
        </w:rPr>
        <w:t xml:space="preserve"> – </w:t>
      </w:r>
      <w:r w:rsidRPr="003E3E29">
        <w:rPr>
          <w:rFonts w:ascii="Times New Roman" w:hAnsi="Times New Roman"/>
          <w:sz w:val="24"/>
          <w:szCs w:val="24"/>
        </w:rPr>
        <w:t>нпр</w:t>
      </w:r>
      <w:r w:rsidR="00A568CB" w:rsidRPr="003E3E29">
        <w:rPr>
          <w:rFonts w:ascii="Times New Roman" w:hAnsi="Times New Roman"/>
          <w:sz w:val="24"/>
          <w:szCs w:val="24"/>
        </w:rPr>
        <w:t xml:space="preserve">. </w:t>
      </w:r>
      <w:r w:rsidRPr="003E3E29">
        <w:rPr>
          <w:rFonts w:ascii="Times New Roman" w:hAnsi="Times New Roman"/>
          <w:sz w:val="24"/>
          <w:szCs w:val="24"/>
        </w:rPr>
        <w:t>расходи</w:t>
      </w:r>
      <w:r w:rsidR="00A568CB" w:rsidRPr="003E3E29">
        <w:rPr>
          <w:rFonts w:ascii="Times New Roman" w:hAnsi="Times New Roman"/>
          <w:sz w:val="24"/>
          <w:szCs w:val="24"/>
        </w:rPr>
        <w:t xml:space="preserve"> </w:t>
      </w:r>
      <w:r w:rsidRPr="003E3E29">
        <w:rPr>
          <w:rFonts w:ascii="Times New Roman" w:hAnsi="Times New Roman"/>
          <w:sz w:val="24"/>
          <w:szCs w:val="24"/>
        </w:rPr>
        <w:t>исправке</w:t>
      </w:r>
      <w:r w:rsidR="00A568CB" w:rsidRPr="003E3E29">
        <w:rPr>
          <w:rFonts w:ascii="Times New Roman" w:hAnsi="Times New Roman"/>
          <w:sz w:val="24"/>
          <w:szCs w:val="24"/>
        </w:rPr>
        <w:t xml:space="preserve"> </w:t>
      </w:r>
      <w:r w:rsidRPr="003E3E29">
        <w:rPr>
          <w:rFonts w:ascii="Times New Roman" w:hAnsi="Times New Roman"/>
          <w:sz w:val="24"/>
          <w:szCs w:val="24"/>
        </w:rPr>
        <w:t>вредности</w:t>
      </w:r>
      <w:r w:rsidR="00A568CB" w:rsidRPr="003E3E29">
        <w:rPr>
          <w:rFonts w:ascii="Times New Roman" w:hAnsi="Times New Roman"/>
          <w:sz w:val="24"/>
          <w:szCs w:val="24"/>
        </w:rPr>
        <w:t xml:space="preserve"> </w:t>
      </w:r>
      <w:r w:rsidRPr="003E3E29">
        <w:rPr>
          <w:rFonts w:ascii="Times New Roman" w:hAnsi="Times New Roman"/>
          <w:sz w:val="24"/>
          <w:szCs w:val="24"/>
        </w:rPr>
        <w:t>потраживања</w:t>
      </w:r>
      <w:r>
        <w:rPr>
          <w:rFonts w:ascii="Times New Roman" w:hAnsi="Times New Roman"/>
          <w:sz w:val="24"/>
          <w:szCs w:val="24"/>
          <w:lang w:val="sr-Cyrl-CS"/>
        </w:rPr>
        <w:t xml:space="preserve"> </w:t>
      </w:r>
      <w:r w:rsidRPr="003E3E29">
        <w:rPr>
          <w:rFonts w:ascii="Times New Roman" w:hAnsi="Times New Roman"/>
          <w:sz w:val="24"/>
          <w:szCs w:val="24"/>
        </w:rPr>
        <w:t>ако</w:t>
      </w:r>
      <w:r w:rsidR="00A568CB" w:rsidRPr="003E3E29">
        <w:rPr>
          <w:rFonts w:ascii="Times New Roman" w:hAnsi="Times New Roman"/>
          <w:sz w:val="24"/>
          <w:szCs w:val="24"/>
        </w:rPr>
        <w:t xml:space="preserve"> </w:t>
      </w:r>
      <w:r w:rsidRPr="003E3E29">
        <w:rPr>
          <w:rFonts w:ascii="Times New Roman" w:hAnsi="Times New Roman"/>
          <w:sz w:val="24"/>
          <w:szCs w:val="24"/>
        </w:rPr>
        <w:t>су</w:t>
      </w:r>
      <w:r w:rsidR="00A568CB" w:rsidRPr="003E3E29">
        <w:rPr>
          <w:rFonts w:ascii="Times New Roman" w:hAnsi="Times New Roman"/>
          <w:sz w:val="24"/>
          <w:szCs w:val="24"/>
        </w:rPr>
        <w:t xml:space="preserve"> </w:t>
      </w:r>
      <w:r w:rsidRPr="003E3E29">
        <w:rPr>
          <w:rFonts w:ascii="Times New Roman" w:hAnsi="Times New Roman"/>
          <w:sz w:val="24"/>
          <w:szCs w:val="24"/>
        </w:rPr>
        <w:t>она</w:t>
      </w:r>
      <w:r w:rsidR="00A568CB" w:rsidRPr="003E3E29">
        <w:rPr>
          <w:rFonts w:ascii="Times New Roman" w:hAnsi="Times New Roman"/>
          <w:sz w:val="24"/>
          <w:szCs w:val="24"/>
        </w:rPr>
        <w:t xml:space="preserve"> </w:t>
      </w:r>
      <w:r w:rsidRPr="003E3E29">
        <w:rPr>
          <w:rFonts w:ascii="Times New Roman" w:hAnsi="Times New Roman"/>
          <w:sz w:val="24"/>
          <w:szCs w:val="24"/>
        </w:rPr>
        <w:t>старија</w:t>
      </w:r>
      <w:r w:rsidR="00A568CB" w:rsidRPr="003E3E29">
        <w:rPr>
          <w:rFonts w:ascii="Times New Roman" w:hAnsi="Times New Roman"/>
          <w:sz w:val="24"/>
          <w:szCs w:val="24"/>
        </w:rPr>
        <w:t xml:space="preserve"> </w:t>
      </w:r>
      <w:r w:rsidRPr="003E3E29">
        <w:rPr>
          <w:rFonts w:ascii="Times New Roman" w:hAnsi="Times New Roman"/>
          <w:sz w:val="24"/>
          <w:szCs w:val="24"/>
        </w:rPr>
        <w:t>од</w:t>
      </w:r>
      <w:r w:rsidR="00A568CB" w:rsidRPr="003E3E29">
        <w:rPr>
          <w:rFonts w:ascii="Times New Roman" w:hAnsi="Times New Roman"/>
          <w:sz w:val="24"/>
          <w:szCs w:val="24"/>
        </w:rPr>
        <w:t xml:space="preserve"> 60 </w:t>
      </w:r>
      <w:r w:rsidRPr="003E3E29">
        <w:rPr>
          <w:rFonts w:ascii="Times New Roman" w:hAnsi="Times New Roman"/>
          <w:sz w:val="24"/>
          <w:szCs w:val="24"/>
        </w:rPr>
        <w:t>дана</w:t>
      </w:r>
      <w:r w:rsidR="00A568CB" w:rsidRPr="003E3E29">
        <w:rPr>
          <w:rFonts w:ascii="Times New Roman" w:hAnsi="Times New Roman"/>
          <w:sz w:val="24"/>
          <w:szCs w:val="24"/>
        </w:rPr>
        <w:t xml:space="preserve">, </w:t>
      </w:r>
      <w:r w:rsidRPr="003E3E29">
        <w:rPr>
          <w:rFonts w:ascii="Times New Roman" w:hAnsi="Times New Roman"/>
          <w:sz w:val="24"/>
          <w:szCs w:val="24"/>
        </w:rPr>
        <w:t>расходи</w:t>
      </w:r>
      <w:r w:rsidR="00A568CB" w:rsidRPr="003E3E29">
        <w:rPr>
          <w:rFonts w:ascii="Times New Roman" w:hAnsi="Times New Roman"/>
          <w:sz w:val="24"/>
          <w:szCs w:val="24"/>
        </w:rPr>
        <w:t xml:space="preserve"> </w:t>
      </w:r>
      <w:r w:rsidRPr="003E3E29">
        <w:rPr>
          <w:rFonts w:ascii="Times New Roman" w:hAnsi="Times New Roman"/>
          <w:sz w:val="24"/>
          <w:szCs w:val="24"/>
        </w:rPr>
        <w:t>директног</w:t>
      </w:r>
      <w:r w:rsidR="00A568CB" w:rsidRPr="003E3E29">
        <w:rPr>
          <w:rFonts w:ascii="Times New Roman" w:hAnsi="Times New Roman"/>
          <w:sz w:val="24"/>
          <w:szCs w:val="24"/>
        </w:rPr>
        <w:t xml:space="preserve"> </w:t>
      </w:r>
      <w:r w:rsidRPr="003E3E29">
        <w:rPr>
          <w:rFonts w:ascii="Times New Roman" w:hAnsi="Times New Roman"/>
          <w:sz w:val="24"/>
          <w:szCs w:val="24"/>
        </w:rPr>
        <w:t>отписа</w:t>
      </w:r>
      <w:r w:rsidR="00A568CB" w:rsidRPr="003E3E29">
        <w:rPr>
          <w:rFonts w:ascii="Times New Roman" w:hAnsi="Times New Roman"/>
          <w:sz w:val="24"/>
          <w:szCs w:val="24"/>
        </w:rPr>
        <w:t xml:space="preserve"> </w:t>
      </w:r>
      <w:r w:rsidRPr="003E3E29">
        <w:rPr>
          <w:rFonts w:ascii="Times New Roman" w:hAnsi="Times New Roman"/>
          <w:sz w:val="24"/>
          <w:szCs w:val="24"/>
        </w:rPr>
        <w:t>потраживања</w:t>
      </w:r>
      <w:r w:rsidR="00A568CB" w:rsidRPr="003E3E29">
        <w:rPr>
          <w:rFonts w:ascii="Times New Roman" w:hAnsi="Times New Roman"/>
          <w:sz w:val="24"/>
          <w:szCs w:val="24"/>
        </w:rPr>
        <w:t xml:space="preserve"> </w:t>
      </w:r>
      <w:r w:rsidRPr="003E3E29">
        <w:rPr>
          <w:rFonts w:ascii="Times New Roman" w:hAnsi="Times New Roman"/>
          <w:sz w:val="24"/>
          <w:szCs w:val="24"/>
        </w:rPr>
        <w:t>ако</w:t>
      </w:r>
      <w:r w:rsidR="00A568CB" w:rsidRPr="003E3E29">
        <w:rPr>
          <w:rFonts w:ascii="Times New Roman" w:hAnsi="Times New Roman"/>
          <w:sz w:val="24"/>
          <w:szCs w:val="24"/>
        </w:rPr>
        <w:t xml:space="preserve"> </w:t>
      </w:r>
      <w:r w:rsidRPr="003E3E29">
        <w:rPr>
          <w:rFonts w:ascii="Times New Roman" w:hAnsi="Times New Roman"/>
          <w:sz w:val="24"/>
          <w:szCs w:val="24"/>
        </w:rPr>
        <w:t>постоји</w:t>
      </w:r>
      <w:r>
        <w:rPr>
          <w:rFonts w:ascii="Times New Roman" w:hAnsi="Times New Roman"/>
          <w:sz w:val="24"/>
          <w:szCs w:val="24"/>
          <w:lang w:val="sr-Cyrl-CS"/>
        </w:rPr>
        <w:t xml:space="preserve"> </w:t>
      </w:r>
      <w:r w:rsidRPr="003E3E29">
        <w:rPr>
          <w:rFonts w:ascii="Times New Roman" w:hAnsi="Times New Roman"/>
          <w:sz w:val="24"/>
          <w:szCs w:val="24"/>
        </w:rPr>
        <w:t>доказ</w:t>
      </w:r>
      <w:r w:rsidR="00A568CB" w:rsidRPr="003E3E29">
        <w:rPr>
          <w:rFonts w:ascii="Times New Roman" w:hAnsi="Times New Roman"/>
          <w:sz w:val="24"/>
          <w:szCs w:val="24"/>
        </w:rPr>
        <w:t xml:space="preserve"> </w:t>
      </w:r>
      <w:r w:rsidRPr="003E3E29">
        <w:rPr>
          <w:rFonts w:ascii="Times New Roman" w:hAnsi="Times New Roman"/>
          <w:sz w:val="24"/>
          <w:szCs w:val="24"/>
        </w:rPr>
        <w:t>о</w:t>
      </w:r>
      <w:r w:rsidR="00A568CB" w:rsidRPr="003E3E29">
        <w:rPr>
          <w:rFonts w:ascii="Times New Roman" w:hAnsi="Times New Roman"/>
          <w:sz w:val="24"/>
          <w:szCs w:val="24"/>
        </w:rPr>
        <w:t xml:space="preserve"> </w:t>
      </w:r>
      <w:r w:rsidRPr="003E3E29">
        <w:rPr>
          <w:rFonts w:ascii="Times New Roman" w:hAnsi="Times New Roman"/>
          <w:sz w:val="24"/>
          <w:szCs w:val="24"/>
        </w:rPr>
        <w:t>покушају</w:t>
      </w:r>
      <w:r w:rsidR="00A568CB" w:rsidRPr="003E3E29">
        <w:rPr>
          <w:rFonts w:ascii="Times New Roman" w:hAnsi="Times New Roman"/>
          <w:sz w:val="24"/>
          <w:szCs w:val="24"/>
        </w:rPr>
        <w:t xml:space="preserve"> </w:t>
      </w:r>
      <w:r w:rsidRPr="003E3E29">
        <w:rPr>
          <w:rFonts w:ascii="Times New Roman" w:hAnsi="Times New Roman"/>
          <w:sz w:val="24"/>
          <w:szCs w:val="24"/>
        </w:rPr>
        <w:t>наплате</w:t>
      </w:r>
      <w:r w:rsidR="00A568CB" w:rsidRPr="003E3E29">
        <w:rPr>
          <w:rFonts w:ascii="Times New Roman" w:hAnsi="Times New Roman"/>
          <w:sz w:val="24"/>
          <w:szCs w:val="24"/>
        </w:rPr>
        <w:t xml:space="preserve"> </w:t>
      </w:r>
      <w:r w:rsidRPr="003E3E29">
        <w:rPr>
          <w:rFonts w:ascii="Times New Roman" w:hAnsi="Times New Roman"/>
          <w:sz w:val="24"/>
          <w:szCs w:val="24"/>
        </w:rPr>
        <w:t>истих</w:t>
      </w:r>
      <w:r w:rsidR="00A568CB" w:rsidRPr="003E3E29">
        <w:rPr>
          <w:rFonts w:ascii="Times New Roman" w:hAnsi="Times New Roman"/>
          <w:sz w:val="24"/>
          <w:szCs w:val="24"/>
        </w:rPr>
        <w:t xml:space="preserve"> </w:t>
      </w:r>
      <w:r w:rsidRPr="003E3E29">
        <w:rPr>
          <w:rFonts w:ascii="Times New Roman" w:hAnsi="Times New Roman"/>
          <w:sz w:val="24"/>
          <w:szCs w:val="24"/>
        </w:rPr>
        <w:t>судским</w:t>
      </w:r>
      <w:r w:rsidR="00A568CB" w:rsidRPr="003E3E29">
        <w:rPr>
          <w:rFonts w:ascii="Times New Roman" w:hAnsi="Times New Roman"/>
          <w:sz w:val="24"/>
          <w:szCs w:val="24"/>
        </w:rPr>
        <w:t xml:space="preserve"> </w:t>
      </w:r>
      <w:r w:rsidRPr="003E3E29">
        <w:rPr>
          <w:rFonts w:ascii="Times New Roman" w:hAnsi="Times New Roman"/>
          <w:sz w:val="24"/>
          <w:szCs w:val="24"/>
        </w:rPr>
        <w:t>путем</w:t>
      </w:r>
      <w:r w:rsidR="00A568CB" w:rsidRPr="003E3E29">
        <w:rPr>
          <w:rFonts w:ascii="Times New Roman" w:hAnsi="Times New Roman"/>
          <w:sz w:val="24"/>
          <w:szCs w:val="24"/>
        </w:rPr>
        <w:t xml:space="preserve">, </w:t>
      </w:r>
      <w:r w:rsidRPr="003E3E29">
        <w:rPr>
          <w:rFonts w:ascii="Times New Roman" w:hAnsi="Times New Roman"/>
          <w:sz w:val="24"/>
          <w:szCs w:val="24"/>
        </w:rPr>
        <w:t>расходи</w:t>
      </w:r>
      <w:r w:rsidR="00A568CB" w:rsidRPr="003E3E29">
        <w:rPr>
          <w:rFonts w:ascii="Times New Roman" w:hAnsi="Times New Roman"/>
          <w:sz w:val="24"/>
          <w:szCs w:val="24"/>
        </w:rPr>
        <w:t xml:space="preserve"> </w:t>
      </w:r>
      <w:r w:rsidRPr="003E3E29">
        <w:rPr>
          <w:rFonts w:ascii="Times New Roman" w:hAnsi="Times New Roman"/>
          <w:sz w:val="24"/>
          <w:szCs w:val="24"/>
        </w:rPr>
        <w:t>дугорочних</w:t>
      </w:r>
      <w:r w:rsidR="00A568CB" w:rsidRPr="003E3E29">
        <w:rPr>
          <w:rFonts w:ascii="Times New Roman" w:hAnsi="Times New Roman"/>
          <w:sz w:val="24"/>
          <w:szCs w:val="24"/>
        </w:rPr>
        <w:t xml:space="preserve"> </w:t>
      </w:r>
      <w:r w:rsidRPr="003E3E29">
        <w:rPr>
          <w:rFonts w:ascii="Times New Roman" w:hAnsi="Times New Roman"/>
          <w:sz w:val="24"/>
          <w:szCs w:val="24"/>
        </w:rPr>
        <w:t>резервисања</w:t>
      </w:r>
      <w:r>
        <w:rPr>
          <w:rFonts w:ascii="Times New Roman" w:hAnsi="Times New Roman"/>
          <w:sz w:val="24"/>
          <w:szCs w:val="24"/>
          <w:lang w:val="sr-Cyrl-CS"/>
        </w:rPr>
        <w:t xml:space="preserve"> </w:t>
      </w:r>
      <w:r w:rsidRPr="003E3E29">
        <w:rPr>
          <w:rFonts w:ascii="Times New Roman" w:hAnsi="Times New Roman"/>
          <w:sz w:val="24"/>
          <w:szCs w:val="24"/>
        </w:rPr>
        <w:t>ако</w:t>
      </w:r>
      <w:r w:rsidR="00A568CB" w:rsidRPr="003E3E29">
        <w:rPr>
          <w:rFonts w:ascii="Times New Roman" w:hAnsi="Times New Roman"/>
          <w:sz w:val="24"/>
          <w:szCs w:val="24"/>
        </w:rPr>
        <w:t xml:space="preserve"> </w:t>
      </w:r>
      <w:r w:rsidRPr="003E3E29">
        <w:rPr>
          <w:rFonts w:ascii="Times New Roman" w:hAnsi="Times New Roman"/>
          <w:sz w:val="24"/>
          <w:szCs w:val="24"/>
        </w:rPr>
        <w:t>се</w:t>
      </w:r>
      <w:r w:rsidR="00A568CB" w:rsidRPr="003E3E29">
        <w:rPr>
          <w:rFonts w:ascii="Times New Roman" w:hAnsi="Times New Roman"/>
          <w:sz w:val="24"/>
          <w:szCs w:val="24"/>
        </w:rPr>
        <w:t xml:space="preserve"> </w:t>
      </w:r>
      <w:r w:rsidRPr="003E3E29">
        <w:rPr>
          <w:rFonts w:ascii="Times New Roman" w:hAnsi="Times New Roman"/>
          <w:sz w:val="24"/>
          <w:szCs w:val="24"/>
        </w:rPr>
        <w:t>односе</w:t>
      </w:r>
      <w:r w:rsidR="00A568CB" w:rsidRPr="003E3E29">
        <w:rPr>
          <w:rFonts w:ascii="Times New Roman" w:hAnsi="Times New Roman"/>
          <w:sz w:val="24"/>
          <w:szCs w:val="24"/>
        </w:rPr>
        <w:t xml:space="preserve"> </w:t>
      </w:r>
      <w:r w:rsidRPr="003E3E29">
        <w:rPr>
          <w:rFonts w:ascii="Times New Roman" w:hAnsi="Times New Roman"/>
          <w:sz w:val="24"/>
          <w:szCs w:val="24"/>
        </w:rPr>
        <w:t>на</w:t>
      </w:r>
      <w:r w:rsidR="00A568CB" w:rsidRPr="003E3E29">
        <w:rPr>
          <w:rFonts w:ascii="Times New Roman" w:hAnsi="Times New Roman"/>
          <w:sz w:val="24"/>
          <w:szCs w:val="24"/>
        </w:rPr>
        <w:t xml:space="preserve"> </w:t>
      </w:r>
      <w:r w:rsidRPr="003E3E29">
        <w:rPr>
          <w:rFonts w:ascii="Times New Roman" w:hAnsi="Times New Roman"/>
          <w:sz w:val="24"/>
          <w:szCs w:val="24"/>
        </w:rPr>
        <w:t>гаранције</w:t>
      </w:r>
      <w:r w:rsidR="00A568CB" w:rsidRPr="003E3E29">
        <w:rPr>
          <w:rFonts w:ascii="Times New Roman" w:hAnsi="Times New Roman"/>
          <w:sz w:val="24"/>
          <w:szCs w:val="24"/>
        </w:rPr>
        <w:t xml:space="preserve"> </w:t>
      </w:r>
      <w:r w:rsidRPr="003E3E29">
        <w:rPr>
          <w:rFonts w:ascii="Times New Roman" w:hAnsi="Times New Roman"/>
          <w:sz w:val="24"/>
          <w:szCs w:val="24"/>
        </w:rPr>
        <w:t>за</w:t>
      </w:r>
      <w:r w:rsidR="00A568CB" w:rsidRPr="003E3E29">
        <w:rPr>
          <w:rFonts w:ascii="Times New Roman" w:hAnsi="Times New Roman"/>
          <w:sz w:val="24"/>
          <w:szCs w:val="24"/>
        </w:rPr>
        <w:t xml:space="preserve"> </w:t>
      </w:r>
      <w:r w:rsidR="00D40B0C" w:rsidRPr="003E3E29">
        <w:rPr>
          <w:rFonts w:ascii="Times New Roman" w:hAnsi="Times New Roman"/>
          <w:sz w:val="24"/>
          <w:szCs w:val="24"/>
          <w:lang w:val="sr-Cyrl-CS"/>
        </w:rPr>
        <w:t>трошкове</w:t>
      </w:r>
      <w:r w:rsidR="00A568CB" w:rsidRPr="003E3E29">
        <w:rPr>
          <w:rFonts w:ascii="Times New Roman" w:hAnsi="Times New Roman"/>
          <w:sz w:val="24"/>
          <w:szCs w:val="24"/>
        </w:rPr>
        <w:t xml:space="preserve"> </w:t>
      </w:r>
      <w:r w:rsidRPr="003E3E29">
        <w:rPr>
          <w:rFonts w:ascii="Times New Roman" w:hAnsi="Times New Roman"/>
          <w:sz w:val="24"/>
          <w:szCs w:val="24"/>
        </w:rPr>
        <w:t>у</w:t>
      </w:r>
      <w:r w:rsidR="00A568CB" w:rsidRPr="003E3E29">
        <w:rPr>
          <w:rFonts w:ascii="Times New Roman" w:hAnsi="Times New Roman"/>
          <w:sz w:val="24"/>
          <w:szCs w:val="24"/>
        </w:rPr>
        <w:t xml:space="preserve"> </w:t>
      </w:r>
      <w:r w:rsidRPr="003E3E29">
        <w:rPr>
          <w:rFonts w:ascii="Times New Roman" w:hAnsi="Times New Roman"/>
          <w:sz w:val="24"/>
          <w:szCs w:val="24"/>
        </w:rPr>
        <w:t>гарантном</w:t>
      </w:r>
      <w:r w:rsidR="00A568CB" w:rsidRPr="003E3E29">
        <w:rPr>
          <w:rFonts w:ascii="Times New Roman" w:hAnsi="Times New Roman"/>
          <w:sz w:val="24"/>
          <w:szCs w:val="24"/>
        </w:rPr>
        <w:t xml:space="preserve"> </w:t>
      </w:r>
      <w:r w:rsidRPr="003E3E29">
        <w:rPr>
          <w:rFonts w:ascii="Times New Roman" w:hAnsi="Times New Roman"/>
          <w:sz w:val="24"/>
          <w:szCs w:val="24"/>
        </w:rPr>
        <w:t>року</w:t>
      </w:r>
      <w:r w:rsidR="00A568CB" w:rsidRPr="003E3E29">
        <w:rPr>
          <w:rFonts w:ascii="Times New Roman" w:hAnsi="Times New Roman"/>
          <w:sz w:val="24"/>
          <w:szCs w:val="24"/>
        </w:rPr>
        <w:t xml:space="preserve"> </w:t>
      </w:r>
      <w:r w:rsidR="00D40B0C" w:rsidRPr="003E3E29">
        <w:rPr>
          <w:rFonts w:ascii="Times New Roman" w:hAnsi="Times New Roman"/>
          <w:sz w:val="24"/>
          <w:szCs w:val="24"/>
          <w:lang w:val="sr-Cyrl-CS"/>
        </w:rPr>
        <w:t>и заджа</w:t>
      </w:r>
      <w:r w:rsidRPr="003E3E29">
        <w:rPr>
          <w:rFonts w:ascii="Times New Roman" w:hAnsi="Times New Roman"/>
          <w:sz w:val="24"/>
          <w:szCs w:val="24"/>
          <w:lang w:val="sr-Cyrl-CS"/>
        </w:rPr>
        <w:t>не кауције и депоз</w:t>
      </w:r>
      <w:r w:rsidR="00D40B0C" w:rsidRPr="003E3E29">
        <w:rPr>
          <w:rFonts w:ascii="Times New Roman" w:hAnsi="Times New Roman"/>
          <w:sz w:val="24"/>
          <w:szCs w:val="24"/>
          <w:lang w:val="sr-Cyrl-CS"/>
        </w:rPr>
        <w:t xml:space="preserve">ите </w:t>
      </w:r>
      <w:r w:rsidRPr="003E3E29">
        <w:rPr>
          <w:rFonts w:ascii="Times New Roman" w:hAnsi="Times New Roman"/>
          <w:sz w:val="24"/>
          <w:szCs w:val="24"/>
        </w:rPr>
        <w:t>или</w:t>
      </w:r>
      <w:r w:rsidR="00A568CB" w:rsidRPr="003E3E29">
        <w:rPr>
          <w:rFonts w:ascii="Times New Roman" w:hAnsi="Times New Roman"/>
          <w:sz w:val="24"/>
          <w:szCs w:val="24"/>
        </w:rPr>
        <w:t xml:space="preserve"> </w:t>
      </w:r>
      <w:r w:rsidRPr="003E3E29">
        <w:rPr>
          <w:rFonts w:ascii="Times New Roman" w:hAnsi="Times New Roman"/>
          <w:sz w:val="24"/>
          <w:szCs w:val="24"/>
        </w:rPr>
        <w:t>обнову</w:t>
      </w:r>
      <w:r w:rsidR="00A568CB" w:rsidRPr="003E3E29">
        <w:rPr>
          <w:rFonts w:ascii="Times New Roman" w:hAnsi="Times New Roman"/>
          <w:sz w:val="24"/>
          <w:szCs w:val="24"/>
        </w:rPr>
        <w:t xml:space="preserve"> </w:t>
      </w:r>
      <w:r w:rsidRPr="003E3E29">
        <w:rPr>
          <w:rFonts w:ascii="Times New Roman" w:hAnsi="Times New Roman"/>
          <w:sz w:val="24"/>
          <w:szCs w:val="24"/>
        </w:rPr>
        <w:t>природних</w:t>
      </w:r>
      <w:r>
        <w:rPr>
          <w:rFonts w:ascii="Times New Roman" w:hAnsi="Times New Roman"/>
          <w:sz w:val="24"/>
          <w:szCs w:val="24"/>
          <w:lang w:val="sr-Cyrl-CS"/>
        </w:rPr>
        <w:t xml:space="preserve"> </w:t>
      </w:r>
      <w:r w:rsidRPr="003E3E29">
        <w:rPr>
          <w:rFonts w:ascii="Times New Roman" w:hAnsi="Times New Roman"/>
          <w:sz w:val="24"/>
          <w:szCs w:val="24"/>
        </w:rPr>
        <w:t>богатстава</w:t>
      </w:r>
      <w:r w:rsidR="00A568CB" w:rsidRPr="003E3E29">
        <w:rPr>
          <w:rFonts w:ascii="Times New Roman" w:hAnsi="Times New Roman"/>
          <w:sz w:val="24"/>
          <w:szCs w:val="24"/>
        </w:rPr>
        <w:t xml:space="preserve"> </w:t>
      </w:r>
      <w:r w:rsidRPr="003E3E29">
        <w:rPr>
          <w:rFonts w:ascii="Times New Roman" w:hAnsi="Times New Roman"/>
          <w:sz w:val="24"/>
          <w:szCs w:val="24"/>
        </w:rPr>
        <w:t>и</w:t>
      </w:r>
      <w:r w:rsidR="00A568CB" w:rsidRPr="003E3E29">
        <w:rPr>
          <w:rFonts w:ascii="Times New Roman" w:hAnsi="Times New Roman"/>
          <w:sz w:val="24"/>
          <w:szCs w:val="24"/>
        </w:rPr>
        <w:t xml:space="preserve"> </w:t>
      </w:r>
      <w:r w:rsidRPr="003E3E29">
        <w:rPr>
          <w:rFonts w:ascii="Times New Roman" w:hAnsi="Times New Roman"/>
          <w:sz w:val="24"/>
          <w:szCs w:val="24"/>
        </w:rPr>
        <w:t>сл</w:t>
      </w:r>
      <w:r w:rsidR="00A568CB">
        <w:rPr>
          <w:rFonts w:ascii="MyriadPro-Regular" w:hAnsi="MyriadPro-Regular" w:cs="MyriadPro-Regular"/>
          <w:sz w:val="20"/>
          <w:szCs w:val="20"/>
        </w:rPr>
        <w:t>.</w:t>
      </w:r>
      <w:r w:rsidR="00163ACE">
        <w:rPr>
          <w:rStyle w:val="FootnoteReference"/>
          <w:rFonts w:ascii="MyriadPro-Regular" w:hAnsi="MyriadPro-Regular" w:cs="MyriadPro-Regular"/>
          <w:sz w:val="20"/>
          <w:szCs w:val="20"/>
        </w:rPr>
        <w:footnoteReference w:id="248"/>
      </w:r>
    </w:p>
    <w:p w:rsidR="00A568CB" w:rsidRPr="00FE6375" w:rsidRDefault="00A568CB" w:rsidP="00FE6375">
      <w:pPr>
        <w:autoSpaceDE w:val="0"/>
        <w:autoSpaceDN w:val="0"/>
        <w:adjustRightInd w:val="0"/>
        <w:spacing w:after="0" w:line="240" w:lineRule="auto"/>
        <w:rPr>
          <w:color w:val="000000"/>
          <w:lang w:val="sr-Cyrl-CS"/>
        </w:rPr>
      </w:pPr>
    </w:p>
    <w:p w:rsidR="00C062AC" w:rsidRDefault="00C062AC" w:rsidP="00C062AC">
      <w:pPr>
        <w:pStyle w:val="normal0"/>
        <w:shd w:val="clear" w:color="auto" w:fill="FFFFFF"/>
        <w:spacing w:before="48" w:beforeAutospacing="0" w:after="48" w:afterAutospacing="0"/>
        <w:rPr>
          <w:rFonts w:ascii="Arial" w:hAnsi="Arial" w:cs="Arial"/>
          <w:color w:val="000000"/>
          <w:sz w:val="18"/>
          <w:szCs w:val="18"/>
          <w:lang w:val="sr-Cyrl-CS"/>
        </w:rPr>
      </w:pPr>
    </w:p>
    <w:p w:rsidR="003A57BB" w:rsidRDefault="003A57BB" w:rsidP="00C062AC">
      <w:pPr>
        <w:pStyle w:val="normal0"/>
        <w:shd w:val="clear" w:color="auto" w:fill="FFFFFF"/>
        <w:spacing w:before="48" w:beforeAutospacing="0" w:after="48" w:afterAutospacing="0"/>
        <w:rPr>
          <w:rFonts w:ascii="Arial" w:hAnsi="Arial" w:cs="Arial"/>
          <w:color w:val="000000"/>
          <w:sz w:val="18"/>
          <w:szCs w:val="18"/>
          <w:lang w:val="sr-Cyrl-CS"/>
        </w:rPr>
      </w:pPr>
    </w:p>
    <w:p w:rsidR="00C062AC" w:rsidRDefault="00C062AC" w:rsidP="00C062AC">
      <w:pPr>
        <w:pStyle w:val="normal0"/>
        <w:shd w:val="clear" w:color="auto" w:fill="FFFFFF"/>
        <w:spacing w:before="48" w:beforeAutospacing="0" w:after="48" w:afterAutospacing="0"/>
        <w:rPr>
          <w:rFonts w:ascii="Arial" w:hAnsi="Arial" w:cs="Arial"/>
          <w:color w:val="000000"/>
          <w:sz w:val="18"/>
          <w:szCs w:val="18"/>
          <w:lang w:val="sr-Cyrl-CS"/>
        </w:rPr>
      </w:pPr>
    </w:p>
    <w:p w:rsidR="00C062AC" w:rsidRDefault="009B0BBF" w:rsidP="00D57F68">
      <w:pPr>
        <w:pStyle w:val="normal0"/>
        <w:shd w:val="clear" w:color="auto" w:fill="FFFFFF"/>
        <w:spacing w:before="48" w:beforeAutospacing="0" w:after="48" w:afterAutospacing="0"/>
        <w:jc w:val="center"/>
        <w:rPr>
          <w:b/>
          <w:color w:val="000000"/>
          <w:lang w:val="sr-Cyrl-CS"/>
        </w:rPr>
      </w:pPr>
      <w:r>
        <w:rPr>
          <w:color w:val="000000"/>
          <w:lang w:val="sr-Cyrl-CS"/>
        </w:rPr>
        <w:t>5.1.4</w:t>
      </w:r>
      <w:r w:rsidR="00C062AC">
        <w:rPr>
          <w:color w:val="000000"/>
          <w:lang w:val="sr-Cyrl-CS"/>
        </w:rPr>
        <w:t xml:space="preserve">. </w:t>
      </w:r>
      <w:r w:rsidR="00CC6AD4" w:rsidRPr="00CC6AD4">
        <w:rPr>
          <w:b/>
          <w:color w:val="000000"/>
          <w:lang w:val="sr-Cyrl-CS"/>
        </w:rPr>
        <w:t>Пореска стопа</w:t>
      </w:r>
    </w:p>
    <w:p w:rsidR="00CC6AD4" w:rsidRDefault="00CC6AD4" w:rsidP="00C062AC">
      <w:pPr>
        <w:pStyle w:val="normal0"/>
        <w:shd w:val="clear" w:color="auto" w:fill="FFFFFF"/>
        <w:spacing w:before="48" w:beforeAutospacing="0" w:after="48" w:afterAutospacing="0"/>
        <w:rPr>
          <w:color w:val="000000"/>
          <w:lang w:val="sr-Cyrl-CS"/>
        </w:rPr>
      </w:pPr>
    </w:p>
    <w:p w:rsidR="003A57BB" w:rsidRDefault="003A57BB" w:rsidP="00C062AC">
      <w:pPr>
        <w:pStyle w:val="normal0"/>
        <w:shd w:val="clear" w:color="auto" w:fill="FFFFFF"/>
        <w:spacing w:before="48" w:beforeAutospacing="0" w:after="48" w:afterAutospacing="0"/>
        <w:rPr>
          <w:color w:val="000000"/>
          <w:lang w:val="sr-Cyrl-CS"/>
        </w:rPr>
      </w:pPr>
    </w:p>
    <w:p w:rsidR="009C4F98" w:rsidRDefault="009C4F98" w:rsidP="00C062AC">
      <w:pPr>
        <w:pStyle w:val="normal0"/>
        <w:shd w:val="clear" w:color="auto" w:fill="FFFFFF"/>
        <w:spacing w:before="48" w:beforeAutospacing="0" w:after="48" w:afterAutospacing="0"/>
        <w:rPr>
          <w:color w:val="000000"/>
          <w:lang w:val="sr-Cyrl-CS"/>
        </w:rPr>
      </w:pPr>
    </w:p>
    <w:p w:rsidR="009C4F98" w:rsidRDefault="00CC6AD4" w:rsidP="00CC6AD4">
      <w:pPr>
        <w:autoSpaceDE w:val="0"/>
        <w:autoSpaceDN w:val="0"/>
        <w:adjustRightInd w:val="0"/>
        <w:spacing w:after="0" w:line="240" w:lineRule="auto"/>
        <w:ind w:firstLine="708"/>
        <w:jc w:val="both"/>
        <w:rPr>
          <w:rFonts w:ascii="Times New Roman" w:hAnsi="Times New Roman"/>
          <w:sz w:val="24"/>
          <w:szCs w:val="24"/>
          <w:lang w:val="sr-Cyrl-CS"/>
        </w:rPr>
      </w:pPr>
      <w:r w:rsidRPr="00CC6AD4">
        <w:rPr>
          <w:rFonts w:ascii="Times New Roman" w:hAnsi="Times New Roman"/>
          <w:sz w:val="24"/>
          <w:szCs w:val="24"/>
        </w:rPr>
        <w:t>Пореска</w:t>
      </w:r>
      <w:r w:rsidR="00D40B0C" w:rsidRPr="00CC6AD4">
        <w:rPr>
          <w:rFonts w:ascii="Times New Roman" w:hAnsi="Times New Roman"/>
          <w:sz w:val="24"/>
          <w:szCs w:val="24"/>
        </w:rPr>
        <w:t xml:space="preserve"> </w:t>
      </w:r>
      <w:r w:rsidRPr="00CC6AD4">
        <w:rPr>
          <w:rFonts w:ascii="Times New Roman" w:hAnsi="Times New Roman"/>
          <w:sz w:val="24"/>
          <w:szCs w:val="24"/>
        </w:rPr>
        <w:t>стопа</w:t>
      </w:r>
      <w:r w:rsidR="00D40B0C" w:rsidRPr="00CC6AD4">
        <w:rPr>
          <w:rFonts w:ascii="Times New Roman" w:hAnsi="Times New Roman"/>
          <w:sz w:val="24"/>
          <w:szCs w:val="24"/>
        </w:rPr>
        <w:t xml:space="preserve"> </w:t>
      </w:r>
      <w:r w:rsidR="00BE1A29">
        <w:rPr>
          <w:rFonts w:ascii="Times New Roman" w:hAnsi="Times New Roman"/>
          <w:sz w:val="24"/>
          <w:szCs w:val="24"/>
          <w:lang w:val="sr-Cyrl-CS"/>
        </w:rPr>
        <w:t>је пр</w:t>
      </w:r>
      <w:r w:rsidR="00D40B0C" w:rsidRPr="00CC6AD4">
        <w:rPr>
          <w:rFonts w:ascii="Times New Roman" w:hAnsi="Times New Roman"/>
          <w:sz w:val="24"/>
          <w:szCs w:val="24"/>
          <w:lang w:val="sr-Cyrl-CS"/>
        </w:rPr>
        <w:t>о</w:t>
      </w:r>
      <w:r w:rsidR="00BE1A29">
        <w:rPr>
          <w:rFonts w:ascii="Times New Roman" w:hAnsi="Times New Roman"/>
          <w:sz w:val="24"/>
          <w:szCs w:val="24"/>
          <w:lang w:val="sr-Cyrl-CS"/>
        </w:rPr>
        <w:t>по</w:t>
      </w:r>
      <w:r w:rsidR="00D40B0C" w:rsidRPr="00CC6AD4">
        <w:rPr>
          <w:rFonts w:ascii="Times New Roman" w:hAnsi="Times New Roman"/>
          <w:sz w:val="24"/>
          <w:szCs w:val="24"/>
          <w:lang w:val="sr-Cyrl-CS"/>
        </w:rPr>
        <w:t xml:space="preserve">рционална и једообразна и </w:t>
      </w:r>
      <w:r w:rsidRPr="00CC6AD4">
        <w:rPr>
          <w:rFonts w:ascii="Times New Roman" w:hAnsi="Times New Roman"/>
          <w:sz w:val="24"/>
          <w:szCs w:val="24"/>
        </w:rPr>
        <w:t>износи</w:t>
      </w:r>
      <w:r w:rsidR="00D40B0C" w:rsidRPr="00CC6AD4">
        <w:rPr>
          <w:rFonts w:ascii="Times New Roman" w:hAnsi="Times New Roman"/>
          <w:sz w:val="24"/>
          <w:szCs w:val="24"/>
        </w:rPr>
        <w:t xml:space="preserve"> 1</w:t>
      </w:r>
      <w:r w:rsidR="00D40B0C" w:rsidRPr="00CC6AD4">
        <w:rPr>
          <w:rFonts w:ascii="Times New Roman" w:hAnsi="Times New Roman"/>
          <w:sz w:val="24"/>
          <w:szCs w:val="24"/>
          <w:lang w:val="sr-Cyrl-CS"/>
        </w:rPr>
        <w:t>5</w:t>
      </w:r>
      <w:r w:rsidR="00FE6375" w:rsidRPr="00CC6AD4">
        <w:rPr>
          <w:rFonts w:ascii="Times New Roman" w:hAnsi="Times New Roman"/>
          <w:sz w:val="24"/>
          <w:szCs w:val="24"/>
        </w:rPr>
        <w:t>%</w:t>
      </w:r>
      <w:r>
        <w:rPr>
          <w:rFonts w:ascii="Times New Roman" w:hAnsi="Times New Roman"/>
          <w:sz w:val="24"/>
          <w:szCs w:val="24"/>
          <w:lang w:val="sr-Cyrl-CS"/>
        </w:rPr>
        <w:t>,</w:t>
      </w:r>
      <w:r w:rsidR="00D40B0C" w:rsidRPr="00CC6AD4">
        <w:rPr>
          <w:rStyle w:val="FootnoteReference"/>
          <w:rFonts w:ascii="Times New Roman" w:hAnsi="Times New Roman"/>
          <w:sz w:val="24"/>
          <w:szCs w:val="24"/>
        </w:rPr>
        <w:footnoteReference w:id="249"/>
      </w:r>
      <w:r w:rsidR="00FE6375" w:rsidRPr="00CC6AD4">
        <w:rPr>
          <w:rFonts w:ascii="Times New Roman" w:hAnsi="Times New Roman"/>
          <w:sz w:val="24"/>
          <w:szCs w:val="24"/>
        </w:rPr>
        <w:t xml:space="preserve"> </w:t>
      </w:r>
      <w:r w:rsidRPr="00CC6AD4">
        <w:rPr>
          <w:rFonts w:ascii="Times New Roman" w:hAnsi="Times New Roman"/>
          <w:sz w:val="24"/>
          <w:szCs w:val="24"/>
        </w:rPr>
        <w:t>примењује</w:t>
      </w:r>
      <w:r w:rsidR="00FE6375" w:rsidRPr="00CC6AD4">
        <w:rPr>
          <w:rFonts w:ascii="Times New Roman" w:hAnsi="Times New Roman"/>
          <w:sz w:val="24"/>
          <w:szCs w:val="24"/>
        </w:rPr>
        <w:t xml:space="preserve"> </w:t>
      </w:r>
      <w:r w:rsidRPr="00CC6AD4">
        <w:rPr>
          <w:rFonts w:ascii="Times New Roman" w:hAnsi="Times New Roman"/>
          <w:sz w:val="24"/>
          <w:szCs w:val="24"/>
        </w:rPr>
        <w:t>се</w:t>
      </w:r>
      <w:r w:rsidR="00FE6375" w:rsidRPr="00CC6AD4">
        <w:rPr>
          <w:rFonts w:ascii="Times New Roman" w:hAnsi="Times New Roman"/>
          <w:sz w:val="24"/>
          <w:szCs w:val="24"/>
        </w:rPr>
        <w:t xml:space="preserve"> </w:t>
      </w:r>
      <w:r w:rsidRPr="00CC6AD4">
        <w:rPr>
          <w:rFonts w:ascii="Times New Roman" w:hAnsi="Times New Roman"/>
          <w:sz w:val="24"/>
          <w:szCs w:val="24"/>
        </w:rPr>
        <w:t>на</w:t>
      </w:r>
      <w:r w:rsidR="00FE6375" w:rsidRPr="00CC6AD4">
        <w:rPr>
          <w:rFonts w:ascii="Times New Roman" w:hAnsi="Times New Roman"/>
          <w:sz w:val="24"/>
          <w:szCs w:val="24"/>
        </w:rPr>
        <w:t xml:space="preserve"> </w:t>
      </w:r>
      <w:r w:rsidRPr="00CC6AD4">
        <w:rPr>
          <w:rFonts w:ascii="Times New Roman" w:hAnsi="Times New Roman"/>
          <w:sz w:val="24"/>
          <w:szCs w:val="24"/>
        </w:rPr>
        <w:t>опорезиву</w:t>
      </w:r>
      <w:r w:rsidR="00FE6375" w:rsidRPr="00CC6AD4">
        <w:rPr>
          <w:rFonts w:ascii="Times New Roman" w:hAnsi="Times New Roman"/>
          <w:sz w:val="24"/>
          <w:szCs w:val="24"/>
        </w:rPr>
        <w:t xml:space="preserve"> </w:t>
      </w:r>
      <w:r w:rsidRPr="00CC6AD4">
        <w:rPr>
          <w:rFonts w:ascii="Times New Roman" w:hAnsi="Times New Roman"/>
          <w:sz w:val="24"/>
          <w:szCs w:val="24"/>
        </w:rPr>
        <w:t>добит</w:t>
      </w:r>
      <w:r w:rsidR="00FE6375" w:rsidRPr="00CC6AD4">
        <w:rPr>
          <w:rFonts w:ascii="Times New Roman" w:hAnsi="Times New Roman"/>
          <w:sz w:val="24"/>
          <w:szCs w:val="24"/>
        </w:rPr>
        <w:t xml:space="preserve"> </w:t>
      </w:r>
      <w:r w:rsidRPr="00CC6AD4">
        <w:rPr>
          <w:rFonts w:ascii="Times New Roman" w:hAnsi="Times New Roman"/>
          <w:sz w:val="24"/>
          <w:szCs w:val="24"/>
        </w:rPr>
        <w:t>и</w:t>
      </w:r>
      <w:r w:rsidR="00FE6375" w:rsidRPr="00CC6AD4">
        <w:rPr>
          <w:rFonts w:ascii="Times New Roman" w:hAnsi="Times New Roman"/>
          <w:sz w:val="24"/>
          <w:szCs w:val="24"/>
        </w:rPr>
        <w:t xml:space="preserve"> </w:t>
      </w:r>
      <w:r w:rsidRPr="00CC6AD4">
        <w:rPr>
          <w:rFonts w:ascii="Times New Roman" w:hAnsi="Times New Roman"/>
          <w:sz w:val="24"/>
          <w:szCs w:val="24"/>
        </w:rPr>
        <w:t>као</w:t>
      </w:r>
      <w:r w:rsidR="00FE6375" w:rsidRPr="00CC6AD4">
        <w:rPr>
          <w:rFonts w:ascii="Times New Roman" w:hAnsi="Times New Roman"/>
          <w:sz w:val="24"/>
          <w:szCs w:val="24"/>
        </w:rPr>
        <w:t xml:space="preserve"> </w:t>
      </w:r>
      <w:r w:rsidRPr="00CC6AD4">
        <w:rPr>
          <w:rFonts w:ascii="Times New Roman" w:hAnsi="Times New Roman"/>
          <w:sz w:val="24"/>
          <w:szCs w:val="24"/>
        </w:rPr>
        <w:t>таква</w:t>
      </w:r>
      <w:r w:rsidR="00FE6375" w:rsidRPr="00CC6AD4">
        <w:rPr>
          <w:rFonts w:ascii="Times New Roman" w:hAnsi="Times New Roman"/>
          <w:sz w:val="24"/>
          <w:szCs w:val="24"/>
        </w:rPr>
        <w:t xml:space="preserve"> </w:t>
      </w:r>
      <w:r w:rsidRPr="00CC6AD4">
        <w:rPr>
          <w:rFonts w:ascii="Times New Roman" w:hAnsi="Times New Roman"/>
          <w:sz w:val="24"/>
          <w:szCs w:val="24"/>
        </w:rPr>
        <w:t>једна</w:t>
      </w:r>
      <w:r w:rsidR="00FE6375" w:rsidRPr="00CC6AD4">
        <w:rPr>
          <w:rFonts w:ascii="Times New Roman" w:hAnsi="Times New Roman"/>
          <w:sz w:val="24"/>
          <w:szCs w:val="24"/>
        </w:rPr>
        <w:t xml:space="preserve"> </w:t>
      </w:r>
      <w:r w:rsidRPr="00CC6AD4">
        <w:rPr>
          <w:rFonts w:ascii="Times New Roman" w:hAnsi="Times New Roman"/>
          <w:sz w:val="24"/>
          <w:szCs w:val="24"/>
        </w:rPr>
        <w:t>је</w:t>
      </w:r>
      <w:r w:rsidRPr="00CC6AD4">
        <w:rPr>
          <w:rFonts w:ascii="Times New Roman" w:hAnsi="Times New Roman"/>
          <w:sz w:val="24"/>
          <w:szCs w:val="24"/>
          <w:lang w:val="sr-Cyrl-CS"/>
        </w:rPr>
        <w:t xml:space="preserve"> </w:t>
      </w:r>
      <w:r w:rsidRPr="00CC6AD4">
        <w:rPr>
          <w:rFonts w:ascii="Times New Roman" w:hAnsi="Times New Roman"/>
          <w:sz w:val="24"/>
          <w:szCs w:val="24"/>
        </w:rPr>
        <w:t>од</w:t>
      </w:r>
      <w:r w:rsidR="00FE6375" w:rsidRPr="00CC6AD4">
        <w:rPr>
          <w:rFonts w:ascii="Times New Roman" w:hAnsi="Times New Roman"/>
          <w:sz w:val="24"/>
          <w:szCs w:val="24"/>
        </w:rPr>
        <w:t xml:space="preserve"> </w:t>
      </w:r>
      <w:r w:rsidRPr="00CC6AD4">
        <w:rPr>
          <w:rFonts w:ascii="Times New Roman" w:hAnsi="Times New Roman"/>
          <w:sz w:val="24"/>
          <w:szCs w:val="24"/>
        </w:rPr>
        <w:t>најнижих</w:t>
      </w:r>
      <w:r w:rsidR="00FE6375" w:rsidRPr="00CC6AD4">
        <w:rPr>
          <w:rFonts w:ascii="Times New Roman" w:hAnsi="Times New Roman"/>
          <w:sz w:val="24"/>
          <w:szCs w:val="24"/>
        </w:rPr>
        <w:t xml:space="preserve"> </w:t>
      </w:r>
      <w:r w:rsidRPr="00CC6AD4">
        <w:rPr>
          <w:rFonts w:ascii="Times New Roman" w:hAnsi="Times New Roman"/>
          <w:sz w:val="24"/>
          <w:szCs w:val="24"/>
        </w:rPr>
        <w:t>у</w:t>
      </w:r>
      <w:r w:rsidR="00FE6375" w:rsidRPr="00CC6AD4">
        <w:rPr>
          <w:rFonts w:ascii="Times New Roman" w:hAnsi="Times New Roman"/>
          <w:sz w:val="24"/>
          <w:szCs w:val="24"/>
        </w:rPr>
        <w:t xml:space="preserve"> </w:t>
      </w:r>
      <w:r w:rsidRPr="00CC6AD4">
        <w:rPr>
          <w:rFonts w:ascii="Times New Roman" w:hAnsi="Times New Roman"/>
          <w:sz w:val="24"/>
          <w:szCs w:val="24"/>
        </w:rPr>
        <w:t>Европи</w:t>
      </w:r>
      <w:r w:rsidR="00CB344B" w:rsidRPr="00CC6AD4">
        <w:rPr>
          <w:rFonts w:ascii="Times New Roman" w:hAnsi="Times New Roman"/>
          <w:sz w:val="24"/>
          <w:szCs w:val="24"/>
          <w:lang w:val="sr-Cyrl-CS"/>
        </w:rPr>
        <w:t>. Увођење јед</w:t>
      </w:r>
      <w:r w:rsidR="00BE1A29">
        <w:rPr>
          <w:rFonts w:ascii="Times New Roman" w:hAnsi="Times New Roman"/>
          <w:sz w:val="24"/>
          <w:szCs w:val="24"/>
          <w:lang w:val="sr-Cyrl-CS"/>
        </w:rPr>
        <w:t>н</w:t>
      </w:r>
      <w:r w:rsidR="00CB344B" w:rsidRPr="00CC6AD4">
        <w:rPr>
          <w:rFonts w:ascii="Times New Roman" w:hAnsi="Times New Roman"/>
          <w:sz w:val="24"/>
          <w:szCs w:val="24"/>
          <w:lang w:val="sr-Cyrl-CS"/>
        </w:rPr>
        <w:t>ообразне пореске стопе без обзира на облик</w:t>
      </w:r>
      <w:r w:rsidRPr="00CC6AD4">
        <w:rPr>
          <w:rFonts w:ascii="Times New Roman" w:hAnsi="Times New Roman"/>
          <w:sz w:val="24"/>
          <w:szCs w:val="24"/>
          <w:lang w:val="sr-Cyrl-CS"/>
        </w:rPr>
        <w:t xml:space="preserve"> </w:t>
      </w:r>
      <w:r w:rsidR="00CB344B" w:rsidRPr="00CC6AD4">
        <w:rPr>
          <w:rFonts w:ascii="Times New Roman" w:hAnsi="Times New Roman"/>
          <w:sz w:val="24"/>
          <w:szCs w:val="24"/>
          <w:lang w:val="sr-Cyrl-CS"/>
        </w:rPr>
        <w:t xml:space="preserve">статусног организовања  је значајно са становишта смањења законитог избегавања плаћања пореза, јер правно лице нема потребу за променом облика организовања са мотивом повољнијег пореског третмана. </w:t>
      </w:r>
    </w:p>
    <w:p w:rsidR="002D7DE2" w:rsidRDefault="002D7DE2" w:rsidP="00CC6AD4">
      <w:pPr>
        <w:autoSpaceDE w:val="0"/>
        <w:autoSpaceDN w:val="0"/>
        <w:adjustRightInd w:val="0"/>
        <w:spacing w:after="0" w:line="240" w:lineRule="auto"/>
        <w:ind w:firstLine="708"/>
        <w:jc w:val="both"/>
        <w:rPr>
          <w:rFonts w:ascii="Times New Roman" w:hAnsi="Times New Roman"/>
          <w:sz w:val="24"/>
          <w:szCs w:val="24"/>
          <w:lang w:val="sr-Cyrl-CS"/>
        </w:rPr>
      </w:pPr>
    </w:p>
    <w:p w:rsidR="002D7DE2" w:rsidRPr="00813D05" w:rsidRDefault="002D7DE2" w:rsidP="003A57BB">
      <w:pPr>
        <w:ind w:firstLine="708"/>
        <w:jc w:val="both"/>
        <w:rPr>
          <w:rFonts w:ascii="Times New Roman" w:hAnsi="Times New Roman"/>
          <w:sz w:val="24"/>
          <w:szCs w:val="24"/>
          <w:lang w:val="sr-Cyrl-CS"/>
        </w:rPr>
      </w:pPr>
      <w:r w:rsidRPr="003A57BB">
        <w:rPr>
          <w:rFonts w:ascii="Times New Roman" w:hAnsi="Times New Roman"/>
          <w:sz w:val="24"/>
          <w:szCs w:val="24"/>
          <w:shd w:val="clear" w:color="auto" w:fill="FFFFFF"/>
          <w:lang w:val="sr-Cyrl-CS"/>
        </w:rPr>
        <w:t>Н</w:t>
      </w:r>
      <w:r w:rsidRPr="003A57BB">
        <w:rPr>
          <w:rFonts w:ascii="Times New Roman" w:hAnsi="Times New Roman"/>
          <w:sz w:val="24"/>
          <w:szCs w:val="24"/>
          <w:shd w:val="clear" w:color="auto" w:fill="FFFFFF"/>
        </w:rPr>
        <w:t>а приходе које оствари нерезидентно правно лице из јурисдикције са преференцијалним пореским системом по основу ауторских накнада, камата, накнада по основу закупа и подзакупа непокретности и покретних ствари као и накнада по основу услуга, без обзира на место њиховог пружања или коришћења, обрачунава се и плаћа порез по одбитку по стопи од 25%.</w:t>
      </w:r>
      <w:r w:rsidR="00813D05" w:rsidRPr="003A57BB">
        <w:rPr>
          <w:rFonts w:ascii="Times New Roman" w:hAnsi="Times New Roman"/>
          <w:sz w:val="24"/>
          <w:szCs w:val="24"/>
          <w:shd w:val="clear" w:color="auto" w:fill="FFFFFF"/>
          <w:lang w:val="sr-Cyrl-CS"/>
        </w:rPr>
        <w:t xml:space="preserve"> </w:t>
      </w:r>
      <w:r w:rsidR="00813D05" w:rsidRPr="003A57BB">
        <w:rPr>
          <w:rFonts w:ascii="Times New Roman" w:hAnsi="Times New Roman"/>
          <w:sz w:val="24"/>
          <w:szCs w:val="24"/>
          <w:lang w:val="sr-Cyrl-CS"/>
        </w:rPr>
        <w:t xml:space="preserve">Треба нагласити да неке земље (нпр. Швајцарска, Холандија и сл.) према уговорима о двоструком опорезивању имају повлашћен статус (стопа пореза на добит може бити 5%). </w:t>
      </w:r>
    </w:p>
    <w:p w:rsidR="00CC6AD4" w:rsidRPr="00CC6AD4" w:rsidRDefault="00CC6AD4" w:rsidP="00CC6AD4">
      <w:pPr>
        <w:autoSpaceDE w:val="0"/>
        <w:autoSpaceDN w:val="0"/>
        <w:adjustRightInd w:val="0"/>
        <w:spacing w:after="0" w:line="240" w:lineRule="auto"/>
        <w:rPr>
          <w:rFonts w:ascii="MyriadPro-Regular" w:hAnsi="MyriadPro-Regular" w:cs="MyriadPro-Regular"/>
          <w:sz w:val="20"/>
          <w:szCs w:val="20"/>
        </w:rPr>
      </w:pPr>
    </w:p>
    <w:p w:rsidR="00EA7197" w:rsidRPr="00BE1A29" w:rsidRDefault="00A544BB" w:rsidP="00BE1A29">
      <w:pPr>
        <w:ind w:firstLine="708"/>
        <w:jc w:val="both"/>
        <w:rPr>
          <w:rFonts w:ascii="Times New Roman" w:hAnsi="Times New Roman"/>
          <w:sz w:val="24"/>
          <w:szCs w:val="24"/>
          <w:shd w:val="clear" w:color="auto" w:fill="FFFFFF"/>
          <w:lang w:val="sr-Cyrl-CS"/>
        </w:rPr>
      </w:pPr>
      <w:r w:rsidRPr="00A544BB">
        <w:rPr>
          <w:rFonts w:ascii="Times New Roman" w:hAnsi="Times New Roman"/>
          <w:sz w:val="24"/>
          <w:szCs w:val="24"/>
          <w:shd w:val="clear" w:color="auto" w:fill="FFFFFF"/>
          <w:lang w:val="sr-Cyrl-CS"/>
        </w:rPr>
        <w:t>Порески</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период</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за</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који</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се</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обрачунава</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порез</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на</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добит</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је</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пословна</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година</w:t>
      </w:r>
      <w:r w:rsidR="00EA7197" w:rsidRPr="00A544BB">
        <w:rPr>
          <w:rFonts w:ascii="Times New Roman" w:hAnsi="Times New Roman"/>
          <w:sz w:val="24"/>
          <w:szCs w:val="24"/>
          <w:shd w:val="clear" w:color="auto" w:fill="FFFFFF"/>
          <w:lang w:val="sr-Cyrl-CS"/>
        </w:rPr>
        <w:t>.</w:t>
      </w:r>
      <w:r w:rsidR="00EA7197" w:rsidRPr="00A544BB">
        <w:rPr>
          <w:rStyle w:val="apple-converted-space"/>
          <w:rFonts w:ascii="Times New Roman" w:hAnsi="Times New Roman"/>
          <w:color w:val="555555"/>
          <w:sz w:val="24"/>
          <w:szCs w:val="24"/>
          <w:shd w:val="clear" w:color="auto" w:fill="FFFFFF"/>
          <w:lang w:val="sr-Cyrl-CS"/>
        </w:rPr>
        <w:t> </w:t>
      </w:r>
      <w:r w:rsidRPr="00A544BB">
        <w:rPr>
          <w:rFonts w:ascii="Times New Roman" w:hAnsi="Times New Roman"/>
          <w:sz w:val="24"/>
          <w:szCs w:val="24"/>
          <w:shd w:val="clear" w:color="auto" w:fill="FFFFFF"/>
          <w:lang w:val="sr-Cyrl-CS"/>
        </w:rPr>
        <w:t>Уколико</w:t>
      </w:r>
      <w:r>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међународним</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уговором</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о</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избегавању</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двоструког</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опорезивања</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није</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друкчије</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уређено</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порез</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по</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одбитку</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по</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стопи</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од</w:t>
      </w:r>
      <w:r w:rsidR="00EA7197" w:rsidRPr="00A544BB">
        <w:rPr>
          <w:rFonts w:ascii="Times New Roman" w:hAnsi="Times New Roman"/>
          <w:sz w:val="24"/>
          <w:szCs w:val="24"/>
          <w:shd w:val="clear" w:color="auto" w:fill="FFFFFF"/>
          <w:lang w:val="sr-Cyrl-CS"/>
        </w:rPr>
        <w:t xml:space="preserve"> 20% </w:t>
      </w:r>
      <w:r w:rsidRPr="00A544BB">
        <w:rPr>
          <w:rFonts w:ascii="Times New Roman" w:hAnsi="Times New Roman"/>
          <w:sz w:val="24"/>
          <w:szCs w:val="24"/>
          <w:shd w:val="clear" w:color="auto" w:fill="FFFFFF"/>
          <w:lang w:val="sr-Cyrl-CS"/>
        </w:rPr>
        <w:t>обрачунава</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се</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и</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плаћа</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на</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приходе</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које</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оствари</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нерезидентно</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правно</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лице</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од</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резидентног</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правног</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лица</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по</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основу</w:t>
      </w:r>
      <w:r w:rsidR="00EA7197" w:rsidRPr="00A544BB">
        <w:rPr>
          <w:rFonts w:ascii="Times New Roman" w:hAnsi="Times New Roman"/>
          <w:sz w:val="24"/>
          <w:szCs w:val="24"/>
          <w:shd w:val="clear" w:color="auto" w:fill="FFFFFF"/>
          <w:lang w:val="sr-Cyrl-CS"/>
        </w:rPr>
        <w:t>:</w:t>
      </w:r>
      <w:r w:rsidR="00EA7197" w:rsidRPr="00A544BB">
        <w:rPr>
          <w:rStyle w:val="apple-converted-space"/>
          <w:rFonts w:ascii="Times New Roman" w:hAnsi="Times New Roman"/>
          <w:color w:val="555555"/>
          <w:sz w:val="24"/>
          <w:szCs w:val="24"/>
          <w:shd w:val="clear" w:color="auto" w:fill="FFFFFF"/>
          <w:lang w:val="sr-Cyrl-CS"/>
        </w:rPr>
        <w:t> </w:t>
      </w:r>
      <w:r w:rsidRPr="00A544BB">
        <w:rPr>
          <w:rFonts w:ascii="Times New Roman" w:hAnsi="Times New Roman"/>
          <w:sz w:val="24"/>
          <w:szCs w:val="24"/>
          <w:shd w:val="clear" w:color="auto" w:fill="FFFFFF"/>
          <w:lang w:val="sr-Cyrl-CS"/>
        </w:rPr>
        <w:t>дивиденди</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и</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удела</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у</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добити</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у</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правном</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лицу</w:t>
      </w:r>
      <w:r w:rsidR="00BE1A29">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накнада</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по</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основу</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ауторског</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и</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сродних</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права</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и</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права</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индустријске</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својине</w:t>
      </w:r>
      <w:r w:rsidR="00BE1A29">
        <w:rPr>
          <w:rFonts w:ascii="Times New Roman" w:hAnsi="Times New Roman"/>
          <w:sz w:val="24"/>
          <w:szCs w:val="24"/>
          <w:shd w:val="clear" w:color="auto" w:fill="FFFFFF"/>
          <w:lang w:val="sr-Cyrl-CS"/>
        </w:rPr>
        <w:t xml:space="preserve">, камата и </w:t>
      </w:r>
      <w:r w:rsidRPr="00A544BB">
        <w:rPr>
          <w:rFonts w:ascii="Times New Roman" w:hAnsi="Times New Roman"/>
          <w:sz w:val="24"/>
          <w:szCs w:val="24"/>
          <w:shd w:val="clear" w:color="auto" w:fill="FFFFFF"/>
          <w:lang w:val="sr-Cyrl-CS"/>
        </w:rPr>
        <w:t>накнада</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по</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основу</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закупа</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непокретности</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и</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покретних</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ствари</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на</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територији</w:t>
      </w:r>
      <w:r w:rsidR="00EA7197" w:rsidRPr="00A544BB">
        <w:rPr>
          <w:rFonts w:ascii="Times New Roman" w:hAnsi="Times New Roman"/>
          <w:sz w:val="24"/>
          <w:szCs w:val="24"/>
          <w:shd w:val="clear" w:color="auto" w:fill="FFFFFF"/>
          <w:lang w:val="sr-Cyrl-CS"/>
        </w:rPr>
        <w:t xml:space="preserve"> </w:t>
      </w:r>
      <w:r w:rsidRPr="00A544BB">
        <w:rPr>
          <w:rFonts w:ascii="Times New Roman" w:hAnsi="Times New Roman"/>
          <w:sz w:val="24"/>
          <w:szCs w:val="24"/>
          <w:shd w:val="clear" w:color="auto" w:fill="FFFFFF"/>
          <w:lang w:val="sr-Cyrl-CS"/>
        </w:rPr>
        <w:t>Републике</w:t>
      </w:r>
      <w:r w:rsidR="00EA7197" w:rsidRPr="00A544BB">
        <w:rPr>
          <w:rFonts w:ascii="Times New Roman" w:hAnsi="Times New Roman"/>
          <w:sz w:val="24"/>
          <w:szCs w:val="24"/>
          <w:shd w:val="clear" w:color="auto" w:fill="FFFFFF"/>
          <w:lang w:val="sr-Cyrl-CS"/>
        </w:rPr>
        <w:t>.</w:t>
      </w:r>
      <w:r w:rsidR="00EA7197" w:rsidRPr="00A544BB">
        <w:rPr>
          <w:rStyle w:val="apple-converted-space"/>
          <w:rFonts w:ascii="Times New Roman" w:hAnsi="Times New Roman"/>
          <w:color w:val="555555"/>
          <w:sz w:val="24"/>
          <w:szCs w:val="24"/>
          <w:shd w:val="clear" w:color="auto" w:fill="FFFFFF"/>
          <w:lang w:val="sr-Cyrl-CS"/>
        </w:rPr>
        <w:t> </w:t>
      </w:r>
    </w:p>
    <w:p w:rsidR="009C4F98" w:rsidRPr="00691172" w:rsidRDefault="00A544BB" w:rsidP="00691172">
      <w:pPr>
        <w:ind w:firstLine="708"/>
        <w:jc w:val="both"/>
        <w:rPr>
          <w:color w:val="000000"/>
          <w:sz w:val="18"/>
          <w:szCs w:val="18"/>
          <w:shd w:val="clear" w:color="auto" w:fill="FFFFFF"/>
          <w:lang w:val="sr-Cyrl-CS"/>
        </w:rPr>
      </w:pPr>
      <w:r w:rsidRPr="00A544BB">
        <w:rPr>
          <w:rFonts w:ascii="Times New Roman" w:hAnsi="Times New Roman"/>
          <w:color w:val="000000"/>
          <w:sz w:val="24"/>
          <w:szCs w:val="24"/>
          <w:shd w:val="clear" w:color="auto" w:fill="FFFFFF"/>
          <w:lang w:val="sr-Cyrl-CS"/>
        </w:rPr>
        <w:lastRenderedPageBreak/>
        <w:t>Резидентни</w:t>
      </w:r>
      <w:r w:rsidR="00EA7197" w:rsidRPr="00A544BB">
        <w:rPr>
          <w:rFonts w:ascii="Times New Roman" w:hAnsi="Times New Roman"/>
          <w:color w:val="000000"/>
          <w:sz w:val="24"/>
          <w:szCs w:val="24"/>
          <w:shd w:val="clear" w:color="auto" w:fill="FFFFFF"/>
          <w:lang w:val="sr-Cyrl-CS"/>
        </w:rPr>
        <w:t xml:space="preserve"> </w:t>
      </w:r>
      <w:r w:rsidRPr="00A544BB">
        <w:rPr>
          <w:rFonts w:ascii="Times New Roman" w:hAnsi="Times New Roman"/>
          <w:color w:val="000000"/>
          <w:sz w:val="24"/>
          <w:szCs w:val="24"/>
          <w:shd w:val="clear" w:color="auto" w:fill="FFFFFF"/>
          <w:lang w:val="sr-Cyrl-CS"/>
        </w:rPr>
        <w:t>обвезник</w:t>
      </w:r>
      <w:r w:rsidR="00EA7197" w:rsidRPr="00A544BB">
        <w:rPr>
          <w:rFonts w:ascii="Times New Roman" w:hAnsi="Times New Roman"/>
          <w:color w:val="000000"/>
          <w:sz w:val="24"/>
          <w:szCs w:val="24"/>
          <w:shd w:val="clear" w:color="auto" w:fill="FFFFFF"/>
          <w:lang w:val="sr-Cyrl-CS"/>
        </w:rPr>
        <w:t xml:space="preserve"> </w:t>
      </w:r>
      <w:r w:rsidRPr="00A544BB">
        <w:rPr>
          <w:rFonts w:ascii="Times New Roman" w:hAnsi="Times New Roman"/>
          <w:color w:val="000000"/>
          <w:sz w:val="24"/>
          <w:szCs w:val="24"/>
          <w:shd w:val="clear" w:color="auto" w:fill="FFFFFF"/>
          <w:lang w:val="sr-Cyrl-CS"/>
        </w:rPr>
        <w:t>који</w:t>
      </w:r>
      <w:r w:rsidR="00EA7197" w:rsidRPr="00A544BB">
        <w:rPr>
          <w:rFonts w:ascii="Times New Roman" w:hAnsi="Times New Roman"/>
          <w:color w:val="000000"/>
          <w:sz w:val="24"/>
          <w:szCs w:val="24"/>
          <w:shd w:val="clear" w:color="auto" w:fill="FFFFFF"/>
          <w:lang w:val="sr-Cyrl-CS"/>
        </w:rPr>
        <w:t xml:space="preserve"> </w:t>
      </w:r>
      <w:r w:rsidRPr="00A544BB">
        <w:rPr>
          <w:rFonts w:ascii="Times New Roman" w:hAnsi="Times New Roman"/>
          <w:color w:val="000000"/>
          <w:sz w:val="24"/>
          <w:szCs w:val="24"/>
          <w:shd w:val="clear" w:color="auto" w:fill="FFFFFF"/>
          <w:lang w:val="sr-Cyrl-CS"/>
        </w:rPr>
        <w:t>откупљује</w:t>
      </w:r>
      <w:r w:rsidR="00EA7197" w:rsidRPr="00A544BB">
        <w:rPr>
          <w:rFonts w:ascii="Times New Roman" w:hAnsi="Times New Roman"/>
          <w:color w:val="000000"/>
          <w:sz w:val="24"/>
          <w:szCs w:val="24"/>
          <w:shd w:val="clear" w:color="auto" w:fill="FFFFFF"/>
          <w:lang w:val="sr-Cyrl-CS"/>
        </w:rPr>
        <w:t xml:space="preserve"> </w:t>
      </w:r>
      <w:r w:rsidRPr="00A544BB">
        <w:rPr>
          <w:rFonts w:ascii="Times New Roman" w:hAnsi="Times New Roman"/>
          <w:color w:val="000000"/>
          <w:sz w:val="24"/>
          <w:szCs w:val="24"/>
          <w:shd w:val="clear" w:color="auto" w:fill="FFFFFF"/>
          <w:lang w:val="sr-Cyrl-CS"/>
        </w:rPr>
        <w:t>секундарне</w:t>
      </w:r>
      <w:r w:rsidR="00EA7197" w:rsidRPr="00A544BB">
        <w:rPr>
          <w:rFonts w:ascii="Times New Roman" w:hAnsi="Times New Roman"/>
          <w:color w:val="000000"/>
          <w:sz w:val="24"/>
          <w:szCs w:val="24"/>
          <w:shd w:val="clear" w:color="auto" w:fill="FFFFFF"/>
          <w:lang w:val="sr-Cyrl-CS"/>
        </w:rPr>
        <w:t xml:space="preserve"> </w:t>
      </w:r>
      <w:r w:rsidRPr="00A544BB">
        <w:rPr>
          <w:rFonts w:ascii="Times New Roman" w:hAnsi="Times New Roman"/>
          <w:color w:val="000000"/>
          <w:sz w:val="24"/>
          <w:szCs w:val="24"/>
          <w:shd w:val="clear" w:color="auto" w:fill="FFFFFF"/>
          <w:lang w:val="sr-Cyrl-CS"/>
        </w:rPr>
        <w:t>сировине</w:t>
      </w:r>
      <w:r w:rsidR="00EA7197" w:rsidRPr="00A544BB">
        <w:rPr>
          <w:rFonts w:ascii="Times New Roman" w:hAnsi="Times New Roman"/>
          <w:color w:val="000000"/>
          <w:sz w:val="24"/>
          <w:szCs w:val="24"/>
          <w:shd w:val="clear" w:color="auto" w:fill="FFFFFF"/>
          <w:lang w:val="sr-Cyrl-CS"/>
        </w:rPr>
        <w:t xml:space="preserve"> </w:t>
      </w:r>
      <w:r w:rsidRPr="00A544BB">
        <w:rPr>
          <w:rFonts w:ascii="Times New Roman" w:hAnsi="Times New Roman"/>
          <w:color w:val="000000"/>
          <w:sz w:val="24"/>
          <w:szCs w:val="24"/>
          <w:shd w:val="clear" w:color="auto" w:fill="FFFFFF"/>
          <w:lang w:val="sr-Cyrl-CS"/>
        </w:rPr>
        <w:t>и</w:t>
      </w:r>
      <w:r w:rsidR="00EA7197" w:rsidRPr="00A544BB">
        <w:rPr>
          <w:rFonts w:ascii="Times New Roman" w:hAnsi="Times New Roman"/>
          <w:color w:val="000000"/>
          <w:sz w:val="24"/>
          <w:szCs w:val="24"/>
          <w:shd w:val="clear" w:color="auto" w:fill="FFFFFF"/>
          <w:lang w:val="sr-Cyrl-CS"/>
        </w:rPr>
        <w:t xml:space="preserve"> </w:t>
      </w:r>
      <w:r w:rsidRPr="00A544BB">
        <w:rPr>
          <w:rFonts w:ascii="Times New Roman" w:hAnsi="Times New Roman"/>
          <w:color w:val="000000"/>
          <w:sz w:val="24"/>
          <w:szCs w:val="24"/>
          <w:shd w:val="clear" w:color="auto" w:fill="FFFFFF"/>
          <w:lang w:val="sr-Cyrl-CS"/>
        </w:rPr>
        <w:t>отпад</w:t>
      </w:r>
      <w:r w:rsidR="00EA7197" w:rsidRPr="00A544BB">
        <w:rPr>
          <w:rFonts w:ascii="Times New Roman" w:hAnsi="Times New Roman"/>
          <w:color w:val="000000"/>
          <w:sz w:val="24"/>
          <w:szCs w:val="24"/>
          <w:shd w:val="clear" w:color="auto" w:fill="FFFFFF"/>
          <w:lang w:val="sr-Cyrl-CS"/>
        </w:rPr>
        <w:t xml:space="preserve"> </w:t>
      </w:r>
      <w:r w:rsidRPr="00A544BB">
        <w:rPr>
          <w:rFonts w:ascii="Times New Roman" w:hAnsi="Times New Roman"/>
          <w:color w:val="000000"/>
          <w:sz w:val="24"/>
          <w:szCs w:val="24"/>
          <w:shd w:val="clear" w:color="auto" w:fill="FFFFFF"/>
          <w:lang w:val="sr-Cyrl-CS"/>
        </w:rPr>
        <w:t>од</w:t>
      </w:r>
      <w:r w:rsidR="00EA7197" w:rsidRPr="00A544BB">
        <w:rPr>
          <w:rFonts w:ascii="Times New Roman" w:hAnsi="Times New Roman"/>
          <w:color w:val="000000"/>
          <w:sz w:val="24"/>
          <w:szCs w:val="24"/>
          <w:shd w:val="clear" w:color="auto" w:fill="FFFFFF"/>
          <w:lang w:val="sr-Cyrl-CS"/>
        </w:rPr>
        <w:t xml:space="preserve"> </w:t>
      </w:r>
      <w:r w:rsidRPr="00A544BB">
        <w:rPr>
          <w:rFonts w:ascii="Times New Roman" w:hAnsi="Times New Roman"/>
          <w:color w:val="000000"/>
          <w:sz w:val="24"/>
          <w:szCs w:val="24"/>
          <w:shd w:val="clear" w:color="auto" w:fill="FFFFFF"/>
          <w:lang w:val="sr-Cyrl-CS"/>
        </w:rPr>
        <w:t>резидентног</w:t>
      </w:r>
      <w:r w:rsidR="00EA7197" w:rsidRPr="00A544BB">
        <w:rPr>
          <w:rFonts w:ascii="Times New Roman" w:hAnsi="Times New Roman"/>
          <w:color w:val="000000"/>
          <w:sz w:val="24"/>
          <w:szCs w:val="24"/>
          <w:shd w:val="clear" w:color="auto" w:fill="FFFFFF"/>
          <w:lang w:val="sr-Cyrl-CS"/>
        </w:rPr>
        <w:t xml:space="preserve">, </w:t>
      </w:r>
      <w:r w:rsidRPr="00A544BB">
        <w:rPr>
          <w:rFonts w:ascii="Times New Roman" w:hAnsi="Times New Roman"/>
          <w:color w:val="000000"/>
          <w:sz w:val="24"/>
          <w:szCs w:val="24"/>
          <w:shd w:val="clear" w:color="auto" w:fill="FFFFFF"/>
          <w:lang w:val="sr-Cyrl-CS"/>
        </w:rPr>
        <w:t>односно</w:t>
      </w:r>
      <w:r w:rsidR="00EA7197" w:rsidRPr="00A544BB">
        <w:rPr>
          <w:rFonts w:ascii="Times New Roman" w:hAnsi="Times New Roman"/>
          <w:color w:val="000000"/>
          <w:sz w:val="24"/>
          <w:szCs w:val="24"/>
          <w:shd w:val="clear" w:color="auto" w:fill="FFFFFF"/>
          <w:lang w:val="sr-Cyrl-CS"/>
        </w:rPr>
        <w:t xml:space="preserve"> </w:t>
      </w:r>
      <w:r w:rsidRPr="00A544BB">
        <w:rPr>
          <w:rFonts w:ascii="Times New Roman" w:hAnsi="Times New Roman"/>
          <w:color w:val="000000"/>
          <w:sz w:val="24"/>
          <w:szCs w:val="24"/>
          <w:shd w:val="clear" w:color="auto" w:fill="FFFFFF"/>
          <w:lang w:val="sr-Cyrl-CS"/>
        </w:rPr>
        <w:t>нерезидентног</w:t>
      </w:r>
      <w:r w:rsidR="00EA7197" w:rsidRPr="00A544BB">
        <w:rPr>
          <w:rFonts w:ascii="Times New Roman" w:hAnsi="Times New Roman"/>
          <w:color w:val="000000"/>
          <w:sz w:val="24"/>
          <w:szCs w:val="24"/>
          <w:shd w:val="clear" w:color="auto" w:fill="FFFFFF"/>
          <w:lang w:val="sr-Cyrl-CS"/>
        </w:rPr>
        <w:t xml:space="preserve"> </w:t>
      </w:r>
      <w:r w:rsidRPr="00A544BB">
        <w:rPr>
          <w:rFonts w:ascii="Times New Roman" w:hAnsi="Times New Roman"/>
          <w:color w:val="000000"/>
          <w:sz w:val="24"/>
          <w:szCs w:val="24"/>
          <w:shd w:val="clear" w:color="auto" w:fill="FFFFFF"/>
          <w:lang w:val="sr-Cyrl-CS"/>
        </w:rPr>
        <w:t>правног</w:t>
      </w:r>
      <w:r w:rsidR="00EA7197" w:rsidRPr="00A544BB">
        <w:rPr>
          <w:rFonts w:ascii="Times New Roman" w:hAnsi="Times New Roman"/>
          <w:color w:val="000000"/>
          <w:sz w:val="24"/>
          <w:szCs w:val="24"/>
          <w:shd w:val="clear" w:color="auto" w:fill="FFFFFF"/>
          <w:lang w:val="sr-Cyrl-CS"/>
        </w:rPr>
        <w:t xml:space="preserve"> </w:t>
      </w:r>
      <w:r w:rsidRPr="00A544BB">
        <w:rPr>
          <w:rFonts w:ascii="Times New Roman" w:hAnsi="Times New Roman"/>
          <w:color w:val="000000"/>
          <w:sz w:val="24"/>
          <w:szCs w:val="24"/>
          <w:shd w:val="clear" w:color="auto" w:fill="FFFFFF"/>
          <w:lang w:val="sr-Cyrl-CS"/>
        </w:rPr>
        <w:t>лица</w:t>
      </w:r>
      <w:r w:rsidR="00EA7197" w:rsidRPr="00A544BB">
        <w:rPr>
          <w:rFonts w:ascii="Times New Roman" w:hAnsi="Times New Roman"/>
          <w:color w:val="000000"/>
          <w:sz w:val="24"/>
          <w:szCs w:val="24"/>
          <w:shd w:val="clear" w:color="auto" w:fill="FFFFFF"/>
          <w:lang w:val="sr-Cyrl-CS"/>
        </w:rPr>
        <w:t xml:space="preserve">, </w:t>
      </w:r>
      <w:r w:rsidRPr="00A544BB">
        <w:rPr>
          <w:rFonts w:ascii="Times New Roman" w:hAnsi="Times New Roman"/>
          <w:color w:val="000000"/>
          <w:sz w:val="24"/>
          <w:szCs w:val="24"/>
          <w:shd w:val="clear" w:color="auto" w:fill="FFFFFF"/>
          <w:lang w:val="sr-Cyrl-CS"/>
        </w:rPr>
        <w:t>дужан</w:t>
      </w:r>
      <w:r w:rsidR="00EA7197" w:rsidRPr="00A544BB">
        <w:rPr>
          <w:rFonts w:ascii="Times New Roman" w:hAnsi="Times New Roman"/>
          <w:color w:val="000000"/>
          <w:sz w:val="24"/>
          <w:szCs w:val="24"/>
          <w:shd w:val="clear" w:color="auto" w:fill="FFFFFF"/>
          <w:lang w:val="sr-Cyrl-CS"/>
        </w:rPr>
        <w:t xml:space="preserve"> </w:t>
      </w:r>
      <w:r w:rsidRPr="00A544BB">
        <w:rPr>
          <w:rFonts w:ascii="Times New Roman" w:hAnsi="Times New Roman"/>
          <w:color w:val="000000"/>
          <w:sz w:val="24"/>
          <w:szCs w:val="24"/>
          <w:shd w:val="clear" w:color="auto" w:fill="FFFFFF"/>
          <w:lang w:val="sr-Cyrl-CS"/>
        </w:rPr>
        <w:t>је</w:t>
      </w:r>
      <w:r w:rsidR="00EA7197" w:rsidRPr="00A544BB">
        <w:rPr>
          <w:rFonts w:ascii="Times New Roman" w:hAnsi="Times New Roman"/>
          <w:color w:val="000000"/>
          <w:sz w:val="24"/>
          <w:szCs w:val="24"/>
          <w:shd w:val="clear" w:color="auto" w:fill="FFFFFF"/>
          <w:lang w:val="sr-Cyrl-CS"/>
        </w:rPr>
        <w:t xml:space="preserve"> </w:t>
      </w:r>
      <w:r w:rsidRPr="00A544BB">
        <w:rPr>
          <w:rFonts w:ascii="Times New Roman" w:hAnsi="Times New Roman"/>
          <w:color w:val="000000"/>
          <w:sz w:val="24"/>
          <w:szCs w:val="24"/>
          <w:shd w:val="clear" w:color="auto" w:fill="FFFFFF"/>
          <w:lang w:val="sr-Cyrl-CS"/>
        </w:rPr>
        <w:t>да</w:t>
      </w:r>
      <w:r w:rsidR="00EA7197" w:rsidRPr="00A544BB">
        <w:rPr>
          <w:rFonts w:ascii="Times New Roman" w:hAnsi="Times New Roman"/>
          <w:color w:val="000000"/>
          <w:sz w:val="24"/>
          <w:szCs w:val="24"/>
          <w:shd w:val="clear" w:color="auto" w:fill="FFFFFF"/>
          <w:lang w:val="sr-Cyrl-CS"/>
        </w:rPr>
        <w:t xml:space="preserve"> </w:t>
      </w:r>
      <w:r w:rsidRPr="00A544BB">
        <w:rPr>
          <w:rFonts w:ascii="Times New Roman" w:hAnsi="Times New Roman"/>
          <w:color w:val="000000"/>
          <w:sz w:val="24"/>
          <w:szCs w:val="24"/>
          <w:shd w:val="clear" w:color="auto" w:fill="FFFFFF"/>
          <w:lang w:val="sr-Cyrl-CS"/>
        </w:rPr>
        <w:t>приликом</w:t>
      </w:r>
      <w:r w:rsidR="00EA7197" w:rsidRPr="00A544BB">
        <w:rPr>
          <w:rFonts w:ascii="Times New Roman" w:hAnsi="Times New Roman"/>
          <w:color w:val="000000"/>
          <w:sz w:val="24"/>
          <w:szCs w:val="24"/>
          <w:shd w:val="clear" w:color="auto" w:fill="FFFFFF"/>
          <w:lang w:val="sr-Cyrl-CS"/>
        </w:rPr>
        <w:t xml:space="preserve"> </w:t>
      </w:r>
      <w:r w:rsidRPr="00A544BB">
        <w:rPr>
          <w:rFonts w:ascii="Times New Roman" w:hAnsi="Times New Roman"/>
          <w:color w:val="000000"/>
          <w:sz w:val="24"/>
          <w:szCs w:val="24"/>
          <w:shd w:val="clear" w:color="auto" w:fill="FFFFFF"/>
          <w:lang w:val="sr-Cyrl-CS"/>
        </w:rPr>
        <w:t>исплате</w:t>
      </w:r>
      <w:r w:rsidR="00EA7197" w:rsidRPr="00A544BB">
        <w:rPr>
          <w:rFonts w:ascii="Times New Roman" w:hAnsi="Times New Roman"/>
          <w:color w:val="000000"/>
          <w:sz w:val="24"/>
          <w:szCs w:val="24"/>
          <w:shd w:val="clear" w:color="auto" w:fill="FFFFFF"/>
          <w:lang w:val="sr-Cyrl-CS"/>
        </w:rPr>
        <w:t xml:space="preserve"> </w:t>
      </w:r>
      <w:r w:rsidRPr="00A544BB">
        <w:rPr>
          <w:rFonts w:ascii="Times New Roman" w:hAnsi="Times New Roman"/>
          <w:color w:val="000000"/>
          <w:sz w:val="24"/>
          <w:szCs w:val="24"/>
          <w:shd w:val="clear" w:color="auto" w:fill="FFFFFF"/>
          <w:lang w:val="sr-Cyrl-CS"/>
        </w:rPr>
        <w:t>накнаде</w:t>
      </w:r>
      <w:r w:rsidR="00EA7197" w:rsidRPr="00A544BB">
        <w:rPr>
          <w:rFonts w:ascii="Times New Roman" w:hAnsi="Times New Roman"/>
          <w:color w:val="000000"/>
          <w:sz w:val="24"/>
          <w:szCs w:val="24"/>
          <w:shd w:val="clear" w:color="auto" w:fill="FFFFFF"/>
          <w:lang w:val="sr-Cyrl-CS"/>
        </w:rPr>
        <w:t xml:space="preserve"> </w:t>
      </w:r>
      <w:r w:rsidRPr="00A544BB">
        <w:rPr>
          <w:rFonts w:ascii="Times New Roman" w:hAnsi="Times New Roman"/>
          <w:color w:val="000000"/>
          <w:sz w:val="24"/>
          <w:szCs w:val="24"/>
          <w:shd w:val="clear" w:color="auto" w:fill="FFFFFF"/>
          <w:lang w:val="sr-Cyrl-CS"/>
        </w:rPr>
        <w:t>тим</w:t>
      </w:r>
      <w:r w:rsidR="00EA7197" w:rsidRPr="00A544BB">
        <w:rPr>
          <w:rFonts w:ascii="Times New Roman" w:hAnsi="Times New Roman"/>
          <w:color w:val="000000"/>
          <w:sz w:val="24"/>
          <w:szCs w:val="24"/>
          <w:shd w:val="clear" w:color="auto" w:fill="FFFFFF"/>
          <w:lang w:val="sr-Cyrl-CS"/>
        </w:rPr>
        <w:t xml:space="preserve"> </w:t>
      </w:r>
      <w:r w:rsidRPr="00A544BB">
        <w:rPr>
          <w:rFonts w:ascii="Times New Roman" w:hAnsi="Times New Roman"/>
          <w:color w:val="000000"/>
          <w:sz w:val="24"/>
          <w:szCs w:val="24"/>
          <w:shd w:val="clear" w:color="auto" w:fill="FFFFFF"/>
          <w:lang w:val="sr-Cyrl-CS"/>
        </w:rPr>
        <w:t>лицима</w:t>
      </w:r>
      <w:r w:rsidR="00EA7197" w:rsidRPr="00A544BB">
        <w:rPr>
          <w:rFonts w:ascii="Times New Roman" w:hAnsi="Times New Roman"/>
          <w:color w:val="000000"/>
          <w:sz w:val="24"/>
          <w:szCs w:val="24"/>
          <w:shd w:val="clear" w:color="auto" w:fill="FFFFFF"/>
          <w:lang w:val="sr-Cyrl-CS"/>
        </w:rPr>
        <w:t xml:space="preserve"> </w:t>
      </w:r>
      <w:r w:rsidRPr="00A544BB">
        <w:rPr>
          <w:rFonts w:ascii="Times New Roman" w:hAnsi="Times New Roman"/>
          <w:color w:val="000000"/>
          <w:sz w:val="24"/>
          <w:szCs w:val="24"/>
          <w:shd w:val="clear" w:color="auto" w:fill="FFFFFF"/>
          <w:lang w:val="sr-Cyrl-CS"/>
        </w:rPr>
        <w:t>обрачуна</w:t>
      </w:r>
      <w:r w:rsidR="00EA7197" w:rsidRPr="00A544BB">
        <w:rPr>
          <w:rFonts w:ascii="Times New Roman" w:hAnsi="Times New Roman"/>
          <w:color w:val="000000"/>
          <w:sz w:val="24"/>
          <w:szCs w:val="24"/>
          <w:shd w:val="clear" w:color="auto" w:fill="FFFFFF"/>
          <w:lang w:val="sr-Cyrl-CS"/>
        </w:rPr>
        <w:t xml:space="preserve">, </w:t>
      </w:r>
      <w:r w:rsidRPr="00A544BB">
        <w:rPr>
          <w:rFonts w:ascii="Times New Roman" w:hAnsi="Times New Roman"/>
          <w:color w:val="000000"/>
          <w:sz w:val="24"/>
          <w:szCs w:val="24"/>
          <w:shd w:val="clear" w:color="auto" w:fill="FFFFFF"/>
          <w:lang w:val="sr-Cyrl-CS"/>
        </w:rPr>
        <w:t>обустави</w:t>
      </w:r>
      <w:r w:rsidR="00EA7197" w:rsidRPr="00A544BB">
        <w:rPr>
          <w:rFonts w:ascii="Times New Roman" w:hAnsi="Times New Roman"/>
          <w:color w:val="000000"/>
          <w:sz w:val="24"/>
          <w:szCs w:val="24"/>
          <w:shd w:val="clear" w:color="auto" w:fill="FFFFFF"/>
          <w:lang w:val="sr-Cyrl-CS"/>
        </w:rPr>
        <w:t xml:space="preserve"> </w:t>
      </w:r>
      <w:r w:rsidRPr="00A544BB">
        <w:rPr>
          <w:rFonts w:ascii="Times New Roman" w:hAnsi="Times New Roman"/>
          <w:color w:val="000000"/>
          <w:sz w:val="24"/>
          <w:szCs w:val="24"/>
          <w:shd w:val="clear" w:color="auto" w:fill="FFFFFF"/>
          <w:lang w:val="sr-Cyrl-CS"/>
        </w:rPr>
        <w:t>и</w:t>
      </w:r>
      <w:r w:rsidR="00EA7197" w:rsidRPr="00A544BB">
        <w:rPr>
          <w:rFonts w:ascii="Times New Roman" w:hAnsi="Times New Roman"/>
          <w:color w:val="000000"/>
          <w:sz w:val="24"/>
          <w:szCs w:val="24"/>
          <w:shd w:val="clear" w:color="auto" w:fill="FFFFFF"/>
          <w:lang w:val="sr-Cyrl-CS"/>
        </w:rPr>
        <w:t xml:space="preserve"> </w:t>
      </w:r>
      <w:r w:rsidRPr="00A544BB">
        <w:rPr>
          <w:rFonts w:ascii="Times New Roman" w:hAnsi="Times New Roman"/>
          <w:color w:val="000000"/>
          <w:sz w:val="24"/>
          <w:szCs w:val="24"/>
          <w:shd w:val="clear" w:color="auto" w:fill="FFFFFF"/>
          <w:lang w:val="sr-Cyrl-CS"/>
        </w:rPr>
        <w:t>на</w:t>
      </w:r>
      <w:r w:rsidR="00EA7197" w:rsidRPr="00A544BB">
        <w:rPr>
          <w:rFonts w:ascii="Times New Roman" w:hAnsi="Times New Roman"/>
          <w:color w:val="000000"/>
          <w:sz w:val="24"/>
          <w:szCs w:val="24"/>
          <w:shd w:val="clear" w:color="auto" w:fill="FFFFFF"/>
          <w:lang w:val="sr-Cyrl-CS"/>
        </w:rPr>
        <w:t xml:space="preserve"> </w:t>
      </w:r>
      <w:r w:rsidRPr="00A544BB">
        <w:rPr>
          <w:rFonts w:ascii="Times New Roman" w:hAnsi="Times New Roman"/>
          <w:color w:val="000000"/>
          <w:sz w:val="24"/>
          <w:szCs w:val="24"/>
          <w:shd w:val="clear" w:color="auto" w:fill="FFFFFF"/>
          <w:lang w:val="sr-Cyrl-CS"/>
        </w:rPr>
        <w:t>прописани</w:t>
      </w:r>
      <w:r w:rsidR="00EA7197" w:rsidRPr="00A544BB">
        <w:rPr>
          <w:rFonts w:ascii="Times New Roman" w:hAnsi="Times New Roman"/>
          <w:color w:val="000000"/>
          <w:sz w:val="24"/>
          <w:szCs w:val="24"/>
          <w:shd w:val="clear" w:color="auto" w:fill="FFFFFF"/>
          <w:lang w:val="sr-Cyrl-CS"/>
        </w:rPr>
        <w:t xml:space="preserve"> </w:t>
      </w:r>
      <w:r w:rsidRPr="00A544BB">
        <w:rPr>
          <w:rFonts w:ascii="Times New Roman" w:hAnsi="Times New Roman"/>
          <w:color w:val="000000"/>
          <w:sz w:val="24"/>
          <w:szCs w:val="24"/>
          <w:shd w:val="clear" w:color="auto" w:fill="FFFFFF"/>
          <w:lang w:val="sr-Cyrl-CS"/>
        </w:rPr>
        <w:t>рачун</w:t>
      </w:r>
      <w:r w:rsidR="00EA7197" w:rsidRPr="00A544BB">
        <w:rPr>
          <w:rFonts w:ascii="Times New Roman" w:hAnsi="Times New Roman"/>
          <w:color w:val="000000"/>
          <w:sz w:val="24"/>
          <w:szCs w:val="24"/>
          <w:shd w:val="clear" w:color="auto" w:fill="FFFFFF"/>
          <w:lang w:val="sr-Cyrl-CS"/>
        </w:rPr>
        <w:t xml:space="preserve"> </w:t>
      </w:r>
      <w:r w:rsidRPr="00A544BB">
        <w:rPr>
          <w:rFonts w:ascii="Times New Roman" w:hAnsi="Times New Roman"/>
          <w:color w:val="000000"/>
          <w:sz w:val="24"/>
          <w:szCs w:val="24"/>
          <w:shd w:val="clear" w:color="auto" w:fill="FFFFFF"/>
          <w:lang w:val="sr-Cyrl-CS"/>
        </w:rPr>
        <w:t>уплати</w:t>
      </w:r>
      <w:r w:rsidR="00EA7197" w:rsidRPr="00A544BB">
        <w:rPr>
          <w:rFonts w:ascii="Times New Roman" w:hAnsi="Times New Roman"/>
          <w:color w:val="000000"/>
          <w:sz w:val="24"/>
          <w:szCs w:val="24"/>
          <w:shd w:val="clear" w:color="auto" w:fill="FFFFFF"/>
          <w:lang w:val="sr-Cyrl-CS"/>
        </w:rPr>
        <w:t xml:space="preserve"> </w:t>
      </w:r>
      <w:r w:rsidRPr="00A544BB">
        <w:rPr>
          <w:rFonts w:ascii="Times New Roman" w:hAnsi="Times New Roman"/>
          <w:color w:val="000000"/>
          <w:sz w:val="24"/>
          <w:szCs w:val="24"/>
          <w:shd w:val="clear" w:color="auto" w:fill="FFFFFF"/>
          <w:lang w:val="sr-Cyrl-CS"/>
        </w:rPr>
        <w:t>порез</w:t>
      </w:r>
      <w:r w:rsidR="00EA7197" w:rsidRPr="00A544BB">
        <w:rPr>
          <w:rFonts w:ascii="Times New Roman" w:hAnsi="Times New Roman"/>
          <w:color w:val="000000"/>
          <w:sz w:val="24"/>
          <w:szCs w:val="24"/>
          <w:shd w:val="clear" w:color="auto" w:fill="FFFFFF"/>
          <w:lang w:val="sr-Cyrl-CS"/>
        </w:rPr>
        <w:t xml:space="preserve"> </w:t>
      </w:r>
      <w:r w:rsidRPr="00A544BB">
        <w:rPr>
          <w:rFonts w:ascii="Times New Roman" w:hAnsi="Times New Roman"/>
          <w:color w:val="000000"/>
          <w:sz w:val="24"/>
          <w:szCs w:val="24"/>
          <w:shd w:val="clear" w:color="auto" w:fill="FFFFFF"/>
          <w:lang w:val="sr-Cyrl-CS"/>
        </w:rPr>
        <w:t>по</w:t>
      </w:r>
      <w:r w:rsidR="00EA7197" w:rsidRPr="00A544BB">
        <w:rPr>
          <w:rFonts w:ascii="Times New Roman" w:hAnsi="Times New Roman"/>
          <w:color w:val="000000"/>
          <w:sz w:val="24"/>
          <w:szCs w:val="24"/>
          <w:shd w:val="clear" w:color="auto" w:fill="FFFFFF"/>
          <w:lang w:val="sr-Cyrl-CS"/>
        </w:rPr>
        <w:t xml:space="preserve"> </w:t>
      </w:r>
      <w:r w:rsidRPr="00A544BB">
        <w:rPr>
          <w:rFonts w:ascii="Times New Roman" w:hAnsi="Times New Roman"/>
          <w:color w:val="000000"/>
          <w:sz w:val="24"/>
          <w:szCs w:val="24"/>
          <w:shd w:val="clear" w:color="auto" w:fill="FFFFFF"/>
          <w:lang w:val="sr-Cyrl-CS"/>
        </w:rPr>
        <w:t>одбитку</w:t>
      </w:r>
      <w:r w:rsidR="00EA7197" w:rsidRPr="00A544BB">
        <w:rPr>
          <w:rFonts w:ascii="Times New Roman" w:hAnsi="Times New Roman"/>
          <w:color w:val="000000"/>
          <w:sz w:val="24"/>
          <w:szCs w:val="24"/>
          <w:shd w:val="clear" w:color="auto" w:fill="FFFFFF"/>
          <w:lang w:val="sr-Cyrl-CS"/>
        </w:rPr>
        <w:t xml:space="preserve"> </w:t>
      </w:r>
      <w:r w:rsidRPr="00A544BB">
        <w:rPr>
          <w:rFonts w:ascii="Times New Roman" w:hAnsi="Times New Roman"/>
          <w:color w:val="000000"/>
          <w:sz w:val="24"/>
          <w:szCs w:val="24"/>
          <w:shd w:val="clear" w:color="auto" w:fill="FFFFFF"/>
          <w:lang w:val="sr-Cyrl-CS"/>
        </w:rPr>
        <w:t>по</w:t>
      </w:r>
      <w:r w:rsidR="00EA7197" w:rsidRPr="00A544BB">
        <w:rPr>
          <w:rFonts w:ascii="Times New Roman" w:hAnsi="Times New Roman"/>
          <w:color w:val="000000"/>
          <w:sz w:val="24"/>
          <w:szCs w:val="24"/>
          <w:shd w:val="clear" w:color="auto" w:fill="FFFFFF"/>
          <w:lang w:val="sr-Cyrl-CS"/>
        </w:rPr>
        <w:t xml:space="preserve"> </w:t>
      </w:r>
      <w:r w:rsidRPr="00A544BB">
        <w:rPr>
          <w:rFonts w:ascii="Times New Roman" w:hAnsi="Times New Roman"/>
          <w:color w:val="000000"/>
          <w:sz w:val="24"/>
          <w:szCs w:val="24"/>
          <w:shd w:val="clear" w:color="auto" w:fill="FFFFFF"/>
          <w:lang w:val="sr-Cyrl-CS"/>
        </w:rPr>
        <w:t>стопи</w:t>
      </w:r>
      <w:r w:rsidR="00EA7197" w:rsidRPr="00A544BB">
        <w:rPr>
          <w:rFonts w:ascii="Times New Roman" w:hAnsi="Times New Roman"/>
          <w:color w:val="000000"/>
          <w:sz w:val="24"/>
          <w:szCs w:val="24"/>
          <w:shd w:val="clear" w:color="auto" w:fill="FFFFFF"/>
          <w:lang w:val="sr-Cyrl-CS"/>
        </w:rPr>
        <w:t xml:space="preserve"> </w:t>
      </w:r>
      <w:r w:rsidRPr="00A544BB">
        <w:rPr>
          <w:rFonts w:ascii="Times New Roman" w:hAnsi="Times New Roman"/>
          <w:color w:val="000000"/>
          <w:sz w:val="24"/>
          <w:szCs w:val="24"/>
          <w:shd w:val="clear" w:color="auto" w:fill="FFFFFF"/>
          <w:lang w:val="sr-Cyrl-CS"/>
        </w:rPr>
        <w:t>од</w:t>
      </w:r>
      <w:r w:rsidR="00EA7197" w:rsidRPr="00A544BB">
        <w:rPr>
          <w:rFonts w:ascii="Times New Roman" w:hAnsi="Times New Roman"/>
          <w:color w:val="000000"/>
          <w:sz w:val="24"/>
          <w:szCs w:val="24"/>
          <w:shd w:val="clear" w:color="auto" w:fill="FFFFFF"/>
          <w:lang w:val="sr-Cyrl-CS"/>
        </w:rPr>
        <w:t xml:space="preserve"> 1% </w:t>
      </w:r>
      <w:r w:rsidRPr="00A544BB">
        <w:rPr>
          <w:rFonts w:ascii="Times New Roman" w:hAnsi="Times New Roman"/>
          <w:color w:val="000000"/>
          <w:sz w:val="24"/>
          <w:szCs w:val="24"/>
          <w:shd w:val="clear" w:color="auto" w:fill="FFFFFF"/>
          <w:lang w:val="sr-Cyrl-CS"/>
        </w:rPr>
        <w:t>од</w:t>
      </w:r>
      <w:r w:rsidR="00EA7197" w:rsidRPr="00A544BB">
        <w:rPr>
          <w:rFonts w:ascii="Times New Roman" w:hAnsi="Times New Roman"/>
          <w:color w:val="000000"/>
          <w:sz w:val="24"/>
          <w:szCs w:val="24"/>
          <w:shd w:val="clear" w:color="auto" w:fill="FFFFFF"/>
          <w:lang w:val="sr-Cyrl-CS"/>
        </w:rPr>
        <w:t xml:space="preserve"> </w:t>
      </w:r>
      <w:r w:rsidRPr="00A544BB">
        <w:rPr>
          <w:rFonts w:ascii="Times New Roman" w:hAnsi="Times New Roman"/>
          <w:color w:val="000000"/>
          <w:sz w:val="24"/>
          <w:szCs w:val="24"/>
          <w:shd w:val="clear" w:color="auto" w:fill="FFFFFF"/>
          <w:lang w:val="sr-Cyrl-CS"/>
        </w:rPr>
        <w:t>износа</w:t>
      </w:r>
      <w:r w:rsidR="00EA7197" w:rsidRPr="00A544BB">
        <w:rPr>
          <w:rFonts w:ascii="Times New Roman" w:hAnsi="Times New Roman"/>
          <w:color w:val="000000"/>
          <w:sz w:val="24"/>
          <w:szCs w:val="24"/>
          <w:shd w:val="clear" w:color="auto" w:fill="FFFFFF"/>
          <w:lang w:val="sr-Cyrl-CS"/>
        </w:rPr>
        <w:t xml:space="preserve"> </w:t>
      </w:r>
      <w:r w:rsidRPr="00A544BB">
        <w:rPr>
          <w:rFonts w:ascii="Times New Roman" w:hAnsi="Times New Roman"/>
          <w:color w:val="000000"/>
          <w:sz w:val="24"/>
          <w:szCs w:val="24"/>
          <w:shd w:val="clear" w:color="auto" w:fill="FFFFFF"/>
          <w:lang w:val="sr-Cyrl-CS"/>
        </w:rPr>
        <w:t>исплаћене</w:t>
      </w:r>
      <w:r w:rsidR="00EA7197" w:rsidRPr="00A544BB">
        <w:rPr>
          <w:rFonts w:ascii="Times New Roman" w:hAnsi="Times New Roman"/>
          <w:color w:val="000000"/>
          <w:sz w:val="24"/>
          <w:szCs w:val="24"/>
          <w:shd w:val="clear" w:color="auto" w:fill="FFFFFF"/>
          <w:lang w:val="sr-Cyrl-CS"/>
        </w:rPr>
        <w:t xml:space="preserve"> </w:t>
      </w:r>
      <w:r w:rsidRPr="00A544BB">
        <w:rPr>
          <w:rFonts w:ascii="Times New Roman" w:hAnsi="Times New Roman"/>
          <w:color w:val="000000"/>
          <w:sz w:val="24"/>
          <w:szCs w:val="24"/>
          <w:shd w:val="clear" w:color="auto" w:fill="FFFFFF"/>
          <w:lang w:val="sr-Cyrl-CS"/>
        </w:rPr>
        <w:t>накнаде</w:t>
      </w:r>
      <w:r w:rsidR="00EA7197">
        <w:rPr>
          <w:color w:val="000000"/>
          <w:sz w:val="18"/>
          <w:szCs w:val="18"/>
          <w:shd w:val="clear" w:color="auto" w:fill="FFFFFF"/>
        </w:rPr>
        <w:t>.</w:t>
      </w:r>
      <w:r w:rsidR="00C45DB5">
        <w:rPr>
          <w:rStyle w:val="FootnoteReference"/>
          <w:rFonts w:ascii="Arial" w:hAnsi="Arial" w:cs="Arial"/>
          <w:color w:val="000000"/>
          <w:sz w:val="18"/>
          <w:szCs w:val="18"/>
          <w:shd w:val="clear" w:color="auto" w:fill="FFFFFF"/>
        </w:rPr>
        <w:footnoteReference w:id="250"/>
      </w:r>
      <w:r w:rsidR="00691172">
        <w:rPr>
          <w:color w:val="000000"/>
          <w:sz w:val="18"/>
          <w:szCs w:val="18"/>
          <w:shd w:val="clear" w:color="auto" w:fill="FFFFFF"/>
          <w:lang w:val="sr-Cyrl-CS"/>
        </w:rPr>
        <w:t xml:space="preserve"> </w:t>
      </w:r>
    </w:p>
    <w:p w:rsidR="00A544BB" w:rsidRPr="00A544BB" w:rsidRDefault="00A544BB" w:rsidP="00C062AC">
      <w:pPr>
        <w:pStyle w:val="normal0"/>
        <w:shd w:val="clear" w:color="auto" w:fill="FFFFFF"/>
        <w:spacing w:before="48" w:beforeAutospacing="0" w:after="48" w:afterAutospacing="0"/>
        <w:rPr>
          <w:color w:val="000000"/>
          <w:lang w:val="sr-Cyrl-CS"/>
        </w:rPr>
      </w:pPr>
    </w:p>
    <w:p w:rsidR="00637D6D" w:rsidRPr="003A57BB" w:rsidRDefault="00C45DB5" w:rsidP="003A57BB">
      <w:pPr>
        <w:ind w:firstLine="708"/>
        <w:jc w:val="both"/>
        <w:rPr>
          <w:rFonts w:ascii="Times New Roman" w:hAnsi="Times New Roman"/>
          <w:sz w:val="24"/>
          <w:szCs w:val="24"/>
          <w:lang w:val="sr-Cyrl-CS"/>
        </w:rPr>
      </w:pPr>
      <w:r w:rsidRPr="003A57BB">
        <w:rPr>
          <w:rFonts w:ascii="Times New Roman" w:hAnsi="Times New Roman"/>
          <w:sz w:val="24"/>
          <w:szCs w:val="24"/>
          <w:lang w:val="sr-Cyrl-CS"/>
        </w:rPr>
        <w:t>Ефективна пореска стопа може бити виша или нижа од номиналне (законске) пореске стопе због различитих корекција рачуноводственог добитка који су наведени (издаци које се не признају као трошак, амортизација итд.) и представља стварну пореску обавезу пореског обвезника.</w:t>
      </w:r>
      <w:r w:rsidR="00691172" w:rsidRPr="003A57BB">
        <w:rPr>
          <w:rFonts w:ascii="Times New Roman" w:hAnsi="Times New Roman"/>
          <w:sz w:val="24"/>
          <w:szCs w:val="24"/>
          <w:lang w:val="sr-Cyrl-CS"/>
        </w:rPr>
        <w:t xml:space="preserve"> </w:t>
      </w:r>
      <w:r w:rsidRPr="003A57BB">
        <w:rPr>
          <w:rFonts w:ascii="Times New Roman" w:hAnsi="Times New Roman"/>
          <w:sz w:val="24"/>
          <w:szCs w:val="24"/>
          <w:lang w:val="sr-Cyrl-CS"/>
        </w:rPr>
        <w:t xml:space="preserve">Имајући у виду широко заступљене пореске подстицаје у Србији и ефективна пореска стопа је међу најнижим међу Европским земљама. </w:t>
      </w:r>
      <w:r w:rsidR="00637D6D" w:rsidRPr="003A57BB">
        <w:rPr>
          <w:rFonts w:ascii="Times New Roman" w:hAnsi="Times New Roman"/>
          <w:sz w:val="24"/>
          <w:szCs w:val="24"/>
          <w:lang w:val="sr-Cyrl-CS"/>
        </w:rPr>
        <w:t xml:space="preserve">Разлике између номиналне (законске) и ефективне (стварне) пореске стопе настају не само због примене законом прописаних пореских олакшица и ослобођења, која умањују пореску основицу, него и због пореске евазије. </w:t>
      </w:r>
    </w:p>
    <w:p w:rsidR="00637D6D" w:rsidRPr="003A57BB" w:rsidRDefault="00B30C09" w:rsidP="003A57BB">
      <w:pPr>
        <w:ind w:firstLine="708"/>
        <w:jc w:val="both"/>
        <w:rPr>
          <w:rFonts w:ascii="Times New Roman" w:hAnsi="Times New Roman"/>
          <w:sz w:val="24"/>
          <w:szCs w:val="24"/>
          <w:lang w:val="sr-Cyrl-CS"/>
        </w:rPr>
      </w:pPr>
      <w:r w:rsidRPr="003A57BB">
        <w:rPr>
          <w:rFonts w:ascii="Times New Roman" w:hAnsi="Times New Roman"/>
          <w:sz w:val="24"/>
          <w:szCs w:val="24"/>
          <w:lang w:val="sr-Cyrl-CS"/>
        </w:rPr>
        <w:t xml:space="preserve">Међутим, више пореске стопе не значе аутоматски и веће пореско оптерећење. </w:t>
      </w:r>
      <w:r w:rsidR="0068752C" w:rsidRPr="003A57BB">
        <w:rPr>
          <w:rFonts w:ascii="Times New Roman" w:hAnsi="Times New Roman"/>
          <w:sz w:val="24"/>
          <w:szCs w:val="24"/>
          <w:lang w:val="sr-Cyrl-CS"/>
        </w:rPr>
        <w:t>Од начина на који се утврђује опорезива добит, односно како се усклађују приходи и расходи, који је обим дедукција и олакшица, подстицаја за инвестиције и сл. зависи к</w:t>
      </w:r>
      <w:r w:rsidRPr="003A57BB">
        <w:rPr>
          <w:rFonts w:ascii="Times New Roman" w:hAnsi="Times New Roman"/>
          <w:sz w:val="24"/>
          <w:szCs w:val="24"/>
          <w:lang w:val="sr-Cyrl-CS"/>
        </w:rPr>
        <w:t>оликом је степену фискалне пресије изложено предузеће</w:t>
      </w:r>
      <w:r w:rsidR="005B1C67" w:rsidRPr="003A57BB">
        <w:rPr>
          <w:rFonts w:ascii="Times New Roman" w:hAnsi="Times New Roman"/>
          <w:sz w:val="24"/>
          <w:szCs w:val="24"/>
          <w:lang w:val="sr-Cyrl-CS"/>
        </w:rPr>
        <w:t>.</w:t>
      </w:r>
      <w:r w:rsidRPr="003A57BB">
        <w:rPr>
          <w:rFonts w:ascii="Times New Roman" w:hAnsi="Times New Roman"/>
          <w:sz w:val="24"/>
          <w:szCs w:val="24"/>
          <w:lang w:val="sr-Cyrl-CS"/>
        </w:rPr>
        <w:t xml:space="preserve"> </w:t>
      </w:r>
      <w:r w:rsidR="005B1C67" w:rsidRPr="003A57BB">
        <w:rPr>
          <w:rFonts w:ascii="Times New Roman" w:hAnsi="Times New Roman"/>
          <w:sz w:val="24"/>
          <w:szCs w:val="24"/>
          <w:lang w:val="sr-Cyrl-CS"/>
        </w:rPr>
        <w:t>Н</w:t>
      </w:r>
      <w:r w:rsidRPr="003A57BB">
        <w:rPr>
          <w:rFonts w:ascii="Times New Roman" w:hAnsi="Times New Roman"/>
          <w:sz w:val="24"/>
          <w:szCs w:val="24"/>
          <w:lang w:val="sr-Cyrl-CS"/>
        </w:rPr>
        <w:t>ајадекватније мерило пореског оптерећења порезом на добит</w:t>
      </w:r>
      <w:r w:rsidR="005B1C67" w:rsidRPr="003A57BB">
        <w:rPr>
          <w:rFonts w:ascii="Times New Roman" w:hAnsi="Times New Roman"/>
          <w:sz w:val="24"/>
          <w:szCs w:val="24"/>
          <w:lang w:val="sr-Cyrl-CS"/>
        </w:rPr>
        <w:t xml:space="preserve"> представља ефективна пореска стопа</w:t>
      </w:r>
      <w:r w:rsidRPr="003A57BB">
        <w:rPr>
          <w:rFonts w:ascii="Times New Roman" w:hAnsi="Times New Roman"/>
          <w:sz w:val="24"/>
          <w:szCs w:val="24"/>
          <w:lang w:val="sr-Cyrl-CS"/>
        </w:rPr>
        <w:t>.</w:t>
      </w:r>
      <w:r w:rsidRPr="003A57BB">
        <w:rPr>
          <w:rStyle w:val="FootnoteReference"/>
          <w:rFonts w:ascii="Times New Roman" w:hAnsi="Times New Roman"/>
          <w:color w:val="000000"/>
          <w:sz w:val="24"/>
          <w:szCs w:val="24"/>
          <w:lang w:val="sr-Cyrl-CS"/>
        </w:rPr>
        <w:footnoteReference w:id="251"/>
      </w:r>
      <w:r w:rsidRPr="003A57BB">
        <w:rPr>
          <w:rFonts w:ascii="Times New Roman" w:hAnsi="Times New Roman"/>
          <w:sz w:val="24"/>
          <w:szCs w:val="24"/>
          <w:lang w:val="sr-Cyrl-CS"/>
        </w:rPr>
        <w:t xml:space="preserve"> </w:t>
      </w:r>
      <w:r w:rsidR="00637D6D" w:rsidRPr="003A57BB">
        <w:rPr>
          <w:rFonts w:ascii="Times New Roman" w:hAnsi="Times New Roman"/>
          <w:sz w:val="24"/>
          <w:szCs w:val="24"/>
          <w:lang w:val="sr-Cyrl-CS"/>
        </w:rPr>
        <w:t>Ефективна пореска стопа</w:t>
      </w:r>
      <w:r w:rsidR="00637D6D" w:rsidRPr="003A57BB">
        <w:rPr>
          <w:rFonts w:ascii="Times New Roman" w:hAnsi="Times New Roman"/>
          <w:sz w:val="24"/>
          <w:szCs w:val="24"/>
        </w:rPr>
        <w:t xml:space="preserve"> се израчунава као удео обрачунатог пореза који још није прилагођен законским одредбама израчунавања</w:t>
      </w:r>
      <w:r w:rsidR="00637D6D" w:rsidRPr="003A57BB">
        <w:rPr>
          <w:rFonts w:ascii="Times New Roman" w:hAnsi="Times New Roman"/>
          <w:sz w:val="24"/>
          <w:szCs w:val="24"/>
          <w:lang w:val="sr-Cyrl-CS"/>
        </w:rPr>
        <w:t xml:space="preserve"> и </w:t>
      </w:r>
      <w:r w:rsidR="00637D6D" w:rsidRPr="003A57BB">
        <w:rPr>
          <w:rFonts w:ascii="Times New Roman" w:hAnsi="Times New Roman"/>
          <w:sz w:val="24"/>
          <w:szCs w:val="24"/>
        </w:rPr>
        <w:t>основица  није коригован</w:t>
      </w:r>
      <w:r w:rsidR="00637D6D" w:rsidRPr="003A57BB">
        <w:rPr>
          <w:rFonts w:ascii="Times New Roman" w:hAnsi="Times New Roman"/>
          <w:sz w:val="24"/>
          <w:szCs w:val="24"/>
          <w:lang w:val="sr-Cyrl-CS"/>
        </w:rPr>
        <w:t xml:space="preserve">а </w:t>
      </w:r>
      <w:r w:rsidR="00637D6D" w:rsidRPr="003A57BB">
        <w:rPr>
          <w:rFonts w:ascii="Times New Roman" w:hAnsi="Times New Roman"/>
          <w:sz w:val="24"/>
          <w:szCs w:val="24"/>
        </w:rPr>
        <w:t xml:space="preserve">у складу са пореским прописима, </w:t>
      </w:r>
      <w:r w:rsidR="00637D6D" w:rsidRPr="003A57BB">
        <w:rPr>
          <w:rFonts w:ascii="Times New Roman" w:hAnsi="Times New Roman"/>
          <w:sz w:val="24"/>
          <w:szCs w:val="24"/>
          <w:lang w:val="sr-Cyrl-CS"/>
        </w:rPr>
        <w:t xml:space="preserve">па због тога </w:t>
      </w:r>
      <w:r w:rsidR="00637D6D" w:rsidRPr="003A57BB">
        <w:rPr>
          <w:rFonts w:ascii="Times New Roman" w:hAnsi="Times New Roman"/>
          <w:sz w:val="24"/>
          <w:szCs w:val="24"/>
        </w:rPr>
        <w:t xml:space="preserve">изражава стварни, економски порески терет </w:t>
      </w:r>
      <w:r w:rsidR="00637D6D" w:rsidRPr="003A57BB">
        <w:rPr>
          <w:rFonts w:ascii="Times New Roman" w:hAnsi="Times New Roman"/>
          <w:sz w:val="24"/>
          <w:szCs w:val="24"/>
          <w:lang w:val="sr-Cyrl-CS"/>
        </w:rPr>
        <w:t>правног лица.</w:t>
      </w:r>
      <w:r w:rsidR="003A57BB">
        <w:rPr>
          <w:rFonts w:ascii="Times New Roman" w:hAnsi="Times New Roman"/>
          <w:sz w:val="24"/>
          <w:szCs w:val="24"/>
          <w:lang w:val="sr-Cyrl-CS"/>
        </w:rPr>
        <w:t xml:space="preserve"> </w:t>
      </w:r>
    </w:p>
    <w:p w:rsidR="00637D6D" w:rsidRDefault="00637D6D" w:rsidP="00691172">
      <w:pPr>
        <w:pStyle w:val="normal0"/>
        <w:shd w:val="clear" w:color="auto" w:fill="FFFFFF"/>
        <w:spacing w:before="48" w:beforeAutospacing="0" w:after="48" w:afterAutospacing="0"/>
        <w:ind w:firstLine="708"/>
        <w:jc w:val="both"/>
        <w:rPr>
          <w:color w:val="000000"/>
          <w:lang w:val="sr-Cyrl-CS"/>
        </w:rPr>
      </w:pPr>
    </w:p>
    <w:p w:rsidR="00060971" w:rsidRDefault="00060971" w:rsidP="00C062AC">
      <w:pPr>
        <w:pStyle w:val="normal0"/>
        <w:shd w:val="clear" w:color="auto" w:fill="FFFFFF"/>
        <w:spacing w:before="48" w:beforeAutospacing="0" w:after="48" w:afterAutospacing="0"/>
        <w:rPr>
          <w:color w:val="000000"/>
          <w:lang w:val="sr-Cyrl-CS"/>
        </w:rPr>
      </w:pPr>
    </w:p>
    <w:p w:rsidR="00BE1A29" w:rsidRDefault="00BE1A29" w:rsidP="00C062AC">
      <w:pPr>
        <w:pStyle w:val="normal0"/>
        <w:shd w:val="clear" w:color="auto" w:fill="FFFFFF"/>
        <w:spacing w:before="48" w:beforeAutospacing="0" w:after="48" w:afterAutospacing="0"/>
        <w:rPr>
          <w:color w:val="000000"/>
          <w:lang w:val="sr-Cyrl-CS"/>
        </w:rPr>
      </w:pPr>
    </w:p>
    <w:p w:rsidR="00BE1A29" w:rsidRDefault="00BE1A29" w:rsidP="00C062AC">
      <w:pPr>
        <w:pStyle w:val="normal0"/>
        <w:shd w:val="clear" w:color="auto" w:fill="FFFFFF"/>
        <w:spacing w:before="48" w:beforeAutospacing="0" w:after="48" w:afterAutospacing="0"/>
        <w:rPr>
          <w:color w:val="000000"/>
          <w:lang w:val="sr-Cyrl-CS"/>
        </w:rPr>
      </w:pPr>
    </w:p>
    <w:p w:rsidR="00BE1A29" w:rsidRDefault="00BE1A29" w:rsidP="00C062AC">
      <w:pPr>
        <w:pStyle w:val="normal0"/>
        <w:shd w:val="clear" w:color="auto" w:fill="FFFFFF"/>
        <w:spacing w:before="48" w:beforeAutospacing="0" w:after="48" w:afterAutospacing="0"/>
        <w:rPr>
          <w:color w:val="000000"/>
          <w:lang w:val="sr-Cyrl-CS"/>
        </w:rPr>
      </w:pPr>
    </w:p>
    <w:p w:rsidR="00BE1A29" w:rsidRDefault="00BE1A29" w:rsidP="00C062AC">
      <w:pPr>
        <w:pStyle w:val="normal0"/>
        <w:shd w:val="clear" w:color="auto" w:fill="FFFFFF"/>
        <w:spacing w:before="48" w:beforeAutospacing="0" w:after="48" w:afterAutospacing="0"/>
        <w:rPr>
          <w:color w:val="000000"/>
          <w:lang w:val="sr-Cyrl-CS"/>
        </w:rPr>
      </w:pPr>
    </w:p>
    <w:p w:rsidR="00BE1A29" w:rsidRDefault="00BE1A29" w:rsidP="00C062AC">
      <w:pPr>
        <w:pStyle w:val="normal0"/>
        <w:shd w:val="clear" w:color="auto" w:fill="FFFFFF"/>
        <w:spacing w:before="48" w:beforeAutospacing="0" w:after="48" w:afterAutospacing="0"/>
        <w:rPr>
          <w:color w:val="000000"/>
        </w:rPr>
      </w:pPr>
    </w:p>
    <w:p w:rsidR="00B90C1E" w:rsidRDefault="00B90C1E" w:rsidP="00C062AC">
      <w:pPr>
        <w:pStyle w:val="normal0"/>
        <w:shd w:val="clear" w:color="auto" w:fill="FFFFFF"/>
        <w:spacing w:before="48" w:beforeAutospacing="0" w:after="48" w:afterAutospacing="0"/>
        <w:rPr>
          <w:color w:val="000000"/>
        </w:rPr>
      </w:pPr>
    </w:p>
    <w:p w:rsidR="00B90C1E" w:rsidRDefault="00B90C1E" w:rsidP="00C062AC">
      <w:pPr>
        <w:pStyle w:val="normal0"/>
        <w:shd w:val="clear" w:color="auto" w:fill="FFFFFF"/>
        <w:spacing w:before="48" w:beforeAutospacing="0" w:after="48" w:afterAutospacing="0"/>
        <w:rPr>
          <w:color w:val="000000"/>
        </w:rPr>
      </w:pPr>
    </w:p>
    <w:p w:rsidR="00B90C1E" w:rsidRDefault="00B90C1E" w:rsidP="00C062AC">
      <w:pPr>
        <w:pStyle w:val="normal0"/>
        <w:shd w:val="clear" w:color="auto" w:fill="FFFFFF"/>
        <w:spacing w:before="48" w:beforeAutospacing="0" w:after="48" w:afterAutospacing="0"/>
        <w:rPr>
          <w:color w:val="000000"/>
        </w:rPr>
      </w:pPr>
    </w:p>
    <w:p w:rsidR="00B90C1E" w:rsidRDefault="00B90C1E" w:rsidP="00C062AC">
      <w:pPr>
        <w:pStyle w:val="normal0"/>
        <w:shd w:val="clear" w:color="auto" w:fill="FFFFFF"/>
        <w:spacing w:before="48" w:beforeAutospacing="0" w:after="48" w:afterAutospacing="0"/>
        <w:rPr>
          <w:color w:val="000000"/>
          <w:lang w:val="sr-Cyrl-CS"/>
        </w:rPr>
      </w:pPr>
    </w:p>
    <w:p w:rsidR="00A22DD5" w:rsidRDefault="00A22DD5" w:rsidP="00C062AC">
      <w:pPr>
        <w:pStyle w:val="normal0"/>
        <w:shd w:val="clear" w:color="auto" w:fill="FFFFFF"/>
        <w:spacing w:before="48" w:beforeAutospacing="0" w:after="48" w:afterAutospacing="0"/>
        <w:rPr>
          <w:color w:val="000000"/>
          <w:lang w:val="sr-Cyrl-CS"/>
        </w:rPr>
      </w:pPr>
    </w:p>
    <w:p w:rsidR="00A22DD5" w:rsidRDefault="00A22DD5" w:rsidP="00C062AC">
      <w:pPr>
        <w:pStyle w:val="normal0"/>
        <w:shd w:val="clear" w:color="auto" w:fill="FFFFFF"/>
        <w:spacing w:before="48" w:beforeAutospacing="0" w:after="48" w:afterAutospacing="0"/>
        <w:rPr>
          <w:color w:val="000000"/>
          <w:lang w:val="sr-Cyrl-CS"/>
        </w:rPr>
      </w:pPr>
    </w:p>
    <w:p w:rsidR="00A22DD5" w:rsidRPr="00A22DD5" w:rsidRDefault="00A22DD5" w:rsidP="00C062AC">
      <w:pPr>
        <w:pStyle w:val="normal0"/>
        <w:shd w:val="clear" w:color="auto" w:fill="FFFFFF"/>
        <w:spacing w:before="48" w:beforeAutospacing="0" w:after="48" w:afterAutospacing="0"/>
        <w:rPr>
          <w:color w:val="000000"/>
          <w:lang w:val="sr-Cyrl-CS"/>
        </w:rPr>
      </w:pPr>
    </w:p>
    <w:p w:rsidR="003A57BB" w:rsidRPr="003A57BB" w:rsidRDefault="003A57BB" w:rsidP="00C062AC">
      <w:pPr>
        <w:pStyle w:val="normal0"/>
        <w:shd w:val="clear" w:color="auto" w:fill="FFFFFF"/>
        <w:spacing w:before="48" w:beforeAutospacing="0" w:after="48" w:afterAutospacing="0"/>
        <w:rPr>
          <w:color w:val="000000"/>
          <w:lang w:val="sr-Cyrl-CS"/>
        </w:rPr>
      </w:pPr>
    </w:p>
    <w:p w:rsidR="009C4F98" w:rsidRDefault="00A74A8E" w:rsidP="009C4F98">
      <w:pPr>
        <w:jc w:val="both"/>
        <w:rPr>
          <w:rFonts w:ascii="Times New Roman" w:hAnsi="Times New Roman"/>
          <w:b/>
          <w:sz w:val="24"/>
          <w:szCs w:val="24"/>
          <w:lang w:val="sr-Cyrl-CS"/>
        </w:rPr>
      </w:pPr>
      <w:r>
        <w:rPr>
          <w:rFonts w:ascii="Times New Roman" w:hAnsi="Times New Roman"/>
          <w:b/>
          <w:sz w:val="24"/>
          <w:szCs w:val="24"/>
          <w:lang w:val="sr-Cyrl-CS"/>
        </w:rPr>
        <w:lastRenderedPageBreak/>
        <w:t>Табела 9</w:t>
      </w:r>
      <w:r w:rsidR="00D57F68">
        <w:rPr>
          <w:rFonts w:ascii="Times New Roman" w:hAnsi="Times New Roman"/>
          <w:b/>
          <w:sz w:val="24"/>
          <w:szCs w:val="24"/>
          <w:lang w:val="sr-Cyrl-CS"/>
        </w:rPr>
        <w:t xml:space="preserve">. </w:t>
      </w:r>
      <w:r w:rsidR="009C4F98">
        <w:rPr>
          <w:rFonts w:ascii="Times New Roman" w:hAnsi="Times New Roman"/>
          <w:b/>
          <w:sz w:val="24"/>
          <w:szCs w:val="24"/>
          <w:lang w:val="sr-Cyrl-CS"/>
        </w:rPr>
        <w:t>Пореска стопа пореза на добит корпорација за период 2006-2013</w:t>
      </w:r>
      <w:r w:rsidR="005961D1">
        <w:rPr>
          <w:rFonts w:ascii="Times New Roman" w:hAnsi="Times New Roman"/>
          <w:b/>
          <w:sz w:val="24"/>
          <w:szCs w:val="24"/>
          <w:lang w:val="sr-Cyrl-CS"/>
        </w:rPr>
        <w:t xml:space="preserve"> у %</w:t>
      </w:r>
      <w:r w:rsidR="009C4F98">
        <w:rPr>
          <w:rStyle w:val="FootnoteReference"/>
          <w:rFonts w:ascii="Times New Roman" w:hAnsi="Times New Roman"/>
          <w:b/>
          <w:sz w:val="24"/>
          <w:szCs w:val="24"/>
          <w:lang w:val="sr-Cyrl-CS"/>
        </w:rPr>
        <w:footnoteReference w:id="252"/>
      </w:r>
    </w:p>
    <w:p w:rsidR="00D57F68" w:rsidRDefault="00D57F68" w:rsidP="009C4F98">
      <w:pPr>
        <w:jc w:val="both"/>
        <w:rPr>
          <w:rFonts w:ascii="Times New Roman" w:hAnsi="Times New Roman"/>
          <w:b/>
          <w:sz w:val="24"/>
          <w:szCs w:val="24"/>
          <w:lang w:val="sr-Cyrl-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61"/>
        <w:gridCol w:w="977"/>
        <w:gridCol w:w="977"/>
        <w:gridCol w:w="978"/>
        <w:gridCol w:w="978"/>
        <w:gridCol w:w="979"/>
        <w:gridCol w:w="979"/>
        <w:gridCol w:w="979"/>
        <w:gridCol w:w="979"/>
      </w:tblGrid>
      <w:tr w:rsidR="009C4F98" w:rsidRPr="0039048B" w:rsidTr="0039048B">
        <w:tc>
          <w:tcPr>
            <w:tcW w:w="1023" w:type="dxa"/>
          </w:tcPr>
          <w:p w:rsidR="009C4F98" w:rsidRPr="0039048B" w:rsidRDefault="009C4F98" w:rsidP="0039048B">
            <w:pPr>
              <w:jc w:val="both"/>
              <w:rPr>
                <w:rFonts w:ascii="Times New Roman" w:hAnsi="Times New Roman"/>
                <w:b/>
                <w:sz w:val="24"/>
                <w:szCs w:val="24"/>
                <w:lang w:val="sr-Cyrl-CS"/>
              </w:rPr>
            </w:pP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2006</w:t>
            </w: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2007</w:t>
            </w: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2008</w:t>
            </w: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2009</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2010</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2011</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2012</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2013</w:t>
            </w:r>
          </w:p>
        </w:tc>
      </w:tr>
      <w:tr w:rsidR="009C4F98" w:rsidRPr="0039048B" w:rsidTr="0039048B">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Аустралија</w:t>
            </w: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30</w:t>
            </w: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30</w:t>
            </w: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30</w:t>
            </w: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30</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30</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30</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30</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30</w:t>
            </w:r>
          </w:p>
        </w:tc>
      </w:tr>
      <w:tr w:rsidR="009C4F98" w:rsidRPr="0039048B" w:rsidTr="0039048B">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Аустрија</w:t>
            </w: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25</w:t>
            </w: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25</w:t>
            </w: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25</w:t>
            </w: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25</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25</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25</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25</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25</w:t>
            </w:r>
          </w:p>
        </w:tc>
      </w:tr>
      <w:tr w:rsidR="009C4F98" w:rsidRPr="0039048B" w:rsidTr="0039048B">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Белгија</w:t>
            </w: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33,99</w:t>
            </w: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33,99</w:t>
            </w: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33,99</w:t>
            </w: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33,99</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33,99</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33,99</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33,99</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33,99</w:t>
            </w:r>
          </w:p>
        </w:tc>
      </w:tr>
      <w:tr w:rsidR="009C4F98" w:rsidRPr="0039048B" w:rsidTr="0039048B">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Бразил</w:t>
            </w: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25</w:t>
            </w: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25</w:t>
            </w: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25</w:t>
            </w: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25</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25</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25</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25</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25</w:t>
            </w:r>
          </w:p>
        </w:tc>
      </w:tr>
      <w:tr w:rsidR="009C4F98" w:rsidRPr="0039048B" w:rsidTr="0039048B">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Словенија</w:t>
            </w: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25</w:t>
            </w: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23</w:t>
            </w: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22</w:t>
            </w: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21</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20</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20</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18</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17</w:t>
            </w:r>
          </w:p>
        </w:tc>
      </w:tr>
      <w:tr w:rsidR="009C4F98" w:rsidRPr="0039048B" w:rsidTr="0039048B">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Канада</w:t>
            </w: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36,1</w:t>
            </w: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36,1</w:t>
            </w: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33,5</w:t>
            </w: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33</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31</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28</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26</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26</w:t>
            </w:r>
          </w:p>
        </w:tc>
      </w:tr>
      <w:tr w:rsidR="009C4F98" w:rsidRPr="0039048B" w:rsidTr="0039048B">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Шведска</w:t>
            </w: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28</w:t>
            </w: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28</w:t>
            </w: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28</w:t>
            </w: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26,3</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26,3</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26,3</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26,3</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22</w:t>
            </w:r>
          </w:p>
        </w:tc>
      </w:tr>
      <w:tr w:rsidR="009C4F98" w:rsidRPr="0039048B" w:rsidTr="0039048B">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Африка просек</w:t>
            </w: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30,82</w:t>
            </w: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30,56</w:t>
            </w: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28,65</w:t>
            </w: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28,75</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28,38</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28,55</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29,02</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28,57</w:t>
            </w:r>
          </w:p>
        </w:tc>
      </w:tr>
      <w:tr w:rsidR="009C4F98" w:rsidRPr="0039048B" w:rsidTr="0039048B">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Азија просек</w:t>
            </w: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28,99</w:t>
            </w: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28,46</w:t>
            </w: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27,99</w:t>
            </w: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25,73</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23,96</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23,1</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22,89</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22,49</w:t>
            </w:r>
          </w:p>
        </w:tc>
      </w:tr>
      <w:tr w:rsidR="009C4F98" w:rsidRPr="0039048B" w:rsidTr="0039048B">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Латинска Америка просек</w:t>
            </w: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29,07</w:t>
            </w: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28,3</w:t>
            </w: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27,96</w:t>
            </w: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27,96</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27,52</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29,02</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28,3</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27,61</w:t>
            </w:r>
          </w:p>
        </w:tc>
      </w:tr>
      <w:tr w:rsidR="009C4F98" w:rsidRPr="0039048B" w:rsidTr="0039048B">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Европа просек</w:t>
            </w: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23,7</w:t>
            </w: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22,99</w:t>
            </w: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21,95</w:t>
            </w: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21,64</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21,46</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20,81</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20,42</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20,6</w:t>
            </w:r>
          </w:p>
        </w:tc>
      </w:tr>
      <w:tr w:rsidR="009C4F98" w:rsidRPr="0039048B" w:rsidTr="0039048B">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ОЕЦД просек</w:t>
            </w: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27,67</w:t>
            </w: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27</w:t>
            </w: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25,99</w:t>
            </w: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25,64</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25,7</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25,4</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25,15</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25,32</w:t>
            </w:r>
          </w:p>
        </w:tc>
      </w:tr>
      <w:tr w:rsidR="009C4F98" w:rsidRPr="0039048B" w:rsidTr="0039048B">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ЕУ просек</w:t>
            </w: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25,01</w:t>
            </w: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24,11</w:t>
            </w: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23,29</w:t>
            </w: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23,22</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23,04</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22,8</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22,6</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22,85</w:t>
            </w:r>
          </w:p>
        </w:tc>
      </w:tr>
      <w:tr w:rsidR="009C4F98" w:rsidRPr="0039048B" w:rsidTr="0039048B">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Глобални просек</w:t>
            </w: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27,5</w:t>
            </w: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26,95</w:t>
            </w: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26,1</w:t>
            </w:r>
          </w:p>
        </w:tc>
        <w:tc>
          <w:tcPr>
            <w:tcW w:w="1023"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25,38</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24,69</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24,5</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24,4</w:t>
            </w:r>
          </w:p>
        </w:tc>
        <w:tc>
          <w:tcPr>
            <w:tcW w:w="1024" w:type="dxa"/>
          </w:tcPr>
          <w:p w:rsidR="009C4F98" w:rsidRPr="0039048B" w:rsidRDefault="009C4F98" w:rsidP="0039048B">
            <w:pPr>
              <w:jc w:val="both"/>
              <w:rPr>
                <w:rFonts w:ascii="Times New Roman" w:hAnsi="Times New Roman"/>
                <w:b/>
                <w:sz w:val="24"/>
                <w:szCs w:val="24"/>
                <w:lang w:val="sr-Cyrl-CS"/>
              </w:rPr>
            </w:pPr>
            <w:r w:rsidRPr="0039048B">
              <w:rPr>
                <w:rFonts w:ascii="Times New Roman" w:hAnsi="Times New Roman"/>
                <w:b/>
                <w:sz w:val="24"/>
                <w:szCs w:val="24"/>
                <w:lang w:val="sr-Cyrl-CS"/>
              </w:rPr>
              <w:t>24,08</w:t>
            </w:r>
          </w:p>
        </w:tc>
      </w:tr>
    </w:tbl>
    <w:p w:rsidR="00C062AC" w:rsidRDefault="00C062AC" w:rsidP="00C062AC">
      <w:pPr>
        <w:pStyle w:val="normal0"/>
        <w:shd w:val="clear" w:color="auto" w:fill="FFFFFF"/>
        <w:spacing w:before="48" w:beforeAutospacing="0" w:after="48" w:afterAutospacing="0"/>
        <w:rPr>
          <w:color w:val="000000"/>
          <w:lang w:val="sr-Cyrl-CS"/>
        </w:rPr>
      </w:pPr>
    </w:p>
    <w:p w:rsidR="00051BD7" w:rsidRDefault="00051BD7" w:rsidP="00B30C09">
      <w:pPr>
        <w:pStyle w:val="normal0"/>
        <w:shd w:val="clear" w:color="auto" w:fill="FFFFFF"/>
        <w:spacing w:before="48" w:beforeAutospacing="0" w:after="48" w:afterAutospacing="0"/>
        <w:ind w:firstLine="708"/>
        <w:jc w:val="both"/>
        <w:rPr>
          <w:color w:val="000000"/>
          <w:lang w:val="sr-Cyrl-CS"/>
        </w:rPr>
      </w:pPr>
      <w:r>
        <w:rPr>
          <w:color w:val="000000"/>
          <w:lang w:val="sr-Cyrl-CS"/>
        </w:rPr>
        <w:t xml:space="preserve">Пореске стопе пореза на добит корпорација су углавном </w:t>
      </w:r>
      <w:r w:rsidR="003C18C7">
        <w:rPr>
          <w:color w:val="000000"/>
          <w:lang w:val="sr-Cyrl-CS"/>
        </w:rPr>
        <w:t>пр</w:t>
      </w:r>
      <w:r w:rsidR="00BF5413">
        <w:rPr>
          <w:color w:val="000000"/>
          <w:lang w:val="sr-Cyrl-CS"/>
        </w:rPr>
        <w:t>опорционалне и крећу се око 30%</w:t>
      </w:r>
      <w:r>
        <w:rPr>
          <w:color w:val="000000"/>
          <w:lang w:val="sr-Cyrl-CS"/>
        </w:rPr>
        <w:t xml:space="preserve"> </w:t>
      </w:r>
      <w:r w:rsidR="00752AFB">
        <w:rPr>
          <w:color w:val="000000"/>
          <w:lang w:val="sr-Cyrl-CS"/>
        </w:rPr>
        <w:t>па је по</w:t>
      </w:r>
      <w:r w:rsidR="00917BFB">
        <w:rPr>
          <w:color w:val="000000"/>
          <w:lang w:val="sr-Cyrl-CS"/>
        </w:rPr>
        <w:t>реска стопа у Србији од свега 15</w:t>
      </w:r>
      <w:r w:rsidR="00752AFB">
        <w:rPr>
          <w:color w:val="000000"/>
          <w:lang w:val="sr-Cyrl-CS"/>
        </w:rPr>
        <w:t>% изразито ниска. Због тога би пореским реформама требало повећати билан</w:t>
      </w:r>
      <w:r w:rsidR="00660132">
        <w:rPr>
          <w:color w:val="000000"/>
          <w:lang w:val="sr-Cyrl-CS"/>
        </w:rPr>
        <w:t>сни значај овог пореског облика и повећати пореске стопе чиме не би била нарушена пореска конкурентност наше земље, нити би то утицало на стране инвестиције.</w:t>
      </w:r>
      <w:r w:rsidR="00917BFB">
        <w:rPr>
          <w:color w:val="000000"/>
          <w:lang w:val="sr-Cyrl-CS"/>
        </w:rPr>
        <w:t xml:space="preserve"> </w:t>
      </w:r>
    </w:p>
    <w:p w:rsidR="00B30C09" w:rsidRDefault="00B30C09" w:rsidP="00B30C09">
      <w:pPr>
        <w:pStyle w:val="normal0"/>
        <w:shd w:val="clear" w:color="auto" w:fill="FFFFFF"/>
        <w:spacing w:before="48" w:beforeAutospacing="0" w:after="48" w:afterAutospacing="0"/>
        <w:jc w:val="both"/>
        <w:rPr>
          <w:color w:val="000000"/>
          <w:lang w:val="sr-Cyrl-CS"/>
        </w:rPr>
      </w:pPr>
    </w:p>
    <w:p w:rsidR="00A83C7E" w:rsidRPr="003A57BB" w:rsidRDefault="00216C06" w:rsidP="003A57BB">
      <w:pPr>
        <w:ind w:firstLine="708"/>
        <w:jc w:val="both"/>
        <w:rPr>
          <w:rFonts w:ascii="Times New Roman" w:hAnsi="Times New Roman"/>
          <w:sz w:val="24"/>
          <w:szCs w:val="24"/>
          <w:lang w:val="sr-Cyrl-CS"/>
        </w:rPr>
      </w:pPr>
      <w:r w:rsidRPr="003A57BB">
        <w:rPr>
          <w:rFonts w:ascii="Times New Roman" w:hAnsi="Times New Roman"/>
          <w:sz w:val="24"/>
          <w:szCs w:val="24"/>
          <w:lang w:val="sr-Cyrl-CS"/>
        </w:rPr>
        <w:t>Емпиријс</w:t>
      </w:r>
      <w:r w:rsidR="00917BFB" w:rsidRPr="003A57BB">
        <w:rPr>
          <w:rFonts w:ascii="Times New Roman" w:hAnsi="Times New Roman"/>
          <w:sz w:val="24"/>
          <w:szCs w:val="24"/>
          <w:lang w:val="sr-Cyrl-CS"/>
        </w:rPr>
        <w:t>ка истраживања показују да од ос</w:t>
      </w:r>
      <w:r w:rsidRPr="003A57BB">
        <w:rPr>
          <w:rFonts w:ascii="Times New Roman" w:hAnsi="Times New Roman"/>
          <w:sz w:val="24"/>
          <w:szCs w:val="24"/>
          <w:lang w:val="sr-Cyrl-CS"/>
        </w:rPr>
        <w:t>новних пореских облика најмањи утицај на привредни раст има порез на имовину, затим порез на потрошњу, па порез на доходак грађана, док је утицај пореза на добит предузећа на привредни раст најизраженији.</w:t>
      </w:r>
      <w:r w:rsidRPr="003A57BB">
        <w:rPr>
          <w:rStyle w:val="FootnoteReference"/>
          <w:rFonts w:ascii="Times New Roman" w:hAnsi="Times New Roman"/>
          <w:color w:val="000000"/>
          <w:sz w:val="24"/>
          <w:szCs w:val="24"/>
          <w:lang w:val="sr-Cyrl-CS"/>
        </w:rPr>
        <w:footnoteReference w:id="253"/>
      </w:r>
      <w:r w:rsidRPr="003A57BB">
        <w:rPr>
          <w:rFonts w:ascii="Times New Roman" w:hAnsi="Times New Roman"/>
          <w:sz w:val="24"/>
          <w:szCs w:val="24"/>
          <w:lang w:val="sr-Cyrl-CS"/>
        </w:rPr>
        <w:t xml:space="preserve"> Због тога је логично да се реформа пореског система заснива на повећању пореских облика чији утицај на привредни раст није изражен и обрнуто. Како порез на добит правних лица утиче на привредни раст, повећање страних улагања, трансфер савремених технологија у земљу, реформи овог пореског облика треба приступити са посебном пажњом.</w:t>
      </w:r>
      <w:r w:rsidR="00B30C09" w:rsidRPr="003A57BB">
        <w:rPr>
          <w:rFonts w:ascii="Times New Roman" w:hAnsi="Times New Roman"/>
          <w:sz w:val="24"/>
          <w:szCs w:val="24"/>
          <w:lang w:val="sr-Cyrl-CS"/>
        </w:rPr>
        <w:t xml:space="preserve"> </w:t>
      </w:r>
    </w:p>
    <w:p w:rsidR="00D57F68" w:rsidRPr="003A57BB" w:rsidRDefault="00A83C7E" w:rsidP="003A57BB">
      <w:pPr>
        <w:ind w:firstLine="708"/>
        <w:jc w:val="both"/>
        <w:rPr>
          <w:rFonts w:ascii="Times New Roman" w:hAnsi="Times New Roman"/>
          <w:sz w:val="24"/>
          <w:szCs w:val="24"/>
          <w:lang w:val="sr-Cyrl-CS"/>
        </w:rPr>
      </w:pPr>
      <w:r w:rsidRPr="003A57BB">
        <w:rPr>
          <w:rFonts w:ascii="Times New Roman" w:hAnsi="Times New Roman"/>
          <w:sz w:val="24"/>
          <w:szCs w:val="24"/>
          <w:lang w:val="sr-Cyrl-CS"/>
        </w:rPr>
        <w:t xml:space="preserve">Због тога су реформе у области пореза на добит предузећа у нашој земљи имале за циљ да се преко снижених пореских стопа и ширења пореских олакшица повећа прилив страних инвестиција и убрза привредни раст и због свега тога је овај порески облик мање билансно издашан. Међутим, очекивани резултати су изостали, иако је пореска стопа, како је наведено, знатно нижа. Будуће реформе овог пореског облика, утолико пре, треба да имају за циљ повећање билансне издашности овог пореског облика и подстицајно деловање на привредни раст. </w:t>
      </w:r>
    </w:p>
    <w:p w:rsidR="005F7863" w:rsidRPr="003A57BB" w:rsidRDefault="00813D05" w:rsidP="003A57BB">
      <w:pPr>
        <w:ind w:firstLine="708"/>
        <w:jc w:val="both"/>
        <w:rPr>
          <w:rFonts w:ascii="Times New Roman" w:hAnsi="Times New Roman"/>
          <w:sz w:val="24"/>
          <w:szCs w:val="24"/>
          <w:lang w:val="sr-Cyrl-CS"/>
        </w:rPr>
      </w:pPr>
      <w:r w:rsidRPr="003A57BB">
        <w:rPr>
          <w:rFonts w:ascii="Times New Roman" w:hAnsi="Times New Roman"/>
          <w:sz w:val="24"/>
          <w:szCs w:val="24"/>
          <w:lang w:val="sr-Cyrl-CS"/>
        </w:rPr>
        <w:t>Законске измене су предузете, између осталог</w:t>
      </w:r>
      <w:r w:rsidR="00BF5413" w:rsidRPr="003A57BB">
        <w:rPr>
          <w:rFonts w:ascii="Times New Roman" w:hAnsi="Times New Roman"/>
          <w:sz w:val="24"/>
          <w:szCs w:val="24"/>
          <w:lang w:val="sr-Cyrl-CS"/>
        </w:rPr>
        <w:t>, и са циљем да се смањи евазија</w:t>
      </w:r>
      <w:r w:rsidRPr="003A57BB">
        <w:rPr>
          <w:rFonts w:ascii="Times New Roman" w:hAnsi="Times New Roman"/>
          <w:sz w:val="24"/>
          <w:szCs w:val="24"/>
          <w:lang w:val="sr-Cyrl-CS"/>
        </w:rPr>
        <w:t xml:space="preserve"> пореза, п</w:t>
      </w:r>
      <w:r w:rsidR="00BF5413" w:rsidRPr="003A57BB">
        <w:rPr>
          <w:rFonts w:ascii="Times New Roman" w:hAnsi="Times New Roman"/>
          <w:sz w:val="24"/>
          <w:szCs w:val="24"/>
          <w:lang w:val="sr-Cyrl-CS"/>
        </w:rPr>
        <w:t>а је јаснијим законским регулиса</w:t>
      </w:r>
      <w:r w:rsidRPr="003A57BB">
        <w:rPr>
          <w:rFonts w:ascii="Times New Roman" w:hAnsi="Times New Roman"/>
          <w:sz w:val="24"/>
          <w:szCs w:val="24"/>
          <w:lang w:val="sr-Cyrl-CS"/>
        </w:rPr>
        <w:t>њем смањен простор за постојање правних празнина, које се често злоупотребљавају у циљу умањења пореске обавезе. У циљу смањења евазије пореза предузете су и посебне мере како би се с</w:t>
      </w:r>
      <w:r w:rsidR="00BF5413" w:rsidRPr="003A57BB">
        <w:rPr>
          <w:rFonts w:ascii="Times New Roman" w:hAnsi="Times New Roman"/>
          <w:sz w:val="24"/>
          <w:szCs w:val="24"/>
          <w:lang w:val="sr-Cyrl-CS"/>
        </w:rPr>
        <w:t>мањио простор да се учине скупљи</w:t>
      </w:r>
      <w:r w:rsidRPr="003A57BB">
        <w:rPr>
          <w:rFonts w:ascii="Times New Roman" w:hAnsi="Times New Roman"/>
          <w:sz w:val="24"/>
          <w:szCs w:val="24"/>
          <w:lang w:val="sr-Cyrl-CS"/>
        </w:rPr>
        <w:t xml:space="preserve">м активности усмерене на избегавање пореза на добит. Тако се  у систем опорезивања добити </w:t>
      </w:r>
      <w:r w:rsidR="005F7863" w:rsidRPr="003A57BB">
        <w:rPr>
          <w:rFonts w:ascii="Times New Roman" w:hAnsi="Times New Roman"/>
          <w:sz w:val="24"/>
          <w:szCs w:val="24"/>
          <w:lang w:val="sr-Cyrl-CS"/>
        </w:rPr>
        <w:t>уводи појам јурисдикције са преференцијалним пореским системом (тзв. порески рајеви). Наиме,</w:t>
      </w:r>
      <w:r w:rsidRPr="003A57BB">
        <w:rPr>
          <w:rFonts w:ascii="Times New Roman" w:hAnsi="Times New Roman"/>
          <w:sz w:val="24"/>
          <w:szCs w:val="24"/>
          <w:lang w:val="sr-Cyrl-CS"/>
        </w:rPr>
        <w:t xml:space="preserve"> уводе </w:t>
      </w:r>
      <w:r w:rsidR="005F7863" w:rsidRPr="003A57BB">
        <w:rPr>
          <w:rFonts w:ascii="Times New Roman" w:hAnsi="Times New Roman"/>
          <w:sz w:val="24"/>
          <w:szCs w:val="24"/>
          <w:lang w:val="sr-Cyrl-CS"/>
        </w:rPr>
        <w:t>се</w:t>
      </w:r>
      <w:r w:rsidRPr="003A57BB">
        <w:rPr>
          <w:rFonts w:ascii="Times New Roman" w:hAnsi="Times New Roman"/>
          <w:sz w:val="24"/>
          <w:szCs w:val="24"/>
          <w:lang w:val="sr-Cyrl-CS"/>
        </w:rPr>
        <w:t xml:space="preserve"> посебна правила </w:t>
      </w:r>
      <w:r w:rsidR="005F7863" w:rsidRPr="003A57BB">
        <w:rPr>
          <w:rFonts w:ascii="Times New Roman" w:hAnsi="Times New Roman"/>
          <w:sz w:val="24"/>
          <w:szCs w:val="24"/>
          <w:lang w:val="sr-Cyrl-CS"/>
        </w:rPr>
        <w:t xml:space="preserve">опорезивања </w:t>
      </w:r>
      <w:r w:rsidRPr="003A57BB">
        <w:rPr>
          <w:rFonts w:ascii="Times New Roman" w:hAnsi="Times New Roman"/>
          <w:sz w:val="24"/>
          <w:szCs w:val="24"/>
          <w:lang w:val="sr-Cyrl-CS"/>
        </w:rPr>
        <w:t xml:space="preserve">нерезидентним правним лицима </w:t>
      </w:r>
      <w:r w:rsidR="00BF5413" w:rsidRPr="003A57BB">
        <w:rPr>
          <w:rFonts w:ascii="Times New Roman" w:hAnsi="Times New Roman"/>
          <w:sz w:val="24"/>
          <w:szCs w:val="24"/>
          <w:lang w:val="sr-Cyrl-CS"/>
        </w:rPr>
        <w:t>из</w:t>
      </w:r>
      <w:r w:rsidRPr="003A57BB">
        <w:rPr>
          <w:rFonts w:ascii="Times New Roman" w:hAnsi="Times New Roman"/>
          <w:sz w:val="24"/>
          <w:szCs w:val="24"/>
          <w:lang w:val="sr-Cyrl-CS"/>
        </w:rPr>
        <w:t xml:space="preserve"> јурисдикција са преференцијалним пореским системом (правна лица која су основана, имају регистровано седиште или место стварне управе у оваквим јурисдикцијама).</w:t>
      </w:r>
      <w:r w:rsidR="005F7863" w:rsidRPr="003A57BB">
        <w:rPr>
          <w:rFonts w:ascii="Times New Roman" w:hAnsi="Times New Roman"/>
          <w:sz w:val="24"/>
          <w:szCs w:val="24"/>
          <w:lang w:val="sr-Cyrl-CS"/>
        </w:rPr>
        <w:t xml:space="preserve"> Као што је наведено у претходном излагању уводи се стопа од 25%. Међутим, имајући у виду да је општа стопа пореза по одбитку 20% ради се о малом одступању и било би економски оправдано применити знатно веће пореске стопе на исплате према овим предузећима, јер исплате према њима еродирају основицу пореза на добит, а често и пореза на доходак грађана у Србији.</w:t>
      </w:r>
    </w:p>
    <w:p w:rsidR="005F7863" w:rsidRPr="003A57BB" w:rsidRDefault="00BF5413" w:rsidP="003A57BB">
      <w:pPr>
        <w:ind w:firstLine="708"/>
        <w:jc w:val="both"/>
        <w:rPr>
          <w:rFonts w:ascii="Times New Roman" w:hAnsi="Times New Roman"/>
          <w:sz w:val="24"/>
          <w:szCs w:val="24"/>
          <w:lang w:val="sr-Cyrl-CS"/>
        </w:rPr>
      </w:pPr>
      <w:r w:rsidRPr="003A57BB">
        <w:rPr>
          <w:rFonts w:ascii="Times New Roman" w:hAnsi="Times New Roman"/>
          <w:sz w:val="24"/>
          <w:szCs w:val="24"/>
          <w:lang w:val="sr-Cyrl-CS"/>
        </w:rPr>
        <w:t>И</w:t>
      </w:r>
      <w:r w:rsidR="005F7863" w:rsidRPr="003A57BB">
        <w:rPr>
          <w:rFonts w:ascii="Times New Roman" w:hAnsi="Times New Roman"/>
          <w:sz w:val="24"/>
          <w:szCs w:val="24"/>
          <w:lang w:val="sr-Cyrl-CS"/>
        </w:rPr>
        <w:t>збегавање плаћања пореза на добит се врши и кроз накнаде за интракомпанијске услуге, које се често приказују знатно већим од стварно пружених, па је због тога уведена обавеза плаћања пореза по одбитку на исплате извршене према „пореским рајевима“, по стопи од 20%, мада би требало увести обавезу плаћања пореза по одбитку на све исплате накнада за пру</w:t>
      </w:r>
      <w:r w:rsidR="00660132" w:rsidRPr="003A57BB">
        <w:rPr>
          <w:rFonts w:ascii="Times New Roman" w:hAnsi="Times New Roman"/>
          <w:sz w:val="24"/>
          <w:szCs w:val="24"/>
          <w:lang w:val="sr-Cyrl-CS"/>
        </w:rPr>
        <w:t>жене услуге из иностранства због тога</w:t>
      </w:r>
      <w:r w:rsidR="005F7863" w:rsidRPr="003A57BB">
        <w:rPr>
          <w:rFonts w:ascii="Times New Roman" w:hAnsi="Times New Roman"/>
          <w:sz w:val="24"/>
          <w:szCs w:val="24"/>
          <w:lang w:val="sr-Cyrl-CS"/>
        </w:rPr>
        <w:t xml:space="preserve"> што битан део њих</w:t>
      </w:r>
      <w:r w:rsidR="00660132" w:rsidRPr="003A57BB">
        <w:rPr>
          <w:rFonts w:ascii="Times New Roman" w:hAnsi="Times New Roman"/>
          <w:sz w:val="24"/>
          <w:szCs w:val="24"/>
          <w:lang w:val="sr-Cyrl-CS"/>
        </w:rPr>
        <w:t>,</w:t>
      </w:r>
      <w:r w:rsidR="005F7863" w:rsidRPr="003A57BB">
        <w:rPr>
          <w:rFonts w:ascii="Times New Roman" w:hAnsi="Times New Roman"/>
          <w:sz w:val="24"/>
          <w:szCs w:val="24"/>
          <w:lang w:val="sr-Cyrl-CS"/>
        </w:rPr>
        <w:t xml:space="preserve"> у суштини</w:t>
      </w:r>
      <w:r w:rsidR="00660132" w:rsidRPr="003A57BB">
        <w:rPr>
          <w:rFonts w:ascii="Times New Roman" w:hAnsi="Times New Roman"/>
          <w:sz w:val="24"/>
          <w:szCs w:val="24"/>
          <w:lang w:val="sr-Cyrl-CS"/>
        </w:rPr>
        <w:t>,</w:t>
      </w:r>
      <w:r w:rsidR="005F7863" w:rsidRPr="003A57BB">
        <w:rPr>
          <w:rFonts w:ascii="Times New Roman" w:hAnsi="Times New Roman"/>
          <w:sz w:val="24"/>
          <w:szCs w:val="24"/>
          <w:lang w:val="sr-Cyrl-CS"/>
        </w:rPr>
        <w:t xml:space="preserve"> предста</w:t>
      </w:r>
      <w:r w:rsidR="00660132" w:rsidRPr="003A57BB">
        <w:rPr>
          <w:rFonts w:ascii="Times New Roman" w:hAnsi="Times New Roman"/>
          <w:sz w:val="24"/>
          <w:szCs w:val="24"/>
          <w:lang w:val="sr-Cyrl-CS"/>
        </w:rPr>
        <w:t>вља скривену дивиденду, а што је</w:t>
      </w:r>
      <w:r w:rsidR="005F7863" w:rsidRPr="003A57BB">
        <w:rPr>
          <w:rFonts w:ascii="Times New Roman" w:hAnsi="Times New Roman"/>
          <w:sz w:val="24"/>
          <w:szCs w:val="24"/>
          <w:lang w:val="sr-Cyrl-CS"/>
        </w:rPr>
        <w:t xml:space="preserve"> из тог разл</w:t>
      </w:r>
      <w:r w:rsidR="00660132" w:rsidRPr="003A57BB">
        <w:rPr>
          <w:rFonts w:ascii="Times New Roman" w:hAnsi="Times New Roman"/>
          <w:sz w:val="24"/>
          <w:szCs w:val="24"/>
          <w:lang w:val="sr-Cyrl-CS"/>
        </w:rPr>
        <w:t>ога учинио велики број земаља у региону.</w:t>
      </w:r>
      <w:r w:rsidR="005F7863" w:rsidRPr="003A57BB">
        <w:rPr>
          <w:rFonts w:ascii="Times New Roman" w:hAnsi="Times New Roman"/>
          <w:sz w:val="24"/>
          <w:szCs w:val="24"/>
          <w:lang w:val="sr-Cyrl-CS"/>
        </w:rPr>
        <w:t xml:space="preserve"> </w:t>
      </w:r>
      <w:r w:rsidR="003A57BB">
        <w:rPr>
          <w:rFonts w:ascii="Times New Roman" w:hAnsi="Times New Roman"/>
          <w:sz w:val="24"/>
          <w:szCs w:val="24"/>
          <w:lang w:val="sr-Cyrl-CS"/>
        </w:rPr>
        <w:t xml:space="preserve"> </w:t>
      </w:r>
    </w:p>
    <w:p w:rsidR="00331CA5" w:rsidRPr="003A57BB" w:rsidRDefault="00331CA5" w:rsidP="003A57BB">
      <w:pPr>
        <w:jc w:val="both"/>
        <w:rPr>
          <w:lang w:val="sr-Cyrl-CS"/>
        </w:rPr>
      </w:pPr>
    </w:p>
    <w:p w:rsidR="00331CA5" w:rsidRDefault="009B0BBF" w:rsidP="00D57F68">
      <w:pPr>
        <w:jc w:val="center"/>
        <w:rPr>
          <w:rFonts w:ascii="Times New Roman" w:hAnsi="Times New Roman"/>
          <w:b/>
          <w:sz w:val="24"/>
          <w:szCs w:val="24"/>
          <w:lang w:val="sr-Cyrl-CS"/>
        </w:rPr>
      </w:pPr>
      <w:r>
        <w:rPr>
          <w:rFonts w:ascii="Times New Roman" w:hAnsi="Times New Roman"/>
          <w:b/>
          <w:sz w:val="24"/>
          <w:szCs w:val="24"/>
          <w:lang w:val="sr-Cyrl-CS"/>
        </w:rPr>
        <w:lastRenderedPageBreak/>
        <w:t xml:space="preserve">5.1.5. </w:t>
      </w:r>
      <w:r w:rsidR="00026F60">
        <w:rPr>
          <w:rFonts w:ascii="Times New Roman" w:hAnsi="Times New Roman"/>
          <w:b/>
          <w:sz w:val="24"/>
          <w:szCs w:val="24"/>
          <w:lang w:val="sr-Cyrl-CS"/>
        </w:rPr>
        <w:t>Нетачно финансијско извештавање у контексту избегавања плаћања пореза на добит правних лица</w:t>
      </w:r>
    </w:p>
    <w:p w:rsidR="00026F60" w:rsidRDefault="00026F60" w:rsidP="00A74BD1">
      <w:pPr>
        <w:jc w:val="both"/>
        <w:rPr>
          <w:rFonts w:ascii="Times New Roman" w:hAnsi="Times New Roman"/>
          <w:b/>
          <w:sz w:val="24"/>
          <w:szCs w:val="24"/>
          <w:lang w:val="sr-Cyrl-CS"/>
        </w:rPr>
      </w:pPr>
    </w:p>
    <w:p w:rsidR="00EF7DC6" w:rsidRDefault="00C71E5B" w:rsidP="00C71E5B">
      <w:pPr>
        <w:ind w:firstLine="708"/>
        <w:jc w:val="both"/>
        <w:rPr>
          <w:rFonts w:ascii="Times New Roman" w:hAnsi="Times New Roman"/>
          <w:sz w:val="24"/>
          <w:szCs w:val="24"/>
          <w:lang w:val="sr-Cyrl-CS"/>
        </w:rPr>
      </w:pPr>
      <w:r w:rsidRPr="009435A7">
        <w:rPr>
          <w:rFonts w:ascii="Times New Roman" w:hAnsi="Times New Roman"/>
          <w:sz w:val="24"/>
          <w:szCs w:val="24"/>
          <w:lang w:val="sr-Cyrl-CS"/>
        </w:rPr>
        <w:t>Порески биланс се не сачињава посебно и нема самосталан карактер него се добија тако што се изводи из пословног биланса. Исто тако се опорезива добит изводи из добити која је ис</w:t>
      </w:r>
      <w:r>
        <w:rPr>
          <w:rFonts w:ascii="Times New Roman" w:hAnsi="Times New Roman"/>
          <w:sz w:val="24"/>
          <w:szCs w:val="24"/>
          <w:lang w:val="sr-Cyrl-CS"/>
        </w:rPr>
        <w:t>к</w:t>
      </w:r>
      <w:r w:rsidRPr="009435A7">
        <w:rPr>
          <w:rFonts w:ascii="Times New Roman" w:hAnsi="Times New Roman"/>
          <w:sz w:val="24"/>
          <w:szCs w:val="24"/>
          <w:lang w:val="sr-Cyrl-CS"/>
        </w:rPr>
        <w:t xml:space="preserve">азана у пословном биласну успеха. Опорезива добит пореског обвезника се утврђује усклађивањем добити која је исказана у билансу успеха, (која је сачињена према рачуноводственим прописима и међународним рачуноводственим стандардима), на начин који је предвиђен Законом о порезу на добит правних лица. Управо због </w:t>
      </w:r>
      <w:r w:rsidR="00A154A1">
        <w:rPr>
          <w:rFonts w:ascii="Times New Roman" w:hAnsi="Times New Roman"/>
          <w:sz w:val="24"/>
          <w:szCs w:val="24"/>
          <w:lang w:val="sr-Cyrl-CS"/>
        </w:rPr>
        <w:t>тога</w:t>
      </w:r>
      <w:r w:rsidRPr="009435A7">
        <w:rPr>
          <w:rFonts w:ascii="Times New Roman" w:hAnsi="Times New Roman"/>
          <w:sz w:val="24"/>
          <w:szCs w:val="24"/>
          <w:lang w:val="sr-Cyrl-CS"/>
        </w:rPr>
        <w:t xml:space="preserve"> је порески пропис посебан пропис у односу на рачуноводствени пропис и примењује се правило lex specialis derogat leg</w:t>
      </w:r>
      <w:r w:rsidRPr="009435A7">
        <w:rPr>
          <w:rFonts w:ascii="Times New Roman" w:hAnsi="Times New Roman"/>
          <w:sz w:val="24"/>
          <w:szCs w:val="24"/>
        </w:rPr>
        <w:t>e</w:t>
      </w:r>
      <w:r w:rsidRPr="009435A7">
        <w:rPr>
          <w:rFonts w:ascii="Times New Roman" w:hAnsi="Times New Roman"/>
          <w:sz w:val="24"/>
          <w:szCs w:val="24"/>
          <w:lang w:val="sr-Cyrl-CS"/>
        </w:rPr>
        <w:t xml:space="preserve"> genera</w:t>
      </w:r>
      <w:r w:rsidRPr="009435A7">
        <w:rPr>
          <w:rFonts w:ascii="Times New Roman" w:hAnsi="Times New Roman"/>
          <w:sz w:val="24"/>
          <w:szCs w:val="24"/>
        </w:rPr>
        <w:t>l</w:t>
      </w:r>
      <w:r w:rsidRPr="009435A7">
        <w:rPr>
          <w:rFonts w:ascii="Times New Roman" w:hAnsi="Times New Roman"/>
          <w:sz w:val="24"/>
          <w:szCs w:val="24"/>
          <w:lang w:val="sr-Cyrl-CS"/>
        </w:rPr>
        <w:t xml:space="preserve">i, па ће се порески пропис применити у случају другачијег регулисања у односу на рачуноводствени пропис, а иначе се у пореском билансу признају све ставке из пословног биланса. </w:t>
      </w:r>
      <w:r w:rsidR="00B629E2">
        <w:rPr>
          <w:rFonts w:ascii="Times New Roman" w:hAnsi="Times New Roman"/>
          <w:sz w:val="24"/>
          <w:szCs w:val="24"/>
          <w:lang w:val="sr-Cyrl-CS"/>
        </w:rPr>
        <w:t xml:space="preserve">Тачност у књиговодству и билансу је од великог значаја у контексту избегавања плаћања пореза на добит правних лица. Према аутору </w:t>
      </w:r>
      <w:r w:rsidR="00B629E2">
        <w:rPr>
          <w:rFonts w:ascii="Times New Roman" w:hAnsi="Times New Roman"/>
          <w:sz w:val="24"/>
          <w:szCs w:val="24"/>
        </w:rPr>
        <w:t xml:space="preserve">Leffsonu </w:t>
      </w:r>
      <w:r w:rsidR="00B629E2">
        <w:rPr>
          <w:rFonts w:ascii="Times New Roman" w:hAnsi="Times New Roman"/>
          <w:sz w:val="24"/>
          <w:szCs w:val="24"/>
          <w:lang w:val="sr-Cyrl-CS"/>
        </w:rPr>
        <w:t xml:space="preserve">начело тачности захтева са аспекта уредног билансирања да су поједине позиције тачне и </w:t>
      </w:r>
      <w:r w:rsidR="00F7248E">
        <w:rPr>
          <w:rFonts w:ascii="Times New Roman" w:hAnsi="Times New Roman"/>
          <w:sz w:val="24"/>
          <w:szCs w:val="24"/>
          <w:lang w:val="sr-Cyrl-CS"/>
        </w:rPr>
        <w:t>д</w:t>
      </w:r>
      <w:r w:rsidR="00B629E2">
        <w:rPr>
          <w:rFonts w:ascii="Times New Roman" w:hAnsi="Times New Roman"/>
          <w:sz w:val="24"/>
          <w:szCs w:val="24"/>
          <w:lang w:val="sr-Cyrl-CS"/>
        </w:rPr>
        <w:t xml:space="preserve">а одговарају </w:t>
      </w:r>
      <w:r w:rsidR="00F7248E">
        <w:rPr>
          <w:rFonts w:ascii="Times New Roman" w:hAnsi="Times New Roman"/>
          <w:sz w:val="24"/>
          <w:szCs w:val="24"/>
          <w:lang w:val="sr-Cyrl-CS"/>
        </w:rPr>
        <w:t xml:space="preserve">стварним </w:t>
      </w:r>
      <w:r w:rsidR="00B629E2">
        <w:rPr>
          <w:rFonts w:ascii="Times New Roman" w:hAnsi="Times New Roman"/>
          <w:sz w:val="24"/>
          <w:szCs w:val="24"/>
          <w:lang w:val="sr-Cyrl-CS"/>
        </w:rPr>
        <w:t>чињеницама, да су вредности утврђене у складу са начелима уредног књиговодства, да је годишњи закључак у складу са стварно насталим књижењима, да су књиговодствено обухваћени сви пословни догађаји, те да је забрањено исказивање погрешних или фиктивних позиција у билансу.</w:t>
      </w:r>
      <w:r w:rsidR="00EF7DC6">
        <w:rPr>
          <w:rStyle w:val="FootnoteReference"/>
          <w:rFonts w:ascii="Times New Roman" w:hAnsi="Times New Roman"/>
          <w:sz w:val="24"/>
          <w:szCs w:val="24"/>
          <w:lang w:val="sr-Cyrl-CS"/>
        </w:rPr>
        <w:footnoteReference w:id="254"/>
      </w:r>
    </w:p>
    <w:p w:rsidR="00C71E5B" w:rsidRPr="009435A7" w:rsidRDefault="00C71E5B" w:rsidP="00C71E5B">
      <w:pPr>
        <w:ind w:firstLine="708"/>
        <w:jc w:val="both"/>
        <w:rPr>
          <w:rFonts w:ascii="Times New Roman" w:hAnsi="Times New Roman"/>
          <w:sz w:val="24"/>
          <w:szCs w:val="24"/>
        </w:rPr>
      </w:pPr>
      <w:r w:rsidRPr="009435A7">
        <w:rPr>
          <w:rFonts w:ascii="Times New Roman" w:hAnsi="Times New Roman"/>
          <w:sz w:val="24"/>
          <w:szCs w:val="24"/>
          <w:lang w:val="sr-Cyrl-CS"/>
        </w:rPr>
        <w:t>Избегавање плаћања пореза  на добит правних лица се може вршити преко нетачног финансијског извештавања, односно неприказ</w:t>
      </w:r>
      <w:r w:rsidR="00BF5413">
        <w:rPr>
          <w:rFonts w:ascii="Times New Roman" w:hAnsi="Times New Roman"/>
          <w:sz w:val="24"/>
          <w:szCs w:val="24"/>
          <w:lang w:val="sr-Cyrl-CS"/>
        </w:rPr>
        <w:t>и</w:t>
      </w:r>
      <w:r w:rsidRPr="009435A7">
        <w:rPr>
          <w:rFonts w:ascii="Times New Roman" w:hAnsi="Times New Roman"/>
          <w:sz w:val="24"/>
          <w:szCs w:val="24"/>
          <w:lang w:val="sr-Cyrl-CS"/>
        </w:rPr>
        <w:t xml:space="preserve">вања или нетачног приказивања чињеница од значаја за опорезивање и то се најчешће чини увећањем расхода (класа 5)  или умањењем прихода (класа 6) у билансу успеха.  </w:t>
      </w:r>
      <w:r w:rsidRPr="00C71E5B">
        <w:rPr>
          <w:rFonts w:ascii="Times New Roman" w:hAnsi="Times New Roman"/>
          <w:sz w:val="24"/>
          <w:szCs w:val="24"/>
          <w:lang w:val="sr-Cyrl-CS"/>
        </w:rPr>
        <w:t>Првенствено се прецењују резултати у билансу успеха и стварају скривени губици у билансу стања.</w:t>
      </w:r>
      <w:r>
        <w:rPr>
          <w:rFonts w:ascii="Times New Roman" w:hAnsi="Times New Roman"/>
          <w:lang w:val="sr-Cyrl-CS"/>
        </w:rPr>
        <w:t xml:space="preserve"> </w:t>
      </w:r>
      <w:r w:rsidRPr="009435A7">
        <w:rPr>
          <w:rFonts w:ascii="Times New Roman" w:hAnsi="Times New Roman"/>
          <w:sz w:val="24"/>
          <w:szCs w:val="24"/>
          <w:lang w:val="sr-Cyrl-CS"/>
        </w:rPr>
        <w:t>На тај начин се смањује пореска основица, односно опорезива добит правног лица.</w:t>
      </w:r>
    </w:p>
    <w:p w:rsidR="00C71E5B" w:rsidRDefault="00C71E5B" w:rsidP="00C71E5B">
      <w:pPr>
        <w:ind w:firstLine="708"/>
        <w:jc w:val="both"/>
        <w:rPr>
          <w:rFonts w:ascii="Times New Roman" w:hAnsi="Times New Roman"/>
          <w:sz w:val="24"/>
          <w:szCs w:val="24"/>
          <w:lang w:val="sr-Cyrl-CS"/>
        </w:rPr>
      </w:pPr>
      <w:r>
        <w:rPr>
          <w:rFonts w:ascii="Times New Roman" w:hAnsi="Times New Roman"/>
          <w:b/>
          <w:sz w:val="24"/>
          <w:szCs w:val="24"/>
          <w:lang w:val="sr-Cyrl-CS"/>
        </w:rPr>
        <w:t xml:space="preserve"> </w:t>
      </w:r>
      <w:r w:rsidRPr="00C71E5B">
        <w:rPr>
          <w:rFonts w:ascii="Times New Roman" w:hAnsi="Times New Roman"/>
          <w:sz w:val="24"/>
          <w:szCs w:val="24"/>
          <w:lang w:val="sr-Cyrl-CS"/>
        </w:rPr>
        <w:t>Исказивање ниже добити</w:t>
      </w:r>
      <w:r>
        <w:rPr>
          <w:rFonts w:ascii="Times New Roman" w:hAnsi="Times New Roman"/>
          <w:sz w:val="24"/>
          <w:szCs w:val="24"/>
          <w:lang w:val="sr-Cyrl-CS"/>
        </w:rPr>
        <w:t xml:space="preserve"> се, према томе,  постиже приказивањем нижих прихода и добитака и виших расхода и губитака у текућем периоду. Тиме се нетачно приказује финансијски резултат у циљу избегавања плаћања пореза. У том циљу се у билансу успеха не приказују сви приходи, а у  извештају о новчаним токовима се не приказује прилив готовине, по основу тих прихода остварених продајом. На овај начин долази се до готовог новца који се често користи у незаконите сврхе. У сивој економији се продаје роба за готов новац, а као покриће се испостављају фиктивне фактуре, у којима се не приказује целокупно ос</w:t>
      </w:r>
      <w:r w:rsidR="00BF5413">
        <w:rPr>
          <w:rFonts w:ascii="Times New Roman" w:hAnsi="Times New Roman"/>
          <w:sz w:val="24"/>
          <w:szCs w:val="24"/>
          <w:lang w:val="sr-Cyrl-CS"/>
        </w:rPr>
        <w:t>т</w:t>
      </w:r>
      <w:r>
        <w:rPr>
          <w:rFonts w:ascii="Times New Roman" w:hAnsi="Times New Roman"/>
          <w:sz w:val="24"/>
          <w:szCs w:val="24"/>
          <w:lang w:val="sr-Cyrl-CS"/>
        </w:rPr>
        <w:t>варен промет, односно приказује се само део промета. Књиговодствено се такав промет не евидентира у целини, а таква роба се може приказати и као мањак, све у циљу избегавања плаћања пореза.  Смањивање добит</w:t>
      </w:r>
      <w:r w:rsidR="00BF5413">
        <w:rPr>
          <w:rFonts w:ascii="Times New Roman" w:hAnsi="Times New Roman"/>
          <w:sz w:val="24"/>
          <w:szCs w:val="24"/>
          <w:lang w:val="sr-Cyrl-CS"/>
        </w:rPr>
        <w:t>и</w:t>
      </w:r>
      <w:r>
        <w:rPr>
          <w:rFonts w:ascii="Times New Roman" w:hAnsi="Times New Roman"/>
          <w:sz w:val="24"/>
          <w:szCs w:val="24"/>
          <w:lang w:val="sr-Cyrl-CS"/>
        </w:rPr>
        <w:t xml:space="preserve"> се постиже и путем продаје робе по веома ниским ценама, као и путем компликованих трансакција. </w:t>
      </w:r>
    </w:p>
    <w:p w:rsidR="006753A9" w:rsidRPr="009B0B16" w:rsidRDefault="004E5530" w:rsidP="009B0B16">
      <w:pPr>
        <w:ind w:firstLine="708"/>
        <w:jc w:val="both"/>
        <w:rPr>
          <w:rFonts w:ascii="Times New Roman" w:hAnsi="Times New Roman"/>
          <w:color w:val="000000"/>
          <w:sz w:val="24"/>
          <w:szCs w:val="24"/>
          <w:shd w:val="clear" w:color="auto" w:fill="FFFFFF"/>
          <w:lang w:val="sr-Cyrl-CS"/>
        </w:rPr>
      </w:pPr>
      <w:r>
        <w:rPr>
          <w:rFonts w:ascii="Times New Roman" w:hAnsi="Times New Roman"/>
          <w:sz w:val="24"/>
          <w:szCs w:val="24"/>
          <w:lang w:val="sr-Cyrl-CS"/>
        </w:rPr>
        <w:lastRenderedPageBreak/>
        <w:t xml:space="preserve">Лажно финансијско извештавање представља дугогодишњи озбиљан проблем. </w:t>
      </w:r>
      <w:r w:rsidR="00A74BD1" w:rsidRPr="00A74BD1">
        <w:rPr>
          <w:rFonts w:ascii="Times New Roman" w:hAnsi="Times New Roman"/>
          <w:sz w:val="24"/>
          <w:szCs w:val="24"/>
          <w:lang w:val="sr-Cyrl-CS"/>
        </w:rPr>
        <w:t>Правна</w:t>
      </w:r>
      <w:r w:rsidR="00A74BD1">
        <w:rPr>
          <w:rFonts w:ascii="Times New Roman" w:hAnsi="Times New Roman"/>
          <w:sz w:val="24"/>
          <w:szCs w:val="24"/>
          <w:lang w:val="sr-Cyrl-CS"/>
        </w:rPr>
        <w:t xml:space="preserve"> лица су обавезна да воде пословне књиге (дневник, главна књига и помоћне књиге), као и да састављају финансијске (рачуноводствене) извештаје за текућу годину. </w:t>
      </w:r>
      <w:r w:rsidR="00B00377">
        <w:rPr>
          <w:rFonts w:ascii="Times New Roman" w:hAnsi="Times New Roman"/>
          <w:sz w:val="24"/>
          <w:szCs w:val="24"/>
          <w:lang w:val="sr-Cyrl-CS"/>
        </w:rPr>
        <w:t>Према позитивним прописима</w:t>
      </w:r>
      <w:r w:rsidR="00B00377">
        <w:rPr>
          <w:rStyle w:val="FootnoteReference"/>
          <w:rFonts w:ascii="Times New Roman" w:hAnsi="Times New Roman"/>
          <w:sz w:val="24"/>
          <w:szCs w:val="24"/>
          <w:lang w:val="sr-Cyrl-CS"/>
        </w:rPr>
        <w:footnoteReference w:id="255"/>
      </w:r>
      <w:r w:rsidR="00B00377">
        <w:rPr>
          <w:rFonts w:ascii="Times New Roman" w:hAnsi="Times New Roman"/>
          <w:sz w:val="24"/>
          <w:szCs w:val="24"/>
          <w:lang w:val="sr-Cyrl-CS"/>
        </w:rPr>
        <w:t xml:space="preserve"> </w:t>
      </w:r>
      <w:r w:rsidR="00B00377" w:rsidRPr="009B0B16">
        <w:rPr>
          <w:rFonts w:ascii="Times New Roman" w:hAnsi="Times New Roman"/>
          <w:color w:val="000000"/>
          <w:sz w:val="24"/>
          <w:szCs w:val="24"/>
          <w:shd w:val="clear" w:color="auto" w:fill="FFFFFF"/>
          <w:lang w:val="sr-Cyrl-CS"/>
        </w:rPr>
        <w:t>п</w:t>
      </w:r>
      <w:r w:rsidR="009B0B16" w:rsidRPr="009B0B16">
        <w:rPr>
          <w:rFonts w:ascii="Times New Roman" w:hAnsi="Times New Roman"/>
          <w:color w:val="000000"/>
          <w:sz w:val="24"/>
          <w:szCs w:val="24"/>
          <w:shd w:val="clear" w:color="auto" w:fill="FFFFFF"/>
        </w:rPr>
        <w:t>ословне</w:t>
      </w:r>
      <w:r w:rsidR="00B00377" w:rsidRPr="009B0B16">
        <w:rPr>
          <w:rFonts w:ascii="Times New Roman" w:hAnsi="Times New Roman"/>
          <w:color w:val="000000"/>
          <w:sz w:val="24"/>
          <w:szCs w:val="24"/>
          <w:shd w:val="clear" w:color="auto" w:fill="FFFFFF"/>
        </w:rPr>
        <w:t xml:space="preserve"> </w:t>
      </w:r>
      <w:r w:rsidR="009B0B16" w:rsidRPr="009B0B16">
        <w:rPr>
          <w:rFonts w:ascii="Times New Roman" w:hAnsi="Times New Roman"/>
          <w:color w:val="000000"/>
          <w:sz w:val="24"/>
          <w:szCs w:val="24"/>
          <w:shd w:val="clear" w:color="auto" w:fill="FFFFFF"/>
        </w:rPr>
        <w:t>књиге</w:t>
      </w:r>
      <w:r w:rsidR="00B00377" w:rsidRPr="009B0B16">
        <w:rPr>
          <w:rFonts w:ascii="Times New Roman" w:hAnsi="Times New Roman"/>
          <w:color w:val="000000"/>
          <w:sz w:val="24"/>
          <w:szCs w:val="24"/>
          <w:shd w:val="clear" w:color="auto" w:fill="FFFFFF"/>
        </w:rPr>
        <w:t xml:space="preserve"> </w:t>
      </w:r>
      <w:r w:rsidR="009B0B16" w:rsidRPr="009B0B16">
        <w:rPr>
          <w:rFonts w:ascii="Times New Roman" w:hAnsi="Times New Roman"/>
          <w:color w:val="000000"/>
          <w:sz w:val="24"/>
          <w:szCs w:val="24"/>
          <w:shd w:val="clear" w:color="auto" w:fill="FFFFFF"/>
        </w:rPr>
        <w:t>представљају</w:t>
      </w:r>
      <w:r w:rsidR="00B00377" w:rsidRPr="009B0B16">
        <w:rPr>
          <w:rFonts w:ascii="Times New Roman" w:hAnsi="Times New Roman"/>
          <w:color w:val="000000"/>
          <w:sz w:val="24"/>
          <w:szCs w:val="24"/>
          <w:shd w:val="clear" w:color="auto" w:fill="FFFFFF"/>
        </w:rPr>
        <w:t xml:space="preserve"> </w:t>
      </w:r>
      <w:r w:rsidR="009B0B16" w:rsidRPr="009B0B16">
        <w:rPr>
          <w:rFonts w:ascii="Times New Roman" w:hAnsi="Times New Roman"/>
          <w:color w:val="000000"/>
          <w:sz w:val="24"/>
          <w:szCs w:val="24"/>
          <w:shd w:val="clear" w:color="auto" w:fill="FFFFFF"/>
        </w:rPr>
        <w:t>једнообразне</w:t>
      </w:r>
      <w:r w:rsidR="00B00377" w:rsidRPr="009B0B16">
        <w:rPr>
          <w:rFonts w:ascii="Times New Roman" w:hAnsi="Times New Roman"/>
          <w:color w:val="000000"/>
          <w:sz w:val="24"/>
          <w:szCs w:val="24"/>
          <w:shd w:val="clear" w:color="auto" w:fill="FFFFFF"/>
        </w:rPr>
        <w:t xml:space="preserve"> </w:t>
      </w:r>
      <w:r w:rsidR="009B0B16" w:rsidRPr="009B0B16">
        <w:rPr>
          <w:rFonts w:ascii="Times New Roman" w:hAnsi="Times New Roman"/>
          <w:color w:val="000000"/>
          <w:sz w:val="24"/>
          <w:szCs w:val="24"/>
          <w:shd w:val="clear" w:color="auto" w:fill="FFFFFF"/>
        </w:rPr>
        <w:t>евиденције</w:t>
      </w:r>
      <w:r w:rsidR="00B00377" w:rsidRPr="009B0B16">
        <w:rPr>
          <w:rFonts w:ascii="Times New Roman" w:hAnsi="Times New Roman"/>
          <w:color w:val="000000"/>
          <w:sz w:val="24"/>
          <w:szCs w:val="24"/>
          <w:shd w:val="clear" w:color="auto" w:fill="FFFFFF"/>
        </w:rPr>
        <w:t xml:space="preserve"> </w:t>
      </w:r>
      <w:r w:rsidR="009B0B16" w:rsidRPr="009B0B16">
        <w:rPr>
          <w:rFonts w:ascii="Times New Roman" w:hAnsi="Times New Roman"/>
          <w:color w:val="000000"/>
          <w:sz w:val="24"/>
          <w:szCs w:val="24"/>
          <w:shd w:val="clear" w:color="auto" w:fill="FFFFFF"/>
        </w:rPr>
        <w:t>о</w:t>
      </w:r>
      <w:r w:rsidR="00B00377" w:rsidRPr="009B0B16">
        <w:rPr>
          <w:rFonts w:ascii="Times New Roman" w:hAnsi="Times New Roman"/>
          <w:color w:val="000000"/>
          <w:sz w:val="24"/>
          <w:szCs w:val="24"/>
          <w:shd w:val="clear" w:color="auto" w:fill="FFFFFF"/>
        </w:rPr>
        <w:t xml:space="preserve"> </w:t>
      </w:r>
      <w:r w:rsidR="009B0B16" w:rsidRPr="009B0B16">
        <w:rPr>
          <w:rFonts w:ascii="Times New Roman" w:hAnsi="Times New Roman"/>
          <w:color w:val="000000"/>
          <w:sz w:val="24"/>
          <w:szCs w:val="24"/>
          <w:shd w:val="clear" w:color="auto" w:fill="FFFFFF"/>
        </w:rPr>
        <w:t>стању</w:t>
      </w:r>
      <w:r w:rsidR="00B00377" w:rsidRPr="009B0B16">
        <w:rPr>
          <w:rFonts w:ascii="Times New Roman" w:hAnsi="Times New Roman"/>
          <w:color w:val="000000"/>
          <w:sz w:val="24"/>
          <w:szCs w:val="24"/>
          <w:shd w:val="clear" w:color="auto" w:fill="FFFFFF"/>
        </w:rPr>
        <w:t xml:space="preserve"> </w:t>
      </w:r>
      <w:r w:rsidR="009B0B16" w:rsidRPr="009B0B16">
        <w:rPr>
          <w:rFonts w:ascii="Times New Roman" w:hAnsi="Times New Roman"/>
          <w:color w:val="000000"/>
          <w:sz w:val="24"/>
          <w:szCs w:val="24"/>
          <w:shd w:val="clear" w:color="auto" w:fill="FFFFFF"/>
        </w:rPr>
        <w:t>и</w:t>
      </w:r>
      <w:r w:rsidR="00B00377" w:rsidRPr="009B0B16">
        <w:rPr>
          <w:rFonts w:ascii="Times New Roman" w:hAnsi="Times New Roman"/>
          <w:color w:val="000000"/>
          <w:sz w:val="24"/>
          <w:szCs w:val="24"/>
          <w:shd w:val="clear" w:color="auto" w:fill="FFFFFF"/>
        </w:rPr>
        <w:t xml:space="preserve"> </w:t>
      </w:r>
      <w:r w:rsidR="009B0B16" w:rsidRPr="009B0B16">
        <w:rPr>
          <w:rFonts w:ascii="Times New Roman" w:hAnsi="Times New Roman"/>
          <w:color w:val="000000"/>
          <w:sz w:val="24"/>
          <w:szCs w:val="24"/>
          <w:shd w:val="clear" w:color="auto" w:fill="FFFFFF"/>
        </w:rPr>
        <w:t>променама</w:t>
      </w:r>
      <w:r w:rsidR="00B00377" w:rsidRPr="009B0B16">
        <w:rPr>
          <w:rFonts w:ascii="Times New Roman" w:hAnsi="Times New Roman"/>
          <w:color w:val="000000"/>
          <w:sz w:val="24"/>
          <w:szCs w:val="24"/>
          <w:shd w:val="clear" w:color="auto" w:fill="FFFFFF"/>
        </w:rPr>
        <w:t xml:space="preserve"> </w:t>
      </w:r>
      <w:r w:rsidR="009B0B16" w:rsidRPr="009B0B16">
        <w:rPr>
          <w:rFonts w:ascii="Times New Roman" w:hAnsi="Times New Roman"/>
          <w:color w:val="000000"/>
          <w:sz w:val="24"/>
          <w:szCs w:val="24"/>
          <w:shd w:val="clear" w:color="auto" w:fill="FFFFFF"/>
        </w:rPr>
        <w:t>на</w:t>
      </w:r>
      <w:r w:rsidR="00B00377" w:rsidRPr="009B0B16">
        <w:rPr>
          <w:rFonts w:ascii="Times New Roman" w:hAnsi="Times New Roman"/>
          <w:color w:val="000000"/>
          <w:sz w:val="24"/>
          <w:szCs w:val="24"/>
          <w:shd w:val="clear" w:color="auto" w:fill="FFFFFF"/>
        </w:rPr>
        <w:t xml:space="preserve"> </w:t>
      </w:r>
      <w:r w:rsidR="009B0B16" w:rsidRPr="009B0B16">
        <w:rPr>
          <w:rFonts w:ascii="Times New Roman" w:hAnsi="Times New Roman"/>
          <w:color w:val="000000"/>
          <w:sz w:val="24"/>
          <w:szCs w:val="24"/>
          <w:shd w:val="clear" w:color="auto" w:fill="FFFFFF"/>
        </w:rPr>
        <w:t>имовини</w:t>
      </w:r>
      <w:r w:rsidR="00B00377" w:rsidRPr="009B0B16">
        <w:rPr>
          <w:rFonts w:ascii="Times New Roman" w:hAnsi="Times New Roman"/>
          <w:color w:val="000000"/>
          <w:sz w:val="24"/>
          <w:szCs w:val="24"/>
          <w:shd w:val="clear" w:color="auto" w:fill="FFFFFF"/>
        </w:rPr>
        <w:t xml:space="preserve">, </w:t>
      </w:r>
      <w:r w:rsidR="009B0B16" w:rsidRPr="009B0B16">
        <w:rPr>
          <w:rFonts w:ascii="Times New Roman" w:hAnsi="Times New Roman"/>
          <w:color w:val="000000"/>
          <w:sz w:val="24"/>
          <w:szCs w:val="24"/>
          <w:shd w:val="clear" w:color="auto" w:fill="FFFFFF"/>
        </w:rPr>
        <w:t>обавезама</w:t>
      </w:r>
      <w:r w:rsidR="00B00377" w:rsidRPr="009B0B16">
        <w:rPr>
          <w:rFonts w:ascii="Times New Roman" w:hAnsi="Times New Roman"/>
          <w:color w:val="000000"/>
          <w:sz w:val="24"/>
          <w:szCs w:val="24"/>
          <w:shd w:val="clear" w:color="auto" w:fill="FFFFFF"/>
        </w:rPr>
        <w:t xml:space="preserve"> </w:t>
      </w:r>
      <w:r w:rsidR="009B0B16" w:rsidRPr="009B0B16">
        <w:rPr>
          <w:rFonts w:ascii="Times New Roman" w:hAnsi="Times New Roman"/>
          <w:color w:val="000000"/>
          <w:sz w:val="24"/>
          <w:szCs w:val="24"/>
          <w:shd w:val="clear" w:color="auto" w:fill="FFFFFF"/>
        </w:rPr>
        <w:t>и</w:t>
      </w:r>
      <w:r w:rsidR="00B00377" w:rsidRPr="009B0B16">
        <w:rPr>
          <w:rFonts w:ascii="Times New Roman" w:hAnsi="Times New Roman"/>
          <w:color w:val="000000"/>
          <w:sz w:val="24"/>
          <w:szCs w:val="24"/>
          <w:shd w:val="clear" w:color="auto" w:fill="FFFFFF"/>
        </w:rPr>
        <w:t xml:space="preserve"> </w:t>
      </w:r>
      <w:r w:rsidR="009B0B16" w:rsidRPr="009B0B16">
        <w:rPr>
          <w:rFonts w:ascii="Times New Roman" w:hAnsi="Times New Roman"/>
          <w:color w:val="000000"/>
          <w:sz w:val="24"/>
          <w:szCs w:val="24"/>
          <w:shd w:val="clear" w:color="auto" w:fill="FFFFFF"/>
        </w:rPr>
        <w:t>капиталу</w:t>
      </w:r>
      <w:r w:rsidR="00B00377" w:rsidRPr="009B0B16">
        <w:rPr>
          <w:rFonts w:ascii="Times New Roman" w:hAnsi="Times New Roman"/>
          <w:color w:val="000000"/>
          <w:sz w:val="24"/>
          <w:szCs w:val="24"/>
          <w:shd w:val="clear" w:color="auto" w:fill="FFFFFF"/>
        </w:rPr>
        <w:t xml:space="preserve">, </w:t>
      </w:r>
      <w:r w:rsidR="009B0B16" w:rsidRPr="009B0B16">
        <w:rPr>
          <w:rFonts w:ascii="Times New Roman" w:hAnsi="Times New Roman"/>
          <w:color w:val="000000"/>
          <w:sz w:val="24"/>
          <w:szCs w:val="24"/>
          <w:shd w:val="clear" w:color="auto" w:fill="FFFFFF"/>
        </w:rPr>
        <w:t>приходима</w:t>
      </w:r>
      <w:r w:rsidR="00B00377" w:rsidRPr="009B0B16">
        <w:rPr>
          <w:rFonts w:ascii="Times New Roman" w:hAnsi="Times New Roman"/>
          <w:color w:val="000000"/>
          <w:sz w:val="24"/>
          <w:szCs w:val="24"/>
          <w:shd w:val="clear" w:color="auto" w:fill="FFFFFF"/>
        </w:rPr>
        <w:t xml:space="preserve"> </w:t>
      </w:r>
      <w:r w:rsidR="009B0B16" w:rsidRPr="009B0B16">
        <w:rPr>
          <w:rFonts w:ascii="Times New Roman" w:hAnsi="Times New Roman"/>
          <w:color w:val="000000"/>
          <w:sz w:val="24"/>
          <w:szCs w:val="24"/>
          <w:shd w:val="clear" w:color="auto" w:fill="FFFFFF"/>
        </w:rPr>
        <w:t>и</w:t>
      </w:r>
      <w:r w:rsidR="00B00377" w:rsidRPr="009B0B16">
        <w:rPr>
          <w:rFonts w:ascii="Times New Roman" w:hAnsi="Times New Roman"/>
          <w:color w:val="000000"/>
          <w:sz w:val="24"/>
          <w:szCs w:val="24"/>
          <w:shd w:val="clear" w:color="auto" w:fill="FFFFFF"/>
        </w:rPr>
        <w:t xml:space="preserve"> </w:t>
      </w:r>
      <w:r w:rsidR="009B0B16" w:rsidRPr="009B0B16">
        <w:rPr>
          <w:rFonts w:ascii="Times New Roman" w:hAnsi="Times New Roman"/>
          <w:color w:val="000000"/>
          <w:sz w:val="24"/>
          <w:szCs w:val="24"/>
          <w:shd w:val="clear" w:color="auto" w:fill="FFFFFF"/>
        </w:rPr>
        <w:t>расходима</w:t>
      </w:r>
      <w:r w:rsidR="00B00377" w:rsidRPr="009B0B16">
        <w:rPr>
          <w:rFonts w:ascii="Times New Roman" w:hAnsi="Times New Roman"/>
          <w:color w:val="000000"/>
          <w:sz w:val="24"/>
          <w:szCs w:val="24"/>
          <w:shd w:val="clear" w:color="auto" w:fill="FFFFFF"/>
        </w:rPr>
        <w:t xml:space="preserve"> </w:t>
      </w:r>
      <w:r w:rsidR="009B0B16" w:rsidRPr="009B0B16">
        <w:rPr>
          <w:rFonts w:ascii="Times New Roman" w:hAnsi="Times New Roman"/>
          <w:color w:val="000000"/>
          <w:sz w:val="24"/>
          <w:szCs w:val="24"/>
          <w:shd w:val="clear" w:color="auto" w:fill="FFFFFF"/>
        </w:rPr>
        <w:t>правних</w:t>
      </w:r>
      <w:r w:rsidR="00B00377" w:rsidRPr="009B0B16">
        <w:rPr>
          <w:rFonts w:ascii="Times New Roman" w:hAnsi="Times New Roman"/>
          <w:color w:val="000000"/>
          <w:sz w:val="24"/>
          <w:szCs w:val="24"/>
          <w:shd w:val="clear" w:color="auto" w:fill="FFFFFF"/>
        </w:rPr>
        <w:t xml:space="preserve"> </w:t>
      </w:r>
      <w:r w:rsidR="009B0B16" w:rsidRPr="009B0B16">
        <w:rPr>
          <w:rFonts w:ascii="Times New Roman" w:hAnsi="Times New Roman"/>
          <w:color w:val="000000"/>
          <w:sz w:val="24"/>
          <w:szCs w:val="24"/>
          <w:shd w:val="clear" w:color="auto" w:fill="FFFFFF"/>
        </w:rPr>
        <w:t>лица</w:t>
      </w:r>
      <w:r w:rsidR="00B00377" w:rsidRPr="009B0B16">
        <w:rPr>
          <w:rFonts w:ascii="Times New Roman" w:hAnsi="Times New Roman"/>
          <w:color w:val="000000"/>
          <w:sz w:val="24"/>
          <w:szCs w:val="24"/>
          <w:shd w:val="clear" w:color="auto" w:fill="FFFFFF"/>
        </w:rPr>
        <w:t xml:space="preserve"> </w:t>
      </w:r>
      <w:r w:rsidR="009B0B16" w:rsidRPr="009B0B16">
        <w:rPr>
          <w:rFonts w:ascii="Times New Roman" w:hAnsi="Times New Roman"/>
          <w:color w:val="000000"/>
          <w:sz w:val="24"/>
          <w:szCs w:val="24"/>
          <w:shd w:val="clear" w:color="auto" w:fill="FFFFFF"/>
        </w:rPr>
        <w:t>и</w:t>
      </w:r>
      <w:r w:rsidR="00B00377" w:rsidRPr="009B0B16">
        <w:rPr>
          <w:rFonts w:ascii="Times New Roman" w:hAnsi="Times New Roman"/>
          <w:color w:val="000000"/>
          <w:sz w:val="24"/>
          <w:szCs w:val="24"/>
          <w:shd w:val="clear" w:color="auto" w:fill="FFFFFF"/>
        </w:rPr>
        <w:t xml:space="preserve"> </w:t>
      </w:r>
      <w:r w:rsidR="009B0B16" w:rsidRPr="009B0B16">
        <w:rPr>
          <w:rFonts w:ascii="Times New Roman" w:hAnsi="Times New Roman"/>
          <w:color w:val="000000"/>
          <w:sz w:val="24"/>
          <w:szCs w:val="24"/>
          <w:shd w:val="clear" w:color="auto" w:fill="FFFFFF"/>
        </w:rPr>
        <w:t>предузетника</w:t>
      </w:r>
      <w:r w:rsidR="00B00377" w:rsidRPr="009B0B16">
        <w:rPr>
          <w:rFonts w:ascii="Times New Roman" w:hAnsi="Times New Roman"/>
          <w:color w:val="000000"/>
          <w:sz w:val="24"/>
          <w:szCs w:val="24"/>
          <w:shd w:val="clear" w:color="auto" w:fill="FFFFFF"/>
        </w:rPr>
        <w:t>.</w:t>
      </w:r>
      <w:r w:rsidR="00B00377" w:rsidRPr="009B0B16">
        <w:rPr>
          <w:rFonts w:ascii="Times New Roman" w:hAnsi="Times New Roman"/>
          <w:color w:val="000000"/>
          <w:sz w:val="24"/>
          <w:szCs w:val="24"/>
          <w:shd w:val="clear" w:color="auto" w:fill="FFFFFF"/>
          <w:lang w:val="sr-Cyrl-CS"/>
        </w:rPr>
        <w:t xml:space="preserve"> </w:t>
      </w:r>
      <w:r w:rsidR="00A20A0A" w:rsidRPr="009B0B16">
        <w:rPr>
          <w:rFonts w:ascii="Times New Roman" w:hAnsi="Times New Roman"/>
          <w:color w:val="000000"/>
          <w:sz w:val="24"/>
          <w:szCs w:val="24"/>
          <w:shd w:val="clear" w:color="auto" w:fill="FFFFFF"/>
          <w:lang w:val="sr-Cyrl-CS"/>
        </w:rPr>
        <w:t>Разликује се просто књиговодство, где се пословна промена евидент</w:t>
      </w:r>
      <w:r w:rsidR="009B0B16">
        <w:rPr>
          <w:rFonts w:ascii="Times New Roman" w:hAnsi="Times New Roman"/>
          <w:color w:val="000000"/>
          <w:sz w:val="24"/>
          <w:szCs w:val="24"/>
          <w:shd w:val="clear" w:color="auto" w:fill="FFFFFF"/>
          <w:lang w:val="sr-Cyrl-CS"/>
        </w:rPr>
        <w:t>ира једном и двојно књговодство</w:t>
      </w:r>
      <w:r w:rsidR="00A20A0A" w:rsidRPr="009B0B16">
        <w:rPr>
          <w:rFonts w:ascii="Times New Roman" w:hAnsi="Times New Roman"/>
          <w:color w:val="000000"/>
          <w:sz w:val="24"/>
          <w:szCs w:val="24"/>
          <w:shd w:val="clear" w:color="auto" w:fill="FFFFFF"/>
          <w:lang w:val="sr-Cyrl-CS"/>
        </w:rPr>
        <w:t xml:space="preserve"> где се пословна промена евидентира два пута. Код простог књиговодства нема конта на којима се књиже приходи, расходи, обавезе и делови имовине, а пословне књиге се воде на прописаним обрасцима ПК-1 (пословна књига прихода и расхода) и ПК-2 (књига основних средстава и ситног инвентара). </w:t>
      </w:r>
      <w:r w:rsidR="009B0B16" w:rsidRPr="009B0B16">
        <w:rPr>
          <w:rFonts w:ascii="Times New Roman" w:hAnsi="Times New Roman"/>
          <w:color w:val="000000"/>
          <w:sz w:val="24"/>
          <w:szCs w:val="24"/>
          <w:shd w:val="clear" w:color="auto" w:fill="FFFFFF"/>
        </w:rPr>
        <w:t>Дневник</w:t>
      </w:r>
      <w:r w:rsidR="00B00377" w:rsidRPr="009B0B16">
        <w:rPr>
          <w:rFonts w:ascii="Times New Roman" w:hAnsi="Times New Roman"/>
          <w:color w:val="000000"/>
          <w:sz w:val="24"/>
          <w:szCs w:val="24"/>
          <w:shd w:val="clear" w:color="auto" w:fill="FFFFFF"/>
        </w:rPr>
        <w:t xml:space="preserve"> </w:t>
      </w:r>
      <w:r w:rsidR="009B0B16" w:rsidRPr="009B0B16">
        <w:rPr>
          <w:rFonts w:ascii="Times New Roman" w:hAnsi="Times New Roman"/>
          <w:color w:val="000000"/>
          <w:sz w:val="24"/>
          <w:szCs w:val="24"/>
          <w:shd w:val="clear" w:color="auto" w:fill="FFFFFF"/>
        </w:rPr>
        <w:t>и</w:t>
      </w:r>
      <w:r w:rsidR="00B00377" w:rsidRPr="009B0B16">
        <w:rPr>
          <w:rFonts w:ascii="Times New Roman" w:hAnsi="Times New Roman"/>
          <w:color w:val="000000"/>
          <w:sz w:val="24"/>
          <w:szCs w:val="24"/>
          <w:shd w:val="clear" w:color="auto" w:fill="FFFFFF"/>
        </w:rPr>
        <w:t xml:space="preserve"> </w:t>
      </w:r>
      <w:r w:rsidR="009B0B16" w:rsidRPr="009B0B16">
        <w:rPr>
          <w:rFonts w:ascii="Times New Roman" w:hAnsi="Times New Roman"/>
          <w:color w:val="000000"/>
          <w:sz w:val="24"/>
          <w:szCs w:val="24"/>
          <w:shd w:val="clear" w:color="auto" w:fill="FFFFFF"/>
        </w:rPr>
        <w:t>главна</w:t>
      </w:r>
      <w:r w:rsidR="00B00377" w:rsidRPr="009B0B16">
        <w:rPr>
          <w:rFonts w:ascii="Times New Roman" w:hAnsi="Times New Roman"/>
          <w:color w:val="000000"/>
          <w:sz w:val="24"/>
          <w:szCs w:val="24"/>
          <w:shd w:val="clear" w:color="auto" w:fill="FFFFFF"/>
        </w:rPr>
        <w:t xml:space="preserve"> </w:t>
      </w:r>
      <w:r w:rsidR="009B0B16" w:rsidRPr="009B0B16">
        <w:rPr>
          <w:rFonts w:ascii="Times New Roman" w:hAnsi="Times New Roman"/>
          <w:color w:val="000000"/>
          <w:sz w:val="24"/>
          <w:szCs w:val="24"/>
          <w:shd w:val="clear" w:color="auto" w:fill="FFFFFF"/>
        </w:rPr>
        <w:t>књига</w:t>
      </w:r>
      <w:r w:rsidR="00B00377" w:rsidRPr="009B0B16">
        <w:rPr>
          <w:rFonts w:ascii="Times New Roman" w:hAnsi="Times New Roman"/>
          <w:color w:val="000000"/>
          <w:sz w:val="24"/>
          <w:szCs w:val="24"/>
          <w:shd w:val="clear" w:color="auto" w:fill="FFFFFF"/>
        </w:rPr>
        <w:t xml:space="preserve"> </w:t>
      </w:r>
      <w:r w:rsidR="009B0B16" w:rsidRPr="009B0B16">
        <w:rPr>
          <w:rFonts w:ascii="Times New Roman" w:hAnsi="Times New Roman"/>
          <w:color w:val="000000"/>
          <w:sz w:val="24"/>
          <w:szCs w:val="24"/>
          <w:shd w:val="clear" w:color="auto" w:fill="FFFFFF"/>
        </w:rPr>
        <w:t>воде</w:t>
      </w:r>
      <w:r w:rsidR="00B00377" w:rsidRPr="009B0B16">
        <w:rPr>
          <w:rFonts w:ascii="Times New Roman" w:hAnsi="Times New Roman"/>
          <w:color w:val="000000"/>
          <w:sz w:val="24"/>
          <w:szCs w:val="24"/>
          <w:shd w:val="clear" w:color="auto" w:fill="FFFFFF"/>
        </w:rPr>
        <w:t xml:space="preserve"> </w:t>
      </w:r>
      <w:r w:rsidR="009B0B16" w:rsidRPr="009B0B16">
        <w:rPr>
          <w:rFonts w:ascii="Times New Roman" w:hAnsi="Times New Roman"/>
          <w:color w:val="000000"/>
          <w:sz w:val="24"/>
          <w:szCs w:val="24"/>
          <w:shd w:val="clear" w:color="auto" w:fill="FFFFFF"/>
        </w:rPr>
        <w:t>се</w:t>
      </w:r>
      <w:r w:rsidR="00B00377" w:rsidRPr="009B0B16">
        <w:rPr>
          <w:rFonts w:ascii="Times New Roman" w:hAnsi="Times New Roman"/>
          <w:color w:val="000000"/>
          <w:sz w:val="24"/>
          <w:szCs w:val="24"/>
          <w:shd w:val="clear" w:color="auto" w:fill="FFFFFF"/>
        </w:rPr>
        <w:t xml:space="preserve"> </w:t>
      </w:r>
      <w:r w:rsidR="009B0B16" w:rsidRPr="009B0B16">
        <w:rPr>
          <w:rFonts w:ascii="Times New Roman" w:hAnsi="Times New Roman"/>
          <w:color w:val="000000"/>
          <w:sz w:val="24"/>
          <w:szCs w:val="24"/>
          <w:shd w:val="clear" w:color="auto" w:fill="FFFFFF"/>
        </w:rPr>
        <w:t>по</w:t>
      </w:r>
      <w:r w:rsidR="00B00377" w:rsidRPr="009B0B16">
        <w:rPr>
          <w:rFonts w:ascii="Times New Roman" w:hAnsi="Times New Roman"/>
          <w:color w:val="000000"/>
          <w:sz w:val="24"/>
          <w:szCs w:val="24"/>
          <w:shd w:val="clear" w:color="auto" w:fill="FFFFFF"/>
        </w:rPr>
        <w:t xml:space="preserve"> </w:t>
      </w:r>
      <w:r w:rsidR="009B0B16" w:rsidRPr="009B0B16">
        <w:rPr>
          <w:rFonts w:ascii="Times New Roman" w:hAnsi="Times New Roman"/>
          <w:color w:val="000000"/>
          <w:sz w:val="24"/>
          <w:szCs w:val="24"/>
          <w:shd w:val="clear" w:color="auto" w:fill="FFFFFF"/>
        </w:rPr>
        <w:t>систему</w:t>
      </w:r>
      <w:r w:rsidR="00B00377" w:rsidRPr="009B0B16">
        <w:rPr>
          <w:rFonts w:ascii="Times New Roman" w:hAnsi="Times New Roman"/>
          <w:color w:val="000000"/>
          <w:sz w:val="24"/>
          <w:szCs w:val="24"/>
          <w:shd w:val="clear" w:color="auto" w:fill="FFFFFF"/>
        </w:rPr>
        <w:t xml:space="preserve"> </w:t>
      </w:r>
      <w:r w:rsidR="009B0B16" w:rsidRPr="009B0B16">
        <w:rPr>
          <w:rFonts w:ascii="Times New Roman" w:hAnsi="Times New Roman"/>
          <w:color w:val="000000"/>
          <w:sz w:val="24"/>
          <w:szCs w:val="24"/>
          <w:shd w:val="clear" w:color="auto" w:fill="FFFFFF"/>
        </w:rPr>
        <w:t>двојног</w:t>
      </w:r>
      <w:r w:rsidR="00B00377" w:rsidRPr="009B0B16">
        <w:rPr>
          <w:rFonts w:ascii="Times New Roman" w:hAnsi="Times New Roman"/>
          <w:color w:val="000000"/>
          <w:sz w:val="24"/>
          <w:szCs w:val="24"/>
          <w:shd w:val="clear" w:color="auto" w:fill="FFFFFF"/>
        </w:rPr>
        <w:t xml:space="preserve"> </w:t>
      </w:r>
      <w:r w:rsidR="009B0B16" w:rsidRPr="009B0B16">
        <w:rPr>
          <w:rFonts w:ascii="Times New Roman" w:hAnsi="Times New Roman"/>
          <w:color w:val="000000"/>
          <w:sz w:val="24"/>
          <w:szCs w:val="24"/>
          <w:shd w:val="clear" w:color="auto" w:fill="FFFFFF"/>
        </w:rPr>
        <w:t>књиговодства</w:t>
      </w:r>
      <w:r w:rsidR="00B00377" w:rsidRPr="009B0B16">
        <w:rPr>
          <w:rFonts w:ascii="Times New Roman" w:hAnsi="Times New Roman"/>
          <w:color w:val="000000"/>
          <w:sz w:val="24"/>
          <w:szCs w:val="24"/>
          <w:shd w:val="clear" w:color="auto" w:fill="FFFFFF"/>
        </w:rPr>
        <w:t>.</w:t>
      </w:r>
      <w:r w:rsidR="005B720C" w:rsidRPr="009B0B16">
        <w:rPr>
          <w:rFonts w:ascii="Times New Roman" w:hAnsi="Times New Roman"/>
          <w:color w:val="000000"/>
          <w:sz w:val="24"/>
          <w:szCs w:val="24"/>
          <w:shd w:val="clear" w:color="auto" w:fill="FFFFFF"/>
          <w:lang w:val="sr-Cyrl-CS"/>
        </w:rPr>
        <w:t xml:space="preserve"> </w:t>
      </w:r>
      <w:r w:rsidR="009B0B16" w:rsidRPr="009B0B16">
        <w:rPr>
          <w:rFonts w:ascii="Times New Roman" w:hAnsi="Times New Roman"/>
          <w:color w:val="000000"/>
          <w:sz w:val="24"/>
          <w:szCs w:val="24"/>
          <w:shd w:val="clear" w:color="auto" w:fill="FFFFFF"/>
          <w:lang w:val="sr-Cyrl-CS"/>
        </w:rPr>
        <w:t xml:space="preserve"> </w:t>
      </w:r>
    </w:p>
    <w:p w:rsidR="006753A9" w:rsidRPr="009B0B16" w:rsidRDefault="009B0B16" w:rsidP="009B0B16">
      <w:pPr>
        <w:ind w:firstLine="708"/>
        <w:jc w:val="both"/>
        <w:rPr>
          <w:rFonts w:ascii="Times New Roman" w:hAnsi="Times New Roman"/>
          <w:color w:val="000000"/>
          <w:sz w:val="24"/>
          <w:szCs w:val="24"/>
          <w:shd w:val="clear" w:color="auto" w:fill="FFFFFF"/>
          <w:lang w:val="sr-Cyrl-CS"/>
        </w:rPr>
      </w:pPr>
      <w:r w:rsidRPr="009B0B16">
        <w:rPr>
          <w:rFonts w:ascii="Times New Roman" w:hAnsi="Times New Roman"/>
          <w:color w:val="000000"/>
          <w:sz w:val="24"/>
          <w:szCs w:val="24"/>
          <w:shd w:val="clear" w:color="auto" w:fill="FFFFFF"/>
        </w:rPr>
        <w:t>Дневник</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је</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пословна</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књига</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у</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коју</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се</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евиденције</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о</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пословним</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променама</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уносе</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према</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редоследу</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њиховог</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настанка</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Главна</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књига</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је</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потпуни</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скуп</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рачуна</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који</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су</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у</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равнотежи</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за</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систематско</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обухватање</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стања</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и</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промена</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на</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имовини</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обавезама</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капиталу</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приходима</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и</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расходима</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и</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која</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је</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основа</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за</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састављање</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финансијских</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извештаја</w:t>
      </w:r>
      <w:r w:rsidR="006753A9" w:rsidRPr="009B0B16">
        <w:rPr>
          <w:rFonts w:ascii="Times New Roman" w:hAnsi="Times New Roman"/>
          <w:color w:val="000000"/>
          <w:sz w:val="24"/>
          <w:szCs w:val="24"/>
          <w:shd w:val="clear" w:color="auto" w:fill="FFFFFF"/>
          <w:lang w:val="sr-Cyrl-CS"/>
        </w:rPr>
        <w:t xml:space="preserve">. </w:t>
      </w:r>
      <w:r w:rsidRPr="009B0B16">
        <w:rPr>
          <w:rFonts w:ascii="Times New Roman" w:hAnsi="Times New Roman"/>
          <w:color w:val="000000"/>
          <w:sz w:val="24"/>
          <w:szCs w:val="24"/>
          <w:shd w:val="clear" w:color="auto" w:fill="FFFFFF"/>
        </w:rPr>
        <w:t>Помоћне</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књиге</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су</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аналитичке</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евиденције</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које</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се</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воде</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одвојено</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за</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нематеријална</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улагања</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некретнине</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постројења</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и</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опрему</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инвестиционе</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некретнине</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дугорочне</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финансијске</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пласмане</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залихе</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потраживања</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обавезе</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и</w:t>
      </w:r>
      <w:r w:rsidR="006753A9" w:rsidRPr="009B0B16">
        <w:rPr>
          <w:rFonts w:ascii="Times New Roman" w:hAnsi="Times New Roman"/>
          <w:color w:val="000000"/>
          <w:sz w:val="24"/>
          <w:szCs w:val="24"/>
          <w:shd w:val="clear" w:color="auto" w:fill="FFFFFF"/>
        </w:rPr>
        <w:t xml:space="preserve"> </w:t>
      </w:r>
      <w:r w:rsidRPr="009B0B16">
        <w:rPr>
          <w:rFonts w:ascii="Times New Roman" w:hAnsi="Times New Roman"/>
          <w:color w:val="000000"/>
          <w:sz w:val="24"/>
          <w:szCs w:val="24"/>
          <w:shd w:val="clear" w:color="auto" w:fill="FFFFFF"/>
        </w:rPr>
        <w:t>др</w:t>
      </w:r>
      <w:r w:rsidR="006753A9" w:rsidRPr="009B0B16">
        <w:rPr>
          <w:rFonts w:ascii="Times New Roman" w:hAnsi="Times New Roman"/>
          <w:color w:val="000000"/>
          <w:sz w:val="24"/>
          <w:szCs w:val="24"/>
          <w:shd w:val="clear" w:color="auto" w:fill="FFFFFF"/>
        </w:rPr>
        <w:t>.</w:t>
      </w:r>
      <w:r w:rsidR="006753A9" w:rsidRPr="009B0B16">
        <w:rPr>
          <w:rStyle w:val="FootnoteReference"/>
          <w:rFonts w:ascii="Times New Roman" w:hAnsi="Times New Roman"/>
          <w:color w:val="000000"/>
          <w:sz w:val="24"/>
          <w:szCs w:val="24"/>
          <w:shd w:val="clear" w:color="auto" w:fill="FFFFFF"/>
        </w:rPr>
        <w:footnoteReference w:id="256"/>
      </w:r>
      <w:r w:rsidR="00BF5413">
        <w:rPr>
          <w:rFonts w:ascii="Times New Roman" w:hAnsi="Times New Roman"/>
          <w:color w:val="000000"/>
          <w:sz w:val="24"/>
          <w:szCs w:val="24"/>
          <w:shd w:val="clear" w:color="auto" w:fill="FFFFFF"/>
          <w:lang w:val="sr-Cyrl-CS"/>
        </w:rPr>
        <w:t xml:space="preserve"> Примарно је упоређивање</w:t>
      </w:r>
      <w:r w:rsidR="006753A9" w:rsidRPr="009B0B16">
        <w:rPr>
          <w:rFonts w:ascii="Times New Roman" w:hAnsi="Times New Roman"/>
          <w:color w:val="000000"/>
          <w:sz w:val="24"/>
          <w:szCs w:val="24"/>
          <w:shd w:val="clear" w:color="auto" w:fill="FFFFFF"/>
          <w:lang w:val="sr-Cyrl-CS"/>
        </w:rPr>
        <w:t xml:space="preserve"> главне књиге и помоћне књиге, које морају да кореспондирају.  Неисправна и непотпуна евиденција води ка избегавању плаћања пореза. Ако на пример није регистрован неки приход правног лица, то доводи до смањења добити, па самим тим и до неплаћања пореза на добит.</w:t>
      </w:r>
    </w:p>
    <w:p w:rsidR="006753A9" w:rsidRPr="009B0B16" w:rsidRDefault="006753A9" w:rsidP="009B0B16">
      <w:pPr>
        <w:ind w:firstLine="708"/>
        <w:jc w:val="both"/>
        <w:rPr>
          <w:rFonts w:ascii="Times New Roman" w:hAnsi="Times New Roman"/>
          <w:color w:val="000000"/>
          <w:sz w:val="24"/>
          <w:szCs w:val="24"/>
          <w:shd w:val="clear" w:color="auto" w:fill="FFFFFF"/>
          <w:lang w:val="sr-Cyrl-CS"/>
        </w:rPr>
      </w:pPr>
      <w:r w:rsidRPr="009B0B16">
        <w:rPr>
          <w:rFonts w:ascii="Times New Roman" w:hAnsi="Times New Roman"/>
          <w:color w:val="000000"/>
          <w:sz w:val="24"/>
          <w:szCs w:val="24"/>
          <w:shd w:val="clear" w:color="auto" w:fill="FFFFFF"/>
          <w:lang w:val="sr-Cyrl-CS"/>
        </w:rPr>
        <w:t>Финансијски извештаји се чувају 20 година, дневник и главна књига се чувају 10 година, а помоћне књиге се чувају 5 година од дана њиховог закључења.</w:t>
      </w:r>
      <w:r w:rsidR="007C6BBE" w:rsidRPr="009B0B16">
        <w:rPr>
          <w:rFonts w:ascii="Times New Roman" w:hAnsi="Times New Roman"/>
          <w:color w:val="000000"/>
          <w:sz w:val="24"/>
          <w:szCs w:val="24"/>
          <w:shd w:val="clear" w:color="auto" w:fill="FFFFFF"/>
          <w:lang w:val="sr-Cyrl-CS"/>
        </w:rPr>
        <w:t xml:space="preserve"> Пет година се чувају исправе на основу којих се се уносе подаци у пословне књиге.</w:t>
      </w:r>
      <w:r w:rsidRPr="009B0B16">
        <w:rPr>
          <w:rStyle w:val="FootnoteReference"/>
          <w:rFonts w:ascii="Times New Roman" w:hAnsi="Times New Roman"/>
          <w:color w:val="000000"/>
          <w:sz w:val="24"/>
          <w:szCs w:val="24"/>
          <w:shd w:val="clear" w:color="auto" w:fill="FFFFFF"/>
          <w:lang w:val="sr-Cyrl-CS"/>
        </w:rPr>
        <w:footnoteReference w:id="257"/>
      </w:r>
      <w:r w:rsidRPr="009B0B16">
        <w:rPr>
          <w:rFonts w:ascii="Times New Roman" w:hAnsi="Times New Roman"/>
          <w:color w:val="000000"/>
          <w:sz w:val="24"/>
          <w:szCs w:val="24"/>
          <w:shd w:val="clear" w:color="auto" w:fill="FFFFFF"/>
          <w:lang w:val="sr-Cyrl-CS"/>
        </w:rPr>
        <w:t xml:space="preserve"> </w:t>
      </w:r>
      <w:r w:rsidR="007C6BBE" w:rsidRPr="009B0B16">
        <w:rPr>
          <w:rFonts w:ascii="Times New Roman" w:hAnsi="Times New Roman"/>
          <w:color w:val="000000"/>
          <w:sz w:val="24"/>
          <w:szCs w:val="24"/>
          <w:shd w:val="clear" w:color="auto" w:fill="FFFFFF"/>
          <w:lang w:val="sr-Cyrl-CS"/>
        </w:rPr>
        <w:t xml:space="preserve"> </w:t>
      </w:r>
      <w:r w:rsidRPr="009B0B16">
        <w:rPr>
          <w:rFonts w:ascii="Times New Roman" w:hAnsi="Times New Roman"/>
          <w:color w:val="000000"/>
          <w:sz w:val="24"/>
          <w:szCs w:val="24"/>
          <w:shd w:val="clear" w:color="auto" w:fill="FFFFFF"/>
          <w:lang w:val="sr-Cyrl-CS"/>
        </w:rPr>
        <w:t>Овакво законско решење према коме је рок чувања помоћних књига</w:t>
      </w:r>
      <w:r w:rsidR="007C6BBE" w:rsidRPr="009B0B16">
        <w:rPr>
          <w:rFonts w:ascii="Times New Roman" w:hAnsi="Times New Roman"/>
          <w:color w:val="000000"/>
          <w:sz w:val="24"/>
          <w:szCs w:val="24"/>
          <w:shd w:val="clear" w:color="auto" w:fill="FFFFFF"/>
          <w:lang w:val="sr-Cyrl-CS"/>
        </w:rPr>
        <w:t xml:space="preserve"> и исправа </w:t>
      </w:r>
      <w:r w:rsidRPr="009B0B16">
        <w:rPr>
          <w:rFonts w:ascii="Times New Roman" w:hAnsi="Times New Roman"/>
          <w:color w:val="000000"/>
          <w:sz w:val="24"/>
          <w:szCs w:val="24"/>
          <w:shd w:val="clear" w:color="auto" w:fill="FFFFFF"/>
          <w:lang w:val="sr-Cyrl-CS"/>
        </w:rPr>
        <w:t xml:space="preserve"> краћи није добро јер </w:t>
      </w:r>
      <w:r w:rsidR="004542B3" w:rsidRPr="009B0B16">
        <w:rPr>
          <w:rFonts w:ascii="Times New Roman" w:hAnsi="Times New Roman"/>
          <w:color w:val="000000"/>
          <w:sz w:val="24"/>
          <w:szCs w:val="24"/>
          <w:shd w:val="clear" w:color="auto" w:fill="FFFFFF"/>
          <w:lang w:val="sr-Cyrl-CS"/>
        </w:rPr>
        <w:t>је, као што је поменуто,  упоређивање главне књиге и помоћне књиге веома значајно за утврђивање неправилности и ради боље аналитике.</w:t>
      </w:r>
    </w:p>
    <w:p w:rsidR="009B0B16" w:rsidRDefault="00CC680B" w:rsidP="009B0B16">
      <w:pPr>
        <w:ind w:firstLine="360"/>
        <w:jc w:val="both"/>
        <w:rPr>
          <w:rFonts w:ascii="Times New Roman" w:hAnsi="Times New Roman"/>
          <w:color w:val="000000"/>
          <w:sz w:val="24"/>
          <w:szCs w:val="24"/>
          <w:shd w:val="clear" w:color="auto" w:fill="FFFFFF"/>
          <w:lang w:val="sr-Cyrl-CS"/>
        </w:rPr>
      </w:pPr>
      <w:r w:rsidRPr="009B0B16">
        <w:rPr>
          <w:rFonts w:ascii="Times New Roman" w:hAnsi="Times New Roman"/>
          <w:color w:val="000000"/>
          <w:sz w:val="24"/>
          <w:szCs w:val="24"/>
          <w:shd w:val="clear" w:color="auto" w:fill="FFFFFF"/>
          <w:lang w:val="sr-Cyrl-CS"/>
        </w:rPr>
        <w:t>Гл</w:t>
      </w:r>
      <w:r w:rsidR="00242039" w:rsidRPr="009B0B16">
        <w:rPr>
          <w:rFonts w:ascii="Times New Roman" w:hAnsi="Times New Roman"/>
          <w:color w:val="000000"/>
          <w:sz w:val="24"/>
          <w:szCs w:val="24"/>
          <w:shd w:val="clear" w:color="auto" w:fill="FFFFFF"/>
          <w:lang w:val="sr-Cyrl-CS"/>
        </w:rPr>
        <w:t>авна књига садржи мноштво конта и пословне промене се региструју систематизовано по контима.</w:t>
      </w:r>
      <w:r w:rsidRPr="009B0B16">
        <w:rPr>
          <w:rFonts w:ascii="Times New Roman" w:hAnsi="Times New Roman"/>
          <w:color w:val="000000"/>
          <w:sz w:val="24"/>
          <w:szCs w:val="24"/>
          <w:shd w:val="clear" w:color="auto" w:fill="FFFFFF"/>
          <w:lang w:val="sr-Cyrl-CS"/>
        </w:rPr>
        <w:t xml:space="preserve"> Контни оквир представља преглед или списак свих конта који се могу отворити у књи</w:t>
      </w:r>
      <w:r w:rsidR="00242039" w:rsidRPr="009B0B16">
        <w:rPr>
          <w:rFonts w:ascii="Times New Roman" w:hAnsi="Times New Roman"/>
          <w:color w:val="000000"/>
          <w:sz w:val="24"/>
          <w:szCs w:val="24"/>
          <w:shd w:val="clear" w:color="auto" w:fill="FFFFFF"/>
          <w:lang w:val="sr-Cyrl-CS"/>
        </w:rPr>
        <w:t>говодству предузећа, док је кон</w:t>
      </w:r>
      <w:r w:rsidRPr="009B0B16">
        <w:rPr>
          <w:rFonts w:ascii="Times New Roman" w:hAnsi="Times New Roman"/>
          <w:color w:val="000000"/>
          <w:sz w:val="24"/>
          <w:szCs w:val="24"/>
          <w:shd w:val="clear" w:color="auto" w:fill="FFFFFF"/>
          <w:lang w:val="sr-Cyrl-CS"/>
        </w:rPr>
        <w:t xml:space="preserve">тни план преглед свих конта која су стварно отворена у једном предузећу. </w:t>
      </w:r>
      <w:r w:rsidR="00331CA5" w:rsidRPr="009B0B16">
        <w:rPr>
          <w:rFonts w:ascii="Times New Roman" w:hAnsi="Times New Roman"/>
          <w:color w:val="000000"/>
          <w:sz w:val="24"/>
          <w:szCs w:val="24"/>
          <w:shd w:val="clear" w:color="auto" w:fill="FFFFFF"/>
        </w:rPr>
        <w:t>Према томе, контни план је изведен из контног оквира.</w:t>
      </w:r>
      <w:r w:rsidR="00331CA5" w:rsidRPr="009B0B16">
        <w:rPr>
          <w:rFonts w:ascii="Times New Roman" w:hAnsi="Times New Roman"/>
          <w:color w:val="000000"/>
          <w:sz w:val="24"/>
          <w:szCs w:val="24"/>
          <w:shd w:val="clear" w:color="auto" w:fill="FFFFFF"/>
          <w:lang w:val="sr-Cyrl-CS"/>
        </w:rPr>
        <w:t xml:space="preserve"> Контни оквир и садржина рачуна у Контном оквиру прописана је Правилником о контном оквиру и садржини рачуна у контном оквиру за привредна </w:t>
      </w:r>
      <w:r w:rsidR="00331CA5" w:rsidRPr="009B0B16">
        <w:rPr>
          <w:rFonts w:ascii="Times New Roman" w:hAnsi="Times New Roman"/>
          <w:color w:val="000000"/>
          <w:sz w:val="24"/>
          <w:szCs w:val="24"/>
          <w:shd w:val="clear" w:color="auto" w:fill="FFFFFF"/>
          <w:lang w:val="sr-Cyrl-CS"/>
        </w:rPr>
        <w:lastRenderedPageBreak/>
        <w:t>друштва, задруге, друга правна лица и предузетнике</w:t>
      </w:r>
      <w:r w:rsidR="00EB64CF" w:rsidRPr="009B0B16">
        <w:rPr>
          <w:rFonts w:ascii="Times New Roman" w:hAnsi="Times New Roman"/>
          <w:color w:val="000000"/>
          <w:sz w:val="24"/>
          <w:szCs w:val="24"/>
          <w:shd w:val="clear" w:color="auto" w:fill="FFFFFF"/>
          <w:lang w:val="sr-Cyrl-CS"/>
        </w:rPr>
        <w:t>, који воде пословне књиге по систему двојног књиг</w:t>
      </w:r>
      <w:r w:rsidR="009B0B16">
        <w:rPr>
          <w:rFonts w:ascii="Times New Roman" w:hAnsi="Times New Roman"/>
          <w:color w:val="000000"/>
          <w:sz w:val="24"/>
          <w:szCs w:val="24"/>
          <w:shd w:val="clear" w:color="auto" w:fill="FFFFFF"/>
          <w:lang w:val="sr-Cyrl-CS"/>
        </w:rPr>
        <w:t>о</w:t>
      </w:r>
      <w:r w:rsidR="00EB64CF" w:rsidRPr="009B0B16">
        <w:rPr>
          <w:rFonts w:ascii="Times New Roman" w:hAnsi="Times New Roman"/>
          <w:color w:val="000000"/>
          <w:sz w:val="24"/>
          <w:szCs w:val="24"/>
          <w:shd w:val="clear" w:color="auto" w:fill="FFFFFF"/>
          <w:lang w:val="sr-Cyrl-CS"/>
        </w:rPr>
        <w:t>водства.</w:t>
      </w:r>
      <w:r w:rsidR="00331CA5" w:rsidRPr="009B0B16">
        <w:rPr>
          <w:rStyle w:val="FootnoteReference"/>
          <w:rFonts w:ascii="Times New Roman" w:hAnsi="Times New Roman"/>
          <w:color w:val="000000"/>
          <w:sz w:val="24"/>
          <w:szCs w:val="24"/>
          <w:shd w:val="clear" w:color="auto" w:fill="FFFFFF"/>
          <w:lang w:val="sr-Cyrl-CS"/>
        </w:rPr>
        <w:footnoteReference w:id="258"/>
      </w:r>
      <w:r w:rsidR="00EB64CF" w:rsidRPr="009B0B16">
        <w:rPr>
          <w:rFonts w:ascii="Times New Roman" w:hAnsi="Times New Roman"/>
          <w:color w:val="000000"/>
          <w:sz w:val="24"/>
          <w:szCs w:val="24"/>
          <w:shd w:val="clear" w:color="auto" w:fill="FFFFFF"/>
          <w:lang w:val="sr-Cyrl-CS"/>
        </w:rPr>
        <w:t xml:space="preserve"> </w:t>
      </w:r>
    </w:p>
    <w:p w:rsidR="009B0B16" w:rsidRDefault="009B0B16" w:rsidP="009B0B16">
      <w:pPr>
        <w:jc w:val="both"/>
        <w:rPr>
          <w:rFonts w:ascii="Times New Roman" w:hAnsi="Times New Roman"/>
          <w:color w:val="000000"/>
          <w:sz w:val="24"/>
          <w:szCs w:val="24"/>
          <w:shd w:val="clear" w:color="auto" w:fill="FFFFFF"/>
          <w:lang w:val="sr-Cyrl-CS"/>
        </w:rPr>
      </w:pPr>
    </w:p>
    <w:p w:rsidR="00A20A0A" w:rsidRPr="009B0B16" w:rsidRDefault="00EB64CF" w:rsidP="009B0B16">
      <w:pPr>
        <w:ind w:firstLine="360"/>
        <w:jc w:val="both"/>
        <w:rPr>
          <w:rFonts w:ascii="Times New Roman" w:hAnsi="Times New Roman"/>
          <w:color w:val="000000"/>
          <w:sz w:val="24"/>
          <w:szCs w:val="24"/>
          <w:shd w:val="clear" w:color="auto" w:fill="FFFFFF"/>
          <w:lang w:val="sr-Cyrl-CS"/>
        </w:rPr>
      </w:pPr>
      <w:r w:rsidRPr="009B0B16">
        <w:rPr>
          <w:rFonts w:ascii="Times New Roman" w:hAnsi="Times New Roman"/>
          <w:color w:val="000000"/>
          <w:sz w:val="24"/>
          <w:szCs w:val="24"/>
          <w:shd w:val="clear" w:color="auto" w:fill="FFFFFF"/>
          <w:lang w:val="sr-Cyrl-CS"/>
        </w:rPr>
        <w:t>Прописане су следеће класе:</w:t>
      </w:r>
    </w:p>
    <w:p w:rsidR="00EB64CF" w:rsidRPr="009B0B16" w:rsidRDefault="009B0B16" w:rsidP="00EB64CF">
      <w:pPr>
        <w:numPr>
          <w:ilvl w:val="0"/>
          <w:numId w:val="2"/>
        </w:numPr>
        <w:rPr>
          <w:rFonts w:ascii="Times New Roman" w:hAnsi="Times New Roman"/>
          <w:color w:val="000000"/>
          <w:sz w:val="24"/>
          <w:szCs w:val="24"/>
          <w:shd w:val="clear" w:color="auto" w:fill="FFFFFF"/>
          <w:lang w:val="sr-Cyrl-CS"/>
        </w:rPr>
      </w:pPr>
      <w:r>
        <w:rPr>
          <w:rFonts w:ascii="Times New Roman" w:hAnsi="Times New Roman"/>
          <w:color w:val="000000"/>
          <w:sz w:val="24"/>
          <w:szCs w:val="24"/>
          <w:shd w:val="clear" w:color="auto" w:fill="FFFFFF"/>
        </w:rPr>
        <w:t>Класа</w:t>
      </w:r>
      <w:r w:rsidR="00EB64CF" w:rsidRPr="009B0B16">
        <w:rPr>
          <w:rFonts w:ascii="Times New Roman" w:hAnsi="Times New Roman"/>
          <w:color w:val="000000"/>
          <w:sz w:val="24"/>
          <w:szCs w:val="24"/>
          <w:shd w:val="clear" w:color="auto" w:fill="FFFFFF"/>
        </w:rPr>
        <w:t xml:space="preserve"> 0: </w:t>
      </w:r>
      <w:r>
        <w:rPr>
          <w:rFonts w:ascii="Times New Roman" w:hAnsi="Times New Roman"/>
          <w:color w:val="000000"/>
          <w:sz w:val="24"/>
          <w:szCs w:val="24"/>
          <w:shd w:val="clear" w:color="auto" w:fill="FFFFFF"/>
        </w:rPr>
        <w:t>Неуплаћени</w:t>
      </w:r>
      <w:r w:rsidR="00EB64CF" w:rsidRPr="009B0B16">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уписани</w:t>
      </w:r>
      <w:r w:rsidR="00EB64CF" w:rsidRPr="009B0B16">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капитал</w:t>
      </w:r>
      <w:r w:rsidR="00EB64CF" w:rsidRPr="009B0B16">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и</w:t>
      </w:r>
      <w:r w:rsidR="00EB64CF" w:rsidRPr="009B0B16">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стална</w:t>
      </w:r>
      <w:r w:rsidR="00EB64CF" w:rsidRPr="009B0B16">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имовина</w:t>
      </w:r>
      <w:r w:rsidR="00EB64CF" w:rsidRPr="009B0B16">
        <w:rPr>
          <w:rFonts w:ascii="Times New Roman" w:hAnsi="Times New Roman"/>
          <w:color w:val="000000"/>
          <w:sz w:val="24"/>
          <w:szCs w:val="24"/>
          <w:shd w:val="clear" w:color="auto" w:fill="FFFFFF"/>
          <w:lang w:val="sr-Cyrl-CS"/>
        </w:rPr>
        <w:t>;</w:t>
      </w:r>
    </w:p>
    <w:p w:rsidR="00EB64CF" w:rsidRPr="009B0B16" w:rsidRDefault="009B0B16" w:rsidP="00EB64CF">
      <w:pPr>
        <w:numPr>
          <w:ilvl w:val="0"/>
          <w:numId w:val="2"/>
        </w:numPr>
        <w:rPr>
          <w:rFonts w:ascii="Times New Roman" w:hAnsi="Times New Roman"/>
          <w:color w:val="000000"/>
          <w:sz w:val="24"/>
          <w:szCs w:val="24"/>
          <w:shd w:val="clear" w:color="auto" w:fill="FFFFFF"/>
          <w:lang w:val="sr-Cyrl-CS"/>
        </w:rPr>
      </w:pPr>
      <w:r>
        <w:rPr>
          <w:rFonts w:ascii="Times New Roman" w:hAnsi="Times New Roman"/>
          <w:color w:val="000000"/>
          <w:sz w:val="24"/>
          <w:szCs w:val="24"/>
          <w:shd w:val="clear" w:color="auto" w:fill="FFFFFF"/>
        </w:rPr>
        <w:t>Класа</w:t>
      </w:r>
      <w:r w:rsidR="00EB64CF" w:rsidRPr="009B0B16">
        <w:rPr>
          <w:rFonts w:ascii="Times New Roman" w:hAnsi="Times New Roman"/>
          <w:color w:val="000000"/>
          <w:sz w:val="24"/>
          <w:szCs w:val="24"/>
          <w:shd w:val="clear" w:color="auto" w:fill="FFFFFF"/>
        </w:rPr>
        <w:t xml:space="preserve"> 1: </w:t>
      </w:r>
      <w:r>
        <w:rPr>
          <w:rFonts w:ascii="Times New Roman" w:hAnsi="Times New Roman"/>
          <w:color w:val="000000"/>
          <w:sz w:val="24"/>
          <w:szCs w:val="24"/>
          <w:shd w:val="clear" w:color="auto" w:fill="FFFFFF"/>
        </w:rPr>
        <w:t>Залихе</w:t>
      </w:r>
      <w:r w:rsidR="00EB64CF" w:rsidRPr="009B0B16">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и</w:t>
      </w:r>
      <w:r w:rsidR="00EB64CF" w:rsidRPr="009B0B16">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стална</w:t>
      </w:r>
      <w:r w:rsidR="00EB64CF" w:rsidRPr="009B0B16">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средства</w:t>
      </w:r>
      <w:r w:rsidR="00EB64CF" w:rsidRPr="009B0B16">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намењена</w:t>
      </w:r>
      <w:r w:rsidR="00EB64CF" w:rsidRPr="009B0B16">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продаји</w:t>
      </w:r>
      <w:r w:rsidR="00EB64CF" w:rsidRPr="009B0B16">
        <w:rPr>
          <w:rFonts w:ascii="Times New Roman" w:hAnsi="Times New Roman"/>
          <w:color w:val="000000"/>
          <w:sz w:val="24"/>
          <w:szCs w:val="24"/>
          <w:shd w:val="clear" w:color="auto" w:fill="FFFFFF"/>
          <w:lang w:val="sr-Cyrl-CS"/>
        </w:rPr>
        <w:t>;</w:t>
      </w:r>
    </w:p>
    <w:p w:rsidR="00EB64CF" w:rsidRPr="009B0B16" w:rsidRDefault="009B0B16" w:rsidP="00EB64CF">
      <w:pPr>
        <w:numPr>
          <w:ilvl w:val="0"/>
          <w:numId w:val="2"/>
        </w:numPr>
        <w:rPr>
          <w:rFonts w:ascii="Times New Roman" w:hAnsi="Times New Roman"/>
          <w:color w:val="000000"/>
          <w:sz w:val="24"/>
          <w:szCs w:val="24"/>
          <w:shd w:val="clear" w:color="auto" w:fill="FFFFFF"/>
          <w:lang w:val="sr-Cyrl-CS"/>
        </w:rPr>
      </w:pPr>
      <w:r>
        <w:rPr>
          <w:rFonts w:ascii="Times New Roman" w:hAnsi="Times New Roman"/>
          <w:color w:val="000000"/>
          <w:sz w:val="24"/>
          <w:szCs w:val="24"/>
          <w:shd w:val="clear" w:color="auto" w:fill="FFFFFF"/>
        </w:rPr>
        <w:t>Класа</w:t>
      </w:r>
      <w:r w:rsidR="00EB64CF" w:rsidRPr="009B0B16">
        <w:rPr>
          <w:rFonts w:ascii="Times New Roman" w:hAnsi="Times New Roman"/>
          <w:color w:val="000000"/>
          <w:sz w:val="24"/>
          <w:szCs w:val="24"/>
          <w:shd w:val="clear" w:color="auto" w:fill="FFFFFF"/>
        </w:rPr>
        <w:t xml:space="preserve"> 2: </w:t>
      </w:r>
      <w:r>
        <w:rPr>
          <w:rFonts w:ascii="Times New Roman" w:hAnsi="Times New Roman"/>
          <w:color w:val="000000"/>
          <w:sz w:val="24"/>
          <w:szCs w:val="24"/>
          <w:shd w:val="clear" w:color="auto" w:fill="FFFFFF"/>
        </w:rPr>
        <w:t>Краткорочна</w:t>
      </w:r>
      <w:r w:rsidR="00EB64CF" w:rsidRPr="009B0B16">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потраживања</w:t>
      </w:r>
      <w:r w:rsidR="00EB64CF" w:rsidRPr="009B0B16">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пласмани</w:t>
      </w:r>
      <w:r w:rsidR="00EB64CF" w:rsidRPr="009B0B16">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и</w:t>
      </w:r>
      <w:r w:rsidR="00EB64CF" w:rsidRPr="009B0B16">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готовина</w:t>
      </w:r>
      <w:r w:rsidR="00EB64CF" w:rsidRPr="009B0B16">
        <w:rPr>
          <w:rFonts w:ascii="Times New Roman" w:hAnsi="Times New Roman"/>
          <w:color w:val="000000"/>
          <w:sz w:val="24"/>
          <w:szCs w:val="24"/>
          <w:shd w:val="clear" w:color="auto" w:fill="FFFFFF"/>
          <w:lang w:val="sr-Cyrl-CS"/>
        </w:rPr>
        <w:t>;</w:t>
      </w:r>
    </w:p>
    <w:p w:rsidR="00EB64CF" w:rsidRPr="009B0B16" w:rsidRDefault="009B0B16" w:rsidP="00EB64CF">
      <w:pPr>
        <w:numPr>
          <w:ilvl w:val="0"/>
          <w:numId w:val="2"/>
        </w:numPr>
        <w:rPr>
          <w:rFonts w:ascii="Times New Roman" w:hAnsi="Times New Roman"/>
          <w:color w:val="000000"/>
          <w:sz w:val="24"/>
          <w:szCs w:val="24"/>
          <w:shd w:val="clear" w:color="auto" w:fill="FFFFFF"/>
          <w:lang w:val="sr-Cyrl-CS"/>
        </w:rPr>
      </w:pPr>
      <w:r>
        <w:rPr>
          <w:rFonts w:ascii="Times New Roman" w:hAnsi="Times New Roman"/>
          <w:color w:val="000000"/>
          <w:sz w:val="24"/>
          <w:szCs w:val="24"/>
          <w:shd w:val="clear" w:color="auto" w:fill="FFFFFF"/>
        </w:rPr>
        <w:t>Класа</w:t>
      </w:r>
      <w:r w:rsidR="00EB64CF" w:rsidRPr="009B0B16">
        <w:rPr>
          <w:rFonts w:ascii="Times New Roman" w:hAnsi="Times New Roman"/>
          <w:color w:val="000000"/>
          <w:sz w:val="24"/>
          <w:szCs w:val="24"/>
          <w:shd w:val="clear" w:color="auto" w:fill="FFFFFF"/>
        </w:rPr>
        <w:t xml:space="preserve"> 3: </w:t>
      </w:r>
      <w:r>
        <w:rPr>
          <w:rFonts w:ascii="Times New Roman" w:hAnsi="Times New Roman"/>
          <w:color w:val="000000"/>
          <w:sz w:val="24"/>
          <w:szCs w:val="24"/>
          <w:shd w:val="clear" w:color="auto" w:fill="FFFFFF"/>
        </w:rPr>
        <w:t>Капитал</w:t>
      </w:r>
      <w:r w:rsidR="00EB64CF" w:rsidRPr="009B0B16">
        <w:rPr>
          <w:rFonts w:ascii="Times New Roman" w:hAnsi="Times New Roman"/>
          <w:color w:val="000000"/>
          <w:sz w:val="24"/>
          <w:szCs w:val="24"/>
          <w:shd w:val="clear" w:color="auto" w:fill="FFFFFF"/>
          <w:lang w:val="sr-Cyrl-CS"/>
        </w:rPr>
        <w:t>;</w:t>
      </w:r>
    </w:p>
    <w:p w:rsidR="00EB64CF" w:rsidRPr="009B0B16" w:rsidRDefault="009B0B16" w:rsidP="00EB64CF">
      <w:pPr>
        <w:numPr>
          <w:ilvl w:val="0"/>
          <w:numId w:val="2"/>
        </w:numPr>
        <w:rPr>
          <w:rFonts w:ascii="Times New Roman" w:hAnsi="Times New Roman"/>
          <w:color w:val="000000"/>
          <w:sz w:val="24"/>
          <w:szCs w:val="24"/>
          <w:shd w:val="clear" w:color="auto" w:fill="FFFFFF"/>
          <w:lang w:val="sr-Cyrl-CS"/>
        </w:rPr>
      </w:pPr>
      <w:r>
        <w:rPr>
          <w:rFonts w:ascii="Times New Roman" w:hAnsi="Times New Roman"/>
          <w:color w:val="000000"/>
          <w:sz w:val="24"/>
          <w:szCs w:val="24"/>
          <w:shd w:val="clear" w:color="auto" w:fill="FFFFFF"/>
        </w:rPr>
        <w:t>Класа</w:t>
      </w:r>
      <w:r w:rsidR="00EB64CF" w:rsidRPr="009B0B16">
        <w:rPr>
          <w:rFonts w:ascii="Times New Roman" w:hAnsi="Times New Roman"/>
          <w:color w:val="000000"/>
          <w:sz w:val="24"/>
          <w:szCs w:val="24"/>
          <w:shd w:val="clear" w:color="auto" w:fill="FFFFFF"/>
        </w:rPr>
        <w:t xml:space="preserve"> 4: </w:t>
      </w:r>
      <w:r>
        <w:rPr>
          <w:rFonts w:ascii="Times New Roman" w:hAnsi="Times New Roman"/>
          <w:color w:val="000000"/>
          <w:sz w:val="24"/>
          <w:szCs w:val="24"/>
          <w:shd w:val="clear" w:color="auto" w:fill="FFFFFF"/>
        </w:rPr>
        <w:t>Дугорочна</w:t>
      </w:r>
      <w:r w:rsidR="00EB64CF" w:rsidRPr="009B0B16">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резервисања</w:t>
      </w:r>
      <w:r w:rsidR="00EB64CF" w:rsidRPr="009B0B16">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и</w:t>
      </w:r>
      <w:r w:rsidR="00EB64CF" w:rsidRPr="009B0B16">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обавезе</w:t>
      </w:r>
      <w:r w:rsidR="00EB64CF" w:rsidRPr="009B0B16">
        <w:rPr>
          <w:rFonts w:ascii="Times New Roman" w:hAnsi="Times New Roman"/>
          <w:color w:val="000000"/>
          <w:sz w:val="24"/>
          <w:szCs w:val="24"/>
          <w:shd w:val="clear" w:color="auto" w:fill="FFFFFF"/>
          <w:lang w:val="sr-Cyrl-CS"/>
        </w:rPr>
        <w:t>;</w:t>
      </w:r>
    </w:p>
    <w:p w:rsidR="00EB64CF" w:rsidRPr="009B0B16" w:rsidRDefault="009B0B16" w:rsidP="00EB64CF">
      <w:pPr>
        <w:numPr>
          <w:ilvl w:val="0"/>
          <w:numId w:val="2"/>
        </w:numPr>
        <w:rPr>
          <w:rFonts w:ascii="Times New Roman" w:hAnsi="Times New Roman"/>
          <w:color w:val="000000"/>
          <w:sz w:val="24"/>
          <w:szCs w:val="24"/>
          <w:shd w:val="clear" w:color="auto" w:fill="FFFFFF"/>
          <w:lang w:val="sr-Cyrl-CS"/>
        </w:rPr>
      </w:pPr>
      <w:r>
        <w:rPr>
          <w:rFonts w:ascii="Times New Roman" w:hAnsi="Times New Roman"/>
          <w:color w:val="000000"/>
          <w:sz w:val="24"/>
          <w:szCs w:val="24"/>
          <w:shd w:val="clear" w:color="auto" w:fill="FFFFFF"/>
        </w:rPr>
        <w:t>Класа</w:t>
      </w:r>
      <w:r w:rsidR="00EB64CF" w:rsidRPr="009B0B16">
        <w:rPr>
          <w:rFonts w:ascii="Times New Roman" w:hAnsi="Times New Roman"/>
          <w:color w:val="000000"/>
          <w:sz w:val="24"/>
          <w:szCs w:val="24"/>
          <w:shd w:val="clear" w:color="auto" w:fill="FFFFFF"/>
        </w:rPr>
        <w:t xml:space="preserve"> 5: </w:t>
      </w:r>
      <w:r>
        <w:rPr>
          <w:rFonts w:ascii="Times New Roman" w:hAnsi="Times New Roman"/>
          <w:color w:val="000000"/>
          <w:sz w:val="24"/>
          <w:szCs w:val="24"/>
          <w:shd w:val="clear" w:color="auto" w:fill="FFFFFF"/>
        </w:rPr>
        <w:t>Расходи</w:t>
      </w:r>
      <w:r w:rsidR="00EB64CF" w:rsidRPr="009B0B16">
        <w:rPr>
          <w:rFonts w:ascii="Times New Roman" w:hAnsi="Times New Roman"/>
          <w:color w:val="000000"/>
          <w:sz w:val="24"/>
          <w:szCs w:val="24"/>
          <w:shd w:val="clear" w:color="auto" w:fill="FFFFFF"/>
          <w:lang w:val="sr-Cyrl-CS"/>
        </w:rPr>
        <w:t>;</w:t>
      </w:r>
    </w:p>
    <w:p w:rsidR="00EB64CF" w:rsidRPr="009B0B16" w:rsidRDefault="009B0B16" w:rsidP="00EB64CF">
      <w:pPr>
        <w:numPr>
          <w:ilvl w:val="0"/>
          <w:numId w:val="2"/>
        </w:numPr>
        <w:rPr>
          <w:rFonts w:ascii="Times New Roman" w:hAnsi="Times New Roman"/>
          <w:color w:val="000000"/>
          <w:sz w:val="24"/>
          <w:szCs w:val="24"/>
          <w:shd w:val="clear" w:color="auto" w:fill="FFFFFF"/>
          <w:lang w:val="sr-Cyrl-CS"/>
        </w:rPr>
      </w:pPr>
      <w:r>
        <w:rPr>
          <w:rFonts w:ascii="Times New Roman" w:hAnsi="Times New Roman"/>
          <w:color w:val="000000"/>
          <w:sz w:val="24"/>
          <w:szCs w:val="24"/>
          <w:shd w:val="clear" w:color="auto" w:fill="FFFFFF"/>
        </w:rPr>
        <w:t>Класа</w:t>
      </w:r>
      <w:r w:rsidR="00EB64CF" w:rsidRPr="009B0B16">
        <w:rPr>
          <w:rFonts w:ascii="Times New Roman" w:hAnsi="Times New Roman"/>
          <w:color w:val="000000"/>
          <w:sz w:val="24"/>
          <w:szCs w:val="24"/>
          <w:shd w:val="clear" w:color="auto" w:fill="FFFFFF"/>
        </w:rPr>
        <w:t xml:space="preserve"> 6: </w:t>
      </w:r>
      <w:r>
        <w:rPr>
          <w:rFonts w:ascii="Times New Roman" w:hAnsi="Times New Roman"/>
          <w:color w:val="000000"/>
          <w:sz w:val="24"/>
          <w:szCs w:val="24"/>
          <w:shd w:val="clear" w:color="auto" w:fill="FFFFFF"/>
        </w:rPr>
        <w:t>Приходи</w:t>
      </w:r>
      <w:r w:rsidR="00EB64CF" w:rsidRPr="009B0B16">
        <w:rPr>
          <w:rFonts w:ascii="Times New Roman" w:hAnsi="Times New Roman"/>
          <w:color w:val="000000"/>
          <w:sz w:val="24"/>
          <w:szCs w:val="24"/>
          <w:shd w:val="clear" w:color="auto" w:fill="FFFFFF"/>
          <w:lang w:val="sr-Cyrl-CS"/>
        </w:rPr>
        <w:t>;</w:t>
      </w:r>
    </w:p>
    <w:p w:rsidR="00EB64CF" w:rsidRPr="009B0B16" w:rsidRDefault="009B0B16" w:rsidP="00EB64CF">
      <w:pPr>
        <w:numPr>
          <w:ilvl w:val="0"/>
          <w:numId w:val="2"/>
        </w:numPr>
        <w:rPr>
          <w:rFonts w:ascii="Times New Roman" w:hAnsi="Times New Roman"/>
          <w:color w:val="000000"/>
          <w:sz w:val="24"/>
          <w:szCs w:val="24"/>
          <w:shd w:val="clear" w:color="auto" w:fill="FFFFFF"/>
          <w:lang w:val="sr-Cyrl-CS"/>
        </w:rPr>
      </w:pPr>
      <w:r>
        <w:rPr>
          <w:rFonts w:ascii="Times New Roman" w:hAnsi="Times New Roman"/>
          <w:color w:val="000000"/>
          <w:sz w:val="24"/>
          <w:szCs w:val="24"/>
          <w:shd w:val="clear" w:color="auto" w:fill="FFFFFF"/>
        </w:rPr>
        <w:t>Класа</w:t>
      </w:r>
      <w:r w:rsidR="00EB64CF" w:rsidRPr="009B0B16">
        <w:rPr>
          <w:rFonts w:ascii="Times New Roman" w:hAnsi="Times New Roman"/>
          <w:color w:val="000000"/>
          <w:sz w:val="24"/>
          <w:szCs w:val="24"/>
          <w:shd w:val="clear" w:color="auto" w:fill="FFFFFF"/>
        </w:rPr>
        <w:t xml:space="preserve"> 7: </w:t>
      </w:r>
      <w:r>
        <w:rPr>
          <w:rFonts w:ascii="Times New Roman" w:hAnsi="Times New Roman"/>
          <w:color w:val="000000"/>
          <w:sz w:val="24"/>
          <w:szCs w:val="24"/>
          <w:shd w:val="clear" w:color="auto" w:fill="FFFFFF"/>
        </w:rPr>
        <w:t>Отварање</w:t>
      </w:r>
      <w:r w:rsidR="00EB64CF" w:rsidRPr="009B0B16">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и</w:t>
      </w:r>
      <w:r w:rsidR="00EB64CF" w:rsidRPr="009B0B16">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закључак</w:t>
      </w:r>
      <w:r w:rsidR="00EB64CF" w:rsidRPr="009B0B16">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рачуна</w:t>
      </w:r>
      <w:r w:rsidR="00EB64CF" w:rsidRPr="009B0B16">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стања</w:t>
      </w:r>
      <w:r w:rsidR="00EB64CF" w:rsidRPr="009B0B16">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и</w:t>
      </w:r>
      <w:r w:rsidR="00EB64CF" w:rsidRPr="009B0B16">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успеха</w:t>
      </w:r>
      <w:r w:rsidR="00EB64CF" w:rsidRPr="009B0B16">
        <w:rPr>
          <w:rFonts w:ascii="Times New Roman" w:hAnsi="Times New Roman"/>
          <w:color w:val="000000"/>
          <w:sz w:val="24"/>
          <w:szCs w:val="24"/>
          <w:shd w:val="clear" w:color="auto" w:fill="FFFFFF"/>
          <w:lang w:val="sr-Cyrl-CS"/>
        </w:rPr>
        <w:t>;</w:t>
      </w:r>
    </w:p>
    <w:p w:rsidR="00EB64CF" w:rsidRPr="009B0B16" w:rsidRDefault="009B0B16" w:rsidP="00EB64CF">
      <w:pPr>
        <w:numPr>
          <w:ilvl w:val="0"/>
          <w:numId w:val="2"/>
        </w:numPr>
        <w:rPr>
          <w:rFonts w:ascii="Times New Roman" w:hAnsi="Times New Roman"/>
          <w:color w:val="000000"/>
          <w:sz w:val="24"/>
          <w:szCs w:val="24"/>
          <w:shd w:val="clear" w:color="auto" w:fill="FFFFFF"/>
          <w:lang w:val="sr-Cyrl-CS"/>
        </w:rPr>
      </w:pPr>
      <w:r>
        <w:rPr>
          <w:rFonts w:ascii="Times New Roman" w:hAnsi="Times New Roman"/>
          <w:color w:val="000000"/>
          <w:sz w:val="24"/>
          <w:szCs w:val="24"/>
          <w:shd w:val="clear" w:color="auto" w:fill="FFFFFF"/>
        </w:rPr>
        <w:t>Класа</w:t>
      </w:r>
      <w:r w:rsidR="00EB64CF" w:rsidRPr="009B0B16">
        <w:rPr>
          <w:rFonts w:ascii="Times New Roman" w:hAnsi="Times New Roman"/>
          <w:color w:val="000000"/>
          <w:sz w:val="24"/>
          <w:szCs w:val="24"/>
          <w:shd w:val="clear" w:color="auto" w:fill="FFFFFF"/>
        </w:rPr>
        <w:t xml:space="preserve"> 8: </w:t>
      </w:r>
      <w:r>
        <w:rPr>
          <w:rFonts w:ascii="Times New Roman" w:hAnsi="Times New Roman"/>
          <w:color w:val="000000"/>
          <w:sz w:val="24"/>
          <w:szCs w:val="24"/>
          <w:shd w:val="clear" w:color="auto" w:fill="FFFFFF"/>
        </w:rPr>
        <w:t>Ванбилансна</w:t>
      </w:r>
      <w:r w:rsidR="00EB64CF" w:rsidRPr="009B0B16">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евиденција</w:t>
      </w:r>
      <w:r w:rsidR="00EB64CF" w:rsidRPr="009B0B16">
        <w:rPr>
          <w:rFonts w:ascii="Times New Roman" w:hAnsi="Times New Roman"/>
          <w:color w:val="000000"/>
          <w:sz w:val="24"/>
          <w:szCs w:val="24"/>
          <w:shd w:val="clear" w:color="auto" w:fill="FFFFFF"/>
          <w:lang w:val="sr-Cyrl-CS"/>
        </w:rPr>
        <w:t>;</w:t>
      </w:r>
    </w:p>
    <w:p w:rsidR="00EB64CF" w:rsidRPr="009B0B16" w:rsidRDefault="009B0B16" w:rsidP="00EB64CF">
      <w:pPr>
        <w:numPr>
          <w:ilvl w:val="0"/>
          <w:numId w:val="2"/>
        </w:numPr>
        <w:rPr>
          <w:rFonts w:ascii="Times New Roman" w:hAnsi="Times New Roman"/>
          <w:color w:val="000000"/>
          <w:sz w:val="24"/>
          <w:szCs w:val="24"/>
          <w:shd w:val="clear" w:color="auto" w:fill="FFFFFF"/>
          <w:lang w:val="sr-Cyrl-CS"/>
        </w:rPr>
      </w:pPr>
      <w:r>
        <w:rPr>
          <w:rFonts w:ascii="Times New Roman" w:hAnsi="Times New Roman"/>
          <w:color w:val="000000"/>
          <w:sz w:val="24"/>
          <w:szCs w:val="24"/>
          <w:shd w:val="clear" w:color="auto" w:fill="FFFFFF"/>
        </w:rPr>
        <w:t>Класа</w:t>
      </w:r>
      <w:r w:rsidR="00EB64CF" w:rsidRPr="009B0B16">
        <w:rPr>
          <w:rFonts w:ascii="Times New Roman" w:hAnsi="Times New Roman"/>
          <w:color w:val="000000"/>
          <w:sz w:val="24"/>
          <w:szCs w:val="24"/>
          <w:shd w:val="clear" w:color="auto" w:fill="FFFFFF"/>
        </w:rPr>
        <w:t xml:space="preserve"> 9: </w:t>
      </w:r>
      <w:r>
        <w:rPr>
          <w:rFonts w:ascii="Times New Roman" w:hAnsi="Times New Roman"/>
          <w:color w:val="000000"/>
          <w:sz w:val="24"/>
          <w:szCs w:val="24"/>
          <w:shd w:val="clear" w:color="auto" w:fill="FFFFFF"/>
        </w:rPr>
        <w:t>Обрачун</w:t>
      </w:r>
      <w:r w:rsidR="00EB64CF" w:rsidRPr="009B0B16">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трошкова</w:t>
      </w:r>
      <w:r w:rsidR="00EB64CF" w:rsidRPr="009B0B16">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и</w:t>
      </w:r>
      <w:r w:rsidR="00EB64CF" w:rsidRPr="009B0B16">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учинака</w:t>
      </w:r>
    </w:p>
    <w:p w:rsidR="009B0B16" w:rsidRDefault="00A74BD1" w:rsidP="009B0B16">
      <w:pPr>
        <w:ind w:firstLine="360"/>
        <w:jc w:val="both"/>
        <w:rPr>
          <w:rFonts w:ascii="Times New Roman" w:hAnsi="Times New Roman"/>
          <w:sz w:val="24"/>
          <w:szCs w:val="24"/>
          <w:lang w:val="sr-Cyrl-CS"/>
        </w:rPr>
      </w:pPr>
      <w:r>
        <w:rPr>
          <w:rFonts w:ascii="Times New Roman" w:hAnsi="Times New Roman"/>
          <w:sz w:val="24"/>
          <w:szCs w:val="24"/>
          <w:lang w:val="sr-Cyrl-CS"/>
        </w:rPr>
        <w:t>Према међународним рачуноводственим стандардима</w:t>
      </w:r>
      <w:r>
        <w:rPr>
          <w:rStyle w:val="FootnoteReference"/>
          <w:rFonts w:ascii="Times New Roman" w:hAnsi="Times New Roman"/>
          <w:sz w:val="24"/>
          <w:szCs w:val="24"/>
          <w:lang w:val="sr-Cyrl-CS"/>
        </w:rPr>
        <w:footnoteReference w:id="259"/>
      </w:r>
      <w:r w:rsidRPr="00A74BD1">
        <w:rPr>
          <w:rFonts w:ascii="Times New Roman" w:hAnsi="Times New Roman"/>
          <w:sz w:val="24"/>
          <w:szCs w:val="24"/>
          <w:lang w:val="sr-Cyrl-CS"/>
        </w:rPr>
        <w:t xml:space="preserve"> </w:t>
      </w:r>
      <w:r w:rsidR="00B836FA">
        <w:rPr>
          <w:rFonts w:ascii="Times New Roman" w:hAnsi="Times New Roman"/>
          <w:sz w:val="24"/>
          <w:szCs w:val="24"/>
          <w:lang w:val="sr-Cyrl-CS"/>
        </w:rPr>
        <w:t xml:space="preserve">циљ финансијских извештаја опште намене јесте пружање информација о имовини, обавезама, сопственом капиталу, приходима и расходима укључујући добитке и губитке и токовима готовине. </w:t>
      </w:r>
    </w:p>
    <w:p w:rsidR="000E61A7" w:rsidRDefault="005B720C" w:rsidP="009B0B16">
      <w:pPr>
        <w:ind w:firstLine="360"/>
        <w:jc w:val="both"/>
        <w:rPr>
          <w:rFonts w:ascii="Times New Roman" w:hAnsi="Times New Roman"/>
          <w:sz w:val="24"/>
          <w:szCs w:val="24"/>
          <w:lang w:val="sr-Cyrl-CS"/>
        </w:rPr>
      </w:pPr>
      <w:r>
        <w:rPr>
          <w:rFonts w:ascii="Times New Roman" w:hAnsi="Times New Roman"/>
          <w:sz w:val="24"/>
          <w:szCs w:val="24"/>
          <w:lang w:val="sr-Cyrl-CS"/>
        </w:rPr>
        <w:t>Ф</w:t>
      </w:r>
      <w:r w:rsidR="00B836FA">
        <w:rPr>
          <w:rFonts w:ascii="Times New Roman" w:hAnsi="Times New Roman"/>
          <w:sz w:val="24"/>
          <w:szCs w:val="24"/>
          <w:lang w:val="sr-Cyrl-CS"/>
        </w:rPr>
        <w:t>инансијски извештаји обухватају</w:t>
      </w:r>
      <w:r>
        <w:rPr>
          <w:rStyle w:val="FootnoteReference"/>
          <w:rFonts w:ascii="Times New Roman" w:hAnsi="Times New Roman"/>
          <w:sz w:val="24"/>
          <w:szCs w:val="24"/>
          <w:lang w:val="sr-Cyrl-CS"/>
        </w:rPr>
        <w:footnoteReference w:id="260"/>
      </w:r>
      <w:r w:rsidR="00B836FA">
        <w:rPr>
          <w:rFonts w:ascii="Times New Roman" w:hAnsi="Times New Roman"/>
          <w:sz w:val="24"/>
          <w:szCs w:val="24"/>
          <w:lang w:val="sr-Cyrl-CS"/>
        </w:rPr>
        <w:t>:</w:t>
      </w:r>
    </w:p>
    <w:p w:rsidR="00EF7776" w:rsidRPr="003A57BB" w:rsidRDefault="00885E29" w:rsidP="003A57BB">
      <w:pPr>
        <w:jc w:val="both"/>
        <w:rPr>
          <w:rFonts w:ascii="Times New Roman" w:hAnsi="Times New Roman"/>
          <w:sz w:val="24"/>
          <w:szCs w:val="24"/>
          <w:lang w:val="sr-Cyrl-CS"/>
        </w:rPr>
      </w:pPr>
      <w:r>
        <w:rPr>
          <w:color w:val="000000"/>
          <w:lang w:val="sr-Cyrl-CS"/>
        </w:rPr>
        <w:t>(</w:t>
      </w:r>
      <w:r w:rsidRPr="003A57BB">
        <w:rPr>
          <w:rFonts w:ascii="Times New Roman" w:hAnsi="Times New Roman"/>
          <w:color w:val="000000"/>
          <w:sz w:val="24"/>
          <w:szCs w:val="24"/>
          <w:lang w:val="sr-Cyrl-CS"/>
        </w:rPr>
        <w:t>1)</w:t>
      </w:r>
      <w:r w:rsidR="009B0B16" w:rsidRPr="003A57BB">
        <w:rPr>
          <w:rFonts w:ascii="Times New Roman" w:hAnsi="Times New Roman"/>
          <w:color w:val="000000"/>
          <w:sz w:val="24"/>
          <w:szCs w:val="24"/>
        </w:rPr>
        <w:t>Биланс</w:t>
      </w:r>
      <w:r w:rsidR="00EF7776" w:rsidRPr="003A57BB">
        <w:rPr>
          <w:rFonts w:ascii="Times New Roman" w:hAnsi="Times New Roman"/>
          <w:color w:val="000000"/>
          <w:sz w:val="24"/>
          <w:szCs w:val="24"/>
        </w:rPr>
        <w:t xml:space="preserve"> </w:t>
      </w:r>
      <w:r w:rsidR="009B0B16" w:rsidRPr="003A57BB">
        <w:rPr>
          <w:rFonts w:ascii="Times New Roman" w:hAnsi="Times New Roman"/>
          <w:color w:val="000000"/>
          <w:sz w:val="24"/>
          <w:szCs w:val="24"/>
        </w:rPr>
        <w:t>стања</w:t>
      </w:r>
      <w:r w:rsidR="00EF7776" w:rsidRPr="003A57BB">
        <w:rPr>
          <w:rFonts w:ascii="Times New Roman" w:hAnsi="Times New Roman"/>
          <w:color w:val="000000"/>
          <w:sz w:val="24"/>
          <w:szCs w:val="24"/>
        </w:rPr>
        <w:t xml:space="preserve">, </w:t>
      </w:r>
      <w:r w:rsidR="009B0B16" w:rsidRPr="003A57BB">
        <w:rPr>
          <w:rFonts w:ascii="Times New Roman" w:hAnsi="Times New Roman"/>
          <w:color w:val="000000"/>
          <w:sz w:val="24"/>
          <w:szCs w:val="24"/>
        </w:rPr>
        <w:t>који</w:t>
      </w:r>
      <w:r w:rsidR="00EF7776" w:rsidRPr="003A57BB">
        <w:rPr>
          <w:rFonts w:ascii="Times New Roman" w:hAnsi="Times New Roman"/>
          <w:color w:val="000000"/>
          <w:sz w:val="24"/>
          <w:szCs w:val="24"/>
        </w:rPr>
        <w:t xml:space="preserve"> </w:t>
      </w:r>
      <w:r w:rsidR="009B0B16" w:rsidRPr="003A57BB">
        <w:rPr>
          <w:rFonts w:ascii="Times New Roman" w:hAnsi="Times New Roman"/>
          <w:color w:val="000000"/>
          <w:sz w:val="24"/>
          <w:szCs w:val="24"/>
        </w:rPr>
        <w:t>представља</w:t>
      </w:r>
      <w:r w:rsidR="00EF7776" w:rsidRPr="003A57BB">
        <w:rPr>
          <w:rFonts w:ascii="Times New Roman" w:hAnsi="Times New Roman"/>
          <w:color w:val="000000"/>
          <w:sz w:val="24"/>
          <w:szCs w:val="24"/>
        </w:rPr>
        <w:t xml:space="preserve"> </w:t>
      </w:r>
      <w:r w:rsidR="009B0B16" w:rsidRPr="003A57BB">
        <w:rPr>
          <w:rFonts w:ascii="Times New Roman" w:hAnsi="Times New Roman"/>
          <w:color w:val="000000"/>
          <w:sz w:val="24"/>
          <w:szCs w:val="24"/>
        </w:rPr>
        <w:t>преглед</w:t>
      </w:r>
      <w:r w:rsidR="00EF7776" w:rsidRPr="003A57BB">
        <w:rPr>
          <w:rFonts w:ascii="Times New Roman" w:hAnsi="Times New Roman"/>
          <w:color w:val="000000"/>
          <w:sz w:val="24"/>
          <w:szCs w:val="24"/>
        </w:rPr>
        <w:t xml:space="preserve"> </w:t>
      </w:r>
      <w:r w:rsidR="009B0B16" w:rsidRPr="003A57BB">
        <w:rPr>
          <w:rFonts w:ascii="Times New Roman" w:hAnsi="Times New Roman"/>
          <w:color w:val="000000"/>
          <w:sz w:val="24"/>
          <w:szCs w:val="24"/>
        </w:rPr>
        <w:t>имовине</w:t>
      </w:r>
      <w:r w:rsidR="00EF7776" w:rsidRPr="003A57BB">
        <w:rPr>
          <w:rFonts w:ascii="Times New Roman" w:hAnsi="Times New Roman"/>
          <w:color w:val="000000"/>
          <w:sz w:val="24"/>
          <w:szCs w:val="24"/>
        </w:rPr>
        <w:t xml:space="preserve">, </w:t>
      </w:r>
      <w:r w:rsidR="009B0B16" w:rsidRPr="003A57BB">
        <w:rPr>
          <w:rFonts w:ascii="Times New Roman" w:hAnsi="Times New Roman"/>
          <w:color w:val="000000"/>
          <w:sz w:val="24"/>
          <w:szCs w:val="24"/>
        </w:rPr>
        <w:t>обавеза</w:t>
      </w:r>
      <w:r w:rsidR="00EF7776" w:rsidRPr="003A57BB">
        <w:rPr>
          <w:rFonts w:ascii="Times New Roman" w:hAnsi="Times New Roman"/>
          <w:color w:val="000000"/>
          <w:sz w:val="24"/>
          <w:szCs w:val="24"/>
        </w:rPr>
        <w:t xml:space="preserve"> </w:t>
      </w:r>
      <w:r w:rsidR="009B0B16" w:rsidRPr="003A57BB">
        <w:rPr>
          <w:rFonts w:ascii="Times New Roman" w:hAnsi="Times New Roman"/>
          <w:color w:val="000000"/>
          <w:sz w:val="24"/>
          <w:szCs w:val="24"/>
        </w:rPr>
        <w:t>и</w:t>
      </w:r>
      <w:r w:rsidR="00EF7776" w:rsidRPr="003A57BB">
        <w:rPr>
          <w:rFonts w:ascii="Times New Roman" w:hAnsi="Times New Roman"/>
          <w:color w:val="000000"/>
          <w:sz w:val="24"/>
          <w:szCs w:val="24"/>
        </w:rPr>
        <w:t xml:space="preserve"> </w:t>
      </w:r>
      <w:r w:rsidR="009B0B16" w:rsidRPr="003A57BB">
        <w:rPr>
          <w:rFonts w:ascii="Times New Roman" w:hAnsi="Times New Roman"/>
          <w:color w:val="000000"/>
          <w:sz w:val="24"/>
          <w:szCs w:val="24"/>
        </w:rPr>
        <w:t>капитала</w:t>
      </w:r>
      <w:r w:rsidR="007C10F6" w:rsidRPr="003A57BB">
        <w:rPr>
          <w:rFonts w:ascii="Times New Roman" w:hAnsi="Times New Roman"/>
          <w:color w:val="000000"/>
          <w:sz w:val="24"/>
          <w:szCs w:val="24"/>
        </w:rPr>
        <w:t xml:space="preserve"> </w:t>
      </w:r>
      <w:r w:rsidR="009B0B16" w:rsidRPr="003A57BB">
        <w:rPr>
          <w:rFonts w:ascii="Times New Roman" w:hAnsi="Times New Roman"/>
          <w:color w:val="000000"/>
          <w:sz w:val="24"/>
          <w:szCs w:val="24"/>
        </w:rPr>
        <w:t>правног</w:t>
      </w:r>
      <w:r w:rsidR="007C10F6" w:rsidRPr="003A57BB">
        <w:rPr>
          <w:rFonts w:ascii="Times New Roman" w:hAnsi="Times New Roman"/>
          <w:color w:val="000000"/>
          <w:sz w:val="24"/>
          <w:szCs w:val="24"/>
        </w:rPr>
        <w:t xml:space="preserve"> </w:t>
      </w:r>
      <w:r w:rsidR="009B0B16" w:rsidRPr="003A57BB">
        <w:rPr>
          <w:rFonts w:ascii="Times New Roman" w:hAnsi="Times New Roman"/>
          <w:color w:val="000000"/>
          <w:sz w:val="24"/>
          <w:szCs w:val="24"/>
        </w:rPr>
        <w:t>лица</w:t>
      </w:r>
      <w:r w:rsidR="007C10F6" w:rsidRPr="003A57BB">
        <w:rPr>
          <w:rFonts w:ascii="Times New Roman" w:hAnsi="Times New Roman"/>
          <w:color w:val="000000"/>
          <w:sz w:val="24"/>
          <w:szCs w:val="24"/>
        </w:rPr>
        <w:t xml:space="preserve"> </w:t>
      </w:r>
      <w:r w:rsidR="009B0B16" w:rsidRPr="003A57BB">
        <w:rPr>
          <w:rFonts w:ascii="Times New Roman" w:hAnsi="Times New Roman"/>
          <w:color w:val="000000"/>
          <w:sz w:val="24"/>
          <w:szCs w:val="24"/>
        </w:rPr>
        <w:t>на</w:t>
      </w:r>
      <w:r w:rsidR="007C10F6" w:rsidRPr="003A57BB">
        <w:rPr>
          <w:rFonts w:ascii="Times New Roman" w:hAnsi="Times New Roman"/>
          <w:color w:val="000000"/>
          <w:sz w:val="24"/>
          <w:szCs w:val="24"/>
        </w:rPr>
        <w:t xml:space="preserve"> </w:t>
      </w:r>
      <w:r w:rsidR="009B0B16" w:rsidRPr="003A57BB">
        <w:rPr>
          <w:rFonts w:ascii="Times New Roman" w:hAnsi="Times New Roman"/>
          <w:color w:val="000000"/>
          <w:sz w:val="24"/>
          <w:szCs w:val="24"/>
        </w:rPr>
        <w:t>одређени</w:t>
      </w:r>
      <w:r w:rsidR="007C10F6" w:rsidRPr="003A57BB">
        <w:rPr>
          <w:rFonts w:ascii="Times New Roman" w:hAnsi="Times New Roman"/>
          <w:color w:val="000000"/>
          <w:sz w:val="24"/>
          <w:szCs w:val="24"/>
        </w:rPr>
        <w:t xml:space="preserve"> </w:t>
      </w:r>
      <w:r w:rsidR="009B0B16" w:rsidRPr="003A57BB">
        <w:rPr>
          <w:rFonts w:ascii="Times New Roman" w:hAnsi="Times New Roman"/>
          <w:color w:val="000000"/>
          <w:sz w:val="24"/>
          <w:szCs w:val="24"/>
        </w:rPr>
        <w:t>дан</w:t>
      </w:r>
      <w:r w:rsidR="007C10F6" w:rsidRPr="003A57BB">
        <w:rPr>
          <w:rFonts w:ascii="Times New Roman" w:hAnsi="Times New Roman"/>
          <w:color w:val="000000"/>
          <w:sz w:val="24"/>
          <w:szCs w:val="24"/>
          <w:lang w:val="sr-Cyrl-CS"/>
        </w:rPr>
        <w:t xml:space="preserve">. </w:t>
      </w:r>
      <w:r w:rsidR="007C10F6" w:rsidRPr="003A57BB">
        <w:rPr>
          <w:rFonts w:ascii="Times New Roman" w:hAnsi="Times New Roman"/>
          <w:sz w:val="24"/>
          <w:szCs w:val="24"/>
          <w:lang w:val="sr-Cyrl-CS"/>
        </w:rPr>
        <w:t>Биланс стања осликава фиансијски положај предузећа на одређен дан и његови елементи су актива и пасива</w:t>
      </w:r>
      <w:r w:rsidR="0004129E" w:rsidRPr="003A57BB">
        <w:rPr>
          <w:rFonts w:ascii="Times New Roman" w:hAnsi="Times New Roman"/>
          <w:sz w:val="24"/>
          <w:szCs w:val="24"/>
          <w:lang w:val="sr-Cyrl-CS"/>
        </w:rPr>
        <w:t>. Активу</w:t>
      </w:r>
      <w:r w:rsidR="00A353FD" w:rsidRPr="003A57BB">
        <w:rPr>
          <w:rFonts w:ascii="Times New Roman" w:hAnsi="Times New Roman"/>
          <w:sz w:val="24"/>
          <w:szCs w:val="24"/>
          <w:lang w:val="sr-Cyrl-CS"/>
        </w:rPr>
        <w:t>, која се налази на левој страни биланса,</w:t>
      </w:r>
      <w:r w:rsidRPr="003A57BB">
        <w:rPr>
          <w:rFonts w:ascii="Times New Roman" w:hAnsi="Times New Roman"/>
          <w:sz w:val="24"/>
          <w:szCs w:val="24"/>
          <w:lang w:val="sr-Cyrl-CS"/>
        </w:rPr>
        <w:t xml:space="preserve"> чини структура средстава и она указује на </w:t>
      </w:r>
      <w:r w:rsidR="0004129E" w:rsidRPr="003A57BB">
        <w:rPr>
          <w:rFonts w:ascii="Times New Roman" w:hAnsi="Times New Roman"/>
          <w:sz w:val="24"/>
          <w:szCs w:val="24"/>
          <w:lang w:val="sr-Cyrl-CS"/>
        </w:rPr>
        <w:t>начин на који су средства уложена</w:t>
      </w:r>
      <w:r w:rsidR="00A353FD" w:rsidRPr="003A57BB">
        <w:rPr>
          <w:rFonts w:ascii="Times New Roman" w:hAnsi="Times New Roman"/>
          <w:sz w:val="24"/>
          <w:szCs w:val="24"/>
          <w:lang w:val="sr-Cyrl-CS"/>
        </w:rPr>
        <w:t xml:space="preserve"> (основна средства, обртна средства)</w:t>
      </w:r>
      <w:r w:rsidR="0004129E" w:rsidRPr="003A57BB">
        <w:rPr>
          <w:rFonts w:ascii="Times New Roman" w:hAnsi="Times New Roman"/>
          <w:sz w:val="24"/>
          <w:szCs w:val="24"/>
          <w:lang w:val="sr-Cyrl-CS"/>
        </w:rPr>
        <w:t>. Пасиву</w:t>
      </w:r>
      <w:r w:rsidR="00A353FD" w:rsidRPr="003A57BB">
        <w:rPr>
          <w:rFonts w:ascii="Times New Roman" w:hAnsi="Times New Roman"/>
          <w:sz w:val="24"/>
          <w:szCs w:val="24"/>
          <w:lang w:val="sr-Cyrl-CS"/>
        </w:rPr>
        <w:t xml:space="preserve">, која </w:t>
      </w:r>
      <w:r w:rsidR="00F35F8F" w:rsidRPr="003A57BB">
        <w:rPr>
          <w:rFonts w:ascii="Times New Roman" w:hAnsi="Times New Roman"/>
          <w:sz w:val="24"/>
          <w:szCs w:val="24"/>
          <w:lang w:val="sr-Cyrl-CS"/>
        </w:rPr>
        <w:t>се налази на десној страни билан</w:t>
      </w:r>
      <w:r w:rsidR="00A353FD" w:rsidRPr="003A57BB">
        <w:rPr>
          <w:rFonts w:ascii="Times New Roman" w:hAnsi="Times New Roman"/>
          <w:sz w:val="24"/>
          <w:szCs w:val="24"/>
          <w:lang w:val="sr-Cyrl-CS"/>
        </w:rPr>
        <w:t>са,</w:t>
      </w:r>
      <w:r w:rsidR="0004129E" w:rsidRPr="003A57BB">
        <w:rPr>
          <w:rFonts w:ascii="Times New Roman" w:hAnsi="Times New Roman"/>
          <w:sz w:val="24"/>
          <w:szCs w:val="24"/>
          <w:lang w:val="sr-Cyrl-CS"/>
        </w:rPr>
        <w:t xml:space="preserve"> чини структура извора финансирања средстава и она указује на ефекте финасијске активности</w:t>
      </w:r>
      <w:r w:rsidR="00A353FD" w:rsidRPr="003A57BB">
        <w:rPr>
          <w:rFonts w:ascii="Times New Roman" w:hAnsi="Times New Roman"/>
          <w:sz w:val="24"/>
          <w:szCs w:val="24"/>
          <w:lang w:val="sr-Cyrl-CS"/>
        </w:rPr>
        <w:t xml:space="preserve"> (сопствени капитал, позајмљени капитал)</w:t>
      </w:r>
      <w:r w:rsidR="0004129E" w:rsidRPr="003A57BB">
        <w:rPr>
          <w:rFonts w:ascii="Times New Roman" w:hAnsi="Times New Roman"/>
          <w:sz w:val="24"/>
          <w:szCs w:val="24"/>
          <w:lang w:val="sr-Cyrl-CS"/>
        </w:rPr>
        <w:t xml:space="preserve">. </w:t>
      </w:r>
      <w:r w:rsidR="00EF7ADE" w:rsidRPr="003A57BB">
        <w:rPr>
          <w:rFonts w:ascii="Times New Roman" w:hAnsi="Times New Roman"/>
          <w:sz w:val="24"/>
          <w:szCs w:val="24"/>
          <w:lang w:val="sr-Cyrl-CS"/>
        </w:rPr>
        <w:t xml:space="preserve">Активна конта (класе) су 0, 1, 2 и 5, док су пасивна конта 3, 4 и 6. Активно-пасивна конта су 7, 8 и 9. </w:t>
      </w:r>
      <w:r w:rsidR="00A353FD" w:rsidRPr="003A57BB">
        <w:rPr>
          <w:rFonts w:ascii="Times New Roman" w:hAnsi="Times New Roman"/>
          <w:sz w:val="24"/>
          <w:szCs w:val="24"/>
          <w:lang w:val="sr-Cyrl-CS"/>
        </w:rPr>
        <w:t>Актива и пасива морају бити у равнотежи</w:t>
      </w:r>
      <w:r w:rsidR="00EF7ADE" w:rsidRPr="003A57BB">
        <w:rPr>
          <w:rFonts w:ascii="Times New Roman" w:hAnsi="Times New Roman"/>
          <w:sz w:val="24"/>
          <w:szCs w:val="24"/>
          <w:lang w:val="sr-Cyrl-CS"/>
        </w:rPr>
        <w:t xml:space="preserve"> и у биласну стања </w:t>
      </w:r>
      <w:r w:rsidR="00A353FD" w:rsidRPr="003A57BB">
        <w:rPr>
          <w:rFonts w:ascii="Times New Roman" w:hAnsi="Times New Roman"/>
          <w:sz w:val="24"/>
          <w:szCs w:val="24"/>
          <w:lang w:val="sr-Cyrl-CS"/>
        </w:rPr>
        <w:t>се врши рачунско упоређивање акти</w:t>
      </w:r>
      <w:r w:rsidRPr="003A57BB">
        <w:rPr>
          <w:rFonts w:ascii="Times New Roman" w:hAnsi="Times New Roman"/>
          <w:sz w:val="24"/>
          <w:szCs w:val="24"/>
          <w:lang w:val="sr-Cyrl-CS"/>
        </w:rPr>
        <w:t>ве (имовине) и пасиве (капитал);</w:t>
      </w:r>
    </w:p>
    <w:p w:rsidR="00885E29" w:rsidRPr="003A57BB" w:rsidRDefault="00885E29" w:rsidP="003A57BB">
      <w:pPr>
        <w:jc w:val="both"/>
        <w:rPr>
          <w:rFonts w:ascii="Times New Roman" w:hAnsi="Times New Roman"/>
          <w:color w:val="000000"/>
          <w:sz w:val="24"/>
          <w:szCs w:val="24"/>
          <w:lang w:val="sr-Cyrl-CS"/>
        </w:rPr>
      </w:pPr>
    </w:p>
    <w:p w:rsidR="00EF7776" w:rsidRPr="004F6A19" w:rsidRDefault="00885E29" w:rsidP="003A57BB">
      <w:pPr>
        <w:jc w:val="both"/>
        <w:rPr>
          <w:rFonts w:ascii="Times New Roman" w:hAnsi="Times New Roman"/>
          <w:color w:val="000000"/>
          <w:sz w:val="24"/>
          <w:szCs w:val="24"/>
          <w:lang w:val="sr-Cyrl-CS"/>
        </w:rPr>
      </w:pPr>
      <w:r w:rsidRPr="003A57BB">
        <w:rPr>
          <w:rFonts w:ascii="Times New Roman" w:hAnsi="Times New Roman"/>
          <w:color w:val="000000"/>
          <w:sz w:val="24"/>
          <w:szCs w:val="24"/>
          <w:lang w:val="sr-Cyrl-CS"/>
        </w:rPr>
        <w:lastRenderedPageBreak/>
        <w:t>(2)</w:t>
      </w:r>
      <w:r w:rsidR="009B0B16" w:rsidRPr="003A57BB">
        <w:rPr>
          <w:rFonts w:ascii="Times New Roman" w:hAnsi="Times New Roman"/>
          <w:color w:val="000000"/>
          <w:sz w:val="24"/>
          <w:szCs w:val="24"/>
        </w:rPr>
        <w:t>Биланс</w:t>
      </w:r>
      <w:r w:rsidR="00EF7776" w:rsidRPr="003A57BB">
        <w:rPr>
          <w:rFonts w:ascii="Times New Roman" w:hAnsi="Times New Roman"/>
          <w:color w:val="000000"/>
          <w:sz w:val="24"/>
          <w:szCs w:val="24"/>
        </w:rPr>
        <w:t xml:space="preserve"> </w:t>
      </w:r>
      <w:r w:rsidR="009B0B16" w:rsidRPr="003A57BB">
        <w:rPr>
          <w:rFonts w:ascii="Times New Roman" w:hAnsi="Times New Roman"/>
          <w:color w:val="000000"/>
          <w:sz w:val="24"/>
          <w:szCs w:val="24"/>
        </w:rPr>
        <w:t>успеха</w:t>
      </w:r>
      <w:r w:rsidR="00EF7776" w:rsidRPr="003A57BB">
        <w:rPr>
          <w:rFonts w:ascii="Times New Roman" w:hAnsi="Times New Roman"/>
          <w:color w:val="000000"/>
          <w:sz w:val="24"/>
          <w:szCs w:val="24"/>
        </w:rPr>
        <w:t xml:space="preserve">, </w:t>
      </w:r>
      <w:r w:rsidR="009B0B16" w:rsidRPr="003A57BB">
        <w:rPr>
          <w:rFonts w:ascii="Times New Roman" w:hAnsi="Times New Roman"/>
          <w:color w:val="000000"/>
          <w:sz w:val="24"/>
          <w:szCs w:val="24"/>
        </w:rPr>
        <w:t>који</w:t>
      </w:r>
      <w:r w:rsidR="00EF7776" w:rsidRPr="003A57BB">
        <w:rPr>
          <w:rFonts w:ascii="Times New Roman" w:hAnsi="Times New Roman"/>
          <w:color w:val="000000"/>
          <w:sz w:val="24"/>
          <w:szCs w:val="24"/>
        </w:rPr>
        <w:t xml:space="preserve"> </w:t>
      </w:r>
      <w:r w:rsidR="009B0B16" w:rsidRPr="003A57BB">
        <w:rPr>
          <w:rFonts w:ascii="Times New Roman" w:hAnsi="Times New Roman"/>
          <w:color w:val="000000"/>
          <w:sz w:val="24"/>
          <w:szCs w:val="24"/>
        </w:rPr>
        <w:t>представља</w:t>
      </w:r>
      <w:r w:rsidR="00EF7776" w:rsidRPr="003A57BB">
        <w:rPr>
          <w:rFonts w:ascii="Times New Roman" w:hAnsi="Times New Roman"/>
          <w:color w:val="000000"/>
          <w:sz w:val="24"/>
          <w:szCs w:val="24"/>
        </w:rPr>
        <w:t xml:space="preserve"> </w:t>
      </w:r>
      <w:r w:rsidR="009B0B16" w:rsidRPr="003A57BB">
        <w:rPr>
          <w:rFonts w:ascii="Times New Roman" w:hAnsi="Times New Roman"/>
          <w:color w:val="000000"/>
          <w:sz w:val="24"/>
          <w:szCs w:val="24"/>
        </w:rPr>
        <w:t>преглед</w:t>
      </w:r>
      <w:r w:rsidR="00EF7776" w:rsidRPr="003A57BB">
        <w:rPr>
          <w:rFonts w:ascii="Times New Roman" w:hAnsi="Times New Roman"/>
          <w:color w:val="000000"/>
          <w:sz w:val="24"/>
          <w:szCs w:val="24"/>
        </w:rPr>
        <w:t xml:space="preserve"> </w:t>
      </w:r>
      <w:r w:rsidR="009B0B16" w:rsidRPr="003A57BB">
        <w:rPr>
          <w:rFonts w:ascii="Times New Roman" w:hAnsi="Times New Roman"/>
          <w:color w:val="000000"/>
          <w:sz w:val="24"/>
          <w:szCs w:val="24"/>
        </w:rPr>
        <w:t>прихода</w:t>
      </w:r>
      <w:r w:rsidR="00EF7776" w:rsidRPr="003A57BB">
        <w:rPr>
          <w:rFonts w:ascii="Times New Roman" w:hAnsi="Times New Roman"/>
          <w:color w:val="000000"/>
          <w:sz w:val="24"/>
          <w:szCs w:val="24"/>
        </w:rPr>
        <w:t xml:space="preserve">, </w:t>
      </w:r>
      <w:r w:rsidR="009B0B16" w:rsidRPr="003A57BB">
        <w:rPr>
          <w:rFonts w:ascii="Times New Roman" w:hAnsi="Times New Roman"/>
          <w:color w:val="000000"/>
          <w:sz w:val="24"/>
          <w:szCs w:val="24"/>
        </w:rPr>
        <w:t>расхода</w:t>
      </w:r>
      <w:r w:rsidR="00EF7776" w:rsidRPr="003A57BB">
        <w:rPr>
          <w:rFonts w:ascii="Times New Roman" w:hAnsi="Times New Roman"/>
          <w:color w:val="000000"/>
          <w:sz w:val="24"/>
          <w:szCs w:val="24"/>
        </w:rPr>
        <w:t xml:space="preserve"> </w:t>
      </w:r>
      <w:r w:rsidR="009B0B16" w:rsidRPr="003A57BB">
        <w:rPr>
          <w:rFonts w:ascii="Times New Roman" w:hAnsi="Times New Roman"/>
          <w:color w:val="000000"/>
          <w:sz w:val="24"/>
          <w:szCs w:val="24"/>
        </w:rPr>
        <w:t>и</w:t>
      </w:r>
      <w:r w:rsidR="00EF7776" w:rsidRPr="003A57BB">
        <w:rPr>
          <w:rFonts w:ascii="Times New Roman" w:hAnsi="Times New Roman"/>
          <w:color w:val="000000"/>
          <w:sz w:val="24"/>
          <w:szCs w:val="24"/>
        </w:rPr>
        <w:t xml:space="preserve"> </w:t>
      </w:r>
      <w:r w:rsidR="009B0B16" w:rsidRPr="003A57BB">
        <w:rPr>
          <w:rFonts w:ascii="Times New Roman" w:hAnsi="Times New Roman"/>
          <w:color w:val="000000"/>
          <w:sz w:val="24"/>
          <w:szCs w:val="24"/>
        </w:rPr>
        <w:t>резултата</w:t>
      </w:r>
      <w:r w:rsidR="00EF7776" w:rsidRPr="003A57BB">
        <w:rPr>
          <w:rFonts w:ascii="Times New Roman" w:hAnsi="Times New Roman"/>
          <w:color w:val="000000"/>
          <w:sz w:val="24"/>
          <w:szCs w:val="24"/>
        </w:rPr>
        <w:t xml:space="preserve"> </w:t>
      </w:r>
      <w:r w:rsidR="009B0B16" w:rsidRPr="003A57BB">
        <w:rPr>
          <w:rFonts w:ascii="Times New Roman" w:hAnsi="Times New Roman"/>
          <w:color w:val="000000"/>
          <w:sz w:val="24"/>
          <w:szCs w:val="24"/>
        </w:rPr>
        <w:t>пословања</w:t>
      </w:r>
      <w:r w:rsidR="00EF7776" w:rsidRPr="003A57BB">
        <w:rPr>
          <w:rFonts w:ascii="Times New Roman" w:hAnsi="Times New Roman"/>
          <w:color w:val="000000"/>
          <w:sz w:val="24"/>
          <w:szCs w:val="24"/>
        </w:rPr>
        <w:t xml:space="preserve"> </w:t>
      </w:r>
      <w:r w:rsidR="007C10F6" w:rsidRPr="003A57BB">
        <w:rPr>
          <w:rFonts w:ascii="Times New Roman" w:hAnsi="Times New Roman"/>
          <w:color w:val="000000"/>
          <w:sz w:val="24"/>
          <w:szCs w:val="24"/>
          <w:lang w:val="sr-Cyrl-CS"/>
        </w:rPr>
        <w:t xml:space="preserve">(губитак или добитак) </w:t>
      </w:r>
      <w:r w:rsidR="009B0B16" w:rsidRPr="003A57BB">
        <w:rPr>
          <w:rFonts w:ascii="Times New Roman" w:hAnsi="Times New Roman"/>
          <w:color w:val="000000"/>
          <w:sz w:val="24"/>
          <w:szCs w:val="24"/>
        </w:rPr>
        <w:t>насталих</w:t>
      </w:r>
      <w:r w:rsidR="007C10F6" w:rsidRPr="003A57BB">
        <w:rPr>
          <w:rFonts w:ascii="Times New Roman" w:hAnsi="Times New Roman"/>
          <w:color w:val="000000"/>
          <w:sz w:val="24"/>
          <w:szCs w:val="24"/>
        </w:rPr>
        <w:t xml:space="preserve"> </w:t>
      </w:r>
      <w:r w:rsidR="009B0B16" w:rsidRPr="003A57BB">
        <w:rPr>
          <w:rFonts w:ascii="Times New Roman" w:hAnsi="Times New Roman"/>
          <w:color w:val="000000"/>
          <w:sz w:val="24"/>
          <w:szCs w:val="24"/>
        </w:rPr>
        <w:t>у</w:t>
      </w:r>
      <w:r w:rsidR="007C10F6" w:rsidRPr="003A57BB">
        <w:rPr>
          <w:rFonts w:ascii="Times New Roman" w:hAnsi="Times New Roman"/>
          <w:color w:val="000000"/>
          <w:sz w:val="24"/>
          <w:szCs w:val="24"/>
        </w:rPr>
        <w:t xml:space="preserve"> </w:t>
      </w:r>
      <w:r w:rsidR="009B0B16" w:rsidRPr="003A57BB">
        <w:rPr>
          <w:rFonts w:ascii="Times New Roman" w:hAnsi="Times New Roman"/>
          <w:color w:val="000000"/>
          <w:sz w:val="24"/>
          <w:szCs w:val="24"/>
        </w:rPr>
        <w:t>одређеном</w:t>
      </w:r>
      <w:r w:rsidR="007C10F6" w:rsidRPr="003A57BB">
        <w:rPr>
          <w:rFonts w:ascii="Times New Roman" w:hAnsi="Times New Roman"/>
          <w:color w:val="000000"/>
          <w:sz w:val="24"/>
          <w:szCs w:val="24"/>
        </w:rPr>
        <w:t xml:space="preserve"> </w:t>
      </w:r>
      <w:r w:rsidR="009B0B16" w:rsidRPr="003A57BB">
        <w:rPr>
          <w:rFonts w:ascii="Times New Roman" w:hAnsi="Times New Roman"/>
          <w:color w:val="000000"/>
          <w:sz w:val="24"/>
          <w:szCs w:val="24"/>
        </w:rPr>
        <w:t>периоду</w:t>
      </w:r>
      <w:r w:rsidR="007C10F6" w:rsidRPr="003A57BB">
        <w:rPr>
          <w:rFonts w:ascii="Times New Roman" w:hAnsi="Times New Roman"/>
          <w:color w:val="000000"/>
          <w:sz w:val="24"/>
          <w:szCs w:val="24"/>
          <w:lang w:val="sr-Cyrl-CS"/>
        </w:rPr>
        <w:t>. Најчешће се односи на период од г</w:t>
      </w:r>
      <w:r w:rsidR="00BF5413" w:rsidRPr="003A57BB">
        <w:rPr>
          <w:rFonts w:ascii="Times New Roman" w:hAnsi="Times New Roman"/>
          <w:color w:val="000000"/>
          <w:sz w:val="24"/>
          <w:szCs w:val="24"/>
          <w:lang w:val="sr-Cyrl-CS"/>
        </w:rPr>
        <w:t>одину дана али може бити периоди</w:t>
      </w:r>
      <w:r w:rsidR="007C10F6" w:rsidRPr="003A57BB">
        <w:rPr>
          <w:rFonts w:ascii="Times New Roman" w:hAnsi="Times New Roman"/>
          <w:color w:val="000000"/>
          <w:sz w:val="24"/>
          <w:szCs w:val="24"/>
          <w:lang w:val="sr-Cyrl-CS"/>
        </w:rPr>
        <w:t>чан, односно везан за одређени временски период.</w:t>
      </w:r>
      <w:r w:rsidR="007C10F6" w:rsidRPr="009B0B16">
        <w:rPr>
          <w:color w:val="000000"/>
          <w:lang w:val="sr-Cyrl-CS"/>
        </w:rPr>
        <w:t xml:space="preserve"> </w:t>
      </w:r>
      <w:r w:rsidR="007C10F6" w:rsidRPr="004F6A19">
        <w:rPr>
          <w:rFonts w:ascii="Times New Roman" w:hAnsi="Times New Roman"/>
          <w:color w:val="000000"/>
          <w:sz w:val="24"/>
          <w:szCs w:val="24"/>
          <w:lang w:val="sr-Cyrl-CS"/>
        </w:rPr>
        <w:t>Према томе, елементи биланса успеха су приходи и расходи.</w:t>
      </w:r>
      <w:r w:rsidR="00A353FD" w:rsidRPr="004F6A19">
        <w:rPr>
          <w:rFonts w:ascii="Times New Roman" w:hAnsi="Times New Roman"/>
          <w:color w:val="000000"/>
          <w:sz w:val="24"/>
          <w:szCs w:val="24"/>
          <w:lang w:val="sr-Cyrl-CS"/>
        </w:rPr>
        <w:t xml:space="preserve"> Њихова</w:t>
      </w:r>
      <w:r w:rsidRPr="004F6A19">
        <w:rPr>
          <w:rFonts w:ascii="Times New Roman" w:hAnsi="Times New Roman"/>
          <w:color w:val="000000"/>
          <w:sz w:val="24"/>
          <w:szCs w:val="24"/>
          <w:lang w:val="sr-Cyrl-CS"/>
        </w:rPr>
        <w:t xml:space="preserve"> разлика чини пословни резултат;</w:t>
      </w:r>
    </w:p>
    <w:p w:rsidR="00885E29" w:rsidRPr="009B0B16" w:rsidRDefault="00885E29" w:rsidP="00C71E5B">
      <w:pPr>
        <w:pStyle w:val="normaluvuceni3"/>
        <w:shd w:val="clear" w:color="auto" w:fill="FFFFFF"/>
        <w:spacing w:before="48" w:beforeAutospacing="0" w:after="48" w:afterAutospacing="0"/>
        <w:jc w:val="both"/>
        <w:rPr>
          <w:color w:val="000000"/>
          <w:lang w:val="sr-Cyrl-CS"/>
        </w:rPr>
      </w:pPr>
    </w:p>
    <w:p w:rsidR="00885E29" w:rsidRPr="009B0B16" w:rsidRDefault="00885E29" w:rsidP="00C71E5B">
      <w:pPr>
        <w:jc w:val="both"/>
        <w:rPr>
          <w:rFonts w:ascii="Times New Roman" w:hAnsi="Times New Roman"/>
          <w:color w:val="000000"/>
          <w:sz w:val="24"/>
          <w:szCs w:val="24"/>
          <w:shd w:val="clear" w:color="auto" w:fill="FFFFFF"/>
          <w:lang w:val="sr-Cyrl-CS"/>
        </w:rPr>
      </w:pPr>
      <w:r>
        <w:rPr>
          <w:rFonts w:ascii="Times New Roman" w:hAnsi="Times New Roman"/>
          <w:color w:val="000000"/>
          <w:sz w:val="24"/>
          <w:szCs w:val="24"/>
          <w:shd w:val="clear" w:color="auto" w:fill="FFFFFF"/>
          <w:lang w:val="sr-Cyrl-CS"/>
        </w:rPr>
        <w:t>(3)</w:t>
      </w:r>
      <w:r w:rsidR="009B0B16">
        <w:rPr>
          <w:rFonts w:ascii="Times New Roman" w:hAnsi="Times New Roman"/>
          <w:color w:val="000000"/>
          <w:sz w:val="24"/>
          <w:szCs w:val="24"/>
          <w:shd w:val="clear" w:color="auto" w:fill="FFFFFF"/>
        </w:rPr>
        <w:t>Извештај</w:t>
      </w:r>
      <w:r w:rsidR="00EF7776" w:rsidRPr="009B0B16">
        <w:rPr>
          <w:rFonts w:ascii="Times New Roman" w:hAnsi="Times New Roman"/>
          <w:color w:val="000000"/>
          <w:sz w:val="24"/>
          <w:szCs w:val="24"/>
          <w:shd w:val="clear" w:color="auto" w:fill="FFFFFF"/>
        </w:rPr>
        <w:t xml:space="preserve"> </w:t>
      </w:r>
      <w:r w:rsidR="009B0B16">
        <w:rPr>
          <w:rFonts w:ascii="Times New Roman" w:hAnsi="Times New Roman"/>
          <w:color w:val="000000"/>
          <w:sz w:val="24"/>
          <w:szCs w:val="24"/>
          <w:shd w:val="clear" w:color="auto" w:fill="FFFFFF"/>
        </w:rPr>
        <w:t>о</w:t>
      </w:r>
      <w:r w:rsidR="00EF7776" w:rsidRPr="009B0B16">
        <w:rPr>
          <w:rFonts w:ascii="Times New Roman" w:hAnsi="Times New Roman"/>
          <w:color w:val="000000"/>
          <w:sz w:val="24"/>
          <w:szCs w:val="24"/>
          <w:shd w:val="clear" w:color="auto" w:fill="FFFFFF"/>
        </w:rPr>
        <w:t xml:space="preserve"> </w:t>
      </w:r>
      <w:r w:rsidR="009B0B16">
        <w:rPr>
          <w:rFonts w:ascii="Times New Roman" w:hAnsi="Times New Roman"/>
          <w:color w:val="000000"/>
          <w:sz w:val="24"/>
          <w:szCs w:val="24"/>
          <w:shd w:val="clear" w:color="auto" w:fill="FFFFFF"/>
        </w:rPr>
        <w:t>осталом</w:t>
      </w:r>
      <w:r w:rsidR="00EF7776" w:rsidRPr="009B0B16">
        <w:rPr>
          <w:rFonts w:ascii="Times New Roman" w:hAnsi="Times New Roman"/>
          <w:color w:val="000000"/>
          <w:sz w:val="24"/>
          <w:szCs w:val="24"/>
          <w:shd w:val="clear" w:color="auto" w:fill="FFFFFF"/>
        </w:rPr>
        <w:t xml:space="preserve"> </w:t>
      </w:r>
      <w:r w:rsidR="009B0B16">
        <w:rPr>
          <w:rFonts w:ascii="Times New Roman" w:hAnsi="Times New Roman"/>
          <w:color w:val="000000"/>
          <w:sz w:val="24"/>
          <w:szCs w:val="24"/>
          <w:shd w:val="clear" w:color="auto" w:fill="FFFFFF"/>
        </w:rPr>
        <w:t>резултату</w:t>
      </w:r>
      <w:r w:rsidR="00EF7776" w:rsidRPr="009B0B16">
        <w:rPr>
          <w:rFonts w:ascii="Times New Roman" w:hAnsi="Times New Roman"/>
          <w:color w:val="000000"/>
          <w:sz w:val="24"/>
          <w:szCs w:val="24"/>
          <w:shd w:val="clear" w:color="auto" w:fill="FFFFFF"/>
        </w:rPr>
        <w:t xml:space="preserve">, </w:t>
      </w:r>
      <w:r w:rsidR="009B0B16">
        <w:rPr>
          <w:rFonts w:ascii="Times New Roman" w:hAnsi="Times New Roman"/>
          <w:color w:val="000000"/>
          <w:sz w:val="24"/>
          <w:szCs w:val="24"/>
          <w:shd w:val="clear" w:color="auto" w:fill="FFFFFF"/>
        </w:rPr>
        <w:t>који</w:t>
      </w:r>
      <w:r w:rsidR="00EF7776" w:rsidRPr="009B0B16">
        <w:rPr>
          <w:rFonts w:ascii="Times New Roman" w:hAnsi="Times New Roman"/>
          <w:color w:val="000000"/>
          <w:sz w:val="24"/>
          <w:szCs w:val="24"/>
          <w:shd w:val="clear" w:color="auto" w:fill="FFFFFF"/>
        </w:rPr>
        <w:t xml:space="preserve"> </w:t>
      </w:r>
      <w:r w:rsidR="009B0B16">
        <w:rPr>
          <w:rFonts w:ascii="Times New Roman" w:hAnsi="Times New Roman"/>
          <w:color w:val="000000"/>
          <w:sz w:val="24"/>
          <w:szCs w:val="24"/>
          <w:shd w:val="clear" w:color="auto" w:fill="FFFFFF"/>
        </w:rPr>
        <w:t>чине</w:t>
      </w:r>
      <w:r w:rsidR="00EF7776" w:rsidRPr="009B0B16">
        <w:rPr>
          <w:rFonts w:ascii="Times New Roman" w:hAnsi="Times New Roman"/>
          <w:color w:val="000000"/>
          <w:sz w:val="24"/>
          <w:szCs w:val="24"/>
          <w:shd w:val="clear" w:color="auto" w:fill="FFFFFF"/>
        </w:rPr>
        <w:t xml:space="preserve"> </w:t>
      </w:r>
      <w:r w:rsidR="009B0B16">
        <w:rPr>
          <w:rFonts w:ascii="Times New Roman" w:hAnsi="Times New Roman"/>
          <w:color w:val="000000"/>
          <w:sz w:val="24"/>
          <w:szCs w:val="24"/>
          <w:shd w:val="clear" w:color="auto" w:fill="FFFFFF"/>
        </w:rPr>
        <w:t>ставке</w:t>
      </w:r>
      <w:r w:rsidR="00EF7776" w:rsidRPr="009B0B16">
        <w:rPr>
          <w:rFonts w:ascii="Times New Roman" w:hAnsi="Times New Roman"/>
          <w:color w:val="000000"/>
          <w:sz w:val="24"/>
          <w:szCs w:val="24"/>
          <w:shd w:val="clear" w:color="auto" w:fill="FFFFFF"/>
        </w:rPr>
        <w:t xml:space="preserve"> </w:t>
      </w:r>
      <w:r w:rsidR="009B0B16">
        <w:rPr>
          <w:rFonts w:ascii="Times New Roman" w:hAnsi="Times New Roman"/>
          <w:color w:val="000000"/>
          <w:sz w:val="24"/>
          <w:szCs w:val="24"/>
          <w:shd w:val="clear" w:color="auto" w:fill="FFFFFF"/>
        </w:rPr>
        <w:t>прихода</w:t>
      </w:r>
      <w:r w:rsidR="00EF7776" w:rsidRPr="009B0B16">
        <w:rPr>
          <w:rFonts w:ascii="Times New Roman" w:hAnsi="Times New Roman"/>
          <w:color w:val="000000"/>
          <w:sz w:val="24"/>
          <w:szCs w:val="24"/>
          <w:shd w:val="clear" w:color="auto" w:fill="FFFFFF"/>
        </w:rPr>
        <w:t xml:space="preserve"> </w:t>
      </w:r>
      <w:r w:rsidR="009B0B16">
        <w:rPr>
          <w:rFonts w:ascii="Times New Roman" w:hAnsi="Times New Roman"/>
          <w:color w:val="000000"/>
          <w:sz w:val="24"/>
          <w:szCs w:val="24"/>
          <w:shd w:val="clear" w:color="auto" w:fill="FFFFFF"/>
        </w:rPr>
        <w:t>и</w:t>
      </w:r>
      <w:r w:rsidR="00EF7776" w:rsidRPr="009B0B16">
        <w:rPr>
          <w:rFonts w:ascii="Times New Roman" w:hAnsi="Times New Roman"/>
          <w:color w:val="000000"/>
          <w:sz w:val="24"/>
          <w:szCs w:val="24"/>
          <w:shd w:val="clear" w:color="auto" w:fill="FFFFFF"/>
        </w:rPr>
        <w:t xml:space="preserve"> </w:t>
      </w:r>
      <w:r w:rsidR="009B0B16">
        <w:rPr>
          <w:rFonts w:ascii="Times New Roman" w:hAnsi="Times New Roman"/>
          <w:color w:val="000000"/>
          <w:sz w:val="24"/>
          <w:szCs w:val="24"/>
          <w:shd w:val="clear" w:color="auto" w:fill="FFFFFF"/>
        </w:rPr>
        <w:t>расхода</w:t>
      </w:r>
      <w:r w:rsidR="00EF7776" w:rsidRPr="009B0B16">
        <w:rPr>
          <w:rFonts w:ascii="Times New Roman" w:hAnsi="Times New Roman"/>
          <w:color w:val="000000"/>
          <w:sz w:val="24"/>
          <w:szCs w:val="24"/>
          <w:shd w:val="clear" w:color="auto" w:fill="FFFFFF"/>
        </w:rPr>
        <w:t xml:space="preserve"> (</w:t>
      </w:r>
      <w:r w:rsidR="009B0B16">
        <w:rPr>
          <w:rFonts w:ascii="Times New Roman" w:hAnsi="Times New Roman"/>
          <w:color w:val="000000"/>
          <w:sz w:val="24"/>
          <w:szCs w:val="24"/>
          <w:shd w:val="clear" w:color="auto" w:fill="FFFFFF"/>
        </w:rPr>
        <w:t>укључујући</w:t>
      </w:r>
      <w:r w:rsidR="00EF7776" w:rsidRPr="009B0B16">
        <w:rPr>
          <w:rFonts w:ascii="Times New Roman" w:hAnsi="Times New Roman"/>
          <w:color w:val="000000"/>
          <w:sz w:val="24"/>
          <w:szCs w:val="24"/>
          <w:shd w:val="clear" w:color="auto" w:fill="FFFFFF"/>
        </w:rPr>
        <w:t xml:space="preserve"> </w:t>
      </w:r>
      <w:r w:rsidR="009B0B16">
        <w:rPr>
          <w:rFonts w:ascii="Times New Roman" w:hAnsi="Times New Roman"/>
          <w:color w:val="000000"/>
          <w:sz w:val="24"/>
          <w:szCs w:val="24"/>
          <w:shd w:val="clear" w:color="auto" w:fill="FFFFFF"/>
        </w:rPr>
        <w:t>и</w:t>
      </w:r>
      <w:r w:rsidR="00EF7776" w:rsidRPr="009B0B16">
        <w:rPr>
          <w:rFonts w:ascii="Times New Roman" w:hAnsi="Times New Roman"/>
          <w:color w:val="000000"/>
          <w:sz w:val="24"/>
          <w:szCs w:val="24"/>
          <w:shd w:val="clear" w:color="auto" w:fill="FFFFFF"/>
        </w:rPr>
        <w:t xml:space="preserve"> </w:t>
      </w:r>
      <w:r w:rsidR="009B0B16">
        <w:rPr>
          <w:rFonts w:ascii="Times New Roman" w:hAnsi="Times New Roman"/>
          <w:color w:val="000000"/>
          <w:sz w:val="24"/>
          <w:szCs w:val="24"/>
          <w:shd w:val="clear" w:color="auto" w:fill="FFFFFF"/>
        </w:rPr>
        <w:t>рекласификације</w:t>
      </w:r>
      <w:r w:rsidR="00EF7776" w:rsidRPr="009B0B16">
        <w:rPr>
          <w:rFonts w:ascii="Times New Roman" w:hAnsi="Times New Roman"/>
          <w:color w:val="000000"/>
          <w:sz w:val="24"/>
          <w:szCs w:val="24"/>
          <w:shd w:val="clear" w:color="auto" w:fill="FFFFFF"/>
        </w:rPr>
        <w:t xml:space="preserve"> </w:t>
      </w:r>
      <w:r w:rsidR="009B0B16">
        <w:rPr>
          <w:rFonts w:ascii="Times New Roman" w:hAnsi="Times New Roman"/>
          <w:color w:val="000000"/>
          <w:sz w:val="24"/>
          <w:szCs w:val="24"/>
          <w:shd w:val="clear" w:color="auto" w:fill="FFFFFF"/>
        </w:rPr>
        <w:t>услед</w:t>
      </w:r>
      <w:r w:rsidR="00EF7776" w:rsidRPr="009B0B16">
        <w:rPr>
          <w:rFonts w:ascii="Times New Roman" w:hAnsi="Times New Roman"/>
          <w:color w:val="000000"/>
          <w:sz w:val="24"/>
          <w:szCs w:val="24"/>
          <w:shd w:val="clear" w:color="auto" w:fill="FFFFFF"/>
        </w:rPr>
        <w:t xml:space="preserve"> </w:t>
      </w:r>
      <w:r w:rsidR="009B0B16">
        <w:rPr>
          <w:rFonts w:ascii="Times New Roman" w:hAnsi="Times New Roman"/>
          <w:color w:val="000000"/>
          <w:sz w:val="24"/>
          <w:szCs w:val="24"/>
          <w:shd w:val="clear" w:color="auto" w:fill="FFFFFF"/>
        </w:rPr>
        <w:t>кориговања</w:t>
      </w:r>
      <w:r w:rsidR="00EF7776" w:rsidRPr="009B0B16">
        <w:rPr>
          <w:rFonts w:ascii="Times New Roman" w:hAnsi="Times New Roman"/>
          <w:color w:val="000000"/>
          <w:sz w:val="24"/>
          <w:szCs w:val="24"/>
          <w:shd w:val="clear" w:color="auto" w:fill="FFFFFF"/>
        </w:rPr>
        <w:t xml:space="preserve">), </w:t>
      </w:r>
      <w:r w:rsidR="009B0B16">
        <w:rPr>
          <w:rFonts w:ascii="Times New Roman" w:hAnsi="Times New Roman"/>
          <w:color w:val="000000"/>
          <w:sz w:val="24"/>
          <w:szCs w:val="24"/>
          <w:shd w:val="clear" w:color="auto" w:fill="FFFFFF"/>
        </w:rPr>
        <w:t>које</w:t>
      </w:r>
      <w:r w:rsidR="00EF7776" w:rsidRPr="009B0B16">
        <w:rPr>
          <w:rFonts w:ascii="Times New Roman" w:hAnsi="Times New Roman"/>
          <w:color w:val="000000"/>
          <w:sz w:val="24"/>
          <w:szCs w:val="24"/>
          <w:shd w:val="clear" w:color="auto" w:fill="FFFFFF"/>
        </w:rPr>
        <w:t xml:space="preserve"> </w:t>
      </w:r>
      <w:r w:rsidR="009B0B16">
        <w:rPr>
          <w:rFonts w:ascii="Times New Roman" w:hAnsi="Times New Roman"/>
          <w:color w:val="000000"/>
          <w:sz w:val="24"/>
          <w:szCs w:val="24"/>
          <w:shd w:val="clear" w:color="auto" w:fill="FFFFFF"/>
        </w:rPr>
        <w:t>нису</w:t>
      </w:r>
      <w:r w:rsidR="00EF7776" w:rsidRPr="009B0B16">
        <w:rPr>
          <w:rFonts w:ascii="Times New Roman" w:hAnsi="Times New Roman"/>
          <w:color w:val="000000"/>
          <w:sz w:val="24"/>
          <w:szCs w:val="24"/>
          <w:shd w:val="clear" w:color="auto" w:fill="FFFFFF"/>
        </w:rPr>
        <w:t xml:space="preserve"> </w:t>
      </w:r>
      <w:r w:rsidR="009B0B16">
        <w:rPr>
          <w:rFonts w:ascii="Times New Roman" w:hAnsi="Times New Roman"/>
          <w:color w:val="000000"/>
          <w:sz w:val="24"/>
          <w:szCs w:val="24"/>
          <w:shd w:val="clear" w:color="auto" w:fill="FFFFFF"/>
        </w:rPr>
        <w:t>признате</w:t>
      </w:r>
      <w:r w:rsidR="00EF7776" w:rsidRPr="009B0B16">
        <w:rPr>
          <w:rFonts w:ascii="Times New Roman" w:hAnsi="Times New Roman"/>
          <w:color w:val="000000"/>
          <w:sz w:val="24"/>
          <w:szCs w:val="24"/>
          <w:shd w:val="clear" w:color="auto" w:fill="FFFFFF"/>
        </w:rPr>
        <w:t xml:space="preserve"> </w:t>
      </w:r>
      <w:r w:rsidR="009B0B16">
        <w:rPr>
          <w:rFonts w:ascii="Times New Roman" w:hAnsi="Times New Roman"/>
          <w:color w:val="000000"/>
          <w:sz w:val="24"/>
          <w:szCs w:val="24"/>
          <w:shd w:val="clear" w:color="auto" w:fill="FFFFFF"/>
        </w:rPr>
        <w:t>у</w:t>
      </w:r>
      <w:r w:rsidR="00EF7776" w:rsidRPr="009B0B16">
        <w:rPr>
          <w:rFonts w:ascii="Times New Roman" w:hAnsi="Times New Roman"/>
          <w:color w:val="000000"/>
          <w:sz w:val="24"/>
          <w:szCs w:val="24"/>
          <w:shd w:val="clear" w:color="auto" w:fill="FFFFFF"/>
        </w:rPr>
        <w:t xml:space="preserve"> </w:t>
      </w:r>
      <w:r w:rsidR="009B0B16">
        <w:rPr>
          <w:rFonts w:ascii="Times New Roman" w:hAnsi="Times New Roman"/>
          <w:color w:val="000000"/>
          <w:sz w:val="24"/>
          <w:szCs w:val="24"/>
          <w:shd w:val="clear" w:color="auto" w:fill="FFFFFF"/>
        </w:rPr>
        <w:t>Билансу</w:t>
      </w:r>
      <w:r w:rsidR="00EF7776" w:rsidRPr="009B0B16">
        <w:rPr>
          <w:rFonts w:ascii="Times New Roman" w:hAnsi="Times New Roman"/>
          <w:color w:val="000000"/>
          <w:sz w:val="24"/>
          <w:szCs w:val="24"/>
          <w:shd w:val="clear" w:color="auto" w:fill="FFFFFF"/>
        </w:rPr>
        <w:t xml:space="preserve"> </w:t>
      </w:r>
      <w:r w:rsidR="009B0B16">
        <w:rPr>
          <w:rFonts w:ascii="Times New Roman" w:hAnsi="Times New Roman"/>
          <w:color w:val="000000"/>
          <w:sz w:val="24"/>
          <w:szCs w:val="24"/>
          <w:shd w:val="clear" w:color="auto" w:fill="FFFFFF"/>
        </w:rPr>
        <w:t>успеха</w:t>
      </w:r>
      <w:r>
        <w:rPr>
          <w:rFonts w:ascii="Times New Roman" w:hAnsi="Times New Roman"/>
          <w:color w:val="000000"/>
          <w:sz w:val="24"/>
          <w:szCs w:val="24"/>
          <w:shd w:val="clear" w:color="auto" w:fill="FFFFFF"/>
          <w:lang w:val="sr-Cyrl-CS"/>
        </w:rPr>
        <w:t>;</w:t>
      </w:r>
    </w:p>
    <w:p w:rsidR="00EF7776" w:rsidRPr="001665C7" w:rsidRDefault="00EF7776" w:rsidP="00885E29">
      <w:pPr>
        <w:pStyle w:val="normaluvuceni3"/>
        <w:shd w:val="clear" w:color="auto" w:fill="FFFFFF"/>
        <w:spacing w:before="48" w:beforeAutospacing="0" w:after="48" w:afterAutospacing="0"/>
        <w:jc w:val="both"/>
        <w:rPr>
          <w:color w:val="000000"/>
          <w:lang w:val="sr-Cyrl-CS"/>
        </w:rPr>
      </w:pPr>
      <w:r w:rsidRPr="009B0B16">
        <w:rPr>
          <w:color w:val="000000"/>
        </w:rPr>
        <w:t xml:space="preserve">(4) </w:t>
      </w:r>
      <w:r w:rsidR="009B0B16" w:rsidRPr="001665C7">
        <w:rPr>
          <w:color w:val="000000"/>
        </w:rPr>
        <w:t>Извештај</w:t>
      </w:r>
      <w:r w:rsidRPr="001665C7">
        <w:rPr>
          <w:color w:val="000000"/>
        </w:rPr>
        <w:t xml:space="preserve"> </w:t>
      </w:r>
      <w:r w:rsidR="009B0B16" w:rsidRPr="001665C7">
        <w:rPr>
          <w:color w:val="000000"/>
        </w:rPr>
        <w:t>о</w:t>
      </w:r>
      <w:r w:rsidRPr="001665C7">
        <w:rPr>
          <w:color w:val="000000"/>
        </w:rPr>
        <w:t xml:space="preserve"> </w:t>
      </w:r>
      <w:r w:rsidR="009B0B16" w:rsidRPr="001665C7">
        <w:rPr>
          <w:color w:val="000000"/>
        </w:rPr>
        <w:t>променама</w:t>
      </w:r>
      <w:r w:rsidRPr="001665C7">
        <w:rPr>
          <w:color w:val="000000"/>
        </w:rPr>
        <w:t xml:space="preserve"> </w:t>
      </w:r>
      <w:r w:rsidR="009B0B16" w:rsidRPr="001665C7">
        <w:rPr>
          <w:color w:val="000000"/>
        </w:rPr>
        <w:t>на</w:t>
      </w:r>
      <w:r w:rsidRPr="001665C7">
        <w:rPr>
          <w:color w:val="000000"/>
        </w:rPr>
        <w:t xml:space="preserve"> </w:t>
      </w:r>
      <w:r w:rsidR="009B0B16" w:rsidRPr="001665C7">
        <w:rPr>
          <w:color w:val="000000" w:themeColor="text1"/>
        </w:rPr>
        <w:t>капиталу</w:t>
      </w:r>
      <w:r w:rsidRPr="001665C7">
        <w:rPr>
          <w:color w:val="000000" w:themeColor="text1"/>
        </w:rPr>
        <w:t xml:space="preserve">, </w:t>
      </w:r>
      <w:r w:rsidR="009B0B16" w:rsidRPr="001665C7">
        <w:rPr>
          <w:color w:val="000000" w:themeColor="text1"/>
        </w:rPr>
        <w:t>који</w:t>
      </w:r>
      <w:r w:rsidRPr="001665C7">
        <w:rPr>
          <w:color w:val="000000" w:themeColor="text1"/>
        </w:rPr>
        <w:t xml:space="preserve"> </w:t>
      </w:r>
      <w:r w:rsidR="009B0B16" w:rsidRPr="001665C7">
        <w:rPr>
          <w:color w:val="000000" w:themeColor="text1"/>
        </w:rPr>
        <w:t>пружа</w:t>
      </w:r>
      <w:r w:rsidRPr="001665C7">
        <w:rPr>
          <w:color w:val="000000" w:themeColor="text1"/>
        </w:rPr>
        <w:t xml:space="preserve"> </w:t>
      </w:r>
      <w:r w:rsidR="009B0B16" w:rsidRPr="001665C7">
        <w:rPr>
          <w:color w:val="000000" w:themeColor="text1"/>
        </w:rPr>
        <w:t>информације</w:t>
      </w:r>
      <w:r w:rsidRPr="001665C7">
        <w:rPr>
          <w:color w:val="000000" w:themeColor="text1"/>
        </w:rPr>
        <w:t xml:space="preserve"> </w:t>
      </w:r>
      <w:r w:rsidR="009B0B16" w:rsidRPr="001665C7">
        <w:rPr>
          <w:color w:val="000000" w:themeColor="text1"/>
        </w:rPr>
        <w:t>о</w:t>
      </w:r>
      <w:r w:rsidRPr="001665C7">
        <w:rPr>
          <w:color w:val="000000" w:themeColor="text1"/>
        </w:rPr>
        <w:t xml:space="preserve"> </w:t>
      </w:r>
      <w:r w:rsidR="009B0B16" w:rsidRPr="001665C7">
        <w:rPr>
          <w:color w:val="000000" w:themeColor="text1"/>
        </w:rPr>
        <w:t>променама</w:t>
      </w:r>
      <w:r w:rsidRPr="001665C7">
        <w:rPr>
          <w:color w:val="000000" w:themeColor="text1"/>
        </w:rPr>
        <w:t xml:space="preserve"> </w:t>
      </w:r>
      <w:r w:rsidR="009B0B16" w:rsidRPr="001665C7">
        <w:rPr>
          <w:color w:val="000000" w:themeColor="text1"/>
        </w:rPr>
        <w:t>на</w:t>
      </w:r>
      <w:r w:rsidRPr="001665C7">
        <w:rPr>
          <w:color w:val="000000" w:themeColor="text1"/>
        </w:rPr>
        <w:t xml:space="preserve"> </w:t>
      </w:r>
      <w:r w:rsidR="009B0B16" w:rsidRPr="001665C7">
        <w:rPr>
          <w:color w:val="000000" w:themeColor="text1"/>
        </w:rPr>
        <w:t>капиталу</w:t>
      </w:r>
      <w:r w:rsidRPr="001665C7">
        <w:rPr>
          <w:color w:val="000000" w:themeColor="text1"/>
        </w:rPr>
        <w:t xml:space="preserve"> </w:t>
      </w:r>
      <w:r w:rsidR="009B0B16" w:rsidRPr="001665C7">
        <w:rPr>
          <w:color w:val="000000" w:themeColor="text1"/>
        </w:rPr>
        <w:t>правних</w:t>
      </w:r>
      <w:r w:rsidRPr="001665C7">
        <w:rPr>
          <w:color w:val="000000" w:themeColor="text1"/>
        </w:rPr>
        <w:t xml:space="preserve"> </w:t>
      </w:r>
      <w:r w:rsidR="009B0B16" w:rsidRPr="001665C7">
        <w:rPr>
          <w:color w:val="000000" w:themeColor="text1"/>
        </w:rPr>
        <w:t>лица</w:t>
      </w:r>
      <w:r w:rsidRPr="001665C7">
        <w:rPr>
          <w:color w:val="000000" w:themeColor="text1"/>
        </w:rPr>
        <w:t xml:space="preserve"> </w:t>
      </w:r>
      <w:r w:rsidR="009B0B16" w:rsidRPr="001665C7">
        <w:rPr>
          <w:color w:val="000000" w:themeColor="text1"/>
        </w:rPr>
        <w:t>током</w:t>
      </w:r>
      <w:r w:rsidR="007C10F6" w:rsidRPr="001665C7">
        <w:rPr>
          <w:color w:val="000000" w:themeColor="text1"/>
        </w:rPr>
        <w:t xml:space="preserve"> </w:t>
      </w:r>
      <w:r w:rsidR="009B0B16" w:rsidRPr="001665C7">
        <w:rPr>
          <w:color w:val="000000" w:themeColor="text1"/>
        </w:rPr>
        <w:t>извештајног</w:t>
      </w:r>
      <w:r w:rsidR="007C10F6" w:rsidRPr="001665C7">
        <w:rPr>
          <w:color w:val="FF0000"/>
        </w:rPr>
        <w:t xml:space="preserve"> </w:t>
      </w:r>
      <w:r w:rsidR="009B0B16" w:rsidRPr="001665C7">
        <w:rPr>
          <w:color w:val="000000"/>
        </w:rPr>
        <w:t>периода</w:t>
      </w:r>
      <w:r w:rsidR="00885E29" w:rsidRPr="001665C7">
        <w:rPr>
          <w:color w:val="000000"/>
          <w:lang w:val="sr-Cyrl-CS"/>
        </w:rPr>
        <w:t>;</w:t>
      </w:r>
    </w:p>
    <w:p w:rsidR="00885E29" w:rsidRPr="009B0B16" w:rsidRDefault="00885E29" w:rsidP="00885E29">
      <w:pPr>
        <w:pStyle w:val="normaluvuceni3"/>
        <w:shd w:val="clear" w:color="auto" w:fill="FFFFFF"/>
        <w:spacing w:before="48" w:beforeAutospacing="0" w:after="48" w:afterAutospacing="0"/>
        <w:jc w:val="both"/>
        <w:rPr>
          <w:color w:val="000000"/>
          <w:lang w:val="sr-Cyrl-CS"/>
        </w:rPr>
      </w:pPr>
    </w:p>
    <w:p w:rsidR="00EF7776" w:rsidRPr="001665C7" w:rsidRDefault="00EF7776" w:rsidP="001665C7">
      <w:pPr>
        <w:jc w:val="both"/>
        <w:rPr>
          <w:rFonts w:ascii="Times New Roman" w:hAnsi="Times New Roman"/>
          <w:sz w:val="24"/>
          <w:szCs w:val="24"/>
          <w:lang w:val="sr-Cyrl-CS"/>
        </w:rPr>
      </w:pPr>
      <w:r w:rsidRPr="001665C7">
        <w:rPr>
          <w:rFonts w:ascii="Times New Roman" w:hAnsi="Times New Roman"/>
          <w:sz w:val="24"/>
          <w:szCs w:val="24"/>
        </w:rPr>
        <w:t xml:space="preserve">(5) </w:t>
      </w:r>
      <w:r w:rsidR="009B0B16" w:rsidRPr="001665C7">
        <w:rPr>
          <w:rFonts w:ascii="Times New Roman" w:hAnsi="Times New Roman"/>
          <w:sz w:val="24"/>
          <w:szCs w:val="24"/>
        </w:rPr>
        <w:t>Извештај</w:t>
      </w:r>
      <w:r w:rsidRPr="001665C7">
        <w:rPr>
          <w:rFonts w:ascii="Times New Roman" w:hAnsi="Times New Roman"/>
          <w:sz w:val="24"/>
          <w:szCs w:val="24"/>
        </w:rPr>
        <w:t xml:space="preserve"> </w:t>
      </w:r>
      <w:r w:rsidR="009B0B16" w:rsidRPr="001665C7">
        <w:rPr>
          <w:rFonts w:ascii="Times New Roman" w:hAnsi="Times New Roman"/>
          <w:sz w:val="24"/>
          <w:szCs w:val="24"/>
        </w:rPr>
        <w:t>о</w:t>
      </w:r>
      <w:r w:rsidRPr="001665C7">
        <w:rPr>
          <w:rFonts w:ascii="Times New Roman" w:hAnsi="Times New Roman"/>
          <w:sz w:val="24"/>
          <w:szCs w:val="24"/>
        </w:rPr>
        <w:t xml:space="preserve"> </w:t>
      </w:r>
      <w:r w:rsidR="009B0B16" w:rsidRPr="001665C7">
        <w:rPr>
          <w:rFonts w:ascii="Times New Roman" w:hAnsi="Times New Roman"/>
          <w:sz w:val="24"/>
          <w:szCs w:val="24"/>
        </w:rPr>
        <w:t>токовима</w:t>
      </w:r>
      <w:r w:rsidRPr="001665C7">
        <w:rPr>
          <w:rFonts w:ascii="Times New Roman" w:hAnsi="Times New Roman"/>
          <w:sz w:val="24"/>
          <w:szCs w:val="24"/>
        </w:rPr>
        <w:t xml:space="preserve"> </w:t>
      </w:r>
      <w:r w:rsidR="009B0B16" w:rsidRPr="001665C7">
        <w:rPr>
          <w:rFonts w:ascii="Times New Roman" w:hAnsi="Times New Roman"/>
          <w:sz w:val="24"/>
          <w:szCs w:val="24"/>
        </w:rPr>
        <w:t>готовине</w:t>
      </w:r>
      <w:r w:rsidRPr="001665C7">
        <w:rPr>
          <w:rFonts w:ascii="Times New Roman" w:hAnsi="Times New Roman"/>
          <w:sz w:val="24"/>
          <w:szCs w:val="24"/>
        </w:rPr>
        <w:t xml:space="preserve">, </w:t>
      </w:r>
      <w:r w:rsidR="009B0B16" w:rsidRPr="001665C7">
        <w:rPr>
          <w:rFonts w:ascii="Times New Roman" w:hAnsi="Times New Roman"/>
          <w:sz w:val="24"/>
          <w:szCs w:val="24"/>
        </w:rPr>
        <w:t>који</w:t>
      </w:r>
      <w:r w:rsidRPr="001665C7">
        <w:rPr>
          <w:rFonts w:ascii="Times New Roman" w:hAnsi="Times New Roman"/>
          <w:sz w:val="24"/>
          <w:szCs w:val="24"/>
        </w:rPr>
        <w:t xml:space="preserve"> </w:t>
      </w:r>
      <w:r w:rsidR="009B0B16" w:rsidRPr="001665C7">
        <w:rPr>
          <w:rFonts w:ascii="Times New Roman" w:hAnsi="Times New Roman"/>
          <w:sz w:val="24"/>
          <w:szCs w:val="24"/>
        </w:rPr>
        <w:t>пружа</w:t>
      </w:r>
      <w:r w:rsidRPr="001665C7">
        <w:rPr>
          <w:rFonts w:ascii="Times New Roman" w:hAnsi="Times New Roman"/>
          <w:sz w:val="24"/>
          <w:szCs w:val="24"/>
        </w:rPr>
        <w:t xml:space="preserve"> </w:t>
      </w:r>
      <w:r w:rsidR="009B0B16" w:rsidRPr="001665C7">
        <w:rPr>
          <w:rFonts w:ascii="Times New Roman" w:hAnsi="Times New Roman"/>
          <w:sz w:val="24"/>
          <w:szCs w:val="24"/>
        </w:rPr>
        <w:t>информације</w:t>
      </w:r>
      <w:r w:rsidRPr="001665C7">
        <w:rPr>
          <w:rFonts w:ascii="Times New Roman" w:hAnsi="Times New Roman"/>
          <w:sz w:val="24"/>
          <w:szCs w:val="24"/>
        </w:rPr>
        <w:t xml:space="preserve"> </w:t>
      </w:r>
      <w:r w:rsidR="009B0B16" w:rsidRPr="001665C7">
        <w:rPr>
          <w:rFonts w:ascii="Times New Roman" w:hAnsi="Times New Roman"/>
          <w:sz w:val="24"/>
          <w:szCs w:val="24"/>
        </w:rPr>
        <w:t>о</w:t>
      </w:r>
      <w:r w:rsidRPr="001665C7">
        <w:rPr>
          <w:rFonts w:ascii="Times New Roman" w:hAnsi="Times New Roman"/>
          <w:sz w:val="24"/>
          <w:szCs w:val="24"/>
        </w:rPr>
        <w:t xml:space="preserve"> </w:t>
      </w:r>
      <w:r w:rsidR="009B0B16" w:rsidRPr="001665C7">
        <w:rPr>
          <w:rFonts w:ascii="Times New Roman" w:hAnsi="Times New Roman"/>
          <w:sz w:val="24"/>
          <w:szCs w:val="24"/>
        </w:rPr>
        <w:t>приливима</w:t>
      </w:r>
      <w:r w:rsidRPr="001665C7">
        <w:rPr>
          <w:rFonts w:ascii="Times New Roman" w:hAnsi="Times New Roman"/>
          <w:sz w:val="24"/>
          <w:szCs w:val="24"/>
        </w:rPr>
        <w:t xml:space="preserve"> </w:t>
      </w:r>
      <w:r w:rsidR="009B0B16" w:rsidRPr="001665C7">
        <w:rPr>
          <w:rFonts w:ascii="Times New Roman" w:hAnsi="Times New Roman"/>
          <w:sz w:val="24"/>
          <w:szCs w:val="24"/>
        </w:rPr>
        <w:t>и</w:t>
      </w:r>
      <w:r w:rsidRPr="001665C7">
        <w:rPr>
          <w:rFonts w:ascii="Times New Roman" w:hAnsi="Times New Roman"/>
          <w:sz w:val="24"/>
          <w:szCs w:val="24"/>
        </w:rPr>
        <w:t xml:space="preserve"> </w:t>
      </w:r>
      <w:r w:rsidR="009B0B16" w:rsidRPr="001665C7">
        <w:rPr>
          <w:rFonts w:ascii="Times New Roman" w:hAnsi="Times New Roman"/>
          <w:sz w:val="24"/>
          <w:szCs w:val="24"/>
        </w:rPr>
        <w:t>одливима</w:t>
      </w:r>
      <w:r w:rsidRPr="001665C7">
        <w:rPr>
          <w:rFonts w:ascii="Times New Roman" w:hAnsi="Times New Roman"/>
          <w:sz w:val="24"/>
          <w:szCs w:val="24"/>
        </w:rPr>
        <w:t xml:space="preserve"> </w:t>
      </w:r>
      <w:r w:rsidR="009B0B16" w:rsidRPr="001665C7">
        <w:rPr>
          <w:rFonts w:ascii="Times New Roman" w:hAnsi="Times New Roman"/>
          <w:sz w:val="24"/>
          <w:szCs w:val="24"/>
        </w:rPr>
        <w:t>готовине</w:t>
      </w:r>
      <w:r w:rsidRPr="001665C7">
        <w:rPr>
          <w:rFonts w:ascii="Times New Roman" w:hAnsi="Times New Roman"/>
          <w:sz w:val="24"/>
          <w:szCs w:val="24"/>
        </w:rPr>
        <w:t xml:space="preserve"> </w:t>
      </w:r>
      <w:r w:rsidR="009B0B16" w:rsidRPr="001665C7">
        <w:rPr>
          <w:rFonts w:ascii="Times New Roman" w:hAnsi="Times New Roman"/>
          <w:sz w:val="24"/>
          <w:szCs w:val="24"/>
        </w:rPr>
        <w:t>и</w:t>
      </w:r>
      <w:r w:rsidRPr="001665C7">
        <w:rPr>
          <w:rFonts w:ascii="Times New Roman" w:hAnsi="Times New Roman"/>
          <w:sz w:val="24"/>
          <w:szCs w:val="24"/>
        </w:rPr>
        <w:t xml:space="preserve"> </w:t>
      </w:r>
      <w:r w:rsidR="009B0B16" w:rsidRPr="001665C7">
        <w:rPr>
          <w:rFonts w:ascii="Times New Roman" w:hAnsi="Times New Roman"/>
          <w:sz w:val="24"/>
          <w:szCs w:val="24"/>
        </w:rPr>
        <w:t>готовинских</w:t>
      </w:r>
      <w:r w:rsidRPr="001665C7">
        <w:rPr>
          <w:rFonts w:ascii="Times New Roman" w:hAnsi="Times New Roman"/>
          <w:sz w:val="24"/>
          <w:szCs w:val="24"/>
        </w:rPr>
        <w:t xml:space="preserve"> </w:t>
      </w:r>
      <w:r w:rsidR="009B0B16" w:rsidRPr="001665C7">
        <w:rPr>
          <w:rFonts w:ascii="Times New Roman" w:hAnsi="Times New Roman"/>
          <w:sz w:val="24"/>
          <w:szCs w:val="24"/>
        </w:rPr>
        <w:t>еквивалената</w:t>
      </w:r>
      <w:r w:rsidR="007C10F6" w:rsidRPr="001665C7">
        <w:rPr>
          <w:rFonts w:ascii="Times New Roman" w:hAnsi="Times New Roman"/>
          <w:sz w:val="24"/>
          <w:szCs w:val="24"/>
        </w:rPr>
        <w:t xml:space="preserve"> </w:t>
      </w:r>
      <w:r w:rsidR="009B0B16" w:rsidRPr="001665C7">
        <w:rPr>
          <w:rFonts w:ascii="Times New Roman" w:hAnsi="Times New Roman"/>
          <w:sz w:val="24"/>
          <w:szCs w:val="24"/>
        </w:rPr>
        <w:t>током</w:t>
      </w:r>
      <w:r w:rsidR="007C10F6" w:rsidRPr="001665C7">
        <w:rPr>
          <w:rFonts w:ascii="Times New Roman" w:hAnsi="Times New Roman"/>
          <w:sz w:val="24"/>
          <w:szCs w:val="24"/>
        </w:rPr>
        <w:t xml:space="preserve"> </w:t>
      </w:r>
      <w:r w:rsidR="009B0B16" w:rsidRPr="001665C7">
        <w:rPr>
          <w:rFonts w:ascii="Times New Roman" w:hAnsi="Times New Roman"/>
          <w:sz w:val="24"/>
          <w:szCs w:val="24"/>
        </w:rPr>
        <w:t>извештајног</w:t>
      </w:r>
      <w:r w:rsidR="007C10F6" w:rsidRPr="001665C7">
        <w:rPr>
          <w:rFonts w:ascii="Times New Roman" w:hAnsi="Times New Roman"/>
          <w:sz w:val="24"/>
          <w:szCs w:val="24"/>
        </w:rPr>
        <w:t xml:space="preserve"> </w:t>
      </w:r>
      <w:r w:rsidR="009B0B16" w:rsidRPr="001665C7">
        <w:rPr>
          <w:rFonts w:ascii="Times New Roman" w:hAnsi="Times New Roman"/>
          <w:sz w:val="24"/>
          <w:szCs w:val="24"/>
        </w:rPr>
        <w:t>периода</w:t>
      </w:r>
      <w:r w:rsidR="00885E29" w:rsidRPr="001665C7">
        <w:rPr>
          <w:rFonts w:ascii="Times New Roman" w:hAnsi="Times New Roman"/>
          <w:sz w:val="24"/>
          <w:szCs w:val="24"/>
          <w:lang w:val="sr-Cyrl-CS"/>
        </w:rPr>
        <w:t>;</w:t>
      </w:r>
    </w:p>
    <w:p w:rsidR="007C10F6" w:rsidRPr="001665C7" w:rsidRDefault="001665C7" w:rsidP="001665C7">
      <w:pPr>
        <w:jc w:val="both"/>
        <w:rPr>
          <w:rFonts w:ascii="Times New Roman" w:hAnsi="Times New Roman"/>
          <w:sz w:val="24"/>
          <w:szCs w:val="24"/>
          <w:shd w:val="clear" w:color="auto" w:fill="FFFFFF"/>
          <w:lang w:val="sr-Cyrl-CS"/>
        </w:rPr>
      </w:pPr>
      <w:r w:rsidRPr="001665C7">
        <w:rPr>
          <w:rFonts w:ascii="Times New Roman" w:hAnsi="Times New Roman"/>
          <w:sz w:val="24"/>
          <w:szCs w:val="24"/>
        </w:rPr>
        <w:t xml:space="preserve"> </w:t>
      </w:r>
      <w:r w:rsidR="00EF7776" w:rsidRPr="001665C7">
        <w:rPr>
          <w:rFonts w:ascii="Times New Roman" w:hAnsi="Times New Roman"/>
          <w:sz w:val="24"/>
          <w:szCs w:val="24"/>
        </w:rPr>
        <w:t xml:space="preserve">(6) </w:t>
      </w:r>
      <w:r w:rsidR="009B0B16" w:rsidRPr="001665C7">
        <w:rPr>
          <w:rFonts w:ascii="Times New Roman" w:hAnsi="Times New Roman"/>
          <w:sz w:val="24"/>
          <w:szCs w:val="24"/>
        </w:rPr>
        <w:t>Напомене</w:t>
      </w:r>
      <w:r w:rsidR="00EF7776" w:rsidRPr="001665C7">
        <w:rPr>
          <w:rFonts w:ascii="Times New Roman" w:hAnsi="Times New Roman"/>
          <w:sz w:val="24"/>
          <w:szCs w:val="24"/>
        </w:rPr>
        <w:t xml:space="preserve"> </w:t>
      </w:r>
      <w:r w:rsidR="009B0B16" w:rsidRPr="001665C7">
        <w:rPr>
          <w:rFonts w:ascii="Times New Roman" w:hAnsi="Times New Roman"/>
          <w:sz w:val="24"/>
          <w:szCs w:val="24"/>
        </w:rPr>
        <w:t>уз</w:t>
      </w:r>
      <w:r w:rsidR="00EF7776" w:rsidRPr="001665C7">
        <w:rPr>
          <w:rFonts w:ascii="Times New Roman" w:hAnsi="Times New Roman"/>
          <w:sz w:val="24"/>
          <w:szCs w:val="24"/>
        </w:rPr>
        <w:t xml:space="preserve"> </w:t>
      </w:r>
      <w:r w:rsidR="009B0B16" w:rsidRPr="001665C7">
        <w:rPr>
          <w:rFonts w:ascii="Times New Roman" w:hAnsi="Times New Roman"/>
          <w:sz w:val="24"/>
          <w:szCs w:val="24"/>
        </w:rPr>
        <w:t>финансијске</w:t>
      </w:r>
      <w:r w:rsidR="00EF7776" w:rsidRPr="001665C7">
        <w:rPr>
          <w:rFonts w:ascii="Times New Roman" w:hAnsi="Times New Roman"/>
          <w:sz w:val="24"/>
          <w:szCs w:val="24"/>
        </w:rPr>
        <w:t xml:space="preserve"> </w:t>
      </w:r>
      <w:r w:rsidR="009B0B16" w:rsidRPr="001665C7">
        <w:rPr>
          <w:rFonts w:ascii="Times New Roman" w:hAnsi="Times New Roman"/>
          <w:sz w:val="24"/>
          <w:szCs w:val="24"/>
        </w:rPr>
        <w:t>извештаје</w:t>
      </w:r>
      <w:r w:rsidR="00EF7776" w:rsidRPr="001665C7">
        <w:rPr>
          <w:rFonts w:ascii="Times New Roman" w:hAnsi="Times New Roman"/>
          <w:sz w:val="24"/>
          <w:szCs w:val="24"/>
        </w:rPr>
        <w:t>,</w:t>
      </w:r>
      <w:r w:rsidR="00EF7776" w:rsidRPr="001665C7">
        <w:rPr>
          <w:rFonts w:ascii="Times New Roman" w:hAnsi="Times New Roman"/>
          <w:sz w:val="24"/>
          <w:szCs w:val="24"/>
          <w:shd w:val="clear" w:color="auto" w:fill="FFFFFF"/>
        </w:rPr>
        <w:t xml:space="preserve"> </w:t>
      </w:r>
      <w:r w:rsidR="009B0B16" w:rsidRPr="001665C7">
        <w:rPr>
          <w:rFonts w:ascii="Times New Roman" w:hAnsi="Times New Roman"/>
          <w:sz w:val="24"/>
          <w:szCs w:val="24"/>
          <w:shd w:val="clear" w:color="auto" w:fill="FFFFFF"/>
        </w:rPr>
        <w:t>које</w:t>
      </w:r>
      <w:r w:rsidR="00EF7776" w:rsidRPr="001665C7">
        <w:rPr>
          <w:rFonts w:ascii="Times New Roman" w:hAnsi="Times New Roman"/>
          <w:sz w:val="24"/>
          <w:szCs w:val="24"/>
          <w:shd w:val="clear" w:color="auto" w:fill="FFFFFF"/>
        </w:rPr>
        <w:t xml:space="preserve"> </w:t>
      </w:r>
      <w:r w:rsidR="009B0B16" w:rsidRPr="001665C7">
        <w:rPr>
          <w:rFonts w:ascii="Times New Roman" w:hAnsi="Times New Roman"/>
          <w:sz w:val="24"/>
          <w:szCs w:val="24"/>
          <w:shd w:val="clear" w:color="auto" w:fill="FFFFFF"/>
        </w:rPr>
        <w:t>садрже</w:t>
      </w:r>
      <w:r w:rsidR="00EF7776" w:rsidRPr="001665C7">
        <w:rPr>
          <w:rFonts w:ascii="Times New Roman" w:hAnsi="Times New Roman"/>
          <w:sz w:val="24"/>
          <w:szCs w:val="24"/>
          <w:shd w:val="clear" w:color="auto" w:fill="FFFFFF"/>
        </w:rPr>
        <w:t xml:space="preserve"> </w:t>
      </w:r>
      <w:r w:rsidR="009B0B16" w:rsidRPr="001665C7">
        <w:rPr>
          <w:rFonts w:ascii="Times New Roman" w:hAnsi="Times New Roman"/>
          <w:sz w:val="24"/>
          <w:szCs w:val="24"/>
          <w:shd w:val="clear" w:color="auto" w:fill="FFFFFF"/>
        </w:rPr>
        <w:t>описе</w:t>
      </w:r>
      <w:r w:rsidR="00EF7776" w:rsidRPr="001665C7">
        <w:rPr>
          <w:rFonts w:ascii="Times New Roman" w:hAnsi="Times New Roman"/>
          <w:sz w:val="24"/>
          <w:szCs w:val="24"/>
          <w:shd w:val="clear" w:color="auto" w:fill="FFFFFF"/>
        </w:rPr>
        <w:t xml:space="preserve"> </w:t>
      </w:r>
      <w:r w:rsidR="009B0B16" w:rsidRPr="001665C7">
        <w:rPr>
          <w:rFonts w:ascii="Times New Roman" w:hAnsi="Times New Roman"/>
          <w:sz w:val="24"/>
          <w:szCs w:val="24"/>
          <w:shd w:val="clear" w:color="auto" w:fill="FFFFFF"/>
        </w:rPr>
        <w:t>или</w:t>
      </w:r>
      <w:r w:rsidR="00EF7776" w:rsidRPr="001665C7">
        <w:rPr>
          <w:rFonts w:ascii="Times New Roman" w:hAnsi="Times New Roman"/>
          <w:sz w:val="24"/>
          <w:szCs w:val="24"/>
          <w:shd w:val="clear" w:color="auto" w:fill="FFFFFF"/>
        </w:rPr>
        <w:t xml:space="preserve"> </w:t>
      </w:r>
      <w:r w:rsidR="009B0B16" w:rsidRPr="001665C7">
        <w:rPr>
          <w:rFonts w:ascii="Times New Roman" w:hAnsi="Times New Roman"/>
          <w:sz w:val="24"/>
          <w:szCs w:val="24"/>
          <w:shd w:val="clear" w:color="auto" w:fill="FFFFFF"/>
        </w:rPr>
        <w:t>рашчлањавања</w:t>
      </w:r>
      <w:r w:rsidR="00EF7776" w:rsidRPr="001665C7">
        <w:rPr>
          <w:rFonts w:ascii="Times New Roman" w:hAnsi="Times New Roman"/>
          <w:sz w:val="24"/>
          <w:szCs w:val="24"/>
          <w:shd w:val="clear" w:color="auto" w:fill="FFFFFF"/>
        </w:rPr>
        <w:t xml:space="preserve"> </w:t>
      </w:r>
      <w:r w:rsidR="009B0B16" w:rsidRPr="001665C7">
        <w:rPr>
          <w:rFonts w:ascii="Times New Roman" w:hAnsi="Times New Roman"/>
          <w:sz w:val="24"/>
          <w:szCs w:val="24"/>
          <w:shd w:val="clear" w:color="auto" w:fill="FFFFFF"/>
        </w:rPr>
        <w:t>ставки</w:t>
      </w:r>
      <w:r w:rsidR="00EF7776" w:rsidRPr="001665C7">
        <w:rPr>
          <w:rFonts w:ascii="Times New Roman" w:hAnsi="Times New Roman"/>
          <w:sz w:val="24"/>
          <w:szCs w:val="24"/>
          <w:shd w:val="clear" w:color="auto" w:fill="FFFFFF"/>
        </w:rPr>
        <w:t xml:space="preserve"> </w:t>
      </w:r>
      <w:r w:rsidR="009B0B16" w:rsidRPr="001665C7">
        <w:rPr>
          <w:rFonts w:ascii="Times New Roman" w:hAnsi="Times New Roman"/>
          <w:sz w:val="24"/>
          <w:szCs w:val="24"/>
          <w:shd w:val="clear" w:color="auto" w:fill="FFFFFF"/>
        </w:rPr>
        <w:t>обелодањених</w:t>
      </w:r>
      <w:r w:rsidR="00EF7776" w:rsidRPr="001665C7">
        <w:rPr>
          <w:rFonts w:ascii="Times New Roman" w:hAnsi="Times New Roman"/>
          <w:sz w:val="24"/>
          <w:szCs w:val="24"/>
          <w:shd w:val="clear" w:color="auto" w:fill="FFFFFF"/>
        </w:rPr>
        <w:t xml:space="preserve"> </w:t>
      </w:r>
      <w:r w:rsidR="009B0B16" w:rsidRPr="001665C7">
        <w:rPr>
          <w:rFonts w:ascii="Times New Roman" w:hAnsi="Times New Roman"/>
          <w:sz w:val="24"/>
          <w:szCs w:val="24"/>
          <w:shd w:val="clear" w:color="auto" w:fill="FFFFFF"/>
        </w:rPr>
        <w:t>у</w:t>
      </w:r>
      <w:r w:rsidR="00EF7776" w:rsidRPr="001665C7">
        <w:rPr>
          <w:rFonts w:ascii="Times New Roman" w:hAnsi="Times New Roman"/>
          <w:sz w:val="24"/>
          <w:szCs w:val="24"/>
          <w:shd w:val="clear" w:color="auto" w:fill="FFFFFF"/>
          <w:lang w:val="sr-Cyrl-CS"/>
        </w:rPr>
        <w:t xml:space="preserve"> наведеним</w:t>
      </w:r>
      <w:r w:rsidR="00EF7776" w:rsidRPr="001665C7">
        <w:rPr>
          <w:rFonts w:ascii="Times New Roman" w:hAnsi="Times New Roman"/>
          <w:sz w:val="24"/>
          <w:szCs w:val="24"/>
          <w:shd w:val="clear" w:color="auto" w:fill="FFFFFF"/>
        </w:rPr>
        <w:t xml:space="preserve"> </w:t>
      </w:r>
      <w:r w:rsidR="009B0B16" w:rsidRPr="001665C7">
        <w:rPr>
          <w:rFonts w:ascii="Times New Roman" w:hAnsi="Times New Roman"/>
          <w:sz w:val="24"/>
          <w:szCs w:val="24"/>
          <w:shd w:val="clear" w:color="auto" w:fill="FFFFFF"/>
        </w:rPr>
        <w:t>извештајима</w:t>
      </w:r>
      <w:r w:rsidR="00EF7776" w:rsidRPr="001665C7">
        <w:rPr>
          <w:rFonts w:ascii="Times New Roman" w:hAnsi="Times New Roman"/>
          <w:sz w:val="24"/>
          <w:szCs w:val="24"/>
          <w:shd w:val="clear" w:color="auto" w:fill="FFFFFF"/>
          <w:lang w:val="sr-Cyrl-CS"/>
        </w:rPr>
        <w:t xml:space="preserve">, </w:t>
      </w:r>
      <w:r w:rsidR="00EF7776" w:rsidRPr="001665C7">
        <w:rPr>
          <w:rFonts w:ascii="Times New Roman" w:hAnsi="Times New Roman"/>
          <w:sz w:val="24"/>
          <w:szCs w:val="24"/>
          <w:shd w:val="clear" w:color="auto" w:fill="FFFFFF"/>
        </w:rPr>
        <w:t xml:space="preserve"> </w:t>
      </w:r>
      <w:r w:rsidR="009B0B16" w:rsidRPr="001665C7">
        <w:rPr>
          <w:rFonts w:ascii="Times New Roman" w:hAnsi="Times New Roman"/>
          <w:sz w:val="24"/>
          <w:szCs w:val="24"/>
          <w:shd w:val="clear" w:color="auto" w:fill="FFFFFF"/>
        </w:rPr>
        <w:t>примењене</w:t>
      </w:r>
      <w:r w:rsidR="00EF7776" w:rsidRPr="001665C7">
        <w:rPr>
          <w:rFonts w:ascii="Times New Roman" w:hAnsi="Times New Roman"/>
          <w:sz w:val="24"/>
          <w:szCs w:val="24"/>
          <w:shd w:val="clear" w:color="auto" w:fill="FFFFFF"/>
        </w:rPr>
        <w:t xml:space="preserve"> </w:t>
      </w:r>
      <w:r w:rsidR="009B0B16" w:rsidRPr="001665C7">
        <w:rPr>
          <w:rFonts w:ascii="Times New Roman" w:hAnsi="Times New Roman"/>
          <w:sz w:val="24"/>
          <w:szCs w:val="24"/>
          <w:shd w:val="clear" w:color="auto" w:fill="FFFFFF"/>
        </w:rPr>
        <w:t>рачуноводствене</w:t>
      </w:r>
      <w:r w:rsidR="00EF7776" w:rsidRPr="001665C7">
        <w:rPr>
          <w:rFonts w:ascii="Times New Roman" w:hAnsi="Times New Roman"/>
          <w:sz w:val="24"/>
          <w:szCs w:val="24"/>
          <w:shd w:val="clear" w:color="auto" w:fill="FFFFFF"/>
        </w:rPr>
        <w:t xml:space="preserve"> </w:t>
      </w:r>
      <w:r w:rsidR="009B0B16" w:rsidRPr="001665C7">
        <w:rPr>
          <w:rFonts w:ascii="Times New Roman" w:hAnsi="Times New Roman"/>
          <w:sz w:val="24"/>
          <w:szCs w:val="24"/>
          <w:shd w:val="clear" w:color="auto" w:fill="FFFFFF"/>
        </w:rPr>
        <w:t>политике</w:t>
      </w:r>
      <w:r w:rsidR="00EF7776" w:rsidRPr="001665C7">
        <w:rPr>
          <w:rFonts w:ascii="Times New Roman" w:hAnsi="Times New Roman"/>
          <w:sz w:val="24"/>
          <w:szCs w:val="24"/>
          <w:shd w:val="clear" w:color="auto" w:fill="FFFFFF"/>
        </w:rPr>
        <w:t xml:space="preserve">, </w:t>
      </w:r>
      <w:r w:rsidR="009B0B16" w:rsidRPr="001665C7">
        <w:rPr>
          <w:rFonts w:ascii="Times New Roman" w:hAnsi="Times New Roman"/>
          <w:sz w:val="24"/>
          <w:szCs w:val="24"/>
          <w:shd w:val="clear" w:color="auto" w:fill="FFFFFF"/>
        </w:rPr>
        <w:t>као</w:t>
      </w:r>
      <w:r w:rsidR="00EF7776" w:rsidRPr="001665C7">
        <w:rPr>
          <w:rFonts w:ascii="Times New Roman" w:hAnsi="Times New Roman"/>
          <w:sz w:val="24"/>
          <w:szCs w:val="24"/>
          <w:shd w:val="clear" w:color="auto" w:fill="FFFFFF"/>
        </w:rPr>
        <w:t xml:space="preserve"> </w:t>
      </w:r>
      <w:r w:rsidR="009B0B16" w:rsidRPr="001665C7">
        <w:rPr>
          <w:rFonts w:ascii="Times New Roman" w:hAnsi="Times New Roman"/>
          <w:sz w:val="24"/>
          <w:szCs w:val="24"/>
          <w:shd w:val="clear" w:color="auto" w:fill="FFFFFF"/>
        </w:rPr>
        <w:t>и</w:t>
      </w:r>
      <w:r w:rsidR="00EF7776" w:rsidRPr="001665C7">
        <w:rPr>
          <w:rFonts w:ascii="Times New Roman" w:hAnsi="Times New Roman"/>
          <w:sz w:val="24"/>
          <w:szCs w:val="24"/>
          <w:shd w:val="clear" w:color="auto" w:fill="FFFFFF"/>
        </w:rPr>
        <w:t xml:space="preserve"> </w:t>
      </w:r>
      <w:r w:rsidR="009B0B16" w:rsidRPr="001665C7">
        <w:rPr>
          <w:rFonts w:ascii="Times New Roman" w:hAnsi="Times New Roman"/>
          <w:sz w:val="24"/>
          <w:szCs w:val="24"/>
          <w:shd w:val="clear" w:color="auto" w:fill="FFFFFF"/>
        </w:rPr>
        <w:t>информације</w:t>
      </w:r>
      <w:r w:rsidR="00EF7776" w:rsidRPr="001665C7">
        <w:rPr>
          <w:rFonts w:ascii="Times New Roman" w:hAnsi="Times New Roman"/>
          <w:sz w:val="24"/>
          <w:szCs w:val="24"/>
          <w:shd w:val="clear" w:color="auto" w:fill="FFFFFF"/>
        </w:rPr>
        <w:t xml:space="preserve"> </w:t>
      </w:r>
      <w:r w:rsidR="009B0B16" w:rsidRPr="001665C7">
        <w:rPr>
          <w:rFonts w:ascii="Times New Roman" w:hAnsi="Times New Roman"/>
          <w:sz w:val="24"/>
          <w:szCs w:val="24"/>
          <w:shd w:val="clear" w:color="auto" w:fill="FFFFFF"/>
        </w:rPr>
        <w:t>о</w:t>
      </w:r>
      <w:r w:rsidR="00EF7776" w:rsidRPr="001665C7">
        <w:rPr>
          <w:rFonts w:ascii="Times New Roman" w:hAnsi="Times New Roman"/>
          <w:sz w:val="24"/>
          <w:szCs w:val="24"/>
          <w:shd w:val="clear" w:color="auto" w:fill="FFFFFF"/>
        </w:rPr>
        <w:t xml:space="preserve"> </w:t>
      </w:r>
      <w:r w:rsidR="009B0B16" w:rsidRPr="001665C7">
        <w:rPr>
          <w:rFonts w:ascii="Times New Roman" w:hAnsi="Times New Roman"/>
          <w:sz w:val="24"/>
          <w:szCs w:val="24"/>
          <w:shd w:val="clear" w:color="auto" w:fill="FFFFFF"/>
        </w:rPr>
        <w:t>ставкама</w:t>
      </w:r>
      <w:r w:rsidR="00EF7776" w:rsidRPr="001665C7">
        <w:rPr>
          <w:rFonts w:ascii="Times New Roman" w:hAnsi="Times New Roman"/>
          <w:sz w:val="24"/>
          <w:szCs w:val="24"/>
          <w:shd w:val="clear" w:color="auto" w:fill="FFFFFF"/>
        </w:rPr>
        <w:t xml:space="preserve"> </w:t>
      </w:r>
      <w:r w:rsidR="009B0B16" w:rsidRPr="001665C7">
        <w:rPr>
          <w:rFonts w:ascii="Times New Roman" w:hAnsi="Times New Roman"/>
          <w:sz w:val="24"/>
          <w:szCs w:val="24"/>
          <w:shd w:val="clear" w:color="auto" w:fill="FFFFFF"/>
        </w:rPr>
        <w:t>које</w:t>
      </w:r>
      <w:r w:rsidR="00EF7776" w:rsidRPr="001665C7">
        <w:rPr>
          <w:rFonts w:ascii="Times New Roman" w:hAnsi="Times New Roman"/>
          <w:sz w:val="24"/>
          <w:szCs w:val="24"/>
          <w:shd w:val="clear" w:color="auto" w:fill="FFFFFF"/>
        </w:rPr>
        <w:t xml:space="preserve"> </w:t>
      </w:r>
      <w:r w:rsidR="009B0B16" w:rsidRPr="001665C7">
        <w:rPr>
          <w:rFonts w:ascii="Times New Roman" w:hAnsi="Times New Roman"/>
          <w:sz w:val="24"/>
          <w:szCs w:val="24"/>
          <w:shd w:val="clear" w:color="auto" w:fill="FFFFFF"/>
        </w:rPr>
        <w:t>се</w:t>
      </w:r>
      <w:r w:rsidR="00EF7776" w:rsidRPr="001665C7">
        <w:rPr>
          <w:rFonts w:ascii="Times New Roman" w:hAnsi="Times New Roman"/>
          <w:sz w:val="24"/>
          <w:szCs w:val="24"/>
          <w:shd w:val="clear" w:color="auto" w:fill="FFFFFF"/>
        </w:rPr>
        <w:t xml:space="preserve"> </w:t>
      </w:r>
      <w:r w:rsidR="009B0B16" w:rsidRPr="001665C7">
        <w:rPr>
          <w:rFonts w:ascii="Times New Roman" w:hAnsi="Times New Roman"/>
          <w:sz w:val="24"/>
          <w:szCs w:val="24"/>
          <w:shd w:val="clear" w:color="auto" w:fill="FFFFFF"/>
        </w:rPr>
        <w:t>нису</w:t>
      </w:r>
      <w:r w:rsidR="00EF7776" w:rsidRPr="001665C7">
        <w:rPr>
          <w:rFonts w:ascii="Times New Roman" w:hAnsi="Times New Roman"/>
          <w:sz w:val="24"/>
          <w:szCs w:val="24"/>
          <w:shd w:val="clear" w:color="auto" w:fill="FFFFFF"/>
        </w:rPr>
        <w:t xml:space="preserve"> </w:t>
      </w:r>
      <w:r w:rsidR="009B0B16" w:rsidRPr="001665C7">
        <w:rPr>
          <w:rFonts w:ascii="Times New Roman" w:hAnsi="Times New Roman"/>
          <w:sz w:val="24"/>
          <w:szCs w:val="24"/>
          <w:shd w:val="clear" w:color="auto" w:fill="FFFFFF"/>
        </w:rPr>
        <w:t>квалификовале</w:t>
      </w:r>
      <w:r w:rsidR="00EF7776" w:rsidRPr="001665C7">
        <w:rPr>
          <w:rFonts w:ascii="Times New Roman" w:hAnsi="Times New Roman"/>
          <w:sz w:val="24"/>
          <w:szCs w:val="24"/>
          <w:shd w:val="clear" w:color="auto" w:fill="FFFFFF"/>
        </w:rPr>
        <w:t xml:space="preserve"> </w:t>
      </w:r>
      <w:r w:rsidR="009B0B16" w:rsidRPr="001665C7">
        <w:rPr>
          <w:rFonts w:ascii="Times New Roman" w:hAnsi="Times New Roman"/>
          <w:sz w:val="24"/>
          <w:szCs w:val="24"/>
          <w:shd w:val="clear" w:color="auto" w:fill="FFFFFF"/>
        </w:rPr>
        <w:t>за</w:t>
      </w:r>
      <w:r w:rsidR="00EF7776" w:rsidRPr="001665C7">
        <w:rPr>
          <w:rFonts w:ascii="Times New Roman" w:hAnsi="Times New Roman"/>
          <w:sz w:val="24"/>
          <w:szCs w:val="24"/>
          <w:shd w:val="clear" w:color="auto" w:fill="FFFFFF"/>
        </w:rPr>
        <w:t xml:space="preserve"> </w:t>
      </w:r>
      <w:r w:rsidR="009B0B16" w:rsidRPr="001665C7">
        <w:rPr>
          <w:rFonts w:ascii="Times New Roman" w:hAnsi="Times New Roman"/>
          <w:sz w:val="24"/>
          <w:szCs w:val="24"/>
          <w:shd w:val="clear" w:color="auto" w:fill="FFFFFF"/>
        </w:rPr>
        <w:t>признавање</w:t>
      </w:r>
      <w:r w:rsidR="00EF7776" w:rsidRPr="001665C7">
        <w:rPr>
          <w:rFonts w:ascii="Times New Roman" w:hAnsi="Times New Roman"/>
          <w:sz w:val="24"/>
          <w:szCs w:val="24"/>
          <w:shd w:val="clear" w:color="auto" w:fill="FFFFFF"/>
        </w:rPr>
        <w:t xml:space="preserve"> </w:t>
      </w:r>
      <w:r w:rsidR="009B0B16" w:rsidRPr="001665C7">
        <w:rPr>
          <w:rFonts w:ascii="Times New Roman" w:hAnsi="Times New Roman"/>
          <w:sz w:val="24"/>
          <w:szCs w:val="24"/>
          <w:shd w:val="clear" w:color="auto" w:fill="FFFFFF"/>
        </w:rPr>
        <w:t>у</w:t>
      </w:r>
      <w:r w:rsidR="00EF7776" w:rsidRPr="001665C7">
        <w:rPr>
          <w:rFonts w:ascii="Times New Roman" w:hAnsi="Times New Roman"/>
          <w:sz w:val="24"/>
          <w:szCs w:val="24"/>
          <w:shd w:val="clear" w:color="auto" w:fill="FFFFFF"/>
        </w:rPr>
        <w:t xml:space="preserve"> </w:t>
      </w:r>
      <w:r w:rsidR="009B0B16" w:rsidRPr="001665C7">
        <w:rPr>
          <w:rFonts w:ascii="Times New Roman" w:hAnsi="Times New Roman"/>
          <w:sz w:val="24"/>
          <w:szCs w:val="24"/>
          <w:shd w:val="clear" w:color="auto" w:fill="FFFFFF"/>
        </w:rPr>
        <w:t>овим</w:t>
      </w:r>
      <w:r w:rsidR="00EF7776" w:rsidRPr="001665C7">
        <w:rPr>
          <w:rFonts w:ascii="Times New Roman" w:hAnsi="Times New Roman"/>
          <w:sz w:val="24"/>
          <w:szCs w:val="24"/>
          <w:shd w:val="clear" w:color="auto" w:fill="FFFFFF"/>
        </w:rPr>
        <w:t xml:space="preserve"> </w:t>
      </w:r>
      <w:r w:rsidR="009B0B16" w:rsidRPr="001665C7">
        <w:rPr>
          <w:rFonts w:ascii="Times New Roman" w:hAnsi="Times New Roman"/>
          <w:sz w:val="24"/>
          <w:szCs w:val="24"/>
          <w:shd w:val="clear" w:color="auto" w:fill="FFFFFF"/>
        </w:rPr>
        <w:t>извештајима</w:t>
      </w:r>
      <w:r w:rsidR="00EF7776" w:rsidRPr="001665C7">
        <w:rPr>
          <w:rFonts w:ascii="Times New Roman" w:hAnsi="Times New Roman"/>
          <w:sz w:val="24"/>
          <w:szCs w:val="24"/>
          <w:shd w:val="clear" w:color="auto" w:fill="FFFFFF"/>
        </w:rPr>
        <w:t xml:space="preserve">, </w:t>
      </w:r>
      <w:r w:rsidR="009B0B16" w:rsidRPr="001665C7">
        <w:rPr>
          <w:rFonts w:ascii="Times New Roman" w:hAnsi="Times New Roman"/>
          <w:sz w:val="24"/>
          <w:szCs w:val="24"/>
          <w:shd w:val="clear" w:color="auto" w:fill="FFFFFF"/>
        </w:rPr>
        <w:t>а</w:t>
      </w:r>
      <w:r w:rsidR="00EF7776" w:rsidRPr="001665C7">
        <w:rPr>
          <w:rFonts w:ascii="Times New Roman" w:hAnsi="Times New Roman"/>
          <w:sz w:val="24"/>
          <w:szCs w:val="24"/>
          <w:shd w:val="clear" w:color="auto" w:fill="FFFFFF"/>
        </w:rPr>
        <w:t xml:space="preserve"> </w:t>
      </w:r>
      <w:r w:rsidR="009B0B16" w:rsidRPr="001665C7">
        <w:rPr>
          <w:rFonts w:ascii="Times New Roman" w:hAnsi="Times New Roman"/>
          <w:sz w:val="24"/>
          <w:szCs w:val="24"/>
          <w:shd w:val="clear" w:color="auto" w:fill="FFFFFF"/>
        </w:rPr>
        <w:t>значајне</w:t>
      </w:r>
      <w:r w:rsidR="00EF7776" w:rsidRPr="001665C7">
        <w:rPr>
          <w:rFonts w:ascii="Times New Roman" w:hAnsi="Times New Roman"/>
          <w:sz w:val="24"/>
          <w:szCs w:val="24"/>
          <w:shd w:val="clear" w:color="auto" w:fill="FFFFFF"/>
        </w:rPr>
        <w:t xml:space="preserve"> </w:t>
      </w:r>
      <w:r w:rsidR="009B0B16" w:rsidRPr="001665C7">
        <w:rPr>
          <w:rFonts w:ascii="Times New Roman" w:hAnsi="Times New Roman"/>
          <w:sz w:val="24"/>
          <w:szCs w:val="24"/>
          <w:shd w:val="clear" w:color="auto" w:fill="FFFFFF"/>
        </w:rPr>
        <w:t>су</w:t>
      </w:r>
      <w:r w:rsidR="00EF7776" w:rsidRPr="001665C7">
        <w:rPr>
          <w:rFonts w:ascii="Times New Roman" w:hAnsi="Times New Roman"/>
          <w:sz w:val="24"/>
          <w:szCs w:val="24"/>
          <w:shd w:val="clear" w:color="auto" w:fill="FFFFFF"/>
        </w:rPr>
        <w:t xml:space="preserve"> </w:t>
      </w:r>
      <w:r w:rsidR="009B0B16" w:rsidRPr="001665C7">
        <w:rPr>
          <w:rFonts w:ascii="Times New Roman" w:hAnsi="Times New Roman"/>
          <w:sz w:val="24"/>
          <w:szCs w:val="24"/>
          <w:shd w:val="clear" w:color="auto" w:fill="FFFFFF"/>
        </w:rPr>
        <w:t>за</w:t>
      </w:r>
      <w:r w:rsidR="00EF7776" w:rsidRPr="001665C7">
        <w:rPr>
          <w:rFonts w:ascii="Times New Roman" w:hAnsi="Times New Roman"/>
          <w:sz w:val="24"/>
          <w:szCs w:val="24"/>
          <w:shd w:val="clear" w:color="auto" w:fill="FFFFFF"/>
        </w:rPr>
        <w:t xml:space="preserve"> </w:t>
      </w:r>
      <w:r w:rsidR="009B0B16" w:rsidRPr="001665C7">
        <w:rPr>
          <w:rFonts w:ascii="Times New Roman" w:hAnsi="Times New Roman"/>
          <w:sz w:val="24"/>
          <w:szCs w:val="24"/>
          <w:shd w:val="clear" w:color="auto" w:fill="FFFFFF"/>
        </w:rPr>
        <w:t>оцену</w:t>
      </w:r>
      <w:r w:rsidR="00EF7776" w:rsidRPr="001665C7">
        <w:rPr>
          <w:rFonts w:ascii="Times New Roman" w:hAnsi="Times New Roman"/>
          <w:sz w:val="24"/>
          <w:szCs w:val="24"/>
          <w:shd w:val="clear" w:color="auto" w:fill="FFFFFF"/>
        </w:rPr>
        <w:t xml:space="preserve"> </w:t>
      </w:r>
      <w:r w:rsidR="009B0B16" w:rsidRPr="001665C7">
        <w:rPr>
          <w:rFonts w:ascii="Times New Roman" w:hAnsi="Times New Roman"/>
          <w:sz w:val="24"/>
          <w:szCs w:val="24"/>
          <w:shd w:val="clear" w:color="auto" w:fill="FFFFFF"/>
        </w:rPr>
        <w:t>финансијског</w:t>
      </w:r>
      <w:r w:rsidR="00EF7776" w:rsidRPr="001665C7">
        <w:rPr>
          <w:rFonts w:ascii="Times New Roman" w:hAnsi="Times New Roman"/>
          <w:sz w:val="24"/>
          <w:szCs w:val="24"/>
          <w:shd w:val="clear" w:color="auto" w:fill="FFFFFF"/>
        </w:rPr>
        <w:t xml:space="preserve"> </w:t>
      </w:r>
      <w:r w:rsidR="009B0B16" w:rsidRPr="001665C7">
        <w:rPr>
          <w:rFonts w:ascii="Times New Roman" w:hAnsi="Times New Roman"/>
          <w:sz w:val="24"/>
          <w:szCs w:val="24"/>
          <w:shd w:val="clear" w:color="auto" w:fill="FFFFFF"/>
        </w:rPr>
        <w:t>положаја</w:t>
      </w:r>
      <w:r w:rsidR="00EF7776" w:rsidRPr="001665C7">
        <w:rPr>
          <w:rFonts w:ascii="Times New Roman" w:hAnsi="Times New Roman"/>
          <w:sz w:val="24"/>
          <w:szCs w:val="24"/>
          <w:shd w:val="clear" w:color="auto" w:fill="FFFFFF"/>
        </w:rPr>
        <w:t xml:space="preserve"> </w:t>
      </w:r>
      <w:r w:rsidR="009B0B16" w:rsidRPr="001665C7">
        <w:rPr>
          <w:rFonts w:ascii="Times New Roman" w:hAnsi="Times New Roman"/>
          <w:sz w:val="24"/>
          <w:szCs w:val="24"/>
          <w:shd w:val="clear" w:color="auto" w:fill="FFFFFF"/>
        </w:rPr>
        <w:t>и</w:t>
      </w:r>
      <w:r w:rsidR="00EF7776" w:rsidRPr="001665C7">
        <w:rPr>
          <w:rFonts w:ascii="Times New Roman" w:hAnsi="Times New Roman"/>
          <w:sz w:val="24"/>
          <w:szCs w:val="24"/>
          <w:shd w:val="clear" w:color="auto" w:fill="FFFFFF"/>
        </w:rPr>
        <w:t xml:space="preserve"> </w:t>
      </w:r>
      <w:r w:rsidR="009B0B16" w:rsidRPr="001665C7">
        <w:rPr>
          <w:rFonts w:ascii="Times New Roman" w:hAnsi="Times New Roman"/>
          <w:sz w:val="24"/>
          <w:szCs w:val="24"/>
          <w:shd w:val="clear" w:color="auto" w:fill="FFFFFF"/>
        </w:rPr>
        <w:t>успешности</w:t>
      </w:r>
      <w:r w:rsidR="00EF7776" w:rsidRPr="001665C7">
        <w:rPr>
          <w:rFonts w:ascii="Times New Roman" w:hAnsi="Times New Roman"/>
          <w:sz w:val="24"/>
          <w:szCs w:val="24"/>
          <w:shd w:val="clear" w:color="auto" w:fill="FFFFFF"/>
        </w:rPr>
        <w:t xml:space="preserve"> </w:t>
      </w:r>
      <w:r w:rsidR="009B0B16" w:rsidRPr="001665C7">
        <w:rPr>
          <w:rFonts w:ascii="Times New Roman" w:hAnsi="Times New Roman"/>
          <w:sz w:val="24"/>
          <w:szCs w:val="24"/>
          <w:shd w:val="clear" w:color="auto" w:fill="FFFFFF"/>
        </w:rPr>
        <w:t>пословања</w:t>
      </w:r>
      <w:r w:rsidR="00EF7776" w:rsidRPr="001665C7">
        <w:rPr>
          <w:rFonts w:ascii="Times New Roman" w:hAnsi="Times New Roman"/>
          <w:sz w:val="24"/>
          <w:szCs w:val="24"/>
          <w:shd w:val="clear" w:color="auto" w:fill="FFFFFF"/>
        </w:rPr>
        <w:t xml:space="preserve"> </w:t>
      </w:r>
      <w:r w:rsidR="009B0B16" w:rsidRPr="001665C7">
        <w:rPr>
          <w:rFonts w:ascii="Times New Roman" w:hAnsi="Times New Roman"/>
          <w:sz w:val="24"/>
          <w:szCs w:val="24"/>
          <w:shd w:val="clear" w:color="auto" w:fill="FFFFFF"/>
        </w:rPr>
        <w:t>правног</w:t>
      </w:r>
      <w:r w:rsidR="00EF7776" w:rsidRPr="001665C7">
        <w:rPr>
          <w:rFonts w:ascii="Times New Roman" w:hAnsi="Times New Roman"/>
          <w:sz w:val="24"/>
          <w:szCs w:val="24"/>
          <w:shd w:val="clear" w:color="auto" w:fill="FFFFFF"/>
        </w:rPr>
        <w:t xml:space="preserve"> </w:t>
      </w:r>
      <w:r w:rsidR="009B0B16" w:rsidRPr="001665C7">
        <w:rPr>
          <w:rFonts w:ascii="Times New Roman" w:hAnsi="Times New Roman"/>
          <w:sz w:val="24"/>
          <w:szCs w:val="24"/>
          <w:shd w:val="clear" w:color="auto" w:fill="FFFFFF"/>
        </w:rPr>
        <w:t>лица</w:t>
      </w:r>
      <w:r w:rsidR="00EF7776" w:rsidRPr="001665C7">
        <w:rPr>
          <w:rFonts w:ascii="Times New Roman" w:hAnsi="Times New Roman"/>
          <w:sz w:val="24"/>
          <w:szCs w:val="24"/>
          <w:shd w:val="clear" w:color="auto" w:fill="FFFFFF"/>
        </w:rPr>
        <w:t xml:space="preserve">, </w:t>
      </w:r>
      <w:r w:rsidR="009B0B16" w:rsidRPr="001665C7">
        <w:rPr>
          <w:rFonts w:ascii="Times New Roman" w:hAnsi="Times New Roman"/>
          <w:sz w:val="24"/>
          <w:szCs w:val="24"/>
          <w:shd w:val="clear" w:color="auto" w:fill="FFFFFF"/>
        </w:rPr>
        <w:t>као</w:t>
      </w:r>
      <w:r w:rsidR="00EF7776" w:rsidRPr="001665C7">
        <w:rPr>
          <w:rFonts w:ascii="Times New Roman" w:hAnsi="Times New Roman"/>
          <w:sz w:val="24"/>
          <w:szCs w:val="24"/>
          <w:shd w:val="clear" w:color="auto" w:fill="FFFFFF"/>
        </w:rPr>
        <w:t xml:space="preserve"> </w:t>
      </w:r>
      <w:r w:rsidR="009B0B16" w:rsidRPr="001665C7">
        <w:rPr>
          <w:rFonts w:ascii="Times New Roman" w:hAnsi="Times New Roman"/>
          <w:sz w:val="24"/>
          <w:szCs w:val="24"/>
          <w:shd w:val="clear" w:color="auto" w:fill="FFFFFF"/>
        </w:rPr>
        <w:t>и</w:t>
      </w:r>
      <w:r w:rsidR="00EF7776" w:rsidRPr="001665C7">
        <w:rPr>
          <w:rFonts w:ascii="Times New Roman" w:hAnsi="Times New Roman"/>
          <w:sz w:val="24"/>
          <w:szCs w:val="24"/>
          <w:shd w:val="clear" w:color="auto" w:fill="FFFFFF"/>
        </w:rPr>
        <w:t xml:space="preserve"> </w:t>
      </w:r>
      <w:r w:rsidR="009B0B16" w:rsidRPr="001665C7">
        <w:rPr>
          <w:rFonts w:ascii="Times New Roman" w:hAnsi="Times New Roman"/>
          <w:sz w:val="24"/>
          <w:szCs w:val="24"/>
          <w:shd w:val="clear" w:color="auto" w:fill="FFFFFF"/>
        </w:rPr>
        <w:t>остале</w:t>
      </w:r>
      <w:r w:rsidR="00EF7776" w:rsidRPr="001665C7">
        <w:rPr>
          <w:rFonts w:ascii="Times New Roman" w:hAnsi="Times New Roman"/>
          <w:sz w:val="24"/>
          <w:szCs w:val="24"/>
          <w:shd w:val="clear" w:color="auto" w:fill="FFFFFF"/>
        </w:rPr>
        <w:t xml:space="preserve"> </w:t>
      </w:r>
      <w:r w:rsidR="009B0B16" w:rsidRPr="001665C7">
        <w:rPr>
          <w:rFonts w:ascii="Times New Roman" w:hAnsi="Times New Roman"/>
          <w:sz w:val="24"/>
          <w:szCs w:val="24"/>
          <w:shd w:val="clear" w:color="auto" w:fill="FFFFFF"/>
        </w:rPr>
        <w:t>информације</w:t>
      </w:r>
      <w:r w:rsidR="00EF7776" w:rsidRPr="001665C7">
        <w:rPr>
          <w:rFonts w:ascii="Times New Roman" w:hAnsi="Times New Roman"/>
          <w:sz w:val="24"/>
          <w:szCs w:val="24"/>
          <w:shd w:val="clear" w:color="auto" w:fill="FFFFFF"/>
        </w:rPr>
        <w:t xml:space="preserve"> </w:t>
      </w:r>
      <w:r w:rsidR="009B0B16" w:rsidRPr="001665C7">
        <w:rPr>
          <w:rFonts w:ascii="Times New Roman" w:hAnsi="Times New Roman"/>
          <w:sz w:val="24"/>
          <w:szCs w:val="24"/>
          <w:shd w:val="clear" w:color="auto" w:fill="FFFFFF"/>
        </w:rPr>
        <w:t>у</w:t>
      </w:r>
      <w:r w:rsidR="00EF7776" w:rsidRPr="001665C7">
        <w:rPr>
          <w:rFonts w:ascii="Times New Roman" w:hAnsi="Times New Roman"/>
          <w:sz w:val="24"/>
          <w:szCs w:val="24"/>
          <w:shd w:val="clear" w:color="auto" w:fill="FFFFFF"/>
        </w:rPr>
        <w:t xml:space="preserve"> </w:t>
      </w:r>
      <w:r w:rsidR="009B0B16" w:rsidRPr="001665C7">
        <w:rPr>
          <w:rFonts w:ascii="Times New Roman" w:hAnsi="Times New Roman"/>
          <w:sz w:val="24"/>
          <w:szCs w:val="24"/>
          <w:shd w:val="clear" w:color="auto" w:fill="FFFFFF"/>
        </w:rPr>
        <w:t>складу</w:t>
      </w:r>
      <w:r w:rsidR="00EF7776" w:rsidRPr="001665C7">
        <w:rPr>
          <w:rFonts w:ascii="Times New Roman" w:hAnsi="Times New Roman"/>
          <w:sz w:val="24"/>
          <w:szCs w:val="24"/>
          <w:shd w:val="clear" w:color="auto" w:fill="FFFFFF"/>
        </w:rPr>
        <w:t xml:space="preserve"> </w:t>
      </w:r>
      <w:r w:rsidR="009B0B16" w:rsidRPr="001665C7">
        <w:rPr>
          <w:rFonts w:ascii="Times New Roman" w:hAnsi="Times New Roman"/>
          <w:sz w:val="24"/>
          <w:szCs w:val="24"/>
          <w:shd w:val="clear" w:color="auto" w:fill="FFFFFF"/>
        </w:rPr>
        <w:t>са</w:t>
      </w:r>
      <w:r w:rsidR="00EF7776" w:rsidRPr="001665C7">
        <w:rPr>
          <w:rFonts w:ascii="Times New Roman" w:hAnsi="Times New Roman"/>
          <w:sz w:val="24"/>
          <w:szCs w:val="24"/>
          <w:shd w:val="clear" w:color="auto" w:fill="FFFFFF"/>
        </w:rPr>
        <w:t xml:space="preserve"> </w:t>
      </w:r>
      <w:r w:rsidR="009B0B16" w:rsidRPr="001665C7">
        <w:rPr>
          <w:rFonts w:ascii="Times New Roman" w:hAnsi="Times New Roman"/>
          <w:sz w:val="24"/>
          <w:szCs w:val="24"/>
          <w:shd w:val="clear" w:color="auto" w:fill="FFFFFF"/>
        </w:rPr>
        <w:t>захтевима</w:t>
      </w:r>
      <w:r w:rsidR="00EF7776" w:rsidRPr="001665C7">
        <w:rPr>
          <w:rFonts w:ascii="Times New Roman" w:hAnsi="Times New Roman"/>
          <w:sz w:val="24"/>
          <w:szCs w:val="24"/>
          <w:shd w:val="clear" w:color="auto" w:fill="FFFFFF"/>
        </w:rPr>
        <w:t xml:space="preserve"> </w:t>
      </w:r>
      <w:r w:rsidR="009B0B16" w:rsidRPr="001665C7">
        <w:rPr>
          <w:rFonts w:ascii="Times New Roman" w:hAnsi="Times New Roman"/>
          <w:sz w:val="24"/>
          <w:szCs w:val="24"/>
          <w:shd w:val="clear" w:color="auto" w:fill="FFFFFF"/>
        </w:rPr>
        <w:t>МСФИ</w:t>
      </w:r>
      <w:r w:rsidR="007C10F6" w:rsidRPr="001665C7">
        <w:rPr>
          <w:rFonts w:ascii="Times New Roman" w:hAnsi="Times New Roman"/>
          <w:sz w:val="24"/>
          <w:szCs w:val="24"/>
          <w:shd w:val="clear" w:color="auto" w:fill="FFFFFF"/>
          <w:lang w:val="sr-Cyrl-CS"/>
        </w:rPr>
        <w:t>. Напомене садрже податке који се не могу директно видети из финансијских извештаја, али су битни за његово разумевање.</w:t>
      </w:r>
    </w:p>
    <w:p w:rsidR="00EF7776" w:rsidRPr="001665C7" w:rsidRDefault="007C6BBE" w:rsidP="001665C7">
      <w:pPr>
        <w:ind w:firstLine="708"/>
        <w:jc w:val="both"/>
        <w:rPr>
          <w:rFonts w:ascii="Times New Roman" w:hAnsi="Times New Roman"/>
          <w:sz w:val="24"/>
          <w:szCs w:val="24"/>
          <w:lang w:val="sr-Cyrl-CS"/>
        </w:rPr>
      </w:pPr>
      <w:r w:rsidRPr="001665C7">
        <w:rPr>
          <w:rFonts w:ascii="Times New Roman" w:hAnsi="Times New Roman"/>
          <w:sz w:val="24"/>
          <w:szCs w:val="24"/>
          <w:lang w:val="sr-Cyrl-CS"/>
        </w:rPr>
        <w:t>При прегледу</w:t>
      </w:r>
      <w:r w:rsidR="00377977" w:rsidRPr="001665C7">
        <w:rPr>
          <w:rFonts w:ascii="Times New Roman" w:hAnsi="Times New Roman"/>
          <w:sz w:val="24"/>
          <w:szCs w:val="24"/>
          <w:lang w:val="sr-Cyrl-CS"/>
        </w:rPr>
        <w:t xml:space="preserve"> пословне и књиговодствене документације у циљу откривања избегавања плаћања пореза треба обратити пажњу на то да ли документ садржи све што је потребно почев од потписа овлашћеног лица, печата</w:t>
      </w:r>
      <w:r w:rsidR="00BF5413" w:rsidRPr="001665C7">
        <w:rPr>
          <w:rFonts w:ascii="Times New Roman" w:hAnsi="Times New Roman"/>
          <w:sz w:val="24"/>
          <w:szCs w:val="24"/>
          <w:lang w:val="sr-Cyrl-CS"/>
        </w:rPr>
        <w:t>,</w:t>
      </w:r>
      <w:r w:rsidR="00377977" w:rsidRPr="001665C7">
        <w:rPr>
          <w:rFonts w:ascii="Times New Roman" w:hAnsi="Times New Roman"/>
          <w:sz w:val="24"/>
          <w:szCs w:val="24"/>
          <w:lang w:val="sr-Cyrl-CS"/>
        </w:rPr>
        <w:t xml:space="preserve"> односно</w:t>
      </w:r>
      <w:r w:rsidR="00BF5413" w:rsidRPr="001665C7">
        <w:rPr>
          <w:rFonts w:ascii="Times New Roman" w:hAnsi="Times New Roman"/>
          <w:sz w:val="24"/>
          <w:szCs w:val="24"/>
          <w:lang w:val="sr-Cyrl-CS"/>
        </w:rPr>
        <w:t>,</w:t>
      </w:r>
      <w:r w:rsidR="00377977" w:rsidRPr="001665C7">
        <w:rPr>
          <w:rFonts w:ascii="Times New Roman" w:hAnsi="Times New Roman"/>
          <w:sz w:val="24"/>
          <w:szCs w:val="24"/>
          <w:lang w:val="sr-Cyrl-CS"/>
        </w:rPr>
        <w:t xml:space="preserve"> на начин креирања документа. Надаље, треба обратити пажњу на природу трансакције која је регистрована у датом документу, посебно на сложене, односно мултитрансакције, као и на начин како је тај документ прокњижен у пословним књигама. </w:t>
      </w:r>
      <w:r w:rsidR="00EF7ADE" w:rsidRPr="001665C7">
        <w:rPr>
          <w:rFonts w:ascii="Times New Roman" w:hAnsi="Times New Roman"/>
          <w:sz w:val="24"/>
          <w:szCs w:val="24"/>
          <w:lang w:val="sr-Cyrl-CS"/>
        </w:rPr>
        <w:t>Када се анализира биланс стања предузећа може се видети одакле су нека средства дошла, да ли је веродостојна документација и да ли је логична трансакција.</w:t>
      </w:r>
      <w:r w:rsidR="00885E29" w:rsidRPr="001665C7">
        <w:rPr>
          <w:rFonts w:ascii="Times New Roman" w:hAnsi="Times New Roman"/>
          <w:sz w:val="24"/>
          <w:szCs w:val="24"/>
          <w:lang w:val="sr-Cyrl-CS"/>
        </w:rPr>
        <w:t xml:space="preserve"> </w:t>
      </w:r>
      <w:r w:rsidR="001665C7">
        <w:rPr>
          <w:rFonts w:ascii="Times New Roman" w:hAnsi="Times New Roman"/>
          <w:sz w:val="24"/>
          <w:szCs w:val="24"/>
          <w:lang w:val="sr-Cyrl-CS"/>
        </w:rPr>
        <w:t xml:space="preserve"> </w:t>
      </w:r>
    </w:p>
    <w:p w:rsidR="00C71E5B" w:rsidRPr="001665C7" w:rsidRDefault="006B6AFB" w:rsidP="001665C7">
      <w:pPr>
        <w:ind w:firstLine="708"/>
        <w:jc w:val="both"/>
        <w:rPr>
          <w:rFonts w:ascii="Times New Roman" w:hAnsi="Times New Roman"/>
          <w:sz w:val="24"/>
          <w:szCs w:val="24"/>
          <w:lang w:val="sr-Cyrl-CS"/>
        </w:rPr>
      </w:pPr>
      <w:r w:rsidRPr="001665C7">
        <w:rPr>
          <w:rFonts w:ascii="Times New Roman" w:hAnsi="Times New Roman"/>
          <w:sz w:val="24"/>
          <w:szCs w:val="24"/>
          <w:lang w:val="sr-Cyrl-CS"/>
        </w:rPr>
        <w:t>Финасијски извештаји чине основу фина</w:t>
      </w:r>
      <w:r w:rsidR="00885E29" w:rsidRPr="001665C7">
        <w:rPr>
          <w:rFonts w:ascii="Times New Roman" w:hAnsi="Times New Roman"/>
          <w:sz w:val="24"/>
          <w:szCs w:val="24"/>
          <w:lang w:val="sr-Cyrl-CS"/>
        </w:rPr>
        <w:t>н</w:t>
      </w:r>
      <w:r w:rsidRPr="001665C7">
        <w:rPr>
          <w:rFonts w:ascii="Times New Roman" w:hAnsi="Times New Roman"/>
          <w:sz w:val="24"/>
          <w:szCs w:val="24"/>
          <w:lang w:val="sr-Cyrl-CS"/>
        </w:rPr>
        <w:t>сијск</w:t>
      </w:r>
      <w:r w:rsidR="00D315EF" w:rsidRPr="001665C7">
        <w:rPr>
          <w:rFonts w:ascii="Times New Roman" w:hAnsi="Times New Roman"/>
          <w:sz w:val="24"/>
          <w:szCs w:val="24"/>
          <w:lang w:val="sr-Cyrl-CS"/>
        </w:rPr>
        <w:t>е анализе</w:t>
      </w:r>
      <w:r w:rsidR="002B79C2" w:rsidRPr="001665C7">
        <w:rPr>
          <w:rFonts w:ascii="Times New Roman" w:hAnsi="Times New Roman"/>
          <w:sz w:val="24"/>
          <w:szCs w:val="24"/>
          <w:lang w:val="sr-Cyrl-CS"/>
        </w:rPr>
        <w:t>.</w:t>
      </w:r>
      <w:r w:rsidR="00D315EF" w:rsidRPr="001665C7">
        <w:rPr>
          <w:rFonts w:ascii="Times New Roman" w:hAnsi="Times New Roman"/>
          <w:sz w:val="24"/>
          <w:szCs w:val="24"/>
          <w:lang w:val="sr-Cyrl-CS"/>
        </w:rPr>
        <w:t xml:space="preserve"> </w:t>
      </w:r>
      <w:r w:rsidR="007C10F6" w:rsidRPr="001665C7">
        <w:rPr>
          <w:rFonts w:ascii="Times New Roman" w:hAnsi="Times New Roman"/>
          <w:sz w:val="24"/>
          <w:szCs w:val="24"/>
          <w:lang w:val="sr-Cyrl-CS"/>
        </w:rPr>
        <w:t>Она истражује промене у финансијском стању, а посебно сумњиве промене, прати токове новца, односно  одакле новац долази и где одлази.</w:t>
      </w:r>
      <w:r w:rsidR="00A20A0A" w:rsidRPr="001665C7">
        <w:rPr>
          <w:rFonts w:ascii="Times New Roman" w:hAnsi="Times New Roman"/>
          <w:sz w:val="24"/>
          <w:szCs w:val="24"/>
          <w:lang w:val="sr-Cyrl-CS"/>
        </w:rPr>
        <w:t xml:space="preserve"> </w:t>
      </w:r>
      <w:r w:rsidR="00CC680B" w:rsidRPr="001665C7">
        <w:rPr>
          <w:rFonts w:ascii="Times New Roman" w:hAnsi="Times New Roman"/>
          <w:sz w:val="24"/>
          <w:szCs w:val="24"/>
          <w:lang w:val="sr-Cyrl-CS"/>
        </w:rPr>
        <w:t xml:space="preserve">Анализом биланса предузећа може да се каже одакле су нека средства дошла, да ли је један документ веродостојан, да ли је једна трансакција логична. Компликоване трансакције, односно када се не ради о уобичајеном пословном догађају, указују на могућност прикривања чињеница од значаја за опорезивање, а самим тим и на тенденцију да се избегне плаћање пореза. </w:t>
      </w:r>
      <w:r w:rsidR="00885E29" w:rsidRPr="001665C7">
        <w:rPr>
          <w:rFonts w:ascii="Times New Roman" w:hAnsi="Times New Roman"/>
          <w:sz w:val="24"/>
          <w:szCs w:val="24"/>
          <w:lang w:val="sr-Cyrl-CS"/>
        </w:rPr>
        <w:t xml:space="preserve"> </w:t>
      </w:r>
    </w:p>
    <w:p w:rsidR="00885E29" w:rsidRPr="00C71E5B" w:rsidRDefault="00C71E5B" w:rsidP="00C71E5B">
      <w:pPr>
        <w:ind w:firstLine="708"/>
        <w:jc w:val="both"/>
        <w:rPr>
          <w:rFonts w:ascii="Times New Roman" w:hAnsi="Times New Roman"/>
          <w:sz w:val="24"/>
          <w:szCs w:val="24"/>
          <w:lang w:val="sr-Cyrl-CS"/>
        </w:rPr>
      </w:pPr>
      <w:r>
        <w:rPr>
          <w:rFonts w:ascii="Times New Roman" w:hAnsi="Times New Roman"/>
          <w:sz w:val="24"/>
          <w:szCs w:val="24"/>
          <w:lang w:val="sr-Cyrl-CS"/>
        </w:rPr>
        <w:t xml:space="preserve">Приликом </w:t>
      </w:r>
      <w:r w:rsidRPr="00C71E5B">
        <w:rPr>
          <w:rFonts w:ascii="Times New Roman" w:hAnsi="Times New Roman"/>
          <w:sz w:val="24"/>
          <w:szCs w:val="24"/>
          <w:lang w:val="sr-Cyrl-CS"/>
        </w:rPr>
        <w:t>анализе</w:t>
      </w:r>
      <w:r>
        <w:rPr>
          <w:rFonts w:ascii="Times New Roman" w:hAnsi="Times New Roman"/>
          <w:sz w:val="24"/>
          <w:szCs w:val="24"/>
          <w:lang w:val="sr-Cyrl-CS"/>
        </w:rPr>
        <w:t xml:space="preserve"> финансијских извештаја најчешће се користе: вертикална анализа, хоризонтална анализа и </w:t>
      </w:r>
      <w:r>
        <w:rPr>
          <w:rFonts w:ascii="Times New Roman" w:hAnsi="Times New Roman"/>
          <w:sz w:val="24"/>
          <w:szCs w:val="24"/>
        </w:rPr>
        <w:t>racio анализа.</w:t>
      </w:r>
      <w:r>
        <w:rPr>
          <w:rFonts w:ascii="Times New Roman" w:hAnsi="Times New Roman"/>
          <w:sz w:val="24"/>
          <w:szCs w:val="24"/>
          <w:lang w:val="sr-Cyrl-CS"/>
        </w:rPr>
        <w:t xml:space="preserve"> Код вертикалне анализе биланса стања и биланса успеха посматрају се промене  у оквиру једне билансне позиције односно групе у низу од неколико година. Најчешће се третирају укупна актива и укупна пасива у </w:t>
      </w:r>
      <w:r>
        <w:rPr>
          <w:rFonts w:ascii="Times New Roman" w:hAnsi="Times New Roman"/>
          <w:sz w:val="24"/>
          <w:szCs w:val="24"/>
          <w:lang w:val="sr-Cyrl-CS"/>
        </w:rPr>
        <w:lastRenderedPageBreak/>
        <w:t xml:space="preserve">билансу стања и приходи од продаје у биласну успеха. На основу ветикалне анализе добијају се подаци о структури средстава-активе и структури извора финансирања-пасиве биланса стања. Код хоризонталне анализе посматра се једна билансна позиција у процентима у текућој години  и пореди се са претходном годином. </w:t>
      </w:r>
      <w:r w:rsidRPr="009435A7">
        <w:rPr>
          <w:rFonts w:ascii="Times New Roman" w:hAnsi="Times New Roman"/>
          <w:sz w:val="24"/>
          <w:szCs w:val="24"/>
          <w:lang w:val="sr-Cyrl-CS"/>
        </w:rPr>
        <w:t xml:space="preserve">Рацио </w:t>
      </w:r>
      <w:r>
        <w:rPr>
          <w:rFonts w:ascii="Times New Roman" w:hAnsi="Times New Roman"/>
          <w:sz w:val="24"/>
          <w:szCs w:val="24"/>
          <w:lang w:val="sr-Cyrl-CS"/>
        </w:rPr>
        <w:t>анализа представља анализу помоћу финсијских показатеља (бројева, коефи</w:t>
      </w:r>
      <w:r w:rsidR="00BF5413">
        <w:rPr>
          <w:rFonts w:ascii="Times New Roman" w:hAnsi="Times New Roman"/>
          <w:sz w:val="24"/>
          <w:szCs w:val="24"/>
          <w:lang w:val="sr-Cyrl-CS"/>
        </w:rPr>
        <w:t>ци</w:t>
      </w:r>
      <w:r>
        <w:rPr>
          <w:rFonts w:ascii="Times New Roman" w:hAnsi="Times New Roman"/>
          <w:sz w:val="24"/>
          <w:szCs w:val="24"/>
          <w:lang w:val="sr-Cyrl-CS"/>
        </w:rPr>
        <w:t>јената). Показатељи представљају однос између две економске категорије изражен у математичкој формули. Све нелогичне промене у рацио анализ</w:t>
      </w:r>
      <w:r w:rsidR="00BF5413">
        <w:rPr>
          <w:rFonts w:ascii="Times New Roman" w:hAnsi="Times New Roman"/>
          <w:sz w:val="24"/>
          <w:szCs w:val="24"/>
          <w:lang w:val="sr-Cyrl-CS"/>
        </w:rPr>
        <w:t>и</w:t>
      </w:r>
      <w:r>
        <w:rPr>
          <w:rFonts w:ascii="Times New Roman" w:hAnsi="Times New Roman"/>
          <w:sz w:val="24"/>
          <w:szCs w:val="24"/>
          <w:lang w:val="sr-Cyrl-CS"/>
        </w:rPr>
        <w:t xml:space="preserve"> могу указивати на манипулације, па и на пореску евазију.</w:t>
      </w:r>
    </w:p>
    <w:p w:rsidR="00377977" w:rsidRDefault="002B79C2" w:rsidP="00885E29">
      <w:pPr>
        <w:pStyle w:val="normaluvuceni3"/>
        <w:shd w:val="clear" w:color="auto" w:fill="FFFFFF"/>
        <w:spacing w:before="48" w:beforeAutospacing="0" w:after="48" w:afterAutospacing="0"/>
        <w:ind w:firstLine="708"/>
        <w:jc w:val="both"/>
        <w:rPr>
          <w:color w:val="000000"/>
          <w:lang w:val="sr-Cyrl-CS"/>
        </w:rPr>
      </w:pPr>
      <w:r>
        <w:rPr>
          <w:lang w:val="sr-Cyrl-CS"/>
        </w:rPr>
        <w:t>П</w:t>
      </w:r>
      <w:r w:rsidR="00377977" w:rsidRPr="00060971">
        <w:t xml:space="preserve">равила </w:t>
      </w:r>
      <w:r>
        <w:rPr>
          <w:lang w:val="sr-Cyrl-CS"/>
        </w:rPr>
        <w:t>помоћу којих се врши в</w:t>
      </w:r>
      <w:r w:rsidRPr="00060971">
        <w:t>редновање финансијских изв</w:t>
      </w:r>
      <w:r>
        <w:t xml:space="preserve">ештаја </w:t>
      </w:r>
      <w:r>
        <w:rPr>
          <w:lang w:val="sr-Cyrl-CS"/>
        </w:rPr>
        <w:t>су</w:t>
      </w:r>
      <w:r>
        <w:t xml:space="preserve"> стадард</w:t>
      </w:r>
      <w:r>
        <w:rPr>
          <w:lang w:val="sr-Cyrl-CS"/>
        </w:rPr>
        <w:t>и</w:t>
      </w:r>
      <w:r w:rsidR="00377977" w:rsidRPr="00060971">
        <w:t xml:space="preserve"> из области рачуноводства</w:t>
      </w:r>
      <w:r>
        <w:rPr>
          <w:lang w:val="sr-Cyrl-CS"/>
        </w:rPr>
        <w:t xml:space="preserve"> и они</w:t>
      </w:r>
      <w:r w:rsidR="00377977" w:rsidRPr="00060971">
        <w:t xml:space="preserve"> подразумевају договорена правила о припремању, признавању, одмеравању и приказивању ставки рачуноводствених извештаја економског ентитета</w:t>
      </w:r>
      <w:r w:rsidR="00377977">
        <w:rPr>
          <w:color w:val="000000"/>
          <w:lang w:val="sr-Cyrl-CS"/>
        </w:rPr>
        <w:t>.</w:t>
      </w:r>
      <w:r w:rsidR="004A71EA">
        <w:rPr>
          <w:rStyle w:val="FootnoteReference"/>
          <w:color w:val="000000"/>
          <w:lang w:val="sr-Cyrl-CS"/>
        </w:rPr>
        <w:footnoteReference w:id="261"/>
      </w:r>
    </w:p>
    <w:p w:rsidR="00A20A0A" w:rsidRPr="00EF7776" w:rsidRDefault="00A20A0A" w:rsidP="00885E29">
      <w:pPr>
        <w:pStyle w:val="normaluvuceni3"/>
        <w:shd w:val="clear" w:color="auto" w:fill="FFFFFF"/>
        <w:spacing w:before="48" w:beforeAutospacing="0" w:after="48" w:afterAutospacing="0"/>
        <w:jc w:val="both"/>
        <w:rPr>
          <w:color w:val="000000"/>
          <w:lang w:val="sr-Cyrl-CS"/>
        </w:rPr>
      </w:pPr>
    </w:p>
    <w:p w:rsidR="000D197C" w:rsidRPr="009435A7" w:rsidRDefault="005B720C" w:rsidP="009435A7">
      <w:pPr>
        <w:ind w:firstLine="708"/>
        <w:jc w:val="both"/>
        <w:rPr>
          <w:rFonts w:ascii="Times New Roman" w:hAnsi="Times New Roman"/>
          <w:color w:val="000000"/>
          <w:sz w:val="24"/>
          <w:szCs w:val="24"/>
          <w:shd w:val="clear" w:color="auto" w:fill="FFFFFF"/>
          <w:lang w:val="sr-Cyrl-CS"/>
        </w:rPr>
      </w:pPr>
      <w:r w:rsidRPr="000D197C">
        <w:rPr>
          <w:rFonts w:ascii="Times New Roman" w:hAnsi="Times New Roman"/>
          <w:color w:val="000000"/>
          <w:sz w:val="24"/>
          <w:szCs w:val="24"/>
          <w:shd w:val="clear" w:color="auto" w:fill="FFFFFF"/>
          <w:lang w:val="sr-Cyrl-CS"/>
        </w:rPr>
        <w:t>Под професионалном регулативом подразумевају  се</w:t>
      </w:r>
      <w:r w:rsidR="000D197C">
        <w:rPr>
          <w:rFonts w:ascii="Times New Roman" w:hAnsi="Times New Roman"/>
          <w:color w:val="000000"/>
          <w:sz w:val="24"/>
          <w:szCs w:val="24"/>
          <w:shd w:val="clear" w:color="auto" w:fill="FFFFFF"/>
          <w:lang w:val="sr-Cyrl-CS"/>
        </w:rPr>
        <w:t>:</w:t>
      </w:r>
      <w:r w:rsidRPr="000D197C">
        <w:rPr>
          <w:rFonts w:ascii="Times New Roman" w:hAnsi="Times New Roman"/>
          <w:color w:val="000000"/>
          <w:sz w:val="24"/>
          <w:szCs w:val="24"/>
          <w:shd w:val="clear" w:color="auto" w:fill="FFFFFF"/>
          <w:lang w:val="sr-Cyrl-CS"/>
        </w:rPr>
        <w:t xml:space="preserve"> </w:t>
      </w:r>
      <w:r w:rsidR="000D197C">
        <w:rPr>
          <w:rFonts w:ascii="Times New Roman" w:hAnsi="Times New Roman"/>
          <w:color w:val="000000"/>
          <w:sz w:val="24"/>
          <w:szCs w:val="24"/>
          <w:shd w:val="clear" w:color="auto" w:fill="FFFFFF"/>
          <w:lang w:val="sr-Cyrl-CS"/>
        </w:rPr>
        <w:t>Оквир за пр</w:t>
      </w:r>
      <w:r w:rsidR="0019576C">
        <w:rPr>
          <w:rFonts w:ascii="Times New Roman" w:hAnsi="Times New Roman"/>
          <w:color w:val="000000"/>
          <w:sz w:val="24"/>
          <w:szCs w:val="24"/>
          <w:shd w:val="clear" w:color="auto" w:fill="FFFFFF"/>
          <w:lang w:val="sr-Cyrl-CS"/>
        </w:rPr>
        <w:t>ипремање и прика</w:t>
      </w:r>
      <w:r w:rsidR="000D197C">
        <w:rPr>
          <w:rFonts w:ascii="Times New Roman" w:hAnsi="Times New Roman"/>
          <w:color w:val="000000"/>
          <w:sz w:val="24"/>
          <w:szCs w:val="24"/>
          <w:shd w:val="clear" w:color="auto" w:fill="FFFFFF"/>
          <w:lang w:val="sr-Cyrl-CS"/>
        </w:rPr>
        <w:t>зивање финансијских извештаја</w:t>
      </w:r>
      <w:r w:rsidRPr="000D197C">
        <w:rPr>
          <w:rFonts w:ascii="Times New Roman" w:hAnsi="Times New Roman"/>
          <w:color w:val="000000"/>
          <w:sz w:val="24"/>
          <w:szCs w:val="24"/>
          <w:shd w:val="clear" w:color="auto" w:fill="FFFFFF"/>
        </w:rPr>
        <w:t xml:space="preserve"> (</w:t>
      </w:r>
      <w:r w:rsidRPr="000D197C">
        <w:rPr>
          <w:rFonts w:ascii="Times New Roman" w:hAnsi="Times New Roman"/>
          <w:i/>
          <w:iCs/>
          <w:color w:val="000000"/>
          <w:sz w:val="24"/>
          <w:szCs w:val="24"/>
          <w:shd w:val="clear" w:color="auto" w:fill="FFFFFF"/>
        </w:rPr>
        <w:t>Framework for the Preparation and Presentation of Financial Statements</w:t>
      </w:r>
      <w:r w:rsidRPr="000D197C">
        <w:rPr>
          <w:rFonts w:ascii="Times New Roman" w:hAnsi="Times New Roman"/>
          <w:color w:val="000000"/>
          <w:sz w:val="24"/>
          <w:szCs w:val="24"/>
          <w:shd w:val="clear" w:color="auto" w:fill="FFFFFF"/>
        </w:rPr>
        <w:t xml:space="preserve">), </w:t>
      </w:r>
      <w:r w:rsidR="000D197C">
        <w:rPr>
          <w:rFonts w:ascii="Times New Roman" w:hAnsi="Times New Roman"/>
          <w:color w:val="000000"/>
          <w:sz w:val="24"/>
          <w:szCs w:val="24"/>
          <w:shd w:val="clear" w:color="auto" w:fill="FFFFFF"/>
          <w:lang w:val="sr-Cyrl-CS"/>
        </w:rPr>
        <w:t>Међународни рачуноводствени стандарди</w:t>
      </w:r>
      <w:r w:rsidRPr="000D197C">
        <w:rPr>
          <w:rFonts w:ascii="Times New Roman" w:hAnsi="Times New Roman"/>
          <w:color w:val="000000"/>
          <w:sz w:val="24"/>
          <w:szCs w:val="24"/>
          <w:shd w:val="clear" w:color="auto" w:fill="FFFFFF"/>
        </w:rPr>
        <w:t xml:space="preserve"> - MRS (</w:t>
      </w:r>
      <w:r w:rsidRPr="000D197C">
        <w:rPr>
          <w:rFonts w:ascii="Times New Roman" w:hAnsi="Times New Roman"/>
          <w:i/>
          <w:iCs/>
          <w:color w:val="000000"/>
          <w:sz w:val="24"/>
          <w:szCs w:val="24"/>
          <w:shd w:val="clear" w:color="auto" w:fill="FFFFFF"/>
        </w:rPr>
        <w:t>International Accounting Standards</w:t>
      </w:r>
      <w:r w:rsidRPr="000D197C">
        <w:rPr>
          <w:rStyle w:val="apple-converted-space"/>
          <w:rFonts w:ascii="Times New Roman" w:hAnsi="Times New Roman"/>
          <w:color w:val="000000"/>
          <w:sz w:val="24"/>
          <w:szCs w:val="24"/>
          <w:shd w:val="clear" w:color="auto" w:fill="FFFFFF"/>
        </w:rPr>
        <w:t> </w:t>
      </w:r>
      <w:r w:rsidRPr="000D197C">
        <w:rPr>
          <w:rFonts w:ascii="Times New Roman" w:hAnsi="Times New Roman"/>
          <w:color w:val="000000"/>
          <w:sz w:val="24"/>
          <w:szCs w:val="24"/>
          <w:shd w:val="clear" w:color="auto" w:fill="FFFFFF"/>
        </w:rPr>
        <w:t xml:space="preserve">- IAS), </w:t>
      </w:r>
      <w:r w:rsidR="000D197C">
        <w:rPr>
          <w:rFonts w:ascii="Times New Roman" w:hAnsi="Times New Roman"/>
          <w:color w:val="000000"/>
          <w:sz w:val="24"/>
          <w:szCs w:val="24"/>
          <w:shd w:val="clear" w:color="auto" w:fill="FFFFFF"/>
          <w:lang w:val="sr-Cyrl-CS"/>
        </w:rPr>
        <w:t>Међународни стандарди финансијског извештавања</w:t>
      </w:r>
      <w:r w:rsidRPr="000D197C">
        <w:rPr>
          <w:rFonts w:ascii="Times New Roman" w:hAnsi="Times New Roman"/>
          <w:color w:val="000000"/>
          <w:sz w:val="24"/>
          <w:szCs w:val="24"/>
          <w:shd w:val="clear" w:color="auto" w:fill="FFFFFF"/>
        </w:rPr>
        <w:t xml:space="preserve"> - MSFI (</w:t>
      </w:r>
      <w:r w:rsidRPr="000D197C">
        <w:rPr>
          <w:rFonts w:ascii="Times New Roman" w:hAnsi="Times New Roman"/>
          <w:i/>
          <w:iCs/>
          <w:color w:val="000000"/>
          <w:sz w:val="24"/>
          <w:szCs w:val="24"/>
          <w:shd w:val="clear" w:color="auto" w:fill="FFFFFF"/>
        </w:rPr>
        <w:t>International Financial Reporting Standards</w:t>
      </w:r>
      <w:r w:rsidRPr="000D197C">
        <w:rPr>
          <w:rStyle w:val="apple-converted-space"/>
          <w:rFonts w:ascii="Times New Roman" w:hAnsi="Times New Roman"/>
          <w:color w:val="000000"/>
          <w:sz w:val="24"/>
          <w:szCs w:val="24"/>
          <w:shd w:val="clear" w:color="auto" w:fill="FFFFFF"/>
        </w:rPr>
        <w:t> </w:t>
      </w:r>
      <w:r w:rsidRPr="000D197C">
        <w:rPr>
          <w:rFonts w:ascii="Times New Roman" w:hAnsi="Times New Roman"/>
          <w:color w:val="000000"/>
          <w:sz w:val="24"/>
          <w:szCs w:val="24"/>
          <w:shd w:val="clear" w:color="auto" w:fill="FFFFFF"/>
        </w:rPr>
        <w:t xml:space="preserve">- IFRS) </w:t>
      </w:r>
      <w:r w:rsidR="000D197C" w:rsidRPr="000D197C">
        <w:rPr>
          <w:rFonts w:ascii="Times New Roman" w:hAnsi="Times New Roman"/>
          <w:color w:val="000000"/>
          <w:sz w:val="24"/>
          <w:szCs w:val="24"/>
          <w:shd w:val="clear" w:color="auto" w:fill="FFFFFF"/>
          <w:lang w:val="sr-Cyrl-CS"/>
        </w:rPr>
        <w:t>и</w:t>
      </w:r>
      <w:r w:rsidRPr="000D197C">
        <w:rPr>
          <w:rFonts w:ascii="Times New Roman" w:hAnsi="Times New Roman"/>
          <w:color w:val="000000"/>
          <w:sz w:val="24"/>
          <w:szCs w:val="24"/>
          <w:shd w:val="clear" w:color="auto" w:fill="FFFFFF"/>
          <w:lang w:val="sr-Cyrl-CS"/>
        </w:rPr>
        <w:t xml:space="preserve"> </w:t>
      </w:r>
      <w:r w:rsidR="000D197C" w:rsidRPr="000D197C">
        <w:rPr>
          <w:rFonts w:ascii="Times New Roman" w:hAnsi="Times New Roman"/>
          <w:color w:val="000000"/>
          <w:sz w:val="24"/>
          <w:szCs w:val="24"/>
          <w:shd w:val="clear" w:color="auto" w:fill="FFFFFF"/>
          <w:lang w:val="sr-Cyrl-CS"/>
        </w:rPr>
        <w:t>са</w:t>
      </w:r>
      <w:r w:rsidRPr="000D197C">
        <w:rPr>
          <w:rFonts w:ascii="Times New Roman" w:hAnsi="Times New Roman"/>
          <w:color w:val="000000"/>
          <w:sz w:val="24"/>
          <w:szCs w:val="24"/>
          <w:shd w:val="clear" w:color="auto" w:fill="FFFFFF"/>
          <w:lang w:val="sr-Cyrl-CS"/>
        </w:rPr>
        <w:t xml:space="preserve"> </w:t>
      </w:r>
      <w:r w:rsidR="000D197C" w:rsidRPr="000D197C">
        <w:rPr>
          <w:rFonts w:ascii="Times New Roman" w:hAnsi="Times New Roman"/>
          <w:color w:val="000000"/>
          <w:sz w:val="24"/>
          <w:szCs w:val="24"/>
          <w:shd w:val="clear" w:color="auto" w:fill="FFFFFF"/>
          <w:lang w:val="sr-Cyrl-CS"/>
        </w:rPr>
        <w:t>њима</w:t>
      </w:r>
      <w:r w:rsidRPr="000D197C">
        <w:rPr>
          <w:rFonts w:ascii="Times New Roman" w:hAnsi="Times New Roman"/>
          <w:color w:val="000000"/>
          <w:sz w:val="24"/>
          <w:szCs w:val="24"/>
          <w:shd w:val="clear" w:color="auto" w:fill="FFFFFF"/>
          <w:lang w:val="sr-Cyrl-CS"/>
        </w:rPr>
        <w:t xml:space="preserve"> </w:t>
      </w:r>
      <w:r w:rsidR="000D197C" w:rsidRPr="000D197C">
        <w:rPr>
          <w:rFonts w:ascii="Times New Roman" w:hAnsi="Times New Roman"/>
          <w:color w:val="000000"/>
          <w:sz w:val="24"/>
          <w:szCs w:val="24"/>
          <w:shd w:val="clear" w:color="auto" w:fill="FFFFFF"/>
          <w:lang w:val="sr-Cyrl-CS"/>
        </w:rPr>
        <w:t>повезана</w:t>
      </w:r>
      <w:r w:rsidRPr="000D197C">
        <w:rPr>
          <w:rFonts w:ascii="Times New Roman" w:hAnsi="Times New Roman"/>
          <w:color w:val="000000"/>
          <w:sz w:val="24"/>
          <w:szCs w:val="24"/>
          <w:shd w:val="clear" w:color="auto" w:fill="FFFFFF"/>
          <w:lang w:val="sr-Cyrl-CS"/>
        </w:rPr>
        <w:t xml:space="preserve"> </w:t>
      </w:r>
      <w:r w:rsidR="000D197C" w:rsidRPr="000D197C">
        <w:rPr>
          <w:rFonts w:ascii="Times New Roman" w:hAnsi="Times New Roman"/>
          <w:color w:val="000000"/>
          <w:sz w:val="24"/>
          <w:szCs w:val="24"/>
          <w:shd w:val="clear" w:color="auto" w:fill="FFFFFF"/>
          <w:lang w:val="sr-Cyrl-CS"/>
        </w:rPr>
        <w:t>тумачења</w:t>
      </w:r>
      <w:r w:rsidRPr="000D197C">
        <w:rPr>
          <w:rFonts w:ascii="Times New Roman" w:hAnsi="Times New Roman"/>
          <w:color w:val="000000"/>
          <w:sz w:val="24"/>
          <w:szCs w:val="24"/>
          <w:shd w:val="clear" w:color="auto" w:fill="FFFFFF"/>
          <w:lang w:val="sr-Cyrl-CS"/>
        </w:rPr>
        <w:t xml:space="preserve">, </w:t>
      </w:r>
      <w:r w:rsidR="000D197C" w:rsidRPr="000D197C">
        <w:rPr>
          <w:rFonts w:ascii="Times New Roman" w:hAnsi="Times New Roman"/>
          <w:color w:val="000000"/>
          <w:sz w:val="24"/>
          <w:szCs w:val="24"/>
          <w:shd w:val="clear" w:color="auto" w:fill="FFFFFF"/>
          <w:lang w:val="sr-Cyrl-CS"/>
        </w:rPr>
        <w:t>издата</w:t>
      </w:r>
      <w:r w:rsidRPr="000D197C">
        <w:rPr>
          <w:rFonts w:ascii="Times New Roman" w:hAnsi="Times New Roman"/>
          <w:color w:val="000000"/>
          <w:sz w:val="24"/>
          <w:szCs w:val="24"/>
          <w:shd w:val="clear" w:color="auto" w:fill="FFFFFF"/>
          <w:lang w:val="sr-Cyrl-CS"/>
        </w:rPr>
        <w:t xml:space="preserve"> </w:t>
      </w:r>
      <w:r w:rsidR="000D197C" w:rsidRPr="000D197C">
        <w:rPr>
          <w:rFonts w:ascii="Times New Roman" w:hAnsi="Times New Roman"/>
          <w:color w:val="000000"/>
          <w:sz w:val="24"/>
          <w:szCs w:val="24"/>
          <w:shd w:val="clear" w:color="auto" w:fill="FFFFFF"/>
          <w:lang w:val="sr-Cyrl-CS"/>
        </w:rPr>
        <w:t>од</w:t>
      </w:r>
      <w:r w:rsidRPr="000D197C">
        <w:rPr>
          <w:rFonts w:ascii="Times New Roman" w:hAnsi="Times New Roman"/>
          <w:color w:val="000000"/>
          <w:sz w:val="24"/>
          <w:szCs w:val="24"/>
          <w:shd w:val="clear" w:color="auto" w:fill="FFFFFF"/>
          <w:lang w:val="sr-Cyrl-CS"/>
        </w:rPr>
        <w:t xml:space="preserve"> </w:t>
      </w:r>
      <w:r w:rsidR="000D197C" w:rsidRPr="000D197C">
        <w:rPr>
          <w:rFonts w:ascii="Times New Roman" w:hAnsi="Times New Roman"/>
          <w:color w:val="000000"/>
          <w:sz w:val="24"/>
          <w:szCs w:val="24"/>
          <w:shd w:val="clear" w:color="auto" w:fill="FFFFFF"/>
          <w:lang w:val="sr-Cyrl-CS"/>
        </w:rPr>
        <w:t>Комитета</w:t>
      </w:r>
      <w:r w:rsidRPr="000D197C">
        <w:rPr>
          <w:rFonts w:ascii="Times New Roman" w:hAnsi="Times New Roman"/>
          <w:color w:val="000000"/>
          <w:sz w:val="24"/>
          <w:szCs w:val="24"/>
          <w:shd w:val="clear" w:color="auto" w:fill="FFFFFF"/>
          <w:lang w:val="sr-Cyrl-CS"/>
        </w:rPr>
        <w:t xml:space="preserve"> </w:t>
      </w:r>
      <w:r w:rsidR="000D197C" w:rsidRPr="000D197C">
        <w:rPr>
          <w:rFonts w:ascii="Times New Roman" w:hAnsi="Times New Roman"/>
          <w:color w:val="000000"/>
          <w:sz w:val="24"/>
          <w:szCs w:val="24"/>
          <w:shd w:val="clear" w:color="auto" w:fill="FFFFFF"/>
          <w:lang w:val="sr-Cyrl-CS"/>
        </w:rPr>
        <w:t>за</w:t>
      </w:r>
      <w:r w:rsidRPr="000D197C">
        <w:rPr>
          <w:rFonts w:ascii="Times New Roman" w:hAnsi="Times New Roman"/>
          <w:color w:val="000000"/>
          <w:sz w:val="24"/>
          <w:szCs w:val="24"/>
          <w:shd w:val="clear" w:color="auto" w:fill="FFFFFF"/>
          <w:lang w:val="sr-Cyrl-CS"/>
        </w:rPr>
        <w:t xml:space="preserve"> </w:t>
      </w:r>
      <w:r w:rsidR="000D197C" w:rsidRPr="000D197C">
        <w:rPr>
          <w:rFonts w:ascii="Times New Roman" w:hAnsi="Times New Roman"/>
          <w:color w:val="000000"/>
          <w:sz w:val="24"/>
          <w:szCs w:val="24"/>
          <w:shd w:val="clear" w:color="auto" w:fill="FFFFFF"/>
          <w:lang w:val="sr-Cyrl-CS"/>
        </w:rPr>
        <w:t>тумачење</w:t>
      </w:r>
      <w:r w:rsidRPr="000D197C">
        <w:rPr>
          <w:rFonts w:ascii="Times New Roman" w:hAnsi="Times New Roman"/>
          <w:color w:val="000000"/>
          <w:sz w:val="24"/>
          <w:szCs w:val="24"/>
          <w:shd w:val="clear" w:color="auto" w:fill="FFFFFF"/>
          <w:lang w:val="sr-Cyrl-CS"/>
        </w:rPr>
        <w:t xml:space="preserve"> </w:t>
      </w:r>
      <w:r w:rsidR="000D197C" w:rsidRPr="000D197C">
        <w:rPr>
          <w:rFonts w:ascii="Times New Roman" w:hAnsi="Times New Roman"/>
          <w:color w:val="000000"/>
          <w:sz w:val="24"/>
          <w:szCs w:val="24"/>
          <w:shd w:val="clear" w:color="auto" w:fill="FFFFFF"/>
          <w:lang w:val="sr-Cyrl-CS"/>
        </w:rPr>
        <w:t>рачуноводствених</w:t>
      </w:r>
      <w:r w:rsidRPr="000D197C">
        <w:rPr>
          <w:rFonts w:ascii="Times New Roman" w:hAnsi="Times New Roman"/>
          <w:color w:val="000000"/>
          <w:sz w:val="24"/>
          <w:szCs w:val="24"/>
          <w:shd w:val="clear" w:color="auto" w:fill="FFFFFF"/>
          <w:lang w:val="sr-Cyrl-CS"/>
        </w:rPr>
        <w:t xml:space="preserve"> </w:t>
      </w:r>
      <w:r w:rsidR="000D197C" w:rsidRPr="000D197C">
        <w:rPr>
          <w:rFonts w:ascii="Times New Roman" w:hAnsi="Times New Roman"/>
          <w:color w:val="000000"/>
          <w:sz w:val="24"/>
          <w:szCs w:val="24"/>
          <w:shd w:val="clear" w:color="auto" w:fill="FFFFFF"/>
          <w:lang w:val="sr-Cyrl-CS"/>
        </w:rPr>
        <w:t>стандарда</w:t>
      </w:r>
      <w:r w:rsidRPr="000D197C">
        <w:rPr>
          <w:rFonts w:ascii="Times New Roman" w:hAnsi="Times New Roman"/>
          <w:color w:val="000000"/>
          <w:sz w:val="24"/>
          <w:szCs w:val="24"/>
          <w:shd w:val="clear" w:color="auto" w:fill="FFFFFF"/>
          <w:lang w:val="sr-Cyrl-CS"/>
        </w:rPr>
        <w:t xml:space="preserve"> </w:t>
      </w:r>
      <w:r w:rsidRPr="000D197C">
        <w:rPr>
          <w:rFonts w:ascii="Times New Roman" w:hAnsi="Times New Roman"/>
          <w:color w:val="000000"/>
          <w:sz w:val="24"/>
          <w:szCs w:val="24"/>
          <w:shd w:val="clear" w:color="auto" w:fill="FFFFFF"/>
        </w:rPr>
        <w:t>(</w:t>
      </w:r>
      <w:r w:rsidRPr="000D197C">
        <w:rPr>
          <w:rFonts w:ascii="Times New Roman" w:hAnsi="Times New Roman"/>
          <w:i/>
          <w:iCs/>
          <w:color w:val="000000"/>
          <w:sz w:val="24"/>
          <w:szCs w:val="24"/>
          <w:shd w:val="clear" w:color="auto" w:fill="FFFFFF"/>
        </w:rPr>
        <w:t>International Financial Reporting Interpretations Committee</w:t>
      </w:r>
      <w:r w:rsidRPr="000D197C">
        <w:rPr>
          <w:rStyle w:val="apple-converted-space"/>
          <w:rFonts w:ascii="Times New Roman" w:hAnsi="Times New Roman"/>
          <w:color w:val="000000"/>
          <w:sz w:val="24"/>
          <w:szCs w:val="24"/>
          <w:shd w:val="clear" w:color="auto" w:fill="FFFFFF"/>
        </w:rPr>
        <w:t> </w:t>
      </w:r>
      <w:r w:rsidRPr="000D197C">
        <w:rPr>
          <w:rFonts w:ascii="Times New Roman" w:hAnsi="Times New Roman"/>
          <w:color w:val="000000"/>
          <w:sz w:val="24"/>
          <w:szCs w:val="24"/>
          <w:shd w:val="clear" w:color="auto" w:fill="FFFFFF"/>
        </w:rPr>
        <w:t xml:space="preserve">- IFRIC), </w:t>
      </w:r>
      <w:r w:rsidR="000D197C" w:rsidRPr="000D197C">
        <w:rPr>
          <w:rFonts w:ascii="Times New Roman" w:hAnsi="Times New Roman"/>
          <w:color w:val="000000"/>
          <w:sz w:val="24"/>
          <w:szCs w:val="24"/>
          <w:shd w:val="clear" w:color="auto" w:fill="FFFFFF"/>
          <w:lang w:val="sr-Cyrl-CS"/>
        </w:rPr>
        <w:t>накнадне</w:t>
      </w:r>
      <w:r w:rsidRPr="000D197C">
        <w:rPr>
          <w:rFonts w:ascii="Times New Roman" w:hAnsi="Times New Roman"/>
          <w:color w:val="000000"/>
          <w:sz w:val="24"/>
          <w:szCs w:val="24"/>
          <w:shd w:val="clear" w:color="auto" w:fill="FFFFFF"/>
          <w:lang w:val="sr-Cyrl-CS"/>
        </w:rPr>
        <w:t xml:space="preserve"> </w:t>
      </w:r>
      <w:r w:rsidR="000D197C" w:rsidRPr="000D197C">
        <w:rPr>
          <w:rFonts w:ascii="Times New Roman" w:hAnsi="Times New Roman"/>
          <w:color w:val="000000"/>
          <w:sz w:val="24"/>
          <w:szCs w:val="24"/>
          <w:shd w:val="clear" w:color="auto" w:fill="FFFFFF"/>
          <w:lang w:val="sr-Cyrl-CS"/>
        </w:rPr>
        <w:t>измене</w:t>
      </w:r>
      <w:r w:rsidRPr="000D197C">
        <w:rPr>
          <w:rFonts w:ascii="Times New Roman" w:hAnsi="Times New Roman"/>
          <w:color w:val="000000"/>
          <w:sz w:val="24"/>
          <w:szCs w:val="24"/>
          <w:shd w:val="clear" w:color="auto" w:fill="FFFFFF"/>
          <w:lang w:val="sr-Cyrl-CS"/>
        </w:rPr>
        <w:t xml:space="preserve"> </w:t>
      </w:r>
      <w:r w:rsidR="000D197C" w:rsidRPr="000D197C">
        <w:rPr>
          <w:rFonts w:ascii="Times New Roman" w:hAnsi="Times New Roman"/>
          <w:color w:val="000000"/>
          <w:sz w:val="24"/>
          <w:szCs w:val="24"/>
          <w:shd w:val="clear" w:color="auto" w:fill="FFFFFF"/>
          <w:lang w:val="sr-Cyrl-CS"/>
        </w:rPr>
        <w:t>тих</w:t>
      </w:r>
      <w:r w:rsidRPr="000D197C">
        <w:rPr>
          <w:rFonts w:ascii="Times New Roman" w:hAnsi="Times New Roman"/>
          <w:color w:val="000000"/>
          <w:sz w:val="24"/>
          <w:szCs w:val="24"/>
          <w:shd w:val="clear" w:color="auto" w:fill="FFFFFF"/>
          <w:lang w:val="sr-Cyrl-CS"/>
        </w:rPr>
        <w:t xml:space="preserve"> </w:t>
      </w:r>
      <w:r w:rsidR="000D197C" w:rsidRPr="000D197C">
        <w:rPr>
          <w:rFonts w:ascii="Times New Roman" w:hAnsi="Times New Roman"/>
          <w:color w:val="000000"/>
          <w:sz w:val="24"/>
          <w:szCs w:val="24"/>
          <w:shd w:val="clear" w:color="auto" w:fill="FFFFFF"/>
          <w:lang w:val="sr-Cyrl-CS"/>
        </w:rPr>
        <w:t>стандарда</w:t>
      </w:r>
      <w:r w:rsidRPr="000D197C">
        <w:rPr>
          <w:rFonts w:ascii="Times New Roman" w:hAnsi="Times New Roman"/>
          <w:color w:val="000000"/>
          <w:sz w:val="24"/>
          <w:szCs w:val="24"/>
          <w:shd w:val="clear" w:color="auto" w:fill="FFFFFF"/>
          <w:lang w:val="sr-Cyrl-CS"/>
        </w:rPr>
        <w:t xml:space="preserve"> </w:t>
      </w:r>
      <w:r w:rsidR="000D197C" w:rsidRPr="000D197C">
        <w:rPr>
          <w:rFonts w:ascii="Times New Roman" w:hAnsi="Times New Roman"/>
          <w:color w:val="000000"/>
          <w:sz w:val="24"/>
          <w:szCs w:val="24"/>
          <w:shd w:val="clear" w:color="auto" w:fill="FFFFFF"/>
          <w:lang w:val="sr-Cyrl-CS"/>
        </w:rPr>
        <w:t>и</w:t>
      </w:r>
      <w:r w:rsidRPr="000D197C">
        <w:rPr>
          <w:rFonts w:ascii="Times New Roman" w:hAnsi="Times New Roman"/>
          <w:color w:val="000000"/>
          <w:sz w:val="24"/>
          <w:szCs w:val="24"/>
          <w:shd w:val="clear" w:color="auto" w:fill="FFFFFF"/>
          <w:lang w:val="sr-Cyrl-CS"/>
        </w:rPr>
        <w:t xml:space="preserve"> </w:t>
      </w:r>
      <w:r w:rsidR="000D197C" w:rsidRPr="000D197C">
        <w:rPr>
          <w:rFonts w:ascii="Times New Roman" w:hAnsi="Times New Roman"/>
          <w:color w:val="000000"/>
          <w:sz w:val="24"/>
          <w:szCs w:val="24"/>
          <w:shd w:val="clear" w:color="auto" w:fill="FFFFFF"/>
          <w:lang w:val="sr-Cyrl-CS"/>
        </w:rPr>
        <w:t>са</w:t>
      </w:r>
      <w:r w:rsidRPr="000D197C">
        <w:rPr>
          <w:rFonts w:ascii="Times New Roman" w:hAnsi="Times New Roman"/>
          <w:color w:val="000000"/>
          <w:sz w:val="24"/>
          <w:szCs w:val="24"/>
          <w:shd w:val="clear" w:color="auto" w:fill="FFFFFF"/>
          <w:lang w:val="sr-Cyrl-CS"/>
        </w:rPr>
        <w:t xml:space="preserve"> </w:t>
      </w:r>
      <w:r w:rsidR="000D197C" w:rsidRPr="000D197C">
        <w:rPr>
          <w:rFonts w:ascii="Times New Roman" w:hAnsi="Times New Roman"/>
          <w:color w:val="000000"/>
          <w:sz w:val="24"/>
          <w:szCs w:val="24"/>
          <w:shd w:val="clear" w:color="auto" w:fill="FFFFFF"/>
          <w:lang w:val="sr-Cyrl-CS"/>
        </w:rPr>
        <w:t>њима</w:t>
      </w:r>
      <w:r w:rsidRPr="000D197C">
        <w:rPr>
          <w:rFonts w:ascii="Times New Roman" w:hAnsi="Times New Roman"/>
          <w:color w:val="000000"/>
          <w:sz w:val="24"/>
          <w:szCs w:val="24"/>
          <w:shd w:val="clear" w:color="auto" w:fill="FFFFFF"/>
          <w:lang w:val="sr-Cyrl-CS"/>
        </w:rPr>
        <w:t xml:space="preserve"> </w:t>
      </w:r>
      <w:r w:rsidR="000D197C" w:rsidRPr="000D197C">
        <w:rPr>
          <w:rFonts w:ascii="Times New Roman" w:hAnsi="Times New Roman"/>
          <w:color w:val="000000"/>
          <w:sz w:val="24"/>
          <w:szCs w:val="24"/>
          <w:shd w:val="clear" w:color="auto" w:fill="FFFFFF"/>
          <w:lang w:val="sr-Cyrl-CS"/>
        </w:rPr>
        <w:t>повезана</w:t>
      </w:r>
      <w:r w:rsidRPr="000D197C">
        <w:rPr>
          <w:rFonts w:ascii="Times New Roman" w:hAnsi="Times New Roman"/>
          <w:color w:val="000000"/>
          <w:sz w:val="24"/>
          <w:szCs w:val="24"/>
          <w:shd w:val="clear" w:color="auto" w:fill="FFFFFF"/>
          <w:lang w:val="sr-Cyrl-CS"/>
        </w:rPr>
        <w:t xml:space="preserve"> </w:t>
      </w:r>
      <w:r w:rsidR="000D197C" w:rsidRPr="000D197C">
        <w:rPr>
          <w:rFonts w:ascii="Times New Roman" w:hAnsi="Times New Roman"/>
          <w:color w:val="000000"/>
          <w:sz w:val="24"/>
          <w:szCs w:val="24"/>
          <w:shd w:val="clear" w:color="auto" w:fill="FFFFFF"/>
          <w:lang w:val="sr-Cyrl-CS"/>
        </w:rPr>
        <w:t>тумачења</w:t>
      </w:r>
      <w:r w:rsidRPr="000D197C">
        <w:rPr>
          <w:rFonts w:ascii="Times New Roman" w:hAnsi="Times New Roman"/>
          <w:color w:val="000000"/>
          <w:sz w:val="24"/>
          <w:szCs w:val="24"/>
          <w:shd w:val="clear" w:color="auto" w:fill="FFFFFF"/>
          <w:lang w:val="sr-Cyrl-CS"/>
        </w:rPr>
        <w:t xml:space="preserve">, </w:t>
      </w:r>
      <w:r w:rsidR="000D197C" w:rsidRPr="000D197C">
        <w:rPr>
          <w:rFonts w:ascii="Times New Roman" w:hAnsi="Times New Roman"/>
          <w:color w:val="000000"/>
          <w:sz w:val="24"/>
          <w:szCs w:val="24"/>
          <w:shd w:val="clear" w:color="auto" w:fill="FFFFFF"/>
          <w:lang w:val="sr-Cyrl-CS"/>
        </w:rPr>
        <w:t>одобрени</w:t>
      </w:r>
      <w:r w:rsidRPr="000D197C">
        <w:rPr>
          <w:rFonts w:ascii="Times New Roman" w:hAnsi="Times New Roman"/>
          <w:color w:val="000000"/>
          <w:sz w:val="24"/>
          <w:szCs w:val="24"/>
          <w:shd w:val="clear" w:color="auto" w:fill="FFFFFF"/>
          <w:lang w:val="sr-Cyrl-CS"/>
        </w:rPr>
        <w:t xml:space="preserve"> </w:t>
      </w:r>
      <w:r w:rsidR="000D197C" w:rsidRPr="000D197C">
        <w:rPr>
          <w:rFonts w:ascii="Times New Roman" w:hAnsi="Times New Roman"/>
          <w:color w:val="000000"/>
          <w:sz w:val="24"/>
          <w:szCs w:val="24"/>
          <w:shd w:val="clear" w:color="auto" w:fill="FFFFFF"/>
          <w:lang w:val="sr-Cyrl-CS"/>
        </w:rPr>
        <w:t>од</w:t>
      </w:r>
      <w:r w:rsidRPr="000D197C">
        <w:rPr>
          <w:rFonts w:ascii="Times New Roman" w:hAnsi="Times New Roman"/>
          <w:color w:val="000000"/>
          <w:sz w:val="24"/>
          <w:szCs w:val="24"/>
          <w:shd w:val="clear" w:color="auto" w:fill="FFFFFF"/>
          <w:lang w:val="sr-Cyrl-CS"/>
        </w:rPr>
        <w:t xml:space="preserve"> </w:t>
      </w:r>
      <w:r w:rsidR="000D197C" w:rsidRPr="000D197C">
        <w:rPr>
          <w:rFonts w:ascii="Times New Roman" w:hAnsi="Times New Roman"/>
          <w:color w:val="000000"/>
          <w:sz w:val="24"/>
          <w:szCs w:val="24"/>
          <w:shd w:val="clear" w:color="auto" w:fill="FFFFFF"/>
          <w:lang w:val="sr-Cyrl-CS"/>
        </w:rPr>
        <w:t>Одбора</w:t>
      </w:r>
      <w:r w:rsidRPr="000D197C">
        <w:rPr>
          <w:rFonts w:ascii="Times New Roman" w:hAnsi="Times New Roman"/>
          <w:color w:val="000000"/>
          <w:sz w:val="24"/>
          <w:szCs w:val="24"/>
          <w:shd w:val="clear" w:color="auto" w:fill="FFFFFF"/>
          <w:lang w:val="sr-Cyrl-CS"/>
        </w:rPr>
        <w:t xml:space="preserve"> </w:t>
      </w:r>
      <w:r w:rsidR="000D197C" w:rsidRPr="000D197C">
        <w:rPr>
          <w:rFonts w:ascii="Times New Roman" w:hAnsi="Times New Roman"/>
          <w:color w:val="000000"/>
          <w:sz w:val="24"/>
          <w:szCs w:val="24"/>
          <w:shd w:val="clear" w:color="auto" w:fill="FFFFFF"/>
          <w:lang w:val="sr-Cyrl-CS"/>
        </w:rPr>
        <w:t>за</w:t>
      </w:r>
      <w:r w:rsidRPr="000D197C">
        <w:rPr>
          <w:rFonts w:ascii="Times New Roman" w:hAnsi="Times New Roman"/>
          <w:color w:val="000000"/>
          <w:sz w:val="24"/>
          <w:szCs w:val="24"/>
          <w:shd w:val="clear" w:color="auto" w:fill="FFFFFF"/>
          <w:lang w:val="sr-Cyrl-CS"/>
        </w:rPr>
        <w:t xml:space="preserve"> </w:t>
      </w:r>
      <w:r w:rsidR="000D197C" w:rsidRPr="000D197C">
        <w:rPr>
          <w:rFonts w:ascii="Times New Roman" w:hAnsi="Times New Roman"/>
          <w:color w:val="000000"/>
          <w:sz w:val="24"/>
          <w:szCs w:val="24"/>
          <w:shd w:val="clear" w:color="auto" w:fill="FFFFFF"/>
          <w:lang w:val="sr-Cyrl-CS"/>
        </w:rPr>
        <w:t>међународне</w:t>
      </w:r>
      <w:r w:rsidRPr="000D197C">
        <w:rPr>
          <w:rFonts w:ascii="Times New Roman" w:hAnsi="Times New Roman"/>
          <w:color w:val="000000"/>
          <w:sz w:val="24"/>
          <w:szCs w:val="24"/>
          <w:shd w:val="clear" w:color="auto" w:fill="FFFFFF"/>
          <w:lang w:val="sr-Cyrl-CS"/>
        </w:rPr>
        <w:t xml:space="preserve"> </w:t>
      </w:r>
      <w:r w:rsidR="000D197C" w:rsidRPr="000D197C">
        <w:rPr>
          <w:rFonts w:ascii="Times New Roman" w:hAnsi="Times New Roman"/>
          <w:color w:val="000000"/>
          <w:sz w:val="24"/>
          <w:szCs w:val="24"/>
          <w:shd w:val="clear" w:color="auto" w:fill="FFFFFF"/>
          <w:lang w:val="sr-Cyrl-CS"/>
        </w:rPr>
        <w:t>рачуноводствене</w:t>
      </w:r>
      <w:r w:rsidRPr="000D197C">
        <w:rPr>
          <w:rFonts w:ascii="Times New Roman" w:hAnsi="Times New Roman"/>
          <w:color w:val="000000"/>
          <w:sz w:val="24"/>
          <w:szCs w:val="24"/>
          <w:shd w:val="clear" w:color="auto" w:fill="FFFFFF"/>
          <w:lang w:val="sr-Cyrl-CS"/>
        </w:rPr>
        <w:t xml:space="preserve"> </w:t>
      </w:r>
      <w:r w:rsidR="000D197C" w:rsidRPr="000D197C">
        <w:rPr>
          <w:rFonts w:ascii="Times New Roman" w:hAnsi="Times New Roman"/>
          <w:color w:val="000000"/>
          <w:sz w:val="24"/>
          <w:szCs w:val="24"/>
          <w:shd w:val="clear" w:color="auto" w:fill="FFFFFF"/>
          <w:lang w:val="sr-Cyrl-CS"/>
        </w:rPr>
        <w:t>стандарде</w:t>
      </w:r>
      <w:r w:rsidRPr="000D197C">
        <w:rPr>
          <w:rFonts w:ascii="Times New Roman" w:hAnsi="Times New Roman"/>
          <w:color w:val="000000"/>
          <w:sz w:val="24"/>
          <w:szCs w:val="24"/>
          <w:shd w:val="clear" w:color="auto" w:fill="FFFFFF"/>
          <w:lang w:val="sr-Cyrl-CS"/>
        </w:rPr>
        <w:t xml:space="preserve"> </w:t>
      </w:r>
      <w:r w:rsidRPr="000D197C">
        <w:rPr>
          <w:rFonts w:ascii="Times New Roman" w:hAnsi="Times New Roman"/>
          <w:color w:val="000000"/>
          <w:sz w:val="24"/>
          <w:szCs w:val="24"/>
          <w:shd w:val="clear" w:color="auto" w:fill="FFFFFF"/>
        </w:rPr>
        <w:t>(</w:t>
      </w:r>
      <w:r w:rsidRPr="000D197C">
        <w:rPr>
          <w:rFonts w:ascii="Times New Roman" w:hAnsi="Times New Roman"/>
          <w:i/>
          <w:iCs/>
          <w:color w:val="000000"/>
          <w:sz w:val="24"/>
          <w:szCs w:val="24"/>
          <w:shd w:val="clear" w:color="auto" w:fill="FFFFFF"/>
        </w:rPr>
        <w:t>International Accounting Standards Board</w:t>
      </w:r>
      <w:r w:rsidRPr="000D197C">
        <w:rPr>
          <w:rStyle w:val="apple-converted-space"/>
          <w:rFonts w:ascii="Times New Roman" w:hAnsi="Times New Roman"/>
          <w:color w:val="000000"/>
          <w:sz w:val="24"/>
          <w:szCs w:val="24"/>
          <w:shd w:val="clear" w:color="auto" w:fill="FFFFFF"/>
        </w:rPr>
        <w:t> </w:t>
      </w:r>
      <w:r w:rsidRPr="000D197C">
        <w:rPr>
          <w:rFonts w:ascii="Times New Roman" w:hAnsi="Times New Roman"/>
          <w:color w:val="000000"/>
          <w:sz w:val="24"/>
          <w:szCs w:val="24"/>
          <w:shd w:val="clear" w:color="auto" w:fill="FFFFFF"/>
        </w:rPr>
        <w:t xml:space="preserve">- IASB), </w:t>
      </w:r>
      <w:r w:rsidR="000D197C">
        <w:rPr>
          <w:rFonts w:ascii="Times New Roman" w:hAnsi="Times New Roman"/>
          <w:color w:val="000000"/>
          <w:sz w:val="24"/>
          <w:szCs w:val="24"/>
          <w:shd w:val="clear" w:color="auto" w:fill="FFFFFF"/>
          <w:lang w:val="sr-Cyrl-CS"/>
        </w:rPr>
        <w:t>чији је превод утврдило и објавило</w:t>
      </w:r>
      <w:r w:rsidRPr="000D197C">
        <w:rPr>
          <w:rFonts w:ascii="Times New Roman" w:hAnsi="Times New Roman"/>
          <w:color w:val="000000"/>
          <w:sz w:val="24"/>
          <w:szCs w:val="24"/>
          <w:shd w:val="clear" w:color="auto" w:fill="FFFFFF"/>
        </w:rPr>
        <w:t xml:space="preserve"> </w:t>
      </w:r>
      <w:r w:rsidR="000D197C">
        <w:rPr>
          <w:rFonts w:ascii="Times New Roman" w:hAnsi="Times New Roman"/>
          <w:color w:val="000000"/>
          <w:sz w:val="24"/>
          <w:szCs w:val="24"/>
          <w:shd w:val="clear" w:color="auto" w:fill="FFFFFF"/>
          <w:lang w:val="sr-Cyrl-CS"/>
        </w:rPr>
        <w:t>министарство надлежно за послове финансија</w:t>
      </w:r>
      <w:r w:rsidRPr="000D197C">
        <w:rPr>
          <w:rFonts w:ascii="Times New Roman" w:hAnsi="Times New Roman"/>
          <w:color w:val="000000"/>
          <w:sz w:val="24"/>
          <w:szCs w:val="24"/>
          <w:shd w:val="clear" w:color="auto" w:fill="FFFFFF"/>
        </w:rPr>
        <w:t>.</w:t>
      </w:r>
      <w:r w:rsidRPr="000D197C">
        <w:rPr>
          <w:rStyle w:val="apple-converted-space"/>
          <w:rFonts w:ascii="Times New Roman" w:hAnsi="Times New Roman"/>
          <w:color w:val="000000"/>
          <w:sz w:val="24"/>
          <w:szCs w:val="24"/>
          <w:shd w:val="clear" w:color="auto" w:fill="FFFFFF"/>
        </w:rPr>
        <w:t> </w:t>
      </w:r>
      <w:r>
        <w:rPr>
          <w:rStyle w:val="FootnoteReference"/>
          <w:rFonts w:ascii="Arial" w:hAnsi="Arial" w:cs="Arial"/>
          <w:color w:val="000000"/>
          <w:sz w:val="18"/>
          <w:szCs w:val="18"/>
          <w:shd w:val="clear" w:color="auto" w:fill="FFFFFF"/>
        </w:rPr>
        <w:footnoteReference w:id="262"/>
      </w:r>
      <w:r w:rsidR="000D197C">
        <w:rPr>
          <w:rStyle w:val="apple-converted-space"/>
          <w:rFonts w:ascii="Times New Roman" w:hAnsi="Times New Roman"/>
          <w:color w:val="000000"/>
          <w:sz w:val="24"/>
          <w:szCs w:val="24"/>
          <w:shd w:val="clear" w:color="auto" w:fill="FFFFFF"/>
          <w:lang w:val="sr-Cyrl-CS"/>
        </w:rPr>
        <w:t xml:space="preserve"> </w:t>
      </w:r>
    </w:p>
    <w:p w:rsidR="00920F35" w:rsidRPr="0019576C" w:rsidRDefault="00A240A2" w:rsidP="0019576C">
      <w:pPr>
        <w:ind w:firstLine="708"/>
        <w:jc w:val="both"/>
        <w:rPr>
          <w:rFonts w:ascii="Times New Roman" w:hAnsi="Times New Roman"/>
          <w:sz w:val="24"/>
          <w:szCs w:val="24"/>
          <w:lang w:val="sr-Cyrl-CS"/>
        </w:rPr>
      </w:pPr>
      <w:r w:rsidRPr="0019576C">
        <w:rPr>
          <w:rFonts w:ascii="Times New Roman" w:hAnsi="Times New Roman"/>
          <w:sz w:val="24"/>
          <w:szCs w:val="24"/>
          <w:lang w:val="sr-Cyrl-CS"/>
        </w:rPr>
        <w:t xml:space="preserve">Сами рачуноводствени стандарди могу да допринесу </w:t>
      </w:r>
      <w:r w:rsidR="0019576C" w:rsidRPr="0019576C">
        <w:rPr>
          <w:rFonts w:ascii="Times New Roman" w:hAnsi="Times New Roman"/>
          <w:sz w:val="24"/>
          <w:szCs w:val="24"/>
          <w:lang w:val="sr-Cyrl-CS"/>
        </w:rPr>
        <w:t>нетачном финансијском извештавању</w:t>
      </w:r>
      <w:r w:rsidRPr="0019576C">
        <w:rPr>
          <w:rFonts w:ascii="Times New Roman" w:hAnsi="Times New Roman"/>
          <w:sz w:val="24"/>
          <w:szCs w:val="24"/>
          <w:lang w:val="sr-Cyrl-CS"/>
        </w:rPr>
        <w:t xml:space="preserve">, као </w:t>
      </w:r>
      <w:r w:rsidR="0019576C" w:rsidRPr="0019576C">
        <w:rPr>
          <w:rFonts w:ascii="Times New Roman" w:hAnsi="Times New Roman"/>
          <w:sz w:val="24"/>
          <w:szCs w:val="24"/>
          <w:lang w:val="sr-Cyrl-CS"/>
        </w:rPr>
        <w:t xml:space="preserve">на пример </w:t>
      </w:r>
      <w:r w:rsidRPr="0019576C">
        <w:rPr>
          <w:rFonts w:ascii="Times New Roman" w:hAnsi="Times New Roman"/>
          <w:sz w:val="24"/>
          <w:szCs w:val="24"/>
          <w:lang w:val="sr-Cyrl-CS"/>
        </w:rPr>
        <w:t xml:space="preserve">у случају различитог вредновања одређене билансне позиције. Захваљујући томе финансијски извештаји различитих </w:t>
      </w:r>
      <w:r w:rsidR="0019576C" w:rsidRPr="0019576C">
        <w:rPr>
          <w:rFonts w:ascii="Times New Roman" w:hAnsi="Times New Roman"/>
          <w:sz w:val="24"/>
          <w:szCs w:val="24"/>
          <w:lang w:val="sr-Cyrl-CS"/>
        </w:rPr>
        <w:t xml:space="preserve">правних лица </w:t>
      </w:r>
      <w:r w:rsidRPr="0019576C">
        <w:rPr>
          <w:rFonts w:ascii="Times New Roman" w:hAnsi="Times New Roman"/>
          <w:sz w:val="24"/>
          <w:szCs w:val="24"/>
          <w:lang w:val="sr-Cyrl-CS"/>
        </w:rPr>
        <w:t>која користе различите методе вредновања нису међусобно упоредиви, као код коришћења ФИФО методе у једном случају и ЛИФО методе</w:t>
      </w:r>
      <w:r w:rsidR="009435A7">
        <w:rPr>
          <w:rFonts w:ascii="Times New Roman" w:hAnsi="Times New Roman"/>
          <w:sz w:val="24"/>
          <w:szCs w:val="24"/>
          <w:lang w:val="sr-Cyrl-CS"/>
        </w:rPr>
        <w:t xml:space="preserve"> у другом случају</w:t>
      </w:r>
      <w:r w:rsidRPr="0019576C">
        <w:rPr>
          <w:rFonts w:ascii="Times New Roman" w:hAnsi="Times New Roman"/>
          <w:sz w:val="24"/>
          <w:szCs w:val="24"/>
          <w:lang w:val="sr-Cyrl-CS"/>
        </w:rPr>
        <w:t xml:space="preserve"> и сл.</w:t>
      </w:r>
      <w:r w:rsidR="0019576C" w:rsidRPr="0019576C">
        <w:rPr>
          <w:rFonts w:ascii="Times New Roman" w:hAnsi="Times New Roman"/>
          <w:sz w:val="24"/>
          <w:szCs w:val="24"/>
          <w:lang w:val="sr-Cyrl-CS"/>
        </w:rPr>
        <w:t xml:space="preserve"> </w:t>
      </w:r>
    </w:p>
    <w:p w:rsidR="00C71E5B" w:rsidRDefault="00C71E5B" w:rsidP="00C71E5B">
      <w:pPr>
        <w:ind w:firstLine="708"/>
        <w:jc w:val="both"/>
        <w:rPr>
          <w:rFonts w:ascii="Times New Roman" w:hAnsi="Times New Roman"/>
          <w:sz w:val="24"/>
          <w:szCs w:val="24"/>
          <w:lang w:val="sr-Cyrl-CS"/>
        </w:rPr>
      </w:pPr>
      <w:r w:rsidRPr="00C71E5B">
        <w:rPr>
          <w:rFonts w:ascii="Times New Roman" w:hAnsi="Times New Roman"/>
          <w:sz w:val="24"/>
          <w:szCs w:val="24"/>
          <w:lang w:val="sr-Cyrl-CS"/>
        </w:rPr>
        <w:t>Према томе</w:t>
      </w:r>
      <w:r>
        <w:rPr>
          <w:rFonts w:ascii="Times New Roman" w:hAnsi="Times New Roman"/>
          <w:sz w:val="24"/>
          <w:szCs w:val="24"/>
          <w:lang w:val="sr-Cyrl-CS"/>
        </w:rPr>
        <w:t>, финанијски извештаји представљају инструмент од великог значаја, који садржи корисне рачуноводствене информације везано за финансијско стање и успешност пословања. Веродостојни финансијс</w:t>
      </w:r>
      <w:r w:rsidR="00BF5413">
        <w:rPr>
          <w:rFonts w:ascii="Times New Roman" w:hAnsi="Times New Roman"/>
          <w:sz w:val="24"/>
          <w:szCs w:val="24"/>
          <w:lang w:val="sr-Cyrl-CS"/>
        </w:rPr>
        <w:t>ки извештаји су од пресудног зна</w:t>
      </w:r>
      <w:r>
        <w:rPr>
          <w:rFonts w:ascii="Times New Roman" w:hAnsi="Times New Roman"/>
          <w:sz w:val="24"/>
          <w:szCs w:val="24"/>
          <w:lang w:val="sr-Cyrl-CS"/>
        </w:rPr>
        <w:t xml:space="preserve">чаја за добро функционисање финансијског тржишта и привреде у целини. Разноврсност пословних догађаја и компликован пословни живот предузећа отежава </w:t>
      </w:r>
      <w:r w:rsidR="00BF5413">
        <w:rPr>
          <w:rFonts w:ascii="Times New Roman" w:hAnsi="Times New Roman"/>
          <w:sz w:val="24"/>
          <w:szCs w:val="24"/>
          <w:lang w:val="sr-Cyrl-CS"/>
        </w:rPr>
        <w:t>постојање јединствених рачуново</w:t>
      </w:r>
      <w:r>
        <w:rPr>
          <w:rFonts w:ascii="Times New Roman" w:hAnsi="Times New Roman"/>
          <w:sz w:val="24"/>
          <w:szCs w:val="24"/>
          <w:lang w:val="sr-Cyrl-CS"/>
        </w:rPr>
        <w:t>дствених правила, па то отвара простор за раз</w:t>
      </w:r>
      <w:r w:rsidR="00BF5413">
        <w:rPr>
          <w:rFonts w:ascii="Times New Roman" w:hAnsi="Times New Roman"/>
          <w:sz w:val="24"/>
          <w:szCs w:val="24"/>
          <w:lang w:val="sr-Cyrl-CS"/>
        </w:rPr>
        <w:t>не злоупотребе и креирања финан</w:t>
      </w:r>
      <w:r>
        <w:rPr>
          <w:rFonts w:ascii="Times New Roman" w:hAnsi="Times New Roman"/>
          <w:sz w:val="24"/>
          <w:szCs w:val="24"/>
          <w:lang w:val="sr-Cyrl-CS"/>
        </w:rPr>
        <w:t xml:space="preserve">сијских извештаја који нису стварна слика имовине предузећа и успешности његовог пословања, у чему битну улогу имају рачуновође и ревизори.  </w:t>
      </w:r>
    </w:p>
    <w:p w:rsidR="00C04D50" w:rsidRDefault="00C04D50" w:rsidP="00CC020A">
      <w:pPr>
        <w:pStyle w:val="NormalWeb"/>
        <w:shd w:val="clear" w:color="auto" w:fill="FFFFFF"/>
        <w:spacing w:before="0" w:beforeAutospacing="0" w:after="0" w:afterAutospacing="0"/>
        <w:jc w:val="both"/>
        <w:rPr>
          <w:color w:val="636363"/>
          <w:sz w:val="20"/>
          <w:szCs w:val="20"/>
          <w:lang w:val="sr-Cyrl-CS"/>
        </w:rPr>
      </w:pPr>
    </w:p>
    <w:p w:rsidR="00C04D50" w:rsidRPr="00B50382" w:rsidRDefault="00C04D50" w:rsidP="00CC020A">
      <w:pPr>
        <w:pStyle w:val="NormalWeb"/>
        <w:shd w:val="clear" w:color="auto" w:fill="FFFFFF"/>
        <w:spacing w:before="0" w:beforeAutospacing="0" w:after="0" w:afterAutospacing="0"/>
        <w:jc w:val="both"/>
        <w:rPr>
          <w:color w:val="636363"/>
          <w:sz w:val="20"/>
          <w:szCs w:val="20"/>
          <w:lang w:val="sr-Cyrl-CS"/>
        </w:rPr>
      </w:pPr>
    </w:p>
    <w:p w:rsidR="00CC020A" w:rsidRDefault="00CC020A" w:rsidP="00FD7D3B">
      <w:pPr>
        <w:rPr>
          <w:rFonts w:ascii="Times New Roman" w:hAnsi="Times New Roman"/>
          <w:b/>
          <w:sz w:val="24"/>
          <w:szCs w:val="24"/>
          <w:lang w:val="sr-Cyrl-CS"/>
        </w:rPr>
      </w:pPr>
      <w:r w:rsidRPr="00A154A1">
        <w:rPr>
          <w:rFonts w:ascii="Times New Roman" w:hAnsi="Times New Roman"/>
          <w:b/>
          <w:sz w:val="24"/>
          <w:szCs w:val="24"/>
        </w:rPr>
        <w:lastRenderedPageBreak/>
        <w:t> </w:t>
      </w:r>
      <w:r w:rsidR="009B0BBF" w:rsidRPr="00A154A1">
        <w:rPr>
          <w:rFonts w:ascii="Times New Roman" w:hAnsi="Times New Roman"/>
          <w:b/>
          <w:sz w:val="24"/>
          <w:szCs w:val="24"/>
          <w:lang w:val="sr-Cyrl-CS"/>
        </w:rPr>
        <w:t>5.1.6</w:t>
      </w:r>
      <w:r w:rsidR="009B0BBF" w:rsidRPr="00A154A1">
        <w:rPr>
          <w:b/>
          <w:lang w:val="sr-Cyrl-CS"/>
        </w:rPr>
        <w:t>.</w:t>
      </w:r>
      <w:r w:rsidR="009B0BBF">
        <w:rPr>
          <w:lang w:val="sr-Cyrl-CS"/>
        </w:rPr>
        <w:t xml:space="preserve"> </w:t>
      </w:r>
      <w:r w:rsidR="00A154A1" w:rsidRPr="00A154A1">
        <w:rPr>
          <w:rFonts w:ascii="Times New Roman" w:hAnsi="Times New Roman"/>
          <w:b/>
          <w:sz w:val="24"/>
          <w:szCs w:val="24"/>
          <w:lang w:val="sr-Cyrl-CS"/>
        </w:rPr>
        <w:t>Избегавање плаћања пореза на добит правних лица коришћењем пореских подстицаја</w:t>
      </w:r>
    </w:p>
    <w:p w:rsidR="00A154A1" w:rsidRPr="00836DF6" w:rsidRDefault="00A154A1" w:rsidP="00FD7D3B">
      <w:pPr>
        <w:rPr>
          <w:rFonts w:ascii="Times New Roman" w:hAnsi="Times New Roman"/>
          <w:b/>
          <w:sz w:val="24"/>
          <w:szCs w:val="24"/>
          <w:lang w:val="sr-Cyrl-CS"/>
        </w:rPr>
      </w:pPr>
    </w:p>
    <w:p w:rsidR="00836DF6" w:rsidRPr="00C04D50" w:rsidRDefault="00CC020A" w:rsidP="00C04D50">
      <w:pPr>
        <w:ind w:firstLine="360"/>
        <w:jc w:val="both"/>
        <w:rPr>
          <w:rFonts w:ascii="Times New Roman" w:hAnsi="Times New Roman"/>
          <w:sz w:val="24"/>
          <w:szCs w:val="24"/>
          <w:lang w:val="sr-Cyrl-CS"/>
        </w:rPr>
      </w:pPr>
      <w:r>
        <w:rPr>
          <w:sz w:val="20"/>
          <w:szCs w:val="20"/>
        </w:rPr>
        <w:t> </w:t>
      </w:r>
      <w:r w:rsidR="00A154A1">
        <w:rPr>
          <w:rFonts w:ascii="Times New Roman" w:hAnsi="Times New Roman"/>
          <w:sz w:val="24"/>
          <w:szCs w:val="24"/>
          <w:lang w:val="sr-Cyrl-CS"/>
        </w:rPr>
        <w:t>При анализи пробле</w:t>
      </w:r>
      <w:r w:rsidR="00836DF6" w:rsidRPr="00A20883">
        <w:rPr>
          <w:rFonts w:ascii="Times New Roman" w:hAnsi="Times New Roman"/>
          <w:sz w:val="24"/>
          <w:szCs w:val="24"/>
          <w:lang w:val="sr-Cyrl-CS"/>
        </w:rPr>
        <w:t xml:space="preserve">матике избегавања плаћања пореза на добит корпорација </w:t>
      </w:r>
      <w:r w:rsidR="00A154A1">
        <w:rPr>
          <w:rFonts w:ascii="Times New Roman" w:hAnsi="Times New Roman"/>
          <w:sz w:val="24"/>
          <w:szCs w:val="24"/>
          <w:lang w:val="sr-Cyrl-CS"/>
        </w:rPr>
        <w:t xml:space="preserve">коришћењем пореских подстицаја </w:t>
      </w:r>
      <w:r w:rsidR="00836DF6" w:rsidRPr="00A20883">
        <w:rPr>
          <w:rFonts w:ascii="Times New Roman" w:hAnsi="Times New Roman"/>
          <w:sz w:val="24"/>
          <w:szCs w:val="24"/>
          <w:lang w:val="sr-Cyrl-CS"/>
        </w:rPr>
        <w:t xml:space="preserve">направићемо </w:t>
      </w:r>
      <w:r w:rsidR="00A154A1">
        <w:rPr>
          <w:rFonts w:ascii="Times New Roman" w:hAnsi="Times New Roman"/>
          <w:sz w:val="24"/>
          <w:szCs w:val="24"/>
          <w:lang w:val="sr-Cyrl-CS"/>
        </w:rPr>
        <w:t xml:space="preserve">најпре </w:t>
      </w:r>
      <w:r w:rsidR="00836DF6" w:rsidRPr="00A20883">
        <w:rPr>
          <w:rFonts w:ascii="Times New Roman" w:hAnsi="Times New Roman"/>
          <w:sz w:val="24"/>
          <w:szCs w:val="24"/>
          <w:lang w:val="sr-Cyrl-CS"/>
        </w:rPr>
        <w:t>разлику између различитих облика евазије пореза</w:t>
      </w:r>
      <w:r w:rsidR="00A154A1">
        <w:rPr>
          <w:rFonts w:ascii="Times New Roman" w:hAnsi="Times New Roman"/>
          <w:sz w:val="24"/>
          <w:szCs w:val="24"/>
          <w:lang w:val="sr-Cyrl-CS"/>
        </w:rPr>
        <w:t>,</w:t>
      </w:r>
      <w:r w:rsidR="00836DF6" w:rsidRPr="00A20883">
        <w:rPr>
          <w:rFonts w:ascii="Times New Roman" w:hAnsi="Times New Roman"/>
          <w:sz w:val="24"/>
          <w:szCs w:val="24"/>
          <w:lang w:val="sr-Cyrl-CS"/>
        </w:rPr>
        <w:t xml:space="preserve"> и то:</w:t>
      </w:r>
      <w:r w:rsidR="00C04D50">
        <w:rPr>
          <w:rFonts w:ascii="Times New Roman" w:hAnsi="Times New Roman"/>
          <w:sz w:val="24"/>
          <w:szCs w:val="24"/>
          <w:lang w:val="sr-Cyrl-CS"/>
        </w:rPr>
        <w:t xml:space="preserve"> </w:t>
      </w:r>
      <w:r w:rsidR="00C04D50" w:rsidRPr="00C04D50">
        <w:rPr>
          <w:rFonts w:ascii="Times New Roman" w:hAnsi="Times New Roman"/>
          <w:sz w:val="24"/>
          <w:szCs w:val="24"/>
          <w:lang w:val="sr-Cyrl-CS"/>
        </w:rPr>
        <w:t>з</w:t>
      </w:r>
      <w:r w:rsidR="00836DF6" w:rsidRPr="00C04D50">
        <w:rPr>
          <w:rFonts w:ascii="Times New Roman" w:hAnsi="Times New Roman"/>
          <w:sz w:val="24"/>
          <w:szCs w:val="24"/>
          <w:lang w:val="sr-Cyrl-CS"/>
        </w:rPr>
        <w:t>аконите (дозвољене, легалне) евазије и</w:t>
      </w:r>
      <w:r w:rsidR="00C04D50">
        <w:rPr>
          <w:rFonts w:ascii="Times New Roman" w:hAnsi="Times New Roman"/>
          <w:sz w:val="24"/>
          <w:szCs w:val="24"/>
          <w:lang w:val="sr-Cyrl-CS"/>
        </w:rPr>
        <w:t xml:space="preserve"> </w:t>
      </w:r>
      <w:r w:rsidR="00C04D50" w:rsidRPr="00C04D50">
        <w:rPr>
          <w:rFonts w:ascii="Times New Roman" w:hAnsi="Times New Roman"/>
          <w:sz w:val="24"/>
          <w:szCs w:val="24"/>
          <w:lang w:val="sr-Cyrl-CS"/>
        </w:rPr>
        <w:t>н</w:t>
      </w:r>
      <w:r w:rsidR="00836DF6" w:rsidRPr="00C04D50">
        <w:rPr>
          <w:rFonts w:ascii="Times New Roman" w:hAnsi="Times New Roman"/>
          <w:sz w:val="24"/>
          <w:szCs w:val="24"/>
          <w:lang w:val="sr-Cyrl-CS"/>
        </w:rPr>
        <w:t>езаконите евазије</w:t>
      </w:r>
      <w:r w:rsidR="00C04D50">
        <w:rPr>
          <w:rFonts w:ascii="Times New Roman" w:hAnsi="Times New Roman"/>
          <w:sz w:val="24"/>
          <w:szCs w:val="24"/>
          <w:lang w:val="sr-Cyrl-CS"/>
        </w:rPr>
        <w:t>.</w:t>
      </w:r>
      <w:r w:rsidR="00836DF6" w:rsidRPr="00C04D50">
        <w:rPr>
          <w:rFonts w:ascii="Times New Roman" w:hAnsi="Times New Roman"/>
          <w:sz w:val="24"/>
          <w:szCs w:val="24"/>
          <w:lang w:val="sr-Cyrl-CS"/>
        </w:rPr>
        <w:t xml:space="preserve"> </w:t>
      </w:r>
    </w:p>
    <w:p w:rsidR="00836DF6" w:rsidRPr="00A20883" w:rsidRDefault="00836DF6" w:rsidP="00836DF6">
      <w:pPr>
        <w:ind w:firstLine="360"/>
        <w:rPr>
          <w:rFonts w:ascii="Times New Roman" w:hAnsi="Times New Roman"/>
          <w:sz w:val="24"/>
          <w:szCs w:val="24"/>
          <w:lang w:val="sr-Cyrl-CS"/>
        </w:rPr>
      </w:pPr>
      <w:r w:rsidRPr="00A20883">
        <w:rPr>
          <w:rFonts w:ascii="Times New Roman" w:hAnsi="Times New Roman"/>
          <w:sz w:val="24"/>
          <w:szCs w:val="24"/>
          <w:lang w:val="sr-Cyrl-CS"/>
        </w:rPr>
        <w:t xml:space="preserve">У оквиру законите евазије пореза прави се разлика између прихватљиве-легитимне евазије пореза и  неприхватљиве-нелегитимне евазије пореза. </w:t>
      </w:r>
    </w:p>
    <w:p w:rsidR="00836DF6" w:rsidRDefault="00836DF6" w:rsidP="00836DF6">
      <w:pPr>
        <w:ind w:firstLine="360"/>
        <w:jc w:val="both"/>
        <w:rPr>
          <w:rFonts w:ascii="Times New Roman" w:hAnsi="Times New Roman"/>
          <w:sz w:val="24"/>
          <w:szCs w:val="24"/>
          <w:lang w:val="sr-Cyrl-CS"/>
        </w:rPr>
      </w:pPr>
      <w:r w:rsidRPr="00A20883">
        <w:rPr>
          <w:rFonts w:ascii="Times New Roman" w:hAnsi="Times New Roman"/>
          <w:sz w:val="24"/>
          <w:szCs w:val="24"/>
          <w:lang w:val="sr-Cyrl-CS"/>
        </w:rPr>
        <w:t xml:space="preserve">Код прихватљиве евазије пореза на добит правних лица не поступа се у супротности са законом.  </w:t>
      </w:r>
      <w:r w:rsidR="00A154A1">
        <w:rPr>
          <w:rFonts w:ascii="Times New Roman" w:hAnsi="Times New Roman"/>
          <w:sz w:val="24"/>
          <w:szCs w:val="24"/>
          <w:lang w:val="sr-Cyrl-CS"/>
        </w:rPr>
        <w:t>Међутим, д</w:t>
      </w:r>
      <w:r w:rsidRPr="00A20883">
        <w:rPr>
          <w:rFonts w:ascii="Times New Roman" w:hAnsi="Times New Roman"/>
          <w:sz w:val="24"/>
          <w:szCs w:val="24"/>
          <w:lang w:val="sr-Cyrl-CS"/>
        </w:rPr>
        <w:t>ок се код прихватљиве евазије пореза на добит правних лица остварује циљ опорезивања и поступа се у складу са вољом законодавца,</w:t>
      </w:r>
      <w:r>
        <w:rPr>
          <w:rFonts w:ascii="Times New Roman" w:hAnsi="Times New Roman"/>
          <w:sz w:val="24"/>
          <w:szCs w:val="24"/>
          <w:lang w:val="sr-Cyrl-CS"/>
        </w:rPr>
        <w:t xml:space="preserve"> </w:t>
      </w:r>
      <w:r w:rsidRPr="00A20883">
        <w:rPr>
          <w:rFonts w:ascii="Times New Roman" w:hAnsi="Times New Roman"/>
          <w:sz w:val="24"/>
          <w:szCs w:val="24"/>
          <w:lang w:val="sr-Cyrl-CS"/>
        </w:rPr>
        <w:t xml:space="preserve">дотле се код неприхватљиве евазије пореза на добит правних лица поступа у супротности са циљем опорезивања. </w:t>
      </w:r>
    </w:p>
    <w:p w:rsidR="00836DF6" w:rsidRDefault="007E5FA2" w:rsidP="00836DF6">
      <w:pPr>
        <w:ind w:firstLine="360"/>
        <w:jc w:val="both"/>
        <w:rPr>
          <w:rFonts w:ascii="Times New Roman" w:hAnsi="Times New Roman"/>
          <w:sz w:val="24"/>
          <w:szCs w:val="24"/>
          <w:lang w:val="sr-Cyrl-CS"/>
        </w:rPr>
      </w:pPr>
      <w:r>
        <w:rPr>
          <w:rFonts w:ascii="Times New Roman" w:hAnsi="Times New Roman"/>
          <w:lang w:val="sr-Cyrl-CS"/>
        </w:rPr>
        <w:t>М</w:t>
      </w:r>
      <w:r>
        <w:rPr>
          <w:rFonts w:ascii="Times New Roman" w:hAnsi="Times New Roman"/>
          <w:sz w:val="24"/>
          <w:szCs w:val="24"/>
          <w:lang w:val="sr-Cyrl-CS"/>
        </w:rPr>
        <w:t>огу се к</w:t>
      </w:r>
      <w:r w:rsidR="00836DF6">
        <w:rPr>
          <w:rFonts w:ascii="Times New Roman" w:hAnsi="Times New Roman"/>
          <w:sz w:val="24"/>
          <w:szCs w:val="24"/>
          <w:lang w:val="sr-Cyrl-CS"/>
        </w:rPr>
        <w:t>ористити различити тестови како би се утврдило у којим случајевима се ради о неприхватљивом избегавању пореза. То је између осталог тест намере. Код овог критеријума полази се од намере пореског обвезника, па уколико је поступао са намером да избегне порез радиће се о нелегитимној пореској евазији. Везано за предметни порески облик овај тест би могли применити код пореских подстицаја. Како се овим пореским обликом реализују бројни циљеви макроекономске политике, то је и систем п</w:t>
      </w:r>
      <w:r>
        <w:rPr>
          <w:rFonts w:ascii="Times New Roman" w:hAnsi="Times New Roman"/>
          <w:sz w:val="24"/>
          <w:szCs w:val="24"/>
          <w:lang w:val="sr-Cyrl-CS"/>
        </w:rPr>
        <w:t>ореских подстицаја код</w:t>
      </w:r>
      <w:r w:rsidR="00836DF6">
        <w:rPr>
          <w:rFonts w:ascii="Times New Roman" w:hAnsi="Times New Roman"/>
          <w:sz w:val="24"/>
          <w:szCs w:val="24"/>
          <w:lang w:val="sr-Cyrl-CS"/>
        </w:rPr>
        <w:t xml:space="preserve"> овог пореског облика веома развијен. Тако се предузеће ослобађа плаћања пореза на добит правних лица уколико запосли лица ради радног оспособљавања, професионалне рехабилитације и инвалидних лица, сразмерно учешћу тих лица у </w:t>
      </w:r>
      <w:r>
        <w:rPr>
          <w:rFonts w:ascii="Times New Roman" w:hAnsi="Times New Roman"/>
          <w:sz w:val="24"/>
          <w:szCs w:val="24"/>
          <w:lang w:val="sr-Cyrl-CS"/>
        </w:rPr>
        <w:t>у</w:t>
      </w:r>
      <w:r w:rsidR="00836DF6">
        <w:rPr>
          <w:rFonts w:ascii="Times New Roman" w:hAnsi="Times New Roman"/>
          <w:sz w:val="24"/>
          <w:szCs w:val="24"/>
          <w:lang w:val="sr-Cyrl-CS"/>
        </w:rPr>
        <w:t>купном броју запослених.</w:t>
      </w:r>
      <w:r w:rsidR="00836DF6">
        <w:rPr>
          <w:rStyle w:val="FootnoteReference"/>
          <w:rFonts w:ascii="Times New Roman" w:hAnsi="Times New Roman"/>
          <w:sz w:val="24"/>
          <w:szCs w:val="24"/>
          <w:lang w:val="sr-Cyrl-CS"/>
        </w:rPr>
        <w:footnoteReference w:id="263"/>
      </w:r>
      <w:r w:rsidR="00836DF6">
        <w:rPr>
          <w:rFonts w:ascii="Times New Roman" w:hAnsi="Times New Roman"/>
          <w:sz w:val="24"/>
          <w:szCs w:val="24"/>
          <w:lang w:val="sr-Cyrl-CS"/>
        </w:rPr>
        <w:t xml:space="preserve"> Уколико је запошљавање оваквих радника мотивисано потребом обављања одређене делатности, радиће се о легитимној евазији пореза. Међутим, уколико је мотив искључиво смањење</w:t>
      </w:r>
      <w:r w:rsidR="00C04D50">
        <w:rPr>
          <w:rFonts w:ascii="Times New Roman" w:hAnsi="Times New Roman"/>
          <w:sz w:val="24"/>
          <w:szCs w:val="24"/>
          <w:lang w:val="sr-Cyrl-CS"/>
        </w:rPr>
        <w:t xml:space="preserve"> пореске обавезе коришћењем зак</w:t>
      </w:r>
      <w:r w:rsidR="00836DF6">
        <w:rPr>
          <w:rFonts w:ascii="Times New Roman" w:hAnsi="Times New Roman"/>
          <w:sz w:val="24"/>
          <w:szCs w:val="24"/>
          <w:lang w:val="sr-Cyrl-CS"/>
        </w:rPr>
        <w:t xml:space="preserve">онских привилегија, односно фискални циљ, радиће се о нелегитимној </w:t>
      </w:r>
      <w:r w:rsidR="00C04D50">
        <w:rPr>
          <w:rFonts w:ascii="Times New Roman" w:hAnsi="Times New Roman"/>
          <w:sz w:val="24"/>
          <w:szCs w:val="24"/>
          <w:lang w:val="sr-Cyrl-CS"/>
        </w:rPr>
        <w:t>пореској евазији</w:t>
      </w:r>
      <w:r w:rsidR="00836DF6">
        <w:rPr>
          <w:rFonts w:ascii="Times New Roman" w:hAnsi="Times New Roman"/>
          <w:sz w:val="24"/>
          <w:szCs w:val="24"/>
          <w:lang w:val="sr-Cyrl-CS"/>
        </w:rPr>
        <w:t>.</w:t>
      </w:r>
    </w:p>
    <w:p w:rsidR="007E5FA2" w:rsidRDefault="00836DF6" w:rsidP="00131403">
      <w:pPr>
        <w:ind w:firstLine="360"/>
        <w:jc w:val="both"/>
        <w:rPr>
          <w:rFonts w:ascii="Times New Roman" w:hAnsi="Times New Roman"/>
          <w:sz w:val="24"/>
          <w:szCs w:val="24"/>
          <w:lang w:val="sr-Cyrl-CS"/>
        </w:rPr>
      </w:pPr>
      <w:r>
        <w:rPr>
          <w:rFonts w:ascii="Times New Roman" w:hAnsi="Times New Roman"/>
          <w:sz w:val="24"/>
          <w:szCs w:val="24"/>
          <w:lang w:val="sr-Cyrl-CS"/>
        </w:rPr>
        <w:t>Поред уздржавања од обављања опорезиве делатности, избегавање плаћања пореза на добит правних лица може се вршити и променом делатности или ст</w:t>
      </w:r>
      <w:r w:rsidR="007E5FA2">
        <w:rPr>
          <w:rFonts w:ascii="Times New Roman" w:hAnsi="Times New Roman"/>
          <w:sz w:val="24"/>
          <w:szCs w:val="24"/>
          <w:lang w:val="sr-Cyrl-CS"/>
        </w:rPr>
        <w:t>атусног облика пословања. У неки</w:t>
      </w:r>
      <w:r>
        <w:rPr>
          <w:rFonts w:ascii="Times New Roman" w:hAnsi="Times New Roman"/>
          <w:sz w:val="24"/>
          <w:szCs w:val="24"/>
          <w:lang w:val="sr-Cyrl-CS"/>
        </w:rPr>
        <w:t>м правним системима порезу на добит корпорација не подлежу друштва лица него само друштва капитала, па се пословањем у неком статусном облику друштва лица може добити повољнији порески третман. Исто тако</w:t>
      </w:r>
      <w:r w:rsidR="00C04D50">
        <w:rPr>
          <w:rFonts w:ascii="Times New Roman" w:hAnsi="Times New Roman"/>
          <w:sz w:val="24"/>
          <w:szCs w:val="24"/>
          <w:lang w:val="sr-Cyrl-CS"/>
        </w:rPr>
        <w:t>,</w:t>
      </w:r>
      <w:r>
        <w:rPr>
          <w:rFonts w:ascii="Times New Roman" w:hAnsi="Times New Roman"/>
          <w:sz w:val="24"/>
          <w:szCs w:val="24"/>
          <w:lang w:val="sr-Cyrl-CS"/>
        </w:rPr>
        <w:t xml:space="preserve"> уколико је повољнији третман у случају плаћања пореза на доходак грађана порески обвезник може изабрати да послује као предузетник.</w:t>
      </w:r>
      <w:r w:rsidR="007E5FA2">
        <w:rPr>
          <w:rFonts w:ascii="Times New Roman" w:hAnsi="Times New Roman"/>
          <w:sz w:val="24"/>
          <w:szCs w:val="24"/>
          <w:lang w:val="sr-Cyrl-CS"/>
        </w:rPr>
        <w:t xml:space="preserve"> </w:t>
      </w:r>
      <w:r>
        <w:rPr>
          <w:rFonts w:ascii="Times New Roman" w:hAnsi="Times New Roman"/>
          <w:sz w:val="24"/>
          <w:szCs w:val="24"/>
          <w:lang w:val="sr-Cyrl-CS"/>
        </w:rPr>
        <w:t xml:space="preserve">Систем пореских подстицаја дакле омогућава закониту пореску евазију јер утиче на смањење пореске основице и самим тим на висину пореске обавезе. </w:t>
      </w:r>
    </w:p>
    <w:p w:rsidR="00836DF6" w:rsidRPr="00C13273" w:rsidRDefault="00836DF6" w:rsidP="00836DF6">
      <w:pPr>
        <w:ind w:firstLine="360"/>
        <w:jc w:val="both"/>
        <w:rPr>
          <w:rFonts w:ascii="Times New Roman" w:hAnsi="Times New Roman"/>
          <w:b/>
          <w:sz w:val="24"/>
          <w:szCs w:val="24"/>
        </w:rPr>
      </w:pPr>
      <w:r>
        <w:rPr>
          <w:rFonts w:ascii="Times New Roman" w:hAnsi="Times New Roman"/>
          <w:sz w:val="24"/>
          <w:szCs w:val="24"/>
          <w:lang w:val="sr-Cyrl-CS"/>
        </w:rPr>
        <w:lastRenderedPageBreak/>
        <w:t>Постоје две групе пореских подстицаја</w:t>
      </w:r>
      <w:r w:rsidR="007E5FA2">
        <w:rPr>
          <w:rFonts w:ascii="Times New Roman" w:hAnsi="Times New Roman"/>
          <w:sz w:val="24"/>
          <w:szCs w:val="24"/>
          <w:lang w:val="sr-Cyrl-CS"/>
        </w:rPr>
        <w:t>.</w:t>
      </w:r>
      <w:r>
        <w:rPr>
          <w:rStyle w:val="FootnoteReference"/>
          <w:rFonts w:ascii="Times New Roman" w:hAnsi="Times New Roman"/>
          <w:sz w:val="24"/>
          <w:szCs w:val="24"/>
          <w:lang w:val="sr-Cyrl-CS"/>
        </w:rPr>
        <w:footnoteReference w:id="264"/>
      </w:r>
      <w:r>
        <w:rPr>
          <w:rFonts w:ascii="Times New Roman" w:hAnsi="Times New Roman"/>
          <w:sz w:val="24"/>
          <w:szCs w:val="24"/>
          <w:lang w:val="sr-Cyrl-CS"/>
        </w:rPr>
        <w:t xml:space="preserve"> </w:t>
      </w:r>
      <w:r w:rsidR="006713F6">
        <w:rPr>
          <w:rFonts w:ascii="Times New Roman" w:hAnsi="Times New Roman"/>
          <w:sz w:val="24"/>
          <w:szCs w:val="24"/>
          <w:lang w:val="sr-Cyrl-CS"/>
        </w:rPr>
        <w:t>Једну</w:t>
      </w:r>
      <w:r>
        <w:rPr>
          <w:rFonts w:ascii="Times New Roman" w:hAnsi="Times New Roman"/>
          <w:sz w:val="24"/>
          <w:szCs w:val="24"/>
          <w:lang w:val="sr-Cyrl-CS"/>
        </w:rPr>
        <w:t xml:space="preserve"> групу чине они којима се умањује порез, а другу они којима се утиче на пореску основицу. </w:t>
      </w:r>
      <w:r w:rsidR="006713F6">
        <w:rPr>
          <w:rFonts w:ascii="Times New Roman" w:hAnsi="Times New Roman"/>
          <w:sz w:val="24"/>
          <w:szCs w:val="24"/>
          <w:lang w:val="sr-Cyrl-CS"/>
        </w:rPr>
        <w:t>У првој групи</w:t>
      </w:r>
      <w:r w:rsidRPr="007E5FA2">
        <w:rPr>
          <w:rFonts w:ascii="Times New Roman" w:hAnsi="Times New Roman"/>
          <w:sz w:val="24"/>
          <w:szCs w:val="24"/>
          <w:lang w:val="sr-Cyrl-CS"/>
        </w:rPr>
        <w:t xml:space="preserve"> </w:t>
      </w:r>
      <w:r w:rsidR="006713F6">
        <w:rPr>
          <w:rFonts w:ascii="Times New Roman" w:hAnsi="Times New Roman"/>
          <w:sz w:val="24"/>
          <w:szCs w:val="24"/>
          <w:lang w:val="sr-Cyrl-CS"/>
        </w:rPr>
        <w:t>је</w:t>
      </w:r>
      <w:r w:rsidRPr="007E5FA2">
        <w:rPr>
          <w:rFonts w:ascii="Times New Roman" w:hAnsi="Times New Roman"/>
          <w:sz w:val="24"/>
          <w:szCs w:val="24"/>
          <w:lang w:val="sr-Cyrl-CS"/>
        </w:rPr>
        <w:t xml:space="preserve"> свакако инвестициони порески кредит. Међу подстицајима који </w:t>
      </w:r>
      <w:r w:rsidR="006713F6">
        <w:rPr>
          <w:rFonts w:ascii="Times New Roman" w:hAnsi="Times New Roman"/>
          <w:sz w:val="24"/>
          <w:szCs w:val="24"/>
          <w:lang w:val="sr-Cyrl-CS"/>
        </w:rPr>
        <w:t>спадају у другу групу</w:t>
      </w:r>
      <w:r w:rsidRPr="007E5FA2">
        <w:rPr>
          <w:rFonts w:ascii="Times New Roman" w:hAnsi="Times New Roman"/>
          <w:sz w:val="24"/>
          <w:szCs w:val="24"/>
          <w:lang w:val="sr-Cyrl-CS"/>
        </w:rPr>
        <w:t xml:space="preserve"> треба разликовати следећа два: 1) подстицаји који одлажу пореску обавезу и 2) подстицаји који дефинитивно умањују пореску обавезу. У </w:t>
      </w:r>
      <w:r w:rsidR="006713F6">
        <w:rPr>
          <w:rFonts w:ascii="Times New Roman" w:hAnsi="Times New Roman"/>
          <w:sz w:val="24"/>
          <w:szCs w:val="24"/>
          <w:lang w:val="sr-Cyrl-CS"/>
        </w:rPr>
        <w:t>прву групу спада</w:t>
      </w:r>
      <w:r w:rsidRPr="007E5FA2">
        <w:rPr>
          <w:rFonts w:ascii="Times New Roman" w:hAnsi="Times New Roman"/>
          <w:sz w:val="24"/>
          <w:szCs w:val="24"/>
          <w:lang w:val="sr-Cyrl-CS"/>
        </w:rPr>
        <w:t xml:space="preserve"> убрза</w:t>
      </w:r>
      <w:r w:rsidR="006713F6">
        <w:rPr>
          <w:rFonts w:ascii="Times New Roman" w:hAnsi="Times New Roman"/>
          <w:sz w:val="24"/>
          <w:szCs w:val="24"/>
          <w:lang w:val="sr-Cyrl-CS"/>
        </w:rPr>
        <w:t>на амортизација, затим одлагање</w:t>
      </w:r>
      <w:r w:rsidRPr="007E5FA2">
        <w:rPr>
          <w:rFonts w:ascii="Times New Roman" w:hAnsi="Times New Roman"/>
          <w:sz w:val="24"/>
          <w:szCs w:val="24"/>
          <w:lang w:val="sr-Cyrl-CS"/>
        </w:rPr>
        <w:t xml:space="preserve"> пореске обавезе по основу издвајања инвестиционе неопорезиве резерве и по основу преношења пословних губитака. </w:t>
      </w:r>
      <w:r w:rsidR="006713F6">
        <w:rPr>
          <w:rFonts w:ascii="Times New Roman" w:hAnsi="Times New Roman"/>
          <w:sz w:val="24"/>
          <w:szCs w:val="24"/>
          <w:lang w:val="sr-Cyrl-CS"/>
        </w:rPr>
        <w:t xml:space="preserve">У другој групи ради се о </w:t>
      </w:r>
      <w:r w:rsidRPr="007E5FA2">
        <w:rPr>
          <w:rFonts w:ascii="Times New Roman" w:hAnsi="Times New Roman"/>
          <w:sz w:val="24"/>
          <w:szCs w:val="24"/>
          <w:lang w:val="sr-Cyrl-CS"/>
        </w:rPr>
        <w:t>инвестиционо</w:t>
      </w:r>
      <w:r w:rsidR="006713F6">
        <w:rPr>
          <w:rFonts w:ascii="Times New Roman" w:hAnsi="Times New Roman"/>
          <w:sz w:val="24"/>
          <w:szCs w:val="24"/>
          <w:lang w:val="sr-Cyrl-CS"/>
        </w:rPr>
        <w:t>м</w:t>
      </w:r>
      <w:r w:rsidRPr="007E5FA2">
        <w:rPr>
          <w:rFonts w:ascii="Times New Roman" w:hAnsi="Times New Roman"/>
          <w:sz w:val="24"/>
          <w:szCs w:val="24"/>
          <w:lang w:val="sr-Cyrl-CS"/>
        </w:rPr>
        <w:t xml:space="preserve"> одобравањ</w:t>
      </w:r>
      <w:r w:rsidR="006713F6">
        <w:rPr>
          <w:rFonts w:ascii="Times New Roman" w:hAnsi="Times New Roman"/>
          <w:sz w:val="24"/>
          <w:szCs w:val="24"/>
          <w:lang w:val="sr-Cyrl-CS"/>
        </w:rPr>
        <w:t>у</w:t>
      </w:r>
      <w:r w:rsidRPr="007E5FA2">
        <w:rPr>
          <w:rFonts w:ascii="Times New Roman" w:hAnsi="Times New Roman"/>
          <w:sz w:val="24"/>
          <w:szCs w:val="24"/>
          <w:lang w:val="sr-Cyrl-CS"/>
        </w:rPr>
        <w:t>, односно потпуно</w:t>
      </w:r>
      <w:r w:rsidR="006713F6">
        <w:rPr>
          <w:rFonts w:ascii="Times New Roman" w:hAnsi="Times New Roman"/>
          <w:sz w:val="24"/>
          <w:szCs w:val="24"/>
          <w:lang w:val="sr-Cyrl-CS"/>
        </w:rPr>
        <w:t>м</w:t>
      </w:r>
      <w:r w:rsidRPr="007E5FA2">
        <w:rPr>
          <w:rFonts w:ascii="Times New Roman" w:hAnsi="Times New Roman"/>
          <w:sz w:val="24"/>
          <w:szCs w:val="24"/>
          <w:lang w:val="sr-Cyrl-CS"/>
        </w:rPr>
        <w:t xml:space="preserve"> или делимично</w:t>
      </w:r>
      <w:r w:rsidR="006713F6">
        <w:rPr>
          <w:rFonts w:ascii="Times New Roman" w:hAnsi="Times New Roman"/>
          <w:sz w:val="24"/>
          <w:szCs w:val="24"/>
          <w:lang w:val="sr-Cyrl-CS"/>
        </w:rPr>
        <w:t>м</w:t>
      </w:r>
      <w:r w:rsidRPr="007E5FA2">
        <w:rPr>
          <w:rFonts w:ascii="Times New Roman" w:hAnsi="Times New Roman"/>
          <w:sz w:val="24"/>
          <w:szCs w:val="24"/>
          <w:lang w:val="sr-Cyrl-CS"/>
        </w:rPr>
        <w:t xml:space="preserve"> пореско</w:t>
      </w:r>
      <w:r w:rsidR="006713F6">
        <w:rPr>
          <w:rFonts w:ascii="Times New Roman" w:hAnsi="Times New Roman"/>
          <w:sz w:val="24"/>
          <w:szCs w:val="24"/>
          <w:lang w:val="sr-Cyrl-CS"/>
        </w:rPr>
        <w:t>м ослобођењу</w:t>
      </w:r>
      <w:r w:rsidRPr="007E5FA2">
        <w:rPr>
          <w:rFonts w:ascii="Times New Roman" w:hAnsi="Times New Roman"/>
          <w:sz w:val="24"/>
          <w:szCs w:val="24"/>
          <w:lang w:val="sr-Cyrl-CS"/>
        </w:rPr>
        <w:t xml:space="preserve"> за новооснована лица и одобрава</w:t>
      </w:r>
      <w:r w:rsidR="007E5FA2">
        <w:rPr>
          <w:rFonts w:ascii="Times New Roman" w:hAnsi="Times New Roman"/>
          <w:sz w:val="24"/>
          <w:szCs w:val="24"/>
          <w:lang w:val="sr-Cyrl-CS"/>
        </w:rPr>
        <w:t>ње</w:t>
      </w:r>
      <w:r w:rsidRPr="007E5FA2">
        <w:rPr>
          <w:rFonts w:ascii="Times New Roman" w:hAnsi="Times New Roman"/>
          <w:sz w:val="24"/>
          <w:szCs w:val="24"/>
          <w:lang w:val="sr-Cyrl-CS"/>
        </w:rPr>
        <w:t xml:space="preserve"> се </w:t>
      </w:r>
      <w:r w:rsidR="007E5FA2">
        <w:rPr>
          <w:rFonts w:ascii="Times New Roman" w:hAnsi="Times New Roman"/>
          <w:sz w:val="24"/>
          <w:szCs w:val="24"/>
          <w:lang w:val="sr-Cyrl-CS"/>
        </w:rPr>
        <w:t xml:space="preserve">врши </w:t>
      </w:r>
      <w:r w:rsidRPr="007E5FA2">
        <w:rPr>
          <w:rFonts w:ascii="Times New Roman" w:hAnsi="Times New Roman"/>
          <w:sz w:val="24"/>
          <w:szCs w:val="24"/>
          <w:lang w:val="sr-Cyrl-CS"/>
        </w:rPr>
        <w:t>са првенственим циљем да се стимулише оснивање и развој нових предузећа</w:t>
      </w:r>
      <w:r w:rsidR="00C04D50">
        <w:rPr>
          <w:rFonts w:ascii="Times New Roman" w:hAnsi="Times New Roman"/>
          <w:sz w:val="24"/>
          <w:szCs w:val="24"/>
          <w:lang w:val="sr-Cyrl-CS"/>
        </w:rPr>
        <w:t>,</w:t>
      </w:r>
      <w:r w:rsidRPr="007E5FA2">
        <w:rPr>
          <w:rFonts w:ascii="Times New Roman" w:hAnsi="Times New Roman"/>
          <w:sz w:val="24"/>
          <w:szCs w:val="24"/>
          <w:lang w:val="sr-Cyrl-CS"/>
        </w:rPr>
        <w:t xml:space="preserve"> односно ново запошљавање.</w:t>
      </w:r>
      <w:r w:rsidRPr="00C13273">
        <w:rPr>
          <w:rFonts w:ascii="Times New Roman" w:hAnsi="Times New Roman"/>
          <w:b/>
          <w:sz w:val="24"/>
          <w:szCs w:val="24"/>
          <w:lang w:val="sr-Cyrl-CS"/>
        </w:rPr>
        <w:t xml:space="preserve"> </w:t>
      </w:r>
    </w:p>
    <w:p w:rsidR="00836DF6" w:rsidRDefault="00836DF6" w:rsidP="00836DF6">
      <w:pPr>
        <w:ind w:firstLine="360"/>
        <w:jc w:val="both"/>
        <w:rPr>
          <w:rFonts w:ascii="Times New Roman" w:hAnsi="Times New Roman"/>
          <w:sz w:val="24"/>
          <w:szCs w:val="24"/>
          <w:lang w:val="sr-Cyrl-CS"/>
        </w:rPr>
      </w:pPr>
      <w:r>
        <w:rPr>
          <w:rFonts w:ascii="Times New Roman" w:hAnsi="Times New Roman"/>
          <w:sz w:val="24"/>
          <w:szCs w:val="24"/>
        </w:rPr>
        <w:t xml:space="preserve">У наставку излагања анализираћемо пореска ослобођења према актуелном пореском законодавству у контексту </w:t>
      </w:r>
      <w:r>
        <w:rPr>
          <w:rFonts w:ascii="Times New Roman" w:hAnsi="Times New Roman"/>
          <w:sz w:val="24"/>
          <w:szCs w:val="24"/>
          <w:lang w:val="sr-Cyrl-CS"/>
        </w:rPr>
        <w:t>законитог избегавања пореза. Оно што се најпре може закључити јесте да је реформом пореза на добит извршено укидање неких од пореских олакшица, што смањује могућност избегавања плаћања пореза, односно злоупотребе пореских о</w:t>
      </w:r>
      <w:r w:rsidR="00B94E70">
        <w:rPr>
          <w:rFonts w:ascii="Times New Roman" w:hAnsi="Times New Roman"/>
          <w:sz w:val="24"/>
          <w:szCs w:val="24"/>
          <w:lang w:val="sr-Cyrl-CS"/>
        </w:rPr>
        <w:t xml:space="preserve">лашица. </w:t>
      </w:r>
      <w:r w:rsidR="007E5FA2">
        <w:rPr>
          <w:rFonts w:ascii="Times New Roman" w:hAnsi="Times New Roman"/>
          <w:sz w:val="24"/>
          <w:szCs w:val="24"/>
          <w:lang w:val="sr-Cyrl-CS"/>
        </w:rPr>
        <w:t>Међутим</w:t>
      </w:r>
      <w:r>
        <w:rPr>
          <w:rFonts w:ascii="Times New Roman" w:hAnsi="Times New Roman"/>
          <w:sz w:val="24"/>
          <w:szCs w:val="24"/>
          <w:lang w:val="sr-Cyrl-CS"/>
        </w:rPr>
        <w:t>, како је број правних лица која су ове олакшице користила</w:t>
      </w:r>
      <w:r w:rsidR="007E5FA2">
        <w:rPr>
          <w:rFonts w:ascii="Times New Roman" w:hAnsi="Times New Roman"/>
          <w:sz w:val="24"/>
          <w:szCs w:val="24"/>
          <w:lang w:val="sr-Cyrl-CS"/>
        </w:rPr>
        <w:t>,</w:t>
      </w:r>
      <w:r>
        <w:rPr>
          <w:rFonts w:ascii="Times New Roman" w:hAnsi="Times New Roman"/>
          <w:sz w:val="24"/>
          <w:szCs w:val="24"/>
          <w:lang w:val="sr-Cyrl-CS"/>
        </w:rPr>
        <w:t xml:space="preserve"> био  релативно мали то неће допринет</w:t>
      </w:r>
      <w:r w:rsidR="007E5FA2">
        <w:rPr>
          <w:rFonts w:ascii="Times New Roman" w:hAnsi="Times New Roman"/>
          <w:sz w:val="24"/>
          <w:szCs w:val="24"/>
          <w:lang w:val="sr-Cyrl-CS"/>
        </w:rPr>
        <w:t>и</w:t>
      </w:r>
      <w:r w:rsidR="00C04D50">
        <w:rPr>
          <w:rFonts w:ascii="Times New Roman" w:hAnsi="Times New Roman"/>
          <w:sz w:val="24"/>
          <w:szCs w:val="24"/>
          <w:lang w:val="sr-Cyrl-CS"/>
        </w:rPr>
        <w:t xml:space="preserve"> значај</w:t>
      </w:r>
      <w:r>
        <w:rPr>
          <w:rFonts w:ascii="Times New Roman" w:hAnsi="Times New Roman"/>
          <w:sz w:val="24"/>
          <w:szCs w:val="24"/>
          <w:lang w:val="sr-Cyrl-CS"/>
        </w:rPr>
        <w:t>нијем паду пореских прихода.</w:t>
      </w:r>
    </w:p>
    <w:p w:rsidR="00836DF6" w:rsidRDefault="00836DF6" w:rsidP="00836DF6">
      <w:pPr>
        <w:ind w:firstLine="360"/>
        <w:jc w:val="both"/>
        <w:rPr>
          <w:rFonts w:ascii="Times New Roman" w:hAnsi="Times New Roman"/>
          <w:sz w:val="24"/>
          <w:szCs w:val="24"/>
          <w:lang w:val="sr-Cyrl-CS"/>
        </w:rPr>
      </w:pPr>
      <w:r>
        <w:rPr>
          <w:rFonts w:ascii="Times New Roman" w:hAnsi="Times New Roman"/>
          <w:sz w:val="24"/>
          <w:szCs w:val="24"/>
          <w:lang w:val="sr-Cyrl-CS"/>
        </w:rPr>
        <w:t>Међу пореске подстицаје који су укинути спадају подстицаји попут убрзане амортизације</w:t>
      </w:r>
      <w:r>
        <w:rPr>
          <w:rStyle w:val="FootnoteReference"/>
          <w:rFonts w:ascii="Times New Roman" w:hAnsi="Times New Roman"/>
          <w:sz w:val="24"/>
          <w:szCs w:val="24"/>
          <w:lang w:val="sr-Cyrl-CS"/>
        </w:rPr>
        <w:footnoteReference w:id="265"/>
      </w:r>
      <w:r>
        <w:rPr>
          <w:rFonts w:ascii="Times New Roman" w:hAnsi="Times New Roman"/>
          <w:sz w:val="24"/>
          <w:szCs w:val="24"/>
          <w:lang w:val="sr-Cyrl-CS"/>
        </w:rPr>
        <w:t>, пореског ослобођења за концесиона улагања</w:t>
      </w:r>
      <w:r>
        <w:rPr>
          <w:rStyle w:val="FootnoteReference"/>
          <w:rFonts w:ascii="Times New Roman" w:hAnsi="Times New Roman"/>
          <w:sz w:val="24"/>
          <w:szCs w:val="24"/>
          <w:lang w:val="sr-Cyrl-CS"/>
        </w:rPr>
        <w:footnoteReference w:id="266"/>
      </w:r>
      <w:r>
        <w:rPr>
          <w:rFonts w:ascii="Times New Roman" w:hAnsi="Times New Roman"/>
          <w:sz w:val="24"/>
          <w:szCs w:val="24"/>
          <w:lang w:val="sr-Cyrl-CS"/>
        </w:rPr>
        <w:t>, за предузећа која послују у слободним зонама</w:t>
      </w:r>
      <w:r>
        <w:rPr>
          <w:rStyle w:val="FootnoteReference"/>
          <w:rFonts w:ascii="Times New Roman" w:hAnsi="Times New Roman"/>
          <w:sz w:val="24"/>
          <w:szCs w:val="24"/>
          <w:lang w:val="sr-Cyrl-CS"/>
        </w:rPr>
        <w:footnoteReference w:id="267"/>
      </w:r>
      <w:r>
        <w:rPr>
          <w:rFonts w:ascii="Times New Roman" w:hAnsi="Times New Roman"/>
          <w:sz w:val="24"/>
          <w:szCs w:val="24"/>
          <w:lang w:val="sr-Cyrl-CS"/>
        </w:rPr>
        <w:t>, порески кредит за обвезнике који остварују приходе у новооснованој пословној јединици у недовољно развијеним подручјима</w:t>
      </w:r>
      <w:r>
        <w:rPr>
          <w:rStyle w:val="FootnoteReference"/>
          <w:rFonts w:ascii="Times New Roman" w:hAnsi="Times New Roman"/>
          <w:sz w:val="24"/>
          <w:szCs w:val="24"/>
          <w:lang w:val="sr-Cyrl-CS"/>
        </w:rPr>
        <w:footnoteReference w:id="268"/>
      </w:r>
      <w:r>
        <w:rPr>
          <w:rFonts w:ascii="Times New Roman" w:hAnsi="Times New Roman"/>
          <w:sz w:val="24"/>
          <w:szCs w:val="24"/>
          <w:lang w:val="sr-Cyrl-CS"/>
        </w:rPr>
        <w:t>, порески кредит за обвезнике који су класификовани у одређене делатности (пољопривреда, рибарство, рециклажа, текстилна предива и тканине итд.)</w:t>
      </w:r>
      <w:r>
        <w:rPr>
          <w:rStyle w:val="FootnoteReference"/>
          <w:rFonts w:ascii="Times New Roman" w:hAnsi="Times New Roman"/>
          <w:sz w:val="24"/>
          <w:szCs w:val="24"/>
          <w:lang w:val="sr-Cyrl-CS"/>
        </w:rPr>
        <w:footnoteReference w:id="269"/>
      </w:r>
      <w:r>
        <w:rPr>
          <w:rFonts w:ascii="Times New Roman" w:hAnsi="Times New Roman"/>
          <w:sz w:val="24"/>
          <w:szCs w:val="24"/>
          <w:lang w:val="sr-Cyrl-CS"/>
        </w:rPr>
        <w:t xml:space="preserve"> и пореско ослобођење за обвезнике који обављају делатност у недовољно развијеним подручјима</w:t>
      </w:r>
      <w:r>
        <w:rPr>
          <w:rStyle w:val="FootnoteReference"/>
          <w:rFonts w:ascii="Times New Roman" w:hAnsi="Times New Roman"/>
          <w:sz w:val="24"/>
          <w:szCs w:val="24"/>
          <w:lang w:val="sr-Cyrl-CS"/>
        </w:rPr>
        <w:footnoteReference w:id="270"/>
      </w:r>
      <w:r>
        <w:rPr>
          <w:rFonts w:ascii="Times New Roman" w:hAnsi="Times New Roman"/>
          <w:sz w:val="24"/>
          <w:szCs w:val="24"/>
          <w:lang w:val="sr-Cyrl-CS"/>
        </w:rPr>
        <w:t>. Мимо тога, минимални износ улагања у основна средства је повећан са више од 800 милиона динара на више од једне милијарде динара.</w:t>
      </w:r>
      <w:r>
        <w:rPr>
          <w:rStyle w:val="FootnoteReference"/>
          <w:rFonts w:ascii="Times New Roman" w:hAnsi="Times New Roman"/>
          <w:sz w:val="24"/>
          <w:szCs w:val="24"/>
          <w:lang w:val="sr-Cyrl-CS"/>
        </w:rPr>
        <w:footnoteReference w:id="271"/>
      </w:r>
      <w:r>
        <w:rPr>
          <w:rFonts w:ascii="Times New Roman" w:hAnsi="Times New Roman"/>
          <w:sz w:val="24"/>
          <w:szCs w:val="24"/>
          <w:lang w:val="sr-Cyrl-CS"/>
        </w:rPr>
        <w:t xml:space="preserve"> </w:t>
      </w:r>
    </w:p>
    <w:p w:rsidR="00231D4F" w:rsidRDefault="00231D4F" w:rsidP="00836DF6">
      <w:pPr>
        <w:ind w:firstLine="360"/>
        <w:jc w:val="both"/>
        <w:rPr>
          <w:rFonts w:ascii="Times New Roman" w:hAnsi="Times New Roman"/>
          <w:sz w:val="24"/>
          <w:szCs w:val="24"/>
          <w:lang w:val="sr-Cyrl-CS"/>
        </w:rPr>
      </w:pPr>
      <w:r>
        <w:rPr>
          <w:rFonts w:ascii="Times New Roman" w:hAnsi="Times New Roman"/>
          <w:sz w:val="24"/>
          <w:szCs w:val="24"/>
          <w:lang w:val="sr-Cyrl-CS"/>
        </w:rPr>
        <w:t>Био је задржан</w:t>
      </w:r>
      <w:r w:rsidR="00836DF6">
        <w:rPr>
          <w:rFonts w:ascii="Times New Roman" w:hAnsi="Times New Roman"/>
          <w:sz w:val="24"/>
          <w:szCs w:val="24"/>
          <w:lang w:val="sr-Cyrl-CS"/>
        </w:rPr>
        <w:t xml:space="preserve"> порески кредит</w:t>
      </w:r>
      <w:r w:rsidR="00836DF6">
        <w:rPr>
          <w:rStyle w:val="FootnoteReference"/>
          <w:rFonts w:ascii="Times New Roman" w:hAnsi="Times New Roman"/>
          <w:sz w:val="24"/>
          <w:szCs w:val="24"/>
          <w:lang w:val="sr-Cyrl-CS"/>
        </w:rPr>
        <w:footnoteReference w:id="272"/>
      </w:r>
      <w:r w:rsidR="00836DF6">
        <w:rPr>
          <w:rFonts w:ascii="Times New Roman" w:hAnsi="Times New Roman"/>
          <w:sz w:val="24"/>
          <w:szCs w:val="24"/>
          <w:lang w:val="sr-Cyrl-CS"/>
        </w:rPr>
        <w:t xml:space="preserve"> као најзна</w:t>
      </w:r>
      <w:r w:rsidR="00C04D50">
        <w:rPr>
          <w:rFonts w:ascii="Times New Roman" w:hAnsi="Times New Roman"/>
          <w:sz w:val="24"/>
          <w:szCs w:val="24"/>
          <w:lang w:val="sr-Cyrl-CS"/>
        </w:rPr>
        <w:t>чајнији облик пореских олакшица.</w:t>
      </w:r>
      <w:r>
        <w:rPr>
          <w:rFonts w:ascii="Times New Roman" w:hAnsi="Times New Roman"/>
          <w:sz w:val="24"/>
          <w:szCs w:val="24"/>
          <w:lang w:val="sr-Cyrl-CS"/>
        </w:rPr>
        <w:t xml:space="preserve"> </w:t>
      </w:r>
      <w:r w:rsidR="00735150">
        <w:rPr>
          <w:rFonts w:ascii="Times New Roman" w:hAnsi="Times New Roman"/>
          <w:sz w:val="24"/>
          <w:szCs w:val="24"/>
          <w:lang w:val="sr-Cyrl-CS"/>
        </w:rPr>
        <w:t xml:space="preserve"> Међутим, порески кредит није могао</w:t>
      </w:r>
      <w:r w:rsidR="00836DF6">
        <w:rPr>
          <w:rFonts w:ascii="Times New Roman" w:hAnsi="Times New Roman"/>
          <w:sz w:val="24"/>
          <w:szCs w:val="24"/>
          <w:lang w:val="sr-Cyrl-CS"/>
        </w:rPr>
        <w:t xml:space="preserve"> износити више од 33% од обрачуног пореза у години у којој је извршено улагање у основна средства (некретнине, постројења, </w:t>
      </w:r>
      <w:r w:rsidR="00836DF6">
        <w:rPr>
          <w:rFonts w:ascii="Times New Roman" w:hAnsi="Times New Roman"/>
          <w:sz w:val="24"/>
          <w:szCs w:val="24"/>
          <w:lang w:val="sr-Cyrl-CS"/>
        </w:rPr>
        <w:lastRenderedPageBreak/>
        <w:t>опрему или биолошка средства), за разлику од ранијег решења које је предвиђало 50%. При том, смањен је број основних средстава која могу представљати основ за обрачун пореског кредита (попут мобилних телефона, клима уређаја, опреме за видео надзор, огласних средстава).</w:t>
      </w:r>
    </w:p>
    <w:p w:rsidR="00E52825" w:rsidRPr="0094164B" w:rsidRDefault="00E52825" w:rsidP="0094164B">
      <w:pPr>
        <w:ind w:firstLine="360"/>
        <w:jc w:val="both"/>
        <w:rPr>
          <w:rFonts w:ascii="Times New Roman" w:hAnsi="Times New Roman"/>
          <w:sz w:val="24"/>
          <w:szCs w:val="24"/>
          <w:lang w:val="sr-Cyrl-CS"/>
        </w:rPr>
      </w:pPr>
      <w:r>
        <w:rPr>
          <w:rFonts w:ascii="Times New Roman" w:hAnsi="Times New Roman"/>
          <w:sz w:val="24"/>
          <w:szCs w:val="24"/>
          <w:lang w:val="sr-Cyrl-CS"/>
        </w:rPr>
        <w:t>Порески кредит спада у групу пореских подстицаја којима се умањује пореска обавеза, а не утиче се на пореску основицу. Опорезива доб</w:t>
      </w:r>
      <w:r w:rsidR="00C04D50">
        <w:rPr>
          <w:rFonts w:ascii="Times New Roman" w:hAnsi="Times New Roman"/>
          <w:sz w:val="24"/>
          <w:szCs w:val="24"/>
          <w:lang w:val="sr-Cyrl-CS"/>
        </w:rPr>
        <w:t>ит се исказује у пореском биланс</w:t>
      </w:r>
      <w:r>
        <w:rPr>
          <w:rFonts w:ascii="Times New Roman" w:hAnsi="Times New Roman"/>
          <w:sz w:val="24"/>
          <w:szCs w:val="24"/>
          <w:lang w:val="sr-Cyrl-CS"/>
        </w:rPr>
        <w:t xml:space="preserve">у и применом пореске стопе се обрачунава порез, а потом се тако обрачунат порез умањује за износ пореског кредита.  </w:t>
      </w:r>
      <w:r w:rsidRPr="00E52825">
        <w:rPr>
          <w:rFonts w:ascii="Times New Roman" w:hAnsi="Times New Roman"/>
          <w:sz w:val="24"/>
          <w:szCs w:val="24"/>
          <w:lang w:val="sr-Cyrl-CS"/>
        </w:rPr>
        <w:t>Тако су на пример решења у ранијем пореском законодавству</w:t>
      </w:r>
      <w:r w:rsidRPr="00E52825">
        <w:rPr>
          <w:rStyle w:val="FootnoteReference"/>
          <w:rFonts w:ascii="Times New Roman" w:hAnsi="Times New Roman"/>
          <w:sz w:val="24"/>
          <w:szCs w:val="24"/>
          <w:lang w:val="sr-Cyrl-CS"/>
        </w:rPr>
        <w:footnoteReference w:id="273"/>
      </w:r>
      <w:r w:rsidRPr="00E52825">
        <w:rPr>
          <w:rFonts w:ascii="Times New Roman" w:hAnsi="Times New Roman"/>
          <w:sz w:val="24"/>
          <w:szCs w:val="24"/>
          <w:lang w:val="sr-Cyrl-CS"/>
        </w:rPr>
        <w:t xml:space="preserve"> прописивала умањење пореза путем пореског кредита</w:t>
      </w:r>
      <w:r>
        <w:rPr>
          <w:lang w:val="sr-Cyrl-CS"/>
        </w:rPr>
        <w:t xml:space="preserve"> </w:t>
      </w:r>
      <w:r>
        <w:rPr>
          <w:rFonts w:ascii="Times New Roman" w:hAnsi="Times New Roman"/>
          <w:color w:val="000000"/>
          <w:sz w:val="24"/>
          <w:szCs w:val="24"/>
          <w:lang w:val="sr-Cyrl-CS"/>
        </w:rPr>
        <w:t>о</w:t>
      </w:r>
      <w:r w:rsidRPr="00E52825">
        <w:rPr>
          <w:rFonts w:ascii="Times New Roman" w:hAnsi="Times New Roman"/>
          <w:color w:val="000000"/>
          <w:sz w:val="24"/>
          <w:szCs w:val="24"/>
        </w:rPr>
        <w:t>бвезнику који је остварио добит у новооснованој пословној јединици у недовољно развијеним подручјима</w:t>
      </w:r>
      <w:r w:rsidRPr="00E52825">
        <w:rPr>
          <w:rFonts w:ascii="Times New Roman" w:hAnsi="Times New Roman"/>
          <w:color w:val="000000"/>
          <w:sz w:val="24"/>
          <w:szCs w:val="24"/>
          <w:lang w:val="sr-Cyrl-CS"/>
        </w:rPr>
        <w:t xml:space="preserve"> у</w:t>
      </w:r>
      <w:r>
        <w:rPr>
          <w:rFonts w:ascii="Times New Roman" w:hAnsi="Times New Roman"/>
          <w:color w:val="000000"/>
          <w:sz w:val="24"/>
          <w:szCs w:val="24"/>
          <w:lang w:val="sr-Cyrl-CS"/>
        </w:rPr>
        <w:t xml:space="preserve"> </w:t>
      </w:r>
      <w:r w:rsidRPr="00E52825">
        <w:rPr>
          <w:rFonts w:ascii="Times New Roman" w:hAnsi="Times New Roman"/>
          <w:color w:val="000000"/>
          <w:sz w:val="24"/>
          <w:szCs w:val="24"/>
          <w:lang w:val="sr-Cyrl-CS"/>
        </w:rPr>
        <w:t>трајању од две године</w:t>
      </w:r>
      <w:r w:rsidRPr="00E52825">
        <w:rPr>
          <w:rFonts w:ascii="Times New Roman" w:hAnsi="Times New Roman"/>
          <w:sz w:val="24"/>
          <w:szCs w:val="24"/>
          <w:lang w:val="sr-Cyrl-CS"/>
        </w:rPr>
        <w:t xml:space="preserve"> </w:t>
      </w:r>
      <w:r w:rsidRPr="00E52825">
        <w:rPr>
          <w:rFonts w:ascii="Times New Roman" w:hAnsi="Times New Roman"/>
          <w:color w:val="000000"/>
          <w:sz w:val="24"/>
          <w:szCs w:val="24"/>
        </w:rPr>
        <w:t>сразмерно учешћу тако остварене добити у укупној добити правног лица. Услов за остваривање олакшице у облику умањења обрачунатог пореза је одвојено евидентирање пословања такве јединице.</w:t>
      </w:r>
      <w:r w:rsidRPr="00E52825">
        <w:rPr>
          <w:rFonts w:ascii="Times New Roman" w:hAnsi="Times New Roman"/>
          <w:color w:val="000000"/>
          <w:sz w:val="24"/>
          <w:szCs w:val="24"/>
          <w:lang w:val="sr-Cyrl-CS"/>
        </w:rPr>
        <w:t xml:space="preserve"> </w:t>
      </w:r>
    </w:p>
    <w:p w:rsidR="00E52825" w:rsidRPr="009E66A6" w:rsidRDefault="00E52825" w:rsidP="009E66A6">
      <w:pPr>
        <w:ind w:firstLine="360"/>
        <w:jc w:val="both"/>
        <w:rPr>
          <w:rFonts w:ascii="Times New Roman" w:hAnsi="Times New Roman"/>
          <w:sz w:val="24"/>
          <w:szCs w:val="24"/>
          <w:lang w:val="sr-Cyrl-CS"/>
        </w:rPr>
      </w:pPr>
      <w:r w:rsidRPr="009E66A6">
        <w:rPr>
          <w:rFonts w:ascii="Times New Roman" w:hAnsi="Times New Roman"/>
          <w:sz w:val="24"/>
          <w:szCs w:val="24"/>
          <w:lang w:val="sr-Cyrl-CS"/>
        </w:rPr>
        <w:t>Основна средства  су део активе биланса стања јер спадају у класу 0, поред неуплаћеног уписаног капитала, нематеријалних улагања и дугорочних финансијских пласмана. Евидентирањем основних средстава се увећава актива, док се извори тих средстава евидентирају у пасиви биланса. То значи  да се рачуноводственим евидентирањем набавки основних средстава не увећавају расходи (класа 5), па самим тим то нема утицаја на пословну добит као разлику између ук</w:t>
      </w:r>
      <w:r w:rsidR="00C04D50" w:rsidRPr="009E66A6">
        <w:rPr>
          <w:rFonts w:ascii="Times New Roman" w:hAnsi="Times New Roman"/>
          <w:sz w:val="24"/>
          <w:szCs w:val="24"/>
          <w:lang w:val="sr-Cyrl-CS"/>
        </w:rPr>
        <w:t>упног</w:t>
      </w:r>
      <w:r w:rsidRPr="009E66A6">
        <w:rPr>
          <w:rFonts w:ascii="Times New Roman" w:hAnsi="Times New Roman"/>
          <w:sz w:val="24"/>
          <w:szCs w:val="24"/>
          <w:lang w:val="sr-Cyrl-CS"/>
        </w:rPr>
        <w:t xml:space="preserve"> прихода и укупног расхода. Величина добити дакле зависи од укупног прихода и укупног расхода које предузеће учини ради реализације добити. Према томе, пораст трошкова доводи до опадања добити, док смањење трошкова повећава добит.  </w:t>
      </w:r>
    </w:p>
    <w:p w:rsidR="00E52825" w:rsidRPr="009E66A6" w:rsidRDefault="00E52825" w:rsidP="009E66A6">
      <w:pPr>
        <w:ind w:firstLine="360"/>
        <w:jc w:val="both"/>
        <w:rPr>
          <w:rFonts w:ascii="Times New Roman" w:hAnsi="Times New Roman"/>
          <w:sz w:val="24"/>
          <w:szCs w:val="24"/>
          <w:lang w:val="sr-Cyrl-CS"/>
        </w:rPr>
      </w:pPr>
      <w:r w:rsidRPr="009E66A6">
        <w:rPr>
          <w:rFonts w:ascii="Times New Roman" w:hAnsi="Times New Roman"/>
          <w:sz w:val="24"/>
          <w:szCs w:val="24"/>
          <w:lang w:val="sr-Cyrl-CS"/>
        </w:rPr>
        <w:t>Пореским кредитом у конкретном случају се умањује обрачунат порез на добит по основу извршен</w:t>
      </w:r>
      <w:r w:rsidR="0094164B" w:rsidRPr="009E66A6">
        <w:rPr>
          <w:rFonts w:ascii="Times New Roman" w:hAnsi="Times New Roman"/>
          <w:sz w:val="24"/>
          <w:szCs w:val="24"/>
          <w:lang w:val="sr-Cyrl-CS"/>
        </w:rPr>
        <w:t xml:space="preserve">ог улагања у основна средства. </w:t>
      </w:r>
      <w:r w:rsidRPr="009E66A6">
        <w:rPr>
          <w:rFonts w:ascii="Times New Roman" w:hAnsi="Times New Roman"/>
          <w:sz w:val="24"/>
          <w:szCs w:val="24"/>
          <w:lang w:val="sr-Cyrl-CS"/>
        </w:rPr>
        <w:t>Овим пореским постицајем се стимулише улагање у основна средства.</w:t>
      </w:r>
      <w:r w:rsidR="0094164B" w:rsidRPr="009E66A6">
        <w:rPr>
          <w:rFonts w:ascii="Times New Roman" w:hAnsi="Times New Roman"/>
          <w:sz w:val="24"/>
          <w:szCs w:val="24"/>
          <w:lang w:val="sr-Cyrl-CS"/>
        </w:rPr>
        <w:t xml:space="preserve"> </w:t>
      </w:r>
      <w:r w:rsidRPr="009E66A6">
        <w:rPr>
          <w:rFonts w:ascii="Times New Roman" w:hAnsi="Times New Roman"/>
          <w:sz w:val="24"/>
          <w:szCs w:val="24"/>
          <w:lang w:val="sr-Cyrl-CS"/>
        </w:rPr>
        <w:t>Уколко порески обвезник изврши улагање у основна средства због стварне потребе, радиће се о прихватљој законитој пореској евазији. Међутим, укол</w:t>
      </w:r>
      <w:r w:rsidR="00C04D50" w:rsidRPr="009E66A6">
        <w:rPr>
          <w:rFonts w:ascii="Times New Roman" w:hAnsi="Times New Roman"/>
          <w:sz w:val="24"/>
          <w:szCs w:val="24"/>
          <w:lang w:val="sr-Cyrl-CS"/>
        </w:rPr>
        <w:t>и</w:t>
      </w:r>
      <w:r w:rsidRPr="009E66A6">
        <w:rPr>
          <w:rFonts w:ascii="Times New Roman" w:hAnsi="Times New Roman"/>
          <w:sz w:val="24"/>
          <w:szCs w:val="24"/>
          <w:lang w:val="sr-Cyrl-CS"/>
        </w:rPr>
        <w:t xml:space="preserve">ко је искључиви мотив пореског обвезника фискалне природе, односно како би искористио пореску олакшицу, а не због тога што су му та средства стварно потребна за обављања делатности, радиће се о неприхватљивој законској пореској евазији. У </w:t>
      </w:r>
      <w:r w:rsidR="00C04D50" w:rsidRPr="009E66A6">
        <w:rPr>
          <w:rFonts w:ascii="Times New Roman" w:hAnsi="Times New Roman"/>
          <w:sz w:val="24"/>
          <w:szCs w:val="24"/>
          <w:lang w:val="sr-Cyrl-CS"/>
        </w:rPr>
        <w:t>п</w:t>
      </w:r>
      <w:r w:rsidRPr="009E66A6">
        <w:rPr>
          <w:rFonts w:ascii="Times New Roman" w:hAnsi="Times New Roman"/>
          <w:sz w:val="24"/>
          <w:szCs w:val="24"/>
          <w:lang w:val="sr-Cyrl-CS"/>
        </w:rPr>
        <w:t>рвом сл</w:t>
      </w:r>
      <w:r w:rsidR="00C04D50" w:rsidRPr="009E66A6">
        <w:rPr>
          <w:rFonts w:ascii="Times New Roman" w:hAnsi="Times New Roman"/>
          <w:sz w:val="24"/>
          <w:szCs w:val="24"/>
          <w:lang w:val="sr-Cyrl-CS"/>
        </w:rPr>
        <w:t>учају остварује се намера закон</w:t>
      </w:r>
      <w:r w:rsidRPr="009E66A6">
        <w:rPr>
          <w:rFonts w:ascii="Times New Roman" w:hAnsi="Times New Roman"/>
          <w:sz w:val="24"/>
          <w:szCs w:val="24"/>
          <w:lang w:val="sr-Cyrl-CS"/>
        </w:rPr>
        <w:t>о</w:t>
      </w:r>
      <w:r w:rsidR="00C04D50" w:rsidRPr="009E66A6">
        <w:rPr>
          <w:rFonts w:ascii="Times New Roman" w:hAnsi="Times New Roman"/>
          <w:sz w:val="24"/>
          <w:szCs w:val="24"/>
          <w:lang w:val="sr-Cyrl-CS"/>
        </w:rPr>
        <w:t>да</w:t>
      </w:r>
      <w:r w:rsidRPr="009E66A6">
        <w:rPr>
          <w:rFonts w:ascii="Times New Roman" w:hAnsi="Times New Roman"/>
          <w:sz w:val="24"/>
          <w:szCs w:val="24"/>
          <w:lang w:val="sr-Cyrl-CS"/>
        </w:rPr>
        <w:t xml:space="preserve">ваца и екстрафискални циљеви, док се у другом случају ова пореска олакшица </w:t>
      </w:r>
      <w:r w:rsidR="00C04D50" w:rsidRPr="009E66A6">
        <w:rPr>
          <w:rFonts w:ascii="Times New Roman" w:hAnsi="Times New Roman"/>
          <w:sz w:val="24"/>
          <w:szCs w:val="24"/>
          <w:lang w:val="sr-Cyrl-CS"/>
        </w:rPr>
        <w:t xml:space="preserve">користи </w:t>
      </w:r>
      <w:r w:rsidRPr="009E66A6">
        <w:rPr>
          <w:rFonts w:ascii="Times New Roman" w:hAnsi="Times New Roman"/>
          <w:sz w:val="24"/>
          <w:szCs w:val="24"/>
          <w:lang w:val="sr-Cyrl-CS"/>
        </w:rPr>
        <w:t>искључиво у циљу умањења пореза.</w:t>
      </w:r>
    </w:p>
    <w:p w:rsidR="0094164B" w:rsidRPr="009E66A6" w:rsidRDefault="0094164B" w:rsidP="009E66A6">
      <w:pPr>
        <w:ind w:firstLine="360"/>
        <w:jc w:val="both"/>
        <w:rPr>
          <w:rFonts w:ascii="Times New Roman" w:hAnsi="Times New Roman"/>
          <w:sz w:val="24"/>
          <w:szCs w:val="24"/>
          <w:lang w:val="sr-Cyrl-CS"/>
        </w:rPr>
      </w:pPr>
      <w:r w:rsidRPr="009E66A6">
        <w:rPr>
          <w:rFonts w:ascii="Times New Roman" w:hAnsi="Times New Roman"/>
          <w:sz w:val="24"/>
          <w:szCs w:val="24"/>
          <w:lang w:val="sr-Cyrl-CS"/>
        </w:rPr>
        <w:t>Међутим, према најновијим законским изменама,</w:t>
      </w:r>
      <w:r w:rsidRPr="009E66A6">
        <w:rPr>
          <w:rStyle w:val="FootnoteReference"/>
          <w:rFonts w:ascii="Times New Roman" w:hAnsi="Times New Roman"/>
          <w:sz w:val="24"/>
          <w:szCs w:val="24"/>
          <w:lang w:val="sr-Cyrl-CS"/>
        </w:rPr>
        <w:footnoteReference w:id="274"/>
      </w:r>
      <w:r w:rsidRPr="009E66A6">
        <w:rPr>
          <w:rFonts w:ascii="Times New Roman" w:hAnsi="Times New Roman"/>
          <w:sz w:val="24"/>
          <w:szCs w:val="24"/>
          <w:lang w:val="sr-Cyrl-CS"/>
        </w:rPr>
        <w:t xml:space="preserve"> ова пореска олакшица више није предвиђена, што сматрамо добрим реш</w:t>
      </w:r>
      <w:r w:rsidR="00C04D50" w:rsidRPr="009E66A6">
        <w:rPr>
          <w:rFonts w:ascii="Times New Roman" w:hAnsi="Times New Roman"/>
          <w:sz w:val="24"/>
          <w:szCs w:val="24"/>
          <w:lang w:val="sr-Cyrl-CS"/>
        </w:rPr>
        <w:t>е</w:t>
      </w:r>
      <w:r w:rsidRPr="009E66A6">
        <w:rPr>
          <w:rFonts w:ascii="Times New Roman" w:hAnsi="Times New Roman"/>
          <w:sz w:val="24"/>
          <w:szCs w:val="24"/>
          <w:lang w:val="sr-Cyrl-CS"/>
        </w:rPr>
        <w:t xml:space="preserve">њем. Наиме, имајући у виду да пореска стопа код овог пореског облика и даље спада међу најниже у односу на друге европске државе, што би уз задржавање поменутих олакшица имплицирало знатно мање пореско оптерећење правних лица, губитак прихода од овог пореског облика би био знатан, а </w:t>
      </w:r>
      <w:r w:rsidRPr="009E66A6">
        <w:rPr>
          <w:rFonts w:ascii="Times New Roman" w:hAnsi="Times New Roman"/>
          <w:sz w:val="24"/>
          <w:szCs w:val="24"/>
          <w:lang w:val="sr-Cyrl-CS"/>
        </w:rPr>
        <w:lastRenderedPageBreak/>
        <w:t>што не сматрамо оправданим  када се има у виду да ниска пореска стопа до сада није резултирала значајнијем приливу страних инвестиција.</w:t>
      </w:r>
    </w:p>
    <w:p w:rsidR="00836DF6" w:rsidRDefault="00836DF6" w:rsidP="00836DF6">
      <w:pPr>
        <w:ind w:firstLine="360"/>
        <w:jc w:val="both"/>
        <w:rPr>
          <w:rFonts w:ascii="Times New Roman" w:hAnsi="Times New Roman"/>
          <w:sz w:val="24"/>
          <w:szCs w:val="24"/>
          <w:lang w:val="sr-Cyrl-CS"/>
        </w:rPr>
      </w:pPr>
      <w:r>
        <w:rPr>
          <w:rFonts w:ascii="Times New Roman" w:hAnsi="Times New Roman"/>
          <w:sz w:val="24"/>
          <w:szCs w:val="24"/>
          <w:lang w:val="sr-Cyrl-CS"/>
        </w:rPr>
        <w:t xml:space="preserve"> Приликом коришћења пореских подстицаја заснива се пореско</w:t>
      </w:r>
      <w:r w:rsidR="008D4004">
        <w:rPr>
          <w:rFonts w:ascii="Times New Roman" w:hAnsi="Times New Roman"/>
          <w:sz w:val="24"/>
          <w:szCs w:val="24"/>
          <w:lang w:val="sr-Cyrl-CS"/>
        </w:rPr>
        <w:t xml:space="preserve"> -</w:t>
      </w:r>
      <w:r>
        <w:rPr>
          <w:rFonts w:ascii="Times New Roman" w:hAnsi="Times New Roman"/>
          <w:sz w:val="24"/>
          <w:szCs w:val="24"/>
          <w:lang w:val="sr-Cyrl-CS"/>
        </w:rPr>
        <w:t xml:space="preserve"> </w:t>
      </w:r>
      <w:r w:rsidR="008D4004">
        <w:rPr>
          <w:rFonts w:ascii="Times New Roman" w:hAnsi="Times New Roman"/>
          <w:sz w:val="24"/>
          <w:szCs w:val="24"/>
        </w:rPr>
        <w:t>у</w:t>
      </w:r>
      <w:r>
        <w:rPr>
          <w:rFonts w:ascii="Times New Roman" w:hAnsi="Times New Roman"/>
          <w:sz w:val="24"/>
          <w:szCs w:val="24"/>
          <w:lang w:val="sr-Cyrl-CS"/>
        </w:rPr>
        <w:t>правни однос са пореским повериоцем, односно остварују се чињенице које се могу подвести под законски опис пореза на добит правних ли</w:t>
      </w:r>
      <w:r w:rsidR="00735150">
        <w:rPr>
          <w:rFonts w:ascii="Times New Roman" w:hAnsi="Times New Roman"/>
          <w:sz w:val="24"/>
          <w:szCs w:val="24"/>
          <w:lang w:val="sr-Cyrl-CS"/>
        </w:rPr>
        <w:t>ца, али изостаје обавеза</w:t>
      </w:r>
      <w:r>
        <w:rPr>
          <w:rFonts w:ascii="Times New Roman" w:hAnsi="Times New Roman"/>
          <w:sz w:val="24"/>
          <w:szCs w:val="24"/>
          <w:lang w:val="sr-Cyrl-CS"/>
        </w:rPr>
        <w:t xml:space="preserve"> плаћања, односно његова имовинска компонента. Коришћење пореских подстицаја </w:t>
      </w:r>
      <w:r w:rsidR="00735150">
        <w:rPr>
          <w:rFonts w:ascii="Times New Roman" w:hAnsi="Times New Roman"/>
          <w:sz w:val="24"/>
          <w:szCs w:val="24"/>
          <w:lang w:val="sr-Cyrl-CS"/>
        </w:rPr>
        <w:t>не доводи до ослобађ</w:t>
      </w:r>
      <w:r w:rsidR="00C04D50">
        <w:rPr>
          <w:rFonts w:ascii="Times New Roman" w:hAnsi="Times New Roman"/>
          <w:sz w:val="24"/>
          <w:szCs w:val="24"/>
          <w:lang w:val="sr-Cyrl-CS"/>
        </w:rPr>
        <w:t>а</w:t>
      </w:r>
      <w:r w:rsidR="00735150">
        <w:rPr>
          <w:rFonts w:ascii="Times New Roman" w:hAnsi="Times New Roman"/>
          <w:sz w:val="24"/>
          <w:szCs w:val="24"/>
          <w:lang w:val="sr-Cyrl-CS"/>
        </w:rPr>
        <w:t xml:space="preserve">ња обавезе </w:t>
      </w:r>
      <w:r>
        <w:rPr>
          <w:rFonts w:ascii="Times New Roman" w:hAnsi="Times New Roman"/>
          <w:sz w:val="24"/>
          <w:szCs w:val="24"/>
          <w:lang w:val="sr-Cyrl-CS"/>
        </w:rPr>
        <w:t>вођења књиговодствене документације, обавезе да се евидентирају подаци у пореском билансу, односно да се пореска пријава поднесе надлежном пореском органу, што је од велико</w:t>
      </w:r>
      <w:r w:rsidR="00735150">
        <w:rPr>
          <w:rFonts w:ascii="Times New Roman" w:hAnsi="Times New Roman"/>
          <w:sz w:val="24"/>
          <w:szCs w:val="24"/>
          <w:lang w:val="sr-Cyrl-CS"/>
        </w:rPr>
        <w:t>г</w:t>
      </w:r>
      <w:r>
        <w:rPr>
          <w:rFonts w:ascii="Times New Roman" w:hAnsi="Times New Roman"/>
          <w:sz w:val="24"/>
          <w:szCs w:val="24"/>
          <w:lang w:val="sr-Cyrl-CS"/>
        </w:rPr>
        <w:t xml:space="preserve"> значаја за спречавање злоупотреба приликом коришћења пореских подстицаја. Према томе, коришћење пореских олак</w:t>
      </w:r>
      <w:r w:rsidR="00735150">
        <w:rPr>
          <w:rFonts w:ascii="Times New Roman" w:hAnsi="Times New Roman"/>
          <w:sz w:val="24"/>
          <w:szCs w:val="24"/>
          <w:lang w:val="sr-Cyrl-CS"/>
        </w:rPr>
        <w:t>ш</w:t>
      </w:r>
      <w:r>
        <w:rPr>
          <w:rFonts w:ascii="Times New Roman" w:hAnsi="Times New Roman"/>
          <w:sz w:val="24"/>
          <w:szCs w:val="24"/>
          <w:lang w:val="sr-Cyrl-CS"/>
        </w:rPr>
        <w:t>ица мора бити евидентирано у пореском билансу и у пореској пријави.</w:t>
      </w:r>
    </w:p>
    <w:p w:rsidR="00B94E70" w:rsidRDefault="008D4004" w:rsidP="00836DF6">
      <w:pPr>
        <w:ind w:firstLine="360"/>
        <w:jc w:val="both"/>
        <w:rPr>
          <w:rFonts w:ascii="Times New Roman" w:hAnsi="Times New Roman"/>
          <w:sz w:val="24"/>
          <w:szCs w:val="24"/>
          <w:lang w:val="sr-Cyrl-CS"/>
        </w:rPr>
      </w:pPr>
      <w:r>
        <w:rPr>
          <w:rFonts w:ascii="Times New Roman" w:hAnsi="Times New Roman"/>
          <w:sz w:val="24"/>
          <w:szCs w:val="24"/>
          <w:lang w:val="sr-Cyrl-CS"/>
        </w:rPr>
        <w:t xml:space="preserve">Висина пореза на добит </w:t>
      </w:r>
      <w:r w:rsidR="00735150">
        <w:rPr>
          <w:rFonts w:ascii="Times New Roman" w:hAnsi="Times New Roman"/>
          <w:sz w:val="24"/>
          <w:szCs w:val="24"/>
          <w:lang w:val="sr-Cyrl-CS"/>
        </w:rPr>
        <w:t>која на основу з</w:t>
      </w:r>
      <w:r w:rsidR="00C04D50">
        <w:rPr>
          <w:rFonts w:ascii="Times New Roman" w:hAnsi="Times New Roman"/>
          <w:sz w:val="24"/>
          <w:szCs w:val="24"/>
          <w:lang w:val="sr-Cyrl-CS"/>
        </w:rPr>
        <w:t>а</w:t>
      </w:r>
      <w:r>
        <w:rPr>
          <w:rFonts w:ascii="Times New Roman" w:hAnsi="Times New Roman"/>
          <w:sz w:val="24"/>
          <w:szCs w:val="24"/>
          <w:lang w:val="sr-Cyrl-CS"/>
        </w:rPr>
        <w:t>кона треба да се плати зависи од висине опорезиве добити која је утврђена у пореском билансу. Одступање од овог начела јавља се у случају пореског ослобођења које је прописано за одређена предузећа, као и у случају пореског консолидовања, о чему ће бити речи у каснијем излагању.</w:t>
      </w:r>
    </w:p>
    <w:p w:rsidR="00836DF6" w:rsidRDefault="00735150" w:rsidP="00836DF6">
      <w:pPr>
        <w:ind w:firstLine="360"/>
        <w:jc w:val="both"/>
        <w:rPr>
          <w:rFonts w:ascii="Times New Roman" w:hAnsi="Times New Roman"/>
          <w:sz w:val="24"/>
          <w:szCs w:val="24"/>
          <w:lang w:val="sr-Cyrl-CS"/>
        </w:rPr>
      </w:pPr>
      <w:r>
        <w:rPr>
          <w:rFonts w:ascii="Times New Roman" w:hAnsi="Times New Roman"/>
          <w:sz w:val="24"/>
          <w:szCs w:val="24"/>
          <w:lang w:val="sr-Cyrl-CS"/>
        </w:rPr>
        <w:t>Међу бројним закон</w:t>
      </w:r>
      <w:r w:rsidR="00836DF6">
        <w:rPr>
          <w:rFonts w:ascii="Times New Roman" w:hAnsi="Times New Roman"/>
          <w:sz w:val="24"/>
          <w:szCs w:val="24"/>
          <w:lang w:val="sr-Cyrl-CS"/>
        </w:rPr>
        <w:t>с</w:t>
      </w:r>
      <w:r>
        <w:rPr>
          <w:rFonts w:ascii="Times New Roman" w:hAnsi="Times New Roman"/>
          <w:sz w:val="24"/>
          <w:szCs w:val="24"/>
          <w:lang w:val="sr-Cyrl-CS"/>
        </w:rPr>
        <w:t>к</w:t>
      </w:r>
      <w:r w:rsidR="00836DF6">
        <w:rPr>
          <w:rFonts w:ascii="Times New Roman" w:hAnsi="Times New Roman"/>
          <w:sz w:val="24"/>
          <w:szCs w:val="24"/>
          <w:lang w:val="sr-Cyrl-CS"/>
        </w:rPr>
        <w:t>им изменама које су наведене задржано је решење да порез на добит правних лица не плаћају предузећа за радно оспособљавање, про</w:t>
      </w:r>
      <w:r w:rsidR="00C04D50">
        <w:rPr>
          <w:rFonts w:ascii="Times New Roman" w:hAnsi="Times New Roman"/>
          <w:sz w:val="24"/>
          <w:szCs w:val="24"/>
          <w:lang w:val="sr-Cyrl-CS"/>
        </w:rPr>
        <w:t>фесионалну рехабилитацију и запо</w:t>
      </w:r>
      <w:r w:rsidR="00836DF6">
        <w:rPr>
          <w:rFonts w:ascii="Times New Roman" w:hAnsi="Times New Roman"/>
          <w:sz w:val="24"/>
          <w:szCs w:val="24"/>
          <w:lang w:val="sr-Cyrl-CS"/>
        </w:rPr>
        <w:t>шљавање инвалидних лица, сразмерно учешћу тих лица у укупном броју запослених.</w:t>
      </w:r>
      <w:r w:rsidR="00836DF6">
        <w:rPr>
          <w:rStyle w:val="FootnoteReference"/>
          <w:rFonts w:ascii="Times New Roman" w:hAnsi="Times New Roman"/>
          <w:sz w:val="24"/>
          <w:szCs w:val="24"/>
          <w:lang w:val="sr-Cyrl-CS"/>
        </w:rPr>
        <w:footnoteReference w:id="275"/>
      </w:r>
      <w:r w:rsidR="00836DF6">
        <w:rPr>
          <w:rFonts w:ascii="Times New Roman" w:hAnsi="Times New Roman"/>
          <w:sz w:val="24"/>
          <w:szCs w:val="24"/>
          <w:lang w:val="sr-Cyrl-CS"/>
        </w:rPr>
        <w:t xml:space="preserve"> Према томе, уколико су сви запослени на пример инвалидна лица то ће резултирати потпуним ослобађењем пореске обавезе, а уколико  део запослених чине инвалидна лица, износ пореске обавезе се смањује сразмерно њиховом учешћу у укупном броју запослених. Уколико је повећање броја запослених инвалидних лица у једном предузећу мотивисано само фискалним разлозима, а не  стварним потребама за обављање делатности</w:t>
      </w:r>
      <w:r w:rsidR="00480D8E">
        <w:rPr>
          <w:rFonts w:ascii="Times New Roman" w:hAnsi="Times New Roman"/>
          <w:sz w:val="24"/>
          <w:szCs w:val="24"/>
          <w:lang w:val="sr-Cyrl-CS"/>
        </w:rPr>
        <w:t xml:space="preserve"> и сл.</w:t>
      </w:r>
      <w:r w:rsidR="00836DF6">
        <w:rPr>
          <w:rFonts w:ascii="Times New Roman" w:hAnsi="Times New Roman"/>
          <w:sz w:val="24"/>
          <w:szCs w:val="24"/>
          <w:lang w:val="sr-Cyrl-CS"/>
        </w:rPr>
        <w:t xml:space="preserve">, радиће се о законитој неприхватљивој евазији пореза. </w:t>
      </w:r>
    </w:p>
    <w:p w:rsidR="00836DF6" w:rsidRDefault="00836DF6" w:rsidP="00836DF6">
      <w:pPr>
        <w:ind w:firstLine="360"/>
        <w:jc w:val="both"/>
        <w:rPr>
          <w:rFonts w:ascii="Times New Roman" w:hAnsi="Times New Roman"/>
          <w:sz w:val="24"/>
          <w:szCs w:val="24"/>
          <w:lang w:val="sr-Cyrl-CS"/>
        </w:rPr>
      </w:pPr>
      <w:r>
        <w:rPr>
          <w:rFonts w:ascii="Times New Roman" w:hAnsi="Times New Roman"/>
          <w:sz w:val="24"/>
          <w:szCs w:val="24"/>
          <w:lang w:val="sr-Cyrl-CS"/>
        </w:rPr>
        <w:t>Међутим, овде треба нагласити да су могућности избегавања плаћања пореза у овом случају ограничене захваљујући јасно прописаним законским критеријумима ко се може сматрати инвалидним лицем као и јасно прописаним условима за оснивање таквих предузећа.</w:t>
      </w:r>
      <w:r>
        <w:rPr>
          <w:rStyle w:val="FootnoteReference"/>
          <w:rFonts w:ascii="Times New Roman" w:hAnsi="Times New Roman"/>
          <w:sz w:val="24"/>
          <w:szCs w:val="24"/>
          <w:lang w:val="sr-Cyrl-CS"/>
        </w:rPr>
        <w:footnoteReference w:id="276"/>
      </w:r>
      <w:r>
        <w:rPr>
          <w:rFonts w:ascii="Times New Roman" w:hAnsi="Times New Roman"/>
          <w:sz w:val="24"/>
          <w:szCs w:val="24"/>
          <w:lang w:val="sr-Cyrl-CS"/>
        </w:rPr>
        <w:t xml:space="preserve"> </w:t>
      </w:r>
    </w:p>
    <w:p w:rsidR="00836DF6" w:rsidRPr="009E66A6" w:rsidRDefault="00480D8E" w:rsidP="009E66A6">
      <w:pPr>
        <w:ind w:firstLine="360"/>
        <w:jc w:val="both"/>
        <w:rPr>
          <w:rFonts w:ascii="Times New Roman" w:hAnsi="Times New Roman"/>
          <w:sz w:val="24"/>
          <w:szCs w:val="24"/>
          <w:lang w:val="sr-Cyrl-CS"/>
        </w:rPr>
      </w:pPr>
      <w:r w:rsidRPr="009E66A6">
        <w:rPr>
          <w:rFonts w:ascii="Times New Roman" w:hAnsi="Times New Roman"/>
          <w:sz w:val="24"/>
          <w:szCs w:val="24"/>
          <w:lang w:val="sr-Cyrl-CS"/>
        </w:rPr>
        <w:t>Особа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са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инвалидитетом</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јесте</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лице</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са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трајним</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последицама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телесног</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сензорног</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менталног</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или</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душевног</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оштећења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или</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болести</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које</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се</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не</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могу</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отклонити</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лечењем</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или</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медицинском</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рехабилитацијом</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које</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се</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суочава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са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социјалним</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и</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другим</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ограничењима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од</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утицаја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на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радну</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способност</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и</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могућност</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запослења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или</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одржања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запослења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и</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које</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нема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могућности</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или</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има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смањене</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могућности</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да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се</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под</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равноправним</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условима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укључи</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на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тржиште</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рада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и</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да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конкурише</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за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запошљавање</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са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другим</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лицима</w:t>
      </w:r>
      <w:r w:rsidR="00836DF6" w:rsidRPr="009E66A6">
        <w:rPr>
          <w:rFonts w:ascii="Times New Roman" w:hAnsi="Times New Roman"/>
          <w:sz w:val="24"/>
          <w:szCs w:val="24"/>
          <w:lang w:val="sr-Cyrl-CS"/>
        </w:rPr>
        <w:t>.</w:t>
      </w:r>
    </w:p>
    <w:p w:rsidR="00480D8E" w:rsidRPr="009E66A6" w:rsidRDefault="00480D8E" w:rsidP="009E66A6">
      <w:pPr>
        <w:jc w:val="both"/>
        <w:rPr>
          <w:rFonts w:ascii="Times New Roman" w:hAnsi="Times New Roman"/>
          <w:sz w:val="24"/>
          <w:szCs w:val="24"/>
          <w:lang w:val="sr-Cyrl-CS"/>
        </w:rPr>
      </w:pPr>
    </w:p>
    <w:p w:rsidR="00480D8E" w:rsidRPr="009E66A6" w:rsidRDefault="00480D8E" w:rsidP="009E66A6">
      <w:pPr>
        <w:ind w:firstLine="360"/>
        <w:jc w:val="both"/>
        <w:rPr>
          <w:rFonts w:ascii="Times New Roman" w:hAnsi="Times New Roman"/>
          <w:sz w:val="24"/>
          <w:szCs w:val="24"/>
          <w:lang w:val="sr-Cyrl-CS"/>
        </w:rPr>
      </w:pPr>
      <w:r w:rsidRPr="009E66A6">
        <w:rPr>
          <w:rFonts w:ascii="Times New Roman" w:hAnsi="Times New Roman"/>
          <w:sz w:val="24"/>
          <w:szCs w:val="24"/>
          <w:lang w:val="sr-Cyrl-CS"/>
        </w:rPr>
        <w:lastRenderedPageBreak/>
        <w:t>Незапослена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особа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са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инвалидитетом</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јесте</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особа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која поред наведених услова има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од</w:t>
      </w:r>
      <w:r w:rsidR="00836DF6" w:rsidRPr="009E66A6">
        <w:rPr>
          <w:rFonts w:ascii="Times New Roman" w:hAnsi="Times New Roman"/>
          <w:sz w:val="24"/>
          <w:szCs w:val="24"/>
          <w:lang w:val="sr-Cyrl-CS"/>
        </w:rPr>
        <w:t xml:space="preserve"> 15 </w:t>
      </w:r>
      <w:r w:rsidRPr="009E66A6">
        <w:rPr>
          <w:rFonts w:ascii="Times New Roman" w:hAnsi="Times New Roman"/>
          <w:sz w:val="24"/>
          <w:szCs w:val="24"/>
          <w:lang w:val="sr-Cyrl-CS"/>
        </w:rPr>
        <w:t>до</w:t>
      </w:r>
      <w:r w:rsidR="00836DF6" w:rsidRPr="009E66A6">
        <w:rPr>
          <w:rFonts w:ascii="Times New Roman" w:hAnsi="Times New Roman"/>
          <w:sz w:val="24"/>
          <w:szCs w:val="24"/>
          <w:lang w:val="sr-Cyrl-CS"/>
        </w:rPr>
        <w:t xml:space="preserve"> 65 </w:t>
      </w:r>
      <w:r w:rsidRPr="009E66A6">
        <w:rPr>
          <w:rFonts w:ascii="Times New Roman" w:hAnsi="Times New Roman"/>
          <w:sz w:val="24"/>
          <w:szCs w:val="24"/>
          <w:lang w:val="sr-Cyrl-CS"/>
        </w:rPr>
        <w:t>година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живота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која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није</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у</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радном</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односу</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нити</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је</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на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други</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начин</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остварила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право</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на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рад</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спремна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да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ради</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или</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прихвати</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професионалну</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рехабилитацију</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ради</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запошљавања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и</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активно</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тражи</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запослење</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и</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води</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се</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на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евиденцији</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незапослених</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лица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код</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организације</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надлежне</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за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послове</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запошљавања</w:t>
      </w:r>
      <w:r w:rsidR="00836DF6" w:rsidRPr="009E66A6">
        <w:rPr>
          <w:rFonts w:ascii="Times New Roman" w:hAnsi="Times New Roman"/>
          <w:sz w:val="24"/>
          <w:szCs w:val="24"/>
          <w:lang w:val="sr-Cyrl-CS"/>
        </w:rPr>
        <w:t>.</w:t>
      </w:r>
    </w:p>
    <w:p w:rsidR="00836DF6" w:rsidRPr="009E66A6" w:rsidRDefault="00480D8E" w:rsidP="009E66A6">
      <w:pPr>
        <w:ind w:firstLine="360"/>
        <w:jc w:val="both"/>
        <w:rPr>
          <w:rFonts w:ascii="Times New Roman" w:hAnsi="Times New Roman"/>
          <w:sz w:val="24"/>
          <w:szCs w:val="24"/>
          <w:lang w:val="sr-Cyrl-CS"/>
        </w:rPr>
      </w:pPr>
      <w:r w:rsidRPr="009E66A6">
        <w:rPr>
          <w:rFonts w:ascii="Times New Roman" w:hAnsi="Times New Roman"/>
          <w:sz w:val="24"/>
          <w:szCs w:val="24"/>
          <w:lang w:val="sr-Cyrl-CS"/>
        </w:rPr>
        <w:t>Послодавцем се сматра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домаће</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или</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страно</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правно</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или</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физичко</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лице</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које</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запошљава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једно</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или</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више</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лица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односно</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Република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Србија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за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запослене</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у</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државним</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органима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аутономна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покрајина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за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запослене</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у</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покрајинским</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органима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и</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јединица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локалне</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самоуправе</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за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запослене</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у</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органима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јединице</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локалне</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самоуправе</w:t>
      </w:r>
      <w:r w:rsidR="00836DF6" w:rsidRPr="009E66A6">
        <w:rPr>
          <w:rFonts w:ascii="Times New Roman" w:hAnsi="Times New Roman"/>
          <w:sz w:val="24"/>
          <w:szCs w:val="24"/>
          <w:lang w:val="sr-Cyrl-CS"/>
        </w:rPr>
        <w:t>.</w:t>
      </w:r>
      <w:r w:rsidR="00836DF6" w:rsidRPr="009E66A6">
        <w:rPr>
          <w:rStyle w:val="FootnoteReference"/>
          <w:rFonts w:ascii="Times New Roman" w:hAnsi="Times New Roman"/>
          <w:color w:val="000000"/>
          <w:sz w:val="24"/>
          <w:szCs w:val="24"/>
          <w:lang w:val="sr-Cyrl-CS"/>
        </w:rPr>
        <w:footnoteReference w:id="277"/>
      </w:r>
    </w:p>
    <w:p w:rsidR="00836DF6" w:rsidRPr="009E66A6" w:rsidRDefault="00480D8E" w:rsidP="009E66A6">
      <w:pPr>
        <w:ind w:firstLine="360"/>
        <w:jc w:val="both"/>
        <w:rPr>
          <w:rFonts w:ascii="Times New Roman" w:hAnsi="Times New Roman"/>
          <w:sz w:val="24"/>
          <w:szCs w:val="24"/>
          <w:lang w:val="sr-Cyrl-CS"/>
        </w:rPr>
      </w:pPr>
      <w:r w:rsidRPr="009E66A6">
        <w:rPr>
          <w:rFonts w:ascii="Times New Roman" w:hAnsi="Times New Roman"/>
          <w:sz w:val="24"/>
          <w:szCs w:val="24"/>
          <w:lang w:val="sr-Cyrl-CS"/>
        </w:rPr>
        <w:t>Обавеза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запошљавања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у</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смислу</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овог</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закона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јесте</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обавеза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сваког</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послодавца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који</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има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најмање</w:t>
      </w:r>
      <w:r w:rsidR="00836DF6" w:rsidRPr="009E66A6">
        <w:rPr>
          <w:rFonts w:ascii="Times New Roman" w:hAnsi="Times New Roman"/>
          <w:sz w:val="24"/>
          <w:szCs w:val="24"/>
          <w:lang w:val="sr-Cyrl-CS"/>
        </w:rPr>
        <w:t xml:space="preserve"> 20 </w:t>
      </w:r>
      <w:r w:rsidRPr="009E66A6">
        <w:rPr>
          <w:rFonts w:ascii="Times New Roman" w:hAnsi="Times New Roman"/>
          <w:sz w:val="24"/>
          <w:szCs w:val="24"/>
          <w:lang w:val="sr-Cyrl-CS"/>
        </w:rPr>
        <w:t>запослених</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да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има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у</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радном</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односу</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одређени</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број</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особа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са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инвалидитетом</w:t>
      </w:r>
      <w:r w:rsidR="00836DF6" w:rsidRPr="009E66A6">
        <w:rPr>
          <w:rFonts w:ascii="Times New Roman" w:hAnsi="Times New Roman"/>
          <w:sz w:val="24"/>
          <w:szCs w:val="24"/>
          <w:lang w:val="sr-Cyrl-CS"/>
        </w:rPr>
        <w:t>.</w:t>
      </w:r>
      <w:r w:rsidRPr="009E66A6">
        <w:rPr>
          <w:rFonts w:ascii="Times New Roman" w:hAnsi="Times New Roman"/>
          <w:sz w:val="24"/>
          <w:szCs w:val="24"/>
          <w:lang w:val="sr-Cyrl-CS"/>
        </w:rPr>
        <w:t xml:space="preserve"> Послодавац</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који</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има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од</w:t>
      </w:r>
      <w:r w:rsidR="00836DF6" w:rsidRPr="009E66A6">
        <w:rPr>
          <w:rFonts w:ascii="Times New Roman" w:hAnsi="Times New Roman"/>
          <w:sz w:val="24"/>
          <w:szCs w:val="24"/>
          <w:lang w:val="sr-Cyrl-CS"/>
        </w:rPr>
        <w:t xml:space="preserve"> 20 </w:t>
      </w:r>
      <w:r w:rsidRPr="009E66A6">
        <w:rPr>
          <w:rFonts w:ascii="Times New Roman" w:hAnsi="Times New Roman"/>
          <w:sz w:val="24"/>
          <w:szCs w:val="24"/>
          <w:lang w:val="sr-Cyrl-CS"/>
        </w:rPr>
        <w:t>до</w:t>
      </w:r>
      <w:r w:rsidR="00836DF6" w:rsidRPr="009E66A6">
        <w:rPr>
          <w:rFonts w:ascii="Times New Roman" w:hAnsi="Times New Roman"/>
          <w:sz w:val="24"/>
          <w:szCs w:val="24"/>
          <w:lang w:val="sr-Cyrl-CS"/>
        </w:rPr>
        <w:t xml:space="preserve"> 49 </w:t>
      </w:r>
      <w:r w:rsidRPr="009E66A6">
        <w:rPr>
          <w:rFonts w:ascii="Times New Roman" w:hAnsi="Times New Roman"/>
          <w:sz w:val="24"/>
          <w:szCs w:val="24"/>
          <w:lang w:val="sr-Cyrl-CS"/>
        </w:rPr>
        <w:t>запослених</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дужан</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је</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да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има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у</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радном</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односу</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једну</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особу</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са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инвалидитетом</w:t>
      </w:r>
      <w:r w:rsidR="00836DF6" w:rsidRPr="009E66A6">
        <w:rPr>
          <w:rFonts w:ascii="Times New Roman" w:hAnsi="Times New Roman"/>
          <w:sz w:val="24"/>
          <w:szCs w:val="24"/>
          <w:lang w:val="sr-Cyrl-CS"/>
        </w:rPr>
        <w:t>.</w:t>
      </w:r>
      <w:r w:rsidRPr="009E66A6">
        <w:rPr>
          <w:rFonts w:ascii="Times New Roman" w:hAnsi="Times New Roman"/>
          <w:sz w:val="24"/>
          <w:szCs w:val="24"/>
          <w:lang w:val="sr-Cyrl-CS"/>
        </w:rPr>
        <w:t xml:space="preserve"> Послодавац</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који</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има</w:t>
      </w:r>
      <w:r w:rsidR="00836DF6" w:rsidRPr="009E66A6">
        <w:rPr>
          <w:rFonts w:ascii="Times New Roman" w:hAnsi="Times New Roman"/>
          <w:sz w:val="24"/>
          <w:szCs w:val="24"/>
          <w:lang w:val="sr-Cyrl-CS"/>
        </w:rPr>
        <w:t xml:space="preserve"> 50 </w:t>
      </w:r>
      <w:r w:rsidRPr="009E66A6">
        <w:rPr>
          <w:rFonts w:ascii="Times New Roman" w:hAnsi="Times New Roman"/>
          <w:sz w:val="24"/>
          <w:szCs w:val="24"/>
          <w:lang w:val="sr-Cyrl-CS"/>
        </w:rPr>
        <w:t>и</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више</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запослених</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дужан</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је</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да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има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у</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радном</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односу</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најмање</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две</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особе</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са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инвалидитетом</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и</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на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сваких</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наредних</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започетих</w:t>
      </w:r>
      <w:r w:rsidR="00836DF6" w:rsidRPr="009E66A6">
        <w:rPr>
          <w:rFonts w:ascii="Times New Roman" w:hAnsi="Times New Roman"/>
          <w:sz w:val="24"/>
          <w:szCs w:val="24"/>
          <w:lang w:val="sr-Cyrl-CS"/>
        </w:rPr>
        <w:t xml:space="preserve"> 50 </w:t>
      </w:r>
      <w:r w:rsidRPr="009E66A6">
        <w:rPr>
          <w:rFonts w:ascii="Times New Roman" w:hAnsi="Times New Roman"/>
          <w:sz w:val="24"/>
          <w:szCs w:val="24"/>
          <w:lang w:val="sr-Cyrl-CS"/>
        </w:rPr>
        <w:t>запослених</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по</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једну</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особу</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са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инвалидитетом</w:t>
      </w:r>
      <w:r w:rsidR="00836DF6" w:rsidRPr="009E66A6">
        <w:rPr>
          <w:rFonts w:ascii="Times New Roman" w:hAnsi="Times New Roman"/>
          <w:sz w:val="24"/>
          <w:szCs w:val="24"/>
          <w:lang w:val="sr-Cyrl-CS"/>
        </w:rPr>
        <w:t>.</w:t>
      </w:r>
      <w:r w:rsidR="00836DF6" w:rsidRPr="009E66A6">
        <w:rPr>
          <w:rStyle w:val="FootnoteReference"/>
          <w:rFonts w:ascii="Times New Roman" w:hAnsi="Times New Roman"/>
          <w:color w:val="000000"/>
          <w:sz w:val="24"/>
          <w:szCs w:val="24"/>
          <w:lang w:val="sr-Cyrl-CS"/>
        </w:rPr>
        <w:footnoteReference w:id="278"/>
      </w:r>
      <w:r w:rsidR="00836DF6" w:rsidRPr="009E66A6">
        <w:rPr>
          <w:rFonts w:ascii="Times New Roman" w:hAnsi="Times New Roman"/>
          <w:sz w:val="24"/>
          <w:szCs w:val="24"/>
          <w:shd w:val="clear" w:color="auto" w:fill="FFFFFF"/>
          <w:lang w:val="sr-Cyrl-CS"/>
        </w:rPr>
        <w:t xml:space="preserve"> </w:t>
      </w:r>
      <w:r w:rsidRPr="009E66A6">
        <w:rPr>
          <w:rFonts w:ascii="Times New Roman" w:hAnsi="Times New Roman"/>
          <w:sz w:val="24"/>
          <w:szCs w:val="24"/>
          <w:shd w:val="clear" w:color="auto" w:fill="FFFFFF"/>
          <w:lang w:val="sr-Cyrl-CS"/>
        </w:rPr>
        <w:t>Новоосновани</w:t>
      </w:r>
      <w:r w:rsidR="00836DF6" w:rsidRPr="009E66A6">
        <w:rPr>
          <w:rFonts w:ascii="Times New Roman" w:hAnsi="Times New Roman"/>
          <w:sz w:val="24"/>
          <w:szCs w:val="24"/>
          <w:shd w:val="clear" w:color="auto" w:fill="FFFFFF"/>
          <w:lang w:val="sr-Cyrl-CS"/>
        </w:rPr>
        <w:t xml:space="preserve"> </w:t>
      </w:r>
      <w:r w:rsidRPr="009E66A6">
        <w:rPr>
          <w:rFonts w:ascii="Times New Roman" w:hAnsi="Times New Roman"/>
          <w:sz w:val="24"/>
          <w:szCs w:val="24"/>
          <w:shd w:val="clear" w:color="auto" w:fill="FFFFFF"/>
          <w:lang w:val="sr-Cyrl-CS"/>
        </w:rPr>
        <w:t>послодавац</w:t>
      </w:r>
      <w:r w:rsidR="00836DF6" w:rsidRPr="009E66A6">
        <w:rPr>
          <w:rFonts w:ascii="Times New Roman" w:hAnsi="Times New Roman"/>
          <w:sz w:val="24"/>
          <w:szCs w:val="24"/>
          <w:shd w:val="clear" w:color="auto" w:fill="FFFFFF"/>
          <w:lang w:val="sr-Cyrl-CS"/>
        </w:rPr>
        <w:t xml:space="preserve"> </w:t>
      </w:r>
      <w:r w:rsidRPr="009E66A6">
        <w:rPr>
          <w:rFonts w:ascii="Times New Roman" w:hAnsi="Times New Roman"/>
          <w:sz w:val="24"/>
          <w:szCs w:val="24"/>
          <w:shd w:val="clear" w:color="auto" w:fill="FFFFFF"/>
          <w:lang w:val="sr-Cyrl-CS"/>
        </w:rPr>
        <w:t>нема</w:t>
      </w:r>
      <w:r w:rsidR="00836DF6" w:rsidRPr="009E66A6">
        <w:rPr>
          <w:rFonts w:ascii="Times New Roman" w:hAnsi="Times New Roman"/>
          <w:sz w:val="24"/>
          <w:szCs w:val="24"/>
          <w:shd w:val="clear" w:color="auto" w:fill="FFFFFF"/>
          <w:lang w:val="sr-Cyrl-CS"/>
        </w:rPr>
        <w:t xml:space="preserve"> </w:t>
      </w:r>
      <w:r w:rsidRPr="009E66A6">
        <w:rPr>
          <w:rFonts w:ascii="Times New Roman" w:hAnsi="Times New Roman"/>
          <w:sz w:val="24"/>
          <w:szCs w:val="24"/>
          <w:shd w:val="clear" w:color="auto" w:fill="FFFFFF"/>
          <w:lang w:val="sr-Cyrl-CS"/>
        </w:rPr>
        <w:t>обавезу</w:t>
      </w:r>
      <w:r w:rsidR="00836DF6" w:rsidRPr="009E66A6">
        <w:rPr>
          <w:rFonts w:ascii="Times New Roman" w:hAnsi="Times New Roman"/>
          <w:sz w:val="24"/>
          <w:szCs w:val="24"/>
          <w:shd w:val="clear" w:color="auto" w:fill="FFFFFF"/>
          <w:lang w:val="sr-Cyrl-CS"/>
        </w:rPr>
        <w:t xml:space="preserve"> </w:t>
      </w:r>
      <w:r w:rsidRPr="009E66A6">
        <w:rPr>
          <w:rFonts w:ascii="Times New Roman" w:hAnsi="Times New Roman"/>
          <w:sz w:val="24"/>
          <w:szCs w:val="24"/>
          <w:shd w:val="clear" w:color="auto" w:fill="FFFFFF"/>
          <w:lang w:val="sr-Cyrl-CS"/>
        </w:rPr>
        <w:t>оваквог запошљавања</w:t>
      </w:r>
      <w:r w:rsidR="00836DF6" w:rsidRPr="009E66A6">
        <w:rPr>
          <w:rFonts w:ascii="Times New Roman" w:hAnsi="Times New Roman"/>
          <w:sz w:val="24"/>
          <w:szCs w:val="24"/>
          <w:shd w:val="clear" w:color="auto" w:fill="FFFFFF"/>
          <w:lang w:val="sr-Cyrl-CS"/>
        </w:rPr>
        <w:t xml:space="preserve">, </w:t>
      </w:r>
      <w:r w:rsidRPr="009E66A6">
        <w:rPr>
          <w:rFonts w:ascii="Times New Roman" w:hAnsi="Times New Roman"/>
          <w:sz w:val="24"/>
          <w:szCs w:val="24"/>
          <w:shd w:val="clear" w:color="auto" w:fill="FFFFFF"/>
          <w:lang w:val="sr-Cyrl-CS"/>
        </w:rPr>
        <w:t>у</w:t>
      </w:r>
      <w:r w:rsidR="00836DF6" w:rsidRPr="009E66A6">
        <w:rPr>
          <w:rFonts w:ascii="Times New Roman" w:hAnsi="Times New Roman"/>
          <w:sz w:val="24"/>
          <w:szCs w:val="24"/>
          <w:shd w:val="clear" w:color="auto" w:fill="FFFFFF"/>
          <w:lang w:val="sr-Cyrl-CS"/>
        </w:rPr>
        <w:t xml:space="preserve"> </w:t>
      </w:r>
      <w:r w:rsidRPr="009E66A6">
        <w:rPr>
          <w:rFonts w:ascii="Times New Roman" w:hAnsi="Times New Roman"/>
          <w:sz w:val="24"/>
          <w:szCs w:val="24"/>
          <w:shd w:val="clear" w:color="auto" w:fill="FFFFFF"/>
          <w:lang w:val="sr-Cyrl-CS"/>
        </w:rPr>
        <w:t>трајању</w:t>
      </w:r>
      <w:r w:rsidR="00836DF6" w:rsidRPr="009E66A6">
        <w:rPr>
          <w:rFonts w:ascii="Times New Roman" w:hAnsi="Times New Roman"/>
          <w:sz w:val="24"/>
          <w:szCs w:val="24"/>
          <w:shd w:val="clear" w:color="auto" w:fill="FFFFFF"/>
          <w:lang w:val="sr-Cyrl-CS"/>
        </w:rPr>
        <w:t xml:space="preserve"> </w:t>
      </w:r>
      <w:r w:rsidRPr="009E66A6">
        <w:rPr>
          <w:rFonts w:ascii="Times New Roman" w:hAnsi="Times New Roman"/>
          <w:sz w:val="24"/>
          <w:szCs w:val="24"/>
          <w:shd w:val="clear" w:color="auto" w:fill="FFFFFF"/>
          <w:lang w:val="sr-Cyrl-CS"/>
        </w:rPr>
        <w:t>од</w:t>
      </w:r>
      <w:r w:rsidR="00836DF6" w:rsidRPr="009E66A6">
        <w:rPr>
          <w:rFonts w:ascii="Times New Roman" w:hAnsi="Times New Roman"/>
          <w:sz w:val="24"/>
          <w:szCs w:val="24"/>
          <w:shd w:val="clear" w:color="auto" w:fill="FFFFFF"/>
          <w:lang w:val="sr-Cyrl-CS"/>
        </w:rPr>
        <w:t xml:space="preserve"> 24 </w:t>
      </w:r>
      <w:r w:rsidRPr="009E66A6">
        <w:rPr>
          <w:rFonts w:ascii="Times New Roman" w:hAnsi="Times New Roman"/>
          <w:sz w:val="24"/>
          <w:szCs w:val="24"/>
          <w:shd w:val="clear" w:color="auto" w:fill="FFFFFF"/>
          <w:lang w:val="sr-Cyrl-CS"/>
        </w:rPr>
        <w:t>месеца</w:t>
      </w:r>
      <w:r w:rsidR="00836DF6" w:rsidRPr="009E66A6">
        <w:rPr>
          <w:rFonts w:ascii="Times New Roman" w:hAnsi="Times New Roman"/>
          <w:sz w:val="24"/>
          <w:szCs w:val="24"/>
          <w:shd w:val="clear" w:color="auto" w:fill="FFFFFF"/>
          <w:lang w:val="sr-Cyrl-CS"/>
        </w:rPr>
        <w:t xml:space="preserve"> </w:t>
      </w:r>
      <w:r w:rsidRPr="009E66A6">
        <w:rPr>
          <w:rFonts w:ascii="Times New Roman" w:hAnsi="Times New Roman"/>
          <w:sz w:val="24"/>
          <w:szCs w:val="24"/>
          <w:shd w:val="clear" w:color="auto" w:fill="FFFFFF"/>
          <w:lang w:val="sr-Cyrl-CS"/>
        </w:rPr>
        <w:t>од</w:t>
      </w:r>
      <w:r w:rsidR="00836DF6" w:rsidRPr="009E66A6">
        <w:rPr>
          <w:rFonts w:ascii="Times New Roman" w:hAnsi="Times New Roman"/>
          <w:sz w:val="24"/>
          <w:szCs w:val="24"/>
          <w:shd w:val="clear" w:color="auto" w:fill="FFFFFF"/>
          <w:lang w:val="sr-Cyrl-CS"/>
        </w:rPr>
        <w:t xml:space="preserve"> </w:t>
      </w:r>
      <w:r w:rsidRPr="009E66A6">
        <w:rPr>
          <w:rFonts w:ascii="Times New Roman" w:hAnsi="Times New Roman"/>
          <w:sz w:val="24"/>
          <w:szCs w:val="24"/>
          <w:shd w:val="clear" w:color="auto" w:fill="FFFFFF"/>
          <w:lang w:val="sr-Cyrl-CS"/>
        </w:rPr>
        <w:t>дана</w:t>
      </w:r>
      <w:r w:rsidR="00836DF6" w:rsidRPr="009E66A6">
        <w:rPr>
          <w:rFonts w:ascii="Times New Roman" w:hAnsi="Times New Roman"/>
          <w:sz w:val="24"/>
          <w:szCs w:val="24"/>
          <w:shd w:val="clear" w:color="auto" w:fill="FFFFFF"/>
          <w:lang w:val="sr-Cyrl-CS"/>
        </w:rPr>
        <w:t xml:space="preserve"> </w:t>
      </w:r>
      <w:r w:rsidRPr="009E66A6">
        <w:rPr>
          <w:rFonts w:ascii="Times New Roman" w:hAnsi="Times New Roman"/>
          <w:sz w:val="24"/>
          <w:szCs w:val="24"/>
          <w:shd w:val="clear" w:color="auto" w:fill="FFFFFF"/>
          <w:lang w:val="sr-Cyrl-CS"/>
        </w:rPr>
        <w:t>оснивања</w:t>
      </w:r>
      <w:r w:rsidR="00836DF6" w:rsidRPr="009E66A6">
        <w:rPr>
          <w:rFonts w:ascii="Times New Roman" w:hAnsi="Times New Roman"/>
          <w:sz w:val="24"/>
          <w:szCs w:val="24"/>
          <w:shd w:val="clear" w:color="auto" w:fill="FFFFFF"/>
          <w:lang w:val="sr-Cyrl-CS"/>
        </w:rPr>
        <w:t>.</w:t>
      </w:r>
      <w:r w:rsidR="00836DF6" w:rsidRPr="009E66A6">
        <w:rPr>
          <w:rStyle w:val="FootnoteReference"/>
          <w:rFonts w:ascii="Times New Roman" w:hAnsi="Times New Roman"/>
          <w:color w:val="000000"/>
          <w:sz w:val="24"/>
          <w:szCs w:val="24"/>
          <w:shd w:val="clear" w:color="auto" w:fill="FFFFFF"/>
          <w:lang w:val="sr-Cyrl-CS"/>
        </w:rPr>
        <w:footnoteReference w:id="279"/>
      </w:r>
    </w:p>
    <w:p w:rsidR="00480D8E" w:rsidRPr="009E66A6" w:rsidRDefault="00480D8E" w:rsidP="009E66A6">
      <w:pPr>
        <w:ind w:firstLine="360"/>
        <w:jc w:val="both"/>
        <w:rPr>
          <w:rFonts w:ascii="Times New Roman" w:hAnsi="Times New Roman"/>
          <w:sz w:val="24"/>
          <w:szCs w:val="24"/>
          <w:lang w:val="sr-Cyrl-CS"/>
        </w:rPr>
      </w:pPr>
      <w:r w:rsidRPr="009E66A6">
        <w:rPr>
          <w:rFonts w:ascii="Times New Roman" w:hAnsi="Times New Roman"/>
          <w:sz w:val="24"/>
          <w:szCs w:val="24"/>
          <w:lang w:val="sr-Cyrl-CS"/>
        </w:rPr>
        <w:t>Предузеће</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за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професионалну</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рехабилитацију</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и</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запошљавање</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особа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са</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инвалидитетом</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може</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обављати</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делатност</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под</w:t>
      </w:r>
      <w:r w:rsidR="00836DF6" w:rsidRPr="009E66A6">
        <w:rPr>
          <w:rFonts w:ascii="Times New Roman" w:hAnsi="Times New Roman"/>
          <w:sz w:val="24"/>
          <w:szCs w:val="24"/>
          <w:lang w:val="sr-Cyrl-CS"/>
        </w:rPr>
        <w:t xml:space="preserve"> </w:t>
      </w:r>
      <w:r w:rsidRPr="009E66A6">
        <w:rPr>
          <w:rFonts w:ascii="Times New Roman" w:hAnsi="Times New Roman"/>
          <w:sz w:val="24"/>
          <w:szCs w:val="24"/>
          <w:lang w:val="sr-Cyrl-CS"/>
        </w:rPr>
        <w:t>условом</w:t>
      </w:r>
      <w:r w:rsidR="00836DF6" w:rsidRPr="009E66A6">
        <w:rPr>
          <w:rFonts w:ascii="Times New Roman" w:hAnsi="Times New Roman"/>
          <w:sz w:val="24"/>
          <w:szCs w:val="24"/>
          <w:lang w:val="sr-Cyrl-CS"/>
        </w:rPr>
        <w:t>:</w:t>
      </w:r>
    </w:p>
    <w:p w:rsidR="00836DF6" w:rsidRPr="009E66A6" w:rsidRDefault="00836DF6" w:rsidP="009E66A6">
      <w:pPr>
        <w:jc w:val="both"/>
        <w:rPr>
          <w:rFonts w:ascii="Times New Roman" w:hAnsi="Times New Roman"/>
          <w:sz w:val="24"/>
          <w:szCs w:val="24"/>
          <w:lang w:val="sr-Cyrl-CS"/>
        </w:rPr>
      </w:pPr>
      <w:r w:rsidRPr="009E66A6">
        <w:rPr>
          <w:rFonts w:ascii="Times New Roman" w:hAnsi="Times New Roman"/>
          <w:sz w:val="24"/>
          <w:szCs w:val="24"/>
          <w:lang w:val="sr-Cyrl-CS"/>
        </w:rPr>
        <w:t xml:space="preserve">1) </w:t>
      </w:r>
      <w:r w:rsidR="00480D8E" w:rsidRPr="009E66A6">
        <w:rPr>
          <w:rFonts w:ascii="Times New Roman" w:hAnsi="Times New Roman"/>
          <w:sz w:val="24"/>
          <w:szCs w:val="24"/>
          <w:lang w:val="sr-Cyrl-CS"/>
        </w:rPr>
        <w:t>да</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има</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у</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радном</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односу</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на</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неодређено</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време</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најмање</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пет</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особа</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са</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инвалидитетом</w:t>
      </w:r>
      <w:r w:rsidRPr="009E66A6">
        <w:rPr>
          <w:rFonts w:ascii="Times New Roman" w:hAnsi="Times New Roman"/>
          <w:sz w:val="24"/>
          <w:szCs w:val="24"/>
          <w:lang w:val="sr-Cyrl-CS"/>
        </w:rPr>
        <w:t>;</w:t>
      </w:r>
    </w:p>
    <w:p w:rsidR="00836DF6" w:rsidRPr="009E66A6" w:rsidRDefault="00836DF6" w:rsidP="009E66A6">
      <w:pPr>
        <w:jc w:val="both"/>
        <w:rPr>
          <w:rFonts w:ascii="Times New Roman" w:hAnsi="Times New Roman"/>
          <w:sz w:val="24"/>
          <w:szCs w:val="24"/>
          <w:lang w:val="sr-Cyrl-CS"/>
        </w:rPr>
      </w:pPr>
      <w:r w:rsidRPr="009E66A6">
        <w:rPr>
          <w:rFonts w:ascii="Times New Roman" w:hAnsi="Times New Roman"/>
          <w:sz w:val="24"/>
          <w:szCs w:val="24"/>
          <w:lang w:val="sr-Cyrl-CS"/>
        </w:rPr>
        <w:t xml:space="preserve">2) </w:t>
      </w:r>
      <w:r w:rsidR="00480D8E" w:rsidRPr="009E66A6">
        <w:rPr>
          <w:rFonts w:ascii="Times New Roman" w:hAnsi="Times New Roman"/>
          <w:sz w:val="24"/>
          <w:szCs w:val="24"/>
          <w:lang w:val="sr-Cyrl-CS"/>
        </w:rPr>
        <w:t>да</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у</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односу</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на</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укупан</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број</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запослених</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има</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у</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радном</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односу</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на</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неодређено</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време</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најмање</w:t>
      </w:r>
      <w:r w:rsidRPr="009E66A6">
        <w:rPr>
          <w:rFonts w:ascii="Times New Roman" w:hAnsi="Times New Roman"/>
          <w:sz w:val="24"/>
          <w:szCs w:val="24"/>
          <w:lang w:val="sr-Cyrl-CS"/>
        </w:rPr>
        <w:t xml:space="preserve"> 50% </w:t>
      </w:r>
      <w:r w:rsidR="00480D8E" w:rsidRPr="009E66A6">
        <w:rPr>
          <w:rFonts w:ascii="Times New Roman" w:hAnsi="Times New Roman"/>
          <w:sz w:val="24"/>
          <w:szCs w:val="24"/>
          <w:lang w:val="sr-Cyrl-CS"/>
        </w:rPr>
        <w:t>особа</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са</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инвалидитетом</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од</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чега</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најмање</w:t>
      </w:r>
      <w:r w:rsidRPr="009E66A6">
        <w:rPr>
          <w:rFonts w:ascii="Times New Roman" w:hAnsi="Times New Roman"/>
          <w:sz w:val="24"/>
          <w:szCs w:val="24"/>
          <w:lang w:val="sr-Cyrl-CS"/>
        </w:rPr>
        <w:t xml:space="preserve"> 10% </w:t>
      </w:r>
      <w:r w:rsidR="00480D8E" w:rsidRPr="009E66A6">
        <w:rPr>
          <w:rFonts w:ascii="Times New Roman" w:hAnsi="Times New Roman"/>
          <w:sz w:val="24"/>
          <w:szCs w:val="24"/>
          <w:lang w:val="sr-Cyrl-CS"/>
        </w:rPr>
        <w:t>особа</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са</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инвалидитетом</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које</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могу</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да</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се</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запосле</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само</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под</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посебним</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условима</w:t>
      </w:r>
      <w:r w:rsidRPr="009E66A6">
        <w:rPr>
          <w:rFonts w:ascii="Times New Roman" w:hAnsi="Times New Roman"/>
          <w:sz w:val="24"/>
          <w:szCs w:val="24"/>
          <w:lang w:val="sr-Cyrl-CS"/>
        </w:rPr>
        <w:t>;</w:t>
      </w:r>
    </w:p>
    <w:p w:rsidR="00836DF6" w:rsidRPr="009E66A6" w:rsidRDefault="00836DF6" w:rsidP="009E66A6">
      <w:pPr>
        <w:jc w:val="both"/>
        <w:rPr>
          <w:rFonts w:ascii="Times New Roman" w:hAnsi="Times New Roman"/>
          <w:sz w:val="24"/>
          <w:szCs w:val="24"/>
          <w:lang w:val="sr-Cyrl-CS"/>
        </w:rPr>
      </w:pPr>
      <w:r w:rsidRPr="009E66A6">
        <w:rPr>
          <w:rFonts w:ascii="Times New Roman" w:hAnsi="Times New Roman"/>
          <w:sz w:val="24"/>
          <w:szCs w:val="24"/>
          <w:lang w:val="sr-Cyrl-CS"/>
        </w:rPr>
        <w:t xml:space="preserve">3) </w:t>
      </w:r>
      <w:r w:rsidR="00480D8E" w:rsidRPr="009E66A6">
        <w:rPr>
          <w:rFonts w:ascii="Times New Roman" w:hAnsi="Times New Roman"/>
          <w:sz w:val="24"/>
          <w:szCs w:val="24"/>
          <w:lang w:val="sr-Cyrl-CS"/>
        </w:rPr>
        <w:t>да</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има</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одговарајући</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простор</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и</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одговарајућу</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техничку</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и</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другу</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опрему</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за</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радно</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оспособљавање</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и</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рад</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особа</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са</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инвалидитетом</w:t>
      </w:r>
      <w:r w:rsidRPr="009E66A6">
        <w:rPr>
          <w:rFonts w:ascii="Times New Roman" w:hAnsi="Times New Roman"/>
          <w:sz w:val="24"/>
          <w:szCs w:val="24"/>
          <w:lang w:val="sr-Cyrl-CS"/>
        </w:rPr>
        <w:t>;</w:t>
      </w:r>
    </w:p>
    <w:p w:rsidR="00836DF6" w:rsidRPr="009E66A6" w:rsidRDefault="00836DF6" w:rsidP="009E66A6">
      <w:pPr>
        <w:jc w:val="both"/>
        <w:rPr>
          <w:rFonts w:ascii="Times New Roman" w:hAnsi="Times New Roman"/>
          <w:sz w:val="24"/>
          <w:szCs w:val="24"/>
          <w:lang w:val="sr-Cyrl-CS"/>
        </w:rPr>
      </w:pPr>
      <w:r w:rsidRPr="009E66A6">
        <w:rPr>
          <w:rFonts w:ascii="Times New Roman" w:hAnsi="Times New Roman"/>
          <w:sz w:val="24"/>
          <w:szCs w:val="24"/>
          <w:lang w:val="sr-Cyrl-CS"/>
        </w:rPr>
        <w:t xml:space="preserve">4) </w:t>
      </w:r>
      <w:r w:rsidR="00480D8E" w:rsidRPr="009E66A6">
        <w:rPr>
          <w:rFonts w:ascii="Times New Roman" w:hAnsi="Times New Roman"/>
          <w:sz w:val="24"/>
          <w:szCs w:val="24"/>
          <w:lang w:val="sr-Cyrl-CS"/>
        </w:rPr>
        <w:t>да</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има</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запослена</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стручна</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лица</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за</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радно</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оспособљавање</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и</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професионалну</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рехабилитацију</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особа</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са</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инвалидитетом</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уколико</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предузеће</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запошљава</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више</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од</w:t>
      </w:r>
      <w:r w:rsidRPr="009E66A6">
        <w:rPr>
          <w:rFonts w:ascii="Times New Roman" w:hAnsi="Times New Roman"/>
          <w:sz w:val="24"/>
          <w:szCs w:val="24"/>
          <w:lang w:val="sr-Cyrl-CS"/>
        </w:rPr>
        <w:t xml:space="preserve"> 20 </w:t>
      </w:r>
      <w:r w:rsidR="00480D8E" w:rsidRPr="009E66A6">
        <w:rPr>
          <w:rFonts w:ascii="Times New Roman" w:hAnsi="Times New Roman"/>
          <w:sz w:val="24"/>
          <w:szCs w:val="24"/>
          <w:lang w:val="sr-Cyrl-CS"/>
        </w:rPr>
        <w:t>особа</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са</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инвалидитетом</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односно</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ангажована</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стручна</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лица</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уколико</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предузеће</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запошљава</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мање</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од</w:t>
      </w:r>
      <w:r w:rsidRPr="009E66A6">
        <w:rPr>
          <w:rFonts w:ascii="Times New Roman" w:hAnsi="Times New Roman"/>
          <w:sz w:val="24"/>
          <w:szCs w:val="24"/>
          <w:lang w:val="sr-Cyrl-CS"/>
        </w:rPr>
        <w:t xml:space="preserve"> 20 </w:t>
      </w:r>
      <w:r w:rsidR="00480D8E" w:rsidRPr="009E66A6">
        <w:rPr>
          <w:rFonts w:ascii="Times New Roman" w:hAnsi="Times New Roman"/>
          <w:sz w:val="24"/>
          <w:szCs w:val="24"/>
          <w:lang w:val="sr-Cyrl-CS"/>
        </w:rPr>
        <w:t>особа</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са</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инвалидитетом</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и</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то</w:t>
      </w:r>
      <w:r w:rsidRPr="009E66A6">
        <w:rPr>
          <w:rFonts w:ascii="Times New Roman" w:hAnsi="Times New Roman"/>
          <w:sz w:val="24"/>
          <w:szCs w:val="24"/>
          <w:lang w:val="sr-Cyrl-CS"/>
        </w:rPr>
        <w:t>:</w:t>
      </w:r>
    </w:p>
    <w:p w:rsidR="00836DF6" w:rsidRPr="009E66A6" w:rsidRDefault="00836DF6" w:rsidP="009E66A6">
      <w:pPr>
        <w:jc w:val="both"/>
        <w:rPr>
          <w:rFonts w:ascii="Times New Roman" w:hAnsi="Times New Roman"/>
          <w:sz w:val="24"/>
          <w:szCs w:val="24"/>
          <w:lang w:val="sr-Cyrl-CS"/>
        </w:rPr>
      </w:pP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једно</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лице</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за</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извођење</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практичне</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наставе</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и</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обуке</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за</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послове</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за</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које</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се</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оспособљавају</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особе</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са</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инвалидитетом</w:t>
      </w:r>
      <w:r w:rsidRPr="009E66A6">
        <w:rPr>
          <w:rFonts w:ascii="Times New Roman" w:hAnsi="Times New Roman"/>
          <w:sz w:val="24"/>
          <w:szCs w:val="24"/>
          <w:lang w:val="sr-Cyrl-CS"/>
        </w:rPr>
        <w:t>,</w:t>
      </w:r>
    </w:p>
    <w:p w:rsidR="00836DF6" w:rsidRPr="009E66A6" w:rsidRDefault="00836DF6" w:rsidP="009E66A6">
      <w:pPr>
        <w:jc w:val="both"/>
        <w:rPr>
          <w:rFonts w:ascii="Times New Roman" w:hAnsi="Times New Roman"/>
          <w:sz w:val="24"/>
          <w:szCs w:val="24"/>
          <w:lang w:val="sr-Cyrl-CS"/>
        </w:rPr>
      </w:pPr>
      <w:r w:rsidRPr="009E66A6">
        <w:rPr>
          <w:rFonts w:ascii="Times New Roman" w:hAnsi="Times New Roman"/>
          <w:sz w:val="24"/>
          <w:szCs w:val="24"/>
          <w:lang w:val="sr-Cyrl-CS"/>
        </w:rPr>
        <w:lastRenderedPageBreak/>
        <w:t xml:space="preserve">- </w:t>
      </w:r>
      <w:r w:rsidR="00480D8E" w:rsidRPr="009E66A6">
        <w:rPr>
          <w:rFonts w:ascii="Times New Roman" w:hAnsi="Times New Roman"/>
          <w:sz w:val="24"/>
          <w:szCs w:val="24"/>
          <w:lang w:val="sr-Cyrl-CS"/>
        </w:rPr>
        <w:t>једно</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лице</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за</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послове</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пружања</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професионалне</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асистенције</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запосленим</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особама</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са</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инвалидитетом</w:t>
      </w:r>
      <w:r w:rsidRPr="009E66A6">
        <w:rPr>
          <w:rFonts w:ascii="Times New Roman" w:hAnsi="Times New Roman"/>
          <w:sz w:val="24"/>
          <w:szCs w:val="24"/>
          <w:lang w:val="sr-Cyrl-CS"/>
        </w:rPr>
        <w:t>,</w:t>
      </w:r>
    </w:p>
    <w:p w:rsidR="00836DF6" w:rsidRPr="009E66A6" w:rsidRDefault="00836DF6" w:rsidP="009E66A6">
      <w:pPr>
        <w:jc w:val="both"/>
        <w:rPr>
          <w:rFonts w:ascii="Times New Roman" w:hAnsi="Times New Roman"/>
          <w:sz w:val="24"/>
          <w:szCs w:val="24"/>
          <w:lang w:val="sr-Cyrl-CS"/>
        </w:rPr>
      </w:pP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једно</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лице</w:t>
      </w:r>
      <w:r w:rsidRPr="009E66A6">
        <w:rPr>
          <w:rFonts w:ascii="Times New Roman" w:hAnsi="Times New Roman"/>
          <w:sz w:val="24"/>
          <w:szCs w:val="24"/>
          <w:lang w:val="sr-Cyrl-CS"/>
        </w:rPr>
        <w:t xml:space="preserve"> - </w:t>
      </w:r>
      <w:r w:rsidR="00480D8E" w:rsidRPr="009E66A6">
        <w:rPr>
          <w:rFonts w:ascii="Times New Roman" w:hAnsi="Times New Roman"/>
          <w:sz w:val="24"/>
          <w:szCs w:val="24"/>
          <w:lang w:val="sr-Cyrl-CS"/>
        </w:rPr>
        <w:t>саветника</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за</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интеграцију</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на</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радном</w:t>
      </w:r>
      <w:r w:rsidRPr="009E66A6">
        <w:rPr>
          <w:rFonts w:ascii="Times New Roman" w:hAnsi="Times New Roman"/>
          <w:sz w:val="24"/>
          <w:szCs w:val="24"/>
          <w:lang w:val="sr-Cyrl-CS"/>
        </w:rPr>
        <w:t xml:space="preserve"> </w:t>
      </w:r>
      <w:r w:rsidR="00480D8E" w:rsidRPr="009E66A6">
        <w:rPr>
          <w:rFonts w:ascii="Times New Roman" w:hAnsi="Times New Roman"/>
          <w:sz w:val="24"/>
          <w:szCs w:val="24"/>
          <w:lang w:val="sr-Cyrl-CS"/>
        </w:rPr>
        <w:t>месту</w:t>
      </w:r>
      <w:r w:rsidRPr="009E66A6">
        <w:rPr>
          <w:rFonts w:ascii="Times New Roman" w:hAnsi="Times New Roman"/>
          <w:sz w:val="24"/>
          <w:szCs w:val="24"/>
          <w:lang w:val="sr-Cyrl-CS"/>
        </w:rPr>
        <w:t>;</w:t>
      </w:r>
    </w:p>
    <w:p w:rsidR="00836DF6" w:rsidRDefault="00836DF6" w:rsidP="00480D8E">
      <w:pPr>
        <w:pStyle w:val="normal0"/>
        <w:shd w:val="clear" w:color="auto" w:fill="FFFFFF"/>
        <w:spacing w:before="48" w:beforeAutospacing="0" w:after="48" w:afterAutospacing="0"/>
        <w:jc w:val="both"/>
        <w:rPr>
          <w:rFonts w:ascii="Arial" w:hAnsi="Arial" w:cs="Arial"/>
          <w:color w:val="000000"/>
          <w:sz w:val="18"/>
          <w:szCs w:val="18"/>
        </w:rPr>
      </w:pPr>
      <w:r w:rsidRPr="00480D8E">
        <w:rPr>
          <w:color w:val="000000"/>
          <w:lang w:val="sr-Cyrl-CS"/>
        </w:rPr>
        <w:t xml:space="preserve">5) </w:t>
      </w:r>
      <w:r w:rsidR="00480D8E" w:rsidRPr="00480D8E">
        <w:rPr>
          <w:color w:val="000000"/>
          <w:lang w:val="sr-Cyrl-CS"/>
        </w:rPr>
        <w:t>да</w:t>
      </w:r>
      <w:r w:rsidRPr="00480D8E">
        <w:rPr>
          <w:color w:val="000000"/>
          <w:lang w:val="sr-Cyrl-CS"/>
        </w:rPr>
        <w:t xml:space="preserve"> </w:t>
      </w:r>
      <w:r w:rsidR="00480D8E" w:rsidRPr="00480D8E">
        <w:rPr>
          <w:color w:val="000000"/>
          <w:lang w:val="sr-Cyrl-CS"/>
        </w:rPr>
        <w:t>има</w:t>
      </w:r>
      <w:r w:rsidRPr="00480D8E">
        <w:rPr>
          <w:color w:val="000000"/>
          <w:lang w:val="sr-Cyrl-CS"/>
        </w:rPr>
        <w:t xml:space="preserve"> </w:t>
      </w:r>
      <w:r w:rsidR="00480D8E" w:rsidRPr="00480D8E">
        <w:rPr>
          <w:color w:val="000000"/>
          <w:lang w:val="sr-Cyrl-CS"/>
        </w:rPr>
        <w:t>дозволу</w:t>
      </w:r>
      <w:r w:rsidRPr="00480D8E">
        <w:rPr>
          <w:color w:val="000000"/>
          <w:lang w:val="sr-Cyrl-CS"/>
        </w:rPr>
        <w:t xml:space="preserve"> </w:t>
      </w:r>
      <w:r w:rsidR="00480D8E" w:rsidRPr="00480D8E">
        <w:rPr>
          <w:color w:val="000000"/>
          <w:lang w:val="sr-Cyrl-CS"/>
        </w:rPr>
        <w:t>за</w:t>
      </w:r>
      <w:r w:rsidRPr="00480D8E">
        <w:rPr>
          <w:color w:val="000000"/>
          <w:lang w:val="sr-Cyrl-CS"/>
        </w:rPr>
        <w:t xml:space="preserve"> </w:t>
      </w:r>
      <w:r w:rsidR="00480D8E" w:rsidRPr="00480D8E">
        <w:rPr>
          <w:color w:val="000000"/>
          <w:lang w:val="sr-Cyrl-CS"/>
        </w:rPr>
        <w:t>обављање</w:t>
      </w:r>
      <w:r w:rsidRPr="00480D8E">
        <w:rPr>
          <w:color w:val="000000"/>
          <w:lang w:val="sr-Cyrl-CS"/>
        </w:rPr>
        <w:t xml:space="preserve"> </w:t>
      </w:r>
      <w:r w:rsidR="00480D8E" w:rsidRPr="00480D8E">
        <w:rPr>
          <w:color w:val="000000"/>
          <w:lang w:val="sr-Cyrl-CS"/>
        </w:rPr>
        <w:t>делатности</w:t>
      </w:r>
      <w:r w:rsidRPr="00480D8E">
        <w:rPr>
          <w:color w:val="000000"/>
          <w:lang w:val="sr-Cyrl-CS"/>
        </w:rPr>
        <w:t>.</w:t>
      </w:r>
      <w:r>
        <w:rPr>
          <w:rStyle w:val="FootnoteReference"/>
          <w:rFonts w:ascii="Arial" w:hAnsi="Arial" w:cs="Arial"/>
          <w:color w:val="000000"/>
          <w:sz w:val="18"/>
          <w:szCs w:val="18"/>
        </w:rPr>
        <w:footnoteReference w:id="280"/>
      </w:r>
    </w:p>
    <w:p w:rsidR="00836DF6" w:rsidRPr="00EF1CA8" w:rsidRDefault="00836DF6" w:rsidP="00836DF6">
      <w:pPr>
        <w:pStyle w:val="normal0"/>
        <w:shd w:val="clear" w:color="auto" w:fill="FFFFFF"/>
        <w:spacing w:before="48" w:beforeAutospacing="0" w:after="48" w:afterAutospacing="0"/>
        <w:rPr>
          <w:rFonts w:ascii="Arial" w:hAnsi="Arial" w:cs="Arial"/>
          <w:color w:val="000000"/>
          <w:sz w:val="18"/>
          <w:szCs w:val="18"/>
          <w:lang w:val="sr-Cyrl-CS"/>
        </w:rPr>
      </w:pPr>
    </w:p>
    <w:p w:rsidR="0094164B" w:rsidRPr="009E66A6" w:rsidRDefault="00836DF6" w:rsidP="009E66A6">
      <w:pPr>
        <w:ind w:firstLine="360"/>
        <w:jc w:val="both"/>
        <w:rPr>
          <w:rFonts w:ascii="Times New Roman" w:hAnsi="Times New Roman"/>
          <w:sz w:val="24"/>
          <w:szCs w:val="24"/>
          <w:lang w:val="sr-Cyrl-CS"/>
        </w:rPr>
      </w:pPr>
      <w:r w:rsidRPr="009E66A6">
        <w:rPr>
          <w:rFonts w:ascii="Times New Roman" w:hAnsi="Times New Roman"/>
          <w:sz w:val="24"/>
          <w:szCs w:val="24"/>
          <w:lang w:val="sr-Cyrl-CS"/>
        </w:rPr>
        <w:t>Имајући у виду услове који су прописани за оснивање предузећа за професионалну рехабилитацију и запошљавање инвалида мало је вероватно да ће неко предузеће бити основано са иск</w:t>
      </w:r>
      <w:r w:rsidR="00480D8E" w:rsidRPr="009E66A6">
        <w:rPr>
          <w:rFonts w:ascii="Times New Roman" w:hAnsi="Times New Roman"/>
          <w:sz w:val="24"/>
          <w:szCs w:val="24"/>
          <w:lang w:val="sr-Cyrl-CS"/>
        </w:rPr>
        <w:t>љ</w:t>
      </w:r>
      <w:r w:rsidRPr="009E66A6">
        <w:rPr>
          <w:rFonts w:ascii="Times New Roman" w:hAnsi="Times New Roman"/>
          <w:sz w:val="24"/>
          <w:szCs w:val="24"/>
          <w:lang w:val="sr-Cyrl-CS"/>
        </w:rPr>
        <w:t>учивом намером да избегне плаћање пореза. Међутим, до злоупотребе ипак може доћи, као на пример у случају када друго предузеће пружа услуге или испоручује робу предузећу за професионалну рехабилитацију и запошљавање инвалида по ценама нижим од тржишних, јер ће на тај начин доћи до смањења прихода тог предузећа, а самим тим се смањује опорезива добит, док код предузећа за професионалну рехабилитацију и запошљавање инвалида, иако је опорезива добит повећана, услед повећања расходне стране, неће бити промена јер ионако не плаћају порез. Према томе, иако су поменути критеријуми и услови детаљније регулисани Законом о професионалној рехабилитацији и запошљавању особа са инвалидитетом, за разлику од раније законске регулативе,</w:t>
      </w:r>
      <w:r w:rsidRPr="009E66A6">
        <w:rPr>
          <w:rStyle w:val="FootnoteReference"/>
          <w:rFonts w:ascii="Times New Roman" w:hAnsi="Times New Roman"/>
          <w:sz w:val="24"/>
          <w:szCs w:val="24"/>
          <w:lang w:val="sr-Cyrl-CS"/>
        </w:rPr>
        <w:footnoteReference w:id="281"/>
      </w:r>
      <w:r w:rsidRPr="009E66A6">
        <w:rPr>
          <w:rFonts w:ascii="Times New Roman" w:hAnsi="Times New Roman"/>
          <w:sz w:val="24"/>
          <w:szCs w:val="24"/>
          <w:lang w:val="sr-Cyrl-CS"/>
        </w:rPr>
        <w:t xml:space="preserve"> као и пореским прописима, потребно је још шире регулисање како би се спречиле злоупотребе и неплаћање пореза свело у оквир прихватљиве законите пореске евазије и постизања искључиво екстрафискалних циљева. </w:t>
      </w:r>
      <w:r w:rsidR="00480D8E" w:rsidRPr="009E66A6">
        <w:rPr>
          <w:rFonts w:ascii="Times New Roman" w:hAnsi="Times New Roman"/>
          <w:sz w:val="24"/>
          <w:szCs w:val="24"/>
          <w:lang w:val="sr-Cyrl-CS"/>
        </w:rPr>
        <w:t xml:space="preserve"> </w:t>
      </w:r>
    </w:p>
    <w:p w:rsidR="00836DF6" w:rsidRDefault="00480D8E" w:rsidP="00836DF6">
      <w:pPr>
        <w:ind w:firstLine="360"/>
        <w:jc w:val="both"/>
        <w:rPr>
          <w:rFonts w:ascii="Times New Roman" w:hAnsi="Times New Roman"/>
          <w:sz w:val="24"/>
          <w:szCs w:val="24"/>
          <w:lang w:val="sr-Cyrl-CS"/>
        </w:rPr>
      </w:pPr>
      <w:r>
        <w:rPr>
          <w:rFonts w:ascii="Times New Roman" w:hAnsi="Times New Roman"/>
          <w:sz w:val="24"/>
          <w:szCs w:val="24"/>
          <w:lang w:val="sr-Cyrl-CS"/>
        </w:rPr>
        <w:t xml:space="preserve">Треба напоменути да се овим пореским ослобођењем </w:t>
      </w:r>
      <w:r w:rsidR="00836DF6">
        <w:rPr>
          <w:rFonts w:ascii="Times New Roman" w:hAnsi="Times New Roman"/>
          <w:sz w:val="24"/>
          <w:szCs w:val="24"/>
          <w:lang w:val="sr-Cyrl-CS"/>
        </w:rPr>
        <w:t xml:space="preserve">постижу социјални циљеви као ванфискални циљ пореске политике. Дакле, држава се ради постизања овог ванфискалног циља одриче дела својих прихода. </w:t>
      </w:r>
    </w:p>
    <w:p w:rsidR="00836DF6" w:rsidRPr="008F709C" w:rsidRDefault="00A23F64" w:rsidP="00836DF6">
      <w:pPr>
        <w:ind w:firstLine="360"/>
        <w:jc w:val="both"/>
        <w:rPr>
          <w:rFonts w:ascii="Times New Roman" w:hAnsi="Times New Roman"/>
          <w:sz w:val="24"/>
          <w:szCs w:val="24"/>
          <w:lang w:val="sr-Cyrl-CS"/>
        </w:rPr>
      </w:pPr>
      <w:r>
        <w:rPr>
          <w:rFonts w:ascii="Times New Roman" w:hAnsi="Times New Roman"/>
          <w:sz w:val="24"/>
          <w:szCs w:val="24"/>
        </w:rPr>
        <w:t>Пореско ослобођење се односи и на недобитне организације</w:t>
      </w:r>
      <w:r w:rsidR="00054AC3">
        <w:rPr>
          <w:rFonts w:ascii="Times New Roman" w:hAnsi="Times New Roman"/>
          <w:sz w:val="24"/>
          <w:szCs w:val="24"/>
          <w:lang w:val="sr-Cyrl-CS"/>
        </w:rPr>
        <w:t xml:space="preserve"> за порески период у којем ос</w:t>
      </w:r>
      <w:r w:rsidR="008103BD">
        <w:rPr>
          <w:rFonts w:ascii="Times New Roman" w:hAnsi="Times New Roman"/>
          <w:sz w:val="24"/>
          <w:szCs w:val="24"/>
          <w:lang w:val="sr-Cyrl-CS"/>
        </w:rPr>
        <w:t xml:space="preserve">тварен вишак прихода над расходима није већи од 400.000 динара. </w:t>
      </w:r>
      <w:r w:rsidR="00B74D4E">
        <w:rPr>
          <w:rFonts w:ascii="Times New Roman" w:hAnsi="Times New Roman"/>
          <w:sz w:val="24"/>
          <w:szCs w:val="24"/>
          <w:lang w:val="sr-Cyrl-CS"/>
        </w:rPr>
        <w:t xml:space="preserve">Недобитне организације </w:t>
      </w:r>
      <w:r w:rsidR="00502628">
        <w:rPr>
          <w:rFonts w:ascii="Times New Roman" w:hAnsi="Times New Roman"/>
          <w:sz w:val="24"/>
          <w:szCs w:val="24"/>
          <w:lang w:val="sr-Cyrl-CS"/>
        </w:rPr>
        <w:t>представљају</w:t>
      </w:r>
      <w:r w:rsidR="00B74D4E">
        <w:rPr>
          <w:rFonts w:ascii="Times New Roman" w:hAnsi="Times New Roman"/>
          <w:sz w:val="24"/>
          <w:szCs w:val="24"/>
          <w:lang w:val="sr-Cyrl-CS"/>
        </w:rPr>
        <w:t xml:space="preserve"> „друга правна лица“ из члана 1. ст. 3. Закона о порезу на добит правних лица, </w:t>
      </w:r>
      <w:r w:rsidR="00502628">
        <w:rPr>
          <w:rFonts w:ascii="Times New Roman" w:hAnsi="Times New Roman"/>
          <w:sz w:val="24"/>
          <w:szCs w:val="24"/>
          <w:lang w:val="sr-Cyrl-CS"/>
        </w:rPr>
        <w:t>односно правна лица која</w:t>
      </w:r>
      <w:r w:rsidR="00B74D4E">
        <w:rPr>
          <w:rFonts w:ascii="Times New Roman" w:hAnsi="Times New Roman"/>
          <w:sz w:val="24"/>
          <w:szCs w:val="24"/>
          <w:lang w:val="sr-Cyrl-CS"/>
        </w:rPr>
        <w:t xml:space="preserve"> нису организована као привредно друштво, друштвено или јавно предузеће, нити задруга. </w:t>
      </w:r>
      <w:r w:rsidR="00502628">
        <w:rPr>
          <w:rFonts w:ascii="Times New Roman" w:hAnsi="Times New Roman"/>
          <w:sz w:val="24"/>
          <w:szCs w:val="24"/>
          <w:lang w:val="sr-Cyrl-CS"/>
        </w:rPr>
        <w:t>На пример то су</w:t>
      </w:r>
      <w:r w:rsidR="00B74D4E">
        <w:rPr>
          <w:rFonts w:ascii="Times New Roman" w:hAnsi="Times New Roman"/>
          <w:sz w:val="24"/>
          <w:szCs w:val="24"/>
          <w:lang w:val="sr-Cyrl-CS"/>
        </w:rPr>
        <w:t xml:space="preserve"> установе или удружења </w:t>
      </w:r>
      <w:r w:rsidR="008103BD">
        <w:rPr>
          <w:rFonts w:ascii="Times New Roman" w:hAnsi="Times New Roman"/>
          <w:sz w:val="24"/>
          <w:szCs w:val="24"/>
          <w:lang w:val="sr-Cyrl-CS"/>
        </w:rPr>
        <w:t>грађана, ако остварују приходе продајом производа на тр</w:t>
      </w:r>
      <w:r w:rsidR="00C04D50">
        <w:rPr>
          <w:rFonts w:ascii="Times New Roman" w:hAnsi="Times New Roman"/>
          <w:sz w:val="24"/>
          <w:szCs w:val="24"/>
          <w:lang w:val="sr-Cyrl-CS"/>
        </w:rPr>
        <w:t>жишту или вршењем услуга уз надо</w:t>
      </w:r>
      <w:r w:rsidR="008103BD">
        <w:rPr>
          <w:rFonts w:ascii="Times New Roman" w:hAnsi="Times New Roman"/>
          <w:sz w:val="24"/>
          <w:szCs w:val="24"/>
          <w:lang w:val="sr-Cyrl-CS"/>
        </w:rPr>
        <w:t>кнаду. Недобитна орг</w:t>
      </w:r>
      <w:r w:rsidR="00C04D50">
        <w:rPr>
          <w:rFonts w:ascii="Times New Roman" w:hAnsi="Times New Roman"/>
          <w:sz w:val="24"/>
          <w:szCs w:val="24"/>
          <w:lang w:val="sr-Cyrl-CS"/>
        </w:rPr>
        <w:t>а</w:t>
      </w:r>
      <w:r w:rsidR="008103BD">
        <w:rPr>
          <w:rFonts w:ascii="Times New Roman" w:hAnsi="Times New Roman"/>
          <w:sz w:val="24"/>
          <w:szCs w:val="24"/>
          <w:lang w:val="sr-Cyrl-CS"/>
        </w:rPr>
        <w:t xml:space="preserve">низација </w:t>
      </w:r>
      <w:r w:rsidR="00502628">
        <w:rPr>
          <w:rFonts w:ascii="Times New Roman" w:hAnsi="Times New Roman"/>
          <w:sz w:val="24"/>
          <w:szCs w:val="24"/>
          <w:lang w:val="sr-Cyrl-CS"/>
        </w:rPr>
        <w:t>је у обавези да</w:t>
      </w:r>
      <w:r w:rsidR="008103BD">
        <w:rPr>
          <w:rFonts w:ascii="Times New Roman" w:hAnsi="Times New Roman"/>
          <w:sz w:val="24"/>
          <w:szCs w:val="24"/>
          <w:lang w:val="sr-Cyrl-CS"/>
        </w:rPr>
        <w:t xml:space="preserve"> у пореском билансу посебно искаже приходе остварене на тржишту </w:t>
      </w:r>
      <w:r w:rsidR="00502628">
        <w:rPr>
          <w:rFonts w:ascii="Times New Roman" w:hAnsi="Times New Roman"/>
          <w:sz w:val="24"/>
          <w:szCs w:val="24"/>
          <w:lang w:val="sr-Cyrl-CS"/>
        </w:rPr>
        <w:t xml:space="preserve">као </w:t>
      </w:r>
      <w:r w:rsidR="008103BD">
        <w:rPr>
          <w:rFonts w:ascii="Times New Roman" w:hAnsi="Times New Roman"/>
          <w:sz w:val="24"/>
          <w:szCs w:val="24"/>
          <w:lang w:val="sr-Cyrl-CS"/>
        </w:rPr>
        <w:t>и са њима повезане расходе.</w:t>
      </w:r>
      <w:r w:rsidR="008103BD">
        <w:rPr>
          <w:rStyle w:val="FootnoteReference"/>
          <w:rFonts w:ascii="Times New Roman" w:hAnsi="Times New Roman"/>
          <w:sz w:val="24"/>
          <w:szCs w:val="24"/>
          <w:lang w:val="sr-Cyrl-CS"/>
        </w:rPr>
        <w:footnoteReference w:id="282"/>
      </w:r>
      <w:r w:rsidR="008103BD">
        <w:rPr>
          <w:rFonts w:ascii="Times New Roman" w:hAnsi="Times New Roman"/>
          <w:sz w:val="24"/>
          <w:szCs w:val="24"/>
          <w:lang w:val="sr-Cyrl-CS"/>
        </w:rPr>
        <w:t xml:space="preserve"> </w:t>
      </w:r>
      <w:r w:rsidR="008F709C" w:rsidRPr="008F709C">
        <w:rPr>
          <w:rFonts w:ascii="Times New Roman" w:hAnsi="Times New Roman"/>
          <w:color w:val="000000"/>
          <w:sz w:val="24"/>
          <w:szCs w:val="24"/>
          <w:shd w:val="clear" w:color="auto" w:fill="FFFFFF"/>
        </w:rPr>
        <w:t>Недобитна</w:t>
      </w:r>
      <w:r w:rsidR="008103BD" w:rsidRPr="008F709C">
        <w:rPr>
          <w:rFonts w:ascii="Times New Roman" w:hAnsi="Times New Roman"/>
          <w:color w:val="000000"/>
          <w:sz w:val="24"/>
          <w:szCs w:val="24"/>
          <w:shd w:val="clear" w:color="auto" w:fill="FFFFFF"/>
        </w:rPr>
        <w:t xml:space="preserve"> </w:t>
      </w:r>
      <w:r w:rsidR="008F709C" w:rsidRPr="008F709C">
        <w:rPr>
          <w:rFonts w:ascii="Times New Roman" w:hAnsi="Times New Roman"/>
          <w:color w:val="000000"/>
          <w:sz w:val="24"/>
          <w:szCs w:val="24"/>
          <w:shd w:val="clear" w:color="auto" w:fill="FFFFFF"/>
        </w:rPr>
        <w:t>организација</w:t>
      </w:r>
      <w:r w:rsidR="008103BD" w:rsidRPr="008F709C">
        <w:rPr>
          <w:rFonts w:ascii="Times New Roman" w:hAnsi="Times New Roman"/>
          <w:color w:val="000000"/>
          <w:sz w:val="24"/>
          <w:szCs w:val="24"/>
          <w:shd w:val="clear" w:color="auto" w:fill="FFFFFF"/>
        </w:rPr>
        <w:t xml:space="preserve"> </w:t>
      </w:r>
      <w:r w:rsidR="008F709C" w:rsidRPr="008F709C">
        <w:rPr>
          <w:rFonts w:ascii="Times New Roman" w:hAnsi="Times New Roman"/>
          <w:color w:val="000000"/>
          <w:sz w:val="24"/>
          <w:szCs w:val="24"/>
          <w:shd w:val="clear" w:color="auto" w:fill="FFFFFF"/>
        </w:rPr>
        <w:t>у</w:t>
      </w:r>
      <w:r w:rsidR="008103BD" w:rsidRPr="008F709C">
        <w:rPr>
          <w:rFonts w:ascii="Times New Roman" w:hAnsi="Times New Roman"/>
          <w:color w:val="000000"/>
          <w:sz w:val="24"/>
          <w:szCs w:val="24"/>
          <w:shd w:val="clear" w:color="auto" w:fill="FFFFFF"/>
        </w:rPr>
        <w:t xml:space="preserve"> </w:t>
      </w:r>
      <w:r w:rsidR="008F709C" w:rsidRPr="008F709C">
        <w:rPr>
          <w:rFonts w:ascii="Times New Roman" w:hAnsi="Times New Roman"/>
          <w:color w:val="000000"/>
          <w:sz w:val="24"/>
          <w:szCs w:val="24"/>
          <w:shd w:val="clear" w:color="auto" w:fill="FFFFFF"/>
        </w:rPr>
        <w:t>смислу</w:t>
      </w:r>
      <w:r w:rsidR="008103BD" w:rsidRPr="008F709C">
        <w:rPr>
          <w:rFonts w:ascii="Times New Roman" w:hAnsi="Times New Roman"/>
          <w:color w:val="000000"/>
          <w:sz w:val="24"/>
          <w:szCs w:val="24"/>
          <w:shd w:val="clear" w:color="auto" w:fill="FFFFFF"/>
        </w:rPr>
        <w:t xml:space="preserve"> </w:t>
      </w:r>
      <w:r w:rsidR="008F709C" w:rsidRPr="008F709C">
        <w:rPr>
          <w:rFonts w:ascii="Times New Roman" w:hAnsi="Times New Roman"/>
          <w:color w:val="000000"/>
          <w:sz w:val="24"/>
          <w:szCs w:val="24"/>
          <w:shd w:val="clear" w:color="auto" w:fill="FFFFFF"/>
        </w:rPr>
        <w:t>овог</w:t>
      </w:r>
      <w:r w:rsidR="008103BD" w:rsidRPr="008F709C">
        <w:rPr>
          <w:rFonts w:ascii="Times New Roman" w:hAnsi="Times New Roman"/>
          <w:color w:val="000000"/>
          <w:sz w:val="24"/>
          <w:szCs w:val="24"/>
          <w:shd w:val="clear" w:color="auto" w:fill="FFFFFF"/>
        </w:rPr>
        <w:t xml:space="preserve"> </w:t>
      </w:r>
      <w:r w:rsidR="008F709C" w:rsidRPr="008F709C">
        <w:rPr>
          <w:rFonts w:ascii="Times New Roman" w:hAnsi="Times New Roman"/>
          <w:color w:val="000000"/>
          <w:sz w:val="24"/>
          <w:szCs w:val="24"/>
          <w:shd w:val="clear" w:color="auto" w:fill="FFFFFF"/>
        </w:rPr>
        <w:t>закона</w:t>
      </w:r>
      <w:r w:rsidR="008103BD" w:rsidRPr="008F709C">
        <w:rPr>
          <w:rFonts w:ascii="Times New Roman" w:hAnsi="Times New Roman"/>
          <w:color w:val="000000"/>
          <w:sz w:val="24"/>
          <w:szCs w:val="24"/>
          <w:shd w:val="clear" w:color="auto" w:fill="FFFFFF"/>
        </w:rPr>
        <w:t xml:space="preserve"> </w:t>
      </w:r>
      <w:r w:rsidR="008F709C" w:rsidRPr="008F709C">
        <w:rPr>
          <w:rFonts w:ascii="Times New Roman" w:hAnsi="Times New Roman"/>
          <w:color w:val="000000"/>
          <w:sz w:val="24"/>
          <w:szCs w:val="24"/>
          <w:shd w:val="clear" w:color="auto" w:fill="FFFFFF"/>
        </w:rPr>
        <w:t>је</w:t>
      </w:r>
      <w:r w:rsidR="008103BD" w:rsidRPr="008F709C">
        <w:rPr>
          <w:rFonts w:ascii="Times New Roman" w:hAnsi="Times New Roman"/>
          <w:color w:val="000000"/>
          <w:sz w:val="24"/>
          <w:szCs w:val="24"/>
          <w:shd w:val="clear" w:color="auto" w:fill="FFFFFF"/>
        </w:rPr>
        <w:t xml:space="preserve"> </w:t>
      </w:r>
      <w:r w:rsidR="008F709C" w:rsidRPr="008F709C">
        <w:rPr>
          <w:rFonts w:ascii="Times New Roman" w:hAnsi="Times New Roman"/>
          <w:color w:val="000000"/>
          <w:sz w:val="24"/>
          <w:szCs w:val="24"/>
          <w:shd w:val="clear" w:color="auto" w:fill="FFFFFF"/>
        </w:rPr>
        <w:t>правно</w:t>
      </w:r>
      <w:r w:rsidR="008103BD" w:rsidRPr="008F709C">
        <w:rPr>
          <w:rFonts w:ascii="Times New Roman" w:hAnsi="Times New Roman"/>
          <w:color w:val="000000"/>
          <w:sz w:val="24"/>
          <w:szCs w:val="24"/>
          <w:shd w:val="clear" w:color="auto" w:fill="FFFFFF"/>
        </w:rPr>
        <w:t xml:space="preserve"> </w:t>
      </w:r>
      <w:r w:rsidR="008F709C" w:rsidRPr="008F709C">
        <w:rPr>
          <w:rFonts w:ascii="Times New Roman" w:hAnsi="Times New Roman"/>
          <w:color w:val="000000"/>
          <w:sz w:val="24"/>
          <w:szCs w:val="24"/>
          <w:shd w:val="clear" w:color="auto" w:fill="FFFFFF"/>
        </w:rPr>
        <w:t>лице</w:t>
      </w:r>
      <w:r w:rsidR="008103BD" w:rsidRPr="008F709C">
        <w:rPr>
          <w:rFonts w:ascii="Times New Roman" w:hAnsi="Times New Roman"/>
          <w:color w:val="000000"/>
          <w:sz w:val="24"/>
          <w:szCs w:val="24"/>
          <w:shd w:val="clear" w:color="auto" w:fill="FFFFFF"/>
        </w:rPr>
        <w:t xml:space="preserve"> </w:t>
      </w:r>
      <w:r w:rsidR="008F709C" w:rsidRPr="008F709C">
        <w:rPr>
          <w:rFonts w:ascii="Times New Roman" w:hAnsi="Times New Roman"/>
          <w:color w:val="000000"/>
          <w:sz w:val="24"/>
          <w:szCs w:val="24"/>
          <w:shd w:val="clear" w:color="auto" w:fill="FFFFFF"/>
        </w:rPr>
        <w:t>које</w:t>
      </w:r>
      <w:r w:rsidR="008103BD" w:rsidRPr="008F709C">
        <w:rPr>
          <w:rFonts w:ascii="Times New Roman" w:hAnsi="Times New Roman"/>
          <w:color w:val="000000"/>
          <w:sz w:val="24"/>
          <w:szCs w:val="24"/>
          <w:shd w:val="clear" w:color="auto" w:fill="FFFFFF"/>
        </w:rPr>
        <w:t xml:space="preserve"> </w:t>
      </w:r>
      <w:r w:rsidR="008F709C" w:rsidRPr="008F709C">
        <w:rPr>
          <w:rFonts w:ascii="Times New Roman" w:hAnsi="Times New Roman"/>
          <w:color w:val="000000"/>
          <w:sz w:val="24"/>
          <w:szCs w:val="24"/>
          <w:shd w:val="clear" w:color="auto" w:fill="FFFFFF"/>
        </w:rPr>
        <w:t>није</w:t>
      </w:r>
      <w:r w:rsidR="008103BD" w:rsidRPr="008F709C">
        <w:rPr>
          <w:rFonts w:ascii="Times New Roman" w:hAnsi="Times New Roman"/>
          <w:color w:val="000000"/>
          <w:sz w:val="24"/>
          <w:szCs w:val="24"/>
          <w:shd w:val="clear" w:color="auto" w:fill="FFFFFF"/>
        </w:rPr>
        <w:t xml:space="preserve"> </w:t>
      </w:r>
      <w:r w:rsidR="008F709C" w:rsidRPr="008F709C">
        <w:rPr>
          <w:rFonts w:ascii="Times New Roman" w:hAnsi="Times New Roman"/>
          <w:color w:val="000000"/>
          <w:sz w:val="24"/>
          <w:szCs w:val="24"/>
          <w:shd w:val="clear" w:color="auto" w:fill="FFFFFF"/>
        </w:rPr>
        <w:t>основано</w:t>
      </w:r>
      <w:r w:rsidR="008103BD" w:rsidRPr="008F709C">
        <w:rPr>
          <w:rFonts w:ascii="Times New Roman" w:hAnsi="Times New Roman"/>
          <w:color w:val="000000"/>
          <w:sz w:val="24"/>
          <w:szCs w:val="24"/>
          <w:shd w:val="clear" w:color="auto" w:fill="FFFFFF"/>
        </w:rPr>
        <w:t xml:space="preserve"> </w:t>
      </w:r>
      <w:r w:rsidR="008F709C" w:rsidRPr="008F709C">
        <w:rPr>
          <w:rFonts w:ascii="Times New Roman" w:hAnsi="Times New Roman"/>
          <w:color w:val="000000"/>
          <w:sz w:val="24"/>
          <w:szCs w:val="24"/>
          <w:shd w:val="clear" w:color="auto" w:fill="FFFFFF"/>
        </w:rPr>
        <w:t>ради</w:t>
      </w:r>
      <w:r w:rsidR="008103BD" w:rsidRPr="008F709C">
        <w:rPr>
          <w:rFonts w:ascii="Times New Roman" w:hAnsi="Times New Roman"/>
          <w:color w:val="000000"/>
          <w:sz w:val="24"/>
          <w:szCs w:val="24"/>
          <w:shd w:val="clear" w:color="auto" w:fill="FFFFFF"/>
        </w:rPr>
        <w:t xml:space="preserve"> </w:t>
      </w:r>
      <w:r w:rsidR="008F709C" w:rsidRPr="008F709C">
        <w:rPr>
          <w:rFonts w:ascii="Times New Roman" w:hAnsi="Times New Roman"/>
          <w:color w:val="000000"/>
          <w:sz w:val="24"/>
          <w:szCs w:val="24"/>
          <w:shd w:val="clear" w:color="auto" w:fill="FFFFFF"/>
        </w:rPr>
        <w:t>остваривања</w:t>
      </w:r>
      <w:r w:rsidR="008103BD" w:rsidRPr="008F709C">
        <w:rPr>
          <w:rFonts w:ascii="Times New Roman" w:hAnsi="Times New Roman"/>
          <w:color w:val="000000"/>
          <w:sz w:val="24"/>
          <w:szCs w:val="24"/>
          <w:shd w:val="clear" w:color="auto" w:fill="FFFFFF"/>
        </w:rPr>
        <w:t xml:space="preserve"> </w:t>
      </w:r>
      <w:r w:rsidR="008F709C" w:rsidRPr="008F709C">
        <w:rPr>
          <w:rFonts w:ascii="Times New Roman" w:hAnsi="Times New Roman"/>
          <w:color w:val="000000"/>
          <w:sz w:val="24"/>
          <w:szCs w:val="24"/>
          <w:shd w:val="clear" w:color="auto" w:fill="FFFFFF"/>
        </w:rPr>
        <w:t>добити</w:t>
      </w:r>
      <w:r w:rsidR="008103BD" w:rsidRPr="008F709C">
        <w:rPr>
          <w:rFonts w:ascii="Times New Roman" w:hAnsi="Times New Roman"/>
          <w:color w:val="000000"/>
          <w:sz w:val="24"/>
          <w:szCs w:val="24"/>
          <w:shd w:val="clear" w:color="auto" w:fill="FFFFFF"/>
        </w:rPr>
        <w:t xml:space="preserve">, </w:t>
      </w:r>
      <w:r w:rsidR="008F709C" w:rsidRPr="008F709C">
        <w:rPr>
          <w:rFonts w:ascii="Times New Roman" w:hAnsi="Times New Roman"/>
          <w:color w:val="000000"/>
          <w:sz w:val="24"/>
          <w:szCs w:val="24"/>
          <w:shd w:val="clear" w:color="auto" w:fill="FFFFFF"/>
        </w:rPr>
        <w:t>већ</w:t>
      </w:r>
      <w:r w:rsidR="008103BD" w:rsidRPr="008F709C">
        <w:rPr>
          <w:rFonts w:ascii="Times New Roman" w:hAnsi="Times New Roman"/>
          <w:color w:val="000000"/>
          <w:sz w:val="24"/>
          <w:szCs w:val="24"/>
          <w:shd w:val="clear" w:color="auto" w:fill="FFFFFF"/>
        </w:rPr>
        <w:t xml:space="preserve"> </w:t>
      </w:r>
      <w:r w:rsidR="008F709C" w:rsidRPr="008F709C">
        <w:rPr>
          <w:rFonts w:ascii="Times New Roman" w:hAnsi="Times New Roman"/>
          <w:color w:val="000000"/>
          <w:sz w:val="24"/>
          <w:szCs w:val="24"/>
          <w:shd w:val="clear" w:color="auto" w:fill="FFFFFF"/>
        </w:rPr>
        <w:t>је</w:t>
      </w:r>
      <w:r w:rsidR="008103BD" w:rsidRPr="008F709C">
        <w:rPr>
          <w:rFonts w:ascii="Times New Roman" w:hAnsi="Times New Roman"/>
          <w:color w:val="000000"/>
          <w:sz w:val="24"/>
          <w:szCs w:val="24"/>
          <w:shd w:val="clear" w:color="auto" w:fill="FFFFFF"/>
        </w:rPr>
        <w:t xml:space="preserve"> </w:t>
      </w:r>
      <w:r w:rsidR="008F709C" w:rsidRPr="008F709C">
        <w:rPr>
          <w:rFonts w:ascii="Times New Roman" w:hAnsi="Times New Roman"/>
          <w:color w:val="000000"/>
          <w:sz w:val="24"/>
          <w:szCs w:val="24"/>
          <w:shd w:val="clear" w:color="auto" w:fill="FFFFFF"/>
        </w:rPr>
        <w:t>у</w:t>
      </w:r>
      <w:r w:rsidR="008103BD" w:rsidRPr="008F709C">
        <w:rPr>
          <w:rFonts w:ascii="Times New Roman" w:hAnsi="Times New Roman"/>
          <w:color w:val="000000"/>
          <w:sz w:val="24"/>
          <w:szCs w:val="24"/>
          <w:shd w:val="clear" w:color="auto" w:fill="FFFFFF"/>
        </w:rPr>
        <w:t xml:space="preserve"> </w:t>
      </w:r>
      <w:r w:rsidR="008F709C" w:rsidRPr="008F709C">
        <w:rPr>
          <w:rFonts w:ascii="Times New Roman" w:hAnsi="Times New Roman"/>
          <w:color w:val="000000"/>
          <w:sz w:val="24"/>
          <w:szCs w:val="24"/>
          <w:shd w:val="clear" w:color="auto" w:fill="FFFFFF"/>
        </w:rPr>
        <w:t>складу</w:t>
      </w:r>
      <w:r w:rsidR="008103BD" w:rsidRPr="008F709C">
        <w:rPr>
          <w:rFonts w:ascii="Times New Roman" w:hAnsi="Times New Roman"/>
          <w:color w:val="000000"/>
          <w:sz w:val="24"/>
          <w:szCs w:val="24"/>
          <w:shd w:val="clear" w:color="auto" w:fill="FFFFFF"/>
        </w:rPr>
        <w:t xml:space="preserve"> </w:t>
      </w:r>
      <w:r w:rsidR="008F709C" w:rsidRPr="008F709C">
        <w:rPr>
          <w:rFonts w:ascii="Times New Roman" w:hAnsi="Times New Roman"/>
          <w:color w:val="000000"/>
          <w:sz w:val="24"/>
          <w:szCs w:val="24"/>
          <w:shd w:val="clear" w:color="auto" w:fill="FFFFFF"/>
        </w:rPr>
        <w:t>са</w:t>
      </w:r>
      <w:r w:rsidR="008103BD" w:rsidRPr="008F709C">
        <w:rPr>
          <w:rFonts w:ascii="Times New Roman" w:hAnsi="Times New Roman"/>
          <w:color w:val="000000"/>
          <w:sz w:val="24"/>
          <w:szCs w:val="24"/>
          <w:shd w:val="clear" w:color="auto" w:fill="FFFFFF"/>
        </w:rPr>
        <w:t xml:space="preserve"> </w:t>
      </w:r>
      <w:r w:rsidR="008F709C" w:rsidRPr="008F709C">
        <w:rPr>
          <w:rFonts w:ascii="Times New Roman" w:hAnsi="Times New Roman"/>
          <w:color w:val="000000"/>
          <w:sz w:val="24"/>
          <w:szCs w:val="24"/>
          <w:shd w:val="clear" w:color="auto" w:fill="FFFFFF"/>
        </w:rPr>
        <w:t>законом</w:t>
      </w:r>
      <w:r w:rsidR="008103BD" w:rsidRPr="008F709C">
        <w:rPr>
          <w:rFonts w:ascii="Times New Roman" w:hAnsi="Times New Roman"/>
          <w:color w:val="000000"/>
          <w:sz w:val="24"/>
          <w:szCs w:val="24"/>
          <w:shd w:val="clear" w:color="auto" w:fill="FFFFFF"/>
        </w:rPr>
        <w:t xml:space="preserve"> </w:t>
      </w:r>
      <w:r w:rsidR="008F709C" w:rsidRPr="008F709C">
        <w:rPr>
          <w:rFonts w:ascii="Times New Roman" w:hAnsi="Times New Roman"/>
          <w:color w:val="000000"/>
          <w:sz w:val="24"/>
          <w:szCs w:val="24"/>
          <w:shd w:val="clear" w:color="auto" w:fill="FFFFFF"/>
        </w:rPr>
        <w:t>основано</w:t>
      </w:r>
      <w:r w:rsidR="008103BD" w:rsidRPr="008F709C">
        <w:rPr>
          <w:rFonts w:ascii="Times New Roman" w:hAnsi="Times New Roman"/>
          <w:color w:val="000000"/>
          <w:sz w:val="24"/>
          <w:szCs w:val="24"/>
          <w:shd w:val="clear" w:color="auto" w:fill="FFFFFF"/>
        </w:rPr>
        <w:t xml:space="preserve"> </w:t>
      </w:r>
      <w:r w:rsidR="008F709C" w:rsidRPr="008F709C">
        <w:rPr>
          <w:rFonts w:ascii="Times New Roman" w:hAnsi="Times New Roman"/>
          <w:color w:val="000000"/>
          <w:sz w:val="24"/>
          <w:szCs w:val="24"/>
          <w:shd w:val="clear" w:color="auto" w:fill="FFFFFF"/>
        </w:rPr>
        <w:t>ради</w:t>
      </w:r>
      <w:r w:rsidR="008103BD" w:rsidRPr="008F709C">
        <w:rPr>
          <w:rFonts w:ascii="Times New Roman" w:hAnsi="Times New Roman"/>
          <w:color w:val="000000"/>
          <w:sz w:val="24"/>
          <w:szCs w:val="24"/>
          <w:shd w:val="clear" w:color="auto" w:fill="FFFFFF"/>
        </w:rPr>
        <w:t xml:space="preserve"> </w:t>
      </w:r>
      <w:r w:rsidR="008F709C" w:rsidRPr="008F709C">
        <w:rPr>
          <w:rFonts w:ascii="Times New Roman" w:hAnsi="Times New Roman"/>
          <w:color w:val="000000"/>
          <w:sz w:val="24"/>
          <w:szCs w:val="24"/>
          <w:shd w:val="clear" w:color="auto" w:fill="FFFFFF"/>
        </w:rPr>
        <w:t>постизања</w:t>
      </w:r>
      <w:r w:rsidR="008103BD" w:rsidRPr="008F709C">
        <w:rPr>
          <w:rFonts w:ascii="Times New Roman" w:hAnsi="Times New Roman"/>
          <w:color w:val="000000"/>
          <w:sz w:val="24"/>
          <w:szCs w:val="24"/>
          <w:shd w:val="clear" w:color="auto" w:fill="FFFFFF"/>
        </w:rPr>
        <w:t xml:space="preserve"> </w:t>
      </w:r>
      <w:r w:rsidR="008F709C" w:rsidRPr="008F709C">
        <w:rPr>
          <w:rFonts w:ascii="Times New Roman" w:hAnsi="Times New Roman"/>
          <w:color w:val="000000"/>
          <w:sz w:val="24"/>
          <w:szCs w:val="24"/>
          <w:shd w:val="clear" w:color="auto" w:fill="FFFFFF"/>
        </w:rPr>
        <w:t>других</w:t>
      </w:r>
      <w:r w:rsidR="008103BD" w:rsidRPr="008F709C">
        <w:rPr>
          <w:rFonts w:ascii="Times New Roman" w:hAnsi="Times New Roman"/>
          <w:color w:val="000000"/>
          <w:sz w:val="24"/>
          <w:szCs w:val="24"/>
          <w:shd w:val="clear" w:color="auto" w:fill="FFFFFF"/>
        </w:rPr>
        <w:t xml:space="preserve"> </w:t>
      </w:r>
      <w:r w:rsidR="008F709C" w:rsidRPr="008F709C">
        <w:rPr>
          <w:rFonts w:ascii="Times New Roman" w:hAnsi="Times New Roman"/>
          <w:color w:val="000000"/>
          <w:sz w:val="24"/>
          <w:szCs w:val="24"/>
          <w:shd w:val="clear" w:color="auto" w:fill="FFFFFF"/>
        </w:rPr>
        <w:t>циљева</w:t>
      </w:r>
      <w:r w:rsidR="008103BD" w:rsidRPr="008F709C">
        <w:rPr>
          <w:rFonts w:ascii="Times New Roman" w:hAnsi="Times New Roman"/>
          <w:color w:val="000000"/>
          <w:sz w:val="24"/>
          <w:szCs w:val="24"/>
          <w:shd w:val="clear" w:color="auto" w:fill="FFFFFF"/>
        </w:rPr>
        <w:t xml:space="preserve"> </w:t>
      </w:r>
      <w:r w:rsidR="008F709C" w:rsidRPr="008F709C">
        <w:rPr>
          <w:rFonts w:ascii="Times New Roman" w:hAnsi="Times New Roman"/>
          <w:color w:val="000000"/>
          <w:sz w:val="24"/>
          <w:szCs w:val="24"/>
          <w:shd w:val="clear" w:color="auto" w:fill="FFFFFF"/>
        </w:rPr>
        <w:t>утврђених</w:t>
      </w:r>
      <w:r w:rsidR="008103BD" w:rsidRPr="008F709C">
        <w:rPr>
          <w:rFonts w:ascii="Times New Roman" w:hAnsi="Times New Roman"/>
          <w:color w:val="000000"/>
          <w:sz w:val="24"/>
          <w:szCs w:val="24"/>
          <w:shd w:val="clear" w:color="auto" w:fill="FFFFFF"/>
        </w:rPr>
        <w:t xml:space="preserve"> </w:t>
      </w:r>
      <w:r w:rsidR="008F709C" w:rsidRPr="008F709C">
        <w:rPr>
          <w:rFonts w:ascii="Times New Roman" w:hAnsi="Times New Roman"/>
          <w:color w:val="000000"/>
          <w:sz w:val="24"/>
          <w:szCs w:val="24"/>
          <w:shd w:val="clear" w:color="auto" w:fill="FFFFFF"/>
        </w:rPr>
        <w:t>у</w:t>
      </w:r>
      <w:r w:rsidR="008103BD" w:rsidRPr="008F709C">
        <w:rPr>
          <w:rFonts w:ascii="Times New Roman" w:hAnsi="Times New Roman"/>
          <w:color w:val="000000"/>
          <w:sz w:val="24"/>
          <w:szCs w:val="24"/>
          <w:shd w:val="clear" w:color="auto" w:fill="FFFFFF"/>
        </w:rPr>
        <w:t xml:space="preserve"> </w:t>
      </w:r>
      <w:r w:rsidR="008F709C" w:rsidRPr="008F709C">
        <w:rPr>
          <w:rFonts w:ascii="Times New Roman" w:hAnsi="Times New Roman"/>
          <w:color w:val="000000"/>
          <w:sz w:val="24"/>
          <w:szCs w:val="24"/>
          <w:shd w:val="clear" w:color="auto" w:fill="FFFFFF"/>
        </w:rPr>
        <w:t>његовим</w:t>
      </w:r>
      <w:r w:rsidR="008103BD" w:rsidRPr="008F709C">
        <w:rPr>
          <w:rFonts w:ascii="Times New Roman" w:hAnsi="Times New Roman"/>
          <w:color w:val="000000"/>
          <w:sz w:val="24"/>
          <w:szCs w:val="24"/>
          <w:shd w:val="clear" w:color="auto" w:fill="FFFFFF"/>
        </w:rPr>
        <w:t xml:space="preserve"> </w:t>
      </w:r>
      <w:r w:rsidR="008F709C" w:rsidRPr="008F709C">
        <w:rPr>
          <w:rFonts w:ascii="Times New Roman" w:hAnsi="Times New Roman"/>
          <w:color w:val="000000"/>
          <w:sz w:val="24"/>
          <w:szCs w:val="24"/>
          <w:shd w:val="clear" w:color="auto" w:fill="FFFFFF"/>
        </w:rPr>
        <w:t>општим</w:t>
      </w:r>
      <w:r w:rsidR="008103BD" w:rsidRPr="008F709C">
        <w:rPr>
          <w:rFonts w:ascii="Times New Roman" w:hAnsi="Times New Roman"/>
          <w:color w:val="000000"/>
          <w:sz w:val="24"/>
          <w:szCs w:val="24"/>
          <w:shd w:val="clear" w:color="auto" w:fill="FFFFFF"/>
        </w:rPr>
        <w:t xml:space="preserve"> </w:t>
      </w:r>
      <w:r w:rsidR="008F709C" w:rsidRPr="008F709C">
        <w:rPr>
          <w:rFonts w:ascii="Times New Roman" w:hAnsi="Times New Roman"/>
          <w:color w:val="000000"/>
          <w:sz w:val="24"/>
          <w:szCs w:val="24"/>
          <w:shd w:val="clear" w:color="auto" w:fill="FFFFFF"/>
        </w:rPr>
        <w:t>актима</w:t>
      </w:r>
      <w:r w:rsidR="008103BD" w:rsidRPr="008F709C">
        <w:rPr>
          <w:rFonts w:ascii="Times New Roman" w:hAnsi="Times New Roman"/>
          <w:color w:val="000000"/>
          <w:sz w:val="24"/>
          <w:szCs w:val="24"/>
          <w:shd w:val="clear" w:color="auto" w:fill="FFFFFF"/>
        </w:rPr>
        <w:t>.</w:t>
      </w:r>
      <w:r w:rsidR="008103BD" w:rsidRPr="008F709C">
        <w:rPr>
          <w:rFonts w:ascii="Times New Roman" w:hAnsi="Times New Roman"/>
          <w:color w:val="000000"/>
          <w:sz w:val="24"/>
          <w:szCs w:val="24"/>
          <w:shd w:val="clear" w:color="auto" w:fill="FFFFFF"/>
          <w:lang w:val="sr-Cyrl-CS"/>
        </w:rPr>
        <w:t xml:space="preserve"> </w:t>
      </w:r>
      <w:r w:rsidR="008103BD" w:rsidRPr="008F709C">
        <w:rPr>
          <w:rFonts w:ascii="Times New Roman" w:hAnsi="Times New Roman"/>
          <w:sz w:val="24"/>
          <w:szCs w:val="24"/>
          <w:lang w:val="sr-Cyrl-CS"/>
        </w:rPr>
        <w:t>Услови да недобитна орг</w:t>
      </w:r>
      <w:r w:rsidR="00C04D50">
        <w:rPr>
          <w:rFonts w:ascii="Times New Roman" w:hAnsi="Times New Roman"/>
          <w:sz w:val="24"/>
          <w:szCs w:val="24"/>
          <w:lang w:val="sr-Cyrl-CS"/>
        </w:rPr>
        <w:t>анизација оствари о</w:t>
      </w:r>
      <w:r w:rsidR="008103BD" w:rsidRPr="008F709C">
        <w:rPr>
          <w:rFonts w:ascii="Times New Roman" w:hAnsi="Times New Roman"/>
          <w:sz w:val="24"/>
          <w:szCs w:val="24"/>
          <w:lang w:val="sr-Cyrl-CS"/>
        </w:rPr>
        <w:t>ву пореску олакшицу су да:</w:t>
      </w:r>
    </w:p>
    <w:p w:rsidR="008103BD" w:rsidRDefault="00E52825" w:rsidP="00E52825">
      <w:pPr>
        <w:pStyle w:val="normal0"/>
        <w:shd w:val="clear" w:color="auto" w:fill="FFFFFF"/>
        <w:spacing w:before="48" w:beforeAutospacing="0" w:after="48" w:afterAutospacing="0"/>
        <w:jc w:val="both"/>
        <w:rPr>
          <w:color w:val="000000"/>
          <w:lang w:val="sr-Cyrl-CS"/>
        </w:rPr>
      </w:pPr>
      <w:r>
        <w:rPr>
          <w:color w:val="000000"/>
          <w:lang w:val="sr-Cyrl-CS"/>
        </w:rPr>
        <w:lastRenderedPageBreak/>
        <w:t>1)</w:t>
      </w:r>
      <w:r w:rsidR="008F709C" w:rsidRPr="008F709C">
        <w:rPr>
          <w:color w:val="000000"/>
        </w:rPr>
        <w:t>не</w:t>
      </w:r>
      <w:r w:rsidR="008103BD" w:rsidRPr="008F709C">
        <w:rPr>
          <w:color w:val="000000"/>
        </w:rPr>
        <w:t xml:space="preserve"> </w:t>
      </w:r>
      <w:r w:rsidR="008F709C" w:rsidRPr="008F709C">
        <w:rPr>
          <w:color w:val="000000"/>
        </w:rPr>
        <w:t>расподељује</w:t>
      </w:r>
      <w:r w:rsidR="008103BD" w:rsidRPr="008F709C">
        <w:rPr>
          <w:color w:val="000000"/>
        </w:rPr>
        <w:t xml:space="preserve"> </w:t>
      </w:r>
      <w:r w:rsidR="008F709C" w:rsidRPr="008F709C">
        <w:rPr>
          <w:color w:val="000000"/>
        </w:rPr>
        <w:t>остварени</w:t>
      </w:r>
      <w:r w:rsidR="008103BD" w:rsidRPr="008F709C">
        <w:rPr>
          <w:color w:val="000000"/>
        </w:rPr>
        <w:t xml:space="preserve"> </w:t>
      </w:r>
      <w:r w:rsidR="008F709C" w:rsidRPr="008F709C">
        <w:rPr>
          <w:color w:val="000000"/>
        </w:rPr>
        <w:t>вишак</w:t>
      </w:r>
      <w:r w:rsidR="008103BD" w:rsidRPr="008F709C">
        <w:rPr>
          <w:color w:val="000000"/>
        </w:rPr>
        <w:t xml:space="preserve"> </w:t>
      </w:r>
      <w:r w:rsidR="008F709C" w:rsidRPr="008F709C">
        <w:rPr>
          <w:color w:val="000000"/>
        </w:rPr>
        <w:t>својим</w:t>
      </w:r>
      <w:r w:rsidR="008103BD" w:rsidRPr="008F709C">
        <w:rPr>
          <w:color w:val="000000"/>
        </w:rPr>
        <w:t xml:space="preserve"> </w:t>
      </w:r>
      <w:r w:rsidR="008F709C" w:rsidRPr="008F709C">
        <w:rPr>
          <w:color w:val="000000"/>
        </w:rPr>
        <w:t>оснивачима</w:t>
      </w:r>
      <w:r w:rsidR="008103BD" w:rsidRPr="008F709C">
        <w:rPr>
          <w:color w:val="000000"/>
        </w:rPr>
        <w:t xml:space="preserve">, </w:t>
      </w:r>
      <w:r w:rsidR="008F709C" w:rsidRPr="008F709C">
        <w:rPr>
          <w:color w:val="000000"/>
        </w:rPr>
        <w:t>члановима</w:t>
      </w:r>
      <w:r w:rsidR="008103BD" w:rsidRPr="008F709C">
        <w:rPr>
          <w:color w:val="000000"/>
        </w:rPr>
        <w:t xml:space="preserve">, </w:t>
      </w:r>
      <w:r w:rsidR="008F709C" w:rsidRPr="008F709C">
        <w:rPr>
          <w:color w:val="000000"/>
        </w:rPr>
        <w:t>директорима</w:t>
      </w:r>
      <w:r w:rsidR="008103BD" w:rsidRPr="008F709C">
        <w:rPr>
          <w:color w:val="000000"/>
        </w:rPr>
        <w:t xml:space="preserve">, </w:t>
      </w:r>
      <w:r w:rsidR="008F709C" w:rsidRPr="008F709C">
        <w:rPr>
          <w:color w:val="000000"/>
        </w:rPr>
        <w:t>запосленима</w:t>
      </w:r>
      <w:r w:rsidR="008103BD" w:rsidRPr="008F709C">
        <w:rPr>
          <w:color w:val="000000"/>
        </w:rPr>
        <w:t xml:space="preserve"> </w:t>
      </w:r>
      <w:r w:rsidR="008F709C" w:rsidRPr="008F709C">
        <w:rPr>
          <w:color w:val="000000"/>
        </w:rPr>
        <w:t>или</w:t>
      </w:r>
      <w:r w:rsidR="008103BD" w:rsidRPr="008F709C">
        <w:rPr>
          <w:color w:val="000000"/>
        </w:rPr>
        <w:t xml:space="preserve"> </w:t>
      </w:r>
      <w:r w:rsidR="008F709C" w:rsidRPr="008F709C">
        <w:rPr>
          <w:color w:val="000000"/>
        </w:rPr>
        <w:t>са</w:t>
      </w:r>
      <w:r w:rsidR="008103BD" w:rsidRPr="008F709C">
        <w:rPr>
          <w:color w:val="000000"/>
        </w:rPr>
        <w:t xml:space="preserve"> </w:t>
      </w:r>
      <w:r w:rsidR="008F709C" w:rsidRPr="008F709C">
        <w:rPr>
          <w:color w:val="000000"/>
        </w:rPr>
        <w:t>њима</w:t>
      </w:r>
      <w:r w:rsidR="008103BD" w:rsidRPr="008F709C">
        <w:rPr>
          <w:color w:val="000000"/>
        </w:rPr>
        <w:t xml:space="preserve"> </w:t>
      </w:r>
      <w:r w:rsidR="008F709C" w:rsidRPr="008F709C">
        <w:rPr>
          <w:color w:val="000000"/>
        </w:rPr>
        <w:t>повезаним</w:t>
      </w:r>
      <w:r w:rsidR="008103BD" w:rsidRPr="008F709C">
        <w:rPr>
          <w:color w:val="000000"/>
        </w:rPr>
        <w:t xml:space="preserve"> </w:t>
      </w:r>
      <w:r w:rsidR="008F709C" w:rsidRPr="008F709C">
        <w:rPr>
          <w:color w:val="000000"/>
        </w:rPr>
        <w:t>лицима</w:t>
      </w:r>
      <w:r w:rsidR="008103BD" w:rsidRPr="008F709C">
        <w:rPr>
          <w:color w:val="000000"/>
        </w:rPr>
        <w:t>;</w:t>
      </w:r>
    </w:p>
    <w:p w:rsidR="00E52825" w:rsidRPr="00E52825" w:rsidRDefault="00E52825" w:rsidP="00E52825">
      <w:pPr>
        <w:pStyle w:val="normal0"/>
        <w:shd w:val="clear" w:color="auto" w:fill="FFFFFF"/>
        <w:spacing w:before="48" w:beforeAutospacing="0" w:after="48" w:afterAutospacing="0"/>
        <w:ind w:left="720"/>
        <w:jc w:val="both"/>
        <w:rPr>
          <w:color w:val="000000"/>
          <w:lang w:val="sr-Cyrl-CS"/>
        </w:rPr>
      </w:pPr>
    </w:p>
    <w:p w:rsidR="008103BD" w:rsidRDefault="00E52825" w:rsidP="00E52825">
      <w:pPr>
        <w:pStyle w:val="normal0"/>
        <w:shd w:val="clear" w:color="auto" w:fill="FFFFFF"/>
        <w:spacing w:before="48" w:beforeAutospacing="0" w:after="48" w:afterAutospacing="0"/>
        <w:jc w:val="both"/>
        <w:rPr>
          <w:color w:val="000000"/>
          <w:lang w:val="sr-Cyrl-CS"/>
        </w:rPr>
      </w:pPr>
      <w:r>
        <w:rPr>
          <w:color w:val="000000"/>
          <w:lang w:val="sr-Cyrl-CS"/>
        </w:rPr>
        <w:t>2)</w:t>
      </w:r>
      <w:r w:rsidR="008F709C" w:rsidRPr="008F709C">
        <w:rPr>
          <w:color w:val="000000"/>
        </w:rPr>
        <w:t>годишњи</w:t>
      </w:r>
      <w:r w:rsidR="008103BD" w:rsidRPr="008F709C">
        <w:rPr>
          <w:color w:val="000000"/>
        </w:rPr>
        <w:t xml:space="preserve"> </w:t>
      </w:r>
      <w:r w:rsidR="008F709C" w:rsidRPr="008F709C">
        <w:rPr>
          <w:color w:val="000000"/>
        </w:rPr>
        <w:t>износ</w:t>
      </w:r>
      <w:r w:rsidR="008103BD" w:rsidRPr="008F709C">
        <w:rPr>
          <w:color w:val="000000"/>
        </w:rPr>
        <w:t xml:space="preserve"> </w:t>
      </w:r>
      <w:r w:rsidR="008F709C" w:rsidRPr="008F709C">
        <w:rPr>
          <w:color w:val="000000"/>
        </w:rPr>
        <w:t>личних</w:t>
      </w:r>
      <w:r w:rsidR="008103BD" w:rsidRPr="008F709C">
        <w:rPr>
          <w:color w:val="000000"/>
        </w:rPr>
        <w:t xml:space="preserve"> </w:t>
      </w:r>
      <w:r w:rsidR="008F709C" w:rsidRPr="008F709C">
        <w:rPr>
          <w:color w:val="000000"/>
        </w:rPr>
        <w:t>примања</w:t>
      </w:r>
      <w:r w:rsidR="008103BD" w:rsidRPr="008F709C">
        <w:rPr>
          <w:color w:val="000000"/>
        </w:rPr>
        <w:t xml:space="preserve"> </w:t>
      </w:r>
      <w:r w:rsidR="008F709C" w:rsidRPr="008F709C">
        <w:rPr>
          <w:color w:val="000000"/>
        </w:rPr>
        <w:t>која</w:t>
      </w:r>
      <w:r w:rsidR="008103BD" w:rsidRPr="008F709C">
        <w:rPr>
          <w:color w:val="000000"/>
        </w:rPr>
        <w:t xml:space="preserve"> </w:t>
      </w:r>
      <w:r w:rsidR="008F709C" w:rsidRPr="008F709C">
        <w:rPr>
          <w:color w:val="000000"/>
        </w:rPr>
        <w:t>исплаћује</w:t>
      </w:r>
      <w:r w:rsidR="008103BD" w:rsidRPr="008F709C">
        <w:rPr>
          <w:color w:val="000000"/>
        </w:rPr>
        <w:t xml:space="preserve"> </w:t>
      </w:r>
      <w:r w:rsidR="008F709C" w:rsidRPr="008F709C">
        <w:rPr>
          <w:color w:val="000000"/>
        </w:rPr>
        <w:t>запосленима</w:t>
      </w:r>
      <w:r w:rsidR="008103BD" w:rsidRPr="008F709C">
        <w:rPr>
          <w:color w:val="000000"/>
        </w:rPr>
        <w:t xml:space="preserve">, </w:t>
      </w:r>
      <w:r w:rsidR="008F709C" w:rsidRPr="008F709C">
        <w:rPr>
          <w:color w:val="000000"/>
        </w:rPr>
        <w:t>директорима</w:t>
      </w:r>
      <w:r w:rsidR="008103BD" w:rsidRPr="008F709C">
        <w:rPr>
          <w:color w:val="000000"/>
        </w:rPr>
        <w:t xml:space="preserve"> </w:t>
      </w:r>
      <w:r w:rsidR="008F709C" w:rsidRPr="008F709C">
        <w:rPr>
          <w:color w:val="000000"/>
        </w:rPr>
        <w:t>и</w:t>
      </w:r>
      <w:r w:rsidR="008103BD" w:rsidRPr="008F709C">
        <w:rPr>
          <w:color w:val="000000"/>
        </w:rPr>
        <w:t xml:space="preserve"> </w:t>
      </w:r>
      <w:r w:rsidR="008F709C" w:rsidRPr="008F709C">
        <w:rPr>
          <w:color w:val="000000"/>
        </w:rPr>
        <w:t>са</w:t>
      </w:r>
      <w:r w:rsidR="008103BD" w:rsidRPr="008F709C">
        <w:rPr>
          <w:color w:val="000000"/>
        </w:rPr>
        <w:t xml:space="preserve"> </w:t>
      </w:r>
      <w:r w:rsidR="008F709C" w:rsidRPr="008F709C">
        <w:rPr>
          <w:color w:val="000000"/>
        </w:rPr>
        <w:t>њима</w:t>
      </w:r>
      <w:r w:rsidR="008103BD" w:rsidRPr="008F709C">
        <w:rPr>
          <w:color w:val="000000"/>
        </w:rPr>
        <w:t xml:space="preserve"> </w:t>
      </w:r>
      <w:r w:rsidR="008F709C" w:rsidRPr="008F709C">
        <w:rPr>
          <w:color w:val="000000"/>
        </w:rPr>
        <w:t>повезаним</w:t>
      </w:r>
      <w:r w:rsidR="008103BD" w:rsidRPr="008F709C">
        <w:rPr>
          <w:color w:val="000000"/>
        </w:rPr>
        <w:t xml:space="preserve"> </w:t>
      </w:r>
      <w:r w:rsidR="008F709C" w:rsidRPr="008F709C">
        <w:rPr>
          <w:color w:val="000000"/>
        </w:rPr>
        <w:t>лицима</w:t>
      </w:r>
      <w:r w:rsidR="008103BD" w:rsidRPr="008F709C">
        <w:rPr>
          <w:color w:val="000000"/>
        </w:rPr>
        <w:t xml:space="preserve"> </w:t>
      </w:r>
      <w:r w:rsidR="008F709C" w:rsidRPr="008F709C">
        <w:rPr>
          <w:color w:val="000000"/>
        </w:rPr>
        <w:t>није</w:t>
      </w:r>
      <w:r w:rsidR="008103BD" w:rsidRPr="008F709C">
        <w:rPr>
          <w:color w:val="000000"/>
        </w:rPr>
        <w:t xml:space="preserve"> </w:t>
      </w:r>
      <w:r w:rsidR="008F709C" w:rsidRPr="008F709C">
        <w:rPr>
          <w:color w:val="000000"/>
        </w:rPr>
        <w:t>већи</w:t>
      </w:r>
      <w:r w:rsidR="008103BD" w:rsidRPr="008F709C">
        <w:rPr>
          <w:color w:val="000000"/>
        </w:rPr>
        <w:t xml:space="preserve"> </w:t>
      </w:r>
      <w:r w:rsidR="008F709C" w:rsidRPr="008F709C">
        <w:rPr>
          <w:color w:val="000000"/>
        </w:rPr>
        <w:t>од</w:t>
      </w:r>
      <w:r w:rsidR="008103BD" w:rsidRPr="008F709C">
        <w:rPr>
          <w:color w:val="000000"/>
        </w:rPr>
        <w:t xml:space="preserve"> </w:t>
      </w:r>
      <w:r w:rsidR="008F709C" w:rsidRPr="008F709C">
        <w:rPr>
          <w:color w:val="000000"/>
        </w:rPr>
        <w:t>двоструког</w:t>
      </w:r>
      <w:r w:rsidR="008103BD" w:rsidRPr="008F709C">
        <w:rPr>
          <w:color w:val="000000"/>
        </w:rPr>
        <w:t xml:space="preserve"> </w:t>
      </w:r>
      <w:r w:rsidR="008F709C" w:rsidRPr="008F709C">
        <w:rPr>
          <w:color w:val="000000"/>
        </w:rPr>
        <w:t>износа</w:t>
      </w:r>
      <w:r w:rsidR="008103BD" w:rsidRPr="008F709C">
        <w:rPr>
          <w:color w:val="000000"/>
        </w:rPr>
        <w:t xml:space="preserve"> </w:t>
      </w:r>
      <w:r w:rsidR="008F709C" w:rsidRPr="008F709C">
        <w:rPr>
          <w:color w:val="000000"/>
        </w:rPr>
        <w:t>просечне</w:t>
      </w:r>
      <w:r w:rsidR="008103BD" w:rsidRPr="008F709C">
        <w:rPr>
          <w:color w:val="000000"/>
        </w:rPr>
        <w:t xml:space="preserve"> </w:t>
      </w:r>
      <w:r w:rsidR="008F709C" w:rsidRPr="008F709C">
        <w:rPr>
          <w:color w:val="000000"/>
        </w:rPr>
        <w:t>годишње</w:t>
      </w:r>
      <w:r w:rsidR="008103BD" w:rsidRPr="008F709C">
        <w:rPr>
          <w:color w:val="000000"/>
        </w:rPr>
        <w:t xml:space="preserve"> </w:t>
      </w:r>
      <w:r w:rsidR="008F709C" w:rsidRPr="008F709C">
        <w:rPr>
          <w:color w:val="000000"/>
        </w:rPr>
        <w:t>зараде</w:t>
      </w:r>
      <w:r w:rsidR="008103BD" w:rsidRPr="008F709C">
        <w:rPr>
          <w:color w:val="000000"/>
        </w:rPr>
        <w:t xml:space="preserve"> </w:t>
      </w:r>
      <w:r w:rsidR="008F709C" w:rsidRPr="008F709C">
        <w:rPr>
          <w:color w:val="000000"/>
        </w:rPr>
        <w:t>по</w:t>
      </w:r>
      <w:r w:rsidR="008103BD" w:rsidRPr="008F709C">
        <w:rPr>
          <w:color w:val="000000"/>
        </w:rPr>
        <w:t xml:space="preserve"> </w:t>
      </w:r>
      <w:r w:rsidR="008F709C" w:rsidRPr="008F709C">
        <w:rPr>
          <w:color w:val="000000"/>
        </w:rPr>
        <w:t>запосленом</w:t>
      </w:r>
      <w:r w:rsidR="008103BD" w:rsidRPr="008F709C">
        <w:rPr>
          <w:color w:val="000000"/>
        </w:rPr>
        <w:t xml:space="preserve"> </w:t>
      </w:r>
      <w:r w:rsidR="008F709C" w:rsidRPr="008F709C">
        <w:rPr>
          <w:color w:val="000000"/>
        </w:rPr>
        <w:t>у</w:t>
      </w:r>
      <w:r w:rsidR="008103BD" w:rsidRPr="008F709C">
        <w:rPr>
          <w:color w:val="000000"/>
        </w:rPr>
        <w:t xml:space="preserve"> </w:t>
      </w:r>
      <w:r w:rsidR="008F709C" w:rsidRPr="008F709C">
        <w:rPr>
          <w:color w:val="000000"/>
        </w:rPr>
        <w:t>Републици</w:t>
      </w:r>
      <w:r w:rsidR="008103BD" w:rsidRPr="008F709C">
        <w:rPr>
          <w:color w:val="000000"/>
        </w:rPr>
        <w:t xml:space="preserve"> </w:t>
      </w:r>
      <w:r w:rsidR="008F709C" w:rsidRPr="008F709C">
        <w:rPr>
          <w:color w:val="000000"/>
        </w:rPr>
        <w:t>у</w:t>
      </w:r>
      <w:r w:rsidR="008103BD" w:rsidRPr="008F709C">
        <w:rPr>
          <w:color w:val="000000"/>
        </w:rPr>
        <w:t xml:space="preserve"> </w:t>
      </w:r>
      <w:r w:rsidR="008F709C" w:rsidRPr="008F709C">
        <w:rPr>
          <w:color w:val="000000"/>
        </w:rPr>
        <w:t>години</w:t>
      </w:r>
      <w:r w:rsidR="008103BD" w:rsidRPr="008F709C">
        <w:rPr>
          <w:color w:val="000000"/>
        </w:rPr>
        <w:t xml:space="preserve"> </w:t>
      </w:r>
      <w:r w:rsidR="008F709C" w:rsidRPr="008F709C">
        <w:rPr>
          <w:color w:val="000000"/>
        </w:rPr>
        <w:t>за</w:t>
      </w:r>
      <w:r w:rsidR="008103BD" w:rsidRPr="008F709C">
        <w:rPr>
          <w:color w:val="000000"/>
        </w:rPr>
        <w:t xml:space="preserve"> </w:t>
      </w:r>
      <w:r w:rsidR="008F709C" w:rsidRPr="008F709C">
        <w:rPr>
          <w:color w:val="000000"/>
        </w:rPr>
        <w:t>коју</w:t>
      </w:r>
      <w:r w:rsidR="008103BD" w:rsidRPr="008F709C">
        <w:rPr>
          <w:color w:val="000000"/>
        </w:rPr>
        <w:t xml:space="preserve"> </w:t>
      </w:r>
      <w:r w:rsidR="008F709C" w:rsidRPr="008F709C">
        <w:rPr>
          <w:color w:val="000000"/>
        </w:rPr>
        <w:t>се</w:t>
      </w:r>
      <w:r w:rsidR="008103BD" w:rsidRPr="008F709C">
        <w:rPr>
          <w:color w:val="000000"/>
        </w:rPr>
        <w:t xml:space="preserve"> </w:t>
      </w:r>
      <w:r w:rsidR="008F709C" w:rsidRPr="008F709C">
        <w:rPr>
          <w:color w:val="000000"/>
        </w:rPr>
        <w:t>утврђује</w:t>
      </w:r>
      <w:r w:rsidR="008103BD" w:rsidRPr="008F709C">
        <w:rPr>
          <w:color w:val="000000"/>
        </w:rPr>
        <w:t xml:space="preserve"> </w:t>
      </w:r>
      <w:r w:rsidR="008F709C" w:rsidRPr="008F709C">
        <w:rPr>
          <w:color w:val="000000"/>
        </w:rPr>
        <w:t>право</w:t>
      </w:r>
      <w:r w:rsidR="008103BD" w:rsidRPr="008F709C">
        <w:rPr>
          <w:color w:val="000000"/>
        </w:rPr>
        <w:t xml:space="preserve"> </w:t>
      </w:r>
      <w:r w:rsidR="008F709C" w:rsidRPr="008F709C">
        <w:rPr>
          <w:color w:val="000000"/>
        </w:rPr>
        <w:t>на</w:t>
      </w:r>
      <w:r w:rsidR="008103BD" w:rsidRPr="008F709C">
        <w:rPr>
          <w:color w:val="000000"/>
        </w:rPr>
        <w:t xml:space="preserve"> </w:t>
      </w:r>
      <w:r w:rsidR="008F709C" w:rsidRPr="008F709C">
        <w:rPr>
          <w:color w:val="000000"/>
        </w:rPr>
        <w:t>пореско</w:t>
      </w:r>
      <w:r w:rsidR="008103BD" w:rsidRPr="008F709C">
        <w:rPr>
          <w:color w:val="000000"/>
        </w:rPr>
        <w:t xml:space="preserve"> </w:t>
      </w:r>
      <w:r w:rsidR="008F709C" w:rsidRPr="008F709C">
        <w:rPr>
          <w:color w:val="000000"/>
        </w:rPr>
        <w:t>ослобођење</w:t>
      </w:r>
      <w:r w:rsidR="008103BD" w:rsidRPr="008F709C">
        <w:rPr>
          <w:color w:val="000000"/>
        </w:rPr>
        <w:t xml:space="preserve">, </w:t>
      </w:r>
      <w:r w:rsidR="008F709C" w:rsidRPr="008F709C">
        <w:rPr>
          <w:color w:val="000000"/>
        </w:rPr>
        <w:t>према</w:t>
      </w:r>
      <w:r w:rsidR="008103BD" w:rsidRPr="008F709C">
        <w:rPr>
          <w:color w:val="000000"/>
        </w:rPr>
        <w:t xml:space="preserve"> </w:t>
      </w:r>
      <w:r w:rsidR="008F709C" w:rsidRPr="008F709C">
        <w:rPr>
          <w:color w:val="000000"/>
        </w:rPr>
        <w:t>подацима</w:t>
      </w:r>
      <w:r w:rsidR="008103BD" w:rsidRPr="008F709C">
        <w:rPr>
          <w:color w:val="000000"/>
        </w:rPr>
        <w:t xml:space="preserve"> </w:t>
      </w:r>
      <w:r w:rsidR="008F709C" w:rsidRPr="008F709C">
        <w:rPr>
          <w:color w:val="000000"/>
        </w:rPr>
        <w:t>републичког</w:t>
      </w:r>
      <w:r w:rsidR="008103BD" w:rsidRPr="008F709C">
        <w:rPr>
          <w:color w:val="000000"/>
        </w:rPr>
        <w:t xml:space="preserve"> </w:t>
      </w:r>
      <w:r w:rsidR="008F709C" w:rsidRPr="008F709C">
        <w:rPr>
          <w:color w:val="000000"/>
        </w:rPr>
        <w:t>органа</w:t>
      </w:r>
      <w:r w:rsidR="008103BD" w:rsidRPr="008F709C">
        <w:rPr>
          <w:color w:val="000000"/>
        </w:rPr>
        <w:t xml:space="preserve"> </w:t>
      </w:r>
      <w:r w:rsidR="008F709C" w:rsidRPr="008F709C">
        <w:rPr>
          <w:color w:val="000000"/>
        </w:rPr>
        <w:t>надлежног</w:t>
      </w:r>
      <w:r w:rsidR="008103BD" w:rsidRPr="008F709C">
        <w:rPr>
          <w:color w:val="000000"/>
        </w:rPr>
        <w:t xml:space="preserve"> </w:t>
      </w:r>
      <w:r w:rsidR="008F709C" w:rsidRPr="008F709C">
        <w:rPr>
          <w:color w:val="000000"/>
        </w:rPr>
        <w:t>за</w:t>
      </w:r>
      <w:r w:rsidR="008103BD" w:rsidRPr="008F709C">
        <w:rPr>
          <w:color w:val="000000"/>
        </w:rPr>
        <w:t xml:space="preserve"> </w:t>
      </w:r>
      <w:r w:rsidR="008F709C" w:rsidRPr="008F709C">
        <w:rPr>
          <w:color w:val="000000"/>
        </w:rPr>
        <w:t>послове</w:t>
      </w:r>
      <w:r w:rsidR="008103BD" w:rsidRPr="008F709C">
        <w:rPr>
          <w:color w:val="000000"/>
        </w:rPr>
        <w:t xml:space="preserve"> </w:t>
      </w:r>
      <w:r w:rsidR="008F709C" w:rsidRPr="008F709C">
        <w:rPr>
          <w:color w:val="000000"/>
        </w:rPr>
        <w:t>статистике</w:t>
      </w:r>
      <w:r w:rsidR="008103BD" w:rsidRPr="008F709C">
        <w:rPr>
          <w:color w:val="000000"/>
        </w:rPr>
        <w:t>;</w:t>
      </w:r>
    </w:p>
    <w:p w:rsidR="00E52825" w:rsidRPr="00E52825" w:rsidRDefault="00E52825" w:rsidP="00E52825">
      <w:pPr>
        <w:pStyle w:val="normal0"/>
        <w:shd w:val="clear" w:color="auto" w:fill="FFFFFF"/>
        <w:spacing w:before="48" w:beforeAutospacing="0" w:after="48" w:afterAutospacing="0"/>
        <w:ind w:left="927"/>
        <w:jc w:val="both"/>
        <w:rPr>
          <w:color w:val="000000"/>
          <w:lang w:val="sr-Cyrl-CS"/>
        </w:rPr>
      </w:pPr>
    </w:p>
    <w:p w:rsidR="008103BD" w:rsidRDefault="00E52825" w:rsidP="00E52825">
      <w:pPr>
        <w:pStyle w:val="normal0"/>
        <w:shd w:val="clear" w:color="auto" w:fill="FFFFFF"/>
        <w:spacing w:before="48" w:beforeAutospacing="0" w:after="48" w:afterAutospacing="0"/>
        <w:jc w:val="both"/>
        <w:rPr>
          <w:color w:val="000000"/>
          <w:lang w:val="sr-Cyrl-CS"/>
        </w:rPr>
      </w:pPr>
      <w:r>
        <w:rPr>
          <w:color w:val="000000"/>
          <w:lang w:val="sr-Cyrl-CS"/>
        </w:rPr>
        <w:t>3)</w:t>
      </w:r>
      <w:r w:rsidR="008F709C" w:rsidRPr="008F709C">
        <w:rPr>
          <w:color w:val="000000"/>
        </w:rPr>
        <w:t>не</w:t>
      </w:r>
      <w:r w:rsidR="008103BD" w:rsidRPr="008F709C">
        <w:rPr>
          <w:color w:val="000000"/>
        </w:rPr>
        <w:t xml:space="preserve"> </w:t>
      </w:r>
      <w:r w:rsidR="008F709C" w:rsidRPr="008F709C">
        <w:rPr>
          <w:color w:val="000000"/>
        </w:rPr>
        <w:t>расподељује</w:t>
      </w:r>
      <w:r w:rsidR="008103BD" w:rsidRPr="008F709C">
        <w:rPr>
          <w:color w:val="000000"/>
        </w:rPr>
        <w:t xml:space="preserve"> </w:t>
      </w:r>
      <w:r w:rsidR="008F709C" w:rsidRPr="008F709C">
        <w:rPr>
          <w:color w:val="000000"/>
        </w:rPr>
        <w:t>имовину</w:t>
      </w:r>
      <w:r w:rsidR="008103BD" w:rsidRPr="008F709C">
        <w:rPr>
          <w:color w:val="000000"/>
        </w:rPr>
        <w:t xml:space="preserve"> </w:t>
      </w:r>
      <w:r w:rsidR="008F709C" w:rsidRPr="008F709C">
        <w:rPr>
          <w:color w:val="000000"/>
        </w:rPr>
        <w:t>у</w:t>
      </w:r>
      <w:r w:rsidR="008103BD" w:rsidRPr="008F709C">
        <w:rPr>
          <w:color w:val="000000"/>
        </w:rPr>
        <w:t xml:space="preserve"> </w:t>
      </w:r>
      <w:r w:rsidR="008F709C" w:rsidRPr="008F709C">
        <w:rPr>
          <w:color w:val="000000"/>
        </w:rPr>
        <w:t>корист</w:t>
      </w:r>
      <w:r w:rsidR="008103BD" w:rsidRPr="008F709C">
        <w:rPr>
          <w:color w:val="000000"/>
        </w:rPr>
        <w:t xml:space="preserve"> </w:t>
      </w:r>
      <w:r w:rsidR="008F709C" w:rsidRPr="008F709C">
        <w:rPr>
          <w:color w:val="000000"/>
        </w:rPr>
        <w:t>својих</w:t>
      </w:r>
      <w:r w:rsidR="008103BD" w:rsidRPr="008F709C">
        <w:rPr>
          <w:color w:val="000000"/>
        </w:rPr>
        <w:t xml:space="preserve"> </w:t>
      </w:r>
      <w:r w:rsidR="008F709C" w:rsidRPr="008F709C">
        <w:rPr>
          <w:color w:val="000000"/>
        </w:rPr>
        <w:t>оснивача</w:t>
      </w:r>
      <w:r w:rsidR="008103BD" w:rsidRPr="008F709C">
        <w:rPr>
          <w:color w:val="000000"/>
        </w:rPr>
        <w:t xml:space="preserve">, </w:t>
      </w:r>
      <w:r w:rsidR="008F709C" w:rsidRPr="008F709C">
        <w:rPr>
          <w:color w:val="000000"/>
        </w:rPr>
        <w:t>чланова</w:t>
      </w:r>
      <w:r w:rsidR="008103BD" w:rsidRPr="008F709C">
        <w:rPr>
          <w:color w:val="000000"/>
        </w:rPr>
        <w:t xml:space="preserve">, </w:t>
      </w:r>
      <w:r w:rsidR="008F709C" w:rsidRPr="008F709C">
        <w:rPr>
          <w:color w:val="000000"/>
        </w:rPr>
        <w:t>директора</w:t>
      </w:r>
      <w:r w:rsidR="008103BD" w:rsidRPr="008F709C">
        <w:rPr>
          <w:color w:val="000000"/>
        </w:rPr>
        <w:t xml:space="preserve">, </w:t>
      </w:r>
      <w:r w:rsidR="008F709C" w:rsidRPr="008F709C">
        <w:rPr>
          <w:color w:val="000000"/>
        </w:rPr>
        <w:t>запослених</w:t>
      </w:r>
      <w:r w:rsidR="008103BD" w:rsidRPr="008F709C">
        <w:rPr>
          <w:color w:val="000000"/>
        </w:rPr>
        <w:t xml:space="preserve"> </w:t>
      </w:r>
      <w:r w:rsidR="008F709C" w:rsidRPr="008F709C">
        <w:rPr>
          <w:color w:val="000000"/>
        </w:rPr>
        <w:t>или</w:t>
      </w:r>
      <w:r w:rsidR="008103BD" w:rsidRPr="008F709C">
        <w:rPr>
          <w:color w:val="000000"/>
        </w:rPr>
        <w:t xml:space="preserve"> </w:t>
      </w:r>
      <w:r w:rsidR="008F709C" w:rsidRPr="008F709C">
        <w:rPr>
          <w:color w:val="000000"/>
        </w:rPr>
        <w:t>са</w:t>
      </w:r>
      <w:r w:rsidR="008103BD" w:rsidRPr="008F709C">
        <w:rPr>
          <w:color w:val="000000"/>
        </w:rPr>
        <w:t xml:space="preserve"> </w:t>
      </w:r>
      <w:r w:rsidR="008F709C" w:rsidRPr="008F709C">
        <w:rPr>
          <w:color w:val="000000"/>
        </w:rPr>
        <w:t>њима</w:t>
      </w:r>
      <w:r w:rsidR="008103BD" w:rsidRPr="008F709C">
        <w:rPr>
          <w:color w:val="000000"/>
        </w:rPr>
        <w:t xml:space="preserve"> </w:t>
      </w:r>
      <w:r w:rsidR="008F709C" w:rsidRPr="008F709C">
        <w:rPr>
          <w:color w:val="000000"/>
        </w:rPr>
        <w:t>повезаних</w:t>
      </w:r>
      <w:r w:rsidR="008103BD" w:rsidRPr="008F709C">
        <w:rPr>
          <w:color w:val="000000"/>
        </w:rPr>
        <w:t xml:space="preserve"> </w:t>
      </w:r>
      <w:r w:rsidR="008F709C" w:rsidRPr="008F709C">
        <w:rPr>
          <w:color w:val="000000"/>
        </w:rPr>
        <w:t>лица</w:t>
      </w:r>
      <w:r w:rsidR="008103BD" w:rsidRPr="008F709C">
        <w:rPr>
          <w:color w:val="000000"/>
        </w:rPr>
        <w:t>;</w:t>
      </w:r>
    </w:p>
    <w:p w:rsidR="00E52825" w:rsidRPr="00E52825" w:rsidRDefault="00E52825" w:rsidP="00E52825">
      <w:pPr>
        <w:pStyle w:val="normal0"/>
        <w:shd w:val="clear" w:color="auto" w:fill="FFFFFF"/>
        <w:spacing w:before="48" w:beforeAutospacing="0" w:after="48" w:afterAutospacing="0"/>
        <w:ind w:left="567"/>
        <w:jc w:val="both"/>
        <w:rPr>
          <w:color w:val="000000"/>
          <w:lang w:val="sr-Cyrl-CS"/>
        </w:rPr>
      </w:pPr>
    </w:p>
    <w:p w:rsidR="008103BD" w:rsidRDefault="008103BD" w:rsidP="00E52825">
      <w:pPr>
        <w:pStyle w:val="normal0"/>
        <w:shd w:val="clear" w:color="auto" w:fill="FFFFFF"/>
        <w:spacing w:before="48" w:beforeAutospacing="0" w:after="48" w:afterAutospacing="0"/>
        <w:jc w:val="both"/>
        <w:rPr>
          <w:rFonts w:ascii="Arial" w:hAnsi="Arial" w:cs="Arial"/>
          <w:color w:val="000000"/>
          <w:sz w:val="18"/>
          <w:szCs w:val="18"/>
        </w:rPr>
      </w:pPr>
      <w:r w:rsidRPr="008F709C">
        <w:rPr>
          <w:color w:val="000000"/>
        </w:rPr>
        <w:t xml:space="preserve">4) </w:t>
      </w:r>
      <w:r w:rsidR="008F709C" w:rsidRPr="008F709C">
        <w:rPr>
          <w:color w:val="000000"/>
        </w:rPr>
        <w:t>да</w:t>
      </w:r>
      <w:r w:rsidRPr="008F709C">
        <w:rPr>
          <w:color w:val="000000"/>
        </w:rPr>
        <w:t xml:space="preserve"> </w:t>
      </w:r>
      <w:r w:rsidR="008F709C" w:rsidRPr="008F709C">
        <w:rPr>
          <w:color w:val="000000"/>
        </w:rPr>
        <w:t>нема</w:t>
      </w:r>
      <w:r w:rsidRPr="008F709C">
        <w:rPr>
          <w:color w:val="000000"/>
        </w:rPr>
        <w:t xml:space="preserve"> </w:t>
      </w:r>
      <w:r w:rsidR="008F709C" w:rsidRPr="008F709C">
        <w:rPr>
          <w:color w:val="000000"/>
        </w:rPr>
        <w:t>монополски</w:t>
      </w:r>
      <w:r w:rsidRPr="008F709C">
        <w:rPr>
          <w:color w:val="000000"/>
        </w:rPr>
        <w:t xml:space="preserve"> </w:t>
      </w:r>
      <w:r w:rsidR="008F709C" w:rsidRPr="008F709C">
        <w:rPr>
          <w:color w:val="000000"/>
        </w:rPr>
        <w:t>или</w:t>
      </w:r>
      <w:r w:rsidRPr="008F709C">
        <w:rPr>
          <w:color w:val="000000"/>
        </w:rPr>
        <w:t xml:space="preserve"> </w:t>
      </w:r>
      <w:r w:rsidR="008F709C" w:rsidRPr="008F709C">
        <w:rPr>
          <w:color w:val="000000"/>
        </w:rPr>
        <w:t>доминантан</w:t>
      </w:r>
      <w:r w:rsidRPr="008F709C">
        <w:rPr>
          <w:color w:val="000000"/>
        </w:rPr>
        <w:t xml:space="preserve"> </w:t>
      </w:r>
      <w:r w:rsidR="008F709C" w:rsidRPr="008F709C">
        <w:rPr>
          <w:color w:val="000000"/>
        </w:rPr>
        <w:t>положај</w:t>
      </w:r>
      <w:r w:rsidRPr="008F709C">
        <w:rPr>
          <w:color w:val="000000"/>
        </w:rPr>
        <w:t xml:space="preserve"> </w:t>
      </w:r>
      <w:r w:rsidR="008F709C" w:rsidRPr="008F709C">
        <w:rPr>
          <w:color w:val="000000"/>
        </w:rPr>
        <w:t>на</w:t>
      </w:r>
      <w:r w:rsidRPr="008F709C">
        <w:rPr>
          <w:color w:val="000000"/>
        </w:rPr>
        <w:t xml:space="preserve"> </w:t>
      </w:r>
      <w:r w:rsidR="008F709C" w:rsidRPr="008F709C">
        <w:rPr>
          <w:color w:val="000000"/>
        </w:rPr>
        <w:t>тржишту</w:t>
      </w:r>
      <w:r w:rsidRPr="008F709C">
        <w:rPr>
          <w:color w:val="000000"/>
        </w:rPr>
        <w:t xml:space="preserve"> </w:t>
      </w:r>
      <w:r w:rsidR="008F709C" w:rsidRPr="008F709C">
        <w:rPr>
          <w:color w:val="000000"/>
        </w:rPr>
        <w:t>у</w:t>
      </w:r>
      <w:r w:rsidRPr="008F709C">
        <w:rPr>
          <w:color w:val="000000"/>
        </w:rPr>
        <w:t xml:space="preserve"> </w:t>
      </w:r>
      <w:r w:rsidR="008F709C" w:rsidRPr="008F709C">
        <w:rPr>
          <w:color w:val="000000"/>
        </w:rPr>
        <w:t>смислу</w:t>
      </w:r>
      <w:r w:rsidRPr="008F709C">
        <w:rPr>
          <w:color w:val="000000"/>
        </w:rPr>
        <w:t xml:space="preserve"> </w:t>
      </w:r>
      <w:r w:rsidR="008F709C" w:rsidRPr="008F709C">
        <w:rPr>
          <w:color w:val="000000"/>
        </w:rPr>
        <w:t>закона</w:t>
      </w:r>
      <w:r w:rsidRPr="008F709C">
        <w:rPr>
          <w:color w:val="000000"/>
        </w:rPr>
        <w:t xml:space="preserve"> </w:t>
      </w:r>
      <w:r w:rsidR="008F709C" w:rsidRPr="008F709C">
        <w:rPr>
          <w:color w:val="000000"/>
        </w:rPr>
        <w:t>којим</w:t>
      </w:r>
      <w:r w:rsidRPr="008F709C">
        <w:rPr>
          <w:color w:val="000000"/>
        </w:rPr>
        <w:t xml:space="preserve"> </w:t>
      </w:r>
      <w:r w:rsidR="008F709C" w:rsidRPr="008F709C">
        <w:rPr>
          <w:color w:val="000000"/>
        </w:rPr>
        <w:t>се</w:t>
      </w:r>
      <w:r w:rsidRPr="008F709C">
        <w:rPr>
          <w:color w:val="000000"/>
        </w:rPr>
        <w:t xml:space="preserve"> </w:t>
      </w:r>
      <w:r w:rsidR="008F709C" w:rsidRPr="008F709C">
        <w:rPr>
          <w:color w:val="000000"/>
        </w:rPr>
        <w:t>уређује</w:t>
      </w:r>
      <w:r w:rsidRPr="008F709C">
        <w:rPr>
          <w:color w:val="000000"/>
        </w:rPr>
        <w:t xml:space="preserve"> </w:t>
      </w:r>
      <w:r w:rsidR="008F709C" w:rsidRPr="008F709C">
        <w:rPr>
          <w:color w:val="000000"/>
        </w:rPr>
        <w:t>заштита</w:t>
      </w:r>
      <w:r w:rsidRPr="008F709C">
        <w:rPr>
          <w:color w:val="000000"/>
        </w:rPr>
        <w:t xml:space="preserve"> </w:t>
      </w:r>
      <w:r w:rsidR="008F709C" w:rsidRPr="008F709C">
        <w:rPr>
          <w:color w:val="000000"/>
        </w:rPr>
        <w:t>конкуренције</w:t>
      </w:r>
      <w:r>
        <w:rPr>
          <w:rFonts w:ascii="Arial" w:hAnsi="Arial" w:cs="Arial"/>
          <w:color w:val="000000"/>
          <w:sz w:val="18"/>
          <w:szCs w:val="18"/>
        </w:rPr>
        <w:t>.</w:t>
      </w:r>
      <w:r>
        <w:rPr>
          <w:rStyle w:val="FootnoteReference"/>
          <w:rFonts w:ascii="Arial" w:hAnsi="Arial" w:cs="Arial"/>
          <w:color w:val="000000"/>
          <w:sz w:val="18"/>
          <w:szCs w:val="18"/>
        </w:rPr>
        <w:footnoteReference w:id="283"/>
      </w:r>
    </w:p>
    <w:p w:rsidR="008103BD" w:rsidRDefault="008103BD" w:rsidP="00836DF6">
      <w:pPr>
        <w:ind w:firstLine="360"/>
        <w:jc w:val="both"/>
        <w:rPr>
          <w:rFonts w:ascii="Times New Roman" w:hAnsi="Times New Roman"/>
          <w:sz w:val="24"/>
          <w:szCs w:val="24"/>
          <w:lang w:val="sr-Cyrl-CS"/>
        </w:rPr>
      </w:pPr>
    </w:p>
    <w:p w:rsidR="000C4CCF" w:rsidRDefault="008103BD" w:rsidP="00836DF6">
      <w:pPr>
        <w:ind w:firstLine="360"/>
        <w:jc w:val="both"/>
        <w:rPr>
          <w:rFonts w:ascii="Times New Roman" w:hAnsi="Times New Roman"/>
          <w:sz w:val="24"/>
          <w:szCs w:val="24"/>
          <w:lang w:val="sr-Cyrl-CS"/>
        </w:rPr>
      </w:pPr>
      <w:r>
        <w:rPr>
          <w:rFonts w:ascii="Times New Roman" w:hAnsi="Times New Roman"/>
          <w:sz w:val="24"/>
          <w:szCs w:val="24"/>
          <w:lang w:val="sr-Cyrl-CS"/>
        </w:rPr>
        <w:t xml:space="preserve">Уколико недобитна организација испуни све прописане услове </w:t>
      </w:r>
      <w:r w:rsidR="00054AC3">
        <w:rPr>
          <w:rFonts w:ascii="Times New Roman" w:hAnsi="Times New Roman"/>
          <w:sz w:val="24"/>
          <w:szCs w:val="24"/>
          <w:lang w:val="sr-Cyrl-CS"/>
        </w:rPr>
        <w:t xml:space="preserve">радиће се о прихватљивом законитом избегавању пореза на добит правних лица. Међутим, и код овог случаја може доћи до неприхватљиве законите пореске евазије у случају када недобитна организација повећа трошкове у циљу повећања расхода, како би се избегло плаћање пореза, односно у циљу умањења вишка прихода над расходима, а не због стварне потребе пословања, дакле како би био остварен услов да остварен вишак прихода над расходима није већи од 400.000 динара. До увећања расхода може доћи на различите начине попут увећања трошкова материјала, трошкова зарада преко запошљавања нових радника, </w:t>
      </w:r>
      <w:r w:rsidR="000C4CCF">
        <w:rPr>
          <w:rFonts w:ascii="Times New Roman" w:hAnsi="Times New Roman"/>
          <w:sz w:val="24"/>
          <w:szCs w:val="24"/>
          <w:lang w:val="sr-Cyrl-CS"/>
        </w:rPr>
        <w:t>трошкова производних услуга  сл. и уколико су овакве пословне одлуке мотивисане искључиво фискалним разлозима, радиће се о неприхватљивој законитој пореској</w:t>
      </w:r>
      <w:r w:rsidR="001B2715">
        <w:rPr>
          <w:rFonts w:ascii="Times New Roman" w:hAnsi="Times New Roman"/>
          <w:sz w:val="24"/>
          <w:szCs w:val="24"/>
          <w:lang w:val="sr-Cyrl-CS"/>
        </w:rPr>
        <w:t xml:space="preserve"> евазији, односно о неприхватљи</w:t>
      </w:r>
      <w:r w:rsidR="000C4CCF">
        <w:rPr>
          <w:rFonts w:ascii="Times New Roman" w:hAnsi="Times New Roman"/>
          <w:sz w:val="24"/>
          <w:szCs w:val="24"/>
          <w:lang w:val="sr-Cyrl-CS"/>
        </w:rPr>
        <w:t xml:space="preserve">вом законитом минимизовању пореске обавезе. Оваквим поступањем се не крши закон, али се не поступа ни у складу са намером законодавца. </w:t>
      </w:r>
    </w:p>
    <w:p w:rsidR="001B2715" w:rsidRDefault="000C4CCF" w:rsidP="00502628">
      <w:pPr>
        <w:ind w:firstLine="360"/>
        <w:jc w:val="both"/>
        <w:rPr>
          <w:rFonts w:ascii="Times New Roman" w:hAnsi="Times New Roman"/>
          <w:sz w:val="24"/>
          <w:szCs w:val="24"/>
          <w:lang w:val="sr-Cyrl-CS"/>
        </w:rPr>
      </w:pPr>
      <w:r>
        <w:rPr>
          <w:rFonts w:ascii="Times New Roman" w:hAnsi="Times New Roman"/>
          <w:sz w:val="24"/>
          <w:szCs w:val="24"/>
          <w:lang w:val="sr-Cyrl-CS"/>
        </w:rPr>
        <w:t>Облик организовања недобитне организације (установа, удружење и сл.) није опредељујући за стицање статуса недобитне организације.</w:t>
      </w:r>
      <w:r>
        <w:rPr>
          <w:rStyle w:val="FootnoteReference"/>
          <w:rFonts w:ascii="Times New Roman" w:hAnsi="Times New Roman"/>
          <w:sz w:val="24"/>
          <w:szCs w:val="24"/>
          <w:lang w:val="sr-Cyrl-CS"/>
        </w:rPr>
        <w:footnoteReference w:id="284"/>
      </w:r>
      <w:r>
        <w:rPr>
          <w:rFonts w:ascii="Times New Roman" w:hAnsi="Times New Roman"/>
          <w:sz w:val="24"/>
          <w:szCs w:val="24"/>
          <w:lang w:val="sr-Cyrl-CS"/>
        </w:rPr>
        <w:t xml:space="preserve"> Због оваквог регулисања не долази до изражаја </w:t>
      </w:r>
      <w:r w:rsidR="00E66112">
        <w:rPr>
          <w:rFonts w:ascii="Times New Roman" w:hAnsi="Times New Roman"/>
          <w:sz w:val="24"/>
          <w:szCs w:val="24"/>
          <w:lang w:val="sr-Cyrl-CS"/>
        </w:rPr>
        <w:t xml:space="preserve">дисторзивност пореза на добит правних лица, као особина да уз ефекат дохотка, порез ствара и ефекат супституције. </w:t>
      </w:r>
      <w:r>
        <w:rPr>
          <w:rFonts w:ascii="Times New Roman" w:hAnsi="Times New Roman"/>
          <w:sz w:val="24"/>
          <w:szCs w:val="24"/>
          <w:lang w:val="sr-Cyrl-CS"/>
        </w:rPr>
        <w:t xml:space="preserve"> </w:t>
      </w:r>
      <w:r w:rsidR="00E66112">
        <w:rPr>
          <w:rFonts w:ascii="Times New Roman" w:hAnsi="Times New Roman"/>
          <w:sz w:val="24"/>
          <w:szCs w:val="24"/>
          <w:lang w:val="sr-Cyrl-CS"/>
        </w:rPr>
        <w:t xml:space="preserve">То је заправо промена понашања предузећа којом се остварује избегавање плаћања пореза. У случају да </w:t>
      </w:r>
      <w:r w:rsidR="001B2715">
        <w:rPr>
          <w:rFonts w:ascii="Times New Roman" w:hAnsi="Times New Roman"/>
          <w:sz w:val="24"/>
          <w:szCs w:val="24"/>
          <w:lang w:val="sr-Cyrl-CS"/>
        </w:rPr>
        <w:t>порески закон прописује ослобађање</w:t>
      </w:r>
      <w:r w:rsidR="00E66112">
        <w:rPr>
          <w:rFonts w:ascii="Times New Roman" w:hAnsi="Times New Roman"/>
          <w:sz w:val="24"/>
          <w:szCs w:val="24"/>
          <w:lang w:val="sr-Cyrl-CS"/>
        </w:rPr>
        <w:t xml:space="preserve"> од пореза</w:t>
      </w:r>
      <w:r w:rsidR="001B2715">
        <w:rPr>
          <w:rFonts w:ascii="Times New Roman" w:hAnsi="Times New Roman"/>
          <w:sz w:val="24"/>
          <w:szCs w:val="24"/>
          <w:lang w:val="sr-Cyrl-CS"/>
        </w:rPr>
        <w:t xml:space="preserve"> у зависности од облика организ</w:t>
      </w:r>
      <w:r w:rsidR="00E66112">
        <w:rPr>
          <w:rFonts w:ascii="Times New Roman" w:hAnsi="Times New Roman"/>
          <w:sz w:val="24"/>
          <w:szCs w:val="24"/>
          <w:lang w:val="sr-Cyrl-CS"/>
        </w:rPr>
        <w:t xml:space="preserve">овања ова особина би долазила до изражаја, јер би предузеће имало могућност избора одређеног статусног облика организовања који омогућава пореско ослобођење. У конкретном случају, међутим, статусни облик није од значаја за пореско ослобођење, па се не испољава ни ефекат супституције. </w:t>
      </w:r>
    </w:p>
    <w:p w:rsidR="009E66A6" w:rsidRPr="00502628" w:rsidRDefault="009E66A6" w:rsidP="00502628">
      <w:pPr>
        <w:ind w:firstLine="360"/>
        <w:jc w:val="both"/>
        <w:rPr>
          <w:rFonts w:ascii="Times New Roman" w:hAnsi="Times New Roman"/>
          <w:sz w:val="24"/>
          <w:szCs w:val="24"/>
          <w:lang w:val="sr-Cyrl-CS"/>
        </w:rPr>
      </w:pPr>
    </w:p>
    <w:p w:rsidR="00D57F68" w:rsidRPr="00B74D4E" w:rsidRDefault="00D57F68" w:rsidP="00131403">
      <w:pPr>
        <w:rPr>
          <w:rFonts w:ascii="Times New Roman" w:hAnsi="Times New Roman"/>
          <w:sz w:val="24"/>
          <w:szCs w:val="24"/>
          <w:lang w:val="sr-Cyrl-CS"/>
        </w:rPr>
      </w:pPr>
    </w:p>
    <w:p w:rsidR="00B50382" w:rsidRDefault="009B0BBF" w:rsidP="00131403">
      <w:pPr>
        <w:jc w:val="center"/>
        <w:rPr>
          <w:rFonts w:ascii="Times New Roman" w:hAnsi="Times New Roman"/>
          <w:b/>
          <w:sz w:val="24"/>
          <w:szCs w:val="24"/>
          <w:lang w:val="sr-Cyrl-CS"/>
        </w:rPr>
      </w:pPr>
      <w:r w:rsidRPr="00131403">
        <w:rPr>
          <w:rFonts w:ascii="Times New Roman" w:hAnsi="Times New Roman"/>
          <w:b/>
          <w:sz w:val="24"/>
          <w:szCs w:val="24"/>
          <w:lang w:val="sr-Cyrl-CS"/>
        </w:rPr>
        <w:lastRenderedPageBreak/>
        <w:t>5.1.7.</w:t>
      </w:r>
      <w:r>
        <w:rPr>
          <w:lang w:val="sr-Cyrl-CS"/>
        </w:rPr>
        <w:t xml:space="preserve"> </w:t>
      </w:r>
      <w:r w:rsidR="00131403">
        <w:rPr>
          <w:rFonts w:ascii="Times New Roman" w:hAnsi="Times New Roman"/>
          <w:b/>
          <w:sz w:val="24"/>
          <w:szCs w:val="24"/>
          <w:lang w:val="sr-Cyrl-CS"/>
        </w:rPr>
        <w:t>Избегавање пореза на добит правних лица коришћењем рачуноводствених</w:t>
      </w:r>
    </w:p>
    <w:p w:rsidR="00131403" w:rsidRDefault="00131403" w:rsidP="00131403">
      <w:pPr>
        <w:jc w:val="center"/>
        <w:rPr>
          <w:rFonts w:ascii="Times New Roman" w:hAnsi="Times New Roman"/>
          <w:lang w:val="sr-Cyrl-CS"/>
        </w:rPr>
      </w:pPr>
      <w:r>
        <w:rPr>
          <w:rFonts w:ascii="Times New Roman" w:hAnsi="Times New Roman"/>
          <w:b/>
          <w:sz w:val="24"/>
          <w:szCs w:val="24"/>
          <w:lang w:val="sr-Cyrl-CS"/>
        </w:rPr>
        <w:t>поступака</w:t>
      </w:r>
    </w:p>
    <w:p w:rsidR="00131403" w:rsidRPr="00FD7D3B" w:rsidRDefault="00131403" w:rsidP="00FD7D3B">
      <w:pPr>
        <w:rPr>
          <w:rFonts w:ascii="Times New Roman" w:hAnsi="Times New Roman"/>
          <w:lang w:val="sr-Cyrl-CS"/>
        </w:rPr>
      </w:pPr>
    </w:p>
    <w:p w:rsidR="00B50382" w:rsidRDefault="00EC6751" w:rsidP="00F415D6">
      <w:pPr>
        <w:ind w:firstLine="708"/>
        <w:jc w:val="both"/>
        <w:rPr>
          <w:rFonts w:ascii="Times New Roman" w:hAnsi="Times New Roman"/>
          <w:sz w:val="24"/>
          <w:szCs w:val="24"/>
          <w:lang w:val="sr-Cyrl-CS"/>
        </w:rPr>
      </w:pPr>
      <w:r w:rsidRPr="00EC6751">
        <w:rPr>
          <w:rFonts w:ascii="Times New Roman" w:hAnsi="Times New Roman"/>
          <w:sz w:val="24"/>
          <w:szCs w:val="24"/>
          <w:lang w:val="sr-Cyrl-CS"/>
        </w:rPr>
        <w:t>Специфичност пореза на добит правних лица</w:t>
      </w:r>
      <w:r>
        <w:rPr>
          <w:rFonts w:ascii="Times New Roman" w:hAnsi="Times New Roman"/>
          <w:sz w:val="24"/>
          <w:szCs w:val="24"/>
          <w:lang w:val="sr-Cyrl-CS"/>
        </w:rPr>
        <w:t xml:space="preserve"> </w:t>
      </w:r>
      <w:r w:rsidR="00F415D6">
        <w:rPr>
          <w:rFonts w:ascii="Times New Roman" w:hAnsi="Times New Roman"/>
          <w:sz w:val="24"/>
          <w:szCs w:val="24"/>
          <w:lang w:val="sr-Cyrl-CS"/>
        </w:rPr>
        <w:t>се огледа у чињеници да се утврђивање овог пореза заснива на принципу меродавности п</w:t>
      </w:r>
      <w:r w:rsidR="00B344BB">
        <w:rPr>
          <w:rFonts w:ascii="Times New Roman" w:hAnsi="Times New Roman"/>
          <w:sz w:val="24"/>
          <w:szCs w:val="24"/>
          <w:lang w:val="sr-Cyrl-CS"/>
        </w:rPr>
        <w:t>о</w:t>
      </w:r>
      <w:r w:rsidR="00F415D6">
        <w:rPr>
          <w:rFonts w:ascii="Times New Roman" w:hAnsi="Times New Roman"/>
          <w:sz w:val="24"/>
          <w:szCs w:val="24"/>
          <w:lang w:val="sr-Cyrl-CS"/>
        </w:rPr>
        <w:t>словног биланса за порески биланс. Уједно ова карактеристика, која овај порески облик разликује од свих других облика ј</w:t>
      </w:r>
      <w:r w:rsidR="001B2715">
        <w:rPr>
          <w:rFonts w:ascii="Times New Roman" w:hAnsi="Times New Roman"/>
          <w:sz w:val="24"/>
          <w:szCs w:val="24"/>
        </w:rPr>
        <w:t>a</w:t>
      </w:r>
      <w:r w:rsidR="001B2715">
        <w:rPr>
          <w:rFonts w:ascii="Times New Roman" w:hAnsi="Times New Roman"/>
          <w:sz w:val="24"/>
          <w:szCs w:val="24"/>
          <w:lang w:val="sr-Cyrl-CS"/>
        </w:rPr>
        <w:t>в</w:t>
      </w:r>
      <w:r w:rsidR="00F415D6">
        <w:rPr>
          <w:rFonts w:ascii="Times New Roman" w:hAnsi="Times New Roman"/>
          <w:sz w:val="24"/>
          <w:szCs w:val="24"/>
          <w:lang w:val="sr-Cyrl-CS"/>
        </w:rPr>
        <w:t xml:space="preserve">них прихода, указује и на његову сложеност. Самим тим код овог пореског облика је заступљен велики утицај рачуноводственог закона, који са бројним подзаконским актима и рачуноводственим стандардима одређује износ опорезиве добити као основице опорезивања. </w:t>
      </w:r>
      <w:r w:rsidR="004C78FF">
        <w:rPr>
          <w:rFonts w:ascii="Times New Roman" w:hAnsi="Times New Roman"/>
          <w:sz w:val="24"/>
          <w:szCs w:val="24"/>
          <w:lang w:val="sr-Cyrl-CS"/>
        </w:rPr>
        <w:t xml:space="preserve">Законски опис пореског чињеничног стања се заснива не само на нормама пореског права, него и на нормама рачуноводственог законодавства. </w:t>
      </w:r>
      <w:r w:rsidR="00F415D6">
        <w:rPr>
          <w:rFonts w:ascii="Times New Roman" w:hAnsi="Times New Roman"/>
          <w:sz w:val="24"/>
          <w:szCs w:val="24"/>
          <w:lang w:val="sr-Cyrl-CS"/>
        </w:rPr>
        <w:t xml:space="preserve">На основу наведене специфичности се може закључити да  коришћење </w:t>
      </w:r>
      <w:r w:rsidR="00B344BB">
        <w:rPr>
          <w:rFonts w:ascii="Times New Roman" w:hAnsi="Times New Roman"/>
          <w:sz w:val="24"/>
          <w:szCs w:val="24"/>
          <w:lang w:val="sr-Cyrl-CS"/>
        </w:rPr>
        <w:t xml:space="preserve">најпогоднијих </w:t>
      </w:r>
      <w:r w:rsidR="00F415D6">
        <w:rPr>
          <w:rFonts w:ascii="Times New Roman" w:hAnsi="Times New Roman"/>
          <w:sz w:val="24"/>
          <w:szCs w:val="24"/>
          <w:lang w:val="sr-Cyrl-CS"/>
        </w:rPr>
        <w:t>рачуноводствених поступака</w:t>
      </w:r>
      <w:r w:rsidR="00F4056F">
        <w:rPr>
          <w:rFonts w:ascii="Times New Roman" w:hAnsi="Times New Roman"/>
          <w:sz w:val="24"/>
          <w:szCs w:val="24"/>
          <w:lang w:val="sr-Cyrl-CS"/>
        </w:rPr>
        <w:t>,</w:t>
      </w:r>
      <w:r w:rsidR="00B344BB">
        <w:rPr>
          <w:rFonts w:ascii="Times New Roman" w:hAnsi="Times New Roman"/>
          <w:sz w:val="24"/>
          <w:szCs w:val="24"/>
          <w:lang w:val="sr-Cyrl-CS"/>
        </w:rPr>
        <w:t xml:space="preserve"> у оквиру законом прописаних</w:t>
      </w:r>
      <w:r w:rsidR="00F4056F">
        <w:rPr>
          <w:rFonts w:ascii="Times New Roman" w:hAnsi="Times New Roman"/>
          <w:sz w:val="24"/>
          <w:szCs w:val="24"/>
          <w:lang w:val="sr-Cyrl-CS"/>
        </w:rPr>
        <w:t>,</w:t>
      </w:r>
      <w:r w:rsidR="00F415D6">
        <w:rPr>
          <w:rFonts w:ascii="Times New Roman" w:hAnsi="Times New Roman"/>
          <w:sz w:val="24"/>
          <w:szCs w:val="24"/>
          <w:lang w:val="sr-Cyrl-CS"/>
        </w:rPr>
        <w:t xml:space="preserve"> може послужити за избегавање пореза, услед битног и суштинског утицаја по</w:t>
      </w:r>
      <w:r w:rsidR="001B2715">
        <w:rPr>
          <w:rFonts w:ascii="Times New Roman" w:hAnsi="Times New Roman"/>
          <w:sz w:val="24"/>
          <w:szCs w:val="24"/>
          <w:lang w:val="sr-Cyrl-CS"/>
        </w:rPr>
        <w:t>с</w:t>
      </w:r>
      <w:r w:rsidR="00F415D6">
        <w:rPr>
          <w:rFonts w:ascii="Times New Roman" w:hAnsi="Times New Roman"/>
          <w:sz w:val="24"/>
          <w:szCs w:val="24"/>
          <w:lang w:val="sr-Cyrl-CS"/>
        </w:rPr>
        <w:t xml:space="preserve">ловног биланса на висину опорезиве добити. Према томе, до </w:t>
      </w:r>
      <w:r w:rsidR="00CE4A79">
        <w:rPr>
          <w:rFonts w:ascii="Times New Roman" w:hAnsi="Times New Roman"/>
          <w:sz w:val="24"/>
          <w:szCs w:val="24"/>
          <w:lang w:val="sr-Cyrl-CS"/>
        </w:rPr>
        <w:t xml:space="preserve">законског </w:t>
      </w:r>
      <w:r w:rsidR="00F415D6">
        <w:rPr>
          <w:rFonts w:ascii="Times New Roman" w:hAnsi="Times New Roman"/>
          <w:sz w:val="24"/>
          <w:szCs w:val="24"/>
          <w:lang w:val="sr-Cyrl-CS"/>
        </w:rPr>
        <w:t>избегавања пореза на добит правних лица може доћи не само коришћењем прописаних пореских олакшица него и применом таквог рачуноводственог сагледавања</w:t>
      </w:r>
      <w:r w:rsidR="00B344BB">
        <w:rPr>
          <w:rFonts w:ascii="Times New Roman" w:hAnsi="Times New Roman"/>
          <w:sz w:val="24"/>
          <w:szCs w:val="24"/>
          <w:lang w:val="sr-Cyrl-CS"/>
        </w:rPr>
        <w:t xml:space="preserve"> пословних промена</w:t>
      </w:r>
      <w:r w:rsidR="00636E64">
        <w:rPr>
          <w:rFonts w:ascii="Times New Roman" w:hAnsi="Times New Roman"/>
          <w:sz w:val="24"/>
          <w:szCs w:val="24"/>
          <w:lang w:val="sr-Cyrl-CS"/>
        </w:rPr>
        <w:t xml:space="preserve"> које је најповољније, а</w:t>
      </w:r>
      <w:r w:rsidR="00F415D6">
        <w:rPr>
          <w:rFonts w:ascii="Times New Roman" w:hAnsi="Times New Roman"/>
          <w:sz w:val="24"/>
          <w:szCs w:val="24"/>
          <w:lang w:val="sr-Cyrl-CS"/>
        </w:rPr>
        <w:t xml:space="preserve"> које </w:t>
      </w:r>
      <w:r w:rsidR="00B344BB">
        <w:rPr>
          <w:rFonts w:ascii="Times New Roman" w:hAnsi="Times New Roman"/>
          <w:sz w:val="24"/>
          <w:szCs w:val="24"/>
          <w:lang w:val="sr-Cyrl-CS"/>
        </w:rPr>
        <w:t>признаје порески закон.</w:t>
      </w:r>
    </w:p>
    <w:p w:rsidR="00733E3F" w:rsidRPr="00B90C1E" w:rsidRDefault="00733E3F" w:rsidP="00B90C1E">
      <w:pPr>
        <w:ind w:firstLine="708"/>
        <w:jc w:val="both"/>
        <w:rPr>
          <w:rFonts w:ascii="Times New Roman" w:hAnsi="Times New Roman"/>
          <w:sz w:val="24"/>
          <w:szCs w:val="24"/>
          <w:lang w:val="sr-Cyrl-CS"/>
        </w:rPr>
      </w:pPr>
      <w:r w:rsidRPr="00B90C1E">
        <w:rPr>
          <w:rFonts w:ascii="Times New Roman" w:hAnsi="Times New Roman"/>
          <w:sz w:val="24"/>
          <w:szCs w:val="24"/>
          <w:lang w:val="sr-Cyrl-CS"/>
        </w:rPr>
        <w:t xml:space="preserve">Усклађивања на </w:t>
      </w:r>
      <w:r w:rsidR="00DA1917" w:rsidRPr="00B90C1E">
        <w:rPr>
          <w:rFonts w:ascii="Times New Roman" w:hAnsi="Times New Roman"/>
          <w:sz w:val="24"/>
          <w:szCs w:val="24"/>
          <w:lang w:val="sr-Cyrl-CS"/>
        </w:rPr>
        <w:t>страни расхода су бројна, док</w:t>
      </w:r>
      <w:r w:rsidRPr="00B90C1E">
        <w:rPr>
          <w:rFonts w:ascii="Times New Roman" w:hAnsi="Times New Roman"/>
          <w:sz w:val="24"/>
          <w:szCs w:val="24"/>
          <w:lang w:val="sr-Cyrl-CS"/>
        </w:rPr>
        <w:t xml:space="preserve"> на страни прихода нису тако бројна</w:t>
      </w:r>
      <w:r w:rsidR="002011C2" w:rsidRPr="00B90C1E">
        <w:rPr>
          <w:rFonts w:ascii="Times New Roman" w:hAnsi="Times New Roman"/>
          <w:sz w:val="24"/>
          <w:szCs w:val="24"/>
          <w:lang w:val="sr-Cyrl-CS"/>
        </w:rPr>
        <w:t>.</w:t>
      </w:r>
      <w:r w:rsidR="002011C2" w:rsidRPr="00B90C1E">
        <w:rPr>
          <w:rStyle w:val="FootnoteReference"/>
          <w:rFonts w:ascii="Times New Roman" w:hAnsi="Times New Roman"/>
          <w:sz w:val="24"/>
          <w:szCs w:val="24"/>
          <w:lang w:val="sr-Cyrl-CS"/>
        </w:rPr>
        <w:footnoteReference w:id="285"/>
      </w:r>
      <w:r w:rsidRPr="00B90C1E">
        <w:rPr>
          <w:rFonts w:ascii="Times New Roman" w:hAnsi="Times New Roman"/>
          <w:sz w:val="24"/>
          <w:szCs w:val="24"/>
          <w:lang w:val="sr-Cyrl-CS"/>
        </w:rPr>
        <w:t xml:space="preserve"> </w:t>
      </w:r>
      <w:r w:rsidR="00F4056F" w:rsidRPr="00B90C1E">
        <w:rPr>
          <w:rFonts w:ascii="Times New Roman" w:hAnsi="Times New Roman"/>
          <w:sz w:val="24"/>
          <w:szCs w:val="24"/>
        </w:rPr>
        <w:t>За</w:t>
      </w:r>
      <w:r w:rsidR="002011C2" w:rsidRPr="00B90C1E">
        <w:rPr>
          <w:rFonts w:ascii="Times New Roman" w:hAnsi="Times New Roman"/>
          <w:sz w:val="24"/>
          <w:szCs w:val="24"/>
        </w:rPr>
        <w:t xml:space="preserve"> </w:t>
      </w:r>
      <w:r w:rsidR="00F4056F" w:rsidRPr="00B90C1E">
        <w:rPr>
          <w:rFonts w:ascii="Times New Roman" w:hAnsi="Times New Roman"/>
          <w:sz w:val="24"/>
          <w:szCs w:val="24"/>
        </w:rPr>
        <w:t>утврђивање</w:t>
      </w:r>
      <w:r w:rsidR="002011C2" w:rsidRPr="00B90C1E">
        <w:rPr>
          <w:rFonts w:ascii="Times New Roman" w:hAnsi="Times New Roman"/>
          <w:sz w:val="24"/>
          <w:szCs w:val="24"/>
        </w:rPr>
        <w:t xml:space="preserve"> </w:t>
      </w:r>
      <w:r w:rsidR="00F4056F" w:rsidRPr="00B90C1E">
        <w:rPr>
          <w:rFonts w:ascii="Times New Roman" w:hAnsi="Times New Roman"/>
          <w:sz w:val="24"/>
          <w:szCs w:val="24"/>
        </w:rPr>
        <w:t>опорезиве</w:t>
      </w:r>
      <w:r w:rsidR="002011C2" w:rsidRPr="00B90C1E">
        <w:rPr>
          <w:rFonts w:ascii="Times New Roman" w:hAnsi="Times New Roman"/>
          <w:sz w:val="24"/>
          <w:szCs w:val="24"/>
        </w:rPr>
        <w:t xml:space="preserve"> </w:t>
      </w:r>
      <w:r w:rsidR="00F4056F" w:rsidRPr="00B90C1E">
        <w:rPr>
          <w:rFonts w:ascii="Times New Roman" w:hAnsi="Times New Roman"/>
          <w:sz w:val="24"/>
          <w:szCs w:val="24"/>
        </w:rPr>
        <w:t>добити</w:t>
      </w:r>
      <w:r w:rsidR="002011C2" w:rsidRPr="00B90C1E">
        <w:rPr>
          <w:rFonts w:ascii="Times New Roman" w:hAnsi="Times New Roman"/>
          <w:sz w:val="24"/>
          <w:szCs w:val="24"/>
        </w:rPr>
        <w:t xml:space="preserve"> </w:t>
      </w:r>
      <w:r w:rsidR="00F4056F" w:rsidRPr="00B90C1E">
        <w:rPr>
          <w:rFonts w:ascii="Times New Roman" w:hAnsi="Times New Roman"/>
          <w:sz w:val="24"/>
          <w:szCs w:val="24"/>
        </w:rPr>
        <w:t>признају</w:t>
      </w:r>
      <w:r w:rsidR="002011C2" w:rsidRPr="00B90C1E">
        <w:rPr>
          <w:rFonts w:ascii="Times New Roman" w:hAnsi="Times New Roman"/>
          <w:sz w:val="24"/>
          <w:szCs w:val="24"/>
        </w:rPr>
        <w:t xml:space="preserve"> </w:t>
      </w:r>
      <w:r w:rsidR="00F4056F" w:rsidRPr="00B90C1E">
        <w:rPr>
          <w:rFonts w:ascii="Times New Roman" w:hAnsi="Times New Roman"/>
          <w:sz w:val="24"/>
          <w:szCs w:val="24"/>
        </w:rPr>
        <w:t>се</w:t>
      </w:r>
      <w:r w:rsidR="002011C2" w:rsidRPr="00B90C1E">
        <w:rPr>
          <w:rFonts w:ascii="Times New Roman" w:hAnsi="Times New Roman"/>
          <w:sz w:val="24"/>
          <w:szCs w:val="24"/>
        </w:rPr>
        <w:t xml:space="preserve"> </w:t>
      </w:r>
      <w:r w:rsidR="00F4056F" w:rsidRPr="00B90C1E">
        <w:rPr>
          <w:rFonts w:ascii="Times New Roman" w:hAnsi="Times New Roman"/>
          <w:sz w:val="24"/>
          <w:szCs w:val="24"/>
        </w:rPr>
        <w:t>приходи</w:t>
      </w:r>
      <w:r w:rsidR="002011C2" w:rsidRPr="00B90C1E">
        <w:rPr>
          <w:rFonts w:ascii="Times New Roman" w:hAnsi="Times New Roman"/>
          <w:sz w:val="24"/>
          <w:szCs w:val="24"/>
        </w:rPr>
        <w:t xml:space="preserve"> </w:t>
      </w:r>
      <w:r w:rsidR="00F4056F" w:rsidRPr="00B90C1E">
        <w:rPr>
          <w:rFonts w:ascii="Times New Roman" w:hAnsi="Times New Roman"/>
          <w:sz w:val="24"/>
          <w:szCs w:val="24"/>
        </w:rPr>
        <w:t>у</w:t>
      </w:r>
      <w:r w:rsidR="002011C2" w:rsidRPr="00B90C1E">
        <w:rPr>
          <w:rFonts w:ascii="Times New Roman" w:hAnsi="Times New Roman"/>
          <w:sz w:val="24"/>
          <w:szCs w:val="24"/>
        </w:rPr>
        <w:t xml:space="preserve"> </w:t>
      </w:r>
      <w:r w:rsidR="00F4056F" w:rsidRPr="00B90C1E">
        <w:rPr>
          <w:rFonts w:ascii="Times New Roman" w:hAnsi="Times New Roman"/>
          <w:sz w:val="24"/>
          <w:szCs w:val="24"/>
        </w:rPr>
        <w:t>износима</w:t>
      </w:r>
      <w:r w:rsidR="002011C2" w:rsidRPr="00B90C1E">
        <w:rPr>
          <w:rFonts w:ascii="Times New Roman" w:hAnsi="Times New Roman"/>
          <w:sz w:val="24"/>
          <w:szCs w:val="24"/>
        </w:rPr>
        <w:t xml:space="preserve"> </w:t>
      </w:r>
      <w:r w:rsidR="00F4056F" w:rsidRPr="00B90C1E">
        <w:rPr>
          <w:rFonts w:ascii="Times New Roman" w:hAnsi="Times New Roman"/>
          <w:sz w:val="24"/>
          <w:szCs w:val="24"/>
        </w:rPr>
        <w:t>утврђеним</w:t>
      </w:r>
      <w:r w:rsidR="002011C2" w:rsidRPr="00B90C1E">
        <w:rPr>
          <w:rFonts w:ascii="Times New Roman" w:hAnsi="Times New Roman"/>
          <w:sz w:val="24"/>
          <w:szCs w:val="24"/>
        </w:rPr>
        <w:t xml:space="preserve"> </w:t>
      </w:r>
      <w:r w:rsidR="00F4056F" w:rsidRPr="00B90C1E">
        <w:rPr>
          <w:rFonts w:ascii="Times New Roman" w:hAnsi="Times New Roman"/>
          <w:sz w:val="24"/>
          <w:szCs w:val="24"/>
        </w:rPr>
        <w:t>билансом</w:t>
      </w:r>
      <w:r w:rsidR="002011C2" w:rsidRPr="00B90C1E">
        <w:rPr>
          <w:rFonts w:ascii="Times New Roman" w:hAnsi="Times New Roman"/>
          <w:sz w:val="24"/>
          <w:szCs w:val="24"/>
        </w:rPr>
        <w:t xml:space="preserve"> </w:t>
      </w:r>
      <w:r w:rsidR="00F4056F" w:rsidRPr="00B90C1E">
        <w:rPr>
          <w:rFonts w:ascii="Times New Roman" w:hAnsi="Times New Roman"/>
          <w:sz w:val="24"/>
          <w:szCs w:val="24"/>
        </w:rPr>
        <w:t>успеха</w:t>
      </w:r>
      <w:r w:rsidR="002011C2" w:rsidRPr="00B90C1E">
        <w:rPr>
          <w:rFonts w:ascii="Times New Roman" w:hAnsi="Times New Roman"/>
          <w:sz w:val="24"/>
          <w:szCs w:val="24"/>
        </w:rPr>
        <w:t xml:space="preserve">, </w:t>
      </w:r>
      <w:r w:rsidR="00F4056F" w:rsidRPr="00B90C1E">
        <w:rPr>
          <w:rFonts w:ascii="Times New Roman" w:hAnsi="Times New Roman"/>
          <w:sz w:val="24"/>
          <w:szCs w:val="24"/>
        </w:rPr>
        <w:t>у</w:t>
      </w:r>
      <w:r w:rsidR="002011C2" w:rsidRPr="00B90C1E">
        <w:rPr>
          <w:rFonts w:ascii="Times New Roman" w:hAnsi="Times New Roman"/>
          <w:sz w:val="24"/>
          <w:szCs w:val="24"/>
        </w:rPr>
        <w:t xml:space="preserve"> </w:t>
      </w:r>
      <w:r w:rsidR="00F4056F" w:rsidRPr="00B90C1E">
        <w:rPr>
          <w:rFonts w:ascii="Times New Roman" w:hAnsi="Times New Roman"/>
          <w:sz w:val="24"/>
          <w:szCs w:val="24"/>
        </w:rPr>
        <w:t>складу</w:t>
      </w:r>
      <w:r w:rsidR="002011C2" w:rsidRPr="00B90C1E">
        <w:rPr>
          <w:rFonts w:ascii="Times New Roman" w:hAnsi="Times New Roman"/>
          <w:sz w:val="24"/>
          <w:szCs w:val="24"/>
        </w:rPr>
        <w:t xml:space="preserve"> </w:t>
      </w:r>
      <w:r w:rsidR="00F4056F" w:rsidRPr="00B90C1E">
        <w:rPr>
          <w:rFonts w:ascii="Times New Roman" w:hAnsi="Times New Roman"/>
          <w:sz w:val="24"/>
          <w:szCs w:val="24"/>
        </w:rPr>
        <w:t>са</w:t>
      </w:r>
      <w:r w:rsidR="002011C2" w:rsidRPr="00B90C1E">
        <w:rPr>
          <w:rFonts w:ascii="Times New Roman" w:hAnsi="Times New Roman"/>
          <w:sz w:val="24"/>
          <w:szCs w:val="24"/>
        </w:rPr>
        <w:t xml:space="preserve"> </w:t>
      </w:r>
      <w:r w:rsidR="00F4056F" w:rsidRPr="00B90C1E">
        <w:rPr>
          <w:rFonts w:ascii="Times New Roman" w:hAnsi="Times New Roman"/>
          <w:sz w:val="24"/>
          <w:szCs w:val="24"/>
        </w:rPr>
        <w:t>МРС</w:t>
      </w:r>
      <w:r w:rsidR="002011C2" w:rsidRPr="00B90C1E">
        <w:rPr>
          <w:rFonts w:ascii="Times New Roman" w:hAnsi="Times New Roman"/>
          <w:sz w:val="24"/>
          <w:szCs w:val="24"/>
        </w:rPr>
        <w:t xml:space="preserve">, </w:t>
      </w:r>
      <w:r w:rsidR="00F4056F" w:rsidRPr="00B90C1E">
        <w:rPr>
          <w:rFonts w:ascii="Times New Roman" w:hAnsi="Times New Roman"/>
          <w:sz w:val="24"/>
          <w:szCs w:val="24"/>
        </w:rPr>
        <w:t>односно</w:t>
      </w:r>
      <w:r w:rsidR="002011C2" w:rsidRPr="00B90C1E">
        <w:rPr>
          <w:rFonts w:ascii="Times New Roman" w:hAnsi="Times New Roman"/>
          <w:sz w:val="24"/>
          <w:szCs w:val="24"/>
        </w:rPr>
        <w:t xml:space="preserve"> </w:t>
      </w:r>
      <w:r w:rsidR="00F4056F" w:rsidRPr="00B90C1E">
        <w:rPr>
          <w:rFonts w:ascii="Times New Roman" w:hAnsi="Times New Roman"/>
          <w:sz w:val="24"/>
          <w:szCs w:val="24"/>
        </w:rPr>
        <w:t>МСФИ</w:t>
      </w:r>
      <w:r w:rsidR="002011C2" w:rsidRPr="00B90C1E">
        <w:rPr>
          <w:rFonts w:ascii="Times New Roman" w:hAnsi="Times New Roman"/>
          <w:sz w:val="24"/>
          <w:szCs w:val="24"/>
        </w:rPr>
        <w:t xml:space="preserve"> </w:t>
      </w:r>
      <w:r w:rsidR="00F4056F" w:rsidRPr="00B90C1E">
        <w:rPr>
          <w:rFonts w:ascii="Times New Roman" w:hAnsi="Times New Roman"/>
          <w:sz w:val="24"/>
          <w:szCs w:val="24"/>
        </w:rPr>
        <w:t>и</w:t>
      </w:r>
      <w:r w:rsidR="002011C2" w:rsidRPr="00B90C1E">
        <w:rPr>
          <w:rFonts w:ascii="Times New Roman" w:hAnsi="Times New Roman"/>
          <w:sz w:val="24"/>
          <w:szCs w:val="24"/>
        </w:rPr>
        <w:t xml:space="preserve"> </w:t>
      </w:r>
      <w:r w:rsidR="00F4056F" w:rsidRPr="00B90C1E">
        <w:rPr>
          <w:rFonts w:ascii="Times New Roman" w:hAnsi="Times New Roman"/>
          <w:sz w:val="24"/>
          <w:szCs w:val="24"/>
        </w:rPr>
        <w:t>прописима</w:t>
      </w:r>
      <w:r w:rsidR="002011C2" w:rsidRPr="00B90C1E">
        <w:rPr>
          <w:rFonts w:ascii="Times New Roman" w:hAnsi="Times New Roman"/>
          <w:sz w:val="24"/>
          <w:szCs w:val="24"/>
        </w:rPr>
        <w:t xml:space="preserve"> </w:t>
      </w:r>
      <w:r w:rsidR="00F4056F" w:rsidRPr="00B90C1E">
        <w:rPr>
          <w:rFonts w:ascii="Times New Roman" w:hAnsi="Times New Roman"/>
          <w:sz w:val="24"/>
          <w:szCs w:val="24"/>
        </w:rPr>
        <w:t>којима</w:t>
      </w:r>
      <w:r w:rsidR="002011C2" w:rsidRPr="00B90C1E">
        <w:rPr>
          <w:rFonts w:ascii="Times New Roman" w:hAnsi="Times New Roman"/>
          <w:sz w:val="24"/>
          <w:szCs w:val="24"/>
        </w:rPr>
        <w:t xml:space="preserve"> </w:t>
      </w:r>
      <w:r w:rsidR="00F4056F" w:rsidRPr="00B90C1E">
        <w:rPr>
          <w:rFonts w:ascii="Times New Roman" w:hAnsi="Times New Roman"/>
          <w:sz w:val="24"/>
          <w:szCs w:val="24"/>
        </w:rPr>
        <w:t>се</w:t>
      </w:r>
      <w:r w:rsidR="002011C2" w:rsidRPr="00B90C1E">
        <w:rPr>
          <w:rFonts w:ascii="Times New Roman" w:hAnsi="Times New Roman"/>
          <w:sz w:val="24"/>
          <w:szCs w:val="24"/>
        </w:rPr>
        <w:t xml:space="preserve"> </w:t>
      </w:r>
      <w:r w:rsidR="00F4056F" w:rsidRPr="00B90C1E">
        <w:rPr>
          <w:rFonts w:ascii="Times New Roman" w:hAnsi="Times New Roman"/>
          <w:sz w:val="24"/>
          <w:szCs w:val="24"/>
        </w:rPr>
        <w:t>уређује</w:t>
      </w:r>
      <w:r w:rsidR="002011C2" w:rsidRPr="00B90C1E">
        <w:rPr>
          <w:rFonts w:ascii="Times New Roman" w:hAnsi="Times New Roman"/>
          <w:sz w:val="24"/>
          <w:szCs w:val="24"/>
        </w:rPr>
        <w:t xml:space="preserve"> </w:t>
      </w:r>
      <w:r w:rsidR="00F4056F" w:rsidRPr="00B90C1E">
        <w:rPr>
          <w:rFonts w:ascii="Times New Roman" w:hAnsi="Times New Roman"/>
          <w:sz w:val="24"/>
          <w:szCs w:val="24"/>
        </w:rPr>
        <w:t>рачуноводство</w:t>
      </w:r>
      <w:r w:rsidR="002011C2" w:rsidRPr="00B90C1E">
        <w:rPr>
          <w:rFonts w:ascii="Times New Roman" w:hAnsi="Times New Roman"/>
          <w:sz w:val="24"/>
          <w:szCs w:val="24"/>
        </w:rPr>
        <w:t xml:space="preserve"> </w:t>
      </w:r>
      <w:r w:rsidR="00F4056F" w:rsidRPr="00B90C1E">
        <w:rPr>
          <w:rFonts w:ascii="Times New Roman" w:hAnsi="Times New Roman"/>
          <w:sz w:val="24"/>
          <w:szCs w:val="24"/>
        </w:rPr>
        <w:t>и</w:t>
      </w:r>
      <w:r w:rsidR="002011C2" w:rsidRPr="00B90C1E">
        <w:rPr>
          <w:rFonts w:ascii="Times New Roman" w:hAnsi="Times New Roman"/>
          <w:sz w:val="24"/>
          <w:szCs w:val="24"/>
        </w:rPr>
        <w:t xml:space="preserve"> </w:t>
      </w:r>
      <w:r w:rsidR="00F4056F" w:rsidRPr="00B90C1E">
        <w:rPr>
          <w:rFonts w:ascii="Times New Roman" w:hAnsi="Times New Roman"/>
          <w:sz w:val="24"/>
          <w:szCs w:val="24"/>
        </w:rPr>
        <w:t>ревизија</w:t>
      </w:r>
      <w:r w:rsidR="002011C2" w:rsidRPr="00B90C1E">
        <w:rPr>
          <w:rFonts w:ascii="Times New Roman" w:hAnsi="Times New Roman"/>
          <w:sz w:val="24"/>
          <w:szCs w:val="24"/>
        </w:rPr>
        <w:t xml:space="preserve">, </w:t>
      </w:r>
      <w:r w:rsidR="00F4056F" w:rsidRPr="00B90C1E">
        <w:rPr>
          <w:rFonts w:ascii="Times New Roman" w:hAnsi="Times New Roman"/>
          <w:sz w:val="24"/>
          <w:szCs w:val="24"/>
        </w:rPr>
        <w:t>осим</w:t>
      </w:r>
      <w:r w:rsidR="002011C2" w:rsidRPr="00B90C1E">
        <w:rPr>
          <w:rFonts w:ascii="Times New Roman" w:hAnsi="Times New Roman"/>
          <w:sz w:val="24"/>
          <w:szCs w:val="24"/>
        </w:rPr>
        <w:t xml:space="preserve"> </w:t>
      </w:r>
      <w:r w:rsidR="00F4056F" w:rsidRPr="00B90C1E">
        <w:rPr>
          <w:rFonts w:ascii="Times New Roman" w:hAnsi="Times New Roman"/>
          <w:sz w:val="24"/>
          <w:szCs w:val="24"/>
        </w:rPr>
        <w:t>прихода</w:t>
      </w:r>
      <w:r w:rsidR="002011C2" w:rsidRPr="00B90C1E">
        <w:rPr>
          <w:rFonts w:ascii="Times New Roman" w:hAnsi="Times New Roman"/>
          <w:sz w:val="24"/>
          <w:szCs w:val="24"/>
        </w:rPr>
        <w:t xml:space="preserve"> </w:t>
      </w:r>
      <w:r w:rsidR="00F4056F" w:rsidRPr="00B90C1E">
        <w:rPr>
          <w:rFonts w:ascii="Times New Roman" w:hAnsi="Times New Roman"/>
          <w:sz w:val="24"/>
          <w:szCs w:val="24"/>
        </w:rPr>
        <w:t>за</w:t>
      </w:r>
      <w:r w:rsidR="002011C2" w:rsidRPr="00B90C1E">
        <w:rPr>
          <w:rFonts w:ascii="Times New Roman" w:hAnsi="Times New Roman"/>
          <w:sz w:val="24"/>
          <w:szCs w:val="24"/>
        </w:rPr>
        <w:t xml:space="preserve"> </w:t>
      </w:r>
      <w:r w:rsidR="00F4056F" w:rsidRPr="00B90C1E">
        <w:rPr>
          <w:rFonts w:ascii="Times New Roman" w:hAnsi="Times New Roman"/>
          <w:sz w:val="24"/>
          <w:szCs w:val="24"/>
        </w:rPr>
        <w:t>које</w:t>
      </w:r>
      <w:r w:rsidR="002011C2" w:rsidRPr="00B90C1E">
        <w:rPr>
          <w:rFonts w:ascii="Times New Roman" w:hAnsi="Times New Roman"/>
          <w:sz w:val="24"/>
          <w:szCs w:val="24"/>
        </w:rPr>
        <w:t xml:space="preserve"> </w:t>
      </w:r>
      <w:r w:rsidR="00F4056F" w:rsidRPr="00B90C1E">
        <w:rPr>
          <w:rFonts w:ascii="Times New Roman" w:hAnsi="Times New Roman"/>
          <w:sz w:val="24"/>
          <w:szCs w:val="24"/>
        </w:rPr>
        <w:t>је</w:t>
      </w:r>
      <w:r w:rsidR="002011C2" w:rsidRPr="00B90C1E">
        <w:rPr>
          <w:rFonts w:ascii="Times New Roman" w:hAnsi="Times New Roman"/>
          <w:sz w:val="24"/>
          <w:szCs w:val="24"/>
        </w:rPr>
        <w:t xml:space="preserve"> </w:t>
      </w:r>
      <w:r w:rsidR="00F4056F" w:rsidRPr="00B90C1E">
        <w:rPr>
          <w:rFonts w:ascii="Times New Roman" w:hAnsi="Times New Roman"/>
          <w:sz w:val="24"/>
          <w:szCs w:val="24"/>
        </w:rPr>
        <w:t>прописан</w:t>
      </w:r>
      <w:r w:rsidR="002011C2" w:rsidRPr="00B90C1E">
        <w:rPr>
          <w:rFonts w:ascii="Times New Roman" w:hAnsi="Times New Roman"/>
          <w:sz w:val="24"/>
          <w:szCs w:val="24"/>
        </w:rPr>
        <w:t xml:space="preserve"> </w:t>
      </w:r>
      <w:r w:rsidR="00F4056F" w:rsidRPr="00B90C1E">
        <w:rPr>
          <w:rFonts w:ascii="Times New Roman" w:hAnsi="Times New Roman"/>
          <w:sz w:val="24"/>
          <w:szCs w:val="24"/>
        </w:rPr>
        <w:t>други</w:t>
      </w:r>
      <w:r w:rsidR="002011C2" w:rsidRPr="00B90C1E">
        <w:rPr>
          <w:rFonts w:ascii="Times New Roman" w:hAnsi="Times New Roman"/>
          <w:sz w:val="24"/>
          <w:szCs w:val="24"/>
        </w:rPr>
        <w:t xml:space="preserve"> </w:t>
      </w:r>
      <w:r w:rsidR="00F4056F" w:rsidRPr="00B90C1E">
        <w:rPr>
          <w:rFonts w:ascii="Times New Roman" w:hAnsi="Times New Roman"/>
          <w:sz w:val="24"/>
          <w:szCs w:val="24"/>
        </w:rPr>
        <w:t>начин</w:t>
      </w:r>
      <w:r w:rsidR="002011C2" w:rsidRPr="00B90C1E">
        <w:rPr>
          <w:rFonts w:ascii="Times New Roman" w:hAnsi="Times New Roman"/>
          <w:sz w:val="24"/>
          <w:szCs w:val="24"/>
        </w:rPr>
        <w:t xml:space="preserve"> </w:t>
      </w:r>
      <w:r w:rsidR="00F4056F" w:rsidRPr="00B90C1E">
        <w:rPr>
          <w:rFonts w:ascii="Times New Roman" w:hAnsi="Times New Roman"/>
          <w:sz w:val="24"/>
          <w:szCs w:val="24"/>
        </w:rPr>
        <w:t>утврђивања</w:t>
      </w:r>
      <w:r w:rsidR="002011C2" w:rsidRPr="00B90C1E">
        <w:rPr>
          <w:rFonts w:ascii="Times New Roman" w:hAnsi="Times New Roman"/>
          <w:sz w:val="24"/>
          <w:szCs w:val="24"/>
        </w:rPr>
        <w:t xml:space="preserve">. </w:t>
      </w:r>
      <w:r w:rsidR="00F4056F" w:rsidRPr="00B90C1E">
        <w:rPr>
          <w:rFonts w:ascii="Times New Roman" w:hAnsi="Times New Roman"/>
          <w:sz w:val="24"/>
          <w:szCs w:val="24"/>
        </w:rPr>
        <w:t>Приход</w:t>
      </w:r>
      <w:r w:rsidR="002011C2" w:rsidRPr="00B90C1E">
        <w:rPr>
          <w:rFonts w:ascii="Times New Roman" w:hAnsi="Times New Roman"/>
          <w:sz w:val="24"/>
          <w:szCs w:val="24"/>
        </w:rPr>
        <w:t xml:space="preserve"> </w:t>
      </w:r>
      <w:r w:rsidR="00F4056F" w:rsidRPr="00B90C1E">
        <w:rPr>
          <w:rFonts w:ascii="Times New Roman" w:hAnsi="Times New Roman"/>
          <w:sz w:val="24"/>
          <w:szCs w:val="24"/>
        </w:rPr>
        <w:t>који</w:t>
      </w:r>
      <w:r w:rsidR="002011C2" w:rsidRPr="00B90C1E">
        <w:rPr>
          <w:rFonts w:ascii="Times New Roman" w:hAnsi="Times New Roman"/>
          <w:sz w:val="24"/>
          <w:szCs w:val="24"/>
        </w:rPr>
        <w:t xml:space="preserve"> </w:t>
      </w:r>
      <w:r w:rsidR="00F4056F" w:rsidRPr="00B90C1E">
        <w:rPr>
          <w:rFonts w:ascii="Times New Roman" w:hAnsi="Times New Roman"/>
          <w:sz w:val="24"/>
          <w:szCs w:val="24"/>
        </w:rPr>
        <w:t>резидентни</w:t>
      </w:r>
      <w:r w:rsidR="002011C2" w:rsidRPr="00B90C1E">
        <w:rPr>
          <w:rFonts w:ascii="Times New Roman" w:hAnsi="Times New Roman"/>
          <w:sz w:val="24"/>
          <w:szCs w:val="24"/>
        </w:rPr>
        <w:t xml:space="preserve"> </w:t>
      </w:r>
      <w:r w:rsidR="00F4056F" w:rsidRPr="00B90C1E">
        <w:rPr>
          <w:rFonts w:ascii="Times New Roman" w:hAnsi="Times New Roman"/>
          <w:sz w:val="24"/>
          <w:szCs w:val="24"/>
        </w:rPr>
        <w:t>обвезник</w:t>
      </w:r>
      <w:r w:rsidR="002011C2" w:rsidRPr="00B90C1E">
        <w:rPr>
          <w:rFonts w:ascii="Times New Roman" w:hAnsi="Times New Roman"/>
          <w:sz w:val="24"/>
          <w:szCs w:val="24"/>
        </w:rPr>
        <w:t xml:space="preserve"> </w:t>
      </w:r>
      <w:r w:rsidR="00F4056F" w:rsidRPr="00B90C1E">
        <w:rPr>
          <w:rFonts w:ascii="Times New Roman" w:hAnsi="Times New Roman"/>
          <w:sz w:val="24"/>
          <w:szCs w:val="24"/>
        </w:rPr>
        <w:t>оствари</w:t>
      </w:r>
      <w:r w:rsidR="002011C2" w:rsidRPr="00B90C1E">
        <w:rPr>
          <w:rFonts w:ascii="Times New Roman" w:hAnsi="Times New Roman"/>
          <w:sz w:val="24"/>
          <w:szCs w:val="24"/>
        </w:rPr>
        <w:t xml:space="preserve"> </w:t>
      </w:r>
      <w:r w:rsidR="00F4056F" w:rsidRPr="00B90C1E">
        <w:rPr>
          <w:rFonts w:ascii="Times New Roman" w:hAnsi="Times New Roman"/>
          <w:sz w:val="24"/>
          <w:szCs w:val="24"/>
        </w:rPr>
        <w:t>по</w:t>
      </w:r>
      <w:r w:rsidR="002011C2" w:rsidRPr="00B90C1E">
        <w:rPr>
          <w:rFonts w:ascii="Times New Roman" w:hAnsi="Times New Roman"/>
          <w:sz w:val="24"/>
          <w:szCs w:val="24"/>
        </w:rPr>
        <w:t xml:space="preserve"> </w:t>
      </w:r>
      <w:r w:rsidR="00F4056F" w:rsidRPr="00B90C1E">
        <w:rPr>
          <w:rFonts w:ascii="Times New Roman" w:hAnsi="Times New Roman"/>
          <w:sz w:val="24"/>
          <w:szCs w:val="24"/>
        </w:rPr>
        <w:t>основу</w:t>
      </w:r>
      <w:r w:rsidR="00ED6C62" w:rsidRPr="00B90C1E">
        <w:rPr>
          <w:rFonts w:ascii="Times New Roman" w:hAnsi="Times New Roman"/>
          <w:sz w:val="24"/>
          <w:szCs w:val="24"/>
        </w:rPr>
        <w:t xml:space="preserve"> </w:t>
      </w:r>
      <w:r w:rsidR="00F4056F" w:rsidRPr="00B90C1E">
        <w:rPr>
          <w:rFonts w:ascii="Times New Roman" w:hAnsi="Times New Roman"/>
          <w:sz w:val="24"/>
          <w:szCs w:val="24"/>
        </w:rPr>
        <w:t>дивиденди</w:t>
      </w:r>
      <w:r w:rsidR="00ED6C62" w:rsidRPr="00B90C1E">
        <w:rPr>
          <w:rFonts w:ascii="Times New Roman" w:hAnsi="Times New Roman"/>
          <w:sz w:val="24"/>
          <w:szCs w:val="24"/>
        </w:rPr>
        <w:t xml:space="preserve"> </w:t>
      </w:r>
      <w:r w:rsidR="00F4056F" w:rsidRPr="00B90C1E">
        <w:rPr>
          <w:rFonts w:ascii="Times New Roman" w:hAnsi="Times New Roman"/>
          <w:sz w:val="24"/>
          <w:szCs w:val="24"/>
        </w:rPr>
        <w:t>и</w:t>
      </w:r>
      <w:r w:rsidR="00ED6C62" w:rsidRPr="00B90C1E">
        <w:rPr>
          <w:rFonts w:ascii="Times New Roman" w:hAnsi="Times New Roman"/>
          <w:sz w:val="24"/>
          <w:szCs w:val="24"/>
        </w:rPr>
        <w:t xml:space="preserve"> </w:t>
      </w:r>
      <w:r w:rsidR="00F4056F" w:rsidRPr="00B90C1E">
        <w:rPr>
          <w:rFonts w:ascii="Times New Roman" w:hAnsi="Times New Roman"/>
          <w:sz w:val="24"/>
          <w:szCs w:val="24"/>
        </w:rPr>
        <w:t>удела</w:t>
      </w:r>
      <w:r w:rsidR="00ED6C62" w:rsidRPr="00B90C1E">
        <w:rPr>
          <w:rFonts w:ascii="Times New Roman" w:hAnsi="Times New Roman"/>
          <w:sz w:val="24"/>
          <w:szCs w:val="24"/>
        </w:rPr>
        <w:t xml:space="preserve"> </w:t>
      </w:r>
      <w:r w:rsidR="00F4056F" w:rsidRPr="00B90C1E">
        <w:rPr>
          <w:rFonts w:ascii="Times New Roman" w:hAnsi="Times New Roman"/>
          <w:sz w:val="24"/>
          <w:szCs w:val="24"/>
        </w:rPr>
        <w:t>у</w:t>
      </w:r>
      <w:r w:rsidR="00ED6C62" w:rsidRPr="00B90C1E">
        <w:rPr>
          <w:rFonts w:ascii="Times New Roman" w:hAnsi="Times New Roman"/>
          <w:sz w:val="24"/>
          <w:szCs w:val="24"/>
        </w:rPr>
        <w:t xml:space="preserve"> </w:t>
      </w:r>
      <w:r w:rsidR="00F4056F" w:rsidRPr="00B90C1E">
        <w:rPr>
          <w:rFonts w:ascii="Times New Roman" w:hAnsi="Times New Roman"/>
          <w:sz w:val="24"/>
          <w:szCs w:val="24"/>
        </w:rPr>
        <w:t>добити</w:t>
      </w:r>
      <w:r w:rsidR="00ED6C62" w:rsidRPr="00B90C1E">
        <w:rPr>
          <w:rFonts w:ascii="Times New Roman" w:hAnsi="Times New Roman"/>
          <w:sz w:val="24"/>
          <w:szCs w:val="24"/>
        </w:rPr>
        <w:t>,</w:t>
      </w:r>
      <w:r w:rsidR="002011C2" w:rsidRPr="00B90C1E">
        <w:rPr>
          <w:rFonts w:ascii="Times New Roman" w:hAnsi="Times New Roman"/>
          <w:sz w:val="24"/>
          <w:szCs w:val="24"/>
        </w:rPr>
        <w:t xml:space="preserve"> </w:t>
      </w:r>
      <w:r w:rsidR="00F4056F" w:rsidRPr="00B90C1E">
        <w:rPr>
          <w:rFonts w:ascii="Times New Roman" w:hAnsi="Times New Roman"/>
          <w:sz w:val="24"/>
          <w:szCs w:val="24"/>
        </w:rPr>
        <w:t>од</w:t>
      </w:r>
      <w:r w:rsidR="002011C2" w:rsidRPr="00B90C1E">
        <w:rPr>
          <w:rFonts w:ascii="Times New Roman" w:hAnsi="Times New Roman"/>
          <w:sz w:val="24"/>
          <w:szCs w:val="24"/>
        </w:rPr>
        <w:t xml:space="preserve"> </w:t>
      </w:r>
      <w:r w:rsidR="00F4056F" w:rsidRPr="00B90C1E">
        <w:rPr>
          <w:rFonts w:ascii="Times New Roman" w:hAnsi="Times New Roman"/>
          <w:sz w:val="24"/>
          <w:szCs w:val="24"/>
        </w:rPr>
        <w:t>другог</w:t>
      </w:r>
      <w:r w:rsidR="002011C2" w:rsidRPr="00B90C1E">
        <w:rPr>
          <w:rFonts w:ascii="Times New Roman" w:hAnsi="Times New Roman"/>
          <w:sz w:val="24"/>
          <w:szCs w:val="24"/>
        </w:rPr>
        <w:t xml:space="preserve"> </w:t>
      </w:r>
      <w:r w:rsidR="00F4056F" w:rsidRPr="00B90C1E">
        <w:rPr>
          <w:rFonts w:ascii="Times New Roman" w:hAnsi="Times New Roman"/>
          <w:sz w:val="24"/>
          <w:szCs w:val="24"/>
        </w:rPr>
        <w:t>резидентног</w:t>
      </w:r>
      <w:r w:rsidR="002011C2" w:rsidRPr="00B90C1E">
        <w:rPr>
          <w:rFonts w:ascii="Times New Roman" w:hAnsi="Times New Roman"/>
          <w:sz w:val="24"/>
          <w:szCs w:val="24"/>
        </w:rPr>
        <w:t xml:space="preserve"> </w:t>
      </w:r>
      <w:r w:rsidR="00F4056F" w:rsidRPr="00B90C1E">
        <w:rPr>
          <w:rFonts w:ascii="Times New Roman" w:hAnsi="Times New Roman"/>
          <w:sz w:val="24"/>
          <w:szCs w:val="24"/>
        </w:rPr>
        <w:t>обвезника</w:t>
      </w:r>
      <w:r w:rsidR="002011C2" w:rsidRPr="00B90C1E">
        <w:rPr>
          <w:rFonts w:ascii="Times New Roman" w:hAnsi="Times New Roman"/>
          <w:sz w:val="24"/>
          <w:szCs w:val="24"/>
        </w:rPr>
        <w:t xml:space="preserve">, </w:t>
      </w:r>
      <w:r w:rsidR="00F4056F" w:rsidRPr="00B90C1E">
        <w:rPr>
          <w:rFonts w:ascii="Times New Roman" w:hAnsi="Times New Roman"/>
          <w:sz w:val="24"/>
          <w:szCs w:val="24"/>
        </w:rPr>
        <w:t>не</w:t>
      </w:r>
      <w:r w:rsidR="002011C2" w:rsidRPr="00B90C1E">
        <w:rPr>
          <w:rFonts w:ascii="Times New Roman" w:hAnsi="Times New Roman"/>
          <w:sz w:val="24"/>
          <w:szCs w:val="24"/>
        </w:rPr>
        <w:t xml:space="preserve"> </w:t>
      </w:r>
      <w:r w:rsidR="00F4056F" w:rsidRPr="00B90C1E">
        <w:rPr>
          <w:rFonts w:ascii="Times New Roman" w:hAnsi="Times New Roman"/>
          <w:sz w:val="24"/>
          <w:szCs w:val="24"/>
        </w:rPr>
        <w:t>улази</w:t>
      </w:r>
      <w:r w:rsidR="002011C2" w:rsidRPr="00B90C1E">
        <w:rPr>
          <w:rFonts w:ascii="Times New Roman" w:hAnsi="Times New Roman"/>
          <w:sz w:val="24"/>
          <w:szCs w:val="24"/>
        </w:rPr>
        <w:t xml:space="preserve"> </w:t>
      </w:r>
      <w:r w:rsidR="00F4056F" w:rsidRPr="00B90C1E">
        <w:rPr>
          <w:rFonts w:ascii="Times New Roman" w:hAnsi="Times New Roman"/>
          <w:sz w:val="24"/>
          <w:szCs w:val="24"/>
        </w:rPr>
        <w:t>у</w:t>
      </w:r>
      <w:r w:rsidR="002011C2" w:rsidRPr="00B90C1E">
        <w:rPr>
          <w:rFonts w:ascii="Times New Roman" w:hAnsi="Times New Roman"/>
          <w:sz w:val="24"/>
          <w:szCs w:val="24"/>
        </w:rPr>
        <w:t xml:space="preserve"> </w:t>
      </w:r>
      <w:r w:rsidR="00F4056F" w:rsidRPr="00B90C1E">
        <w:rPr>
          <w:rFonts w:ascii="Times New Roman" w:hAnsi="Times New Roman"/>
          <w:sz w:val="24"/>
          <w:szCs w:val="24"/>
        </w:rPr>
        <w:t>пореску</w:t>
      </w:r>
      <w:r w:rsidR="002011C2" w:rsidRPr="00B90C1E">
        <w:rPr>
          <w:rFonts w:ascii="Times New Roman" w:hAnsi="Times New Roman"/>
          <w:sz w:val="24"/>
          <w:szCs w:val="24"/>
        </w:rPr>
        <w:t xml:space="preserve"> </w:t>
      </w:r>
      <w:r w:rsidR="00F4056F" w:rsidRPr="00B90C1E">
        <w:rPr>
          <w:rFonts w:ascii="Times New Roman" w:hAnsi="Times New Roman"/>
          <w:sz w:val="24"/>
          <w:szCs w:val="24"/>
        </w:rPr>
        <w:t>основицу</w:t>
      </w:r>
      <w:r w:rsidR="002011C2" w:rsidRPr="00B90C1E">
        <w:rPr>
          <w:rFonts w:ascii="Times New Roman" w:hAnsi="Times New Roman"/>
          <w:sz w:val="24"/>
          <w:szCs w:val="24"/>
        </w:rPr>
        <w:t>.</w:t>
      </w:r>
      <w:r w:rsidR="00ED6C62" w:rsidRPr="00B90C1E">
        <w:rPr>
          <w:rFonts w:ascii="Times New Roman" w:hAnsi="Times New Roman"/>
          <w:sz w:val="24"/>
          <w:szCs w:val="24"/>
        </w:rPr>
        <w:t xml:space="preserve"> </w:t>
      </w:r>
      <w:r w:rsidR="00F4056F" w:rsidRPr="00B90C1E">
        <w:rPr>
          <w:rFonts w:ascii="Times New Roman" w:hAnsi="Times New Roman"/>
          <w:sz w:val="24"/>
          <w:szCs w:val="24"/>
        </w:rPr>
        <w:t>Приходи</w:t>
      </w:r>
      <w:r w:rsidR="00ED6C62" w:rsidRPr="00B90C1E">
        <w:rPr>
          <w:rFonts w:ascii="Times New Roman" w:hAnsi="Times New Roman"/>
          <w:sz w:val="24"/>
          <w:szCs w:val="24"/>
        </w:rPr>
        <w:t xml:space="preserve"> </w:t>
      </w:r>
      <w:r w:rsidR="00F4056F" w:rsidRPr="00B90C1E">
        <w:rPr>
          <w:rFonts w:ascii="Times New Roman" w:hAnsi="Times New Roman"/>
          <w:sz w:val="24"/>
          <w:szCs w:val="24"/>
        </w:rPr>
        <w:t>настали</w:t>
      </w:r>
      <w:r w:rsidR="00ED6C62" w:rsidRPr="00B90C1E">
        <w:rPr>
          <w:rFonts w:ascii="Times New Roman" w:hAnsi="Times New Roman"/>
          <w:sz w:val="24"/>
          <w:szCs w:val="24"/>
        </w:rPr>
        <w:t xml:space="preserve"> </w:t>
      </w:r>
      <w:r w:rsidR="00F4056F" w:rsidRPr="00B90C1E">
        <w:rPr>
          <w:rFonts w:ascii="Times New Roman" w:hAnsi="Times New Roman"/>
          <w:sz w:val="24"/>
          <w:szCs w:val="24"/>
        </w:rPr>
        <w:t>по</w:t>
      </w:r>
      <w:r w:rsidR="00ED6C62" w:rsidRPr="00B90C1E">
        <w:rPr>
          <w:rFonts w:ascii="Times New Roman" w:hAnsi="Times New Roman"/>
          <w:sz w:val="24"/>
          <w:szCs w:val="24"/>
        </w:rPr>
        <w:t xml:space="preserve"> </w:t>
      </w:r>
      <w:r w:rsidR="00F4056F" w:rsidRPr="00B90C1E">
        <w:rPr>
          <w:rFonts w:ascii="Times New Roman" w:hAnsi="Times New Roman"/>
          <w:sz w:val="24"/>
          <w:szCs w:val="24"/>
        </w:rPr>
        <w:t>основу</w:t>
      </w:r>
      <w:r w:rsidR="00ED6C62" w:rsidRPr="00B90C1E">
        <w:rPr>
          <w:rFonts w:ascii="Times New Roman" w:hAnsi="Times New Roman"/>
          <w:sz w:val="24"/>
          <w:szCs w:val="24"/>
        </w:rPr>
        <w:t xml:space="preserve"> </w:t>
      </w:r>
      <w:r w:rsidR="00F4056F" w:rsidRPr="00B90C1E">
        <w:rPr>
          <w:rFonts w:ascii="Times New Roman" w:hAnsi="Times New Roman"/>
          <w:sz w:val="24"/>
          <w:szCs w:val="24"/>
        </w:rPr>
        <w:t>неискоришћених</w:t>
      </w:r>
      <w:r w:rsidR="00ED6C62" w:rsidRPr="00B90C1E">
        <w:rPr>
          <w:rFonts w:ascii="Times New Roman" w:hAnsi="Times New Roman"/>
          <w:sz w:val="24"/>
          <w:szCs w:val="24"/>
        </w:rPr>
        <w:t xml:space="preserve"> </w:t>
      </w:r>
      <w:r w:rsidR="00F4056F" w:rsidRPr="00B90C1E">
        <w:rPr>
          <w:rFonts w:ascii="Times New Roman" w:hAnsi="Times New Roman"/>
          <w:sz w:val="24"/>
          <w:szCs w:val="24"/>
        </w:rPr>
        <w:t>дугорочних</w:t>
      </w:r>
      <w:r w:rsidR="00ED6C62" w:rsidRPr="00B90C1E">
        <w:rPr>
          <w:rFonts w:ascii="Times New Roman" w:hAnsi="Times New Roman"/>
          <w:sz w:val="24"/>
          <w:szCs w:val="24"/>
        </w:rPr>
        <w:t xml:space="preserve"> </w:t>
      </w:r>
      <w:r w:rsidR="00F4056F" w:rsidRPr="00B90C1E">
        <w:rPr>
          <w:rFonts w:ascii="Times New Roman" w:hAnsi="Times New Roman"/>
          <w:sz w:val="24"/>
          <w:szCs w:val="24"/>
        </w:rPr>
        <w:t>резервисања</w:t>
      </w:r>
      <w:r w:rsidR="00ED6C62" w:rsidRPr="00B90C1E">
        <w:rPr>
          <w:rFonts w:ascii="Times New Roman" w:hAnsi="Times New Roman"/>
          <w:sz w:val="24"/>
          <w:szCs w:val="24"/>
        </w:rPr>
        <w:t xml:space="preserve"> </w:t>
      </w:r>
      <w:r w:rsidR="00F4056F" w:rsidRPr="00B90C1E">
        <w:rPr>
          <w:rFonts w:ascii="Times New Roman" w:hAnsi="Times New Roman"/>
          <w:sz w:val="24"/>
          <w:szCs w:val="24"/>
        </w:rPr>
        <w:t>која</w:t>
      </w:r>
      <w:r w:rsidR="00ED6C62" w:rsidRPr="00B90C1E">
        <w:rPr>
          <w:rFonts w:ascii="Times New Roman" w:hAnsi="Times New Roman"/>
          <w:sz w:val="24"/>
          <w:szCs w:val="24"/>
        </w:rPr>
        <w:t xml:space="preserve"> </w:t>
      </w:r>
      <w:r w:rsidR="00F4056F" w:rsidRPr="00B90C1E">
        <w:rPr>
          <w:rFonts w:ascii="Times New Roman" w:hAnsi="Times New Roman"/>
          <w:sz w:val="24"/>
          <w:szCs w:val="24"/>
        </w:rPr>
        <w:t>нису</w:t>
      </w:r>
      <w:r w:rsidR="00ED6C62" w:rsidRPr="00B90C1E">
        <w:rPr>
          <w:rFonts w:ascii="Times New Roman" w:hAnsi="Times New Roman"/>
          <w:sz w:val="24"/>
          <w:szCs w:val="24"/>
        </w:rPr>
        <w:t xml:space="preserve"> </w:t>
      </w:r>
      <w:r w:rsidR="00F4056F" w:rsidRPr="00B90C1E">
        <w:rPr>
          <w:rFonts w:ascii="Times New Roman" w:hAnsi="Times New Roman"/>
          <w:sz w:val="24"/>
          <w:szCs w:val="24"/>
        </w:rPr>
        <w:t>била</w:t>
      </w:r>
      <w:r w:rsidR="00ED6C62" w:rsidRPr="00B90C1E">
        <w:rPr>
          <w:rFonts w:ascii="Times New Roman" w:hAnsi="Times New Roman"/>
          <w:sz w:val="24"/>
          <w:szCs w:val="24"/>
        </w:rPr>
        <w:t xml:space="preserve"> </w:t>
      </w:r>
      <w:r w:rsidR="00F4056F" w:rsidRPr="00B90C1E">
        <w:rPr>
          <w:rFonts w:ascii="Times New Roman" w:hAnsi="Times New Roman"/>
          <w:sz w:val="24"/>
          <w:szCs w:val="24"/>
        </w:rPr>
        <w:t>призната</w:t>
      </w:r>
      <w:r w:rsidR="00ED6C62" w:rsidRPr="00B90C1E">
        <w:rPr>
          <w:rFonts w:ascii="Times New Roman" w:hAnsi="Times New Roman"/>
          <w:sz w:val="24"/>
          <w:szCs w:val="24"/>
        </w:rPr>
        <w:t xml:space="preserve"> </w:t>
      </w:r>
      <w:r w:rsidR="00F4056F" w:rsidRPr="00B90C1E">
        <w:rPr>
          <w:rFonts w:ascii="Times New Roman" w:hAnsi="Times New Roman"/>
          <w:sz w:val="24"/>
          <w:szCs w:val="24"/>
        </w:rPr>
        <w:t>као</w:t>
      </w:r>
      <w:r w:rsidR="00ED6C62" w:rsidRPr="00B90C1E">
        <w:rPr>
          <w:rFonts w:ascii="Times New Roman" w:hAnsi="Times New Roman"/>
          <w:sz w:val="24"/>
          <w:szCs w:val="24"/>
        </w:rPr>
        <w:t xml:space="preserve"> </w:t>
      </w:r>
      <w:r w:rsidR="00F4056F" w:rsidRPr="00B90C1E">
        <w:rPr>
          <w:rFonts w:ascii="Times New Roman" w:hAnsi="Times New Roman"/>
          <w:sz w:val="24"/>
          <w:szCs w:val="24"/>
        </w:rPr>
        <w:t>расход</w:t>
      </w:r>
      <w:r w:rsidR="00ED6C62" w:rsidRPr="00B90C1E">
        <w:rPr>
          <w:rFonts w:ascii="Times New Roman" w:hAnsi="Times New Roman"/>
          <w:sz w:val="24"/>
          <w:szCs w:val="24"/>
        </w:rPr>
        <w:t xml:space="preserve"> </w:t>
      </w:r>
      <w:r w:rsidR="00F4056F" w:rsidRPr="00B90C1E">
        <w:rPr>
          <w:rFonts w:ascii="Times New Roman" w:hAnsi="Times New Roman"/>
          <w:sz w:val="24"/>
          <w:szCs w:val="24"/>
        </w:rPr>
        <w:t>у</w:t>
      </w:r>
      <w:r w:rsidR="00ED6C62" w:rsidRPr="00B90C1E">
        <w:rPr>
          <w:rFonts w:ascii="Times New Roman" w:hAnsi="Times New Roman"/>
          <w:sz w:val="24"/>
          <w:szCs w:val="24"/>
        </w:rPr>
        <w:t xml:space="preserve"> </w:t>
      </w:r>
      <w:r w:rsidR="00F4056F" w:rsidRPr="00B90C1E">
        <w:rPr>
          <w:rFonts w:ascii="Times New Roman" w:hAnsi="Times New Roman"/>
          <w:sz w:val="24"/>
          <w:szCs w:val="24"/>
        </w:rPr>
        <w:t>пореском</w:t>
      </w:r>
      <w:r w:rsidR="00ED6C62" w:rsidRPr="00B90C1E">
        <w:rPr>
          <w:rFonts w:ascii="Times New Roman" w:hAnsi="Times New Roman"/>
          <w:sz w:val="24"/>
          <w:szCs w:val="24"/>
        </w:rPr>
        <w:t xml:space="preserve"> </w:t>
      </w:r>
      <w:r w:rsidR="00F4056F" w:rsidRPr="00B90C1E">
        <w:rPr>
          <w:rFonts w:ascii="Times New Roman" w:hAnsi="Times New Roman"/>
          <w:sz w:val="24"/>
          <w:szCs w:val="24"/>
        </w:rPr>
        <w:t>периоду</w:t>
      </w:r>
      <w:r w:rsidR="00ED6C62" w:rsidRPr="00B90C1E">
        <w:rPr>
          <w:rFonts w:ascii="Times New Roman" w:hAnsi="Times New Roman"/>
          <w:sz w:val="24"/>
          <w:szCs w:val="24"/>
        </w:rPr>
        <w:t xml:space="preserve"> </w:t>
      </w:r>
      <w:r w:rsidR="00F4056F" w:rsidRPr="00B90C1E">
        <w:rPr>
          <w:rFonts w:ascii="Times New Roman" w:hAnsi="Times New Roman"/>
          <w:sz w:val="24"/>
          <w:szCs w:val="24"/>
        </w:rPr>
        <w:t>у</w:t>
      </w:r>
      <w:r w:rsidR="00ED6C62" w:rsidRPr="00B90C1E">
        <w:rPr>
          <w:rFonts w:ascii="Times New Roman" w:hAnsi="Times New Roman"/>
          <w:sz w:val="24"/>
          <w:szCs w:val="24"/>
        </w:rPr>
        <w:t xml:space="preserve"> </w:t>
      </w:r>
      <w:r w:rsidR="00F4056F" w:rsidRPr="00B90C1E">
        <w:rPr>
          <w:rFonts w:ascii="Times New Roman" w:hAnsi="Times New Roman"/>
          <w:sz w:val="24"/>
          <w:szCs w:val="24"/>
        </w:rPr>
        <w:t>ком</w:t>
      </w:r>
      <w:r w:rsidR="00ED6C62" w:rsidRPr="00B90C1E">
        <w:rPr>
          <w:rFonts w:ascii="Times New Roman" w:hAnsi="Times New Roman"/>
          <w:sz w:val="24"/>
          <w:szCs w:val="24"/>
        </w:rPr>
        <w:t xml:space="preserve"> </w:t>
      </w:r>
      <w:r w:rsidR="00F4056F" w:rsidRPr="00B90C1E">
        <w:rPr>
          <w:rFonts w:ascii="Times New Roman" w:hAnsi="Times New Roman"/>
          <w:sz w:val="24"/>
          <w:szCs w:val="24"/>
        </w:rPr>
        <w:t>су</w:t>
      </w:r>
      <w:r w:rsidR="00ED6C62" w:rsidRPr="00B90C1E">
        <w:rPr>
          <w:rFonts w:ascii="Times New Roman" w:hAnsi="Times New Roman"/>
          <w:sz w:val="24"/>
          <w:szCs w:val="24"/>
        </w:rPr>
        <w:t xml:space="preserve"> </w:t>
      </w:r>
      <w:r w:rsidR="00F4056F" w:rsidRPr="00B90C1E">
        <w:rPr>
          <w:rFonts w:ascii="Times New Roman" w:hAnsi="Times New Roman"/>
          <w:sz w:val="24"/>
          <w:szCs w:val="24"/>
        </w:rPr>
        <w:t>извршена</w:t>
      </w:r>
      <w:r w:rsidR="00ED6C62" w:rsidRPr="00B90C1E">
        <w:rPr>
          <w:rFonts w:ascii="Times New Roman" w:hAnsi="Times New Roman"/>
          <w:sz w:val="24"/>
          <w:szCs w:val="24"/>
        </w:rPr>
        <w:t xml:space="preserve">, </w:t>
      </w:r>
      <w:r w:rsidR="00F4056F" w:rsidRPr="00B90C1E">
        <w:rPr>
          <w:rFonts w:ascii="Times New Roman" w:hAnsi="Times New Roman"/>
          <w:sz w:val="24"/>
          <w:szCs w:val="24"/>
        </w:rPr>
        <w:t>не</w:t>
      </w:r>
      <w:r w:rsidR="00ED6C62" w:rsidRPr="00B90C1E">
        <w:rPr>
          <w:rFonts w:ascii="Times New Roman" w:hAnsi="Times New Roman"/>
          <w:sz w:val="24"/>
          <w:szCs w:val="24"/>
        </w:rPr>
        <w:t xml:space="preserve"> </w:t>
      </w:r>
      <w:r w:rsidR="00F4056F" w:rsidRPr="00B90C1E">
        <w:rPr>
          <w:rFonts w:ascii="Times New Roman" w:hAnsi="Times New Roman"/>
          <w:sz w:val="24"/>
          <w:szCs w:val="24"/>
        </w:rPr>
        <w:t>улазе</w:t>
      </w:r>
      <w:r w:rsidR="00ED6C62" w:rsidRPr="00B90C1E">
        <w:rPr>
          <w:rFonts w:ascii="Times New Roman" w:hAnsi="Times New Roman"/>
          <w:sz w:val="24"/>
          <w:szCs w:val="24"/>
        </w:rPr>
        <w:t xml:space="preserve"> </w:t>
      </w:r>
      <w:r w:rsidR="00F4056F" w:rsidRPr="00B90C1E">
        <w:rPr>
          <w:rFonts w:ascii="Times New Roman" w:hAnsi="Times New Roman"/>
          <w:sz w:val="24"/>
          <w:szCs w:val="24"/>
        </w:rPr>
        <w:t>у</w:t>
      </w:r>
      <w:r w:rsidR="00ED6C62" w:rsidRPr="00B90C1E">
        <w:rPr>
          <w:rFonts w:ascii="Times New Roman" w:hAnsi="Times New Roman"/>
          <w:sz w:val="24"/>
          <w:szCs w:val="24"/>
        </w:rPr>
        <w:t xml:space="preserve"> </w:t>
      </w:r>
      <w:r w:rsidR="00F4056F" w:rsidRPr="00B90C1E">
        <w:rPr>
          <w:rFonts w:ascii="Times New Roman" w:hAnsi="Times New Roman"/>
          <w:sz w:val="24"/>
          <w:szCs w:val="24"/>
        </w:rPr>
        <w:t>пореску</w:t>
      </w:r>
      <w:r w:rsidR="00ED6C62" w:rsidRPr="00B90C1E">
        <w:rPr>
          <w:rFonts w:ascii="Times New Roman" w:hAnsi="Times New Roman"/>
          <w:sz w:val="24"/>
          <w:szCs w:val="24"/>
        </w:rPr>
        <w:t xml:space="preserve"> </w:t>
      </w:r>
      <w:r w:rsidR="00F4056F" w:rsidRPr="00B90C1E">
        <w:rPr>
          <w:rFonts w:ascii="Times New Roman" w:hAnsi="Times New Roman"/>
          <w:sz w:val="24"/>
          <w:szCs w:val="24"/>
        </w:rPr>
        <w:t>основицу</w:t>
      </w:r>
      <w:r w:rsidR="00ED6C62" w:rsidRPr="00B90C1E">
        <w:rPr>
          <w:rFonts w:ascii="Times New Roman" w:hAnsi="Times New Roman"/>
          <w:sz w:val="24"/>
          <w:szCs w:val="24"/>
        </w:rPr>
        <w:t xml:space="preserve"> </w:t>
      </w:r>
      <w:r w:rsidR="00F4056F" w:rsidRPr="00B90C1E">
        <w:rPr>
          <w:rFonts w:ascii="Times New Roman" w:hAnsi="Times New Roman"/>
          <w:sz w:val="24"/>
          <w:szCs w:val="24"/>
        </w:rPr>
        <w:t>у</w:t>
      </w:r>
      <w:r w:rsidR="00ED6C62" w:rsidRPr="00B90C1E">
        <w:rPr>
          <w:rFonts w:ascii="Times New Roman" w:hAnsi="Times New Roman"/>
          <w:sz w:val="24"/>
          <w:szCs w:val="24"/>
        </w:rPr>
        <w:t xml:space="preserve"> </w:t>
      </w:r>
      <w:r w:rsidR="00F4056F" w:rsidRPr="00B90C1E">
        <w:rPr>
          <w:rFonts w:ascii="Times New Roman" w:hAnsi="Times New Roman"/>
          <w:sz w:val="24"/>
          <w:szCs w:val="24"/>
        </w:rPr>
        <w:t>пореском</w:t>
      </w:r>
      <w:r w:rsidR="00ED6C62" w:rsidRPr="00B90C1E">
        <w:rPr>
          <w:rFonts w:ascii="Times New Roman" w:hAnsi="Times New Roman"/>
          <w:sz w:val="24"/>
          <w:szCs w:val="24"/>
        </w:rPr>
        <w:t xml:space="preserve"> </w:t>
      </w:r>
      <w:r w:rsidR="00F4056F" w:rsidRPr="00B90C1E">
        <w:rPr>
          <w:rFonts w:ascii="Times New Roman" w:hAnsi="Times New Roman"/>
          <w:sz w:val="24"/>
          <w:szCs w:val="24"/>
        </w:rPr>
        <w:t>периоду</w:t>
      </w:r>
      <w:r w:rsidR="00ED6C62" w:rsidRPr="00B90C1E">
        <w:rPr>
          <w:rFonts w:ascii="Times New Roman" w:hAnsi="Times New Roman"/>
          <w:sz w:val="24"/>
          <w:szCs w:val="24"/>
        </w:rPr>
        <w:t xml:space="preserve"> </w:t>
      </w:r>
      <w:r w:rsidR="00F4056F" w:rsidRPr="00B90C1E">
        <w:rPr>
          <w:rFonts w:ascii="Times New Roman" w:hAnsi="Times New Roman"/>
          <w:sz w:val="24"/>
          <w:szCs w:val="24"/>
        </w:rPr>
        <w:t>у</w:t>
      </w:r>
      <w:r w:rsidR="00ED6C62" w:rsidRPr="00B90C1E">
        <w:rPr>
          <w:rFonts w:ascii="Times New Roman" w:hAnsi="Times New Roman"/>
          <w:sz w:val="24"/>
          <w:szCs w:val="24"/>
        </w:rPr>
        <w:t xml:space="preserve"> </w:t>
      </w:r>
      <w:r w:rsidR="00F4056F" w:rsidRPr="00B90C1E">
        <w:rPr>
          <w:rFonts w:ascii="Times New Roman" w:hAnsi="Times New Roman"/>
          <w:sz w:val="24"/>
          <w:szCs w:val="24"/>
        </w:rPr>
        <w:t>ком</w:t>
      </w:r>
      <w:r w:rsidR="00ED6C62" w:rsidRPr="00B90C1E">
        <w:rPr>
          <w:rFonts w:ascii="Times New Roman" w:hAnsi="Times New Roman"/>
          <w:sz w:val="24"/>
          <w:szCs w:val="24"/>
        </w:rPr>
        <w:t xml:space="preserve"> </w:t>
      </w:r>
      <w:r w:rsidR="00F4056F" w:rsidRPr="00B90C1E">
        <w:rPr>
          <w:rFonts w:ascii="Times New Roman" w:hAnsi="Times New Roman"/>
          <w:sz w:val="24"/>
          <w:szCs w:val="24"/>
        </w:rPr>
        <w:t>су</w:t>
      </w:r>
      <w:r w:rsidR="00ED6C62" w:rsidRPr="00B90C1E">
        <w:rPr>
          <w:rFonts w:ascii="Times New Roman" w:hAnsi="Times New Roman"/>
          <w:sz w:val="24"/>
          <w:szCs w:val="24"/>
        </w:rPr>
        <w:t xml:space="preserve"> </w:t>
      </w:r>
      <w:r w:rsidR="00F4056F" w:rsidRPr="00B90C1E">
        <w:rPr>
          <w:rFonts w:ascii="Times New Roman" w:hAnsi="Times New Roman"/>
          <w:sz w:val="24"/>
          <w:szCs w:val="24"/>
        </w:rPr>
        <w:t>исказани</w:t>
      </w:r>
      <w:r w:rsidR="00ED6C62" w:rsidRPr="00B90C1E">
        <w:rPr>
          <w:rFonts w:ascii="Times New Roman" w:hAnsi="Times New Roman"/>
          <w:sz w:val="24"/>
          <w:szCs w:val="24"/>
        </w:rPr>
        <w:t>.</w:t>
      </w:r>
      <w:r w:rsidR="00B90C1E">
        <w:rPr>
          <w:rFonts w:ascii="Times New Roman" w:hAnsi="Times New Roman"/>
          <w:sz w:val="24"/>
          <w:szCs w:val="24"/>
        </w:rPr>
        <w:t xml:space="preserve"> </w:t>
      </w:r>
    </w:p>
    <w:p w:rsidR="00ED6C62" w:rsidRPr="00F4056F" w:rsidRDefault="00F4056F" w:rsidP="00F4056F">
      <w:pPr>
        <w:pStyle w:val="normal0"/>
        <w:shd w:val="clear" w:color="auto" w:fill="FFFFFF"/>
        <w:spacing w:before="48" w:beforeAutospacing="0" w:after="48" w:afterAutospacing="0"/>
        <w:jc w:val="both"/>
        <w:rPr>
          <w:color w:val="000000"/>
          <w:lang w:val="sr-Cyrl-CS"/>
        </w:rPr>
      </w:pPr>
      <w:r w:rsidRPr="00F4056F">
        <w:rPr>
          <w:color w:val="000000"/>
          <w:lang w:val="sr-Cyrl-CS"/>
        </w:rPr>
        <w:t xml:space="preserve"> </w:t>
      </w:r>
    </w:p>
    <w:p w:rsidR="00733E3F" w:rsidRDefault="00DA1917" w:rsidP="00F4056F">
      <w:pPr>
        <w:pStyle w:val="normal0"/>
        <w:shd w:val="clear" w:color="auto" w:fill="FFFFFF"/>
        <w:spacing w:before="48" w:beforeAutospacing="0" w:after="48" w:afterAutospacing="0"/>
        <w:jc w:val="both"/>
        <w:rPr>
          <w:color w:val="000000"/>
          <w:lang w:val="sr-Cyrl-CS"/>
        </w:rPr>
      </w:pPr>
      <w:r w:rsidRPr="00F4056F">
        <w:rPr>
          <w:color w:val="000000"/>
          <w:lang w:val="sr-Cyrl-CS"/>
        </w:rPr>
        <w:t>Н</w:t>
      </w:r>
      <w:r w:rsidR="00F4056F" w:rsidRPr="00F4056F">
        <w:rPr>
          <w:color w:val="000000"/>
        </w:rPr>
        <w:t>а</w:t>
      </w:r>
      <w:r w:rsidR="00733E3F" w:rsidRPr="00F4056F">
        <w:rPr>
          <w:color w:val="000000"/>
        </w:rPr>
        <w:t xml:space="preserve"> </w:t>
      </w:r>
      <w:r w:rsidR="00F4056F" w:rsidRPr="00F4056F">
        <w:rPr>
          <w:color w:val="000000"/>
        </w:rPr>
        <w:t>терет</w:t>
      </w:r>
      <w:r w:rsidR="00733E3F" w:rsidRPr="00F4056F">
        <w:rPr>
          <w:color w:val="000000"/>
        </w:rPr>
        <w:t xml:space="preserve"> </w:t>
      </w:r>
      <w:r w:rsidR="00F4056F" w:rsidRPr="00F4056F">
        <w:rPr>
          <w:color w:val="000000"/>
        </w:rPr>
        <w:t>расхода</w:t>
      </w:r>
      <w:r w:rsidR="00733E3F" w:rsidRPr="00F4056F">
        <w:rPr>
          <w:color w:val="000000"/>
        </w:rPr>
        <w:t xml:space="preserve"> </w:t>
      </w:r>
      <w:r w:rsidR="00CB580C" w:rsidRPr="00F4056F">
        <w:rPr>
          <w:color w:val="000000"/>
          <w:lang w:val="sr-Cyrl-CS"/>
        </w:rPr>
        <w:t xml:space="preserve"> у пореском билансу </w:t>
      </w:r>
      <w:r w:rsidR="00F4056F" w:rsidRPr="00F4056F">
        <w:rPr>
          <w:color w:val="000000"/>
        </w:rPr>
        <w:t>не</w:t>
      </w:r>
      <w:r w:rsidR="00733E3F" w:rsidRPr="00F4056F">
        <w:rPr>
          <w:color w:val="000000"/>
        </w:rPr>
        <w:t xml:space="preserve"> </w:t>
      </w:r>
      <w:r w:rsidR="00F4056F" w:rsidRPr="00F4056F">
        <w:rPr>
          <w:color w:val="000000"/>
        </w:rPr>
        <w:t>признају</w:t>
      </w:r>
      <w:r w:rsidR="00733E3F" w:rsidRPr="00F4056F">
        <w:rPr>
          <w:color w:val="000000"/>
        </w:rPr>
        <w:t xml:space="preserve"> </w:t>
      </w:r>
      <w:r w:rsidR="00F4056F" w:rsidRPr="00F4056F">
        <w:rPr>
          <w:color w:val="000000"/>
        </w:rPr>
        <w:t>се</w:t>
      </w:r>
      <w:r w:rsidR="00733E3F" w:rsidRPr="00F4056F">
        <w:rPr>
          <w:color w:val="000000"/>
        </w:rPr>
        <w:t>:</w:t>
      </w:r>
    </w:p>
    <w:p w:rsidR="00F4056F" w:rsidRPr="00F4056F" w:rsidRDefault="00F4056F" w:rsidP="00F4056F">
      <w:pPr>
        <w:pStyle w:val="normal0"/>
        <w:shd w:val="clear" w:color="auto" w:fill="FFFFFF"/>
        <w:spacing w:before="48" w:beforeAutospacing="0" w:after="48" w:afterAutospacing="0"/>
        <w:jc w:val="both"/>
        <w:rPr>
          <w:color w:val="000000"/>
          <w:lang w:val="sr-Cyrl-CS"/>
        </w:rPr>
      </w:pPr>
    </w:p>
    <w:p w:rsidR="00733E3F" w:rsidRPr="00F4056F" w:rsidRDefault="00733E3F" w:rsidP="00F4056F">
      <w:pPr>
        <w:pStyle w:val="normal0"/>
        <w:shd w:val="clear" w:color="auto" w:fill="FFFFFF"/>
        <w:spacing w:before="48" w:beforeAutospacing="0" w:after="48" w:afterAutospacing="0"/>
        <w:jc w:val="both"/>
        <w:rPr>
          <w:color w:val="000000"/>
        </w:rPr>
      </w:pPr>
      <w:r w:rsidRPr="00F4056F">
        <w:rPr>
          <w:color w:val="000000"/>
        </w:rPr>
        <w:t xml:space="preserve">1) </w:t>
      </w:r>
      <w:r w:rsidR="00F4056F" w:rsidRPr="00F4056F">
        <w:rPr>
          <w:color w:val="000000"/>
        </w:rPr>
        <w:t>трошкови</w:t>
      </w:r>
      <w:r w:rsidRPr="00F4056F">
        <w:rPr>
          <w:color w:val="000000"/>
        </w:rPr>
        <w:t xml:space="preserve"> </w:t>
      </w:r>
      <w:r w:rsidR="00F4056F" w:rsidRPr="00F4056F">
        <w:rPr>
          <w:color w:val="000000"/>
        </w:rPr>
        <w:t>који</w:t>
      </w:r>
      <w:r w:rsidRPr="00F4056F">
        <w:rPr>
          <w:color w:val="000000"/>
        </w:rPr>
        <w:t xml:space="preserve"> </w:t>
      </w:r>
      <w:r w:rsidR="00F4056F" w:rsidRPr="00F4056F">
        <w:rPr>
          <w:color w:val="000000"/>
        </w:rPr>
        <w:t>се</w:t>
      </w:r>
      <w:r w:rsidRPr="00F4056F">
        <w:rPr>
          <w:color w:val="000000"/>
        </w:rPr>
        <w:t xml:space="preserve"> </w:t>
      </w:r>
      <w:r w:rsidR="00F4056F" w:rsidRPr="00F4056F">
        <w:rPr>
          <w:color w:val="000000"/>
        </w:rPr>
        <w:t>не</w:t>
      </w:r>
      <w:r w:rsidRPr="00F4056F">
        <w:rPr>
          <w:color w:val="000000"/>
        </w:rPr>
        <w:t xml:space="preserve"> </w:t>
      </w:r>
      <w:r w:rsidR="00F4056F" w:rsidRPr="00F4056F">
        <w:rPr>
          <w:color w:val="000000"/>
        </w:rPr>
        <w:t>могу</w:t>
      </w:r>
      <w:r w:rsidRPr="00F4056F">
        <w:rPr>
          <w:color w:val="000000"/>
        </w:rPr>
        <w:t xml:space="preserve"> </w:t>
      </w:r>
      <w:r w:rsidR="00F4056F" w:rsidRPr="00F4056F">
        <w:rPr>
          <w:color w:val="000000"/>
        </w:rPr>
        <w:t>документовати</w:t>
      </w:r>
      <w:r w:rsidRPr="00F4056F">
        <w:rPr>
          <w:color w:val="000000"/>
        </w:rPr>
        <w:t>;</w:t>
      </w:r>
    </w:p>
    <w:p w:rsidR="00733E3F" w:rsidRPr="00F4056F" w:rsidRDefault="00733E3F" w:rsidP="00F4056F">
      <w:pPr>
        <w:pStyle w:val="normal0"/>
        <w:shd w:val="clear" w:color="auto" w:fill="FFFFFF"/>
        <w:spacing w:before="48" w:beforeAutospacing="0" w:after="48" w:afterAutospacing="0"/>
        <w:jc w:val="both"/>
        <w:rPr>
          <w:color w:val="000000"/>
        </w:rPr>
      </w:pPr>
      <w:r w:rsidRPr="00F4056F">
        <w:rPr>
          <w:color w:val="000000"/>
        </w:rPr>
        <w:t xml:space="preserve">2) </w:t>
      </w:r>
      <w:r w:rsidR="00F4056F" w:rsidRPr="00F4056F">
        <w:rPr>
          <w:color w:val="000000"/>
        </w:rPr>
        <w:t>исправке</w:t>
      </w:r>
      <w:r w:rsidRPr="00F4056F">
        <w:rPr>
          <w:color w:val="000000"/>
        </w:rPr>
        <w:t xml:space="preserve"> </w:t>
      </w:r>
      <w:r w:rsidR="00F4056F" w:rsidRPr="00F4056F">
        <w:rPr>
          <w:color w:val="000000"/>
        </w:rPr>
        <w:t>вредности</w:t>
      </w:r>
      <w:r w:rsidRPr="00F4056F">
        <w:rPr>
          <w:color w:val="000000"/>
        </w:rPr>
        <w:t xml:space="preserve"> </w:t>
      </w:r>
      <w:r w:rsidR="00F4056F" w:rsidRPr="00F4056F">
        <w:rPr>
          <w:color w:val="000000"/>
        </w:rPr>
        <w:t>појединачних</w:t>
      </w:r>
      <w:r w:rsidRPr="00F4056F">
        <w:rPr>
          <w:color w:val="000000"/>
        </w:rPr>
        <w:t xml:space="preserve"> </w:t>
      </w:r>
      <w:r w:rsidR="00F4056F" w:rsidRPr="00F4056F">
        <w:rPr>
          <w:color w:val="000000"/>
        </w:rPr>
        <w:t>потраживања</w:t>
      </w:r>
      <w:r w:rsidRPr="00F4056F">
        <w:rPr>
          <w:color w:val="000000"/>
        </w:rPr>
        <w:t xml:space="preserve"> </w:t>
      </w:r>
      <w:r w:rsidR="00F4056F" w:rsidRPr="00F4056F">
        <w:rPr>
          <w:color w:val="000000"/>
        </w:rPr>
        <w:t>од</w:t>
      </w:r>
      <w:r w:rsidRPr="00F4056F">
        <w:rPr>
          <w:color w:val="000000"/>
        </w:rPr>
        <w:t xml:space="preserve"> </w:t>
      </w:r>
      <w:r w:rsidR="00F4056F" w:rsidRPr="00F4056F">
        <w:rPr>
          <w:color w:val="000000"/>
        </w:rPr>
        <w:t>лица</w:t>
      </w:r>
      <w:r w:rsidRPr="00F4056F">
        <w:rPr>
          <w:color w:val="000000"/>
        </w:rPr>
        <w:t xml:space="preserve"> </w:t>
      </w:r>
      <w:r w:rsidR="00F4056F" w:rsidRPr="00F4056F">
        <w:rPr>
          <w:color w:val="000000"/>
        </w:rPr>
        <w:t>коме</w:t>
      </w:r>
      <w:r w:rsidRPr="00F4056F">
        <w:rPr>
          <w:color w:val="000000"/>
        </w:rPr>
        <w:t xml:space="preserve"> </w:t>
      </w:r>
      <w:r w:rsidR="00F4056F" w:rsidRPr="00F4056F">
        <w:rPr>
          <w:color w:val="000000"/>
        </w:rPr>
        <w:t>се</w:t>
      </w:r>
      <w:r w:rsidRPr="00F4056F">
        <w:rPr>
          <w:color w:val="000000"/>
        </w:rPr>
        <w:t xml:space="preserve"> </w:t>
      </w:r>
      <w:r w:rsidR="00F4056F" w:rsidRPr="00F4056F">
        <w:rPr>
          <w:color w:val="000000"/>
        </w:rPr>
        <w:t>истовремено</w:t>
      </w:r>
      <w:r w:rsidRPr="00F4056F">
        <w:rPr>
          <w:color w:val="000000"/>
        </w:rPr>
        <w:t xml:space="preserve"> </w:t>
      </w:r>
      <w:r w:rsidR="00F4056F" w:rsidRPr="00F4056F">
        <w:rPr>
          <w:color w:val="000000"/>
        </w:rPr>
        <w:t>дугује</w:t>
      </w:r>
      <w:r w:rsidRPr="00F4056F">
        <w:rPr>
          <w:color w:val="000000"/>
        </w:rPr>
        <w:t xml:space="preserve">, </w:t>
      </w:r>
      <w:r w:rsidR="00F4056F" w:rsidRPr="00F4056F">
        <w:rPr>
          <w:color w:val="000000"/>
        </w:rPr>
        <w:t>до</w:t>
      </w:r>
      <w:r w:rsidRPr="00F4056F">
        <w:rPr>
          <w:color w:val="000000"/>
        </w:rPr>
        <w:t xml:space="preserve"> </w:t>
      </w:r>
      <w:r w:rsidR="00F4056F" w:rsidRPr="00F4056F">
        <w:rPr>
          <w:color w:val="000000"/>
        </w:rPr>
        <w:t>износа</w:t>
      </w:r>
      <w:r w:rsidRPr="00F4056F">
        <w:rPr>
          <w:color w:val="000000"/>
        </w:rPr>
        <w:t xml:space="preserve"> </w:t>
      </w:r>
      <w:r w:rsidR="00F4056F" w:rsidRPr="00F4056F">
        <w:rPr>
          <w:color w:val="000000"/>
        </w:rPr>
        <w:t>обавезе</w:t>
      </w:r>
      <w:r w:rsidRPr="00F4056F">
        <w:rPr>
          <w:color w:val="000000"/>
        </w:rPr>
        <w:t xml:space="preserve"> </w:t>
      </w:r>
      <w:r w:rsidR="00F4056F" w:rsidRPr="00F4056F">
        <w:rPr>
          <w:color w:val="000000"/>
        </w:rPr>
        <w:t>према</w:t>
      </w:r>
      <w:r w:rsidRPr="00F4056F">
        <w:rPr>
          <w:color w:val="000000"/>
        </w:rPr>
        <w:t xml:space="preserve"> </w:t>
      </w:r>
      <w:r w:rsidR="00F4056F" w:rsidRPr="00F4056F">
        <w:rPr>
          <w:color w:val="000000"/>
        </w:rPr>
        <w:t>том</w:t>
      </w:r>
      <w:r w:rsidRPr="00F4056F">
        <w:rPr>
          <w:color w:val="000000"/>
        </w:rPr>
        <w:t xml:space="preserve"> </w:t>
      </w:r>
      <w:r w:rsidR="00F4056F" w:rsidRPr="00F4056F">
        <w:rPr>
          <w:color w:val="000000"/>
        </w:rPr>
        <w:t>лицу</w:t>
      </w:r>
      <w:r w:rsidRPr="00F4056F">
        <w:rPr>
          <w:color w:val="000000"/>
        </w:rPr>
        <w:t>;</w:t>
      </w:r>
    </w:p>
    <w:p w:rsidR="00733E3F" w:rsidRPr="00F4056F" w:rsidRDefault="00733E3F" w:rsidP="00F4056F">
      <w:pPr>
        <w:pStyle w:val="normal0"/>
        <w:shd w:val="clear" w:color="auto" w:fill="FFFFFF"/>
        <w:spacing w:before="48" w:beforeAutospacing="0" w:after="48" w:afterAutospacing="0"/>
        <w:jc w:val="both"/>
        <w:rPr>
          <w:color w:val="000000"/>
        </w:rPr>
      </w:pPr>
      <w:r w:rsidRPr="00F4056F">
        <w:rPr>
          <w:color w:val="000000"/>
        </w:rPr>
        <w:t xml:space="preserve">3) </w:t>
      </w:r>
      <w:r w:rsidR="00F4056F" w:rsidRPr="00F4056F">
        <w:rPr>
          <w:color w:val="000000"/>
        </w:rPr>
        <w:t>поклони</w:t>
      </w:r>
      <w:r w:rsidRPr="00F4056F">
        <w:rPr>
          <w:color w:val="000000"/>
        </w:rPr>
        <w:t xml:space="preserve"> </w:t>
      </w:r>
      <w:r w:rsidR="00F4056F" w:rsidRPr="00F4056F">
        <w:rPr>
          <w:color w:val="000000"/>
        </w:rPr>
        <w:t>и</w:t>
      </w:r>
      <w:r w:rsidRPr="00F4056F">
        <w:rPr>
          <w:color w:val="000000"/>
        </w:rPr>
        <w:t xml:space="preserve"> </w:t>
      </w:r>
      <w:r w:rsidR="00F4056F" w:rsidRPr="00F4056F">
        <w:rPr>
          <w:color w:val="000000"/>
        </w:rPr>
        <w:t>прилози</w:t>
      </w:r>
      <w:r w:rsidRPr="00F4056F">
        <w:rPr>
          <w:color w:val="000000"/>
        </w:rPr>
        <w:t xml:space="preserve"> </w:t>
      </w:r>
      <w:r w:rsidR="00F4056F" w:rsidRPr="00F4056F">
        <w:rPr>
          <w:color w:val="000000"/>
        </w:rPr>
        <w:t>дати</w:t>
      </w:r>
      <w:r w:rsidRPr="00F4056F">
        <w:rPr>
          <w:color w:val="000000"/>
        </w:rPr>
        <w:t xml:space="preserve"> </w:t>
      </w:r>
      <w:r w:rsidR="00F4056F" w:rsidRPr="00F4056F">
        <w:rPr>
          <w:color w:val="000000"/>
        </w:rPr>
        <w:t>политичким</w:t>
      </w:r>
      <w:r w:rsidRPr="00F4056F">
        <w:rPr>
          <w:color w:val="000000"/>
        </w:rPr>
        <w:t xml:space="preserve"> </w:t>
      </w:r>
      <w:r w:rsidR="00F4056F" w:rsidRPr="00F4056F">
        <w:rPr>
          <w:color w:val="000000"/>
        </w:rPr>
        <w:t>организацијама</w:t>
      </w:r>
      <w:r w:rsidRPr="00F4056F">
        <w:rPr>
          <w:color w:val="000000"/>
        </w:rPr>
        <w:t>;</w:t>
      </w:r>
    </w:p>
    <w:p w:rsidR="00733E3F" w:rsidRPr="00F4056F" w:rsidRDefault="00733E3F" w:rsidP="00F4056F">
      <w:pPr>
        <w:pStyle w:val="normal0"/>
        <w:shd w:val="clear" w:color="auto" w:fill="FFFFFF"/>
        <w:spacing w:before="48" w:beforeAutospacing="0" w:after="48" w:afterAutospacing="0"/>
        <w:jc w:val="both"/>
        <w:rPr>
          <w:color w:val="000000"/>
        </w:rPr>
      </w:pPr>
      <w:r w:rsidRPr="00F4056F">
        <w:rPr>
          <w:color w:val="000000"/>
        </w:rPr>
        <w:t xml:space="preserve">4) </w:t>
      </w:r>
      <w:r w:rsidR="00F4056F" w:rsidRPr="00F4056F">
        <w:rPr>
          <w:color w:val="000000"/>
        </w:rPr>
        <w:t>поклони</w:t>
      </w:r>
      <w:r w:rsidRPr="00F4056F">
        <w:rPr>
          <w:color w:val="000000"/>
        </w:rPr>
        <w:t xml:space="preserve"> </w:t>
      </w:r>
      <w:r w:rsidR="00F4056F" w:rsidRPr="00F4056F">
        <w:rPr>
          <w:color w:val="000000"/>
        </w:rPr>
        <w:t>чији</w:t>
      </w:r>
      <w:r w:rsidRPr="00F4056F">
        <w:rPr>
          <w:color w:val="000000"/>
        </w:rPr>
        <w:t xml:space="preserve"> </w:t>
      </w:r>
      <w:r w:rsidR="00F4056F" w:rsidRPr="00F4056F">
        <w:rPr>
          <w:color w:val="000000"/>
        </w:rPr>
        <w:t>је</w:t>
      </w:r>
      <w:r w:rsidRPr="00F4056F">
        <w:rPr>
          <w:color w:val="000000"/>
        </w:rPr>
        <w:t xml:space="preserve"> </w:t>
      </w:r>
      <w:r w:rsidR="00F4056F" w:rsidRPr="00F4056F">
        <w:rPr>
          <w:color w:val="000000"/>
        </w:rPr>
        <w:t>прималац</w:t>
      </w:r>
      <w:r w:rsidRPr="00F4056F">
        <w:rPr>
          <w:color w:val="000000"/>
        </w:rPr>
        <w:t xml:space="preserve"> </w:t>
      </w:r>
      <w:r w:rsidR="00F4056F" w:rsidRPr="00F4056F">
        <w:rPr>
          <w:color w:val="000000"/>
        </w:rPr>
        <w:t>повезано</w:t>
      </w:r>
      <w:r w:rsidRPr="00F4056F">
        <w:rPr>
          <w:color w:val="000000"/>
        </w:rPr>
        <w:t xml:space="preserve"> </w:t>
      </w:r>
      <w:r w:rsidR="00F4056F" w:rsidRPr="00F4056F">
        <w:rPr>
          <w:color w:val="000000"/>
        </w:rPr>
        <w:t>лице</w:t>
      </w:r>
      <w:r w:rsidRPr="00F4056F">
        <w:rPr>
          <w:color w:val="000000"/>
        </w:rPr>
        <w:t>;</w:t>
      </w:r>
    </w:p>
    <w:p w:rsidR="00733E3F" w:rsidRPr="00F4056F" w:rsidRDefault="00733E3F" w:rsidP="00F4056F">
      <w:pPr>
        <w:pStyle w:val="normal0"/>
        <w:shd w:val="clear" w:color="auto" w:fill="FFFFFF"/>
        <w:spacing w:before="48" w:beforeAutospacing="0" w:after="48" w:afterAutospacing="0"/>
        <w:jc w:val="both"/>
        <w:rPr>
          <w:color w:val="000000"/>
        </w:rPr>
      </w:pPr>
      <w:r w:rsidRPr="00F4056F">
        <w:rPr>
          <w:color w:val="000000"/>
        </w:rPr>
        <w:t xml:space="preserve">5) </w:t>
      </w:r>
      <w:r w:rsidR="00F4056F" w:rsidRPr="00F4056F">
        <w:rPr>
          <w:color w:val="000000"/>
        </w:rPr>
        <w:t>камате</w:t>
      </w:r>
      <w:r w:rsidRPr="00F4056F">
        <w:rPr>
          <w:color w:val="000000"/>
        </w:rPr>
        <w:t xml:space="preserve"> </w:t>
      </w:r>
      <w:r w:rsidR="00F4056F" w:rsidRPr="00F4056F">
        <w:rPr>
          <w:color w:val="000000"/>
        </w:rPr>
        <w:t>због</w:t>
      </w:r>
      <w:r w:rsidRPr="00F4056F">
        <w:rPr>
          <w:color w:val="000000"/>
        </w:rPr>
        <w:t xml:space="preserve"> </w:t>
      </w:r>
      <w:r w:rsidR="00F4056F" w:rsidRPr="00F4056F">
        <w:rPr>
          <w:color w:val="000000"/>
        </w:rPr>
        <w:t>неблаговремено</w:t>
      </w:r>
      <w:r w:rsidRPr="00F4056F">
        <w:rPr>
          <w:color w:val="000000"/>
        </w:rPr>
        <w:t xml:space="preserve"> </w:t>
      </w:r>
      <w:r w:rsidR="00F4056F" w:rsidRPr="00F4056F">
        <w:rPr>
          <w:color w:val="000000"/>
        </w:rPr>
        <w:t>плаћених</w:t>
      </w:r>
      <w:r w:rsidRPr="00F4056F">
        <w:rPr>
          <w:color w:val="000000"/>
        </w:rPr>
        <w:t xml:space="preserve"> </w:t>
      </w:r>
      <w:r w:rsidR="00F4056F" w:rsidRPr="00F4056F">
        <w:rPr>
          <w:color w:val="000000"/>
        </w:rPr>
        <w:t>пореза</w:t>
      </w:r>
      <w:r w:rsidRPr="00F4056F">
        <w:rPr>
          <w:color w:val="000000"/>
        </w:rPr>
        <w:t xml:space="preserve">, </w:t>
      </w:r>
      <w:r w:rsidR="00F4056F" w:rsidRPr="00F4056F">
        <w:rPr>
          <w:color w:val="000000"/>
        </w:rPr>
        <w:t>доприноса</w:t>
      </w:r>
      <w:r w:rsidRPr="00F4056F">
        <w:rPr>
          <w:color w:val="000000"/>
        </w:rPr>
        <w:t xml:space="preserve"> </w:t>
      </w:r>
      <w:r w:rsidR="00F4056F" w:rsidRPr="00F4056F">
        <w:rPr>
          <w:color w:val="000000"/>
        </w:rPr>
        <w:t>и</w:t>
      </w:r>
      <w:r w:rsidRPr="00F4056F">
        <w:rPr>
          <w:color w:val="000000"/>
        </w:rPr>
        <w:t xml:space="preserve"> </w:t>
      </w:r>
      <w:r w:rsidR="00F4056F" w:rsidRPr="00F4056F">
        <w:rPr>
          <w:color w:val="000000"/>
        </w:rPr>
        <w:t>других</w:t>
      </w:r>
      <w:r w:rsidRPr="00F4056F">
        <w:rPr>
          <w:color w:val="000000"/>
        </w:rPr>
        <w:t xml:space="preserve"> </w:t>
      </w:r>
      <w:r w:rsidR="00F4056F" w:rsidRPr="00F4056F">
        <w:rPr>
          <w:color w:val="000000"/>
        </w:rPr>
        <w:t>јавних</w:t>
      </w:r>
      <w:r w:rsidRPr="00F4056F">
        <w:rPr>
          <w:color w:val="000000"/>
        </w:rPr>
        <w:t xml:space="preserve"> </w:t>
      </w:r>
      <w:r w:rsidR="00F4056F" w:rsidRPr="00F4056F">
        <w:rPr>
          <w:color w:val="000000"/>
        </w:rPr>
        <w:t>дажбина</w:t>
      </w:r>
      <w:r w:rsidRPr="00F4056F">
        <w:rPr>
          <w:color w:val="000000"/>
        </w:rPr>
        <w:t>;</w:t>
      </w:r>
    </w:p>
    <w:p w:rsidR="00733E3F" w:rsidRPr="00F4056F" w:rsidRDefault="00733E3F" w:rsidP="00F4056F">
      <w:pPr>
        <w:pStyle w:val="normal0"/>
        <w:shd w:val="clear" w:color="auto" w:fill="FFFFFF"/>
        <w:spacing w:before="48" w:beforeAutospacing="0" w:after="48" w:afterAutospacing="0"/>
        <w:jc w:val="both"/>
        <w:rPr>
          <w:color w:val="000000"/>
        </w:rPr>
      </w:pPr>
      <w:r w:rsidRPr="00F4056F">
        <w:rPr>
          <w:color w:val="000000"/>
        </w:rPr>
        <w:lastRenderedPageBreak/>
        <w:t>5</w:t>
      </w:r>
      <w:r w:rsidR="00F4056F" w:rsidRPr="00F4056F">
        <w:rPr>
          <w:color w:val="000000"/>
        </w:rPr>
        <w:t>а</w:t>
      </w:r>
      <w:r w:rsidRPr="00F4056F">
        <w:rPr>
          <w:color w:val="000000"/>
        </w:rPr>
        <w:t xml:space="preserve">) </w:t>
      </w:r>
      <w:r w:rsidR="00F4056F" w:rsidRPr="00F4056F">
        <w:rPr>
          <w:color w:val="000000"/>
        </w:rPr>
        <w:t>трошкови</w:t>
      </w:r>
      <w:r w:rsidRPr="00F4056F">
        <w:rPr>
          <w:color w:val="000000"/>
        </w:rPr>
        <w:t xml:space="preserve"> </w:t>
      </w:r>
      <w:r w:rsidR="00F4056F" w:rsidRPr="00F4056F">
        <w:rPr>
          <w:color w:val="000000"/>
        </w:rPr>
        <w:t>поступка</w:t>
      </w:r>
      <w:r w:rsidRPr="00F4056F">
        <w:rPr>
          <w:color w:val="000000"/>
        </w:rPr>
        <w:t xml:space="preserve"> </w:t>
      </w:r>
      <w:r w:rsidR="00F4056F" w:rsidRPr="00F4056F">
        <w:rPr>
          <w:color w:val="000000"/>
        </w:rPr>
        <w:t>принудне</w:t>
      </w:r>
      <w:r w:rsidRPr="00F4056F">
        <w:rPr>
          <w:color w:val="000000"/>
        </w:rPr>
        <w:t xml:space="preserve"> </w:t>
      </w:r>
      <w:r w:rsidR="00F4056F" w:rsidRPr="00F4056F">
        <w:rPr>
          <w:color w:val="000000"/>
        </w:rPr>
        <w:t>наплате</w:t>
      </w:r>
      <w:r w:rsidRPr="00F4056F">
        <w:rPr>
          <w:color w:val="000000"/>
        </w:rPr>
        <w:t xml:space="preserve"> </w:t>
      </w:r>
      <w:r w:rsidR="00F4056F" w:rsidRPr="00F4056F">
        <w:rPr>
          <w:color w:val="000000"/>
        </w:rPr>
        <w:t>пореза</w:t>
      </w:r>
      <w:r w:rsidRPr="00F4056F">
        <w:rPr>
          <w:color w:val="000000"/>
        </w:rPr>
        <w:t xml:space="preserve"> </w:t>
      </w:r>
      <w:r w:rsidR="00F4056F" w:rsidRPr="00F4056F">
        <w:rPr>
          <w:color w:val="000000"/>
        </w:rPr>
        <w:t>и</w:t>
      </w:r>
      <w:r w:rsidRPr="00F4056F">
        <w:rPr>
          <w:color w:val="000000"/>
        </w:rPr>
        <w:t xml:space="preserve"> </w:t>
      </w:r>
      <w:r w:rsidR="00F4056F" w:rsidRPr="00F4056F">
        <w:rPr>
          <w:color w:val="000000"/>
        </w:rPr>
        <w:t>других</w:t>
      </w:r>
      <w:r w:rsidRPr="00F4056F">
        <w:rPr>
          <w:color w:val="000000"/>
        </w:rPr>
        <w:t xml:space="preserve"> </w:t>
      </w:r>
      <w:r w:rsidR="00F4056F" w:rsidRPr="00F4056F">
        <w:rPr>
          <w:color w:val="000000"/>
        </w:rPr>
        <w:t>дуговања</w:t>
      </w:r>
      <w:r w:rsidRPr="00F4056F">
        <w:rPr>
          <w:color w:val="000000"/>
        </w:rPr>
        <w:t xml:space="preserve">, </w:t>
      </w:r>
      <w:r w:rsidR="00F4056F" w:rsidRPr="00F4056F">
        <w:rPr>
          <w:color w:val="000000"/>
        </w:rPr>
        <w:t>трошкови</w:t>
      </w:r>
      <w:r w:rsidRPr="00F4056F">
        <w:rPr>
          <w:color w:val="000000"/>
        </w:rPr>
        <w:t xml:space="preserve"> </w:t>
      </w:r>
      <w:r w:rsidR="00F4056F" w:rsidRPr="00F4056F">
        <w:rPr>
          <w:color w:val="000000"/>
        </w:rPr>
        <w:t>порескопрекршајног</w:t>
      </w:r>
      <w:r w:rsidRPr="00F4056F">
        <w:rPr>
          <w:color w:val="000000"/>
        </w:rPr>
        <w:t xml:space="preserve"> </w:t>
      </w:r>
      <w:r w:rsidR="00F4056F" w:rsidRPr="00F4056F">
        <w:rPr>
          <w:color w:val="000000"/>
        </w:rPr>
        <w:t>поступка</w:t>
      </w:r>
      <w:r w:rsidRPr="00F4056F">
        <w:rPr>
          <w:color w:val="000000"/>
        </w:rPr>
        <w:t xml:space="preserve"> </w:t>
      </w:r>
      <w:r w:rsidR="00F4056F" w:rsidRPr="00F4056F">
        <w:rPr>
          <w:color w:val="000000"/>
        </w:rPr>
        <w:t>и</w:t>
      </w:r>
      <w:r w:rsidRPr="00F4056F">
        <w:rPr>
          <w:color w:val="000000"/>
        </w:rPr>
        <w:t xml:space="preserve"> </w:t>
      </w:r>
      <w:r w:rsidR="00F4056F" w:rsidRPr="00F4056F">
        <w:rPr>
          <w:color w:val="000000"/>
        </w:rPr>
        <w:t>других</w:t>
      </w:r>
      <w:r w:rsidRPr="00F4056F">
        <w:rPr>
          <w:color w:val="000000"/>
        </w:rPr>
        <w:t xml:space="preserve"> </w:t>
      </w:r>
      <w:r w:rsidR="00F4056F" w:rsidRPr="00F4056F">
        <w:rPr>
          <w:color w:val="000000"/>
        </w:rPr>
        <w:t>прекршајних</w:t>
      </w:r>
      <w:r w:rsidRPr="00F4056F">
        <w:rPr>
          <w:color w:val="000000"/>
        </w:rPr>
        <w:t xml:space="preserve"> </w:t>
      </w:r>
      <w:r w:rsidR="00F4056F" w:rsidRPr="00F4056F">
        <w:rPr>
          <w:color w:val="000000"/>
        </w:rPr>
        <w:t>поступака</w:t>
      </w:r>
      <w:r w:rsidRPr="00F4056F">
        <w:rPr>
          <w:color w:val="000000"/>
        </w:rPr>
        <w:t xml:space="preserve"> </w:t>
      </w:r>
      <w:r w:rsidR="00F4056F" w:rsidRPr="00F4056F">
        <w:rPr>
          <w:color w:val="000000"/>
        </w:rPr>
        <w:t>који</w:t>
      </w:r>
      <w:r w:rsidRPr="00F4056F">
        <w:rPr>
          <w:color w:val="000000"/>
        </w:rPr>
        <w:t xml:space="preserve"> </w:t>
      </w:r>
      <w:r w:rsidR="00F4056F" w:rsidRPr="00F4056F">
        <w:rPr>
          <w:color w:val="000000"/>
        </w:rPr>
        <w:t>се</w:t>
      </w:r>
      <w:r w:rsidRPr="00F4056F">
        <w:rPr>
          <w:color w:val="000000"/>
        </w:rPr>
        <w:t xml:space="preserve"> </w:t>
      </w:r>
      <w:r w:rsidR="00F4056F" w:rsidRPr="00F4056F">
        <w:rPr>
          <w:color w:val="000000"/>
        </w:rPr>
        <w:t>воде</w:t>
      </w:r>
      <w:r w:rsidRPr="00F4056F">
        <w:rPr>
          <w:color w:val="000000"/>
        </w:rPr>
        <w:t xml:space="preserve"> </w:t>
      </w:r>
      <w:r w:rsidR="00F4056F" w:rsidRPr="00F4056F">
        <w:rPr>
          <w:color w:val="000000"/>
        </w:rPr>
        <w:t>пред</w:t>
      </w:r>
      <w:r w:rsidRPr="00F4056F">
        <w:rPr>
          <w:color w:val="000000"/>
        </w:rPr>
        <w:t xml:space="preserve"> </w:t>
      </w:r>
      <w:r w:rsidR="00F4056F" w:rsidRPr="00F4056F">
        <w:rPr>
          <w:color w:val="000000"/>
        </w:rPr>
        <w:t>надлежним</w:t>
      </w:r>
      <w:r w:rsidRPr="00F4056F">
        <w:rPr>
          <w:color w:val="000000"/>
        </w:rPr>
        <w:t xml:space="preserve"> </w:t>
      </w:r>
      <w:r w:rsidR="00F4056F" w:rsidRPr="00F4056F">
        <w:rPr>
          <w:color w:val="000000"/>
        </w:rPr>
        <w:t>органом</w:t>
      </w:r>
      <w:r w:rsidRPr="00F4056F">
        <w:rPr>
          <w:color w:val="000000"/>
        </w:rPr>
        <w:t>;</w:t>
      </w:r>
    </w:p>
    <w:p w:rsidR="00733E3F" w:rsidRPr="00F4056F" w:rsidRDefault="00733E3F" w:rsidP="00F4056F">
      <w:pPr>
        <w:pStyle w:val="normal0"/>
        <w:shd w:val="clear" w:color="auto" w:fill="FFFFFF"/>
        <w:spacing w:before="48" w:beforeAutospacing="0" w:after="48" w:afterAutospacing="0"/>
        <w:jc w:val="both"/>
        <w:rPr>
          <w:color w:val="000000"/>
        </w:rPr>
      </w:pPr>
      <w:r w:rsidRPr="00F4056F">
        <w:rPr>
          <w:color w:val="000000"/>
        </w:rPr>
        <w:t xml:space="preserve">6) </w:t>
      </w:r>
      <w:r w:rsidR="00F4056F" w:rsidRPr="00F4056F">
        <w:rPr>
          <w:color w:val="000000"/>
        </w:rPr>
        <w:t>новчане</w:t>
      </w:r>
      <w:r w:rsidRPr="00F4056F">
        <w:rPr>
          <w:color w:val="000000"/>
        </w:rPr>
        <w:t xml:space="preserve"> </w:t>
      </w:r>
      <w:r w:rsidR="00F4056F" w:rsidRPr="00F4056F">
        <w:rPr>
          <w:color w:val="000000"/>
        </w:rPr>
        <w:t>казне</w:t>
      </w:r>
      <w:r w:rsidRPr="00F4056F">
        <w:rPr>
          <w:color w:val="000000"/>
        </w:rPr>
        <w:t xml:space="preserve"> </w:t>
      </w:r>
      <w:r w:rsidR="00F4056F" w:rsidRPr="00F4056F">
        <w:rPr>
          <w:color w:val="000000"/>
        </w:rPr>
        <w:t>које</w:t>
      </w:r>
      <w:r w:rsidRPr="00F4056F">
        <w:rPr>
          <w:color w:val="000000"/>
        </w:rPr>
        <w:t xml:space="preserve"> </w:t>
      </w:r>
      <w:r w:rsidR="00F4056F" w:rsidRPr="00F4056F">
        <w:rPr>
          <w:color w:val="000000"/>
        </w:rPr>
        <w:t>изриче</w:t>
      </w:r>
      <w:r w:rsidRPr="00F4056F">
        <w:rPr>
          <w:color w:val="000000"/>
        </w:rPr>
        <w:t xml:space="preserve"> </w:t>
      </w:r>
      <w:r w:rsidR="00F4056F" w:rsidRPr="00F4056F">
        <w:rPr>
          <w:color w:val="000000"/>
        </w:rPr>
        <w:t>надлежни</w:t>
      </w:r>
      <w:r w:rsidRPr="00F4056F">
        <w:rPr>
          <w:color w:val="000000"/>
        </w:rPr>
        <w:t xml:space="preserve"> </w:t>
      </w:r>
      <w:r w:rsidR="00F4056F" w:rsidRPr="00F4056F">
        <w:rPr>
          <w:color w:val="000000"/>
        </w:rPr>
        <w:t>орган</w:t>
      </w:r>
      <w:r w:rsidRPr="00F4056F">
        <w:rPr>
          <w:color w:val="000000"/>
        </w:rPr>
        <w:t xml:space="preserve">, </w:t>
      </w:r>
      <w:r w:rsidR="00F4056F" w:rsidRPr="00F4056F">
        <w:rPr>
          <w:color w:val="000000"/>
        </w:rPr>
        <w:t>уговорне</w:t>
      </w:r>
      <w:r w:rsidRPr="00F4056F">
        <w:rPr>
          <w:color w:val="000000"/>
        </w:rPr>
        <w:t xml:space="preserve"> </w:t>
      </w:r>
      <w:r w:rsidR="00F4056F" w:rsidRPr="00F4056F">
        <w:rPr>
          <w:color w:val="000000"/>
        </w:rPr>
        <w:t>казне</w:t>
      </w:r>
      <w:r w:rsidRPr="00F4056F">
        <w:rPr>
          <w:color w:val="000000"/>
        </w:rPr>
        <w:t xml:space="preserve"> </w:t>
      </w:r>
      <w:r w:rsidR="00F4056F" w:rsidRPr="00F4056F">
        <w:rPr>
          <w:color w:val="000000"/>
        </w:rPr>
        <w:t>и</w:t>
      </w:r>
      <w:r w:rsidRPr="00F4056F">
        <w:rPr>
          <w:color w:val="000000"/>
        </w:rPr>
        <w:t xml:space="preserve"> </w:t>
      </w:r>
      <w:r w:rsidR="00F4056F" w:rsidRPr="00F4056F">
        <w:rPr>
          <w:color w:val="000000"/>
        </w:rPr>
        <w:t>пенали</w:t>
      </w:r>
      <w:r w:rsidRPr="00F4056F">
        <w:rPr>
          <w:color w:val="000000"/>
        </w:rPr>
        <w:t>;</w:t>
      </w:r>
    </w:p>
    <w:p w:rsidR="00733E3F" w:rsidRPr="00F4056F" w:rsidRDefault="00733E3F" w:rsidP="00F4056F">
      <w:pPr>
        <w:pStyle w:val="normal0"/>
        <w:shd w:val="clear" w:color="auto" w:fill="FFFFFF"/>
        <w:spacing w:before="48" w:beforeAutospacing="0" w:after="48" w:afterAutospacing="0"/>
        <w:jc w:val="both"/>
        <w:rPr>
          <w:color w:val="000000"/>
        </w:rPr>
      </w:pPr>
      <w:r w:rsidRPr="00F4056F">
        <w:rPr>
          <w:color w:val="000000"/>
        </w:rPr>
        <w:t xml:space="preserve">7) </w:t>
      </w:r>
      <w:r w:rsidR="00F4056F" w:rsidRPr="00F4056F">
        <w:rPr>
          <w:color w:val="000000"/>
        </w:rPr>
        <w:t>затезне</w:t>
      </w:r>
      <w:r w:rsidRPr="00F4056F">
        <w:rPr>
          <w:color w:val="000000"/>
        </w:rPr>
        <w:t xml:space="preserve"> </w:t>
      </w:r>
      <w:r w:rsidR="00F4056F" w:rsidRPr="00F4056F">
        <w:rPr>
          <w:color w:val="000000"/>
        </w:rPr>
        <w:t>камате</w:t>
      </w:r>
      <w:r w:rsidRPr="00F4056F">
        <w:rPr>
          <w:color w:val="000000"/>
        </w:rPr>
        <w:t xml:space="preserve"> </w:t>
      </w:r>
      <w:r w:rsidR="00F4056F" w:rsidRPr="00F4056F">
        <w:rPr>
          <w:color w:val="000000"/>
        </w:rPr>
        <w:t>између</w:t>
      </w:r>
      <w:r w:rsidRPr="00F4056F">
        <w:rPr>
          <w:color w:val="000000"/>
        </w:rPr>
        <w:t xml:space="preserve"> </w:t>
      </w:r>
      <w:r w:rsidR="00F4056F" w:rsidRPr="00F4056F">
        <w:rPr>
          <w:color w:val="000000"/>
        </w:rPr>
        <w:t>повезаних</w:t>
      </w:r>
      <w:r w:rsidRPr="00F4056F">
        <w:rPr>
          <w:color w:val="000000"/>
        </w:rPr>
        <w:t xml:space="preserve"> </w:t>
      </w:r>
      <w:r w:rsidR="00F4056F" w:rsidRPr="00F4056F">
        <w:rPr>
          <w:color w:val="000000"/>
        </w:rPr>
        <w:t>лица</w:t>
      </w:r>
      <w:r w:rsidRPr="00F4056F">
        <w:rPr>
          <w:color w:val="000000"/>
        </w:rPr>
        <w:t>;</w:t>
      </w:r>
    </w:p>
    <w:p w:rsidR="00733E3F" w:rsidRDefault="00733E3F" w:rsidP="00F4056F">
      <w:pPr>
        <w:pStyle w:val="normal0"/>
        <w:shd w:val="clear" w:color="auto" w:fill="FFFFFF"/>
        <w:spacing w:before="48" w:beforeAutospacing="0" w:after="48" w:afterAutospacing="0"/>
        <w:jc w:val="both"/>
        <w:rPr>
          <w:rFonts w:ascii="Arial" w:hAnsi="Arial" w:cs="Arial"/>
          <w:color w:val="000000"/>
          <w:sz w:val="18"/>
          <w:szCs w:val="18"/>
          <w:lang w:val="sr-Cyrl-CS"/>
        </w:rPr>
      </w:pPr>
      <w:r w:rsidRPr="00F4056F">
        <w:rPr>
          <w:color w:val="000000"/>
        </w:rPr>
        <w:t xml:space="preserve">8) </w:t>
      </w:r>
      <w:r w:rsidR="00F4056F" w:rsidRPr="00F4056F">
        <w:rPr>
          <w:color w:val="000000"/>
        </w:rPr>
        <w:t>трошкови</w:t>
      </w:r>
      <w:r w:rsidRPr="00F4056F">
        <w:rPr>
          <w:color w:val="000000"/>
        </w:rPr>
        <w:t xml:space="preserve"> </w:t>
      </w:r>
      <w:r w:rsidR="00F4056F" w:rsidRPr="00F4056F">
        <w:rPr>
          <w:color w:val="000000"/>
        </w:rPr>
        <w:t>који</w:t>
      </w:r>
      <w:r w:rsidRPr="00F4056F">
        <w:rPr>
          <w:color w:val="000000"/>
        </w:rPr>
        <w:t xml:space="preserve"> </w:t>
      </w:r>
      <w:r w:rsidR="00F4056F" w:rsidRPr="00F4056F">
        <w:rPr>
          <w:color w:val="000000"/>
        </w:rPr>
        <w:t>нису</w:t>
      </w:r>
      <w:r w:rsidRPr="00F4056F">
        <w:rPr>
          <w:color w:val="000000"/>
        </w:rPr>
        <w:t xml:space="preserve"> </w:t>
      </w:r>
      <w:r w:rsidR="00F4056F" w:rsidRPr="00F4056F">
        <w:rPr>
          <w:color w:val="000000"/>
        </w:rPr>
        <w:t>настали</w:t>
      </w:r>
      <w:r w:rsidRPr="00F4056F">
        <w:rPr>
          <w:color w:val="000000"/>
        </w:rPr>
        <w:t xml:space="preserve"> </w:t>
      </w:r>
      <w:r w:rsidR="00F4056F" w:rsidRPr="00F4056F">
        <w:rPr>
          <w:color w:val="000000"/>
        </w:rPr>
        <w:t>у</w:t>
      </w:r>
      <w:r w:rsidRPr="00F4056F">
        <w:rPr>
          <w:color w:val="000000"/>
        </w:rPr>
        <w:t xml:space="preserve"> </w:t>
      </w:r>
      <w:r w:rsidR="00F4056F" w:rsidRPr="00F4056F">
        <w:rPr>
          <w:color w:val="000000"/>
        </w:rPr>
        <w:t>сврху</w:t>
      </w:r>
      <w:r w:rsidRPr="00F4056F">
        <w:rPr>
          <w:color w:val="000000"/>
        </w:rPr>
        <w:t xml:space="preserve"> </w:t>
      </w:r>
      <w:r w:rsidR="00F4056F" w:rsidRPr="00F4056F">
        <w:rPr>
          <w:color w:val="000000"/>
        </w:rPr>
        <w:t>обављања</w:t>
      </w:r>
      <w:r w:rsidRPr="00F4056F">
        <w:rPr>
          <w:color w:val="000000"/>
        </w:rPr>
        <w:t xml:space="preserve"> </w:t>
      </w:r>
      <w:r w:rsidR="00F4056F" w:rsidRPr="00F4056F">
        <w:rPr>
          <w:color w:val="000000"/>
        </w:rPr>
        <w:t>пословне</w:t>
      </w:r>
      <w:r w:rsidRPr="00F4056F">
        <w:rPr>
          <w:color w:val="000000"/>
        </w:rPr>
        <w:t xml:space="preserve"> </w:t>
      </w:r>
      <w:r w:rsidR="00F4056F" w:rsidRPr="00F4056F">
        <w:rPr>
          <w:color w:val="000000"/>
        </w:rPr>
        <w:t>делатности</w:t>
      </w:r>
      <w:r w:rsidRPr="00F4056F">
        <w:rPr>
          <w:color w:val="000000"/>
        </w:rPr>
        <w:t xml:space="preserve">, </w:t>
      </w:r>
      <w:r w:rsidR="00F4056F" w:rsidRPr="00F4056F">
        <w:rPr>
          <w:color w:val="000000"/>
        </w:rPr>
        <w:t>ако</w:t>
      </w:r>
      <w:r w:rsidRPr="00F4056F">
        <w:rPr>
          <w:color w:val="000000"/>
        </w:rPr>
        <w:t xml:space="preserve"> </w:t>
      </w:r>
      <w:r w:rsidR="00F4056F" w:rsidRPr="00F4056F">
        <w:rPr>
          <w:color w:val="000000"/>
        </w:rPr>
        <w:t>законом</w:t>
      </w:r>
      <w:r w:rsidRPr="00F4056F">
        <w:rPr>
          <w:color w:val="000000"/>
        </w:rPr>
        <w:t xml:space="preserve"> </w:t>
      </w:r>
      <w:r w:rsidR="00F4056F" w:rsidRPr="00F4056F">
        <w:rPr>
          <w:color w:val="000000"/>
        </w:rPr>
        <w:t>није</w:t>
      </w:r>
      <w:r w:rsidRPr="00F4056F">
        <w:rPr>
          <w:color w:val="000000"/>
        </w:rPr>
        <w:t xml:space="preserve"> </w:t>
      </w:r>
      <w:r w:rsidR="00F4056F" w:rsidRPr="00F4056F">
        <w:rPr>
          <w:color w:val="000000"/>
        </w:rPr>
        <w:t>друкчије</w:t>
      </w:r>
      <w:r w:rsidRPr="00F4056F">
        <w:rPr>
          <w:color w:val="000000"/>
        </w:rPr>
        <w:t xml:space="preserve"> </w:t>
      </w:r>
      <w:r w:rsidR="00F4056F" w:rsidRPr="00F4056F">
        <w:rPr>
          <w:color w:val="000000"/>
        </w:rPr>
        <w:t>уређено</w:t>
      </w:r>
      <w:r>
        <w:rPr>
          <w:rFonts w:ascii="Arial" w:hAnsi="Arial" w:cs="Arial"/>
          <w:color w:val="000000"/>
          <w:sz w:val="18"/>
          <w:szCs w:val="18"/>
        </w:rPr>
        <w:t>.</w:t>
      </w:r>
      <w:r>
        <w:rPr>
          <w:rStyle w:val="FootnoteReference"/>
          <w:rFonts w:ascii="Arial" w:hAnsi="Arial" w:cs="Arial"/>
          <w:color w:val="000000"/>
          <w:sz w:val="18"/>
          <w:szCs w:val="18"/>
        </w:rPr>
        <w:footnoteReference w:id="286"/>
      </w:r>
    </w:p>
    <w:p w:rsidR="00194AAC" w:rsidRDefault="00194AAC" w:rsidP="00733E3F">
      <w:pPr>
        <w:pStyle w:val="normal0"/>
        <w:shd w:val="clear" w:color="auto" w:fill="FFFFFF"/>
        <w:spacing w:before="48" w:beforeAutospacing="0" w:after="48" w:afterAutospacing="0"/>
        <w:rPr>
          <w:rFonts w:ascii="Arial" w:hAnsi="Arial" w:cs="Arial"/>
          <w:color w:val="000000"/>
          <w:sz w:val="18"/>
          <w:szCs w:val="18"/>
          <w:lang w:val="sr-Cyrl-CS"/>
        </w:rPr>
      </w:pPr>
    </w:p>
    <w:p w:rsidR="00DA1917" w:rsidRPr="00B90C1E" w:rsidRDefault="00DA1917" w:rsidP="00B90C1E">
      <w:pPr>
        <w:ind w:firstLine="360"/>
        <w:jc w:val="both"/>
        <w:rPr>
          <w:rFonts w:ascii="Times New Roman" w:hAnsi="Times New Roman"/>
          <w:sz w:val="24"/>
          <w:szCs w:val="24"/>
        </w:rPr>
      </w:pPr>
      <w:r w:rsidRPr="00B90C1E">
        <w:rPr>
          <w:rFonts w:ascii="Times New Roman" w:hAnsi="Times New Roman"/>
          <w:sz w:val="24"/>
          <w:szCs w:val="24"/>
          <w:lang w:val="sr-Cyrl-CS"/>
        </w:rPr>
        <w:t>Према позитивним прописима поред трошкова пореског обвезн</w:t>
      </w:r>
      <w:r w:rsidR="0094429D" w:rsidRPr="00B90C1E">
        <w:rPr>
          <w:rFonts w:ascii="Times New Roman" w:hAnsi="Times New Roman"/>
          <w:sz w:val="24"/>
          <w:szCs w:val="24"/>
          <w:lang w:val="sr-Cyrl-CS"/>
        </w:rPr>
        <w:t>ика који се не признају целости</w:t>
      </w:r>
      <w:r w:rsidRPr="00B90C1E">
        <w:rPr>
          <w:rFonts w:ascii="Times New Roman" w:hAnsi="Times New Roman"/>
          <w:sz w:val="24"/>
          <w:szCs w:val="24"/>
          <w:lang w:val="sr-Cyrl-CS"/>
        </w:rPr>
        <w:t>, прописани су трошкови који се  признају само делимично.  Издаци чији се износ исказан у биласну успеха не при</w:t>
      </w:r>
      <w:r w:rsidR="001B2715" w:rsidRPr="00B90C1E">
        <w:rPr>
          <w:rFonts w:ascii="Times New Roman" w:hAnsi="Times New Roman"/>
          <w:sz w:val="24"/>
          <w:szCs w:val="24"/>
          <w:lang w:val="sr-Cyrl-CS"/>
        </w:rPr>
        <w:t>знаје у целини у пореском биланс</w:t>
      </w:r>
      <w:r w:rsidRPr="00B90C1E">
        <w:rPr>
          <w:rFonts w:ascii="Times New Roman" w:hAnsi="Times New Roman"/>
          <w:sz w:val="24"/>
          <w:szCs w:val="24"/>
          <w:lang w:val="sr-Cyrl-CS"/>
        </w:rPr>
        <w:t>у, него само делимично до одређене висине,  морају се кориговати  за потребе пореског биланса. Ради се о следећим одбицима</w:t>
      </w:r>
      <w:r w:rsidRPr="00B90C1E">
        <w:rPr>
          <w:rStyle w:val="FootnoteReference"/>
          <w:rFonts w:ascii="Times New Roman" w:hAnsi="Times New Roman"/>
          <w:color w:val="000000"/>
          <w:sz w:val="24"/>
          <w:szCs w:val="24"/>
          <w:lang w:val="sr-Cyrl-CS"/>
        </w:rPr>
        <w:footnoteReference w:id="287"/>
      </w:r>
      <w:r w:rsidRPr="00B90C1E">
        <w:rPr>
          <w:rFonts w:ascii="Times New Roman" w:hAnsi="Times New Roman"/>
          <w:sz w:val="24"/>
          <w:szCs w:val="24"/>
          <w:lang w:val="sr-Cyrl-CS"/>
        </w:rPr>
        <w:t>:</w:t>
      </w:r>
    </w:p>
    <w:p w:rsidR="00DA1917" w:rsidRPr="00D57F68" w:rsidRDefault="0094429D" w:rsidP="008A3795">
      <w:pPr>
        <w:pStyle w:val="normal0"/>
        <w:numPr>
          <w:ilvl w:val="0"/>
          <w:numId w:val="23"/>
        </w:numPr>
        <w:shd w:val="clear" w:color="auto" w:fill="FFFFFF"/>
        <w:spacing w:before="48" w:beforeAutospacing="0" w:after="48" w:afterAutospacing="0"/>
        <w:jc w:val="both"/>
        <w:rPr>
          <w:color w:val="000000"/>
        </w:rPr>
      </w:pPr>
      <w:r>
        <w:rPr>
          <w:color w:val="000000"/>
        </w:rPr>
        <w:t>Издаци</w:t>
      </w:r>
      <w:r w:rsidR="00DA1917" w:rsidRPr="0094429D">
        <w:rPr>
          <w:color w:val="000000"/>
        </w:rPr>
        <w:t xml:space="preserve"> </w:t>
      </w:r>
      <w:r>
        <w:rPr>
          <w:color w:val="000000"/>
        </w:rPr>
        <w:t>за</w:t>
      </w:r>
      <w:r w:rsidR="00DA1917" w:rsidRPr="0094429D">
        <w:rPr>
          <w:color w:val="000000"/>
        </w:rPr>
        <w:t xml:space="preserve"> </w:t>
      </w:r>
      <w:r>
        <w:rPr>
          <w:color w:val="000000"/>
        </w:rPr>
        <w:t>здравствене</w:t>
      </w:r>
      <w:r w:rsidR="00DA1917" w:rsidRPr="0094429D">
        <w:rPr>
          <w:color w:val="000000"/>
        </w:rPr>
        <w:t xml:space="preserve">, </w:t>
      </w:r>
      <w:r>
        <w:rPr>
          <w:color w:val="000000"/>
        </w:rPr>
        <w:t>образовне</w:t>
      </w:r>
      <w:r w:rsidR="00DA1917" w:rsidRPr="0094429D">
        <w:rPr>
          <w:color w:val="000000"/>
        </w:rPr>
        <w:t xml:space="preserve">, </w:t>
      </w:r>
      <w:r>
        <w:rPr>
          <w:color w:val="000000"/>
        </w:rPr>
        <w:t>научне</w:t>
      </w:r>
      <w:r w:rsidR="00DA1917" w:rsidRPr="0094429D">
        <w:rPr>
          <w:color w:val="000000"/>
        </w:rPr>
        <w:t xml:space="preserve">, </w:t>
      </w:r>
      <w:r>
        <w:rPr>
          <w:color w:val="000000"/>
        </w:rPr>
        <w:t>хуманитарне</w:t>
      </w:r>
      <w:r w:rsidR="00DA1917" w:rsidRPr="0094429D">
        <w:rPr>
          <w:color w:val="000000"/>
        </w:rPr>
        <w:t xml:space="preserve">, </w:t>
      </w:r>
      <w:r>
        <w:rPr>
          <w:color w:val="000000"/>
        </w:rPr>
        <w:t>верске</w:t>
      </w:r>
      <w:r w:rsidR="00DA1917" w:rsidRPr="0094429D">
        <w:rPr>
          <w:color w:val="000000"/>
        </w:rPr>
        <w:t xml:space="preserve">, </w:t>
      </w:r>
      <w:r>
        <w:rPr>
          <w:color w:val="000000"/>
        </w:rPr>
        <w:t>заштиту</w:t>
      </w:r>
      <w:r w:rsidR="00DA1917" w:rsidRPr="0094429D">
        <w:rPr>
          <w:color w:val="000000"/>
        </w:rPr>
        <w:t xml:space="preserve"> </w:t>
      </w:r>
      <w:r>
        <w:rPr>
          <w:color w:val="000000"/>
        </w:rPr>
        <w:t>човекове</w:t>
      </w:r>
      <w:r w:rsidR="00DA1917" w:rsidRPr="0094429D">
        <w:rPr>
          <w:color w:val="000000"/>
        </w:rPr>
        <w:t xml:space="preserve"> </w:t>
      </w:r>
      <w:r>
        <w:rPr>
          <w:color w:val="000000"/>
        </w:rPr>
        <w:t>средине</w:t>
      </w:r>
      <w:r w:rsidR="00DA1917" w:rsidRPr="0094429D">
        <w:rPr>
          <w:color w:val="000000"/>
        </w:rPr>
        <w:t xml:space="preserve"> </w:t>
      </w:r>
      <w:r>
        <w:rPr>
          <w:color w:val="000000"/>
        </w:rPr>
        <w:t>и</w:t>
      </w:r>
      <w:r w:rsidR="00DA1917" w:rsidRPr="0094429D">
        <w:rPr>
          <w:color w:val="000000"/>
        </w:rPr>
        <w:t xml:space="preserve"> </w:t>
      </w:r>
      <w:r>
        <w:rPr>
          <w:color w:val="000000"/>
        </w:rPr>
        <w:t>спортске</w:t>
      </w:r>
      <w:r w:rsidR="00DA1917" w:rsidRPr="0094429D">
        <w:rPr>
          <w:color w:val="000000"/>
        </w:rPr>
        <w:t xml:space="preserve"> </w:t>
      </w:r>
      <w:r>
        <w:rPr>
          <w:color w:val="000000"/>
        </w:rPr>
        <w:t>намене</w:t>
      </w:r>
      <w:r w:rsidR="00DA1917" w:rsidRPr="0094429D">
        <w:rPr>
          <w:color w:val="000000"/>
        </w:rPr>
        <w:t xml:space="preserve">, </w:t>
      </w:r>
      <w:r>
        <w:rPr>
          <w:color w:val="000000"/>
        </w:rPr>
        <w:t>као</w:t>
      </w:r>
      <w:r w:rsidR="00DA1917" w:rsidRPr="0094429D">
        <w:rPr>
          <w:color w:val="000000"/>
        </w:rPr>
        <w:t xml:space="preserve"> </w:t>
      </w:r>
      <w:r>
        <w:rPr>
          <w:color w:val="000000"/>
        </w:rPr>
        <w:t>и</w:t>
      </w:r>
      <w:r w:rsidR="00DA1917" w:rsidRPr="0094429D">
        <w:rPr>
          <w:color w:val="000000"/>
        </w:rPr>
        <w:t xml:space="preserve"> </w:t>
      </w:r>
      <w:r>
        <w:rPr>
          <w:color w:val="000000"/>
        </w:rPr>
        <w:t>давања</w:t>
      </w:r>
      <w:r w:rsidR="00DA1917" w:rsidRPr="0094429D">
        <w:rPr>
          <w:color w:val="000000"/>
        </w:rPr>
        <w:t xml:space="preserve"> </w:t>
      </w:r>
      <w:r>
        <w:rPr>
          <w:color w:val="000000"/>
        </w:rPr>
        <w:t>учињена</w:t>
      </w:r>
      <w:r w:rsidR="00DA1917" w:rsidRPr="0094429D">
        <w:rPr>
          <w:color w:val="000000"/>
        </w:rPr>
        <w:t xml:space="preserve"> </w:t>
      </w:r>
      <w:r>
        <w:rPr>
          <w:color w:val="000000"/>
        </w:rPr>
        <w:t>установама</w:t>
      </w:r>
      <w:r w:rsidR="00DA1917" w:rsidRPr="0094429D">
        <w:rPr>
          <w:color w:val="000000"/>
        </w:rPr>
        <w:t xml:space="preserve"> </w:t>
      </w:r>
      <w:r>
        <w:rPr>
          <w:color w:val="000000"/>
        </w:rPr>
        <w:t>социјалне</w:t>
      </w:r>
      <w:r w:rsidR="00DA1917" w:rsidRPr="0094429D">
        <w:rPr>
          <w:color w:val="000000"/>
        </w:rPr>
        <w:t xml:space="preserve"> </w:t>
      </w:r>
      <w:r>
        <w:rPr>
          <w:color w:val="000000"/>
        </w:rPr>
        <w:t>заштите</w:t>
      </w:r>
      <w:r w:rsidR="00DA1917" w:rsidRPr="0094429D">
        <w:rPr>
          <w:color w:val="000000"/>
        </w:rPr>
        <w:t xml:space="preserve"> </w:t>
      </w:r>
      <w:r>
        <w:rPr>
          <w:color w:val="000000"/>
        </w:rPr>
        <w:t>основаним</w:t>
      </w:r>
      <w:r w:rsidR="00DA1917" w:rsidRPr="0094429D">
        <w:rPr>
          <w:color w:val="000000"/>
        </w:rPr>
        <w:t xml:space="preserve"> </w:t>
      </w:r>
      <w:r>
        <w:rPr>
          <w:color w:val="000000"/>
        </w:rPr>
        <w:t>у</w:t>
      </w:r>
      <w:r w:rsidR="00DA1917" w:rsidRPr="0094429D">
        <w:rPr>
          <w:color w:val="000000"/>
        </w:rPr>
        <w:t xml:space="preserve"> </w:t>
      </w:r>
      <w:r>
        <w:rPr>
          <w:color w:val="000000"/>
        </w:rPr>
        <w:t>складу</w:t>
      </w:r>
      <w:r w:rsidR="00DA1917" w:rsidRPr="0094429D">
        <w:rPr>
          <w:color w:val="000000"/>
        </w:rPr>
        <w:t xml:space="preserve"> </w:t>
      </w:r>
      <w:r>
        <w:rPr>
          <w:color w:val="000000"/>
        </w:rPr>
        <w:t>са</w:t>
      </w:r>
      <w:r w:rsidR="00DA1917" w:rsidRPr="0094429D">
        <w:rPr>
          <w:color w:val="000000"/>
        </w:rPr>
        <w:t xml:space="preserve"> </w:t>
      </w:r>
      <w:r>
        <w:rPr>
          <w:color w:val="000000"/>
        </w:rPr>
        <w:t>законом</w:t>
      </w:r>
      <w:r w:rsidR="00DA1917" w:rsidRPr="0094429D">
        <w:rPr>
          <w:color w:val="000000"/>
        </w:rPr>
        <w:t xml:space="preserve"> </w:t>
      </w:r>
      <w:r>
        <w:rPr>
          <w:color w:val="000000"/>
        </w:rPr>
        <w:t>који</w:t>
      </w:r>
      <w:r w:rsidR="00DA1917" w:rsidRPr="0094429D">
        <w:rPr>
          <w:color w:val="000000"/>
        </w:rPr>
        <w:t xml:space="preserve"> </w:t>
      </w:r>
      <w:r>
        <w:rPr>
          <w:color w:val="000000"/>
        </w:rPr>
        <w:t>уређује</w:t>
      </w:r>
      <w:r w:rsidR="00DA1917" w:rsidRPr="0094429D">
        <w:rPr>
          <w:color w:val="000000"/>
        </w:rPr>
        <w:t xml:space="preserve"> </w:t>
      </w:r>
      <w:r>
        <w:rPr>
          <w:color w:val="000000"/>
        </w:rPr>
        <w:t>социјалну</w:t>
      </w:r>
      <w:r w:rsidR="00DA1917" w:rsidRPr="0094429D">
        <w:rPr>
          <w:color w:val="000000"/>
        </w:rPr>
        <w:t xml:space="preserve"> </w:t>
      </w:r>
      <w:r>
        <w:rPr>
          <w:color w:val="000000"/>
        </w:rPr>
        <w:t>заштиту</w:t>
      </w:r>
      <w:r w:rsidR="00DA1917" w:rsidRPr="0094429D">
        <w:rPr>
          <w:color w:val="000000"/>
        </w:rPr>
        <w:t xml:space="preserve">, </w:t>
      </w:r>
      <w:r>
        <w:rPr>
          <w:color w:val="000000"/>
        </w:rPr>
        <w:t>признају</w:t>
      </w:r>
      <w:r w:rsidR="00DA1917" w:rsidRPr="0094429D">
        <w:rPr>
          <w:color w:val="000000"/>
        </w:rPr>
        <w:t xml:space="preserve"> </w:t>
      </w:r>
      <w:r>
        <w:rPr>
          <w:color w:val="000000"/>
        </w:rPr>
        <w:t>се</w:t>
      </w:r>
      <w:r w:rsidR="00DA1917" w:rsidRPr="0094429D">
        <w:rPr>
          <w:color w:val="000000"/>
        </w:rPr>
        <w:t xml:space="preserve"> </w:t>
      </w:r>
      <w:r>
        <w:rPr>
          <w:color w:val="000000"/>
        </w:rPr>
        <w:t>као</w:t>
      </w:r>
      <w:r w:rsidR="00DA1917" w:rsidRPr="0094429D">
        <w:rPr>
          <w:color w:val="000000"/>
        </w:rPr>
        <w:t xml:space="preserve"> </w:t>
      </w:r>
      <w:r>
        <w:rPr>
          <w:color w:val="000000"/>
        </w:rPr>
        <w:t>расход</w:t>
      </w:r>
      <w:r w:rsidR="00DA1917" w:rsidRPr="0094429D">
        <w:rPr>
          <w:color w:val="000000"/>
        </w:rPr>
        <w:t xml:space="preserve"> </w:t>
      </w:r>
      <w:r>
        <w:rPr>
          <w:color w:val="000000"/>
        </w:rPr>
        <w:t>у</w:t>
      </w:r>
      <w:r w:rsidR="00DA1917" w:rsidRPr="0094429D">
        <w:rPr>
          <w:color w:val="000000"/>
        </w:rPr>
        <w:t xml:space="preserve"> </w:t>
      </w:r>
      <w:r>
        <w:rPr>
          <w:color w:val="000000"/>
        </w:rPr>
        <w:t>износу</w:t>
      </w:r>
      <w:r w:rsidR="00DA1917" w:rsidRPr="0094429D">
        <w:rPr>
          <w:color w:val="000000"/>
        </w:rPr>
        <w:t xml:space="preserve"> </w:t>
      </w:r>
      <w:r>
        <w:rPr>
          <w:color w:val="000000"/>
        </w:rPr>
        <w:t>највише</w:t>
      </w:r>
      <w:r w:rsidR="00DA1917" w:rsidRPr="0094429D">
        <w:rPr>
          <w:color w:val="000000"/>
        </w:rPr>
        <w:t xml:space="preserve"> </w:t>
      </w:r>
      <w:r>
        <w:rPr>
          <w:color w:val="000000"/>
        </w:rPr>
        <w:t>до</w:t>
      </w:r>
      <w:r w:rsidR="00DA1917" w:rsidRPr="0094429D">
        <w:rPr>
          <w:color w:val="000000"/>
        </w:rPr>
        <w:t xml:space="preserve"> 5% </w:t>
      </w:r>
      <w:r>
        <w:rPr>
          <w:color w:val="000000"/>
        </w:rPr>
        <w:t>од</w:t>
      </w:r>
      <w:r w:rsidR="00DA1917" w:rsidRPr="0094429D">
        <w:rPr>
          <w:color w:val="000000"/>
        </w:rPr>
        <w:t xml:space="preserve"> </w:t>
      </w:r>
      <w:r>
        <w:rPr>
          <w:color w:val="000000"/>
        </w:rPr>
        <w:t>укупног</w:t>
      </w:r>
      <w:r w:rsidR="00DA1917" w:rsidRPr="0094429D">
        <w:rPr>
          <w:color w:val="000000"/>
        </w:rPr>
        <w:t xml:space="preserve"> </w:t>
      </w:r>
      <w:r>
        <w:rPr>
          <w:color w:val="000000"/>
        </w:rPr>
        <w:t>прихода</w:t>
      </w:r>
      <w:r w:rsidR="00DA1917" w:rsidRPr="0094429D">
        <w:rPr>
          <w:color w:val="000000"/>
          <w:lang w:val="sr-Cyrl-CS"/>
        </w:rPr>
        <w:t xml:space="preserve">, са додатним ограничењем да се ови издаци признају </w:t>
      </w:r>
      <w:r>
        <w:rPr>
          <w:color w:val="000000"/>
        </w:rPr>
        <w:t>као</w:t>
      </w:r>
      <w:r w:rsidR="00DA1917" w:rsidRPr="0094429D">
        <w:rPr>
          <w:color w:val="000000"/>
        </w:rPr>
        <w:t xml:space="preserve"> </w:t>
      </w:r>
      <w:r>
        <w:rPr>
          <w:color w:val="000000"/>
        </w:rPr>
        <w:t>расход</w:t>
      </w:r>
      <w:r w:rsidR="00DA1917" w:rsidRPr="0094429D">
        <w:rPr>
          <w:color w:val="000000"/>
        </w:rPr>
        <w:t xml:space="preserve"> </w:t>
      </w:r>
      <w:r>
        <w:rPr>
          <w:color w:val="000000"/>
        </w:rPr>
        <w:t>само</w:t>
      </w:r>
      <w:r w:rsidR="00DA1917" w:rsidRPr="0094429D">
        <w:rPr>
          <w:color w:val="000000"/>
        </w:rPr>
        <w:t xml:space="preserve"> </w:t>
      </w:r>
      <w:r>
        <w:rPr>
          <w:color w:val="000000"/>
        </w:rPr>
        <w:t>ако</w:t>
      </w:r>
      <w:r w:rsidR="00DA1917" w:rsidRPr="0094429D">
        <w:rPr>
          <w:color w:val="000000"/>
        </w:rPr>
        <w:t xml:space="preserve"> </w:t>
      </w:r>
      <w:r>
        <w:rPr>
          <w:color w:val="000000"/>
        </w:rPr>
        <w:t>су</w:t>
      </w:r>
      <w:r w:rsidR="00DA1917" w:rsidRPr="0094429D">
        <w:rPr>
          <w:color w:val="000000"/>
        </w:rPr>
        <w:t xml:space="preserve"> </w:t>
      </w:r>
      <w:r>
        <w:rPr>
          <w:color w:val="000000"/>
        </w:rPr>
        <w:t>извршени</w:t>
      </w:r>
      <w:r w:rsidR="00DA1917" w:rsidRPr="0094429D">
        <w:rPr>
          <w:color w:val="000000"/>
        </w:rPr>
        <w:t xml:space="preserve"> </w:t>
      </w:r>
      <w:r>
        <w:rPr>
          <w:color w:val="000000"/>
        </w:rPr>
        <w:t>лицима</w:t>
      </w:r>
      <w:r w:rsidR="00DA1917" w:rsidRPr="0094429D">
        <w:rPr>
          <w:color w:val="000000"/>
        </w:rPr>
        <w:t xml:space="preserve"> </w:t>
      </w:r>
      <w:r>
        <w:rPr>
          <w:color w:val="000000"/>
        </w:rPr>
        <w:t>регистрованим</w:t>
      </w:r>
      <w:r w:rsidR="00DA1917" w:rsidRPr="0094429D">
        <w:rPr>
          <w:color w:val="000000"/>
        </w:rPr>
        <w:t xml:space="preserve"> </w:t>
      </w:r>
      <w:r>
        <w:rPr>
          <w:color w:val="000000"/>
        </w:rPr>
        <w:t>за</w:t>
      </w:r>
      <w:r w:rsidR="00DA1917" w:rsidRPr="0094429D">
        <w:rPr>
          <w:color w:val="000000"/>
        </w:rPr>
        <w:t xml:space="preserve"> </w:t>
      </w:r>
      <w:r>
        <w:rPr>
          <w:color w:val="000000"/>
        </w:rPr>
        <w:t>те</w:t>
      </w:r>
      <w:r w:rsidR="00DA1917" w:rsidRPr="0094429D">
        <w:rPr>
          <w:color w:val="000000"/>
        </w:rPr>
        <w:t xml:space="preserve"> </w:t>
      </w:r>
      <w:r>
        <w:rPr>
          <w:color w:val="000000"/>
        </w:rPr>
        <w:t>намене</w:t>
      </w:r>
      <w:r w:rsidR="00DA1917" w:rsidRPr="0094429D">
        <w:rPr>
          <w:color w:val="000000"/>
        </w:rPr>
        <w:t xml:space="preserve"> </w:t>
      </w:r>
      <w:r w:rsidR="006564B0" w:rsidRPr="0094429D">
        <w:rPr>
          <w:color w:val="000000"/>
          <w:lang w:val="sr-Cyrl-CS"/>
        </w:rPr>
        <w:t xml:space="preserve">и </w:t>
      </w:r>
      <w:r>
        <w:rPr>
          <w:color w:val="000000"/>
        </w:rPr>
        <w:t>која</w:t>
      </w:r>
      <w:r w:rsidR="00DA1917" w:rsidRPr="0094429D">
        <w:rPr>
          <w:color w:val="000000"/>
        </w:rPr>
        <w:t xml:space="preserve"> </w:t>
      </w:r>
      <w:r>
        <w:rPr>
          <w:color w:val="000000"/>
        </w:rPr>
        <w:t>наведена</w:t>
      </w:r>
      <w:r w:rsidR="00DA1917" w:rsidRPr="0094429D">
        <w:rPr>
          <w:color w:val="000000"/>
        </w:rPr>
        <w:t xml:space="preserve"> </w:t>
      </w:r>
      <w:r>
        <w:rPr>
          <w:color w:val="000000"/>
        </w:rPr>
        <w:t>давања</w:t>
      </w:r>
      <w:r w:rsidR="00DA1917" w:rsidRPr="0094429D">
        <w:rPr>
          <w:color w:val="000000"/>
        </w:rPr>
        <w:t xml:space="preserve"> </w:t>
      </w:r>
      <w:r>
        <w:rPr>
          <w:color w:val="000000"/>
        </w:rPr>
        <w:t>искључиво</w:t>
      </w:r>
      <w:r w:rsidR="00DA1917" w:rsidRPr="0094429D">
        <w:rPr>
          <w:color w:val="000000"/>
        </w:rPr>
        <w:t xml:space="preserve"> </w:t>
      </w:r>
      <w:r>
        <w:rPr>
          <w:color w:val="000000"/>
        </w:rPr>
        <w:t>користе</w:t>
      </w:r>
      <w:r w:rsidR="00DA1917" w:rsidRPr="0094429D">
        <w:rPr>
          <w:color w:val="000000"/>
        </w:rPr>
        <w:t xml:space="preserve"> </w:t>
      </w:r>
      <w:r>
        <w:rPr>
          <w:color w:val="000000"/>
        </w:rPr>
        <w:t>за</w:t>
      </w:r>
      <w:r w:rsidR="00DA1917" w:rsidRPr="0094429D">
        <w:rPr>
          <w:color w:val="000000"/>
        </w:rPr>
        <w:t xml:space="preserve"> </w:t>
      </w:r>
      <w:r>
        <w:rPr>
          <w:color w:val="000000"/>
        </w:rPr>
        <w:t>обављање</w:t>
      </w:r>
      <w:r w:rsidR="00DA1917" w:rsidRPr="0094429D">
        <w:rPr>
          <w:color w:val="000000"/>
        </w:rPr>
        <w:t xml:space="preserve"> </w:t>
      </w:r>
      <w:r w:rsidR="006564B0" w:rsidRPr="0094429D">
        <w:rPr>
          <w:color w:val="000000"/>
          <w:lang w:val="sr-Cyrl-CS"/>
        </w:rPr>
        <w:t xml:space="preserve">наведених </w:t>
      </w:r>
      <w:r>
        <w:rPr>
          <w:color w:val="000000"/>
        </w:rPr>
        <w:t>делатности</w:t>
      </w:r>
      <w:r w:rsidR="00DA1917" w:rsidRPr="0094429D">
        <w:rPr>
          <w:color w:val="000000"/>
        </w:rPr>
        <w:t>.</w:t>
      </w:r>
    </w:p>
    <w:p w:rsidR="00D57F68" w:rsidRPr="0094429D" w:rsidRDefault="00D57F68" w:rsidP="00D57F68">
      <w:pPr>
        <w:pStyle w:val="normal0"/>
        <w:shd w:val="clear" w:color="auto" w:fill="FFFFFF"/>
        <w:spacing w:before="48" w:beforeAutospacing="0" w:after="48" w:afterAutospacing="0"/>
        <w:ind w:left="720"/>
        <w:jc w:val="both"/>
        <w:rPr>
          <w:color w:val="000000"/>
        </w:rPr>
      </w:pPr>
    </w:p>
    <w:p w:rsidR="006564B0" w:rsidRPr="00D57F68" w:rsidRDefault="0094429D" w:rsidP="008A3795">
      <w:pPr>
        <w:pStyle w:val="normal0"/>
        <w:numPr>
          <w:ilvl w:val="0"/>
          <w:numId w:val="23"/>
        </w:numPr>
        <w:shd w:val="clear" w:color="auto" w:fill="FFFFFF"/>
        <w:spacing w:before="48" w:beforeAutospacing="0" w:after="48" w:afterAutospacing="0"/>
        <w:jc w:val="both"/>
        <w:rPr>
          <w:color w:val="000000"/>
        </w:rPr>
      </w:pPr>
      <w:r>
        <w:rPr>
          <w:color w:val="000000"/>
        </w:rPr>
        <w:t>Издаци</w:t>
      </w:r>
      <w:r w:rsidR="006564B0" w:rsidRPr="0094429D">
        <w:rPr>
          <w:color w:val="000000"/>
        </w:rPr>
        <w:t xml:space="preserve"> </w:t>
      </w:r>
      <w:r>
        <w:rPr>
          <w:color w:val="000000"/>
        </w:rPr>
        <w:t>за</w:t>
      </w:r>
      <w:r w:rsidR="006564B0" w:rsidRPr="0094429D">
        <w:rPr>
          <w:color w:val="000000"/>
        </w:rPr>
        <w:t xml:space="preserve"> </w:t>
      </w:r>
      <w:r>
        <w:rPr>
          <w:color w:val="000000"/>
        </w:rPr>
        <w:t>улагања</w:t>
      </w:r>
      <w:r w:rsidR="006564B0" w:rsidRPr="0094429D">
        <w:rPr>
          <w:color w:val="000000"/>
        </w:rPr>
        <w:t xml:space="preserve"> </w:t>
      </w:r>
      <w:r>
        <w:rPr>
          <w:color w:val="000000"/>
        </w:rPr>
        <w:t>у</w:t>
      </w:r>
      <w:r w:rsidR="006564B0" w:rsidRPr="0094429D">
        <w:rPr>
          <w:color w:val="000000"/>
        </w:rPr>
        <w:t xml:space="preserve"> </w:t>
      </w:r>
      <w:r>
        <w:rPr>
          <w:color w:val="000000"/>
        </w:rPr>
        <w:t>области</w:t>
      </w:r>
      <w:r w:rsidR="006564B0" w:rsidRPr="0094429D">
        <w:rPr>
          <w:color w:val="000000"/>
        </w:rPr>
        <w:t xml:space="preserve"> </w:t>
      </w:r>
      <w:r>
        <w:rPr>
          <w:color w:val="000000"/>
        </w:rPr>
        <w:t>културе</w:t>
      </w:r>
      <w:r w:rsidR="006564B0" w:rsidRPr="0094429D">
        <w:rPr>
          <w:color w:val="000000"/>
        </w:rPr>
        <w:t xml:space="preserve">, </w:t>
      </w:r>
      <w:r>
        <w:rPr>
          <w:color w:val="000000"/>
        </w:rPr>
        <w:t>укључујући</w:t>
      </w:r>
      <w:r w:rsidR="006564B0" w:rsidRPr="0094429D">
        <w:rPr>
          <w:color w:val="000000"/>
        </w:rPr>
        <w:t xml:space="preserve"> </w:t>
      </w:r>
      <w:r>
        <w:rPr>
          <w:color w:val="000000"/>
        </w:rPr>
        <w:t>и</w:t>
      </w:r>
      <w:r w:rsidR="006564B0" w:rsidRPr="0094429D">
        <w:rPr>
          <w:color w:val="000000"/>
        </w:rPr>
        <w:t xml:space="preserve"> </w:t>
      </w:r>
      <w:r>
        <w:rPr>
          <w:color w:val="000000"/>
        </w:rPr>
        <w:t>кинематографску</w:t>
      </w:r>
      <w:r w:rsidR="006564B0" w:rsidRPr="0094429D">
        <w:rPr>
          <w:color w:val="000000"/>
        </w:rPr>
        <w:t xml:space="preserve"> </w:t>
      </w:r>
      <w:r>
        <w:rPr>
          <w:color w:val="000000"/>
        </w:rPr>
        <w:t>делатност</w:t>
      </w:r>
      <w:r w:rsidR="006564B0" w:rsidRPr="0094429D">
        <w:rPr>
          <w:color w:val="000000"/>
        </w:rPr>
        <w:t xml:space="preserve">, </w:t>
      </w:r>
      <w:r>
        <w:rPr>
          <w:color w:val="000000"/>
        </w:rPr>
        <w:t>признају</w:t>
      </w:r>
      <w:r w:rsidR="006564B0" w:rsidRPr="0094429D">
        <w:rPr>
          <w:color w:val="000000"/>
        </w:rPr>
        <w:t xml:space="preserve"> </w:t>
      </w:r>
      <w:r>
        <w:rPr>
          <w:color w:val="000000"/>
        </w:rPr>
        <w:t>се</w:t>
      </w:r>
      <w:r w:rsidR="006564B0" w:rsidRPr="0094429D">
        <w:rPr>
          <w:color w:val="000000"/>
        </w:rPr>
        <w:t xml:space="preserve"> </w:t>
      </w:r>
      <w:r>
        <w:rPr>
          <w:color w:val="000000"/>
        </w:rPr>
        <w:t>као</w:t>
      </w:r>
      <w:r w:rsidR="006564B0" w:rsidRPr="0094429D">
        <w:rPr>
          <w:color w:val="000000"/>
        </w:rPr>
        <w:t xml:space="preserve"> </w:t>
      </w:r>
      <w:r>
        <w:rPr>
          <w:color w:val="000000"/>
        </w:rPr>
        <w:t>расход</w:t>
      </w:r>
      <w:r w:rsidR="006564B0" w:rsidRPr="0094429D">
        <w:rPr>
          <w:color w:val="000000"/>
        </w:rPr>
        <w:t xml:space="preserve"> </w:t>
      </w:r>
      <w:r>
        <w:rPr>
          <w:color w:val="000000"/>
        </w:rPr>
        <w:t>у</w:t>
      </w:r>
      <w:r w:rsidR="006564B0" w:rsidRPr="0094429D">
        <w:rPr>
          <w:color w:val="000000"/>
        </w:rPr>
        <w:t xml:space="preserve"> </w:t>
      </w:r>
      <w:r>
        <w:rPr>
          <w:color w:val="000000"/>
        </w:rPr>
        <w:t>износу</w:t>
      </w:r>
      <w:r w:rsidR="006564B0" w:rsidRPr="0094429D">
        <w:rPr>
          <w:color w:val="000000"/>
        </w:rPr>
        <w:t xml:space="preserve"> </w:t>
      </w:r>
      <w:r>
        <w:rPr>
          <w:color w:val="000000"/>
        </w:rPr>
        <w:t>највише</w:t>
      </w:r>
      <w:r w:rsidR="006564B0" w:rsidRPr="0094429D">
        <w:rPr>
          <w:color w:val="000000"/>
        </w:rPr>
        <w:t xml:space="preserve"> </w:t>
      </w:r>
      <w:r>
        <w:rPr>
          <w:color w:val="000000"/>
        </w:rPr>
        <w:t>до</w:t>
      </w:r>
      <w:r w:rsidR="006564B0" w:rsidRPr="0094429D">
        <w:rPr>
          <w:color w:val="000000"/>
        </w:rPr>
        <w:t xml:space="preserve"> 5% </w:t>
      </w:r>
      <w:r>
        <w:rPr>
          <w:color w:val="000000"/>
        </w:rPr>
        <w:t>од</w:t>
      </w:r>
      <w:r w:rsidR="006564B0" w:rsidRPr="0094429D">
        <w:rPr>
          <w:color w:val="000000"/>
        </w:rPr>
        <w:t xml:space="preserve"> </w:t>
      </w:r>
      <w:r>
        <w:rPr>
          <w:color w:val="000000"/>
        </w:rPr>
        <w:t>укупног</w:t>
      </w:r>
      <w:r w:rsidR="006564B0" w:rsidRPr="0094429D">
        <w:rPr>
          <w:color w:val="000000"/>
        </w:rPr>
        <w:t xml:space="preserve"> </w:t>
      </w:r>
      <w:r>
        <w:rPr>
          <w:color w:val="000000"/>
        </w:rPr>
        <w:t>прихода</w:t>
      </w:r>
      <w:r w:rsidR="006564B0" w:rsidRPr="0094429D">
        <w:rPr>
          <w:color w:val="000000"/>
        </w:rPr>
        <w:t>.</w:t>
      </w:r>
    </w:p>
    <w:p w:rsidR="00D57F68" w:rsidRPr="0094429D" w:rsidRDefault="00D57F68" w:rsidP="00B90C1E">
      <w:pPr>
        <w:pStyle w:val="normal0"/>
        <w:shd w:val="clear" w:color="auto" w:fill="FFFFFF"/>
        <w:spacing w:before="48" w:beforeAutospacing="0" w:after="48" w:afterAutospacing="0"/>
        <w:jc w:val="both"/>
        <w:rPr>
          <w:color w:val="000000"/>
        </w:rPr>
      </w:pPr>
    </w:p>
    <w:p w:rsidR="006564B0" w:rsidRPr="00D57F68" w:rsidRDefault="0094429D" w:rsidP="008A3795">
      <w:pPr>
        <w:pStyle w:val="normal0"/>
        <w:numPr>
          <w:ilvl w:val="0"/>
          <w:numId w:val="23"/>
        </w:numPr>
        <w:shd w:val="clear" w:color="auto" w:fill="FFFFFF"/>
        <w:spacing w:before="48" w:beforeAutospacing="0" w:after="48" w:afterAutospacing="0"/>
        <w:jc w:val="both"/>
        <w:rPr>
          <w:color w:val="000000"/>
        </w:rPr>
      </w:pPr>
      <w:r>
        <w:rPr>
          <w:color w:val="000000"/>
        </w:rPr>
        <w:t>Чланарине</w:t>
      </w:r>
      <w:r w:rsidR="006564B0" w:rsidRPr="0094429D">
        <w:rPr>
          <w:color w:val="000000"/>
        </w:rPr>
        <w:t xml:space="preserve"> </w:t>
      </w:r>
      <w:r>
        <w:rPr>
          <w:color w:val="000000"/>
        </w:rPr>
        <w:t>коморама</w:t>
      </w:r>
      <w:r w:rsidR="006564B0" w:rsidRPr="0094429D">
        <w:rPr>
          <w:color w:val="000000"/>
        </w:rPr>
        <w:t xml:space="preserve">, </w:t>
      </w:r>
      <w:r>
        <w:rPr>
          <w:color w:val="000000"/>
        </w:rPr>
        <w:t>савезима</w:t>
      </w:r>
      <w:r w:rsidR="006564B0" w:rsidRPr="0094429D">
        <w:rPr>
          <w:color w:val="000000"/>
        </w:rPr>
        <w:t xml:space="preserve"> </w:t>
      </w:r>
      <w:r>
        <w:rPr>
          <w:color w:val="000000"/>
        </w:rPr>
        <w:t>и</w:t>
      </w:r>
      <w:r w:rsidR="006564B0" w:rsidRPr="0094429D">
        <w:rPr>
          <w:color w:val="000000"/>
        </w:rPr>
        <w:t xml:space="preserve"> </w:t>
      </w:r>
      <w:r>
        <w:rPr>
          <w:color w:val="000000"/>
        </w:rPr>
        <w:t>удружењима</w:t>
      </w:r>
      <w:r w:rsidR="006564B0" w:rsidRPr="0094429D">
        <w:rPr>
          <w:color w:val="000000"/>
        </w:rPr>
        <w:t xml:space="preserve"> </w:t>
      </w:r>
      <w:r>
        <w:rPr>
          <w:color w:val="000000"/>
        </w:rPr>
        <w:t>признају</w:t>
      </w:r>
      <w:r w:rsidR="006564B0" w:rsidRPr="0094429D">
        <w:rPr>
          <w:color w:val="000000"/>
        </w:rPr>
        <w:t xml:space="preserve"> </w:t>
      </w:r>
      <w:r>
        <w:rPr>
          <w:color w:val="000000"/>
        </w:rPr>
        <w:t>се</w:t>
      </w:r>
      <w:r w:rsidR="006564B0" w:rsidRPr="0094429D">
        <w:rPr>
          <w:color w:val="000000"/>
        </w:rPr>
        <w:t xml:space="preserve"> </w:t>
      </w:r>
      <w:r>
        <w:rPr>
          <w:color w:val="000000"/>
        </w:rPr>
        <w:t>као</w:t>
      </w:r>
      <w:r w:rsidR="006564B0" w:rsidRPr="0094429D">
        <w:rPr>
          <w:color w:val="000000"/>
        </w:rPr>
        <w:t xml:space="preserve"> </w:t>
      </w:r>
      <w:r>
        <w:rPr>
          <w:color w:val="000000"/>
        </w:rPr>
        <w:t>расход</w:t>
      </w:r>
      <w:r w:rsidR="006564B0" w:rsidRPr="0094429D">
        <w:rPr>
          <w:color w:val="000000"/>
        </w:rPr>
        <w:t xml:space="preserve"> </w:t>
      </w:r>
      <w:r>
        <w:rPr>
          <w:color w:val="000000"/>
        </w:rPr>
        <w:t>у</w:t>
      </w:r>
      <w:r w:rsidR="006564B0" w:rsidRPr="0094429D">
        <w:rPr>
          <w:color w:val="000000"/>
        </w:rPr>
        <w:t xml:space="preserve"> </w:t>
      </w:r>
      <w:r>
        <w:rPr>
          <w:color w:val="000000"/>
        </w:rPr>
        <w:t>пореском</w:t>
      </w:r>
      <w:r w:rsidR="006564B0" w:rsidRPr="0094429D">
        <w:rPr>
          <w:color w:val="000000"/>
        </w:rPr>
        <w:t xml:space="preserve"> </w:t>
      </w:r>
      <w:r>
        <w:rPr>
          <w:color w:val="000000"/>
        </w:rPr>
        <w:t>билансу</w:t>
      </w:r>
      <w:r w:rsidR="006564B0" w:rsidRPr="0094429D">
        <w:rPr>
          <w:color w:val="000000"/>
        </w:rPr>
        <w:t xml:space="preserve"> </w:t>
      </w:r>
      <w:r>
        <w:rPr>
          <w:color w:val="000000"/>
        </w:rPr>
        <w:t>највише</w:t>
      </w:r>
      <w:r w:rsidR="006564B0" w:rsidRPr="0094429D">
        <w:rPr>
          <w:color w:val="000000"/>
        </w:rPr>
        <w:t xml:space="preserve"> </w:t>
      </w:r>
      <w:r>
        <w:rPr>
          <w:color w:val="000000"/>
        </w:rPr>
        <w:t>до</w:t>
      </w:r>
      <w:r w:rsidR="006564B0" w:rsidRPr="0094429D">
        <w:rPr>
          <w:color w:val="000000"/>
        </w:rPr>
        <w:t xml:space="preserve"> 0,1% </w:t>
      </w:r>
      <w:r>
        <w:rPr>
          <w:color w:val="000000"/>
        </w:rPr>
        <w:t>укупног</w:t>
      </w:r>
      <w:r w:rsidR="006564B0" w:rsidRPr="0094429D">
        <w:rPr>
          <w:color w:val="000000"/>
        </w:rPr>
        <w:t xml:space="preserve"> </w:t>
      </w:r>
      <w:r>
        <w:rPr>
          <w:color w:val="000000"/>
        </w:rPr>
        <w:t>прихода</w:t>
      </w:r>
      <w:r w:rsidR="006564B0" w:rsidRPr="0094429D">
        <w:rPr>
          <w:color w:val="000000"/>
          <w:lang w:val="sr-Cyrl-CS"/>
        </w:rPr>
        <w:t>, осим чланарина чија је висина прописана законом, које се признају као расход у износу прописаним законом</w:t>
      </w:r>
    </w:p>
    <w:p w:rsidR="00D57F68" w:rsidRPr="0094429D" w:rsidRDefault="00D57F68" w:rsidP="00D57F68">
      <w:pPr>
        <w:pStyle w:val="normal0"/>
        <w:shd w:val="clear" w:color="auto" w:fill="FFFFFF"/>
        <w:spacing w:before="48" w:beforeAutospacing="0" w:after="48" w:afterAutospacing="0"/>
        <w:ind w:left="720"/>
        <w:jc w:val="both"/>
        <w:rPr>
          <w:color w:val="000000"/>
        </w:rPr>
      </w:pPr>
    </w:p>
    <w:p w:rsidR="00D57F68" w:rsidRDefault="0094429D" w:rsidP="008A3795">
      <w:pPr>
        <w:pStyle w:val="normal0"/>
        <w:numPr>
          <w:ilvl w:val="0"/>
          <w:numId w:val="23"/>
        </w:numPr>
        <w:shd w:val="clear" w:color="auto" w:fill="FFFFFF"/>
        <w:spacing w:before="48" w:beforeAutospacing="0" w:after="48" w:afterAutospacing="0"/>
        <w:jc w:val="both"/>
        <w:rPr>
          <w:color w:val="000000"/>
        </w:rPr>
      </w:pPr>
      <w:r>
        <w:rPr>
          <w:color w:val="000000"/>
        </w:rPr>
        <w:t>Издаци</w:t>
      </w:r>
      <w:r w:rsidR="006564B0" w:rsidRPr="0094429D">
        <w:rPr>
          <w:color w:val="000000"/>
        </w:rPr>
        <w:t xml:space="preserve"> </w:t>
      </w:r>
      <w:r>
        <w:rPr>
          <w:color w:val="000000"/>
        </w:rPr>
        <w:t>за</w:t>
      </w:r>
      <w:r w:rsidR="006564B0" w:rsidRPr="0094429D">
        <w:rPr>
          <w:color w:val="000000"/>
        </w:rPr>
        <w:t xml:space="preserve"> </w:t>
      </w:r>
      <w:r>
        <w:rPr>
          <w:color w:val="000000"/>
        </w:rPr>
        <w:t>рекламу</w:t>
      </w:r>
      <w:r w:rsidR="006564B0" w:rsidRPr="0094429D">
        <w:rPr>
          <w:color w:val="000000"/>
        </w:rPr>
        <w:t xml:space="preserve"> </w:t>
      </w:r>
      <w:r>
        <w:rPr>
          <w:color w:val="000000"/>
        </w:rPr>
        <w:t>и</w:t>
      </w:r>
      <w:r w:rsidR="006564B0" w:rsidRPr="0094429D">
        <w:rPr>
          <w:color w:val="000000"/>
        </w:rPr>
        <w:t xml:space="preserve"> </w:t>
      </w:r>
      <w:r>
        <w:rPr>
          <w:color w:val="000000"/>
        </w:rPr>
        <w:t>пропаганду</w:t>
      </w:r>
      <w:r w:rsidR="006564B0" w:rsidRPr="0094429D">
        <w:rPr>
          <w:color w:val="000000"/>
        </w:rPr>
        <w:t xml:space="preserve"> </w:t>
      </w:r>
      <w:r>
        <w:rPr>
          <w:color w:val="000000"/>
        </w:rPr>
        <w:t>признају</w:t>
      </w:r>
      <w:r w:rsidR="006564B0" w:rsidRPr="0094429D">
        <w:rPr>
          <w:color w:val="000000"/>
        </w:rPr>
        <w:t xml:space="preserve"> </w:t>
      </w:r>
      <w:r>
        <w:rPr>
          <w:color w:val="000000"/>
        </w:rPr>
        <w:t>се</w:t>
      </w:r>
      <w:r w:rsidR="006564B0" w:rsidRPr="0094429D">
        <w:rPr>
          <w:color w:val="000000"/>
        </w:rPr>
        <w:t xml:space="preserve"> </w:t>
      </w:r>
      <w:r>
        <w:rPr>
          <w:color w:val="000000"/>
        </w:rPr>
        <w:t>као</w:t>
      </w:r>
      <w:r w:rsidR="006564B0" w:rsidRPr="0094429D">
        <w:rPr>
          <w:color w:val="000000"/>
        </w:rPr>
        <w:t xml:space="preserve"> </w:t>
      </w:r>
      <w:r>
        <w:rPr>
          <w:color w:val="000000"/>
        </w:rPr>
        <w:t>расход</w:t>
      </w:r>
      <w:r w:rsidR="006564B0" w:rsidRPr="0094429D">
        <w:rPr>
          <w:color w:val="000000"/>
        </w:rPr>
        <w:t xml:space="preserve"> </w:t>
      </w:r>
      <w:r>
        <w:rPr>
          <w:color w:val="000000"/>
        </w:rPr>
        <w:t>у</w:t>
      </w:r>
      <w:r w:rsidR="006564B0" w:rsidRPr="0094429D">
        <w:rPr>
          <w:color w:val="000000"/>
        </w:rPr>
        <w:t xml:space="preserve"> </w:t>
      </w:r>
      <w:r>
        <w:rPr>
          <w:color w:val="000000"/>
        </w:rPr>
        <w:t>износу</w:t>
      </w:r>
      <w:r w:rsidR="006564B0" w:rsidRPr="0094429D">
        <w:rPr>
          <w:color w:val="000000"/>
        </w:rPr>
        <w:t xml:space="preserve"> </w:t>
      </w:r>
      <w:r>
        <w:rPr>
          <w:color w:val="000000"/>
        </w:rPr>
        <w:t>до</w:t>
      </w:r>
      <w:r w:rsidR="006564B0" w:rsidRPr="0094429D">
        <w:rPr>
          <w:color w:val="000000"/>
        </w:rPr>
        <w:t xml:space="preserve"> 10% </w:t>
      </w:r>
      <w:r>
        <w:rPr>
          <w:color w:val="000000"/>
        </w:rPr>
        <w:t>од</w:t>
      </w:r>
      <w:r w:rsidR="006564B0" w:rsidRPr="0094429D">
        <w:rPr>
          <w:color w:val="000000"/>
        </w:rPr>
        <w:t xml:space="preserve"> </w:t>
      </w:r>
      <w:r>
        <w:rPr>
          <w:color w:val="000000"/>
        </w:rPr>
        <w:t>укупног</w:t>
      </w:r>
      <w:r w:rsidR="006564B0" w:rsidRPr="0094429D">
        <w:rPr>
          <w:color w:val="000000"/>
        </w:rPr>
        <w:t xml:space="preserve"> </w:t>
      </w:r>
      <w:r>
        <w:rPr>
          <w:color w:val="000000"/>
        </w:rPr>
        <w:t>прихода</w:t>
      </w:r>
      <w:r w:rsidR="006564B0" w:rsidRPr="0094429D">
        <w:rPr>
          <w:color w:val="000000"/>
        </w:rPr>
        <w:t>.</w:t>
      </w:r>
    </w:p>
    <w:p w:rsidR="00B90C1E" w:rsidRPr="00B90C1E" w:rsidRDefault="00B90C1E" w:rsidP="00B90C1E">
      <w:pPr>
        <w:pStyle w:val="normal0"/>
        <w:shd w:val="clear" w:color="auto" w:fill="FFFFFF"/>
        <w:spacing w:before="48" w:beforeAutospacing="0" w:after="48" w:afterAutospacing="0"/>
        <w:jc w:val="both"/>
        <w:rPr>
          <w:color w:val="000000"/>
        </w:rPr>
      </w:pPr>
    </w:p>
    <w:p w:rsidR="00D57F68" w:rsidRPr="009E66A6" w:rsidRDefault="0094429D" w:rsidP="00711270">
      <w:pPr>
        <w:pStyle w:val="normal0"/>
        <w:numPr>
          <w:ilvl w:val="0"/>
          <w:numId w:val="23"/>
        </w:numPr>
        <w:shd w:val="clear" w:color="auto" w:fill="FFFFFF"/>
        <w:spacing w:before="48" w:beforeAutospacing="0" w:after="48" w:afterAutospacing="0"/>
        <w:jc w:val="both"/>
        <w:rPr>
          <w:color w:val="000000"/>
        </w:rPr>
      </w:pPr>
      <w:r w:rsidRPr="00D57F68">
        <w:rPr>
          <w:color w:val="000000"/>
        </w:rPr>
        <w:t>Издаци</w:t>
      </w:r>
      <w:r w:rsidR="006564B0" w:rsidRPr="00D57F68">
        <w:rPr>
          <w:color w:val="000000"/>
        </w:rPr>
        <w:t xml:space="preserve"> </w:t>
      </w:r>
      <w:r w:rsidRPr="00D57F68">
        <w:rPr>
          <w:color w:val="000000"/>
        </w:rPr>
        <w:t>за</w:t>
      </w:r>
      <w:r w:rsidR="006564B0" w:rsidRPr="00D57F68">
        <w:rPr>
          <w:color w:val="000000"/>
        </w:rPr>
        <w:t xml:space="preserve"> </w:t>
      </w:r>
      <w:r w:rsidRPr="00D57F68">
        <w:rPr>
          <w:color w:val="000000"/>
        </w:rPr>
        <w:t>репрезентацију</w:t>
      </w:r>
      <w:r w:rsidR="006564B0" w:rsidRPr="00D57F68">
        <w:rPr>
          <w:color w:val="000000"/>
        </w:rPr>
        <w:t xml:space="preserve"> </w:t>
      </w:r>
      <w:r w:rsidRPr="00D57F68">
        <w:rPr>
          <w:color w:val="000000"/>
        </w:rPr>
        <w:t>признају</w:t>
      </w:r>
      <w:r w:rsidR="006564B0" w:rsidRPr="00D57F68">
        <w:rPr>
          <w:color w:val="000000"/>
        </w:rPr>
        <w:t xml:space="preserve"> </w:t>
      </w:r>
      <w:r w:rsidRPr="00D57F68">
        <w:rPr>
          <w:color w:val="000000"/>
        </w:rPr>
        <w:t>се</w:t>
      </w:r>
      <w:r w:rsidR="006564B0" w:rsidRPr="00D57F68">
        <w:rPr>
          <w:color w:val="000000"/>
        </w:rPr>
        <w:t xml:space="preserve"> </w:t>
      </w:r>
      <w:r w:rsidRPr="00D57F68">
        <w:rPr>
          <w:color w:val="000000"/>
        </w:rPr>
        <w:t>као</w:t>
      </w:r>
      <w:r w:rsidR="006564B0" w:rsidRPr="00D57F68">
        <w:rPr>
          <w:color w:val="000000"/>
        </w:rPr>
        <w:t xml:space="preserve"> </w:t>
      </w:r>
      <w:r w:rsidRPr="00D57F68">
        <w:rPr>
          <w:color w:val="000000"/>
        </w:rPr>
        <w:t>расход</w:t>
      </w:r>
      <w:r w:rsidR="006564B0" w:rsidRPr="00D57F68">
        <w:rPr>
          <w:color w:val="000000"/>
        </w:rPr>
        <w:t xml:space="preserve"> </w:t>
      </w:r>
      <w:r w:rsidRPr="00D57F68">
        <w:rPr>
          <w:color w:val="000000"/>
        </w:rPr>
        <w:t>у</w:t>
      </w:r>
      <w:r w:rsidR="006564B0" w:rsidRPr="00D57F68">
        <w:rPr>
          <w:color w:val="000000"/>
        </w:rPr>
        <w:t xml:space="preserve"> </w:t>
      </w:r>
      <w:r w:rsidRPr="00D57F68">
        <w:rPr>
          <w:color w:val="000000"/>
        </w:rPr>
        <w:t>износу</w:t>
      </w:r>
      <w:r w:rsidR="006564B0" w:rsidRPr="00D57F68">
        <w:rPr>
          <w:color w:val="000000"/>
        </w:rPr>
        <w:t xml:space="preserve"> </w:t>
      </w:r>
      <w:r w:rsidRPr="00D57F68">
        <w:rPr>
          <w:color w:val="000000"/>
        </w:rPr>
        <w:t>до</w:t>
      </w:r>
      <w:r w:rsidR="006564B0" w:rsidRPr="00D57F68">
        <w:rPr>
          <w:color w:val="000000"/>
        </w:rPr>
        <w:t xml:space="preserve"> 0,5% </w:t>
      </w:r>
      <w:r w:rsidRPr="00D57F68">
        <w:rPr>
          <w:color w:val="000000"/>
        </w:rPr>
        <w:t>од</w:t>
      </w:r>
      <w:r w:rsidR="006564B0" w:rsidRPr="00D57F68">
        <w:rPr>
          <w:color w:val="000000"/>
        </w:rPr>
        <w:t xml:space="preserve"> </w:t>
      </w:r>
      <w:r w:rsidRPr="00D57F68">
        <w:rPr>
          <w:color w:val="000000"/>
        </w:rPr>
        <w:t>укупног</w:t>
      </w:r>
      <w:r w:rsidR="006564B0" w:rsidRPr="00D57F68">
        <w:rPr>
          <w:color w:val="000000"/>
        </w:rPr>
        <w:t xml:space="preserve"> </w:t>
      </w:r>
      <w:r w:rsidRPr="00D57F68">
        <w:rPr>
          <w:color w:val="000000"/>
        </w:rPr>
        <w:t>прихода</w:t>
      </w:r>
      <w:r w:rsidR="006564B0" w:rsidRPr="00D57F68">
        <w:rPr>
          <w:color w:val="000000"/>
        </w:rPr>
        <w:t xml:space="preserve">. </w:t>
      </w:r>
      <w:r w:rsidRPr="00D57F68">
        <w:rPr>
          <w:color w:val="000000"/>
        </w:rPr>
        <w:t>Као</w:t>
      </w:r>
      <w:r w:rsidR="006564B0" w:rsidRPr="00D57F68">
        <w:rPr>
          <w:color w:val="000000"/>
        </w:rPr>
        <w:t xml:space="preserve"> </w:t>
      </w:r>
      <w:r w:rsidRPr="00D57F68">
        <w:rPr>
          <w:color w:val="000000"/>
        </w:rPr>
        <w:t>расходи</w:t>
      </w:r>
      <w:r w:rsidR="006564B0" w:rsidRPr="00D57F68">
        <w:rPr>
          <w:color w:val="000000"/>
        </w:rPr>
        <w:t xml:space="preserve"> </w:t>
      </w:r>
      <w:r w:rsidRPr="00D57F68">
        <w:rPr>
          <w:color w:val="000000"/>
        </w:rPr>
        <w:t>пропаганде</w:t>
      </w:r>
      <w:r w:rsidR="006564B0" w:rsidRPr="00D57F68">
        <w:rPr>
          <w:color w:val="000000"/>
        </w:rPr>
        <w:t xml:space="preserve"> </w:t>
      </w:r>
      <w:r w:rsidRPr="00D57F68">
        <w:rPr>
          <w:color w:val="000000"/>
        </w:rPr>
        <w:t>у</w:t>
      </w:r>
      <w:r w:rsidR="006564B0" w:rsidRPr="00D57F68">
        <w:rPr>
          <w:color w:val="000000"/>
        </w:rPr>
        <w:t xml:space="preserve"> </w:t>
      </w:r>
      <w:r w:rsidRPr="00D57F68">
        <w:rPr>
          <w:color w:val="000000"/>
        </w:rPr>
        <w:t>пореском</w:t>
      </w:r>
      <w:r w:rsidR="006564B0" w:rsidRPr="00D57F68">
        <w:rPr>
          <w:color w:val="000000"/>
        </w:rPr>
        <w:t xml:space="preserve"> </w:t>
      </w:r>
      <w:r w:rsidRPr="00D57F68">
        <w:rPr>
          <w:color w:val="000000"/>
        </w:rPr>
        <w:t>билансу</w:t>
      </w:r>
      <w:r w:rsidR="006564B0" w:rsidRPr="00D57F68">
        <w:rPr>
          <w:color w:val="000000"/>
        </w:rPr>
        <w:t xml:space="preserve"> </w:t>
      </w:r>
      <w:r w:rsidRPr="00D57F68">
        <w:rPr>
          <w:color w:val="000000"/>
        </w:rPr>
        <w:t>се</w:t>
      </w:r>
      <w:r w:rsidR="006564B0" w:rsidRPr="00D57F68">
        <w:rPr>
          <w:color w:val="000000"/>
        </w:rPr>
        <w:t xml:space="preserve"> </w:t>
      </w:r>
      <w:r w:rsidRPr="00D57F68">
        <w:rPr>
          <w:color w:val="000000"/>
        </w:rPr>
        <w:t>признају</w:t>
      </w:r>
      <w:r w:rsidR="006564B0" w:rsidRPr="00D57F68">
        <w:rPr>
          <w:color w:val="000000"/>
        </w:rPr>
        <w:t xml:space="preserve"> </w:t>
      </w:r>
      <w:r w:rsidRPr="00D57F68">
        <w:rPr>
          <w:color w:val="000000"/>
        </w:rPr>
        <w:t>само</w:t>
      </w:r>
      <w:r w:rsidR="006564B0" w:rsidRPr="00D57F68">
        <w:rPr>
          <w:color w:val="000000"/>
        </w:rPr>
        <w:t xml:space="preserve"> </w:t>
      </w:r>
      <w:r w:rsidRPr="00D57F68">
        <w:rPr>
          <w:color w:val="000000"/>
        </w:rPr>
        <w:t>они</w:t>
      </w:r>
      <w:r w:rsidR="006564B0" w:rsidRPr="00D57F68">
        <w:rPr>
          <w:color w:val="000000"/>
        </w:rPr>
        <w:t xml:space="preserve"> </w:t>
      </w:r>
      <w:r w:rsidRPr="00D57F68">
        <w:rPr>
          <w:color w:val="000000"/>
        </w:rPr>
        <w:t>поклони</w:t>
      </w:r>
      <w:r w:rsidR="006564B0" w:rsidRPr="00D57F68">
        <w:rPr>
          <w:color w:val="000000"/>
        </w:rPr>
        <w:t xml:space="preserve"> </w:t>
      </w:r>
      <w:r w:rsidRPr="00D57F68">
        <w:rPr>
          <w:color w:val="000000"/>
        </w:rPr>
        <w:t>и</w:t>
      </w:r>
      <w:r w:rsidR="006564B0" w:rsidRPr="00D57F68">
        <w:rPr>
          <w:color w:val="000000"/>
        </w:rPr>
        <w:t xml:space="preserve"> </w:t>
      </w:r>
      <w:r w:rsidRPr="00D57F68">
        <w:rPr>
          <w:color w:val="000000"/>
        </w:rPr>
        <w:t>други</w:t>
      </w:r>
      <w:r w:rsidR="006564B0" w:rsidRPr="00D57F68">
        <w:rPr>
          <w:color w:val="000000"/>
        </w:rPr>
        <w:t xml:space="preserve"> </w:t>
      </w:r>
      <w:r w:rsidRPr="00D57F68">
        <w:rPr>
          <w:color w:val="000000"/>
        </w:rPr>
        <w:t>расходи</w:t>
      </w:r>
      <w:r w:rsidR="006564B0" w:rsidRPr="00D57F68">
        <w:rPr>
          <w:color w:val="000000"/>
        </w:rPr>
        <w:t xml:space="preserve"> </w:t>
      </w:r>
      <w:r w:rsidRPr="00D57F68">
        <w:rPr>
          <w:color w:val="000000"/>
        </w:rPr>
        <w:t>који</w:t>
      </w:r>
      <w:r w:rsidR="006564B0" w:rsidRPr="00D57F68">
        <w:rPr>
          <w:color w:val="000000"/>
        </w:rPr>
        <w:t xml:space="preserve"> </w:t>
      </w:r>
      <w:r w:rsidRPr="00D57F68">
        <w:rPr>
          <w:color w:val="000000"/>
        </w:rPr>
        <w:t>служе</w:t>
      </w:r>
      <w:r w:rsidR="006564B0" w:rsidRPr="00D57F68">
        <w:rPr>
          <w:color w:val="000000"/>
        </w:rPr>
        <w:t xml:space="preserve"> </w:t>
      </w:r>
      <w:r w:rsidRPr="00D57F68">
        <w:rPr>
          <w:color w:val="000000"/>
        </w:rPr>
        <w:t>промоцији</w:t>
      </w:r>
      <w:r w:rsidR="006564B0" w:rsidRPr="00D57F68">
        <w:rPr>
          <w:color w:val="000000"/>
        </w:rPr>
        <w:t xml:space="preserve"> </w:t>
      </w:r>
      <w:r w:rsidRPr="00D57F68">
        <w:rPr>
          <w:color w:val="000000"/>
        </w:rPr>
        <w:t>пословања</w:t>
      </w:r>
      <w:r w:rsidR="006564B0" w:rsidRPr="00D57F68">
        <w:rPr>
          <w:color w:val="000000"/>
        </w:rPr>
        <w:t xml:space="preserve"> </w:t>
      </w:r>
      <w:r w:rsidRPr="00D57F68">
        <w:rPr>
          <w:color w:val="000000"/>
        </w:rPr>
        <w:t>пореског</w:t>
      </w:r>
      <w:r w:rsidR="006564B0" w:rsidRPr="00D57F68">
        <w:rPr>
          <w:color w:val="000000"/>
        </w:rPr>
        <w:t xml:space="preserve"> </w:t>
      </w:r>
      <w:r w:rsidRPr="00D57F68">
        <w:rPr>
          <w:color w:val="000000"/>
        </w:rPr>
        <w:t>обвезника</w:t>
      </w:r>
      <w:r w:rsidR="006564B0" w:rsidRPr="00D57F68">
        <w:rPr>
          <w:color w:val="000000"/>
        </w:rPr>
        <w:t>.</w:t>
      </w:r>
    </w:p>
    <w:p w:rsidR="009E66A6" w:rsidRDefault="009E66A6" w:rsidP="009E66A6">
      <w:pPr>
        <w:pStyle w:val="ListParagraph"/>
        <w:rPr>
          <w:color w:val="000000"/>
        </w:rPr>
      </w:pPr>
    </w:p>
    <w:p w:rsidR="009E66A6" w:rsidRDefault="009E66A6" w:rsidP="009E66A6">
      <w:pPr>
        <w:pStyle w:val="normal0"/>
        <w:shd w:val="clear" w:color="auto" w:fill="FFFFFF"/>
        <w:spacing w:before="48" w:beforeAutospacing="0" w:after="48" w:afterAutospacing="0"/>
        <w:jc w:val="both"/>
        <w:rPr>
          <w:color w:val="000000"/>
          <w:lang w:val="sr-Cyrl-CS"/>
        </w:rPr>
      </w:pPr>
    </w:p>
    <w:p w:rsidR="009E66A6" w:rsidRDefault="009E66A6" w:rsidP="009E66A6">
      <w:pPr>
        <w:pStyle w:val="normal0"/>
        <w:shd w:val="clear" w:color="auto" w:fill="FFFFFF"/>
        <w:spacing w:before="48" w:beforeAutospacing="0" w:after="48" w:afterAutospacing="0"/>
        <w:jc w:val="both"/>
        <w:rPr>
          <w:color w:val="000000"/>
          <w:lang w:val="sr-Cyrl-CS"/>
        </w:rPr>
      </w:pPr>
    </w:p>
    <w:p w:rsidR="009E66A6" w:rsidRPr="00711270" w:rsidRDefault="009E66A6" w:rsidP="009E66A6">
      <w:pPr>
        <w:pStyle w:val="normal0"/>
        <w:shd w:val="clear" w:color="auto" w:fill="FFFFFF"/>
        <w:spacing w:before="48" w:beforeAutospacing="0" w:after="48" w:afterAutospacing="0"/>
        <w:jc w:val="both"/>
        <w:rPr>
          <w:color w:val="000000"/>
        </w:rPr>
      </w:pPr>
    </w:p>
    <w:p w:rsidR="00D57F68" w:rsidRDefault="00D57F68" w:rsidP="0094429D">
      <w:pPr>
        <w:pStyle w:val="normal0"/>
        <w:shd w:val="clear" w:color="auto" w:fill="FFFFFF"/>
        <w:spacing w:before="48" w:beforeAutospacing="0" w:after="48" w:afterAutospacing="0"/>
        <w:ind w:firstLine="708"/>
        <w:jc w:val="both"/>
        <w:rPr>
          <w:color w:val="000000"/>
          <w:lang w:val="sr-Cyrl-CS"/>
        </w:rPr>
      </w:pPr>
    </w:p>
    <w:p w:rsidR="00A22DD5" w:rsidRPr="009E66A6" w:rsidRDefault="00537445" w:rsidP="009E66A6">
      <w:pPr>
        <w:ind w:firstLine="708"/>
        <w:jc w:val="both"/>
        <w:rPr>
          <w:rFonts w:ascii="Times New Roman" w:hAnsi="Times New Roman"/>
          <w:sz w:val="24"/>
          <w:szCs w:val="24"/>
          <w:lang w:val="sr-Cyrl-CS"/>
        </w:rPr>
      </w:pPr>
      <w:r w:rsidRPr="00B90C1E">
        <w:rPr>
          <w:rFonts w:ascii="Times New Roman" w:hAnsi="Times New Roman"/>
          <w:sz w:val="24"/>
          <w:szCs w:val="24"/>
          <w:lang w:val="sr-Cyrl-CS"/>
        </w:rPr>
        <w:lastRenderedPageBreak/>
        <w:t xml:space="preserve">Према томе, уколико је на пример укупан приход предузећа 10.000.000 динара, </w:t>
      </w:r>
      <w:r w:rsidR="0063244C" w:rsidRPr="00B90C1E">
        <w:rPr>
          <w:rFonts w:ascii="Times New Roman" w:hAnsi="Times New Roman"/>
          <w:sz w:val="24"/>
          <w:szCs w:val="24"/>
          <w:lang w:val="sr-Cyrl-CS"/>
        </w:rPr>
        <w:t>а издаци за улагање у кинематографску делатност износе 500.000  динара, ови издаци ће бити признати у целини ка</w:t>
      </w:r>
      <w:r w:rsidR="0094429D" w:rsidRPr="00B90C1E">
        <w:rPr>
          <w:rFonts w:ascii="Times New Roman" w:hAnsi="Times New Roman"/>
          <w:sz w:val="24"/>
          <w:szCs w:val="24"/>
          <w:lang w:val="sr-Cyrl-CS"/>
        </w:rPr>
        <w:t xml:space="preserve">о расход у пореском билансу. </w:t>
      </w:r>
      <w:r w:rsidR="0063244C" w:rsidRPr="00B90C1E">
        <w:rPr>
          <w:rFonts w:ascii="Times New Roman" w:hAnsi="Times New Roman"/>
          <w:sz w:val="24"/>
          <w:szCs w:val="24"/>
          <w:lang w:val="sr-Cyrl-CS"/>
        </w:rPr>
        <w:t>Как</w:t>
      </w:r>
      <w:r w:rsidR="00B90C1E" w:rsidRPr="00B90C1E">
        <w:rPr>
          <w:rFonts w:ascii="Times New Roman" w:hAnsi="Times New Roman"/>
          <w:sz w:val="24"/>
          <w:szCs w:val="24"/>
          <w:lang w:val="sr-Cyrl-CS"/>
        </w:rPr>
        <w:t xml:space="preserve">о ови одбици утичу на законито </w:t>
      </w:r>
      <w:r w:rsidR="00B90C1E" w:rsidRPr="00B90C1E">
        <w:rPr>
          <w:rFonts w:ascii="Times New Roman" w:hAnsi="Times New Roman"/>
          <w:sz w:val="24"/>
          <w:szCs w:val="24"/>
        </w:rPr>
        <w:t xml:space="preserve"> </w:t>
      </w:r>
      <w:r w:rsidR="0063244C" w:rsidRPr="00B90C1E">
        <w:rPr>
          <w:rFonts w:ascii="Times New Roman" w:hAnsi="Times New Roman"/>
          <w:sz w:val="24"/>
          <w:szCs w:val="24"/>
          <w:lang w:val="sr-Cyrl-CS"/>
        </w:rPr>
        <w:t>избегавање пореза илустоваћемо следећим примером</w:t>
      </w:r>
      <w:r w:rsidR="00BB32CA" w:rsidRPr="00B90C1E">
        <w:rPr>
          <w:rFonts w:ascii="Times New Roman" w:hAnsi="Times New Roman"/>
          <w:sz w:val="24"/>
          <w:szCs w:val="24"/>
          <w:lang w:val="sr-Cyrl-CS"/>
        </w:rPr>
        <w:t xml:space="preserve">, уколико </w:t>
      </w:r>
      <w:r w:rsidR="0046518D" w:rsidRPr="00B90C1E">
        <w:rPr>
          <w:rFonts w:ascii="Times New Roman" w:hAnsi="Times New Roman"/>
          <w:sz w:val="24"/>
          <w:szCs w:val="24"/>
          <w:lang w:val="sr-Cyrl-CS"/>
        </w:rPr>
        <w:t>претпос</w:t>
      </w:r>
      <w:r w:rsidR="001B2715" w:rsidRPr="00B90C1E">
        <w:rPr>
          <w:rFonts w:ascii="Times New Roman" w:hAnsi="Times New Roman"/>
          <w:sz w:val="24"/>
          <w:szCs w:val="24"/>
          <w:lang w:val="sr-Cyrl-CS"/>
        </w:rPr>
        <w:t>т</w:t>
      </w:r>
      <w:r w:rsidR="0046518D" w:rsidRPr="00B90C1E">
        <w:rPr>
          <w:rFonts w:ascii="Times New Roman" w:hAnsi="Times New Roman"/>
          <w:sz w:val="24"/>
          <w:szCs w:val="24"/>
          <w:lang w:val="sr-Cyrl-CS"/>
        </w:rPr>
        <w:t xml:space="preserve">авимо да </w:t>
      </w:r>
      <w:r w:rsidR="00BB32CA" w:rsidRPr="00B90C1E">
        <w:rPr>
          <w:rFonts w:ascii="Times New Roman" w:hAnsi="Times New Roman"/>
          <w:sz w:val="24"/>
          <w:szCs w:val="24"/>
          <w:lang w:val="sr-Cyrl-CS"/>
        </w:rPr>
        <w:t xml:space="preserve">трошкови за улагања у област културе износе 40.000 динара, </w:t>
      </w:r>
      <w:r w:rsidR="0046518D" w:rsidRPr="00B90C1E">
        <w:rPr>
          <w:rFonts w:ascii="Times New Roman" w:hAnsi="Times New Roman"/>
          <w:sz w:val="24"/>
          <w:szCs w:val="24"/>
          <w:lang w:val="sr-Cyrl-CS"/>
        </w:rPr>
        <w:t xml:space="preserve">а </w:t>
      </w:r>
      <w:r w:rsidR="00BB32CA" w:rsidRPr="00B90C1E">
        <w:rPr>
          <w:rFonts w:ascii="Times New Roman" w:hAnsi="Times New Roman"/>
          <w:sz w:val="24"/>
          <w:szCs w:val="24"/>
          <w:lang w:val="sr-Cyrl-CS"/>
        </w:rPr>
        <w:t xml:space="preserve">при пореској стопи од 15% </w:t>
      </w:r>
      <w:r w:rsidR="0063244C" w:rsidRPr="00B90C1E">
        <w:rPr>
          <w:rFonts w:ascii="Times New Roman" w:hAnsi="Times New Roman"/>
          <w:sz w:val="24"/>
          <w:szCs w:val="24"/>
          <w:lang w:val="sr-Cyrl-CS"/>
        </w:rPr>
        <w:t>:</w:t>
      </w:r>
    </w:p>
    <w:p w:rsidR="0094429D" w:rsidRPr="00D57F68" w:rsidRDefault="00D57F68" w:rsidP="0094429D">
      <w:pPr>
        <w:pStyle w:val="normal0"/>
        <w:shd w:val="clear" w:color="auto" w:fill="FFFFFF"/>
        <w:spacing w:before="48" w:beforeAutospacing="0" w:after="48" w:afterAutospacing="0"/>
        <w:ind w:firstLine="708"/>
        <w:jc w:val="both"/>
        <w:rPr>
          <w:b/>
          <w:color w:val="000000"/>
          <w:lang w:val="sr-Cyrl-CS"/>
        </w:rPr>
      </w:pPr>
      <w:r w:rsidRPr="00D57F68">
        <w:rPr>
          <w:b/>
          <w:color w:val="000000"/>
          <w:lang w:val="sr-Cyrl-CS"/>
        </w:rPr>
        <w:t xml:space="preserve">Табела </w:t>
      </w:r>
      <w:r w:rsidR="00A74A8E">
        <w:rPr>
          <w:b/>
          <w:color w:val="000000"/>
          <w:lang w:val="sr-Cyrl-CS"/>
        </w:rPr>
        <w:t>7</w:t>
      </w:r>
      <w:r w:rsidRPr="00D57F68">
        <w:rPr>
          <w:b/>
          <w:color w:val="000000"/>
          <w:lang w:val="sr-Cyrl-CS"/>
        </w:rPr>
        <w:t>.</w:t>
      </w:r>
    </w:p>
    <w:p w:rsidR="00BB32CA" w:rsidRDefault="00BB32CA" w:rsidP="0063244C">
      <w:pPr>
        <w:pStyle w:val="normal0"/>
        <w:shd w:val="clear" w:color="auto" w:fill="FFFFFF"/>
        <w:spacing w:before="48" w:beforeAutospacing="0" w:after="48" w:afterAutospacing="0"/>
        <w:rPr>
          <w:rFonts w:ascii="Arial" w:hAnsi="Arial" w:cs="Arial"/>
          <w:color w:val="000000"/>
          <w:sz w:val="18"/>
          <w:szCs w:val="18"/>
          <w:lang w:val="sr-Cyrl-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70"/>
        <w:gridCol w:w="3070"/>
        <w:gridCol w:w="3071"/>
      </w:tblGrid>
      <w:tr w:rsidR="00BB32CA" w:rsidRPr="00EF6180" w:rsidTr="00EF6180">
        <w:tc>
          <w:tcPr>
            <w:tcW w:w="3070" w:type="dxa"/>
          </w:tcPr>
          <w:p w:rsidR="00BB32CA" w:rsidRPr="00EF6180" w:rsidRDefault="00BB32CA" w:rsidP="00EF6180">
            <w:pPr>
              <w:pStyle w:val="normal0"/>
              <w:spacing w:before="48" w:beforeAutospacing="0" w:after="48" w:afterAutospacing="0"/>
              <w:rPr>
                <w:rFonts w:ascii="Arial" w:hAnsi="Arial" w:cs="Arial"/>
                <w:color w:val="000000"/>
                <w:sz w:val="18"/>
                <w:szCs w:val="18"/>
                <w:lang w:val="sr-Cyrl-CS"/>
              </w:rPr>
            </w:pPr>
            <w:r w:rsidRPr="00EF6180">
              <w:rPr>
                <w:rFonts w:ascii="Arial" w:hAnsi="Arial" w:cs="Arial"/>
                <w:color w:val="000000"/>
                <w:sz w:val="18"/>
                <w:szCs w:val="18"/>
                <w:lang w:val="sr-Cyrl-CS"/>
              </w:rPr>
              <w:t>Укупан приход</w:t>
            </w:r>
          </w:p>
        </w:tc>
        <w:tc>
          <w:tcPr>
            <w:tcW w:w="3070" w:type="dxa"/>
          </w:tcPr>
          <w:p w:rsidR="00BB32CA" w:rsidRPr="00EF6180" w:rsidRDefault="00BB32CA" w:rsidP="00EF6180">
            <w:pPr>
              <w:pStyle w:val="normal0"/>
              <w:spacing w:before="48" w:beforeAutospacing="0" w:after="48" w:afterAutospacing="0"/>
              <w:rPr>
                <w:rFonts w:ascii="Arial" w:hAnsi="Arial" w:cs="Arial"/>
                <w:color w:val="000000"/>
                <w:sz w:val="18"/>
                <w:szCs w:val="18"/>
                <w:lang w:val="sr-Cyrl-CS"/>
              </w:rPr>
            </w:pPr>
            <w:r w:rsidRPr="00EF6180">
              <w:rPr>
                <w:rFonts w:ascii="Arial" w:hAnsi="Arial" w:cs="Arial"/>
                <w:color w:val="000000"/>
                <w:sz w:val="18"/>
                <w:szCs w:val="18"/>
                <w:lang w:val="sr-Cyrl-CS"/>
              </w:rPr>
              <w:t>1.000.000</w:t>
            </w:r>
          </w:p>
        </w:tc>
        <w:tc>
          <w:tcPr>
            <w:tcW w:w="3071" w:type="dxa"/>
          </w:tcPr>
          <w:p w:rsidR="00BB32CA" w:rsidRPr="00EF6180" w:rsidRDefault="00BB32CA" w:rsidP="00EF6180">
            <w:pPr>
              <w:pStyle w:val="normal0"/>
              <w:spacing w:before="48" w:beforeAutospacing="0" w:after="48" w:afterAutospacing="0"/>
              <w:rPr>
                <w:rFonts w:ascii="Arial" w:hAnsi="Arial" w:cs="Arial"/>
                <w:color w:val="000000"/>
                <w:sz w:val="18"/>
                <w:szCs w:val="18"/>
                <w:lang w:val="sr-Cyrl-CS"/>
              </w:rPr>
            </w:pPr>
            <w:r w:rsidRPr="00EF6180">
              <w:rPr>
                <w:rFonts w:ascii="Arial" w:hAnsi="Arial" w:cs="Arial"/>
                <w:color w:val="000000"/>
                <w:sz w:val="18"/>
                <w:szCs w:val="18"/>
                <w:lang w:val="sr-Cyrl-CS"/>
              </w:rPr>
              <w:t>1.000.000</w:t>
            </w:r>
          </w:p>
        </w:tc>
      </w:tr>
      <w:tr w:rsidR="00BB32CA" w:rsidRPr="00EF6180" w:rsidTr="00EF6180">
        <w:tc>
          <w:tcPr>
            <w:tcW w:w="3070" w:type="dxa"/>
          </w:tcPr>
          <w:p w:rsidR="00BB32CA" w:rsidRPr="00EF6180" w:rsidRDefault="00BB32CA" w:rsidP="00EF6180">
            <w:pPr>
              <w:pStyle w:val="normal0"/>
              <w:spacing w:before="48" w:beforeAutospacing="0" w:after="48" w:afterAutospacing="0"/>
              <w:rPr>
                <w:rFonts w:ascii="Arial" w:hAnsi="Arial" w:cs="Arial"/>
                <w:color w:val="000000"/>
                <w:sz w:val="18"/>
                <w:szCs w:val="18"/>
                <w:lang w:val="sr-Cyrl-CS"/>
              </w:rPr>
            </w:pPr>
            <w:r w:rsidRPr="00EF6180">
              <w:rPr>
                <w:rFonts w:ascii="Arial" w:hAnsi="Arial" w:cs="Arial"/>
                <w:color w:val="000000"/>
                <w:sz w:val="18"/>
                <w:szCs w:val="18"/>
                <w:lang w:val="sr-Cyrl-CS"/>
              </w:rPr>
              <w:t>Укупан расход</w:t>
            </w:r>
          </w:p>
        </w:tc>
        <w:tc>
          <w:tcPr>
            <w:tcW w:w="3070" w:type="dxa"/>
          </w:tcPr>
          <w:p w:rsidR="00BB32CA" w:rsidRPr="00EF6180" w:rsidRDefault="00BB32CA" w:rsidP="00EF6180">
            <w:pPr>
              <w:pStyle w:val="normal0"/>
              <w:spacing w:before="48" w:beforeAutospacing="0" w:after="48" w:afterAutospacing="0"/>
              <w:rPr>
                <w:rFonts w:ascii="Arial" w:hAnsi="Arial" w:cs="Arial"/>
                <w:color w:val="000000"/>
                <w:sz w:val="18"/>
                <w:szCs w:val="18"/>
                <w:lang w:val="sr-Cyrl-CS"/>
              </w:rPr>
            </w:pPr>
            <w:r w:rsidRPr="00EF6180">
              <w:rPr>
                <w:rFonts w:ascii="Arial" w:hAnsi="Arial" w:cs="Arial"/>
                <w:color w:val="000000"/>
                <w:sz w:val="18"/>
                <w:szCs w:val="18"/>
                <w:lang w:val="sr-Cyrl-CS"/>
              </w:rPr>
              <w:t>800.000</w:t>
            </w:r>
          </w:p>
        </w:tc>
        <w:tc>
          <w:tcPr>
            <w:tcW w:w="3071" w:type="dxa"/>
          </w:tcPr>
          <w:p w:rsidR="00BB32CA" w:rsidRPr="00EF6180" w:rsidRDefault="00BB32CA" w:rsidP="00EF6180">
            <w:pPr>
              <w:pStyle w:val="normal0"/>
              <w:spacing w:before="48" w:beforeAutospacing="0" w:after="48" w:afterAutospacing="0"/>
              <w:rPr>
                <w:rFonts w:ascii="Arial" w:hAnsi="Arial" w:cs="Arial"/>
                <w:color w:val="000000"/>
                <w:sz w:val="18"/>
                <w:szCs w:val="18"/>
                <w:lang w:val="sr-Cyrl-CS"/>
              </w:rPr>
            </w:pPr>
            <w:r w:rsidRPr="00EF6180">
              <w:rPr>
                <w:rFonts w:ascii="Arial" w:hAnsi="Arial" w:cs="Arial"/>
                <w:color w:val="000000"/>
                <w:sz w:val="18"/>
                <w:szCs w:val="18"/>
                <w:lang w:val="sr-Cyrl-CS"/>
              </w:rPr>
              <w:t>800.000</w:t>
            </w:r>
          </w:p>
        </w:tc>
      </w:tr>
      <w:tr w:rsidR="00BB32CA" w:rsidRPr="00EF6180" w:rsidTr="00EF6180">
        <w:tc>
          <w:tcPr>
            <w:tcW w:w="3070" w:type="dxa"/>
          </w:tcPr>
          <w:p w:rsidR="00BB32CA" w:rsidRPr="00EF6180" w:rsidRDefault="00BB32CA" w:rsidP="00EF6180">
            <w:pPr>
              <w:pStyle w:val="normal0"/>
              <w:spacing w:before="48" w:beforeAutospacing="0" w:after="48" w:afterAutospacing="0"/>
              <w:rPr>
                <w:rFonts w:ascii="Arial" w:hAnsi="Arial" w:cs="Arial"/>
                <w:color w:val="000000"/>
                <w:sz w:val="18"/>
                <w:szCs w:val="18"/>
                <w:lang w:val="sr-Cyrl-CS"/>
              </w:rPr>
            </w:pPr>
            <w:r w:rsidRPr="00EF6180">
              <w:rPr>
                <w:rFonts w:ascii="Arial" w:hAnsi="Arial" w:cs="Arial"/>
                <w:color w:val="000000"/>
                <w:sz w:val="18"/>
                <w:szCs w:val="18"/>
                <w:lang w:val="sr-Cyrl-CS"/>
              </w:rPr>
              <w:t>Трошкови за културу</w:t>
            </w:r>
          </w:p>
        </w:tc>
        <w:tc>
          <w:tcPr>
            <w:tcW w:w="3070" w:type="dxa"/>
          </w:tcPr>
          <w:p w:rsidR="00BB32CA" w:rsidRPr="00EF6180" w:rsidRDefault="00BB32CA" w:rsidP="00EF6180">
            <w:pPr>
              <w:pStyle w:val="normal0"/>
              <w:spacing w:before="48" w:beforeAutospacing="0" w:after="48" w:afterAutospacing="0"/>
              <w:rPr>
                <w:rFonts w:ascii="Arial" w:hAnsi="Arial" w:cs="Arial"/>
                <w:color w:val="000000"/>
                <w:sz w:val="18"/>
                <w:szCs w:val="18"/>
                <w:lang w:val="sr-Cyrl-CS"/>
              </w:rPr>
            </w:pPr>
            <w:r w:rsidRPr="00EF6180">
              <w:rPr>
                <w:rFonts w:ascii="Arial" w:hAnsi="Arial" w:cs="Arial"/>
                <w:color w:val="000000"/>
                <w:sz w:val="18"/>
                <w:szCs w:val="18"/>
                <w:lang w:val="sr-Cyrl-CS"/>
              </w:rPr>
              <w:t xml:space="preserve">             -</w:t>
            </w:r>
          </w:p>
        </w:tc>
        <w:tc>
          <w:tcPr>
            <w:tcW w:w="3071" w:type="dxa"/>
          </w:tcPr>
          <w:p w:rsidR="00BB32CA" w:rsidRPr="00EF6180" w:rsidRDefault="00BB32CA" w:rsidP="00EF6180">
            <w:pPr>
              <w:pStyle w:val="normal0"/>
              <w:spacing w:before="48" w:beforeAutospacing="0" w:after="48" w:afterAutospacing="0"/>
              <w:rPr>
                <w:rFonts w:ascii="Arial" w:hAnsi="Arial" w:cs="Arial"/>
                <w:color w:val="000000"/>
                <w:sz w:val="18"/>
                <w:szCs w:val="18"/>
                <w:lang w:val="sr-Cyrl-CS"/>
              </w:rPr>
            </w:pPr>
            <w:r w:rsidRPr="00EF6180">
              <w:rPr>
                <w:rFonts w:ascii="Arial" w:hAnsi="Arial" w:cs="Arial"/>
                <w:color w:val="000000"/>
                <w:sz w:val="18"/>
                <w:szCs w:val="18"/>
                <w:lang w:val="sr-Cyrl-CS"/>
              </w:rPr>
              <w:t>40.000</w:t>
            </w:r>
          </w:p>
        </w:tc>
      </w:tr>
      <w:tr w:rsidR="00BB32CA" w:rsidRPr="00EF6180" w:rsidTr="00EF6180">
        <w:tc>
          <w:tcPr>
            <w:tcW w:w="3070" w:type="dxa"/>
          </w:tcPr>
          <w:p w:rsidR="00BB32CA" w:rsidRPr="00EF6180" w:rsidRDefault="00BB32CA" w:rsidP="00EF6180">
            <w:pPr>
              <w:pStyle w:val="normal0"/>
              <w:spacing w:before="48" w:beforeAutospacing="0" w:after="48" w:afterAutospacing="0"/>
              <w:rPr>
                <w:rFonts w:ascii="Arial" w:hAnsi="Arial" w:cs="Arial"/>
                <w:color w:val="000000"/>
                <w:sz w:val="18"/>
                <w:szCs w:val="18"/>
                <w:lang w:val="sr-Cyrl-CS"/>
              </w:rPr>
            </w:pPr>
            <w:r w:rsidRPr="00EF6180">
              <w:rPr>
                <w:rFonts w:ascii="Arial" w:hAnsi="Arial" w:cs="Arial"/>
                <w:color w:val="000000"/>
                <w:sz w:val="18"/>
                <w:szCs w:val="18"/>
                <w:lang w:val="sr-Cyrl-CS"/>
              </w:rPr>
              <w:t>Пор. основица</w:t>
            </w:r>
          </w:p>
        </w:tc>
        <w:tc>
          <w:tcPr>
            <w:tcW w:w="3070" w:type="dxa"/>
          </w:tcPr>
          <w:p w:rsidR="00BB32CA" w:rsidRPr="00EF6180" w:rsidRDefault="00BB32CA" w:rsidP="00EF6180">
            <w:pPr>
              <w:pStyle w:val="normal0"/>
              <w:spacing w:before="48" w:beforeAutospacing="0" w:after="48" w:afterAutospacing="0"/>
              <w:rPr>
                <w:rFonts w:ascii="Arial" w:hAnsi="Arial" w:cs="Arial"/>
                <w:color w:val="000000"/>
                <w:sz w:val="18"/>
                <w:szCs w:val="18"/>
                <w:lang w:val="sr-Cyrl-CS"/>
              </w:rPr>
            </w:pPr>
            <w:r w:rsidRPr="00EF6180">
              <w:rPr>
                <w:rFonts w:ascii="Arial" w:hAnsi="Arial" w:cs="Arial"/>
                <w:color w:val="000000"/>
                <w:sz w:val="18"/>
                <w:szCs w:val="18"/>
                <w:lang w:val="sr-Cyrl-CS"/>
              </w:rPr>
              <w:t>200.000</w:t>
            </w:r>
          </w:p>
        </w:tc>
        <w:tc>
          <w:tcPr>
            <w:tcW w:w="3071" w:type="dxa"/>
          </w:tcPr>
          <w:p w:rsidR="00BB32CA" w:rsidRPr="00EF6180" w:rsidRDefault="000B0DD0" w:rsidP="00EF6180">
            <w:pPr>
              <w:pStyle w:val="normal0"/>
              <w:spacing w:before="48" w:beforeAutospacing="0" w:after="48" w:afterAutospacing="0"/>
              <w:rPr>
                <w:rFonts w:ascii="Arial" w:hAnsi="Arial" w:cs="Arial"/>
                <w:color w:val="000000"/>
                <w:sz w:val="18"/>
                <w:szCs w:val="18"/>
                <w:lang w:val="sr-Cyrl-CS"/>
              </w:rPr>
            </w:pPr>
            <w:r w:rsidRPr="00EF6180">
              <w:rPr>
                <w:rFonts w:ascii="Arial" w:hAnsi="Arial" w:cs="Arial"/>
                <w:color w:val="000000"/>
                <w:sz w:val="18"/>
                <w:szCs w:val="18"/>
                <w:lang w:val="sr-Cyrl-CS"/>
              </w:rPr>
              <w:t>16</w:t>
            </w:r>
            <w:r w:rsidR="00BB32CA" w:rsidRPr="00EF6180">
              <w:rPr>
                <w:rFonts w:ascii="Arial" w:hAnsi="Arial" w:cs="Arial"/>
                <w:color w:val="000000"/>
                <w:sz w:val="18"/>
                <w:szCs w:val="18"/>
                <w:lang w:val="sr-Cyrl-CS"/>
              </w:rPr>
              <w:t>0.000</w:t>
            </w:r>
          </w:p>
        </w:tc>
      </w:tr>
      <w:tr w:rsidR="00BB32CA" w:rsidRPr="00EF6180" w:rsidTr="00EF6180">
        <w:tc>
          <w:tcPr>
            <w:tcW w:w="3070" w:type="dxa"/>
          </w:tcPr>
          <w:p w:rsidR="00BB32CA" w:rsidRPr="00EF6180" w:rsidRDefault="00BB32CA" w:rsidP="00EF6180">
            <w:pPr>
              <w:pStyle w:val="normal0"/>
              <w:spacing w:before="48" w:beforeAutospacing="0" w:after="48" w:afterAutospacing="0"/>
              <w:rPr>
                <w:rFonts w:ascii="Arial" w:hAnsi="Arial" w:cs="Arial"/>
                <w:color w:val="000000"/>
                <w:sz w:val="18"/>
                <w:szCs w:val="18"/>
                <w:lang w:val="sr-Cyrl-CS"/>
              </w:rPr>
            </w:pPr>
            <w:r w:rsidRPr="00EF6180">
              <w:rPr>
                <w:rFonts w:ascii="Arial" w:hAnsi="Arial" w:cs="Arial"/>
                <w:color w:val="000000"/>
                <w:sz w:val="18"/>
                <w:szCs w:val="18"/>
                <w:lang w:val="sr-Cyrl-CS"/>
              </w:rPr>
              <w:t>Пор. обавеза</w:t>
            </w:r>
          </w:p>
        </w:tc>
        <w:tc>
          <w:tcPr>
            <w:tcW w:w="3070" w:type="dxa"/>
          </w:tcPr>
          <w:p w:rsidR="00BB32CA" w:rsidRPr="00EF6180" w:rsidRDefault="000B0DD0" w:rsidP="00EF6180">
            <w:pPr>
              <w:pStyle w:val="normal0"/>
              <w:spacing w:before="48" w:beforeAutospacing="0" w:after="48" w:afterAutospacing="0"/>
              <w:rPr>
                <w:rFonts w:ascii="Arial" w:hAnsi="Arial" w:cs="Arial"/>
                <w:color w:val="000000"/>
                <w:sz w:val="18"/>
                <w:szCs w:val="18"/>
                <w:lang w:val="sr-Cyrl-CS"/>
              </w:rPr>
            </w:pPr>
            <w:r w:rsidRPr="00EF6180">
              <w:rPr>
                <w:rFonts w:ascii="Arial" w:hAnsi="Arial" w:cs="Arial"/>
                <w:color w:val="000000"/>
                <w:sz w:val="18"/>
                <w:szCs w:val="18"/>
                <w:lang w:val="sr-Cyrl-CS"/>
              </w:rPr>
              <w:t>30.000</w:t>
            </w:r>
          </w:p>
        </w:tc>
        <w:tc>
          <w:tcPr>
            <w:tcW w:w="3071" w:type="dxa"/>
          </w:tcPr>
          <w:p w:rsidR="00BB32CA" w:rsidRPr="00EF6180" w:rsidRDefault="000B0DD0" w:rsidP="00EF6180">
            <w:pPr>
              <w:pStyle w:val="normal0"/>
              <w:spacing w:before="48" w:beforeAutospacing="0" w:after="48" w:afterAutospacing="0"/>
              <w:rPr>
                <w:rFonts w:ascii="Arial" w:hAnsi="Arial" w:cs="Arial"/>
                <w:color w:val="000000"/>
                <w:sz w:val="18"/>
                <w:szCs w:val="18"/>
                <w:lang w:val="sr-Cyrl-CS"/>
              </w:rPr>
            </w:pPr>
            <w:r w:rsidRPr="00EF6180">
              <w:rPr>
                <w:rFonts w:ascii="Arial" w:hAnsi="Arial" w:cs="Arial"/>
                <w:color w:val="000000"/>
                <w:sz w:val="18"/>
                <w:szCs w:val="18"/>
                <w:lang w:val="sr-Cyrl-CS"/>
              </w:rPr>
              <w:t>24.000</w:t>
            </w:r>
          </w:p>
        </w:tc>
      </w:tr>
    </w:tbl>
    <w:p w:rsidR="00537445" w:rsidRDefault="0063244C" w:rsidP="0063244C">
      <w:pPr>
        <w:pStyle w:val="normal0"/>
        <w:shd w:val="clear" w:color="auto" w:fill="FFFFFF"/>
        <w:spacing w:before="48" w:beforeAutospacing="0" w:after="48" w:afterAutospacing="0"/>
        <w:rPr>
          <w:rFonts w:ascii="Arial" w:hAnsi="Arial" w:cs="Arial"/>
          <w:color w:val="000000"/>
          <w:sz w:val="18"/>
          <w:szCs w:val="18"/>
          <w:lang w:val="sr-Cyrl-CS"/>
        </w:rPr>
      </w:pPr>
      <w:r>
        <w:rPr>
          <w:rFonts w:ascii="Arial" w:hAnsi="Arial" w:cs="Arial"/>
          <w:color w:val="000000"/>
          <w:sz w:val="18"/>
          <w:szCs w:val="18"/>
          <w:lang w:val="sr-Cyrl-CS"/>
        </w:rPr>
        <w:t xml:space="preserve"> </w:t>
      </w:r>
    </w:p>
    <w:p w:rsidR="0094429D" w:rsidRPr="00537445" w:rsidRDefault="0094429D" w:rsidP="0063244C">
      <w:pPr>
        <w:pStyle w:val="normal0"/>
        <w:shd w:val="clear" w:color="auto" w:fill="FFFFFF"/>
        <w:spacing w:before="48" w:beforeAutospacing="0" w:after="48" w:afterAutospacing="0"/>
        <w:rPr>
          <w:rFonts w:ascii="Arial" w:hAnsi="Arial" w:cs="Arial"/>
          <w:color w:val="000000"/>
          <w:sz w:val="18"/>
          <w:szCs w:val="18"/>
          <w:lang w:val="sr-Cyrl-CS"/>
        </w:rPr>
      </w:pPr>
    </w:p>
    <w:p w:rsidR="00DA1917" w:rsidRPr="00B90C1E" w:rsidRDefault="00B90C1E" w:rsidP="00B90C1E">
      <w:pPr>
        <w:ind w:firstLine="708"/>
        <w:jc w:val="both"/>
        <w:rPr>
          <w:rFonts w:ascii="Times New Roman" w:hAnsi="Times New Roman"/>
          <w:sz w:val="24"/>
          <w:szCs w:val="24"/>
        </w:rPr>
      </w:pPr>
      <w:r w:rsidRPr="00B90C1E">
        <w:rPr>
          <w:rFonts w:ascii="Times New Roman" w:hAnsi="Times New Roman"/>
          <w:sz w:val="24"/>
          <w:szCs w:val="24"/>
          <w:lang w:val="sr-Cyrl-CS"/>
        </w:rPr>
        <w:t>П</w:t>
      </w:r>
      <w:r w:rsidR="000B0DD0" w:rsidRPr="00B90C1E">
        <w:rPr>
          <w:rFonts w:ascii="Times New Roman" w:hAnsi="Times New Roman"/>
          <w:sz w:val="24"/>
          <w:szCs w:val="24"/>
          <w:lang w:val="sr-Cyrl-CS"/>
        </w:rPr>
        <w:t xml:space="preserve">оменути одбитак  ће, </w:t>
      </w:r>
      <w:r w:rsidR="0094429D" w:rsidRPr="00B90C1E">
        <w:rPr>
          <w:rFonts w:ascii="Times New Roman" w:hAnsi="Times New Roman"/>
          <w:sz w:val="24"/>
          <w:szCs w:val="24"/>
          <w:lang w:val="sr-Cyrl-CS"/>
        </w:rPr>
        <w:t>при стопи пореза од 15%</w:t>
      </w:r>
      <w:r w:rsidR="000B0DD0" w:rsidRPr="00B90C1E">
        <w:rPr>
          <w:rFonts w:ascii="Times New Roman" w:hAnsi="Times New Roman"/>
          <w:sz w:val="24"/>
          <w:szCs w:val="24"/>
          <w:lang w:val="sr-Cyrl-CS"/>
        </w:rPr>
        <w:t>, довести до умањења пореске основице са 200.000 динара на 160.000 динара, односно за износ одбитка који</w:t>
      </w:r>
      <w:r w:rsidR="0046518D" w:rsidRPr="00B90C1E">
        <w:rPr>
          <w:rFonts w:ascii="Times New Roman" w:hAnsi="Times New Roman"/>
          <w:sz w:val="24"/>
          <w:szCs w:val="24"/>
          <w:lang w:val="sr-Cyrl-CS"/>
        </w:rPr>
        <w:t xml:space="preserve"> се признаје у целости (40.000),  јер </w:t>
      </w:r>
      <w:r w:rsidR="000B0DD0" w:rsidRPr="00B90C1E">
        <w:rPr>
          <w:rFonts w:ascii="Times New Roman" w:hAnsi="Times New Roman"/>
          <w:sz w:val="24"/>
          <w:szCs w:val="24"/>
          <w:lang w:val="sr-Cyrl-CS"/>
        </w:rPr>
        <w:t xml:space="preserve"> не прелази лимит од 5% од укупног прихода, </w:t>
      </w:r>
      <w:r w:rsidR="0046518D" w:rsidRPr="00B90C1E">
        <w:rPr>
          <w:rFonts w:ascii="Times New Roman" w:hAnsi="Times New Roman"/>
          <w:sz w:val="24"/>
          <w:szCs w:val="24"/>
          <w:lang w:val="sr-Cyrl-CS"/>
        </w:rPr>
        <w:t xml:space="preserve"> </w:t>
      </w:r>
      <w:r w:rsidR="000B0DD0" w:rsidRPr="00B90C1E">
        <w:rPr>
          <w:rFonts w:ascii="Times New Roman" w:hAnsi="Times New Roman"/>
          <w:sz w:val="24"/>
          <w:szCs w:val="24"/>
          <w:lang w:val="sr-Cyrl-CS"/>
        </w:rPr>
        <w:t>док је порез на добит правних лица смањен са 30.000 динара на 24.000 динара, односно за 6.000 динара.</w:t>
      </w:r>
      <w:r w:rsidR="0094429D" w:rsidRPr="00B90C1E">
        <w:rPr>
          <w:rFonts w:ascii="Times New Roman" w:hAnsi="Times New Roman"/>
          <w:sz w:val="24"/>
          <w:szCs w:val="24"/>
          <w:lang w:val="sr-Cyrl-CS"/>
        </w:rPr>
        <w:t xml:space="preserve"> </w:t>
      </w:r>
    </w:p>
    <w:p w:rsidR="00537445" w:rsidRPr="00B90C1E" w:rsidRDefault="006564B0" w:rsidP="00711270">
      <w:pPr>
        <w:ind w:firstLine="708"/>
        <w:jc w:val="both"/>
        <w:rPr>
          <w:rFonts w:ascii="Times New Roman" w:hAnsi="Times New Roman"/>
          <w:sz w:val="24"/>
          <w:szCs w:val="24"/>
          <w:lang w:val="sr-Cyrl-CS"/>
        </w:rPr>
      </w:pPr>
      <w:r w:rsidRPr="00B90C1E">
        <w:rPr>
          <w:rFonts w:ascii="Times New Roman" w:hAnsi="Times New Roman"/>
          <w:sz w:val="24"/>
          <w:szCs w:val="24"/>
          <w:lang w:val="sr-Cyrl-CS"/>
        </w:rPr>
        <w:t xml:space="preserve">У конкретним случајевима је узета у обзир потреба државе за прибављањем јавних прихода, али су са друге стране узете у обзир и потребе предузећа, па је направљен својеврстан компромис при коме се држава одриче дела својих прихода. Тако су на пример издаци за рекламу и пропаганду потребни сваком предузећу како би побољшало и повећало своје пословање. Поменути одбици су лимитарани одређеним процентима у односу на износ укупног прихода </w:t>
      </w:r>
      <w:r w:rsidR="009F7866" w:rsidRPr="00B90C1E">
        <w:rPr>
          <w:rFonts w:ascii="Times New Roman" w:hAnsi="Times New Roman"/>
          <w:sz w:val="24"/>
          <w:szCs w:val="24"/>
          <w:lang w:val="sr-Cyrl-CS"/>
        </w:rPr>
        <w:t xml:space="preserve">тако да могу бити мањи или једнаки датом проценту. Самим тим ова могућност даје </w:t>
      </w:r>
      <w:r w:rsidR="0046518D" w:rsidRPr="00B90C1E">
        <w:rPr>
          <w:rFonts w:ascii="Times New Roman" w:hAnsi="Times New Roman"/>
          <w:sz w:val="24"/>
          <w:szCs w:val="24"/>
          <w:lang w:val="sr-Cyrl-CS"/>
        </w:rPr>
        <w:t xml:space="preserve">и </w:t>
      </w:r>
      <w:r w:rsidR="009F7866" w:rsidRPr="00B90C1E">
        <w:rPr>
          <w:rFonts w:ascii="Times New Roman" w:hAnsi="Times New Roman"/>
          <w:sz w:val="24"/>
          <w:szCs w:val="24"/>
          <w:lang w:val="sr-Cyrl-CS"/>
        </w:rPr>
        <w:t xml:space="preserve">могућност законске пореске евазије. Тиме што је лимитиран износ издатака који се може признати као расход смањује </w:t>
      </w:r>
      <w:r w:rsidR="001B2715" w:rsidRPr="00B90C1E">
        <w:rPr>
          <w:rFonts w:ascii="Times New Roman" w:hAnsi="Times New Roman"/>
          <w:sz w:val="24"/>
          <w:szCs w:val="24"/>
          <w:lang w:val="sr-Cyrl-CS"/>
        </w:rPr>
        <w:t xml:space="preserve">се </w:t>
      </w:r>
      <w:r w:rsidR="009F7866" w:rsidRPr="00B90C1E">
        <w:rPr>
          <w:rFonts w:ascii="Times New Roman" w:hAnsi="Times New Roman"/>
          <w:sz w:val="24"/>
          <w:szCs w:val="24"/>
          <w:lang w:val="sr-Cyrl-CS"/>
        </w:rPr>
        <w:t xml:space="preserve">обим законске пореске евазије, али и могућности за </w:t>
      </w:r>
      <w:r w:rsidR="0046518D" w:rsidRPr="00B90C1E">
        <w:rPr>
          <w:rFonts w:ascii="Times New Roman" w:hAnsi="Times New Roman"/>
          <w:sz w:val="24"/>
          <w:szCs w:val="24"/>
          <w:lang w:val="sr-Cyrl-CS"/>
        </w:rPr>
        <w:t xml:space="preserve"> незакониту евазиј</w:t>
      </w:r>
      <w:r w:rsidR="001B2715" w:rsidRPr="00B90C1E">
        <w:rPr>
          <w:rFonts w:ascii="Times New Roman" w:hAnsi="Times New Roman"/>
          <w:sz w:val="24"/>
          <w:szCs w:val="24"/>
          <w:lang w:val="sr-Cyrl-CS"/>
        </w:rPr>
        <w:t>у</w:t>
      </w:r>
      <w:r w:rsidR="00537445" w:rsidRPr="00B90C1E">
        <w:rPr>
          <w:rFonts w:ascii="Times New Roman" w:hAnsi="Times New Roman"/>
          <w:sz w:val="24"/>
          <w:szCs w:val="24"/>
          <w:lang w:val="sr-Cyrl-CS"/>
        </w:rPr>
        <w:t>.  Умањење пореске обавезе се може предузети само у оквиру јасно прописаних законских ограничења, односно до висине износа који закон</w:t>
      </w:r>
      <w:r w:rsidR="001B2715" w:rsidRPr="00B90C1E">
        <w:rPr>
          <w:rFonts w:ascii="Times New Roman" w:hAnsi="Times New Roman"/>
          <w:sz w:val="24"/>
          <w:szCs w:val="24"/>
          <w:lang w:val="sr-Cyrl-CS"/>
        </w:rPr>
        <w:t>ода</w:t>
      </w:r>
      <w:r w:rsidR="00537445" w:rsidRPr="00B90C1E">
        <w:rPr>
          <w:rFonts w:ascii="Times New Roman" w:hAnsi="Times New Roman"/>
          <w:sz w:val="24"/>
          <w:szCs w:val="24"/>
          <w:lang w:val="sr-Cyrl-CS"/>
        </w:rPr>
        <w:t xml:space="preserve">вац прописује као расход у пореском билансу. Међутим, уколико предузеће учини </w:t>
      </w:r>
      <w:r w:rsidR="006B5C09" w:rsidRPr="00B90C1E">
        <w:rPr>
          <w:rFonts w:ascii="Times New Roman" w:hAnsi="Times New Roman"/>
          <w:sz w:val="24"/>
          <w:szCs w:val="24"/>
          <w:lang w:val="sr-Cyrl-CS"/>
        </w:rPr>
        <w:t xml:space="preserve">овакав трошак </w:t>
      </w:r>
      <w:r w:rsidR="00537445" w:rsidRPr="00B90C1E">
        <w:rPr>
          <w:rFonts w:ascii="Times New Roman" w:hAnsi="Times New Roman"/>
          <w:sz w:val="24"/>
          <w:szCs w:val="24"/>
          <w:lang w:val="sr-Cyrl-CS"/>
        </w:rPr>
        <w:t xml:space="preserve">искључиво мотивисано умањењем пореске обавезе, </w:t>
      </w:r>
      <w:r w:rsidR="006B5C09" w:rsidRPr="00B90C1E">
        <w:rPr>
          <w:rFonts w:ascii="Times New Roman" w:hAnsi="Times New Roman"/>
          <w:sz w:val="24"/>
          <w:szCs w:val="24"/>
          <w:lang w:val="sr-Cyrl-CS"/>
        </w:rPr>
        <w:t xml:space="preserve">односно смањењем фискалног оптерећења, </w:t>
      </w:r>
      <w:r w:rsidR="00537445" w:rsidRPr="00B90C1E">
        <w:rPr>
          <w:rFonts w:ascii="Times New Roman" w:hAnsi="Times New Roman"/>
          <w:sz w:val="24"/>
          <w:szCs w:val="24"/>
          <w:lang w:val="sr-Cyrl-CS"/>
        </w:rPr>
        <w:t xml:space="preserve">а не стварним пословним потребама, радиће се о неприхватљивој законитој пореској евазији. </w:t>
      </w:r>
    </w:p>
    <w:p w:rsidR="00BB6261" w:rsidRPr="006155DC" w:rsidRDefault="00537445" w:rsidP="006155DC">
      <w:pPr>
        <w:ind w:firstLine="708"/>
        <w:jc w:val="both"/>
        <w:rPr>
          <w:rFonts w:ascii="Times New Roman" w:hAnsi="Times New Roman"/>
          <w:sz w:val="24"/>
          <w:szCs w:val="24"/>
          <w:shd w:val="clear" w:color="auto" w:fill="FFFFFF"/>
        </w:rPr>
      </w:pPr>
      <w:r w:rsidRPr="00B90C1E">
        <w:rPr>
          <w:rFonts w:ascii="Times New Roman" w:hAnsi="Times New Roman"/>
          <w:sz w:val="24"/>
          <w:szCs w:val="24"/>
          <w:lang w:val="sr-Cyrl-CS"/>
        </w:rPr>
        <w:t xml:space="preserve">Добро законско решење је </w:t>
      </w:r>
      <w:r w:rsidR="009F7866" w:rsidRPr="00B90C1E">
        <w:rPr>
          <w:rFonts w:ascii="Times New Roman" w:hAnsi="Times New Roman"/>
          <w:sz w:val="24"/>
          <w:szCs w:val="24"/>
          <w:lang w:val="sr-Cyrl-CS"/>
        </w:rPr>
        <w:t xml:space="preserve"> и разграничење између издатака за рекламу и пропаганду и издатака за репрезентацију. Наиме, према ранијем закнонском решењу</w:t>
      </w:r>
      <w:r w:rsidR="009D417E" w:rsidRPr="00B90C1E">
        <w:rPr>
          <w:rStyle w:val="FootnoteReference"/>
          <w:rFonts w:ascii="Times New Roman" w:hAnsi="Times New Roman"/>
          <w:color w:val="000000"/>
          <w:sz w:val="24"/>
          <w:szCs w:val="24"/>
          <w:lang w:val="sr-Cyrl-CS"/>
        </w:rPr>
        <w:footnoteReference w:id="288"/>
      </w:r>
      <w:r w:rsidR="009F7866" w:rsidRPr="00B90C1E">
        <w:rPr>
          <w:rFonts w:ascii="Times New Roman" w:hAnsi="Times New Roman"/>
          <w:sz w:val="24"/>
          <w:szCs w:val="24"/>
          <w:lang w:val="sr-Cyrl-CS"/>
        </w:rPr>
        <w:t xml:space="preserve"> нису били пропис</w:t>
      </w:r>
      <w:r w:rsidR="0094429D" w:rsidRPr="00B90C1E">
        <w:rPr>
          <w:rFonts w:ascii="Times New Roman" w:hAnsi="Times New Roman"/>
          <w:sz w:val="24"/>
          <w:szCs w:val="24"/>
          <w:lang w:val="sr-Cyrl-CS"/>
        </w:rPr>
        <w:t xml:space="preserve">ани одвојено трошкови рекламе, </w:t>
      </w:r>
      <w:r w:rsidR="009F7866" w:rsidRPr="00B90C1E">
        <w:rPr>
          <w:rFonts w:ascii="Times New Roman" w:hAnsi="Times New Roman"/>
          <w:sz w:val="24"/>
          <w:szCs w:val="24"/>
          <w:lang w:val="sr-Cyrl-CS"/>
        </w:rPr>
        <w:t>пропаганде и трошкови репрезентације, иако се ради о различитим трошковима, што је пружало много веће</w:t>
      </w:r>
      <w:r w:rsidR="009F7866" w:rsidRPr="0094429D">
        <w:rPr>
          <w:lang w:val="sr-Cyrl-CS"/>
        </w:rPr>
        <w:t xml:space="preserve"> </w:t>
      </w:r>
      <w:r w:rsidR="009F7866" w:rsidRPr="006155DC">
        <w:rPr>
          <w:rFonts w:ascii="Times New Roman" w:hAnsi="Times New Roman"/>
          <w:sz w:val="24"/>
          <w:szCs w:val="24"/>
          <w:lang w:val="sr-Cyrl-CS"/>
        </w:rPr>
        <w:lastRenderedPageBreak/>
        <w:t xml:space="preserve">могућности за злоупотребе. </w:t>
      </w:r>
      <w:r w:rsidRPr="006155DC">
        <w:rPr>
          <w:rFonts w:ascii="Times New Roman" w:hAnsi="Times New Roman"/>
          <w:sz w:val="24"/>
          <w:szCs w:val="24"/>
          <w:lang w:val="sr-Cyrl-CS"/>
        </w:rPr>
        <w:t xml:space="preserve"> Наиме, </w:t>
      </w:r>
      <w:r w:rsidRPr="006155DC">
        <w:rPr>
          <w:rFonts w:ascii="Times New Roman" w:hAnsi="Times New Roman"/>
          <w:sz w:val="24"/>
          <w:szCs w:val="24"/>
          <w:shd w:val="clear" w:color="auto" w:fill="FFFFFF"/>
          <w:lang w:val="sr-Cyrl-CS"/>
        </w:rPr>
        <w:t>и</w:t>
      </w:r>
      <w:r w:rsidR="0094429D" w:rsidRPr="006155DC">
        <w:rPr>
          <w:rFonts w:ascii="Times New Roman" w:hAnsi="Times New Roman"/>
          <w:sz w:val="24"/>
          <w:szCs w:val="24"/>
          <w:shd w:val="clear" w:color="auto" w:fill="FFFFFF"/>
        </w:rPr>
        <w:t>здаци</w:t>
      </w:r>
      <w:r w:rsidRPr="006155DC">
        <w:rPr>
          <w:rFonts w:ascii="Times New Roman" w:hAnsi="Times New Roman"/>
          <w:sz w:val="24"/>
          <w:szCs w:val="24"/>
          <w:shd w:val="clear" w:color="auto" w:fill="FFFFFF"/>
        </w:rPr>
        <w:t xml:space="preserve"> </w:t>
      </w:r>
      <w:r w:rsidR="0094429D" w:rsidRPr="006155DC">
        <w:rPr>
          <w:rFonts w:ascii="Times New Roman" w:hAnsi="Times New Roman"/>
          <w:sz w:val="24"/>
          <w:szCs w:val="24"/>
          <w:shd w:val="clear" w:color="auto" w:fill="FFFFFF"/>
        </w:rPr>
        <w:t>за</w:t>
      </w:r>
      <w:r w:rsidRPr="006155DC">
        <w:rPr>
          <w:rFonts w:ascii="Times New Roman" w:hAnsi="Times New Roman"/>
          <w:sz w:val="24"/>
          <w:szCs w:val="24"/>
          <w:shd w:val="clear" w:color="auto" w:fill="FFFFFF"/>
        </w:rPr>
        <w:t xml:space="preserve"> </w:t>
      </w:r>
      <w:r w:rsidR="0094429D" w:rsidRPr="006155DC">
        <w:rPr>
          <w:rFonts w:ascii="Times New Roman" w:hAnsi="Times New Roman"/>
          <w:sz w:val="24"/>
          <w:szCs w:val="24"/>
          <w:shd w:val="clear" w:color="auto" w:fill="FFFFFF"/>
        </w:rPr>
        <w:t>рекламу</w:t>
      </w:r>
      <w:r w:rsidRPr="006155DC">
        <w:rPr>
          <w:rFonts w:ascii="Times New Roman" w:hAnsi="Times New Roman"/>
          <w:sz w:val="24"/>
          <w:szCs w:val="24"/>
          <w:shd w:val="clear" w:color="auto" w:fill="FFFFFF"/>
        </w:rPr>
        <w:t xml:space="preserve">, </w:t>
      </w:r>
      <w:r w:rsidR="0094429D" w:rsidRPr="006155DC">
        <w:rPr>
          <w:rFonts w:ascii="Times New Roman" w:hAnsi="Times New Roman"/>
          <w:sz w:val="24"/>
          <w:szCs w:val="24"/>
          <w:shd w:val="clear" w:color="auto" w:fill="FFFFFF"/>
        </w:rPr>
        <w:t>пропаганду</w:t>
      </w:r>
      <w:r w:rsidRPr="006155DC">
        <w:rPr>
          <w:rFonts w:ascii="Times New Roman" w:hAnsi="Times New Roman"/>
          <w:sz w:val="24"/>
          <w:szCs w:val="24"/>
          <w:shd w:val="clear" w:color="auto" w:fill="FFFFFF"/>
        </w:rPr>
        <w:t xml:space="preserve"> </w:t>
      </w:r>
      <w:r w:rsidR="0094429D" w:rsidRPr="006155DC">
        <w:rPr>
          <w:rFonts w:ascii="Times New Roman" w:hAnsi="Times New Roman"/>
          <w:sz w:val="24"/>
          <w:szCs w:val="24"/>
          <w:shd w:val="clear" w:color="auto" w:fill="FFFFFF"/>
        </w:rPr>
        <w:t>и</w:t>
      </w:r>
      <w:r w:rsidRPr="006155DC">
        <w:rPr>
          <w:rFonts w:ascii="Times New Roman" w:hAnsi="Times New Roman"/>
          <w:sz w:val="24"/>
          <w:szCs w:val="24"/>
          <w:shd w:val="clear" w:color="auto" w:fill="FFFFFF"/>
        </w:rPr>
        <w:t xml:space="preserve"> </w:t>
      </w:r>
      <w:r w:rsidR="0094429D" w:rsidRPr="006155DC">
        <w:rPr>
          <w:rFonts w:ascii="Times New Roman" w:hAnsi="Times New Roman"/>
          <w:sz w:val="24"/>
          <w:szCs w:val="24"/>
          <w:shd w:val="clear" w:color="auto" w:fill="FFFFFF"/>
        </w:rPr>
        <w:t>репрезентацију</w:t>
      </w:r>
      <w:r w:rsidRPr="006155DC">
        <w:rPr>
          <w:rFonts w:ascii="Times New Roman" w:hAnsi="Times New Roman"/>
          <w:sz w:val="24"/>
          <w:szCs w:val="24"/>
          <w:shd w:val="clear" w:color="auto" w:fill="FFFFFF"/>
        </w:rPr>
        <w:t xml:space="preserve"> </w:t>
      </w:r>
      <w:r w:rsidR="0094429D" w:rsidRPr="006155DC">
        <w:rPr>
          <w:rFonts w:ascii="Times New Roman" w:hAnsi="Times New Roman"/>
          <w:sz w:val="24"/>
          <w:szCs w:val="24"/>
          <w:shd w:val="clear" w:color="auto" w:fill="FFFFFF"/>
        </w:rPr>
        <w:t>призна</w:t>
      </w:r>
      <w:r w:rsidRPr="006155DC">
        <w:rPr>
          <w:rFonts w:ascii="Times New Roman" w:hAnsi="Times New Roman"/>
          <w:sz w:val="24"/>
          <w:szCs w:val="24"/>
          <w:shd w:val="clear" w:color="auto" w:fill="FFFFFF"/>
          <w:lang w:val="sr-Cyrl-CS"/>
        </w:rPr>
        <w:t>вали су</w:t>
      </w:r>
      <w:r w:rsidRPr="006155DC">
        <w:rPr>
          <w:rFonts w:ascii="Times New Roman" w:hAnsi="Times New Roman"/>
          <w:sz w:val="24"/>
          <w:szCs w:val="24"/>
          <w:shd w:val="clear" w:color="auto" w:fill="FFFFFF"/>
        </w:rPr>
        <w:t xml:space="preserve"> </w:t>
      </w:r>
      <w:r w:rsidR="0094429D" w:rsidRPr="006155DC">
        <w:rPr>
          <w:rFonts w:ascii="Times New Roman" w:hAnsi="Times New Roman"/>
          <w:sz w:val="24"/>
          <w:szCs w:val="24"/>
          <w:shd w:val="clear" w:color="auto" w:fill="FFFFFF"/>
        </w:rPr>
        <w:t>се</w:t>
      </w:r>
      <w:r w:rsidRPr="006155DC">
        <w:rPr>
          <w:rFonts w:ascii="Times New Roman" w:hAnsi="Times New Roman"/>
          <w:sz w:val="24"/>
          <w:szCs w:val="24"/>
          <w:shd w:val="clear" w:color="auto" w:fill="FFFFFF"/>
        </w:rPr>
        <w:t xml:space="preserve"> </w:t>
      </w:r>
      <w:r w:rsidR="0094429D" w:rsidRPr="006155DC">
        <w:rPr>
          <w:rFonts w:ascii="Times New Roman" w:hAnsi="Times New Roman"/>
          <w:sz w:val="24"/>
          <w:szCs w:val="24"/>
          <w:shd w:val="clear" w:color="auto" w:fill="FFFFFF"/>
        </w:rPr>
        <w:t>као</w:t>
      </w:r>
      <w:r w:rsidRPr="006155DC">
        <w:rPr>
          <w:rFonts w:ascii="Times New Roman" w:hAnsi="Times New Roman"/>
          <w:sz w:val="24"/>
          <w:szCs w:val="24"/>
          <w:shd w:val="clear" w:color="auto" w:fill="FFFFFF"/>
        </w:rPr>
        <w:t xml:space="preserve"> </w:t>
      </w:r>
      <w:r w:rsidR="0094429D" w:rsidRPr="006155DC">
        <w:rPr>
          <w:rFonts w:ascii="Times New Roman" w:hAnsi="Times New Roman"/>
          <w:sz w:val="24"/>
          <w:szCs w:val="24"/>
          <w:shd w:val="clear" w:color="auto" w:fill="FFFFFF"/>
        </w:rPr>
        <w:t>расход</w:t>
      </w:r>
      <w:r w:rsidRPr="006155DC">
        <w:rPr>
          <w:rFonts w:ascii="Times New Roman" w:hAnsi="Times New Roman"/>
          <w:sz w:val="24"/>
          <w:szCs w:val="24"/>
          <w:shd w:val="clear" w:color="auto" w:fill="FFFFFF"/>
        </w:rPr>
        <w:t xml:space="preserve"> </w:t>
      </w:r>
      <w:r w:rsidR="0094429D" w:rsidRPr="006155DC">
        <w:rPr>
          <w:rFonts w:ascii="Times New Roman" w:hAnsi="Times New Roman"/>
          <w:sz w:val="24"/>
          <w:szCs w:val="24"/>
          <w:shd w:val="clear" w:color="auto" w:fill="FFFFFF"/>
        </w:rPr>
        <w:t>у</w:t>
      </w:r>
      <w:r w:rsidRPr="006155DC">
        <w:rPr>
          <w:rFonts w:ascii="Times New Roman" w:hAnsi="Times New Roman"/>
          <w:sz w:val="24"/>
          <w:szCs w:val="24"/>
          <w:shd w:val="clear" w:color="auto" w:fill="FFFFFF"/>
        </w:rPr>
        <w:t xml:space="preserve"> </w:t>
      </w:r>
      <w:r w:rsidR="0094429D" w:rsidRPr="006155DC">
        <w:rPr>
          <w:rFonts w:ascii="Times New Roman" w:hAnsi="Times New Roman"/>
          <w:sz w:val="24"/>
          <w:szCs w:val="24"/>
          <w:shd w:val="clear" w:color="auto" w:fill="FFFFFF"/>
        </w:rPr>
        <w:t>износу</w:t>
      </w:r>
      <w:r w:rsidRPr="006155DC">
        <w:rPr>
          <w:rFonts w:ascii="Times New Roman" w:hAnsi="Times New Roman"/>
          <w:sz w:val="24"/>
          <w:szCs w:val="24"/>
          <w:shd w:val="clear" w:color="auto" w:fill="FFFFFF"/>
        </w:rPr>
        <w:t xml:space="preserve"> </w:t>
      </w:r>
      <w:r w:rsidR="0094429D" w:rsidRPr="006155DC">
        <w:rPr>
          <w:rFonts w:ascii="Times New Roman" w:hAnsi="Times New Roman"/>
          <w:sz w:val="24"/>
          <w:szCs w:val="24"/>
          <w:shd w:val="clear" w:color="auto" w:fill="FFFFFF"/>
        </w:rPr>
        <w:t>до</w:t>
      </w:r>
      <w:r w:rsidRPr="006155DC">
        <w:rPr>
          <w:rFonts w:ascii="Times New Roman" w:hAnsi="Times New Roman"/>
          <w:sz w:val="24"/>
          <w:szCs w:val="24"/>
          <w:shd w:val="clear" w:color="auto" w:fill="FFFFFF"/>
        </w:rPr>
        <w:t xml:space="preserve"> 3% </w:t>
      </w:r>
      <w:r w:rsidR="0094429D" w:rsidRPr="006155DC">
        <w:rPr>
          <w:rFonts w:ascii="Times New Roman" w:hAnsi="Times New Roman"/>
          <w:sz w:val="24"/>
          <w:szCs w:val="24"/>
          <w:shd w:val="clear" w:color="auto" w:fill="FFFFFF"/>
        </w:rPr>
        <w:t>од</w:t>
      </w:r>
      <w:r w:rsidRPr="006155DC">
        <w:rPr>
          <w:rFonts w:ascii="Times New Roman" w:hAnsi="Times New Roman"/>
          <w:sz w:val="24"/>
          <w:szCs w:val="24"/>
          <w:shd w:val="clear" w:color="auto" w:fill="FFFFFF"/>
        </w:rPr>
        <w:t xml:space="preserve"> </w:t>
      </w:r>
      <w:r w:rsidR="0094429D" w:rsidRPr="006155DC">
        <w:rPr>
          <w:rFonts w:ascii="Times New Roman" w:hAnsi="Times New Roman"/>
          <w:sz w:val="24"/>
          <w:szCs w:val="24"/>
          <w:shd w:val="clear" w:color="auto" w:fill="FFFFFF"/>
        </w:rPr>
        <w:t>укупног</w:t>
      </w:r>
      <w:r w:rsidRPr="006155DC">
        <w:rPr>
          <w:rFonts w:ascii="Times New Roman" w:hAnsi="Times New Roman"/>
          <w:sz w:val="24"/>
          <w:szCs w:val="24"/>
          <w:shd w:val="clear" w:color="auto" w:fill="FFFFFF"/>
        </w:rPr>
        <w:t xml:space="preserve"> </w:t>
      </w:r>
      <w:r w:rsidR="0094429D" w:rsidRPr="006155DC">
        <w:rPr>
          <w:rFonts w:ascii="Times New Roman" w:hAnsi="Times New Roman"/>
          <w:sz w:val="24"/>
          <w:szCs w:val="24"/>
          <w:shd w:val="clear" w:color="auto" w:fill="FFFFFF"/>
        </w:rPr>
        <w:t>прихода</w:t>
      </w:r>
      <w:r w:rsidRPr="006155DC">
        <w:rPr>
          <w:rFonts w:ascii="Times New Roman" w:hAnsi="Times New Roman"/>
          <w:sz w:val="24"/>
          <w:szCs w:val="24"/>
          <w:shd w:val="clear" w:color="auto" w:fill="FFFFFF"/>
        </w:rPr>
        <w:t>.</w:t>
      </w:r>
      <w:r w:rsidRPr="006155DC">
        <w:rPr>
          <w:rFonts w:ascii="Times New Roman" w:hAnsi="Times New Roman"/>
          <w:sz w:val="24"/>
          <w:szCs w:val="24"/>
          <w:shd w:val="clear" w:color="auto" w:fill="FFFFFF"/>
          <w:lang w:val="sr-Cyrl-CS"/>
        </w:rPr>
        <w:t xml:space="preserve">  </w:t>
      </w:r>
    </w:p>
    <w:p w:rsidR="00117C8A" w:rsidRPr="006155DC" w:rsidRDefault="00566389" w:rsidP="006155DC">
      <w:pPr>
        <w:ind w:firstLine="708"/>
        <w:jc w:val="both"/>
        <w:rPr>
          <w:rFonts w:ascii="Times New Roman" w:hAnsi="Times New Roman"/>
          <w:sz w:val="24"/>
          <w:szCs w:val="24"/>
        </w:rPr>
      </w:pPr>
      <w:r>
        <w:rPr>
          <w:rFonts w:ascii="Times New Roman" w:hAnsi="Times New Roman"/>
          <w:sz w:val="24"/>
          <w:szCs w:val="24"/>
          <w:lang w:val="sr-Cyrl-CS"/>
        </w:rPr>
        <w:t>„</w:t>
      </w:r>
      <w:r w:rsidR="00194AAC" w:rsidRPr="006155DC">
        <w:rPr>
          <w:rFonts w:ascii="Times New Roman" w:hAnsi="Times New Roman"/>
          <w:sz w:val="24"/>
          <w:szCs w:val="24"/>
          <w:lang w:val="sr-Cyrl-CS"/>
        </w:rPr>
        <w:t>У</w:t>
      </w:r>
      <w:r w:rsidR="00BB6261" w:rsidRPr="006155DC">
        <w:rPr>
          <w:rFonts w:ascii="Times New Roman" w:hAnsi="Times New Roman"/>
          <w:sz w:val="24"/>
          <w:szCs w:val="24"/>
          <w:lang w:val="sr-Cyrl-CS"/>
        </w:rPr>
        <w:t xml:space="preserve"> скла</w:t>
      </w:r>
      <w:r w:rsidR="00194AAC" w:rsidRPr="006155DC">
        <w:rPr>
          <w:rFonts w:ascii="Times New Roman" w:hAnsi="Times New Roman"/>
          <w:sz w:val="24"/>
          <w:szCs w:val="24"/>
          <w:lang w:val="sr-Cyrl-CS"/>
        </w:rPr>
        <w:t>ду са рачуноводством на обрачунској основи, приход се сматра оствареним ка</w:t>
      </w:r>
      <w:r w:rsidR="00BD4494" w:rsidRPr="006155DC">
        <w:rPr>
          <w:rFonts w:ascii="Times New Roman" w:hAnsi="Times New Roman"/>
          <w:sz w:val="24"/>
          <w:szCs w:val="24"/>
          <w:lang w:val="sr-Cyrl-CS"/>
        </w:rPr>
        <w:t>да је настало право да се прими – нпр. к</w:t>
      </w:r>
      <w:r w:rsidR="00194AAC" w:rsidRPr="006155DC">
        <w:rPr>
          <w:rFonts w:ascii="Times New Roman" w:hAnsi="Times New Roman"/>
          <w:sz w:val="24"/>
          <w:szCs w:val="24"/>
          <w:lang w:val="sr-Cyrl-CS"/>
        </w:rPr>
        <w:t>ада је издата фактура за испоручено добро или пружену услугу. Рачуновод</w:t>
      </w:r>
      <w:r w:rsidR="00BD4494" w:rsidRPr="006155DC">
        <w:rPr>
          <w:rFonts w:ascii="Times New Roman" w:hAnsi="Times New Roman"/>
          <w:sz w:val="24"/>
          <w:szCs w:val="24"/>
          <w:lang w:val="sr-Cyrl-CS"/>
        </w:rPr>
        <w:t>ствени прописи о</w:t>
      </w:r>
      <w:r w:rsidR="00194AAC" w:rsidRPr="006155DC">
        <w:rPr>
          <w:rFonts w:ascii="Times New Roman" w:hAnsi="Times New Roman"/>
          <w:sz w:val="24"/>
          <w:szCs w:val="24"/>
          <w:lang w:val="sr-Cyrl-CS"/>
        </w:rPr>
        <w:t xml:space="preserve">туда налажу да се сва потраживања своде на реалну вредност увећањем расхода за њихов сумњиви део. Примера ради, ако је потраживање РСД 1.000.000, а правно лице процењује да је извесност наплате 70%, преосталих 30% вредности </w:t>
      </w:r>
      <w:r w:rsidR="00117C8A" w:rsidRPr="006155DC">
        <w:rPr>
          <w:rFonts w:ascii="Times New Roman" w:hAnsi="Times New Roman"/>
          <w:sz w:val="24"/>
          <w:szCs w:val="24"/>
          <w:lang w:val="sr-Cyrl-CS"/>
        </w:rPr>
        <w:t>потраживања оно ће отписати и за толико увећати расходе у билансу успеха (на позицији „остали расходи“).  За разлику од отписивања дубиозних потраживања, која се користе за потребе бил</w:t>
      </w:r>
      <w:r w:rsidR="00BD4494" w:rsidRPr="006155DC">
        <w:rPr>
          <w:rFonts w:ascii="Times New Roman" w:hAnsi="Times New Roman"/>
          <w:sz w:val="24"/>
          <w:szCs w:val="24"/>
          <w:lang w:val="sr-Cyrl-CS"/>
        </w:rPr>
        <w:t>анса успеха дозвољена у зависно</w:t>
      </w:r>
      <w:r w:rsidR="00117C8A" w:rsidRPr="006155DC">
        <w:rPr>
          <w:rFonts w:ascii="Times New Roman" w:hAnsi="Times New Roman"/>
          <w:sz w:val="24"/>
          <w:szCs w:val="24"/>
          <w:lang w:val="sr-Cyrl-CS"/>
        </w:rPr>
        <w:t>сти од вероватноће наплате, у пореском билансу може се користити само онакав отпис затече</w:t>
      </w:r>
      <w:r w:rsidR="00BD4494" w:rsidRPr="006155DC">
        <w:rPr>
          <w:rFonts w:ascii="Times New Roman" w:hAnsi="Times New Roman"/>
          <w:sz w:val="24"/>
          <w:szCs w:val="24"/>
          <w:lang w:val="sr-Cyrl-CS"/>
        </w:rPr>
        <w:t>н</w:t>
      </w:r>
      <w:r w:rsidR="00117C8A" w:rsidRPr="006155DC">
        <w:rPr>
          <w:rFonts w:ascii="Times New Roman" w:hAnsi="Times New Roman"/>
          <w:sz w:val="24"/>
          <w:szCs w:val="24"/>
          <w:lang w:val="sr-Cyrl-CS"/>
        </w:rPr>
        <w:t>их потраживања какав је прописан</w:t>
      </w:r>
      <w:r>
        <w:rPr>
          <w:rFonts w:ascii="Times New Roman" w:hAnsi="Times New Roman"/>
          <w:sz w:val="24"/>
          <w:szCs w:val="24"/>
          <w:lang w:val="sr-Cyrl-CS"/>
        </w:rPr>
        <w:t xml:space="preserve"> у ЗПДП</w:t>
      </w:r>
      <w:r w:rsidR="00117C8A" w:rsidRPr="006155DC">
        <w:rPr>
          <w:rFonts w:ascii="Times New Roman" w:hAnsi="Times New Roman"/>
          <w:sz w:val="24"/>
          <w:szCs w:val="24"/>
          <w:lang w:val="sr-Cyrl-CS"/>
        </w:rPr>
        <w:t>.</w:t>
      </w:r>
      <w:r>
        <w:rPr>
          <w:rFonts w:ascii="Times New Roman" w:hAnsi="Times New Roman"/>
          <w:sz w:val="24"/>
          <w:szCs w:val="24"/>
          <w:lang w:val="sr-Cyrl-CS"/>
        </w:rPr>
        <w:t>“</w:t>
      </w:r>
      <w:r w:rsidR="00117C8A" w:rsidRPr="006155DC">
        <w:rPr>
          <w:rStyle w:val="FootnoteReference"/>
          <w:rFonts w:ascii="Times New Roman" w:hAnsi="Times New Roman"/>
          <w:color w:val="000000"/>
          <w:sz w:val="24"/>
          <w:szCs w:val="24"/>
          <w:lang w:val="sr-Cyrl-CS"/>
        </w:rPr>
        <w:footnoteReference w:id="289"/>
      </w:r>
      <w:r w:rsidR="00117C8A" w:rsidRPr="006155DC">
        <w:rPr>
          <w:rFonts w:ascii="Times New Roman" w:hAnsi="Times New Roman"/>
          <w:sz w:val="24"/>
          <w:szCs w:val="24"/>
          <w:lang w:val="sr-Cyrl-CS"/>
        </w:rPr>
        <w:t xml:space="preserve"> </w:t>
      </w:r>
    </w:p>
    <w:p w:rsidR="0094429D" w:rsidRPr="006155DC" w:rsidRDefault="00BD4494" w:rsidP="006155DC">
      <w:pPr>
        <w:ind w:firstLine="708"/>
        <w:jc w:val="both"/>
        <w:rPr>
          <w:rFonts w:ascii="Times New Roman" w:hAnsi="Times New Roman"/>
          <w:sz w:val="24"/>
          <w:szCs w:val="24"/>
        </w:rPr>
      </w:pPr>
      <w:r w:rsidRPr="006155DC">
        <w:rPr>
          <w:rFonts w:ascii="Times New Roman" w:hAnsi="Times New Roman"/>
          <w:sz w:val="24"/>
          <w:szCs w:val="24"/>
          <w:lang w:val="sr-Cyrl-CS"/>
        </w:rPr>
        <w:t>Наиме, према пореским пропис</w:t>
      </w:r>
      <w:r w:rsidR="00117C8A" w:rsidRPr="006155DC">
        <w:rPr>
          <w:rFonts w:ascii="Times New Roman" w:hAnsi="Times New Roman"/>
          <w:sz w:val="24"/>
          <w:szCs w:val="24"/>
          <w:lang w:val="sr-Cyrl-CS"/>
        </w:rPr>
        <w:t>ма  о</w:t>
      </w:r>
      <w:r w:rsidR="00194AAC" w:rsidRPr="006155DC">
        <w:rPr>
          <w:rFonts w:ascii="Times New Roman" w:hAnsi="Times New Roman"/>
          <w:sz w:val="24"/>
          <w:szCs w:val="24"/>
          <w:lang w:val="sr-Cyrl-CS"/>
        </w:rPr>
        <w:t xml:space="preserve">тпис вредности појединачних потраживања </w:t>
      </w:r>
      <w:r w:rsidR="00117C8A" w:rsidRPr="006155DC">
        <w:rPr>
          <w:rFonts w:ascii="Times New Roman" w:hAnsi="Times New Roman"/>
          <w:sz w:val="24"/>
          <w:szCs w:val="24"/>
          <w:lang w:val="sr-Cyrl-CS"/>
        </w:rPr>
        <w:t xml:space="preserve">се </w:t>
      </w:r>
      <w:r w:rsidR="00194AAC" w:rsidRPr="006155DC">
        <w:rPr>
          <w:rFonts w:ascii="Times New Roman" w:hAnsi="Times New Roman"/>
          <w:sz w:val="24"/>
          <w:szCs w:val="24"/>
          <w:lang w:val="sr-Cyrl-CS"/>
        </w:rPr>
        <w:t xml:space="preserve">признаје на терет расхода, осим појединачних потраживања од лица којима се истовремено дугује, али </w:t>
      </w:r>
      <w:r w:rsidR="0094429D" w:rsidRPr="006155DC">
        <w:rPr>
          <w:rFonts w:ascii="Times New Roman" w:hAnsi="Times New Roman"/>
          <w:sz w:val="24"/>
          <w:szCs w:val="24"/>
        </w:rPr>
        <w:t>под</w:t>
      </w:r>
      <w:r w:rsidR="00194AAC" w:rsidRPr="006155DC">
        <w:rPr>
          <w:rFonts w:ascii="Times New Roman" w:hAnsi="Times New Roman"/>
          <w:sz w:val="24"/>
          <w:szCs w:val="24"/>
        </w:rPr>
        <w:t xml:space="preserve"> </w:t>
      </w:r>
      <w:r w:rsidR="0094429D" w:rsidRPr="006155DC">
        <w:rPr>
          <w:rFonts w:ascii="Times New Roman" w:hAnsi="Times New Roman"/>
          <w:sz w:val="24"/>
          <w:szCs w:val="24"/>
        </w:rPr>
        <w:t>условом</w:t>
      </w:r>
      <w:r w:rsidR="00194AAC" w:rsidRPr="006155DC">
        <w:rPr>
          <w:rFonts w:ascii="Times New Roman" w:hAnsi="Times New Roman"/>
          <w:sz w:val="24"/>
          <w:szCs w:val="24"/>
        </w:rPr>
        <w:t>:</w:t>
      </w:r>
      <w:r w:rsidR="006155DC">
        <w:rPr>
          <w:rFonts w:ascii="Times New Roman" w:hAnsi="Times New Roman"/>
          <w:sz w:val="24"/>
          <w:szCs w:val="24"/>
        </w:rPr>
        <w:t xml:space="preserve"> </w:t>
      </w:r>
    </w:p>
    <w:p w:rsidR="00194AAC" w:rsidRPr="006155DC" w:rsidRDefault="00194AAC" w:rsidP="006155DC">
      <w:pPr>
        <w:jc w:val="both"/>
        <w:rPr>
          <w:rFonts w:ascii="Times New Roman" w:hAnsi="Times New Roman"/>
          <w:sz w:val="24"/>
          <w:szCs w:val="24"/>
        </w:rPr>
      </w:pPr>
      <w:r w:rsidRPr="006155DC">
        <w:rPr>
          <w:rFonts w:ascii="Times New Roman" w:hAnsi="Times New Roman"/>
          <w:sz w:val="24"/>
          <w:szCs w:val="24"/>
        </w:rPr>
        <w:t xml:space="preserve">1) </w:t>
      </w:r>
      <w:r w:rsidR="0094429D" w:rsidRPr="006155DC">
        <w:rPr>
          <w:rFonts w:ascii="Times New Roman" w:hAnsi="Times New Roman"/>
          <w:sz w:val="24"/>
          <w:szCs w:val="24"/>
        </w:rPr>
        <w:t>да</w:t>
      </w:r>
      <w:r w:rsidRPr="006155DC">
        <w:rPr>
          <w:rFonts w:ascii="Times New Roman" w:hAnsi="Times New Roman"/>
          <w:sz w:val="24"/>
          <w:szCs w:val="24"/>
        </w:rPr>
        <w:t xml:space="preserve"> </w:t>
      </w:r>
      <w:r w:rsidR="0094429D" w:rsidRPr="006155DC">
        <w:rPr>
          <w:rFonts w:ascii="Times New Roman" w:hAnsi="Times New Roman"/>
          <w:sz w:val="24"/>
          <w:szCs w:val="24"/>
        </w:rPr>
        <w:t>се</w:t>
      </w:r>
      <w:r w:rsidRPr="006155DC">
        <w:rPr>
          <w:rFonts w:ascii="Times New Roman" w:hAnsi="Times New Roman"/>
          <w:sz w:val="24"/>
          <w:szCs w:val="24"/>
        </w:rPr>
        <w:t xml:space="preserve"> </w:t>
      </w:r>
      <w:r w:rsidR="0094429D" w:rsidRPr="006155DC">
        <w:rPr>
          <w:rFonts w:ascii="Times New Roman" w:hAnsi="Times New Roman"/>
          <w:sz w:val="24"/>
          <w:szCs w:val="24"/>
        </w:rPr>
        <w:t>несумњиво</w:t>
      </w:r>
      <w:r w:rsidRPr="006155DC">
        <w:rPr>
          <w:rFonts w:ascii="Times New Roman" w:hAnsi="Times New Roman"/>
          <w:sz w:val="24"/>
          <w:szCs w:val="24"/>
        </w:rPr>
        <w:t xml:space="preserve"> </w:t>
      </w:r>
      <w:r w:rsidR="0094429D" w:rsidRPr="006155DC">
        <w:rPr>
          <w:rFonts w:ascii="Times New Roman" w:hAnsi="Times New Roman"/>
          <w:sz w:val="24"/>
          <w:szCs w:val="24"/>
        </w:rPr>
        <w:t>докаже</w:t>
      </w:r>
      <w:r w:rsidRPr="006155DC">
        <w:rPr>
          <w:rFonts w:ascii="Times New Roman" w:hAnsi="Times New Roman"/>
          <w:sz w:val="24"/>
          <w:szCs w:val="24"/>
        </w:rPr>
        <w:t xml:space="preserve"> </w:t>
      </w:r>
      <w:r w:rsidR="0094429D" w:rsidRPr="006155DC">
        <w:rPr>
          <w:rFonts w:ascii="Times New Roman" w:hAnsi="Times New Roman"/>
          <w:sz w:val="24"/>
          <w:szCs w:val="24"/>
        </w:rPr>
        <w:t>да</w:t>
      </w:r>
      <w:r w:rsidRPr="006155DC">
        <w:rPr>
          <w:rFonts w:ascii="Times New Roman" w:hAnsi="Times New Roman"/>
          <w:sz w:val="24"/>
          <w:szCs w:val="24"/>
        </w:rPr>
        <w:t xml:space="preserve"> </w:t>
      </w:r>
      <w:r w:rsidR="0094429D" w:rsidRPr="006155DC">
        <w:rPr>
          <w:rFonts w:ascii="Times New Roman" w:hAnsi="Times New Roman"/>
          <w:sz w:val="24"/>
          <w:szCs w:val="24"/>
        </w:rPr>
        <w:t>су</w:t>
      </w:r>
      <w:r w:rsidRPr="006155DC">
        <w:rPr>
          <w:rFonts w:ascii="Times New Roman" w:hAnsi="Times New Roman"/>
          <w:sz w:val="24"/>
          <w:szCs w:val="24"/>
        </w:rPr>
        <w:t xml:space="preserve"> </w:t>
      </w:r>
      <w:r w:rsidR="0094429D" w:rsidRPr="006155DC">
        <w:rPr>
          <w:rFonts w:ascii="Times New Roman" w:hAnsi="Times New Roman"/>
          <w:sz w:val="24"/>
          <w:szCs w:val="24"/>
        </w:rPr>
        <w:t>та</w:t>
      </w:r>
      <w:r w:rsidRPr="006155DC">
        <w:rPr>
          <w:rFonts w:ascii="Times New Roman" w:hAnsi="Times New Roman"/>
          <w:sz w:val="24"/>
          <w:szCs w:val="24"/>
        </w:rPr>
        <w:t xml:space="preserve"> </w:t>
      </w:r>
      <w:r w:rsidR="0094429D" w:rsidRPr="006155DC">
        <w:rPr>
          <w:rFonts w:ascii="Times New Roman" w:hAnsi="Times New Roman"/>
          <w:sz w:val="24"/>
          <w:szCs w:val="24"/>
        </w:rPr>
        <w:t>потраживања</w:t>
      </w:r>
      <w:r w:rsidRPr="006155DC">
        <w:rPr>
          <w:rFonts w:ascii="Times New Roman" w:hAnsi="Times New Roman"/>
          <w:sz w:val="24"/>
          <w:szCs w:val="24"/>
        </w:rPr>
        <w:t xml:space="preserve"> </w:t>
      </w:r>
      <w:r w:rsidR="0094429D" w:rsidRPr="006155DC">
        <w:rPr>
          <w:rFonts w:ascii="Times New Roman" w:hAnsi="Times New Roman"/>
          <w:sz w:val="24"/>
          <w:szCs w:val="24"/>
        </w:rPr>
        <w:t>претходно</w:t>
      </w:r>
      <w:r w:rsidRPr="006155DC">
        <w:rPr>
          <w:rFonts w:ascii="Times New Roman" w:hAnsi="Times New Roman"/>
          <w:sz w:val="24"/>
          <w:szCs w:val="24"/>
        </w:rPr>
        <w:t xml:space="preserve"> </w:t>
      </w:r>
      <w:r w:rsidR="0094429D" w:rsidRPr="006155DC">
        <w:rPr>
          <w:rFonts w:ascii="Times New Roman" w:hAnsi="Times New Roman"/>
          <w:sz w:val="24"/>
          <w:szCs w:val="24"/>
        </w:rPr>
        <w:t>била</w:t>
      </w:r>
      <w:r w:rsidRPr="006155DC">
        <w:rPr>
          <w:rFonts w:ascii="Times New Roman" w:hAnsi="Times New Roman"/>
          <w:sz w:val="24"/>
          <w:szCs w:val="24"/>
        </w:rPr>
        <w:t xml:space="preserve"> </w:t>
      </w:r>
      <w:r w:rsidR="0094429D" w:rsidRPr="006155DC">
        <w:rPr>
          <w:rFonts w:ascii="Times New Roman" w:hAnsi="Times New Roman"/>
          <w:sz w:val="24"/>
          <w:szCs w:val="24"/>
        </w:rPr>
        <w:t>укључена</w:t>
      </w:r>
      <w:r w:rsidRPr="006155DC">
        <w:rPr>
          <w:rFonts w:ascii="Times New Roman" w:hAnsi="Times New Roman"/>
          <w:sz w:val="24"/>
          <w:szCs w:val="24"/>
        </w:rPr>
        <w:t xml:space="preserve"> </w:t>
      </w:r>
      <w:r w:rsidR="0094429D" w:rsidRPr="006155DC">
        <w:rPr>
          <w:rFonts w:ascii="Times New Roman" w:hAnsi="Times New Roman"/>
          <w:sz w:val="24"/>
          <w:szCs w:val="24"/>
        </w:rPr>
        <w:t>у</w:t>
      </w:r>
      <w:r w:rsidRPr="006155DC">
        <w:rPr>
          <w:rFonts w:ascii="Times New Roman" w:hAnsi="Times New Roman"/>
          <w:sz w:val="24"/>
          <w:szCs w:val="24"/>
        </w:rPr>
        <w:t xml:space="preserve"> </w:t>
      </w:r>
      <w:r w:rsidR="0094429D" w:rsidRPr="006155DC">
        <w:rPr>
          <w:rFonts w:ascii="Times New Roman" w:hAnsi="Times New Roman"/>
          <w:sz w:val="24"/>
          <w:szCs w:val="24"/>
        </w:rPr>
        <w:t>приходе</w:t>
      </w:r>
      <w:r w:rsidRPr="006155DC">
        <w:rPr>
          <w:rFonts w:ascii="Times New Roman" w:hAnsi="Times New Roman"/>
          <w:sz w:val="24"/>
          <w:szCs w:val="24"/>
        </w:rPr>
        <w:t xml:space="preserve"> </w:t>
      </w:r>
      <w:r w:rsidR="0094429D" w:rsidRPr="006155DC">
        <w:rPr>
          <w:rFonts w:ascii="Times New Roman" w:hAnsi="Times New Roman"/>
          <w:sz w:val="24"/>
          <w:szCs w:val="24"/>
        </w:rPr>
        <w:t>обвезника</w:t>
      </w:r>
      <w:r w:rsidRPr="006155DC">
        <w:rPr>
          <w:rFonts w:ascii="Times New Roman" w:hAnsi="Times New Roman"/>
          <w:sz w:val="24"/>
          <w:szCs w:val="24"/>
        </w:rPr>
        <w:t>;</w:t>
      </w:r>
    </w:p>
    <w:p w:rsidR="00194AAC" w:rsidRPr="006155DC" w:rsidRDefault="00194AAC" w:rsidP="006155DC">
      <w:pPr>
        <w:jc w:val="both"/>
        <w:rPr>
          <w:rFonts w:ascii="Times New Roman" w:hAnsi="Times New Roman"/>
          <w:sz w:val="24"/>
          <w:szCs w:val="24"/>
        </w:rPr>
      </w:pPr>
      <w:r w:rsidRPr="006155DC">
        <w:rPr>
          <w:rFonts w:ascii="Times New Roman" w:hAnsi="Times New Roman"/>
          <w:sz w:val="24"/>
          <w:szCs w:val="24"/>
        </w:rPr>
        <w:t xml:space="preserve">2) </w:t>
      </w:r>
      <w:r w:rsidR="0094429D" w:rsidRPr="006155DC">
        <w:rPr>
          <w:rFonts w:ascii="Times New Roman" w:hAnsi="Times New Roman"/>
          <w:sz w:val="24"/>
          <w:szCs w:val="24"/>
        </w:rPr>
        <w:t>да</w:t>
      </w:r>
      <w:r w:rsidRPr="006155DC">
        <w:rPr>
          <w:rFonts w:ascii="Times New Roman" w:hAnsi="Times New Roman"/>
          <w:sz w:val="24"/>
          <w:szCs w:val="24"/>
        </w:rPr>
        <w:t xml:space="preserve"> </w:t>
      </w:r>
      <w:r w:rsidR="0094429D" w:rsidRPr="006155DC">
        <w:rPr>
          <w:rFonts w:ascii="Times New Roman" w:hAnsi="Times New Roman"/>
          <w:sz w:val="24"/>
          <w:szCs w:val="24"/>
        </w:rPr>
        <w:t>су</w:t>
      </w:r>
      <w:r w:rsidRPr="006155DC">
        <w:rPr>
          <w:rFonts w:ascii="Times New Roman" w:hAnsi="Times New Roman"/>
          <w:sz w:val="24"/>
          <w:szCs w:val="24"/>
        </w:rPr>
        <w:t xml:space="preserve"> </w:t>
      </w:r>
      <w:r w:rsidR="0094429D" w:rsidRPr="006155DC">
        <w:rPr>
          <w:rFonts w:ascii="Times New Roman" w:hAnsi="Times New Roman"/>
          <w:sz w:val="24"/>
          <w:szCs w:val="24"/>
        </w:rPr>
        <w:t>та</w:t>
      </w:r>
      <w:r w:rsidRPr="006155DC">
        <w:rPr>
          <w:rFonts w:ascii="Times New Roman" w:hAnsi="Times New Roman"/>
          <w:sz w:val="24"/>
          <w:szCs w:val="24"/>
        </w:rPr>
        <w:t xml:space="preserve"> </w:t>
      </w:r>
      <w:r w:rsidR="0094429D" w:rsidRPr="006155DC">
        <w:rPr>
          <w:rFonts w:ascii="Times New Roman" w:hAnsi="Times New Roman"/>
          <w:sz w:val="24"/>
          <w:szCs w:val="24"/>
        </w:rPr>
        <w:t>потраживања</w:t>
      </w:r>
      <w:r w:rsidRPr="006155DC">
        <w:rPr>
          <w:rFonts w:ascii="Times New Roman" w:hAnsi="Times New Roman"/>
          <w:sz w:val="24"/>
          <w:szCs w:val="24"/>
        </w:rPr>
        <w:t xml:space="preserve"> </w:t>
      </w:r>
      <w:r w:rsidR="0094429D" w:rsidRPr="006155DC">
        <w:rPr>
          <w:rFonts w:ascii="Times New Roman" w:hAnsi="Times New Roman"/>
          <w:sz w:val="24"/>
          <w:szCs w:val="24"/>
        </w:rPr>
        <w:t>у</w:t>
      </w:r>
      <w:r w:rsidRPr="006155DC">
        <w:rPr>
          <w:rFonts w:ascii="Times New Roman" w:hAnsi="Times New Roman"/>
          <w:sz w:val="24"/>
          <w:szCs w:val="24"/>
        </w:rPr>
        <w:t xml:space="preserve"> </w:t>
      </w:r>
      <w:r w:rsidR="0094429D" w:rsidRPr="006155DC">
        <w:rPr>
          <w:rFonts w:ascii="Times New Roman" w:hAnsi="Times New Roman"/>
          <w:sz w:val="24"/>
          <w:szCs w:val="24"/>
        </w:rPr>
        <w:t>књигама</w:t>
      </w:r>
      <w:r w:rsidRPr="006155DC">
        <w:rPr>
          <w:rFonts w:ascii="Times New Roman" w:hAnsi="Times New Roman"/>
          <w:sz w:val="24"/>
          <w:szCs w:val="24"/>
        </w:rPr>
        <w:t xml:space="preserve"> </w:t>
      </w:r>
      <w:r w:rsidR="0094429D" w:rsidRPr="006155DC">
        <w:rPr>
          <w:rFonts w:ascii="Times New Roman" w:hAnsi="Times New Roman"/>
          <w:sz w:val="24"/>
          <w:szCs w:val="24"/>
        </w:rPr>
        <w:t>пореског</w:t>
      </w:r>
      <w:r w:rsidRPr="006155DC">
        <w:rPr>
          <w:rFonts w:ascii="Times New Roman" w:hAnsi="Times New Roman"/>
          <w:sz w:val="24"/>
          <w:szCs w:val="24"/>
        </w:rPr>
        <w:t xml:space="preserve"> </w:t>
      </w:r>
      <w:r w:rsidR="0094429D" w:rsidRPr="006155DC">
        <w:rPr>
          <w:rFonts w:ascii="Times New Roman" w:hAnsi="Times New Roman"/>
          <w:sz w:val="24"/>
          <w:szCs w:val="24"/>
        </w:rPr>
        <w:t>обвезника</w:t>
      </w:r>
      <w:r w:rsidRPr="006155DC">
        <w:rPr>
          <w:rFonts w:ascii="Times New Roman" w:hAnsi="Times New Roman"/>
          <w:sz w:val="24"/>
          <w:szCs w:val="24"/>
        </w:rPr>
        <w:t xml:space="preserve"> </w:t>
      </w:r>
      <w:r w:rsidR="0094429D" w:rsidRPr="006155DC">
        <w:rPr>
          <w:rFonts w:ascii="Times New Roman" w:hAnsi="Times New Roman"/>
          <w:sz w:val="24"/>
          <w:szCs w:val="24"/>
        </w:rPr>
        <w:t>отписана</w:t>
      </w:r>
      <w:r w:rsidRPr="006155DC">
        <w:rPr>
          <w:rFonts w:ascii="Times New Roman" w:hAnsi="Times New Roman"/>
          <w:sz w:val="24"/>
          <w:szCs w:val="24"/>
        </w:rPr>
        <w:t xml:space="preserve"> </w:t>
      </w:r>
      <w:r w:rsidR="0094429D" w:rsidRPr="006155DC">
        <w:rPr>
          <w:rFonts w:ascii="Times New Roman" w:hAnsi="Times New Roman"/>
          <w:sz w:val="24"/>
          <w:szCs w:val="24"/>
        </w:rPr>
        <w:t>као</w:t>
      </w:r>
      <w:r w:rsidRPr="006155DC">
        <w:rPr>
          <w:rFonts w:ascii="Times New Roman" w:hAnsi="Times New Roman"/>
          <w:sz w:val="24"/>
          <w:szCs w:val="24"/>
        </w:rPr>
        <w:t xml:space="preserve"> </w:t>
      </w:r>
      <w:r w:rsidR="0094429D" w:rsidRPr="006155DC">
        <w:rPr>
          <w:rFonts w:ascii="Times New Roman" w:hAnsi="Times New Roman"/>
          <w:sz w:val="24"/>
          <w:szCs w:val="24"/>
        </w:rPr>
        <w:t>ненаплатива</w:t>
      </w:r>
      <w:r w:rsidRPr="006155DC">
        <w:rPr>
          <w:rFonts w:ascii="Times New Roman" w:hAnsi="Times New Roman"/>
          <w:sz w:val="24"/>
          <w:szCs w:val="24"/>
        </w:rPr>
        <w:t>;</w:t>
      </w:r>
    </w:p>
    <w:p w:rsidR="00194AAC" w:rsidRPr="006155DC" w:rsidRDefault="00194AAC" w:rsidP="006155DC">
      <w:pPr>
        <w:jc w:val="both"/>
        <w:rPr>
          <w:rFonts w:ascii="Times New Roman" w:hAnsi="Times New Roman"/>
          <w:sz w:val="24"/>
          <w:szCs w:val="24"/>
        </w:rPr>
      </w:pPr>
      <w:r w:rsidRPr="006155DC">
        <w:rPr>
          <w:rFonts w:ascii="Times New Roman" w:hAnsi="Times New Roman"/>
          <w:sz w:val="24"/>
          <w:szCs w:val="24"/>
        </w:rPr>
        <w:t xml:space="preserve">3) </w:t>
      </w:r>
      <w:r w:rsidR="0094429D" w:rsidRPr="006155DC">
        <w:rPr>
          <w:rFonts w:ascii="Times New Roman" w:hAnsi="Times New Roman"/>
          <w:sz w:val="24"/>
          <w:szCs w:val="24"/>
        </w:rPr>
        <w:t>да</w:t>
      </w:r>
      <w:r w:rsidRPr="006155DC">
        <w:rPr>
          <w:rFonts w:ascii="Times New Roman" w:hAnsi="Times New Roman"/>
          <w:sz w:val="24"/>
          <w:szCs w:val="24"/>
        </w:rPr>
        <w:t xml:space="preserve"> </w:t>
      </w:r>
      <w:r w:rsidR="0094429D" w:rsidRPr="006155DC">
        <w:rPr>
          <w:rFonts w:ascii="Times New Roman" w:hAnsi="Times New Roman"/>
          <w:sz w:val="24"/>
          <w:szCs w:val="24"/>
        </w:rPr>
        <w:t>порески</w:t>
      </w:r>
      <w:r w:rsidRPr="006155DC">
        <w:rPr>
          <w:rFonts w:ascii="Times New Roman" w:hAnsi="Times New Roman"/>
          <w:sz w:val="24"/>
          <w:szCs w:val="24"/>
        </w:rPr>
        <w:t xml:space="preserve"> </w:t>
      </w:r>
      <w:r w:rsidR="0094429D" w:rsidRPr="006155DC">
        <w:rPr>
          <w:rFonts w:ascii="Times New Roman" w:hAnsi="Times New Roman"/>
          <w:sz w:val="24"/>
          <w:szCs w:val="24"/>
        </w:rPr>
        <w:t>обвезник</w:t>
      </w:r>
      <w:r w:rsidRPr="006155DC">
        <w:rPr>
          <w:rFonts w:ascii="Times New Roman" w:hAnsi="Times New Roman"/>
          <w:sz w:val="24"/>
          <w:szCs w:val="24"/>
        </w:rPr>
        <w:t xml:space="preserve"> </w:t>
      </w:r>
      <w:r w:rsidR="0094429D" w:rsidRPr="006155DC">
        <w:rPr>
          <w:rFonts w:ascii="Times New Roman" w:hAnsi="Times New Roman"/>
          <w:sz w:val="24"/>
          <w:szCs w:val="24"/>
        </w:rPr>
        <w:t>пружи</w:t>
      </w:r>
      <w:r w:rsidRPr="006155DC">
        <w:rPr>
          <w:rFonts w:ascii="Times New Roman" w:hAnsi="Times New Roman"/>
          <w:sz w:val="24"/>
          <w:szCs w:val="24"/>
        </w:rPr>
        <w:t xml:space="preserve"> </w:t>
      </w:r>
      <w:r w:rsidR="0094429D" w:rsidRPr="006155DC">
        <w:rPr>
          <w:rFonts w:ascii="Times New Roman" w:hAnsi="Times New Roman"/>
          <w:sz w:val="24"/>
          <w:szCs w:val="24"/>
        </w:rPr>
        <w:t>доказе</w:t>
      </w:r>
      <w:r w:rsidRPr="006155DC">
        <w:rPr>
          <w:rFonts w:ascii="Times New Roman" w:hAnsi="Times New Roman"/>
          <w:sz w:val="24"/>
          <w:szCs w:val="24"/>
        </w:rPr>
        <w:t xml:space="preserve"> </w:t>
      </w:r>
      <w:r w:rsidR="0094429D" w:rsidRPr="006155DC">
        <w:rPr>
          <w:rFonts w:ascii="Times New Roman" w:hAnsi="Times New Roman"/>
          <w:sz w:val="24"/>
          <w:szCs w:val="24"/>
        </w:rPr>
        <w:t>да</w:t>
      </w:r>
      <w:r w:rsidRPr="006155DC">
        <w:rPr>
          <w:rFonts w:ascii="Times New Roman" w:hAnsi="Times New Roman"/>
          <w:sz w:val="24"/>
          <w:szCs w:val="24"/>
        </w:rPr>
        <w:t xml:space="preserve"> </w:t>
      </w:r>
      <w:r w:rsidR="0094429D" w:rsidRPr="006155DC">
        <w:rPr>
          <w:rFonts w:ascii="Times New Roman" w:hAnsi="Times New Roman"/>
          <w:sz w:val="24"/>
          <w:szCs w:val="24"/>
        </w:rPr>
        <w:t>су</w:t>
      </w:r>
      <w:r w:rsidRPr="006155DC">
        <w:rPr>
          <w:rFonts w:ascii="Times New Roman" w:hAnsi="Times New Roman"/>
          <w:sz w:val="24"/>
          <w:szCs w:val="24"/>
        </w:rPr>
        <w:t xml:space="preserve"> </w:t>
      </w:r>
      <w:r w:rsidR="0094429D" w:rsidRPr="006155DC">
        <w:rPr>
          <w:rFonts w:ascii="Times New Roman" w:hAnsi="Times New Roman"/>
          <w:sz w:val="24"/>
          <w:szCs w:val="24"/>
        </w:rPr>
        <w:t>потраживања</w:t>
      </w:r>
      <w:r w:rsidRPr="006155DC">
        <w:rPr>
          <w:rFonts w:ascii="Times New Roman" w:hAnsi="Times New Roman"/>
          <w:sz w:val="24"/>
          <w:szCs w:val="24"/>
        </w:rPr>
        <w:t xml:space="preserve"> </w:t>
      </w:r>
      <w:r w:rsidR="0094429D" w:rsidRPr="006155DC">
        <w:rPr>
          <w:rFonts w:ascii="Times New Roman" w:hAnsi="Times New Roman"/>
          <w:sz w:val="24"/>
          <w:szCs w:val="24"/>
        </w:rPr>
        <w:t>утужена</w:t>
      </w:r>
      <w:r w:rsidRPr="006155DC">
        <w:rPr>
          <w:rFonts w:ascii="Times New Roman" w:hAnsi="Times New Roman"/>
          <w:sz w:val="24"/>
          <w:szCs w:val="24"/>
        </w:rPr>
        <w:t xml:space="preserve">, </w:t>
      </w:r>
      <w:r w:rsidR="0094429D" w:rsidRPr="006155DC">
        <w:rPr>
          <w:rFonts w:ascii="Times New Roman" w:hAnsi="Times New Roman"/>
          <w:sz w:val="24"/>
          <w:szCs w:val="24"/>
        </w:rPr>
        <w:t>односно</w:t>
      </w:r>
      <w:r w:rsidRPr="006155DC">
        <w:rPr>
          <w:rFonts w:ascii="Times New Roman" w:hAnsi="Times New Roman"/>
          <w:sz w:val="24"/>
          <w:szCs w:val="24"/>
        </w:rPr>
        <w:t xml:space="preserve"> </w:t>
      </w:r>
      <w:r w:rsidR="0094429D" w:rsidRPr="006155DC">
        <w:rPr>
          <w:rFonts w:ascii="Times New Roman" w:hAnsi="Times New Roman"/>
          <w:sz w:val="24"/>
          <w:szCs w:val="24"/>
        </w:rPr>
        <w:t>да</w:t>
      </w:r>
      <w:r w:rsidRPr="006155DC">
        <w:rPr>
          <w:rFonts w:ascii="Times New Roman" w:hAnsi="Times New Roman"/>
          <w:sz w:val="24"/>
          <w:szCs w:val="24"/>
        </w:rPr>
        <w:t xml:space="preserve"> </w:t>
      </w:r>
      <w:r w:rsidR="0094429D" w:rsidRPr="006155DC">
        <w:rPr>
          <w:rFonts w:ascii="Times New Roman" w:hAnsi="Times New Roman"/>
          <w:sz w:val="24"/>
          <w:szCs w:val="24"/>
        </w:rPr>
        <w:t>је</w:t>
      </w:r>
      <w:r w:rsidRPr="006155DC">
        <w:rPr>
          <w:rFonts w:ascii="Times New Roman" w:hAnsi="Times New Roman"/>
          <w:sz w:val="24"/>
          <w:szCs w:val="24"/>
        </w:rPr>
        <w:t xml:space="preserve"> </w:t>
      </w:r>
      <w:r w:rsidR="0094429D" w:rsidRPr="006155DC">
        <w:rPr>
          <w:rFonts w:ascii="Times New Roman" w:hAnsi="Times New Roman"/>
          <w:sz w:val="24"/>
          <w:szCs w:val="24"/>
        </w:rPr>
        <w:t>покренут</w:t>
      </w:r>
      <w:r w:rsidRPr="006155DC">
        <w:rPr>
          <w:rFonts w:ascii="Times New Roman" w:hAnsi="Times New Roman"/>
          <w:sz w:val="24"/>
          <w:szCs w:val="24"/>
        </w:rPr>
        <w:t xml:space="preserve"> </w:t>
      </w:r>
      <w:r w:rsidR="0094429D" w:rsidRPr="006155DC">
        <w:rPr>
          <w:rFonts w:ascii="Times New Roman" w:hAnsi="Times New Roman"/>
          <w:sz w:val="24"/>
          <w:szCs w:val="24"/>
        </w:rPr>
        <w:t>извршни</w:t>
      </w:r>
      <w:r w:rsidRPr="006155DC">
        <w:rPr>
          <w:rFonts w:ascii="Times New Roman" w:hAnsi="Times New Roman"/>
          <w:sz w:val="24"/>
          <w:szCs w:val="24"/>
        </w:rPr>
        <w:t xml:space="preserve"> </w:t>
      </w:r>
      <w:r w:rsidR="0094429D" w:rsidRPr="006155DC">
        <w:rPr>
          <w:rFonts w:ascii="Times New Roman" w:hAnsi="Times New Roman"/>
          <w:sz w:val="24"/>
          <w:szCs w:val="24"/>
        </w:rPr>
        <w:t>поступак</w:t>
      </w:r>
      <w:r w:rsidRPr="006155DC">
        <w:rPr>
          <w:rFonts w:ascii="Times New Roman" w:hAnsi="Times New Roman"/>
          <w:sz w:val="24"/>
          <w:szCs w:val="24"/>
        </w:rPr>
        <w:t xml:space="preserve"> </w:t>
      </w:r>
      <w:r w:rsidR="0094429D" w:rsidRPr="006155DC">
        <w:rPr>
          <w:rFonts w:ascii="Times New Roman" w:hAnsi="Times New Roman"/>
          <w:sz w:val="24"/>
          <w:szCs w:val="24"/>
        </w:rPr>
        <w:t>ради</w:t>
      </w:r>
      <w:r w:rsidRPr="006155DC">
        <w:rPr>
          <w:rFonts w:ascii="Times New Roman" w:hAnsi="Times New Roman"/>
          <w:sz w:val="24"/>
          <w:szCs w:val="24"/>
        </w:rPr>
        <w:t xml:space="preserve"> </w:t>
      </w:r>
      <w:r w:rsidR="0094429D" w:rsidRPr="006155DC">
        <w:rPr>
          <w:rFonts w:ascii="Times New Roman" w:hAnsi="Times New Roman"/>
          <w:sz w:val="24"/>
          <w:szCs w:val="24"/>
        </w:rPr>
        <w:t>наплате</w:t>
      </w:r>
      <w:r w:rsidRPr="006155DC">
        <w:rPr>
          <w:rFonts w:ascii="Times New Roman" w:hAnsi="Times New Roman"/>
          <w:sz w:val="24"/>
          <w:szCs w:val="24"/>
        </w:rPr>
        <w:t xml:space="preserve"> </w:t>
      </w:r>
      <w:r w:rsidR="0094429D" w:rsidRPr="006155DC">
        <w:rPr>
          <w:rFonts w:ascii="Times New Roman" w:hAnsi="Times New Roman"/>
          <w:sz w:val="24"/>
          <w:szCs w:val="24"/>
        </w:rPr>
        <w:t>потраживања</w:t>
      </w:r>
      <w:r w:rsidRPr="006155DC">
        <w:rPr>
          <w:rFonts w:ascii="Times New Roman" w:hAnsi="Times New Roman"/>
          <w:sz w:val="24"/>
          <w:szCs w:val="24"/>
        </w:rPr>
        <w:t xml:space="preserve">, </w:t>
      </w:r>
      <w:r w:rsidR="0094429D" w:rsidRPr="006155DC">
        <w:rPr>
          <w:rFonts w:ascii="Times New Roman" w:hAnsi="Times New Roman"/>
          <w:sz w:val="24"/>
          <w:szCs w:val="24"/>
        </w:rPr>
        <w:t>или</w:t>
      </w:r>
      <w:r w:rsidRPr="006155DC">
        <w:rPr>
          <w:rFonts w:ascii="Times New Roman" w:hAnsi="Times New Roman"/>
          <w:sz w:val="24"/>
          <w:szCs w:val="24"/>
        </w:rPr>
        <w:t xml:space="preserve"> </w:t>
      </w:r>
      <w:r w:rsidR="0094429D" w:rsidRPr="006155DC">
        <w:rPr>
          <w:rFonts w:ascii="Times New Roman" w:hAnsi="Times New Roman"/>
          <w:sz w:val="24"/>
          <w:szCs w:val="24"/>
        </w:rPr>
        <w:t>да</w:t>
      </w:r>
      <w:r w:rsidRPr="006155DC">
        <w:rPr>
          <w:rFonts w:ascii="Times New Roman" w:hAnsi="Times New Roman"/>
          <w:sz w:val="24"/>
          <w:szCs w:val="24"/>
        </w:rPr>
        <w:t xml:space="preserve"> </w:t>
      </w:r>
      <w:r w:rsidR="0094429D" w:rsidRPr="006155DC">
        <w:rPr>
          <w:rFonts w:ascii="Times New Roman" w:hAnsi="Times New Roman"/>
          <w:sz w:val="24"/>
          <w:szCs w:val="24"/>
        </w:rPr>
        <w:t>су</w:t>
      </w:r>
      <w:r w:rsidRPr="006155DC">
        <w:rPr>
          <w:rFonts w:ascii="Times New Roman" w:hAnsi="Times New Roman"/>
          <w:sz w:val="24"/>
          <w:szCs w:val="24"/>
        </w:rPr>
        <w:t xml:space="preserve"> </w:t>
      </w:r>
      <w:r w:rsidR="0094429D" w:rsidRPr="006155DC">
        <w:rPr>
          <w:rFonts w:ascii="Times New Roman" w:hAnsi="Times New Roman"/>
          <w:sz w:val="24"/>
          <w:szCs w:val="24"/>
        </w:rPr>
        <w:t>потраживања</w:t>
      </w:r>
      <w:r w:rsidRPr="006155DC">
        <w:rPr>
          <w:rFonts w:ascii="Times New Roman" w:hAnsi="Times New Roman"/>
          <w:sz w:val="24"/>
          <w:szCs w:val="24"/>
        </w:rPr>
        <w:t xml:space="preserve"> </w:t>
      </w:r>
      <w:r w:rsidR="0094429D" w:rsidRPr="006155DC">
        <w:rPr>
          <w:rFonts w:ascii="Times New Roman" w:hAnsi="Times New Roman"/>
          <w:sz w:val="24"/>
          <w:szCs w:val="24"/>
        </w:rPr>
        <w:t>пријављена</w:t>
      </w:r>
      <w:r w:rsidRPr="006155DC">
        <w:rPr>
          <w:rFonts w:ascii="Times New Roman" w:hAnsi="Times New Roman"/>
          <w:sz w:val="24"/>
          <w:szCs w:val="24"/>
        </w:rPr>
        <w:t xml:space="preserve"> </w:t>
      </w:r>
      <w:r w:rsidR="0094429D" w:rsidRPr="006155DC">
        <w:rPr>
          <w:rFonts w:ascii="Times New Roman" w:hAnsi="Times New Roman"/>
          <w:sz w:val="24"/>
          <w:szCs w:val="24"/>
        </w:rPr>
        <w:t>у</w:t>
      </w:r>
      <w:r w:rsidRPr="006155DC">
        <w:rPr>
          <w:rFonts w:ascii="Times New Roman" w:hAnsi="Times New Roman"/>
          <w:sz w:val="24"/>
          <w:szCs w:val="24"/>
        </w:rPr>
        <w:t xml:space="preserve"> </w:t>
      </w:r>
      <w:r w:rsidR="0094429D" w:rsidRPr="006155DC">
        <w:rPr>
          <w:rFonts w:ascii="Times New Roman" w:hAnsi="Times New Roman"/>
          <w:sz w:val="24"/>
          <w:szCs w:val="24"/>
        </w:rPr>
        <w:t>ликвидационом</w:t>
      </w:r>
      <w:r w:rsidRPr="006155DC">
        <w:rPr>
          <w:rFonts w:ascii="Times New Roman" w:hAnsi="Times New Roman"/>
          <w:sz w:val="24"/>
          <w:szCs w:val="24"/>
        </w:rPr>
        <w:t xml:space="preserve"> </w:t>
      </w:r>
      <w:r w:rsidR="0094429D" w:rsidRPr="006155DC">
        <w:rPr>
          <w:rFonts w:ascii="Times New Roman" w:hAnsi="Times New Roman"/>
          <w:sz w:val="24"/>
          <w:szCs w:val="24"/>
        </w:rPr>
        <w:t>или</w:t>
      </w:r>
      <w:r w:rsidRPr="006155DC">
        <w:rPr>
          <w:rFonts w:ascii="Times New Roman" w:hAnsi="Times New Roman"/>
          <w:sz w:val="24"/>
          <w:szCs w:val="24"/>
        </w:rPr>
        <w:t xml:space="preserve"> </w:t>
      </w:r>
      <w:r w:rsidR="0094429D" w:rsidRPr="006155DC">
        <w:rPr>
          <w:rFonts w:ascii="Times New Roman" w:hAnsi="Times New Roman"/>
          <w:sz w:val="24"/>
          <w:szCs w:val="24"/>
        </w:rPr>
        <w:t>стечајном</w:t>
      </w:r>
      <w:r w:rsidRPr="006155DC">
        <w:rPr>
          <w:rFonts w:ascii="Times New Roman" w:hAnsi="Times New Roman"/>
          <w:sz w:val="24"/>
          <w:szCs w:val="24"/>
        </w:rPr>
        <w:t xml:space="preserve"> </w:t>
      </w:r>
      <w:r w:rsidR="0094429D" w:rsidRPr="006155DC">
        <w:rPr>
          <w:rFonts w:ascii="Times New Roman" w:hAnsi="Times New Roman"/>
          <w:sz w:val="24"/>
          <w:szCs w:val="24"/>
        </w:rPr>
        <w:t>поступку</w:t>
      </w:r>
      <w:r w:rsidRPr="006155DC">
        <w:rPr>
          <w:rFonts w:ascii="Times New Roman" w:hAnsi="Times New Roman"/>
          <w:sz w:val="24"/>
          <w:szCs w:val="24"/>
        </w:rPr>
        <w:t xml:space="preserve"> </w:t>
      </w:r>
      <w:r w:rsidR="0094429D" w:rsidRPr="006155DC">
        <w:rPr>
          <w:rFonts w:ascii="Times New Roman" w:hAnsi="Times New Roman"/>
          <w:sz w:val="24"/>
          <w:szCs w:val="24"/>
        </w:rPr>
        <w:t>над</w:t>
      </w:r>
      <w:r w:rsidRPr="006155DC">
        <w:rPr>
          <w:rFonts w:ascii="Times New Roman" w:hAnsi="Times New Roman"/>
          <w:sz w:val="24"/>
          <w:szCs w:val="24"/>
        </w:rPr>
        <w:t xml:space="preserve"> </w:t>
      </w:r>
      <w:r w:rsidR="0094429D" w:rsidRPr="006155DC">
        <w:rPr>
          <w:rFonts w:ascii="Times New Roman" w:hAnsi="Times New Roman"/>
          <w:sz w:val="24"/>
          <w:szCs w:val="24"/>
        </w:rPr>
        <w:t>дужником</w:t>
      </w:r>
      <w:r w:rsidRPr="006155DC">
        <w:rPr>
          <w:rFonts w:ascii="Times New Roman" w:hAnsi="Times New Roman"/>
          <w:sz w:val="24"/>
          <w:szCs w:val="24"/>
        </w:rPr>
        <w:t>.</w:t>
      </w:r>
    </w:p>
    <w:p w:rsidR="0094429D" w:rsidRPr="006155DC" w:rsidRDefault="0094429D" w:rsidP="006155DC">
      <w:pPr>
        <w:ind w:firstLine="708"/>
        <w:jc w:val="both"/>
        <w:rPr>
          <w:rFonts w:ascii="Times New Roman" w:hAnsi="Times New Roman"/>
          <w:sz w:val="24"/>
          <w:szCs w:val="24"/>
        </w:rPr>
      </w:pPr>
      <w:r w:rsidRPr="006155DC">
        <w:rPr>
          <w:rFonts w:ascii="Times New Roman" w:hAnsi="Times New Roman"/>
          <w:sz w:val="24"/>
          <w:szCs w:val="24"/>
        </w:rPr>
        <w:t>Сва</w:t>
      </w:r>
      <w:r w:rsidR="00194AAC" w:rsidRPr="006155DC">
        <w:rPr>
          <w:rFonts w:ascii="Times New Roman" w:hAnsi="Times New Roman"/>
          <w:sz w:val="24"/>
          <w:szCs w:val="24"/>
        </w:rPr>
        <w:t xml:space="preserve"> </w:t>
      </w:r>
      <w:r w:rsidRPr="006155DC">
        <w:rPr>
          <w:rFonts w:ascii="Times New Roman" w:hAnsi="Times New Roman"/>
          <w:sz w:val="24"/>
          <w:szCs w:val="24"/>
        </w:rPr>
        <w:t>отписана</w:t>
      </w:r>
      <w:r w:rsidR="00194AAC" w:rsidRPr="006155DC">
        <w:rPr>
          <w:rFonts w:ascii="Times New Roman" w:hAnsi="Times New Roman"/>
          <w:sz w:val="24"/>
          <w:szCs w:val="24"/>
        </w:rPr>
        <w:t xml:space="preserve">, </w:t>
      </w:r>
      <w:r w:rsidRPr="006155DC">
        <w:rPr>
          <w:rFonts w:ascii="Times New Roman" w:hAnsi="Times New Roman"/>
          <w:sz w:val="24"/>
          <w:szCs w:val="24"/>
        </w:rPr>
        <w:t>исправљена</w:t>
      </w:r>
      <w:r w:rsidR="00194AAC" w:rsidRPr="006155DC">
        <w:rPr>
          <w:rFonts w:ascii="Times New Roman" w:hAnsi="Times New Roman"/>
          <w:sz w:val="24"/>
          <w:szCs w:val="24"/>
        </w:rPr>
        <w:t xml:space="preserve"> </w:t>
      </w:r>
      <w:r w:rsidRPr="006155DC">
        <w:rPr>
          <w:rFonts w:ascii="Times New Roman" w:hAnsi="Times New Roman"/>
          <w:sz w:val="24"/>
          <w:szCs w:val="24"/>
        </w:rPr>
        <w:t>и</w:t>
      </w:r>
      <w:r w:rsidR="00194AAC" w:rsidRPr="006155DC">
        <w:rPr>
          <w:rFonts w:ascii="Times New Roman" w:hAnsi="Times New Roman"/>
          <w:sz w:val="24"/>
          <w:szCs w:val="24"/>
        </w:rPr>
        <w:t xml:space="preserve"> </w:t>
      </w:r>
      <w:r w:rsidRPr="006155DC">
        <w:rPr>
          <w:rFonts w:ascii="Times New Roman" w:hAnsi="Times New Roman"/>
          <w:sz w:val="24"/>
          <w:szCs w:val="24"/>
        </w:rPr>
        <w:t>друга</w:t>
      </w:r>
      <w:r w:rsidR="00194AAC" w:rsidRPr="006155DC">
        <w:rPr>
          <w:rFonts w:ascii="Times New Roman" w:hAnsi="Times New Roman"/>
          <w:sz w:val="24"/>
          <w:szCs w:val="24"/>
        </w:rPr>
        <w:t xml:space="preserve"> </w:t>
      </w:r>
      <w:r w:rsidRPr="006155DC">
        <w:rPr>
          <w:rFonts w:ascii="Times New Roman" w:hAnsi="Times New Roman"/>
          <w:sz w:val="24"/>
          <w:szCs w:val="24"/>
        </w:rPr>
        <w:t>потраживања</w:t>
      </w:r>
      <w:r w:rsidR="00194AAC" w:rsidRPr="006155DC">
        <w:rPr>
          <w:rFonts w:ascii="Times New Roman" w:hAnsi="Times New Roman"/>
          <w:sz w:val="24"/>
          <w:szCs w:val="24"/>
        </w:rPr>
        <w:t xml:space="preserve"> </w:t>
      </w:r>
      <w:r w:rsidRPr="006155DC">
        <w:rPr>
          <w:rFonts w:ascii="Times New Roman" w:hAnsi="Times New Roman"/>
          <w:sz w:val="24"/>
          <w:szCs w:val="24"/>
        </w:rPr>
        <w:t>која</w:t>
      </w:r>
      <w:r w:rsidR="00194AAC" w:rsidRPr="006155DC">
        <w:rPr>
          <w:rFonts w:ascii="Times New Roman" w:hAnsi="Times New Roman"/>
          <w:sz w:val="24"/>
          <w:szCs w:val="24"/>
        </w:rPr>
        <w:t xml:space="preserve"> </w:t>
      </w:r>
      <w:r w:rsidRPr="006155DC">
        <w:rPr>
          <w:rFonts w:ascii="Times New Roman" w:hAnsi="Times New Roman"/>
          <w:sz w:val="24"/>
          <w:szCs w:val="24"/>
        </w:rPr>
        <w:t>су</w:t>
      </w:r>
      <w:r w:rsidR="00194AAC" w:rsidRPr="006155DC">
        <w:rPr>
          <w:rFonts w:ascii="Times New Roman" w:hAnsi="Times New Roman"/>
          <w:sz w:val="24"/>
          <w:szCs w:val="24"/>
        </w:rPr>
        <w:t xml:space="preserve"> </w:t>
      </w:r>
      <w:r w:rsidRPr="006155DC">
        <w:rPr>
          <w:rFonts w:ascii="Times New Roman" w:hAnsi="Times New Roman"/>
          <w:sz w:val="24"/>
          <w:szCs w:val="24"/>
        </w:rPr>
        <w:t>призната</w:t>
      </w:r>
      <w:r w:rsidR="00194AAC" w:rsidRPr="006155DC">
        <w:rPr>
          <w:rFonts w:ascii="Times New Roman" w:hAnsi="Times New Roman"/>
          <w:sz w:val="24"/>
          <w:szCs w:val="24"/>
        </w:rPr>
        <w:t xml:space="preserve"> </w:t>
      </w:r>
      <w:r w:rsidRPr="006155DC">
        <w:rPr>
          <w:rFonts w:ascii="Times New Roman" w:hAnsi="Times New Roman"/>
          <w:sz w:val="24"/>
          <w:szCs w:val="24"/>
        </w:rPr>
        <w:t>као</w:t>
      </w:r>
      <w:r w:rsidR="00194AAC" w:rsidRPr="006155DC">
        <w:rPr>
          <w:rFonts w:ascii="Times New Roman" w:hAnsi="Times New Roman"/>
          <w:sz w:val="24"/>
          <w:szCs w:val="24"/>
        </w:rPr>
        <w:t xml:space="preserve"> </w:t>
      </w:r>
      <w:r w:rsidRPr="006155DC">
        <w:rPr>
          <w:rFonts w:ascii="Times New Roman" w:hAnsi="Times New Roman"/>
          <w:sz w:val="24"/>
          <w:szCs w:val="24"/>
        </w:rPr>
        <w:t>расход</w:t>
      </w:r>
      <w:r w:rsidR="00194AAC" w:rsidRPr="006155DC">
        <w:rPr>
          <w:rFonts w:ascii="Times New Roman" w:hAnsi="Times New Roman"/>
          <w:sz w:val="24"/>
          <w:szCs w:val="24"/>
        </w:rPr>
        <w:t xml:space="preserve">, </w:t>
      </w:r>
      <w:r w:rsidRPr="006155DC">
        <w:rPr>
          <w:rFonts w:ascii="Times New Roman" w:hAnsi="Times New Roman"/>
          <w:sz w:val="24"/>
          <w:szCs w:val="24"/>
        </w:rPr>
        <w:t>а</w:t>
      </w:r>
      <w:r w:rsidR="00194AAC" w:rsidRPr="006155DC">
        <w:rPr>
          <w:rFonts w:ascii="Times New Roman" w:hAnsi="Times New Roman"/>
          <w:sz w:val="24"/>
          <w:szCs w:val="24"/>
        </w:rPr>
        <w:t xml:space="preserve"> </w:t>
      </w:r>
      <w:r w:rsidRPr="006155DC">
        <w:rPr>
          <w:rFonts w:ascii="Times New Roman" w:hAnsi="Times New Roman"/>
          <w:sz w:val="24"/>
          <w:szCs w:val="24"/>
        </w:rPr>
        <w:t>која</w:t>
      </w:r>
      <w:r w:rsidR="00194AAC" w:rsidRPr="006155DC">
        <w:rPr>
          <w:rFonts w:ascii="Times New Roman" w:hAnsi="Times New Roman"/>
          <w:sz w:val="24"/>
          <w:szCs w:val="24"/>
        </w:rPr>
        <w:t xml:space="preserve"> </w:t>
      </w:r>
      <w:r w:rsidRPr="006155DC">
        <w:rPr>
          <w:rFonts w:ascii="Times New Roman" w:hAnsi="Times New Roman"/>
          <w:sz w:val="24"/>
          <w:szCs w:val="24"/>
        </w:rPr>
        <w:t>се</w:t>
      </w:r>
      <w:r w:rsidR="00194AAC" w:rsidRPr="006155DC">
        <w:rPr>
          <w:rFonts w:ascii="Times New Roman" w:hAnsi="Times New Roman"/>
          <w:sz w:val="24"/>
          <w:szCs w:val="24"/>
        </w:rPr>
        <w:t xml:space="preserve"> </w:t>
      </w:r>
      <w:r w:rsidRPr="006155DC">
        <w:rPr>
          <w:rFonts w:ascii="Times New Roman" w:hAnsi="Times New Roman"/>
          <w:sz w:val="24"/>
          <w:szCs w:val="24"/>
        </w:rPr>
        <w:t>касније</w:t>
      </w:r>
      <w:r w:rsidR="00194AAC" w:rsidRPr="006155DC">
        <w:rPr>
          <w:rFonts w:ascii="Times New Roman" w:hAnsi="Times New Roman"/>
          <w:sz w:val="24"/>
          <w:szCs w:val="24"/>
        </w:rPr>
        <w:t xml:space="preserve"> </w:t>
      </w:r>
      <w:r w:rsidRPr="006155DC">
        <w:rPr>
          <w:rFonts w:ascii="Times New Roman" w:hAnsi="Times New Roman"/>
          <w:sz w:val="24"/>
          <w:szCs w:val="24"/>
        </w:rPr>
        <w:t>наплате</w:t>
      </w:r>
      <w:r w:rsidR="00194AAC" w:rsidRPr="006155DC">
        <w:rPr>
          <w:rFonts w:ascii="Times New Roman" w:hAnsi="Times New Roman"/>
          <w:sz w:val="24"/>
          <w:szCs w:val="24"/>
        </w:rPr>
        <w:t xml:space="preserve"> </w:t>
      </w:r>
      <w:r w:rsidRPr="006155DC">
        <w:rPr>
          <w:rFonts w:ascii="Times New Roman" w:hAnsi="Times New Roman"/>
          <w:sz w:val="24"/>
          <w:szCs w:val="24"/>
        </w:rPr>
        <w:t>или</w:t>
      </w:r>
      <w:r w:rsidR="00194AAC" w:rsidRPr="006155DC">
        <w:rPr>
          <w:rFonts w:ascii="Times New Roman" w:hAnsi="Times New Roman"/>
          <w:sz w:val="24"/>
          <w:szCs w:val="24"/>
        </w:rPr>
        <w:t xml:space="preserve"> </w:t>
      </w:r>
      <w:r w:rsidRPr="006155DC">
        <w:rPr>
          <w:rFonts w:ascii="Times New Roman" w:hAnsi="Times New Roman"/>
          <w:sz w:val="24"/>
          <w:szCs w:val="24"/>
        </w:rPr>
        <w:t>за</w:t>
      </w:r>
      <w:r w:rsidR="00194AAC" w:rsidRPr="006155DC">
        <w:rPr>
          <w:rFonts w:ascii="Times New Roman" w:hAnsi="Times New Roman"/>
          <w:sz w:val="24"/>
          <w:szCs w:val="24"/>
        </w:rPr>
        <w:t xml:space="preserve"> </w:t>
      </w:r>
      <w:r w:rsidRPr="006155DC">
        <w:rPr>
          <w:rFonts w:ascii="Times New Roman" w:hAnsi="Times New Roman"/>
          <w:sz w:val="24"/>
          <w:szCs w:val="24"/>
        </w:rPr>
        <w:t>која</w:t>
      </w:r>
      <w:r w:rsidR="00194AAC" w:rsidRPr="006155DC">
        <w:rPr>
          <w:rFonts w:ascii="Times New Roman" w:hAnsi="Times New Roman"/>
          <w:sz w:val="24"/>
          <w:szCs w:val="24"/>
        </w:rPr>
        <w:t xml:space="preserve"> </w:t>
      </w:r>
      <w:r w:rsidRPr="006155DC">
        <w:rPr>
          <w:rFonts w:ascii="Times New Roman" w:hAnsi="Times New Roman"/>
          <w:sz w:val="24"/>
          <w:szCs w:val="24"/>
        </w:rPr>
        <w:t>поверилац</w:t>
      </w:r>
      <w:r w:rsidR="00194AAC" w:rsidRPr="006155DC">
        <w:rPr>
          <w:rFonts w:ascii="Times New Roman" w:hAnsi="Times New Roman"/>
          <w:sz w:val="24"/>
          <w:szCs w:val="24"/>
        </w:rPr>
        <w:t xml:space="preserve"> </w:t>
      </w:r>
      <w:r w:rsidRPr="006155DC">
        <w:rPr>
          <w:rFonts w:ascii="Times New Roman" w:hAnsi="Times New Roman"/>
          <w:sz w:val="24"/>
          <w:szCs w:val="24"/>
        </w:rPr>
        <w:t>повуче</w:t>
      </w:r>
      <w:r w:rsidR="00194AAC" w:rsidRPr="006155DC">
        <w:rPr>
          <w:rFonts w:ascii="Times New Roman" w:hAnsi="Times New Roman"/>
          <w:sz w:val="24"/>
          <w:szCs w:val="24"/>
        </w:rPr>
        <w:t xml:space="preserve"> </w:t>
      </w:r>
      <w:r w:rsidRPr="006155DC">
        <w:rPr>
          <w:rFonts w:ascii="Times New Roman" w:hAnsi="Times New Roman"/>
          <w:sz w:val="24"/>
          <w:szCs w:val="24"/>
        </w:rPr>
        <w:t>тужбу</w:t>
      </w:r>
      <w:r w:rsidR="00194AAC" w:rsidRPr="006155DC">
        <w:rPr>
          <w:rFonts w:ascii="Times New Roman" w:hAnsi="Times New Roman"/>
          <w:sz w:val="24"/>
          <w:szCs w:val="24"/>
        </w:rPr>
        <w:t xml:space="preserve">, </w:t>
      </w:r>
      <w:r w:rsidRPr="006155DC">
        <w:rPr>
          <w:rFonts w:ascii="Times New Roman" w:hAnsi="Times New Roman"/>
          <w:sz w:val="24"/>
          <w:szCs w:val="24"/>
        </w:rPr>
        <w:t>предлог</w:t>
      </w:r>
      <w:r w:rsidR="00194AAC" w:rsidRPr="006155DC">
        <w:rPr>
          <w:rFonts w:ascii="Times New Roman" w:hAnsi="Times New Roman"/>
          <w:sz w:val="24"/>
          <w:szCs w:val="24"/>
        </w:rPr>
        <w:t xml:space="preserve"> </w:t>
      </w:r>
      <w:r w:rsidRPr="006155DC">
        <w:rPr>
          <w:rFonts w:ascii="Times New Roman" w:hAnsi="Times New Roman"/>
          <w:sz w:val="24"/>
          <w:szCs w:val="24"/>
        </w:rPr>
        <w:t>за</w:t>
      </w:r>
      <w:r w:rsidR="00194AAC" w:rsidRPr="006155DC">
        <w:rPr>
          <w:rFonts w:ascii="Times New Roman" w:hAnsi="Times New Roman"/>
          <w:sz w:val="24"/>
          <w:szCs w:val="24"/>
        </w:rPr>
        <w:t xml:space="preserve"> </w:t>
      </w:r>
      <w:r w:rsidRPr="006155DC">
        <w:rPr>
          <w:rFonts w:ascii="Times New Roman" w:hAnsi="Times New Roman"/>
          <w:sz w:val="24"/>
          <w:szCs w:val="24"/>
        </w:rPr>
        <w:t>извршење</w:t>
      </w:r>
      <w:r w:rsidR="00194AAC" w:rsidRPr="006155DC">
        <w:rPr>
          <w:rFonts w:ascii="Times New Roman" w:hAnsi="Times New Roman"/>
          <w:sz w:val="24"/>
          <w:szCs w:val="24"/>
        </w:rPr>
        <w:t xml:space="preserve">, </w:t>
      </w:r>
      <w:r w:rsidRPr="006155DC">
        <w:rPr>
          <w:rFonts w:ascii="Times New Roman" w:hAnsi="Times New Roman"/>
          <w:sz w:val="24"/>
          <w:szCs w:val="24"/>
        </w:rPr>
        <w:t>односно</w:t>
      </w:r>
      <w:r w:rsidR="00194AAC" w:rsidRPr="006155DC">
        <w:rPr>
          <w:rFonts w:ascii="Times New Roman" w:hAnsi="Times New Roman"/>
          <w:sz w:val="24"/>
          <w:szCs w:val="24"/>
        </w:rPr>
        <w:t xml:space="preserve"> </w:t>
      </w:r>
      <w:r w:rsidRPr="006155DC">
        <w:rPr>
          <w:rFonts w:ascii="Times New Roman" w:hAnsi="Times New Roman"/>
          <w:sz w:val="24"/>
          <w:szCs w:val="24"/>
        </w:rPr>
        <w:t>пријаву</w:t>
      </w:r>
      <w:r w:rsidR="00194AAC" w:rsidRPr="006155DC">
        <w:rPr>
          <w:rFonts w:ascii="Times New Roman" w:hAnsi="Times New Roman"/>
          <w:sz w:val="24"/>
          <w:szCs w:val="24"/>
        </w:rPr>
        <w:t xml:space="preserve"> </w:t>
      </w:r>
      <w:r w:rsidRPr="006155DC">
        <w:rPr>
          <w:rFonts w:ascii="Times New Roman" w:hAnsi="Times New Roman"/>
          <w:sz w:val="24"/>
          <w:szCs w:val="24"/>
        </w:rPr>
        <w:t>потраживања</w:t>
      </w:r>
      <w:r w:rsidR="00194AAC" w:rsidRPr="006155DC">
        <w:rPr>
          <w:rFonts w:ascii="Times New Roman" w:hAnsi="Times New Roman"/>
          <w:sz w:val="24"/>
          <w:szCs w:val="24"/>
        </w:rPr>
        <w:t xml:space="preserve">, </w:t>
      </w:r>
      <w:r w:rsidRPr="006155DC">
        <w:rPr>
          <w:rFonts w:ascii="Times New Roman" w:hAnsi="Times New Roman"/>
          <w:sz w:val="24"/>
          <w:szCs w:val="24"/>
        </w:rPr>
        <w:t>у</w:t>
      </w:r>
      <w:r w:rsidR="00194AAC" w:rsidRPr="006155DC">
        <w:rPr>
          <w:rFonts w:ascii="Times New Roman" w:hAnsi="Times New Roman"/>
          <w:sz w:val="24"/>
          <w:szCs w:val="24"/>
        </w:rPr>
        <w:t xml:space="preserve"> </w:t>
      </w:r>
      <w:r w:rsidRPr="006155DC">
        <w:rPr>
          <w:rFonts w:ascii="Times New Roman" w:hAnsi="Times New Roman"/>
          <w:sz w:val="24"/>
          <w:szCs w:val="24"/>
        </w:rPr>
        <w:t>моменту</w:t>
      </w:r>
      <w:r w:rsidR="00194AAC" w:rsidRPr="006155DC">
        <w:rPr>
          <w:rFonts w:ascii="Times New Roman" w:hAnsi="Times New Roman"/>
          <w:sz w:val="24"/>
          <w:szCs w:val="24"/>
        </w:rPr>
        <w:t xml:space="preserve"> </w:t>
      </w:r>
      <w:r w:rsidRPr="006155DC">
        <w:rPr>
          <w:rFonts w:ascii="Times New Roman" w:hAnsi="Times New Roman"/>
          <w:sz w:val="24"/>
          <w:szCs w:val="24"/>
        </w:rPr>
        <w:t>наплате</w:t>
      </w:r>
      <w:r w:rsidR="00194AAC" w:rsidRPr="006155DC">
        <w:rPr>
          <w:rFonts w:ascii="Times New Roman" w:hAnsi="Times New Roman"/>
          <w:sz w:val="24"/>
          <w:szCs w:val="24"/>
        </w:rPr>
        <w:t xml:space="preserve"> </w:t>
      </w:r>
      <w:r w:rsidRPr="006155DC">
        <w:rPr>
          <w:rFonts w:ascii="Times New Roman" w:hAnsi="Times New Roman"/>
          <w:sz w:val="24"/>
          <w:szCs w:val="24"/>
        </w:rPr>
        <w:t>или</w:t>
      </w:r>
      <w:r w:rsidR="00194AAC" w:rsidRPr="006155DC">
        <w:rPr>
          <w:rFonts w:ascii="Times New Roman" w:hAnsi="Times New Roman"/>
          <w:sz w:val="24"/>
          <w:szCs w:val="24"/>
        </w:rPr>
        <w:t xml:space="preserve"> </w:t>
      </w:r>
      <w:r w:rsidRPr="006155DC">
        <w:rPr>
          <w:rFonts w:ascii="Times New Roman" w:hAnsi="Times New Roman"/>
          <w:sz w:val="24"/>
          <w:szCs w:val="24"/>
        </w:rPr>
        <w:t>повлачења</w:t>
      </w:r>
      <w:r w:rsidR="00194AAC" w:rsidRPr="006155DC">
        <w:rPr>
          <w:rFonts w:ascii="Times New Roman" w:hAnsi="Times New Roman"/>
          <w:sz w:val="24"/>
          <w:szCs w:val="24"/>
        </w:rPr>
        <w:t xml:space="preserve"> </w:t>
      </w:r>
      <w:r w:rsidRPr="006155DC">
        <w:rPr>
          <w:rFonts w:ascii="Times New Roman" w:hAnsi="Times New Roman"/>
          <w:sz w:val="24"/>
          <w:szCs w:val="24"/>
        </w:rPr>
        <w:t>тужбе</w:t>
      </w:r>
      <w:r w:rsidR="00194AAC" w:rsidRPr="006155DC">
        <w:rPr>
          <w:rFonts w:ascii="Times New Roman" w:hAnsi="Times New Roman"/>
          <w:sz w:val="24"/>
          <w:szCs w:val="24"/>
        </w:rPr>
        <w:t xml:space="preserve">, </w:t>
      </w:r>
      <w:r w:rsidRPr="006155DC">
        <w:rPr>
          <w:rFonts w:ascii="Times New Roman" w:hAnsi="Times New Roman"/>
          <w:sz w:val="24"/>
          <w:szCs w:val="24"/>
        </w:rPr>
        <w:t>предлога</w:t>
      </w:r>
      <w:r w:rsidR="00194AAC" w:rsidRPr="006155DC">
        <w:rPr>
          <w:rFonts w:ascii="Times New Roman" w:hAnsi="Times New Roman"/>
          <w:sz w:val="24"/>
          <w:szCs w:val="24"/>
        </w:rPr>
        <w:t xml:space="preserve"> </w:t>
      </w:r>
      <w:r w:rsidRPr="006155DC">
        <w:rPr>
          <w:rFonts w:ascii="Times New Roman" w:hAnsi="Times New Roman"/>
          <w:sz w:val="24"/>
          <w:szCs w:val="24"/>
        </w:rPr>
        <w:t>за</w:t>
      </w:r>
      <w:r w:rsidR="00194AAC" w:rsidRPr="006155DC">
        <w:rPr>
          <w:rFonts w:ascii="Times New Roman" w:hAnsi="Times New Roman"/>
          <w:sz w:val="24"/>
          <w:szCs w:val="24"/>
        </w:rPr>
        <w:t xml:space="preserve"> </w:t>
      </w:r>
      <w:r w:rsidRPr="006155DC">
        <w:rPr>
          <w:rFonts w:ascii="Times New Roman" w:hAnsi="Times New Roman"/>
          <w:sz w:val="24"/>
          <w:szCs w:val="24"/>
        </w:rPr>
        <w:t>извршење</w:t>
      </w:r>
      <w:r w:rsidR="00194AAC" w:rsidRPr="006155DC">
        <w:rPr>
          <w:rFonts w:ascii="Times New Roman" w:hAnsi="Times New Roman"/>
          <w:sz w:val="24"/>
          <w:szCs w:val="24"/>
        </w:rPr>
        <w:t xml:space="preserve">, </w:t>
      </w:r>
      <w:r w:rsidRPr="006155DC">
        <w:rPr>
          <w:rFonts w:ascii="Times New Roman" w:hAnsi="Times New Roman"/>
          <w:sz w:val="24"/>
          <w:szCs w:val="24"/>
        </w:rPr>
        <w:t>односно</w:t>
      </w:r>
      <w:r w:rsidR="00194AAC" w:rsidRPr="006155DC">
        <w:rPr>
          <w:rFonts w:ascii="Times New Roman" w:hAnsi="Times New Roman"/>
          <w:sz w:val="24"/>
          <w:szCs w:val="24"/>
        </w:rPr>
        <w:t xml:space="preserve"> </w:t>
      </w:r>
      <w:r w:rsidRPr="006155DC">
        <w:rPr>
          <w:rFonts w:ascii="Times New Roman" w:hAnsi="Times New Roman"/>
          <w:sz w:val="24"/>
          <w:szCs w:val="24"/>
        </w:rPr>
        <w:t>пријаве</w:t>
      </w:r>
      <w:r w:rsidR="00194AAC" w:rsidRPr="006155DC">
        <w:rPr>
          <w:rFonts w:ascii="Times New Roman" w:hAnsi="Times New Roman"/>
          <w:sz w:val="24"/>
          <w:szCs w:val="24"/>
        </w:rPr>
        <w:t xml:space="preserve"> </w:t>
      </w:r>
      <w:r w:rsidRPr="006155DC">
        <w:rPr>
          <w:rFonts w:ascii="Times New Roman" w:hAnsi="Times New Roman"/>
          <w:sz w:val="24"/>
          <w:szCs w:val="24"/>
        </w:rPr>
        <w:t>потраживања</w:t>
      </w:r>
      <w:r w:rsidR="00194AAC" w:rsidRPr="006155DC">
        <w:rPr>
          <w:rFonts w:ascii="Times New Roman" w:hAnsi="Times New Roman"/>
          <w:sz w:val="24"/>
          <w:szCs w:val="24"/>
        </w:rPr>
        <w:t xml:space="preserve">, </w:t>
      </w:r>
      <w:r w:rsidRPr="006155DC">
        <w:rPr>
          <w:rFonts w:ascii="Times New Roman" w:hAnsi="Times New Roman"/>
          <w:sz w:val="24"/>
          <w:szCs w:val="24"/>
        </w:rPr>
        <w:t>улазе</w:t>
      </w:r>
      <w:r w:rsidR="00194AAC" w:rsidRPr="006155DC">
        <w:rPr>
          <w:rFonts w:ascii="Times New Roman" w:hAnsi="Times New Roman"/>
          <w:sz w:val="24"/>
          <w:szCs w:val="24"/>
        </w:rPr>
        <w:t xml:space="preserve"> </w:t>
      </w:r>
      <w:r w:rsidRPr="006155DC">
        <w:rPr>
          <w:rFonts w:ascii="Times New Roman" w:hAnsi="Times New Roman"/>
          <w:sz w:val="24"/>
          <w:szCs w:val="24"/>
        </w:rPr>
        <w:t>у</w:t>
      </w:r>
      <w:r w:rsidR="00194AAC" w:rsidRPr="006155DC">
        <w:rPr>
          <w:rFonts w:ascii="Times New Roman" w:hAnsi="Times New Roman"/>
          <w:sz w:val="24"/>
          <w:szCs w:val="24"/>
        </w:rPr>
        <w:t xml:space="preserve"> </w:t>
      </w:r>
      <w:r w:rsidRPr="006155DC">
        <w:rPr>
          <w:rFonts w:ascii="Times New Roman" w:hAnsi="Times New Roman"/>
          <w:sz w:val="24"/>
          <w:szCs w:val="24"/>
        </w:rPr>
        <w:t>приходе</w:t>
      </w:r>
      <w:r w:rsidR="00194AAC" w:rsidRPr="006155DC">
        <w:rPr>
          <w:rFonts w:ascii="Times New Roman" w:hAnsi="Times New Roman"/>
          <w:sz w:val="24"/>
          <w:szCs w:val="24"/>
        </w:rPr>
        <w:t xml:space="preserve"> </w:t>
      </w:r>
      <w:r w:rsidRPr="006155DC">
        <w:rPr>
          <w:rFonts w:ascii="Times New Roman" w:hAnsi="Times New Roman"/>
          <w:sz w:val="24"/>
          <w:szCs w:val="24"/>
        </w:rPr>
        <w:t>пореског</w:t>
      </w:r>
      <w:r w:rsidR="00194AAC" w:rsidRPr="006155DC">
        <w:rPr>
          <w:rFonts w:ascii="Times New Roman" w:hAnsi="Times New Roman"/>
          <w:sz w:val="24"/>
          <w:szCs w:val="24"/>
        </w:rPr>
        <w:t xml:space="preserve"> </w:t>
      </w:r>
      <w:r w:rsidRPr="006155DC">
        <w:rPr>
          <w:rFonts w:ascii="Times New Roman" w:hAnsi="Times New Roman"/>
          <w:sz w:val="24"/>
          <w:szCs w:val="24"/>
        </w:rPr>
        <w:t>обвезника</w:t>
      </w:r>
      <w:r w:rsidR="00194AAC" w:rsidRPr="006155DC">
        <w:rPr>
          <w:rFonts w:ascii="Times New Roman" w:hAnsi="Times New Roman"/>
          <w:sz w:val="24"/>
          <w:szCs w:val="24"/>
        </w:rPr>
        <w:t>.</w:t>
      </w:r>
      <w:r w:rsidR="00BD4494" w:rsidRPr="006155DC">
        <w:rPr>
          <w:rFonts w:ascii="Times New Roman" w:hAnsi="Times New Roman"/>
          <w:sz w:val="24"/>
          <w:szCs w:val="24"/>
          <w:lang w:val="sr-Cyrl-CS"/>
        </w:rPr>
        <w:t xml:space="preserve"> </w:t>
      </w:r>
      <w:r w:rsidRPr="006155DC">
        <w:rPr>
          <w:rFonts w:ascii="Times New Roman" w:hAnsi="Times New Roman"/>
          <w:sz w:val="24"/>
          <w:szCs w:val="24"/>
        </w:rPr>
        <w:t>Сва</w:t>
      </w:r>
      <w:r w:rsidR="00194AAC" w:rsidRPr="006155DC">
        <w:rPr>
          <w:rFonts w:ascii="Times New Roman" w:hAnsi="Times New Roman"/>
          <w:sz w:val="24"/>
          <w:szCs w:val="24"/>
        </w:rPr>
        <w:t xml:space="preserve"> </w:t>
      </w:r>
      <w:r w:rsidRPr="006155DC">
        <w:rPr>
          <w:rFonts w:ascii="Times New Roman" w:hAnsi="Times New Roman"/>
          <w:sz w:val="24"/>
          <w:szCs w:val="24"/>
        </w:rPr>
        <w:t>отписана</w:t>
      </w:r>
      <w:r w:rsidR="00194AAC" w:rsidRPr="006155DC">
        <w:rPr>
          <w:rFonts w:ascii="Times New Roman" w:hAnsi="Times New Roman"/>
          <w:sz w:val="24"/>
          <w:szCs w:val="24"/>
        </w:rPr>
        <w:t xml:space="preserve">, </w:t>
      </w:r>
      <w:r w:rsidRPr="006155DC">
        <w:rPr>
          <w:rFonts w:ascii="Times New Roman" w:hAnsi="Times New Roman"/>
          <w:sz w:val="24"/>
          <w:szCs w:val="24"/>
        </w:rPr>
        <w:t>исправљена</w:t>
      </w:r>
      <w:r w:rsidR="00194AAC" w:rsidRPr="006155DC">
        <w:rPr>
          <w:rFonts w:ascii="Times New Roman" w:hAnsi="Times New Roman"/>
          <w:sz w:val="24"/>
          <w:szCs w:val="24"/>
        </w:rPr>
        <w:t xml:space="preserve"> </w:t>
      </w:r>
      <w:r w:rsidRPr="006155DC">
        <w:rPr>
          <w:rFonts w:ascii="Times New Roman" w:hAnsi="Times New Roman"/>
          <w:sz w:val="24"/>
          <w:szCs w:val="24"/>
        </w:rPr>
        <w:t>и</w:t>
      </w:r>
      <w:r w:rsidR="00194AAC" w:rsidRPr="006155DC">
        <w:rPr>
          <w:rFonts w:ascii="Times New Roman" w:hAnsi="Times New Roman"/>
          <w:sz w:val="24"/>
          <w:szCs w:val="24"/>
        </w:rPr>
        <w:t xml:space="preserve"> </w:t>
      </w:r>
      <w:r w:rsidRPr="006155DC">
        <w:rPr>
          <w:rFonts w:ascii="Times New Roman" w:hAnsi="Times New Roman"/>
          <w:sz w:val="24"/>
          <w:szCs w:val="24"/>
        </w:rPr>
        <w:t>друга</w:t>
      </w:r>
      <w:r w:rsidR="00194AAC" w:rsidRPr="006155DC">
        <w:rPr>
          <w:rFonts w:ascii="Times New Roman" w:hAnsi="Times New Roman"/>
          <w:sz w:val="24"/>
          <w:szCs w:val="24"/>
        </w:rPr>
        <w:t xml:space="preserve"> </w:t>
      </w:r>
      <w:r w:rsidRPr="006155DC">
        <w:rPr>
          <w:rFonts w:ascii="Times New Roman" w:hAnsi="Times New Roman"/>
          <w:sz w:val="24"/>
          <w:szCs w:val="24"/>
        </w:rPr>
        <w:t>потраживања</w:t>
      </w:r>
      <w:r w:rsidR="00194AAC" w:rsidRPr="006155DC">
        <w:rPr>
          <w:rFonts w:ascii="Times New Roman" w:hAnsi="Times New Roman"/>
          <w:sz w:val="24"/>
          <w:szCs w:val="24"/>
        </w:rPr>
        <w:t xml:space="preserve"> </w:t>
      </w:r>
      <w:r w:rsidRPr="006155DC">
        <w:rPr>
          <w:rFonts w:ascii="Times New Roman" w:hAnsi="Times New Roman"/>
          <w:sz w:val="24"/>
          <w:szCs w:val="24"/>
        </w:rPr>
        <w:t>која</w:t>
      </w:r>
      <w:r w:rsidR="00194AAC" w:rsidRPr="006155DC">
        <w:rPr>
          <w:rFonts w:ascii="Times New Roman" w:hAnsi="Times New Roman"/>
          <w:sz w:val="24"/>
          <w:szCs w:val="24"/>
        </w:rPr>
        <w:t xml:space="preserve"> </w:t>
      </w:r>
      <w:r w:rsidRPr="006155DC">
        <w:rPr>
          <w:rFonts w:ascii="Times New Roman" w:hAnsi="Times New Roman"/>
          <w:sz w:val="24"/>
          <w:szCs w:val="24"/>
        </w:rPr>
        <w:t>нису</w:t>
      </w:r>
      <w:r w:rsidR="00194AAC" w:rsidRPr="006155DC">
        <w:rPr>
          <w:rFonts w:ascii="Times New Roman" w:hAnsi="Times New Roman"/>
          <w:sz w:val="24"/>
          <w:szCs w:val="24"/>
        </w:rPr>
        <w:t xml:space="preserve"> </w:t>
      </w:r>
      <w:r w:rsidRPr="006155DC">
        <w:rPr>
          <w:rFonts w:ascii="Times New Roman" w:hAnsi="Times New Roman"/>
          <w:sz w:val="24"/>
          <w:szCs w:val="24"/>
        </w:rPr>
        <w:t>призната</w:t>
      </w:r>
      <w:r w:rsidR="00194AAC" w:rsidRPr="006155DC">
        <w:rPr>
          <w:rFonts w:ascii="Times New Roman" w:hAnsi="Times New Roman"/>
          <w:sz w:val="24"/>
          <w:szCs w:val="24"/>
        </w:rPr>
        <w:t xml:space="preserve"> </w:t>
      </w:r>
      <w:r w:rsidRPr="006155DC">
        <w:rPr>
          <w:rFonts w:ascii="Times New Roman" w:hAnsi="Times New Roman"/>
          <w:sz w:val="24"/>
          <w:szCs w:val="24"/>
        </w:rPr>
        <w:t>као</w:t>
      </w:r>
      <w:r w:rsidR="00194AAC" w:rsidRPr="006155DC">
        <w:rPr>
          <w:rFonts w:ascii="Times New Roman" w:hAnsi="Times New Roman"/>
          <w:sz w:val="24"/>
          <w:szCs w:val="24"/>
        </w:rPr>
        <w:t xml:space="preserve"> </w:t>
      </w:r>
      <w:r w:rsidRPr="006155DC">
        <w:rPr>
          <w:rFonts w:ascii="Times New Roman" w:hAnsi="Times New Roman"/>
          <w:sz w:val="24"/>
          <w:szCs w:val="24"/>
        </w:rPr>
        <w:t>расход</w:t>
      </w:r>
      <w:r w:rsidR="00194AAC" w:rsidRPr="006155DC">
        <w:rPr>
          <w:rFonts w:ascii="Times New Roman" w:hAnsi="Times New Roman"/>
          <w:sz w:val="24"/>
          <w:szCs w:val="24"/>
        </w:rPr>
        <w:t xml:space="preserve">, </w:t>
      </w:r>
      <w:r w:rsidRPr="006155DC">
        <w:rPr>
          <w:rFonts w:ascii="Times New Roman" w:hAnsi="Times New Roman"/>
          <w:sz w:val="24"/>
          <w:szCs w:val="24"/>
        </w:rPr>
        <w:t>а</w:t>
      </w:r>
      <w:r w:rsidR="00194AAC" w:rsidRPr="006155DC">
        <w:rPr>
          <w:rFonts w:ascii="Times New Roman" w:hAnsi="Times New Roman"/>
          <w:sz w:val="24"/>
          <w:szCs w:val="24"/>
        </w:rPr>
        <w:t xml:space="preserve"> </w:t>
      </w:r>
      <w:r w:rsidRPr="006155DC">
        <w:rPr>
          <w:rFonts w:ascii="Times New Roman" w:hAnsi="Times New Roman"/>
          <w:sz w:val="24"/>
          <w:szCs w:val="24"/>
        </w:rPr>
        <w:t>која</w:t>
      </w:r>
      <w:r w:rsidR="00194AAC" w:rsidRPr="006155DC">
        <w:rPr>
          <w:rFonts w:ascii="Times New Roman" w:hAnsi="Times New Roman"/>
          <w:sz w:val="24"/>
          <w:szCs w:val="24"/>
        </w:rPr>
        <w:t xml:space="preserve"> </w:t>
      </w:r>
      <w:r w:rsidRPr="006155DC">
        <w:rPr>
          <w:rFonts w:ascii="Times New Roman" w:hAnsi="Times New Roman"/>
          <w:sz w:val="24"/>
          <w:szCs w:val="24"/>
        </w:rPr>
        <w:t>се</w:t>
      </w:r>
      <w:r w:rsidR="00194AAC" w:rsidRPr="006155DC">
        <w:rPr>
          <w:rFonts w:ascii="Times New Roman" w:hAnsi="Times New Roman"/>
          <w:sz w:val="24"/>
          <w:szCs w:val="24"/>
        </w:rPr>
        <w:t xml:space="preserve"> </w:t>
      </w:r>
      <w:r w:rsidRPr="006155DC">
        <w:rPr>
          <w:rFonts w:ascii="Times New Roman" w:hAnsi="Times New Roman"/>
          <w:sz w:val="24"/>
          <w:szCs w:val="24"/>
        </w:rPr>
        <w:t>касније</w:t>
      </w:r>
      <w:r w:rsidR="00194AAC" w:rsidRPr="006155DC">
        <w:rPr>
          <w:rFonts w:ascii="Times New Roman" w:hAnsi="Times New Roman"/>
          <w:sz w:val="24"/>
          <w:szCs w:val="24"/>
        </w:rPr>
        <w:t xml:space="preserve"> </w:t>
      </w:r>
      <w:r w:rsidRPr="006155DC">
        <w:rPr>
          <w:rFonts w:ascii="Times New Roman" w:hAnsi="Times New Roman"/>
          <w:sz w:val="24"/>
          <w:szCs w:val="24"/>
        </w:rPr>
        <w:t>наплате</w:t>
      </w:r>
      <w:r w:rsidR="00194AAC" w:rsidRPr="006155DC">
        <w:rPr>
          <w:rFonts w:ascii="Times New Roman" w:hAnsi="Times New Roman"/>
          <w:sz w:val="24"/>
          <w:szCs w:val="24"/>
        </w:rPr>
        <w:t xml:space="preserve">, </w:t>
      </w:r>
      <w:r w:rsidRPr="006155DC">
        <w:rPr>
          <w:rFonts w:ascii="Times New Roman" w:hAnsi="Times New Roman"/>
          <w:sz w:val="24"/>
          <w:szCs w:val="24"/>
        </w:rPr>
        <w:t>у</w:t>
      </w:r>
      <w:r w:rsidR="00194AAC" w:rsidRPr="006155DC">
        <w:rPr>
          <w:rFonts w:ascii="Times New Roman" w:hAnsi="Times New Roman"/>
          <w:sz w:val="24"/>
          <w:szCs w:val="24"/>
        </w:rPr>
        <w:t xml:space="preserve"> </w:t>
      </w:r>
      <w:r w:rsidRPr="006155DC">
        <w:rPr>
          <w:rFonts w:ascii="Times New Roman" w:hAnsi="Times New Roman"/>
          <w:sz w:val="24"/>
          <w:szCs w:val="24"/>
        </w:rPr>
        <w:t>моменту</w:t>
      </w:r>
      <w:r w:rsidR="00194AAC" w:rsidRPr="006155DC">
        <w:rPr>
          <w:rFonts w:ascii="Times New Roman" w:hAnsi="Times New Roman"/>
          <w:sz w:val="24"/>
          <w:szCs w:val="24"/>
        </w:rPr>
        <w:t xml:space="preserve"> </w:t>
      </w:r>
      <w:r w:rsidRPr="006155DC">
        <w:rPr>
          <w:rFonts w:ascii="Times New Roman" w:hAnsi="Times New Roman"/>
          <w:sz w:val="24"/>
          <w:szCs w:val="24"/>
        </w:rPr>
        <w:t>наплате</w:t>
      </w:r>
      <w:r w:rsidR="00194AAC" w:rsidRPr="006155DC">
        <w:rPr>
          <w:rFonts w:ascii="Times New Roman" w:hAnsi="Times New Roman"/>
          <w:sz w:val="24"/>
          <w:szCs w:val="24"/>
        </w:rPr>
        <w:t xml:space="preserve"> </w:t>
      </w:r>
      <w:r w:rsidRPr="006155DC">
        <w:rPr>
          <w:rFonts w:ascii="Times New Roman" w:hAnsi="Times New Roman"/>
          <w:sz w:val="24"/>
          <w:szCs w:val="24"/>
        </w:rPr>
        <w:t>не</w:t>
      </w:r>
      <w:r w:rsidR="00194AAC" w:rsidRPr="006155DC">
        <w:rPr>
          <w:rFonts w:ascii="Times New Roman" w:hAnsi="Times New Roman"/>
          <w:sz w:val="24"/>
          <w:szCs w:val="24"/>
        </w:rPr>
        <w:t xml:space="preserve"> </w:t>
      </w:r>
      <w:r w:rsidRPr="006155DC">
        <w:rPr>
          <w:rFonts w:ascii="Times New Roman" w:hAnsi="Times New Roman"/>
          <w:sz w:val="24"/>
          <w:szCs w:val="24"/>
        </w:rPr>
        <w:t>улазе</w:t>
      </w:r>
      <w:r w:rsidR="00194AAC" w:rsidRPr="006155DC">
        <w:rPr>
          <w:rFonts w:ascii="Times New Roman" w:hAnsi="Times New Roman"/>
          <w:sz w:val="24"/>
          <w:szCs w:val="24"/>
        </w:rPr>
        <w:t xml:space="preserve"> </w:t>
      </w:r>
      <w:r w:rsidRPr="006155DC">
        <w:rPr>
          <w:rFonts w:ascii="Times New Roman" w:hAnsi="Times New Roman"/>
          <w:sz w:val="24"/>
          <w:szCs w:val="24"/>
        </w:rPr>
        <w:t>у</w:t>
      </w:r>
      <w:r w:rsidR="00194AAC" w:rsidRPr="006155DC">
        <w:rPr>
          <w:rFonts w:ascii="Times New Roman" w:hAnsi="Times New Roman"/>
          <w:sz w:val="24"/>
          <w:szCs w:val="24"/>
        </w:rPr>
        <w:t xml:space="preserve"> </w:t>
      </w:r>
      <w:r w:rsidRPr="006155DC">
        <w:rPr>
          <w:rFonts w:ascii="Times New Roman" w:hAnsi="Times New Roman"/>
          <w:sz w:val="24"/>
          <w:szCs w:val="24"/>
        </w:rPr>
        <w:t>приходе</w:t>
      </w:r>
      <w:r w:rsidR="00194AAC" w:rsidRPr="006155DC">
        <w:rPr>
          <w:rFonts w:ascii="Times New Roman" w:hAnsi="Times New Roman"/>
          <w:sz w:val="24"/>
          <w:szCs w:val="24"/>
        </w:rPr>
        <w:t xml:space="preserve"> </w:t>
      </w:r>
      <w:r w:rsidRPr="006155DC">
        <w:rPr>
          <w:rFonts w:ascii="Times New Roman" w:hAnsi="Times New Roman"/>
          <w:sz w:val="24"/>
          <w:szCs w:val="24"/>
        </w:rPr>
        <w:t>пореског</w:t>
      </w:r>
      <w:r w:rsidR="00194AAC" w:rsidRPr="006155DC">
        <w:rPr>
          <w:rFonts w:ascii="Times New Roman" w:hAnsi="Times New Roman"/>
          <w:sz w:val="24"/>
          <w:szCs w:val="24"/>
        </w:rPr>
        <w:t xml:space="preserve"> </w:t>
      </w:r>
      <w:r w:rsidRPr="006155DC">
        <w:rPr>
          <w:rFonts w:ascii="Times New Roman" w:hAnsi="Times New Roman"/>
          <w:sz w:val="24"/>
          <w:szCs w:val="24"/>
        </w:rPr>
        <w:t>обвезника</w:t>
      </w:r>
      <w:r w:rsidR="00194AAC" w:rsidRPr="006155DC">
        <w:rPr>
          <w:rFonts w:ascii="Times New Roman" w:hAnsi="Times New Roman"/>
          <w:sz w:val="24"/>
          <w:szCs w:val="24"/>
        </w:rPr>
        <w:t>.</w:t>
      </w:r>
      <w:r w:rsidR="00194AAC" w:rsidRPr="006155DC">
        <w:rPr>
          <w:rStyle w:val="FootnoteReference"/>
          <w:rFonts w:ascii="Times New Roman" w:hAnsi="Times New Roman"/>
          <w:color w:val="000000"/>
          <w:sz w:val="24"/>
          <w:szCs w:val="24"/>
        </w:rPr>
        <w:footnoteReference w:id="290"/>
      </w:r>
      <w:r w:rsidR="006155DC">
        <w:rPr>
          <w:rFonts w:ascii="Times New Roman" w:hAnsi="Times New Roman"/>
          <w:sz w:val="24"/>
          <w:szCs w:val="24"/>
        </w:rPr>
        <w:t xml:space="preserve"> </w:t>
      </w:r>
    </w:p>
    <w:p w:rsidR="00DF4B9E" w:rsidRPr="00392AAA" w:rsidRDefault="00295F6A" w:rsidP="006155DC">
      <w:pPr>
        <w:ind w:firstLine="708"/>
        <w:jc w:val="both"/>
        <w:rPr>
          <w:rFonts w:ascii="Times New Roman" w:hAnsi="Times New Roman"/>
          <w:sz w:val="24"/>
          <w:szCs w:val="24"/>
          <w:lang w:val="sr-Cyrl-CS"/>
        </w:rPr>
      </w:pPr>
      <w:r w:rsidRPr="006155DC">
        <w:rPr>
          <w:rFonts w:ascii="Times New Roman" w:hAnsi="Times New Roman"/>
          <w:bCs/>
          <w:sz w:val="24"/>
          <w:szCs w:val="24"/>
          <w:lang w:val="sr-Cyrl-CS"/>
        </w:rPr>
        <w:t xml:space="preserve">До законите евазије пореза на добит правних лица може доћи и коришћењем могућности преношења губитака. </w:t>
      </w:r>
      <w:r w:rsidR="0094429D" w:rsidRPr="006155DC">
        <w:rPr>
          <w:rFonts w:ascii="Times New Roman" w:hAnsi="Times New Roman"/>
          <w:sz w:val="24"/>
          <w:szCs w:val="24"/>
        </w:rPr>
        <w:t>Губици</w:t>
      </w:r>
      <w:r w:rsidRPr="006155DC">
        <w:rPr>
          <w:rFonts w:ascii="Times New Roman" w:hAnsi="Times New Roman"/>
          <w:sz w:val="24"/>
          <w:szCs w:val="24"/>
        </w:rPr>
        <w:t xml:space="preserve"> </w:t>
      </w:r>
      <w:r w:rsidR="0094429D" w:rsidRPr="006155DC">
        <w:rPr>
          <w:rFonts w:ascii="Times New Roman" w:hAnsi="Times New Roman"/>
          <w:sz w:val="24"/>
          <w:szCs w:val="24"/>
        </w:rPr>
        <w:t>остварени</w:t>
      </w:r>
      <w:r w:rsidRPr="006155DC">
        <w:rPr>
          <w:rFonts w:ascii="Times New Roman" w:hAnsi="Times New Roman"/>
          <w:sz w:val="24"/>
          <w:szCs w:val="24"/>
        </w:rPr>
        <w:t xml:space="preserve"> </w:t>
      </w:r>
      <w:r w:rsidR="0094429D" w:rsidRPr="006155DC">
        <w:rPr>
          <w:rFonts w:ascii="Times New Roman" w:hAnsi="Times New Roman"/>
          <w:sz w:val="24"/>
          <w:szCs w:val="24"/>
        </w:rPr>
        <w:t>из</w:t>
      </w:r>
      <w:r w:rsidRPr="006155DC">
        <w:rPr>
          <w:rFonts w:ascii="Times New Roman" w:hAnsi="Times New Roman"/>
          <w:sz w:val="24"/>
          <w:szCs w:val="24"/>
        </w:rPr>
        <w:t xml:space="preserve"> </w:t>
      </w:r>
      <w:r w:rsidR="0094429D" w:rsidRPr="006155DC">
        <w:rPr>
          <w:rFonts w:ascii="Times New Roman" w:hAnsi="Times New Roman"/>
          <w:sz w:val="24"/>
          <w:szCs w:val="24"/>
        </w:rPr>
        <w:t>пословних</w:t>
      </w:r>
      <w:r w:rsidRPr="006155DC">
        <w:rPr>
          <w:rFonts w:ascii="Times New Roman" w:hAnsi="Times New Roman"/>
          <w:sz w:val="24"/>
          <w:szCs w:val="24"/>
        </w:rPr>
        <w:t xml:space="preserve">, </w:t>
      </w:r>
      <w:r w:rsidR="0094429D" w:rsidRPr="006155DC">
        <w:rPr>
          <w:rFonts w:ascii="Times New Roman" w:hAnsi="Times New Roman"/>
          <w:sz w:val="24"/>
          <w:szCs w:val="24"/>
        </w:rPr>
        <w:t>финансијских</w:t>
      </w:r>
      <w:r w:rsidRPr="006155DC">
        <w:rPr>
          <w:rFonts w:ascii="Times New Roman" w:hAnsi="Times New Roman"/>
          <w:sz w:val="24"/>
          <w:szCs w:val="24"/>
        </w:rPr>
        <w:t xml:space="preserve"> </w:t>
      </w:r>
      <w:r w:rsidR="0094429D" w:rsidRPr="006155DC">
        <w:rPr>
          <w:rFonts w:ascii="Times New Roman" w:hAnsi="Times New Roman"/>
          <w:sz w:val="24"/>
          <w:szCs w:val="24"/>
        </w:rPr>
        <w:t>и</w:t>
      </w:r>
      <w:r w:rsidRPr="006155DC">
        <w:rPr>
          <w:rFonts w:ascii="Times New Roman" w:hAnsi="Times New Roman"/>
          <w:sz w:val="24"/>
          <w:szCs w:val="24"/>
        </w:rPr>
        <w:t xml:space="preserve"> </w:t>
      </w:r>
      <w:r w:rsidR="0094429D" w:rsidRPr="006155DC">
        <w:rPr>
          <w:rFonts w:ascii="Times New Roman" w:hAnsi="Times New Roman"/>
          <w:sz w:val="24"/>
          <w:szCs w:val="24"/>
        </w:rPr>
        <w:t>непословних</w:t>
      </w:r>
      <w:r w:rsidRPr="006155DC">
        <w:rPr>
          <w:rFonts w:ascii="Times New Roman" w:hAnsi="Times New Roman"/>
          <w:sz w:val="24"/>
          <w:szCs w:val="24"/>
        </w:rPr>
        <w:t xml:space="preserve"> </w:t>
      </w:r>
      <w:r w:rsidR="0094429D" w:rsidRPr="006155DC">
        <w:rPr>
          <w:rFonts w:ascii="Times New Roman" w:hAnsi="Times New Roman"/>
          <w:sz w:val="24"/>
          <w:szCs w:val="24"/>
        </w:rPr>
        <w:t>трансакција</w:t>
      </w:r>
      <w:r w:rsidRPr="006155DC">
        <w:rPr>
          <w:rFonts w:ascii="Times New Roman" w:hAnsi="Times New Roman"/>
          <w:sz w:val="24"/>
          <w:szCs w:val="24"/>
        </w:rPr>
        <w:t xml:space="preserve">, </w:t>
      </w:r>
      <w:r w:rsidR="0094429D" w:rsidRPr="006155DC">
        <w:rPr>
          <w:rFonts w:ascii="Times New Roman" w:hAnsi="Times New Roman"/>
          <w:sz w:val="24"/>
          <w:szCs w:val="24"/>
        </w:rPr>
        <w:t>утврђени</w:t>
      </w:r>
      <w:r w:rsidRPr="006155DC">
        <w:rPr>
          <w:rFonts w:ascii="Times New Roman" w:hAnsi="Times New Roman"/>
          <w:sz w:val="24"/>
          <w:szCs w:val="24"/>
        </w:rPr>
        <w:t xml:space="preserve"> </w:t>
      </w:r>
      <w:r w:rsidR="0094429D" w:rsidRPr="006155DC">
        <w:rPr>
          <w:rFonts w:ascii="Times New Roman" w:hAnsi="Times New Roman"/>
          <w:sz w:val="24"/>
          <w:szCs w:val="24"/>
        </w:rPr>
        <w:t>у</w:t>
      </w:r>
      <w:r w:rsidRPr="006155DC">
        <w:rPr>
          <w:rFonts w:ascii="Times New Roman" w:hAnsi="Times New Roman"/>
          <w:sz w:val="24"/>
          <w:szCs w:val="24"/>
        </w:rPr>
        <w:t xml:space="preserve"> </w:t>
      </w:r>
      <w:r w:rsidR="0094429D" w:rsidRPr="006155DC">
        <w:rPr>
          <w:rFonts w:ascii="Times New Roman" w:hAnsi="Times New Roman"/>
          <w:sz w:val="24"/>
          <w:szCs w:val="24"/>
        </w:rPr>
        <w:t>пореском</w:t>
      </w:r>
      <w:r w:rsidRPr="006155DC">
        <w:rPr>
          <w:rFonts w:ascii="Times New Roman" w:hAnsi="Times New Roman"/>
          <w:sz w:val="24"/>
          <w:szCs w:val="24"/>
        </w:rPr>
        <w:t xml:space="preserve"> </w:t>
      </w:r>
      <w:r w:rsidR="0094429D" w:rsidRPr="006155DC">
        <w:rPr>
          <w:rFonts w:ascii="Times New Roman" w:hAnsi="Times New Roman"/>
          <w:sz w:val="24"/>
          <w:szCs w:val="24"/>
        </w:rPr>
        <w:t>билансу</w:t>
      </w:r>
      <w:r w:rsidRPr="006155DC">
        <w:rPr>
          <w:rFonts w:ascii="Times New Roman" w:hAnsi="Times New Roman"/>
          <w:sz w:val="24"/>
          <w:szCs w:val="24"/>
        </w:rPr>
        <w:t xml:space="preserve">, </w:t>
      </w:r>
      <w:r w:rsidR="0094429D" w:rsidRPr="006155DC">
        <w:rPr>
          <w:rFonts w:ascii="Times New Roman" w:hAnsi="Times New Roman"/>
          <w:sz w:val="24"/>
          <w:szCs w:val="24"/>
        </w:rPr>
        <w:t>изузев</w:t>
      </w:r>
      <w:r w:rsidRPr="006155DC">
        <w:rPr>
          <w:rFonts w:ascii="Times New Roman" w:hAnsi="Times New Roman"/>
          <w:sz w:val="24"/>
          <w:szCs w:val="24"/>
        </w:rPr>
        <w:t xml:space="preserve"> </w:t>
      </w:r>
      <w:r w:rsidR="0094429D" w:rsidRPr="006155DC">
        <w:rPr>
          <w:rFonts w:ascii="Times New Roman" w:hAnsi="Times New Roman"/>
          <w:sz w:val="24"/>
          <w:szCs w:val="24"/>
        </w:rPr>
        <w:t>оних</w:t>
      </w:r>
      <w:r w:rsidRPr="006155DC">
        <w:rPr>
          <w:rFonts w:ascii="Times New Roman" w:hAnsi="Times New Roman"/>
          <w:sz w:val="24"/>
          <w:szCs w:val="24"/>
        </w:rPr>
        <w:t xml:space="preserve"> </w:t>
      </w:r>
      <w:r w:rsidR="0094429D" w:rsidRPr="006155DC">
        <w:rPr>
          <w:rFonts w:ascii="Times New Roman" w:hAnsi="Times New Roman"/>
          <w:sz w:val="24"/>
          <w:szCs w:val="24"/>
        </w:rPr>
        <w:t>из</w:t>
      </w:r>
      <w:r w:rsidRPr="006155DC">
        <w:rPr>
          <w:rFonts w:ascii="Times New Roman" w:hAnsi="Times New Roman"/>
          <w:sz w:val="24"/>
          <w:szCs w:val="24"/>
        </w:rPr>
        <w:t xml:space="preserve"> </w:t>
      </w:r>
      <w:r w:rsidR="0094429D" w:rsidRPr="006155DC">
        <w:rPr>
          <w:rFonts w:ascii="Times New Roman" w:hAnsi="Times New Roman"/>
          <w:sz w:val="24"/>
          <w:szCs w:val="24"/>
        </w:rPr>
        <w:t>којих</w:t>
      </w:r>
      <w:r w:rsidRPr="006155DC">
        <w:rPr>
          <w:rFonts w:ascii="Times New Roman" w:hAnsi="Times New Roman"/>
          <w:sz w:val="24"/>
          <w:szCs w:val="24"/>
        </w:rPr>
        <w:t xml:space="preserve"> </w:t>
      </w:r>
      <w:r w:rsidR="0094429D" w:rsidRPr="006155DC">
        <w:rPr>
          <w:rFonts w:ascii="Times New Roman" w:hAnsi="Times New Roman"/>
          <w:sz w:val="24"/>
          <w:szCs w:val="24"/>
        </w:rPr>
        <w:t>произлазе</w:t>
      </w:r>
      <w:r w:rsidRPr="006155DC">
        <w:rPr>
          <w:rFonts w:ascii="Times New Roman" w:hAnsi="Times New Roman"/>
          <w:sz w:val="24"/>
          <w:szCs w:val="24"/>
        </w:rPr>
        <w:t xml:space="preserve"> </w:t>
      </w:r>
      <w:r w:rsidR="0094429D" w:rsidRPr="006155DC">
        <w:rPr>
          <w:rFonts w:ascii="Times New Roman" w:hAnsi="Times New Roman"/>
          <w:sz w:val="24"/>
          <w:szCs w:val="24"/>
        </w:rPr>
        <w:t>капитални</w:t>
      </w:r>
      <w:r w:rsidRPr="006155DC">
        <w:rPr>
          <w:rFonts w:ascii="Times New Roman" w:hAnsi="Times New Roman"/>
          <w:sz w:val="24"/>
          <w:szCs w:val="24"/>
        </w:rPr>
        <w:t xml:space="preserve"> </w:t>
      </w:r>
      <w:r w:rsidR="0094429D" w:rsidRPr="006155DC">
        <w:rPr>
          <w:rFonts w:ascii="Times New Roman" w:hAnsi="Times New Roman"/>
          <w:sz w:val="24"/>
          <w:szCs w:val="24"/>
        </w:rPr>
        <w:t>добици</w:t>
      </w:r>
      <w:r w:rsidRPr="006155DC">
        <w:rPr>
          <w:rFonts w:ascii="Times New Roman" w:hAnsi="Times New Roman"/>
          <w:sz w:val="24"/>
          <w:szCs w:val="24"/>
        </w:rPr>
        <w:t xml:space="preserve"> </w:t>
      </w:r>
      <w:r w:rsidR="0094429D" w:rsidRPr="006155DC">
        <w:rPr>
          <w:rFonts w:ascii="Times New Roman" w:hAnsi="Times New Roman"/>
          <w:sz w:val="24"/>
          <w:szCs w:val="24"/>
        </w:rPr>
        <w:t>и</w:t>
      </w:r>
      <w:r w:rsidRPr="006155DC">
        <w:rPr>
          <w:rFonts w:ascii="Times New Roman" w:hAnsi="Times New Roman"/>
          <w:sz w:val="24"/>
          <w:szCs w:val="24"/>
        </w:rPr>
        <w:t xml:space="preserve"> </w:t>
      </w:r>
      <w:r w:rsidR="0094429D" w:rsidRPr="006155DC">
        <w:rPr>
          <w:rFonts w:ascii="Times New Roman" w:hAnsi="Times New Roman"/>
          <w:sz w:val="24"/>
          <w:szCs w:val="24"/>
        </w:rPr>
        <w:t>губици</w:t>
      </w:r>
      <w:r w:rsidRPr="006155DC">
        <w:rPr>
          <w:rFonts w:ascii="Times New Roman" w:hAnsi="Times New Roman"/>
          <w:sz w:val="24"/>
          <w:szCs w:val="24"/>
        </w:rPr>
        <w:t xml:space="preserve"> </w:t>
      </w:r>
      <w:r w:rsidR="0094429D" w:rsidRPr="006155DC">
        <w:rPr>
          <w:rFonts w:ascii="Times New Roman" w:hAnsi="Times New Roman"/>
          <w:sz w:val="24"/>
          <w:szCs w:val="24"/>
        </w:rPr>
        <w:t>утврђени</w:t>
      </w:r>
      <w:r w:rsidRPr="006155DC">
        <w:rPr>
          <w:rFonts w:ascii="Times New Roman" w:hAnsi="Times New Roman"/>
          <w:sz w:val="24"/>
          <w:szCs w:val="24"/>
        </w:rPr>
        <w:t xml:space="preserve"> </w:t>
      </w:r>
      <w:r w:rsidR="0094429D" w:rsidRPr="006155DC">
        <w:rPr>
          <w:rFonts w:ascii="Times New Roman" w:hAnsi="Times New Roman"/>
          <w:sz w:val="24"/>
          <w:szCs w:val="24"/>
        </w:rPr>
        <w:t>у</w:t>
      </w:r>
      <w:r w:rsidRPr="006155DC">
        <w:rPr>
          <w:rFonts w:ascii="Times New Roman" w:hAnsi="Times New Roman"/>
          <w:sz w:val="24"/>
          <w:szCs w:val="24"/>
        </w:rPr>
        <w:t xml:space="preserve"> </w:t>
      </w:r>
      <w:r w:rsidR="0094429D" w:rsidRPr="006155DC">
        <w:rPr>
          <w:rFonts w:ascii="Times New Roman" w:hAnsi="Times New Roman"/>
          <w:sz w:val="24"/>
          <w:szCs w:val="24"/>
        </w:rPr>
        <w:t>складу</w:t>
      </w:r>
      <w:r w:rsidRPr="006155DC">
        <w:rPr>
          <w:rFonts w:ascii="Times New Roman" w:hAnsi="Times New Roman"/>
          <w:sz w:val="24"/>
          <w:szCs w:val="24"/>
        </w:rPr>
        <w:t xml:space="preserve"> </w:t>
      </w:r>
      <w:r w:rsidR="0094429D" w:rsidRPr="006155DC">
        <w:rPr>
          <w:rFonts w:ascii="Times New Roman" w:hAnsi="Times New Roman"/>
          <w:sz w:val="24"/>
          <w:szCs w:val="24"/>
        </w:rPr>
        <w:t>са</w:t>
      </w:r>
      <w:r w:rsidRPr="006155DC">
        <w:rPr>
          <w:rFonts w:ascii="Times New Roman" w:hAnsi="Times New Roman"/>
          <w:sz w:val="24"/>
          <w:szCs w:val="24"/>
        </w:rPr>
        <w:t xml:space="preserve"> </w:t>
      </w:r>
      <w:r w:rsidR="0094429D" w:rsidRPr="006155DC">
        <w:rPr>
          <w:rFonts w:ascii="Times New Roman" w:hAnsi="Times New Roman"/>
          <w:sz w:val="24"/>
          <w:szCs w:val="24"/>
        </w:rPr>
        <w:t>овим</w:t>
      </w:r>
      <w:r w:rsidRPr="006155DC">
        <w:rPr>
          <w:rFonts w:ascii="Times New Roman" w:hAnsi="Times New Roman"/>
          <w:sz w:val="24"/>
          <w:szCs w:val="24"/>
        </w:rPr>
        <w:t xml:space="preserve"> </w:t>
      </w:r>
      <w:r w:rsidR="0094429D" w:rsidRPr="006155DC">
        <w:rPr>
          <w:rFonts w:ascii="Times New Roman" w:hAnsi="Times New Roman"/>
          <w:sz w:val="24"/>
          <w:szCs w:val="24"/>
        </w:rPr>
        <w:t>законом</w:t>
      </w:r>
      <w:r w:rsidRPr="006155DC">
        <w:rPr>
          <w:rFonts w:ascii="Times New Roman" w:hAnsi="Times New Roman"/>
          <w:sz w:val="24"/>
          <w:szCs w:val="24"/>
        </w:rPr>
        <w:t xml:space="preserve">, </w:t>
      </w:r>
      <w:r w:rsidR="0094429D" w:rsidRPr="006155DC">
        <w:rPr>
          <w:rFonts w:ascii="Times New Roman" w:hAnsi="Times New Roman"/>
          <w:sz w:val="24"/>
          <w:szCs w:val="24"/>
        </w:rPr>
        <w:t>могу</w:t>
      </w:r>
      <w:r w:rsidRPr="006155DC">
        <w:rPr>
          <w:rFonts w:ascii="Times New Roman" w:hAnsi="Times New Roman"/>
          <w:sz w:val="24"/>
          <w:szCs w:val="24"/>
        </w:rPr>
        <w:t xml:space="preserve"> </w:t>
      </w:r>
      <w:r w:rsidR="0094429D" w:rsidRPr="006155DC">
        <w:rPr>
          <w:rFonts w:ascii="Times New Roman" w:hAnsi="Times New Roman"/>
          <w:sz w:val="24"/>
          <w:szCs w:val="24"/>
        </w:rPr>
        <w:t>се</w:t>
      </w:r>
      <w:r w:rsidRPr="006155DC">
        <w:rPr>
          <w:rFonts w:ascii="Times New Roman" w:hAnsi="Times New Roman"/>
          <w:sz w:val="24"/>
          <w:szCs w:val="24"/>
        </w:rPr>
        <w:t xml:space="preserve"> </w:t>
      </w:r>
      <w:r w:rsidR="0094429D" w:rsidRPr="006155DC">
        <w:rPr>
          <w:rFonts w:ascii="Times New Roman" w:hAnsi="Times New Roman"/>
          <w:sz w:val="24"/>
          <w:szCs w:val="24"/>
        </w:rPr>
        <w:t>пренети</w:t>
      </w:r>
      <w:r w:rsidRPr="006155DC">
        <w:rPr>
          <w:rFonts w:ascii="Times New Roman" w:hAnsi="Times New Roman"/>
          <w:sz w:val="24"/>
          <w:szCs w:val="24"/>
        </w:rPr>
        <w:t xml:space="preserve"> </w:t>
      </w:r>
      <w:r w:rsidR="0094429D" w:rsidRPr="006155DC">
        <w:rPr>
          <w:rFonts w:ascii="Times New Roman" w:hAnsi="Times New Roman"/>
          <w:sz w:val="24"/>
          <w:szCs w:val="24"/>
        </w:rPr>
        <w:t>на</w:t>
      </w:r>
      <w:r w:rsidRPr="006155DC">
        <w:rPr>
          <w:rFonts w:ascii="Times New Roman" w:hAnsi="Times New Roman"/>
          <w:sz w:val="24"/>
          <w:szCs w:val="24"/>
        </w:rPr>
        <w:t xml:space="preserve"> </w:t>
      </w:r>
      <w:r w:rsidR="0094429D" w:rsidRPr="006155DC">
        <w:rPr>
          <w:rFonts w:ascii="Times New Roman" w:hAnsi="Times New Roman"/>
          <w:sz w:val="24"/>
          <w:szCs w:val="24"/>
        </w:rPr>
        <w:t>рачун</w:t>
      </w:r>
      <w:r w:rsidRPr="006155DC">
        <w:rPr>
          <w:rFonts w:ascii="Times New Roman" w:hAnsi="Times New Roman"/>
          <w:sz w:val="24"/>
          <w:szCs w:val="24"/>
        </w:rPr>
        <w:t xml:space="preserve"> </w:t>
      </w:r>
      <w:r w:rsidR="0094429D" w:rsidRPr="006155DC">
        <w:rPr>
          <w:rFonts w:ascii="Times New Roman" w:hAnsi="Times New Roman"/>
          <w:sz w:val="24"/>
          <w:szCs w:val="24"/>
        </w:rPr>
        <w:t>добити</w:t>
      </w:r>
      <w:r w:rsidRPr="006155DC">
        <w:rPr>
          <w:rFonts w:ascii="Times New Roman" w:hAnsi="Times New Roman"/>
          <w:sz w:val="24"/>
          <w:szCs w:val="24"/>
        </w:rPr>
        <w:t xml:space="preserve"> </w:t>
      </w:r>
      <w:r w:rsidR="0094429D" w:rsidRPr="006155DC">
        <w:rPr>
          <w:rFonts w:ascii="Times New Roman" w:hAnsi="Times New Roman"/>
          <w:sz w:val="24"/>
          <w:szCs w:val="24"/>
        </w:rPr>
        <w:t>утврђене</w:t>
      </w:r>
      <w:r w:rsidRPr="006155DC">
        <w:rPr>
          <w:rFonts w:ascii="Times New Roman" w:hAnsi="Times New Roman"/>
          <w:sz w:val="24"/>
          <w:szCs w:val="24"/>
        </w:rPr>
        <w:t xml:space="preserve"> </w:t>
      </w:r>
      <w:r w:rsidR="0094429D" w:rsidRPr="006155DC">
        <w:rPr>
          <w:rFonts w:ascii="Times New Roman" w:hAnsi="Times New Roman"/>
          <w:sz w:val="24"/>
          <w:szCs w:val="24"/>
        </w:rPr>
        <w:t>у</w:t>
      </w:r>
      <w:r w:rsidRPr="006155DC">
        <w:rPr>
          <w:rFonts w:ascii="Times New Roman" w:hAnsi="Times New Roman"/>
          <w:sz w:val="24"/>
          <w:szCs w:val="24"/>
        </w:rPr>
        <w:t xml:space="preserve"> </w:t>
      </w:r>
      <w:r w:rsidR="0094429D" w:rsidRPr="006155DC">
        <w:rPr>
          <w:rFonts w:ascii="Times New Roman" w:hAnsi="Times New Roman"/>
          <w:sz w:val="24"/>
          <w:szCs w:val="24"/>
        </w:rPr>
        <w:t>годишњем</w:t>
      </w:r>
      <w:r w:rsidRPr="006155DC">
        <w:rPr>
          <w:rFonts w:ascii="Times New Roman" w:hAnsi="Times New Roman"/>
          <w:sz w:val="24"/>
          <w:szCs w:val="24"/>
        </w:rPr>
        <w:t xml:space="preserve"> </w:t>
      </w:r>
      <w:r w:rsidR="0094429D" w:rsidRPr="006155DC">
        <w:rPr>
          <w:rFonts w:ascii="Times New Roman" w:hAnsi="Times New Roman"/>
          <w:sz w:val="24"/>
          <w:szCs w:val="24"/>
        </w:rPr>
        <w:t>пореском</w:t>
      </w:r>
      <w:r w:rsidRPr="006155DC">
        <w:rPr>
          <w:rFonts w:ascii="Times New Roman" w:hAnsi="Times New Roman"/>
          <w:sz w:val="24"/>
          <w:szCs w:val="24"/>
        </w:rPr>
        <w:t xml:space="preserve"> </w:t>
      </w:r>
      <w:r w:rsidR="0094429D" w:rsidRPr="006155DC">
        <w:rPr>
          <w:rFonts w:ascii="Times New Roman" w:hAnsi="Times New Roman"/>
          <w:sz w:val="24"/>
          <w:szCs w:val="24"/>
        </w:rPr>
        <w:t>билансу</w:t>
      </w:r>
      <w:r w:rsidRPr="006155DC">
        <w:rPr>
          <w:rFonts w:ascii="Times New Roman" w:hAnsi="Times New Roman"/>
          <w:sz w:val="24"/>
          <w:szCs w:val="24"/>
        </w:rPr>
        <w:t xml:space="preserve"> </w:t>
      </w:r>
      <w:r w:rsidR="0094429D" w:rsidRPr="006155DC">
        <w:rPr>
          <w:rFonts w:ascii="Times New Roman" w:hAnsi="Times New Roman"/>
          <w:sz w:val="24"/>
          <w:szCs w:val="24"/>
        </w:rPr>
        <w:t>из</w:t>
      </w:r>
      <w:r w:rsidRPr="006155DC">
        <w:rPr>
          <w:rFonts w:ascii="Times New Roman" w:hAnsi="Times New Roman"/>
          <w:sz w:val="24"/>
          <w:szCs w:val="24"/>
        </w:rPr>
        <w:t xml:space="preserve"> </w:t>
      </w:r>
      <w:r w:rsidR="0094429D" w:rsidRPr="006155DC">
        <w:rPr>
          <w:rFonts w:ascii="Times New Roman" w:hAnsi="Times New Roman"/>
          <w:sz w:val="24"/>
          <w:szCs w:val="24"/>
        </w:rPr>
        <w:t>будућих</w:t>
      </w:r>
      <w:r w:rsidRPr="006155DC">
        <w:rPr>
          <w:rFonts w:ascii="Times New Roman" w:hAnsi="Times New Roman"/>
          <w:sz w:val="24"/>
          <w:szCs w:val="24"/>
        </w:rPr>
        <w:t xml:space="preserve"> </w:t>
      </w:r>
      <w:r w:rsidR="0094429D" w:rsidRPr="006155DC">
        <w:rPr>
          <w:rFonts w:ascii="Times New Roman" w:hAnsi="Times New Roman"/>
          <w:sz w:val="24"/>
          <w:szCs w:val="24"/>
        </w:rPr>
        <w:t>обрачунских</w:t>
      </w:r>
      <w:r w:rsidRPr="006155DC">
        <w:rPr>
          <w:rFonts w:ascii="Times New Roman" w:hAnsi="Times New Roman"/>
          <w:sz w:val="24"/>
          <w:szCs w:val="24"/>
        </w:rPr>
        <w:t xml:space="preserve"> </w:t>
      </w:r>
      <w:r w:rsidR="0094429D" w:rsidRPr="006155DC">
        <w:rPr>
          <w:rFonts w:ascii="Times New Roman" w:hAnsi="Times New Roman"/>
          <w:sz w:val="24"/>
          <w:szCs w:val="24"/>
        </w:rPr>
        <w:t>периода</w:t>
      </w:r>
      <w:r w:rsidRPr="006155DC">
        <w:rPr>
          <w:rFonts w:ascii="Times New Roman" w:hAnsi="Times New Roman"/>
          <w:sz w:val="24"/>
          <w:szCs w:val="24"/>
        </w:rPr>
        <w:t xml:space="preserve">, </w:t>
      </w:r>
      <w:r w:rsidR="0094429D" w:rsidRPr="006155DC">
        <w:rPr>
          <w:rFonts w:ascii="Times New Roman" w:hAnsi="Times New Roman"/>
          <w:sz w:val="24"/>
          <w:szCs w:val="24"/>
        </w:rPr>
        <w:t>али</w:t>
      </w:r>
      <w:r w:rsidRPr="006155DC">
        <w:rPr>
          <w:rFonts w:ascii="Times New Roman" w:hAnsi="Times New Roman"/>
          <w:sz w:val="24"/>
          <w:szCs w:val="24"/>
        </w:rPr>
        <w:t xml:space="preserve"> </w:t>
      </w:r>
      <w:r w:rsidR="0094429D" w:rsidRPr="006155DC">
        <w:rPr>
          <w:rFonts w:ascii="Times New Roman" w:hAnsi="Times New Roman"/>
          <w:sz w:val="24"/>
          <w:szCs w:val="24"/>
        </w:rPr>
        <w:t>не</w:t>
      </w:r>
      <w:r w:rsidRPr="006155DC">
        <w:rPr>
          <w:rFonts w:ascii="Times New Roman" w:hAnsi="Times New Roman"/>
          <w:sz w:val="24"/>
          <w:szCs w:val="24"/>
        </w:rPr>
        <w:t xml:space="preserve"> </w:t>
      </w:r>
      <w:r w:rsidR="0094429D" w:rsidRPr="006155DC">
        <w:rPr>
          <w:rFonts w:ascii="Times New Roman" w:hAnsi="Times New Roman"/>
          <w:sz w:val="24"/>
          <w:szCs w:val="24"/>
        </w:rPr>
        <w:t>дуже</w:t>
      </w:r>
      <w:r w:rsidRPr="006155DC">
        <w:rPr>
          <w:rFonts w:ascii="Times New Roman" w:hAnsi="Times New Roman"/>
          <w:sz w:val="24"/>
          <w:szCs w:val="24"/>
        </w:rPr>
        <w:t xml:space="preserve"> </w:t>
      </w:r>
      <w:r w:rsidR="0094429D" w:rsidRPr="006155DC">
        <w:rPr>
          <w:rFonts w:ascii="Times New Roman" w:hAnsi="Times New Roman"/>
          <w:sz w:val="24"/>
          <w:szCs w:val="24"/>
        </w:rPr>
        <w:t>од</w:t>
      </w:r>
      <w:r w:rsidRPr="006155DC">
        <w:rPr>
          <w:rFonts w:ascii="Times New Roman" w:hAnsi="Times New Roman"/>
          <w:sz w:val="24"/>
          <w:szCs w:val="24"/>
        </w:rPr>
        <w:t xml:space="preserve"> </w:t>
      </w:r>
      <w:r w:rsidR="0094429D" w:rsidRPr="006155DC">
        <w:rPr>
          <w:rFonts w:ascii="Times New Roman" w:hAnsi="Times New Roman"/>
          <w:sz w:val="24"/>
          <w:szCs w:val="24"/>
        </w:rPr>
        <w:t>пет</w:t>
      </w:r>
      <w:r w:rsidRPr="006155DC">
        <w:rPr>
          <w:rFonts w:ascii="Times New Roman" w:hAnsi="Times New Roman"/>
          <w:sz w:val="24"/>
          <w:szCs w:val="24"/>
        </w:rPr>
        <w:t xml:space="preserve"> </w:t>
      </w:r>
      <w:r w:rsidR="0094429D" w:rsidRPr="006155DC">
        <w:rPr>
          <w:rFonts w:ascii="Times New Roman" w:hAnsi="Times New Roman"/>
          <w:sz w:val="24"/>
          <w:szCs w:val="24"/>
        </w:rPr>
        <w:t>година</w:t>
      </w:r>
      <w:r w:rsidRPr="006155DC">
        <w:rPr>
          <w:rFonts w:ascii="Times New Roman" w:hAnsi="Times New Roman"/>
          <w:sz w:val="24"/>
          <w:szCs w:val="24"/>
        </w:rPr>
        <w:t>.</w:t>
      </w:r>
      <w:r w:rsidRPr="006155DC">
        <w:rPr>
          <w:rFonts w:ascii="Times New Roman" w:hAnsi="Times New Roman"/>
          <w:sz w:val="24"/>
          <w:szCs w:val="24"/>
          <w:lang w:val="sr-Cyrl-CS"/>
        </w:rPr>
        <w:t xml:space="preserve"> </w:t>
      </w:r>
      <w:r w:rsidR="0094429D" w:rsidRPr="006155DC">
        <w:rPr>
          <w:rFonts w:ascii="Times New Roman" w:hAnsi="Times New Roman"/>
          <w:sz w:val="24"/>
          <w:szCs w:val="24"/>
        </w:rPr>
        <w:t>Коришћење</w:t>
      </w:r>
      <w:r w:rsidRPr="006155DC">
        <w:rPr>
          <w:rFonts w:ascii="Times New Roman" w:hAnsi="Times New Roman"/>
          <w:sz w:val="24"/>
          <w:szCs w:val="24"/>
        </w:rPr>
        <w:t xml:space="preserve"> </w:t>
      </w:r>
      <w:r w:rsidRPr="006155DC">
        <w:rPr>
          <w:rFonts w:ascii="Times New Roman" w:hAnsi="Times New Roman"/>
          <w:sz w:val="24"/>
          <w:szCs w:val="24"/>
          <w:lang w:val="sr-Cyrl-CS"/>
        </w:rPr>
        <w:t xml:space="preserve">ове </w:t>
      </w:r>
      <w:r w:rsidR="0094429D" w:rsidRPr="006155DC">
        <w:rPr>
          <w:rFonts w:ascii="Times New Roman" w:hAnsi="Times New Roman"/>
          <w:sz w:val="24"/>
          <w:szCs w:val="24"/>
        </w:rPr>
        <w:t>пореске</w:t>
      </w:r>
      <w:r w:rsidRPr="006155DC">
        <w:rPr>
          <w:rFonts w:ascii="Times New Roman" w:hAnsi="Times New Roman"/>
          <w:sz w:val="24"/>
          <w:szCs w:val="24"/>
        </w:rPr>
        <w:t xml:space="preserve"> </w:t>
      </w:r>
      <w:r w:rsidR="0094429D" w:rsidRPr="006155DC">
        <w:rPr>
          <w:rFonts w:ascii="Times New Roman" w:hAnsi="Times New Roman"/>
          <w:sz w:val="24"/>
          <w:szCs w:val="24"/>
        </w:rPr>
        <w:t>погодности</w:t>
      </w:r>
      <w:r w:rsidRPr="006155DC">
        <w:rPr>
          <w:rFonts w:ascii="Times New Roman" w:hAnsi="Times New Roman"/>
          <w:sz w:val="24"/>
          <w:szCs w:val="24"/>
        </w:rPr>
        <w:t xml:space="preserve"> </w:t>
      </w:r>
      <w:r w:rsidR="0094429D" w:rsidRPr="006155DC">
        <w:rPr>
          <w:rFonts w:ascii="Times New Roman" w:hAnsi="Times New Roman"/>
          <w:sz w:val="24"/>
          <w:szCs w:val="24"/>
        </w:rPr>
        <w:t>не</w:t>
      </w:r>
      <w:r w:rsidRPr="006155DC">
        <w:rPr>
          <w:rFonts w:ascii="Times New Roman" w:hAnsi="Times New Roman"/>
          <w:sz w:val="24"/>
          <w:szCs w:val="24"/>
        </w:rPr>
        <w:t xml:space="preserve"> </w:t>
      </w:r>
      <w:r w:rsidR="0094429D" w:rsidRPr="006155DC">
        <w:rPr>
          <w:rFonts w:ascii="Times New Roman" w:hAnsi="Times New Roman"/>
          <w:sz w:val="24"/>
          <w:szCs w:val="24"/>
        </w:rPr>
        <w:t>престаје</w:t>
      </w:r>
      <w:r w:rsidRPr="006155DC">
        <w:rPr>
          <w:rFonts w:ascii="Times New Roman" w:hAnsi="Times New Roman"/>
          <w:sz w:val="24"/>
          <w:szCs w:val="24"/>
        </w:rPr>
        <w:t xml:space="preserve"> </w:t>
      </w:r>
      <w:r w:rsidR="0094429D" w:rsidRPr="006155DC">
        <w:rPr>
          <w:rFonts w:ascii="Times New Roman" w:hAnsi="Times New Roman"/>
          <w:sz w:val="24"/>
          <w:szCs w:val="24"/>
        </w:rPr>
        <w:t>у</w:t>
      </w:r>
      <w:r w:rsidRPr="006155DC">
        <w:rPr>
          <w:rFonts w:ascii="Times New Roman" w:hAnsi="Times New Roman"/>
          <w:sz w:val="24"/>
          <w:szCs w:val="24"/>
        </w:rPr>
        <w:t xml:space="preserve"> </w:t>
      </w:r>
      <w:r w:rsidR="0094429D" w:rsidRPr="006155DC">
        <w:rPr>
          <w:rFonts w:ascii="Times New Roman" w:hAnsi="Times New Roman"/>
          <w:sz w:val="24"/>
          <w:szCs w:val="24"/>
        </w:rPr>
        <w:t>случају</w:t>
      </w:r>
      <w:r w:rsidRPr="006155DC">
        <w:rPr>
          <w:rFonts w:ascii="Times New Roman" w:hAnsi="Times New Roman"/>
          <w:sz w:val="24"/>
          <w:szCs w:val="24"/>
        </w:rPr>
        <w:t xml:space="preserve"> </w:t>
      </w:r>
      <w:r w:rsidR="0094429D" w:rsidRPr="006155DC">
        <w:rPr>
          <w:rFonts w:ascii="Times New Roman" w:hAnsi="Times New Roman"/>
          <w:sz w:val="24"/>
          <w:szCs w:val="24"/>
        </w:rPr>
        <w:t>статусних</w:t>
      </w:r>
      <w:r w:rsidRPr="006155DC">
        <w:rPr>
          <w:rFonts w:ascii="Times New Roman" w:hAnsi="Times New Roman"/>
          <w:sz w:val="24"/>
          <w:szCs w:val="24"/>
        </w:rPr>
        <w:t xml:space="preserve"> </w:t>
      </w:r>
      <w:r w:rsidR="0094429D" w:rsidRPr="006155DC">
        <w:rPr>
          <w:rFonts w:ascii="Times New Roman" w:hAnsi="Times New Roman"/>
          <w:sz w:val="24"/>
          <w:szCs w:val="24"/>
        </w:rPr>
        <w:t>промена</w:t>
      </w:r>
      <w:r w:rsidRPr="006155DC">
        <w:rPr>
          <w:rFonts w:ascii="Times New Roman" w:hAnsi="Times New Roman"/>
          <w:sz w:val="24"/>
          <w:szCs w:val="24"/>
        </w:rPr>
        <w:t xml:space="preserve"> </w:t>
      </w:r>
      <w:r w:rsidR="0094429D" w:rsidRPr="006155DC">
        <w:rPr>
          <w:rFonts w:ascii="Times New Roman" w:hAnsi="Times New Roman"/>
          <w:sz w:val="24"/>
          <w:szCs w:val="24"/>
        </w:rPr>
        <w:t>или</w:t>
      </w:r>
      <w:r w:rsidRPr="006155DC">
        <w:rPr>
          <w:rFonts w:ascii="Times New Roman" w:hAnsi="Times New Roman"/>
          <w:sz w:val="24"/>
          <w:szCs w:val="24"/>
        </w:rPr>
        <w:t xml:space="preserve"> </w:t>
      </w:r>
      <w:r w:rsidR="0094429D" w:rsidRPr="006155DC">
        <w:rPr>
          <w:rFonts w:ascii="Times New Roman" w:hAnsi="Times New Roman"/>
          <w:sz w:val="24"/>
          <w:szCs w:val="24"/>
        </w:rPr>
        <w:t>промена</w:t>
      </w:r>
      <w:r w:rsidRPr="006155DC">
        <w:rPr>
          <w:rFonts w:ascii="Times New Roman" w:hAnsi="Times New Roman"/>
          <w:sz w:val="24"/>
          <w:szCs w:val="24"/>
        </w:rPr>
        <w:t xml:space="preserve"> </w:t>
      </w:r>
      <w:r w:rsidR="0094429D" w:rsidRPr="006155DC">
        <w:rPr>
          <w:rFonts w:ascii="Times New Roman" w:hAnsi="Times New Roman"/>
          <w:sz w:val="24"/>
          <w:szCs w:val="24"/>
        </w:rPr>
        <w:t>правне</w:t>
      </w:r>
      <w:r w:rsidRPr="006155DC">
        <w:rPr>
          <w:rFonts w:ascii="Times New Roman" w:hAnsi="Times New Roman"/>
          <w:sz w:val="24"/>
          <w:szCs w:val="24"/>
        </w:rPr>
        <w:t xml:space="preserve"> </w:t>
      </w:r>
      <w:r w:rsidR="0094429D" w:rsidRPr="006155DC">
        <w:rPr>
          <w:rFonts w:ascii="Times New Roman" w:hAnsi="Times New Roman"/>
          <w:sz w:val="24"/>
          <w:szCs w:val="24"/>
        </w:rPr>
        <w:t>форме</w:t>
      </w:r>
      <w:r w:rsidRPr="006155DC">
        <w:rPr>
          <w:rFonts w:ascii="Times New Roman" w:hAnsi="Times New Roman"/>
          <w:sz w:val="24"/>
          <w:szCs w:val="24"/>
        </w:rPr>
        <w:t xml:space="preserve"> </w:t>
      </w:r>
      <w:r w:rsidR="0094429D" w:rsidRPr="006155DC">
        <w:rPr>
          <w:rFonts w:ascii="Times New Roman" w:hAnsi="Times New Roman"/>
          <w:sz w:val="24"/>
          <w:szCs w:val="24"/>
        </w:rPr>
        <w:t>привредних</w:t>
      </w:r>
      <w:r w:rsidRPr="006155DC">
        <w:rPr>
          <w:rFonts w:ascii="Times New Roman" w:hAnsi="Times New Roman"/>
          <w:sz w:val="24"/>
          <w:szCs w:val="24"/>
        </w:rPr>
        <w:t xml:space="preserve"> </w:t>
      </w:r>
      <w:r w:rsidR="0094429D" w:rsidRPr="006155DC">
        <w:rPr>
          <w:rFonts w:ascii="Times New Roman" w:hAnsi="Times New Roman"/>
          <w:sz w:val="24"/>
          <w:szCs w:val="24"/>
        </w:rPr>
        <w:t>друштава</w:t>
      </w:r>
      <w:r w:rsidRPr="006155DC">
        <w:rPr>
          <w:rFonts w:ascii="Times New Roman" w:hAnsi="Times New Roman"/>
          <w:sz w:val="24"/>
          <w:szCs w:val="24"/>
        </w:rPr>
        <w:t>.</w:t>
      </w:r>
      <w:r w:rsidR="0094429D" w:rsidRPr="006155DC">
        <w:rPr>
          <w:rFonts w:ascii="Times New Roman" w:hAnsi="Times New Roman"/>
          <w:sz w:val="24"/>
          <w:szCs w:val="24"/>
        </w:rPr>
        <w:t>У</w:t>
      </w:r>
      <w:r w:rsidRPr="006155DC">
        <w:rPr>
          <w:rFonts w:ascii="Times New Roman" w:hAnsi="Times New Roman"/>
          <w:sz w:val="24"/>
          <w:szCs w:val="24"/>
        </w:rPr>
        <w:t xml:space="preserve"> </w:t>
      </w:r>
      <w:r w:rsidR="0094429D" w:rsidRPr="006155DC">
        <w:rPr>
          <w:rFonts w:ascii="Times New Roman" w:hAnsi="Times New Roman"/>
          <w:sz w:val="24"/>
          <w:szCs w:val="24"/>
        </w:rPr>
        <w:t>случају</w:t>
      </w:r>
      <w:r w:rsidRPr="006155DC">
        <w:rPr>
          <w:rFonts w:ascii="Times New Roman" w:hAnsi="Times New Roman"/>
          <w:sz w:val="24"/>
          <w:szCs w:val="24"/>
        </w:rPr>
        <w:t xml:space="preserve"> </w:t>
      </w:r>
      <w:r w:rsidR="0094429D" w:rsidRPr="006155DC">
        <w:rPr>
          <w:rFonts w:ascii="Times New Roman" w:hAnsi="Times New Roman"/>
          <w:sz w:val="24"/>
          <w:szCs w:val="24"/>
        </w:rPr>
        <w:t>поделе</w:t>
      </w:r>
      <w:r w:rsidRPr="006155DC">
        <w:rPr>
          <w:rFonts w:ascii="Times New Roman" w:hAnsi="Times New Roman"/>
          <w:sz w:val="24"/>
          <w:szCs w:val="24"/>
        </w:rPr>
        <w:t xml:space="preserve"> </w:t>
      </w:r>
      <w:r w:rsidR="0094429D" w:rsidRPr="006155DC">
        <w:rPr>
          <w:rFonts w:ascii="Times New Roman" w:hAnsi="Times New Roman"/>
          <w:sz w:val="24"/>
          <w:szCs w:val="24"/>
        </w:rPr>
        <w:t>или</w:t>
      </w:r>
      <w:r w:rsidRPr="006155DC">
        <w:rPr>
          <w:rFonts w:ascii="Times New Roman" w:hAnsi="Times New Roman"/>
          <w:sz w:val="24"/>
          <w:szCs w:val="24"/>
        </w:rPr>
        <w:t xml:space="preserve"> </w:t>
      </w:r>
      <w:r w:rsidR="0094429D" w:rsidRPr="006155DC">
        <w:rPr>
          <w:rFonts w:ascii="Times New Roman" w:hAnsi="Times New Roman"/>
          <w:sz w:val="24"/>
          <w:szCs w:val="24"/>
        </w:rPr>
        <w:t>одвајања</w:t>
      </w:r>
      <w:r w:rsidRPr="006155DC">
        <w:rPr>
          <w:rFonts w:ascii="Times New Roman" w:hAnsi="Times New Roman"/>
          <w:sz w:val="24"/>
          <w:szCs w:val="24"/>
        </w:rPr>
        <w:t xml:space="preserve">, </w:t>
      </w:r>
      <w:r w:rsidRPr="006155DC">
        <w:rPr>
          <w:rFonts w:ascii="Times New Roman" w:hAnsi="Times New Roman"/>
          <w:sz w:val="24"/>
          <w:szCs w:val="24"/>
          <w:lang w:val="sr-Cyrl-CS"/>
        </w:rPr>
        <w:t xml:space="preserve">ова погодност се </w:t>
      </w:r>
      <w:r w:rsidR="0094429D" w:rsidRPr="006155DC">
        <w:rPr>
          <w:rFonts w:ascii="Times New Roman" w:hAnsi="Times New Roman"/>
          <w:sz w:val="24"/>
          <w:szCs w:val="24"/>
        </w:rPr>
        <w:t>сразмерно</w:t>
      </w:r>
      <w:r w:rsidRPr="006155DC">
        <w:rPr>
          <w:rFonts w:ascii="Times New Roman" w:hAnsi="Times New Roman"/>
          <w:sz w:val="24"/>
          <w:szCs w:val="24"/>
        </w:rPr>
        <w:t xml:space="preserve"> </w:t>
      </w:r>
      <w:r w:rsidR="0094429D" w:rsidRPr="006155DC">
        <w:rPr>
          <w:rFonts w:ascii="Times New Roman" w:hAnsi="Times New Roman"/>
          <w:sz w:val="24"/>
          <w:szCs w:val="24"/>
        </w:rPr>
        <w:t>дели</w:t>
      </w:r>
      <w:r w:rsidRPr="006155DC">
        <w:rPr>
          <w:rFonts w:ascii="Times New Roman" w:hAnsi="Times New Roman"/>
          <w:sz w:val="24"/>
          <w:szCs w:val="24"/>
        </w:rPr>
        <w:t xml:space="preserve"> </w:t>
      </w:r>
      <w:r w:rsidR="0094429D" w:rsidRPr="006155DC">
        <w:rPr>
          <w:rFonts w:ascii="Times New Roman" w:hAnsi="Times New Roman"/>
          <w:sz w:val="24"/>
          <w:szCs w:val="24"/>
        </w:rPr>
        <w:t>и</w:t>
      </w:r>
      <w:r w:rsidRPr="006155DC">
        <w:rPr>
          <w:rFonts w:ascii="Times New Roman" w:hAnsi="Times New Roman"/>
          <w:sz w:val="24"/>
          <w:szCs w:val="24"/>
        </w:rPr>
        <w:t xml:space="preserve"> </w:t>
      </w:r>
      <w:r w:rsidR="0094429D" w:rsidRPr="006155DC">
        <w:rPr>
          <w:rFonts w:ascii="Times New Roman" w:hAnsi="Times New Roman"/>
          <w:sz w:val="24"/>
          <w:szCs w:val="24"/>
        </w:rPr>
        <w:t>о</w:t>
      </w:r>
      <w:r w:rsidRPr="006155DC">
        <w:rPr>
          <w:rFonts w:ascii="Times New Roman" w:hAnsi="Times New Roman"/>
          <w:sz w:val="24"/>
          <w:szCs w:val="24"/>
        </w:rPr>
        <w:t xml:space="preserve"> </w:t>
      </w:r>
      <w:r w:rsidR="0094429D" w:rsidRPr="006155DC">
        <w:rPr>
          <w:rFonts w:ascii="Times New Roman" w:hAnsi="Times New Roman"/>
          <w:sz w:val="24"/>
          <w:szCs w:val="24"/>
        </w:rPr>
        <w:t>томе</w:t>
      </w:r>
      <w:r w:rsidRPr="006155DC">
        <w:rPr>
          <w:rFonts w:ascii="Times New Roman" w:hAnsi="Times New Roman"/>
          <w:sz w:val="24"/>
          <w:szCs w:val="24"/>
        </w:rPr>
        <w:t xml:space="preserve"> </w:t>
      </w:r>
      <w:r w:rsidR="0094429D" w:rsidRPr="006155DC">
        <w:rPr>
          <w:rFonts w:ascii="Times New Roman" w:hAnsi="Times New Roman"/>
          <w:sz w:val="24"/>
          <w:szCs w:val="24"/>
        </w:rPr>
        <w:t>се</w:t>
      </w:r>
      <w:r w:rsidRPr="006155DC">
        <w:rPr>
          <w:rFonts w:ascii="Times New Roman" w:hAnsi="Times New Roman"/>
          <w:sz w:val="24"/>
          <w:szCs w:val="24"/>
        </w:rPr>
        <w:t xml:space="preserve"> </w:t>
      </w:r>
      <w:r w:rsidR="0094429D" w:rsidRPr="006155DC">
        <w:rPr>
          <w:rFonts w:ascii="Times New Roman" w:hAnsi="Times New Roman"/>
          <w:sz w:val="24"/>
          <w:szCs w:val="24"/>
        </w:rPr>
        <w:t>обавештава</w:t>
      </w:r>
      <w:r w:rsidRPr="006155DC">
        <w:rPr>
          <w:rFonts w:ascii="Times New Roman" w:hAnsi="Times New Roman"/>
          <w:sz w:val="24"/>
          <w:szCs w:val="24"/>
        </w:rPr>
        <w:t xml:space="preserve"> </w:t>
      </w:r>
      <w:r w:rsidR="0094429D" w:rsidRPr="006155DC">
        <w:rPr>
          <w:rFonts w:ascii="Times New Roman" w:hAnsi="Times New Roman"/>
          <w:sz w:val="24"/>
          <w:szCs w:val="24"/>
        </w:rPr>
        <w:lastRenderedPageBreak/>
        <w:t>надлежни</w:t>
      </w:r>
      <w:r w:rsidRPr="006155DC">
        <w:rPr>
          <w:rFonts w:ascii="Times New Roman" w:hAnsi="Times New Roman"/>
          <w:sz w:val="24"/>
          <w:szCs w:val="24"/>
        </w:rPr>
        <w:t xml:space="preserve"> </w:t>
      </w:r>
      <w:r w:rsidR="0094429D" w:rsidRPr="006155DC">
        <w:rPr>
          <w:rFonts w:ascii="Times New Roman" w:hAnsi="Times New Roman"/>
          <w:sz w:val="24"/>
          <w:szCs w:val="24"/>
        </w:rPr>
        <w:t>порески</w:t>
      </w:r>
      <w:r w:rsidRPr="006155DC">
        <w:rPr>
          <w:rFonts w:ascii="Times New Roman" w:hAnsi="Times New Roman"/>
          <w:sz w:val="24"/>
          <w:szCs w:val="24"/>
        </w:rPr>
        <w:t xml:space="preserve"> </w:t>
      </w:r>
      <w:r w:rsidR="0094429D" w:rsidRPr="006155DC">
        <w:rPr>
          <w:rFonts w:ascii="Times New Roman" w:hAnsi="Times New Roman"/>
          <w:sz w:val="24"/>
          <w:szCs w:val="24"/>
        </w:rPr>
        <w:t>орган</w:t>
      </w:r>
      <w:r w:rsidRPr="006155DC">
        <w:rPr>
          <w:rFonts w:ascii="Times New Roman" w:hAnsi="Times New Roman"/>
          <w:sz w:val="24"/>
          <w:szCs w:val="24"/>
        </w:rPr>
        <w:t>.</w:t>
      </w:r>
      <w:r w:rsidRPr="006155DC">
        <w:rPr>
          <w:rStyle w:val="FootnoteReference"/>
          <w:rFonts w:ascii="Times New Roman" w:hAnsi="Times New Roman"/>
          <w:color w:val="000000"/>
          <w:sz w:val="24"/>
          <w:szCs w:val="24"/>
        </w:rPr>
        <w:footnoteReference w:id="291"/>
      </w:r>
      <w:r w:rsidR="00392AAA">
        <w:rPr>
          <w:rFonts w:ascii="Times New Roman" w:hAnsi="Times New Roman"/>
          <w:sz w:val="24"/>
          <w:szCs w:val="24"/>
          <w:lang w:val="sr-Cyrl-CS"/>
        </w:rPr>
        <w:t xml:space="preserve"> У већини савремених земаља постоји могућност преношења пословних губитака унапред, али су предвиђени различити рокови који су негде ограничени за одређени временски период, а негде су неограниченог трајања.</w:t>
      </w:r>
    </w:p>
    <w:p w:rsidR="00DF4B9E" w:rsidRPr="0094429D" w:rsidRDefault="00295F6A" w:rsidP="0094429D">
      <w:pPr>
        <w:pStyle w:val="clan"/>
        <w:shd w:val="clear" w:color="auto" w:fill="FFFFFF"/>
        <w:spacing w:before="240" w:beforeAutospacing="0" w:after="120" w:afterAutospacing="0" w:line="240" w:lineRule="atLeast"/>
        <w:ind w:firstLine="708"/>
        <w:jc w:val="both"/>
        <w:rPr>
          <w:bCs/>
          <w:color w:val="000000"/>
          <w:lang w:val="sr-Cyrl-CS"/>
        </w:rPr>
      </w:pPr>
      <w:r w:rsidRPr="0094429D">
        <w:rPr>
          <w:bCs/>
          <w:color w:val="000000"/>
          <w:lang w:val="sr-Cyrl-CS"/>
        </w:rPr>
        <w:t>Коришћењем ове могућности законита евазија пореза није ограничена на једну годину пословања и може се коришћењ</w:t>
      </w:r>
      <w:r w:rsidR="00DF4B9E" w:rsidRPr="0094429D">
        <w:rPr>
          <w:bCs/>
          <w:color w:val="000000"/>
          <w:lang w:val="sr-Cyrl-CS"/>
        </w:rPr>
        <w:t xml:space="preserve">ем ове погодности остварити на рачун  губитка из ранијег периода. </w:t>
      </w:r>
      <w:r w:rsidR="00A44411" w:rsidRPr="0094429D">
        <w:rPr>
          <w:bCs/>
          <w:color w:val="000000"/>
          <w:lang w:val="sr-Cyrl-CS"/>
        </w:rPr>
        <w:t>Пословни губици се о</w:t>
      </w:r>
      <w:r w:rsidR="001B2715">
        <w:rPr>
          <w:bCs/>
          <w:color w:val="000000"/>
          <w:lang w:val="sr-Cyrl-CS"/>
        </w:rPr>
        <w:t>дносе</w:t>
      </w:r>
      <w:r w:rsidR="00C5172B" w:rsidRPr="0094429D">
        <w:rPr>
          <w:bCs/>
          <w:color w:val="000000"/>
          <w:lang w:val="sr-Cyrl-CS"/>
        </w:rPr>
        <w:t xml:space="preserve"> се на губитке из редовног пословања</w:t>
      </w:r>
      <w:r w:rsidR="00A44411" w:rsidRPr="0094429D">
        <w:rPr>
          <w:bCs/>
          <w:color w:val="000000"/>
          <w:lang w:val="sr-Cyrl-CS"/>
        </w:rPr>
        <w:t xml:space="preserve">. </w:t>
      </w:r>
    </w:p>
    <w:p w:rsidR="00295F6A" w:rsidRDefault="00295F6A" w:rsidP="00295F6A">
      <w:pPr>
        <w:pStyle w:val="clan"/>
        <w:shd w:val="clear" w:color="auto" w:fill="FFFFFF"/>
        <w:spacing w:before="240" w:beforeAutospacing="0" w:after="120" w:afterAutospacing="0" w:line="240" w:lineRule="atLeast"/>
        <w:jc w:val="center"/>
        <w:rPr>
          <w:rFonts w:ascii="Arial" w:hAnsi="Arial" w:cs="Arial"/>
          <w:b/>
          <w:bCs/>
          <w:color w:val="000000"/>
          <w:sz w:val="20"/>
          <w:szCs w:val="20"/>
          <w:lang w:val="sr-Cyrl-CS"/>
        </w:rPr>
      </w:pPr>
    </w:p>
    <w:p w:rsidR="00733E3F" w:rsidRPr="00295F6A" w:rsidRDefault="00733E3F" w:rsidP="00295F6A">
      <w:pPr>
        <w:jc w:val="both"/>
        <w:rPr>
          <w:rFonts w:ascii="Times New Roman" w:hAnsi="Times New Roman"/>
          <w:sz w:val="24"/>
          <w:szCs w:val="24"/>
          <w:lang w:val="sr-Cyrl-CS"/>
        </w:rPr>
      </w:pPr>
    </w:p>
    <w:p w:rsidR="00733E3F" w:rsidRPr="00733E3F" w:rsidRDefault="009B0BBF" w:rsidP="00BD4494">
      <w:pPr>
        <w:ind w:firstLine="708"/>
        <w:jc w:val="center"/>
        <w:rPr>
          <w:rFonts w:ascii="Times New Roman" w:hAnsi="Times New Roman"/>
          <w:b/>
          <w:sz w:val="24"/>
          <w:szCs w:val="24"/>
          <w:lang w:val="sr-Cyrl-CS"/>
        </w:rPr>
      </w:pPr>
      <w:r>
        <w:rPr>
          <w:rFonts w:ascii="Times New Roman" w:hAnsi="Times New Roman"/>
          <w:b/>
          <w:sz w:val="24"/>
          <w:szCs w:val="24"/>
          <w:lang w:val="sr-Cyrl-CS"/>
        </w:rPr>
        <w:t xml:space="preserve">5.1.8. </w:t>
      </w:r>
      <w:r w:rsidR="00BD4494">
        <w:rPr>
          <w:rFonts w:ascii="Times New Roman" w:hAnsi="Times New Roman"/>
          <w:b/>
          <w:sz w:val="24"/>
          <w:szCs w:val="24"/>
          <w:lang w:val="sr-Cyrl-CS"/>
        </w:rPr>
        <w:t>Утицај различитих метода обрачуна амортизације на избегавање пореза на добит правних лица</w:t>
      </w:r>
    </w:p>
    <w:p w:rsidR="00733E3F" w:rsidRPr="00733E3F" w:rsidRDefault="00733E3F" w:rsidP="00F415D6">
      <w:pPr>
        <w:ind w:firstLine="708"/>
        <w:jc w:val="both"/>
        <w:rPr>
          <w:rFonts w:ascii="Times New Roman" w:hAnsi="Times New Roman"/>
          <w:sz w:val="24"/>
          <w:szCs w:val="24"/>
        </w:rPr>
      </w:pPr>
    </w:p>
    <w:p w:rsidR="00CA1470" w:rsidRDefault="00CA1470" w:rsidP="00F415D6">
      <w:pPr>
        <w:ind w:firstLine="708"/>
        <w:jc w:val="both"/>
        <w:rPr>
          <w:rFonts w:ascii="Times New Roman" w:hAnsi="Times New Roman"/>
          <w:sz w:val="24"/>
          <w:szCs w:val="24"/>
          <w:lang w:val="sr-Cyrl-CS"/>
        </w:rPr>
      </w:pPr>
      <w:r>
        <w:rPr>
          <w:rFonts w:ascii="Times New Roman" w:hAnsi="Times New Roman"/>
          <w:sz w:val="24"/>
          <w:szCs w:val="24"/>
          <w:lang w:val="sr-Cyrl-CS"/>
        </w:rPr>
        <w:t>Амортизација сталних средстава признаје се као расход у износу и на начин који је утврђен законом</w:t>
      </w:r>
      <w:r w:rsidR="00046DFD">
        <w:rPr>
          <w:rFonts w:ascii="Times New Roman" w:hAnsi="Times New Roman"/>
          <w:sz w:val="24"/>
          <w:szCs w:val="24"/>
          <w:lang w:val="sr-Cyrl-CS"/>
        </w:rPr>
        <w:t>,</w:t>
      </w:r>
      <w:r>
        <w:rPr>
          <w:rStyle w:val="FootnoteReference"/>
          <w:rFonts w:ascii="Times New Roman" w:hAnsi="Times New Roman"/>
          <w:sz w:val="24"/>
          <w:szCs w:val="24"/>
          <w:lang w:val="sr-Cyrl-CS"/>
        </w:rPr>
        <w:footnoteReference w:id="292"/>
      </w:r>
      <w:r w:rsidR="00046DFD">
        <w:rPr>
          <w:rFonts w:ascii="Times New Roman" w:hAnsi="Times New Roman"/>
          <w:sz w:val="24"/>
          <w:szCs w:val="24"/>
          <w:lang w:val="sr-Cyrl-CS"/>
        </w:rPr>
        <w:t xml:space="preserve"> </w:t>
      </w:r>
      <w:r w:rsidR="000956D9">
        <w:rPr>
          <w:rFonts w:ascii="Times New Roman" w:hAnsi="Times New Roman"/>
          <w:sz w:val="24"/>
          <w:szCs w:val="24"/>
          <w:lang w:val="sr-Cyrl-CS"/>
        </w:rPr>
        <w:t>који се приписује ј</w:t>
      </w:r>
      <w:r>
        <w:rPr>
          <w:rFonts w:ascii="Times New Roman" w:hAnsi="Times New Roman"/>
          <w:sz w:val="24"/>
          <w:szCs w:val="24"/>
          <w:lang w:val="sr-Cyrl-CS"/>
        </w:rPr>
        <w:t>едном обрачунском перио</w:t>
      </w:r>
      <w:r w:rsidR="00046DFD">
        <w:rPr>
          <w:rFonts w:ascii="Times New Roman" w:hAnsi="Times New Roman"/>
          <w:sz w:val="24"/>
          <w:szCs w:val="24"/>
          <w:lang w:val="sr-Cyrl-CS"/>
        </w:rPr>
        <w:t xml:space="preserve">ду по основу смањења вредности, односно трошења економске користи </w:t>
      </w:r>
      <w:r>
        <w:rPr>
          <w:rFonts w:ascii="Times New Roman" w:hAnsi="Times New Roman"/>
          <w:sz w:val="24"/>
          <w:szCs w:val="24"/>
          <w:lang w:val="sr-Cyrl-CS"/>
        </w:rPr>
        <w:t xml:space="preserve">сталних средстава. </w:t>
      </w:r>
      <w:r w:rsidR="00046DFD">
        <w:rPr>
          <w:rFonts w:ascii="Times New Roman" w:hAnsi="Times New Roman"/>
          <w:sz w:val="24"/>
          <w:szCs w:val="24"/>
          <w:lang w:val="sr-Cyrl-CS"/>
        </w:rPr>
        <w:t>Ради се о</w:t>
      </w:r>
      <w:r>
        <w:rPr>
          <w:rFonts w:ascii="Times New Roman" w:hAnsi="Times New Roman"/>
          <w:sz w:val="24"/>
          <w:szCs w:val="24"/>
          <w:lang w:val="sr-Cyrl-CS"/>
        </w:rPr>
        <w:t xml:space="preserve"> систематско</w:t>
      </w:r>
      <w:r w:rsidR="00046DFD">
        <w:rPr>
          <w:rFonts w:ascii="Times New Roman" w:hAnsi="Times New Roman"/>
          <w:sz w:val="24"/>
          <w:szCs w:val="24"/>
          <w:lang w:val="sr-Cyrl-CS"/>
        </w:rPr>
        <w:t>м отписивању</w:t>
      </w:r>
      <w:r>
        <w:rPr>
          <w:rFonts w:ascii="Times New Roman" w:hAnsi="Times New Roman"/>
          <w:sz w:val="24"/>
          <w:szCs w:val="24"/>
          <w:lang w:val="sr-Cyrl-CS"/>
        </w:rPr>
        <w:t xml:space="preserve"> основице за амортизацију неког средства током његовог корисног века трајања. Основица за</w:t>
      </w:r>
      <w:r w:rsidR="00DD473D">
        <w:rPr>
          <w:rFonts w:ascii="Times New Roman" w:hAnsi="Times New Roman"/>
          <w:sz w:val="24"/>
          <w:szCs w:val="24"/>
          <w:lang w:val="sr-Cyrl-CS"/>
        </w:rPr>
        <w:t xml:space="preserve"> амортизацију </w:t>
      </w:r>
      <w:r w:rsidR="00046DFD">
        <w:rPr>
          <w:rFonts w:ascii="Times New Roman" w:hAnsi="Times New Roman"/>
          <w:sz w:val="24"/>
          <w:szCs w:val="24"/>
          <w:lang w:val="sr-Cyrl-CS"/>
        </w:rPr>
        <w:t>представља набавну</w:t>
      </w:r>
      <w:r w:rsidR="00DD473D">
        <w:rPr>
          <w:rFonts w:ascii="Times New Roman" w:hAnsi="Times New Roman"/>
          <w:sz w:val="24"/>
          <w:szCs w:val="24"/>
          <w:lang w:val="sr-Cyrl-CS"/>
        </w:rPr>
        <w:t xml:space="preserve"> вреднос</w:t>
      </w:r>
      <w:r w:rsidR="00046DFD">
        <w:rPr>
          <w:rFonts w:ascii="Times New Roman" w:hAnsi="Times New Roman"/>
          <w:sz w:val="24"/>
          <w:szCs w:val="24"/>
          <w:lang w:val="sr-Cyrl-CS"/>
        </w:rPr>
        <w:t>т или цену</w:t>
      </w:r>
      <w:r>
        <w:rPr>
          <w:rFonts w:ascii="Times New Roman" w:hAnsi="Times New Roman"/>
          <w:sz w:val="24"/>
          <w:szCs w:val="24"/>
          <w:lang w:val="sr-Cyrl-CS"/>
        </w:rPr>
        <w:t xml:space="preserve"> коштања средства.</w:t>
      </w:r>
      <w:r>
        <w:rPr>
          <w:rStyle w:val="FootnoteReference"/>
          <w:rFonts w:ascii="Times New Roman" w:hAnsi="Times New Roman"/>
          <w:sz w:val="24"/>
          <w:szCs w:val="24"/>
          <w:lang w:val="sr-Cyrl-CS"/>
        </w:rPr>
        <w:footnoteReference w:id="293"/>
      </w:r>
      <w:r w:rsidR="005D20F0">
        <w:rPr>
          <w:rFonts w:ascii="Times New Roman" w:hAnsi="Times New Roman"/>
          <w:sz w:val="24"/>
          <w:szCs w:val="24"/>
          <w:lang w:val="sr-Cyrl-CS"/>
        </w:rPr>
        <w:t xml:space="preserve"> Набавна цена обухвата фактурну цену и зависне трошкове набавке (трошкови утовара, претовара, осигурања и сл.), док цена коштања обухвата укупне трошкове производње.</w:t>
      </w:r>
    </w:p>
    <w:p w:rsidR="00DD473D" w:rsidRDefault="00DD473D" w:rsidP="00F415D6">
      <w:pPr>
        <w:ind w:firstLine="708"/>
        <w:jc w:val="both"/>
        <w:rPr>
          <w:rFonts w:ascii="Times New Roman" w:hAnsi="Times New Roman"/>
          <w:sz w:val="24"/>
          <w:szCs w:val="24"/>
          <w:lang w:val="sr-Cyrl-CS"/>
        </w:rPr>
      </w:pPr>
      <w:r>
        <w:rPr>
          <w:rFonts w:ascii="Times New Roman" w:hAnsi="Times New Roman"/>
          <w:sz w:val="24"/>
          <w:szCs w:val="24"/>
          <w:lang w:val="sr-Cyrl-CS"/>
        </w:rPr>
        <w:t xml:space="preserve">Амортизација основног средства представља смањење његове вредности, </w:t>
      </w:r>
      <w:r w:rsidR="000766FF">
        <w:rPr>
          <w:rFonts w:ascii="Times New Roman" w:hAnsi="Times New Roman"/>
          <w:sz w:val="24"/>
          <w:szCs w:val="24"/>
          <w:lang w:val="sr-Cyrl-CS"/>
        </w:rPr>
        <w:t>јер се основно средство, за разлику од обртних средстава која се користе у једном производном циклусу, троше у више производних циклуса, односно у дужем временском периоду. Узроци амортизације су различити. То су физички разлози (употреба, природно хабање), економски (иновације, појава модернијих машина), остали разлози (истеком времена употребе према уговору)</w:t>
      </w:r>
      <w:r>
        <w:rPr>
          <w:rFonts w:ascii="Times New Roman" w:hAnsi="Times New Roman"/>
          <w:sz w:val="24"/>
          <w:szCs w:val="24"/>
          <w:lang w:val="sr-Cyrl-CS"/>
        </w:rPr>
        <w:t>.</w:t>
      </w:r>
      <w:r>
        <w:rPr>
          <w:rStyle w:val="FootnoteReference"/>
          <w:rFonts w:ascii="Times New Roman" w:hAnsi="Times New Roman"/>
          <w:sz w:val="24"/>
          <w:szCs w:val="24"/>
          <w:lang w:val="sr-Cyrl-CS"/>
        </w:rPr>
        <w:footnoteReference w:id="294"/>
      </w:r>
    </w:p>
    <w:p w:rsidR="00262279" w:rsidRDefault="00262279" w:rsidP="003C731E">
      <w:pPr>
        <w:pStyle w:val="normal0"/>
        <w:shd w:val="clear" w:color="auto" w:fill="FFFFFF"/>
        <w:spacing w:before="48" w:beforeAutospacing="0" w:after="48" w:afterAutospacing="0"/>
        <w:ind w:firstLine="708"/>
        <w:jc w:val="both"/>
        <w:rPr>
          <w:color w:val="000000"/>
          <w:lang w:val="sr-Cyrl-CS"/>
        </w:rPr>
      </w:pPr>
      <w:r w:rsidRPr="003C731E">
        <w:rPr>
          <w:color w:val="000000"/>
          <w:lang w:val="sr-Cyrl-CS"/>
        </w:rPr>
        <w:t>Према позитивним про</w:t>
      </w:r>
      <w:r w:rsidR="00D71799">
        <w:rPr>
          <w:color w:val="000000"/>
          <w:lang w:val="sr-Cyrl-CS"/>
        </w:rPr>
        <w:t>п</w:t>
      </w:r>
      <w:r w:rsidRPr="003C731E">
        <w:rPr>
          <w:color w:val="000000"/>
          <w:lang w:val="sr-Cyrl-CS"/>
        </w:rPr>
        <w:t>исима</w:t>
      </w:r>
      <w:r w:rsidRPr="003C731E">
        <w:rPr>
          <w:rStyle w:val="FootnoteReference"/>
          <w:color w:val="000000"/>
          <w:lang w:val="sr-Cyrl-CS"/>
        </w:rPr>
        <w:footnoteReference w:id="295"/>
      </w:r>
      <w:r w:rsidR="003C731E">
        <w:rPr>
          <w:color w:val="000000"/>
        </w:rPr>
        <w:t xml:space="preserve"> </w:t>
      </w:r>
      <w:r w:rsidRPr="003C731E">
        <w:rPr>
          <w:color w:val="000000"/>
          <w:lang w:val="sr-Cyrl-CS"/>
        </w:rPr>
        <w:t>с</w:t>
      </w:r>
      <w:r w:rsidR="003C731E" w:rsidRPr="003C731E">
        <w:rPr>
          <w:color w:val="000000"/>
        </w:rPr>
        <w:t>тална</w:t>
      </w:r>
      <w:r w:rsidRPr="003C731E">
        <w:rPr>
          <w:color w:val="000000"/>
        </w:rPr>
        <w:t xml:space="preserve"> </w:t>
      </w:r>
      <w:r w:rsidR="003C731E" w:rsidRPr="003C731E">
        <w:rPr>
          <w:color w:val="000000"/>
        </w:rPr>
        <w:t>средства</w:t>
      </w:r>
      <w:r w:rsidRPr="003C731E">
        <w:rPr>
          <w:color w:val="000000"/>
          <w:lang w:val="sr-Cyrl-CS"/>
        </w:rPr>
        <w:t xml:space="preserve"> </w:t>
      </w:r>
      <w:r w:rsidRPr="003C731E">
        <w:rPr>
          <w:color w:val="000000"/>
        </w:rPr>
        <w:t xml:space="preserve"> </w:t>
      </w:r>
      <w:r w:rsidR="003C731E" w:rsidRPr="003C731E">
        <w:rPr>
          <w:color w:val="000000"/>
        </w:rPr>
        <w:t>обухватају</w:t>
      </w:r>
      <w:r w:rsidRPr="003C731E">
        <w:rPr>
          <w:color w:val="000000"/>
        </w:rPr>
        <w:t xml:space="preserve"> </w:t>
      </w:r>
      <w:r w:rsidR="003C731E" w:rsidRPr="003C731E">
        <w:rPr>
          <w:color w:val="000000"/>
        </w:rPr>
        <w:t>материјална</w:t>
      </w:r>
      <w:r w:rsidRPr="003C731E">
        <w:rPr>
          <w:color w:val="000000"/>
        </w:rPr>
        <w:t xml:space="preserve"> </w:t>
      </w:r>
      <w:r w:rsidR="003C731E" w:rsidRPr="003C731E">
        <w:rPr>
          <w:color w:val="000000"/>
        </w:rPr>
        <w:t>средства</w:t>
      </w:r>
      <w:r w:rsidRPr="003C731E">
        <w:rPr>
          <w:color w:val="000000"/>
        </w:rPr>
        <w:t xml:space="preserve"> </w:t>
      </w:r>
      <w:r w:rsidR="003C731E" w:rsidRPr="003C731E">
        <w:rPr>
          <w:color w:val="000000"/>
        </w:rPr>
        <w:t>чији</w:t>
      </w:r>
      <w:r w:rsidRPr="003C731E">
        <w:rPr>
          <w:color w:val="000000"/>
        </w:rPr>
        <w:t xml:space="preserve"> </w:t>
      </w:r>
      <w:r w:rsidR="003C731E" w:rsidRPr="003C731E">
        <w:rPr>
          <w:color w:val="000000"/>
        </w:rPr>
        <w:t>је</w:t>
      </w:r>
      <w:r w:rsidRPr="003C731E">
        <w:rPr>
          <w:color w:val="000000"/>
        </w:rPr>
        <w:t xml:space="preserve"> </w:t>
      </w:r>
      <w:r w:rsidR="003C731E" w:rsidRPr="003C731E">
        <w:rPr>
          <w:color w:val="000000"/>
        </w:rPr>
        <w:t>век</w:t>
      </w:r>
      <w:r w:rsidRPr="003C731E">
        <w:rPr>
          <w:color w:val="000000"/>
        </w:rPr>
        <w:t xml:space="preserve"> </w:t>
      </w:r>
      <w:r w:rsidR="003C731E" w:rsidRPr="003C731E">
        <w:rPr>
          <w:color w:val="000000"/>
        </w:rPr>
        <w:t>трајања</w:t>
      </w:r>
      <w:r w:rsidRPr="003C731E">
        <w:rPr>
          <w:color w:val="000000"/>
        </w:rPr>
        <w:t xml:space="preserve"> </w:t>
      </w:r>
      <w:r w:rsidR="003C731E" w:rsidRPr="003C731E">
        <w:rPr>
          <w:color w:val="000000"/>
        </w:rPr>
        <w:t>дужи</w:t>
      </w:r>
      <w:r w:rsidRPr="003C731E">
        <w:rPr>
          <w:color w:val="000000"/>
        </w:rPr>
        <w:t xml:space="preserve"> </w:t>
      </w:r>
      <w:r w:rsidR="003C731E" w:rsidRPr="003C731E">
        <w:rPr>
          <w:color w:val="000000"/>
        </w:rPr>
        <w:t>од</w:t>
      </w:r>
      <w:r w:rsidRPr="003C731E">
        <w:rPr>
          <w:color w:val="000000"/>
        </w:rPr>
        <w:t xml:space="preserve"> </w:t>
      </w:r>
      <w:r w:rsidR="003C731E" w:rsidRPr="003C731E">
        <w:rPr>
          <w:color w:val="000000"/>
        </w:rPr>
        <w:t>једне</w:t>
      </w:r>
      <w:r w:rsidRPr="003C731E">
        <w:rPr>
          <w:color w:val="000000"/>
        </w:rPr>
        <w:t xml:space="preserve"> </w:t>
      </w:r>
      <w:r w:rsidR="003C731E" w:rsidRPr="003C731E">
        <w:rPr>
          <w:color w:val="000000"/>
        </w:rPr>
        <w:t>године</w:t>
      </w:r>
      <w:r w:rsidRPr="003C731E">
        <w:rPr>
          <w:color w:val="000000"/>
        </w:rPr>
        <w:t xml:space="preserve"> </w:t>
      </w:r>
      <w:r w:rsidR="003C731E" w:rsidRPr="003C731E">
        <w:rPr>
          <w:color w:val="000000"/>
        </w:rPr>
        <w:t>и</w:t>
      </w:r>
      <w:r w:rsidRPr="003C731E">
        <w:rPr>
          <w:color w:val="000000"/>
        </w:rPr>
        <w:t xml:space="preserve"> </w:t>
      </w:r>
      <w:r w:rsidR="003C731E" w:rsidRPr="003C731E">
        <w:rPr>
          <w:color w:val="000000"/>
        </w:rPr>
        <w:t>која</w:t>
      </w:r>
      <w:r w:rsidRPr="003C731E">
        <w:rPr>
          <w:color w:val="000000"/>
        </w:rPr>
        <w:t xml:space="preserve"> </w:t>
      </w:r>
      <w:r w:rsidR="003C731E" w:rsidRPr="003C731E">
        <w:rPr>
          <w:color w:val="000000"/>
        </w:rPr>
        <w:t>се</w:t>
      </w:r>
      <w:r w:rsidRPr="003C731E">
        <w:rPr>
          <w:color w:val="000000"/>
        </w:rPr>
        <w:t xml:space="preserve"> </w:t>
      </w:r>
      <w:r w:rsidR="003C731E" w:rsidRPr="003C731E">
        <w:rPr>
          <w:color w:val="000000"/>
        </w:rPr>
        <w:t>сагласно</w:t>
      </w:r>
      <w:r w:rsidRPr="003C731E">
        <w:rPr>
          <w:color w:val="000000"/>
        </w:rPr>
        <w:t xml:space="preserve"> </w:t>
      </w:r>
      <w:r w:rsidR="003C731E" w:rsidRPr="003C731E">
        <w:rPr>
          <w:color w:val="000000"/>
        </w:rPr>
        <w:t>прописима</w:t>
      </w:r>
      <w:r w:rsidRPr="003C731E">
        <w:rPr>
          <w:color w:val="000000"/>
        </w:rPr>
        <w:t xml:space="preserve"> </w:t>
      </w:r>
      <w:r w:rsidR="003C731E" w:rsidRPr="003C731E">
        <w:rPr>
          <w:color w:val="000000"/>
        </w:rPr>
        <w:t>којима</w:t>
      </w:r>
      <w:r w:rsidRPr="003C731E">
        <w:rPr>
          <w:color w:val="000000"/>
        </w:rPr>
        <w:t xml:space="preserve"> </w:t>
      </w:r>
      <w:r w:rsidR="003C731E" w:rsidRPr="003C731E">
        <w:rPr>
          <w:color w:val="000000"/>
        </w:rPr>
        <w:t>се</w:t>
      </w:r>
      <w:r w:rsidRPr="003C731E">
        <w:rPr>
          <w:color w:val="000000"/>
        </w:rPr>
        <w:t xml:space="preserve"> </w:t>
      </w:r>
      <w:r w:rsidR="003C731E" w:rsidRPr="003C731E">
        <w:rPr>
          <w:color w:val="000000"/>
        </w:rPr>
        <w:t>уређује</w:t>
      </w:r>
      <w:r w:rsidRPr="003C731E">
        <w:rPr>
          <w:color w:val="000000"/>
        </w:rPr>
        <w:t xml:space="preserve"> </w:t>
      </w:r>
      <w:r w:rsidR="003C731E" w:rsidRPr="003C731E">
        <w:rPr>
          <w:color w:val="000000"/>
        </w:rPr>
        <w:t>рачуноводство</w:t>
      </w:r>
      <w:r w:rsidRPr="003C731E">
        <w:rPr>
          <w:color w:val="000000"/>
        </w:rPr>
        <w:t xml:space="preserve"> </w:t>
      </w:r>
      <w:r w:rsidR="003C731E" w:rsidRPr="003C731E">
        <w:rPr>
          <w:color w:val="000000"/>
        </w:rPr>
        <w:t>и</w:t>
      </w:r>
      <w:r w:rsidRPr="003C731E">
        <w:rPr>
          <w:color w:val="000000"/>
        </w:rPr>
        <w:t xml:space="preserve"> </w:t>
      </w:r>
      <w:r w:rsidR="003C731E" w:rsidRPr="003C731E">
        <w:rPr>
          <w:color w:val="000000"/>
        </w:rPr>
        <w:t>ревизија</w:t>
      </w:r>
      <w:r w:rsidRPr="003C731E">
        <w:rPr>
          <w:color w:val="000000"/>
        </w:rPr>
        <w:t xml:space="preserve"> </w:t>
      </w:r>
      <w:r w:rsidR="003C731E" w:rsidRPr="003C731E">
        <w:rPr>
          <w:color w:val="000000"/>
        </w:rPr>
        <w:t>и</w:t>
      </w:r>
      <w:r w:rsidRPr="003C731E">
        <w:rPr>
          <w:color w:val="000000"/>
        </w:rPr>
        <w:t xml:space="preserve"> </w:t>
      </w:r>
      <w:r w:rsidR="003C731E" w:rsidRPr="003C731E">
        <w:rPr>
          <w:color w:val="000000"/>
        </w:rPr>
        <w:t>МРС</w:t>
      </w:r>
      <w:r w:rsidRPr="003C731E">
        <w:rPr>
          <w:color w:val="000000"/>
        </w:rPr>
        <w:t xml:space="preserve">, </w:t>
      </w:r>
      <w:r w:rsidR="003C731E" w:rsidRPr="003C731E">
        <w:rPr>
          <w:color w:val="000000"/>
        </w:rPr>
        <w:t>односно</w:t>
      </w:r>
      <w:r w:rsidRPr="003C731E">
        <w:rPr>
          <w:color w:val="000000"/>
        </w:rPr>
        <w:t xml:space="preserve"> </w:t>
      </w:r>
      <w:r w:rsidR="003C731E" w:rsidRPr="003C731E">
        <w:rPr>
          <w:color w:val="000000"/>
        </w:rPr>
        <w:t>МСФИ</w:t>
      </w:r>
      <w:r w:rsidRPr="003C731E">
        <w:rPr>
          <w:color w:val="000000"/>
        </w:rPr>
        <w:t xml:space="preserve">, </w:t>
      </w:r>
      <w:r w:rsidR="003C731E" w:rsidRPr="003C731E">
        <w:rPr>
          <w:color w:val="000000"/>
        </w:rPr>
        <w:t>у</w:t>
      </w:r>
      <w:r w:rsidRPr="003C731E">
        <w:rPr>
          <w:color w:val="000000"/>
        </w:rPr>
        <w:t xml:space="preserve"> </w:t>
      </w:r>
      <w:r w:rsidR="003C731E" w:rsidRPr="003C731E">
        <w:rPr>
          <w:color w:val="000000"/>
        </w:rPr>
        <w:t>пословним</w:t>
      </w:r>
      <w:r w:rsidRPr="003C731E">
        <w:rPr>
          <w:color w:val="000000"/>
        </w:rPr>
        <w:t xml:space="preserve"> </w:t>
      </w:r>
      <w:r w:rsidR="003C731E" w:rsidRPr="003C731E">
        <w:rPr>
          <w:color w:val="000000"/>
        </w:rPr>
        <w:t>књигама</w:t>
      </w:r>
      <w:r w:rsidRPr="003C731E">
        <w:rPr>
          <w:color w:val="000000"/>
        </w:rPr>
        <w:t xml:space="preserve"> </w:t>
      </w:r>
      <w:r w:rsidR="003C731E" w:rsidRPr="003C731E">
        <w:rPr>
          <w:color w:val="000000"/>
        </w:rPr>
        <w:t>обвезника</w:t>
      </w:r>
      <w:r w:rsidRPr="003C731E">
        <w:rPr>
          <w:color w:val="000000"/>
        </w:rPr>
        <w:t xml:space="preserve"> </w:t>
      </w:r>
      <w:r w:rsidR="003C731E" w:rsidRPr="003C731E">
        <w:rPr>
          <w:color w:val="000000"/>
        </w:rPr>
        <w:t>признају</w:t>
      </w:r>
      <w:r w:rsidRPr="003C731E">
        <w:rPr>
          <w:color w:val="000000"/>
        </w:rPr>
        <w:t xml:space="preserve"> </w:t>
      </w:r>
      <w:r w:rsidR="003C731E" w:rsidRPr="003C731E">
        <w:rPr>
          <w:color w:val="000000"/>
        </w:rPr>
        <w:t>као</w:t>
      </w:r>
      <w:r w:rsidRPr="003C731E">
        <w:rPr>
          <w:color w:val="000000"/>
        </w:rPr>
        <w:t xml:space="preserve"> </w:t>
      </w:r>
      <w:r w:rsidR="003C731E" w:rsidRPr="003C731E">
        <w:rPr>
          <w:color w:val="000000"/>
        </w:rPr>
        <w:t>стална</w:t>
      </w:r>
      <w:r w:rsidRPr="003C731E">
        <w:rPr>
          <w:color w:val="000000"/>
        </w:rPr>
        <w:t xml:space="preserve"> </w:t>
      </w:r>
      <w:r w:rsidR="003C731E" w:rsidRPr="003C731E">
        <w:rPr>
          <w:color w:val="000000"/>
        </w:rPr>
        <w:t>средства</w:t>
      </w:r>
      <w:r w:rsidRPr="003C731E">
        <w:rPr>
          <w:color w:val="000000"/>
        </w:rPr>
        <w:t xml:space="preserve">, </w:t>
      </w:r>
      <w:r w:rsidR="003C731E" w:rsidRPr="003C731E">
        <w:rPr>
          <w:color w:val="000000"/>
        </w:rPr>
        <w:t>осим</w:t>
      </w:r>
      <w:r w:rsidRPr="003C731E">
        <w:rPr>
          <w:color w:val="000000"/>
        </w:rPr>
        <w:t xml:space="preserve"> </w:t>
      </w:r>
      <w:r w:rsidR="003C731E" w:rsidRPr="003C731E">
        <w:rPr>
          <w:color w:val="000000"/>
        </w:rPr>
        <w:t>природних</w:t>
      </w:r>
      <w:r w:rsidRPr="003C731E">
        <w:rPr>
          <w:color w:val="000000"/>
        </w:rPr>
        <w:t xml:space="preserve"> </w:t>
      </w:r>
      <w:r w:rsidR="003C731E" w:rsidRPr="003C731E">
        <w:rPr>
          <w:color w:val="000000"/>
        </w:rPr>
        <w:t>богатстава</w:t>
      </w:r>
      <w:r w:rsidRPr="003C731E">
        <w:rPr>
          <w:color w:val="000000"/>
        </w:rPr>
        <w:t xml:space="preserve"> </w:t>
      </w:r>
      <w:r w:rsidR="003C731E" w:rsidRPr="003C731E">
        <w:rPr>
          <w:color w:val="000000"/>
        </w:rPr>
        <w:t>која</w:t>
      </w:r>
      <w:r w:rsidRPr="003C731E">
        <w:rPr>
          <w:color w:val="000000"/>
        </w:rPr>
        <w:t xml:space="preserve"> </w:t>
      </w:r>
      <w:r w:rsidR="003C731E" w:rsidRPr="003C731E">
        <w:rPr>
          <w:color w:val="000000"/>
        </w:rPr>
        <w:t>се</w:t>
      </w:r>
      <w:r w:rsidRPr="003C731E">
        <w:rPr>
          <w:color w:val="000000"/>
        </w:rPr>
        <w:t xml:space="preserve"> </w:t>
      </w:r>
      <w:r w:rsidR="003C731E" w:rsidRPr="003C731E">
        <w:rPr>
          <w:color w:val="000000"/>
        </w:rPr>
        <w:t>не</w:t>
      </w:r>
      <w:r w:rsidRPr="003C731E">
        <w:rPr>
          <w:color w:val="000000"/>
        </w:rPr>
        <w:t xml:space="preserve"> </w:t>
      </w:r>
      <w:r w:rsidR="003C731E" w:rsidRPr="003C731E">
        <w:rPr>
          <w:color w:val="000000"/>
        </w:rPr>
        <w:t>троше</w:t>
      </w:r>
      <w:r w:rsidRPr="003C731E">
        <w:rPr>
          <w:color w:val="000000"/>
        </w:rPr>
        <w:t xml:space="preserve">, </w:t>
      </w:r>
      <w:r w:rsidR="003C731E" w:rsidRPr="003C731E">
        <w:rPr>
          <w:color w:val="000000"/>
        </w:rPr>
        <w:t>као</w:t>
      </w:r>
      <w:r w:rsidRPr="003C731E">
        <w:rPr>
          <w:color w:val="000000"/>
        </w:rPr>
        <w:t xml:space="preserve"> </w:t>
      </w:r>
      <w:r w:rsidR="003C731E" w:rsidRPr="003C731E">
        <w:rPr>
          <w:color w:val="000000"/>
        </w:rPr>
        <w:t>и</w:t>
      </w:r>
      <w:r w:rsidRPr="003C731E">
        <w:rPr>
          <w:color w:val="000000"/>
        </w:rPr>
        <w:t xml:space="preserve"> </w:t>
      </w:r>
      <w:r w:rsidR="003C731E" w:rsidRPr="003C731E">
        <w:rPr>
          <w:color w:val="000000"/>
        </w:rPr>
        <w:t>нематеријална</w:t>
      </w:r>
      <w:r w:rsidRPr="003C731E">
        <w:rPr>
          <w:color w:val="000000"/>
        </w:rPr>
        <w:t xml:space="preserve"> </w:t>
      </w:r>
      <w:r w:rsidR="003C731E" w:rsidRPr="003C731E">
        <w:rPr>
          <w:color w:val="000000"/>
        </w:rPr>
        <w:t>средства</w:t>
      </w:r>
      <w:r w:rsidRPr="003C731E">
        <w:rPr>
          <w:color w:val="000000"/>
        </w:rPr>
        <w:t xml:space="preserve">, </w:t>
      </w:r>
      <w:r w:rsidR="003C731E" w:rsidRPr="003C731E">
        <w:rPr>
          <w:color w:val="000000"/>
        </w:rPr>
        <w:t>осим</w:t>
      </w:r>
      <w:r w:rsidRPr="003C731E">
        <w:rPr>
          <w:color w:val="000000"/>
        </w:rPr>
        <w:t xml:space="preserve"> </w:t>
      </w:r>
      <w:r w:rsidR="003C731E">
        <w:rPr>
          <w:color w:val="000000"/>
        </w:rPr>
        <w:t>goodwill</w:t>
      </w:r>
      <w:r w:rsidRPr="003C731E">
        <w:rPr>
          <w:color w:val="000000"/>
        </w:rPr>
        <w:t>-</w:t>
      </w:r>
      <w:r w:rsidR="003C731E" w:rsidRPr="003C731E">
        <w:rPr>
          <w:color w:val="000000"/>
        </w:rPr>
        <w:t>а</w:t>
      </w:r>
      <w:r w:rsidRPr="003C731E">
        <w:rPr>
          <w:color w:val="000000"/>
        </w:rPr>
        <w:t>.</w:t>
      </w:r>
    </w:p>
    <w:p w:rsidR="00D57F68" w:rsidRPr="00D57F68" w:rsidRDefault="00D57F68" w:rsidP="003C731E">
      <w:pPr>
        <w:pStyle w:val="normal0"/>
        <w:shd w:val="clear" w:color="auto" w:fill="FFFFFF"/>
        <w:spacing w:before="48" w:beforeAutospacing="0" w:after="48" w:afterAutospacing="0"/>
        <w:ind w:firstLine="708"/>
        <w:jc w:val="both"/>
        <w:rPr>
          <w:color w:val="000000"/>
          <w:lang w:val="sr-Cyrl-CS"/>
        </w:rPr>
      </w:pPr>
    </w:p>
    <w:p w:rsidR="003C731E" w:rsidRPr="003C731E" w:rsidRDefault="003C731E" w:rsidP="003C731E">
      <w:pPr>
        <w:pStyle w:val="normal0"/>
        <w:shd w:val="clear" w:color="auto" w:fill="FFFFFF"/>
        <w:spacing w:before="48" w:beforeAutospacing="0" w:after="48" w:afterAutospacing="0"/>
        <w:ind w:firstLine="708"/>
        <w:jc w:val="both"/>
        <w:rPr>
          <w:color w:val="000000"/>
          <w:lang w:val="sr-Cyrl-CS"/>
        </w:rPr>
      </w:pPr>
    </w:p>
    <w:p w:rsidR="00262279" w:rsidRDefault="00262279" w:rsidP="003C731E">
      <w:pPr>
        <w:pStyle w:val="normal0"/>
        <w:shd w:val="clear" w:color="auto" w:fill="FFFFFF"/>
        <w:spacing w:before="48" w:beforeAutospacing="0" w:after="48" w:afterAutospacing="0"/>
        <w:jc w:val="both"/>
        <w:rPr>
          <w:color w:val="000000"/>
          <w:lang w:val="sr-Cyrl-CS"/>
        </w:rPr>
      </w:pPr>
      <w:r w:rsidRPr="003C731E">
        <w:rPr>
          <w:color w:val="000000"/>
          <w:lang w:val="sr-Cyrl-CS"/>
        </w:rPr>
        <w:t>Ова с</w:t>
      </w:r>
      <w:r w:rsidR="003C731E" w:rsidRPr="003C731E">
        <w:rPr>
          <w:color w:val="000000"/>
        </w:rPr>
        <w:t>редства</w:t>
      </w:r>
      <w:r w:rsidRPr="003C731E">
        <w:rPr>
          <w:color w:val="000000"/>
        </w:rPr>
        <w:t xml:space="preserve"> </w:t>
      </w:r>
      <w:r w:rsidRPr="003C731E">
        <w:rPr>
          <w:color w:val="000000"/>
          <w:lang w:val="sr-Cyrl-CS"/>
        </w:rPr>
        <w:t>се</w:t>
      </w:r>
      <w:r w:rsidRPr="003C731E">
        <w:rPr>
          <w:color w:val="000000"/>
        </w:rPr>
        <w:t xml:space="preserve"> </w:t>
      </w:r>
      <w:r w:rsidR="003C731E" w:rsidRPr="003C731E">
        <w:rPr>
          <w:color w:val="000000"/>
        </w:rPr>
        <w:t>разврставају</w:t>
      </w:r>
      <w:r w:rsidRPr="003C731E">
        <w:rPr>
          <w:color w:val="000000"/>
        </w:rPr>
        <w:t xml:space="preserve">  </w:t>
      </w:r>
      <w:r w:rsidR="003C731E" w:rsidRPr="003C731E">
        <w:rPr>
          <w:color w:val="000000"/>
        </w:rPr>
        <w:t>у</w:t>
      </w:r>
      <w:r w:rsidRPr="003C731E">
        <w:rPr>
          <w:color w:val="000000"/>
        </w:rPr>
        <w:t xml:space="preserve"> </w:t>
      </w:r>
      <w:r w:rsidR="003C731E" w:rsidRPr="003C731E">
        <w:rPr>
          <w:color w:val="000000"/>
        </w:rPr>
        <w:t>пет</w:t>
      </w:r>
      <w:r w:rsidRPr="003C731E">
        <w:rPr>
          <w:color w:val="000000"/>
        </w:rPr>
        <w:t xml:space="preserve"> </w:t>
      </w:r>
      <w:r w:rsidR="003C731E" w:rsidRPr="003C731E">
        <w:rPr>
          <w:color w:val="000000"/>
        </w:rPr>
        <w:t>група</w:t>
      </w:r>
      <w:r w:rsidRPr="003C731E">
        <w:rPr>
          <w:color w:val="000000"/>
        </w:rPr>
        <w:t xml:space="preserve"> </w:t>
      </w:r>
      <w:r w:rsidR="003C731E" w:rsidRPr="003C731E">
        <w:rPr>
          <w:color w:val="000000"/>
        </w:rPr>
        <w:t>са</w:t>
      </w:r>
      <w:r w:rsidRPr="003C731E">
        <w:rPr>
          <w:color w:val="000000"/>
        </w:rPr>
        <w:t xml:space="preserve"> </w:t>
      </w:r>
      <w:r w:rsidR="003C731E" w:rsidRPr="003C731E">
        <w:rPr>
          <w:color w:val="000000"/>
        </w:rPr>
        <w:t>следећим</w:t>
      </w:r>
      <w:r w:rsidRPr="003C731E">
        <w:rPr>
          <w:color w:val="000000"/>
        </w:rPr>
        <w:t xml:space="preserve"> </w:t>
      </w:r>
      <w:r w:rsidR="003C731E" w:rsidRPr="003C731E">
        <w:rPr>
          <w:color w:val="000000"/>
        </w:rPr>
        <w:t>амортизационим</w:t>
      </w:r>
      <w:r w:rsidRPr="003C731E">
        <w:rPr>
          <w:color w:val="000000"/>
        </w:rPr>
        <w:t xml:space="preserve"> </w:t>
      </w:r>
      <w:r w:rsidR="003C731E" w:rsidRPr="003C731E">
        <w:rPr>
          <w:color w:val="000000"/>
        </w:rPr>
        <w:t>стопама</w:t>
      </w:r>
      <w:r w:rsidRPr="003C731E">
        <w:rPr>
          <w:color w:val="000000"/>
        </w:rPr>
        <w:t>:</w:t>
      </w:r>
    </w:p>
    <w:p w:rsidR="003C731E" w:rsidRPr="003C731E" w:rsidRDefault="003C731E" w:rsidP="003C731E">
      <w:pPr>
        <w:pStyle w:val="normal0"/>
        <w:shd w:val="clear" w:color="auto" w:fill="FFFFFF"/>
        <w:spacing w:before="48" w:beforeAutospacing="0" w:after="48" w:afterAutospacing="0"/>
        <w:jc w:val="both"/>
        <w:rPr>
          <w:color w:val="000000"/>
          <w:lang w:val="sr-Cyrl-CS"/>
        </w:rPr>
      </w:pPr>
    </w:p>
    <w:p w:rsidR="00262279" w:rsidRPr="003C731E" w:rsidRDefault="00262279" w:rsidP="003C731E">
      <w:pPr>
        <w:pStyle w:val="normal0"/>
        <w:shd w:val="clear" w:color="auto" w:fill="FFFFFF"/>
        <w:spacing w:before="48" w:beforeAutospacing="0" w:after="48" w:afterAutospacing="0"/>
        <w:jc w:val="both"/>
        <w:rPr>
          <w:color w:val="000000"/>
        </w:rPr>
      </w:pPr>
      <w:r w:rsidRPr="003C731E">
        <w:rPr>
          <w:color w:val="000000"/>
        </w:rPr>
        <w:t xml:space="preserve">1) </w:t>
      </w:r>
      <w:r w:rsidR="003C731E">
        <w:rPr>
          <w:color w:val="000000"/>
        </w:rPr>
        <w:t>I</w:t>
      </w:r>
      <w:r w:rsidRPr="003C731E">
        <w:rPr>
          <w:color w:val="000000"/>
        </w:rPr>
        <w:t xml:space="preserve"> </w:t>
      </w:r>
      <w:r w:rsidR="003C731E" w:rsidRPr="003C731E">
        <w:rPr>
          <w:color w:val="000000"/>
        </w:rPr>
        <w:t>група</w:t>
      </w:r>
      <w:r w:rsidRPr="003C731E">
        <w:rPr>
          <w:color w:val="000000"/>
        </w:rPr>
        <w:t xml:space="preserve"> 2,5%;</w:t>
      </w:r>
    </w:p>
    <w:p w:rsidR="00262279" w:rsidRPr="003C731E" w:rsidRDefault="00262279" w:rsidP="003C731E">
      <w:pPr>
        <w:pStyle w:val="normal0"/>
        <w:shd w:val="clear" w:color="auto" w:fill="FFFFFF"/>
        <w:spacing w:before="48" w:beforeAutospacing="0" w:after="48" w:afterAutospacing="0"/>
        <w:jc w:val="both"/>
        <w:rPr>
          <w:color w:val="000000"/>
        </w:rPr>
      </w:pPr>
      <w:r w:rsidRPr="003C731E">
        <w:rPr>
          <w:color w:val="000000"/>
        </w:rPr>
        <w:t xml:space="preserve">2) </w:t>
      </w:r>
      <w:r w:rsidR="003C731E">
        <w:rPr>
          <w:color w:val="000000"/>
        </w:rPr>
        <w:t>II</w:t>
      </w:r>
      <w:r w:rsidRPr="003C731E">
        <w:rPr>
          <w:color w:val="000000"/>
        </w:rPr>
        <w:t xml:space="preserve"> </w:t>
      </w:r>
      <w:r w:rsidR="003C731E" w:rsidRPr="003C731E">
        <w:rPr>
          <w:color w:val="000000"/>
        </w:rPr>
        <w:t>група</w:t>
      </w:r>
      <w:r w:rsidRPr="003C731E">
        <w:rPr>
          <w:color w:val="000000"/>
        </w:rPr>
        <w:t xml:space="preserve"> 10%;</w:t>
      </w:r>
    </w:p>
    <w:p w:rsidR="00262279" w:rsidRPr="003C731E" w:rsidRDefault="00262279" w:rsidP="003C731E">
      <w:pPr>
        <w:pStyle w:val="normal0"/>
        <w:shd w:val="clear" w:color="auto" w:fill="FFFFFF"/>
        <w:spacing w:before="48" w:beforeAutospacing="0" w:after="48" w:afterAutospacing="0"/>
        <w:jc w:val="both"/>
        <w:rPr>
          <w:color w:val="000000"/>
        </w:rPr>
      </w:pPr>
      <w:r w:rsidRPr="003C731E">
        <w:rPr>
          <w:color w:val="000000"/>
        </w:rPr>
        <w:t xml:space="preserve">3) </w:t>
      </w:r>
      <w:r w:rsidR="003C731E">
        <w:rPr>
          <w:color w:val="000000"/>
        </w:rPr>
        <w:t>III</w:t>
      </w:r>
      <w:r w:rsidRPr="003C731E">
        <w:rPr>
          <w:color w:val="000000"/>
        </w:rPr>
        <w:t xml:space="preserve"> </w:t>
      </w:r>
      <w:r w:rsidR="003C731E" w:rsidRPr="003C731E">
        <w:rPr>
          <w:color w:val="000000"/>
        </w:rPr>
        <w:t>група</w:t>
      </w:r>
      <w:r w:rsidRPr="003C731E">
        <w:rPr>
          <w:color w:val="000000"/>
        </w:rPr>
        <w:t xml:space="preserve"> 15%;</w:t>
      </w:r>
    </w:p>
    <w:p w:rsidR="00262279" w:rsidRPr="003C731E" w:rsidRDefault="00262279" w:rsidP="003C731E">
      <w:pPr>
        <w:pStyle w:val="normal0"/>
        <w:shd w:val="clear" w:color="auto" w:fill="FFFFFF"/>
        <w:spacing w:before="48" w:beforeAutospacing="0" w:after="48" w:afterAutospacing="0"/>
        <w:jc w:val="both"/>
        <w:rPr>
          <w:color w:val="000000"/>
        </w:rPr>
      </w:pPr>
      <w:r w:rsidRPr="003C731E">
        <w:rPr>
          <w:color w:val="000000"/>
        </w:rPr>
        <w:t xml:space="preserve">4) </w:t>
      </w:r>
      <w:r w:rsidR="003C731E">
        <w:rPr>
          <w:color w:val="000000"/>
        </w:rPr>
        <w:t>IV</w:t>
      </w:r>
      <w:r w:rsidRPr="003C731E">
        <w:rPr>
          <w:color w:val="000000"/>
        </w:rPr>
        <w:t xml:space="preserve"> </w:t>
      </w:r>
      <w:r w:rsidR="003C731E" w:rsidRPr="003C731E">
        <w:rPr>
          <w:color w:val="000000"/>
        </w:rPr>
        <w:t>група</w:t>
      </w:r>
      <w:r w:rsidRPr="003C731E">
        <w:rPr>
          <w:color w:val="000000"/>
        </w:rPr>
        <w:t xml:space="preserve"> 20%;</w:t>
      </w:r>
    </w:p>
    <w:p w:rsidR="00262279" w:rsidRPr="003C731E" w:rsidRDefault="00262279" w:rsidP="003C731E">
      <w:pPr>
        <w:pStyle w:val="normal0"/>
        <w:shd w:val="clear" w:color="auto" w:fill="FFFFFF"/>
        <w:spacing w:before="48" w:beforeAutospacing="0" w:after="48" w:afterAutospacing="0"/>
        <w:jc w:val="both"/>
        <w:rPr>
          <w:color w:val="000000"/>
          <w:lang w:val="sr-Cyrl-CS"/>
        </w:rPr>
      </w:pPr>
      <w:r w:rsidRPr="003C731E">
        <w:rPr>
          <w:color w:val="000000"/>
        </w:rPr>
        <w:t xml:space="preserve">5) </w:t>
      </w:r>
      <w:r w:rsidR="003C731E">
        <w:rPr>
          <w:color w:val="000000"/>
        </w:rPr>
        <w:t>V</w:t>
      </w:r>
      <w:r w:rsidRPr="003C731E">
        <w:rPr>
          <w:color w:val="000000"/>
        </w:rPr>
        <w:t xml:space="preserve"> </w:t>
      </w:r>
      <w:r w:rsidR="003C731E" w:rsidRPr="003C731E">
        <w:rPr>
          <w:color w:val="000000"/>
        </w:rPr>
        <w:t>група</w:t>
      </w:r>
      <w:r w:rsidRPr="003C731E">
        <w:rPr>
          <w:color w:val="000000"/>
        </w:rPr>
        <w:t xml:space="preserve"> 30%.</w:t>
      </w:r>
    </w:p>
    <w:p w:rsidR="007065B9" w:rsidRPr="003C731E" w:rsidRDefault="007065B9" w:rsidP="003C731E">
      <w:pPr>
        <w:pStyle w:val="normal0"/>
        <w:shd w:val="clear" w:color="auto" w:fill="FFFFFF"/>
        <w:spacing w:before="48" w:beforeAutospacing="0" w:after="48" w:afterAutospacing="0"/>
        <w:jc w:val="both"/>
        <w:rPr>
          <w:color w:val="000000"/>
          <w:lang w:val="sr-Cyrl-CS"/>
        </w:rPr>
      </w:pPr>
    </w:p>
    <w:p w:rsidR="00BD1524" w:rsidRPr="00797E29" w:rsidRDefault="003C731E" w:rsidP="00797E29">
      <w:pPr>
        <w:ind w:firstLine="708"/>
        <w:jc w:val="both"/>
        <w:rPr>
          <w:rFonts w:ascii="Times New Roman" w:hAnsi="Times New Roman"/>
          <w:sz w:val="24"/>
          <w:szCs w:val="24"/>
          <w:lang w:val="sr-Cyrl-CS"/>
        </w:rPr>
      </w:pPr>
      <w:r w:rsidRPr="00797E29">
        <w:rPr>
          <w:rFonts w:ascii="Times New Roman" w:hAnsi="Times New Roman"/>
          <w:sz w:val="24"/>
          <w:szCs w:val="24"/>
        </w:rPr>
        <w:t>Амортизација</w:t>
      </w:r>
      <w:r w:rsidR="007065B9" w:rsidRPr="00797E29">
        <w:rPr>
          <w:rFonts w:ascii="Times New Roman" w:hAnsi="Times New Roman"/>
          <w:sz w:val="24"/>
          <w:szCs w:val="24"/>
        </w:rPr>
        <w:t xml:space="preserve"> </w:t>
      </w:r>
      <w:r w:rsidRPr="00797E29">
        <w:rPr>
          <w:rFonts w:ascii="Times New Roman" w:hAnsi="Times New Roman"/>
          <w:sz w:val="24"/>
          <w:szCs w:val="24"/>
        </w:rPr>
        <w:t>за</w:t>
      </w:r>
      <w:r w:rsidR="007065B9" w:rsidRPr="00797E29">
        <w:rPr>
          <w:rFonts w:ascii="Times New Roman" w:hAnsi="Times New Roman"/>
          <w:sz w:val="24"/>
          <w:szCs w:val="24"/>
        </w:rPr>
        <w:t xml:space="preserve"> </w:t>
      </w:r>
      <w:r w:rsidRPr="00797E29">
        <w:rPr>
          <w:rFonts w:ascii="Times New Roman" w:hAnsi="Times New Roman"/>
          <w:sz w:val="24"/>
          <w:szCs w:val="24"/>
        </w:rPr>
        <w:t>стална</w:t>
      </w:r>
      <w:r w:rsidR="007065B9" w:rsidRPr="00797E29">
        <w:rPr>
          <w:rFonts w:ascii="Times New Roman" w:hAnsi="Times New Roman"/>
          <w:sz w:val="24"/>
          <w:szCs w:val="24"/>
        </w:rPr>
        <w:t xml:space="preserve"> </w:t>
      </w:r>
      <w:r w:rsidRPr="00797E29">
        <w:rPr>
          <w:rFonts w:ascii="Times New Roman" w:hAnsi="Times New Roman"/>
          <w:sz w:val="24"/>
          <w:szCs w:val="24"/>
        </w:rPr>
        <w:t>средства</w:t>
      </w:r>
      <w:r w:rsidR="007065B9" w:rsidRPr="00797E29">
        <w:rPr>
          <w:rFonts w:ascii="Times New Roman" w:hAnsi="Times New Roman"/>
          <w:sz w:val="24"/>
          <w:szCs w:val="24"/>
        </w:rPr>
        <w:t xml:space="preserve"> </w:t>
      </w:r>
      <w:r w:rsidRPr="00797E29">
        <w:rPr>
          <w:rFonts w:ascii="Times New Roman" w:hAnsi="Times New Roman"/>
          <w:sz w:val="24"/>
          <w:szCs w:val="24"/>
        </w:rPr>
        <w:t>разврстана</w:t>
      </w:r>
      <w:r w:rsidR="007065B9" w:rsidRPr="00797E29">
        <w:rPr>
          <w:rFonts w:ascii="Times New Roman" w:hAnsi="Times New Roman"/>
          <w:sz w:val="24"/>
          <w:szCs w:val="24"/>
        </w:rPr>
        <w:t xml:space="preserve"> </w:t>
      </w:r>
      <w:r w:rsidRPr="00797E29">
        <w:rPr>
          <w:rFonts w:ascii="Times New Roman" w:hAnsi="Times New Roman"/>
          <w:sz w:val="24"/>
          <w:szCs w:val="24"/>
        </w:rPr>
        <w:t>у</w:t>
      </w:r>
      <w:r w:rsidR="007065B9" w:rsidRPr="00797E29">
        <w:rPr>
          <w:rFonts w:ascii="Times New Roman" w:hAnsi="Times New Roman"/>
          <w:sz w:val="24"/>
          <w:szCs w:val="24"/>
        </w:rPr>
        <w:t xml:space="preserve"> </w:t>
      </w:r>
      <w:r w:rsidRPr="00797E29">
        <w:rPr>
          <w:rFonts w:ascii="Times New Roman" w:hAnsi="Times New Roman"/>
          <w:sz w:val="24"/>
          <w:szCs w:val="24"/>
        </w:rPr>
        <w:t>II</w:t>
      </w:r>
      <w:r w:rsidR="007065B9" w:rsidRPr="00797E29">
        <w:rPr>
          <w:rFonts w:ascii="Times New Roman" w:hAnsi="Times New Roman"/>
          <w:sz w:val="24"/>
          <w:szCs w:val="24"/>
        </w:rPr>
        <w:t xml:space="preserve"> </w:t>
      </w:r>
      <w:r w:rsidRPr="00797E29">
        <w:rPr>
          <w:rFonts w:ascii="Times New Roman" w:hAnsi="Times New Roman"/>
          <w:sz w:val="24"/>
          <w:szCs w:val="24"/>
        </w:rPr>
        <w:t>групу</w:t>
      </w:r>
      <w:r w:rsidR="007065B9" w:rsidRPr="00797E29">
        <w:rPr>
          <w:rFonts w:ascii="Times New Roman" w:hAnsi="Times New Roman"/>
          <w:sz w:val="24"/>
          <w:szCs w:val="24"/>
        </w:rPr>
        <w:t xml:space="preserve"> </w:t>
      </w:r>
      <w:r w:rsidRPr="00797E29">
        <w:rPr>
          <w:rFonts w:ascii="Times New Roman" w:hAnsi="Times New Roman"/>
          <w:sz w:val="24"/>
          <w:szCs w:val="24"/>
        </w:rPr>
        <w:t>утврђује</w:t>
      </w:r>
      <w:r w:rsidR="007065B9" w:rsidRPr="00797E29">
        <w:rPr>
          <w:rFonts w:ascii="Times New Roman" w:hAnsi="Times New Roman"/>
          <w:sz w:val="24"/>
          <w:szCs w:val="24"/>
        </w:rPr>
        <w:t xml:space="preserve"> </w:t>
      </w:r>
      <w:r w:rsidRPr="00797E29">
        <w:rPr>
          <w:rFonts w:ascii="Times New Roman" w:hAnsi="Times New Roman"/>
          <w:sz w:val="24"/>
          <w:szCs w:val="24"/>
        </w:rPr>
        <w:t>се</w:t>
      </w:r>
      <w:r w:rsidR="007065B9" w:rsidRPr="00797E29">
        <w:rPr>
          <w:rFonts w:ascii="Times New Roman" w:hAnsi="Times New Roman"/>
          <w:sz w:val="24"/>
          <w:szCs w:val="24"/>
        </w:rPr>
        <w:t xml:space="preserve"> </w:t>
      </w:r>
      <w:r w:rsidRPr="00797E29">
        <w:rPr>
          <w:rFonts w:ascii="Times New Roman" w:hAnsi="Times New Roman"/>
          <w:sz w:val="24"/>
          <w:szCs w:val="24"/>
        </w:rPr>
        <w:t>применом</w:t>
      </w:r>
      <w:r w:rsidR="007065B9" w:rsidRPr="00797E29">
        <w:rPr>
          <w:rFonts w:ascii="Times New Roman" w:hAnsi="Times New Roman"/>
          <w:sz w:val="24"/>
          <w:szCs w:val="24"/>
        </w:rPr>
        <w:t xml:space="preserve"> </w:t>
      </w:r>
      <w:r w:rsidRPr="00797E29">
        <w:rPr>
          <w:rFonts w:ascii="Times New Roman" w:hAnsi="Times New Roman"/>
          <w:sz w:val="24"/>
          <w:szCs w:val="24"/>
        </w:rPr>
        <w:t>пропорционалне</w:t>
      </w:r>
      <w:r w:rsidR="007065B9" w:rsidRPr="00797E29">
        <w:rPr>
          <w:rFonts w:ascii="Times New Roman" w:hAnsi="Times New Roman"/>
          <w:sz w:val="24"/>
          <w:szCs w:val="24"/>
        </w:rPr>
        <w:t xml:space="preserve"> </w:t>
      </w:r>
      <w:r w:rsidRPr="00797E29">
        <w:rPr>
          <w:rFonts w:ascii="Times New Roman" w:hAnsi="Times New Roman"/>
          <w:sz w:val="24"/>
          <w:szCs w:val="24"/>
        </w:rPr>
        <w:t>методе</w:t>
      </w:r>
      <w:r w:rsidR="007065B9" w:rsidRPr="00797E29">
        <w:rPr>
          <w:rFonts w:ascii="Times New Roman" w:hAnsi="Times New Roman"/>
          <w:sz w:val="24"/>
          <w:szCs w:val="24"/>
        </w:rPr>
        <w:t xml:space="preserve">, </w:t>
      </w:r>
      <w:r w:rsidRPr="00797E29">
        <w:rPr>
          <w:rFonts w:ascii="Times New Roman" w:hAnsi="Times New Roman"/>
          <w:sz w:val="24"/>
          <w:szCs w:val="24"/>
        </w:rPr>
        <w:t>на</w:t>
      </w:r>
      <w:r w:rsidR="007065B9" w:rsidRPr="00797E29">
        <w:rPr>
          <w:rFonts w:ascii="Times New Roman" w:hAnsi="Times New Roman"/>
          <w:sz w:val="24"/>
          <w:szCs w:val="24"/>
        </w:rPr>
        <w:t xml:space="preserve"> </w:t>
      </w:r>
      <w:r w:rsidRPr="00797E29">
        <w:rPr>
          <w:rFonts w:ascii="Times New Roman" w:hAnsi="Times New Roman"/>
          <w:sz w:val="24"/>
          <w:szCs w:val="24"/>
        </w:rPr>
        <w:t>основицу</w:t>
      </w:r>
      <w:r w:rsidR="007065B9" w:rsidRPr="00797E29">
        <w:rPr>
          <w:rFonts w:ascii="Times New Roman" w:hAnsi="Times New Roman"/>
          <w:sz w:val="24"/>
          <w:szCs w:val="24"/>
        </w:rPr>
        <w:t xml:space="preserve"> </w:t>
      </w:r>
      <w:r w:rsidRPr="00797E29">
        <w:rPr>
          <w:rFonts w:ascii="Times New Roman" w:hAnsi="Times New Roman"/>
          <w:sz w:val="24"/>
          <w:szCs w:val="24"/>
        </w:rPr>
        <w:t>коју</w:t>
      </w:r>
      <w:r w:rsidR="007065B9" w:rsidRPr="00797E29">
        <w:rPr>
          <w:rFonts w:ascii="Times New Roman" w:hAnsi="Times New Roman"/>
          <w:sz w:val="24"/>
          <w:szCs w:val="24"/>
        </w:rPr>
        <w:t xml:space="preserve"> </w:t>
      </w:r>
      <w:r w:rsidRPr="00797E29">
        <w:rPr>
          <w:rFonts w:ascii="Times New Roman" w:hAnsi="Times New Roman"/>
          <w:sz w:val="24"/>
          <w:szCs w:val="24"/>
        </w:rPr>
        <w:t>чини</w:t>
      </w:r>
      <w:r w:rsidR="007065B9" w:rsidRPr="00797E29">
        <w:rPr>
          <w:rFonts w:ascii="Times New Roman" w:hAnsi="Times New Roman"/>
          <w:sz w:val="24"/>
          <w:szCs w:val="24"/>
        </w:rPr>
        <w:t xml:space="preserve"> </w:t>
      </w:r>
      <w:r w:rsidRPr="00797E29">
        <w:rPr>
          <w:rFonts w:ascii="Times New Roman" w:hAnsi="Times New Roman"/>
          <w:sz w:val="24"/>
          <w:szCs w:val="24"/>
        </w:rPr>
        <w:t>набавна</w:t>
      </w:r>
      <w:r w:rsidR="007065B9" w:rsidRPr="00797E29">
        <w:rPr>
          <w:rFonts w:ascii="Times New Roman" w:hAnsi="Times New Roman"/>
          <w:sz w:val="24"/>
          <w:szCs w:val="24"/>
        </w:rPr>
        <w:t xml:space="preserve"> </w:t>
      </w:r>
      <w:r w:rsidRPr="00797E29">
        <w:rPr>
          <w:rFonts w:ascii="Times New Roman" w:hAnsi="Times New Roman"/>
          <w:sz w:val="24"/>
          <w:szCs w:val="24"/>
        </w:rPr>
        <w:t>вредност</w:t>
      </w:r>
      <w:r w:rsidR="007065B9" w:rsidRPr="00797E29">
        <w:rPr>
          <w:rFonts w:ascii="Times New Roman" w:hAnsi="Times New Roman"/>
          <w:sz w:val="24"/>
          <w:szCs w:val="24"/>
        </w:rPr>
        <w:t xml:space="preserve"> </w:t>
      </w:r>
      <w:r w:rsidRPr="00797E29">
        <w:rPr>
          <w:rFonts w:ascii="Times New Roman" w:hAnsi="Times New Roman"/>
          <w:sz w:val="24"/>
          <w:szCs w:val="24"/>
        </w:rPr>
        <w:t>средства</w:t>
      </w:r>
      <w:r w:rsidR="007065B9" w:rsidRPr="00797E29">
        <w:rPr>
          <w:rFonts w:ascii="Times New Roman" w:hAnsi="Times New Roman"/>
          <w:sz w:val="24"/>
          <w:szCs w:val="24"/>
        </w:rPr>
        <w:t xml:space="preserve">, </w:t>
      </w:r>
      <w:r w:rsidRPr="00797E29">
        <w:rPr>
          <w:rFonts w:ascii="Times New Roman" w:hAnsi="Times New Roman"/>
          <w:sz w:val="24"/>
          <w:szCs w:val="24"/>
        </w:rPr>
        <w:t>за</w:t>
      </w:r>
      <w:r w:rsidR="007065B9" w:rsidRPr="00797E29">
        <w:rPr>
          <w:rFonts w:ascii="Times New Roman" w:hAnsi="Times New Roman"/>
          <w:sz w:val="24"/>
          <w:szCs w:val="24"/>
        </w:rPr>
        <w:t xml:space="preserve"> </w:t>
      </w:r>
      <w:r w:rsidRPr="00797E29">
        <w:rPr>
          <w:rFonts w:ascii="Times New Roman" w:hAnsi="Times New Roman"/>
          <w:sz w:val="24"/>
          <w:szCs w:val="24"/>
        </w:rPr>
        <w:t>свако</w:t>
      </w:r>
      <w:r w:rsidR="007065B9" w:rsidRPr="00797E29">
        <w:rPr>
          <w:rFonts w:ascii="Times New Roman" w:hAnsi="Times New Roman"/>
          <w:sz w:val="24"/>
          <w:szCs w:val="24"/>
        </w:rPr>
        <w:t xml:space="preserve"> </w:t>
      </w:r>
      <w:r w:rsidRPr="00797E29">
        <w:rPr>
          <w:rFonts w:ascii="Times New Roman" w:hAnsi="Times New Roman"/>
          <w:sz w:val="24"/>
          <w:szCs w:val="24"/>
        </w:rPr>
        <w:t>стално</w:t>
      </w:r>
      <w:r w:rsidR="007065B9" w:rsidRPr="00797E29">
        <w:rPr>
          <w:rFonts w:ascii="Times New Roman" w:hAnsi="Times New Roman"/>
          <w:sz w:val="24"/>
          <w:szCs w:val="24"/>
        </w:rPr>
        <w:t xml:space="preserve"> </w:t>
      </w:r>
      <w:r w:rsidRPr="00797E29">
        <w:rPr>
          <w:rFonts w:ascii="Times New Roman" w:hAnsi="Times New Roman"/>
          <w:sz w:val="24"/>
          <w:szCs w:val="24"/>
        </w:rPr>
        <w:t>средство</w:t>
      </w:r>
      <w:r w:rsidR="007065B9" w:rsidRPr="00797E29">
        <w:rPr>
          <w:rFonts w:ascii="Times New Roman" w:hAnsi="Times New Roman"/>
          <w:sz w:val="24"/>
          <w:szCs w:val="24"/>
        </w:rPr>
        <w:t xml:space="preserve"> </w:t>
      </w:r>
      <w:r w:rsidRPr="00797E29">
        <w:rPr>
          <w:rFonts w:ascii="Times New Roman" w:hAnsi="Times New Roman"/>
          <w:sz w:val="24"/>
          <w:szCs w:val="24"/>
        </w:rPr>
        <w:t>посебно</w:t>
      </w:r>
      <w:r w:rsidR="007065B9" w:rsidRPr="00797E29">
        <w:rPr>
          <w:rFonts w:ascii="Times New Roman" w:hAnsi="Times New Roman"/>
          <w:sz w:val="24"/>
          <w:szCs w:val="24"/>
        </w:rPr>
        <w:t xml:space="preserve">, </w:t>
      </w:r>
      <w:r w:rsidRPr="00797E29">
        <w:rPr>
          <w:rFonts w:ascii="Times New Roman" w:hAnsi="Times New Roman"/>
          <w:sz w:val="24"/>
          <w:szCs w:val="24"/>
        </w:rPr>
        <w:t>а</w:t>
      </w:r>
      <w:r w:rsidR="007065B9" w:rsidRPr="00797E29">
        <w:rPr>
          <w:rFonts w:ascii="Times New Roman" w:hAnsi="Times New Roman"/>
          <w:sz w:val="24"/>
          <w:szCs w:val="24"/>
        </w:rPr>
        <w:t xml:space="preserve"> </w:t>
      </w:r>
      <w:r w:rsidRPr="00797E29">
        <w:rPr>
          <w:rFonts w:ascii="Times New Roman" w:hAnsi="Times New Roman"/>
          <w:sz w:val="24"/>
          <w:szCs w:val="24"/>
        </w:rPr>
        <w:t>у</w:t>
      </w:r>
      <w:r w:rsidR="007065B9" w:rsidRPr="00797E29">
        <w:rPr>
          <w:rFonts w:ascii="Times New Roman" w:hAnsi="Times New Roman"/>
          <w:sz w:val="24"/>
          <w:szCs w:val="24"/>
        </w:rPr>
        <w:t xml:space="preserve"> </w:t>
      </w:r>
      <w:r w:rsidRPr="00797E29">
        <w:rPr>
          <w:rFonts w:ascii="Times New Roman" w:hAnsi="Times New Roman"/>
          <w:sz w:val="24"/>
          <w:szCs w:val="24"/>
        </w:rPr>
        <w:t>случају</w:t>
      </w:r>
      <w:r w:rsidR="007065B9" w:rsidRPr="00797E29">
        <w:rPr>
          <w:rFonts w:ascii="Times New Roman" w:hAnsi="Times New Roman"/>
          <w:sz w:val="24"/>
          <w:szCs w:val="24"/>
        </w:rPr>
        <w:t xml:space="preserve"> </w:t>
      </w:r>
      <w:r w:rsidRPr="00797E29">
        <w:rPr>
          <w:rFonts w:ascii="Times New Roman" w:hAnsi="Times New Roman"/>
          <w:sz w:val="24"/>
          <w:szCs w:val="24"/>
        </w:rPr>
        <w:t>када</w:t>
      </w:r>
      <w:r w:rsidR="007065B9" w:rsidRPr="00797E29">
        <w:rPr>
          <w:rFonts w:ascii="Times New Roman" w:hAnsi="Times New Roman"/>
          <w:sz w:val="24"/>
          <w:szCs w:val="24"/>
        </w:rPr>
        <w:t xml:space="preserve"> </w:t>
      </w:r>
      <w:r w:rsidRPr="00797E29">
        <w:rPr>
          <w:rFonts w:ascii="Times New Roman" w:hAnsi="Times New Roman"/>
          <w:sz w:val="24"/>
          <w:szCs w:val="24"/>
        </w:rPr>
        <w:t>су</w:t>
      </w:r>
      <w:r w:rsidR="007065B9" w:rsidRPr="00797E29">
        <w:rPr>
          <w:rFonts w:ascii="Times New Roman" w:hAnsi="Times New Roman"/>
          <w:sz w:val="24"/>
          <w:szCs w:val="24"/>
        </w:rPr>
        <w:t xml:space="preserve"> </w:t>
      </w:r>
      <w:r w:rsidRPr="00797E29">
        <w:rPr>
          <w:rFonts w:ascii="Times New Roman" w:hAnsi="Times New Roman"/>
          <w:sz w:val="24"/>
          <w:szCs w:val="24"/>
        </w:rPr>
        <w:t>стална</w:t>
      </w:r>
      <w:r w:rsidR="007065B9" w:rsidRPr="00797E29">
        <w:rPr>
          <w:rFonts w:ascii="Times New Roman" w:hAnsi="Times New Roman"/>
          <w:sz w:val="24"/>
          <w:szCs w:val="24"/>
        </w:rPr>
        <w:t xml:space="preserve"> </w:t>
      </w:r>
      <w:r w:rsidRPr="00797E29">
        <w:rPr>
          <w:rFonts w:ascii="Times New Roman" w:hAnsi="Times New Roman"/>
          <w:sz w:val="24"/>
          <w:szCs w:val="24"/>
        </w:rPr>
        <w:t>средства</w:t>
      </w:r>
      <w:r w:rsidR="007065B9" w:rsidRPr="00797E29">
        <w:rPr>
          <w:rFonts w:ascii="Times New Roman" w:hAnsi="Times New Roman"/>
          <w:sz w:val="24"/>
          <w:szCs w:val="24"/>
        </w:rPr>
        <w:t xml:space="preserve"> </w:t>
      </w:r>
      <w:r w:rsidRPr="00797E29">
        <w:rPr>
          <w:rFonts w:ascii="Times New Roman" w:hAnsi="Times New Roman"/>
          <w:sz w:val="24"/>
          <w:szCs w:val="24"/>
        </w:rPr>
        <w:t>из</w:t>
      </w:r>
      <w:r w:rsidR="007065B9" w:rsidRPr="00797E29">
        <w:rPr>
          <w:rFonts w:ascii="Times New Roman" w:hAnsi="Times New Roman"/>
          <w:sz w:val="24"/>
          <w:szCs w:val="24"/>
        </w:rPr>
        <w:t xml:space="preserve"> </w:t>
      </w:r>
      <w:r w:rsidRPr="00797E29">
        <w:rPr>
          <w:rFonts w:ascii="Times New Roman" w:hAnsi="Times New Roman"/>
          <w:sz w:val="24"/>
          <w:szCs w:val="24"/>
        </w:rPr>
        <w:t>ове</w:t>
      </w:r>
      <w:r w:rsidR="007065B9" w:rsidRPr="00797E29">
        <w:rPr>
          <w:rFonts w:ascii="Times New Roman" w:hAnsi="Times New Roman"/>
          <w:sz w:val="24"/>
          <w:szCs w:val="24"/>
        </w:rPr>
        <w:t xml:space="preserve"> </w:t>
      </w:r>
      <w:r w:rsidRPr="00797E29">
        <w:rPr>
          <w:rFonts w:ascii="Times New Roman" w:hAnsi="Times New Roman"/>
          <w:sz w:val="24"/>
          <w:szCs w:val="24"/>
        </w:rPr>
        <w:t>групе</w:t>
      </w:r>
      <w:r w:rsidR="007065B9" w:rsidRPr="00797E29">
        <w:rPr>
          <w:rFonts w:ascii="Times New Roman" w:hAnsi="Times New Roman"/>
          <w:sz w:val="24"/>
          <w:szCs w:val="24"/>
        </w:rPr>
        <w:t xml:space="preserve"> </w:t>
      </w:r>
      <w:r w:rsidRPr="00797E29">
        <w:rPr>
          <w:rFonts w:ascii="Times New Roman" w:hAnsi="Times New Roman"/>
          <w:sz w:val="24"/>
          <w:szCs w:val="24"/>
        </w:rPr>
        <w:t>стечена</w:t>
      </w:r>
      <w:r w:rsidR="007065B9" w:rsidRPr="00797E29">
        <w:rPr>
          <w:rFonts w:ascii="Times New Roman" w:hAnsi="Times New Roman"/>
          <w:sz w:val="24"/>
          <w:szCs w:val="24"/>
        </w:rPr>
        <w:t xml:space="preserve"> </w:t>
      </w:r>
      <w:r w:rsidRPr="00797E29">
        <w:rPr>
          <w:rFonts w:ascii="Times New Roman" w:hAnsi="Times New Roman"/>
          <w:sz w:val="24"/>
          <w:szCs w:val="24"/>
        </w:rPr>
        <w:t>у</w:t>
      </w:r>
      <w:r w:rsidR="007065B9" w:rsidRPr="00797E29">
        <w:rPr>
          <w:rFonts w:ascii="Times New Roman" w:hAnsi="Times New Roman"/>
          <w:sz w:val="24"/>
          <w:szCs w:val="24"/>
        </w:rPr>
        <w:t xml:space="preserve"> </w:t>
      </w:r>
      <w:r w:rsidRPr="00797E29">
        <w:rPr>
          <w:rFonts w:ascii="Times New Roman" w:hAnsi="Times New Roman"/>
          <w:sz w:val="24"/>
          <w:szCs w:val="24"/>
        </w:rPr>
        <w:t>току</w:t>
      </w:r>
      <w:r w:rsidR="007065B9" w:rsidRPr="00797E29">
        <w:rPr>
          <w:rFonts w:ascii="Times New Roman" w:hAnsi="Times New Roman"/>
          <w:sz w:val="24"/>
          <w:szCs w:val="24"/>
        </w:rPr>
        <w:t xml:space="preserve"> </w:t>
      </w:r>
      <w:r w:rsidRPr="00797E29">
        <w:rPr>
          <w:rFonts w:ascii="Times New Roman" w:hAnsi="Times New Roman"/>
          <w:sz w:val="24"/>
          <w:szCs w:val="24"/>
        </w:rPr>
        <w:t>пореског</w:t>
      </w:r>
      <w:r w:rsidR="007065B9" w:rsidRPr="00797E29">
        <w:rPr>
          <w:rFonts w:ascii="Times New Roman" w:hAnsi="Times New Roman"/>
          <w:sz w:val="24"/>
          <w:szCs w:val="24"/>
        </w:rPr>
        <w:t xml:space="preserve"> </w:t>
      </w:r>
      <w:r w:rsidRPr="00797E29">
        <w:rPr>
          <w:rFonts w:ascii="Times New Roman" w:hAnsi="Times New Roman"/>
          <w:sz w:val="24"/>
          <w:szCs w:val="24"/>
        </w:rPr>
        <w:t>периода</w:t>
      </w:r>
      <w:r w:rsidR="007065B9" w:rsidRPr="00797E29">
        <w:rPr>
          <w:rFonts w:ascii="Times New Roman" w:hAnsi="Times New Roman"/>
          <w:sz w:val="24"/>
          <w:szCs w:val="24"/>
        </w:rPr>
        <w:t xml:space="preserve">, </w:t>
      </w:r>
      <w:r w:rsidRPr="00797E29">
        <w:rPr>
          <w:rFonts w:ascii="Times New Roman" w:hAnsi="Times New Roman"/>
          <w:sz w:val="24"/>
          <w:szCs w:val="24"/>
        </w:rPr>
        <w:t>утврђује</w:t>
      </w:r>
      <w:r w:rsidR="007065B9" w:rsidRPr="00797E29">
        <w:rPr>
          <w:rFonts w:ascii="Times New Roman" w:hAnsi="Times New Roman"/>
          <w:sz w:val="24"/>
          <w:szCs w:val="24"/>
        </w:rPr>
        <w:t xml:space="preserve"> </w:t>
      </w:r>
      <w:r w:rsidRPr="00797E29">
        <w:rPr>
          <w:rFonts w:ascii="Times New Roman" w:hAnsi="Times New Roman"/>
          <w:sz w:val="24"/>
          <w:szCs w:val="24"/>
        </w:rPr>
        <w:t>се</w:t>
      </w:r>
      <w:r w:rsidR="007065B9" w:rsidRPr="00797E29">
        <w:rPr>
          <w:rFonts w:ascii="Times New Roman" w:hAnsi="Times New Roman"/>
          <w:sz w:val="24"/>
          <w:szCs w:val="24"/>
        </w:rPr>
        <w:t xml:space="preserve"> </w:t>
      </w:r>
      <w:r w:rsidRPr="00797E29">
        <w:rPr>
          <w:rFonts w:ascii="Times New Roman" w:hAnsi="Times New Roman"/>
          <w:sz w:val="24"/>
          <w:szCs w:val="24"/>
        </w:rPr>
        <w:t>применом</w:t>
      </w:r>
      <w:r w:rsidR="007065B9" w:rsidRPr="00797E29">
        <w:rPr>
          <w:rFonts w:ascii="Times New Roman" w:hAnsi="Times New Roman"/>
          <w:sz w:val="24"/>
          <w:szCs w:val="24"/>
        </w:rPr>
        <w:t xml:space="preserve"> </w:t>
      </w:r>
      <w:r w:rsidRPr="00797E29">
        <w:rPr>
          <w:rFonts w:ascii="Times New Roman" w:hAnsi="Times New Roman"/>
          <w:sz w:val="24"/>
          <w:szCs w:val="24"/>
        </w:rPr>
        <w:t>пропорционалне</w:t>
      </w:r>
      <w:r w:rsidR="007065B9" w:rsidRPr="00797E29">
        <w:rPr>
          <w:rFonts w:ascii="Times New Roman" w:hAnsi="Times New Roman"/>
          <w:b/>
          <w:sz w:val="24"/>
          <w:szCs w:val="24"/>
        </w:rPr>
        <w:t xml:space="preserve"> </w:t>
      </w:r>
      <w:r w:rsidRPr="00797E29">
        <w:rPr>
          <w:rFonts w:ascii="Times New Roman" w:hAnsi="Times New Roman"/>
          <w:sz w:val="24"/>
          <w:szCs w:val="24"/>
        </w:rPr>
        <w:t>методе</w:t>
      </w:r>
      <w:r w:rsidR="007065B9" w:rsidRPr="00797E29">
        <w:rPr>
          <w:rFonts w:ascii="Times New Roman" w:hAnsi="Times New Roman"/>
          <w:sz w:val="24"/>
          <w:szCs w:val="24"/>
        </w:rPr>
        <w:t xml:space="preserve"> </w:t>
      </w:r>
      <w:r w:rsidRPr="00797E29">
        <w:rPr>
          <w:rFonts w:ascii="Times New Roman" w:hAnsi="Times New Roman"/>
          <w:sz w:val="24"/>
          <w:szCs w:val="24"/>
        </w:rPr>
        <w:t>сразмерно</w:t>
      </w:r>
      <w:r w:rsidR="007065B9" w:rsidRPr="00797E29">
        <w:rPr>
          <w:rFonts w:ascii="Times New Roman" w:hAnsi="Times New Roman"/>
          <w:sz w:val="24"/>
          <w:szCs w:val="24"/>
        </w:rPr>
        <w:t xml:space="preserve"> </w:t>
      </w:r>
      <w:r w:rsidRPr="00797E29">
        <w:rPr>
          <w:rFonts w:ascii="Times New Roman" w:hAnsi="Times New Roman"/>
          <w:sz w:val="24"/>
          <w:szCs w:val="24"/>
        </w:rPr>
        <w:t>времену</w:t>
      </w:r>
      <w:r w:rsidR="007065B9" w:rsidRPr="00797E29">
        <w:rPr>
          <w:rFonts w:ascii="Times New Roman" w:hAnsi="Times New Roman"/>
          <w:sz w:val="24"/>
          <w:szCs w:val="24"/>
        </w:rPr>
        <w:t xml:space="preserve"> </w:t>
      </w:r>
      <w:r w:rsidRPr="00797E29">
        <w:rPr>
          <w:rFonts w:ascii="Times New Roman" w:hAnsi="Times New Roman"/>
          <w:sz w:val="24"/>
          <w:szCs w:val="24"/>
        </w:rPr>
        <w:t>од</w:t>
      </w:r>
      <w:r w:rsidR="007065B9" w:rsidRPr="00797E29">
        <w:rPr>
          <w:rFonts w:ascii="Times New Roman" w:hAnsi="Times New Roman"/>
          <w:sz w:val="24"/>
          <w:szCs w:val="24"/>
        </w:rPr>
        <w:t xml:space="preserve"> </w:t>
      </w:r>
      <w:r w:rsidRPr="00797E29">
        <w:rPr>
          <w:rFonts w:ascii="Times New Roman" w:hAnsi="Times New Roman"/>
          <w:sz w:val="24"/>
          <w:szCs w:val="24"/>
        </w:rPr>
        <w:t>када</w:t>
      </w:r>
      <w:r w:rsidR="007065B9" w:rsidRPr="00797E29">
        <w:rPr>
          <w:rFonts w:ascii="Times New Roman" w:hAnsi="Times New Roman"/>
          <w:sz w:val="24"/>
          <w:szCs w:val="24"/>
        </w:rPr>
        <w:t xml:space="preserve"> </w:t>
      </w:r>
      <w:r w:rsidRPr="00797E29">
        <w:rPr>
          <w:rFonts w:ascii="Times New Roman" w:hAnsi="Times New Roman"/>
          <w:sz w:val="24"/>
          <w:szCs w:val="24"/>
        </w:rPr>
        <w:t>је</w:t>
      </w:r>
      <w:r w:rsidR="007065B9" w:rsidRPr="00797E29">
        <w:rPr>
          <w:rFonts w:ascii="Times New Roman" w:hAnsi="Times New Roman"/>
          <w:sz w:val="24"/>
          <w:szCs w:val="24"/>
        </w:rPr>
        <w:t xml:space="preserve"> </w:t>
      </w:r>
      <w:r w:rsidRPr="00797E29">
        <w:rPr>
          <w:rFonts w:ascii="Times New Roman" w:hAnsi="Times New Roman"/>
          <w:sz w:val="24"/>
          <w:szCs w:val="24"/>
        </w:rPr>
        <w:t>започет</w:t>
      </w:r>
      <w:r w:rsidR="007065B9" w:rsidRPr="00797E29">
        <w:rPr>
          <w:rFonts w:ascii="Times New Roman" w:hAnsi="Times New Roman"/>
          <w:sz w:val="24"/>
          <w:szCs w:val="24"/>
        </w:rPr>
        <w:t xml:space="preserve"> </w:t>
      </w:r>
      <w:r w:rsidRPr="00797E29">
        <w:rPr>
          <w:rFonts w:ascii="Times New Roman" w:hAnsi="Times New Roman"/>
          <w:sz w:val="24"/>
          <w:szCs w:val="24"/>
        </w:rPr>
        <w:t>обрачун</w:t>
      </w:r>
      <w:r w:rsidR="007065B9" w:rsidRPr="00797E29">
        <w:rPr>
          <w:rFonts w:ascii="Times New Roman" w:hAnsi="Times New Roman"/>
          <w:sz w:val="24"/>
          <w:szCs w:val="24"/>
        </w:rPr>
        <w:t xml:space="preserve"> </w:t>
      </w:r>
      <w:r w:rsidRPr="00797E29">
        <w:rPr>
          <w:rFonts w:ascii="Times New Roman" w:hAnsi="Times New Roman"/>
          <w:sz w:val="24"/>
          <w:szCs w:val="24"/>
        </w:rPr>
        <w:t>амортизације</w:t>
      </w:r>
      <w:r w:rsidR="007065B9" w:rsidRPr="00797E29">
        <w:rPr>
          <w:rFonts w:ascii="Times New Roman" w:hAnsi="Times New Roman"/>
          <w:sz w:val="24"/>
          <w:szCs w:val="24"/>
        </w:rPr>
        <w:t xml:space="preserve"> </w:t>
      </w:r>
      <w:r w:rsidRPr="00797E29">
        <w:rPr>
          <w:rFonts w:ascii="Times New Roman" w:hAnsi="Times New Roman"/>
          <w:sz w:val="24"/>
          <w:szCs w:val="24"/>
        </w:rPr>
        <w:t>до</w:t>
      </w:r>
      <w:r w:rsidR="007065B9" w:rsidRPr="00797E29">
        <w:rPr>
          <w:rFonts w:ascii="Times New Roman" w:hAnsi="Times New Roman"/>
          <w:sz w:val="24"/>
          <w:szCs w:val="24"/>
        </w:rPr>
        <w:t xml:space="preserve"> </w:t>
      </w:r>
      <w:r w:rsidRPr="00797E29">
        <w:rPr>
          <w:rFonts w:ascii="Times New Roman" w:hAnsi="Times New Roman"/>
          <w:sz w:val="24"/>
          <w:szCs w:val="24"/>
        </w:rPr>
        <w:t>краја</w:t>
      </w:r>
      <w:r w:rsidR="007065B9" w:rsidRPr="00797E29">
        <w:rPr>
          <w:rFonts w:ascii="Times New Roman" w:hAnsi="Times New Roman"/>
          <w:sz w:val="24"/>
          <w:szCs w:val="24"/>
        </w:rPr>
        <w:t xml:space="preserve"> </w:t>
      </w:r>
      <w:r w:rsidRPr="00797E29">
        <w:rPr>
          <w:rFonts w:ascii="Times New Roman" w:hAnsi="Times New Roman"/>
          <w:sz w:val="24"/>
          <w:szCs w:val="24"/>
        </w:rPr>
        <w:t>пореског</w:t>
      </w:r>
      <w:r w:rsidR="007065B9" w:rsidRPr="00797E29">
        <w:rPr>
          <w:rFonts w:ascii="Times New Roman" w:hAnsi="Times New Roman"/>
          <w:sz w:val="24"/>
          <w:szCs w:val="24"/>
        </w:rPr>
        <w:t xml:space="preserve"> </w:t>
      </w:r>
      <w:r w:rsidRPr="00797E29">
        <w:rPr>
          <w:rFonts w:ascii="Times New Roman" w:hAnsi="Times New Roman"/>
          <w:sz w:val="24"/>
          <w:szCs w:val="24"/>
        </w:rPr>
        <w:t>периода</w:t>
      </w:r>
      <w:r w:rsidR="007065B9" w:rsidRPr="00797E29">
        <w:rPr>
          <w:rFonts w:ascii="Times New Roman" w:hAnsi="Times New Roman"/>
          <w:sz w:val="24"/>
          <w:szCs w:val="24"/>
        </w:rPr>
        <w:t>.</w:t>
      </w:r>
      <w:r w:rsidRPr="00797E29">
        <w:rPr>
          <w:rFonts w:ascii="Times New Roman" w:hAnsi="Times New Roman"/>
          <w:sz w:val="24"/>
          <w:szCs w:val="24"/>
          <w:lang w:val="sr-Cyrl-CS"/>
        </w:rPr>
        <w:t xml:space="preserve"> </w:t>
      </w:r>
      <w:r w:rsidRPr="00797E29">
        <w:rPr>
          <w:rFonts w:ascii="Times New Roman" w:hAnsi="Times New Roman"/>
          <w:sz w:val="24"/>
          <w:szCs w:val="24"/>
        </w:rPr>
        <w:t>Амортизација</w:t>
      </w:r>
      <w:r w:rsidR="007065B9" w:rsidRPr="00797E29">
        <w:rPr>
          <w:rFonts w:ascii="Times New Roman" w:hAnsi="Times New Roman"/>
          <w:sz w:val="24"/>
          <w:szCs w:val="24"/>
        </w:rPr>
        <w:t xml:space="preserve"> </w:t>
      </w:r>
      <w:r w:rsidRPr="00797E29">
        <w:rPr>
          <w:rFonts w:ascii="Times New Roman" w:hAnsi="Times New Roman"/>
          <w:sz w:val="24"/>
          <w:szCs w:val="24"/>
        </w:rPr>
        <w:t>за</w:t>
      </w:r>
      <w:r w:rsidR="007065B9" w:rsidRPr="00797E29">
        <w:rPr>
          <w:rFonts w:ascii="Times New Roman" w:hAnsi="Times New Roman"/>
          <w:sz w:val="24"/>
          <w:szCs w:val="24"/>
        </w:rPr>
        <w:t xml:space="preserve"> </w:t>
      </w:r>
      <w:r w:rsidRPr="00797E29">
        <w:rPr>
          <w:rFonts w:ascii="Times New Roman" w:hAnsi="Times New Roman"/>
          <w:sz w:val="24"/>
          <w:szCs w:val="24"/>
        </w:rPr>
        <w:t>стална</w:t>
      </w:r>
      <w:r w:rsidR="007065B9" w:rsidRPr="00797E29">
        <w:rPr>
          <w:rFonts w:ascii="Times New Roman" w:hAnsi="Times New Roman"/>
          <w:sz w:val="24"/>
          <w:szCs w:val="24"/>
        </w:rPr>
        <w:t xml:space="preserve"> </w:t>
      </w:r>
      <w:r w:rsidRPr="00797E29">
        <w:rPr>
          <w:rFonts w:ascii="Times New Roman" w:hAnsi="Times New Roman"/>
          <w:sz w:val="24"/>
          <w:szCs w:val="24"/>
        </w:rPr>
        <w:t>средства</w:t>
      </w:r>
      <w:r w:rsidR="007065B9" w:rsidRPr="00797E29">
        <w:rPr>
          <w:rFonts w:ascii="Times New Roman" w:hAnsi="Times New Roman"/>
          <w:sz w:val="24"/>
          <w:szCs w:val="24"/>
        </w:rPr>
        <w:t xml:space="preserve"> </w:t>
      </w:r>
      <w:r w:rsidRPr="00797E29">
        <w:rPr>
          <w:rFonts w:ascii="Times New Roman" w:hAnsi="Times New Roman"/>
          <w:sz w:val="24"/>
          <w:szCs w:val="24"/>
        </w:rPr>
        <w:t>разврстана</w:t>
      </w:r>
      <w:r w:rsidR="007065B9" w:rsidRPr="00797E29">
        <w:rPr>
          <w:rFonts w:ascii="Times New Roman" w:hAnsi="Times New Roman"/>
          <w:sz w:val="24"/>
          <w:szCs w:val="24"/>
        </w:rPr>
        <w:t xml:space="preserve"> </w:t>
      </w:r>
      <w:r w:rsidRPr="00797E29">
        <w:rPr>
          <w:rFonts w:ascii="Times New Roman" w:hAnsi="Times New Roman"/>
          <w:sz w:val="24"/>
          <w:szCs w:val="24"/>
        </w:rPr>
        <w:t>у</w:t>
      </w:r>
      <w:r w:rsidR="007065B9" w:rsidRPr="00797E29">
        <w:rPr>
          <w:rFonts w:ascii="Times New Roman" w:hAnsi="Times New Roman"/>
          <w:sz w:val="24"/>
          <w:szCs w:val="24"/>
        </w:rPr>
        <w:t xml:space="preserve"> </w:t>
      </w:r>
      <w:r w:rsidRPr="00797E29">
        <w:rPr>
          <w:rFonts w:ascii="Times New Roman" w:hAnsi="Times New Roman"/>
          <w:sz w:val="24"/>
          <w:szCs w:val="24"/>
        </w:rPr>
        <w:t>групе</w:t>
      </w:r>
      <w:r w:rsidR="007065B9" w:rsidRPr="00797E29">
        <w:rPr>
          <w:rFonts w:ascii="Times New Roman" w:hAnsi="Times New Roman"/>
          <w:sz w:val="24"/>
          <w:szCs w:val="24"/>
        </w:rPr>
        <w:t xml:space="preserve"> </w:t>
      </w:r>
      <w:r w:rsidRPr="00797E29">
        <w:rPr>
          <w:rFonts w:ascii="Times New Roman" w:hAnsi="Times New Roman"/>
          <w:sz w:val="24"/>
          <w:szCs w:val="24"/>
        </w:rPr>
        <w:t>II</w:t>
      </w:r>
      <w:r w:rsidR="007065B9" w:rsidRPr="00797E29">
        <w:rPr>
          <w:rFonts w:ascii="Times New Roman" w:hAnsi="Times New Roman"/>
          <w:sz w:val="24"/>
          <w:szCs w:val="24"/>
        </w:rPr>
        <w:t>-</w:t>
      </w:r>
      <w:r w:rsidRPr="00797E29">
        <w:rPr>
          <w:rFonts w:ascii="Times New Roman" w:hAnsi="Times New Roman"/>
          <w:sz w:val="24"/>
          <w:szCs w:val="24"/>
        </w:rPr>
        <w:t>V</w:t>
      </w:r>
      <w:r w:rsidR="007065B9" w:rsidRPr="00797E29">
        <w:rPr>
          <w:rFonts w:ascii="Times New Roman" w:hAnsi="Times New Roman"/>
          <w:sz w:val="24"/>
          <w:szCs w:val="24"/>
        </w:rPr>
        <w:t xml:space="preserve"> </w:t>
      </w:r>
      <w:r w:rsidRPr="00797E29">
        <w:rPr>
          <w:rFonts w:ascii="Times New Roman" w:hAnsi="Times New Roman"/>
          <w:sz w:val="24"/>
          <w:szCs w:val="24"/>
        </w:rPr>
        <w:t>утврђује</w:t>
      </w:r>
      <w:r w:rsidR="007065B9" w:rsidRPr="00797E29">
        <w:rPr>
          <w:rFonts w:ascii="Times New Roman" w:hAnsi="Times New Roman"/>
          <w:sz w:val="24"/>
          <w:szCs w:val="24"/>
        </w:rPr>
        <w:t xml:space="preserve"> </w:t>
      </w:r>
      <w:r w:rsidRPr="00797E29">
        <w:rPr>
          <w:rFonts w:ascii="Times New Roman" w:hAnsi="Times New Roman"/>
          <w:sz w:val="24"/>
          <w:szCs w:val="24"/>
        </w:rPr>
        <w:t>се</w:t>
      </w:r>
      <w:r w:rsidR="007065B9" w:rsidRPr="00797E29">
        <w:rPr>
          <w:rFonts w:ascii="Times New Roman" w:hAnsi="Times New Roman"/>
          <w:sz w:val="24"/>
          <w:szCs w:val="24"/>
        </w:rPr>
        <w:t xml:space="preserve"> </w:t>
      </w:r>
      <w:r w:rsidRPr="00797E29">
        <w:rPr>
          <w:rFonts w:ascii="Times New Roman" w:hAnsi="Times New Roman"/>
          <w:sz w:val="24"/>
          <w:szCs w:val="24"/>
        </w:rPr>
        <w:t>применом</w:t>
      </w:r>
      <w:r w:rsidR="007065B9" w:rsidRPr="00797E29">
        <w:rPr>
          <w:rFonts w:ascii="Times New Roman" w:hAnsi="Times New Roman"/>
          <w:sz w:val="24"/>
          <w:szCs w:val="24"/>
        </w:rPr>
        <w:t xml:space="preserve"> </w:t>
      </w:r>
      <w:r w:rsidRPr="00797E29">
        <w:rPr>
          <w:rFonts w:ascii="Times New Roman" w:hAnsi="Times New Roman"/>
          <w:sz w:val="24"/>
          <w:szCs w:val="24"/>
        </w:rPr>
        <w:t>дегресивне</w:t>
      </w:r>
      <w:r w:rsidR="007065B9" w:rsidRPr="00797E29">
        <w:rPr>
          <w:rFonts w:ascii="Times New Roman" w:hAnsi="Times New Roman"/>
          <w:sz w:val="24"/>
          <w:szCs w:val="24"/>
        </w:rPr>
        <w:t xml:space="preserve"> </w:t>
      </w:r>
      <w:r w:rsidRPr="00797E29">
        <w:rPr>
          <w:rFonts w:ascii="Times New Roman" w:hAnsi="Times New Roman"/>
          <w:sz w:val="24"/>
          <w:szCs w:val="24"/>
        </w:rPr>
        <w:t>методе</w:t>
      </w:r>
      <w:r w:rsidR="007065B9" w:rsidRPr="00797E29">
        <w:rPr>
          <w:rFonts w:ascii="Times New Roman" w:hAnsi="Times New Roman"/>
          <w:sz w:val="24"/>
          <w:szCs w:val="24"/>
        </w:rPr>
        <w:t xml:space="preserve"> </w:t>
      </w:r>
      <w:r w:rsidRPr="00797E29">
        <w:rPr>
          <w:rFonts w:ascii="Times New Roman" w:hAnsi="Times New Roman"/>
          <w:sz w:val="24"/>
          <w:szCs w:val="24"/>
        </w:rPr>
        <w:t>на</w:t>
      </w:r>
      <w:r w:rsidR="007065B9" w:rsidRPr="00797E29">
        <w:rPr>
          <w:rFonts w:ascii="Times New Roman" w:hAnsi="Times New Roman"/>
          <w:sz w:val="24"/>
          <w:szCs w:val="24"/>
        </w:rPr>
        <w:t xml:space="preserve"> </w:t>
      </w:r>
      <w:r w:rsidRPr="00797E29">
        <w:rPr>
          <w:rFonts w:ascii="Times New Roman" w:hAnsi="Times New Roman"/>
          <w:sz w:val="24"/>
          <w:szCs w:val="24"/>
        </w:rPr>
        <w:t>вредност</w:t>
      </w:r>
      <w:r w:rsidR="007065B9" w:rsidRPr="00797E29">
        <w:rPr>
          <w:rFonts w:ascii="Times New Roman" w:hAnsi="Times New Roman"/>
          <w:sz w:val="24"/>
          <w:szCs w:val="24"/>
        </w:rPr>
        <w:t xml:space="preserve"> </w:t>
      </w:r>
      <w:r w:rsidRPr="00797E29">
        <w:rPr>
          <w:rFonts w:ascii="Times New Roman" w:hAnsi="Times New Roman"/>
          <w:sz w:val="24"/>
          <w:szCs w:val="24"/>
        </w:rPr>
        <w:t>средстава</w:t>
      </w:r>
      <w:r w:rsidR="007065B9" w:rsidRPr="00797E29">
        <w:rPr>
          <w:rFonts w:ascii="Times New Roman" w:hAnsi="Times New Roman"/>
          <w:sz w:val="24"/>
          <w:szCs w:val="24"/>
        </w:rPr>
        <w:t xml:space="preserve"> </w:t>
      </w:r>
      <w:r w:rsidRPr="00797E29">
        <w:rPr>
          <w:rFonts w:ascii="Times New Roman" w:hAnsi="Times New Roman"/>
          <w:sz w:val="24"/>
          <w:szCs w:val="24"/>
        </w:rPr>
        <w:t>разврстаних</w:t>
      </w:r>
      <w:r w:rsidR="007065B9" w:rsidRPr="00797E29">
        <w:rPr>
          <w:rFonts w:ascii="Times New Roman" w:hAnsi="Times New Roman"/>
          <w:sz w:val="24"/>
          <w:szCs w:val="24"/>
        </w:rPr>
        <w:t xml:space="preserve"> </w:t>
      </w:r>
      <w:r w:rsidRPr="00797E29">
        <w:rPr>
          <w:rFonts w:ascii="Times New Roman" w:hAnsi="Times New Roman"/>
          <w:sz w:val="24"/>
          <w:szCs w:val="24"/>
        </w:rPr>
        <w:t>по</w:t>
      </w:r>
      <w:r w:rsidR="007065B9" w:rsidRPr="00797E29">
        <w:rPr>
          <w:rFonts w:ascii="Times New Roman" w:hAnsi="Times New Roman"/>
          <w:sz w:val="24"/>
          <w:szCs w:val="24"/>
        </w:rPr>
        <w:t xml:space="preserve"> </w:t>
      </w:r>
      <w:r w:rsidRPr="00797E29">
        <w:rPr>
          <w:rFonts w:ascii="Times New Roman" w:hAnsi="Times New Roman"/>
          <w:sz w:val="24"/>
          <w:szCs w:val="24"/>
        </w:rPr>
        <w:t>групама</w:t>
      </w:r>
      <w:r w:rsidR="007065B9" w:rsidRPr="00797E29">
        <w:rPr>
          <w:rFonts w:ascii="Times New Roman" w:hAnsi="Times New Roman"/>
          <w:sz w:val="24"/>
          <w:szCs w:val="24"/>
        </w:rPr>
        <w:t>.</w:t>
      </w:r>
    </w:p>
    <w:p w:rsidR="000A5499" w:rsidRPr="00797E29" w:rsidRDefault="00BD1524" w:rsidP="00797E29">
      <w:pPr>
        <w:ind w:firstLine="708"/>
        <w:jc w:val="both"/>
        <w:rPr>
          <w:rFonts w:ascii="Times New Roman" w:hAnsi="Times New Roman"/>
          <w:sz w:val="24"/>
          <w:szCs w:val="24"/>
          <w:shd w:val="clear" w:color="auto" w:fill="FFFFFF"/>
          <w:lang w:val="sr-Cyrl-CS"/>
        </w:rPr>
      </w:pPr>
      <w:r w:rsidRPr="00797E29">
        <w:rPr>
          <w:rFonts w:ascii="Times New Roman" w:hAnsi="Times New Roman"/>
          <w:sz w:val="24"/>
          <w:szCs w:val="24"/>
          <w:lang w:val="sr-Cyrl-CS"/>
        </w:rPr>
        <w:t>Средства која спадају у поменуте групе су таксативно прописана</w:t>
      </w:r>
      <w:r w:rsidR="00DA6A4F" w:rsidRPr="00797E29">
        <w:rPr>
          <w:rStyle w:val="FootnoteReference"/>
          <w:rFonts w:ascii="Times New Roman" w:hAnsi="Times New Roman"/>
          <w:color w:val="000000"/>
          <w:sz w:val="24"/>
          <w:szCs w:val="24"/>
          <w:lang w:val="sr-Cyrl-CS"/>
        </w:rPr>
        <w:footnoteReference w:id="296"/>
      </w:r>
      <w:r w:rsidRPr="00797E29">
        <w:rPr>
          <w:rFonts w:ascii="Times New Roman" w:hAnsi="Times New Roman"/>
          <w:sz w:val="24"/>
          <w:szCs w:val="24"/>
          <w:lang w:val="sr-Cyrl-CS"/>
        </w:rPr>
        <w:t xml:space="preserve">, па тако у </w:t>
      </w:r>
      <w:r w:rsidR="000A5499" w:rsidRPr="00797E29">
        <w:rPr>
          <w:rFonts w:ascii="Times New Roman" w:hAnsi="Times New Roman"/>
          <w:sz w:val="24"/>
          <w:szCs w:val="24"/>
        </w:rPr>
        <w:t xml:space="preserve">I </w:t>
      </w:r>
      <w:r w:rsidRPr="00797E29">
        <w:rPr>
          <w:rFonts w:ascii="Times New Roman" w:hAnsi="Times New Roman"/>
          <w:sz w:val="24"/>
          <w:szCs w:val="24"/>
          <w:lang w:val="sr-Cyrl-CS"/>
        </w:rPr>
        <w:t xml:space="preserve">групу спадају на пример зграде, спортски објекти, железничка инфраструктура, марине, авионске писте итд. У </w:t>
      </w:r>
      <w:r w:rsidR="000A5499" w:rsidRPr="00797E29">
        <w:rPr>
          <w:rFonts w:ascii="Times New Roman" w:hAnsi="Times New Roman"/>
          <w:sz w:val="24"/>
          <w:szCs w:val="24"/>
        </w:rPr>
        <w:t xml:space="preserve">II </w:t>
      </w:r>
      <w:r w:rsidRPr="00797E29">
        <w:rPr>
          <w:rFonts w:ascii="Times New Roman" w:hAnsi="Times New Roman"/>
          <w:sz w:val="24"/>
          <w:szCs w:val="24"/>
          <w:lang w:val="sr-Cyrl-CS"/>
        </w:rPr>
        <w:t>групу спадају: авиони, аутомобили, бродови,  вагони, лифтови, воћњаци, виногради, нематеријална улагања (</w:t>
      </w:r>
      <w:r w:rsidR="003C731E" w:rsidRPr="00797E29">
        <w:rPr>
          <w:rFonts w:ascii="Times New Roman" w:hAnsi="Times New Roman"/>
          <w:sz w:val="24"/>
          <w:szCs w:val="24"/>
          <w:shd w:val="clear" w:color="auto" w:fill="FFFFFF"/>
        </w:rPr>
        <w:t>концесије</w:t>
      </w:r>
      <w:r w:rsidRPr="00797E29">
        <w:rPr>
          <w:rFonts w:ascii="Times New Roman" w:hAnsi="Times New Roman"/>
          <w:sz w:val="24"/>
          <w:szCs w:val="24"/>
          <w:shd w:val="clear" w:color="auto" w:fill="FFFFFF"/>
        </w:rPr>
        <w:t xml:space="preserve">, </w:t>
      </w:r>
      <w:r w:rsidR="003C731E" w:rsidRPr="00797E29">
        <w:rPr>
          <w:rFonts w:ascii="Times New Roman" w:hAnsi="Times New Roman"/>
          <w:sz w:val="24"/>
          <w:szCs w:val="24"/>
          <w:shd w:val="clear" w:color="auto" w:fill="FFFFFF"/>
        </w:rPr>
        <w:t>лиценце</w:t>
      </w:r>
      <w:r w:rsidRPr="00797E29">
        <w:rPr>
          <w:rFonts w:ascii="Times New Roman" w:hAnsi="Times New Roman"/>
          <w:sz w:val="24"/>
          <w:szCs w:val="24"/>
          <w:shd w:val="clear" w:color="auto" w:fill="FFFFFF"/>
        </w:rPr>
        <w:t xml:space="preserve">, </w:t>
      </w:r>
      <w:r w:rsidR="003C731E" w:rsidRPr="00797E29">
        <w:rPr>
          <w:rFonts w:ascii="Times New Roman" w:hAnsi="Times New Roman"/>
          <w:sz w:val="24"/>
          <w:szCs w:val="24"/>
          <w:shd w:val="clear" w:color="auto" w:fill="FFFFFF"/>
        </w:rPr>
        <w:t>патенти</w:t>
      </w:r>
      <w:r w:rsidRPr="00797E29">
        <w:rPr>
          <w:rFonts w:ascii="Times New Roman" w:hAnsi="Times New Roman"/>
          <w:sz w:val="24"/>
          <w:szCs w:val="24"/>
          <w:shd w:val="clear" w:color="auto" w:fill="FFFFFF"/>
        </w:rPr>
        <w:t xml:space="preserve">, </w:t>
      </w:r>
      <w:r w:rsidR="003C731E" w:rsidRPr="00797E29">
        <w:rPr>
          <w:rFonts w:ascii="Times New Roman" w:hAnsi="Times New Roman"/>
          <w:sz w:val="24"/>
          <w:szCs w:val="24"/>
          <w:shd w:val="clear" w:color="auto" w:fill="FFFFFF"/>
        </w:rPr>
        <w:t>жигови</w:t>
      </w:r>
      <w:r w:rsidRPr="00797E29">
        <w:rPr>
          <w:rFonts w:ascii="Times New Roman" w:hAnsi="Times New Roman"/>
          <w:sz w:val="24"/>
          <w:szCs w:val="24"/>
          <w:shd w:val="clear" w:color="auto" w:fill="FFFFFF"/>
        </w:rPr>
        <w:t xml:space="preserve">, </w:t>
      </w:r>
      <w:r w:rsidR="003C731E" w:rsidRPr="00797E29">
        <w:rPr>
          <w:rFonts w:ascii="Times New Roman" w:hAnsi="Times New Roman"/>
          <w:sz w:val="24"/>
          <w:szCs w:val="24"/>
          <w:shd w:val="clear" w:color="auto" w:fill="FFFFFF"/>
        </w:rPr>
        <w:t>модели</w:t>
      </w:r>
      <w:r w:rsidRPr="00797E29">
        <w:rPr>
          <w:rFonts w:ascii="Times New Roman" w:hAnsi="Times New Roman"/>
          <w:sz w:val="24"/>
          <w:szCs w:val="24"/>
          <w:shd w:val="clear" w:color="auto" w:fill="FFFFFF"/>
        </w:rPr>
        <w:t xml:space="preserve">, </w:t>
      </w:r>
      <w:r w:rsidR="003C731E" w:rsidRPr="00797E29">
        <w:rPr>
          <w:rFonts w:ascii="Times New Roman" w:hAnsi="Times New Roman"/>
          <w:sz w:val="24"/>
          <w:szCs w:val="24"/>
          <w:shd w:val="clear" w:color="auto" w:fill="FFFFFF"/>
        </w:rPr>
        <w:t>ауторска</w:t>
      </w:r>
      <w:r w:rsidRPr="00797E29">
        <w:rPr>
          <w:rFonts w:ascii="Times New Roman" w:hAnsi="Times New Roman"/>
          <w:sz w:val="24"/>
          <w:szCs w:val="24"/>
          <w:shd w:val="clear" w:color="auto" w:fill="FFFFFF"/>
        </w:rPr>
        <w:t xml:space="preserve"> </w:t>
      </w:r>
      <w:r w:rsidR="003C731E" w:rsidRPr="00797E29">
        <w:rPr>
          <w:rFonts w:ascii="Times New Roman" w:hAnsi="Times New Roman"/>
          <w:sz w:val="24"/>
          <w:szCs w:val="24"/>
          <w:shd w:val="clear" w:color="auto" w:fill="FFFFFF"/>
        </w:rPr>
        <w:t>права</w:t>
      </w:r>
      <w:r w:rsidRPr="00797E29">
        <w:rPr>
          <w:rFonts w:ascii="Times New Roman" w:hAnsi="Times New Roman"/>
          <w:sz w:val="24"/>
          <w:szCs w:val="24"/>
          <w:shd w:val="clear" w:color="auto" w:fill="FFFFFF"/>
        </w:rPr>
        <w:t xml:space="preserve">, </w:t>
      </w:r>
      <w:r w:rsidR="003C731E" w:rsidRPr="00797E29">
        <w:rPr>
          <w:rFonts w:ascii="Times New Roman" w:hAnsi="Times New Roman"/>
          <w:sz w:val="24"/>
          <w:szCs w:val="24"/>
          <w:shd w:val="clear" w:color="auto" w:fill="FFFFFF"/>
        </w:rPr>
        <w:t>франшиза</w:t>
      </w:r>
      <w:r w:rsidRPr="00797E29">
        <w:rPr>
          <w:rFonts w:ascii="Times New Roman" w:hAnsi="Times New Roman"/>
          <w:sz w:val="24"/>
          <w:szCs w:val="24"/>
          <w:shd w:val="clear" w:color="auto" w:fill="FFFFFF"/>
        </w:rPr>
        <w:t xml:space="preserve"> </w:t>
      </w:r>
      <w:r w:rsidR="003C731E" w:rsidRPr="00797E29">
        <w:rPr>
          <w:rFonts w:ascii="Times New Roman" w:hAnsi="Times New Roman"/>
          <w:sz w:val="24"/>
          <w:szCs w:val="24"/>
          <w:shd w:val="clear" w:color="auto" w:fill="FFFFFF"/>
        </w:rPr>
        <w:t>и</w:t>
      </w:r>
      <w:r w:rsidRPr="00797E29">
        <w:rPr>
          <w:rFonts w:ascii="Times New Roman" w:hAnsi="Times New Roman"/>
          <w:sz w:val="24"/>
          <w:szCs w:val="24"/>
          <w:shd w:val="clear" w:color="auto" w:fill="FFFFFF"/>
        </w:rPr>
        <w:t xml:space="preserve"> </w:t>
      </w:r>
      <w:r w:rsidR="003C731E" w:rsidRPr="00797E29">
        <w:rPr>
          <w:rFonts w:ascii="Times New Roman" w:hAnsi="Times New Roman"/>
          <w:sz w:val="24"/>
          <w:szCs w:val="24"/>
          <w:shd w:val="clear" w:color="auto" w:fill="FFFFFF"/>
        </w:rPr>
        <w:t>друга</w:t>
      </w:r>
      <w:r w:rsidRPr="00797E29">
        <w:rPr>
          <w:rFonts w:ascii="Times New Roman" w:hAnsi="Times New Roman"/>
          <w:sz w:val="24"/>
          <w:szCs w:val="24"/>
          <w:shd w:val="clear" w:color="auto" w:fill="FFFFFF"/>
        </w:rPr>
        <w:t xml:space="preserve"> </w:t>
      </w:r>
      <w:r w:rsidR="003C731E" w:rsidRPr="00797E29">
        <w:rPr>
          <w:rFonts w:ascii="Times New Roman" w:hAnsi="Times New Roman"/>
          <w:sz w:val="24"/>
          <w:szCs w:val="24"/>
          <w:shd w:val="clear" w:color="auto" w:fill="FFFFFF"/>
        </w:rPr>
        <w:t>права</w:t>
      </w:r>
      <w:r w:rsidR="000A5499" w:rsidRPr="00797E29">
        <w:rPr>
          <w:rFonts w:ascii="Times New Roman" w:hAnsi="Times New Roman"/>
          <w:sz w:val="24"/>
          <w:szCs w:val="24"/>
          <w:shd w:val="clear" w:color="auto" w:fill="FFFFFF"/>
          <w:lang w:val="sr-Cyrl-CS"/>
        </w:rPr>
        <w:t>)</w:t>
      </w:r>
      <w:r w:rsidRPr="00797E29">
        <w:rPr>
          <w:rFonts w:ascii="Times New Roman" w:hAnsi="Times New Roman"/>
          <w:sz w:val="24"/>
          <w:szCs w:val="24"/>
          <w:shd w:val="clear" w:color="auto" w:fill="FFFFFF"/>
          <w:lang w:val="sr-Cyrl-CS"/>
        </w:rPr>
        <w:t xml:space="preserve"> итд. У </w:t>
      </w:r>
      <w:r w:rsidR="000A5499" w:rsidRPr="00797E29">
        <w:rPr>
          <w:rFonts w:ascii="Times New Roman" w:hAnsi="Times New Roman"/>
          <w:sz w:val="24"/>
          <w:szCs w:val="24"/>
          <w:shd w:val="clear" w:color="auto" w:fill="FFFFFF"/>
        </w:rPr>
        <w:t xml:space="preserve">III </w:t>
      </w:r>
      <w:r w:rsidRPr="00797E29">
        <w:rPr>
          <w:rFonts w:ascii="Times New Roman" w:hAnsi="Times New Roman"/>
          <w:sz w:val="24"/>
          <w:szCs w:val="24"/>
          <w:shd w:val="clear" w:color="auto" w:fill="FFFFFF"/>
          <w:lang w:val="sr-Cyrl-CS"/>
        </w:rPr>
        <w:t>групу спадају:</w:t>
      </w:r>
      <w:r w:rsidR="00DA6A4F" w:rsidRPr="00797E29">
        <w:rPr>
          <w:rFonts w:ascii="Times New Roman" w:hAnsi="Times New Roman"/>
          <w:sz w:val="24"/>
          <w:szCs w:val="24"/>
          <w:shd w:val="clear" w:color="auto" w:fill="FFFFFF"/>
          <w:lang w:val="sr-Cyrl-CS"/>
        </w:rPr>
        <w:t xml:space="preserve"> аутобуси, радари, телевизијске антене, фискалне касе итд. У </w:t>
      </w:r>
      <w:r w:rsidR="000A5499" w:rsidRPr="00797E29">
        <w:rPr>
          <w:rFonts w:ascii="Times New Roman" w:hAnsi="Times New Roman"/>
          <w:sz w:val="24"/>
          <w:szCs w:val="24"/>
          <w:shd w:val="clear" w:color="auto" w:fill="FFFFFF"/>
        </w:rPr>
        <w:t xml:space="preserve">IV </w:t>
      </w:r>
      <w:r w:rsidR="00DA6A4F" w:rsidRPr="00797E29">
        <w:rPr>
          <w:rFonts w:ascii="Times New Roman" w:hAnsi="Times New Roman"/>
          <w:sz w:val="24"/>
          <w:szCs w:val="24"/>
          <w:shd w:val="clear" w:color="auto" w:fill="FFFFFF"/>
          <w:lang w:val="sr-Cyrl-CS"/>
        </w:rPr>
        <w:t>групу спадају:</w:t>
      </w:r>
      <w:r w:rsidR="000A5499" w:rsidRPr="00797E29">
        <w:rPr>
          <w:rFonts w:ascii="Times New Roman" w:hAnsi="Times New Roman"/>
          <w:sz w:val="24"/>
          <w:szCs w:val="24"/>
          <w:shd w:val="clear" w:color="auto" w:fill="FFFFFF"/>
          <w:lang w:val="sr-Cyrl-CS"/>
        </w:rPr>
        <w:t xml:space="preserve"> </w:t>
      </w:r>
      <w:r w:rsidR="00DA6A4F" w:rsidRPr="00797E29">
        <w:rPr>
          <w:rFonts w:ascii="Times New Roman" w:hAnsi="Times New Roman"/>
          <w:sz w:val="24"/>
          <w:szCs w:val="24"/>
          <w:shd w:val="clear" w:color="auto" w:fill="FFFFFF"/>
          <w:lang w:val="sr-Cyrl-CS"/>
        </w:rPr>
        <w:t xml:space="preserve">намештај у авионима, резервни делови за авионе, опрема за емитовање радио и ТВ програма итд. У </w:t>
      </w:r>
      <w:r w:rsidR="000A5499" w:rsidRPr="00797E29">
        <w:rPr>
          <w:rFonts w:ascii="Times New Roman" w:hAnsi="Times New Roman"/>
          <w:sz w:val="24"/>
          <w:szCs w:val="24"/>
          <w:shd w:val="clear" w:color="auto" w:fill="FFFFFF"/>
        </w:rPr>
        <w:t xml:space="preserve">V </w:t>
      </w:r>
      <w:r w:rsidR="00DA6A4F" w:rsidRPr="00797E29">
        <w:rPr>
          <w:rFonts w:ascii="Times New Roman" w:hAnsi="Times New Roman"/>
          <w:sz w:val="24"/>
          <w:szCs w:val="24"/>
          <w:shd w:val="clear" w:color="auto" w:fill="FFFFFF"/>
          <w:lang w:val="sr-Cyrl-CS"/>
        </w:rPr>
        <w:t xml:space="preserve">групу спадају: аутомобили за изнајмљивање и лизинг и такси возила, </w:t>
      </w:r>
      <w:r w:rsidR="000A5499" w:rsidRPr="00797E29">
        <w:rPr>
          <w:rFonts w:ascii="Times New Roman" w:hAnsi="Times New Roman"/>
          <w:sz w:val="24"/>
          <w:szCs w:val="24"/>
          <w:shd w:val="clear" w:color="auto" w:fill="FFFFFF"/>
          <w:lang w:val="sr-Cyrl-CS"/>
        </w:rPr>
        <w:t>б</w:t>
      </w:r>
      <w:r w:rsidR="003C731E" w:rsidRPr="00797E29">
        <w:rPr>
          <w:rFonts w:ascii="Times New Roman" w:hAnsi="Times New Roman"/>
          <w:sz w:val="24"/>
          <w:szCs w:val="24"/>
          <w:shd w:val="clear" w:color="auto" w:fill="FFFFFF"/>
        </w:rPr>
        <w:t>илбордови</w:t>
      </w:r>
      <w:r w:rsidR="00DA6A4F" w:rsidRPr="00797E29">
        <w:rPr>
          <w:rFonts w:ascii="Times New Roman" w:hAnsi="Times New Roman"/>
          <w:sz w:val="24"/>
          <w:szCs w:val="24"/>
          <w:shd w:val="clear" w:color="auto" w:fill="FFFFFF"/>
          <w:lang w:val="sr-Cyrl-CS"/>
        </w:rPr>
        <w:t xml:space="preserve">, </w:t>
      </w:r>
      <w:r w:rsidR="000A5499" w:rsidRPr="00797E29">
        <w:rPr>
          <w:rFonts w:ascii="Times New Roman" w:hAnsi="Times New Roman"/>
          <w:sz w:val="24"/>
          <w:szCs w:val="24"/>
          <w:shd w:val="clear" w:color="auto" w:fill="FFFFFF"/>
          <w:lang w:val="sr-Cyrl-CS"/>
        </w:rPr>
        <w:t>ф</w:t>
      </w:r>
      <w:r w:rsidR="003C731E" w:rsidRPr="00797E29">
        <w:rPr>
          <w:rFonts w:ascii="Times New Roman" w:hAnsi="Times New Roman"/>
          <w:sz w:val="24"/>
          <w:szCs w:val="24"/>
          <w:shd w:val="clear" w:color="auto" w:fill="FFFFFF"/>
        </w:rPr>
        <w:t>илмови</w:t>
      </w:r>
      <w:r w:rsidR="00DA6A4F" w:rsidRPr="00797E29">
        <w:rPr>
          <w:rFonts w:ascii="Times New Roman" w:hAnsi="Times New Roman"/>
          <w:sz w:val="24"/>
          <w:szCs w:val="24"/>
          <w:shd w:val="clear" w:color="auto" w:fill="FFFFFF"/>
          <w:lang w:val="sr-Cyrl-CS"/>
        </w:rPr>
        <w:t xml:space="preserve">, </w:t>
      </w:r>
      <w:r w:rsidR="000A5499" w:rsidRPr="00797E29">
        <w:rPr>
          <w:rFonts w:ascii="Times New Roman" w:hAnsi="Times New Roman"/>
          <w:sz w:val="24"/>
          <w:szCs w:val="24"/>
          <w:shd w:val="clear" w:color="auto" w:fill="FFFFFF"/>
          <w:lang w:val="sr-Cyrl-CS"/>
        </w:rPr>
        <w:t>т</w:t>
      </w:r>
      <w:r w:rsidR="003C731E" w:rsidRPr="00797E29">
        <w:rPr>
          <w:rFonts w:ascii="Times New Roman" w:hAnsi="Times New Roman"/>
          <w:sz w:val="24"/>
          <w:szCs w:val="24"/>
          <w:shd w:val="clear" w:color="auto" w:fill="FFFFFF"/>
        </w:rPr>
        <w:t>елевизијске</w:t>
      </w:r>
      <w:r w:rsidR="00DA6A4F" w:rsidRPr="00797E29">
        <w:rPr>
          <w:rFonts w:ascii="Times New Roman" w:hAnsi="Times New Roman"/>
          <w:sz w:val="24"/>
          <w:szCs w:val="24"/>
          <w:shd w:val="clear" w:color="auto" w:fill="FFFFFF"/>
        </w:rPr>
        <w:t xml:space="preserve"> </w:t>
      </w:r>
      <w:r w:rsidR="003C731E" w:rsidRPr="00797E29">
        <w:rPr>
          <w:rFonts w:ascii="Times New Roman" w:hAnsi="Times New Roman"/>
          <w:sz w:val="24"/>
          <w:szCs w:val="24"/>
          <w:shd w:val="clear" w:color="auto" w:fill="FFFFFF"/>
        </w:rPr>
        <w:t>рекламе</w:t>
      </w:r>
      <w:r w:rsidR="00DA6A4F" w:rsidRPr="00797E29">
        <w:rPr>
          <w:rFonts w:ascii="Times New Roman" w:hAnsi="Times New Roman"/>
          <w:sz w:val="24"/>
          <w:szCs w:val="24"/>
          <w:shd w:val="clear" w:color="auto" w:fill="FFFFFF"/>
        </w:rPr>
        <w:t xml:space="preserve"> </w:t>
      </w:r>
      <w:r w:rsidR="003C731E" w:rsidRPr="00797E29">
        <w:rPr>
          <w:rFonts w:ascii="Times New Roman" w:hAnsi="Times New Roman"/>
          <w:sz w:val="24"/>
          <w:szCs w:val="24"/>
          <w:shd w:val="clear" w:color="auto" w:fill="FFFFFF"/>
        </w:rPr>
        <w:t>и</w:t>
      </w:r>
      <w:r w:rsidR="00DA6A4F" w:rsidRPr="00797E29">
        <w:rPr>
          <w:rFonts w:ascii="Times New Roman" w:hAnsi="Times New Roman"/>
          <w:sz w:val="24"/>
          <w:szCs w:val="24"/>
          <w:shd w:val="clear" w:color="auto" w:fill="FFFFFF"/>
        </w:rPr>
        <w:t xml:space="preserve"> </w:t>
      </w:r>
      <w:r w:rsidR="003C731E" w:rsidRPr="00797E29">
        <w:rPr>
          <w:rFonts w:ascii="Times New Roman" w:hAnsi="Times New Roman"/>
          <w:sz w:val="24"/>
          <w:szCs w:val="24"/>
          <w:shd w:val="clear" w:color="auto" w:fill="FFFFFF"/>
        </w:rPr>
        <w:t>спотови</w:t>
      </w:r>
      <w:r w:rsidR="00DA6A4F" w:rsidRPr="00797E29">
        <w:rPr>
          <w:rFonts w:ascii="Times New Roman" w:hAnsi="Times New Roman"/>
          <w:sz w:val="24"/>
          <w:szCs w:val="24"/>
          <w:shd w:val="clear" w:color="auto" w:fill="FFFFFF"/>
          <w:lang w:val="sr-Cyrl-CS"/>
        </w:rPr>
        <w:t xml:space="preserve">, </w:t>
      </w:r>
      <w:r w:rsidR="000A5499" w:rsidRPr="00797E29">
        <w:rPr>
          <w:rFonts w:ascii="Times New Roman" w:hAnsi="Times New Roman"/>
          <w:sz w:val="24"/>
          <w:szCs w:val="24"/>
          <w:shd w:val="clear" w:color="auto" w:fill="FFFFFF"/>
          <w:lang w:val="sr-Cyrl-CS"/>
        </w:rPr>
        <w:t>т</w:t>
      </w:r>
      <w:r w:rsidR="003C731E" w:rsidRPr="00797E29">
        <w:rPr>
          <w:rFonts w:ascii="Times New Roman" w:hAnsi="Times New Roman"/>
          <w:sz w:val="24"/>
          <w:szCs w:val="24"/>
          <w:shd w:val="clear" w:color="auto" w:fill="FFFFFF"/>
        </w:rPr>
        <w:t>рактори</w:t>
      </w:r>
      <w:r w:rsidR="00DA6A4F" w:rsidRPr="00797E29">
        <w:rPr>
          <w:rFonts w:ascii="Times New Roman" w:hAnsi="Times New Roman"/>
          <w:sz w:val="24"/>
          <w:szCs w:val="24"/>
          <w:shd w:val="clear" w:color="auto" w:fill="FFFFFF"/>
          <w:lang w:val="sr-Cyrl-CS"/>
        </w:rPr>
        <w:t xml:space="preserve">, </w:t>
      </w:r>
      <w:r w:rsidR="000A5499" w:rsidRPr="00797E29">
        <w:rPr>
          <w:rFonts w:ascii="Times New Roman" w:hAnsi="Times New Roman"/>
          <w:sz w:val="24"/>
          <w:szCs w:val="24"/>
          <w:shd w:val="clear" w:color="auto" w:fill="FFFFFF"/>
          <w:lang w:val="sr-Cyrl-CS"/>
        </w:rPr>
        <w:t>в</w:t>
      </w:r>
      <w:r w:rsidR="003C731E" w:rsidRPr="00797E29">
        <w:rPr>
          <w:rFonts w:ascii="Times New Roman" w:hAnsi="Times New Roman"/>
          <w:sz w:val="24"/>
          <w:szCs w:val="24"/>
          <w:shd w:val="clear" w:color="auto" w:fill="FFFFFF"/>
        </w:rPr>
        <w:t>идео</w:t>
      </w:r>
      <w:r w:rsidR="00DA6A4F" w:rsidRPr="00797E29">
        <w:rPr>
          <w:rFonts w:ascii="Times New Roman" w:hAnsi="Times New Roman"/>
          <w:sz w:val="24"/>
          <w:szCs w:val="24"/>
          <w:shd w:val="clear" w:color="auto" w:fill="FFFFFF"/>
        </w:rPr>
        <w:t xml:space="preserve"> </w:t>
      </w:r>
      <w:r w:rsidR="003C731E" w:rsidRPr="00797E29">
        <w:rPr>
          <w:rFonts w:ascii="Times New Roman" w:hAnsi="Times New Roman"/>
          <w:sz w:val="24"/>
          <w:szCs w:val="24"/>
          <w:shd w:val="clear" w:color="auto" w:fill="FFFFFF"/>
        </w:rPr>
        <w:t>игре</w:t>
      </w:r>
      <w:r w:rsidR="00DA6A4F" w:rsidRPr="00797E29">
        <w:rPr>
          <w:rFonts w:ascii="Times New Roman" w:hAnsi="Times New Roman"/>
          <w:sz w:val="24"/>
          <w:szCs w:val="24"/>
          <w:shd w:val="clear" w:color="auto" w:fill="FFFFFF"/>
        </w:rPr>
        <w:t xml:space="preserve"> - </w:t>
      </w:r>
      <w:r w:rsidR="003C731E" w:rsidRPr="00797E29">
        <w:rPr>
          <w:rFonts w:ascii="Times New Roman" w:hAnsi="Times New Roman"/>
          <w:sz w:val="24"/>
          <w:szCs w:val="24"/>
          <w:shd w:val="clear" w:color="auto" w:fill="FFFFFF"/>
        </w:rPr>
        <w:t>на</w:t>
      </w:r>
      <w:r w:rsidR="00DA6A4F" w:rsidRPr="00797E29">
        <w:rPr>
          <w:rFonts w:ascii="Times New Roman" w:hAnsi="Times New Roman"/>
          <w:sz w:val="24"/>
          <w:szCs w:val="24"/>
          <w:shd w:val="clear" w:color="auto" w:fill="FFFFFF"/>
        </w:rPr>
        <w:t xml:space="preserve"> </w:t>
      </w:r>
      <w:r w:rsidR="003C731E" w:rsidRPr="00797E29">
        <w:rPr>
          <w:rFonts w:ascii="Times New Roman" w:hAnsi="Times New Roman"/>
          <w:sz w:val="24"/>
          <w:szCs w:val="24"/>
          <w:shd w:val="clear" w:color="auto" w:fill="FFFFFF"/>
        </w:rPr>
        <w:t>новчић</w:t>
      </w:r>
      <w:r w:rsidR="00DA6A4F" w:rsidRPr="00797E29">
        <w:rPr>
          <w:rFonts w:ascii="Times New Roman" w:hAnsi="Times New Roman"/>
          <w:sz w:val="24"/>
          <w:szCs w:val="24"/>
          <w:shd w:val="clear" w:color="auto" w:fill="FFFFFF"/>
          <w:lang w:val="sr-Cyrl-CS"/>
        </w:rPr>
        <w:t xml:space="preserve">, </w:t>
      </w:r>
      <w:r w:rsidR="000A5499" w:rsidRPr="00797E29">
        <w:rPr>
          <w:rFonts w:ascii="Times New Roman" w:hAnsi="Times New Roman"/>
          <w:sz w:val="24"/>
          <w:szCs w:val="24"/>
          <w:shd w:val="clear" w:color="auto" w:fill="FFFFFF"/>
          <w:lang w:val="sr-Cyrl-CS"/>
        </w:rPr>
        <w:t>в</w:t>
      </w:r>
      <w:r w:rsidR="003C731E" w:rsidRPr="00797E29">
        <w:rPr>
          <w:rFonts w:ascii="Times New Roman" w:hAnsi="Times New Roman"/>
          <w:sz w:val="24"/>
          <w:szCs w:val="24"/>
          <w:shd w:val="clear" w:color="auto" w:fill="FFFFFF"/>
        </w:rPr>
        <w:t>идео</w:t>
      </w:r>
      <w:r w:rsidR="00DA6A4F" w:rsidRPr="00797E29">
        <w:rPr>
          <w:rFonts w:ascii="Times New Roman" w:hAnsi="Times New Roman"/>
          <w:sz w:val="24"/>
          <w:szCs w:val="24"/>
          <w:shd w:val="clear" w:color="auto" w:fill="FFFFFF"/>
        </w:rPr>
        <w:t xml:space="preserve"> </w:t>
      </w:r>
      <w:r w:rsidR="003C731E" w:rsidRPr="00797E29">
        <w:rPr>
          <w:rFonts w:ascii="Times New Roman" w:hAnsi="Times New Roman"/>
          <w:sz w:val="24"/>
          <w:szCs w:val="24"/>
          <w:shd w:val="clear" w:color="auto" w:fill="FFFFFF"/>
        </w:rPr>
        <w:t>траке</w:t>
      </w:r>
      <w:r w:rsidR="00DA6A4F" w:rsidRPr="00797E29">
        <w:rPr>
          <w:rFonts w:ascii="Times New Roman" w:hAnsi="Times New Roman"/>
          <w:sz w:val="24"/>
          <w:szCs w:val="24"/>
          <w:shd w:val="clear" w:color="auto" w:fill="FFFFFF"/>
        </w:rPr>
        <w:t xml:space="preserve">, </w:t>
      </w:r>
      <w:r w:rsidR="003C731E" w:rsidRPr="00797E29">
        <w:rPr>
          <w:rFonts w:ascii="Times New Roman" w:hAnsi="Times New Roman"/>
          <w:sz w:val="24"/>
          <w:szCs w:val="24"/>
          <w:shd w:val="clear" w:color="auto" w:fill="FFFFFF"/>
        </w:rPr>
        <w:t>ЦД</w:t>
      </w:r>
      <w:r w:rsidR="00DA6A4F" w:rsidRPr="00797E29">
        <w:rPr>
          <w:rFonts w:ascii="Times New Roman" w:hAnsi="Times New Roman"/>
          <w:sz w:val="24"/>
          <w:szCs w:val="24"/>
          <w:shd w:val="clear" w:color="auto" w:fill="FFFFFF"/>
        </w:rPr>
        <w:t xml:space="preserve">, </w:t>
      </w:r>
      <w:r w:rsidR="003C731E" w:rsidRPr="00797E29">
        <w:rPr>
          <w:rFonts w:ascii="Times New Roman" w:hAnsi="Times New Roman"/>
          <w:sz w:val="24"/>
          <w:szCs w:val="24"/>
          <w:shd w:val="clear" w:color="auto" w:fill="FFFFFF"/>
        </w:rPr>
        <w:t>ДВД</w:t>
      </w:r>
      <w:r w:rsidR="00DA6A4F" w:rsidRPr="00797E29">
        <w:rPr>
          <w:rFonts w:ascii="Times New Roman" w:hAnsi="Times New Roman"/>
          <w:sz w:val="24"/>
          <w:szCs w:val="24"/>
          <w:shd w:val="clear" w:color="auto" w:fill="FFFFFF"/>
        </w:rPr>
        <w:t xml:space="preserve"> </w:t>
      </w:r>
      <w:r w:rsidR="003C731E" w:rsidRPr="00797E29">
        <w:rPr>
          <w:rFonts w:ascii="Times New Roman" w:hAnsi="Times New Roman"/>
          <w:sz w:val="24"/>
          <w:szCs w:val="24"/>
          <w:shd w:val="clear" w:color="auto" w:fill="FFFFFF"/>
        </w:rPr>
        <w:t>и</w:t>
      </w:r>
      <w:r w:rsidR="00DA6A4F" w:rsidRPr="00797E29">
        <w:rPr>
          <w:rFonts w:ascii="Times New Roman" w:hAnsi="Times New Roman"/>
          <w:sz w:val="24"/>
          <w:szCs w:val="24"/>
          <w:shd w:val="clear" w:color="auto" w:fill="FFFFFF"/>
          <w:lang w:val="sr-Cyrl-CS"/>
        </w:rPr>
        <w:t>тд.</w:t>
      </w:r>
      <w:r w:rsidR="00797E29">
        <w:rPr>
          <w:rFonts w:ascii="Times New Roman" w:hAnsi="Times New Roman"/>
          <w:sz w:val="24"/>
          <w:szCs w:val="24"/>
          <w:shd w:val="clear" w:color="auto" w:fill="FFFFFF"/>
          <w:lang w:val="sr-Cyrl-CS"/>
        </w:rPr>
        <w:t xml:space="preserve"> </w:t>
      </w:r>
    </w:p>
    <w:p w:rsidR="00D57F68" w:rsidRPr="00797E29" w:rsidRDefault="003C731E" w:rsidP="00797E29">
      <w:pPr>
        <w:ind w:firstLine="708"/>
        <w:jc w:val="both"/>
        <w:rPr>
          <w:rFonts w:ascii="Times New Roman" w:hAnsi="Times New Roman"/>
          <w:sz w:val="24"/>
          <w:szCs w:val="24"/>
          <w:shd w:val="clear" w:color="auto" w:fill="FFFFFF"/>
          <w:lang w:val="sr-Cyrl-CS"/>
        </w:rPr>
      </w:pPr>
      <w:r w:rsidRPr="00797E29">
        <w:rPr>
          <w:rFonts w:ascii="Times New Roman" w:hAnsi="Times New Roman"/>
          <w:sz w:val="24"/>
          <w:szCs w:val="24"/>
          <w:shd w:val="clear" w:color="auto" w:fill="FFFFFF"/>
        </w:rPr>
        <w:t>Амортизација</w:t>
      </w:r>
      <w:r w:rsidR="00E23CF5" w:rsidRPr="00797E29">
        <w:rPr>
          <w:rFonts w:ascii="Times New Roman" w:hAnsi="Times New Roman"/>
          <w:sz w:val="24"/>
          <w:szCs w:val="24"/>
          <w:shd w:val="clear" w:color="auto" w:fill="FFFFFF"/>
        </w:rPr>
        <w:t xml:space="preserve"> </w:t>
      </w:r>
      <w:r w:rsidR="000A5499" w:rsidRPr="00797E29">
        <w:rPr>
          <w:rFonts w:ascii="Times New Roman" w:hAnsi="Times New Roman"/>
          <w:sz w:val="24"/>
          <w:szCs w:val="24"/>
          <w:shd w:val="clear" w:color="auto" w:fill="FFFFFF"/>
          <w:lang w:val="sr-Cyrl-CS"/>
        </w:rPr>
        <w:t xml:space="preserve">се </w:t>
      </w:r>
      <w:r w:rsidRPr="00797E29">
        <w:rPr>
          <w:rFonts w:ascii="Times New Roman" w:hAnsi="Times New Roman"/>
          <w:sz w:val="24"/>
          <w:szCs w:val="24"/>
          <w:shd w:val="clear" w:color="auto" w:fill="FFFFFF"/>
        </w:rPr>
        <w:t>обрачунава</w:t>
      </w:r>
      <w:r w:rsidR="00E23CF5" w:rsidRPr="00797E29">
        <w:rPr>
          <w:rFonts w:ascii="Times New Roman" w:hAnsi="Times New Roman"/>
          <w:sz w:val="24"/>
          <w:szCs w:val="24"/>
          <w:shd w:val="clear" w:color="auto" w:fill="FFFFFF"/>
        </w:rPr>
        <w:t xml:space="preserve"> </w:t>
      </w:r>
      <w:r w:rsidRPr="00797E29">
        <w:rPr>
          <w:rFonts w:ascii="Times New Roman" w:hAnsi="Times New Roman"/>
          <w:sz w:val="24"/>
          <w:szCs w:val="24"/>
          <w:shd w:val="clear" w:color="auto" w:fill="FFFFFF"/>
        </w:rPr>
        <w:t>применом</w:t>
      </w:r>
      <w:r w:rsidR="00E23CF5" w:rsidRPr="00797E29">
        <w:rPr>
          <w:rFonts w:ascii="Times New Roman" w:hAnsi="Times New Roman"/>
          <w:sz w:val="24"/>
          <w:szCs w:val="24"/>
          <w:shd w:val="clear" w:color="auto" w:fill="FFFFFF"/>
        </w:rPr>
        <w:t xml:space="preserve"> </w:t>
      </w:r>
      <w:r w:rsidRPr="00797E29">
        <w:rPr>
          <w:rFonts w:ascii="Times New Roman" w:hAnsi="Times New Roman"/>
          <w:sz w:val="24"/>
          <w:szCs w:val="24"/>
          <w:shd w:val="clear" w:color="auto" w:fill="FFFFFF"/>
        </w:rPr>
        <w:t>прописане</w:t>
      </w:r>
      <w:r w:rsidR="00E23CF5" w:rsidRPr="00797E29">
        <w:rPr>
          <w:rFonts w:ascii="Times New Roman" w:hAnsi="Times New Roman"/>
          <w:sz w:val="24"/>
          <w:szCs w:val="24"/>
          <w:shd w:val="clear" w:color="auto" w:fill="FFFFFF"/>
        </w:rPr>
        <w:t xml:space="preserve"> </w:t>
      </w:r>
      <w:r w:rsidRPr="00797E29">
        <w:rPr>
          <w:rFonts w:ascii="Times New Roman" w:hAnsi="Times New Roman"/>
          <w:sz w:val="24"/>
          <w:szCs w:val="24"/>
          <w:shd w:val="clear" w:color="auto" w:fill="FFFFFF"/>
        </w:rPr>
        <w:t>стопе</w:t>
      </w:r>
      <w:r w:rsidR="00E23CF5" w:rsidRPr="00797E29">
        <w:rPr>
          <w:rFonts w:ascii="Times New Roman" w:hAnsi="Times New Roman"/>
          <w:sz w:val="24"/>
          <w:szCs w:val="24"/>
          <w:shd w:val="clear" w:color="auto" w:fill="FFFFFF"/>
        </w:rPr>
        <w:t xml:space="preserve">, </w:t>
      </w:r>
      <w:r w:rsidRPr="00797E29">
        <w:rPr>
          <w:rFonts w:ascii="Times New Roman" w:hAnsi="Times New Roman"/>
          <w:sz w:val="24"/>
          <w:szCs w:val="24"/>
          <w:shd w:val="clear" w:color="auto" w:fill="FFFFFF"/>
        </w:rPr>
        <w:t>у</w:t>
      </w:r>
      <w:r w:rsidR="00E23CF5" w:rsidRPr="00797E29">
        <w:rPr>
          <w:rFonts w:ascii="Times New Roman" w:hAnsi="Times New Roman"/>
          <w:sz w:val="24"/>
          <w:szCs w:val="24"/>
          <w:shd w:val="clear" w:color="auto" w:fill="FFFFFF"/>
        </w:rPr>
        <w:t xml:space="preserve"> </w:t>
      </w:r>
      <w:r w:rsidRPr="00797E29">
        <w:rPr>
          <w:rFonts w:ascii="Times New Roman" w:hAnsi="Times New Roman"/>
          <w:sz w:val="24"/>
          <w:szCs w:val="24"/>
          <w:shd w:val="clear" w:color="auto" w:fill="FFFFFF"/>
        </w:rPr>
        <w:t>првој</w:t>
      </w:r>
      <w:r w:rsidR="00E23CF5" w:rsidRPr="00797E29">
        <w:rPr>
          <w:rFonts w:ascii="Times New Roman" w:hAnsi="Times New Roman"/>
          <w:sz w:val="24"/>
          <w:szCs w:val="24"/>
          <w:shd w:val="clear" w:color="auto" w:fill="FFFFFF"/>
        </w:rPr>
        <w:t xml:space="preserve"> </w:t>
      </w:r>
      <w:r w:rsidRPr="00797E29">
        <w:rPr>
          <w:rFonts w:ascii="Times New Roman" w:hAnsi="Times New Roman"/>
          <w:sz w:val="24"/>
          <w:szCs w:val="24"/>
          <w:shd w:val="clear" w:color="auto" w:fill="FFFFFF"/>
        </w:rPr>
        <w:t>години</w:t>
      </w:r>
      <w:r w:rsidR="00E23CF5" w:rsidRPr="00797E29">
        <w:rPr>
          <w:rFonts w:ascii="Times New Roman" w:hAnsi="Times New Roman"/>
          <w:sz w:val="24"/>
          <w:szCs w:val="24"/>
          <w:shd w:val="clear" w:color="auto" w:fill="FFFFFF"/>
        </w:rPr>
        <w:t xml:space="preserve"> </w:t>
      </w:r>
      <w:r w:rsidRPr="00797E29">
        <w:rPr>
          <w:rFonts w:ascii="Times New Roman" w:hAnsi="Times New Roman"/>
          <w:sz w:val="24"/>
          <w:szCs w:val="24"/>
          <w:shd w:val="clear" w:color="auto" w:fill="FFFFFF"/>
        </w:rPr>
        <w:t>на</w:t>
      </w:r>
      <w:r w:rsidR="00E23CF5" w:rsidRPr="00797E29">
        <w:rPr>
          <w:rFonts w:ascii="Times New Roman" w:hAnsi="Times New Roman"/>
          <w:sz w:val="24"/>
          <w:szCs w:val="24"/>
          <w:shd w:val="clear" w:color="auto" w:fill="FFFFFF"/>
        </w:rPr>
        <w:t xml:space="preserve"> </w:t>
      </w:r>
      <w:r w:rsidRPr="00797E29">
        <w:rPr>
          <w:rFonts w:ascii="Times New Roman" w:hAnsi="Times New Roman"/>
          <w:sz w:val="24"/>
          <w:szCs w:val="24"/>
          <w:shd w:val="clear" w:color="auto" w:fill="FFFFFF"/>
        </w:rPr>
        <w:t>набавну</w:t>
      </w:r>
      <w:r w:rsidR="00E23CF5" w:rsidRPr="00797E29">
        <w:rPr>
          <w:rFonts w:ascii="Times New Roman" w:hAnsi="Times New Roman"/>
          <w:sz w:val="24"/>
          <w:szCs w:val="24"/>
          <w:shd w:val="clear" w:color="auto" w:fill="FFFFFF"/>
        </w:rPr>
        <w:t xml:space="preserve"> </w:t>
      </w:r>
      <w:r w:rsidRPr="00797E29">
        <w:rPr>
          <w:rFonts w:ascii="Times New Roman" w:hAnsi="Times New Roman"/>
          <w:sz w:val="24"/>
          <w:szCs w:val="24"/>
          <w:shd w:val="clear" w:color="auto" w:fill="FFFFFF"/>
        </w:rPr>
        <w:t>вредност</w:t>
      </w:r>
      <w:r w:rsidR="00E23CF5" w:rsidRPr="00797E29">
        <w:rPr>
          <w:rFonts w:ascii="Times New Roman" w:hAnsi="Times New Roman"/>
          <w:sz w:val="24"/>
          <w:szCs w:val="24"/>
          <w:shd w:val="clear" w:color="auto" w:fill="FFFFFF"/>
        </w:rPr>
        <w:t xml:space="preserve">, </w:t>
      </w:r>
      <w:r w:rsidRPr="00797E29">
        <w:rPr>
          <w:rFonts w:ascii="Times New Roman" w:hAnsi="Times New Roman"/>
          <w:sz w:val="24"/>
          <w:szCs w:val="24"/>
          <w:shd w:val="clear" w:color="auto" w:fill="FFFFFF"/>
        </w:rPr>
        <w:t>а</w:t>
      </w:r>
      <w:r w:rsidR="00E23CF5" w:rsidRPr="00797E29">
        <w:rPr>
          <w:rFonts w:ascii="Times New Roman" w:hAnsi="Times New Roman"/>
          <w:sz w:val="24"/>
          <w:szCs w:val="24"/>
          <w:shd w:val="clear" w:color="auto" w:fill="FFFFFF"/>
        </w:rPr>
        <w:t xml:space="preserve"> </w:t>
      </w:r>
      <w:r w:rsidRPr="00797E29">
        <w:rPr>
          <w:rFonts w:ascii="Times New Roman" w:hAnsi="Times New Roman"/>
          <w:sz w:val="24"/>
          <w:szCs w:val="24"/>
          <w:shd w:val="clear" w:color="auto" w:fill="FFFFFF"/>
        </w:rPr>
        <w:t>у</w:t>
      </w:r>
      <w:r w:rsidR="00E23CF5" w:rsidRPr="00797E29">
        <w:rPr>
          <w:rFonts w:ascii="Times New Roman" w:hAnsi="Times New Roman"/>
          <w:sz w:val="24"/>
          <w:szCs w:val="24"/>
          <w:shd w:val="clear" w:color="auto" w:fill="FFFFFF"/>
        </w:rPr>
        <w:t xml:space="preserve"> </w:t>
      </w:r>
      <w:r w:rsidRPr="00797E29">
        <w:rPr>
          <w:rFonts w:ascii="Times New Roman" w:hAnsi="Times New Roman"/>
          <w:sz w:val="24"/>
          <w:szCs w:val="24"/>
          <w:shd w:val="clear" w:color="auto" w:fill="FFFFFF"/>
        </w:rPr>
        <w:t>наредним</w:t>
      </w:r>
      <w:r w:rsidR="00E23CF5" w:rsidRPr="00797E29">
        <w:rPr>
          <w:rFonts w:ascii="Times New Roman" w:hAnsi="Times New Roman"/>
          <w:sz w:val="24"/>
          <w:szCs w:val="24"/>
          <w:shd w:val="clear" w:color="auto" w:fill="FFFFFF"/>
        </w:rPr>
        <w:t xml:space="preserve"> </w:t>
      </w:r>
      <w:r w:rsidRPr="00797E29">
        <w:rPr>
          <w:rFonts w:ascii="Times New Roman" w:hAnsi="Times New Roman"/>
          <w:sz w:val="24"/>
          <w:szCs w:val="24"/>
          <w:shd w:val="clear" w:color="auto" w:fill="FFFFFF"/>
        </w:rPr>
        <w:t>годинама</w:t>
      </w:r>
      <w:r w:rsidR="00E23CF5" w:rsidRPr="00797E29">
        <w:rPr>
          <w:rFonts w:ascii="Times New Roman" w:hAnsi="Times New Roman"/>
          <w:sz w:val="24"/>
          <w:szCs w:val="24"/>
          <w:shd w:val="clear" w:color="auto" w:fill="FFFFFF"/>
        </w:rPr>
        <w:t xml:space="preserve"> </w:t>
      </w:r>
      <w:r w:rsidRPr="00797E29">
        <w:rPr>
          <w:rFonts w:ascii="Times New Roman" w:hAnsi="Times New Roman"/>
          <w:sz w:val="24"/>
          <w:szCs w:val="24"/>
          <w:shd w:val="clear" w:color="auto" w:fill="FFFFFF"/>
        </w:rPr>
        <w:t>на</w:t>
      </w:r>
      <w:r w:rsidR="00E23CF5" w:rsidRPr="00797E29">
        <w:rPr>
          <w:rFonts w:ascii="Times New Roman" w:hAnsi="Times New Roman"/>
          <w:sz w:val="24"/>
          <w:szCs w:val="24"/>
          <w:shd w:val="clear" w:color="auto" w:fill="FFFFFF"/>
        </w:rPr>
        <w:t xml:space="preserve"> </w:t>
      </w:r>
      <w:r w:rsidRPr="00797E29">
        <w:rPr>
          <w:rFonts w:ascii="Times New Roman" w:hAnsi="Times New Roman"/>
          <w:sz w:val="24"/>
          <w:szCs w:val="24"/>
          <w:shd w:val="clear" w:color="auto" w:fill="FFFFFF"/>
        </w:rPr>
        <w:t>износ</w:t>
      </w:r>
      <w:r w:rsidR="00E23CF5" w:rsidRPr="00797E29">
        <w:rPr>
          <w:rFonts w:ascii="Times New Roman" w:hAnsi="Times New Roman"/>
          <w:sz w:val="24"/>
          <w:szCs w:val="24"/>
          <w:shd w:val="clear" w:color="auto" w:fill="FFFFFF"/>
        </w:rPr>
        <w:t xml:space="preserve"> </w:t>
      </w:r>
      <w:r w:rsidRPr="00797E29">
        <w:rPr>
          <w:rFonts w:ascii="Times New Roman" w:hAnsi="Times New Roman"/>
          <w:sz w:val="24"/>
          <w:szCs w:val="24"/>
          <w:shd w:val="clear" w:color="auto" w:fill="FFFFFF"/>
        </w:rPr>
        <w:t>неотписане</w:t>
      </w:r>
      <w:r w:rsidR="00E23CF5" w:rsidRPr="00797E29">
        <w:rPr>
          <w:rFonts w:ascii="Times New Roman" w:hAnsi="Times New Roman"/>
          <w:sz w:val="24"/>
          <w:szCs w:val="24"/>
          <w:shd w:val="clear" w:color="auto" w:fill="FFFFFF"/>
        </w:rPr>
        <w:t xml:space="preserve"> </w:t>
      </w:r>
      <w:r w:rsidRPr="00797E29">
        <w:rPr>
          <w:rFonts w:ascii="Times New Roman" w:hAnsi="Times New Roman"/>
          <w:sz w:val="24"/>
          <w:szCs w:val="24"/>
          <w:shd w:val="clear" w:color="auto" w:fill="FFFFFF"/>
        </w:rPr>
        <w:t>вредности</w:t>
      </w:r>
      <w:r w:rsidR="00E23CF5" w:rsidRPr="00797E29">
        <w:rPr>
          <w:rFonts w:ascii="Times New Roman" w:hAnsi="Times New Roman"/>
          <w:sz w:val="24"/>
          <w:szCs w:val="24"/>
          <w:shd w:val="clear" w:color="auto" w:fill="FFFFFF"/>
        </w:rPr>
        <w:t xml:space="preserve"> </w:t>
      </w:r>
      <w:r w:rsidRPr="00797E29">
        <w:rPr>
          <w:rFonts w:ascii="Times New Roman" w:hAnsi="Times New Roman"/>
          <w:sz w:val="24"/>
          <w:szCs w:val="24"/>
          <w:shd w:val="clear" w:color="auto" w:fill="FFFFFF"/>
        </w:rPr>
        <w:t>сталних</w:t>
      </w:r>
      <w:r w:rsidR="00E23CF5" w:rsidRPr="00797E29">
        <w:rPr>
          <w:rFonts w:ascii="Times New Roman" w:hAnsi="Times New Roman"/>
          <w:sz w:val="24"/>
          <w:szCs w:val="24"/>
          <w:shd w:val="clear" w:color="auto" w:fill="FFFFFF"/>
        </w:rPr>
        <w:t xml:space="preserve"> </w:t>
      </w:r>
      <w:r w:rsidRPr="00797E29">
        <w:rPr>
          <w:rFonts w:ascii="Times New Roman" w:hAnsi="Times New Roman"/>
          <w:sz w:val="24"/>
          <w:szCs w:val="24"/>
          <w:shd w:val="clear" w:color="auto" w:fill="FFFFFF"/>
        </w:rPr>
        <w:t>средстава</w:t>
      </w:r>
      <w:r w:rsidR="00E23CF5" w:rsidRPr="00797E29">
        <w:rPr>
          <w:rFonts w:ascii="Times New Roman" w:hAnsi="Times New Roman"/>
          <w:sz w:val="24"/>
          <w:szCs w:val="24"/>
          <w:shd w:val="clear" w:color="auto" w:fill="FFFFFF"/>
        </w:rPr>
        <w:t xml:space="preserve"> </w:t>
      </w:r>
      <w:r w:rsidRPr="00797E29">
        <w:rPr>
          <w:rFonts w:ascii="Times New Roman" w:hAnsi="Times New Roman"/>
          <w:sz w:val="24"/>
          <w:szCs w:val="24"/>
          <w:shd w:val="clear" w:color="auto" w:fill="FFFFFF"/>
        </w:rPr>
        <w:t>групе</w:t>
      </w:r>
      <w:r w:rsidR="00E23CF5" w:rsidRPr="00797E29">
        <w:rPr>
          <w:rFonts w:ascii="Times New Roman" w:hAnsi="Times New Roman"/>
          <w:sz w:val="24"/>
          <w:szCs w:val="24"/>
          <w:shd w:val="clear" w:color="auto" w:fill="FFFFFF"/>
        </w:rPr>
        <w:t xml:space="preserve"> </w:t>
      </w:r>
      <w:r w:rsidRPr="00797E29">
        <w:rPr>
          <w:rFonts w:ascii="Times New Roman" w:hAnsi="Times New Roman"/>
          <w:sz w:val="24"/>
          <w:szCs w:val="24"/>
          <w:shd w:val="clear" w:color="auto" w:fill="FFFFFF"/>
        </w:rPr>
        <w:t>утврђене</w:t>
      </w:r>
      <w:r w:rsidR="00E23CF5" w:rsidRPr="00797E29">
        <w:rPr>
          <w:rFonts w:ascii="Times New Roman" w:hAnsi="Times New Roman"/>
          <w:sz w:val="24"/>
          <w:szCs w:val="24"/>
          <w:shd w:val="clear" w:color="auto" w:fill="FFFFFF"/>
        </w:rPr>
        <w:t xml:space="preserve"> </w:t>
      </w:r>
      <w:r w:rsidRPr="00797E29">
        <w:rPr>
          <w:rFonts w:ascii="Times New Roman" w:hAnsi="Times New Roman"/>
          <w:sz w:val="24"/>
          <w:szCs w:val="24"/>
          <w:shd w:val="clear" w:color="auto" w:fill="FFFFFF"/>
        </w:rPr>
        <w:t>на</w:t>
      </w:r>
      <w:r w:rsidR="00E23CF5" w:rsidRPr="00797E29">
        <w:rPr>
          <w:rFonts w:ascii="Times New Roman" w:hAnsi="Times New Roman"/>
          <w:sz w:val="24"/>
          <w:szCs w:val="24"/>
          <w:shd w:val="clear" w:color="auto" w:fill="FFFFFF"/>
        </w:rPr>
        <w:t xml:space="preserve"> </w:t>
      </w:r>
      <w:r w:rsidRPr="00797E29">
        <w:rPr>
          <w:rFonts w:ascii="Times New Roman" w:hAnsi="Times New Roman"/>
          <w:sz w:val="24"/>
          <w:szCs w:val="24"/>
          <w:shd w:val="clear" w:color="auto" w:fill="FFFFFF"/>
        </w:rPr>
        <w:t>крају</w:t>
      </w:r>
      <w:r w:rsidR="00E23CF5" w:rsidRPr="00797E29">
        <w:rPr>
          <w:rFonts w:ascii="Times New Roman" w:hAnsi="Times New Roman"/>
          <w:sz w:val="24"/>
          <w:szCs w:val="24"/>
          <w:shd w:val="clear" w:color="auto" w:fill="FFFFFF"/>
        </w:rPr>
        <w:t xml:space="preserve"> </w:t>
      </w:r>
      <w:r w:rsidRPr="00797E29">
        <w:rPr>
          <w:rFonts w:ascii="Times New Roman" w:hAnsi="Times New Roman"/>
          <w:sz w:val="24"/>
          <w:szCs w:val="24"/>
          <w:shd w:val="clear" w:color="auto" w:fill="FFFFFF"/>
        </w:rPr>
        <w:t>претходне</w:t>
      </w:r>
      <w:r w:rsidR="00E23CF5" w:rsidRPr="00797E29">
        <w:rPr>
          <w:rFonts w:ascii="Times New Roman" w:hAnsi="Times New Roman"/>
          <w:sz w:val="24"/>
          <w:szCs w:val="24"/>
          <w:shd w:val="clear" w:color="auto" w:fill="FFFFFF"/>
        </w:rPr>
        <w:t xml:space="preserve"> </w:t>
      </w:r>
      <w:r w:rsidRPr="00797E29">
        <w:rPr>
          <w:rFonts w:ascii="Times New Roman" w:hAnsi="Times New Roman"/>
          <w:sz w:val="24"/>
          <w:szCs w:val="24"/>
          <w:shd w:val="clear" w:color="auto" w:fill="FFFFFF"/>
        </w:rPr>
        <w:t>године</w:t>
      </w:r>
      <w:r w:rsidR="00E23CF5" w:rsidRPr="00797E29">
        <w:rPr>
          <w:rFonts w:ascii="Times New Roman" w:hAnsi="Times New Roman"/>
          <w:sz w:val="24"/>
          <w:szCs w:val="24"/>
          <w:shd w:val="clear" w:color="auto" w:fill="FFFFFF"/>
        </w:rPr>
        <w:t xml:space="preserve">, </w:t>
      </w:r>
      <w:r w:rsidRPr="00797E29">
        <w:rPr>
          <w:rFonts w:ascii="Times New Roman" w:hAnsi="Times New Roman"/>
          <w:sz w:val="24"/>
          <w:szCs w:val="24"/>
          <w:shd w:val="clear" w:color="auto" w:fill="FFFFFF"/>
        </w:rPr>
        <w:t>увећане</w:t>
      </w:r>
      <w:r w:rsidR="00E23CF5" w:rsidRPr="00797E29">
        <w:rPr>
          <w:rFonts w:ascii="Times New Roman" w:hAnsi="Times New Roman"/>
          <w:sz w:val="24"/>
          <w:szCs w:val="24"/>
          <w:shd w:val="clear" w:color="auto" w:fill="FFFFFF"/>
        </w:rPr>
        <w:t xml:space="preserve"> </w:t>
      </w:r>
      <w:r w:rsidRPr="00797E29">
        <w:rPr>
          <w:rFonts w:ascii="Times New Roman" w:hAnsi="Times New Roman"/>
          <w:sz w:val="24"/>
          <w:szCs w:val="24"/>
          <w:shd w:val="clear" w:color="auto" w:fill="FFFFFF"/>
        </w:rPr>
        <w:t>за</w:t>
      </w:r>
      <w:r w:rsidR="00E23CF5" w:rsidRPr="00797E29">
        <w:rPr>
          <w:rFonts w:ascii="Times New Roman" w:hAnsi="Times New Roman"/>
          <w:sz w:val="24"/>
          <w:szCs w:val="24"/>
          <w:shd w:val="clear" w:color="auto" w:fill="FFFFFF"/>
        </w:rPr>
        <w:t xml:space="preserve"> </w:t>
      </w:r>
      <w:r w:rsidRPr="00797E29">
        <w:rPr>
          <w:rFonts w:ascii="Times New Roman" w:hAnsi="Times New Roman"/>
          <w:sz w:val="24"/>
          <w:szCs w:val="24"/>
          <w:shd w:val="clear" w:color="auto" w:fill="FFFFFF"/>
        </w:rPr>
        <w:t>вредност</w:t>
      </w:r>
      <w:r w:rsidR="00E23CF5" w:rsidRPr="00797E29">
        <w:rPr>
          <w:rFonts w:ascii="Times New Roman" w:hAnsi="Times New Roman"/>
          <w:sz w:val="24"/>
          <w:szCs w:val="24"/>
          <w:shd w:val="clear" w:color="auto" w:fill="FFFFFF"/>
        </w:rPr>
        <w:t xml:space="preserve"> </w:t>
      </w:r>
      <w:r w:rsidRPr="00797E29">
        <w:rPr>
          <w:rFonts w:ascii="Times New Roman" w:hAnsi="Times New Roman"/>
          <w:sz w:val="24"/>
          <w:szCs w:val="24"/>
          <w:shd w:val="clear" w:color="auto" w:fill="FFFFFF"/>
        </w:rPr>
        <w:t>прибављених</w:t>
      </w:r>
      <w:r w:rsidR="00E23CF5" w:rsidRPr="00797E29">
        <w:rPr>
          <w:rFonts w:ascii="Times New Roman" w:hAnsi="Times New Roman"/>
          <w:sz w:val="24"/>
          <w:szCs w:val="24"/>
          <w:shd w:val="clear" w:color="auto" w:fill="FFFFFF"/>
        </w:rPr>
        <w:t xml:space="preserve"> </w:t>
      </w:r>
      <w:r w:rsidRPr="00797E29">
        <w:rPr>
          <w:rFonts w:ascii="Times New Roman" w:hAnsi="Times New Roman"/>
          <w:sz w:val="24"/>
          <w:szCs w:val="24"/>
          <w:shd w:val="clear" w:color="auto" w:fill="FFFFFF"/>
        </w:rPr>
        <w:t>и</w:t>
      </w:r>
      <w:r w:rsidR="00E23CF5" w:rsidRPr="00797E29">
        <w:rPr>
          <w:rFonts w:ascii="Times New Roman" w:hAnsi="Times New Roman"/>
          <w:sz w:val="24"/>
          <w:szCs w:val="24"/>
          <w:shd w:val="clear" w:color="auto" w:fill="FFFFFF"/>
        </w:rPr>
        <w:t xml:space="preserve"> </w:t>
      </w:r>
      <w:r w:rsidRPr="00797E29">
        <w:rPr>
          <w:rFonts w:ascii="Times New Roman" w:hAnsi="Times New Roman"/>
          <w:sz w:val="24"/>
          <w:szCs w:val="24"/>
          <w:shd w:val="clear" w:color="auto" w:fill="FFFFFF"/>
        </w:rPr>
        <w:t>умањене</w:t>
      </w:r>
      <w:r w:rsidR="00E23CF5" w:rsidRPr="00797E29">
        <w:rPr>
          <w:rFonts w:ascii="Times New Roman" w:hAnsi="Times New Roman"/>
          <w:sz w:val="24"/>
          <w:szCs w:val="24"/>
          <w:shd w:val="clear" w:color="auto" w:fill="FFFFFF"/>
        </w:rPr>
        <w:t xml:space="preserve"> </w:t>
      </w:r>
      <w:r w:rsidRPr="00797E29">
        <w:rPr>
          <w:rFonts w:ascii="Times New Roman" w:hAnsi="Times New Roman"/>
          <w:sz w:val="24"/>
          <w:szCs w:val="24"/>
          <w:shd w:val="clear" w:color="auto" w:fill="FFFFFF"/>
        </w:rPr>
        <w:t>за</w:t>
      </w:r>
      <w:r w:rsidR="00E23CF5" w:rsidRPr="00797E29">
        <w:rPr>
          <w:rFonts w:ascii="Times New Roman" w:hAnsi="Times New Roman"/>
          <w:sz w:val="24"/>
          <w:szCs w:val="24"/>
          <w:shd w:val="clear" w:color="auto" w:fill="FFFFFF"/>
        </w:rPr>
        <w:t xml:space="preserve"> </w:t>
      </w:r>
      <w:r w:rsidRPr="00797E29">
        <w:rPr>
          <w:rFonts w:ascii="Times New Roman" w:hAnsi="Times New Roman"/>
          <w:sz w:val="24"/>
          <w:szCs w:val="24"/>
          <w:shd w:val="clear" w:color="auto" w:fill="FFFFFF"/>
        </w:rPr>
        <w:t>вредност</w:t>
      </w:r>
      <w:r w:rsidR="00E23CF5" w:rsidRPr="00797E29">
        <w:rPr>
          <w:rFonts w:ascii="Times New Roman" w:hAnsi="Times New Roman"/>
          <w:sz w:val="24"/>
          <w:szCs w:val="24"/>
          <w:shd w:val="clear" w:color="auto" w:fill="FFFFFF"/>
        </w:rPr>
        <w:t xml:space="preserve"> </w:t>
      </w:r>
      <w:r w:rsidRPr="00797E29">
        <w:rPr>
          <w:rFonts w:ascii="Times New Roman" w:hAnsi="Times New Roman"/>
          <w:sz w:val="24"/>
          <w:szCs w:val="24"/>
          <w:shd w:val="clear" w:color="auto" w:fill="FFFFFF"/>
        </w:rPr>
        <w:t>отуђених</w:t>
      </w:r>
      <w:r w:rsidR="00E23CF5" w:rsidRPr="00797E29">
        <w:rPr>
          <w:rFonts w:ascii="Times New Roman" w:hAnsi="Times New Roman"/>
          <w:sz w:val="24"/>
          <w:szCs w:val="24"/>
          <w:shd w:val="clear" w:color="auto" w:fill="FFFFFF"/>
        </w:rPr>
        <w:t xml:space="preserve"> </w:t>
      </w:r>
      <w:r w:rsidRPr="00797E29">
        <w:rPr>
          <w:rFonts w:ascii="Times New Roman" w:hAnsi="Times New Roman"/>
          <w:sz w:val="24"/>
          <w:szCs w:val="24"/>
          <w:shd w:val="clear" w:color="auto" w:fill="FFFFFF"/>
        </w:rPr>
        <w:t>сталних</w:t>
      </w:r>
      <w:r w:rsidR="00E23CF5" w:rsidRPr="00797E29">
        <w:rPr>
          <w:rFonts w:ascii="Times New Roman" w:hAnsi="Times New Roman"/>
          <w:sz w:val="24"/>
          <w:szCs w:val="24"/>
          <w:shd w:val="clear" w:color="auto" w:fill="FFFFFF"/>
        </w:rPr>
        <w:t xml:space="preserve"> </w:t>
      </w:r>
      <w:r w:rsidRPr="00797E29">
        <w:rPr>
          <w:rFonts w:ascii="Times New Roman" w:hAnsi="Times New Roman"/>
          <w:sz w:val="24"/>
          <w:szCs w:val="24"/>
          <w:shd w:val="clear" w:color="auto" w:fill="FFFFFF"/>
        </w:rPr>
        <w:t>средстава</w:t>
      </w:r>
      <w:r w:rsidR="00E23CF5" w:rsidRPr="00797E29">
        <w:rPr>
          <w:rFonts w:ascii="Times New Roman" w:hAnsi="Times New Roman"/>
          <w:sz w:val="24"/>
          <w:szCs w:val="24"/>
          <w:shd w:val="clear" w:color="auto" w:fill="FFFFFF"/>
        </w:rPr>
        <w:t xml:space="preserve"> </w:t>
      </w:r>
      <w:r w:rsidRPr="00797E29">
        <w:rPr>
          <w:rFonts w:ascii="Times New Roman" w:hAnsi="Times New Roman"/>
          <w:sz w:val="24"/>
          <w:szCs w:val="24"/>
          <w:shd w:val="clear" w:color="auto" w:fill="FFFFFF"/>
        </w:rPr>
        <w:t>из</w:t>
      </w:r>
      <w:r w:rsidR="00E23CF5" w:rsidRPr="00797E29">
        <w:rPr>
          <w:rFonts w:ascii="Times New Roman" w:hAnsi="Times New Roman"/>
          <w:sz w:val="24"/>
          <w:szCs w:val="24"/>
          <w:shd w:val="clear" w:color="auto" w:fill="FFFFFF"/>
        </w:rPr>
        <w:t xml:space="preserve"> </w:t>
      </w:r>
      <w:r w:rsidRPr="00797E29">
        <w:rPr>
          <w:rFonts w:ascii="Times New Roman" w:hAnsi="Times New Roman"/>
          <w:sz w:val="24"/>
          <w:szCs w:val="24"/>
          <w:shd w:val="clear" w:color="auto" w:fill="FFFFFF"/>
        </w:rPr>
        <w:t>те</w:t>
      </w:r>
      <w:r w:rsidR="00E23CF5" w:rsidRPr="00797E29">
        <w:rPr>
          <w:rFonts w:ascii="Times New Roman" w:hAnsi="Times New Roman"/>
          <w:sz w:val="24"/>
          <w:szCs w:val="24"/>
          <w:shd w:val="clear" w:color="auto" w:fill="FFFFFF"/>
        </w:rPr>
        <w:t xml:space="preserve"> </w:t>
      </w:r>
      <w:r w:rsidRPr="00797E29">
        <w:rPr>
          <w:rFonts w:ascii="Times New Roman" w:hAnsi="Times New Roman"/>
          <w:sz w:val="24"/>
          <w:szCs w:val="24"/>
          <w:shd w:val="clear" w:color="auto" w:fill="FFFFFF"/>
        </w:rPr>
        <w:t>групе</w:t>
      </w:r>
      <w:r w:rsidR="00E23CF5" w:rsidRPr="00797E29">
        <w:rPr>
          <w:rFonts w:ascii="Times New Roman" w:hAnsi="Times New Roman"/>
          <w:sz w:val="24"/>
          <w:szCs w:val="24"/>
          <w:shd w:val="clear" w:color="auto" w:fill="FFFFFF"/>
        </w:rPr>
        <w:t xml:space="preserve"> </w:t>
      </w:r>
      <w:r w:rsidRPr="00797E29">
        <w:rPr>
          <w:rFonts w:ascii="Times New Roman" w:hAnsi="Times New Roman"/>
          <w:sz w:val="24"/>
          <w:szCs w:val="24"/>
          <w:shd w:val="clear" w:color="auto" w:fill="FFFFFF"/>
        </w:rPr>
        <w:t>током</w:t>
      </w:r>
      <w:r w:rsidR="00E23CF5" w:rsidRPr="00797E29">
        <w:rPr>
          <w:rFonts w:ascii="Times New Roman" w:hAnsi="Times New Roman"/>
          <w:sz w:val="24"/>
          <w:szCs w:val="24"/>
          <w:shd w:val="clear" w:color="auto" w:fill="FFFFFF"/>
        </w:rPr>
        <w:t xml:space="preserve"> </w:t>
      </w:r>
      <w:r w:rsidRPr="00797E29">
        <w:rPr>
          <w:rFonts w:ascii="Times New Roman" w:hAnsi="Times New Roman"/>
          <w:sz w:val="24"/>
          <w:szCs w:val="24"/>
          <w:shd w:val="clear" w:color="auto" w:fill="FFFFFF"/>
        </w:rPr>
        <w:t>године</w:t>
      </w:r>
      <w:r w:rsidR="00E23CF5" w:rsidRPr="00797E29">
        <w:rPr>
          <w:rFonts w:ascii="Times New Roman" w:hAnsi="Times New Roman"/>
          <w:sz w:val="24"/>
          <w:szCs w:val="24"/>
          <w:shd w:val="clear" w:color="auto" w:fill="FFFFFF"/>
        </w:rPr>
        <w:t xml:space="preserve">. </w:t>
      </w:r>
      <w:r w:rsidRPr="00797E29">
        <w:rPr>
          <w:rFonts w:ascii="Times New Roman" w:hAnsi="Times New Roman"/>
          <w:sz w:val="24"/>
          <w:szCs w:val="24"/>
          <w:shd w:val="clear" w:color="auto" w:fill="FFFFFF"/>
        </w:rPr>
        <w:t>Вредност</w:t>
      </w:r>
      <w:r w:rsidR="00E23CF5" w:rsidRPr="00797E29">
        <w:rPr>
          <w:rFonts w:ascii="Times New Roman" w:hAnsi="Times New Roman"/>
          <w:sz w:val="24"/>
          <w:szCs w:val="24"/>
          <w:shd w:val="clear" w:color="auto" w:fill="FFFFFF"/>
        </w:rPr>
        <w:t xml:space="preserve"> </w:t>
      </w:r>
      <w:r w:rsidRPr="00797E29">
        <w:rPr>
          <w:rFonts w:ascii="Times New Roman" w:hAnsi="Times New Roman"/>
          <w:sz w:val="24"/>
          <w:szCs w:val="24"/>
          <w:shd w:val="clear" w:color="auto" w:fill="FFFFFF"/>
        </w:rPr>
        <w:t>отуђених</w:t>
      </w:r>
      <w:r w:rsidR="00E23CF5" w:rsidRPr="00797E29">
        <w:rPr>
          <w:rFonts w:ascii="Times New Roman" w:hAnsi="Times New Roman"/>
          <w:sz w:val="24"/>
          <w:szCs w:val="24"/>
          <w:shd w:val="clear" w:color="auto" w:fill="FFFFFF"/>
        </w:rPr>
        <w:t xml:space="preserve"> </w:t>
      </w:r>
      <w:r w:rsidRPr="00797E29">
        <w:rPr>
          <w:rFonts w:ascii="Times New Roman" w:hAnsi="Times New Roman"/>
          <w:sz w:val="24"/>
          <w:szCs w:val="24"/>
          <w:shd w:val="clear" w:color="auto" w:fill="FFFFFF"/>
        </w:rPr>
        <w:t>сталних</w:t>
      </w:r>
      <w:r w:rsidR="00E23CF5" w:rsidRPr="00797E29">
        <w:rPr>
          <w:rFonts w:ascii="Times New Roman" w:hAnsi="Times New Roman"/>
          <w:sz w:val="24"/>
          <w:szCs w:val="24"/>
          <w:shd w:val="clear" w:color="auto" w:fill="FFFFFF"/>
        </w:rPr>
        <w:t xml:space="preserve"> </w:t>
      </w:r>
      <w:r w:rsidRPr="00797E29">
        <w:rPr>
          <w:rFonts w:ascii="Times New Roman" w:hAnsi="Times New Roman"/>
          <w:sz w:val="24"/>
          <w:szCs w:val="24"/>
          <w:shd w:val="clear" w:color="auto" w:fill="FFFFFF"/>
        </w:rPr>
        <w:t>средстава</w:t>
      </w:r>
      <w:r w:rsidR="00E23CF5" w:rsidRPr="00797E29">
        <w:rPr>
          <w:rFonts w:ascii="Times New Roman" w:hAnsi="Times New Roman"/>
          <w:sz w:val="24"/>
          <w:szCs w:val="24"/>
          <w:shd w:val="clear" w:color="auto" w:fill="FFFFFF"/>
        </w:rPr>
        <w:t xml:space="preserve"> </w:t>
      </w:r>
      <w:r w:rsidRPr="00797E29">
        <w:rPr>
          <w:rFonts w:ascii="Times New Roman" w:hAnsi="Times New Roman"/>
          <w:sz w:val="24"/>
          <w:szCs w:val="24"/>
          <w:shd w:val="clear" w:color="auto" w:fill="FFFFFF"/>
        </w:rPr>
        <w:t>одговара</w:t>
      </w:r>
      <w:r w:rsidR="00E23CF5" w:rsidRPr="00797E29">
        <w:rPr>
          <w:rFonts w:ascii="Times New Roman" w:hAnsi="Times New Roman"/>
          <w:sz w:val="24"/>
          <w:szCs w:val="24"/>
          <w:shd w:val="clear" w:color="auto" w:fill="FFFFFF"/>
        </w:rPr>
        <w:t xml:space="preserve"> </w:t>
      </w:r>
      <w:r w:rsidRPr="00797E29">
        <w:rPr>
          <w:rFonts w:ascii="Times New Roman" w:hAnsi="Times New Roman"/>
          <w:sz w:val="24"/>
          <w:szCs w:val="24"/>
          <w:shd w:val="clear" w:color="auto" w:fill="FFFFFF"/>
        </w:rPr>
        <w:t>њиховој</w:t>
      </w:r>
      <w:r w:rsidR="00E23CF5" w:rsidRPr="00797E29">
        <w:rPr>
          <w:rFonts w:ascii="Times New Roman" w:hAnsi="Times New Roman"/>
          <w:sz w:val="24"/>
          <w:szCs w:val="24"/>
          <w:shd w:val="clear" w:color="auto" w:fill="FFFFFF"/>
        </w:rPr>
        <w:t xml:space="preserve"> </w:t>
      </w:r>
      <w:r w:rsidRPr="00797E29">
        <w:rPr>
          <w:rFonts w:ascii="Times New Roman" w:hAnsi="Times New Roman"/>
          <w:sz w:val="24"/>
          <w:szCs w:val="24"/>
          <w:shd w:val="clear" w:color="auto" w:fill="FFFFFF"/>
        </w:rPr>
        <w:t>набавној</w:t>
      </w:r>
      <w:r w:rsidR="00E23CF5" w:rsidRPr="00797E29">
        <w:rPr>
          <w:rFonts w:ascii="Times New Roman" w:hAnsi="Times New Roman"/>
          <w:sz w:val="24"/>
          <w:szCs w:val="24"/>
          <w:shd w:val="clear" w:color="auto" w:fill="FFFFFF"/>
        </w:rPr>
        <w:t xml:space="preserve"> </w:t>
      </w:r>
      <w:r w:rsidRPr="00797E29">
        <w:rPr>
          <w:rFonts w:ascii="Times New Roman" w:hAnsi="Times New Roman"/>
          <w:sz w:val="24"/>
          <w:szCs w:val="24"/>
          <w:shd w:val="clear" w:color="auto" w:fill="FFFFFF"/>
        </w:rPr>
        <w:t>вредности</w:t>
      </w:r>
      <w:r w:rsidR="00E23CF5" w:rsidRPr="00797E29">
        <w:rPr>
          <w:rFonts w:ascii="Times New Roman" w:hAnsi="Times New Roman"/>
          <w:sz w:val="24"/>
          <w:szCs w:val="24"/>
          <w:shd w:val="clear" w:color="auto" w:fill="FFFFFF"/>
        </w:rPr>
        <w:t xml:space="preserve"> </w:t>
      </w:r>
      <w:r w:rsidRPr="00797E29">
        <w:rPr>
          <w:rFonts w:ascii="Times New Roman" w:hAnsi="Times New Roman"/>
          <w:sz w:val="24"/>
          <w:szCs w:val="24"/>
          <w:shd w:val="clear" w:color="auto" w:fill="FFFFFF"/>
        </w:rPr>
        <w:t>умањеној</w:t>
      </w:r>
      <w:r w:rsidR="00E23CF5" w:rsidRPr="00797E29">
        <w:rPr>
          <w:rFonts w:ascii="Times New Roman" w:hAnsi="Times New Roman"/>
          <w:sz w:val="24"/>
          <w:szCs w:val="24"/>
          <w:shd w:val="clear" w:color="auto" w:fill="FFFFFF"/>
        </w:rPr>
        <w:t xml:space="preserve"> </w:t>
      </w:r>
      <w:r w:rsidRPr="00797E29">
        <w:rPr>
          <w:rFonts w:ascii="Times New Roman" w:hAnsi="Times New Roman"/>
          <w:sz w:val="24"/>
          <w:szCs w:val="24"/>
          <w:shd w:val="clear" w:color="auto" w:fill="FFFFFF"/>
        </w:rPr>
        <w:t>за</w:t>
      </w:r>
      <w:r w:rsidR="00E23CF5" w:rsidRPr="00797E29">
        <w:rPr>
          <w:rFonts w:ascii="Times New Roman" w:hAnsi="Times New Roman"/>
          <w:sz w:val="24"/>
          <w:szCs w:val="24"/>
          <w:shd w:val="clear" w:color="auto" w:fill="FFFFFF"/>
        </w:rPr>
        <w:t xml:space="preserve"> </w:t>
      </w:r>
      <w:r w:rsidRPr="00797E29">
        <w:rPr>
          <w:rFonts w:ascii="Times New Roman" w:hAnsi="Times New Roman"/>
          <w:sz w:val="24"/>
          <w:szCs w:val="24"/>
          <w:shd w:val="clear" w:color="auto" w:fill="FFFFFF"/>
        </w:rPr>
        <w:t>припадајући</w:t>
      </w:r>
      <w:r w:rsidR="00E23CF5" w:rsidRPr="00797E29">
        <w:rPr>
          <w:rFonts w:ascii="Times New Roman" w:hAnsi="Times New Roman"/>
          <w:sz w:val="24"/>
          <w:szCs w:val="24"/>
          <w:shd w:val="clear" w:color="auto" w:fill="FFFFFF"/>
        </w:rPr>
        <w:t xml:space="preserve"> </w:t>
      </w:r>
      <w:r w:rsidRPr="00797E29">
        <w:rPr>
          <w:rFonts w:ascii="Times New Roman" w:hAnsi="Times New Roman"/>
          <w:sz w:val="24"/>
          <w:szCs w:val="24"/>
          <w:shd w:val="clear" w:color="auto" w:fill="FFFFFF"/>
        </w:rPr>
        <w:t>износ</w:t>
      </w:r>
      <w:r w:rsidR="00E23CF5" w:rsidRPr="00797E29">
        <w:rPr>
          <w:rFonts w:ascii="Times New Roman" w:hAnsi="Times New Roman"/>
          <w:sz w:val="24"/>
          <w:szCs w:val="24"/>
          <w:shd w:val="clear" w:color="auto" w:fill="FFFFFF"/>
        </w:rPr>
        <w:t xml:space="preserve"> </w:t>
      </w:r>
      <w:r w:rsidRPr="00797E29">
        <w:rPr>
          <w:rFonts w:ascii="Times New Roman" w:hAnsi="Times New Roman"/>
          <w:sz w:val="24"/>
          <w:szCs w:val="24"/>
          <w:shd w:val="clear" w:color="auto" w:fill="FFFFFF"/>
        </w:rPr>
        <w:t>пореске</w:t>
      </w:r>
      <w:r w:rsidR="00E23CF5" w:rsidRPr="00797E29">
        <w:rPr>
          <w:rFonts w:ascii="Times New Roman" w:hAnsi="Times New Roman"/>
          <w:sz w:val="24"/>
          <w:szCs w:val="24"/>
          <w:shd w:val="clear" w:color="auto" w:fill="FFFFFF"/>
        </w:rPr>
        <w:t xml:space="preserve"> </w:t>
      </w:r>
      <w:r w:rsidRPr="00797E29">
        <w:rPr>
          <w:rFonts w:ascii="Times New Roman" w:hAnsi="Times New Roman"/>
          <w:sz w:val="24"/>
          <w:szCs w:val="24"/>
          <w:shd w:val="clear" w:color="auto" w:fill="FFFFFF"/>
        </w:rPr>
        <w:t>амортизације</w:t>
      </w:r>
      <w:r w:rsidR="00E23CF5" w:rsidRPr="00797E29">
        <w:rPr>
          <w:rFonts w:ascii="Times New Roman" w:hAnsi="Times New Roman"/>
          <w:sz w:val="24"/>
          <w:szCs w:val="24"/>
          <w:shd w:val="clear" w:color="auto" w:fill="FFFFFF"/>
        </w:rPr>
        <w:t xml:space="preserve"> </w:t>
      </w:r>
      <w:r w:rsidRPr="00797E29">
        <w:rPr>
          <w:rFonts w:ascii="Times New Roman" w:hAnsi="Times New Roman"/>
          <w:sz w:val="24"/>
          <w:szCs w:val="24"/>
          <w:shd w:val="clear" w:color="auto" w:fill="FFFFFF"/>
        </w:rPr>
        <w:t>сваког</w:t>
      </w:r>
      <w:r w:rsidR="00E23CF5" w:rsidRPr="00797E29">
        <w:rPr>
          <w:rFonts w:ascii="Times New Roman" w:hAnsi="Times New Roman"/>
          <w:sz w:val="24"/>
          <w:szCs w:val="24"/>
          <w:shd w:val="clear" w:color="auto" w:fill="FFFFFF"/>
        </w:rPr>
        <w:t xml:space="preserve"> </w:t>
      </w:r>
      <w:r w:rsidRPr="00797E29">
        <w:rPr>
          <w:rFonts w:ascii="Times New Roman" w:hAnsi="Times New Roman"/>
          <w:sz w:val="24"/>
          <w:szCs w:val="24"/>
          <w:shd w:val="clear" w:color="auto" w:fill="FFFFFF"/>
        </w:rPr>
        <w:t>отуђеног</w:t>
      </w:r>
      <w:r w:rsidR="00E23CF5" w:rsidRPr="00797E29">
        <w:rPr>
          <w:rFonts w:ascii="Times New Roman" w:hAnsi="Times New Roman"/>
          <w:sz w:val="24"/>
          <w:szCs w:val="24"/>
          <w:shd w:val="clear" w:color="auto" w:fill="FFFFFF"/>
        </w:rPr>
        <w:t xml:space="preserve"> </w:t>
      </w:r>
      <w:r w:rsidRPr="00797E29">
        <w:rPr>
          <w:rFonts w:ascii="Times New Roman" w:hAnsi="Times New Roman"/>
          <w:sz w:val="24"/>
          <w:szCs w:val="24"/>
          <w:shd w:val="clear" w:color="auto" w:fill="FFFFFF"/>
        </w:rPr>
        <w:t>средства</w:t>
      </w:r>
      <w:r w:rsidR="00E23CF5" w:rsidRPr="00797E29">
        <w:rPr>
          <w:rFonts w:ascii="Times New Roman" w:hAnsi="Times New Roman"/>
          <w:sz w:val="24"/>
          <w:szCs w:val="24"/>
          <w:shd w:val="clear" w:color="auto" w:fill="FFFFFF"/>
        </w:rPr>
        <w:t>.</w:t>
      </w:r>
      <w:r w:rsidR="00E23CF5" w:rsidRPr="00797E29">
        <w:rPr>
          <w:rStyle w:val="FootnoteReference"/>
          <w:rFonts w:ascii="Times New Roman" w:hAnsi="Times New Roman"/>
          <w:color w:val="000000"/>
          <w:sz w:val="24"/>
          <w:szCs w:val="24"/>
          <w:shd w:val="clear" w:color="auto" w:fill="FFFFFF"/>
        </w:rPr>
        <w:footnoteReference w:id="297"/>
      </w:r>
    </w:p>
    <w:p w:rsidR="003B1DCE" w:rsidRPr="00797E29" w:rsidRDefault="003B1DCE" w:rsidP="00797E29">
      <w:pPr>
        <w:ind w:firstLine="360"/>
        <w:jc w:val="both"/>
        <w:rPr>
          <w:rFonts w:ascii="Times New Roman" w:hAnsi="Times New Roman"/>
          <w:sz w:val="24"/>
          <w:szCs w:val="24"/>
        </w:rPr>
      </w:pPr>
      <w:r w:rsidRPr="00797E29">
        <w:rPr>
          <w:rFonts w:ascii="Times New Roman" w:hAnsi="Times New Roman"/>
          <w:sz w:val="24"/>
          <w:szCs w:val="24"/>
          <w:lang w:val="sr-Cyrl-CS"/>
        </w:rPr>
        <w:t xml:space="preserve">Динамика амортизовања сталног средства по правилу није равномерна током његовог отписног века. Због тога правно лице треба да изабере методу обрачуна амортизације. </w:t>
      </w:r>
      <w:r w:rsidR="00711270" w:rsidRPr="00797E29">
        <w:rPr>
          <w:rFonts w:ascii="Times New Roman" w:hAnsi="Times New Roman"/>
          <w:sz w:val="24"/>
          <w:szCs w:val="24"/>
          <w:lang w:val="sr-Cyrl-CS"/>
        </w:rPr>
        <w:t xml:space="preserve">Према </w:t>
      </w:r>
      <w:r w:rsidRPr="00797E29">
        <w:rPr>
          <w:rFonts w:ascii="Times New Roman" w:hAnsi="Times New Roman"/>
          <w:sz w:val="24"/>
          <w:szCs w:val="24"/>
          <w:lang w:val="sr-Cyrl-CS"/>
        </w:rPr>
        <w:t>МРС 16 за потребе финансијског извештавања (тј. састављања биланса успеха) примењују</w:t>
      </w:r>
      <w:r w:rsidR="00711270" w:rsidRPr="00797E29">
        <w:rPr>
          <w:rFonts w:ascii="Times New Roman" w:hAnsi="Times New Roman"/>
          <w:sz w:val="24"/>
          <w:szCs w:val="24"/>
          <w:lang w:val="sr-Cyrl-CS"/>
        </w:rPr>
        <w:t xml:space="preserve"> се следеће методе</w:t>
      </w:r>
      <w:r w:rsidRPr="00797E29">
        <w:rPr>
          <w:rFonts w:ascii="Times New Roman" w:hAnsi="Times New Roman"/>
          <w:sz w:val="24"/>
          <w:szCs w:val="24"/>
          <w:lang w:val="sr-Cyrl-CS"/>
        </w:rPr>
        <w:t>:</w:t>
      </w:r>
      <w:r w:rsidRPr="00797E29">
        <w:rPr>
          <w:rStyle w:val="FootnoteReference"/>
          <w:rFonts w:ascii="Times New Roman" w:hAnsi="Times New Roman"/>
          <w:color w:val="000000"/>
          <w:sz w:val="24"/>
          <w:szCs w:val="24"/>
          <w:lang w:val="sr-Cyrl-CS"/>
        </w:rPr>
        <w:footnoteReference w:id="298"/>
      </w:r>
    </w:p>
    <w:p w:rsidR="003B1DCE" w:rsidRPr="003B1DCE" w:rsidRDefault="003B1DCE" w:rsidP="003B1DCE">
      <w:pPr>
        <w:pStyle w:val="normal0"/>
        <w:shd w:val="clear" w:color="auto" w:fill="FFFFFF"/>
        <w:spacing w:before="48" w:beforeAutospacing="0" w:after="48" w:afterAutospacing="0"/>
        <w:ind w:firstLine="360"/>
        <w:jc w:val="both"/>
        <w:rPr>
          <w:color w:val="000000"/>
        </w:rPr>
      </w:pPr>
    </w:p>
    <w:p w:rsidR="003B1DCE" w:rsidRDefault="003B1DCE" w:rsidP="008A3795">
      <w:pPr>
        <w:pStyle w:val="normal0"/>
        <w:numPr>
          <w:ilvl w:val="0"/>
          <w:numId w:val="23"/>
        </w:numPr>
        <w:shd w:val="clear" w:color="auto" w:fill="FFFFFF"/>
        <w:spacing w:before="48" w:beforeAutospacing="0" w:after="48" w:afterAutospacing="0"/>
        <w:rPr>
          <w:color w:val="000000"/>
          <w:lang w:val="sr-Cyrl-CS"/>
        </w:rPr>
      </w:pPr>
      <w:r>
        <w:rPr>
          <w:color w:val="000000"/>
          <w:lang w:val="sr-Cyrl-CS"/>
        </w:rPr>
        <w:lastRenderedPageBreak/>
        <w:t>Пропорционална метода</w:t>
      </w:r>
      <w:r>
        <w:rPr>
          <w:color w:val="000000"/>
        </w:rPr>
        <w:t xml:space="preserve"> (eng. straigh-line method)</w:t>
      </w:r>
      <w:r>
        <w:rPr>
          <w:color w:val="000000"/>
          <w:lang w:val="sr-Cyrl-CS"/>
        </w:rPr>
        <w:t xml:space="preserve"> </w:t>
      </w:r>
    </w:p>
    <w:p w:rsidR="003B1DCE" w:rsidRDefault="003B1DCE" w:rsidP="008A3795">
      <w:pPr>
        <w:pStyle w:val="normal0"/>
        <w:numPr>
          <w:ilvl w:val="0"/>
          <w:numId w:val="23"/>
        </w:numPr>
        <w:shd w:val="clear" w:color="auto" w:fill="FFFFFF"/>
        <w:spacing w:before="48" w:beforeAutospacing="0" w:after="48" w:afterAutospacing="0"/>
        <w:rPr>
          <w:color w:val="000000"/>
          <w:lang w:val="sr-Cyrl-CS"/>
        </w:rPr>
      </w:pPr>
      <w:r>
        <w:rPr>
          <w:color w:val="000000"/>
          <w:lang w:val="sr-Cyrl-CS"/>
        </w:rPr>
        <w:t>Дегресивна метода</w:t>
      </w:r>
      <w:r>
        <w:rPr>
          <w:color w:val="000000"/>
        </w:rPr>
        <w:t xml:space="preserve"> (eng. declining balance method)</w:t>
      </w:r>
    </w:p>
    <w:p w:rsidR="009720E8" w:rsidRDefault="003B1DCE" w:rsidP="008A3795">
      <w:pPr>
        <w:pStyle w:val="normal0"/>
        <w:numPr>
          <w:ilvl w:val="0"/>
          <w:numId w:val="23"/>
        </w:numPr>
        <w:shd w:val="clear" w:color="auto" w:fill="FFFFFF"/>
        <w:spacing w:before="48" w:beforeAutospacing="0" w:after="48" w:afterAutospacing="0"/>
        <w:rPr>
          <w:color w:val="000000"/>
          <w:lang w:val="sr-Cyrl-CS"/>
        </w:rPr>
      </w:pPr>
      <w:r>
        <w:rPr>
          <w:color w:val="000000"/>
          <w:lang w:val="sr-Cyrl-CS"/>
        </w:rPr>
        <w:t>Функционална метода</w:t>
      </w:r>
      <w:r>
        <w:rPr>
          <w:color w:val="000000"/>
        </w:rPr>
        <w:t xml:space="preserve"> (eng. per unit method)</w:t>
      </w:r>
    </w:p>
    <w:p w:rsidR="009720E8" w:rsidRPr="009720E8" w:rsidRDefault="009720E8" w:rsidP="009720E8">
      <w:pPr>
        <w:pStyle w:val="normal0"/>
        <w:shd w:val="clear" w:color="auto" w:fill="FFFFFF"/>
        <w:spacing w:before="48" w:beforeAutospacing="0" w:after="48" w:afterAutospacing="0"/>
        <w:ind w:left="720"/>
        <w:rPr>
          <w:color w:val="000000"/>
          <w:lang w:val="sr-Cyrl-CS"/>
        </w:rPr>
      </w:pPr>
    </w:p>
    <w:p w:rsidR="00262279" w:rsidRDefault="009720E8" w:rsidP="00F415D6">
      <w:pPr>
        <w:ind w:firstLine="708"/>
        <w:jc w:val="both"/>
        <w:rPr>
          <w:rFonts w:ascii="Times New Roman" w:hAnsi="Times New Roman"/>
          <w:sz w:val="24"/>
          <w:szCs w:val="24"/>
          <w:lang w:val="sr-Cyrl-CS"/>
        </w:rPr>
      </w:pPr>
      <w:r>
        <w:rPr>
          <w:rFonts w:ascii="Times New Roman" w:hAnsi="Times New Roman"/>
          <w:sz w:val="24"/>
          <w:szCs w:val="24"/>
          <w:lang w:val="sr-Cyrl-CS"/>
        </w:rPr>
        <w:t xml:space="preserve">Код пропорционалне методе  се у току сваке године прописаног века трајања сталног средства отписује исти износ на име амортизације. Отпис истог износа на име амортизације има за последицу исти утицај на </w:t>
      </w:r>
      <w:r w:rsidR="00110FEF">
        <w:rPr>
          <w:rFonts w:ascii="Times New Roman" w:hAnsi="Times New Roman"/>
          <w:sz w:val="24"/>
          <w:szCs w:val="24"/>
          <w:lang w:val="sr-Cyrl-CS"/>
        </w:rPr>
        <w:t>пословни резултат</w:t>
      </w:r>
      <w:r>
        <w:rPr>
          <w:rFonts w:ascii="Times New Roman" w:hAnsi="Times New Roman"/>
          <w:sz w:val="24"/>
          <w:szCs w:val="24"/>
          <w:lang w:val="sr-Cyrl-CS"/>
        </w:rPr>
        <w:t xml:space="preserve"> предузећа. Годишњи износ амортизације се утврђује применом прописане стопе амортизације на основицу за</w:t>
      </w:r>
      <w:r w:rsidR="00A94307">
        <w:rPr>
          <w:rFonts w:ascii="Times New Roman" w:hAnsi="Times New Roman"/>
          <w:sz w:val="24"/>
          <w:szCs w:val="24"/>
          <w:lang w:val="sr-Cyrl-CS"/>
        </w:rPr>
        <w:t xml:space="preserve"> амортизацију основног средства</w:t>
      </w:r>
      <w:r>
        <w:rPr>
          <w:rFonts w:ascii="Times New Roman" w:hAnsi="Times New Roman"/>
          <w:sz w:val="24"/>
          <w:szCs w:val="24"/>
          <w:lang w:val="sr-Cyrl-CS"/>
        </w:rPr>
        <w:t xml:space="preserve"> </w:t>
      </w:r>
      <w:r w:rsidR="00A94307">
        <w:rPr>
          <w:rFonts w:ascii="Times New Roman" w:hAnsi="Times New Roman"/>
          <w:sz w:val="24"/>
          <w:szCs w:val="24"/>
        </w:rPr>
        <w:t xml:space="preserve">(набавна вредност x </w:t>
      </w:r>
      <w:r w:rsidR="00A94307">
        <w:rPr>
          <w:rFonts w:ascii="Times New Roman" w:hAnsi="Times New Roman"/>
          <w:sz w:val="24"/>
          <w:szCs w:val="24"/>
          <w:lang w:val="en-US"/>
        </w:rPr>
        <w:t>стопа амортизације).</w:t>
      </w:r>
      <w:r w:rsidR="00A94307">
        <w:rPr>
          <w:rFonts w:ascii="Times New Roman" w:hAnsi="Times New Roman"/>
          <w:sz w:val="24"/>
          <w:szCs w:val="24"/>
          <w:lang w:val="sr-Cyrl-CS"/>
        </w:rPr>
        <w:t xml:space="preserve"> Амортизациона стопа се увек примењује на исти износ набавне вредности основног средства. Овај начин</w:t>
      </w:r>
      <w:r w:rsidR="00F01F04">
        <w:rPr>
          <w:rFonts w:ascii="Times New Roman" w:hAnsi="Times New Roman"/>
          <w:sz w:val="24"/>
          <w:szCs w:val="24"/>
          <w:lang w:val="sr-Cyrl-CS"/>
        </w:rPr>
        <w:t xml:space="preserve"> отписивања основних средстава ј</w:t>
      </w:r>
      <w:r w:rsidR="00A94307">
        <w:rPr>
          <w:rFonts w:ascii="Times New Roman" w:hAnsi="Times New Roman"/>
          <w:sz w:val="24"/>
          <w:szCs w:val="24"/>
          <w:lang w:val="sr-Cyrl-CS"/>
        </w:rPr>
        <w:t xml:space="preserve">е у пракси највише </w:t>
      </w:r>
      <w:r w:rsidR="00F01F04">
        <w:rPr>
          <w:rFonts w:ascii="Times New Roman" w:hAnsi="Times New Roman"/>
          <w:sz w:val="24"/>
          <w:szCs w:val="24"/>
          <w:lang w:val="sr-Cyrl-CS"/>
        </w:rPr>
        <w:t>заступљен</w:t>
      </w:r>
      <w:r w:rsidR="00A94307">
        <w:rPr>
          <w:rFonts w:ascii="Times New Roman" w:hAnsi="Times New Roman"/>
          <w:sz w:val="24"/>
          <w:szCs w:val="24"/>
          <w:lang w:val="sr-Cyrl-CS"/>
        </w:rPr>
        <w:t xml:space="preserve"> пре свега због своје једноставне примене. </w:t>
      </w:r>
    </w:p>
    <w:p w:rsidR="000956D9" w:rsidRDefault="00110FEF" w:rsidP="00F415D6">
      <w:pPr>
        <w:ind w:firstLine="708"/>
        <w:jc w:val="both"/>
        <w:rPr>
          <w:rFonts w:ascii="Times New Roman" w:hAnsi="Times New Roman"/>
          <w:sz w:val="24"/>
          <w:szCs w:val="24"/>
          <w:lang w:val="sr-Cyrl-CS"/>
        </w:rPr>
      </w:pPr>
      <w:r>
        <w:rPr>
          <w:rFonts w:ascii="Times New Roman" w:hAnsi="Times New Roman"/>
          <w:sz w:val="24"/>
          <w:szCs w:val="24"/>
          <w:lang w:val="sr-Cyrl-CS"/>
        </w:rPr>
        <w:t>Годишње амортизационе стопе су садржане у Номенклатури која је одштампана уз Правилник о номенклатури нематеријалних улагања и основних средстава са стопама амортизације („Сл. лист СРЈ“ бр. 17/97 и 24/2000) и чине његов саставни део.</w:t>
      </w:r>
    </w:p>
    <w:p w:rsidR="009E7D60" w:rsidRDefault="009E7D60" w:rsidP="00F415D6">
      <w:pPr>
        <w:ind w:firstLine="708"/>
        <w:jc w:val="both"/>
        <w:rPr>
          <w:rFonts w:ascii="Times New Roman" w:hAnsi="Times New Roman"/>
          <w:sz w:val="24"/>
          <w:szCs w:val="24"/>
          <w:lang w:val="sr-Cyrl-CS"/>
        </w:rPr>
      </w:pPr>
      <w:r>
        <w:rPr>
          <w:rFonts w:ascii="Times New Roman" w:hAnsi="Times New Roman"/>
          <w:sz w:val="24"/>
          <w:szCs w:val="24"/>
          <w:lang w:val="sr-Cyrl-CS"/>
        </w:rPr>
        <w:t>Обрачун амортизације по пропорционалној стопи, уколико претпоставимо да је основица-набавн</w:t>
      </w:r>
      <w:r w:rsidR="00817AFA">
        <w:rPr>
          <w:rFonts w:ascii="Times New Roman" w:hAnsi="Times New Roman"/>
          <w:sz w:val="24"/>
          <w:szCs w:val="24"/>
          <w:lang w:val="sr-Cyrl-CS"/>
        </w:rPr>
        <w:t>а вредност неке машине 25.000 динара, стопа амортизације 20% и процена века трајања 5 година, био би као у наредној табели:</w:t>
      </w:r>
    </w:p>
    <w:p w:rsidR="00D57F68" w:rsidRPr="00D57F68" w:rsidRDefault="00A74A8E" w:rsidP="00F415D6">
      <w:pPr>
        <w:ind w:firstLine="708"/>
        <w:jc w:val="both"/>
        <w:rPr>
          <w:rFonts w:ascii="Times New Roman" w:hAnsi="Times New Roman"/>
          <w:b/>
          <w:sz w:val="24"/>
          <w:szCs w:val="24"/>
          <w:lang w:val="sr-Cyrl-CS"/>
        </w:rPr>
      </w:pPr>
      <w:r>
        <w:rPr>
          <w:rFonts w:ascii="Times New Roman" w:hAnsi="Times New Roman"/>
          <w:b/>
          <w:sz w:val="24"/>
          <w:szCs w:val="24"/>
          <w:lang w:val="sr-Cyrl-CS"/>
        </w:rPr>
        <w:t>Табела 8</w:t>
      </w:r>
      <w:r w:rsidR="00D57F68" w:rsidRPr="00D57F68">
        <w:rPr>
          <w:rFonts w:ascii="Times New Roman" w:hAnsi="Times New Roman"/>
          <w:b/>
          <w:sz w:val="24"/>
          <w:szCs w:val="24"/>
          <w:lang w:val="sr-Cyrl-CS"/>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42"/>
        <w:gridCol w:w="1842"/>
        <w:gridCol w:w="1842"/>
        <w:gridCol w:w="1842"/>
        <w:gridCol w:w="1843"/>
      </w:tblGrid>
      <w:tr w:rsidR="00817AFA" w:rsidRPr="00E83EF6" w:rsidTr="00E83EF6">
        <w:tc>
          <w:tcPr>
            <w:tcW w:w="1842" w:type="dxa"/>
          </w:tcPr>
          <w:p w:rsidR="00817AFA" w:rsidRPr="00E83EF6" w:rsidRDefault="00817AFA" w:rsidP="00E83EF6">
            <w:pPr>
              <w:jc w:val="both"/>
              <w:rPr>
                <w:rFonts w:ascii="Times New Roman" w:hAnsi="Times New Roman"/>
                <w:sz w:val="24"/>
                <w:szCs w:val="24"/>
                <w:lang w:val="sr-Cyrl-CS"/>
              </w:rPr>
            </w:pPr>
            <w:r w:rsidRPr="00E83EF6">
              <w:rPr>
                <w:rFonts w:ascii="Times New Roman" w:hAnsi="Times New Roman"/>
                <w:sz w:val="24"/>
                <w:szCs w:val="24"/>
                <w:lang w:val="sr-Cyrl-CS"/>
              </w:rPr>
              <w:t>година</w:t>
            </w:r>
          </w:p>
        </w:tc>
        <w:tc>
          <w:tcPr>
            <w:tcW w:w="1842" w:type="dxa"/>
          </w:tcPr>
          <w:p w:rsidR="00817AFA" w:rsidRPr="00E83EF6" w:rsidRDefault="00817AFA" w:rsidP="00E83EF6">
            <w:pPr>
              <w:jc w:val="both"/>
              <w:rPr>
                <w:rFonts w:ascii="Times New Roman" w:hAnsi="Times New Roman"/>
                <w:sz w:val="24"/>
                <w:szCs w:val="24"/>
                <w:lang w:val="sr-Cyrl-CS"/>
              </w:rPr>
            </w:pPr>
            <w:r w:rsidRPr="00E83EF6">
              <w:rPr>
                <w:rFonts w:ascii="Times New Roman" w:hAnsi="Times New Roman"/>
                <w:sz w:val="24"/>
                <w:szCs w:val="24"/>
                <w:lang w:val="sr-Cyrl-CS"/>
              </w:rPr>
              <w:t>Набавна вредност</w:t>
            </w:r>
          </w:p>
        </w:tc>
        <w:tc>
          <w:tcPr>
            <w:tcW w:w="1842" w:type="dxa"/>
          </w:tcPr>
          <w:p w:rsidR="00817AFA" w:rsidRPr="00E83EF6" w:rsidRDefault="00817AFA" w:rsidP="00E83EF6">
            <w:pPr>
              <w:jc w:val="both"/>
              <w:rPr>
                <w:rFonts w:ascii="Times New Roman" w:hAnsi="Times New Roman"/>
                <w:sz w:val="24"/>
                <w:szCs w:val="24"/>
                <w:lang w:val="sr-Cyrl-CS"/>
              </w:rPr>
            </w:pPr>
            <w:r w:rsidRPr="00E83EF6">
              <w:rPr>
                <w:rFonts w:ascii="Times New Roman" w:hAnsi="Times New Roman"/>
                <w:sz w:val="24"/>
                <w:szCs w:val="24"/>
                <w:lang w:val="sr-Cyrl-CS"/>
              </w:rPr>
              <w:t>Стопа амортизације</w:t>
            </w:r>
          </w:p>
        </w:tc>
        <w:tc>
          <w:tcPr>
            <w:tcW w:w="1842" w:type="dxa"/>
          </w:tcPr>
          <w:p w:rsidR="00817AFA" w:rsidRPr="00E83EF6" w:rsidRDefault="00817AFA" w:rsidP="00E83EF6">
            <w:pPr>
              <w:jc w:val="both"/>
              <w:rPr>
                <w:rFonts w:ascii="Times New Roman" w:hAnsi="Times New Roman"/>
                <w:sz w:val="24"/>
                <w:szCs w:val="24"/>
                <w:lang w:val="sr-Cyrl-CS"/>
              </w:rPr>
            </w:pPr>
            <w:r w:rsidRPr="00E83EF6">
              <w:rPr>
                <w:rFonts w:ascii="Times New Roman" w:hAnsi="Times New Roman"/>
                <w:sz w:val="24"/>
                <w:szCs w:val="24"/>
                <w:lang w:val="sr-Cyrl-CS"/>
              </w:rPr>
              <w:t>амортизација</w:t>
            </w:r>
          </w:p>
        </w:tc>
        <w:tc>
          <w:tcPr>
            <w:tcW w:w="1843" w:type="dxa"/>
          </w:tcPr>
          <w:p w:rsidR="00817AFA" w:rsidRPr="00E83EF6" w:rsidRDefault="00817AFA" w:rsidP="00E83EF6">
            <w:pPr>
              <w:jc w:val="both"/>
              <w:rPr>
                <w:rFonts w:ascii="Times New Roman" w:hAnsi="Times New Roman"/>
                <w:sz w:val="24"/>
                <w:szCs w:val="24"/>
                <w:lang w:val="sr-Cyrl-CS"/>
              </w:rPr>
            </w:pPr>
            <w:r w:rsidRPr="00E83EF6">
              <w:rPr>
                <w:rFonts w:ascii="Times New Roman" w:hAnsi="Times New Roman"/>
                <w:sz w:val="24"/>
                <w:szCs w:val="24"/>
                <w:lang w:val="sr-Cyrl-CS"/>
              </w:rPr>
              <w:t>Вредност по истеку године</w:t>
            </w:r>
          </w:p>
        </w:tc>
      </w:tr>
      <w:tr w:rsidR="00817AFA" w:rsidRPr="00E83EF6" w:rsidTr="00E83EF6">
        <w:tc>
          <w:tcPr>
            <w:tcW w:w="1842" w:type="dxa"/>
          </w:tcPr>
          <w:p w:rsidR="00817AFA" w:rsidRPr="00E83EF6" w:rsidRDefault="00817AFA" w:rsidP="00E83EF6">
            <w:pPr>
              <w:jc w:val="both"/>
              <w:rPr>
                <w:rFonts w:ascii="Times New Roman" w:hAnsi="Times New Roman"/>
                <w:sz w:val="24"/>
                <w:szCs w:val="24"/>
                <w:lang w:val="sr-Cyrl-CS"/>
              </w:rPr>
            </w:pPr>
            <w:r w:rsidRPr="00E83EF6">
              <w:rPr>
                <w:rFonts w:ascii="Times New Roman" w:hAnsi="Times New Roman"/>
                <w:sz w:val="24"/>
                <w:szCs w:val="24"/>
                <w:lang w:val="sr-Cyrl-CS"/>
              </w:rPr>
              <w:t>1</w:t>
            </w:r>
          </w:p>
        </w:tc>
        <w:tc>
          <w:tcPr>
            <w:tcW w:w="1842" w:type="dxa"/>
          </w:tcPr>
          <w:p w:rsidR="00817AFA" w:rsidRPr="00E83EF6" w:rsidRDefault="00817AFA" w:rsidP="00E83EF6">
            <w:pPr>
              <w:jc w:val="both"/>
              <w:rPr>
                <w:rFonts w:ascii="Times New Roman" w:hAnsi="Times New Roman"/>
                <w:sz w:val="24"/>
                <w:szCs w:val="24"/>
                <w:lang w:val="sr-Cyrl-CS"/>
              </w:rPr>
            </w:pPr>
            <w:r w:rsidRPr="00E83EF6">
              <w:rPr>
                <w:rFonts w:ascii="Times New Roman" w:hAnsi="Times New Roman"/>
                <w:sz w:val="24"/>
                <w:szCs w:val="24"/>
                <w:lang w:val="sr-Cyrl-CS"/>
              </w:rPr>
              <w:t>25.000</w:t>
            </w:r>
          </w:p>
        </w:tc>
        <w:tc>
          <w:tcPr>
            <w:tcW w:w="1842" w:type="dxa"/>
          </w:tcPr>
          <w:p w:rsidR="00817AFA" w:rsidRPr="00E83EF6" w:rsidRDefault="00817AFA" w:rsidP="00E83EF6">
            <w:pPr>
              <w:jc w:val="both"/>
              <w:rPr>
                <w:rFonts w:ascii="Times New Roman" w:hAnsi="Times New Roman"/>
                <w:sz w:val="24"/>
                <w:szCs w:val="24"/>
                <w:lang w:val="sr-Cyrl-CS"/>
              </w:rPr>
            </w:pPr>
            <w:r w:rsidRPr="00E83EF6">
              <w:rPr>
                <w:rFonts w:ascii="Times New Roman" w:hAnsi="Times New Roman"/>
                <w:sz w:val="24"/>
                <w:szCs w:val="24"/>
                <w:lang w:val="sr-Cyrl-CS"/>
              </w:rPr>
              <w:t>20%</w:t>
            </w:r>
          </w:p>
        </w:tc>
        <w:tc>
          <w:tcPr>
            <w:tcW w:w="1842" w:type="dxa"/>
          </w:tcPr>
          <w:p w:rsidR="00817AFA" w:rsidRPr="00E83EF6" w:rsidRDefault="00862C28" w:rsidP="00E83EF6">
            <w:pPr>
              <w:jc w:val="both"/>
              <w:rPr>
                <w:rFonts w:ascii="Times New Roman" w:hAnsi="Times New Roman"/>
                <w:sz w:val="24"/>
                <w:szCs w:val="24"/>
                <w:lang w:val="sr-Cyrl-CS"/>
              </w:rPr>
            </w:pPr>
            <w:r w:rsidRPr="00E83EF6">
              <w:rPr>
                <w:rFonts w:ascii="Times New Roman" w:hAnsi="Times New Roman"/>
                <w:sz w:val="24"/>
                <w:szCs w:val="24"/>
                <w:lang w:val="sr-Cyrl-CS"/>
              </w:rPr>
              <w:t>5</w:t>
            </w:r>
            <w:r w:rsidR="00793A0C" w:rsidRPr="00E83EF6">
              <w:rPr>
                <w:rFonts w:ascii="Times New Roman" w:hAnsi="Times New Roman"/>
                <w:sz w:val="24"/>
                <w:szCs w:val="24"/>
                <w:lang w:val="sr-Cyrl-CS"/>
              </w:rPr>
              <w:t>.</w:t>
            </w:r>
            <w:r w:rsidRPr="00E83EF6">
              <w:rPr>
                <w:rFonts w:ascii="Times New Roman" w:hAnsi="Times New Roman"/>
                <w:sz w:val="24"/>
                <w:szCs w:val="24"/>
                <w:lang w:val="sr-Cyrl-CS"/>
              </w:rPr>
              <w:t>000</w:t>
            </w:r>
          </w:p>
        </w:tc>
        <w:tc>
          <w:tcPr>
            <w:tcW w:w="1843" w:type="dxa"/>
          </w:tcPr>
          <w:p w:rsidR="00817AFA" w:rsidRPr="00E83EF6" w:rsidRDefault="00862C28" w:rsidP="00E83EF6">
            <w:pPr>
              <w:jc w:val="both"/>
              <w:rPr>
                <w:rFonts w:ascii="Times New Roman" w:hAnsi="Times New Roman"/>
                <w:sz w:val="24"/>
                <w:szCs w:val="24"/>
                <w:lang w:val="sr-Cyrl-CS"/>
              </w:rPr>
            </w:pPr>
            <w:r w:rsidRPr="00E83EF6">
              <w:rPr>
                <w:rFonts w:ascii="Times New Roman" w:hAnsi="Times New Roman"/>
                <w:sz w:val="24"/>
                <w:szCs w:val="24"/>
                <w:lang w:val="sr-Cyrl-CS"/>
              </w:rPr>
              <w:t>20.000</w:t>
            </w:r>
          </w:p>
        </w:tc>
      </w:tr>
      <w:tr w:rsidR="00817AFA" w:rsidRPr="00E83EF6" w:rsidTr="00E83EF6">
        <w:tc>
          <w:tcPr>
            <w:tcW w:w="1842" w:type="dxa"/>
          </w:tcPr>
          <w:p w:rsidR="00817AFA" w:rsidRPr="00E83EF6" w:rsidRDefault="00817AFA" w:rsidP="00E83EF6">
            <w:pPr>
              <w:jc w:val="both"/>
              <w:rPr>
                <w:rFonts w:ascii="Times New Roman" w:hAnsi="Times New Roman"/>
                <w:sz w:val="24"/>
                <w:szCs w:val="24"/>
                <w:lang w:val="sr-Cyrl-CS"/>
              </w:rPr>
            </w:pPr>
            <w:r w:rsidRPr="00E83EF6">
              <w:rPr>
                <w:rFonts w:ascii="Times New Roman" w:hAnsi="Times New Roman"/>
                <w:sz w:val="24"/>
                <w:szCs w:val="24"/>
                <w:lang w:val="sr-Cyrl-CS"/>
              </w:rPr>
              <w:t>2</w:t>
            </w:r>
          </w:p>
        </w:tc>
        <w:tc>
          <w:tcPr>
            <w:tcW w:w="1842" w:type="dxa"/>
          </w:tcPr>
          <w:p w:rsidR="00817AFA" w:rsidRPr="00E83EF6" w:rsidRDefault="00862C28" w:rsidP="00E83EF6">
            <w:pPr>
              <w:jc w:val="both"/>
              <w:rPr>
                <w:rFonts w:ascii="Times New Roman" w:hAnsi="Times New Roman"/>
                <w:sz w:val="24"/>
                <w:szCs w:val="24"/>
                <w:lang w:val="sr-Cyrl-CS"/>
              </w:rPr>
            </w:pPr>
            <w:r w:rsidRPr="00E83EF6">
              <w:rPr>
                <w:rFonts w:ascii="Times New Roman" w:hAnsi="Times New Roman"/>
                <w:sz w:val="24"/>
                <w:szCs w:val="24"/>
                <w:lang w:val="sr-Cyrl-CS"/>
              </w:rPr>
              <w:t>25.000</w:t>
            </w:r>
          </w:p>
        </w:tc>
        <w:tc>
          <w:tcPr>
            <w:tcW w:w="1842" w:type="dxa"/>
          </w:tcPr>
          <w:p w:rsidR="00817AFA" w:rsidRPr="00E83EF6" w:rsidRDefault="00862C28" w:rsidP="00E83EF6">
            <w:pPr>
              <w:jc w:val="both"/>
              <w:rPr>
                <w:rFonts w:ascii="Times New Roman" w:hAnsi="Times New Roman"/>
                <w:sz w:val="24"/>
                <w:szCs w:val="24"/>
                <w:lang w:val="sr-Cyrl-CS"/>
              </w:rPr>
            </w:pPr>
            <w:r w:rsidRPr="00E83EF6">
              <w:rPr>
                <w:rFonts w:ascii="Times New Roman" w:hAnsi="Times New Roman"/>
                <w:sz w:val="24"/>
                <w:szCs w:val="24"/>
                <w:lang w:val="sr-Cyrl-CS"/>
              </w:rPr>
              <w:t>20%</w:t>
            </w:r>
          </w:p>
        </w:tc>
        <w:tc>
          <w:tcPr>
            <w:tcW w:w="1842" w:type="dxa"/>
          </w:tcPr>
          <w:p w:rsidR="00817AFA" w:rsidRPr="00E83EF6" w:rsidRDefault="00862C28" w:rsidP="00E83EF6">
            <w:pPr>
              <w:jc w:val="both"/>
              <w:rPr>
                <w:rFonts w:ascii="Times New Roman" w:hAnsi="Times New Roman"/>
                <w:sz w:val="24"/>
                <w:szCs w:val="24"/>
                <w:lang w:val="sr-Cyrl-CS"/>
              </w:rPr>
            </w:pPr>
            <w:r w:rsidRPr="00E83EF6">
              <w:rPr>
                <w:rFonts w:ascii="Times New Roman" w:hAnsi="Times New Roman"/>
                <w:sz w:val="24"/>
                <w:szCs w:val="24"/>
                <w:lang w:val="sr-Cyrl-CS"/>
              </w:rPr>
              <w:t>5</w:t>
            </w:r>
            <w:r w:rsidR="00793A0C" w:rsidRPr="00E83EF6">
              <w:rPr>
                <w:rFonts w:ascii="Times New Roman" w:hAnsi="Times New Roman"/>
                <w:sz w:val="24"/>
                <w:szCs w:val="24"/>
                <w:lang w:val="sr-Cyrl-CS"/>
              </w:rPr>
              <w:t>.</w:t>
            </w:r>
            <w:r w:rsidRPr="00E83EF6">
              <w:rPr>
                <w:rFonts w:ascii="Times New Roman" w:hAnsi="Times New Roman"/>
                <w:sz w:val="24"/>
                <w:szCs w:val="24"/>
                <w:lang w:val="sr-Cyrl-CS"/>
              </w:rPr>
              <w:t>000</w:t>
            </w:r>
          </w:p>
        </w:tc>
        <w:tc>
          <w:tcPr>
            <w:tcW w:w="1843" w:type="dxa"/>
          </w:tcPr>
          <w:p w:rsidR="00817AFA" w:rsidRPr="00E83EF6" w:rsidRDefault="00862C28" w:rsidP="00E83EF6">
            <w:pPr>
              <w:jc w:val="both"/>
              <w:rPr>
                <w:rFonts w:ascii="Times New Roman" w:hAnsi="Times New Roman"/>
                <w:sz w:val="24"/>
                <w:szCs w:val="24"/>
                <w:lang w:val="sr-Cyrl-CS"/>
              </w:rPr>
            </w:pPr>
            <w:r w:rsidRPr="00E83EF6">
              <w:rPr>
                <w:rFonts w:ascii="Times New Roman" w:hAnsi="Times New Roman"/>
                <w:sz w:val="24"/>
                <w:szCs w:val="24"/>
                <w:lang w:val="sr-Cyrl-CS"/>
              </w:rPr>
              <w:t>15.000</w:t>
            </w:r>
          </w:p>
        </w:tc>
      </w:tr>
      <w:tr w:rsidR="00817AFA" w:rsidRPr="00E83EF6" w:rsidTr="00E83EF6">
        <w:tc>
          <w:tcPr>
            <w:tcW w:w="1842" w:type="dxa"/>
          </w:tcPr>
          <w:p w:rsidR="00817AFA" w:rsidRPr="00E83EF6" w:rsidRDefault="00817AFA" w:rsidP="00E83EF6">
            <w:pPr>
              <w:jc w:val="both"/>
              <w:rPr>
                <w:rFonts w:ascii="Times New Roman" w:hAnsi="Times New Roman"/>
                <w:sz w:val="24"/>
                <w:szCs w:val="24"/>
                <w:lang w:val="sr-Cyrl-CS"/>
              </w:rPr>
            </w:pPr>
            <w:r w:rsidRPr="00E83EF6">
              <w:rPr>
                <w:rFonts w:ascii="Times New Roman" w:hAnsi="Times New Roman"/>
                <w:sz w:val="24"/>
                <w:szCs w:val="24"/>
                <w:lang w:val="sr-Cyrl-CS"/>
              </w:rPr>
              <w:t>3</w:t>
            </w:r>
          </w:p>
        </w:tc>
        <w:tc>
          <w:tcPr>
            <w:tcW w:w="1842" w:type="dxa"/>
          </w:tcPr>
          <w:p w:rsidR="00817AFA" w:rsidRPr="00E83EF6" w:rsidRDefault="00862C28" w:rsidP="00E83EF6">
            <w:pPr>
              <w:jc w:val="both"/>
              <w:rPr>
                <w:rFonts w:ascii="Times New Roman" w:hAnsi="Times New Roman"/>
                <w:sz w:val="24"/>
                <w:szCs w:val="24"/>
                <w:lang w:val="sr-Cyrl-CS"/>
              </w:rPr>
            </w:pPr>
            <w:r w:rsidRPr="00E83EF6">
              <w:rPr>
                <w:rFonts w:ascii="Times New Roman" w:hAnsi="Times New Roman"/>
                <w:sz w:val="24"/>
                <w:szCs w:val="24"/>
                <w:lang w:val="sr-Cyrl-CS"/>
              </w:rPr>
              <w:t>25.000</w:t>
            </w:r>
          </w:p>
        </w:tc>
        <w:tc>
          <w:tcPr>
            <w:tcW w:w="1842" w:type="dxa"/>
          </w:tcPr>
          <w:p w:rsidR="00817AFA" w:rsidRPr="00E83EF6" w:rsidRDefault="00862C28" w:rsidP="00E83EF6">
            <w:pPr>
              <w:jc w:val="both"/>
              <w:rPr>
                <w:rFonts w:ascii="Times New Roman" w:hAnsi="Times New Roman"/>
                <w:sz w:val="24"/>
                <w:szCs w:val="24"/>
                <w:lang w:val="sr-Cyrl-CS"/>
              </w:rPr>
            </w:pPr>
            <w:r w:rsidRPr="00E83EF6">
              <w:rPr>
                <w:rFonts w:ascii="Times New Roman" w:hAnsi="Times New Roman"/>
                <w:sz w:val="24"/>
                <w:szCs w:val="24"/>
                <w:lang w:val="sr-Cyrl-CS"/>
              </w:rPr>
              <w:t>20%</w:t>
            </w:r>
          </w:p>
        </w:tc>
        <w:tc>
          <w:tcPr>
            <w:tcW w:w="1842" w:type="dxa"/>
          </w:tcPr>
          <w:p w:rsidR="00817AFA" w:rsidRPr="00E83EF6" w:rsidRDefault="00862C28" w:rsidP="00E83EF6">
            <w:pPr>
              <w:jc w:val="both"/>
              <w:rPr>
                <w:rFonts w:ascii="Times New Roman" w:hAnsi="Times New Roman"/>
                <w:sz w:val="24"/>
                <w:szCs w:val="24"/>
                <w:lang w:val="sr-Cyrl-CS"/>
              </w:rPr>
            </w:pPr>
            <w:r w:rsidRPr="00E83EF6">
              <w:rPr>
                <w:rFonts w:ascii="Times New Roman" w:hAnsi="Times New Roman"/>
                <w:sz w:val="24"/>
                <w:szCs w:val="24"/>
                <w:lang w:val="sr-Cyrl-CS"/>
              </w:rPr>
              <w:t>5</w:t>
            </w:r>
            <w:r w:rsidR="00793A0C" w:rsidRPr="00E83EF6">
              <w:rPr>
                <w:rFonts w:ascii="Times New Roman" w:hAnsi="Times New Roman"/>
                <w:sz w:val="24"/>
                <w:szCs w:val="24"/>
                <w:lang w:val="sr-Cyrl-CS"/>
              </w:rPr>
              <w:t>.</w:t>
            </w:r>
            <w:r w:rsidRPr="00E83EF6">
              <w:rPr>
                <w:rFonts w:ascii="Times New Roman" w:hAnsi="Times New Roman"/>
                <w:sz w:val="24"/>
                <w:szCs w:val="24"/>
                <w:lang w:val="sr-Cyrl-CS"/>
              </w:rPr>
              <w:t>000</w:t>
            </w:r>
          </w:p>
        </w:tc>
        <w:tc>
          <w:tcPr>
            <w:tcW w:w="1843" w:type="dxa"/>
          </w:tcPr>
          <w:p w:rsidR="00817AFA" w:rsidRPr="00E83EF6" w:rsidRDefault="00862C28" w:rsidP="00E83EF6">
            <w:pPr>
              <w:jc w:val="both"/>
              <w:rPr>
                <w:rFonts w:ascii="Times New Roman" w:hAnsi="Times New Roman"/>
                <w:sz w:val="24"/>
                <w:szCs w:val="24"/>
                <w:lang w:val="sr-Cyrl-CS"/>
              </w:rPr>
            </w:pPr>
            <w:r w:rsidRPr="00E83EF6">
              <w:rPr>
                <w:rFonts w:ascii="Times New Roman" w:hAnsi="Times New Roman"/>
                <w:sz w:val="24"/>
                <w:szCs w:val="24"/>
                <w:lang w:val="sr-Cyrl-CS"/>
              </w:rPr>
              <w:t>10.000</w:t>
            </w:r>
          </w:p>
        </w:tc>
      </w:tr>
      <w:tr w:rsidR="00817AFA" w:rsidRPr="00E83EF6" w:rsidTr="00E83EF6">
        <w:tc>
          <w:tcPr>
            <w:tcW w:w="1842" w:type="dxa"/>
          </w:tcPr>
          <w:p w:rsidR="00817AFA" w:rsidRPr="00E83EF6" w:rsidRDefault="00817AFA" w:rsidP="00E83EF6">
            <w:pPr>
              <w:jc w:val="both"/>
              <w:rPr>
                <w:rFonts w:ascii="Times New Roman" w:hAnsi="Times New Roman"/>
                <w:sz w:val="24"/>
                <w:szCs w:val="24"/>
                <w:lang w:val="sr-Cyrl-CS"/>
              </w:rPr>
            </w:pPr>
            <w:r w:rsidRPr="00E83EF6">
              <w:rPr>
                <w:rFonts w:ascii="Times New Roman" w:hAnsi="Times New Roman"/>
                <w:sz w:val="24"/>
                <w:szCs w:val="24"/>
                <w:lang w:val="sr-Cyrl-CS"/>
              </w:rPr>
              <w:t>4</w:t>
            </w:r>
          </w:p>
        </w:tc>
        <w:tc>
          <w:tcPr>
            <w:tcW w:w="1842" w:type="dxa"/>
          </w:tcPr>
          <w:p w:rsidR="00817AFA" w:rsidRPr="00E83EF6" w:rsidRDefault="00862C28" w:rsidP="00E83EF6">
            <w:pPr>
              <w:jc w:val="both"/>
              <w:rPr>
                <w:rFonts w:ascii="Times New Roman" w:hAnsi="Times New Roman"/>
                <w:sz w:val="24"/>
                <w:szCs w:val="24"/>
                <w:lang w:val="sr-Cyrl-CS"/>
              </w:rPr>
            </w:pPr>
            <w:r w:rsidRPr="00E83EF6">
              <w:rPr>
                <w:rFonts w:ascii="Times New Roman" w:hAnsi="Times New Roman"/>
                <w:sz w:val="24"/>
                <w:szCs w:val="24"/>
                <w:lang w:val="sr-Cyrl-CS"/>
              </w:rPr>
              <w:t>25.000</w:t>
            </w:r>
          </w:p>
        </w:tc>
        <w:tc>
          <w:tcPr>
            <w:tcW w:w="1842" w:type="dxa"/>
          </w:tcPr>
          <w:p w:rsidR="00817AFA" w:rsidRPr="00E83EF6" w:rsidRDefault="00862C28" w:rsidP="00E83EF6">
            <w:pPr>
              <w:jc w:val="both"/>
              <w:rPr>
                <w:rFonts w:ascii="Times New Roman" w:hAnsi="Times New Roman"/>
                <w:sz w:val="24"/>
                <w:szCs w:val="24"/>
                <w:lang w:val="sr-Cyrl-CS"/>
              </w:rPr>
            </w:pPr>
            <w:r w:rsidRPr="00E83EF6">
              <w:rPr>
                <w:rFonts w:ascii="Times New Roman" w:hAnsi="Times New Roman"/>
                <w:sz w:val="24"/>
                <w:szCs w:val="24"/>
                <w:lang w:val="sr-Cyrl-CS"/>
              </w:rPr>
              <w:t>20%</w:t>
            </w:r>
          </w:p>
        </w:tc>
        <w:tc>
          <w:tcPr>
            <w:tcW w:w="1842" w:type="dxa"/>
          </w:tcPr>
          <w:p w:rsidR="00817AFA" w:rsidRPr="00E83EF6" w:rsidRDefault="00862C28" w:rsidP="00E83EF6">
            <w:pPr>
              <w:jc w:val="both"/>
              <w:rPr>
                <w:rFonts w:ascii="Times New Roman" w:hAnsi="Times New Roman"/>
                <w:sz w:val="24"/>
                <w:szCs w:val="24"/>
                <w:lang w:val="sr-Cyrl-CS"/>
              </w:rPr>
            </w:pPr>
            <w:r w:rsidRPr="00E83EF6">
              <w:rPr>
                <w:rFonts w:ascii="Times New Roman" w:hAnsi="Times New Roman"/>
                <w:sz w:val="24"/>
                <w:szCs w:val="24"/>
                <w:lang w:val="sr-Cyrl-CS"/>
              </w:rPr>
              <w:t>5</w:t>
            </w:r>
            <w:r w:rsidR="00793A0C" w:rsidRPr="00E83EF6">
              <w:rPr>
                <w:rFonts w:ascii="Times New Roman" w:hAnsi="Times New Roman"/>
                <w:sz w:val="24"/>
                <w:szCs w:val="24"/>
                <w:lang w:val="sr-Cyrl-CS"/>
              </w:rPr>
              <w:t>.</w:t>
            </w:r>
            <w:r w:rsidRPr="00E83EF6">
              <w:rPr>
                <w:rFonts w:ascii="Times New Roman" w:hAnsi="Times New Roman"/>
                <w:sz w:val="24"/>
                <w:szCs w:val="24"/>
                <w:lang w:val="sr-Cyrl-CS"/>
              </w:rPr>
              <w:t>000</w:t>
            </w:r>
          </w:p>
        </w:tc>
        <w:tc>
          <w:tcPr>
            <w:tcW w:w="1843" w:type="dxa"/>
          </w:tcPr>
          <w:p w:rsidR="00817AFA" w:rsidRPr="00E83EF6" w:rsidRDefault="00862C28" w:rsidP="00E83EF6">
            <w:pPr>
              <w:jc w:val="both"/>
              <w:rPr>
                <w:rFonts w:ascii="Times New Roman" w:hAnsi="Times New Roman"/>
                <w:sz w:val="24"/>
                <w:szCs w:val="24"/>
                <w:lang w:val="sr-Cyrl-CS"/>
              </w:rPr>
            </w:pPr>
            <w:r w:rsidRPr="00E83EF6">
              <w:rPr>
                <w:rFonts w:ascii="Times New Roman" w:hAnsi="Times New Roman"/>
                <w:sz w:val="24"/>
                <w:szCs w:val="24"/>
                <w:lang w:val="sr-Cyrl-CS"/>
              </w:rPr>
              <w:t>5.000</w:t>
            </w:r>
          </w:p>
        </w:tc>
      </w:tr>
      <w:tr w:rsidR="00817AFA" w:rsidRPr="00E83EF6" w:rsidTr="00E83EF6">
        <w:tc>
          <w:tcPr>
            <w:tcW w:w="1842" w:type="dxa"/>
          </w:tcPr>
          <w:p w:rsidR="00817AFA" w:rsidRPr="00E83EF6" w:rsidRDefault="00817AFA" w:rsidP="00E83EF6">
            <w:pPr>
              <w:jc w:val="both"/>
              <w:rPr>
                <w:rFonts w:ascii="Times New Roman" w:hAnsi="Times New Roman"/>
                <w:sz w:val="24"/>
                <w:szCs w:val="24"/>
                <w:lang w:val="sr-Cyrl-CS"/>
              </w:rPr>
            </w:pPr>
            <w:r w:rsidRPr="00E83EF6">
              <w:rPr>
                <w:rFonts w:ascii="Times New Roman" w:hAnsi="Times New Roman"/>
                <w:sz w:val="24"/>
                <w:szCs w:val="24"/>
                <w:lang w:val="sr-Cyrl-CS"/>
              </w:rPr>
              <w:t>5</w:t>
            </w:r>
          </w:p>
        </w:tc>
        <w:tc>
          <w:tcPr>
            <w:tcW w:w="1842" w:type="dxa"/>
          </w:tcPr>
          <w:p w:rsidR="00817AFA" w:rsidRPr="00E83EF6" w:rsidRDefault="00862C28" w:rsidP="00E83EF6">
            <w:pPr>
              <w:jc w:val="both"/>
              <w:rPr>
                <w:rFonts w:ascii="Times New Roman" w:hAnsi="Times New Roman"/>
                <w:sz w:val="24"/>
                <w:szCs w:val="24"/>
                <w:lang w:val="sr-Cyrl-CS"/>
              </w:rPr>
            </w:pPr>
            <w:r w:rsidRPr="00E83EF6">
              <w:rPr>
                <w:rFonts w:ascii="Times New Roman" w:hAnsi="Times New Roman"/>
                <w:sz w:val="24"/>
                <w:szCs w:val="24"/>
                <w:lang w:val="sr-Cyrl-CS"/>
              </w:rPr>
              <w:t>25.000</w:t>
            </w:r>
          </w:p>
        </w:tc>
        <w:tc>
          <w:tcPr>
            <w:tcW w:w="1842" w:type="dxa"/>
          </w:tcPr>
          <w:p w:rsidR="00817AFA" w:rsidRPr="00E83EF6" w:rsidRDefault="00862C28" w:rsidP="00E83EF6">
            <w:pPr>
              <w:jc w:val="both"/>
              <w:rPr>
                <w:rFonts w:ascii="Times New Roman" w:hAnsi="Times New Roman"/>
                <w:sz w:val="24"/>
                <w:szCs w:val="24"/>
                <w:lang w:val="sr-Cyrl-CS"/>
              </w:rPr>
            </w:pPr>
            <w:r w:rsidRPr="00E83EF6">
              <w:rPr>
                <w:rFonts w:ascii="Times New Roman" w:hAnsi="Times New Roman"/>
                <w:sz w:val="24"/>
                <w:szCs w:val="24"/>
                <w:lang w:val="sr-Cyrl-CS"/>
              </w:rPr>
              <w:t>20%</w:t>
            </w:r>
          </w:p>
        </w:tc>
        <w:tc>
          <w:tcPr>
            <w:tcW w:w="1842" w:type="dxa"/>
          </w:tcPr>
          <w:p w:rsidR="00817AFA" w:rsidRPr="00E83EF6" w:rsidRDefault="00862C28" w:rsidP="00E83EF6">
            <w:pPr>
              <w:jc w:val="both"/>
              <w:rPr>
                <w:rFonts w:ascii="Times New Roman" w:hAnsi="Times New Roman"/>
                <w:sz w:val="24"/>
                <w:szCs w:val="24"/>
                <w:lang w:val="sr-Cyrl-CS"/>
              </w:rPr>
            </w:pPr>
            <w:r w:rsidRPr="00E83EF6">
              <w:rPr>
                <w:rFonts w:ascii="Times New Roman" w:hAnsi="Times New Roman"/>
                <w:sz w:val="24"/>
                <w:szCs w:val="24"/>
                <w:lang w:val="sr-Cyrl-CS"/>
              </w:rPr>
              <w:t>5</w:t>
            </w:r>
            <w:r w:rsidR="00793A0C" w:rsidRPr="00E83EF6">
              <w:rPr>
                <w:rFonts w:ascii="Times New Roman" w:hAnsi="Times New Roman"/>
                <w:sz w:val="24"/>
                <w:szCs w:val="24"/>
                <w:lang w:val="sr-Cyrl-CS"/>
              </w:rPr>
              <w:t>.</w:t>
            </w:r>
            <w:r w:rsidRPr="00E83EF6">
              <w:rPr>
                <w:rFonts w:ascii="Times New Roman" w:hAnsi="Times New Roman"/>
                <w:sz w:val="24"/>
                <w:szCs w:val="24"/>
                <w:lang w:val="sr-Cyrl-CS"/>
              </w:rPr>
              <w:t>000</w:t>
            </w:r>
          </w:p>
        </w:tc>
        <w:tc>
          <w:tcPr>
            <w:tcW w:w="1843" w:type="dxa"/>
          </w:tcPr>
          <w:p w:rsidR="00817AFA" w:rsidRPr="00E83EF6" w:rsidRDefault="00862C28" w:rsidP="00E83EF6">
            <w:pPr>
              <w:jc w:val="both"/>
              <w:rPr>
                <w:rFonts w:ascii="Times New Roman" w:hAnsi="Times New Roman"/>
                <w:sz w:val="24"/>
                <w:szCs w:val="24"/>
                <w:lang w:val="sr-Cyrl-CS"/>
              </w:rPr>
            </w:pPr>
            <w:r w:rsidRPr="00E83EF6">
              <w:rPr>
                <w:rFonts w:ascii="Times New Roman" w:hAnsi="Times New Roman"/>
                <w:sz w:val="24"/>
                <w:szCs w:val="24"/>
                <w:lang w:val="sr-Cyrl-CS"/>
              </w:rPr>
              <w:t>0</w:t>
            </w:r>
          </w:p>
        </w:tc>
      </w:tr>
      <w:tr w:rsidR="00817AFA" w:rsidRPr="00E83EF6" w:rsidTr="00E83EF6">
        <w:tc>
          <w:tcPr>
            <w:tcW w:w="1842" w:type="dxa"/>
          </w:tcPr>
          <w:p w:rsidR="00817AFA" w:rsidRPr="00E83EF6" w:rsidRDefault="00817AFA" w:rsidP="00E83EF6">
            <w:pPr>
              <w:jc w:val="both"/>
              <w:rPr>
                <w:rFonts w:ascii="Times New Roman" w:hAnsi="Times New Roman"/>
                <w:sz w:val="24"/>
                <w:szCs w:val="24"/>
                <w:lang w:val="sr-Cyrl-CS"/>
              </w:rPr>
            </w:pPr>
          </w:p>
        </w:tc>
        <w:tc>
          <w:tcPr>
            <w:tcW w:w="1842" w:type="dxa"/>
          </w:tcPr>
          <w:p w:rsidR="00817AFA" w:rsidRPr="00E83EF6" w:rsidRDefault="00817AFA" w:rsidP="00E83EF6">
            <w:pPr>
              <w:jc w:val="both"/>
              <w:rPr>
                <w:rFonts w:ascii="Times New Roman" w:hAnsi="Times New Roman"/>
                <w:sz w:val="24"/>
                <w:szCs w:val="24"/>
                <w:lang w:val="sr-Cyrl-CS"/>
              </w:rPr>
            </w:pPr>
          </w:p>
        </w:tc>
        <w:tc>
          <w:tcPr>
            <w:tcW w:w="1842" w:type="dxa"/>
          </w:tcPr>
          <w:p w:rsidR="00817AFA" w:rsidRPr="00E83EF6" w:rsidRDefault="00862C28" w:rsidP="00E83EF6">
            <w:pPr>
              <w:jc w:val="both"/>
              <w:rPr>
                <w:rFonts w:ascii="Times New Roman" w:hAnsi="Times New Roman"/>
                <w:sz w:val="24"/>
                <w:szCs w:val="24"/>
                <w:lang w:val="sr-Cyrl-CS"/>
              </w:rPr>
            </w:pPr>
            <w:r w:rsidRPr="00E83EF6">
              <w:rPr>
                <w:rFonts w:ascii="Times New Roman" w:hAnsi="Times New Roman"/>
                <w:sz w:val="24"/>
                <w:szCs w:val="24"/>
                <w:lang w:val="sr-Cyrl-CS"/>
              </w:rPr>
              <w:t>100%</w:t>
            </w:r>
          </w:p>
        </w:tc>
        <w:tc>
          <w:tcPr>
            <w:tcW w:w="1842" w:type="dxa"/>
          </w:tcPr>
          <w:p w:rsidR="00817AFA" w:rsidRPr="00E83EF6" w:rsidRDefault="00862C28" w:rsidP="00E83EF6">
            <w:pPr>
              <w:jc w:val="both"/>
              <w:rPr>
                <w:rFonts w:ascii="Times New Roman" w:hAnsi="Times New Roman"/>
                <w:sz w:val="24"/>
                <w:szCs w:val="24"/>
                <w:lang w:val="sr-Cyrl-CS"/>
              </w:rPr>
            </w:pPr>
            <w:r w:rsidRPr="00E83EF6">
              <w:rPr>
                <w:rFonts w:ascii="Times New Roman" w:hAnsi="Times New Roman"/>
                <w:sz w:val="24"/>
                <w:szCs w:val="24"/>
                <w:lang w:val="sr-Cyrl-CS"/>
              </w:rPr>
              <w:t>25.000</w:t>
            </w:r>
          </w:p>
        </w:tc>
        <w:tc>
          <w:tcPr>
            <w:tcW w:w="1843" w:type="dxa"/>
          </w:tcPr>
          <w:p w:rsidR="00817AFA" w:rsidRPr="00E83EF6" w:rsidRDefault="00817AFA" w:rsidP="00E83EF6">
            <w:pPr>
              <w:jc w:val="both"/>
              <w:rPr>
                <w:rFonts w:ascii="Times New Roman" w:hAnsi="Times New Roman"/>
                <w:sz w:val="24"/>
                <w:szCs w:val="24"/>
                <w:lang w:val="sr-Cyrl-CS"/>
              </w:rPr>
            </w:pPr>
          </w:p>
        </w:tc>
      </w:tr>
    </w:tbl>
    <w:p w:rsidR="00817AFA" w:rsidRDefault="00817AFA" w:rsidP="00F415D6">
      <w:pPr>
        <w:ind w:firstLine="708"/>
        <w:jc w:val="both"/>
        <w:rPr>
          <w:rFonts w:ascii="Times New Roman" w:hAnsi="Times New Roman"/>
          <w:sz w:val="24"/>
          <w:szCs w:val="24"/>
          <w:lang w:val="sr-Cyrl-CS"/>
        </w:rPr>
      </w:pPr>
    </w:p>
    <w:p w:rsidR="00110FEF" w:rsidRDefault="00110FEF" w:rsidP="00F415D6">
      <w:pPr>
        <w:ind w:firstLine="708"/>
        <w:jc w:val="both"/>
        <w:rPr>
          <w:rFonts w:ascii="Times New Roman" w:hAnsi="Times New Roman"/>
          <w:sz w:val="24"/>
          <w:szCs w:val="24"/>
          <w:lang w:val="sr-Cyrl-CS"/>
        </w:rPr>
      </w:pPr>
      <w:r>
        <w:rPr>
          <w:rFonts w:ascii="Times New Roman" w:hAnsi="Times New Roman"/>
          <w:sz w:val="24"/>
          <w:szCs w:val="24"/>
          <w:lang w:val="sr-Cyrl-CS"/>
        </w:rPr>
        <w:t>Овај начин обрачуна има  равномеран (линеаран) утицај у свакој години отписа</w:t>
      </w:r>
      <w:r w:rsidR="00F01F04">
        <w:rPr>
          <w:rFonts w:ascii="Times New Roman" w:hAnsi="Times New Roman"/>
          <w:sz w:val="24"/>
          <w:szCs w:val="24"/>
          <w:lang w:val="sr-Cyrl-CS"/>
        </w:rPr>
        <w:t xml:space="preserve"> на </w:t>
      </w:r>
      <w:r w:rsidR="007065B9">
        <w:rPr>
          <w:rFonts w:ascii="Times New Roman" w:hAnsi="Times New Roman"/>
          <w:sz w:val="24"/>
          <w:szCs w:val="24"/>
          <w:lang w:val="sr-Cyrl-CS"/>
        </w:rPr>
        <w:t>укупан износ трошкова</w:t>
      </w:r>
      <w:r w:rsidR="001E71B1">
        <w:rPr>
          <w:rFonts w:ascii="Times New Roman" w:hAnsi="Times New Roman"/>
          <w:sz w:val="24"/>
          <w:szCs w:val="24"/>
          <w:lang w:val="sr-Cyrl-CS"/>
        </w:rPr>
        <w:t>, који се укључује у расходну страну пореског</w:t>
      </w:r>
      <w:r w:rsidR="007065B9">
        <w:rPr>
          <w:rFonts w:ascii="Times New Roman" w:hAnsi="Times New Roman"/>
          <w:sz w:val="24"/>
          <w:szCs w:val="24"/>
          <w:lang w:val="sr-Cyrl-CS"/>
        </w:rPr>
        <w:t xml:space="preserve"> бил</w:t>
      </w:r>
      <w:r w:rsidR="001E71B1">
        <w:rPr>
          <w:rFonts w:ascii="Times New Roman" w:hAnsi="Times New Roman"/>
          <w:sz w:val="24"/>
          <w:szCs w:val="24"/>
          <w:lang w:val="sr-Cyrl-CS"/>
        </w:rPr>
        <w:t>анса</w:t>
      </w:r>
      <w:r w:rsidR="007065B9">
        <w:rPr>
          <w:rFonts w:ascii="Times New Roman" w:hAnsi="Times New Roman"/>
          <w:sz w:val="24"/>
          <w:szCs w:val="24"/>
          <w:lang w:val="sr-Cyrl-CS"/>
        </w:rPr>
        <w:t xml:space="preserve">, па самим тим и на </w:t>
      </w:r>
      <w:r w:rsidR="00F01F04">
        <w:rPr>
          <w:rFonts w:ascii="Times New Roman" w:hAnsi="Times New Roman"/>
          <w:sz w:val="24"/>
          <w:szCs w:val="24"/>
          <w:lang w:val="sr-Cyrl-CS"/>
        </w:rPr>
        <w:t>умањење опорезиве добити</w:t>
      </w:r>
      <w:r>
        <w:rPr>
          <w:rFonts w:ascii="Times New Roman" w:hAnsi="Times New Roman"/>
          <w:sz w:val="24"/>
          <w:szCs w:val="24"/>
          <w:lang w:val="sr-Cyrl-CS"/>
        </w:rPr>
        <w:t xml:space="preserve">. </w:t>
      </w:r>
      <w:r w:rsidR="0091267A">
        <w:rPr>
          <w:rFonts w:ascii="Times New Roman" w:hAnsi="Times New Roman"/>
          <w:sz w:val="24"/>
          <w:szCs w:val="24"/>
          <w:lang w:val="sr-Cyrl-CS"/>
        </w:rPr>
        <w:t>Из претходне табеле произилази да се опорезива добит умањује за исти износ од 5</w:t>
      </w:r>
      <w:r w:rsidR="001E71B1">
        <w:rPr>
          <w:rFonts w:ascii="Times New Roman" w:hAnsi="Times New Roman"/>
          <w:sz w:val="24"/>
          <w:szCs w:val="24"/>
          <w:lang w:val="sr-Cyrl-CS"/>
        </w:rPr>
        <w:t>.</w:t>
      </w:r>
      <w:r w:rsidR="0091267A">
        <w:rPr>
          <w:rFonts w:ascii="Times New Roman" w:hAnsi="Times New Roman"/>
          <w:sz w:val="24"/>
          <w:szCs w:val="24"/>
          <w:lang w:val="sr-Cyrl-CS"/>
        </w:rPr>
        <w:t>000 динара годишње. Међутим, укол</w:t>
      </w:r>
      <w:r w:rsidR="000A5499">
        <w:rPr>
          <w:rFonts w:ascii="Times New Roman" w:hAnsi="Times New Roman"/>
          <w:sz w:val="24"/>
          <w:szCs w:val="24"/>
          <w:lang w:val="sr-Cyrl-CS"/>
        </w:rPr>
        <w:t>и</w:t>
      </w:r>
      <w:r w:rsidR="0091267A">
        <w:rPr>
          <w:rFonts w:ascii="Times New Roman" w:hAnsi="Times New Roman"/>
          <w:sz w:val="24"/>
          <w:szCs w:val="24"/>
          <w:lang w:val="sr-Cyrl-CS"/>
        </w:rPr>
        <w:t xml:space="preserve">ко се порески обвезник налази у фази пореског ослобођења амортизација </w:t>
      </w:r>
      <w:r w:rsidR="000A5499">
        <w:rPr>
          <w:rFonts w:ascii="Times New Roman" w:hAnsi="Times New Roman"/>
          <w:sz w:val="24"/>
          <w:szCs w:val="24"/>
          <w:lang w:val="sr-Cyrl-CS"/>
        </w:rPr>
        <w:t xml:space="preserve">неће </w:t>
      </w:r>
      <w:r w:rsidR="001E71B1">
        <w:rPr>
          <w:rFonts w:ascii="Times New Roman" w:hAnsi="Times New Roman"/>
          <w:sz w:val="24"/>
          <w:szCs w:val="24"/>
          <w:lang w:val="sr-Cyrl-CS"/>
        </w:rPr>
        <w:t>имати утицај на</w:t>
      </w:r>
      <w:r w:rsidR="0091267A">
        <w:rPr>
          <w:rFonts w:ascii="Times New Roman" w:hAnsi="Times New Roman"/>
          <w:sz w:val="24"/>
          <w:szCs w:val="24"/>
          <w:lang w:val="sr-Cyrl-CS"/>
        </w:rPr>
        <w:t xml:space="preserve"> порез на добит јер је пореска обавеза већ поништена пореским ослобођењем.</w:t>
      </w:r>
    </w:p>
    <w:p w:rsidR="000956D9" w:rsidRDefault="0091267A" w:rsidP="00F415D6">
      <w:pPr>
        <w:ind w:firstLine="708"/>
        <w:jc w:val="both"/>
        <w:rPr>
          <w:rFonts w:ascii="Times New Roman" w:hAnsi="Times New Roman"/>
          <w:sz w:val="24"/>
          <w:szCs w:val="24"/>
          <w:lang w:val="sr-Cyrl-CS"/>
        </w:rPr>
      </w:pPr>
      <w:r>
        <w:rPr>
          <w:rFonts w:ascii="Times New Roman" w:hAnsi="Times New Roman"/>
          <w:sz w:val="24"/>
          <w:szCs w:val="24"/>
          <w:lang w:val="sr-Cyrl-CS"/>
        </w:rPr>
        <w:lastRenderedPageBreak/>
        <w:t>Код дегресивне методе</w:t>
      </w:r>
      <w:r w:rsidR="007065B9">
        <w:rPr>
          <w:rFonts w:ascii="Times New Roman" w:hAnsi="Times New Roman"/>
          <w:sz w:val="24"/>
          <w:szCs w:val="24"/>
          <w:lang w:val="sr-Cyrl-CS"/>
        </w:rPr>
        <w:t xml:space="preserve"> вредност се у првим годинама века трајања основног средства </w:t>
      </w:r>
      <w:r w:rsidR="000B765A">
        <w:rPr>
          <w:rFonts w:ascii="Times New Roman" w:hAnsi="Times New Roman"/>
          <w:sz w:val="24"/>
          <w:szCs w:val="24"/>
          <w:lang w:val="sr-Cyrl-CS"/>
        </w:rPr>
        <w:t xml:space="preserve">брже амортизује, док се годишња амортизација </w:t>
      </w:r>
      <w:r w:rsidR="007065B9">
        <w:rPr>
          <w:rFonts w:ascii="Times New Roman" w:hAnsi="Times New Roman"/>
          <w:sz w:val="24"/>
          <w:szCs w:val="24"/>
          <w:lang w:val="sr-Cyrl-CS"/>
        </w:rPr>
        <w:t xml:space="preserve">временом постепено смањује. </w:t>
      </w:r>
      <w:r w:rsidR="00711270">
        <w:rPr>
          <w:rFonts w:ascii="Times New Roman" w:hAnsi="Times New Roman"/>
          <w:sz w:val="24"/>
          <w:szCs w:val="24"/>
          <w:lang w:val="sr-Cyrl-CS"/>
        </w:rPr>
        <w:t>„</w:t>
      </w:r>
      <w:r w:rsidR="007065B9">
        <w:rPr>
          <w:rFonts w:ascii="Times New Roman" w:hAnsi="Times New Roman"/>
          <w:sz w:val="24"/>
          <w:szCs w:val="24"/>
          <w:lang w:val="sr-Cyrl-CS"/>
        </w:rPr>
        <w:t xml:space="preserve">Бржа амортизација у </w:t>
      </w:r>
      <w:r w:rsidR="000B765A">
        <w:rPr>
          <w:rFonts w:ascii="Times New Roman" w:hAnsi="Times New Roman"/>
          <w:sz w:val="24"/>
          <w:szCs w:val="24"/>
          <w:lang w:val="sr-Cyrl-CS"/>
        </w:rPr>
        <w:t>првим</w:t>
      </w:r>
      <w:r w:rsidR="007065B9">
        <w:rPr>
          <w:rFonts w:ascii="Times New Roman" w:hAnsi="Times New Roman"/>
          <w:sz w:val="24"/>
          <w:szCs w:val="24"/>
          <w:lang w:val="sr-Cyrl-CS"/>
        </w:rPr>
        <w:t xml:space="preserve"> годинама века трајања погодује правном лицу јер му уштеђен новац по основу мањег пореза (чим је трошак већи, добит је мања) остаје на располагању, </w:t>
      </w:r>
      <w:r w:rsidR="000B765A">
        <w:rPr>
          <w:rFonts w:ascii="Times New Roman" w:hAnsi="Times New Roman"/>
          <w:sz w:val="24"/>
          <w:szCs w:val="24"/>
          <w:lang w:val="sr-Cyrl-CS"/>
        </w:rPr>
        <w:t>па иако ће у каснијим годинама отпис</w:t>
      </w:r>
      <w:r w:rsidR="007065B9">
        <w:rPr>
          <w:rFonts w:ascii="Times New Roman" w:hAnsi="Times New Roman"/>
          <w:sz w:val="24"/>
          <w:szCs w:val="24"/>
          <w:lang w:val="sr-Cyrl-CS"/>
        </w:rPr>
        <w:t xml:space="preserve"> бити мањи, а порез већи, у међувремену </w:t>
      </w:r>
      <w:r w:rsidR="000B765A">
        <w:rPr>
          <w:rFonts w:ascii="Times New Roman" w:hAnsi="Times New Roman"/>
          <w:sz w:val="24"/>
          <w:szCs w:val="24"/>
          <w:lang w:val="sr-Cyrl-CS"/>
        </w:rPr>
        <w:t>је</w:t>
      </w:r>
      <w:r w:rsidR="00046DFD">
        <w:rPr>
          <w:rFonts w:ascii="Times New Roman" w:hAnsi="Times New Roman"/>
          <w:sz w:val="24"/>
          <w:szCs w:val="24"/>
          <w:lang w:val="sr-Cyrl-CS"/>
        </w:rPr>
        <w:t xml:space="preserve"> </w:t>
      </w:r>
      <w:r w:rsidR="007065B9">
        <w:rPr>
          <w:rFonts w:ascii="Times New Roman" w:hAnsi="Times New Roman"/>
          <w:sz w:val="24"/>
          <w:szCs w:val="24"/>
          <w:lang w:val="sr-Cyrl-CS"/>
        </w:rPr>
        <w:t>уштеђен износ, ако је инвестиран, могао да донесе принос.</w:t>
      </w:r>
      <w:r w:rsidR="00711270">
        <w:rPr>
          <w:rFonts w:ascii="Times New Roman" w:hAnsi="Times New Roman"/>
          <w:sz w:val="24"/>
          <w:szCs w:val="24"/>
          <w:lang w:val="sr-Cyrl-CS"/>
        </w:rPr>
        <w:t>“</w:t>
      </w:r>
      <w:r w:rsidR="007065B9">
        <w:rPr>
          <w:rFonts w:ascii="Times New Roman" w:hAnsi="Times New Roman"/>
          <w:sz w:val="24"/>
          <w:szCs w:val="24"/>
          <w:lang w:val="sr-Cyrl-CS"/>
        </w:rPr>
        <w:t xml:space="preserve"> За основицу амортиза</w:t>
      </w:r>
      <w:r w:rsidR="000A5499">
        <w:rPr>
          <w:rFonts w:ascii="Times New Roman" w:hAnsi="Times New Roman"/>
          <w:sz w:val="24"/>
          <w:szCs w:val="24"/>
          <w:lang w:val="sr-Cyrl-CS"/>
        </w:rPr>
        <w:t>ц</w:t>
      </w:r>
      <w:r w:rsidR="007065B9">
        <w:rPr>
          <w:rFonts w:ascii="Times New Roman" w:hAnsi="Times New Roman"/>
          <w:sz w:val="24"/>
          <w:szCs w:val="24"/>
          <w:lang w:val="sr-Cyrl-CS"/>
        </w:rPr>
        <w:t xml:space="preserve">ије се само у првој години узима набавна вредност, </w:t>
      </w:r>
      <w:r w:rsidR="000B765A">
        <w:rPr>
          <w:rFonts w:ascii="Times New Roman" w:hAnsi="Times New Roman"/>
          <w:sz w:val="24"/>
          <w:szCs w:val="24"/>
          <w:lang w:val="sr-Cyrl-CS"/>
        </w:rPr>
        <w:t>док се за</w:t>
      </w:r>
      <w:r w:rsidR="007065B9">
        <w:rPr>
          <w:rFonts w:ascii="Times New Roman" w:hAnsi="Times New Roman"/>
          <w:sz w:val="24"/>
          <w:szCs w:val="24"/>
          <w:lang w:val="sr-Cyrl-CS"/>
        </w:rPr>
        <w:t xml:space="preserve"> сваку </w:t>
      </w:r>
      <w:r w:rsidR="000B765A">
        <w:rPr>
          <w:rFonts w:ascii="Times New Roman" w:hAnsi="Times New Roman"/>
          <w:sz w:val="24"/>
          <w:szCs w:val="24"/>
          <w:lang w:val="sr-Cyrl-CS"/>
        </w:rPr>
        <w:t>наредну</w:t>
      </w:r>
      <w:r w:rsidR="007065B9">
        <w:rPr>
          <w:rFonts w:ascii="Times New Roman" w:hAnsi="Times New Roman"/>
          <w:sz w:val="24"/>
          <w:szCs w:val="24"/>
          <w:lang w:val="sr-Cyrl-CS"/>
        </w:rPr>
        <w:t xml:space="preserve"> </w:t>
      </w:r>
      <w:r w:rsidR="00152DE5">
        <w:rPr>
          <w:rFonts w:ascii="Times New Roman" w:hAnsi="Times New Roman"/>
          <w:sz w:val="24"/>
          <w:szCs w:val="24"/>
          <w:lang w:val="sr-Cyrl-CS"/>
        </w:rPr>
        <w:t xml:space="preserve">годину </w:t>
      </w:r>
      <w:r w:rsidR="000B765A">
        <w:rPr>
          <w:rFonts w:ascii="Times New Roman" w:hAnsi="Times New Roman"/>
          <w:sz w:val="24"/>
          <w:szCs w:val="24"/>
          <w:lang w:val="sr-Cyrl-CS"/>
        </w:rPr>
        <w:t xml:space="preserve">узима </w:t>
      </w:r>
      <w:r w:rsidR="00152DE5">
        <w:rPr>
          <w:rFonts w:ascii="Times New Roman" w:hAnsi="Times New Roman"/>
          <w:sz w:val="24"/>
          <w:szCs w:val="24"/>
          <w:lang w:val="sr-Cyrl-CS"/>
        </w:rPr>
        <w:t>садашња вреднос</w:t>
      </w:r>
      <w:r w:rsidR="007065B9">
        <w:rPr>
          <w:rFonts w:ascii="Times New Roman" w:hAnsi="Times New Roman"/>
          <w:sz w:val="24"/>
          <w:szCs w:val="24"/>
          <w:lang w:val="sr-Cyrl-CS"/>
        </w:rPr>
        <w:t>т по истеку претходне године (тј. преостала отписана вредност).</w:t>
      </w:r>
    </w:p>
    <w:p w:rsidR="00D57F68" w:rsidRPr="006155DC" w:rsidRDefault="00E306B1" w:rsidP="006155DC">
      <w:pPr>
        <w:ind w:firstLine="708"/>
        <w:jc w:val="both"/>
        <w:rPr>
          <w:rFonts w:ascii="Times New Roman" w:hAnsi="Times New Roman"/>
          <w:sz w:val="24"/>
          <w:szCs w:val="24"/>
        </w:rPr>
      </w:pPr>
      <w:r>
        <w:rPr>
          <w:rFonts w:ascii="Times New Roman" w:hAnsi="Times New Roman"/>
          <w:sz w:val="24"/>
          <w:szCs w:val="24"/>
          <w:lang w:val="sr-Cyrl-CS"/>
        </w:rPr>
        <w:t>Амортизација сталног средства из претходног примера по дегресивној методи изгледала би на следећи начин:</w:t>
      </w:r>
    </w:p>
    <w:p w:rsidR="00E306B1" w:rsidRPr="00D57F68" w:rsidRDefault="00A74A8E" w:rsidP="00F415D6">
      <w:pPr>
        <w:ind w:firstLine="708"/>
        <w:jc w:val="both"/>
        <w:rPr>
          <w:rFonts w:ascii="Times New Roman" w:hAnsi="Times New Roman"/>
          <w:b/>
          <w:sz w:val="24"/>
          <w:szCs w:val="24"/>
          <w:lang w:val="sr-Cyrl-CS"/>
        </w:rPr>
      </w:pPr>
      <w:r>
        <w:rPr>
          <w:rFonts w:ascii="Times New Roman" w:hAnsi="Times New Roman"/>
          <w:b/>
          <w:sz w:val="24"/>
          <w:szCs w:val="24"/>
          <w:lang w:val="sr-Cyrl-CS"/>
        </w:rPr>
        <w:t>Табела 9</w:t>
      </w:r>
      <w:r w:rsidR="00D57F68" w:rsidRPr="00D57F68">
        <w:rPr>
          <w:rFonts w:ascii="Times New Roman" w:hAnsi="Times New Roman"/>
          <w:b/>
          <w:sz w:val="24"/>
          <w:szCs w:val="24"/>
          <w:lang w:val="sr-Cyrl-CS"/>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35"/>
        <w:gridCol w:w="1535"/>
        <w:gridCol w:w="1580"/>
        <w:gridCol w:w="1535"/>
        <w:gridCol w:w="1535"/>
        <w:gridCol w:w="1536"/>
      </w:tblGrid>
      <w:tr w:rsidR="00E306B1" w:rsidRPr="00E83EF6" w:rsidTr="00E83EF6">
        <w:tc>
          <w:tcPr>
            <w:tcW w:w="1535" w:type="dxa"/>
          </w:tcPr>
          <w:p w:rsidR="00E306B1" w:rsidRPr="00E83EF6" w:rsidRDefault="00E306B1" w:rsidP="00E83EF6">
            <w:pPr>
              <w:jc w:val="both"/>
              <w:rPr>
                <w:rFonts w:ascii="Times New Roman" w:hAnsi="Times New Roman"/>
                <w:sz w:val="24"/>
                <w:szCs w:val="24"/>
                <w:lang w:val="sr-Cyrl-CS"/>
              </w:rPr>
            </w:pPr>
            <w:r w:rsidRPr="00E83EF6">
              <w:rPr>
                <w:rFonts w:ascii="Times New Roman" w:hAnsi="Times New Roman"/>
                <w:sz w:val="24"/>
                <w:szCs w:val="24"/>
                <w:lang w:val="sr-Cyrl-CS"/>
              </w:rPr>
              <w:t>година</w:t>
            </w:r>
          </w:p>
        </w:tc>
        <w:tc>
          <w:tcPr>
            <w:tcW w:w="1535" w:type="dxa"/>
          </w:tcPr>
          <w:p w:rsidR="00E306B1" w:rsidRPr="00E83EF6" w:rsidRDefault="00E306B1" w:rsidP="00E83EF6">
            <w:pPr>
              <w:jc w:val="both"/>
              <w:rPr>
                <w:rFonts w:ascii="Times New Roman" w:hAnsi="Times New Roman"/>
                <w:sz w:val="24"/>
                <w:szCs w:val="24"/>
                <w:lang w:val="sr-Cyrl-CS"/>
              </w:rPr>
            </w:pPr>
            <w:r w:rsidRPr="00E83EF6">
              <w:rPr>
                <w:rFonts w:ascii="Times New Roman" w:hAnsi="Times New Roman"/>
                <w:sz w:val="24"/>
                <w:szCs w:val="24"/>
                <w:lang w:val="sr-Cyrl-CS"/>
              </w:rPr>
              <w:t>Садашња вредност</w:t>
            </w:r>
          </w:p>
        </w:tc>
        <w:tc>
          <w:tcPr>
            <w:tcW w:w="1535" w:type="dxa"/>
          </w:tcPr>
          <w:p w:rsidR="00E306B1" w:rsidRPr="00E83EF6" w:rsidRDefault="00E306B1" w:rsidP="00E83EF6">
            <w:pPr>
              <w:jc w:val="both"/>
              <w:rPr>
                <w:rFonts w:ascii="Times New Roman" w:hAnsi="Times New Roman"/>
                <w:sz w:val="24"/>
                <w:szCs w:val="24"/>
                <w:lang w:val="sr-Cyrl-CS"/>
              </w:rPr>
            </w:pPr>
            <w:r w:rsidRPr="00E83EF6">
              <w:rPr>
                <w:rFonts w:ascii="Times New Roman" w:hAnsi="Times New Roman"/>
                <w:sz w:val="24"/>
                <w:szCs w:val="24"/>
                <w:lang w:val="sr-Cyrl-CS"/>
              </w:rPr>
              <w:t xml:space="preserve">Стопа </w:t>
            </w:r>
            <w:r w:rsidR="006D3932" w:rsidRPr="00E83EF6">
              <w:rPr>
                <w:rFonts w:ascii="Times New Roman" w:hAnsi="Times New Roman"/>
                <w:sz w:val="24"/>
                <w:szCs w:val="24"/>
                <w:lang w:val="sr-Cyrl-CS"/>
              </w:rPr>
              <w:t>амортизације</w:t>
            </w:r>
          </w:p>
        </w:tc>
        <w:tc>
          <w:tcPr>
            <w:tcW w:w="1535" w:type="dxa"/>
          </w:tcPr>
          <w:p w:rsidR="00E306B1" w:rsidRPr="00E83EF6" w:rsidRDefault="00E306B1" w:rsidP="00E83EF6">
            <w:pPr>
              <w:jc w:val="both"/>
              <w:rPr>
                <w:rFonts w:ascii="Times New Roman" w:hAnsi="Times New Roman"/>
                <w:sz w:val="24"/>
                <w:szCs w:val="24"/>
                <w:lang w:val="sr-Cyrl-CS"/>
              </w:rPr>
            </w:pPr>
            <w:r w:rsidRPr="00E83EF6">
              <w:rPr>
                <w:rFonts w:ascii="Times New Roman" w:hAnsi="Times New Roman"/>
                <w:sz w:val="24"/>
                <w:szCs w:val="24"/>
                <w:lang w:val="sr-Cyrl-CS"/>
              </w:rPr>
              <w:t>амортиција</w:t>
            </w:r>
          </w:p>
        </w:tc>
        <w:tc>
          <w:tcPr>
            <w:tcW w:w="1535" w:type="dxa"/>
          </w:tcPr>
          <w:p w:rsidR="00E306B1" w:rsidRPr="00E83EF6" w:rsidRDefault="00E306B1" w:rsidP="00E83EF6">
            <w:pPr>
              <w:jc w:val="both"/>
              <w:rPr>
                <w:rFonts w:ascii="Times New Roman" w:hAnsi="Times New Roman"/>
                <w:sz w:val="24"/>
                <w:szCs w:val="24"/>
                <w:lang w:val="sr-Cyrl-CS"/>
              </w:rPr>
            </w:pPr>
            <w:r w:rsidRPr="00E83EF6">
              <w:rPr>
                <w:rFonts w:ascii="Times New Roman" w:hAnsi="Times New Roman"/>
                <w:sz w:val="24"/>
                <w:szCs w:val="24"/>
                <w:lang w:val="sr-Cyrl-CS"/>
              </w:rPr>
              <w:t>Вредност по истеку године</w:t>
            </w:r>
          </w:p>
        </w:tc>
        <w:tc>
          <w:tcPr>
            <w:tcW w:w="1536" w:type="dxa"/>
          </w:tcPr>
          <w:p w:rsidR="00E306B1" w:rsidRPr="00E83EF6" w:rsidRDefault="006D3932" w:rsidP="00E83EF6">
            <w:pPr>
              <w:jc w:val="both"/>
              <w:rPr>
                <w:rFonts w:ascii="Times New Roman" w:hAnsi="Times New Roman"/>
                <w:sz w:val="24"/>
                <w:szCs w:val="24"/>
                <w:lang w:val="sr-Cyrl-CS"/>
              </w:rPr>
            </w:pPr>
            <w:r w:rsidRPr="00E83EF6">
              <w:rPr>
                <w:rFonts w:ascii="Times New Roman" w:hAnsi="Times New Roman"/>
                <w:sz w:val="24"/>
                <w:szCs w:val="24"/>
                <w:lang w:val="sr-Cyrl-CS"/>
              </w:rPr>
              <w:t>корекција</w:t>
            </w:r>
          </w:p>
        </w:tc>
      </w:tr>
      <w:tr w:rsidR="00E306B1" w:rsidRPr="00E83EF6" w:rsidTr="00E83EF6">
        <w:tc>
          <w:tcPr>
            <w:tcW w:w="1535" w:type="dxa"/>
          </w:tcPr>
          <w:p w:rsidR="00E306B1" w:rsidRPr="00E83EF6" w:rsidRDefault="00E306B1" w:rsidP="00E83EF6">
            <w:pPr>
              <w:jc w:val="both"/>
              <w:rPr>
                <w:rFonts w:ascii="Times New Roman" w:hAnsi="Times New Roman"/>
                <w:sz w:val="24"/>
                <w:szCs w:val="24"/>
                <w:lang w:val="sr-Cyrl-CS"/>
              </w:rPr>
            </w:pPr>
            <w:r w:rsidRPr="00E83EF6">
              <w:rPr>
                <w:rFonts w:ascii="Times New Roman" w:hAnsi="Times New Roman"/>
                <w:sz w:val="24"/>
                <w:szCs w:val="24"/>
                <w:lang w:val="sr-Cyrl-CS"/>
              </w:rPr>
              <w:t>1</w:t>
            </w:r>
          </w:p>
        </w:tc>
        <w:tc>
          <w:tcPr>
            <w:tcW w:w="1535" w:type="dxa"/>
          </w:tcPr>
          <w:p w:rsidR="00E306B1" w:rsidRPr="00E83EF6" w:rsidRDefault="00E306B1" w:rsidP="00E83EF6">
            <w:pPr>
              <w:jc w:val="both"/>
              <w:rPr>
                <w:rFonts w:ascii="Times New Roman" w:hAnsi="Times New Roman"/>
                <w:sz w:val="24"/>
                <w:szCs w:val="24"/>
                <w:lang w:val="sr-Cyrl-CS"/>
              </w:rPr>
            </w:pPr>
            <w:r w:rsidRPr="00E83EF6">
              <w:rPr>
                <w:rFonts w:ascii="Times New Roman" w:hAnsi="Times New Roman"/>
                <w:sz w:val="24"/>
                <w:szCs w:val="24"/>
                <w:lang w:val="sr-Cyrl-CS"/>
              </w:rPr>
              <w:t>25.000</w:t>
            </w:r>
          </w:p>
        </w:tc>
        <w:tc>
          <w:tcPr>
            <w:tcW w:w="1535" w:type="dxa"/>
          </w:tcPr>
          <w:p w:rsidR="00E306B1" w:rsidRPr="00E83EF6" w:rsidRDefault="00E306B1" w:rsidP="00E83EF6">
            <w:pPr>
              <w:jc w:val="both"/>
              <w:rPr>
                <w:rFonts w:ascii="Times New Roman" w:hAnsi="Times New Roman"/>
                <w:sz w:val="24"/>
                <w:szCs w:val="24"/>
                <w:lang w:val="sr-Cyrl-CS"/>
              </w:rPr>
            </w:pPr>
            <w:r w:rsidRPr="00E83EF6">
              <w:rPr>
                <w:rFonts w:ascii="Times New Roman" w:hAnsi="Times New Roman"/>
                <w:sz w:val="24"/>
                <w:szCs w:val="24"/>
                <w:lang w:val="sr-Cyrl-CS"/>
              </w:rPr>
              <w:t>40%</w:t>
            </w:r>
          </w:p>
        </w:tc>
        <w:tc>
          <w:tcPr>
            <w:tcW w:w="1535" w:type="dxa"/>
          </w:tcPr>
          <w:p w:rsidR="00E306B1" w:rsidRPr="00E83EF6" w:rsidRDefault="00E306B1" w:rsidP="00E83EF6">
            <w:pPr>
              <w:jc w:val="both"/>
              <w:rPr>
                <w:rFonts w:ascii="Times New Roman" w:hAnsi="Times New Roman"/>
                <w:sz w:val="24"/>
                <w:szCs w:val="24"/>
                <w:lang w:val="sr-Cyrl-CS"/>
              </w:rPr>
            </w:pPr>
            <w:r w:rsidRPr="00E83EF6">
              <w:rPr>
                <w:rFonts w:ascii="Times New Roman" w:hAnsi="Times New Roman"/>
                <w:sz w:val="24"/>
                <w:szCs w:val="24"/>
                <w:lang w:val="sr-Cyrl-CS"/>
              </w:rPr>
              <w:t>10.000</w:t>
            </w:r>
          </w:p>
        </w:tc>
        <w:tc>
          <w:tcPr>
            <w:tcW w:w="1535" w:type="dxa"/>
          </w:tcPr>
          <w:p w:rsidR="00E306B1" w:rsidRPr="00E83EF6" w:rsidRDefault="009802DC" w:rsidP="00E83EF6">
            <w:pPr>
              <w:jc w:val="both"/>
              <w:rPr>
                <w:rFonts w:ascii="Times New Roman" w:hAnsi="Times New Roman"/>
                <w:sz w:val="24"/>
                <w:szCs w:val="24"/>
                <w:lang w:val="sr-Cyrl-CS"/>
              </w:rPr>
            </w:pPr>
            <w:r w:rsidRPr="00E83EF6">
              <w:rPr>
                <w:rFonts w:ascii="Times New Roman" w:hAnsi="Times New Roman"/>
                <w:sz w:val="24"/>
                <w:szCs w:val="24"/>
                <w:lang w:val="sr-Cyrl-CS"/>
              </w:rPr>
              <w:t>15.000</w:t>
            </w:r>
          </w:p>
        </w:tc>
        <w:tc>
          <w:tcPr>
            <w:tcW w:w="1536" w:type="dxa"/>
          </w:tcPr>
          <w:p w:rsidR="00E306B1" w:rsidRPr="00E83EF6" w:rsidRDefault="00E306B1" w:rsidP="00E83EF6">
            <w:pPr>
              <w:jc w:val="both"/>
              <w:rPr>
                <w:rFonts w:ascii="Times New Roman" w:hAnsi="Times New Roman"/>
                <w:sz w:val="24"/>
                <w:szCs w:val="24"/>
                <w:lang w:val="sr-Cyrl-CS"/>
              </w:rPr>
            </w:pPr>
          </w:p>
        </w:tc>
      </w:tr>
      <w:tr w:rsidR="00E306B1" w:rsidRPr="00E83EF6" w:rsidTr="00E83EF6">
        <w:tc>
          <w:tcPr>
            <w:tcW w:w="1535" w:type="dxa"/>
          </w:tcPr>
          <w:p w:rsidR="00E306B1" w:rsidRPr="00E83EF6" w:rsidRDefault="00E306B1" w:rsidP="00E83EF6">
            <w:pPr>
              <w:jc w:val="both"/>
              <w:rPr>
                <w:rFonts w:ascii="Times New Roman" w:hAnsi="Times New Roman"/>
                <w:sz w:val="24"/>
                <w:szCs w:val="24"/>
                <w:lang w:val="sr-Cyrl-CS"/>
              </w:rPr>
            </w:pPr>
            <w:r w:rsidRPr="00E83EF6">
              <w:rPr>
                <w:rFonts w:ascii="Times New Roman" w:hAnsi="Times New Roman"/>
                <w:sz w:val="24"/>
                <w:szCs w:val="24"/>
                <w:lang w:val="sr-Cyrl-CS"/>
              </w:rPr>
              <w:t>2</w:t>
            </w:r>
          </w:p>
        </w:tc>
        <w:tc>
          <w:tcPr>
            <w:tcW w:w="1535" w:type="dxa"/>
          </w:tcPr>
          <w:p w:rsidR="00E306B1" w:rsidRPr="00E83EF6" w:rsidRDefault="00E306B1" w:rsidP="00E83EF6">
            <w:pPr>
              <w:jc w:val="both"/>
              <w:rPr>
                <w:rFonts w:ascii="Times New Roman" w:hAnsi="Times New Roman"/>
                <w:sz w:val="24"/>
                <w:szCs w:val="24"/>
                <w:lang w:val="sr-Cyrl-CS"/>
              </w:rPr>
            </w:pPr>
            <w:r w:rsidRPr="00E83EF6">
              <w:rPr>
                <w:rFonts w:ascii="Times New Roman" w:hAnsi="Times New Roman"/>
                <w:sz w:val="24"/>
                <w:szCs w:val="24"/>
                <w:lang w:val="sr-Cyrl-CS"/>
              </w:rPr>
              <w:t>15.000</w:t>
            </w:r>
          </w:p>
        </w:tc>
        <w:tc>
          <w:tcPr>
            <w:tcW w:w="1535" w:type="dxa"/>
          </w:tcPr>
          <w:p w:rsidR="00E306B1" w:rsidRPr="00E83EF6" w:rsidRDefault="00E306B1" w:rsidP="00E83EF6">
            <w:pPr>
              <w:jc w:val="both"/>
              <w:rPr>
                <w:rFonts w:ascii="Times New Roman" w:hAnsi="Times New Roman"/>
                <w:sz w:val="24"/>
                <w:szCs w:val="24"/>
                <w:lang w:val="sr-Cyrl-CS"/>
              </w:rPr>
            </w:pPr>
            <w:r w:rsidRPr="00E83EF6">
              <w:rPr>
                <w:rFonts w:ascii="Times New Roman" w:hAnsi="Times New Roman"/>
                <w:sz w:val="24"/>
                <w:szCs w:val="24"/>
                <w:lang w:val="sr-Cyrl-CS"/>
              </w:rPr>
              <w:t>40%</w:t>
            </w:r>
          </w:p>
        </w:tc>
        <w:tc>
          <w:tcPr>
            <w:tcW w:w="1535" w:type="dxa"/>
          </w:tcPr>
          <w:p w:rsidR="00E306B1" w:rsidRPr="00E83EF6" w:rsidRDefault="00E306B1" w:rsidP="00E83EF6">
            <w:pPr>
              <w:jc w:val="both"/>
              <w:rPr>
                <w:rFonts w:ascii="Times New Roman" w:hAnsi="Times New Roman"/>
                <w:sz w:val="24"/>
                <w:szCs w:val="24"/>
                <w:lang w:val="sr-Cyrl-CS"/>
              </w:rPr>
            </w:pPr>
            <w:r w:rsidRPr="00E83EF6">
              <w:rPr>
                <w:rFonts w:ascii="Times New Roman" w:hAnsi="Times New Roman"/>
                <w:sz w:val="24"/>
                <w:szCs w:val="24"/>
                <w:lang w:val="sr-Cyrl-CS"/>
              </w:rPr>
              <w:t>6.000</w:t>
            </w:r>
          </w:p>
        </w:tc>
        <w:tc>
          <w:tcPr>
            <w:tcW w:w="1535" w:type="dxa"/>
          </w:tcPr>
          <w:p w:rsidR="00E306B1" w:rsidRPr="00E83EF6" w:rsidRDefault="009802DC" w:rsidP="00E83EF6">
            <w:pPr>
              <w:jc w:val="both"/>
              <w:rPr>
                <w:rFonts w:ascii="Times New Roman" w:hAnsi="Times New Roman"/>
                <w:sz w:val="24"/>
                <w:szCs w:val="24"/>
                <w:lang w:val="sr-Cyrl-CS"/>
              </w:rPr>
            </w:pPr>
            <w:r w:rsidRPr="00E83EF6">
              <w:rPr>
                <w:rFonts w:ascii="Times New Roman" w:hAnsi="Times New Roman"/>
                <w:sz w:val="24"/>
                <w:szCs w:val="24"/>
                <w:lang w:val="sr-Cyrl-CS"/>
              </w:rPr>
              <w:t>9.000</w:t>
            </w:r>
          </w:p>
        </w:tc>
        <w:tc>
          <w:tcPr>
            <w:tcW w:w="1536" w:type="dxa"/>
          </w:tcPr>
          <w:p w:rsidR="00E306B1" w:rsidRPr="00E83EF6" w:rsidRDefault="00F546A0" w:rsidP="00E83EF6">
            <w:pPr>
              <w:jc w:val="both"/>
              <w:rPr>
                <w:rFonts w:ascii="Times New Roman" w:hAnsi="Times New Roman"/>
                <w:b/>
                <w:sz w:val="24"/>
                <w:szCs w:val="24"/>
                <w:lang w:val="sr-Cyrl-CS"/>
              </w:rPr>
            </w:pPr>
            <w:r w:rsidRPr="00E83EF6">
              <w:rPr>
                <w:rFonts w:ascii="Times New Roman" w:hAnsi="Times New Roman"/>
                <w:b/>
                <w:sz w:val="24"/>
                <w:szCs w:val="24"/>
                <w:lang w:val="sr-Cyrl-CS"/>
              </w:rPr>
              <w:t>5.000</w:t>
            </w:r>
          </w:p>
        </w:tc>
      </w:tr>
      <w:tr w:rsidR="00E306B1" w:rsidRPr="00E83EF6" w:rsidTr="00E83EF6">
        <w:tc>
          <w:tcPr>
            <w:tcW w:w="1535" w:type="dxa"/>
          </w:tcPr>
          <w:p w:rsidR="00E306B1" w:rsidRPr="00E83EF6" w:rsidRDefault="00E306B1" w:rsidP="00E83EF6">
            <w:pPr>
              <w:jc w:val="both"/>
              <w:rPr>
                <w:rFonts w:ascii="Times New Roman" w:hAnsi="Times New Roman"/>
                <w:sz w:val="24"/>
                <w:szCs w:val="24"/>
                <w:lang w:val="sr-Cyrl-CS"/>
              </w:rPr>
            </w:pPr>
            <w:r w:rsidRPr="00E83EF6">
              <w:rPr>
                <w:rFonts w:ascii="Times New Roman" w:hAnsi="Times New Roman"/>
                <w:sz w:val="24"/>
                <w:szCs w:val="24"/>
                <w:lang w:val="sr-Cyrl-CS"/>
              </w:rPr>
              <w:t>3</w:t>
            </w:r>
          </w:p>
        </w:tc>
        <w:tc>
          <w:tcPr>
            <w:tcW w:w="1535" w:type="dxa"/>
          </w:tcPr>
          <w:p w:rsidR="00E306B1" w:rsidRPr="00E83EF6" w:rsidRDefault="00E306B1" w:rsidP="00E83EF6">
            <w:pPr>
              <w:jc w:val="both"/>
              <w:rPr>
                <w:rFonts w:ascii="Times New Roman" w:hAnsi="Times New Roman"/>
                <w:sz w:val="24"/>
                <w:szCs w:val="24"/>
                <w:lang w:val="sr-Cyrl-CS"/>
              </w:rPr>
            </w:pPr>
            <w:r w:rsidRPr="00E83EF6">
              <w:rPr>
                <w:rFonts w:ascii="Times New Roman" w:hAnsi="Times New Roman"/>
                <w:sz w:val="24"/>
                <w:szCs w:val="24"/>
                <w:lang w:val="sr-Cyrl-CS"/>
              </w:rPr>
              <w:t>9.000</w:t>
            </w:r>
          </w:p>
        </w:tc>
        <w:tc>
          <w:tcPr>
            <w:tcW w:w="1535" w:type="dxa"/>
          </w:tcPr>
          <w:p w:rsidR="00E306B1" w:rsidRPr="00E83EF6" w:rsidRDefault="00E306B1" w:rsidP="00E83EF6">
            <w:pPr>
              <w:jc w:val="both"/>
              <w:rPr>
                <w:rFonts w:ascii="Times New Roman" w:hAnsi="Times New Roman"/>
                <w:sz w:val="24"/>
                <w:szCs w:val="24"/>
                <w:lang w:val="sr-Cyrl-CS"/>
              </w:rPr>
            </w:pPr>
            <w:r w:rsidRPr="00E83EF6">
              <w:rPr>
                <w:rFonts w:ascii="Times New Roman" w:hAnsi="Times New Roman"/>
                <w:sz w:val="24"/>
                <w:szCs w:val="24"/>
                <w:lang w:val="sr-Cyrl-CS"/>
              </w:rPr>
              <w:t>40%</w:t>
            </w:r>
          </w:p>
        </w:tc>
        <w:tc>
          <w:tcPr>
            <w:tcW w:w="1535" w:type="dxa"/>
          </w:tcPr>
          <w:p w:rsidR="00E306B1" w:rsidRPr="00E83EF6" w:rsidRDefault="00E306B1" w:rsidP="00E83EF6">
            <w:pPr>
              <w:jc w:val="both"/>
              <w:rPr>
                <w:rFonts w:ascii="Times New Roman" w:hAnsi="Times New Roman"/>
                <w:sz w:val="24"/>
                <w:szCs w:val="24"/>
                <w:lang w:val="sr-Cyrl-CS"/>
              </w:rPr>
            </w:pPr>
            <w:r w:rsidRPr="00E83EF6">
              <w:rPr>
                <w:rFonts w:ascii="Times New Roman" w:hAnsi="Times New Roman"/>
                <w:sz w:val="24"/>
                <w:szCs w:val="24"/>
                <w:lang w:val="sr-Cyrl-CS"/>
              </w:rPr>
              <w:t>3.600</w:t>
            </w:r>
          </w:p>
        </w:tc>
        <w:tc>
          <w:tcPr>
            <w:tcW w:w="1535" w:type="dxa"/>
          </w:tcPr>
          <w:p w:rsidR="00E306B1" w:rsidRPr="00E83EF6" w:rsidRDefault="009802DC" w:rsidP="00E83EF6">
            <w:pPr>
              <w:jc w:val="both"/>
              <w:rPr>
                <w:rFonts w:ascii="Times New Roman" w:hAnsi="Times New Roman"/>
                <w:sz w:val="24"/>
                <w:szCs w:val="24"/>
                <w:lang w:val="sr-Cyrl-CS"/>
              </w:rPr>
            </w:pPr>
            <w:r w:rsidRPr="00E83EF6">
              <w:rPr>
                <w:rFonts w:ascii="Times New Roman" w:hAnsi="Times New Roman"/>
                <w:sz w:val="24"/>
                <w:szCs w:val="24"/>
                <w:lang w:val="sr-Cyrl-CS"/>
              </w:rPr>
              <w:t>5.400</w:t>
            </w:r>
          </w:p>
        </w:tc>
        <w:tc>
          <w:tcPr>
            <w:tcW w:w="1536" w:type="dxa"/>
          </w:tcPr>
          <w:p w:rsidR="00E306B1" w:rsidRPr="00E83EF6" w:rsidRDefault="00F546A0" w:rsidP="00E83EF6">
            <w:pPr>
              <w:jc w:val="both"/>
              <w:rPr>
                <w:rFonts w:ascii="Times New Roman" w:hAnsi="Times New Roman"/>
                <w:sz w:val="24"/>
                <w:szCs w:val="24"/>
                <w:lang w:val="sr-Cyrl-CS"/>
              </w:rPr>
            </w:pPr>
            <w:r w:rsidRPr="00E83EF6">
              <w:rPr>
                <w:rFonts w:ascii="Times New Roman" w:hAnsi="Times New Roman"/>
                <w:sz w:val="24"/>
                <w:szCs w:val="24"/>
                <w:lang w:val="sr-Cyrl-CS"/>
              </w:rPr>
              <w:t>3.000</w:t>
            </w:r>
          </w:p>
        </w:tc>
      </w:tr>
      <w:tr w:rsidR="00E306B1" w:rsidRPr="00E83EF6" w:rsidTr="00E83EF6">
        <w:tc>
          <w:tcPr>
            <w:tcW w:w="1535" w:type="dxa"/>
          </w:tcPr>
          <w:p w:rsidR="00E306B1" w:rsidRPr="00E83EF6" w:rsidRDefault="00E306B1" w:rsidP="00E83EF6">
            <w:pPr>
              <w:jc w:val="both"/>
              <w:rPr>
                <w:rFonts w:ascii="Times New Roman" w:hAnsi="Times New Roman"/>
                <w:sz w:val="24"/>
                <w:szCs w:val="24"/>
                <w:lang w:val="sr-Cyrl-CS"/>
              </w:rPr>
            </w:pPr>
            <w:r w:rsidRPr="00E83EF6">
              <w:rPr>
                <w:rFonts w:ascii="Times New Roman" w:hAnsi="Times New Roman"/>
                <w:sz w:val="24"/>
                <w:szCs w:val="24"/>
                <w:lang w:val="sr-Cyrl-CS"/>
              </w:rPr>
              <w:t>4</w:t>
            </w:r>
          </w:p>
        </w:tc>
        <w:tc>
          <w:tcPr>
            <w:tcW w:w="1535" w:type="dxa"/>
          </w:tcPr>
          <w:p w:rsidR="00E306B1" w:rsidRPr="00E83EF6" w:rsidRDefault="00E306B1" w:rsidP="00E83EF6">
            <w:pPr>
              <w:jc w:val="both"/>
              <w:rPr>
                <w:rFonts w:ascii="Times New Roman" w:hAnsi="Times New Roman"/>
                <w:sz w:val="24"/>
                <w:szCs w:val="24"/>
                <w:lang w:val="sr-Cyrl-CS"/>
              </w:rPr>
            </w:pPr>
            <w:r w:rsidRPr="00E83EF6">
              <w:rPr>
                <w:rFonts w:ascii="Times New Roman" w:hAnsi="Times New Roman"/>
                <w:sz w:val="24"/>
                <w:szCs w:val="24"/>
                <w:lang w:val="sr-Cyrl-CS"/>
              </w:rPr>
              <w:t>5.400</w:t>
            </w:r>
          </w:p>
        </w:tc>
        <w:tc>
          <w:tcPr>
            <w:tcW w:w="1535" w:type="dxa"/>
          </w:tcPr>
          <w:p w:rsidR="00E306B1" w:rsidRPr="00E83EF6" w:rsidRDefault="00E306B1" w:rsidP="00E83EF6">
            <w:pPr>
              <w:jc w:val="both"/>
              <w:rPr>
                <w:rFonts w:ascii="Times New Roman" w:hAnsi="Times New Roman"/>
                <w:sz w:val="24"/>
                <w:szCs w:val="24"/>
                <w:lang w:val="sr-Cyrl-CS"/>
              </w:rPr>
            </w:pPr>
            <w:r w:rsidRPr="00E83EF6">
              <w:rPr>
                <w:rFonts w:ascii="Times New Roman" w:hAnsi="Times New Roman"/>
                <w:sz w:val="24"/>
                <w:szCs w:val="24"/>
                <w:lang w:val="sr-Cyrl-CS"/>
              </w:rPr>
              <w:t>40%</w:t>
            </w:r>
          </w:p>
        </w:tc>
        <w:tc>
          <w:tcPr>
            <w:tcW w:w="1535" w:type="dxa"/>
          </w:tcPr>
          <w:p w:rsidR="00E306B1" w:rsidRPr="00E83EF6" w:rsidRDefault="00E306B1" w:rsidP="00E83EF6">
            <w:pPr>
              <w:jc w:val="both"/>
              <w:rPr>
                <w:rFonts w:ascii="Times New Roman" w:hAnsi="Times New Roman"/>
                <w:sz w:val="24"/>
                <w:szCs w:val="24"/>
                <w:lang w:val="sr-Cyrl-CS"/>
              </w:rPr>
            </w:pPr>
            <w:r w:rsidRPr="00E83EF6">
              <w:rPr>
                <w:rFonts w:ascii="Times New Roman" w:hAnsi="Times New Roman"/>
                <w:sz w:val="24"/>
                <w:szCs w:val="24"/>
                <w:lang w:val="sr-Cyrl-CS"/>
              </w:rPr>
              <w:t>2.160</w:t>
            </w:r>
          </w:p>
        </w:tc>
        <w:tc>
          <w:tcPr>
            <w:tcW w:w="1535" w:type="dxa"/>
          </w:tcPr>
          <w:p w:rsidR="00E306B1" w:rsidRPr="00E83EF6" w:rsidRDefault="009802DC" w:rsidP="00E83EF6">
            <w:pPr>
              <w:jc w:val="both"/>
              <w:rPr>
                <w:rFonts w:ascii="Times New Roman" w:hAnsi="Times New Roman"/>
                <w:sz w:val="24"/>
                <w:szCs w:val="24"/>
                <w:lang w:val="sr-Cyrl-CS"/>
              </w:rPr>
            </w:pPr>
            <w:r w:rsidRPr="00E83EF6">
              <w:rPr>
                <w:rFonts w:ascii="Times New Roman" w:hAnsi="Times New Roman"/>
                <w:sz w:val="24"/>
                <w:szCs w:val="24"/>
                <w:lang w:val="sr-Cyrl-CS"/>
              </w:rPr>
              <w:t>3.240</w:t>
            </w:r>
          </w:p>
        </w:tc>
        <w:tc>
          <w:tcPr>
            <w:tcW w:w="1536" w:type="dxa"/>
          </w:tcPr>
          <w:p w:rsidR="00E306B1" w:rsidRPr="00E83EF6" w:rsidRDefault="00E306B1" w:rsidP="00E83EF6">
            <w:pPr>
              <w:jc w:val="both"/>
              <w:rPr>
                <w:rFonts w:ascii="Times New Roman" w:hAnsi="Times New Roman"/>
                <w:sz w:val="24"/>
                <w:szCs w:val="24"/>
                <w:lang w:val="sr-Cyrl-CS"/>
              </w:rPr>
            </w:pPr>
          </w:p>
        </w:tc>
      </w:tr>
      <w:tr w:rsidR="00E306B1" w:rsidRPr="00E83EF6" w:rsidTr="00E83EF6">
        <w:tc>
          <w:tcPr>
            <w:tcW w:w="1535" w:type="dxa"/>
          </w:tcPr>
          <w:p w:rsidR="00E306B1" w:rsidRPr="00E83EF6" w:rsidRDefault="00E306B1" w:rsidP="00E83EF6">
            <w:pPr>
              <w:jc w:val="both"/>
              <w:rPr>
                <w:rFonts w:ascii="Times New Roman" w:hAnsi="Times New Roman"/>
                <w:sz w:val="24"/>
                <w:szCs w:val="24"/>
                <w:lang w:val="sr-Cyrl-CS"/>
              </w:rPr>
            </w:pPr>
            <w:r w:rsidRPr="00E83EF6">
              <w:rPr>
                <w:rFonts w:ascii="Times New Roman" w:hAnsi="Times New Roman"/>
                <w:sz w:val="24"/>
                <w:szCs w:val="24"/>
                <w:lang w:val="sr-Cyrl-CS"/>
              </w:rPr>
              <w:t>5</w:t>
            </w:r>
          </w:p>
        </w:tc>
        <w:tc>
          <w:tcPr>
            <w:tcW w:w="1535" w:type="dxa"/>
          </w:tcPr>
          <w:p w:rsidR="00E306B1" w:rsidRPr="00E83EF6" w:rsidRDefault="00E306B1" w:rsidP="00E83EF6">
            <w:pPr>
              <w:jc w:val="both"/>
              <w:rPr>
                <w:rFonts w:ascii="Times New Roman" w:hAnsi="Times New Roman"/>
                <w:sz w:val="24"/>
                <w:szCs w:val="24"/>
                <w:lang w:val="sr-Cyrl-CS"/>
              </w:rPr>
            </w:pPr>
            <w:r w:rsidRPr="00E83EF6">
              <w:rPr>
                <w:rFonts w:ascii="Times New Roman" w:hAnsi="Times New Roman"/>
                <w:sz w:val="24"/>
                <w:szCs w:val="24"/>
                <w:lang w:val="sr-Cyrl-CS"/>
              </w:rPr>
              <w:t>3.240</w:t>
            </w:r>
          </w:p>
        </w:tc>
        <w:tc>
          <w:tcPr>
            <w:tcW w:w="1535" w:type="dxa"/>
          </w:tcPr>
          <w:p w:rsidR="00E306B1" w:rsidRPr="00E83EF6" w:rsidRDefault="00E306B1" w:rsidP="00E83EF6">
            <w:pPr>
              <w:jc w:val="both"/>
              <w:rPr>
                <w:rFonts w:ascii="Times New Roman" w:hAnsi="Times New Roman"/>
                <w:sz w:val="24"/>
                <w:szCs w:val="24"/>
                <w:lang w:val="sr-Cyrl-CS"/>
              </w:rPr>
            </w:pPr>
            <w:r w:rsidRPr="00E83EF6">
              <w:rPr>
                <w:rFonts w:ascii="Times New Roman" w:hAnsi="Times New Roman"/>
                <w:sz w:val="24"/>
                <w:szCs w:val="24"/>
                <w:lang w:val="sr-Cyrl-CS"/>
              </w:rPr>
              <w:t>40%</w:t>
            </w:r>
          </w:p>
        </w:tc>
        <w:tc>
          <w:tcPr>
            <w:tcW w:w="1535" w:type="dxa"/>
          </w:tcPr>
          <w:p w:rsidR="00E306B1" w:rsidRPr="00E83EF6" w:rsidRDefault="00E306B1" w:rsidP="00E83EF6">
            <w:pPr>
              <w:jc w:val="both"/>
              <w:rPr>
                <w:rFonts w:ascii="Times New Roman" w:hAnsi="Times New Roman"/>
                <w:sz w:val="24"/>
                <w:szCs w:val="24"/>
                <w:lang w:val="sr-Cyrl-CS"/>
              </w:rPr>
            </w:pPr>
            <w:r w:rsidRPr="00E83EF6">
              <w:rPr>
                <w:rFonts w:ascii="Times New Roman" w:hAnsi="Times New Roman"/>
                <w:sz w:val="24"/>
                <w:szCs w:val="24"/>
                <w:lang w:val="sr-Cyrl-CS"/>
              </w:rPr>
              <w:t>1</w:t>
            </w:r>
            <w:r w:rsidR="006D3932" w:rsidRPr="00E83EF6">
              <w:rPr>
                <w:rFonts w:ascii="Times New Roman" w:hAnsi="Times New Roman"/>
                <w:sz w:val="24"/>
                <w:szCs w:val="24"/>
                <w:lang w:val="sr-Cyrl-CS"/>
              </w:rPr>
              <w:t>.</w:t>
            </w:r>
            <w:r w:rsidRPr="00E83EF6">
              <w:rPr>
                <w:rFonts w:ascii="Times New Roman" w:hAnsi="Times New Roman"/>
                <w:sz w:val="24"/>
                <w:szCs w:val="24"/>
                <w:lang w:val="sr-Cyrl-CS"/>
              </w:rPr>
              <w:t>296</w:t>
            </w:r>
          </w:p>
        </w:tc>
        <w:tc>
          <w:tcPr>
            <w:tcW w:w="1535" w:type="dxa"/>
          </w:tcPr>
          <w:p w:rsidR="00E306B1" w:rsidRPr="00E83EF6" w:rsidRDefault="009802DC" w:rsidP="00E83EF6">
            <w:pPr>
              <w:jc w:val="both"/>
              <w:rPr>
                <w:rFonts w:ascii="Times New Roman" w:hAnsi="Times New Roman"/>
                <w:sz w:val="24"/>
                <w:szCs w:val="24"/>
                <w:lang w:val="sr-Cyrl-CS"/>
              </w:rPr>
            </w:pPr>
            <w:r w:rsidRPr="00E83EF6">
              <w:rPr>
                <w:rFonts w:ascii="Times New Roman" w:hAnsi="Times New Roman"/>
                <w:sz w:val="24"/>
                <w:szCs w:val="24"/>
                <w:lang w:val="sr-Cyrl-CS"/>
              </w:rPr>
              <w:t>1</w:t>
            </w:r>
            <w:r w:rsidR="00793A0C" w:rsidRPr="00E83EF6">
              <w:rPr>
                <w:rFonts w:ascii="Times New Roman" w:hAnsi="Times New Roman"/>
                <w:sz w:val="24"/>
                <w:szCs w:val="24"/>
                <w:lang w:val="sr-Cyrl-CS"/>
              </w:rPr>
              <w:t>.</w:t>
            </w:r>
            <w:r w:rsidRPr="00E83EF6">
              <w:rPr>
                <w:rFonts w:ascii="Times New Roman" w:hAnsi="Times New Roman"/>
                <w:sz w:val="24"/>
                <w:szCs w:val="24"/>
                <w:lang w:val="sr-Cyrl-CS"/>
              </w:rPr>
              <w:t>944</w:t>
            </w:r>
          </w:p>
        </w:tc>
        <w:tc>
          <w:tcPr>
            <w:tcW w:w="1536" w:type="dxa"/>
          </w:tcPr>
          <w:p w:rsidR="00E306B1" w:rsidRPr="00E83EF6" w:rsidRDefault="00E306B1" w:rsidP="00E83EF6">
            <w:pPr>
              <w:jc w:val="both"/>
              <w:rPr>
                <w:rFonts w:ascii="Times New Roman" w:hAnsi="Times New Roman"/>
                <w:sz w:val="24"/>
                <w:szCs w:val="24"/>
                <w:lang w:val="sr-Cyrl-CS"/>
              </w:rPr>
            </w:pPr>
          </w:p>
        </w:tc>
      </w:tr>
      <w:tr w:rsidR="00E306B1" w:rsidRPr="00E83EF6" w:rsidTr="00E83EF6">
        <w:tc>
          <w:tcPr>
            <w:tcW w:w="1535" w:type="dxa"/>
          </w:tcPr>
          <w:p w:rsidR="00E306B1" w:rsidRPr="00E83EF6" w:rsidRDefault="00E306B1" w:rsidP="00E83EF6">
            <w:pPr>
              <w:jc w:val="both"/>
              <w:rPr>
                <w:rFonts w:ascii="Times New Roman" w:hAnsi="Times New Roman"/>
                <w:sz w:val="24"/>
                <w:szCs w:val="24"/>
                <w:lang w:val="sr-Cyrl-CS"/>
              </w:rPr>
            </w:pPr>
          </w:p>
        </w:tc>
        <w:tc>
          <w:tcPr>
            <w:tcW w:w="1535" w:type="dxa"/>
          </w:tcPr>
          <w:p w:rsidR="00E306B1" w:rsidRPr="00E83EF6" w:rsidRDefault="00E306B1" w:rsidP="00E83EF6">
            <w:pPr>
              <w:jc w:val="both"/>
              <w:rPr>
                <w:rFonts w:ascii="Times New Roman" w:hAnsi="Times New Roman"/>
                <w:sz w:val="24"/>
                <w:szCs w:val="24"/>
                <w:lang w:val="sr-Cyrl-CS"/>
              </w:rPr>
            </w:pPr>
          </w:p>
        </w:tc>
        <w:tc>
          <w:tcPr>
            <w:tcW w:w="1535" w:type="dxa"/>
          </w:tcPr>
          <w:p w:rsidR="00E306B1" w:rsidRPr="00E83EF6" w:rsidRDefault="00E306B1" w:rsidP="00E83EF6">
            <w:pPr>
              <w:jc w:val="both"/>
              <w:rPr>
                <w:rFonts w:ascii="Times New Roman" w:hAnsi="Times New Roman"/>
                <w:sz w:val="24"/>
                <w:szCs w:val="24"/>
                <w:lang w:val="sr-Cyrl-CS"/>
              </w:rPr>
            </w:pPr>
            <w:r w:rsidRPr="00E83EF6">
              <w:rPr>
                <w:rFonts w:ascii="Times New Roman" w:hAnsi="Times New Roman"/>
                <w:sz w:val="24"/>
                <w:szCs w:val="24"/>
                <w:lang w:val="sr-Cyrl-CS"/>
              </w:rPr>
              <w:t>100%</w:t>
            </w:r>
          </w:p>
        </w:tc>
        <w:tc>
          <w:tcPr>
            <w:tcW w:w="1535" w:type="dxa"/>
          </w:tcPr>
          <w:p w:rsidR="00E306B1" w:rsidRPr="00E83EF6" w:rsidRDefault="00E306B1" w:rsidP="00E83EF6">
            <w:pPr>
              <w:jc w:val="both"/>
              <w:rPr>
                <w:rFonts w:ascii="Times New Roman" w:hAnsi="Times New Roman"/>
                <w:sz w:val="24"/>
                <w:szCs w:val="24"/>
                <w:lang w:val="sr-Cyrl-CS"/>
              </w:rPr>
            </w:pPr>
            <w:r w:rsidRPr="00E83EF6">
              <w:rPr>
                <w:rFonts w:ascii="Times New Roman" w:hAnsi="Times New Roman"/>
                <w:sz w:val="24"/>
                <w:szCs w:val="24"/>
                <w:lang w:val="sr-Cyrl-CS"/>
              </w:rPr>
              <w:t>23.056</w:t>
            </w:r>
          </w:p>
        </w:tc>
        <w:tc>
          <w:tcPr>
            <w:tcW w:w="1535" w:type="dxa"/>
          </w:tcPr>
          <w:p w:rsidR="00E306B1" w:rsidRPr="00E83EF6" w:rsidRDefault="00E306B1" w:rsidP="00E83EF6">
            <w:pPr>
              <w:jc w:val="both"/>
              <w:rPr>
                <w:rFonts w:ascii="Times New Roman" w:hAnsi="Times New Roman"/>
                <w:sz w:val="24"/>
                <w:szCs w:val="24"/>
                <w:lang w:val="sr-Cyrl-CS"/>
              </w:rPr>
            </w:pPr>
          </w:p>
        </w:tc>
        <w:tc>
          <w:tcPr>
            <w:tcW w:w="1536" w:type="dxa"/>
          </w:tcPr>
          <w:p w:rsidR="00E306B1" w:rsidRPr="00E83EF6" w:rsidRDefault="00E306B1" w:rsidP="00E83EF6">
            <w:pPr>
              <w:jc w:val="both"/>
              <w:rPr>
                <w:rFonts w:ascii="Times New Roman" w:hAnsi="Times New Roman"/>
                <w:sz w:val="24"/>
                <w:szCs w:val="24"/>
                <w:lang w:val="sr-Cyrl-CS"/>
              </w:rPr>
            </w:pPr>
          </w:p>
        </w:tc>
      </w:tr>
    </w:tbl>
    <w:p w:rsidR="00E306B1" w:rsidRDefault="00E306B1" w:rsidP="00F415D6">
      <w:pPr>
        <w:ind w:firstLine="708"/>
        <w:jc w:val="both"/>
        <w:rPr>
          <w:rFonts w:ascii="Times New Roman" w:hAnsi="Times New Roman"/>
          <w:sz w:val="24"/>
          <w:szCs w:val="24"/>
          <w:lang w:val="sr-Cyrl-CS"/>
        </w:rPr>
      </w:pPr>
    </w:p>
    <w:p w:rsidR="00E306B1" w:rsidRDefault="006D3932" w:rsidP="007A573D">
      <w:pPr>
        <w:ind w:firstLine="708"/>
        <w:jc w:val="both"/>
        <w:rPr>
          <w:rFonts w:ascii="Times New Roman" w:hAnsi="Times New Roman"/>
          <w:sz w:val="24"/>
          <w:szCs w:val="24"/>
          <w:lang w:val="sr-Cyrl-CS"/>
        </w:rPr>
      </w:pPr>
      <w:r>
        <w:rPr>
          <w:rFonts w:ascii="Times New Roman" w:hAnsi="Times New Roman"/>
          <w:sz w:val="24"/>
          <w:szCs w:val="24"/>
          <w:lang w:val="sr-Cyrl-CS"/>
        </w:rPr>
        <w:t>Из наведене табеле се може видети да је износ амортизације мањи, као и да је у трећој години износ амортизације пао испод износа амортизације који је обрачунат пропорционалном методом. На ов</w:t>
      </w:r>
      <w:r w:rsidR="000A5499">
        <w:rPr>
          <w:rFonts w:ascii="Times New Roman" w:hAnsi="Times New Roman"/>
          <w:sz w:val="24"/>
          <w:szCs w:val="24"/>
          <w:lang w:val="sr-Cyrl-CS"/>
        </w:rPr>
        <w:t>о</w:t>
      </w:r>
      <w:r>
        <w:rPr>
          <w:rFonts w:ascii="Times New Roman" w:hAnsi="Times New Roman"/>
          <w:sz w:val="24"/>
          <w:szCs w:val="24"/>
          <w:lang w:val="sr-Cyrl-CS"/>
        </w:rPr>
        <w:t xml:space="preserve">м примеру се види да је амортизација много већа у првим годинама отписа, што је последица примене стопе амортизације на умањене основице, која представља садашњу вредност основног средства, а не набавну вредност, као код пропорционалне методе. </w:t>
      </w:r>
      <w:r w:rsidR="001E71B1">
        <w:rPr>
          <w:rFonts w:ascii="Times New Roman" w:hAnsi="Times New Roman"/>
          <w:sz w:val="24"/>
          <w:szCs w:val="24"/>
          <w:lang w:val="sr-Cyrl-CS"/>
        </w:rPr>
        <w:t>Знатно мањи износ амортизације у каснијим годи</w:t>
      </w:r>
      <w:r w:rsidR="007A573D">
        <w:rPr>
          <w:rFonts w:ascii="Times New Roman" w:hAnsi="Times New Roman"/>
          <w:sz w:val="24"/>
          <w:szCs w:val="24"/>
          <w:lang w:val="sr-Cyrl-CS"/>
        </w:rPr>
        <w:t>на</w:t>
      </w:r>
      <w:r w:rsidR="001E71B1">
        <w:rPr>
          <w:rFonts w:ascii="Times New Roman" w:hAnsi="Times New Roman"/>
          <w:sz w:val="24"/>
          <w:szCs w:val="24"/>
          <w:lang w:val="sr-Cyrl-CS"/>
        </w:rPr>
        <w:t>ма значи и мањи износ трошкова, а самим т</w:t>
      </w:r>
      <w:r w:rsidR="007A573D">
        <w:rPr>
          <w:rFonts w:ascii="Times New Roman" w:hAnsi="Times New Roman"/>
          <w:sz w:val="24"/>
          <w:szCs w:val="24"/>
          <w:lang w:val="sr-Cyrl-CS"/>
        </w:rPr>
        <w:t>им и већу опорезиву добит, док</w:t>
      </w:r>
      <w:r w:rsidR="001E71B1">
        <w:rPr>
          <w:rFonts w:ascii="Times New Roman" w:hAnsi="Times New Roman"/>
          <w:sz w:val="24"/>
          <w:szCs w:val="24"/>
          <w:lang w:val="sr-Cyrl-CS"/>
        </w:rPr>
        <w:t xml:space="preserve"> </w:t>
      </w:r>
      <w:r w:rsidR="007A573D">
        <w:rPr>
          <w:rFonts w:ascii="Times New Roman" w:hAnsi="Times New Roman"/>
          <w:sz w:val="24"/>
          <w:szCs w:val="24"/>
          <w:lang w:val="sr-Cyrl-CS"/>
        </w:rPr>
        <w:t xml:space="preserve">у </w:t>
      </w:r>
      <w:r w:rsidR="001E71B1">
        <w:rPr>
          <w:rFonts w:ascii="Times New Roman" w:hAnsi="Times New Roman"/>
          <w:sz w:val="24"/>
          <w:szCs w:val="24"/>
          <w:lang w:val="sr-Cyrl-CS"/>
        </w:rPr>
        <w:t>првим годинама овај метод доводи до знатног умањења опорезиве добити. Поређењем претходна два примера може се уочити да је у првој годи</w:t>
      </w:r>
      <w:r w:rsidR="007A573D">
        <w:rPr>
          <w:rFonts w:ascii="Times New Roman" w:hAnsi="Times New Roman"/>
          <w:sz w:val="24"/>
          <w:szCs w:val="24"/>
          <w:lang w:val="sr-Cyrl-CS"/>
        </w:rPr>
        <w:t>ни износ амортизације дупло већи код дегресивне</w:t>
      </w:r>
      <w:r w:rsidR="001E71B1">
        <w:rPr>
          <w:rFonts w:ascii="Times New Roman" w:hAnsi="Times New Roman"/>
          <w:sz w:val="24"/>
          <w:szCs w:val="24"/>
          <w:lang w:val="sr-Cyrl-CS"/>
        </w:rPr>
        <w:t xml:space="preserve"> методе него </w:t>
      </w:r>
      <w:r w:rsidR="007A573D">
        <w:rPr>
          <w:rFonts w:ascii="Times New Roman" w:hAnsi="Times New Roman"/>
          <w:sz w:val="24"/>
          <w:szCs w:val="24"/>
          <w:lang w:val="sr-Cyrl-CS"/>
        </w:rPr>
        <w:t>код пропорционалне</w:t>
      </w:r>
      <w:r w:rsidR="001E71B1">
        <w:rPr>
          <w:rFonts w:ascii="Times New Roman" w:hAnsi="Times New Roman"/>
          <w:sz w:val="24"/>
          <w:szCs w:val="24"/>
          <w:lang w:val="sr-Cyrl-CS"/>
        </w:rPr>
        <w:t xml:space="preserve"> методе, ш</w:t>
      </w:r>
      <w:r w:rsidR="007A573D">
        <w:rPr>
          <w:rFonts w:ascii="Times New Roman" w:hAnsi="Times New Roman"/>
          <w:sz w:val="24"/>
          <w:szCs w:val="24"/>
          <w:lang w:val="sr-Cyrl-CS"/>
        </w:rPr>
        <w:t>то се даље одражава и на</w:t>
      </w:r>
      <w:r w:rsidR="001E71B1">
        <w:rPr>
          <w:rFonts w:ascii="Times New Roman" w:hAnsi="Times New Roman"/>
          <w:sz w:val="24"/>
          <w:szCs w:val="24"/>
          <w:lang w:val="sr-Cyrl-CS"/>
        </w:rPr>
        <w:t xml:space="preserve"> већу опорезиву добит.</w:t>
      </w:r>
      <w:r w:rsidR="007A573D">
        <w:rPr>
          <w:rFonts w:ascii="Times New Roman" w:hAnsi="Times New Roman"/>
          <w:sz w:val="24"/>
          <w:szCs w:val="24"/>
          <w:lang w:val="sr-Cyrl-CS"/>
        </w:rPr>
        <w:t xml:space="preserve"> П</w:t>
      </w:r>
      <w:r w:rsidR="00D71799">
        <w:rPr>
          <w:rFonts w:ascii="Times New Roman" w:hAnsi="Times New Roman"/>
          <w:sz w:val="24"/>
          <w:szCs w:val="24"/>
          <w:lang w:val="sr-Cyrl-CS"/>
        </w:rPr>
        <w:t>р</w:t>
      </w:r>
      <w:r w:rsidR="007A573D">
        <w:rPr>
          <w:rFonts w:ascii="Times New Roman" w:hAnsi="Times New Roman"/>
          <w:sz w:val="24"/>
          <w:szCs w:val="24"/>
          <w:lang w:val="sr-Cyrl-CS"/>
        </w:rPr>
        <w:t>именом дегресивног метода амор</w:t>
      </w:r>
      <w:r w:rsidR="00D71799">
        <w:rPr>
          <w:rFonts w:ascii="Times New Roman" w:hAnsi="Times New Roman"/>
          <w:sz w:val="24"/>
          <w:szCs w:val="24"/>
          <w:lang w:val="sr-Cyrl-CS"/>
        </w:rPr>
        <w:t>т</w:t>
      </w:r>
      <w:r w:rsidR="007A573D">
        <w:rPr>
          <w:rFonts w:ascii="Times New Roman" w:hAnsi="Times New Roman"/>
          <w:sz w:val="24"/>
          <w:szCs w:val="24"/>
          <w:lang w:val="sr-Cyrl-CS"/>
        </w:rPr>
        <w:t xml:space="preserve">изација у првој години је 10.000 динара, а у другој години је 6.000 динара, док је код </w:t>
      </w:r>
      <w:r w:rsidR="00D71799">
        <w:rPr>
          <w:rFonts w:ascii="Times New Roman" w:hAnsi="Times New Roman"/>
          <w:sz w:val="24"/>
          <w:szCs w:val="24"/>
          <w:lang w:val="sr-Cyrl-CS"/>
        </w:rPr>
        <w:t>пропорционалне</w:t>
      </w:r>
      <w:r w:rsidR="007A573D">
        <w:rPr>
          <w:rFonts w:ascii="Times New Roman" w:hAnsi="Times New Roman"/>
          <w:sz w:val="24"/>
          <w:szCs w:val="24"/>
          <w:lang w:val="sr-Cyrl-CS"/>
        </w:rPr>
        <w:t xml:space="preserve"> методе амортизација 5.000 динара, што значи да је у првом случају знатно више умањен порез.</w:t>
      </w:r>
    </w:p>
    <w:p w:rsidR="008A696A" w:rsidRDefault="000B765A" w:rsidP="00F415D6">
      <w:pPr>
        <w:ind w:firstLine="708"/>
        <w:jc w:val="both"/>
        <w:rPr>
          <w:rFonts w:ascii="Times New Roman" w:hAnsi="Times New Roman"/>
          <w:sz w:val="24"/>
          <w:szCs w:val="24"/>
          <w:lang w:val="sr-Cyrl-CS"/>
        </w:rPr>
      </w:pPr>
      <w:r>
        <w:rPr>
          <w:rFonts w:ascii="Times New Roman" w:hAnsi="Times New Roman"/>
          <w:sz w:val="24"/>
          <w:szCs w:val="24"/>
          <w:lang w:val="sr-Cyrl-CS"/>
        </w:rPr>
        <w:lastRenderedPageBreak/>
        <w:t>Функционална метода</w:t>
      </w:r>
      <w:r w:rsidR="00515D45">
        <w:rPr>
          <w:rFonts w:ascii="Times New Roman" w:hAnsi="Times New Roman"/>
          <w:sz w:val="24"/>
          <w:szCs w:val="24"/>
          <w:lang w:val="sr-Cyrl-CS"/>
        </w:rPr>
        <w:t xml:space="preserve"> се првенствено користи код отписивања друмских саобраћајних средстава, али се користи и у другим случајевима кад год је могуће</w:t>
      </w:r>
      <w:r>
        <w:rPr>
          <w:rFonts w:ascii="Times New Roman" w:hAnsi="Times New Roman"/>
          <w:sz w:val="24"/>
          <w:szCs w:val="24"/>
          <w:lang w:val="sr-Cyrl-CS"/>
        </w:rPr>
        <w:t xml:space="preserve"> утврдити очекивани обим учинка, због тога што је ова метода </w:t>
      </w:r>
      <w:r w:rsidR="00515D45">
        <w:rPr>
          <w:rFonts w:ascii="Times New Roman" w:hAnsi="Times New Roman"/>
          <w:sz w:val="24"/>
          <w:szCs w:val="24"/>
          <w:lang w:val="sr-Cyrl-CS"/>
        </w:rPr>
        <w:t xml:space="preserve"> </w:t>
      </w:r>
      <w:r>
        <w:rPr>
          <w:rFonts w:ascii="Times New Roman" w:hAnsi="Times New Roman"/>
          <w:sz w:val="24"/>
          <w:szCs w:val="24"/>
          <w:lang w:val="sr-Cyrl-CS"/>
        </w:rPr>
        <w:t xml:space="preserve">погодна за она стална средства чије је трајање у сразмери са обимом коришћења, односно са оствареним учинцима. </w:t>
      </w:r>
      <w:r w:rsidR="00515D45">
        <w:rPr>
          <w:rFonts w:ascii="Times New Roman" w:hAnsi="Times New Roman"/>
          <w:sz w:val="24"/>
          <w:szCs w:val="24"/>
          <w:lang w:val="sr-Cyrl-CS"/>
        </w:rPr>
        <w:t>Специфичност обрачуна по овој методи се огледа у дејству очекиваних учинака основног средства, поред подака који се могу стварно утврдити, попут стварних учинака, наба</w:t>
      </w:r>
      <w:r w:rsidR="00D71799">
        <w:rPr>
          <w:rFonts w:ascii="Times New Roman" w:hAnsi="Times New Roman"/>
          <w:sz w:val="24"/>
          <w:szCs w:val="24"/>
          <w:lang w:val="sr-Cyrl-CS"/>
        </w:rPr>
        <w:t>в</w:t>
      </w:r>
      <w:r w:rsidR="00515D45">
        <w:rPr>
          <w:rFonts w:ascii="Times New Roman" w:hAnsi="Times New Roman"/>
          <w:sz w:val="24"/>
          <w:szCs w:val="24"/>
          <w:lang w:val="sr-Cyrl-CS"/>
        </w:rPr>
        <w:t xml:space="preserve">не вредности или века трајања. </w:t>
      </w:r>
      <w:r w:rsidR="000F1C50">
        <w:rPr>
          <w:rFonts w:ascii="Times New Roman" w:hAnsi="Times New Roman"/>
          <w:sz w:val="24"/>
          <w:szCs w:val="24"/>
          <w:lang w:val="sr-Cyrl-CS"/>
        </w:rPr>
        <w:t>Поделом стварног и очекиваног учинка добија се коефиц</w:t>
      </w:r>
      <w:r w:rsidR="00D71799">
        <w:rPr>
          <w:rFonts w:ascii="Times New Roman" w:hAnsi="Times New Roman"/>
          <w:sz w:val="24"/>
          <w:szCs w:val="24"/>
          <w:lang w:val="sr-Cyrl-CS"/>
        </w:rPr>
        <w:t>и</w:t>
      </w:r>
      <w:r w:rsidR="000F1C50">
        <w:rPr>
          <w:rFonts w:ascii="Times New Roman" w:hAnsi="Times New Roman"/>
          <w:sz w:val="24"/>
          <w:szCs w:val="24"/>
          <w:lang w:val="sr-Cyrl-CS"/>
        </w:rPr>
        <w:t>јент интензитета коришћења основног средства. На пример, уколико је процењено да ће очекивани учинак за једно моторно возило, за век трајања од пет година, износити по 100.000 к</w:t>
      </w:r>
      <w:r w:rsidR="000B3BC5">
        <w:rPr>
          <w:rFonts w:ascii="Times New Roman" w:hAnsi="Times New Roman"/>
          <w:sz w:val="24"/>
          <w:szCs w:val="24"/>
          <w:lang w:val="sr-Cyrl-CS"/>
        </w:rPr>
        <w:t>м годишње, а стварни учинак</w:t>
      </w:r>
      <w:r w:rsidR="000F1C50">
        <w:rPr>
          <w:rFonts w:ascii="Times New Roman" w:hAnsi="Times New Roman"/>
          <w:sz w:val="24"/>
          <w:szCs w:val="24"/>
          <w:lang w:val="sr-Cyrl-CS"/>
        </w:rPr>
        <w:t xml:space="preserve"> у првој годи</w:t>
      </w:r>
      <w:r w:rsidR="00487715">
        <w:rPr>
          <w:rFonts w:ascii="Times New Roman" w:hAnsi="Times New Roman"/>
          <w:sz w:val="24"/>
          <w:szCs w:val="24"/>
          <w:lang w:val="sr-Cyrl-CS"/>
        </w:rPr>
        <w:t xml:space="preserve">ни буде 120.000 км годишње, </w:t>
      </w:r>
      <w:r w:rsidR="000F1C50">
        <w:rPr>
          <w:rFonts w:ascii="Times New Roman" w:hAnsi="Times New Roman"/>
          <w:sz w:val="24"/>
          <w:szCs w:val="24"/>
          <w:lang w:val="sr-Cyrl-CS"/>
        </w:rPr>
        <w:t>а у другој години буде 90.000 км годишње</w:t>
      </w:r>
      <w:r w:rsidR="00487715">
        <w:rPr>
          <w:rFonts w:ascii="Times New Roman" w:hAnsi="Times New Roman"/>
          <w:sz w:val="24"/>
          <w:szCs w:val="24"/>
          <w:lang w:val="sr-Cyrl-CS"/>
        </w:rPr>
        <w:t xml:space="preserve"> итд.</w:t>
      </w:r>
      <w:r w:rsidR="000F1C50">
        <w:rPr>
          <w:rFonts w:ascii="Times New Roman" w:hAnsi="Times New Roman"/>
          <w:sz w:val="24"/>
          <w:szCs w:val="24"/>
          <w:lang w:val="sr-Cyrl-CS"/>
        </w:rPr>
        <w:t xml:space="preserve">,  </w:t>
      </w:r>
      <w:r w:rsidR="00487715">
        <w:rPr>
          <w:rFonts w:ascii="Times New Roman" w:hAnsi="Times New Roman"/>
          <w:sz w:val="24"/>
          <w:szCs w:val="24"/>
          <w:lang w:val="sr-Cyrl-CS"/>
        </w:rPr>
        <w:t>стопа функционалне амортизације за прву годину износила би 20%</w:t>
      </w:r>
      <w:r w:rsidR="00487715">
        <w:rPr>
          <w:rFonts w:ascii="Times New Roman" w:hAnsi="Times New Roman"/>
          <w:sz w:val="24"/>
          <w:szCs w:val="24"/>
        </w:rPr>
        <w:t xml:space="preserve"> x </w:t>
      </w:r>
      <w:r w:rsidR="00487715">
        <w:rPr>
          <w:rFonts w:ascii="Times New Roman" w:hAnsi="Times New Roman"/>
          <w:sz w:val="24"/>
          <w:szCs w:val="24"/>
          <w:lang w:val="sr-Cyrl-CS"/>
        </w:rPr>
        <w:t xml:space="preserve"> (120.000 : 100.000) = 24%, а за другу годину 20%</w:t>
      </w:r>
      <w:r w:rsidR="00487715">
        <w:rPr>
          <w:rFonts w:ascii="Times New Roman" w:hAnsi="Times New Roman"/>
          <w:sz w:val="24"/>
          <w:szCs w:val="24"/>
        </w:rPr>
        <w:t xml:space="preserve"> x </w:t>
      </w:r>
      <w:r w:rsidR="00487715">
        <w:rPr>
          <w:rFonts w:ascii="Times New Roman" w:hAnsi="Times New Roman"/>
          <w:sz w:val="24"/>
          <w:szCs w:val="24"/>
          <w:lang w:val="sr-Cyrl-CS"/>
        </w:rPr>
        <w:t xml:space="preserve"> (90.000 : 100.000) = 18% итд. </w:t>
      </w:r>
    </w:p>
    <w:p w:rsidR="005044EC" w:rsidRPr="006155DC" w:rsidRDefault="00487715" w:rsidP="006155DC">
      <w:pPr>
        <w:ind w:firstLine="708"/>
        <w:jc w:val="both"/>
        <w:rPr>
          <w:rFonts w:ascii="Times New Roman" w:hAnsi="Times New Roman"/>
          <w:sz w:val="24"/>
          <w:szCs w:val="24"/>
        </w:rPr>
      </w:pPr>
      <w:r>
        <w:rPr>
          <w:rFonts w:ascii="Times New Roman" w:hAnsi="Times New Roman"/>
          <w:sz w:val="24"/>
          <w:szCs w:val="24"/>
          <w:lang w:val="sr-Cyrl-CS"/>
        </w:rPr>
        <w:t>У табела</w:t>
      </w:r>
      <w:r w:rsidR="008A696A">
        <w:rPr>
          <w:rFonts w:ascii="Times New Roman" w:hAnsi="Times New Roman"/>
          <w:sz w:val="24"/>
          <w:szCs w:val="24"/>
          <w:lang w:val="sr-Cyrl-CS"/>
        </w:rPr>
        <w:t xml:space="preserve">рном приказу примена ове методе, </w:t>
      </w:r>
      <w:r w:rsidR="00C866E8">
        <w:rPr>
          <w:rFonts w:ascii="Times New Roman" w:hAnsi="Times New Roman"/>
          <w:sz w:val="24"/>
          <w:szCs w:val="24"/>
          <w:lang w:val="sr-Cyrl-CS"/>
        </w:rPr>
        <w:t>(</w:t>
      </w:r>
      <w:r w:rsidR="008A696A">
        <w:rPr>
          <w:rFonts w:ascii="Times New Roman" w:hAnsi="Times New Roman"/>
          <w:sz w:val="24"/>
          <w:szCs w:val="24"/>
          <w:lang w:val="sr-Cyrl-CS"/>
        </w:rPr>
        <w:t>уколико задржимо исту набавну вредност основног средства из претходних примера од 25.000 и век трајања од 5 година</w:t>
      </w:r>
      <w:r w:rsidR="00C866E8">
        <w:rPr>
          <w:rFonts w:ascii="Times New Roman" w:hAnsi="Times New Roman"/>
          <w:sz w:val="24"/>
          <w:szCs w:val="24"/>
          <w:lang w:val="sr-Cyrl-CS"/>
        </w:rPr>
        <w:t>)</w:t>
      </w:r>
      <w:r w:rsidR="008A696A">
        <w:rPr>
          <w:rFonts w:ascii="Times New Roman" w:hAnsi="Times New Roman"/>
          <w:sz w:val="24"/>
          <w:szCs w:val="24"/>
          <w:lang w:val="sr-Cyrl-CS"/>
        </w:rPr>
        <w:t xml:space="preserve">,  </w:t>
      </w:r>
      <w:r>
        <w:rPr>
          <w:rFonts w:ascii="Times New Roman" w:hAnsi="Times New Roman"/>
          <w:sz w:val="24"/>
          <w:szCs w:val="24"/>
          <w:lang w:val="sr-Cyrl-CS"/>
        </w:rPr>
        <w:t>била би:</w:t>
      </w:r>
    </w:p>
    <w:p w:rsidR="005044EC" w:rsidRDefault="00A74A8E" w:rsidP="00F415D6">
      <w:pPr>
        <w:ind w:firstLine="708"/>
        <w:jc w:val="both"/>
        <w:rPr>
          <w:rFonts w:ascii="Times New Roman" w:hAnsi="Times New Roman"/>
          <w:b/>
          <w:sz w:val="24"/>
          <w:szCs w:val="24"/>
          <w:lang w:val="sr-Cyrl-CS"/>
        </w:rPr>
      </w:pPr>
      <w:r>
        <w:rPr>
          <w:rFonts w:ascii="Times New Roman" w:hAnsi="Times New Roman"/>
          <w:b/>
          <w:sz w:val="24"/>
          <w:szCs w:val="24"/>
          <w:lang w:val="sr-Cyrl-CS"/>
        </w:rPr>
        <w:t>Табела 10</w:t>
      </w:r>
      <w:r w:rsidR="005044EC" w:rsidRPr="005044EC">
        <w:rPr>
          <w:rFonts w:ascii="Times New Roman" w:hAnsi="Times New Roman"/>
          <w:b/>
          <w:sz w:val="24"/>
          <w:szCs w:val="24"/>
          <w:lang w:val="sr-Cyrl-CS"/>
        </w:rPr>
        <w:t>.</w:t>
      </w:r>
    </w:p>
    <w:p w:rsidR="005044EC" w:rsidRPr="005044EC" w:rsidRDefault="005044EC" w:rsidP="00F415D6">
      <w:pPr>
        <w:ind w:firstLine="708"/>
        <w:jc w:val="both"/>
        <w:rPr>
          <w:rFonts w:ascii="Times New Roman" w:hAnsi="Times New Roman"/>
          <w:b/>
          <w:sz w:val="24"/>
          <w:szCs w:val="24"/>
          <w:lang w:val="sr-Cyrl-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84"/>
        <w:gridCol w:w="1498"/>
        <w:gridCol w:w="1519"/>
        <w:gridCol w:w="1550"/>
        <w:gridCol w:w="1580"/>
        <w:gridCol w:w="1656"/>
      </w:tblGrid>
      <w:tr w:rsidR="008A696A" w:rsidRPr="00E83EF6" w:rsidTr="00E83EF6">
        <w:tc>
          <w:tcPr>
            <w:tcW w:w="1535" w:type="dxa"/>
          </w:tcPr>
          <w:p w:rsidR="008A696A" w:rsidRPr="00E83EF6" w:rsidRDefault="008A696A" w:rsidP="00E83EF6">
            <w:pPr>
              <w:jc w:val="both"/>
              <w:rPr>
                <w:rFonts w:ascii="Times New Roman" w:hAnsi="Times New Roman"/>
                <w:sz w:val="24"/>
                <w:szCs w:val="24"/>
                <w:lang w:val="sr-Cyrl-CS"/>
              </w:rPr>
            </w:pPr>
            <w:r w:rsidRPr="00E83EF6">
              <w:rPr>
                <w:rFonts w:ascii="Times New Roman" w:hAnsi="Times New Roman"/>
                <w:sz w:val="24"/>
                <w:szCs w:val="24"/>
                <w:lang w:val="sr-Cyrl-CS"/>
              </w:rPr>
              <w:t>година</w:t>
            </w:r>
          </w:p>
        </w:tc>
        <w:tc>
          <w:tcPr>
            <w:tcW w:w="1535" w:type="dxa"/>
          </w:tcPr>
          <w:p w:rsidR="008A696A" w:rsidRPr="00E83EF6" w:rsidRDefault="00D71799" w:rsidP="00E83EF6">
            <w:pPr>
              <w:jc w:val="both"/>
              <w:rPr>
                <w:rFonts w:ascii="Times New Roman" w:hAnsi="Times New Roman"/>
                <w:sz w:val="24"/>
                <w:szCs w:val="24"/>
                <w:lang w:val="sr-Cyrl-CS"/>
              </w:rPr>
            </w:pPr>
            <w:r>
              <w:rPr>
                <w:rFonts w:ascii="Times New Roman" w:hAnsi="Times New Roman"/>
                <w:sz w:val="24"/>
                <w:szCs w:val="24"/>
                <w:lang w:val="sr-Cyrl-CS"/>
              </w:rPr>
              <w:t>Стварни учин</w:t>
            </w:r>
            <w:r w:rsidR="008A696A" w:rsidRPr="00E83EF6">
              <w:rPr>
                <w:rFonts w:ascii="Times New Roman" w:hAnsi="Times New Roman"/>
                <w:sz w:val="24"/>
                <w:szCs w:val="24"/>
                <w:lang w:val="sr-Cyrl-CS"/>
              </w:rPr>
              <w:t>ци</w:t>
            </w:r>
          </w:p>
        </w:tc>
        <w:tc>
          <w:tcPr>
            <w:tcW w:w="1535" w:type="dxa"/>
          </w:tcPr>
          <w:p w:rsidR="008A696A" w:rsidRPr="00E83EF6" w:rsidRDefault="008A696A" w:rsidP="00E83EF6">
            <w:pPr>
              <w:jc w:val="both"/>
              <w:rPr>
                <w:rFonts w:ascii="Times New Roman" w:hAnsi="Times New Roman"/>
                <w:sz w:val="24"/>
                <w:szCs w:val="24"/>
                <w:lang w:val="sr-Cyrl-CS"/>
              </w:rPr>
            </w:pPr>
            <w:r w:rsidRPr="00E83EF6">
              <w:rPr>
                <w:rFonts w:ascii="Times New Roman" w:hAnsi="Times New Roman"/>
                <w:sz w:val="24"/>
                <w:szCs w:val="24"/>
                <w:lang w:val="sr-Cyrl-CS"/>
              </w:rPr>
              <w:t>Очекивани учинци</w:t>
            </w:r>
          </w:p>
        </w:tc>
        <w:tc>
          <w:tcPr>
            <w:tcW w:w="1535" w:type="dxa"/>
          </w:tcPr>
          <w:p w:rsidR="008A696A" w:rsidRPr="00E83EF6" w:rsidRDefault="008A696A" w:rsidP="00E83EF6">
            <w:pPr>
              <w:jc w:val="both"/>
              <w:rPr>
                <w:rFonts w:ascii="Times New Roman" w:hAnsi="Times New Roman"/>
                <w:sz w:val="24"/>
                <w:szCs w:val="24"/>
                <w:lang w:val="sr-Cyrl-CS"/>
              </w:rPr>
            </w:pPr>
            <w:r w:rsidRPr="00E83EF6">
              <w:rPr>
                <w:rFonts w:ascii="Times New Roman" w:hAnsi="Times New Roman"/>
                <w:sz w:val="24"/>
                <w:szCs w:val="24"/>
                <w:lang w:val="sr-Cyrl-CS"/>
              </w:rPr>
              <w:t>Коефиц</w:t>
            </w:r>
            <w:r w:rsidR="00D71799">
              <w:rPr>
                <w:rFonts w:ascii="Times New Roman" w:hAnsi="Times New Roman"/>
                <w:sz w:val="24"/>
                <w:szCs w:val="24"/>
                <w:lang w:val="sr-Cyrl-CS"/>
              </w:rPr>
              <w:t>и</w:t>
            </w:r>
            <w:r w:rsidRPr="00E83EF6">
              <w:rPr>
                <w:rFonts w:ascii="Times New Roman" w:hAnsi="Times New Roman"/>
                <w:sz w:val="24"/>
                <w:szCs w:val="24"/>
                <w:lang w:val="sr-Cyrl-CS"/>
              </w:rPr>
              <w:t>јент интензитета коришћења</w:t>
            </w:r>
          </w:p>
        </w:tc>
        <w:tc>
          <w:tcPr>
            <w:tcW w:w="1535" w:type="dxa"/>
          </w:tcPr>
          <w:p w:rsidR="008A696A" w:rsidRPr="00E83EF6" w:rsidRDefault="008A696A" w:rsidP="00E83EF6">
            <w:pPr>
              <w:jc w:val="both"/>
              <w:rPr>
                <w:rFonts w:ascii="Times New Roman" w:hAnsi="Times New Roman"/>
                <w:sz w:val="24"/>
                <w:szCs w:val="24"/>
                <w:lang w:val="sr-Cyrl-CS"/>
              </w:rPr>
            </w:pPr>
            <w:r w:rsidRPr="00E83EF6">
              <w:rPr>
                <w:rFonts w:ascii="Times New Roman" w:hAnsi="Times New Roman"/>
                <w:sz w:val="24"/>
                <w:szCs w:val="24"/>
                <w:lang w:val="sr-Cyrl-CS"/>
              </w:rPr>
              <w:t>Стопа амортизације</w:t>
            </w:r>
          </w:p>
        </w:tc>
        <w:tc>
          <w:tcPr>
            <w:tcW w:w="1536" w:type="dxa"/>
          </w:tcPr>
          <w:p w:rsidR="008A696A" w:rsidRPr="00E83EF6" w:rsidRDefault="008A696A" w:rsidP="00E83EF6">
            <w:pPr>
              <w:jc w:val="both"/>
              <w:rPr>
                <w:rFonts w:ascii="Times New Roman" w:hAnsi="Times New Roman"/>
                <w:sz w:val="24"/>
                <w:szCs w:val="24"/>
                <w:lang w:val="sr-Cyrl-CS"/>
              </w:rPr>
            </w:pPr>
            <w:r w:rsidRPr="00E83EF6">
              <w:rPr>
                <w:rFonts w:ascii="Times New Roman" w:hAnsi="Times New Roman"/>
                <w:sz w:val="24"/>
                <w:szCs w:val="24"/>
                <w:lang w:val="sr-Cyrl-CS"/>
              </w:rPr>
              <w:t>амор</w:t>
            </w:r>
            <w:r w:rsidR="00D71799">
              <w:rPr>
                <w:rFonts w:ascii="Times New Roman" w:hAnsi="Times New Roman"/>
                <w:sz w:val="24"/>
                <w:szCs w:val="24"/>
                <w:lang w:val="sr-Cyrl-CS"/>
              </w:rPr>
              <w:t>т</w:t>
            </w:r>
            <w:r w:rsidRPr="00E83EF6">
              <w:rPr>
                <w:rFonts w:ascii="Times New Roman" w:hAnsi="Times New Roman"/>
                <w:sz w:val="24"/>
                <w:szCs w:val="24"/>
                <w:lang w:val="sr-Cyrl-CS"/>
              </w:rPr>
              <w:t>изација</w:t>
            </w:r>
          </w:p>
        </w:tc>
      </w:tr>
      <w:tr w:rsidR="008A696A" w:rsidRPr="00E83EF6" w:rsidTr="00E83EF6">
        <w:tc>
          <w:tcPr>
            <w:tcW w:w="1535" w:type="dxa"/>
          </w:tcPr>
          <w:p w:rsidR="008A696A" w:rsidRPr="00E83EF6" w:rsidRDefault="008A696A" w:rsidP="00E83EF6">
            <w:pPr>
              <w:jc w:val="both"/>
              <w:rPr>
                <w:rFonts w:ascii="Times New Roman" w:hAnsi="Times New Roman"/>
                <w:sz w:val="24"/>
                <w:szCs w:val="24"/>
                <w:lang w:val="sr-Cyrl-CS"/>
              </w:rPr>
            </w:pPr>
            <w:r w:rsidRPr="00E83EF6">
              <w:rPr>
                <w:rFonts w:ascii="Times New Roman" w:hAnsi="Times New Roman"/>
                <w:sz w:val="24"/>
                <w:szCs w:val="24"/>
                <w:lang w:val="sr-Cyrl-CS"/>
              </w:rPr>
              <w:t>1</w:t>
            </w:r>
          </w:p>
        </w:tc>
        <w:tc>
          <w:tcPr>
            <w:tcW w:w="1535" w:type="dxa"/>
          </w:tcPr>
          <w:p w:rsidR="008A696A" w:rsidRPr="00E83EF6" w:rsidRDefault="00F26575" w:rsidP="00E83EF6">
            <w:pPr>
              <w:jc w:val="both"/>
              <w:rPr>
                <w:rFonts w:ascii="Times New Roman" w:hAnsi="Times New Roman"/>
                <w:sz w:val="24"/>
                <w:szCs w:val="24"/>
                <w:lang w:val="sr-Cyrl-CS"/>
              </w:rPr>
            </w:pPr>
            <w:r w:rsidRPr="00E83EF6">
              <w:rPr>
                <w:rFonts w:ascii="Times New Roman" w:hAnsi="Times New Roman"/>
                <w:sz w:val="24"/>
                <w:szCs w:val="24"/>
                <w:lang w:val="sr-Cyrl-CS"/>
              </w:rPr>
              <w:t>8.500</w:t>
            </w:r>
          </w:p>
        </w:tc>
        <w:tc>
          <w:tcPr>
            <w:tcW w:w="1535" w:type="dxa"/>
          </w:tcPr>
          <w:p w:rsidR="008A696A" w:rsidRPr="00E83EF6" w:rsidRDefault="00F26575" w:rsidP="00E83EF6">
            <w:pPr>
              <w:jc w:val="both"/>
              <w:rPr>
                <w:rFonts w:ascii="Times New Roman" w:hAnsi="Times New Roman"/>
                <w:sz w:val="24"/>
                <w:szCs w:val="24"/>
                <w:lang w:val="sr-Cyrl-CS"/>
              </w:rPr>
            </w:pPr>
            <w:r w:rsidRPr="00E83EF6">
              <w:rPr>
                <w:rFonts w:ascii="Times New Roman" w:hAnsi="Times New Roman"/>
                <w:sz w:val="24"/>
                <w:szCs w:val="24"/>
                <w:lang w:val="sr-Cyrl-CS"/>
              </w:rPr>
              <w:t>10.000</w:t>
            </w:r>
          </w:p>
        </w:tc>
        <w:tc>
          <w:tcPr>
            <w:tcW w:w="1535" w:type="dxa"/>
          </w:tcPr>
          <w:p w:rsidR="008A696A" w:rsidRPr="00E83EF6" w:rsidRDefault="00F26575" w:rsidP="00E83EF6">
            <w:pPr>
              <w:jc w:val="both"/>
              <w:rPr>
                <w:rFonts w:ascii="Times New Roman" w:hAnsi="Times New Roman"/>
                <w:sz w:val="24"/>
                <w:szCs w:val="24"/>
                <w:lang w:val="sr-Cyrl-CS"/>
              </w:rPr>
            </w:pPr>
            <w:r w:rsidRPr="00E83EF6">
              <w:rPr>
                <w:rFonts w:ascii="Times New Roman" w:hAnsi="Times New Roman"/>
                <w:sz w:val="24"/>
                <w:szCs w:val="24"/>
                <w:lang w:val="sr-Cyrl-CS"/>
              </w:rPr>
              <w:t>0,85</w:t>
            </w:r>
          </w:p>
        </w:tc>
        <w:tc>
          <w:tcPr>
            <w:tcW w:w="1535" w:type="dxa"/>
          </w:tcPr>
          <w:p w:rsidR="008A696A" w:rsidRPr="00E83EF6" w:rsidRDefault="008E62EB" w:rsidP="00E83EF6">
            <w:pPr>
              <w:jc w:val="both"/>
              <w:rPr>
                <w:rFonts w:ascii="Times New Roman" w:hAnsi="Times New Roman"/>
                <w:sz w:val="24"/>
                <w:szCs w:val="24"/>
                <w:lang w:val="sr-Cyrl-CS"/>
              </w:rPr>
            </w:pPr>
            <w:r w:rsidRPr="00E83EF6">
              <w:rPr>
                <w:rFonts w:ascii="Times New Roman" w:hAnsi="Times New Roman"/>
                <w:sz w:val="24"/>
                <w:szCs w:val="24"/>
                <w:lang w:val="sr-Cyrl-CS"/>
              </w:rPr>
              <w:t>8,50</w:t>
            </w:r>
          </w:p>
        </w:tc>
        <w:tc>
          <w:tcPr>
            <w:tcW w:w="1536" w:type="dxa"/>
          </w:tcPr>
          <w:p w:rsidR="008A696A" w:rsidRPr="00E83EF6" w:rsidRDefault="00F26575" w:rsidP="00E83EF6">
            <w:pPr>
              <w:jc w:val="both"/>
              <w:rPr>
                <w:rFonts w:ascii="Times New Roman" w:hAnsi="Times New Roman"/>
                <w:sz w:val="24"/>
                <w:szCs w:val="24"/>
                <w:lang w:val="sr-Cyrl-CS"/>
              </w:rPr>
            </w:pPr>
            <w:r w:rsidRPr="00E83EF6">
              <w:rPr>
                <w:rFonts w:ascii="Times New Roman" w:hAnsi="Times New Roman"/>
                <w:sz w:val="24"/>
                <w:szCs w:val="24"/>
                <w:lang w:val="sr-Cyrl-CS"/>
              </w:rPr>
              <w:t>4250</w:t>
            </w:r>
          </w:p>
        </w:tc>
      </w:tr>
      <w:tr w:rsidR="008A696A" w:rsidRPr="00E83EF6" w:rsidTr="00E83EF6">
        <w:tc>
          <w:tcPr>
            <w:tcW w:w="1535" w:type="dxa"/>
          </w:tcPr>
          <w:p w:rsidR="008A696A" w:rsidRPr="00E83EF6" w:rsidRDefault="008A696A" w:rsidP="00E83EF6">
            <w:pPr>
              <w:jc w:val="both"/>
              <w:rPr>
                <w:rFonts w:ascii="Times New Roman" w:hAnsi="Times New Roman"/>
                <w:sz w:val="24"/>
                <w:szCs w:val="24"/>
                <w:lang w:val="sr-Cyrl-CS"/>
              </w:rPr>
            </w:pPr>
            <w:r w:rsidRPr="00E83EF6">
              <w:rPr>
                <w:rFonts w:ascii="Times New Roman" w:hAnsi="Times New Roman"/>
                <w:sz w:val="24"/>
                <w:szCs w:val="24"/>
                <w:lang w:val="sr-Cyrl-CS"/>
              </w:rPr>
              <w:t>2</w:t>
            </w:r>
          </w:p>
        </w:tc>
        <w:tc>
          <w:tcPr>
            <w:tcW w:w="1535" w:type="dxa"/>
          </w:tcPr>
          <w:p w:rsidR="008A696A" w:rsidRPr="00E83EF6" w:rsidRDefault="00F26575" w:rsidP="00E83EF6">
            <w:pPr>
              <w:jc w:val="both"/>
              <w:rPr>
                <w:rFonts w:ascii="Times New Roman" w:hAnsi="Times New Roman"/>
                <w:sz w:val="24"/>
                <w:szCs w:val="24"/>
                <w:lang w:val="sr-Cyrl-CS"/>
              </w:rPr>
            </w:pPr>
            <w:r w:rsidRPr="00E83EF6">
              <w:rPr>
                <w:rFonts w:ascii="Times New Roman" w:hAnsi="Times New Roman"/>
                <w:sz w:val="24"/>
                <w:szCs w:val="24"/>
                <w:lang w:val="sr-Cyrl-CS"/>
              </w:rPr>
              <w:t>10.200</w:t>
            </w:r>
          </w:p>
        </w:tc>
        <w:tc>
          <w:tcPr>
            <w:tcW w:w="1535" w:type="dxa"/>
          </w:tcPr>
          <w:p w:rsidR="008A696A" w:rsidRPr="00E83EF6" w:rsidRDefault="00F26575" w:rsidP="00E83EF6">
            <w:pPr>
              <w:jc w:val="both"/>
              <w:rPr>
                <w:rFonts w:ascii="Times New Roman" w:hAnsi="Times New Roman"/>
                <w:sz w:val="24"/>
                <w:szCs w:val="24"/>
                <w:lang w:val="sr-Cyrl-CS"/>
              </w:rPr>
            </w:pPr>
            <w:r w:rsidRPr="00E83EF6">
              <w:rPr>
                <w:rFonts w:ascii="Times New Roman" w:hAnsi="Times New Roman"/>
                <w:sz w:val="24"/>
                <w:szCs w:val="24"/>
                <w:lang w:val="sr-Cyrl-CS"/>
              </w:rPr>
              <w:t>10.000</w:t>
            </w:r>
          </w:p>
        </w:tc>
        <w:tc>
          <w:tcPr>
            <w:tcW w:w="1535" w:type="dxa"/>
          </w:tcPr>
          <w:p w:rsidR="008A696A" w:rsidRPr="00E83EF6" w:rsidRDefault="00F26575" w:rsidP="00E83EF6">
            <w:pPr>
              <w:jc w:val="both"/>
              <w:rPr>
                <w:rFonts w:ascii="Times New Roman" w:hAnsi="Times New Roman"/>
                <w:sz w:val="24"/>
                <w:szCs w:val="24"/>
                <w:lang w:val="sr-Cyrl-CS"/>
              </w:rPr>
            </w:pPr>
            <w:r w:rsidRPr="00E83EF6">
              <w:rPr>
                <w:rFonts w:ascii="Times New Roman" w:hAnsi="Times New Roman"/>
                <w:sz w:val="24"/>
                <w:szCs w:val="24"/>
                <w:lang w:val="sr-Cyrl-CS"/>
              </w:rPr>
              <w:t>1,02</w:t>
            </w:r>
          </w:p>
        </w:tc>
        <w:tc>
          <w:tcPr>
            <w:tcW w:w="1535" w:type="dxa"/>
          </w:tcPr>
          <w:p w:rsidR="008A696A" w:rsidRPr="00E83EF6" w:rsidRDefault="008E62EB" w:rsidP="00E83EF6">
            <w:pPr>
              <w:jc w:val="both"/>
              <w:rPr>
                <w:rFonts w:ascii="Times New Roman" w:hAnsi="Times New Roman"/>
                <w:sz w:val="24"/>
                <w:szCs w:val="24"/>
                <w:lang w:val="sr-Cyrl-CS"/>
              </w:rPr>
            </w:pPr>
            <w:r w:rsidRPr="00E83EF6">
              <w:rPr>
                <w:rFonts w:ascii="Times New Roman" w:hAnsi="Times New Roman"/>
                <w:sz w:val="24"/>
                <w:szCs w:val="24"/>
                <w:lang w:val="sr-Cyrl-CS"/>
              </w:rPr>
              <w:t>10,20</w:t>
            </w:r>
          </w:p>
        </w:tc>
        <w:tc>
          <w:tcPr>
            <w:tcW w:w="1536" w:type="dxa"/>
          </w:tcPr>
          <w:p w:rsidR="008A696A" w:rsidRPr="00E83EF6" w:rsidRDefault="00CE1976" w:rsidP="00E83EF6">
            <w:pPr>
              <w:jc w:val="both"/>
              <w:rPr>
                <w:rFonts w:ascii="Times New Roman" w:hAnsi="Times New Roman"/>
                <w:sz w:val="24"/>
                <w:szCs w:val="24"/>
                <w:lang w:val="sr-Cyrl-CS"/>
              </w:rPr>
            </w:pPr>
            <w:r w:rsidRPr="00E83EF6">
              <w:rPr>
                <w:rFonts w:ascii="Times New Roman" w:hAnsi="Times New Roman"/>
                <w:sz w:val="24"/>
                <w:szCs w:val="24"/>
                <w:lang w:val="sr-Cyrl-CS"/>
              </w:rPr>
              <w:t>5100</w:t>
            </w:r>
          </w:p>
        </w:tc>
      </w:tr>
      <w:tr w:rsidR="008A696A" w:rsidRPr="00E83EF6" w:rsidTr="00E83EF6">
        <w:tc>
          <w:tcPr>
            <w:tcW w:w="1535" w:type="dxa"/>
          </w:tcPr>
          <w:p w:rsidR="008A696A" w:rsidRPr="00E83EF6" w:rsidRDefault="008A696A" w:rsidP="00E83EF6">
            <w:pPr>
              <w:jc w:val="both"/>
              <w:rPr>
                <w:rFonts w:ascii="Times New Roman" w:hAnsi="Times New Roman"/>
                <w:sz w:val="24"/>
                <w:szCs w:val="24"/>
                <w:lang w:val="sr-Cyrl-CS"/>
              </w:rPr>
            </w:pPr>
            <w:r w:rsidRPr="00E83EF6">
              <w:rPr>
                <w:rFonts w:ascii="Times New Roman" w:hAnsi="Times New Roman"/>
                <w:sz w:val="24"/>
                <w:szCs w:val="24"/>
                <w:lang w:val="sr-Cyrl-CS"/>
              </w:rPr>
              <w:t>3</w:t>
            </w:r>
          </w:p>
        </w:tc>
        <w:tc>
          <w:tcPr>
            <w:tcW w:w="1535" w:type="dxa"/>
          </w:tcPr>
          <w:p w:rsidR="008A696A" w:rsidRPr="00E83EF6" w:rsidRDefault="00F26575" w:rsidP="00E83EF6">
            <w:pPr>
              <w:jc w:val="both"/>
              <w:rPr>
                <w:rFonts w:ascii="Times New Roman" w:hAnsi="Times New Roman"/>
                <w:sz w:val="24"/>
                <w:szCs w:val="24"/>
                <w:lang w:val="sr-Cyrl-CS"/>
              </w:rPr>
            </w:pPr>
            <w:r w:rsidRPr="00E83EF6">
              <w:rPr>
                <w:rFonts w:ascii="Times New Roman" w:hAnsi="Times New Roman"/>
                <w:sz w:val="24"/>
                <w:szCs w:val="24"/>
                <w:lang w:val="sr-Cyrl-CS"/>
              </w:rPr>
              <w:t>12.300</w:t>
            </w:r>
          </w:p>
        </w:tc>
        <w:tc>
          <w:tcPr>
            <w:tcW w:w="1535" w:type="dxa"/>
          </w:tcPr>
          <w:p w:rsidR="008A696A" w:rsidRPr="00E83EF6" w:rsidRDefault="00F26575" w:rsidP="00E83EF6">
            <w:pPr>
              <w:jc w:val="both"/>
              <w:rPr>
                <w:rFonts w:ascii="Times New Roman" w:hAnsi="Times New Roman"/>
                <w:sz w:val="24"/>
                <w:szCs w:val="24"/>
                <w:lang w:val="sr-Cyrl-CS"/>
              </w:rPr>
            </w:pPr>
            <w:r w:rsidRPr="00E83EF6">
              <w:rPr>
                <w:rFonts w:ascii="Times New Roman" w:hAnsi="Times New Roman"/>
                <w:sz w:val="24"/>
                <w:szCs w:val="24"/>
                <w:lang w:val="sr-Cyrl-CS"/>
              </w:rPr>
              <w:t>10.000</w:t>
            </w:r>
          </w:p>
        </w:tc>
        <w:tc>
          <w:tcPr>
            <w:tcW w:w="1535" w:type="dxa"/>
          </w:tcPr>
          <w:p w:rsidR="008A696A" w:rsidRPr="00E83EF6" w:rsidRDefault="00F26575" w:rsidP="00E83EF6">
            <w:pPr>
              <w:jc w:val="both"/>
              <w:rPr>
                <w:rFonts w:ascii="Times New Roman" w:hAnsi="Times New Roman"/>
                <w:sz w:val="24"/>
                <w:szCs w:val="24"/>
                <w:lang w:val="sr-Cyrl-CS"/>
              </w:rPr>
            </w:pPr>
            <w:r w:rsidRPr="00E83EF6">
              <w:rPr>
                <w:rFonts w:ascii="Times New Roman" w:hAnsi="Times New Roman"/>
                <w:sz w:val="24"/>
                <w:szCs w:val="24"/>
                <w:lang w:val="sr-Cyrl-CS"/>
              </w:rPr>
              <w:t>1,23</w:t>
            </w:r>
          </w:p>
        </w:tc>
        <w:tc>
          <w:tcPr>
            <w:tcW w:w="1535" w:type="dxa"/>
          </w:tcPr>
          <w:p w:rsidR="008A696A" w:rsidRPr="00E83EF6" w:rsidRDefault="008E62EB" w:rsidP="00E83EF6">
            <w:pPr>
              <w:jc w:val="both"/>
              <w:rPr>
                <w:rFonts w:ascii="Times New Roman" w:hAnsi="Times New Roman"/>
                <w:sz w:val="24"/>
                <w:szCs w:val="24"/>
                <w:lang w:val="sr-Cyrl-CS"/>
              </w:rPr>
            </w:pPr>
            <w:r w:rsidRPr="00E83EF6">
              <w:rPr>
                <w:rFonts w:ascii="Times New Roman" w:hAnsi="Times New Roman"/>
                <w:sz w:val="24"/>
                <w:szCs w:val="24"/>
                <w:lang w:val="sr-Cyrl-CS"/>
              </w:rPr>
              <w:t>12,30</w:t>
            </w:r>
          </w:p>
        </w:tc>
        <w:tc>
          <w:tcPr>
            <w:tcW w:w="1536" w:type="dxa"/>
          </w:tcPr>
          <w:p w:rsidR="008A696A" w:rsidRPr="00E83EF6" w:rsidRDefault="00CE1976" w:rsidP="00E83EF6">
            <w:pPr>
              <w:jc w:val="both"/>
              <w:rPr>
                <w:rFonts w:ascii="Times New Roman" w:hAnsi="Times New Roman"/>
                <w:sz w:val="24"/>
                <w:szCs w:val="24"/>
                <w:lang w:val="sr-Cyrl-CS"/>
              </w:rPr>
            </w:pPr>
            <w:r w:rsidRPr="00E83EF6">
              <w:rPr>
                <w:rFonts w:ascii="Times New Roman" w:hAnsi="Times New Roman"/>
                <w:sz w:val="24"/>
                <w:szCs w:val="24"/>
                <w:lang w:val="sr-Cyrl-CS"/>
              </w:rPr>
              <w:t>6150</w:t>
            </w:r>
          </w:p>
        </w:tc>
      </w:tr>
      <w:tr w:rsidR="008A696A" w:rsidRPr="00E83EF6" w:rsidTr="00E83EF6">
        <w:tc>
          <w:tcPr>
            <w:tcW w:w="1535" w:type="dxa"/>
          </w:tcPr>
          <w:p w:rsidR="008A696A" w:rsidRPr="00E83EF6" w:rsidRDefault="008A696A" w:rsidP="00E83EF6">
            <w:pPr>
              <w:jc w:val="both"/>
              <w:rPr>
                <w:rFonts w:ascii="Times New Roman" w:hAnsi="Times New Roman"/>
                <w:sz w:val="24"/>
                <w:szCs w:val="24"/>
                <w:lang w:val="sr-Cyrl-CS"/>
              </w:rPr>
            </w:pPr>
            <w:r w:rsidRPr="00E83EF6">
              <w:rPr>
                <w:rFonts w:ascii="Times New Roman" w:hAnsi="Times New Roman"/>
                <w:sz w:val="24"/>
                <w:szCs w:val="24"/>
                <w:lang w:val="sr-Cyrl-CS"/>
              </w:rPr>
              <w:t>4</w:t>
            </w:r>
          </w:p>
        </w:tc>
        <w:tc>
          <w:tcPr>
            <w:tcW w:w="1535" w:type="dxa"/>
          </w:tcPr>
          <w:p w:rsidR="008A696A" w:rsidRPr="00E83EF6" w:rsidRDefault="00F26575" w:rsidP="00E83EF6">
            <w:pPr>
              <w:jc w:val="both"/>
              <w:rPr>
                <w:rFonts w:ascii="Times New Roman" w:hAnsi="Times New Roman"/>
                <w:sz w:val="24"/>
                <w:szCs w:val="24"/>
                <w:lang w:val="sr-Cyrl-CS"/>
              </w:rPr>
            </w:pPr>
            <w:r w:rsidRPr="00E83EF6">
              <w:rPr>
                <w:rFonts w:ascii="Times New Roman" w:hAnsi="Times New Roman"/>
                <w:sz w:val="24"/>
                <w:szCs w:val="24"/>
                <w:lang w:val="sr-Cyrl-CS"/>
              </w:rPr>
              <w:t>10.000</w:t>
            </w:r>
          </w:p>
        </w:tc>
        <w:tc>
          <w:tcPr>
            <w:tcW w:w="1535" w:type="dxa"/>
          </w:tcPr>
          <w:p w:rsidR="008A696A" w:rsidRPr="00E83EF6" w:rsidRDefault="00F26575" w:rsidP="00E83EF6">
            <w:pPr>
              <w:jc w:val="both"/>
              <w:rPr>
                <w:rFonts w:ascii="Times New Roman" w:hAnsi="Times New Roman"/>
                <w:sz w:val="24"/>
                <w:szCs w:val="24"/>
                <w:lang w:val="sr-Cyrl-CS"/>
              </w:rPr>
            </w:pPr>
            <w:r w:rsidRPr="00E83EF6">
              <w:rPr>
                <w:rFonts w:ascii="Times New Roman" w:hAnsi="Times New Roman"/>
                <w:sz w:val="24"/>
                <w:szCs w:val="24"/>
                <w:lang w:val="sr-Cyrl-CS"/>
              </w:rPr>
              <w:t>10.000</w:t>
            </w:r>
          </w:p>
        </w:tc>
        <w:tc>
          <w:tcPr>
            <w:tcW w:w="1535" w:type="dxa"/>
          </w:tcPr>
          <w:p w:rsidR="008A696A" w:rsidRPr="00E83EF6" w:rsidRDefault="00F26575" w:rsidP="00E83EF6">
            <w:pPr>
              <w:jc w:val="both"/>
              <w:rPr>
                <w:rFonts w:ascii="Times New Roman" w:hAnsi="Times New Roman"/>
                <w:sz w:val="24"/>
                <w:szCs w:val="24"/>
                <w:lang w:val="sr-Cyrl-CS"/>
              </w:rPr>
            </w:pPr>
            <w:r w:rsidRPr="00E83EF6">
              <w:rPr>
                <w:rFonts w:ascii="Times New Roman" w:hAnsi="Times New Roman"/>
                <w:sz w:val="24"/>
                <w:szCs w:val="24"/>
                <w:lang w:val="sr-Cyrl-CS"/>
              </w:rPr>
              <w:t>1</w:t>
            </w:r>
          </w:p>
        </w:tc>
        <w:tc>
          <w:tcPr>
            <w:tcW w:w="1535" w:type="dxa"/>
          </w:tcPr>
          <w:p w:rsidR="008A696A" w:rsidRPr="00E83EF6" w:rsidRDefault="008E62EB" w:rsidP="00E83EF6">
            <w:pPr>
              <w:jc w:val="both"/>
              <w:rPr>
                <w:rFonts w:ascii="Times New Roman" w:hAnsi="Times New Roman"/>
                <w:sz w:val="24"/>
                <w:szCs w:val="24"/>
                <w:lang w:val="sr-Cyrl-CS"/>
              </w:rPr>
            </w:pPr>
            <w:r w:rsidRPr="00E83EF6">
              <w:rPr>
                <w:rFonts w:ascii="Times New Roman" w:hAnsi="Times New Roman"/>
                <w:sz w:val="24"/>
                <w:szCs w:val="24"/>
                <w:lang w:val="sr-Cyrl-CS"/>
              </w:rPr>
              <w:t>1</w:t>
            </w:r>
            <w:r w:rsidR="00F26575" w:rsidRPr="00E83EF6">
              <w:rPr>
                <w:rFonts w:ascii="Times New Roman" w:hAnsi="Times New Roman"/>
                <w:sz w:val="24"/>
                <w:szCs w:val="24"/>
                <w:lang w:val="sr-Cyrl-CS"/>
              </w:rPr>
              <w:t>0</w:t>
            </w:r>
          </w:p>
        </w:tc>
        <w:tc>
          <w:tcPr>
            <w:tcW w:w="1536" w:type="dxa"/>
          </w:tcPr>
          <w:p w:rsidR="008A696A" w:rsidRPr="00E83EF6" w:rsidRDefault="00CE1976" w:rsidP="00E83EF6">
            <w:pPr>
              <w:jc w:val="both"/>
              <w:rPr>
                <w:rFonts w:ascii="Times New Roman" w:hAnsi="Times New Roman"/>
                <w:b/>
                <w:sz w:val="24"/>
                <w:szCs w:val="24"/>
                <w:lang w:val="sr-Cyrl-CS"/>
              </w:rPr>
            </w:pPr>
            <w:r w:rsidRPr="00E83EF6">
              <w:rPr>
                <w:rFonts w:ascii="Times New Roman" w:hAnsi="Times New Roman"/>
                <w:b/>
                <w:sz w:val="24"/>
                <w:szCs w:val="24"/>
                <w:lang w:val="sr-Cyrl-CS"/>
              </w:rPr>
              <w:t>5000</w:t>
            </w:r>
          </w:p>
        </w:tc>
      </w:tr>
      <w:tr w:rsidR="008A696A" w:rsidRPr="00E83EF6" w:rsidTr="00E83EF6">
        <w:tc>
          <w:tcPr>
            <w:tcW w:w="1535" w:type="dxa"/>
          </w:tcPr>
          <w:p w:rsidR="008A696A" w:rsidRPr="00E83EF6" w:rsidRDefault="008A696A" w:rsidP="00E83EF6">
            <w:pPr>
              <w:jc w:val="both"/>
              <w:rPr>
                <w:rFonts w:ascii="Times New Roman" w:hAnsi="Times New Roman"/>
                <w:sz w:val="24"/>
                <w:szCs w:val="24"/>
                <w:lang w:val="sr-Cyrl-CS"/>
              </w:rPr>
            </w:pPr>
            <w:r w:rsidRPr="00E83EF6">
              <w:rPr>
                <w:rFonts w:ascii="Times New Roman" w:hAnsi="Times New Roman"/>
                <w:sz w:val="24"/>
                <w:szCs w:val="24"/>
                <w:lang w:val="sr-Cyrl-CS"/>
              </w:rPr>
              <w:t>5</w:t>
            </w:r>
          </w:p>
        </w:tc>
        <w:tc>
          <w:tcPr>
            <w:tcW w:w="1535" w:type="dxa"/>
          </w:tcPr>
          <w:p w:rsidR="008A696A" w:rsidRPr="00E83EF6" w:rsidRDefault="00F26575" w:rsidP="00E83EF6">
            <w:pPr>
              <w:jc w:val="both"/>
              <w:rPr>
                <w:rFonts w:ascii="Times New Roman" w:hAnsi="Times New Roman"/>
                <w:sz w:val="24"/>
                <w:szCs w:val="24"/>
                <w:lang w:val="sr-Cyrl-CS"/>
              </w:rPr>
            </w:pPr>
            <w:r w:rsidRPr="00E83EF6">
              <w:rPr>
                <w:rFonts w:ascii="Times New Roman" w:hAnsi="Times New Roman"/>
                <w:sz w:val="24"/>
                <w:szCs w:val="24"/>
                <w:lang w:val="sr-Cyrl-CS"/>
              </w:rPr>
              <w:t>9.800</w:t>
            </w:r>
          </w:p>
        </w:tc>
        <w:tc>
          <w:tcPr>
            <w:tcW w:w="1535" w:type="dxa"/>
          </w:tcPr>
          <w:p w:rsidR="008A696A" w:rsidRPr="00E83EF6" w:rsidRDefault="00F26575" w:rsidP="00E83EF6">
            <w:pPr>
              <w:jc w:val="both"/>
              <w:rPr>
                <w:rFonts w:ascii="Times New Roman" w:hAnsi="Times New Roman"/>
                <w:sz w:val="24"/>
                <w:szCs w:val="24"/>
                <w:lang w:val="sr-Cyrl-CS"/>
              </w:rPr>
            </w:pPr>
            <w:r w:rsidRPr="00E83EF6">
              <w:rPr>
                <w:rFonts w:ascii="Times New Roman" w:hAnsi="Times New Roman"/>
                <w:sz w:val="24"/>
                <w:szCs w:val="24"/>
                <w:lang w:val="sr-Cyrl-CS"/>
              </w:rPr>
              <w:t>10.000</w:t>
            </w:r>
          </w:p>
        </w:tc>
        <w:tc>
          <w:tcPr>
            <w:tcW w:w="1535" w:type="dxa"/>
          </w:tcPr>
          <w:p w:rsidR="008A696A" w:rsidRPr="00E83EF6" w:rsidRDefault="00F26575" w:rsidP="00E83EF6">
            <w:pPr>
              <w:jc w:val="both"/>
              <w:rPr>
                <w:rFonts w:ascii="Times New Roman" w:hAnsi="Times New Roman"/>
                <w:sz w:val="24"/>
                <w:szCs w:val="24"/>
                <w:lang w:val="sr-Cyrl-CS"/>
              </w:rPr>
            </w:pPr>
            <w:r w:rsidRPr="00E83EF6">
              <w:rPr>
                <w:rFonts w:ascii="Times New Roman" w:hAnsi="Times New Roman"/>
                <w:sz w:val="24"/>
                <w:szCs w:val="24"/>
                <w:lang w:val="sr-Cyrl-CS"/>
              </w:rPr>
              <w:t>0,98</w:t>
            </w:r>
          </w:p>
        </w:tc>
        <w:tc>
          <w:tcPr>
            <w:tcW w:w="1535" w:type="dxa"/>
          </w:tcPr>
          <w:p w:rsidR="008A696A" w:rsidRPr="00E83EF6" w:rsidRDefault="008E62EB" w:rsidP="00E83EF6">
            <w:pPr>
              <w:jc w:val="both"/>
              <w:rPr>
                <w:rFonts w:ascii="Times New Roman" w:hAnsi="Times New Roman"/>
                <w:sz w:val="24"/>
                <w:szCs w:val="24"/>
                <w:lang w:val="sr-Cyrl-CS"/>
              </w:rPr>
            </w:pPr>
            <w:r w:rsidRPr="00E83EF6">
              <w:rPr>
                <w:rFonts w:ascii="Times New Roman" w:hAnsi="Times New Roman"/>
                <w:sz w:val="24"/>
                <w:szCs w:val="24"/>
                <w:lang w:val="sr-Cyrl-CS"/>
              </w:rPr>
              <w:t>9,80</w:t>
            </w:r>
          </w:p>
        </w:tc>
        <w:tc>
          <w:tcPr>
            <w:tcW w:w="1536" w:type="dxa"/>
          </w:tcPr>
          <w:p w:rsidR="008A696A" w:rsidRPr="00E83EF6" w:rsidRDefault="00CE1976" w:rsidP="00E83EF6">
            <w:pPr>
              <w:jc w:val="both"/>
              <w:rPr>
                <w:rFonts w:ascii="Times New Roman" w:hAnsi="Times New Roman"/>
                <w:sz w:val="24"/>
                <w:szCs w:val="24"/>
                <w:lang w:val="sr-Cyrl-CS"/>
              </w:rPr>
            </w:pPr>
            <w:r w:rsidRPr="00E83EF6">
              <w:rPr>
                <w:rFonts w:ascii="Times New Roman" w:hAnsi="Times New Roman"/>
                <w:sz w:val="24"/>
                <w:szCs w:val="24"/>
                <w:lang w:val="sr-Cyrl-CS"/>
              </w:rPr>
              <w:t>4900</w:t>
            </w:r>
          </w:p>
          <w:p w:rsidR="00CE1976" w:rsidRPr="00E83EF6" w:rsidRDefault="00CE1976" w:rsidP="008A3795">
            <w:pPr>
              <w:numPr>
                <w:ilvl w:val="0"/>
                <w:numId w:val="23"/>
              </w:numPr>
              <w:jc w:val="both"/>
              <w:rPr>
                <w:rFonts w:ascii="Times New Roman" w:hAnsi="Times New Roman"/>
                <w:sz w:val="24"/>
                <w:szCs w:val="24"/>
                <w:lang w:val="sr-Cyrl-CS"/>
              </w:rPr>
            </w:pPr>
            <w:r w:rsidRPr="00E83EF6">
              <w:rPr>
                <w:rFonts w:ascii="Times New Roman" w:hAnsi="Times New Roman"/>
                <w:sz w:val="24"/>
                <w:szCs w:val="24"/>
                <w:lang w:val="sr-Cyrl-CS"/>
              </w:rPr>
              <w:t>400</w:t>
            </w:r>
          </w:p>
        </w:tc>
      </w:tr>
      <w:tr w:rsidR="008A696A" w:rsidRPr="00E83EF6" w:rsidTr="00E83EF6">
        <w:tc>
          <w:tcPr>
            <w:tcW w:w="1535" w:type="dxa"/>
          </w:tcPr>
          <w:p w:rsidR="008A696A" w:rsidRPr="00E83EF6" w:rsidRDefault="008A696A" w:rsidP="00E83EF6">
            <w:pPr>
              <w:jc w:val="both"/>
              <w:rPr>
                <w:rFonts w:ascii="Times New Roman" w:hAnsi="Times New Roman"/>
                <w:sz w:val="24"/>
                <w:szCs w:val="24"/>
                <w:lang w:val="sr-Cyrl-CS"/>
              </w:rPr>
            </w:pPr>
          </w:p>
        </w:tc>
        <w:tc>
          <w:tcPr>
            <w:tcW w:w="1535" w:type="dxa"/>
          </w:tcPr>
          <w:p w:rsidR="008A696A" w:rsidRPr="00E83EF6" w:rsidRDefault="008A696A" w:rsidP="00E83EF6">
            <w:pPr>
              <w:jc w:val="both"/>
              <w:rPr>
                <w:rFonts w:ascii="Times New Roman" w:hAnsi="Times New Roman"/>
                <w:sz w:val="24"/>
                <w:szCs w:val="24"/>
                <w:lang w:val="sr-Cyrl-CS"/>
              </w:rPr>
            </w:pPr>
          </w:p>
        </w:tc>
        <w:tc>
          <w:tcPr>
            <w:tcW w:w="1535" w:type="dxa"/>
          </w:tcPr>
          <w:p w:rsidR="008A696A" w:rsidRPr="00E83EF6" w:rsidRDefault="008A696A" w:rsidP="00E83EF6">
            <w:pPr>
              <w:jc w:val="both"/>
              <w:rPr>
                <w:rFonts w:ascii="Times New Roman" w:hAnsi="Times New Roman"/>
                <w:sz w:val="24"/>
                <w:szCs w:val="24"/>
                <w:lang w:val="sr-Cyrl-CS"/>
              </w:rPr>
            </w:pPr>
          </w:p>
        </w:tc>
        <w:tc>
          <w:tcPr>
            <w:tcW w:w="1535" w:type="dxa"/>
          </w:tcPr>
          <w:p w:rsidR="008A696A" w:rsidRPr="00E83EF6" w:rsidRDefault="008A696A" w:rsidP="00E83EF6">
            <w:pPr>
              <w:jc w:val="both"/>
              <w:rPr>
                <w:rFonts w:ascii="Times New Roman" w:hAnsi="Times New Roman"/>
                <w:sz w:val="24"/>
                <w:szCs w:val="24"/>
                <w:lang w:val="sr-Cyrl-CS"/>
              </w:rPr>
            </w:pPr>
          </w:p>
        </w:tc>
        <w:tc>
          <w:tcPr>
            <w:tcW w:w="1535" w:type="dxa"/>
          </w:tcPr>
          <w:p w:rsidR="008A696A" w:rsidRPr="00E83EF6" w:rsidRDefault="008A696A" w:rsidP="00E83EF6">
            <w:pPr>
              <w:jc w:val="both"/>
              <w:rPr>
                <w:rFonts w:ascii="Times New Roman" w:hAnsi="Times New Roman"/>
                <w:sz w:val="24"/>
                <w:szCs w:val="24"/>
                <w:lang w:val="sr-Cyrl-CS"/>
              </w:rPr>
            </w:pPr>
          </w:p>
        </w:tc>
        <w:tc>
          <w:tcPr>
            <w:tcW w:w="1536" w:type="dxa"/>
          </w:tcPr>
          <w:p w:rsidR="008A696A" w:rsidRPr="00E83EF6" w:rsidRDefault="00CE1976" w:rsidP="00E83EF6">
            <w:pPr>
              <w:jc w:val="both"/>
              <w:rPr>
                <w:rFonts w:ascii="Times New Roman" w:hAnsi="Times New Roman"/>
                <w:sz w:val="24"/>
                <w:szCs w:val="24"/>
                <w:lang w:val="sr-Cyrl-CS"/>
              </w:rPr>
            </w:pPr>
            <w:r w:rsidRPr="00E83EF6">
              <w:rPr>
                <w:rFonts w:ascii="Times New Roman" w:hAnsi="Times New Roman"/>
                <w:sz w:val="24"/>
                <w:szCs w:val="24"/>
                <w:lang w:val="sr-Cyrl-CS"/>
              </w:rPr>
              <w:t>25.000</w:t>
            </w:r>
          </w:p>
        </w:tc>
      </w:tr>
    </w:tbl>
    <w:p w:rsidR="008A696A" w:rsidRDefault="008A696A" w:rsidP="00F415D6">
      <w:pPr>
        <w:ind w:firstLine="708"/>
        <w:jc w:val="both"/>
        <w:rPr>
          <w:rFonts w:ascii="Times New Roman" w:hAnsi="Times New Roman"/>
          <w:sz w:val="24"/>
          <w:szCs w:val="24"/>
          <w:lang w:val="sr-Cyrl-CS"/>
        </w:rPr>
      </w:pPr>
    </w:p>
    <w:p w:rsidR="0073527E" w:rsidRDefault="00CE1976" w:rsidP="00F415D6">
      <w:pPr>
        <w:ind w:firstLine="708"/>
        <w:jc w:val="both"/>
        <w:rPr>
          <w:rFonts w:ascii="Times New Roman" w:hAnsi="Times New Roman"/>
          <w:sz w:val="24"/>
          <w:szCs w:val="24"/>
          <w:lang w:val="sr-Cyrl-CS"/>
        </w:rPr>
      </w:pPr>
      <w:r>
        <w:rPr>
          <w:rFonts w:ascii="Times New Roman" w:hAnsi="Times New Roman"/>
          <w:sz w:val="24"/>
          <w:szCs w:val="24"/>
          <w:lang w:val="sr-Cyrl-CS"/>
        </w:rPr>
        <w:t xml:space="preserve">   </w:t>
      </w:r>
      <w:r w:rsidR="00474C66">
        <w:rPr>
          <w:rFonts w:ascii="Times New Roman" w:hAnsi="Times New Roman"/>
          <w:sz w:val="24"/>
          <w:szCs w:val="24"/>
          <w:lang w:val="sr-Cyrl-CS"/>
        </w:rPr>
        <w:t xml:space="preserve">Стопа амортизације је добијена </w:t>
      </w:r>
      <w:r w:rsidR="008E62EB">
        <w:rPr>
          <w:rFonts w:ascii="Times New Roman" w:hAnsi="Times New Roman"/>
          <w:sz w:val="24"/>
          <w:szCs w:val="24"/>
          <w:lang w:val="sr-Cyrl-CS"/>
        </w:rPr>
        <w:t>применом коефиц</w:t>
      </w:r>
      <w:r w:rsidR="00D71799">
        <w:rPr>
          <w:rFonts w:ascii="Times New Roman" w:hAnsi="Times New Roman"/>
          <w:sz w:val="24"/>
          <w:szCs w:val="24"/>
          <w:lang w:val="sr-Cyrl-CS"/>
        </w:rPr>
        <w:t>и</w:t>
      </w:r>
      <w:r w:rsidR="008E62EB">
        <w:rPr>
          <w:rFonts w:ascii="Times New Roman" w:hAnsi="Times New Roman"/>
          <w:sz w:val="24"/>
          <w:szCs w:val="24"/>
          <w:lang w:val="sr-Cyrl-CS"/>
        </w:rPr>
        <w:t>јента коришћења на очекиване учинке, а потом је применом стопе амортизације на наб</w:t>
      </w:r>
      <w:r w:rsidR="000B3BC5">
        <w:rPr>
          <w:rFonts w:ascii="Times New Roman" w:hAnsi="Times New Roman"/>
          <w:sz w:val="24"/>
          <w:szCs w:val="24"/>
          <w:lang w:val="sr-Cyrl-CS"/>
        </w:rPr>
        <w:t>а</w:t>
      </w:r>
      <w:r w:rsidR="008E62EB">
        <w:rPr>
          <w:rFonts w:ascii="Times New Roman" w:hAnsi="Times New Roman"/>
          <w:sz w:val="24"/>
          <w:szCs w:val="24"/>
          <w:lang w:val="sr-Cyrl-CS"/>
        </w:rPr>
        <w:t xml:space="preserve">вну вредност од 25.000 динара добијена амортизација, </w:t>
      </w:r>
      <w:r w:rsidR="00FB56A8">
        <w:rPr>
          <w:rFonts w:ascii="Times New Roman" w:hAnsi="Times New Roman"/>
          <w:sz w:val="24"/>
          <w:szCs w:val="24"/>
          <w:lang w:val="sr-Cyrl-CS"/>
        </w:rPr>
        <w:t>(</w:t>
      </w:r>
      <w:r w:rsidR="008E62EB">
        <w:rPr>
          <w:rFonts w:ascii="Times New Roman" w:hAnsi="Times New Roman"/>
          <w:sz w:val="24"/>
          <w:szCs w:val="24"/>
          <w:lang w:val="sr-Cyrl-CS"/>
        </w:rPr>
        <w:t xml:space="preserve">при чему је у последњој години одбијен износ од 400 динара, до </w:t>
      </w:r>
      <w:r w:rsidR="00FB56A8">
        <w:rPr>
          <w:rFonts w:ascii="Times New Roman" w:hAnsi="Times New Roman"/>
          <w:sz w:val="24"/>
          <w:szCs w:val="24"/>
          <w:lang w:val="sr-Cyrl-CS"/>
        </w:rPr>
        <w:t xml:space="preserve">пуног износа набавне вредности која је отписана). Из дате табеле се види да је у четвртој години износ амортизације једнак износу по пропорционалној </w:t>
      </w:r>
      <w:r w:rsidR="00FB56A8">
        <w:rPr>
          <w:rFonts w:ascii="Times New Roman" w:hAnsi="Times New Roman"/>
          <w:sz w:val="24"/>
          <w:szCs w:val="24"/>
          <w:lang w:val="sr-Cyrl-CS"/>
        </w:rPr>
        <w:lastRenderedPageBreak/>
        <w:t>методи, када су стварни и очекивани учинци исти, а ако су стварни учинци мањи од очекиваних, амортизација ће бити такође мања у односу на амортизацију по пропорционалном методу и обрнуто.</w:t>
      </w:r>
      <w:r w:rsidR="001E3C03">
        <w:rPr>
          <w:rFonts w:ascii="Times New Roman" w:hAnsi="Times New Roman"/>
          <w:sz w:val="24"/>
          <w:szCs w:val="24"/>
          <w:lang w:val="sr-Cyrl-CS"/>
        </w:rPr>
        <w:t xml:space="preserve"> Сваки порески обвезник тежи да искористи што боље повољност појединих облика амортизације, како би смањио </w:t>
      </w:r>
      <w:r w:rsidR="00267FBA">
        <w:rPr>
          <w:rFonts w:ascii="Times New Roman" w:hAnsi="Times New Roman"/>
          <w:sz w:val="24"/>
          <w:szCs w:val="24"/>
          <w:lang w:val="sr-Cyrl-CS"/>
        </w:rPr>
        <w:t>своју пореску обавезу и</w:t>
      </w:r>
      <w:r w:rsidR="001E3C03">
        <w:rPr>
          <w:rFonts w:ascii="Times New Roman" w:hAnsi="Times New Roman"/>
          <w:sz w:val="24"/>
          <w:szCs w:val="24"/>
          <w:lang w:val="sr-Cyrl-CS"/>
        </w:rPr>
        <w:t xml:space="preserve"> све је то део рационалне </w:t>
      </w:r>
      <w:r w:rsidR="00267FBA">
        <w:rPr>
          <w:rFonts w:ascii="Times New Roman" w:hAnsi="Times New Roman"/>
          <w:sz w:val="24"/>
          <w:szCs w:val="24"/>
          <w:lang w:val="sr-Cyrl-CS"/>
        </w:rPr>
        <w:t xml:space="preserve">пословне политике и финансијског планирања. </w:t>
      </w:r>
    </w:p>
    <w:p w:rsidR="00487715" w:rsidRDefault="00267FBA" w:rsidP="00F415D6">
      <w:pPr>
        <w:ind w:firstLine="708"/>
        <w:jc w:val="both"/>
        <w:rPr>
          <w:rFonts w:ascii="Times New Roman" w:hAnsi="Times New Roman"/>
          <w:sz w:val="24"/>
          <w:szCs w:val="24"/>
          <w:lang w:val="sr-Cyrl-CS"/>
        </w:rPr>
      </w:pPr>
      <w:r>
        <w:rPr>
          <w:rFonts w:ascii="Times New Roman" w:hAnsi="Times New Roman"/>
          <w:sz w:val="24"/>
          <w:szCs w:val="24"/>
          <w:lang w:val="sr-Cyrl-CS"/>
        </w:rPr>
        <w:t>Управо због различитих могућности које различите методе обрачуна амортизације пружају</w:t>
      </w:r>
      <w:r w:rsidR="0073527E">
        <w:rPr>
          <w:rFonts w:ascii="Times New Roman" w:hAnsi="Times New Roman"/>
          <w:sz w:val="24"/>
          <w:szCs w:val="24"/>
          <w:lang w:val="sr-Cyrl-CS"/>
        </w:rPr>
        <w:t xml:space="preserve"> у односу на опорезиву добит, а самим тим и у односу на пореску обавезу</w:t>
      </w:r>
      <w:r>
        <w:rPr>
          <w:rFonts w:ascii="Times New Roman" w:hAnsi="Times New Roman"/>
          <w:sz w:val="24"/>
          <w:szCs w:val="24"/>
          <w:lang w:val="sr-Cyrl-CS"/>
        </w:rPr>
        <w:t xml:space="preserve">, према позитивном законодавству ограничена је примена амортизације у циљу очувања пореске основице и рестриктивна је примена метода обрачуна амортизације. Функционална метода није дозвољена, а као што је наведено, за стална средства која су разврстана у групу </w:t>
      </w:r>
      <w:r>
        <w:rPr>
          <w:rFonts w:ascii="Times New Roman" w:hAnsi="Times New Roman"/>
          <w:sz w:val="24"/>
          <w:szCs w:val="24"/>
          <w:lang w:val="en-US"/>
        </w:rPr>
        <w:t xml:space="preserve">I </w:t>
      </w:r>
      <w:r>
        <w:rPr>
          <w:rFonts w:ascii="Times New Roman" w:hAnsi="Times New Roman"/>
          <w:sz w:val="24"/>
          <w:szCs w:val="24"/>
          <w:lang w:val="sr-Cyrl-CS"/>
        </w:rPr>
        <w:t xml:space="preserve">примењује се пропорционална метода, док се за групе </w:t>
      </w:r>
      <w:r>
        <w:rPr>
          <w:rFonts w:ascii="Times New Roman" w:hAnsi="Times New Roman"/>
          <w:sz w:val="24"/>
          <w:szCs w:val="24"/>
          <w:lang w:val="en-US"/>
        </w:rPr>
        <w:t xml:space="preserve">II-V </w:t>
      </w:r>
      <w:r>
        <w:rPr>
          <w:rFonts w:ascii="Times New Roman" w:hAnsi="Times New Roman"/>
          <w:sz w:val="24"/>
          <w:szCs w:val="24"/>
          <w:lang w:val="sr-Cyrl-CS"/>
        </w:rPr>
        <w:t>примењује дегресивна метода.</w:t>
      </w:r>
      <w:r w:rsidR="0073527E">
        <w:rPr>
          <w:rStyle w:val="FootnoteReference"/>
          <w:rFonts w:ascii="Times New Roman" w:hAnsi="Times New Roman"/>
          <w:sz w:val="24"/>
          <w:szCs w:val="24"/>
          <w:lang w:val="sr-Cyrl-CS"/>
        </w:rPr>
        <w:footnoteReference w:id="299"/>
      </w:r>
    </w:p>
    <w:p w:rsidR="000B3BC5" w:rsidRDefault="000B3BC5" w:rsidP="00F415D6">
      <w:pPr>
        <w:ind w:firstLine="708"/>
        <w:jc w:val="both"/>
        <w:rPr>
          <w:rFonts w:ascii="Times New Roman" w:hAnsi="Times New Roman"/>
          <w:sz w:val="24"/>
          <w:szCs w:val="24"/>
          <w:lang w:val="sr-Cyrl-CS"/>
        </w:rPr>
      </w:pPr>
    </w:p>
    <w:p w:rsidR="005044EC" w:rsidRPr="005044EC" w:rsidRDefault="005044EC" w:rsidP="00F415D6">
      <w:pPr>
        <w:ind w:firstLine="708"/>
        <w:jc w:val="both"/>
        <w:rPr>
          <w:rFonts w:ascii="Times New Roman" w:hAnsi="Times New Roman"/>
          <w:sz w:val="24"/>
          <w:szCs w:val="24"/>
          <w:lang w:val="sr-Cyrl-CS"/>
        </w:rPr>
      </w:pPr>
    </w:p>
    <w:p w:rsidR="005044EC" w:rsidRDefault="009B0BBF" w:rsidP="005044EC">
      <w:pPr>
        <w:ind w:firstLine="708"/>
        <w:jc w:val="center"/>
        <w:rPr>
          <w:rFonts w:ascii="Times New Roman" w:hAnsi="Times New Roman"/>
          <w:b/>
          <w:sz w:val="24"/>
          <w:szCs w:val="24"/>
          <w:lang w:val="sr-Cyrl-CS"/>
        </w:rPr>
      </w:pPr>
      <w:r>
        <w:rPr>
          <w:rFonts w:ascii="Times New Roman" w:hAnsi="Times New Roman"/>
          <w:b/>
          <w:sz w:val="24"/>
          <w:szCs w:val="24"/>
          <w:lang w:val="sr-Cyrl-CS"/>
        </w:rPr>
        <w:t xml:space="preserve">5.1.9. </w:t>
      </w:r>
      <w:r w:rsidR="000B3BC5">
        <w:rPr>
          <w:rFonts w:ascii="Times New Roman" w:hAnsi="Times New Roman"/>
          <w:b/>
          <w:sz w:val="24"/>
          <w:szCs w:val="24"/>
          <w:lang w:val="sr-Cyrl-CS"/>
        </w:rPr>
        <w:t>Утицај различитих метода обрачуна трошкова</w:t>
      </w:r>
      <w:r w:rsidR="00CB580C">
        <w:rPr>
          <w:rFonts w:ascii="Times New Roman" w:hAnsi="Times New Roman"/>
          <w:b/>
          <w:sz w:val="24"/>
          <w:szCs w:val="24"/>
          <w:lang w:val="sr-Cyrl-CS"/>
        </w:rPr>
        <w:t xml:space="preserve"> </w:t>
      </w:r>
      <w:r w:rsidR="000B3BC5">
        <w:rPr>
          <w:rFonts w:ascii="Times New Roman" w:hAnsi="Times New Roman"/>
          <w:b/>
          <w:sz w:val="24"/>
          <w:szCs w:val="24"/>
          <w:lang w:val="sr-Cyrl-CS"/>
        </w:rPr>
        <w:t>залиха на избегавање пореза на добит предузећа</w:t>
      </w:r>
    </w:p>
    <w:p w:rsidR="005044EC" w:rsidRDefault="005044EC" w:rsidP="005044EC">
      <w:pPr>
        <w:ind w:firstLine="708"/>
        <w:jc w:val="center"/>
        <w:rPr>
          <w:rFonts w:ascii="Times New Roman" w:hAnsi="Times New Roman"/>
          <w:b/>
          <w:sz w:val="24"/>
          <w:szCs w:val="24"/>
          <w:lang w:val="sr-Cyrl-CS"/>
        </w:rPr>
      </w:pPr>
    </w:p>
    <w:p w:rsidR="000B3BC5" w:rsidRDefault="000B3BC5" w:rsidP="00CB580C">
      <w:pPr>
        <w:ind w:firstLine="708"/>
        <w:jc w:val="both"/>
        <w:rPr>
          <w:rFonts w:ascii="Times New Roman" w:hAnsi="Times New Roman"/>
          <w:b/>
          <w:sz w:val="24"/>
          <w:szCs w:val="24"/>
          <w:lang w:val="sr-Cyrl-CS"/>
        </w:rPr>
      </w:pPr>
    </w:p>
    <w:p w:rsidR="001929C7" w:rsidRPr="001929C7" w:rsidRDefault="00D7664B" w:rsidP="00272D6D">
      <w:pPr>
        <w:ind w:firstLine="708"/>
        <w:jc w:val="both"/>
        <w:rPr>
          <w:rFonts w:ascii="Times New Roman" w:hAnsi="Times New Roman"/>
          <w:sz w:val="24"/>
          <w:szCs w:val="24"/>
          <w:lang w:val="sr-Cyrl-CS"/>
        </w:rPr>
      </w:pPr>
      <w:r w:rsidRPr="00D7664B">
        <w:rPr>
          <w:rFonts w:ascii="Times New Roman" w:hAnsi="Times New Roman"/>
          <w:sz w:val="24"/>
          <w:szCs w:val="24"/>
          <w:lang w:val="sr-Cyrl-CS"/>
        </w:rPr>
        <w:t xml:space="preserve">Методе </w:t>
      </w:r>
      <w:r>
        <w:rPr>
          <w:rFonts w:ascii="Times New Roman" w:hAnsi="Times New Roman"/>
          <w:sz w:val="24"/>
          <w:szCs w:val="24"/>
          <w:lang w:val="sr-Cyrl-CS"/>
        </w:rPr>
        <w:t xml:space="preserve">обрачуна залиха, као и њихово повећање или смањивање утичу на </w:t>
      </w:r>
      <w:r w:rsidR="00D71799">
        <w:rPr>
          <w:rFonts w:ascii="Times New Roman" w:hAnsi="Times New Roman"/>
          <w:sz w:val="24"/>
          <w:szCs w:val="24"/>
          <w:lang w:val="sr-Cyrl-CS"/>
        </w:rPr>
        <w:t>пословну, а самим</w:t>
      </w:r>
      <w:r w:rsidR="0034248D">
        <w:rPr>
          <w:rFonts w:ascii="Times New Roman" w:hAnsi="Times New Roman"/>
          <w:sz w:val="24"/>
          <w:szCs w:val="24"/>
          <w:lang w:val="sr-Cyrl-CS"/>
        </w:rPr>
        <w:t xml:space="preserve"> тим и на </w:t>
      </w:r>
      <w:r w:rsidR="000B3BC5">
        <w:rPr>
          <w:rFonts w:ascii="Times New Roman" w:hAnsi="Times New Roman"/>
          <w:sz w:val="24"/>
          <w:szCs w:val="24"/>
          <w:lang w:val="sr-Cyrl-CS"/>
        </w:rPr>
        <w:t>висину опо</w:t>
      </w:r>
      <w:r w:rsidR="00FE3795">
        <w:rPr>
          <w:rFonts w:ascii="Times New Roman" w:hAnsi="Times New Roman"/>
          <w:sz w:val="24"/>
          <w:szCs w:val="24"/>
          <w:lang w:val="sr-Cyrl-CS"/>
        </w:rPr>
        <w:t>резиве</w:t>
      </w:r>
      <w:r w:rsidR="0034248D">
        <w:rPr>
          <w:rFonts w:ascii="Times New Roman" w:hAnsi="Times New Roman"/>
          <w:sz w:val="24"/>
          <w:szCs w:val="24"/>
          <w:lang w:val="sr-Cyrl-CS"/>
        </w:rPr>
        <w:t xml:space="preserve"> добит</w:t>
      </w:r>
      <w:r w:rsidR="00FE3795">
        <w:rPr>
          <w:rFonts w:ascii="Times New Roman" w:hAnsi="Times New Roman"/>
          <w:sz w:val="24"/>
          <w:szCs w:val="24"/>
          <w:lang w:val="sr-Cyrl-CS"/>
        </w:rPr>
        <w:t>и</w:t>
      </w:r>
      <w:r w:rsidR="001929C7">
        <w:rPr>
          <w:rFonts w:ascii="Times New Roman" w:hAnsi="Times New Roman"/>
          <w:sz w:val="24"/>
          <w:szCs w:val="24"/>
          <w:lang w:val="sr-Cyrl-CS"/>
        </w:rPr>
        <w:t>. Према позитивним прописима посебна пажња је посвећена следећим за</w:t>
      </w:r>
      <w:r w:rsidR="00D71799">
        <w:rPr>
          <w:rFonts w:ascii="Times New Roman" w:hAnsi="Times New Roman"/>
          <w:sz w:val="24"/>
          <w:szCs w:val="24"/>
          <w:lang w:val="sr-Cyrl-CS"/>
        </w:rPr>
        <w:t>лихама (класа 1 контног оквира): н</w:t>
      </w:r>
      <w:r w:rsidR="001929C7">
        <w:rPr>
          <w:rFonts w:ascii="Times New Roman" w:hAnsi="Times New Roman"/>
          <w:sz w:val="24"/>
          <w:szCs w:val="24"/>
          <w:lang w:val="sr-Cyrl-CS"/>
        </w:rPr>
        <w:t xml:space="preserve">едовршена производња и готови производи </w:t>
      </w:r>
      <w:r w:rsidR="00272D6D">
        <w:rPr>
          <w:rFonts w:ascii="Times New Roman" w:hAnsi="Times New Roman"/>
          <w:sz w:val="24"/>
          <w:szCs w:val="24"/>
          <w:lang w:val="sr-Cyrl-CS"/>
        </w:rPr>
        <w:t xml:space="preserve">и </w:t>
      </w:r>
      <w:r w:rsidR="001929C7">
        <w:rPr>
          <w:rFonts w:ascii="Times New Roman" w:hAnsi="Times New Roman"/>
          <w:sz w:val="24"/>
          <w:szCs w:val="24"/>
          <w:lang w:val="sr-Cyrl-CS"/>
        </w:rPr>
        <w:t>материјал и роба.</w:t>
      </w:r>
    </w:p>
    <w:p w:rsidR="00430326" w:rsidRPr="00797E29" w:rsidRDefault="0034248D" w:rsidP="00797E29">
      <w:pPr>
        <w:ind w:firstLine="708"/>
        <w:jc w:val="both"/>
        <w:rPr>
          <w:rFonts w:ascii="Times New Roman" w:hAnsi="Times New Roman"/>
          <w:b/>
          <w:sz w:val="24"/>
          <w:szCs w:val="24"/>
          <w:lang w:val="sr-Cyrl-CS"/>
        </w:rPr>
      </w:pPr>
      <w:r w:rsidRPr="00797E29">
        <w:rPr>
          <w:rFonts w:ascii="Times New Roman" w:hAnsi="Times New Roman"/>
          <w:sz w:val="24"/>
          <w:szCs w:val="24"/>
          <w:lang w:val="sr-Cyrl-CS"/>
        </w:rPr>
        <w:t xml:space="preserve">Вредност залиха зависи и од примене методе процењивања излаза залиха, при чему </w:t>
      </w:r>
      <w:r w:rsidR="000B3BC5" w:rsidRPr="00797E29">
        <w:rPr>
          <w:rFonts w:ascii="Times New Roman" w:hAnsi="Times New Roman"/>
          <w:sz w:val="24"/>
          <w:szCs w:val="24"/>
          <w:lang w:val="sr-Cyrl-CS"/>
        </w:rPr>
        <w:t>в</w:t>
      </w:r>
      <w:r w:rsidR="000B3BC5" w:rsidRPr="00797E29">
        <w:rPr>
          <w:rFonts w:ascii="Times New Roman" w:hAnsi="Times New Roman"/>
          <w:sz w:val="24"/>
          <w:szCs w:val="24"/>
        </w:rPr>
        <w:t>редност</w:t>
      </w:r>
      <w:r w:rsidRPr="00797E29">
        <w:rPr>
          <w:rFonts w:ascii="Times New Roman" w:hAnsi="Times New Roman"/>
          <w:sz w:val="24"/>
          <w:szCs w:val="24"/>
        </w:rPr>
        <w:t xml:space="preserve"> </w:t>
      </w:r>
      <w:r w:rsidR="000B3BC5" w:rsidRPr="00797E29">
        <w:rPr>
          <w:rFonts w:ascii="Times New Roman" w:hAnsi="Times New Roman"/>
          <w:sz w:val="24"/>
          <w:szCs w:val="24"/>
        </w:rPr>
        <w:t>залиха</w:t>
      </w:r>
      <w:r w:rsidRPr="00797E29">
        <w:rPr>
          <w:rFonts w:ascii="Times New Roman" w:hAnsi="Times New Roman"/>
          <w:sz w:val="24"/>
          <w:szCs w:val="24"/>
        </w:rPr>
        <w:t xml:space="preserve"> </w:t>
      </w:r>
      <w:r w:rsidR="000B3BC5" w:rsidRPr="00797E29">
        <w:rPr>
          <w:rFonts w:ascii="Times New Roman" w:hAnsi="Times New Roman"/>
          <w:sz w:val="24"/>
          <w:szCs w:val="24"/>
        </w:rPr>
        <w:t>не</w:t>
      </w:r>
      <w:r w:rsidRPr="00797E29">
        <w:rPr>
          <w:rFonts w:ascii="Times New Roman" w:hAnsi="Times New Roman"/>
          <w:sz w:val="24"/>
          <w:szCs w:val="24"/>
        </w:rPr>
        <w:t xml:space="preserve"> </w:t>
      </w:r>
      <w:r w:rsidR="000B3BC5" w:rsidRPr="00797E29">
        <w:rPr>
          <w:rFonts w:ascii="Times New Roman" w:hAnsi="Times New Roman"/>
          <w:sz w:val="24"/>
          <w:szCs w:val="24"/>
        </w:rPr>
        <w:t>може</w:t>
      </w:r>
      <w:r w:rsidRPr="00797E29">
        <w:rPr>
          <w:rFonts w:ascii="Times New Roman" w:hAnsi="Times New Roman"/>
          <w:sz w:val="24"/>
          <w:szCs w:val="24"/>
        </w:rPr>
        <w:t xml:space="preserve"> </w:t>
      </w:r>
      <w:r w:rsidR="000B3BC5" w:rsidRPr="00797E29">
        <w:rPr>
          <w:rFonts w:ascii="Times New Roman" w:hAnsi="Times New Roman"/>
          <w:sz w:val="24"/>
          <w:szCs w:val="24"/>
        </w:rPr>
        <w:t>бити</w:t>
      </w:r>
      <w:r w:rsidRPr="00797E29">
        <w:rPr>
          <w:rFonts w:ascii="Times New Roman" w:hAnsi="Times New Roman"/>
          <w:sz w:val="24"/>
          <w:szCs w:val="24"/>
        </w:rPr>
        <w:t xml:space="preserve"> </w:t>
      </w:r>
      <w:r w:rsidR="000B3BC5" w:rsidRPr="00797E29">
        <w:rPr>
          <w:rFonts w:ascii="Times New Roman" w:hAnsi="Times New Roman"/>
          <w:sz w:val="24"/>
          <w:szCs w:val="24"/>
        </w:rPr>
        <w:t>већа</w:t>
      </w:r>
      <w:r w:rsidRPr="00797E29">
        <w:rPr>
          <w:rFonts w:ascii="Times New Roman" w:hAnsi="Times New Roman"/>
          <w:sz w:val="24"/>
          <w:szCs w:val="24"/>
        </w:rPr>
        <w:t xml:space="preserve"> </w:t>
      </w:r>
      <w:r w:rsidR="000B3BC5" w:rsidRPr="00797E29">
        <w:rPr>
          <w:rFonts w:ascii="Times New Roman" w:hAnsi="Times New Roman"/>
          <w:sz w:val="24"/>
          <w:szCs w:val="24"/>
        </w:rPr>
        <w:t>од</w:t>
      </w:r>
      <w:r w:rsidRPr="00797E29">
        <w:rPr>
          <w:rFonts w:ascii="Times New Roman" w:hAnsi="Times New Roman"/>
          <w:sz w:val="24"/>
          <w:szCs w:val="24"/>
        </w:rPr>
        <w:t xml:space="preserve"> </w:t>
      </w:r>
      <w:r w:rsidR="000B3BC5" w:rsidRPr="00797E29">
        <w:rPr>
          <w:rFonts w:ascii="Times New Roman" w:hAnsi="Times New Roman"/>
          <w:sz w:val="24"/>
          <w:szCs w:val="24"/>
        </w:rPr>
        <w:t>њихове</w:t>
      </w:r>
      <w:r w:rsidRPr="00797E29">
        <w:rPr>
          <w:rFonts w:ascii="Times New Roman" w:hAnsi="Times New Roman"/>
          <w:sz w:val="24"/>
          <w:szCs w:val="24"/>
        </w:rPr>
        <w:t xml:space="preserve"> </w:t>
      </w:r>
      <w:r w:rsidR="000B3BC5" w:rsidRPr="00797E29">
        <w:rPr>
          <w:rFonts w:ascii="Times New Roman" w:hAnsi="Times New Roman"/>
          <w:sz w:val="24"/>
          <w:szCs w:val="24"/>
        </w:rPr>
        <w:t>продајне</w:t>
      </w:r>
      <w:r w:rsidRPr="00797E29">
        <w:rPr>
          <w:rFonts w:ascii="Times New Roman" w:hAnsi="Times New Roman"/>
          <w:sz w:val="24"/>
          <w:szCs w:val="24"/>
        </w:rPr>
        <w:t xml:space="preserve"> </w:t>
      </w:r>
      <w:r w:rsidR="000B3BC5" w:rsidRPr="00797E29">
        <w:rPr>
          <w:rFonts w:ascii="Times New Roman" w:hAnsi="Times New Roman"/>
          <w:sz w:val="24"/>
          <w:szCs w:val="24"/>
        </w:rPr>
        <w:t>вредности</w:t>
      </w:r>
      <w:r w:rsidRPr="00797E29">
        <w:rPr>
          <w:rFonts w:ascii="Times New Roman" w:hAnsi="Times New Roman"/>
          <w:sz w:val="24"/>
          <w:szCs w:val="24"/>
        </w:rPr>
        <w:t xml:space="preserve"> </w:t>
      </w:r>
      <w:r w:rsidR="000B3BC5" w:rsidRPr="00797E29">
        <w:rPr>
          <w:rFonts w:ascii="Times New Roman" w:hAnsi="Times New Roman"/>
          <w:sz w:val="24"/>
          <w:szCs w:val="24"/>
        </w:rPr>
        <w:t>на</w:t>
      </w:r>
      <w:r w:rsidRPr="00797E29">
        <w:rPr>
          <w:rFonts w:ascii="Times New Roman" w:hAnsi="Times New Roman"/>
          <w:sz w:val="24"/>
          <w:szCs w:val="24"/>
        </w:rPr>
        <w:t xml:space="preserve"> </w:t>
      </w:r>
      <w:r w:rsidR="000B3BC5" w:rsidRPr="00797E29">
        <w:rPr>
          <w:rFonts w:ascii="Times New Roman" w:hAnsi="Times New Roman"/>
          <w:sz w:val="24"/>
          <w:szCs w:val="24"/>
        </w:rPr>
        <w:t>дан</w:t>
      </w:r>
      <w:r w:rsidRPr="00797E29">
        <w:rPr>
          <w:rFonts w:ascii="Times New Roman" w:hAnsi="Times New Roman"/>
          <w:sz w:val="24"/>
          <w:szCs w:val="24"/>
        </w:rPr>
        <w:t xml:space="preserve"> </w:t>
      </w:r>
      <w:r w:rsidR="000B3BC5" w:rsidRPr="00797E29">
        <w:rPr>
          <w:rFonts w:ascii="Times New Roman" w:hAnsi="Times New Roman"/>
          <w:sz w:val="24"/>
          <w:szCs w:val="24"/>
        </w:rPr>
        <w:t>подношења</w:t>
      </w:r>
      <w:r w:rsidRPr="00797E29">
        <w:rPr>
          <w:rFonts w:ascii="Times New Roman" w:hAnsi="Times New Roman"/>
          <w:sz w:val="24"/>
          <w:szCs w:val="24"/>
        </w:rPr>
        <w:t xml:space="preserve"> </w:t>
      </w:r>
      <w:r w:rsidR="000B3BC5" w:rsidRPr="00797E29">
        <w:rPr>
          <w:rFonts w:ascii="Times New Roman" w:hAnsi="Times New Roman"/>
          <w:sz w:val="24"/>
          <w:szCs w:val="24"/>
        </w:rPr>
        <w:t>пореског</w:t>
      </w:r>
      <w:r w:rsidRPr="00797E29">
        <w:rPr>
          <w:rFonts w:ascii="Times New Roman" w:hAnsi="Times New Roman"/>
          <w:sz w:val="24"/>
          <w:szCs w:val="24"/>
        </w:rPr>
        <w:t xml:space="preserve"> </w:t>
      </w:r>
      <w:r w:rsidR="000B3BC5" w:rsidRPr="00797E29">
        <w:rPr>
          <w:rFonts w:ascii="Times New Roman" w:hAnsi="Times New Roman"/>
          <w:sz w:val="24"/>
          <w:szCs w:val="24"/>
        </w:rPr>
        <w:t>биланса</w:t>
      </w:r>
      <w:r w:rsidR="00430326" w:rsidRPr="00797E29">
        <w:rPr>
          <w:rFonts w:ascii="Times New Roman" w:hAnsi="Times New Roman"/>
          <w:sz w:val="24"/>
          <w:szCs w:val="24"/>
          <w:lang w:val="sr-Cyrl-CS"/>
        </w:rPr>
        <w:t>.</w:t>
      </w:r>
    </w:p>
    <w:p w:rsidR="00430326" w:rsidRPr="00797E29" w:rsidRDefault="00416EE7" w:rsidP="00797E29">
      <w:pPr>
        <w:ind w:firstLine="360"/>
        <w:jc w:val="both"/>
        <w:rPr>
          <w:rFonts w:ascii="Times New Roman" w:hAnsi="Times New Roman"/>
          <w:sz w:val="24"/>
          <w:szCs w:val="24"/>
          <w:lang w:val="sr-Cyrl-CS"/>
        </w:rPr>
      </w:pPr>
      <w:r w:rsidRPr="00797E29">
        <w:rPr>
          <w:rFonts w:ascii="Times New Roman" w:hAnsi="Times New Roman"/>
          <w:sz w:val="24"/>
          <w:szCs w:val="24"/>
          <w:lang w:val="sr-Cyrl-CS"/>
        </w:rPr>
        <w:t>„</w:t>
      </w:r>
      <w:r w:rsidR="00430326" w:rsidRPr="00797E29">
        <w:rPr>
          <w:rFonts w:ascii="Times New Roman" w:hAnsi="Times New Roman"/>
          <w:sz w:val="24"/>
          <w:szCs w:val="24"/>
          <w:lang w:val="sr-Cyrl-CS"/>
        </w:rPr>
        <w:t>Ако производњу не прате већа продаја и приходи, него повећање залиха, то даје за право правном лицу да умањи расходе текућег периода и остав</w:t>
      </w:r>
      <w:r w:rsidR="00272D6D" w:rsidRPr="00797E29">
        <w:rPr>
          <w:rFonts w:ascii="Times New Roman" w:hAnsi="Times New Roman"/>
          <w:sz w:val="24"/>
          <w:szCs w:val="24"/>
          <w:lang w:val="sr-Cyrl-CS"/>
        </w:rPr>
        <w:t>и их за следећи период. У билан</w:t>
      </w:r>
      <w:r w:rsidR="00430326" w:rsidRPr="00797E29">
        <w:rPr>
          <w:rFonts w:ascii="Times New Roman" w:hAnsi="Times New Roman"/>
          <w:sz w:val="24"/>
          <w:szCs w:val="24"/>
          <w:lang w:val="sr-Cyrl-CS"/>
        </w:rPr>
        <w:t xml:space="preserve">су успеха се, математички представљено, исти ефекат постиже увећањем прихода. Али и обратно, продаја се може повећати смањивањем залиха, у којем случају постоје приходи без текућих расхода. Тада се расходима текућег периода мора додати </w:t>
      </w:r>
      <w:r w:rsidR="00272D6D" w:rsidRPr="00797E29">
        <w:rPr>
          <w:rFonts w:ascii="Times New Roman" w:hAnsi="Times New Roman"/>
          <w:sz w:val="24"/>
          <w:szCs w:val="24"/>
          <w:lang w:val="sr-Cyrl-CS"/>
        </w:rPr>
        <w:t xml:space="preserve">то </w:t>
      </w:r>
      <w:r w:rsidR="00430326" w:rsidRPr="00797E29">
        <w:rPr>
          <w:rFonts w:ascii="Times New Roman" w:hAnsi="Times New Roman"/>
          <w:sz w:val="24"/>
          <w:szCs w:val="24"/>
          <w:lang w:val="sr-Cyrl-CS"/>
        </w:rPr>
        <w:t>смањење залиха, чиме се узимају расходи из периода ствар</w:t>
      </w:r>
      <w:r w:rsidR="000B3BC5" w:rsidRPr="00797E29">
        <w:rPr>
          <w:rFonts w:ascii="Times New Roman" w:hAnsi="Times New Roman"/>
          <w:sz w:val="24"/>
          <w:szCs w:val="24"/>
          <w:lang w:val="sr-Cyrl-CS"/>
        </w:rPr>
        <w:t>ања залиха. У билансу успеха се</w:t>
      </w:r>
      <w:r w:rsidR="00430326" w:rsidRPr="00797E29">
        <w:rPr>
          <w:rFonts w:ascii="Times New Roman" w:hAnsi="Times New Roman"/>
          <w:sz w:val="24"/>
          <w:szCs w:val="24"/>
          <w:lang w:val="sr-Cyrl-CS"/>
        </w:rPr>
        <w:t>, математички представљено, исти ефекат постиже смањивањем прихода.</w:t>
      </w:r>
      <w:r w:rsidRPr="00797E29">
        <w:rPr>
          <w:rFonts w:ascii="Times New Roman" w:hAnsi="Times New Roman"/>
          <w:sz w:val="24"/>
          <w:szCs w:val="24"/>
          <w:lang w:val="sr-Cyrl-CS"/>
        </w:rPr>
        <w:t>“</w:t>
      </w:r>
      <w:r w:rsidR="00430326" w:rsidRPr="00797E29">
        <w:rPr>
          <w:rStyle w:val="FootnoteReference"/>
          <w:rFonts w:ascii="Times New Roman" w:hAnsi="Times New Roman"/>
          <w:color w:val="000000"/>
          <w:sz w:val="24"/>
          <w:szCs w:val="24"/>
          <w:lang w:val="sr-Cyrl-CS"/>
        </w:rPr>
        <w:footnoteReference w:id="300"/>
      </w:r>
      <w:r w:rsidR="000B3BC5" w:rsidRPr="00797E29">
        <w:rPr>
          <w:rFonts w:ascii="Times New Roman" w:hAnsi="Times New Roman"/>
          <w:sz w:val="24"/>
          <w:szCs w:val="24"/>
          <w:lang w:val="sr-Cyrl-CS"/>
        </w:rPr>
        <w:t xml:space="preserve"> </w:t>
      </w:r>
    </w:p>
    <w:p w:rsidR="00430326" w:rsidRPr="000B3BC5" w:rsidRDefault="00430326" w:rsidP="000B3BC5">
      <w:pPr>
        <w:pStyle w:val="normal0"/>
        <w:shd w:val="clear" w:color="auto" w:fill="FFFFFF"/>
        <w:spacing w:before="48" w:beforeAutospacing="0" w:after="48" w:afterAutospacing="0"/>
        <w:jc w:val="both"/>
        <w:rPr>
          <w:color w:val="000000"/>
          <w:lang w:val="sr-Cyrl-CS"/>
        </w:rPr>
      </w:pPr>
    </w:p>
    <w:p w:rsidR="008A7AC2" w:rsidRPr="00797E29" w:rsidRDefault="000B3BC5" w:rsidP="00797E29">
      <w:pPr>
        <w:ind w:firstLine="360"/>
        <w:jc w:val="both"/>
        <w:rPr>
          <w:rFonts w:ascii="Times New Roman" w:hAnsi="Times New Roman"/>
          <w:sz w:val="24"/>
          <w:szCs w:val="24"/>
          <w:lang w:val="sr-Cyrl-CS"/>
        </w:rPr>
      </w:pPr>
      <w:r w:rsidRPr="00797E29">
        <w:rPr>
          <w:rFonts w:ascii="Times New Roman" w:hAnsi="Times New Roman"/>
          <w:sz w:val="24"/>
          <w:szCs w:val="24"/>
        </w:rPr>
        <w:lastRenderedPageBreak/>
        <w:t>У</w:t>
      </w:r>
      <w:r w:rsidR="001929C7" w:rsidRPr="00797E29">
        <w:rPr>
          <w:rFonts w:ascii="Times New Roman" w:hAnsi="Times New Roman"/>
          <w:sz w:val="24"/>
          <w:szCs w:val="24"/>
        </w:rPr>
        <w:t xml:space="preserve"> </w:t>
      </w:r>
      <w:r w:rsidRPr="00797E29">
        <w:rPr>
          <w:rFonts w:ascii="Times New Roman" w:hAnsi="Times New Roman"/>
          <w:sz w:val="24"/>
          <w:szCs w:val="24"/>
        </w:rPr>
        <w:t>вредност</w:t>
      </w:r>
      <w:r w:rsidR="001929C7" w:rsidRPr="00797E29">
        <w:rPr>
          <w:rFonts w:ascii="Times New Roman" w:hAnsi="Times New Roman"/>
          <w:sz w:val="24"/>
          <w:szCs w:val="24"/>
        </w:rPr>
        <w:t xml:space="preserve"> </w:t>
      </w:r>
      <w:r w:rsidRPr="00797E29">
        <w:rPr>
          <w:rFonts w:ascii="Times New Roman" w:hAnsi="Times New Roman"/>
          <w:sz w:val="24"/>
          <w:szCs w:val="24"/>
        </w:rPr>
        <w:t>залиха</w:t>
      </w:r>
      <w:r w:rsidR="001929C7" w:rsidRPr="00797E29">
        <w:rPr>
          <w:rFonts w:ascii="Times New Roman" w:hAnsi="Times New Roman"/>
          <w:sz w:val="24"/>
          <w:szCs w:val="24"/>
        </w:rPr>
        <w:t xml:space="preserve"> </w:t>
      </w:r>
      <w:r w:rsidRPr="00797E29">
        <w:rPr>
          <w:rFonts w:ascii="Times New Roman" w:hAnsi="Times New Roman"/>
          <w:sz w:val="24"/>
          <w:szCs w:val="24"/>
        </w:rPr>
        <w:t>недовршене</w:t>
      </w:r>
      <w:r w:rsidR="001929C7" w:rsidRPr="00797E29">
        <w:rPr>
          <w:rFonts w:ascii="Times New Roman" w:hAnsi="Times New Roman"/>
          <w:sz w:val="24"/>
          <w:szCs w:val="24"/>
        </w:rPr>
        <w:t xml:space="preserve"> </w:t>
      </w:r>
      <w:r w:rsidRPr="00797E29">
        <w:rPr>
          <w:rFonts w:ascii="Times New Roman" w:hAnsi="Times New Roman"/>
          <w:sz w:val="24"/>
          <w:szCs w:val="24"/>
        </w:rPr>
        <w:t>производње</w:t>
      </w:r>
      <w:r w:rsidR="001929C7" w:rsidRPr="00797E29">
        <w:rPr>
          <w:rFonts w:ascii="Times New Roman" w:hAnsi="Times New Roman"/>
          <w:sz w:val="24"/>
          <w:szCs w:val="24"/>
        </w:rPr>
        <w:t xml:space="preserve">, </w:t>
      </w:r>
      <w:r w:rsidRPr="00797E29">
        <w:rPr>
          <w:rFonts w:ascii="Times New Roman" w:hAnsi="Times New Roman"/>
          <w:sz w:val="24"/>
          <w:szCs w:val="24"/>
        </w:rPr>
        <w:t>полупроизвода</w:t>
      </w:r>
      <w:r w:rsidR="001929C7" w:rsidRPr="00797E29">
        <w:rPr>
          <w:rFonts w:ascii="Times New Roman" w:hAnsi="Times New Roman"/>
          <w:sz w:val="24"/>
          <w:szCs w:val="24"/>
        </w:rPr>
        <w:t xml:space="preserve"> </w:t>
      </w:r>
      <w:r w:rsidRPr="00797E29">
        <w:rPr>
          <w:rFonts w:ascii="Times New Roman" w:hAnsi="Times New Roman"/>
          <w:sz w:val="24"/>
          <w:szCs w:val="24"/>
        </w:rPr>
        <w:t>и</w:t>
      </w:r>
      <w:r w:rsidR="001929C7" w:rsidRPr="00797E29">
        <w:rPr>
          <w:rFonts w:ascii="Times New Roman" w:hAnsi="Times New Roman"/>
          <w:sz w:val="24"/>
          <w:szCs w:val="24"/>
        </w:rPr>
        <w:t xml:space="preserve"> </w:t>
      </w:r>
      <w:r w:rsidRPr="00797E29">
        <w:rPr>
          <w:rFonts w:ascii="Times New Roman" w:hAnsi="Times New Roman"/>
          <w:sz w:val="24"/>
          <w:szCs w:val="24"/>
        </w:rPr>
        <w:t>готових</w:t>
      </w:r>
      <w:r w:rsidR="001929C7" w:rsidRPr="00797E29">
        <w:rPr>
          <w:rFonts w:ascii="Times New Roman" w:hAnsi="Times New Roman"/>
          <w:sz w:val="24"/>
          <w:szCs w:val="24"/>
        </w:rPr>
        <w:t xml:space="preserve"> </w:t>
      </w:r>
      <w:r w:rsidRPr="00797E29">
        <w:rPr>
          <w:rFonts w:ascii="Times New Roman" w:hAnsi="Times New Roman"/>
          <w:sz w:val="24"/>
          <w:szCs w:val="24"/>
        </w:rPr>
        <w:t>производа</w:t>
      </w:r>
      <w:r w:rsidR="001929C7" w:rsidRPr="00797E29">
        <w:rPr>
          <w:rFonts w:ascii="Times New Roman" w:hAnsi="Times New Roman"/>
          <w:sz w:val="24"/>
          <w:szCs w:val="24"/>
        </w:rPr>
        <w:t xml:space="preserve">, </w:t>
      </w:r>
      <w:r w:rsidRPr="00797E29">
        <w:rPr>
          <w:rFonts w:ascii="Times New Roman" w:hAnsi="Times New Roman"/>
          <w:sz w:val="24"/>
          <w:szCs w:val="24"/>
        </w:rPr>
        <w:t>за</w:t>
      </w:r>
      <w:r w:rsidR="001929C7" w:rsidRPr="00797E29">
        <w:rPr>
          <w:rFonts w:ascii="Times New Roman" w:hAnsi="Times New Roman"/>
          <w:sz w:val="24"/>
          <w:szCs w:val="24"/>
        </w:rPr>
        <w:t xml:space="preserve"> </w:t>
      </w:r>
      <w:r w:rsidRPr="00797E29">
        <w:rPr>
          <w:rFonts w:ascii="Times New Roman" w:hAnsi="Times New Roman"/>
          <w:sz w:val="24"/>
          <w:szCs w:val="24"/>
        </w:rPr>
        <w:t>обрачун</w:t>
      </w:r>
      <w:r w:rsidR="001929C7" w:rsidRPr="00797E29">
        <w:rPr>
          <w:rFonts w:ascii="Times New Roman" w:hAnsi="Times New Roman"/>
          <w:sz w:val="24"/>
          <w:szCs w:val="24"/>
        </w:rPr>
        <w:t xml:space="preserve"> </w:t>
      </w:r>
      <w:r w:rsidRPr="00797E29">
        <w:rPr>
          <w:rFonts w:ascii="Times New Roman" w:hAnsi="Times New Roman"/>
          <w:sz w:val="24"/>
          <w:szCs w:val="24"/>
        </w:rPr>
        <w:t>опорезиве</w:t>
      </w:r>
      <w:r w:rsidR="001929C7" w:rsidRPr="00797E29">
        <w:rPr>
          <w:rFonts w:ascii="Times New Roman" w:hAnsi="Times New Roman"/>
          <w:sz w:val="24"/>
          <w:szCs w:val="24"/>
        </w:rPr>
        <w:t xml:space="preserve"> </w:t>
      </w:r>
      <w:r w:rsidRPr="00797E29">
        <w:rPr>
          <w:rFonts w:ascii="Times New Roman" w:hAnsi="Times New Roman"/>
          <w:sz w:val="24"/>
          <w:szCs w:val="24"/>
        </w:rPr>
        <w:t>добити</w:t>
      </w:r>
      <w:r w:rsidR="001929C7" w:rsidRPr="00797E29">
        <w:rPr>
          <w:rFonts w:ascii="Times New Roman" w:hAnsi="Times New Roman"/>
          <w:sz w:val="24"/>
          <w:szCs w:val="24"/>
        </w:rPr>
        <w:t xml:space="preserve"> </w:t>
      </w:r>
      <w:r w:rsidRPr="00797E29">
        <w:rPr>
          <w:rFonts w:ascii="Times New Roman" w:hAnsi="Times New Roman"/>
          <w:sz w:val="24"/>
          <w:szCs w:val="24"/>
        </w:rPr>
        <w:t>признају</w:t>
      </w:r>
      <w:r w:rsidR="001929C7" w:rsidRPr="00797E29">
        <w:rPr>
          <w:rFonts w:ascii="Times New Roman" w:hAnsi="Times New Roman"/>
          <w:sz w:val="24"/>
          <w:szCs w:val="24"/>
        </w:rPr>
        <w:t xml:space="preserve"> </w:t>
      </w:r>
      <w:r w:rsidRPr="00797E29">
        <w:rPr>
          <w:rFonts w:ascii="Times New Roman" w:hAnsi="Times New Roman"/>
          <w:sz w:val="24"/>
          <w:szCs w:val="24"/>
        </w:rPr>
        <w:t>се</w:t>
      </w:r>
      <w:r w:rsidR="001929C7" w:rsidRPr="00797E29">
        <w:rPr>
          <w:rFonts w:ascii="Times New Roman" w:hAnsi="Times New Roman"/>
          <w:sz w:val="24"/>
          <w:szCs w:val="24"/>
        </w:rPr>
        <w:t xml:space="preserve"> </w:t>
      </w:r>
      <w:r w:rsidRPr="00797E29">
        <w:rPr>
          <w:rFonts w:ascii="Times New Roman" w:hAnsi="Times New Roman"/>
          <w:sz w:val="24"/>
          <w:szCs w:val="24"/>
        </w:rPr>
        <w:t>трошкови</w:t>
      </w:r>
      <w:r w:rsidR="001929C7" w:rsidRPr="00797E29">
        <w:rPr>
          <w:rFonts w:ascii="Times New Roman" w:hAnsi="Times New Roman"/>
          <w:sz w:val="24"/>
          <w:szCs w:val="24"/>
        </w:rPr>
        <w:t xml:space="preserve"> </w:t>
      </w:r>
      <w:r w:rsidRPr="00797E29">
        <w:rPr>
          <w:rFonts w:ascii="Times New Roman" w:hAnsi="Times New Roman"/>
          <w:sz w:val="24"/>
          <w:szCs w:val="24"/>
        </w:rPr>
        <w:t>производње</w:t>
      </w:r>
      <w:r w:rsidR="001929C7" w:rsidRPr="00797E29">
        <w:rPr>
          <w:rFonts w:ascii="Times New Roman" w:hAnsi="Times New Roman"/>
          <w:sz w:val="24"/>
          <w:szCs w:val="24"/>
        </w:rPr>
        <w:t xml:space="preserve"> </w:t>
      </w:r>
      <w:r w:rsidRPr="00797E29">
        <w:rPr>
          <w:rFonts w:ascii="Times New Roman" w:hAnsi="Times New Roman"/>
          <w:sz w:val="24"/>
          <w:szCs w:val="24"/>
        </w:rPr>
        <w:t>у</w:t>
      </w:r>
      <w:r w:rsidR="001929C7" w:rsidRPr="00797E29">
        <w:rPr>
          <w:rFonts w:ascii="Times New Roman" w:hAnsi="Times New Roman"/>
          <w:sz w:val="24"/>
          <w:szCs w:val="24"/>
        </w:rPr>
        <w:t xml:space="preserve"> </w:t>
      </w:r>
      <w:r w:rsidRPr="00797E29">
        <w:rPr>
          <w:rFonts w:ascii="Times New Roman" w:hAnsi="Times New Roman"/>
          <w:sz w:val="24"/>
          <w:szCs w:val="24"/>
        </w:rPr>
        <w:t>складу</w:t>
      </w:r>
      <w:r w:rsidR="001929C7" w:rsidRPr="00797E29">
        <w:rPr>
          <w:rFonts w:ascii="Times New Roman" w:hAnsi="Times New Roman"/>
          <w:sz w:val="24"/>
          <w:szCs w:val="24"/>
        </w:rPr>
        <w:t xml:space="preserve"> </w:t>
      </w:r>
      <w:r w:rsidRPr="00797E29">
        <w:rPr>
          <w:rFonts w:ascii="Times New Roman" w:hAnsi="Times New Roman"/>
          <w:sz w:val="24"/>
          <w:szCs w:val="24"/>
        </w:rPr>
        <w:t>са</w:t>
      </w:r>
      <w:r w:rsidR="001929C7" w:rsidRPr="00797E29">
        <w:rPr>
          <w:rFonts w:ascii="Times New Roman" w:hAnsi="Times New Roman"/>
          <w:sz w:val="24"/>
          <w:szCs w:val="24"/>
        </w:rPr>
        <w:t xml:space="preserve"> </w:t>
      </w:r>
      <w:r w:rsidRPr="00797E29">
        <w:rPr>
          <w:rFonts w:ascii="Times New Roman" w:hAnsi="Times New Roman"/>
          <w:sz w:val="24"/>
          <w:szCs w:val="24"/>
        </w:rPr>
        <w:t>законом</w:t>
      </w:r>
      <w:r w:rsidR="001929C7" w:rsidRPr="00797E29">
        <w:rPr>
          <w:rFonts w:ascii="Times New Roman" w:hAnsi="Times New Roman"/>
          <w:sz w:val="24"/>
          <w:szCs w:val="24"/>
        </w:rPr>
        <w:t xml:space="preserve"> </w:t>
      </w:r>
      <w:r w:rsidRPr="00797E29">
        <w:rPr>
          <w:rFonts w:ascii="Times New Roman" w:hAnsi="Times New Roman"/>
          <w:sz w:val="24"/>
          <w:szCs w:val="24"/>
        </w:rPr>
        <w:t>којим</w:t>
      </w:r>
      <w:r w:rsidR="001929C7" w:rsidRPr="00797E29">
        <w:rPr>
          <w:rFonts w:ascii="Times New Roman" w:hAnsi="Times New Roman"/>
          <w:sz w:val="24"/>
          <w:szCs w:val="24"/>
        </w:rPr>
        <w:t xml:space="preserve"> </w:t>
      </w:r>
      <w:r w:rsidRPr="00797E29">
        <w:rPr>
          <w:rFonts w:ascii="Times New Roman" w:hAnsi="Times New Roman"/>
          <w:sz w:val="24"/>
          <w:szCs w:val="24"/>
        </w:rPr>
        <w:t>се</w:t>
      </w:r>
      <w:r w:rsidR="001929C7" w:rsidRPr="00797E29">
        <w:rPr>
          <w:rFonts w:ascii="Times New Roman" w:hAnsi="Times New Roman"/>
          <w:sz w:val="24"/>
          <w:szCs w:val="24"/>
        </w:rPr>
        <w:t xml:space="preserve"> </w:t>
      </w:r>
      <w:r w:rsidRPr="00797E29">
        <w:rPr>
          <w:rFonts w:ascii="Times New Roman" w:hAnsi="Times New Roman"/>
          <w:sz w:val="24"/>
          <w:szCs w:val="24"/>
        </w:rPr>
        <w:t>уређује</w:t>
      </w:r>
      <w:r w:rsidR="001929C7" w:rsidRPr="00797E29">
        <w:rPr>
          <w:rFonts w:ascii="Times New Roman" w:hAnsi="Times New Roman"/>
          <w:sz w:val="24"/>
          <w:szCs w:val="24"/>
        </w:rPr>
        <w:t xml:space="preserve"> </w:t>
      </w:r>
      <w:r w:rsidRPr="00797E29">
        <w:rPr>
          <w:rFonts w:ascii="Times New Roman" w:hAnsi="Times New Roman"/>
          <w:sz w:val="24"/>
          <w:szCs w:val="24"/>
        </w:rPr>
        <w:t>рачуноводство</w:t>
      </w:r>
      <w:r w:rsidR="001929C7" w:rsidRPr="00797E29">
        <w:rPr>
          <w:rFonts w:ascii="Times New Roman" w:hAnsi="Times New Roman"/>
          <w:sz w:val="24"/>
          <w:szCs w:val="24"/>
        </w:rPr>
        <w:t xml:space="preserve"> </w:t>
      </w:r>
      <w:r w:rsidRPr="00797E29">
        <w:rPr>
          <w:rFonts w:ascii="Times New Roman" w:hAnsi="Times New Roman"/>
          <w:sz w:val="24"/>
          <w:szCs w:val="24"/>
        </w:rPr>
        <w:t>и</w:t>
      </w:r>
      <w:r w:rsidR="001929C7" w:rsidRPr="00797E29">
        <w:rPr>
          <w:rFonts w:ascii="Times New Roman" w:hAnsi="Times New Roman"/>
          <w:sz w:val="24"/>
          <w:szCs w:val="24"/>
        </w:rPr>
        <w:t xml:space="preserve"> </w:t>
      </w:r>
      <w:r w:rsidRPr="00797E29">
        <w:rPr>
          <w:rFonts w:ascii="Times New Roman" w:hAnsi="Times New Roman"/>
          <w:sz w:val="24"/>
          <w:szCs w:val="24"/>
        </w:rPr>
        <w:t>ревизија</w:t>
      </w:r>
      <w:r w:rsidR="001929C7" w:rsidRPr="00797E29">
        <w:rPr>
          <w:rFonts w:ascii="Times New Roman" w:hAnsi="Times New Roman"/>
          <w:sz w:val="24"/>
          <w:szCs w:val="24"/>
        </w:rPr>
        <w:t>.</w:t>
      </w:r>
      <w:r w:rsidR="001929C7" w:rsidRPr="00797E29">
        <w:rPr>
          <w:rFonts w:ascii="Times New Roman" w:hAnsi="Times New Roman"/>
          <w:sz w:val="24"/>
          <w:szCs w:val="24"/>
          <w:lang w:val="sr-Cyrl-CS"/>
        </w:rPr>
        <w:t xml:space="preserve"> </w:t>
      </w:r>
      <w:r w:rsidRPr="00797E29">
        <w:rPr>
          <w:rFonts w:ascii="Times New Roman" w:hAnsi="Times New Roman"/>
          <w:sz w:val="24"/>
          <w:szCs w:val="24"/>
        </w:rPr>
        <w:t>У</w:t>
      </w:r>
      <w:r w:rsidR="001929C7" w:rsidRPr="00797E29">
        <w:rPr>
          <w:rFonts w:ascii="Times New Roman" w:hAnsi="Times New Roman"/>
          <w:sz w:val="24"/>
          <w:szCs w:val="24"/>
        </w:rPr>
        <w:t xml:space="preserve"> </w:t>
      </w:r>
      <w:r w:rsidRPr="00797E29">
        <w:rPr>
          <w:rFonts w:ascii="Times New Roman" w:hAnsi="Times New Roman"/>
          <w:sz w:val="24"/>
          <w:szCs w:val="24"/>
        </w:rPr>
        <w:t>случајевима</w:t>
      </w:r>
      <w:r w:rsidR="001929C7" w:rsidRPr="00797E29">
        <w:rPr>
          <w:rFonts w:ascii="Times New Roman" w:hAnsi="Times New Roman"/>
          <w:sz w:val="24"/>
          <w:szCs w:val="24"/>
        </w:rPr>
        <w:t xml:space="preserve"> </w:t>
      </w:r>
      <w:r w:rsidRPr="00797E29">
        <w:rPr>
          <w:rFonts w:ascii="Times New Roman" w:hAnsi="Times New Roman"/>
          <w:sz w:val="24"/>
          <w:szCs w:val="24"/>
        </w:rPr>
        <w:t>дугог</w:t>
      </w:r>
      <w:r w:rsidR="001929C7" w:rsidRPr="00797E29">
        <w:rPr>
          <w:rFonts w:ascii="Times New Roman" w:hAnsi="Times New Roman"/>
          <w:sz w:val="24"/>
          <w:szCs w:val="24"/>
        </w:rPr>
        <w:t xml:space="preserve"> </w:t>
      </w:r>
      <w:r w:rsidRPr="00797E29">
        <w:rPr>
          <w:rFonts w:ascii="Times New Roman" w:hAnsi="Times New Roman"/>
          <w:sz w:val="24"/>
          <w:szCs w:val="24"/>
        </w:rPr>
        <w:t>производног</w:t>
      </w:r>
      <w:r w:rsidR="001929C7" w:rsidRPr="00797E29">
        <w:rPr>
          <w:rFonts w:ascii="Times New Roman" w:hAnsi="Times New Roman"/>
          <w:sz w:val="24"/>
          <w:szCs w:val="24"/>
        </w:rPr>
        <w:t xml:space="preserve"> </w:t>
      </w:r>
      <w:r w:rsidRPr="00797E29">
        <w:rPr>
          <w:rFonts w:ascii="Times New Roman" w:hAnsi="Times New Roman"/>
          <w:sz w:val="24"/>
          <w:szCs w:val="24"/>
        </w:rPr>
        <w:t>циклуса</w:t>
      </w:r>
      <w:r w:rsidR="001929C7" w:rsidRPr="00797E29">
        <w:rPr>
          <w:rFonts w:ascii="Times New Roman" w:hAnsi="Times New Roman"/>
          <w:sz w:val="24"/>
          <w:szCs w:val="24"/>
        </w:rPr>
        <w:t xml:space="preserve"> </w:t>
      </w:r>
      <w:r w:rsidRPr="00797E29">
        <w:rPr>
          <w:rFonts w:ascii="Times New Roman" w:hAnsi="Times New Roman"/>
          <w:sz w:val="24"/>
          <w:szCs w:val="24"/>
        </w:rPr>
        <w:t>и</w:t>
      </w:r>
      <w:r w:rsidR="001929C7" w:rsidRPr="00797E29">
        <w:rPr>
          <w:rFonts w:ascii="Times New Roman" w:hAnsi="Times New Roman"/>
          <w:sz w:val="24"/>
          <w:szCs w:val="24"/>
        </w:rPr>
        <w:t xml:space="preserve"> </w:t>
      </w:r>
      <w:r w:rsidRPr="00797E29">
        <w:rPr>
          <w:rFonts w:ascii="Times New Roman" w:hAnsi="Times New Roman"/>
          <w:sz w:val="24"/>
          <w:szCs w:val="24"/>
        </w:rPr>
        <w:t>наглашеног</w:t>
      </w:r>
      <w:r w:rsidR="001929C7" w:rsidRPr="00797E29">
        <w:rPr>
          <w:rFonts w:ascii="Times New Roman" w:hAnsi="Times New Roman"/>
          <w:sz w:val="24"/>
          <w:szCs w:val="24"/>
        </w:rPr>
        <w:t xml:space="preserve"> </w:t>
      </w:r>
      <w:r w:rsidRPr="00797E29">
        <w:rPr>
          <w:rFonts w:ascii="Times New Roman" w:hAnsi="Times New Roman"/>
          <w:sz w:val="24"/>
          <w:szCs w:val="24"/>
        </w:rPr>
        <w:t>сезонског</w:t>
      </w:r>
      <w:r w:rsidR="001929C7" w:rsidRPr="00797E29">
        <w:rPr>
          <w:rFonts w:ascii="Times New Roman" w:hAnsi="Times New Roman"/>
          <w:sz w:val="24"/>
          <w:szCs w:val="24"/>
        </w:rPr>
        <w:t xml:space="preserve"> </w:t>
      </w:r>
      <w:r w:rsidRPr="00797E29">
        <w:rPr>
          <w:rFonts w:ascii="Times New Roman" w:hAnsi="Times New Roman"/>
          <w:sz w:val="24"/>
          <w:szCs w:val="24"/>
        </w:rPr>
        <w:t>утицаја</w:t>
      </w:r>
      <w:r w:rsidR="001929C7" w:rsidRPr="00797E29">
        <w:rPr>
          <w:rFonts w:ascii="Times New Roman" w:hAnsi="Times New Roman"/>
          <w:sz w:val="24"/>
          <w:szCs w:val="24"/>
        </w:rPr>
        <w:t xml:space="preserve"> </w:t>
      </w:r>
      <w:r w:rsidRPr="00797E29">
        <w:rPr>
          <w:rFonts w:ascii="Times New Roman" w:hAnsi="Times New Roman"/>
          <w:sz w:val="24"/>
          <w:szCs w:val="24"/>
        </w:rPr>
        <w:t>на</w:t>
      </w:r>
      <w:r w:rsidR="001929C7" w:rsidRPr="00797E29">
        <w:rPr>
          <w:rFonts w:ascii="Times New Roman" w:hAnsi="Times New Roman"/>
          <w:sz w:val="24"/>
          <w:szCs w:val="24"/>
        </w:rPr>
        <w:t xml:space="preserve"> </w:t>
      </w:r>
      <w:r w:rsidRPr="00797E29">
        <w:rPr>
          <w:rFonts w:ascii="Times New Roman" w:hAnsi="Times New Roman"/>
          <w:sz w:val="24"/>
          <w:szCs w:val="24"/>
        </w:rPr>
        <w:t>обим</w:t>
      </w:r>
      <w:r w:rsidR="001929C7" w:rsidRPr="00797E29">
        <w:rPr>
          <w:rFonts w:ascii="Times New Roman" w:hAnsi="Times New Roman"/>
          <w:sz w:val="24"/>
          <w:szCs w:val="24"/>
        </w:rPr>
        <w:t xml:space="preserve"> </w:t>
      </w:r>
      <w:r w:rsidRPr="00797E29">
        <w:rPr>
          <w:rFonts w:ascii="Times New Roman" w:hAnsi="Times New Roman"/>
          <w:sz w:val="24"/>
          <w:szCs w:val="24"/>
        </w:rPr>
        <w:t>активности</w:t>
      </w:r>
      <w:r w:rsidR="001929C7" w:rsidRPr="00797E29">
        <w:rPr>
          <w:rFonts w:ascii="Times New Roman" w:hAnsi="Times New Roman"/>
          <w:sz w:val="24"/>
          <w:szCs w:val="24"/>
        </w:rPr>
        <w:t xml:space="preserve">, </w:t>
      </w:r>
      <w:r w:rsidRPr="00797E29">
        <w:rPr>
          <w:rFonts w:ascii="Times New Roman" w:hAnsi="Times New Roman"/>
          <w:sz w:val="24"/>
          <w:szCs w:val="24"/>
        </w:rPr>
        <w:t>допуштено</w:t>
      </w:r>
      <w:r w:rsidR="001929C7" w:rsidRPr="00797E29">
        <w:rPr>
          <w:rFonts w:ascii="Times New Roman" w:hAnsi="Times New Roman"/>
          <w:sz w:val="24"/>
          <w:szCs w:val="24"/>
        </w:rPr>
        <w:t xml:space="preserve"> </w:t>
      </w:r>
      <w:r w:rsidRPr="00797E29">
        <w:rPr>
          <w:rFonts w:ascii="Times New Roman" w:hAnsi="Times New Roman"/>
          <w:sz w:val="24"/>
          <w:szCs w:val="24"/>
        </w:rPr>
        <w:t>је</w:t>
      </w:r>
      <w:r w:rsidR="001929C7" w:rsidRPr="00797E29">
        <w:rPr>
          <w:rFonts w:ascii="Times New Roman" w:hAnsi="Times New Roman"/>
          <w:sz w:val="24"/>
          <w:szCs w:val="24"/>
        </w:rPr>
        <w:t xml:space="preserve"> </w:t>
      </w:r>
      <w:r w:rsidRPr="00797E29">
        <w:rPr>
          <w:rFonts w:ascii="Times New Roman" w:hAnsi="Times New Roman"/>
          <w:sz w:val="24"/>
          <w:szCs w:val="24"/>
        </w:rPr>
        <w:t>да</w:t>
      </w:r>
      <w:r w:rsidR="001929C7" w:rsidRPr="00797E29">
        <w:rPr>
          <w:rFonts w:ascii="Times New Roman" w:hAnsi="Times New Roman"/>
          <w:sz w:val="24"/>
          <w:szCs w:val="24"/>
        </w:rPr>
        <w:t xml:space="preserve"> </w:t>
      </w:r>
      <w:r w:rsidRPr="00797E29">
        <w:rPr>
          <w:rFonts w:ascii="Times New Roman" w:hAnsi="Times New Roman"/>
          <w:sz w:val="24"/>
          <w:szCs w:val="24"/>
        </w:rPr>
        <w:t>се</w:t>
      </w:r>
      <w:r w:rsidR="001929C7" w:rsidRPr="00797E29">
        <w:rPr>
          <w:rFonts w:ascii="Times New Roman" w:hAnsi="Times New Roman"/>
          <w:sz w:val="24"/>
          <w:szCs w:val="24"/>
        </w:rPr>
        <w:t xml:space="preserve"> </w:t>
      </w:r>
      <w:r w:rsidRPr="00797E29">
        <w:rPr>
          <w:rFonts w:ascii="Times New Roman" w:hAnsi="Times New Roman"/>
          <w:sz w:val="24"/>
          <w:szCs w:val="24"/>
        </w:rPr>
        <w:t>у</w:t>
      </w:r>
      <w:r w:rsidR="001929C7" w:rsidRPr="00797E29">
        <w:rPr>
          <w:rFonts w:ascii="Times New Roman" w:hAnsi="Times New Roman"/>
          <w:sz w:val="24"/>
          <w:szCs w:val="24"/>
        </w:rPr>
        <w:t xml:space="preserve"> </w:t>
      </w:r>
      <w:r w:rsidRPr="00797E29">
        <w:rPr>
          <w:rFonts w:ascii="Times New Roman" w:hAnsi="Times New Roman"/>
          <w:sz w:val="24"/>
          <w:szCs w:val="24"/>
        </w:rPr>
        <w:t>вредност</w:t>
      </w:r>
      <w:r w:rsidR="001929C7" w:rsidRPr="00797E29">
        <w:rPr>
          <w:rFonts w:ascii="Times New Roman" w:hAnsi="Times New Roman"/>
          <w:sz w:val="24"/>
          <w:szCs w:val="24"/>
        </w:rPr>
        <w:t xml:space="preserve"> </w:t>
      </w:r>
      <w:r w:rsidRPr="00797E29">
        <w:rPr>
          <w:rFonts w:ascii="Times New Roman" w:hAnsi="Times New Roman"/>
          <w:sz w:val="24"/>
          <w:szCs w:val="24"/>
        </w:rPr>
        <w:t>залиха</w:t>
      </w:r>
      <w:r w:rsidR="001929C7" w:rsidRPr="00797E29">
        <w:rPr>
          <w:rFonts w:ascii="Times New Roman" w:hAnsi="Times New Roman"/>
          <w:sz w:val="24"/>
          <w:szCs w:val="24"/>
        </w:rPr>
        <w:t xml:space="preserve"> </w:t>
      </w:r>
      <w:r w:rsidRPr="00797E29">
        <w:rPr>
          <w:rFonts w:ascii="Times New Roman" w:hAnsi="Times New Roman"/>
          <w:sz w:val="24"/>
          <w:szCs w:val="24"/>
        </w:rPr>
        <w:t>укључи</w:t>
      </w:r>
      <w:r w:rsidR="001929C7" w:rsidRPr="00797E29">
        <w:rPr>
          <w:rFonts w:ascii="Times New Roman" w:hAnsi="Times New Roman"/>
          <w:sz w:val="24"/>
          <w:szCs w:val="24"/>
        </w:rPr>
        <w:t xml:space="preserve"> </w:t>
      </w:r>
      <w:r w:rsidRPr="00797E29">
        <w:rPr>
          <w:rFonts w:ascii="Times New Roman" w:hAnsi="Times New Roman"/>
          <w:sz w:val="24"/>
          <w:szCs w:val="24"/>
        </w:rPr>
        <w:t>и</w:t>
      </w:r>
      <w:r w:rsidR="001929C7" w:rsidRPr="00797E29">
        <w:rPr>
          <w:rFonts w:ascii="Times New Roman" w:hAnsi="Times New Roman"/>
          <w:sz w:val="24"/>
          <w:szCs w:val="24"/>
        </w:rPr>
        <w:t xml:space="preserve"> </w:t>
      </w:r>
      <w:r w:rsidRPr="00797E29">
        <w:rPr>
          <w:rFonts w:ascii="Times New Roman" w:hAnsi="Times New Roman"/>
          <w:sz w:val="24"/>
          <w:szCs w:val="24"/>
        </w:rPr>
        <w:t>припадајући</w:t>
      </w:r>
      <w:r w:rsidR="001929C7" w:rsidRPr="00797E29">
        <w:rPr>
          <w:rFonts w:ascii="Times New Roman" w:hAnsi="Times New Roman"/>
          <w:sz w:val="24"/>
          <w:szCs w:val="24"/>
        </w:rPr>
        <w:t xml:space="preserve"> </w:t>
      </w:r>
      <w:r w:rsidRPr="00797E29">
        <w:rPr>
          <w:rFonts w:ascii="Times New Roman" w:hAnsi="Times New Roman"/>
          <w:sz w:val="24"/>
          <w:szCs w:val="24"/>
        </w:rPr>
        <w:t>део</w:t>
      </w:r>
      <w:r w:rsidR="001929C7" w:rsidRPr="00797E29">
        <w:rPr>
          <w:rFonts w:ascii="Times New Roman" w:hAnsi="Times New Roman"/>
          <w:sz w:val="24"/>
          <w:szCs w:val="24"/>
        </w:rPr>
        <w:t xml:space="preserve"> </w:t>
      </w:r>
      <w:r w:rsidRPr="00797E29">
        <w:rPr>
          <w:rFonts w:ascii="Times New Roman" w:hAnsi="Times New Roman"/>
          <w:sz w:val="24"/>
          <w:szCs w:val="24"/>
        </w:rPr>
        <w:t>општих</w:t>
      </w:r>
      <w:r w:rsidR="001929C7" w:rsidRPr="00797E29">
        <w:rPr>
          <w:rFonts w:ascii="Times New Roman" w:hAnsi="Times New Roman"/>
          <w:sz w:val="24"/>
          <w:szCs w:val="24"/>
        </w:rPr>
        <w:t xml:space="preserve"> </w:t>
      </w:r>
      <w:r w:rsidRPr="00797E29">
        <w:rPr>
          <w:rFonts w:ascii="Times New Roman" w:hAnsi="Times New Roman"/>
          <w:sz w:val="24"/>
          <w:szCs w:val="24"/>
        </w:rPr>
        <w:t>трошкова</w:t>
      </w:r>
      <w:r w:rsidR="001929C7" w:rsidRPr="00797E29">
        <w:rPr>
          <w:rFonts w:ascii="Times New Roman" w:hAnsi="Times New Roman"/>
          <w:sz w:val="24"/>
          <w:szCs w:val="24"/>
        </w:rPr>
        <w:t xml:space="preserve"> </w:t>
      </w:r>
      <w:r w:rsidRPr="00797E29">
        <w:rPr>
          <w:rFonts w:ascii="Times New Roman" w:hAnsi="Times New Roman"/>
          <w:sz w:val="24"/>
          <w:szCs w:val="24"/>
        </w:rPr>
        <w:t>управљања</w:t>
      </w:r>
      <w:r w:rsidR="001929C7" w:rsidRPr="00797E29">
        <w:rPr>
          <w:rFonts w:ascii="Times New Roman" w:hAnsi="Times New Roman"/>
          <w:sz w:val="24"/>
          <w:szCs w:val="24"/>
        </w:rPr>
        <w:t xml:space="preserve"> </w:t>
      </w:r>
      <w:r w:rsidRPr="00797E29">
        <w:rPr>
          <w:rFonts w:ascii="Times New Roman" w:hAnsi="Times New Roman"/>
          <w:sz w:val="24"/>
          <w:szCs w:val="24"/>
        </w:rPr>
        <w:t>и</w:t>
      </w:r>
      <w:r w:rsidR="001929C7" w:rsidRPr="00797E29">
        <w:rPr>
          <w:rFonts w:ascii="Times New Roman" w:hAnsi="Times New Roman"/>
          <w:sz w:val="24"/>
          <w:szCs w:val="24"/>
        </w:rPr>
        <w:t xml:space="preserve"> </w:t>
      </w:r>
      <w:r w:rsidRPr="00797E29">
        <w:rPr>
          <w:rFonts w:ascii="Times New Roman" w:hAnsi="Times New Roman"/>
          <w:sz w:val="24"/>
          <w:szCs w:val="24"/>
        </w:rPr>
        <w:t>продаје</w:t>
      </w:r>
      <w:r w:rsidR="001929C7" w:rsidRPr="00797E29">
        <w:rPr>
          <w:rFonts w:ascii="Times New Roman" w:hAnsi="Times New Roman"/>
          <w:sz w:val="24"/>
          <w:szCs w:val="24"/>
        </w:rPr>
        <w:t xml:space="preserve"> </w:t>
      </w:r>
      <w:r w:rsidRPr="00797E29">
        <w:rPr>
          <w:rFonts w:ascii="Times New Roman" w:hAnsi="Times New Roman"/>
          <w:sz w:val="24"/>
          <w:szCs w:val="24"/>
        </w:rPr>
        <w:t>и</w:t>
      </w:r>
      <w:r w:rsidR="001929C7" w:rsidRPr="00797E29">
        <w:rPr>
          <w:rFonts w:ascii="Times New Roman" w:hAnsi="Times New Roman"/>
          <w:sz w:val="24"/>
          <w:szCs w:val="24"/>
        </w:rPr>
        <w:t xml:space="preserve"> </w:t>
      </w:r>
      <w:r w:rsidRPr="00797E29">
        <w:rPr>
          <w:rFonts w:ascii="Times New Roman" w:hAnsi="Times New Roman"/>
          <w:sz w:val="24"/>
          <w:szCs w:val="24"/>
        </w:rPr>
        <w:t>трошкова</w:t>
      </w:r>
      <w:r w:rsidR="001929C7" w:rsidRPr="00797E29">
        <w:rPr>
          <w:rFonts w:ascii="Times New Roman" w:hAnsi="Times New Roman"/>
          <w:sz w:val="24"/>
          <w:szCs w:val="24"/>
        </w:rPr>
        <w:t xml:space="preserve"> </w:t>
      </w:r>
      <w:r w:rsidRPr="00797E29">
        <w:rPr>
          <w:rFonts w:ascii="Times New Roman" w:hAnsi="Times New Roman"/>
          <w:sz w:val="24"/>
          <w:szCs w:val="24"/>
        </w:rPr>
        <w:t>финансирања</w:t>
      </w:r>
      <w:r w:rsidR="001929C7" w:rsidRPr="00797E29">
        <w:rPr>
          <w:rFonts w:ascii="Times New Roman" w:hAnsi="Times New Roman"/>
          <w:sz w:val="24"/>
          <w:szCs w:val="24"/>
        </w:rPr>
        <w:t>.</w:t>
      </w:r>
      <w:r w:rsidR="001929C7" w:rsidRPr="00797E29">
        <w:rPr>
          <w:rStyle w:val="FootnoteReference"/>
          <w:rFonts w:ascii="Times New Roman" w:hAnsi="Times New Roman"/>
          <w:color w:val="000000"/>
          <w:sz w:val="24"/>
          <w:szCs w:val="24"/>
        </w:rPr>
        <w:footnoteReference w:id="301"/>
      </w:r>
      <w:r w:rsidRPr="00797E29">
        <w:rPr>
          <w:rFonts w:ascii="Times New Roman" w:hAnsi="Times New Roman"/>
          <w:sz w:val="24"/>
          <w:szCs w:val="24"/>
          <w:lang w:val="sr-Cyrl-CS"/>
        </w:rPr>
        <w:t xml:space="preserve"> </w:t>
      </w:r>
    </w:p>
    <w:p w:rsidR="008A7AC2" w:rsidRDefault="008A7AC2" w:rsidP="00797E29">
      <w:pPr>
        <w:ind w:firstLine="360"/>
        <w:jc w:val="both"/>
        <w:rPr>
          <w:rFonts w:ascii="Times New Roman" w:hAnsi="Times New Roman"/>
          <w:sz w:val="24"/>
          <w:szCs w:val="24"/>
          <w:lang w:val="sr-Cyrl-CS"/>
        </w:rPr>
      </w:pPr>
      <w:r w:rsidRPr="00797E29">
        <w:rPr>
          <w:rFonts w:ascii="Times New Roman" w:hAnsi="Times New Roman"/>
          <w:sz w:val="24"/>
          <w:szCs w:val="24"/>
          <w:lang w:val="sr-Cyrl-CS"/>
        </w:rPr>
        <w:t xml:space="preserve">На висину опорезиве добити утичу поред вредности залиха недовршене производње, полупроизвода и готових производа и трошкови материјала и продате робе. Методе које се могу применити за процењивање излаза са залиха, које познаје рачуноводствена наука и пракса, </w:t>
      </w:r>
      <w:r w:rsidR="00FC0AF6" w:rsidRPr="00797E29">
        <w:rPr>
          <w:rFonts w:ascii="Times New Roman" w:hAnsi="Times New Roman"/>
          <w:sz w:val="24"/>
          <w:szCs w:val="24"/>
          <w:lang w:val="sr-Cyrl-CS"/>
        </w:rPr>
        <w:t xml:space="preserve">а које расходе пореског биланса више или мање оптерећују </w:t>
      </w:r>
      <w:r w:rsidRPr="00797E29">
        <w:rPr>
          <w:rFonts w:ascii="Times New Roman" w:hAnsi="Times New Roman"/>
          <w:sz w:val="24"/>
          <w:szCs w:val="24"/>
          <w:lang w:val="sr-Cyrl-CS"/>
        </w:rPr>
        <w:t>могу бити:</w:t>
      </w:r>
    </w:p>
    <w:p w:rsidR="00797E29" w:rsidRPr="00797E29" w:rsidRDefault="00797E29" w:rsidP="00797E29">
      <w:pPr>
        <w:jc w:val="both"/>
        <w:rPr>
          <w:rFonts w:ascii="Times New Roman" w:hAnsi="Times New Roman"/>
          <w:sz w:val="24"/>
          <w:szCs w:val="24"/>
          <w:lang w:val="sr-Cyrl-CS"/>
        </w:rPr>
      </w:pPr>
    </w:p>
    <w:p w:rsidR="008A7AC2" w:rsidRPr="00797E29" w:rsidRDefault="005B5D9B" w:rsidP="00797E29">
      <w:pPr>
        <w:jc w:val="both"/>
        <w:rPr>
          <w:rFonts w:ascii="Times New Roman" w:hAnsi="Times New Roman"/>
          <w:b/>
          <w:sz w:val="24"/>
          <w:szCs w:val="24"/>
          <w:lang w:val="sr-Cyrl-CS"/>
        </w:rPr>
      </w:pPr>
      <w:r w:rsidRPr="00797E29">
        <w:rPr>
          <w:rFonts w:ascii="Times New Roman" w:hAnsi="Times New Roman"/>
          <w:b/>
          <w:sz w:val="24"/>
          <w:szCs w:val="24"/>
        </w:rPr>
        <w:t>F I F O</w:t>
      </w:r>
      <w:r w:rsidR="008A7AC2" w:rsidRPr="00797E29">
        <w:rPr>
          <w:rFonts w:ascii="Times New Roman" w:hAnsi="Times New Roman"/>
          <w:b/>
          <w:sz w:val="24"/>
          <w:szCs w:val="24"/>
          <w:lang w:val="sr-Cyrl-CS"/>
        </w:rPr>
        <w:t xml:space="preserve"> метод</w:t>
      </w:r>
      <w:r w:rsidR="008A7AC2" w:rsidRPr="00797E29">
        <w:rPr>
          <w:rFonts w:ascii="Times New Roman" w:hAnsi="Times New Roman"/>
          <w:sz w:val="24"/>
          <w:szCs w:val="24"/>
          <w:lang w:val="sr-Cyrl-CS"/>
        </w:rPr>
        <w:t xml:space="preserve"> (eng. first in – first </w:t>
      </w:r>
      <w:r w:rsidR="008A7AC2" w:rsidRPr="00797E29">
        <w:rPr>
          <w:rFonts w:ascii="Times New Roman" w:hAnsi="Times New Roman"/>
          <w:sz w:val="24"/>
          <w:szCs w:val="24"/>
        </w:rPr>
        <w:t>out method)</w:t>
      </w:r>
    </w:p>
    <w:p w:rsidR="008A7AC2" w:rsidRPr="00797E29" w:rsidRDefault="008A7AC2" w:rsidP="00797E29">
      <w:pPr>
        <w:jc w:val="both"/>
        <w:rPr>
          <w:rFonts w:ascii="Times New Roman" w:hAnsi="Times New Roman"/>
          <w:sz w:val="24"/>
          <w:szCs w:val="24"/>
          <w:lang w:val="sr-Cyrl-CS"/>
        </w:rPr>
      </w:pPr>
    </w:p>
    <w:p w:rsidR="008A7AC2" w:rsidRPr="00797E29" w:rsidRDefault="008A7AC2" w:rsidP="00797E29">
      <w:pPr>
        <w:ind w:firstLine="708"/>
        <w:jc w:val="both"/>
        <w:rPr>
          <w:rFonts w:ascii="Times New Roman" w:hAnsi="Times New Roman"/>
          <w:sz w:val="24"/>
          <w:szCs w:val="24"/>
          <w:lang w:val="sr-Cyrl-CS"/>
        </w:rPr>
      </w:pPr>
      <w:r w:rsidRPr="00797E29">
        <w:rPr>
          <w:rFonts w:ascii="Times New Roman" w:hAnsi="Times New Roman"/>
          <w:sz w:val="24"/>
          <w:szCs w:val="24"/>
        </w:rPr>
        <w:t xml:space="preserve">Применом овог метода се </w:t>
      </w:r>
      <w:r w:rsidRPr="00797E29">
        <w:rPr>
          <w:rFonts w:ascii="Times New Roman" w:hAnsi="Times New Roman"/>
          <w:sz w:val="24"/>
          <w:szCs w:val="24"/>
          <w:lang w:val="sr-Cyrl-CS"/>
        </w:rPr>
        <w:t xml:space="preserve">излаз </w:t>
      </w:r>
      <w:r w:rsidRPr="00797E29">
        <w:rPr>
          <w:rFonts w:ascii="Times New Roman" w:hAnsi="Times New Roman"/>
          <w:sz w:val="24"/>
          <w:szCs w:val="24"/>
        </w:rPr>
        <w:t>залих</w:t>
      </w:r>
      <w:r w:rsidRPr="00797E29">
        <w:rPr>
          <w:rFonts w:ascii="Times New Roman" w:hAnsi="Times New Roman"/>
          <w:sz w:val="24"/>
          <w:szCs w:val="24"/>
          <w:lang w:val="sr-Cyrl-CS"/>
        </w:rPr>
        <w:t>а</w:t>
      </w:r>
      <w:r w:rsidRPr="00797E29">
        <w:rPr>
          <w:rFonts w:ascii="Times New Roman" w:hAnsi="Times New Roman"/>
          <w:sz w:val="24"/>
          <w:szCs w:val="24"/>
        </w:rPr>
        <w:t xml:space="preserve"> обрачунава</w:t>
      </w:r>
      <w:r w:rsidRPr="00797E29">
        <w:rPr>
          <w:rFonts w:ascii="Times New Roman" w:hAnsi="Times New Roman"/>
          <w:sz w:val="24"/>
          <w:szCs w:val="24"/>
          <w:lang w:val="sr-Cyrl-CS"/>
        </w:rPr>
        <w:t xml:space="preserve"> по ценама најраније набављених залиха</w:t>
      </w:r>
      <w:r w:rsidR="00865889" w:rsidRPr="00797E29">
        <w:rPr>
          <w:rFonts w:ascii="Times New Roman" w:hAnsi="Times New Roman"/>
          <w:sz w:val="24"/>
          <w:szCs w:val="24"/>
          <w:lang w:val="sr-Cyrl-CS"/>
        </w:rPr>
        <w:t xml:space="preserve"> (прва улазна – прва излазна). Право дејство ов</w:t>
      </w:r>
      <w:r w:rsidR="000B3BC5" w:rsidRPr="00797E29">
        <w:rPr>
          <w:rFonts w:ascii="Times New Roman" w:hAnsi="Times New Roman"/>
          <w:sz w:val="24"/>
          <w:szCs w:val="24"/>
          <w:lang w:val="sr-Cyrl-CS"/>
        </w:rPr>
        <w:t>о</w:t>
      </w:r>
      <w:r w:rsidR="00865889" w:rsidRPr="00797E29">
        <w:rPr>
          <w:rFonts w:ascii="Times New Roman" w:hAnsi="Times New Roman"/>
          <w:sz w:val="24"/>
          <w:szCs w:val="24"/>
          <w:lang w:val="sr-Cyrl-CS"/>
        </w:rPr>
        <w:t xml:space="preserve">г метода се манифестује у условима различитих цена. Залихе се евидентирају по редоследу њихове набавке. </w:t>
      </w:r>
      <w:r w:rsidR="000419DD" w:rsidRPr="00797E29">
        <w:rPr>
          <w:rFonts w:ascii="Times New Roman" w:hAnsi="Times New Roman"/>
          <w:sz w:val="24"/>
          <w:szCs w:val="24"/>
          <w:lang w:val="sr-Cyrl-CS"/>
        </w:rPr>
        <w:t>Утицај ове методе</w:t>
      </w:r>
      <w:r w:rsidR="00865889" w:rsidRPr="00797E29">
        <w:rPr>
          <w:rFonts w:ascii="Times New Roman" w:hAnsi="Times New Roman"/>
          <w:sz w:val="24"/>
          <w:szCs w:val="24"/>
          <w:lang w:val="sr-Cyrl-CS"/>
        </w:rPr>
        <w:t xml:space="preserve"> се може приказати на следећем примеру:</w:t>
      </w:r>
      <w:r w:rsidR="000B3BC5" w:rsidRPr="00797E29">
        <w:rPr>
          <w:rFonts w:ascii="Times New Roman" w:hAnsi="Times New Roman"/>
          <w:sz w:val="24"/>
          <w:szCs w:val="24"/>
          <w:lang w:val="sr-Cyrl-CS"/>
        </w:rPr>
        <w:t xml:space="preserve"> </w:t>
      </w:r>
      <w:r w:rsidR="00797E29">
        <w:rPr>
          <w:rFonts w:ascii="Times New Roman" w:hAnsi="Times New Roman"/>
          <w:sz w:val="24"/>
          <w:szCs w:val="24"/>
          <w:lang w:val="sr-Cyrl-CS"/>
        </w:rPr>
        <w:t xml:space="preserve"> </w:t>
      </w:r>
    </w:p>
    <w:p w:rsidR="000B3BC5" w:rsidRDefault="000B3BC5" w:rsidP="000B3BC5">
      <w:pPr>
        <w:pStyle w:val="normal0"/>
        <w:shd w:val="clear" w:color="auto" w:fill="FFFFFF"/>
        <w:spacing w:before="48" w:beforeAutospacing="0" w:after="48" w:afterAutospacing="0"/>
        <w:ind w:firstLine="708"/>
        <w:jc w:val="both"/>
        <w:rPr>
          <w:color w:val="000000"/>
          <w:lang w:val="sr-Cyrl-CS"/>
        </w:rPr>
      </w:pPr>
    </w:p>
    <w:p w:rsidR="00865889" w:rsidRDefault="00865889" w:rsidP="008A7AC2">
      <w:pPr>
        <w:pStyle w:val="normal0"/>
        <w:shd w:val="clear" w:color="auto" w:fill="FFFFFF"/>
        <w:spacing w:before="48" w:beforeAutospacing="0" w:after="48" w:afterAutospacing="0"/>
        <w:jc w:val="both"/>
        <w:rPr>
          <w:color w:val="000000"/>
          <w:lang w:val="sr-Cyrl-CS"/>
        </w:rPr>
      </w:pPr>
    </w:p>
    <w:p w:rsidR="005044EC" w:rsidRPr="005044EC" w:rsidRDefault="00A74A8E" w:rsidP="008A7AC2">
      <w:pPr>
        <w:pStyle w:val="normal0"/>
        <w:shd w:val="clear" w:color="auto" w:fill="FFFFFF"/>
        <w:spacing w:before="48" w:beforeAutospacing="0" w:after="48" w:afterAutospacing="0"/>
        <w:jc w:val="both"/>
        <w:rPr>
          <w:b/>
          <w:color w:val="000000"/>
          <w:lang w:val="sr-Cyrl-CS"/>
        </w:rPr>
      </w:pPr>
      <w:r>
        <w:rPr>
          <w:b/>
          <w:color w:val="000000"/>
          <w:lang w:val="sr-Cyrl-CS"/>
        </w:rPr>
        <w:t>Табела 11</w:t>
      </w:r>
      <w:r w:rsidR="005044EC" w:rsidRPr="005044EC">
        <w:rPr>
          <w:b/>
          <w:color w:val="000000"/>
          <w:lang w:val="sr-Cyrl-CS"/>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70"/>
        <w:gridCol w:w="3070"/>
        <w:gridCol w:w="3071"/>
      </w:tblGrid>
      <w:tr w:rsidR="00865889" w:rsidRPr="0056201C" w:rsidTr="0056201C">
        <w:tc>
          <w:tcPr>
            <w:tcW w:w="3070" w:type="dxa"/>
          </w:tcPr>
          <w:p w:rsidR="00865889" w:rsidRPr="0056201C" w:rsidRDefault="00865889" w:rsidP="0056201C">
            <w:pPr>
              <w:pStyle w:val="normal0"/>
              <w:spacing w:before="48" w:beforeAutospacing="0" w:after="48" w:afterAutospacing="0"/>
              <w:jc w:val="both"/>
              <w:rPr>
                <w:rFonts w:ascii="Arial" w:hAnsi="Arial" w:cs="Arial"/>
                <w:b/>
                <w:color w:val="000000"/>
                <w:sz w:val="18"/>
                <w:szCs w:val="18"/>
                <w:lang w:val="sr-Cyrl-CS"/>
              </w:rPr>
            </w:pPr>
            <w:r w:rsidRPr="0056201C">
              <w:rPr>
                <w:rFonts w:ascii="Arial" w:hAnsi="Arial" w:cs="Arial"/>
                <w:b/>
                <w:color w:val="000000"/>
                <w:sz w:val="18"/>
                <w:szCs w:val="18"/>
                <w:lang w:val="sr-Cyrl-CS"/>
              </w:rPr>
              <w:t>УЛАЗ</w:t>
            </w:r>
          </w:p>
        </w:tc>
        <w:tc>
          <w:tcPr>
            <w:tcW w:w="3070" w:type="dxa"/>
          </w:tcPr>
          <w:p w:rsidR="00865889" w:rsidRPr="0056201C" w:rsidRDefault="00865889" w:rsidP="0056201C">
            <w:pPr>
              <w:pStyle w:val="normal0"/>
              <w:spacing w:before="48" w:beforeAutospacing="0" w:after="48" w:afterAutospacing="0"/>
              <w:jc w:val="both"/>
              <w:rPr>
                <w:rFonts w:ascii="Arial" w:hAnsi="Arial" w:cs="Arial"/>
                <w:b/>
                <w:color w:val="000000"/>
                <w:sz w:val="18"/>
                <w:szCs w:val="18"/>
                <w:lang w:val="sr-Cyrl-CS"/>
              </w:rPr>
            </w:pPr>
            <w:r w:rsidRPr="0056201C">
              <w:rPr>
                <w:rFonts w:ascii="Arial" w:hAnsi="Arial" w:cs="Arial"/>
                <w:b/>
                <w:color w:val="000000"/>
                <w:sz w:val="18"/>
                <w:szCs w:val="18"/>
                <w:lang w:val="sr-Cyrl-CS"/>
              </w:rPr>
              <w:t>ИЗЛАЗ</w:t>
            </w:r>
          </w:p>
        </w:tc>
        <w:tc>
          <w:tcPr>
            <w:tcW w:w="3071" w:type="dxa"/>
          </w:tcPr>
          <w:p w:rsidR="00865889" w:rsidRPr="0056201C" w:rsidRDefault="00865889" w:rsidP="0056201C">
            <w:pPr>
              <w:pStyle w:val="normal0"/>
              <w:spacing w:before="48" w:beforeAutospacing="0" w:after="48" w:afterAutospacing="0"/>
              <w:jc w:val="both"/>
              <w:rPr>
                <w:rFonts w:ascii="Arial" w:hAnsi="Arial" w:cs="Arial"/>
                <w:b/>
                <w:color w:val="000000"/>
                <w:sz w:val="18"/>
                <w:szCs w:val="18"/>
                <w:lang w:val="sr-Cyrl-CS"/>
              </w:rPr>
            </w:pPr>
            <w:r w:rsidRPr="0056201C">
              <w:rPr>
                <w:rFonts w:ascii="Arial" w:hAnsi="Arial" w:cs="Arial"/>
                <w:b/>
                <w:color w:val="000000"/>
                <w:sz w:val="18"/>
                <w:szCs w:val="18"/>
                <w:lang w:val="sr-Cyrl-CS"/>
              </w:rPr>
              <w:t>ЗАЛИХЕ</w:t>
            </w:r>
          </w:p>
        </w:tc>
      </w:tr>
      <w:tr w:rsidR="00865889" w:rsidRPr="0056201C" w:rsidTr="0056201C">
        <w:tc>
          <w:tcPr>
            <w:tcW w:w="3070" w:type="dxa"/>
          </w:tcPr>
          <w:p w:rsidR="00865889" w:rsidRPr="0056201C" w:rsidRDefault="00865889" w:rsidP="0056201C">
            <w:pPr>
              <w:pStyle w:val="normal0"/>
              <w:spacing w:before="48" w:beforeAutospacing="0" w:after="48" w:afterAutospacing="0"/>
              <w:jc w:val="both"/>
              <w:rPr>
                <w:rFonts w:ascii="Arial" w:hAnsi="Arial" w:cs="Arial"/>
                <w:b/>
                <w:color w:val="000000"/>
                <w:sz w:val="16"/>
                <w:szCs w:val="16"/>
                <w:lang w:val="sr-Cyrl-CS"/>
              </w:rPr>
            </w:pPr>
            <w:r w:rsidRPr="0056201C">
              <w:rPr>
                <w:rFonts w:ascii="Arial" w:hAnsi="Arial" w:cs="Arial"/>
                <w:b/>
                <w:color w:val="000000"/>
                <w:sz w:val="16"/>
                <w:szCs w:val="16"/>
                <w:lang w:val="sr-Cyrl-CS"/>
              </w:rPr>
              <w:t xml:space="preserve"> </w:t>
            </w:r>
            <w:r w:rsidR="00726BB9" w:rsidRPr="0056201C">
              <w:rPr>
                <w:rFonts w:ascii="Arial" w:hAnsi="Arial" w:cs="Arial"/>
                <w:b/>
                <w:color w:val="000000"/>
                <w:sz w:val="16"/>
                <w:szCs w:val="16"/>
                <w:lang w:val="sr-Cyrl-CS"/>
              </w:rPr>
              <w:t xml:space="preserve">промена </w:t>
            </w:r>
            <w:r w:rsidRPr="0056201C">
              <w:rPr>
                <w:rFonts w:ascii="Arial" w:hAnsi="Arial" w:cs="Arial"/>
                <w:b/>
                <w:color w:val="000000"/>
                <w:sz w:val="16"/>
                <w:szCs w:val="16"/>
                <w:lang w:val="sr-Cyrl-CS"/>
              </w:rPr>
              <w:t>ком. цена вредност</w:t>
            </w:r>
          </w:p>
        </w:tc>
        <w:tc>
          <w:tcPr>
            <w:tcW w:w="3070" w:type="dxa"/>
          </w:tcPr>
          <w:p w:rsidR="00865889" w:rsidRPr="0056201C" w:rsidRDefault="00865889" w:rsidP="0056201C">
            <w:pPr>
              <w:pStyle w:val="normal0"/>
              <w:spacing w:before="48" w:beforeAutospacing="0" w:after="48" w:afterAutospacing="0"/>
              <w:jc w:val="both"/>
              <w:rPr>
                <w:rFonts w:ascii="Arial" w:hAnsi="Arial" w:cs="Arial"/>
                <w:b/>
                <w:color w:val="000000"/>
                <w:sz w:val="18"/>
                <w:szCs w:val="18"/>
                <w:lang w:val="sr-Cyrl-CS"/>
              </w:rPr>
            </w:pPr>
            <w:r w:rsidRPr="0056201C">
              <w:rPr>
                <w:rFonts w:ascii="Arial" w:hAnsi="Arial" w:cs="Arial"/>
                <w:b/>
                <w:color w:val="000000"/>
                <w:sz w:val="18"/>
                <w:szCs w:val="18"/>
                <w:lang w:val="sr-Cyrl-CS"/>
              </w:rPr>
              <w:t>ком. цена   вредност</w:t>
            </w:r>
          </w:p>
        </w:tc>
        <w:tc>
          <w:tcPr>
            <w:tcW w:w="3071" w:type="dxa"/>
          </w:tcPr>
          <w:p w:rsidR="00865889" w:rsidRPr="0056201C" w:rsidRDefault="00865889" w:rsidP="0056201C">
            <w:pPr>
              <w:pStyle w:val="normal0"/>
              <w:spacing w:before="48" w:beforeAutospacing="0" w:after="48" w:afterAutospacing="0"/>
              <w:jc w:val="both"/>
              <w:rPr>
                <w:rFonts w:ascii="Arial" w:hAnsi="Arial" w:cs="Arial"/>
                <w:b/>
                <w:color w:val="000000"/>
                <w:sz w:val="18"/>
                <w:szCs w:val="18"/>
                <w:lang w:val="sr-Cyrl-CS"/>
              </w:rPr>
            </w:pPr>
            <w:r w:rsidRPr="0056201C">
              <w:rPr>
                <w:rFonts w:ascii="Arial" w:hAnsi="Arial" w:cs="Arial"/>
                <w:b/>
                <w:color w:val="000000"/>
                <w:sz w:val="18"/>
                <w:szCs w:val="18"/>
                <w:lang w:val="sr-Cyrl-CS"/>
              </w:rPr>
              <w:t>ком. цена   вредност</w:t>
            </w:r>
          </w:p>
        </w:tc>
      </w:tr>
      <w:tr w:rsidR="00865889" w:rsidRPr="0056201C" w:rsidTr="0056201C">
        <w:tc>
          <w:tcPr>
            <w:tcW w:w="3070" w:type="dxa"/>
          </w:tcPr>
          <w:p w:rsidR="00865889" w:rsidRPr="0056201C" w:rsidRDefault="00C53665" w:rsidP="0056201C">
            <w:pPr>
              <w:pStyle w:val="normal0"/>
              <w:spacing w:before="48" w:beforeAutospacing="0" w:after="48" w:afterAutospacing="0"/>
              <w:jc w:val="both"/>
              <w:rPr>
                <w:rFonts w:ascii="Arial" w:hAnsi="Arial" w:cs="Arial"/>
                <w:b/>
                <w:color w:val="000000"/>
                <w:sz w:val="18"/>
                <w:szCs w:val="18"/>
                <w:lang w:val="sr-Cyrl-CS"/>
              </w:rPr>
            </w:pPr>
            <w:r w:rsidRPr="0056201C">
              <w:rPr>
                <w:rFonts w:ascii="Arial" w:hAnsi="Arial" w:cs="Arial"/>
                <w:b/>
                <w:color w:val="000000"/>
                <w:sz w:val="18"/>
                <w:szCs w:val="18"/>
                <w:lang w:val="sr-Cyrl-CS"/>
              </w:rPr>
              <w:t>1.</w:t>
            </w:r>
            <w:r w:rsidR="00726BB9" w:rsidRPr="0056201C">
              <w:rPr>
                <w:rFonts w:ascii="Arial" w:hAnsi="Arial" w:cs="Arial"/>
                <w:b/>
                <w:color w:val="000000"/>
                <w:sz w:val="18"/>
                <w:szCs w:val="18"/>
                <w:lang w:val="sr-Cyrl-CS"/>
              </w:rPr>
              <w:t xml:space="preserve">                 </w:t>
            </w:r>
            <w:r w:rsidR="000419DD" w:rsidRPr="0056201C">
              <w:rPr>
                <w:rFonts w:ascii="Arial" w:hAnsi="Arial" w:cs="Arial"/>
                <w:color w:val="000000"/>
                <w:sz w:val="18"/>
                <w:szCs w:val="18"/>
                <w:lang w:val="sr-Cyrl-CS"/>
              </w:rPr>
              <w:t>800</w:t>
            </w:r>
            <w:r w:rsidR="00726BB9" w:rsidRPr="0056201C">
              <w:rPr>
                <w:rFonts w:ascii="Arial" w:hAnsi="Arial" w:cs="Arial"/>
                <w:color w:val="000000"/>
                <w:sz w:val="18"/>
                <w:szCs w:val="18"/>
                <w:lang w:val="sr-Cyrl-CS"/>
              </w:rPr>
              <w:t xml:space="preserve">        </w:t>
            </w:r>
            <w:r w:rsidR="000419DD" w:rsidRPr="0056201C">
              <w:rPr>
                <w:rFonts w:ascii="Arial" w:hAnsi="Arial" w:cs="Arial"/>
                <w:color w:val="000000"/>
                <w:sz w:val="18"/>
                <w:szCs w:val="18"/>
                <w:lang w:val="sr-Cyrl-CS"/>
              </w:rPr>
              <w:t xml:space="preserve">10  </w:t>
            </w:r>
            <w:r w:rsidR="00726BB9" w:rsidRPr="0056201C">
              <w:rPr>
                <w:rFonts w:ascii="Arial" w:hAnsi="Arial" w:cs="Arial"/>
                <w:color w:val="000000"/>
                <w:sz w:val="18"/>
                <w:szCs w:val="18"/>
                <w:lang w:val="sr-Cyrl-CS"/>
              </w:rPr>
              <w:t xml:space="preserve">   </w:t>
            </w:r>
            <w:r w:rsidR="005B5D9B" w:rsidRPr="0056201C">
              <w:rPr>
                <w:rFonts w:ascii="Arial" w:hAnsi="Arial" w:cs="Arial"/>
                <w:color w:val="000000"/>
                <w:sz w:val="18"/>
                <w:szCs w:val="18"/>
                <w:lang w:val="sr-Cyrl-CS"/>
              </w:rPr>
              <w:t xml:space="preserve">    </w:t>
            </w:r>
            <w:r w:rsidR="000419DD" w:rsidRPr="0056201C">
              <w:rPr>
                <w:rFonts w:ascii="Arial" w:hAnsi="Arial" w:cs="Arial"/>
                <w:color w:val="000000"/>
                <w:sz w:val="18"/>
                <w:szCs w:val="18"/>
                <w:lang w:val="sr-Cyrl-CS"/>
              </w:rPr>
              <w:t>8.000</w:t>
            </w:r>
            <w:r w:rsidR="000419DD" w:rsidRPr="0056201C">
              <w:rPr>
                <w:rFonts w:ascii="Arial" w:hAnsi="Arial" w:cs="Arial"/>
                <w:b/>
                <w:color w:val="000000"/>
                <w:sz w:val="18"/>
                <w:szCs w:val="18"/>
                <w:lang w:val="sr-Cyrl-CS"/>
              </w:rPr>
              <w:t xml:space="preserve">      </w:t>
            </w:r>
          </w:p>
        </w:tc>
        <w:tc>
          <w:tcPr>
            <w:tcW w:w="3070" w:type="dxa"/>
          </w:tcPr>
          <w:p w:rsidR="00865889" w:rsidRPr="0056201C" w:rsidRDefault="00865889" w:rsidP="0056201C">
            <w:pPr>
              <w:pStyle w:val="normal0"/>
              <w:spacing w:before="48" w:beforeAutospacing="0" w:after="48" w:afterAutospacing="0"/>
              <w:jc w:val="both"/>
              <w:rPr>
                <w:rFonts w:ascii="Arial" w:hAnsi="Arial" w:cs="Arial"/>
                <w:b/>
                <w:color w:val="000000"/>
                <w:sz w:val="18"/>
                <w:szCs w:val="18"/>
                <w:lang w:val="sr-Cyrl-CS"/>
              </w:rPr>
            </w:pPr>
          </w:p>
        </w:tc>
        <w:tc>
          <w:tcPr>
            <w:tcW w:w="3071" w:type="dxa"/>
          </w:tcPr>
          <w:p w:rsidR="00865889" w:rsidRPr="0056201C" w:rsidRDefault="00865889" w:rsidP="0056201C">
            <w:pPr>
              <w:pStyle w:val="normal0"/>
              <w:spacing w:before="48" w:beforeAutospacing="0" w:after="48" w:afterAutospacing="0"/>
              <w:jc w:val="both"/>
              <w:rPr>
                <w:rFonts w:ascii="Arial" w:hAnsi="Arial" w:cs="Arial"/>
                <w:b/>
                <w:color w:val="000000"/>
                <w:sz w:val="18"/>
                <w:szCs w:val="18"/>
                <w:lang w:val="sr-Cyrl-CS"/>
              </w:rPr>
            </w:pPr>
          </w:p>
        </w:tc>
      </w:tr>
      <w:tr w:rsidR="00865889" w:rsidRPr="0056201C" w:rsidTr="0056201C">
        <w:tc>
          <w:tcPr>
            <w:tcW w:w="3070" w:type="dxa"/>
          </w:tcPr>
          <w:p w:rsidR="00865889" w:rsidRPr="0056201C" w:rsidRDefault="00C53665" w:rsidP="0056201C">
            <w:pPr>
              <w:pStyle w:val="normal0"/>
              <w:spacing w:before="48" w:beforeAutospacing="0" w:after="48" w:afterAutospacing="0"/>
              <w:jc w:val="both"/>
              <w:rPr>
                <w:rFonts w:ascii="Arial" w:hAnsi="Arial" w:cs="Arial"/>
                <w:b/>
                <w:color w:val="000000"/>
                <w:sz w:val="18"/>
                <w:szCs w:val="18"/>
                <w:lang w:val="sr-Cyrl-CS"/>
              </w:rPr>
            </w:pPr>
            <w:r w:rsidRPr="0056201C">
              <w:rPr>
                <w:rFonts w:ascii="Arial" w:hAnsi="Arial" w:cs="Arial"/>
                <w:b/>
                <w:color w:val="000000"/>
                <w:sz w:val="18"/>
                <w:szCs w:val="18"/>
                <w:lang w:val="sr-Cyrl-CS"/>
              </w:rPr>
              <w:t>2.</w:t>
            </w:r>
            <w:r w:rsidR="00726BB9" w:rsidRPr="0056201C">
              <w:rPr>
                <w:rFonts w:ascii="Arial" w:hAnsi="Arial" w:cs="Arial"/>
                <w:b/>
                <w:color w:val="000000"/>
                <w:sz w:val="18"/>
                <w:szCs w:val="18"/>
                <w:lang w:val="sr-Cyrl-CS"/>
              </w:rPr>
              <w:t xml:space="preserve">               </w:t>
            </w:r>
            <w:r w:rsidR="000419DD" w:rsidRPr="0056201C">
              <w:rPr>
                <w:rFonts w:ascii="Arial" w:hAnsi="Arial" w:cs="Arial"/>
                <w:color w:val="000000"/>
                <w:sz w:val="18"/>
                <w:szCs w:val="18"/>
                <w:lang w:val="sr-Cyrl-CS"/>
              </w:rPr>
              <w:t>1000</w:t>
            </w:r>
            <w:r w:rsidR="00726BB9" w:rsidRPr="0056201C">
              <w:rPr>
                <w:rFonts w:ascii="Arial" w:hAnsi="Arial" w:cs="Arial"/>
                <w:color w:val="000000"/>
                <w:sz w:val="18"/>
                <w:szCs w:val="18"/>
                <w:lang w:val="sr-Cyrl-CS"/>
              </w:rPr>
              <w:t xml:space="preserve">      </w:t>
            </w:r>
            <w:r w:rsidR="005B5D9B" w:rsidRPr="0056201C">
              <w:rPr>
                <w:rFonts w:ascii="Arial" w:hAnsi="Arial" w:cs="Arial"/>
                <w:color w:val="000000"/>
                <w:sz w:val="18"/>
                <w:szCs w:val="18"/>
                <w:lang w:val="sr-Cyrl-CS"/>
              </w:rPr>
              <w:t xml:space="preserve">  </w:t>
            </w:r>
            <w:r w:rsidR="000419DD" w:rsidRPr="0056201C">
              <w:rPr>
                <w:rFonts w:ascii="Arial" w:hAnsi="Arial" w:cs="Arial"/>
                <w:color w:val="000000"/>
                <w:sz w:val="18"/>
                <w:szCs w:val="18"/>
                <w:lang w:val="sr-Cyrl-CS"/>
              </w:rPr>
              <w:t>20</w:t>
            </w:r>
            <w:r w:rsidR="00726BB9" w:rsidRPr="0056201C">
              <w:rPr>
                <w:rFonts w:ascii="Arial" w:hAnsi="Arial" w:cs="Arial"/>
                <w:color w:val="000000"/>
                <w:sz w:val="18"/>
                <w:szCs w:val="18"/>
                <w:lang w:val="sr-Cyrl-CS"/>
              </w:rPr>
              <w:t xml:space="preserve">   </w:t>
            </w:r>
            <w:r w:rsidRPr="0056201C">
              <w:rPr>
                <w:rFonts w:ascii="Arial" w:hAnsi="Arial" w:cs="Arial"/>
                <w:color w:val="000000"/>
                <w:sz w:val="18"/>
                <w:szCs w:val="18"/>
                <w:lang w:val="sr-Cyrl-CS"/>
              </w:rPr>
              <w:t xml:space="preserve">    </w:t>
            </w:r>
            <w:r w:rsidR="000419DD" w:rsidRPr="0056201C">
              <w:rPr>
                <w:rFonts w:ascii="Arial" w:hAnsi="Arial" w:cs="Arial"/>
                <w:color w:val="000000"/>
                <w:sz w:val="18"/>
                <w:szCs w:val="18"/>
                <w:lang w:val="sr-Cyrl-CS"/>
              </w:rPr>
              <w:t>20.000</w:t>
            </w:r>
          </w:p>
        </w:tc>
        <w:tc>
          <w:tcPr>
            <w:tcW w:w="3070" w:type="dxa"/>
          </w:tcPr>
          <w:p w:rsidR="00865889" w:rsidRPr="0056201C" w:rsidRDefault="00865889" w:rsidP="0056201C">
            <w:pPr>
              <w:pStyle w:val="normal0"/>
              <w:spacing w:before="48" w:beforeAutospacing="0" w:after="48" w:afterAutospacing="0"/>
              <w:jc w:val="both"/>
              <w:rPr>
                <w:rFonts w:ascii="Arial" w:hAnsi="Arial" w:cs="Arial"/>
                <w:b/>
                <w:color w:val="000000"/>
                <w:sz w:val="18"/>
                <w:szCs w:val="18"/>
                <w:lang w:val="sr-Cyrl-CS"/>
              </w:rPr>
            </w:pPr>
          </w:p>
        </w:tc>
        <w:tc>
          <w:tcPr>
            <w:tcW w:w="3071" w:type="dxa"/>
          </w:tcPr>
          <w:p w:rsidR="00865889" w:rsidRPr="0056201C" w:rsidRDefault="00865889" w:rsidP="0056201C">
            <w:pPr>
              <w:pStyle w:val="normal0"/>
              <w:spacing w:before="48" w:beforeAutospacing="0" w:after="48" w:afterAutospacing="0"/>
              <w:jc w:val="both"/>
              <w:rPr>
                <w:rFonts w:ascii="Arial" w:hAnsi="Arial" w:cs="Arial"/>
                <w:b/>
                <w:color w:val="000000"/>
                <w:sz w:val="18"/>
                <w:szCs w:val="18"/>
                <w:lang w:val="sr-Cyrl-CS"/>
              </w:rPr>
            </w:pPr>
          </w:p>
        </w:tc>
      </w:tr>
      <w:tr w:rsidR="00865889" w:rsidRPr="0056201C" w:rsidTr="0056201C">
        <w:tc>
          <w:tcPr>
            <w:tcW w:w="3070" w:type="dxa"/>
          </w:tcPr>
          <w:p w:rsidR="00865889" w:rsidRPr="0056201C" w:rsidRDefault="00C53665" w:rsidP="0056201C">
            <w:pPr>
              <w:pStyle w:val="normal0"/>
              <w:spacing w:before="48" w:beforeAutospacing="0" w:after="48" w:afterAutospacing="0"/>
              <w:jc w:val="both"/>
              <w:rPr>
                <w:rFonts w:ascii="Arial" w:hAnsi="Arial" w:cs="Arial"/>
                <w:b/>
                <w:color w:val="000000"/>
                <w:sz w:val="18"/>
                <w:szCs w:val="18"/>
                <w:lang w:val="sr-Cyrl-CS"/>
              </w:rPr>
            </w:pPr>
            <w:r w:rsidRPr="0056201C">
              <w:rPr>
                <w:rFonts w:ascii="Arial" w:hAnsi="Arial" w:cs="Arial"/>
                <w:b/>
                <w:color w:val="000000"/>
                <w:sz w:val="18"/>
                <w:szCs w:val="18"/>
                <w:lang w:val="sr-Cyrl-CS"/>
              </w:rPr>
              <w:t>3.</w:t>
            </w:r>
          </w:p>
        </w:tc>
        <w:tc>
          <w:tcPr>
            <w:tcW w:w="3070" w:type="dxa"/>
          </w:tcPr>
          <w:p w:rsidR="00865889" w:rsidRPr="0056201C" w:rsidRDefault="000419DD" w:rsidP="0056201C">
            <w:pPr>
              <w:pStyle w:val="normal0"/>
              <w:spacing w:before="48" w:beforeAutospacing="0" w:after="48" w:afterAutospacing="0"/>
              <w:jc w:val="both"/>
              <w:rPr>
                <w:rFonts w:ascii="Arial" w:hAnsi="Arial" w:cs="Arial"/>
                <w:color w:val="000000"/>
                <w:sz w:val="18"/>
                <w:szCs w:val="18"/>
                <w:lang w:val="sr-Cyrl-CS"/>
              </w:rPr>
            </w:pPr>
            <w:r w:rsidRPr="0056201C">
              <w:rPr>
                <w:rFonts w:ascii="Arial" w:hAnsi="Arial" w:cs="Arial"/>
                <w:b/>
                <w:color w:val="000000"/>
                <w:sz w:val="18"/>
                <w:szCs w:val="18"/>
                <w:lang w:val="sr-Cyrl-CS"/>
              </w:rPr>
              <w:t xml:space="preserve">  </w:t>
            </w:r>
            <w:r w:rsidR="00B17A48" w:rsidRPr="0056201C">
              <w:rPr>
                <w:rFonts w:ascii="Arial" w:hAnsi="Arial" w:cs="Arial"/>
                <w:color w:val="000000"/>
                <w:sz w:val="18"/>
                <w:szCs w:val="18"/>
                <w:lang w:val="sr-Cyrl-CS"/>
              </w:rPr>
              <w:t xml:space="preserve">400   10         4.000                                </w:t>
            </w:r>
            <w:r w:rsidRPr="0056201C">
              <w:rPr>
                <w:rFonts w:ascii="Arial" w:hAnsi="Arial" w:cs="Arial"/>
                <w:color w:val="000000"/>
                <w:sz w:val="18"/>
                <w:szCs w:val="18"/>
                <w:lang w:val="sr-Cyrl-CS"/>
              </w:rPr>
              <w:t xml:space="preserve">                             </w:t>
            </w:r>
          </w:p>
        </w:tc>
        <w:tc>
          <w:tcPr>
            <w:tcW w:w="3071" w:type="dxa"/>
          </w:tcPr>
          <w:p w:rsidR="00865889" w:rsidRPr="0056201C" w:rsidRDefault="00B17A48" w:rsidP="0056201C">
            <w:pPr>
              <w:pStyle w:val="normal0"/>
              <w:spacing w:before="48" w:beforeAutospacing="0" w:after="48" w:afterAutospacing="0"/>
              <w:jc w:val="both"/>
              <w:rPr>
                <w:rFonts w:ascii="Arial" w:hAnsi="Arial" w:cs="Arial"/>
                <w:color w:val="000000"/>
                <w:sz w:val="18"/>
                <w:szCs w:val="18"/>
                <w:lang w:val="sr-Cyrl-CS"/>
              </w:rPr>
            </w:pPr>
            <w:r w:rsidRPr="0056201C">
              <w:rPr>
                <w:rFonts w:ascii="Arial" w:hAnsi="Arial" w:cs="Arial"/>
                <w:b/>
                <w:color w:val="000000"/>
                <w:sz w:val="18"/>
                <w:szCs w:val="18"/>
                <w:lang w:val="sr-Cyrl-CS"/>
              </w:rPr>
              <w:t xml:space="preserve"> </w:t>
            </w:r>
            <w:r w:rsidRPr="0056201C">
              <w:rPr>
                <w:rFonts w:ascii="Arial" w:hAnsi="Arial" w:cs="Arial"/>
                <w:color w:val="000000"/>
                <w:sz w:val="18"/>
                <w:szCs w:val="18"/>
                <w:lang w:val="sr-Cyrl-CS"/>
              </w:rPr>
              <w:t xml:space="preserve">400     10         4.000                                </w:t>
            </w:r>
          </w:p>
        </w:tc>
      </w:tr>
      <w:tr w:rsidR="00865889" w:rsidRPr="0056201C" w:rsidTr="0056201C">
        <w:trPr>
          <w:trHeight w:val="587"/>
        </w:trPr>
        <w:tc>
          <w:tcPr>
            <w:tcW w:w="3070" w:type="dxa"/>
          </w:tcPr>
          <w:p w:rsidR="00865889" w:rsidRPr="0056201C" w:rsidRDefault="00865889" w:rsidP="0056201C">
            <w:pPr>
              <w:pStyle w:val="normal0"/>
              <w:spacing w:before="48" w:beforeAutospacing="0" w:after="48" w:afterAutospacing="0"/>
              <w:jc w:val="both"/>
              <w:rPr>
                <w:rFonts w:ascii="Arial" w:hAnsi="Arial" w:cs="Arial"/>
                <w:b/>
                <w:color w:val="000000"/>
                <w:sz w:val="18"/>
                <w:szCs w:val="18"/>
                <w:lang w:val="sr-Cyrl-CS"/>
              </w:rPr>
            </w:pPr>
          </w:p>
          <w:p w:rsidR="00B17A48" w:rsidRPr="0056201C" w:rsidRDefault="00B17A48" w:rsidP="0056201C">
            <w:pPr>
              <w:pStyle w:val="normal0"/>
              <w:spacing w:before="48" w:beforeAutospacing="0" w:after="48" w:afterAutospacing="0"/>
              <w:jc w:val="both"/>
              <w:rPr>
                <w:rFonts w:ascii="Arial" w:hAnsi="Arial" w:cs="Arial"/>
                <w:b/>
                <w:color w:val="000000"/>
                <w:sz w:val="18"/>
                <w:szCs w:val="18"/>
                <w:lang w:val="sr-Cyrl-CS"/>
              </w:rPr>
            </w:pPr>
            <w:r w:rsidRPr="0056201C">
              <w:rPr>
                <w:rFonts w:ascii="Arial" w:hAnsi="Arial" w:cs="Arial"/>
                <w:b/>
                <w:color w:val="000000"/>
                <w:sz w:val="18"/>
                <w:szCs w:val="18"/>
                <w:lang w:val="sr-Cyrl-CS"/>
              </w:rPr>
              <w:t>свега                                  28.000</w:t>
            </w:r>
          </w:p>
        </w:tc>
        <w:tc>
          <w:tcPr>
            <w:tcW w:w="3070" w:type="dxa"/>
          </w:tcPr>
          <w:p w:rsidR="00865889" w:rsidRPr="0056201C" w:rsidRDefault="005B5D9B" w:rsidP="0056201C">
            <w:pPr>
              <w:pStyle w:val="normal0"/>
              <w:spacing w:before="48" w:beforeAutospacing="0" w:after="48" w:afterAutospacing="0"/>
              <w:jc w:val="both"/>
              <w:rPr>
                <w:rFonts w:ascii="Arial" w:hAnsi="Arial" w:cs="Arial"/>
                <w:b/>
                <w:color w:val="000000"/>
                <w:sz w:val="18"/>
                <w:szCs w:val="18"/>
                <w:lang w:val="sr-Cyrl-CS"/>
              </w:rPr>
            </w:pPr>
            <w:r w:rsidRPr="0056201C">
              <w:rPr>
                <w:rFonts w:ascii="Arial" w:hAnsi="Arial" w:cs="Arial"/>
                <w:b/>
                <w:color w:val="000000"/>
                <w:sz w:val="18"/>
                <w:szCs w:val="18"/>
                <w:lang w:val="sr-Cyrl-CS"/>
              </w:rPr>
              <w:t xml:space="preserve">                       </w:t>
            </w:r>
          </w:p>
          <w:p w:rsidR="00B17A48" w:rsidRPr="0056201C" w:rsidRDefault="00B17A48" w:rsidP="0056201C">
            <w:pPr>
              <w:pStyle w:val="normal0"/>
              <w:spacing w:before="48" w:beforeAutospacing="0" w:after="48" w:afterAutospacing="0"/>
              <w:jc w:val="both"/>
              <w:rPr>
                <w:rFonts w:ascii="Arial" w:hAnsi="Arial" w:cs="Arial"/>
                <w:b/>
                <w:color w:val="000000"/>
                <w:sz w:val="18"/>
                <w:szCs w:val="18"/>
                <w:lang w:val="sr-Cyrl-CS"/>
              </w:rPr>
            </w:pPr>
            <w:r w:rsidRPr="0056201C">
              <w:rPr>
                <w:rFonts w:ascii="Arial" w:hAnsi="Arial" w:cs="Arial"/>
                <w:b/>
                <w:color w:val="000000"/>
                <w:sz w:val="18"/>
                <w:szCs w:val="18"/>
                <w:lang w:val="sr-Cyrl-CS"/>
              </w:rPr>
              <w:t xml:space="preserve">                         4.000</w:t>
            </w:r>
          </w:p>
        </w:tc>
        <w:tc>
          <w:tcPr>
            <w:tcW w:w="3071" w:type="dxa"/>
          </w:tcPr>
          <w:p w:rsidR="00865889" w:rsidRPr="0056201C" w:rsidRDefault="000419DD" w:rsidP="0056201C">
            <w:pPr>
              <w:pStyle w:val="normal0"/>
              <w:spacing w:before="48" w:beforeAutospacing="0" w:after="48" w:afterAutospacing="0"/>
              <w:jc w:val="both"/>
              <w:rPr>
                <w:rFonts w:ascii="Arial" w:hAnsi="Arial" w:cs="Arial"/>
                <w:color w:val="000000"/>
                <w:sz w:val="18"/>
                <w:szCs w:val="18"/>
                <w:lang w:val="sr-Cyrl-CS"/>
              </w:rPr>
            </w:pPr>
            <w:r w:rsidRPr="0056201C">
              <w:rPr>
                <w:rFonts w:ascii="Arial" w:hAnsi="Arial" w:cs="Arial"/>
                <w:b/>
                <w:color w:val="000000"/>
                <w:sz w:val="18"/>
                <w:szCs w:val="18"/>
                <w:lang w:val="sr-Cyrl-CS"/>
              </w:rPr>
              <w:t xml:space="preserve"> </w:t>
            </w:r>
            <w:r w:rsidR="00B17A48" w:rsidRPr="0056201C">
              <w:rPr>
                <w:rFonts w:ascii="Arial" w:hAnsi="Arial" w:cs="Arial"/>
                <w:color w:val="000000"/>
                <w:sz w:val="18"/>
                <w:szCs w:val="18"/>
                <w:lang w:val="sr-Cyrl-CS"/>
              </w:rPr>
              <w:t>1000   20        20.000</w:t>
            </w:r>
            <w:r w:rsidRPr="0056201C">
              <w:rPr>
                <w:rFonts w:ascii="Arial" w:hAnsi="Arial" w:cs="Arial"/>
                <w:color w:val="000000"/>
                <w:sz w:val="18"/>
                <w:szCs w:val="18"/>
                <w:lang w:val="sr-Cyrl-CS"/>
              </w:rPr>
              <w:t xml:space="preserve">                     </w:t>
            </w:r>
          </w:p>
          <w:p w:rsidR="00B17A48" w:rsidRPr="0056201C" w:rsidRDefault="00B17A48" w:rsidP="0056201C">
            <w:pPr>
              <w:pStyle w:val="normal0"/>
              <w:spacing w:before="48" w:beforeAutospacing="0" w:after="48" w:afterAutospacing="0"/>
              <w:jc w:val="both"/>
              <w:rPr>
                <w:rFonts w:ascii="Arial" w:hAnsi="Arial" w:cs="Arial"/>
                <w:b/>
                <w:color w:val="000000"/>
                <w:sz w:val="18"/>
                <w:szCs w:val="18"/>
                <w:lang w:val="sr-Cyrl-CS"/>
              </w:rPr>
            </w:pPr>
            <w:r w:rsidRPr="0056201C">
              <w:rPr>
                <w:rFonts w:ascii="Arial" w:hAnsi="Arial" w:cs="Arial"/>
                <w:b/>
                <w:color w:val="000000"/>
                <w:sz w:val="18"/>
                <w:szCs w:val="18"/>
                <w:lang w:val="sr-Cyrl-CS"/>
              </w:rPr>
              <w:t xml:space="preserve">                        24.000</w:t>
            </w:r>
          </w:p>
        </w:tc>
      </w:tr>
    </w:tbl>
    <w:p w:rsidR="00865889" w:rsidRPr="008A7AC2" w:rsidRDefault="00865889" w:rsidP="008A7AC2">
      <w:pPr>
        <w:pStyle w:val="normal0"/>
        <w:shd w:val="clear" w:color="auto" w:fill="FFFFFF"/>
        <w:spacing w:before="48" w:beforeAutospacing="0" w:after="48" w:afterAutospacing="0"/>
        <w:jc w:val="both"/>
        <w:rPr>
          <w:rFonts w:ascii="Arial" w:hAnsi="Arial" w:cs="Arial"/>
          <w:b/>
          <w:color w:val="000000"/>
          <w:sz w:val="18"/>
          <w:szCs w:val="18"/>
          <w:lang w:val="sr-Cyrl-CS"/>
        </w:rPr>
      </w:pPr>
    </w:p>
    <w:p w:rsidR="000B3BC5" w:rsidRDefault="000B3BC5" w:rsidP="00916DBB">
      <w:pPr>
        <w:pStyle w:val="normal0"/>
        <w:shd w:val="clear" w:color="auto" w:fill="FFFFFF"/>
        <w:spacing w:before="48" w:beforeAutospacing="0" w:after="48" w:afterAutospacing="0"/>
        <w:ind w:firstLine="708"/>
        <w:jc w:val="both"/>
        <w:rPr>
          <w:color w:val="000000"/>
          <w:lang w:val="sr-Cyrl-CS"/>
        </w:rPr>
      </w:pPr>
    </w:p>
    <w:p w:rsidR="00821B0C" w:rsidRPr="00797E29" w:rsidRDefault="00726BB9" w:rsidP="00797E29">
      <w:pPr>
        <w:ind w:firstLine="708"/>
        <w:jc w:val="both"/>
        <w:rPr>
          <w:rFonts w:ascii="Times New Roman" w:hAnsi="Times New Roman"/>
          <w:sz w:val="24"/>
          <w:szCs w:val="24"/>
          <w:lang w:val="sr-Cyrl-CS"/>
        </w:rPr>
      </w:pPr>
      <w:r w:rsidRPr="00797E29">
        <w:rPr>
          <w:rFonts w:ascii="Times New Roman" w:hAnsi="Times New Roman"/>
          <w:sz w:val="24"/>
          <w:szCs w:val="24"/>
          <w:lang w:val="sr-Cyrl-CS"/>
        </w:rPr>
        <w:t xml:space="preserve">Из приказане табеле се види да је </w:t>
      </w:r>
      <w:r w:rsidR="005B5D9B" w:rsidRPr="00797E29">
        <w:rPr>
          <w:rFonts w:ascii="Times New Roman" w:hAnsi="Times New Roman"/>
          <w:sz w:val="24"/>
          <w:szCs w:val="24"/>
          <w:lang w:val="sr-Cyrl-CS"/>
        </w:rPr>
        <w:t xml:space="preserve">излазом 400 комада последње и уједно скупље набавке остварен трошак од 4.000 динара. На залихама је остало 400 комада раније набављене робе по нижој цени и 1000 комада касније набављене робе по вишој цени. Вредност робе која је остала на залихама је 24.000 динара. </w:t>
      </w:r>
      <w:r w:rsidR="00FE3795" w:rsidRPr="00797E29">
        <w:rPr>
          <w:rFonts w:ascii="Times New Roman" w:hAnsi="Times New Roman"/>
          <w:sz w:val="24"/>
          <w:szCs w:val="24"/>
          <w:lang w:val="sr-Cyrl-CS"/>
        </w:rPr>
        <w:t xml:space="preserve">Овај пример је дат за случај раста цена. </w:t>
      </w:r>
      <w:r w:rsidR="00797E29">
        <w:rPr>
          <w:rFonts w:ascii="Times New Roman" w:hAnsi="Times New Roman"/>
          <w:sz w:val="24"/>
          <w:szCs w:val="24"/>
          <w:lang w:val="sr-Cyrl-CS"/>
        </w:rPr>
        <w:t xml:space="preserve"> </w:t>
      </w:r>
    </w:p>
    <w:p w:rsidR="00272D6D" w:rsidRDefault="00272D6D" w:rsidP="00916DBB">
      <w:pPr>
        <w:pStyle w:val="normal0"/>
        <w:shd w:val="clear" w:color="auto" w:fill="FFFFFF"/>
        <w:spacing w:before="48" w:beforeAutospacing="0" w:after="48" w:afterAutospacing="0"/>
        <w:ind w:firstLine="708"/>
        <w:jc w:val="both"/>
        <w:rPr>
          <w:color w:val="000000"/>
          <w:lang w:val="sr-Cyrl-CS"/>
        </w:rPr>
      </w:pPr>
    </w:p>
    <w:p w:rsidR="00821B0C" w:rsidRDefault="00821B0C" w:rsidP="00916DBB">
      <w:pPr>
        <w:pStyle w:val="normal0"/>
        <w:shd w:val="clear" w:color="auto" w:fill="FFFFFF"/>
        <w:spacing w:before="48" w:beforeAutospacing="0" w:after="48" w:afterAutospacing="0"/>
        <w:ind w:firstLine="708"/>
        <w:jc w:val="both"/>
        <w:rPr>
          <w:color w:val="000000"/>
          <w:lang w:val="sr-Cyrl-CS"/>
        </w:rPr>
      </w:pPr>
      <w:r>
        <w:rPr>
          <w:color w:val="000000"/>
          <w:lang w:val="sr-Cyrl-CS"/>
        </w:rPr>
        <w:lastRenderedPageBreak/>
        <w:t>Ка</w:t>
      </w:r>
      <w:r w:rsidR="00272D6D">
        <w:rPr>
          <w:color w:val="000000"/>
          <w:lang w:val="sr-Cyrl-CS"/>
        </w:rPr>
        <w:t>кви су ефекти</w:t>
      </w:r>
      <w:r>
        <w:rPr>
          <w:color w:val="000000"/>
          <w:lang w:val="sr-Cyrl-CS"/>
        </w:rPr>
        <w:t xml:space="preserve"> овог метода на опорезиву добит, у условима континуираног раста цена</w:t>
      </w:r>
      <w:r w:rsidR="007C4C29">
        <w:rPr>
          <w:color w:val="000000"/>
          <w:lang w:val="sr-Cyrl-CS"/>
        </w:rPr>
        <w:t xml:space="preserve"> у једном обрачунском периоду</w:t>
      </w:r>
      <w:r>
        <w:rPr>
          <w:color w:val="000000"/>
          <w:lang w:val="sr-Cyrl-CS"/>
        </w:rPr>
        <w:t>,  истражићемо у следећем примеру за два случаја:</w:t>
      </w:r>
    </w:p>
    <w:p w:rsidR="00821B0C" w:rsidRDefault="00821B0C" w:rsidP="00916DBB">
      <w:pPr>
        <w:pStyle w:val="normal0"/>
        <w:shd w:val="clear" w:color="auto" w:fill="FFFFFF"/>
        <w:spacing w:before="48" w:beforeAutospacing="0" w:after="48" w:afterAutospacing="0"/>
        <w:ind w:firstLine="708"/>
        <w:jc w:val="both"/>
        <w:rPr>
          <w:color w:val="000000"/>
          <w:lang w:val="sr-Cyrl-CS"/>
        </w:rPr>
      </w:pPr>
    </w:p>
    <w:p w:rsidR="00821B0C" w:rsidRDefault="00821B0C" w:rsidP="00916DBB">
      <w:pPr>
        <w:pStyle w:val="normal0"/>
        <w:shd w:val="clear" w:color="auto" w:fill="FFFFFF"/>
        <w:spacing w:before="48" w:beforeAutospacing="0" w:after="48" w:afterAutospacing="0"/>
        <w:ind w:firstLine="708"/>
        <w:jc w:val="both"/>
        <w:rPr>
          <w:color w:val="000000"/>
          <w:lang w:val="sr-Cyrl-CS"/>
        </w:rPr>
      </w:pPr>
      <w:r>
        <w:rPr>
          <w:color w:val="000000"/>
          <w:lang w:val="sr-Cyrl-CS"/>
        </w:rPr>
        <w:t>-први случај</w:t>
      </w:r>
    </w:p>
    <w:p w:rsidR="005044EC" w:rsidRDefault="005044EC" w:rsidP="00916DBB">
      <w:pPr>
        <w:pStyle w:val="normal0"/>
        <w:shd w:val="clear" w:color="auto" w:fill="FFFFFF"/>
        <w:spacing w:before="48" w:beforeAutospacing="0" w:after="48" w:afterAutospacing="0"/>
        <w:ind w:firstLine="708"/>
        <w:jc w:val="both"/>
        <w:rPr>
          <w:color w:val="000000"/>
          <w:lang w:val="sr-Cyrl-CS"/>
        </w:rPr>
      </w:pPr>
    </w:p>
    <w:p w:rsidR="005044EC" w:rsidRDefault="005044EC" w:rsidP="00916DBB">
      <w:pPr>
        <w:pStyle w:val="normal0"/>
        <w:shd w:val="clear" w:color="auto" w:fill="FFFFFF"/>
        <w:spacing w:before="48" w:beforeAutospacing="0" w:after="48" w:afterAutospacing="0"/>
        <w:ind w:firstLine="708"/>
        <w:jc w:val="both"/>
        <w:rPr>
          <w:color w:val="000000"/>
          <w:lang w:val="sr-Cyrl-CS"/>
        </w:rPr>
      </w:pPr>
    </w:p>
    <w:p w:rsidR="00821B0C" w:rsidRPr="005044EC" w:rsidRDefault="00A74A8E" w:rsidP="00916DBB">
      <w:pPr>
        <w:pStyle w:val="normal0"/>
        <w:shd w:val="clear" w:color="auto" w:fill="FFFFFF"/>
        <w:spacing w:before="48" w:beforeAutospacing="0" w:after="48" w:afterAutospacing="0"/>
        <w:ind w:firstLine="708"/>
        <w:jc w:val="both"/>
        <w:rPr>
          <w:b/>
          <w:color w:val="000000"/>
          <w:lang w:val="sr-Cyrl-CS"/>
        </w:rPr>
      </w:pPr>
      <w:r>
        <w:rPr>
          <w:b/>
          <w:color w:val="000000"/>
          <w:lang w:val="sr-Cyrl-CS"/>
        </w:rPr>
        <w:t>Табела 12</w:t>
      </w:r>
      <w:r w:rsidR="005044EC" w:rsidRPr="005044EC">
        <w:rPr>
          <w:b/>
          <w:color w:val="000000"/>
          <w:lang w:val="sr-Cyrl-CS"/>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05"/>
        <w:gridCol w:w="4606"/>
      </w:tblGrid>
      <w:tr w:rsidR="00821B0C" w:rsidRPr="00EF6180" w:rsidTr="00EF6180">
        <w:tc>
          <w:tcPr>
            <w:tcW w:w="4605" w:type="dxa"/>
          </w:tcPr>
          <w:p w:rsidR="00821B0C" w:rsidRPr="00EF6180" w:rsidRDefault="00821B0C" w:rsidP="00EF6180">
            <w:pPr>
              <w:pStyle w:val="normal0"/>
              <w:spacing w:before="48" w:beforeAutospacing="0" w:after="48" w:afterAutospacing="0"/>
              <w:jc w:val="both"/>
              <w:rPr>
                <w:color w:val="000000"/>
                <w:lang w:val="sr-Cyrl-CS"/>
              </w:rPr>
            </w:pPr>
            <w:r w:rsidRPr="00EF6180">
              <w:rPr>
                <w:color w:val="000000"/>
                <w:lang w:val="sr-Cyrl-CS"/>
              </w:rPr>
              <w:t>залихе - почетак обрачунског периода</w:t>
            </w:r>
          </w:p>
        </w:tc>
        <w:tc>
          <w:tcPr>
            <w:tcW w:w="4606" w:type="dxa"/>
          </w:tcPr>
          <w:p w:rsidR="00821B0C" w:rsidRPr="00EF6180" w:rsidRDefault="00643817" w:rsidP="00EF6180">
            <w:pPr>
              <w:pStyle w:val="normal0"/>
              <w:spacing w:before="48" w:beforeAutospacing="0" w:after="48" w:afterAutospacing="0"/>
              <w:jc w:val="both"/>
              <w:rPr>
                <w:color w:val="000000"/>
                <w:lang w:val="sr-Cyrl-CS"/>
              </w:rPr>
            </w:pPr>
            <w:r w:rsidRPr="00EF6180">
              <w:rPr>
                <w:color w:val="000000"/>
                <w:lang w:val="sr-Cyrl-CS"/>
              </w:rPr>
              <w:t>500</w:t>
            </w:r>
          </w:p>
        </w:tc>
      </w:tr>
      <w:tr w:rsidR="00821B0C" w:rsidRPr="00EF6180" w:rsidTr="00EF6180">
        <w:tc>
          <w:tcPr>
            <w:tcW w:w="4605" w:type="dxa"/>
          </w:tcPr>
          <w:p w:rsidR="00821B0C" w:rsidRPr="00EF6180" w:rsidRDefault="00821B0C" w:rsidP="00EF6180">
            <w:pPr>
              <w:pStyle w:val="normal0"/>
              <w:spacing w:before="48" w:beforeAutospacing="0" w:after="48" w:afterAutospacing="0"/>
              <w:jc w:val="both"/>
              <w:rPr>
                <w:color w:val="000000"/>
                <w:lang w:val="sr-Cyrl-CS"/>
              </w:rPr>
            </w:pPr>
            <w:r w:rsidRPr="00EF6180">
              <w:rPr>
                <w:color w:val="000000"/>
                <w:lang w:val="sr-Cyrl-CS"/>
              </w:rPr>
              <w:t>залихе - крај обрачунског периода</w:t>
            </w:r>
          </w:p>
        </w:tc>
        <w:tc>
          <w:tcPr>
            <w:tcW w:w="4606" w:type="dxa"/>
          </w:tcPr>
          <w:p w:rsidR="00821B0C" w:rsidRPr="00EF6180" w:rsidRDefault="00821B0C" w:rsidP="00EF6180">
            <w:pPr>
              <w:pStyle w:val="normal0"/>
              <w:spacing w:before="48" w:beforeAutospacing="0" w:after="48" w:afterAutospacing="0"/>
              <w:jc w:val="both"/>
              <w:rPr>
                <w:color w:val="000000"/>
                <w:lang w:val="sr-Cyrl-CS"/>
              </w:rPr>
            </w:pPr>
            <w:r w:rsidRPr="00EF6180">
              <w:rPr>
                <w:color w:val="000000"/>
                <w:lang w:val="sr-Cyrl-CS"/>
              </w:rPr>
              <w:t>1000</w:t>
            </w:r>
          </w:p>
        </w:tc>
      </w:tr>
      <w:tr w:rsidR="00821B0C" w:rsidRPr="00EF6180" w:rsidTr="00EF6180">
        <w:tc>
          <w:tcPr>
            <w:tcW w:w="4605" w:type="dxa"/>
          </w:tcPr>
          <w:p w:rsidR="00821B0C" w:rsidRPr="00EF6180" w:rsidRDefault="00821B0C" w:rsidP="00EF6180">
            <w:pPr>
              <w:pStyle w:val="normal0"/>
              <w:spacing w:before="48" w:beforeAutospacing="0" w:after="48" w:afterAutospacing="0"/>
              <w:jc w:val="both"/>
              <w:rPr>
                <w:color w:val="000000"/>
                <w:lang w:val="sr-Cyrl-CS"/>
              </w:rPr>
            </w:pPr>
            <w:r w:rsidRPr="00EF6180">
              <w:rPr>
                <w:color w:val="000000"/>
                <w:lang w:val="sr-Cyrl-CS"/>
              </w:rPr>
              <w:t>опорезива добит</w:t>
            </w:r>
          </w:p>
        </w:tc>
        <w:tc>
          <w:tcPr>
            <w:tcW w:w="4606" w:type="dxa"/>
          </w:tcPr>
          <w:p w:rsidR="00821B0C" w:rsidRPr="00EF6180" w:rsidRDefault="00821B0C" w:rsidP="00EF6180">
            <w:pPr>
              <w:pStyle w:val="normal0"/>
              <w:spacing w:before="48" w:beforeAutospacing="0" w:after="48" w:afterAutospacing="0"/>
              <w:jc w:val="both"/>
              <w:rPr>
                <w:color w:val="000000"/>
                <w:lang w:val="sr-Cyrl-CS"/>
              </w:rPr>
            </w:pPr>
            <w:r w:rsidRPr="00EF6180">
              <w:rPr>
                <w:color w:val="000000"/>
                <w:lang w:val="sr-Cyrl-CS"/>
              </w:rPr>
              <w:t>500</w:t>
            </w:r>
          </w:p>
        </w:tc>
      </w:tr>
    </w:tbl>
    <w:p w:rsidR="00821B0C" w:rsidRDefault="00821B0C" w:rsidP="00916DBB">
      <w:pPr>
        <w:pStyle w:val="normal0"/>
        <w:shd w:val="clear" w:color="auto" w:fill="FFFFFF"/>
        <w:spacing w:before="48" w:beforeAutospacing="0" w:after="48" w:afterAutospacing="0"/>
        <w:ind w:firstLine="708"/>
        <w:jc w:val="both"/>
        <w:rPr>
          <w:color w:val="000000"/>
          <w:lang w:val="sr-Cyrl-CS"/>
        </w:rPr>
      </w:pPr>
    </w:p>
    <w:p w:rsidR="00821B0C" w:rsidRDefault="00643817" w:rsidP="008A3795">
      <w:pPr>
        <w:pStyle w:val="normal0"/>
        <w:numPr>
          <w:ilvl w:val="0"/>
          <w:numId w:val="23"/>
        </w:numPr>
        <w:shd w:val="clear" w:color="auto" w:fill="FFFFFF"/>
        <w:spacing w:before="48" w:beforeAutospacing="0" w:after="48" w:afterAutospacing="0"/>
        <w:jc w:val="both"/>
        <w:rPr>
          <w:color w:val="000000"/>
          <w:lang w:val="sr-Cyrl-CS"/>
        </w:rPr>
      </w:pPr>
      <w:r>
        <w:rPr>
          <w:color w:val="000000"/>
          <w:lang w:val="sr-Cyrl-CS"/>
        </w:rPr>
        <w:t>д</w:t>
      </w:r>
      <w:r w:rsidR="00821B0C">
        <w:rPr>
          <w:color w:val="000000"/>
          <w:lang w:val="sr-Cyrl-CS"/>
        </w:rPr>
        <w:t>руги случај</w:t>
      </w:r>
    </w:p>
    <w:p w:rsidR="005044EC" w:rsidRDefault="005044EC" w:rsidP="005044EC">
      <w:pPr>
        <w:pStyle w:val="normal0"/>
        <w:shd w:val="clear" w:color="auto" w:fill="FFFFFF"/>
        <w:spacing w:before="48" w:beforeAutospacing="0" w:after="48" w:afterAutospacing="0"/>
        <w:ind w:left="720"/>
        <w:jc w:val="both"/>
        <w:rPr>
          <w:color w:val="000000"/>
          <w:lang w:val="sr-Cyrl-CS"/>
        </w:rPr>
      </w:pPr>
    </w:p>
    <w:p w:rsidR="005044EC" w:rsidRDefault="005044EC" w:rsidP="005044EC">
      <w:pPr>
        <w:pStyle w:val="normal0"/>
        <w:shd w:val="clear" w:color="auto" w:fill="FFFFFF"/>
        <w:spacing w:before="48" w:beforeAutospacing="0" w:after="48" w:afterAutospacing="0"/>
        <w:ind w:left="720"/>
        <w:jc w:val="both"/>
        <w:rPr>
          <w:color w:val="000000"/>
          <w:lang w:val="sr-Cyrl-CS"/>
        </w:rPr>
      </w:pPr>
    </w:p>
    <w:p w:rsidR="00821B0C" w:rsidRPr="005044EC" w:rsidRDefault="00A74A8E" w:rsidP="00821B0C">
      <w:pPr>
        <w:pStyle w:val="normal0"/>
        <w:shd w:val="clear" w:color="auto" w:fill="FFFFFF"/>
        <w:spacing w:before="48" w:beforeAutospacing="0" w:after="48" w:afterAutospacing="0"/>
        <w:ind w:left="720"/>
        <w:jc w:val="both"/>
        <w:rPr>
          <w:b/>
          <w:color w:val="000000"/>
          <w:lang w:val="sr-Cyrl-CS"/>
        </w:rPr>
      </w:pPr>
      <w:r>
        <w:rPr>
          <w:b/>
          <w:color w:val="000000"/>
          <w:lang w:val="sr-Cyrl-CS"/>
        </w:rPr>
        <w:t>Табела 13</w:t>
      </w:r>
      <w:r w:rsidR="005044EC" w:rsidRPr="005044EC">
        <w:rPr>
          <w:b/>
          <w:color w:val="000000"/>
          <w:lang w:val="sr-Cyrl-CS"/>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05"/>
        <w:gridCol w:w="4606"/>
      </w:tblGrid>
      <w:tr w:rsidR="00821B0C" w:rsidRPr="00EF6180" w:rsidTr="00EF6180">
        <w:tc>
          <w:tcPr>
            <w:tcW w:w="4605" w:type="dxa"/>
          </w:tcPr>
          <w:p w:rsidR="00821B0C" w:rsidRPr="00EF6180" w:rsidRDefault="00821B0C" w:rsidP="00EF6180">
            <w:pPr>
              <w:pStyle w:val="normal0"/>
              <w:spacing w:before="48" w:beforeAutospacing="0" w:after="48" w:afterAutospacing="0"/>
              <w:jc w:val="both"/>
              <w:rPr>
                <w:color w:val="000000"/>
                <w:lang w:val="sr-Cyrl-CS"/>
              </w:rPr>
            </w:pPr>
            <w:r w:rsidRPr="00EF6180">
              <w:rPr>
                <w:color w:val="000000"/>
                <w:lang w:val="sr-Cyrl-CS"/>
              </w:rPr>
              <w:t>залихе -  почетак обрачунског периода</w:t>
            </w:r>
          </w:p>
        </w:tc>
        <w:tc>
          <w:tcPr>
            <w:tcW w:w="4606" w:type="dxa"/>
          </w:tcPr>
          <w:p w:rsidR="00821B0C" w:rsidRPr="00EF6180" w:rsidRDefault="00643817" w:rsidP="00EF6180">
            <w:pPr>
              <w:pStyle w:val="normal0"/>
              <w:spacing w:before="48" w:beforeAutospacing="0" w:after="48" w:afterAutospacing="0"/>
              <w:jc w:val="both"/>
              <w:rPr>
                <w:color w:val="000000"/>
                <w:lang w:val="sr-Cyrl-CS"/>
              </w:rPr>
            </w:pPr>
            <w:r w:rsidRPr="00EF6180">
              <w:rPr>
                <w:color w:val="000000"/>
                <w:lang w:val="sr-Cyrl-CS"/>
              </w:rPr>
              <w:t>500</w:t>
            </w:r>
          </w:p>
        </w:tc>
      </w:tr>
      <w:tr w:rsidR="00821B0C" w:rsidRPr="00EF6180" w:rsidTr="00EF6180">
        <w:tc>
          <w:tcPr>
            <w:tcW w:w="4605" w:type="dxa"/>
          </w:tcPr>
          <w:p w:rsidR="00821B0C" w:rsidRPr="00EF6180" w:rsidRDefault="00821B0C" w:rsidP="00EF6180">
            <w:pPr>
              <w:pStyle w:val="normal0"/>
              <w:spacing w:before="48" w:beforeAutospacing="0" w:after="48" w:afterAutospacing="0"/>
              <w:jc w:val="both"/>
              <w:rPr>
                <w:color w:val="000000"/>
                <w:lang w:val="sr-Cyrl-CS"/>
              </w:rPr>
            </w:pPr>
            <w:r w:rsidRPr="00EF6180">
              <w:rPr>
                <w:color w:val="000000"/>
                <w:lang w:val="sr-Cyrl-CS"/>
              </w:rPr>
              <w:t>залихе - крај обрачунског периода</w:t>
            </w:r>
          </w:p>
        </w:tc>
        <w:tc>
          <w:tcPr>
            <w:tcW w:w="4606" w:type="dxa"/>
          </w:tcPr>
          <w:p w:rsidR="00821B0C" w:rsidRPr="00EF6180" w:rsidRDefault="00643817" w:rsidP="00EF6180">
            <w:pPr>
              <w:pStyle w:val="normal0"/>
              <w:spacing w:before="48" w:beforeAutospacing="0" w:after="48" w:afterAutospacing="0"/>
              <w:jc w:val="both"/>
              <w:rPr>
                <w:color w:val="000000"/>
                <w:lang w:val="sr-Cyrl-CS"/>
              </w:rPr>
            </w:pPr>
            <w:r w:rsidRPr="00EF6180">
              <w:rPr>
                <w:color w:val="000000"/>
                <w:lang w:val="sr-Cyrl-CS"/>
              </w:rPr>
              <w:t>1200</w:t>
            </w:r>
          </w:p>
        </w:tc>
      </w:tr>
      <w:tr w:rsidR="00821B0C" w:rsidRPr="00EF6180" w:rsidTr="00EF6180">
        <w:tc>
          <w:tcPr>
            <w:tcW w:w="4605" w:type="dxa"/>
          </w:tcPr>
          <w:p w:rsidR="00821B0C" w:rsidRPr="00EF6180" w:rsidRDefault="00821B0C" w:rsidP="00EF6180">
            <w:pPr>
              <w:pStyle w:val="normal0"/>
              <w:spacing w:before="48" w:beforeAutospacing="0" w:after="48" w:afterAutospacing="0"/>
              <w:jc w:val="both"/>
              <w:rPr>
                <w:color w:val="000000"/>
                <w:lang w:val="sr-Cyrl-CS"/>
              </w:rPr>
            </w:pPr>
            <w:r w:rsidRPr="00EF6180">
              <w:rPr>
                <w:color w:val="000000"/>
                <w:lang w:val="sr-Cyrl-CS"/>
              </w:rPr>
              <w:t>опорезива добит</w:t>
            </w:r>
          </w:p>
        </w:tc>
        <w:tc>
          <w:tcPr>
            <w:tcW w:w="4606" w:type="dxa"/>
          </w:tcPr>
          <w:p w:rsidR="00821B0C" w:rsidRPr="00EF6180" w:rsidRDefault="00643817" w:rsidP="00EF6180">
            <w:pPr>
              <w:pStyle w:val="normal0"/>
              <w:spacing w:before="48" w:beforeAutospacing="0" w:after="48" w:afterAutospacing="0"/>
              <w:jc w:val="both"/>
              <w:rPr>
                <w:color w:val="000000"/>
                <w:lang w:val="sr-Cyrl-CS"/>
              </w:rPr>
            </w:pPr>
            <w:r w:rsidRPr="00EF6180">
              <w:rPr>
                <w:color w:val="000000"/>
                <w:lang w:val="sr-Cyrl-CS"/>
              </w:rPr>
              <w:t>700</w:t>
            </w:r>
          </w:p>
        </w:tc>
      </w:tr>
    </w:tbl>
    <w:p w:rsidR="00821B0C" w:rsidRDefault="00821B0C" w:rsidP="00916DBB">
      <w:pPr>
        <w:pStyle w:val="normal0"/>
        <w:shd w:val="clear" w:color="auto" w:fill="FFFFFF"/>
        <w:spacing w:before="48" w:beforeAutospacing="0" w:after="48" w:afterAutospacing="0"/>
        <w:ind w:firstLine="708"/>
        <w:jc w:val="both"/>
        <w:rPr>
          <w:color w:val="000000"/>
          <w:lang w:val="sr-Cyrl-CS"/>
        </w:rPr>
      </w:pPr>
    </w:p>
    <w:p w:rsidR="00821B0C" w:rsidRPr="00797E29" w:rsidRDefault="00FE3795" w:rsidP="00797E29">
      <w:pPr>
        <w:ind w:firstLine="708"/>
        <w:jc w:val="both"/>
        <w:rPr>
          <w:rFonts w:ascii="Times New Roman" w:hAnsi="Times New Roman"/>
          <w:sz w:val="24"/>
          <w:szCs w:val="24"/>
          <w:lang w:val="sr-Cyrl-CS"/>
        </w:rPr>
      </w:pPr>
      <w:r w:rsidRPr="00797E29">
        <w:rPr>
          <w:rFonts w:ascii="Times New Roman" w:hAnsi="Times New Roman"/>
          <w:sz w:val="24"/>
          <w:szCs w:val="24"/>
          <w:lang w:val="sr-Cyrl-CS"/>
        </w:rPr>
        <w:t xml:space="preserve">Како се према овом методу излаз залиха обрачунава према ценама ранијих набавки, то значи да на залихама </w:t>
      </w:r>
      <w:r w:rsidR="00821B0C" w:rsidRPr="00797E29">
        <w:rPr>
          <w:rFonts w:ascii="Times New Roman" w:hAnsi="Times New Roman"/>
          <w:sz w:val="24"/>
          <w:szCs w:val="24"/>
          <w:lang w:val="sr-Cyrl-CS"/>
        </w:rPr>
        <w:t xml:space="preserve">остају </w:t>
      </w:r>
      <w:r w:rsidR="00643817" w:rsidRPr="00797E29">
        <w:rPr>
          <w:rFonts w:ascii="Times New Roman" w:hAnsi="Times New Roman"/>
          <w:sz w:val="24"/>
          <w:szCs w:val="24"/>
          <w:lang w:val="sr-Cyrl-CS"/>
        </w:rPr>
        <w:t>вредности последњих набавки, а т</w:t>
      </w:r>
      <w:r w:rsidR="00821B0C" w:rsidRPr="00797E29">
        <w:rPr>
          <w:rFonts w:ascii="Times New Roman" w:hAnsi="Times New Roman"/>
          <w:sz w:val="24"/>
          <w:szCs w:val="24"/>
          <w:lang w:val="sr-Cyrl-CS"/>
        </w:rPr>
        <w:t xml:space="preserve">о даље води до веће вредности залиха на крају обрачунског периода </w:t>
      </w:r>
      <w:r w:rsidR="007C4C29" w:rsidRPr="00797E29">
        <w:rPr>
          <w:rFonts w:ascii="Times New Roman" w:hAnsi="Times New Roman"/>
          <w:sz w:val="24"/>
          <w:szCs w:val="24"/>
          <w:lang w:val="sr-Cyrl-CS"/>
        </w:rPr>
        <w:t xml:space="preserve">(јер се преостале залихе вреднују по ценама каснијих и скупљих набавки) </w:t>
      </w:r>
      <w:r w:rsidR="00821B0C" w:rsidRPr="00797E29">
        <w:rPr>
          <w:rFonts w:ascii="Times New Roman" w:hAnsi="Times New Roman"/>
          <w:sz w:val="24"/>
          <w:szCs w:val="24"/>
          <w:lang w:val="sr-Cyrl-CS"/>
        </w:rPr>
        <w:t xml:space="preserve">и до веће разлике између залиха из ранијих и завршних набавки. Самим тим и опорезива добит је већа. </w:t>
      </w:r>
    </w:p>
    <w:p w:rsidR="008A7AC2" w:rsidRPr="00797E29" w:rsidRDefault="00B077C0" w:rsidP="00797E29">
      <w:pPr>
        <w:ind w:firstLine="708"/>
        <w:jc w:val="both"/>
        <w:rPr>
          <w:rFonts w:ascii="Times New Roman" w:hAnsi="Times New Roman"/>
          <w:sz w:val="24"/>
          <w:szCs w:val="24"/>
          <w:lang w:val="sr-Cyrl-CS"/>
        </w:rPr>
      </w:pPr>
      <w:r w:rsidRPr="00797E29">
        <w:rPr>
          <w:rFonts w:ascii="Times New Roman" w:hAnsi="Times New Roman"/>
          <w:sz w:val="24"/>
          <w:szCs w:val="24"/>
          <w:lang w:val="sr-Cyrl-CS"/>
        </w:rPr>
        <w:t>Резултати ове методе су прихватљиви и за порески закон, па је пословни биланс у потпуности меродаван за порески биланс, односно порески обвезник ову методу м</w:t>
      </w:r>
      <w:r w:rsidR="00233916" w:rsidRPr="00797E29">
        <w:rPr>
          <w:rFonts w:ascii="Times New Roman" w:hAnsi="Times New Roman"/>
          <w:sz w:val="24"/>
          <w:szCs w:val="24"/>
          <w:lang w:val="sr-Cyrl-CS"/>
        </w:rPr>
        <w:t>оже задржати и у пореском биланс</w:t>
      </w:r>
      <w:r w:rsidRPr="00797E29">
        <w:rPr>
          <w:rFonts w:ascii="Times New Roman" w:hAnsi="Times New Roman"/>
          <w:sz w:val="24"/>
          <w:szCs w:val="24"/>
          <w:lang w:val="sr-Cyrl-CS"/>
        </w:rPr>
        <w:t>у.</w:t>
      </w:r>
      <w:r w:rsidR="00916DBB" w:rsidRPr="00797E29">
        <w:rPr>
          <w:rFonts w:ascii="Times New Roman" w:hAnsi="Times New Roman"/>
          <w:sz w:val="24"/>
          <w:szCs w:val="24"/>
          <w:lang w:val="sr-Cyrl-CS"/>
        </w:rPr>
        <w:t xml:space="preserve"> </w:t>
      </w:r>
    </w:p>
    <w:p w:rsidR="005044EC" w:rsidRPr="00797E29" w:rsidRDefault="005044EC" w:rsidP="00797E29">
      <w:pPr>
        <w:jc w:val="both"/>
        <w:rPr>
          <w:rFonts w:ascii="Times New Roman" w:hAnsi="Times New Roman"/>
          <w:sz w:val="24"/>
          <w:szCs w:val="24"/>
          <w:lang w:val="sr-Cyrl-CS"/>
        </w:rPr>
      </w:pPr>
    </w:p>
    <w:p w:rsidR="005044EC" w:rsidRPr="00797E29" w:rsidRDefault="005B5D9B" w:rsidP="00797E29">
      <w:pPr>
        <w:jc w:val="both"/>
        <w:rPr>
          <w:rFonts w:ascii="Times New Roman" w:hAnsi="Times New Roman"/>
          <w:sz w:val="24"/>
          <w:szCs w:val="24"/>
          <w:lang w:val="sr-Cyrl-CS"/>
        </w:rPr>
      </w:pPr>
      <w:r w:rsidRPr="00797E29">
        <w:rPr>
          <w:rFonts w:ascii="Times New Roman" w:hAnsi="Times New Roman"/>
          <w:b/>
          <w:sz w:val="24"/>
          <w:szCs w:val="24"/>
        </w:rPr>
        <w:t xml:space="preserve">L I F O </w:t>
      </w:r>
      <w:r w:rsidRPr="00797E29">
        <w:rPr>
          <w:rFonts w:ascii="Times New Roman" w:hAnsi="Times New Roman"/>
          <w:b/>
          <w:sz w:val="24"/>
          <w:szCs w:val="24"/>
          <w:lang w:val="sr-Cyrl-CS"/>
        </w:rPr>
        <w:t>метод</w:t>
      </w:r>
      <w:r w:rsidRPr="00797E29">
        <w:rPr>
          <w:rFonts w:ascii="Times New Roman" w:hAnsi="Times New Roman"/>
          <w:sz w:val="24"/>
          <w:szCs w:val="24"/>
          <w:lang w:val="sr-Cyrl-CS"/>
        </w:rPr>
        <w:t xml:space="preserve"> </w:t>
      </w:r>
      <w:r w:rsidR="00272D6D" w:rsidRPr="00797E29">
        <w:rPr>
          <w:rFonts w:ascii="Times New Roman" w:hAnsi="Times New Roman"/>
          <w:sz w:val="24"/>
          <w:szCs w:val="24"/>
        </w:rPr>
        <w:t>(eng. last in – first</w:t>
      </w:r>
      <w:r w:rsidRPr="00797E29">
        <w:rPr>
          <w:rFonts w:ascii="Times New Roman" w:hAnsi="Times New Roman"/>
          <w:sz w:val="24"/>
          <w:szCs w:val="24"/>
        </w:rPr>
        <w:t xml:space="preserve"> out method)</w:t>
      </w:r>
    </w:p>
    <w:p w:rsidR="008A7AC2" w:rsidRPr="00797E29" w:rsidRDefault="008A7AC2" w:rsidP="00797E29">
      <w:pPr>
        <w:jc w:val="both"/>
        <w:rPr>
          <w:rFonts w:ascii="Times New Roman" w:hAnsi="Times New Roman"/>
          <w:b/>
          <w:sz w:val="24"/>
          <w:szCs w:val="24"/>
          <w:lang w:val="sr-Cyrl-CS"/>
        </w:rPr>
      </w:pPr>
    </w:p>
    <w:p w:rsidR="005B5D9B" w:rsidRPr="00797E29" w:rsidRDefault="005B5D9B" w:rsidP="00797E29">
      <w:pPr>
        <w:ind w:firstLine="708"/>
        <w:jc w:val="both"/>
        <w:rPr>
          <w:rFonts w:ascii="Times New Roman" w:hAnsi="Times New Roman"/>
          <w:sz w:val="24"/>
          <w:szCs w:val="24"/>
        </w:rPr>
      </w:pPr>
      <w:r w:rsidRPr="00797E29">
        <w:rPr>
          <w:rFonts w:ascii="Times New Roman" w:hAnsi="Times New Roman"/>
          <w:sz w:val="24"/>
          <w:szCs w:val="24"/>
          <w:lang w:val="sr-Cyrl-CS"/>
        </w:rPr>
        <w:t xml:space="preserve">Применом овог метода се излаз залиха обрачунава </w:t>
      </w:r>
      <w:r w:rsidR="00A0472E" w:rsidRPr="00797E29">
        <w:rPr>
          <w:rFonts w:ascii="Times New Roman" w:hAnsi="Times New Roman"/>
          <w:sz w:val="24"/>
          <w:szCs w:val="24"/>
          <w:lang w:val="sr-Cyrl-CS"/>
        </w:rPr>
        <w:t>по ценама најкасније набављених залиха  (последња улазна - прва излазна). Уколико овај метод применимо на ранији пример манифестоваће се на следећи начин:</w:t>
      </w:r>
      <w:r w:rsidR="00797E29">
        <w:rPr>
          <w:rFonts w:ascii="Times New Roman" w:hAnsi="Times New Roman"/>
          <w:sz w:val="24"/>
          <w:szCs w:val="24"/>
          <w:lang w:val="sr-Cyrl-CS"/>
        </w:rPr>
        <w:t xml:space="preserve"> </w:t>
      </w:r>
    </w:p>
    <w:p w:rsidR="006155DC" w:rsidRDefault="006155DC" w:rsidP="00FC0AF6">
      <w:pPr>
        <w:pStyle w:val="normal0"/>
        <w:shd w:val="clear" w:color="auto" w:fill="FFFFFF"/>
        <w:spacing w:before="48" w:beforeAutospacing="0" w:after="48" w:afterAutospacing="0"/>
        <w:ind w:firstLine="708"/>
        <w:jc w:val="both"/>
        <w:rPr>
          <w:color w:val="000000"/>
        </w:rPr>
      </w:pPr>
    </w:p>
    <w:p w:rsidR="006155DC" w:rsidRDefault="006155DC" w:rsidP="00FC0AF6">
      <w:pPr>
        <w:pStyle w:val="normal0"/>
        <w:shd w:val="clear" w:color="auto" w:fill="FFFFFF"/>
        <w:spacing w:before="48" w:beforeAutospacing="0" w:after="48" w:afterAutospacing="0"/>
        <w:ind w:firstLine="708"/>
        <w:jc w:val="both"/>
        <w:rPr>
          <w:color w:val="000000"/>
        </w:rPr>
      </w:pPr>
    </w:p>
    <w:p w:rsidR="006155DC" w:rsidRPr="006155DC" w:rsidRDefault="006155DC" w:rsidP="00FC0AF6">
      <w:pPr>
        <w:pStyle w:val="normal0"/>
        <w:shd w:val="clear" w:color="auto" w:fill="FFFFFF"/>
        <w:spacing w:before="48" w:beforeAutospacing="0" w:after="48" w:afterAutospacing="0"/>
        <w:ind w:firstLine="708"/>
        <w:jc w:val="both"/>
        <w:rPr>
          <w:color w:val="000000"/>
        </w:rPr>
      </w:pPr>
    </w:p>
    <w:p w:rsidR="005044EC" w:rsidRDefault="005044EC" w:rsidP="00FC0AF6">
      <w:pPr>
        <w:pStyle w:val="normal0"/>
        <w:shd w:val="clear" w:color="auto" w:fill="FFFFFF"/>
        <w:spacing w:before="48" w:beforeAutospacing="0" w:after="48" w:afterAutospacing="0"/>
        <w:ind w:firstLine="708"/>
        <w:jc w:val="both"/>
        <w:rPr>
          <w:color w:val="000000"/>
          <w:lang w:val="sr-Cyrl-CS"/>
        </w:rPr>
      </w:pPr>
    </w:p>
    <w:p w:rsidR="000B3BC5" w:rsidRDefault="000B3BC5" w:rsidP="00FC0AF6">
      <w:pPr>
        <w:pStyle w:val="normal0"/>
        <w:shd w:val="clear" w:color="auto" w:fill="FFFFFF"/>
        <w:spacing w:before="48" w:beforeAutospacing="0" w:after="48" w:afterAutospacing="0"/>
        <w:ind w:firstLine="708"/>
        <w:jc w:val="both"/>
        <w:rPr>
          <w:color w:val="000000"/>
          <w:lang w:val="sr-Cyrl-CS"/>
        </w:rPr>
      </w:pPr>
    </w:p>
    <w:p w:rsidR="00797E29" w:rsidRDefault="00797E29" w:rsidP="00FC0AF6">
      <w:pPr>
        <w:pStyle w:val="normal0"/>
        <w:shd w:val="clear" w:color="auto" w:fill="FFFFFF"/>
        <w:spacing w:before="48" w:beforeAutospacing="0" w:after="48" w:afterAutospacing="0"/>
        <w:ind w:firstLine="708"/>
        <w:jc w:val="both"/>
        <w:rPr>
          <w:color w:val="000000"/>
          <w:lang w:val="sr-Cyrl-CS"/>
        </w:rPr>
      </w:pPr>
    </w:p>
    <w:p w:rsidR="00A0472E" w:rsidRPr="005044EC" w:rsidRDefault="00A74A8E" w:rsidP="008A7AC2">
      <w:pPr>
        <w:pStyle w:val="normal0"/>
        <w:shd w:val="clear" w:color="auto" w:fill="FFFFFF"/>
        <w:spacing w:before="48" w:beforeAutospacing="0" w:after="48" w:afterAutospacing="0"/>
        <w:ind w:left="720"/>
        <w:rPr>
          <w:b/>
          <w:color w:val="000000"/>
          <w:lang w:val="sr-Cyrl-CS"/>
        </w:rPr>
      </w:pPr>
      <w:r>
        <w:rPr>
          <w:b/>
          <w:color w:val="000000"/>
          <w:lang w:val="sr-Cyrl-CS"/>
        </w:rPr>
        <w:t>Табела 14</w:t>
      </w:r>
      <w:r w:rsidR="005044EC" w:rsidRPr="005044EC">
        <w:rPr>
          <w:b/>
          <w:color w:val="000000"/>
          <w:lang w:val="sr-Cyrl-CS"/>
        </w:rPr>
        <w:t>.</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48"/>
        <w:gridCol w:w="2859"/>
        <w:gridCol w:w="2860"/>
      </w:tblGrid>
      <w:tr w:rsidR="00A0472E" w:rsidRPr="0056201C" w:rsidTr="0056201C">
        <w:tc>
          <w:tcPr>
            <w:tcW w:w="2848" w:type="dxa"/>
          </w:tcPr>
          <w:p w:rsidR="00A0472E" w:rsidRPr="0056201C" w:rsidRDefault="00A0472E" w:rsidP="0056201C">
            <w:pPr>
              <w:pStyle w:val="normal0"/>
              <w:spacing w:before="48" w:beforeAutospacing="0" w:after="48" w:afterAutospacing="0"/>
              <w:rPr>
                <w:color w:val="000000"/>
                <w:lang w:val="sr-Cyrl-CS"/>
              </w:rPr>
            </w:pPr>
            <w:r w:rsidRPr="0056201C">
              <w:rPr>
                <w:rFonts w:ascii="Arial" w:hAnsi="Arial" w:cs="Arial"/>
                <w:b/>
                <w:color w:val="000000"/>
                <w:sz w:val="18"/>
                <w:szCs w:val="18"/>
                <w:lang w:val="sr-Cyrl-CS"/>
              </w:rPr>
              <w:t>УЛАЗ</w:t>
            </w:r>
          </w:p>
        </w:tc>
        <w:tc>
          <w:tcPr>
            <w:tcW w:w="2859" w:type="dxa"/>
          </w:tcPr>
          <w:p w:rsidR="00A0472E" w:rsidRPr="0056201C" w:rsidRDefault="00A0472E" w:rsidP="0056201C">
            <w:pPr>
              <w:pStyle w:val="normal0"/>
              <w:spacing w:before="48" w:beforeAutospacing="0" w:after="48" w:afterAutospacing="0"/>
              <w:rPr>
                <w:color w:val="000000"/>
                <w:lang w:val="sr-Cyrl-CS"/>
              </w:rPr>
            </w:pPr>
            <w:r w:rsidRPr="0056201C">
              <w:rPr>
                <w:rFonts w:ascii="Arial" w:hAnsi="Arial" w:cs="Arial"/>
                <w:b/>
                <w:color w:val="000000"/>
                <w:sz w:val="18"/>
                <w:szCs w:val="18"/>
                <w:lang w:val="sr-Cyrl-CS"/>
              </w:rPr>
              <w:t>ИЗЛАЗ</w:t>
            </w:r>
          </w:p>
        </w:tc>
        <w:tc>
          <w:tcPr>
            <w:tcW w:w="2860" w:type="dxa"/>
          </w:tcPr>
          <w:p w:rsidR="00A0472E" w:rsidRPr="0056201C" w:rsidRDefault="00A0472E" w:rsidP="0056201C">
            <w:pPr>
              <w:pStyle w:val="normal0"/>
              <w:spacing w:before="48" w:beforeAutospacing="0" w:after="48" w:afterAutospacing="0"/>
              <w:rPr>
                <w:color w:val="000000"/>
                <w:lang w:val="sr-Cyrl-CS"/>
              </w:rPr>
            </w:pPr>
            <w:r w:rsidRPr="0056201C">
              <w:rPr>
                <w:rFonts w:ascii="Arial" w:hAnsi="Arial" w:cs="Arial"/>
                <w:b/>
                <w:color w:val="000000"/>
                <w:sz w:val="18"/>
                <w:szCs w:val="18"/>
                <w:lang w:val="sr-Cyrl-CS"/>
              </w:rPr>
              <w:t>ЗАЛИХЕ</w:t>
            </w:r>
          </w:p>
        </w:tc>
      </w:tr>
      <w:tr w:rsidR="00A0472E" w:rsidRPr="0056201C" w:rsidTr="0056201C">
        <w:tc>
          <w:tcPr>
            <w:tcW w:w="2848" w:type="dxa"/>
          </w:tcPr>
          <w:p w:rsidR="00A0472E" w:rsidRPr="0056201C" w:rsidRDefault="00A0472E" w:rsidP="0056201C">
            <w:pPr>
              <w:pStyle w:val="normal0"/>
              <w:spacing w:before="48" w:beforeAutospacing="0" w:after="48" w:afterAutospacing="0"/>
              <w:rPr>
                <w:color w:val="000000"/>
                <w:lang w:val="sr-Cyrl-CS"/>
              </w:rPr>
            </w:pPr>
            <w:r w:rsidRPr="0056201C">
              <w:rPr>
                <w:rFonts w:ascii="Arial" w:hAnsi="Arial" w:cs="Arial"/>
                <w:b/>
                <w:color w:val="000000"/>
                <w:sz w:val="16"/>
                <w:szCs w:val="16"/>
                <w:lang w:val="sr-Cyrl-CS"/>
              </w:rPr>
              <w:t>промена ком. цена вредност</w:t>
            </w:r>
          </w:p>
        </w:tc>
        <w:tc>
          <w:tcPr>
            <w:tcW w:w="2859" w:type="dxa"/>
          </w:tcPr>
          <w:p w:rsidR="00A0472E" w:rsidRPr="0056201C" w:rsidRDefault="00A0472E" w:rsidP="0056201C">
            <w:pPr>
              <w:pStyle w:val="normal0"/>
              <w:spacing w:before="48" w:beforeAutospacing="0" w:after="48" w:afterAutospacing="0"/>
              <w:rPr>
                <w:color w:val="000000"/>
                <w:lang w:val="sr-Cyrl-CS"/>
              </w:rPr>
            </w:pPr>
            <w:r w:rsidRPr="0056201C">
              <w:rPr>
                <w:rFonts w:ascii="Arial" w:hAnsi="Arial" w:cs="Arial"/>
                <w:b/>
                <w:color w:val="000000"/>
                <w:sz w:val="18"/>
                <w:szCs w:val="18"/>
                <w:lang w:val="sr-Cyrl-CS"/>
              </w:rPr>
              <w:t>ком. цена   вредност</w:t>
            </w:r>
          </w:p>
        </w:tc>
        <w:tc>
          <w:tcPr>
            <w:tcW w:w="2860" w:type="dxa"/>
          </w:tcPr>
          <w:p w:rsidR="00A0472E" w:rsidRPr="0056201C" w:rsidRDefault="00A0472E" w:rsidP="0056201C">
            <w:pPr>
              <w:pStyle w:val="normal0"/>
              <w:spacing w:before="48" w:beforeAutospacing="0" w:after="48" w:afterAutospacing="0"/>
              <w:rPr>
                <w:color w:val="000000"/>
                <w:lang w:val="sr-Cyrl-CS"/>
              </w:rPr>
            </w:pPr>
            <w:r w:rsidRPr="0056201C">
              <w:rPr>
                <w:rFonts w:ascii="Arial" w:hAnsi="Arial" w:cs="Arial"/>
                <w:b/>
                <w:color w:val="000000"/>
                <w:sz w:val="18"/>
                <w:szCs w:val="18"/>
                <w:lang w:val="sr-Cyrl-CS"/>
              </w:rPr>
              <w:t>ком. цена   вредност</w:t>
            </w:r>
          </w:p>
        </w:tc>
      </w:tr>
      <w:tr w:rsidR="00A0472E" w:rsidRPr="0056201C" w:rsidTr="0056201C">
        <w:tc>
          <w:tcPr>
            <w:tcW w:w="2848" w:type="dxa"/>
          </w:tcPr>
          <w:p w:rsidR="00A0472E" w:rsidRPr="0056201C" w:rsidRDefault="00A0472E" w:rsidP="0056201C">
            <w:pPr>
              <w:pStyle w:val="normal0"/>
              <w:spacing w:before="48" w:beforeAutospacing="0" w:after="48" w:afterAutospacing="0"/>
              <w:rPr>
                <w:color w:val="000000"/>
                <w:lang w:val="sr-Cyrl-CS"/>
              </w:rPr>
            </w:pPr>
            <w:r w:rsidRPr="0056201C">
              <w:rPr>
                <w:rFonts w:ascii="Arial" w:hAnsi="Arial" w:cs="Arial"/>
                <w:color w:val="000000"/>
                <w:sz w:val="18"/>
                <w:szCs w:val="18"/>
                <w:lang w:val="sr-Cyrl-CS"/>
              </w:rPr>
              <w:t xml:space="preserve">1.            800        10         8.000      </w:t>
            </w:r>
          </w:p>
        </w:tc>
        <w:tc>
          <w:tcPr>
            <w:tcW w:w="2859" w:type="dxa"/>
          </w:tcPr>
          <w:p w:rsidR="00A0472E" w:rsidRPr="0056201C" w:rsidRDefault="00A0472E" w:rsidP="0056201C">
            <w:pPr>
              <w:pStyle w:val="normal0"/>
              <w:spacing w:before="48" w:beforeAutospacing="0" w:after="48" w:afterAutospacing="0"/>
              <w:rPr>
                <w:color w:val="000000"/>
                <w:lang w:val="sr-Cyrl-CS"/>
              </w:rPr>
            </w:pPr>
          </w:p>
        </w:tc>
        <w:tc>
          <w:tcPr>
            <w:tcW w:w="2860" w:type="dxa"/>
          </w:tcPr>
          <w:p w:rsidR="00A0472E" w:rsidRPr="0056201C" w:rsidRDefault="00A0472E" w:rsidP="0056201C">
            <w:pPr>
              <w:pStyle w:val="normal0"/>
              <w:spacing w:before="48" w:beforeAutospacing="0" w:after="48" w:afterAutospacing="0"/>
              <w:rPr>
                <w:color w:val="000000"/>
                <w:lang w:val="sr-Cyrl-CS"/>
              </w:rPr>
            </w:pPr>
          </w:p>
        </w:tc>
      </w:tr>
      <w:tr w:rsidR="00A0472E" w:rsidRPr="0056201C" w:rsidTr="0056201C">
        <w:tc>
          <w:tcPr>
            <w:tcW w:w="2848" w:type="dxa"/>
          </w:tcPr>
          <w:p w:rsidR="00A0472E" w:rsidRPr="0056201C" w:rsidRDefault="00A0472E" w:rsidP="0056201C">
            <w:pPr>
              <w:pStyle w:val="normal0"/>
              <w:spacing w:before="48" w:beforeAutospacing="0" w:after="48" w:afterAutospacing="0"/>
              <w:rPr>
                <w:color w:val="000000"/>
                <w:lang w:val="sr-Cyrl-CS"/>
              </w:rPr>
            </w:pPr>
            <w:r w:rsidRPr="0056201C">
              <w:rPr>
                <w:rFonts w:ascii="Arial" w:hAnsi="Arial" w:cs="Arial"/>
                <w:color w:val="000000"/>
                <w:sz w:val="18"/>
                <w:szCs w:val="18"/>
                <w:lang w:val="sr-Cyrl-CS"/>
              </w:rPr>
              <w:t>2.           1000        20       20.000</w:t>
            </w:r>
          </w:p>
        </w:tc>
        <w:tc>
          <w:tcPr>
            <w:tcW w:w="2859" w:type="dxa"/>
          </w:tcPr>
          <w:p w:rsidR="00A0472E" w:rsidRPr="0056201C" w:rsidRDefault="00A0472E" w:rsidP="0056201C">
            <w:pPr>
              <w:pStyle w:val="normal0"/>
              <w:spacing w:before="48" w:beforeAutospacing="0" w:after="48" w:afterAutospacing="0"/>
              <w:rPr>
                <w:rFonts w:ascii="Arial" w:hAnsi="Arial" w:cs="Arial"/>
                <w:b/>
                <w:color w:val="000000"/>
                <w:sz w:val="18"/>
                <w:szCs w:val="18"/>
                <w:lang w:val="sr-Cyrl-CS"/>
              </w:rPr>
            </w:pPr>
          </w:p>
        </w:tc>
        <w:tc>
          <w:tcPr>
            <w:tcW w:w="2860" w:type="dxa"/>
          </w:tcPr>
          <w:p w:rsidR="00A0472E" w:rsidRPr="0056201C" w:rsidRDefault="00A0472E" w:rsidP="0056201C">
            <w:pPr>
              <w:pStyle w:val="normal0"/>
              <w:spacing w:before="48" w:beforeAutospacing="0" w:after="48" w:afterAutospacing="0"/>
              <w:rPr>
                <w:color w:val="000000"/>
                <w:lang w:val="sr-Cyrl-CS"/>
              </w:rPr>
            </w:pPr>
          </w:p>
        </w:tc>
      </w:tr>
      <w:tr w:rsidR="00A0472E" w:rsidRPr="0056201C" w:rsidTr="0056201C">
        <w:tc>
          <w:tcPr>
            <w:tcW w:w="2848" w:type="dxa"/>
          </w:tcPr>
          <w:p w:rsidR="00A0472E" w:rsidRPr="0056201C" w:rsidRDefault="00A0472E" w:rsidP="0056201C">
            <w:pPr>
              <w:pStyle w:val="normal0"/>
              <w:spacing w:before="48" w:beforeAutospacing="0" w:after="48" w:afterAutospacing="0"/>
              <w:rPr>
                <w:rFonts w:ascii="Arial" w:hAnsi="Arial" w:cs="Arial"/>
                <w:color w:val="000000"/>
                <w:sz w:val="18"/>
                <w:szCs w:val="18"/>
                <w:lang w:val="sr-Cyrl-CS"/>
              </w:rPr>
            </w:pPr>
            <w:r w:rsidRPr="0056201C">
              <w:rPr>
                <w:rFonts w:ascii="Arial" w:hAnsi="Arial" w:cs="Arial"/>
                <w:b/>
                <w:color w:val="000000"/>
                <w:sz w:val="18"/>
                <w:szCs w:val="18"/>
                <w:lang w:val="sr-Cyrl-CS"/>
              </w:rPr>
              <w:t>3</w:t>
            </w:r>
            <w:r w:rsidRPr="0056201C">
              <w:rPr>
                <w:rFonts w:ascii="Arial" w:hAnsi="Arial" w:cs="Arial"/>
                <w:color w:val="000000"/>
                <w:sz w:val="18"/>
                <w:szCs w:val="18"/>
                <w:lang w:val="sr-Cyrl-CS"/>
              </w:rPr>
              <w:t>.</w:t>
            </w:r>
          </w:p>
        </w:tc>
        <w:tc>
          <w:tcPr>
            <w:tcW w:w="2859" w:type="dxa"/>
          </w:tcPr>
          <w:p w:rsidR="00A0472E" w:rsidRPr="0056201C" w:rsidRDefault="00B17A48" w:rsidP="0056201C">
            <w:pPr>
              <w:pStyle w:val="normal0"/>
              <w:spacing w:before="48" w:beforeAutospacing="0" w:after="48" w:afterAutospacing="0"/>
              <w:rPr>
                <w:color w:val="000000"/>
                <w:lang w:val="sr-Cyrl-CS"/>
              </w:rPr>
            </w:pPr>
            <w:r w:rsidRPr="0056201C">
              <w:rPr>
                <w:rFonts w:ascii="Arial" w:hAnsi="Arial" w:cs="Arial"/>
                <w:color w:val="000000"/>
                <w:sz w:val="18"/>
                <w:szCs w:val="18"/>
                <w:lang w:val="sr-Cyrl-CS"/>
              </w:rPr>
              <w:t>400     20         8.000</w:t>
            </w:r>
          </w:p>
        </w:tc>
        <w:tc>
          <w:tcPr>
            <w:tcW w:w="2860" w:type="dxa"/>
          </w:tcPr>
          <w:p w:rsidR="00A0472E" w:rsidRPr="0056201C" w:rsidRDefault="00B17A48" w:rsidP="0056201C">
            <w:pPr>
              <w:pStyle w:val="normal0"/>
              <w:spacing w:before="48" w:beforeAutospacing="0" w:after="48" w:afterAutospacing="0"/>
              <w:rPr>
                <w:rFonts w:ascii="Arial" w:hAnsi="Arial" w:cs="Arial"/>
                <w:color w:val="000000"/>
                <w:sz w:val="18"/>
                <w:szCs w:val="18"/>
                <w:lang w:val="sr-Cyrl-CS"/>
              </w:rPr>
            </w:pPr>
            <w:r w:rsidRPr="0056201C">
              <w:rPr>
                <w:rFonts w:ascii="Arial" w:hAnsi="Arial" w:cs="Arial"/>
                <w:color w:val="000000"/>
                <w:sz w:val="18"/>
                <w:szCs w:val="18"/>
                <w:lang w:val="sr-Cyrl-CS"/>
              </w:rPr>
              <w:t>600     20           12.000</w:t>
            </w:r>
          </w:p>
        </w:tc>
      </w:tr>
      <w:tr w:rsidR="00A0472E" w:rsidRPr="0056201C" w:rsidTr="0056201C">
        <w:trPr>
          <w:trHeight w:val="843"/>
        </w:trPr>
        <w:tc>
          <w:tcPr>
            <w:tcW w:w="2848" w:type="dxa"/>
          </w:tcPr>
          <w:p w:rsidR="00A0472E" w:rsidRPr="0056201C" w:rsidRDefault="00A0472E" w:rsidP="0056201C">
            <w:pPr>
              <w:pStyle w:val="normal0"/>
              <w:spacing w:before="48" w:beforeAutospacing="0" w:after="48" w:afterAutospacing="0"/>
              <w:rPr>
                <w:color w:val="000000"/>
                <w:lang w:val="sr-Cyrl-CS"/>
              </w:rPr>
            </w:pPr>
          </w:p>
          <w:p w:rsidR="00B17A48" w:rsidRPr="0056201C" w:rsidRDefault="00B17A48" w:rsidP="0056201C">
            <w:pPr>
              <w:pStyle w:val="normal0"/>
              <w:spacing w:before="48" w:beforeAutospacing="0" w:after="48" w:afterAutospacing="0"/>
              <w:rPr>
                <w:color w:val="000000"/>
                <w:lang w:val="sr-Cyrl-CS"/>
              </w:rPr>
            </w:pPr>
            <w:r w:rsidRPr="0056201C">
              <w:rPr>
                <w:rFonts w:ascii="Arial" w:hAnsi="Arial" w:cs="Arial"/>
                <w:b/>
                <w:color w:val="000000"/>
                <w:sz w:val="18"/>
                <w:szCs w:val="18"/>
                <w:lang w:val="sr-Cyrl-CS"/>
              </w:rPr>
              <w:t xml:space="preserve">свега                               </w:t>
            </w:r>
            <w:r w:rsidRPr="0056201C">
              <w:rPr>
                <w:rFonts w:ascii="Arial" w:hAnsi="Arial" w:cs="Arial"/>
                <w:color w:val="000000"/>
                <w:sz w:val="18"/>
                <w:szCs w:val="18"/>
                <w:lang w:val="sr-Cyrl-CS"/>
              </w:rPr>
              <w:t>28.000</w:t>
            </w:r>
          </w:p>
        </w:tc>
        <w:tc>
          <w:tcPr>
            <w:tcW w:w="2859" w:type="dxa"/>
          </w:tcPr>
          <w:p w:rsidR="00B17A48" w:rsidRPr="0056201C" w:rsidRDefault="00A0472E" w:rsidP="0056201C">
            <w:pPr>
              <w:pStyle w:val="normal0"/>
              <w:spacing w:before="48" w:beforeAutospacing="0" w:after="48" w:afterAutospacing="0"/>
              <w:rPr>
                <w:color w:val="000000"/>
                <w:lang w:val="sr-Cyrl-CS"/>
              </w:rPr>
            </w:pPr>
            <w:r w:rsidRPr="0056201C">
              <w:rPr>
                <w:color w:val="000000"/>
                <w:lang w:val="sr-Cyrl-CS"/>
              </w:rPr>
              <w:t xml:space="preserve">   </w:t>
            </w:r>
          </w:p>
          <w:p w:rsidR="00A0472E" w:rsidRPr="0056201C" w:rsidRDefault="00B17A48" w:rsidP="0056201C">
            <w:pPr>
              <w:pStyle w:val="normal0"/>
              <w:spacing w:before="48" w:beforeAutospacing="0" w:after="48" w:afterAutospacing="0"/>
              <w:rPr>
                <w:rFonts w:ascii="Arial" w:hAnsi="Arial" w:cs="Arial"/>
                <w:b/>
                <w:color w:val="000000"/>
                <w:sz w:val="18"/>
                <w:szCs w:val="18"/>
                <w:lang w:val="sr-Cyrl-CS"/>
              </w:rPr>
            </w:pPr>
            <w:r w:rsidRPr="0056201C">
              <w:rPr>
                <w:color w:val="000000"/>
                <w:lang w:val="sr-Cyrl-CS"/>
              </w:rPr>
              <w:t xml:space="preserve">                     </w:t>
            </w:r>
            <w:r w:rsidRPr="0056201C">
              <w:rPr>
                <w:rFonts w:ascii="Arial" w:hAnsi="Arial" w:cs="Arial"/>
                <w:b/>
                <w:color w:val="000000"/>
                <w:sz w:val="18"/>
                <w:szCs w:val="18"/>
                <w:lang w:val="sr-Cyrl-CS"/>
              </w:rPr>
              <w:t>8.000</w:t>
            </w:r>
            <w:r w:rsidR="00A0472E" w:rsidRPr="0056201C">
              <w:rPr>
                <w:b/>
                <w:color w:val="000000"/>
                <w:lang w:val="sr-Cyrl-CS"/>
              </w:rPr>
              <w:t xml:space="preserve">                 </w:t>
            </w:r>
          </w:p>
        </w:tc>
        <w:tc>
          <w:tcPr>
            <w:tcW w:w="2860" w:type="dxa"/>
          </w:tcPr>
          <w:p w:rsidR="00A0472E" w:rsidRPr="0056201C" w:rsidRDefault="00B17A48" w:rsidP="0056201C">
            <w:pPr>
              <w:pStyle w:val="normal0"/>
              <w:spacing w:before="48" w:beforeAutospacing="0" w:after="48" w:afterAutospacing="0"/>
              <w:rPr>
                <w:rFonts w:ascii="Arial" w:hAnsi="Arial" w:cs="Arial"/>
                <w:color w:val="000000"/>
                <w:sz w:val="18"/>
                <w:szCs w:val="18"/>
                <w:lang w:val="sr-Cyrl-CS"/>
              </w:rPr>
            </w:pPr>
            <w:r w:rsidRPr="0056201C">
              <w:rPr>
                <w:rFonts w:ascii="Arial" w:hAnsi="Arial" w:cs="Arial"/>
                <w:color w:val="000000"/>
                <w:sz w:val="18"/>
                <w:szCs w:val="18"/>
                <w:lang w:val="sr-Cyrl-CS"/>
              </w:rPr>
              <w:t>800      10            8.000</w:t>
            </w:r>
          </w:p>
          <w:p w:rsidR="00B17A48" w:rsidRPr="0056201C" w:rsidRDefault="00B17A48" w:rsidP="0056201C">
            <w:pPr>
              <w:pStyle w:val="normal0"/>
              <w:spacing w:before="48" w:beforeAutospacing="0" w:after="48" w:afterAutospacing="0"/>
              <w:rPr>
                <w:rFonts w:ascii="Arial" w:hAnsi="Arial" w:cs="Arial"/>
                <w:b/>
                <w:color w:val="000000"/>
                <w:sz w:val="18"/>
                <w:szCs w:val="18"/>
                <w:lang w:val="sr-Cyrl-CS"/>
              </w:rPr>
            </w:pPr>
            <w:r w:rsidRPr="0056201C">
              <w:rPr>
                <w:rFonts w:ascii="Arial" w:hAnsi="Arial" w:cs="Arial"/>
                <w:b/>
                <w:color w:val="000000"/>
                <w:sz w:val="18"/>
                <w:szCs w:val="18"/>
                <w:lang w:val="sr-Cyrl-CS"/>
              </w:rPr>
              <w:t xml:space="preserve">                           20.000</w:t>
            </w:r>
          </w:p>
          <w:p w:rsidR="00B17A48" w:rsidRPr="0056201C" w:rsidRDefault="00B17A48" w:rsidP="0056201C">
            <w:pPr>
              <w:pStyle w:val="normal0"/>
              <w:spacing w:before="48" w:beforeAutospacing="0" w:after="48" w:afterAutospacing="0"/>
              <w:rPr>
                <w:rFonts w:ascii="Arial" w:hAnsi="Arial" w:cs="Arial"/>
                <w:b/>
                <w:color w:val="000000"/>
                <w:sz w:val="18"/>
                <w:szCs w:val="18"/>
                <w:lang w:val="sr-Cyrl-CS"/>
              </w:rPr>
            </w:pPr>
          </w:p>
        </w:tc>
      </w:tr>
    </w:tbl>
    <w:p w:rsidR="00A0472E" w:rsidRPr="005B5D9B" w:rsidRDefault="00A0472E" w:rsidP="008A7AC2">
      <w:pPr>
        <w:pStyle w:val="normal0"/>
        <w:shd w:val="clear" w:color="auto" w:fill="FFFFFF"/>
        <w:spacing w:before="48" w:beforeAutospacing="0" w:after="48" w:afterAutospacing="0"/>
        <w:ind w:left="720"/>
        <w:rPr>
          <w:color w:val="000000"/>
          <w:lang w:val="sr-Cyrl-CS"/>
        </w:rPr>
      </w:pPr>
    </w:p>
    <w:p w:rsidR="005044EC" w:rsidRDefault="005044EC" w:rsidP="00916DBB">
      <w:pPr>
        <w:pStyle w:val="normal0"/>
        <w:shd w:val="clear" w:color="auto" w:fill="FFFFFF"/>
        <w:spacing w:before="48" w:beforeAutospacing="0" w:after="48" w:afterAutospacing="0"/>
        <w:ind w:firstLine="708"/>
        <w:jc w:val="both"/>
        <w:rPr>
          <w:color w:val="000000"/>
          <w:lang w:val="sr-Cyrl-CS"/>
        </w:rPr>
      </w:pPr>
    </w:p>
    <w:p w:rsidR="00643817" w:rsidRPr="00797E29" w:rsidRDefault="00916DBB" w:rsidP="00797E29">
      <w:pPr>
        <w:ind w:firstLine="708"/>
        <w:jc w:val="both"/>
        <w:rPr>
          <w:rFonts w:ascii="Times New Roman" w:hAnsi="Times New Roman"/>
          <w:sz w:val="24"/>
          <w:szCs w:val="24"/>
          <w:lang w:val="sr-Cyrl-CS"/>
        </w:rPr>
      </w:pPr>
      <w:r w:rsidRPr="00797E29">
        <w:rPr>
          <w:rFonts w:ascii="Times New Roman" w:hAnsi="Times New Roman"/>
          <w:sz w:val="24"/>
          <w:szCs w:val="24"/>
          <w:lang w:val="sr-Cyrl-CS"/>
        </w:rPr>
        <w:t xml:space="preserve">Из приказане табеле се види да је излазом 400 комада прве и уједно јефтиније набавке остварен трошак од 8.000 динара. На залихама је остало 800 комада раније набављене робе по нижој цени и 800 комада касније набављене робе по вишој цени. Вредност робе која је остала на залихама је 20.000 динара.  То значи да је у односну на </w:t>
      </w:r>
      <w:r w:rsidR="00E704D7" w:rsidRPr="00797E29">
        <w:rPr>
          <w:rFonts w:ascii="Times New Roman" w:hAnsi="Times New Roman"/>
          <w:sz w:val="24"/>
          <w:szCs w:val="24"/>
          <w:lang w:val="en-US"/>
        </w:rPr>
        <w:t>FIFO метод на залихама остало робе у вредности од 20.00</w:t>
      </w:r>
      <w:r w:rsidR="00E704D7" w:rsidRPr="00797E29">
        <w:rPr>
          <w:rFonts w:ascii="Times New Roman" w:hAnsi="Times New Roman"/>
          <w:sz w:val="24"/>
          <w:szCs w:val="24"/>
          <w:lang w:val="sr-Cyrl-CS"/>
        </w:rPr>
        <w:t>0</w:t>
      </w:r>
      <w:r w:rsidR="00E704D7" w:rsidRPr="00797E29">
        <w:rPr>
          <w:rFonts w:ascii="Times New Roman" w:hAnsi="Times New Roman"/>
          <w:sz w:val="24"/>
          <w:szCs w:val="24"/>
          <w:lang w:val="en-US"/>
        </w:rPr>
        <w:t xml:space="preserve"> динара, односно трошкови </w:t>
      </w:r>
      <w:r w:rsidR="00E704D7" w:rsidRPr="00797E29">
        <w:rPr>
          <w:rFonts w:ascii="Times New Roman" w:hAnsi="Times New Roman"/>
          <w:sz w:val="24"/>
          <w:szCs w:val="24"/>
          <w:lang w:val="sr-Cyrl-CS"/>
        </w:rPr>
        <w:t>продате робе су 8.000 динара, што је за</w:t>
      </w:r>
      <w:r w:rsidR="00E704D7" w:rsidRPr="00797E29">
        <w:rPr>
          <w:rFonts w:ascii="Times New Roman" w:hAnsi="Times New Roman"/>
          <w:sz w:val="24"/>
          <w:szCs w:val="24"/>
          <w:lang w:val="en-US"/>
        </w:rPr>
        <w:t xml:space="preserve"> </w:t>
      </w:r>
      <w:r w:rsidR="0009739D" w:rsidRPr="00797E29">
        <w:rPr>
          <w:rFonts w:ascii="Times New Roman" w:hAnsi="Times New Roman"/>
          <w:sz w:val="24"/>
          <w:szCs w:val="24"/>
          <w:lang w:val="sr-Cyrl-CS"/>
        </w:rPr>
        <w:t>4.000 динара</w:t>
      </w:r>
      <w:r w:rsidR="00E704D7" w:rsidRPr="00797E29">
        <w:rPr>
          <w:rFonts w:ascii="Times New Roman" w:hAnsi="Times New Roman"/>
          <w:sz w:val="24"/>
          <w:szCs w:val="24"/>
          <w:lang w:val="sr-Cyrl-CS"/>
        </w:rPr>
        <w:t xml:space="preserve"> мање у односу на претход</w:t>
      </w:r>
      <w:r w:rsidR="00272D6D" w:rsidRPr="00797E29">
        <w:rPr>
          <w:rFonts w:ascii="Times New Roman" w:hAnsi="Times New Roman"/>
          <w:sz w:val="24"/>
          <w:szCs w:val="24"/>
          <w:lang w:val="sr-Cyrl-CS"/>
        </w:rPr>
        <w:t>н</w:t>
      </w:r>
      <w:r w:rsidR="00E704D7" w:rsidRPr="00797E29">
        <w:rPr>
          <w:rFonts w:ascii="Times New Roman" w:hAnsi="Times New Roman"/>
          <w:sz w:val="24"/>
          <w:szCs w:val="24"/>
          <w:lang w:val="sr-Cyrl-CS"/>
        </w:rPr>
        <w:t>у методу обрачуна. Са ста</w:t>
      </w:r>
      <w:r w:rsidR="0009739D" w:rsidRPr="00797E29">
        <w:rPr>
          <w:rFonts w:ascii="Times New Roman" w:hAnsi="Times New Roman"/>
          <w:sz w:val="24"/>
          <w:szCs w:val="24"/>
          <w:lang w:val="sr-Cyrl-CS"/>
        </w:rPr>
        <w:t>но</w:t>
      </w:r>
      <w:r w:rsidR="00E704D7" w:rsidRPr="00797E29">
        <w:rPr>
          <w:rFonts w:ascii="Times New Roman" w:hAnsi="Times New Roman"/>
          <w:sz w:val="24"/>
          <w:szCs w:val="24"/>
          <w:lang w:val="sr-Cyrl-CS"/>
        </w:rPr>
        <w:t xml:space="preserve">вишта утицаја на износ пореза, то значи да ова метода расходе оптерећује већим износом, јер је и цена коштања виша, а самим тим је и </w:t>
      </w:r>
      <w:r w:rsidR="00FC0AF6" w:rsidRPr="00797E29">
        <w:rPr>
          <w:rFonts w:ascii="Times New Roman" w:hAnsi="Times New Roman"/>
          <w:sz w:val="24"/>
          <w:szCs w:val="24"/>
          <w:lang w:val="sr-Cyrl-CS"/>
        </w:rPr>
        <w:t xml:space="preserve">порез на добит мањи. </w:t>
      </w:r>
    </w:p>
    <w:p w:rsidR="00643817" w:rsidRPr="00797E29" w:rsidRDefault="00233916" w:rsidP="00797E29">
      <w:pPr>
        <w:ind w:firstLine="708"/>
        <w:jc w:val="both"/>
        <w:rPr>
          <w:rFonts w:ascii="Times New Roman" w:hAnsi="Times New Roman"/>
          <w:sz w:val="24"/>
          <w:szCs w:val="24"/>
          <w:lang w:val="sr-Cyrl-CS"/>
        </w:rPr>
      </w:pPr>
      <w:r w:rsidRPr="00797E29">
        <w:rPr>
          <w:rFonts w:ascii="Times New Roman" w:hAnsi="Times New Roman"/>
          <w:sz w:val="24"/>
          <w:szCs w:val="24"/>
          <w:lang w:val="sr-Cyrl-CS"/>
        </w:rPr>
        <w:t xml:space="preserve">Овај пример је дат за случај раста цена. </w:t>
      </w:r>
      <w:r w:rsidR="00643817" w:rsidRPr="00797E29">
        <w:rPr>
          <w:rFonts w:ascii="Times New Roman" w:hAnsi="Times New Roman"/>
          <w:sz w:val="24"/>
          <w:szCs w:val="24"/>
          <w:lang w:val="sr-Cyrl-CS"/>
        </w:rPr>
        <w:t xml:space="preserve">Како се према овом методу излаз залиха обрачунава према ценама </w:t>
      </w:r>
      <w:r w:rsidR="007C4C29" w:rsidRPr="00797E29">
        <w:rPr>
          <w:rFonts w:ascii="Times New Roman" w:hAnsi="Times New Roman"/>
          <w:sz w:val="24"/>
          <w:szCs w:val="24"/>
          <w:lang w:val="sr-Cyrl-CS"/>
        </w:rPr>
        <w:t xml:space="preserve">каснијих </w:t>
      </w:r>
      <w:r w:rsidR="00643817" w:rsidRPr="00797E29">
        <w:rPr>
          <w:rFonts w:ascii="Times New Roman" w:hAnsi="Times New Roman"/>
          <w:sz w:val="24"/>
          <w:szCs w:val="24"/>
          <w:lang w:val="sr-Cyrl-CS"/>
        </w:rPr>
        <w:t xml:space="preserve">набавки, то значи да на залихама остају </w:t>
      </w:r>
      <w:r w:rsidR="007C4C29" w:rsidRPr="00797E29">
        <w:rPr>
          <w:rFonts w:ascii="Times New Roman" w:hAnsi="Times New Roman"/>
          <w:sz w:val="24"/>
          <w:szCs w:val="24"/>
          <w:lang w:val="sr-Cyrl-CS"/>
        </w:rPr>
        <w:t>вредности ранијих</w:t>
      </w:r>
      <w:r w:rsidR="00643817" w:rsidRPr="00797E29">
        <w:rPr>
          <w:rFonts w:ascii="Times New Roman" w:hAnsi="Times New Roman"/>
          <w:sz w:val="24"/>
          <w:szCs w:val="24"/>
          <w:lang w:val="sr-Cyrl-CS"/>
        </w:rPr>
        <w:t xml:space="preserve"> набавки, а т</w:t>
      </w:r>
      <w:r w:rsidR="007C4C29" w:rsidRPr="00797E29">
        <w:rPr>
          <w:rFonts w:ascii="Times New Roman" w:hAnsi="Times New Roman"/>
          <w:sz w:val="24"/>
          <w:szCs w:val="24"/>
          <w:lang w:val="sr-Cyrl-CS"/>
        </w:rPr>
        <w:t>о даље води до мање</w:t>
      </w:r>
      <w:r w:rsidR="00643817" w:rsidRPr="00797E29">
        <w:rPr>
          <w:rFonts w:ascii="Times New Roman" w:hAnsi="Times New Roman"/>
          <w:sz w:val="24"/>
          <w:szCs w:val="24"/>
          <w:lang w:val="sr-Cyrl-CS"/>
        </w:rPr>
        <w:t xml:space="preserve"> вредности залиха на кра</w:t>
      </w:r>
      <w:r w:rsidR="007C4C29" w:rsidRPr="00797E29">
        <w:rPr>
          <w:rFonts w:ascii="Times New Roman" w:hAnsi="Times New Roman"/>
          <w:sz w:val="24"/>
          <w:szCs w:val="24"/>
          <w:lang w:val="sr-Cyrl-CS"/>
        </w:rPr>
        <w:t xml:space="preserve">ју обрачунског периода, (јер се преостале </w:t>
      </w:r>
      <w:r w:rsidR="0009739D" w:rsidRPr="00797E29">
        <w:rPr>
          <w:rFonts w:ascii="Times New Roman" w:hAnsi="Times New Roman"/>
          <w:sz w:val="24"/>
          <w:szCs w:val="24"/>
          <w:lang w:val="sr-Cyrl-CS"/>
        </w:rPr>
        <w:t xml:space="preserve">залихе </w:t>
      </w:r>
      <w:r w:rsidR="007C4C29" w:rsidRPr="00797E29">
        <w:rPr>
          <w:rFonts w:ascii="Times New Roman" w:hAnsi="Times New Roman"/>
          <w:sz w:val="24"/>
          <w:szCs w:val="24"/>
          <w:lang w:val="sr-Cyrl-CS"/>
        </w:rPr>
        <w:t>вреднују по ценама најранијих и јефтинијих набавки)  и до мање</w:t>
      </w:r>
      <w:r w:rsidR="00643817" w:rsidRPr="00797E29">
        <w:rPr>
          <w:rFonts w:ascii="Times New Roman" w:hAnsi="Times New Roman"/>
          <w:sz w:val="24"/>
          <w:szCs w:val="24"/>
          <w:lang w:val="sr-Cyrl-CS"/>
        </w:rPr>
        <w:t xml:space="preserve"> разлике између залиха из ранијих и завршних набавки. Сам</w:t>
      </w:r>
      <w:r w:rsidR="007C4C29" w:rsidRPr="00797E29">
        <w:rPr>
          <w:rFonts w:ascii="Times New Roman" w:hAnsi="Times New Roman"/>
          <w:sz w:val="24"/>
          <w:szCs w:val="24"/>
          <w:lang w:val="sr-Cyrl-CS"/>
        </w:rPr>
        <w:t>им тим и опорезива добит је мања</w:t>
      </w:r>
      <w:r w:rsidR="00643817" w:rsidRPr="00797E29">
        <w:rPr>
          <w:rFonts w:ascii="Times New Roman" w:hAnsi="Times New Roman"/>
          <w:sz w:val="24"/>
          <w:szCs w:val="24"/>
          <w:lang w:val="sr-Cyrl-CS"/>
        </w:rPr>
        <w:t xml:space="preserve">. </w:t>
      </w:r>
    </w:p>
    <w:p w:rsidR="00FC0AF6" w:rsidRDefault="00FC0AF6" w:rsidP="00797E29">
      <w:pPr>
        <w:ind w:firstLine="708"/>
        <w:jc w:val="both"/>
        <w:rPr>
          <w:rFonts w:ascii="Times New Roman" w:hAnsi="Times New Roman"/>
          <w:sz w:val="24"/>
          <w:szCs w:val="24"/>
          <w:lang w:val="sr-Cyrl-CS"/>
        </w:rPr>
      </w:pPr>
      <w:r w:rsidRPr="00797E29">
        <w:rPr>
          <w:rFonts w:ascii="Times New Roman" w:hAnsi="Times New Roman"/>
          <w:sz w:val="24"/>
          <w:szCs w:val="24"/>
          <w:lang w:val="sr-Cyrl-CS"/>
        </w:rPr>
        <w:t xml:space="preserve">Може се приметити из претходих табела </w:t>
      </w:r>
      <w:r w:rsidR="007650EA" w:rsidRPr="00797E29">
        <w:rPr>
          <w:rFonts w:ascii="Times New Roman" w:hAnsi="Times New Roman"/>
          <w:sz w:val="24"/>
          <w:szCs w:val="24"/>
          <w:lang w:val="sr-Cyrl-CS"/>
        </w:rPr>
        <w:t>да су касније цене набавке веће. М</w:t>
      </w:r>
      <w:r w:rsidRPr="00797E29">
        <w:rPr>
          <w:rFonts w:ascii="Times New Roman" w:hAnsi="Times New Roman"/>
          <w:sz w:val="24"/>
          <w:szCs w:val="24"/>
          <w:lang w:val="sr-Cyrl-CS"/>
        </w:rPr>
        <w:t>еђутим</w:t>
      </w:r>
      <w:r w:rsidR="007650EA" w:rsidRPr="00797E29">
        <w:rPr>
          <w:rFonts w:ascii="Times New Roman" w:hAnsi="Times New Roman"/>
          <w:sz w:val="24"/>
          <w:szCs w:val="24"/>
          <w:lang w:val="sr-Cyrl-CS"/>
        </w:rPr>
        <w:t>,</w:t>
      </w:r>
      <w:r w:rsidRPr="00797E29">
        <w:rPr>
          <w:rFonts w:ascii="Times New Roman" w:hAnsi="Times New Roman"/>
          <w:sz w:val="24"/>
          <w:szCs w:val="24"/>
          <w:lang w:val="sr-Cyrl-CS"/>
        </w:rPr>
        <w:t xml:space="preserve"> наведене методе не би имале такав ефекат да је обрнута </w:t>
      </w:r>
      <w:r w:rsidR="00272D6D" w:rsidRPr="00797E29">
        <w:rPr>
          <w:rFonts w:ascii="Times New Roman" w:hAnsi="Times New Roman"/>
          <w:sz w:val="24"/>
          <w:szCs w:val="24"/>
          <w:lang w:val="sr-Cyrl-CS"/>
        </w:rPr>
        <w:t>ситуација</w:t>
      </w:r>
      <w:r w:rsidR="007650EA" w:rsidRPr="00797E29">
        <w:rPr>
          <w:rFonts w:ascii="Times New Roman" w:hAnsi="Times New Roman"/>
          <w:sz w:val="24"/>
          <w:szCs w:val="24"/>
          <w:lang w:val="sr-Cyrl-CS"/>
        </w:rPr>
        <w:t xml:space="preserve">, односно да су </w:t>
      </w:r>
      <w:r w:rsidRPr="00797E29">
        <w:rPr>
          <w:rFonts w:ascii="Times New Roman" w:hAnsi="Times New Roman"/>
          <w:sz w:val="24"/>
          <w:szCs w:val="24"/>
          <w:lang w:val="sr-Cyrl-CS"/>
        </w:rPr>
        <w:t xml:space="preserve"> цене </w:t>
      </w:r>
      <w:r w:rsidR="007650EA" w:rsidRPr="00797E29">
        <w:rPr>
          <w:rFonts w:ascii="Times New Roman" w:hAnsi="Times New Roman"/>
          <w:sz w:val="24"/>
          <w:szCs w:val="24"/>
          <w:lang w:val="sr-Cyrl-CS"/>
        </w:rPr>
        <w:t xml:space="preserve">ранијих набавки </w:t>
      </w:r>
      <w:r w:rsidRPr="00797E29">
        <w:rPr>
          <w:rFonts w:ascii="Times New Roman" w:hAnsi="Times New Roman"/>
          <w:sz w:val="24"/>
          <w:szCs w:val="24"/>
          <w:lang w:val="sr-Cyrl-CS"/>
        </w:rPr>
        <w:t xml:space="preserve">веће од каснијих. Ову ситуацију ћемо илустровати за </w:t>
      </w:r>
      <w:r w:rsidRPr="00797E29">
        <w:rPr>
          <w:rFonts w:ascii="Times New Roman" w:hAnsi="Times New Roman"/>
          <w:sz w:val="24"/>
          <w:szCs w:val="24"/>
          <w:lang w:val="en-US"/>
        </w:rPr>
        <w:t>FIFO метод</w:t>
      </w:r>
      <w:r w:rsidRPr="00797E29">
        <w:rPr>
          <w:rFonts w:ascii="Times New Roman" w:hAnsi="Times New Roman"/>
          <w:sz w:val="24"/>
          <w:szCs w:val="24"/>
          <w:lang w:val="sr-Cyrl-CS"/>
        </w:rPr>
        <w:t xml:space="preserve"> следећом табелом:</w:t>
      </w:r>
      <w:r w:rsidR="00797E29">
        <w:rPr>
          <w:rFonts w:ascii="Times New Roman" w:hAnsi="Times New Roman"/>
          <w:sz w:val="24"/>
          <w:szCs w:val="24"/>
          <w:lang w:val="sr-Cyrl-CS"/>
        </w:rPr>
        <w:t xml:space="preserve"> </w:t>
      </w:r>
    </w:p>
    <w:p w:rsidR="00797E29" w:rsidRDefault="00797E29" w:rsidP="00797E29">
      <w:pPr>
        <w:ind w:firstLine="708"/>
        <w:jc w:val="both"/>
        <w:rPr>
          <w:rFonts w:ascii="Times New Roman" w:hAnsi="Times New Roman"/>
          <w:sz w:val="24"/>
          <w:szCs w:val="24"/>
          <w:lang w:val="sr-Cyrl-CS"/>
        </w:rPr>
      </w:pPr>
    </w:p>
    <w:p w:rsidR="00797E29" w:rsidRDefault="00797E29" w:rsidP="00797E29">
      <w:pPr>
        <w:ind w:firstLine="708"/>
        <w:jc w:val="both"/>
        <w:rPr>
          <w:rFonts w:ascii="Times New Roman" w:hAnsi="Times New Roman"/>
          <w:sz w:val="24"/>
          <w:szCs w:val="24"/>
          <w:lang w:val="sr-Cyrl-CS"/>
        </w:rPr>
      </w:pPr>
    </w:p>
    <w:p w:rsidR="00797E29" w:rsidRDefault="00797E29" w:rsidP="00797E29">
      <w:pPr>
        <w:ind w:firstLine="708"/>
        <w:jc w:val="both"/>
        <w:rPr>
          <w:rFonts w:ascii="Times New Roman" w:hAnsi="Times New Roman"/>
          <w:sz w:val="24"/>
          <w:szCs w:val="24"/>
          <w:lang w:val="sr-Cyrl-CS"/>
        </w:rPr>
      </w:pPr>
    </w:p>
    <w:p w:rsidR="00797E29" w:rsidRPr="00797E29" w:rsidRDefault="00797E29" w:rsidP="00797E29">
      <w:pPr>
        <w:ind w:firstLine="708"/>
        <w:jc w:val="both"/>
        <w:rPr>
          <w:rFonts w:ascii="Times New Roman" w:hAnsi="Times New Roman"/>
          <w:sz w:val="24"/>
          <w:szCs w:val="24"/>
          <w:lang w:val="sr-Cyrl-CS"/>
        </w:rPr>
      </w:pPr>
    </w:p>
    <w:p w:rsidR="0009739D" w:rsidRDefault="0009739D" w:rsidP="00272D6D">
      <w:pPr>
        <w:pStyle w:val="normal0"/>
        <w:shd w:val="clear" w:color="auto" w:fill="FFFFFF"/>
        <w:spacing w:before="48" w:beforeAutospacing="0" w:after="48" w:afterAutospacing="0"/>
        <w:jc w:val="both"/>
        <w:rPr>
          <w:color w:val="000000"/>
          <w:lang w:val="sr-Cyrl-CS"/>
        </w:rPr>
      </w:pPr>
    </w:p>
    <w:p w:rsidR="0009739D" w:rsidRDefault="0009739D" w:rsidP="00916DBB">
      <w:pPr>
        <w:pStyle w:val="normal0"/>
        <w:shd w:val="clear" w:color="auto" w:fill="FFFFFF"/>
        <w:spacing w:before="48" w:beforeAutospacing="0" w:after="48" w:afterAutospacing="0"/>
        <w:ind w:firstLine="708"/>
        <w:jc w:val="both"/>
        <w:rPr>
          <w:color w:val="000000"/>
          <w:lang w:val="sr-Cyrl-CS"/>
        </w:rPr>
      </w:pPr>
    </w:p>
    <w:p w:rsidR="00FC0AF6" w:rsidRPr="005044EC" w:rsidRDefault="00A74A8E" w:rsidP="005044EC">
      <w:pPr>
        <w:pStyle w:val="normal0"/>
        <w:shd w:val="clear" w:color="auto" w:fill="FFFFFF"/>
        <w:spacing w:before="48" w:beforeAutospacing="0" w:after="48" w:afterAutospacing="0"/>
        <w:jc w:val="both"/>
        <w:rPr>
          <w:b/>
          <w:color w:val="000000"/>
          <w:lang w:val="sr-Cyrl-CS"/>
        </w:rPr>
      </w:pPr>
      <w:r>
        <w:rPr>
          <w:b/>
          <w:color w:val="000000"/>
          <w:lang w:val="sr-Cyrl-CS"/>
        </w:rPr>
        <w:t>Табела 15</w:t>
      </w:r>
      <w:r w:rsidR="005044EC" w:rsidRPr="005044EC">
        <w:rPr>
          <w:b/>
          <w:color w:val="000000"/>
          <w:lang w:val="sr-Cyrl-CS"/>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70"/>
        <w:gridCol w:w="3070"/>
        <w:gridCol w:w="3071"/>
      </w:tblGrid>
      <w:tr w:rsidR="00FC0AF6" w:rsidRPr="0056201C" w:rsidTr="0056201C">
        <w:tc>
          <w:tcPr>
            <w:tcW w:w="3070" w:type="dxa"/>
          </w:tcPr>
          <w:p w:rsidR="00FC0AF6" w:rsidRPr="0056201C" w:rsidRDefault="00FC0AF6" w:rsidP="0056201C">
            <w:pPr>
              <w:pStyle w:val="normal0"/>
              <w:spacing w:before="48" w:beforeAutospacing="0" w:after="48" w:afterAutospacing="0"/>
              <w:jc w:val="both"/>
              <w:rPr>
                <w:color w:val="000000"/>
                <w:lang w:val="sr-Cyrl-CS"/>
              </w:rPr>
            </w:pPr>
            <w:r w:rsidRPr="0056201C">
              <w:rPr>
                <w:rFonts w:ascii="Arial" w:hAnsi="Arial" w:cs="Arial"/>
                <w:b/>
                <w:color w:val="000000"/>
                <w:sz w:val="18"/>
                <w:szCs w:val="18"/>
                <w:lang w:val="sr-Cyrl-CS"/>
              </w:rPr>
              <w:t>УЛАЗ</w:t>
            </w:r>
          </w:p>
        </w:tc>
        <w:tc>
          <w:tcPr>
            <w:tcW w:w="3070" w:type="dxa"/>
          </w:tcPr>
          <w:p w:rsidR="00FC0AF6" w:rsidRPr="0056201C" w:rsidRDefault="00FC0AF6" w:rsidP="0056201C">
            <w:pPr>
              <w:pStyle w:val="normal0"/>
              <w:spacing w:before="48" w:beforeAutospacing="0" w:after="48" w:afterAutospacing="0"/>
              <w:jc w:val="both"/>
              <w:rPr>
                <w:color w:val="000000"/>
                <w:lang w:val="sr-Cyrl-CS"/>
              </w:rPr>
            </w:pPr>
            <w:r w:rsidRPr="0056201C">
              <w:rPr>
                <w:rFonts w:ascii="Arial" w:hAnsi="Arial" w:cs="Arial"/>
                <w:b/>
                <w:color w:val="000000"/>
                <w:sz w:val="18"/>
                <w:szCs w:val="18"/>
                <w:lang w:val="sr-Cyrl-CS"/>
              </w:rPr>
              <w:t>ИЗЛАЗ</w:t>
            </w:r>
          </w:p>
        </w:tc>
        <w:tc>
          <w:tcPr>
            <w:tcW w:w="3071" w:type="dxa"/>
          </w:tcPr>
          <w:p w:rsidR="00FC0AF6" w:rsidRPr="0056201C" w:rsidRDefault="00FC0AF6" w:rsidP="0056201C">
            <w:pPr>
              <w:pStyle w:val="normal0"/>
              <w:spacing w:before="48" w:beforeAutospacing="0" w:after="48" w:afterAutospacing="0"/>
              <w:jc w:val="both"/>
              <w:rPr>
                <w:color w:val="000000"/>
                <w:lang w:val="sr-Cyrl-CS"/>
              </w:rPr>
            </w:pPr>
            <w:r w:rsidRPr="0056201C">
              <w:rPr>
                <w:rFonts w:ascii="Arial" w:hAnsi="Arial" w:cs="Arial"/>
                <w:b/>
                <w:color w:val="000000"/>
                <w:sz w:val="18"/>
                <w:szCs w:val="18"/>
                <w:lang w:val="sr-Cyrl-CS"/>
              </w:rPr>
              <w:t>ЗАЛИХЕ</w:t>
            </w:r>
          </w:p>
        </w:tc>
      </w:tr>
      <w:tr w:rsidR="00FC0AF6" w:rsidRPr="0056201C" w:rsidTr="0056201C">
        <w:tc>
          <w:tcPr>
            <w:tcW w:w="3070" w:type="dxa"/>
          </w:tcPr>
          <w:p w:rsidR="00FC0AF6" w:rsidRPr="0056201C" w:rsidRDefault="00FC0AF6" w:rsidP="0056201C">
            <w:pPr>
              <w:pStyle w:val="normal0"/>
              <w:spacing w:before="48" w:beforeAutospacing="0" w:after="48" w:afterAutospacing="0"/>
              <w:jc w:val="both"/>
              <w:rPr>
                <w:color w:val="000000"/>
                <w:lang w:val="sr-Cyrl-CS"/>
              </w:rPr>
            </w:pPr>
            <w:r w:rsidRPr="0056201C">
              <w:rPr>
                <w:rFonts w:ascii="Arial" w:hAnsi="Arial" w:cs="Arial"/>
                <w:b/>
                <w:color w:val="000000"/>
                <w:sz w:val="16"/>
                <w:szCs w:val="16"/>
                <w:lang w:val="sr-Cyrl-CS"/>
              </w:rPr>
              <w:t>промена ком. цена вредност</w:t>
            </w:r>
          </w:p>
        </w:tc>
        <w:tc>
          <w:tcPr>
            <w:tcW w:w="3070" w:type="dxa"/>
          </w:tcPr>
          <w:p w:rsidR="00FC0AF6" w:rsidRPr="0056201C" w:rsidRDefault="00FC0AF6" w:rsidP="0056201C">
            <w:pPr>
              <w:pStyle w:val="normal0"/>
              <w:spacing w:before="48" w:beforeAutospacing="0" w:after="48" w:afterAutospacing="0"/>
              <w:jc w:val="both"/>
              <w:rPr>
                <w:color w:val="000000"/>
                <w:lang w:val="sr-Cyrl-CS"/>
              </w:rPr>
            </w:pPr>
            <w:r w:rsidRPr="0056201C">
              <w:rPr>
                <w:rFonts w:ascii="Arial" w:hAnsi="Arial" w:cs="Arial"/>
                <w:b/>
                <w:color w:val="000000"/>
                <w:sz w:val="18"/>
                <w:szCs w:val="18"/>
                <w:lang w:val="sr-Cyrl-CS"/>
              </w:rPr>
              <w:t>ком. цена   вредност</w:t>
            </w:r>
          </w:p>
        </w:tc>
        <w:tc>
          <w:tcPr>
            <w:tcW w:w="3071" w:type="dxa"/>
          </w:tcPr>
          <w:p w:rsidR="00FC0AF6" w:rsidRPr="0056201C" w:rsidRDefault="00FC0AF6" w:rsidP="0056201C">
            <w:pPr>
              <w:pStyle w:val="normal0"/>
              <w:spacing w:before="48" w:beforeAutospacing="0" w:after="48" w:afterAutospacing="0"/>
              <w:jc w:val="both"/>
              <w:rPr>
                <w:color w:val="000000"/>
                <w:lang w:val="sr-Cyrl-CS"/>
              </w:rPr>
            </w:pPr>
            <w:r w:rsidRPr="0056201C">
              <w:rPr>
                <w:rFonts w:ascii="Arial" w:hAnsi="Arial" w:cs="Arial"/>
                <w:b/>
                <w:color w:val="000000"/>
                <w:sz w:val="18"/>
                <w:szCs w:val="18"/>
                <w:lang w:val="sr-Cyrl-CS"/>
              </w:rPr>
              <w:t>ком. цена   вредност</w:t>
            </w:r>
          </w:p>
        </w:tc>
      </w:tr>
      <w:tr w:rsidR="00FC0AF6" w:rsidRPr="0056201C" w:rsidTr="0056201C">
        <w:tc>
          <w:tcPr>
            <w:tcW w:w="3070" w:type="dxa"/>
          </w:tcPr>
          <w:p w:rsidR="00FC0AF6" w:rsidRPr="0056201C" w:rsidRDefault="00FC0AF6" w:rsidP="0056201C">
            <w:pPr>
              <w:pStyle w:val="normal0"/>
              <w:spacing w:before="48" w:beforeAutospacing="0" w:after="48" w:afterAutospacing="0"/>
              <w:jc w:val="both"/>
              <w:rPr>
                <w:color w:val="000000"/>
                <w:lang w:val="sr-Cyrl-CS"/>
              </w:rPr>
            </w:pPr>
            <w:r w:rsidRPr="0056201C">
              <w:rPr>
                <w:color w:val="000000"/>
                <w:lang w:val="sr-Cyrl-CS"/>
              </w:rPr>
              <w:t>1.</w:t>
            </w:r>
            <w:r w:rsidRPr="0056201C">
              <w:rPr>
                <w:rFonts w:ascii="Arial" w:hAnsi="Arial" w:cs="Arial"/>
                <w:color w:val="000000"/>
                <w:sz w:val="18"/>
                <w:szCs w:val="18"/>
                <w:lang w:val="sr-Cyrl-CS"/>
              </w:rPr>
              <w:t xml:space="preserve">         1000        20       20.000</w:t>
            </w:r>
          </w:p>
        </w:tc>
        <w:tc>
          <w:tcPr>
            <w:tcW w:w="3070" w:type="dxa"/>
          </w:tcPr>
          <w:p w:rsidR="00FC0AF6" w:rsidRPr="0056201C" w:rsidRDefault="00FC0AF6" w:rsidP="0056201C">
            <w:pPr>
              <w:pStyle w:val="normal0"/>
              <w:spacing w:before="48" w:beforeAutospacing="0" w:after="48" w:afterAutospacing="0"/>
              <w:jc w:val="both"/>
              <w:rPr>
                <w:color w:val="000000"/>
                <w:lang w:val="sr-Cyrl-CS"/>
              </w:rPr>
            </w:pPr>
          </w:p>
        </w:tc>
        <w:tc>
          <w:tcPr>
            <w:tcW w:w="3071" w:type="dxa"/>
          </w:tcPr>
          <w:p w:rsidR="00FC0AF6" w:rsidRPr="0056201C" w:rsidRDefault="00FC0AF6" w:rsidP="0056201C">
            <w:pPr>
              <w:pStyle w:val="normal0"/>
              <w:spacing w:before="48" w:beforeAutospacing="0" w:after="48" w:afterAutospacing="0"/>
              <w:jc w:val="both"/>
              <w:rPr>
                <w:color w:val="000000"/>
                <w:lang w:val="sr-Cyrl-CS"/>
              </w:rPr>
            </w:pPr>
          </w:p>
        </w:tc>
      </w:tr>
      <w:tr w:rsidR="00FC0AF6" w:rsidRPr="0056201C" w:rsidTr="0056201C">
        <w:tc>
          <w:tcPr>
            <w:tcW w:w="3070" w:type="dxa"/>
          </w:tcPr>
          <w:p w:rsidR="00FC0AF6" w:rsidRPr="0056201C" w:rsidRDefault="00FC0AF6" w:rsidP="0056201C">
            <w:pPr>
              <w:pStyle w:val="normal0"/>
              <w:spacing w:before="48" w:beforeAutospacing="0" w:after="48" w:afterAutospacing="0"/>
              <w:jc w:val="both"/>
              <w:rPr>
                <w:color w:val="000000"/>
                <w:lang w:val="sr-Cyrl-CS"/>
              </w:rPr>
            </w:pPr>
            <w:r w:rsidRPr="0056201C">
              <w:rPr>
                <w:color w:val="000000"/>
                <w:lang w:val="sr-Cyrl-CS"/>
              </w:rPr>
              <w:t>2.</w:t>
            </w:r>
            <w:r w:rsidRPr="0056201C">
              <w:rPr>
                <w:rFonts w:ascii="Arial" w:hAnsi="Arial" w:cs="Arial"/>
                <w:color w:val="000000"/>
                <w:sz w:val="18"/>
                <w:szCs w:val="18"/>
                <w:lang w:val="sr-Cyrl-CS"/>
              </w:rPr>
              <w:t xml:space="preserve">          800        10         8.000</w:t>
            </w:r>
            <w:r w:rsidRPr="0056201C">
              <w:rPr>
                <w:rFonts w:ascii="Arial" w:hAnsi="Arial" w:cs="Arial"/>
                <w:b/>
                <w:color w:val="000000"/>
                <w:sz w:val="18"/>
                <w:szCs w:val="18"/>
                <w:lang w:val="sr-Cyrl-CS"/>
              </w:rPr>
              <w:t xml:space="preserve">      </w:t>
            </w:r>
          </w:p>
        </w:tc>
        <w:tc>
          <w:tcPr>
            <w:tcW w:w="3070" w:type="dxa"/>
          </w:tcPr>
          <w:p w:rsidR="00FC0AF6" w:rsidRPr="0056201C" w:rsidRDefault="00FC0AF6" w:rsidP="0056201C">
            <w:pPr>
              <w:pStyle w:val="normal0"/>
              <w:spacing w:before="48" w:beforeAutospacing="0" w:after="48" w:afterAutospacing="0"/>
              <w:jc w:val="both"/>
              <w:rPr>
                <w:color w:val="000000"/>
                <w:lang w:val="sr-Cyrl-CS"/>
              </w:rPr>
            </w:pPr>
          </w:p>
        </w:tc>
        <w:tc>
          <w:tcPr>
            <w:tcW w:w="3071" w:type="dxa"/>
          </w:tcPr>
          <w:p w:rsidR="00FC0AF6" w:rsidRPr="0056201C" w:rsidRDefault="00FC0AF6" w:rsidP="0056201C">
            <w:pPr>
              <w:pStyle w:val="normal0"/>
              <w:spacing w:before="48" w:beforeAutospacing="0" w:after="48" w:afterAutospacing="0"/>
              <w:jc w:val="both"/>
              <w:rPr>
                <w:color w:val="000000"/>
                <w:lang w:val="sr-Cyrl-CS"/>
              </w:rPr>
            </w:pPr>
          </w:p>
        </w:tc>
      </w:tr>
      <w:tr w:rsidR="00FC0AF6" w:rsidRPr="0056201C" w:rsidTr="0056201C">
        <w:tc>
          <w:tcPr>
            <w:tcW w:w="3070" w:type="dxa"/>
          </w:tcPr>
          <w:p w:rsidR="00FC0AF6" w:rsidRPr="0056201C" w:rsidRDefault="00FC0AF6" w:rsidP="0056201C">
            <w:pPr>
              <w:pStyle w:val="normal0"/>
              <w:spacing w:before="48" w:beforeAutospacing="0" w:after="48" w:afterAutospacing="0"/>
              <w:jc w:val="both"/>
              <w:rPr>
                <w:color w:val="000000"/>
                <w:lang w:val="sr-Cyrl-CS"/>
              </w:rPr>
            </w:pPr>
            <w:r w:rsidRPr="0056201C">
              <w:rPr>
                <w:color w:val="000000"/>
                <w:lang w:val="sr-Cyrl-CS"/>
              </w:rPr>
              <w:t>3.</w:t>
            </w:r>
          </w:p>
        </w:tc>
        <w:tc>
          <w:tcPr>
            <w:tcW w:w="3070" w:type="dxa"/>
          </w:tcPr>
          <w:p w:rsidR="00FC0AF6" w:rsidRPr="0056201C" w:rsidRDefault="00FC0AF6" w:rsidP="0056201C">
            <w:pPr>
              <w:pStyle w:val="normal0"/>
              <w:spacing w:before="48" w:beforeAutospacing="0" w:after="48" w:afterAutospacing="0"/>
              <w:jc w:val="both"/>
              <w:rPr>
                <w:color w:val="000000"/>
                <w:lang w:val="sr-Cyrl-CS"/>
              </w:rPr>
            </w:pPr>
            <w:r w:rsidRPr="0056201C">
              <w:rPr>
                <w:color w:val="000000"/>
                <w:lang w:val="sr-Cyrl-CS"/>
              </w:rPr>
              <w:t>400   20      8.000</w:t>
            </w:r>
          </w:p>
        </w:tc>
        <w:tc>
          <w:tcPr>
            <w:tcW w:w="3071" w:type="dxa"/>
          </w:tcPr>
          <w:p w:rsidR="00FC0AF6" w:rsidRPr="0056201C" w:rsidRDefault="007650EA" w:rsidP="0056201C">
            <w:pPr>
              <w:pStyle w:val="normal0"/>
              <w:spacing w:before="48" w:beforeAutospacing="0" w:after="48" w:afterAutospacing="0"/>
              <w:jc w:val="both"/>
              <w:rPr>
                <w:color w:val="000000"/>
                <w:lang w:val="sr-Cyrl-CS"/>
              </w:rPr>
            </w:pPr>
            <w:r w:rsidRPr="0056201C">
              <w:rPr>
                <w:color w:val="000000"/>
                <w:lang w:val="sr-Cyrl-CS"/>
              </w:rPr>
              <w:t>600    20     12.000</w:t>
            </w:r>
          </w:p>
        </w:tc>
      </w:tr>
      <w:tr w:rsidR="00FC0AF6" w:rsidRPr="0056201C" w:rsidTr="0056201C">
        <w:tc>
          <w:tcPr>
            <w:tcW w:w="3070" w:type="dxa"/>
          </w:tcPr>
          <w:p w:rsidR="00FC0AF6" w:rsidRPr="0056201C" w:rsidRDefault="00FC0AF6" w:rsidP="0056201C">
            <w:pPr>
              <w:pStyle w:val="normal0"/>
              <w:spacing w:before="48" w:beforeAutospacing="0" w:after="48" w:afterAutospacing="0"/>
              <w:jc w:val="both"/>
              <w:rPr>
                <w:color w:val="000000"/>
                <w:lang w:val="sr-Cyrl-CS"/>
              </w:rPr>
            </w:pPr>
          </w:p>
        </w:tc>
        <w:tc>
          <w:tcPr>
            <w:tcW w:w="3070" w:type="dxa"/>
          </w:tcPr>
          <w:p w:rsidR="00FC0AF6" w:rsidRPr="0056201C" w:rsidRDefault="00FC0AF6" w:rsidP="0056201C">
            <w:pPr>
              <w:pStyle w:val="normal0"/>
              <w:spacing w:before="48" w:beforeAutospacing="0" w:after="48" w:afterAutospacing="0"/>
              <w:jc w:val="both"/>
              <w:rPr>
                <w:color w:val="000000"/>
                <w:lang w:val="sr-Cyrl-CS"/>
              </w:rPr>
            </w:pPr>
          </w:p>
        </w:tc>
        <w:tc>
          <w:tcPr>
            <w:tcW w:w="3071" w:type="dxa"/>
          </w:tcPr>
          <w:p w:rsidR="00FC0AF6" w:rsidRPr="0056201C" w:rsidRDefault="007650EA" w:rsidP="0056201C">
            <w:pPr>
              <w:pStyle w:val="normal0"/>
              <w:spacing w:before="48" w:beforeAutospacing="0" w:after="48" w:afterAutospacing="0"/>
              <w:jc w:val="both"/>
              <w:rPr>
                <w:color w:val="000000"/>
                <w:lang w:val="sr-Cyrl-CS"/>
              </w:rPr>
            </w:pPr>
            <w:r w:rsidRPr="0056201C">
              <w:rPr>
                <w:color w:val="000000"/>
                <w:lang w:val="sr-Cyrl-CS"/>
              </w:rPr>
              <w:t>800     10     8.000</w:t>
            </w:r>
          </w:p>
        </w:tc>
      </w:tr>
      <w:tr w:rsidR="00FC0AF6" w:rsidRPr="0056201C" w:rsidTr="0056201C">
        <w:tc>
          <w:tcPr>
            <w:tcW w:w="3070" w:type="dxa"/>
          </w:tcPr>
          <w:p w:rsidR="00FC0AF6" w:rsidRPr="0056201C" w:rsidRDefault="00FC0AF6" w:rsidP="0056201C">
            <w:pPr>
              <w:pStyle w:val="normal0"/>
              <w:spacing w:before="48" w:beforeAutospacing="0" w:after="48" w:afterAutospacing="0"/>
              <w:jc w:val="both"/>
              <w:rPr>
                <w:color w:val="000000"/>
                <w:lang w:val="sr-Cyrl-CS"/>
              </w:rPr>
            </w:pPr>
            <w:r w:rsidRPr="0056201C">
              <w:rPr>
                <w:rFonts w:ascii="Arial" w:hAnsi="Arial" w:cs="Arial"/>
                <w:b/>
                <w:color w:val="000000"/>
                <w:sz w:val="18"/>
                <w:szCs w:val="18"/>
                <w:lang w:val="sr-Cyrl-CS"/>
              </w:rPr>
              <w:t xml:space="preserve">свега                               </w:t>
            </w:r>
            <w:r w:rsidRPr="0056201C">
              <w:rPr>
                <w:rFonts w:ascii="Arial" w:hAnsi="Arial" w:cs="Arial"/>
                <w:color w:val="000000"/>
                <w:sz w:val="18"/>
                <w:szCs w:val="18"/>
                <w:lang w:val="sr-Cyrl-CS"/>
              </w:rPr>
              <w:t>28.000</w:t>
            </w:r>
          </w:p>
        </w:tc>
        <w:tc>
          <w:tcPr>
            <w:tcW w:w="3070" w:type="dxa"/>
          </w:tcPr>
          <w:p w:rsidR="00FC0AF6" w:rsidRPr="0056201C" w:rsidRDefault="00FC0AF6" w:rsidP="0056201C">
            <w:pPr>
              <w:pStyle w:val="normal0"/>
              <w:spacing w:before="48" w:beforeAutospacing="0" w:after="48" w:afterAutospacing="0"/>
              <w:jc w:val="both"/>
              <w:rPr>
                <w:color w:val="000000"/>
                <w:lang w:val="sr-Cyrl-CS"/>
              </w:rPr>
            </w:pPr>
            <w:r w:rsidRPr="0056201C">
              <w:rPr>
                <w:color w:val="000000"/>
                <w:lang w:val="sr-Cyrl-CS"/>
              </w:rPr>
              <w:t xml:space="preserve">                    8.000</w:t>
            </w:r>
          </w:p>
        </w:tc>
        <w:tc>
          <w:tcPr>
            <w:tcW w:w="3071" w:type="dxa"/>
          </w:tcPr>
          <w:p w:rsidR="00FC0AF6" w:rsidRPr="0056201C" w:rsidRDefault="007650EA" w:rsidP="0056201C">
            <w:pPr>
              <w:pStyle w:val="normal0"/>
              <w:spacing w:before="48" w:beforeAutospacing="0" w:after="48" w:afterAutospacing="0"/>
              <w:jc w:val="both"/>
              <w:rPr>
                <w:color w:val="000000"/>
                <w:lang w:val="sr-Cyrl-CS"/>
              </w:rPr>
            </w:pPr>
            <w:r w:rsidRPr="0056201C">
              <w:rPr>
                <w:color w:val="000000"/>
                <w:lang w:val="sr-Cyrl-CS"/>
              </w:rPr>
              <w:t xml:space="preserve">                    20.000</w:t>
            </w:r>
          </w:p>
        </w:tc>
      </w:tr>
    </w:tbl>
    <w:p w:rsidR="00FC0AF6" w:rsidRDefault="00FC0AF6" w:rsidP="00916DBB">
      <w:pPr>
        <w:pStyle w:val="normal0"/>
        <w:shd w:val="clear" w:color="auto" w:fill="FFFFFF"/>
        <w:spacing w:before="48" w:beforeAutospacing="0" w:after="48" w:afterAutospacing="0"/>
        <w:ind w:firstLine="708"/>
        <w:jc w:val="both"/>
        <w:rPr>
          <w:color w:val="000000"/>
          <w:lang w:val="sr-Cyrl-CS"/>
        </w:rPr>
      </w:pPr>
    </w:p>
    <w:p w:rsidR="005044EC" w:rsidRPr="00FC0AF6" w:rsidRDefault="005044EC" w:rsidP="00916DBB">
      <w:pPr>
        <w:pStyle w:val="normal0"/>
        <w:shd w:val="clear" w:color="auto" w:fill="FFFFFF"/>
        <w:spacing w:before="48" w:beforeAutospacing="0" w:after="48" w:afterAutospacing="0"/>
        <w:ind w:firstLine="708"/>
        <w:jc w:val="both"/>
        <w:rPr>
          <w:color w:val="000000"/>
          <w:lang w:val="sr-Cyrl-CS"/>
        </w:rPr>
      </w:pPr>
    </w:p>
    <w:p w:rsidR="000956D9" w:rsidRPr="007650EA" w:rsidRDefault="00430326" w:rsidP="00430326">
      <w:pPr>
        <w:pStyle w:val="normal0"/>
        <w:shd w:val="clear" w:color="auto" w:fill="FFFFFF"/>
        <w:spacing w:before="48" w:beforeAutospacing="0" w:after="48" w:afterAutospacing="0"/>
        <w:rPr>
          <w:color w:val="000000"/>
          <w:lang w:val="sr-Cyrl-CS"/>
        </w:rPr>
      </w:pPr>
      <w:r>
        <w:rPr>
          <w:rFonts w:ascii="Arial" w:hAnsi="Arial" w:cs="Arial"/>
          <w:b/>
          <w:color w:val="000000"/>
          <w:sz w:val="18"/>
          <w:szCs w:val="18"/>
          <w:lang w:val="sr-Cyrl-CS"/>
        </w:rPr>
        <w:t xml:space="preserve"> </w:t>
      </w:r>
      <w:r w:rsidR="007650EA" w:rsidRPr="007650EA">
        <w:rPr>
          <w:color w:val="000000"/>
          <w:lang w:val="sr-Cyrl-CS"/>
        </w:rPr>
        <w:t xml:space="preserve">За </w:t>
      </w:r>
      <w:r w:rsidR="007650EA" w:rsidRPr="007650EA">
        <w:rPr>
          <w:color w:val="000000"/>
        </w:rPr>
        <w:t xml:space="preserve">LIFO </w:t>
      </w:r>
      <w:r w:rsidR="007650EA" w:rsidRPr="007650EA">
        <w:rPr>
          <w:color w:val="000000"/>
          <w:lang w:val="sr-Cyrl-CS"/>
        </w:rPr>
        <w:t>метод ситуација је следећа:</w:t>
      </w:r>
    </w:p>
    <w:p w:rsidR="007650EA" w:rsidRDefault="007650EA" w:rsidP="00430326">
      <w:pPr>
        <w:pStyle w:val="normal0"/>
        <w:shd w:val="clear" w:color="auto" w:fill="FFFFFF"/>
        <w:spacing w:before="48" w:beforeAutospacing="0" w:after="48" w:afterAutospacing="0"/>
        <w:rPr>
          <w:rFonts w:ascii="Arial" w:hAnsi="Arial" w:cs="Arial"/>
          <w:b/>
          <w:color w:val="000000"/>
          <w:sz w:val="18"/>
          <w:szCs w:val="18"/>
          <w:lang w:val="sr-Cyrl-CS"/>
        </w:rPr>
      </w:pPr>
    </w:p>
    <w:p w:rsidR="007650EA" w:rsidRDefault="007650EA" w:rsidP="00430326">
      <w:pPr>
        <w:pStyle w:val="normal0"/>
        <w:shd w:val="clear" w:color="auto" w:fill="FFFFFF"/>
        <w:spacing w:before="48" w:beforeAutospacing="0" w:after="48" w:afterAutospacing="0"/>
        <w:rPr>
          <w:rFonts w:ascii="Arial" w:hAnsi="Arial" w:cs="Arial"/>
          <w:b/>
          <w:color w:val="000000"/>
          <w:sz w:val="18"/>
          <w:szCs w:val="18"/>
          <w:lang w:val="sr-Cyrl-CS"/>
        </w:rPr>
      </w:pPr>
    </w:p>
    <w:p w:rsidR="007650EA" w:rsidRPr="005044EC" w:rsidRDefault="00A74A8E" w:rsidP="00430326">
      <w:pPr>
        <w:pStyle w:val="normal0"/>
        <w:shd w:val="clear" w:color="auto" w:fill="FFFFFF"/>
        <w:spacing w:before="48" w:beforeAutospacing="0" w:after="48" w:afterAutospacing="0"/>
        <w:rPr>
          <w:b/>
          <w:color w:val="000000"/>
          <w:lang w:val="sr-Cyrl-CS"/>
        </w:rPr>
      </w:pPr>
      <w:r>
        <w:rPr>
          <w:b/>
          <w:color w:val="000000"/>
          <w:lang w:val="sr-Cyrl-CS"/>
        </w:rPr>
        <w:t>Табела 16</w:t>
      </w:r>
      <w:r w:rsidR="005044EC">
        <w:rPr>
          <w:b/>
          <w:color w:val="000000"/>
          <w:lang w:val="sr-Cyrl-CS"/>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70"/>
        <w:gridCol w:w="3070"/>
        <w:gridCol w:w="3071"/>
      </w:tblGrid>
      <w:tr w:rsidR="007650EA" w:rsidRPr="0056201C" w:rsidTr="0056201C">
        <w:tc>
          <w:tcPr>
            <w:tcW w:w="3070" w:type="dxa"/>
          </w:tcPr>
          <w:p w:rsidR="007650EA" w:rsidRPr="0056201C" w:rsidRDefault="007650EA" w:rsidP="0056201C">
            <w:pPr>
              <w:pStyle w:val="normal0"/>
              <w:spacing w:before="48" w:beforeAutospacing="0" w:after="48" w:afterAutospacing="0"/>
              <w:rPr>
                <w:rFonts w:ascii="Arial" w:hAnsi="Arial" w:cs="Arial"/>
                <w:b/>
                <w:color w:val="000000"/>
                <w:sz w:val="18"/>
                <w:szCs w:val="18"/>
                <w:lang w:val="sr-Cyrl-CS"/>
              </w:rPr>
            </w:pPr>
            <w:r w:rsidRPr="0056201C">
              <w:rPr>
                <w:rFonts w:ascii="Arial" w:hAnsi="Arial" w:cs="Arial"/>
                <w:b/>
                <w:color w:val="000000"/>
                <w:sz w:val="18"/>
                <w:szCs w:val="18"/>
                <w:lang w:val="sr-Cyrl-CS"/>
              </w:rPr>
              <w:t>УЛАЗ</w:t>
            </w:r>
          </w:p>
        </w:tc>
        <w:tc>
          <w:tcPr>
            <w:tcW w:w="3070" w:type="dxa"/>
          </w:tcPr>
          <w:p w:rsidR="007650EA" w:rsidRPr="0056201C" w:rsidRDefault="007650EA" w:rsidP="0056201C">
            <w:pPr>
              <w:pStyle w:val="normal0"/>
              <w:spacing w:before="48" w:beforeAutospacing="0" w:after="48" w:afterAutospacing="0"/>
              <w:rPr>
                <w:rFonts w:ascii="Arial" w:hAnsi="Arial" w:cs="Arial"/>
                <w:b/>
                <w:color w:val="000000"/>
                <w:sz w:val="18"/>
                <w:szCs w:val="18"/>
                <w:lang w:val="sr-Cyrl-CS"/>
              </w:rPr>
            </w:pPr>
            <w:r w:rsidRPr="0056201C">
              <w:rPr>
                <w:rFonts w:ascii="Arial" w:hAnsi="Arial" w:cs="Arial"/>
                <w:b/>
                <w:color w:val="000000"/>
                <w:sz w:val="18"/>
                <w:szCs w:val="18"/>
                <w:lang w:val="sr-Cyrl-CS"/>
              </w:rPr>
              <w:t>ИЗЛАЗ</w:t>
            </w:r>
          </w:p>
        </w:tc>
        <w:tc>
          <w:tcPr>
            <w:tcW w:w="3071" w:type="dxa"/>
          </w:tcPr>
          <w:p w:rsidR="007650EA" w:rsidRPr="0056201C" w:rsidRDefault="007650EA" w:rsidP="0056201C">
            <w:pPr>
              <w:pStyle w:val="normal0"/>
              <w:spacing w:before="48" w:beforeAutospacing="0" w:after="48" w:afterAutospacing="0"/>
              <w:rPr>
                <w:rFonts w:ascii="Arial" w:hAnsi="Arial" w:cs="Arial"/>
                <w:b/>
                <w:color w:val="000000"/>
                <w:sz w:val="18"/>
                <w:szCs w:val="18"/>
                <w:lang w:val="sr-Cyrl-CS"/>
              </w:rPr>
            </w:pPr>
            <w:r w:rsidRPr="0056201C">
              <w:rPr>
                <w:rFonts w:ascii="Arial" w:hAnsi="Arial" w:cs="Arial"/>
                <w:b/>
                <w:color w:val="000000"/>
                <w:sz w:val="18"/>
                <w:szCs w:val="18"/>
                <w:lang w:val="sr-Cyrl-CS"/>
              </w:rPr>
              <w:t>ЗАЛИХЕ</w:t>
            </w:r>
          </w:p>
        </w:tc>
      </w:tr>
      <w:tr w:rsidR="007650EA" w:rsidRPr="0056201C" w:rsidTr="0056201C">
        <w:tc>
          <w:tcPr>
            <w:tcW w:w="3070" w:type="dxa"/>
          </w:tcPr>
          <w:p w:rsidR="007650EA" w:rsidRPr="0056201C" w:rsidRDefault="007650EA" w:rsidP="0056201C">
            <w:pPr>
              <w:pStyle w:val="normal0"/>
              <w:spacing w:before="48" w:beforeAutospacing="0" w:after="48" w:afterAutospacing="0"/>
              <w:rPr>
                <w:rFonts w:ascii="Arial" w:hAnsi="Arial" w:cs="Arial"/>
                <w:b/>
                <w:color w:val="000000"/>
                <w:sz w:val="18"/>
                <w:szCs w:val="18"/>
                <w:lang w:val="sr-Cyrl-CS"/>
              </w:rPr>
            </w:pPr>
            <w:r w:rsidRPr="0056201C">
              <w:rPr>
                <w:rFonts w:ascii="Arial" w:hAnsi="Arial" w:cs="Arial"/>
                <w:b/>
                <w:color w:val="000000"/>
                <w:sz w:val="16"/>
                <w:szCs w:val="16"/>
                <w:lang w:val="sr-Cyrl-CS"/>
              </w:rPr>
              <w:t>промена ком. цена вредност</w:t>
            </w:r>
          </w:p>
        </w:tc>
        <w:tc>
          <w:tcPr>
            <w:tcW w:w="3070" w:type="dxa"/>
          </w:tcPr>
          <w:p w:rsidR="007650EA" w:rsidRPr="0056201C" w:rsidRDefault="007650EA" w:rsidP="0056201C">
            <w:pPr>
              <w:pStyle w:val="normal0"/>
              <w:spacing w:before="48" w:beforeAutospacing="0" w:after="48" w:afterAutospacing="0"/>
              <w:rPr>
                <w:rFonts w:ascii="Arial" w:hAnsi="Arial" w:cs="Arial"/>
                <w:b/>
                <w:color w:val="000000"/>
                <w:sz w:val="18"/>
                <w:szCs w:val="18"/>
                <w:lang w:val="sr-Cyrl-CS"/>
              </w:rPr>
            </w:pPr>
            <w:r w:rsidRPr="0056201C">
              <w:rPr>
                <w:rFonts w:ascii="Arial" w:hAnsi="Arial" w:cs="Arial"/>
                <w:b/>
                <w:color w:val="000000"/>
                <w:sz w:val="18"/>
                <w:szCs w:val="18"/>
                <w:lang w:val="sr-Cyrl-CS"/>
              </w:rPr>
              <w:t>ком. цена   вредност</w:t>
            </w:r>
          </w:p>
        </w:tc>
        <w:tc>
          <w:tcPr>
            <w:tcW w:w="3071" w:type="dxa"/>
          </w:tcPr>
          <w:p w:rsidR="007650EA" w:rsidRPr="0056201C" w:rsidRDefault="007650EA" w:rsidP="0056201C">
            <w:pPr>
              <w:pStyle w:val="normal0"/>
              <w:spacing w:before="48" w:beforeAutospacing="0" w:after="48" w:afterAutospacing="0"/>
              <w:rPr>
                <w:rFonts w:ascii="Arial" w:hAnsi="Arial" w:cs="Arial"/>
                <w:b/>
                <w:color w:val="000000"/>
                <w:sz w:val="18"/>
                <w:szCs w:val="18"/>
                <w:lang w:val="sr-Cyrl-CS"/>
              </w:rPr>
            </w:pPr>
            <w:r w:rsidRPr="0056201C">
              <w:rPr>
                <w:rFonts w:ascii="Arial" w:hAnsi="Arial" w:cs="Arial"/>
                <w:b/>
                <w:color w:val="000000"/>
                <w:sz w:val="18"/>
                <w:szCs w:val="18"/>
                <w:lang w:val="sr-Cyrl-CS"/>
              </w:rPr>
              <w:t>ком. цена   вредност</w:t>
            </w:r>
          </w:p>
        </w:tc>
      </w:tr>
      <w:tr w:rsidR="007650EA" w:rsidRPr="0056201C" w:rsidTr="0056201C">
        <w:tc>
          <w:tcPr>
            <w:tcW w:w="3070" w:type="dxa"/>
          </w:tcPr>
          <w:p w:rsidR="007650EA" w:rsidRPr="0056201C" w:rsidRDefault="007650EA" w:rsidP="0056201C">
            <w:pPr>
              <w:pStyle w:val="normal0"/>
              <w:spacing w:before="48" w:beforeAutospacing="0" w:after="48" w:afterAutospacing="0"/>
              <w:rPr>
                <w:rFonts w:ascii="Arial" w:hAnsi="Arial" w:cs="Arial"/>
                <w:b/>
                <w:color w:val="000000"/>
                <w:sz w:val="18"/>
                <w:szCs w:val="18"/>
                <w:lang w:val="sr-Cyrl-CS"/>
              </w:rPr>
            </w:pPr>
            <w:r w:rsidRPr="0056201C">
              <w:rPr>
                <w:rFonts w:ascii="Arial" w:hAnsi="Arial" w:cs="Arial"/>
                <w:b/>
                <w:color w:val="000000"/>
                <w:sz w:val="18"/>
                <w:szCs w:val="18"/>
                <w:lang w:val="sr-Cyrl-CS"/>
              </w:rPr>
              <w:t>1.</w:t>
            </w:r>
            <w:r w:rsidRPr="0056201C">
              <w:rPr>
                <w:color w:val="000000"/>
                <w:lang w:val="sr-Cyrl-CS"/>
              </w:rPr>
              <w:t xml:space="preserve"> </w:t>
            </w:r>
            <w:r w:rsidRPr="0056201C">
              <w:rPr>
                <w:rFonts w:ascii="Arial" w:hAnsi="Arial" w:cs="Arial"/>
                <w:color w:val="000000"/>
                <w:sz w:val="18"/>
                <w:szCs w:val="18"/>
                <w:lang w:val="sr-Cyrl-CS"/>
              </w:rPr>
              <w:t xml:space="preserve">          1000        20       20.000</w:t>
            </w:r>
          </w:p>
        </w:tc>
        <w:tc>
          <w:tcPr>
            <w:tcW w:w="3070" w:type="dxa"/>
          </w:tcPr>
          <w:p w:rsidR="007650EA" w:rsidRPr="0056201C" w:rsidRDefault="007650EA" w:rsidP="0056201C">
            <w:pPr>
              <w:pStyle w:val="normal0"/>
              <w:spacing w:before="48" w:beforeAutospacing="0" w:after="48" w:afterAutospacing="0"/>
              <w:rPr>
                <w:rFonts w:ascii="Arial" w:hAnsi="Arial" w:cs="Arial"/>
                <w:b/>
                <w:color w:val="000000"/>
                <w:sz w:val="18"/>
                <w:szCs w:val="18"/>
                <w:lang w:val="sr-Cyrl-CS"/>
              </w:rPr>
            </w:pPr>
          </w:p>
        </w:tc>
        <w:tc>
          <w:tcPr>
            <w:tcW w:w="3071" w:type="dxa"/>
          </w:tcPr>
          <w:p w:rsidR="007650EA" w:rsidRPr="0056201C" w:rsidRDefault="007650EA" w:rsidP="0056201C">
            <w:pPr>
              <w:pStyle w:val="normal0"/>
              <w:spacing w:before="48" w:beforeAutospacing="0" w:after="48" w:afterAutospacing="0"/>
              <w:rPr>
                <w:rFonts w:ascii="Arial" w:hAnsi="Arial" w:cs="Arial"/>
                <w:b/>
                <w:color w:val="000000"/>
                <w:sz w:val="18"/>
                <w:szCs w:val="18"/>
                <w:lang w:val="sr-Cyrl-CS"/>
              </w:rPr>
            </w:pPr>
          </w:p>
        </w:tc>
      </w:tr>
      <w:tr w:rsidR="007650EA" w:rsidRPr="0056201C" w:rsidTr="0056201C">
        <w:tc>
          <w:tcPr>
            <w:tcW w:w="3070" w:type="dxa"/>
          </w:tcPr>
          <w:p w:rsidR="007650EA" w:rsidRPr="0056201C" w:rsidRDefault="007650EA" w:rsidP="0056201C">
            <w:pPr>
              <w:pStyle w:val="normal0"/>
              <w:spacing w:before="48" w:beforeAutospacing="0" w:after="48" w:afterAutospacing="0"/>
              <w:rPr>
                <w:rFonts w:ascii="Arial" w:hAnsi="Arial" w:cs="Arial"/>
                <w:b/>
                <w:color w:val="000000"/>
                <w:sz w:val="18"/>
                <w:szCs w:val="18"/>
                <w:lang w:val="sr-Cyrl-CS"/>
              </w:rPr>
            </w:pPr>
            <w:r w:rsidRPr="0056201C">
              <w:rPr>
                <w:rFonts w:ascii="Arial" w:hAnsi="Arial" w:cs="Arial"/>
                <w:b/>
                <w:color w:val="000000"/>
                <w:sz w:val="18"/>
                <w:szCs w:val="18"/>
                <w:lang w:val="sr-Cyrl-CS"/>
              </w:rPr>
              <w:t>2.</w:t>
            </w:r>
            <w:r w:rsidRPr="0056201C">
              <w:rPr>
                <w:rFonts w:ascii="Arial" w:hAnsi="Arial" w:cs="Arial"/>
                <w:color w:val="000000"/>
                <w:sz w:val="18"/>
                <w:szCs w:val="18"/>
                <w:lang w:val="sr-Cyrl-CS"/>
              </w:rPr>
              <w:t xml:space="preserve">             800        10         8.000      </w:t>
            </w:r>
          </w:p>
        </w:tc>
        <w:tc>
          <w:tcPr>
            <w:tcW w:w="3070" w:type="dxa"/>
          </w:tcPr>
          <w:p w:rsidR="007650EA" w:rsidRPr="0056201C" w:rsidRDefault="007650EA" w:rsidP="0056201C">
            <w:pPr>
              <w:pStyle w:val="normal0"/>
              <w:spacing w:before="48" w:beforeAutospacing="0" w:after="48" w:afterAutospacing="0"/>
              <w:rPr>
                <w:rFonts w:ascii="Arial" w:hAnsi="Arial" w:cs="Arial"/>
                <w:b/>
                <w:color w:val="000000"/>
                <w:sz w:val="18"/>
                <w:szCs w:val="18"/>
                <w:lang w:val="sr-Cyrl-CS"/>
              </w:rPr>
            </w:pPr>
          </w:p>
        </w:tc>
        <w:tc>
          <w:tcPr>
            <w:tcW w:w="3071" w:type="dxa"/>
          </w:tcPr>
          <w:p w:rsidR="007650EA" w:rsidRPr="0056201C" w:rsidRDefault="007650EA" w:rsidP="0056201C">
            <w:pPr>
              <w:pStyle w:val="normal0"/>
              <w:spacing w:before="48" w:beforeAutospacing="0" w:after="48" w:afterAutospacing="0"/>
              <w:rPr>
                <w:rFonts w:ascii="Arial" w:hAnsi="Arial" w:cs="Arial"/>
                <w:b/>
                <w:color w:val="000000"/>
                <w:sz w:val="18"/>
                <w:szCs w:val="18"/>
                <w:lang w:val="sr-Cyrl-CS"/>
              </w:rPr>
            </w:pPr>
          </w:p>
        </w:tc>
      </w:tr>
      <w:tr w:rsidR="007650EA" w:rsidRPr="0056201C" w:rsidTr="0056201C">
        <w:tc>
          <w:tcPr>
            <w:tcW w:w="3070" w:type="dxa"/>
          </w:tcPr>
          <w:p w:rsidR="007650EA" w:rsidRPr="0056201C" w:rsidRDefault="007650EA" w:rsidP="0056201C">
            <w:pPr>
              <w:pStyle w:val="normal0"/>
              <w:spacing w:before="48" w:beforeAutospacing="0" w:after="48" w:afterAutospacing="0"/>
              <w:rPr>
                <w:rFonts w:ascii="Arial" w:hAnsi="Arial" w:cs="Arial"/>
                <w:b/>
                <w:color w:val="000000"/>
                <w:sz w:val="18"/>
                <w:szCs w:val="18"/>
                <w:lang w:val="sr-Cyrl-CS"/>
              </w:rPr>
            </w:pPr>
            <w:r w:rsidRPr="0056201C">
              <w:rPr>
                <w:rFonts w:ascii="Arial" w:hAnsi="Arial" w:cs="Arial"/>
                <w:b/>
                <w:color w:val="000000"/>
                <w:sz w:val="18"/>
                <w:szCs w:val="18"/>
                <w:lang w:val="sr-Cyrl-CS"/>
              </w:rPr>
              <w:t>3.</w:t>
            </w:r>
          </w:p>
        </w:tc>
        <w:tc>
          <w:tcPr>
            <w:tcW w:w="3070" w:type="dxa"/>
          </w:tcPr>
          <w:p w:rsidR="007650EA" w:rsidRPr="0056201C" w:rsidRDefault="007650EA" w:rsidP="0056201C">
            <w:pPr>
              <w:pStyle w:val="normal0"/>
              <w:spacing w:before="48" w:beforeAutospacing="0" w:after="48" w:afterAutospacing="0"/>
              <w:rPr>
                <w:rFonts w:ascii="Arial" w:hAnsi="Arial" w:cs="Arial"/>
                <w:b/>
                <w:color w:val="000000"/>
                <w:sz w:val="18"/>
                <w:szCs w:val="18"/>
                <w:lang w:val="sr-Cyrl-CS"/>
              </w:rPr>
            </w:pPr>
            <w:r w:rsidRPr="0056201C">
              <w:rPr>
                <w:rFonts w:ascii="Arial" w:hAnsi="Arial" w:cs="Arial"/>
                <w:color w:val="000000"/>
                <w:sz w:val="18"/>
                <w:szCs w:val="18"/>
                <w:lang w:val="sr-Cyrl-CS"/>
              </w:rPr>
              <w:t xml:space="preserve"> 400   10         4.000                                                             </w:t>
            </w:r>
          </w:p>
        </w:tc>
        <w:tc>
          <w:tcPr>
            <w:tcW w:w="3071" w:type="dxa"/>
          </w:tcPr>
          <w:p w:rsidR="007650EA" w:rsidRPr="0056201C" w:rsidRDefault="007650EA" w:rsidP="0056201C">
            <w:pPr>
              <w:pStyle w:val="normal0"/>
              <w:spacing w:before="48" w:beforeAutospacing="0" w:after="48" w:afterAutospacing="0"/>
              <w:rPr>
                <w:rFonts w:ascii="Arial" w:hAnsi="Arial" w:cs="Arial"/>
                <w:b/>
                <w:color w:val="000000"/>
                <w:sz w:val="18"/>
                <w:szCs w:val="18"/>
                <w:lang w:val="sr-Cyrl-CS"/>
              </w:rPr>
            </w:pPr>
            <w:r w:rsidRPr="0056201C">
              <w:rPr>
                <w:rFonts w:ascii="Arial" w:hAnsi="Arial" w:cs="Arial"/>
                <w:color w:val="000000"/>
                <w:sz w:val="18"/>
                <w:szCs w:val="18"/>
                <w:lang w:val="sr-Cyrl-CS"/>
              </w:rPr>
              <w:t xml:space="preserve">400     10         4.000                                </w:t>
            </w:r>
          </w:p>
        </w:tc>
      </w:tr>
      <w:tr w:rsidR="007650EA" w:rsidRPr="0056201C" w:rsidTr="0056201C">
        <w:tc>
          <w:tcPr>
            <w:tcW w:w="3070" w:type="dxa"/>
          </w:tcPr>
          <w:p w:rsidR="007650EA" w:rsidRPr="0056201C" w:rsidRDefault="007650EA" w:rsidP="0056201C">
            <w:pPr>
              <w:pStyle w:val="normal0"/>
              <w:spacing w:before="48" w:beforeAutospacing="0" w:after="48" w:afterAutospacing="0"/>
              <w:rPr>
                <w:rFonts w:ascii="Arial" w:hAnsi="Arial" w:cs="Arial"/>
                <w:b/>
                <w:color w:val="000000"/>
                <w:sz w:val="18"/>
                <w:szCs w:val="18"/>
                <w:lang w:val="sr-Cyrl-CS"/>
              </w:rPr>
            </w:pPr>
          </w:p>
        </w:tc>
        <w:tc>
          <w:tcPr>
            <w:tcW w:w="3070" w:type="dxa"/>
          </w:tcPr>
          <w:p w:rsidR="007650EA" w:rsidRPr="0056201C" w:rsidRDefault="007650EA" w:rsidP="0056201C">
            <w:pPr>
              <w:pStyle w:val="normal0"/>
              <w:spacing w:before="48" w:beforeAutospacing="0" w:after="48" w:afterAutospacing="0"/>
              <w:rPr>
                <w:rFonts w:ascii="Arial" w:hAnsi="Arial" w:cs="Arial"/>
                <w:b/>
                <w:color w:val="000000"/>
                <w:sz w:val="18"/>
                <w:szCs w:val="18"/>
                <w:lang w:val="sr-Cyrl-CS"/>
              </w:rPr>
            </w:pPr>
          </w:p>
        </w:tc>
        <w:tc>
          <w:tcPr>
            <w:tcW w:w="3071" w:type="dxa"/>
          </w:tcPr>
          <w:p w:rsidR="007650EA" w:rsidRPr="0056201C" w:rsidRDefault="007650EA" w:rsidP="0056201C">
            <w:pPr>
              <w:pStyle w:val="normal0"/>
              <w:spacing w:before="48" w:beforeAutospacing="0" w:after="48" w:afterAutospacing="0"/>
              <w:rPr>
                <w:rFonts w:ascii="Arial" w:hAnsi="Arial" w:cs="Arial"/>
                <w:b/>
                <w:color w:val="000000"/>
                <w:sz w:val="18"/>
                <w:szCs w:val="18"/>
                <w:lang w:val="sr-Cyrl-CS"/>
              </w:rPr>
            </w:pPr>
            <w:r w:rsidRPr="0056201C">
              <w:rPr>
                <w:rFonts w:ascii="Arial" w:hAnsi="Arial" w:cs="Arial"/>
                <w:color w:val="000000"/>
                <w:sz w:val="18"/>
                <w:szCs w:val="18"/>
                <w:lang w:val="sr-Cyrl-CS"/>
              </w:rPr>
              <w:t xml:space="preserve">1000   20        20.000                     </w:t>
            </w:r>
          </w:p>
        </w:tc>
      </w:tr>
      <w:tr w:rsidR="007650EA" w:rsidRPr="0056201C" w:rsidTr="0056201C">
        <w:tc>
          <w:tcPr>
            <w:tcW w:w="3070" w:type="dxa"/>
          </w:tcPr>
          <w:p w:rsidR="007650EA" w:rsidRPr="0056201C" w:rsidRDefault="007650EA" w:rsidP="0056201C">
            <w:pPr>
              <w:pStyle w:val="normal0"/>
              <w:spacing w:before="48" w:beforeAutospacing="0" w:after="48" w:afterAutospacing="0"/>
              <w:rPr>
                <w:rFonts w:ascii="Arial" w:hAnsi="Arial" w:cs="Arial"/>
                <w:b/>
                <w:color w:val="000000"/>
                <w:sz w:val="18"/>
                <w:szCs w:val="18"/>
                <w:lang w:val="sr-Cyrl-CS"/>
              </w:rPr>
            </w:pPr>
            <w:r w:rsidRPr="0056201C">
              <w:rPr>
                <w:rFonts w:ascii="Arial" w:hAnsi="Arial" w:cs="Arial"/>
                <w:b/>
                <w:color w:val="000000"/>
                <w:sz w:val="18"/>
                <w:szCs w:val="18"/>
                <w:lang w:val="sr-Cyrl-CS"/>
              </w:rPr>
              <w:t xml:space="preserve">свега                               </w:t>
            </w:r>
            <w:r w:rsidRPr="0056201C">
              <w:rPr>
                <w:rFonts w:ascii="Arial" w:hAnsi="Arial" w:cs="Arial"/>
                <w:color w:val="000000"/>
                <w:sz w:val="18"/>
                <w:szCs w:val="18"/>
                <w:lang w:val="sr-Cyrl-CS"/>
              </w:rPr>
              <w:t>28.000</w:t>
            </w:r>
          </w:p>
        </w:tc>
        <w:tc>
          <w:tcPr>
            <w:tcW w:w="3070" w:type="dxa"/>
          </w:tcPr>
          <w:p w:rsidR="007650EA" w:rsidRPr="0056201C" w:rsidRDefault="007650EA" w:rsidP="0056201C">
            <w:pPr>
              <w:pStyle w:val="normal0"/>
              <w:spacing w:before="48" w:beforeAutospacing="0" w:after="48" w:afterAutospacing="0"/>
              <w:rPr>
                <w:rFonts w:ascii="Arial" w:hAnsi="Arial" w:cs="Arial"/>
                <w:b/>
                <w:color w:val="000000"/>
                <w:sz w:val="18"/>
                <w:szCs w:val="18"/>
                <w:lang w:val="sr-Cyrl-CS"/>
              </w:rPr>
            </w:pPr>
            <w:r w:rsidRPr="0056201C">
              <w:rPr>
                <w:rFonts w:ascii="Arial" w:hAnsi="Arial" w:cs="Arial"/>
                <w:b/>
                <w:color w:val="000000"/>
                <w:sz w:val="18"/>
                <w:szCs w:val="18"/>
                <w:lang w:val="sr-Cyrl-CS"/>
              </w:rPr>
              <w:t xml:space="preserve">                       4.000</w:t>
            </w:r>
          </w:p>
        </w:tc>
        <w:tc>
          <w:tcPr>
            <w:tcW w:w="3071" w:type="dxa"/>
          </w:tcPr>
          <w:p w:rsidR="007650EA" w:rsidRPr="0056201C" w:rsidRDefault="007650EA" w:rsidP="0056201C">
            <w:pPr>
              <w:pStyle w:val="normal0"/>
              <w:spacing w:before="48" w:beforeAutospacing="0" w:after="48" w:afterAutospacing="0"/>
              <w:rPr>
                <w:rFonts w:ascii="Arial" w:hAnsi="Arial" w:cs="Arial"/>
                <w:b/>
                <w:color w:val="000000"/>
                <w:sz w:val="18"/>
                <w:szCs w:val="18"/>
                <w:lang w:val="sr-Cyrl-CS"/>
              </w:rPr>
            </w:pPr>
            <w:r w:rsidRPr="0056201C">
              <w:rPr>
                <w:rFonts w:ascii="Arial" w:hAnsi="Arial" w:cs="Arial"/>
                <w:b/>
                <w:color w:val="000000"/>
                <w:sz w:val="18"/>
                <w:szCs w:val="18"/>
                <w:lang w:val="sr-Cyrl-CS"/>
              </w:rPr>
              <w:t xml:space="preserve">                       24.000</w:t>
            </w:r>
          </w:p>
        </w:tc>
      </w:tr>
    </w:tbl>
    <w:p w:rsidR="007650EA" w:rsidRDefault="007650EA" w:rsidP="00430326">
      <w:pPr>
        <w:pStyle w:val="normal0"/>
        <w:shd w:val="clear" w:color="auto" w:fill="FFFFFF"/>
        <w:spacing w:before="48" w:beforeAutospacing="0" w:after="48" w:afterAutospacing="0"/>
        <w:rPr>
          <w:rFonts w:ascii="Arial" w:hAnsi="Arial" w:cs="Arial"/>
          <w:b/>
          <w:color w:val="000000"/>
          <w:sz w:val="18"/>
          <w:szCs w:val="18"/>
          <w:lang w:val="sr-Cyrl-CS"/>
        </w:rPr>
      </w:pPr>
    </w:p>
    <w:p w:rsidR="0009739D" w:rsidRDefault="0009739D" w:rsidP="003622DF">
      <w:pPr>
        <w:pStyle w:val="normal0"/>
        <w:shd w:val="clear" w:color="auto" w:fill="FFFFFF"/>
        <w:spacing w:before="48" w:beforeAutospacing="0" w:after="48" w:afterAutospacing="0"/>
        <w:ind w:firstLine="708"/>
        <w:jc w:val="both"/>
        <w:rPr>
          <w:color w:val="000000"/>
          <w:lang w:val="sr-Cyrl-CS"/>
        </w:rPr>
      </w:pPr>
    </w:p>
    <w:p w:rsidR="003622DF" w:rsidRDefault="007650EA" w:rsidP="00797E29">
      <w:pPr>
        <w:ind w:firstLine="708"/>
        <w:jc w:val="both"/>
        <w:rPr>
          <w:rFonts w:ascii="Times New Roman" w:hAnsi="Times New Roman"/>
          <w:sz w:val="24"/>
          <w:szCs w:val="24"/>
          <w:lang w:val="sr-Cyrl-CS"/>
        </w:rPr>
      </w:pPr>
      <w:r w:rsidRPr="00797E29">
        <w:rPr>
          <w:rFonts w:ascii="Times New Roman" w:hAnsi="Times New Roman"/>
          <w:sz w:val="24"/>
          <w:szCs w:val="24"/>
          <w:lang w:val="sr-Cyrl-CS"/>
        </w:rPr>
        <w:t>Дакле, на основу приказаног обрачуна се може утврдити да је сада сит</w:t>
      </w:r>
      <w:r w:rsidR="003622DF" w:rsidRPr="00797E29">
        <w:rPr>
          <w:rFonts w:ascii="Times New Roman" w:hAnsi="Times New Roman"/>
          <w:sz w:val="24"/>
          <w:szCs w:val="24"/>
          <w:lang w:val="sr-Cyrl-CS"/>
        </w:rPr>
        <w:t xml:space="preserve">уација сасвим другачија и да сада </w:t>
      </w:r>
      <w:r w:rsidR="003622DF" w:rsidRPr="00797E29">
        <w:rPr>
          <w:rFonts w:ascii="Times New Roman" w:hAnsi="Times New Roman"/>
          <w:sz w:val="24"/>
          <w:szCs w:val="24"/>
        </w:rPr>
        <w:t xml:space="preserve">FIFO метод </w:t>
      </w:r>
      <w:r w:rsidR="003622DF" w:rsidRPr="00797E29">
        <w:rPr>
          <w:rFonts w:ascii="Times New Roman" w:hAnsi="Times New Roman"/>
          <w:sz w:val="24"/>
          <w:szCs w:val="24"/>
          <w:lang w:val="sr-Cyrl-CS"/>
        </w:rPr>
        <w:t>расходе оптерећује мањим износом, јер је и цена коштања нижа, а самим тим је и порез на добит већи, односно има ефекте као LIFO метод и обрнуто.</w:t>
      </w:r>
    </w:p>
    <w:p w:rsidR="00797E29" w:rsidRPr="00797E29" w:rsidRDefault="00797E29" w:rsidP="00797E29">
      <w:pPr>
        <w:ind w:firstLine="708"/>
        <w:jc w:val="both"/>
        <w:rPr>
          <w:rFonts w:ascii="Times New Roman" w:hAnsi="Times New Roman"/>
          <w:sz w:val="24"/>
          <w:szCs w:val="24"/>
          <w:lang w:val="sr-Cyrl-CS"/>
        </w:rPr>
      </w:pPr>
    </w:p>
    <w:p w:rsidR="003622DF" w:rsidRDefault="00E043B1" w:rsidP="00797E29">
      <w:pPr>
        <w:jc w:val="both"/>
        <w:rPr>
          <w:rFonts w:ascii="Times New Roman" w:hAnsi="Times New Roman"/>
          <w:b/>
          <w:sz w:val="24"/>
          <w:szCs w:val="24"/>
          <w:lang w:val="sr-Cyrl-CS"/>
        </w:rPr>
      </w:pPr>
      <w:r w:rsidRPr="00797E29">
        <w:rPr>
          <w:rFonts w:ascii="Times New Roman" w:hAnsi="Times New Roman"/>
          <w:b/>
          <w:sz w:val="24"/>
          <w:szCs w:val="24"/>
          <w:lang w:val="sr-Cyrl-CS"/>
        </w:rPr>
        <w:t>Метод просечне цене</w:t>
      </w:r>
    </w:p>
    <w:p w:rsidR="00797E29" w:rsidRPr="00797E29" w:rsidRDefault="00797E29" w:rsidP="00797E29">
      <w:pPr>
        <w:jc w:val="both"/>
        <w:rPr>
          <w:rFonts w:ascii="Times New Roman" w:hAnsi="Times New Roman"/>
          <w:b/>
          <w:sz w:val="24"/>
          <w:szCs w:val="24"/>
          <w:lang w:val="sr-Cyrl-CS"/>
        </w:rPr>
      </w:pPr>
    </w:p>
    <w:p w:rsidR="00A25E7A" w:rsidRDefault="004F2FD1" w:rsidP="00797E29">
      <w:pPr>
        <w:ind w:firstLine="708"/>
        <w:jc w:val="both"/>
        <w:rPr>
          <w:rFonts w:ascii="Times New Roman" w:hAnsi="Times New Roman"/>
          <w:sz w:val="24"/>
          <w:szCs w:val="24"/>
          <w:lang w:val="sr-Cyrl-CS"/>
        </w:rPr>
      </w:pPr>
      <w:r w:rsidRPr="00797E29">
        <w:rPr>
          <w:rFonts w:ascii="Times New Roman" w:hAnsi="Times New Roman"/>
          <w:sz w:val="24"/>
          <w:szCs w:val="24"/>
          <w:lang w:val="sr-Cyrl-CS"/>
        </w:rPr>
        <w:t xml:space="preserve">Применом овог метода се излаз залиха обрачунава применом пондерисане просечне цене. Пондерисана просечна цена представља количник вредности и количине набављене робе. </w:t>
      </w:r>
      <w:r w:rsidR="00A25E7A" w:rsidRPr="00797E29">
        <w:rPr>
          <w:rFonts w:ascii="Times New Roman" w:hAnsi="Times New Roman"/>
          <w:sz w:val="24"/>
          <w:szCs w:val="24"/>
          <w:lang w:val="sr-Cyrl-CS"/>
        </w:rPr>
        <w:t>Уколико овај метод применимо у ранијем примеру ефекти ће бити следећи:</w:t>
      </w:r>
    </w:p>
    <w:p w:rsidR="00797E29" w:rsidRDefault="00797E29" w:rsidP="00797E29">
      <w:pPr>
        <w:ind w:firstLine="708"/>
        <w:jc w:val="both"/>
        <w:rPr>
          <w:rFonts w:ascii="Times New Roman" w:hAnsi="Times New Roman"/>
          <w:sz w:val="24"/>
          <w:szCs w:val="24"/>
          <w:lang w:val="sr-Cyrl-CS"/>
        </w:rPr>
      </w:pPr>
    </w:p>
    <w:p w:rsidR="00797E29" w:rsidRDefault="00797E29" w:rsidP="00797E29">
      <w:pPr>
        <w:ind w:firstLine="708"/>
        <w:jc w:val="both"/>
        <w:rPr>
          <w:rFonts w:ascii="Times New Roman" w:hAnsi="Times New Roman"/>
          <w:sz w:val="24"/>
          <w:szCs w:val="24"/>
          <w:lang w:val="sr-Cyrl-CS"/>
        </w:rPr>
      </w:pPr>
    </w:p>
    <w:p w:rsidR="00797E29" w:rsidRPr="00797E29" w:rsidRDefault="00797E29" w:rsidP="00797E29">
      <w:pPr>
        <w:ind w:firstLine="708"/>
        <w:jc w:val="both"/>
        <w:rPr>
          <w:rFonts w:ascii="Times New Roman" w:hAnsi="Times New Roman"/>
          <w:sz w:val="24"/>
          <w:szCs w:val="24"/>
          <w:lang w:val="sr-Cyrl-CS"/>
        </w:rPr>
      </w:pPr>
    </w:p>
    <w:p w:rsidR="00A25E7A" w:rsidRPr="005044EC" w:rsidRDefault="00A74A8E" w:rsidP="003622DF">
      <w:pPr>
        <w:pStyle w:val="normal0"/>
        <w:shd w:val="clear" w:color="auto" w:fill="FFFFFF"/>
        <w:spacing w:before="48" w:beforeAutospacing="0" w:after="48" w:afterAutospacing="0"/>
        <w:jc w:val="both"/>
        <w:rPr>
          <w:b/>
          <w:color w:val="000000"/>
          <w:lang w:val="sr-Cyrl-CS"/>
        </w:rPr>
      </w:pPr>
      <w:r>
        <w:rPr>
          <w:b/>
          <w:color w:val="000000"/>
          <w:lang w:val="sr-Cyrl-CS"/>
        </w:rPr>
        <w:lastRenderedPageBreak/>
        <w:t>Табела 17</w:t>
      </w:r>
      <w:r w:rsidR="005044EC" w:rsidRPr="005044EC">
        <w:rPr>
          <w:b/>
          <w:color w:val="000000"/>
          <w:lang w:val="sr-Cyrl-CS"/>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70"/>
        <w:gridCol w:w="3070"/>
        <w:gridCol w:w="3071"/>
      </w:tblGrid>
      <w:tr w:rsidR="00A25E7A" w:rsidRPr="0056201C" w:rsidTr="0056201C">
        <w:tc>
          <w:tcPr>
            <w:tcW w:w="3070" w:type="dxa"/>
          </w:tcPr>
          <w:p w:rsidR="00A25E7A" w:rsidRPr="0056201C" w:rsidRDefault="00A25E7A" w:rsidP="0056201C">
            <w:pPr>
              <w:pStyle w:val="normal0"/>
              <w:spacing w:before="48" w:beforeAutospacing="0" w:after="48" w:afterAutospacing="0"/>
              <w:jc w:val="both"/>
              <w:rPr>
                <w:color w:val="000000"/>
                <w:lang w:val="sr-Cyrl-CS"/>
              </w:rPr>
            </w:pPr>
            <w:r w:rsidRPr="0056201C">
              <w:rPr>
                <w:rFonts w:ascii="Arial" w:hAnsi="Arial" w:cs="Arial"/>
                <w:b/>
                <w:color w:val="000000"/>
                <w:sz w:val="18"/>
                <w:szCs w:val="18"/>
                <w:lang w:val="sr-Cyrl-CS"/>
              </w:rPr>
              <w:t>УЛАЗ</w:t>
            </w:r>
          </w:p>
        </w:tc>
        <w:tc>
          <w:tcPr>
            <w:tcW w:w="3070" w:type="dxa"/>
          </w:tcPr>
          <w:p w:rsidR="00A25E7A" w:rsidRPr="0056201C" w:rsidRDefault="00A25E7A" w:rsidP="0056201C">
            <w:pPr>
              <w:pStyle w:val="normal0"/>
              <w:spacing w:before="48" w:beforeAutospacing="0" w:after="48" w:afterAutospacing="0"/>
              <w:jc w:val="both"/>
              <w:rPr>
                <w:color w:val="000000"/>
                <w:lang w:val="sr-Cyrl-CS"/>
              </w:rPr>
            </w:pPr>
            <w:r w:rsidRPr="0056201C">
              <w:rPr>
                <w:rFonts w:ascii="Arial" w:hAnsi="Arial" w:cs="Arial"/>
                <w:b/>
                <w:color w:val="000000"/>
                <w:sz w:val="18"/>
                <w:szCs w:val="18"/>
                <w:lang w:val="sr-Cyrl-CS"/>
              </w:rPr>
              <w:t>ИЗЛАЗ</w:t>
            </w:r>
          </w:p>
        </w:tc>
        <w:tc>
          <w:tcPr>
            <w:tcW w:w="3071" w:type="dxa"/>
          </w:tcPr>
          <w:p w:rsidR="00A25E7A" w:rsidRPr="0056201C" w:rsidRDefault="00A25E7A" w:rsidP="0056201C">
            <w:pPr>
              <w:pStyle w:val="normal0"/>
              <w:spacing w:before="48" w:beforeAutospacing="0" w:after="48" w:afterAutospacing="0"/>
              <w:jc w:val="both"/>
              <w:rPr>
                <w:color w:val="000000"/>
                <w:lang w:val="sr-Cyrl-CS"/>
              </w:rPr>
            </w:pPr>
            <w:r w:rsidRPr="0056201C">
              <w:rPr>
                <w:rFonts w:ascii="Arial" w:hAnsi="Arial" w:cs="Arial"/>
                <w:b/>
                <w:color w:val="000000"/>
                <w:sz w:val="18"/>
                <w:szCs w:val="18"/>
                <w:lang w:val="sr-Cyrl-CS"/>
              </w:rPr>
              <w:t>ЗАЛИХЕ</w:t>
            </w:r>
          </w:p>
        </w:tc>
      </w:tr>
      <w:tr w:rsidR="00A25E7A" w:rsidRPr="0056201C" w:rsidTr="0056201C">
        <w:tc>
          <w:tcPr>
            <w:tcW w:w="3070" w:type="dxa"/>
          </w:tcPr>
          <w:p w:rsidR="00A25E7A" w:rsidRPr="0056201C" w:rsidRDefault="00A25E7A" w:rsidP="0056201C">
            <w:pPr>
              <w:pStyle w:val="normal0"/>
              <w:spacing w:before="48" w:beforeAutospacing="0" w:after="48" w:afterAutospacing="0"/>
              <w:jc w:val="both"/>
              <w:rPr>
                <w:color w:val="000000"/>
                <w:lang w:val="sr-Cyrl-CS"/>
              </w:rPr>
            </w:pPr>
            <w:r w:rsidRPr="0056201C">
              <w:rPr>
                <w:rFonts w:ascii="Arial" w:hAnsi="Arial" w:cs="Arial"/>
                <w:b/>
                <w:color w:val="000000"/>
                <w:sz w:val="16"/>
                <w:szCs w:val="16"/>
                <w:lang w:val="sr-Cyrl-CS"/>
              </w:rPr>
              <w:t>промена ком. цена вредност</w:t>
            </w:r>
          </w:p>
        </w:tc>
        <w:tc>
          <w:tcPr>
            <w:tcW w:w="3070" w:type="dxa"/>
          </w:tcPr>
          <w:p w:rsidR="00A25E7A" w:rsidRPr="0056201C" w:rsidRDefault="00A25E7A" w:rsidP="0056201C">
            <w:pPr>
              <w:pStyle w:val="normal0"/>
              <w:spacing w:before="48" w:beforeAutospacing="0" w:after="48" w:afterAutospacing="0"/>
              <w:jc w:val="both"/>
              <w:rPr>
                <w:color w:val="000000"/>
                <w:lang w:val="sr-Cyrl-CS"/>
              </w:rPr>
            </w:pPr>
            <w:r w:rsidRPr="0056201C">
              <w:rPr>
                <w:rFonts w:ascii="Arial" w:hAnsi="Arial" w:cs="Arial"/>
                <w:b/>
                <w:color w:val="000000"/>
                <w:sz w:val="18"/>
                <w:szCs w:val="18"/>
                <w:lang w:val="sr-Cyrl-CS"/>
              </w:rPr>
              <w:t>ком. цена   вредност</w:t>
            </w:r>
          </w:p>
        </w:tc>
        <w:tc>
          <w:tcPr>
            <w:tcW w:w="3071" w:type="dxa"/>
          </w:tcPr>
          <w:p w:rsidR="00A25E7A" w:rsidRPr="0056201C" w:rsidRDefault="00A25E7A" w:rsidP="0056201C">
            <w:pPr>
              <w:pStyle w:val="normal0"/>
              <w:spacing w:before="48" w:beforeAutospacing="0" w:after="48" w:afterAutospacing="0"/>
              <w:jc w:val="both"/>
              <w:rPr>
                <w:color w:val="000000"/>
                <w:lang w:val="sr-Cyrl-CS"/>
              </w:rPr>
            </w:pPr>
            <w:r w:rsidRPr="0056201C">
              <w:rPr>
                <w:rFonts w:ascii="Arial" w:hAnsi="Arial" w:cs="Arial"/>
                <w:b/>
                <w:color w:val="000000"/>
                <w:sz w:val="18"/>
                <w:szCs w:val="18"/>
                <w:lang w:val="sr-Cyrl-CS"/>
              </w:rPr>
              <w:t>ком. цена   вредност</w:t>
            </w:r>
          </w:p>
        </w:tc>
      </w:tr>
      <w:tr w:rsidR="00A25E7A" w:rsidRPr="0056201C" w:rsidTr="0056201C">
        <w:tc>
          <w:tcPr>
            <w:tcW w:w="3070" w:type="dxa"/>
          </w:tcPr>
          <w:p w:rsidR="00A25E7A" w:rsidRPr="0056201C" w:rsidRDefault="00A25E7A" w:rsidP="0056201C">
            <w:pPr>
              <w:pStyle w:val="normal0"/>
              <w:spacing w:before="48" w:beforeAutospacing="0" w:after="48" w:afterAutospacing="0"/>
              <w:jc w:val="both"/>
              <w:rPr>
                <w:color w:val="000000"/>
                <w:lang w:val="sr-Cyrl-CS"/>
              </w:rPr>
            </w:pPr>
            <w:r w:rsidRPr="0056201C">
              <w:rPr>
                <w:rFonts w:ascii="Arial" w:hAnsi="Arial" w:cs="Arial"/>
                <w:color w:val="000000"/>
                <w:sz w:val="18"/>
                <w:szCs w:val="18"/>
                <w:lang w:val="sr-Cyrl-CS"/>
              </w:rPr>
              <w:t xml:space="preserve">1               800        10         8.000             </w:t>
            </w:r>
          </w:p>
        </w:tc>
        <w:tc>
          <w:tcPr>
            <w:tcW w:w="3070" w:type="dxa"/>
          </w:tcPr>
          <w:p w:rsidR="00A25E7A" w:rsidRPr="0056201C" w:rsidRDefault="00A25E7A" w:rsidP="0056201C">
            <w:pPr>
              <w:pStyle w:val="normal0"/>
              <w:spacing w:before="48" w:beforeAutospacing="0" w:after="48" w:afterAutospacing="0"/>
              <w:jc w:val="both"/>
              <w:rPr>
                <w:color w:val="000000"/>
                <w:lang w:val="sr-Cyrl-CS"/>
              </w:rPr>
            </w:pPr>
          </w:p>
        </w:tc>
        <w:tc>
          <w:tcPr>
            <w:tcW w:w="3071" w:type="dxa"/>
          </w:tcPr>
          <w:p w:rsidR="00A25E7A" w:rsidRPr="0056201C" w:rsidRDefault="00A25E7A" w:rsidP="0056201C">
            <w:pPr>
              <w:pStyle w:val="normal0"/>
              <w:spacing w:before="48" w:beforeAutospacing="0" w:after="48" w:afterAutospacing="0"/>
              <w:jc w:val="both"/>
              <w:rPr>
                <w:color w:val="000000"/>
                <w:lang w:val="sr-Cyrl-CS"/>
              </w:rPr>
            </w:pPr>
          </w:p>
        </w:tc>
      </w:tr>
      <w:tr w:rsidR="00A25E7A" w:rsidRPr="0056201C" w:rsidTr="0056201C">
        <w:tc>
          <w:tcPr>
            <w:tcW w:w="3070" w:type="dxa"/>
          </w:tcPr>
          <w:p w:rsidR="00A25E7A" w:rsidRPr="0056201C" w:rsidRDefault="00A25E7A" w:rsidP="0056201C">
            <w:pPr>
              <w:pStyle w:val="normal0"/>
              <w:spacing w:before="48" w:beforeAutospacing="0" w:after="48" w:afterAutospacing="0"/>
              <w:jc w:val="both"/>
              <w:rPr>
                <w:color w:val="000000"/>
                <w:lang w:val="sr-Cyrl-CS"/>
              </w:rPr>
            </w:pPr>
            <w:r w:rsidRPr="0056201C">
              <w:rPr>
                <w:color w:val="000000"/>
                <w:lang w:val="sr-Cyrl-CS"/>
              </w:rPr>
              <w:t xml:space="preserve">2           </w:t>
            </w:r>
            <w:r w:rsidRPr="0056201C">
              <w:rPr>
                <w:rFonts w:ascii="Arial" w:hAnsi="Arial" w:cs="Arial"/>
                <w:color w:val="000000"/>
                <w:sz w:val="18"/>
                <w:szCs w:val="18"/>
                <w:lang w:val="sr-Cyrl-CS"/>
              </w:rPr>
              <w:t>1000        20       20.000</w:t>
            </w:r>
          </w:p>
        </w:tc>
        <w:tc>
          <w:tcPr>
            <w:tcW w:w="3070" w:type="dxa"/>
          </w:tcPr>
          <w:p w:rsidR="00A25E7A" w:rsidRPr="0056201C" w:rsidRDefault="00A25E7A" w:rsidP="0056201C">
            <w:pPr>
              <w:pStyle w:val="normal0"/>
              <w:spacing w:before="48" w:beforeAutospacing="0" w:after="48" w:afterAutospacing="0"/>
              <w:jc w:val="both"/>
              <w:rPr>
                <w:color w:val="000000"/>
                <w:lang w:val="sr-Cyrl-CS"/>
              </w:rPr>
            </w:pPr>
            <w:r w:rsidRPr="0056201C">
              <w:rPr>
                <w:color w:val="000000"/>
                <w:lang w:val="sr-Cyrl-CS"/>
              </w:rPr>
              <w:t>400</w:t>
            </w:r>
            <w:r w:rsidR="00E07127" w:rsidRPr="0056201C">
              <w:rPr>
                <w:color w:val="000000"/>
                <w:lang w:val="sr-Cyrl-CS"/>
              </w:rPr>
              <w:t xml:space="preserve">   15,555   6.222</w:t>
            </w:r>
          </w:p>
        </w:tc>
        <w:tc>
          <w:tcPr>
            <w:tcW w:w="3071" w:type="dxa"/>
          </w:tcPr>
          <w:p w:rsidR="00A25E7A" w:rsidRPr="0056201C" w:rsidRDefault="00EB26B9" w:rsidP="0056201C">
            <w:pPr>
              <w:pStyle w:val="normal0"/>
              <w:spacing w:before="48" w:beforeAutospacing="0" w:after="48" w:afterAutospacing="0"/>
              <w:jc w:val="both"/>
              <w:rPr>
                <w:color w:val="000000"/>
                <w:lang w:val="sr-Cyrl-CS"/>
              </w:rPr>
            </w:pPr>
            <w:r w:rsidRPr="0056201C">
              <w:rPr>
                <w:color w:val="000000"/>
                <w:lang w:val="sr-Cyrl-CS"/>
              </w:rPr>
              <w:t>1400</w:t>
            </w:r>
            <w:r w:rsidR="00E07127" w:rsidRPr="0056201C">
              <w:rPr>
                <w:color w:val="000000"/>
                <w:lang w:val="sr-Cyrl-CS"/>
              </w:rPr>
              <w:t xml:space="preserve">  15,555   15,555</w:t>
            </w:r>
          </w:p>
        </w:tc>
      </w:tr>
      <w:tr w:rsidR="00A25E7A" w:rsidRPr="0056201C" w:rsidTr="0056201C">
        <w:tc>
          <w:tcPr>
            <w:tcW w:w="3070" w:type="dxa"/>
          </w:tcPr>
          <w:p w:rsidR="00A25E7A" w:rsidRPr="0056201C" w:rsidRDefault="00A25E7A" w:rsidP="0056201C">
            <w:pPr>
              <w:pStyle w:val="normal0"/>
              <w:spacing w:before="48" w:beforeAutospacing="0" w:after="48" w:afterAutospacing="0"/>
              <w:jc w:val="both"/>
              <w:rPr>
                <w:color w:val="000000"/>
                <w:lang w:val="sr-Cyrl-CS"/>
              </w:rPr>
            </w:pPr>
            <w:r w:rsidRPr="0056201C">
              <w:rPr>
                <w:color w:val="000000"/>
                <w:lang w:val="sr-Cyrl-CS"/>
              </w:rPr>
              <w:t>3.</w:t>
            </w:r>
          </w:p>
        </w:tc>
        <w:tc>
          <w:tcPr>
            <w:tcW w:w="3070" w:type="dxa"/>
          </w:tcPr>
          <w:p w:rsidR="00A25E7A" w:rsidRPr="0056201C" w:rsidRDefault="00A25E7A" w:rsidP="0056201C">
            <w:pPr>
              <w:pStyle w:val="normal0"/>
              <w:spacing w:before="48" w:beforeAutospacing="0" w:after="48" w:afterAutospacing="0"/>
              <w:jc w:val="both"/>
              <w:rPr>
                <w:color w:val="000000"/>
                <w:lang w:val="sr-Cyrl-CS"/>
              </w:rPr>
            </w:pPr>
          </w:p>
        </w:tc>
        <w:tc>
          <w:tcPr>
            <w:tcW w:w="3071" w:type="dxa"/>
          </w:tcPr>
          <w:p w:rsidR="00A25E7A" w:rsidRPr="0056201C" w:rsidRDefault="00A25E7A" w:rsidP="0056201C">
            <w:pPr>
              <w:pStyle w:val="normal0"/>
              <w:spacing w:before="48" w:beforeAutospacing="0" w:after="48" w:afterAutospacing="0"/>
              <w:jc w:val="both"/>
              <w:rPr>
                <w:color w:val="000000"/>
                <w:lang w:val="sr-Cyrl-CS"/>
              </w:rPr>
            </w:pPr>
          </w:p>
        </w:tc>
      </w:tr>
      <w:tr w:rsidR="00A25E7A" w:rsidRPr="0056201C" w:rsidTr="0056201C">
        <w:tc>
          <w:tcPr>
            <w:tcW w:w="3070" w:type="dxa"/>
          </w:tcPr>
          <w:p w:rsidR="00A25E7A" w:rsidRPr="0056201C" w:rsidRDefault="00E07127" w:rsidP="0056201C">
            <w:pPr>
              <w:pStyle w:val="normal0"/>
              <w:spacing w:before="48" w:beforeAutospacing="0" w:after="48" w:afterAutospacing="0"/>
              <w:jc w:val="both"/>
              <w:rPr>
                <w:color w:val="000000"/>
                <w:lang w:val="sr-Cyrl-CS"/>
              </w:rPr>
            </w:pPr>
            <w:r w:rsidRPr="0056201C">
              <w:rPr>
                <w:color w:val="000000"/>
                <w:lang w:val="sr-Cyrl-CS"/>
              </w:rPr>
              <w:t xml:space="preserve">                                    28.000</w:t>
            </w:r>
          </w:p>
        </w:tc>
        <w:tc>
          <w:tcPr>
            <w:tcW w:w="3070" w:type="dxa"/>
          </w:tcPr>
          <w:p w:rsidR="00A25E7A" w:rsidRPr="0056201C" w:rsidRDefault="00E07127" w:rsidP="0056201C">
            <w:pPr>
              <w:pStyle w:val="normal0"/>
              <w:spacing w:before="48" w:beforeAutospacing="0" w:after="48" w:afterAutospacing="0"/>
              <w:jc w:val="both"/>
              <w:rPr>
                <w:color w:val="000000"/>
                <w:lang w:val="sr-Cyrl-CS"/>
              </w:rPr>
            </w:pPr>
            <w:r w:rsidRPr="0056201C">
              <w:rPr>
                <w:color w:val="000000"/>
                <w:lang w:val="sr-Cyrl-CS"/>
              </w:rPr>
              <w:t xml:space="preserve">                        6.222</w:t>
            </w:r>
          </w:p>
        </w:tc>
        <w:tc>
          <w:tcPr>
            <w:tcW w:w="3071" w:type="dxa"/>
          </w:tcPr>
          <w:p w:rsidR="00A25E7A" w:rsidRPr="0056201C" w:rsidRDefault="00E07127" w:rsidP="0056201C">
            <w:pPr>
              <w:pStyle w:val="normal0"/>
              <w:spacing w:before="48" w:beforeAutospacing="0" w:after="48" w:afterAutospacing="0"/>
              <w:jc w:val="both"/>
              <w:rPr>
                <w:color w:val="000000"/>
                <w:lang w:val="sr-Cyrl-CS"/>
              </w:rPr>
            </w:pPr>
            <w:r w:rsidRPr="0056201C">
              <w:rPr>
                <w:color w:val="000000"/>
                <w:lang w:val="sr-Cyrl-CS"/>
              </w:rPr>
              <w:t xml:space="preserve">                        15,555</w:t>
            </w:r>
          </w:p>
        </w:tc>
      </w:tr>
    </w:tbl>
    <w:p w:rsidR="003622DF" w:rsidRDefault="003622DF" w:rsidP="003622DF">
      <w:pPr>
        <w:pStyle w:val="normal0"/>
        <w:shd w:val="clear" w:color="auto" w:fill="FFFFFF"/>
        <w:spacing w:before="48" w:beforeAutospacing="0" w:after="48" w:afterAutospacing="0"/>
        <w:jc w:val="both"/>
        <w:rPr>
          <w:color w:val="000000"/>
          <w:lang w:val="sr-Cyrl-CS"/>
        </w:rPr>
      </w:pPr>
      <w:r>
        <w:rPr>
          <w:color w:val="000000"/>
          <w:lang w:val="sr-Cyrl-CS"/>
        </w:rPr>
        <w:t xml:space="preserve">  </w:t>
      </w:r>
    </w:p>
    <w:p w:rsidR="00EB26B9" w:rsidRPr="00797E29" w:rsidRDefault="00EB26B9" w:rsidP="00797E29">
      <w:pPr>
        <w:ind w:firstLine="708"/>
        <w:jc w:val="both"/>
        <w:rPr>
          <w:rFonts w:ascii="Times New Roman" w:hAnsi="Times New Roman"/>
          <w:sz w:val="24"/>
          <w:szCs w:val="24"/>
          <w:lang w:val="sr-Cyrl-CS"/>
        </w:rPr>
      </w:pPr>
      <w:r w:rsidRPr="00797E29">
        <w:rPr>
          <w:rFonts w:ascii="Times New Roman" w:hAnsi="Times New Roman"/>
          <w:sz w:val="24"/>
          <w:szCs w:val="24"/>
          <w:lang w:val="sr-Cyrl-CS"/>
        </w:rPr>
        <w:t xml:space="preserve">Из приказане табеле се види да је излазом </w:t>
      </w:r>
      <w:r w:rsidR="0009739D" w:rsidRPr="00797E29">
        <w:rPr>
          <w:rFonts w:ascii="Times New Roman" w:hAnsi="Times New Roman"/>
          <w:sz w:val="24"/>
          <w:szCs w:val="24"/>
          <w:lang w:val="sr-Cyrl-CS"/>
        </w:rPr>
        <w:t>400 комада робе од 6.222 динара на залихама</w:t>
      </w:r>
      <w:r w:rsidRPr="00797E29">
        <w:rPr>
          <w:rFonts w:ascii="Times New Roman" w:hAnsi="Times New Roman"/>
          <w:sz w:val="24"/>
          <w:szCs w:val="24"/>
          <w:lang w:val="sr-Cyrl-CS"/>
        </w:rPr>
        <w:t xml:space="preserve"> остало 1400 комада робе, док је пондерисана просечна цена, као количник  вредности и количине набављене робе  </w:t>
      </w:r>
      <w:r w:rsidRPr="00797E29">
        <w:rPr>
          <w:rFonts w:ascii="Times New Roman" w:hAnsi="Times New Roman"/>
          <w:sz w:val="24"/>
          <w:szCs w:val="24"/>
        </w:rPr>
        <w:t>(</w:t>
      </w:r>
      <w:r w:rsidRPr="00797E29">
        <w:rPr>
          <w:rFonts w:ascii="Times New Roman" w:hAnsi="Times New Roman"/>
          <w:sz w:val="24"/>
          <w:szCs w:val="24"/>
          <w:lang w:val="sr-Cyrl-CS"/>
        </w:rPr>
        <w:t>800 x 10 + 1000 x 20) : 800 + 1000</w:t>
      </w:r>
      <w:r w:rsidRPr="00797E29">
        <w:rPr>
          <w:rFonts w:ascii="Times New Roman" w:hAnsi="Times New Roman"/>
          <w:sz w:val="24"/>
          <w:szCs w:val="24"/>
        </w:rPr>
        <w:t xml:space="preserve"> = 15,555.</w:t>
      </w:r>
    </w:p>
    <w:p w:rsidR="00EB26B9" w:rsidRPr="00797E29" w:rsidRDefault="00E27EE6" w:rsidP="00797E29">
      <w:pPr>
        <w:ind w:firstLine="708"/>
        <w:jc w:val="both"/>
        <w:rPr>
          <w:rFonts w:ascii="Times New Roman" w:hAnsi="Times New Roman"/>
          <w:sz w:val="24"/>
          <w:szCs w:val="24"/>
          <w:lang w:val="sr-Cyrl-CS"/>
        </w:rPr>
      </w:pPr>
      <w:r w:rsidRPr="00797E29">
        <w:rPr>
          <w:rFonts w:ascii="Times New Roman" w:hAnsi="Times New Roman"/>
          <w:sz w:val="24"/>
          <w:szCs w:val="24"/>
          <w:lang w:val="sr-Cyrl-CS"/>
        </w:rPr>
        <w:t>Поређењем ефеката ове методе са претходним методама може се закључити да је обрачуната оп</w:t>
      </w:r>
      <w:r w:rsidR="00272D6D" w:rsidRPr="00797E29">
        <w:rPr>
          <w:rFonts w:ascii="Times New Roman" w:hAnsi="Times New Roman"/>
          <w:sz w:val="24"/>
          <w:szCs w:val="24"/>
          <w:lang w:val="sr-Cyrl-CS"/>
        </w:rPr>
        <w:t>о</w:t>
      </w:r>
      <w:r w:rsidRPr="00797E29">
        <w:rPr>
          <w:rFonts w:ascii="Times New Roman" w:hAnsi="Times New Roman"/>
          <w:sz w:val="24"/>
          <w:szCs w:val="24"/>
          <w:lang w:val="sr-Cyrl-CS"/>
        </w:rPr>
        <w:t xml:space="preserve">резива добит по овој методи мања од обрачунате добити по </w:t>
      </w:r>
      <w:r w:rsidRPr="00797E29">
        <w:rPr>
          <w:rFonts w:ascii="Times New Roman" w:hAnsi="Times New Roman"/>
          <w:sz w:val="24"/>
          <w:szCs w:val="24"/>
        </w:rPr>
        <w:t>FIFO</w:t>
      </w:r>
      <w:r w:rsidRPr="00797E29">
        <w:rPr>
          <w:rFonts w:ascii="Times New Roman" w:hAnsi="Times New Roman"/>
          <w:sz w:val="24"/>
          <w:szCs w:val="24"/>
          <w:lang w:val="sr-Cyrl-CS"/>
        </w:rPr>
        <w:t xml:space="preserve"> методи, али је већа него по </w:t>
      </w:r>
      <w:r w:rsidRPr="00797E29">
        <w:rPr>
          <w:rFonts w:ascii="Times New Roman" w:hAnsi="Times New Roman"/>
          <w:sz w:val="24"/>
          <w:szCs w:val="24"/>
        </w:rPr>
        <w:t>LIFO</w:t>
      </w:r>
      <w:r w:rsidRPr="00797E29">
        <w:rPr>
          <w:rFonts w:ascii="Times New Roman" w:hAnsi="Times New Roman"/>
          <w:sz w:val="24"/>
          <w:szCs w:val="24"/>
          <w:lang w:val="sr-Cyrl-CS"/>
        </w:rPr>
        <w:t xml:space="preserve"> методи.</w:t>
      </w:r>
      <w:r w:rsidR="00EB26B9" w:rsidRPr="00797E29">
        <w:rPr>
          <w:rFonts w:ascii="Times New Roman" w:hAnsi="Times New Roman"/>
          <w:sz w:val="24"/>
          <w:szCs w:val="24"/>
        </w:rPr>
        <w:t xml:space="preserve"> </w:t>
      </w:r>
      <w:r w:rsidR="0009739D" w:rsidRPr="00797E29">
        <w:rPr>
          <w:rFonts w:ascii="Times New Roman" w:hAnsi="Times New Roman"/>
          <w:sz w:val="24"/>
          <w:szCs w:val="24"/>
          <w:lang w:val="sr-Cyrl-CS"/>
        </w:rPr>
        <w:t xml:space="preserve"> </w:t>
      </w:r>
    </w:p>
    <w:p w:rsidR="005044EC" w:rsidRPr="00797E29" w:rsidRDefault="00B077C0" w:rsidP="00797E29">
      <w:pPr>
        <w:ind w:firstLine="708"/>
        <w:jc w:val="both"/>
        <w:rPr>
          <w:rFonts w:ascii="Times New Roman" w:hAnsi="Times New Roman"/>
          <w:b/>
          <w:sz w:val="24"/>
          <w:szCs w:val="24"/>
          <w:lang w:val="sr-Cyrl-CS"/>
        </w:rPr>
      </w:pPr>
      <w:r w:rsidRPr="00797E29">
        <w:rPr>
          <w:rFonts w:ascii="Times New Roman" w:hAnsi="Times New Roman"/>
          <w:sz w:val="24"/>
          <w:szCs w:val="24"/>
          <w:lang w:val="sr-Cyrl-CS"/>
        </w:rPr>
        <w:t>Резултати ове методе су прихватљиви и за порески закон, па је пословни биланс у потпуности меродаван за порески биланс, односно порески обвезник ову методу може задржати и у пореском биласну.</w:t>
      </w:r>
      <w:r w:rsidR="0009739D" w:rsidRPr="00797E29">
        <w:rPr>
          <w:rFonts w:ascii="Times New Roman" w:hAnsi="Times New Roman"/>
          <w:sz w:val="24"/>
          <w:szCs w:val="24"/>
          <w:lang w:val="sr-Cyrl-CS"/>
        </w:rPr>
        <w:t xml:space="preserve"> </w:t>
      </w:r>
      <w:r w:rsidRPr="00797E29">
        <w:rPr>
          <w:rFonts w:ascii="Times New Roman" w:hAnsi="Times New Roman"/>
          <w:sz w:val="24"/>
          <w:szCs w:val="24"/>
          <w:lang w:val="sr-Cyrl-CS"/>
        </w:rPr>
        <w:t>Наиме, према пореском закону т</w:t>
      </w:r>
      <w:r w:rsidR="0009739D" w:rsidRPr="00797E29">
        <w:rPr>
          <w:rFonts w:ascii="Times New Roman" w:hAnsi="Times New Roman"/>
          <w:sz w:val="24"/>
          <w:szCs w:val="24"/>
        </w:rPr>
        <w:t>рошкови</w:t>
      </w:r>
      <w:r w:rsidRPr="00797E29">
        <w:rPr>
          <w:rFonts w:ascii="Times New Roman" w:hAnsi="Times New Roman"/>
          <w:sz w:val="24"/>
          <w:szCs w:val="24"/>
        </w:rPr>
        <w:t xml:space="preserve"> </w:t>
      </w:r>
      <w:r w:rsidR="0009739D" w:rsidRPr="00797E29">
        <w:rPr>
          <w:rFonts w:ascii="Times New Roman" w:hAnsi="Times New Roman"/>
          <w:sz w:val="24"/>
          <w:szCs w:val="24"/>
        </w:rPr>
        <w:t>материјала</w:t>
      </w:r>
      <w:r w:rsidRPr="00797E29">
        <w:rPr>
          <w:rFonts w:ascii="Times New Roman" w:hAnsi="Times New Roman"/>
          <w:sz w:val="24"/>
          <w:szCs w:val="24"/>
        </w:rPr>
        <w:t xml:space="preserve"> </w:t>
      </w:r>
      <w:r w:rsidR="0009739D" w:rsidRPr="00797E29">
        <w:rPr>
          <w:rFonts w:ascii="Times New Roman" w:hAnsi="Times New Roman"/>
          <w:sz w:val="24"/>
          <w:szCs w:val="24"/>
        </w:rPr>
        <w:t>и</w:t>
      </w:r>
      <w:r w:rsidRPr="00797E29">
        <w:rPr>
          <w:rFonts w:ascii="Times New Roman" w:hAnsi="Times New Roman"/>
          <w:sz w:val="24"/>
          <w:szCs w:val="24"/>
        </w:rPr>
        <w:t xml:space="preserve"> </w:t>
      </w:r>
      <w:r w:rsidR="0009739D" w:rsidRPr="00797E29">
        <w:rPr>
          <w:rFonts w:ascii="Times New Roman" w:hAnsi="Times New Roman"/>
          <w:sz w:val="24"/>
          <w:szCs w:val="24"/>
        </w:rPr>
        <w:t>набавна</w:t>
      </w:r>
      <w:r w:rsidRPr="00797E29">
        <w:rPr>
          <w:rFonts w:ascii="Times New Roman" w:hAnsi="Times New Roman"/>
          <w:sz w:val="24"/>
          <w:szCs w:val="24"/>
        </w:rPr>
        <w:t xml:space="preserve"> </w:t>
      </w:r>
      <w:r w:rsidR="0009739D" w:rsidRPr="00797E29">
        <w:rPr>
          <w:rFonts w:ascii="Times New Roman" w:hAnsi="Times New Roman"/>
          <w:sz w:val="24"/>
          <w:szCs w:val="24"/>
        </w:rPr>
        <w:t>вредност</w:t>
      </w:r>
      <w:r w:rsidRPr="00797E29">
        <w:rPr>
          <w:rFonts w:ascii="Times New Roman" w:hAnsi="Times New Roman"/>
          <w:sz w:val="24"/>
          <w:szCs w:val="24"/>
        </w:rPr>
        <w:t xml:space="preserve"> </w:t>
      </w:r>
      <w:r w:rsidR="0009739D" w:rsidRPr="00797E29">
        <w:rPr>
          <w:rFonts w:ascii="Times New Roman" w:hAnsi="Times New Roman"/>
          <w:sz w:val="24"/>
          <w:szCs w:val="24"/>
        </w:rPr>
        <w:t>продате</w:t>
      </w:r>
      <w:r w:rsidRPr="00797E29">
        <w:rPr>
          <w:rFonts w:ascii="Times New Roman" w:hAnsi="Times New Roman"/>
          <w:sz w:val="24"/>
          <w:szCs w:val="24"/>
        </w:rPr>
        <w:t xml:space="preserve"> </w:t>
      </w:r>
      <w:r w:rsidR="0009739D" w:rsidRPr="00797E29">
        <w:rPr>
          <w:rFonts w:ascii="Times New Roman" w:hAnsi="Times New Roman"/>
          <w:sz w:val="24"/>
          <w:szCs w:val="24"/>
        </w:rPr>
        <w:t>робе</w:t>
      </w:r>
      <w:r w:rsidRPr="00797E29">
        <w:rPr>
          <w:rFonts w:ascii="Times New Roman" w:hAnsi="Times New Roman"/>
          <w:sz w:val="24"/>
          <w:szCs w:val="24"/>
        </w:rPr>
        <w:t xml:space="preserve"> </w:t>
      </w:r>
      <w:r w:rsidR="0009739D" w:rsidRPr="00797E29">
        <w:rPr>
          <w:rFonts w:ascii="Times New Roman" w:hAnsi="Times New Roman"/>
          <w:sz w:val="24"/>
          <w:szCs w:val="24"/>
        </w:rPr>
        <w:t>признају</w:t>
      </w:r>
      <w:r w:rsidRPr="00797E29">
        <w:rPr>
          <w:rFonts w:ascii="Times New Roman" w:hAnsi="Times New Roman"/>
          <w:sz w:val="24"/>
          <w:szCs w:val="24"/>
        </w:rPr>
        <w:t xml:space="preserve"> </w:t>
      </w:r>
      <w:r w:rsidR="0009739D" w:rsidRPr="00797E29">
        <w:rPr>
          <w:rFonts w:ascii="Times New Roman" w:hAnsi="Times New Roman"/>
          <w:sz w:val="24"/>
          <w:szCs w:val="24"/>
        </w:rPr>
        <w:t>се</w:t>
      </w:r>
      <w:r w:rsidRPr="00797E29">
        <w:rPr>
          <w:rFonts w:ascii="Times New Roman" w:hAnsi="Times New Roman"/>
          <w:sz w:val="24"/>
          <w:szCs w:val="24"/>
        </w:rPr>
        <w:t xml:space="preserve"> </w:t>
      </w:r>
      <w:r w:rsidR="0009739D" w:rsidRPr="00797E29">
        <w:rPr>
          <w:rFonts w:ascii="Times New Roman" w:hAnsi="Times New Roman"/>
          <w:sz w:val="24"/>
          <w:szCs w:val="24"/>
        </w:rPr>
        <w:t>у</w:t>
      </w:r>
      <w:r w:rsidRPr="00797E29">
        <w:rPr>
          <w:rFonts w:ascii="Times New Roman" w:hAnsi="Times New Roman"/>
          <w:sz w:val="24"/>
          <w:szCs w:val="24"/>
        </w:rPr>
        <w:t xml:space="preserve"> </w:t>
      </w:r>
      <w:r w:rsidR="0009739D" w:rsidRPr="00797E29">
        <w:rPr>
          <w:rFonts w:ascii="Times New Roman" w:hAnsi="Times New Roman"/>
          <w:sz w:val="24"/>
          <w:szCs w:val="24"/>
        </w:rPr>
        <w:t>износима</w:t>
      </w:r>
      <w:r w:rsidRPr="00797E29">
        <w:rPr>
          <w:rFonts w:ascii="Times New Roman" w:hAnsi="Times New Roman"/>
          <w:sz w:val="24"/>
          <w:szCs w:val="24"/>
        </w:rPr>
        <w:t xml:space="preserve"> </w:t>
      </w:r>
      <w:r w:rsidR="0009739D" w:rsidRPr="00797E29">
        <w:rPr>
          <w:rFonts w:ascii="Times New Roman" w:hAnsi="Times New Roman"/>
          <w:sz w:val="24"/>
          <w:szCs w:val="24"/>
        </w:rPr>
        <w:t>обрачунатим</w:t>
      </w:r>
      <w:r w:rsidRPr="00797E29">
        <w:rPr>
          <w:rFonts w:ascii="Times New Roman" w:hAnsi="Times New Roman"/>
          <w:sz w:val="24"/>
          <w:szCs w:val="24"/>
        </w:rPr>
        <w:t xml:space="preserve"> </w:t>
      </w:r>
      <w:r w:rsidR="0009739D" w:rsidRPr="00797E29">
        <w:rPr>
          <w:rFonts w:ascii="Times New Roman" w:hAnsi="Times New Roman"/>
          <w:sz w:val="24"/>
          <w:szCs w:val="24"/>
        </w:rPr>
        <w:t>применом</w:t>
      </w:r>
      <w:r w:rsidRPr="00797E29">
        <w:rPr>
          <w:rFonts w:ascii="Times New Roman" w:hAnsi="Times New Roman"/>
          <w:sz w:val="24"/>
          <w:szCs w:val="24"/>
        </w:rPr>
        <w:t xml:space="preserve"> </w:t>
      </w:r>
      <w:r w:rsidR="0009739D" w:rsidRPr="00797E29">
        <w:rPr>
          <w:rFonts w:ascii="Times New Roman" w:hAnsi="Times New Roman"/>
          <w:sz w:val="24"/>
          <w:szCs w:val="24"/>
        </w:rPr>
        <w:t>методе</w:t>
      </w:r>
      <w:r w:rsidRPr="00797E29">
        <w:rPr>
          <w:rFonts w:ascii="Times New Roman" w:hAnsi="Times New Roman"/>
          <w:sz w:val="24"/>
          <w:szCs w:val="24"/>
        </w:rPr>
        <w:t xml:space="preserve"> </w:t>
      </w:r>
      <w:r w:rsidR="0009739D" w:rsidRPr="00797E29">
        <w:rPr>
          <w:rFonts w:ascii="Times New Roman" w:hAnsi="Times New Roman"/>
          <w:sz w:val="24"/>
          <w:szCs w:val="24"/>
        </w:rPr>
        <w:t>пондерисане</w:t>
      </w:r>
      <w:r w:rsidRPr="00797E29">
        <w:rPr>
          <w:rFonts w:ascii="Times New Roman" w:hAnsi="Times New Roman"/>
          <w:sz w:val="24"/>
          <w:szCs w:val="24"/>
        </w:rPr>
        <w:t xml:space="preserve"> </w:t>
      </w:r>
      <w:r w:rsidR="0009739D" w:rsidRPr="00797E29">
        <w:rPr>
          <w:rFonts w:ascii="Times New Roman" w:hAnsi="Times New Roman"/>
          <w:sz w:val="24"/>
          <w:szCs w:val="24"/>
        </w:rPr>
        <w:t>просечне</w:t>
      </w:r>
      <w:r w:rsidRPr="00797E29">
        <w:rPr>
          <w:rFonts w:ascii="Times New Roman" w:hAnsi="Times New Roman"/>
          <w:sz w:val="24"/>
          <w:szCs w:val="24"/>
        </w:rPr>
        <w:t xml:space="preserve"> </w:t>
      </w:r>
      <w:r w:rsidR="0009739D" w:rsidRPr="00797E29">
        <w:rPr>
          <w:rFonts w:ascii="Times New Roman" w:hAnsi="Times New Roman"/>
          <w:sz w:val="24"/>
          <w:szCs w:val="24"/>
        </w:rPr>
        <w:t>цене</w:t>
      </w:r>
      <w:r w:rsidRPr="00797E29">
        <w:rPr>
          <w:rFonts w:ascii="Times New Roman" w:hAnsi="Times New Roman"/>
          <w:sz w:val="24"/>
          <w:szCs w:val="24"/>
        </w:rPr>
        <w:t xml:space="preserve"> </w:t>
      </w:r>
      <w:r w:rsidR="0009739D" w:rsidRPr="00797E29">
        <w:rPr>
          <w:rFonts w:ascii="Times New Roman" w:hAnsi="Times New Roman"/>
          <w:sz w:val="24"/>
          <w:szCs w:val="24"/>
        </w:rPr>
        <w:t>или</w:t>
      </w:r>
      <w:r w:rsidRPr="00797E29">
        <w:rPr>
          <w:rFonts w:ascii="Times New Roman" w:hAnsi="Times New Roman"/>
          <w:sz w:val="24"/>
          <w:szCs w:val="24"/>
        </w:rPr>
        <w:t xml:space="preserve"> </w:t>
      </w:r>
      <w:r w:rsidR="00272D6D" w:rsidRPr="00797E29">
        <w:rPr>
          <w:rFonts w:ascii="Times New Roman" w:hAnsi="Times New Roman"/>
          <w:sz w:val="24"/>
          <w:szCs w:val="24"/>
        </w:rPr>
        <w:t>FIFO</w:t>
      </w:r>
      <w:r w:rsidRPr="00797E29">
        <w:rPr>
          <w:rFonts w:ascii="Times New Roman" w:hAnsi="Times New Roman"/>
          <w:sz w:val="24"/>
          <w:szCs w:val="24"/>
        </w:rPr>
        <w:t xml:space="preserve"> </w:t>
      </w:r>
      <w:r w:rsidR="0009739D" w:rsidRPr="00797E29">
        <w:rPr>
          <w:rFonts w:ascii="Times New Roman" w:hAnsi="Times New Roman"/>
          <w:sz w:val="24"/>
          <w:szCs w:val="24"/>
        </w:rPr>
        <w:t>методе</w:t>
      </w:r>
      <w:r w:rsidR="001A38B7" w:rsidRPr="00797E29">
        <w:rPr>
          <w:rFonts w:ascii="Times New Roman" w:hAnsi="Times New Roman"/>
          <w:sz w:val="24"/>
          <w:szCs w:val="24"/>
          <w:lang w:val="sr-Cyrl-CS"/>
        </w:rPr>
        <w:t>.</w:t>
      </w:r>
      <w:r w:rsidRPr="00797E29">
        <w:rPr>
          <w:rStyle w:val="FootnoteReference"/>
          <w:rFonts w:ascii="Times New Roman" w:hAnsi="Times New Roman"/>
          <w:color w:val="000000"/>
          <w:sz w:val="24"/>
          <w:szCs w:val="24"/>
        </w:rPr>
        <w:footnoteReference w:id="302"/>
      </w:r>
      <w:r w:rsidR="008A60EF" w:rsidRPr="00797E29">
        <w:rPr>
          <w:rFonts w:ascii="Times New Roman" w:hAnsi="Times New Roman"/>
          <w:b/>
          <w:sz w:val="24"/>
          <w:szCs w:val="24"/>
          <w:lang w:val="sr-Cyrl-CS"/>
        </w:rPr>
        <w:t xml:space="preserve"> </w:t>
      </w:r>
    </w:p>
    <w:p w:rsidR="001215E1" w:rsidRPr="00797E29" w:rsidRDefault="001215E1" w:rsidP="00797E29">
      <w:pPr>
        <w:jc w:val="both"/>
        <w:rPr>
          <w:rFonts w:ascii="Times New Roman" w:hAnsi="Times New Roman"/>
          <w:sz w:val="24"/>
          <w:szCs w:val="24"/>
        </w:rPr>
      </w:pPr>
    </w:p>
    <w:p w:rsidR="008705C5" w:rsidRPr="00797E29" w:rsidRDefault="001A38B7" w:rsidP="00797E29">
      <w:pPr>
        <w:jc w:val="both"/>
        <w:rPr>
          <w:rFonts w:ascii="Times New Roman" w:hAnsi="Times New Roman"/>
          <w:b/>
          <w:sz w:val="24"/>
          <w:szCs w:val="24"/>
          <w:lang w:val="sr-Cyrl-CS"/>
        </w:rPr>
      </w:pPr>
      <w:r w:rsidRPr="00797E29">
        <w:rPr>
          <w:rFonts w:ascii="Times New Roman" w:hAnsi="Times New Roman"/>
          <w:b/>
          <w:sz w:val="24"/>
          <w:szCs w:val="24"/>
          <w:lang w:val="sr-Cyrl-CS"/>
        </w:rPr>
        <w:t xml:space="preserve">5.1.10.Утицај различитих метода обрачуна код </w:t>
      </w:r>
      <w:r w:rsidR="00225A7E" w:rsidRPr="00797E29">
        <w:rPr>
          <w:rFonts w:ascii="Times New Roman" w:hAnsi="Times New Roman"/>
          <w:b/>
          <w:sz w:val="24"/>
          <w:szCs w:val="24"/>
          <w:lang w:val="sr-Cyrl-CS"/>
        </w:rPr>
        <w:t xml:space="preserve"> </w:t>
      </w:r>
      <w:r w:rsidRPr="00797E29">
        <w:rPr>
          <w:rFonts w:ascii="Times New Roman" w:hAnsi="Times New Roman"/>
          <w:b/>
          <w:sz w:val="24"/>
          <w:szCs w:val="24"/>
          <w:lang w:val="sr-Cyrl-CS"/>
        </w:rPr>
        <w:t>капиталних добитака и губитака</w:t>
      </w:r>
    </w:p>
    <w:p w:rsidR="001A38B7" w:rsidRPr="00797E29" w:rsidRDefault="001A38B7" w:rsidP="00797E29">
      <w:pPr>
        <w:jc w:val="both"/>
        <w:rPr>
          <w:rFonts w:ascii="Times New Roman" w:hAnsi="Times New Roman"/>
          <w:b/>
          <w:sz w:val="24"/>
          <w:szCs w:val="24"/>
          <w:lang w:val="sr-Cyrl-CS"/>
        </w:rPr>
      </w:pPr>
    </w:p>
    <w:p w:rsidR="001A38B7" w:rsidRPr="00797E29" w:rsidRDefault="00225A7E" w:rsidP="00797E29">
      <w:pPr>
        <w:ind w:firstLine="708"/>
        <w:jc w:val="both"/>
        <w:rPr>
          <w:rFonts w:ascii="Times New Roman" w:hAnsi="Times New Roman"/>
          <w:sz w:val="24"/>
          <w:szCs w:val="24"/>
          <w:lang w:val="sr-Cyrl-CS"/>
        </w:rPr>
      </w:pPr>
      <w:r w:rsidRPr="00797E29">
        <w:rPr>
          <w:rFonts w:ascii="Times New Roman" w:hAnsi="Times New Roman"/>
          <w:sz w:val="24"/>
          <w:szCs w:val="24"/>
          <w:lang w:val="sr-Cyrl-CS"/>
        </w:rPr>
        <w:t xml:space="preserve">Капитани добитак </w:t>
      </w:r>
      <w:r w:rsidRPr="00797E29">
        <w:rPr>
          <w:rFonts w:ascii="Times New Roman" w:hAnsi="Times New Roman"/>
          <w:sz w:val="24"/>
          <w:szCs w:val="24"/>
        </w:rPr>
        <w:t xml:space="preserve"> </w:t>
      </w:r>
      <w:r w:rsidR="0009739D" w:rsidRPr="00797E29">
        <w:rPr>
          <w:rFonts w:ascii="Times New Roman" w:hAnsi="Times New Roman"/>
          <w:sz w:val="24"/>
          <w:szCs w:val="24"/>
        </w:rPr>
        <w:t>представља</w:t>
      </w:r>
      <w:r w:rsidRPr="00797E29">
        <w:rPr>
          <w:rFonts w:ascii="Times New Roman" w:hAnsi="Times New Roman"/>
          <w:sz w:val="24"/>
          <w:szCs w:val="24"/>
        </w:rPr>
        <w:t xml:space="preserve"> </w:t>
      </w:r>
      <w:r w:rsidR="0009739D" w:rsidRPr="00797E29">
        <w:rPr>
          <w:rFonts w:ascii="Times New Roman" w:hAnsi="Times New Roman"/>
          <w:sz w:val="24"/>
          <w:szCs w:val="24"/>
        </w:rPr>
        <w:t>разлику</w:t>
      </w:r>
      <w:r w:rsidRPr="00797E29">
        <w:rPr>
          <w:rFonts w:ascii="Times New Roman" w:hAnsi="Times New Roman"/>
          <w:sz w:val="24"/>
          <w:szCs w:val="24"/>
        </w:rPr>
        <w:t xml:space="preserve"> </w:t>
      </w:r>
      <w:r w:rsidR="0009739D" w:rsidRPr="00797E29">
        <w:rPr>
          <w:rFonts w:ascii="Times New Roman" w:hAnsi="Times New Roman"/>
          <w:sz w:val="24"/>
          <w:szCs w:val="24"/>
        </w:rPr>
        <w:t>између</w:t>
      </w:r>
      <w:r w:rsidRPr="00797E29">
        <w:rPr>
          <w:rFonts w:ascii="Times New Roman" w:hAnsi="Times New Roman"/>
          <w:sz w:val="24"/>
          <w:szCs w:val="24"/>
        </w:rPr>
        <w:t xml:space="preserve"> </w:t>
      </w:r>
      <w:r w:rsidR="0009739D" w:rsidRPr="00797E29">
        <w:rPr>
          <w:rFonts w:ascii="Times New Roman" w:hAnsi="Times New Roman"/>
          <w:sz w:val="24"/>
          <w:szCs w:val="24"/>
        </w:rPr>
        <w:t>продајне</w:t>
      </w:r>
      <w:r w:rsidRPr="00797E29">
        <w:rPr>
          <w:rFonts w:ascii="Times New Roman" w:hAnsi="Times New Roman"/>
          <w:sz w:val="24"/>
          <w:szCs w:val="24"/>
        </w:rPr>
        <w:t xml:space="preserve"> </w:t>
      </w:r>
      <w:r w:rsidR="0009739D" w:rsidRPr="00797E29">
        <w:rPr>
          <w:rFonts w:ascii="Times New Roman" w:hAnsi="Times New Roman"/>
          <w:sz w:val="24"/>
          <w:szCs w:val="24"/>
        </w:rPr>
        <w:t>цене</w:t>
      </w:r>
      <w:r w:rsidRPr="00797E29">
        <w:rPr>
          <w:rFonts w:ascii="Times New Roman" w:hAnsi="Times New Roman"/>
          <w:sz w:val="24"/>
          <w:szCs w:val="24"/>
        </w:rPr>
        <w:t xml:space="preserve"> </w:t>
      </w:r>
      <w:r w:rsidR="0009739D" w:rsidRPr="00797E29">
        <w:rPr>
          <w:rFonts w:ascii="Times New Roman" w:hAnsi="Times New Roman"/>
          <w:sz w:val="24"/>
          <w:szCs w:val="24"/>
        </w:rPr>
        <w:t>имовине</w:t>
      </w:r>
      <w:r w:rsidRPr="00797E29">
        <w:rPr>
          <w:rFonts w:ascii="Times New Roman" w:hAnsi="Times New Roman"/>
          <w:sz w:val="24"/>
          <w:szCs w:val="24"/>
        </w:rPr>
        <w:t xml:space="preserve">  </w:t>
      </w:r>
      <w:r w:rsidR="0009739D" w:rsidRPr="00797E29">
        <w:rPr>
          <w:rFonts w:ascii="Times New Roman" w:hAnsi="Times New Roman"/>
          <w:sz w:val="24"/>
          <w:szCs w:val="24"/>
        </w:rPr>
        <w:t>и</w:t>
      </w:r>
      <w:r w:rsidRPr="00797E29">
        <w:rPr>
          <w:rFonts w:ascii="Times New Roman" w:hAnsi="Times New Roman"/>
          <w:sz w:val="24"/>
          <w:szCs w:val="24"/>
        </w:rPr>
        <w:t xml:space="preserve"> </w:t>
      </w:r>
      <w:r w:rsidR="0009739D" w:rsidRPr="00797E29">
        <w:rPr>
          <w:rFonts w:ascii="Times New Roman" w:hAnsi="Times New Roman"/>
          <w:sz w:val="24"/>
          <w:szCs w:val="24"/>
        </w:rPr>
        <w:t>њене</w:t>
      </w:r>
      <w:r w:rsidRPr="00797E29">
        <w:rPr>
          <w:rFonts w:ascii="Times New Roman" w:hAnsi="Times New Roman"/>
          <w:sz w:val="24"/>
          <w:szCs w:val="24"/>
        </w:rPr>
        <w:t xml:space="preserve"> </w:t>
      </w:r>
      <w:r w:rsidR="0009739D" w:rsidRPr="00797E29">
        <w:rPr>
          <w:rFonts w:ascii="Times New Roman" w:hAnsi="Times New Roman"/>
          <w:sz w:val="24"/>
          <w:szCs w:val="24"/>
        </w:rPr>
        <w:t>набавне</w:t>
      </w:r>
      <w:r w:rsidRPr="00797E29">
        <w:rPr>
          <w:rFonts w:ascii="Times New Roman" w:hAnsi="Times New Roman"/>
          <w:sz w:val="24"/>
          <w:szCs w:val="24"/>
        </w:rPr>
        <w:t xml:space="preserve"> </w:t>
      </w:r>
      <w:r w:rsidR="0009739D" w:rsidRPr="00797E29">
        <w:rPr>
          <w:rFonts w:ascii="Times New Roman" w:hAnsi="Times New Roman"/>
          <w:sz w:val="24"/>
          <w:szCs w:val="24"/>
        </w:rPr>
        <w:t>цене</w:t>
      </w:r>
      <w:r w:rsidRPr="00797E29">
        <w:rPr>
          <w:rFonts w:ascii="Times New Roman" w:hAnsi="Times New Roman"/>
          <w:sz w:val="24"/>
          <w:szCs w:val="24"/>
        </w:rPr>
        <w:t xml:space="preserve">, </w:t>
      </w:r>
      <w:r w:rsidR="0009739D" w:rsidRPr="00797E29">
        <w:rPr>
          <w:rFonts w:ascii="Times New Roman" w:hAnsi="Times New Roman"/>
          <w:sz w:val="24"/>
          <w:szCs w:val="24"/>
        </w:rPr>
        <w:t>утврђене</w:t>
      </w:r>
      <w:r w:rsidRPr="00797E29">
        <w:rPr>
          <w:rFonts w:ascii="Times New Roman" w:hAnsi="Times New Roman"/>
          <w:sz w:val="24"/>
          <w:szCs w:val="24"/>
        </w:rPr>
        <w:t xml:space="preserve"> </w:t>
      </w:r>
      <w:r w:rsidR="0009739D" w:rsidRPr="00797E29">
        <w:rPr>
          <w:rFonts w:ascii="Times New Roman" w:hAnsi="Times New Roman"/>
          <w:sz w:val="24"/>
          <w:szCs w:val="24"/>
        </w:rPr>
        <w:t>према</w:t>
      </w:r>
      <w:r w:rsidRPr="00797E29">
        <w:rPr>
          <w:rFonts w:ascii="Times New Roman" w:hAnsi="Times New Roman"/>
          <w:sz w:val="24"/>
          <w:szCs w:val="24"/>
        </w:rPr>
        <w:t xml:space="preserve"> </w:t>
      </w:r>
      <w:r w:rsidR="0009739D" w:rsidRPr="00797E29">
        <w:rPr>
          <w:rFonts w:ascii="Times New Roman" w:hAnsi="Times New Roman"/>
          <w:sz w:val="24"/>
          <w:szCs w:val="24"/>
        </w:rPr>
        <w:t>одредбама</w:t>
      </w:r>
      <w:r w:rsidRPr="00797E29">
        <w:rPr>
          <w:rFonts w:ascii="Times New Roman" w:hAnsi="Times New Roman"/>
          <w:sz w:val="24"/>
          <w:szCs w:val="24"/>
        </w:rPr>
        <w:t xml:space="preserve"> </w:t>
      </w:r>
      <w:r w:rsidR="001A38B7" w:rsidRPr="00797E29">
        <w:rPr>
          <w:rFonts w:ascii="Times New Roman" w:hAnsi="Times New Roman"/>
          <w:sz w:val="24"/>
          <w:szCs w:val="24"/>
          <w:lang w:val="sr-Cyrl-CS"/>
        </w:rPr>
        <w:t>Закона о порезу на добит правних лица</w:t>
      </w:r>
      <w:r w:rsidRPr="00797E29">
        <w:rPr>
          <w:rFonts w:ascii="Times New Roman" w:hAnsi="Times New Roman"/>
          <w:sz w:val="24"/>
          <w:szCs w:val="24"/>
        </w:rPr>
        <w:t>.</w:t>
      </w:r>
      <w:r w:rsidRPr="00797E29">
        <w:rPr>
          <w:rFonts w:ascii="Times New Roman" w:hAnsi="Times New Roman"/>
          <w:sz w:val="24"/>
          <w:szCs w:val="24"/>
          <w:lang w:val="sr-Cyrl-CS"/>
        </w:rPr>
        <w:t xml:space="preserve"> </w:t>
      </w:r>
      <w:r w:rsidR="0009739D" w:rsidRPr="00797E29">
        <w:rPr>
          <w:rFonts w:ascii="Times New Roman" w:hAnsi="Times New Roman"/>
          <w:sz w:val="24"/>
          <w:szCs w:val="24"/>
        </w:rPr>
        <w:t>Ако</w:t>
      </w:r>
      <w:r w:rsidRPr="00797E29">
        <w:rPr>
          <w:rFonts w:ascii="Times New Roman" w:hAnsi="Times New Roman"/>
          <w:sz w:val="24"/>
          <w:szCs w:val="24"/>
        </w:rPr>
        <w:t xml:space="preserve"> </w:t>
      </w:r>
      <w:r w:rsidR="0009739D" w:rsidRPr="00797E29">
        <w:rPr>
          <w:rFonts w:ascii="Times New Roman" w:hAnsi="Times New Roman"/>
          <w:sz w:val="24"/>
          <w:szCs w:val="24"/>
        </w:rPr>
        <w:t>је</w:t>
      </w:r>
      <w:r w:rsidRPr="00797E29">
        <w:rPr>
          <w:rFonts w:ascii="Times New Roman" w:hAnsi="Times New Roman"/>
          <w:sz w:val="24"/>
          <w:szCs w:val="24"/>
        </w:rPr>
        <w:t xml:space="preserve"> </w:t>
      </w:r>
      <w:r w:rsidR="0009739D" w:rsidRPr="00797E29">
        <w:rPr>
          <w:rFonts w:ascii="Times New Roman" w:hAnsi="Times New Roman"/>
          <w:sz w:val="24"/>
          <w:szCs w:val="24"/>
        </w:rPr>
        <w:t>разлика</w:t>
      </w:r>
      <w:r w:rsidRPr="00797E29">
        <w:rPr>
          <w:rFonts w:ascii="Times New Roman" w:hAnsi="Times New Roman"/>
          <w:sz w:val="24"/>
          <w:szCs w:val="24"/>
        </w:rPr>
        <w:t xml:space="preserve">  </w:t>
      </w:r>
      <w:r w:rsidR="0009739D" w:rsidRPr="00797E29">
        <w:rPr>
          <w:rFonts w:ascii="Times New Roman" w:hAnsi="Times New Roman"/>
          <w:sz w:val="24"/>
          <w:szCs w:val="24"/>
        </w:rPr>
        <w:t>негативна</w:t>
      </w:r>
      <w:r w:rsidRPr="00797E29">
        <w:rPr>
          <w:rFonts w:ascii="Times New Roman" w:hAnsi="Times New Roman"/>
          <w:sz w:val="24"/>
          <w:szCs w:val="24"/>
        </w:rPr>
        <w:t xml:space="preserve">, </w:t>
      </w:r>
      <w:r w:rsidR="0009739D" w:rsidRPr="00797E29">
        <w:rPr>
          <w:rFonts w:ascii="Times New Roman" w:hAnsi="Times New Roman"/>
          <w:sz w:val="24"/>
          <w:szCs w:val="24"/>
        </w:rPr>
        <w:t>у</w:t>
      </w:r>
      <w:r w:rsidRPr="00797E29">
        <w:rPr>
          <w:rFonts w:ascii="Times New Roman" w:hAnsi="Times New Roman"/>
          <w:sz w:val="24"/>
          <w:szCs w:val="24"/>
        </w:rPr>
        <w:t xml:space="preserve"> </w:t>
      </w:r>
      <w:r w:rsidR="0009739D" w:rsidRPr="00797E29">
        <w:rPr>
          <w:rFonts w:ascii="Times New Roman" w:hAnsi="Times New Roman"/>
          <w:sz w:val="24"/>
          <w:szCs w:val="24"/>
        </w:rPr>
        <w:t>питању</w:t>
      </w:r>
      <w:r w:rsidRPr="00797E29">
        <w:rPr>
          <w:rFonts w:ascii="Times New Roman" w:hAnsi="Times New Roman"/>
          <w:sz w:val="24"/>
          <w:szCs w:val="24"/>
        </w:rPr>
        <w:t xml:space="preserve"> </w:t>
      </w:r>
      <w:r w:rsidR="0009739D" w:rsidRPr="00797E29">
        <w:rPr>
          <w:rFonts w:ascii="Times New Roman" w:hAnsi="Times New Roman"/>
          <w:sz w:val="24"/>
          <w:szCs w:val="24"/>
        </w:rPr>
        <w:t>је</w:t>
      </w:r>
      <w:r w:rsidRPr="00797E29">
        <w:rPr>
          <w:rFonts w:ascii="Times New Roman" w:hAnsi="Times New Roman"/>
          <w:sz w:val="24"/>
          <w:szCs w:val="24"/>
        </w:rPr>
        <w:t xml:space="preserve"> </w:t>
      </w:r>
      <w:r w:rsidR="0009739D" w:rsidRPr="00797E29">
        <w:rPr>
          <w:rFonts w:ascii="Times New Roman" w:hAnsi="Times New Roman"/>
          <w:sz w:val="24"/>
          <w:szCs w:val="24"/>
        </w:rPr>
        <w:t>капитални</w:t>
      </w:r>
      <w:r w:rsidRPr="00797E29">
        <w:rPr>
          <w:rFonts w:ascii="Times New Roman" w:hAnsi="Times New Roman"/>
          <w:sz w:val="24"/>
          <w:szCs w:val="24"/>
        </w:rPr>
        <w:t xml:space="preserve"> </w:t>
      </w:r>
      <w:r w:rsidR="0009739D" w:rsidRPr="00797E29">
        <w:rPr>
          <w:rFonts w:ascii="Times New Roman" w:hAnsi="Times New Roman"/>
          <w:sz w:val="24"/>
          <w:szCs w:val="24"/>
        </w:rPr>
        <w:t>губитак</w:t>
      </w:r>
      <w:r w:rsidRPr="00797E29">
        <w:rPr>
          <w:rFonts w:ascii="Times New Roman" w:hAnsi="Times New Roman"/>
          <w:sz w:val="24"/>
          <w:szCs w:val="24"/>
        </w:rPr>
        <w:t>.</w:t>
      </w:r>
      <w:r w:rsidRPr="00797E29">
        <w:rPr>
          <w:rFonts w:ascii="Times New Roman" w:hAnsi="Times New Roman"/>
          <w:sz w:val="24"/>
          <w:szCs w:val="24"/>
          <w:lang w:val="sr-Cyrl-CS"/>
        </w:rPr>
        <w:t xml:space="preserve">   </w:t>
      </w:r>
      <w:r w:rsidR="0009739D" w:rsidRPr="00797E29">
        <w:rPr>
          <w:rFonts w:ascii="Times New Roman" w:hAnsi="Times New Roman"/>
          <w:sz w:val="24"/>
          <w:szCs w:val="24"/>
        </w:rPr>
        <w:t>Капиталним</w:t>
      </w:r>
      <w:r w:rsidRPr="00797E29">
        <w:rPr>
          <w:rFonts w:ascii="Times New Roman" w:hAnsi="Times New Roman"/>
          <w:sz w:val="24"/>
          <w:szCs w:val="24"/>
        </w:rPr>
        <w:t xml:space="preserve"> </w:t>
      </w:r>
      <w:r w:rsidR="0009739D" w:rsidRPr="00797E29">
        <w:rPr>
          <w:rFonts w:ascii="Times New Roman" w:hAnsi="Times New Roman"/>
          <w:sz w:val="24"/>
          <w:szCs w:val="24"/>
        </w:rPr>
        <w:t>добитком</w:t>
      </w:r>
      <w:r w:rsidRPr="00797E29">
        <w:rPr>
          <w:rFonts w:ascii="Times New Roman" w:hAnsi="Times New Roman"/>
          <w:sz w:val="24"/>
          <w:szCs w:val="24"/>
        </w:rPr>
        <w:t xml:space="preserve"> </w:t>
      </w:r>
      <w:r w:rsidR="0009739D" w:rsidRPr="00797E29">
        <w:rPr>
          <w:rFonts w:ascii="Times New Roman" w:hAnsi="Times New Roman"/>
          <w:sz w:val="24"/>
          <w:szCs w:val="24"/>
        </w:rPr>
        <w:t>сматра</w:t>
      </w:r>
      <w:r w:rsidRPr="00797E29">
        <w:rPr>
          <w:rFonts w:ascii="Times New Roman" w:hAnsi="Times New Roman"/>
          <w:sz w:val="24"/>
          <w:szCs w:val="24"/>
        </w:rPr>
        <w:t xml:space="preserve"> </w:t>
      </w:r>
      <w:r w:rsidR="0009739D" w:rsidRPr="00797E29">
        <w:rPr>
          <w:rFonts w:ascii="Times New Roman" w:hAnsi="Times New Roman"/>
          <w:sz w:val="24"/>
          <w:szCs w:val="24"/>
        </w:rPr>
        <w:t>се</w:t>
      </w:r>
      <w:r w:rsidRPr="00797E29">
        <w:rPr>
          <w:rFonts w:ascii="Times New Roman" w:hAnsi="Times New Roman"/>
          <w:sz w:val="24"/>
          <w:szCs w:val="24"/>
        </w:rPr>
        <w:t xml:space="preserve"> </w:t>
      </w:r>
      <w:r w:rsidR="0009739D" w:rsidRPr="00797E29">
        <w:rPr>
          <w:rFonts w:ascii="Times New Roman" w:hAnsi="Times New Roman"/>
          <w:sz w:val="24"/>
          <w:szCs w:val="24"/>
        </w:rPr>
        <w:t>приход</w:t>
      </w:r>
      <w:r w:rsidRPr="00797E29">
        <w:rPr>
          <w:rFonts w:ascii="Times New Roman" w:hAnsi="Times New Roman"/>
          <w:sz w:val="24"/>
          <w:szCs w:val="24"/>
        </w:rPr>
        <w:t xml:space="preserve"> </w:t>
      </w:r>
      <w:r w:rsidR="0009739D" w:rsidRPr="00797E29">
        <w:rPr>
          <w:rFonts w:ascii="Times New Roman" w:hAnsi="Times New Roman"/>
          <w:sz w:val="24"/>
          <w:szCs w:val="24"/>
        </w:rPr>
        <w:t>који</w:t>
      </w:r>
      <w:r w:rsidRPr="00797E29">
        <w:rPr>
          <w:rFonts w:ascii="Times New Roman" w:hAnsi="Times New Roman"/>
          <w:sz w:val="24"/>
          <w:szCs w:val="24"/>
        </w:rPr>
        <w:t xml:space="preserve"> </w:t>
      </w:r>
      <w:r w:rsidR="0009739D" w:rsidRPr="00797E29">
        <w:rPr>
          <w:rFonts w:ascii="Times New Roman" w:hAnsi="Times New Roman"/>
          <w:sz w:val="24"/>
          <w:szCs w:val="24"/>
        </w:rPr>
        <w:t>обвезник</w:t>
      </w:r>
      <w:r w:rsidRPr="00797E29">
        <w:rPr>
          <w:rFonts w:ascii="Times New Roman" w:hAnsi="Times New Roman"/>
          <w:sz w:val="24"/>
          <w:szCs w:val="24"/>
        </w:rPr>
        <w:t xml:space="preserve"> </w:t>
      </w:r>
      <w:r w:rsidR="0009739D" w:rsidRPr="00797E29">
        <w:rPr>
          <w:rFonts w:ascii="Times New Roman" w:hAnsi="Times New Roman"/>
          <w:sz w:val="24"/>
          <w:szCs w:val="24"/>
        </w:rPr>
        <w:t>оствари</w:t>
      </w:r>
      <w:r w:rsidRPr="00797E29">
        <w:rPr>
          <w:rFonts w:ascii="Times New Roman" w:hAnsi="Times New Roman"/>
          <w:sz w:val="24"/>
          <w:szCs w:val="24"/>
        </w:rPr>
        <w:t xml:space="preserve"> </w:t>
      </w:r>
      <w:r w:rsidR="0009739D" w:rsidRPr="00797E29">
        <w:rPr>
          <w:rFonts w:ascii="Times New Roman" w:hAnsi="Times New Roman"/>
          <w:sz w:val="24"/>
          <w:szCs w:val="24"/>
        </w:rPr>
        <w:t>продајом</w:t>
      </w:r>
      <w:r w:rsidRPr="00797E29">
        <w:rPr>
          <w:rFonts w:ascii="Times New Roman" w:hAnsi="Times New Roman"/>
          <w:sz w:val="24"/>
          <w:szCs w:val="24"/>
        </w:rPr>
        <w:t xml:space="preserve">, </w:t>
      </w:r>
      <w:r w:rsidR="0009739D" w:rsidRPr="00797E29">
        <w:rPr>
          <w:rFonts w:ascii="Times New Roman" w:hAnsi="Times New Roman"/>
          <w:sz w:val="24"/>
          <w:szCs w:val="24"/>
        </w:rPr>
        <w:t>односно</w:t>
      </w:r>
      <w:r w:rsidRPr="00797E29">
        <w:rPr>
          <w:rFonts w:ascii="Times New Roman" w:hAnsi="Times New Roman"/>
          <w:sz w:val="24"/>
          <w:szCs w:val="24"/>
        </w:rPr>
        <w:t xml:space="preserve"> </w:t>
      </w:r>
      <w:r w:rsidR="0009739D" w:rsidRPr="00797E29">
        <w:rPr>
          <w:rFonts w:ascii="Times New Roman" w:hAnsi="Times New Roman"/>
          <w:sz w:val="24"/>
          <w:szCs w:val="24"/>
        </w:rPr>
        <w:t>другим</w:t>
      </w:r>
      <w:r w:rsidRPr="00797E29">
        <w:rPr>
          <w:rFonts w:ascii="Times New Roman" w:hAnsi="Times New Roman"/>
          <w:sz w:val="24"/>
          <w:szCs w:val="24"/>
        </w:rPr>
        <w:t xml:space="preserve"> </w:t>
      </w:r>
      <w:r w:rsidR="0009739D" w:rsidRPr="00797E29">
        <w:rPr>
          <w:rFonts w:ascii="Times New Roman" w:hAnsi="Times New Roman"/>
          <w:sz w:val="24"/>
          <w:szCs w:val="24"/>
        </w:rPr>
        <w:t>преносом</w:t>
      </w:r>
      <w:r w:rsidRPr="00797E29">
        <w:rPr>
          <w:rFonts w:ascii="Times New Roman" w:hAnsi="Times New Roman"/>
          <w:sz w:val="24"/>
          <w:szCs w:val="24"/>
        </w:rPr>
        <w:t xml:space="preserve"> </w:t>
      </w:r>
      <w:r w:rsidR="0009739D" w:rsidRPr="00797E29">
        <w:rPr>
          <w:rFonts w:ascii="Times New Roman" w:hAnsi="Times New Roman"/>
          <w:sz w:val="24"/>
          <w:szCs w:val="24"/>
        </w:rPr>
        <w:t>уз</w:t>
      </w:r>
      <w:r w:rsidRPr="00797E29">
        <w:rPr>
          <w:rFonts w:ascii="Times New Roman" w:hAnsi="Times New Roman"/>
          <w:sz w:val="24"/>
          <w:szCs w:val="24"/>
        </w:rPr>
        <w:t xml:space="preserve"> </w:t>
      </w:r>
      <w:r w:rsidR="0009739D" w:rsidRPr="00797E29">
        <w:rPr>
          <w:rFonts w:ascii="Times New Roman" w:hAnsi="Times New Roman"/>
          <w:sz w:val="24"/>
          <w:szCs w:val="24"/>
        </w:rPr>
        <w:t>накнаду</w:t>
      </w:r>
      <w:r w:rsidRPr="00797E29">
        <w:rPr>
          <w:rFonts w:ascii="Times New Roman" w:hAnsi="Times New Roman"/>
          <w:sz w:val="24"/>
          <w:szCs w:val="24"/>
        </w:rPr>
        <w:t xml:space="preserve"> </w:t>
      </w:r>
      <w:r w:rsidRPr="00797E29">
        <w:rPr>
          <w:rFonts w:ascii="Times New Roman" w:hAnsi="Times New Roman"/>
          <w:sz w:val="24"/>
          <w:szCs w:val="24"/>
          <w:lang w:val="sr-Cyrl-CS"/>
        </w:rPr>
        <w:t xml:space="preserve"> следеће имовине:</w:t>
      </w:r>
      <w:r w:rsidR="001A38B7" w:rsidRPr="00797E29">
        <w:rPr>
          <w:rFonts w:ascii="Times New Roman" w:hAnsi="Times New Roman"/>
          <w:sz w:val="24"/>
          <w:szCs w:val="24"/>
          <w:lang w:val="sr-Cyrl-CS"/>
        </w:rPr>
        <w:t xml:space="preserve"> </w:t>
      </w:r>
      <w:r w:rsidR="00797E29">
        <w:rPr>
          <w:rFonts w:ascii="Times New Roman" w:hAnsi="Times New Roman"/>
          <w:sz w:val="24"/>
          <w:szCs w:val="24"/>
          <w:lang w:val="sr-Cyrl-CS"/>
        </w:rPr>
        <w:t xml:space="preserve"> </w:t>
      </w:r>
    </w:p>
    <w:p w:rsidR="00225A7E" w:rsidRPr="00797E29" w:rsidRDefault="00225A7E" w:rsidP="00797E29">
      <w:pPr>
        <w:jc w:val="both"/>
        <w:rPr>
          <w:rFonts w:ascii="Times New Roman" w:hAnsi="Times New Roman"/>
          <w:sz w:val="24"/>
          <w:szCs w:val="24"/>
        </w:rPr>
      </w:pPr>
      <w:r w:rsidRPr="00797E29">
        <w:rPr>
          <w:rFonts w:ascii="Times New Roman" w:hAnsi="Times New Roman"/>
          <w:sz w:val="24"/>
          <w:szCs w:val="24"/>
        </w:rPr>
        <w:t xml:space="preserve">1) </w:t>
      </w:r>
      <w:r w:rsidR="0009739D" w:rsidRPr="00797E29">
        <w:rPr>
          <w:rFonts w:ascii="Times New Roman" w:hAnsi="Times New Roman"/>
          <w:sz w:val="24"/>
          <w:szCs w:val="24"/>
        </w:rPr>
        <w:t>непокретности</w:t>
      </w:r>
      <w:r w:rsidRPr="00797E29">
        <w:rPr>
          <w:rFonts w:ascii="Times New Roman" w:hAnsi="Times New Roman"/>
          <w:sz w:val="24"/>
          <w:szCs w:val="24"/>
        </w:rPr>
        <w:t xml:space="preserve"> </w:t>
      </w:r>
      <w:r w:rsidR="0009739D" w:rsidRPr="00797E29">
        <w:rPr>
          <w:rFonts w:ascii="Times New Roman" w:hAnsi="Times New Roman"/>
          <w:sz w:val="24"/>
          <w:szCs w:val="24"/>
        </w:rPr>
        <w:t>које</w:t>
      </w:r>
      <w:r w:rsidRPr="00797E29">
        <w:rPr>
          <w:rFonts w:ascii="Times New Roman" w:hAnsi="Times New Roman"/>
          <w:sz w:val="24"/>
          <w:szCs w:val="24"/>
        </w:rPr>
        <w:t xml:space="preserve"> </w:t>
      </w:r>
      <w:r w:rsidR="0009739D" w:rsidRPr="00797E29">
        <w:rPr>
          <w:rFonts w:ascii="Times New Roman" w:hAnsi="Times New Roman"/>
          <w:sz w:val="24"/>
          <w:szCs w:val="24"/>
        </w:rPr>
        <w:t>је</w:t>
      </w:r>
      <w:r w:rsidRPr="00797E29">
        <w:rPr>
          <w:rFonts w:ascii="Times New Roman" w:hAnsi="Times New Roman"/>
          <w:sz w:val="24"/>
          <w:szCs w:val="24"/>
        </w:rPr>
        <w:t xml:space="preserve"> </w:t>
      </w:r>
      <w:r w:rsidR="0009739D" w:rsidRPr="00797E29">
        <w:rPr>
          <w:rFonts w:ascii="Times New Roman" w:hAnsi="Times New Roman"/>
          <w:sz w:val="24"/>
          <w:szCs w:val="24"/>
        </w:rPr>
        <w:t>користио</w:t>
      </w:r>
      <w:r w:rsidRPr="00797E29">
        <w:rPr>
          <w:rFonts w:ascii="Times New Roman" w:hAnsi="Times New Roman"/>
          <w:sz w:val="24"/>
          <w:szCs w:val="24"/>
        </w:rPr>
        <w:t xml:space="preserve"> </w:t>
      </w:r>
      <w:r w:rsidR="0009739D" w:rsidRPr="00797E29">
        <w:rPr>
          <w:rFonts w:ascii="Times New Roman" w:hAnsi="Times New Roman"/>
          <w:sz w:val="24"/>
          <w:szCs w:val="24"/>
        </w:rPr>
        <w:t>као</w:t>
      </w:r>
      <w:r w:rsidRPr="00797E29">
        <w:rPr>
          <w:rFonts w:ascii="Times New Roman" w:hAnsi="Times New Roman"/>
          <w:sz w:val="24"/>
          <w:szCs w:val="24"/>
        </w:rPr>
        <w:t xml:space="preserve"> </w:t>
      </w:r>
      <w:r w:rsidR="0009739D" w:rsidRPr="00797E29">
        <w:rPr>
          <w:rFonts w:ascii="Times New Roman" w:hAnsi="Times New Roman"/>
          <w:sz w:val="24"/>
          <w:szCs w:val="24"/>
        </w:rPr>
        <w:t>основно</w:t>
      </w:r>
      <w:r w:rsidRPr="00797E29">
        <w:rPr>
          <w:rFonts w:ascii="Times New Roman" w:hAnsi="Times New Roman"/>
          <w:sz w:val="24"/>
          <w:szCs w:val="24"/>
        </w:rPr>
        <w:t xml:space="preserve"> </w:t>
      </w:r>
      <w:r w:rsidR="0009739D" w:rsidRPr="00797E29">
        <w:rPr>
          <w:rFonts w:ascii="Times New Roman" w:hAnsi="Times New Roman"/>
          <w:sz w:val="24"/>
          <w:szCs w:val="24"/>
        </w:rPr>
        <w:t>средство</w:t>
      </w:r>
      <w:r w:rsidRPr="00797E29">
        <w:rPr>
          <w:rFonts w:ascii="Times New Roman" w:hAnsi="Times New Roman"/>
          <w:sz w:val="24"/>
          <w:szCs w:val="24"/>
        </w:rPr>
        <w:t xml:space="preserve"> </w:t>
      </w:r>
      <w:r w:rsidR="0009739D" w:rsidRPr="00797E29">
        <w:rPr>
          <w:rFonts w:ascii="Times New Roman" w:hAnsi="Times New Roman"/>
          <w:sz w:val="24"/>
          <w:szCs w:val="24"/>
        </w:rPr>
        <w:t>за</w:t>
      </w:r>
      <w:r w:rsidRPr="00797E29">
        <w:rPr>
          <w:rFonts w:ascii="Times New Roman" w:hAnsi="Times New Roman"/>
          <w:sz w:val="24"/>
          <w:szCs w:val="24"/>
        </w:rPr>
        <w:t xml:space="preserve"> </w:t>
      </w:r>
      <w:r w:rsidR="0009739D" w:rsidRPr="00797E29">
        <w:rPr>
          <w:rFonts w:ascii="Times New Roman" w:hAnsi="Times New Roman"/>
          <w:sz w:val="24"/>
          <w:szCs w:val="24"/>
        </w:rPr>
        <w:t>обављање</w:t>
      </w:r>
      <w:r w:rsidRPr="00797E29">
        <w:rPr>
          <w:rFonts w:ascii="Times New Roman" w:hAnsi="Times New Roman"/>
          <w:sz w:val="24"/>
          <w:szCs w:val="24"/>
        </w:rPr>
        <w:t xml:space="preserve"> </w:t>
      </w:r>
      <w:r w:rsidR="0009739D" w:rsidRPr="00797E29">
        <w:rPr>
          <w:rFonts w:ascii="Times New Roman" w:hAnsi="Times New Roman"/>
          <w:sz w:val="24"/>
          <w:szCs w:val="24"/>
        </w:rPr>
        <w:t>делатности</w:t>
      </w:r>
      <w:r w:rsidRPr="00797E29">
        <w:rPr>
          <w:rFonts w:ascii="Times New Roman" w:hAnsi="Times New Roman"/>
          <w:sz w:val="24"/>
          <w:szCs w:val="24"/>
        </w:rPr>
        <w:t>;</w:t>
      </w:r>
    </w:p>
    <w:p w:rsidR="00225A7E" w:rsidRPr="00797E29" w:rsidRDefault="00225A7E" w:rsidP="00797E29">
      <w:pPr>
        <w:jc w:val="both"/>
        <w:rPr>
          <w:rFonts w:ascii="Times New Roman" w:hAnsi="Times New Roman"/>
          <w:sz w:val="24"/>
          <w:szCs w:val="24"/>
        </w:rPr>
      </w:pPr>
      <w:r w:rsidRPr="00797E29">
        <w:rPr>
          <w:rFonts w:ascii="Times New Roman" w:hAnsi="Times New Roman"/>
          <w:sz w:val="24"/>
          <w:szCs w:val="24"/>
        </w:rPr>
        <w:t xml:space="preserve">2) </w:t>
      </w:r>
      <w:r w:rsidR="0009739D" w:rsidRPr="00797E29">
        <w:rPr>
          <w:rFonts w:ascii="Times New Roman" w:hAnsi="Times New Roman"/>
          <w:sz w:val="24"/>
          <w:szCs w:val="24"/>
        </w:rPr>
        <w:t>права</w:t>
      </w:r>
      <w:r w:rsidRPr="00797E29">
        <w:rPr>
          <w:rFonts w:ascii="Times New Roman" w:hAnsi="Times New Roman"/>
          <w:sz w:val="24"/>
          <w:szCs w:val="24"/>
        </w:rPr>
        <w:t xml:space="preserve"> </w:t>
      </w:r>
      <w:r w:rsidR="0009739D" w:rsidRPr="00797E29">
        <w:rPr>
          <w:rFonts w:ascii="Times New Roman" w:hAnsi="Times New Roman"/>
          <w:sz w:val="24"/>
          <w:szCs w:val="24"/>
        </w:rPr>
        <w:t>индустријске</w:t>
      </w:r>
      <w:r w:rsidRPr="00797E29">
        <w:rPr>
          <w:rFonts w:ascii="Times New Roman" w:hAnsi="Times New Roman"/>
          <w:sz w:val="24"/>
          <w:szCs w:val="24"/>
        </w:rPr>
        <w:t xml:space="preserve"> </w:t>
      </w:r>
      <w:r w:rsidR="0009739D" w:rsidRPr="00797E29">
        <w:rPr>
          <w:rFonts w:ascii="Times New Roman" w:hAnsi="Times New Roman"/>
          <w:sz w:val="24"/>
          <w:szCs w:val="24"/>
        </w:rPr>
        <w:t>својине</w:t>
      </w:r>
      <w:r w:rsidRPr="00797E29">
        <w:rPr>
          <w:rFonts w:ascii="Times New Roman" w:hAnsi="Times New Roman"/>
          <w:sz w:val="24"/>
          <w:szCs w:val="24"/>
        </w:rPr>
        <w:t>;</w:t>
      </w:r>
    </w:p>
    <w:p w:rsidR="00225A7E" w:rsidRPr="00797E29" w:rsidRDefault="00225A7E" w:rsidP="00797E29">
      <w:pPr>
        <w:jc w:val="both"/>
        <w:rPr>
          <w:rFonts w:ascii="Times New Roman" w:hAnsi="Times New Roman"/>
          <w:sz w:val="24"/>
          <w:szCs w:val="24"/>
        </w:rPr>
      </w:pPr>
      <w:r w:rsidRPr="00797E29">
        <w:rPr>
          <w:rFonts w:ascii="Times New Roman" w:hAnsi="Times New Roman"/>
          <w:sz w:val="24"/>
          <w:szCs w:val="24"/>
        </w:rPr>
        <w:t xml:space="preserve">3) </w:t>
      </w:r>
      <w:r w:rsidR="0009739D" w:rsidRPr="00797E29">
        <w:rPr>
          <w:rFonts w:ascii="Times New Roman" w:hAnsi="Times New Roman"/>
          <w:sz w:val="24"/>
          <w:szCs w:val="24"/>
        </w:rPr>
        <w:t>удела</w:t>
      </w:r>
      <w:r w:rsidRPr="00797E29">
        <w:rPr>
          <w:rFonts w:ascii="Times New Roman" w:hAnsi="Times New Roman"/>
          <w:sz w:val="24"/>
          <w:szCs w:val="24"/>
        </w:rPr>
        <w:t xml:space="preserve"> </w:t>
      </w:r>
      <w:r w:rsidR="0009739D" w:rsidRPr="00797E29">
        <w:rPr>
          <w:rFonts w:ascii="Times New Roman" w:hAnsi="Times New Roman"/>
          <w:sz w:val="24"/>
          <w:szCs w:val="24"/>
        </w:rPr>
        <w:t>у</w:t>
      </w:r>
      <w:r w:rsidRPr="00797E29">
        <w:rPr>
          <w:rFonts w:ascii="Times New Roman" w:hAnsi="Times New Roman"/>
          <w:sz w:val="24"/>
          <w:szCs w:val="24"/>
        </w:rPr>
        <w:t xml:space="preserve"> </w:t>
      </w:r>
      <w:r w:rsidR="0009739D" w:rsidRPr="00797E29">
        <w:rPr>
          <w:rFonts w:ascii="Times New Roman" w:hAnsi="Times New Roman"/>
          <w:sz w:val="24"/>
          <w:szCs w:val="24"/>
        </w:rPr>
        <w:t>капиталу</w:t>
      </w:r>
      <w:r w:rsidRPr="00797E29">
        <w:rPr>
          <w:rFonts w:ascii="Times New Roman" w:hAnsi="Times New Roman"/>
          <w:sz w:val="24"/>
          <w:szCs w:val="24"/>
        </w:rPr>
        <w:t xml:space="preserve"> </w:t>
      </w:r>
      <w:r w:rsidR="0009739D" w:rsidRPr="00797E29">
        <w:rPr>
          <w:rFonts w:ascii="Times New Roman" w:hAnsi="Times New Roman"/>
          <w:sz w:val="24"/>
          <w:szCs w:val="24"/>
        </w:rPr>
        <w:t>правних</w:t>
      </w:r>
      <w:r w:rsidRPr="00797E29">
        <w:rPr>
          <w:rFonts w:ascii="Times New Roman" w:hAnsi="Times New Roman"/>
          <w:sz w:val="24"/>
          <w:szCs w:val="24"/>
        </w:rPr>
        <w:t xml:space="preserve"> </w:t>
      </w:r>
      <w:r w:rsidR="0009739D" w:rsidRPr="00797E29">
        <w:rPr>
          <w:rFonts w:ascii="Times New Roman" w:hAnsi="Times New Roman"/>
          <w:sz w:val="24"/>
          <w:szCs w:val="24"/>
        </w:rPr>
        <w:t>лица</w:t>
      </w:r>
      <w:r w:rsidRPr="00797E29">
        <w:rPr>
          <w:rFonts w:ascii="Times New Roman" w:hAnsi="Times New Roman"/>
          <w:sz w:val="24"/>
          <w:szCs w:val="24"/>
        </w:rPr>
        <w:t xml:space="preserve"> </w:t>
      </w:r>
      <w:r w:rsidR="0009739D" w:rsidRPr="00797E29">
        <w:rPr>
          <w:rFonts w:ascii="Times New Roman" w:hAnsi="Times New Roman"/>
          <w:sz w:val="24"/>
          <w:szCs w:val="24"/>
        </w:rPr>
        <w:t>и</w:t>
      </w:r>
      <w:r w:rsidRPr="00797E29">
        <w:rPr>
          <w:rFonts w:ascii="Times New Roman" w:hAnsi="Times New Roman"/>
          <w:sz w:val="24"/>
          <w:szCs w:val="24"/>
        </w:rPr>
        <w:t xml:space="preserve"> </w:t>
      </w:r>
      <w:r w:rsidR="0009739D" w:rsidRPr="00797E29">
        <w:rPr>
          <w:rFonts w:ascii="Times New Roman" w:hAnsi="Times New Roman"/>
          <w:sz w:val="24"/>
          <w:szCs w:val="24"/>
        </w:rPr>
        <w:t>акција</w:t>
      </w:r>
      <w:r w:rsidRPr="00797E29">
        <w:rPr>
          <w:rFonts w:ascii="Times New Roman" w:hAnsi="Times New Roman"/>
          <w:sz w:val="24"/>
          <w:szCs w:val="24"/>
        </w:rPr>
        <w:t xml:space="preserve"> </w:t>
      </w:r>
      <w:r w:rsidR="0009739D" w:rsidRPr="00797E29">
        <w:rPr>
          <w:rFonts w:ascii="Times New Roman" w:hAnsi="Times New Roman"/>
          <w:sz w:val="24"/>
          <w:szCs w:val="24"/>
        </w:rPr>
        <w:t>и</w:t>
      </w:r>
      <w:r w:rsidRPr="00797E29">
        <w:rPr>
          <w:rFonts w:ascii="Times New Roman" w:hAnsi="Times New Roman"/>
          <w:sz w:val="24"/>
          <w:szCs w:val="24"/>
        </w:rPr>
        <w:t xml:space="preserve"> </w:t>
      </w:r>
      <w:r w:rsidR="0009739D" w:rsidRPr="00797E29">
        <w:rPr>
          <w:rFonts w:ascii="Times New Roman" w:hAnsi="Times New Roman"/>
          <w:sz w:val="24"/>
          <w:szCs w:val="24"/>
        </w:rPr>
        <w:t>осталих</w:t>
      </w:r>
      <w:r w:rsidRPr="00797E29">
        <w:rPr>
          <w:rFonts w:ascii="Times New Roman" w:hAnsi="Times New Roman"/>
          <w:sz w:val="24"/>
          <w:szCs w:val="24"/>
        </w:rPr>
        <w:t xml:space="preserve"> </w:t>
      </w:r>
      <w:r w:rsidR="0009739D" w:rsidRPr="00797E29">
        <w:rPr>
          <w:rFonts w:ascii="Times New Roman" w:hAnsi="Times New Roman"/>
          <w:sz w:val="24"/>
          <w:szCs w:val="24"/>
        </w:rPr>
        <w:t>хартија</w:t>
      </w:r>
      <w:r w:rsidRPr="00797E29">
        <w:rPr>
          <w:rFonts w:ascii="Times New Roman" w:hAnsi="Times New Roman"/>
          <w:sz w:val="24"/>
          <w:szCs w:val="24"/>
        </w:rPr>
        <w:t xml:space="preserve"> </w:t>
      </w:r>
      <w:r w:rsidR="0009739D" w:rsidRPr="00797E29">
        <w:rPr>
          <w:rFonts w:ascii="Times New Roman" w:hAnsi="Times New Roman"/>
          <w:sz w:val="24"/>
          <w:szCs w:val="24"/>
        </w:rPr>
        <w:t>од</w:t>
      </w:r>
      <w:r w:rsidRPr="00797E29">
        <w:rPr>
          <w:rFonts w:ascii="Times New Roman" w:hAnsi="Times New Roman"/>
          <w:sz w:val="24"/>
          <w:szCs w:val="24"/>
        </w:rPr>
        <w:t xml:space="preserve"> </w:t>
      </w:r>
      <w:r w:rsidR="0009739D" w:rsidRPr="00797E29">
        <w:rPr>
          <w:rFonts w:ascii="Times New Roman" w:hAnsi="Times New Roman"/>
          <w:sz w:val="24"/>
          <w:szCs w:val="24"/>
        </w:rPr>
        <w:t>вредности</w:t>
      </w:r>
      <w:r w:rsidRPr="00797E29">
        <w:rPr>
          <w:rFonts w:ascii="Times New Roman" w:hAnsi="Times New Roman"/>
          <w:sz w:val="24"/>
          <w:szCs w:val="24"/>
        </w:rPr>
        <w:t xml:space="preserve">, </w:t>
      </w:r>
      <w:r w:rsidR="0009739D" w:rsidRPr="00797E29">
        <w:rPr>
          <w:rFonts w:ascii="Times New Roman" w:hAnsi="Times New Roman"/>
          <w:sz w:val="24"/>
          <w:szCs w:val="24"/>
        </w:rPr>
        <w:t>које</w:t>
      </w:r>
      <w:r w:rsidRPr="00797E29">
        <w:rPr>
          <w:rFonts w:ascii="Times New Roman" w:hAnsi="Times New Roman"/>
          <w:sz w:val="24"/>
          <w:szCs w:val="24"/>
        </w:rPr>
        <w:t xml:space="preserve"> </w:t>
      </w:r>
      <w:r w:rsidR="0009739D" w:rsidRPr="00797E29">
        <w:rPr>
          <w:rFonts w:ascii="Times New Roman" w:hAnsi="Times New Roman"/>
          <w:sz w:val="24"/>
          <w:szCs w:val="24"/>
        </w:rPr>
        <w:t>у</w:t>
      </w:r>
      <w:r w:rsidRPr="00797E29">
        <w:rPr>
          <w:rFonts w:ascii="Times New Roman" w:hAnsi="Times New Roman"/>
          <w:sz w:val="24"/>
          <w:szCs w:val="24"/>
        </w:rPr>
        <w:t xml:space="preserve"> </w:t>
      </w:r>
      <w:r w:rsidR="0009739D" w:rsidRPr="00797E29">
        <w:rPr>
          <w:rFonts w:ascii="Times New Roman" w:hAnsi="Times New Roman"/>
          <w:sz w:val="24"/>
          <w:szCs w:val="24"/>
        </w:rPr>
        <w:t>складу</w:t>
      </w:r>
      <w:r w:rsidRPr="00797E29">
        <w:rPr>
          <w:rFonts w:ascii="Times New Roman" w:hAnsi="Times New Roman"/>
          <w:sz w:val="24"/>
          <w:szCs w:val="24"/>
        </w:rPr>
        <w:t xml:space="preserve"> </w:t>
      </w:r>
      <w:r w:rsidR="0009739D" w:rsidRPr="00797E29">
        <w:rPr>
          <w:rFonts w:ascii="Times New Roman" w:hAnsi="Times New Roman"/>
          <w:sz w:val="24"/>
          <w:szCs w:val="24"/>
        </w:rPr>
        <w:t>са</w:t>
      </w:r>
      <w:r w:rsidRPr="00797E29">
        <w:rPr>
          <w:rFonts w:ascii="Times New Roman" w:hAnsi="Times New Roman"/>
          <w:sz w:val="24"/>
          <w:szCs w:val="24"/>
        </w:rPr>
        <w:t xml:space="preserve"> </w:t>
      </w:r>
      <w:r w:rsidR="0009739D" w:rsidRPr="00797E29">
        <w:rPr>
          <w:rFonts w:ascii="Times New Roman" w:hAnsi="Times New Roman"/>
          <w:sz w:val="24"/>
          <w:szCs w:val="24"/>
        </w:rPr>
        <w:t>МРС</w:t>
      </w:r>
      <w:r w:rsidRPr="00797E29">
        <w:rPr>
          <w:rFonts w:ascii="Times New Roman" w:hAnsi="Times New Roman"/>
          <w:sz w:val="24"/>
          <w:szCs w:val="24"/>
        </w:rPr>
        <w:t xml:space="preserve">, </w:t>
      </w:r>
      <w:r w:rsidR="0009739D" w:rsidRPr="00797E29">
        <w:rPr>
          <w:rFonts w:ascii="Times New Roman" w:hAnsi="Times New Roman"/>
          <w:sz w:val="24"/>
          <w:szCs w:val="24"/>
        </w:rPr>
        <w:t>односно</w:t>
      </w:r>
      <w:r w:rsidRPr="00797E29">
        <w:rPr>
          <w:rFonts w:ascii="Times New Roman" w:hAnsi="Times New Roman"/>
          <w:sz w:val="24"/>
          <w:szCs w:val="24"/>
        </w:rPr>
        <w:t xml:space="preserve"> </w:t>
      </w:r>
      <w:r w:rsidR="0009739D" w:rsidRPr="00797E29">
        <w:rPr>
          <w:rFonts w:ascii="Times New Roman" w:hAnsi="Times New Roman"/>
          <w:sz w:val="24"/>
          <w:szCs w:val="24"/>
        </w:rPr>
        <w:t>МСФИ</w:t>
      </w:r>
      <w:r w:rsidRPr="00797E29">
        <w:rPr>
          <w:rFonts w:ascii="Times New Roman" w:hAnsi="Times New Roman"/>
          <w:sz w:val="24"/>
          <w:szCs w:val="24"/>
        </w:rPr>
        <w:t xml:space="preserve"> </w:t>
      </w:r>
      <w:r w:rsidR="0009739D" w:rsidRPr="00797E29">
        <w:rPr>
          <w:rFonts w:ascii="Times New Roman" w:hAnsi="Times New Roman"/>
          <w:sz w:val="24"/>
          <w:szCs w:val="24"/>
        </w:rPr>
        <w:t>представљају</w:t>
      </w:r>
      <w:r w:rsidRPr="00797E29">
        <w:rPr>
          <w:rFonts w:ascii="Times New Roman" w:hAnsi="Times New Roman"/>
          <w:sz w:val="24"/>
          <w:szCs w:val="24"/>
        </w:rPr>
        <w:t xml:space="preserve"> </w:t>
      </w:r>
      <w:r w:rsidR="0009739D" w:rsidRPr="00797E29">
        <w:rPr>
          <w:rFonts w:ascii="Times New Roman" w:hAnsi="Times New Roman"/>
          <w:sz w:val="24"/>
          <w:szCs w:val="24"/>
        </w:rPr>
        <w:t>дугорочне</w:t>
      </w:r>
      <w:r w:rsidRPr="00797E29">
        <w:rPr>
          <w:rFonts w:ascii="Times New Roman" w:hAnsi="Times New Roman"/>
          <w:sz w:val="24"/>
          <w:szCs w:val="24"/>
        </w:rPr>
        <w:t xml:space="preserve"> </w:t>
      </w:r>
      <w:r w:rsidR="0009739D" w:rsidRPr="00797E29">
        <w:rPr>
          <w:rFonts w:ascii="Times New Roman" w:hAnsi="Times New Roman"/>
          <w:sz w:val="24"/>
          <w:szCs w:val="24"/>
        </w:rPr>
        <w:t>финансијске</w:t>
      </w:r>
      <w:r w:rsidRPr="00797E29">
        <w:rPr>
          <w:rFonts w:ascii="Times New Roman" w:hAnsi="Times New Roman"/>
          <w:sz w:val="24"/>
          <w:szCs w:val="24"/>
        </w:rPr>
        <w:t xml:space="preserve"> </w:t>
      </w:r>
      <w:r w:rsidR="0009739D" w:rsidRPr="00797E29">
        <w:rPr>
          <w:rFonts w:ascii="Times New Roman" w:hAnsi="Times New Roman"/>
          <w:sz w:val="24"/>
          <w:szCs w:val="24"/>
        </w:rPr>
        <w:t>пласмане</w:t>
      </w:r>
      <w:r w:rsidRPr="00797E29">
        <w:rPr>
          <w:rFonts w:ascii="Times New Roman" w:hAnsi="Times New Roman"/>
          <w:sz w:val="24"/>
          <w:szCs w:val="24"/>
        </w:rPr>
        <w:t xml:space="preserve">, </w:t>
      </w:r>
      <w:r w:rsidR="0009739D" w:rsidRPr="00797E29">
        <w:rPr>
          <w:rFonts w:ascii="Times New Roman" w:hAnsi="Times New Roman"/>
          <w:sz w:val="24"/>
          <w:szCs w:val="24"/>
        </w:rPr>
        <w:t>осим</w:t>
      </w:r>
      <w:r w:rsidRPr="00797E29">
        <w:rPr>
          <w:rFonts w:ascii="Times New Roman" w:hAnsi="Times New Roman"/>
          <w:sz w:val="24"/>
          <w:szCs w:val="24"/>
        </w:rPr>
        <w:t xml:space="preserve"> </w:t>
      </w:r>
      <w:r w:rsidR="0009739D" w:rsidRPr="00797E29">
        <w:rPr>
          <w:rFonts w:ascii="Times New Roman" w:hAnsi="Times New Roman"/>
          <w:sz w:val="24"/>
          <w:szCs w:val="24"/>
        </w:rPr>
        <w:t>обвезница</w:t>
      </w:r>
      <w:r w:rsidRPr="00797E29">
        <w:rPr>
          <w:rFonts w:ascii="Times New Roman" w:hAnsi="Times New Roman"/>
          <w:sz w:val="24"/>
          <w:szCs w:val="24"/>
        </w:rPr>
        <w:t xml:space="preserve"> </w:t>
      </w:r>
      <w:r w:rsidR="0009739D" w:rsidRPr="00797E29">
        <w:rPr>
          <w:rFonts w:ascii="Times New Roman" w:hAnsi="Times New Roman"/>
          <w:sz w:val="24"/>
          <w:szCs w:val="24"/>
        </w:rPr>
        <w:t>издатих</w:t>
      </w:r>
      <w:r w:rsidRPr="00797E29">
        <w:rPr>
          <w:rFonts w:ascii="Times New Roman" w:hAnsi="Times New Roman"/>
          <w:sz w:val="24"/>
          <w:szCs w:val="24"/>
        </w:rPr>
        <w:t xml:space="preserve"> </w:t>
      </w:r>
      <w:r w:rsidR="0009739D" w:rsidRPr="00797E29">
        <w:rPr>
          <w:rFonts w:ascii="Times New Roman" w:hAnsi="Times New Roman"/>
          <w:sz w:val="24"/>
          <w:szCs w:val="24"/>
        </w:rPr>
        <w:t>у</w:t>
      </w:r>
      <w:r w:rsidRPr="00797E29">
        <w:rPr>
          <w:rFonts w:ascii="Times New Roman" w:hAnsi="Times New Roman"/>
          <w:sz w:val="24"/>
          <w:szCs w:val="24"/>
        </w:rPr>
        <w:t xml:space="preserve"> </w:t>
      </w:r>
      <w:r w:rsidR="0009739D" w:rsidRPr="00797E29">
        <w:rPr>
          <w:rFonts w:ascii="Times New Roman" w:hAnsi="Times New Roman"/>
          <w:sz w:val="24"/>
          <w:szCs w:val="24"/>
        </w:rPr>
        <w:t>складу</w:t>
      </w:r>
      <w:r w:rsidRPr="00797E29">
        <w:rPr>
          <w:rFonts w:ascii="Times New Roman" w:hAnsi="Times New Roman"/>
          <w:sz w:val="24"/>
          <w:szCs w:val="24"/>
        </w:rPr>
        <w:t xml:space="preserve"> </w:t>
      </w:r>
      <w:r w:rsidR="0009739D" w:rsidRPr="00797E29">
        <w:rPr>
          <w:rFonts w:ascii="Times New Roman" w:hAnsi="Times New Roman"/>
          <w:sz w:val="24"/>
          <w:szCs w:val="24"/>
        </w:rPr>
        <w:t>са</w:t>
      </w:r>
      <w:r w:rsidRPr="00797E29">
        <w:rPr>
          <w:rFonts w:ascii="Times New Roman" w:hAnsi="Times New Roman"/>
          <w:sz w:val="24"/>
          <w:szCs w:val="24"/>
        </w:rPr>
        <w:t xml:space="preserve"> </w:t>
      </w:r>
      <w:r w:rsidR="0009739D" w:rsidRPr="00797E29">
        <w:rPr>
          <w:rFonts w:ascii="Times New Roman" w:hAnsi="Times New Roman"/>
          <w:sz w:val="24"/>
          <w:szCs w:val="24"/>
        </w:rPr>
        <w:t>прописима</w:t>
      </w:r>
      <w:r w:rsidRPr="00797E29">
        <w:rPr>
          <w:rFonts w:ascii="Times New Roman" w:hAnsi="Times New Roman"/>
          <w:sz w:val="24"/>
          <w:szCs w:val="24"/>
        </w:rPr>
        <w:t xml:space="preserve"> </w:t>
      </w:r>
      <w:r w:rsidR="0009739D" w:rsidRPr="00797E29">
        <w:rPr>
          <w:rFonts w:ascii="Times New Roman" w:hAnsi="Times New Roman"/>
          <w:sz w:val="24"/>
          <w:szCs w:val="24"/>
        </w:rPr>
        <w:t>којима</w:t>
      </w:r>
      <w:r w:rsidRPr="00797E29">
        <w:rPr>
          <w:rFonts w:ascii="Times New Roman" w:hAnsi="Times New Roman"/>
          <w:sz w:val="24"/>
          <w:szCs w:val="24"/>
        </w:rPr>
        <w:t xml:space="preserve"> </w:t>
      </w:r>
      <w:r w:rsidR="0009739D" w:rsidRPr="00797E29">
        <w:rPr>
          <w:rFonts w:ascii="Times New Roman" w:hAnsi="Times New Roman"/>
          <w:sz w:val="24"/>
          <w:szCs w:val="24"/>
        </w:rPr>
        <w:t>се</w:t>
      </w:r>
      <w:r w:rsidRPr="00797E29">
        <w:rPr>
          <w:rFonts w:ascii="Times New Roman" w:hAnsi="Times New Roman"/>
          <w:sz w:val="24"/>
          <w:szCs w:val="24"/>
        </w:rPr>
        <w:t xml:space="preserve"> </w:t>
      </w:r>
      <w:r w:rsidR="0009739D" w:rsidRPr="00797E29">
        <w:rPr>
          <w:rFonts w:ascii="Times New Roman" w:hAnsi="Times New Roman"/>
          <w:sz w:val="24"/>
          <w:szCs w:val="24"/>
        </w:rPr>
        <w:t>уређује</w:t>
      </w:r>
      <w:r w:rsidRPr="00797E29">
        <w:rPr>
          <w:rFonts w:ascii="Times New Roman" w:hAnsi="Times New Roman"/>
          <w:sz w:val="24"/>
          <w:szCs w:val="24"/>
        </w:rPr>
        <w:t xml:space="preserve"> </w:t>
      </w:r>
      <w:r w:rsidR="0009739D" w:rsidRPr="00797E29">
        <w:rPr>
          <w:rFonts w:ascii="Times New Roman" w:hAnsi="Times New Roman"/>
          <w:sz w:val="24"/>
          <w:szCs w:val="24"/>
        </w:rPr>
        <w:t>измирење</w:t>
      </w:r>
      <w:r w:rsidRPr="00797E29">
        <w:rPr>
          <w:rFonts w:ascii="Times New Roman" w:hAnsi="Times New Roman"/>
          <w:sz w:val="24"/>
          <w:szCs w:val="24"/>
        </w:rPr>
        <w:t xml:space="preserve"> </w:t>
      </w:r>
      <w:r w:rsidR="0009739D" w:rsidRPr="00797E29">
        <w:rPr>
          <w:rFonts w:ascii="Times New Roman" w:hAnsi="Times New Roman"/>
          <w:sz w:val="24"/>
          <w:szCs w:val="24"/>
        </w:rPr>
        <w:t>обавезе</w:t>
      </w:r>
      <w:r w:rsidRPr="00797E29">
        <w:rPr>
          <w:rFonts w:ascii="Times New Roman" w:hAnsi="Times New Roman"/>
          <w:sz w:val="24"/>
          <w:szCs w:val="24"/>
        </w:rPr>
        <w:t xml:space="preserve"> </w:t>
      </w:r>
      <w:r w:rsidR="0009739D" w:rsidRPr="00797E29">
        <w:rPr>
          <w:rFonts w:ascii="Times New Roman" w:hAnsi="Times New Roman"/>
          <w:sz w:val="24"/>
          <w:szCs w:val="24"/>
        </w:rPr>
        <w:t>Републике</w:t>
      </w:r>
      <w:r w:rsidRPr="00797E29">
        <w:rPr>
          <w:rFonts w:ascii="Times New Roman" w:hAnsi="Times New Roman"/>
          <w:sz w:val="24"/>
          <w:szCs w:val="24"/>
        </w:rPr>
        <w:t xml:space="preserve"> </w:t>
      </w:r>
      <w:r w:rsidR="0009739D" w:rsidRPr="00797E29">
        <w:rPr>
          <w:rFonts w:ascii="Times New Roman" w:hAnsi="Times New Roman"/>
          <w:sz w:val="24"/>
          <w:szCs w:val="24"/>
        </w:rPr>
        <w:t>по</w:t>
      </w:r>
      <w:r w:rsidRPr="00797E29">
        <w:rPr>
          <w:rFonts w:ascii="Times New Roman" w:hAnsi="Times New Roman"/>
          <w:sz w:val="24"/>
          <w:szCs w:val="24"/>
        </w:rPr>
        <w:t xml:space="preserve"> </w:t>
      </w:r>
      <w:r w:rsidR="0009739D" w:rsidRPr="00797E29">
        <w:rPr>
          <w:rFonts w:ascii="Times New Roman" w:hAnsi="Times New Roman"/>
          <w:sz w:val="24"/>
          <w:szCs w:val="24"/>
        </w:rPr>
        <w:t>основу</w:t>
      </w:r>
      <w:r w:rsidRPr="00797E29">
        <w:rPr>
          <w:rFonts w:ascii="Times New Roman" w:hAnsi="Times New Roman"/>
          <w:sz w:val="24"/>
          <w:szCs w:val="24"/>
        </w:rPr>
        <w:t xml:space="preserve"> </w:t>
      </w:r>
      <w:r w:rsidR="0009739D" w:rsidRPr="00797E29">
        <w:rPr>
          <w:rFonts w:ascii="Times New Roman" w:hAnsi="Times New Roman"/>
          <w:sz w:val="24"/>
          <w:szCs w:val="24"/>
        </w:rPr>
        <w:t>зајма</w:t>
      </w:r>
      <w:r w:rsidRPr="00797E29">
        <w:rPr>
          <w:rFonts w:ascii="Times New Roman" w:hAnsi="Times New Roman"/>
          <w:sz w:val="24"/>
          <w:szCs w:val="24"/>
        </w:rPr>
        <w:t xml:space="preserve"> </w:t>
      </w:r>
      <w:r w:rsidR="0009739D" w:rsidRPr="00797E29">
        <w:rPr>
          <w:rFonts w:ascii="Times New Roman" w:hAnsi="Times New Roman"/>
          <w:sz w:val="24"/>
          <w:szCs w:val="24"/>
        </w:rPr>
        <w:t>за</w:t>
      </w:r>
      <w:r w:rsidRPr="00797E29">
        <w:rPr>
          <w:rFonts w:ascii="Times New Roman" w:hAnsi="Times New Roman"/>
          <w:sz w:val="24"/>
          <w:szCs w:val="24"/>
        </w:rPr>
        <w:t xml:space="preserve"> </w:t>
      </w:r>
      <w:r w:rsidR="0009739D" w:rsidRPr="00797E29">
        <w:rPr>
          <w:rFonts w:ascii="Times New Roman" w:hAnsi="Times New Roman"/>
          <w:sz w:val="24"/>
          <w:szCs w:val="24"/>
        </w:rPr>
        <w:t>привредни</w:t>
      </w:r>
      <w:r w:rsidRPr="00797E29">
        <w:rPr>
          <w:rFonts w:ascii="Times New Roman" w:hAnsi="Times New Roman"/>
          <w:sz w:val="24"/>
          <w:szCs w:val="24"/>
        </w:rPr>
        <w:t xml:space="preserve"> </w:t>
      </w:r>
      <w:r w:rsidR="0009739D" w:rsidRPr="00797E29">
        <w:rPr>
          <w:rFonts w:ascii="Times New Roman" w:hAnsi="Times New Roman"/>
          <w:sz w:val="24"/>
          <w:szCs w:val="24"/>
        </w:rPr>
        <w:t>развој</w:t>
      </w:r>
      <w:r w:rsidRPr="00797E29">
        <w:rPr>
          <w:rFonts w:ascii="Times New Roman" w:hAnsi="Times New Roman"/>
          <w:sz w:val="24"/>
          <w:szCs w:val="24"/>
        </w:rPr>
        <w:t xml:space="preserve">, </w:t>
      </w:r>
      <w:r w:rsidR="0009739D" w:rsidRPr="00797E29">
        <w:rPr>
          <w:rFonts w:ascii="Times New Roman" w:hAnsi="Times New Roman"/>
          <w:sz w:val="24"/>
          <w:szCs w:val="24"/>
        </w:rPr>
        <w:t>девизне</w:t>
      </w:r>
      <w:r w:rsidRPr="00797E29">
        <w:rPr>
          <w:rFonts w:ascii="Times New Roman" w:hAnsi="Times New Roman"/>
          <w:sz w:val="24"/>
          <w:szCs w:val="24"/>
        </w:rPr>
        <w:t xml:space="preserve"> </w:t>
      </w:r>
      <w:r w:rsidR="0009739D" w:rsidRPr="00797E29">
        <w:rPr>
          <w:rFonts w:ascii="Times New Roman" w:hAnsi="Times New Roman"/>
          <w:sz w:val="24"/>
          <w:szCs w:val="24"/>
        </w:rPr>
        <w:t>штедње</w:t>
      </w:r>
      <w:r w:rsidRPr="00797E29">
        <w:rPr>
          <w:rFonts w:ascii="Times New Roman" w:hAnsi="Times New Roman"/>
          <w:sz w:val="24"/>
          <w:szCs w:val="24"/>
        </w:rPr>
        <w:t xml:space="preserve"> </w:t>
      </w:r>
      <w:r w:rsidR="0009739D" w:rsidRPr="00797E29">
        <w:rPr>
          <w:rFonts w:ascii="Times New Roman" w:hAnsi="Times New Roman"/>
          <w:sz w:val="24"/>
          <w:szCs w:val="24"/>
        </w:rPr>
        <w:t>грађана</w:t>
      </w:r>
      <w:r w:rsidRPr="00797E29">
        <w:rPr>
          <w:rFonts w:ascii="Times New Roman" w:hAnsi="Times New Roman"/>
          <w:sz w:val="24"/>
          <w:szCs w:val="24"/>
        </w:rPr>
        <w:t xml:space="preserve"> </w:t>
      </w:r>
      <w:r w:rsidR="0009739D" w:rsidRPr="00797E29">
        <w:rPr>
          <w:rFonts w:ascii="Times New Roman" w:hAnsi="Times New Roman"/>
          <w:sz w:val="24"/>
          <w:szCs w:val="24"/>
        </w:rPr>
        <w:t>и</w:t>
      </w:r>
      <w:r w:rsidRPr="00797E29">
        <w:rPr>
          <w:rFonts w:ascii="Times New Roman" w:hAnsi="Times New Roman"/>
          <w:sz w:val="24"/>
          <w:szCs w:val="24"/>
        </w:rPr>
        <w:t xml:space="preserve"> </w:t>
      </w:r>
      <w:r w:rsidR="0009739D" w:rsidRPr="00797E29">
        <w:rPr>
          <w:rFonts w:ascii="Times New Roman" w:hAnsi="Times New Roman"/>
          <w:sz w:val="24"/>
          <w:szCs w:val="24"/>
        </w:rPr>
        <w:t>дужничких</w:t>
      </w:r>
      <w:r w:rsidRPr="00797E29">
        <w:rPr>
          <w:rFonts w:ascii="Times New Roman" w:hAnsi="Times New Roman"/>
          <w:sz w:val="24"/>
          <w:szCs w:val="24"/>
        </w:rPr>
        <w:t xml:space="preserve"> </w:t>
      </w:r>
      <w:r w:rsidR="0009739D" w:rsidRPr="00797E29">
        <w:rPr>
          <w:rFonts w:ascii="Times New Roman" w:hAnsi="Times New Roman"/>
          <w:sz w:val="24"/>
          <w:szCs w:val="24"/>
        </w:rPr>
        <w:lastRenderedPageBreak/>
        <w:t>хартија</w:t>
      </w:r>
      <w:r w:rsidRPr="00797E29">
        <w:rPr>
          <w:rFonts w:ascii="Times New Roman" w:hAnsi="Times New Roman"/>
          <w:sz w:val="24"/>
          <w:szCs w:val="24"/>
        </w:rPr>
        <w:t xml:space="preserve"> </w:t>
      </w:r>
      <w:r w:rsidR="0009739D" w:rsidRPr="00797E29">
        <w:rPr>
          <w:rFonts w:ascii="Times New Roman" w:hAnsi="Times New Roman"/>
          <w:sz w:val="24"/>
          <w:szCs w:val="24"/>
        </w:rPr>
        <w:t>од</w:t>
      </w:r>
      <w:r w:rsidRPr="00797E29">
        <w:rPr>
          <w:rFonts w:ascii="Times New Roman" w:hAnsi="Times New Roman"/>
          <w:sz w:val="24"/>
          <w:szCs w:val="24"/>
        </w:rPr>
        <w:t xml:space="preserve"> </w:t>
      </w:r>
      <w:r w:rsidR="0009739D" w:rsidRPr="00797E29">
        <w:rPr>
          <w:rFonts w:ascii="Times New Roman" w:hAnsi="Times New Roman"/>
          <w:sz w:val="24"/>
          <w:szCs w:val="24"/>
        </w:rPr>
        <w:t>вредности</w:t>
      </w:r>
      <w:r w:rsidRPr="00797E29">
        <w:rPr>
          <w:rFonts w:ascii="Times New Roman" w:hAnsi="Times New Roman"/>
          <w:sz w:val="24"/>
          <w:szCs w:val="24"/>
        </w:rPr>
        <w:t xml:space="preserve"> </w:t>
      </w:r>
      <w:r w:rsidR="0009739D" w:rsidRPr="00797E29">
        <w:rPr>
          <w:rFonts w:ascii="Times New Roman" w:hAnsi="Times New Roman"/>
          <w:sz w:val="24"/>
          <w:szCs w:val="24"/>
        </w:rPr>
        <w:t>чији</w:t>
      </w:r>
      <w:r w:rsidRPr="00797E29">
        <w:rPr>
          <w:rFonts w:ascii="Times New Roman" w:hAnsi="Times New Roman"/>
          <w:sz w:val="24"/>
          <w:szCs w:val="24"/>
        </w:rPr>
        <w:t xml:space="preserve"> </w:t>
      </w:r>
      <w:r w:rsidR="0009739D" w:rsidRPr="00797E29">
        <w:rPr>
          <w:rFonts w:ascii="Times New Roman" w:hAnsi="Times New Roman"/>
          <w:sz w:val="24"/>
          <w:szCs w:val="24"/>
        </w:rPr>
        <w:t>је</w:t>
      </w:r>
      <w:r w:rsidRPr="00797E29">
        <w:rPr>
          <w:rFonts w:ascii="Times New Roman" w:hAnsi="Times New Roman"/>
          <w:sz w:val="24"/>
          <w:szCs w:val="24"/>
        </w:rPr>
        <w:t xml:space="preserve"> </w:t>
      </w:r>
      <w:r w:rsidR="0009739D" w:rsidRPr="00797E29">
        <w:rPr>
          <w:rFonts w:ascii="Times New Roman" w:hAnsi="Times New Roman"/>
          <w:sz w:val="24"/>
          <w:szCs w:val="24"/>
        </w:rPr>
        <w:t>издавалац</w:t>
      </w:r>
      <w:r w:rsidRPr="00797E29">
        <w:rPr>
          <w:rFonts w:ascii="Times New Roman" w:hAnsi="Times New Roman"/>
          <w:sz w:val="24"/>
          <w:szCs w:val="24"/>
        </w:rPr>
        <w:t xml:space="preserve">, </w:t>
      </w:r>
      <w:r w:rsidR="0009739D" w:rsidRPr="00797E29">
        <w:rPr>
          <w:rFonts w:ascii="Times New Roman" w:hAnsi="Times New Roman"/>
          <w:sz w:val="24"/>
          <w:szCs w:val="24"/>
        </w:rPr>
        <w:t>у</w:t>
      </w:r>
      <w:r w:rsidRPr="00797E29">
        <w:rPr>
          <w:rFonts w:ascii="Times New Roman" w:hAnsi="Times New Roman"/>
          <w:sz w:val="24"/>
          <w:szCs w:val="24"/>
        </w:rPr>
        <w:t xml:space="preserve"> </w:t>
      </w:r>
      <w:r w:rsidR="0009739D" w:rsidRPr="00797E29">
        <w:rPr>
          <w:rFonts w:ascii="Times New Roman" w:hAnsi="Times New Roman"/>
          <w:sz w:val="24"/>
          <w:szCs w:val="24"/>
        </w:rPr>
        <w:t>складу</w:t>
      </w:r>
      <w:r w:rsidRPr="00797E29">
        <w:rPr>
          <w:rFonts w:ascii="Times New Roman" w:hAnsi="Times New Roman"/>
          <w:sz w:val="24"/>
          <w:szCs w:val="24"/>
        </w:rPr>
        <w:t xml:space="preserve"> </w:t>
      </w:r>
      <w:r w:rsidR="0009739D" w:rsidRPr="00797E29">
        <w:rPr>
          <w:rFonts w:ascii="Times New Roman" w:hAnsi="Times New Roman"/>
          <w:sz w:val="24"/>
          <w:szCs w:val="24"/>
        </w:rPr>
        <w:t>са</w:t>
      </w:r>
      <w:r w:rsidRPr="00797E29">
        <w:rPr>
          <w:rFonts w:ascii="Times New Roman" w:hAnsi="Times New Roman"/>
          <w:sz w:val="24"/>
          <w:szCs w:val="24"/>
        </w:rPr>
        <w:t xml:space="preserve"> </w:t>
      </w:r>
      <w:r w:rsidR="0009739D" w:rsidRPr="00797E29">
        <w:rPr>
          <w:rFonts w:ascii="Times New Roman" w:hAnsi="Times New Roman"/>
          <w:sz w:val="24"/>
          <w:szCs w:val="24"/>
        </w:rPr>
        <w:t>законом</w:t>
      </w:r>
      <w:r w:rsidRPr="00797E29">
        <w:rPr>
          <w:rFonts w:ascii="Times New Roman" w:hAnsi="Times New Roman"/>
          <w:sz w:val="24"/>
          <w:szCs w:val="24"/>
        </w:rPr>
        <w:t xml:space="preserve">, </w:t>
      </w:r>
      <w:r w:rsidR="0009739D" w:rsidRPr="00797E29">
        <w:rPr>
          <w:rFonts w:ascii="Times New Roman" w:hAnsi="Times New Roman"/>
          <w:sz w:val="24"/>
          <w:szCs w:val="24"/>
        </w:rPr>
        <w:t>Република</w:t>
      </w:r>
      <w:r w:rsidRPr="00797E29">
        <w:rPr>
          <w:rFonts w:ascii="Times New Roman" w:hAnsi="Times New Roman"/>
          <w:sz w:val="24"/>
          <w:szCs w:val="24"/>
        </w:rPr>
        <w:t xml:space="preserve">, </w:t>
      </w:r>
      <w:r w:rsidR="0009739D" w:rsidRPr="00797E29">
        <w:rPr>
          <w:rFonts w:ascii="Times New Roman" w:hAnsi="Times New Roman"/>
          <w:sz w:val="24"/>
          <w:szCs w:val="24"/>
        </w:rPr>
        <w:t>аутономна</w:t>
      </w:r>
      <w:r w:rsidRPr="00797E29">
        <w:rPr>
          <w:rFonts w:ascii="Times New Roman" w:hAnsi="Times New Roman"/>
          <w:sz w:val="24"/>
          <w:szCs w:val="24"/>
        </w:rPr>
        <w:t xml:space="preserve"> </w:t>
      </w:r>
      <w:r w:rsidR="0009739D" w:rsidRPr="00797E29">
        <w:rPr>
          <w:rFonts w:ascii="Times New Roman" w:hAnsi="Times New Roman"/>
          <w:sz w:val="24"/>
          <w:szCs w:val="24"/>
        </w:rPr>
        <w:t>покрајина</w:t>
      </w:r>
      <w:r w:rsidRPr="00797E29">
        <w:rPr>
          <w:rFonts w:ascii="Times New Roman" w:hAnsi="Times New Roman"/>
          <w:sz w:val="24"/>
          <w:szCs w:val="24"/>
        </w:rPr>
        <w:t xml:space="preserve">, </w:t>
      </w:r>
      <w:r w:rsidR="0009739D" w:rsidRPr="00797E29">
        <w:rPr>
          <w:rFonts w:ascii="Times New Roman" w:hAnsi="Times New Roman"/>
          <w:sz w:val="24"/>
          <w:szCs w:val="24"/>
        </w:rPr>
        <w:t>јединица</w:t>
      </w:r>
      <w:r w:rsidRPr="00797E29">
        <w:rPr>
          <w:rFonts w:ascii="Times New Roman" w:hAnsi="Times New Roman"/>
          <w:sz w:val="24"/>
          <w:szCs w:val="24"/>
        </w:rPr>
        <w:t xml:space="preserve"> </w:t>
      </w:r>
      <w:r w:rsidR="0009739D" w:rsidRPr="00797E29">
        <w:rPr>
          <w:rFonts w:ascii="Times New Roman" w:hAnsi="Times New Roman"/>
          <w:sz w:val="24"/>
          <w:szCs w:val="24"/>
        </w:rPr>
        <w:t>локалне</w:t>
      </w:r>
      <w:r w:rsidRPr="00797E29">
        <w:rPr>
          <w:rFonts w:ascii="Times New Roman" w:hAnsi="Times New Roman"/>
          <w:sz w:val="24"/>
          <w:szCs w:val="24"/>
        </w:rPr>
        <w:t xml:space="preserve"> </w:t>
      </w:r>
      <w:r w:rsidR="0009739D" w:rsidRPr="00797E29">
        <w:rPr>
          <w:rFonts w:ascii="Times New Roman" w:hAnsi="Times New Roman"/>
          <w:sz w:val="24"/>
          <w:szCs w:val="24"/>
        </w:rPr>
        <w:t>самоуправе</w:t>
      </w:r>
      <w:r w:rsidRPr="00797E29">
        <w:rPr>
          <w:rFonts w:ascii="Times New Roman" w:hAnsi="Times New Roman"/>
          <w:sz w:val="24"/>
          <w:szCs w:val="24"/>
        </w:rPr>
        <w:t xml:space="preserve"> </w:t>
      </w:r>
      <w:r w:rsidR="0009739D" w:rsidRPr="00797E29">
        <w:rPr>
          <w:rFonts w:ascii="Times New Roman" w:hAnsi="Times New Roman"/>
          <w:sz w:val="24"/>
          <w:szCs w:val="24"/>
        </w:rPr>
        <w:t>или</w:t>
      </w:r>
      <w:r w:rsidRPr="00797E29">
        <w:rPr>
          <w:rFonts w:ascii="Times New Roman" w:hAnsi="Times New Roman"/>
          <w:sz w:val="24"/>
          <w:szCs w:val="24"/>
        </w:rPr>
        <w:t xml:space="preserve"> </w:t>
      </w:r>
      <w:r w:rsidR="0009739D" w:rsidRPr="00797E29">
        <w:rPr>
          <w:rFonts w:ascii="Times New Roman" w:hAnsi="Times New Roman"/>
          <w:sz w:val="24"/>
          <w:szCs w:val="24"/>
        </w:rPr>
        <w:t>Народна</w:t>
      </w:r>
      <w:r w:rsidRPr="00797E29">
        <w:rPr>
          <w:rFonts w:ascii="Times New Roman" w:hAnsi="Times New Roman"/>
          <w:sz w:val="24"/>
          <w:szCs w:val="24"/>
        </w:rPr>
        <w:t xml:space="preserve"> </w:t>
      </w:r>
      <w:r w:rsidR="0009739D" w:rsidRPr="00797E29">
        <w:rPr>
          <w:rFonts w:ascii="Times New Roman" w:hAnsi="Times New Roman"/>
          <w:sz w:val="24"/>
          <w:szCs w:val="24"/>
        </w:rPr>
        <w:t>банка</w:t>
      </w:r>
      <w:r w:rsidRPr="00797E29">
        <w:rPr>
          <w:rFonts w:ascii="Times New Roman" w:hAnsi="Times New Roman"/>
          <w:sz w:val="24"/>
          <w:szCs w:val="24"/>
        </w:rPr>
        <w:t xml:space="preserve"> </w:t>
      </w:r>
      <w:r w:rsidR="0009739D" w:rsidRPr="00797E29">
        <w:rPr>
          <w:rFonts w:ascii="Times New Roman" w:hAnsi="Times New Roman"/>
          <w:sz w:val="24"/>
          <w:szCs w:val="24"/>
        </w:rPr>
        <w:t>Србије</w:t>
      </w:r>
      <w:r w:rsidRPr="00797E29">
        <w:rPr>
          <w:rFonts w:ascii="Times New Roman" w:hAnsi="Times New Roman"/>
          <w:sz w:val="24"/>
          <w:szCs w:val="24"/>
        </w:rPr>
        <w:t>;</w:t>
      </w:r>
    </w:p>
    <w:p w:rsidR="00225A7E" w:rsidRDefault="00225A7E" w:rsidP="0009739D">
      <w:pPr>
        <w:pStyle w:val="normal0"/>
        <w:shd w:val="clear" w:color="auto" w:fill="FFFFFF"/>
        <w:spacing w:before="48" w:beforeAutospacing="0" w:after="48" w:afterAutospacing="0"/>
        <w:jc w:val="both"/>
        <w:rPr>
          <w:color w:val="000000"/>
          <w:lang w:val="sr-Cyrl-CS"/>
        </w:rPr>
      </w:pPr>
      <w:r w:rsidRPr="0009739D">
        <w:rPr>
          <w:color w:val="000000"/>
        </w:rPr>
        <w:t xml:space="preserve">4) </w:t>
      </w:r>
      <w:r w:rsidR="0009739D" w:rsidRPr="0009739D">
        <w:rPr>
          <w:color w:val="000000"/>
        </w:rPr>
        <w:t>инвестиционе</w:t>
      </w:r>
      <w:r w:rsidRPr="0009739D">
        <w:rPr>
          <w:color w:val="000000"/>
        </w:rPr>
        <w:t xml:space="preserve"> </w:t>
      </w:r>
      <w:r w:rsidR="0009739D" w:rsidRPr="0009739D">
        <w:rPr>
          <w:color w:val="000000"/>
        </w:rPr>
        <w:t>јединице</w:t>
      </w:r>
      <w:r w:rsidRPr="0009739D">
        <w:rPr>
          <w:color w:val="000000"/>
        </w:rPr>
        <w:t xml:space="preserve"> </w:t>
      </w:r>
      <w:r w:rsidR="0009739D" w:rsidRPr="0009739D">
        <w:rPr>
          <w:color w:val="000000"/>
        </w:rPr>
        <w:t>откупљене</w:t>
      </w:r>
      <w:r w:rsidRPr="0009739D">
        <w:rPr>
          <w:color w:val="000000"/>
        </w:rPr>
        <w:t xml:space="preserve"> </w:t>
      </w:r>
      <w:r w:rsidR="0009739D" w:rsidRPr="0009739D">
        <w:rPr>
          <w:color w:val="000000"/>
        </w:rPr>
        <w:t>од</w:t>
      </w:r>
      <w:r w:rsidRPr="0009739D">
        <w:rPr>
          <w:color w:val="000000"/>
        </w:rPr>
        <w:t xml:space="preserve"> </w:t>
      </w:r>
      <w:r w:rsidR="0009739D" w:rsidRPr="0009739D">
        <w:rPr>
          <w:color w:val="000000"/>
        </w:rPr>
        <w:t>стране</w:t>
      </w:r>
      <w:r w:rsidRPr="0009739D">
        <w:rPr>
          <w:color w:val="000000"/>
        </w:rPr>
        <w:t xml:space="preserve"> </w:t>
      </w:r>
      <w:r w:rsidR="0009739D" w:rsidRPr="0009739D">
        <w:rPr>
          <w:color w:val="000000"/>
        </w:rPr>
        <w:t>отвореног</w:t>
      </w:r>
      <w:r w:rsidRPr="0009739D">
        <w:rPr>
          <w:color w:val="000000"/>
        </w:rPr>
        <w:t xml:space="preserve"> </w:t>
      </w:r>
      <w:r w:rsidR="0009739D" w:rsidRPr="0009739D">
        <w:rPr>
          <w:color w:val="000000"/>
        </w:rPr>
        <w:t>инвестиционог</w:t>
      </w:r>
      <w:r w:rsidRPr="0009739D">
        <w:rPr>
          <w:color w:val="000000"/>
        </w:rPr>
        <w:t xml:space="preserve"> </w:t>
      </w:r>
      <w:r w:rsidR="0009739D" w:rsidRPr="0009739D">
        <w:rPr>
          <w:color w:val="000000"/>
        </w:rPr>
        <w:t>фонда</w:t>
      </w:r>
      <w:r w:rsidRPr="0009739D">
        <w:rPr>
          <w:color w:val="000000"/>
        </w:rPr>
        <w:t xml:space="preserve">, </w:t>
      </w:r>
      <w:r w:rsidR="0009739D" w:rsidRPr="0009739D">
        <w:rPr>
          <w:color w:val="000000"/>
        </w:rPr>
        <w:t>у</w:t>
      </w:r>
      <w:r w:rsidRPr="0009739D">
        <w:rPr>
          <w:color w:val="000000"/>
        </w:rPr>
        <w:t xml:space="preserve"> </w:t>
      </w:r>
      <w:r w:rsidR="0009739D" w:rsidRPr="0009739D">
        <w:rPr>
          <w:color w:val="000000"/>
        </w:rPr>
        <w:t>складу</w:t>
      </w:r>
      <w:r w:rsidRPr="0009739D">
        <w:rPr>
          <w:color w:val="000000"/>
        </w:rPr>
        <w:t xml:space="preserve"> </w:t>
      </w:r>
      <w:r w:rsidR="0009739D" w:rsidRPr="0009739D">
        <w:rPr>
          <w:color w:val="000000"/>
        </w:rPr>
        <w:t>са</w:t>
      </w:r>
      <w:r w:rsidRPr="0009739D">
        <w:rPr>
          <w:color w:val="000000"/>
        </w:rPr>
        <w:t xml:space="preserve"> </w:t>
      </w:r>
      <w:r w:rsidR="0009739D" w:rsidRPr="0009739D">
        <w:rPr>
          <w:color w:val="000000"/>
        </w:rPr>
        <w:t>законом</w:t>
      </w:r>
      <w:r w:rsidRPr="0009739D">
        <w:rPr>
          <w:color w:val="000000"/>
        </w:rPr>
        <w:t xml:space="preserve"> </w:t>
      </w:r>
      <w:r w:rsidR="0009739D" w:rsidRPr="0009739D">
        <w:rPr>
          <w:color w:val="000000"/>
        </w:rPr>
        <w:t>којим</w:t>
      </w:r>
      <w:r w:rsidRPr="0009739D">
        <w:rPr>
          <w:color w:val="000000"/>
        </w:rPr>
        <w:t xml:space="preserve"> </w:t>
      </w:r>
      <w:r w:rsidR="0009739D" w:rsidRPr="0009739D">
        <w:rPr>
          <w:color w:val="000000"/>
        </w:rPr>
        <w:t>се</w:t>
      </w:r>
      <w:r w:rsidRPr="0009739D">
        <w:rPr>
          <w:color w:val="000000"/>
        </w:rPr>
        <w:t xml:space="preserve"> </w:t>
      </w:r>
      <w:r w:rsidR="0009739D" w:rsidRPr="0009739D">
        <w:rPr>
          <w:color w:val="000000"/>
        </w:rPr>
        <w:t>уређују</w:t>
      </w:r>
      <w:r w:rsidRPr="0009739D">
        <w:rPr>
          <w:color w:val="000000"/>
        </w:rPr>
        <w:t xml:space="preserve"> </w:t>
      </w:r>
      <w:r w:rsidR="0009739D" w:rsidRPr="0009739D">
        <w:rPr>
          <w:color w:val="000000"/>
        </w:rPr>
        <w:t>инвестициони</w:t>
      </w:r>
      <w:r w:rsidRPr="0009739D">
        <w:rPr>
          <w:color w:val="000000"/>
        </w:rPr>
        <w:t xml:space="preserve"> </w:t>
      </w:r>
      <w:r w:rsidR="0009739D" w:rsidRPr="0009739D">
        <w:rPr>
          <w:color w:val="000000"/>
        </w:rPr>
        <w:t>фондови</w:t>
      </w:r>
      <w:r w:rsidRPr="0009739D">
        <w:rPr>
          <w:color w:val="000000"/>
        </w:rPr>
        <w:t>.</w:t>
      </w:r>
      <w:r w:rsidRPr="0009739D">
        <w:rPr>
          <w:rStyle w:val="FootnoteReference"/>
          <w:color w:val="000000"/>
        </w:rPr>
        <w:footnoteReference w:id="303"/>
      </w:r>
    </w:p>
    <w:p w:rsidR="001A38B7" w:rsidRPr="001A38B7" w:rsidRDefault="001A38B7" w:rsidP="0009739D">
      <w:pPr>
        <w:pStyle w:val="normal0"/>
        <w:shd w:val="clear" w:color="auto" w:fill="FFFFFF"/>
        <w:spacing w:before="48" w:beforeAutospacing="0" w:after="48" w:afterAutospacing="0"/>
        <w:jc w:val="both"/>
        <w:rPr>
          <w:color w:val="000000"/>
          <w:lang w:val="sr-Cyrl-CS"/>
        </w:rPr>
      </w:pPr>
    </w:p>
    <w:p w:rsidR="001A38B7" w:rsidRPr="00797E29" w:rsidRDefault="00B22FEB" w:rsidP="00797E29">
      <w:pPr>
        <w:ind w:firstLine="708"/>
        <w:jc w:val="both"/>
        <w:rPr>
          <w:rFonts w:ascii="Times New Roman" w:hAnsi="Times New Roman"/>
          <w:sz w:val="24"/>
          <w:szCs w:val="24"/>
          <w:lang w:val="sr-Cyrl-CS"/>
        </w:rPr>
      </w:pPr>
      <w:r w:rsidRPr="00797E29">
        <w:rPr>
          <w:rFonts w:ascii="Times New Roman" w:hAnsi="Times New Roman"/>
          <w:sz w:val="24"/>
          <w:szCs w:val="24"/>
          <w:lang w:val="sr-Cyrl-CS"/>
        </w:rPr>
        <w:t xml:space="preserve">Према томе, капитални </w:t>
      </w:r>
      <w:r w:rsidR="001A38B7" w:rsidRPr="00797E29">
        <w:rPr>
          <w:rFonts w:ascii="Times New Roman" w:hAnsi="Times New Roman"/>
          <w:sz w:val="24"/>
          <w:szCs w:val="24"/>
          <w:lang w:val="sr-Cyrl-CS"/>
        </w:rPr>
        <w:t>добитак се остварује приликом от</w:t>
      </w:r>
      <w:r w:rsidRPr="00797E29">
        <w:rPr>
          <w:rFonts w:ascii="Times New Roman" w:hAnsi="Times New Roman"/>
          <w:sz w:val="24"/>
          <w:szCs w:val="24"/>
          <w:lang w:val="sr-Cyrl-CS"/>
        </w:rPr>
        <w:t>уђења имовине, било продајом, било другим преносом уз накнаду и то само одређене имовине.</w:t>
      </w:r>
      <w:r w:rsidR="001A38B7" w:rsidRPr="00797E29">
        <w:rPr>
          <w:rFonts w:ascii="Times New Roman" w:hAnsi="Times New Roman"/>
          <w:sz w:val="24"/>
          <w:szCs w:val="24"/>
          <w:lang w:val="sr-Cyrl-CS"/>
        </w:rPr>
        <w:t xml:space="preserve"> </w:t>
      </w:r>
      <w:r w:rsidRPr="00797E29">
        <w:rPr>
          <w:rFonts w:ascii="Times New Roman" w:hAnsi="Times New Roman"/>
          <w:sz w:val="24"/>
          <w:szCs w:val="24"/>
          <w:lang w:val="sr-Cyrl-CS"/>
        </w:rPr>
        <w:t xml:space="preserve">Према </w:t>
      </w:r>
      <w:r w:rsidR="001A38B7" w:rsidRPr="00797E29">
        <w:rPr>
          <w:rFonts w:ascii="Times New Roman" w:hAnsi="Times New Roman"/>
          <w:sz w:val="24"/>
          <w:szCs w:val="24"/>
          <w:lang w:val="sr-Cyrl-CS"/>
        </w:rPr>
        <w:t>домаћим</w:t>
      </w:r>
      <w:r w:rsidRPr="00797E29">
        <w:rPr>
          <w:rFonts w:ascii="Times New Roman" w:hAnsi="Times New Roman"/>
          <w:sz w:val="24"/>
          <w:szCs w:val="24"/>
          <w:lang w:val="sr-Cyrl-CS"/>
        </w:rPr>
        <w:t xml:space="preserve"> позитивни</w:t>
      </w:r>
      <w:r w:rsidR="001A38B7" w:rsidRPr="00797E29">
        <w:rPr>
          <w:rFonts w:ascii="Times New Roman" w:hAnsi="Times New Roman"/>
          <w:sz w:val="24"/>
          <w:szCs w:val="24"/>
          <w:lang w:val="sr-Cyrl-CS"/>
        </w:rPr>
        <w:t>м</w:t>
      </w:r>
      <w:r w:rsidRPr="00797E29">
        <w:rPr>
          <w:rFonts w:ascii="Times New Roman" w:hAnsi="Times New Roman"/>
          <w:sz w:val="24"/>
          <w:szCs w:val="24"/>
          <w:lang w:val="sr-Cyrl-CS"/>
        </w:rPr>
        <w:t xml:space="preserve"> прописима,  капитални добитак је укључен у опорезиву добит, а не опорезује се посебним порезом, па тако има утицај на избегавање плаћања пореза на добит правних лица. Уколико је намера предузећа искључиво да умањи своју пореску обавезу радиће се о </w:t>
      </w:r>
      <w:r w:rsidR="001918C5" w:rsidRPr="00797E29">
        <w:rPr>
          <w:rFonts w:ascii="Times New Roman" w:hAnsi="Times New Roman"/>
          <w:sz w:val="24"/>
          <w:szCs w:val="24"/>
          <w:lang w:val="sr-Cyrl-CS"/>
        </w:rPr>
        <w:t>не</w:t>
      </w:r>
      <w:r w:rsidRPr="00797E29">
        <w:rPr>
          <w:rFonts w:ascii="Times New Roman" w:hAnsi="Times New Roman"/>
          <w:sz w:val="24"/>
          <w:szCs w:val="24"/>
          <w:lang w:val="sr-Cyrl-CS"/>
        </w:rPr>
        <w:t xml:space="preserve">прихватљивој законској пореској евазији, а уколико мотив нису разлози искључиво лукративне природе радиће се о прихватљивој законској пореској евазији. </w:t>
      </w:r>
    </w:p>
    <w:p w:rsidR="0009739D" w:rsidRPr="00797E29" w:rsidRDefault="00B22FEB" w:rsidP="00797E29">
      <w:pPr>
        <w:ind w:firstLine="708"/>
        <w:jc w:val="both"/>
        <w:rPr>
          <w:rFonts w:ascii="Times New Roman" w:hAnsi="Times New Roman"/>
          <w:sz w:val="24"/>
          <w:szCs w:val="24"/>
          <w:lang w:val="sr-Cyrl-CS"/>
        </w:rPr>
      </w:pPr>
      <w:r w:rsidRPr="00797E29">
        <w:rPr>
          <w:rFonts w:ascii="Times New Roman" w:hAnsi="Times New Roman"/>
          <w:sz w:val="24"/>
          <w:szCs w:val="24"/>
          <w:lang w:val="sr-Cyrl-CS"/>
        </w:rPr>
        <w:t xml:space="preserve">Законита пореска евазија се може остварити </w:t>
      </w:r>
      <w:r w:rsidR="00A9005D" w:rsidRPr="00797E29">
        <w:rPr>
          <w:rFonts w:ascii="Times New Roman" w:hAnsi="Times New Roman"/>
          <w:sz w:val="24"/>
          <w:szCs w:val="24"/>
          <w:lang w:val="sr-Cyrl-CS"/>
        </w:rPr>
        <w:t xml:space="preserve">када се </w:t>
      </w:r>
      <w:r w:rsidR="001A38B7" w:rsidRPr="00797E29">
        <w:rPr>
          <w:rFonts w:ascii="Times New Roman" w:hAnsi="Times New Roman"/>
          <w:sz w:val="24"/>
          <w:szCs w:val="24"/>
          <w:lang w:val="sr-Cyrl-CS"/>
        </w:rPr>
        <w:t>к</w:t>
      </w:r>
      <w:r w:rsidR="0009739D" w:rsidRPr="00797E29">
        <w:rPr>
          <w:rFonts w:ascii="Times New Roman" w:hAnsi="Times New Roman"/>
          <w:sz w:val="24"/>
          <w:szCs w:val="24"/>
        </w:rPr>
        <w:t>апитални</w:t>
      </w:r>
      <w:r w:rsidR="00A9005D" w:rsidRPr="00797E29">
        <w:rPr>
          <w:rFonts w:ascii="Times New Roman" w:hAnsi="Times New Roman"/>
          <w:sz w:val="24"/>
          <w:szCs w:val="24"/>
        </w:rPr>
        <w:t xml:space="preserve"> </w:t>
      </w:r>
      <w:r w:rsidR="0009739D" w:rsidRPr="00797E29">
        <w:rPr>
          <w:rFonts w:ascii="Times New Roman" w:hAnsi="Times New Roman"/>
          <w:sz w:val="24"/>
          <w:szCs w:val="24"/>
        </w:rPr>
        <w:t>губитак</w:t>
      </w:r>
      <w:r w:rsidR="00A9005D" w:rsidRPr="00797E29">
        <w:rPr>
          <w:rFonts w:ascii="Times New Roman" w:hAnsi="Times New Roman"/>
          <w:sz w:val="24"/>
          <w:szCs w:val="24"/>
        </w:rPr>
        <w:t xml:space="preserve"> </w:t>
      </w:r>
      <w:r w:rsidR="0009739D" w:rsidRPr="00797E29">
        <w:rPr>
          <w:rFonts w:ascii="Times New Roman" w:hAnsi="Times New Roman"/>
          <w:sz w:val="24"/>
          <w:szCs w:val="24"/>
        </w:rPr>
        <w:t>остварен</w:t>
      </w:r>
      <w:r w:rsidR="00A9005D" w:rsidRPr="00797E29">
        <w:rPr>
          <w:rFonts w:ascii="Times New Roman" w:hAnsi="Times New Roman"/>
          <w:sz w:val="24"/>
          <w:szCs w:val="24"/>
        </w:rPr>
        <w:t xml:space="preserve"> </w:t>
      </w:r>
      <w:r w:rsidR="0009739D" w:rsidRPr="00797E29">
        <w:rPr>
          <w:rFonts w:ascii="Times New Roman" w:hAnsi="Times New Roman"/>
          <w:sz w:val="24"/>
          <w:szCs w:val="24"/>
        </w:rPr>
        <w:t>при</w:t>
      </w:r>
      <w:r w:rsidR="00A9005D" w:rsidRPr="00797E29">
        <w:rPr>
          <w:rFonts w:ascii="Times New Roman" w:hAnsi="Times New Roman"/>
          <w:sz w:val="24"/>
          <w:szCs w:val="24"/>
        </w:rPr>
        <w:t xml:space="preserve"> </w:t>
      </w:r>
      <w:r w:rsidR="0009739D" w:rsidRPr="00797E29">
        <w:rPr>
          <w:rFonts w:ascii="Times New Roman" w:hAnsi="Times New Roman"/>
          <w:sz w:val="24"/>
          <w:szCs w:val="24"/>
        </w:rPr>
        <w:t>продаји</w:t>
      </w:r>
      <w:r w:rsidR="00A9005D" w:rsidRPr="00797E29">
        <w:rPr>
          <w:rFonts w:ascii="Times New Roman" w:hAnsi="Times New Roman"/>
          <w:sz w:val="24"/>
          <w:szCs w:val="24"/>
        </w:rPr>
        <w:t xml:space="preserve"> </w:t>
      </w:r>
      <w:r w:rsidR="0009739D" w:rsidRPr="00797E29">
        <w:rPr>
          <w:rFonts w:ascii="Times New Roman" w:hAnsi="Times New Roman"/>
          <w:sz w:val="24"/>
          <w:szCs w:val="24"/>
        </w:rPr>
        <w:t>једног</w:t>
      </w:r>
      <w:r w:rsidR="00A9005D" w:rsidRPr="00797E29">
        <w:rPr>
          <w:rFonts w:ascii="Times New Roman" w:hAnsi="Times New Roman"/>
          <w:sz w:val="24"/>
          <w:szCs w:val="24"/>
        </w:rPr>
        <w:t xml:space="preserve"> </w:t>
      </w:r>
      <w:r w:rsidR="0009739D" w:rsidRPr="00797E29">
        <w:rPr>
          <w:rFonts w:ascii="Times New Roman" w:hAnsi="Times New Roman"/>
          <w:sz w:val="24"/>
          <w:szCs w:val="24"/>
        </w:rPr>
        <w:t>права</w:t>
      </w:r>
      <w:r w:rsidR="00A9005D" w:rsidRPr="00797E29">
        <w:rPr>
          <w:rFonts w:ascii="Times New Roman" w:hAnsi="Times New Roman"/>
          <w:sz w:val="24"/>
          <w:szCs w:val="24"/>
        </w:rPr>
        <w:t xml:space="preserve"> </w:t>
      </w:r>
      <w:r w:rsidR="0009739D" w:rsidRPr="00797E29">
        <w:rPr>
          <w:rFonts w:ascii="Times New Roman" w:hAnsi="Times New Roman"/>
          <w:sz w:val="24"/>
          <w:szCs w:val="24"/>
        </w:rPr>
        <w:t>из</w:t>
      </w:r>
      <w:r w:rsidR="00A9005D" w:rsidRPr="00797E29">
        <w:rPr>
          <w:rFonts w:ascii="Times New Roman" w:hAnsi="Times New Roman"/>
          <w:sz w:val="24"/>
          <w:szCs w:val="24"/>
        </w:rPr>
        <w:t xml:space="preserve"> </w:t>
      </w:r>
      <w:r w:rsidR="0009739D" w:rsidRPr="00797E29">
        <w:rPr>
          <w:rFonts w:ascii="Times New Roman" w:hAnsi="Times New Roman"/>
          <w:sz w:val="24"/>
          <w:szCs w:val="24"/>
        </w:rPr>
        <w:t>имовине</w:t>
      </w:r>
      <w:r w:rsidR="00A9005D" w:rsidRPr="00797E29">
        <w:rPr>
          <w:rFonts w:ascii="Times New Roman" w:hAnsi="Times New Roman"/>
          <w:sz w:val="24"/>
          <w:szCs w:val="24"/>
        </w:rPr>
        <w:t xml:space="preserve"> </w:t>
      </w:r>
      <w:r w:rsidR="001A38B7" w:rsidRPr="00797E29">
        <w:rPr>
          <w:rFonts w:ascii="Times New Roman" w:hAnsi="Times New Roman"/>
          <w:sz w:val="24"/>
          <w:szCs w:val="24"/>
        </w:rPr>
        <w:t>преб</w:t>
      </w:r>
      <w:r w:rsidR="0009739D" w:rsidRPr="00797E29">
        <w:rPr>
          <w:rFonts w:ascii="Times New Roman" w:hAnsi="Times New Roman"/>
          <w:sz w:val="24"/>
          <w:szCs w:val="24"/>
        </w:rPr>
        <w:t>и</w:t>
      </w:r>
      <w:r w:rsidR="00A9005D" w:rsidRPr="00797E29">
        <w:rPr>
          <w:rFonts w:ascii="Times New Roman" w:hAnsi="Times New Roman"/>
          <w:sz w:val="24"/>
          <w:szCs w:val="24"/>
          <w:lang w:val="sr-Cyrl-CS"/>
        </w:rPr>
        <w:t>је</w:t>
      </w:r>
      <w:r w:rsidR="00A9005D" w:rsidRPr="00797E29">
        <w:rPr>
          <w:rFonts w:ascii="Times New Roman" w:hAnsi="Times New Roman"/>
          <w:sz w:val="24"/>
          <w:szCs w:val="24"/>
        </w:rPr>
        <w:t xml:space="preserve"> </w:t>
      </w:r>
      <w:r w:rsidR="0009739D" w:rsidRPr="00797E29">
        <w:rPr>
          <w:rFonts w:ascii="Times New Roman" w:hAnsi="Times New Roman"/>
          <w:sz w:val="24"/>
          <w:szCs w:val="24"/>
        </w:rPr>
        <w:t>са</w:t>
      </w:r>
      <w:r w:rsidR="00A9005D" w:rsidRPr="00797E29">
        <w:rPr>
          <w:rFonts w:ascii="Times New Roman" w:hAnsi="Times New Roman"/>
          <w:sz w:val="24"/>
          <w:szCs w:val="24"/>
        </w:rPr>
        <w:t xml:space="preserve"> </w:t>
      </w:r>
      <w:r w:rsidR="0009739D" w:rsidRPr="00797E29">
        <w:rPr>
          <w:rFonts w:ascii="Times New Roman" w:hAnsi="Times New Roman"/>
          <w:sz w:val="24"/>
          <w:szCs w:val="24"/>
        </w:rPr>
        <w:t>капиталним</w:t>
      </w:r>
      <w:r w:rsidR="00A9005D" w:rsidRPr="00797E29">
        <w:rPr>
          <w:rFonts w:ascii="Times New Roman" w:hAnsi="Times New Roman"/>
          <w:sz w:val="24"/>
          <w:szCs w:val="24"/>
        </w:rPr>
        <w:t xml:space="preserve"> </w:t>
      </w:r>
      <w:r w:rsidR="0009739D" w:rsidRPr="00797E29">
        <w:rPr>
          <w:rFonts w:ascii="Times New Roman" w:hAnsi="Times New Roman"/>
          <w:sz w:val="24"/>
          <w:szCs w:val="24"/>
        </w:rPr>
        <w:t>добитком</w:t>
      </w:r>
      <w:r w:rsidR="00A9005D" w:rsidRPr="00797E29">
        <w:rPr>
          <w:rFonts w:ascii="Times New Roman" w:hAnsi="Times New Roman"/>
          <w:sz w:val="24"/>
          <w:szCs w:val="24"/>
        </w:rPr>
        <w:t xml:space="preserve"> </w:t>
      </w:r>
      <w:r w:rsidR="0009739D" w:rsidRPr="00797E29">
        <w:rPr>
          <w:rFonts w:ascii="Times New Roman" w:hAnsi="Times New Roman"/>
          <w:sz w:val="24"/>
          <w:szCs w:val="24"/>
        </w:rPr>
        <w:t>оствареним</w:t>
      </w:r>
      <w:r w:rsidR="00A9005D" w:rsidRPr="00797E29">
        <w:rPr>
          <w:rFonts w:ascii="Times New Roman" w:hAnsi="Times New Roman"/>
          <w:sz w:val="24"/>
          <w:szCs w:val="24"/>
        </w:rPr>
        <w:t xml:space="preserve"> </w:t>
      </w:r>
      <w:r w:rsidR="0009739D" w:rsidRPr="00797E29">
        <w:rPr>
          <w:rFonts w:ascii="Times New Roman" w:hAnsi="Times New Roman"/>
          <w:sz w:val="24"/>
          <w:szCs w:val="24"/>
        </w:rPr>
        <w:t>при</w:t>
      </w:r>
      <w:r w:rsidR="00A9005D" w:rsidRPr="00797E29">
        <w:rPr>
          <w:rFonts w:ascii="Times New Roman" w:hAnsi="Times New Roman"/>
          <w:sz w:val="24"/>
          <w:szCs w:val="24"/>
        </w:rPr>
        <w:t xml:space="preserve"> </w:t>
      </w:r>
      <w:r w:rsidR="0009739D" w:rsidRPr="00797E29">
        <w:rPr>
          <w:rFonts w:ascii="Times New Roman" w:hAnsi="Times New Roman"/>
          <w:sz w:val="24"/>
          <w:szCs w:val="24"/>
        </w:rPr>
        <w:t>продаји</w:t>
      </w:r>
      <w:r w:rsidR="00A9005D" w:rsidRPr="00797E29">
        <w:rPr>
          <w:rFonts w:ascii="Times New Roman" w:hAnsi="Times New Roman"/>
          <w:sz w:val="24"/>
          <w:szCs w:val="24"/>
        </w:rPr>
        <w:t xml:space="preserve"> </w:t>
      </w:r>
      <w:r w:rsidR="0009739D" w:rsidRPr="00797E29">
        <w:rPr>
          <w:rFonts w:ascii="Times New Roman" w:hAnsi="Times New Roman"/>
          <w:sz w:val="24"/>
          <w:szCs w:val="24"/>
        </w:rPr>
        <w:t>другог</w:t>
      </w:r>
      <w:r w:rsidR="00A9005D" w:rsidRPr="00797E29">
        <w:rPr>
          <w:rFonts w:ascii="Times New Roman" w:hAnsi="Times New Roman"/>
          <w:sz w:val="24"/>
          <w:szCs w:val="24"/>
        </w:rPr>
        <w:t xml:space="preserve"> </w:t>
      </w:r>
      <w:r w:rsidR="0009739D" w:rsidRPr="00797E29">
        <w:rPr>
          <w:rFonts w:ascii="Times New Roman" w:hAnsi="Times New Roman"/>
          <w:sz w:val="24"/>
          <w:szCs w:val="24"/>
        </w:rPr>
        <w:t>права</w:t>
      </w:r>
      <w:r w:rsidR="00A9005D" w:rsidRPr="00797E29">
        <w:rPr>
          <w:rFonts w:ascii="Times New Roman" w:hAnsi="Times New Roman"/>
          <w:sz w:val="24"/>
          <w:szCs w:val="24"/>
        </w:rPr>
        <w:t xml:space="preserve"> </w:t>
      </w:r>
      <w:r w:rsidR="0009739D" w:rsidRPr="00797E29">
        <w:rPr>
          <w:rFonts w:ascii="Times New Roman" w:hAnsi="Times New Roman"/>
          <w:sz w:val="24"/>
          <w:szCs w:val="24"/>
        </w:rPr>
        <w:t>из</w:t>
      </w:r>
      <w:r w:rsidR="00A9005D" w:rsidRPr="00797E29">
        <w:rPr>
          <w:rFonts w:ascii="Times New Roman" w:hAnsi="Times New Roman"/>
          <w:sz w:val="24"/>
          <w:szCs w:val="24"/>
        </w:rPr>
        <w:t xml:space="preserve"> </w:t>
      </w:r>
      <w:r w:rsidR="0009739D" w:rsidRPr="00797E29">
        <w:rPr>
          <w:rFonts w:ascii="Times New Roman" w:hAnsi="Times New Roman"/>
          <w:sz w:val="24"/>
          <w:szCs w:val="24"/>
        </w:rPr>
        <w:t>имовине</w:t>
      </w:r>
      <w:r w:rsidR="00A9005D" w:rsidRPr="00797E29">
        <w:rPr>
          <w:rFonts w:ascii="Times New Roman" w:hAnsi="Times New Roman"/>
          <w:sz w:val="24"/>
          <w:szCs w:val="24"/>
        </w:rPr>
        <w:t xml:space="preserve"> </w:t>
      </w:r>
      <w:r w:rsidR="0009739D" w:rsidRPr="00797E29">
        <w:rPr>
          <w:rFonts w:ascii="Times New Roman" w:hAnsi="Times New Roman"/>
          <w:sz w:val="24"/>
          <w:szCs w:val="24"/>
        </w:rPr>
        <w:t>у</w:t>
      </w:r>
      <w:r w:rsidR="00A9005D" w:rsidRPr="00797E29">
        <w:rPr>
          <w:rFonts w:ascii="Times New Roman" w:hAnsi="Times New Roman"/>
          <w:sz w:val="24"/>
          <w:szCs w:val="24"/>
        </w:rPr>
        <w:t xml:space="preserve"> </w:t>
      </w:r>
      <w:r w:rsidR="0009739D" w:rsidRPr="00797E29">
        <w:rPr>
          <w:rFonts w:ascii="Times New Roman" w:hAnsi="Times New Roman"/>
          <w:sz w:val="24"/>
          <w:szCs w:val="24"/>
        </w:rPr>
        <w:t>истој</w:t>
      </w:r>
      <w:r w:rsidR="00A9005D" w:rsidRPr="00797E29">
        <w:rPr>
          <w:rFonts w:ascii="Times New Roman" w:hAnsi="Times New Roman"/>
          <w:sz w:val="24"/>
          <w:szCs w:val="24"/>
        </w:rPr>
        <w:t xml:space="preserve"> </w:t>
      </w:r>
      <w:r w:rsidR="0009739D" w:rsidRPr="00797E29">
        <w:rPr>
          <w:rFonts w:ascii="Times New Roman" w:hAnsi="Times New Roman"/>
          <w:sz w:val="24"/>
          <w:szCs w:val="24"/>
        </w:rPr>
        <w:t>години</w:t>
      </w:r>
      <w:r w:rsidR="00A9005D" w:rsidRPr="00797E29">
        <w:rPr>
          <w:rFonts w:ascii="Times New Roman" w:hAnsi="Times New Roman"/>
          <w:sz w:val="24"/>
          <w:szCs w:val="24"/>
        </w:rPr>
        <w:t>.</w:t>
      </w:r>
      <w:r w:rsidR="00A9005D" w:rsidRPr="00797E29">
        <w:rPr>
          <w:rFonts w:ascii="Times New Roman" w:hAnsi="Times New Roman"/>
          <w:sz w:val="24"/>
          <w:szCs w:val="24"/>
          <w:lang w:val="sr-Cyrl-CS"/>
        </w:rPr>
        <w:t xml:space="preserve"> </w:t>
      </w:r>
      <w:r w:rsidR="0009739D" w:rsidRPr="00797E29">
        <w:rPr>
          <w:rFonts w:ascii="Times New Roman" w:hAnsi="Times New Roman"/>
          <w:sz w:val="24"/>
          <w:szCs w:val="24"/>
        </w:rPr>
        <w:t>Ако</w:t>
      </w:r>
      <w:r w:rsidR="00A9005D" w:rsidRPr="00797E29">
        <w:rPr>
          <w:rFonts w:ascii="Times New Roman" w:hAnsi="Times New Roman"/>
          <w:sz w:val="24"/>
          <w:szCs w:val="24"/>
        </w:rPr>
        <w:t xml:space="preserve"> </w:t>
      </w:r>
      <w:r w:rsidR="0009739D" w:rsidRPr="00797E29">
        <w:rPr>
          <w:rFonts w:ascii="Times New Roman" w:hAnsi="Times New Roman"/>
          <w:sz w:val="24"/>
          <w:szCs w:val="24"/>
        </w:rPr>
        <w:t>се</w:t>
      </w:r>
      <w:r w:rsidR="00A9005D" w:rsidRPr="00797E29">
        <w:rPr>
          <w:rFonts w:ascii="Times New Roman" w:hAnsi="Times New Roman"/>
          <w:sz w:val="24"/>
          <w:szCs w:val="24"/>
        </w:rPr>
        <w:t xml:space="preserve"> </w:t>
      </w:r>
      <w:r w:rsidR="0009739D" w:rsidRPr="00797E29">
        <w:rPr>
          <w:rFonts w:ascii="Times New Roman" w:hAnsi="Times New Roman"/>
          <w:sz w:val="24"/>
          <w:szCs w:val="24"/>
        </w:rPr>
        <w:t>и</w:t>
      </w:r>
      <w:r w:rsidR="00A9005D" w:rsidRPr="00797E29">
        <w:rPr>
          <w:rFonts w:ascii="Times New Roman" w:hAnsi="Times New Roman"/>
          <w:sz w:val="24"/>
          <w:szCs w:val="24"/>
        </w:rPr>
        <w:t xml:space="preserve"> </w:t>
      </w:r>
      <w:r w:rsidR="0009739D" w:rsidRPr="00797E29">
        <w:rPr>
          <w:rFonts w:ascii="Times New Roman" w:hAnsi="Times New Roman"/>
          <w:sz w:val="24"/>
          <w:szCs w:val="24"/>
        </w:rPr>
        <w:t>после</w:t>
      </w:r>
      <w:r w:rsidR="00A9005D" w:rsidRPr="00797E29">
        <w:rPr>
          <w:rFonts w:ascii="Times New Roman" w:hAnsi="Times New Roman"/>
          <w:sz w:val="24"/>
          <w:szCs w:val="24"/>
        </w:rPr>
        <w:t xml:space="preserve"> </w:t>
      </w:r>
      <w:r w:rsidR="001A38B7" w:rsidRPr="00797E29">
        <w:rPr>
          <w:rFonts w:ascii="Times New Roman" w:hAnsi="Times New Roman"/>
          <w:sz w:val="24"/>
          <w:szCs w:val="24"/>
          <w:lang w:val="sr-Cyrl-CS"/>
        </w:rPr>
        <w:t xml:space="preserve">оваквог </w:t>
      </w:r>
      <w:r w:rsidR="0009739D" w:rsidRPr="00797E29">
        <w:rPr>
          <w:rFonts w:ascii="Times New Roman" w:hAnsi="Times New Roman"/>
          <w:sz w:val="24"/>
          <w:szCs w:val="24"/>
        </w:rPr>
        <w:t>пребијања</w:t>
      </w:r>
      <w:r w:rsidR="00A9005D" w:rsidRPr="00797E29">
        <w:rPr>
          <w:rFonts w:ascii="Times New Roman" w:hAnsi="Times New Roman"/>
          <w:sz w:val="24"/>
          <w:szCs w:val="24"/>
        </w:rPr>
        <w:t xml:space="preserve"> </w:t>
      </w:r>
      <w:r w:rsidR="0009739D" w:rsidRPr="00797E29">
        <w:rPr>
          <w:rFonts w:ascii="Times New Roman" w:hAnsi="Times New Roman"/>
          <w:sz w:val="24"/>
          <w:szCs w:val="24"/>
        </w:rPr>
        <w:t>искаже</w:t>
      </w:r>
      <w:r w:rsidR="00A9005D" w:rsidRPr="00797E29">
        <w:rPr>
          <w:rFonts w:ascii="Times New Roman" w:hAnsi="Times New Roman"/>
          <w:sz w:val="24"/>
          <w:szCs w:val="24"/>
        </w:rPr>
        <w:t xml:space="preserve"> </w:t>
      </w:r>
      <w:r w:rsidR="0009739D" w:rsidRPr="00797E29">
        <w:rPr>
          <w:rFonts w:ascii="Times New Roman" w:hAnsi="Times New Roman"/>
          <w:sz w:val="24"/>
          <w:szCs w:val="24"/>
        </w:rPr>
        <w:t>капитални</w:t>
      </w:r>
      <w:r w:rsidR="00A9005D" w:rsidRPr="00797E29">
        <w:rPr>
          <w:rFonts w:ascii="Times New Roman" w:hAnsi="Times New Roman"/>
          <w:sz w:val="24"/>
          <w:szCs w:val="24"/>
        </w:rPr>
        <w:t xml:space="preserve"> </w:t>
      </w:r>
      <w:r w:rsidR="0009739D" w:rsidRPr="00797E29">
        <w:rPr>
          <w:rFonts w:ascii="Times New Roman" w:hAnsi="Times New Roman"/>
          <w:sz w:val="24"/>
          <w:szCs w:val="24"/>
        </w:rPr>
        <w:t>губитак</w:t>
      </w:r>
      <w:r w:rsidR="00A9005D" w:rsidRPr="00797E29">
        <w:rPr>
          <w:rFonts w:ascii="Times New Roman" w:hAnsi="Times New Roman"/>
          <w:sz w:val="24"/>
          <w:szCs w:val="24"/>
        </w:rPr>
        <w:t xml:space="preserve">, </w:t>
      </w:r>
      <w:r w:rsidR="0009739D" w:rsidRPr="00797E29">
        <w:rPr>
          <w:rFonts w:ascii="Times New Roman" w:hAnsi="Times New Roman"/>
          <w:sz w:val="24"/>
          <w:szCs w:val="24"/>
        </w:rPr>
        <w:t>допуштено</w:t>
      </w:r>
      <w:r w:rsidR="00A9005D" w:rsidRPr="00797E29">
        <w:rPr>
          <w:rFonts w:ascii="Times New Roman" w:hAnsi="Times New Roman"/>
          <w:sz w:val="24"/>
          <w:szCs w:val="24"/>
        </w:rPr>
        <w:t xml:space="preserve"> </w:t>
      </w:r>
      <w:r w:rsidR="0009739D" w:rsidRPr="00797E29">
        <w:rPr>
          <w:rFonts w:ascii="Times New Roman" w:hAnsi="Times New Roman"/>
          <w:sz w:val="24"/>
          <w:szCs w:val="24"/>
        </w:rPr>
        <w:t>је</w:t>
      </w:r>
      <w:r w:rsidR="00A9005D" w:rsidRPr="00797E29">
        <w:rPr>
          <w:rFonts w:ascii="Times New Roman" w:hAnsi="Times New Roman"/>
          <w:sz w:val="24"/>
          <w:szCs w:val="24"/>
        </w:rPr>
        <w:t xml:space="preserve"> </w:t>
      </w:r>
      <w:r w:rsidR="0009739D" w:rsidRPr="00797E29">
        <w:rPr>
          <w:rFonts w:ascii="Times New Roman" w:hAnsi="Times New Roman"/>
          <w:sz w:val="24"/>
          <w:szCs w:val="24"/>
        </w:rPr>
        <w:t>његово</w:t>
      </w:r>
      <w:r w:rsidR="00A9005D" w:rsidRPr="00797E29">
        <w:rPr>
          <w:rFonts w:ascii="Times New Roman" w:hAnsi="Times New Roman"/>
          <w:sz w:val="24"/>
          <w:szCs w:val="24"/>
        </w:rPr>
        <w:t xml:space="preserve"> </w:t>
      </w:r>
      <w:r w:rsidR="0009739D" w:rsidRPr="00797E29">
        <w:rPr>
          <w:rFonts w:ascii="Times New Roman" w:hAnsi="Times New Roman"/>
          <w:sz w:val="24"/>
          <w:szCs w:val="24"/>
        </w:rPr>
        <w:t>пребијање</w:t>
      </w:r>
      <w:r w:rsidR="00A9005D" w:rsidRPr="00797E29">
        <w:rPr>
          <w:rFonts w:ascii="Times New Roman" w:hAnsi="Times New Roman"/>
          <w:sz w:val="24"/>
          <w:szCs w:val="24"/>
        </w:rPr>
        <w:t xml:space="preserve"> </w:t>
      </w:r>
      <w:r w:rsidR="0009739D" w:rsidRPr="00797E29">
        <w:rPr>
          <w:rFonts w:ascii="Times New Roman" w:hAnsi="Times New Roman"/>
          <w:sz w:val="24"/>
          <w:szCs w:val="24"/>
        </w:rPr>
        <w:t>на</w:t>
      </w:r>
      <w:r w:rsidR="00A9005D" w:rsidRPr="00797E29">
        <w:rPr>
          <w:rFonts w:ascii="Times New Roman" w:hAnsi="Times New Roman"/>
          <w:sz w:val="24"/>
          <w:szCs w:val="24"/>
        </w:rPr>
        <w:t xml:space="preserve"> </w:t>
      </w:r>
      <w:r w:rsidR="0009739D" w:rsidRPr="00797E29">
        <w:rPr>
          <w:rFonts w:ascii="Times New Roman" w:hAnsi="Times New Roman"/>
          <w:sz w:val="24"/>
          <w:szCs w:val="24"/>
        </w:rPr>
        <w:t>рачун</w:t>
      </w:r>
      <w:r w:rsidR="00A9005D" w:rsidRPr="00797E29">
        <w:rPr>
          <w:rFonts w:ascii="Times New Roman" w:hAnsi="Times New Roman"/>
          <w:sz w:val="24"/>
          <w:szCs w:val="24"/>
        </w:rPr>
        <w:t xml:space="preserve"> </w:t>
      </w:r>
      <w:r w:rsidR="0009739D" w:rsidRPr="00797E29">
        <w:rPr>
          <w:rFonts w:ascii="Times New Roman" w:hAnsi="Times New Roman"/>
          <w:sz w:val="24"/>
          <w:szCs w:val="24"/>
        </w:rPr>
        <w:t>будућих</w:t>
      </w:r>
      <w:r w:rsidR="00A9005D" w:rsidRPr="00797E29">
        <w:rPr>
          <w:rFonts w:ascii="Times New Roman" w:hAnsi="Times New Roman"/>
          <w:sz w:val="24"/>
          <w:szCs w:val="24"/>
        </w:rPr>
        <w:t xml:space="preserve"> </w:t>
      </w:r>
      <w:r w:rsidR="0009739D" w:rsidRPr="00797E29">
        <w:rPr>
          <w:rFonts w:ascii="Times New Roman" w:hAnsi="Times New Roman"/>
          <w:sz w:val="24"/>
          <w:szCs w:val="24"/>
        </w:rPr>
        <w:t>капиталних</w:t>
      </w:r>
      <w:r w:rsidR="00A9005D" w:rsidRPr="00797E29">
        <w:rPr>
          <w:rFonts w:ascii="Times New Roman" w:hAnsi="Times New Roman"/>
          <w:sz w:val="24"/>
          <w:szCs w:val="24"/>
        </w:rPr>
        <w:t xml:space="preserve"> </w:t>
      </w:r>
      <w:r w:rsidR="0009739D" w:rsidRPr="00797E29">
        <w:rPr>
          <w:rFonts w:ascii="Times New Roman" w:hAnsi="Times New Roman"/>
          <w:sz w:val="24"/>
          <w:szCs w:val="24"/>
        </w:rPr>
        <w:t>добитака</w:t>
      </w:r>
      <w:r w:rsidR="00A9005D" w:rsidRPr="00797E29">
        <w:rPr>
          <w:rFonts w:ascii="Times New Roman" w:hAnsi="Times New Roman"/>
          <w:sz w:val="24"/>
          <w:szCs w:val="24"/>
        </w:rPr>
        <w:t xml:space="preserve"> </w:t>
      </w:r>
      <w:r w:rsidR="0009739D" w:rsidRPr="00797E29">
        <w:rPr>
          <w:rFonts w:ascii="Times New Roman" w:hAnsi="Times New Roman"/>
          <w:sz w:val="24"/>
          <w:szCs w:val="24"/>
        </w:rPr>
        <w:t>у</w:t>
      </w:r>
      <w:r w:rsidR="00A9005D" w:rsidRPr="00797E29">
        <w:rPr>
          <w:rFonts w:ascii="Times New Roman" w:hAnsi="Times New Roman"/>
          <w:sz w:val="24"/>
          <w:szCs w:val="24"/>
        </w:rPr>
        <w:t xml:space="preserve"> </w:t>
      </w:r>
      <w:r w:rsidR="0009739D" w:rsidRPr="00797E29">
        <w:rPr>
          <w:rFonts w:ascii="Times New Roman" w:hAnsi="Times New Roman"/>
          <w:sz w:val="24"/>
          <w:szCs w:val="24"/>
        </w:rPr>
        <w:t>наредних</w:t>
      </w:r>
      <w:r w:rsidR="00A9005D" w:rsidRPr="00797E29">
        <w:rPr>
          <w:rFonts w:ascii="Times New Roman" w:hAnsi="Times New Roman"/>
          <w:sz w:val="24"/>
          <w:szCs w:val="24"/>
        </w:rPr>
        <w:t xml:space="preserve"> </w:t>
      </w:r>
      <w:r w:rsidR="0009739D" w:rsidRPr="00797E29">
        <w:rPr>
          <w:rFonts w:ascii="Times New Roman" w:hAnsi="Times New Roman"/>
          <w:sz w:val="24"/>
          <w:szCs w:val="24"/>
        </w:rPr>
        <w:t>пет</w:t>
      </w:r>
      <w:r w:rsidR="00A9005D" w:rsidRPr="00797E29">
        <w:rPr>
          <w:rFonts w:ascii="Times New Roman" w:hAnsi="Times New Roman"/>
          <w:sz w:val="24"/>
          <w:szCs w:val="24"/>
        </w:rPr>
        <w:t xml:space="preserve"> </w:t>
      </w:r>
      <w:r w:rsidR="0009739D" w:rsidRPr="00797E29">
        <w:rPr>
          <w:rFonts w:ascii="Times New Roman" w:hAnsi="Times New Roman"/>
          <w:sz w:val="24"/>
          <w:szCs w:val="24"/>
        </w:rPr>
        <w:t>година</w:t>
      </w:r>
      <w:r w:rsidR="00A9005D" w:rsidRPr="00797E29">
        <w:rPr>
          <w:rFonts w:ascii="Times New Roman" w:hAnsi="Times New Roman"/>
          <w:sz w:val="24"/>
          <w:szCs w:val="24"/>
        </w:rPr>
        <w:t>.</w:t>
      </w:r>
      <w:r w:rsidR="00A9005D" w:rsidRPr="00797E29">
        <w:rPr>
          <w:rStyle w:val="FootnoteReference"/>
          <w:rFonts w:ascii="Times New Roman" w:hAnsi="Times New Roman"/>
          <w:color w:val="000000"/>
          <w:sz w:val="24"/>
          <w:szCs w:val="24"/>
        </w:rPr>
        <w:footnoteReference w:id="304"/>
      </w:r>
      <w:r w:rsidR="00A9005D" w:rsidRPr="00797E29">
        <w:rPr>
          <w:rFonts w:ascii="Times New Roman" w:hAnsi="Times New Roman"/>
          <w:sz w:val="24"/>
          <w:szCs w:val="24"/>
          <w:lang w:val="sr-Cyrl-CS"/>
        </w:rPr>
        <w:t xml:space="preserve"> Поновно исказивање капиталног губитка омогућава да се пореска евазија реализује у некој наредној пословној години, чиме утиче на будуће капиталне добитке.</w:t>
      </w:r>
    </w:p>
    <w:p w:rsidR="000E2D8D" w:rsidRPr="00797E29" w:rsidRDefault="00A9005D" w:rsidP="00797E29">
      <w:pPr>
        <w:ind w:firstLine="708"/>
        <w:jc w:val="both"/>
        <w:rPr>
          <w:rFonts w:ascii="Times New Roman" w:hAnsi="Times New Roman"/>
          <w:b/>
          <w:sz w:val="24"/>
          <w:szCs w:val="24"/>
          <w:lang w:val="sr-Cyrl-CS"/>
        </w:rPr>
      </w:pPr>
      <w:r w:rsidRPr="00797E29">
        <w:rPr>
          <w:rFonts w:ascii="Times New Roman" w:hAnsi="Times New Roman"/>
          <w:sz w:val="24"/>
          <w:szCs w:val="24"/>
          <w:lang w:val="sr-Cyrl-CS"/>
        </w:rPr>
        <w:t>Одлагање пореске обавезе је могуће и код статусних промена. Наиме, с</w:t>
      </w:r>
      <w:r w:rsidR="0009739D" w:rsidRPr="00797E29">
        <w:rPr>
          <w:rFonts w:ascii="Times New Roman" w:hAnsi="Times New Roman"/>
          <w:sz w:val="24"/>
          <w:szCs w:val="24"/>
        </w:rPr>
        <w:t>татусна</w:t>
      </w:r>
      <w:r w:rsidRPr="00797E29">
        <w:rPr>
          <w:rFonts w:ascii="Times New Roman" w:hAnsi="Times New Roman"/>
          <w:sz w:val="24"/>
          <w:szCs w:val="24"/>
        </w:rPr>
        <w:t xml:space="preserve"> </w:t>
      </w:r>
      <w:r w:rsidR="0009739D" w:rsidRPr="00797E29">
        <w:rPr>
          <w:rFonts w:ascii="Times New Roman" w:hAnsi="Times New Roman"/>
          <w:sz w:val="24"/>
          <w:szCs w:val="24"/>
        </w:rPr>
        <w:t>промена</w:t>
      </w:r>
      <w:r w:rsidRPr="00797E29">
        <w:rPr>
          <w:rFonts w:ascii="Times New Roman" w:hAnsi="Times New Roman"/>
          <w:sz w:val="24"/>
          <w:szCs w:val="24"/>
        </w:rPr>
        <w:t xml:space="preserve"> </w:t>
      </w:r>
      <w:r w:rsidR="0009739D" w:rsidRPr="00797E29">
        <w:rPr>
          <w:rFonts w:ascii="Times New Roman" w:hAnsi="Times New Roman"/>
          <w:sz w:val="24"/>
          <w:szCs w:val="24"/>
        </w:rPr>
        <w:t>резидентних</w:t>
      </w:r>
      <w:r w:rsidRPr="00797E29">
        <w:rPr>
          <w:rFonts w:ascii="Times New Roman" w:hAnsi="Times New Roman"/>
          <w:sz w:val="24"/>
          <w:szCs w:val="24"/>
        </w:rPr>
        <w:t xml:space="preserve"> </w:t>
      </w:r>
      <w:r w:rsidR="0009739D" w:rsidRPr="00797E29">
        <w:rPr>
          <w:rFonts w:ascii="Times New Roman" w:hAnsi="Times New Roman"/>
          <w:sz w:val="24"/>
          <w:szCs w:val="24"/>
        </w:rPr>
        <w:t>обвезника</w:t>
      </w:r>
      <w:r w:rsidRPr="00797E29">
        <w:rPr>
          <w:rFonts w:ascii="Times New Roman" w:hAnsi="Times New Roman"/>
          <w:sz w:val="24"/>
          <w:szCs w:val="24"/>
        </w:rPr>
        <w:t xml:space="preserve"> </w:t>
      </w:r>
      <w:r w:rsidR="0009739D" w:rsidRPr="00797E29">
        <w:rPr>
          <w:rFonts w:ascii="Times New Roman" w:hAnsi="Times New Roman"/>
          <w:sz w:val="24"/>
          <w:szCs w:val="24"/>
        </w:rPr>
        <w:t>извршена</w:t>
      </w:r>
      <w:r w:rsidRPr="00797E29">
        <w:rPr>
          <w:rFonts w:ascii="Times New Roman" w:hAnsi="Times New Roman"/>
          <w:sz w:val="24"/>
          <w:szCs w:val="24"/>
        </w:rPr>
        <w:t xml:space="preserve"> </w:t>
      </w:r>
      <w:r w:rsidR="0009739D" w:rsidRPr="00797E29">
        <w:rPr>
          <w:rFonts w:ascii="Times New Roman" w:hAnsi="Times New Roman"/>
          <w:sz w:val="24"/>
          <w:szCs w:val="24"/>
        </w:rPr>
        <w:t>у</w:t>
      </w:r>
      <w:r w:rsidRPr="00797E29">
        <w:rPr>
          <w:rFonts w:ascii="Times New Roman" w:hAnsi="Times New Roman"/>
          <w:sz w:val="24"/>
          <w:szCs w:val="24"/>
        </w:rPr>
        <w:t xml:space="preserve"> </w:t>
      </w:r>
      <w:r w:rsidR="0009739D" w:rsidRPr="00797E29">
        <w:rPr>
          <w:rFonts w:ascii="Times New Roman" w:hAnsi="Times New Roman"/>
          <w:sz w:val="24"/>
          <w:szCs w:val="24"/>
        </w:rPr>
        <w:t>складу</w:t>
      </w:r>
      <w:r w:rsidRPr="00797E29">
        <w:rPr>
          <w:rFonts w:ascii="Times New Roman" w:hAnsi="Times New Roman"/>
          <w:sz w:val="24"/>
          <w:szCs w:val="24"/>
        </w:rPr>
        <w:t xml:space="preserve"> </w:t>
      </w:r>
      <w:r w:rsidR="0009739D" w:rsidRPr="00797E29">
        <w:rPr>
          <w:rFonts w:ascii="Times New Roman" w:hAnsi="Times New Roman"/>
          <w:sz w:val="24"/>
          <w:szCs w:val="24"/>
        </w:rPr>
        <w:t>са</w:t>
      </w:r>
      <w:r w:rsidRPr="00797E29">
        <w:rPr>
          <w:rFonts w:ascii="Times New Roman" w:hAnsi="Times New Roman"/>
          <w:sz w:val="24"/>
          <w:szCs w:val="24"/>
        </w:rPr>
        <w:t xml:space="preserve"> </w:t>
      </w:r>
      <w:r w:rsidR="0009739D" w:rsidRPr="00797E29">
        <w:rPr>
          <w:rFonts w:ascii="Times New Roman" w:hAnsi="Times New Roman"/>
          <w:sz w:val="24"/>
          <w:szCs w:val="24"/>
        </w:rPr>
        <w:t>законом</w:t>
      </w:r>
      <w:r w:rsidRPr="00797E29">
        <w:rPr>
          <w:rFonts w:ascii="Times New Roman" w:hAnsi="Times New Roman"/>
          <w:sz w:val="24"/>
          <w:szCs w:val="24"/>
        </w:rPr>
        <w:t xml:space="preserve"> </w:t>
      </w:r>
      <w:r w:rsidR="0009739D" w:rsidRPr="00797E29">
        <w:rPr>
          <w:rFonts w:ascii="Times New Roman" w:hAnsi="Times New Roman"/>
          <w:sz w:val="24"/>
          <w:szCs w:val="24"/>
        </w:rPr>
        <w:t>којим</w:t>
      </w:r>
      <w:r w:rsidRPr="00797E29">
        <w:rPr>
          <w:rFonts w:ascii="Times New Roman" w:hAnsi="Times New Roman"/>
          <w:sz w:val="24"/>
          <w:szCs w:val="24"/>
        </w:rPr>
        <w:t xml:space="preserve"> </w:t>
      </w:r>
      <w:r w:rsidR="0009739D" w:rsidRPr="00797E29">
        <w:rPr>
          <w:rFonts w:ascii="Times New Roman" w:hAnsi="Times New Roman"/>
          <w:sz w:val="24"/>
          <w:szCs w:val="24"/>
        </w:rPr>
        <w:t>се</w:t>
      </w:r>
      <w:r w:rsidRPr="00797E29">
        <w:rPr>
          <w:rFonts w:ascii="Times New Roman" w:hAnsi="Times New Roman"/>
          <w:sz w:val="24"/>
          <w:szCs w:val="24"/>
        </w:rPr>
        <w:t xml:space="preserve"> </w:t>
      </w:r>
      <w:r w:rsidR="0009739D" w:rsidRPr="00797E29">
        <w:rPr>
          <w:rFonts w:ascii="Times New Roman" w:hAnsi="Times New Roman"/>
          <w:sz w:val="24"/>
          <w:szCs w:val="24"/>
        </w:rPr>
        <w:t>уређују</w:t>
      </w:r>
      <w:r w:rsidRPr="00797E29">
        <w:rPr>
          <w:rFonts w:ascii="Times New Roman" w:hAnsi="Times New Roman"/>
          <w:sz w:val="24"/>
          <w:szCs w:val="24"/>
        </w:rPr>
        <w:t xml:space="preserve"> </w:t>
      </w:r>
      <w:r w:rsidR="0009739D" w:rsidRPr="00797E29">
        <w:rPr>
          <w:rFonts w:ascii="Times New Roman" w:hAnsi="Times New Roman"/>
          <w:sz w:val="24"/>
          <w:szCs w:val="24"/>
        </w:rPr>
        <w:t>привредна</w:t>
      </w:r>
      <w:r w:rsidRPr="00797E29">
        <w:rPr>
          <w:rFonts w:ascii="Times New Roman" w:hAnsi="Times New Roman"/>
          <w:sz w:val="24"/>
          <w:szCs w:val="24"/>
        </w:rPr>
        <w:t xml:space="preserve"> </w:t>
      </w:r>
      <w:r w:rsidR="0009739D" w:rsidRPr="00797E29">
        <w:rPr>
          <w:rFonts w:ascii="Times New Roman" w:hAnsi="Times New Roman"/>
          <w:sz w:val="24"/>
          <w:szCs w:val="24"/>
        </w:rPr>
        <w:t>друштва</w:t>
      </w:r>
      <w:r w:rsidRPr="00797E29">
        <w:rPr>
          <w:rFonts w:ascii="Times New Roman" w:hAnsi="Times New Roman"/>
          <w:sz w:val="24"/>
          <w:szCs w:val="24"/>
          <w:lang w:val="sr-Cyrl-CS"/>
        </w:rPr>
        <w:t xml:space="preserve">, </w:t>
      </w:r>
      <w:r w:rsidR="0009739D" w:rsidRPr="00797E29">
        <w:rPr>
          <w:rFonts w:ascii="Times New Roman" w:hAnsi="Times New Roman"/>
          <w:sz w:val="24"/>
          <w:szCs w:val="24"/>
        </w:rPr>
        <w:t>одлаже</w:t>
      </w:r>
      <w:r w:rsidRPr="00797E29">
        <w:rPr>
          <w:rFonts w:ascii="Times New Roman" w:hAnsi="Times New Roman"/>
          <w:sz w:val="24"/>
          <w:szCs w:val="24"/>
        </w:rPr>
        <w:t xml:space="preserve"> </w:t>
      </w:r>
      <w:r w:rsidR="0009739D" w:rsidRPr="00797E29">
        <w:rPr>
          <w:rFonts w:ascii="Times New Roman" w:hAnsi="Times New Roman"/>
          <w:sz w:val="24"/>
          <w:szCs w:val="24"/>
        </w:rPr>
        <w:t>настанак</w:t>
      </w:r>
      <w:r w:rsidRPr="00797E29">
        <w:rPr>
          <w:rFonts w:ascii="Times New Roman" w:hAnsi="Times New Roman"/>
          <w:sz w:val="24"/>
          <w:szCs w:val="24"/>
        </w:rPr>
        <w:t xml:space="preserve"> </w:t>
      </w:r>
      <w:r w:rsidR="0009739D" w:rsidRPr="00797E29">
        <w:rPr>
          <w:rFonts w:ascii="Times New Roman" w:hAnsi="Times New Roman"/>
          <w:sz w:val="24"/>
          <w:szCs w:val="24"/>
        </w:rPr>
        <w:t>пореске</w:t>
      </w:r>
      <w:r w:rsidRPr="00797E29">
        <w:rPr>
          <w:rFonts w:ascii="Times New Roman" w:hAnsi="Times New Roman"/>
          <w:sz w:val="24"/>
          <w:szCs w:val="24"/>
        </w:rPr>
        <w:t xml:space="preserve"> </w:t>
      </w:r>
      <w:r w:rsidR="0009739D" w:rsidRPr="00797E29">
        <w:rPr>
          <w:rFonts w:ascii="Times New Roman" w:hAnsi="Times New Roman"/>
          <w:sz w:val="24"/>
          <w:szCs w:val="24"/>
        </w:rPr>
        <w:t>обавезе</w:t>
      </w:r>
      <w:r w:rsidRPr="00797E29">
        <w:rPr>
          <w:rFonts w:ascii="Times New Roman" w:hAnsi="Times New Roman"/>
          <w:sz w:val="24"/>
          <w:szCs w:val="24"/>
        </w:rPr>
        <w:t xml:space="preserve"> </w:t>
      </w:r>
      <w:r w:rsidR="0009739D" w:rsidRPr="00797E29">
        <w:rPr>
          <w:rFonts w:ascii="Times New Roman" w:hAnsi="Times New Roman"/>
          <w:sz w:val="24"/>
          <w:szCs w:val="24"/>
        </w:rPr>
        <w:t>по</w:t>
      </w:r>
      <w:r w:rsidRPr="00797E29">
        <w:rPr>
          <w:rFonts w:ascii="Times New Roman" w:hAnsi="Times New Roman"/>
          <w:sz w:val="24"/>
          <w:szCs w:val="24"/>
        </w:rPr>
        <w:t xml:space="preserve"> </w:t>
      </w:r>
      <w:r w:rsidR="0009739D" w:rsidRPr="00797E29">
        <w:rPr>
          <w:rFonts w:ascii="Times New Roman" w:hAnsi="Times New Roman"/>
          <w:sz w:val="24"/>
          <w:szCs w:val="24"/>
        </w:rPr>
        <w:t>основу</w:t>
      </w:r>
      <w:r w:rsidRPr="00797E29">
        <w:rPr>
          <w:rFonts w:ascii="Times New Roman" w:hAnsi="Times New Roman"/>
          <w:sz w:val="24"/>
          <w:szCs w:val="24"/>
        </w:rPr>
        <w:t xml:space="preserve"> </w:t>
      </w:r>
      <w:r w:rsidR="0009739D" w:rsidRPr="00797E29">
        <w:rPr>
          <w:rFonts w:ascii="Times New Roman" w:hAnsi="Times New Roman"/>
          <w:sz w:val="24"/>
          <w:szCs w:val="24"/>
        </w:rPr>
        <w:t>капиталних</w:t>
      </w:r>
      <w:r w:rsidRPr="00797E29">
        <w:rPr>
          <w:rFonts w:ascii="Times New Roman" w:hAnsi="Times New Roman"/>
          <w:sz w:val="24"/>
          <w:szCs w:val="24"/>
        </w:rPr>
        <w:t xml:space="preserve"> </w:t>
      </w:r>
      <w:r w:rsidR="0009739D" w:rsidRPr="00797E29">
        <w:rPr>
          <w:rFonts w:ascii="Times New Roman" w:hAnsi="Times New Roman"/>
          <w:sz w:val="24"/>
          <w:szCs w:val="24"/>
        </w:rPr>
        <w:t>добитака</w:t>
      </w:r>
      <w:r w:rsidRPr="00797E29">
        <w:rPr>
          <w:rFonts w:ascii="Times New Roman" w:hAnsi="Times New Roman"/>
          <w:sz w:val="24"/>
          <w:szCs w:val="24"/>
        </w:rPr>
        <w:t>.</w:t>
      </w:r>
      <w:r w:rsidRPr="00797E29">
        <w:rPr>
          <w:rFonts w:ascii="Times New Roman" w:hAnsi="Times New Roman"/>
          <w:sz w:val="24"/>
          <w:szCs w:val="24"/>
          <w:lang w:val="sr-Cyrl-CS"/>
        </w:rPr>
        <w:t xml:space="preserve"> У овом случају п</w:t>
      </w:r>
      <w:r w:rsidR="0009739D" w:rsidRPr="00797E29">
        <w:rPr>
          <w:rFonts w:ascii="Times New Roman" w:hAnsi="Times New Roman"/>
          <w:sz w:val="24"/>
          <w:szCs w:val="24"/>
        </w:rPr>
        <w:t>ореска</w:t>
      </w:r>
      <w:r w:rsidRPr="00797E29">
        <w:rPr>
          <w:rFonts w:ascii="Times New Roman" w:hAnsi="Times New Roman"/>
          <w:sz w:val="24"/>
          <w:szCs w:val="24"/>
        </w:rPr>
        <w:t xml:space="preserve"> </w:t>
      </w:r>
      <w:r w:rsidR="0009739D" w:rsidRPr="00797E29">
        <w:rPr>
          <w:rFonts w:ascii="Times New Roman" w:hAnsi="Times New Roman"/>
          <w:sz w:val="24"/>
          <w:szCs w:val="24"/>
        </w:rPr>
        <w:t>обавеза</w:t>
      </w:r>
      <w:r w:rsidRPr="00797E29">
        <w:rPr>
          <w:rFonts w:ascii="Times New Roman" w:hAnsi="Times New Roman"/>
          <w:sz w:val="24"/>
          <w:szCs w:val="24"/>
        </w:rPr>
        <w:t xml:space="preserve"> </w:t>
      </w:r>
      <w:r w:rsidR="0009739D" w:rsidRPr="00797E29">
        <w:rPr>
          <w:rFonts w:ascii="Times New Roman" w:hAnsi="Times New Roman"/>
          <w:sz w:val="24"/>
          <w:szCs w:val="24"/>
        </w:rPr>
        <w:t>по</w:t>
      </w:r>
      <w:r w:rsidRPr="00797E29">
        <w:rPr>
          <w:rFonts w:ascii="Times New Roman" w:hAnsi="Times New Roman"/>
          <w:sz w:val="24"/>
          <w:szCs w:val="24"/>
        </w:rPr>
        <w:t xml:space="preserve"> </w:t>
      </w:r>
      <w:r w:rsidR="0009739D" w:rsidRPr="00797E29">
        <w:rPr>
          <w:rFonts w:ascii="Times New Roman" w:hAnsi="Times New Roman"/>
          <w:sz w:val="24"/>
          <w:szCs w:val="24"/>
        </w:rPr>
        <w:t>основу</w:t>
      </w:r>
      <w:r w:rsidRPr="00797E29">
        <w:rPr>
          <w:rFonts w:ascii="Times New Roman" w:hAnsi="Times New Roman"/>
          <w:sz w:val="24"/>
          <w:szCs w:val="24"/>
        </w:rPr>
        <w:t xml:space="preserve"> </w:t>
      </w:r>
      <w:r w:rsidR="0009739D" w:rsidRPr="00797E29">
        <w:rPr>
          <w:rFonts w:ascii="Times New Roman" w:hAnsi="Times New Roman"/>
          <w:sz w:val="24"/>
          <w:szCs w:val="24"/>
        </w:rPr>
        <w:t>капиталних</w:t>
      </w:r>
      <w:r w:rsidRPr="00797E29">
        <w:rPr>
          <w:rFonts w:ascii="Times New Roman" w:hAnsi="Times New Roman"/>
          <w:sz w:val="24"/>
          <w:szCs w:val="24"/>
        </w:rPr>
        <w:t xml:space="preserve"> </w:t>
      </w:r>
      <w:r w:rsidR="0009739D" w:rsidRPr="00797E29">
        <w:rPr>
          <w:rFonts w:ascii="Times New Roman" w:hAnsi="Times New Roman"/>
          <w:sz w:val="24"/>
          <w:szCs w:val="24"/>
        </w:rPr>
        <w:t>добитака</w:t>
      </w:r>
      <w:r w:rsidRPr="00797E29">
        <w:rPr>
          <w:rFonts w:ascii="Times New Roman" w:hAnsi="Times New Roman"/>
          <w:sz w:val="24"/>
          <w:szCs w:val="24"/>
        </w:rPr>
        <w:t xml:space="preserve"> </w:t>
      </w:r>
      <w:r w:rsidR="0009739D" w:rsidRPr="00797E29">
        <w:rPr>
          <w:rFonts w:ascii="Times New Roman" w:hAnsi="Times New Roman"/>
          <w:sz w:val="24"/>
          <w:szCs w:val="24"/>
        </w:rPr>
        <w:t>настаће</w:t>
      </w:r>
      <w:r w:rsidRPr="00797E29">
        <w:rPr>
          <w:rFonts w:ascii="Times New Roman" w:hAnsi="Times New Roman"/>
          <w:sz w:val="24"/>
          <w:szCs w:val="24"/>
        </w:rPr>
        <w:t xml:space="preserve"> </w:t>
      </w:r>
      <w:r w:rsidR="0009739D" w:rsidRPr="00797E29">
        <w:rPr>
          <w:rFonts w:ascii="Times New Roman" w:hAnsi="Times New Roman"/>
          <w:sz w:val="24"/>
          <w:szCs w:val="24"/>
        </w:rPr>
        <w:t>у</w:t>
      </w:r>
      <w:r w:rsidRPr="00797E29">
        <w:rPr>
          <w:rFonts w:ascii="Times New Roman" w:hAnsi="Times New Roman"/>
          <w:sz w:val="24"/>
          <w:szCs w:val="24"/>
        </w:rPr>
        <w:t xml:space="preserve"> </w:t>
      </w:r>
      <w:r w:rsidR="0009739D" w:rsidRPr="00797E29">
        <w:rPr>
          <w:rFonts w:ascii="Times New Roman" w:hAnsi="Times New Roman"/>
          <w:sz w:val="24"/>
          <w:szCs w:val="24"/>
        </w:rPr>
        <w:t>тренутку</w:t>
      </w:r>
      <w:r w:rsidRPr="00797E29">
        <w:rPr>
          <w:rFonts w:ascii="Times New Roman" w:hAnsi="Times New Roman"/>
          <w:sz w:val="24"/>
          <w:szCs w:val="24"/>
        </w:rPr>
        <w:t xml:space="preserve"> </w:t>
      </w:r>
      <w:r w:rsidR="0009739D" w:rsidRPr="00797E29">
        <w:rPr>
          <w:rFonts w:ascii="Times New Roman" w:hAnsi="Times New Roman"/>
          <w:sz w:val="24"/>
          <w:szCs w:val="24"/>
        </w:rPr>
        <w:t>кад</w:t>
      </w:r>
      <w:r w:rsidRPr="00797E29">
        <w:rPr>
          <w:rFonts w:ascii="Times New Roman" w:hAnsi="Times New Roman"/>
          <w:sz w:val="24"/>
          <w:szCs w:val="24"/>
        </w:rPr>
        <w:t xml:space="preserve"> </w:t>
      </w:r>
      <w:r w:rsidR="0009739D" w:rsidRPr="00797E29">
        <w:rPr>
          <w:rFonts w:ascii="Times New Roman" w:hAnsi="Times New Roman"/>
          <w:sz w:val="24"/>
          <w:szCs w:val="24"/>
        </w:rPr>
        <w:t>правно</w:t>
      </w:r>
      <w:r w:rsidRPr="00797E29">
        <w:rPr>
          <w:rFonts w:ascii="Times New Roman" w:hAnsi="Times New Roman"/>
          <w:sz w:val="24"/>
          <w:szCs w:val="24"/>
        </w:rPr>
        <w:t xml:space="preserve"> </w:t>
      </w:r>
      <w:r w:rsidR="0009739D" w:rsidRPr="00797E29">
        <w:rPr>
          <w:rFonts w:ascii="Times New Roman" w:hAnsi="Times New Roman"/>
          <w:sz w:val="24"/>
          <w:szCs w:val="24"/>
        </w:rPr>
        <w:t>лице</w:t>
      </w:r>
      <w:r w:rsidRPr="00797E29">
        <w:rPr>
          <w:rFonts w:ascii="Times New Roman" w:hAnsi="Times New Roman"/>
          <w:sz w:val="24"/>
          <w:szCs w:val="24"/>
        </w:rPr>
        <w:t xml:space="preserve"> </w:t>
      </w:r>
      <w:r w:rsidR="0009739D" w:rsidRPr="00797E29">
        <w:rPr>
          <w:rFonts w:ascii="Times New Roman" w:hAnsi="Times New Roman"/>
          <w:sz w:val="24"/>
          <w:szCs w:val="24"/>
        </w:rPr>
        <w:t>које</w:t>
      </w:r>
      <w:r w:rsidRPr="00797E29">
        <w:rPr>
          <w:rFonts w:ascii="Times New Roman" w:hAnsi="Times New Roman"/>
          <w:sz w:val="24"/>
          <w:szCs w:val="24"/>
        </w:rPr>
        <w:t xml:space="preserve"> </w:t>
      </w:r>
      <w:r w:rsidR="0009739D" w:rsidRPr="00797E29">
        <w:rPr>
          <w:rFonts w:ascii="Times New Roman" w:hAnsi="Times New Roman"/>
          <w:sz w:val="24"/>
          <w:szCs w:val="24"/>
        </w:rPr>
        <w:t>је</w:t>
      </w:r>
      <w:r w:rsidRPr="00797E29">
        <w:rPr>
          <w:rFonts w:ascii="Times New Roman" w:hAnsi="Times New Roman"/>
          <w:sz w:val="24"/>
          <w:szCs w:val="24"/>
        </w:rPr>
        <w:t xml:space="preserve"> </w:t>
      </w:r>
      <w:r w:rsidR="0009739D" w:rsidRPr="00797E29">
        <w:rPr>
          <w:rFonts w:ascii="Times New Roman" w:hAnsi="Times New Roman"/>
          <w:sz w:val="24"/>
          <w:szCs w:val="24"/>
        </w:rPr>
        <w:t>имовину</w:t>
      </w:r>
      <w:r w:rsidRPr="00797E29">
        <w:rPr>
          <w:rFonts w:ascii="Times New Roman" w:hAnsi="Times New Roman"/>
          <w:sz w:val="24"/>
          <w:szCs w:val="24"/>
        </w:rPr>
        <w:t xml:space="preserve"> </w:t>
      </w:r>
      <w:r w:rsidR="0009739D" w:rsidRPr="00797E29">
        <w:rPr>
          <w:rFonts w:ascii="Times New Roman" w:hAnsi="Times New Roman"/>
          <w:sz w:val="24"/>
          <w:szCs w:val="24"/>
        </w:rPr>
        <w:t>стекло</w:t>
      </w:r>
      <w:r w:rsidRPr="00797E29">
        <w:rPr>
          <w:rFonts w:ascii="Times New Roman" w:hAnsi="Times New Roman"/>
          <w:sz w:val="24"/>
          <w:szCs w:val="24"/>
        </w:rPr>
        <w:t xml:space="preserve"> </w:t>
      </w:r>
      <w:r w:rsidR="0009739D" w:rsidRPr="00797E29">
        <w:rPr>
          <w:rFonts w:ascii="Times New Roman" w:hAnsi="Times New Roman"/>
          <w:sz w:val="24"/>
          <w:szCs w:val="24"/>
        </w:rPr>
        <w:t>статусном</w:t>
      </w:r>
      <w:r w:rsidRPr="00797E29">
        <w:rPr>
          <w:rFonts w:ascii="Times New Roman" w:hAnsi="Times New Roman"/>
          <w:sz w:val="24"/>
          <w:szCs w:val="24"/>
        </w:rPr>
        <w:t xml:space="preserve"> </w:t>
      </w:r>
      <w:r w:rsidR="0009739D" w:rsidRPr="00797E29">
        <w:rPr>
          <w:rFonts w:ascii="Times New Roman" w:hAnsi="Times New Roman"/>
          <w:sz w:val="24"/>
          <w:szCs w:val="24"/>
        </w:rPr>
        <w:t>променом</w:t>
      </w:r>
      <w:r w:rsidRPr="00797E29">
        <w:rPr>
          <w:rFonts w:ascii="Times New Roman" w:hAnsi="Times New Roman"/>
          <w:sz w:val="24"/>
          <w:szCs w:val="24"/>
        </w:rPr>
        <w:t xml:space="preserve"> </w:t>
      </w:r>
      <w:r w:rsidR="0009739D" w:rsidRPr="00797E29">
        <w:rPr>
          <w:rFonts w:ascii="Times New Roman" w:hAnsi="Times New Roman"/>
          <w:sz w:val="24"/>
          <w:szCs w:val="24"/>
        </w:rPr>
        <w:t>изврши</w:t>
      </w:r>
      <w:r w:rsidRPr="00797E29">
        <w:rPr>
          <w:rFonts w:ascii="Times New Roman" w:hAnsi="Times New Roman"/>
          <w:sz w:val="24"/>
          <w:szCs w:val="24"/>
        </w:rPr>
        <w:t xml:space="preserve"> </w:t>
      </w:r>
      <w:r w:rsidR="0009739D" w:rsidRPr="00797E29">
        <w:rPr>
          <w:rFonts w:ascii="Times New Roman" w:hAnsi="Times New Roman"/>
          <w:sz w:val="24"/>
          <w:szCs w:val="24"/>
        </w:rPr>
        <w:t>продају</w:t>
      </w:r>
      <w:r w:rsidRPr="00797E29">
        <w:rPr>
          <w:rFonts w:ascii="Times New Roman" w:hAnsi="Times New Roman"/>
          <w:sz w:val="24"/>
          <w:szCs w:val="24"/>
        </w:rPr>
        <w:t xml:space="preserve"> </w:t>
      </w:r>
      <w:r w:rsidR="0009739D" w:rsidRPr="00797E29">
        <w:rPr>
          <w:rFonts w:ascii="Times New Roman" w:hAnsi="Times New Roman"/>
          <w:sz w:val="24"/>
          <w:szCs w:val="24"/>
        </w:rPr>
        <w:t>те</w:t>
      </w:r>
      <w:r w:rsidRPr="00797E29">
        <w:rPr>
          <w:rFonts w:ascii="Times New Roman" w:hAnsi="Times New Roman"/>
          <w:sz w:val="24"/>
          <w:szCs w:val="24"/>
        </w:rPr>
        <w:t xml:space="preserve"> </w:t>
      </w:r>
      <w:r w:rsidR="0009739D" w:rsidRPr="00797E29">
        <w:rPr>
          <w:rFonts w:ascii="Times New Roman" w:hAnsi="Times New Roman"/>
          <w:sz w:val="24"/>
          <w:szCs w:val="24"/>
        </w:rPr>
        <w:t>имовине</w:t>
      </w:r>
      <w:r w:rsidRPr="00797E29">
        <w:rPr>
          <w:rFonts w:ascii="Times New Roman" w:hAnsi="Times New Roman"/>
          <w:sz w:val="24"/>
          <w:szCs w:val="24"/>
        </w:rPr>
        <w:t>.</w:t>
      </w:r>
      <w:r w:rsidR="00965E2D" w:rsidRPr="00797E29">
        <w:rPr>
          <w:rFonts w:ascii="Times New Roman" w:hAnsi="Times New Roman"/>
          <w:b/>
          <w:sz w:val="24"/>
          <w:szCs w:val="24"/>
          <w:lang w:val="sr-Cyrl-CS"/>
        </w:rPr>
        <w:t xml:space="preserve"> </w:t>
      </w:r>
      <w:r w:rsidR="001A38B7" w:rsidRPr="00797E29">
        <w:rPr>
          <w:rFonts w:ascii="Times New Roman" w:hAnsi="Times New Roman"/>
          <w:sz w:val="24"/>
          <w:szCs w:val="24"/>
        </w:rPr>
        <w:t>Капитални</w:t>
      </w:r>
      <w:r w:rsidRPr="00797E29">
        <w:rPr>
          <w:rFonts w:ascii="Times New Roman" w:hAnsi="Times New Roman"/>
          <w:sz w:val="24"/>
          <w:szCs w:val="24"/>
        </w:rPr>
        <w:t xml:space="preserve"> </w:t>
      </w:r>
      <w:r w:rsidR="001A38B7" w:rsidRPr="00797E29">
        <w:rPr>
          <w:rFonts w:ascii="Times New Roman" w:hAnsi="Times New Roman"/>
          <w:sz w:val="24"/>
          <w:szCs w:val="24"/>
        </w:rPr>
        <w:t>добитак</w:t>
      </w:r>
      <w:r w:rsidRPr="00797E29">
        <w:rPr>
          <w:rFonts w:ascii="Times New Roman" w:hAnsi="Times New Roman"/>
          <w:sz w:val="24"/>
          <w:szCs w:val="24"/>
          <w:lang w:val="sr-Cyrl-CS"/>
        </w:rPr>
        <w:t xml:space="preserve">, у овом случају, </w:t>
      </w:r>
      <w:r w:rsidRPr="00797E29">
        <w:rPr>
          <w:rFonts w:ascii="Times New Roman" w:hAnsi="Times New Roman"/>
          <w:sz w:val="24"/>
          <w:szCs w:val="24"/>
        </w:rPr>
        <w:t xml:space="preserve"> </w:t>
      </w:r>
      <w:r w:rsidR="001A38B7" w:rsidRPr="00797E29">
        <w:rPr>
          <w:rFonts w:ascii="Times New Roman" w:hAnsi="Times New Roman"/>
          <w:sz w:val="24"/>
          <w:szCs w:val="24"/>
        </w:rPr>
        <w:t>обрачунава</w:t>
      </w:r>
      <w:r w:rsidRPr="00797E29">
        <w:rPr>
          <w:rFonts w:ascii="Times New Roman" w:hAnsi="Times New Roman"/>
          <w:sz w:val="24"/>
          <w:szCs w:val="24"/>
        </w:rPr>
        <w:t xml:space="preserve"> </w:t>
      </w:r>
      <w:r w:rsidR="001A38B7" w:rsidRPr="00797E29">
        <w:rPr>
          <w:rFonts w:ascii="Times New Roman" w:hAnsi="Times New Roman"/>
          <w:sz w:val="24"/>
          <w:szCs w:val="24"/>
        </w:rPr>
        <w:t>се</w:t>
      </w:r>
      <w:r w:rsidRPr="00797E29">
        <w:rPr>
          <w:rFonts w:ascii="Times New Roman" w:hAnsi="Times New Roman"/>
          <w:sz w:val="24"/>
          <w:szCs w:val="24"/>
        </w:rPr>
        <w:t xml:space="preserve"> </w:t>
      </w:r>
      <w:r w:rsidR="001A38B7" w:rsidRPr="00797E29">
        <w:rPr>
          <w:rFonts w:ascii="Times New Roman" w:hAnsi="Times New Roman"/>
          <w:sz w:val="24"/>
          <w:szCs w:val="24"/>
        </w:rPr>
        <w:t>као</w:t>
      </w:r>
      <w:r w:rsidRPr="00797E29">
        <w:rPr>
          <w:rFonts w:ascii="Times New Roman" w:hAnsi="Times New Roman"/>
          <w:sz w:val="24"/>
          <w:szCs w:val="24"/>
        </w:rPr>
        <w:t xml:space="preserve"> </w:t>
      </w:r>
      <w:r w:rsidR="001A38B7" w:rsidRPr="00797E29">
        <w:rPr>
          <w:rFonts w:ascii="Times New Roman" w:hAnsi="Times New Roman"/>
          <w:sz w:val="24"/>
          <w:szCs w:val="24"/>
        </w:rPr>
        <w:t>разлика</w:t>
      </w:r>
      <w:r w:rsidRPr="00797E29">
        <w:rPr>
          <w:rFonts w:ascii="Times New Roman" w:hAnsi="Times New Roman"/>
          <w:sz w:val="24"/>
          <w:szCs w:val="24"/>
        </w:rPr>
        <w:t xml:space="preserve"> </w:t>
      </w:r>
      <w:r w:rsidR="001A38B7" w:rsidRPr="00797E29">
        <w:rPr>
          <w:rFonts w:ascii="Times New Roman" w:hAnsi="Times New Roman"/>
          <w:sz w:val="24"/>
          <w:szCs w:val="24"/>
        </w:rPr>
        <w:t>између</w:t>
      </w:r>
      <w:r w:rsidRPr="00797E29">
        <w:rPr>
          <w:rFonts w:ascii="Times New Roman" w:hAnsi="Times New Roman"/>
          <w:sz w:val="24"/>
          <w:szCs w:val="24"/>
        </w:rPr>
        <w:t xml:space="preserve"> </w:t>
      </w:r>
      <w:r w:rsidR="001A38B7" w:rsidRPr="00797E29">
        <w:rPr>
          <w:rFonts w:ascii="Times New Roman" w:hAnsi="Times New Roman"/>
          <w:sz w:val="24"/>
          <w:szCs w:val="24"/>
        </w:rPr>
        <w:t>продајне</w:t>
      </w:r>
      <w:r w:rsidRPr="00797E29">
        <w:rPr>
          <w:rFonts w:ascii="Times New Roman" w:hAnsi="Times New Roman"/>
          <w:sz w:val="24"/>
          <w:szCs w:val="24"/>
        </w:rPr>
        <w:t xml:space="preserve"> </w:t>
      </w:r>
      <w:r w:rsidR="001A38B7" w:rsidRPr="00797E29">
        <w:rPr>
          <w:rFonts w:ascii="Times New Roman" w:hAnsi="Times New Roman"/>
          <w:sz w:val="24"/>
          <w:szCs w:val="24"/>
        </w:rPr>
        <w:t>цене</w:t>
      </w:r>
      <w:r w:rsidRPr="00797E29">
        <w:rPr>
          <w:rFonts w:ascii="Times New Roman" w:hAnsi="Times New Roman"/>
          <w:sz w:val="24"/>
          <w:szCs w:val="24"/>
        </w:rPr>
        <w:t xml:space="preserve"> </w:t>
      </w:r>
      <w:r w:rsidR="001A38B7" w:rsidRPr="00797E29">
        <w:rPr>
          <w:rFonts w:ascii="Times New Roman" w:hAnsi="Times New Roman"/>
          <w:sz w:val="24"/>
          <w:szCs w:val="24"/>
        </w:rPr>
        <w:t>имовине</w:t>
      </w:r>
      <w:r w:rsidRPr="00797E29">
        <w:rPr>
          <w:rFonts w:ascii="Times New Roman" w:hAnsi="Times New Roman"/>
          <w:sz w:val="24"/>
          <w:szCs w:val="24"/>
        </w:rPr>
        <w:t xml:space="preserve"> </w:t>
      </w:r>
      <w:r w:rsidR="001A38B7" w:rsidRPr="00797E29">
        <w:rPr>
          <w:rFonts w:ascii="Times New Roman" w:hAnsi="Times New Roman"/>
          <w:sz w:val="24"/>
          <w:szCs w:val="24"/>
        </w:rPr>
        <w:t>и</w:t>
      </w:r>
      <w:r w:rsidRPr="00797E29">
        <w:rPr>
          <w:rFonts w:ascii="Times New Roman" w:hAnsi="Times New Roman"/>
          <w:sz w:val="24"/>
          <w:szCs w:val="24"/>
        </w:rPr>
        <w:t xml:space="preserve"> </w:t>
      </w:r>
      <w:r w:rsidR="001A38B7" w:rsidRPr="00797E29">
        <w:rPr>
          <w:rFonts w:ascii="Times New Roman" w:hAnsi="Times New Roman"/>
          <w:sz w:val="24"/>
          <w:szCs w:val="24"/>
        </w:rPr>
        <w:t>њене</w:t>
      </w:r>
      <w:r w:rsidRPr="00797E29">
        <w:rPr>
          <w:rFonts w:ascii="Times New Roman" w:hAnsi="Times New Roman"/>
          <w:sz w:val="24"/>
          <w:szCs w:val="24"/>
        </w:rPr>
        <w:t xml:space="preserve"> </w:t>
      </w:r>
      <w:r w:rsidR="001A38B7" w:rsidRPr="00797E29">
        <w:rPr>
          <w:rFonts w:ascii="Times New Roman" w:hAnsi="Times New Roman"/>
          <w:sz w:val="24"/>
          <w:szCs w:val="24"/>
        </w:rPr>
        <w:t>набавне</w:t>
      </w:r>
      <w:r w:rsidRPr="00797E29">
        <w:rPr>
          <w:rFonts w:ascii="Times New Roman" w:hAnsi="Times New Roman"/>
          <w:sz w:val="24"/>
          <w:szCs w:val="24"/>
        </w:rPr>
        <w:t xml:space="preserve"> </w:t>
      </w:r>
      <w:r w:rsidR="001A38B7" w:rsidRPr="00797E29">
        <w:rPr>
          <w:rFonts w:ascii="Times New Roman" w:hAnsi="Times New Roman"/>
          <w:sz w:val="24"/>
          <w:szCs w:val="24"/>
        </w:rPr>
        <w:t>цене</w:t>
      </w:r>
      <w:r w:rsidRPr="00797E29">
        <w:rPr>
          <w:rFonts w:ascii="Times New Roman" w:hAnsi="Times New Roman"/>
          <w:sz w:val="24"/>
          <w:szCs w:val="24"/>
        </w:rPr>
        <w:t xml:space="preserve"> </w:t>
      </w:r>
      <w:r w:rsidR="001A38B7" w:rsidRPr="00797E29">
        <w:rPr>
          <w:rFonts w:ascii="Times New Roman" w:hAnsi="Times New Roman"/>
          <w:sz w:val="24"/>
          <w:szCs w:val="24"/>
        </w:rPr>
        <w:t>коју</w:t>
      </w:r>
      <w:r w:rsidRPr="00797E29">
        <w:rPr>
          <w:rFonts w:ascii="Times New Roman" w:hAnsi="Times New Roman"/>
          <w:sz w:val="24"/>
          <w:szCs w:val="24"/>
        </w:rPr>
        <w:t xml:space="preserve"> </w:t>
      </w:r>
      <w:r w:rsidR="001A38B7" w:rsidRPr="00797E29">
        <w:rPr>
          <w:rFonts w:ascii="Times New Roman" w:hAnsi="Times New Roman"/>
          <w:sz w:val="24"/>
          <w:szCs w:val="24"/>
        </w:rPr>
        <w:t>је</w:t>
      </w:r>
      <w:r w:rsidRPr="00797E29">
        <w:rPr>
          <w:rFonts w:ascii="Times New Roman" w:hAnsi="Times New Roman"/>
          <w:sz w:val="24"/>
          <w:szCs w:val="24"/>
        </w:rPr>
        <w:t xml:space="preserve"> </w:t>
      </w:r>
      <w:r w:rsidR="001A38B7" w:rsidRPr="00797E29">
        <w:rPr>
          <w:rFonts w:ascii="Times New Roman" w:hAnsi="Times New Roman"/>
          <w:sz w:val="24"/>
          <w:szCs w:val="24"/>
        </w:rPr>
        <w:t>платило</w:t>
      </w:r>
      <w:r w:rsidRPr="00797E29">
        <w:rPr>
          <w:rFonts w:ascii="Times New Roman" w:hAnsi="Times New Roman"/>
          <w:sz w:val="24"/>
          <w:szCs w:val="24"/>
        </w:rPr>
        <w:t xml:space="preserve"> </w:t>
      </w:r>
      <w:r w:rsidR="001A38B7" w:rsidRPr="00797E29">
        <w:rPr>
          <w:rFonts w:ascii="Times New Roman" w:hAnsi="Times New Roman"/>
          <w:sz w:val="24"/>
          <w:szCs w:val="24"/>
        </w:rPr>
        <w:t>правно</w:t>
      </w:r>
      <w:r w:rsidRPr="00797E29">
        <w:rPr>
          <w:rFonts w:ascii="Times New Roman" w:hAnsi="Times New Roman"/>
          <w:sz w:val="24"/>
          <w:szCs w:val="24"/>
        </w:rPr>
        <w:t xml:space="preserve"> </w:t>
      </w:r>
      <w:r w:rsidR="001A38B7" w:rsidRPr="00797E29">
        <w:rPr>
          <w:rFonts w:ascii="Times New Roman" w:hAnsi="Times New Roman"/>
          <w:sz w:val="24"/>
          <w:szCs w:val="24"/>
        </w:rPr>
        <w:t>лице</w:t>
      </w:r>
      <w:r w:rsidRPr="00797E29">
        <w:rPr>
          <w:rFonts w:ascii="Times New Roman" w:hAnsi="Times New Roman"/>
          <w:sz w:val="24"/>
          <w:szCs w:val="24"/>
        </w:rPr>
        <w:t xml:space="preserve"> </w:t>
      </w:r>
      <w:r w:rsidR="001A38B7" w:rsidRPr="00797E29">
        <w:rPr>
          <w:rFonts w:ascii="Times New Roman" w:hAnsi="Times New Roman"/>
          <w:sz w:val="24"/>
          <w:szCs w:val="24"/>
        </w:rPr>
        <w:t>које</w:t>
      </w:r>
      <w:r w:rsidRPr="00797E29">
        <w:rPr>
          <w:rFonts w:ascii="Times New Roman" w:hAnsi="Times New Roman"/>
          <w:sz w:val="24"/>
          <w:szCs w:val="24"/>
        </w:rPr>
        <w:t xml:space="preserve"> </w:t>
      </w:r>
      <w:r w:rsidR="001A38B7" w:rsidRPr="00797E29">
        <w:rPr>
          <w:rFonts w:ascii="Times New Roman" w:hAnsi="Times New Roman"/>
          <w:sz w:val="24"/>
          <w:szCs w:val="24"/>
        </w:rPr>
        <w:t>је</w:t>
      </w:r>
      <w:r w:rsidRPr="00797E29">
        <w:rPr>
          <w:rFonts w:ascii="Times New Roman" w:hAnsi="Times New Roman"/>
          <w:sz w:val="24"/>
          <w:szCs w:val="24"/>
        </w:rPr>
        <w:t xml:space="preserve"> </w:t>
      </w:r>
      <w:r w:rsidR="001A38B7" w:rsidRPr="00797E29">
        <w:rPr>
          <w:rFonts w:ascii="Times New Roman" w:hAnsi="Times New Roman"/>
          <w:sz w:val="24"/>
          <w:szCs w:val="24"/>
        </w:rPr>
        <w:t>ту</w:t>
      </w:r>
      <w:r w:rsidRPr="00797E29">
        <w:rPr>
          <w:rFonts w:ascii="Times New Roman" w:hAnsi="Times New Roman"/>
          <w:sz w:val="24"/>
          <w:szCs w:val="24"/>
        </w:rPr>
        <w:t xml:space="preserve"> </w:t>
      </w:r>
      <w:r w:rsidR="001A38B7" w:rsidRPr="00797E29">
        <w:rPr>
          <w:rFonts w:ascii="Times New Roman" w:hAnsi="Times New Roman"/>
          <w:sz w:val="24"/>
          <w:szCs w:val="24"/>
        </w:rPr>
        <w:t>имовину</w:t>
      </w:r>
      <w:r w:rsidRPr="00797E29">
        <w:rPr>
          <w:rFonts w:ascii="Times New Roman" w:hAnsi="Times New Roman"/>
          <w:sz w:val="24"/>
          <w:szCs w:val="24"/>
        </w:rPr>
        <w:t xml:space="preserve"> </w:t>
      </w:r>
      <w:r w:rsidR="001A38B7" w:rsidRPr="00797E29">
        <w:rPr>
          <w:rFonts w:ascii="Times New Roman" w:hAnsi="Times New Roman"/>
          <w:sz w:val="24"/>
          <w:szCs w:val="24"/>
        </w:rPr>
        <w:t>статусном</w:t>
      </w:r>
      <w:r w:rsidRPr="00797E29">
        <w:rPr>
          <w:rFonts w:ascii="Times New Roman" w:hAnsi="Times New Roman"/>
          <w:sz w:val="24"/>
          <w:szCs w:val="24"/>
        </w:rPr>
        <w:t xml:space="preserve"> </w:t>
      </w:r>
      <w:r w:rsidR="001A38B7" w:rsidRPr="00797E29">
        <w:rPr>
          <w:rFonts w:ascii="Times New Roman" w:hAnsi="Times New Roman"/>
          <w:sz w:val="24"/>
          <w:szCs w:val="24"/>
        </w:rPr>
        <w:t>променом</w:t>
      </w:r>
      <w:r w:rsidR="000F59D5" w:rsidRPr="00797E29">
        <w:rPr>
          <w:rFonts w:ascii="Times New Roman" w:hAnsi="Times New Roman"/>
          <w:sz w:val="24"/>
          <w:szCs w:val="24"/>
        </w:rPr>
        <w:t xml:space="preserve"> </w:t>
      </w:r>
      <w:r w:rsidR="001A38B7" w:rsidRPr="00797E29">
        <w:rPr>
          <w:rFonts w:ascii="Times New Roman" w:hAnsi="Times New Roman"/>
          <w:sz w:val="24"/>
          <w:szCs w:val="24"/>
        </w:rPr>
        <w:t>пренело</w:t>
      </w:r>
      <w:r w:rsidR="000F59D5" w:rsidRPr="00797E29">
        <w:rPr>
          <w:rFonts w:ascii="Times New Roman" w:hAnsi="Times New Roman"/>
          <w:sz w:val="24"/>
          <w:szCs w:val="24"/>
        </w:rPr>
        <w:t xml:space="preserve"> </w:t>
      </w:r>
      <w:r w:rsidR="001A38B7" w:rsidRPr="00797E29">
        <w:rPr>
          <w:rFonts w:ascii="Times New Roman" w:hAnsi="Times New Roman"/>
          <w:sz w:val="24"/>
          <w:szCs w:val="24"/>
        </w:rPr>
        <w:t>на</w:t>
      </w:r>
      <w:r w:rsidR="000F59D5" w:rsidRPr="00797E29">
        <w:rPr>
          <w:rFonts w:ascii="Times New Roman" w:hAnsi="Times New Roman"/>
          <w:sz w:val="24"/>
          <w:szCs w:val="24"/>
        </w:rPr>
        <w:t xml:space="preserve"> </w:t>
      </w:r>
      <w:r w:rsidR="001A38B7" w:rsidRPr="00797E29">
        <w:rPr>
          <w:rFonts w:ascii="Times New Roman" w:hAnsi="Times New Roman"/>
          <w:sz w:val="24"/>
          <w:szCs w:val="24"/>
        </w:rPr>
        <w:t>друго</w:t>
      </w:r>
      <w:r w:rsidR="000F59D5" w:rsidRPr="00797E29">
        <w:rPr>
          <w:rFonts w:ascii="Times New Roman" w:hAnsi="Times New Roman"/>
          <w:sz w:val="24"/>
          <w:szCs w:val="24"/>
        </w:rPr>
        <w:t xml:space="preserve"> </w:t>
      </w:r>
      <w:r w:rsidR="001A38B7" w:rsidRPr="00797E29">
        <w:rPr>
          <w:rFonts w:ascii="Times New Roman" w:hAnsi="Times New Roman"/>
          <w:sz w:val="24"/>
          <w:szCs w:val="24"/>
        </w:rPr>
        <w:t>правно</w:t>
      </w:r>
      <w:r w:rsidR="000F59D5" w:rsidRPr="00797E29">
        <w:rPr>
          <w:rFonts w:ascii="Times New Roman" w:hAnsi="Times New Roman"/>
          <w:sz w:val="24"/>
          <w:szCs w:val="24"/>
        </w:rPr>
        <w:t xml:space="preserve"> </w:t>
      </w:r>
      <w:r w:rsidR="001A38B7" w:rsidRPr="00797E29">
        <w:rPr>
          <w:rFonts w:ascii="Times New Roman" w:hAnsi="Times New Roman"/>
          <w:sz w:val="24"/>
          <w:szCs w:val="24"/>
        </w:rPr>
        <w:t>лице</w:t>
      </w:r>
      <w:r w:rsidR="000F59D5" w:rsidRPr="00797E29">
        <w:rPr>
          <w:rFonts w:ascii="Times New Roman" w:hAnsi="Times New Roman"/>
          <w:sz w:val="24"/>
          <w:szCs w:val="24"/>
          <w:lang w:val="sr-Cyrl-CS"/>
        </w:rPr>
        <w:t>.</w:t>
      </w:r>
      <w:r w:rsidRPr="00797E29">
        <w:rPr>
          <w:rFonts w:ascii="Times New Roman" w:hAnsi="Times New Roman"/>
          <w:sz w:val="24"/>
          <w:szCs w:val="24"/>
        </w:rPr>
        <w:t xml:space="preserve"> </w:t>
      </w:r>
    </w:p>
    <w:p w:rsidR="00A9005D" w:rsidRPr="00797E29" w:rsidRDefault="001A38B7" w:rsidP="00797E29">
      <w:pPr>
        <w:ind w:firstLine="708"/>
        <w:jc w:val="both"/>
        <w:rPr>
          <w:rFonts w:ascii="Times New Roman" w:hAnsi="Times New Roman"/>
          <w:sz w:val="24"/>
          <w:szCs w:val="24"/>
          <w:lang w:val="sr-Cyrl-CS"/>
        </w:rPr>
      </w:pPr>
      <w:r w:rsidRPr="00797E29">
        <w:rPr>
          <w:rFonts w:ascii="Times New Roman" w:hAnsi="Times New Roman"/>
          <w:sz w:val="24"/>
          <w:szCs w:val="24"/>
        </w:rPr>
        <w:t>Право</w:t>
      </w:r>
      <w:r w:rsidR="00A9005D" w:rsidRPr="00797E29">
        <w:rPr>
          <w:rFonts w:ascii="Times New Roman" w:hAnsi="Times New Roman"/>
          <w:sz w:val="24"/>
          <w:szCs w:val="24"/>
        </w:rPr>
        <w:t xml:space="preserve"> </w:t>
      </w:r>
      <w:r w:rsidRPr="00797E29">
        <w:rPr>
          <w:rFonts w:ascii="Times New Roman" w:hAnsi="Times New Roman"/>
          <w:sz w:val="24"/>
          <w:szCs w:val="24"/>
        </w:rPr>
        <w:t>на</w:t>
      </w:r>
      <w:r w:rsidR="00A9005D" w:rsidRPr="00797E29">
        <w:rPr>
          <w:rFonts w:ascii="Times New Roman" w:hAnsi="Times New Roman"/>
          <w:sz w:val="24"/>
          <w:szCs w:val="24"/>
        </w:rPr>
        <w:t xml:space="preserve"> </w:t>
      </w:r>
      <w:r w:rsidRPr="00797E29">
        <w:rPr>
          <w:rFonts w:ascii="Times New Roman" w:hAnsi="Times New Roman"/>
          <w:sz w:val="24"/>
          <w:szCs w:val="24"/>
        </w:rPr>
        <w:t>одлагање</w:t>
      </w:r>
      <w:r w:rsidR="00A9005D" w:rsidRPr="00797E29">
        <w:rPr>
          <w:rFonts w:ascii="Times New Roman" w:hAnsi="Times New Roman"/>
          <w:sz w:val="24"/>
          <w:szCs w:val="24"/>
        </w:rPr>
        <w:t xml:space="preserve"> </w:t>
      </w:r>
      <w:r w:rsidRPr="00797E29">
        <w:rPr>
          <w:rFonts w:ascii="Times New Roman" w:hAnsi="Times New Roman"/>
          <w:sz w:val="24"/>
          <w:szCs w:val="24"/>
        </w:rPr>
        <w:t>плаћања</w:t>
      </w:r>
      <w:r w:rsidR="00A9005D" w:rsidRPr="00797E29">
        <w:rPr>
          <w:rFonts w:ascii="Times New Roman" w:hAnsi="Times New Roman"/>
          <w:sz w:val="24"/>
          <w:szCs w:val="24"/>
        </w:rPr>
        <w:t xml:space="preserve"> </w:t>
      </w:r>
      <w:r w:rsidRPr="00797E29">
        <w:rPr>
          <w:rFonts w:ascii="Times New Roman" w:hAnsi="Times New Roman"/>
          <w:sz w:val="24"/>
          <w:szCs w:val="24"/>
        </w:rPr>
        <w:t>пореза</w:t>
      </w:r>
      <w:r w:rsidR="00A9005D" w:rsidRPr="00797E29">
        <w:rPr>
          <w:rFonts w:ascii="Times New Roman" w:hAnsi="Times New Roman"/>
          <w:sz w:val="24"/>
          <w:szCs w:val="24"/>
        </w:rPr>
        <w:t xml:space="preserve"> </w:t>
      </w:r>
      <w:r w:rsidRPr="00797E29">
        <w:rPr>
          <w:rFonts w:ascii="Times New Roman" w:hAnsi="Times New Roman"/>
          <w:sz w:val="24"/>
          <w:szCs w:val="24"/>
        </w:rPr>
        <w:t>на</w:t>
      </w:r>
      <w:r w:rsidR="00A9005D" w:rsidRPr="00797E29">
        <w:rPr>
          <w:rFonts w:ascii="Times New Roman" w:hAnsi="Times New Roman"/>
          <w:sz w:val="24"/>
          <w:szCs w:val="24"/>
        </w:rPr>
        <w:t xml:space="preserve"> </w:t>
      </w:r>
      <w:r w:rsidRPr="00797E29">
        <w:rPr>
          <w:rFonts w:ascii="Times New Roman" w:hAnsi="Times New Roman"/>
          <w:sz w:val="24"/>
          <w:szCs w:val="24"/>
        </w:rPr>
        <w:t>добит</w:t>
      </w:r>
      <w:r w:rsidR="00A9005D" w:rsidRPr="00797E29">
        <w:rPr>
          <w:rFonts w:ascii="Times New Roman" w:hAnsi="Times New Roman"/>
          <w:sz w:val="24"/>
          <w:szCs w:val="24"/>
        </w:rPr>
        <w:t xml:space="preserve"> </w:t>
      </w:r>
      <w:r w:rsidRPr="00797E29">
        <w:rPr>
          <w:rFonts w:ascii="Times New Roman" w:hAnsi="Times New Roman"/>
          <w:sz w:val="24"/>
          <w:szCs w:val="24"/>
        </w:rPr>
        <w:t>правних</w:t>
      </w:r>
      <w:r w:rsidR="00A9005D" w:rsidRPr="00797E29">
        <w:rPr>
          <w:rFonts w:ascii="Times New Roman" w:hAnsi="Times New Roman"/>
          <w:sz w:val="24"/>
          <w:szCs w:val="24"/>
        </w:rPr>
        <w:t xml:space="preserve"> </w:t>
      </w:r>
      <w:r w:rsidRPr="00797E29">
        <w:rPr>
          <w:rFonts w:ascii="Times New Roman" w:hAnsi="Times New Roman"/>
          <w:sz w:val="24"/>
          <w:szCs w:val="24"/>
        </w:rPr>
        <w:t>лица</w:t>
      </w:r>
      <w:r w:rsidR="00A9005D" w:rsidRPr="00797E29">
        <w:rPr>
          <w:rFonts w:ascii="Times New Roman" w:hAnsi="Times New Roman"/>
          <w:sz w:val="24"/>
          <w:szCs w:val="24"/>
        </w:rPr>
        <w:t xml:space="preserve"> </w:t>
      </w:r>
      <w:r w:rsidRPr="00797E29">
        <w:rPr>
          <w:rFonts w:ascii="Times New Roman" w:hAnsi="Times New Roman"/>
          <w:sz w:val="24"/>
          <w:szCs w:val="24"/>
        </w:rPr>
        <w:t>за</w:t>
      </w:r>
      <w:r w:rsidR="00A9005D" w:rsidRPr="00797E29">
        <w:rPr>
          <w:rFonts w:ascii="Times New Roman" w:hAnsi="Times New Roman"/>
          <w:sz w:val="24"/>
          <w:szCs w:val="24"/>
        </w:rPr>
        <w:t xml:space="preserve"> </w:t>
      </w:r>
      <w:r w:rsidRPr="00797E29">
        <w:rPr>
          <w:rFonts w:ascii="Times New Roman" w:hAnsi="Times New Roman"/>
          <w:sz w:val="24"/>
          <w:szCs w:val="24"/>
        </w:rPr>
        <w:t>капиталне</w:t>
      </w:r>
      <w:r w:rsidR="00A9005D" w:rsidRPr="00797E29">
        <w:rPr>
          <w:rFonts w:ascii="Times New Roman" w:hAnsi="Times New Roman"/>
          <w:sz w:val="24"/>
          <w:szCs w:val="24"/>
        </w:rPr>
        <w:t xml:space="preserve"> </w:t>
      </w:r>
      <w:r w:rsidRPr="00797E29">
        <w:rPr>
          <w:rFonts w:ascii="Times New Roman" w:hAnsi="Times New Roman"/>
          <w:sz w:val="24"/>
          <w:szCs w:val="24"/>
        </w:rPr>
        <w:t>добитке</w:t>
      </w:r>
      <w:r w:rsidR="00A9005D" w:rsidRPr="00797E29">
        <w:rPr>
          <w:rFonts w:ascii="Times New Roman" w:hAnsi="Times New Roman"/>
          <w:sz w:val="24"/>
          <w:szCs w:val="24"/>
        </w:rPr>
        <w:t xml:space="preserve"> </w:t>
      </w:r>
      <w:r w:rsidRPr="00797E29">
        <w:rPr>
          <w:rFonts w:ascii="Times New Roman" w:hAnsi="Times New Roman"/>
          <w:sz w:val="24"/>
          <w:szCs w:val="24"/>
        </w:rPr>
        <w:t>стиче</w:t>
      </w:r>
      <w:r w:rsidR="00A9005D" w:rsidRPr="00797E29">
        <w:rPr>
          <w:rFonts w:ascii="Times New Roman" w:hAnsi="Times New Roman"/>
          <w:sz w:val="24"/>
          <w:szCs w:val="24"/>
        </w:rPr>
        <w:t xml:space="preserve"> </w:t>
      </w:r>
      <w:r w:rsidRPr="00797E29">
        <w:rPr>
          <w:rFonts w:ascii="Times New Roman" w:hAnsi="Times New Roman"/>
          <w:sz w:val="24"/>
          <w:szCs w:val="24"/>
        </w:rPr>
        <w:t>се</w:t>
      </w:r>
      <w:r w:rsidR="00A9005D" w:rsidRPr="00797E29">
        <w:rPr>
          <w:rFonts w:ascii="Times New Roman" w:hAnsi="Times New Roman"/>
          <w:sz w:val="24"/>
          <w:szCs w:val="24"/>
        </w:rPr>
        <w:t xml:space="preserve"> </w:t>
      </w:r>
      <w:r w:rsidRPr="00797E29">
        <w:rPr>
          <w:rFonts w:ascii="Times New Roman" w:hAnsi="Times New Roman"/>
          <w:sz w:val="24"/>
          <w:szCs w:val="24"/>
        </w:rPr>
        <w:t>ако</w:t>
      </w:r>
      <w:r w:rsidR="00A9005D" w:rsidRPr="00797E29">
        <w:rPr>
          <w:rFonts w:ascii="Times New Roman" w:hAnsi="Times New Roman"/>
          <w:sz w:val="24"/>
          <w:szCs w:val="24"/>
        </w:rPr>
        <w:t xml:space="preserve"> </w:t>
      </w:r>
      <w:r w:rsidRPr="00797E29">
        <w:rPr>
          <w:rFonts w:ascii="Times New Roman" w:hAnsi="Times New Roman"/>
          <w:sz w:val="24"/>
          <w:szCs w:val="24"/>
        </w:rPr>
        <w:t>је</w:t>
      </w:r>
      <w:r w:rsidR="00A9005D" w:rsidRPr="00797E29">
        <w:rPr>
          <w:rFonts w:ascii="Times New Roman" w:hAnsi="Times New Roman"/>
          <w:sz w:val="24"/>
          <w:szCs w:val="24"/>
        </w:rPr>
        <w:t xml:space="preserve"> </w:t>
      </w:r>
      <w:r w:rsidRPr="00797E29">
        <w:rPr>
          <w:rFonts w:ascii="Times New Roman" w:hAnsi="Times New Roman"/>
          <w:sz w:val="24"/>
          <w:szCs w:val="24"/>
        </w:rPr>
        <w:t>власник</w:t>
      </w:r>
      <w:r w:rsidR="00A9005D" w:rsidRPr="00797E29">
        <w:rPr>
          <w:rFonts w:ascii="Times New Roman" w:hAnsi="Times New Roman"/>
          <w:sz w:val="24"/>
          <w:szCs w:val="24"/>
        </w:rPr>
        <w:t xml:space="preserve"> </w:t>
      </w:r>
      <w:r w:rsidRPr="00797E29">
        <w:rPr>
          <w:rFonts w:ascii="Times New Roman" w:hAnsi="Times New Roman"/>
          <w:sz w:val="24"/>
          <w:szCs w:val="24"/>
        </w:rPr>
        <w:t>правног</w:t>
      </w:r>
      <w:r w:rsidR="00A9005D" w:rsidRPr="00797E29">
        <w:rPr>
          <w:rFonts w:ascii="Times New Roman" w:hAnsi="Times New Roman"/>
          <w:sz w:val="24"/>
          <w:szCs w:val="24"/>
        </w:rPr>
        <w:t xml:space="preserve"> </w:t>
      </w:r>
      <w:r w:rsidRPr="00797E29">
        <w:rPr>
          <w:rFonts w:ascii="Times New Roman" w:hAnsi="Times New Roman"/>
          <w:sz w:val="24"/>
          <w:szCs w:val="24"/>
        </w:rPr>
        <w:t>лица</w:t>
      </w:r>
      <w:r w:rsidR="00A9005D" w:rsidRPr="00797E29">
        <w:rPr>
          <w:rFonts w:ascii="Times New Roman" w:hAnsi="Times New Roman"/>
          <w:sz w:val="24"/>
          <w:szCs w:val="24"/>
        </w:rPr>
        <w:t xml:space="preserve"> </w:t>
      </w:r>
      <w:r w:rsidRPr="00797E29">
        <w:rPr>
          <w:rFonts w:ascii="Times New Roman" w:hAnsi="Times New Roman"/>
          <w:sz w:val="24"/>
          <w:szCs w:val="24"/>
        </w:rPr>
        <w:t>које</w:t>
      </w:r>
      <w:r w:rsidR="00A9005D" w:rsidRPr="00797E29">
        <w:rPr>
          <w:rFonts w:ascii="Times New Roman" w:hAnsi="Times New Roman"/>
          <w:sz w:val="24"/>
          <w:szCs w:val="24"/>
        </w:rPr>
        <w:t xml:space="preserve"> </w:t>
      </w:r>
      <w:r w:rsidRPr="00797E29">
        <w:rPr>
          <w:rFonts w:ascii="Times New Roman" w:hAnsi="Times New Roman"/>
          <w:sz w:val="24"/>
          <w:szCs w:val="24"/>
        </w:rPr>
        <w:t>је</w:t>
      </w:r>
      <w:r w:rsidR="00A9005D" w:rsidRPr="00797E29">
        <w:rPr>
          <w:rFonts w:ascii="Times New Roman" w:hAnsi="Times New Roman"/>
          <w:sz w:val="24"/>
          <w:szCs w:val="24"/>
        </w:rPr>
        <w:t xml:space="preserve"> </w:t>
      </w:r>
      <w:r w:rsidRPr="00797E29">
        <w:rPr>
          <w:rFonts w:ascii="Times New Roman" w:hAnsi="Times New Roman"/>
          <w:sz w:val="24"/>
          <w:szCs w:val="24"/>
        </w:rPr>
        <w:t>извршило</w:t>
      </w:r>
      <w:r w:rsidR="00A9005D" w:rsidRPr="00797E29">
        <w:rPr>
          <w:rFonts w:ascii="Times New Roman" w:hAnsi="Times New Roman"/>
          <w:sz w:val="24"/>
          <w:szCs w:val="24"/>
        </w:rPr>
        <w:t xml:space="preserve"> </w:t>
      </w:r>
      <w:r w:rsidRPr="00797E29">
        <w:rPr>
          <w:rFonts w:ascii="Times New Roman" w:hAnsi="Times New Roman"/>
          <w:sz w:val="24"/>
          <w:szCs w:val="24"/>
        </w:rPr>
        <w:t>пренос</w:t>
      </w:r>
      <w:r w:rsidR="00A9005D" w:rsidRPr="00797E29">
        <w:rPr>
          <w:rFonts w:ascii="Times New Roman" w:hAnsi="Times New Roman"/>
          <w:sz w:val="24"/>
          <w:szCs w:val="24"/>
        </w:rPr>
        <w:t xml:space="preserve"> </w:t>
      </w:r>
      <w:r w:rsidRPr="00797E29">
        <w:rPr>
          <w:rFonts w:ascii="Times New Roman" w:hAnsi="Times New Roman"/>
          <w:sz w:val="24"/>
          <w:szCs w:val="24"/>
        </w:rPr>
        <w:t>имовине</w:t>
      </w:r>
      <w:r w:rsidR="00A9005D" w:rsidRPr="00797E29">
        <w:rPr>
          <w:rFonts w:ascii="Times New Roman" w:hAnsi="Times New Roman"/>
          <w:sz w:val="24"/>
          <w:szCs w:val="24"/>
        </w:rPr>
        <w:t xml:space="preserve"> </w:t>
      </w:r>
      <w:r w:rsidRPr="00797E29">
        <w:rPr>
          <w:rFonts w:ascii="Times New Roman" w:hAnsi="Times New Roman"/>
          <w:sz w:val="24"/>
          <w:szCs w:val="24"/>
        </w:rPr>
        <w:t>приликом</w:t>
      </w:r>
      <w:r w:rsidR="00A9005D" w:rsidRPr="00797E29">
        <w:rPr>
          <w:rFonts w:ascii="Times New Roman" w:hAnsi="Times New Roman"/>
          <w:sz w:val="24"/>
          <w:szCs w:val="24"/>
        </w:rPr>
        <w:t xml:space="preserve"> </w:t>
      </w:r>
      <w:r w:rsidRPr="00797E29">
        <w:rPr>
          <w:rFonts w:ascii="Times New Roman" w:hAnsi="Times New Roman"/>
          <w:sz w:val="24"/>
          <w:szCs w:val="24"/>
        </w:rPr>
        <w:t>статусне</w:t>
      </w:r>
      <w:r w:rsidR="00A9005D" w:rsidRPr="00797E29">
        <w:rPr>
          <w:rFonts w:ascii="Times New Roman" w:hAnsi="Times New Roman"/>
          <w:sz w:val="24"/>
          <w:szCs w:val="24"/>
        </w:rPr>
        <w:t xml:space="preserve"> </w:t>
      </w:r>
      <w:r w:rsidRPr="00797E29">
        <w:rPr>
          <w:rFonts w:ascii="Times New Roman" w:hAnsi="Times New Roman"/>
          <w:sz w:val="24"/>
          <w:szCs w:val="24"/>
        </w:rPr>
        <w:t>промене</w:t>
      </w:r>
      <w:r w:rsidR="00A9005D" w:rsidRPr="00797E29">
        <w:rPr>
          <w:rFonts w:ascii="Times New Roman" w:hAnsi="Times New Roman"/>
          <w:sz w:val="24"/>
          <w:szCs w:val="24"/>
        </w:rPr>
        <w:t xml:space="preserve"> </w:t>
      </w:r>
      <w:r w:rsidRPr="00797E29">
        <w:rPr>
          <w:rFonts w:ascii="Times New Roman" w:hAnsi="Times New Roman"/>
          <w:sz w:val="24"/>
          <w:szCs w:val="24"/>
        </w:rPr>
        <w:t>добио</w:t>
      </w:r>
      <w:r w:rsidR="00A9005D" w:rsidRPr="00797E29">
        <w:rPr>
          <w:rFonts w:ascii="Times New Roman" w:hAnsi="Times New Roman"/>
          <w:sz w:val="24"/>
          <w:szCs w:val="24"/>
        </w:rPr>
        <w:t xml:space="preserve"> </w:t>
      </w:r>
      <w:r w:rsidRPr="00797E29">
        <w:rPr>
          <w:rFonts w:ascii="Times New Roman" w:hAnsi="Times New Roman"/>
          <w:sz w:val="24"/>
          <w:szCs w:val="24"/>
        </w:rPr>
        <w:t>накнаду</w:t>
      </w:r>
      <w:r w:rsidR="00A9005D" w:rsidRPr="00797E29">
        <w:rPr>
          <w:rFonts w:ascii="Times New Roman" w:hAnsi="Times New Roman"/>
          <w:sz w:val="24"/>
          <w:szCs w:val="24"/>
        </w:rPr>
        <w:t xml:space="preserve"> </w:t>
      </w:r>
      <w:r w:rsidRPr="00797E29">
        <w:rPr>
          <w:rFonts w:ascii="Times New Roman" w:hAnsi="Times New Roman"/>
          <w:sz w:val="24"/>
          <w:szCs w:val="24"/>
        </w:rPr>
        <w:t>у</w:t>
      </w:r>
      <w:r w:rsidR="00A9005D" w:rsidRPr="00797E29">
        <w:rPr>
          <w:rFonts w:ascii="Times New Roman" w:hAnsi="Times New Roman"/>
          <w:sz w:val="24"/>
          <w:szCs w:val="24"/>
        </w:rPr>
        <w:t xml:space="preserve"> </w:t>
      </w:r>
      <w:r w:rsidRPr="00797E29">
        <w:rPr>
          <w:rFonts w:ascii="Times New Roman" w:hAnsi="Times New Roman"/>
          <w:sz w:val="24"/>
          <w:szCs w:val="24"/>
        </w:rPr>
        <w:t>облику</w:t>
      </w:r>
      <w:r w:rsidR="00A9005D" w:rsidRPr="00797E29">
        <w:rPr>
          <w:rFonts w:ascii="Times New Roman" w:hAnsi="Times New Roman"/>
          <w:sz w:val="24"/>
          <w:szCs w:val="24"/>
        </w:rPr>
        <w:t xml:space="preserve"> </w:t>
      </w:r>
      <w:r w:rsidRPr="00797E29">
        <w:rPr>
          <w:rFonts w:ascii="Times New Roman" w:hAnsi="Times New Roman"/>
          <w:sz w:val="24"/>
          <w:szCs w:val="24"/>
        </w:rPr>
        <w:t>акција</w:t>
      </w:r>
      <w:r w:rsidR="00A9005D" w:rsidRPr="00797E29">
        <w:rPr>
          <w:rFonts w:ascii="Times New Roman" w:hAnsi="Times New Roman"/>
          <w:sz w:val="24"/>
          <w:szCs w:val="24"/>
        </w:rPr>
        <w:t xml:space="preserve"> </w:t>
      </w:r>
      <w:r w:rsidRPr="00797E29">
        <w:rPr>
          <w:rFonts w:ascii="Times New Roman" w:hAnsi="Times New Roman"/>
          <w:sz w:val="24"/>
          <w:szCs w:val="24"/>
        </w:rPr>
        <w:t>или</w:t>
      </w:r>
      <w:r w:rsidR="00A9005D" w:rsidRPr="00797E29">
        <w:rPr>
          <w:rFonts w:ascii="Times New Roman" w:hAnsi="Times New Roman"/>
          <w:sz w:val="24"/>
          <w:szCs w:val="24"/>
        </w:rPr>
        <w:t xml:space="preserve"> </w:t>
      </w:r>
      <w:r w:rsidRPr="00797E29">
        <w:rPr>
          <w:rFonts w:ascii="Times New Roman" w:hAnsi="Times New Roman"/>
          <w:sz w:val="24"/>
          <w:szCs w:val="24"/>
        </w:rPr>
        <w:t>удела</w:t>
      </w:r>
      <w:r w:rsidR="00A9005D" w:rsidRPr="00797E29">
        <w:rPr>
          <w:rFonts w:ascii="Times New Roman" w:hAnsi="Times New Roman"/>
          <w:sz w:val="24"/>
          <w:szCs w:val="24"/>
        </w:rPr>
        <w:t xml:space="preserve"> </w:t>
      </w:r>
      <w:r w:rsidRPr="00797E29">
        <w:rPr>
          <w:rFonts w:ascii="Times New Roman" w:hAnsi="Times New Roman"/>
          <w:sz w:val="24"/>
          <w:szCs w:val="24"/>
        </w:rPr>
        <w:t>у</w:t>
      </w:r>
      <w:r w:rsidR="00A9005D" w:rsidRPr="00797E29">
        <w:rPr>
          <w:rFonts w:ascii="Times New Roman" w:hAnsi="Times New Roman"/>
          <w:sz w:val="24"/>
          <w:szCs w:val="24"/>
        </w:rPr>
        <w:t xml:space="preserve"> </w:t>
      </w:r>
      <w:r w:rsidRPr="00797E29">
        <w:rPr>
          <w:rFonts w:ascii="Times New Roman" w:hAnsi="Times New Roman"/>
          <w:sz w:val="24"/>
          <w:szCs w:val="24"/>
        </w:rPr>
        <w:t>правном</w:t>
      </w:r>
      <w:r w:rsidR="00A9005D" w:rsidRPr="00797E29">
        <w:rPr>
          <w:rFonts w:ascii="Times New Roman" w:hAnsi="Times New Roman"/>
          <w:sz w:val="24"/>
          <w:szCs w:val="24"/>
        </w:rPr>
        <w:t xml:space="preserve"> </w:t>
      </w:r>
      <w:r w:rsidRPr="00797E29">
        <w:rPr>
          <w:rFonts w:ascii="Times New Roman" w:hAnsi="Times New Roman"/>
          <w:sz w:val="24"/>
          <w:szCs w:val="24"/>
        </w:rPr>
        <w:t>лицу</w:t>
      </w:r>
      <w:r w:rsidR="00A9005D" w:rsidRPr="00797E29">
        <w:rPr>
          <w:rFonts w:ascii="Times New Roman" w:hAnsi="Times New Roman"/>
          <w:sz w:val="24"/>
          <w:szCs w:val="24"/>
        </w:rPr>
        <w:t xml:space="preserve"> </w:t>
      </w:r>
      <w:r w:rsidRPr="00797E29">
        <w:rPr>
          <w:rFonts w:ascii="Times New Roman" w:hAnsi="Times New Roman"/>
          <w:sz w:val="24"/>
          <w:szCs w:val="24"/>
        </w:rPr>
        <w:t>на</w:t>
      </w:r>
      <w:r w:rsidR="00A9005D" w:rsidRPr="00797E29">
        <w:rPr>
          <w:rFonts w:ascii="Times New Roman" w:hAnsi="Times New Roman"/>
          <w:sz w:val="24"/>
          <w:szCs w:val="24"/>
        </w:rPr>
        <w:t xml:space="preserve"> </w:t>
      </w:r>
      <w:r w:rsidRPr="00797E29">
        <w:rPr>
          <w:rFonts w:ascii="Times New Roman" w:hAnsi="Times New Roman"/>
          <w:sz w:val="24"/>
          <w:szCs w:val="24"/>
        </w:rPr>
        <w:t>које</w:t>
      </w:r>
      <w:r w:rsidR="00A9005D" w:rsidRPr="00797E29">
        <w:rPr>
          <w:rFonts w:ascii="Times New Roman" w:hAnsi="Times New Roman"/>
          <w:sz w:val="24"/>
          <w:szCs w:val="24"/>
        </w:rPr>
        <w:t xml:space="preserve"> </w:t>
      </w:r>
      <w:r w:rsidRPr="00797E29">
        <w:rPr>
          <w:rFonts w:ascii="Times New Roman" w:hAnsi="Times New Roman"/>
          <w:sz w:val="24"/>
          <w:szCs w:val="24"/>
        </w:rPr>
        <w:t>је</w:t>
      </w:r>
      <w:r w:rsidR="00A9005D" w:rsidRPr="00797E29">
        <w:rPr>
          <w:rFonts w:ascii="Times New Roman" w:hAnsi="Times New Roman"/>
          <w:sz w:val="24"/>
          <w:szCs w:val="24"/>
        </w:rPr>
        <w:t xml:space="preserve"> </w:t>
      </w:r>
      <w:r w:rsidRPr="00797E29">
        <w:rPr>
          <w:rFonts w:ascii="Times New Roman" w:hAnsi="Times New Roman"/>
          <w:sz w:val="24"/>
          <w:szCs w:val="24"/>
        </w:rPr>
        <w:t>пренос</w:t>
      </w:r>
      <w:r w:rsidR="00A9005D" w:rsidRPr="00797E29">
        <w:rPr>
          <w:rFonts w:ascii="Times New Roman" w:hAnsi="Times New Roman"/>
          <w:sz w:val="24"/>
          <w:szCs w:val="24"/>
        </w:rPr>
        <w:t xml:space="preserve"> </w:t>
      </w:r>
      <w:r w:rsidRPr="00797E29">
        <w:rPr>
          <w:rFonts w:ascii="Times New Roman" w:hAnsi="Times New Roman"/>
          <w:sz w:val="24"/>
          <w:szCs w:val="24"/>
        </w:rPr>
        <w:t>имовине</w:t>
      </w:r>
      <w:r w:rsidR="00A9005D" w:rsidRPr="00797E29">
        <w:rPr>
          <w:rFonts w:ascii="Times New Roman" w:hAnsi="Times New Roman"/>
          <w:sz w:val="24"/>
          <w:szCs w:val="24"/>
        </w:rPr>
        <w:t xml:space="preserve"> </w:t>
      </w:r>
      <w:r w:rsidRPr="00797E29">
        <w:rPr>
          <w:rFonts w:ascii="Times New Roman" w:hAnsi="Times New Roman"/>
          <w:sz w:val="24"/>
          <w:szCs w:val="24"/>
        </w:rPr>
        <w:t>извршен</w:t>
      </w:r>
      <w:r w:rsidR="00A9005D" w:rsidRPr="00797E29">
        <w:rPr>
          <w:rFonts w:ascii="Times New Roman" w:hAnsi="Times New Roman"/>
          <w:sz w:val="24"/>
          <w:szCs w:val="24"/>
        </w:rPr>
        <w:t xml:space="preserve">, </w:t>
      </w:r>
      <w:r w:rsidRPr="00797E29">
        <w:rPr>
          <w:rFonts w:ascii="Times New Roman" w:hAnsi="Times New Roman"/>
          <w:sz w:val="24"/>
          <w:szCs w:val="24"/>
        </w:rPr>
        <w:t>као</w:t>
      </w:r>
      <w:r w:rsidR="00A9005D" w:rsidRPr="00797E29">
        <w:rPr>
          <w:rFonts w:ascii="Times New Roman" w:hAnsi="Times New Roman"/>
          <w:sz w:val="24"/>
          <w:szCs w:val="24"/>
        </w:rPr>
        <w:t xml:space="preserve"> </w:t>
      </w:r>
      <w:r w:rsidRPr="00797E29">
        <w:rPr>
          <w:rFonts w:ascii="Times New Roman" w:hAnsi="Times New Roman"/>
          <w:sz w:val="24"/>
          <w:szCs w:val="24"/>
        </w:rPr>
        <w:t>и</w:t>
      </w:r>
      <w:r w:rsidR="00A9005D" w:rsidRPr="00797E29">
        <w:rPr>
          <w:rFonts w:ascii="Times New Roman" w:hAnsi="Times New Roman"/>
          <w:sz w:val="24"/>
          <w:szCs w:val="24"/>
        </w:rPr>
        <w:t xml:space="preserve"> </w:t>
      </w:r>
      <w:r w:rsidRPr="00797E29">
        <w:rPr>
          <w:rFonts w:ascii="Times New Roman" w:hAnsi="Times New Roman"/>
          <w:sz w:val="24"/>
          <w:szCs w:val="24"/>
        </w:rPr>
        <w:t>евентуалну</w:t>
      </w:r>
      <w:r w:rsidR="00A9005D" w:rsidRPr="00797E29">
        <w:rPr>
          <w:rFonts w:ascii="Times New Roman" w:hAnsi="Times New Roman"/>
          <w:sz w:val="24"/>
          <w:szCs w:val="24"/>
        </w:rPr>
        <w:t xml:space="preserve"> </w:t>
      </w:r>
      <w:r w:rsidRPr="00797E29">
        <w:rPr>
          <w:rFonts w:ascii="Times New Roman" w:hAnsi="Times New Roman"/>
          <w:sz w:val="24"/>
          <w:szCs w:val="24"/>
        </w:rPr>
        <w:t>готовинску</w:t>
      </w:r>
      <w:r w:rsidR="00A9005D" w:rsidRPr="00797E29">
        <w:rPr>
          <w:rFonts w:ascii="Times New Roman" w:hAnsi="Times New Roman"/>
          <w:sz w:val="24"/>
          <w:szCs w:val="24"/>
        </w:rPr>
        <w:t xml:space="preserve"> </w:t>
      </w:r>
      <w:r w:rsidRPr="00797E29">
        <w:rPr>
          <w:rFonts w:ascii="Times New Roman" w:hAnsi="Times New Roman"/>
          <w:sz w:val="24"/>
          <w:szCs w:val="24"/>
        </w:rPr>
        <w:t>накнаду</w:t>
      </w:r>
      <w:r w:rsidR="00A9005D" w:rsidRPr="00797E29">
        <w:rPr>
          <w:rFonts w:ascii="Times New Roman" w:hAnsi="Times New Roman"/>
          <w:sz w:val="24"/>
          <w:szCs w:val="24"/>
        </w:rPr>
        <w:t xml:space="preserve">, </w:t>
      </w:r>
      <w:r w:rsidRPr="00797E29">
        <w:rPr>
          <w:rFonts w:ascii="Times New Roman" w:hAnsi="Times New Roman"/>
          <w:sz w:val="24"/>
          <w:szCs w:val="24"/>
        </w:rPr>
        <w:t>чији</w:t>
      </w:r>
      <w:r w:rsidR="00A9005D" w:rsidRPr="00797E29">
        <w:rPr>
          <w:rFonts w:ascii="Times New Roman" w:hAnsi="Times New Roman"/>
          <w:sz w:val="24"/>
          <w:szCs w:val="24"/>
        </w:rPr>
        <w:t xml:space="preserve"> </w:t>
      </w:r>
      <w:r w:rsidRPr="00797E29">
        <w:rPr>
          <w:rFonts w:ascii="Times New Roman" w:hAnsi="Times New Roman"/>
          <w:sz w:val="24"/>
          <w:szCs w:val="24"/>
        </w:rPr>
        <w:t>износ</w:t>
      </w:r>
      <w:r w:rsidR="00A9005D" w:rsidRPr="00797E29">
        <w:rPr>
          <w:rFonts w:ascii="Times New Roman" w:hAnsi="Times New Roman"/>
          <w:sz w:val="24"/>
          <w:szCs w:val="24"/>
        </w:rPr>
        <w:t xml:space="preserve"> </w:t>
      </w:r>
      <w:r w:rsidRPr="00797E29">
        <w:rPr>
          <w:rFonts w:ascii="Times New Roman" w:hAnsi="Times New Roman"/>
          <w:sz w:val="24"/>
          <w:szCs w:val="24"/>
        </w:rPr>
        <w:t>не</w:t>
      </w:r>
      <w:r w:rsidR="00A9005D" w:rsidRPr="00797E29">
        <w:rPr>
          <w:rFonts w:ascii="Times New Roman" w:hAnsi="Times New Roman"/>
          <w:sz w:val="24"/>
          <w:szCs w:val="24"/>
        </w:rPr>
        <w:t xml:space="preserve"> </w:t>
      </w:r>
      <w:r w:rsidRPr="00797E29">
        <w:rPr>
          <w:rFonts w:ascii="Times New Roman" w:hAnsi="Times New Roman"/>
          <w:sz w:val="24"/>
          <w:szCs w:val="24"/>
        </w:rPr>
        <w:t>прелази</w:t>
      </w:r>
      <w:r w:rsidR="00A9005D" w:rsidRPr="00797E29">
        <w:rPr>
          <w:rFonts w:ascii="Times New Roman" w:hAnsi="Times New Roman"/>
          <w:sz w:val="24"/>
          <w:szCs w:val="24"/>
        </w:rPr>
        <w:t xml:space="preserve"> 10% </w:t>
      </w:r>
      <w:r w:rsidRPr="00797E29">
        <w:rPr>
          <w:rFonts w:ascii="Times New Roman" w:hAnsi="Times New Roman"/>
          <w:sz w:val="24"/>
          <w:szCs w:val="24"/>
        </w:rPr>
        <w:t>номиналне</w:t>
      </w:r>
      <w:r w:rsidR="00A9005D" w:rsidRPr="00797E29">
        <w:rPr>
          <w:rFonts w:ascii="Times New Roman" w:hAnsi="Times New Roman"/>
          <w:sz w:val="24"/>
          <w:szCs w:val="24"/>
        </w:rPr>
        <w:t xml:space="preserve"> </w:t>
      </w:r>
      <w:r w:rsidRPr="00797E29">
        <w:rPr>
          <w:rFonts w:ascii="Times New Roman" w:hAnsi="Times New Roman"/>
          <w:sz w:val="24"/>
          <w:szCs w:val="24"/>
        </w:rPr>
        <w:t>вредности</w:t>
      </w:r>
      <w:r w:rsidR="00A9005D" w:rsidRPr="00797E29">
        <w:rPr>
          <w:rFonts w:ascii="Times New Roman" w:hAnsi="Times New Roman"/>
          <w:sz w:val="24"/>
          <w:szCs w:val="24"/>
        </w:rPr>
        <w:t xml:space="preserve"> </w:t>
      </w:r>
      <w:r w:rsidRPr="00797E29">
        <w:rPr>
          <w:rFonts w:ascii="Times New Roman" w:hAnsi="Times New Roman"/>
          <w:sz w:val="24"/>
          <w:szCs w:val="24"/>
        </w:rPr>
        <w:t>добијених</w:t>
      </w:r>
      <w:r w:rsidR="00A9005D" w:rsidRPr="00797E29">
        <w:rPr>
          <w:rFonts w:ascii="Times New Roman" w:hAnsi="Times New Roman"/>
          <w:sz w:val="24"/>
          <w:szCs w:val="24"/>
        </w:rPr>
        <w:t xml:space="preserve"> </w:t>
      </w:r>
      <w:r w:rsidRPr="00797E29">
        <w:rPr>
          <w:rFonts w:ascii="Times New Roman" w:hAnsi="Times New Roman"/>
          <w:sz w:val="24"/>
          <w:szCs w:val="24"/>
        </w:rPr>
        <w:t>акција</w:t>
      </w:r>
      <w:r w:rsidR="00A9005D" w:rsidRPr="00797E29">
        <w:rPr>
          <w:rFonts w:ascii="Times New Roman" w:hAnsi="Times New Roman"/>
          <w:sz w:val="24"/>
          <w:szCs w:val="24"/>
        </w:rPr>
        <w:t xml:space="preserve">, </w:t>
      </w:r>
      <w:r w:rsidRPr="00797E29">
        <w:rPr>
          <w:rFonts w:ascii="Times New Roman" w:hAnsi="Times New Roman"/>
          <w:sz w:val="24"/>
          <w:szCs w:val="24"/>
        </w:rPr>
        <w:t>односно</w:t>
      </w:r>
      <w:r w:rsidR="00A9005D" w:rsidRPr="00797E29">
        <w:rPr>
          <w:rFonts w:ascii="Times New Roman" w:hAnsi="Times New Roman"/>
          <w:sz w:val="24"/>
          <w:szCs w:val="24"/>
        </w:rPr>
        <w:t xml:space="preserve"> </w:t>
      </w:r>
      <w:r w:rsidRPr="00797E29">
        <w:rPr>
          <w:rFonts w:ascii="Times New Roman" w:hAnsi="Times New Roman"/>
          <w:sz w:val="24"/>
          <w:szCs w:val="24"/>
        </w:rPr>
        <w:t>удела</w:t>
      </w:r>
      <w:r w:rsidR="00A9005D" w:rsidRPr="00797E29">
        <w:rPr>
          <w:rFonts w:ascii="Times New Roman" w:hAnsi="Times New Roman"/>
          <w:sz w:val="24"/>
          <w:szCs w:val="24"/>
        </w:rPr>
        <w:t>.</w:t>
      </w:r>
      <w:r w:rsidR="00965E2D" w:rsidRPr="00797E29">
        <w:rPr>
          <w:rFonts w:ascii="Times New Roman" w:hAnsi="Times New Roman"/>
          <w:sz w:val="24"/>
          <w:szCs w:val="24"/>
          <w:lang w:val="sr-Cyrl-CS"/>
        </w:rPr>
        <w:t xml:space="preserve"> </w:t>
      </w:r>
      <w:r w:rsidRPr="00797E29">
        <w:rPr>
          <w:rFonts w:ascii="Times New Roman" w:hAnsi="Times New Roman"/>
          <w:sz w:val="24"/>
          <w:szCs w:val="24"/>
        </w:rPr>
        <w:t>Ако</w:t>
      </w:r>
      <w:r w:rsidR="00A9005D" w:rsidRPr="00797E29">
        <w:rPr>
          <w:rFonts w:ascii="Times New Roman" w:hAnsi="Times New Roman"/>
          <w:sz w:val="24"/>
          <w:szCs w:val="24"/>
        </w:rPr>
        <w:t xml:space="preserve"> </w:t>
      </w:r>
      <w:r w:rsidR="000F59D5" w:rsidRPr="00797E29">
        <w:rPr>
          <w:rFonts w:ascii="Times New Roman" w:hAnsi="Times New Roman"/>
          <w:sz w:val="24"/>
          <w:szCs w:val="24"/>
          <w:lang w:val="sr-Cyrl-CS"/>
        </w:rPr>
        <w:t xml:space="preserve">ова </w:t>
      </w:r>
      <w:r w:rsidRPr="00797E29">
        <w:rPr>
          <w:rFonts w:ascii="Times New Roman" w:hAnsi="Times New Roman"/>
          <w:sz w:val="24"/>
          <w:szCs w:val="24"/>
        </w:rPr>
        <w:t>готовинска</w:t>
      </w:r>
      <w:r w:rsidR="00A9005D" w:rsidRPr="00797E29">
        <w:rPr>
          <w:rFonts w:ascii="Times New Roman" w:hAnsi="Times New Roman"/>
          <w:sz w:val="24"/>
          <w:szCs w:val="24"/>
        </w:rPr>
        <w:t xml:space="preserve"> </w:t>
      </w:r>
      <w:r w:rsidRPr="00797E29">
        <w:rPr>
          <w:rFonts w:ascii="Times New Roman" w:hAnsi="Times New Roman"/>
          <w:sz w:val="24"/>
          <w:szCs w:val="24"/>
        </w:rPr>
        <w:t>накнада</w:t>
      </w:r>
      <w:r w:rsidR="00A9005D" w:rsidRPr="00797E29">
        <w:rPr>
          <w:rFonts w:ascii="Times New Roman" w:hAnsi="Times New Roman"/>
          <w:sz w:val="24"/>
          <w:szCs w:val="24"/>
        </w:rPr>
        <w:t xml:space="preserve"> </w:t>
      </w:r>
      <w:r w:rsidRPr="00797E29">
        <w:rPr>
          <w:rFonts w:ascii="Times New Roman" w:hAnsi="Times New Roman"/>
          <w:sz w:val="24"/>
          <w:szCs w:val="24"/>
        </w:rPr>
        <w:t>прелази</w:t>
      </w:r>
      <w:r w:rsidR="00A9005D" w:rsidRPr="00797E29">
        <w:rPr>
          <w:rFonts w:ascii="Times New Roman" w:hAnsi="Times New Roman"/>
          <w:sz w:val="24"/>
          <w:szCs w:val="24"/>
        </w:rPr>
        <w:t xml:space="preserve"> 10% </w:t>
      </w:r>
      <w:r w:rsidRPr="00797E29">
        <w:rPr>
          <w:rFonts w:ascii="Times New Roman" w:hAnsi="Times New Roman"/>
          <w:sz w:val="24"/>
          <w:szCs w:val="24"/>
        </w:rPr>
        <w:t>номиналне</w:t>
      </w:r>
      <w:r w:rsidR="00A9005D" w:rsidRPr="00797E29">
        <w:rPr>
          <w:rFonts w:ascii="Times New Roman" w:hAnsi="Times New Roman"/>
          <w:sz w:val="24"/>
          <w:szCs w:val="24"/>
        </w:rPr>
        <w:t xml:space="preserve"> </w:t>
      </w:r>
      <w:r w:rsidRPr="00797E29">
        <w:rPr>
          <w:rFonts w:ascii="Times New Roman" w:hAnsi="Times New Roman"/>
          <w:sz w:val="24"/>
          <w:szCs w:val="24"/>
        </w:rPr>
        <w:t>вредности</w:t>
      </w:r>
      <w:r w:rsidR="00A9005D" w:rsidRPr="00797E29">
        <w:rPr>
          <w:rFonts w:ascii="Times New Roman" w:hAnsi="Times New Roman"/>
          <w:sz w:val="24"/>
          <w:szCs w:val="24"/>
        </w:rPr>
        <w:t xml:space="preserve"> </w:t>
      </w:r>
      <w:r w:rsidRPr="00797E29">
        <w:rPr>
          <w:rFonts w:ascii="Times New Roman" w:hAnsi="Times New Roman"/>
          <w:sz w:val="24"/>
          <w:szCs w:val="24"/>
        </w:rPr>
        <w:t>добијених</w:t>
      </w:r>
      <w:r w:rsidR="00A9005D" w:rsidRPr="00797E29">
        <w:rPr>
          <w:rFonts w:ascii="Times New Roman" w:hAnsi="Times New Roman"/>
          <w:sz w:val="24"/>
          <w:szCs w:val="24"/>
        </w:rPr>
        <w:t xml:space="preserve"> </w:t>
      </w:r>
      <w:r w:rsidRPr="00797E29">
        <w:rPr>
          <w:rFonts w:ascii="Times New Roman" w:hAnsi="Times New Roman"/>
          <w:sz w:val="24"/>
          <w:szCs w:val="24"/>
        </w:rPr>
        <w:t>акција</w:t>
      </w:r>
      <w:r w:rsidR="00A9005D" w:rsidRPr="00797E29">
        <w:rPr>
          <w:rFonts w:ascii="Times New Roman" w:hAnsi="Times New Roman"/>
          <w:sz w:val="24"/>
          <w:szCs w:val="24"/>
        </w:rPr>
        <w:t xml:space="preserve">, </w:t>
      </w:r>
      <w:r w:rsidRPr="00797E29">
        <w:rPr>
          <w:rFonts w:ascii="Times New Roman" w:hAnsi="Times New Roman"/>
          <w:sz w:val="24"/>
          <w:szCs w:val="24"/>
        </w:rPr>
        <w:t>односно</w:t>
      </w:r>
      <w:r w:rsidR="00A9005D" w:rsidRPr="00797E29">
        <w:rPr>
          <w:rFonts w:ascii="Times New Roman" w:hAnsi="Times New Roman"/>
          <w:sz w:val="24"/>
          <w:szCs w:val="24"/>
        </w:rPr>
        <w:t xml:space="preserve"> </w:t>
      </w:r>
      <w:r w:rsidRPr="00797E29">
        <w:rPr>
          <w:rFonts w:ascii="Times New Roman" w:hAnsi="Times New Roman"/>
          <w:sz w:val="24"/>
          <w:szCs w:val="24"/>
        </w:rPr>
        <w:t>удела</w:t>
      </w:r>
      <w:r w:rsidR="00A9005D" w:rsidRPr="00797E29">
        <w:rPr>
          <w:rFonts w:ascii="Times New Roman" w:hAnsi="Times New Roman"/>
          <w:sz w:val="24"/>
          <w:szCs w:val="24"/>
        </w:rPr>
        <w:t xml:space="preserve">, </w:t>
      </w:r>
      <w:r w:rsidRPr="00797E29">
        <w:rPr>
          <w:rFonts w:ascii="Times New Roman" w:hAnsi="Times New Roman"/>
          <w:sz w:val="24"/>
          <w:szCs w:val="24"/>
        </w:rPr>
        <w:t>пореска</w:t>
      </w:r>
      <w:r w:rsidR="00A9005D" w:rsidRPr="00797E29">
        <w:rPr>
          <w:rFonts w:ascii="Times New Roman" w:hAnsi="Times New Roman"/>
          <w:sz w:val="24"/>
          <w:szCs w:val="24"/>
        </w:rPr>
        <w:t xml:space="preserve"> </w:t>
      </w:r>
      <w:r w:rsidRPr="00797E29">
        <w:rPr>
          <w:rFonts w:ascii="Times New Roman" w:hAnsi="Times New Roman"/>
          <w:sz w:val="24"/>
          <w:szCs w:val="24"/>
        </w:rPr>
        <w:t>обавеза</w:t>
      </w:r>
      <w:r w:rsidR="00A9005D" w:rsidRPr="00797E29">
        <w:rPr>
          <w:rFonts w:ascii="Times New Roman" w:hAnsi="Times New Roman"/>
          <w:sz w:val="24"/>
          <w:szCs w:val="24"/>
        </w:rPr>
        <w:t xml:space="preserve"> </w:t>
      </w:r>
      <w:r w:rsidRPr="00797E29">
        <w:rPr>
          <w:rFonts w:ascii="Times New Roman" w:hAnsi="Times New Roman"/>
          <w:sz w:val="24"/>
          <w:szCs w:val="24"/>
        </w:rPr>
        <w:t>по</w:t>
      </w:r>
      <w:r w:rsidR="00A9005D" w:rsidRPr="00797E29">
        <w:rPr>
          <w:rFonts w:ascii="Times New Roman" w:hAnsi="Times New Roman"/>
          <w:sz w:val="24"/>
          <w:szCs w:val="24"/>
        </w:rPr>
        <w:t xml:space="preserve"> </w:t>
      </w:r>
      <w:r w:rsidRPr="00797E29">
        <w:rPr>
          <w:rFonts w:ascii="Times New Roman" w:hAnsi="Times New Roman"/>
          <w:sz w:val="24"/>
          <w:szCs w:val="24"/>
        </w:rPr>
        <w:t>основу</w:t>
      </w:r>
      <w:r w:rsidR="00A9005D" w:rsidRPr="00797E29">
        <w:rPr>
          <w:rFonts w:ascii="Times New Roman" w:hAnsi="Times New Roman"/>
          <w:sz w:val="24"/>
          <w:szCs w:val="24"/>
        </w:rPr>
        <w:t xml:space="preserve"> </w:t>
      </w:r>
      <w:r w:rsidRPr="00797E29">
        <w:rPr>
          <w:rFonts w:ascii="Times New Roman" w:hAnsi="Times New Roman"/>
          <w:sz w:val="24"/>
          <w:szCs w:val="24"/>
        </w:rPr>
        <w:t>капиталног</w:t>
      </w:r>
      <w:r w:rsidR="00A9005D" w:rsidRPr="00797E29">
        <w:rPr>
          <w:rFonts w:ascii="Times New Roman" w:hAnsi="Times New Roman"/>
          <w:sz w:val="24"/>
          <w:szCs w:val="24"/>
        </w:rPr>
        <w:t xml:space="preserve"> </w:t>
      </w:r>
      <w:r w:rsidRPr="00797E29">
        <w:rPr>
          <w:rFonts w:ascii="Times New Roman" w:hAnsi="Times New Roman"/>
          <w:sz w:val="24"/>
          <w:szCs w:val="24"/>
        </w:rPr>
        <w:t>добитка</w:t>
      </w:r>
      <w:r w:rsidR="00A9005D" w:rsidRPr="00797E29">
        <w:rPr>
          <w:rFonts w:ascii="Times New Roman" w:hAnsi="Times New Roman"/>
          <w:sz w:val="24"/>
          <w:szCs w:val="24"/>
        </w:rPr>
        <w:t xml:space="preserve"> </w:t>
      </w:r>
      <w:r w:rsidRPr="00797E29">
        <w:rPr>
          <w:rFonts w:ascii="Times New Roman" w:hAnsi="Times New Roman"/>
          <w:sz w:val="24"/>
          <w:szCs w:val="24"/>
        </w:rPr>
        <w:t>настаје</w:t>
      </w:r>
      <w:r w:rsidR="00A9005D" w:rsidRPr="00797E29">
        <w:rPr>
          <w:rFonts w:ascii="Times New Roman" w:hAnsi="Times New Roman"/>
          <w:sz w:val="24"/>
          <w:szCs w:val="24"/>
        </w:rPr>
        <w:t xml:space="preserve"> </w:t>
      </w:r>
      <w:r w:rsidRPr="00797E29">
        <w:rPr>
          <w:rFonts w:ascii="Times New Roman" w:hAnsi="Times New Roman"/>
          <w:sz w:val="24"/>
          <w:szCs w:val="24"/>
        </w:rPr>
        <w:t>у</w:t>
      </w:r>
      <w:r w:rsidR="00A9005D" w:rsidRPr="00797E29">
        <w:rPr>
          <w:rFonts w:ascii="Times New Roman" w:hAnsi="Times New Roman"/>
          <w:sz w:val="24"/>
          <w:szCs w:val="24"/>
        </w:rPr>
        <w:t xml:space="preserve"> </w:t>
      </w:r>
      <w:r w:rsidRPr="00797E29">
        <w:rPr>
          <w:rFonts w:ascii="Times New Roman" w:hAnsi="Times New Roman"/>
          <w:sz w:val="24"/>
          <w:szCs w:val="24"/>
        </w:rPr>
        <w:t>моменту</w:t>
      </w:r>
      <w:r w:rsidR="00A9005D" w:rsidRPr="00797E29">
        <w:rPr>
          <w:rFonts w:ascii="Times New Roman" w:hAnsi="Times New Roman"/>
          <w:sz w:val="24"/>
          <w:szCs w:val="24"/>
        </w:rPr>
        <w:t xml:space="preserve"> </w:t>
      </w:r>
      <w:r w:rsidRPr="00797E29">
        <w:rPr>
          <w:rFonts w:ascii="Times New Roman" w:hAnsi="Times New Roman"/>
          <w:sz w:val="24"/>
          <w:szCs w:val="24"/>
        </w:rPr>
        <w:t>статусне</w:t>
      </w:r>
      <w:r w:rsidR="00A9005D" w:rsidRPr="00797E29">
        <w:rPr>
          <w:rFonts w:ascii="Times New Roman" w:hAnsi="Times New Roman"/>
          <w:sz w:val="24"/>
          <w:szCs w:val="24"/>
        </w:rPr>
        <w:t xml:space="preserve"> </w:t>
      </w:r>
      <w:r w:rsidRPr="00797E29">
        <w:rPr>
          <w:rFonts w:ascii="Times New Roman" w:hAnsi="Times New Roman"/>
          <w:sz w:val="24"/>
          <w:szCs w:val="24"/>
        </w:rPr>
        <w:t>промене</w:t>
      </w:r>
      <w:r w:rsidR="00A9005D" w:rsidRPr="00797E29">
        <w:rPr>
          <w:rFonts w:ascii="Times New Roman" w:hAnsi="Times New Roman"/>
          <w:sz w:val="24"/>
          <w:szCs w:val="24"/>
        </w:rPr>
        <w:t xml:space="preserve">, </w:t>
      </w:r>
      <w:r w:rsidRPr="00797E29">
        <w:rPr>
          <w:rFonts w:ascii="Times New Roman" w:hAnsi="Times New Roman"/>
          <w:sz w:val="24"/>
          <w:szCs w:val="24"/>
        </w:rPr>
        <w:t>а</w:t>
      </w:r>
      <w:r w:rsidR="00A9005D" w:rsidRPr="00797E29">
        <w:rPr>
          <w:rFonts w:ascii="Times New Roman" w:hAnsi="Times New Roman"/>
          <w:sz w:val="24"/>
          <w:szCs w:val="24"/>
        </w:rPr>
        <w:t xml:space="preserve"> </w:t>
      </w:r>
      <w:r w:rsidRPr="00797E29">
        <w:rPr>
          <w:rFonts w:ascii="Times New Roman" w:hAnsi="Times New Roman"/>
          <w:sz w:val="24"/>
          <w:szCs w:val="24"/>
        </w:rPr>
        <w:lastRenderedPageBreak/>
        <w:t>капитални</w:t>
      </w:r>
      <w:r w:rsidR="00A9005D" w:rsidRPr="00797E29">
        <w:rPr>
          <w:rFonts w:ascii="Times New Roman" w:hAnsi="Times New Roman"/>
          <w:sz w:val="24"/>
          <w:szCs w:val="24"/>
        </w:rPr>
        <w:t xml:space="preserve"> </w:t>
      </w:r>
      <w:r w:rsidRPr="00797E29">
        <w:rPr>
          <w:rFonts w:ascii="Times New Roman" w:hAnsi="Times New Roman"/>
          <w:sz w:val="24"/>
          <w:szCs w:val="24"/>
        </w:rPr>
        <w:t>добитак</w:t>
      </w:r>
      <w:r w:rsidR="00A9005D" w:rsidRPr="00797E29">
        <w:rPr>
          <w:rFonts w:ascii="Times New Roman" w:hAnsi="Times New Roman"/>
          <w:sz w:val="24"/>
          <w:szCs w:val="24"/>
        </w:rPr>
        <w:t xml:space="preserve"> </w:t>
      </w:r>
      <w:r w:rsidRPr="00797E29">
        <w:rPr>
          <w:rFonts w:ascii="Times New Roman" w:hAnsi="Times New Roman"/>
          <w:sz w:val="24"/>
          <w:szCs w:val="24"/>
        </w:rPr>
        <w:t>се</w:t>
      </w:r>
      <w:r w:rsidR="00A9005D" w:rsidRPr="00797E29">
        <w:rPr>
          <w:rFonts w:ascii="Times New Roman" w:hAnsi="Times New Roman"/>
          <w:sz w:val="24"/>
          <w:szCs w:val="24"/>
        </w:rPr>
        <w:t xml:space="preserve"> </w:t>
      </w:r>
      <w:r w:rsidRPr="00797E29">
        <w:rPr>
          <w:rFonts w:ascii="Times New Roman" w:hAnsi="Times New Roman"/>
          <w:sz w:val="24"/>
          <w:szCs w:val="24"/>
        </w:rPr>
        <w:t>обрачунава</w:t>
      </w:r>
      <w:r w:rsidR="00A9005D" w:rsidRPr="00797E29">
        <w:rPr>
          <w:rFonts w:ascii="Times New Roman" w:hAnsi="Times New Roman"/>
          <w:sz w:val="24"/>
          <w:szCs w:val="24"/>
        </w:rPr>
        <w:t xml:space="preserve"> </w:t>
      </w:r>
      <w:r w:rsidRPr="00797E29">
        <w:rPr>
          <w:rFonts w:ascii="Times New Roman" w:hAnsi="Times New Roman"/>
          <w:sz w:val="24"/>
          <w:szCs w:val="24"/>
        </w:rPr>
        <w:t>као</w:t>
      </w:r>
      <w:r w:rsidR="00A9005D" w:rsidRPr="00797E29">
        <w:rPr>
          <w:rFonts w:ascii="Times New Roman" w:hAnsi="Times New Roman"/>
          <w:sz w:val="24"/>
          <w:szCs w:val="24"/>
        </w:rPr>
        <w:t xml:space="preserve"> </w:t>
      </w:r>
      <w:r w:rsidRPr="00797E29">
        <w:rPr>
          <w:rFonts w:ascii="Times New Roman" w:hAnsi="Times New Roman"/>
          <w:sz w:val="24"/>
          <w:szCs w:val="24"/>
        </w:rPr>
        <w:t>разлика</w:t>
      </w:r>
      <w:r w:rsidR="00A9005D" w:rsidRPr="00797E29">
        <w:rPr>
          <w:rFonts w:ascii="Times New Roman" w:hAnsi="Times New Roman"/>
          <w:sz w:val="24"/>
          <w:szCs w:val="24"/>
        </w:rPr>
        <w:t xml:space="preserve"> </w:t>
      </w:r>
      <w:r w:rsidRPr="00797E29">
        <w:rPr>
          <w:rFonts w:ascii="Times New Roman" w:hAnsi="Times New Roman"/>
          <w:sz w:val="24"/>
          <w:szCs w:val="24"/>
        </w:rPr>
        <w:t>између</w:t>
      </w:r>
      <w:r w:rsidR="00A9005D" w:rsidRPr="00797E29">
        <w:rPr>
          <w:rFonts w:ascii="Times New Roman" w:hAnsi="Times New Roman"/>
          <w:sz w:val="24"/>
          <w:szCs w:val="24"/>
        </w:rPr>
        <w:t xml:space="preserve"> </w:t>
      </w:r>
      <w:r w:rsidRPr="00797E29">
        <w:rPr>
          <w:rFonts w:ascii="Times New Roman" w:hAnsi="Times New Roman"/>
          <w:sz w:val="24"/>
          <w:szCs w:val="24"/>
        </w:rPr>
        <w:t>цене</w:t>
      </w:r>
      <w:r w:rsidR="00A9005D" w:rsidRPr="00797E29">
        <w:rPr>
          <w:rFonts w:ascii="Times New Roman" w:hAnsi="Times New Roman"/>
          <w:sz w:val="24"/>
          <w:szCs w:val="24"/>
        </w:rPr>
        <w:t xml:space="preserve"> </w:t>
      </w:r>
      <w:r w:rsidRPr="00797E29">
        <w:rPr>
          <w:rFonts w:ascii="Times New Roman" w:hAnsi="Times New Roman"/>
          <w:sz w:val="24"/>
          <w:szCs w:val="24"/>
        </w:rPr>
        <w:t>по</w:t>
      </w:r>
      <w:r w:rsidR="00A9005D" w:rsidRPr="00797E29">
        <w:rPr>
          <w:rFonts w:ascii="Times New Roman" w:hAnsi="Times New Roman"/>
          <w:sz w:val="24"/>
          <w:szCs w:val="24"/>
        </w:rPr>
        <w:t xml:space="preserve"> </w:t>
      </w:r>
      <w:r w:rsidRPr="00797E29">
        <w:rPr>
          <w:rFonts w:ascii="Times New Roman" w:hAnsi="Times New Roman"/>
          <w:sz w:val="24"/>
          <w:szCs w:val="24"/>
        </w:rPr>
        <w:t>којој</w:t>
      </w:r>
      <w:r w:rsidR="00A9005D" w:rsidRPr="00797E29">
        <w:rPr>
          <w:rFonts w:ascii="Times New Roman" w:hAnsi="Times New Roman"/>
          <w:sz w:val="24"/>
          <w:szCs w:val="24"/>
        </w:rPr>
        <w:t xml:space="preserve"> </w:t>
      </w:r>
      <w:r w:rsidRPr="00797E29">
        <w:rPr>
          <w:rFonts w:ascii="Times New Roman" w:hAnsi="Times New Roman"/>
          <w:sz w:val="24"/>
          <w:szCs w:val="24"/>
        </w:rPr>
        <w:t>би</w:t>
      </w:r>
      <w:r w:rsidR="00A9005D" w:rsidRPr="00797E29">
        <w:rPr>
          <w:rFonts w:ascii="Times New Roman" w:hAnsi="Times New Roman"/>
          <w:sz w:val="24"/>
          <w:szCs w:val="24"/>
        </w:rPr>
        <w:t xml:space="preserve"> </w:t>
      </w:r>
      <w:r w:rsidRPr="00797E29">
        <w:rPr>
          <w:rFonts w:ascii="Times New Roman" w:hAnsi="Times New Roman"/>
          <w:sz w:val="24"/>
          <w:szCs w:val="24"/>
        </w:rPr>
        <w:t>се</w:t>
      </w:r>
      <w:r w:rsidR="00A9005D" w:rsidRPr="00797E29">
        <w:rPr>
          <w:rFonts w:ascii="Times New Roman" w:hAnsi="Times New Roman"/>
          <w:sz w:val="24"/>
          <w:szCs w:val="24"/>
        </w:rPr>
        <w:t xml:space="preserve"> </w:t>
      </w:r>
      <w:r w:rsidRPr="00797E29">
        <w:rPr>
          <w:rFonts w:ascii="Times New Roman" w:hAnsi="Times New Roman"/>
          <w:sz w:val="24"/>
          <w:szCs w:val="24"/>
        </w:rPr>
        <w:t>имовина</w:t>
      </w:r>
      <w:r w:rsidR="00A9005D" w:rsidRPr="00797E29">
        <w:rPr>
          <w:rFonts w:ascii="Times New Roman" w:hAnsi="Times New Roman"/>
          <w:sz w:val="24"/>
          <w:szCs w:val="24"/>
        </w:rPr>
        <w:t xml:space="preserve"> </w:t>
      </w:r>
      <w:r w:rsidRPr="00797E29">
        <w:rPr>
          <w:rFonts w:ascii="Times New Roman" w:hAnsi="Times New Roman"/>
          <w:sz w:val="24"/>
          <w:szCs w:val="24"/>
        </w:rPr>
        <w:t>могла</w:t>
      </w:r>
      <w:r w:rsidR="00A9005D" w:rsidRPr="00797E29">
        <w:rPr>
          <w:rFonts w:ascii="Times New Roman" w:hAnsi="Times New Roman"/>
          <w:sz w:val="24"/>
          <w:szCs w:val="24"/>
        </w:rPr>
        <w:t xml:space="preserve"> </w:t>
      </w:r>
      <w:r w:rsidRPr="00797E29">
        <w:rPr>
          <w:rFonts w:ascii="Times New Roman" w:hAnsi="Times New Roman"/>
          <w:sz w:val="24"/>
          <w:szCs w:val="24"/>
        </w:rPr>
        <w:t>продати</w:t>
      </w:r>
      <w:r w:rsidR="00A9005D" w:rsidRPr="00797E29">
        <w:rPr>
          <w:rFonts w:ascii="Times New Roman" w:hAnsi="Times New Roman"/>
          <w:sz w:val="24"/>
          <w:szCs w:val="24"/>
        </w:rPr>
        <w:t xml:space="preserve"> </w:t>
      </w:r>
      <w:r w:rsidRPr="00797E29">
        <w:rPr>
          <w:rFonts w:ascii="Times New Roman" w:hAnsi="Times New Roman"/>
          <w:sz w:val="24"/>
          <w:szCs w:val="24"/>
        </w:rPr>
        <w:t>на</w:t>
      </w:r>
      <w:r w:rsidR="00A9005D" w:rsidRPr="00797E29">
        <w:rPr>
          <w:rFonts w:ascii="Times New Roman" w:hAnsi="Times New Roman"/>
          <w:sz w:val="24"/>
          <w:szCs w:val="24"/>
        </w:rPr>
        <w:t xml:space="preserve"> </w:t>
      </w:r>
      <w:r w:rsidRPr="00797E29">
        <w:rPr>
          <w:rFonts w:ascii="Times New Roman" w:hAnsi="Times New Roman"/>
          <w:sz w:val="24"/>
          <w:szCs w:val="24"/>
        </w:rPr>
        <w:t>тржишту</w:t>
      </w:r>
      <w:r w:rsidR="00A9005D" w:rsidRPr="00797E29">
        <w:rPr>
          <w:rFonts w:ascii="Times New Roman" w:hAnsi="Times New Roman"/>
          <w:sz w:val="24"/>
          <w:szCs w:val="24"/>
        </w:rPr>
        <w:t xml:space="preserve"> </w:t>
      </w:r>
      <w:r w:rsidRPr="00797E29">
        <w:rPr>
          <w:rFonts w:ascii="Times New Roman" w:hAnsi="Times New Roman"/>
          <w:sz w:val="24"/>
          <w:szCs w:val="24"/>
        </w:rPr>
        <w:t>и</w:t>
      </w:r>
      <w:r w:rsidR="00A9005D" w:rsidRPr="00797E29">
        <w:rPr>
          <w:rFonts w:ascii="Times New Roman" w:hAnsi="Times New Roman"/>
          <w:sz w:val="24"/>
          <w:szCs w:val="24"/>
        </w:rPr>
        <w:t xml:space="preserve"> </w:t>
      </w:r>
      <w:r w:rsidRPr="00797E29">
        <w:rPr>
          <w:rFonts w:ascii="Times New Roman" w:hAnsi="Times New Roman"/>
          <w:sz w:val="24"/>
          <w:szCs w:val="24"/>
        </w:rPr>
        <w:t>набавне</w:t>
      </w:r>
      <w:r w:rsidR="00A9005D" w:rsidRPr="00797E29">
        <w:rPr>
          <w:rFonts w:ascii="Times New Roman" w:hAnsi="Times New Roman"/>
          <w:sz w:val="24"/>
          <w:szCs w:val="24"/>
        </w:rPr>
        <w:t>.</w:t>
      </w:r>
      <w:r w:rsidR="00A9005D" w:rsidRPr="00797E29">
        <w:rPr>
          <w:rStyle w:val="FootnoteReference"/>
          <w:rFonts w:ascii="Times New Roman" w:hAnsi="Times New Roman"/>
          <w:color w:val="000000"/>
          <w:sz w:val="24"/>
          <w:szCs w:val="24"/>
        </w:rPr>
        <w:footnoteReference w:id="305"/>
      </w:r>
    </w:p>
    <w:p w:rsidR="000F59D5" w:rsidRPr="00797E29" w:rsidRDefault="000F59D5" w:rsidP="00797E29">
      <w:pPr>
        <w:ind w:firstLine="708"/>
        <w:jc w:val="both"/>
        <w:rPr>
          <w:rFonts w:ascii="Times New Roman" w:hAnsi="Times New Roman"/>
          <w:sz w:val="24"/>
          <w:szCs w:val="24"/>
          <w:lang w:val="sr-Cyrl-CS"/>
        </w:rPr>
      </w:pPr>
      <w:r w:rsidRPr="00797E29">
        <w:rPr>
          <w:rFonts w:ascii="Times New Roman" w:hAnsi="Times New Roman"/>
          <w:sz w:val="24"/>
          <w:szCs w:val="24"/>
          <w:lang w:val="sr-Cyrl-CS"/>
        </w:rPr>
        <w:t>Према томе, предузеће може да одложи плаћање пореза, или да порез плати на капитални добитак у транутку настанка статусне  промене. Уколико не искаже добитак,</w:t>
      </w:r>
      <w:r w:rsidRPr="001A38B7">
        <w:rPr>
          <w:lang w:val="sr-Cyrl-CS"/>
        </w:rPr>
        <w:t xml:space="preserve"> </w:t>
      </w:r>
      <w:r w:rsidRPr="00797E29">
        <w:rPr>
          <w:rFonts w:ascii="Times New Roman" w:hAnsi="Times New Roman"/>
          <w:sz w:val="24"/>
          <w:szCs w:val="24"/>
          <w:lang w:val="sr-Cyrl-CS"/>
        </w:rPr>
        <w:t xml:space="preserve">већ губитак, капитални добитак неће бити опорезован. </w:t>
      </w:r>
      <w:r w:rsidR="008A60EF" w:rsidRPr="00797E29">
        <w:rPr>
          <w:rFonts w:ascii="Times New Roman" w:hAnsi="Times New Roman"/>
          <w:sz w:val="24"/>
          <w:szCs w:val="24"/>
          <w:lang w:val="sr-Cyrl-CS"/>
        </w:rPr>
        <w:t>Према томе, постоји могућност како одлагања пореске обавезе и на тај начин смањивања по</w:t>
      </w:r>
      <w:r w:rsidR="00965E2D" w:rsidRPr="00797E29">
        <w:rPr>
          <w:rFonts w:ascii="Times New Roman" w:hAnsi="Times New Roman"/>
          <w:sz w:val="24"/>
          <w:szCs w:val="24"/>
          <w:lang w:val="sr-Cyrl-CS"/>
        </w:rPr>
        <w:t>р</w:t>
      </w:r>
      <w:r w:rsidR="008A60EF" w:rsidRPr="00797E29">
        <w:rPr>
          <w:rFonts w:ascii="Times New Roman" w:hAnsi="Times New Roman"/>
          <w:sz w:val="24"/>
          <w:szCs w:val="24"/>
          <w:lang w:val="sr-Cyrl-CS"/>
        </w:rPr>
        <w:t>еског оптерећења, тако и анулирања пореског дуга.</w:t>
      </w:r>
      <w:r w:rsidR="00965E2D" w:rsidRPr="00797E29">
        <w:rPr>
          <w:rFonts w:ascii="Times New Roman" w:hAnsi="Times New Roman"/>
          <w:sz w:val="24"/>
          <w:szCs w:val="24"/>
          <w:lang w:val="sr-Cyrl-CS"/>
        </w:rPr>
        <w:t xml:space="preserve"> </w:t>
      </w:r>
      <w:r w:rsidR="008A60EF" w:rsidRPr="00797E29">
        <w:rPr>
          <w:rFonts w:ascii="Times New Roman" w:hAnsi="Times New Roman"/>
          <w:sz w:val="24"/>
          <w:szCs w:val="24"/>
          <w:lang w:val="sr-Cyrl-CS"/>
        </w:rPr>
        <w:t>У сваком случају, одлагање треба да прати пажљиво пореско планирање, како би било највише исплативо.</w:t>
      </w:r>
    </w:p>
    <w:p w:rsidR="000F59D5" w:rsidRPr="00797E29" w:rsidRDefault="000F59D5" w:rsidP="00797E29">
      <w:pPr>
        <w:ind w:firstLine="708"/>
        <w:jc w:val="both"/>
        <w:rPr>
          <w:rFonts w:ascii="Times New Roman" w:hAnsi="Times New Roman"/>
          <w:sz w:val="24"/>
          <w:szCs w:val="24"/>
          <w:lang w:val="sr-Cyrl-CS"/>
        </w:rPr>
      </w:pPr>
      <w:r w:rsidRPr="00797E29">
        <w:rPr>
          <w:rFonts w:ascii="Times New Roman" w:hAnsi="Times New Roman"/>
          <w:sz w:val="24"/>
          <w:szCs w:val="24"/>
          <w:lang w:val="sr-Cyrl-CS"/>
        </w:rPr>
        <w:t xml:space="preserve">Сложеност овог пореског облика се огледа и у начину обрачунавања цене, при чему се прави разлика између набавне и продајне цене. Начин утврђивања ових цена утиче на опорезиву добит. Посебно се ова сложеност огледа код </w:t>
      </w:r>
      <w:r w:rsidR="006D346D" w:rsidRPr="00797E29">
        <w:rPr>
          <w:rFonts w:ascii="Times New Roman" w:hAnsi="Times New Roman"/>
          <w:sz w:val="24"/>
          <w:szCs w:val="24"/>
          <w:lang w:val="sr-Cyrl-CS"/>
        </w:rPr>
        <w:t xml:space="preserve">технике обрачуна </w:t>
      </w:r>
      <w:r w:rsidRPr="00797E29">
        <w:rPr>
          <w:rFonts w:ascii="Times New Roman" w:hAnsi="Times New Roman"/>
          <w:sz w:val="24"/>
          <w:szCs w:val="24"/>
          <w:lang w:val="sr-Cyrl-CS"/>
        </w:rPr>
        <w:t xml:space="preserve">набавне цене. Наиме, </w:t>
      </w:r>
      <w:r w:rsidR="006D346D" w:rsidRPr="00797E29">
        <w:rPr>
          <w:rFonts w:ascii="Times New Roman" w:hAnsi="Times New Roman"/>
          <w:sz w:val="24"/>
          <w:szCs w:val="24"/>
          <w:lang w:val="sr-Cyrl-CS"/>
        </w:rPr>
        <w:t>з</w:t>
      </w:r>
      <w:r w:rsidR="001A38B7" w:rsidRPr="00797E29">
        <w:rPr>
          <w:rFonts w:ascii="Times New Roman" w:hAnsi="Times New Roman"/>
          <w:sz w:val="24"/>
          <w:szCs w:val="24"/>
        </w:rPr>
        <w:t>а</w:t>
      </w:r>
      <w:r w:rsidRPr="00797E29">
        <w:rPr>
          <w:rFonts w:ascii="Times New Roman" w:hAnsi="Times New Roman"/>
          <w:sz w:val="24"/>
          <w:szCs w:val="24"/>
        </w:rPr>
        <w:t xml:space="preserve"> </w:t>
      </w:r>
      <w:r w:rsidR="001A38B7" w:rsidRPr="00797E29">
        <w:rPr>
          <w:rFonts w:ascii="Times New Roman" w:hAnsi="Times New Roman"/>
          <w:sz w:val="24"/>
          <w:szCs w:val="24"/>
        </w:rPr>
        <w:t>сврху</w:t>
      </w:r>
      <w:r w:rsidRPr="00797E29">
        <w:rPr>
          <w:rFonts w:ascii="Times New Roman" w:hAnsi="Times New Roman"/>
          <w:sz w:val="24"/>
          <w:szCs w:val="24"/>
        </w:rPr>
        <w:t xml:space="preserve"> </w:t>
      </w:r>
      <w:r w:rsidR="001A38B7" w:rsidRPr="00797E29">
        <w:rPr>
          <w:rFonts w:ascii="Times New Roman" w:hAnsi="Times New Roman"/>
          <w:sz w:val="24"/>
          <w:szCs w:val="24"/>
        </w:rPr>
        <w:t>одређивања</w:t>
      </w:r>
      <w:r w:rsidRPr="00797E29">
        <w:rPr>
          <w:rFonts w:ascii="Times New Roman" w:hAnsi="Times New Roman"/>
          <w:sz w:val="24"/>
          <w:szCs w:val="24"/>
        </w:rPr>
        <w:t xml:space="preserve"> </w:t>
      </w:r>
      <w:r w:rsidR="001A38B7" w:rsidRPr="00797E29">
        <w:rPr>
          <w:rFonts w:ascii="Times New Roman" w:hAnsi="Times New Roman"/>
          <w:sz w:val="24"/>
          <w:szCs w:val="24"/>
        </w:rPr>
        <w:t>капиталног</w:t>
      </w:r>
      <w:r w:rsidRPr="00797E29">
        <w:rPr>
          <w:rFonts w:ascii="Times New Roman" w:hAnsi="Times New Roman"/>
          <w:sz w:val="24"/>
          <w:szCs w:val="24"/>
        </w:rPr>
        <w:t xml:space="preserve"> </w:t>
      </w:r>
      <w:r w:rsidR="001A38B7" w:rsidRPr="00797E29">
        <w:rPr>
          <w:rFonts w:ascii="Times New Roman" w:hAnsi="Times New Roman"/>
          <w:sz w:val="24"/>
          <w:szCs w:val="24"/>
        </w:rPr>
        <w:t>добитка</w:t>
      </w:r>
      <w:r w:rsidRPr="00797E29">
        <w:rPr>
          <w:rFonts w:ascii="Times New Roman" w:hAnsi="Times New Roman"/>
          <w:sz w:val="24"/>
          <w:szCs w:val="24"/>
          <w:lang w:val="sr-Cyrl-CS"/>
        </w:rPr>
        <w:t xml:space="preserve">, </w:t>
      </w:r>
      <w:r w:rsidR="001A38B7" w:rsidRPr="00797E29">
        <w:rPr>
          <w:rFonts w:ascii="Times New Roman" w:hAnsi="Times New Roman"/>
          <w:sz w:val="24"/>
          <w:szCs w:val="24"/>
        </w:rPr>
        <w:t>продајном</w:t>
      </w:r>
      <w:r w:rsidRPr="00797E29">
        <w:rPr>
          <w:rFonts w:ascii="Times New Roman" w:hAnsi="Times New Roman"/>
          <w:sz w:val="24"/>
          <w:szCs w:val="24"/>
        </w:rPr>
        <w:t xml:space="preserve"> </w:t>
      </w:r>
      <w:r w:rsidR="001A38B7" w:rsidRPr="00797E29">
        <w:rPr>
          <w:rFonts w:ascii="Times New Roman" w:hAnsi="Times New Roman"/>
          <w:sz w:val="24"/>
          <w:szCs w:val="24"/>
        </w:rPr>
        <w:t>ценом</w:t>
      </w:r>
      <w:r w:rsidRPr="00797E29">
        <w:rPr>
          <w:rFonts w:ascii="Times New Roman" w:hAnsi="Times New Roman"/>
          <w:sz w:val="24"/>
          <w:szCs w:val="24"/>
        </w:rPr>
        <w:t xml:space="preserve"> </w:t>
      </w:r>
      <w:r w:rsidR="001A38B7" w:rsidRPr="00797E29">
        <w:rPr>
          <w:rFonts w:ascii="Times New Roman" w:hAnsi="Times New Roman"/>
          <w:sz w:val="24"/>
          <w:szCs w:val="24"/>
        </w:rPr>
        <w:t>се</w:t>
      </w:r>
      <w:r w:rsidRPr="00797E29">
        <w:rPr>
          <w:rFonts w:ascii="Times New Roman" w:hAnsi="Times New Roman"/>
          <w:sz w:val="24"/>
          <w:szCs w:val="24"/>
        </w:rPr>
        <w:t xml:space="preserve"> </w:t>
      </w:r>
      <w:r w:rsidR="001A38B7" w:rsidRPr="00797E29">
        <w:rPr>
          <w:rFonts w:ascii="Times New Roman" w:hAnsi="Times New Roman"/>
          <w:sz w:val="24"/>
          <w:szCs w:val="24"/>
        </w:rPr>
        <w:t>сматра</w:t>
      </w:r>
      <w:r w:rsidRPr="00797E29">
        <w:rPr>
          <w:rFonts w:ascii="Times New Roman" w:hAnsi="Times New Roman"/>
          <w:sz w:val="24"/>
          <w:szCs w:val="24"/>
        </w:rPr>
        <w:t xml:space="preserve"> </w:t>
      </w:r>
      <w:r w:rsidR="001A38B7" w:rsidRPr="00797E29">
        <w:rPr>
          <w:rFonts w:ascii="Times New Roman" w:hAnsi="Times New Roman"/>
          <w:sz w:val="24"/>
          <w:szCs w:val="24"/>
        </w:rPr>
        <w:t>уговорена</w:t>
      </w:r>
      <w:r w:rsidRPr="00797E29">
        <w:rPr>
          <w:rFonts w:ascii="Times New Roman" w:hAnsi="Times New Roman"/>
          <w:sz w:val="24"/>
          <w:szCs w:val="24"/>
        </w:rPr>
        <w:t xml:space="preserve"> </w:t>
      </w:r>
      <w:r w:rsidR="001A38B7" w:rsidRPr="00797E29">
        <w:rPr>
          <w:rFonts w:ascii="Times New Roman" w:hAnsi="Times New Roman"/>
          <w:sz w:val="24"/>
          <w:szCs w:val="24"/>
        </w:rPr>
        <w:t>цена</w:t>
      </w:r>
      <w:r w:rsidRPr="00797E29">
        <w:rPr>
          <w:rFonts w:ascii="Times New Roman" w:hAnsi="Times New Roman"/>
          <w:sz w:val="24"/>
          <w:szCs w:val="24"/>
        </w:rPr>
        <w:t xml:space="preserve">, </w:t>
      </w:r>
      <w:r w:rsidR="001A38B7" w:rsidRPr="00797E29">
        <w:rPr>
          <w:rFonts w:ascii="Times New Roman" w:hAnsi="Times New Roman"/>
          <w:sz w:val="24"/>
          <w:szCs w:val="24"/>
        </w:rPr>
        <w:t>односно</w:t>
      </w:r>
      <w:r w:rsidRPr="00797E29">
        <w:rPr>
          <w:rFonts w:ascii="Times New Roman" w:hAnsi="Times New Roman"/>
          <w:sz w:val="24"/>
          <w:szCs w:val="24"/>
        </w:rPr>
        <w:t xml:space="preserve">, </w:t>
      </w:r>
      <w:r w:rsidR="001A38B7" w:rsidRPr="00797E29">
        <w:rPr>
          <w:rFonts w:ascii="Times New Roman" w:hAnsi="Times New Roman"/>
          <w:sz w:val="24"/>
          <w:szCs w:val="24"/>
        </w:rPr>
        <w:t>у</w:t>
      </w:r>
      <w:r w:rsidRPr="00797E29">
        <w:rPr>
          <w:rFonts w:ascii="Times New Roman" w:hAnsi="Times New Roman"/>
          <w:sz w:val="24"/>
          <w:szCs w:val="24"/>
        </w:rPr>
        <w:t xml:space="preserve"> </w:t>
      </w:r>
      <w:r w:rsidR="001A38B7" w:rsidRPr="00797E29">
        <w:rPr>
          <w:rFonts w:ascii="Times New Roman" w:hAnsi="Times New Roman"/>
          <w:sz w:val="24"/>
          <w:szCs w:val="24"/>
        </w:rPr>
        <w:t>случају</w:t>
      </w:r>
      <w:r w:rsidRPr="00797E29">
        <w:rPr>
          <w:rFonts w:ascii="Times New Roman" w:hAnsi="Times New Roman"/>
          <w:sz w:val="24"/>
          <w:szCs w:val="24"/>
        </w:rPr>
        <w:t xml:space="preserve"> </w:t>
      </w:r>
      <w:r w:rsidR="001A38B7" w:rsidRPr="00797E29">
        <w:rPr>
          <w:rFonts w:ascii="Times New Roman" w:hAnsi="Times New Roman"/>
          <w:sz w:val="24"/>
          <w:szCs w:val="24"/>
        </w:rPr>
        <w:t>продаје</w:t>
      </w:r>
      <w:r w:rsidRPr="00797E29">
        <w:rPr>
          <w:rFonts w:ascii="Times New Roman" w:hAnsi="Times New Roman"/>
          <w:sz w:val="24"/>
          <w:szCs w:val="24"/>
        </w:rPr>
        <w:t xml:space="preserve"> </w:t>
      </w:r>
      <w:r w:rsidR="001A38B7" w:rsidRPr="00797E29">
        <w:rPr>
          <w:rFonts w:ascii="Times New Roman" w:hAnsi="Times New Roman"/>
          <w:sz w:val="24"/>
          <w:szCs w:val="24"/>
        </w:rPr>
        <w:t>повезаном</w:t>
      </w:r>
      <w:r w:rsidR="000E6258" w:rsidRPr="00797E29">
        <w:rPr>
          <w:rFonts w:ascii="Times New Roman" w:hAnsi="Times New Roman"/>
          <w:sz w:val="24"/>
          <w:szCs w:val="24"/>
          <w:lang w:val="sr-Cyrl-CS"/>
        </w:rPr>
        <w:t xml:space="preserve"> </w:t>
      </w:r>
      <w:r w:rsidR="0038498D" w:rsidRPr="00797E29">
        <w:rPr>
          <w:rFonts w:ascii="Times New Roman" w:hAnsi="Times New Roman"/>
          <w:sz w:val="24"/>
          <w:szCs w:val="24"/>
        </w:rPr>
        <w:t xml:space="preserve"> </w:t>
      </w:r>
      <w:r w:rsidR="001A38B7" w:rsidRPr="00797E29">
        <w:rPr>
          <w:rFonts w:ascii="Times New Roman" w:hAnsi="Times New Roman"/>
          <w:sz w:val="24"/>
          <w:szCs w:val="24"/>
        </w:rPr>
        <w:t>лицу</w:t>
      </w:r>
      <w:r w:rsidR="0038498D" w:rsidRPr="00797E29">
        <w:rPr>
          <w:rStyle w:val="FootnoteReference"/>
          <w:rFonts w:ascii="Times New Roman" w:hAnsi="Times New Roman"/>
          <w:color w:val="000000"/>
          <w:sz w:val="24"/>
          <w:szCs w:val="24"/>
        </w:rPr>
        <w:footnoteReference w:id="306"/>
      </w:r>
      <w:r w:rsidRPr="00797E29">
        <w:rPr>
          <w:rFonts w:ascii="Times New Roman" w:hAnsi="Times New Roman"/>
          <w:sz w:val="24"/>
          <w:szCs w:val="24"/>
        </w:rPr>
        <w:t xml:space="preserve">, </w:t>
      </w:r>
      <w:r w:rsidR="001A38B7" w:rsidRPr="00797E29">
        <w:rPr>
          <w:rFonts w:ascii="Times New Roman" w:hAnsi="Times New Roman"/>
          <w:sz w:val="24"/>
          <w:szCs w:val="24"/>
        </w:rPr>
        <w:t>тржишна</w:t>
      </w:r>
      <w:r w:rsidRPr="00797E29">
        <w:rPr>
          <w:rFonts w:ascii="Times New Roman" w:hAnsi="Times New Roman"/>
          <w:sz w:val="24"/>
          <w:szCs w:val="24"/>
        </w:rPr>
        <w:t xml:space="preserve"> </w:t>
      </w:r>
      <w:r w:rsidR="001A38B7" w:rsidRPr="00797E29">
        <w:rPr>
          <w:rFonts w:ascii="Times New Roman" w:hAnsi="Times New Roman"/>
          <w:sz w:val="24"/>
          <w:szCs w:val="24"/>
        </w:rPr>
        <w:t>цена</w:t>
      </w:r>
      <w:r w:rsidRPr="00797E29">
        <w:rPr>
          <w:rFonts w:ascii="Times New Roman" w:hAnsi="Times New Roman"/>
          <w:sz w:val="24"/>
          <w:szCs w:val="24"/>
        </w:rPr>
        <w:t xml:space="preserve"> </w:t>
      </w:r>
      <w:r w:rsidR="001A38B7" w:rsidRPr="00797E29">
        <w:rPr>
          <w:rFonts w:ascii="Times New Roman" w:hAnsi="Times New Roman"/>
          <w:sz w:val="24"/>
          <w:szCs w:val="24"/>
        </w:rPr>
        <w:t>ако</w:t>
      </w:r>
      <w:r w:rsidRPr="00797E29">
        <w:rPr>
          <w:rFonts w:ascii="Times New Roman" w:hAnsi="Times New Roman"/>
          <w:sz w:val="24"/>
          <w:szCs w:val="24"/>
        </w:rPr>
        <w:t xml:space="preserve"> </w:t>
      </w:r>
      <w:r w:rsidR="001A38B7" w:rsidRPr="00797E29">
        <w:rPr>
          <w:rFonts w:ascii="Times New Roman" w:hAnsi="Times New Roman"/>
          <w:sz w:val="24"/>
          <w:szCs w:val="24"/>
        </w:rPr>
        <w:t>је</w:t>
      </w:r>
      <w:r w:rsidRPr="00797E29">
        <w:rPr>
          <w:rFonts w:ascii="Times New Roman" w:hAnsi="Times New Roman"/>
          <w:sz w:val="24"/>
          <w:szCs w:val="24"/>
        </w:rPr>
        <w:t xml:space="preserve"> </w:t>
      </w:r>
      <w:r w:rsidR="001A38B7" w:rsidRPr="00797E29">
        <w:rPr>
          <w:rFonts w:ascii="Times New Roman" w:hAnsi="Times New Roman"/>
          <w:sz w:val="24"/>
          <w:szCs w:val="24"/>
        </w:rPr>
        <w:t>уговорена</w:t>
      </w:r>
      <w:r w:rsidRPr="00797E29">
        <w:rPr>
          <w:rFonts w:ascii="Times New Roman" w:hAnsi="Times New Roman"/>
          <w:sz w:val="24"/>
          <w:szCs w:val="24"/>
        </w:rPr>
        <w:t xml:space="preserve"> </w:t>
      </w:r>
      <w:r w:rsidR="001A38B7" w:rsidRPr="00797E29">
        <w:rPr>
          <w:rFonts w:ascii="Times New Roman" w:hAnsi="Times New Roman"/>
          <w:sz w:val="24"/>
          <w:szCs w:val="24"/>
        </w:rPr>
        <w:t>цена</w:t>
      </w:r>
      <w:r w:rsidRPr="00797E29">
        <w:rPr>
          <w:rFonts w:ascii="Times New Roman" w:hAnsi="Times New Roman"/>
          <w:sz w:val="24"/>
          <w:szCs w:val="24"/>
        </w:rPr>
        <w:t xml:space="preserve"> </w:t>
      </w:r>
      <w:r w:rsidR="001A38B7" w:rsidRPr="00797E29">
        <w:rPr>
          <w:rFonts w:ascii="Times New Roman" w:hAnsi="Times New Roman"/>
          <w:sz w:val="24"/>
          <w:szCs w:val="24"/>
        </w:rPr>
        <w:t>нижа</w:t>
      </w:r>
      <w:r w:rsidRPr="00797E29">
        <w:rPr>
          <w:rFonts w:ascii="Times New Roman" w:hAnsi="Times New Roman"/>
          <w:sz w:val="24"/>
          <w:szCs w:val="24"/>
        </w:rPr>
        <w:t xml:space="preserve"> </w:t>
      </w:r>
      <w:r w:rsidR="001A38B7" w:rsidRPr="00797E29">
        <w:rPr>
          <w:rFonts w:ascii="Times New Roman" w:hAnsi="Times New Roman"/>
          <w:sz w:val="24"/>
          <w:szCs w:val="24"/>
        </w:rPr>
        <w:t>од</w:t>
      </w:r>
      <w:r w:rsidRPr="00797E29">
        <w:rPr>
          <w:rFonts w:ascii="Times New Roman" w:hAnsi="Times New Roman"/>
          <w:sz w:val="24"/>
          <w:szCs w:val="24"/>
        </w:rPr>
        <w:t xml:space="preserve"> </w:t>
      </w:r>
      <w:r w:rsidR="001A38B7" w:rsidRPr="00797E29">
        <w:rPr>
          <w:rFonts w:ascii="Times New Roman" w:hAnsi="Times New Roman"/>
          <w:sz w:val="24"/>
          <w:szCs w:val="24"/>
        </w:rPr>
        <w:t>тржишне</w:t>
      </w:r>
      <w:r w:rsidRPr="00797E29">
        <w:rPr>
          <w:rFonts w:ascii="Times New Roman" w:hAnsi="Times New Roman"/>
          <w:sz w:val="24"/>
          <w:szCs w:val="24"/>
        </w:rPr>
        <w:t>.</w:t>
      </w:r>
      <w:r w:rsidR="00F93B6E" w:rsidRPr="00797E29">
        <w:rPr>
          <w:rFonts w:ascii="Times New Roman" w:hAnsi="Times New Roman"/>
          <w:sz w:val="24"/>
          <w:szCs w:val="24"/>
          <w:lang w:val="sr-Cyrl-CS"/>
        </w:rPr>
        <w:t xml:space="preserve"> </w:t>
      </w:r>
      <w:r w:rsidR="001A38B7" w:rsidRPr="00797E29">
        <w:rPr>
          <w:rFonts w:ascii="Times New Roman" w:hAnsi="Times New Roman"/>
          <w:sz w:val="24"/>
          <w:szCs w:val="24"/>
        </w:rPr>
        <w:t>Као</w:t>
      </w:r>
      <w:r w:rsidR="00F93B6E" w:rsidRPr="00797E29">
        <w:rPr>
          <w:rFonts w:ascii="Times New Roman" w:hAnsi="Times New Roman"/>
          <w:sz w:val="24"/>
          <w:szCs w:val="24"/>
        </w:rPr>
        <w:t xml:space="preserve"> </w:t>
      </w:r>
      <w:r w:rsidR="001A38B7" w:rsidRPr="00797E29">
        <w:rPr>
          <w:rFonts w:ascii="Times New Roman" w:hAnsi="Times New Roman"/>
          <w:sz w:val="24"/>
          <w:szCs w:val="24"/>
        </w:rPr>
        <w:t>уговорена</w:t>
      </w:r>
      <w:r w:rsidR="00F93B6E" w:rsidRPr="00797E29">
        <w:rPr>
          <w:rFonts w:ascii="Times New Roman" w:hAnsi="Times New Roman"/>
          <w:sz w:val="24"/>
          <w:szCs w:val="24"/>
        </w:rPr>
        <w:t xml:space="preserve">, </w:t>
      </w:r>
      <w:r w:rsidR="001A38B7" w:rsidRPr="00797E29">
        <w:rPr>
          <w:rFonts w:ascii="Times New Roman" w:hAnsi="Times New Roman"/>
          <w:sz w:val="24"/>
          <w:szCs w:val="24"/>
        </w:rPr>
        <w:t>односно</w:t>
      </w:r>
      <w:r w:rsidR="00F93B6E" w:rsidRPr="00797E29">
        <w:rPr>
          <w:rFonts w:ascii="Times New Roman" w:hAnsi="Times New Roman"/>
          <w:sz w:val="24"/>
          <w:szCs w:val="24"/>
        </w:rPr>
        <w:t xml:space="preserve"> </w:t>
      </w:r>
      <w:r w:rsidR="001A38B7" w:rsidRPr="00797E29">
        <w:rPr>
          <w:rFonts w:ascii="Times New Roman" w:hAnsi="Times New Roman"/>
          <w:sz w:val="24"/>
          <w:szCs w:val="24"/>
        </w:rPr>
        <w:t>тржишна</w:t>
      </w:r>
      <w:r w:rsidR="00F93B6E" w:rsidRPr="00797E29">
        <w:rPr>
          <w:rFonts w:ascii="Times New Roman" w:hAnsi="Times New Roman"/>
          <w:sz w:val="24"/>
          <w:szCs w:val="24"/>
        </w:rPr>
        <w:t xml:space="preserve"> </w:t>
      </w:r>
      <w:r w:rsidR="001A38B7" w:rsidRPr="00797E29">
        <w:rPr>
          <w:rFonts w:ascii="Times New Roman" w:hAnsi="Times New Roman"/>
          <w:sz w:val="24"/>
          <w:szCs w:val="24"/>
        </w:rPr>
        <w:t>цена</w:t>
      </w:r>
      <w:r w:rsidR="00F93B6E" w:rsidRPr="00797E29">
        <w:rPr>
          <w:rFonts w:ascii="Times New Roman" w:hAnsi="Times New Roman"/>
          <w:sz w:val="24"/>
          <w:szCs w:val="24"/>
        </w:rPr>
        <w:t xml:space="preserve"> </w:t>
      </w:r>
      <w:r w:rsidR="001A38B7" w:rsidRPr="00797E29">
        <w:rPr>
          <w:rFonts w:ascii="Times New Roman" w:hAnsi="Times New Roman"/>
          <w:sz w:val="24"/>
          <w:szCs w:val="24"/>
        </w:rPr>
        <w:t>узима</w:t>
      </w:r>
      <w:r w:rsidR="00F93B6E" w:rsidRPr="00797E29">
        <w:rPr>
          <w:rFonts w:ascii="Times New Roman" w:hAnsi="Times New Roman"/>
          <w:sz w:val="24"/>
          <w:szCs w:val="24"/>
        </w:rPr>
        <w:t xml:space="preserve"> </w:t>
      </w:r>
      <w:r w:rsidR="001A38B7" w:rsidRPr="00797E29">
        <w:rPr>
          <w:rFonts w:ascii="Times New Roman" w:hAnsi="Times New Roman"/>
          <w:sz w:val="24"/>
          <w:szCs w:val="24"/>
        </w:rPr>
        <w:t>се</w:t>
      </w:r>
      <w:r w:rsidR="00F93B6E" w:rsidRPr="00797E29">
        <w:rPr>
          <w:rFonts w:ascii="Times New Roman" w:hAnsi="Times New Roman"/>
          <w:sz w:val="24"/>
          <w:szCs w:val="24"/>
        </w:rPr>
        <w:t xml:space="preserve"> </w:t>
      </w:r>
      <w:r w:rsidR="001A38B7" w:rsidRPr="00797E29">
        <w:rPr>
          <w:rFonts w:ascii="Times New Roman" w:hAnsi="Times New Roman"/>
          <w:sz w:val="24"/>
          <w:szCs w:val="24"/>
        </w:rPr>
        <w:t>цена</w:t>
      </w:r>
      <w:r w:rsidR="00F93B6E" w:rsidRPr="00797E29">
        <w:rPr>
          <w:rFonts w:ascii="Times New Roman" w:hAnsi="Times New Roman"/>
          <w:sz w:val="24"/>
          <w:szCs w:val="24"/>
        </w:rPr>
        <w:t xml:space="preserve"> </w:t>
      </w:r>
      <w:r w:rsidR="001A38B7" w:rsidRPr="00797E29">
        <w:rPr>
          <w:rFonts w:ascii="Times New Roman" w:hAnsi="Times New Roman"/>
          <w:sz w:val="24"/>
          <w:szCs w:val="24"/>
        </w:rPr>
        <w:t>без</w:t>
      </w:r>
      <w:r w:rsidR="00F93B6E" w:rsidRPr="00797E29">
        <w:rPr>
          <w:rFonts w:ascii="Times New Roman" w:hAnsi="Times New Roman"/>
          <w:sz w:val="24"/>
          <w:szCs w:val="24"/>
        </w:rPr>
        <w:t xml:space="preserve"> </w:t>
      </w:r>
      <w:r w:rsidR="001A38B7" w:rsidRPr="00797E29">
        <w:rPr>
          <w:rFonts w:ascii="Times New Roman" w:hAnsi="Times New Roman"/>
          <w:sz w:val="24"/>
          <w:szCs w:val="24"/>
        </w:rPr>
        <w:t>пореза</w:t>
      </w:r>
      <w:r w:rsidR="00F93B6E" w:rsidRPr="00797E29">
        <w:rPr>
          <w:rFonts w:ascii="Times New Roman" w:hAnsi="Times New Roman"/>
          <w:sz w:val="24"/>
          <w:szCs w:val="24"/>
        </w:rPr>
        <w:t xml:space="preserve"> </w:t>
      </w:r>
      <w:r w:rsidR="001A38B7" w:rsidRPr="00797E29">
        <w:rPr>
          <w:rFonts w:ascii="Times New Roman" w:hAnsi="Times New Roman"/>
          <w:sz w:val="24"/>
          <w:szCs w:val="24"/>
        </w:rPr>
        <w:t>на</w:t>
      </w:r>
      <w:r w:rsidR="00F93B6E" w:rsidRPr="00797E29">
        <w:rPr>
          <w:rFonts w:ascii="Times New Roman" w:hAnsi="Times New Roman"/>
          <w:sz w:val="24"/>
          <w:szCs w:val="24"/>
        </w:rPr>
        <w:t xml:space="preserve"> </w:t>
      </w:r>
      <w:r w:rsidR="001A38B7" w:rsidRPr="00797E29">
        <w:rPr>
          <w:rFonts w:ascii="Times New Roman" w:hAnsi="Times New Roman"/>
          <w:sz w:val="24"/>
          <w:szCs w:val="24"/>
        </w:rPr>
        <w:t>пренос</w:t>
      </w:r>
      <w:r w:rsidR="00F93B6E" w:rsidRPr="00797E29">
        <w:rPr>
          <w:rFonts w:ascii="Times New Roman" w:hAnsi="Times New Roman"/>
          <w:sz w:val="24"/>
          <w:szCs w:val="24"/>
        </w:rPr>
        <w:t xml:space="preserve"> </w:t>
      </w:r>
      <w:r w:rsidR="001A38B7" w:rsidRPr="00797E29">
        <w:rPr>
          <w:rFonts w:ascii="Times New Roman" w:hAnsi="Times New Roman"/>
          <w:sz w:val="24"/>
          <w:szCs w:val="24"/>
        </w:rPr>
        <w:t>апсолутних</w:t>
      </w:r>
      <w:r w:rsidR="00F93B6E" w:rsidRPr="00797E29">
        <w:rPr>
          <w:rFonts w:ascii="Times New Roman" w:hAnsi="Times New Roman"/>
          <w:sz w:val="24"/>
          <w:szCs w:val="24"/>
        </w:rPr>
        <w:t xml:space="preserve"> </w:t>
      </w:r>
      <w:r w:rsidR="001A38B7" w:rsidRPr="00797E29">
        <w:rPr>
          <w:rFonts w:ascii="Times New Roman" w:hAnsi="Times New Roman"/>
          <w:sz w:val="24"/>
          <w:szCs w:val="24"/>
        </w:rPr>
        <w:t>права</w:t>
      </w:r>
      <w:r w:rsidR="00F93B6E" w:rsidRPr="00797E29">
        <w:rPr>
          <w:rFonts w:ascii="Times New Roman" w:hAnsi="Times New Roman"/>
          <w:sz w:val="24"/>
          <w:szCs w:val="24"/>
        </w:rPr>
        <w:t>.</w:t>
      </w:r>
      <w:r w:rsidR="00965E2D" w:rsidRPr="00797E29">
        <w:rPr>
          <w:rFonts w:ascii="Times New Roman" w:hAnsi="Times New Roman"/>
          <w:sz w:val="24"/>
          <w:szCs w:val="24"/>
          <w:lang w:val="sr-Cyrl-CS"/>
        </w:rPr>
        <w:t xml:space="preserve"> </w:t>
      </w:r>
      <w:r w:rsidR="001A38B7" w:rsidRPr="00797E29">
        <w:rPr>
          <w:rFonts w:ascii="Times New Roman" w:hAnsi="Times New Roman"/>
          <w:sz w:val="24"/>
          <w:szCs w:val="24"/>
        </w:rPr>
        <w:t>Код</w:t>
      </w:r>
      <w:r w:rsidR="00F93B6E" w:rsidRPr="00797E29">
        <w:rPr>
          <w:rFonts w:ascii="Times New Roman" w:hAnsi="Times New Roman"/>
          <w:sz w:val="24"/>
          <w:szCs w:val="24"/>
        </w:rPr>
        <w:t xml:space="preserve"> </w:t>
      </w:r>
      <w:r w:rsidR="001A38B7" w:rsidRPr="00797E29">
        <w:rPr>
          <w:rFonts w:ascii="Times New Roman" w:hAnsi="Times New Roman"/>
          <w:sz w:val="24"/>
          <w:szCs w:val="24"/>
        </w:rPr>
        <w:t>преноса</w:t>
      </w:r>
      <w:r w:rsidR="00F93B6E" w:rsidRPr="00797E29">
        <w:rPr>
          <w:rFonts w:ascii="Times New Roman" w:hAnsi="Times New Roman"/>
          <w:sz w:val="24"/>
          <w:szCs w:val="24"/>
        </w:rPr>
        <w:t xml:space="preserve"> </w:t>
      </w:r>
      <w:r w:rsidR="001A38B7" w:rsidRPr="00797E29">
        <w:rPr>
          <w:rFonts w:ascii="Times New Roman" w:hAnsi="Times New Roman"/>
          <w:sz w:val="24"/>
          <w:szCs w:val="24"/>
        </w:rPr>
        <w:t>права</w:t>
      </w:r>
      <w:r w:rsidR="00F93B6E" w:rsidRPr="00797E29">
        <w:rPr>
          <w:rFonts w:ascii="Times New Roman" w:hAnsi="Times New Roman"/>
          <w:sz w:val="24"/>
          <w:szCs w:val="24"/>
        </w:rPr>
        <w:t xml:space="preserve"> </w:t>
      </w:r>
      <w:r w:rsidR="001A38B7" w:rsidRPr="00797E29">
        <w:rPr>
          <w:rFonts w:ascii="Times New Roman" w:hAnsi="Times New Roman"/>
          <w:sz w:val="24"/>
          <w:szCs w:val="24"/>
        </w:rPr>
        <w:t>путем</w:t>
      </w:r>
      <w:r w:rsidR="00F93B6E" w:rsidRPr="00797E29">
        <w:rPr>
          <w:rFonts w:ascii="Times New Roman" w:hAnsi="Times New Roman"/>
          <w:sz w:val="24"/>
          <w:szCs w:val="24"/>
        </w:rPr>
        <w:t xml:space="preserve"> </w:t>
      </w:r>
      <w:r w:rsidR="001A38B7" w:rsidRPr="00797E29">
        <w:rPr>
          <w:rFonts w:ascii="Times New Roman" w:hAnsi="Times New Roman"/>
          <w:sz w:val="24"/>
          <w:szCs w:val="24"/>
        </w:rPr>
        <w:t>размене</w:t>
      </w:r>
      <w:r w:rsidR="00F93B6E" w:rsidRPr="00797E29">
        <w:rPr>
          <w:rFonts w:ascii="Times New Roman" w:hAnsi="Times New Roman"/>
          <w:sz w:val="24"/>
          <w:szCs w:val="24"/>
        </w:rPr>
        <w:t xml:space="preserve"> </w:t>
      </w:r>
      <w:r w:rsidR="001A38B7" w:rsidRPr="00797E29">
        <w:rPr>
          <w:rFonts w:ascii="Times New Roman" w:hAnsi="Times New Roman"/>
          <w:sz w:val="24"/>
          <w:szCs w:val="24"/>
        </w:rPr>
        <w:t>за</w:t>
      </w:r>
      <w:r w:rsidR="00F93B6E" w:rsidRPr="00797E29">
        <w:rPr>
          <w:rFonts w:ascii="Times New Roman" w:hAnsi="Times New Roman"/>
          <w:sz w:val="24"/>
          <w:szCs w:val="24"/>
        </w:rPr>
        <w:t xml:space="preserve"> </w:t>
      </w:r>
      <w:r w:rsidR="001A38B7" w:rsidRPr="00797E29">
        <w:rPr>
          <w:rFonts w:ascii="Times New Roman" w:hAnsi="Times New Roman"/>
          <w:sz w:val="24"/>
          <w:szCs w:val="24"/>
        </w:rPr>
        <w:t>друго</w:t>
      </w:r>
      <w:r w:rsidR="00F93B6E" w:rsidRPr="00797E29">
        <w:rPr>
          <w:rFonts w:ascii="Times New Roman" w:hAnsi="Times New Roman"/>
          <w:sz w:val="24"/>
          <w:szCs w:val="24"/>
        </w:rPr>
        <w:t xml:space="preserve"> </w:t>
      </w:r>
      <w:r w:rsidR="001A38B7" w:rsidRPr="00797E29">
        <w:rPr>
          <w:rFonts w:ascii="Times New Roman" w:hAnsi="Times New Roman"/>
          <w:sz w:val="24"/>
          <w:szCs w:val="24"/>
        </w:rPr>
        <w:t>право</w:t>
      </w:r>
      <w:r w:rsidR="00F93B6E" w:rsidRPr="00797E29">
        <w:rPr>
          <w:rFonts w:ascii="Times New Roman" w:hAnsi="Times New Roman"/>
          <w:sz w:val="24"/>
          <w:szCs w:val="24"/>
        </w:rPr>
        <w:t xml:space="preserve">, </w:t>
      </w:r>
      <w:r w:rsidR="001A38B7" w:rsidRPr="00797E29">
        <w:rPr>
          <w:rFonts w:ascii="Times New Roman" w:hAnsi="Times New Roman"/>
          <w:sz w:val="24"/>
          <w:szCs w:val="24"/>
        </w:rPr>
        <w:t>продајном</w:t>
      </w:r>
      <w:r w:rsidR="00F93B6E" w:rsidRPr="00797E29">
        <w:rPr>
          <w:rFonts w:ascii="Times New Roman" w:hAnsi="Times New Roman"/>
          <w:sz w:val="24"/>
          <w:szCs w:val="24"/>
        </w:rPr>
        <w:t xml:space="preserve"> </w:t>
      </w:r>
      <w:r w:rsidR="001A38B7" w:rsidRPr="00797E29">
        <w:rPr>
          <w:rFonts w:ascii="Times New Roman" w:hAnsi="Times New Roman"/>
          <w:sz w:val="24"/>
          <w:szCs w:val="24"/>
        </w:rPr>
        <w:t>ценом</w:t>
      </w:r>
      <w:r w:rsidR="00F93B6E" w:rsidRPr="00797E29">
        <w:rPr>
          <w:rFonts w:ascii="Times New Roman" w:hAnsi="Times New Roman"/>
          <w:sz w:val="24"/>
          <w:szCs w:val="24"/>
        </w:rPr>
        <w:t xml:space="preserve"> </w:t>
      </w:r>
      <w:r w:rsidR="001A38B7" w:rsidRPr="00797E29">
        <w:rPr>
          <w:rFonts w:ascii="Times New Roman" w:hAnsi="Times New Roman"/>
          <w:sz w:val="24"/>
          <w:szCs w:val="24"/>
        </w:rPr>
        <w:t>се</w:t>
      </w:r>
      <w:r w:rsidR="00F93B6E" w:rsidRPr="00797E29">
        <w:rPr>
          <w:rFonts w:ascii="Times New Roman" w:hAnsi="Times New Roman"/>
          <w:sz w:val="24"/>
          <w:szCs w:val="24"/>
        </w:rPr>
        <w:t xml:space="preserve"> </w:t>
      </w:r>
      <w:r w:rsidR="001A38B7" w:rsidRPr="00797E29">
        <w:rPr>
          <w:rFonts w:ascii="Times New Roman" w:hAnsi="Times New Roman"/>
          <w:sz w:val="24"/>
          <w:szCs w:val="24"/>
        </w:rPr>
        <w:t>сматра</w:t>
      </w:r>
      <w:r w:rsidR="00F93B6E" w:rsidRPr="00797E29">
        <w:rPr>
          <w:rFonts w:ascii="Times New Roman" w:hAnsi="Times New Roman"/>
          <w:sz w:val="24"/>
          <w:szCs w:val="24"/>
        </w:rPr>
        <w:t xml:space="preserve"> </w:t>
      </w:r>
      <w:r w:rsidR="001A38B7" w:rsidRPr="00797E29">
        <w:rPr>
          <w:rFonts w:ascii="Times New Roman" w:hAnsi="Times New Roman"/>
          <w:sz w:val="24"/>
          <w:szCs w:val="24"/>
        </w:rPr>
        <w:t>тржишна</w:t>
      </w:r>
      <w:r w:rsidR="00F93B6E" w:rsidRPr="00797E29">
        <w:rPr>
          <w:rFonts w:ascii="Times New Roman" w:hAnsi="Times New Roman"/>
          <w:sz w:val="24"/>
          <w:szCs w:val="24"/>
        </w:rPr>
        <w:t xml:space="preserve"> </w:t>
      </w:r>
      <w:r w:rsidR="001A38B7" w:rsidRPr="00797E29">
        <w:rPr>
          <w:rFonts w:ascii="Times New Roman" w:hAnsi="Times New Roman"/>
          <w:sz w:val="24"/>
          <w:szCs w:val="24"/>
        </w:rPr>
        <w:t>цена</w:t>
      </w:r>
      <w:r w:rsidR="00F93B6E" w:rsidRPr="00797E29">
        <w:rPr>
          <w:rFonts w:ascii="Times New Roman" w:hAnsi="Times New Roman"/>
          <w:sz w:val="24"/>
          <w:szCs w:val="24"/>
        </w:rPr>
        <w:t xml:space="preserve"> </w:t>
      </w:r>
      <w:r w:rsidR="001A38B7" w:rsidRPr="00797E29">
        <w:rPr>
          <w:rFonts w:ascii="Times New Roman" w:hAnsi="Times New Roman"/>
          <w:sz w:val="24"/>
          <w:szCs w:val="24"/>
        </w:rPr>
        <w:t>права</w:t>
      </w:r>
      <w:r w:rsidR="00F93B6E" w:rsidRPr="00797E29">
        <w:rPr>
          <w:rFonts w:ascii="Times New Roman" w:hAnsi="Times New Roman"/>
          <w:sz w:val="24"/>
          <w:szCs w:val="24"/>
        </w:rPr>
        <w:t xml:space="preserve"> </w:t>
      </w:r>
      <w:r w:rsidR="001A38B7" w:rsidRPr="00797E29">
        <w:rPr>
          <w:rFonts w:ascii="Times New Roman" w:hAnsi="Times New Roman"/>
          <w:sz w:val="24"/>
          <w:szCs w:val="24"/>
        </w:rPr>
        <w:t>које</w:t>
      </w:r>
      <w:r w:rsidR="00F93B6E" w:rsidRPr="00797E29">
        <w:rPr>
          <w:rFonts w:ascii="Times New Roman" w:hAnsi="Times New Roman"/>
          <w:sz w:val="24"/>
          <w:szCs w:val="24"/>
        </w:rPr>
        <w:t xml:space="preserve"> </w:t>
      </w:r>
      <w:r w:rsidR="001A38B7" w:rsidRPr="00797E29">
        <w:rPr>
          <w:rFonts w:ascii="Times New Roman" w:hAnsi="Times New Roman"/>
          <w:sz w:val="24"/>
          <w:szCs w:val="24"/>
        </w:rPr>
        <w:t>се</w:t>
      </w:r>
      <w:r w:rsidR="00F93B6E" w:rsidRPr="00797E29">
        <w:rPr>
          <w:rFonts w:ascii="Times New Roman" w:hAnsi="Times New Roman"/>
          <w:sz w:val="24"/>
          <w:szCs w:val="24"/>
        </w:rPr>
        <w:t xml:space="preserve"> </w:t>
      </w:r>
      <w:r w:rsidR="001A38B7" w:rsidRPr="00797E29">
        <w:rPr>
          <w:rFonts w:ascii="Times New Roman" w:hAnsi="Times New Roman"/>
          <w:sz w:val="24"/>
          <w:szCs w:val="24"/>
        </w:rPr>
        <w:t>добија</w:t>
      </w:r>
      <w:r w:rsidR="00F93B6E" w:rsidRPr="00797E29">
        <w:rPr>
          <w:rFonts w:ascii="Times New Roman" w:hAnsi="Times New Roman"/>
          <w:sz w:val="24"/>
          <w:szCs w:val="24"/>
        </w:rPr>
        <w:t xml:space="preserve"> </w:t>
      </w:r>
      <w:r w:rsidR="001A38B7" w:rsidRPr="00797E29">
        <w:rPr>
          <w:rFonts w:ascii="Times New Roman" w:hAnsi="Times New Roman"/>
          <w:sz w:val="24"/>
          <w:szCs w:val="24"/>
        </w:rPr>
        <w:t>у</w:t>
      </w:r>
      <w:r w:rsidR="00F93B6E" w:rsidRPr="00797E29">
        <w:rPr>
          <w:rFonts w:ascii="Times New Roman" w:hAnsi="Times New Roman"/>
          <w:sz w:val="24"/>
          <w:szCs w:val="24"/>
        </w:rPr>
        <w:t xml:space="preserve"> </w:t>
      </w:r>
      <w:r w:rsidR="001A38B7" w:rsidRPr="00797E29">
        <w:rPr>
          <w:rFonts w:ascii="Times New Roman" w:hAnsi="Times New Roman"/>
          <w:sz w:val="24"/>
          <w:szCs w:val="24"/>
        </w:rPr>
        <w:t>накнаду</w:t>
      </w:r>
      <w:r w:rsidR="00F93B6E" w:rsidRPr="00797E29">
        <w:rPr>
          <w:rFonts w:ascii="Times New Roman" w:hAnsi="Times New Roman"/>
          <w:sz w:val="24"/>
          <w:szCs w:val="24"/>
        </w:rPr>
        <w:t xml:space="preserve">, </w:t>
      </w:r>
      <w:r w:rsidR="001A38B7" w:rsidRPr="00797E29">
        <w:rPr>
          <w:rFonts w:ascii="Times New Roman" w:hAnsi="Times New Roman"/>
          <w:sz w:val="24"/>
          <w:szCs w:val="24"/>
        </w:rPr>
        <w:t>коригована</w:t>
      </w:r>
      <w:r w:rsidR="00F93B6E" w:rsidRPr="00797E29">
        <w:rPr>
          <w:rFonts w:ascii="Times New Roman" w:hAnsi="Times New Roman"/>
          <w:sz w:val="24"/>
          <w:szCs w:val="24"/>
        </w:rPr>
        <w:t xml:space="preserve"> </w:t>
      </w:r>
      <w:r w:rsidR="001A38B7" w:rsidRPr="00797E29">
        <w:rPr>
          <w:rFonts w:ascii="Times New Roman" w:hAnsi="Times New Roman"/>
          <w:sz w:val="24"/>
          <w:szCs w:val="24"/>
        </w:rPr>
        <w:t>за</w:t>
      </w:r>
      <w:r w:rsidR="00F93B6E" w:rsidRPr="00797E29">
        <w:rPr>
          <w:rFonts w:ascii="Times New Roman" w:hAnsi="Times New Roman"/>
          <w:sz w:val="24"/>
          <w:szCs w:val="24"/>
        </w:rPr>
        <w:t xml:space="preserve"> </w:t>
      </w:r>
      <w:r w:rsidR="001A38B7" w:rsidRPr="00797E29">
        <w:rPr>
          <w:rFonts w:ascii="Times New Roman" w:hAnsi="Times New Roman"/>
          <w:sz w:val="24"/>
          <w:szCs w:val="24"/>
        </w:rPr>
        <w:t>евентуално</w:t>
      </w:r>
      <w:r w:rsidR="00F93B6E" w:rsidRPr="00797E29">
        <w:rPr>
          <w:rFonts w:ascii="Times New Roman" w:hAnsi="Times New Roman"/>
          <w:sz w:val="24"/>
          <w:szCs w:val="24"/>
        </w:rPr>
        <w:t xml:space="preserve"> </w:t>
      </w:r>
      <w:r w:rsidR="001A38B7" w:rsidRPr="00797E29">
        <w:rPr>
          <w:rFonts w:ascii="Times New Roman" w:hAnsi="Times New Roman"/>
          <w:sz w:val="24"/>
          <w:szCs w:val="24"/>
        </w:rPr>
        <w:t>примљену</w:t>
      </w:r>
      <w:r w:rsidR="00F93B6E" w:rsidRPr="00797E29">
        <w:rPr>
          <w:rFonts w:ascii="Times New Roman" w:hAnsi="Times New Roman"/>
          <w:sz w:val="24"/>
          <w:szCs w:val="24"/>
        </w:rPr>
        <w:t xml:space="preserve"> </w:t>
      </w:r>
      <w:r w:rsidR="001A38B7" w:rsidRPr="00797E29">
        <w:rPr>
          <w:rFonts w:ascii="Times New Roman" w:hAnsi="Times New Roman"/>
          <w:sz w:val="24"/>
          <w:szCs w:val="24"/>
        </w:rPr>
        <w:t>или</w:t>
      </w:r>
      <w:r w:rsidR="00F93B6E" w:rsidRPr="00797E29">
        <w:rPr>
          <w:rFonts w:ascii="Times New Roman" w:hAnsi="Times New Roman"/>
          <w:sz w:val="24"/>
          <w:szCs w:val="24"/>
        </w:rPr>
        <w:t xml:space="preserve"> </w:t>
      </w:r>
      <w:r w:rsidR="001A38B7" w:rsidRPr="00797E29">
        <w:rPr>
          <w:rFonts w:ascii="Times New Roman" w:hAnsi="Times New Roman"/>
          <w:sz w:val="24"/>
          <w:szCs w:val="24"/>
        </w:rPr>
        <w:t>плаћену</w:t>
      </w:r>
      <w:r w:rsidR="00F93B6E" w:rsidRPr="00797E29">
        <w:rPr>
          <w:rFonts w:ascii="Times New Roman" w:hAnsi="Times New Roman"/>
          <w:sz w:val="24"/>
          <w:szCs w:val="24"/>
        </w:rPr>
        <w:t xml:space="preserve"> </w:t>
      </w:r>
      <w:r w:rsidR="001A38B7" w:rsidRPr="00797E29">
        <w:rPr>
          <w:rFonts w:ascii="Times New Roman" w:hAnsi="Times New Roman"/>
          <w:sz w:val="24"/>
          <w:szCs w:val="24"/>
        </w:rPr>
        <w:t>разлику</w:t>
      </w:r>
      <w:r w:rsidR="00F93B6E" w:rsidRPr="00797E29">
        <w:rPr>
          <w:rFonts w:ascii="Times New Roman" w:hAnsi="Times New Roman"/>
          <w:sz w:val="24"/>
          <w:szCs w:val="24"/>
        </w:rPr>
        <w:t xml:space="preserve"> </w:t>
      </w:r>
      <w:r w:rsidR="001A38B7" w:rsidRPr="00797E29">
        <w:rPr>
          <w:rFonts w:ascii="Times New Roman" w:hAnsi="Times New Roman"/>
          <w:sz w:val="24"/>
          <w:szCs w:val="24"/>
        </w:rPr>
        <w:t>у</w:t>
      </w:r>
      <w:r w:rsidR="00F93B6E" w:rsidRPr="00797E29">
        <w:rPr>
          <w:rFonts w:ascii="Times New Roman" w:hAnsi="Times New Roman"/>
          <w:sz w:val="24"/>
          <w:szCs w:val="24"/>
        </w:rPr>
        <w:t xml:space="preserve"> </w:t>
      </w:r>
      <w:r w:rsidR="001A38B7" w:rsidRPr="00797E29">
        <w:rPr>
          <w:rFonts w:ascii="Times New Roman" w:hAnsi="Times New Roman"/>
          <w:sz w:val="24"/>
          <w:szCs w:val="24"/>
        </w:rPr>
        <w:t>новцу</w:t>
      </w:r>
      <w:r w:rsidR="00F93B6E" w:rsidRPr="00797E29">
        <w:rPr>
          <w:rFonts w:ascii="Times New Roman" w:hAnsi="Times New Roman"/>
          <w:sz w:val="24"/>
          <w:szCs w:val="24"/>
        </w:rPr>
        <w:t>.</w:t>
      </w:r>
      <w:r w:rsidR="006D346D" w:rsidRPr="00797E29">
        <w:rPr>
          <w:rStyle w:val="FootnoteReference"/>
          <w:rFonts w:ascii="Times New Roman" w:hAnsi="Times New Roman"/>
          <w:color w:val="000000"/>
          <w:sz w:val="24"/>
          <w:szCs w:val="24"/>
        </w:rPr>
        <w:t xml:space="preserve"> </w:t>
      </w:r>
      <w:r w:rsidR="006D346D" w:rsidRPr="00797E29">
        <w:rPr>
          <w:rStyle w:val="FootnoteReference"/>
          <w:rFonts w:ascii="Times New Roman" w:hAnsi="Times New Roman"/>
          <w:color w:val="000000"/>
          <w:sz w:val="24"/>
          <w:szCs w:val="24"/>
        </w:rPr>
        <w:footnoteReference w:id="307"/>
      </w:r>
    </w:p>
    <w:p w:rsidR="000E6258" w:rsidRPr="00797E29" w:rsidRDefault="006D346D" w:rsidP="00797E29">
      <w:pPr>
        <w:ind w:firstLine="708"/>
        <w:jc w:val="both"/>
        <w:rPr>
          <w:rFonts w:ascii="Times New Roman" w:hAnsi="Times New Roman"/>
          <w:sz w:val="24"/>
          <w:szCs w:val="24"/>
          <w:lang w:val="sr-Cyrl-CS"/>
        </w:rPr>
      </w:pPr>
      <w:r w:rsidRPr="00797E29">
        <w:rPr>
          <w:rFonts w:ascii="Times New Roman" w:hAnsi="Times New Roman"/>
          <w:sz w:val="24"/>
          <w:szCs w:val="24"/>
          <w:lang w:val="sr-Cyrl-CS"/>
        </w:rPr>
        <w:t xml:space="preserve">Према ранијем законском решењу продајна цена је била дефинисана као </w:t>
      </w:r>
      <w:r w:rsidR="00965E2D" w:rsidRPr="00797E29">
        <w:rPr>
          <w:rFonts w:ascii="Times New Roman" w:hAnsi="Times New Roman"/>
          <w:sz w:val="24"/>
          <w:szCs w:val="24"/>
          <w:shd w:val="clear" w:color="auto" w:fill="FFFFFF"/>
        </w:rPr>
        <w:t>уговорена</w:t>
      </w:r>
      <w:r w:rsidRPr="00797E29">
        <w:rPr>
          <w:rFonts w:ascii="Times New Roman" w:hAnsi="Times New Roman"/>
          <w:sz w:val="24"/>
          <w:szCs w:val="24"/>
          <w:shd w:val="clear" w:color="auto" w:fill="FFFFFF"/>
        </w:rPr>
        <w:t xml:space="preserve"> </w:t>
      </w:r>
      <w:r w:rsidR="00965E2D" w:rsidRPr="00797E29">
        <w:rPr>
          <w:rFonts w:ascii="Times New Roman" w:hAnsi="Times New Roman"/>
          <w:sz w:val="24"/>
          <w:szCs w:val="24"/>
          <w:shd w:val="clear" w:color="auto" w:fill="FFFFFF"/>
        </w:rPr>
        <w:t>цена</w:t>
      </w:r>
      <w:r w:rsidRPr="00797E29">
        <w:rPr>
          <w:rFonts w:ascii="Times New Roman" w:hAnsi="Times New Roman"/>
          <w:sz w:val="24"/>
          <w:szCs w:val="24"/>
          <w:shd w:val="clear" w:color="auto" w:fill="FFFFFF"/>
        </w:rPr>
        <w:t xml:space="preserve">, </w:t>
      </w:r>
      <w:r w:rsidR="00965E2D" w:rsidRPr="00797E29">
        <w:rPr>
          <w:rFonts w:ascii="Times New Roman" w:hAnsi="Times New Roman"/>
          <w:sz w:val="24"/>
          <w:szCs w:val="24"/>
          <w:shd w:val="clear" w:color="auto" w:fill="FFFFFF"/>
        </w:rPr>
        <w:t>односно</w:t>
      </w:r>
      <w:r w:rsidRPr="00797E29">
        <w:rPr>
          <w:rFonts w:ascii="Times New Roman" w:hAnsi="Times New Roman"/>
          <w:sz w:val="24"/>
          <w:szCs w:val="24"/>
          <w:shd w:val="clear" w:color="auto" w:fill="FFFFFF"/>
        </w:rPr>
        <w:t xml:space="preserve"> </w:t>
      </w:r>
      <w:r w:rsidR="00965E2D" w:rsidRPr="00797E29">
        <w:rPr>
          <w:rFonts w:ascii="Times New Roman" w:hAnsi="Times New Roman"/>
          <w:sz w:val="24"/>
          <w:szCs w:val="24"/>
          <w:shd w:val="clear" w:color="auto" w:fill="FFFFFF"/>
        </w:rPr>
        <w:t>тржишна</w:t>
      </w:r>
      <w:r w:rsidRPr="00797E29">
        <w:rPr>
          <w:rFonts w:ascii="Times New Roman" w:hAnsi="Times New Roman"/>
          <w:sz w:val="24"/>
          <w:szCs w:val="24"/>
          <w:shd w:val="clear" w:color="auto" w:fill="FFFFFF"/>
        </w:rPr>
        <w:t xml:space="preserve"> </w:t>
      </w:r>
      <w:r w:rsidR="00965E2D" w:rsidRPr="00797E29">
        <w:rPr>
          <w:rFonts w:ascii="Times New Roman" w:hAnsi="Times New Roman"/>
          <w:sz w:val="24"/>
          <w:szCs w:val="24"/>
          <w:shd w:val="clear" w:color="auto" w:fill="FFFFFF"/>
        </w:rPr>
        <w:t>цена</w:t>
      </w:r>
      <w:r w:rsidRPr="00797E29">
        <w:rPr>
          <w:rFonts w:ascii="Times New Roman" w:hAnsi="Times New Roman"/>
          <w:sz w:val="24"/>
          <w:szCs w:val="24"/>
          <w:shd w:val="clear" w:color="auto" w:fill="FFFFFF"/>
        </w:rPr>
        <w:t xml:space="preserve"> </w:t>
      </w:r>
      <w:r w:rsidR="00965E2D" w:rsidRPr="00797E29">
        <w:rPr>
          <w:rFonts w:ascii="Times New Roman" w:hAnsi="Times New Roman"/>
          <w:sz w:val="24"/>
          <w:szCs w:val="24"/>
          <w:shd w:val="clear" w:color="auto" w:fill="FFFFFF"/>
        </w:rPr>
        <w:t>коју</w:t>
      </w:r>
      <w:r w:rsidRPr="00797E29">
        <w:rPr>
          <w:rFonts w:ascii="Times New Roman" w:hAnsi="Times New Roman"/>
          <w:sz w:val="24"/>
          <w:szCs w:val="24"/>
          <w:shd w:val="clear" w:color="auto" w:fill="FFFFFF"/>
        </w:rPr>
        <w:t xml:space="preserve"> </w:t>
      </w:r>
      <w:r w:rsidR="00965E2D" w:rsidRPr="00797E29">
        <w:rPr>
          <w:rFonts w:ascii="Times New Roman" w:hAnsi="Times New Roman"/>
          <w:sz w:val="24"/>
          <w:szCs w:val="24"/>
          <w:shd w:val="clear" w:color="auto" w:fill="FFFFFF"/>
        </w:rPr>
        <w:t>утврђује</w:t>
      </w:r>
      <w:r w:rsidRPr="00797E29">
        <w:rPr>
          <w:rFonts w:ascii="Times New Roman" w:hAnsi="Times New Roman"/>
          <w:sz w:val="24"/>
          <w:szCs w:val="24"/>
          <w:shd w:val="clear" w:color="auto" w:fill="FFFFFF"/>
        </w:rPr>
        <w:t xml:space="preserve"> </w:t>
      </w:r>
      <w:r w:rsidR="00965E2D" w:rsidRPr="00797E29">
        <w:rPr>
          <w:rFonts w:ascii="Times New Roman" w:hAnsi="Times New Roman"/>
          <w:sz w:val="24"/>
          <w:szCs w:val="24"/>
          <w:shd w:val="clear" w:color="auto" w:fill="FFFFFF"/>
        </w:rPr>
        <w:t>надлежни</w:t>
      </w:r>
      <w:r w:rsidRPr="00797E29">
        <w:rPr>
          <w:rFonts w:ascii="Times New Roman" w:hAnsi="Times New Roman"/>
          <w:sz w:val="24"/>
          <w:szCs w:val="24"/>
          <w:shd w:val="clear" w:color="auto" w:fill="FFFFFF"/>
        </w:rPr>
        <w:t xml:space="preserve"> </w:t>
      </w:r>
      <w:r w:rsidR="00965E2D" w:rsidRPr="00797E29">
        <w:rPr>
          <w:rFonts w:ascii="Times New Roman" w:hAnsi="Times New Roman"/>
          <w:sz w:val="24"/>
          <w:szCs w:val="24"/>
          <w:shd w:val="clear" w:color="auto" w:fill="FFFFFF"/>
        </w:rPr>
        <w:t>порески</w:t>
      </w:r>
      <w:r w:rsidRPr="00797E29">
        <w:rPr>
          <w:rFonts w:ascii="Times New Roman" w:hAnsi="Times New Roman"/>
          <w:sz w:val="24"/>
          <w:szCs w:val="24"/>
          <w:shd w:val="clear" w:color="auto" w:fill="FFFFFF"/>
        </w:rPr>
        <w:t xml:space="preserve"> </w:t>
      </w:r>
      <w:r w:rsidR="00965E2D" w:rsidRPr="00797E29">
        <w:rPr>
          <w:rFonts w:ascii="Times New Roman" w:hAnsi="Times New Roman"/>
          <w:sz w:val="24"/>
          <w:szCs w:val="24"/>
          <w:shd w:val="clear" w:color="auto" w:fill="FFFFFF"/>
        </w:rPr>
        <w:t>орган</w:t>
      </w:r>
      <w:r w:rsidRPr="00797E29">
        <w:rPr>
          <w:rFonts w:ascii="Times New Roman" w:hAnsi="Times New Roman"/>
          <w:sz w:val="24"/>
          <w:szCs w:val="24"/>
          <w:shd w:val="clear" w:color="auto" w:fill="FFFFFF"/>
        </w:rPr>
        <w:t xml:space="preserve">, </w:t>
      </w:r>
      <w:r w:rsidR="00965E2D" w:rsidRPr="00797E29">
        <w:rPr>
          <w:rFonts w:ascii="Times New Roman" w:hAnsi="Times New Roman"/>
          <w:sz w:val="24"/>
          <w:szCs w:val="24"/>
          <w:shd w:val="clear" w:color="auto" w:fill="FFFFFF"/>
        </w:rPr>
        <w:t>ако</w:t>
      </w:r>
      <w:r w:rsidRPr="00797E29">
        <w:rPr>
          <w:rFonts w:ascii="Times New Roman" w:hAnsi="Times New Roman"/>
          <w:sz w:val="24"/>
          <w:szCs w:val="24"/>
          <w:shd w:val="clear" w:color="auto" w:fill="FFFFFF"/>
        </w:rPr>
        <w:t xml:space="preserve"> </w:t>
      </w:r>
      <w:r w:rsidR="00965E2D" w:rsidRPr="00797E29">
        <w:rPr>
          <w:rFonts w:ascii="Times New Roman" w:hAnsi="Times New Roman"/>
          <w:sz w:val="24"/>
          <w:szCs w:val="24"/>
          <w:shd w:val="clear" w:color="auto" w:fill="FFFFFF"/>
        </w:rPr>
        <w:t>оцени</w:t>
      </w:r>
      <w:r w:rsidRPr="00797E29">
        <w:rPr>
          <w:rFonts w:ascii="Times New Roman" w:hAnsi="Times New Roman"/>
          <w:sz w:val="24"/>
          <w:szCs w:val="24"/>
          <w:shd w:val="clear" w:color="auto" w:fill="FFFFFF"/>
        </w:rPr>
        <w:t xml:space="preserve"> </w:t>
      </w:r>
      <w:r w:rsidR="00965E2D" w:rsidRPr="00797E29">
        <w:rPr>
          <w:rFonts w:ascii="Times New Roman" w:hAnsi="Times New Roman"/>
          <w:sz w:val="24"/>
          <w:szCs w:val="24"/>
          <w:shd w:val="clear" w:color="auto" w:fill="FFFFFF"/>
        </w:rPr>
        <w:t>да</w:t>
      </w:r>
      <w:r w:rsidRPr="00797E29">
        <w:rPr>
          <w:rFonts w:ascii="Times New Roman" w:hAnsi="Times New Roman"/>
          <w:sz w:val="24"/>
          <w:szCs w:val="24"/>
          <w:shd w:val="clear" w:color="auto" w:fill="FFFFFF"/>
        </w:rPr>
        <w:t xml:space="preserve"> </w:t>
      </w:r>
      <w:r w:rsidR="00965E2D" w:rsidRPr="00797E29">
        <w:rPr>
          <w:rFonts w:ascii="Times New Roman" w:hAnsi="Times New Roman"/>
          <w:sz w:val="24"/>
          <w:szCs w:val="24"/>
          <w:shd w:val="clear" w:color="auto" w:fill="FFFFFF"/>
        </w:rPr>
        <w:t>је</w:t>
      </w:r>
      <w:r w:rsidRPr="00797E29">
        <w:rPr>
          <w:rFonts w:ascii="Times New Roman" w:hAnsi="Times New Roman"/>
          <w:sz w:val="24"/>
          <w:szCs w:val="24"/>
          <w:shd w:val="clear" w:color="auto" w:fill="FFFFFF"/>
        </w:rPr>
        <w:t xml:space="preserve"> </w:t>
      </w:r>
      <w:r w:rsidR="00965E2D" w:rsidRPr="00797E29">
        <w:rPr>
          <w:rFonts w:ascii="Times New Roman" w:hAnsi="Times New Roman"/>
          <w:sz w:val="24"/>
          <w:szCs w:val="24"/>
          <w:shd w:val="clear" w:color="auto" w:fill="FFFFFF"/>
        </w:rPr>
        <w:t>уговорена</w:t>
      </w:r>
      <w:r w:rsidRPr="00797E29">
        <w:rPr>
          <w:rFonts w:ascii="Times New Roman" w:hAnsi="Times New Roman"/>
          <w:sz w:val="24"/>
          <w:szCs w:val="24"/>
          <w:shd w:val="clear" w:color="auto" w:fill="FFFFFF"/>
        </w:rPr>
        <w:t xml:space="preserve"> </w:t>
      </w:r>
      <w:r w:rsidR="00965E2D" w:rsidRPr="00797E29">
        <w:rPr>
          <w:rFonts w:ascii="Times New Roman" w:hAnsi="Times New Roman"/>
          <w:sz w:val="24"/>
          <w:szCs w:val="24"/>
          <w:shd w:val="clear" w:color="auto" w:fill="FFFFFF"/>
        </w:rPr>
        <w:t>цена</w:t>
      </w:r>
      <w:r w:rsidRPr="00797E29">
        <w:rPr>
          <w:rFonts w:ascii="Times New Roman" w:hAnsi="Times New Roman"/>
          <w:sz w:val="24"/>
          <w:szCs w:val="24"/>
          <w:shd w:val="clear" w:color="auto" w:fill="FFFFFF"/>
        </w:rPr>
        <w:t xml:space="preserve"> </w:t>
      </w:r>
      <w:r w:rsidR="00965E2D" w:rsidRPr="00797E29">
        <w:rPr>
          <w:rFonts w:ascii="Times New Roman" w:hAnsi="Times New Roman"/>
          <w:sz w:val="24"/>
          <w:szCs w:val="24"/>
          <w:shd w:val="clear" w:color="auto" w:fill="FFFFFF"/>
        </w:rPr>
        <w:t>нижа</w:t>
      </w:r>
      <w:r w:rsidRPr="00797E29">
        <w:rPr>
          <w:rFonts w:ascii="Times New Roman" w:hAnsi="Times New Roman"/>
          <w:sz w:val="24"/>
          <w:szCs w:val="24"/>
          <w:shd w:val="clear" w:color="auto" w:fill="FFFFFF"/>
        </w:rPr>
        <w:t xml:space="preserve"> </w:t>
      </w:r>
      <w:r w:rsidR="00965E2D" w:rsidRPr="00797E29">
        <w:rPr>
          <w:rFonts w:ascii="Times New Roman" w:hAnsi="Times New Roman"/>
          <w:sz w:val="24"/>
          <w:szCs w:val="24"/>
          <w:shd w:val="clear" w:color="auto" w:fill="FFFFFF"/>
        </w:rPr>
        <w:t>од</w:t>
      </w:r>
      <w:r w:rsidRPr="00797E29">
        <w:rPr>
          <w:rFonts w:ascii="Times New Roman" w:hAnsi="Times New Roman"/>
          <w:sz w:val="24"/>
          <w:szCs w:val="24"/>
          <w:shd w:val="clear" w:color="auto" w:fill="FFFFFF"/>
        </w:rPr>
        <w:t xml:space="preserve"> </w:t>
      </w:r>
      <w:r w:rsidR="00965E2D" w:rsidRPr="00797E29">
        <w:rPr>
          <w:rFonts w:ascii="Times New Roman" w:hAnsi="Times New Roman"/>
          <w:sz w:val="24"/>
          <w:szCs w:val="24"/>
          <w:shd w:val="clear" w:color="auto" w:fill="FFFFFF"/>
        </w:rPr>
        <w:t>тржишне</w:t>
      </w:r>
      <w:r w:rsidRPr="00797E29">
        <w:rPr>
          <w:rFonts w:ascii="Times New Roman" w:hAnsi="Times New Roman"/>
          <w:sz w:val="24"/>
          <w:szCs w:val="24"/>
          <w:shd w:val="clear" w:color="auto" w:fill="FFFFFF"/>
        </w:rPr>
        <w:t>.</w:t>
      </w:r>
      <w:r w:rsidRPr="00797E29">
        <w:rPr>
          <w:rStyle w:val="FootnoteReference"/>
          <w:rFonts w:ascii="Times New Roman" w:hAnsi="Times New Roman"/>
          <w:color w:val="000000"/>
          <w:sz w:val="24"/>
          <w:szCs w:val="24"/>
          <w:shd w:val="clear" w:color="auto" w:fill="FFFFFF"/>
        </w:rPr>
        <w:footnoteReference w:id="308"/>
      </w:r>
      <w:r w:rsidR="00965E2D" w:rsidRPr="00797E29">
        <w:rPr>
          <w:rFonts w:ascii="Times New Roman" w:hAnsi="Times New Roman"/>
          <w:sz w:val="24"/>
          <w:szCs w:val="24"/>
          <w:lang w:val="sr-Cyrl-CS"/>
        </w:rPr>
        <w:t xml:space="preserve"> </w:t>
      </w:r>
      <w:r w:rsidR="00114641" w:rsidRPr="00797E29">
        <w:rPr>
          <w:rFonts w:ascii="Times New Roman" w:hAnsi="Times New Roman"/>
          <w:sz w:val="24"/>
          <w:szCs w:val="24"/>
          <w:lang w:val="sr-Cyrl-CS"/>
        </w:rPr>
        <w:t>Према томе</w:t>
      </w:r>
      <w:r w:rsidR="00965E2D" w:rsidRPr="00797E29">
        <w:rPr>
          <w:rFonts w:ascii="Times New Roman" w:hAnsi="Times New Roman"/>
          <w:sz w:val="24"/>
          <w:szCs w:val="24"/>
          <w:lang w:val="sr-Cyrl-CS"/>
        </w:rPr>
        <w:t>,</w:t>
      </w:r>
      <w:r w:rsidR="00114641" w:rsidRPr="00797E29">
        <w:rPr>
          <w:rFonts w:ascii="Times New Roman" w:hAnsi="Times New Roman"/>
          <w:sz w:val="24"/>
          <w:szCs w:val="24"/>
          <w:lang w:val="sr-Cyrl-CS"/>
        </w:rPr>
        <w:t xml:space="preserve"> уколико ова цена није исказана у складу са тржишном у пословним књигама, порески орган је може кориговати. </w:t>
      </w:r>
    </w:p>
    <w:p w:rsidR="000E6258" w:rsidRPr="00797E29" w:rsidRDefault="000E6258" w:rsidP="00797E29">
      <w:pPr>
        <w:jc w:val="both"/>
        <w:rPr>
          <w:rFonts w:ascii="Times New Roman" w:hAnsi="Times New Roman"/>
          <w:sz w:val="24"/>
          <w:szCs w:val="24"/>
          <w:lang w:val="sr-Cyrl-CS"/>
        </w:rPr>
      </w:pPr>
    </w:p>
    <w:p w:rsidR="007650EA" w:rsidRPr="00797E29" w:rsidRDefault="00114641" w:rsidP="00797E29">
      <w:pPr>
        <w:ind w:firstLine="708"/>
        <w:jc w:val="both"/>
        <w:rPr>
          <w:rFonts w:ascii="Times New Roman" w:hAnsi="Times New Roman"/>
          <w:sz w:val="24"/>
          <w:szCs w:val="24"/>
          <w:lang w:val="sr-Cyrl-CS"/>
        </w:rPr>
      </w:pPr>
      <w:r w:rsidRPr="00797E29">
        <w:rPr>
          <w:rFonts w:ascii="Times New Roman" w:hAnsi="Times New Roman"/>
          <w:sz w:val="24"/>
          <w:szCs w:val="24"/>
          <w:lang w:val="sr-Cyrl-CS"/>
        </w:rPr>
        <w:lastRenderedPageBreak/>
        <w:t>У зависности од имовине о к</w:t>
      </w:r>
      <w:r w:rsidR="0033024E" w:rsidRPr="00797E29">
        <w:rPr>
          <w:rFonts w:ascii="Times New Roman" w:hAnsi="Times New Roman"/>
          <w:sz w:val="24"/>
          <w:szCs w:val="24"/>
          <w:lang w:val="sr-Cyrl-CS"/>
        </w:rPr>
        <w:t>ојој се ради и начин одређивања</w:t>
      </w:r>
      <w:r w:rsidRPr="00797E29">
        <w:rPr>
          <w:rFonts w:ascii="Times New Roman" w:hAnsi="Times New Roman"/>
          <w:sz w:val="24"/>
          <w:szCs w:val="24"/>
          <w:lang w:val="sr-Cyrl-CS"/>
        </w:rPr>
        <w:t xml:space="preserve"> набавне цене је другачији.</w:t>
      </w:r>
      <w:r w:rsidR="0033024E" w:rsidRPr="00797E29">
        <w:rPr>
          <w:rFonts w:ascii="Times New Roman" w:hAnsi="Times New Roman"/>
          <w:sz w:val="24"/>
          <w:szCs w:val="24"/>
          <w:lang w:val="sr-Cyrl-CS"/>
        </w:rPr>
        <w:t xml:space="preserve"> </w:t>
      </w:r>
      <w:r w:rsidR="000E6258" w:rsidRPr="00797E29">
        <w:rPr>
          <w:rFonts w:ascii="Times New Roman" w:hAnsi="Times New Roman"/>
          <w:sz w:val="24"/>
          <w:szCs w:val="24"/>
          <w:lang w:val="sr-Cyrl-CS"/>
        </w:rPr>
        <w:t>Н</w:t>
      </w:r>
      <w:r w:rsidR="00965E2D" w:rsidRPr="00797E29">
        <w:rPr>
          <w:rFonts w:ascii="Times New Roman" w:hAnsi="Times New Roman"/>
          <w:sz w:val="24"/>
          <w:szCs w:val="24"/>
        </w:rPr>
        <w:t>абавна</w:t>
      </w:r>
      <w:r w:rsidR="000E6258" w:rsidRPr="00797E29">
        <w:rPr>
          <w:rFonts w:ascii="Times New Roman" w:hAnsi="Times New Roman"/>
          <w:sz w:val="24"/>
          <w:szCs w:val="24"/>
        </w:rPr>
        <w:t xml:space="preserve"> </w:t>
      </w:r>
      <w:r w:rsidR="00965E2D" w:rsidRPr="00797E29">
        <w:rPr>
          <w:rFonts w:ascii="Times New Roman" w:hAnsi="Times New Roman"/>
          <w:sz w:val="24"/>
          <w:szCs w:val="24"/>
        </w:rPr>
        <w:t>цена</w:t>
      </w:r>
      <w:r w:rsidR="000E6258" w:rsidRPr="00797E29">
        <w:rPr>
          <w:rStyle w:val="FootnoteReference"/>
          <w:rFonts w:ascii="Times New Roman" w:hAnsi="Times New Roman"/>
          <w:color w:val="000000"/>
          <w:sz w:val="24"/>
          <w:szCs w:val="24"/>
        </w:rPr>
        <w:footnoteReference w:id="309"/>
      </w:r>
      <w:r w:rsidR="000E6258" w:rsidRPr="00797E29">
        <w:rPr>
          <w:rFonts w:ascii="Times New Roman" w:hAnsi="Times New Roman"/>
          <w:sz w:val="24"/>
          <w:szCs w:val="24"/>
          <w:lang w:val="sr-Cyrl-CS"/>
        </w:rPr>
        <w:t xml:space="preserve"> </w:t>
      </w:r>
      <w:r w:rsidR="00965E2D" w:rsidRPr="00797E29">
        <w:rPr>
          <w:rFonts w:ascii="Times New Roman" w:hAnsi="Times New Roman"/>
          <w:sz w:val="24"/>
          <w:szCs w:val="24"/>
        </w:rPr>
        <w:t>јесте</w:t>
      </w:r>
      <w:r w:rsidR="000E6258" w:rsidRPr="00797E29">
        <w:rPr>
          <w:rFonts w:ascii="Times New Roman" w:hAnsi="Times New Roman"/>
          <w:sz w:val="24"/>
          <w:szCs w:val="24"/>
        </w:rPr>
        <w:t xml:space="preserve"> </w:t>
      </w:r>
      <w:r w:rsidR="00965E2D" w:rsidRPr="00797E29">
        <w:rPr>
          <w:rFonts w:ascii="Times New Roman" w:hAnsi="Times New Roman"/>
          <w:sz w:val="24"/>
          <w:szCs w:val="24"/>
        </w:rPr>
        <w:t>цена</w:t>
      </w:r>
      <w:r w:rsidR="000E6258" w:rsidRPr="00797E29">
        <w:rPr>
          <w:rFonts w:ascii="Times New Roman" w:hAnsi="Times New Roman"/>
          <w:sz w:val="24"/>
          <w:szCs w:val="24"/>
        </w:rPr>
        <w:t xml:space="preserve"> </w:t>
      </w:r>
      <w:r w:rsidR="00965E2D" w:rsidRPr="00797E29">
        <w:rPr>
          <w:rFonts w:ascii="Times New Roman" w:hAnsi="Times New Roman"/>
          <w:sz w:val="24"/>
          <w:szCs w:val="24"/>
        </w:rPr>
        <w:t>по</w:t>
      </w:r>
      <w:r w:rsidR="000E6258" w:rsidRPr="00797E29">
        <w:rPr>
          <w:rFonts w:ascii="Times New Roman" w:hAnsi="Times New Roman"/>
          <w:sz w:val="24"/>
          <w:szCs w:val="24"/>
        </w:rPr>
        <w:t xml:space="preserve"> </w:t>
      </w:r>
      <w:r w:rsidR="00965E2D" w:rsidRPr="00797E29">
        <w:rPr>
          <w:rFonts w:ascii="Times New Roman" w:hAnsi="Times New Roman"/>
          <w:sz w:val="24"/>
          <w:szCs w:val="24"/>
        </w:rPr>
        <w:t>којој</w:t>
      </w:r>
      <w:r w:rsidR="000E6258" w:rsidRPr="00797E29">
        <w:rPr>
          <w:rFonts w:ascii="Times New Roman" w:hAnsi="Times New Roman"/>
          <w:sz w:val="24"/>
          <w:szCs w:val="24"/>
        </w:rPr>
        <w:t xml:space="preserve"> </w:t>
      </w:r>
      <w:r w:rsidR="00965E2D" w:rsidRPr="00797E29">
        <w:rPr>
          <w:rFonts w:ascii="Times New Roman" w:hAnsi="Times New Roman"/>
          <w:sz w:val="24"/>
          <w:szCs w:val="24"/>
        </w:rPr>
        <w:t>је</w:t>
      </w:r>
      <w:r w:rsidR="000E6258" w:rsidRPr="00797E29">
        <w:rPr>
          <w:rFonts w:ascii="Times New Roman" w:hAnsi="Times New Roman"/>
          <w:sz w:val="24"/>
          <w:szCs w:val="24"/>
        </w:rPr>
        <w:t xml:space="preserve"> </w:t>
      </w:r>
      <w:r w:rsidR="00965E2D" w:rsidRPr="00797E29">
        <w:rPr>
          <w:rFonts w:ascii="Times New Roman" w:hAnsi="Times New Roman"/>
          <w:sz w:val="24"/>
          <w:szCs w:val="24"/>
        </w:rPr>
        <w:t>обвезник</w:t>
      </w:r>
      <w:r w:rsidR="000E6258" w:rsidRPr="00797E29">
        <w:rPr>
          <w:rFonts w:ascii="Times New Roman" w:hAnsi="Times New Roman"/>
          <w:sz w:val="24"/>
          <w:szCs w:val="24"/>
        </w:rPr>
        <w:t xml:space="preserve"> </w:t>
      </w:r>
      <w:r w:rsidR="00965E2D" w:rsidRPr="00797E29">
        <w:rPr>
          <w:rFonts w:ascii="Times New Roman" w:hAnsi="Times New Roman"/>
          <w:sz w:val="24"/>
          <w:szCs w:val="24"/>
        </w:rPr>
        <w:t>стекао</w:t>
      </w:r>
      <w:r w:rsidR="000E6258" w:rsidRPr="00797E29">
        <w:rPr>
          <w:rFonts w:ascii="Times New Roman" w:hAnsi="Times New Roman"/>
          <w:sz w:val="24"/>
          <w:szCs w:val="24"/>
        </w:rPr>
        <w:t xml:space="preserve"> </w:t>
      </w:r>
      <w:r w:rsidR="00965E2D" w:rsidRPr="00797E29">
        <w:rPr>
          <w:rFonts w:ascii="Times New Roman" w:hAnsi="Times New Roman"/>
          <w:sz w:val="24"/>
          <w:szCs w:val="24"/>
        </w:rPr>
        <w:t>имовину</w:t>
      </w:r>
      <w:r w:rsidR="000E6258" w:rsidRPr="00797E29">
        <w:rPr>
          <w:rFonts w:ascii="Times New Roman" w:hAnsi="Times New Roman"/>
          <w:sz w:val="24"/>
          <w:szCs w:val="24"/>
        </w:rPr>
        <w:t xml:space="preserve">, </w:t>
      </w:r>
      <w:r w:rsidR="00965E2D" w:rsidRPr="00797E29">
        <w:rPr>
          <w:rFonts w:ascii="Times New Roman" w:hAnsi="Times New Roman"/>
          <w:sz w:val="24"/>
          <w:szCs w:val="24"/>
        </w:rPr>
        <w:t>умањена</w:t>
      </w:r>
      <w:r w:rsidR="000E6258" w:rsidRPr="00797E29">
        <w:rPr>
          <w:rFonts w:ascii="Times New Roman" w:hAnsi="Times New Roman"/>
          <w:sz w:val="24"/>
          <w:szCs w:val="24"/>
        </w:rPr>
        <w:t xml:space="preserve"> </w:t>
      </w:r>
      <w:r w:rsidR="00965E2D" w:rsidRPr="00797E29">
        <w:rPr>
          <w:rFonts w:ascii="Times New Roman" w:hAnsi="Times New Roman"/>
          <w:sz w:val="24"/>
          <w:szCs w:val="24"/>
        </w:rPr>
        <w:t>по</w:t>
      </w:r>
      <w:r w:rsidR="000E6258" w:rsidRPr="00797E29">
        <w:rPr>
          <w:rFonts w:ascii="Times New Roman" w:hAnsi="Times New Roman"/>
          <w:sz w:val="24"/>
          <w:szCs w:val="24"/>
        </w:rPr>
        <w:t xml:space="preserve"> </w:t>
      </w:r>
      <w:r w:rsidR="00965E2D" w:rsidRPr="00797E29">
        <w:rPr>
          <w:rFonts w:ascii="Times New Roman" w:hAnsi="Times New Roman"/>
          <w:sz w:val="24"/>
          <w:szCs w:val="24"/>
        </w:rPr>
        <w:t>основу</w:t>
      </w:r>
      <w:r w:rsidR="000E6258" w:rsidRPr="00797E29">
        <w:rPr>
          <w:rFonts w:ascii="Times New Roman" w:hAnsi="Times New Roman"/>
          <w:sz w:val="24"/>
          <w:szCs w:val="24"/>
        </w:rPr>
        <w:t xml:space="preserve"> </w:t>
      </w:r>
      <w:r w:rsidR="00965E2D" w:rsidRPr="00797E29">
        <w:rPr>
          <w:rFonts w:ascii="Times New Roman" w:hAnsi="Times New Roman"/>
          <w:sz w:val="24"/>
          <w:szCs w:val="24"/>
        </w:rPr>
        <w:t>амортизације</w:t>
      </w:r>
      <w:r w:rsidR="000E6258" w:rsidRPr="00797E29">
        <w:rPr>
          <w:rFonts w:ascii="Times New Roman" w:hAnsi="Times New Roman"/>
          <w:sz w:val="24"/>
          <w:szCs w:val="24"/>
          <w:lang w:val="sr-Cyrl-CS"/>
        </w:rPr>
        <w:t xml:space="preserve"> (код непокретности). </w:t>
      </w:r>
      <w:r w:rsidR="00681356" w:rsidRPr="00797E29">
        <w:rPr>
          <w:rFonts w:ascii="Times New Roman" w:hAnsi="Times New Roman"/>
          <w:sz w:val="24"/>
          <w:szCs w:val="24"/>
          <w:lang w:val="sr-Cyrl-CS"/>
        </w:rPr>
        <w:t xml:space="preserve"> </w:t>
      </w:r>
      <w:r w:rsidR="00965E2D" w:rsidRPr="00797E29">
        <w:rPr>
          <w:rFonts w:ascii="Times New Roman" w:hAnsi="Times New Roman"/>
          <w:sz w:val="24"/>
          <w:szCs w:val="24"/>
        </w:rPr>
        <w:t>Набавна</w:t>
      </w:r>
      <w:r w:rsidR="00F019FF" w:rsidRPr="00797E29">
        <w:rPr>
          <w:rFonts w:ascii="Times New Roman" w:hAnsi="Times New Roman"/>
          <w:sz w:val="24"/>
          <w:szCs w:val="24"/>
        </w:rPr>
        <w:t xml:space="preserve"> </w:t>
      </w:r>
      <w:r w:rsidR="00965E2D" w:rsidRPr="00797E29">
        <w:rPr>
          <w:rFonts w:ascii="Times New Roman" w:hAnsi="Times New Roman"/>
          <w:sz w:val="24"/>
          <w:szCs w:val="24"/>
        </w:rPr>
        <w:t>цена</w:t>
      </w:r>
      <w:r w:rsidR="00F019FF" w:rsidRPr="00797E29">
        <w:rPr>
          <w:rFonts w:ascii="Times New Roman" w:hAnsi="Times New Roman"/>
          <w:sz w:val="24"/>
          <w:szCs w:val="24"/>
        </w:rPr>
        <w:t xml:space="preserve"> </w:t>
      </w:r>
      <w:r w:rsidR="00F019FF" w:rsidRPr="00797E29">
        <w:rPr>
          <w:rFonts w:ascii="Times New Roman" w:hAnsi="Times New Roman"/>
          <w:sz w:val="24"/>
          <w:szCs w:val="24"/>
          <w:lang w:val="sr-Cyrl-CS"/>
        </w:rPr>
        <w:t>се</w:t>
      </w:r>
      <w:r w:rsidR="00F019FF" w:rsidRPr="00797E29">
        <w:rPr>
          <w:rFonts w:ascii="Times New Roman" w:hAnsi="Times New Roman"/>
          <w:sz w:val="24"/>
          <w:szCs w:val="24"/>
        </w:rPr>
        <w:t xml:space="preserve"> </w:t>
      </w:r>
      <w:r w:rsidR="00965E2D" w:rsidRPr="00797E29">
        <w:rPr>
          <w:rFonts w:ascii="Times New Roman" w:hAnsi="Times New Roman"/>
          <w:sz w:val="24"/>
          <w:szCs w:val="24"/>
        </w:rPr>
        <w:t>коригује</w:t>
      </w:r>
      <w:r w:rsidR="00F019FF" w:rsidRPr="00797E29">
        <w:rPr>
          <w:rFonts w:ascii="Times New Roman" w:hAnsi="Times New Roman"/>
          <w:sz w:val="24"/>
          <w:szCs w:val="24"/>
        </w:rPr>
        <w:t xml:space="preserve"> </w:t>
      </w:r>
      <w:r w:rsidR="00681356" w:rsidRPr="00797E29">
        <w:rPr>
          <w:rFonts w:ascii="Times New Roman" w:hAnsi="Times New Roman"/>
          <w:sz w:val="24"/>
          <w:szCs w:val="24"/>
        </w:rPr>
        <w:t xml:space="preserve"> </w:t>
      </w:r>
      <w:r w:rsidR="00965E2D" w:rsidRPr="00797E29">
        <w:rPr>
          <w:rFonts w:ascii="Times New Roman" w:hAnsi="Times New Roman"/>
          <w:sz w:val="24"/>
          <w:szCs w:val="24"/>
        </w:rPr>
        <w:t>на</w:t>
      </w:r>
      <w:r w:rsidR="00681356" w:rsidRPr="00797E29">
        <w:rPr>
          <w:rFonts w:ascii="Times New Roman" w:hAnsi="Times New Roman"/>
          <w:sz w:val="24"/>
          <w:szCs w:val="24"/>
        </w:rPr>
        <w:t xml:space="preserve"> </w:t>
      </w:r>
      <w:r w:rsidR="00965E2D" w:rsidRPr="00797E29">
        <w:rPr>
          <w:rFonts w:ascii="Times New Roman" w:hAnsi="Times New Roman"/>
          <w:sz w:val="24"/>
          <w:szCs w:val="24"/>
        </w:rPr>
        <w:t>процењену</w:t>
      </w:r>
      <w:r w:rsidR="00681356" w:rsidRPr="00797E29">
        <w:rPr>
          <w:rFonts w:ascii="Times New Roman" w:hAnsi="Times New Roman"/>
          <w:sz w:val="24"/>
          <w:szCs w:val="24"/>
        </w:rPr>
        <w:t xml:space="preserve">, </w:t>
      </w:r>
      <w:r w:rsidR="00965E2D" w:rsidRPr="00797E29">
        <w:rPr>
          <w:rFonts w:ascii="Times New Roman" w:hAnsi="Times New Roman"/>
          <w:sz w:val="24"/>
          <w:szCs w:val="24"/>
        </w:rPr>
        <w:t>односно</w:t>
      </w:r>
      <w:r w:rsidR="00681356" w:rsidRPr="00797E29">
        <w:rPr>
          <w:rFonts w:ascii="Times New Roman" w:hAnsi="Times New Roman"/>
          <w:sz w:val="24"/>
          <w:szCs w:val="24"/>
        </w:rPr>
        <w:t xml:space="preserve"> </w:t>
      </w:r>
      <w:r w:rsidR="00965E2D" w:rsidRPr="00797E29">
        <w:rPr>
          <w:rFonts w:ascii="Times New Roman" w:hAnsi="Times New Roman"/>
          <w:sz w:val="24"/>
          <w:szCs w:val="24"/>
        </w:rPr>
        <w:t>фер</w:t>
      </w:r>
      <w:r w:rsidR="00681356" w:rsidRPr="00797E29">
        <w:rPr>
          <w:rFonts w:ascii="Times New Roman" w:hAnsi="Times New Roman"/>
          <w:sz w:val="24"/>
          <w:szCs w:val="24"/>
        </w:rPr>
        <w:t xml:space="preserve"> </w:t>
      </w:r>
      <w:r w:rsidR="00965E2D" w:rsidRPr="00797E29">
        <w:rPr>
          <w:rFonts w:ascii="Times New Roman" w:hAnsi="Times New Roman"/>
          <w:sz w:val="24"/>
          <w:szCs w:val="24"/>
        </w:rPr>
        <w:t>вредност</w:t>
      </w:r>
      <w:r w:rsidR="00681356" w:rsidRPr="00797E29">
        <w:rPr>
          <w:rFonts w:ascii="Times New Roman" w:hAnsi="Times New Roman"/>
          <w:sz w:val="24"/>
          <w:szCs w:val="24"/>
        </w:rPr>
        <w:t xml:space="preserve">, </w:t>
      </w:r>
      <w:r w:rsidR="00965E2D" w:rsidRPr="00797E29">
        <w:rPr>
          <w:rFonts w:ascii="Times New Roman" w:hAnsi="Times New Roman"/>
          <w:sz w:val="24"/>
          <w:szCs w:val="24"/>
        </w:rPr>
        <w:t>утврђену</w:t>
      </w:r>
      <w:r w:rsidR="00681356" w:rsidRPr="00797E29">
        <w:rPr>
          <w:rFonts w:ascii="Times New Roman" w:hAnsi="Times New Roman"/>
          <w:sz w:val="24"/>
          <w:szCs w:val="24"/>
        </w:rPr>
        <w:t xml:space="preserve"> </w:t>
      </w:r>
      <w:r w:rsidR="00965E2D" w:rsidRPr="00797E29">
        <w:rPr>
          <w:rFonts w:ascii="Times New Roman" w:hAnsi="Times New Roman"/>
          <w:sz w:val="24"/>
          <w:szCs w:val="24"/>
        </w:rPr>
        <w:t>у</w:t>
      </w:r>
      <w:r w:rsidR="00681356" w:rsidRPr="00797E29">
        <w:rPr>
          <w:rFonts w:ascii="Times New Roman" w:hAnsi="Times New Roman"/>
          <w:sz w:val="24"/>
          <w:szCs w:val="24"/>
        </w:rPr>
        <w:t xml:space="preserve"> </w:t>
      </w:r>
      <w:r w:rsidR="00965E2D" w:rsidRPr="00797E29">
        <w:rPr>
          <w:rFonts w:ascii="Times New Roman" w:hAnsi="Times New Roman"/>
          <w:sz w:val="24"/>
          <w:szCs w:val="24"/>
        </w:rPr>
        <w:t>складу</w:t>
      </w:r>
      <w:r w:rsidR="00681356" w:rsidRPr="00797E29">
        <w:rPr>
          <w:rFonts w:ascii="Times New Roman" w:hAnsi="Times New Roman"/>
          <w:sz w:val="24"/>
          <w:szCs w:val="24"/>
        </w:rPr>
        <w:t xml:space="preserve"> </w:t>
      </w:r>
      <w:r w:rsidR="00965E2D" w:rsidRPr="00797E29">
        <w:rPr>
          <w:rFonts w:ascii="Times New Roman" w:hAnsi="Times New Roman"/>
          <w:sz w:val="24"/>
          <w:szCs w:val="24"/>
        </w:rPr>
        <w:t>са</w:t>
      </w:r>
      <w:r w:rsidR="00681356" w:rsidRPr="00797E29">
        <w:rPr>
          <w:rFonts w:ascii="Times New Roman" w:hAnsi="Times New Roman"/>
          <w:sz w:val="24"/>
          <w:szCs w:val="24"/>
        </w:rPr>
        <w:t xml:space="preserve"> </w:t>
      </w:r>
      <w:r w:rsidR="00965E2D" w:rsidRPr="00797E29">
        <w:rPr>
          <w:rFonts w:ascii="Times New Roman" w:hAnsi="Times New Roman"/>
          <w:sz w:val="24"/>
          <w:szCs w:val="24"/>
        </w:rPr>
        <w:t>МРС</w:t>
      </w:r>
      <w:r w:rsidR="00681356" w:rsidRPr="00797E29">
        <w:rPr>
          <w:rFonts w:ascii="Times New Roman" w:hAnsi="Times New Roman"/>
          <w:sz w:val="24"/>
          <w:szCs w:val="24"/>
        </w:rPr>
        <w:t xml:space="preserve">, </w:t>
      </w:r>
      <w:r w:rsidR="00965E2D" w:rsidRPr="00797E29">
        <w:rPr>
          <w:rFonts w:ascii="Times New Roman" w:hAnsi="Times New Roman"/>
          <w:sz w:val="24"/>
          <w:szCs w:val="24"/>
        </w:rPr>
        <w:t>односно</w:t>
      </w:r>
      <w:r w:rsidR="00681356" w:rsidRPr="00797E29">
        <w:rPr>
          <w:rFonts w:ascii="Times New Roman" w:hAnsi="Times New Roman"/>
          <w:sz w:val="24"/>
          <w:szCs w:val="24"/>
        </w:rPr>
        <w:t xml:space="preserve"> </w:t>
      </w:r>
      <w:r w:rsidR="00965E2D" w:rsidRPr="00797E29">
        <w:rPr>
          <w:rFonts w:ascii="Times New Roman" w:hAnsi="Times New Roman"/>
          <w:sz w:val="24"/>
          <w:szCs w:val="24"/>
        </w:rPr>
        <w:t>МСФИ</w:t>
      </w:r>
      <w:r w:rsidR="00681356" w:rsidRPr="00797E29">
        <w:rPr>
          <w:rFonts w:ascii="Times New Roman" w:hAnsi="Times New Roman"/>
          <w:sz w:val="24"/>
          <w:szCs w:val="24"/>
        </w:rPr>
        <w:t xml:space="preserve"> </w:t>
      </w:r>
      <w:r w:rsidR="00965E2D" w:rsidRPr="00797E29">
        <w:rPr>
          <w:rFonts w:ascii="Times New Roman" w:hAnsi="Times New Roman"/>
          <w:sz w:val="24"/>
          <w:szCs w:val="24"/>
        </w:rPr>
        <w:t>и</w:t>
      </w:r>
      <w:r w:rsidR="00681356" w:rsidRPr="00797E29">
        <w:rPr>
          <w:rFonts w:ascii="Times New Roman" w:hAnsi="Times New Roman"/>
          <w:sz w:val="24"/>
          <w:szCs w:val="24"/>
        </w:rPr>
        <w:t xml:space="preserve"> </w:t>
      </w:r>
      <w:r w:rsidR="00965E2D" w:rsidRPr="00797E29">
        <w:rPr>
          <w:rFonts w:ascii="Times New Roman" w:hAnsi="Times New Roman"/>
          <w:sz w:val="24"/>
          <w:szCs w:val="24"/>
        </w:rPr>
        <w:t>усвојеним</w:t>
      </w:r>
      <w:r w:rsidR="00681356" w:rsidRPr="00797E29">
        <w:rPr>
          <w:rFonts w:ascii="Times New Roman" w:hAnsi="Times New Roman"/>
          <w:sz w:val="24"/>
          <w:szCs w:val="24"/>
        </w:rPr>
        <w:t xml:space="preserve"> </w:t>
      </w:r>
      <w:r w:rsidR="00965E2D" w:rsidRPr="00797E29">
        <w:rPr>
          <w:rFonts w:ascii="Times New Roman" w:hAnsi="Times New Roman"/>
          <w:sz w:val="24"/>
          <w:szCs w:val="24"/>
        </w:rPr>
        <w:t>рачуноводственим</w:t>
      </w:r>
      <w:r w:rsidR="00681356" w:rsidRPr="00797E29">
        <w:rPr>
          <w:rFonts w:ascii="Times New Roman" w:hAnsi="Times New Roman"/>
          <w:sz w:val="24"/>
          <w:szCs w:val="24"/>
        </w:rPr>
        <w:t xml:space="preserve"> </w:t>
      </w:r>
      <w:r w:rsidR="00965E2D" w:rsidRPr="00797E29">
        <w:rPr>
          <w:rFonts w:ascii="Times New Roman" w:hAnsi="Times New Roman"/>
          <w:sz w:val="24"/>
          <w:szCs w:val="24"/>
        </w:rPr>
        <w:t>политикама</w:t>
      </w:r>
      <w:r w:rsidR="00681356" w:rsidRPr="00797E29">
        <w:rPr>
          <w:rFonts w:ascii="Times New Roman" w:hAnsi="Times New Roman"/>
          <w:sz w:val="24"/>
          <w:szCs w:val="24"/>
        </w:rPr>
        <w:t xml:space="preserve">, </w:t>
      </w:r>
      <w:r w:rsidR="00965E2D" w:rsidRPr="00797E29">
        <w:rPr>
          <w:rFonts w:ascii="Times New Roman" w:hAnsi="Times New Roman"/>
          <w:sz w:val="24"/>
          <w:szCs w:val="24"/>
        </w:rPr>
        <w:t>уколико</w:t>
      </w:r>
      <w:r w:rsidR="00681356" w:rsidRPr="00797E29">
        <w:rPr>
          <w:rFonts w:ascii="Times New Roman" w:hAnsi="Times New Roman"/>
          <w:sz w:val="24"/>
          <w:szCs w:val="24"/>
        </w:rPr>
        <w:t xml:space="preserve"> </w:t>
      </w:r>
      <w:r w:rsidR="00965E2D" w:rsidRPr="00797E29">
        <w:rPr>
          <w:rFonts w:ascii="Times New Roman" w:hAnsi="Times New Roman"/>
          <w:sz w:val="24"/>
          <w:szCs w:val="24"/>
        </w:rPr>
        <w:t>је</w:t>
      </w:r>
      <w:r w:rsidR="00681356" w:rsidRPr="00797E29">
        <w:rPr>
          <w:rFonts w:ascii="Times New Roman" w:hAnsi="Times New Roman"/>
          <w:sz w:val="24"/>
          <w:szCs w:val="24"/>
        </w:rPr>
        <w:t xml:space="preserve"> </w:t>
      </w:r>
      <w:r w:rsidR="00965E2D" w:rsidRPr="00797E29">
        <w:rPr>
          <w:rFonts w:ascii="Times New Roman" w:hAnsi="Times New Roman"/>
          <w:sz w:val="24"/>
          <w:szCs w:val="24"/>
        </w:rPr>
        <w:t>промена</w:t>
      </w:r>
      <w:r w:rsidR="00681356" w:rsidRPr="00797E29">
        <w:rPr>
          <w:rFonts w:ascii="Times New Roman" w:hAnsi="Times New Roman"/>
          <w:sz w:val="24"/>
          <w:szCs w:val="24"/>
        </w:rPr>
        <w:t xml:space="preserve"> </w:t>
      </w:r>
      <w:r w:rsidR="00965E2D" w:rsidRPr="00797E29">
        <w:rPr>
          <w:rFonts w:ascii="Times New Roman" w:hAnsi="Times New Roman"/>
          <w:sz w:val="24"/>
          <w:szCs w:val="24"/>
        </w:rPr>
        <w:t>на</w:t>
      </w:r>
      <w:r w:rsidR="00681356" w:rsidRPr="00797E29">
        <w:rPr>
          <w:rFonts w:ascii="Times New Roman" w:hAnsi="Times New Roman"/>
          <w:sz w:val="24"/>
          <w:szCs w:val="24"/>
        </w:rPr>
        <w:t xml:space="preserve"> </w:t>
      </w:r>
      <w:r w:rsidR="00965E2D" w:rsidRPr="00797E29">
        <w:rPr>
          <w:rFonts w:ascii="Times New Roman" w:hAnsi="Times New Roman"/>
          <w:sz w:val="24"/>
          <w:szCs w:val="24"/>
        </w:rPr>
        <w:t>фер</w:t>
      </w:r>
      <w:r w:rsidR="00681356" w:rsidRPr="00797E29">
        <w:rPr>
          <w:rFonts w:ascii="Times New Roman" w:hAnsi="Times New Roman"/>
          <w:sz w:val="24"/>
          <w:szCs w:val="24"/>
        </w:rPr>
        <w:t xml:space="preserve"> </w:t>
      </w:r>
      <w:r w:rsidR="00965E2D" w:rsidRPr="00797E29">
        <w:rPr>
          <w:rFonts w:ascii="Times New Roman" w:hAnsi="Times New Roman"/>
          <w:sz w:val="24"/>
          <w:szCs w:val="24"/>
        </w:rPr>
        <w:t>вредност</w:t>
      </w:r>
      <w:r w:rsidR="00681356" w:rsidRPr="00797E29">
        <w:rPr>
          <w:rFonts w:ascii="Times New Roman" w:hAnsi="Times New Roman"/>
          <w:sz w:val="24"/>
          <w:szCs w:val="24"/>
        </w:rPr>
        <w:t xml:space="preserve"> </w:t>
      </w:r>
      <w:r w:rsidR="00965E2D" w:rsidRPr="00797E29">
        <w:rPr>
          <w:rFonts w:ascii="Times New Roman" w:hAnsi="Times New Roman"/>
          <w:sz w:val="24"/>
          <w:szCs w:val="24"/>
        </w:rPr>
        <w:t>исказивана</w:t>
      </w:r>
      <w:r w:rsidR="00681356" w:rsidRPr="00797E29">
        <w:rPr>
          <w:rFonts w:ascii="Times New Roman" w:hAnsi="Times New Roman"/>
          <w:sz w:val="24"/>
          <w:szCs w:val="24"/>
        </w:rPr>
        <w:t xml:space="preserve"> </w:t>
      </w:r>
      <w:r w:rsidR="00965E2D" w:rsidRPr="00797E29">
        <w:rPr>
          <w:rFonts w:ascii="Times New Roman" w:hAnsi="Times New Roman"/>
          <w:sz w:val="24"/>
          <w:szCs w:val="24"/>
        </w:rPr>
        <w:t>у</w:t>
      </w:r>
      <w:r w:rsidR="00681356" w:rsidRPr="00797E29">
        <w:rPr>
          <w:rFonts w:ascii="Times New Roman" w:hAnsi="Times New Roman"/>
          <w:sz w:val="24"/>
          <w:szCs w:val="24"/>
        </w:rPr>
        <w:t xml:space="preserve"> </w:t>
      </w:r>
      <w:r w:rsidR="00965E2D" w:rsidRPr="00797E29">
        <w:rPr>
          <w:rFonts w:ascii="Times New Roman" w:hAnsi="Times New Roman"/>
          <w:sz w:val="24"/>
          <w:szCs w:val="24"/>
        </w:rPr>
        <w:t>целини</w:t>
      </w:r>
      <w:r w:rsidR="00681356" w:rsidRPr="00797E29">
        <w:rPr>
          <w:rFonts w:ascii="Times New Roman" w:hAnsi="Times New Roman"/>
          <w:sz w:val="24"/>
          <w:szCs w:val="24"/>
        </w:rPr>
        <w:t xml:space="preserve"> </w:t>
      </w:r>
      <w:r w:rsidR="00965E2D" w:rsidRPr="00797E29">
        <w:rPr>
          <w:rFonts w:ascii="Times New Roman" w:hAnsi="Times New Roman"/>
          <w:sz w:val="24"/>
          <w:szCs w:val="24"/>
        </w:rPr>
        <w:t>као</w:t>
      </w:r>
      <w:r w:rsidR="00681356" w:rsidRPr="00797E29">
        <w:rPr>
          <w:rFonts w:ascii="Times New Roman" w:hAnsi="Times New Roman"/>
          <w:sz w:val="24"/>
          <w:szCs w:val="24"/>
        </w:rPr>
        <w:t xml:space="preserve"> </w:t>
      </w:r>
      <w:r w:rsidR="00965E2D" w:rsidRPr="00797E29">
        <w:rPr>
          <w:rFonts w:ascii="Times New Roman" w:hAnsi="Times New Roman"/>
          <w:sz w:val="24"/>
          <w:szCs w:val="24"/>
        </w:rPr>
        <w:t>приход</w:t>
      </w:r>
      <w:r w:rsidR="00681356" w:rsidRPr="00797E29">
        <w:rPr>
          <w:rFonts w:ascii="Times New Roman" w:hAnsi="Times New Roman"/>
          <w:sz w:val="24"/>
          <w:szCs w:val="24"/>
        </w:rPr>
        <w:t xml:space="preserve"> </w:t>
      </w:r>
      <w:r w:rsidR="00965E2D" w:rsidRPr="00797E29">
        <w:rPr>
          <w:rFonts w:ascii="Times New Roman" w:hAnsi="Times New Roman"/>
          <w:sz w:val="24"/>
          <w:szCs w:val="24"/>
        </w:rPr>
        <w:t>периода</w:t>
      </w:r>
      <w:r w:rsidR="00681356" w:rsidRPr="00797E29">
        <w:rPr>
          <w:rFonts w:ascii="Times New Roman" w:hAnsi="Times New Roman"/>
          <w:sz w:val="24"/>
          <w:szCs w:val="24"/>
        </w:rPr>
        <w:t xml:space="preserve"> </w:t>
      </w:r>
      <w:r w:rsidR="00965E2D" w:rsidRPr="00797E29">
        <w:rPr>
          <w:rFonts w:ascii="Times New Roman" w:hAnsi="Times New Roman"/>
          <w:sz w:val="24"/>
          <w:szCs w:val="24"/>
        </w:rPr>
        <w:t>у</w:t>
      </w:r>
      <w:r w:rsidR="00681356" w:rsidRPr="00797E29">
        <w:rPr>
          <w:rFonts w:ascii="Times New Roman" w:hAnsi="Times New Roman"/>
          <w:sz w:val="24"/>
          <w:szCs w:val="24"/>
        </w:rPr>
        <w:t xml:space="preserve"> </w:t>
      </w:r>
      <w:r w:rsidR="00965E2D" w:rsidRPr="00797E29">
        <w:rPr>
          <w:rFonts w:ascii="Times New Roman" w:hAnsi="Times New Roman"/>
          <w:sz w:val="24"/>
          <w:szCs w:val="24"/>
        </w:rPr>
        <w:t>коме</w:t>
      </w:r>
      <w:r w:rsidR="00681356" w:rsidRPr="00797E29">
        <w:rPr>
          <w:rFonts w:ascii="Times New Roman" w:hAnsi="Times New Roman"/>
          <w:sz w:val="24"/>
          <w:szCs w:val="24"/>
        </w:rPr>
        <w:t xml:space="preserve"> </w:t>
      </w:r>
      <w:r w:rsidR="00965E2D" w:rsidRPr="00797E29">
        <w:rPr>
          <w:rFonts w:ascii="Times New Roman" w:hAnsi="Times New Roman"/>
          <w:sz w:val="24"/>
          <w:szCs w:val="24"/>
        </w:rPr>
        <w:t>је</w:t>
      </w:r>
      <w:r w:rsidR="00681356" w:rsidRPr="00797E29">
        <w:rPr>
          <w:rFonts w:ascii="Times New Roman" w:hAnsi="Times New Roman"/>
          <w:sz w:val="24"/>
          <w:szCs w:val="24"/>
        </w:rPr>
        <w:t xml:space="preserve"> </w:t>
      </w:r>
      <w:r w:rsidR="00965E2D" w:rsidRPr="00797E29">
        <w:rPr>
          <w:rFonts w:ascii="Times New Roman" w:hAnsi="Times New Roman"/>
          <w:sz w:val="24"/>
          <w:szCs w:val="24"/>
        </w:rPr>
        <w:t>вршена</w:t>
      </w:r>
      <w:r w:rsidR="00681356" w:rsidRPr="00797E29">
        <w:rPr>
          <w:rFonts w:ascii="Times New Roman" w:hAnsi="Times New Roman"/>
          <w:sz w:val="24"/>
          <w:szCs w:val="24"/>
        </w:rPr>
        <w:t>.</w:t>
      </w:r>
      <w:r w:rsidR="00F019FF" w:rsidRPr="00797E29">
        <w:rPr>
          <w:rFonts w:ascii="Times New Roman" w:hAnsi="Times New Roman"/>
          <w:sz w:val="24"/>
          <w:szCs w:val="24"/>
          <w:lang w:val="sr-Cyrl-CS"/>
        </w:rPr>
        <w:t xml:space="preserve"> </w:t>
      </w:r>
      <w:r w:rsidR="00965E2D" w:rsidRPr="00797E29">
        <w:rPr>
          <w:rFonts w:ascii="Times New Roman" w:hAnsi="Times New Roman"/>
          <w:sz w:val="24"/>
          <w:szCs w:val="24"/>
        </w:rPr>
        <w:t>Ако</w:t>
      </w:r>
      <w:r w:rsidR="00F019FF" w:rsidRPr="00797E29">
        <w:rPr>
          <w:rFonts w:ascii="Times New Roman" w:hAnsi="Times New Roman"/>
          <w:sz w:val="24"/>
          <w:szCs w:val="24"/>
        </w:rPr>
        <w:t xml:space="preserve"> </w:t>
      </w:r>
      <w:r w:rsidR="00965E2D" w:rsidRPr="00797E29">
        <w:rPr>
          <w:rFonts w:ascii="Times New Roman" w:hAnsi="Times New Roman"/>
          <w:sz w:val="24"/>
          <w:szCs w:val="24"/>
        </w:rPr>
        <w:t>цена</w:t>
      </w:r>
      <w:r w:rsidR="00F019FF" w:rsidRPr="00797E29">
        <w:rPr>
          <w:rFonts w:ascii="Times New Roman" w:hAnsi="Times New Roman"/>
          <w:sz w:val="24"/>
          <w:szCs w:val="24"/>
        </w:rPr>
        <w:t xml:space="preserve"> </w:t>
      </w:r>
      <w:r w:rsidR="00965E2D" w:rsidRPr="00797E29">
        <w:rPr>
          <w:rFonts w:ascii="Times New Roman" w:hAnsi="Times New Roman"/>
          <w:sz w:val="24"/>
          <w:szCs w:val="24"/>
        </w:rPr>
        <w:t>по</w:t>
      </w:r>
      <w:r w:rsidR="00F019FF" w:rsidRPr="00797E29">
        <w:rPr>
          <w:rFonts w:ascii="Times New Roman" w:hAnsi="Times New Roman"/>
          <w:sz w:val="24"/>
          <w:szCs w:val="24"/>
        </w:rPr>
        <w:t xml:space="preserve"> </w:t>
      </w:r>
      <w:r w:rsidR="00965E2D" w:rsidRPr="00797E29">
        <w:rPr>
          <w:rFonts w:ascii="Times New Roman" w:hAnsi="Times New Roman"/>
          <w:sz w:val="24"/>
          <w:szCs w:val="24"/>
        </w:rPr>
        <w:t>којој</w:t>
      </w:r>
      <w:r w:rsidR="00F019FF" w:rsidRPr="00797E29">
        <w:rPr>
          <w:rFonts w:ascii="Times New Roman" w:hAnsi="Times New Roman"/>
          <w:sz w:val="24"/>
          <w:szCs w:val="24"/>
        </w:rPr>
        <w:t xml:space="preserve"> </w:t>
      </w:r>
      <w:r w:rsidR="00965E2D" w:rsidRPr="00797E29">
        <w:rPr>
          <w:rFonts w:ascii="Times New Roman" w:hAnsi="Times New Roman"/>
          <w:sz w:val="24"/>
          <w:szCs w:val="24"/>
        </w:rPr>
        <w:t>је</w:t>
      </w:r>
      <w:r w:rsidR="00F019FF" w:rsidRPr="00797E29">
        <w:rPr>
          <w:rFonts w:ascii="Times New Roman" w:hAnsi="Times New Roman"/>
          <w:sz w:val="24"/>
          <w:szCs w:val="24"/>
        </w:rPr>
        <w:t xml:space="preserve"> </w:t>
      </w:r>
      <w:r w:rsidR="00965E2D" w:rsidRPr="00797E29">
        <w:rPr>
          <w:rFonts w:ascii="Times New Roman" w:hAnsi="Times New Roman"/>
          <w:sz w:val="24"/>
          <w:szCs w:val="24"/>
        </w:rPr>
        <w:t>имовина</w:t>
      </w:r>
      <w:r w:rsidR="00F019FF" w:rsidRPr="00797E29">
        <w:rPr>
          <w:rFonts w:ascii="Times New Roman" w:hAnsi="Times New Roman"/>
          <w:sz w:val="24"/>
          <w:szCs w:val="24"/>
        </w:rPr>
        <w:t xml:space="preserve"> </w:t>
      </w:r>
      <w:r w:rsidR="00965E2D" w:rsidRPr="00797E29">
        <w:rPr>
          <w:rFonts w:ascii="Times New Roman" w:hAnsi="Times New Roman"/>
          <w:sz w:val="24"/>
          <w:szCs w:val="24"/>
        </w:rPr>
        <w:t>набављена</w:t>
      </w:r>
      <w:r w:rsidR="00F019FF" w:rsidRPr="00797E29">
        <w:rPr>
          <w:rFonts w:ascii="Times New Roman" w:hAnsi="Times New Roman"/>
          <w:sz w:val="24"/>
          <w:szCs w:val="24"/>
        </w:rPr>
        <w:t xml:space="preserve"> </w:t>
      </w:r>
      <w:r w:rsidR="00965E2D" w:rsidRPr="00797E29">
        <w:rPr>
          <w:rFonts w:ascii="Times New Roman" w:hAnsi="Times New Roman"/>
          <w:sz w:val="24"/>
          <w:szCs w:val="24"/>
        </w:rPr>
        <w:t>није</w:t>
      </w:r>
      <w:r w:rsidR="00F019FF" w:rsidRPr="00797E29">
        <w:rPr>
          <w:rFonts w:ascii="Times New Roman" w:hAnsi="Times New Roman"/>
          <w:sz w:val="24"/>
          <w:szCs w:val="24"/>
        </w:rPr>
        <w:t xml:space="preserve"> </w:t>
      </w:r>
      <w:r w:rsidR="00965E2D" w:rsidRPr="00797E29">
        <w:rPr>
          <w:rFonts w:ascii="Times New Roman" w:hAnsi="Times New Roman"/>
          <w:sz w:val="24"/>
          <w:szCs w:val="24"/>
        </w:rPr>
        <w:t>исказана</w:t>
      </w:r>
      <w:r w:rsidR="00F019FF" w:rsidRPr="00797E29">
        <w:rPr>
          <w:rFonts w:ascii="Times New Roman" w:hAnsi="Times New Roman"/>
          <w:sz w:val="24"/>
          <w:szCs w:val="24"/>
        </w:rPr>
        <w:t xml:space="preserve"> </w:t>
      </w:r>
      <w:r w:rsidR="00965E2D" w:rsidRPr="00797E29">
        <w:rPr>
          <w:rFonts w:ascii="Times New Roman" w:hAnsi="Times New Roman"/>
          <w:sz w:val="24"/>
          <w:szCs w:val="24"/>
        </w:rPr>
        <w:t>у</w:t>
      </w:r>
      <w:r w:rsidR="00F019FF" w:rsidRPr="00797E29">
        <w:rPr>
          <w:rFonts w:ascii="Times New Roman" w:hAnsi="Times New Roman"/>
          <w:sz w:val="24"/>
          <w:szCs w:val="24"/>
        </w:rPr>
        <w:t xml:space="preserve"> </w:t>
      </w:r>
      <w:r w:rsidR="00965E2D" w:rsidRPr="00797E29">
        <w:rPr>
          <w:rFonts w:ascii="Times New Roman" w:hAnsi="Times New Roman"/>
          <w:sz w:val="24"/>
          <w:szCs w:val="24"/>
        </w:rPr>
        <w:t>пословним</w:t>
      </w:r>
      <w:r w:rsidR="00F019FF" w:rsidRPr="00797E29">
        <w:rPr>
          <w:rFonts w:ascii="Times New Roman" w:hAnsi="Times New Roman"/>
          <w:sz w:val="24"/>
          <w:szCs w:val="24"/>
        </w:rPr>
        <w:t xml:space="preserve"> </w:t>
      </w:r>
      <w:r w:rsidR="00965E2D" w:rsidRPr="00797E29">
        <w:rPr>
          <w:rFonts w:ascii="Times New Roman" w:hAnsi="Times New Roman"/>
          <w:sz w:val="24"/>
          <w:szCs w:val="24"/>
        </w:rPr>
        <w:t>књигама</w:t>
      </w:r>
      <w:r w:rsidR="00F019FF" w:rsidRPr="00797E29">
        <w:rPr>
          <w:rFonts w:ascii="Times New Roman" w:hAnsi="Times New Roman"/>
          <w:sz w:val="24"/>
          <w:szCs w:val="24"/>
        </w:rPr>
        <w:t xml:space="preserve"> </w:t>
      </w:r>
      <w:r w:rsidR="00965E2D" w:rsidRPr="00797E29">
        <w:rPr>
          <w:rFonts w:ascii="Times New Roman" w:hAnsi="Times New Roman"/>
          <w:sz w:val="24"/>
          <w:szCs w:val="24"/>
        </w:rPr>
        <w:t>обвезника</w:t>
      </w:r>
      <w:r w:rsidR="00F019FF" w:rsidRPr="00797E29">
        <w:rPr>
          <w:rFonts w:ascii="Times New Roman" w:hAnsi="Times New Roman"/>
          <w:sz w:val="24"/>
          <w:szCs w:val="24"/>
        </w:rPr>
        <w:t xml:space="preserve">, </w:t>
      </w:r>
      <w:r w:rsidR="00965E2D" w:rsidRPr="00797E29">
        <w:rPr>
          <w:rFonts w:ascii="Times New Roman" w:hAnsi="Times New Roman"/>
          <w:sz w:val="24"/>
          <w:szCs w:val="24"/>
        </w:rPr>
        <w:t>или</w:t>
      </w:r>
      <w:r w:rsidR="00F019FF" w:rsidRPr="00797E29">
        <w:rPr>
          <w:rFonts w:ascii="Times New Roman" w:hAnsi="Times New Roman"/>
          <w:sz w:val="24"/>
          <w:szCs w:val="24"/>
        </w:rPr>
        <w:t xml:space="preserve"> </w:t>
      </w:r>
      <w:r w:rsidR="00965E2D" w:rsidRPr="00797E29">
        <w:rPr>
          <w:rFonts w:ascii="Times New Roman" w:hAnsi="Times New Roman"/>
          <w:sz w:val="24"/>
          <w:szCs w:val="24"/>
        </w:rPr>
        <w:t>није</w:t>
      </w:r>
      <w:r w:rsidR="00F019FF" w:rsidRPr="00797E29">
        <w:rPr>
          <w:rFonts w:ascii="Times New Roman" w:hAnsi="Times New Roman"/>
          <w:sz w:val="24"/>
          <w:szCs w:val="24"/>
        </w:rPr>
        <w:t xml:space="preserve"> </w:t>
      </w:r>
      <w:r w:rsidR="00965E2D" w:rsidRPr="00797E29">
        <w:rPr>
          <w:rFonts w:ascii="Times New Roman" w:hAnsi="Times New Roman"/>
          <w:sz w:val="24"/>
          <w:szCs w:val="24"/>
        </w:rPr>
        <w:t>исказана</w:t>
      </w:r>
      <w:r w:rsidR="00F019FF" w:rsidRPr="00797E29">
        <w:rPr>
          <w:rFonts w:ascii="Times New Roman" w:hAnsi="Times New Roman"/>
          <w:sz w:val="24"/>
          <w:szCs w:val="24"/>
        </w:rPr>
        <w:t xml:space="preserve"> </w:t>
      </w:r>
      <w:r w:rsidR="00F019FF" w:rsidRPr="00797E29">
        <w:rPr>
          <w:rFonts w:ascii="Times New Roman" w:hAnsi="Times New Roman"/>
          <w:sz w:val="24"/>
          <w:szCs w:val="24"/>
          <w:lang w:val="sr-Cyrl-CS"/>
        </w:rPr>
        <w:t>на навед</w:t>
      </w:r>
      <w:r w:rsidR="001918C5" w:rsidRPr="00797E29">
        <w:rPr>
          <w:rFonts w:ascii="Times New Roman" w:hAnsi="Times New Roman"/>
          <w:sz w:val="24"/>
          <w:szCs w:val="24"/>
          <w:lang w:val="sr-Cyrl-CS"/>
        </w:rPr>
        <w:t>е</w:t>
      </w:r>
      <w:r w:rsidR="00F019FF" w:rsidRPr="00797E29">
        <w:rPr>
          <w:rFonts w:ascii="Times New Roman" w:hAnsi="Times New Roman"/>
          <w:sz w:val="24"/>
          <w:szCs w:val="24"/>
          <w:lang w:val="sr-Cyrl-CS"/>
        </w:rPr>
        <w:t>ни начин</w:t>
      </w:r>
      <w:r w:rsidR="00F019FF" w:rsidRPr="00797E29">
        <w:rPr>
          <w:rFonts w:ascii="Times New Roman" w:hAnsi="Times New Roman"/>
          <w:sz w:val="24"/>
          <w:szCs w:val="24"/>
        </w:rPr>
        <w:t xml:space="preserve">, </w:t>
      </w:r>
      <w:r w:rsidR="00965E2D" w:rsidRPr="00797E29">
        <w:rPr>
          <w:rFonts w:ascii="Times New Roman" w:hAnsi="Times New Roman"/>
          <w:sz w:val="24"/>
          <w:szCs w:val="24"/>
        </w:rPr>
        <w:t>набавна</w:t>
      </w:r>
      <w:r w:rsidR="00F019FF" w:rsidRPr="00797E29">
        <w:rPr>
          <w:rFonts w:ascii="Times New Roman" w:hAnsi="Times New Roman"/>
          <w:sz w:val="24"/>
          <w:szCs w:val="24"/>
        </w:rPr>
        <w:t xml:space="preserve"> </w:t>
      </w:r>
      <w:r w:rsidR="00965E2D" w:rsidRPr="00797E29">
        <w:rPr>
          <w:rFonts w:ascii="Times New Roman" w:hAnsi="Times New Roman"/>
          <w:sz w:val="24"/>
          <w:szCs w:val="24"/>
        </w:rPr>
        <w:t>цена</w:t>
      </w:r>
      <w:r w:rsidR="00F019FF" w:rsidRPr="00797E29">
        <w:rPr>
          <w:rFonts w:ascii="Times New Roman" w:hAnsi="Times New Roman"/>
          <w:sz w:val="24"/>
          <w:szCs w:val="24"/>
        </w:rPr>
        <w:t xml:space="preserve"> </w:t>
      </w:r>
      <w:r w:rsidR="00965E2D" w:rsidRPr="00797E29">
        <w:rPr>
          <w:rFonts w:ascii="Times New Roman" w:hAnsi="Times New Roman"/>
          <w:sz w:val="24"/>
          <w:szCs w:val="24"/>
        </w:rPr>
        <w:t>за</w:t>
      </w:r>
      <w:r w:rsidR="00F019FF" w:rsidRPr="00797E29">
        <w:rPr>
          <w:rFonts w:ascii="Times New Roman" w:hAnsi="Times New Roman"/>
          <w:sz w:val="24"/>
          <w:szCs w:val="24"/>
        </w:rPr>
        <w:t xml:space="preserve"> </w:t>
      </w:r>
      <w:r w:rsidR="00965E2D" w:rsidRPr="00797E29">
        <w:rPr>
          <w:rFonts w:ascii="Times New Roman" w:hAnsi="Times New Roman"/>
          <w:sz w:val="24"/>
          <w:szCs w:val="24"/>
        </w:rPr>
        <w:t>сврху</w:t>
      </w:r>
      <w:r w:rsidR="00F019FF" w:rsidRPr="00797E29">
        <w:rPr>
          <w:rFonts w:ascii="Times New Roman" w:hAnsi="Times New Roman"/>
          <w:sz w:val="24"/>
          <w:szCs w:val="24"/>
        </w:rPr>
        <w:t xml:space="preserve"> </w:t>
      </w:r>
      <w:r w:rsidR="00965E2D" w:rsidRPr="00797E29">
        <w:rPr>
          <w:rFonts w:ascii="Times New Roman" w:hAnsi="Times New Roman"/>
          <w:sz w:val="24"/>
          <w:szCs w:val="24"/>
        </w:rPr>
        <w:t>одређивања</w:t>
      </w:r>
      <w:r w:rsidR="00F019FF" w:rsidRPr="00797E29">
        <w:rPr>
          <w:rFonts w:ascii="Times New Roman" w:hAnsi="Times New Roman"/>
          <w:sz w:val="24"/>
          <w:szCs w:val="24"/>
        </w:rPr>
        <w:t xml:space="preserve"> </w:t>
      </w:r>
      <w:r w:rsidR="00965E2D" w:rsidRPr="00797E29">
        <w:rPr>
          <w:rFonts w:ascii="Times New Roman" w:hAnsi="Times New Roman"/>
          <w:sz w:val="24"/>
          <w:szCs w:val="24"/>
        </w:rPr>
        <w:t>капиталног</w:t>
      </w:r>
      <w:r w:rsidR="00F019FF" w:rsidRPr="00797E29">
        <w:rPr>
          <w:rFonts w:ascii="Times New Roman" w:hAnsi="Times New Roman"/>
          <w:sz w:val="24"/>
          <w:szCs w:val="24"/>
        </w:rPr>
        <w:t xml:space="preserve"> </w:t>
      </w:r>
      <w:r w:rsidR="00965E2D" w:rsidRPr="00797E29">
        <w:rPr>
          <w:rFonts w:ascii="Times New Roman" w:hAnsi="Times New Roman"/>
          <w:sz w:val="24"/>
          <w:szCs w:val="24"/>
        </w:rPr>
        <w:t>добитка</w:t>
      </w:r>
      <w:r w:rsidR="00F019FF" w:rsidRPr="00797E29">
        <w:rPr>
          <w:rFonts w:ascii="Times New Roman" w:hAnsi="Times New Roman"/>
          <w:sz w:val="24"/>
          <w:szCs w:val="24"/>
        </w:rPr>
        <w:t xml:space="preserve"> </w:t>
      </w:r>
      <w:r w:rsidR="00965E2D" w:rsidRPr="00797E29">
        <w:rPr>
          <w:rFonts w:ascii="Times New Roman" w:hAnsi="Times New Roman"/>
          <w:sz w:val="24"/>
          <w:szCs w:val="24"/>
        </w:rPr>
        <w:t>јесте</w:t>
      </w:r>
      <w:r w:rsidR="00F019FF" w:rsidRPr="00797E29">
        <w:rPr>
          <w:rFonts w:ascii="Times New Roman" w:hAnsi="Times New Roman"/>
          <w:sz w:val="24"/>
          <w:szCs w:val="24"/>
        </w:rPr>
        <w:t xml:space="preserve"> </w:t>
      </w:r>
      <w:r w:rsidR="00965E2D" w:rsidRPr="00797E29">
        <w:rPr>
          <w:rFonts w:ascii="Times New Roman" w:hAnsi="Times New Roman"/>
          <w:sz w:val="24"/>
          <w:szCs w:val="24"/>
        </w:rPr>
        <w:t>тржишна</w:t>
      </w:r>
      <w:r w:rsidR="00F019FF" w:rsidRPr="00797E29">
        <w:rPr>
          <w:rFonts w:ascii="Times New Roman" w:hAnsi="Times New Roman"/>
          <w:sz w:val="24"/>
          <w:szCs w:val="24"/>
        </w:rPr>
        <w:t xml:space="preserve"> </w:t>
      </w:r>
      <w:r w:rsidR="00965E2D" w:rsidRPr="00797E29">
        <w:rPr>
          <w:rFonts w:ascii="Times New Roman" w:hAnsi="Times New Roman"/>
          <w:sz w:val="24"/>
          <w:szCs w:val="24"/>
        </w:rPr>
        <w:t>цена</w:t>
      </w:r>
      <w:r w:rsidR="00F019FF" w:rsidRPr="00797E29">
        <w:rPr>
          <w:rFonts w:ascii="Times New Roman" w:hAnsi="Times New Roman"/>
          <w:sz w:val="24"/>
          <w:szCs w:val="24"/>
        </w:rPr>
        <w:t xml:space="preserve"> </w:t>
      </w:r>
      <w:r w:rsidR="00965E2D" w:rsidRPr="00797E29">
        <w:rPr>
          <w:rFonts w:ascii="Times New Roman" w:hAnsi="Times New Roman"/>
          <w:sz w:val="24"/>
          <w:szCs w:val="24"/>
        </w:rPr>
        <w:t>на</w:t>
      </w:r>
      <w:r w:rsidR="00F019FF" w:rsidRPr="00797E29">
        <w:rPr>
          <w:rFonts w:ascii="Times New Roman" w:hAnsi="Times New Roman"/>
          <w:sz w:val="24"/>
          <w:szCs w:val="24"/>
        </w:rPr>
        <w:t xml:space="preserve"> </w:t>
      </w:r>
      <w:r w:rsidR="00965E2D" w:rsidRPr="00797E29">
        <w:rPr>
          <w:rFonts w:ascii="Times New Roman" w:hAnsi="Times New Roman"/>
          <w:sz w:val="24"/>
          <w:szCs w:val="24"/>
        </w:rPr>
        <w:t>дан</w:t>
      </w:r>
      <w:r w:rsidR="00F019FF" w:rsidRPr="00797E29">
        <w:rPr>
          <w:rFonts w:ascii="Times New Roman" w:hAnsi="Times New Roman"/>
          <w:sz w:val="24"/>
          <w:szCs w:val="24"/>
        </w:rPr>
        <w:t xml:space="preserve"> </w:t>
      </w:r>
      <w:r w:rsidR="00965E2D" w:rsidRPr="00797E29">
        <w:rPr>
          <w:rFonts w:ascii="Times New Roman" w:hAnsi="Times New Roman"/>
          <w:sz w:val="24"/>
          <w:szCs w:val="24"/>
        </w:rPr>
        <w:t>набавке</w:t>
      </w:r>
      <w:r w:rsidR="00F019FF" w:rsidRPr="00797E29">
        <w:rPr>
          <w:rFonts w:ascii="Times New Roman" w:hAnsi="Times New Roman"/>
          <w:sz w:val="24"/>
          <w:szCs w:val="24"/>
        </w:rPr>
        <w:t xml:space="preserve">, </w:t>
      </w:r>
      <w:r w:rsidR="00965E2D" w:rsidRPr="00797E29">
        <w:rPr>
          <w:rFonts w:ascii="Times New Roman" w:hAnsi="Times New Roman"/>
          <w:sz w:val="24"/>
          <w:szCs w:val="24"/>
        </w:rPr>
        <w:t>коју</w:t>
      </w:r>
      <w:r w:rsidR="00F019FF" w:rsidRPr="00797E29">
        <w:rPr>
          <w:rFonts w:ascii="Times New Roman" w:hAnsi="Times New Roman"/>
          <w:sz w:val="24"/>
          <w:szCs w:val="24"/>
        </w:rPr>
        <w:t xml:space="preserve"> </w:t>
      </w:r>
      <w:r w:rsidR="00965E2D" w:rsidRPr="00797E29">
        <w:rPr>
          <w:rFonts w:ascii="Times New Roman" w:hAnsi="Times New Roman"/>
          <w:sz w:val="24"/>
          <w:szCs w:val="24"/>
        </w:rPr>
        <w:t>утврди</w:t>
      </w:r>
      <w:r w:rsidR="00F019FF" w:rsidRPr="00797E29">
        <w:rPr>
          <w:rFonts w:ascii="Times New Roman" w:hAnsi="Times New Roman"/>
          <w:sz w:val="24"/>
          <w:szCs w:val="24"/>
        </w:rPr>
        <w:t xml:space="preserve"> </w:t>
      </w:r>
      <w:r w:rsidR="00965E2D" w:rsidRPr="00797E29">
        <w:rPr>
          <w:rFonts w:ascii="Times New Roman" w:hAnsi="Times New Roman"/>
          <w:sz w:val="24"/>
          <w:szCs w:val="24"/>
        </w:rPr>
        <w:t>надлежни</w:t>
      </w:r>
      <w:r w:rsidR="00F019FF" w:rsidRPr="00797E29">
        <w:rPr>
          <w:rFonts w:ascii="Times New Roman" w:hAnsi="Times New Roman"/>
          <w:sz w:val="24"/>
          <w:szCs w:val="24"/>
        </w:rPr>
        <w:t xml:space="preserve"> </w:t>
      </w:r>
      <w:r w:rsidR="00965E2D" w:rsidRPr="00797E29">
        <w:rPr>
          <w:rFonts w:ascii="Times New Roman" w:hAnsi="Times New Roman"/>
          <w:sz w:val="24"/>
          <w:szCs w:val="24"/>
        </w:rPr>
        <w:t>порески</w:t>
      </w:r>
      <w:r w:rsidR="00F019FF" w:rsidRPr="00797E29">
        <w:rPr>
          <w:rFonts w:ascii="Times New Roman" w:hAnsi="Times New Roman"/>
          <w:sz w:val="24"/>
          <w:szCs w:val="24"/>
        </w:rPr>
        <w:t xml:space="preserve"> </w:t>
      </w:r>
      <w:r w:rsidR="00965E2D" w:rsidRPr="00797E29">
        <w:rPr>
          <w:rFonts w:ascii="Times New Roman" w:hAnsi="Times New Roman"/>
          <w:sz w:val="24"/>
          <w:szCs w:val="24"/>
        </w:rPr>
        <w:t>орган</w:t>
      </w:r>
      <w:r w:rsidR="00F019FF" w:rsidRPr="00797E29">
        <w:rPr>
          <w:rFonts w:ascii="Times New Roman" w:hAnsi="Times New Roman"/>
          <w:sz w:val="24"/>
          <w:szCs w:val="24"/>
          <w:lang w:val="sr-Cyrl-CS"/>
        </w:rPr>
        <w:t xml:space="preserve">. </w:t>
      </w:r>
      <w:r w:rsidR="00CC147C" w:rsidRPr="00797E29">
        <w:rPr>
          <w:rFonts w:ascii="Times New Roman" w:hAnsi="Times New Roman"/>
          <w:sz w:val="24"/>
          <w:szCs w:val="24"/>
          <w:lang w:val="sr-Cyrl-CS"/>
        </w:rPr>
        <w:t>На овај начин су могућности манипулације са набавним цена</w:t>
      </w:r>
      <w:r w:rsidR="00BD5FFF" w:rsidRPr="00797E29">
        <w:rPr>
          <w:rFonts w:ascii="Times New Roman" w:hAnsi="Times New Roman"/>
          <w:sz w:val="24"/>
          <w:szCs w:val="24"/>
          <w:lang w:val="sr-Cyrl-CS"/>
        </w:rPr>
        <w:t>ма</w:t>
      </w:r>
      <w:r w:rsidR="00CC147C" w:rsidRPr="00797E29">
        <w:rPr>
          <w:rFonts w:ascii="Times New Roman" w:hAnsi="Times New Roman"/>
          <w:sz w:val="24"/>
          <w:szCs w:val="24"/>
          <w:lang w:val="sr-Cyrl-CS"/>
        </w:rPr>
        <w:t xml:space="preserve"> пореског обвезника ограничене.</w:t>
      </w:r>
      <w:r w:rsidR="00965E2D" w:rsidRPr="00797E29">
        <w:rPr>
          <w:rFonts w:ascii="Times New Roman" w:hAnsi="Times New Roman"/>
          <w:sz w:val="24"/>
          <w:szCs w:val="24"/>
          <w:lang w:val="sr-Cyrl-CS"/>
        </w:rPr>
        <w:t xml:space="preserve"> </w:t>
      </w:r>
      <w:r w:rsidR="00F019FF" w:rsidRPr="00797E29">
        <w:rPr>
          <w:rFonts w:ascii="Times New Roman" w:hAnsi="Times New Roman"/>
          <w:sz w:val="24"/>
          <w:szCs w:val="24"/>
          <w:lang w:val="sr-Cyrl-CS"/>
        </w:rPr>
        <w:t>Набавна цена непокретности у изградњи представља износ трошкова изградње утврђени</w:t>
      </w:r>
      <w:r w:rsidR="00965E2D" w:rsidRPr="00797E29">
        <w:rPr>
          <w:rFonts w:ascii="Times New Roman" w:hAnsi="Times New Roman"/>
          <w:sz w:val="24"/>
          <w:szCs w:val="24"/>
          <w:lang w:val="sr-Cyrl-CS"/>
        </w:rPr>
        <w:t>м</w:t>
      </w:r>
      <w:r w:rsidR="00F019FF" w:rsidRPr="00797E29">
        <w:rPr>
          <w:rFonts w:ascii="Times New Roman" w:hAnsi="Times New Roman"/>
          <w:sz w:val="24"/>
          <w:szCs w:val="24"/>
          <w:lang w:val="sr-Cyrl-CS"/>
        </w:rPr>
        <w:t xml:space="preserve"> према рачуноводственим прописима и стандардима.</w:t>
      </w:r>
    </w:p>
    <w:p w:rsidR="00343CFE" w:rsidRPr="00797E29" w:rsidRDefault="00416EE7" w:rsidP="00797E29">
      <w:pPr>
        <w:ind w:firstLine="708"/>
        <w:jc w:val="both"/>
        <w:rPr>
          <w:rFonts w:ascii="Times New Roman" w:hAnsi="Times New Roman"/>
          <w:sz w:val="24"/>
          <w:szCs w:val="24"/>
          <w:lang w:val="sr-Cyrl-CS"/>
        </w:rPr>
      </w:pPr>
      <w:r w:rsidRPr="00797E29">
        <w:rPr>
          <w:rFonts w:ascii="Times New Roman" w:hAnsi="Times New Roman"/>
          <w:sz w:val="24"/>
          <w:szCs w:val="24"/>
          <w:lang w:val="sr-Cyrl-CS"/>
        </w:rPr>
        <w:t>Прама Закону о презу на добит правних лица,</w:t>
      </w:r>
      <w:r w:rsidR="00343CFE" w:rsidRPr="00797E29">
        <w:rPr>
          <w:rFonts w:ascii="Times New Roman" w:hAnsi="Times New Roman"/>
          <w:sz w:val="24"/>
          <w:szCs w:val="24"/>
          <w:lang w:val="sr-Cyrl-CS"/>
        </w:rPr>
        <w:t xml:space="preserve"> </w:t>
      </w:r>
      <w:r w:rsidRPr="00797E29">
        <w:rPr>
          <w:rFonts w:ascii="Times New Roman" w:hAnsi="Times New Roman"/>
          <w:sz w:val="24"/>
          <w:szCs w:val="24"/>
          <w:lang w:val="sr-Cyrl-CS"/>
        </w:rPr>
        <w:t>код хартија од вредности које су котиране на берзи, набавна цена представља цену</w:t>
      </w:r>
      <w:r w:rsidR="00343CFE" w:rsidRPr="00797E29">
        <w:rPr>
          <w:rFonts w:ascii="Times New Roman" w:hAnsi="Times New Roman"/>
          <w:sz w:val="24"/>
          <w:szCs w:val="24"/>
          <w:lang w:val="sr-Cyrl-CS"/>
        </w:rPr>
        <w:t xml:space="preserve"> коју обвезник </w:t>
      </w:r>
      <w:r w:rsidRPr="00797E29">
        <w:rPr>
          <w:rFonts w:ascii="Times New Roman" w:hAnsi="Times New Roman"/>
          <w:sz w:val="24"/>
          <w:szCs w:val="24"/>
          <w:lang w:val="sr-Cyrl-CS"/>
        </w:rPr>
        <w:t xml:space="preserve">документује као стварно плаћену. Уколико </w:t>
      </w:r>
      <w:r w:rsidR="00F06B59" w:rsidRPr="00797E29">
        <w:rPr>
          <w:rFonts w:ascii="Times New Roman" w:hAnsi="Times New Roman"/>
          <w:sz w:val="24"/>
          <w:szCs w:val="24"/>
          <w:lang w:val="sr-Cyrl-CS"/>
        </w:rPr>
        <w:t>тако</w:t>
      </w:r>
      <w:r w:rsidRPr="00797E29">
        <w:rPr>
          <w:rFonts w:ascii="Times New Roman" w:hAnsi="Times New Roman"/>
          <w:sz w:val="24"/>
          <w:szCs w:val="24"/>
          <w:lang w:val="sr-Cyrl-CS"/>
        </w:rPr>
        <w:t xml:space="preserve"> не учини</w:t>
      </w:r>
      <w:r w:rsidR="00343CFE" w:rsidRPr="00797E29">
        <w:rPr>
          <w:rFonts w:ascii="Times New Roman" w:hAnsi="Times New Roman"/>
          <w:sz w:val="24"/>
          <w:szCs w:val="24"/>
          <w:lang w:val="sr-Cyrl-CS"/>
        </w:rPr>
        <w:t xml:space="preserve"> </w:t>
      </w:r>
      <w:r w:rsidRPr="00797E29">
        <w:rPr>
          <w:rFonts w:ascii="Times New Roman" w:hAnsi="Times New Roman"/>
          <w:sz w:val="24"/>
          <w:szCs w:val="24"/>
          <w:lang w:val="sr-Cyrl-CS"/>
        </w:rPr>
        <w:t>то је онда</w:t>
      </w:r>
      <w:r w:rsidR="00343CFE" w:rsidRPr="00797E29">
        <w:rPr>
          <w:rFonts w:ascii="Times New Roman" w:hAnsi="Times New Roman"/>
          <w:sz w:val="24"/>
          <w:szCs w:val="24"/>
          <w:lang w:val="sr-Cyrl-CS"/>
        </w:rPr>
        <w:t xml:space="preserve"> најнижа забележена котизација у времену од годину дана које претходи продаји хартије од вредности. </w:t>
      </w:r>
      <w:r w:rsidRPr="00797E29">
        <w:rPr>
          <w:rFonts w:ascii="Times New Roman" w:hAnsi="Times New Roman"/>
          <w:sz w:val="24"/>
          <w:szCs w:val="24"/>
          <w:lang w:val="sr-Cyrl-CS"/>
        </w:rPr>
        <w:t xml:space="preserve">У случају </w:t>
      </w:r>
      <w:r w:rsidR="00343CFE" w:rsidRPr="00797E29">
        <w:rPr>
          <w:rFonts w:ascii="Times New Roman" w:hAnsi="Times New Roman"/>
          <w:sz w:val="24"/>
          <w:szCs w:val="24"/>
          <w:lang w:val="sr-Cyrl-CS"/>
        </w:rPr>
        <w:t xml:space="preserve"> хартија од вредност</w:t>
      </w:r>
      <w:r w:rsidR="00F06B59" w:rsidRPr="00797E29">
        <w:rPr>
          <w:rFonts w:ascii="Times New Roman" w:hAnsi="Times New Roman"/>
          <w:sz w:val="24"/>
          <w:szCs w:val="24"/>
          <w:lang w:val="sr-Cyrl-CS"/>
        </w:rPr>
        <w:t xml:space="preserve">и које се не котирају на берзи </w:t>
      </w:r>
      <w:r w:rsidR="00343CFE" w:rsidRPr="00797E29">
        <w:rPr>
          <w:rFonts w:ascii="Times New Roman" w:hAnsi="Times New Roman"/>
          <w:sz w:val="24"/>
          <w:szCs w:val="24"/>
          <w:lang w:val="sr-Cyrl-CS"/>
        </w:rPr>
        <w:t>на</w:t>
      </w:r>
      <w:r w:rsidRPr="00797E29">
        <w:rPr>
          <w:rFonts w:ascii="Times New Roman" w:hAnsi="Times New Roman"/>
          <w:sz w:val="24"/>
          <w:szCs w:val="24"/>
          <w:lang w:val="sr-Cyrl-CS"/>
        </w:rPr>
        <w:t>ба</w:t>
      </w:r>
      <w:r w:rsidR="00343CFE" w:rsidRPr="00797E29">
        <w:rPr>
          <w:rFonts w:ascii="Times New Roman" w:hAnsi="Times New Roman"/>
          <w:sz w:val="24"/>
          <w:szCs w:val="24"/>
          <w:lang w:val="sr-Cyrl-CS"/>
        </w:rPr>
        <w:t xml:space="preserve">вна цена </w:t>
      </w:r>
      <w:r w:rsidRPr="00797E29">
        <w:rPr>
          <w:rFonts w:ascii="Times New Roman" w:hAnsi="Times New Roman"/>
          <w:sz w:val="24"/>
          <w:szCs w:val="24"/>
          <w:lang w:val="sr-Cyrl-CS"/>
        </w:rPr>
        <w:t>представља цену</w:t>
      </w:r>
      <w:r w:rsidR="00343CFE" w:rsidRPr="00797E29">
        <w:rPr>
          <w:rFonts w:ascii="Times New Roman" w:hAnsi="Times New Roman"/>
          <w:sz w:val="24"/>
          <w:szCs w:val="24"/>
          <w:lang w:val="sr-Cyrl-CS"/>
        </w:rPr>
        <w:t xml:space="preserve"> коју обвезник </w:t>
      </w:r>
      <w:r w:rsidRPr="00797E29">
        <w:rPr>
          <w:rFonts w:ascii="Times New Roman" w:hAnsi="Times New Roman"/>
          <w:sz w:val="24"/>
          <w:szCs w:val="24"/>
          <w:lang w:val="sr-Cyrl-CS"/>
        </w:rPr>
        <w:t>документује као стварно плаћену.</w:t>
      </w:r>
      <w:r w:rsidR="00343CFE" w:rsidRPr="00797E29">
        <w:rPr>
          <w:rFonts w:ascii="Times New Roman" w:hAnsi="Times New Roman"/>
          <w:sz w:val="24"/>
          <w:szCs w:val="24"/>
          <w:lang w:val="sr-Cyrl-CS"/>
        </w:rPr>
        <w:t xml:space="preserve"> </w:t>
      </w:r>
      <w:r w:rsidRPr="00797E29">
        <w:rPr>
          <w:rFonts w:ascii="Times New Roman" w:hAnsi="Times New Roman"/>
          <w:sz w:val="24"/>
          <w:szCs w:val="24"/>
          <w:lang w:val="sr-Cyrl-CS"/>
        </w:rPr>
        <w:t xml:space="preserve">Уколико </w:t>
      </w:r>
      <w:r w:rsidR="00F06B59" w:rsidRPr="00797E29">
        <w:rPr>
          <w:rFonts w:ascii="Times New Roman" w:hAnsi="Times New Roman"/>
          <w:sz w:val="24"/>
          <w:szCs w:val="24"/>
          <w:lang w:val="sr-Cyrl-CS"/>
        </w:rPr>
        <w:t>тако</w:t>
      </w:r>
      <w:r w:rsidRPr="00797E29">
        <w:rPr>
          <w:rFonts w:ascii="Times New Roman" w:hAnsi="Times New Roman"/>
          <w:sz w:val="24"/>
          <w:szCs w:val="24"/>
          <w:lang w:val="sr-Cyrl-CS"/>
        </w:rPr>
        <w:t xml:space="preserve"> не учини онда је то</w:t>
      </w:r>
      <w:r w:rsidR="00343CFE" w:rsidRPr="00797E29">
        <w:rPr>
          <w:rFonts w:ascii="Times New Roman" w:hAnsi="Times New Roman"/>
          <w:sz w:val="24"/>
          <w:szCs w:val="24"/>
          <w:lang w:val="sr-Cyrl-CS"/>
        </w:rPr>
        <w:t xml:space="preserve"> њена номинална вредност.</w:t>
      </w:r>
      <w:r w:rsidR="00343CFE" w:rsidRPr="00797E29">
        <w:rPr>
          <w:rStyle w:val="FootnoteReference"/>
          <w:rFonts w:ascii="Times New Roman" w:hAnsi="Times New Roman"/>
          <w:color w:val="000000"/>
          <w:sz w:val="24"/>
          <w:szCs w:val="24"/>
          <w:lang w:val="sr-Cyrl-CS"/>
        </w:rPr>
        <w:footnoteReference w:id="310"/>
      </w:r>
      <w:r w:rsidR="00343CFE" w:rsidRPr="00797E29">
        <w:rPr>
          <w:rFonts w:ascii="Times New Roman" w:hAnsi="Times New Roman"/>
          <w:sz w:val="24"/>
          <w:szCs w:val="24"/>
          <w:lang w:val="sr-Cyrl-CS"/>
        </w:rPr>
        <w:t xml:space="preserve"> </w:t>
      </w:r>
      <w:r w:rsidRPr="00797E29">
        <w:rPr>
          <w:rFonts w:ascii="Times New Roman" w:hAnsi="Times New Roman"/>
          <w:sz w:val="24"/>
          <w:szCs w:val="24"/>
          <w:lang w:val="sr-Cyrl-CS"/>
        </w:rPr>
        <w:t xml:space="preserve"> </w:t>
      </w:r>
    </w:p>
    <w:p w:rsidR="00965E2D" w:rsidRPr="00797E29" w:rsidRDefault="00965E2D" w:rsidP="00797E29">
      <w:pPr>
        <w:ind w:firstLine="708"/>
        <w:jc w:val="both"/>
        <w:rPr>
          <w:rFonts w:ascii="Times New Roman" w:hAnsi="Times New Roman"/>
          <w:sz w:val="24"/>
          <w:szCs w:val="24"/>
          <w:lang w:val="sr-Cyrl-CS"/>
        </w:rPr>
      </w:pPr>
      <w:r w:rsidRPr="00797E29">
        <w:rPr>
          <w:rFonts w:ascii="Times New Roman" w:hAnsi="Times New Roman"/>
          <w:sz w:val="24"/>
          <w:szCs w:val="24"/>
        </w:rPr>
        <w:t>Набавна</w:t>
      </w:r>
      <w:r w:rsidR="00F019FF" w:rsidRPr="00797E29">
        <w:rPr>
          <w:rFonts w:ascii="Times New Roman" w:hAnsi="Times New Roman"/>
          <w:sz w:val="24"/>
          <w:szCs w:val="24"/>
        </w:rPr>
        <w:t xml:space="preserve"> </w:t>
      </w:r>
      <w:r w:rsidRPr="00797E29">
        <w:rPr>
          <w:rFonts w:ascii="Times New Roman" w:hAnsi="Times New Roman"/>
          <w:sz w:val="24"/>
          <w:szCs w:val="24"/>
        </w:rPr>
        <w:t>цена</w:t>
      </w:r>
      <w:r w:rsidR="00F019FF" w:rsidRPr="00797E29">
        <w:rPr>
          <w:rFonts w:ascii="Times New Roman" w:hAnsi="Times New Roman"/>
          <w:sz w:val="24"/>
          <w:szCs w:val="24"/>
        </w:rPr>
        <w:t xml:space="preserve"> </w:t>
      </w:r>
      <w:r w:rsidRPr="00797E29">
        <w:rPr>
          <w:rFonts w:ascii="Times New Roman" w:hAnsi="Times New Roman"/>
          <w:sz w:val="24"/>
          <w:szCs w:val="24"/>
        </w:rPr>
        <w:t>удела</w:t>
      </w:r>
      <w:r w:rsidR="00F019FF" w:rsidRPr="00797E29">
        <w:rPr>
          <w:rFonts w:ascii="Times New Roman" w:hAnsi="Times New Roman"/>
          <w:sz w:val="24"/>
          <w:szCs w:val="24"/>
        </w:rPr>
        <w:t xml:space="preserve"> </w:t>
      </w:r>
      <w:r w:rsidRPr="00797E29">
        <w:rPr>
          <w:rFonts w:ascii="Times New Roman" w:hAnsi="Times New Roman"/>
          <w:sz w:val="24"/>
          <w:szCs w:val="24"/>
        </w:rPr>
        <w:t>у</w:t>
      </w:r>
      <w:r w:rsidR="00F019FF" w:rsidRPr="00797E29">
        <w:rPr>
          <w:rFonts w:ascii="Times New Roman" w:hAnsi="Times New Roman"/>
          <w:sz w:val="24"/>
          <w:szCs w:val="24"/>
        </w:rPr>
        <w:t xml:space="preserve"> </w:t>
      </w:r>
      <w:r w:rsidRPr="00797E29">
        <w:rPr>
          <w:rFonts w:ascii="Times New Roman" w:hAnsi="Times New Roman"/>
          <w:sz w:val="24"/>
          <w:szCs w:val="24"/>
        </w:rPr>
        <w:t>капиталу</w:t>
      </w:r>
      <w:r w:rsidR="00F019FF" w:rsidRPr="00797E29">
        <w:rPr>
          <w:rFonts w:ascii="Times New Roman" w:hAnsi="Times New Roman"/>
          <w:sz w:val="24"/>
          <w:szCs w:val="24"/>
        </w:rPr>
        <w:t xml:space="preserve"> </w:t>
      </w:r>
      <w:r w:rsidRPr="00797E29">
        <w:rPr>
          <w:rFonts w:ascii="Times New Roman" w:hAnsi="Times New Roman"/>
          <w:sz w:val="24"/>
          <w:szCs w:val="24"/>
        </w:rPr>
        <w:t>правних</w:t>
      </w:r>
      <w:r w:rsidR="00F019FF" w:rsidRPr="00797E29">
        <w:rPr>
          <w:rFonts w:ascii="Times New Roman" w:hAnsi="Times New Roman"/>
          <w:sz w:val="24"/>
          <w:szCs w:val="24"/>
        </w:rPr>
        <w:t xml:space="preserve"> </w:t>
      </w:r>
      <w:r w:rsidRPr="00797E29">
        <w:rPr>
          <w:rFonts w:ascii="Times New Roman" w:hAnsi="Times New Roman"/>
          <w:sz w:val="24"/>
          <w:szCs w:val="24"/>
        </w:rPr>
        <w:t>лица</w:t>
      </w:r>
      <w:r w:rsidR="00F019FF" w:rsidRPr="00797E29">
        <w:rPr>
          <w:rFonts w:ascii="Times New Roman" w:hAnsi="Times New Roman"/>
          <w:sz w:val="24"/>
          <w:szCs w:val="24"/>
        </w:rPr>
        <w:t xml:space="preserve"> </w:t>
      </w:r>
      <w:r w:rsidRPr="00797E29">
        <w:rPr>
          <w:rFonts w:ascii="Times New Roman" w:hAnsi="Times New Roman"/>
          <w:sz w:val="24"/>
          <w:szCs w:val="24"/>
        </w:rPr>
        <w:t>и</w:t>
      </w:r>
      <w:r w:rsidR="00F019FF" w:rsidRPr="00797E29">
        <w:rPr>
          <w:rFonts w:ascii="Times New Roman" w:hAnsi="Times New Roman"/>
          <w:sz w:val="24"/>
          <w:szCs w:val="24"/>
        </w:rPr>
        <w:t xml:space="preserve"> </w:t>
      </w:r>
      <w:r w:rsidRPr="00797E29">
        <w:rPr>
          <w:rFonts w:ascii="Times New Roman" w:hAnsi="Times New Roman"/>
          <w:sz w:val="24"/>
          <w:szCs w:val="24"/>
        </w:rPr>
        <w:t>права</w:t>
      </w:r>
      <w:r w:rsidR="00F019FF" w:rsidRPr="00797E29">
        <w:rPr>
          <w:rFonts w:ascii="Times New Roman" w:hAnsi="Times New Roman"/>
          <w:sz w:val="24"/>
          <w:szCs w:val="24"/>
        </w:rPr>
        <w:t xml:space="preserve"> </w:t>
      </w:r>
      <w:r w:rsidRPr="00797E29">
        <w:rPr>
          <w:rFonts w:ascii="Times New Roman" w:hAnsi="Times New Roman"/>
          <w:sz w:val="24"/>
          <w:szCs w:val="24"/>
        </w:rPr>
        <w:t>индустријске</w:t>
      </w:r>
      <w:r w:rsidR="00F019FF" w:rsidRPr="00797E29">
        <w:rPr>
          <w:rFonts w:ascii="Times New Roman" w:hAnsi="Times New Roman"/>
          <w:sz w:val="24"/>
          <w:szCs w:val="24"/>
        </w:rPr>
        <w:t xml:space="preserve"> </w:t>
      </w:r>
      <w:r w:rsidRPr="00797E29">
        <w:rPr>
          <w:rFonts w:ascii="Times New Roman" w:hAnsi="Times New Roman"/>
          <w:sz w:val="24"/>
          <w:szCs w:val="24"/>
        </w:rPr>
        <w:t>својине</w:t>
      </w:r>
      <w:r w:rsidR="00F019FF" w:rsidRPr="00797E29">
        <w:rPr>
          <w:rFonts w:ascii="Times New Roman" w:hAnsi="Times New Roman"/>
          <w:sz w:val="24"/>
          <w:szCs w:val="24"/>
        </w:rPr>
        <w:t xml:space="preserve"> </w:t>
      </w:r>
      <w:r w:rsidRPr="00797E29">
        <w:rPr>
          <w:rFonts w:ascii="Times New Roman" w:hAnsi="Times New Roman"/>
          <w:sz w:val="24"/>
          <w:szCs w:val="24"/>
        </w:rPr>
        <w:t>јесте</w:t>
      </w:r>
      <w:r w:rsidR="00F019FF" w:rsidRPr="00797E29">
        <w:rPr>
          <w:rFonts w:ascii="Times New Roman" w:hAnsi="Times New Roman"/>
          <w:sz w:val="24"/>
          <w:szCs w:val="24"/>
        </w:rPr>
        <w:t xml:space="preserve"> </w:t>
      </w:r>
      <w:r w:rsidRPr="00797E29">
        <w:rPr>
          <w:rFonts w:ascii="Times New Roman" w:hAnsi="Times New Roman"/>
          <w:sz w:val="24"/>
          <w:szCs w:val="24"/>
        </w:rPr>
        <w:t>цена</w:t>
      </w:r>
      <w:r w:rsidR="00F019FF" w:rsidRPr="00797E29">
        <w:rPr>
          <w:rFonts w:ascii="Times New Roman" w:hAnsi="Times New Roman"/>
          <w:sz w:val="24"/>
          <w:szCs w:val="24"/>
        </w:rPr>
        <w:t xml:space="preserve"> </w:t>
      </w:r>
      <w:r w:rsidRPr="00797E29">
        <w:rPr>
          <w:rFonts w:ascii="Times New Roman" w:hAnsi="Times New Roman"/>
          <w:sz w:val="24"/>
          <w:szCs w:val="24"/>
        </w:rPr>
        <w:t>коју</w:t>
      </w:r>
      <w:r w:rsidR="00F019FF" w:rsidRPr="00797E29">
        <w:rPr>
          <w:rFonts w:ascii="Times New Roman" w:hAnsi="Times New Roman"/>
          <w:sz w:val="24"/>
          <w:szCs w:val="24"/>
        </w:rPr>
        <w:t xml:space="preserve"> </w:t>
      </w:r>
      <w:r w:rsidRPr="00797E29">
        <w:rPr>
          <w:rFonts w:ascii="Times New Roman" w:hAnsi="Times New Roman"/>
          <w:sz w:val="24"/>
          <w:szCs w:val="24"/>
        </w:rPr>
        <w:t>обвезник</w:t>
      </w:r>
      <w:r w:rsidR="00F019FF" w:rsidRPr="00797E29">
        <w:rPr>
          <w:rFonts w:ascii="Times New Roman" w:hAnsi="Times New Roman"/>
          <w:sz w:val="24"/>
          <w:szCs w:val="24"/>
        </w:rPr>
        <w:t xml:space="preserve"> </w:t>
      </w:r>
      <w:r w:rsidRPr="00797E29">
        <w:rPr>
          <w:rFonts w:ascii="Times New Roman" w:hAnsi="Times New Roman"/>
          <w:sz w:val="24"/>
          <w:szCs w:val="24"/>
        </w:rPr>
        <w:t>документује</w:t>
      </w:r>
      <w:r w:rsidR="00F019FF" w:rsidRPr="00797E29">
        <w:rPr>
          <w:rFonts w:ascii="Times New Roman" w:hAnsi="Times New Roman"/>
          <w:sz w:val="24"/>
          <w:szCs w:val="24"/>
        </w:rPr>
        <w:t xml:space="preserve"> </w:t>
      </w:r>
      <w:r w:rsidRPr="00797E29">
        <w:rPr>
          <w:rFonts w:ascii="Times New Roman" w:hAnsi="Times New Roman"/>
          <w:sz w:val="24"/>
          <w:szCs w:val="24"/>
        </w:rPr>
        <w:t>као</w:t>
      </w:r>
      <w:r w:rsidR="00F019FF" w:rsidRPr="00797E29">
        <w:rPr>
          <w:rFonts w:ascii="Times New Roman" w:hAnsi="Times New Roman"/>
          <w:sz w:val="24"/>
          <w:szCs w:val="24"/>
        </w:rPr>
        <w:t xml:space="preserve"> </w:t>
      </w:r>
      <w:r w:rsidRPr="00797E29">
        <w:rPr>
          <w:rFonts w:ascii="Times New Roman" w:hAnsi="Times New Roman"/>
          <w:sz w:val="24"/>
          <w:szCs w:val="24"/>
        </w:rPr>
        <w:t>стварно</w:t>
      </w:r>
      <w:r w:rsidR="00F019FF" w:rsidRPr="00797E29">
        <w:rPr>
          <w:rFonts w:ascii="Times New Roman" w:hAnsi="Times New Roman"/>
          <w:sz w:val="24"/>
          <w:szCs w:val="24"/>
        </w:rPr>
        <w:t xml:space="preserve"> </w:t>
      </w:r>
      <w:r w:rsidRPr="00797E29">
        <w:rPr>
          <w:rFonts w:ascii="Times New Roman" w:hAnsi="Times New Roman"/>
          <w:sz w:val="24"/>
          <w:szCs w:val="24"/>
        </w:rPr>
        <w:t>плаћену</w:t>
      </w:r>
      <w:r w:rsidR="00F019FF" w:rsidRPr="00797E29">
        <w:rPr>
          <w:rFonts w:ascii="Times New Roman" w:hAnsi="Times New Roman"/>
          <w:sz w:val="24"/>
          <w:szCs w:val="24"/>
        </w:rPr>
        <w:t xml:space="preserve">. </w:t>
      </w:r>
      <w:r w:rsidRPr="00797E29">
        <w:rPr>
          <w:rFonts w:ascii="Times New Roman" w:hAnsi="Times New Roman"/>
          <w:sz w:val="24"/>
          <w:szCs w:val="24"/>
        </w:rPr>
        <w:t>Набавна</w:t>
      </w:r>
      <w:r w:rsidR="00F019FF" w:rsidRPr="00797E29">
        <w:rPr>
          <w:rFonts w:ascii="Times New Roman" w:hAnsi="Times New Roman"/>
          <w:sz w:val="24"/>
          <w:szCs w:val="24"/>
        </w:rPr>
        <w:t xml:space="preserve"> </w:t>
      </w:r>
      <w:r w:rsidRPr="00797E29">
        <w:rPr>
          <w:rFonts w:ascii="Times New Roman" w:hAnsi="Times New Roman"/>
          <w:sz w:val="24"/>
          <w:szCs w:val="24"/>
        </w:rPr>
        <w:t>цена</w:t>
      </w:r>
      <w:r w:rsidR="00F019FF" w:rsidRPr="00797E29">
        <w:rPr>
          <w:rFonts w:ascii="Times New Roman" w:hAnsi="Times New Roman"/>
          <w:sz w:val="24"/>
          <w:szCs w:val="24"/>
        </w:rPr>
        <w:t xml:space="preserve"> </w:t>
      </w:r>
      <w:r w:rsidRPr="00797E29">
        <w:rPr>
          <w:rFonts w:ascii="Times New Roman" w:hAnsi="Times New Roman"/>
          <w:sz w:val="24"/>
          <w:szCs w:val="24"/>
        </w:rPr>
        <w:t>удела</w:t>
      </w:r>
      <w:r w:rsidR="00F019FF" w:rsidRPr="00797E29">
        <w:rPr>
          <w:rFonts w:ascii="Times New Roman" w:hAnsi="Times New Roman"/>
          <w:sz w:val="24"/>
          <w:szCs w:val="24"/>
        </w:rPr>
        <w:t xml:space="preserve"> </w:t>
      </w:r>
      <w:r w:rsidRPr="00797E29">
        <w:rPr>
          <w:rFonts w:ascii="Times New Roman" w:hAnsi="Times New Roman"/>
          <w:sz w:val="24"/>
          <w:szCs w:val="24"/>
        </w:rPr>
        <w:t>у</w:t>
      </w:r>
      <w:r w:rsidR="00F019FF" w:rsidRPr="00797E29">
        <w:rPr>
          <w:rFonts w:ascii="Times New Roman" w:hAnsi="Times New Roman"/>
          <w:sz w:val="24"/>
          <w:szCs w:val="24"/>
        </w:rPr>
        <w:t xml:space="preserve"> </w:t>
      </w:r>
      <w:r w:rsidRPr="00797E29">
        <w:rPr>
          <w:rFonts w:ascii="Times New Roman" w:hAnsi="Times New Roman"/>
          <w:sz w:val="24"/>
          <w:szCs w:val="24"/>
        </w:rPr>
        <w:t>капиталу</w:t>
      </w:r>
      <w:r w:rsidR="00F019FF" w:rsidRPr="00797E29">
        <w:rPr>
          <w:rFonts w:ascii="Times New Roman" w:hAnsi="Times New Roman"/>
          <w:sz w:val="24"/>
          <w:szCs w:val="24"/>
        </w:rPr>
        <w:t xml:space="preserve"> </w:t>
      </w:r>
      <w:r w:rsidRPr="00797E29">
        <w:rPr>
          <w:rFonts w:ascii="Times New Roman" w:hAnsi="Times New Roman"/>
          <w:sz w:val="24"/>
          <w:szCs w:val="24"/>
        </w:rPr>
        <w:t>правних</w:t>
      </w:r>
      <w:r w:rsidR="00F019FF" w:rsidRPr="00797E29">
        <w:rPr>
          <w:rFonts w:ascii="Times New Roman" w:hAnsi="Times New Roman"/>
          <w:sz w:val="24"/>
          <w:szCs w:val="24"/>
        </w:rPr>
        <w:t xml:space="preserve"> </w:t>
      </w:r>
      <w:r w:rsidRPr="00797E29">
        <w:rPr>
          <w:rFonts w:ascii="Times New Roman" w:hAnsi="Times New Roman"/>
          <w:sz w:val="24"/>
          <w:szCs w:val="24"/>
        </w:rPr>
        <w:t>лица</w:t>
      </w:r>
      <w:r w:rsidR="00F019FF" w:rsidRPr="00797E29">
        <w:rPr>
          <w:rFonts w:ascii="Times New Roman" w:hAnsi="Times New Roman"/>
          <w:sz w:val="24"/>
          <w:szCs w:val="24"/>
        </w:rPr>
        <w:t xml:space="preserve"> </w:t>
      </w:r>
      <w:r w:rsidRPr="00797E29">
        <w:rPr>
          <w:rFonts w:ascii="Times New Roman" w:hAnsi="Times New Roman"/>
          <w:sz w:val="24"/>
          <w:szCs w:val="24"/>
        </w:rPr>
        <w:t>и</w:t>
      </w:r>
      <w:r w:rsidR="00F019FF" w:rsidRPr="00797E29">
        <w:rPr>
          <w:rFonts w:ascii="Times New Roman" w:hAnsi="Times New Roman"/>
          <w:sz w:val="24"/>
          <w:szCs w:val="24"/>
        </w:rPr>
        <w:t xml:space="preserve"> </w:t>
      </w:r>
      <w:r w:rsidRPr="00797E29">
        <w:rPr>
          <w:rFonts w:ascii="Times New Roman" w:hAnsi="Times New Roman"/>
          <w:sz w:val="24"/>
          <w:szCs w:val="24"/>
        </w:rPr>
        <w:t>права</w:t>
      </w:r>
      <w:r w:rsidR="00F019FF" w:rsidRPr="00797E29">
        <w:rPr>
          <w:rFonts w:ascii="Times New Roman" w:hAnsi="Times New Roman"/>
          <w:sz w:val="24"/>
          <w:szCs w:val="24"/>
        </w:rPr>
        <w:t xml:space="preserve"> </w:t>
      </w:r>
      <w:r w:rsidRPr="00797E29">
        <w:rPr>
          <w:rFonts w:ascii="Times New Roman" w:hAnsi="Times New Roman"/>
          <w:sz w:val="24"/>
          <w:szCs w:val="24"/>
        </w:rPr>
        <w:t>индустријске</w:t>
      </w:r>
      <w:r w:rsidR="00F019FF" w:rsidRPr="00797E29">
        <w:rPr>
          <w:rFonts w:ascii="Times New Roman" w:hAnsi="Times New Roman"/>
          <w:sz w:val="24"/>
          <w:szCs w:val="24"/>
        </w:rPr>
        <w:t xml:space="preserve"> </w:t>
      </w:r>
      <w:r w:rsidRPr="00797E29">
        <w:rPr>
          <w:rFonts w:ascii="Times New Roman" w:hAnsi="Times New Roman"/>
          <w:sz w:val="24"/>
          <w:szCs w:val="24"/>
        </w:rPr>
        <w:t>својине</w:t>
      </w:r>
      <w:r w:rsidR="00F019FF" w:rsidRPr="00797E29">
        <w:rPr>
          <w:rFonts w:ascii="Times New Roman" w:hAnsi="Times New Roman"/>
          <w:sz w:val="24"/>
          <w:szCs w:val="24"/>
        </w:rPr>
        <w:t xml:space="preserve">, </w:t>
      </w:r>
      <w:r w:rsidRPr="00797E29">
        <w:rPr>
          <w:rFonts w:ascii="Times New Roman" w:hAnsi="Times New Roman"/>
          <w:sz w:val="24"/>
          <w:szCs w:val="24"/>
        </w:rPr>
        <w:t>стечених</w:t>
      </w:r>
      <w:r w:rsidR="00F019FF" w:rsidRPr="00797E29">
        <w:rPr>
          <w:rFonts w:ascii="Times New Roman" w:hAnsi="Times New Roman"/>
          <w:sz w:val="24"/>
          <w:szCs w:val="24"/>
        </w:rPr>
        <w:t xml:space="preserve"> </w:t>
      </w:r>
      <w:r w:rsidRPr="00797E29">
        <w:rPr>
          <w:rFonts w:ascii="Times New Roman" w:hAnsi="Times New Roman"/>
          <w:sz w:val="24"/>
          <w:szCs w:val="24"/>
        </w:rPr>
        <w:t>путем</w:t>
      </w:r>
      <w:r w:rsidR="00F019FF" w:rsidRPr="00797E29">
        <w:rPr>
          <w:rFonts w:ascii="Times New Roman" w:hAnsi="Times New Roman"/>
          <w:sz w:val="24"/>
          <w:szCs w:val="24"/>
        </w:rPr>
        <w:t xml:space="preserve"> </w:t>
      </w:r>
      <w:r w:rsidRPr="00797E29">
        <w:rPr>
          <w:rFonts w:ascii="Times New Roman" w:hAnsi="Times New Roman"/>
          <w:sz w:val="24"/>
          <w:szCs w:val="24"/>
        </w:rPr>
        <w:t>оснивачког</w:t>
      </w:r>
      <w:r w:rsidR="00F019FF" w:rsidRPr="00797E29">
        <w:rPr>
          <w:rFonts w:ascii="Times New Roman" w:hAnsi="Times New Roman"/>
          <w:sz w:val="24"/>
          <w:szCs w:val="24"/>
        </w:rPr>
        <w:t xml:space="preserve"> </w:t>
      </w:r>
      <w:r w:rsidRPr="00797E29">
        <w:rPr>
          <w:rFonts w:ascii="Times New Roman" w:hAnsi="Times New Roman"/>
          <w:sz w:val="24"/>
          <w:szCs w:val="24"/>
        </w:rPr>
        <w:t>улога</w:t>
      </w:r>
      <w:r w:rsidR="00F019FF" w:rsidRPr="00797E29">
        <w:rPr>
          <w:rFonts w:ascii="Times New Roman" w:hAnsi="Times New Roman"/>
          <w:sz w:val="24"/>
          <w:szCs w:val="24"/>
        </w:rPr>
        <w:t xml:space="preserve"> </w:t>
      </w:r>
      <w:r w:rsidRPr="00797E29">
        <w:rPr>
          <w:rFonts w:ascii="Times New Roman" w:hAnsi="Times New Roman"/>
          <w:sz w:val="24"/>
          <w:szCs w:val="24"/>
        </w:rPr>
        <w:t>или</w:t>
      </w:r>
      <w:r w:rsidR="00F019FF" w:rsidRPr="00797E29">
        <w:rPr>
          <w:rFonts w:ascii="Times New Roman" w:hAnsi="Times New Roman"/>
          <w:sz w:val="24"/>
          <w:szCs w:val="24"/>
        </w:rPr>
        <w:t xml:space="preserve"> </w:t>
      </w:r>
      <w:r w:rsidRPr="00797E29">
        <w:rPr>
          <w:rFonts w:ascii="Times New Roman" w:hAnsi="Times New Roman"/>
          <w:sz w:val="24"/>
          <w:szCs w:val="24"/>
        </w:rPr>
        <w:t>повећањем</w:t>
      </w:r>
      <w:r w:rsidR="00F019FF" w:rsidRPr="00797E29">
        <w:rPr>
          <w:rFonts w:ascii="Times New Roman" w:hAnsi="Times New Roman"/>
          <w:sz w:val="24"/>
          <w:szCs w:val="24"/>
        </w:rPr>
        <w:t xml:space="preserve"> </w:t>
      </w:r>
      <w:r w:rsidRPr="00797E29">
        <w:rPr>
          <w:rFonts w:ascii="Times New Roman" w:hAnsi="Times New Roman"/>
          <w:sz w:val="24"/>
          <w:szCs w:val="24"/>
        </w:rPr>
        <w:t>оснивачког</w:t>
      </w:r>
      <w:r w:rsidR="00F019FF" w:rsidRPr="00797E29">
        <w:rPr>
          <w:rFonts w:ascii="Times New Roman" w:hAnsi="Times New Roman"/>
          <w:sz w:val="24"/>
          <w:szCs w:val="24"/>
        </w:rPr>
        <w:t xml:space="preserve"> </w:t>
      </w:r>
      <w:r w:rsidRPr="00797E29">
        <w:rPr>
          <w:rFonts w:ascii="Times New Roman" w:hAnsi="Times New Roman"/>
          <w:sz w:val="24"/>
          <w:szCs w:val="24"/>
        </w:rPr>
        <w:t>улога</w:t>
      </w:r>
      <w:r w:rsidR="00F019FF" w:rsidRPr="00797E29">
        <w:rPr>
          <w:rFonts w:ascii="Times New Roman" w:hAnsi="Times New Roman"/>
          <w:sz w:val="24"/>
          <w:szCs w:val="24"/>
        </w:rPr>
        <w:t xml:space="preserve"> </w:t>
      </w:r>
      <w:r w:rsidRPr="00797E29">
        <w:rPr>
          <w:rFonts w:ascii="Times New Roman" w:hAnsi="Times New Roman"/>
          <w:sz w:val="24"/>
          <w:szCs w:val="24"/>
        </w:rPr>
        <w:t>јесте</w:t>
      </w:r>
      <w:r w:rsidR="00F019FF" w:rsidRPr="00797E29">
        <w:rPr>
          <w:rFonts w:ascii="Times New Roman" w:hAnsi="Times New Roman"/>
          <w:sz w:val="24"/>
          <w:szCs w:val="24"/>
        </w:rPr>
        <w:t xml:space="preserve"> </w:t>
      </w:r>
      <w:r w:rsidRPr="00797E29">
        <w:rPr>
          <w:rFonts w:ascii="Times New Roman" w:hAnsi="Times New Roman"/>
          <w:sz w:val="24"/>
          <w:szCs w:val="24"/>
        </w:rPr>
        <w:t>тржишна</w:t>
      </w:r>
      <w:r w:rsidR="00F019FF" w:rsidRPr="00797E29">
        <w:rPr>
          <w:rFonts w:ascii="Times New Roman" w:hAnsi="Times New Roman"/>
          <w:sz w:val="24"/>
          <w:szCs w:val="24"/>
        </w:rPr>
        <w:t xml:space="preserve"> </w:t>
      </w:r>
      <w:r w:rsidRPr="00797E29">
        <w:rPr>
          <w:rFonts w:ascii="Times New Roman" w:hAnsi="Times New Roman"/>
          <w:sz w:val="24"/>
          <w:szCs w:val="24"/>
        </w:rPr>
        <w:t>цена</w:t>
      </w:r>
      <w:r w:rsidR="00F019FF" w:rsidRPr="00797E29">
        <w:rPr>
          <w:rFonts w:ascii="Times New Roman" w:hAnsi="Times New Roman"/>
          <w:sz w:val="24"/>
          <w:szCs w:val="24"/>
        </w:rPr>
        <w:t xml:space="preserve"> </w:t>
      </w:r>
      <w:r w:rsidRPr="00797E29">
        <w:rPr>
          <w:rFonts w:ascii="Times New Roman" w:hAnsi="Times New Roman"/>
          <w:sz w:val="24"/>
          <w:szCs w:val="24"/>
        </w:rPr>
        <w:t>на</w:t>
      </w:r>
      <w:r w:rsidR="00F019FF" w:rsidRPr="00797E29">
        <w:rPr>
          <w:rFonts w:ascii="Times New Roman" w:hAnsi="Times New Roman"/>
          <w:sz w:val="24"/>
          <w:szCs w:val="24"/>
        </w:rPr>
        <w:t xml:space="preserve"> </w:t>
      </w:r>
      <w:r w:rsidRPr="00797E29">
        <w:rPr>
          <w:rFonts w:ascii="Times New Roman" w:hAnsi="Times New Roman"/>
          <w:sz w:val="24"/>
          <w:szCs w:val="24"/>
        </w:rPr>
        <w:t>дан</w:t>
      </w:r>
      <w:r w:rsidR="00F019FF" w:rsidRPr="00797E29">
        <w:rPr>
          <w:rFonts w:ascii="Times New Roman" w:hAnsi="Times New Roman"/>
          <w:sz w:val="24"/>
          <w:szCs w:val="24"/>
        </w:rPr>
        <w:t xml:space="preserve"> </w:t>
      </w:r>
      <w:r w:rsidRPr="00797E29">
        <w:rPr>
          <w:rFonts w:ascii="Times New Roman" w:hAnsi="Times New Roman"/>
          <w:sz w:val="24"/>
          <w:szCs w:val="24"/>
        </w:rPr>
        <w:t>уноса</w:t>
      </w:r>
      <w:r w:rsidR="00F019FF" w:rsidRPr="00797E29">
        <w:rPr>
          <w:rFonts w:ascii="Times New Roman" w:hAnsi="Times New Roman"/>
          <w:sz w:val="24"/>
          <w:szCs w:val="24"/>
        </w:rPr>
        <w:t xml:space="preserve"> </w:t>
      </w:r>
      <w:r w:rsidRPr="00797E29">
        <w:rPr>
          <w:rFonts w:ascii="Times New Roman" w:hAnsi="Times New Roman"/>
          <w:sz w:val="24"/>
          <w:szCs w:val="24"/>
        </w:rPr>
        <w:t>улога</w:t>
      </w:r>
      <w:r w:rsidR="00F019FF" w:rsidRPr="00797E29">
        <w:rPr>
          <w:rFonts w:ascii="Times New Roman" w:hAnsi="Times New Roman"/>
          <w:sz w:val="24"/>
          <w:szCs w:val="24"/>
        </w:rPr>
        <w:t>.</w:t>
      </w:r>
      <w:r w:rsidR="00BE1262">
        <w:rPr>
          <w:rStyle w:val="FootnoteReference"/>
          <w:rFonts w:ascii="Times New Roman" w:hAnsi="Times New Roman"/>
          <w:sz w:val="24"/>
          <w:szCs w:val="24"/>
        </w:rPr>
        <w:footnoteReference w:id="311"/>
      </w:r>
    </w:p>
    <w:p w:rsidR="007650EA" w:rsidRPr="00797E29" w:rsidRDefault="00965E2D" w:rsidP="00797E29">
      <w:pPr>
        <w:ind w:firstLine="708"/>
        <w:jc w:val="both"/>
        <w:rPr>
          <w:rFonts w:ascii="Times New Roman" w:hAnsi="Times New Roman"/>
          <w:sz w:val="24"/>
          <w:szCs w:val="24"/>
          <w:lang w:val="sr-Cyrl-CS"/>
        </w:rPr>
      </w:pPr>
      <w:r w:rsidRPr="00797E29">
        <w:rPr>
          <w:rFonts w:ascii="Times New Roman" w:hAnsi="Times New Roman"/>
          <w:sz w:val="24"/>
          <w:szCs w:val="24"/>
        </w:rPr>
        <w:t>Набавна</w:t>
      </w:r>
      <w:r w:rsidR="00F019FF" w:rsidRPr="00797E29">
        <w:rPr>
          <w:rFonts w:ascii="Times New Roman" w:hAnsi="Times New Roman"/>
          <w:sz w:val="24"/>
          <w:szCs w:val="24"/>
        </w:rPr>
        <w:t xml:space="preserve"> </w:t>
      </w:r>
      <w:r w:rsidRPr="00797E29">
        <w:rPr>
          <w:rFonts w:ascii="Times New Roman" w:hAnsi="Times New Roman"/>
          <w:sz w:val="24"/>
          <w:szCs w:val="24"/>
        </w:rPr>
        <w:t>цена</w:t>
      </w:r>
      <w:r w:rsidR="00F019FF" w:rsidRPr="00797E29">
        <w:rPr>
          <w:rFonts w:ascii="Times New Roman" w:hAnsi="Times New Roman"/>
          <w:sz w:val="24"/>
          <w:szCs w:val="24"/>
        </w:rPr>
        <w:t xml:space="preserve"> </w:t>
      </w:r>
      <w:r w:rsidRPr="00797E29">
        <w:rPr>
          <w:rFonts w:ascii="Times New Roman" w:hAnsi="Times New Roman"/>
          <w:sz w:val="24"/>
          <w:szCs w:val="24"/>
        </w:rPr>
        <w:t>инвестиционе</w:t>
      </w:r>
      <w:r w:rsidR="00F019FF" w:rsidRPr="00797E29">
        <w:rPr>
          <w:rFonts w:ascii="Times New Roman" w:hAnsi="Times New Roman"/>
          <w:sz w:val="24"/>
          <w:szCs w:val="24"/>
        </w:rPr>
        <w:t xml:space="preserve"> </w:t>
      </w:r>
      <w:r w:rsidRPr="00797E29">
        <w:rPr>
          <w:rFonts w:ascii="Times New Roman" w:hAnsi="Times New Roman"/>
          <w:sz w:val="24"/>
          <w:szCs w:val="24"/>
        </w:rPr>
        <w:t>јединице</w:t>
      </w:r>
      <w:r w:rsidR="00F019FF" w:rsidRPr="00797E29">
        <w:rPr>
          <w:rFonts w:ascii="Times New Roman" w:hAnsi="Times New Roman"/>
          <w:sz w:val="24"/>
          <w:szCs w:val="24"/>
        </w:rPr>
        <w:t xml:space="preserve"> </w:t>
      </w:r>
      <w:r w:rsidRPr="00797E29">
        <w:rPr>
          <w:rFonts w:ascii="Times New Roman" w:hAnsi="Times New Roman"/>
          <w:sz w:val="24"/>
          <w:szCs w:val="24"/>
        </w:rPr>
        <w:t>састоји</w:t>
      </w:r>
      <w:r w:rsidR="00F019FF" w:rsidRPr="00797E29">
        <w:rPr>
          <w:rFonts w:ascii="Times New Roman" w:hAnsi="Times New Roman"/>
          <w:sz w:val="24"/>
          <w:szCs w:val="24"/>
        </w:rPr>
        <w:t xml:space="preserve"> </w:t>
      </w:r>
      <w:r w:rsidRPr="00797E29">
        <w:rPr>
          <w:rFonts w:ascii="Times New Roman" w:hAnsi="Times New Roman"/>
          <w:sz w:val="24"/>
          <w:szCs w:val="24"/>
        </w:rPr>
        <w:t>се</w:t>
      </w:r>
      <w:r w:rsidR="00F019FF" w:rsidRPr="00797E29">
        <w:rPr>
          <w:rFonts w:ascii="Times New Roman" w:hAnsi="Times New Roman"/>
          <w:sz w:val="24"/>
          <w:szCs w:val="24"/>
        </w:rPr>
        <w:t xml:space="preserve"> </w:t>
      </w:r>
      <w:r w:rsidRPr="00797E29">
        <w:rPr>
          <w:rFonts w:ascii="Times New Roman" w:hAnsi="Times New Roman"/>
          <w:sz w:val="24"/>
          <w:szCs w:val="24"/>
        </w:rPr>
        <w:t>од</w:t>
      </w:r>
      <w:r w:rsidR="00F019FF" w:rsidRPr="00797E29">
        <w:rPr>
          <w:rFonts w:ascii="Times New Roman" w:hAnsi="Times New Roman"/>
          <w:sz w:val="24"/>
          <w:szCs w:val="24"/>
        </w:rPr>
        <w:t xml:space="preserve"> </w:t>
      </w:r>
      <w:r w:rsidRPr="00797E29">
        <w:rPr>
          <w:rFonts w:ascii="Times New Roman" w:hAnsi="Times New Roman"/>
          <w:sz w:val="24"/>
          <w:szCs w:val="24"/>
        </w:rPr>
        <w:t>нето</w:t>
      </w:r>
      <w:r w:rsidR="00F019FF" w:rsidRPr="00797E29">
        <w:rPr>
          <w:rFonts w:ascii="Times New Roman" w:hAnsi="Times New Roman"/>
          <w:sz w:val="24"/>
          <w:szCs w:val="24"/>
        </w:rPr>
        <w:t xml:space="preserve"> </w:t>
      </w:r>
      <w:r w:rsidRPr="00797E29">
        <w:rPr>
          <w:rFonts w:ascii="Times New Roman" w:hAnsi="Times New Roman"/>
          <w:sz w:val="24"/>
          <w:szCs w:val="24"/>
        </w:rPr>
        <w:t>вредности</w:t>
      </w:r>
      <w:r w:rsidR="00F019FF" w:rsidRPr="00797E29">
        <w:rPr>
          <w:rFonts w:ascii="Times New Roman" w:hAnsi="Times New Roman"/>
          <w:sz w:val="24"/>
          <w:szCs w:val="24"/>
        </w:rPr>
        <w:t xml:space="preserve"> </w:t>
      </w:r>
      <w:r w:rsidRPr="00797E29">
        <w:rPr>
          <w:rFonts w:ascii="Times New Roman" w:hAnsi="Times New Roman"/>
          <w:sz w:val="24"/>
          <w:szCs w:val="24"/>
        </w:rPr>
        <w:t>имовине</w:t>
      </w:r>
      <w:r w:rsidR="00F019FF" w:rsidRPr="00797E29">
        <w:rPr>
          <w:rFonts w:ascii="Times New Roman" w:hAnsi="Times New Roman"/>
          <w:sz w:val="24"/>
          <w:szCs w:val="24"/>
        </w:rPr>
        <w:t xml:space="preserve"> </w:t>
      </w:r>
      <w:r w:rsidRPr="00797E29">
        <w:rPr>
          <w:rFonts w:ascii="Times New Roman" w:hAnsi="Times New Roman"/>
          <w:sz w:val="24"/>
          <w:szCs w:val="24"/>
        </w:rPr>
        <w:t>отвореног</w:t>
      </w:r>
      <w:r w:rsidR="00F019FF" w:rsidRPr="00797E29">
        <w:rPr>
          <w:rFonts w:ascii="Times New Roman" w:hAnsi="Times New Roman"/>
          <w:sz w:val="24"/>
          <w:szCs w:val="24"/>
        </w:rPr>
        <w:t xml:space="preserve"> </w:t>
      </w:r>
      <w:r w:rsidRPr="00797E29">
        <w:rPr>
          <w:rFonts w:ascii="Times New Roman" w:hAnsi="Times New Roman"/>
          <w:sz w:val="24"/>
          <w:szCs w:val="24"/>
        </w:rPr>
        <w:t>фонда</w:t>
      </w:r>
      <w:r w:rsidR="00F019FF" w:rsidRPr="00797E29">
        <w:rPr>
          <w:rFonts w:ascii="Times New Roman" w:hAnsi="Times New Roman"/>
          <w:sz w:val="24"/>
          <w:szCs w:val="24"/>
        </w:rPr>
        <w:t xml:space="preserve"> </w:t>
      </w:r>
      <w:r w:rsidRPr="00797E29">
        <w:rPr>
          <w:rFonts w:ascii="Times New Roman" w:hAnsi="Times New Roman"/>
          <w:sz w:val="24"/>
          <w:szCs w:val="24"/>
        </w:rPr>
        <w:t>по</w:t>
      </w:r>
      <w:r w:rsidR="00F019FF" w:rsidRPr="00797E29">
        <w:rPr>
          <w:rFonts w:ascii="Times New Roman" w:hAnsi="Times New Roman"/>
          <w:sz w:val="24"/>
          <w:szCs w:val="24"/>
        </w:rPr>
        <w:t xml:space="preserve"> </w:t>
      </w:r>
      <w:r w:rsidRPr="00797E29">
        <w:rPr>
          <w:rFonts w:ascii="Times New Roman" w:hAnsi="Times New Roman"/>
          <w:sz w:val="24"/>
          <w:szCs w:val="24"/>
        </w:rPr>
        <w:t>инвестиционој</w:t>
      </w:r>
      <w:r w:rsidR="00F019FF" w:rsidRPr="00797E29">
        <w:rPr>
          <w:rFonts w:ascii="Times New Roman" w:hAnsi="Times New Roman"/>
          <w:sz w:val="24"/>
          <w:szCs w:val="24"/>
        </w:rPr>
        <w:t xml:space="preserve"> </w:t>
      </w:r>
      <w:r w:rsidRPr="00797E29">
        <w:rPr>
          <w:rFonts w:ascii="Times New Roman" w:hAnsi="Times New Roman"/>
          <w:sz w:val="24"/>
          <w:szCs w:val="24"/>
        </w:rPr>
        <w:t>јединици</w:t>
      </w:r>
      <w:r w:rsidR="00F019FF" w:rsidRPr="00797E29">
        <w:rPr>
          <w:rFonts w:ascii="Times New Roman" w:hAnsi="Times New Roman"/>
          <w:sz w:val="24"/>
          <w:szCs w:val="24"/>
        </w:rPr>
        <w:t xml:space="preserve"> </w:t>
      </w:r>
      <w:r w:rsidRPr="00797E29">
        <w:rPr>
          <w:rFonts w:ascii="Times New Roman" w:hAnsi="Times New Roman"/>
          <w:sz w:val="24"/>
          <w:szCs w:val="24"/>
        </w:rPr>
        <w:t>на</w:t>
      </w:r>
      <w:r w:rsidR="00F019FF" w:rsidRPr="00797E29">
        <w:rPr>
          <w:rFonts w:ascii="Times New Roman" w:hAnsi="Times New Roman"/>
          <w:sz w:val="24"/>
          <w:szCs w:val="24"/>
        </w:rPr>
        <w:t xml:space="preserve"> </w:t>
      </w:r>
      <w:r w:rsidRPr="00797E29">
        <w:rPr>
          <w:rFonts w:ascii="Times New Roman" w:hAnsi="Times New Roman"/>
          <w:sz w:val="24"/>
          <w:szCs w:val="24"/>
        </w:rPr>
        <w:t>дан</w:t>
      </w:r>
      <w:r w:rsidR="00F019FF" w:rsidRPr="00797E29">
        <w:rPr>
          <w:rFonts w:ascii="Times New Roman" w:hAnsi="Times New Roman"/>
          <w:sz w:val="24"/>
          <w:szCs w:val="24"/>
        </w:rPr>
        <w:t xml:space="preserve"> </w:t>
      </w:r>
      <w:r w:rsidRPr="00797E29">
        <w:rPr>
          <w:rFonts w:ascii="Times New Roman" w:hAnsi="Times New Roman"/>
          <w:sz w:val="24"/>
          <w:szCs w:val="24"/>
        </w:rPr>
        <w:t>уплате</w:t>
      </w:r>
      <w:r w:rsidR="00F019FF" w:rsidRPr="00797E29">
        <w:rPr>
          <w:rFonts w:ascii="Times New Roman" w:hAnsi="Times New Roman"/>
          <w:sz w:val="24"/>
          <w:szCs w:val="24"/>
        </w:rPr>
        <w:t xml:space="preserve">, </w:t>
      </w:r>
      <w:r w:rsidRPr="00797E29">
        <w:rPr>
          <w:rFonts w:ascii="Times New Roman" w:hAnsi="Times New Roman"/>
          <w:sz w:val="24"/>
          <w:szCs w:val="24"/>
        </w:rPr>
        <w:t>увећане</w:t>
      </w:r>
      <w:r w:rsidR="00F019FF" w:rsidRPr="00797E29">
        <w:rPr>
          <w:rFonts w:ascii="Times New Roman" w:hAnsi="Times New Roman"/>
          <w:sz w:val="24"/>
          <w:szCs w:val="24"/>
        </w:rPr>
        <w:t xml:space="preserve"> </w:t>
      </w:r>
      <w:r w:rsidRPr="00797E29">
        <w:rPr>
          <w:rFonts w:ascii="Times New Roman" w:hAnsi="Times New Roman"/>
          <w:sz w:val="24"/>
          <w:szCs w:val="24"/>
        </w:rPr>
        <w:t>за</w:t>
      </w:r>
      <w:r w:rsidR="00F019FF" w:rsidRPr="00797E29">
        <w:rPr>
          <w:rFonts w:ascii="Times New Roman" w:hAnsi="Times New Roman"/>
          <w:sz w:val="24"/>
          <w:szCs w:val="24"/>
        </w:rPr>
        <w:t xml:space="preserve"> </w:t>
      </w:r>
      <w:r w:rsidRPr="00797E29">
        <w:rPr>
          <w:rFonts w:ascii="Times New Roman" w:hAnsi="Times New Roman"/>
          <w:sz w:val="24"/>
          <w:szCs w:val="24"/>
        </w:rPr>
        <w:t>накнаду</w:t>
      </w:r>
      <w:r w:rsidR="00F019FF" w:rsidRPr="00797E29">
        <w:rPr>
          <w:rFonts w:ascii="Times New Roman" w:hAnsi="Times New Roman"/>
          <w:sz w:val="24"/>
          <w:szCs w:val="24"/>
        </w:rPr>
        <w:t xml:space="preserve"> </w:t>
      </w:r>
      <w:r w:rsidRPr="00797E29">
        <w:rPr>
          <w:rFonts w:ascii="Times New Roman" w:hAnsi="Times New Roman"/>
          <w:sz w:val="24"/>
          <w:szCs w:val="24"/>
        </w:rPr>
        <w:t>за</w:t>
      </w:r>
      <w:r w:rsidR="00F019FF" w:rsidRPr="00797E29">
        <w:rPr>
          <w:rFonts w:ascii="Times New Roman" w:hAnsi="Times New Roman"/>
          <w:sz w:val="24"/>
          <w:szCs w:val="24"/>
        </w:rPr>
        <w:t xml:space="preserve"> </w:t>
      </w:r>
      <w:r w:rsidRPr="00797E29">
        <w:rPr>
          <w:rFonts w:ascii="Times New Roman" w:hAnsi="Times New Roman"/>
          <w:sz w:val="24"/>
          <w:szCs w:val="24"/>
        </w:rPr>
        <w:t>куповину</w:t>
      </w:r>
      <w:r w:rsidR="00F019FF" w:rsidRPr="00797E29">
        <w:rPr>
          <w:rFonts w:ascii="Times New Roman" w:hAnsi="Times New Roman"/>
          <w:sz w:val="24"/>
          <w:szCs w:val="24"/>
        </w:rPr>
        <w:t xml:space="preserve"> </w:t>
      </w:r>
      <w:r w:rsidRPr="00797E29">
        <w:rPr>
          <w:rFonts w:ascii="Times New Roman" w:hAnsi="Times New Roman"/>
          <w:sz w:val="24"/>
          <w:szCs w:val="24"/>
        </w:rPr>
        <w:t>уколико</w:t>
      </w:r>
      <w:r w:rsidR="00F019FF" w:rsidRPr="00797E29">
        <w:rPr>
          <w:rFonts w:ascii="Times New Roman" w:hAnsi="Times New Roman"/>
          <w:sz w:val="24"/>
          <w:szCs w:val="24"/>
        </w:rPr>
        <w:t xml:space="preserve"> </w:t>
      </w:r>
      <w:r w:rsidRPr="00797E29">
        <w:rPr>
          <w:rFonts w:ascii="Times New Roman" w:hAnsi="Times New Roman"/>
          <w:sz w:val="24"/>
          <w:szCs w:val="24"/>
        </w:rPr>
        <w:t>је</w:t>
      </w:r>
      <w:r w:rsidR="00F019FF" w:rsidRPr="00797E29">
        <w:rPr>
          <w:rFonts w:ascii="Times New Roman" w:hAnsi="Times New Roman"/>
          <w:sz w:val="24"/>
          <w:szCs w:val="24"/>
        </w:rPr>
        <w:t xml:space="preserve"> </w:t>
      </w:r>
      <w:r w:rsidRPr="00797E29">
        <w:rPr>
          <w:rFonts w:ascii="Times New Roman" w:hAnsi="Times New Roman"/>
          <w:sz w:val="24"/>
          <w:szCs w:val="24"/>
        </w:rPr>
        <w:t>друштво</w:t>
      </w:r>
      <w:r w:rsidR="00F019FF" w:rsidRPr="00797E29">
        <w:rPr>
          <w:rFonts w:ascii="Times New Roman" w:hAnsi="Times New Roman"/>
          <w:sz w:val="24"/>
          <w:szCs w:val="24"/>
        </w:rPr>
        <w:t xml:space="preserve"> </w:t>
      </w:r>
      <w:r w:rsidRPr="00797E29">
        <w:rPr>
          <w:rFonts w:ascii="Times New Roman" w:hAnsi="Times New Roman"/>
          <w:sz w:val="24"/>
          <w:szCs w:val="24"/>
        </w:rPr>
        <w:t>за</w:t>
      </w:r>
      <w:r w:rsidR="00F019FF" w:rsidRPr="00797E29">
        <w:rPr>
          <w:rFonts w:ascii="Times New Roman" w:hAnsi="Times New Roman"/>
          <w:sz w:val="24"/>
          <w:szCs w:val="24"/>
        </w:rPr>
        <w:t xml:space="preserve"> </w:t>
      </w:r>
      <w:r w:rsidRPr="00797E29">
        <w:rPr>
          <w:rFonts w:ascii="Times New Roman" w:hAnsi="Times New Roman"/>
          <w:sz w:val="24"/>
          <w:szCs w:val="24"/>
        </w:rPr>
        <w:t>управљање</w:t>
      </w:r>
      <w:r w:rsidR="00F019FF" w:rsidRPr="00797E29">
        <w:rPr>
          <w:rFonts w:ascii="Times New Roman" w:hAnsi="Times New Roman"/>
          <w:sz w:val="24"/>
          <w:szCs w:val="24"/>
        </w:rPr>
        <w:t xml:space="preserve"> </w:t>
      </w:r>
      <w:r w:rsidRPr="00797E29">
        <w:rPr>
          <w:rFonts w:ascii="Times New Roman" w:hAnsi="Times New Roman"/>
          <w:sz w:val="24"/>
          <w:szCs w:val="24"/>
        </w:rPr>
        <w:t>наплаћује</w:t>
      </w:r>
      <w:r w:rsidR="00F019FF" w:rsidRPr="00797E29">
        <w:rPr>
          <w:rFonts w:ascii="Times New Roman" w:hAnsi="Times New Roman"/>
          <w:sz w:val="24"/>
          <w:szCs w:val="24"/>
        </w:rPr>
        <w:t xml:space="preserve">, </w:t>
      </w:r>
      <w:r w:rsidRPr="00797E29">
        <w:rPr>
          <w:rFonts w:ascii="Times New Roman" w:hAnsi="Times New Roman"/>
          <w:sz w:val="24"/>
          <w:szCs w:val="24"/>
        </w:rPr>
        <w:t>у</w:t>
      </w:r>
      <w:r w:rsidR="00F019FF" w:rsidRPr="00797E29">
        <w:rPr>
          <w:rFonts w:ascii="Times New Roman" w:hAnsi="Times New Roman"/>
          <w:sz w:val="24"/>
          <w:szCs w:val="24"/>
        </w:rPr>
        <w:t xml:space="preserve"> </w:t>
      </w:r>
      <w:r w:rsidRPr="00797E29">
        <w:rPr>
          <w:rFonts w:ascii="Times New Roman" w:hAnsi="Times New Roman"/>
          <w:sz w:val="24"/>
          <w:szCs w:val="24"/>
        </w:rPr>
        <w:t>складу</w:t>
      </w:r>
      <w:r w:rsidR="00F019FF" w:rsidRPr="00797E29">
        <w:rPr>
          <w:rFonts w:ascii="Times New Roman" w:hAnsi="Times New Roman"/>
          <w:sz w:val="24"/>
          <w:szCs w:val="24"/>
        </w:rPr>
        <w:t xml:space="preserve"> </w:t>
      </w:r>
      <w:r w:rsidRPr="00797E29">
        <w:rPr>
          <w:rFonts w:ascii="Times New Roman" w:hAnsi="Times New Roman"/>
          <w:sz w:val="24"/>
          <w:szCs w:val="24"/>
        </w:rPr>
        <w:t>са</w:t>
      </w:r>
      <w:r w:rsidR="00F019FF" w:rsidRPr="00797E29">
        <w:rPr>
          <w:rFonts w:ascii="Times New Roman" w:hAnsi="Times New Roman"/>
          <w:sz w:val="24"/>
          <w:szCs w:val="24"/>
        </w:rPr>
        <w:t xml:space="preserve"> </w:t>
      </w:r>
      <w:r w:rsidRPr="00797E29">
        <w:rPr>
          <w:rFonts w:ascii="Times New Roman" w:hAnsi="Times New Roman"/>
          <w:sz w:val="24"/>
          <w:szCs w:val="24"/>
        </w:rPr>
        <w:t>законом</w:t>
      </w:r>
      <w:r w:rsidR="00F019FF" w:rsidRPr="00797E29">
        <w:rPr>
          <w:rFonts w:ascii="Times New Roman" w:hAnsi="Times New Roman"/>
          <w:sz w:val="24"/>
          <w:szCs w:val="24"/>
        </w:rPr>
        <w:t xml:space="preserve"> </w:t>
      </w:r>
      <w:r w:rsidRPr="00797E29">
        <w:rPr>
          <w:rFonts w:ascii="Times New Roman" w:hAnsi="Times New Roman"/>
          <w:sz w:val="24"/>
          <w:szCs w:val="24"/>
        </w:rPr>
        <w:t>који</w:t>
      </w:r>
      <w:r w:rsidR="00F019FF" w:rsidRPr="00797E29">
        <w:rPr>
          <w:rFonts w:ascii="Times New Roman" w:hAnsi="Times New Roman"/>
          <w:sz w:val="24"/>
          <w:szCs w:val="24"/>
        </w:rPr>
        <w:t xml:space="preserve"> </w:t>
      </w:r>
      <w:r w:rsidRPr="00797E29">
        <w:rPr>
          <w:rFonts w:ascii="Times New Roman" w:hAnsi="Times New Roman"/>
          <w:sz w:val="24"/>
          <w:szCs w:val="24"/>
        </w:rPr>
        <w:t>уређује</w:t>
      </w:r>
      <w:r w:rsidR="00F019FF" w:rsidRPr="00797E29">
        <w:rPr>
          <w:rFonts w:ascii="Times New Roman" w:hAnsi="Times New Roman"/>
          <w:sz w:val="24"/>
          <w:szCs w:val="24"/>
        </w:rPr>
        <w:t xml:space="preserve"> </w:t>
      </w:r>
      <w:r w:rsidRPr="00797E29">
        <w:rPr>
          <w:rFonts w:ascii="Times New Roman" w:hAnsi="Times New Roman"/>
          <w:sz w:val="24"/>
          <w:szCs w:val="24"/>
        </w:rPr>
        <w:t>инвестиционе</w:t>
      </w:r>
      <w:r w:rsidR="00F019FF" w:rsidRPr="00797E29">
        <w:rPr>
          <w:rFonts w:ascii="Times New Roman" w:hAnsi="Times New Roman"/>
          <w:sz w:val="24"/>
          <w:szCs w:val="24"/>
        </w:rPr>
        <w:t xml:space="preserve"> </w:t>
      </w:r>
      <w:r w:rsidRPr="00797E29">
        <w:rPr>
          <w:rFonts w:ascii="Times New Roman" w:hAnsi="Times New Roman"/>
          <w:sz w:val="24"/>
          <w:szCs w:val="24"/>
        </w:rPr>
        <w:t>фондове</w:t>
      </w:r>
      <w:r w:rsidR="00F019FF" w:rsidRPr="00797E29">
        <w:rPr>
          <w:rFonts w:ascii="Times New Roman" w:hAnsi="Times New Roman"/>
          <w:sz w:val="24"/>
          <w:szCs w:val="24"/>
        </w:rPr>
        <w:t>.</w:t>
      </w:r>
      <w:r w:rsidRPr="00797E29">
        <w:rPr>
          <w:rFonts w:ascii="Times New Roman" w:hAnsi="Times New Roman"/>
          <w:sz w:val="24"/>
          <w:szCs w:val="24"/>
          <w:lang w:val="sr-Cyrl-CS"/>
        </w:rPr>
        <w:t xml:space="preserve"> </w:t>
      </w:r>
      <w:r w:rsidR="00797E29">
        <w:rPr>
          <w:rFonts w:ascii="Times New Roman" w:hAnsi="Times New Roman"/>
          <w:sz w:val="24"/>
          <w:szCs w:val="24"/>
          <w:lang w:val="sr-Cyrl-CS"/>
        </w:rPr>
        <w:t xml:space="preserve"> </w:t>
      </w:r>
    </w:p>
    <w:p w:rsidR="00C60DA4" w:rsidRDefault="008E5978" w:rsidP="00C60DA4">
      <w:pPr>
        <w:ind w:firstLine="708"/>
        <w:jc w:val="both"/>
        <w:rPr>
          <w:rFonts w:ascii="Times New Roman" w:hAnsi="Times New Roman"/>
          <w:sz w:val="24"/>
          <w:szCs w:val="24"/>
          <w:lang w:val="sr-Cyrl-CS"/>
        </w:rPr>
      </w:pPr>
      <w:r w:rsidRPr="00797E29">
        <w:rPr>
          <w:rFonts w:ascii="Times New Roman" w:hAnsi="Times New Roman"/>
          <w:sz w:val="24"/>
          <w:szCs w:val="24"/>
          <w:lang w:val="sr-Cyrl-CS"/>
        </w:rPr>
        <w:t xml:space="preserve">Без обзира о ком начину утврђивања набавне </w:t>
      </w:r>
      <w:r w:rsidR="00B13205" w:rsidRPr="00797E29">
        <w:rPr>
          <w:rFonts w:ascii="Times New Roman" w:hAnsi="Times New Roman"/>
          <w:sz w:val="24"/>
          <w:szCs w:val="24"/>
          <w:lang w:val="sr-Cyrl-CS"/>
        </w:rPr>
        <w:t xml:space="preserve">цене </w:t>
      </w:r>
      <w:r w:rsidRPr="00797E29">
        <w:rPr>
          <w:rFonts w:ascii="Times New Roman" w:hAnsi="Times New Roman"/>
          <w:sz w:val="24"/>
          <w:szCs w:val="24"/>
          <w:lang w:val="sr-Cyrl-CS"/>
        </w:rPr>
        <w:t xml:space="preserve">се ради, порески обвезник има тенденцију да што више увећа трошкове, како би се исти у што већој </w:t>
      </w:r>
      <w:r w:rsidR="00965E2D" w:rsidRPr="00797E29">
        <w:rPr>
          <w:rFonts w:ascii="Times New Roman" w:hAnsi="Times New Roman"/>
          <w:sz w:val="24"/>
          <w:szCs w:val="24"/>
          <w:lang w:val="sr-Cyrl-CS"/>
        </w:rPr>
        <w:t xml:space="preserve">мери </w:t>
      </w:r>
      <w:r w:rsidRPr="00797E29">
        <w:rPr>
          <w:rFonts w:ascii="Times New Roman" w:hAnsi="Times New Roman"/>
          <w:sz w:val="24"/>
          <w:szCs w:val="24"/>
          <w:lang w:val="sr-Cyrl-CS"/>
        </w:rPr>
        <w:t xml:space="preserve">приписали на терет расхода, како би се опорезива добит умањила. </w:t>
      </w:r>
      <w:r w:rsidR="00965E2D" w:rsidRPr="00797E29">
        <w:rPr>
          <w:rFonts w:ascii="Times New Roman" w:hAnsi="Times New Roman"/>
          <w:sz w:val="24"/>
          <w:szCs w:val="24"/>
          <w:lang w:val="sr-Cyrl-CS"/>
        </w:rPr>
        <w:t xml:space="preserve"> </w:t>
      </w:r>
      <w:r w:rsidR="001A02FC">
        <w:rPr>
          <w:rFonts w:ascii="Times New Roman" w:hAnsi="Times New Roman"/>
          <w:sz w:val="24"/>
          <w:szCs w:val="24"/>
          <w:lang w:val="sr-Cyrl-CS"/>
        </w:rPr>
        <w:t xml:space="preserve"> </w:t>
      </w:r>
    </w:p>
    <w:p w:rsidR="00D92F03" w:rsidRDefault="00C60DA4" w:rsidP="00CE3F81">
      <w:pPr>
        <w:pStyle w:val="FootnoteText"/>
        <w:ind w:firstLine="708"/>
        <w:jc w:val="both"/>
        <w:rPr>
          <w:rFonts w:ascii="Times New Roman" w:hAnsi="Times New Roman"/>
          <w:sz w:val="24"/>
          <w:szCs w:val="24"/>
          <w:lang w:val="sr-Cyrl-CS"/>
        </w:rPr>
      </w:pPr>
      <w:r>
        <w:rPr>
          <w:rFonts w:ascii="Times New Roman" w:hAnsi="Times New Roman"/>
          <w:sz w:val="24"/>
          <w:szCs w:val="24"/>
          <w:lang w:val="sr-Cyrl-CS"/>
        </w:rPr>
        <w:t xml:space="preserve">Сложеност овог пореског облика огледа се и </w:t>
      </w:r>
      <w:r w:rsidR="001A02FC">
        <w:rPr>
          <w:rFonts w:ascii="Times New Roman" w:hAnsi="Times New Roman"/>
          <w:sz w:val="24"/>
          <w:szCs w:val="24"/>
          <w:lang w:val="sr-Cyrl-CS"/>
        </w:rPr>
        <w:t xml:space="preserve">кроз проблеме који се појављују у пракси </w:t>
      </w:r>
      <w:r w:rsidR="00FD658C">
        <w:rPr>
          <w:rFonts w:ascii="Times New Roman" w:hAnsi="Times New Roman"/>
          <w:sz w:val="24"/>
          <w:szCs w:val="24"/>
          <w:lang w:val="sr-Cyrl-CS"/>
        </w:rPr>
        <w:t>приликом</w:t>
      </w:r>
      <w:r w:rsidR="001A02FC">
        <w:rPr>
          <w:rFonts w:ascii="Times New Roman" w:hAnsi="Times New Roman"/>
          <w:sz w:val="24"/>
          <w:szCs w:val="24"/>
          <w:lang w:val="sr-Cyrl-CS"/>
        </w:rPr>
        <w:t xml:space="preserve"> примен</w:t>
      </w:r>
      <w:r w:rsidR="00FD658C">
        <w:rPr>
          <w:rFonts w:ascii="Times New Roman" w:hAnsi="Times New Roman"/>
          <w:sz w:val="24"/>
          <w:szCs w:val="24"/>
          <w:lang w:val="sr-Cyrl-CS"/>
        </w:rPr>
        <w:t>е</w:t>
      </w:r>
      <w:r w:rsidR="001A02FC">
        <w:rPr>
          <w:rFonts w:ascii="Times New Roman" w:hAnsi="Times New Roman"/>
          <w:sz w:val="24"/>
          <w:szCs w:val="24"/>
          <w:lang w:val="sr-Cyrl-CS"/>
        </w:rPr>
        <w:t xml:space="preserve"> закона </w:t>
      </w:r>
      <w:r>
        <w:rPr>
          <w:rFonts w:ascii="Times New Roman" w:hAnsi="Times New Roman"/>
          <w:sz w:val="24"/>
          <w:szCs w:val="24"/>
          <w:lang w:val="sr-Cyrl-CS"/>
        </w:rPr>
        <w:t xml:space="preserve">у </w:t>
      </w:r>
      <w:r w:rsidR="001A02FC">
        <w:rPr>
          <w:rFonts w:ascii="Times New Roman" w:hAnsi="Times New Roman"/>
          <w:sz w:val="24"/>
          <w:szCs w:val="24"/>
          <w:lang w:val="sr-Cyrl-CS"/>
        </w:rPr>
        <w:t>виду</w:t>
      </w:r>
      <w:r>
        <w:rPr>
          <w:rFonts w:ascii="Times New Roman" w:hAnsi="Times New Roman"/>
          <w:sz w:val="24"/>
          <w:szCs w:val="24"/>
          <w:lang w:val="sr-Cyrl-CS"/>
        </w:rPr>
        <w:t xml:space="preserve"> </w:t>
      </w:r>
      <w:r w:rsidR="001A02FC">
        <w:rPr>
          <w:rFonts w:ascii="Times New Roman" w:hAnsi="Times New Roman"/>
          <w:sz w:val="24"/>
          <w:szCs w:val="24"/>
          <w:lang w:val="sr-Cyrl-CS"/>
        </w:rPr>
        <w:t xml:space="preserve">различитог </w:t>
      </w:r>
      <w:r>
        <w:rPr>
          <w:rFonts w:ascii="Times New Roman" w:hAnsi="Times New Roman"/>
          <w:sz w:val="24"/>
          <w:szCs w:val="24"/>
          <w:lang w:val="sr-Cyrl-CS"/>
        </w:rPr>
        <w:t>пореског третмана проме</w:t>
      </w:r>
      <w:r w:rsidR="001A02FC">
        <w:rPr>
          <w:rFonts w:ascii="Times New Roman" w:hAnsi="Times New Roman"/>
          <w:sz w:val="24"/>
          <w:szCs w:val="24"/>
          <w:lang w:val="sr-Cyrl-CS"/>
        </w:rPr>
        <w:t>та удела у капиталу правних лица</w:t>
      </w:r>
      <w:r>
        <w:rPr>
          <w:rFonts w:ascii="Times New Roman" w:hAnsi="Times New Roman"/>
          <w:sz w:val="24"/>
          <w:szCs w:val="24"/>
          <w:lang w:val="sr-Cyrl-CS"/>
        </w:rPr>
        <w:t>.</w:t>
      </w:r>
      <w:r w:rsidR="00D92F03" w:rsidRPr="00D92F03">
        <w:rPr>
          <w:rFonts w:ascii="Times New Roman" w:hAnsi="Times New Roman"/>
          <w:sz w:val="24"/>
          <w:szCs w:val="24"/>
          <w:lang w:val="sr-Cyrl-CS"/>
        </w:rPr>
        <w:t xml:space="preserve"> </w:t>
      </w:r>
      <w:r w:rsidR="00D92F03">
        <w:rPr>
          <w:rFonts w:ascii="Times New Roman" w:hAnsi="Times New Roman"/>
          <w:sz w:val="24"/>
          <w:szCs w:val="24"/>
          <w:lang w:val="sr-Cyrl-CS"/>
        </w:rPr>
        <w:t>Наиме, п</w:t>
      </w:r>
      <w:r w:rsidR="00D92F03" w:rsidRPr="00D92F03">
        <w:rPr>
          <w:rFonts w:ascii="Times New Roman" w:hAnsi="Times New Roman"/>
          <w:sz w:val="24"/>
          <w:szCs w:val="24"/>
          <w:lang w:val="sr-Cyrl-CS"/>
        </w:rPr>
        <w:t>рема одредби чл. 27 Закона о порезу на добит правних лица</w:t>
      </w:r>
      <w:r w:rsidR="00D92F03">
        <w:rPr>
          <w:rStyle w:val="FootnoteReference"/>
          <w:rFonts w:ascii="Times New Roman" w:hAnsi="Times New Roman"/>
          <w:sz w:val="24"/>
          <w:szCs w:val="24"/>
          <w:lang w:val="sr-Cyrl-CS"/>
        </w:rPr>
        <w:footnoteReference w:id="312"/>
      </w:r>
      <w:r w:rsidR="00D92F03" w:rsidRPr="00D92F03">
        <w:rPr>
          <w:rFonts w:ascii="Times New Roman" w:hAnsi="Times New Roman"/>
          <w:sz w:val="24"/>
          <w:szCs w:val="24"/>
          <w:lang w:val="sr-Cyrl-CS"/>
        </w:rPr>
        <w:t xml:space="preserve"> капиталним добитком сматра се приход који обвезник оствари продајом, односно друг</w:t>
      </w:r>
      <w:r w:rsidR="00231DD9">
        <w:rPr>
          <w:rFonts w:ascii="Times New Roman" w:hAnsi="Times New Roman"/>
          <w:sz w:val="24"/>
          <w:szCs w:val="24"/>
          <w:lang w:val="sr-Cyrl-CS"/>
        </w:rPr>
        <w:t>им преносом уз накнаду имовине,</w:t>
      </w:r>
      <w:r w:rsidR="00D92F03" w:rsidRPr="00D92F03">
        <w:rPr>
          <w:rFonts w:ascii="Times New Roman" w:hAnsi="Times New Roman"/>
          <w:sz w:val="24"/>
          <w:szCs w:val="24"/>
          <w:lang w:val="sr-Cyrl-CS"/>
        </w:rPr>
        <w:t xml:space="preserve"> између осталог</w:t>
      </w:r>
      <w:r w:rsidR="00231DD9">
        <w:rPr>
          <w:rFonts w:ascii="Times New Roman" w:hAnsi="Times New Roman"/>
          <w:sz w:val="24"/>
          <w:szCs w:val="24"/>
          <w:lang w:val="sr-Cyrl-CS"/>
        </w:rPr>
        <w:t>,</w:t>
      </w:r>
      <w:r w:rsidR="00D92F03" w:rsidRPr="00D92F03">
        <w:rPr>
          <w:rFonts w:ascii="Times New Roman" w:hAnsi="Times New Roman"/>
          <w:sz w:val="24"/>
          <w:szCs w:val="24"/>
          <w:lang w:val="sr-Cyrl-CS"/>
        </w:rPr>
        <w:t xml:space="preserve"> и удела у капиталу правних лица. Капитални добитак представља разлику између продајне цене имовине и </w:t>
      </w:r>
      <w:r w:rsidR="00D92F03" w:rsidRPr="00D92F03">
        <w:rPr>
          <w:rFonts w:ascii="Times New Roman" w:hAnsi="Times New Roman"/>
          <w:sz w:val="24"/>
          <w:szCs w:val="24"/>
          <w:lang w:val="sr-Cyrl-CS"/>
        </w:rPr>
        <w:lastRenderedPageBreak/>
        <w:t>њене набавне цене утврђене према одредбама овог закона</w:t>
      </w:r>
      <w:r w:rsidR="00231DD9">
        <w:rPr>
          <w:rFonts w:ascii="Times New Roman" w:hAnsi="Times New Roman"/>
          <w:sz w:val="24"/>
          <w:szCs w:val="24"/>
          <w:lang w:val="sr-Cyrl-CS"/>
        </w:rPr>
        <w:t>.</w:t>
      </w:r>
      <w:r w:rsidR="00231DD9">
        <w:rPr>
          <w:rStyle w:val="FootnoteReference"/>
          <w:rFonts w:ascii="Times New Roman" w:hAnsi="Times New Roman"/>
          <w:sz w:val="24"/>
          <w:szCs w:val="24"/>
          <w:lang w:val="sr-Cyrl-CS"/>
        </w:rPr>
        <w:footnoteReference w:id="313"/>
      </w:r>
      <w:r w:rsidR="00D92F03" w:rsidRPr="00D92F03">
        <w:rPr>
          <w:rFonts w:ascii="Times New Roman" w:hAnsi="Times New Roman"/>
          <w:sz w:val="24"/>
          <w:szCs w:val="24"/>
          <w:lang w:val="sr-Cyrl-CS"/>
        </w:rPr>
        <w:t xml:space="preserve"> </w:t>
      </w:r>
      <w:r w:rsidR="00AD2F39">
        <w:rPr>
          <w:rFonts w:ascii="Times New Roman" w:hAnsi="Times New Roman"/>
          <w:sz w:val="24"/>
          <w:szCs w:val="24"/>
          <w:lang w:val="sr-Cyrl-CS"/>
        </w:rPr>
        <w:t>Према чл. 40. Закона о порезу на добит правних лица</w:t>
      </w:r>
      <w:r w:rsidR="00AD2F39">
        <w:rPr>
          <w:rStyle w:val="FootnoteReference"/>
          <w:rFonts w:ascii="Times New Roman" w:hAnsi="Times New Roman"/>
          <w:sz w:val="24"/>
          <w:szCs w:val="24"/>
          <w:lang w:val="sr-Cyrl-CS"/>
        </w:rPr>
        <w:footnoteReference w:id="314"/>
      </w:r>
      <w:r w:rsidR="00AD2F39">
        <w:rPr>
          <w:rFonts w:ascii="Times New Roman" w:hAnsi="Times New Roman"/>
          <w:sz w:val="24"/>
          <w:szCs w:val="24"/>
          <w:lang w:val="sr-Cyrl-CS"/>
        </w:rPr>
        <w:t xml:space="preserve"> прописано је да се на приходе које оствари нерезидентни обвезник од резидентног обвезника по основу капиталних добитака обрачунава и плаћа порез по одбитку по стопи од 20% ако међународним уговором о избегавању двоструког опорезивња није другачије уређено.</w:t>
      </w:r>
    </w:p>
    <w:p w:rsidR="00CE3F81" w:rsidRDefault="00CE3F81" w:rsidP="00CE3F81">
      <w:pPr>
        <w:pStyle w:val="FootnoteText"/>
        <w:ind w:firstLine="708"/>
        <w:jc w:val="both"/>
        <w:rPr>
          <w:rFonts w:ascii="Times New Roman" w:hAnsi="Times New Roman"/>
          <w:sz w:val="24"/>
          <w:szCs w:val="24"/>
          <w:lang w:val="sr-Cyrl-CS"/>
        </w:rPr>
      </w:pPr>
    </w:p>
    <w:p w:rsidR="00C60DA4" w:rsidRDefault="00CE3F81" w:rsidP="00797E29">
      <w:pPr>
        <w:ind w:firstLine="708"/>
        <w:jc w:val="both"/>
        <w:rPr>
          <w:rFonts w:ascii="Times New Roman" w:hAnsi="Times New Roman"/>
          <w:sz w:val="24"/>
          <w:szCs w:val="24"/>
          <w:lang w:val="sr-Cyrl-CS"/>
        </w:rPr>
      </w:pPr>
      <w:r>
        <w:rPr>
          <w:rFonts w:ascii="Times New Roman" w:hAnsi="Times New Roman"/>
          <w:sz w:val="24"/>
          <w:szCs w:val="24"/>
          <w:lang w:val="sr-Cyrl-CS"/>
        </w:rPr>
        <w:t>К</w:t>
      </w:r>
      <w:r w:rsidR="00DB6354">
        <w:rPr>
          <w:rFonts w:ascii="Times New Roman" w:hAnsi="Times New Roman"/>
          <w:sz w:val="24"/>
          <w:szCs w:val="24"/>
          <w:lang w:val="sr-Cyrl-CS"/>
        </w:rPr>
        <w:t>ада</w:t>
      </w:r>
      <w:r w:rsidR="00F639FD">
        <w:rPr>
          <w:rFonts w:ascii="Times New Roman" w:hAnsi="Times New Roman"/>
          <w:sz w:val="24"/>
          <w:szCs w:val="24"/>
          <w:lang w:val="sr-Cyrl-CS"/>
        </w:rPr>
        <w:t xml:space="preserve"> обвезник уноси </w:t>
      </w:r>
      <w:r w:rsidR="00DB6354">
        <w:rPr>
          <w:rFonts w:ascii="Times New Roman" w:hAnsi="Times New Roman"/>
          <w:sz w:val="24"/>
          <w:szCs w:val="24"/>
          <w:lang w:val="sr-Cyrl-CS"/>
        </w:rPr>
        <w:t>непокретност</w:t>
      </w:r>
      <w:r w:rsidR="009D07C3">
        <w:rPr>
          <w:rFonts w:ascii="Times New Roman" w:hAnsi="Times New Roman"/>
          <w:sz w:val="24"/>
          <w:szCs w:val="24"/>
          <w:lang w:val="sr-Cyrl-CS"/>
        </w:rPr>
        <w:t xml:space="preserve"> </w:t>
      </w:r>
      <w:r w:rsidR="00F639FD">
        <w:rPr>
          <w:rFonts w:ascii="Times New Roman" w:hAnsi="Times New Roman"/>
          <w:sz w:val="24"/>
          <w:szCs w:val="24"/>
          <w:lang w:val="sr-Cyrl-CS"/>
        </w:rPr>
        <w:t xml:space="preserve">као неновчани улог </w:t>
      </w:r>
      <w:r w:rsidR="00DB6354">
        <w:rPr>
          <w:rFonts w:ascii="Times New Roman" w:hAnsi="Times New Roman"/>
          <w:sz w:val="24"/>
          <w:szCs w:val="24"/>
          <w:lang w:val="sr-Cyrl-CS"/>
        </w:rPr>
        <w:t xml:space="preserve">у своје зависно правно лице и по том основу </w:t>
      </w:r>
      <w:r w:rsidR="00732DC8">
        <w:rPr>
          <w:rFonts w:ascii="Times New Roman" w:hAnsi="Times New Roman"/>
          <w:sz w:val="24"/>
          <w:szCs w:val="24"/>
          <w:lang w:val="sr-Cyrl-CS"/>
        </w:rPr>
        <w:t xml:space="preserve">(сразмерно вредности унете непокретности) </w:t>
      </w:r>
      <w:r w:rsidR="00DB6354">
        <w:rPr>
          <w:rFonts w:ascii="Times New Roman" w:hAnsi="Times New Roman"/>
          <w:sz w:val="24"/>
          <w:szCs w:val="24"/>
          <w:lang w:val="sr-Cyrl-CS"/>
        </w:rPr>
        <w:t>повећава</w:t>
      </w:r>
      <w:r w:rsidR="00732DC8">
        <w:rPr>
          <w:rFonts w:ascii="Times New Roman" w:hAnsi="Times New Roman"/>
          <w:sz w:val="24"/>
          <w:szCs w:val="24"/>
          <w:lang w:val="sr-Cyrl-CS"/>
        </w:rPr>
        <w:t xml:space="preserve"> удео у капиталу (зависног) друштва у том случају се ради о преносу имовине уз накнаду</w:t>
      </w:r>
      <w:r w:rsidR="00052AA4">
        <w:rPr>
          <w:rFonts w:ascii="Times New Roman" w:hAnsi="Times New Roman"/>
          <w:sz w:val="24"/>
          <w:szCs w:val="24"/>
          <w:lang w:val="sr-Cyrl-CS"/>
        </w:rPr>
        <w:t>.</w:t>
      </w:r>
      <w:r w:rsidR="00732DC8">
        <w:rPr>
          <w:rFonts w:ascii="Times New Roman" w:hAnsi="Times New Roman"/>
          <w:sz w:val="24"/>
          <w:szCs w:val="24"/>
          <w:lang w:val="sr-Cyrl-CS"/>
        </w:rPr>
        <w:t xml:space="preserve"> </w:t>
      </w:r>
      <w:r w:rsidR="00787BBB">
        <w:rPr>
          <w:rFonts w:ascii="Times New Roman" w:hAnsi="Times New Roman"/>
          <w:sz w:val="24"/>
          <w:szCs w:val="24"/>
          <w:lang w:val="sr-Cyrl-CS"/>
        </w:rPr>
        <w:t xml:space="preserve">У вези са тим, позитивна разлика између вредности по којој је предметна непокретност унета у зависно привредно друштво и њене набавне вредности, представља капитални добитак који се укључује у опорезиву добит </w:t>
      </w:r>
      <w:r w:rsidR="002F373F">
        <w:rPr>
          <w:rFonts w:ascii="Times New Roman" w:hAnsi="Times New Roman"/>
          <w:sz w:val="24"/>
          <w:szCs w:val="24"/>
          <w:lang w:val="sr-Cyrl-CS"/>
        </w:rPr>
        <w:t>обвезника приликом израде год</w:t>
      </w:r>
      <w:r>
        <w:rPr>
          <w:rFonts w:ascii="Times New Roman" w:hAnsi="Times New Roman"/>
          <w:sz w:val="24"/>
          <w:szCs w:val="24"/>
          <w:lang w:val="sr-Cyrl-CS"/>
        </w:rPr>
        <w:t xml:space="preserve">ишњег пореског биланса. </w:t>
      </w:r>
      <w:r w:rsidR="00903D0C">
        <w:rPr>
          <w:rFonts w:ascii="Times New Roman" w:hAnsi="Times New Roman"/>
          <w:sz w:val="24"/>
          <w:szCs w:val="24"/>
          <w:lang w:val="sr-Cyrl-CS"/>
        </w:rPr>
        <w:t xml:space="preserve">Такође, у </w:t>
      </w:r>
      <w:r w:rsidR="002F373F">
        <w:rPr>
          <w:rFonts w:ascii="Times New Roman" w:hAnsi="Times New Roman"/>
          <w:sz w:val="24"/>
          <w:szCs w:val="24"/>
          <w:lang w:val="sr-Cyrl-CS"/>
        </w:rPr>
        <w:t xml:space="preserve">случају када обвезник продајом удела у капиталу (зависног) привредног друштва оствари капитални добитак, као разлику између продајне цене удела и њене набавне цене, при чему набавну цену удела чини тржишна цена на дан уноса улога (основни капитал и повећање основног капитала), тако остварени капитални добитак </w:t>
      </w:r>
      <w:r w:rsidR="00504802">
        <w:rPr>
          <w:rFonts w:ascii="Times New Roman" w:hAnsi="Times New Roman"/>
          <w:sz w:val="24"/>
          <w:szCs w:val="24"/>
          <w:lang w:val="sr-Cyrl-CS"/>
        </w:rPr>
        <w:t>се опорезује</w:t>
      </w:r>
      <w:r w:rsidR="002F373F">
        <w:rPr>
          <w:rFonts w:ascii="Times New Roman" w:hAnsi="Times New Roman"/>
          <w:sz w:val="24"/>
          <w:szCs w:val="24"/>
          <w:lang w:val="sr-Cyrl-CS"/>
        </w:rPr>
        <w:t>.</w:t>
      </w:r>
      <w:r w:rsidRPr="00CE3F81">
        <w:rPr>
          <w:rStyle w:val="FootnoteReference"/>
          <w:rFonts w:ascii="Times New Roman" w:hAnsi="Times New Roman"/>
          <w:sz w:val="24"/>
          <w:szCs w:val="24"/>
          <w:lang w:val="sr-Cyrl-CS"/>
        </w:rPr>
        <w:t xml:space="preserve"> </w:t>
      </w:r>
      <w:r>
        <w:rPr>
          <w:rStyle w:val="FootnoteReference"/>
          <w:rFonts w:ascii="Times New Roman" w:hAnsi="Times New Roman"/>
          <w:sz w:val="24"/>
          <w:szCs w:val="24"/>
          <w:lang w:val="sr-Cyrl-CS"/>
        </w:rPr>
        <w:footnoteReference w:id="315"/>
      </w:r>
    </w:p>
    <w:p w:rsidR="009D0BE4" w:rsidRDefault="00CE3F81" w:rsidP="00797E29">
      <w:pPr>
        <w:ind w:firstLine="708"/>
        <w:jc w:val="both"/>
        <w:rPr>
          <w:lang w:val="sr-Cyrl-CS"/>
        </w:rPr>
      </w:pPr>
      <w:r>
        <w:rPr>
          <w:rFonts w:ascii="Times New Roman" w:hAnsi="Times New Roman"/>
          <w:sz w:val="24"/>
          <w:szCs w:val="24"/>
          <w:lang w:val="sr-Cyrl-CS"/>
        </w:rPr>
        <w:t>Међутим, п</w:t>
      </w:r>
      <w:r w:rsidR="009D0BE4">
        <w:rPr>
          <w:rFonts w:ascii="Times New Roman" w:hAnsi="Times New Roman"/>
          <w:sz w:val="24"/>
          <w:szCs w:val="24"/>
          <w:lang w:val="sr-Cyrl-CS"/>
        </w:rPr>
        <w:t xml:space="preserve">рема једном становишту у случају када правно лице пренесе имовину у замену </w:t>
      </w:r>
      <w:r w:rsidR="004A6C07">
        <w:rPr>
          <w:rFonts w:ascii="Times New Roman" w:hAnsi="Times New Roman"/>
          <w:sz w:val="24"/>
          <w:szCs w:val="24"/>
          <w:lang w:val="sr-Cyrl-CS"/>
        </w:rPr>
        <w:t xml:space="preserve">искључиво </w:t>
      </w:r>
      <w:r w:rsidR="009D0BE4">
        <w:rPr>
          <w:rFonts w:ascii="Times New Roman" w:hAnsi="Times New Roman"/>
          <w:sz w:val="24"/>
          <w:szCs w:val="24"/>
          <w:lang w:val="sr-Cyrl-CS"/>
        </w:rPr>
        <w:t xml:space="preserve">за акције (или власнички удео) другог правног лица </w:t>
      </w:r>
      <w:r w:rsidR="004A6C07">
        <w:rPr>
          <w:rFonts w:ascii="Times New Roman" w:hAnsi="Times New Roman"/>
          <w:sz w:val="24"/>
          <w:szCs w:val="24"/>
          <w:lang w:val="sr-Cyrl-CS"/>
        </w:rPr>
        <w:t>такав пренос се не сматра преносом уз накнаду</w:t>
      </w:r>
      <w:r w:rsidR="00980948">
        <w:rPr>
          <w:rFonts w:ascii="Times New Roman" w:hAnsi="Times New Roman"/>
          <w:sz w:val="24"/>
          <w:szCs w:val="24"/>
          <w:lang w:val="sr-Cyrl-CS"/>
        </w:rPr>
        <w:t xml:space="preserve">. </w:t>
      </w:r>
      <w:r w:rsidR="004A6C07">
        <w:rPr>
          <w:rFonts w:ascii="Times New Roman" w:hAnsi="Times New Roman"/>
          <w:sz w:val="24"/>
          <w:szCs w:val="24"/>
          <w:lang w:val="sr-Cyrl-CS"/>
        </w:rPr>
        <w:t xml:space="preserve"> </w:t>
      </w:r>
      <w:r>
        <w:rPr>
          <w:rFonts w:ascii="Times New Roman" w:hAnsi="Times New Roman"/>
          <w:sz w:val="24"/>
          <w:szCs w:val="24"/>
          <w:lang w:val="sr-Cyrl-CS"/>
        </w:rPr>
        <w:t>Али</w:t>
      </w:r>
      <w:r w:rsidR="004A6C07">
        <w:rPr>
          <w:rFonts w:ascii="Times New Roman" w:hAnsi="Times New Roman"/>
          <w:sz w:val="24"/>
          <w:szCs w:val="24"/>
          <w:lang w:val="sr-Cyrl-CS"/>
        </w:rPr>
        <w:t xml:space="preserve"> у случају када правно лице пренесе имовину у замену за акције (или власнички удео) другог правног лица </w:t>
      </w:r>
      <w:r w:rsidR="009D0BE4">
        <w:rPr>
          <w:rFonts w:ascii="Times New Roman" w:hAnsi="Times New Roman"/>
          <w:sz w:val="24"/>
          <w:szCs w:val="24"/>
          <w:lang w:val="sr-Cyrl-CS"/>
        </w:rPr>
        <w:t xml:space="preserve">и то друго правно лице </w:t>
      </w:r>
      <w:r w:rsidR="009D0BE4">
        <w:rPr>
          <w:rFonts w:ascii="Times New Roman" w:hAnsi="Times New Roman"/>
          <w:sz w:val="24"/>
          <w:szCs w:val="24"/>
        </w:rPr>
        <w:t>de facto</w:t>
      </w:r>
      <w:r w:rsidR="009D0BE4">
        <w:rPr>
          <w:rFonts w:ascii="Times New Roman" w:hAnsi="Times New Roman"/>
          <w:sz w:val="24"/>
          <w:szCs w:val="24"/>
          <w:lang w:val="sr-Cyrl-CS"/>
        </w:rPr>
        <w:t xml:space="preserve"> преузме део дуга преносиоца имовине, пренос имовине се сматра преносом уз накнаду. </w:t>
      </w:r>
      <w:r w:rsidR="00EA7FC2">
        <w:rPr>
          <w:rFonts w:ascii="Times New Roman" w:hAnsi="Times New Roman"/>
          <w:sz w:val="24"/>
          <w:szCs w:val="24"/>
          <w:lang w:val="sr-Cyrl-CS"/>
        </w:rPr>
        <w:t>Наиме, а</w:t>
      </w:r>
      <w:r w:rsidR="009D0BE4">
        <w:rPr>
          <w:rFonts w:ascii="Times New Roman" w:hAnsi="Times New Roman"/>
          <w:sz w:val="24"/>
          <w:szCs w:val="24"/>
          <w:lang w:val="sr-Cyrl-CS"/>
        </w:rPr>
        <w:t xml:space="preserve">ко једно правно или физичко лице (преносилац) пренесе имовину на друго правно лице у замену за акције (или власнички удео) тог другог правног лица (новоосновано предузеће), а истовремено преносилац имовине је и дужник трећег правног лица (поверилац) коме новоосновано предузеће издаје акције </w:t>
      </w:r>
      <w:r w:rsidR="00EA7FC2">
        <w:rPr>
          <w:rFonts w:ascii="Times New Roman" w:hAnsi="Times New Roman"/>
          <w:sz w:val="24"/>
          <w:szCs w:val="24"/>
          <w:lang w:val="sr-Cyrl-CS"/>
        </w:rPr>
        <w:t xml:space="preserve">(или власнички удео), и ако се, по преносу имовине и издавању акција (или власничког удела), дужничко поверилачки однос између преносиоца имовине и повериоца измири, сматра се да је новооновано предузеће преузело обавезу преносиоца-дужника тако што је издало своје акције повериоцу у замену за измирење дуга. Сходно томе, новоосновано предузеће је преузело обавезу преносиоца-дужника тако што је издало своје акције повериоцу у замену за измирење дуга, </w:t>
      </w:r>
      <w:r w:rsidR="006522EC">
        <w:rPr>
          <w:rFonts w:ascii="Times New Roman" w:hAnsi="Times New Roman"/>
          <w:sz w:val="24"/>
          <w:szCs w:val="24"/>
          <w:lang w:val="sr-Cyrl-CS"/>
        </w:rPr>
        <w:t xml:space="preserve">па се пренос имовине </w:t>
      </w:r>
      <w:r w:rsidR="00EA7FC2">
        <w:rPr>
          <w:rFonts w:ascii="Times New Roman" w:hAnsi="Times New Roman"/>
          <w:sz w:val="24"/>
          <w:szCs w:val="24"/>
          <w:lang w:val="sr-Cyrl-CS"/>
        </w:rPr>
        <w:t>сматра преносом уз накнаду, а капитални добитак представља износ у ком је вредност преузетог дуга већа од наб</w:t>
      </w:r>
      <w:r w:rsidR="00234259">
        <w:rPr>
          <w:rFonts w:ascii="Times New Roman" w:hAnsi="Times New Roman"/>
          <w:sz w:val="24"/>
          <w:szCs w:val="24"/>
          <w:lang w:val="sr-Cyrl-CS"/>
        </w:rPr>
        <w:t>а</w:t>
      </w:r>
      <w:r w:rsidR="00EA7FC2">
        <w:rPr>
          <w:rFonts w:ascii="Times New Roman" w:hAnsi="Times New Roman"/>
          <w:sz w:val="24"/>
          <w:szCs w:val="24"/>
          <w:lang w:val="sr-Cyrl-CS"/>
        </w:rPr>
        <w:t>вне цене имовине. Начелно, набавн</w:t>
      </w:r>
      <w:r w:rsidR="00234259">
        <w:rPr>
          <w:rFonts w:ascii="Times New Roman" w:hAnsi="Times New Roman"/>
          <w:sz w:val="24"/>
          <w:szCs w:val="24"/>
          <w:lang w:val="sr-Cyrl-CS"/>
        </w:rPr>
        <w:t>а</w:t>
      </w:r>
      <w:r w:rsidR="00EA7FC2">
        <w:rPr>
          <w:rFonts w:ascii="Times New Roman" w:hAnsi="Times New Roman"/>
          <w:sz w:val="24"/>
          <w:szCs w:val="24"/>
          <w:lang w:val="sr-Cyrl-CS"/>
        </w:rPr>
        <w:t xml:space="preserve"> цена имовине једнака је књиговодственој вредности имовине</w:t>
      </w:r>
      <w:r w:rsidR="004A6C07">
        <w:rPr>
          <w:rFonts w:ascii="Times New Roman" w:hAnsi="Times New Roman"/>
          <w:sz w:val="24"/>
          <w:szCs w:val="24"/>
          <w:lang w:val="sr-Cyrl-CS"/>
        </w:rPr>
        <w:t xml:space="preserve">, па је капитални добитак износ у </w:t>
      </w:r>
      <w:r w:rsidR="00234259">
        <w:rPr>
          <w:rFonts w:ascii="Times New Roman" w:hAnsi="Times New Roman"/>
          <w:sz w:val="24"/>
          <w:szCs w:val="24"/>
          <w:lang w:val="sr-Cyrl-CS"/>
        </w:rPr>
        <w:t xml:space="preserve">ком </w:t>
      </w:r>
      <w:r w:rsidR="004A6C07">
        <w:rPr>
          <w:rFonts w:ascii="Times New Roman" w:hAnsi="Times New Roman"/>
          <w:sz w:val="24"/>
          <w:szCs w:val="24"/>
          <w:lang w:val="sr-Cyrl-CS"/>
        </w:rPr>
        <w:t>је вредност преузетог д</w:t>
      </w:r>
      <w:r w:rsidR="00234259">
        <w:rPr>
          <w:rFonts w:ascii="Times New Roman" w:hAnsi="Times New Roman"/>
          <w:sz w:val="24"/>
          <w:szCs w:val="24"/>
          <w:lang w:val="sr-Cyrl-CS"/>
        </w:rPr>
        <w:t>у</w:t>
      </w:r>
      <w:r w:rsidR="004A6C07">
        <w:rPr>
          <w:rFonts w:ascii="Times New Roman" w:hAnsi="Times New Roman"/>
          <w:sz w:val="24"/>
          <w:szCs w:val="24"/>
          <w:lang w:val="sr-Cyrl-CS"/>
        </w:rPr>
        <w:t>га већа од књиговодствене вредности пренете имовине.</w:t>
      </w:r>
      <w:r w:rsidR="00234259" w:rsidRPr="00234259">
        <w:rPr>
          <w:rStyle w:val="FootnoteReference"/>
          <w:rFonts w:ascii="Times New Roman" w:hAnsi="Times New Roman"/>
          <w:sz w:val="24"/>
          <w:szCs w:val="24"/>
          <w:lang w:val="sr-Cyrl-CS"/>
        </w:rPr>
        <w:t xml:space="preserve"> </w:t>
      </w:r>
      <w:r w:rsidR="00234259">
        <w:rPr>
          <w:rStyle w:val="FootnoteReference"/>
          <w:rFonts w:ascii="Times New Roman" w:hAnsi="Times New Roman"/>
          <w:sz w:val="24"/>
          <w:szCs w:val="24"/>
          <w:lang w:val="sr-Cyrl-CS"/>
        </w:rPr>
        <w:footnoteReference w:id="316"/>
      </w:r>
      <w:r w:rsidR="00234259">
        <w:rPr>
          <w:lang w:val="sr-Cyrl-CS"/>
        </w:rPr>
        <w:t xml:space="preserve"> </w:t>
      </w:r>
    </w:p>
    <w:p w:rsidR="00343087" w:rsidRDefault="002471FE" w:rsidP="00AD3B8D">
      <w:pPr>
        <w:ind w:firstLine="708"/>
        <w:jc w:val="both"/>
        <w:rPr>
          <w:rFonts w:ascii="Times New Roman" w:hAnsi="Times New Roman"/>
          <w:sz w:val="24"/>
          <w:szCs w:val="24"/>
          <w:lang w:val="sr-Cyrl-CS"/>
        </w:rPr>
      </w:pPr>
      <w:r>
        <w:rPr>
          <w:rFonts w:ascii="Times New Roman" w:hAnsi="Times New Roman"/>
          <w:sz w:val="24"/>
          <w:szCs w:val="24"/>
          <w:lang w:val="sr-Cyrl-CS"/>
        </w:rPr>
        <w:t>Према другом становишту</w:t>
      </w:r>
      <w:r w:rsidR="00935B50">
        <w:rPr>
          <w:rFonts w:ascii="Times New Roman" w:hAnsi="Times New Roman"/>
          <w:sz w:val="24"/>
          <w:szCs w:val="24"/>
          <w:lang w:val="sr-Cyrl-CS"/>
        </w:rPr>
        <w:t xml:space="preserve"> које се може срести у пракси</w:t>
      </w:r>
      <w:r w:rsidR="000D40DF">
        <w:rPr>
          <w:rFonts w:ascii="Times New Roman" w:hAnsi="Times New Roman"/>
          <w:sz w:val="24"/>
          <w:szCs w:val="24"/>
          <w:lang w:val="sr-Cyrl-CS"/>
        </w:rPr>
        <w:t xml:space="preserve">, у случају када правно лице пренесе имовину у замену за акције (или власнички удео) другог правног лица </w:t>
      </w:r>
      <w:r w:rsidR="000D40DF">
        <w:rPr>
          <w:rFonts w:ascii="Times New Roman" w:hAnsi="Times New Roman"/>
          <w:sz w:val="24"/>
          <w:szCs w:val="24"/>
          <w:lang w:val="sr-Cyrl-CS"/>
        </w:rPr>
        <w:lastRenderedPageBreak/>
        <w:t xml:space="preserve">такав пренос се  </w:t>
      </w:r>
      <w:r w:rsidR="00F140D5">
        <w:rPr>
          <w:rFonts w:ascii="Times New Roman" w:hAnsi="Times New Roman"/>
          <w:sz w:val="24"/>
          <w:szCs w:val="24"/>
          <w:lang w:val="sr-Cyrl-CS"/>
        </w:rPr>
        <w:t xml:space="preserve">може </w:t>
      </w:r>
      <w:r w:rsidR="000D40DF">
        <w:rPr>
          <w:rFonts w:ascii="Times New Roman" w:hAnsi="Times New Roman"/>
          <w:sz w:val="24"/>
          <w:szCs w:val="24"/>
          <w:lang w:val="sr-Cyrl-CS"/>
        </w:rPr>
        <w:t>сматр</w:t>
      </w:r>
      <w:r w:rsidR="00F140D5">
        <w:rPr>
          <w:rFonts w:ascii="Times New Roman" w:hAnsi="Times New Roman"/>
          <w:sz w:val="24"/>
          <w:szCs w:val="24"/>
          <w:lang w:val="sr-Cyrl-CS"/>
        </w:rPr>
        <w:t>ати</w:t>
      </w:r>
      <w:r w:rsidR="000D40DF">
        <w:rPr>
          <w:rFonts w:ascii="Times New Roman" w:hAnsi="Times New Roman"/>
          <w:sz w:val="24"/>
          <w:szCs w:val="24"/>
          <w:lang w:val="sr-Cyrl-CS"/>
        </w:rPr>
        <w:t xml:space="preserve"> преносом уз накнаду и постоји обавеза да се обрачуна и уплати порез по одбитку</w:t>
      </w:r>
      <w:r w:rsidR="00B520BA">
        <w:rPr>
          <w:rFonts w:ascii="Times New Roman" w:hAnsi="Times New Roman"/>
          <w:sz w:val="24"/>
          <w:szCs w:val="24"/>
          <w:lang w:val="sr-Cyrl-CS"/>
        </w:rPr>
        <w:t>. Овакво становиште сматрамо прихватљивијим јер</w:t>
      </w:r>
      <w:r w:rsidR="00A11D8B">
        <w:rPr>
          <w:rFonts w:ascii="Times New Roman" w:hAnsi="Times New Roman"/>
          <w:sz w:val="24"/>
          <w:szCs w:val="24"/>
          <w:lang w:val="sr-Cyrl-CS"/>
        </w:rPr>
        <w:t xml:space="preserve"> конкретне случајеве </w:t>
      </w:r>
      <w:r w:rsidR="00B520BA">
        <w:rPr>
          <w:rFonts w:ascii="Times New Roman" w:hAnsi="Times New Roman"/>
          <w:sz w:val="24"/>
          <w:szCs w:val="24"/>
          <w:lang w:val="sr-Cyrl-CS"/>
        </w:rPr>
        <w:t xml:space="preserve">треба </w:t>
      </w:r>
      <w:r w:rsidR="00A11D8B">
        <w:rPr>
          <w:rFonts w:ascii="Times New Roman" w:hAnsi="Times New Roman"/>
          <w:sz w:val="24"/>
          <w:szCs w:val="24"/>
          <w:lang w:val="sr-Cyrl-CS"/>
        </w:rPr>
        <w:t>тумачити уз примен</w:t>
      </w:r>
      <w:r w:rsidR="00B520BA">
        <w:rPr>
          <w:rFonts w:ascii="Times New Roman" w:hAnsi="Times New Roman"/>
          <w:sz w:val="24"/>
          <w:szCs w:val="24"/>
          <w:lang w:val="sr-Cyrl-CS"/>
        </w:rPr>
        <w:t>у начела фактицитета, односно</w:t>
      </w:r>
      <w:r w:rsidR="00A11D8B">
        <w:rPr>
          <w:rFonts w:ascii="Times New Roman" w:hAnsi="Times New Roman"/>
          <w:sz w:val="24"/>
          <w:szCs w:val="24"/>
          <w:lang w:val="sr-Cyrl-CS"/>
        </w:rPr>
        <w:t xml:space="preserve"> чињенице треба тумачити према њиховој економској суштини. </w:t>
      </w:r>
    </w:p>
    <w:p w:rsidR="00680D9E" w:rsidRDefault="00CD257F" w:rsidP="00680D9E">
      <w:pPr>
        <w:ind w:firstLine="708"/>
        <w:jc w:val="both"/>
        <w:rPr>
          <w:rFonts w:ascii="Times New Roman" w:hAnsi="Times New Roman"/>
          <w:sz w:val="24"/>
          <w:szCs w:val="24"/>
          <w:lang w:val="sr-Cyrl-CS"/>
        </w:rPr>
      </w:pPr>
      <w:r>
        <w:rPr>
          <w:rFonts w:ascii="Times New Roman" w:hAnsi="Times New Roman"/>
          <w:sz w:val="24"/>
          <w:szCs w:val="24"/>
          <w:lang w:val="sr-Cyrl-CS"/>
        </w:rPr>
        <w:t xml:space="preserve">Тако је </w:t>
      </w:r>
      <w:r w:rsidR="006522EC">
        <w:rPr>
          <w:rFonts w:ascii="Times New Roman" w:hAnsi="Times New Roman"/>
          <w:sz w:val="24"/>
          <w:szCs w:val="24"/>
          <w:lang w:val="sr-Cyrl-CS"/>
        </w:rPr>
        <w:t>у једном случају</w:t>
      </w:r>
      <w:r>
        <w:rPr>
          <w:rStyle w:val="FootnoteReference"/>
          <w:rFonts w:ascii="Times New Roman" w:hAnsi="Times New Roman"/>
          <w:sz w:val="24"/>
          <w:szCs w:val="24"/>
          <w:lang w:val="sr-Cyrl-CS"/>
        </w:rPr>
        <w:footnoteReference w:id="317"/>
      </w:r>
      <w:r w:rsidR="006522EC">
        <w:rPr>
          <w:rFonts w:ascii="Times New Roman" w:hAnsi="Times New Roman"/>
          <w:sz w:val="24"/>
          <w:szCs w:val="24"/>
          <w:lang w:val="sr-Cyrl-CS"/>
        </w:rPr>
        <w:t xml:space="preserve"> </w:t>
      </w:r>
      <w:r>
        <w:rPr>
          <w:rFonts w:ascii="Times New Roman" w:hAnsi="Times New Roman"/>
          <w:sz w:val="24"/>
          <w:szCs w:val="24"/>
          <w:lang w:val="sr-Cyrl-CS"/>
        </w:rPr>
        <w:t xml:space="preserve">утврђено да је </w:t>
      </w:r>
      <w:r w:rsidR="001B6521">
        <w:rPr>
          <w:rFonts w:ascii="Times New Roman" w:hAnsi="Times New Roman"/>
          <w:sz w:val="24"/>
          <w:szCs w:val="24"/>
          <w:lang w:val="sr-Cyrl-CS"/>
        </w:rPr>
        <w:t xml:space="preserve">једини </w:t>
      </w:r>
      <w:r w:rsidR="002B0BC0">
        <w:rPr>
          <w:rFonts w:ascii="Times New Roman" w:hAnsi="Times New Roman"/>
          <w:sz w:val="24"/>
          <w:szCs w:val="24"/>
          <w:lang w:val="sr-Cyrl-CS"/>
        </w:rPr>
        <w:t xml:space="preserve">оснивач </w:t>
      </w:r>
      <w:r w:rsidR="00343087">
        <w:rPr>
          <w:rFonts w:ascii="Times New Roman" w:hAnsi="Times New Roman"/>
          <w:sz w:val="24"/>
          <w:szCs w:val="24"/>
          <w:lang w:val="sr-Cyrl-CS"/>
        </w:rPr>
        <w:t>и члан друштва</w:t>
      </w:r>
      <w:r w:rsidR="002B0BC0">
        <w:rPr>
          <w:rFonts w:ascii="Times New Roman" w:hAnsi="Times New Roman"/>
          <w:sz w:val="24"/>
          <w:szCs w:val="24"/>
          <w:lang w:val="sr-Cyrl-CS"/>
        </w:rPr>
        <w:t xml:space="preserve"> „</w:t>
      </w:r>
      <w:r w:rsidR="00935B50">
        <w:rPr>
          <w:rFonts w:ascii="Times New Roman" w:hAnsi="Times New Roman"/>
          <w:sz w:val="24"/>
          <w:szCs w:val="24"/>
          <w:lang w:val="sr-Cyrl-CS"/>
        </w:rPr>
        <w:t>А</w:t>
      </w:r>
      <w:r w:rsidR="002B0BC0">
        <w:rPr>
          <w:rFonts w:ascii="Times New Roman" w:hAnsi="Times New Roman"/>
          <w:sz w:val="24"/>
          <w:szCs w:val="24"/>
          <w:lang w:val="sr-Cyrl-CS"/>
        </w:rPr>
        <w:t>“ д.о.о. из Београда правно лице „</w:t>
      </w:r>
      <w:r w:rsidR="00935B50">
        <w:rPr>
          <w:rFonts w:ascii="Times New Roman" w:hAnsi="Times New Roman"/>
          <w:sz w:val="24"/>
          <w:szCs w:val="24"/>
          <w:lang w:val="sr-Cyrl-CS"/>
        </w:rPr>
        <w:t>Б</w:t>
      </w:r>
      <w:r w:rsidR="002B0BC0">
        <w:rPr>
          <w:rFonts w:ascii="Times New Roman" w:hAnsi="Times New Roman"/>
          <w:sz w:val="24"/>
          <w:szCs w:val="24"/>
          <w:lang w:val="sr-Cyrl-CS"/>
        </w:rPr>
        <w:t xml:space="preserve">“ са Холандских Антила, са уписаним </w:t>
      </w:r>
      <w:r w:rsidR="00323E9B">
        <w:rPr>
          <w:rFonts w:ascii="Times New Roman" w:hAnsi="Times New Roman"/>
          <w:sz w:val="24"/>
          <w:szCs w:val="24"/>
          <w:lang w:val="sr-Cyrl-CS"/>
        </w:rPr>
        <w:t>и уплаћеним новчаним капиталом од 500 евра</w:t>
      </w:r>
      <w:r w:rsidR="00343087">
        <w:rPr>
          <w:rFonts w:ascii="Times New Roman" w:hAnsi="Times New Roman"/>
          <w:sz w:val="24"/>
          <w:szCs w:val="24"/>
          <w:lang w:val="sr-Cyrl-CS"/>
        </w:rPr>
        <w:t>, а што је удео од 100%</w:t>
      </w:r>
      <w:r w:rsidR="00323E9B">
        <w:rPr>
          <w:rFonts w:ascii="Times New Roman" w:hAnsi="Times New Roman"/>
          <w:sz w:val="24"/>
          <w:szCs w:val="24"/>
          <w:lang w:val="sr-Cyrl-CS"/>
        </w:rPr>
        <w:t>.</w:t>
      </w:r>
      <w:r w:rsidR="002B0BC0">
        <w:rPr>
          <w:rFonts w:ascii="Times New Roman" w:hAnsi="Times New Roman"/>
          <w:sz w:val="24"/>
          <w:szCs w:val="24"/>
          <w:lang w:val="sr-Cyrl-CS"/>
        </w:rPr>
        <w:t xml:space="preserve"> </w:t>
      </w:r>
      <w:r w:rsidR="00323E9B">
        <w:rPr>
          <w:rFonts w:ascii="Times New Roman" w:hAnsi="Times New Roman"/>
          <w:sz w:val="24"/>
          <w:szCs w:val="24"/>
          <w:lang w:val="sr-Cyrl-CS"/>
        </w:rPr>
        <w:t>П</w:t>
      </w:r>
      <w:r w:rsidR="002B0BC0">
        <w:rPr>
          <w:rFonts w:ascii="Times New Roman" w:hAnsi="Times New Roman"/>
          <w:sz w:val="24"/>
          <w:szCs w:val="24"/>
          <w:lang w:val="sr-Cyrl-CS"/>
        </w:rPr>
        <w:t>равно лице „</w:t>
      </w:r>
      <w:r w:rsidR="00343087">
        <w:rPr>
          <w:rFonts w:ascii="Times New Roman" w:hAnsi="Times New Roman"/>
          <w:sz w:val="24"/>
          <w:szCs w:val="24"/>
          <w:lang w:val="sr-Cyrl-CS"/>
        </w:rPr>
        <w:t>Б</w:t>
      </w:r>
      <w:r w:rsidR="002B0BC0">
        <w:rPr>
          <w:rFonts w:ascii="Times New Roman" w:hAnsi="Times New Roman"/>
          <w:sz w:val="24"/>
          <w:szCs w:val="24"/>
          <w:lang w:val="sr-Cyrl-CS"/>
        </w:rPr>
        <w:t>“</w:t>
      </w:r>
      <w:r w:rsidR="00F140D5">
        <w:rPr>
          <w:rFonts w:ascii="Times New Roman" w:hAnsi="Times New Roman"/>
          <w:sz w:val="24"/>
          <w:szCs w:val="24"/>
          <w:lang w:val="sr-Cyrl-CS"/>
        </w:rPr>
        <w:t>,</w:t>
      </w:r>
      <w:r>
        <w:rPr>
          <w:rFonts w:ascii="Times New Roman" w:hAnsi="Times New Roman"/>
          <w:sz w:val="24"/>
          <w:szCs w:val="24"/>
          <w:lang w:val="sr-Cyrl-CS"/>
        </w:rPr>
        <w:t xml:space="preserve"> са Холандских Антила </w:t>
      </w:r>
      <w:r w:rsidR="00323E9B">
        <w:rPr>
          <w:rFonts w:ascii="Times New Roman" w:hAnsi="Times New Roman"/>
          <w:sz w:val="24"/>
          <w:szCs w:val="24"/>
          <w:lang w:val="sr-Cyrl-CS"/>
        </w:rPr>
        <w:t xml:space="preserve">је у конкретном случају </w:t>
      </w:r>
      <w:r w:rsidR="00343087">
        <w:rPr>
          <w:rFonts w:ascii="Times New Roman" w:hAnsi="Times New Roman"/>
          <w:sz w:val="24"/>
          <w:szCs w:val="24"/>
          <w:lang w:val="sr-Cyrl-CS"/>
        </w:rPr>
        <w:t>купило</w:t>
      </w:r>
      <w:r>
        <w:rPr>
          <w:rFonts w:ascii="Times New Roman" w:hAnsi="Times New Roman"/>
          <w:sz w:val="24"/>
          <w:szCs w:val="24"/>
          <w:lang w:val="sr-Cyrl-CS"/>
        </w:rPr>
        <w:t xml:space="preserve"> 225.736 ком. акција </w:t>
      </w:r>
      <w:r w:rsidR="00343087">
        <w:rPr>
          <w:rFonts w:ascii="Times New Roman" w:hAnsi="Times New Roman"/>
          <w:sz w:val="24"/>
          <w:szCs w:val="24"/>
          <w:lang w:val="sr-Cyrl-CS"/>
        </w:rPr>
        <w:t xml:space="preserve">од </w:t>
      </w:r>
      <w:r>
        <w:rPr>
          <w:rFonts w:ascii="Times New Roman" w:hAnsi="Times New Roman"/>
          <w:sz w:val="24"/>
          <w:szCs w:val="24"/>
          <w:lang w:val="sr-Cyrl-CS"/>
        </w:rPr>
        <w:t>привредног друштва „</w:t>
      </w:r>
      <w:r w:rsidR="00343087">
        <w:rPr>
          <w:rFonts w:ascii="Times New Roman" w:hAnsi="Times New Roman"/>
          <w:sz w:val="24"/>
          <w:szCs w:val="24"/>
          <w:lang w:val="sr-Cyrl-CS"/>
        </w:rPr>
        <w:t>Ц</w:t>
      </w:r>
      <w:r>
        <w:rPr>
          <w:rFonts w:ascii="Times New Roman" w:hAnsi="Times New Roman"/>
          <w:sz w:val="24"/>
          <w:szCs w:val="24"/>
          <w:lang w:val="sr-Cyrl-CS"/>
        </w:rPr>
        <w:t xml:space="preserve">“ а.д. из Ниша, </w:t>
      </w:r>
      <w:r w:rsidR="00343087">
        <w:rPr>
          <w:rFonts w:ascii="Times New Roman" w:hAnsi="Times New Roman"/>
          <w:sz w:val="24"/>
          <w:szCs w:val="24"/>
          <w:lang w:val="sr-Cyrl-CS"/>
        </w:rPr>
        <w:t>по емисионој цени од 2,801,00 динара по акцији у вредности 632.286.536  динара (набавна вредност), да би након тога унело као неновчани капитал у правно лице „А“ д.о.о.</w:t>
      </w:r>
      <w:r w:rsidR="00680D9E">
        <w:rPr>
          <w:rFonts w:ascii="Times New Roman" w:hAnsi="Times New Roman"/>
          <w:sz w:val="24"/>
          <w:szCs w:val="24"/>
          <w:lang w:val="sr-Cyrl-CS"/>
        </w:rPr>
        <w:t>,</w:t>
      </w:r>
      <w:r w:rsidR="00343087">
        <w:rPr>
          <w:rFonts w:ascii="Times New Roman" w:hAnsi="Times New Roman"/>
          <w:sz w:val="24"/>
          <w:szCs w:val="24"/>
          <w:lang w:val="sr-Cyrl-CS"/>
        </w:rPr>
        <w:t xml:space="preserve"> </w:t>
      </w:r>
      <w:r w:rsidR="00680D9E">
        <w:rPr>
          <w:rFonts w:ascii="Times New Roman" w:hAnsi="Times New Roman"/>
          <w:sz w:val="24"/>
          <w:szCs w:val="24"/>
          <w:lang w:val="sr-Cyrl-CS"/>
        </w:rPr>
        <w:t xml:space="preserve">ради стицања удела у наведеном износу, </w:t>
      </w:r>
      <w:r w:rsidR="00343087">
        <w:rPr>
          <w:rFonts w:ascii="Times New Roman" w:hAnsi="Times New Roman"/>
          <w:sz w:val="24"/>
          <w:szCs w:val="24"/>
          <w:lang w:val="sr-Cyrl-CS"/>
        </w:rPr>
        <w:t>ове акције које су намењене продаји</w:t>
      </w:r>
      <w:r w:rsidR="00767127">
        <w:rPr>
          <w:rFonts w:ascii="Times New Roman" w:hAnsi="Times New Roman"/>
          <w:sz w:val="24"/>
          <w:szCs w:val="24"/>
          <w:lang w:val="sr-Cyrl-CS"/>
        </w:rPr>
        <w:t>,</w:t>
      </w:r>
      <w:r w:rsidR="00343087">
        <w:rPr>
          <w:rFonts w:ascii="Times New Roman" w:hAnsi="Times New Roman"/>
          <w:sz w:val="24"/>
          <w:szCs w:val="24"/>
          <w:lang w:val="sr-Cyrl-CS"/>
        </w:rPr>
        <w:t xml:space="preserve"> по тржишној – процењеној вредности </w:t>
      </w:r>
      <w:r w:rsidR="004D4E99">
        <w:rPr>
          <w:rFonts w:ascii="Times New Roman" w:hAnsi="Times New Roman"/>
          <w:sz w:val="24"/>
          <w:szCs w:val="24"/>
          <w:lang w:val="sr-Cyrl-CS"/>
        </w:rPr>
        <w:t xml:space="preserve">(продајна вредност) </w:t>
      </w:r>
      <w:r w:rsidR="00343087">
        <w:rPr>
          <w:rFonts w:ascii="Times New Roman" w:hAnsi="Times New Roman"/>
          <w:sz w:val="24"/>
          <w:szCs w:val="24"/>
          <w:lang w:val="sr-Cyrl-CS"/>
        </w:rPr>
        <w:t>у износу од 1.</w:t>
      </w:r>
      <w:r w:rsidR="008B65DE">
        <w:rPr>
          <w:rFonts w:ascii="Times New Roman" w:hAnsi="Times New Roman"/>
          <w:sz w:val="24"/>
          <w:szCs w:val="24"/>
          <w:lang w:val="sr-Cyrl-CS"/>
        </w:rPr>
        <w:t>913.377.749,37 динара</w:t>
      </w:r>
      <w:r w:rsidR="00E428CB">
        <w:rPr>
          <w:rFonts w:ascii="Times New Roman" w:hAnsi="Times New Roman"/>
          <w:sz w:val="24"/>
          <w:szCs w:val="24"/>
          <w:lang w:val="sr-Cyrl-CS"/>
        </w:rPr>
        <w:t xml:space="preserve"> (25.013.174,09 ЕУР)</w:t>
      </w:r>
      <w:r w:rsidR="008B65DE">
        <w:rPr>
          <w:rFonts w:ascii="Times New Roman" w:hAnsi="Times New Roman"/>
          <w:sz w:val="24"/>
          <w:szCs w:val="24"/>
          <w:lang w:val="sr-Cyrl-CS"/>
        </w:rPr>
        <w:t>. Након тога</w:t>
      </w:r>
      <w:r w:rsidR="004D4E99">
        <w:rPr>
          <w:rFonts w:ascii="Times New Roman" w:hAnsi="Times New Roman"/>
          <w:sz w:val="24"/>
          <w:szCs w:val="24"/>
          <w:lang w:val="sr-Cyrl-CS"/>
        </w:rPr>
        <w:t xml:space="preserve">, </w:t>
      </w:r>
      <w:r w:rsidR="008B65DE">
        <w:rPr>
          <w:rFonts w:ascii="Times New Roman" w:hAnsi="Times New Roman"/>
          <w:sz w:val="24"/>
          <w:szCs w:val="24"/>
          <w:lang w:val="sr-Cyrl-CS"/>
        </w:rPr>
        <w:t>изв</w:t>
      </w:r>
      <w:r w:rsidR="006D3F70">
        <w:rPr>
          <w:rFonts w:ascii="Times New Roman" w:hAnsi="Times New Roman"/>
          <w:sz w:val="24"/>
          <w:szCs w:val="24"/>
          <w:lang w:val="sr-Cyrl-CS"/>
        </w:rPr>
        <w:t>р</w:t>
      </w:r>
      <w:r w:rsidR="008B65DE">
        <w:rPr>
          <w:rFonts w:ascii="Times New Roman" w:hAnsi="Times New Roman"/>
          <w:sz w:val="24"/>
          <w:szCs w:val="24"/>
          <w:lang w:val="sr-Cyrl-CS"/>
        </w:rPr>
        <w:t xml:space="preserve">шена </w:t>
      </w:r>
      <w:r w:rsidR="004D4E99">
        <w:rPr>
          <w:rFonts w:ascii="Times New Roman" w:hAnsi="Times New Roman"/>
          <w:sz w:val="24"/>
          <w:szCs w:val="24"/>
          <w:lang w:val="sr-Cyrl-CS"/>
        </w:rPr>
        <w:t xml:space="preserve">је </w:t>
      </w:r>
      <w:r w:rsidR="008B65DE">
        <w:rPr>
          <w:rFonts w:ascii="Times New Roman" w:hAnsi="Times New Roman"/>
          <w:sz w:val="24"/>
          <w:szCs w:val="24"/>
          <w:lang w:val="sr-Cyrl-CS"/>
        </w:rPr>
        <w:t>промена основног капитала привредносг друштва и промена капитала оснивача у наведеном износу.</w:t>
      </w:r>
      <w:r w:rsidR="00B16D8C">
        <w:rPr>
          <w:rFonts w:ascii="Times New Roman" w:hAnsi="Times New Roman"/>
          <w:sz w:val="24"/>
          <w:szCs w:val="24"/>
          <w:lang w:val="sr-Cyrl-CS"/>
        </w:rPr>
        <w:t xml:space="preserve"> Правно лице „А“ д.о.о. из Београда је потом продало ове акције правном лицу „Д“ д.о.о. из Београда, за продајну вредност у износу од 1.941.260.005,59 динара и остварило капитални добитак у износу од 27.882.256,22 динара (</w:t>
      </w:r>
      <w:r w:rsidR="004D4E99">
        <w:rPr>
          <w:rFonts w:ascii="Times New Roman" w:hAnsi="Times New Roman"/>
          <w:sz w:val="24"/>
          <w:szCs w:val="24"/>
          <w:lang w:val="sr-Cyrl-CS"/>
        </w:rPr>
        <w:t xml:space="preserve">продајна вредност 1.941.260.005,59 динара - </w:t>
      </w:r>
      <w:r w:rsidR="00B16D8C">
        <w:rPr>
          <w:rFonts w:ascii="Times New Roman" w:hAnsi="Times New Roman"/>
          <w:sz w:val="24"/>
          <w:szCs w:val="24"/>
          <w:lang w:val="sr-Cyrl-CS"/>
        </w:rPr>
        <w:t>набавна вредност</w:t>
      </w:r>
      <w:r w:rsidR="004D4E99">
        <w:rPr>
          <w:rFonts w:ascii="Times New Roman" w:hAnsi="Times New Roman"/>
          <w:sz w:val="24"/>
          <w:szCs w:val="24"/>
          <w:lang w:val="sr-Cyrl-CS"/>
        </w:rPr>
        <w:t xml:space="preserve"> 1.913.377.749,37 динара).</w:t>
      </w:r>
      <w:r w:rsidR="00680D9E">
        <w:rPr>
          <w:rFonts w:ascii="Times New Roman" w:hAnsi="Times New Roman"/>
          <w:sz w:val="24"/>
          <w:szCs w:val="24"/>
          <w:lang w:val="sr-Cyrl-CS"/>
        </w:rPr>
        <w:t xml:space="preserve"> </w:t>
      </w:r>
    </w:p>
    <w:p w:rsidR="00D45A8A" w:rsidRPr="000D40DF" w:rsidRDefault="00323E9B" w:rsidP="00D45A8A">
      <w:pPr>
        <w:ind w:firstLine="708"/>
        <w:jc w:val="both"/>
        <w:rPr>
          <w:rFonts w:ascii="Times New Roman" w:hAnsi="Times New Roman"/>
          <w:sz w:val="24"/>
          <w:szCs w:val="24"/>
          <w:lang w:val="sr-Cyrl-CS"/>
        </w:rPr>
      </w:pPr>
      <w:r>
        <w:rPr>
          <w:rFonts w:ascii="Times New Roman" w:hAnsi="Times New Roman"/>
          <w:sz w:val="24"/>
          <w:szCs w:val="24"/>
          <w:lang w:val="sr-Cyrl-CS"/>
        </w:rPr>
        <w:t xml:space="preserve">У поступку контроле је утврђено да </w:t>
      </w:r>
      <w:r w:rsidR="004B0E9D">
        <w:rPr>
          <w:rFonts w:ascii="Times New Roman" w:hAnsi="Times New Roman"/>
          <w:sz w:val="24"/>
          <w:szCs w:val="24"/>
          <w:lang w:val="sr-Cyrl-CS"/>
        </w:rPr>
        <w:t xml:space="preserve">су у конкретном случају </w:t>
      </w:r>
      <w:r w:rsidR="00680D9E">
        <w:rPr>
          <w:rFonts w:ascii="Times New Roman" w:hAnsi="Times New Roman"/>
          <w:sz w:val="24"/>
          <w:szCs w:val="24"/>
          <w:lang w:val="sr-Cyrl-CS"/>
        </w:rPr>
        <w:t xml:space="preserve">и приликом прве трансакције (унос акција у „А“ д.о.о.) </w:t>
      </w:r>
      <w:r w:rsidR="004B0E9D">
        <w:rPr>
          <w:rFonts w:ascii="Times New Roman" w:hAnsi="Times New Roman"/>
          <w:sz w:val="24"/>
          <w:szCs w:val="24"/>
          <w:lang w:val="sr-Cyrl-CS"/>
        </w:rPr>
        <w:t>испуњени услови који су потребни з</w:t>
      </w:r>
      <w:r w:rsidR="00CA6101">
        <w:rPr>
          <w:rFonts w:ascii="Times New Roman" w:hAnsi="Times New Roman"/>
          <w:sz w:val="24"/>
          <w:szCs w:val="24"/>
          <w:lang w:val="sr-Cyrl-CS"/>
        </w:rPr>
        <w:t xml:space="preserve">а постојање капиталног добитка. </w:t>
      </w:r>
      <w:r w:rsidR="004B0E9D">
        <w:rPr>
          <w:rFonts w:ascii="Times New Roman" w:hAnsi="Times New Roman"/>
          <w:sz w:val="24"/>
          <w:szCs w:val="24"/>
          <w:lang w:val="sr-Cyrl-CS"/>
        </w:rPr>
        <w:t>П</w:t>
      </w:r>
      <w:r w:rsidR="006D3F70">
        <w:rPr>
          <w:rFonts w:ascii="Times New Roman" w:hAnsi="Times New Roman"/>
          <w:sz w:val="24"/>
          <w:szCs w:val="24"/>
          <w:lang w:val="sr-Cyrl-CS"/>
        </w:rPr>
        <w:t>равно лице</w:t>
      </w:r>
      <w:r>
        <w:rPr>
          <w:rFonts w:ascii="Times New Roman" w:hAnsi="Times New Roman"/>
          <w:sz w:val="24"/>
          <w:szCs w:val="24"/>
          <w:lang w:val="sr-Cyrl-CS"/>
        </w:rPr>
        <w:t xml:space="preserve"> „</w:t>
      </w:r>
      <w:r w:rsidR="006D3F70">
        <w:rPr>
          <w:rFonts w:ascii="Times New Roman" w:hAnsi="Times New Roman"/>
          <w:sz w:val="24"/>
          <w:szCs w:val="24"/>
          <w:lang w:val="sr-Cyrl-CS"/>
        </w:rPr>
        <w:t>Б</w:t>
      </w:r>
      <w:r>
        <w:rPr>
          <w:rFonts w:ascii="Times New Roman" w:hAnsi="Times New Roman"/>
          <w:sz w:val="24"/>
          <w:szCs w:val="24"/>
          <w:lang w:val="sr-Cyrl-CS"/>
        </w:rPr>
        <w:t xml:space="preserve">“ </w:t>
      </w:r>
      <w:r w:rsidR="004B0E9D">
        <w:rPr>
          <w:rFonts w:ascii="Times New Roman" w:hAnsi="Times New Roman"/>
          <w:sz w:val="24"/>
          <w:szCs w:val="24"/>
          <w:lang w:val="sr-Cyrl-CS"/>
        </w:rPr>
        <w:t xml:space="preserve">је </w:t>
      </w:r>
      <w:r>
        <w:rPr>
          <w:rFonts w:ascii="Times New Roman" w:hAnsi="Times New Roman"/>
          <w:sz w:val="24"/>
          <w:szCs w:val="24"/>
          <w:lang w:val="sr-Cyrl-CS"/>
        </w:rPr>
        <w:t xml:space="preserve">акције </w:t>
      </w:r>
      <w:r w:rsidR="00CD257F">
        <w:rPr>
          <w:rFonts w:ascii="Times New Roman" w:hAnsi="Times New Roman"/>
          <w:sz w:val="24"/>
          <w:szCs w:val="24"/>
          <w:lang w:val="sr-Cyrl-CS"/>
        </w:rPr>
        <w:t>стекло по цени од 632.286.536 динара</w:t>
      </w:r>
      <w:r w:rsidR="006D3F70">
        <w:rPr>
          <w:rFonts w:ascii="Times New Roman" w:hAnsi="Times New Roman"/>
          <w:sz w:val="24"/>
          <w:szCs w:val="24"/>
          <w:lang w:val="sr-Cyrl-CS"/>
        </w:rPr>
        <w:t xml:space="preserve"> и уносом акција у правно лице „А“ д.о.о. и стицањем удела у капиталу истог у вредности од 1.913.377.749,37 динара, претварањем неновчаног у новчани капитал</w:t>
      </w:r>
      <w:r w:rsidR="00C6765B">
        <w:rPr>
          <w:rFonts w:ascii="Times New Roman" w:hAnsi="Times New Roman"/>
          <w:sz w:val="24"/>
          <w:szCs w:val="24"/>
          <w:lang w:val="sr-Cyrl-CS"/>
        </w:rPr>
        <w:t>,</w:t>
      </w:r>
      <w:r w:rsidR="006D3F70">
        <w:rPr>
          <w:rFonts w:ascii="Times New Roman" w:hAnsi="Times New Roman"/>
          <w:sz w:val="24"/>
          <w:szCs w:val="24"/>
          <w:lang w:val="sr-Cyrl-CS"/>
        </w:rPr>
        <w:t xml:space="preserve"> остварило</w:t>
      </w:r>
      <w:r w:rsidR="004B0E9D">
        <w:rPr>
          <w:rFonts w:ascii="Times New Roman" w:hAnsi="Times New Roman"/>
          <w:sz w:val="24"/>
          <w:szCs w:val="24"/>
          <w:lang w:val="sr-Cyrl-CS"/>
        </w:rPr>
        <w:t xml:space="preserve"> је</w:t>
      </w:r>
      <w:r w:rsidR="006D3F70">
        <w:rPr>
          <w:rFonts w:ascii="Times New Roman" w:hAnsi="Times New Roman"/>
          <w:sz w:val="24"/>
          <w:szCs w:val="24"/>
          <w:lang w:val="sr-Cyrl-CS"/>
        </w:rPr>
        <w:t xml:space="preserve"> капиталну добит у износу од 1.281.091,37 динара</w:t>
      </w:r>
      <w:r w:rsidR="006D3F70" w:rsidRPr="006D3F70">
        <w:rPr>
          <w:rFonts w:ascii="Times New Roman" w:hAnsi="Times New Roman"/>
          <w:sz w:val="24"/>
          <w:szCs w:val="24"/>
          <w:lang w:val="sr-Cyrl-CS"/>
        </w:rPr>
        <w:t xml:space="preserve"> </w:t>
      </w:r>
      <w:r w:rsidR="009102B5">
        <w:rPr>
          <w:rFonts w:ascii="Times New Roman" w:hAnsi="Times New Roman"/>
          <w:sz w:val="24"/>
          <w:szCs w:val="24"/>
          <w:lang w:val="sr-Cyrl-CS"/>
        </w:rPr>
        <w:t xml:space="preserve">(1.913.377.749,37 - </w:t>
      </w:r>
      <w:r w:rsidR="006D3F70">
        <w:rPr>
          <w:rFonts w:ascii="Times New Roman" w:hAnsi="Times New Roman"/>
          <w:sz w:val="24"/>
          <w:szCs w:val="24"/>
          <w:lang w:val="sr-Cyrl-CS"/>
        </w:rPr>
        <w:t>632.286.536).</w:t>
      </w:r>
      <w:r w:rsidR="004B0E9D">
        <w:rPr>
          <w:rFonts w:ascii="Times New Roman" w:hAnsi="Times New Roman"/>
          <w:sz w:val="24"/>
          <w:szCs w:val="24"/>
          <w:lang w:val="sr-Cyrl-CS"/>
        </w:rPr>
        <w:t xml:space="preserve"> </w:t>
      </w:r>
      <w:r w:rsidR="00D45A8A">
        <w:rPr>
          <w:rFonts w:ascii="Times New Roman" w:hAnsi="Times New Roman"/>
          <w:sz w:val="24"/>
          <w:szCs w:val="24"/>
          <w:lang w:val="sr-Cyrl-CS"/>
        </w:rPr>
        <w:t>У конкретном случају су</w:t>
      </w:r>
      <w:r w:rsidR="005F1A08">
        <w:rPr>
          <w:rFonts w:ascii="Times New Roman" w:hAnsi="Times New Roman"/>
          <w:sz w:val="24"/>
          <w:szCs w:val="24"/>
          <w:lang w:val="sr-Cyrl-CS"/>
        </w:rPr>
        <w:t>, дакле,</w:t>
      </w:r>
      <w:r w:rsidR="00D45A8A">
        <w:rPr>
          <w:rFonts w:ascii="Times New Roman" w:hAnsi="Times New Roman"/>
          <w:sz w:val="24"/>
          <w:szCs w:val="24"/>
          <w:lang w:val="sr-Cyrl-CS"/>
        </w:rPr>
        <w:t xml:space="preserve"> испуњени  услови за  постојање капиталног добитка </w:t>
      </w:r>
      <w:r w:rsidR="005F1A08">
        <w:rPr>
          <w:rFonts w:ascii="Times New Roman" w:hAnsi="Times New Roman"/>
          <w:sz w:val="24"/>
          <w:szCs w:val="24"/>
          <w:lang w:val="sr-Cyrl-CS"/>
        </w:rPr>
        <w:t xml:space="preserve">јер </w:t>
      </w:r>
      <w:r w:rsidR="00D45A8A">
        <w:rPr>
          <w:rFonts w:ascii="Times New Roman" w:hAnsi="Times New Roman"/>
          <w:sz w:val="24"/>
          <w:szCs w:val="24"/>
          <w:lang w:val="sr-Cyrl-CS"/>
        </w:rPr>
        <w:t xml:space="preserve"> је пренос имовине извршен уз накнаду. Уношењем имовине - неновчаног улога у капитал предузећа „А“, губи се право својине над том имовином од стране предузећа „Б“, а стиче се право својине над уделом у капиталу предузећа „А“, па је на тај начин променом носиоца права својине над неновчаним улогом ( прелази са члана друштва на друштво) извршен пренос права својине. </w:t>
      </w:r>
      <w:r w:rsidR="00B71D9A">
        <w:rPr>
          <w:rFonts w:ascii="Times New Roman" w:hAnsi="Times New Roman"/>
          <w:sz w:val="24"/>
          <w:szCs w:val="24"/>
          <w:lang w:val="sr-Cyrl-CS"/>
        </w:rPr>
        <w:t xml:space="preserve">Удели друштва са ограниченом одговорношћу нису хартије од вредности </w:t>
      </w:r>
      <w:r w:rsidR="009102B5">
        <w:rPr>
          <w:rFonts w:ascii="Times New Roman" w:hAnsi="Times New Roman"/>
          <w:sz w:val="24"/>
          <w:szCs w:val="24"/>
          <w:lang w:val="sr-Cyrl-CS"/>
        </w:rPr>
        <w:t>и у конкретном случају је дошло до промене основног капитала друштва брисањем уписаног и унетог неновчаног капитала у вредности 25.013.174,09 ЕУР (225.736 акција) и уп</w:t>
      </w:r>
      <w:r w:rsidR="005F1A08">
        <w:rPr>
          <w:rFonts w:ascii="Times New Roman" w:hAnsi="Times New Roman"/>
          <w:sz w:val="24"/>
          <w:szCs w:val="24"/>
          <w:lang w:val="sr-Cyrl-CS"/>
        </w:rPr>
        <w:t>и</w:t>
      </w:r>
      <w:r w:rsidR="009102B5">
        <w:rPr>
          <w:rFonts w:ascii="Times New Roman" w:hAnsi="Times New Roman"/>
          <w:sz w:val="24"/>
          <w:szCs w:val="24"/>
          <w:lang w:val="sr-Cyrl-CS"/>
        </w:rPr>
        <w:t xml:space="preserve">сом уплаћеног новчаног капитала у износу од </w:t>
      </w:r>
      <w:r w:rsidR="00B71D9A">
        <w:rPr>
          <w:rFonts w:ascii="Times New Roman" w:hAnsi="Times New Roman"/>
          <w:sz w:val="24"/>
          <w:szCs w:val="24"/>
          <w:lang w:val="sr-Cyrl-CS"/>
        </w:rPr>
        <w:t xml:space="preserve"> </w:t>
      </w:r>
      <w:r w:rsidR="009102B5">
        <w:rPr>
          <w:rFonts w:ascii="Times New Roman" w:hAnsi="Times New Roman"/>
          <w:sz w:val="24"/>
          <w:szCs w:val="24"/>
          <w:lang w:val="sr-Cyrl-CS"/>
        </w:rPr>
        <w:t xml:space="preserve">25.013.174,09 ЕУР. </w:t>
      </w:r>
      <w:r w:rsidR="00D45A8A">
        <w:rPr>
          <w:rFonts w:ascii="Times New Roman" w:hAnsi="Times New Roman"/>
          <w:sz w:val="24"/>
          <w:szCs w:val="24"/>
          <w:lang w:val="sr-Cyrl-CS"/>
        </w:rPr>
        <w:t xml:space="preserve">Дакле, у конкретном случају не ради се о класичној исплати у новцу од стране привредног друштва „А“ већ о размени за друго право, јер је уносом неновчаног капитала привредно друштво „Б“ као накнаду добило право својине над уделом у капиталу друштва „А“ која представља вредност удела. Следствено томе, </w:t>
      </w:r>
      <w:r w:rsidR="00D45A8A">
        <w:rPr>
          <w:rFonts w:ascii="Times New Roman" w:hAnsi="Times New Roman"/>
          <w:sz w:val="24"/>
          <w:szCs w:val="24"/>
          <w:lang w:val="sr-Cyrl-CS"/>
        </w:rPr>
        <w:lastRenderedPageBreak/>
        <w:t xml:space="preserve">порески обвезник привредно друштво „А“ на приход нерезидентног правног лица „Б“ по основу капиталног добитка није обрачунао и платио порез по одбитку. </w:t>
      </w:r>
      <w:r w:rsidR="00030F5C">
        <w:rPr>
          <w:rFonts w:ascii="Times New Roman" w:hAnsi="Times New Roman"/>
          <w:sz w:val="24"/>
          <w:szCs w:val="24"/>
          <w:lang w:val="sr-Cyrl-CS"/>
        </w:rPr>
        <w:t xml:space="preserve"> </w:t>
      </w:r>
    </w:p>
    <w:p w:rsidR="000D40DF" w:rsidRDefault="00F140D5" w:rsidP="00862738">
      <w:pPr>
        <w:ind w:firstLine="708"/>
        <w:jc w:val="both"/>
        <w:rPr>
          <w:rFonts w:ascii="Times New Roman" w:hAnsi="Times New Roman"/>
          <w:sz w:val="24"/>
          <w:szCs w:val="24"/>
          <w:lang w:val="sr-Cyrl-CS"/>
        </w:rPr>
      </w:pPr>
      <w:r>
        <w:rPr>
          <w:rFonts w:ascii="Times New Roman" w:hAnsi="Times New Roman"/>
          <w:sz w:val="24"/>
          <w:szCs w:val="24"/>
          <w:lang w:val="sr-Cyrl-CS"/>
        </w:rPr>
        <w:t xml:space="preserve">Према </w:t>
      </w:r>
      <w:r w:rsidR="00AD2F39">
        <w:rPr>
          <w:rFonts w:ascii="Times New Roman" w:hAnsi="Times New Roman"/>
          <w:sz w:val="24"/>
          <w:szCs w:val="24"/>
          <w:lang w:val="sr-Cyrl-CS"/>
        </w:rPr>
        <w:t xml:space="preserve">поменутом </w:t>
      </w:r>
      <w:r>
        <w:rPr>
          <w:rFonts w:ascii="Times New Roman" w:hAnsi="Times New Roman"/>
          <w:sz w:val="24"/>
          <w:szCs w:val="24"/>
          <w:lang w:val="sr-Cyrl-CS"/>
        </w:rPr>
        <w:t xml:space="preserve">чл. 40. Закона о порезу на добит предузећа прописано је да </w:t>
      </w:r>
      <w:r w:rsidR="00BD78D3">
        <w:rPr>
          <w:rFonts w:ascii="Times New Roman" w:hAnsi="Times New Roman"/>
          <w:sz w:val="24"/>
          <w:szCs w:val="24"/>
          <w:lang w:val="sr-Cyrl-CS"/>
        </w:rPr>
        <w:t xml:space="preserve">се </w:t>
      </w:r>
      <w:r>
        <w:rPr>
          <w:rFonts w:ascii="Times New Roman" w:hAnsi="Times New Roman"/>
          <w:sz w:val="24"/>
          <w:szCs w:val="24"/>
          <w:lang w:val="sr-Cyrl-CS"/>
        </w:rPr>
        <w:t>на приходе које оствари нерезидентни обвезник од резидентног обвезника по основу ка</w:t>
      </w:r>
      <w:r w:rsidR="00BD78D3">
        <w:rPr>
          <w:rFonts w:ascii="Times New Roman" w:hAnsi="Times New Roman"/>
          <w:sz w:val="24"/>
          <w:szCs w:val="24"/>
          <w:lang w:val="sr-Cyrl-CS"/>
        </w:rPr>
        <w:t xml:space="preserve">питалних добитака обрачунава </w:t>
      </w:r>
      <w:r>
        <w:rPr>
          <w:rFonts w:ascii="Times New Roman" w:hAnsi="Times New Roman"/>
          <w:sz w:val="24"/>
          <w:szCs w:val="24"/>
          <w:lang w:val="sr-Cyrl-CS"/>
        </w:rPr>
        <w:t xml:space="preserve">и плаћа </w:t>
      </w:r>
      <w:r w:rsidR="00E712BC">
        <w:rPr>
          <w:rFonts w:ascii="Times New Roman" w:hAnsi="Times New Roman"/>
          <w:sz w:val="24"/>
          <w:szCs w:val="24"/>
          <w:lang w:val="sr-Cyrl-CS"/>
        </w:rPr>
        <w:t>порез по одбитку</w:t>
      </w:r>
      <w:r w:rsidR="00B71D9A">
        <w:rPr>
          <w:rFonts w:ascii="Times New Roman" w:hAnsi="Times New Roman"/>
          <w:sz w:val="24"/>
          <w:szCs w:val="24"/>
          <w:lang w:val="sr-Cyrl-CS"/>
        </w:rPr>
        <w:t xml:space="preserve"> по стопи од 20%</w:t>
      </w:r>
      <w:r w:rsidR="00AD2F39">
        <w:rPr>
          <w:rFonts w:ascii="Times New Roman" w:hAnsi="Times New Roman"/>
          <w:sz w:val="24"/>
          <w:szCs w:val="24"/>
          <w:lang w:val="sr-Cyrl-CS"/>
        </w:rPr>
        <w:t>, а како</w:t>
      </w:r>
      <w:r w:rsidR="00B71D9A">
        <w:rPr>
          <w:rFonts w:ascii="Times New Roman" w:hAnsi="Times New Roman"/>
          <w:sz w:val="24"/>
          <w:szCs w:val="24"/>
          <w:lang w:val="sr-Cyrl-CS"/>
        </w:rPr>
        <w:t xml:space="preserve"> са Холандским Антилима није био потписан </w:t>
      </w:r>
      <w:r w:rsidR="00AD2F39">
        <w:rPr>
          <w:rFonts w:ascii="Times New Roman" w:hAnsi="Times New Roman"/>
          <w:sz w:val="24"/>
          <w:szCs w:val="24"/>
          <w:lang w:val="sr-Cyrl-CS"/>
        </w:rPr>
        <w:t>међународним уговором о избегавању двоструког опорезивња</w:t>
      </w:r>
      <w:r w:rsidR="00BD78D3">
        <w:rPr>
          <w:rFonts w:ascii="Times New Roman" w:hAnsi="Times New Roman"/>
          <w:sz w:val="24"/>
          <w:szCs w:val="24"/>
          <w:lang w:val="sr-Cyrl-CS"/>
        </w:rPr>
        <w:t xml:space="preserve"> </w:t>
      </w:r>
      <w:r w:rsidR="00B71D9A">
        <w:rPr>
          <w:rFonts w:ascii="Times New Roman" w:hAnsi="Times New Roman"/>
          <w:sz w:val="24"/>
          <w:szCs w:val="24"/>
          <w:lang w:val="sr-Cyrl-CS"/>
        </w:rPr>
        <w:t xml:space="preserve">примењене су </w:t>
      </w:r>
      <w:r w:rsidR="0008642E">
        <w:rPr>
          <w:rFonts w:ascii="Times New Roman" w:hAnsi="Times New Roman"/>
          <w:sz w:val="24"/>
          <w:szCs w:val="24"/>
          <w:lang w:val="sr-Cyrl-CS"/>
        </w:rPr>
        <w:t xml:space="preserve">ове </w:t>
      </w:r>
      <w:r w:rsidR="00B71D9A">
        <w:rPr>
          <w:rFonts w:ascii="Times New Roman" w:hAnsi="Times New Roman"/>
          <w:sz w:val="24"/>
          <w:szCs w:val="24"/>
          <w:lang w:val="sr-Cyrl-CS"/>
        </w:rPr>
        <w:t xml:space="preserve">одредбе. </w:t>
      </w:r>
      <w:r w:rsidR="008F3C64">
        <w:rPr>
          <w:rFonts w:ascii="Times New Roman" w:hAnsi="Times New Roman"/>
          <w:sz w:val="24"/>
          <w:szCs w:val="24"/>
          <w:lang w:val="sr-Cyrl-CS"/>
        </w:rPr>
        <w:t>На приходе које је остварио нерезидентни обвезник „</w:t>
      </w:r>
      <w:r w:rsidR="00862738">
        <w:rPr>
          <w:rFonts w:ascii="Times New Roman" w:hAnsi="Times New Roman"/>
          <w:sz w:val="24"/>
          <w:szCs w:val="24"/>
          <w:lang w:val="sr-Cyrl-CS"/>
        </w:rPr>
        <w:t>Б</w:t>
      </w:r>
      <w:r w:rsidR="008F3C64">
        <w:rPr>
          <w:rFonts w:ascii="Times New Roman" w:hAnsi="Times New Roman"/>
          <w:sz w:val="24"/>
          <w:szCs w:val="24"/>
          <w:lang w:val="sr-Cyrl-CS"/>
        </w:rPr>
        <w:t>“ по основу капиталне добити од резидентног обвезника „</w:t>
      </w:r>
      <w:r w:rsidR="00C6765B">
        <w:rPr>
          <w:rFonts w:ascii="Times New Roman" w:hAnsi="Times New Roman"/>
          <w:sz w:val="24"/>
          <w:szCs w:val="24"/>
          <w:lang w:val="sr-Cyrl-CS"/>
        </w:rPr>
        <w:t>А</w:t>
      </w:r>
      <w:r w:rsidR="008F3C64">
        <w:rPr>
          <w:rFonts w:ascii="Times New Roman" w:hAnsi="Times New Roman"/>
          <w:sz w:val="24"/>
          <w:szCs w:val="24"/>
          <w:lang w:val="sr-Cyrl-CS"/>
        </w:rPr>
        <w:t>“</w:t>
      </w:r>
      <w:r w:rsidR="00C6765B">
        <w:rPr>
          <w:rFonts w:ascii="Times New Roman" w:hAnsi="Times New Roman"/>
          <w:sz w:val="24"/>
          <w:szCs w:val="24"/>
          <w:lang w:val="sr-Cyrl-CS"/>
        </w:rPr>
        <w:t xml:space="preserve"> у износу од 1.281.091.213,</w:t>
      </w:r>
      <w:r w:rsidR="002B0BC0">
        <w:rPr>
          <w:rFonts w:ascii="Times New Roman" w:hAnsi="Times New Roman"/>
          <w:sz w:val="24"/>
          <w:szCs w:val="24"/>
          <w:lang w:val="sr-Cyrl-CS"/>
        </w:rPr>
        <w:t>37 динара порески обвезник „</w:t>
      </w:r>
      <w:r w:rsidR="00C6765B">
        <w:rPr>
          <w:rFonts w:ascii="Times New Roman" w:hAnsi="Times New Roman"/>
          <w:sz w:val="24"/>
          <w:szCs w:val="24"/>
          <w:lang w:val="sr-Cyrl-CS"/>
        </w:rPr>
        <w:t>А</w:t>
      </w:r>
      <w:r w:rsidR="002B0BC0">
        <w:rPr>
          <w:rFonts w:ascii="Times New Roman" w:hAnsi="Times New Roman"/>
          <w:sz w:val="24"/>
          <w:szCs w:val="24"/>
          <w:lang w:val="sr-Cyrl-CS"/>
        </w:rPr>
        <w:t>“ није обрачунао и платио порез по одбитку, по стопи од 20% у износу од 320.272.803,34 динара, истовремено са стицањем и реализацијом удела нерезидента код резидента, нити</w:t>
      </w:r>
      <w:r w:rsidR="00E712BC">
        <w:rPr>
          <w:rFonts w:ascii="Times New Roman" w:hAnsi="Times New Roman"/>
          <w:sz w:val="24"/>
          <w:szCs w:val="24"/>
          <w:lang w:val="sr-Cyrl-CS"/>
        </w:rPr>
        <w:t xml:space="preserve"> је надлежном пореском органу дос</w:t>
      </w:r>
      <w:r w:rsidR="002B0BC0">
        <w:rPr>
          <w:rFonts w:ascii="Times New Roman" w:hAnsi="Times New Roman"/>
          <w:sz w:val="24"/>
          <w:szCs w:val="24"/>
          <w:lang w:val="sr-Cyrl-CS"/>
        </w:rPr>
        <w:t xml:space="preserve">тавио збирну пореску пријаву  о обрачунатом и уплаћеном порезу на </w:t>
      </w:r>
      <w:r w:rsidR="00C6765B">
        <w:rPr>
          <w:rFonts w:ascii="Times New Roman" w:hAnsi="Times New Roman"/>
          <w:sz w:val="24"/>
          <w:szCs w:val="24"/>
          <w:lang w:val="sr-Cyrl-CS"/>
        </w:rPr>
        <w:t>добит по одбитку на приходе које</w:t>
      </w:r>
      <w:r w:rsidR="002B0BC0">
        <w:rPr>
          <w:rFonts w:ascii="Times New Roman" w:hAnsi="Times New Roman"/>
          <w:sz w:val="24"/>
          <w:szCs w:val="24"/>
          <w:lang w:val="sr-Cyrl-CS"/>
        </w:rPr>
        <w:t xml:space="preserve"> остварују нерезидненти обвезници. Дакле, у конкретном случају је утврђено да је уносом акција намењених продаји од стране неризедента у резидентног обвезника, као уписани и неуплаћени неновчани капитал, продајом акција нерезидент увећао удео у тржишној вредности акција у износу од 1.913.377.749,37 динара.</w:t>
      </w:r>
    </w:p>
    <w:p w:rsidR="00E712BC" w:rsidRPr="000D40DF" w:rsidRDefault="00F84C8B" w:rsidP="00AD3B8D">
      <w:pPr>
        <w:ind w:firstLine="708"/>
        <w:jc w:val="both"/>
        <w:rPr>
          <w:rFonts w:ascii="Times New Roman" w:hAnsi="Times New Roman"/>
          <w:sz w:val="24"/>
          <w:szCs w:val="24"/>
          <w:lang w:val="sr-Cyrl-CS"/>
        </w:rPr>
      </w:pPr>
      <w:r>
        <w:rPr>
          <w:rFonts w:ascii="Times New Roman" w:hAnsi="Times New Roman"/>
          <w:sz w:val="24"/>
          <w:szCs w:val="24"/>
          <w:lang w:val="sr-Cyrl-CS"/>
        </w:rPr>
        <w:t xml:space="preserve">Анализирајући наведени случај закључујемо да </w:t>
      </w:r>
      <w:r w:rsidR="00E712BC">
        <w:rPr>
          <w:rFonts w:ascii="Times New Roman" w:hAnsi="Times New Roman"/>
          <w:sz w:val="24"/>
          <w:szCs w:val="24"/>
          <w:lang w:val="sr-Cyrl-CS"/>
        </w:rPr>
        <w:t>је примењено начело фактицитета, односно пореске чињенице су утврђене према њиховој економској суштини</w:t>
      </w:r>
      <w:r w:rsidR="00A11D8B">
        <w:rPr>
          <w:rFonts w:ascii="Times New Roman" w:hAnsi="Times New Roman"/>
          <w:sz w:val="24"/>
          <w:szCs w:val="24"/>
          <w:lang w:val="sr-Cyrl-CS"/>
        </w:rPr>
        <w:t xml:space="preserve"> и обрачунат је порез чије је избегавање покушано.</w:t>
      </w:r>
      <w:r>
        <w:rPr>
          <w:rFonts w:ascii="Times New Roman" w:hAnsi="Times New Roman"/>
          <w:sz w:val="24"/>
          <w:szCs w:val="24"/>
          <w:lang w:val="sr-Cyrl-CS"/>
        </w:rPr>
        <w:t xml:space="preserve"> Наиме, унос акција у предузеће „</w:t>
      </w:r>
      <w:r w:rsidR="00862738">
        <w:rPr>
          <w:rFonts w:ascii="Times New Roman" w:hAnsi="Times New Roman"/>
          <w:sz w:val="24"/>
          <w:szCs w:val="24"/>
          <w:lang w:val="sr-Cyrl-CS"/>
        </w:rPr>
        <w:t>А</w:t>
      </w:r>
      <w:r>
        <w:rPr>
          <w:rFonts w:ascii="Times New Roman" w:hAnsi="Times New Roman"/>
          <w:sz w:val="24"/>
          <w:szCs w:val="24"/>
          <w:lang w:val="sr-Cyrl-CS"/>
        </w:rPr>
        <w:t xml:space="preserve">“ и продаја истих предузећу „Д“ је учињена у циљу прикривања </w:t>
      </w:r>
      <w:r w:rsidR="00406EDF">
        <w:rPr>
          <w:rFonts w:ascii="Times New Roman" w:hAnsi="Times New Roman"/>
          <w:sz w:val="24"/>
          <w:szCs w:val="24"/>
          <w:lang w:val="sr-Cyrl-CS"/>
        </w:rPr>
        <w:t xml:space="preserve">момента </w:t>
      </w:r>
      <w:r>
        <w:rPr>
          <w:rFonts w:ascii="Times New Roman" w:hAnsi="Times New Roman"/>
          <w:sz w:val="24"/>
          <w:szCs w:val="24"/>
          <w:lang w:val="sr-Cyrl-CS"/>
        </w:rPr>
        <w:t>продаје акција</w:t>
      </w:r>
      <w:r w:rsidR="00A11D8B">
        <w:rPr>
          <w:rFonts w:ascii="Times New Roman" w:hAnsi="Times New Roman"/>
          <w:sz w:val="24"/>
          <w:szCs w:val="24"/>
          <w:lang w:val="sr-Cyrl-CS"/>
        </w:rPr>
        <w:t xml:space="preserve">, односно </w:t>
      </w:r>
      <w:r w:rsidR="00A30E2E">
        <w:rPr>
          <w:rFonts w:ascii="Times New Roman" w:hAnsi="Times New Roman"/>
          <w:sz w:val="24"/>
          <w:szCs w:val="24"/>
          <w:lang w:val="sr-Cyrl-CS"/>
        </w:rPr>
        <w:t xml:space="preserve">уведен је још један учесник у промету („А“ д.о.о.) </w:t>
      </w:r>
      <w:r w:rsidR="00406EDF">
        <w:rPr>
          <w:rFonts w:ascii="Times New Roman" w:hAnsi="Times New Roman"/>
          <w:sz w:val="24"/>
          <w:szCs w:val="24"/>
          <w:lang w:val="sr-Cyrl-CS"/>
        </w:rPr>
        <w:t xml:space="preserve">како би се стекао утисак да у првој трансакцији </w:t>
      </w:r>
      <w:r w:rsidR="00B34D0F">
        <w:rPr>
          <w:rFonts w:ascii="Times New Roman" w:hAnsi="Times New Roman"/>
          <w:sz w:val="24"/>
          <w:szCs w:val="24"/>
          <w:lang w:val="sr-Cyrl-CS"/>
        </w:rPr>
        <w:t>(унос акција у „А“</w:t>
      </w:r>
      <w:r w:rsidR="00BA151D">
        <w:rPr>
          <w:rFonts w:ascii="Times New Roman" w:hAnsi="Times New Roman"/>
          <w:sz w:val="24"/>
          <w:szCs w:val="24"/>
          <w:lang w:val="sr-Cyrl-CS"/>
        </w:rPr>
        <w:t xml:space="preserve"> </w:t>
      </w:r>
      <w:r w:rsidR="00B34D0F">
        <w:rPr>
          <w:rFonts w:ascii="Times New Roman" w:hAnsi="Times New Roman"/>
          <w:sz w:val="24"/>
          <w:szCs w:val="24"/>
          <w:lang w:val="sr-Cyrl-CS"/>
        </w:rPr>
        <w:t xml:space="preserve">д..о.о.) </w:t>
      </w:r>
      <w:r w:rsidR="00406EDF">
        <w:rPr>
          <w:rFonts w:ascii="Times New Roman" w:hAnsi="Times New Roman"/>
          <w:sz w:val="24"/>
          <w:szCs w:val="24"/>
          <w:lang w:val="sr-Cyrl-CS"/>
        </w:rPr>
        <w:t>није дошло до продаје акција</w:t>
      </w:r>
      <w:r w:rsidR="00BA151D">
        <w:rPr>
          <w:rFonts w:ascii="Times New Roman" w:hAnsi="Times New Roman"/>
          <w:sz w:val="24"/>
          <w:szCs w:val="24"/>
          <w:lang w:val="sr-Cyrl-CS"/>
        </w:rPr>
        <w:t>,</w:t>
      </w:r>
      <w:r w:rsidR="00406EDF">
        <w:rPr>
          <w:rFonts w:ascii="Times New Roman" w:hAnsi="Times New Roman"/>
          <w:sz w:val="24"/>
          <w:szCs w:val="24"/>
          <w:lang w:val="sr-Cyrl-CS"/>
        </w:rPr>
        <w:t xml:space="preserve"> а у другој </w:t>
      </w:r>
      <w:r w:rsidR="00B34D0F">
        <w:rPr>
          <w:rFonts w:ascii="Times New Roman" w:hAnsi="Times New Roman"/>
          <w:sz w:val="24"/>
          <w:szCs w:val="24"/>
          <w:lang w:val="sr-Cyrl-CS"/>
        </w:rPr>
        <w:t xml:space="preserve">(продаја акција предузећу „Д“ д.о.о.) </w:t>
      </w:r>
      <w:r w:rsidR="00406EDF">
        <w:rPr>
          <w:rFonts w:ascii="Times New Roman" w:hAnsi="Times New Roman"/>
          <w:sz w:val="24"/>
          <w:szCs w:val="24"/>
          <w:lang w:val="sr-Cyrl-CS"/>
        </w:rPr>
        <w:t>јесте</w:t>
      </w:r>
      <w:r w:rsidR="00BA7DA8">
        <w:rPr>
          <w:rFonts w:ascii="Times New Roman" w:hAnsi="Times New Roman"/>
          <w:sz w:val="24"/>
          <w:szCs w:val="24"/>
          <w:lang w:val="sr-Cyrl-CS"/>
        </w:rPr>
        <w:t>, па у првој трансакцији није обрачунат и плаће</w:t>
      </w:r>
      <w:r w:rsidR="00552B52">
        <w:rPr>
          <w:rFonts w:ascii="Times New Roman" w:hAnsi="Times New Roman"/>
          <w:sz w:val="24"/>
          <w:szCs w:val="24"/>
          <w:lang w:val="sr-Cyrl-CS"/>
        </w:rPr>
        <w:t>н</w:t>
      </w:r>
      <w:r w:rsidR="00BA7DA8">
        <w:rPr>
          <w:rFonts w:ascii="Times New Roman" w:hAnsi="Times New Roman"/>
          <w:sz w:val="24"/>
          <w:szCs w:val="24"/>
          <w:lang w:val="sr-Cyrl-CS"/>
        </w:rPr>
        <w:t xml:space="preserve"> порез на капитални добитак, а у другој трансакцији </w:t>
      </w:r>
      <w:r w:rsidR="00BA151D">
        <w:rPr>
          <w:rFonts w:ascii="Times New Roman" w:hAnsi="Times New Roman"/>
          <w:sz w:val="24"/>
          <w:szCs w:val="24"/>
          <w:lang w:val="sr-Cyrl-CS"/>
        </w:rPr>
        <w:t>јесте</w:t>
      </w:r>
      <w:r w:rsidR="00BA7DA8">
        <w:rPr>
          <w:rFonts w:ascii="Times New Roman" w:hAnsi="Times New Roman"/>
          <w:sz w:val="24"/>
          <w:szCs w:val="24"/>
          <w:lang w:val="sr-Cyrl-CS"/>
        </w:rPr>
        <w:t xml:space="preserve">. </w:t>
      </w:r>
      <w:r w:rsidR="00552B52">
        <w:rPr>
          <w:rFonts w:ascii="Times New Roman" w:hAnsi="Times New Roman"/>
          <w:sz w:val="24"/>
          <w:szCs w:val="24"/>
          <w:lang w:val="sr-Cyrl-CS"/>
        </w:rPr>
        <w:t>Дакле, с</w:t>
      </w:r>
      <w:r w:rsidR="00A11D8B">
        <w:rPr>
          <w:rFonts w:ascii="Times New Roman" w:hAnsi="Times New Roman"/>
          <w:sz w:val="24"/>
          <w:szCs w:val="24"/>
          <w:lang w:val="sr-Cyrl-CS"/>
        </w:rPr>
        <w:t>творен је привидан утисак да је продаја акција извршена само једном и то од стране предузећа „</w:t>
      </w:r>
      <w:r w:rsidR="009D5AA2">
        <w:rPr>
          <w:rFonts w:ascii="Times New Roman" w:hAnsi="Times New Roman"/>
          <w:sz w:val="24"/>
          <w:szCs w:val="24"/>
          <w:lang w:val="sr-Cyrl-CS"/>
        </w:rPr>
        <w:t>А</w:t>
      </w:r>
      <w:r w:rsidR="00A11D8B">
        <w:rPr>
          <w:rFonts w:ascii="Times New Roman" w:hAnsi="Times New Roman"/>
          <w:sz w:val="24"/>
          <w:szCs w:val="24"/>
          <w:lang w:val="sr-Cyrl-CS"/>
        </w:rPr>
        <w:t xml:space="preserve">“ предузећу „Д“. Међутим, утврђивањем чињеница према њиховој суштини </w:t>
      </w:r>
      <w:r w:rsidR="0008642E">
        <w:rPr>
          <w:rFonts w:ascii="Times New Roman" w:hAnsi="Times New Roman"/>
          <w:sz w:val="24"/>
          <w:szCs w:val="24"/>
          <w:lang w:val="sr-Cyrl-CS"/>
        </w:rPr>
        <w:t xml:space="preserve">утврђено је да је симулованим правним послом прикриван други правни посао, односно да </w:t>
      </w:r>
      <w:r w:rsidR="00A11D8B">
        <w:rPr>
          <w:rFonts w:ascii="Times New Roman" w:hAnsi="Times New Roman"/>
          <w:sz w:val="24"/>
          <w:szCs w:val="24"/>
          <w:lang w:val="sr-Cyrl-CS"/>
        </w:rPr>
        <w:t xml:space="preserve">је </w:t>
      </w:r>
      <w:r w:rsidR="0008642E">
        <w:rPr>
          <w:rFonts w:ascii="Times New Roman" w:hAnsi="Times New Roman"/>
          <w:sz w:val="24"/>
          <w:szCs w:val="24"/>
          <w:lang w:val="sr-Cyrl-CS"/>
        </w:rPr>
        <w:t xml:space="preserve">остварен </w:t>
      </w:r>
      <w:r w:rsidR="00A11D8B">
        <w:rPr>
          <w:rFonts w:ascii="Times New Roman" w:hAnsi="Times New Roman"/>
          <w:sz w:val="24"/>
          <w:szCs w:val="24"/>
          <w:lang w:val="sr-Cyrl-CS"/>
        </w:rPr>
        <w:t>капитални добитак</w:t>
      </w:r>
      <w:r w:rsidR="00B34D0F">
        <w:rPr>
          <w:rFonts w:ascii="Times New Roman" w:hAnsi="Times New Roman"/>
          <w:sz w:val="24"/>
          <w:szCs w:val="24"/>
          <w:lang w:val="sr-Cyrl-CS"/>
        </w:rPr>
        <w:t xml:space="preserve"> и приликом прве трансакције</w:t>
      </w:r>
      <w:r w:rsidR="00BA151D">
        <w:rPr>
          <w:rFonts w:ascii="Times New Roman" w:hAnsi="Times New Roman"/>
          <w:sz w:val="24"/>
          <w:szCs w:val="24"/>
          <w:lang w:val="sr-Cyrl-CS"/>
        </w:rPr>
        <w:t>.</w:t>
      </w:r>
      <w:r w:rsidR="00B34D0F">
        <w:rPr>
          <w:rFonts w:ascii="Times New Roman" w:hAnsi="Times New Roman"/>
          <w:sz w:val="24"/>
          <w:szCs w:val="24"/>
          <w:lang w:val="sr-Cyrl-CS"/>
        </w:rPr>
        <w:t xml:space="preserve"> </w:t>
      </w:r>
    </w:p>
    <w:p w:rsidR="00B13205" w:rsidRPr="008E5978" w:rsidRDefault="00B13205" w:rsidP="00965E2D">
      <w:pPr>
        <w:pStyle w:val="normal0"/>
        <w:shd w:val="clear" w:color="auto" w:fill="FFFFFF"/>
        <w:spacing w:before="48" w:beforeAutospacing="0" w:after="48" w:afterAutospacing="0"/>
        <w:ind w:firstLine="708"/>
        <w:jc w:val="both"/>
        <w:rPr>
          <w:color w:val="000000"/>
          <w:lang w:val="sr-Cyrl-CS"/>
        </w:rPr>
      </w:pPr>
    </w:p>
    <w:p w:rsidR="00CC147C" w:rsidRDefault="00CC147C" w:rsidP="00652928">
      <w:pPr>
        <w:pStyle w:val="normal0"/>
        <w:shd w:val="clear" w:color="auto" w:fill="FFFFFF"/>
        <w:spacing w:before="48" w:beforeAutospacing="0" w:after="48" w:afterAutospacing="0"/>
        <w:rPr>
          <w:rFonts w:ascii="Arial" w:hAnsi="Arial" w:cs="Arial"/>
          <w:color w:val="000000"/>
          <w:sz w:val="18"/>
          <w:szCs w:val="18"/>
          <w:lang w:val="sr-Cyrl-CS"/>
        </w:rPr>
      </w:pPr>
    </w:p>
    <w:p w:rsidR="000956D9" w:rsidRDefault="000956D9" w:rsidP="00F415D6">
      <w:pPr>
        <w:ind w:firstLine="708"/>
        <w:jc w:val="both"/>
        <w:rPr>
          <w:rFonts w:ascii="Times New Roman" w:hAnsi="Times New Roman"/>
          <w:sz w:val="24"/>
          <w:szCs w:val="24"/>
          <w:lang w:val="sr-Cyrl-CS"/>
        </w:rPr>
      </w:pPr>
      <w:bookmarkStart w:id="1" w:name="clan_30"/>
      <w:bookmarkStart w:id="2" w:name="clan_31"/>
      <w:bookmarkEnd w:id="1"/>
      <w:bookmarkEnd w:id="2"/>
    </w:p>
    <w:p w:rsidR="00A22DD5" w:rsidRDefault="00A22DD5" w:rsidP="00F415D6">
      <w:pPr>
        <w:ind w:firstLine="708"/>
        <w:jc w:val="both"/>
        <w:rPr>
          <w:rFonts w:ascii="Times New Roman" w:hAnsi="Times New Roman"/>
          <w:sz w:val="24"/>
          <w:szCs w:val="24"/>
          <w:lang w:val="sr-Cyrl-CS"/>
        </w:rPr>
      </w:pPr>
    </w:p>
    <w:p w:rsidR="00A22DD5" w:rsidRDefault="00A22DD5" w:rsidP="00F415D6">
      <w:pPr>
        <w:ind w:firstLine="708"/>
        <w:jc w:val="both"/>
        <w:rPr>
          <w:rFonts w:ascii="Times New Roman" w:hAnsi="Times New Roman"/>
          <w:sz w:val="24"/>
          <w:szCs w:val="24"/>
          <w:lang w:val="sr-Cyrl-CS"/>
        </w:rPr>
      </w:pPr>
    </w:p>
    <w:p w:rsidR="00A22DD5" w:rsidRDefault="00A22DD5" w:rsidP="00F415D6">
      <w:pPr>
        <w:ind w:firstLine="708"/>
        <w:jc w:val="both"/>
        <w:rPr>
          <w:rFonts w:ascii="Times New Roman" w:hAnsi="Times New Roman"/>
          <w:sz w:val="24"/>
          <w:szCs w:val="24"/>
          <w:lang w:val="sr-Cyrl-CS"/>
        </w:rPr>
      </w:pPr>
    </w:p>
    <w:p w:rsidR="00D45A8A" w:rsidRDefault="00D45A8A" w:rsidP="00E428CB">
      <w:pPr>
        <w:jc w:val="both"/>
        <w:rPr>
          <w:rFonts w:ascii="Times New Roman" w:hAnsi="Times New Roman"/>
          <w:sz w:val="24"/>
          <w:szCs w:val="24"/>
          <w:lang w:val="sr-Cyrl-CS"/>
        </w:rPr>
      </w:pPr>
    </w:p>
    <w:p w:rsidR="00D45A8A" w:rsidRPr="00A94307" w:rsidRDefault="00D45A8A" w:rsidP="00E428CB">
      <w:pPr>
        <w:jc w:val="both"/>
        <w:rPr>
          <w:rFonts w:ascii="Times New Roman" w:hAnsi="Times New Roman"/>
          <w:sz w:val="24"/>
          <w:szCs w:val="24"/>
          <w:lang w:val="sr-Cyrl-CS"/>
        </w:rPr>
      </w:pPr>
    </w:p>
    <w:p w:rsidR="001929C7" w:rsidRDefault="006C5E2A" w:rsidP="006C5E2A">
      <w:pPr>
        <w:pStyle w:val="wyq110---naslov-clana"/>
        <w:shd w:val="clear" w:color="auto" w:fill="FFFFFF"/>
        <w:spacing w:before="240" w:beforeAutospacing="0" w:after="240" w:afterAutospacing="0" w:line="240" w:lineRule="atLeast"/>
        <w:jc w:val="center"/>
        <w:rPr>
          <w:b/>
          <w:lang w:val="sr-Cyrl-CS"/>
        </w:rPr>
      </w:pPr>
      <w:r>
        <w:rPr>
          <w:b/>
          <w:lang w:val="sr-Cyrl-CS"/>
        </w:rPr>
        <w:lastRenderedPageBreak/>
        <w:t>5.1.11. Утицај утањене ка</w:t>
      </w:r>
      <w:r w:rsidR="00F631DC">
        <w:rPr>
          <w:b/>
          <w:lang w:val="sr-Cyrl-CS"/>
        </w:rPr>
        <w:t>п</w:t>
      </w:r>
      <w:r>
        <w:rPr>
          <w:b/>
          <w:lang w:val="sr-Cyrl-CS"/>
        </w:rPr>
        <w:t xml:space="preserve">итализације на законито </w:t>
      </w:r>
      <w:r w:rsidR="001F36F0" w:rsidRPr="00733E3F">
        <w:rPr>
          <w:b/>
          <w:lang w:val="sr-Cyrl-CS"/>
        </w:rPr>
        <w:t xml:space="preserve"> </w:t>
      </w:r>
      <w:r>
        <w:rPr>
          <w:b/>
          <w:lang w:val="sr-Cyrl-CS"/>
        </w:rPr>
        <w:t>избегавање пореза</w:t>
      </w:r>
    </w:p>
    <w:p w:rsidR="006C5E2A" w:rsidRPr="00A44411" w:rsidRDefault="006C5E2A" w:rsidP="00797E29">
      <w:pPr>
        <w:pStyle w:val="wyq110---naslov-clana"/>
        <w:shd w:val="clear" w:color="auto" w:fill="FFFFFF"/>
        <w:spacing w:before="240" w:beforeAutospacing="0" w:after="240" w:afterAutospacing="0" w:line="240" w:lineRule="atLeast"/>
        <w:rPr>
          <w:b/>
          <w:bCs/>
          <w:color w:val="000000"/>
          <w:lang w:val="sr-Cyrl-CS"/>
        </w:rPr>
      </w:pPr>
    </w:p>
    <w:p w:rsidR="00936978" w:rsidRPr="00797E29" w:rsidRDefault="00C403D2" w:rsidP="00797E29">
      <w:pPr>
        <w:ind w:firstLine="708"/>
        <w:jc w:val="both"/>
        <w:rPr>
          <w:rFonts w:ascii="Times New Roman" w:hAnsi="Times New Roman"/>
          <w:sz w:val="24"/>
          <w:szCs w:val="24"/>
          <w:lang w:val="sr-Cyrl-CS"/>
        </w:rPr>
      </w:pPr>
      <w:r w:rsidRPr="00797E29">
        <w:rPr>
          <w:rFonts w:ascii="Times New Roman" w:hAnsi="Times New Roman"/>
          <w:sz w:val="24"/>
          <w:szCs w:val="24"/>
          <w:lang w:val="sr-Cyrl-CS"/>
        </w:rPr>
        <w:t>Друштво кап</w:t>
      </w:r>
      <w:r w:rsidR="00FA72FD" w:rsidRPr="00797E29">
        <w:rPr>
          <w:rFonts w:ascii="Times New Roman" w:hAnsi="Times New Roman"/>
          <w:sz w:val="24"/>
          <w:szCs w:val="24"/>
          <w:lang w:val="sr-Cyrl-CS"/>
        </w:rPr>
        <w:t>итала може да се финансира акцијским капиталом ил</w:t>
      </w:r>
      <w:r w:rsidR="00FF5E2F" w:rsidRPr="00797E29">
        <w:rPr>
          <w:rFonts w:ascii="Times New Roman" w:hAnsi="Times New Roman"/>
          <w:sz w:val="24"/>
          <w:szCs w:val="24"/>
          <w:lang w:val="sr-Cyrl-CS"/>
        </w:rPr>
        <w:t xml:space="preserve">и задуживањем, </w:t>
      </w:r>
      <w:r w:rsidR="00FA72FD" w:rsidRPr="00797E29">
        <w:rPr>
          <w:rFonts w:ascii="Times New Roman" w:hAnsi="Times New Roman"/>
          <w:sz w:val="24"/>
          <w:szCs w:val="24"/>
          <w:lang w:val="sr-Cyrl-CS"/>
        </w:rPr>
        <w:t xml:space="preserve"> путем узимања кредита, или поза</w:t>
      </w:r>
      <w:r w:rsidR="00FF5E2F" w:rsidRPr="00797E29">
        <w:rPr>
          <w:rFonts w:ascii="Times New Roman" w:hAnsi="Times New Roman"/>
          <w:sz w:val="24"/>
          <w:szCs w:val="24"/>
          <w:lang w:val="sr-Cyrl-CS"/>
        </w:rPr>
        <w:t>ј</w:t>
      </w:r>
      <w:r w:rsidR="00FA72FD" w:rsidRPr="00797E29">
        <w:rPr>
          <w:rFonts w:ascii="Times New Roman" w:hAnsi="Times New Roman"/>
          <w:sz w:val="24"/>
          <w:szCs w:val="24"/>
          <w:lang w:val="sr-Cyrl-CS"/>
        </w:rPr>
        <w:t>мица од банака или других субјеката.</w:t>
      </w:r>
      <w:r w:rsidRPr="00797E29">
        <w:rPr>
          <w:rFonts w:ascii="Times New Roman" w:hAnsi="Times New Roman"/>
          <w:sz w:val="24"/>
          <w:szCs w:val="24"/>
          <w:lang w:val="sr-Cyrl-CS"/>
        </w:rPr>
        <w:t xml:space="preserve"> Удео позајмљеног капитала у трајном капиталу предузећа утиче на пореско оптерећење. У циљу см</w:t>
      </w:r>
      <w:r w:rsidR="00FA72FD" w:rsidRPr="00797E29">
        <w:rPr>
          <w:rFonts w:ascii="Times New Roman" w:hAnsi="Times New Roman"/>
          <w:sz w:val="24"/>
          <w:szCs w:val="24"/>
          <w:lang w:val="sr-Cyrl-CS"/>
        </w:rPr>
        <w:t>ањења овог оптерећења, а</w:t>
      </w:r>
      <w:r w:rsidRPr="00797E29">
        <w:rPr>
          <w:rFonts w:ascii="Times New Roman" w:hAnsi="Times New Roman"/>
          <w:sz w:val="24"/>
          <w:szCs w:val="24"/>
          <w:lang w:val="sr-Cyrl-CS"/>
        </w:rPr>
        <w:t xml:space="preserve"> </w:t>
      </w:r>
      <w:r w:rsidR="00FA72FD" w:rsidRPr="00797E29">
        <w:rPr>
          <w:rFonts w:ascii="Times New Roman" w:hAnsi="Times New Roman"/>
          <w:sz w:val="24"/>
          <w:szCs w:val="24"/>
          <w:lang w:val="sr-Cyrl-CS"/>
        </w:rPr>
        <w:t>руководећи се</w:t>
      </w:r>
      <w:r w:rsidRPr="00797E29">
        <w:rPr>
          <w:rFonts w:ascii="Times New Roman" w:hAnsi="Times New Roman"/>
          <w:sz w:val="24"/>
          <w:szCs w:val="24"/>
          <w:lang w:val="sr-Cyrl-CS"/>
        </w:rPr>
        <w:t xml:space="preserve"> фискалним разлозима, предузеће може да послује са неоправдано великим уделом позајмљених средстава. У таквом случају радиће се о нелигитимној зако</w:t>
      </w:r>
      <w:r w:rsidR="00FA72FD" w:rsidRPr="00797E29">
        <w:rPr>
          <w:rFonts w:ascii="Times New Roman" w:hAnsi="Times New Roman"/>
          <w:sz w:val="24"/>
          <w:szCs w:val="24"/>
          <w:lang w:val="sr-Cyrl-CS"/>
        </w:rPr>
        <w:t>нитој евазији пореза, је</w:t>
      </w:r>
      <w:r w:rsidR="00863E5E" w:rsidRPr="00797E29">
        <w:rPr>
          <w:rFonts w:ascii="Times New Roman" w:hAnsi="Times New Roman"/>
          <w:sz w:val="24"/>
          <w:szCs w:val="24"/>
          <w:lang w:val="sr-Cyrl-CS"/>
        </w:rPr>
        <w:t>р</w:t>
      </w:r>
      <w:r w:rsidR="00FA72FD" w:rsidRPr="00797E29">
        <w:rPr>
          <w:rFonts w:ascii="Times New Roman" w:hAnsi="Times New Roman"/>
          <w:sz w:val="24"/>
          <w:szCs w:val="24"/>
          <w:lang w:val="sr-Cyrl-CS"/>
        </w:rPr>
        <w:t xml:space="preserve"> ће на тај начин</w:t>
      </w:r>
      <w:r w:rsidRPr="00797E29">
        <w:rPr>
          <w:rFonts w:ascii="Times New Roman" w:hAnsi="Times New Roman"/>
          <w:sz w:val="24"/>
          <w:szCs w:val="24"/>
          <w:lang w:val="sr-Cyrl-CS"/>
        </w:rPr>
        <w:t xml:space="preserve"> предузеће смањити пореско оптерећење, а повећати свој профит.</w:t>
      </w:r>
      <w:r w:rsidR="00797E29">
        <w:rPr>
          <w:rFonts w:ascii="Times New Roman" w:hAnsi="Times New Roman"/>
          <w:sz w:val="24"/>
          <w:szCs w:val="24"/>
          <w:lang w:val="sr-Cyrl-CS"/>
        </w:rPr>
        <w:t xml:space="preserve"> </w:t>
      </w:r>
    </w:p>
    <w:p w:rsidR="00035562" w:rsidRPr="00797E29" w:rsidRDefault="00C46EE9" w:rsidP="00797E29">
      <w:pPr>
        <w:jc w:val="both"/>
        <w:rPr>
          <w:rFonts w:ascii="Times New Roman" w:hAnsi="Times New Roman"/>
          <w:sz w:val="24"/>
          <w:szCs w:val="24"/>
          <w:lang w:val="sr-Cyrl-CS"/>
        </w:rPr>
      </w:pPr>
      <w:r w:rsidRPr="00797E29">
        <w:rPr>
          <w:rFonts w:ascii="Times New Roman" w:hAnsi="Times New Roman"/>
          <w:sz w:val="24"/>
          <w:szCs w:val="24"/>
          <w:lang w:val="sr-Cyrl-CS"/>
        </w:rPr>
        <w:tab/>
      </w:r>
      <w:r w:rsidR="00F06B59" w:rsidRPr="00797E29">
        <w:rPr>
          <w:rFonts w:ascii="Times New Roman" w:hAnsi="Times New Roman"/>
          <w:sz w:val="24"/>
          <w:szCs w:val="24"/>
          <w:lang w:val="sr-Cyrl-CS"/>
        </w:rPr>
        <w:t>„</w:t>
      </w:r>
      <w:r w:rsidRPr="00797E29">
        <w:rPr>
          <w:rFonts w:ascii="Times New Roman" w:hAnsi="Times New Roman"/>
          <w:sz w:val="24"/>
          <w:szCs w:val="24"/>
          <w:lang w:val="sr-Cyrl-CS"/>
        </w:rPr>
        <w:t>Дивиденда, као приход по основу акције, двоструко је опорезована, једном на нивоу корпорације, а други пут као део укупног, годишњег дохотка акционара. С друге стране, исплаћене камате имају статус трошкова пословања и одбијају се од основице пореза на добит правног лица.</w:t>
      </w:r>
      <w:r w:rsidR="00F06B59" w:rsidRPr="00797E29">
        <w:rPr>
          <w:rFonts w:ascii="Times New Roman" w:hAnsi="Times New Roman"/>
          <w:sz w:val="24"/>
          <w:szCs w:val="24"/>
          <w:lang w:val="sr-Cyrl-CS"/>
        </w:rPr>
        <w:t>“</w:t>
      </w:r>
      <w:r w:rsidRPr="00797E29">
        <w:rPr>
          <w:rStyle w:val="FootnoteReference"/>
          <w:rFonts w:ascii="Times New Roman" w:hAnsi="Times New Roman"/>
          <w:color w:val="000000"/>
          <w:sz w:val="24"/>
          <w:szCs w:val="24"/>
          <w:lang w:val="sr-Cyrl-CS"/>
        </w:rPr>
        <w:footnoteReference w:id="318"/>
      </w:r>
      <w:r w:rsidRPr="00797E29">
        <w:rPr>
          <w:rFonts w:ascii="Times New Roman" w:hAnsi="Times New Roman"/>
          <w:sz w:val="24"/>
          <w:szCs w:val="24"/>
          <w:lang w:val="sr-Cyrl-CS"/>
        </w:rPr>
        <w:t xml:space="preserve"> </w:t>
      </w:r>
      <w:r w:rsidR="00171B0A" w:rsidRPr="00797E29">
        <w:rPr>
          <w:rFonts w:ascii="Times New Roman" w:hAnsi="Times New Roman"/>
          <w:sz w:val="24"/>
          <w:szCs w:val="24"/>
          <w:lang w:val="sr-Cyrl-CS"/>
        </w:rPr>
        <w:t xml:space="preserve">Камата не улази у основицу пореза на добит предузећа, јер се третира као трошак пословања, </w:t>
      </w:r>
      <w:r w:rsidR="00290A08" w:rsidRPr="00797E29">
        <w:rPr>
          <w:rFonts w:ascii="Times New Roman" w:hAnsi="Times New Roman"/>
          <w:sz w:val="24"/>
          <w:szCs w:val="24"/>
          <w:lang w:val="sr-Cyrl-CS"/>
        </w:rPr>
        <w:t xml:space="preserve">чиме се умањује опорезива добит, </w:t>
      </w:r>
      <w:r w:rsidR="00171B0A" w:rsidRPr="00797E29">
        <w:rPr>
          <w:rFonts w:ascii="Times New Roman" w:hAnsi="Times New Roman"/>
          <w:sz w:val="24"/>
          <w:szCs w:val="24"/>
          <w:lang w:val="sr-Cyrl-CS"/>
        </w:rPr>
        <w:t xml:space="preserve">док дивиденда улази у основицу пореза и самим тим </w:t>
      </w:r>
      <w:r w:rsidR="00290A08" w:rsidRPr="00797E29">
        <w:rPr>
          <w:rFonts w:ascii="Times New Roman" w:hAnsi="Times New Roman"/>
          <w:sz w:val="24"/>
          <w:szCs w:val="24"/>
          <w:lang w:val="sr-Cyrl-CS"/>
        </w:rPr>
        <w:t xml:space="preserve">се </w:t>
      </w:r>
      <w:r w:rsidR="00171B0A" w:rsidRPr="00797E29">
        <w:rPr>
          <w:rFonts w:ascii="Times New Roman" w:hAnsi="Times New Roman"/>
          <w:sz w:val="24"/>
          <w:szCs w:val="24"/>
          <w:lang w:val="sr-Cyrl-CS"/>
        </w:rPr>
        <w:t xml:space="preserve"> повећава</w:t>
      </w:r>
      <w:r w:rsidR="00290A08" w:rsidRPr="00797E29">
        <w:rPr>
          <w:rFonts w:ascii="Times New Roman" w:hAnsi="Times New Roman"/>
          <w:sz w:val="24"/>
          <w:szCs w:val="24"/>
          <w:lang w:val="sr-Cyrl-CS"/>
        </w:rPr>
        <w:t xml:space="preserve"> пореско оптерећење</w:t>
      </w:r>
      <w:r w:rsidR="00171B0A" w:rsidRPr="00797E29">
        <w:rPr>
          <w:rFonts w:ascii="Times New Roman" w:hAnsi="Times New Roman"/>
          <w:sz w:val="24"/>
          <w:szCs w:val="24"/>
          <w:lang w:val="sr-Cyrl-CS"/>
        </w:rPr>
        <w:t>.</w:t>
      </w:r>
    </w:p>
    <w:p w:rsidR="001B5D52" w:rsidRPr="00797E29" w:rsidRDefault="00035562" w:rsidP="00797E29">
      <w:pPr>
        <w:ind w:firstLine="708"/>
        <w:jc w:val="both"/>
        <w:rPr>
          <w:rFonts w:ascii="Times New Roman" w:hAnsi="Times New Roman"/>
          <w:sz w:val="24"/>
          <w:szCs w:val="24"/>
          <w:lang w:val="sr-Cyrl-CS"/>
        </w:rPr>
      </w:pPr>
      <w:r w:rsidRPr="00797E29">
        <w:rPr>
          <w:rFonts w:ascii="Times New Roman" w:hAnsi="Times New Roman"/>
          <w:sz w:val="24"/>
          <w:szCs w:val="24"/>
          <w:lang w:val="sr-Cyrl-CS"/>
        </w:rPr>
        <w:t>Утањена капитализација (е</w:t>
      </w:r>
      <w:r w:rsidRPr="00797E29">
        <w:rPr>
          <w:rFonts w:ascii="Times New Roman" w:hAnsi="Times New Roman"/>
          <w:sz w:val="24"/>
          <w:szCs w:val="24"/>
        </w:rPr>
        <w:t>ng</w:t>
      </w:r>
      <w:r w:rsidRPr="00797E29">
        <w:rPr>
          <w:rFonts w:ascii="Times New Roman" w:hAnsi="Times New Roman"/>
          <w:sz w:val="24"/>
          <w:szCs w:val="24"/>
          <w:lang w:val="sr-Cyrl-CS"/>
        </w:rPr>
        <w:t xml:space="preserve">. </w:t>
      </w:r>
      <w:r w:rsidRPr="00797E29">
        <w:rPr>
          <w:rFonts w:ascii="Times New Roman" w:hAnsi="Times New Roman"/>
          <w:sz w:val="24"/>
          <w:szCs w:val="24"/>
        </w:rPr>
        <w:t xml:space="preserve">thin capitalization) јавља се у случају када је позајмљени капитал </w:t>
      </w:r>
      <w:r w:rsidRPr="00797E29">
        <w:rPr>
          <w:rFonts w:ascii="Times New Roman" w:hAnsi="Times New Roman"/>
          <w:sz w:val="24"/>
          <w:szCs w:val="24"/>
          <w:lang w:val="sr-Cyrl-CS"/>
        </w:rPr>
        <w:t xml:space="preserve">знатно већи од сопственог капитала предузећа. </w:t>
      </w:r>
      <w:r w:rsidR="00171B0A" w:rsidRPr="00797E29">
        <w:rPr>
          <w:rFonts w:ascii="Times New Roman" w:hAnsi="Times New Roman"/>
          <w:sz w:val="24"/>
          <w:szCs w:val="24"/>
          <w:lang w:val="sr-Cyrl-CS"/>
        </w:rPr>
        <w:t xml:space="preserve">То је посебан облик пореске евазије који се јавља код опорезовања предузећа. </w:t>
      </w:r>
      <w:r w:rsidRPr="00797E29">
        <w:rPr>
          <w:rFonts w:ascii="Times New Roman" w:hAnsi="Times New Roman"/>
          <w:sz w:val="24"/>
          <w:szCs w:val="24"/>
          <w:lang w:val="sr-Cyrl-CS"/>
        </w:rPr>
        <w:t>Међутим</w:t>
      </w:r>
      <w:r w:rsidR="00564463" w:rsidRPr="00797E29">
        <w:rPr>
          <w:rFonts w:ascii="Times New Roman" w:hAnsi="Times New Roman"/>
          <w:sz w:val="24"/>
          <w:szCs w:val="24"/>
          <w:lang w:val="sr-Cyrl-CS"/>
        </w:rPr>
        <w:t>,</w:t>
      </w:r>
      <w:r w:rsidRPr="00797E29">
        <w:rPr>
          <w:rFonts w:ascii="Times New Roman" w:hAnsi="Times New Roman"/>
          <w:sz w:val="24"/>
          <w:szCs w:val="24"/>
          <w:lang w:val="sr-Cyrl-CS"/>
        </w:rPr>
        <w:t xml:space="preserve"> овакав однос позајмљеног и сопственог капитала не мора бити резултат само фискалних мотива, него може настати и из других разлога, попут повољних могућности задуживања на финансијском тржишту, по</w:t>
      </w:r>
      <w:r w:rsidR="00564463" w:rsidRPr="00797E29">
        <w:rPr>
          <w:rFonts w:ascii="Times New Roman" w:hAnsi="Times New Roman"/>
          <w:sz w:val="24"/>
          <w:szCs w:val="24"/>
          <w:lang w:val="sr-Cyrl-CS"/>
        </w:rPr>
        <w:t>вољније каматне стопе, очекиваног</w:t>
      </w:r>
      <w:r w:rsidRPr="00797E29">
        <w:rPr>
          <w:rFonts w:ascii="Times New Roman" w:hAnsi="Times New Roman"/>
          <w:sz w:val="24"/>
          <w:szCs w:val="24"/>
          <w:lang w:val="sr-Cyrl-CS"/>
        </w:rPr>
        <w:t xml:space="preserve"> профит</w:t>
      </w:r>
      <w:r w:rsidR="00564463" w:rsidRPr="00797E29">
        <w:rPr>
          <w:rFonts w:ascii="Times New Roman" w:hAnsi="Times New Roman"/>
          <w:sz w:val="24"/>
          <w:szCs w:val="24"/>
          <w:lang w:val="sr-Cyrl-CS"/>
        </w:rPr>
        <w:t>а</w:t>
      </w:r>
      <w:r w:rsidRPr="00797E29">
        <w:rPr>
          <w:rFonts w:ascii="Times New Roman" w:hAnsi="Times New Roman"/>
          <w:sz w:val="24"/>
          <w:szCs w:val="24"/>
          <w:lang w:val="sr-Cyrl-CS"/>
        </w:rPr>
        <w:t xml:space="preserve"> од једног пословног подухвата</w:t>
      </w:r>
      <w:r w:rsidR="00564463" w:rsidRPr="00797E29">
        <w:rPr>
          <w:rFonts w:ascii="Times New Roman" w:hAnsi="Times New Roman"/>
          <w:sz w:val="24"/>
          <w:szCs w:val="24"/>
          <w:lang w:val="sr-Cyrl-CS"/>
        </w:rPr>
        <w:t>, недостатка</w:t>
      </w:r>
      <w:r w:rsidR="00290A08" w:rsidRPr="00797E29">
        <w:rPr>
          <w:rFonts w:ascii="Times New Roman" w:hAnsi="Times New Roman"/>
          <w:sz w:val="24"/>
          <w:szCs w:val="24"/>
          <w:lang w:val="sr-Cyrl-CS"/>
        </w:rPr>
        <w:t xml:space="preserve"> сопственог капитала</w:t>
      </w:r>
      <w:r w:rsidRPr="00797E29">
        <w:rPr>
          <w:rFonts w:ascii="Times New Roman" w:hAnsi="Times New Roman"/>
          <w:sz w:val="24"/>
          <w:szCs w:val="24"/>
          <w:lang w:val="sr-Cyrl-CS"/>
        </w:rPr>
        <w:t xml:space="preserve"> и сл. Ипак, главни разлог пословања са неоправдано високим удело</w:t>
      </w:r>
      <w:r w:rsidR="00564463" w:rsidRPr="00797E29">
        <w:rPr>
          <w:rFonts w:ascii="Times New Roman" w:hAnsi="Times New Roman"/>
          <w:sz w:val="24"/>
          <w:szCs w:val="24"/>
          <w:lang w:val="sr-Cyrl-CS"/>
        </w:rPr>
        <w:t>м</w:t>
      </w:r>
      <w:r w:rsidRPr="00797E29">
        <w:rPr>
          <w:rFonts w:ascii="Times New Roman" w:hAnsi="Times New Roman"/>
          <w:sz w:val="24"/>
          <w:szCs w:val="24"/>
          <w:lang w:val="sr-Cyrl-CS"/>
        </w:rPr>
        <w:t xml:space="preserve"> позајмљених средстава јест</w:t>
      </w:r>
      <w:r w:rsidR="00564463" w:rsidRPr="00797E29">
        <w:rPr>
          <w:rFonts w:ascii="Times New Roman" w:hAnsi="Times New Roman"/>
          <w:sz w:val="24"/>
          <w:szCs w:val="24"/>
          <w:lang w:val="sr-Cyrl-CS"/>
        </w:rPr>
        <w:t>е</w:t>
      </w:r>
      <w:r w:rsidRPr="00797E29">
        <w:rPr>
          <w:rFonts w:ascii="Times New Roman" w:hAnsi="Times New Roman"/>
          <w:sz w:val="24"/>
          <w:szCs w:val="24"/>
          <w:lang w:val="sr-Cyrl-CS"/>
        </w:rPr>
        <w:t xml:space="preserve"> смањење пореског оптерећења.</w:t>
      </w:r>
    </w:p>
    <w:p w:rsidR="00C46EE9" w:rsidRPr="00797E29" w:rsidRDefault="00711270" w:rsidP="00797E29">
      <w:pPr>
        <w:ind w:firstLine="708"/>
        <w:jc w:val="both"/>
        <w:rPr>
          <w:rFonts w:ascii="Times New Roman" w:hAnsi="Times New Roman"/>
          <w:sz w:val="24"/>
          <w:szCs w:val="24"/>
          <w:lang w:val="sr-Cyrl-CS"/>
        </w:rPr>
      </w:pPr>
      <w:r w:rsidRPr="00797E29">
        <w:rPr>
          <w:rFonts w:ascii="Times New Roman" w:hAnsi="Times New Roman"/>
          <w:sz w:val="24"/>
          <w:szCs w:val="24"/>
          <w:lang w:val="sr-Cyrl-CS"/>
        </w:rPr>
        <w:t>„</w:t>
      </w:r>
      <w:r w:rsidR="001B5D52" w:rsidRPr="00797E29">
        <w:rPr>
          <w:rFonts w:ascii="Times New Roman" w:hAnsi="Times New Roman"/>
          <w:sz w:val="24"/>
          <w:szCs w:val="24"/>
          <w:lang w:val="sr-Cyrl-CS"/>
        </w:rPr>
        <w:t>Вештачки високо учешће позајмљених средстава у структури капитала предузећа омогућује: (1) да се оствари пореска погодност исказивања камата који</w:t>
      </w:r>
      <w:r w:rsidR="00114791" w:rsidRPr="00797E29">
        <w:rPr>
          <w:rFonts w:ascii="Times New Roman" w:hAnsi="Times New Roman"/>
          <w:sz w:val="24"/>
          <w:szCs w:val="24"/>
          <w:lang w:val="sr-Cyrl-CS"/>
        </w:rPr>
        <w:t>ма се умањује основица пореза на</w:t>
      </w:r>
      <w:r w:rsidR="001B5D52" w:rsidRPr="00797E29">
        <w:rPr>
          <w:rFonts w:ascii="Times New Roman" w:hAnsi="Times New Roman"/>
          <w:sz w:val="24"/>
          <w:szCs w:val="24"/>
          <w:lang w:val="sr-Cyrl-CS"/>
        </w:rPr>
        <w:t xml:space="preserve"> добит предузећа, (2) да се избегне економско двоструко опорезивање дивиденди, (3) да се искористи пов</w:t>
      </w:r>
      <w:r w:rsidR="00114791" w:rsidRPr="00797E29">
        <w:rPr>
          <w:rFonts w:ascii="Times New Roman" w:hAnsi="Times New Roman"/>
          <w:sz w:val="24"/>
          <w:szCs w:val="24"/>
          <w:lang w:val="sr-Cyrl-CS"/>
        </w:rPr>
        <w:t>ољнија пореска стопа пореза на</w:t>
      </w:r>
      <w:r w:rsidR="001B5D52" w:rsidRPr="00797E29">
        <w:rPr>
          <w:rFonts w:ascii="Times New Roman" w:hAnsi="Times New Roman"/>
          <w:sz w:val="24"/>
          <w:szCs w:val="24"/>
          <w:lang w:val="sr-Cyrl-CS"/>
        </w:rPr>
        <w:t xml:space="preserve"> добит по одбитку на камате која се често предвиђа </w:t>
      </w:r>
      <w:r w:rsidR="00114791" w:rsidRPr="00797E29">
        <w:rPr>
          <w:rFonts w:ascii="Times New Roman" w:hAnsi="Times New Roman"/>
          <w:sz w:val="24"/>
          <w:szCs w:val="24"/>
          <w:lang w:val="sr-Cyrl-CS"/>
        </w:rPr>
        <w:t xml:space="preserve">у </w:t>
      </w:r>
      <w:r w:rsidR="001B5D52" w:rsidRPr="00797E29">
        <w:rPr>
          <w:rFonts w:ascii="Times New Roman" w:hAnsi="Times New Roman"/>
          <w:sz w:val="24"/>
          <w:szCs w:val="24"/>
          <w:lang w:val="sr-Cyrl-CS"/>
        </w:rPr>
        <w:t>уговорима о избегавању двостр</w:t>
      </w:r>
      <w:r w:rsidR="00114791" w:rsidRPr="00797E29">
        <w:rPr>
          <w:rFonts w:ascii="Times New Roman" w:hAnsi="Times New Roman"/>
          <w:sz w:val="24"/>
          <w:szCs w:val="24"/>
          <w:lang w:val="sr-Cyrl-CS"/>
        </w:rPr>
        <w:t>у</w:t>
      </w:r>
      <w:r w:rsidR="001B5D52" w:rsidRPr="00797E29">
        <w:rPr>
          <w:rFonts w:ascii="Times New Roman" w:hAnsi="Times New Roman"/>
          <w:sz w:val="24"/>
          <w:szCs w:val="24"/>
          <w:lang w:val="sr-Cyrl-CS"/>
        </w:rPr>
        <w:t>ког опорезивања.</w:t>
      </w:r>
      <w:r w:rsidRPr="00797E29">
        <w:rPr>
          <w:rFonts w:ascii="Times New Roman" w:hAnsi="Times New Roman"/>
          <w:sz w:val="24"/>
          <w:szCs w:val="24"/>
          <w:lang w:val="sr-Cyrl-CS"/>
        </w:rPr>
        <w:t>“</w:t>
      </w:r>
      <w:r w:rsidR="001B5D52" w:rsidRPr="00797E29">
        <w:rPr>
          <w:rStyle w:val="FootnoteReference"/>
          <w:rFonts w:ascii="Times New Roman" w:hAnsi="Times New Roman"/>
          <w:color w:val="000000"/>
          <w:sz w:val="24"/>
          <w:szCs w:val="24"/>
          <w:lang w:val="sr-Cyrl-CS"/>
        </w:rPr>
        <w:footnoteReference w:id="319"/>
      </w:r>
      <w:r w:rsidRPr="00797E29">
        <w:rPr>
          <w:rFonts w:ascii="Times New Roman" w:hAnsi="Times New Roman"/>
          <w:sz w:val="24"/>
          <w:szCs w:val="24"/>
          <w:lang w:val="sr-Cyrl-CS"/>
        </w:rPr>
        <w:t xml:space="preserve"> </w:t>
      </w:r>
    </w:p>
    <w:p w:rsidR="00290A08" w:rsidRPr="00797E29" w:rsidRDefault="00936978" w:rsidP="00797E29">
      <w:pPr>
        <w:jc w:val="both"/>
        <w:rPr>
          <w:rFonts w:ascii="Times New Roman" w:hAnsi="Times New Roman"/>
          <w:sz w:val="24"/>
          <w:szCs w:val="24"/>
          <w:lang w:val="sr-Cyrl-CS"/>
        </w:rPr>
      </w:pPr>
      <w:r w:rsidRPr="00797E29">
        <w:rPr>
          <w:rFonts w:ascii="Times New Roman" w:hAnsi="Times New Roman"/>
          <w:sz w:val="24"/>
          <w:szCs w:val="24"/>
          <w:lang w:val="sr-Cyrl-CS"/>
        </w:rPr>
        <w:tab/>
      </w:r>
      <w:r w:rsidR="00F06B59" w:rsidRPr="00797E29">
        <w:rPr>
          <w:rFonts w:ascii="Times New Roman" w:hAnsi="Times New Roman"/>
          <w:sz w:val="24"/>
          <w:szCs w:val="24"/>
          <w:lang w:val="sr-Cyrl-CS"/>
        </w:rPr>
        <w:t>„</w:t>
      </w:r>
      <w:r w:rsidRPr="00797E29">
        <w:rPr>
          <w:rFonts w:ascii="Times New Roman" w:hAnsi="Times New Roman"/>
          <w:sz w:val="24"/>
          <w:szCs w:val="24"/>
          <w:lang w:val="sr-Cyrl-CS"/>
        </w:rPr>
        <w:t>Упоредноправно посматрано, нелигитимној зак</w:t>
      </w:r>
      <w:r w:rsidR="00114791" w:rsidRPr="00797E29">
        <w:rPr>
          <w:rFonts w:ascii="Times New Roman" w:hAnsi="Times New Roman"/>
          <w:sz w:val="24"/>
          <w:szCs w:val="24"/>
          <w:lang w:val="sr-Cyrl-CS"/>
        </w:rPr>
        <w:t>онитој пореској евазији путем ут</w:t>
      </w:r>
      <w:r w:rsidRPr="00797E29">
        <w:rPr>
          <w:rFonts w:ascii="Times New Roman" w:hAnsi="Times New Roman"/>
          <w:sz w:val="24"/>
          <w:szCs w:val="24"/>
          <w:lang w:val="sr-Cyrl-CS"/>
        </w:rPr>
        <w:t>ањене капитализације може се супротставити: а) проп</w:t>
      </w:r>
      <w:r w:rsidR="00035562" w:rsidRPr="00797E29">
        <w:rPr>
          <w:rFonts w:ascii="Times New Roman" w:hAnsi="Times New Roman"/>
          <w:sz w:val="24"/>
          <w:szCs w:val="24"/>
          <w:lang w:val="sr-Cyrl-CS"/>
        </w:rPr>
        <w:t>и</w:t>
      </w:r>
      <w:r w:rsidRPr="00797E29">
        <w:rPr>
          <w:rFonts w:ascii="Times New Roman" w:hAnsi="Times New Roman"/>
          <w:sz w:val="24"/>
          <w:szCs w:val="24"/>
          <w:lang w:val="sr-Cyrl-CS"/>
        </w:rPr>
        <w:t xml:space="preserve">сивањем </w:t>
      </w:r>
      <w:r w:rsidR="00035562" w:rsidRPr="00797E29">
        <w:rPr>
          <w:rFonts w:ascii="Times New Roman" w:hAnsi="Times New Roman"/>
          <w:sz w:val="24"/>
          <w:szCs w:val="24"/>
          <w:lang w:val="sr-Cyrl-CS"/>
        </w:rPr>
        <w:t>фиксног односа „позајмљени капитал –сопствени капитал“; б) применом принципа „ван дохвата руке“; или ц) применом правила о забрани злоупотребе права.</w:t>
      </w:r>
      <w:r w:rsidR="00F06B59" w:rsidRPr="00797E29">
        <w:rPr>
          <w:rFonts w:ascii="Times New Roman" w:hAnsi="Times New Roman"/>
          <w:sz w:val="24"/>
          <w:szCs w:val="24"/>
          <w:lang w:val="sr-Cyrl-CS"/>
        </w:rPr>
        <w:t>..</w:t>
      </w:r>
      <w:r w:rsidR="00E83A24" w:rsidRPr="00797E29">
        <w:rPr>
          <w:rFonts w:ascii="Times New Roman" w:hAnsi="Times New Roman"/>
          <w:sz w:val="24"/>
          <w:szCs w:val="24"/>
          <w:lang w:val="sr-Cyrl-CS"/>
        </w:rPr>
        <w:t xml:space="preserve"> У појединим државама, попут Финске и Норвешке, примењује се принцип „ван дохвата руке“ да би се установио позајмљени капитал-сопствени капитал. Наиме, ако би удео позајмљених средстава у </w:t>
      </w:r>
      <w:r w:rsidR="00E83A24" w:rsidRPr="00797E29">
        <w:rPr>
          <w:rFonts w:ascii="Times New Roman" w:hAnsi="Times New Roman"/>
          <w:sz w:val="24"/>
          <w:szCs w:val="24"/>
          <w:lang w:val="sr-Cyrl-CS"/>
        </w:rPr>
        <w:lastRenderedPageBreak/>
        <w:t xml:space="preserve">укупном капиталу дужника био већи од удела који </w:t>
      </w:r>
      <w:r w:rsidR="00114791" w:rsidRPr="00797E29">
        <w:rPr>
          <w:rFonts w:ascii="Times New Roman" w:hAnsi="Times New Roman"/>
          <w:sz w:val="24"/>
          <w:szCs w:val="24"/>
          <w:lang w:val="sr-Cyrl-CS"/>
        </w:rPr>
        <w:t>б</w:t>
      </w:r>
      <w:r w:rsidR="00E83A24" w:rsidRPr="00797E29">
        <w:rPr>
          <w:rFonts w:ascii="Times New Roman" w:hAnsi="Times New Roman"/>
          <w:sz w:val="24"/>
          <w:szCs w:val="24"/>
          <w:lang w:val="sr-Cyrl-CS"/>
        </w:rPr>
        <w:t>и се успоставио у ситуацији „ван дохвата руке“, онда се може претпоставити да зајмодавац има интереса у профитабилности правног лица-зајмопримца, што повлачи да ће пореске власти онај део зајма који је изнад нивоа „ван дохвата руке“ са порескоп</w:t>
      </w:r>
      <w:r w:rsidR="00863E5E" w:rsidRPr="00797E29">
        <w:rPr>
          <w:rFonts w:ascii="Times New Roman" w:hAnsi="Times New Roman"/>
          <w:sz w:val="24"/>
          <w:szCs w:val="24"/>
          <w:lang w:val="sr-Cyrl-CS"/>
        </w:rPr>
        <w:t>р</w:t>
      </w:r>
      <w:r w:rsidR="00E83A24" w:rsidRPr="00797E29">
        <w:rPr>
          <w:rFonts w:ascii="Times New Roman" w:hAnsi="Times New Roman"/>
          <w:sz w:val="24"/>
          <w:szCs w:val="24"/>
          <w:lang w:val="sr-Cyrl-CS"/>
        </w:rPr>
        <w:t>авног становишта третирати као акцијски капитал, а камату која је исплаћена по основу тог дела зајма као дивиденду.</w:t>
      </w:r>
      <w:r w:rsidR="00F06B59" w:rsidRPr="00797E29">
        <w:rPr>
          <w:rFonts w:ascii="Times New Roman" w:hAnsi="Times New Roman"/>
          <w:sz w:val="24"/>
          <w:szCs w:val="24"/>
          <w:lang w:val="sr-Cyrl-CS"/>
        </w:rPr>
        <w:t>“</w:t>
      </w:r>
      <w:r w:rsidR="00035562" w:rsidRPr="00797E29">
        <w:rPr>
          <w:rStyle w:val="FootnoteReference"/>
          <w:rFonts w:ascii="Times New Roman" w:hAnsi="Times New Roman"/>
          <w:color w:val="000000"/>
          <w:sz w:val="24"/>
          <w:szCs w:val="24"/>
          <w:lang w:val="sr-Cyrl-CS"/>
        </w:rPr>
        <w:footnoteReference w:id="320"/>
      </w:r>
    </w:p>
    <w:p w:rsidR="002E16CC" w:rsidRPr="00797E29" w:rsidRDefault="00290A08" w:rsidP="00797E29">
      <w:pPr>
        <w:ind w:firstLine="708"/>
        <w:jc w:val="both"/>
        <w:rPr>
          <w:rFonts w:ascii="Times New Roman" w:hAnsi="Times New Roman"/>
          <w:sz w:val="24"/>
          <w:szCs w:val="24"/>
          <w:lang w:val="sr-Cyrl-CS"/>
        </w:rPr>
      </w:pPr>
      <w:r w:rsidRPr="00797E29">
        <w:rPr>
          <w:rFonts w:ascii="Times New Roman" w:hAnsi="Times New Roman"/>
          <w:sz w:val="24"/>
          <w:szCs w:val="24"/>
          <w:lang w:val="sr-Cyrl-CS"/>
        </w:rPr>
        <w:t>Поред наведених административних мер</w:t>
      </w:r>
      <w:r w:rsidR="00114791" w:rsidRPr="00797E29">
        <w:rPr>
          <w:rFonts w:ascii="Times New Roman" w:hAnsi="Times New Roman"/>
          <w:sz w:val="24"/>
          <w:szCs w:val="24"/>
          <w:lang w:val="sr-Cyrl-CS"/>
        </w:rPr>
        <w:t>а против утањене кап</w:t>
      </w:r>
      <w:r w:rsidR="00863E5E" w:rsidRPr="00797E29">
        <w:rPr>
          <w:rFonts w:ascii="Times New Roman" w:hAnsi="Times New Roman"/>
          <w:sz w:val="24"/>
          <w:szCs w:val="24"/>
          <w:lang w:val="sr-Cyrl-CS"/>
        </w:rPr>
        <w:t>итализације</w:t>
      </w:r>
      <w:r w:rsidRPr="00797E29">
        <w:rPr>
          <w:rFonts w:ascii="Times New Roman" w:hAnsi="Times New Roman"/>
          <w:sz w:val="24"/>
          <w:szCs w:val="24"/>
          <w:lang w:val="sr-Cyrl-CS"/>
        </w:rPr>
        <w:t xml:space="preserve"> битна је економска мера уједначавања пореског третмана камата и дивиденди.</w:t>
      </w:r>
      <w:r w:rsidR="00114791" w:rsidRPr="00797E29">
        <w:rPr>
          <w:rFonts w:ascii="Times New Roman" w:hAnsi="Times New Roman"/>
          <w:sz w:val="24"/>
          <w:szCs w:val="24"/>
          <w:lang w:val="sr-Cyrl-CS"/>
        </w:rPr>
        <w:t xml:space="preserve"> </w:t>
      </w:r>
      <w:r w:rsidR="00E83A24" w:rsidRPr="00797E29">
        <w:rPr>
          <w:rFonts w:ascii="Times New Roman" w:hAnsi="Times New Roman"/>
          <w:sz w:val="24"/>
          <w:szCs w:val="24"/>
          <w:lang w:val="sr-Cyrl-CS"/>
        </w:rPr>
        <w:t>Према нашем пореском законодавству однос „позајмљени капитал –сопстве</w:t>
      </w:r>
      <w:r w:rsidR="00114791" w:rsidRPr="00797E29">
        <w:rPr>
          <w:rFonts w:ascii="Times New Roman" w:hAnsi="Times New Roman"/>
          <w:sz w:val="24"/>
          <w:szCs w:val="24"/>
          <w:lang w:val="sr-Cyrl-CS"/>
        </w:rPr>
        <w:t xml:space="preserve">ни капитал“ је 4:1, односно 10:1, </w:t>
      </w:r>
      <w:r w:rsidR="00E83A24" w:rsidRPr="00797E29">
        <w:rPr>
          <w:rFonts w:ascii="Times New Roman" w:hAnsi="Times New Roman"/>
          <w:sz w:val="24"/>
          <w:szCs w:val="24"/>
          <w:lang w:val="sr-Cyrl-CS"/>
        </w:rPr>
        <w:t xml:space="preserve"> јер </w:t>
      </w:r>
      <w:r w:rsidR="00114791" w:rsidRPr="00797E29">
        <w:rPr>
          <w:rFonts w:ascii="Times New Roman" w:hAnsi="Times New Roman"/>
          <w:sz w:val="24"/>
          <w:szCs w:val="24"/>
        </w:rPr>
        <w:t>код</w:t>
      </w:r>
      <w:r w:rsidR="002E16CC" w:rsidRPr="00797E29">
        <w:rPr>
          <w:rFonts w:ascii="Times New Roman" w:hAnsi="Times New Roman"/>
          <w:sz w:val="24"/>
          <w:szCs w:val="24"/>
        </w:rPr>
        <w:t xml:space="preserve"> </w:t>
      </w:r>
      <w:r w:rsidR="00114791" w:rsidRPr="00797E29">
        <w:rPr>
          <w:rFonts w:ascii="Times New Roman" w:hAnsi="Times New Roman"/>
          <w:sz w:val="24"/>
          <w:szCs w:val="24"/>
        </w:rPr>
        <w:t>дуга</w:t>
      </w:r>
      <w:r w:rsidR="002E16CC" w:rsidRPr="00797E29">
        <w:rPr>
          <w:rFonts w:ascii="Times New Roman" w:hAnsi="Times New Roman"/>
          <w:sz w:val="24"/>
          <w:szCs w:val="24"/>
        </w:rPr>
        <w:t xml:space="preserve"> </w:t>
      </w:r>
      <w:r w:rsidR="00114791" w:rsidRPr="00797E29">
        <w:rPr>
          <w:rFonts w:ascii="Times New Roman" w:hAnsi="Times New Roman"/>
          <w:sz w:val="24"/>
          <w:szCs w:val="24"/>
        </w:rPr>
        <w:t>према</w:t>
      </w:r>
      <w:r w:rsidR="002E16CC" w:rsidRPr="00797E29">
        <w:rPr>
          <w:rFonts w:ascii="Times New Roman" w:hAnsi="Times New Roman"/>
          <w:sz w:val="24"/>
          <w:szCs w:val="24"/>
        </w:rPr>
        <w:t xml:space="preserve"> </w:t>
      </w:r>
      <w:r w:rsidR="00114791" w:rsidRPr="00797E29">
        <w:rPr>
          <w:rFonts w:ascii="Times New Roman" w:hAnsi="Times New Roman"/>
          <w:sz w:val="24"/>
          <w:szCs w:val="24"/>
        </w:rPr>
        <w:t>повериоцу</w:t>
      </w:r>
      <w:r w:rsidR="002E16CC" w:rsidRPr="00797E29">
        <w:rPr>
          <w:rFonts w:ascii="Times New Roman" w:hAnsi="Times New Roman"/>
          <w:sz w:val="24"/>
          <w:szCs w:val="24"/>
        </w:rPr>
        <w:t xml:space="preserve"> </w:t>
      </w:r>
      <w:r w:rsidR="00114791" w:rsidRPr="00797E29">
        <w:rPr>
          <w:rFonts w:ascii="Times New Roman" w:hAnsi="Times New Roman"/>
          <w:sz w:val="24"/>
          <w:szCs w:val="24"/>
        </w:rPr>
        <w:t>са</w:t>
      </w:r>
      <w:r w:rsidR="002E16CC" w:rsidRPr="00797E29">
        <w:rPr>
          <w:rFonts w:ascii="Times New Roman" w:hAnsi="Times New Roman"/>
          <w:sz w:val="24"/>
          <w:szCs w:val="24"/>
        </w:rPr>
        <w:t xml:space="preserve"> </w:t>
      </w:r>
      <w:r w:rsidR="00114791" w:rsidRPr="00797E29">
        <w:rPr>
          <w:rFonts w:ascii="Times New Roman" w:hAnsi="Times New Roman"/>
          <w:sz w:val="24"/>
          <w:szCs w:val="24"/>
        </w:rPr>
        <w:t>статусом</w:t>
      </w:r>
      <w:r w:rsidR="002E16CC" w:rsidRPr="00797E29">
        <w:rPr>
          <w:rFonts w:ascii="Times New Roman" w:hAnsi="Times New Roman"/>
          <w:sz w:val="24"/>
          <w:szCs w:val="24"/>
        </w:rPr>
        <w:t xml:space="preserve"> </w:t>
      </w:r>
      <w:r w:rsidR="00114791" w:rsidRPr="00797E29">
        <w:rPr>
          <w:rFonts w:ascii="Times New Roman" w:hAnsi="Times New Roman"/>
          <w:sz w:val="24"/>
          <w:szCs w:val="24"/>
        </w:rPr>
        <w:t>повезаног</w:t>
      </w:r>
      <w:r w:rsidR="002E16CC" w:rsidRPr="00797E29">
        <w:rPr>
          <w:rFonts w:ascii="Times New Roman" w:hAnsi="Times New Roman"/>
          <w:sz w:val="24"/>
          <w:szCs w:val="24"/>
        </w:rPr>
        <w:t xml:space="preserve"> </w:t>
      </w:r>
      <w:r w:rsidR="00114791" w:rsidRPr="00797E29">
        <w:rPr>
          <w:rFonts w:ascii="Times New Roman" w:hAnsi="Times New Roman"/>
          <w:sz w:val="24"/>
          <w:szCs w:val="24"/>
        </w:rPr>
        <w:t>лица</w:t>
      </w:r>
      <w:r w:rsidR="002E16CC" w:rsidRPr="00797E29">
        <w:rPr>
          <w:rFonts w:ascii="Times New Roman" w:hAnsi="Times New Roman"/>
          <w:sz w:val="24"/>
          <w:szCs w:val="24"/>
        </w:rPr>
        <w:t xml:space="preserve">, </w:t>
      </w:r>
      <w:r w:rsidR="00114791" w:rsidRPr="00797E29">
        <w:rPr>
          <w:rFonts w:ascii="Times New Roman" w:hAnsi="Times New Roman"/>
          <w:sz w:val="24"/>
          <w:szCs w:val="24"/>
        </w:rPr>
        <w:t>пореском</w:t>
      </w:r>
      <w:r w:rsidR="002E16CC" w:rsidRPr="00797E29">
        <w:rPr>
          <w:rFonts w:ascii="Times New Roman" w:hAnsi="Times New Roman"/>
          <w:sz w:val="24"/>
          <w:szCs w:val="24"/>
        </w:rPr>
        <w:t xml:space="preserve"> </w:t>
      </w:r>
      <w:r w:rsidR="00114791" w:rsidRPr="00797E29">
        <w:rPr>
          <w:rFonts w:ascii="Times New Roman" w:hAnsi="Times New Roman"/>
          <w:sz w:val="24"/>
          <w:szCs w:val="24"/>
        </w:rPr>
        <w:t>обвезнику</w:t>
      </w:r>
      <w:r w:rsidR="002E16CC" w:rsidRPr="00797E29">
        <w:rPr>
          <w:rFonts w:ascii="Times New Roman" w:hAnsi="Times New Roman"/>
          <w:sz w:val="24"/>
          <w:szCs w:val="24"/>
        </w:rPr>
        <w:t xml:space="preserve">, </w:t>
      </w:r>
      <w:r w:rsidR="00114791" w:rsidRPr="00797E29">
        <w:rPr>
          <w:rFonts w:ascii="Times New Roman" w:hAnsi="Times New Roman"/>
          <w:sz w:val="24"/>
          <w:szCs w:val="24"/>
        </w:rPr>
        <w:t>признаје</w:t>
      </w:r>
      <w:r w:rsidR="002E16CC" w:rsidRPr="00797E29">
        <w:rPr>
          <w:rFonts w:ascii="Times New Roman" w:hAnsi="Times New Roman"/>
          <w:sz w:val="24"/>
          <w:szCs w:val="24"/>
        </w:rPr>
        <w:t xml:space="preserve"> </w:t>
      </w:r>
      <w:r w:rsidR="00114791" w:rsidRPr="00797E29">
        <w:rPr>
          <w:rFonts w:ascii="Times New Roman" w:hAnsi="Times New Roman"/>
          <w:sz w:val="24"/>
          <w:szCs w:val="24"/>
        </w:rPr>
        <w:t>се</w:t>
      </w:r>
      <w:r w:rsidR="002E16CC" w:rsidRPr="00797E29">
        <w:rPr>
          <w:rFonts w:ascii="Times New Roman" w:hAnsi="Times New Roman"/>
          <w:sz w:val="24"/>
          <w:szCs w:val="24"/>
        </w:rPr>
        <w:t xml:space="preserve"> </w:t>
      </w:r>
      <w:r w:rsidR="00114791" w:rsidRPr="00797E29">
        <w:rPr>
          <w:rFonts w:ascii="Times New Roman" w:hAnsi="Times New Roman"/>
          <w:sz w:val="24"/>
          <w:szCs w:val="24"/>
        </w:rPr>
        <w:t>као</w:t>
      </w:r>
      <w:r w:rsidR="002E16CC" w:rsidRPr="00797E29">
        <w:rPr>
          <w:rFonts w:ascii="Times New Roman" w:hAnsi="Times New Roman"/>
          <w:sz w:val="24"/>
          <w:szCs w:val="24"/>
        </w:rPr>
        <w:t xml:space="preserve"> </w:t>
      </w:r>
      <w:r w:rsidR="00114791" w:rsidRPr="00797E29">
        <w:rPr>
          <w:rFonts w:ascii="Times New Roman" w:hAnsi="Times New Roman"/>
          <w:sz w:val="24"/>
          <w:szCs w:val="24"/>
        </w:rPr>
        <w:t>расход</w:t>
      </w:r>
      <w:r w:rsidR="002E16CC" w:rsidRPr="00797E29">
        <w:rPr>
          <w:rFonts w:ascii="Times New Roman" w:hAnsi="Times New Roman"/>
          <w:sz w:val="24"/>
          <w:szCs w:val="24"/>
        </w:rPr>
        <w:t xml:space="preserve"> </w:t>
      </w:r>
      <w:r w:rsidR="00114791" w:rsidRPr="00797E29">
        <w:rPr>
          <w:rFonts w:ascii="Times New Roman" w:hAnsi="Times New Roman"/>
          <w:sz w:val="24"/>
          <w:szCs w:val="24"/>
        </w:rPr>
        <w:t>у</w:t>
      </w:r>
      <w:r w:rsidR="002E16CC" w:rsidRPr="00797E29">
        <w:rPr>
          <w:rFonts w:ascii="Times New Roman" w:hAnsi="Times New Roman"/>
          <w:sz w:val="24"/>
          <w:szCs w:val="24"/>
        </w:rPr>
        <w:t xml:space="preserve"> </w:t>
      </w:r>
      <w:r w:rsidR="00114791" w:rsidRPr="00797E29">
        <w:rPr>
          <w:rFonts w:ascii="Times New Roman" w:hAnsi="Times New Roman"/>
          <w:sz w:val="24"/>
          <w:szCs w:val="24"/>
        </w:rPr>
        <w:t>пореском</w:t>
      </w:r>
      <w:r w:rsidR="002E16CC" w:rsidRPr="00797E29">
        <w:rPr>
          <w:rFonts w:ascii="Times New Roman" w:hAnsi="Times New Roman"/>
          <w:sz w:val="24"/>
          <w:szCs w:val="24"/>
        </w:rPr>
        <w:t xml:space="preserve"> </w:t>
      </w:r>
      <w:r w:rsidR="00114791" w:rsidRPr="00797E29">
        <w:rPr>
          <w:rFonts w:ascii="Times New Roman" w:hAnsi="Times New Roman"/>
          <w:sz w:val="24"/>
          <w:szCs w:val="24"/>
        </w:rPr>
        <w:t>билансу</w:t>
      </w:r>
      <w:r w:rsidR="002E16CC" w:rsidRPr="00797E29">
        <w:rPr>
          <w:rFonts w:ascii="Times New Roman" w:hAnsi="Times New Roman"/>
          <w:sz w:val="24"/>
          <w:szCs w:val="24"/>
        </w:rPr>
        <w:t xml:space="preserve"> </w:t>
      </w:r>
      <w:r w:rsidR="00114791" w:rsidRPr="00797E29">
        <w:rPr>
          <w:rFonts w:ascii="Times New Roman" w:hAnsi="Times New Roman"/>
          <w:sz w:val="24"/>
          <w:szCs w:val="24"/>
        </w:rPr>
        <w:t>износ</w:t>
      </w:r>
      <w:r w:rsidR="002E16CC" w:rsidRPr="00797E29">
        <w:rPr>
          <w:rFonts w:ascii="Times New Roman" w:hAnsi="Times New Roman"/>
          <w:sz w:val="24"/>
          <w:szCs w:val="24"/>
        </w:rPr>
        <w:t xml:space="preserve"> </w:t>
      </w:r>
      <w:r w:rsidR="00114791" w:rsidRPr="00797E29">
        <w:rPr>
          <w:rFonts w:ascii="Times New Roman" w:hAnsi="Times New Roman"/>
          <w:sz w:val="24"/>
          <w:szCs w:val="24"/>
        </w:rPr>
        <w:t>камате</w:t>
      </w:r>
      <w:r w:rsidR="002E16CC" w:rsidRPr="00797E29">
        <w:rPr>
          <w:rFonts w:ascii="Times New Roman" w:hAnsi="Times New Roman"/>
          <w:sz w:val="24"/>
          <w:szCs w:val="24"/>
        </w:rPr>
        <w:t xml:space="preserve"> </w:t>
      </w:r>
      <w:r w:rsidR="00114791" w:rsidRPr="00797E29">
        <w:rPr>
          <w:rFonts w:ascii="Times New Roman" w:hAnsi="Times New Roman"/>
          <w:sz w:val="24"/>
          <w:szCs w:val="24"/>
        </w:rPr>
        <w:t>и</w:t>
      </w:r>
      <w:r w:rsidR="002E16CC" w:rsidRPr="00797E29">
        <w:rPr>
          <w:rFonts w:ascii="Times New Roman" w:hAnsi="Times New Roman"/>
          <w:sz w:val="24"/>
          <w:szCs w:val="24"/>
        </w:rPr>
        <w:t xml:space="preserve"> </w:t>
      </w:r>
      <w:r w:rsidR="00114791" w:rsidRPr="00797E29">
        <w:rPr>
          <w:rFonts w:ascii="Times New Roman" w:hAnsi="Times New Roman"/>
          <w:sz w:val="24"/>
          <w:szCs w:val="24"/>
        </w:rPr>
        <w:t>припадајућих</w:t>
      </w:r>
      <w:r w:rsidR="002E16CC" w:rsidRPr="00797E29">
        <w:rPr>
          <w:rFonts w:ascii="Times New Roman" w:hAnsi="Times New Roman"/>
          <w:sz w:val="24"/>
          <w:szCs w:val="24"/>
        </w:rPr>
        <w:t xml:space="preserve"> </w:t>
      </w:r>
      <w:r w:rsidR="00114791" w:rsidRPr="00797E29">
        <w:rPr>
          <w:rFonts w:ascii="Times New Roman" w:hAnsi="Times New Roman"/>
          <w:sz w:val="24"/>
          <w:szCs w:val="24"/>
        </w:rPr>
        <w:t>трошкова</w:t>
      </w:r>
      <w:r w:rsidR="002E16CC" w:rsidRPr="00797E29">
        <w:rPr>
          <w:rFonts w:ascii="Times New Roman" w:hAnsi="Times New Roman"/>
          <w:sz w:val="24"/>
          <w:szCs w:val="24"/>
        </w:rPr>
        <w:t xml:space="preserve"> </w:t>
      </w:r>
      <w:r w:rsidR="00114791" w:rsidRPr="00797E29">
        <w:rPr>
          <w:rFonts w:ascii="Times New Roman" w:hAnsi="Times New Roman"/>
          <w:sz w:val="24"/>
          <w:szCs w:val="24"/>
        </w:rPr>
        <w:t>на</w:t>
      </w:r>
      <w:r w:rsidR="002E16CC" w:rsidRPr="00797E29">
        <w:rPr>
          <w:rFonts w:ascii="Times New Roman" w:hAnsi="Times New Roman"/>
          <w:sz w:val="24"/>
          <w:szCs w:val="24"/>
        </w:rPr>
        <w:t xml:space="preserve"> </w:t>
      </w:r>
      <w:r w:rsidR="00114791" w:rsidRPr="00797E29">
        <w:rPr>
          <w:rFonts w:ascii="Times New Roman" w:hAnsi="Times New Roman"/>
          <w:sz w:val="24"/>
          <w:szCs w:val="24"/>
        </w:rPr>
        <w:t>зајам</w:t>
      </w:r>
      <w:r w:rsidR="002E16CC" w:rsidRPr="00797E29">
        <w:rPr>
          <w:rFonts w:ascii="Times New Roman" w:hAnsi="Times New Roman"/>
          <w:sz w:val="24"/>
          <w:szCs w:val="24"/>
        </w:rPr>
        <w:t xml:space="preserve">, </w:t>
      </w:r>
      <w:r w:rsidR="00114791" w:rsidRPr="00797E29">
        <w:rPr>
          <w:rFonts w:ascii="Times New Roman" w:hAnsi="Times New Roman"/>
          <w:sz w:val="24"/>
          <w:szCs w:val="24"/>
        </w:rPr>
        <w:t>односно</w:t>
      </w:r>
      <w:r w:rsidR="002E16CC" w:rsidRPr="00797E29">
        <w:rPr>
          <w:rFonts w:ascii="Times New Roman" w:hAnsi="Times New Roman"/>
          <w:sz w:val="24"/>
          <w:szCs w:val="24"/>
        </w:rPr>
        <w:t xml:space="preserve"> </w:t>
      </w:r>
      <w:r w:rsidR="00114791" w:rsidRPr="00797E29">
        <w:rPr>
          <w:rFonts w:ascii="Times New Roman" w:hAnsi="Times New Roman"/>
          <w:sz w:val="24"/>
          <w:szCs w:val="24"/>
        </w:rPr>
        <w:t>кредит</w:t>
      </w:r>
      <w:r w:rsidR="002E16CC" w:rsidRPr="00797E29">
        <w:rPr>
          <w:rFonts w:ascii="Times New Roman" w:hAnsi="Times New Roman"/>
          <w:sz w:val="24"/>
          <w:szCs w:val="24"/>
        </w:rPr>
        <w:t xml:space="preserve"> </w:t>
      </w:r>
      <w:r w:rsidR="00114791" w:rsidRPr="00797E29">
        <w:rPr>
          <w:rFonts w:ascii="Times New Roman" w:hAnsi="Times New Roman"/>
          <w:sz w:val="24"/>
          <w:szCs w:val="24"/>
        </w:rPr>
        <w:t>до</w:t>
      </w:r>
      <w:r w:rsidR="002E16CC" w:rsidRPr="00797E29">
        <w:rPr>
          <w:rFonts w:ascii="Times New Roman" w:hAnsi="Times New Roman"/>
          <w:sz w:val="24"/>
          <w:szCs w:val="24"/>
        </w:rPr>
        <w:t xml:space="preserve"> </w:t>
      </w:r>
      <w:r w:rsidR="00114791" w:rsidRPr="00797E29">
        <w:rPr>
          <w:rFonts w:ascii="Times New Roman" w:hAnsi="Times New Roman"/>
          <w:sz w:val="24"/>
          <w:szCs w:val="24"/>
        </w:rPr>
        <w:t>висине</w:t>
      </w:r>
      <w:r w:rsidR="002E16CC" w:rsidRPr="00797E29">
        <w:rPr>
          <w:rFonts w:ascii="Times New Roman" w:hAnsi="Times New Roman"/>
          <w:sz w:val="24"/>
          <w:szCs w:val="24"/>
        </w:rPr>
        <w:t xml:space="preserve"> </w:t>
      </w:r>
      <w:r w:rsidR="00114791" w:rsidRPr="00797E29">
        <w:rPr>
          <w:rFonts w:ascii="Times New Roman" w:hAnsi="Times New Roman"/>
          <w:sz w:val="24"/>
          <w:szCs w:val="24"/>
        </w:rPr>
        <w:t>четвороструке</w:t>
      </w:r>
      <w:r w:rsidR="002E16CC" w:rsidRPr="00797E29">
        <w:rPr>
          <w:rFonts w:ascii="Times New Roman" w:hAnsi="Times New Roman"/>
          <w:sz w:val="24"/>
          <w:szCs w:val="24"/>
        </w:rPr>
        <w:t xml:space="preserve"> </w:t>
      </w:r>
      <w:r w:rsidR="00114791" w:rsidRPr="00797E29">
        <w:rPr>
          <w:rFonts w:ascii="Times New Roman" w:hAnsi="Times New Roman"/>
          <w:sz w:val="24"/>
          <w:szCs w:val="24"/>
        </w:rPr>
        <w:t>вредности</w:t>
      </w:r>
      <w:r w:rsidR="002E16CC" w:rsidRPr="00797E29">
        <w:rPr>
          <w:rFonts w:ascii="Times New Roman" w:hAnsi="Times New Roman"/>
          <w:sz w:val="24"/>
          <w:szCs w:val="24"/>
        </w:rPr>
        <w:t xml:space="preserve"> </w:t>
      </w:r>
      <w:r w:rsidR="00114791" w:rsidRPr="00797E29">
        <w:rPr>
          <w:rFonts w:ascii="Times New Roman" w:hAnsi="Times New Roman"/>
          <w:sz w:val="24"/>
          <w:szCs w:val="24"/>
        </w:rPr>
        <w:t>обвезниковог</w:t>
      </w:r>
      <w:r w:rsidR="002E16CC" w:rsidRPr="00797E29">
        <w:rPr>
          <w:rFonts w:ascii="Times New Roman" w:hAnsi="Times New Roman"/>
          <w:sz w:val="24"/>
          <w:szCs w:val="24"/>
        </w:rPr>
        <w:t xml:space="preserve"> </w:t>
      </w:r>
      <w:r w:rsidR="00114791" w:rsidRPr="00797E29">
        <w:rPr>
          <w:rFonts w:ascii="Times New Roman" w:hAnsi="Times New Roman"/>
          <w:sz w:val="24"/>
          <w:szCs w:val="24"/>
        </w:rPr>
        <w:t>сопственог</w:t>
      </w:r>
      <w:r w:rsidR="002E16CC" w:rsidRPr="00797E29">
        <w:rPr>
          <w:rFonts w:ascii="Times New Roman" w:hAnsi="Times New Roman"/>
          <w:sz w:val="24"/>
          <w:szCs w:val="24"/>
        </w:rPr>
        <w:t xml:space="preserve"> </w:t>
      </w:r>
      <w:r w:rsidR="00114791" w:rsidRPr="00797E29">
        <w:rPr>
          <w:rFonts w:ascii="Times New Roman" w:hAnsi="Times New Roman"/>
          <w:sz w:val="24"/>
          <w:szCs w:val="24"/>
        </w:rPr>
        <w:t>капитала</w:t>
      </w:r>
      <w:r w:rsidR="00114791" w:rsidRPr="00797E29">
        <w:rPr>
          <w:rFonts w:ascii="Times New Roman" w:hAnsi="Times New Roman"/>
          <w:sz w:val="24"/>
          <w:szCs w:val="24"/>
          <w:lang w:val="sr-Cyrl-CS"/>
        </w:rPr>
        <w:t>, а з</w:t>
      </w:r>
      <w:r w:rsidR="00114791" w:rsidRPr="00797E29">
        <w:rPr>
          <w:rFonts w:ascii="Times New Roman" w:hAnsi="Times New Roman"/>
          <w:sz w:val="24"/>
          <w:szCs w:val="24"/>
        </w:rPr>
        <w:t>а</w:t>
      </w:r>
      <w:r w:rsidR="002E16CC" w:rsidRPr="00797E29">
        <w:rPr>
          <w:rFonts w:ascii="Times New Roman" w:hAnsi="Times New Roman"/>
          <w:sz w:val="24"/>
          <w:szCs w:val="24"/>
        </w:rPr>
        <w:t xml:space="preserve"> </w:t>
      </w:r>
      <w:r w:rsidR="00114791" w:rsidRPr="00797E29">
        <w:rPr>
          <w:rFonts w:ascii="Times New Roman" w:hAnsi="Times New Roman"/>
          <w:sz w:val="24"/>
          <w:szCs w:val="24"/>
        </w:rPr>
        <w:t>банке</w:t>
      </w:r>
      <w:r w:rsidR="002E16CC" w:rsidRPr="00797E29">
        <w:rPr>
          <w:rFonts w:ascii="Times New Roman" w:hAnsi="Times New Roman"/>
          <w:sz w:val="24"/>
          <w:szCs w:val="24"/>
        </w:rPr>
        <w:t xml:space="preserve"> </w:t>
      </w:r>
      <w:r w:rsidR="00114791" w:rsidRPr="00797E29">
        <w:rPr>
          <w:rFonts w:ascii="Times New Roman" w:hAnsi="Times New Roman"/>
          <w:sz w:val="24"/>
          <w:szCs w:val="24"/>
        </w:rPr>
        <w:t>и</w:t>
      </w:r>
      <w:r w:rsidR="002E16CC" w:rsidRPr="00797E29">
        <w:rPr>
          <w:rFonts w:ascii="Times New Roman" w:hAnsi="Times New Roman"/>
          <w:sz w:val="24"/>
          <w:szCs w:val="24"/>
        </w:rPr>
        <w:t xml:space="preserve"> </w:t>
      </w:r>
      <w:r w:rsidR="00114791" w:rsidRPr="00797E29">
        <w:rPr>
          <w:rFonts w:ascii="Times New Roman" w:hAnsi="Times New Roman"/>
          <w:sz w:val="24"/>
          <w:szCs w:val="24"/>
        </w:rPr>
        <w:t>даваоце</w:t>
      </w:r>
      <w:r w:rsidR="002E16CC" w:rsidRPr="00797E29">
        <w:rPr>
          <w:rFonts w:ascii="Times New Roman" w:hAnsi="Times New Roman"/>
          <w:sz w:val="24"/>
          <w:szCs w:val="24"/>
        </w:rPr>
        <w:t xml:space="preserve"> </w:t>
      </w:r>
      <w:r w:rsidR="00114791" w:rsidRPr="00797E29">
        <w:rPr>
          <w:rFonts w:ascii="Times New Roman" w:hAnsi="Times New Roman"/>
          <w:sz w:val="24"/>
          <w:szCs w:val="24"/>
        </w:rPr>
        <w:t>финансијског</w:t>
      </w:r>
      <w:r w:rsidR="002E16CC" w:rsidRPr="00797E29">
        <w:rPr>
          <w:rFonts w:ascii="Times New Roman" w:hAnsi="Times New Roman"/>
          <w:sz w:val="24"/>
          <w:szCs w:val="24"/>
        </w:rPr>
        <w:t xml:space="preserve"> </w:t>
      </w:r>
      <w:r w:rsidR="00114791" w:rsidRPr="00797E29">
        <w:rPr>
          <w:rFonts w:ascii="Times New Roman" w:hAnsi="Times New Roman"/>
          <w:sz w:val="24"/>
          <w:szCs w:val="24"/>
        </w:rPr>
        <w:t>лизинга</w:t>
      </w:r>
      <w:r w:rsidR="002E16CC" w:rsidRPr="00797E29">
        <w:rPr>
          <w:rFonts w:ascii="Times New Roman" w:hAnsi="Times New Roman"/>
          <w:sz w:val="24"/>
          <w:szCs w:val="24"/>
        </w:rPr>
        <w:t xml:space="preserve"> </w:t>
      </w:r>
      <w:r w:rsidR="00114791" w:rsidRPr="00797E29">
        <w:rPr>
          <w:rFonts w:ascii="Times New Roman" w:hAnsi="Times New Roman"/>
          <w:sz w:val="24"/>
          <w:szCs w:val="24"/>
        </w:rPr>
        <w:t>лимит</w:t>
      </w:r>
      <w:r w:rsidR="002E16CC" w:rsidRPr="00797E29">
        <w:rPr>
          <w:rFonts w:ascii="Times New Roman" w:hAnsi="Times New Roman"/>
          <w:sz w:val="24"/>
          <w:szCs w:val="24"/>
        </w:rPr>
        <w:t xml:space="preserve"> </w:t>
      </w:r>
      <w:r w:rsidR="00114791" w:rsidRPr="00797E29">
        <w:rPr>
          <w:rFonts w:ascii="Times New Roman" w:hAnsi="Times New Roman"/>
          <w:sz w:val="24"/>
          <w:szCs w:val="24"/>
        </w:rPr>
        <w:t>је</w:t>
      </w:r>
      <w:r w:rsidR="002E16CC" w:rsidRPr="00797E29">
        <w:rPr>
          <w:rFonts w:ascii="Times New Roman" w:hAnsi="Times New Roman"/>
          <w:sz w:val="24"/>
          <w:szCs w:val="24"/>
        </w:rPr>
        <w:t xml:space="preserve"> </w:t>
      </w:r>
      <w:r w:rsidR="00114791" w:rsidRPr="00797E29">
        <w:rPr>
          <w:rFonts w:ascii="Times New Roman" w:hAnsi="Times New Roman"/>
          <w:sz w:val="24"/>
          <w:szCs w:val="24"/>
        </w:rPr>
        <w:t>десетоструки</w:t>
      </w:r>
      <w:r w:rsidR="002E16CC" w:rsidRPr="00797E29">
        <w:rPr>
          <w:rFonts w:ascii="Times New Roman" w:hAnsi="Times New Roman"/>
          <w:sz w:val="24"/>
          <w:szCs w:val="24"/>
        </w:rPr>
        <w:t xml:space="preserve"> </w:t>
      </w:r>
      <w:r w:rsidR="00114791" w:rsidRPr="00797E29">
        <w:rPr>
          <w:rFonts w:ascii="Times New Roman" w:hAnsi="Times New Roman"/>
          <w:sz w:val="24"/>
          <w:szCs w:val="24"/>
        </w:rPr>
        <w:t>износ</w:t>
      </w:r>
      <w:r w:rsidR="002E16CC" w:rsidRPr="00797E29">
        <w:rPr>
          <w:rFonts w:ascii="Times New Roman" w:hAnsi="Times New Roman"/>
          <w:sz w:val="24"/>
          <w:szCs w:val="24"/>
        </w:rPr>
        <w:t xml:space="preserve"> </w:t>
      </w:r>
      <w:r w:rsidR="00114791" w:rsidRPr="00797E29">
        <w:rPr>
          <w:rFonts w:ascii="Times New Roman" w:hAnsi="Times New Roman"/>
          <w:sz w:val="24"/>
          <w:szCs w:val="24"/>
        </w:rPr>
        <w:t>обвезниковог</w:t>
      </w:r>
      <w:r w:rsidR="002E16CC" w:rsidRPr="00797E29">
        <w:rPr>
          <w:rFonts w:ascii="Times New Roman" w:hAnsi="Times New Roman"/>
          <w:sz w:val="24"/>
          <w:szCs w:val="24"/>
        </w:rPr>
        <w:t xml:space="preserve"> </w:t>
      </w:r>
      <w:r w:rsidR="00114791" w:rsidRPr="00797E29">
        <w:rPr>
          <w:rFonts w:ascii="Times New Roman" w:hAnsi="Times New Roman"/>
          <w:sz w:val="24"/>
          <w:szCs w:val="24"/>
        </w:rPr>
        <w:t>сопственог</w:t>
      </w:r>
      <w:r w:rsidR="002E16CC" w:rsidRPr="00797E29">
        <w:rPr>
          <w:rFonts w:ascii="Times New Roman" w:hAnsi="Times New Roman"/>
          <w:sz w:val="24"/>
          <w:szCs w:val="24"/>
        </w:rPr>
        <w:t xml:space="preserve"> </w:t>
      </w:r>
      <w:r w:rsidR="00114791" w:rsidRPr="00797E29">
        <w:rPr>
          <w:rFonts w:ascii="Times New Roman" w:hAnsi="Times New Roman"/>
          <w:sz w:val="24"/>
          <w:szCs w:val="24"/>
        </w:rPr>
        <w:t>капитала</w:t>
      </w:r>
      <w:r w:rsidR="002E16CC" w:rsidRPr="00797E29">
        <w:rPr>
          <w:rFonts w:ascii="Times New Roman" w:hAnsi="Times New Roman"/>
          <w:sz w:val="24"/>
          <w:szCs w:val="24"/>
        </w:rPr>
        <w:t>.</w:t>
      </w:r>
    </w:p>
    <w:p w:rsidR="001929C7" w:rsidRPr="00797E29" w:rsidRDefault="00114791" w:rsidP="00797E29">
      <w:pPr>
        <w:ind w:firstLine="708"/>
        <w:jc w:val="both"/>
        <w:rPr>
          <w:rFonts w:ascii="Times New Roman" w:hAnsi="Times New Roman"/>
          <w:b/>
          <w:bCs/>
          <w:sz w:val="24"/>
          <w:szCs w:val="24"/>
          <w:lang w:val="sr-Cyrl-CS"/>
        </w:rPr>
      </w:pPr>
      <w:r w:rsidRPr="00797E29">
        <w:rPr>
          <w:rFonts w:ascii="Times New Roman" w:hAnsi="Times New Roman"/>
          <w:sz w:val="24"/>
          <w:szCs w:val="24"/>
        </w:rPr>
        <w:t>Сопствени</w:t>
      </w:r>
      <w:r w:rsidR="002E16CC" w:rsidRPr="00797E29">
        <w:rPr>
          <w:rFonts w:ascii="Times New Roman" w:hAnsi="Times New Roman"/>
          <w:sz w:val="24"/>
          <w:szCs w:val="24"/>
        </w:rPr>
        <w:t xml:space="preserve"> </w:t>
      </w:r>
      <w:r w:rsidRPr="00797E29">
        <w:rPr>
          <w:rFonts w:ascii="Times New Roman" w:hAnsi="Times New Roman"/>
          <w:sz w:val="24"/>
          <w:szCs w:val="24"/>
        </w:rPr>
        <w:t>капитал</w:t>
      </w:r>
      <w:r w:rsidR="002E16CC" w:rsidRPr="00797E29">
        <w:rPr>
          <w:rFonts w:ascii="Times New Roman" w:hAnsi="Times New Roman"/>
          <w:sz w:val="24"/>
          <w:szCs w:val="24"/>
        </w:rPr>
        <w:t xml:space="preserve">, </w:t>
      </w:r>
      <w:r w:rsidRPr="00797E29">
        <w:rPr>
          <w:rFonts w:ascii="Times New Roman" w:hAnsi="Times New Roman"/>
          <w:sz w:val="24"/>
          <w:szCs w:val="24"/>
        </w:rPr>
        <w:t>у</w:t>
      </w:r>
      <w:r w:rsidR="002E16CC" w:rsidRPr="00797E29">
        <w:rPr>
          <w:rFonts w:ascii="Times New Roman" w:hAnsi="Times New Roman"/>
          <w:sz w:val="24"/>
          <w:szCs w:val="24"/>
        </w:rPr>
        <w:t xml:space="preserve"> </w:t>
      </w:r>
      <w:r w:rsidRPr="00797E29">
        <w:rPr>
          <w:rFonts w:ascii="Times New Roman" w:hAnsi="Times New Roman"/>
          <w:sz w:val="24"/>
          <w:szCs w:val="24"/>
        </w:rPr>
        <w:t>смислу</w:t>
      </w:r>
      <w:r w:rsidR="002E16CC" w:rsidRPr="00797E29">
        <w:rPr>
          <w:rFonts w:ascii="Times New Roman" w:hAnsi="Times New Roman"/>
          <w:sz w:val="24"/>
          <w:szCs w:val="24"/>
        </w:rPr>
        <w:t xml:space="preserve"> </w:t>
      </w:r>
      <w:r w:rsidRPr="00797E29">
        <w:rPr>
          <w:rFonts w:ascii="Times New Roman" w:hAnsi="Times New Roman"/>
          <w:sz w:val="24"/>
          <w:szCs w:val="24"/>
        </w:rPr>
        <w:t>овог</w:t>
      </w:r>
      <w:r w:rsidR="002E16CC" w:rsidRPr="00797E29">
        <w:rPr>
          <w:rFonts w:ascii="Times New Roman" w:hAnsi="Times New Roman"/>
          <w:sz w:val="24"/>
          <w:szCs w:val="24"/>
        </w:rPr>
        <w:t xml:space="preserve"> </w:t>
      </w:r>
      <w:r w:rsidRPr="00797E29">
        <w:rPr>
          <w:rFonts w:ascii="Times New Roman" w:hAnsi="Times New Roman"/>
          <w:sz w:val="24"/>
          <w:szCs w:val="24"/>
        </w:rPr>
        <w:t>закона</w:t>
      </w:r>
      <w:r w:rsidR="002E16CC" w:rsidRPr="00797E29">
        <w:rPr>
          <w:rFonts w:ascii="Times New Roman" w:hAnsi="Times New Roman"/>
          <w:sz w:val="24"/>
          <w:szCs w:val="24"/>
        </w:rPr>
        <w:t xml:space="preserve">, </w:t>
      </w:r>
      <w:r w:rsidRPr="00797E29">
        <w:rPr>
          <w:rFonts w:ascii="Times New Roman" w:hAnsi="Times New Roman"/>
          <w:sz w:val="24"/>
          <w:szCs w:val="24"/>
        </w:rPr>
        <w:t>једнак</w:t>
      </w:r>
      <w:r w:rsidR="002E16CC" w:rsidRPr="00797E29">
        <w:rPr>
          <w:rFonts w:ascii="Times New Roman" w:hAnsi="Times New Roman"/>
          <w:sz w:val="24"/>
          <w:szCs w:val="24"/>
        </w:rPr>
        <w:t xml:space="preserve"> </w:t>
      </w:r>
      <w:r w:rsidRPr="00797E29">
        <w:rPr>
          <w:rFonts w:ascii="Times New Roman" w:hAnsi="Times New Roman"/>
          <w:sz w:val="24"/>
          <w:szCs w:val="24"/>
        </w:rPr>
        <w:t>је</w:t>
      </w:r>
      <w:r w:rsidR="002E16CC" w:rsidRPr="00797E29">
        <w:rPr>
          <w:rFonts w:ascii="Times New Roman" w:hAnsi="Times New Roman"/>
          <w:sz w:val="24"/>
          <w:szCs w:val="24"/>
        </w:rPr>
        <w:t xml:space="preserve"> </w:t>
      </w:r>
      <w:r w:rsidRPr="00797E29">
        <w:rPr>
          <w:rFonts w:ascii="Times New Roman" w:hAnsi="Times New Roman"/>
          <w:sz w:val="24"/>
          <w:szCs w:val="24"/>
        </w:rPr>
        <w:t>разлици</w:t>
      </w:r>
      <w:r w:rsidR="002E16CC" w:rsidRPr="00797E29">
        <w:rPr>
          <w:rFonts w:ascii="Times New Roman" w:hAnsi="Times New Roman"/>
          <w:sz w:val="24"/>
          <w:szCs w:val="24"/>
        </w:rPr>
        <w:t xml:space="preserve"> </w:t>
      </w:r>
      <w:r w:rsidRPr="00797E29">
        <w:rPr>
          <w:rFonts w:ascii="Times New Roman" w:hAnsi="Times New Roman"/>
          <w:sz w:val="24"/>
          <w:szCs w:val="24"/>
        </w:rPr>
        <w:t>између</w:t>
      </w:r>
      <w:r w:rsidR="002E16CC" w:rsidRPr="00797E29">
        <w:rPr>
          <w:rFonts w:ascii="Times New Roman" w:hAnsi="Times New Roman"/>
          <w:sz w:val="24"/>
          <w:szCs w:val="24"/>
        </w:rPr>
        <w:t xml:space="preserve"> </w:t>
      </w:r>
      <w:r w:rsidRPr="00797E29">
        <w:rPr>
          <w:rFonts w:ascii="Times New Roman" w:hAnsi="Times New Roman"/>
          <w:sz w:val="24"/>
          <w:szCs w:val="24"/>
        </w:rPr>
        <w:t>активе</w:t>
      </w:r>
      <w:r w:rsidR="002E16CC" w:rsidRPr="00797E29">
        <w:rPr>
          <w:rFonts w:ascii="Times New Roman" w:hAnsi="Times New Roman"/>
          <w:sz w:val="24"/>
          <w:szCs w:val="24"/>
        </w:rPr>
        <w:t xml:space="preserve"> </w:t>
      </w:r>
      <w:r w:rsidRPr="00797E29">
        <w:rPr>
          <w:rFonts w:ascii="Times New Roman" w:hAnsi="Times New Roman"/>
          <w:sz w:val="24"/>
          <w:szCs w:val="24"/>
        </w:rPr>
        <w:t>на</w:t>
      </w:r>
      <w:r w:rsidR="002E16CC" w:rsidRPr="00797E29">
        <w:rPr>
          <w:rFonts w:ascii="Times New Roman" w:hAnsi="Times New Roman"/>
          <w:sz w:val="24"/>
          <w:szCs w:val="24"/>
        </w:rPr>
        <w:t xml:space="preserve"> </w:t>
      </w:r>
      <w:r w:rsidRPr="00797E29">
        <w:rPr>
          <w:rFonts w:ascii="Times New Roman" w:hAnsi="Times New Roman"/>
          <w:sz w:val="24"/>
          <w:szCs w:val="24"/>
        </w:rPr>
        <w:t>основу</w:t>
      </w:r>
      <w:r w:rsidR="002E16CC" w:rsidRPr="00797E29">
        <w:rPr>
          <w:rFonts w:ascii="Times New Roman" w:hAnsi="Times New Roman"/>
          <w:sz w:val="24"/>
          <w:szCs w:val="24"/>
        </w:rPr>
        <w:t xml:space="preserve"> </w:t>
      </w:r>
      <w:r w:rsidRPr="00797E29">
        <w:rPr>
          <w:rFonts w:ascii="Times New Roman" w:hAnsi="Times New Roman"/>
          <w:sz w:val="24"/>
          <w:szCs w:val="24"/>
        </w:rPr>
        <w:t>које</w:t>
      </w:r>
      <w:r w:rsidR="002E16CC" w:rsidRPr="00797E29">
        <w:rPr>
          <w:rFonts w:ascii="Times New Roman" w:hAnsi="Times New Roman"/>
          <w:sz w:val="24"/>
          <w:szCs w:val="24"/>
        </w:rPr>
        <w:t xml:space="preserve"> </w:t>
      </w:r>
      <w:r w:rsidRPr="00797E29">
        <w:rPr>
          <w:rFonts w:ascii="Times New Roman" w:hAnsi="Times New Roman"/>
          <w:sz w:val="24"/>
          <w:szCs w:val="24"/>
        </w:rPr>
        <w:t>обвезник</w:t>
      </w:r>
      <w:r w:rsidR="002E16CC" w:rsidRPr="00797E29">
        <w:rPr>
          <w:rFonts w:ascii="Times New Roman" w:hAnsi="Times New Roman"/>
          <w:sz w:val="24"/>
          <w:szCs w:val="24"/>
        </w:rPr>
        <w:t xml:space="preserve"> </w:t>
      </w:r>
      <w:r w:rsidRPr="00797E29">
        <w:rPr>
          <w:rFonts w:ascii="Times New Roman" w:hAnsi="Times New Roman"/>
          <w:sz w:val="24"/>
          <w:szCs w:val="24"/>
        </w:rPr>
        <w:t>остварује</w:t>
      </w:r>
      <w:r w:rsidR="002E16CC" w:rsidRPr="00797E29">
        <w:rPr>
          <w:rFonts w:ascii="Times New Roman" w:hAnsi="Times New Roman"/>
          <w:sz w:val="24"/>
          <w:szCs w:val="24"/>
        </w:rPr>
        <w:t xml:space="preserve"> </w:t>
      </w:r>
      <w:r w:rsidRPr="00797E29">
        <w:rPr>
          <w:rFonts w:ascii="Times New Roman" w:hAnsi="Times New Roman"/>
          <w:sz w:val="24"/>
          <w:szCs w:val="24"/>
        </w:rPr>
        <w:t>приход</w:t>
      </w:r>
      <w:r w:rsidR="002E16CC" w:rsidRPr="00797E29">
        <w:rPr>
          <w:rFonts w:ascii="Times New Roman" w:hAnsi="Times New Roman"/>
          <w:sz w:val="24"/>
          <w:szCs w:val="24"/>
        </w:rPr>
        <w:t xml:space="preserve"> </w:t>
      </w:r>
      <w:r w:rsidRPr="00797E29">
        <w:rPr>
          <w:rFonts w:ascii="Times New Roman" w:hAnsi="Times New Roman"/>
          <w:sz w:val="24"/>
          <w:szCs w:val="24"/>
        </w:rPr>
        <w:t>и</w:t>
      </w:r>
      <w:r w:rsidR="002E16CC" w:rsidRPr="00797E29">
        <w:rPr>
          <w:rFonts w:ascii="Times New Roman" w:hAnsi="Times New Roman"/>
          <w:sz w:val="24"/>
          <w:szCs w:val="24"/>
        </w:rPr>
        <w:t xml:space="preserve"> </w:t>
      </w:r>
      <w:r w:rsidRPr="00797E29">
        <w:rPr>
          <w:rFonts w:ascii="Times New Roman" w:hAnsi="Times New Roman"/>
          <w:sz w:val="24"/>
          <w:szCs w:val="24"/>
        </w:rPr>
        <w:t>дугова</w:t>
      </w:r>
      <w:r w:rsidR="002E16CC" w:rsidRPr="00797E29">
        <w:rPr>
          <w:rFonts w:ascii="Times New Roman" w:hAnsi="Times New Roman"/>
          <w:sz w:val="24"/>
          <w:szCs w:val="24"/>
        </w:rPr>
        <w:t xml:space="preserve"> </w:t>
      </w:r>
      <w:r w:rsidRPr="00797E29">
        <w:rPr>
          <w:rFonts w:ascii="Times New Roman" w:hAnsi="Times New Roman"/>
          <w:sz w:val="24"/>
          <w:szCs w:val="24"/>
        </w:rPr>
        <w:t>са</w:t>
      </w:r>
      <w:r w:rsidR="002E16CC" w:rsidRPr="00797E29">
        <w:rPr>
          <w:rFonts w:ascii="Times New Roman" w:hAnsi="Times New Roman"/>
          <w:sz w:val="24"/>
          <w:szCs w:val="24"/>
        </w:rPr>
        <w:t xml:space="preserve"> </w:t>
      </w:r>
      <w:r w:rsidRPr="00797E29">
        <w:rPr>
          <w:rFonts w:ascii="Times New Roman" w:hAnsi="Times New Roman"/>
          <w:sz w:val="24"/>
          <w:szCs w:val="24"/>
        </w:rPr>
        <w:t>њом</w:t>
      </w:r>
      <w:r w:rsidR="002E16CC" w:rsidRPr="00797E29">
        <w:rPr>
          <w:rFonts w:ascii="Times New Roman" w:hAnsi="Times New Roman"/>
          <w:sz w:val="24"/>
          <w:szCs w:val="24"/>
        </w:rPr>
        <w:t xml:space="preserve"> </w:t>
      </w:r>
      <w:r w:rsidRPr="00797E29">
        <w:rPr>
          <w:rFonts w:ascii="Times New Roman" w:hAnsi="Times New Roman"/>
          <w:sz w:val="24"/>
          <w:szCs w:val="24"/>
        </w:rPr>
        <w:t>повезаних</w:t>
      </w:r>
      <w:r w:rsidR="002E16CC" w:rsidRPr="00797E29">
        <w:rPr>
          <w:rFonts w:ascii="Times New Roman" w:hAnsi="Times New Roman"/>
          <w:sz w:val="24"/>
          <w:szCs w:val="24"/>
        </w:rPr>
        <w:t xml:space="preserve">, </w:t>
      </w:r>
      <w:r w:rsidRPr="00797E29">
        <w:rPr>
          <w:rFonts w:ascii="Times New Roman" w:hAnsi="Times New Roman"/>
          <w:sz w:val="24"/>
          <w:szCs w:val="24"/>
        </w:rPr>
        <w:t>с</w:t>
      </w:r>
      <w:r w:rsidR="002E16CC" w:rsidRPr="00797E29">
        <w:rPr>
          <w:rFonts w:ascii="Times New Roman" w:hAnsi="Times New Roman"/>
          <w:sz w:val="24"/>
          <w:szCs w:val="24"/>
        </w:rPr>
        <w:t xml:space="preserve"> </w:t>
      </w:r>
      <w:r w:rsidRPr="00797E29">
        <w:rPr>
          <w:rFonts w:ascii="Times New Roman" w:hAnsi="Times New Roman"/>
          <w:sz w:val="24"/>
          <w:szCs w:val="24"/>
        </w:rPr>
        <w:t>тим</w:t>
      </w:r>
      <w:r w:rsidR="002E16CC" w:rsidRPr="00797E29">
        <w:rPr>
          <w:rFonts w:ascii="Times New Roman" w:hAnsi="Times New Roman"/>
          <w:sz w:val="24"/>
          <w:szCs w:val="24"/>
        </w:rPr>
        <w:t xml:space="preserve"> </w:t>
      </w:r>
      <w:r w:rsidRPr="00797E29">
        <w:rPr>
          <w:rFonts w:ascii="Times New Roman" w:hAnsi="Times New Roman"/>
          <w:sz w:val="24"/>
          <w:szCs w:val="24"/>
        </w:rPr>
        <w:t>што</w:t>
      </w:r>
      <w:r w:rsidR="002E16CC" w:rsidRPr="00797E29">
        <w:rPr>
          <w:rFonts w:ascii="Times New Roman" w:hAnsi="Times New Roman"/>
          <w:sz w:val="24"/>
          <w:szCs w:val="24"/>
        </w:rPr>
        <w:t xml:space="preserve"> </w:t>
      </w:r>
      <w:r w:rsidRPr="00797E29">
        <w:rPr>
          <w:rFonts w:ascii="Times New Roman" w:hAnsi="Times New Roman"/>
          <w:sz w:val="24"/>
          <w:szCs w:val="24"/>
        </w:rPr>
        <w:t>су</w:t>
      </w:r>
      <w:r w:rsidR="002E16CC" w:rsidRPr="00797E29">
        <w:rPr>
          <w:rFonts w:ascii="Times New Roman" w:hAnsi="Times New Roman"/>
          <w:sz w:val="24"/>
          <w:szCs w:val="24"/>
        </w:rPr>
        <w:t xml:space="preserve"> </w:t>
      </w:r>
      <w:r w:rsidRPr="00797E29">
        <w:rPr>
          <w:rFonts w:ascii="Times New Roman" w:hAnsi="Times New Roman"/>
          <w:sz w:val="24"/>
          <w:szCs w:val="24"/>
        </w:rPr>
        <w:t>и</w:t>
      </w:r>
      <w:r w:rsidR="002E16CC" w:rsidRPr="00797E29">
        <w:rPr>
          <w:rFonts w:ascii="Times New Roman" w:hAnsi="Times New Roman"/>
          <w:sz w:val="24"/>
          <w:szCs w:val="24"/>
        </w:rPr>
        <w:t xml:space="preserve"> </w:t>
      </w:r>
      <w:r w:rsidRPr="00797E29">
        <w:rPr>
          <w:rFonts w:ascii="Times New Roman" w:hAnsi="Times New Roman"/>
          <w:sz w:val="24"/>
          <w:szCs w:val="24"/>
        </w:rPr>
        <w:t>актива</w:t>
      </w:r>
      <w:r w:rsidR="002E16CC" w:rsidRPr="00797E29">
        <w:rPr>
          <w:rFonts w:ascii="Times New Roman" w:hAnsi="Times New Roman"/>
          <w:sz w:val="24"/>
          <w:szCs w:val="24"/>
        </w:rPr>
        <w:t xml:space="preserve"> </w:t>
      </w:r>
      <w:r w:rsidRPr="00797E29">
        <w:rPr>
          <w:rFonts w:ascii="Times New Roman" w:hAnsi="Times New Roman"/>
          <w:sz w:val="24"/>
          <w:szCs w:val="24"/>
        </w:rPr>
        <w:t>и</w:t>
      </w:r>
      <w:r w:rsidR="002E16CC" w:rsidRPr="00797E29">
        <w:rPr>
          <w:rFonts w:ascii="Times New Roman" w:hAnsi="Times New Roman"/>
          <w:sz w:val="24"/>
          <w:szCs w:val="24"/>
        </w:rPr>
        <w:t xml:space="preserve"> </w:t>
      </w:r>
      <w:r w:rsidRPr="00797E29">
        <w:rPr>
          <w:rFonts w:ascii="Times New Roman" w:hAnsi="Times New Roman"/>
          <w:sz w:val="24"/>
          <w:szCs w:val="24"/>
        </w:rPr>
        <w:t>дугови</w:t>
      </w:r>
      <w:r w:rsidR="002E16CC" w:rsidRPr="00797E29">
        <w:rPr>
          <w:rFonts w:ascii="Times New Roman" w:hAnsi="Times New Roman"/>
          <w:sz w:val="24"/>
          <w:szCs w:val="24"/>
        </w:rPr>
        <w:t xml:space="preserve"> </w:t>
      </w:r>
      <w:r w:rsidRPr="00797E29">
        <w:rPr>
          <w:rFonts w:ascii="Times New Roman" w:hAnsi="Times New Roman"/>
          <w:sz w:val="24"/>
          <w:szCs w:val="24"/>
        </w:rPr>
        <w:t>упросечени</w:t>
      </w:r>
      <w:r w:rsidR="002E16CC" w:rsidRPr="00797E29">
        <w:rPr>
          <w:rFonts w:ascii="Times New Roman" w:hAnsi="Times New Roman"/>
          <w:sz w:val="24"/>
          <w:szCs w:val="24"/>
        </w:rPr>
        <w:t xml:space="preserve"> </w:t>
      </w:r>
      <w:r w:rsidRPr="00797E29">
        <w:rPr>
          <w:rFonts w:ascii="Times New Roman" w:hAnsi="Times New Roman"/>
          <w:sz w:val="24"/>
          <w:szCs w:val="24"/>
        </w:rPr>
        <w:t>за</w:t>
      </w:r>
      <w:r w:rsidR="002E16CC" w:rsidRPr="00797E29">
        <w:rPr>
          <w:rFonts w:ascii="Times New Roman" w:hAnsi="Times New Roman"/>
          <w:sz w:val="24"/>
          <w:szCs w:val="24"/>
        </w:rPr>
        <w:t xml:space="preserve"> </w:t>
      </w:r>
      <w:r w:rsidRPr="00797E29">
        <w:rPr>
          <w:rFonts w:ascii="Times New Roman" w:hAnsi="Times New Roman"/>
          <w:sz w:val="24"/>
          <w:szCs w:val="24"/>
        </w:rPr>
        <w:t>стање</w:t>
      </w:r>
      <w:r w:rsidR="002E16CC" w:rsidRPr="00797E29">
        <w:rPr>
          <w:rFonts w:ascii="Times New Roman" w:hAnsi="Times New Roman"/>
          <w:sz w:val="24"/>
          <w:szCs w:val="24"/>
        </w:rPr>
        <w:t xml:space="preserve"> </w:t>
      </w:r>
      <w:r w:rsidRPr="00797E29">
        <w:rPr>
          <w:rFonts w:ascii="Times New Roman" w:hAnsi="Times New Roman"/>
          <w:sz w:val="24"/>
          <w:szCs w:val="24"/>
        </w:rPr>
        <w:t>на</w:t>
      </w:r>
      <w:r w:rsidR="002E16CC" w:rsidRPr="00797E29">
        <w:rPr>
          <w:rFonts w:ascii="Times New Roman" w:hAnsi="Times New Roman"/>
          <w:sz w:val="24"/>
          <w:szCs w:val="24"/>
        </w:rPr>
        <w:t xml:space="preserve"> </w:t>
      </w:r>
      <w:r w:rsidRPr="00797E29">
        <w:rPr>
          <w:rFonts w:ascii="Times New Roman" w:hAnsi="Times New Roman"/>
          <w:sz w:val="24"/>
          <w:szCs w:val="24"/>
        </w:rPr>
        <w:t>дан</w:t>
      </w:r>
      <w:r w:rsidR="002E16CC" w:rsidRPr="00797E29">
        <w:rPr>
          <w:rFonts w:ascii="Times New Roman" w:hAnsi="Times New Roman"/>
          <w:sz w:val="24"/>
          <w:szCs w:val="24"/>
        </w:rPr>
        <w:t xml:space="preserve"> 1. </w:t>
      </w:r>
      <w:r w:rsidRPr="00797E29">
        <w:rPr>
          <w:rFonts w:ascii="Times New Roman" w:hAnsi="Times New Roman"/>
          <w:sz w:val="24"/>
          <w:szCs w:val="24"/>
          <w:lang w:val="sr-Cyrl-CS"/>
        </w:rPr>
        <w:t>ј</w:t>
      </w:r>
      <w:r w:rsidRPr="00797E29">
        <w:rPr>
          <w:rFonts w:ascii="Times New Roman" w:hAnsi="Times New Roman"/>
          <w:sz w:val="24"/>
          <w:szCs w:val="24"/>
        </w:rPr>
        <w:t>ануара</w:t>
      </w:r>
      <w:r w:rsidR="002E16CC" w:rsidRPr="00797E29">
        <w:rPr>
          <w:rFonts w:ascii="Times New Roman" w:hAnsi="Times New Roman"/>
          <w:sz w:val="24"/>
          <w:szCs w:val="24"/>
        </w:rPr>
        <w:t xml:space="preserve"> </w:t>
      </w:r>
      <w:r w:rsidRPr="00797E29">
        <w:rPr>
          <w:rFonts w:ascii="Times New Roman" w:hAnsi="Times New Roman"/>
          <w:sz w:val="24"/>
          <w:szCs w:val="24"/>
        </w:rPr>
        <w:t>и</w:t>
      </w:r>
      <w:r w:rsidR="002E16CC" w:rsidRPr="00797E29">
        <w:rPr>
          <w:rFonts w:ascii="Times New Roman" w:hAnsi="Times New Roman"/>
          <w:sz w:val="24"/>
          <w:szCs w:val="24"/>
        </w:rPr>
        <w:t xml:space="preserve"> 31. </w:t>
      </w:r>
      <w:r w:rsidRPr="00797E29">
        <w:rPr>
          <w:rFonts w:ascii="Times New Roman" w:hAnsi="Times New Roman"/>
          <w:sz w:val="24"/>
          <w:szCs w:val="24"/>
          <w:lang w:val="sr-Cyrl-CS"/>
        </w:rPr>
        <w:t>д</w:t>
      </w:r>
      <w:r w:rsidRPr="00797E29">
        <w:rPr>
          <w:rFonts w:ascii="Times New Roman" w:hAnsi="Times New Roman"/>
          <w:sz w:val="24"/>
          <w:szCs w:val="24"/>
        </w:rPr>
        <w:t>ецембра</w:t>
      </w:r>
      <w:r w:rsidR="002E16CC" w:rsidRPr="00797E29">
        <w:rPr>
          <w:rFonts w:ascii="Times New Roman" w:hAnsi="Times New Roman"/>
          <w:sz w:val="24"/>
          <w:szCs w:val="24"/>
        </w:rPr>
        <w:t xml:space="preserve"> </w:t>
      </w:r>
      <w:r w:rsidRPr="00797E29">
        <w:rPr>
          <w:rFonts w:ascii="Times New Roman" w:hAnsi="Times New Roman"/>
          <w:sz w:val="24"/>
          <w:szCs w:val="24"/>
        </w:rPr>
        <w:t>текуће</w:t>
      </w:r>
      <w:r w:rsidR="002E16CC" w:rsidRPr="00797E29">
        <w:rPr>
          <w:rFonts w:ascii="Times New Roman" w:hAnsi="Times New Roman"/>
          <w:sz w:val="24"/>
          <w:szCs w:val="24"/>
        </w:rPr>
        <w:t xml:space="preserve"> </w:t>
      </w:r>
      <w:r w:rsidRPr="00797E29">
        <w:rPr>
          <w:rFonts w:ascii="Times New Roman" w:hAnsi="Times New Roman"/>
          <w:sz w:val="24"/>
          <w:szCs w:val="24"/>
        </w:rPr>
        <w:t>године</w:t>
      </w:r>
      <w:r w:rsidR="002E16CC" w:rsidRPr="00797E29">
        <w:rPr>
          <w:rFonts w:ascii="Times New Roman" w:hAnsi="Times New Roman"/>
          <w:sz w:val="24"/>
          <w:szCs w:val="24"/>
        </w:rPr>
        <w:t>.</w:t>
      </w:r>
      <w:r w:rsidR="002E16CC" w:rsidRPr="00797E29">
        <w:rPr>
          <w:rStyle w:val="FootnoteReference"/>
          <w:rFonts w:ascii="Times New Roman" w:hAnsi="Times New Roman"/>
          <w:color w:val="000000"/>
          <w:sz w:val="24"/>
          <w:szCs w:val="24"/>
        </w:rPr>
        <w:footnoteReference w:id="321"/>
      </w:r>
      <w:r w:rsidR="00290A08" w:rsidRPr="00797E29">
        <w:rPr>
          <w:rFonts w:ascii="Times New Roman" w:hAnsi="Times New Roman"/>
          <w:sz w:val="24"/>
          <w:szCs w:val="24"/>
          <w:lang w:val="sr-Cyrl-CS"/>
        </w:rPr>
        <w:t xml:space="preserve"> Одредбу којом се регулише утањена капитализација пореско законодавство Србије садржи од 2001. године.</w:t>
      </w:r>
      <w:r w:rsidR="00290A08" w:rsidRPr="00797E29">
        <w:rPr>
          <w:rStyle w:val="FootnoteReference"/>
          <w:rFonts w:ascii="Times New Roman" w:hAnsi="Times New Roman"/>
          <w:color w:val="000000"/>
          <w:sz w:val="24"/>
          <w:szCs w:val="24"/>
          <w:lang w:val="sr-Cyrl-CS"/>
        </w:rPr>
        <w:footnoteReference w:id="322"/>
      </w:r>
      <w:r w:rsidRPr="00797E29">
        <w:rPr>
          <w:rFonts w:ascii="Times New Roman" w:hAnsi="Times New Roman"/>
          <w:sz w:val="24"/>
          <w:szCs w:val="24"/>
          <w:lang w:val="sr-Cyrl-CS"/>
        </w:rPr>
        <w:t xml:space="preserve"> </w:t>
      </w:r>
    </w:p>
    <w:p w:rsidR="00292223" w:rsidRDefault="00290A08" w:rsidP="00797E29">
      <w:pPr>
        <w:ind w:firstLine="708"/>
        <w:jc w:val="both"/>
        <w:rPr>
          <w:rFonts w:ascii="Times New Roman" w:hAnsi="Times New Roman"/>
          <w:b/>
          <w:bCs/>
          <w:sz w:val="24"/>
          <w:szCs w:val="24"/>
          <w:lang w:val="sr-Cyrl-CS"/>
        </w:rPr>
      </w:pPr>
      <w:r w:rsidRPr="00797E29">
        <w:rPr>
          <w:rFonts w:ascii="Times New Roman" w:hAnsi="Times New Roman"/>
          <w:bCs/>
          <w:sz w:val="24"/>
          <w:szCs w:val="24"/>
          <w:lang w:val="sr-Cyrl-CS"/>
        </w:rPr>
        <w:t>Дакле, утањена капитализација, са једне стране, значи мање пореске приходе за државу, а са друге стране смањује обавезе по основу пореза на добит</w:t>
      </w:r>
      <w:r w:rsidRPr="00797E29">
        <w:rPr>
          <w:rFonts w:ascii="Times New Roman" w:hAnsi="Times New Roman"/>
          <w:b/>
          <w:bCs/>
          <w:sz w:val="24"/>
          <w:szCs w:val="24"/>
          <w:lang w:val="sr-Cyrl-CS"/>
        </w:rPr>
        <w:t xml:space="preserve">. </w:t>
      </w:r>
      <w:bookmarkStart w:id="3" w:name="clan_7a"/>
      <w:bookmarkStart w:id="4" w:name="clan_8"/>
      <w:bookmarkEnd w:id="3"/>
      <w:bookmarkEnd w:id="4"/>
      <w:r w:rsidR="00797E29">
        <w:rPr>
          <w:rFonts w:ascii="Times New Roman" w:hAnsi="Times New Roman"/>
          <w:b/>
          <w:bCs/>
          <w:sz w:val="24"/>
          <w:szCs w:val="24"/>
          <w:lang w:val="sr-Cyrl-CS"/>
        </w:rPr>
        <w:t xml:space="preserve"> </w:t>
      </w:r>
    </w:p>
    <w:p w:rsidR="00797E29" w:rsidRPr="00797E29" w:rsidRDefault="00797E29" w:rsidP="00797E29">
      <w:pPr>
        <w:ind w:firstLine="708"/>
        <w:jc w:val="both"/>
        <w:rPr>
          <w:rFonts w:ascii="Times New Roman" w:hAnsi="Times New Roman"/>
          <w:b/>
          <w:bCs/>
          <w:sz w:val="24"/>
          <w:szCs w:val="24"/>
          <w:lang w:val="sr-Cyrl-CS"/>
        </w:rPr>
      </w:pPr>
    </w:p>
    <w:p w:rsidR="00114791" w:rsidRDefault="00114791" w:rsidP="00474608">
      <w:pPr>
        <w:pStyle w:val="normal0"/>
        <w:shd w:val="clear" w:color="auto" w:fill="FFFFFF"/>
        <w:spacing w:before="48" w:beforeAutospacing="0" w:after="48" w:afterAutospacing="0"/>
        <w:rPr>
          <w:rFonts w:ascii="Arial" w:hAnsi="Arial" w:cs="Arial"/>
          <w:b/>
          <w:bCs/>
          <w:color w:val="000000"/>
          <w:sz w:val="20"/>
          <w:szCs w:val="20"/>
          <w:lang w:val="sr-Cyrl-CS"/>
        </w:rPr>
      </w:pPr>
    </w:p>
    <w:p w:rsidR="008F427C" w:rsidRDefault="00114791" w:rsidP="00A74A8E">
      <w:pPr>
        <w:pStyle w:val="normal0"/>
        <w:shd w:val="clear" w:color="auto" w:fill="FFFFFF"/>
        <w:spacing w:before="48" w:beforeAutospacing="0" w:after="48" w:afterAutospacing="0"/>
        <w:rPr>
          <w:b/>
          <w:color w:val="000000"/>
          <w:lang w:val="sr-Cyrl-CS"/>
        </w:rPr>
      </w:pPr>
      <w:r>
        <w:rPr>
          <w:b/>
          <w:color w:val="000000"/>
          <w:lang w:val="sr-Cyrl-CS"/>
        </w:rPr>
        <w:t>5.1.12. Утицај пореског консолидовања на законито избегавање пореза</w:t>
      </w:r>
    </w:p>
    <w:p w:rsidR="005044EC" w:rsidRDefault="005044EC" w:rsidP="00114791">
      <w:pPr>
        <w:pStyle w:val="normal0"/>
        <w:shd w:val="clear" w:color="auto" w:fill="FFFFFF"/>
        <w:spacing w:before="48" w:beforeAutospacing="0" w:after="48" w:afterAutospacing="0"/>
        <w:jc w:val="center"/>
        <w:rPr>
          <w:b/>
          <w:color w:val="000000"/>
          <w:lang w:val="sr-Cyrl-CS"/>
        </w:rPr>
      </w:pPr>
    </w:p>
    <w:p w:rsidR="00114791" w:rsidRDefault="00114791" w:rsidP="00114791">
      <w:pPr>
        <w:pStyle w:val="normal0"/>
        <w:shd w:val="clear" w:color="auto" w:fill="FFFFFF"/>
        <w:spacing w:before="48" w:beforeAutospacing="0" w:after="48" w:afterAutospacing="0"/>
        <w:jc w:val="center"/>
        <w:rPr>
          <w:b/>
          <w:color w:val="000000"/>
          <w:lang w:val="sr-Cyrl-CS"/>
        </w:rPr>
      </w:pPr>
    </w:p>
    <w:p w:rsidR="008D7375" w:rsidRPr="00797E29" w:rsidRDefault="008F427C" w:rsidP="00797E29">
      <w:pPr>
        <w:ind w:firstLine="708"/>
        <w:jc w:val="both"/>
        <w:rPr>
          <w:rFonts w:ascii="Times New Roman" w:hAnsi="Times New Roman"/>
          <w:sz w:val="24"/>
          <w:szCs w:val="24"/>
          <w:lang w:val="sr-Cyrl-CS"/>
        </w:rPr>
      </w:pPr>
      <w:r w:rsidRPr="00797E29">
        <w:rPr>
          <w:rFonts w:ascii="Times New Roman" w:hAnsi="Times New Roman"/>
          <w:sz w:val="24"/>
          <w:szCs w:val="24"/>
          <w:lang w:val="sr-Cyrl-CS"/>
        </w:rPr>
        <w:t xml:space="preserve">Пореско консолидовање има значајан утицај на закониту пореску евазију, имајући у виду  да се </w:t>
      </w:r>
      <w:r w:rsidR="00863E5E" w:rsidRPr="00797E29">
        <w:rPr>
          <w:rFonts w:ascii="Times New Roman" w:hAnsi="Times New Roman"/>
          <w:sz w:val="24"/>
          <w:szCs w:val="24"/>
          <w:lang w:val="sr-Cyrl-CS"/>
        </w:rPr>
        <w:t>пореска</w:t>
      </w:r>
      <w:r w:rsidRPr="00797E29">
        <w:rPr>
          <w:rFonts w:ascii="Times New Roman" w:hAnsi="Times New Roman"/>
          <w:sz w:val="24"/>
          <w:szCs w:val="24"/>
          <w:lang w:val="sr-Cyrl-CS"/>
        </w:rPr>
        <w:t xml:space="preserve"> основица више предузећа добија пребијањем њихових добити и губитака, које су утврђене за свако предузеће посебно. Ову погодност може остварити група од више предузећа</w:t>
      </w:r>
      <w:r w:rsidR="008D7375" w:rsidRPr="00797E29">
        <w:rPr>
          <w:rFonts w:ascii="Times New Roman" w:hAnsi="Times New Roman"/>
          <w:sz w:val="24"/>
          <w:szCs w:val="24"/>
          <w:lang w:val="sr-Cyrl-CS"/>
        </w:rPr>
        <w:t xml:space="preserve">. </w:t>
      </w:r>
    </w:p>
    <w:p w:rsidR="00E117CA" w:rsidRPr="00797E29" w:rsidRDefault="0001027C" w:rsidP="00797E29">
      <w:pPr>
        <w:ind w:firstLine="708"/>
        <w:jc w:val="both"/>
        <w:rPr>
          <w:rFonts w:ascii="Times New Roman" w:hAnsi="Times New Roman"/>
          <w:sz w:val="24"/>
          <w:szCs w:val="24"/>
          <w:lang w:val="sr-Cyrl-CS"/>
        </w:rPr>
      </w:pPr>
      <w:r w:rsidRPr="00797E29">
        <w:rPr>
          <w:rFonts w:ascii="Times New Roman" w:hAnsi="Times New Roman"/>
          <w:sz w:val="24"/>
          <w:szCs w:val="24"/>
          <w:lang w:val="sr-Cyrl-CS"/>
        </w:rPr>
        <w:t>Привредна друштва се повезују тако постоји</w:t>
      </w:r>
      <w:r w:rsidR="008D7375" w:rsidRPr="00797E29">
        <w:rPr>
          <w:rFonts w:ascii="Times New Roman" w:hAnsi="Times New Roman"/>
          <w:sz w:val="24"/>
          <w:szCs w:val="24"/>
          <w:lang w:val="sr-Cyrl-CS"/>
        </w:rPr>
        <w:t xml:space="preserve"> једно матично </w:t>
      </w:r>
      <w:r w:rsidRPr="00797E29">
        <w:rPr>
          <w:rFonts w:ascii="Times New Roman" w:hAnsi="Times New Roman"/>
          <w:sz w:val="24"/>
          <w:szCs w:val="24"/>
          <w:lang w:val="sr-Cyrl-CS"/>
        </w:rPr>
        <w:t xml:space="preserve">или контролно </w:t>
      </w:r>
      <w:r w:rsidR="008D7375" w:rsidRPr="00797E29">
        <w:rPr>
          <w:rFonts w:ascii="Times New Roman" w:hAnsi="Times New Roman"/>
          <w:sz w:val="24"/>
          <w:szCs w:val="24"/>
          <w:lang w:val="sr-Cyrl-CS"/>
        </w:rPr>
        <w:t xml:space="preserve">друштво и једно или више </w:t>
      </w:r>
      <w:r w:rsidRPr="00797E29">
        <w:rPr>
          <w:rFonts w:ascii="Times New Roman" w:hAnsi="Times New Roman"/>
          <w:sz w:val="24"/>
          <w:szCs w:val="24"/>
          <w:lang w:val="sr-Cyrl-CS"/>
        </w:rPr>
        <w:t>зависних</w:t>
      </w:r>
      <w:r w:rsidR="008D7375" w:rsidRPr="00797E29">
        <w:rPr>
          <w:rFonts w:ascii="Times New Roman" w:hAnsi="Times New Roman"/>
          <w:sz w:val="24"/>
          <w:szCs w:val="24"/>
          <w:lang w:val="sr-Cyrl-CS"/>
        </w:rPr>
        <w:t xml:space="preserve"> друштава. </w:t>
      </w:r>
      <w:r w:rsidRPr="00797E29">
        <w:rPr>
          <w:rFonts w:ascii="Times New Roman" w:hAnsi="Times New Roman"/>
          <w:sz w:val="24"/>
          <w:szCs w:val="24"/>
          <w:lang w:val="sr-Cyrl-CS"/>
        </w:rPr>
        <w:t>У овом случају по</w:t>
      </w:r>
      <w:r w:rsidR="002A2229" w:rsidRPr="00797E29">
        <w:rPr>
          <w:rFonts w:ascii="Times New Roman" w:hAnsi="Times New Roman"/>
          <w:sz w:val="24"/>
          <w:szCs w:val="24"/>
          <w:lang w:val="sr-Cyrl-CS"/>
        </w:rPr>
        <w:t>реско консолидовање није законск</w:t>
      </w:r>
      <w:r w:rsidRPr="00797E29">
        <w:rPr>
          <w:rFonts w:ascii="Times New Roman" w:hAnsi="Times New Roman"/>
          <w:sz w:val="24"/>
          <w:szCs w:val="24"/>
          <w:lang w:val="sr-Cyrl-CS"/>
        </w:rPr>
        <w:t xml:space="preserve">а обавеза. </w:t>
      </w:r>
      <w:r w:rsidR="002A2229" w:rsidRPr="00797E29">
        <w:rPr>
          <w:rFonts w:ascii="Times New Roman" w:hAnsi="Times New Roman"/>
          <w:sz w:val="24"/>
          <w:szCs w:val="24"/>
          <w:lang w:val="sr-Cyrl-CS"/>
        </w:rPr>
        <w:t>То је посебна пореска</w:t>
      </w:r>
      <w:r w:rsidRPr="00797E29">
        <w:rPr>
          <w:rFonts w:ascii="Times New Roman" w:hAnsi="Times New Roman"/>
          <w:sz w:val="24"/>
          <w:szCs w:val="24"/>
          <w:lang w:val="sr-Cyrl-CS"/>
        </w:rPr>
        <w:t xml:space="preserve"> погодност за привредна друштва која су </w:t>
      </w:r>
      <w:r w:rsidRPr="00797E29">
        <w:rPr>
          <w:rFonts w:ascii="Times New Roman" w:hAnsi="Times New Roman"/>
          <w:sz w:val="24"/>
          <w:szCs w:val="24"/>
          <w:lang w:val="sr-Cyrl-CS"/>
        </w:rPr>
        <w:lastRenderedPageBreak/>
        <w:t>организов</w:t>
      </w:r>
      <w:r w:rsidR="002A2229" w:rsidRPr="00797E29">
        <w:rPr>
          <w:rFonts w:ascii="Times New Roman" w:hAnsi="Times New Roman"/>
          <w:sz w:val="24"/>
          <w:szCs w:val="24"/>
          <w:lang w:val="sr-Cyrl-CS"/>
        </w:rPr>
        <w:t>ана као група компанија</w:t>
      </w:r>
      <w:r w:rsidRPr="00797E29">
        <w:rPr>
          <w:rFonts w:ascii="Times New Roman" w:hAnsi="Times New Roman"/>
          <w:sz w:val="24"/>
          <w:szCs w:val="24"/>
          <w:lang w:val="sr-Cyrl-CS"/>
        </w:rPr>
        <w:t xml:space="preserve"> и кад постоје зависна предузећа која исказују губитак </w:t>
      </w:r>
      <w:r w:rsidR="002A2229" w:rsidRPr="00797E29">
        <w:rPr>
          <w:rFonts w:ascii="Times New Roman" w:hAnsi="Times New Roman"/>
          <w:sz w:val="24"/>
          <w:szCs w:val="24"/>
          <w:lang w:val="sr-Cyrl-CS"/>
        </w:rPr>
        <w:t>у пореском билансу.</w:t>
      </w:r>
      <w:r w:rsidR="008D7375" w:rsidRPr="00797E29">
        <w:rPr>
          <w:rStyle w:val="FootnoteReference"/>
          <w:rFonts w:ascii="Times New Roman" w:hAnsi="Times New Roman"/>
          <w:color w:val="000000"/>
          <w:sz w:val="24"/>
          <w:szCs w:val="24"/>
          <w:lang w:val="sr-Cyrl-CS"/>
        </w:rPr>
        <w:footnoteReference w:id="323"/>
      </w:r>
      <w:r w:rsidR="008D7375" w:rsidRPr="00797E29">
        <w:rPr>
          <w:rFonts w:ascii="Times New Roman" w:hAnsi="Times New Roman"/>
          <w:sz w:val="24"/>
          <w:szCs w:val="24"/>
          <w:lang w:val="sr-Cyrl-CS"/>
        </w:rPr>
        <w:t xml:space="preserve"> </w:t>
      </w:r>
      <w:r w:rsidR="00114791" w:rsidRPr="00797E29">
        <w:rPr>
          <w:rFonts w:ascii="Times New Roman" w:hAnsi="Times New Roman"/>
          <w:sz w:val="24"/>
          <w:szCs w:val="24"/>
          <w:lang w:val="sr-Cyrl-CS"/>
        </w:rPr>
        <w:t xml:space="preserve"> </w:t>
      </w:r>
    </w:p>
    <w:p w:rsidR="009F6AF7" w:rsidRPr="00797E29" w:rsidRDefault="00114791" w:rsidP="00797E29">
      <w:pPr>
        <w:ind w:firstLine="708"/>
        <w:jc w:val="both"/>
        <w:rPr>
          <w:rFonts w:ascii="Times New Roman" w:hAnsi="Times New Roman"/>
          <w:sz w:val="24"/>
          <w:szCs w:val="24"/>
          <w:lang w:val="sr-Cyrl-CS"/>
        </w:rPr>
      </w:pPr>
      <w:r w:rsidRPr="00797E29">
        <w:rPr>
          <w:rFonts w:ascii="Times New Roman" w:hAnsi="Times New Roman"/>
          <w:sz w:val="24"/>
          <w:szCs w:val="24"/>
        </w:rPr>
        <w:t>Сваки</w:t>
      </w:r>
      <w:r w:rsidR="00E117CA" w:rsidRPr="00797E29">
        <w:rPr>
          <w:rFonts w:ascii="Times New Roman" w:hAnsi="Times New Roman"/>
          <w:sz w:val="24"/>
          <w:szCs w:val="24"/>
        </w:rPr>
        <w:t xml:space="preserve"> </w:t>
      </w:r>
      <w:r w:rsidRPr="00797E29">
        <w:rPr>
          <w:rFonts w:ascii="Times New Roman" w:hAnsi="Times New Roman"/>
          <w:sz w:val="24"/>
          <w:szCs w:val="24"/>
        </w:rPr>
        <w:t>члан</w:t>
      </w:r>
      <w:r w:rsidR="00E117CA" w:rsidRPr="00797E29">
        <w:rPr>
          <w:rFonts w:ascii="Times New Roman" w:hAnsi="Times New Roman"/>
          <w:sz w:val="24"/>
          <w:szCs w:val="24"/>
        </w:rPr>
        <w:t xml:space="preserve"> </w:t>
      </w:r>
      <w:r w:rsidRPr="00797E29">
        <w:rPr>
          <w:rFonts w:ascii="Times New Roman" w:hAnsi="Times New Roman"/>
          <w:sz w:val="24"/>
          <w:szCs w:val="24"/>
        </w:rPr>
        <w:t>групе</w:t>
      </w:r>
      <w:r w:rsidR="00E117CA" w:rsidRPr="00797E29">
        <w:rPr>
          <w:rFonts w:ascii="Times New Roman" w:hAnsi="Times New Roman"/>
          <w:sz w:val="24"/>
          <w:szCs w:val="24"/>
        </w:rPr>
        <w:t xml:space="preserve"> </w:t>
      </w:r>
      <w:r w:rsidRPr="00797E29">
        <w:rPr>
          <w:rFonts w:ascii="Times New Roman" w:hAnsi="Times New Roman"/>
          <w:sz w:val="24"/>
          <w:szCs w:val="24"/>
        </w:rPr>
        <w:t>повезаних</w:t>
      </w:r>
      <w:r w:rsidR="00E117CA" w:rsidRPr="00797E29">
        <w:rPr>
          <w:rFonts w:ascii="Times New Roman" w:hAnsi="Times New Roman"/>
          <w:sz w:val="24"/>
          <w:szCs w:val="24"/>
        </w:rPr>
        <w:t xml:space="preserve"> </w:t>
      </w:r>
      <w:r w:rsidRPr="00797E29">
        <w:rPr>
          <w:rFonts w:ascii="Times New Roman" w:hAnsi="Times New Roman"/>
          <w:sz w:val="24"/>
          <w:szCs w:val="24"/>
        </w:rPr>
        <w:t>правних</w:t>
      </w:r>
      <w:r w:rsidR="00E117CA" w:rsidRPr="00797E29">
        <w:rPr>
          <w:rFonts w:ascii="Times New Roman" w:hAnsi="Times New Roman"/>
          <w:sz w:val="24"/>
          <w:szCs w:val="24"/>
        </w:rPr>
        <w:t xml:space="preserve"> </w:t>
      </w:r>
      <w:r w:rsidRPr="00797E29">
        <w:rPr>
          <w:rFonts w:ascii="Times New Roman" w:hAnsi="Times New Roman"/>
          <w:sz w:val="24"/>
          <w:szCs w:val="24"/>
        </w:rPr>
        <w:t>лица</w:t>
      </w:r>
      <w:r w:rsidR="00E117CA" w:rsidRPr="00797E29">
        <w:rPr>
          <w:rFonts w:ascii="Times New Roman" w:hAnsi="Times New Roman"/>
          <w:sz w:val="24"/>
          <w:szCs w:val="24"/>
        </w:rPr>
        <w:t xml:space="preserve"> </w:t>
      </w:r>
      <w:r w:rsidRPr="00797E29">
        <w:rPr>
          <w:rFonts w:ascii="Times New Roman" w:hAnsi="Times New Roman"/>
          <w:sz w:val="24"/>
          <w:szCs w:val="24"/>
        </w:rPr>
        <w:t>дужан</w:t>
      </w:r>
      <w:r w:rsidR="00E117CA" w:rsidRPr="00797E29">
        <w:rPr>
          <w:rFonts w:ascii="Times New Roman" w:hAnsi="Times New Roman"/>
          <w:sz w:val="24"/>
          <w:szCs w:val="24"/>
        </w:rPr>
        <w:t xml:space="preserve"> </w:t>
      </w:r>
      <w:r w:rsidRPr="00797E29">
        <w:rPr>
          <w:rFonts w:ascii="Times New Roman" w:hAnsi="Times New Roman"/>
          <w:sz w:val="24"/>
          <w:szCs w:val="24"/>
        </w:rPr>
        <w:t>је</w:t>
      </w:r>
      <w:r w:rsidR="00E117CA" w:rsidRPr="00797E29">
        <w:rPr>
          <w:rFonts w:ascii="Times New Roman" w:hAnsi="Times New Roman"/>
          <w:sz w:val="24"/>
          <w:szCs w:val="24"/>
        </w:rPr>
        <w:t xml:space="preserve"> </w:t>
      </w:r>
      <w:r w:rsidRPr="00797E29">
        <w:rPr>
          <w:rFonts w:ascii="Times New Roman" w:hAnsi="Times New Roman"/>
          <w:sz w:val="24"/>
          <w:szCs w:val="24"/>
        </w:rPr>
        <w:t>да</w:t>
      </w:r>
      <w:r w:rsidR="00E117CA" w:rsidRPr="00797E29">
        <w:rPr>
          <w:rFonts w:ascii="Times New Roman" w:hAnsi="Times New Roman"/>
          <w:sz w:val="24"/>
          <w:szCs w:val="24"/>
        </w:rPr>
        <w:t xml:space="preserve"> </w:t>
      </w:r>
      <w:r w:rsidRPr="00797E29">
        <w:rPr>
          <w:rFonts w:ascii="Times New Roman" w:hAnsi="Times New Roman"/>
          <w:sz w:val="24"/>
          <w:szCs w:val="24"/>
        </w:rPr>
        <w:t>поднесе</w:t>
      </w:r>
      <w:r w:rsidR="00E117CA" w:rsidRPr="00797E29">
        <w:rPr>
          <w:rFonts w:ascii="Times New Roman" w:hAnsi="Times New Roman"/>
          <w:sz w:val="24"/>
          <w:szCs w:val="24"/>
        </w:rPr>
        <w:t xml:space="preserve"> </w:t>
      </w:r>
      <w:r w:rsidRPr="00797E29">
        <w:rPr>
          <w:rFonts w:ascii="Times New Roman" w:hAnsi="Times New Roman"/>
          <w:sz w:val="24"/>
          <w:szCs w:val="24"/>
        </w:rPr>
        <w:t>своју</w:t>
      </w:r>
      <w:r w:rsidR="00E117CA" w:rsidRPr="00797E29">
        <w:rPr>
          <w:rFonts w:ascii="Times New Roman" w:hAnsi="Times New Roman"/>
          <w:sz w:val="24"/>
          <w:szCs w:val="24"/>
        </w:rPr>
        <w:t xml:space="preserve"> </w:t>
      </w:r>
      <w:r w:rsidRPr="00797E29">
        <w:rPr>
          <w:rFonts w:ascii="Times New Roman" w:hAnsi="Times New Roman"/>
          <w:sz w:val="24"/>
          <w:szCs w:val="24"/>
        </w:rPr>
        <w:t>пореску</w:t>
      </w:r>
      <w:r w:rsidR="00E117CA" w:rsidRPr="00797E29">
        <w:rPr>
          <w:rFonts w:ascii="Times New Roman" w:hAnsi="Times New Roman"/>
          <w:sz w:val="24"/>
          <w:szCs w:val="24"/>
        </w:rPr>
        <w:t xml:space="preserve"> </w:t>
      </w:r>
      <w:r w:rsidRPr="00797E29">
        <w:rPr>
          <w:rFonts w:ascii="Times New Roman" w:hAnsi="Times New Roman"/>
          <w:sz w:val="24"/>
          <w:szCs w:val="24"/>
        </w:rPr>
        <w:t>пријаву</w:t>
      </w:r>
      <w:r w:rsidR="00E117CA" w:rsidRPr="00797E29">
        <w:rPr>
          <w:rFonts w:ascii="Times New Roman" w:hAnsi="Times New Roman"/>
          <w:sz w:val="24"/>
          <w:szCs w:val="24"/>
        </w:rPr>
        <w:t xml:space="preserve"> </w:t>
      </w:r>
      <w:r w:rsidRPr="00797E29">
        <w:rPr>
          <w:rFonts w:ascii="Times New Roman" w:hAnsi="Times New Roman"/>
          <w:sz w:val="24"/>
          <w:szCs w:val="24"/>
        </w:rPr>
        <w:t>и</w:t>
      </w:r>
      <w:r w:rsidR="00E117CA" w:rsidRPr="00797E29">
        <w:rPr>
          <w:rFonts w:ascii="Times New Roman" w:hAnsi="Times New Roman"/>
          <w:sz w:val="24"/>
          <w:szCs w:val="24"/>
        </w:rPr>
        <w:t xml:space="preserve"> </w:t>
      </w:r>
      <w:r w:rsidRPr="00797E29">
        <w:rPr>
          <w:rFonts w:ascii="Times New Roman" w:hAnsi="Times New Roman"/>
          <w:sz w:val="24"/>
          <w:szCs w:val="24"/>
        </w:rPr>
        <w:t>свој</w:t>
      </w:r>
      <w:r w:rsidR="00E117CA" w:rsidRPr="00797E29">
        <w:rPr>
          <w:rFonts w:ascii="Times New Roman" w:hAnsi="Times New Roman"/>
          <w:sz w:val="24"/>
          <w:szCs w:val="24"/>
        </w:rPr>
        <w:t xml:space="preserve"> </w:t>
      </w:r>
      <w:r w:rsidRPr="00797E29">
        <w:rPr>
          <w:rFonts w:ascii="Times New Roman" w:hAnsi="Times New Roman"/>
          <w:sz w:val="24"/>
          <w:szCs w:val="24"/>
        </w:rPr>
        <w:t>порески</w:t>
      </w:r>
      <w:r w:rsidR="00E117CA" w:rsidRPr="00797E29">
        <w:rPr>
          <w:rFonts w:ascii="Times New Roman" w:hAnsi="Times New Roman"/>
          <w:sz w:val="24"/>
          <w:szCs w:val="24"/>
        </w:rPr>
        <w:t xml:space="preserve"> </w:t>
      </w:r>
      <w:r w:rsidRPr="00797E29">
        <w:rPr>
          <w:rFonts w:ascii="Times New Roman" w:hAnsi="Times New Roman"/>
          <w:sz w:val="24"/>
          <w:szCs w:val="24"/>
        </w:rPr>
        <w:t>биланс</w:t>
      </w:r>
      <w:r w:rsidR="00E117CA" w:rsidRPr="00797E29">
        <w:rPr>
          <w:rFonts w:ascii="Times New Roman" w:hAnsi="Times New Roman"/>
          <w:sz w:val="24"/>
          <w:szCs w:val="24"/>
        </w:rPr>
        <w:t xml:space="preserve">, </w:t>
      </w:r>
      <w:r w:rsidRPr="00797E29">
        <w:rPr>
          <w:rFonts w:ascii="Times New Roman" w:hAnsi="Times New Roman"/>
          <w:sz w:val="24"/>
          <w:szCs w:val="24"/>
        </w:rPr>
        <w:t>а</w:t>
      </w:r>
      <w:r w:rsidR="00E117CA" w:rsidRPr="00797E29">
        <w:rPr>
          <w:rFonts w:ascii="Times New Roman" w:hAnsi="Times New Roman"/>
          <w:sz w:val="24"/>
          <w:szCs w:val="24"/>
        </w:rPr>
        <w:t xml:space="preserve"> </w:t>
      </w:r>
      <w:r w:rsidRPr="00797E29">
        <w:rPr>
          <w:rFonts w:ascii="Times New Roman" w:hAnsi="Times New Roman"/>
          <w:sz w:val="24"/>
          <w:szCs w:val="24"/>
        </w:rPr>
        <w:t>матично</w:t>
      </w:r>
      <w:r w:rsidR="00E117CA" w:rsidRPr="00797E29">
        <w:rPr>
          <w:rFonts w:ascii="Times New Roman" w:hAnsi="Times New Roman"/>
          <w:sz w:val="24"/>
          <w:szCs w:val="24"/>
        </w:rPr>
        <w:t xml:space="preserve"> </w:t>
      </w:r>
      <w:r w:rsidRPr="00797E29">
        <w:rPr>
          <w:rFonts w:ascii="Times New Roman" w:hAnsi="Times New Roman"/>
          <w:sz w:val="24"/>
          <w:szCs w:val="24"/>
        </w:rPr>
        <w:t>правно</w:t>
      </w:r>
      <w:r w:rsidR="00E117CA" w:rsidRPr="00797E29">
        <w:rPr>
          <w:rFonts w:ascii="Times New Roman" w:hAnsi="Times New Roman"/>
          <w:sz w:val="24"/>
          <w:szCs w:val="24"/>
        </w:rPr>
        <w:t xml:space="preserve"> </w:t>
      </w:r>
      <w:r w:rsidRPr="00797E29">
        <w:rPr>
          <w:rFonts w:ascii="Times New Roman" w:hAnsi="Times New Roman"/>
          <w:sz w:val="24"/>
          <w:szCs w:val="24"/>
        </w:rPr>
        <w:t>лице</w:t>
      </w:r>
      <w:r w:rsidR="00E117CA" w:rsidRPr="00797E29">
        <w:rPr>
          <w:rFonts w:ascii="Times New Roman" w:hAnsi="Times New Roman"/>
          <w:sz w:val="24"/>
          <w:szCs w:val="24"/>
        </w:rPr>
        <w:t xml:space="preserve"> </w:t>
      </w:r>
      <w:r w:rsidRPr="00797E29">
        <w:rPr>
          <w:rFonts w:ascii="Times New Roman" w:hAnsi="Times New Roman"/>
          <w:sz w:val="24"/>
          <w:szCs w:val="24"/>
        </w:rPr>
        <w:t>подноси</w:t>
      </w:r>
      <w:r w:rsidR="00E117CA" w:rsidRPr="00797E29">
        <w:rPr>
          <w:rFonts w:ascii="Times New Roman" w:hAnsi="Times New Roman"/>
          <w:sz w:val="24"/>
          <w:szCs w:val="24"/>
        </w:rPr>
        <w:t xml:space="preserve"> </w:t>
      </w:r>
      <w:r w:rsidRPr="00797E29">
        <w:rPr>
          <w:rFonts w:ascii="Times New Roman" w:hAnsi="Times New Roman"/>
          <w:sz w:val="24"/>
          <w:szCs w:val="24"/>
        </w:rPr>
        <w:t>и</w:t>
      </w:r>
      <w:r w:rsidR="00E117CA" w:rsidRPr="00797E29">
        <w:rPr>
          <w:rFonts w:ascii="Times New Roman" w:hAnsi="Times New Roman"/>
          <w:sz w:val="24"/>
          <w:szCs w:val="24"/>
        </w:rPr>
        <w:t xml:space="preserve"> </w:t>
      </w:r>
      <w:r w:rsidRPr="00797E29">
        <w:rPr>
          <w:rFonts w:ascii="Times New Roman" w:hAnsi="Times New Roman"/>
          <w:sz w:val="24"/>
          <w:szCs w:val="24"/>
        </w:rPr>
        <w:t>консолидовани</w:t>
      </w:r>
      <w:r w:rsidR="00E117CA" w:rsidRPr="00797E29">
        <w:rPr>
          <w:rFonts w:ascii="Times New Roman" w:hAnsi="Times New Roman"/>
          <w:sz w:val="24"/>
          <w:szCs w:val="24"/>
        </w:rPr>
        <w:t xml:space="preserve"> </w:t>
      </w:r>
      <w:r w:rsidRPr="00797E29">
        <w:rPr>
          <w:rFonts w:ascii="Times New Roman" w:hAnsi="Times New Roman"/>
          <w:sz w:val="24"/>
          <w:szCs w:val="24"/>
        </w:rPr>
        <w:t>порески</w:t>
      </w:r>
      <w:r w:rsidR="00E117CA" w:rsidRPr="00797E29">
        <w:rPr>
          <w:rFonts w:ascii="Times New Roman" w:hAnsi="Times New Roman"/>
          <w:sz w:val="24"/>
          <w:szCs w:val="24"/>
        </w:rPr>
        <w:t xml:space="preserve"> </w:t>
      </w:r>
      <w:r w:rsidRPr="00797E29">
        <w:rPr>
          <w:rFonts w:ascii="Times New Roman" w:hAnsi="Times New Roman"/>
          <w:sz w:val="24"/>
          <w:szCs w:val="24"/>
        </w:rPr>
        <w:t>биланс</w:t>
      </w:r>
      <w:r w:rsidR="00E117CA" w:rsidRPr="00797E29">
        <w:rPr>
          <w:rFonts w:ascii="Times New Roman" w:hAnsi="Times New Roman"/>
          <w:sz w:val="24"/>
          <w:szCs w:val="24"/>
        </w:rPr>
        <w:t xml:space="preserve"> </w:t>
      </w:r>
      <w:r w:rsidRPr="00797E29">
        <w:rPr>
          <w:rFonts w:ascii="Times New Roman" w:hAnsi="Times New Roman"/>
          <w:sz w:val="24"/>
          <w:szCs w:val="24"/>
        </w:rPr>
        <w:t>за</w:t>
      </w:r>
      <w:r w:rsidR="00E117CA" w:rsidRPr="00797E29">
        <w:rPr>
          <w:rFonts w:ascii="Times New Roman" w:hAnsi="Times New Roman"/>
          <w:sz w:val="24"/>
          <w:szCs w:val="24"/>
        </w:rPr>
        <w:t xml:space="preserve"> </w:t>
      </w:r>
      <w:r w:rsidRPr="00797E29">
        <w:rPr>
          <w:rFonts w:ascii="Times New Roman" w:hAnsi="Times New Roman"/>
          <w:sz w:val="24"/>
          <w:szCs w:val="24"/>
        </w:rPr>
        <w:t>групу</w:t>
      </w:r>
      <w:r w:rsidR="00E117CA" w:rsidRPr="00797E29">
        <w:rPr>
          <w:rFonts w:ascii="Times New Roman" w:hAnsi="Times New Roman"/>
          <w:sz w:val="24"/>
          <w:szCs w:val="24"/>
        </w:rPr>
        <w:t xml:space="preserve"> </w:t>
      </w:r>
      <w:r w:rsidRPr="00797E29">
        <w:rPr>
          <w:rFonts w:ascii="Times New Roman" w:hAnsi="Times New Roman"/>
          <w:sz w:val="24"/>
          <w:szCs w:val="24"/>
        </w:rPr>
        <w:t>повезаних</w:t>
      </w:r>
      <w:r w:rsidR="00E117CA" w:rsidRPr="00797E29">
        <w:rPr>
          <w:rFonts w:ascii="Times New Roman" w:hAnsi="Times New Roman"/>
          <w:sz w:val="24"/>
          <w:szCs w:val="24"/>
        </w:rPr>
        <w:t xml:space="preserve"> </w:t>
      </w:r>
      <w:r w:rsidRPr="00797E29">
        <w:rPr>
          <w:rFonts w:ascii="Times New Roman" w:hAnsi="Times New Roman"/>
          <w:sz w:val="24"/>
          <w:szCs w:val="24"/>
        </w:rPr>
        <w:t>правних</w:t>
      </w:r>
      <w:r w:rsidR="00E117CA" w:rsidRPr="00797E29">
        <w:rPr>
          <w:rFonts w:ascii="Times New Roman" w:hAnsi="Times New Roman"/>
          <w:sz w:val="24"/>
          <w:szCs w:val="24"/>
        </w:rPr>
        <w:t xml:space="preserve"> </w:t>
      </w:r>
      <w:r w:rsidRPr="00797E29">
        <w:rPr>
          <w:rFonts w:ascii="Times New Roman" w:hAnsi="Times New Roman"/>
          <w:sz w:val="24"/>
          <w:szCs w:val="24"/>
        </w:rPr>
        <w:t>лица</w:t>
      </w:r>
      <w:r w:rsidR="00E117CA" w:rsidRPr="00797E29">
        <w:rPr>
          <w:rFonts w:ascii="Times New Roman" w:hAnsi="Times New Roman"/>
          <w:sz w:val="24"/>
          <w:szCs w:val="24"/>
        </w:rPr>
        <w:t>.</w:t>
      </w:r>
      <w:r w:rsidR="009F6AF7" w:rsidRPr="00797E29">
        <w:rPr>
          <w:rFonts w:ascii="Times New Roman" w:hAnsi="Times New Roman"/>
          <w:sz w:val="24"/>
          <w:szCs w:val="24"/>
          <w:lang w:val="sr-Cyrl-CS"/>
        </w:rPr>
        <w:t xml:space="preserve"> </w:t>
      </w:r>
      <w:r w:rsidRPr="00797E29">
        <w:rPr>
          <w:rFonts w:ascii="Times New Roman" w:hAnsi="Times New Roman"/>
          <w:sz w:val="24"/>
          <w:szCs w:val="24"/>
        </w:rPr>
        <w:t>У</w:t>
      </w:r>
      <w:r w:rsidR="00E117CA" w:rsidRPr="00797E29">
        <w:rPr>
          <w:rFonts w:ascii="Times New Roman" w:hAnsi="Times New Roman"/>
          <w:sz w:val="24"/>
          <w:szCs w:val="24"/>
        </w:rPr>
        <w:t xml:space="preserve"> </w:t>
      </w:r>
      <w:r w:rsidRPr="00797E29">
        <w:rPr>
          <w:rFonts w:ascii="Times New Roman" w:hAnsi="Times New Roman"/>
          <w:sz w:val="24"/>
          <w:szCs w:val="24"/>
        </w:rPr>
        <w:t>консолидованом</w:t>
      </w:r>
      <w:r w:rsidR="00E117CA" w:rsidRPr="00797E29">
        <w:rPr>
          <w:rFonts w:ascii="Times New Roman" w:hAnsi="Times New Roman"/>
          <w:sz w:val="24"/>
          <w:szCs w:val="24"/>
        </w:rPr>
        <w:t xml:space="preserve"> </w:t>
      </w:r>
      <w:r w:rsidRPr="00797E29">
        <w:rPr>
          <w:rFonts w:ascii="Times New Roman" w:hAnsi="Times New Roman"/>
          <w:sz w:val="24"/>
          <w:szCs w:val="24"/>
        </w:rPr>
        <w:t>пореском</w:t>
      </w:r>
      <w:r w:rsidR="00E117CA" w:rsidRPr="00797E29">
        <w:rPr>
          <w:rFonts w:ascii="Times New Roman" w:hAnsi="Times New Roman"/>
          <w:sz w:val="24"/>
          <w:szCs w:val="24"/>
        </w:rPr>
        <w:t xml:space="preserve"> </w:t>
      </w:r>
      <w:r w:rsidRPr="00797E29">
        <w:rPr>
          <w:rFonts w:ascii="Times New Roman" w:hAnsi="Times New Roman"/>
          <w:sz w:val="24"/>
          <w:szCs w:val="24"/>
        </w:rPr>
        <w:t>билансу</w:t>
      </w:r>
      <w:r w:rsidR="00E117CA" w:rsidRPr="00797E29">
        <w:rPr>
          <w:rFonts w:ascii="Times New Roman" w:hAnsi="Times New Roman"/>
          <w:sz w:val="24"/>
          <w:szCs w:val="24"/>
        </w:rPr>
        <w:t xml:space="preserve"> </w:t>
      </w:r>
      <w:r w:rsidRPr="00797E29">
        <w:rPr>
          <w:rFonts w:ascii="Times New Roman" w:hAnsi="Times New Roman"/>
          <w:sz w:val="24"/>
          <w:szCs w:val="24"/>
        </w:rPr>
        <w:t>губици</w:t>
      </w:r>
      <w:r w:rsidR="00E117CA" w:rsidRPr="00797E29">
        <w:rPr>
          <w:rFonts w:ascii="Times New Roman" w:hAnsi="Times New Roman"/>
          <w:sz w:val="24"/>
          <w:szCs w:val="24"/>
        </w:rPr>
        <w:t xml:space="preserve"> </w:t>
      </w:r>
      <w:r w:rsidRPr="00797E29">
        <w:rPr>
          <w:rFonts w:ascii="Times New Roman" w:hAnsi="Times New Roman"/>
          <w:sz w:val="24"/>
          <w:szCs w:val="24"/>
        </w:rPr>
        <w:t>пореског</w:t>
      </w:r>
      <w:r w:rsidR="00E117CA" w:rsidRPr="00797E29">
        <w:rPr>
          <w:rFonts w:ascii="Times New Roman" w:hAnsi="Times New Roman"/>
          <w:sz w:val="24"/>
          <w:szCs w:val="24"/>
        </w:rPr>
        <w:t xml:space="preserve"> </w:t>
      </w:r>
      <w:r w:rsidRPr="00797E29">
        <w:rPr>
          <w:rFonts w:ascii="Times New Roman" w:hAnsi="Times New Roman"/>
          <w:sz w:val="24"/>
          <w:szCs w:val="24"/>
        </w:rPr>
        <w:t>периода</w:t>
      </w:r>
      <w:r w:rsidR="00E117CA" w:rsidRPr="00797E29">
        <w:rPr>
          <w:rFonts w:ascii="Times New Roman" w:hAnsi="Times New Roman"/>
          <w:sz w:val="24"/>
          <w:szCs w:val="24"/>
        </w:rPr>
        <w:t xml:space="preserve"> </w:t>
      </w:r>
      <w:r w:rsidRPr="00797E29">
        <w:rPr>
          <w:rFonts w:ascii="Times New Roman" w:hAnsi="Times New Roman"/>
          <w:sz w:val="24"/>
          <w:szCs w:val="24"/>
        </w:rPr>
        <w:t>једног</w:t>
      </w:r>
      <w:r w:rsidR="00E117CA" w:rsidRPr="00797E29">
        <w:rPr>
          <w:rFonts w:ascii="Times New Roman" w:hAnsi="Times New Roman"/>
          <w:sz w:val="24"/>
          <w:szCs w:val="24"/>
        </w:rPr>
        <w:t xml:space="preserve"> </w:t>
      </w:r>
      <w:r w:rsidRPr="00797E29">
        <w:rPr>
          <w:rFonts w:ascii="Times New Roman" w:hAnsi="Times New Roman"/>
          <w:sz w:val="24"/>
          <w:szCs w:val="24"/>
        </w:rPr>
        <w:t>или</w:t>
      </w:r>
      <w:r w:rsidR="00E117CA" w:rsidRPr="00797E29">
        <w:rPr>
          <w:rFonts w:ascii="Times New Roman" w:hAnsi="Times New Roman"/>
          <w:sz w:val="24"/>
          <w:szCs w:val="24"/>
        </w:rPr>
        <w:t xml:space="preserve"> </w:t>
      </w:r>
      <w:r w:rsidRPr="00797E29">
        <w:rPr>
          <w:rFonts w:ascii="Times New Roman" w:hAnsi="Times New Roman"/>
          <w:sz w:val="24"/>
          <w:szCs w:val="24"/>
        </w:rPr>
        <w:t>више</w:t>
      </w:r>
      <w:r w:rsidR="00E117CA" w:rsidRPr="00797E29">
        <w:rPr>
          <w:rFonts w:ascii="Times New Roman" w:hAnsi="Times New Roman"/>
          <w:sz w:val="24"/>
          <w:szCs w:val="24"/>
        </w:rPr>
        <w:t xml:space="preserve"> </w:t>
      </w:r>
      <w:r w:rsidRPr="00797E29">
        <w:rPr>
          <w:rFonts w:ascii="Times New Roman" w:hAnsi="Times New Roman"/>
          <w:sz w:val="24"/>
          <w:szCs w:val="24"/>
        </w:rPr>
        <w:t>повезаних</w:t>
      </w:r>
      <w:r w:rsidR="00E117CA" w:rsidRPr="00797E29">
        <w:rPr>
          <w:rFonts w:ascii="Times New Roman" w:hAnsi="Times New Roman"/>
          <w:sz w:val="24"/>
          <w:szCs w:val="24"/>
        </w:rPr>
        <w:t xml:space="preserve"> </w:t>
      </w:r>
      <w:r w:rsidRPr="00797E29">
        <w:rPr>
          <w:rFonts w:ascii="Times New Roman" w:hAnsi="Times New Roman"/>
          <w:sz w:val="24"/>
          <w:szCs w:val="24"/>
        </w:rPr>
        <w:t>правних</w:t>
      </w:r>
      <w:r w:rsidR="00E117CA" w:rsidRPr="00797E29">
        <w:rPr>
          <w:rFonts w:ascii="Times New Roman" w:hAnsi="Times New Roman"/>
          <w:sz w:val="24"/>
          <w:szCs w:val="24"/>
        </w:rPr>
        <w:t xml:space="preserve"> </w:t>
      </w:r>
      <w:r w:rsidRPr="00797E29">
        <w:rPr>
          <w:rFonts w:ascii="Times New Roman" w:hAnsi="Times New Roman"/>
          <w:sz w:val="24"/>
          <w:szCs w:val="24"/>
        </w:rPr>
        <w:t>лица</w:t>
      </w:r>
      <w:r w:rsidR="00E117CA" w:rsidRPr="00797E29">
        <w:rPr>
          <w:rFonts w:ascii="Times New Roman" w:hAnsi="Times New Roman"/>
          <w:sz w:val="24"/>
          <w:szCs w:val="24"/>
        </w:rPr>
        <w:t xml:space="preserve"> </w:t>
      </w:r>
      <w:r w:rsidRPr="00797E29">
        <w:rPr>
          <w:rFonts w:ascii="Times New Roman" w:hAnsi="Times New Roman"/>
          <w:sz w:val="24"/>
          <w:szCs w:val="24"/>
        </w:rPr>
        <w:t>пребијају</w:t>
      </w:r>
      <w:r w:rsidR="00E117CA" w:rsidRPr="00797E29">
        <w:rPr>
          <w:rFonts w:ascii="Times New Roman" w:hAnsi="Times New Roman"/>
          <w:sz w:val="24"/>
          <w:szCs w:val="24"/>
        </w:rPr>
        <w:t xml:space="preserve"> </w:t>
      </w:r>
      <w:r w:rsidRPr="00797E29">
        <w:rPr>
          <w:rFonts w:ascii="Times New Roman" w:hAnsi="Times New Roman"/>
          <w:sz w:val="24"/>
          <w:szCs w:val="24"/>
        </w:rPr>
        <w:t>се</w:t>
      </w:r>
      <w:r w:rsidR="00E117CA" w:rsidRPr="00797E29">
        <w:rPr>
          <w:rFonts w:ascii="Times New Roman" w:hAnsi="Times New Roman"/>
          <w:sz w:val="24"/>
          <w:szCs w:val="24"/>
        </w:rPr>
        <w:t xml:space="preserve"> </w:t>
      </w:r>
      <w:r w:rsidRPr="00797E29">
        <w:rPr>
          <w:rFonts w:ascii="Times New Roman" w:hAnsi="Times New Roman"/>
          <w:sz w:val="24"/>
          <w:szCs w:val="24"/>
        </w:rPr>
        <w:t>на</w:t>
      </w:r>
      <w:r w:rsidR="00E117CA" w:rsidRPr="00797E29">
        <w:rPr>
          <w:rFonts w:ascii="Times New Roman" w:hAnsi="Times New Roman"/>
          <w:sz w:val="24"/>
          <w:szCs w:val="24"/>
        </w:rPr>
        <w:t xml:space="preserve"> </w:t>
      </w:r>
      <w:r w:rsidRPr="00797E29">
        <w:rPr>
          <w:rFonts w:ascii="Times New Roman" w:hAnsi="Times New Roman"/>
          <w:sz w:val="24"/>
          <w:szCs w:val="24"/>
        </w:rPr>
        <w:t>рачун</w:t>
      </w:r>
      <w:r w:rsidR="00E117CA" w:rsidRPr="00797E29">
        <w:rPr>
          <w:rFonts w:ascii="Times New Roman" w:hAnsi="Times New Roman"/>
          <w:sz w:val="24"/>
          <w:szCs w:val="24"/>
        </w:rPr>
        <w:t xml:space="preserve"> </w:t>
      </w:r>
      <w:r w:rsidRPr="00797E29">
        <w:rPr>
          <w:rFonts w:ascii="Times New Roman" w:hAnsi="Times New Roman"/>
          <w:sz w:val="24"/>
          <w:szCs w:val="24"/>
        </w:rPr>
        <w:t>добити</w:t>
      </w:r>
      <w:r w:rsidR="00E117CA" w:rsidRPr="00797E29">
        <w:rPr>
          <w:rFonts w:ascii="Times New Roman" w:hAnsi="Times New Roman"/>
          <w:sz w:val="24"/>
          <w:szCs w:val="24"/>
        </w:rPr>
        <w:t xml:space="preserve"> </w:t>
      </w:r>
      <w:r w:rsidRPr="00797E29">
        <w:rPr>
          <w:rFonts w:ascii="Times New Roman" w:hAnsi="Times New Roman"/>
          <w:sz w:val="24"/>
          <w:szCs w:val="24"/>
        </w:rPr>
        <w:t>осталих</w:t>
      </w:r>
      <w:r w:rsidR="00E117CA" w:rsidRPr="00797E29">
        <w:rPr>
          <w:rFonts w:ascii="Times New Roman" w:hAnsi="Times New Roman"/>
          <w:sz w:val="24"/>
          <w:szCs w:val="24"/>
        </w:rPr>
        <w:t xml:space="preserve"> </w:t>
      </w:r>
      <w:r w:rsidRPr="00797E29">
        <w:rPr>
          <w:rFonts w:ascii="Times New Roman" w:hAnsi="Times New Roman"/>
          <w:sz w:val="24"/>
          <w:szCs w:val="24"/>
        </w:rPr>
        <w:t>повезаних</w:t>
      </w:r>
      <w:r w:rsidR="00E117CA" w:rsidRPr="00797E29">
        <w:rPr>
          <w:rFonts w:ascii="Times New Roman" w:hAnsi="Times New Roman"/>
          <w:sz w:val="24"/>
          <w:szCs w:val="24"/>
        </w:rPr>
        <w:t xml:space="preserve"> </w:t>
      </w:r>
      <w:r w:rsidRPr="00797E29">
        <w:rPr>
          <w:rFonts w:ascii="Times New Roman" w:hAnsi="Times New Roman"/>
          <w:sz w:val="24"/>
          <w:szCs w:val="24"/>
        </w:rPr>
        <w:t>правних</w:t>
      </w:r>
      <w:r w:rsidR="00E117CA" w:rsidRPr="00797E29">
        <w:rPr>
          <w:rFonts w:ascii="Times New Roman" w:hAnsi="Times New Roman"/>
          <w:sz w:val="24"/>
          <w:szCs w:val="24"/>
        </w:rPr>
        <w:t xml:space="preserve"> </w:t>
      </w:r>
      <w:r w:rsidRPr="00797E29">
        <w:rPr>
          <w:rFonts w:ascii="Times New Roman" w:hAnsi="Times New Roman"/>
          <w:sz w:val="24"/>
          <w:szCs w:val="24"/>
        </w:rPr>
        <w:t>лица</w:t>
      </w:r>
      <w:r w:rsidR="00E117CA" w:rsidRPr="00797E29">
        <w:rPr>
          <w:rFonts w:ascii="Times New Roman" w:hAnsi="Times New Roman"/>
          <w:sz w:val="24"/>
          <w:szCs w:val="24"/>
        </w:rPr>
        <w:t xml:space="preserve"> </w:t>
      </w:r>
      <w:r w:rsidRPr="00797E29">
        <w:rPr>
          <w:rFonts w:ascii="Times New Roman" w:hAnsi="Times New Roman"/>
          <w:sz w:val="24"/>
          <w:szCs w:val="24"/>
        </w:rPr>
        <w:t>у</w:t>
      </w:r>
      <w:r w:rsidR="00E117CA" w:rsidRPr="00797E29">
        <w:rPr>
          <w:rFonts w:ascii="Times New Roman" w:hAnsi="Times New Roman"/>
          <w:sz w:val="24"/>
          <w:szCs w:val="24"/>
        </w:rPr>
        <w:t xml:space="preserve"> </w:t>
      </w:r>
      <w:r w:rsidRPr="00797E29">
        <w:rPr>
          <w:rFonts w:ascii="Times New Roman" w:hAnsi="Times New Roman"/>
          <w:sz w:val="24"/>
          <w:szCs w:val="24"/>
        </w:rPr>
        <w:t>групи</w:t>
      </w:r>
      <w:r w:rsidR="00E117CA" w:rsidRPr="00797E29">
        <w:rPr>
          <w:rFonts w:ascii="Times New Roman" w:hAnsi="Times New Roman"/>
          <w:sz w:val="24"/>
          <w:szCs w:val="24"/>
        </w:rPr>
        <w:t xml:space="preserve">, </w:t>
      </w:r>
      <w:r w:rsidRPr="00797E29">
        <w:rPr>
          <w:rFonts w:ascii="Times New Roman" w:hAnsi="Times New Roman"/>
          <w:sz w:val="24"/>
          <w:szCs w:val="24"/>
        </w:rPr>
        <w:t>у</w:t>
      </w:r>
      <w:r w:rsidR="00E117CA" w:rsidRPr="00797E29">
        <w:rPr>
          <w:rFonts w:ascii="Times New Roman" w:hAnsi="Times New Roman"/>
          <w:sz w:val="24"/>
          <w:szCs w:val="24"/>
        </w:rPr>
        <w:t xml:space="preserve"> </w:t>
      </w:r>
      <w:r w:rsidRPr="00797E29">
        <w:rPr>
          <w:rFonts w:ascii="Times New Roman" w:hAnsi="Times New Roman"/>
          <w:sz w:val="24"/>
          <w:szCs w:val="24"/>
        </w:rPr>
        <w:t>том</w:t>
      </w:r>
      <w:r w:rsidR="00E117CA" w:rsidRPr="00797E29">
        <w:rPr>
          <w:rFonts w:ascii="Times New Roman" w:hAnsi="Times New Roman"/>
          <w:sz w:val="24"/>
          <w:szCs w:val="24"/>
        </w:rPr>
        <w:t xml:space="preserve"> </w:t>
      </w:r>
      <w:r w:rsidRPr="00797E29">
        <w:rPr>
          <w:rFonts w:ascii="Times New Roman" w:hAnsi="Times New Roman"/>
          <w:sz w:val="24"/>
          <w:szCs w:val="24"/>
        </w:rPr>
        <w:t>пореском</w:t>
      </w:r>
      <w:r w:rsidR="00E117CA" w:rsidRPr="00797E29">
        <w:rPr>
          <w:rFonts w:ascii="Times New Roman" w:hAnsi="Times New Roman"/>
          <w:sz w:val="24"/>
          <w:szCs w:val="24"/>
        </w:rPr>
        <w:t xml:space="preserve"> </w:t>
      </w:r>
      <w:r w:rsidRPr="00797E29">
        <w:rPr>
          <w:rFonts w:ascii="Times New Roman" w:hAnsi="Times New Roman"/>
          <w:sz w:val="24"/>
          <w:szCs w:val="24"/>
        </w:rPr>
        <w:t>периоду</w:t>
      </w:r>
      <w:r w:rsidR="00E117CA" w:rsidRPr="00797E29">
        <w:rPr>
          <w:rFonts w:ascii="Times New Roman" w:hAnsi="Times New Roman"/>
          <w:sz w:val="24"/>
          <w:szCs w:val="24"/>
        </w:rPr>
        <w:t>.</w:t>
      </w:r>
    </w:p>
    <w:p w:rsidR="00E117CA" w:rsidRPr="00797E29" w:rsidRDefault="00114791" w:rsidP="00797E29">
      <w:pPr>
        <w:ind w:firstLine="708"/>
        <w:jc w:val="both"/>
        <w:rPr>
          <w:rFonts w:ascii="Times New Roman" w:hAnsi="Times New Roman"/>
          <w:sz w:val="24"/>
          <w:szCs w:val="24"/>
          <w:lang w:val="sr-Cyrl-CS"/>
        </w:rPr>
      </w:pPr>
      <w:r w:rsidRPr="00797E29">
        <w:rPr>
          <w:rFonts w:ascii="Times New Roman" w:hAnsi="Times New Roman"/>
          <w:sz w:val="24"/>
          <w:szCs w:val="24"/>
        </w:rPr>
        <w:t>Опорезива</w:t>
      </w:r>
      <w:r w:rsidR="00E117CA" w:rsidRPr="00797E29">
        <w:rPr>
          <w:rFonts w:ascii="Times New Roman" w:hAnsi="Times New Roman"/>
          <w:sz w:val="24"/>
          <w:szCs w:val="24"/>
        </w:rPr>
        <w:t xml:space="preserve"> </w:t>
      </w:r>
      <w:r w:rsidRPr="00797E29">
        <w:rPr>
          <w:rFonts w:ascii="Times New Roman" w:hAnsi="Times New Roman"/>
          <w:sz w:val="24"/>
          <w:szCs w:val="24"/>
        </w:rPr>
        <w:t>добит</w:t>
      </w:r>
      <w:r w:rsidR="00E117CA" w:rsidRPr="00797E29">
        <w:rPr>
          <w:rFonts w:ascii="Times New Roman" w:hAnsi="Times New Roman"/>
          <w:sz w:val="24"/>
          <w:szCs w:val="24"/>
        </w:rPr>
        <w:t xml:space="preserve"> </w:t>
      </w:r>
      <w:r w:rsidRPr="00797E29">
        <w:rPr>
          <w:rFonts w:ascii="Times New Roman" w:hAnsi="Times New Roman"/>
          <w:sz w:val="24"/>
          <w:szCs w:val="24"/>
        </w:rPr>
        <w:t>коју</w:t>
      </w:r>
      <w:r w:rsidR="00E117CA" w:rsidRPr="00797E29">
        <w:rPr>
          <w:rFonts w:ascii="Times New Roman" w:hAnsi="Times New Roman"/>
          <w:sz w:val="24"/>
          <w:szCs w:val="24"/>
        </w:rPr>
        <w:t xml:space="preserve"> </w:t>
      </w:r>
      <w:r w:rsidRPr="00797E29">
        <w:rPr>
          <w:rFonts w:ascii="Times New Roman" w:hAnsi="Times New Roman"/>
          <w:sz w:val="24"/>
          <w:szCs w:val="24"/>
        </w:rPr>
        <w:t>оствари</w:t>
      </w:r>
      <w:r w:rsidR="00E117CA" w:rsidRPr="00797E29">
        <w:rPr>
          <w:rFonts w:ascii="Times New Roman" w:hAnsi="Times New Roman"/>
          <w:sz w:val="24"/>
          <w:szCs w:val="24"/>
        </w:rPr>
        <w:t xml:space="preserve"> </w:t>
      </w:r>
      <w:r w:rsidRPr="00797E29">
        <w:rPr>
          <w:rFonts w:ascii="Times New Roman" w:hAnsi="Times New Roman"/>
          <w:sz w:val="24"/>
          <w:szCs w:val="24"/>
        </w:rPr>
        <w:t>члан</w:t>
      </w:r>
      <w:r w:rsidR="00E117CA" w:rsidRPr="00797E29">
        <w:rPr>
          <w:rFonts w:ascii="Times New Roman" w:hAnsi="Times New Roman"/>
          <w:sz w:val="24"/>
          <w:szCs w:val="24"/>
        </w:rPr>
        <w:t xml:space="preserve"> </w:t>
      </w:r>
      <w:r w:rsidRPr="00797E29">
        <w:rPr>
          <w:rFonts w:ascii="Times New Roman" w:hAnsi="Times New Roman"/>
          <w:sz w:val="24"/>
          <w:szCs w:val="24"/>
        </w:rPr>
        <w:t>групе</w:t>
      </w:r>
      <w:r w:rsidR="00E117CA" w:rsidRPr="00797E29">
        <w:rPr>
          <w:rFonts w:ascii="Times New Roman" w:hAnsi="Times New Roman"/>
          <w:sz w:val="24"/>
          <w:szCs w:val="24"/>
        </w:rPr>
        <w:t xml:space="preserve"> </w:t>
      </w:r>
      <w:r w:rsidRPr="00797E29">
        <w:rPr>
          <w:rFonts w:ascii="Times New Roman" w:hAnsi="Times New Roman"/>
          <w:sz w:val="24"/>
          <w:szCs w:val="24"/>
        </w:rPr>
        <w:t>повезаних</w:t>
      </w:r>
      <w:r w:rsidR="00E117CA" w:rsidRPr="00797E29">
        <w:rPr>
          <w:rFonts w:ascii="Times New Roman" w:hAnsi="Times New Roman"/>
          <w:sz w:val="24"/>
          <w:szCs w:val="24"/>
        </w:rPr>
        <w:t xml:space="preserve"> </w:t>
      </w:r>
      <w:r w:rsidRPr="00797E29">
        <w:rPr>
          <w:rFonts w:ascii="Times New Roman" w:hAnsi="Times New Roman"/>
          <w:sz w:val="24"/>
          <w:szCs w:val="24"/>
        </w:rPr>
        <w:t>правних</w:t>
      </w:r>
      <w:r w:rsidR="00E117CA" w:rsidRPr="00797E29">
        <w:rPr>
          <w:rFonts w:ascii="Times New Roman" w:hAnsi="Times New Roman"/>
          <w:sz w:val="24"/>
          <w:szCs w:val="24"/>
        </w:rPr>
        <w:t xml:space="preserve"> </w:t>
      </w:r>
      <w:r w:rsidRPr="00797E29">
        <w:rPr>
          <w:rFonts w:ascii="Times New Roman" w:hAnsi="Times New Roman"/>
          <w:sz w:val="24"/>
          <w:szCs w:val="24"/>
        </w:rPr>
        <w:t>лица</w:t>
      </w:r>
      <w:r w:rsidR="009F6AF7" w:rsidRPr="00797E29">
        <w:rPr>
          <w:rFonts w:ascii="Times New Roman" w:hAnsi="Times New Roman"/>
          <w:sz w:val="24"/>
          <w:szCs w:val="24"/>
          <w:lang w:val="sr-Cyrl-CS"/>
        </w:rPr>
        <w:t>,</w:t>
      </w:r>
      <w:r w:rsidR="00E117CA" w:rsidRPr="00797E29">
        <w:rPr>
          <w:rFonts w:ascii="Times New Roman" w:hAnsi="Times New Roman"/>
          <w:sz w:val="24"/>
          <w:szCs w:val="24"/>
        </w:rPr>
        <w:t xml:space="preserve"> </w:t>
      </w:r>
      <w:r w:rsidRPr="00797E29">
        <w:rPr>
          <w:rFonts w:ascii="Times New Roman" w:hAnsi="Times New Roman"/>
          <w:sz w:val="24"/>
          <w:szCs w:val="24"/>
        </w:rPr>
        <w:t>а</w:t>
      </w:r>
      <w:r w:rsidR="00E117CA" w:rsidRPr="00797E29">
        <w:rPr>
          <w:rFonts w:ascii="Times New Roman" w:hAnsi="Times New Roman"/>
          <w:sz w:val="24"/>
          <w:szCs w:val="24"/>
        </w:rPr>
        <w:t xml:space="preserve"> </w:t>
      </w:r>
      <w:r w:rsidRPr="00797E29">
        <w:rPr>
          <w:rFonts w:ascii="Times New Roman" w:hAnsi="Times New Roman"/>
          <w:sz w:val="24"/>
          <w:szCs w:val="24"/>
        </w:rPr>
        <w:t>која</w:t>
      </w:r>
      <w:r w:rsidR="00E117CA" w:rsidRPr="00797E29">
        <w:rPr>
          <w:rFonts w:ascii="Times New Roman" w:hAnsi="Times New Roman"/>
          <w:sz w:val="24"/>
          <w:szCs w:val="24"/>
        </w:rPr>
        <w:t xml:space="preserve"> </w:t>
      </w:r>
      <w:r w:rsidRPr="00797E29">
        <w:rPr>
          <w:rFonts w:ascii="Times New Roman" w:hAnsi="Times New Roman"/>
          <w:sz w:val="24"/>
          <w:szCs w:val="24"/>
        </w:rPr>
        <w:t>се</w:t>
      </w:r>
      <w:r w:rsidR="00E117CA" w:rsidRPr="00797E29">
        <w:rPr>
          <w:rFonts w:ascii="Times New Roman" w:hAnsi="Times New Roman"/>
          <w:sz w:val="24"/>
          <w:szCs w:val="24"/>
        </w:rPr>
        <w:t xml:space="preserve"> </w:t>
      </w:r>
      <w:r w:rsidRPr="00797E29">
        <w:rPr>
          <w:rFonts w:ascii="Times New Roman" w:hAnsi="Times New Roman"/>
          <w:sz w:val="24"/>
          <w:szCs w:val="24"/>
        </w:rPr>
        <w:t>исказује</w:t>
      </w:r>
      <w:r w:rsidR="00E117CA" w:rsidRPr="00797E29">
        <w:rPr>
          <w:rFonts w:ascii="Times New Roman" w:hAnsi="Times New Roman"/>
          <w:sz w:val="24"/>
          <w:szCs w:val="24"/>
        </w:rPr>
        <w:t xml:space="preserve"> </w:t>
      </w:r>
      <w:r w:rsidRPr="00797E29">
        <w:rPr>
          <w:rFonts w:ascii="Times New Roman" w:hAnsi="Times New Roman"/>
          <w:sz w:val="24"/>
          <w:szCs w:val="24"/>
        </w:rPr>
        <w:t>у</w:t>
      </w:r>
      <w:r w:rsidR="00E117CA" w:rsidRPr="00797E29">
        <w:rPr>
          <w:rFonts w:ascii="Times New Roman" w:hAnsi="Times New Roman"/>
          <w:sz w:val="24"/>
          <w:szCs w:val="24"/>
        </w:rPr>
        <w:t xml:space="preserve"> </w:t>
      </w:r>
      <w:r w:rsidRPr="00797E29">
        <w:rPr>
          <w:rFonts w:ascii="Times New Roman" w:hAnsi="Times New Roman"/>
          <w:sz w:val="24"/>
          <w:szCs w:val="24"/>
        </w:rPr>
        <w:t>консолидованом</w:t>
      </w:r>
      <w:r w:rsidR="00E117CA" w:rsidRPr="00797E29">
        <w:rPr>
          <w:rFonts w:ascii="Times New Roman" w:hAnsi="Times New Roman"/>
          <w:sz w:val="24"/>
          <w:szCs w:val="24"/>
        </w:rPr>
        <w:t xml:space="preserve"> </w:t>
      </w:r>
      <w:r w:rsidRPr="00797E29">
        <w:rPr>
          <w:rFonts w:ascii="Times New Roman" w:hAnsi="Times New Roman"/>
          <w:sz w:val="24"/>
          <w:szCs w:val="24"/>
        </w:rPr>
        <w:t>пореском</w:t>
      </w:r>
      <w:r w:rsidR="00E117CA" w:rsidRPr="00797E29">
        <w:rPr>
          <w:rFonts w:ascii="Times New Roman" w:hAnsi="Times New Roman"/>
          <w:sz w:val="24"/>
          <w:szCs w:val="24"/>
        </w:rPr>
        <w:t xml:space="preserve"> </w:t>
      </w:r>
      <w:r w:rsidRPr="00797E29">
        <w:rPr>
          <w:rFonts w:ascii="Times New Roman" w:hAnsi="Times New Roman"/>
          <w:sz w:val="24"/>
          <w:szCs w:val="24"/>
        </w:rPr>
        <w:t>билансу</w:t>
      </w:r>
      <w:r w:rsidR="009F6AF7" w:rsidRPr="00797E29">
        <w:rPr>
          <w:rFonts w:ascii="Times New Roman" w:hAnsi="Times New Roman"/>
          <w:sz w:val="24"/>
          <w:szCs w:val="24"/>
          <w:lang w:val="sr-Cyrl-CS"/>
        </w:rPr>
        <w:t>,</w:t>
      </w:r>
      <w:r w:rsidR="00E117CA" w:rsidRPr="00797E29">
        <w:rPr>
          <w:rFonts w:ascii="Times New Roman" w:hAnsi="Times New Roman"/>
          <w:sz w:val="24"/>
          <w:szCs w:val="24"/>
        </w:rPr>
        <w:t xml:space="preserve"> </w:t>
      </w:r>
      <w:r w:rsidRPr="00797E29">
        <w:rPr>
          <w:rFonts w:ascii="Times New Roman" w:hAnsi="Times New Roman"/>
          <w:sz w:val="24"/>
          <w:szCs w:val="24"/>
        </w:rPr>
        <w:t>не</w:t>
      </w:r>
      <w:r w:rsidR="00E117CA" w:rsidRPr="00797E29">
        <w:rPr>
          <w:rFonts w:ascii="Times New Roman" w:hAnsi="Times New Roman"/>
          <w:sz w:val="24"/>
          <w:szCs w:val="24"/>
        </w:rPr>
        <w:t xml:space="preserve"> </w:t>
      </w:r>
      <w:r w:rsidRPr="00797E29">
        <w:rPr>
          <w:rFonts w:ascii="Times New Roman" w:hAnsi="Times New Roman"/>
          <w:sz w:val="24"/>
          <w:szCs w:val="24"/>
        </w:rPr>
        <w:t>може</w:t>
      </w:r>
      <w:r w:rsidR="00E117CA" w:rsidRPr="00797E29">
        <w:rPr>
          <w:rFonts w:ascii="Times New Roman" w:hAnsi="Times New Roman"/>
          <w:sz w:val="24"/>
          <w:szCs w:val="24"/>
        </w:rPr>
        <w:t xml:space="preserve"> </w:t>
      </w:r>
      <w:r w:rsidRPr="00797E29">
        <w:rPr>
          <w:rFonts w:ascii="Times New Roman" w:hAnsi="Times New Roman"/>
          <w:sz w:val="24"/>
          <w:szCs w:val="24"/>
        </w:rPr>
        <w:t>се</w:t>
      </w:r>
      <w:r w:rsidR="00E117CA" w:rsidRPr="00797E29">
        <w:rPr>
          <w:rFonts w:ascii="Times New Roman" w:hAnsi="Times New Roman"/>
          <w:sz w:val="24"/>
          <w:szCs w:val="24"/>
        </w:rPr>
        <w:t xml:space="preserve"> </w:t>
      </w:r>
      <w:r w:rsidRPr="00797E29">
        <w:rPr>
          <w:rFonts w:ascii="Times New Roman" w:hAnsi="Times New Roman"/>
          <w:sz w:val="24"/>
          <w:szCs w:val="24"/>
        </w:rPr>
        <w:t>умањити</w:t>
      </w:r>
      <w:r w:rsidR="00E117CA" w:rsidRPr="00797E29">
        <w:rPr>
          <w:rFonts w:ascii="Times New Roman" w:hAnsi="Times New Roman"/>
          <w:sz w:val="24"/>
          <w:szCs w:val="24"/>
        </w:rPr>
        <w:t xml:space="preserve"> </w:t>
      </w:r>
      <w:r w:rsidRPr="00797E29">
        <w:rPr>
          <w:rFonts w:ascii="Times New Roman" w:hAnsi="Times New Roman"/>
          <w:sz w:val="24"/>
          <w:szCs w:val="24"/>
        </w:rPr>
        <w:t>за</w:t>
      </w:r>
      <w:r w:rsidR="00E117CA" w:rsidRPr="00797E29">
        <w:rPr>
          <w:rFonts w:ascii="Times New Roman" w:hAnsi="Times New Roman"/>
          <w:sz w:val="24"/>
          <w:szCs w:val="24"/>
        </w:rPr>
        <w:t xml:space="preserve"> </w:t>
      </w:r>
      <w:r w:rsidRPr="00797E29">
        <w:rPr>
          <w:rFonts w:ascii="Times New Roman" w:hAnsi="Times New Roman"/>
          <w:sz w:val="24"/>
          <w:szCs w:val="24"/>
        </w:rPr>
        <w:t>износ</w:t>
      </w:r>
      <w:r w:rsidR="00E117CA" w:rsidRPr="00797E29">
        <w:rPr>
          <w:rFonts w:ascii="Times New Roman" w:hAnsi="Times New Roman"/>
          <w:sz w:val="24"/>
          <w:szCs w:val="24"/>
        </w:rPr>
        <w:t xml:space="preserve"> </w:t>
      </w:r>
      <w:r w:rsidRPr="00797E29">
        <w:rPr>
          <w:rFonts w:ascii="Times New Roman" w:hAnsi="Times New Roman"/>
          <w:sz w:val="24"/>
          <w:szCs w:val="24"/>
        </w:rPr>
        <w:t>губитка</w:t>
      </w:r>
      <w:r w:rsidR="00E117CA" w:rsidRPr="00797E29">
        <w:rPr>
          <w:rFonts w:ascii="Times New Roman" w:hAnsi="Times New Roman"/>
          <w:sz w:val="24"/>
          <w:szCs w:val="24"/>
        </w:rPr>
        <w:t xml:space="preserve"> </w:t>
      </w:r>
      <w:r w:rsidRPr="00797E29">
        <w:rPr>
          <w:rFonts w:ascii="Times New Roman" w:hAnsi="Times New Roman"/>
          <w:sz w:val="24"/>
          <w:szCs w:val="24"/>
        </w:rPr>
        <w:t>из</w:t>
      </w:r>
      <w:r w:rsidR="00E117CA" w:rsidRPr="00797E29">
        <w:rPr>
          <w:rFonts w:ascii="Times New Roman" w:hAnsi="Times New Roman"/>
          <w:sz w:val="24"/>
          <w:szCs w:val="24"/>
        </w:rPr>
        <w:t xml:space="preserve"> </w:t>
      </w:r>
      <w:r w:rsidRPr="00797E29">
        <w:rPr>
          <w:rFonts w:ascii="Times New Roman" w:hAnsi="Times New Roman"/>
          <w:sz w:val="24"/>
          <w:szCs w:val="24"/>
        </w:rPr>
        <w:t>пореског</w:t>
      </w:r>
      <w:r w:rsidR="00E117CA" w:rsidRPr="00797E29">
        <w:rPr>
          <w:rFonts w:ascii="Times New Roman" w:hAnsi="Times New Roman"/>
          <w:sz w:val="24"/>
          <w:szCs w:val="24"/>
        </w:rPr>
        <w:t xml:space="preserve"> </w:t>
      </w:r>
      <w:r w:rsidRPr="00797E29">
        <w:rPr>
          <w:rFonts w:ascii="Times New Roman" w:hAnsi="Times New Roman"/>
          <w:sz w:val="24"/>
          <w:szCs w:val="24"/>
        </w:rPr>
        <w:t>биланса</w:t>
      </w:r>
      <w:r w:rsidR="00E117CA" w:rsidRPr="00797E29">
        <w:rPr>
          <w:rFonts w:ascii="Times New Roman" w:hAnsi="Times New Roman"/>
          <w:sz w:val="24"/>
          <w:szCs w:val="24"/>
        </w:rPr>
        <w:t xml:space="preserve"> </w:t>
      </w:r>
      <w:r w:rsidRPr="00797E29">
        <w:rPr>
          <w:rFonts w:ascii="Times New Roman" w:hAnsi="Times New Roman"/>
          <w:sz w:val="24"/>
          <w:szCs w:val="24"/>
        </w:rPr>
        <w:t>претходних</w:t>
      </w:r>
      <w:r w:rsidR="00E117CA" w:rsidRPr="00797E29">
        <w:rPr>
          <w:rFonts w:ascii="Times New Roman" w:hAnsi="Times New Roman"/>
          <w:sz w:val="24"/>
          <w:szCs w:val="24"/>
        </w:rPr>
        <w:t xml:space="preserve"> </w:t>
      </w:r>
      <w:r w:rsidRPr="00797E29">
        <w:rPr>
          <w:rFonts w:ascii="Times New Roman" w:hAnsi="Times New Roman"/>
          <w:sz w:val="24"/>
          <w:szCs w:val="24"/>
        </w:rPr>
        <w:t>година</w:t>
      </w:r>
      <w:r w:rsidR="00E117CA" w:rsidRPr="00797E29">
        <w:rPr>
          <w:rFonts w:ascii="Times New Roman" w:hAnsi="Times New Roman"/>
          <w:sz w:val="24"/>
          <w:szCs w:val="24"/>
        </w:rPr>
        <w:t xml:space="preserve">, </w:t>
      </w:r>
      <w:r w:rsidRPr="00797E29">
        <w:rPr>
          <w:rFonts w:ascii="Times New Roman" w:hAnsi="Times New Roman"/>
          <w:sz w:val="24"/>
          <w:szCs w:val="24"/>
        </w:rPr>
        <w:t>односно</w:t>
      </w:r>
      <w:r w:rsidR="00E117CA" w:rsidRPr="00797E29">
        <w:rPr>
          <w:rFonts w:ascii="Times New Roman" w:hAnsi="Times New Roman"/>
          <w:sz w:val="24"/>
          <w:szCs w:val="24"/>
        </w:rPr>
        <w:t xml:space="preserve"> </w:t>
      </w:r>
      <w:r w:rsidRPr="00797E29">
        <w:rPr>
          <w:rFonts w:ascii="Times New Roman" w:hAnsi="Times New Roman"/>
          <w:sz w:val="24"/>
          <w:szCs w:val="24"/>
        </w:rPr>
        <w:t>претходних</w:t>
      </w:r>
      <w:r w:rsidR="00E117CA" w:rsidRPr="00797E29">
        <w:rPr>
          <w:rFonts w:ascii="Times New Roman" w:hAnsi="Times New Roman"/>
          <w:sz w:val="24"/>
          <w:szCs w:val="24"/>
        </w:rPr>
        <w:t xml:space="preserve"> </w:t>
      </w:r>
      <w:r w:rsidRPr="00797E29">
        <w:rPr>
          <w:rFonts w:ascii="Times New Roman" w:hAnsi="Times New Roman"/>
          <w:sz w:val="24"/>
          <w:szCs w:val="24"/>
        </w:rPr>
        <w:t>пореских</w:t>
      </w:r>
      <w:r w:rsidR="00E117CA" w:rsidRPr="00797E29">
        <w:rPr>
          <w:rFonts w:ascii="Times New Roman" w:hAnsi="Times New Roman"/>
          <w:sz w:val="24"/>
          <w:szCs w:val="24"/>
        </w:rPr>
        <w:t xml:space="preserve"> </w:t>
      </w:r>
      <w:r w:rsidRPr="00797E29">
        <w:rPr>
          <w:rFonts w:ascii="Times New Roman" w:hAnsi="Times New Roman"/>
          <w:sz w:val="24"/>
          <w:szCs w:val="24"/>
        </w:rPr>
        <w:t>периода</w:t>
      </w:r>
      <w:r w:rsidR="00E117CA" w:rsidRPr="00797E29">
        <w:rPr>
          <w:rFonts w:ascii="Times New Roman" w:hAnsi="Times New Roman"/>
          <w:sz w:val="24"/>
          <w:szCs w:val="24"/>
        </w:rPr>
        <w:t xml:space="preserve">, </w:t>
      </w:r>
      <w:r w:rsidRPr="00797E29">
        <w:rPr>
          <w:rFonts w:ascii="Times New Roman" w:hAnsi="Times New Roman"/>
          <w:sz w:val="24"/>
          <w:szCs w:val="24"/>
        </w:rPr>
        <w:t>тог</w:t>
      </w:r>
      <w:r w:rsidR="00E117CA" w:rsidRPr="00797E29">
        <w:rPr>
          <w:rFonts w:ascii="Times New Roman" w:hAnsi="Times New Roman"/>
          <w:sz w:val="24"/>
          <w:szCs w:val="24"/>
        </w:rPr>
        <w:t xml:space="preserve"> </w:t>
      </w:r>
      <w:r w:rsidRPr="00797E29">
        <w:rPr>
          <w:rFonts w:ascii="Times New Roman" w:hAnsi="Times New Roman"/>
          <w:sz w:val="24"/>
          <w:szCs w:val="24"/>
        </w:rPr>
        <w:t>члана</w:t>
      </w:r>
      <w:r w:rsidR="00E117CA" w:rsidRPr="00797E29">
        <w:rPr>
          <w:rFonts w:ascii="Times New Roman" w:hAnsi="Times New Roman"/>
          <w:sz w:val="24"/>
          <w:szCs w:val="24"/>
        </w:rPr>
        <w:t xml:space="preserve"> </w:t>
      </w:r>
      <w:r w:rsidRPr="00797E29">
        <w:rPr>
          <w:rFonts w:ascii="Times New Roman" w:hAnsi="Times New Roman"/>
          <w:sz w:val="24"/>
          <w:szCs w:val="24"/>
        </w:rPr>
        <w:t>групе</w:t>
      </w:r>
      <w:r w:rsidR="00E117CA" w:rsidRPr="00797E29">
        <w:rPr>
          <w:rFonts w:ascii="Times New Roman" w:hAnsi="Times New Roman"/>
          <w:sz w:val="24"/>
          <w:szCs w:val="24"/>
        </w:rPr>
        <w:t xml:space="preserve"> </w:t>
      </w:r>
      <w:r w:rsidRPr="00797E29">
        <w:rPr>
          <w:rFonts w:ascii="Times New Roman" w:hAnsi="Times New Roman"/>
          <w:sz w:val="24"/>
          <w:szCs w:val="24"/>
        </w:rPr>
        <w:t>повезаних</w:t>
      </w:r>
      <w:r w:rsidR="00E117CA" w:rsidRPr="00797E29">
        <w:rPr>
          <w:rFonts w:ascii="Times New Roman" w:hAnsi="Times New Roman"/>
          <w:sz w:val="24"/>
          <w:szCs w:val="24"/>
        </w:rPr>
        <w:t xml:space="preserve"> </w:t>
      </w:r>
      <w:r w:rsidRPr="00797E29">
        <w:rPr>
          <w:rFonts w:ascii="Times New Roman" w:hAnsi="Times New Roman"/>
          <w:sz w:val="24"/>
          <w:szCs w:val="24"/>
        </w:rPr>
        <w:t>правних</w:t>
      </w:r>
      <w:r w:rsidR="00E117CA" w:rsidRPr="00797E29">
        <w:rPr>
          <w:rFonts w:ascii="Times New Roman" w:hAnsi="Times New Roman"/>
          <w:sz w:val="24"/>
          <w:szCs w:val="24"/>
        </w:rPr>
        <w:t xml:space="preserve"> </w:t>
      </w:r>
      <w:r w:rsidRPr="00797E29">
        <w:rPr>
          <w:rFonts w:ascii="Times New Roman" w:hAnsi="Times New Roman"/>
          <w:sz w:val="24"/>
          <w:szCs w:val="24"/>
        </w:rPr>
        <w:t>лица</w:t>
      </w:r>
      <w:r w:rsidR="009F6AF7" w:rsidRPr="00797E29">
        <w:rPr>
          <w:rFonts w:ascii="Times New Roman" w:hAnsi="Times New Roman"/>
          <w:sz w:val="24"/>
          <w:szCs w:val="24"/>
          <w:lang w:val="sr-Cyrl-CS"/>
        </w:rPr>
        <w:t xml:space="preserve">. </w:t>
      </w:r>
      <w:r w:rsidRPr="00797E29">
        <w:rPr>
          <w:rFonts w:ascii="Times New Roman" w:hAnsi="Times New Roman"/>
          <w:sz w:val="24"/>
          <w:szCs w:val="24"/>
        </w:rPr>
        <w:t>За</w:t>
      </w:r>
      <w:r w:rsidR="00E117CA" w:rsidRPr="00797E29">
        <w:rPr>
          <w:rFonts w:ascii="Times New Roman" w:hAnsi="Times New Roman"/>
          <w:sz w:val="24"/>
          <w:szCs w:val="24"/>
        </w:rPr>
        <w:t xml:space="preserve"> </w:t>
      </w:r>
      <w:r w:rsidRPr="00797E29">
        <w:rPr>
          <w:rFonts w:ascii="Times New Roman" w:hAnsi="Times New Roman"/>
          <w:sz w:val="24"/>
          <w:szCs w:val="24"/>
        </w:rPr>
        <w:t>обрачунати</w:t>
      </w:r>
      <w:r w:rsidR="00E117CA" w:rsidRPr="00797E29">
        <w:rPr>
          <w:rFonts w:ascii="Times New Roman" w:hAnsi="Times New Roman"/>
          <w:sz w:val="24"/>
          <w:szCs w:val="24"/>
        </w:rPr>
        <w:t xml:space="preserve"> </w:t>
      </w:r>
      <w:r w:rsidRPr="00797E29">
        <w:rPr>
          <w:rFonts w:ascii="Times New Roman" w:hAnsi="Times New Roman"/>
          <w:sz w:val="24"/>
          <w:szCs w:val="24"/>
        </w:rPr>
        <w:t>порез</w:t>
      </w:r>
      <w:r w:rsidR="00E117CA" w:rsidRPr="00797E29">
        <w:rPr>
          <w:rFonts w:ascii="Times New Roman" w:hAnsi="Times New Roman"/>
          <w:sz w:val="24"/>
          <w:szCs w:val="24"/>
        </w:rPr>
        <w:t xml:space="preserve"> </w:t>
      </w:r>
      <w:r w:rsidRPr="00797E29">
        <w:rPr>
          <w:rFonts w:ascii="Times New Roman" w:hAnsi="Times New Roman"/>
          <w:sz w:val="24"/>
          <w:szCs w:val="24"/>
        </w:rPr>
        <w:t>по</w:t>
      </w:r>
      <w:r w:rsidR="00E117CA" w:rsidRPr="00797E29">
        <w:rPr>
          <w:rFonts w:ascii="Times New Roman" w:hAnsi="Times New Roman"/>
          <w:sz w:val="24"/>
          <w:szCs w:val="24"/>
        </w:rPr>
        <w:t xml:space="preserve"> </w:t>
      </w:r>
      <w:r w:rsidRPr="00797E29">
        <w:rPr>
          <w:rFonts w:ascii="Times New Roman" w:hAnsi="Times New Roman"/>
          <w:sz w:val="24"/>
          <w:szCs w:val="24"/>
        </w:rPr>
        <w:t>консолидованом</w:t>
      </w:r>
      <w:r w:rsidR="00E117CA" w:rsidRPr="00797E29">
        <w:rPr>
          <w:rFonts w:ascii="Times New Roman" w:hAnsi="Times New Roman"/>
          <w:sz w:val="24"/>
          <w:szCs w:val="24"/>
        </w:rPr>
        <w:t xml:space="preserve"> </w:t>
      </w:r>
      <w:r w:rsidRPr="00797E29">
        <w:rPr>
          <w:rFonts w:ascii="Times New Roman" w:hAnsi="Times New Roman"/>
          <w:sz w:val="24"/>
          <w:szCs w:val="24"/>
        </w:rPr>
        <w:t>билансу</w:t>
      </w:r>
      <w:r w:rsidR="00E117CA" w:rsidRPr="00797E29">
        <w:rPr>
          <w:rFonts w:ascii="Times New Roman" w:hAnsi="Times New Roman"/>
          <w:sz w:val="24"/>
          <w:szCs w:val="24"/>
        </w:rPr>
        <w:t xml:space="preserve"> </w:t>
      </w:r>
      <w:r w:rsidRPr="00797E29">
        <w:rPr>
          <w:rFonts w:ascii="Times New Roman" w:hAnsi="Times New Roman"/>
          <w:sz w:val="24"/>
          <w:szCs w:val="24"/>
        </w:rPr>
        <w:t>обвезници</w:t>
      </w:r>
      <w:r w:rsidR="00E117CA" w:rsidRPr="00797E29">
        <w:rPr>
          <w:rFonts w:ascii="Times New Roman" w:hAnsi="Times New Roman"/>
          <w:sz w:val="24"/>
          <w:szCs w:val="24"/>
        </w:rPr>
        <w:t xml:space="preserve"> </w:t>
      </w:r>
      <w:r w:rsidRPr="00797E29">
        <w:rPr>
          <w:rFonts w:ascii="Times New Roman" w:hAnsi="Times New Roman"/>
          <w:sz w:val="24"/>
          <w:szCs w:val="24"/>
        </w:rPr>
        <w:t>су</w:t>
      </w:r>
      <w:r w:rsidR="00E117CA" w:rsidRPr="00797E29">
        <w:rPr>
          <w:rFonts w:ascii="Times New Roman" w:hAnsi="Times New Roman"/>
          <w:sz w:val="24"/>
          <w:szCs w:val="24"/>
        </w:rPr>
        <w:t xml:space="preserve"> </w:t>
      </w:r>
      <w:r w:rsidRPr="00797E29">
        <w:rPr>
          <w:rFonts w:ascii="Times New Roman" w:hAnsi="Times New Roman"/>
          <w:sz w:val="24"/>
          <w:szCs w:val="24"/>
        </w:rPr>
        <w:t>појединачна</w:t>
      </w:r>
      <w:r w:rsidR="00E117CA" w:rsidRPr="00797E29">
        <w:rPr>
          <w:rFonts w:ascii="Times New Roman" w:hAnsi="Times New Roman"/>
          <w:sz w:val="24"/>
          <w:szCs w:val="24"/>
        </w:rPr>
        <w:t xml:space="preserve"> </w:t>
      </w:r>
      <w:r w:rsidRPr="00797E29">
        <w:rPr>
          <w:rFonts w:ascii="Times New Roman" w:hAnsi="Times New Roman"/>
          <w:sz w:val="24"/>
          <w:szCs w:val="24"/>
        </w:rPr>
        <w:t>повезана</w:t>
      </w:r>
      <w:r w:rsidR="00E117CA" w:rsidRPr="00797E29">
        <w:rPr>
          <w:rFonts w:ascii="Times New Roman" w:hAnsi="Times New Roman"/>
          <w:sz w:val="24"/>
          <w:szCs w:val="24"/>
        </w:rPr>
        <w:t xml:space="preserve"> </w:t>
      </w:r>
      <w:r w:rsidRPr="00797E29">
        <w:rPr>
          <w:rFonts w:ascii="Times New Roman" w:hAnsi="Times New Roman"/>
          <w:sz w:val="24"/>
          <w:szCs w:val="24"/>
        </w:rPr>
        <w:t>правна</w:t>
      </w:r>
      <w:r w:rsidR="00E117CA" w:rsidRPr="00797E29">
        <w:rPr>
          <w:rFonts w:ascii="Times New Roman" w:hAnsi="Times New Roman"/>
          <w:sz w:val="24"/>
          <w:szCs w:val="24"/>
        </w:rPr>
        <w:t xml:space="preserve"> </w:t>
      </w:r>
      <w:r w:rsidRPr="00797E29">
        <w:rPr>
          <w:rFonts w:ascii="Times New Roman" w:hAnsi="Times New Roman"/>
          <w:sz w:val="24"/>
          <w:szCs w:val="24"/>
        </w:rPr>
        <w:t>лица</w:t>
      </w:r>
      <w:r w:rsidR="00E117CA" w:rsidRPr="00797E29">
        <w:rPr>
          <w:rFonts w:ascii="Times New Roman" w:hAnsi="Times New Roman"/>
          <w:sz w:val="24"/>
          <w:szCs w:val="24"/>
        </w:rPr>
        <w:t xml:space="preserve"> </w:t>
      </w:r>
      <w:r w:rsidRPr="00797E29">
        <w:rPr>
          <w:rFonts w:ascii="Times New Roman" w:hAnsi="Times New Roman"/>
          <w:sz w:val="24"/>
          <w:szCs w:val="24"/>
        </w:rPr>
        <w:t>из</w:t>
      </w:r>
      <w:r w:rsidR="00E117CA" w:rsidRPr="00797E29">
        <w:rPr>
          <w:rFonts w:ascii="Times New Roman" w:hAnsi="Times New Roman"/>
          <w:sz w:val="24"/>
          <w:szCs w:val="24"/>
        </w:rPr>
        <w:t xml:space="preserve"> </w:t>
      </w:r>
      <w:r w:rsidRPr="00797E29">
        <w:rPr>
          <w:rFonts w:ascii="Times New Roman" w:hAnsi="Times New Roman"/>
          <w:sz w:val="24"/>
          <w:szCs w:val="24"/>
        </w:rPr>
        <w:t>групе</w:t>
      </w:r>
      <w:r w:rsidR="00E117CA" w:rsidRPr="00797E29">
        <w:rPr>
          <w:rFonts w:ascii="Times New Roman" w:hAnsi="Times New Roman"/>
          <w:sz w:val="24"/>
          <w:szCs w:val="24"/>
        </w:rPr>
        <w:t xml:space="preserve">, </w:t>
      </w:r>
      <w:r w:rsidRPr="00797E29">
        <w:rPr>
          <w:rFonts w:ascii="Times New Roman" w:hAnsi="Times New Roman"/>
          <w:sz w:val="24"/>
          <w:szCs w:val="24"/>
        </w:rPr>
        <w:t>сразмерно</w:t>
      </w:r>
      <w:r w:rsidR="00E117CA" w:rsidRPr="00797E29">
        <w:rPr>
          <w:rFonts w:ascii="Times New Roman" w:hAnsi="Times New Roman"/>
          <w:sz w:val="24"/>
          <w:szCs w:val="24"/>
        </w:rPr>
        <w:t xml:space="preserve"> </w:t>
      </w:r>
      <w:r w:rsidRPr="00797E29">
        <w:rPr>
          <w:rFonts w:ascii="Times New Roman" w:hAnsi="Times New Roman"/>
          <w:sz w:val="24"/>
          <w:szCs w:val="24"/>
        </w:rPr>
        <w:t>опорезивој</w:t>
      </w:r>
      <w:r w:rsidR="00E117CA" w:rsidRPr="00797E29">
        <w:rPr>
          <w:rFonts w:ascii="Times New Roman" w:hAnsi="Times New Roman"/>
          <w:sz w:val="24"/>
          <w:szCs w:val="24"/>
        </w:rPr>
        <w:t xml:space="preserve"> </w:t>
      </w:r>
      <w:r w:rsidRPr="00797E29">
        <w:rPr>
          <w:rFonts w:ascii="Times New Roman" w:hAnsi="Times New Roman"/>
          <w:sz w:val="24"/>
          <w:szCs w:val="24"/>
        </w:rPr>
        <w:t>добити</w:t>
      </w:r>
      <w:r w:rsidR="00E117CA" w:rsidRPr="00797E29">
        <w:rPr>
          <w:rFonts w:ascii="Times New Roman" w:hAnsi="Times New Roman"/>
          <w:sz w:val="24"/>
          <w:szCs w:val="24"/>
        </w:rPr>
        <w:t xml:space="preserve"> </w:t>
      </w:r>
      <w:r w:rsidRPr="00797E29">
        <w:rPr>
          <w:rFonts w:ascii="Times New Roman" w:hAnsi="Times New Roman"/>
          <w:sz w:val="24"/>
          <w:szCs w:val="24"/>
        </w:rPr>
        <w:t>из</w:t>
      </w:r>
      <w:r w:rsidR="00E117CA" w:rsidRPr="00797E29">
        <w:rPr>
          <w:rFonts w:ascii="Times New Roman" w:hAnsi="Times New Roman"/>
          <w:sz w:val="24"/>
          <w:szCs w:val="24"/>
        </w:rPr>
        <w:t xml:space="preserve"> </w:t>
      </w:r>
      <w:r w:rsidRPr="00797E29">
        <w:rPr>
          <w:rFonts w:ascii="Times New Roman" w:hAnsi="Times New Roman"/>
          <w:sz w:val="24"/>
          <w:szCs w:val="24"/>
        </w:rPr>
        <w:t>појединачног</w:t>
      </w:r>
      <w:r w:rsidR="00E117CA" w:rsidRPr="00797E29">
        <w:rPr>
          <w:rFonts w:ascii="Times New Roman" w:hAnsi="Times New Roman"/>
          <w:sz w:val="24"/>
          <w:szCs w:val="24"/>
        </w:rPr>
        <w:t xml:space="preserve"> </w:t>
      </w:r>
      <w:r w:rsidRPr="00797E29">
        <w:rPr>
          <w:rFonts w:ascii="Times New Roman" w:hAnsi="Times New Roman"/>
          <w:sz w:val="24"/>
          <w:szCs w:val="24"/>
        </w:rPr>
        <w:t>пореског</w:t>
      </w:r>
      <w:r w:rsidR="00E117CA" w:rsidRPr="00797E29">
        <w:rPr>
          <w:rFonts w:ascii="Times New Roman" w:hAnsi="Times New Roman"/>
          <w:sz w:val="24"/>
          <w:szCs w:val="24"/>
        </w:rPr>
        <w:t xml:space="preserve"> </w:t>
      </w:r>
      <w:r w:rsidRPr="00797E29">
        <w:rPr>
          <w:rFonts w:ascii="Times New Roman" w:hAnsi="Times New Roman"/>
          <w:sz w:val="24"/>
          <w:szCs w:val="24"/>
        </w:rPr>
        <w:t>биланса</w:t>
      </w:r>
      <w:r w:rsidR="00E117CA" w:rsidRPr="00797E29">
        <w:rPr>
          <w:rFonts w:ascii="Times New Roman" w:hAnsi="Times New Roman"/>
          <w:sz w:val="24"/>
          <w:szCs w:val="24"/>
        </w:rPr>
        <w:t>.</w:t>
      </w:r>
      <w:r w:rsidR="00E117CA" w:rsidRPr="00797E29">
        <w:rPr>
          <w:rStyle w:val="FootnoteReference"/>
          <w:rFonts w:ascii="Times New Roman" w:hAnsi="Times New Roman"/>
          <w:color w:val="000000"/>
          <w:sz w:val="24"/>
          <w:szCs w:val="24"/>
        </w:rPr>
        <w:footnoteReference w:id="324"/>
      </w:r>
      <w:r w:rsidR="009F6AF7" w:rsidRPr="00797E29">
        <w:rPr>
          <w:rFonts w:ascii="Times New Roman" w:hAnsi="Times New Roman"/>
          <w:sz w:val="24"/>
          <w:szCs w:val="24"/>
          <w:lang w:val="sr-Cyrl-CS"/>
        </w:rPr>
        <w:t xml:space="preserve"> </w:t>
      </w:r>
    </w:p>
    <w:p w:rsidR="00114791" w:rsidRPr="00797E29" w:rsidRDefault="008D7375" w:rsidP="00797E29">
      <w:pPr>
        <w:ind w:firstLine="708"/>
        <w:jc w:val="both"/>
        <w:rPr>
          <w:rFonts w:ascii="Times New Roman" w:hAnsi="Times New Roman"/>
          <w:sz w:val="24"/>
          <w:szCs w:val="24"/>
          <w:lang w:val="sr-Cyrl-CS"/>
        </w:rPr>
      </w:pPr>
      <w:r w:rsidRPr="00797E29">
        <w:rPr>
          <w:rFonts w:ascii="Times New Roman" w:hAnsi="Times New Roman"/>
          <w:sz w:val="24"/>
          <w:szCs w:val="24"/>
          <w:lang w:val="sr-Cyrl-CS"/>
        </w:rPr>
        <w:t>Како се у конкретном случају ради о погодности која имплицира минимизовање пореског оптерећења, прописани су услови према позитивном законодавс</w:t>
      </w:r>
      <w:r w:rsidR="009F6AF7" w:rsidRPr="00797E29">
        <w:rPr>
          <w:rFonts w:ascii="Times New Roman" w:hAnsi="Times New Roman"/>
          <w:sz w:val="24"/>
          <w:szCs w:val="24"/>
          <w:lang w:val="sr-Cyrl-CS"/>
        </w:rPr>
        <w:t>т</w:t>
      </w:r>
      <w:r w:rsidRPr="00797E29">
        <w:rPr>
          <w:rFonts w:ascii="Times New Roman" w:hAnsi="Times New Roman"/>
          <w:sz w:val="24"/>
          <w:szCs w:val="24"/>
          <w:lang w:val="sr-Cyrl-CS"/>
        </w:rPr>
        <w:t>ву који морају бити испуњени. Ради се о следећим условима</w:t>
      </w:r>
      <w:r w:rsidR="00114791" w:rsidRPr="00797E29">
        <w:rPr>
          <w:rFonts w:ascii="Times New Roman" w:hAnsi="Times New Roman"/>
          <w:sz w:val="24"/>
          <w:szCs w:val="24"/>
          <w:lang w:val="sr-Cyrl-CS"/>
        </w:rPr>
        <w:t>:</w:t>
      </w:r>
      <w:r w:rsidRPr="00797E29">
        <w:rPr>
          <w:rStyle w:val="FootnoteReference"/>
          <w:rFonts w:ascii="Times New Roman" w:hAnsi="Times New Roman"/>
          <w:color w:val="000000"/>
          <w:sz w:val="24"/>
          <w:szCs w:val="24"/>
          <w:lang w:val="sr-Cyrl-CS"/>
        </w:rPr>
        <w:footnoteReference w:id="325"/>
      </w:r>
      <w:r w:rsidR="009F6AF7" w:rsidRPr="00797E29">
        <w:rPr>
          <w:rFonts w:ascii="Times New Roman" w:hAnsi="Times New Roman"/>
          <w:sz w:val="24"/>
          <w:szCs w:val="24"/>
          <w:lang w:val="sr-Cyrl-CS"/>
        </w:rPr>
        <w:t xml:space="preserve"> </w:t>
      </w:r>
    </w:p>
    <w:p w:rsidR="008D7375" w:rsidRPr="00797E29" w:rsidRDefault="000B417D" w:rsidP="00797E29">
      <w:pPr>
        <w:jc w:val="both"/>
        <w:rPr>
          <w:rFonts w:ascii="Times New Roman" w:hAnsi="Times New Roman"/>
          <w:sz w:val="24"/>
          <w:szCs w:val="24"/>
          <w:lang w:val="sr-Cyrl-CS"/>
        </w:rPr>
      </w:pPr>
      <w:r>
        <w:rPr>
          <w:rFonts w:ascii="Times New Roman" w:hAnsi="Times New Roman"/>
          <w:sz w:val="24"/>
          <w:szCs w:val="24"/>
          <w:lang w:val="sr-Cyrl-CS"/>
        </w:rPr>
        <w:t>-</w:t>
      </w:r>
      <w:r w:rsidR="008D7375" w:rsidRPr="00797E29">
        <w:rPr>
          <w:rFonts w:ascii="Times New Roman" w:hAnsi="Times New Roman"/>
          <w:sz w:val="24"/>
          <w:szCs w:val="24"/>
          <w:lang w:val="sr-Cyrl-CS"/>
        </w:rPr>
        <w:t>м</w:t>
      </w:r>
      <w:r w:rsidR="00114791" w:rsidRPr="00797E29">
        <w:rPr>
          <w:rFonts w:ascii="Times New Roman" w:hAnsi="Times New Roman"/>
          <w:sz w:val="24"/>
          <w:szCs w:val="24"/>
        </w:rPr>
        <w:t>атично</w:t>
      </w:r>
      <w:r w:rsidR="008D7375" w:rsidRPr="00797E29">
        <w:rPr>
          <w:rFonts w:ascii="Times New Roman" w:hAnsi="Times New Roman"/>
          <w:sz w:val="24"/>
          <w:szCs w:val="24"/>
        </w:rPr>
        <w:t xml:space="preserve"> </w:t>
      </w:r>
      <w:r w:rsidR="00114791" w:rsidRPr="00797E29">
        <w:rPr>
          <w:rFonts w:ascii="Times New Roman" w:hAnsi="Times New Roman"/>
          <w:sz w:val="24"/>
          <w:szCs w:val="24"/>
        </w:rPr>
        <w:t>правно</w:t>
      </w:r>
      <w:r w:rsidR="008D7375" w:rsidRPr="00797E29">
        <w:rPr>
          <w:rFonts w:ascii="Times New Roman" w:hAnsi="Times New Roman"/>
          <w:sz w:val="24"/>
          <w:szCs w:val="24"/>
        </w:rPr>
        <w:t xml:space="preserve"> </w:t>
      </w:r>
      <w:r w:rsidR="00114791" w:rsidRPr="00797E29">
        <w:rPr>
          <w:rFonts w:ascii="Times New Roman" w:hAnsi="Times New Roman"/>
          <w:sz w:val="24"/>
          <w:szCs w:val="24"/>
        </w:rPr>
        <w:t>лице</w:t>
      </w:r>
      <w:r w:rsidR="008D7375" w:rsidRPr="00797E29">
        <w:rPr>
          <w:rFonts w:ascii="Times New Roman" w:hAnsi="Times New Roman"/>
          <w:sz w:val="24"/>
          <w:szCs w:val="24"/>
        </w:rPr>
        <w:t xml:space="preserve"> </w:t>
      </w:r>
      <w:r w:rsidR="00114791" w:rsidRPr="00797E29">
        <w:rPr>
          <w:rFonts w:ascii="Times New Roman" w:hAnsi="Times New Roman"/>
          <w:sz w:val="24"/>
          <w:szCs w:val="24"/>
        </w:rPr>
        <w:t>и</w:t>
      </w:r>
      <w:r w:rsidR="008D7375" w:rsidRPr="00797E29">
        <w:rPr>
          <w:rFonts w:ascii="Times New Roman" w:hAnsi="Times New Roman"/>
          <w:sz w:val="24"/>
          <w:szCs w:val="24"/>
        </w:rPr>
        <w:t xml:space="preserve"> </w:t>
      </w:r>
      <w:r w:rsidR="00114791" w:rsidRPr="00797E29">
        <w:rPr>
          <w:rFonts w:ascii="Times New Roman" w:hAnsi="Times New Roman"/>
          <w:sz w:val="24"/>
          <w:szCs w:val="24"/>
        </w:rPr>
        <w:t>зависна</w:t>
      </w:r>
      <w:r w:rsidR="008D7375" w:rsidRPr="00797E29">
        <w:rPr>
          <w:rFonts w:ascii="Times New Roman" w:hAnsi="Times New Roman"/>
          <w:sz w:val="24"/>
          <w:szCs w:val="24"/>
        </w:rPr>
        <w:t xml:space="preserve"> </w:t>
      </w:r>
      <w:r w:rsidR="00114791" w:rsidRPr="00797E29">
        <w:rPr>
          <w:rFonts w:ascii="Times New Roman" w:hAnsi="Times New Roman"/>
          <w:sz w:val="24"/>
          <w:szCs w:val="24"/>
        </w:rPr>
        <w:t>правна</w:t>
      </w:r>
      <w:r w:rsidR="008D7375" w:rsidRPr="00797E29">
        <w:rPr>
          <w:rFonts w:ascii="Times New Roman" w:hAnsi="Times New Roman"/>
          <w:sz w:val="24"/>
          <w:szCs w:val="24"/>
        </w:rPr>
        <w:t xml:space="preserve"> </w:t>
      </w:r>
      <w:r w:rsidR="00114791" w:rsidRPr="00797E29">
        <w:rPr>
          <w:rFonts w:ascii="Times New Roman" w:hAnsi="Times New Roman"/>
          <w:sz w:val="24"/>
          <w:szCs w:val="24"/>
        </w:rPr>
        <w:t>лица</w:t>
      </w:r>
      <w:r w:rsidR="008D7375" w:rsidRPr="00797E29">
        <w:rPr>
          <w:rFonts w:ascii="Times New Roman" w:hAnsi="Times New Roman"/>
          <w:sz w:val="24"/>
          <w:szCs w:val="24"/>
        </w:rPr>
        <w:t xml:space="preserve">, </w:t>
      </w:r>
      <w:r w:rsidR="00114791" w:rsidRPr="00797E29">
        <w:rPr>
          <w:rFonts w:ascii="Times New Roman" w:hAnsi="Times New Roman"/>
          <w:sz w:val="24"/>
          <w:szCs w:val="24"/>
        </w:rPr>
        <w:t>чине</w:t>
      </w:r>
      <w:r w:rsidR="008D7375" w:rsidRPr="00797E29">
        <w:rPr>
          <w:rFonts w:ascii="Times New Roman" w:hAnsi="Times New Roman"/>
          <w:sz w:val="24"/>
          <w:szCs w:val="24"/>
        </w:rPr>
        <w:t xml:space="preserve"> </w:t>
      </w:r>
      <w:r w:rsidR="00114791" w:rsidRPr="00797E29">
        <w:rPr>
          <w:rFonts w:ascii="Times New Roman" w:hAnsi="Times New Roman"/>
          <w:sz w:val="24"/>
          <w:szCs w:val="24"/>
        </w:rPr>
        <w:t>групу</w:t>
      </w:r>
      <w:r w:rsidR="008D7375" w:rsidRPr="00797E29">
        <w:rPr>
          <w:rFonts w:ascii="Times New Roman" w:hAnsi="Times New Roman"/>
          <w:sz w:val="24"/>
          <w:szCs w:val="24"/>
        </w:rPr>
        <w:t xml:space="preserve"> </w:t>
      </w:r>
      <w:r w:rsidR="00114791" w:rsidRPr="00797E29">
        <w:rPr>
          <w:rFonts w:ascii="Times New Roman" w:hAnsi="Times New Roman"/>
          <w:sz w:val="24"/>
          <w:szCs w:val="24"/>
        </w:rPr>
        <w:t>повезаних</w:t>
      </w:r>
      <w:r w:rsidR="008D7375" w:rsidRPr="00797E29">
        <w:rPr>
          <w:rFonts w:ascii="Times New Roman" w:hAnsi="Times New Roman"/>
          <w:sz w:val="24"/>
          <w:szCs w:val="24"/>
        </w:rPr>
        <w:t xml:space="preserve"> </w:t>
      </w:r>
      <w:r w:rsidR="00114791" w:rsidRPr="00797E29">
        <w:rPr>
          <w:rFonts w:ascii="Times New Roman" w:hAnsi="Times New Roman"/>
          <w:sz w:val="24"/>
          <w:szCs w:val="24"/>
        </w:rPr>
        <w:t>правних</w:t>
      </w:r>
      <w:r w:rsidR="008D7375" w:rsidRPr="00797E29">
        <w:rPr>
          <w:rFonts w:ascii="Times New Roman" w:hAnsi="Times New Roman"/>
          <w:sz w:val="24"/>
          <w:szCs w:val="24"/>
        </w:rPr>
        <w:t xml:space="preserve"> </w:t>
      </w:r>
      <w:r w:rsidR="00114791" w:rsidRPr="00797E29">
        <w:rPr>
          <w:rFonts w:ascii="Times New Roman" w:hAnsi="Times New Roman"/>
          <w:sz w:val="24"/>
          <w:szCs w:val="24"/>
        </w:rPr>
        <w:t>лица</w:t>
      </w:r>
      <w:r w:rsidR="008D7375" w:rsidRPr="00797E29">
        <w:rPr>
          <w:rFonts w:ascii="Times New Roman" w:hAnsi="Times New Roman"/>
          <w:sz w:val="24"/>
          <w:szCs w:val="24"/>
        </w:rPr>
        <w:t xml:space="preserve"> </w:t>
      </w:r>
      <w:r w:rsidR="00114791" w:rsidRPr="00797E29">
        <w:rPr>
          <w:rFonts w:ascii="Times New Roman" w:hAnsi="Times New Roman"/>
          <w:sz w:val="24"/>
          <w:szCs w:val="24"/>
        </w:rPr>
        <w:t>ако</w:t>
      </w:r>
      <w:r w:rsidR="008D7375" w:rsidRPr="00797E29">
        <w:rPr>
          <w:rFonts w:ascii="Times New Roman" w:hAnsi="Times New Roman"/>
          <w:sz w:val="24"/>
          <w:szCs w:val="24"/>
        </w:rPr>
        <w:t xml:space="preserve"> </w:t>
      </w:r>
      <w:r w:rsidR="00114791" w:rsidRPr="00797E29">
        <w:rPr>
          <w:rFonts w:ascii="Times New Roman" w:hAnsi="Times New Roman"/>
          <w:sz w:val="24"/>
          <w:szCs w:val="24"/>
        </w:rPr>
        <w:t>међу</w:t>
      </w:r>
      <w:r w:rsidR="008D7375" w:rsidRPr="00797E29">
        <w:rPr>
          <w:rFonts w:ascii="Times New Roman" w:hAnsi="Times New Roman"/>
          <w:sz w:val="24"/>
          <w:szCs w:val="24"/>
        </w:rPr>
        <w:t xml:space="preserve"> </w:t>
      </w:r>
      <w:r w:rsidR="00114791" w:rsidRPr="00797E29">
        <w:rPr>
          <w:rFonts w:ascii="Times New Roman" w:hAnsi="Times New Roman"/>
          <w:sz w:val="24"/>
          <w:szCs w:val="24"/>
        </w:rPr>
        <w:t>њима</w:t>
      </w:r>
      <w:r w:rsidR="008D7375" w:rsidRPr="00797E29">
        <w:rPr>
          <w:rFonts w:ascii="Times New Roman" w:hAnsi="Times New Roman"/>
          <w:sz w:val="24"/>
          <w:szCs w:val="24"/>
        </w:rPr>
        <w:t xml:space="preserve"> </w:t>
      </w:r>
      <w:r w:rsidR="00114791" w:rsidRPr="00797E29">
        <w:rPr>
          <w:rFonts w:ascii="Times New Roman" w:hAnsi="Times New Roman"/>
          <w:sz w:val="24"/>
          <w:szCs w:val="24"/>
        </w:rPr>
        <w:t>постоји</w:t>
      </w:r>
      <w:r w:rsidR="008D7375" w:rsidRPr="00797E29">
        <w:rPr>
          <w:rFonts w:ascii="Times New Roman" w:hAnsi="Times New Roman"/>
          <w:sz w:val="24"/>
          <w:szCs w:val="24"/>
        </w:rPr>
        <w:t xml:space="preserve"> </w:t>
      </w:r>
      <w:r w:rsidR="00114791" w:rsidRPr="00797E29">
        <w:rPr>
          <w:rFonts w:ascii="Times New Roman" w:hAnsi="Times New Roman"/>
          <w:sz w:val="24"/>
          <w:szCs w:val="24"/>
        </w:rPr>
        <w:t>непосредна</w:t>
      </w:r>
      <w:r w:rsidR="008D7375" w:rsidRPr="00797E29">
        <w:rPr>
          <w:rFonts w:ascii="Times New Roman" w:hAnsi="Times New Roman"/>
          <w:sz w:val="24"/>
          <w:szCs w:val="24"/>
        </w:rPr>
        <w:t xml:space="preserve"> </w:t>
      </w:r>
      <w:r w:rsidR="00114791" w:rsidRPr="00797E29">
        <w:rPr>
          <w:rFonts w:ascii="Times New Roman" w:hAnsi="Times New Roman"/>
          <w:sz w:val="24"/>
          <w:szCs w:val="24"/>
        </w:rPr>
        <w:t>или</w:t>
      </w:r>
      <w:r w:rsidR="008D7375" w:rsidRPr="00797E29">
        <w:rPr>
          <w:rFonts w:ascii="Times New Roman" w:hAnsi="Times New Roman"/>
          <w:sz w:val="24"/>
          <w:szCs w:val="24"/>
        </w:rPr>
        <w:t xml:space="preserve"> </w:t>
      </w:r>
      <w:r w:rsidR="00114791" w:rsidRPr="00797E29">
        <w:rPr>
          <w:rFonts w:ascii="Times New Roman" w:hAnsi="Times New Roman"/>
          <w:sz w:val="24"/>
          <w:szCs w:val="24"/>
        </w:rPr>
        <w:t>посредна</w:t>
      </w:r>
      <w:r w:rsidR="008D7375" w:rsidRPr="00797E29">
        <w:rPr>
          <w:rFonts w:ascii="Times New Roman" w:hAnsi="Times New Roman"/>
          <w:sz w:val="24"/>
          <w:szCs w:val="24"/>
        </w:rPr>
        <w:t xml:space="preserve"> </w:t>
      </w:r>
      <w:r w:rsidR="00114791" w:rsidRPr="00797E29">
        <w:rPr>
          <w:rFonts w:ascii="Times New Roman" w:hAnsi="Times New Roman"/>
          <w:sz w:val="24"/>
          <w:szCs w:val="24"/>
        </w:rPr>
        <w:t>контрола</w:t>
      </w:r>
      <w:r w:rsidR="008D7375" w:rsidRPr="00797E29">
        <w:rPr>
          <w:rFonts w:ascii="Times New Roman" w:hAnsi="Times New Roman"/>
          <w:sz w:val="24"/>
          <w:szCs w:val="24"/>
        </w:rPr>
        <w:t xml:space="preserve"> </w:t>
      </w:r>
      <w:r w:rsidR="00114791" w:rsidRPr="00797E29">
        <w:rPr>
          <w:rFonts w:ascii="Times New Roman" w:hAnsi="Times New Roman"/>
          <w:sz w:val="24"/>
          <w:szCs w:val="24"/>
        </w:rPr>
        <w:t>над</w:t>
      </w:r>
      <w:r w:rsidR="008D7375" w:rsidRPr="00797E29">
        <w:rPr>
          <w:rFonts w:ascii="Times New Roman" w:hAnsi="Times New Roman"/>
          <w:sz w:val="24"/>
          <w:szCs w:val="24"/>
        </w:rPr>
        <w:t xml:space="preserve"> </w:t>
      </w:r>
      <w:r w:rsidR="00114791" w:rsidRPr="00797E29">
        <w:rPr>
          <w:rFonts w:ascii="Times New Roman" w:hAnsi="Times New Roman"/>
          <w:sz w:val="24"/>
          <w:szCs w:val="24"/>
        </w:rPr>
        <w:t>најмање</w:t>
      </w:r>
      <w:r w:rsidR="008D7375" w:rsidRPr="00797E29">
        <w:rPr>
          <w:rFonts w:ascii="Times New Roman" w:hAnsi="Times New Roman"/>
          <w:sz w:val="24"/>
          <w:szCs w:val="24"/>
        </w:rPr>
        <w:t xml:space="preserve"> 75% </w:t>
      </w:r>
      <w:r w:rsidR="00114791" w:rsidRPr="00797E29">
        <w:rPr>
          <w:rFonts w:ascii="Times New Roman" w:hAnsi="Times New Roman"/>
          <w:sz w:val="24"/>
          <w:szCs w:val="24"/>
        </w:rPr>
        <w:t>акција</w:t>
      </w:r>
      <w:r w:rsidR="008D7375" w:rsidRPr="00797E29">
        <w:rPr>
          <w:rFonts w:ascii="Times New Roman" w:hAnsi="Times New Roman"/>
          <w:sz w:val="24"/>
          <w:szCs w:val="24"/>
        </w:rPr>
        <w:t xml:space="preserve"> </w:t>
      </w:r>
      <w:r w:rsidR="00114791" w:rsidRPr="00797E29">
        <w:rPr>
          <w:rFonts w:ascii="Times New Roman" w:hAnsi="Times New Roman"/>
          <w:sz w:val="24"/>
          <w:szCs w:val="24"/>
        </w:rPr>
        <w:t>или</w:t>
      </w:r>
      <w:r w:rsidR="008D7375" w:rsidRPr="00797E29">
        <w:rPr>
          <w:rFonts w:ascii="Times New Roman" w:hAnsi="Times New Roman"/>
          <w:sz w:val="24"/>
          <w:szCs w:val="24"/>
        </w:rPr>
        <w:t xml:space="preserve"> </w:t>
      </w:r>
      <w:r w:rsidR="00114791" w:rsidRPr="00797E29">
        <w:rPr>
          <w:rFonts w:ascii="Times New Roman" w:hAnsi="Times New Roman"/>
          <w:sz w:val="24"/>
          <w:szCs w:val="24"/>
        </w:rPr>
        <w:t>удела</w:t>
      </w:r>
      <w:r w:rsidR="008D7375" w:rsidRPr="00797E29">
        <w:rPr>
          <w:rFonts w:ascii="Times New Roman" w:hAnsi="Times New Roman"/>
          <w:sz w:val="24"/>
          <w:szCs w:val="24"/>
          <w:lang w:val="sr-Cyrl-CS"/>
        </w:rPr>
        <w:t>;</w:t>
      </w:r>
    </w:p>
    <w:p w:rsidR="008D7375" w:rsidRPr="00797E29" w:rsidRDefault="008D7375" w:rsidP="00797E29">
      <w:pPr>
        <w:jc w:val="both"/>
        <w:rPr>
          <w:rFonts w:ascii="Times New Roman" w:hAnsi="Times New Roman"/>
          <w:sz w:val="24"/>
          <w:szCs w:val="24"/>
          <w:lang w:val="sr-Cyrl-CS"/>
        </w:rPr>
      </w:pPr>
      <w:r w:rsidRPr="00797E29">
        <w:rPr>
          <w:rFonts w:ascii="Times New Roman" w:hAnsi="Times New Roman"/>
          <w:sz w:val="24"/>
          <w:szCs w:val="24"/>
          <w:lang w:val="sr-Cyrl-CS"/>
        </w:rPr>
        <w:t xml:space="preserve"> </w:t>
      </w:r>
      <w:r w:rsidR="000B417D">
        <w:rPr>
          <w:rFonts w:ascii="Times New Roman" w:hAnsi="Times New Roman"/>
          <w:sz w:val="24"/>
          <w:szCs w:val="24"/>
          <w:lang w:val="sr-Cyrl-CS"/>
        </w:rPr>
        <w:t>-</w:t>
      </w:r>
      <w:r w:rsidRPr="00797E29">
        <w:rPr>
          <w:rFonts w:ascii="Times New Roman" w:hAnsi="Times New Roman"/>
          <w:sz w:val="24"/>
          <w:szCs w:val="24"/>
          <w:lang w:val="sr-Cyrl-CS"/>
        </w:rPr>
        <w:t>п</w:t>
      </w:r>
      <w:r w:rsidR="00114791" w:rsidRPr="00797E29">
        <w:rPr>
          <w:rFonts w:ascii="Times New Roman" w:hAnsi="Times New Roman"/>
          <w:sz w:val="24"/>
          <w:szCs w:val="24"/>
        </w:rPr>
        <w:t>овезана</w:t>
      </w:r>
      <w:r w:rsidRPr="00797E29">
        <w:rPr>
          <w:rFonts w:ascii="Times New Roman" w:hAnsi="Times New Roman"/>
          <w:sz w:val="24"/>
          <w:szCs w:val="24"/>
        </w:rPr>
        <w:t xml:space="preserve"> </w:t>
      </w:r>
      <w:r w:rsidR="00114791" w:rsidRPr="00797E29">
        <w:rPr>
          <w:rFonts w:ascii="Times New Roman" w:hAnsi="Times New Roman"/>
          <w:sz w:val="24"/>
          <w:szCs w:val="24"/>
        </w:rPr>
        <w:t>правна</w:t>
      </w:r>
      <w:r w:rsidRPr="00797E29">
        <w:rPr>
          <w:rFonts w:ascii="Times New Roman" w:hAnsi="Times New Roman"/>
          <w:sz w:val="24"/>
          <w:szCs w:val="24"/>
        </w:rPr>
        <w:t xml:space="preserve"> </w:t>
      </w:r>
      <w:r w:rsidR="00114791" w:rsidRPr="00797E29">
        <w:rPr>
          <w:rFonts w:ascii="Times New Roman" w:hAnsi="Times New Roman"/>
          <w:sz w:val="24"/>
          <w:szCs w:val="24"/>
        </w:rPr>
        <w:t>лица</w:t>
      </w:r>
      <w:r w:rsidRPr="00797E29">
        <w:rPr>
          <w:rFonts w:ascii="Times New Roman" w:hAnsi="Times New Roman"/>
          <w:sz w:val="24"/>
          <w:szCs w:val="24"/>
        </w:rPr>
        <w:t xml:space="preserve"> </w:t>
      </w:r>
      <w:r w:rsidR="00114791" w:rsidRPr="00797E29">
        <w:rPr>
          <w:rFonts w:ascii="Times New Roman" w:hAnsi="Times New Roman"/>
          <w:sz w:val="24"/>
          <w:szCs w:val="24"/>
        </w:rPr>
        <w:t>имају</w:t>
      </w:r>
      <w:r w:rsidRPr="00797E29">
        <w:rPr>
          <w:rFonts w:ascii="Times New Roman" w:hAnsi="Times New Roman"/>
          <w:sz w:val="24"/>
          <w:szCs w:val="24"/>
        </w:rPr>
        <w:t xml:space="preserve"> </w:t>
      </w:r>
      <w:r w:rsidR="00114791" w:rsidRPr="00797E29">
        <w:rPr>
          <w:rFonts w:ascii="Times New Roman" w:hAnsi="Times New Roman"/>
          <w:sz w:val="24"/>
          <w:szCs w:val="24"/>
        </w:rPr>
        <w:t>право</w:t>
      </w:r>
      <w:r w:rsidRPr="00797E29">
        <w:rPr>
          <w:rFonts w:ascii="Times New Roman" w:hAnsi="Times New Roman"/>
          <w:sz w:val="24"/>
          <w:szCs w:val="24"/>
        </w:rPr>
        <w:t xml:space="preserve"> </w:t>
      </w:r>
      <w:r w:rsidR="00114791" w:rsidRPr="00797E29">
        <w:rPr>
          <w:rFonts w:ascii="Times New Roman" w:hAnsi="Times New Roman"/>
          <w:sz w:val="24"/>
          <w:szCs w:val="24"/>
        </w:rPr>
        <w:t>да</w:t>
      </w:r>
      <w:r w:rsidRPr="00797E29">
        <w:rPr>
          <w:rFonts w:ascii="Times New Roman" w:hAnsi="Times New Roman"/>
          <w:sz w:val="24"/>
          <w:szCs w:val="24"/>
        </w:rPr>
        <w:t xml:space="preserve"> </w:t>
      </w:r>
      <w:r w:rsidR="00114791" w:rsidRPr="00797E29">
        <w:rPr>
          <w:rFonts w:ascii="Times New Roman" w:hAnsi="Times New Roman"/>
          <w:sz w:val="24"/>
          <w:szCs w:val="24"/>
        </w:rPr>
        <w:t>траже</w:t>
      </w:r>
      <w:r w:rsidRPr="00797E29">
        <w:rPr>
          <w:rFonts w:ascii="Times New Roman" w:hAnsi="Times New Roman"/>
          <w:sz w:val="24"/>
          <w:szCs w:val="24"/>
        </w:rPr>
        <w:t xml:space="preserve"> </w:t>
      </w:r>
      <w:r w:rsidR="00114791" w:rsidRPr="00797E29">
        <w:rPr>
          <w:rFonts w:ascii="Times New Roman" w:hAnsi="Times New Roman"/>
          <w:sz w:val="24"/>
          <w:szCs w:val="24"/>
        </w:rPr>
        <w:t>пореско</w:t>
      </w:r>
      <w:r w:rsidRPr="00797E29">
        <w:rPr>
          <w:rFonts w:ascii="Times New Roman" w:hAnsi="Times New Roman"/>
          <w:sz w:val="24"/>
          <w:szCs w:val="24"/>
        </w:rPr>
        <w:t xml:space="preserve"> </w:t>
      </w:r>
      <w:r w:rsidR="00114791" w:rsidRPr="00797E29">
        <w:rPr>
          <w:rFonts w:ascii="Times New Roman" w:hAnsi="Times New Roman"/>
          <w:sz w:val="24"/>
          <w:szCs w:val="24"/>
        </w:rPr>
        <w:t>консолидовање</w:t>
      </w:r>
      <w:r w:rsidRPr="00797E29">
        <w:rPr>
          <w:rFonts w:ascii="Times New Roman" w:hAnsi="Times New Roman"/>
          <w:sz w:val="24"/>
          <w:szCs w:val="24"/>
        </w:rPr>
        <w:t xml:space="preserve"> </w:t>
      </w:r>
      <w:r w:rsidR="00114791" w:rsidRPr="00797E29">
        <w:rPr>
          <w:rFonts w:ascii="Times New Roman" w:hAnsi="Times New Roman"/>
          <w:sz w:val="24"/>
          <w:szCs w:val="24"/>
        </w:rPr>
        <w:t>под</w:t>
      </w:r>
      <w:r w:rsidRPr="00797E29">
        <w:rPr>
          <w:rFonts w:ascii="Times New Roman" w:hAnsi="Times New Roman"/>
          <w:sz w:val="24"/>
          <w:szCs w:val="24"/>
        </w:rPr>
        <w:t xml:space="preserve"> </w:t>
      </w:r>
      <w:r w:rsidR="00114791" w:rsidRPr="00797E29">
        <w:rPr>
          <w:rFonts w:ascii="Times New Roman" w:hAnsi="Times New Roman"/>
          <w:sz w:val="24"/>
          <w:szCs w:val="24"/>
        </w:rPr>
        <w:t>условом</w:t>
      </w:r>
      <w:r w:rsidRPr="00797E29">
        <w:rPr>
          <w:rFonts w:ascii="Times New Roman" w:hAnsi="Times New Roman"/>
          <w:sz w:val="24"/>
          <w:szCs w:val="24"/>
        </w:rPr>
        <w:t xml:space="preserve"> </w:t>
      </w:r>
      <w:r w:rsidR="00114791" w:rsidRPr="00797E29">
        <w:rPr>
          <w:rFonts w:ascii="Times New Roman" w:hAnsi="Times New Roman"/>
          <w:sz w:val="24"/>
          <w:szCs w:val="24"/>
        </w:rPr>
        <w:t>да</w:t>
      </w:r>
      <w:r w:rsidRPr="00797E29">
        <w:rPr>
          <w:rFonts w:ascii="Times New Roman" w:hAnsi="Times New Roman"/>
          <w:sz w:val="24"/>
          <w:szCs w:val="24"/>
        </w:rPr>
        <w:t xml:space="preserve"> </w:t>
      </w:r>
      <w:r w:rsidR="00114791" w:rsidRPr="00797E29">
        <w:rPr>
          <w:rFonts w:ascii="Times New Roman" w:hAnsi="Times New Roman"/>
          <w:sz w:val="24"/>
          <w:szCs w:val="24"/>
        </w:rPr>
        <w:t>су</w:t>
      </w:r>
      <w:r w:rsidRPr="00797E29">
        <w:rPr>
          <w:rFonts w:ascii="Times New Roman" w:hAnsi="Times New Roman"/>
          <w:sz w:val="24"/>
          <w:szCs w:val="24"/>
        </w:rPr>
        <w:t xml:space="preserve"> </w:t>
      </w:r>
      <w:r w:rsidR="00114791" w:rsidRPr="00797E29">
        <w:rPr>
          <w:rFonts w:ascii="Times New Roman" w:hAnsi="Times New Roman"/>
          <w:sz w:val="24"/>
          <w:szCs w:val="24"/>
        </w:rPr>
        <w:t>сва</w:t>
      </w:r>
      <w:r w:rsidRPr="00797E29">
        <w:rPr>
          <w:rFonts w:ascii="Times New Roman" w:hAnsi="Times New Roman"/>
          <w:sz w:val="24"/>
          <w:szCs w:val="24"/>
        </w:rPr>
        <w:t xml:space="preserve"> </w:t>
      </w:r>
      <w:r w:rsidR="00114791" w:rsidRPr="00797E29">
        <w:rPr>
          <w:rFonts w:ascii="Times New Roman" w:hAnsi="Times New Roman"/>
          <w:sz w:val="24"/>
          <w:szCs w:val="24"/>
        </w:rPr>
        <w:t>повезана</w:t>
      </w:r>
      <w:r w:rsidRPr="00797E29">
        <w:rPr>
          <w:rFonts w:ascii="Times New Roman" w:hAnsi="Times New Roman"/>
          <w:sz w:val="24"/>
          <w:szCs w:val="24"/>
        </w:rPr>
        <w:t xml:space="preserve"> </w:t>
      </w:r>
      <w:r w:rsidR="00114791" w:rsidRPr="00797E29">
        <w:rPr>
          <w:rFonts w:ascii="Times New Roman" w:hAnsi="Times New Roman"/>
          <w:sz w:val="24"/>
          <w:szCs w:val="24"/>
        </w:rPr>
        <w:t>правна</w:t>
      </w:r>
      <w:r w:rsidRPr="00797E29">
        <w:rPr>
          <w:rFonts w:ascii="Times New Roman" w:hAnsi="Times New Roman"/>
          <w:sz w:val="24"/>
          <w:szCs w:val="24"/>
        </w:rPr>
        <w:t xml:space="preserve"> </w:t>
      </w:r>
      <w:r w:rsidR="00114791" w:rsidRPr="00797E29">
        <w:rPr>
          <w:rFonts w:ascii="Times New Roman" w:hAnsi="Times New Roman"/>
          <w:sz w:val="24"/>
          <w:szCs w:val="24"/>
        </w:rPr>
        <w:t>лица</w:t>
      </w:r>
      <w:r w:rsidRPr="00797E29">
        <w:rPr>
          <w:rFonts w:ascii="Times New Roman" w:hAnsi="Times New Roman"/>
          <w:sz w:val="24"/>
          <w:szCs w:val="24"/>
        </w:rPr>
        <w:t xml:space="preserve"> </w:t>
      </w:r>
      <w:r w:rsidR="00114791" w:rsidRPr="00797E29">
        <w:rPr>
          <w:rFonts w:ascii="Times New Roman" w:hAnsi="Times New Roman"/>
          <w:sz w:val="24"/>
          <w:szCs w:val="24"/>
        </w:rPr>
        <w:t>резиденти</w:t>
      </w:r>
      <w:r w:rsidRPr="00797E29">
        <w:rPr>
          <w:rFonts w:ascii="Times New Roman" w:hAnsi="Times New Roman"/>
          <w:sz w:val="24"/>
          <w:szCs w:val="24"/>
        </w:rPr>
        <w:t xml:space="preserve"> </w:t>
      </w:r>
      <w:r w:rsidR="00114791" w:rsidRPr="00797E29">
        <w:rPr>
          <w:rFonts w:ascii="Times New Roman" w:hAnsi="Times New Roman"/>
          <w:sz w:val="24"/>
          <w:szCs w:val="24"/>
        </w:rPr>
        <w:t>Републике</w:t>
      </w:r>
      <w:r w:rsidRPr="00797E29">
        <w:rPr>
          <w:rFonts w:ascii="Times New Roman" w:hAnsi="Times New Roman"/>
          <w:sz w:val="24"/>
          <w:szCs w:val="24"/>
          <w:lang w:val="sr-Cyrl-CS"/>
        </w:rPr>
        <w:t>;</w:t>
      </w:r>
    </w:p>
    <w:p w:rsidR="008D7375" w:rsidRPr="00797E29" w:rsidRDefault="000B417D" w:rsidP="00797E29">
      <w:pPr>
        <w:jc w:val="both"/>
        <w:rPr>
          <w:rFonts w:ascii="Times New Roman" w:hAnsi="Times New Roman"/>
          <w:sz w:val="24"/>
          <w:szCs w:val="24"/>
        </w:rPr>
      </w:pPr>
      <w:r>
        <w:rPr>
          <w:rFonts w:ascii="Times New Roman" w:hAnsi="Times New Roman"/>
          <w:sz w:val="24"/>
          <w:szCs w:val="24"/>
          <w:lang w:val="sr-Cyrl-CS"/>
        </w:rPr>
        <w:t>-</w:t>
      </w:r>
      <w:r w:rsidR="009F6AF7" w:rsidRPr="00797E29">
        <w:rPr>
          <w:rFonts w:ascii="Times New Roman" w:hAnsi="Times New Roman"/>
          <w:sz w:val="24"/>
          <w:szCs w:val="24"/>
          <w:lang w:val="sr-Cyrl-CS"/>
        </w:rPr>
        <w:t>з</w:t>
      </w:r>
      <w:r w:rsidR="00114791" w:rsidRPr="00797E29">
        <w:rPr>
          <w:rFonts w:ascii="Times New Roman" w:hAnsi="Times New Roman"/>
          <w:sz w:val="24"/>
          <w:szCs w:val="24"/>
        </w:rPr>
        <w:t>ахтев</w:t>
      </w:r>
      <w:r w:rsidR="008D7375" w:rsidRPr="00797E29">
        <w:rPr>
          <w:rFonts w:ascii="Times New Roman" w:hAnsi="Times New Roman"/>
          <w:sz w:val="24"/>
          <w:szCs w:val="24"/>
        </w:rPr>
        <w:t xml:space="preserve"> </w:t>
      </w:r>
      <w:r w:rsidR="00114791" w:rsidRPr="00797E29">
        <w:rPr>
          <w:rFonts w:ascii="Times New Roman" w:hAnsi="Times New Roman"/>
          <w:sz w:val="24"/>
          <w:szCs w:val="24"/>
        </w:rPr>
        <w:t>за</w:t>
      </w:r>
      <w:r w:rsidR="008D7375" w:rsidRPr="00797E29">
        <w:rPr>
          <w:rFonts w:ascii="Times New Roman" w:hAnsi="Times New Roman"/>
          <w:sz w:val="24"/>
          <w:szCs w:val="24"/>
        </w:rPr>
        <w:t xml:space="preserve"> </w:t>
      </w:r>
      <w:r w:rsidR="00114791" w:rsidRPr="00797E29">
        <w:rPr>
          <w:rFonts w:ascii="Times New Roman" w:hAnsi="Times New Roman"/>
          <w:sz w:val="24"/>
          <w:szCs w:val="24"/>
        </w:rPr>
        <w:t>пореским</w:t>
      </w:r>
      <w:r w:rsidR="008D7375" w:rsidRPr="00797E29">
        <w:rPr>
          <w:rFonts w:ascii="Times New Roman" w:hAnsi="Times New Roman"/>
          <w:sz w:val="24"/>
          <w:szCs w:val="24"/>
        </w:rPr>
        <w:t xml:space="preserve"> </w:t>
      </w:r>
      <w:r w:rsidR="00114791" w:rsidRPr="00797E29">
        <w:rPr>
          <w:rFonts w:ascii="Times New Roman" w:hAnsi="Times New Roman"/>
          <w:sz w:val="24"/>
          <w:szCs w:val="24"/>
        </w:rPr>
        <w:t>консолидовањем</w:t>
      </w:r>
      <w:r w:rsidR="008D7375" w:rsidRPr="00797E29">
        <w:rPr>
          <w:rFonts w:ascii="Times New Roman" w:hAnsi="Times New Roman"/>
          <w:sz w:val="24"/>
          <w:szCs w:val="24"/>
        </w:rPr>
        <w:t xml:space="preserve"> </w:t>
      </w:r>
      <w:r w:rsidR="00114791" w:rsidRPr="00797E29">
        <w:rPr>
          <w:rFonts w:ascii="Times New Roman" w:hAnsi="Times New Roman"/>
          <w:sz w:val="24"/>
          <w:szCs w:val="24"/>
        </w:rPr>
        <w:t>матично</w:t>
      </w:r>
      <w:r w:rsidR="008D7375" w:rsidRPr="00797E29">
        <w:rPr>
          <w:rFonts w:ascii="Times New Roman" w:hAnsi="Times New Roman"/>
          <w:sz w:val="24"/>
          <w:szCs w:val="24"/>
        </w:rPr>
        <w:t xml:space="preserve"> </w:t>
      </w:r>
      <w:r w:rsidR="00114791" w:rsidRPr="00797E29">
        <w:rPr>
          <w:rFonts w:ascii="Times New Roman" w:hAnsi="Times New Roman"/>
          <w:sz w:val="24"/>
          <w:szCs w:val="24"/>
        </w:rPr>
        <w:t>правно</w:t>
      </w:r>
      <w:r w:rsidR="008D7375" w:rsidRPr="00797E29">
        <w:rPr>
          <w:rFonts w:ascii="Times New Roman" w:hAnsi="Times New Roman"/>
          <w:sz w:val="24"/>
          <w:szCs w:val="24"/>
        </w:rPr>
        <w:t xml:space="preserve"> </w:t>
      </w:r>
      <w:r w:rsidR="00114791" w:rsidRPr="00797E29">
        <w:rPr>
          <w:rFonts w:ascii="Times New Roman" w:hAnsi="Times New Roman"/>
          <w:sz w:val="24"/>
          <w:szCs w:val="24"/>
        </w:rPr>
        <w:t>лице</w:t>
      </w:r>
      <w:r w:rsidR="008D7375" w:rsidRPr="00797E29">
        <w:rPr>
          <w:rFonts w:ascii="Times New Roman" w:hAnsi="Times New Roman"/>
          <w:sz w:val="24"/>
          <w:szCs w:val="24"/>
        </w:rPr>
        <w:t xml:space="preserve"> </w:t>
      </w:r>
      <w:r w:rsidR="00114791" w:rsidRPr="00797E29">
        <w:rPr>
          <w:rFonts w:ascii="Times New Roman" w:hAnsi="Times New Roman"/>
          <w:sz w:val="24"/>
          <w:szCs w:val="24"/>
        </w:rPr>
        <w:t>подноси</w:t>
      </w:r>
      <w:r w:rsidR="008D7375" w:rsidRPr="00797E29">
        <w:rPr>
          <w:rFonts w:ascii="Times New Roman" w:hAnsi="Times New Roman"/>
          <w:sz w:val="24"/>
          <w:szCs w:val="24"/>
        </w:rPr>
        <w:t xml:space="preserve"> </w:t>
      </w:r>
      <w:r w:rsidR="00114791" w:rsidRPr="00797E29">
        <w:rPr>
          <w:rFonts w:ascii="Times New Roman" w:hAnsi="Times New Roman"/>
          <w:sz w:val="24"/>
          <w:szCs w:val="24"/>
        </w:rPr>
        <w:t>надлежном</w:t>
      </w:r>
      <w:r w:rsidR="008D7375" w:rsidRPr="00797E29">
        <w:rPr>
          <w:rFonts w:ascii="Times New Roman" w:hAnsi="Times New Roman"/>
          <w:sz w:val="24"/>
          <w:szCs w:val="24"/>
        </w:rPr>
        <w:t xml:space="preserve"> </w:t>
      </w:r>
      <w:r w:rsidR="00114791" w:rsidRPr="00797E29">
        <w:rPr>
          <w:rFonts w:ascii="Times New Roman" w:hAnsi="Times New Roman"/>
          <w:sz w:val="24"/>
          <w:szCs w:val="24"/>
        </w:rPr>
        <w:t>пореском</w:t>
      </w:r>
      <w:r w:rsidR="008D7375" w:rsidRPr="00797E29">
        <w:rPr>
          <w:rFonts w:ascii="Times New Roman" w:hAnsi="Times New Roman"/>
          <w:sz w:val="24"/>
          <w:szCs w:val="24"/>
        </w:rPr>
        <w:t xml:space="preserve"> </w:t>
      </w:r>
      <w:r w:rsidR="00114791" w:rsidRPr="00797E29">
        <w:rPr>
          <w:rFonts w:ascii="Times New Roman" w:hAnsi="Times New Roman"/>
          <w:sz w:val="24"/>
          <w:szCs w:val="24"/>
        </w:rPr>
        <w:t>органу</w:t>
      </w:r>
      <w:r w:rsidR="008D7375" w:rsidRPr="00797E29">
        <w:rPr>
          <w:rFonts w:ascii="Times New Roman" w:hAnsi="Times New Roman"/>
          <w:sz w:val="24"/>
          <w:szCs w:val="24"/>
        </w:rPr>
        <w:t xml:space="preserve"> </w:t>
      </w:r>
      <w:r w:rsidR="00114791" w:rsidRPr="00797E29">
        <w:rPr>
          <w:rFonts w:ascii="Times New Roman" w:hAnsi="Times New Roman"/>
          <w:sz w:val="24"/>
          <w:szCs w:val="24"/>
        </w:rPr>
        <w:t>најраније</w:t>
      </w:r>
      <w:r w:rsidR="008D7375" w:rsidRPr="00797E29">
        <w:rPr>
          <w:rFonts w:ascii="Times New Roman" w:hAnsi="Times New Roman"/>
          <w:sz w:val="24"/>
          <w:szCs w:val="24"/>
        </w:rPr>
        <w:t xml:space="preserve"> </w:t>
      </w:r>
      <w:r w:rsidR="00114791" w:rsidRPr="00797E29">
        <w:rPr>
          <w:rFonts w:ascii="Times New Roman" w:hAnsi="Times New Roman"/>
          <w:sz w:val="24"/>
          <w:szCs w:val="24"/>
        </w:rPr>
        <w:t>истеком</w:t>
      </w:r>
      <w:r w:rsidR="008D7375" w:rsidRPr="00797E29">
        <w:rPr>
          <w:rFonts w:ascii="Times New Roman" w:hAnsi="Times New Roman"/>
          <w:sz w:val="24"/>
          <w:szCs w:val="24"/>
        </w:rPr>
        <w:t xml:space="preserve"> </w:t>
      </w:r>
      <w:r w:rsidR="00114791" w:rsidRPr="00797E29">
        <w:rPr>
          <w:rFonts w:ascii="Times New Roman" w:hAnsi="Times New Roman"/>
          <w:sz w:val="24"/>
          <w:szCs w:val="24"/>
        </w:rPr>
        <w:t>пореског</w:t>
      </w:r>
      <w:r w:rsidR="008D7375" w:rsidRPr="00797E29">
        <w:rPr>
          <w:rFonts w:ascii="Times New Roman" w:hAnsi="Times New Roman"/>
          <w:sz w:val="24"/>
          <w:szCs w:val="24"/>
        </w:rPr>
        <w:t xml:space="preserve"> </w:t>
      </w:r>
      <w:r w:rsidR="00114791" w:rsidRPr="00797E29">
        <w:rPr>
          <w:rFonts w:ascii="Times New Roman" w:hAnsi="Times New Roman"/>
          <w:sz w:val="24"/>
          <w:szCs w:val="24"/>
        </w:rPr>
        <w:t>периода</w:t>
      </w:r>
      <w:r w:rsidR="008D7375" w:rsidRPr="00797E29">
        <w:rPr>
          <w:rFonts w:ascii="Times New Roman" w:hAnsi="Times New Roman"/>
          <w:sz w:val="24"/>
          <w:szCs w:val="24"/>
        </w:rPr>
        <w:t xml:space="preserve"> </w:t>
      </w:r>
      <w:r w:rsidR="00114791" w:rsidRPr="00797E29">
        <w:rPr>
          <w:rFonts w:ascii="Times New Roman" w:hAnsi="Times New Roman"/>
          <w:sz w:val="24"/>
          <w:szCs w:val="24"/>
        </w:rPr>
        <w:t>у</w:t>
      </w:r>
      <w:r w:rsidR="008D7375" w:rsidRPr="00797E29">
        <w:rPr>
          <w:rFonts w:ascii="Times New Roman" w:hAnsi="Times New Roman"/>
          <w:sz w:val="24"/>
          <w:szCs w:val="24"/>
        </w:rPr>
        <w:t xml:space="preserve"> </w:t>
      </w:r>
      <w:r w:rsidR="00114791" w:rsidRPr="00797E29">
        <w:rPr>
          <w:rFonts w:ascii="Times New Roman" w:hAnsi="Times New Roman"/>
          <w:sz w:val="24"/>
          <w:szCs w:val="24"/>
        </w:rPr>
        <w:t>коме</w:t>
      </w:r>
      <w:r w:rsidR="008D7375" w:rsidRPr="00797E29">
        <w:rPr>
          <w:rFonts w:ascii="Times New Roman" w:hAnsi="Times New Roman"/>
          <w:sz w:val="24"/>
          <w:szCs w:val="24"/>
        </w:rPr>
        <w:t xml:space="preserve"> </w:t>
      </w:r>
      <w:r w:rsidR="00114791" w:rsidRPr="00797E29">
        <w:rPr>
          <w:rFonts w:ascii="Times New Roman" w:hAnsi="Times New Roman"/>
          <w:sz w:val="24"/>
          <w:szCs w:val="24"/>
        </w:rPr>
        <w:t>су</w:t>
      </w:r>
      <w:r w:rsidR="008D7375" w:rsidRPr="00797E29">
        <w:rPr>
          <w:rFonts w:ascii="Times New Roman" w:hAnsi="Times New Roman"/>
          <w:sz w:val="24"/>
          <w:szCs w:val="24"/>
        </w:rPr>
        <w:t xml:space="preserve"> </w:t>
      </w:r>
      <w:r w:rsidR="00114791" w:rsidRPr="00797E29">
        <w:rPr>
          <w:rFonts w:ascii="Times New Roman" w:hAnsi="Times New Roman"/>
          <w:sz w:val="24"/>
          <w:szCs w:val="24"/>
        </w:rPr>
        <w:t>испуњени</w:t>
      </w:r>
      <w:r w:rsidR="008D7375" w:rsidRPr="00797E29">
        <w:rPr>
          <w:rFonts w:ascii="Times New Roman" w:hAnsi="Times New Roman"/>
          <w:sz w:val="24"/>
          <w:szCs w:val="24"/>
        </w:rPr>
        <w:t xml:space="preserve"> </w:t>
      </w:r>
      <w:r w:rsidR="00E117CA" w:rsidRPr="00797E29">
        <w:rPr>
          <w:rFonts w:ascii="Times New Roman" w:hAnsi="Times New Roman"/>
          <w:sz w:val="24"/>
          <w:szCs w:val="24"/>
          <w:lang w:val="sr-Cyrl-CS"/>
        </w:rPr>
        <w:t>наведени услови</w:t>
      </w:r>
      <w:r w:rsidR="008D7375" w:rsidRPr="00797E29">
        <w:rPr>
          <w:rFonts w:ascii="Times New Roman" w:hAnsi="Times New Roman"/>
          <w:sz w:val="24"/>
          <w:szCs w:val="24"/>
        </w:rPr>
        <w:t xml:space="preserve">, </w:t>
      </w:r>
      <w:r w:rsidR="00114791" w:rsidRPr="00797E29">
        <w:rPr>
          <w:rFonts w:ascii="Times New Roman" w:hAnsi="Times New Roman"/>
          <w:sz w:val="24"/>
          <w:szCs w:val="24"/>
        </w:rPr>
        <w:t>од</w:t>
      </w:r>
      <w:r w:rsidR="008D7375" w:rsidRPr="00797E29">
        <w:rPr>
          <w:rFonts w:ascii="Times New Roman" w:hAnsi="Times New Roman"/>
          <w:sz w:val="24"/>
          <w:szCs w:val="24"/>
        </w:rPr>
        <w:t xml:space="preserve"> </w:t>
      </w:r>
      <w:r w:rsidR="00114791" w:rsidRPr="00797E29">
        <w:rPr>
          <w:rFonts w:ascii="Times New Roman" w:hAnsi="Times New Roman"/>
          <w:sz w:val="24"/>
          <w:szCs w:val="24"/>
        </w:rPr>
        <w:t>почетка</w:t>
      </w:r>
      <w:r w:rsidR="008D7375" w:rsidRPr="00797E29">
        <w:rPr>
          <w:rFonts w:ascii="Times New Roman" w:hAnsi="Times New Roman"/>
          <w:sz w:val="24"/>
          <w:szCs w:val="24"/>
        </w:rPr>
        <w:t xml:space="preserve"> </w:t>
      </w:r>
      <w:r w:rsidR="00114791" w:rsidRPr="00797E29">
        <w:rPr>
          <w:rFonts w:ascii="Times New Roman" w:hAnsi="Times New Roman"/>
          <w:sz w:val="24"/>
          <w:szCs w:val="24"/>
        </w:rPr>
        <w:t>до</w:t>
      </w:r>
      <w:r w:rsidR="008D7375" w:rsidRPr="00797E29">
        <w:rPr>
          <w:rFonts w:ascii="Times New Roman" w:hAnsi="Times New Roman"/>
          <w:sz w:val="24"/>
          <w:szCs w:val="24"/>
        </w:rPr>
        <w:t xml:space="preserve"> </w:t>
      </w:r>
      <w:r w:rsidR="00114791" w:rsidRPr="00797E29">
        <w:rPr>
          <w:rFonts w:ascii="Times New Roman" w:hAnsi="Times New Roman"/>
          <w:sz w:val="24"/>
          <w:szCs w:val="24"/>
        </w:rPr>
        <w:t>краја</w:t>
      </w:r>
      <w:r w:rsidR="008D7375" w:rsidRPr="00797E29">
        <w:rPr>
          <w:rFonts w:ascii="Times New Roman" w:hAnsi="Times New Roman"/>
          <w:sz w:val="24"/>
          <w:szCs w:val="24"/>
        </w:rPr>
        <w:t xml:space="preserve"> </w:t>
      </w:r>
      <w:r w:rsidR="00114791" w:rsidRPr="00797E29">
        <w:rPr>
          <w:rFonts w:ascii="Times New Roman" w:hAnsi="Times New Roman"/>
          <w:sz w:val="24"/>
          <w:szCs w:val="24"/>
        </w:rPr>
        <w:t>тог</w:t>
      </w:r>
      <w:r w:rsidR="008D7375" w:rsidRPr="00797E29">
        <w:rPr>
          <w:rFonts w:ascii="Times New Roman" w:hAnsi="Times New Roman"/>
          <w:sz w:val="24"/>
          <w:szCs w:val="24"/>
        </w:rPr>
        <w:t xml:space="preserve"> </w:t>
      </w:r>
      <w:r w:rsidR="00114791" w:rsidRPr="00797E29">
        <w:rPr>
          <w:rFonts w:ascii="Times New Roman" w:hAnsi="Times New Roman"/>
          <w:sz w:val="24"/>
          <w:szCs w:val="24"/>
        </w:rPr>
        <w:t>пореског</w:t>
      </w:r>
      <w:r w:rsidR="008D7375" w:rsidRPr="00797E29">
        <w:rPr>
          <w:rFonts w:ascii="Times New Roman" w:hAnsi="Times New Roman"/>
          <w:sz w:val="24"/>
          <w:szCs w:val="24"/>
        </w:rPr>
        <w:t xml:space="preserve"> </w:t>
      </w:r>
      <w:r w:rsidR="00114791" w:rsidRPr="00797E29">
        <w:rPr>
          <w:rFonts w:ascii="Times New Roman" w:hAnsi="Times New Roman"/>
          <w:sz w:val="24"/>
          <w:szCs w:val="24"/>
        </w:rPr>
        <w:t>периода</w:t>
      </w:r>
      <w:r w:rsidR="009F6AF7" w:rsidRPr="00797E29">
        <w:rPr>
          <w:rFonts w:ascii="Times New Roman" w:hAnsi="Times New Roman"/>
          <w:sz w:val="24"/>
          <w:szCs w:val="24"/>
          <w:lang w:val="sr-Cyrl-CS"/>
        </w:rPr>
        <w:t>;</w:t>
      </w:r>
    </w:p>
    <w:p w:rsidR="008D7375" w:rsidRPr="000B417D" w:rsidRDefault="000B417D" w:rsidP="00797E29">
      <w:pPr>
        <w:jc w:val="both"/>
        <w:rPr>
          <w:rFonts w:ascii="Times New Roman" w:hAnsi="Times New Roman"/>
          <w:sz w:val="24"/>
          <w:szCs w:val="24"/>
          <w:lang w:val="sr-Cyrl-CS"/>
        </w:rPr>
      </w:pPr>
      <w:r>
        <w:rPr>
          <w:rFonts w:ascii="Times New Roman" w:hAnsi="Times New Roman"/>
          <w:sz w:val="24"/>
          <w:szCs w:val="24"/>
          <w:lang w:val="sr-Cyrl-CS"/>
        </w:rPr>
        <w:t>-</w:t>
      </w:r>
      <w:r w:rsidR="009F6AF7" w:rsidRPr="00797E29">
        <w:rPr>
          <w:rFonts w:ascii="Times New Roman" w:hAnsi="Times New Roman"/>
          <w:sz w:val="24"/>
          <w:szCs w:val="24"/>
          <w:lang w:val="sr-Cyrl-CS"/>
        </w:rPr>
        <w:t>ј</w:t>
      </w:r>
      <w:r w:rsidR="00114791" w:rsidRPr="00797E29">
        <w:rPr>
          <w:rFonts w:ascii="Times New Roman" w:hAnsi="Times New Roman"/>
          <w:sz w:val="24"/>
          <w:szCs w:val="24"/>
        </w:rPr>
        <w:t>едном</w:t>
      </w:r>
      <w:r w:rsidR="00E117CA" w:rsidRPr="00797E29">
        <w:rPr>
          <w:rFonts w:ascii="Times New Roman" w:hAnsi="Times New Roman"/>
          <w:sz w:val="24"/>
          <w:szCs w:val="24"/>
        </w:rPr>
        <w:t xml:space="preserve"> </w:t>
      </w:r>
      <w:r w:rsidR="00114791" w:rsidRPr="00797E29">
        <w:rPr>
          <w:rFonts w:ascii="Times New Roman" w:hAnsi="Times New Roman"/>
          <w:sz w:val="24"/>
          <w:szCs w:val="24"/>
        </w:rPr>
        <w:t>одобрено</w:t>
      </w:r>
      <w:r w:rsidR="00E117CA" w:rsidRPr="00797E29">
        <w:rPr>
          <w:rFonts w:ascii="Times New Roman" w:hAnsi="Times New Roman"/>
          <w:sz w:val="24"/>
          <w:szCs w:val="24"/>
        </w:rPr>
        <w:t xml:space="preserve"> </w:t>
      </w:r>
      <w:r w:rsidR="00114791" w:rsidRPr="00797E29">
        <w:rPr>
          <w:rFonts w:ascii="Times New Roman" w:hAnsi="Times New Roman"/>
          <w:sz w:val="24"/>
          <w:szCs w:val="24"/>
        </w:rPr>
        <w:t>пореско</w:t>
      </w:r>
      <w:r w:rsidR="00E117CA" w:rsidRPr="00797E29">
        <w:rPr>
          <w:rFonts w:ascii="Times New Roman" w:hAnsi="Times New Roman"/>
          <w:sz w:val="24"/>
          <w:szCs w:val="24"/>
        </w:rPr>
        <w:t xml:space="preserve"> </w:t>
      </w:r>
      <w:r w:rsidR="00114791" w:rsidRPr="00797E29">
        <w:rPr>
          <w:rFonts w:ascii="Times New Roman" w:hAnsi="Times New Roman"/>
          <w:sz w:val="24"/>
          <w:szCs w:val="24"/>
        </w:rPr>
        <w:t>консолидовање</w:t>
      </w:r>
      <w:r w:rsidR="00E117CA" w:rsidRPr="00797E29">
        <w:rPr>
          <w:rFonts w:ascii="Times New Roman" w:hAnsi="Times New Roman"/>
          <w:sz w:val="24"/>
          <w:szCs w:val="24"/>
        </w:rPr>
        <w:t xml:space="preserve"> </w:t>
      </w:r>
      <w:r w:rsidR="00114791" w:rsidRPr="00797E29">
        <w:rPr>
          <w:rFonts w:ascii="Times New Roman" w:hAnsi="Times New Roman"/>
          <w:sz w:val="24"/>
          <w:szCs w:val="24"/>
        </w:rPr>
        <w:t>примењује</w:t>
      </w:r>
      <w:r w:rsidR="00E117CA" w:rsidRPr="00797E29">
        <w:rPr>
          <w:rFonts w:ascii="Times New Roman" w:hAnsi="Times New Roman"/>
          <w:sz w:val="24"/>
          <w:szCs w:val="24"/>
        </w:rPr>
        <w:t xml:space="preserve"> </w:t>
      </w:r>
      <w:r w:rsidR="00114791" w:rsidRPr="00797E29">
        <w:rPr>
          <w:rFonts w:ascii="Times New Roman" w:hAnsi="Times New Roman"/>
          <w:sz w:val="24"/>
          <w:szCs w:val="24"/>
        </w:rPr>
        <w:t>се</w:t>
      </w:r>
      <w:r w:rsidR="00E117CA" w:rsidRPr="00797E29">
        <w:rPr>
          <w:rFonts w:ascii="Times New Roman" w:hAnsi="Times New Roman"/>
          <w:sz w:val="24"/>
          <w:szCs w:val="24"/>
        </w:rPr>
        <w:t xml:space="preserve"> </w:t>
      </w:r>
      <w:r w:rsidR="00114791" w:rsidRPr="00797E29">
        <w:rPr>
          <w:rFonts w:ascii="Times New Roman" w:hAnsi="Times New Roman"/>
          <w:sz w:val="24"/>
          <w:szCs w:val="24"/>
        </w:rPr>
        <w:t>најмање</w:t>
      </w:r>
      <w:r w:rsidR="00E117CA" w:rsidRPr="00797E29">
        <w:rPr>
          <w:rFonts w:ascii="Times New Roman" w:hAnsi="Times New Roman"/>
          <w:sz w:val="24"/>
          <w:szCs w:val="24"/>
        </w:rPr>
        <w:t xml:space="preserve"> </w:t>
      </w:r>
      <w:r w:rsidR="00114791" w:rsidRPr="00797E29">
        <w:rPr>
          <w:rFonts w:ascii="Times New Roman" w:hAnsi="Times New Roman"/>
          <w:sz w:val="24"/>
          <w:szCs w:val="24"/>
        </w:rPr>
        <w:t>пет</w:t>
      </w:r>
      <w:r w:rsidR="00E117CA" w:rsidRPr="00797E29">
        <w:rPr>
          <w:rFonts w:ascii="Times New Roman" w:hAnsi="Times New Roman"/>
          <w:sz w:val="24"/>
          <w:szCs w:val="24"/>
        </w:rPr>
        <w:t xml:space="preserve"> </w:t>
      </w:r>
      <w:r w:rsidR="00114791" w:rsidRPr="00797E29">
        <w:rPr>
          <w:rFonts w:ascii="Times New Roman" w:hAnsi="Times New Roman"/>
          <w:sz w:val="24"/>
          <w:szCs w:val="24"/>
        </w:rPr>
        <w:t>година</w:t>
      </w:r>
      <w:r w:rsidR="00E117CA" w:rsidRPr="00797E29">
        <w:rPr>
          <w:rFonts w:ascii="Times New Roman" w:hAnsi="Times New Roman"/>
          <w:sz w:val="24"/>
          <w:szCs w:val="24"/>
        </w:rPr>
        <w:t xml:space="preserve">, </w:t>
      </w:r>
      <w:r w:rsidR="00114791" w:rsidRPr="00797E29">
        <w:rPr>
          <w:rFonts w:ascii="Times New Roman" w:hAnsi="Times New Roman"/>
          <w:sz w:val="24"/>
          <w:szCs w:val="24"/>
        </w:rPr>
        <w:t>односно</w:t>
      </w:r>
      <w:r w:rsidR="00E117CA" w:rsidRPr="00797E29">
        <w:rPr>
          <w:rFonts w:ascii="Times New Roman" w:hAnsi="Times New Roman"/>
          <w:sz w:val="24"/>
          <w:szCs w:val="24"/>
        </w:rPr>
        <w:t xml:space="preserve"> </w:t>
      </w:r>
      <w:r w:rsidR="00114791" w:rsidRPr="00797E29">
        <w:rPr>
          <w:rFonts w:ascii="Times New Roman" w:hAnsi="Times New Roman"/>
          <w:sz w:val="24"/>
          <w:szCs w:val="24"/>
        </w:rPr>
        <w:t>пореских</w:t>
      </w:r>
      <w:r w:rsidR="00E117CA" w:rsidRPr="00797E29">
        <w:rPr>
          <w:rFonts w:ascii="Times New Roman" w:hAnsi="Times New Roman"/>
          <w:sz w:val="24"/>
          <w:szCs w:val="24"/>
        </w:rPr>
        <w:t xml:space="preserve"> </w:t>
      </w:r>
      <w:r w:rsidR="00114791" w:rsidRPr="00797E29">
        <w:rPr>
          <w:rFonts w:ascii="Times New Roman" w:hAnsi="Times New Roman"/>
          <w:sz w:val="24"/>
          <w:szCs w:val="24"/>
        </w:rPr>
        <w:t>периода</w:t>
      </w:r>
      <w:r w:rsidR="00E117CA" w:rsidRPr="00797E29">
        <w:rPr>
          <w:rFonts w:ascii="Times New Roman" w:hAnsi="Times New Roman"/>
          <w:sz w:val="24"/>
          <w:szCs w:val="24"/>
        </w:rPr>
        <w:t>.</w:t>
      </w:r>
      <w:r w:rsidR="00E117CA" w:rsidRPr="00797E29">
        <w:rPr>
          <w:rFonts w:ascii="Times New Roman" w:hAnsi="Times New Roman"/>
          <w:sz w:val="24"/>
          <w:szCs w:val="24"/>
          <w:lang w:val="sr-Cyrl-CS"/>
        </w:rPr>
        <w:t xml:space="preserve"> </w:t>
      </w:r>
      <w:r w:rsidR="00114791" w:rsidRPr="00797E29">
        <w:rPr>
          <w:rFonts w:ascii="Times New Roman" w:hAnsi="Times New Roman"/>
          <w:sz w:val="24"/>
          <w:szCs w:val="24"/>
        </w:rPr>
        <w:t>Ако</w:t>
      </w:r>
      <w:r w:rsidR="00E117CA" w:rsidRPr="00797E29">
        <w:rPr>
          <w:rFonts w:ascii="Times New Roman" w:hAnsi="Times New Roman"/>
          <w:sz w:val="24"/>
          <w:szCs w:val="24"/>
        </w:rPr>
        <w:t xml:space="preserve"> </w:t>
      </w:r>
      <w:r w:rsidR="00114791" w:rsidRPr="00797E29">
        <w:rPr>
          <w:rFonts w:ascii="Times New Roman" w:hAnsi="Times New Roman"/>
          <w:sz w:val="24"/>
          <w:szCs w:val="24"/>
        </w:rPr>
        <w:t>се</w:t>
      </w:r>
      <w:r w:rsidR="00E117CA" w:rsidRPr="00797E29">
        <w:rPr>
          <w:rFonts w:ascii="Times New Roman" w:hAnsi="Times New Roman"/>
          <w:sz w:val="24"/>
          <w:szCs w:val="24"/>
        </w:rPr>
        <w:t xml:space="preserve"> </w:t>
      </w:r>
      <w:r w:rsidR="00114791" w:rsidRPr="00797E29">
        <w:rPr>
          <w:rFonts w:ascii="Times New Roman" w:hAnsi="Times New Roman"/>
          <w:sz w:val="24"/>
          <w:szCs w:val="24"/>
        </w:rPr>
        <w:t>пре</w:t>
      </w:r>
      <w:r w:rsidR="00E117CA" w:rsidRPr="00797E29">
        <w:rPr>
          <w:rFonts w:ascii="Times New Roman" w:hAnsi="Times New Roman"/>
          <w:sz w:val="24"/>
          <w:szCs w:val="24"/>
        </w:rPr>
        <w:t xml:space="preserve"> </w:t>
      </w:r>
      <w:r w:rsidR="00114791" w:rsidRPr="00797E29">
        <w:rPr>
          <w:rFonts w:ascii="Times New Roman" w:hAnsi="Times New Roman"/>
          <w:sz w:val="24"/>
          <w:szCs w:val="24"/>
        </w:rPr>
        <w:t>истека</w:t>
      </w:r>
      <w:r w:rsidR="00E117CA" w:rsidRPr="00797E29">
        <w:rPr>
          <w:rFonts w:ascii="Times New Roman" w:hAnsi="Times New Roman"/>
          <w:sz w:val="24"/>
          <w:szCs w:val="24"/>
          <w:lang w:val="sr-Cyrl-CS"/>
        </w:rPr>
        <w:t xml:space="preserve"> овог</w:t>
      </w:r>
      <w:r w:rsidR="00E117CA" w:rsidRPr="00797E29">
        <w:rPr>
          <w:rFonts w:ascii="Times New Roman" w:hAnsi="Times New Roman"/>
          <w:sz w:val="24"/>
          <w:szCs w:val="24"/>
        </w:rPr>
        <w:t xml:space="preserve"> </w:t>
      </w:r>
      <w:r w:rsidR="00114791" w:rsidRPr="00797E29">
        <w:rPr>
          <w:rFonts w:ascii="Times New Roman" w:hAnsi="Times New Roman"/>
          <w:sz w:val="24"/>
          <w:szCs w:val="24"/>
        </w:rPr>
        <w:t>рока</w:t>
      </w:r>
      <w:r w:rsidR="00E117CA" w:rsidRPr="00797E29">
        <w:rPr>
          <w:rFonts w:ascii="Times New Roman" w:hAnsi="Times New Roman"/>
          <w:sz w:val="24"/>
          <w:szCs w:val="24"/>
        </w:rPr>
        <w:t xml:space="preserve">  </w:t>
      </w:r>
      <w:r w:rsidR="00114791" w:rsidRPr="00797E29">
        <w:rPr>
          <w:rFonts w:ascii="Times New Roman" w:hAnsi="Times New Roman"/>
          <w:sz w:val="24"/>
          <w:szCs w:val="24"/>
        </w:rPr>
        <w:t>измене</w:t>
      </w:r>
      <w:r w:rsidR="00E117CA" w:rsidRPr="00797E29">
        <w:rPr>
          <w:rFonts w:ascii="Times New Roman" w:hAnsi="Times New Roman"/>
          <w:sz w:val="24"/>
          <w:szCs w:val="24"/>
        </w:rPr>
        <w:t xml:space="preserve"> </w:t>
      </w:r>
      <w:r w:rsidR="00114791" w:rsidRPr="00797E29">
        <w:rPr>
          <w:rFonts w:ascii="Times New Roman" w:hAnsi="Times New Roman"/>
          <w:sz w:val="24"/>
          <w:szCs w:val="24"/>
        </w:rPr>
        <w:t>услови</w:t>
      </w:r>
      <w:r w:rsidR="00E117CA" w:rsidRPr="00797E29">
        <w:rPr>
          <w:rFonts w:ascii="Times New Roman" w:hAnsi="Times New Roman"/>
          <w:sz w:val="24"/>
          <w:szCs w:val="24"/>
        </w:rPr>
        <w:t xml:space="preserve"> </w:t>
      </w:r>
      <w:r w:rsidR="00E117CA" w:rsidRPr="00797E29">
        <w:rPr>
          <w:rFonts w:ascii="Times New Roman" w:hAnsi="Times New Roman"/>
          <w:sz w:val="24"/>
          <w:szCs w:val="24"/>
          <w:lang w:val="sr-Cyrl-CS"/>
        </w:rPr>
        <w:t>у вези</w:t>
      </w:r>
      <w:r w:rsidR="00E117CA" w:rsidRPr="00797E29">
        <w:rPr>
          <w:rFonts w:ascii="Times New Roman" w:hAnsi="Times New Roman"/>
          <w:sz w:val="24"/>
          <w:szCs w:val="24"/>
          <w:shd w:val="clear" w:color="auto" w:fill="FFFFFF"/>
        </w:rPr>
        <w:t xml:space="preserve"> </w:t>
      </w:r>
      <w:r w:rsidR="00114791" w:rsidRPr="00797E29">
        <w:rPr>
          <w:rFonts w:ascii="Times New Roman" w:hAnsi="Times New Roman"/>
          <w:sz w:val="24"/>
          <w:szCs w:val="24"/>
          <w:shd w:val="clear" w:color="auto" w:fill="FFFFFF"/>
        </w:rPr>
        <w:t>непосредн</w:t>
      </w:r>
      <w:r w:rsidR="00E117CA" w:rsidRPr="00797E29">
        <w:rPr>
          <w:rFonts w:ascii="Times New Roman" w:hAnsi="Times New Roman"/>
          <w:sz w:val="24"/>
          <w:szCs w:val="24"/>
          <w:shd w:val="clear" w:color="auto" w:fill="FFFFFF"/>
          <w:lang w:val="sr-Cyrl-CS"/>
        </w:rPr>
        <w:t>е</w:t>
      </w:r>
      <w:r w:rsidR="00E117CA" w:rsidRPr="00797E29">
        <w:rPr>
          <w:rFonts w:ascii="Times New Roman" w:hAnsi="Times New Roman"/>
          <w:sz w:val="24"/>
          <w:szCs w:val="24"/>
          <w:shd w:val="clear" w:color="auto" w:fill="FFFFFF"/>
        </w:rPr>
        <w:t xml:space="preserve"> </w:t>
      </w:r>
      <w:r w:rsidR="00114791" w:rsidRPr="00797E29">
        <w:rPr>
          <w:rFonts w:ascii="Times New Roman" w:hAnsi="Times New Roman"/>
          <w:sz w:val="24"/>
          <w:szCs w:val="24"/>
          <w:shd w:val="clear" w:color="auto" w:fill="FFFFFF"/>
        </w:rPr>
        <w:t>или</w:t>
      </w:r>
      <w:r w:rsidR="00E117CA" w:rsidRPr="00797E29">
        <w:rPr>
          <w:rFonts w:ascii="Times New Roman" w:hAnsi="Times New Roman"/>
          <w:sz w:val="24"/>
          <w:szCs w:val="24"/>
          <w:shd w:val="clear" w:color="auto" w:fill="FFFFFF"/>
        </w:rPr>
        <w:t xml:space="preserve"> </w:t>
      </w:r>
      <w:r w:rsidR="00114791" w:rsidRPr="00797E29">
        <w:rPr>
          <w:rFonts w:ascii="Times New Roman" w:hAnsi="Times New Roman"/>
          <w:sz w:val="24"/>
          <w:szCs w:val="24"/>
          <w:shd w:val="clear" w:color="auto" w:fill="FFFFFF"/>
        </w:rPr>
        <w:t>посредн</w:t>
      </w:r>
      <w:r w:rsidR="00E117CA" w:rsidRPr="00797E29">
        <w:rPr>
          <w:rFonts w:ascii="Times New Roman" w:hAnsi="Times New Roman"/>
          <w:sz w:val="24"/>
          <w:szCs w:val="24"/>
          <w:shd w:val="clear" w:color="auto" w:fill="FFFFFF"/>
          <w:lang w:val="sr-Cyrl-CS"/>
        </w:rPr>
        <w:t>е</w:t>
      </w:r>
      <w:r w:rsidR="00E117CA" w:rsidRPr="00797E29">
        <w:rPr>
          <w:rFonts w:ascii="Times New Roman" w:hAnsi="Times New Roman"/>
          <w:sz w:val="24"/>
          <w:szCs w:val="24"/>
          <w:shd w:val="clear" w:color="auto" w:fill="FFFFFF"/>
        </w:rPr>
        <w:t xml:space="preserve"> </w:t>
      </w:r>
      <w:r w:rsidR="00114791" w:rsidRPr="00797E29">
        <w:rPr>
          <w:rFonts w:ascii="Times New Roman" w:hAnsi="Times New Roman"/>
          <w:sz w:val="24"/>
          <w:szCs w:val="24"/>
          <w:shd w:val="clear" w:color="auto" w:fill="FFFFFF"/>
        </w:rPr>
        <w:t>контрол</w:t>
      </w:r>
      <w:r w:rsidR="00E117CA" w:rsidRPr="00797E29">
        <w:rPr>
          <w:rFonts w:ascii="Times New Roman" w:hAnsi="Times New Roman"/>
          <w:sz w:val="24"/>
          <w:szCs w:val="24"/>
          <w:shd w:val="clear" w:color="auto" w:fill="FFFFFF"/>
          <w:lang w:val="sr-Cyrl-CS"/>
        </w:rPr>
        <w:t>е</w:t>
      </w:r>
      <w:r w:rsidR="00E117CA" w:rsidRPr="00797E29">
        <w:rPr>
          <w:rFonts w:ascii="Times New Roman" w:hAnsi="Times New Roman"/>
          <w:sz w:val="24"/>
          <w:szCs w:val="24"/>
          <w:shd w:val="clear" w:color="auto" w:fill="FFFFFF"/>
        </w:rPr>
        <w:t xml:space="preserve"> </w:t>
      </w:r>
      <w:r w:rsidR="00114791" w:rsidRPr="00797E29">
        <w:rPr>
          <w:rFonts w:ascii="Times New Roman" w:hAnsi="Times New Roman"/>
          <w:sz w:val="24"/>
          <w:szCs w:val="24"/>
          <w:shd w:val="clear" w:color="auto" w:fill="FFFFFF"/>
        </w:rPr>
        <w:t>над</w:t>
      </w:r>
      <w:r w:rsidR="00E117CA" w:rsidRPr="00797E29">
        <w:rPr>
          <w:rFonts w:ascii="Times New Roman" w:hAnsi="Times New Roman"/>
          <w:sz w:val="24"/>
          <w:szCs w:val="24"/>
          <w:shd w:val="clear" w:color="auto" w:fill="FFFFFF"/>
        </w:rPr>
        <w:t xml:space="preserve"> </w:t>
      </w:r>
      <w:r w:rsidR="00114791" w:rsidRPr="00797E29">
        <w:rPr>
          <w:rFonts w:ascii="Times New Roman" w:hAnsi="Times New Roman"/>
          <w:sz w:val="24"/>
          <w:szCs w:val="24"/>
          <w:shd w:val="clear" w:color="auto" w:fill="FFFFFF"/>
        </w:rPr>
        <w:t>најмање</w:t>
      </w:r>
      <w:r w:rsidR="00E117CA" w:rsidRPr="00797E29">
        <w:rPr>
          <w:rFonts w:ascii="Times New Roman" w:hAnsi="Times New Roman"/>
          <w:sz w:val="24"/>
          <w:szCs w:val="24"/>
          <w:shd w:val="clear" w:color="auto" w:fill="FFFFFF"/>
        </w:rPr>
        <w:t xml:space="preserve"> 75% </w:t>
      </w:r>
      <w:r w:rsidR="00114791" w:rsidRPr="00797E29">
        <w:rPr>
          <w:rFonts w:ascii="Times New Roman" w:hAnsi="Times New Roman"/>
          <w:sz w:val="24"/>
          <w:szCs w:val="24"/>
          <w:shd w:val="clear" w:color="auto" w:fill="FFFFFF"/>
        </w:rPr>
        <w:t>акција</w:t>
      </w:r>
      <w:r w:rsidR="00E117CA" w:rsidRPr="00797E29">
        <w:rPr>
          <w:rFonts w:ascii="Times New Roman" w:hAnsi="Times New Roman"/>
          <w:sz w:val="24"/>
          <w:szCs w:val="24"/>
          <w:shd w:val="clear" w:color="auto" w:fill="FFFFFF"/>
        </w:rPr>
        <w:t xml:space="preserve"> </w:t>
      </w:r>
      <w:r w:rsidR="00114791" w:rsidRPr="00797E29">
        <w:rPr>
          <w:rFonts w:ascii="Times New Roman" w:hAnsi="Times New Roman"/>
          <w:sz w:val="24"/>
          <w:szCs w:val="24"/>
          <w:shd w:val="clear" w:color="auto" w:fill="FFFFFF"/>
        </w:rPr>
        <w:t>или</w:t>
      </w:r>
      <w:r w:rsidR="00E117CA" w:rsidRPr="00797E29">
        <w:rPr>
          <w:rFonts w:ascii="Times New Roman" w:hAnsi="Times New Roman"/>
          <w:sz w:val="24"/>
          <w:szCs w:val="24"/>
          <w:shd w:val="clear" w:color="auto" w:fill="FFFFFF"/>
        </w:rPr>
        <w:t xml:space="preserve"> </w:t>
      </w:r>
      <w:r w:rsidR="00114791" w:rsidRPr="00797E29">
        <w:rPr>
          <w:rFonts w:ascii="Times New Roman" w:hAnsi="Times New Roman"/>
          <w:sz w:val="24"/>
          <w:szCs w:val="24"/>
          <w:shd w:val="clear" w:color="auto" w:fill="FFFFFF"/>
        </w:rPr>
        <w:t>удела</w:t>
      </w:r>
      <w:r w:rsidR="00E117CA" w:rsidRPr="00797E29">
        <w:rPr>
          <w:rFonts w:ascii="Times New Roman" w:hAnsi="Times New Roman"/>
          <w:sz w:val="24"/>
          <w:szCs w:val="24"/>
          <w:lang w:val="sr-Cyrl-CS"/>
        </w:rPr>
        <w:t xml:space="preserve"> или резидентства</w:t>
      </w:r>
      <w:r w:rsidR="00E117CA" w:rsidRPr="00797E29">
        <w:rPr>
          <w:rFonts w:ascii="Times New Roman" w:hAnsi="Times New Roman"/>
          <w:sz w:val="24"/>
          <w:szCs w:val="24"/>
        </w:rPr>
        <w:t xml:space="preserve">, </w:t>
      </w:r>
      <w:r w:rsidR="00114791" w:rsidRPr="00797E29">
        <w:rPr>
          <w:rFonts w:ascii="Times New Roman" w:hAnsi="Times New Roman"/>
          <w:sz w:val="24"/>
          <w:szCs w:val="24"/>
        </w:rPr>
        <w:t>или</w:t>
      </w:r>
      <w:r w:rsidR="00E117CA" w:rsidRPr="00797E29">
        <w:rPr>
          <w:rFonts w:ascii="Times New Roman" w:hAnsi="Times New Roman"/>
          <w:sz w:val="24"/>
          <w:szCs w:val="24"/>
        </w:rPr>
        <w:t xml:space="preserve"> </w:t>
      </w:r>
      <w:r w:rsidR="00114791" w:rsidRPr="00797E29">
        <w:rPr>
          <w:rFonts w:ascii="Times New Roman" w:hAnsi="Times New Roman"/>
          <w:sz w:val="24"/>
          <w:szCs w:val="24"/>
        </w:rPr>
        <w:t>се</w:t>
      </w:r>
      <w:r w:rsidR="00E117CA" w:rsidRPr="00797E29">
        <w:rPr>
          <w:rFonts w:ascii="Times New Roman" w:hAnsi="Times New Roman"/>
          <w:sz w:val="24"/>
          <w:szCs w:val="24"/>
        </w:rPr>
        <w:t xml:space="preserve"> </w:t>
      </w:r>
      <w:r w:rsidR="00114791" w:rsidRPr="00797E29">
        <w:rPr>
          <w:rFonts w:ascii="Times New Roman" w:hAnsi="Times New Roman"/>
          <w:sz w:val="24"/>
          <w:szCs w:val="24"/>
        </w:rPr>
        <w:t>једно</w:t>
      </w:r>
      <w:r w:rsidR="00E117CA" w:rsidRPr="00797E29">
        <w:rPr>
          <w:rFonts w:ascii="Times New Roman" w:hAnsi="Times New Roman"/>
          <w:sz w:val="24"/>
          <w:szCs w:val="24"/>
        </w:rPr>
        <w:t xml:space="preserve"> </w:t>
      </w:r>
      <w:r w:rsidR="00114791" w:rsidRPr="00797E29">
        <w:rPr>
          <w:rFonts w:ascii="Times New Roman" w:hAnsi="Times New Roman"/>
          <w:sz w:val="24"/>
          <w:szCs w:val="24"/>
        </w:rPr>
        <w:t>правно</w:t>
      </w:r>
      <w:r w:rsidR="00E117CA" w:rsidRPr="00797E29">
        <w:rPr>
          <w:rFonts w:ascii="Times New Roman" w:hAnsi="Times New Roman"/>
          <w:sz w:val="24"/>
          <w:szCs w:val="24"/>
        </w:rPr>
        <w:t xml:space="preserve"> </w:t>
      </w:r>
      <w:r w:rsidR="00114791" w:rsidRPr="00797E29">
        <w:rPr>
          <w:rFonts w:ascii="Times New Roman" w:hAnsi="Times New Roman"/>
          <w:sz w:val="24"/>
          <w:szCs w:val="24"/>
        </w:rPr>
        <w:t>лице</w:t>
      </w:r>
      <w:r w:rsidR="00E117CA" w:rsidRPr="00797E29">
        <w:rPr>
          <w:rFonts w:ascii="Times New Roman" w:hAnsi="Times New Roman"/>
          <w:sz w:val="24"/>
          <w:szCs w:val="24"/>
        </w:rPr>
        <w:t xml:space="preserve">, </w:t>
      </w:r>
      <w:r w:rsidR="00114791" w:rsidRPr="00797E29">
        <w:rPr>
          <w:rFonts w:ascii="Times New Roman" w:hAnsi="Times New Roman"/>
          <w:sz w:val="24"/>
          <w:szCs w:val="24"/>
        </w:rPr>
        <w:t>више</w:t>
      </w:r>
      <w:r w:rsidR="00E117CA" w:rsidRPr="00797E29">
        <w:rPr>
          <w:rFonts w:ascii="Times New Roman" w:hAnsi="Times New Roman"/>
          <w:sz w:val="24"/>
          <w:szCs w:val="24"/>
        </w:rPr>
        <w:t xml:space="preserve"> </w:t>
      </w:r>
      <w:r w:rsidR="00114791" w:rsidRPr="00797E29">
        <w:rPr>
          <w:rFonts w:ascii="Times New Roman" w:hAnsi="Times New Roman"/>
          <w:sz w:val="24"/>
          <w:szCs w:val="24"/>
        </w:rPr>
        <w:t>повезаних</w:t>
      </w:r>
      <w:r w:rsidR="00E117CA" w:rsidRPr="00797E29">
        <w:rPr>
          <w:rFonts w:ascii="Times New Roman" w:hAnsi="Times New Roman"/>
          <w:sz w:val="24"/>
          <w:szCs w:val="24"/>
        </w:rPr>
        <w:t xml:space="preserve"> </w:t>
      </w:r>
      <w:r w:rsidR="00114791" w:rsidRPr="00797E29">
        <w:rPr>
          <w:rFonts w:ascii="Times New Roman" w:hAnsi="Times New Roman"/>
          <w:sz w:val="24"/>
          <w:szCs w:val="24"/>
        </w:rPr>
        <w:t>правних</w:t>
      </w:r>
      <w:r w:rsidR="00E117CA" w:rsidRPr="00797E29">
        <w:rPr>
          <w:rFonts w:ascii="Times New Roman" w:hAnsi="Times New Roman"/>
          <w:sz w:val="24"/>
          <w:szCs w:val="24"/>
        </w:rPr>
        <w:t xml:space="preserve"> </w:t>
      </w:r>
      <w:r w:rsidR="00114791" w:rsidRPr="00797E29">
        <w:rPr>
          <w:rFonts w:ascii="Times New Roman" w:hAnsi="Times New Roman"/>
          <w:sz w:val="24"/>
          <w:szCs w:val="24"/>
        </w:rPr>
        <w:t>лица</w:t>
      </w:r>
      <w:r w:rsidR="00E117CA" w:rsidRPr="00797E29">
        <w:rPr>
          <w:rFonts w:ascii="Times New Roman" w:hAnsi="Times New Roman"/>
          <w:sz w:val="24"/>
          <w:szCs w:val="24"/>
        </w:rPr>
        <w:t xml:space="preserve">, </w:t>
      </w:r>
      <w:r w:rsidR="00114791" w:rsidRPr="00797E29">
        <w:rPr>
          <w:rFonts w:ascii="Times New Roman" w:hAnsi="Times New Roman"/>
          <w:sz w:val="24"/>
          <w:szCs w:val="24"/>
        </w:rPr>
        <w:t>или</w:t>
      </w:r>
      <w:r w:rsidR="00E117CA" w:rsidRPr="00797E29">
        <w:rPr>
          <w:rFonts w:ascii="Times New Roman" w:hAnsi="Times New Roman"/>
          <w:sz w:val="24"/>
          <w:szCs w:val="24"/>
        </w:rPr>
        <w:t xml:space="preserve"> </w:t>
      </w:r>
      <w:r w:rsidR="00114791" w:rsidRPr="00797E29">
        <w:rPr>
          <w:rFonts w:ascii="Times New Roman" w:hAnsi="Times New Roman"/>
          <w:sz w:val="24"/>
          <w:szCs w:val="24"/>
        </w:rPr>
        <w:t>сва</w:t>
      </w:r>
      <w:r w:rsidR="00E117CA" w:rsidRPr="00797E29">
        <w:rPr>
          <w:rFonts w:ascii="Times New Roman" w:hAnsi="Times New Roman"/>
          <w:sz w:val="24"/>
          <w:szCs w:val="24"/>
        </w:rPr>
        <w:t xml:space="preserve"> </w:t>
      </w:r>
      <w:r w:rsidR="00114791" w:rsidRPr="00797E29">
        <w:rPr>
          <w:rFonts w:ascii="Times New Roman" w:hAnsi="Times New Roman"/>
          <w:sz w:val="24"/>
          <w:szCs w:val="24"/>
        </w:rPr>
        <w:t>повезана</w:t>
      </w:r>
      <w:r w:rsidR="00E117CA" w:rsidRPr="00797E29">
        <w:rPr>
          <w:rFonts w:ascii="Times New Roman" w:hAnsi="Times New Roman"/>
          <w:sz w:val="24"/>
          <w:szCs w:val="24"/>
        </w:rPr>
        <w:t xml:space="preserve"> </w:t>
      </w:r>
      <w:r w:rsidR="00114791" w:rsidRPr="00797E29">
        <w:rPr>
          <w:rFonts w:ascii="Times New Roman" w:hAnsi="Times New Roman"/>
          <w:sz w:val="24"/>
          <w:szCs w:val="24"/>
        </w:rPr>
        <w:t>правна</w:t>
      </w:r>
      <w:r w:rsidR="00E117CA" w:rsidRPr="00797E29">
        <w:rPr>
          <w:rFonts w:ascii="Times New Roman" w:hAnsi="Times New Roman"/>
          <w:sz w:val="24"/>
          <w:szCs w:val="24"/>
        </w:rPr>
        <w:t xml:space="preserve"> </w:t>
      </w:r>
      <w:r w:rsidR="00114791" w:rsidRPr="00797E29">
        <w:rPr>
          <w:rFonts w:ascii="Times New Roman" w:hAnsi="Times New Roman"/>
          <w:sz w:val="24"/>
          <w:szCs w:val="24"/>
        </w:rPr>
        <w:t>лица</w:t>
      </w:r>
      <w:r w:rsidR="00E117CA" w:rsidRPr="00797E29">
        <w:rPr>
          <w:rFonts w:ascii="Times New Roman" w:hAnsi="Times New Roman"/>
          <w:sz w:val="24"/>
          <w:szCs w:val="24"/>
        </w:rPr>
        <w:t xml:space="preserve"> </w:t>
      </w:r>
      <w:r w:rsidR="00114791" w:rsidRPr="00797E29">
        <w:rPr>
          <w:rFonts w:ascii="Times New Roman" w:hAnsi="Times New Roman"/>
          <w:sz w:val="24"/>
          <w:szCs w:val="24"/>
        </w:rPr>
        <w:t>у</w:t>
      </w:r>
      <w:r w:rsidR="00E117CA" w:rsidRPr="00797E29">
        <w:rPr>
          <w:rFonts w:ascii="Times New Roman" w:hAnsi="Times New Roman"/>
          <w:sz w:val="24"/>
          <w:szCs w:val="24"/>
        </w:rPr>
        <w:t xml:space="preserve"> </w:t>
      </w:r>
      <w:r w:rsidR="00114791" w:rsidRPr="00797E29">
        <w:rPr>
          <w:rFonts w:ascii="Times New Roman" w:hAnsi="Times New Roman"/>
          <w:sz w:val="24"/>
          <w:szCs w:val="24"/>
        </w:rPr>
        <w:t>групи</w:t>
      </w:r>
      <w:r w:rsidR="00E117CA" w:rsidRPr="00797E29">
        <w:rPr>
          <w:rFonts w:ascii="Times New Roman" w:hAnsi="Times New Roman"/>
          <w:sz w:val="24"/>
          <w:szCs w:val="24"/>
        </w:rPr>
        <w:t xml:space="preserve"> </w:t>
      </w:r>
      <w:r w:rsidR="00114791" w:rsidRPr="00797E29">
        <w:rPr>
          <w:rFonts w:ascii="Times New Roman" w:hAnsi="Times New Roman"/>
          <w:sz w:val="24"/>
          <w:szCs w:val="24"/>
        </w:rPr>
        <w:t>накнадно</w:t>
      </w:r>
      <w:r w:rsidR="00E117CA" w:rsidRPr="00797E29">
        <w:rPr>
          <w:rFonts w:ascii="Times New Roman" w:hAnsi="Times New Roman"/>
          <w:sz w:val="24"/>
          <w:szCs w:val="24"/>
        </w:rPr>
        <w:t xml:space="preserve"> </w:t>
      </w:r>
      <w:r w:rsidR="00114791" w:rsidRPr="00797E29">
        <w:rPr>
          <w:rFonts w:ascii="Times New Roman" w:hAnsi="Times New Roman"/>
          <w:sz w:val="24"/>
          <w:szCs w:val="24"/>
        </w:rPr>
        <w:t>определе</w:t>
      </w:r>
      <w:r w:rsidR="00E117CA" w:rsidRPr="00797E29">
        <w:rPr>
          <w:rFonts w:ascii="Times New Roman" w:hAnsi="Times New Roman"/>
          <w:sz w:val="24"/>
          <w:szCs w:val="24"/>
        </w:rPr>
        <w:t xml:space="preserve"> </w:t>
      </w:r>
      <w:r w:rsidR="00114791" w:rsidRPr="00797E29">
        <w:rPr>
          <w:rFonts w:ascii="Times New Roman" w:hAnsi="Times New Roman"/>
          <w:sz w:val="24"/>
          <w:szCs w:val="24"/>
        </w:rPr>
        <w:t>за</w:t>
      </w:r>
      <w:r w:rsidR="00E117CA" w:rsidRPr="00797E29">
        <w:rPr>
          <w:rFonts w:ascii="Times New Roman" w:hAnsi="Times New Roman"/>
          <w:sz w:val="24"/>
          <w:szCs w:val="24"/>
        </w:rPr>
        <w:t xml:space="preserve"> </w:t>
      </w:r>
      <w:r w:rsidR="00114791" w:rsidRPr="00797E29">
        <w:rPr>
          <w:rFonts w:ascii="Times New Roman" w:hAnsi="Times New Roman"/>
          <w:sz w:val="24"/>
          <w:szCs w:val="24"/>
        </w:rPr>
        <w:t>појединачно</w:t>
      </w:r>
      <w:r w:rsidR="00E117CA" w:rsidRPr="00797E29">
        <w:rPr>
          <w:rFonts w:ascii="Times New Roman" w:hAnsi="Times New Roman"/>
          <w:sz w:val="24"/>
          <w:szCs w:val="24"/>
        </w:rPr>
        <w:t xml:space="preserve"> </w:t>
      </w:r>
      <w:r w:rsidR="00114791" w:rsidRPr="00797E29">
        <w:rPr>
          <w:rFonts w:ascii="Times New Roman" w:hAnsi="Times New Roman"/>
          <w:sz w:val="24"/>
          <w:szCs w:val="24"/>
        </w:rPr>
        <w:t>опорезивање</w:t>
      </w:r>
      <w:r w:rsidR="00E117CA" w:rsidRPr="00797E29">
        <w:rPr>
          <w:rFonts w:ascii="Times New Roman" w:hAnsi="Times New Roman"/>
          <w:sz w:val="24"/>
          <w:szCs w:val="24"/>
        </w:rPr>
        <w:t xml:space="preserve"> </w:t>
      </w:r>
      <w:r w:rsidR="00114791" w:rsidRPr="00797E29">
        <w:rPr>
          <w:rFonts w:ascii="Times New Roman" w:hAnsi="Times New Roman"/>
          <w:sz w:val="24"/>
          <w:szCs w:val="24"/>
        </w:rPr>
        <w:t>пре</w:t>
      </w:r>
      <w:r w:rsidR="00E117CA" w:rsidRPr="00797E29">
        <w:rPr>
          <w:rFonts w:ascii="Times New Roman" w:hAnsi="Times New Roman"/>
          <w:sz w:val="24"/>
          <w:szCs w:val="24"/>
        </w:rPr>
        <w:t xml:space="preserve"> </w:t>
      </w:r>
      <w:r w:rsidR="00114791" w:rsidRPr="00797E29">
        <w:rPr>
          <w:rFonts w:ascii="Times New Roman" w:hAnsi="Times New Roman"/>
          <w:sz w:val="24"/>
          <w:szCs w:val="24"/>
        </w:rPr>
        <w:t>истека</w:t>
      </w:r>
      <w:r w:rsidR="00E117CA" w:rsidRPr="00797E29">
        <w:rPr>
          <w:rFonts w:ascii="Times New Roman" w:hAnsi="Times New Roman"/>
          <w:sz w:val="24"/>
          <w:szCs w:val="24"/>
          <w:lang w:val="sr-Cyrl-CS"/>
        </w:rPr>
        <w:t xml:space="preserve"> наведеног </w:t>
      </w:r>
      <w:r w:rsidR="00E117CA" w:rsidRPr="00797E29">
        <w:rPr>
          <w:rFonts w:ascii="Times New Roman" w:hAnsi="Times New Roman"/>
          <w:sz w:val="24"/>
          <w:szCs w:val="24"/>
        </w:rPr>
        <w:t xml:space="preserve"> </w:t>
      </w:r>
      <w:r w:rsidR="00114791" w:rsidRPr="00797E29">
        <w:rPr>
          <w:rFonts w:ascii="Times New Roman" w:hAnsi="Times New Roman"/>
          <w:sz w:val="24"/>
          <w:szCs w:val="24"/>
        </w:rPr>
        <w:t>рока</w:t>
      </w:r>
      <w:r w:rsidR="00E117CA" w:rsidRPr="00797E29">
        <w:rPr>
          <w:rFonts w:ascii="Times New Roman" w:hAnsi="Times New Roman"/>
          <w:sz w:val="24"/>
          <w:szCs w:val="24"/>
        </w:rPr>
        <w:t xml:space="preserve">, </w:t>
      </w:r>
      <w:r w:rsidR="00114791" w:rsidRPr="00797E29">
        <w:rPr>
          <w:rFonts w:ascii="Times New Roman" w:hAnsi="Times New Roman"/>
          <w:sz w:val="24"/>
          <w:szCs w:val="24"/>
        </w:rPr>
        <w:t>сва</w:t>
      </w:r>
      <w:r w:rsidR="00E117CA" w:rsidRPr="00797E29">
        <w:rPr>
          <w:rFonts w:ascii="Times New Roman" w:hAnsi="Times New Roman"/>
          <w:sz w:val="24"/>
          <w:szCs w:val="24"/>
        </w:rPr>
        <w:t xml:space="preserve"> </w:t>
      </w:r>
      <w:r w:rsidR="00114791" w:rsidRPr="00797E29">
        <w:rPr>
          <w:rFonts w:ascii="Times New Roman" w:hAnsi="Times New Roman"/>
          <w:sz w:val="24"/>
          <w:szCs w:val="24"/>
        </w:rPr>
        <w:t>повезана</w:t>
      </w:r>
      <w:r w:rsidR="00E117CA" w:rsidRPr="00797E29">
        <w:rPr>
          <w:rFonts w:ascii="Times New Roman" w:hAnsi="Times New Roman"/>
          <w:sz w:val="24"/>
          <w:szCs w:val="24"/>
        </w:rPr>
        <w:t xml:space="preserve"> </w:t>
      </w:r>
      <w:r w:rsidR="00114791" w:rsidRPr="00797E29">
        <w:rPr>
          <w:rFonts w:ascii="Times New Roman" w:hAnsi="Times New Roman"/>
          <w:sz w:val="24"/>
          <w:szCs w:val="24"/>
        </w:rPr>
        <w:t>правна</w:t>
      </w:r>
      <w:r w:rsidR="00E117CA" w:rsidRPr="00797E29">
        <w:rPr>
          <w:rFonts w:ascii="Times New Roman" w:hAnsi="Times New Roman"/>
          <w:sz w:val="24"/>
          <w:szCs w:val="24"/>
        </w:rPr>
        <w:t xml:space="preserve"> </w:t>
      </w:r>
      <w:r w:rsidR="00114791" w:rsidRPr="00797E29">
        <w:rPr>
          <w:rFonts w:ascii="Times New Roman" w:hAnsi="Times New Roman"/>
          <w:sz w:val="24"/>
          <w:szCs w:val="24"/>
        </w:rPr>
        <w:t>лица</w:t>
      </w:r>
      <w:r w:rsidR="00E117CA" w:rsidRPr="00797E29">
        <w:rPr>
          <w:rFonts w:ascii="Times New Roman" w:hAnsi="Times New Roman"/>
          <w:sz w:val="24"/>
          <w:szCs w:val="24"/>
        </w:rPr>
        <w:t xml:space="preserve"> </w:t>
      </w:r>
      <w:r w:rsidR="00114791" w:rsidRPr="00797E29">
        <w:rPr>
          <w:rFonts w:ascii="Times New Roman" w:hAnsi="Times New Roman"/>
          <w:sz w:val="24"/>
          <w:szCs w:val="24"/>
        </w:rPr>
        <w:t>су</w:t>
      </w:r>
      <w:r w:rsidR="00E117CA" w:rsidRPr="00797E29">
        <w:rPr>
          <w:rFonts w:ascii="Times New Roman" w:hAnsi="Times New Roman"/>
          <w:sz w:val="24"/>
          <w:szCs w:val="24"/>
        </w:rPr>
        <w:t xml:space="preserve"> </w:t>
      </w:r>
      <w:r w:rsidR="00114791" w:rsidRPr="00797E29">
        <w:rPr>
          <w:rFonts w:ascii="Times New Roman" w:hAnsi="Times New Roman"/>
          <w:sz w:val="24"/>
          <w:szCs w:val="24"/>
        </w:rPr>
        <w:t>дужна</w:t>
      </w:r>
      <w:r w:rsidR="00E117CA" w:rsidRPr="00797E29">
        <w:rPr>
          <w:rFonts w:ascii="Times New Roman" w:hAnsi="Times New Roman"/>
          <w:sz w:val="24"/>
          <w:szCs w:val="24"/>
        </w:rPr>
        <w:t xml:space="preserve"> </w:t>
      </w:r>
      <w:r w:rsidR="00114791" w:rsidRPr="00797E29">
        <w:rPr>
          <w:rFonts w:ascii="Times New Roman" w:hAnsi="Times New Roman"/>
          <w:sz w:val="24"/>
          <w:szCs w:val="24"/>
        </w:rPr>
        <w:t>да</w:t>
      </w:r>
      <w:r w:rsidR="00E117CA" w:rsidRPr="00797E29">
        <w:rPr>
          <w:rFonts w:ascii="Times New Roman" w:hAnsi="Times New Roman"/>
          <w:sz w:val="24"/>
          <w:szCs w:val="24"/>
        </w:rPr>
        <w:t xml:space="preserve"> </w:t>
      </w:r>
      <w:r w:rsidR="00114791" w:rsidRPr="00797E29">
        <w:rPr>
          <w:rFonts w:ascii="Times New Roman" w:hAnsi="Times New Roman"/>
          <w:sz w:val="24"/>
          <w:szCs w:val="24"/>
        </w:rPr>
        <w:t>сразмерно</w:t>
      </w:r>
      <w:r w:rsidR="00E117CA" w:rsidRPr="00797E29">
        <w:rPr>
          <w:rFonts w:ascii="Times New Roman" w:hAnsi="Times New Roman"/>
          <w:sz w:val="24"/>
          <w:szCs w:val="24"/>
        </w:rPr>
        <w:t xml:space="preserve"> </w:t>
      </w:r>
      <w:r w:rsidR="00114791" w:rsidRPr="00797E29">
        <w:rPr>
          <w:rFonts w:ascii="Times New Roman" w:hAnsi="Times New Roman"/>
          <w:sz w:val="24"/>
          <w:szCs w:val="24"/>
        </w:rPr>
        <w:t>плате</w:t>
      </w:r>
      <w:r w:rsidR="00E117CA" w:rsidRPr="00797E29">
        <w:rPr>
          <w:rFonts w:ascii="Times New Roman" w:hAnsi="Times New Roman"/>
          <w:sz w:val="24"/>
          <w:szCs w:val="24"/>
        </w:rPr>
        <w:t xml:space="preserve"> </w:t>
      </w:r>
      <w:r w:rsidR="00114791" w:rsidRPr="00797E29">
        <w:rPr>
          <w:rFonts w:ascii="Times New Roman" w:hAnsi="Times New Roman"/>
          <w:sz w:val="24"/>
          <w:szCs w:val="24"/>
        </w:rPr>
        <w:t>разлику</w:t>
      </w:r>
      <w:r w:rsidR="00E117CA" w:rsidRPr="00797E29">
        <w:rPr>
          <w:rFonts w:ascii="Times New Roman" w:hAnsi="Times New Roman"/>
          <w:sz w:val="24"/>
          <w:szCs w:val="24"/>
        </w:rPr>
        <w:t xml:space="preserve"> </w:t>
      </w:r>
      <w:r w:rsidR="00114791" w:rsidRPr="00797E29">
        <w:rPr>
          <w:rFonts w:ascii="Times New Roman" w:hAnsi="Times New Roman"/>
          <w:sz w:val="24"/>
          <w:szCs w:val="24"/>
        </w:rPr>
        <w:t>на</w:t>
      </w:r>
      <w:r w:rsidR="00E117CA" w:rsidRPr="00797E29">
        <w:rPr>
          <w:rFonts w:ascii="Times New Roman" w:hAnsi="Times New Roman"/>
          <w:sz w:val="24"/>
          <w:szCs w:val="24"/>
        </w:rPr>
        <w:t xml:space="preserve"> </w:t>
      </w:r>
      <w:r w:rsidR="00114791" w:rsidRPr="00797E29">
        <w:rPr>
          <w:rFonts w:ascii="Times New Roman" w:hAnsi="Times New Roman"/>
          <w:sz w:val="24"/>
          <w:szCs w:val="24"/>
        </w:rPr>
        <w:t>име</w:t>
      </w:r>
      <w:r w:rsidR="00E117CA" w:rsidRPr="00797E29">
        <w:rPr>
          <w:rFonts w:ascii="Times New Roman" w:hAnsi="Times New Roman"/>
          <w:sz w:val="24"/>
          <w:szCs w:val="24"/>
        </w:rPr>
        <w:t xml:space="preserve"> </w:t>
      </w:r>
      <w:r w:rsidR="00114791" w:rsidRPr="00797E29">
        <w:rPr>
          <w:rFonts w:ascii="Times New Roman" w:hAnsi="Times New Roman"/>
          <w:sz w:val="24"/>
          <w:szCs w:val="24"/>
        </w:rPr>
        <w:t>пореске</w:t>
      </w:r>
      <w:r w:rsidR="00E117CA" w:rsidRPr="00797E29">
        <w:rPr>
          <w:rFonts w:ascii="Times New Roman" w:hAnsi="Times New Roman"/>
          <w:sz w:val="24"/>
          <w:szCs w:val="24"/>
        </w:rPr>
        <w:t xml:space="preserve"> </w:t>
      </w:r>
      <w:r w:rsidR="00114791" w:rsidRPr="00797E29">
        <w:rPr>
          <w:rFonts w:ascii="Times New Roman" w:hAnsi="Times New Roman"/>
          <w:sz w:val="24"/>
          <w:szCs w:val="24"/>
        </w:rPr>
        <w:t>привилегије</w:t>
      </w:r>
      <w:r w:rsidR="00E117CA" w:rsidRPr="00797E29">
        <w:rPr>
          <w:rFonts w:ascii="Times New Roman" w:hAnsi="Times New Roman"/>
          <w:sz w:val="24"/>
          <w:szCs w:val="24"/>
        </w:rPr>
        <w:t xml:space="preserve"> </w:t>
      </w:r>
      <w:r w:rsidR="00114791" w:rsidRPr="00797E29">
        <w:rPr>
          <w:rFonts w:ascii="Times New Roman" w:hAnsi="Times New Roman"/>
          <w:sz w:val="24"/>
          <w:szCs w:val="24"/>
        </w:rPr>
        <w:t>коју</w:t>
      </w:r>
      <w:r w:rsidR="00E117CA" w:rsidRPr="00797E29">
        <w:rPr>
          <w:rFonts w:ascii="Times New Roman" w:hAnsi="Times New Roman"/>
          <w:sz w:val="24"/>
          <w:szCs w:val="24"/>
        </w:rPr>
        <w:t xml:space="preserve"> </w:t>
      </w:r>
      <w:r w:rsidR="00114791" w:rsidRPr="00797E29">
        <w:rPr>
          <w:rFonts w:ascii="Times New Roman" w:hAnsi="Times New Roman"/>
          <w:sz w:val="24"/>
          <w:szCs w:val="24"/>
        </w:rPr>
        <w:t>су</w:t>
      </w:r>
      <w:r w:rsidR="00E117CA" w:rsidRPr="00797E29">
        <w:rPr>
          <w:rFonts w:ascii="Times New Roman" w:hAnsi="Times New Roman"/>
          <w:sz w:val="24"/>
          <w:szCs w:val="24"/>
        </w:rPr>
        <w:t xml:space="preserve"> </w:t>
      </w:r>
      <w:r w:rsidR="00114791" w:rsidRPr="00797E29">
        <w:rPr>
          <w:rFonts w:ascii="Times New Roman" w:hAnsi="Times New Roman"/>
          <w:sz w:val="24"/>
          <w:szCs w:val="24"/>
        </w:rPr>
        <w:t>искористили</w:t>
      </w:r>
      <w:r>
        <w:rPr>
          <w:rFonts w:ascii="Times New Roman" w:hAnsi="Times New Roman"/>
          <w:sz w:val="24"/>
          <w:szCs w:val="24"/>
          <w:lang w:val="sr-Cyrl-CS"/>
        </w:rPr>
        <w:t>.</w:t>
      </w:r>
    </w:p>
    <w:p w:rsidR="008D7375" w:rsidRPr="00797E29" w:rsidRDefault="008D7375" w:rsidP="00797E29">
      <w:pPr>
        <w:jc w:val="both"/>
        <w:rPr>
          <w:rFonts w:ascii="Times New Roman" w:hAnsi="Times New Roman"/>
          <w:sz w:val="24"/>
          <w:szCs w:val="24"/>
          <w:lang w:val="sr-Cyrl-CS"/>
        </w:rPr>
      </w:pPr>
    </w:p>
    <w:p w:rsidR="008D7375" w:rsidRPr="00797E29" w:rsidRDefault="00114791" w:rsidP="000B417D">
      <w:pPr>
        <w:ind w:firstLine="708"/>
        <w:jc w:val="both"/>
        <w:rPr>
          <w:rFonts w:ascii="Times New Roman" w:hAnsi="Times New Roman"/>
          <w:sz w:val="24"/>
          <w:szCs w:val="24"/>
          <w:lang w:val="sr-Cyrl-CS"/>
        </w:rPr>
      </w:pPr>
      <w:r w:rsidRPr="00797E29">
        <w:rPr>
          <w:rFonts w:ascii="Times New Roman" w:hAnsi="Times New Roman"/>
          <w:sz w:val="24"/>
          <w:szCs w:val="24"/>
        </w:rPr>
        <w:lastRenderedPageBreak/>
        <w:t>Уколико</w:t>
      </w:r>
      <w:r w:rsidR="009F048D" w:rsidRPr="00797E29">
        <w:rPr>
          <w:rFonts w:ascii="Times New Roman" w:hAnsi="Times New Roman"/>
          <w:sz w:val="24"/>
          <w:szCs w:val="24"/>
        </w:rPr>
        <w:t xml:space="preserve"> </w:t>
      </w:r>
      <w:r w:rsidRPr="00797E29">
        <w:rPr>
          <w:rFonts w:ascii="Times New Roman" w:hAnsi="Times New Roman"/>
          <w:sz w:val="24"/>
          <w:szCs w:val="24"/>
        </w:rPr>
        <w:t>су</w:t>
      </w:r>
      <w:r w:rsidR="009F048D" w:rsidRPr="00797E29">
        <w:rPr>
          <w:rFonts w:ascii="Times New Roman" w:hAnsi="Times New Roman"/>
          <w:sz w:val="24"/>
          <w:szCs w:val="24"/>
        </w:rPr>
        <w:t xml:space="preserve"> </w:t>
      </w:r>
      <w:r w:rsidRPr="00797E29">
        <w:rPr>
          <w:rFonts w:ascii="Times New Roman" w:hAnsi="Times New Roman"/>
          <w:sz w:val="24"/>
          <w:szCs w:val="24"/>
        </w:rPr>
        <w:t>испуњени</w:t>
      </w:r>
      <w:r w:rsidR="009F048D" w:rsidRPr="00797E29">
        <w:rPr>
          <w:rFonts w:ascii="Times New Roman" w:hAnsi="Times New Roman"/>
          <w:sz w:val="24"/>
          <w:szCs w:val="24"/>
        </w:rPr>
        <w:t xml:space="preserve"> </w:t>
      </w:r>
      <w:r w:rsidR="009F048D" w:rsidRPr="00797E29">
        <w:rPr>
          <w:rFonts w:ascii="Times New Roman" w:hAnsi="Times New Roman"/>
          <w:sz w:val="24"/>
          <w:szCs w:val="24"/>
          <w:lang w:val="sr-Cyrl-CS"/>
        </w:rPr>
        <w:t xml:space="preserve">прописани </w:t>
      </w:r>
      <w:r w:rsidRPr="00797E29">
        <w:rPr>
          <w:rFonts w:ascii="Times New Roman" w:hAnsi="Times New Roman"/>
          <w:sz w:val="24"/>
          <w:szCs w:val="24"/>
        </w:rPr>
        <w:t>услови</w:t>
      </w:r>
      <w:r w:rsidR="009F048D" w:rsidRPr="00797E29">
        <w:rPr>
          <w:rFonts w:ascii="Times New Roman" w:hAnsi="Times New Roman"/>
          <w:sz w:val="24"/>
          <w:szCs w:val="24"/>
        </w:rPr>
        <w:t xml:space="preserve">  </w:t>
      </w:r>
      <w:r w:rsidRPr="00797E29">
        <w:rPr>
          <w:rFonts w:ascii="Times New Roman" w:hAnsi="Times New Roman"/>
          <w:sz w:val="24"/>
          <w:szCs w:val="24"/>
        </w:rPr>
        <w:t>надлежни</w:t>
      </w:r>
      <w:r w:rsidR="009F048D" w:rsidRPr="00797E29">
        <w:rPr>
          <w:rFonts w:ascii="Times New Roman" w:hAnsi="Times New Roman"/>
          <w:sz w:val="24"/>
          <w:szCs w:val="24"/>
        </w:rPr>
        <w:t xml:space="preserve"> </w:t>
      </w:r>
      <w:r w:rsidRPr="00797E29">
        <w:rPr>
          <w:rFonts w:ascii="Times New Roman" w:hAnsi="Times New Roman"/>
          <w:sz w:val="24"/>
          <w:szCs w:val="24"/>
        </w:rPr>
        <w:t>порески</w:t>
      </w:r>
      <w:r w:rsidR="009F048D" w:rsidRPr="00797E29">
        <w:rPr>
          <w:rFonts w:ascii="Times New Roman" w:hAnsi="Times New Roman"/>
          <w:sz w:val="24"/>
          <w:szCs w:val="24"/>
        </w:rPr>
        <w:t xml:space="preserve"> </w:t>
      </w:r>
      <w:r w:rsidRPr="00797E29">
        <w:rPr>
          <w:rFonts w:ascii="Times New Roman" w:hAnsi="Times New Roman"/>
          <w:sz w:val="24"/>
          <w:szCs w:val="24"/>
        </w:rPr>
        <w:t>орган</w:t>
      </w:r>
      <w:r w:rsidR="009F048D" w:rsidRPr="00797E29">
        <w:rPr>
          <w:rFonts w:ascii="Times New Roman" w:hAnsi="Times New Roman"/>
          <w:sz w:val="24"/>
          <w:szCs w:val="24"/>
        </w:rPr>
        <w:t xml:space="preserve"> </w:t>
      </w:r>
      <w:r w:rsidRPr="00797E29">
        <w:rPr>
          <w:rFonts w:ascii="Times New Roman" w:hAnsi="Times New Roman"/>
          <w:sz w:val="24"/>
          <w:szCs w:val="24"/>
        </w:rPr>
        <w:t>у</w:t>
      </w:r>
      <w:r w:rsidR="009F048D" w:rsidRPr="00797E29">
        <w:rPr>
          <w:rFonts w:ascii="Times New Roman" w:hAnsi="Times New Roman"/>
          <w:sz w:val="24"/>
          <w:szCs w:val="24"/>
        </w:rPr>
        <w:t xml:space="preserve"> </w:t>
      </w:r>
      <w:r w:rsidRPr="00797E29">
        <w:rPr>
          <w:rFonts w:ascii="Times New Roman" w:hAnsi="Times New Roman"/>
          <w:sz w:val="24"/>
          <w:szCs w:val="24"/>
        </w:rPr>
        <w:t>року</w:t>
      </w:r>
      <w:r w:rsidR="009F048D" w:rsidRPr="00797E29">
        <w:rPr>
          <w:rFonts w:ascii="Times New Roman" w:hAnsi="Times New Roman"/>
          <w:sz w:val="24"/>
          <w:szCs w:val="24"/>
        </w:rPr>
        <w:t xml:space="preserve"> </w:t>
      </w:r>
      <w:r w:rsidRPr="00797E29">
        <w:rPr>
          <w:rFonts w:ascii="Times New Roman" w:hAnsi="Times New Roman"/>
          <w:sz w:val="24"/>
          <w:szCs w:val="24"/>
        </w:rPr>
        <w:t>од</w:t>
      </w:r>
      <w:r w:rsidR="009F048D" w:rsidRPr="00797E29">
        <w:rPr>
          <w:rFonts w:ascii="Times New Roman" w:hAnsi="Times New Roman"/>
          <w:sz w:val="24"/>
          <w:szCs w:val="24"/>
        </w:rPr>
        <w:t xml:space="preserve"> 30 </w:t>
      </w:r>
      <w:r w:rsidRPr="00797E29">
        <w:rPr>
          <w:rFonts w:ascii="Times New Roman" w:hAnsi="Times New Roman"/>
          <w:sz w:val="24"/>
          <w:szCs w:val="24"/>
        </w:rPr>
        <w:t>дана</w:t>
      </w:r>
      <w:r w:rsidR="009F048D" w:rsidRPr="00797E29">
        <w:rPr>
          <w:rFonts w:ascii="Times New Roman" w:hAnsi="Times New Roman"/>
          <w:sz w:val="24"/>
          <w:szCs w:val="24"/>
        </w:rPr>
        <w:t xml:space="preserve"> </w:t>
      </w:r>
      <w:r w:rsidRPr="00797E29">
        <w:rPr>
          <w:rFonts w:ascii="Times New Roman" w:hAnsi="Times New Roman"/>
          <w:sz w:val="24"/>
          <w:szCs w:val="24"/>
        </w:rPr>
        <w:t>од</w:t>
      </w:r>
      <w:r w:rsidR="009F048D" w:rsidRPr="00797E29">
        <w:rPr>
          <w:rFonts w:ascii="Times New Roman" w:hAnsi="Times New Roman"/>
          <w:sz w:val="24"/>
          <w:szCs w:val="24"/>
        </w:rPr>
        <w:t xml:space="preserve"> </w:t>
      </w:r>
      <w:r w:rsidRPr="00797E29">
        <w:rPr>
          <w:rFonts w:ascii="Times New Roman" w:hAnsi="Times New Roman"/>
          <w:sz w:val="24"/>
          <w:szCs w:val="24"/>
        </w:rPr>
        <w:t>дана</w:t>
      </w:r>
      <w:r w:rsidR="009F048D" w:rsidRPr="00797E29">
        <w:rPr>
          <w:rFonts w:ascii="Times New Roman" w:hAnsi="Times New Roman"/>
          <w:sz w:val="24"/>
          <w:szCs w:val="24"/>
        </w:rPr>
        <w:t xml:space="preserve"> </w:t>
      </w:r>
      <w:r w:rsidRPr="00797E29">
        <w:rPr>
          <w:rFonts w:ascii="Times New Roman" w:hAnsi="Times New Roman"/>
          <w:sz w:val="24"/>
          <w:szCs w:val="24"/>
        </w:rPr>
        <w:t>подношења</w:t>
      </w:r>
      <w:r w:rsidR="009F048D" w:rsidRPr="00797E29">
        <w:rPr>
          <w:rFonts w:ascii="Times New Roman" w:hAnsi="Times New Roman"/>
          <w:sz w:val="24"/>
          <w:szCs w:val="24"/>
        </w:rPr>
        <w:t xml:space="preserve"> </w:t>
      </w:r>
      <w:r w:rsidRPr="00797E29">
        <w:rPr>
          <w:rFonts w:ascii="Times New Roman" w:hAnsi="Times New Roman"/>
          <w:sz w:val="24"/>
          <w:szCs w:val="24"/>
        </w:rPr>
        <w:t>захтева</w:t>
      </w:r>
      <w:r w:rsidR="009F048D" w:rsidRPr="00797E29">
        <w:rPr>
          <w:rFonts w:ascii="Times New Roman" w:hAnsi="Times New Roman"/>
          <w:sz w:val="24"/>
          <w:szCs w:val="24"/>
        </w:rPr>
        <w:t xml:space="preserve"> </w:t>
      </w:r>
      <w:r w:rsidRPr="00797E29">
        <w:rPr>
          <w:rFonts w:ascii="Times New Roman" w:hAnsi="Times New Roman"/>
          <w:sz w:val="24"/>
          <w:szCs w:val="24"/>
        </w:rPr>
        <w:t>доноси</w:t>
      </w:r>
      <w:r w:rsidR="009F048D" w:rsidRPr="00797E29">
        <w:rPr>
          <w:rFonts w:ascii="Times New Roman" w:hAnsi="Times New Roman"/>
          <w:sz w:val="24"/>
          <w:szCs w:val="24"/>
        </w:rPr>
        <w:t xml:space="preserve"> </w:t>
      </w:r>
      <w:r w:rsidRPr="00797E29">
        <w:rPr>
          <w:rFonts w:ascii="Times New Roman" w:hAnsi="Times New Roman"/>
          <w:sz w:val="24"/>
          <w:szCs w:val="24"/>
        </w:rPr>
        <w:t>решење</w:t>
      </w:r>
      <w:r w:rsidR="009F048D" w:rsidRPr="00797E29">
        <w:rPr>
          <w:rFonts w:ascii="Times New Roman" w:hAnsi="Times New Roman"/>
          <w:sz w:val="24"/>
          <w:szCs w:val="24"/>
        </w:rPr>
        <w:t xml:space="preserve"> </w:t>
      </w:r>
      <w:r w:rsidRPr="00797E29">
        <w:rPr>
          <w:rFonts w:ascii="Times New Roman" w:hAnsi="Times New Roman"/>
          <w:sz w:val="24"/>
          <w:szCs w:val="24"/>
        </w:rPr>
        <w:t>којим</w:t>
      </w:r>
      <w:r w:rsidR="009F048D" w:rsidRPr="00797E29">
        <w:rPr>
          <w:rFonts w:ascii="Times New Roman" w:hAnsi="Times New Roman"/>
          <w:sz w:val="24"/>
          <w:szCs w:val="24"/>
        </w:rPr>
        <w:t xml:space="preserve"> </w:t>
      </w:r>
      <w:r w:rsidRPr="00797E29">
        <w:rPr>
          <w:rFonts w:ascii="Times New Roman" w:hAnsi="Times New Roman"/>
          <w:sz w:val="24"/>
          <w:szCs w:val="24"/>
        </w:rPr>
        <w:t>се</w:t>
      </w:r>
      <w:r w:rsidR="009F048D" w:rsidRPr="00797E29">
        <w:rPr>
          <w:rFonts w:ascii="Times New Roman" w:hAnsi="Times New Roman"/>
          <w:sz w:val="24"/>
          <w:szCs w:val="24"/>
        </w:rPr>
        <w:t xml:space="preserve"> </w:t>
      </w:r>
      <w:r w:rsidRPr="00797E29">
        <w:rPr>
          <w:rFonts w:ascii="Times New Roman" w:hAnsi="Times New Roman"/>
          <w:sz w:val="24"/>
          <w:szCs w:val="24"/>
        </w:rPr>
        <w:t>одобрава</w:t>
      </w:r>
      <w:r w:rsidR="009F048D" w:rsidRPr="00797E29">
        <w:rPr>
          <w:rFonts w:ascii="Times New Roman" w:hAnsi="Times New Roman"/>
          <w:sz w:val="24"/>
          <w:szCs w:val="24"/>
        </w:rPr>
        <w:t xml:space="preserve"> </w:t>
      </w:r>
      <w:r w:rsidRPr="00797E29">
        <w:rPr>
          <w:rFonts w:ascii="Times New Roman" w:hAnsi="Times New Roman"/>
          <w:sz w:val="24"/>
          <w:szCs w:val="24"/>
        </w:rPr>
        <w:t>пореско</w:t>
      </w:r>
      <w:r w:rsidR="009F048D" w:rsidRPr="00797E29">
        <w:rPr>
          <w:rFonts w:ascii="Times New Roman" w:hAnsi="Times New Roman"/>
          <w:sz w:val="24"/>
          <w:szCs w:val="24"/>
        </w:rPr>
        <w:t xml:space="preserve"> </w:t>
      </w:r>
      <w:r w:rsidRPr="00797E29">
        <w:rPr>
          <w:rFonts w:ascii="Times New Roman" w:hAnsi="Times New Roman"/>
          <w:sz w:val="24"/>
          <w:szCs w:val="24"/>
        </w:rPr>
        <w:t>консолидовање</w:t>
      </w:r>
      <w:r w:rsidR="009F048D" w:rsidRPr="00797E29">
        <w:rPr>
          <w:rFonts w:ascii="Times New Roman" w:hAnsi="Times New Roman"/>
          <w:sz w:val="24"/>
          <w:szCs w:val="24"/>
        </w:rPr>
        <w:t xml:space="preserve">, </w:t>
      </w:r>
      <w:r w:rsidRPr="00797E29">
        <w:rPr>
          <w:rFonts w:ascii="Times New Roman" w:hAnsi="Times New Roman"/>
          <w:sz w:val="24"/>
          <w:szCs w:val="24"/>
        </w:rPr>
        <w:t>почев</w:t>
      </w:r>
      <w:r w:rsidR="009F048D" w:rsidRPr="00797E29">
        <w:rPr>
          <w:rFonts w:ascii="Times New Roman" w:hAnsi="Times New Roman"/>
          <w:sz w:val="24"/>
          <w:szCs w:val="24"/>
        </w:rPr>
        <w:t xml:space="preserve"> </w:t>
      </w:r>
      <w:r w:rsidRPr="00797E29">
        <w:rPr>
          <w:rFonts w:ascii="Times New Roman" w:hAnsi="Times New Roman"/>
          <w:sz w:val="24"/>
          <w:szCs w:val="24"/>
        </w:rPr>
        <w:t>од</w:t>
      </w:r>
      <w:r w:rsidR="009F048D" w:rsidRPr="00797E29">
        <w:rPr>
          <w:rFonts w:ascii="Times New Roman" w:hAnsi="Times New Roman"/>
          <w:sz w:val="24"/>
          <w:szCs w:val="24"/>
        </w:rPr>
        <w:t xml:space="preserve"> </w:t>
      </w:r>
      <w:r w:rsidRPr="00797E29">
        <w:rPr>
          <w:rFonts w:ascii="Times New Roman" w:hAnsi="Times New Roman"/>
          <w:sz w:val="24"/>
          <w:szCs w:val="24"/>
        </w:rPr>
        <w:t>пореског</w:t>
      </w:r>
      <w:r w:rsidR="009F048D" w:rsidRPr="00797E29">
        <w:rPr>
          <w:rFonts w:ascii="Times New Roman" w:hAnsi="Times New Roman"/>
          <w:sz w:val="24"/>
          <w:szCs w:val="24"/>
        </w:rPr>
        <w:t xml:space="preserve"> </w:t>
      </w:r>
      <w:r w:rsidRPr="00797E29">
        <w:rPr>
          <w:rFonts w:ascii="Times New Roman" w:hAnsi="Times New Roman"/>
          <w:sz w:val="24"/>
          <w:szCs w:val="24"/>
        </w:rPr>
        <w:t>периода</w:t>
      </w:r>
      <w:r w:rsidR="009F048D" w:rsidRPr="00797E29">
        <w:rPr>
          <w:rFonts w:ascii="Times New Roman" w:hAnsi="Times New Roman"/>
          <w:sz w:val="24"/>
          <w:szCs w:val="24"/>
        </w:rPr>
        <w:t xml:space="preserve"> </w:t>
      </w:r>
      <w:r w:rsidRPr="00797E29">
        <w:rPr>
          <w:rFonts w:ascii="Times New Roman" w:hAnsi="Times New Roman"/>
          <w:sz w:val="24"/>
          <w:szCs w:val="24"/>
        </w:rPr>
        <w:t>у</w:t>
      </w:r>
      <w:r w:rsidR="009F048D" w:rsidRPr="00797E29">
        <w:rPr>
          <w:rFonts w:ascii="Times New Roman" w:hAnsi="Times New Roman"/>
          <w:sz w:val="24"/>
          <w:szCs w:val="24"/>
        </w:rPr>
        <w:t xml:space="preserve"> </w:t>
      </w:r>
      <w:r w:rsidRPr="00797E29">
        <w:rPr>
          <w:rFonts w:ascii="Times New Roman" w:hAnsi="Times New Roman"/>
          <w:sz w:val="24"/>
          <w:szCs w:val="24"/>
        </w:rPr>
        <w:t>коме</w:t>
      </w:r>
      <w:r w:rsidR="009F048D" w:rsidRPr="00797E29">
        <w:rPr>
          <w:rFonts w:ascii="Times New Roman" w:hAnsi="Times New Roman"/>
          <w:sz w:val="24"/>
          <w:szCs w:val="24"/>
        </w:rPr>
        <w:t xml:space="preserve"> </w:t>
      </w:r>
      <w:r w:rsidRPr="00797E29">
        <w:rPr>
          <w:rFonts w:ascii="Times New Roman" w:hAnsi="Times New Roman"/>
          <w:sz w:val="24"/>
          <w:szCs w:val="24"/>
        </w:rPr>
        <w:t>су</w:t>
      </w:r>
      <w:r w:rsidR="009F048D" w:rsidRPr="00797E29">
        <w:rPr>
          <w:rFonts w:ascii="Times New Roman" w:hAnsi="Times New Roman"/>
          <w:sz w:val="24"/>
          <w:szCs w:val="24"/>
        </w:rPr>
        <w:t xml:space="preserve"> </w:t>
      </w:r>
      <w:r w:rsidRPr="00797E29">
        <w:rPr>
          <w:rFonts w:ascii="Times New Roman" w:hAnsi="Times New Roman"/>
          <w:sz w:val="24"/>
          <w:szCs w:val="24"/>
        </w:rPr>
        <w:t>испуњени</w:t>
      </w:r>
      <w:r w:rsidR="009F048D" w:rsidRPr="00797E29">
        <w:rPr>
          <w:rFonts w:ascii="Times New Roman" w:hAnsi="Times New Roman"/>
          <w:sz w:val="24"/>
          <w:szCs w:val="24"/>
        </w:rPr>
        <w:t xml:space="preserve"> </w:t>
      </w:r>
      <w:r w:rsidR="009F048D" w:rsidRPr="00797E29">
        <w:rPr>
          <w:rFonts w:ascii="Times New Roman" w:hAnsi="Times New Roman"/>
          <w:sz w:val="24"/>
          <w:szCs w:val="24"/>
          <w:lang w:val="sr-Cyrl-CS"/>
        </w:rPr>
        <w:t xml:space="preserve">предметни </w:t>
      </w:r>
      <w:r w:rsidRPr="00797E29">
        <w:rPr>
          <w:rFonts w:ascii="Times New Roman" w:hAnsi="Times New Roman"/>
          <w:sz w:val="24"/>
          <w:szCs w:val="24"/>
        </w:rPr>
        <w:t>услови</w:t>
      </w:r>
      <w:r w:rsidR="009F6AF7" w:rsidRPr="00797E29">
        <w:rPr>
          <w:rFonts w:ascii="Times New Roman" w:hAnsi="Times New Roman"/>
          <w:sz w:val="24"/>
          <w:szCs w:val="24"/>
          <w:lang w:val="sr-Cyrl-CS"/>
        </w:rPr>
        <w:t>.</w:t>
      </w:r>
      <w:r w:rsidR="009F048D" w:rsidRPr="00797E29">
        <w:rPr>
          <w:rStyle w:val="FootnoteReference"/>
          <w:rFonts w:ascii="Times New Roman" w:hAnsi="Times New Roman"/>
          <w:color w:val="000000"/>
          <w:sz w:val="24"/>
          <w:szCs w:val="24"/>
        </w:rPr>
        <w:footnoteReference w:id="326"/>
      </w:r>
    </w:p>
    <w:p w:rsidR="00A22DD5" w:rsidRPr="000B417D" w:rsidRDefault="002F3651" w:rsidP="000B417D">
      <w:pPr>
        <w:ind w:firstLine="708"/>
        <w:jc w:val="both"/>
        <w:rPr>
          <w:rFonts w:ascii="Times New Roman" w:hAnsi="Times New Roman"/>
          <w:sz w:val="24"/>
          <w:szCs w:val="24"/>
          <w:lang w:val="sr-Cyrl-CS"/>
        </w:rPr>
      </w:pPr>
      <w:r w:rsidRPr="00797E29">
        <w:rPr>
          <w:rFonts w:ascii="Times New Roman" w:hAnsi="Times New Roman"/>
          <w:sz w:val="24"/>
          <w:szCs w:val="24"/>
          <w:lang w:val="sr-Cyrl-CS"/>
        </w:rPr>
        <w:t>Утицај пореског консолицовања најбоље се може видети на следећем примеру</w:t>
      </w:r>
      <w:r w:rsidR="008B199D" w:rsidRPr="00797E29">
        <w:rPr>
          <w:rFonts w:ascii="Times New Roman" w:hAnsi="Times New Roman"/>
          <w:sz w:val="24"/>
          <w:szCs w:val="24"/>
          <w:lang w:val="sr-Cyrl-CS"/>
        </w:rPr>
        <w:t>, при чему је А матично предузеће, док су Б, Ц и Д зависна предузећа</w:t>
      </w:r>
      <w:r w:rsidRPr="00797E29">
        <w:rPr>
          <w:rFonts w:ascii="Times New Roman" w:hAnsi="Times New Roman"/>
          <w:sz w:val="24"/>
          <w:szCs w:val="24"/>
          <w:lang w:val="sr-Cyrl-CS"/>
        </w:rPr>
        <w:t>:</w:t>
      </w:r>
      <w:r w:rsidR="000B417D">
        <w:rPr>
          <w:rFonts w:ascii="Times New Roman" w:hAnsi="Times New Roman"/>
          <w:sz w:val="24"/>
          <w:szCs w:val="24"/>
          <w:lang w:val="sr-Cyrl-CS"/>
        </w:rPr>
        <w:t xml:space="preserve"> </w:t>
      </w:r>
    </w:p>
    <w:p w:rsidR="00A22DD5" w:rsidRDefault="00A22DD5" w:rsidP="009F6AF7">
      <w:pPr>
        <w:pStyle w:val="normal0"/>
        <w:shd w:val="clear" w:color="auto" w:fill="FFFFFF"/>
        <w:spacing w:before="48" w:beforeAutospacing="0" w:after="48" w:afterAutospacing="0"/>
        <w:ind w:firstLine="360"/>
        <w:rPr>
          <w:color w:val="000000"/>
          <w:lang w:val="sr-Cyrl-CS"/>
        </w:rPr>
      </w:pPr>
    </w:p>
    <w:p w:rsidR="009F6AF7" w:rsidRDefault="009F6AF7" w:rsidP="009F6AF7">
      <w:pPr>
        <w:pStyle w:val="normal0"/>
        <w:shd w:val="clear" w:color="auto" w:fill="FFFFFF"/>
        <w:spacing w:before="48" w:beforeAutospacing="0" w:after="48" w:afterAutospacing="0"/>
        <w:ind w:firstLine="360"/>
        <w:rPr>
          <w:color w:val="000000"/>
          <w:lang w:val="sr-Cyrl-CS"/>
        </w:rPr>
      </w:pPr>
    </w:p>
    <w:p w:rsidR="008B199D" w:rsidRPr="005044EC" w:rsidRDefault="00A74A8E" w:rsidP="001B7BDA">
      <w:pPr>
        <w:pStyle w:val="normal0"/>
        <w:shd w:val="clear" w:color="auto" w:fill="FFFFFF"/>
        <w:spacing w:before="48" w:beforeAutospacing="0" w:after="48" w:afterAutospacing="0"/>
        <w:rPr>
          <w:b/>
          <w:color w:val="000000"/>
          <w:lang w:val="sr-Cyrl-CS"/>
        </w:rPr>
      </w:pPr>
      <w:r>
        <w:rPr>
          <w:b/>
          <w:color w:val="000000"/>
          <w:lang w:val="sr-Cyrl-CS"/>
        </w:rPr>
        <w:t>Табела 18</w:t>
      </w:r>
      <w:r w:rsidR="005044EC" w:rsidRPr="005044EC">
        <w:rPr>
          <w:b/>
          <w:color w:val="000000"/>
          <w:lang w:val="sr-Cyrl-CS"/>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98"/>
        <w:gridCol w:w="1495"/>
        <w:gridCol w:w="1495"/>
        <w:gridCol w:w="1495"/>
        <w:gridCol w:w="1495"/>
        <w:gridCol w:w="1509"/>
      </w:tblGrid>
      <w:tr w:rsidR="007918D1" w:rsidRPr="00886B95" w:rsidTr="00886B95">
        <w:tc>
          <w:tcPr>
            <w:tcW w:w="1535" w:type="dxa"/>
          </w:tcPr>
          <w:p w:rsidR="002F3651" w:rsidRPr="00886B95" w:rsidRDefault="002F3651" w:rsidP="00886B95">
            <w:pPr>
              <w:pStyle w:val="normal0"/>
              <w:spacing w:before="48" w:beforeAutospacing="0" w:after="48" w:afterAutospacing="0"/>
              <w:rPr>
                <w:color w:val="000000"/>
                <w:lang w:val="sr-Cyrl-CS"/>
              </w:rPr>
            </w:pPr>
          </w:p>
        </w:tc>
        <w:tc>
          <w:tcPr>
            <w:tcW w:w="1535" w:type="dxa"/>
          </w:tcPr>
          <w:p w:rsidR="002F3651" w:rsidRPr="00886B95" w:rsidRDefault="002F3651" w:rsidP="00886B95">
            <w:pPr>
              <w:pStyle w:val="normal0"/>
              <w:spacing w:before="48" w:beforeAutospacing="0" w:after="48" w:afterAutospacing="0"/>
              <w:rPr>
                <w:color w:val="000000"/>
                <w:lang w:val="sr-Cyrl-CS"/>
              </w:rPr>
            </w:pPr>
            <w:r w:rsidRPr="00886B95">
              <w:rPr>
                <w:color w:val="000000"/>
                <w:lang w:val="sr-Cyrl-CS"/>
              </w:rPr>
              <w:t>А</w:t>
            </w:r>
          </w:p>
        </w:tc>
        <w:tc>
          <w:tcPr>
            <w:tcW w:w="1535" w:type="dxa"/>
          </w:tcPr>
          <w:p w:rsidR="002F3651" w:rsidRPr="00886B95" w:rsidRDefault="002F3651" w:rsidP="00886B95">
            <w:pPr>
              <w:pStyle w:val="normal0"/>
              <w:spacing w:before="48" w:beforeAutospacing="0" w:after="48" w:afterAutospacing="0"/>
              <w:rPr>
                <w:color w:val="000000"/>
                <w:lang w:val="sr-Cyrl-CS"/>
              </w:rPr>
            </w:pPr>
            <w:r w:rsidRPr="00886B95">
              <w:rPr>
                <w:color w:val="000000"/>
                <w:lang w:val="sr-Cyrl-CS"/>
              </w:rPr>
              <w:t>Б</w:t>
            </w:r>
          </w:p>
        </w:tc>
        <w:tc>
          <w:tcPr>
            <w:tcW w:w="1535" w:type="dxa"/>
          </w:tcPr>
          <w:p w:rsidR="002F3651" w:rsidRPr="00886B95" w:rsidRDefault="002F3651" w:rsidP="00886B95">
            <w:pPr>
              <w:pStyle w:val="normal0"/>
              <w:spacing w:before="48" w:beforeAutospacing="0" w:after="48" w:afterAutospacing="0"/>
              <w:rPr>
                <w:color w:val="000000"/>
                <w:lang w:val="sr-Cyrl-CS"/>
              </w:rPr>
            </w:pPr>
            <w:r w:rsidRPr="00886B95">
              <w:rPr>
                <w:color w:val="000000"/>
                <w:lang w:val="sr-Cyrl-CS"/>
              </w:rPr>
              <w:t>Ц</w:t>
            </w:r>
          </w:p>
        </w:tc>
        <w:tc>
          <w:tcPr>
            <w:tcW w:w="1535" w:type="dxa"/>
          </w:tcPr>
          <w:p w:rsidR="002F3651" w:rsidRPr="00886B95" w:rsidRDefault="002F3651" w:rsidP="00886B95">
            <w:pPr>
              <w:pStyle w:val="normal0"/>
              <w:spacing w:before="48" w:beforeAutospacing="0" w:after="48" w:afterAutospacing="0"/>
              <w:rPr>
                <w:color w:val="000000"/>
                <w:lang w:val="sr-Cyrl-CS"/>
              </w:rPr>
            </w:pPr>
            <w:r w:rsidRPr="00886B95">
              <w:rPr>
                <w:color w:val="000000"/>
                <w:lang w:val="sr-Cyrl-CS"/>
              </w:rPr>
              <w:t>Д</w:t>
            </w:r>
          </w:p>
        </w:tc>
        <w:tc>
          <w:tcPr>
            <w:tcW w:w="1536" w:type="dxa"/>
          </w:tcPr>
          <w:p w:rsidR="002F3651" w:rsidRPr="00886B95" w:rsidRDefault="002F3651" w:rsidP="00886B95">
            <w:pPr>
              <w:pStyle w:val="normal0"/>
              <w:spacing w:before="48" w:beforeAutospacing="0" w:after="48" w:afterAutospacing="0"/>
              <w:rPr>
                <w:color w:val="000000"/>
                <w:lang w:val="sr-Cyrl-CS"/>
              </w:rPr>
            </w:pPr>
            <w:r w:rsidRPr="00886B95">
              <w:rPr>
                <w:color w:val="000000"/>
                <w:lang w:val="sr-Cyrl-CS"/>
              </w:rPr>
              <w:t>укупно</w:t>
            </w:r>
          </w:p>
        </w:tc>
      </w:tr>
      <w:tr w:rsidR="007918D1" w:rsidRPr="00886B95" w:rsidTr="00886B95">
        <w:tc>
          <w:tcPr>
            <w:tcW w:w="1535" w:type="dxa"/>
          </w:tcPr>
          <w:p w:rsidR="002F3651" w:rsidRPr="00886B95" w:rsidRDefault="008B199D" w:rsidP="00886B95">
            <w:pPr>
              <w:pStyle w:val="normal0"/>
              <w:spacing w:before="48" w:beforeAutospacing="0" w:after="48" w:afterAutospacing="0"/>
              <w:rPr>
                <w:color w:val="000000"/>
                <w:lang w:val="sr-Cyrl-CS"/>
              </w:rPr>
            </w:pPr>
            <w:r w:rsidRPr="00886B95">
              <w:rPr>
                <w:color w:val="000000"/>
                <w:lang w:val="sr-Cyrl-CS"/>
              </w:rPr>
              <w:t>Опорезива добит</w:t>
            </w:r>
          </w:p>
        </w:tc>
        <w:tc>
          <w:tcPr>
            <w:tcW w:w="1535" w:type="dxa"/>
          </w:tcPr>
          <w:p w:rsidR="002F3651" w:rsidRPr="00886B95" w:rsidRDefault="007918D1" w:rsidP="00886B95">
            <w:pPr>
              <w:pStyle w:val="normal0"/>
              <w:spacing w:before="48" w:beforeAutospacing="0" w:after="48" w:afterAutospacing="0"/>
              <w:rPr>
                <w:color w:val="000000"/>
                <w:lang w:val="sr-Cyrl-CS"/>
              </w:rPr>
            </w:pPr>
            <w:r>
              <w:rPr>
                <w:color w:val="000000"/>
              </w:rPr>
              <w:t>2</w:t>
            </w:r>
            <w:r w:rsidR="007F34E2" w:rsidRPr="00886B95">
              <w:rPr>
                <w:color w:val="000000"/>
                <w:lang w:val="sr-Cyrl-CS"/>
              </w:rPr>
              <w:t>00.000</w:t>
            </w:r>
          </w:p>
        </w:tc>
        <w:tc>
          <w:tcPr>
            <w:tcW w:w="1535" w:type="dxa"/>
          </w:tcPr>
          <w:p w:rsidR="002F3651" w:rsidRPr="00886B95" w:rsidRDefault="002F3651" w:rsidP="00886B95">
            <w:pPr>
              <w:pStyle w:val="normal0"/>
              <w:spacing w:before="48" w:beforeAutospacing="0" w:after="48" w:afterAutospacing="0"/>
              <w:rPr>
                <w:color w:val="000000"/>
                <w:lang w:val="sr-Cyrl-CS"/>
              </w:rPr>
            </w:pPr>
          </w:p>
        </w:tc>
        <w:tc>
          <w:tcPr>
            <w:tcW w:w="1535" w:type="dxa"/>
          </w:tcPr>
          <w:p w:rsidR="002F3651" w:rsidRPr="00886B95" w:rsidRDefault="002F3651" w:rsidP="00886B95">
            <w:pPr>
              <w:pStyle w:val="normal0"/>
              <w:spacing w:before="48" w:beforeAutospacing="0" w:after="48" w:afterAutospacing="0"/>
              <w:rPr>
                <w:color w:val="000000"/>
                <w:lang w:val="sr-Cyrl-CS"/>
              </w:rPr>
            </w:pPr>
          </w:p>
        </w:tc>
        <w:tc>
          <w:tcPr>
            <w:tcW w:w="1535" w:type="dxa"/>
          </w:tcPr>
          <w:p w:rsidR="002F3651" w:rsidRPr="00886B95" w:rsidRDefault="007918D1" w:rsidP="00886B95">
            <w:pPr>
              <w:pStyle w:val="normal0"/>
              <w:spacing w:before="48" w:beforeAutospacing="0" w:after="48" w:afterAutospacing="0"/>
              <w:rPr>
                <w:color w:val="000000"/>
                <w:lang w:val="sr-Cyrl-CS"/>
              </w:rPr>
            </w:pPr>
            <w:r>
              <w:rPr>
                <w:color w:val="000000"/>
              </w:rPr>
              <w:t>8</w:t>
            </w:r>
            <w:r w:rsidR="000016EC" w:rsidRPr="00886B95">
              <w:rPr>
                <w:color w:val="000000"/>
                <w:lang w:val="sr-Cyrl-CS"/>
              </w:rPr>
              <w:t>0</w:t>
            </w:r>
            <w:r w:rsidR="007F34E2" w:rsidRPr="00886B95">
              <w:rPr>
                <w:color w:val="000000"/>
                <w:lang w:val="sr-Cyrl-CS"/>
              </w:rPr>
              <w:t>0.000</w:t>
            </w:r>
          </w:p>
        </w:tc>
        <w:tc>
          <w:tcPr>
            <w:tcW w:w="1536" w:type="dxa"/>
          </w:tcPr>
          <w:p w:rsidR="002F3651" w:rsidRPr="00886B95" w:rsidRDefault="007918D1" w:rsidP="00886B95">
            <w:pPr>
              <w:pStyle w:val="normal0"/>
              <w:spacing w:before="48" w:beforeAutospacing="0" w:after="48" w:afterAutospacing="0"/>
              <w:rPr>
                <w:color w:val="000000"/>
                <w:lang w:val="sr-Cyrl-CS"/>
              </w:rPr>
            </w:pPr>
            <w:r>
              <w:rPr>
                <w:color w:val="000000"/>
              </w:rPr>
              <w:t>1.0</w:t>
            </w:r>
            <w:r w:rsidR="000016EC" w:rsidRPr="00886B95">
              <w:rPr>
                <w:color w:val="000000"/>
                <w:lang w:val="sr-Cyrl-CS"/>
              </w:rPr>
              <w:t>0</w:t>
            </w:r>
            <w:r w:rsidR="007F34E2" w:rsidRPr="00886B95">
              <w:rPr>
                <w:color w:val="000000"/>
                <w:lang w:val="sr-Cyrl-CS"/>
              </w:rPr>
              <w:t>0.000</w:t>
            </w:r>
          </w:p>
        </w:tc>
      </w:tr>
      <w:tr w:rsidR="007918D1" w:rsidRPr="00886B95" w:rsidTr="00886B95">
        <w:tc>
          <w:tcPr>
            <w:tcW w:w="1535" w:type="dxa"/>
          </w:tcPr>
          <w:p w:rsidR="002F3651" w:rsidRPr="00886B95" w:rsidRDefault="008B199D" w:rsidP="00886B95">
            <w:pPr>
              <w:pStyle w:val="normal0"/>
              <w:spacing w:before="48" w:beforeAutospacing="0" w:after="48" w:afterAutospacing="0"/>
              <w:rPr>
                <w:color w:val="000000"/>
                <w:lang w:val="sr-Cyrl-CS"/>
              </w:rPr>
            </w:pPr>
            <w:r w:rsidRPr="00886B95">
              <w:rPr>
                <w:color w:val="000000"/>
                <w:lang w:val="sr-Cyrl-CS"/>
              </w:rPr>
              <w:t>Губитак у  пореском билансу</w:t>
            </w:r>
          </w:p>
        </w:tc>
        <w:tc>
          <w:tcPr>
            <w:tcW w:w="1535" w:type="dxa"/>
          </w:tcPr>
          <w:p w:rsidR="002F3651" w:rsidRPr="00886B95" w:rsidRDefault="002F3651" w:rsidP="00886B95">
            <w:pPr>
              <w:pStyle w:val="normal0"/>
              <w:spacing w:before="48" w:beforeAutospacing="0" w:after="48" w:afterAutospacing="0"/>
              <w:rPr>
                <w:color w:val="000000"/>
                <w:lang w:val="sr-Cyrl-CS"/>
              </w:rPr>
            </w:pPr>
          </w:p>
        </w:tc>
        <w:tc>
          <w:tcPr>
            <w:tcW w:w="1535" w:type="dxa"/>
          </w:tcPr>
          <w:p w:rsidR="002F3651" w:rsidRPr="00886B95" w:rsidRDefault="007918D1" w:rsidP="00886B95">
            <w:pPr>
              <w:pStyle w:val="normal0"/>
              <w:spacing w:before="48" w:beforeAutospacing="0" w:after="48" w:afterAutospacing="0"/>
              <w:rPr>
                <w:color w:val="000000"/>
                <w:lang w:val="sr-Cyrl-CS"/>
              </w:rPr>
            </w:pPr>
            <w:r>
              <w:rPr>
                <w:color w:val="000000"/>
              </w:rPr>
              <w:t>2</w:t>
            </w:r>
            <w:r w:rsidR="000016EC" w:rsidRPr="00886B95">
              <w:rPr>
                <w:color w:val="000000"/>
                <w:lang w:val="sr-Cyrl-CS"/>
              </w:rPr>
              <w:t>0</w:t>
            </w:r>
            <w:r w:rsidR="007F34E2" w:rsidRPr="00886B95">
              <w:rPr>
                <w:color w:val="000000"/>
                <w:lang w:val="sr-Cyrl-CS"/>
              </w:rPr>
              <w:t>0.000</w:t>
            </w:r>
          </w:p>
        </w:tc>
        <w:tc>
          <w:tcPr>
            <w:tcW w:w="1535" w:type="dxa"/>
          </w:tcPr>
          <w:p w:rsidR="002F3651" w:rsidRPr="00886B95" w:rsidRDefault="007918D1" w:rsidP="00886B95">
            <w:pPr>
              <w:pStyle w:val="normal0"/>
              <w:spacing w:before="48" w:beforeAutospacing="0" w:after="48" w:afterAutospacing="0"/>
              <w:rPr>
                <w:color w:val="000000"/>
                <w:lang w:val="sr-Cyrl-CS"/>
              </w:rPr>
            </w:pPr>
            <w:r>
              <w:rPr>
                <w:color w:val="000000"/>
              </w:rPr>
              <w:t>3</w:t>
            </w:r>
            <w:r w:rsidR="000016EC" w:rsidRPr="00886B95">
              <w:rPr>
                <w:color w:val="000000"/>
                <w:lang w:val="sr-Cyrl-CS"/>
              </w:rPr>
              <w:t>0</w:t>
            </w:r>
            <w:r w:rsidR="007F34E2" w:rsidRPr="00886B95">
              <w:rPr>
                <w:color w:val="000000"/>
                <w:lang w:val="sr-Cyrl-CS"/>
              </w:rPr>
              <w:t>0.000</w:t>
            </w:r>
          </w:p>
        </w:tc>
        <w:tc>
          <w:tcPr>
            <w:tcW w:w="1535" w:type="dxa"/>
          </w:tcPr>
          <w:p w:rsidR="002F3651" w:rsidRPr="00886B95" w:rsidRDefault="002F3651" w:rsidP="00886B95">
            <w:pPr>
              <w:pStyle w:val="normal0"/>
              <w:spacing w:before="48" w:beforeAutospacing="0" w:after="48" w:afterAutospacing="0"/>
              <w:rPr>
                <w:color w:val="000000"/>
                <w:lang w:val="sr-Cyrl-CS"/>
              </w:rPr>
            </w:pPr>
          </w:p>
        </w:tc>
        <w:tc>
          <w:tcPr>
            <w:tcW w:w="1536" w:type="dxa"/>
          </w:tcPr>
          <w:p w:rsidR="002F3651" w:rsidRPr="00886B95" w:rsidRDefault="007918D1" w:rsidP="00886B95">
            <w:pPr>
              <w:pStyle w:val="normal0"/>
              <w:spacing w:before="48" w:beforeAutospacing="0" w:after="48" w:afterAutospacing="0"/>
              <w:rPr>
                <w:color w:val="000000"/>
                <w:lang w:val="sr-Cyrl-CS"/>
              </w:rPr>
            </w:pPr>
            <w:r>
              <w:rPr>
                <w:color w:val="000000"/>
              </w:rPr>
              <w:t>5</w:t>
            </w:r>
            <w:r w:rsidR="000016EC" w:rsidRPr="00886B95">
              <w:rPr>
                <w:color w:val="000000"/>
                <w:lang w:val="sr-Cyrl-CS"/>
              </w:rPr>
              <w:t>0</w:t>
            </w:r>
            <w:r w:rsidR="007F34E2" w:rsidRPr="00886B95">
              <w:rPr>
                <w:color w:val="000000"/>
                <w:lang w:val="sr-Cyrl-CS"/>
              </w:rPr>
              <w:t>0.000</w:t>
            </w:r>
          </w:p>
        </w:tc>
      </w:tr>
      <w:tr w:rsidR="007918D1" w:rsidRPr="00886B95" w:rsidTr="00886B95">
        <w:tc>
          <w:tcPr>
            <w:tcW w:w="1535" w:type="dxa"/>
          </w:tcPr>
          <w:p w:rsidR="002F3651" w:rsidRPr="00886B95" w:rsidRDefault="008B199D" w:rsidP="00886B95">
            <w:pPr>
              <w:pStyle w:val="normal0"/>
              <w:spacing w:before="48" w:beforeAutospacing="0" w:after="48" w:afterAutospacing="0"/>
              <w:rPr>
                <w:color w:val="000000"/>
                <w:lang w:val="sr-Cyrl-CS"/>
              </w:rPr>
            </w:pPr>
            <w:r w:rsidRPr="00886B95">
              <w:rPr>
                <w:color w:val="000000"/>
                <w:lang w:val="sr-Cyrl-CS"/>
              </w:rPr>
              <w:t>Консолидована добит</w:t>
            </w:r>
          </w:p>
        </w:tc>
        <w:tc>
          <w:tcPr>
            <w:tcW w:w="1535" w:type="dxa"/>
          </w:tcPr>
          <w:p w:rsidR="002F3651" w:rsidRPr="00886B95" w:rsidRDefault="002F3651" w:rsidP="00886B95">
            <w:pPr>
              <w:pStyle w:val="normal0"/>
              <w:spacing w:before="48" w:beforeAutospacing="0" w:after="48" w:afterAutospacing="0"/>
              <w:rPr>
                <w:color w:val="000000"/>
                <w:lang w:val="sr-Cyrl-CS"/>
              </w:rPr>
            </w:pPr>
          </w:p>
        </w:tc>
        <w:tc>
          <w:tcPr>
            <w:tcW w:w="1535" w:type="dxa"/>
          </w:tcPr>
          <w:p w:rsidR="002F3651" w:rsidRPr="00886B95" w:rsidRDefault="002F3651" w:rsidP="00886B95">
            <w:pPr>
              <w:pStyle w:val="normal0"/>
              <w:spacing w:before="48" w:beforeAutospacing="0" w:after="48" w:afterAutospacing="0"/>
              <w:rPr>
                <w:color w:val="000000"/>
                <w:lang w:val="sr-Cyrl-CS"/>
              </w:rPr>
            </w:pPr>
          </w:p>
        </w:tc>
        <w:tc>
          <w:tcPr>
            <w:tcW w:w="1535" w:type="dxa"/>
          </w:tcPr>
          <w:p w:rsidR="002F3651" w:rsidRPr="00886B95" w:rsidRDefault="002F3651" w:rsidP="00886B95">
            <w:pPr>
              <w:pStyle w:val="normal0"/>
              <w:spacing w:before="48" w:beforeAutospacing="0" w:after="48" w:afterAutospacing="0"/>
              <w:rPr>
                <w:color w:val="000000"/>
                <w:lang w:val="sr-Cyrl-CS"/>
              </w:rPr>
            </w:pPr>
          </w:p>
        </w:tc>
        <w:tc>
          <w:tcPr>
            <w:tcW w:w="1535" w:type="dxa"/>
          </w:tcPr>
          <w:p w:rsidR="002F3651" w:rsidRPr="00886B95" w:rsidRDefault="002F3651" w:rsidP="00886B95">
            <w:pPr>
              <w:pStyle w:val="normal0"/>
              <w:spacing w:before="48" w:beforeAutospacing="0" w:after="48" w:afterAutospacing="0"/>
              <w:rPr>
                <w:color w:val="000000"/>
                <w:lang w:val="sr-Cyrl-CS"/>
              </w:rPr>
            </w:pPr>
          </w:p>
        </w:tc>
        <w:tc>
          <w:tcPr>
            <w:tcW w:w="1536" w:type="dxa"/>
          </w:tcPr>
          <w:p w:rsidR="002F3651" w:rsidRPr="00C62318" w:rsidRDefault="00C62318" w:rsidP="00886B95">
            <w:pPr>
              <w:pStyle w:val="normal0"/>
              <w:spacing w:before="48" w:beforeAutospacing="0" w:after="48" w:afterAutospacing="0"/>
              <w:rPr>
                <w:color w:val="000000"/>
                <w:lang w:val="sr-Cyrl-CS"/>
              </w:rPr>
            </w:pPr>
            <w:r>
              <w:rPr>
                <w:color w:val="000000"/>
                <w:lang w:val="sr-Cyrl-CS"/>
              </w:rPr>
              <w:t>500.000</w:t>
            </w:r>
          </w:p>
        </w:tc>
      </w:tr>
      <w:tr w:rsidR="007918D1" w:rsidRPr="00886B95" w:rsidTr="00886B95">
        <w:tc>
          <w:tcPr>
            <w:tcW w:w="1535" w:type="dxa"/>
          </w:tcPr>
          <w:p w:rsidR="002F3651" w:rsidRPr="00886B95" w:rsidRDefault="008B199D" w:rsidP="00886B95">
            <w:pPr>
              <w:pStyle w:val="normal0"/>
              <w:spacing w:before="48" w:beforeAutospacing="0" w:after="48" w:afterAutospacing="0"/>
              <w:rPr>
                <w:color w:val="000000"/>
                <w:lang w:val="sr-Cyrl-CS"/>
              </w:rPr>
            </w:pPr>
            <w:r w:rsidRPr="00886B95">
              <w:rPr>
                <w:color w:val="000000"/>
                <w:lang w:val="sr-Cyrl-CS"/>
              </w:rPr>
              <w:t>Порез по стопи од 15%</w:t>
            </w:r>
          </w:p>
        </w:tc>
        <w:tc>
          <w:tcPr>
            <w:tcW w:w="1535" w:type="dxa"/>
          </w:tcPr>
          <w:p w:rsidR="002F3651" w:rsidRPr="00886B95" w:rsidRDefault="002F3651" w:rsidP="00886B95">
            <w:pPr>
              <w:pStyle w:val="normal0"/>
              <w:spacing w:before="48" w:beforeAutospacing="0" w:after="48" w:afterAutospacing="0"/>
              <w:rPr>
                <w:color w:val="000000"/>
                <w:lang w:val="sr-Cyrl-CS"/>
              </w:rPr>
            </w:pPr>
          </w:p>
        </w:tc>
        <w:tc>
          <w:tcPr>
            <w:tcW w:w="1535" w:type="dxa"/>
          </w:tcPr>
          <w:p w:rsidR="002F3651" w:rsidRPr="00886B95" w:rsidRDefault="002F3651" w:rsidP="00886B95">
            <w:pPr>
              <w:pStyle w:val="normal0"/>
              <w:spacing w:before="48" w:beforeAutospacing="0" w:after="48" w:afterAutospacing="0"/>
              <w:rPr>
                <w:color w:val="000000"/>
                <w:lang w:val="sr-Cyrl-CS"/>
              </w:rPr>
            </w:pPr>
          </w:p>
        </w:tc>
        <w:tc>
          <w:tcPr>
            <w:tcW w:w="1535" w:type="dxa"/>
          </w:tcPr>
          <w:p w:rsidR="002F3651" w:rsidRPr="00886B95" w:rsidRDefault="002F3651" w:rsidP="00886B95">
            <w:pPr>
              <w:pStyle w:val="normal0"/>
              <w:spacing w:before="48" w:beforeAutospacing="0" w:after="48" w:afterAutospacing="0"/>
              <w:rPr>
                <w:color w:val="000000"/>
                <w:lang w:val="sr-Cyrl-CS"/>
              </w:rPr>
            </w:pPr>
          </w:p>
        </w:tc>
        <w:tc>
          <w:tcPr>
            <w:tcW w:w="1535" w:type="dxa"/>
          </w:tcPr>
          <w:p w:rsidR="002F3651" w:rsidRPr="00886B95" w:rsidRDefault="002F3651" w:rsidP="00886B95">
            <w:pPr>
              <w:pStyle w:val="normal0"/>
              <w:spacing w:before="48" w:beforeAutospacing="0" w:after="48" w:afterAutospacing="0"/>
              <w:rPr>
                <w:color w:val="000000"/>
                <w:lang w:val="sr-Cyrl-CS"/>
              </w:rPr>
            </w:pPr>
          </w:p>
        </w:tc>
        <w:tc>
          <w:tcPr>
            <w:tcW w:w="1536" w:type="dxa"/>
          </w:tcPr>
          <w:p w:rsidR="002F3651" w:rsidRPr="009C7655" w:rsidRDefault="00C62318" w:rsidP="00886B95">
            <w:pPr>
              <w:pStyle w:val="normal0"/>
              <w:spacing w:before="48" w:beforeAutospacing="0" w:after="48" w:afterAutospacing="0"/>
              <w:rPr>
                <w:color w:val="000000"/>
              </w:rPr>
            </w:pPr>
            <w:r>
              <w:rPr>
                <w:color w:val="000000"/>
                <w:lang w:val="sr-Cyrl-CS"/>
              </w:rPr>
              <w:t>7</w:t>
            </w:r>
            <w:r w:rsidR="009C7655">
              <w:rPr>
                <w:color w:val="000000"/>
              </w:rPr>
              <w:t>5.000</w:t>
            </w:r>
          </w:p>
        </w:tc>
      </w:tr>
    </w:tbl>
    <w:p w:rsidR="00474608" w:rsidRPr="002F3651" w:rsidRDefault="00474608" w:rsidP="001B7BDA">
      <w:pPr>
        <w:pStyle w:val="normal0"/>
        <w:shd w:val="clear" w:color="auto" w:fill="FFFFFF"/>
        <w:spacing w:before="48" w:beforeAutospacing="0" w:after="48" w:afterAutospacing="0"/>
        <w:rPr>
          <w:color w:val="000000"/>
          <w:lang w:val="sr-Cyrl-CS"/>
        </w:rPr>
      </w:pPr>
    </w:p>
    <w:p w:rsidR="009F6AF7" w:rsidRDefault="009F6AF7" w:rsidP="00622F6A">
      <w:pPr>
        <w:pStyle w:val="normal0"/>
        <w:shd w:val="clear" w:color="auto" w:fill="FFFFFF"/>
        <w:spacing w:before="48" w:beforeAutospacing="0" w:after="48" w:afterAutospacing="0"/>
        <w:jc w:val="both"/>
        <w:rPr>
          <w:color w:val="000000"/>
          <w:lang w:val="sr-Cyrl-CS"/>
        </w:rPr>
      </w:pPr>
      <w:bookmarkStart w:id="5" w:name="clan_56"/>
      <w:bookmarkStart w:id="6" w:name="clan_57"/>
      <w:bookmarkEnd w:id="5"/>
      <w:bookmarkEnd w:id="6"/>
    </w:p>
    <w:p w:rsidR="00B50382" w:rsidRPr="000B417D" w:rsidRDefault="00912DD6" w:rsidP="000B417D">
      <w:pPr>
        <w:ind w:firstLine="708"/>
        <w:jc w:val="both"/>
        <w:rPr>
          <w:rFonts w:ascii="Times New Roman" w:hAnsi="Times New Roman"/>
          <w:sz w:val="24"/>
          <w:szCs w:val="24"/>
          <w:lang w:val="sr-Cyrl-CS"/>
        </w:rPr>
      </w:pPr>
      <w:r w:rsidRPr="000B417D">
        <w:rPr>
          <w:rFonts w:ascii="Times New Roman" w:hAnsi="Times New Roman"/>
          <w:sz w:val="24"/>
          <w:szCs w:val="24"/>
          <w:lang w:val="sr-Cyrl-CS"/>
        </w:rPr>
        <w:t>Као што се види из претходне</w:t>
      </w:r>
      <w:r w:rsidR="009C7655" w:rsidRPr="000B417D">
        <w:rPr>
          <w:rFonts w:ascii="Times New Roman" w:hAnsi="Times New Roman"/>
          <w:sz w:val="24"/>
          <w:szCs w:val="24"/>
          <w:lang w:val="sr-Cyrl-CS"/>
        </w:rPr>
        <w:t xml:space="preserve"> табеле порез </w:t>
      </w:r>
      <w:r w:rsidR="00863E5E" w:rsidRPr="000B417D">
        <w:rPr>
          <w:rFonts w:ascii="Times New Roman" w:hAnsi="Times New Roman"/>
          <w:sz w:val="24"/>
          <w:szCs w:val="24"/>
          <w:lang w:val="sr-Cyrl-CS"/>
        </w:rPr>
        <w:t>на консолидовану добит</w:t>
      </w:r>
      <w:r w:rsidR="009C7655" w:rsidRPr="000B417D">
        <w:rPr>
          <w:rFonts w:ascii="Times New Roman" w:hAnsi="Times New Roman"/>
          <w:sz w:val="24"/>
          <w:szCs w:val="24"/>
          <w:lang w:val="sr-Cyrl-CS"/>
        </w:rPr>
        <w:t xml:space="preserve"> </w:t>
      </w:r>
      <w:r w:rsidRPr="000B417D">
        <w:rPr>
          <w:rFonts w:ascii="Times New Roman" w:hAnsi="Times New Roman"/>
          <w:sz w:val="24"/>
          <w:szCs w:val="24"/>
          <w:lang w:val="sr-Cyrl-CS"/>
        </w:rPr>
        <w:t>је утврђен за целу групу од четири преузећа</w:t>
      </w:r>
      <w:r w:rsidR="009C7655" w:rsidRPr="000B417D">
        <w:rPr>
          <w:rFonts w:ascii="Times New Roman" w:hAnsi="Times New Roman"/>
          <w:sz w:val="24"/>
          <w:szCs w:val="24"/>
          <w:lang w:val="sr-Cyrl-CS"/>
        </w:rPr>
        <w:t xml:space="preserve"> у износу од </w:t>
      </w:r>
      <w:r w:rsidR="00C62318" w:rsidRPr="000B417D">
        <w:rPr>
          <w:rFonts w:ascii="Times New Roman" w:hAnsi="Times New Roman"/>
          <w:sz w:val="24"/>
          <w:szCs w:val="24"/>
          <w:lang w:val="sr-Cyrl-CS"/>
        </w:rPr>
        <w:t>7</w:t>
      </w:r>
      <w:r w:rsidR="009C7655" w:rsidRPr="000B417D">
        <w:rPr>
          <w:rFonts w:ascii="Times New Roman" w:hAnsi="Times New Roman"/>
          <w:sz w:val="24"/>
          <w:szCs w:val="24"/>
        </w:rPr>
        <w:t>5</w:t>
      </w:r>
      <w:r w:rsidR="000016EC" w:rsidRPr="000B417D">
        <w:rPr>
          <w:rFonts w:ascii="Times New Roman" w:hAnsi="Times New Roman"/>
          <w:sz w:val="24"/>
          <w:szCs w:val="24"/>
          <w:lang w:val="sr-Cyrl-CS"/>
        </w:rPr>
        <w:t>.0</w:t>
      </w:r>
      <w:r w:rsidRPr="000B417D">
        <w:rPr>
          <w:rFonts w:ascii="Times New Roman" w:hAnsi="Times New Roman"/>
          <w:sz w:val="24"/>
          <w:szCs w:val="24"/>
          <w:lang w:val="sr-Cyrl-CS"/>
        </w:rPr>
        <w:t xml:space="preserve">00 динара. </w:t>
      </w:r>
      <w:r w:rsidR="00C62318" w:rsidRPr="000B417D">
        <w:rPr>
          <w:rFonts w:ascii="Times New Roman" w:hAnsi="Times New Roman"/>
          <w:sz w:val="24"/>
          <w:szCs w:val="24"/>
        </w:rPr>
        <w:t xml:space="preserve">Консолидована добит је </w:t>
      </w:r>
      <w:r w:rsidR="009C7655" w:rsidRPr="000B417D">
        <w:rPr>
          <w:rFonts w:ascii="Times New Roman" w:hAnsi="Times New Roman"/>
          <w:sz w:val="24"/>
          <w:szCs w:val="24"/>
        </w:rPr>
        <w:t xml:space="preserve">500.000 динара (1.000.000-500.000). </w:t>
      </w:r>
      <w:r w:rsidRPr="000B417D">
        <w:rPr>
          <w:rFonts w:ascii="Times New Roman" w:hAnsi="Times New Roman"/>
          <w:sz w:val="24"/>
          <w:szCs w:val="24"/>
          <w:lang w:val="sr-Cyrl-CS"/>
        </w:rPr>
        <w:t xml:space="preserve">Предузеће А плаћа порез </w:t>
      </w:r>
      <w:r w:rsidR="00F560AE" w:rsidRPr="000B417D">
        <w:rPr>
          <w:rFonts w:ascii="Times New Roman" w:hAnsi="Times New Roman"/>
          <w:sz w:val="24"/>
          <w:szCs w:val="24"/>
          <w:lang w:val="sr-Cyrl-CS"/>
        </w:rPr>
        <w:t xml:space="preserve">на </w:t>
      </w:r>
      <w:r w:rsidR="009C7655" w:rsidRPr="000B417D">
        <w:rPr>
          <w:rFonts w:ascii="Times New Roman" w:hAnsi="Times New Roman"/>
          <w:sz w:val="24"/>
          <w:szCs w:val="24"/>
        </w:rPr>
        <w:t>2</w:t>
      </w:r>
      <w:r w:rsidR="007918D1" w:rsidRPr="000B417D">
        <w:rPr>
          <w:rFonts w:ascii="Times New Roman" w:hAnsi="Times New Roman"/>
          <w:sz w:val="24"/>
          <w:szCs w:val="24"/>
        </w:rPr>
        <w:t>0</w:t>
      </w:r>
      <w:r w:rsidR="001F1A36" w:rsidRPr="000B417D">
        <w:rPr>
          <w:rFonts w:ascii="Times New Roman" w:hAnsi="Times New Roman"/>
          <w:sz w:val="24"/>
          <w:szCs w:val="24"/>
          <w:lang w:val="sr-Cyrl-CS"/>
        </w:rPr>
        <w:t>% консолидоване опорезиве добит</w:t>
      </w:r>
      <w:r w:rsidR="007918D1" w:rsidRPr="000B417D">
        <w:rPr>
          <w:rFonts w:ascii="Times New Roman" w:hAnsi="Times New Roman"/>
          <w:sz w:val="24"/>
          <w:szCs w:val="24"/>
          <w:lang w:val="sr-Cyrl-CS"/>
        </w:rPr>
        <w:t>и (</w:t>
      </w:r>
      <w:r w:rsidR="009C7655" w:rsidRPr="000B417D">
        <w:rPr>
          <w:rFonts w:ascii="Times New Roman" w:hAnsi="Times New Roman"/>
          <w:sz w:val="24"/>
          <w:szCs w:val="24"/>
        </w:rPr>
        <w:t>2</w:t>
      </w:r>
      <w:r w:rsidR="009C7655" w:rsidRPr="000B417D">
        <w:rPr>
          <w:rFonts w:ascii="Times New Roman" w:hAnsi="Times New Roman"/>
          <w:sz w:val="24"/>
          <w:szCs w:val="24"/>
          <w:lang w:val="sr-Cyrl-CS"/>
        </w:rPr>
        <w:t xml:space="preserve">00.000 : </w:t>
      </w:r>
      <w:r w:rsidR="009C7655" w:rsidRPr="000B417D">
        <w:rPr>
          <w:rFonts w:ascii="Times New Roman" w:hAnsi="Times New Roman"/>
          <w:sz w:val="24"/>
          <w:szCs w:val="24"/>
        </w:rPr>
        <w:t>1.0</w:t>
      </w:r>
      <w:r w:rsidR="000016EC" w:rsidRPr="000B417D">
        <w:rPr>
          <w:rFonts w:ascii="Times New Roman" w:hAnsi="Times New Roman"/>
          <w:sz w:val="24"/>
          <w:szCs w:val="24"/>
          <w:lang w:val="sr-Cyrl-CS"/>
        </w:rPr>
        <w:t>0</w:t>
      </w:r>
      <w:r w:rsidR="001F1A36" w:rsidRPr="000B417D">
        <w:rPr>
          <w:rFonts w:ascii="Times New Roman" w:hAnsi="Times New Roman"/>
          <w:sz w:val="24"/>
          <w:szCs w:val="24"/>
          <w:lang w:val="sr-Cyrl-CS"/>
        </w:rPr>
        <w:t>0.000)</w:t>
      </w:r>
      <w:r w:rsidRPr="000B417D">
        <w:rPr>
          <w:rFonts w:ascii="Times New Roman" w:hAnsi="Times New Roman"/>
          <w:sz w:val="24"/>
          <w:szCs w:val="24"/>
          <w:lang w:val="sr-Cyrl-CS"/>
        </w:rPr>
        <w:t xml:space="preserve">, а предузеће Д порез </w:t>
      </w:r>
      <w:r w:rsidR="001F1A36" w:rsidRPr="000B417D">
        <w:rPr>
          <w:rFonts w:ascii="Times New Roman" w:hAnsi="Times New Roman"/>
          <w:sz w:val="24"/>
          <w:szCs w:val="24"/>
          <w:lang w:val="sr-Cyrl-CS"/>
        </w:rPr>
        <w:t>на</w:t>
      </w:r>
      <w:r w:rsidR="00F560AE" w:rsidRPr="000B417D">
        <w:rPr>
          <w:rFonts w:ascii="Times New Roman" w:hAnsi="Times New Roman"/>
          <w:sz w:val="24"/>
          <w:szCs w:val="24"/>
          <w:lang w:val="sr-Cyrl-CS"/>
        </w:rPr>
        <w:t xml:space="preserve"> </w:t>
      </w:r>
      <w:r w:rsidR="009C7655" w:rsidRPr="000B417D">
        <w:rPr>
          <w:rFonts w:ascii="Times New Roman" w:hAnsi="Times New Roman"/>
          <w:sz w:val="24"/>
          <w:szCs w:val="24"/>
        </w:rPr>
        <w:t>80</w:t>
      </w:r>
      <w:r w:rsidR="001F1A36" w:rsidRPr="000B417D">
        <w:rPr>
          <w:rFonts w:ascii="Times New Roman" w:hAnsi="Times New Roman"/>
          <w:sz w:val="24"/>
          <w:szCs w:val="24"/>
          <w:lang w:val="sr-Cyrl-CS"/>
        </w:rPr>
        <w:t>%  (</w:t>
      </w:r>
      <w:r w:rsidR="009C7655" w:rsidRPr="000B417D">
        <w:rPr>
          <w:rFonts w:ascii="Times New Roman" w:hAnsi="Times New Roman"/>
          <w:sz w:val="24"/>
          <w:szCs w:val="24"/>
        </w:rPr>
        <w:t>8</w:t>
      </w:r>
      <w:r w:rsidR="009C7655" w:rsidRPr="000B417D">
        <w:rPr>
          <w:rFonts w:ascii="Times New Roman" w:hAnsi="Times New Roman"/>
          <w:sz w:val="24"/>
          <w:szCs w:val="24"/>
          <w:lang w:val="sr-Cyrl-CS"/>
        </w:rPr>
        <w:t xml:space="preserve">00.000 : </w:t>
      </w:r>
      <w:r w:rsidR="009C7655" w:rsidRPr="000B417D">
        <w:rPr>
          <w:rFonts w:ascii="Times New Roman" w:hAnsi="Times New Roman"/>
          <w:sz w:val="24"/>
          <w:szCs w:val="24"/>
        </w:rPr>
        <w:t>1.0</w:t>
      </w:r>
      <w:r w:rsidR="000016EC" w:rsidRPr="000B417D">
        <w:rPr>
          <w:rFonts w:ascii="Times New Roman" w:hAnsi="Times New Roman"/>
          <w:sz w:val="24"/>
          <w:szCs w:val="24"/>
          <w:lang w:val="sr-Cyrl-CS"/>
        </w:rPr>
        <w:t>0</w:t>
      </w:r>
      <w:r w:rsidR="001F1A36" w:rsidRPr="000B417D">
        <w:rPr>
          <w:rFonts w:ascii="Times New Roman" w:hAnsi="Times New Roman"/>
          <w:sz w:val="24"/>
          <w:szCs w:val="24"/>
          <w:lang w:val="sr-Cyrl-CS"/>
        </w:rPr>
        <w:t>0.000)</w:t>
      </w:r>
      <w:r w:rsidRPr="000B417D">
        <w:rPr>
          <w:rFonts w:ascii="Times New Roman" w:hAnsi="Times New Roman"/>
          <w:sz w:val="24"/>
          <w:szCs w:val="24"/>
          <w:lang w:val="sr-Cyrl-CS"/>
        </w:rPr>
        <w:t>.</w:t>
      </w:r>
      <w:r w:rsidR="009C7655" w:rsidRPr="000B417D">
        <w:rPr>
          <w:rFonts w:ascii="Times New Roman" w:hAnsi="Times New Roman"/>
          <w:sz w:val="24"/>
          <w:szCs w:val="24"/>
        </w:rPr>
        <w:t xml:space="preserve"> </w:t>
      </w:r>
      <w:r w:rsidR="001F1A36" w:rsidRPr="000B417D">
        <w:rPr>
          <w:rFonts w:ascii="Times New Roman" w:hAnsi="Times New Roman"/>
          <w:sz w:val="24"/>
          <w:szCs w:val="24"/>
          <w:lang w:val="sr-Cyrl-CS"/>
        </w:rPr>
        <w:t xml:space="preserve">Матично предузеће А ће према </w:t>
      </w:r>
      <w:r w:rsidR="000016EC" w:rsidRPr="000B417D">
        <w:rPr>
          <w:rFonts w:ascii="Times New Roman" w:hAnsi="Times New Roman"/>
          <w:sz w:val="24"/>
          <w:szCs w:val="24"/>
          <w:lang w:val="sr-Cyrl-CS"/>
        </w:rPr>
        <w:t xml:space="preserve">томе платити порез у износу од </w:t>
      </w:r>
      <w:r w:rsidR="00C62318" w:rsidRPr="000B417D">
        <w:rPr>
          <w:rFonts w:ascii="Times New Roman" w:hAnsi="Times New Roman"/>
          <w:sz w:val="24"/>
          <w:szCs w:val="24"/>
          <w:lang w:val="sr-Cyrl-CS"/>
        </w:rPr>
        <w:t>1</w:t>
      </w:r>
      <w:r w:rsidR="009C7655" w:rsidRPr="000B417D">
        <w:rPr>
          <w:rFonts w:ascii="Times New Roman" w:hAnsi="Times New Roman"/>
          <w:sz w:val="24"/>
          <w:szCs w:val="24"/>
        </w:rPr>
        <w:t>5.000</w:t>
      </w:r>
      <w:r w:rsidR="001F1A36" w:rsidRPr="000B417D">
        <w:rPr>
          <w:rFonts w:ascii="Times New Roman" w:hAnsi="Times New Roman"/>
          <w:sz w:val="24"/>
          <w:szCs w:val="24"/>
          <w:lang w:val="sr-Cyrl-CS"/>
        </w:rPr>
        <w:t xml:space="preserve"> динара, а зависно предузеће Д</w:t>
      </w:r>
      <w:r w:rsidR="000016EC" w:rsidRPr="000B417D">
        <w:rPr>
          <w:rFonts w:ascii="Times New Roman" w:hAnsi="Times New Roman"/>
          <w:sz w:val="24"/>
          <w:szCs w:val="24"/>
          <w:lang w:val="sr-Cyrl-CS"/>
        </w:rPr>
        <w:t xml:space="preserve"> ће</w:t>
      </w:r>
      <w:r w:rsidR="00C62318" w:rsidRPr="000B417D">
        <w:rPr>
          <w:rFonts w:ascii="Times New Roman" w:hAnsi="Times New Roman"/>
          <w:sz w:val="24"/>
          <w:szCs w:val="24"/>
          <w:lang w:val="sr-Cyrl-CS"/>
        </w:rPr>
        <w:t xml:space="preserve"> платити порез у износу од 6</w:t>
      </w:r>
      <w:r w:rsidR="009C7655" w:rsidRPr="000B417D">
        <w:rPr>
          <w:rFonts w:ascii="Times New Roman" w:hAnsi="Times New Roman"/>
          <w:sz w:val="24"/>
          <w:szCs w:val="24"/>
        </w:rPr>
        <w:t>0.000</w:t>
      </w:r>
      <w:r w:rsidR="001F1A36" w:rsidRPr="000B417D">
        <w:rPr>
          <w:rFonts w:ascii="Times New Roman" w:hAnsi="Times New Roman"/>
          <w:sz w:val="24"/>
          <w:szCs w:val="24"/>
          <w:lang w:val="sr-Cyrl-CS"/>
        </w:rPr>
        <w:t xml:space="preserve"> динара.</w:t>
      </w:r>
      <w:r w:rsidR="009C7655" w:rsidRPr="000B417D">
        <w:rPr>
          <w:rFonts w:ascii="Times New Roman" w:hAnsi="Times New Roman"/>
          <w:sz w:val="24"/>
          <w:szCs w:val="24"/>
        </w:rPr>
        <w:t xml:space="preserve"> </w:t>
      </w:r>
      <w:r w:rsidR="009C7655" w:rsidRPr="000B417D">
        <w:rPr>
          <w:rFonts w:ascii="Times New Roman" w:hAnsi="Times New Roman"/>
          <w:sz w:val="24"/>
          <w:szCs w:val="24"/>
          <w:lang w:val="sr-Cyrl-CS"/>
        </w:rPr>
        <w:t>Према томе</w:t>
      </w:r>
      <w:r w:rsidR="009F6AF7" w:rsidRPr="000B417D">
        <w:rPr>
          <w:rFonts w:ascii="Times New Roman" w:hAnsi="Times New Roman"/>
          <w:sz w:val="24"/>
          <w:szCs w:val="24"/>
          <w:lang w:val="sr-Cyrl-CS"/>
        </w:rPr>
        <w:t>,</w:t>
      </w:r>
      <w:r w:rsidR="009C7655" w:rsidRPr="000B417D">
        <w:rPr>
          <w:rFonts w:ascii="Times New Roman" w:hAnsi="Times New Roman"/>
          <w:sz w:val="24"/>
          <w:szCs w:val="24"/>
          <w:lang w:val="sr-Cyrl-CS"/>
        </w:rPr>
        <w:t xml:space="preserve"> дошло је до смањења пореза за предузећа А и Д, јер да није коришћена олакшица консолидације предузећа А и Б би платила порез у износу од 150.000 динара, при чему предузеће А порез у износу од </w:t>
      </w:r>
      <w:r w:rsidR="00C62318" w:rsidRPr="000B417D">
        <w:rPr>
          <w:rFonts w:ascii="Times New Roman" w:hAnsi="Times New Roman"/>
          <w:sz w:val="24"/>
          <w:szCs w:val="24"/>
          <w:lang w:val="sr-Cyrl-CS"/>
        </w:rPr>
        <w:t>30.000 динара, а предузеће Д порез у износу од 120.000 динара. Дакле, применом ове олакшице плаћено је дупло мање пореза у износу од 75.000 динара. Остварена је законита пореска евазија у износу од  50% мање плаћеног</w:t>
      </w:r>
      <w:r w:rsidR="007263BC" w:rsidRPr="000B417D">
        <w:rPr>
          <w:rFonts w:ascii="Times New Roman" w:hAnsi="Times New Roman"/>
          <w:sz w:val="24"/>
          <w:szCs w:val="24"/>
          <w:lang w:val="sr-Cyrl-CS"/>
        </w:rPr>
        <w:t xml:space="preserve"> пореза.</w:t>
      </w:r>
      <w:bookmarkStart w:id="7" w:name="clan_9"/>
      <w:bookmarkEnd w:id="7"/>
      <w:r w:rsidR="000B417D">
        <w:rPr>
          <w:rFonts w:ascii="Times New Roman" w:hAnsi="Times New Roman"/>
          <w:sz w:val="24"/>
          <w:szCs w:val="24"/>
          <w:lang w:val="sr-Cyrl-CS"/>
        </w:rPr>
        <w:t xml:space="preserve"> </w:t>
      </w:r>
    </w:p>
    <w:p w:rsidR="00622F6A" w:rsidRDefault="009F6AF7" w:rsidP="000B417D">
      <w:pPr>
        <w:jc w:val="both"/>
        <w:rPr>
          <w:rFonts w:ascii="Times New Roman" w:hAnsi="Times New Roman"/>
          <w:sz w:val="24"/>
          <w:szCs w:val="24"/>
          <w:lang w:val="sr-Cyrl-CS"/>
        </w:rPr>
      </w:pPr>
      <w:r w:rsidRPr="000B417D">
        <w:rPr>
          <w:rFonts w:ascii="Times New Roman" w:hAnsi="Times New Roman"/>
          <w:sz w:val="24"/>
          <w:szCs w:val="24"/>
          <w:lang w:val="sr-Cyrl-CS"/>
        </w:rPr>
        <w:t xml:space="preserve"> </w:t>
      </w:r>
    </w:p>
    <w:p w:rsidR="000B417D" w:rsidRDefault="000B417D" w:rsidP="000B417D">
      <w:pPr>
        <w:jc w:val="both"/>
        <w:rPr>
          <w:rFonts w:ascii="Times New Roman" w:hAnsi="Times New Roman"/>
          <w:sz w:val="24"/>
          <w:szCs w:val="24"/>
          <w:lang w:val="sr-Cyrl-CS"/>
        </w:rPr>
      </w:pPr>
    </w:p>
    <w:p w:rsidR="000B417D" w:rsidRPr="000B417D" w:rsidRDefault="000B417D" w:rsidP="000B417D">
      <w:pPr>
        <w:jc w:val="both"/>
        <w:rPr>
          <w:rFonts w:ascii="Times New Roman" w:hAnsi="Times New Roman"/>
          <w:sz w:val="24"/>
          <w:szCs w:val="24"/>
          <w:lang w:val="sr-Cyrl-CS"/>
        </w:rPr>
      </w:pPr>
    </w:p>
    <w:p w:rsidR="00592D60" w:rsidRDefault="00592D60" w:rsidP="005044EC">
      <w:pPr>
        <w:pStyle w:val="NormalWeb"/>
        <w:shd w:val="clear" w:color="auto" w:fill="FFFFFF"/>
        <w:spacing w:before="0" w:beforeAutospacing="0" w:after="0" w:afterAutospacing="0"/>
        <w:jc w:val="both"/>
        <w:rPr>
          <w:color w:val="000000"/>
          <w:lang w:val="sr-Cyrl-CS" w:eastAsia="sr-Latn-CS"/>
        </w:rPr>
      </w:pPr>
    </w:p>
    <w:p w:rsidR="005044EC" w:rsidRPr="005044EC" w:rsidRDefault="005044EC" w:rsidP="005044EC">
      <w:pPr>
        <w:pStyle w:val="NormalWeb"/>
        <w:shd w:val="clear" w:color="auto" w:fill="FFFFFF"/>
        <w:spacing w:before="0" w:beforeAutospacing="0" w:after="0" w:afterAutospacing="0"/>
        <w:jc w:val="both"/>
        <w:rPr>
          <w:color w:val="636363"/>
          <w:sz w:val="20"/>
          <w:szCs w:val="20"/>
          <w:lang w:val="sr-Cyrl-CS"/>
        </w:rPr>
      </w:pPr>
    </w:p>
    <w:p w:rsidR="00AA73A4" w:rsidRPr="00AA73A4" w:rsidRDefault="00AA73A4" w:rsidP="00AA73A4">
      <w:pPr>
        <w:shd w:val="clear" w:color="auto" w:fill="FFFFFF"/>
        <w:spacing w:after="195" w:line="300" w:lineRule="atLeast"/>
        <w:jc w:val="center"/>
        <w:textAlignment w:val="baseline"/>
        <w:rPr>
          <w:rFonts w:ascii="Times New Roman" w:hAnsi="Times New Roman"/>
          <w:b/>
          <w:color w:val="000000"/>
          <w:sz w:val="24"/>
          <w:szCs w:val="24"/>
          <w:lang w:val="sr-Cyrl-CS"/>
        </w:rPr>
      </w:pPr>
      <w:r w:rsidRPr="00AA73A4">
        <w:rPr>
          <w:rFonts w:ascii="Times New Roman" w:hAnsi="Times New Roman"/>
          <w:b/>
          <w:color w:val="000000"/>
          <w:sz w:val="24"/>
          <w:szCs w:val="24"/>
          <w:lang w:val="sr-Cyrl-CS"/>
        </w:rPr>
        <w:lastRenderedPageBreak/>
        <w:t xml:space="preserve">5.1.13. Појавни облици незаконите </w:t>
      </w:r>
      <w:r w:rsidR="00863E5E">
        <w:rPr>
          <w:rFonts w:ascii="Times New Roman" w:hAnsi="Times New Roman"/>
          <w:b/>
          <w:color w:val="000000"/>
          <w:sz w:val="24"/>
          <w:szCs w:val="24"/>
          <w:lang w:val="sr-Cyrl-CS"/>
        </w:rPr>
        <w:t>пореске евазије</w:t>
      </w:r>
      <w:r w:rsidRPr="00AA73A4">
        <w:rPr>
          <w:rFonts w:ascii="Times New Roman" w:hAnsi="Times New Roman"/>
          <w:b/>
          <w:color w:val="000000"/>
          <w:sz w:val="24"/>
          <w:szCs w:val="24"/>
          <w:lang w:val="sr-Cyrl-CS"/>
        </w:rPr>
        <w:t xml:space="preserve"> на добит правних лица</w:t>
      </w:r>
    </w:p>
    <w:p w:rsidR="00AA73A4" w:rsidRPr="00AA73A4" w:rsidRDefault="00AA73A4" w:rsidP="00AA73A4">
      <w:pPr>
        <w:shd w:val="clear" w:color="auto" w:fill="FFFFFF"/>
        <w:spacing w:after="195" w:line="300" w:lineRule="atLeast"/>
        <w:jc w:val="both"/>
        <w:textAlignment w:val="baseline"/>
        <w:rPr>
          <w:color w:val="000000"/>
          <w:sz w:val="21"/>
          <w:szCs w:val="21"/>
          <w:lang w:val="sr-Cyrl-CS"/>
        </w:rPr>
      </w:pPr>
    </w:p>
    <w:p w:rsidR="00F708EC" w:rsidRDefault="00F708EC" w:rsidP="00B826BD">
      <w:pPr>
        <w:ind w:firstLine="708"/>
        <w:jc w:val="both"/>
        <w:rPr>
          <w:rFonts w:ascii="Times New Roman" w:hAnsi="Times New Roman"/>
          <w:sz w:val="24"/>
          <w:szCs w:val="24"/>
          <w:lang w:val="sr-Cyrl-CS"/>
        </w:rPr>
      </w:pPr>
      <w:r>
        <w:rPr>
          <w:rFonts w:ascii="Times New Roman" w:hAnsi="Times New Roman"/>
          <w:sz w:val="24"/>
          <w:szCs w:val="24"/>
          <w:lang w:val="sr-Cyrl-CS"/>
        </w:rPr>
        <w:t>Незаконита пореска евазија</w:t>
      </w:r>
      <w:r w:rsidR="00456C44">
        <w:rPr>
          <w:rFonts w:ascii="Times New Roman" w:hAnsi="Times New Roman"/>
          <w:sz w:val="24"/>
          <w:szCs w:val="24"/>
          <w:lang w:val="sr-Cyrl-CS"/>
        </w:rPr>
        <w:t>, о којој ћемо говорити овде у контексту пореза на добит правних лица,</w:t>
      </w:r>
      <w:r>
        <w:rPr>
          <w:rFonts w:ascii="Times New Roman" w:hAnsi="Times New Roman"/>
          <w:sz w:val="24"/>
          <w:szCs w:val="24"/>
          <w:lang w:val="sr-Cyrl-CS"/>
        </w:rPr>
        <w:t xml:space="preserve"> обухвата поступке пореског обвезника усмерене на избегавање плаћања пореза којима се крши закон. </w:t>
      </w:r>
      <w:r w:rsidR="00456C44">
        <w:rPr>
          <w:rFonts w:ascii="Times New Roman" w:hAnsi="Times New Roman"/>
          <w:sz w:val="24"/>
          <w:szCs w:val="24"/>
          <w:lang w:val="sr-Cyrl-CS"/>
        </w:rPr>
        <w:t>Ова врста пореске евазије</w:t>
      </w:r>
      <w:r>
        <w:rPr>
          <w:rFonts w:ascii="Times New Roman" w:hAnsi="Times New Roman"/>
          <w:sz w:val="24"/>
          <w:szCs w:val="24"/>
          <w:lang w:val="sr-Cyrl-CS"/>
        </w:rPr>
        <w:t xml:space="preserve"> обухвата неплаћање пореза у потпуности (када порески обвезник у целини није пријавио остварен доходак односно имовину или прикрива своје трансакције) или делимично (давањем непотпуних или нетачних података умањује пореску обавезу).</w:t>
      </w:r>
      <w:r w:rsidR="00456C44">
        <w:rPr>
          <w:rFonts w:ascii="Times New Roman" w:hAnsi="Times New Roman"/>
          <w:sz w:val="24"/>
          <w:szCs w:val="24"/>
          <w:lang w:val="sr-Cyrl-CS"/>
        </w:rPr>
        <w:t xml:space="preserve"> </w:t>
      </w:r>
    </w:p>
    <w:p w:rsidR="000479B4" w:rsidRDefault="000479B4" w:rsidP="00B826BD">
      <w:pPr>
        <w:ind w:firstLine="708"/>
        <w:jc w:val="both"/>
        <w:rPr>
          <w:rFonts w:ascii="Times New Roman" w:hAnsi="Times New Roman"/>
          <w:sz w:val="24"/>
          <w:szCs w:val="24"/>
          <w:lang w:val="sr-Cyrl-CS"/>
        </w:rPr>
      </w:pPr>
      <w:r>
        <w:rPr>
          <w:rFonts w:ascii="Times New Roman" w:hAnsi="Times New Roman"/>
          <w:sz w:val="24"/>
          <w:szCs w:val="24"/>
          <w:lang w:val="sr-Cyrl-CS"/>
        </w:rPr>
        <w:t xml:space="preserve">Пореска обавеза настаје када се реални животни догађај може подвести под законски опис пореског чињеничног стања. Тада порески орган може утврдити </w:t>
      </w:r>
      <w:r w:rsidR="00986FE5">
        <w:rPr>
          <w:rFonts w:ascii="Times New Roman" w:hAnsi="Times New Roman"/>
          <w:sz w:val="24"/>
          <w:szCs w:val="24"/>
          <w:lang w:val="sr-Cyrl-CS"/>
        </w:rPr>
        <w:t xml:space="preserve">да ли је плаћање пореске обавезе незаконито избегнуто у потпуности или делимично. Законски опис садржи све елементе пореза на добит правних лица (пореску основицу, пореску стопу итд.). </w:t>
      </w:r>
      <w:r w:rsidR="00B826BD">
        <w:rPr>
          <w:rFonts w:ascii="Times New Roman" w:hAnsi="Times New Roman"/>
          <w:sz w:val="24"/>
          <w:szCs w:val="24"/>
          <w:lang w:val="sr-Cyrl-CS"/>
        </w:rPr>
        <w:t xml:space="preserve"> </w:t>
      </w:r>
    </w:p>
    <w:p w:rsidR="00456C44" w:rsidRPr="00B826BD" w:rsidRDefault="00456C44" w:rsidP="00B826BD">
      <w:pPr>
        <w:ind w:firstLine="708"/>
        <w:jc w:val="both"/>
        <w:rPr>
          <w:rFonts w:ascii="Times New Roman" w:hAnsi="Times New Roman"/>
          <w:color w:val="000000"/>
          <w:sz w:val="24"/>
          <w:szCs w:val="24"/>
          <w:shd w:val="clear" w:color="auto" w:fill="FFFFFF"/>
          <w:lang w:val="sr-Cyrl-CS"/>
        </w:rPr>
      </w:pPr>
      <w:r>
        <w:rPr>
          <w:rFonts w:ascii="Times New Roman" w:hAnsi="Times New Roman"/>
          <w:sz w:val="24"/>
          <w:szCs w:val="24"/>
          <w:lang w:val="sr-Cyrl-CS"/>
        </w:rPr>
        <w:t>Према томе</w:t>
      </w:r>
      <w:r w:rsidR="00B826BD">
        <w:rPr>
          <w:rFonts w:ascii="Times New Roman" w:hAnsi="Times New Roman"/>
          <w:sz w:val="24"/>
          <w:szCs w:val="24"/>
          <w:lang w:val="sr-Cyrl-CS"/>
        </w:rPr>
        <w:t>,</w:t>
      </w:r>
      <w:r>
        <w:rPr>
          <w:rFonts w:ascii="Times New Roman" w:hAnsi="Times New Roman"/>
          <w:sz w:val="24"/>
          <w:szCs w:val="24"/>
          <w:lang w:val="sr-Cyrl-CS"/>
        </w:rPr>
        <w:t xml:space="preserve"> и код овог пореског облика незаконита </w:t>
      </w:r>
      <w:r w:rsidR="008B4E0C">
        <w:rPr>
          <w:rFonts w:ascii="Times New Roman" w:hAnsi="Times New Roman"/>
          <w:sz w:val="24"/>
          <w:szCs w:val="24"/>
          <w:lang w:val="sr-Cyrl-CS"/>
        </w:rPr>
        <w:t>пореска евазија</w:t>
      </w:r>
      <w:r>
        <w:rPr>
          <w:rFonts w:ascii="Times New Roman" w:hAnsi="Times New Roman"/>
          <w:sz w:val="24"/>
          <w:szCs w:val="24"/>
          <w:lang w:val="sr-Cyrl-CS"/>
        </w:rPr>
        <w:t xml:space="preserve"> може обухватати неплаћање пореза у потпуности пропуштањем да се нешто учини, чиме се крши закон или давањем непотпуних и нетачних података у пореској пријави. Код првог облика порески обвезник није поднео пореску пријаву, док у другом случају порески обвезник подноси пореску пријаву са нетачним подацима. До умањења </w:t>
      </w:r>
      <w:r w:rsidR="000479B4">
        <w:rPr>
          <w:rFonts w:ascii="Times New Roman" w:hAnsi="Times New Roman"/>
          <w:sz w:val="24"/>
          <w:szCs w:val="24"/>
          <w:lang w:val="sr-Cyrl-CS"/>
        </w:rPr>
        <w:t xml:space="preserve">пореске основице у циљу умањења </w:t>
      </w:r>
      <w:r>
        <w:rPr>
          <w:rFonts w:ascii="Times New Roman" w:hAnsi="Times New Roman"/>
          <w:sz w:val="24"/>
          <w:szCs w:val="24"/>
          <w:lang w:val="sr-Cyrl-CS"/>
        </w:rPr>
        <w:t xml:space="preserve">опорезиве добити најчешће долази услед </w:t>
      </w:r>
      <w:r w:rsidR="00863E5E">
        <w:rPr>
          <w:rFonts w:ascii="Times New Roman" w:hAnsi="Times New Roman"/>
          <w:sz w:val="24"/>
          <w:szCs w:val="24"/>
          <w:lang w:val="sr-Cyrl-CS"/>
        </w:rPr>
        <w:t xml:space="preserve">умањења </w:t>
      </w:r>
      <w:r>
        <w:rPr>
          <w:rFonts w:ascii="Times New Roman" w:hAnsi="Times New Roman"/>
          <w:sz w:val="24"/>
          <w:szCs w:val="24"/>
          <w:lang w:val="sr-Cyrl-CS"/>
        </w:rPr>
        <w:t xml:space="preserve">прихода или </w:t>
      </w:r>
      <w:r w:rsidR="00863E5E">
        <w:rPr>
          <w:rFonts w:ascii="Times New Roman" w:hAnsi="Times New Roman"/>
          <w:sz w:val="24"/>
          <w:szCs w:val="24"/>
          <w:lang w:val="sr-Cyrl-CS"/>
        </w:rPr>
        <w:t>увећања</w:t>
      </w:r>
      <w:r>
        <w:rPr>
          <w:rFonts w:ascii="Times New Roman" w:hAnsi="Times New Roman"/>
          <w:sz w:val="24"/>
          <w:szCs w:val="24"/>
          <w:lang w:val="sr-Cyrl-CS"/>
        </w:rPr>
        <w:t xml:space="preserve"> расхода</w:t>
      </w:r>
      <w:r w:rsidR="000479B4">
        <w:rPr>
          <w:rFonts w:ascii="Times New Roman" w:hAnsi="Times New Roman"/>
          <w:sz w:val="24"/>
          <w:szCs w:val="24"/>
          <w:lang w:val="sr-Cyrl-CS"/>
        </w:rPr>
        <w:t xml:space="preserve">. </w:t>
      </w:r>
      <w:r w:rsidR="00BD4DE0" w:rsidRPr="00B826BD">
        <w:rPr>
          <w:rFonts w:ascii="Times New Roman" w:hAnsi="Times New Roman"/>
          <w:color w:val="000000"/>
          <w:sz w:val="24"/>
          <w:szCs w:val="24"/>
          <w:shd w:val="clear" w:color="auto" w:fill="FFFFFF"/>
          <w:lang w:val="sr-Cyrl-CS"/>
        </w:rPr>
        <w:t xml:space="preserve">Злоупотребе у погледу приказивања остварених прихода и расхода су повезане, када се лажним повећавањем расхода, уједно смањују </w:t>
      </w:r>
      <w:r w:rsidR="00B826BD">
        <w:rPr>
          <w:rFonts w:ascii="Times New Roman" w:hAnsi="Times New Roman"/>
          <w:color w:val="000000"/>
          <w:sz w:val="24"/>
          <w:szCs w:val="24"/>
          <w:shd w:val="clear" w:color="auto" w:fill="FFFFFF"/>
          <w:lang w:val="sr-Cyrl-CS"/>
        </w:rPr>
        <w:t>приходи</w:t>
      </w:r>
      <w:r w:rsidR="00BD4DE0" w:rsidRPr="00B826BD">
        <w:rPr>
          <w:rFonts w:ascii="Times New Roman" w:hAnsi="Times New Roman"/>
          <w:color w:val="000000"/>
          <w:sz w:val="24"/>
          <w:szCs w:val="24"/>
          <w:shd w:val="clear" w:color="auto" w:fill="FFFFFF"/>
          <w:lang w:val="sr-Cyrl-CS"/>
        </w:rPr>
        <w:t xml:space="preserve"> који су из њих проистекли.</w:t>
      </w:r>
    </w:p>
    <w:p w:rsidR="00303867" w:rsidRDefault="00986FE5" w:rsidP="00372AC0">
      <w:pPr>
        <w:ind w:firstLine="708"/>
        <w:jc w:val="both"/>
        <w:rPr>
          <w:rFonts w:ascii="Times New Roman" w:hAnsi="Times New Roman"/>
          <w:sz w:val="24"/>
          <w:szCs w:val="24"/>
          <w:lang w:val="sr-Cyrl-CS"/>
        </w:rPr>
      </w:pPr>
      <w:r>
        <w:rPr>
          <w:rFonts w:ascii="Times New Roman" w:hAnsi="Times New Roman"/>
          <w:sz w:val="24"/>
          <w:szCs w:val="24"/>
          <w:lang w:val="sr-Cyrl-CS"/>
        </w:rPr>
        <w:t xml:space="preserve">До </w:t>
      </w:r>
      <w:r w:rsidR="00837C79">
        <w:rPr>
          <w:rFonts w:ascii="Times New Roman" w:hAnsi="Times New Roman"/>
          <w:sz w:val="24"/>
          <w:szCs w:val="24"/>
          <w:lang w:val="sr-Cyrl-CS"/>
        </w:rPr>
        <w:t xml:space="preserve">смањења основице пореза на добит у циљу умањења опорезиве добити </w:t>
      </w:r>
      <w:r>
        <w:rPr>
          <w:rFonts w:ascii="Times New Roman" w:hAnsi="Times New Roman"/>
          <w:sz w:val="24"/>
          <w:szCs w:val="24"/>
          <w:lang w:val="sr-Cyrl-CS"/>
        </w:rPr>
        <w:t xml:space="preserve">може доћи на различите начине. </w:t>
      </w:r>
      <w:r w:rsidR="00B826BD">
        <w:rPr>
          <w:rFonts w:ascii="Times New Roman" w:hAnsi="Times New Roman"/>
          <w:sz w:val="24"/>
          <w:szCs w:val="24"/>
          <w:lang w:val="sr-Cyrl-CS"/>
        </w:rPr>
        <w:t xml:space="preserve"> </w:t>
      </w:r>
      <w:r>
        <w:rPr>
          <w:rFonts w:ascii="Times New Roman" w:hAnsi="Times New Roman"/>
          <w:sz w:val="24"/>
          <w:szCs w:val="24"/>
          <w:lang w:val="sr-Cyrl-CS"/>
        </w:rPr>
        <w:t>Расходи се у биласну стања предузећа увећавају на основу лажних рачуна. Овај облик избегавања плаћања пореза се релативно лако може утврдити, јер се за утврђивање опорезиве добити признају расходи у износима</w:t>
      </w:r>
      <w:r w:rsidR="00B826BD">
        <w:rPr>
          <w:rFonts w:ascii="Times New Roman" w:hAnsi="Times New Roman"/>
          <w:sz w:val="24"/>
          <w:szCs w:val="24"/>
          <w:lang w:val="sr-Cyrl-CS"/>
        </w:rPr>
        <w:t xml:space="preserve"> утврђеним билансом успеха у скла</w:t>
      </w:r>
      <w:r>
        <w:rPr>
          <w:rFonts w:ascii="Times New Roman" w:hAnsi="Times New Roman"/>
          <w:sz w:val="24"/>
          <w:szCs w:val="24"/>
          <w:lang w:val="sr-Cyrl-CS"/>
        </w:rPr>
        <w:t>ду са Међународним рачуноводственим стандардима, прописима којима се утврђује рачуноводство и одговарајућим одредбама Закона о порезу на добит правних лица, за расходе који се тим законом посебно уређују. У лажним рачунима се приказују т</w:t>
      </w:r>
      <w:r w:rsidR="00B826BD">
        <w:rPr>
          <w:rFonts w:ascii="Times New Roman" w:hAnsi="Times New Roman"/>
          <w:sz w:val="24"/>
          <w:szCs w:val="24"/>
          <w:lang w:val="sr-Cyrl-CS"/>
        </w:rPr>
        <w:t>р</w:t>
      </w:r>
      <w:r>
        <w:rPr>
          <w:rFonts w:ascii="Times New Roman" w:hAnsi="Times New Roman"/>
          <w:sz w:val="24"/>
          <w:szCs w:val="24"/>
          <w:lang w:val="sr-Cyrl-CS"/>
        </w:rPr>
        <w:t>ошкови, издаци и сл. који се у пореском билансу могу приказати као расходи предузећа, а који нису реално настали</w:t>
      </w:r>
      <w:r w:rsidR="00366EBA">
        <w:rPr>
          <w:rFonts w:ascii="Times New Roman" w:hAnsi="Times New Roman"/>
          <w:sz w:val="24"/>
          <w:szCs w:val="24"/>
          <w:lang w:val="sr-Cyrl-CS"/>
        </w:rPr>
        <w:t>.</w:t>
      </w:r>
      <w:r w:rsidR="00366EBA">
        <w:rPr>
          <w:rStyle w:val="FootnoteReference"/>
          <w:rFonts w:ascii="Times New Roman" w:hAnsi="Times New Roman"/>
          <w:sz w:val="24"/>
          <w:szCs w:val="24"/>
          <w:lang w:val="sr-Cyrl-CS"/>
        </w:rPr>
        <w:footnoteReference w:id="327"/>
      </w:r>
      <w:r w:rsidR="00372AC0">
        <w:rPr>
          <w:rFonts w:ascii="Times New Roman" w:hAnsi="Times New Roman"/>
          <w:sz w:val="24"/>
          <w:szCs w:val="24"/>
          <w:lang w:val="sr-Cyrl-CS"/>
        </w:rPr>
        <w:t xml:space="preserve">  </w:t>
      </w:r>
      <w:r w:rsidR="00372B8E">
        <w:rPr>
          <w:rFonts w:ascii="Times New Roman" w:hAnsi="Times New Roman"/>
          <w:sz w:val="24"/>
          <w:szCs w:val="24"/>
          <w:lang w:val="sr-Cyrl-CS"/>
        </w:rPr>
        <w:t>Према томе, расходи се увећавају путем лажних рачуна тако што се у истима приказују расходи који се према Међународним рачуноводственим стандардима, прописима којима се уређује рачуноводство и Закону о порезу на добит правних лица, у пореском билансу могу признати као расходи предузећа, али који нису стварно настали.</w:t>
      </w:r>
    </w:p>
    <w:p w:rsidR="00303867" w:rsidRDefault="00303867" w:rsidP="00372B8E">
      <w:pPr>
        <w:ind w:firstLine="708"/>
        <w:jc w:val="both"/>
        <w:rPr>
          <w:rFonts w:ascii="Times New Roman" w:hAnsi="Times New Roman"/>
          <w:sz w:val="24"/>
          <w:szCs w:val="24"/>
          <w:lang w:val="sr-Cyrl-CS"/>
        </w:rPr>
      </w:pPr>
      <w:r>
        <w:rPr>
          <w:rFonts w:ascii="Times New Roman" w:hAnsi="Times New Roman"/>
          <w:sz w:val="24"/>
          <w:szCs w:val="24"/>
          <w:lang w:val="sr-Cyrl-CS"/>
        </w:rPr>
        <w:t xml:space="preserve">Управо на описан начин предузеће „М.Д.“ из Лазаревца на основу лажних рачуна предузећа „С.К.“ из Лајковца, о наводно извршеним услугама (комерцијалног </w:t>
      </w:r>
      <w:r>
        <w:rPr>
          <w:rFonts w:ascii="Times New Roman" w:hAnsi="Times New Roman"/>
          <w:sz w:val="24"/>
          <w:szCs w:val="24"/>
          <w:lang w:val="sr-Cyrl-CS"/>
        </w:rPr>
        <w:lastRenderedPageBreak/>
        <w:t>посредовања, изградње штандова за поделу рекламног материјала, израде и постављања рекламних паноа, утовара, истовара и превоза робе, маркетиншких услуга и др.) у износу од 138.898.590,00 динара, неосновано је увећало расходе у билансу успеха, који се признају у пореском билансу за 117.787.590,00 динара, чиме је избегнуто плаћање пореза на добит предузећа у износу до 11.778.759,00 динара.</w:t>
      </w:r>
      <w:r w:rsidR="0062105F">
        <w:rPr>
          <w:rStyle w:val="FootnoteReference"/>
          <w:rFonts w:ascii="Times New Roman" w:hAnsi="Times New Roman"/>
          <w:sz w:val="24"/>
          <w:szCs w:val="24"/>
          <w:lang w:val="sr-Cyrl-CS"/>
        </w:rPr>
        <w:footnoteReference w:id="328"/>
      </w:r>
    </w:p>
    <w:p w:rsidR="00904B82" w:rsidRDefault="002A2229" w:rsidP="00035C4C">
      <w:pPr>
        <w:ind w:firstLine="708"/>
        <w:jc w:val="both"/>
        <w:rPr>
          <w:rFonts w:ascii="Times New Roman" w:hAnsi="Times New Roman"/>
          <w:color w:val="000000"/>
          <w:sz w:val="24"/>
          <w:szCs w:val="24"/>
          <w:shd w:val="clear" w:color="auto" w:fill="FFFFFF"/>
          <w:lang w:val="sr-Cyrl-CS"/>
        </w:rPr>
      </w:pPr>
      <w:r>
        <w:rPr>
          <w:rFonts w:ascii="Times New Roman" w:hAnsi="Times New Roman"/>
          <w:sz w:val="24"/>
          <w:szCs w:val="24"/>
          <w:lang w:val="sr-Cyrl-CS"/>
        </w:rPr>
        <w:t>Најчешће се нетачним приказивањем прихода предузећа умањује пореска основица</w:t>
      </w:r>
      <w:r w:rsidR="00C75A9C">
        <w:rPr>
          <w:rFonts w:ascii="Times New Roman" w:hAnsi="Times New Roman"/>
          <w:sz w:val="24"/>
          <w:szCs w:val="24"/>
          <w:lang w:val="sr-Cyrl-CS"/>
        </w:rPr>
        <w:t xml:space="preserve"> у циљу умањења опорезиве добити</w:t>
      </w:r>
      <w:r w:rsidR="00035C4C">
        <w:rPr>
          <w:rFonts w:ascii="Times New Roman" w:hAnsi="Times New Roman"/>
          <w:sz w:val="24"/>
          <w:szCs w:val="24"/>
          <w:lang w:val="sr-Cyrl-CS"/>
        </w:rPr>
        <w:t xml:space="preserve">. </w:t>
      </w:r>
      <w:r>
        <w:rPr>
          <w:rFonts w:ascii="Times New Roman" w:hAnsi="Times New Roman"/>
          <w:sz w:val="24"/>
          <w:szCs w:val="24"/>
          <w:lang w:val="sr-Cyrl-CS"/>
        </w:rPr>
        <w:t>Опорезива добит се може</w:t>
      </w:r>
      <w:r w:rsidR="00904B82" w:rsidRPr="0023561A">
        <w:rPr>
          <w:rFonts w:ascii="Times New Roman" w:hAnsi="Times New Roman"/>
          <w:sz w:val="24"/>
          <w:szCs w:val="24"/>
          <w:lang w:val="sr-Cyrl-CS"/>
        </w:rPr>
        <w:t xml:space="preserve"> смањити </w:t>
      </w:r>
      <w:r>
        <w:rPr>
          <w:rFonts w:ascii="Times New Roman" w:hAnsi="Times New Roman"/>
          <w:sz w:val="24"/>
          <w:szCs w:val="24"/>
          <w:lang w:val="sr-Cyrl-CS"/>
        </w:rPr>
        <w:t>на различите начине као што је не укључивање</w:t>
      </w:r>
      <w:r w:rsidR="00904B82" w:rsidRPr="0023561A">
        <w:rPr>
          <w:rFonts w:ascii="Times New Roman" w:hAnsi="Times New Roman"/>
          <w:sz w:val="24"/>
          <w:szCs w:val="24"/>
          <w:lang w:val="sr-Cyrl-CS"/>
        </w:rPr>
        <w:t xml:space="preserve"> свих фактура кој</w:t>
      </w:r>
      <w:r>
        <w:rPr>
          <w:rFonts w:ascii="Times New Roman" w:hAnsi="Times New Roman"/>
          <w:sz w:val="24"/>
          <w:szCs w:val="24"/>
          <w:lang w:val="sr-Cyrl-CS"/>
        </w:rPr>
        <w:t>е улазе у обвезникове приходе.</w:t>
      </w:r>
      <w:r w:rsidR="00904B82" w:rsidRPr="0023561A">
        <w:rPr>
          <w:rFonts w:ascii="Times New Roman" w:hAnsi="Times New Roman"/>
          <w:sz w:val="24"/>
          <w:szCs w:val="24"/>
          <w:lang w:val="sr-Cyrl-CS"/>
        </w:rPr>
        <w:t xml:space="preserve"> </w:t>
      </w:r>
      <w:r w:rsidR="00904B82" w:rsidRPr="0023561A">
        <w:rPr>
          <w:rFonts w:ascii="Times New Roman" w:hAnsi="Times New Roman"/>
          <w:color w:val="000000"/>
          <w:sz w:val="24"/>
          <w:szCs w:val="24"/>
          <w:shd w:val="clear" w:color="auto" w:fill="FFFFFF"/>
          <w:lang w:val="sr-Cyrl-CS"/>
        </w:rPr>
        <w:t xml:space="preserve">У билансу успеха се може исказати трошак резервисања и исти тај износ унети у расходну страну пореског биланса, иако није било основа да се целокупан износ резервисања укључи у порески биланс </w:t>
      </w:r>
      <w:r>
        <w:rPr>
          <w:rFonts w:ascii="Times New Roman" w:hAnsi="Times New Roman"/>
          <w:color w:val="000000"/>
          <w:sz w:val="24"/>
          <w:szCs w:val="24"/>
          <w:shd w:val="clear" w:color="auto" w:fill="FFFFFF"/>
          <w:lang w:val="sr-Cyrl-CS"/>
        </w:rPr>
        <w:t>због тога што је</w:t>
      </w:r>
      <w:r w:rsidR="00904B82" w:rsidRPr="0023561A">
        <w:rPr>
          <w:rFonts w:ascii="Times New Roman" w:hAnsi="Times New Roman"/>
          <w:color w:val="000000"/>
          <w:sz w:val="24"/>
          <w:szCs w:val="24"/>
          <w:shd w:val="clear" w:color="auto" w:fill="FFFFFF"/>
          <w:lang w:val="sr-Cyrl-CS"/>
        </w:rPr>
        <w:t xml:space="preserve"> само део извршен за трошкове инвестиционог одржавања, а остатак резервисања је могао бити унет на страну расхода у порески биланс, ко</w:t>
      </w:r>
      <w:r>
        <w:rPr>
          <w:rFonts w:ascii="Times New Roman" w:hAnsi="Times New Roman"/>
          <w:color w:val="000000"/>
          <w:sz w:val="24"/>
          <w:szCs w:val="24"/>
          <w:shd w:val="clear" w:color="auto" w:fill="FFFFFF"/>
          <w:lang w:val="sr-Cyrl-CS"/>
        </w:rPr>
        <w:t>лико износе стварни трошкови ула</w:t>
      </w:r>
      <w:r w:rsidR="00904B82" w:rsidRPr="0023561A">
        <w:rPr>
          <w:rFonts w:ascii="Times New Roman" w:hAnsi="Times New Roman"/>
          <w:color w:val="000000"/>
          <w:sz w:val="24"/>
          <w:szCs w:val="24"/>
          <w:shd w:val="clear" w:color="auto" w:fill="FFFFFF"/>
          <w:lang w:val="sr-Cyrl-CS"/>
        </w:rPr>
        <w:t>гања, па је и на овај начин неоправдано опорезива добит смањена за тај износ.</w:t>
      </w:r>
      <w:r w:rsidR="00372AC0" w:rsidRPr="0023561A">
        <w:rPr>
          <w:rFonts w:ascii="Times New Roman" w:hAnsi="Times New Roman"/>
          <w:color w:val="000000"/>
          <w:sz w:val="24"/>
          <w:szCs w:val="24"/>
          <w:shd w:val="clear" w:color="auto" w:fill="FFFFFF"/>
          <w:lang w:val="sr-Cyrl-CS"/>
        </w:rPr>
        <w:t xml:space="preserve"> </w:t>
      </w:r>
      <w:r w:rsidR="00904B82" w:rsidRPr="0023561A">
        <w:rPr>
          <w:rFonts w:ascii="Times New Roman" w:hAnsi="Times New Roman"/>
          <w:color w:val="000000"/>
          <w:sz w:val="24"/>
          <w:szCs w:val="24"/>
          <w:shd w:val="clear" w:color="auto" w:fill="FFFFFF"/>
          <w:lang w:val="sr-Cyrl-CS"/>
        </w:rPr>
        <w:t xml:space="preserve">Пореска обавеза се може умањити кроз </w:t>
      </w:r>
      <w:r w:rsidR="00904B82" w:rsidRPr="0023561A">
        <w:rPr>
          <w:rFonts w:ascii="Times New Roman" w:hAnsi="Times New Roman"/>
          <w:color w:val="000000"/>
          <w:sz w:val="24"/>
          <w:szCs w:val="24"/>
          <w:shd w:val="clear" w:color="auto" w:fill="FFFFFF"/>
        </w:rPr>
        <w:t>амортизациј</w:t>
      </w:r>
      <w:r w:rsidR="00904B82" w:rsidRPr="0023561A">
        <w:rPr>
          <w:rFonts w:ascii="Times New Roman" w:hAnsi="Times New Roman"/>
          <w:color w:val="000000"/>
          <w:sz w:val="24"/>
          <w:szCs w:val="24"/>
          <w:shd w:val="clear" w:color="auto" w:fill="FFFFFF"/>
          <w:lang w:val="sr-Cyrl-CS"/>
        </w:rPr>
        <w:t>у</w:t>
      </w:r>
      <w:r w:rsidR="00904B82" w:rsidRPr="0023561A">
        <w:rPr>
          <w:rFonts w:ascii="Times New Roman" w:hAnsi="Times New Roman"/>
          <w:color w:val="000000"/>
          <w:sz w:val="24"/>
          <w:szCs w:val="24"/>
          <w:shd w:val="clear" w:color="auto" w:fill="FFFFFF"/>
        </w:rPr>
        <w:t xml:space="preserve"> основних средстава </w:t>
      </w:r>
      <w:r w:rsidR="00904B82" w:rsidRPr="0023561A">
        <w:rPr>
          <w:rFonts w:ascii="Times New Roman" w:hAnsi="Times New Roman"/>
          <w:color w:val="000000"/>
          <w:sz w:val="24"/>
          <w:szCs w:val="24"/>
          <w:shd w:val="clear" w:color="auto" w:fill="FFFFFF"/>
          <w:lang w:val="sr-Cyrl-CS"/>
        </w:rPr>
        <w:t xml:space="preserve">која је </w:t>
      </w:r>
      <w:r w:rsidR="00372AC0" w:rsidRPr="0023561A">
        <w:rPr>
          <w:rFonts w:ascii="Times New Roman" w:hAnsi="Times New Roman"/>
          <w:color w:val="000000"/>
          <w:sz w:val="24"/>
          <w:szCs w:val="24"/>
          <w:shd w:val="clear" w:color="auto" w:fill="FFFFFF"/>
        </w:rPr>
        <w:t>извршена</w:t>
      </w:r>
      <w:r w:rsidR="00904B82" w:rsidRPr="0023561A">
        <w:rPr>
          <w:rFonts w:ascii="Times New Roman" w:hAnsi="Times New Roman"/>
          <w:color w:val="000000"/>
          <w:sz w:val="24"/>
          <w:szCs w:val="24"/>
          <w:shd w:val="clear" w:color="auto" w:fill="FFFFFF"/>
        </w:rPr>
        <w:t xml:space="preserve"> у посл</w:t>
      </w:r>
      <w:r w:rsidR="00372AC0" w:rsidRPr="0023561A">
        <w:rPr>
          <w:rFonts w:ascii="Times New Roman" w:hAnsi="Times New Roman"/>
          <w:color w:val="000000"/>
          <w:sz w:val="24"/>
          <w:szCs w:val="24"/>
          <w:shd w:val="clear" w:color="auto" w:fill="FFFFFF"/>
          <w:lang w:val="sr-Cyrl-CS"/>
        </w:rPr>
        <w:t>о</w:t>
      </w:r>
      <w:r w:rsidR="00372AC0" w:rsidRPr="0023561A">
        <w:rPr>
          <w:rFonts w:ascii="Times New Roman" w:hAnsi="Times New Roman"/>
          <w:color w:val="000000"/>
          <w:sz w:val="24"/>
          <w:szCs w:val="24"/>
          <w:shd w:val="clear" w:color="auto" w:fill="FFFFFF"/>
        </w:rPr>
        <w:t>в</w:t>
      </w:r>
      <w:r w:rsidR="00904B82" w:rsidRPr="0023561A">
        <w:rPr>
          <w:rFonts w:ascii="Times New Roman" w:hAnsi="Times New Roman"/>
          <w:color w:val="000000"/>
          <w:sz w:val="24"/>
          <w:szCs w:val="24"/>
          <w:shd w:val="clear" w:color="auto" w:fill="FFFFFF"/>
        </w:rPr>
        <w:t xml:space="preserve">ном и пореском билансу пропорционалном методом, </w:t>
      </w:r>
      <w:r w:rsidR="00372AC0" w:rsidRPr="0023561A">
        <w:rPr>
          <w:rFonts w:ascii="Times New Roman" w:hAnsi="Times New Roman"/>
          <w:color w:val="000000"/>
          <w:sz w:val="24"/>
          <w:szCs w:val="24"/>
          <w:shd w:val="clear" w:color="auto" w:fill="FFFFFF"/>
        </w:rPr>
        <w:t>уз примену стопа отписа које су</w:t>
      </w:r>
      <w:r w:rsidR="00904B82" w:rsidRPr="0023561A">
        <w:rPr>
          <w:rFonts w:ascii="Times New Roman" w:hAnsi="Times New Roman"/>
          <w:color w:val="000000"/>
          <w:sz w:val="24"/>
          <w:szCs w:val="24"/>
          <w:shd w:val="clear" w:color="auto" w:fill="FFFFFF"/>
        </w:rPr>
        <w:t xml:space="preserve"> </w:t>
      </w:r>
      <w:r w:rsidR="00904B82" w:rsidRPr="0023561A">
        <w:rPr>
          <w:rFonts w:ascii="Times New Roman" w:hAnsi="Times New Roman"/>
          <w:color w:val="000000"/>
          <w:sz w:val="24"/>
          <w:szCs w:val="24"/>
          <w:shd w:val="clear" w:color="auto" w:fill="FFFFFF"/>
          <w:lang w:val="sr-Cyrl-CS"/>
        </w:rPr>
        <w:t xml:space="preserve">више од оних које за та средства прописује Правилник о номенклатури </w:t>
      </w:r>
      <w:r w:rsidR="00372AC0" w:rsidRPr="0023561A">
        <w:rPr>
          <w:rFonts w:ascii="Times New Roman" w:hAnsi="Times New Roman"/>
          <w:color w:val="000000"/>
          <w:sz w:val="24"/>
          <w:szCs w:val="24"/>
          <w:shd w:val="clear" w:color="auto" w:fill="FFFFFF"/>
          <w:lang w:val="sr-Cyrl-CS"/>
        </w:rPr>
        <w:t>не</w:t>
      </w:r>
      <w:r w:rsidR="00904B82" w:rsidRPr="0023561A">
        <w:rPr>
          <w:rFonts w:ascii="Times New Roman" w:hAnsi="Times New Roman"/>
          <w:color w:val="000000"/>
          <w:sz w:val="24"/>
          <w:szCs w:val="24"/>
          <w:shd w:val="clear" w:color="auto" w:fill="FFFFFF"/>
          <w:lang w:val="sr-Cyrl-CS"/>
        </w:rPr>
        <w:t>материјалних улагања и основних средстава са стопама амортизације.</w:t>
      </w:r>
      <w:r w:rsidR="00372AC0" w:rsidRPr="0023561A">
        <w:rPr>
          <w:rStyle w:val="FootnoteReference"/>
          <w:rFonts w:ascii="Times New Roman" w:hAnsi="Times New Roman"/>
          <w:color w:val="000000"/>
          <w:sz w:val="24"/>
          <w:szCs w:val="24"/>
          <w:shd w:val="clear" w:color="auto" w:fill="FFFFFF"/>
          <w:lang w:val="sr-Cyrl-CS"/>
        </w:rPr>
        <w:footnoteReference w:id="329"/>
      </w:r>
      <w:r w:rsidR="00904B82" w:rsidRPr="0023561A">
        <w:rPr>
          <w:rFonts w:ascii="Times New Roman" w:hAnsi="Times New Roman"/>
          <w:color w:val="000000"/>
          <w:sz w:val="24"/>
          <w:szCs w:val="24"/>
          <w:shd w:val="clear" w:color="auto" w:fill="FFFFFF"/>
          <w:lang w:val="sr-Cyrl-CS"/>
        </w:rPr>
        <w:t xml:space="preserve"> На тај </w:t>
      </w:r>
      <w:r w:rsidR="00372AC0" w:rsidRPr="0023561A">
        <w:rPr>
          <w:rFonts w:ascii="Times New Roman" w:hAnsi="Times New Roman"/>
          <w:color w:val="000000"/>
          <w:sz w:val="24"/>
          <w:szCs w:val="24"/>
          <w:shd w:val="clear" w:color="auto" w:fill="FFFFFF"/>
          <w:lang w:val="sr-Cyrl-CS"/>
        </w:rPr>
        <w:t xml:space="preserve"> </w:t>
      </w:r>
      <w:r w:rsidR="00904B82" w:rsidRPr="0023561A">
        <w:rPr>
          <w:rFonts w:ascii="Times New Roman" w:hAnsi="Times New Roman"/>
          <w:color w:val="000000"/>
          <w:sz w:val="24"/>
          <w:szCs w:val="24"/>
          <w:shd w:val="clear" w:color="auto" w:fill="FFFFFF"/>
          <w:lang w:val="sr-Cyrl-CS"/>
        </w:rPr>
        <w:t xml:space="preserve">начин </w:t>
      </w:r>
      <w:r w:rsidR="00372AC0" w:rsidRPr="0023561A">
        <w:rPr>
          <w:rFonts w:ascii="Times New Roman" w:hAnsi="Times New Roman"/>
          <w:color w:val="000000"/>
          <w:sz w:val="24"/>
          <w:szCs w:val="24"/>
          <w:shd w:val="clear" w:color="auto" w:fill="FFFFFF"/>
          <w:lang w:val="sr-Cyrl-CS"/>
        </w:rPr>
        <w:t xml:space="preserve">је </w:t>
      </w:r>
      <w:r w:rsidR="00904B82" w:rsidRPr="0023561A">
        <w:rPr>
          <w:rFonts w:ascii="Times New Roman" w:hAnsi="Times New Roman"/>
          <w:color w:val="000000"/>
          <w:sz w:val="24"/>
          <w:szCs w:val="24"/>
          <w:shd w:val="clear" w:color="auto" w:fill="FFFFFF"/>
          <w:lang w:val="sr-Cyrl-CS"/>
        </w:rPr>
        <w:t xml:space="preserve">трошак амортизације </w:t>
      </w:r>
      <w:r w:rsidR="00372AC0" w:rsidRPr="0023561A">
        <w:rPr>
          <w:rFonts w:ascii="Times New Roman" w:hAnsi="Times New Roman"/>
          <w:color w:val="000000"/>
          <w:sz w:val="24"/>
          <w:szCs w:val="24"/>
          <w:shd w:val="clear" w:color="auto" w:fill="FFFFFF"/>
          <w:lang w:val="sr-Cyrl-CS"/>
        </w:rPr>
        <w:t xml:space="preserve">незаконито увећан </w:t>
      </w:r>
      <w:r w:rsidR="00904B82" w:rsidRPr="0023561A">
        <w:rPr>
          <w:rFonts w:ascii="Times New Roman" w:hAnsi="Times New Roman"/>
          <w:color w:val="000000"/>
          <w:sz w:val="24"/>
          <w:szCs w:val="24"/>
          <w:shd w:val="clear" w:color="auto" w:fill="FFFFFF"/>
          <w:lang w:val="sr-Cyrl-CS"/>
        </w:rPr>
        <w:t>у билансу успеха</w:t>
      </w:r>
      <w:r w:rsidR="00372AC0" w:rsidRPr="0023561A">
        <w:rPr>
          <w:rFonts w:ascii="Times New Roman" w:hAnsi="Times New Roman"/>
          <w:color w:val="000000"/>
          <w:sz w:val="24"/>
          <w:szCs w:val="24"/>
          <w:shd w:val="clear" w:color="auto" w:fill="FFFFFF"/>
          <w:lang w:val="sr-Cyrl-CS"/>
        </w:rPr>
        <w:t>,</w:t>
      </w:r>
      <w:r w:rsidR="00904B82" w:rsidRPr="0023561A">
        <w:rPr>
          <w:rFonts w:ascii="Times New Roman" w:hAnsi="Times New Roman"/>
          <w:color w:val="000000"/>
          <w:sz w:val="24"/>
          <w:szCs w:val="24"/>
          <w:shd w:val="clear" w:color="auto" w:fill="FFFFFF"/>
          <w:lang w:val="sr-Cyrl-CS"/>
        </w:rPr>
        <w:t xml:space="preserve"> а самим тим</w:t>
      </w:r>
      <w:r w:rsidR="00372AC0" w:rsidRPr="0023561A">
        <w:rPr>
          <w:rFonts w:ascii="Times New Roman" w:hAnsi="Times New Roman"/>
          <w:color w:val="000000"/>
          <w:sz w:val="24"/>
          <w:szCs w:val="24"/>
          <w:shd w:val="clear" w:color="auto" w:fill="FFFFFF"/>
          <w:lang w:val="sr-Cyrl-CS"/>
        </w:rPr>
        <w:t xml:space="preserve"> и у пореском билансу итд.</w:t>
      </w:r>
    </w:p>
    <w:p w:rsidR="00035C4C" w:rsidRPr="0023561A" w:rsidRDefault="00035C4C" w:rsidP="00035C4C">
      <w:pPr>
        <w:ind w:firstLine="708"/>
        <w:jc w:val="both"/>
        <w:rPr>
          <w:rFonts w:ascii="Times New Roman" w:hAnsi="Times New Roman"/>
          <w:sz w:val="24"/>
          <w:szCs w:val="24"/>
          <w:lang w:val="sr-Cyrl-CS"/>
        </w:rPr>
      </w:pPr>
      <w:r>
        <w:rPr>
          <w:rFonts w:ascii="Times New Roman" w:hAnsi="Times New Roman"/>
          <w:color w:val="000000"/>
          <w:sz w:val="24"/>
          <w:szCs w:val="24"/>
          <w:shd w:val="clear" w:color="auto" w:fill="FFFFFF"/>
          <w:lang w:val="sr-Cyrl-CS"/>
        </w:rPr>
        <w:t>Тако је предузеће „Т“ из Зајечара избегло плаћање пореза на добит у износу од 1.199.404,00 динара, на тај начин што капитални добитак, остварен продајом локала у власништву у износу од 11.994.047,00 динара, није укључило у опорезиву добит.</w:t>
      </w:r>
      <w:r>
        <w:rPr>
          <w:rStyle w:val="FootnoteReference"/>
          <w:rFonts w:ascii="Times New Roman" w:hAnsi="Times New Roman"/>
          <w:color w:val="000000"/>
          <w:sz w:val="24"/>
          <w:szCs w:val="24"/>
          <w:shd w:val="clear" w:color="auto" w:fill="FFFFFF"/>
          <w:lang w:val="sr-Cyrl-CS"/>
        </w:rPr>
        <w:footnoteReference w:id="330"/>
      </w:r>
    </w:p>
    <w:p w:rsidR="00073607" w:rsidRDefault="00073607" w:rsidP="00B826BD">
      <w:pPr>
        <w:ind w:firstLine="708"/>
        <w:jc w:val="both"/>
        <w:rPr>
          <w:rFonts w:ascii="Times New Roman" w:hAnsi="Times New Roman"/>
          <w:sz w:val="24"/>
          <w:szCs w:val="24"/>
          <w:lang w:val="sr-Cyrl-CS"/>
        </w:rPr>
      </w:pPr>
      <w:r>
        <w:rPr>
          <w:rFonts w:ascii="Times New Roman" w:hAnsi="Times New Roman"/>
          <w:sz w:val="24"/>
          <w:szCs w:val="24"/>
          <w:lang w:val="sr-Cyrl-CS"/>
        </w:rPr>
        <w:t>Разликовање законите од незаконите евазије је веома битно али у пракси није једноставно. Како би се утврдило у којим случајевима се ради о неприхватљивом избегавању пореза могу се на сумњиве трансакције применити следећи тестови</w:t>
      </w:r>
      <w:r w:rsidR="00B826BD">
        <w:rPr>
          <w:rFonts w:ascii="Times New Roman" w:hAnsi="Times New Roman"/>
          <w:sz w:val="24"/>
          <w:szCs w:val="24"/>
          <w:lang w:val="sr-Cyrl-CS"/>
        </w:rPr>
        <w:t>,</w:t>
      </w:r>
      <w:r>
        <w:rPr>
          <w:rStyle w:val="FootnoteReference"/>
          <w:rFonts w:ascii="Times New Roman" w:hAnsi="Times New Roman"/>
          <w:sz w:val="24"/>
          <w:szCs w:val="24"/>
          <w:lang w:val="sr-Cyrl-CS"/>
        </w:rPr>
        <w:footnoteReference w:id="331"/>
      </w:r>
      <w:r>
        <w:rPr>
          <w:rFonts w:ascii="Times New Roman" w:hAnsi="Times New Roman"/>
          <w:sz w:val="24"/>
          <w:szCs w:val="24"/>
          <w:lang w:val="sr-Cyrl-CS"/>
        </w:rPr>
        <w:t xml:space="preserve"> и то: тест намере, тест постојања елемената вештачког, тест пореске уштеде и тест постојања решења надлежног органа.</w:t>
      </w:r>
      <w:r w:rsidR="00B826BD">
        <w:rPr>
          <w:rFonts w:ascii="Times New Roman" w:hAnsi="Times New Roman"/>
          <w:sz w:val="24"/>
          <w:szCs w:val="24"/>
          <w:lang w:val="sr-Cyrl-CS"/>
        </w:rPr>
        <w:t xml:space="preserve"> </w:t>
      </w:r>
    </w:p>
    <w:p w:rsidR="0089326D" w:rsidRDefault="00D77FC5" w:rsidP="00167D7A">
      <w:pPr>
        <w:ind w:firstLine="708"/>
        <w:jc w:val="both"/>
        <w:rPr>
          <w:rFonts w:ascii="Times New Roman" w:hAnsi="Times New Roman"/>
          <w:sz w:val="24"/>
          <w:szCs w:val="24"/>
          <w:lang w:val="sr-Cyrl-CS"/>
        </w:rPr>
      </w:pPr>
      <w:r>
        <w:rPr>
          <w:rFonts w:ascii="Times New Roman" w:hAnsi="Times New Roman"/>
          <w:sz w:val="24"/>
          <w:szCs w:val="24"/>
          <w:lang w:val="sr-Cyrl-CS"/>
        </w:rPr>
        <w:t>Према тесту пореске уштеде уколико је остварена пореска уштеда она указује на постојање неплаћеног пореза.</w:t>
      </w:r>
      <w:r w:rsidR="00B826BD">
        <w:rPr>
          <w:rFonts w:ascii="Times New Roman" w:hAnsi="Times New Roman"/>
          <w:sz w:val="24"/>
          <w:szCs w:val="24"/>
          <w:lang w:val="sr-Cyrl-CS"/>
        </w:rPr>
        <w:t xml:space="preserve"> </w:t>
      </w:r>
      <w:r w:rsidR="00073607">
        <w:rPr>
          <w:rFonts w:ascii="Times New Roman" w:hAnsi="Times New Roman"/>
          <w:sz w:val="24"/>
          <w:szCs w:val="24"/>
          <w:lang w:val="sr-Cyrl-CS"/>
        </w:rPr>
        <w:t>Према критеријуму теста намере води се рачуна о објективним чињеницама које могу указати какву је намеру имао порески обвезник. Уколико је његова намера била да смањи или избегне пореску обавезу радиће се о неприхватљивој евазији. Везано за овај критеријум давали смо примере код законите евазије пореза. У погледу незаконите евазије пореза, несумњиво је да се највећи број случајева дешава као резултат свесног поступања пореских обвезника да умање ил</w:t>
      </w:r>
      <w:r w:rsidR="00A70E0C">
        <w:rPr>
          <w:rFonts w:ascii="Times New Roman" w:hAnsi="Times New Roman"/>
          <w:sz w:val="24"/>
          <w:szCs w:val="24"/>
          <w:lang w:val="sr-Cyrl-CS"/>
        </w:rPr>
        <w:t>и избегну своју пореску обавезу, али постојање законите пореске евазије не треба ограничити само на постојање намере. Д</w:t>
      </w:r>
      <w:r w:rsidR="00073607">
        <w:rPr>
          <w:rFonts w:ascii="Times New Roman" w:hAnsi="Times New Roman"/>
          <w:sz w:val="24"/>
          <w:szCs w:val="24"/>
          <w:lang w:val="sr-Cyrl-CS"/>
        </w:rPr>
        <w:t xml:space="preserve">о нетачних података у пореској пријави може </w:t>
      </w:r>
      <w:r w:rsidR="00073607">
        <w:rPr>
          <w:rFonts w:ascii="Times New Roman" w:hAnsi="Times New Roman"/>
          <w:sz w:val="24"/>
          <w:szCs w:val="24"/>
          <w:lang w:val="sr-Cyrl-CS"/>
        </w:rPr>
        <w:lastRenderedPageBreak/>
        <w:t xml:space="preserve">доћи као резултат </w:t>
      </w:r>
      <w:r w:rsidR="001E0F7C">
        <w:rPr>
          <w:rFonts w:ascii="Times New Roman" w:hAnsi="Times New Roman"/>
          <w:sz w:val="24"/>
          <w:szCs w:val="24"/>
          <w:lang w:val="sr-Cyrl-CS"/>
        </w:rPr>
        <w:t>сложености прописа који регулишу ову област и њиховог нестручног и неадекватног тумачења, а могу бити резултат грешк</w:t>
      </w:r>
      <w:r w:rsidR="00A70E0C">
        <w:rPr>
          <w:rFonts w:ascii="Times New Roman" w:hAnsi="Times New Roman"/>
          <w:sz w:val="24"/>
          <w:szCs w:val="24"/>
          <w:lang w:val="sr-Cyrl-CS"/>
        </w:rPr>
        <w:t>е</w:t>
      </w:r>
      <w:r w:rsidR="001E0F7C">
        <w:rPr>
          <w:rFonts w:ascii="Times New Roman" w:hAnsi="Times New Roman"/>
          <w:sz w:val="24"/>
          <w:szCs w:val="24"/>
          <w:lang w:val="sr-Cyrl-CS"/>
        </w:rPr>
        <w:t xml:space="preserve">. </w:t>
      </w:r>
    </w:p>
    <w:p w:rsidR="00426076" w:rsidRDefault="00167D7A" w:rsidP="00167D7A">
      <w:pPr>
        <w:ind w:firstLine="708"/>
        <w:jc w:val="both"/>
        <w:rPr>
          <w:rFonts w:ascii="Times New Roman" w:hAnsi="Times New Roman"/>
          <w:sz w:val="24"/>
          <w:szCs w:val="24"/>
          <w:lang w:val="sr-Cyrl-CS"/>
        </w:rPr>
      </w:pPr>
      <w:r>
        <w:rPr>
          <w:rFonts w:ascii="Times New Roman" w:hAnsi="Times New Roman"/>
          <w:sz w:val="24"/>
          <w:szCs w:val="24"/>
          <w:lang w:val="sr-Cyrl-CS"/>
        </w:rPr>
        <w:t>Често с</w:t>
      </w:r>
      <w:r w:rsidR="00426076">
        <w:rPr>
          <w:rFonts w:ascii="Times New Roman" w:hAnsi="Times New Roman"/>
          <w:sz w:val="24"/>
          <w:szCs w:val="24"/>
          <w:lang w:val="sr-Cyrl-CS"/>
        </w:rPr>
        <w:t xml:space="preserve">е порески обвезници неосновано позивају да се ради само о грешци у рачуноводственим евиденцијама, а не о намери да се избегне или умањи пореска обавеза. </w:t>
      </w:r>
      <w:r w:rsidR="0089326D">
        <w:rPr>
          <w:rFonts w:ascii="Times New Roman" w:hAnsi="Times New Roman"/>
          <w:sz w:val="24"/>
          <w:szCs w:val="24"/>
          <w:lang w:val="sr-Cyrl-CS"/>
        </w:rPr>
        <w:t xml:space="preserve">Оваква намера се мора утврђивати у сваком конкретном случају. </w:t>
      </w:r>
      <w:r w:rsidR="00426076">
        <w:rPr>
          <w:rFonts w:ascii="Times New Roman" w:hAnsi="Times New Roman"/>
          <w:sz w:val="24"/>
          <w:szCs w:val="24"/>
          <w:lang w:val="sr-Cyrl-CS"/>
        </w:rPr>
        <w:t>Према пресуди Општинског суда у Бору К бр. 172/06 суд је огласио кривим М.Б. јер је у намери да делимично избегне плаћање пореза на добит предузећа дао лажне податке о трошковима предузећа, који су од утицаја на утврђивање пореза, јер је у пословним књигама као трошак предузећа евидентирао утрошак лож уља</w:t>
      </w:r>
      <w:r w:rsidR="007044C4">
        <w:rPr>
          <w:rFonts w:ascii="Times New Roman" w:hAnsi="Times New Roman"/>
          <w:sz w:val="24"/>
          <w:szCs w:val="24"/>
          <w:lang w:val="sr-Cyrl-CS"/>
        </w:rPr>
        <w:t xml:space="preserve"> у укупној количини 102.411 литара,</w:t>
      </w:r>
      <w:r w:rsidR="00426076">
        <w:rPr>
          <w:rFonts w:ascii="Times New Roman" w:hAnsi="Times New Roman"/>
          <w:sz w:val="24"/>
          <w:szCs w:val="24"/>
          <w:lang w:val="sr-Cyrl-CS"/>
        </w:rPr>
        <w:t xml:space="preserve"> у вредности 3.827.099,07 динара, иако ово лож уље није утрошено за пословање предузећа и о томе не постоји веродостојна </w:t>
      </w:r>
      <w:r w:rsidR="006A2A20">
        <w:rPr>
          <w:rFonts w:ascii="Times New Roman" w:hAnsi="Times New Roman"/>
          <w:sz w:val="24"/>
          <w:szCs w:val="24"/>
          <w:lang w:val="sr-Cyrl-CS"/>
        </w:rPr>
        <w:t xml:space="preserve">рачуноводствена исправа. </w:t>
      </w:r>
      <w:r w:rsidR="007044C4">
        <w:rPr>
          <w:rFonts w:ascii="Times New Roman" w:hAnsi="Times New Roman"/>
          <w:sz w:val="24"/>
          <w:szCs w:val="24"/>
          <w:lang w:val="sr-Cyrl-CS"/>
        </w:rPr>
        <w:t>У</w:t>
      </w:r>
      <w:r w:rsidR="006A2A20">
        <w:rPr>
          <w:rFonts w:ascii="Times New Roman" w:hAnsi="Times New Roman"/>
          <w:sz w:val="24"/>
          <w:szCs w:val="24"/>
          <w:lang w:val="sr-Cyrl-CS"/>
        </w:rPr>
        <w:t xml:space="preserve"> п</w:t>
      </w:r>
      <w:r w:rsidR="007044C4">
        <w:rPr>
          <w:rFonts w:ascii="Times New Roman" w:hAnsi="Times New Roman"/>
          <w:sz w:val="24"/>
          <w:szCs w:val="24"/>
          <w:lang w:val="sr-Cyrl-CS"/>
        </w:rPr>
        <w:t xml:space="preserve">ореском билансу за 2004. годину су </w:t>
      </w:r>
      <w:r w:rsidR="006A2A20">
        <w:rPr>
          <w:rFonts w:ascii="Times New Roman" w:hAnsi="Times New Roman"/>
          <w:sz w:val="24"/>
          <w:szCs w:val="24"/>
          <w:lang w:val="sr-Cyrl-CS"/>
        </w:rPr>
        <w:t xml:space="preserve">прокњижени трошкови лож уља у износу од 3.827.099,07 динара </w:t>
      </w:r>
      <w:r w:rsidR="007044C4">
        <w:rPr>
          <w:rFonts w:ascii="Times New Roman" w:hAnsi="Times New Roman"/>
          <w:sz w:val="24"/>
          <w:szCs w:val="24"/>
          <w:lang w:val="sr-Cyrl-CS"/>
        </w:rPr>
        <w:t xml:space="preserve">и </w:t>
      </w:r>
      <w:r w:rsidR="006A2A20">
        <w:rPr>
          <w:rFonts w:ascii="Times New Roman" w:hAnsi="Times New Roman"/>
          <w:sz w:val="24"/>
          <w:szCs w:val="24"/>
          <w:lang w:val="sr-Cyrl-CS"/>
        </w:rPr>
        <w:t xml:space="preserve">исказани у оквиру расхода предузећа и на тај начин је умањен порез на добит предузећа за пословну годину </w:t>
      </w:r>
      <w:r w:rsidR="007044C4">
        <w:rPr>
          <w:rFonts w:ascii="Times New Roman" w:hAnsi="Times New Roman"/>
          <w:sz w:val="24"/>
          <w:szCs w:val="24"/>
          <w:lang w:val="sr-Cyrl-CS"/>
        </w:rPr>
        <w:t xml:space="preserve">у износу </w:t>
      </w:r>
      <w:r w:rsidR="006A2A20">
        <w:rPr>
          <w:rFonts w:ascii="Times New Roman" w:hAnsi="Times New Roman"/>
          <w:sz w:val="24"/>
          <w:szCs w:val="24"/>
          <w:lang w:val="sr-Cyrl-CS"/>
        </w:rPr>
        <w:t>од 471.881,30 динара.</w:t>
      </w:r>
      <w:r w:rsidR="006A2A20">
        <w:rPr>
          <w:rStyle w:val="FootnoteReference"/>
          <w:rFonts w:ascii="Times New Roman" w:hAnsi="Times New Roman"/>
          <w:sz w:val="24"/>
          <w:szCs w:val="24"/>
          <w:lang w:val="sr-Cyrl-CS"/>
        </w:rPr>
        <w:footnoteReference w:id="332"/>
      </w:r>
      <w:r w:rsidR="0089326D">
        <w:rPr>
          <w:rFonts w:ascii="Times New Roman" w:hAnsi="Times New Roman"/>
          <w:sz w:val="24"/>
          <w:szCs w:val="24"/>
          <w:lang w:val="sr-Cyrl-CS"/>
        </w:rPr>
        <w:t xml:space="preserve"> </w:t>
      </w:r>
    </w:p>
    <w:tbl>
      <w:tblPr>
        <w:tblW w:w="0" w:type="auto"/>
        <w:tblCellSpacing w:w="0" w:type="dxa"/>
        <w:shd w:val="clear" w:color="auto" w:fill="FFFFFF"/>
        <w:tblCellMar>
          <w:top w:w="60" w:type="dxa"/>
          <w:left w:w="60" w:type="dxa"/>
          <w:bottom w:w="60" w:type="dxa"/>
          <w:right w:w="60" w:type="dxa"/>
        </w:tblCellMar>
        <w:tblLook w:val="04A0"/>
      </w:tblPr>
      <w:tblGrid>
        <w:gridCol w:w="9191"/>
      </w:tblGrid>
      <w:tr w:rsidR="003613B4" w:rsidRPr="003613B4" w:rsidTr="003613B4">
        <w:trPr>
          <w:tblCellSpacing w:w="0" w:type="dxa"/>
        </w:trPr>
        <w:tc>
          <w:tcPr>
            <w:tcW w:w="0" w:type="auto"/>
            <w:shd w:val="clear" w:color="auto" w:fill="FFFFFF"/>
            <w:vAlign w:val="center"/>
            <w:hideMark/>
          </w:tcPr>
          <w:p w:rsidR="003613B4" w:rsidRDefault="00167D7A" w:rsidP="00167D7A">
            <w:pPr>
              <w:spacing w:before="48" w:after="48" w:line="240" w:lineRule="atLeast"/>
              <w:jc w:val="both"/>
              <w:rPr>
                <w:rFonts w:ascii="Times New Roman" w:hAnsi="Times New Roman"/>
                <w:iCs/>
                <w:color w:val="000000"/>
                <w:sz w:val="24"/>
                <w:szCs w:val="24"/>
                <w:lang w:val="sr-Cyrl-CS"/>
              </w:rPr>
            </w:pPr>
            <w:r w:rsidRPr="00167D7A">
              <w:rPr>
                <w:rFonts w:ascii="Times New Roman" w:hAnsi="Times New Roman"/>
                <w:iCs/>
                <w:color w:val="000000"/>
                <w:sz w:val="24"/>
                <w:szCs w:val="24"/>
                <w:lang w:val="sr-Cyrl-CS"/>
              </w:rPr>
              <w:t>Када</w:t>
            </w:r>
            <w:r w:rsidR="003613B4" w:rsidRPr="00167D7A">
              <w:rPr>
                <w:rFonts w:ascii="Times New Roman" w:hAnsi="Times New Roman"/>
                <w:iCs/>
                <w:color w:val="000000"/>
                <w:sz w:val="24"/>
                <w:szCs w:val="24"/>
                <w:lang w:val="sr-Cyrl-CS"/>
              </w:rPr>
              <w:t xml:space="preserve"> </w:t>
            </w:r>
            <w:r w:rsidRPr="00167D7A">
              <w:rPr>
                <w:rFonts w:ascii="Times New Roman" w:hAnsi="Times New Roman"/>
                <w:iCs/>
                <w:color w:val="000000"/>
                <w:sz w:val="24"/>
                <w:szCs w:val="24"/>
                <w:lang w:val="sr-Cyrl-CS"/>
              </w:rPr>
              <w:t>власник</w:t>
            </w:r>
            <w:r w:rsidR="003613B4" w:rsidRPr="00167D7A">
              <w:rPr>
                <w:rFonts w:ascii="Times New Roman" w:hAnsi="Times New Roman"/>
                <w:iCs/>
                <w:color w:val="000000"/>
                <w:sz w:val="24"/>
                <w:szCs w:val="24"/>
                <w:lang w:val="sr-Cyrl-CS"/>
              </w:rPr>
              <w:t xml:space="preserve"> </w:t>
            </w:r>
            <w:r w:rsidRPr="00167D7A">
              <w:rPr>
                <w:rFonts w:ascii="Times New Roman" w:hAnsi="Times New Roman"/>
                <w:iCs/>
                <w:color w:val="000000"/>
                <w:sz w:val="24"/>
                <w:szCs w:val="24"/>
                <w:lang w:val="sr-Cyrl-CS"/>
              </w:rPr>
              <w:t>приватног</w:t>
            </w:r>
            <w:r w:rsidR="003613B4" w:rsidRPr="00167D7A">
              <w:rPr>
                <w:rFonts w:ascii="Times New Roman" w:hAnsi="Times New Roman"/>
                <w:iCs/>
                <w:color w:val="000000"/>
                <w:sz w:val="24"/>
                <w:szCs w:val="24"/>
                <w:lang w:val="sr-Cyrl-CS"/>
              </w:rPr>
              <w:t xml:space="preserve"> </w:t>
            </w:r>
            <w:r w:rsidRPr="00167D7A">
              <w:rPr>
                <w:rFonts w:ascii="Times New Roman" w:hAnsi="Times New Roman"/>
                <w:iCs/>
                <w:color w:val="000000"/>
                <w:sz w:val="24"/>
                <w:szCs w:val="24"/>
                <w:lang w:val="sr-Cyrl-CS"/>
              </w:rPr>
              <w:t>предузећа</w:t>
            </w:r>
            <w:r w:rsidR="003613B4" w:rsidRPr="00167D7A">
              <w:rPr>
                <w:rFonts w:ascii="Times New Roman" w:hAnsi="Times New Roman"/>
                <w:iCs/>
                <w:color w:val="000000"/>
                <w:sz w:val="24"/>
                <w:szCs w:val="24"/>
                <w:lang w:val="sr-Cyrl-CS"/>
              </w:rPr>
              <w:t xml:space="preserve"> </w:t>
            </w:r>
            <w:r w:rsidRPr="00167D7A">
              <w:rPr>
                <w:rFonts w:ascii="Times New Roman" w:hAnsi="Times New Roman"/>
                <w:iCs/>
                <w:color w:val="000000"/>
                <w:sz w:val="24"/>
                <w:szCs w:val="24"/>
                <w:lang w:val="sr-Cyrl-CS"/>
              </w:rPr>
              <w:t>набавља</w:t>
            </w:r>
            <w:r w:rsidR="003613B4" w:rsidRPr="00167D7A">
              <w:rPr>
                <w:rFonts w:ascii="Times New Roman" w:hAnsi="Times New Roman"/>
                <w:iCs/>
                <w:color w:val="000000"/>
                <w:sz w:val="24"/>
                <w:szCs w:val="24"/>
                <w:lang w:val="sr-Cyrl-CS"/>
              </w:rPr>
              <w:t xml:space="preserve"> </w:t>
            </w:r>
            <w:r w:rsidRPr="00167D7A">
              <w:rPr>
                <w:rFonts w:ascii="Times New Roman" w:hAnsi="Times New Roman"/>
                <w:iCs/>
                <w:color w:val="000000"/>
                <w:sz w:val="24"/>
                <w:szCs w:val="24"/>
                <w:lang w:val="sr-Cyrl-CS"/>
              </w:rPr>
              <w:t>и</w:t>
            </w:r>
            <w:r w:rsidR="003613B4" w:rsidRPr="00167D7A">
              <w:rPr>
                <w:rFonts w:ascii="Times New Roman" w:hAnsi="Times New Roman"/>
                <w:iCs/>
                <w:color w:val="000000"/>
                <w:sz w:val="24"/>
                <w:szCs w:val="24"/>
                <w:lang w:val="sr-Cyrl-CS"/>
              </w:rPr>
              <w:t xml:space="preserve"> </w:t>
            </w:r>
            <w:r w:rsidRPr="00167D7A">
              <w:rPr>
                <w:rFonts w:ascii="Times New Roman" w:hAnsi="Times New Roman"/>
                <w:iCs/>
                <w:color w:val="000000"/>
                <w:sz w:val="24"/>
                <w:szCs w:val="24"/>
                <w:lang w:val="sr-Cyrl-CS"/>
              </w:rPr>
              <w:t>ставља</w:t>
            </w:r>
            <w:r w:rsidR="003613B4" w:rsidRPr="00167D7A">
              <w:rPr>
                <w:rFonts w:ascii="Times New Roman" w:hAnsi="Times New Roman"/>
                <w:iCs/>
                <w:color w:val="000000"/>
                <w:sz w:val="24"/>
                <w:szCs w:val="24"/>
                <w:lang w:val="sr-Cyrl-CS"/>
              </w:rPr>
              <w:t xml:space="preserve"> </w:t>
            </w:r>
            <w:r w:rsidRPr="00167D7A">
              <w:rPr>
                <w:rFonts w:ascii="Times New Roman" w:hAnsi="Times New Roman"/>
                <w:iCs/>
                <w:color w:val="000000"/>
                <w:sz w:val="24"/>
                <w:szCs w:val="24"/>
                <w:lang w:val="sr-Cyrl-CS"/>
              </w:rPr>
              <w:t>у</w:t>
            </w:r>
            <w:r w:rsidR="003613B4" w:rsidRPr="00167D7A">
              <w:rPr>
                <w:rFonts w:ascii="Times New Roman" w:hAnsi="Times New Roman"/>
                <w:iCs/>
                <w:color w:val="000000"/>
                <w:sz w:val="24"/>
                <w:szCs w:val="24"/>
                <w:lang w:val="sr-Cyrl-CS"/>
              </w:rPr>
              <w:t xml:space="preserve"> </w:t>
            </w:r>
            <w:r w:rsidRPr="00167D7A">
              <w:rPr>
                <w:rFonts w:ascii="Times New Roman" w:hAnsi="Times New Roman"/>
                <w:iCs/>
                <w:color w:val="000000"/>
                <w:sz w:val="24"/>
                <w:szCs w:val="24"/>
                <w:lang w:val="sr-Cyrl-CS"/>
              </w:rPr>
              <w:t>промет</w:t>
            </w:r>
            <w:r w:rsidR="003613B4" w:rsidRPr="00167D7A">
              <w:rPr>
                <w:rFonts w:ascii="Times New Roman" w:hAnsi="Times New Roman"/>
                <w:iCs/>
                <w:color w:val="000000"/>
                <w:sz w:val="24"/>
                <w:szCs w:val="24"/>
                <w:lang w:val="sr-Cyrl-CS"/>
              </w:rPr>
              <w:t xml:space="preserve"> </w:t>
            </w:r>
            <w:r w:rsidRPr="00167D7A">
              <w:rPr>
                <w:rFonts w:ascii="Times New Roman" w:hAnsi="Times New Roman"/>
                <w:iCs/>
                <w:color w:val="000000"/>
                <w:sz w:val="24"/>
                <w:szCs w:val="24"/>
                <w:lang w:val="sr-Cyrl-CS"/>
              </w:rPr>
              <w:t>разну</w:t>
            </w:r>
            <w:r w:rsidR="003613B4" w:rsidRPr="00167D7A">
              <w:rPr>
                <w:rFonts w:ascii="Times New Roman" w:hAnsi="Times New Roman"/>
                <w:iCs/>
                <w:color w:val="000000"/>
                <w:sz w:val="24"/>
                <w:szCs w:val="24"/>
                <w:lang w:val="sr-Cyrl-CS"/>
              </w:rPr>
              <w:t xml:space="preserve"> </w:t>
            </w:r>
            <w:r w:rsidRPr="00167D7A">
              <w:rPr>
                <w:rFonts w:ascii="Times New Roman" w:hAnsi="Times New Roman"/>
                <w:iCs/>
                <w:color w:val="000000"/>
                <w:sz w:val="24"/>
                <w:szCs w:val="24"/>
                <w:lang w:val="sr-Cyrl-CS"/>
              </w:rPr>
              <w:t>робу</w:t>
            </w:r>
            <w:r w:rsidR="003613B4" w:rsidRPr="00167D7A">
              <w:rPr>
                <w:rFonts w:ascii="Times New Roman" w:hAnsi="Times New Roman"/>
                <w:iCs/>
                <w:color w:val="000000"/>
                <w:sz w:val="24"/>
                <w:szCs w:val="24"/>
                <w:lang w:val="sr-Cyrl-CS"/>
              </w:rPr>
              <w:t xml:space="preserve"> </w:t>
            </w:r>
            <w:r w:rsidRPr="00167D7A">
              <w:rPr>
                <w:rFonts w:ascii="Times New Roman" w:hAnsi="Times New Roman"/>
                <w:iCs/>
                <w:color w:val="000000"/>
                <w:sz w:val="24"/>
                <w:szCs w:val="24"/>
                <w:lang w:val="sr-Cyrl-CS"/>
              </w:rPr>
              <w:t>без</w:t>
            </w:r>
            <w:r w:rsidR="003613B4" w:rsidRPr="00167D7A">
              <w:rPr>
                <w:rFonts w:ascii="Times New Roman" w:hAnsi="Times New Roman"/>
                <w:iCs/>
                <w:color w:val="000000"/>
                <w:sz w:val="24"/>
                <w:szCs w:val="24"/>
                <w:lang w:val="sr-Cyrl-CS"/>
              </w:rPr>
              <w:t xml:space="preserve"> </w:t>
            </w:r>
            <w:r w:rsidRPr="00167D7A">
              <w:rPr>
                <w:rFonts w:ascii="Times New Roman" w:hAnsi="Times New Roman"/>
                <w:iCs/>
                <w:color w:val="000000"/>
                <w:sz w:val="24"/>
                <w:szCs w:val="24"/>
                <w:lang w:val="sr-Cyrl-CS"/>
              </w:rPr>
              <w:t>пратеће</w:t>
            </w:r>
            <w:r w:rsidR="003613B4" w:rsidRPr="00167D7A">
              <w:rPr>
                <w:rFonts w:ascii="Times New Roman" w:hAnsi="Times New Roman"/>
                <w:iCs/>
                <w:color w:val="000000"/>
                <w:sz w:val="24"/>
                <w:szCs w:val="24"/>
                <w:lang w:val="sr-Cyrl-CS"/>
              </w:rPr>
              <w:t xml:space="preserve"> </w:t>
            </w:r>
            <w:r w:rsidRPr="00167D7A">
              <w:rPr>
                <w:rFonts w:ascii="Times New Roman" w:hAnsi="Times New Roman"/>
                <w:iCs/>
                <w:color w:val="000000"/>
                <w:sz w:val="24"/>
                <w:szCs w:val="24"/>
                <w:lang w:val="sr-Cyrl-CS"/>
              </w:rPr>
              <w:t>документације</w:t>
            </w:r>
            <w:r w:rsidR="003613B4" w:rsidRPr="00167D7A">
              <w:rPr>
                <w:rFonts w:ascii="Times New Roman" w:hAnsi="Times New Roman"/>
                <w:iCs/>
                <w:color w:val="000000"/>
                <w:sz w:val="24"/>
                <w:szCs w:val="24"/>
                <w:lang w:val="sr-Cyrl-CS"/>
              </w:rPr>
              <w:t xml:space="preserve"> </w:t>
            </w:r>
            <w:r w:rsidRPr="00167D7A">
              <w:rPr>
                <w:rFonts w:ascii="Times New Roman" w:hAnsi="Times New Roman"/>
                <w:iCs/>
                <w:color w:val="000000"/>
                <w:sz w:val="24"/>
                <w:szCs w:val="24"/>
                <w:lang w:val="sr-Cyrl-CS"/>
              </w:rPr>
              <w:t>и</w:t>
            </w:r>
            <w:r w:rsidR="003613B4" w:rsidRPr="00167D7A">
              <w:rPr>
                <w:rFonts w:ascii="Times New Roman" w:hAnsi="Times New Roman"/>
                <w:iCs/>
                <w:color w:val="000000"/>
                <w:sz w:val="24"/>
                <w:szCs w:val="24"/>
                <w:lang w:val="sr-Cyrl-CS"/>
              </w:rPr>
              <w:t xml:space="preserve"> </w:t>
            </w:r>
            <w:r w:rsidRPr="00167D7A">
              <w:rPr>
                <w:rFonts w:ascii="Times New Roman" w:hAnsi="Times New Roman"/>
                <w:iCs/>
                <w:color w:val="000000"/>
                <w:sz w:val="24"/>
                <w:szCs w:val="24"/>
                <w:lang w:val="sr-Cyrl-CS"/>
              </w:rPr>
              <w:t>при</w:t>
            </w:r>
            <w:r w:rsidR="003613B4" w:rsidRPr="00167D7A">
              <w:rPr>
                <w:rFonts w:ascii="Times New Roman" w:hAnsi="Times New Roman"/>
                <w:iCs/>
                <w:color w:val="000000"/>
                <w:sz w:val="24"/>
                <w:szCs w:val="24"/>
                <w:lang w:val="sr-Cyrl-CS"/>
              </w:rPr>
              <w:t xml:space="preserve"> </w:t>
            </w:r>
            <w:r w:rsidRPr="00167D7A">
              <w:rPr>
                <w:rFonts w:ascii="Times New Roman" w:hAnsi="Times New Roman"/>
                <w:iCs/>
                <w:color w:val="000000"/>
                <w:sz w:val="24"/>
                <w:szCs w:val="24"/>
                <w:lang w:val="sr-Cyrl-CS"/>
              </w:rPr>
              <w:t>том</w:t>
            </w:r>
            <w:r w:rsidR="0089326D">
              <w:rPr>
                <w:rFonts w:ascii="Times New Roman" w:hAnsi="Times New Roman"/>
                <w:iCs/>
                <w:color w:val="000000"/>
                <w:sz w:val="24"/>
                <w:szCs w:val="24"/>
                <w:lang w:val="sr-Cyrl-CS"/>
              </w:rPr>
              <w:t xml:space="preserve"> </w:t>
            </w:r>
            <w:r w:rsidRPr="00167D7A">
              <w:rPr>
                <w:rFonts w:ascii="Times New Roman" w:hAnsi="Times New Roman"/>
                <w:iCs/>
                <w:color w:val="000000"/>
                <w:sz w:val="24"/>
                <w:szCs w:val="24"/>
                <w:lang w:val="sr-Cyrl-CS"/>
              </w:rPr>
              <w:t>не</w:t>
            </w:r>
            <w:r w:rsidR="003613B4" w:rsidRPr="00167D7A">
              <w:rPr>
                <w:rFonts w:ascii="Times New Roman" w:hAnsi="Times New Roman"/>
                <w:iCs/>
                <w:color w:val="000000"/>
                <w:sz w:val="24"/>
                <w:szCs w:val="24"/>
                <w:lang w:val="sr-Cyrl-CS"/>
              </w:rPr>
              <w:t xml:space="preserve"> </w:t>
            </w:r>
            <w:r w:rsidRPr="00167D7A">
              <w:rPr>
                <w:rFonts w:ascii="Times New Roman" w:hAnsi="Times New Roman"/>
                <w:iCs/>
                <w:color w:val="000000"/>
                <w:sz w:val="24"/>
                <w:szCs w:val="24"/>
                <w:lang w:val="sr-Cyrl-CS"/>
              </w:rPr>
              <w:t>обрачунава</w:t>
            </w:r>
            <w:r w:rsidR="003613B4" w:rsidRPr="00167D7A">
              <w:rPr>
                <w:rFonts w:ascii="Times New Roman" w:hAnsi="Times New Roman"/>
                <w:iCs/>
                <w:color w:val="000000"/>
                <w:sz w:val="24"/>
                <w:szCs w:val="24"/>
                <w:lang w:val="sr-Cyrl-CS"/>
              </w:rPr>
              <w:t xml:space="preserve"> </w:t>
            </w:r>
            <w:r w:rsidRPr="00167D7A">
              <w:rPr>
                <w:rFonts w:ascii="Times New Roman" w:hAnsi="Times New Roman"/>
                <w:iCs/>
                <w:color w:val="000000"/>
                <w:sz w:val="24"/>
                <w:szCs w:val="24"/>
                <w:lang w:val="sr-Cyrl-CS"/>
              </w:rPr>
              <w:t>или</w:t>
            </w:r>
            <w:r w:rsidR="003613B4" w:rsidRPr="00167D7A">
              <w:rPr>
                <w:rFonts w:ascii="Times New Roman" w:hAnsi="Times New Roman"/>
                <w:iCs/>
                <w:color w:val="000000"/>
                <w:sz w:val="24"/>
                <w:szCs w:val="24"/>
                <w:lang w:val="sr-Cyrl-CS"/>
              </w:rPr>
              <w:t xml:space="preserve"> </w:t>
            </w:r>
            <w:r w:rsidRPr="00167D7A">
              <w:rPr>
                <w:rFonts w:ascii="Times New Roman" w:hAnsi="Times New Roman"/>
                <w:iCs/>
                <w:color w:val="000000"/>
                <w:sz w:val="24"/>
                <w:szCs w:val="24"/>
                <w:lang w:val="sr-Cyrl-CS"/>
              </w:rPr>
              <w:t>не</w:t>
            </w:r>
            <w:r w:rsidR="003613B4" w:rsidRPr="00167D7A">
              <w:rPr>
                <w:rFonts w:ascii="Times New Roman" w:hAnsi="Times New Roman"/>
                <w:iCs/>
                <w:color w:val="000000"/>
                <w:sz w:val="24"/>
                <w:szCs w:val="24"/>
                <w:lang w:val="sr-Cyrl-CS"/>
              </w:rPr>
              <w:t xml:space="preserve"> </w:t>
            </w:r>
            <w:r w:rsidRPr="00167D7A">
              <w:rPr>
                <w:rFonts w:ascii="Times New Roman" w:hAnsi="Times New Roman"/>
                <w:iCs/>
                <w:color w:val="000000"/>
                <w:sz w:val="24"/>
                <w:szCs w:val="24"/>
                <w:lang w:val="sr-Cyrl-CS"/>
              </w:rPr>
              <w:t>уплаћује</w:t>
            </w:r>
            <w:r w:rsidR="003613B4" w:rsidRPr="00167D7A">
              <w:rPr>
                <w:rFonts w:ascii="Times New Roman" w:hAnsi="Times New Roman"/>
                <w:iCs/>
                <w:color w:val="000000"/>
                <w:sz w:val="24"/>
                <w:szCs w:val="24"/>
                <w:lang w:val="sr-Cyrl-CS"/>
              </w:rPr>
              <w:t xml:space="preserve"> </w:t>
            </w:r>
            <w:r w:rsidRPr="00167D7A">
              <w:rPr>
                <w:rFonts w:ascii="Times New Roman" w:hAnsi="Times New Roman"/>
                <w:iCs/>
                <w:color w:val="000000"/>
                <w:sz w:val="24"/>
                <w:szCs w:val="24"/>
                <w:lang w:val="sr-Cyrl-CS"/>
              </w:rPr>
              <w:t>порез</w:t>
            </w:r>
            <w:r w:rsidR="003613B4" w:rsidRPr="00167D7A">
              <w:rPr>
                <w:rFonts w:ascii="Times New Roman" w:hAnsi="Times New Roman"/>
                <w:iCs/>
                <w:color w:val="000000"/>
                <w:sz w:val="24"/>
                <w:szCs w:val="24"/>
                <w:lang w:val="sr-Cyrl-CS"/>
              </w:rPr>
              <w:t xml:space="preserve"> </w:t>
            </w:r>
            <w:r w:rsidRPr="00167D7A">
              <w:rPr>
                <w:rFonts w:ascii="Times New Roman" w:hAnsi="Times New Roman"/>
                <w:iCs/>
                <w:color w:val="000000"/>
                <w:sz w:val="24"/>
                <w:szCs w:val="24"/>
                <w:lang w:val="sr-Cyrl-CS"/>
              </w:rPr>
              <w:t>на</w:t>
            </w:r>
            <w:r w:rsidR="003613B4" w:rsidRPr="00167D7A">
              <w:rPr>
                <w:rFonts w:ascii="Times New Roman" w:hAnsi="Times New Roman"/>
                <w:iCs/>
                <w:color w:val="000000"/>
                <w:sz w:val="24"/>
                <w:szCs w:val="24"/>
                <w:lang w:val="sr-Cyrl-CS"/>
              </w:rPr>
              <w:t xml:space="preserve"> </w:t>
            </w:r>
            <w:r w:rsidRPr="00167D7A">
              <w:rPr>
                <w:rFonts w:ascii="Times New Roman" w:hAnsi="Times New Roman"/>
                <w:iCs/>
                <w:color w:val="000000"/>
                <w:sz w:val="24"/>
                <w:szCs w:val="24"/>
                <w:lang w:val="sr-Cyrl-CS"/>
              </w:rPr>
              <w:t>промет</w:t>
            </w:r>
            <w:r w:rsidR="003613B4" w:rsidRPr="00167D7A">
              <w:rPr>
                <w:rFonts w:ascii="Times New Roman" w:hAnsi="Times New Roman"/>
                <w:iCs/>
                <w:color w:val="000000"/>
                <w:sz w:val="24"/>
                <w:szCs w:val="24"/>
                <w:lang w:val="sr-Cyrl-CS"/>
              </w:rPr>
              <w:t xml:space="preserve">, </w:t>
            </w:r>
            <w:r w:rsidRPr="00167D7A">
              <w:rPr>
                <w:rFonts w:ascii="Times New Roman" w:hAnsi="Times New Roman"/>
                <w:iCs/>
                <w:color w:val="000000"/>
                <w:sz w:val="24"/>
                <w:szCs w:val="24"/>
                <w:lang w:val="sr-Cyrl-CS"/>
              </w:rPr>
              <w:t>када</w:t>
            </w:r>
            <w:r w:rsidR="003613B4" w:rsidRPr="00167D7A">
              <w:rPr>
                <w:rFonts w:ascii="Times New Roman" w:hAnsi="Times New Roman"/>
                <w:iCs/>
                <w:color w:val="000000"/>
                <w:sz w:val="24"/>
                <w:szCs w:val="24"/>
                <w:lang w:val="sr-Cyrl-CS"/>
              </w:rPr>
              <w:t xml:space="preserve"> </w:t>
            </w:r>
            <w:r w:rsidRPr="00167D7A">
              <w:rPr>
                <w:rFonts w:ascii="Times New Roman" w:hAnsi="Times New Roman"/>
                <w:iCs/>
                <w:color w:val="000000"/>
                <w:sz w:val="24"/>
                <w:szCs w:val="24"/>
                <w:lang w:val="sr-Cyrl-CS"/>
              </w:rPr>
              <w:t>је</w:t>
            </w:r>
            <w:r w:rsidR="003613B4" w:rsidRPr="00167D7A">
              <w:rPr>
                <w:rFonts w:ascii="Times New Roman" w:hAnsi="Times New Roman"/>
                <w:iCs/>
                <w:color w:val="000000"/>
                <w:sz w:val="24"/>
                <w:szCs w:val="24"/>
                <w:lang w:val="sr-Cyrl-CS"/>
              </w:rPr>
              <w:t xml:space="preserve"> </w:t>
            </w:r>
            <w:r w:rsidRPr="00167D7A">
              <w:rPr>
                <w:rFonts w:ascii="Times New Roman" w:hAnsi="Times New Roman"/>
                <w:iCs/>
                <w:color w:val="000000"/>
                <w:sz w:val="24"/>
                <w:szCs w:val="24"/>
                <w:lang w:val="sr-Cyrl-CS"/>
              </w:rPr>
              <w:t>то</w:t>
            </w:r>
            <w:r w:rsidR="003613B4" w:rsidRPr="00167D7A">
              <w:rPr>
                <w:rFonts w:ascii="Times New Roman" w:hAnsi="Times New Roman"/>
                <w:iCs/>
                <w:color w:val="000000"/>
                <w:sz w:val="24"/>
                <w:szCs w:val="24"/>
                <w:lang w:val="sr-Cyrl-CS"/>
              </w:rPr>
              <w:t xml:space="preserve"> </w:t>
            </w:r>
            <w:r w:rsidRPr="00167D7A">
              <w:rPr>
                <w:rFonts w:ascii="Times New Roman" w:hAnsi="Times New Roman"/>
                <w:iCs/>
                <w:color w:val="000000"/>
                <w:sz w:val="24"/>
                <w:szCs w:val="24"/>
                <w:lang w:val="sr-Cyrl-CS"/>
              </w:rPr>
              <w:t>учињено</w:t>
            </w:r>
            <w:r w:rsidR="003613B4" w:rsidRPr="00167D7A">
              <w:rPr>
                <w:rFonts w:ascii="Times New Roman" w:hAnsi="Times New Roman"/>
                <w:iCs/>
                <w:color w:val="000000"/>
                <w:sz w:val="24"/>
                <w:szCs w:val="24"/>
                <w:lang w:val="sr-Cyrl-CS"/>
              </w:rPr>
              <w:t xml:space="preserve"> </w:t>
            </w:r>
            <w:r w:rsidRPr="00167D7A">
              <w:rPr>
                <w:rFonts w:ascii="Times New Roman" w:hAnsi="Times New Roman"/>
                <w:iCs/>
                <w:color w:val="000000"/>
                <w:sz w:val="24"/>
                <w:szCs w:val="24"/>
                <w:lang w:val="sr-Cyrl-CS"/>
              </w:rPr>
              <w:t>у</w:t>
            </w:r>
            <w:r w:rsidR="003613B4" w:rsidRPr="00167D7A">
              <w:rPr>
                <w:rFonts w:ascii="Times New Roman" w:hAnsi="Times New Roman"/>
                <w:iCs/>
                <w:color w:val="000000"/>
                <w:sz w:val="24"/>
                <w:szCs w:val="24"/>
                <w:lang w:val="sr-Cyrl-CS"/>
              </w:rPr>
              <w:t xml:space="preserve"> </w:t>
            </w:r>
            <w:r w:rsidRPr="00167D7A">
              <w:rPr>
                <w:rFonts w:ascii="Times New Roman" w:hAnsi="Times New Roman"/>
                <w:iCs/>
                <w:color w:val="000000"/>
                <w:sz w:val="24"/>
                <w:szCs w:val="24"/>
                <w:lang w:val="sr-Cyrl-CS"/>
              </w:rPr>
              <w:t>намери</w:t>
            </w:r>
            <w:r w:rsidR="003613B4" w:rsidRPr="00167D7A">
              <w:rPr>
                <w:rFonts w:ascii="Times New Roman" w:hAnsi="Times New Roman"/>
                <w:iCs/>
                <w:color w:val="000000"/>
                <w:sz w:val="24"/>
                <w:szCs w:val="24"/>
                <w:lang w:val="sr-Cyrl-CS"/>
              </w:rPr>
              <w:t xml:space="preserve"> </w:t>
            </w:r>
            <w:r w:rsidRPr="00167D7A">
              <w:rPr>
                <w:rFonts w:ascii="Times New Roman" w:hAnsi="Times New Roman"/>
                <w:iCs/>
                <w:color w:val="000000"/>
                <w:sz w:val="24"/>
                <w:szCs w:val="24"/>
                <w:lang w:val="sr-Cyrl-CS"/>
              </w:rPr>
              <w:t>избегавања</w:t>
            </w:r>
            <w:r w:rsidR="003613B4" w:rsidRPr="00167D7A">
              <w:rPr>
                <w:rFonts w:ascii="Times New Roman" w:hAnsi="Times New Roman"/>
                <w:iCs/>
                <w:color w:val="000000"/>
                <w:sz w:val="24"/>
                <w:szCs w:val="24"/>
                <w:lang w:val="sr-Cyrl-CS"/>
              </w:rPr>
              <w:t xml:space="preserve"> </w:t>
            </w:r>
            <w:r w:rsidRPr="00167D7A">
              <w:rPr>
                <w:rFonts w:ascii="Times New Roman" w:hAnsi="Times New Roman"/>
                <w:iCs/>
                <w:color w:val="000000"/>
                <w:sz w:val="24"/>
                <w:szCs w:val="24"/>
                <w:lang w:val="sr-Cyrl-CS"/>
              </w:rPr>
              <w:t>плаћања</w:t>
            </w:r>
            <w:r w:rsidR="003613B4" w:rsidRPr="00167D7A">
              <w:rPr>
                <w:rFonts w:ascii="Times New Roman" w:hAnsi="Times New Roman"/>
                <w:iCs/>
                <w:color w:val="000000"/>
                <w:sz w:val="24"/>
                <w:szCs w:val="24"/>
                <w:lang w:val="sr-Cyrl-CS"/>
              </w:rPr>
              <w:t xml:space="preserve"> </w:t>
            </w:r>
            <w:r w:rsidRPr="00167D7A">
              <w:rPr>
                <w:rFonts w:ascii="Times New Roman" w:hAnsi="Times New Roman"/>
                <w:iCs/>
                <w:color w:val="000000"/>
                <w:sz w:val="24"/>
                <w:szCs w:val="24"/>
                <w:lang w:val="sr-Cyrl-CS"/>
              </w:rPr>
              <w:t>пореских</w:t>
            </w:r>
            <w:r w:rsidR="003613B4" w:rsidRPr="00167D7A">
              <w:rPr>
                <w:rFonts w:ascii="Times New Roman" w:hAnsi="Times New Roman"/>
                <w:iCs/>
                <w:color w:val="000000"/>
                <w:sz w:val="24"/>
                <w:szCs w:val="24"/>
                <w:lang w:val="sr-Cyrl-CS"/>
              </w:rPr>
              <w:t xml:space="preserve"> </w:t>
            </w:r>
            <w:r w:rsidRPr="00167D7A">
              <w:rPr>
                <w:rFonts w:ascii="Times New Roman" w:hAnsi="Times New Roman"/>
                <w:iCs/>
                <w:color w:val="000000"/>
                <w:sz w:val="24"/>
                <w:szCs w:val="24"/>
                <w:lang w:val="sr-Cyrl-CS"/>
              </w:rPr>
              <w:t>обавеза</w:t>
            </w:r>
            <w:r w:rsidR="003613B4" w:rsidRPr="00167D7A">
              <w:rPr>
                <w:rFonts w:ascii="Times New Roman" w:hAnsi="Times New Roman"/>
                <w:iCs/>
                <w:color w:val="000000"/>
                <w:sz w:val="24"/>
                <w:szCs w:val="24"/>
                <w:lang w:val="sr-Cyrl-CS"/>
              </w:rPr>
              <w:t xml:space="preserve"> </w:t>
            </w:r>
            <w:r w:rsidRPr="00167D7A">
              <w:rPr>
                <w:rFonts w:ascii="Times New Roman" w:hAnsi="Times New Roman"/>
                <w:iCs/>
                <w:color w:val="000000"/>
                <w:sz w:val="24"/>
                <w:szCs w:val="24"/>
                <w:lang w:val="sr-Cyrl-CS"/>
              </w:rPr>
              <w:t>чини</w:t>
            </w:r>
            <w:r w:rsidR="003613B4" w:rsidRPr="00167D7A">
              <w:rPr>
                <w:rFonts w:ascii="Times New Roman" w:hAnsi="Times New Roman"/>
                <w:iCs/>
                <w:color w:val="000000"/>
                <w:sz w:val="24"/>
                <w:szCs w:val="24"/>
                <w:lang w:val="sr-Cyrl-CS"/>
              </w:rPr>
              <w:t xml:space="preserve"> </w:t>
            </w:r>
            <w:r w:rsidRPr="00167D7A">
              <w:rPr>
                <w:rFonts w:ascii="Times New Roman" w:hAnsi="Times New Roman"/>
                <w:iCs/>
                <w:color w:val="000000"/>
                <w:sz w:val="24"/>
                <w:szCs w:val="24"/>
                <w:lang w:val="sr-Cyrl-CS"/>
              </w:rPr>
              <w:t>кривично</w:t>
            </w:r>
            <w:r w:rsidR="003613B4" w:rsidRPr="00167D7A">
              <w:rPr>
                <w:rFonts w:ascii="Times New Roman" w:hAnsi="Times New Roman"/>
                <w:iCs/>
                <w:color w:val="000000"/>
                <w:sz w:val="24"/>
                <w:szCs w:val="24"/>
                <w:lang w:val="sr-Cyrl-CS"/>
              </w:rPr>
              <w:t xml:space="preserve"> </w:t>
            </w:r>
            <w:r w:rsidRPr="00167D7A">
              <w:rPr>
                <w:rFonts w:ascii="Times New Roman" w:hAnsi="Times New Roman"/>
                <w:iCs/>
                <w:color w:val="000000"/>
                <w:sz w:val="24"/>
                <w:szCs w:val="24"/>
                <w:lang w:val="sr-Cyrl-CS"/>
              </w:rPr>
              <w:t>дело</w:t>
            </w:r>
            <w:r w:rsidR="003613B4" w:rsidRPr="00167D7A">
              <w:rPr>
                <w:rFonts w:ascii="Times New Roman" w:hAnsi="Times New Roman"/>
                <w:iCs/>
                <w:color w:val="000000"/>
                <w:sz w:val="24"/>
                <w:szCs w:val="24"/>
                <w:lang w:val="sr-Cyrl-CS"/>
              </w:rPr>
              <w:t xml:space="preserve"> </w:t>
            </w:r>
            <w:r w:rsidRPr="00167D7A">
              <w:rPr>
                <w:rFonts w:ascii="Times New Roman" w:hAnsi="Times New Roman"/>
                <w:iCs/>
                <w:color w:val="000000"/>
                <w:sz w:val="24"/>
                <w:szCs w:val="24"/>
                <w:lang w:val="sr-Cyrl-CS"/>
              </w:rPr>
              <w:t>из</w:t>
            </w:r>
            <w:r w:rsidR="003613B4" w:rsidRPr="00167D7A">
              <w:rPr>
                <w:rFonts w:ascii="Times New Roman" w:hAnsi="Times New Roman"/>
                <w:iCs/>
                <w:color w:val="000000"/>
                <w:sz w:val="24"/>
                <w:szCs w:val="24"/>
                <w:lang w:val="sr-Cyrl-CS"/>
              </w:rPr>
              <w:t xml:space="preserve"> </w:t>
            </w:r>
            <w:r w:rsidRPr="00167D7A">
              <w:rPr>
                <w:rFonts w:ascii="Times New Roman" w:hAnsi="Times New Roman"/>
                <w:iCs/>
                <w:color w:val="000000"/>
                <w:sz w:val="24"/>
                <w:szCs w:val="24"/>
                <w:lang w:val="sr-Cyrl-CS"/>
              </w:rPr>
              <w:t>члана</w:t>
            </w:r>
            <w:r w:rsidR="003613B4" w:rsidRPr="00167D7A">
              <w:rPr>
                <w:rFonts w:ascii="Times New Roman" w:hAnsi="Times New Roman"/>
                <w:iCs/>
                <w:color w:val="000000"/>
                <w:sz w:val="24"/>
                <w:szCs w:val="24"/>
                <w:lang w:val="sr-Cyrl-CS"/>
              </w:rPr>
              <w:t xml:space="preserve"> 154. </w:t>
            </w:r>
            <w:r w:rsidRPr="00167D7A">
              <w:rPr>
                <w:rFonts w:ascii="Times New Roman" w:hAnsi="Times New Roman"/>
                <w:iCs/>
                <w:color w:val="000000"/>
                <w:sz w:val="24"/>
                <w:szCs w:val="24"/>
                <w:lang w:val="sr-Cyrl-CS"/>
              </w:rPr>
              <w:t>Кривичног</w:t>
            </w:r>
            <w:r w:rsidR="003613B4" w:rsidRPr="00167D7A">
              <w:rPr>
                <w:rFonts w:ascii="Times New Roman" w:hAnsi="Times New Roman"/>
                <w:iCs/>
                <w:color w:val="000000"/>
                <w:sz w:val="24"/>
                <w:szCs w:val="24"/>
                <w:lang w:val="sr-Cyrl-CS"/>
              </w:rPr>
              <w:t xml:space="preserve"> </w:t>
            </w:r>
            <w:r w:rsidRPr="00167D7A">
              <w:rPr>
                <w:rFonts w:ascii="Times New Roman" w:hAnsi="Times New Roman"/>
                <w:iCs/>
                <w:color w:val="000000"/>
                <w:sz w:val="24"/>
                <w:szCs w:val="24"/>
                <w:lang w:val="sr-Cyrl-CS"/>
              </w:rPr>
              <w:t>закона</w:t>
            </w:r>
            <w:r w:rsidR="003613B4" w:rsidRPr="00167D7A">
              <w:rPr>
                <w:rFonts w:ascii="Times New Roman" w:hAnsi="Times New Roman"/>
                <w:iCs/>
                <w:color w:val="000000"/>
                <w:sz w:val="24"/>
                <w:szCs w:val="24"/>
                <w:lang w:val="sr-Cyrl-CS"/>
              </w:rPr>
              <w:t xml:space="preserve"> </w:t>
            </w:r>
            <w:r w:rsidRPr="00167D7A">
              <w:rPr>
                <w:rFonts w:ascii="Times New Roman" w:hAnsi="Times New Roman"/>
                <w:iCs/>
                <w:color w:val="000000"/>
                <w:sz w:val="24"/>
                <w:szCs w:val="24"/>
                <w:lang w:val="sr-Cyrl-CS"/>
              </w:rPr>
              <w:t>Републике</w:t>
            </w:r>
            <w:r w:rsidR="003613B4" w:rsidRPr="00167D7A">
              <w:rPr>
                <w:rFonts w:ascii="Times New Roman" w:hAnsi="Times New Roman"/>
                <w:iCs/>
                <w:color w:val="000000"/>
                <w:sz w:val="24"/>
                <w:szCs w:val="24"/>
                <w:lang w:val="sr-Cyrl-CS"/>
              </w:rPr>
              <w:t xml:space="preserve"> </w:t>
            </w:r>
            <w:r w:rsidR="000C1BBC">
              <w:rPr>
                <w:rFonts w:ascii="Times New Roman" w:hAnsi="Times New Roman"/>
                <w:iCs/>
                <w:color w:val="000000"/>
                <w:sz w:val="24"/>
                <w:szCs w:val="24"/>
                <w:lang w:val="sr-Cyrl-CS"/>
              </w:rPr>
              <w:t>Србије</w:t>
            </w:r>
            <w:r w:rsidR="003613B4" w:rsidRPr="00167D7A">
              <w:rPr>
                <w:rFonts w:ascii="Times New Roman" w:hAnsi="Times New Roman"/>
                <w:iCs/>
                <w:color w:val="000000"/>
                <w:sz w:val="24"/>
                <w:szCs w:val="24"/>
                <w:lang w:val="sr-Cyrl-CS"/>
              </w:rPr>
              <w:t>.</w:t>
            </w:r>
          </w:p>
          <w:p w:rsidR="00167D7A" w:rsidRPr="00167D7A" w:rsidRDefault="00167D7A" w:rsidP="00167D7A">
            <w:pPr>
              <w:spacing w:before="48" w:after="48" w:line="240" w:lineRule="atLeast"/>
              <w:jc w:val="both"/>
              <w:rPr>
                <w:rFonts w:ascii="Times New Roman" w:hAnsi="Times New Roman"/>
                <w:iCs/>
                <w:color w:val="000000"/>
                <w:sz w:val="24"/>
                <w:szCs w:val="24"/>
                <w:lang w:val="sr-Cyrl-CS"/>
              </w:rPr>
            </w:pPr>
          </w:p>
          <w:p w:rsidR="003613B4" w:rsidRDefault="00167D7A" w:rsidP="00167D7A">
            <w:pPr>
              <w:spacing w:before="48" w:after="48" w:line="240" w:lineRule="atLeast"/>
              <w:jc w:val="both"/>
              <w:rPr>
                <w:rFonts w:ascii="Times New Roman" w:hAnsi="Times New Roman"/>
                <w:iCs/>
                <w:color w:val="000000"/>
                <w:sz w:val="24"/>
                <w:szCs w:val="24"/>
                <w:lang w:val="sr-Cyrl-CS"/>
              </w:rPr>
            </w:pPr>
            <w:r w:rsidRPr="00167D7A">
              <w:rPr>
                <w:rFonts w:ascii="Times New Roman" w:hAnsi="Times New Roman"/>
                <w:iCs/>
                <w:color w:val="000000"/>
                <w:sz w:val="24"/>
                <w:szCs w:val="24"/>
                <w:lang w:val="sr-Cyrl-CS"/>
              </w:rPr>
              <w:t>Из</w:t>
            </w:r>
            <w:r w:rsidR="003613B4" w:rsidRPr="00167D7A">
              <w:rPr>
                <w:rFonts w:ascii="Times New Roman" w:hAnsi="Times New Roman"/>
                <w:iCs/>
                <w:color w:val="000000"/>
                <w:sz w:val="24"/>
                <w:szCs w:val="24"/>
                <w:lang w:val="sr-Cyrl-CS"/>
              </w:rPr>
              <w:t xml:space="preserve"> </w:t>
            </w:r>
            <w:r w:rsidRPr="00167D7A">
              <w:rPr>
                <w:rFonts w:ascii="Times New Roman" w:hAnsi="Times New Roman"/>
                <w:iCs/>
                <w:color w:val="000000"/>
                <w:sz w:val="24"/>
                <w:szCs w:val="24"/>
                <w:lang w:val="sr-Cyrl-CS"/>
              </w:rPr>
              <w:t>образложења</w:t>
            </w:r>
            <w:r w:rsidR="003613B4" w:rsidRPr="00167D7A">
              <w:rPr>
                <w:rFonts w:ascii="Times New Roman" w:hAnsi="Times New Roman"/>
                <w:iCs/>
                <w:color w:val="000000"/>
                <w:sz w:val="24"/>
                <w:szCs w:val="24"/>
                <w:lang w:val="sr-Cyrl-CS"/>
              </w:rPr>
              <w:t>:</w:t>
            </w:r>
          </w:p>
          <w:p w:rsidR="00167D7A" w:rsidRPr="00167D7A" w:rsidRDefault="00167D7A" w:rsidP="00167D7A">
            <w:pPr>
              <w:spacing w:before="48" w:after="48" w:line="240" w:lineRule="atLeast"/>
              <w:jc w:val="both"/>
              <w:rPr>
                <w:rFonts w:ascii="Times New Roman" w:hAnsi="Times New Roman"/>
                <w:iCs/>
                <w:color w:val="000000"/>
                <w:sz w:val="24"/>
                <w:szCs w:val="24"/>
                <w:lang w:val="sr-Cyrl-CS"/>
              </w:rPr>
            </w:pPr>
          </w:p>
          <w:p w:rsidR="003613B4" w:rsidRPr="00167D7A" w:rsidRDefault="003613B4" w:rsidP="00167D7A">
            <w:pPr>
              <w:spacing w:before="48" w:after="48" w:line="240" w:lineRule="atLeast"/>
              <w:jc w:val="both"/>
              <w:rPr>
                <w:rFonts w:ascii="Arial" w:hAnsi="Arial" w:cs="Arial"/>
                <w:iCs/>
                <w:color w:val="000000"/>
                <w:sz w:val="18"/>
                <w:szCs w:val="18"/>
              </w:rPr>
            </w:pPr>
            <w:r w:rsidRPr="00167D7A">
              <w:rPr>
                <w:rFonts w:ascii="Times New Roman" w:hAnsi="Times New Roman"/>
                <w:iCs/>
                <w:color w:val="000000"/>
                <w:sz w:val="24"/>
                <w:szCs w:val="24"/>
                <w:lang w:val="sr-Cyrl-CS"/>
              </w:rPr>
              <w:t>"</w:t>
            </w:r>
            <w:r w:rsidR="00167D7A" w:rsidRPr="00167D7A">
              <w:rPr>
                <w:rFonts w:ascii="Times New Roman" w:hAnsi="Times New Roman"/>
                <w:iCs/>
                <w:color w:val="000000"/>
                <w:sz w:val="24"/>
                <w:szCs w:val="24"/>
                <w:lang w:val="sr-Cyrl-CS"/>
              </w:rPr>
              <w:t>Оптужени</w:t>
            </w:r>
            <w:r w:rsidRPr="00167D7A">
              <w:rPr>
                <w:rFonts w:ascii="Times New Roman" w:hAnsi="Times New Roman"/>
                <w:iCs/>
                <w:color w:val="000000"/>
                <w:sz w:val="24"/>
                <w:szCs w:val="24"/>
                <w:lang w:val="sr-Cyrl-CS"/>
              </w:rPr>
              <w:t xml:space="preserve"> </w:t>
            </w:r>
            <w:r w:rsidR="00167D7A" w:rsidRPr="00167D7A">
              <w:rPr>
                <w:rFonts w:ascii="Times New Roman" w:hAnsi="Times New Roman"/>
                <w:iCs/>
                <w:color w:val="000000"/>
                <w:sz w:val="24"/>
                <w:szCs w:val="24"/>
                <w:lang w:val="sr-Cyrl-CS"/>
              </w:rPr>
              <w:t>као</w:t>
            </w:r>
            <w:r w:rsidRPr="00167D7A">
              <w:rPr>
                <w:rFonts w:ascii="Times New Roman" w:hAnsi="Times New Roman"/>
                <w:iCs/>
                <w:color w:val="000000"/>
                <w:sz w:val="24"/>
                <w:szCs w:val="24"/>
                <w:lang w:val="sr-Cyrl-CS"/>
              </w:rPr>
              <w:t xml:space="preserve"> </w:t>
            </w:r>
            <w:r w:rsidR="00167D7A" w:rsidRPr="00167D7A">
              <w:rPr>
                <w:rFonts w:ascii="Times New Roman" w:hAnsi="Times New Roman"/>
                <w:iCs/>
                <w:color w:val="000000"/>
                <w:sz w:val="24"/>
                <w:szCs w:val="24"/>
                <w:lang w:val="sr-Cyrl-CS"/>
              </w:rPr>
              <w:t>власник</w:t>
            </w:r>
            <w:r w:rsidRPr="00167D7A">
              <w:rPr>
                <w:rFonts w:ascii="Times New Roman" w:hAnsi="Times New Roman"/>
                <w:iCs/>
                <w:color w:val="000000"/>
                <w:sz w:val="24"/>
                <w:szCs w:val="24"/>
                <w:lang w:val="sr-Cyrl-CS"/>
              </w:rPr>
              <w:t xml:space="preserve"> </w:t>
            </w:r>
            <w:r w:rsidR="00167D7A" w:rsidRPr="00167D7A">
              <w:rPr>
                <w:rFonts w:ascii="Times New Roman" w:hAnsi="Times New Roman"/>
                <w:iCs/>
                <w:color w:val="000000"/>
                <w:sz w:val="24"/>
                <w:szCs w:val="24"/>
                <w:lang w:val="sr-Cyrl-CS"/>
              </w:rPr>
              <w:t>приватног</w:t>
            </w:r>
            <w:r w:rsidRPr="00167D7A">
              <w:rPr>
                <w:rFonts w:ascii="Times New Roman" w:hAnsi="Times New Roman"/>
                <w:iCs/>
                <w:color w:val="000000"/>
                <w:sz w:val="24"/>
                <w:szCs w:val="24"/>
                <w:lang w:val="sr-Cyrl-CS"/>
              </w:rPr>
              <w:t xml:space="preserve"> </w:t>
            </w:r>
            <w:r w:rsidR="00167D7A" w:rsidRPr="00167D7A">
              <w:rPr>
                <w:rFonts w:ascii="Times New Roman" w:hAnsi="Times New Roman"/>
                <w:iCs/>
                <w:color w:val="000000"/>
                <w:sz w:val="24"/>
                <w:szCs w:val="24"/>
                <w:lang w:val="sr-Cyrl-CS"/>
              </w:rPr>
              <w:t>предузећа</w:t>
            </w:r>
            <w:r w:rsidRPr="00167D7A">
              <w:rPr>
                <w:rFonts w:ascii="Times New Roman" w:hAnsi="Times New Roman"/>
                <w:iCs/>
                <w:color w:val="000000"/>
                <w:sz w:val="24"/>
                <w:szCs w:val="24"/>
                <w:lang w:val="sr-Cyrl-CS"/>
              </w:rPr>
              <w:t xml:space="preserve"> </w:t>
            </w:r>
            <w:r w:rsidR="00167D7A" w:rsidRPr="00167D7A">
              <w:rPr>
                <w:rFonts w:ascii="Times New Roman" w:hAnsi="Times New Roman"/>
                <w:iCs/>
                <w:color w:val="000000"/>
                <w:sz w:val="24"/>
                <w:szCs w:val="24"/>
                <w:lang w:val="sr-Cyrl-CS"/>
              </w:rPr>
              <w:t>није</w:t>
            </w:r>
            <w:r w:rsidRPr="00167D7A">
              <w:rPr>
                <w:rFonts w:ascii="Times New Roman" w:hAnsi="Times New Roman"/>
                <w:iCs/>
                <w:color w:val="000000"/>
                <w:sz w:val="24"/>
                <w:szCs w:val="24"/>
                <w:lang w:val="sr-Cyrl-CS"/>
              </w:rPr>
              <w:t xml:space="preserve"> </w:t>
            </w:r>
            <w:r w:rsidR="00167D7A" w:rsidRPr="00167D7A">
              <w:rPr>
                <w:rFonts w:ascii="Times New Roman" w:hAnsi="Times New Roman"/>
                <w:iCs/>
                <w:color w:val="000000"/>
                <w:sz w:val="24"/>
                <w:szCs w:val="24"/>
                <w:lang w:val="sr-Cyrl-CS"/>
              </w:rPr>
              <w:t>пријавио</w:t>
            </w:r>
            <w:r w:rsidRPr="00167D7A">
              <w:rPr>
                <w:rFonts w:ascii="Times New Roman" w:hAnsi="Times New Roman"/>
                <w:iCs/>
                <w:color w:val="000000"/>
                <w:sz w:val="24"/>
                <w:szCs w:val="24"/>
                <w:lang w:val="sr-Cyrl-CS"/>
              </w:rPr>
              <w:t xml:space="preserve"> </w:t>
            </w:r>
            <w:r w:rsidR="00167D7A" w:rsidRPr="00167D7A">
              <w:rPr>
                <w:rFonts w:ascii="Times New Roman" w:hAnsi="Times New Roman"/>
                <w:iCs/>
                <w:color w:val="000000"/>
                <w:sz w:val="24"/>
                <w:szCs w:val="24"/>
                <w:lang w:val="sr-Cyrl-CS"/>
              </w:rPr>
              <w:t>податке</w:t>
            </w:r>
            <w:r w:rsidRPr="00167D7A">
              <w:rPr>
                <w:rFonts w:ascii="Times New Roman" w:hAnsi="Times New Roman"/>
                <w:iCs/>
                <w:color w:val="000000"/>
                <w:sz w:val="24"/>
                <w:szCs w:val="24"/>
                <w:lang w:val="sr-Cyrl-CS"/>
              </w:rPr>
              <w:t xml:space="preserve"> </w:t>
            </w:r>
            <w:r w:rsidR="00167D7A" w:rsidRPr="00167D7A">
              <w:rPr>
                <w:rFonts w:ascii="Times New Roman" w:hAnsi="Times New Roman"/>
                <w:iCs/>
                <w:color w:val="000000"/>
                <w:sz w:val="24"/>
                <w:szCs w:val="24"/>
                <w:lang w:val="sr-Cyrl-CS"/>
              </w:rPr>
              <w:t>који</w:t>
            </w:r>
            <w:r w:rsidRPr="00167D7A">
              <w:rPr>
                <w:rFonts w:ascii="Times New Roman" w:hAnsi="Times New Roman"/>
                <w:iCs/>
                <w:color w:val="000000"/>
                <w:sz w:val="24"/>
                <w:szCs w:val="24"/>
                <w:lang w:val="sr-Cyrl-CS"/>
              </w:rPr>
              <w:t xml:space="preserve"> </w:t>
            </w:r>
            <w:r w:rsidR="00167D7A" w:rsidRPr="00167D7A">
              <w:rPr>
                <w:rFonts w:ascii="Times New Roman" w:hAnsi="Times New Roman"/>
                <w:iCs/>
                <w:color w:val="000000"/>
                <w:sz w:val="24"/>
                <w:szCs w:val="24"/>
                <w:lang w:val="sr-Cyrl-CS"/>
              </w:rPr>
              <w:t>се</w:t>
            </w:r>
            <w:r w:rsidRPr="00167D7A">
              <w:rPr>
                <w:rFonts w:ascii="Times New Roman" w:hAnsi="Times New Roman"/>
                <w:iCs/>
                <w:color w:val="000000"/>
                <w:sz w:val="24"/>
                <w:szCs w:val="24"/>
                <w:lang w:val="sr-Cyrl-CS"/>
              </w:rPr>
              <w:t xml:space="preserve"> </w:t>
            </w:r>
            <w:r w:rsidR="00167D7A" w:rsidRPr="00167D7A">
              <w:rPr>
                <w:rFonts w:ascii="Times New Roman" w:hAnsi="Times New Roman"/>
                <w:iCs/>
                <w:color w:val="000000"/>
                <w:sz w:val="24"/>
                <w:szCs w:val="24"/>
                <w:lang w:val="sr-Cyrl-CS"/>
              </w:rPr>
              <w:t>односе</w:t>
            </w:r>
            <w:r w:rsidRPr="00167D7A">
              <w:rPr>
                <w:rFonts w:ascii="Times New Roman" w:hAnsi="Times New Roman"/>
                <w:iCs/>
                <w:color w:val="000000"/>
                <w:sz w:val="24"/>
                <w:szCs w:val="24"/>
                <w:lang w:val="sr-Cyrl-CS"/>
              </w:rPr>
              <w:t xml:space="preserve"> </w:t>
            </w:r>
            <w:r w:rsidR="00167D7A" w:rsidRPr="00167D7A">
              <w:rPr>
                <w:rFonts w:ascii="Times New Roman" w:hAnsi="Times New Roman"/>
                <w:iCs/>
                <w:color w:val="000000"/>
                <w:sz w:val="24"/>
                <w:szCs w:val="24"/>
                <w:lang w:val="sr-Cyrl-CS"/>
              </w:rPr>
              <w:t>на</w:t>
            </w:r>
            <w:r w:rsidRPr="00167D7A">
              <w:rPr>
                <w:rFonts w:ascii="Times New Roman" w:hAnsi="Times New Roman"/>
                <w:iCs/>
                <w:color w:val="000000"/>
                <w:sz w:val="24"/>
                <w:szCs w:val="24"/>
                <w:lang w:val="sr-Cyrl-CS"/>
              </w:rPr>
              <w:t xml:space="preserve"> </w:t>
            </w:r>
            <w:r w:rsidR="00167D7A" w:rsidRPr="00167D7A">
              <w:rPr>
                <w:rFonts w:ascii="Times New Roman" w:hAnsi="Times New Roman"/>
                <w:iCs/>
                <w:color w:val="000000"/>
                <w:sz w:val="24"/>
                <w:szCs w:val="24"/>
                <w:lang w:val="sr-Cyrl-CS"/>
              </w:rPr>
              <w:t>утврђивање</w:t>
            </w:r>
            <w:r w:rsidRPr="00167D7A">
              <w:rPr>
                <w:rFonts w:ascii="Times New Roman" w:hAnsi="Times New Roman"/>
                <w:iCs/>
                <w:color w:val="000000"/>
                <w:sz w:val="24"/>
                <w:szCs w:val="24"/>
                <w:lang w:val="sr-Cyrl-CS"/>
              </w:rPr>
              <w:t xml:space="preserve"> </w:t>
            </w:r>
            <w:r w:rsidR="00167D7A" w:rsidRPr="00167D7A">
              <w:rPr>
                <w:rFonts w:ascii="Times New Roman" w:hAnsi="Times New Roman"/>
                <w:iCs/>
                <w:color w:val="000000"/>
                <w:sz w:val="24"/>
                <w:szCs w:val="24"/>
                <w:lang w:val="sr-Cyrl-CS"/>
              </w:rPr>
              <w:t>пореских</w:t>
            </w:r>
            <w:r w:rsidRPr="00167D7A">
              <w:rPr>
                <w:rFonts w:ascii="Times New Roman" w:hAnsi="Times New Roman"/>
                <w:iCs/>
                <w:color w:val="000000"/>
                <w:sz w:val="24"/>
                <w:szCs w:val="24"/>
                <w:lang w:val="sr-Cyrl-CS"/>
              </w:rPr>
              <w:t xml:space="preserve"> </w:t>
            </w:r>
            <w:r w:rsidR="00167D7A" w:rsidRPr="00167D7A">
              <w:rPr>
                <w:rFonts w:ascii="Times New Roman" w:hAnsi="Times New Roman"/>
                <w:iCs/>
                <w:color w:val="000000"/>
                <w:sz w:val="24"/>
                <w:szCs w:val="24"/>
                <w:lang w:val="sr-Cyrl-CS"/>
              </w:rPr>
              <w:t>обавеза</w:t>
            </w:r>
            <w:r w:rsidRPr="00167D7A">
              <w:rPr>
                <w:rFonts w:ascii="Times New Roman" w:hAnsi="Times New Roman"/>
                <w:iCs/>
                <w:color w:val="000000"/>
                <w:sz w:val="24"/>
                <w:szCs w:val="24"/>
                <w:lang w:val="sr-Cyrl-CS"/>
              </w:rPr>
              <w:t xml:space="preserve"> </w:t>
            </w:r>
            <w:r w:rsidR="00167D7A" w:rsidRPr="00167D7A">
              <w:rPr>
                <w:rFonts w:ascii="Times New Roman" w:hAnsi="Times New Roman"/>
                <w:iCs/>
                <w:color w:val="000000"/>
                <w:sz w:val="24"/>
                <w:szCs w:val="24"/>
                <w:lang w:val="sr-Cyrl-CS"/>
              </w:rPr>
              <w:t>плаћања</w:t>
            </w:r>
            <w:r w:rsidRPr="00167D7A">
              <w:rPr>
                <w:rFonts w:ascii="Times New Roman" w:hAnsi="Times New Roman"/>
                <w:iCs/>
                <w:color w:val="000000"/>
                <w:sz w:val="24"/>
                <w:szCs w:val="24"/>
                <w:lang w:val="sr-Cyrl-CS"/>
              </w:rPr>
              <w:t xml:space="preserve"> </w:t>
            </w:r>
            <w:r w:rsidR="00167D7A" w:rsidRPr="00167D7A">
              <w:rPr>
                <w:rFonts w:ascii="Times New Roman" w:hAnsi="Times New Roman"/>
                <w:iCs/>
                <w:color w:val="000000"/>
                <w:sz w:val="24"/>
                <w:szCs w:val="24"/>
                <w:lang w:val="sr-Cyrl-CS"/>
              </w:rPr>
              <w:t>пореза</w:t>
            </w:r>
            <w:r w:rsidRPr="00167D7A">
              <w:rPr>
                <w:rFonts w:ascii="Times New Roman" w:hAnsi="Times New Roman"/>
                <w:iCs/>
                <w:color w:val="000000"/>
                <w:sz w:val="24"/>
                <w:szCs w:val="24"/>
                <w:lang w:val="sr-Cyrl-CS"/>
              </w:rPr>
              <w:t xml:space="preserve"> </w:t>
            </w:r>
            <w:r w:rsidR="00167D7A" w:rsidRPr="00167D7A">
              <w:rPr>
                <w:rFonts w:ascii="Times New Roman" w:hAnsi="Times New Roman"/>
                <w:iCs/>
                <w:color w:val="000000"/>
                <w:sz w:val="24"/>
                <w:szCs w:val="24"/>
                <w:lang w:val="sr-Cyrl-CS"/>
              </w:rPr>
              <w:t>на</w:t>
            </w:r>
            <w:r w:rsidRPr="00167D7A">
              <w:rPr>
                <w:rFonts w:ascii="Times New Roman" w:hAnsi="Times New Roman"/>
                <w:iCs/>
                <w:color w:val="000000"/>
                <w:sz w:val="24"/>
                <w:szCs w:val="24"/>
                <w:lang w:val="sr-Cyrl-CS"/>
              </w:rPr>
              <w:t xml:space="preserve"> </w:t>
            </w:r>
            <w:r w:rsidR="00167D7A" w:rsidRPr="00167D7A">
              <w:rPr>
                <w:rFonts w:ascii="Times New Roman" w:hAnsi="Times New Roman"/>
                <w:iCs/>
                <w:color w:val="000000"/>
                <w:sz w:val="24"/>
                <w:szCs w:val="24"/>
                <w:lang w:val="sr-Cyrl-CS"/>
              </w:rPr>
              <w:t>промет</w:t>
            </w:r>
            <w:r w:rsidRPr="00167D7A">
              <w:rPr>
                <w:rFonts w:ascii="Times New Roman" w:hAnsi="Times New Roman"/>
                <w:iCs/>
                <w:color w:val="000000"/>
                <w:sz w:val="24"/>
                <w:szCs w:val="24"/>
                <w:lang w:val="sr-Cyrl-CS"/>
              </w:rPr>
              <w:t xml:space="preserve"> </w:t>
            </w:r>
            <w:r w:rsidR="00167D7A" w:rsidRPr="00167D7A">
              <w:rPr>
                <w:rFonts w:ascii="Times New Roman" w:hAnsi="Times New Roman"/>
                <w:iCs/>
                <w:color w:val="000000"/>
                <w:sz w:val="24"/>
                <w:szCs w:val="24"/>
                <w:lang w:val="sr-Cyrl-CS"/>
              </w:rPr>
              <w:t>и</w:t>
            </w:r>
            <w:r w:rsidRPr="00167D7A">
              <w:rPr>
                <w:rFonts w:ascii="Times New Roman" w:hAnsi="Times New Roman"/>
                <w:iCs/>
                <w:color w:val="000000"/>
                <w:sz w:val="24"/>
                <w:szCs w:val="24"/>
                <w:lang w:val="sr-Cyrl-CS"/>
              </w:rPr>
              <w:t xml:space="preserve"> </w:t>
            </w:r>
            <w:r w:rsidR="00167D7A" w:rsidRPr="00167D7A">
              <w:rPr>
                <w:rFonts w:ascii="Times New Roman" w:hAnsi="Times New Roman"/>
                <w:iCs/>
                <w:color w:val="000000"/>
                <w:sz w:val="24"/>
                <w:szCs w:val="24"/>
                <w:lang w:val="sr-Cyrl-CS"/>
              </w:rPr>
              <w:t>промета</w:t>
            </w:r>
            <w:r w:rsidRPr="00167D7A">
              <w:rPr>
                <w:rFonts w:ascii="Times New Roman" w:hAnsi="Times New Roman"/>
                <w:iCs/>
                <w:color w:val="000000"/>
                <w:sz w:val="24"/>
                <w:szCs w:val="24"/>
                <w:lang w:val="sr-Cyrl-CS"/>
              </w:rPr>
              <w:t xml:space="preserve"> </w:t>
            </w:r>
            <w:r w:rsidR="00167D7A" w:rsidRPr="00167D7A">
              <w:rPr>
                <w:rFonts w:ascii="Times New Roman" w:hAnsi="Times New Roman"/>
                <w:iCs/>
                <w:color w:val="000000"/>
                <w:sz w:val="24"/>
                <w:szCs w:val="24"/>
                <w:lang w:val="sr-Cyrl-CS"/>
              </w:rPr>
              <w:t>робе</w:t>
            </w:r>
            <w:r w:rsidRPr="00167D7A">
              <w:rPr>
                <w:rFonts w:ascii="Times New Roman" w:hAnsi="Times New Roman"/>
                <w:iCs/>
                <w:color w:val="000000"/>
                <w:sz w:val="24"/>
                <w:szCs w:val="24"/>
                <w:lang w:val="sr-Cyrl-CS"/>
              </w:rPr>
              <w:t xml:space="preserve"> </w:t>
            </w:r>
            <w:r w:rsidR="00167D7A" w:rsidRPr="00167D7A">
              <w:rPr>
                <w:rFonts w:ascii="Times New Roman" w:hAnsi="Times New Roman"/>
                <w:iCs/>
                <w:color w:val="000000"/>
                <w:sz w:val="24"/>
                <w:szCs w:val="24"/>
                <w:lang w:val="sr-Cyrl-CS"/>
              </w:rPr>
              <w:t>на</w:t>
            </w:r>
            <w:r w:rsidRPr="00167D7A">
              <w:rPr>
                <w:rFonts w:ascii="Times New Roman" w:hAnsi="Times New Roman"/>
                <w:iCs/>
                <w:color w:val="000000"/>
                <w:sz w:val="24"/>
                <w:szCs w:val="24"/>
                <w:lang w:val="sr-Cyrl-CS"/>
              </w:rPr>
              <w:t xml:space="preserve"> </w:t>
            </w:r>
            <w:r w:rsidR="00167D7A" w:rsidRPr="00167D7A">
              <w:rPr>
                <w:rFonts w:ascii="Times New Roman" w:hAnsi="Times New Roman"/>
                <w:iCs/>
                <w:color w:val="000000"/>
                <w:sz w:val="24"/>
                <w:szCs w:val="24"/>
                <w:lang w:val="sr-Cyrl-CS"/>
              </w:rPr>
              <w:t>мало</w:t>
            </w:r>
            <w:r w:rsidR="00167D7A">
              <w:rPr>
                <w:rFonts w:ascii="Times New Roman" w:hAnsi="Times New Roman"/>
                <w:iCs/>
                <w:color w:val="000000"/>
                <w:sz w:val="24"/>
                <w:szCs w:val="24"/>
                <w:lang w:val="sr-Cyrl-CS"/>
              </w:rPr>
              <w:t>,</w:t>
            </w:r>
            <w:r w:rsidRPr="00167D7A">
              <w:rPr>
                <w:rFonts w:ascii="Times New Roman" w:hAnsi="Times New Roman"/>
                <w:iCs/>
                <w:color w:val="000000"/>
                <w:sz w:val="24"/>
                <w:szCs w:val="24"/>
                <w:lang w:val="sr-Cyrl-CS"/>
              </w:rPr>
              <w:t xml:space="preserve"> </w:t>
            </w:r>
            <w:r w:rsidR="00167D7A" w:rsidRPr="00167D7A">
              <w:rPr>
                <w:rFonts w:ascii="Times New Roman" w:hAnsi="Times New Roman"/>
                <w:iCs/>
                <w:color w:val="000000"/>
                <w:sz w:val="24"/>
                <w:szCs w:val="24"/>
                <w:lang w:val="sr-Cyrl-CS"/>
              </w:rPr>
              <w:t>набављао</w:t>
            </w:r>
            <w:r w:rsidRPr="00167D7A">
              <w:rPr>
                <w:rFonts w:ascii="Times New Roman" w:hAnsi="Times New Roman"/>
                <w:iCs/>
                <w:color w:val="000000"/>
                <w:sz w:val="24"/>
                <w:szCs w:val="24"/>
                <w:lang w:val="sr-Cyrl-CS"/>
              </w:rPr>
              <w:t xml:space="preserve"> </w:t>
            </w:r>
            <w:r w:rsidR="00167D7A" w:rsidRPr="00167D7A">
              <w:rPr>
                <w:rFonts w:ascii="Times New Roman" w:hAnsi="Times New Roman"/>
                <w:iCs/>
                <w:color w:val="000000"/>
                <w:sz w:val="24"/>
                <w:szCs w:val="24"/>
                <w:lang w:val="sr-Cyrl-CS"/>
              </w:rPr>
              <w:t>је</w:t>
            </w:r>
            <w:r w:rsidRPr="00167D7A">
              <w:rPr>
                <w:rFonts w:ascii="Times New Roman" w:hAnsi="Times New Roman"/>
                <w:iCs/>
                <w:color w:val="000000"/>
                <w:sz w:val="24"/>
                <w:szCs w:val="24"/>
                <w:lang w:val="sr-Cyrl-CS"/>
              </w:rPr>
              <w:t xml:space="preserve"> </w:t>
            </w:r>
            <w:r w:rsidR="00167D7A" w:rsidRPr="00167D7A">
              <w:rPr>
                <w:rFonts w:ascii="Times New Roman" w:hAnsi="Times New Roman"/>
                <w:iCs/>
                <w:color w:val="000000"/>
                <w:sz w:val="24"/>
                <w:szCs w:val="24"/>
                <w:lang w:val="sr-Cyrl-CS"/>
              </w:rPr>
              <w:t>прехрамбену</w:t>
            </w:r>
            <w:r w:rsidRPr="00167D7A">
              <w:rPr>
                <w:rFonts w:ascii="Times New Roman" w:hAnsi="Times New Roman"/>
                <w:iCs/>
                <w:color w:val="000000"/>
                <w:sz w:val="24"/>
                <w:szCs w:val="24"/>
                <w:lang w:val="sr-Cyrl-CS"/>
              </w:rPr>
              <w:t xml:space="preserve"> </w:t>
            </w:r>
            <w:r w:rsidR="00167D7A" w:rsidRPr="00167D7A">
              <w:rPr>
                <w:rFonts w:ascii="Times New Roman" w:hAnsi="Times New Roman"/>
                <w:iCs/>
                <w:color w:val="000000"/>
                <w:sz w:val="24"/>
                <w:szCs w:val="24"/>
                <w:lang w:val="sr-Cyrl-CS"/>
              </w:rPr>
              <w:t>робу</w:t>
            </w:r>
            <w:r w:rsidRPr="00167D7A">
              <w:rPr>
                <w:rFonts w:ascii="Times New Roman" w:hAnsi="Times New Roman"/>
                <w:iCs/>
                <w:color w:val="000000"/>
                <w:sz w:val="24"/>
                <w:szCs w:val="24"/>
                <w:lang w:val="sr-Cyrl-CS"/>
              </w:rPr>
              <w:t xml:space="preserve"> </w:t>
            </w:r>
            <w:r w:rsidR="00167D7A" w:rsidRPr="00167D7A">
              <w:rPr>
                <w:rFonts w:ascii="Times New Roman" w:hAnsi="Times New Roman"/>
                <w:iCs/>
                <w:color w:val="000000"/>
                <w:sz w:val="24"/>
                <w:szCs w:val="24"/>
                <w:lang w:val="sr-Cyrl-CS"/>
              </w:rPr>
              <w:t>без</w:t>
            </w:r>
            <w:r w:rsidRPr="00167D7A">
              <w:rPr>
                <w:rFonts w:ascii="Times New Roman" w:hAnsi="Times New Roman"/>
                <w:iCs/>
                <w:color w:val="000000"/>
                <w:sz w:val="24"/>
                <w:szCs w:val="24"/>
                <w:lang w:val="sr-Cyrl-CS"/>
              </w:rPr>
              <w:t xml:space="preserve"> </w:t>
            </w:r>
            <w:r w:rsidR="00167D7A" w:rsidRPr="00167D7A">
              <w:rPr>
                <w:rFonts w:ascii="Times New Roman" w:hAnsi="Times New Roman"/>
                <w:iCs/>
                <w:color w:val="000000"/>
                <w:sz w:val="24"/>
                <w:szCs w:val="24"/>
                <w:lang w:val="sr-Cyrl-CS"/>
              </w:rPr>
              <w:t>пратеће</w:t>
            </w:r>
            <w:r w:rsidRPr="00167D7A">
              <w:rPr>
                <w:rFonts w:ascii="Times New Roman" w:hAnsi="Times New Roman"/>
                <w:iCs/>
                <w:color w:val="000000"/>
                <w:sz w:val="24"/>
                <w:szCs w:val="24"/>
                <w:lang w:val="sr-Cyrl-CS"/>
              </w:rPr>
              <w:t xml:space="preserve"> </w:t>
            </w:r>
            <w:r w:rsidR="00167D7A" w:rsidRPr="00167D7A">
              <w:rPr>
                <w:rFonts w:ascii="Times New Roman" w:hAnsi="Times New Roman"/>
                <w:iCs/>
                <w:color w:val="000000"/>
                <w:sz w:val="24"/>
                <w:szCs w:val="24"/>
                <w:lang w:val="sr-Cyrl-CS"/>
              </w:rPr>
              <w:t>документације</w:t>
            </w:r>
            <w:r w:rsidRPr="00167D7A">
              <w:rPr>
                <w:rFonts w:ascii="Times New Roman" w:hAnsi="Times New Roman"/>
                <w:iCs/>
                <w:color w:val="000000"/>
                <w:sz w:val="24"/>
                <w:szCs w:val="24"/>
                <w:lang w:val="sr-Cyrl-CS"/>
              </w:rPr>
              <w:t xml:space="preserve">, </w:t>
            </w:r>
            <w:r w:rsidR="00167D7A" w:rsidRPr="00167D7A">
              <w:rPr>
                <w:rFonts w:ascii="Times New Roman" w:hAnsi="Times New Roman"/>
                <w:iCs/>
                <w:color w:val="000000"/>
                <w:sz w:val="24"/>
                <w:szCs w:val="24"/>
                <w:lang w:val="sr-Cyrl-CS"/>
              </w:rPr>
              <w:t>па</w:t>
            </w:r>
            <w:r w:rsidRPr="00167D7A">
              <w:rPr>
                <w:rFonts w:ascii="Times New Roman" w:hAnsi="Times New Roman"/>
                <w:iCs/>
                <w:color w:val="000000"/>
                <w:sz w:val="24"/>
                <w:szCs w:val="24"/>
                <w:lang w:val="sr-Cyrl-CS"/>
              </w:rPr>
              <w:t xml:space="preserve"> </w:t>
            </w:r>
            <w:r w:rsidR="00167D7A" w:rsidRPr="00167D7A">
              <w:rPr>
                <w:rFonts w:ascii="Times New Roman" w:hAnsi="Times New Roman"/>
                <w:iCs/>
                <w:color w:val="000000"/>
                <w:sz w:val="24"/>
                <w:szCs w:val="24"/>
                <w:lang w:val="sr-Cyrl-CS"/>
              </w:rPr>
              <w:t>како</w:t>
            </w:r>
            <w:r w:rsidRPr="00167D7A">
              <w:rPr>
                <w:rFonts w:ascii="Times New Roman" w:hAnsi="Times New Roman"/>
                <w:iCs/>
                <w:color w:val="000000"/>
                <w:sz w:val="24"/>
                <w:szCs w:val="24"/>
                <w:lang w:val="sr-Cyrl-CS"/>
              </w:rPr>
              <w:t xml:space="preserve"> </w:t>
            </w:r>
            <w:r w:rsidR="00167D7A" w:rsidRPr="00167D7A">
              <w:rPr>
                <w:rFonts w:ascii="Times New Roman" w:hAnsi="Times New Roman"/>
                <w:iCs/>
                <w:color w:val="000000"/>
                <w:sz w:val="24"/>
                <w:szCs w:val="24"/>
                <w:lang w:val="sr-Cyrl-CS"/>
              </w:rPr>
              <w:t>на</w:t>
            </w:r>
            <w:r w:rsidRPr="00167D7A">
              <w:rPr>
                <w:rFonts w:ascii="Times New Roman" w:hAnsi="Times New Roman"/>
                <w:iCs/>
                <w:color w:val="000000"/>
                <w:sz w:val="24"/>
                <w:szCs w:val="24"/>
                <w:lang w:val="sr-Cyrl-CS"/>
              </w:rPr>
              <w:t xml:space="preserve"> </w:t>
            </w:r>
            <w:r w:rsidR="00167D7A" w:rsidRPr="00167D7A">
              <w:rPr>
                <w:rFonts w:ascii="Times New Roman" w:hAnsi="Times New Roman"/>
                <w:iCs/>
                <w:color w:val="000000"/>
                <w:sz w:val="24"/>
                <w:szCs w:val="24"/>
                <w:lang w:val="sr-Cyrl-CS"/>
              </w:rPr>
              <w:t>исту</w:t>
            </w:r>
            <w:r w:rsidRPr="00167D7A">
              <w:rPr>
                <w:rFonts w:ascii="Times New Roman" w:hAnsi="Times New Roman"/>
                <w:iCs/>
                <w:color w:val="000000"/>
                <w:sz w:val="24"/>
                <w:szCs w:val="24"/>
                <w:lang w:val="sr-Cyrl-CS"/>
              </w:rPr>
              <w:t xml:space="preserve"> </w:t>
            </w:r>
            <w:r w:rsidR="00167D7A" w:rsidRPr="00167D7A">
              <w:rPr>
                <w:rFonts w:ascii="Times New Roman" w:hAnsi="Times New Roman"/>
                <w:iCs/>
                <w:color w:val="000000"/>
                <w:sz w:val="24"/>
                <w:szCs w:val="24"/>
                <w:lang w:val="sr-Cyrl-CS"/>
              </w:rPr>
              <w:t>није</w:t>
            </w:r>
            <w:r w:rsidRPr="00167D7A">
              <w:rPr>
                <w:rFonts w:ascii="Times New Roman" w:hAnsi="Times New Roman"/>
                <w:iCs/>
                <w:color w:val="000000"/>
                <w:sz w:val="24"/>
                <w:szCs w:val="24"/>
                <w:lang w:val="sr-Cyrl-CS"/>
              </w:rPr>
              <w:t xml:space="preserve"> </w:t>
            </w:r>
            <w:r w:rsidR="00167D7A" w:rsidRPr="00167D7A">
              <w:rPr>
                <w:rFonts w:ascii="Times New Roman" w:hAnsi="Times New Roman"/>
                <w:iCs/>
                <w:color w:val="000000"/>
                <w:sz w:val="24"/>
                <w:szCs w:val="24"/>
                <w:lang w:val="sr-Cyrl-CS"/>
              </w:rPr>
              <w:t>обрачунавао</w:t>
            </w:r>
            <w:r w:rsidRPr="00167D7A">
              <w:rPr>
                <w:rFonts w:ascii="Times New Roman" w:hAnsi="Times New Roman"/>
                <w:iCs/>
                <w:color w:val="000000"/>
                <w:sz w:val="24"/>
                <w:szCs w:val="24"/>
                <w:lang w:val="sr-Cyrl-CS"/>
              </w:rPr>
              <w:t xml:space="preserve"> </w:t>
            </w:r>
            <w:r w:rsidR="00167D7A" w:rsidRPr="00167D7A">
              <w:rPr>
                <w:rFonts w:ascii="Times New Roman" w:hAnsi="Times New Roman"/>
                <w:iCs/>
                <w:color w:val="000000"/>
                <w:sz w:val="24"/>
                <w:szCs w:val="24"/>
                <w:lang w:val="sr-Cyrl-CS"/>
              </w:rPr>
              <w:t>и</w:t>
            </w:r>
            <w:r w:rsidRPr="00167D7A">
              <w:rPr>
                <w:rFonts w:ascii="Times New Roman" w:hAnsi="Times New Roman"/>
                <w:iCs/>
                <w:color w:val="000000"/>
                <w:sz w:val="24"/>
                <w:szCs w:val="24"/>
                <w:lang w:val="sr-Cyrl-CS"/>
              </w:rPr>
              <w:t xml:space="preserve"> </w:t>
            </w:r>
            <w:r w:rsidR="00167D7A" w:rsidRPr="00167D7A">
              <w:rPr>
                <w:rFonts w:ascii="Times New Roman" w:hAnsi="Times New Roman"/>
                <w:iCs/>
                <w:color w:val="000000"/>
                <w:sz w:val="24"/>
                <w:szCs w:val="24"/>
                <w:lang w:val="sr-Cyrl-CS"/>
              </w:rPr>
              <w:t>уплаћивао</w:t>
            </w:r>
            <w:r w:rsidRPr="00167D7A">
              <w:rPr>
                <w:rFonts w:ascii="Times New Roman" w:hAnsi="Times New Roman"/>
                <w:iCs/>
                <w:color w:val="000000"/>
                <w:sz w:val="24"/>
                <w:szCs w:val="24"/>
                <w:lang w:val="sr-Cyrl-CS"/>
              </w:rPr>
              <w:t xml:space="preserve"> </w:t>
            </w:r>
            <w:r w:rsidR="00167D7A" w:rsidRPr="00167D7A">
              <w:rPr>
                <w:rFonts w:ascii="Times New Roman" w:hAnsi="Times New Roman"/>
                <w:iCs/>
                <w:color w:val="000000"/>
                <w:sz w:val="24"/>
                <w:szCs w:val="24"/>
                <w:lang w:val="sr-Cyrl-CS"/>
              </w:rPr>
              <w:t>порез</w:t>
            </w:r>
            <w:r w:rsidRPr="00167D7A">
              <w:rPr>
                <w:rFonts w:ascii="Times New Roman" w:hAnsi="Times New Roman"/>
                <w:iCs/>
                <w:color w:val="000000"/>
                <w:sz w:val="24"/>
                <w:szCs w:val="24"/>
                <w:lang w:val="sr-Cyrl-CS"/>
              </w:rPr>
              <w:t xml:space="preserve"> </w:t>
            </w:r>
            <w:r w:rsidR="00167D7A" w:rsidRPr="00167D7A">
              <w:rPr>
                <w:rFonts w:ascii="Times New Roman" w:hAnsi="Times New Roman"/>
                <w:iCs/>
                <w:color w:val="000000"/>
                <w:sz w:val="24"/>
                <w:szCs w:val="24"/>
                <w:lang w:val="sr-Cyrl-CS"/>
              </w:rPr>
              <w:t>на</w:t>
            </w:r>
            <w:r w:rsidRPr="00167D7A">
              <w:rPr>
                <w:rFonts w:ascii="Times New Roman" w:hAnsi="Times New Roman"/>
                <w:iCs/>
                <w:color w:val="000000"/>
                <w:sz w:val="24"/>
                <w:szCs w:val="24"/>
                <w:lang w:val="sr-Cyrl-CS"/>
              </w:rPr>
              <w:t xml:space="preserve"> </w:t>
            </w:r>
            <w:r w:rsidR="00167D7A" w:rsidRPr="00167D7A">
              <w:rPr>
                <w:rFonts w:ascii="Times New Roman" w:hAnsi="Times New Roman"/>
                <w:iCs/>
                <w:color w:val="000000"/>
                <w:sz w:val="24"/>
                <w:szCs w:val="24"/>
                <w:lang w:val="sr-Cyrl-CS"/>
              </w:rPr>
              <w:t>промет</w:t>
            </w:r>
            <w:r w:rsidRPr="00167D7A">
              <w:rPr>
                <w:rFonts w:ascii="Times New Roman" w:hAnsi="Times New Roman"/>
                <w:iCs/>
                <w:color w:val="000000"/>
                <w:sz w:val="24"/>
                <w:szCs w:val="24"/>
                <w:lang w:val="sr-Cyrl-CS"/>
              </w:rPr>
              <w:t xml:space="preserve"> </w:t>
            </w:r>
            <w:r w:rsidR="00167D7A" w:rsidRPr="00167D7A">
              <w:rPr>
                <w:rFonts w:ascii="Times New Roman" w:hAnsi="Times New Roman"/>
                <w:iCs/>
                <w:color w:val="000000"/>
                <w:sz w:val="24"/>
                <w:szCs w:val="24"/>
                <w:lang w:val="sr-Cyrl-CS"/>
              </w:rPr>
              <w:t>правилно</w:t>
            </w:r>
            <w:r w:rsidRPr="00167D7A">
              <w:rPr>
                <w:rFonts w:ascii="Times New Roman" w:hAnsi="Times New Roman"/>
                <w:iCs/>
                <w:color w:val="000000"/>
                <w:sz w:val="24"/>
                <w:szCs w:val="24"/>
                <w:lang w:val="sr-Cyrl-CS"/>
              </w:rPr>
              <w:t xml:space="preserve"> </w:t>
            </w:r>
            <w:r w:rsidR="00167D7A" w:rsidRPr="00167D7A">
              <w:rPr>
                <w:rFonts w:ascii="Times New Roman" w:hAnsi="Times New Roman"/>
                <w:iCs/>
                <w:color w:val="000000"/>
                <w:sz w:val="24"/>
                <w:szCs w:val="24"/>
                <w:lang w:val="sr-Cyrl-CS"/>
              </w:rPr>
              <w:t>је</w:t>
            </w:r>
            <w:r w:rsidRPr="00167D7A">
              <w:rPr>
                <w:rFonts w:ascii="Times New Roman" w:hAnsi="Times New Roman"/>
                <w:iCs/>
                <w:color w:val="000000"/>
                <w:sz w:val="24"/>
                <w:szCs w:val="24"/>
                <w:lang w:val="sr-Cyrl-CS"/>
              </w:rPr>
              <w:t xml:space="preserve"> </w:t>
            </w:r>
            <w:r w:rsidR="00167D7A" w:rsidRPr="00167D7A">
              <w:rPr>
                <w:rFonts w:ascii="Times New Roman" w:hAnsi="Times New Roman"/>
                <w:iCs/>
                <w:color w:val="000000"/>
                <w:sz w:val="24"/>
                <w:szCs w:val="24"/>
                <w:lang w:val="sr-Cyrl-CS"/>
              </w:rPr>
              <w:t>првостепени</w:t>
            </w:r>
            <w:r w:rsidRPr="00167D7A">
              <w:rPr>
                <w:rFonts w:ascii="Times New Roman" w:hAnsi="Times New Roman"/>
                <w:iCs/>
                <w:color w:val="000000"/>
                <w:sz w:val="24"/>
                <w:szCs w:val="24"/>
                <w:lang w:val="sr-Cyrl-CS"/>
              </w:rPr>
              <w:t xml:space="preserve"> </w:t>
            </w:r>
            <w:r w:rsidR="00167D7A" w:rsidRPr="00167D7A">
              <w:rPr>
                <w:rFonts w:ascii="Times New Roman" w:hAnsi="Times New Roman"/>
                <w:iCs/>
                <w:color w:val="000000"/>
                <w:sz w:val="24"/>
                <w:szCs w:val="24"/>
                <w:lang w:val="sr-Cyrl-CS"/>
              </w:rPr>
              <w:t>суд</w:t>
            </w:r>
            <w:r w:rsidRPr="00167D7A">
              <w:rPr>
                <w:rFonts w:ascii="Times New Roman" w:hAnsi="Times New Roman"/>
                <w:iCs/>
                <w:color w:val="000000"/>
                <w:sz w:val="24"/>
                <w:szCs w:val="24"/>
                <w:lang w:val="sr-Cyrl-CS"/>
              </w:rPr>
              <w:t xml:space="preserve"> </w:t>
            </w:r>
            <w:r w:rsidR="00167D7A" w:rsidRPr="00167D7A">
              <w:rPr>
                <w:rFonts w:ascii="Times New Roman" w:hAnsi="Times New Roman"/>
                <w:iCs/>
                <w:color w:val="000000"/>
                <w:sz w:val="24"/>
                <w:szCs w:val="24"/>
                <w:lang w:val="sr-Cyrl-CS"/>
              </w:rPr>
              <w:t>нашао</w:t>
            </w:r>
            <w:r w:rsidRPr="00167D7A">
              <w:rPr>
                <w:rFonts w:ascii="Times New Roman" w:hAnsi="Times New Roman"/>
                <w:iCs/>
                <w:color w:val="000000"/>
                <w:sz w:val="24"/>
                <w:szCs w:val="24"/>
                <w:lang w:val="sr-Cyrl-CS"/>
              </w:rPr>
              <w:t xml:space="preserve"> </w:t>
            </w:r>
            <w:r w:rsidR="00167D7A" w:rsidRPr="00167D7A">
              <w:rPr>
                <w:rFonts w:ascii="Times New Roman" w:hAnsi="Times New Roman"/>
                <w:iCs/>
                <w:color w:val="000000"/>
                <w:sz w:val="24"/>
                <w:szCs w:val="24"/>
                <w:lang w:val="sr-Cyrl-CS"/>
              </w:rPr>
              <w:t>да</w:t>
            </w:r>
            <w:r w:rsidRPr="00167D7A">
              <w:rPr>
                <w:rFonts w:ascii="Times New Roman" w:hAnsi="Times New Roman"/>
                <w:iCs/>
                <w:color w:val="000000"/>
                <w:sz w:val="24"/>
                <w:szCs w:val="24"/>
                <w:lang w:val="sr-Cyrl-CS"/>
              </w:rPr>
              <w:t xml:space="preserve"> </w:t>
            </w:r>
            <w:r w:rsidR="00167D7A" w:rsidRPr="00167D7A">
              <w:rPr>
                <w:rFonts w:ascii="Times New Roman" w:hAnsi="Times New Roman"/>
                <w:iCs/>
                <w:color w:val="000000"/>
                <w:sz w:val="24"/>
                <w:szCs w:val="24"/>
                <w:lang w:val="sr-Cyrl-CS"/>
              </w:rPr>
              <w:t>је</w:t>
            </w:r>
            <w:r w:rsidRPr="00167D7A">
              <w:rPr>
                <w:rFonts w:ascii="Times New Roman" w:hAnsi="Times New Roman"/>
                <w:iCs/>
                <w:color w:val="000000"/>
                <w:sz w:val="24"/>
                <w:szCs w:val="24"/>
                <w:lang w:val="sr-Cyrl-CS"/>
              </w:rPr>
              <w:t xml:space="preserve"> </w:t>
            </w:r>
            <w:r w:rsidR="00167D7A" w:rsidRPr="00167D7A">
              <w:rPr>
                <w:rFonts w:ascii="Times New Roman" w:hAnsi="Times New Roman"/>
                <w:iCs/>
                <w:color w:val="000000"/>
                <w:sz w:val="24"/>
                <w:szCs w:val="24"/>
                <w:lang w:val="sr-Cyrl-CS"/>
              </w:rPr>
              <w:t>тиме</w:t>
            </w:r>
            <w:r w:rsidRPr="00167D7A">
              <w:rPr>
                <w:rFonts w:ascii="Times New Roman" w:hAnsi="Times New Roman"/>
                <w:iCs/>
                <w:color w:val="000000"/>
                <w:sz w:val="24"/>
                <w:szCs w:val="24"/>
                <w:lang w:val="sr-Cyrl-CS"/>
              </w:rPr>
              <w:t xml:space="preserve"> </w:t>
            </w:r>
            <w:r w:rsidR="00167D7A" w:rsidRPr="00167D7A">
              <w:rPr>
                <w:rFonts w:ascii="Times New Roman" w:hAnsi="Times New Roman"/>
                <w:iCs/>
                <w:color w:val="000000"/>
                <w:sz w:val="24"/>
                <w:szCs w:val="24"/>
                <w:lang w:val="sr-Cyrl-CS"/>
              </w:rPr>
              <w:t>извршио</w:t>
            </w:r>
            <w:r w:rsidRPr="00167D7A">
              <w:rPr>
                <w:rFonts w:ascii="Times New Roman" w:hAnsi="Times New Roman"/>
                <w:iCs/>
                <w:color w:val="000000"/>
                <w:sz w:val="24"/>
                <w:szCs w:val="24"/>
                <w:lang w:val="sr-Cyrl-CS"/>
              </w:rPr>
              <w:t xml:space="preserve"> </w:t>
            </w:r>
            <w:r w:rsidR="00167D7A" w:rsidRPr="00167D7A">
              <w:rPr>
                <w:rFonts w:ascii="Times New Roman" w:hAnsi="Times New Roman"/>
                <w:iCs/>
                <w:color w:val="000000"/>
                <w:sz w:val="24"/>
                <w:szCs w:val="24"/>
                <w:lang w:val="sr-Cyrl-CS"/>
              </w:rPr>
              <w:t>кривично</w:t>
            </w:r>
            <w:r w:rsidRPr="00167D7A">
              <w:rPr>
                <w:rFonts w:ascii="Times New Roman" w:hAnsi="Times New Roman"/>
                <w:iCs/>
                <w:color w:val="000000"/>
                <w:sz w:val="24"/>
                <w:szCs w:val="24"/>
                <w:lang w:val="sr-Cyrl-CS"/>
              </w:rPr>
              <w:t xml:space="preserve"> </w:t>
            </w:r>
            <w:r w:rsidR="00167D7A" w:rsidRPr="00167D7A">
              <w:rPr>
                <w:rFonts w:ascii="Times New Roman" w:hAnsi="Times New Roman"/>
                <w:iCs/>
                <w:color w:val="000000"/>
                <w:sz w:val="24"/>
                <w:szCs w:val="24"/>
                <w:lang w:val="sr-Cyrl-CS"/>
              </w:rPr>
              <w:t>дело</w:t>
            </w:r>
            <w:r w:rsidRPr="00167D7A">
              <w:rPr>
                <w:rFonts w:ascii="Times New Roman" w:hAnsi="Times New Roman"/>
                <w:iCs/>
                <w:color w:val="000000"/>
                <w:sz w:val="24"/>
                <w:szCs w:val="24"/>
                <w:lang w:val="sr-Cyrl-CS"/>
              </w:rPr>
              <w:t xml:space="preserve"> </w:t>
            </w:r>
            <w:r w:rsidR="00167D7A" w:rsidRPr="00167D7A">
              <w:rPr>
                <w:rFonts w:ascii="Times New Roman" w:hAnsi="Times New Roman"/>
                <w:iCs/>
                <w:color w:val="000000"/>
                <w:sz w:val="24"/>
                <w:szCs w:val="24"/>
                <w:lang w:val="sr-Cyrl-CS"/>
              </w:rPr>
              <w:t>из</w:t>
            </w:r>
            <w:r w:rsidRPr="00167D7A">
              <w:rPr>
                <w:rFonts w:ascii="Times New Roman" w:hAnsi="Times New Roman"/>
                <w:iCs/>
                <w:color w:val="000000"/>
                <w:sz w:val="24"/>
                <w:szCs w:val="24"/>
                <w:lang w:val="sr-Cyrl-CS"/>
              </w:rPr>
              <w:t xml:space="preserve"> </w:t>
            </w:r>
            <w:r w:rsidR="00167D7A" w:rsidRPr="00167D7A">
              <w:rPr>
                <w:rFonts w:ascii="Times New Roman" w:hAnsi="Times New Roman"/>
                <w:iCs/>
                <w:color w:val="000000"/>
                <w:sz w:val="24"/>
                <w:szCs w:val="24"/>
                <w:lang w:val="sr-Cyrl-CS"/>
              </w:rPr>
              <w:t>члана</w:t>
            </w:r>
            <w:r w:rsidRPr="00167D7A">
              <w:rPr>
                <w:rFonts w:ascii="Times New Roman" w:hAnsi="Times New Roman"/>
                <w:iCs/>
                <w:color w:val="000000"/>
                <w:sz w:val="24"/>
                <w:szCs w:val="24"/>
                <w:lang w:val="sr-Cyrl-CS"/>
              </w:rPr>
              <w:t xml:space="preserve"> 154. </w:t>
            </w:r>
            <w:r w:rsidR="00167D7A" w:rsidRPr="00167D7A">
              <w:rPr>
                <w:rFonts w:ascii="Times New Roman" w:hAnsi="Times New Roman"/>
                <w:iCs/>
                <w:color w:val="000000"/>
                <w:sz w:val="24"/>
                <w:szCs w:val="24"/>
                <w:lang w:val="sr-Cyrl-CS"/>
              </w:rPr>
              <w:t>став</w:t>
            </w:r>
            <w:r w:rsidRPr="00167D7A">
              <w:rPr>
                <w:rFonts w:ascii="Times New Roman" w:hAnsi="Times New Roman"/>
                <w:iCs/>
                <w:color w:val="000000"/>
                <w:sz w:val="24"/>
                <w:szCs w:val="24"/>
                <w:lang w:val="sr-Cyrl-CS"/>
              </w:rPr>
              <w:t xml:space="preserve"> 1. </w:t>
            </w:r>
            <w:r w:rsidR="00167D7A" w:rsidRPr="00167D7A">
              <w:rPr>
                <w:rFonts w:ascii="Times New Roman" w:hAnsi="Times New Roman"/>
                <w:iCs/>
                <w:color w:val="000000"/>
                <w:sz w:val="24"/>
                <w:szCs w:val="24"/>
                <w:lang w:val="sr-Cyrl-CS"/>
              </w:rPr>
              <w:t>КЗ</w:t>
            </w:r>
            <w:r w:rsidRPr="00167D7A">
              <w:rPr>
                <w:rFonts w:ascii="Times New Roman" w:hAnsi="Times New Roman"/>
                <w:iCs/>
                <w:color w:val="000000"/>
                <w:sz w:val="24"/>
                <w:szCs w:val="24"/>
                <w:lang w:val="sr-Cyrl-CS"/>
              </w:rPr>
              <w:t xml:space="preserve"> </w:t>
            </w:r>
            <w:r w:rsidR="00167D7A" w:rsidRPr="00167D7A">
              <w:rPr>
                <w:rFonts w:ascii="Times New Roman" w:hAnsi="Times New Roman"/>
                <w:iCs/>
                <w:color w:val="000000"/>
                <w:sz w:val="24"/>
                <w:szCs w:val="24"/>
                <w:lang w:val="sr-Cyrl-CS"/>
              </w:rPr>
              <w:t>РС</w:t>
            </w:r>
            <w:r w:rsidRPr="003613B4">
              <w:rPr>
                <w:rFonts w:ascii="Arial" w:hAnsi="Arial" w:cs="Arial"/>
                <w:i/>
                <w:iCs/>
                <w:color w:val="000000"/>
                <w:sz w:val="18"/>
                <w:szCs w:val="18"/>
              </w:rPr>
              <w:t>.</w:t>
            </w:r>
            <w:r>
              <w:rPr>
                <w:rStyle w:val="FootnoteReference"/>
                <w:rFonts w:ascii="Arial" w:hAnsi="Arial" w:cs="Arial"/>
                <w:i/>
                <w:iCs/>
                <w:color w:val="000000"/>
                <w:sz w:val="18"/>
                <w:szCs w:val="18"/>
              </w:rPr>
              <w:footnoteReference w:id="333"/>
            </w:r>
          </w:p>
          <w:p w:rsidR="003613B4" w:rsidRPr="003613B4" w:rsidRDefault="003613B4" w:rsidP="003613B4">
            <w:pPr>
              <w:spacing w:before="48" w:after="48" w:line="240" w:lineRule="atLeast"/>
              <w:rPr>
                <w:rFonts w:ascii="Arial" w:hAnsi="Arial" w:cs="Arial"/>
                <w:color w:val="000000"/>
                <w:sz w:val="18"/>
                <w:szCs w:val="18"/>
              </w:rPr>
            </w:pPr>
          </w:p>
        </w:tc>
      </w:tr>
      <w:tr w:rsidR="00167D7A" w:rsidRPr="003613B4" w:rsidTr="003613B4">
        <w:trPr>
          <w:tblCellSpacing w:w="0" w:type="dxa"/>
        </w:trPr>
        <w:tc>
          <w:tcPr>
            <w:tcW w:w="0" w:type="auto"/>
            <w:shd w:val="clear" w:color="auto" w:fill="FFFFFF"/>
            <w:vAlign w:val="center"/>
          </w:tcPr>
          <w:p w:rsidR="00167D7A" w:rsidRPr="00167D7A" w:rsidRDefault="00167D7A" w:rsidP="00167D7A">
            <w:pPr>
              <w:spacing w:before="48" w:after="48" w:line="240" w:lineRule="atLeast"/>
              <w:jc w:val="both"/>
              <w:rPr>
                <w:rFonts w:ascii="Times New Roman" w:hAnsi="Times New Roman"/>
                <w:iCs/>
                <w:color w:val="000000"/>
                <w:sz w:val="24"/>
                <w:szCs w:val="24"/>
                <w:lang w:val="sr-Cyrl-CS"/>
              </w:rPr>
            </w:pPr>
          </w:p>
        </w:tc>
      </w:tr>
    </w:tbl>
    <w:p w:rsidR="00806E75" w:rsidRDefault="00806E75" w:rsidP="00167D7A">
      <w:pPr>
        <w:ind w:firstLine="708"/>
        <w:jc w:val="both"/>
        <w:rPr>
          <w:rFonts w:ascii="Times New Roman" w:hAnsi="Times New Roman"/>
          <w:sz w:val="24"/>
          <w:szCs w:val="24"/>
          <w:lang w:val="sr-Cyrl-CS"/>
        </w:rPr>
      </w:pPr>
      <w:r>
        <w:rPr>
          <w:rFonts w:ascii="Times New Roman" w:hAnsi="Times New Roman"/>
          <w:sz w:val="24"/>
          <w:szCs w:val="24"/>
          <w:lang w:val="sr-Cyrl-CS"/>
        </w:rPr>
        <w:t>Због свега наведеног, битну улогу у смањивању законите</w:t>
      </w:r>
      <w:r w:rsidR="00711270">
        <w:rPr>
          <w:rFonts w:ascii="Times New Roman" w:hAnsi="Times New Roman"/>
          <w:sz w:val="24"/>
          <w:szCs w:val="24"/>
          <w:lang w:val="sr-Cyrl-CS"/>
        </w:rPr>
        <w:t xml:space="preserve"> неприхватљиве</w:t>
      </w:r>
      <w:r>
        <w:rPr>
          <w:rFonts w:ascii="Times New Roman" w:hAnsi="Times New Roman"/>
          <w:sz w:val="24"/>
          <w:szCs w:val="24"/>
          <w:lang w:val="sr-Cyrl-CS"/>
        </w:rPr>
        <w:t>, али и незаконите евазије има поједностављење пореских прописа, који треба да буду јасни и лако применљиви у пракси. Честе измене пореских прописа, бројне допуне, разна тумачења, бројни подзаконски акти, свакако да отежавају доступност пореских прописа и доприносе избегавању плаћања пореза. Њихова успешна примена захтева висок ниво стручног знања, стално усавршавање и стално праћење актуелности, као и стручних тумачења и мишљења.</w:t>
      </w:r>
      <w:r w:rsidR="00167D7A">
        <w:rPr>
          <w:rFonts w:ascii="Times New Roman" w:hAnsi="Times New Roman"/>
          <w:sz w:val="24"/>
          <w:szCs w:val="24"/>
          <w:lang w:val="sr-Cyrl-CS"/>
        </w:rPr>
        <w:t xml:space="preserve">  </w:t>
      </w:r>
    </w:p>
    <w:p w:rsidR="00073607" w:rsidRDefault="00A70E0C" w:rsidP="00167D7A">
      <w:pPr>
        <w:ind w:firstLine="708"/>
        <w:jc w:val="both"/>
        <w:rPr>
          <w:rFonts w:ascii="Times New Roman" w:hAnsi="Times New Roman"/>
          <w:sz w:val="24"/>
          <w:szCs w:val="24"/>
          <w:lang w:val="sr-Cyrl-CS"/>
        </w:rPr>
      </w:pPr>
      <w:r>
        <w:rPr>
          <w:rFonts w:ascii="Times New Roman" w:hAnsi="Times New Roman"/>
          <w:sz w:val="24"/>
          <w:szCs w:val="24"/>
          <w:lang w:val="sr-Cyrl-CS"/>
        </w:rPr>
        <w:t>Према критеријумима т</w:t>
      </w:r>
      <w:r w:rsidR="00073607">
        <w:rPr>
          <w:rFonts w:ascii="Times New Roman" w:hAnsi="Times New Roman"/>
          <w:sz w:val="24"/>
          <w:szCs w:val="24"/>
          <w:lang w:val="sr-Cyrl-CS"/>
        </w:rPr>
        <w:t>ест</w:t>
      </w:r>
      <w:r>
        <w:rPr>
          <w:rFonts w:ascii="Times New Roman" w:hAnsi="Times New Roman"/>
          <w:sz w:val="24"/>
          <w:szCs w:val="24"/>
          <w:lang w:val="sr-Cyrl-CS"/>
        </w:rPr>
        <w:t>а</w:t>
      </w:r>
      <w:r w:rsidR="00073607">
        <w:rPr>
          <w:rFonts w:ascii="Times New Roman" w:hAnsi="Times New Roman"/>
          <w:sz w:val="24"/>
          <w:szCs w:val="24"/>
          <w:lang w:val="sr-Cyrl-CS"/>
        </w:rPr>
        <w:t xml:space="preserve"> постојања елемената вештачког (артифицијелног)</w:t>
      </w:r>
      <w:r>
        <w:rPr>
          <w:rFonts w:ascii="Times New Roman" w:hAnsi="Times New Roman"/>
          <w:sz w:val="24"/>
          <w:szCs w:val="24"/>
          <w:lang w:val="sr-Cyrl-CS"/>
        </w:rPr>
        <w:t xml:space="preserve"> и теста постојања решења надлежног пореског органа уколико је порески обвезник користећи артифицијелне (вештачке) конструкције избег</w:t>
      </w:r>
      <w:r w:rsidR="00167D7A">
        <w:rPr>
          <w:rFonts w:ascii="Times New Roman" w:hAnsi="Times New Roman"/>
          <w:sz w:val="24"/>
          <w:szCs w:val="24"/>
          <w:lang w:val="sr-Cyrl-CS"/>
        </w:rPr>
        <w:t xml:space="preserve">ао да плати порез и остварио </w:t>
      </w:r>
      <w:r>
        <w:rPr>
          <w:rFonts w:ascii="Times New Roman" w:hAnsi="Times New Roman"/>
          <w:sz w:val="24"/>
          <w:szCs w:val="24"/>
          <w:lang w:val="sr-Cyrl-CS"/>
        </w:rPr>
        <w:lastRenderedPageBreak/>
        <w:t xml:space="preserve">пореску уштеду, надлежни порески орган то утврђује својим решењем. Конструкција која </w:t>
      </w:r>
      <w:r w:rsidR="00167D7A">
        <w:rPr>
          <w:rFonts w:ascii="Times New Roman" w:hAnsi="Times New Roman"/>
          <w:sz w:val="24"/>
          <w:szCs w:val="24"/>
          <w:lang w:val="sr-Cyrl-CS"/>
        </w:rPr>
        <w:t xml:space="preserve">је </w:t>
      </w:r>
      <w:r>
        <w:rPr>
          <w:rFonts w:ascii="Times New Roman" w:hAnsi="Times New Roman"/>
          <w:sz w:val="24"/>
          <w:szCs w:val="24"/>
          <w:lang w:val="sr-Cyrl-CS"/>
        </w:rPr>
        <w:t>употребљена не би имала тај облик да нема за циљ пореску евазију.</w:t>
      </w:r>
    </w:p>
    <w:p w:rsidR="00806E75" w:rsidRDefault="00426076" w:rsidP="00167D7A">
      <w:pPr>
        <w:ind w:firstLine="708"/>
        <w:jc w:val="both"/>
        <w:rPr>
          <w:rFonts w:ascii="Times New Roman" w:hAnsi="Times New Roman"/>
          <w:sz w:val="24"/>
          <w:szCs w:val="24"/>
          <w:lang w:val="sr-Cyrl-CS"/>
        </w:rPr>
      </w:pPr>
      <w:r>
        <w:rPr>
          <w:rFonts w:ascii="Times New Roman" w:hAnsi="Times New Roman"/>
          <w:sz w:val="24"/>
          <w:szCs w:val="24"/>
          <w:lang w:val="sr-Cyrl-CS"/>
        </w:rPr>
        <w:t>П</w:t>
      </w:r>
      <w:r w:rsidR="00806E75">
        <w:rPr>
          <w:rFonts w:ascii="Times New Roman" w:hAnsi="Times New Roman"/>
          <w:sz w:val="24"/>
          <w:szCs w:val="24"/>
          <w:lang w:val="sr-Cyrl-CS"/>
        </w:rPr>
        <w:t>ореске чињенице се утврђују према њиховој економској суштини. Ако се симулованим правним послом прикрива неки други правни посао, за утврђивање пореске обавезе основу чини дисимулован правни посао. Када су на прописима супротан начин остварени приходи, односно стечена имовина, Пореска управа ће утврдити пореску обавезу у складу са законом којим се уређује одговарајућа врста пореза.</w:t>
      </w:r>
      <w:r>
        <w:rPr>
          <w:rStyle w:val="FootnoteReference"/>
          <w:rFonts w:ascii="Times New Roman" w:hAnsi="Times New Roman"/>
          <w:sz w:val="24"/>
          <w:szCs w:val="24"/>
          <w:lang w:val="sr-Cyrl-CS"/>
        </w:rPr>
        <w:footnoteReference w:id="334"/>
      </w:r>
      <w:r w:rsidR="00806E75">
        <w:rPr>
          <w:rFonts w:ascii="Times New Roman" w:hAnsi="Times New Roman"/>
          <w:sz w:val="24"/>
          <w:szCs w:val="24"/>
          <w:lang w:val="sr-Cyrl-CS"/>
        </w:rPr>
        <w:t xml:space="preserve"> </w:t>
      </w:r>
      <w:r>
        <w:rPr>
          <w:rFonts w:ascii="Times New Roman" w:hAnsi="Times New Roman"/>
          <w:sz w:val="24"/>
          <w:szCs w:val="24"/>
          <w:lang w:val="sr-Cyrl-CS"/>
        </w:rPr>
        <w:t>До незаконитог избегавања плаћања пореза долази само у случају када је порески орган доведен у заблуду, па је на основу пореске</w:t>
      </w:r>
      <w:r w:rsidR="00167D7A">
        <w:rPr>
          <w:rFonts w:ascii="Times New Roman" w:hAnsi="Times New Roman"/>
          <w:sz w:val="24"/>
          <w:szCs w:val="24"/>
          <w:lang w:val="sr-Cyrl-CS"/>
        </w:rPr>
        <w:t xml:space="preserve"> пријаве</w:t>
      </w:r>
      <w:r>
        <w:rPr>
          <w:rFonts w:ascii="Times New Roman" w:hAnsi="Times New Roman"/>
          <w:sz w:val="24"/>
          <w:szCs w:val="24"/>
          <w:lang w:val="sr-Cyrl-CS"/>
        </w:rPr>
        <w:t xml:space="preserve"> са</w:t>
      </w:r>
      <w:r w:rsidR="00167D7A">
        <w:rPr>
          <w:rFonts w:ascii="Times New Roman" w:hAnsi="Times New Roman"/>
          <w:sz w:val="24"/>
          <w:szCs w:val="24"/>
          <w:lang w:val="sr-Cyrl-CS"/>
        </w:rPr>
        <w:t xml:space="preserve"> нетачним и непотпуним подацима</w:t>
      </w:r>
      <w:r>
        <w:rPr>
          <w:rFonts w:ascii="Times New Roman" w:hAnsi="Times New Roman"/>
          <w:sz w:val="24"/>
          <w:szCs w:val="24"/>
          <w:lang w:val="sr-Cyrl-CS"/>
        </w:rPr>
        <w:t xml:space="preserve"> утврђена решењем мања пореска обавеза. Уколико се након контроле утврде неправилности и на основу правилно утврђеног чињеничног стања решењем утврди пореска обавеза у складу са законом, неће доћи до незаконитог избегавања плаћања пореза</w:t>
      </w:r>
      <w:r w:rsidR="00360BC4">
        <w:rPr>
          <w:rFonts w:ascii="Times New Roman" w:hAnsi="Times New Roman"/>
          <w:sz w:val="24"/>
          <w:szCs w:val="24"/>
          <w:lang w:val="sr-Cyrl-CS"/>
        </w:rPr>
        <w:t>.</w:t>
      </w:r>
    </w:p>
    <w:p w:rsidR="00A74A8E" w:rsidRDefault="003349C1" w:rsidP="00A74A8E">
      <w:pPr>
        <w:ind w:firstLine="708"/>
        <w:jc w:val="both"/>
        <w:rPr>
          <w:rFonts w:ascii="Times New Roman" w:hAnsi="Times New Roman"/>
          <w:sz w:val="24"/>
          <w:szCs w:val="24"/>
          <w:lang w:val="sr-Cyrl-CS"/>
        </w:rPr>
      </w:pPr>
      <w:r>
        <w:rPr>
          <w:rFonts w:ascii="Times New Roman" w:hAnsi="Times New Roman"/>
          <w:sz w:val="24"/>
          <w:szCs w:val="24"/>
          <w:lang w:val="sr-Cyrl-CS"/>
        </w:rPr>
        <w:t>Ситуација када се за исти производ који је набављен или услугу која је извршена изврши плаћање више пута истом или другом добављачу, (у ком случају постоје новчани токови које у целости не прати промет роба и услуга већ само фиктивна документација) може се шематски приказати на следећи начин:</w:t>
      </w:r>
    </w:p>
    <w:p w:rsidR="0089326D" w:rsidRPr="00035C4C" w:rsidRDefault="0089326D" w:rsidP="00035C4C">
      <w:pPr>
        <w:jc w:val="both"/>
        <w:rPr>
          <w:rFonts w:ascii="Times New Roman" w:hAnsi="Times New Roman"/>
          <w:sz w:val="24"/>
          <w:szCs w:val="24"/>
          <w:lang w:val="sr-Cyrl-CS"/>
        </w:rPr>
      </w:pPr>
    </w:p>
    <w:p w:rsidR="003349C1" w:rsidRDefault="00A74A8E" w:rsidP="00167D7A">
      <w:pPr>
        <w:ind w:firstLine="708"/>
        <w:jc w:val="both"/>
        <w:rPr>
          <w:rFonts w:ascii="Times New Roman" w:hAnsi="Times New Roman"/>
          <w:b/>
          <w:sz w:val="24"/>
          <w:szCs w:val="24"/>
          <w:lang w:val="sr-Cyrl-CS"/>
        </w:rPr>
      </w:pPr>
      <w:r>
        <w:rPr>
          <w:rFonts w:ascii="Times New Roman" w:hAnsi="Times New Roman"/>
          <w:b/>
          <w:sz w:val="24"/>
          <w:szCs w:val="24"/>
          <w:lang w:val="sr-Cyrl-CS"/>
        </w:rPr>
        <w:t>Слика 10</w:t>
      </w:r>
      <w:r w:rsidR="009F6BE7" w:rsidRPr="009F6BE7">
        <w:rPr>
          <w:rFonts w:ascii="Times New Roman" w:hAnsi="Times New Roman"/>
          <w:b/>
          <w:sz w:val="24"/>
          <w:szCs w:val="24"/>
          <w:lang w:val="sr-Cyrl-CS"/>
        </w:rPr>
        <w:t>.</w:t>
      </w:r>
      <w:r w:rsidR="009F6BE7" w:rsidRPr="009F6BE7">
        <w:rPr>
          <w:rStyle w:val="FootnoteReference"/>
          <w:rFonts w:ascii="Times New Roman" w:hAnsi="Times New Roman"/>
          <w:sz w:val="24"/>
          <w:szCs w:val="24"/>
          <w:lang w:val="sr-Cyrl-CS"/>
        </w:rPr>
        <w:footnoteReference w:id="335"/>
      </w:r>
    </w:p>
    <w:p w:rsidR="003349C1" w:rsidRPr="00666F91" w:rsidRDefault="003349C1" w:rsidP="00666F91">
      <w:pPr>
        <w:ind w:firstLine="708"/>
        <w:jc w:val="both"/>
        <w:rPr>
          <w:rFonts w:ascii="Times New Roman" w:hAnsi="Times New Roman"/>
          <w:b/>
          <w:sz w:val="18"/>
          <w:szCs w:val="18"/>
          <w:lang w:val="sr-Cyrl-CS"/>
        </w:rPr>
      </w:pPr>
      <w:r>
        <w:rPr>
          <w:rFonts w:ascii="Times New Roman" w:hAnsi="Times New Roman"/>
          <w:sz w:val="24"/>
          <w:szCs w:val="24"/>
          <w:lang w:val="sr-Cyrl-CS"/>
        </w:rPr>
        <w:t xml:space="preserve">     </w:t>
      </w:r>
      <w:r w:rsidR="00666F91">
        <w:rPr>
          <w:rFonts w:ascii="Times New Roman" w:hAnsi="Times New Roman"/>
          <w:b/>
          <w:sz w:val="18"/>
          <w:szCs w:val="18"/>
          <w:lang w:val="sr-Cyrl-CS"/>
        </w:rPr>
        <w:t>Нема испоруке робе                                                           Плаћање 1</w:t>
      </w:r>
      <w:r>
        <w:rPr>
          <w:rFonts w:ascii="Times New Roman" w:hAnsi="Times New Roman"/>
          <w:sz w:val="24"/>
          <w:szCs w:val="24"/>
          <w:lang w:val="sr-Cyrl-CS"/>
        </w:rPr>
        <w:t xml:space="preserve">                  </w:t>
      </w:r>
    </w:p>
    <w:p w:rsidR="003349C1" w:rsidRDefault="00616181" w:rsidP="00167D7A">
      <w:pPr>
        <w:ind w:firstLine="708"/>
        <w:jc w:val="both"/>
        <w:rPr>
          <w:rFonts w:ascii="Times New Roman" w:hAnsi="Times New Roman"/>
          <w:sz w:val="24"/>
          <w:szCs w:val="24"/>
          <w:lang w:val="sr-Cyrl-CS"/>
        </w:rPr>
      </w:pPr>
      <w:r>
        <w:rPr>
          <w:rFonts w:ascii="Times New Roman" w:hAnsi="Times New Roman"/>
          <w:noProof/>
          <w:sz w:val="24"/>
          <w:szCs w:val="24"/>
        </w:rPr>
        <w:pict>
          <v:oval id="_x0000_s1386" style="position:absolute;left:0;text-align:left;margin-left:161.7pt;margin-top:15.3pt;width:54pt;height:39.75pt;z-index:251759104">
            <v:textbox style="mso-next-textbox:#_x0000_s1386">
              <w:txbxContent>
                <w:p w:rsidR="00767127" w:rsidRPr="0006385D" w:rsidRDefault="00767127">
                  <w:pPr>
                    <w:rPr>
                      <w:lang w:val="sr-Cyrl-CS"/>
                    </w:rPr>
                  </w:pPr>
                  <w:r>
                    <w:rPr>
                      <w:lang w:val="sr-Cyrl-CS"/>
                    </w:rPr>
                    <w:t>купац</w:t>
                  </w:r>
                </w:p>
              </w:txbxContent>
            </v:textbox>
          </v:oval>
        </w:pict>
      </w:r>
      <w:r>
        <w:rPr>
          <w:rFonts w:ascii="Times New Roman" w:hAnsi="Times New Roman"/>
          <w:noProof/>
          <w:sz w:val="24"/>
          <w:szCs w:val="24"/>
        </w:rPr>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453" type="#_x0000_t86" style="position:absolute;left:0;text-align:left;margin-left:140.7pt;margin-top:9.9pt;width:10.5pt;height:31.5pt;z-index:251800064"/>
        </w:pict>
      </w:r>
      <w:r>
        <w:rPr>
          <w:rFonts w:ascii="Times New Roman" w:hAnsi="Times New Roman"/>
          <w:noProof/>
          <w:sz w:val="24"/>
          <w:szCs w:val="24"/>
        </w:rPr>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447" type="#_x0000_t85" style="position:absolute;left:0;text-align:left;margin-left:25.55pt;margin-top:9.9pt;width:7.15pt;height:31.5pt;z-index:251794944"/>
        </w:pict>
      </w:r>
      <w:r>
        <w:rPr>
          <w:rFonts w:ascii="Times New Roman" w:hAnsi="Times New Roman"/>
          <w:noProof/>
          <w:sz w:val="24"/>
          <w:szCs w:val="24"/>
        </w:rPr>
        <w:pict>
          <v:shape id="_x0000_s1438" type="#_x0000_t86" style="position:absolute;left:0;text-align:left;margin-left:355.95pt;margin-top:9.9pt;width:15pt;height:31.5pt;z-index:251787776"/>
        </w:pict>
      </w:r>
      <w:r>
        <w:rPr>
          <w:rFonts w:ascii="Times New Roman" w:hAnsi="Times New Roman"/>
          <w:noProof/>
          <w:sz w:val="24"/>
          <w:szCs w:val="24"/>
        </w:rPr>
        <w:pict>
          <v:shape id="_x0000_s1430" type="#_x0000_t85" style="position:absolute;left:0;text-align:left;margin-left:236.7pt;margin-top:9.9pt;width:10.5pt;height:31.5pt;z-index:251786752"/>
        </w:pict>
      </w:r>
      <w:r>
        <w:rPr>
          <w:rFonts w:ascii="Times New Roman" w:hAnsi="Times New Roman"/>
          <w:noProof/>
          <w:sz w:val="24"/>
          <w:szCs w:val="24"/>
        </w:rPr>
        <w:pict>
          <v:shape id="_x0000_s1421" type="#_x0000_t32" style="position:absolute;left:0;text-align:left;margin-left:243.45pt;margin-top:9.9pt;width:117pt;height:0;z-index:251784704" o:connectortype="straight">
            <v:stroke endarrow="block"/>
          </v:shape>
        </w:pict>
      </w:r>
      <w:r>
        <w:rPr>
          <w:rFonts w:ascii="Times New Roman" w:hAnsi="Times New Roman"/>
          <w:noProof/>
          <w:sz w:val="24"/>
          <w:szCs w:val="24"/>
        </w:rPr>
        <w:pict>
          <v:shape id="_x0000_s1417" type="#_x0000_t32" style="position:absolute;left:0;text-align:left;margin-left:32.7pt;margin-top:9.9pt;width:108pt;height:0;z-index:251780608" o:connectortype="straight">
            <v:stroke endarrow="block"/>
          </v:shape>
        </w:pict>
      </w:r>
      <w:r>
        <w:rPr>
          <w:rFonts w:ascii="Times New Roman" w:hAnsi="Times New Roman"/>
          <w:noProof/>
          <w:sz w:val="24"/>
          <w:szCs w:val="24"/>
        </w:rPr>
        <w:pict>
          <v:oval id="_x0000_s1398" style="position:absolute;left:0;text-align:left;margin-left:385.95pt;margin-top:21.3pt;width:54pt;height:39pt;z-index:251768320">
            <v:textbox>
              <w:txbxContent>
                <w:p w:rsidR="00767127" w:rsidRPr="0006385D" w:rsidRDefault="00767127">
                  <w:pPr>
                    <w:rPr>
                      <w:sz w:val="18"/>
                      <w:szCs w:val="18"/>
                      <w:lang w:val="sr-Cyrl-CS"/>
                    </w:rPr>
                  </w:pPr>
                  <w:r>
                    <w:rPr>
                      <w:sz w:val="18"/>
                      <w:szCs w:val="18"/>
                      <w:lang w:val="sr-Cyrl-CS"/>
                    </w:rPr>
                    <w:t>Доба-вљач</w:t>
                  </w:r>
                </w:p>
              </w:txbxContent>
            </v:textbox>
          </v:oval>
        </w:pict>
      </w:r>
      <w:r>
        <w:rPr>
          <w:rFonts w:ascii="Times New Roman" w:hAnsi="Times New Roman"/>
          <w:noProof/>
          <w:sz w:val="24"/>
          <w:szCs w:val="24"/>
        </w:rPr>
        <w:pict>
          <v:rect id="_x0000_s1378" style="position:absolute;left:0;text-align:left;margin-left:-31.05pt;margin-top:21.3pt;width:45pt;height:63.75pt;z-index:251751936">
            <v:textbox>
              <w:txbxContent>
                <w:p w:rsidR="00767127" w:rsidRPr="0006385D" w:rsidRDefault="00767127">
                  <w:pPr>
                    <w:rPr>
                      <w:sz w:val="18"/>
                      <w:szCs w:val="18"/>
                      <w:lang w:val="sr-Cyrl-CS"/>
                    </w:rPr>
                  </w:pPr>
                  <w:r>
                    <w:rPr>
                      <w:sz w:val="18"/>
                      <w:szCs w:val="18"/>
                      <w:lang w:val="sr-Cyrl-CS"/>
                    </w:rPr>
                    <w:t>Фикти-вни добављач</w:t>
                  </w:r>
                </w:p>
              </w:txbxContent>
            </v:textbox>
          </v:rect>
        </w:pict>
      </w:r>
      <w:r w:rsidR="008F562F">
        <w:rPr>
          <w:rFonts w:ascii="Times New Roman" w:hAnsi="Times New Roman"/>
          <w:sz w:val="24"/>
          <w:szCs w:val="24"/>
          <w:lang w:val="sr-Cyrl-CS"/>
        </w:rPr>
        <w:t xml:space="preserve">     </w:t>
      </w:r>
    </w:p>
    <w:p w:rsidR="003349C1" w:rsidRDefault="00616181" w:rsidP="00167D7A">
      <w:pPr>
        <w:ind w:firstLine="708"/>
        <w:jc w:val="both"/>
        <w:rPr>
          <w:rFonts w:ascii="Times New Roman" w:hAnsi="Times New Roman"/>
          <w:sz w:val="24"/>
          <w:szCs w:val="24"/>
          <w:lang w:val="sr-Cyrl-CS"/>
        </w:rPr>
      </w:pPr>
      <w:r>
        <w:rPr>
          <w:rFonts w:ascii="Times New Roman" w:hAnsi="Times New Roman"/>
          <w:noProof/>
          <w:sz w:val="24"/>
          <w:szCs w:val="24"/>
        </w:rPr>
        <w:pict>
          <v:shape id="_x0000_s1459" type="#_x0000_t86" style="position:absolute;left:0;text-align:left;margin-left:360.45pt;margin-top:15.5pt;width:16.5pt;height:30pt;z-index:251804160"/>
        </w:pict>
      </w:r>
      <w:r>
        <w:rPr>
          <w:rFonts w:ascii="Times New Roman" w:hAnsi="Times New Roman"/>
          <w:noProof/>
          <w:sz w:val="24"/>
          <w:szCs w:val="24"/>
        </w:rPr>
        <w:pict>
          <v:shape id="_x0000_s1451" type="#_x0000_t86" style="position:absolute;left:0;text-align:left;margin-left:133.2pt;margin-top:15.5pt;width:18pt;height:30pt;z-index:251799040"/>
        </w:pict>
      </w:r>
      <w:r>
        <w:rPr>
          <w:rFonts w:ascii="Times New Roman" w:hAnsi="Times New Roman"/>
          <w:noProof/>
          <w:sz w:val="24"/>
          <w:szCs w:val="24"/>
        </w:rPr>
        <w:pict>
          <v:shape id="_x0000_s1448" type="#_x0000_t85" style="position:absolute;left:0;text-align:left;margin-left:25.55pt;margin-top:15.5pt;width:7.15pt;height:30pt;z-index:251795968"/>
        </w:pict>
      </w:r>
      <w:r>
        <w:rPr>
          <w:rFonts w:ascii="Times New Roman" w:hAnsi="Times New Roman"/>
          <w:noProof/>
          <w:sz w:val="24"/>
          <w:szCs w:val="24"/>
        </w:rPr>
        <w:pict>
          <v:shape id="_x0000_s1442" type="#_x0000_t85" style="position:absolute;left:0;text-align:left;margin-left:236.7pt;margin-top:15.5pt;width:10.5pt;height:30pt;z-index:251790848"/>
        </w:pict>
      </w:r>
      <w:r>
        <w:rPr>
          <w:rFonts w:ascii="Times New Roman" w:hAnsi="Times New Roman"/>
          <w:noProof/>
          <w:sz w:val="24"/>
          <w:szCs w:val="24"/>
        </w:rPr>
        <w:pict>
          <v:shape id="_x0000_s1422" type="#_x0000_t32" style="position:absolute;left:0;text-align:left;margin-left:247.2pt;margin-top:15.5pt;width:113.25pt;height:0;flip:x;z-index:251785728" o:connectortype="straight">
            <v:stroke endarrow="block"/>
          </v:shape>
        </w:pict>
      </w:r>
      <w:r>
        <w:rPr>
          <w:rFonts w:ascii="Times New Roman" w:hAnsi="Times New Roman"/>
          <w:noProof/>
          <w:sz w:val="24"/>
          <w:szCs w:val="24"/>
        </w:rPr>
        <w:pict>
          <v:shape id="_x0000_s1418" type="#_x0000_t32" style="position:absolute;left:0;text-align:left;margin-left:32.7pt;margin-top:15.5pt;width:100.5pt;height:0;flip:x;z-index:251781632" o:connectortype="straight">
            <v:stroke endarrow="block"/>
          </v:shape>
        </w:pict>
      </w:r>
    </w:p>
    <w:p w:rsidR="003349C1" w:rsidRDefault="00616181" w:rsidP="00167D7A">
      <w:pPr>
        <w:ind w:firstLine="708"/>
        <w:jc w:val="both"/>
        <w:rPr>
          <w:rFonts w:ascii="Times New Roman" w:hAnsi="Times New Roman"/>
          <w:sz w:val="24"/>
          <w:szCs w:val="24"/>
          <w:lang w:val="sr-Cyrl-CS"/>
        </w:rPr>
      </w:pPr>
      <w:r>
        <w:rPr>
          <w:rFonts w:ascii="Times New Roman" w:hAnsi="Times New Roman"/>
          <w:noProof/>
          <w:sz w:val="24"/>
          <w:szCs w:val="24"/>
        </w:rPr>
        <w:pict>
          <v:shape id="_x0000_s1461" type="#_x0000_t32" style="position:absolute;left:0;text-align:left;margin-left:189.45pt;margin-top:3.3pt;width:47.25pt;height:80.25pt;z-index:251806208" o:connectortype="straight"/>
        </w:pict>
      </w:r>
      <w:r>
        <w:rPr>
          <w:rFonts w:ascii="Times New Roman" w:hAnsi="Times New Roman"/>
          <w:noProof/>
          <w:sz w:val="24"/>
          <w:szCs w:val="24"/>
        </w:rPr>
        <w:pict>
          <v:shape id="_x0000_s1460" type="#_x0000_t32" style="position:absolute;left:0;text-align:left;margin-left:146.7pt;margin-top:3.3pt;width:42.75pt;height:80.25pt;flip:x;z-index:251805184" o:connectortype="straight"/>
        </w:pict>
      </w:r>
      <w:r>
        <w:rPr>
          <w:rFonts w:ascii="Times New Roman" w:hAnsi="Times New Roman"/>
          <w:noProof/>
          <w:sz w:val="24"/>
          <w:szCs w:val="24"/>
        </w:rPr>
        <w:pict>
          <v:shape id="_x0000_s1456" type="#_x0000_t86" style="position:absolute;left:0;text-align:left;margin-left:360.45pt;margin-top:19.65pt;width:16.5pt;height:27pt;z-index:251803136"/>
        </w:pict>
      </w:r>
      <w:r>
        <w:rPr>
          <w:rFonts w:ascii="Times New Roman" w:hAnsi="Times New Roman"/>
          <w:noProof/>
          <w:sz w:val="24"/>
          <w:szCs w:val="24"/>
        </w:rPr>
        <w:pict>
          <v:shape id="_x0000_s1454" type="#_x0000_t86" style="position:absolute;left:0;text-align:left;margin-left:140.7pt;margin-top:19.65pt;width:10.5pt;height:27pt;z-index:251801088"/>
        </w:pict>
      </w:r>
      <w:r>
        <w:rPr>
          <w:rFonts w:ascii="Times New Roman" w:hAnsi="Times New Roman"/>
          <w:noProof/>
          <w:sz w:val="24"/>
          <w:szCs w:val="24"/>
        </w:rPr>
        <w:pict>
          <v:shape id="_x0000_s1449" type="#_x0000_t85" style="position:absolute;left:0;text-align:left;margin-left:25.55pt;margin-top:19.65pt;width:7.15pt;height:27pt;z-index:251796992"/>
        </w:pict>
      </w:r>
      <w:r>
        <w:rPr>
          <w:rFonts w:ascii="Times New Roman" w:hAnsi="Times New Roman"/>
          <w:noProof/>
          <w:sz w:val="24"/>
          <w:szCs w:val="24"/>
        </w:rPr>
        <w:pict>
          <v:shape id="_x0000_s1443" type="#_x0000_t85" style="position:absolute;left:0;text-align:left;margin-left:236.3pt;margin-top:19.65pt;width:7.15pt;height:27pt;z-index:251791872"/>
        </w:pict>
      </w:r>
      <w:r>
        <w:rPr>
          <w:rFonts w:ascii="Times New Roman" w:hAnsi="Times New Roman"/>
          <w:noProof/>
          <w:sz w:val="24"/>
          <w:szCs w:val="24"/>
        </w:rPr>
        <w:pict>
          <v:shape id="_x0000_s1439" type="#_x0000_t32" style="position:absolute;left:0;text-align:left;margin-left:250.95pt;margin-top:19.65pt;width:120pt;height:0;z-index:251788800" o:connectortype="straight"/>
        </w:pict>
      </w:r>
      <w:r>
        <w:rPr>
          <w:rFonts w:ascii="Times New Roman" w:hAnsi="Times New Roman"/>
          <w:noProof/>
          <w:sz w:val="24"/>
          <w:szCs w:val="24"/>
        </w:rPr>
        <w:pict>
          <v:shape id="_x0000_s1419" type="#_x0000_t32" style="position:absolute;left:0;text-align:left;margin-left:32.7pt;margin-top:19.65pt;width:108pt;height:0;flip:x;z-index:251782656" o:connectortype="straight">
            <v:stroke endarrow="block"/>
          </v:shape>
        </w:pict>
      </w:r>
    </w:p>
    <w:p w:rsidR="003349C1" w:rsidRDefault="00616181" w:rsidP="00167D7A">
      <w:pPr>
        <w:ind w:firstLine="708"/>
        <w:jc w:val="both"/>
        <w:rPr>
          <w:rFonts w:ascii="Times New Roman" w:hAnsi="Times New Roman"/>
          <w:color w:val="000000"/>
          <w:sz w:val="24"/>
          <w:szCs w:val="24"/>
          <w:shd w:val="clear" w:color="auto" w:fill="FFFFFF"/>
          <w:lang w:val="sr-Cyrl-CS"/>
        </w:rPr>
      </w:pPr>
      <w:r>
        <w:rPr>
          <w:rFonts w:ascii="Times New Roman" w:hAnsi="Times New Roman"/>
          <w:noProof/>
          <w:color w:val="000000"/>
          <w:sz w:val="24"/>
          <w:szCs w:val="24"/>
        </w:rPr>
        <w:pict>
          <v:shape id="_x0000_s1440" type="#_x0000_t32" style="position:absolute;left:0;text-align:left;margin-left:250.95pt;margin-top:20.8pt;width:126pt;height:0;z-index:251789824" o:connectortype="straight"/>
        </w:pict>
      </w:r>
      <w:r>
        <w:rPr>
          <w:rFonts w:ascii="Times New Roman" w:hAnsi="Times New Roman"/>
          <w:noProof/>
          <w:color w:val="000000"/>
          <w:sz w:val="24"/>
          <w:szCs w:val="24"/>
        </w:rPr>
        <w:pict>
          <v:shape id="_x0000_s1420" type="#_x0000_t32" style="position:absolute;left:0;text-align:left;margin-left:32.7pt;margin-top:20.8pt;width:108pt;height:0;flip:x;z-index:251783680" o:connectortype="straight">
            <v:stroke endarrow="block"/>
          </v:shape>
        </w:pict>
      </w:r>
    </w:p>
    <w:p w:rsidR="003349C1" w:rsidRDefault="003349C1" w:rsidP="00167D7A">
      <w:pPr>
        <w:ind w:firstLine="708"/>
        <w:jc w:val="both"/>
        <w:rPr>
          <w:rFonts w:ascii="Times New Roman" w:hAnsi="Times New Roman"/>
          <w:color w:val="000000"/>
          <w:sz w:val="24"/>
          <w:szCs w:val="24"/>
          <w:shd w:val="clear" w:color="auto" w:fill="FFFFFF"/>
          <w:lang w:val="sr-Cyrl-CS"/>
        </w:rPr>
      </w:pPr>
    </w:p>
    <w:p w:rsidR="003349C1" w:rsidRDefault="00616181" w:rsidP="00167D7A">
      <w:pPr>
        <w:ind w:firstLine="708"/>
        <w:jc w:val="both"/>
        <w:rPr>
          <w:rFonts w:ascii="Times New Roman" w:hAnsi="Times New Roman"/>
          <w:color w:val="000000"/>
          <w:sz w:val="24"/>
          <w:szCs w:val="24"/>
          <w:shd w:val="clear" w:color="auto" w:fill="FFFFFF"/>
          <w:lang w:val="sr-Cyrl-CS"/>
        </w:rPr>
      </w:pPr>
      <w:r>
        <w:rPr>
          <w:rFonts w:ascii="Times New Roman" w:hAnsi="Times New Roman"/>
          <w:noProof/>
          <w:color w:val="000000"/>
          <w:sz w:val="24"/>
          <w:szCs w:val="24"/>
        </w:rPr>
        <w:pict>
          <v:rect id="_x0000_s1389" style="position:absolute;left:0;text-align:left;margin-left:205.2pt;margin-top:5.95pt;width:69pt;height:43.5pt;z-index:251761152">
            <v:textbox>
              <w:txbxContent>
                <w:p w:rsidR="00767127" w:rsidRDefault="00767127">
                  <w:pPr>
                    <w:rPr>
                      <w:lang w:val="sr-Cyrl-CS"/>
                    </w:rPr>
                  </w:pPr>
                  <w:r>
                    <w:rPr>
                      <w:lang w:val="sr-Cyrl-CS"/>
                    </w:rPr>
                    <w:t>Умањени</w:t>
                  </w:r>
                </w:p>
                <w:p w:rsidR="00767127" w:rsidRPr="0006385D" w:rsidRDefault="00767127">
                  <w:pPr>
                    <w:rPr>
                      <w:lang w:val="sr-Cyrl-CS"/>
                    </w:rPr>
                  </w:pPr>
                  <w:r>
                    <w:rPr>
                      <w:lang w:val="sr-Cyrl-CS"/>
                    </w:rPr>
                    <w:t>приход</w:t>
                  </w:r>
                </w:p>
              </w:txbxContent>
            </v:textbox>
          </v:rect>
        </w:pict>
      </w:r>
      <w:r>
        <w:rPr>
          <w:rFonts w:ascii="Times New Roman" w:hAnsi="Times New Roman"/>
          <w:noProof/>
          <w:color w:val="000000"/>
          <w:sz w:val="24"/>
          <w:szCs w:val="24"/>
        </w:rPr>
        <w:pict>
          <v:rect id="_x0000_s1387" style="position:absolute;left:0;text-align:left;margin-left:105.45pt;margin-top:5.95pt;width:68.25pt;height:43.5pt;z-index:251760128">
            <v:textbox>
              <w:txbxContent>
                <w:p w:rsidR="00767127" w:rsidRDefault="00767127">
                  <w:pPr>
                    <w:rPr>
                      <w:lang w:val="sr-Cyrl-CS"/>
                    </w:rPr>
                  </w:pPr>
                  <w:r>
                    <w:rPr>
                      <w:lang w:val="sr-Cyrl-CS"/>
                    </w:rPr>
                    <w:t>Умањена</w:t>
                  </w:r>
                </w:p>
                <w:p w:rsidR="00767127" w:rsidRPr="0006385D" w:rsidRDefault="00767127">
                  <w:pPr>
                    <w:rPr>
                      <w:lang w:val="sr-Cyrl-CS"/>
                    </w:rPr>
                  </w:pPr>
                  <w:r>
                    <w:rPr>
                      <w:lang w:val="sr-Cyrl-CS"/>
                    </w:rPr>
                    <w:t>добит</w:t>
                  </w:r>
                </w:p>
              </w:txbxContent>
            </v:textbox>
          </v:rect>
        </w:pict>
      </w:r>
    </w:p>
    <w:p w:rsidR="003349C1" w:rsidRDefault="003349C1" w:rsidP="00167D7A">
      <w:pPr>
        <w:ind w:firstLine="708"/>
        <w:jc w:val="both"/>
        <w:rPr>
          <w:rFonts w:ascii="Times New Roman" w:hAnsi="Times New Roman"/>
          <w:color w:val="000000"/>
          <w:sz w:val="24"/>
          <w:szCs w:val="24"/>
          <w:shd w:val="clear" w:color="auto" w:fill="FFFFFF"/>
          <w:lang w:val="sr-Cyrl-CS"/>
        </w:rPr>
      </w:pPr>
    </w:p>
    <w:p w:rsidR="003349C1" w:rsidRDefault="003349C1" w:rsidP="00167D7A">
      <w:pPr>
        <w:ind w:firstLine="708"/>
        <w:jc w:val="both"/>
        <w:rPr>
          <w:rFonts w:ascii="Times New Roman" w:hAnsi="Times New Roman"/>
          <w:color w:val="000000"/>
          <w:sz w:val="24"/>
          <w:szCs w:val="24"/>
          <w:shd w:val="clear" w:color="auto" w:fill="FFFFFF"/>
          <w:lang w:val="sr-Cyrl-CS"/>
        </w:rPr>
      </w:pPr>
    </w:p>
    <w:p w:rsidR="00B84A4B" w:rsidRDefault="00B84A4B" w:rsidP="00167D7A">
      <w:pPr>
        <w:ind w:firstLine="708"/>
        <w:jc w:val="both"/>
        <w:rPr>
          <w:rFonts w:ascii="Times New Roman" w:hAnsi="Times New Roman"/>
          <w:color w:val="000000"/>
          <w:sz w:val="24"/>
          <w:szCs w:val="24"/>
          <w:shd w:val="clear" w:color="auto" w:fill="FFFFFF"/>
          <w:lang w:val="sr-Cyrl-CS"/>
        </w:rPr>
      </w:pPr>
    </w:p>
    <w:p w:rsidR="00B84A4B" w:rsidRDefault="00B84A4B" w:rsidP="00167D7A">
      <w:pPr>
        <w:ind w:firstLine="708"/>
        <w:jc w:val="both"/>
        <w:rPr>
          <w:rFonts w:ascii="Times New Roman" w:hAnsi="Times New Roman"/>
          <w:color w:val="000000"/>
          <w:sz w:val="24"/>
          <w:szCs w:val="24"/>
          <w:shd w:val="clear" w:color="auto" w:fill="FFFFFF"/>
          <w:lang w:val="sr-Cyrl-CS"/>
        </w:rPr>
      </w:pPr>
    </w:p>
    <w:p w:rsidR="00A74A8E" w:rsidRDefault="009F6BE7" w:rsidP="00A74A8E">
      <w:pPr>
        <w:ind w:firstLine="708"/>
        <w:jc w:val="both"/>
        <w:rPr>
          <w:rFonts w:ascii="Times New Roman" w:hAnsi="Times New Roman"/>
          <w:color w:val="000000"/>
          <w:sz w:val="24"/>
          <w:szCs w:val="24"/>
          <w:shd w:val="clear" w:color="auto" w:fill="FFFFFF"/>
          <w:lang w:val="sr-Cyrl-CS"/>
        </w:rPr>
      </w:pPr>
      <w:r>
        <w:rPr>
          <w:rFonts w:ascii="Times New Roman" w:hAnsi="Times New Roman"/>
          <w:color w:val="000000"/>
          <w:sz w:val="24"/>
          <w:szCs w:val="24"/>
          <w:shd w:val="clear" w:color="auto" w:fill="FFFFFF"/>
          <w:lang w:val="sr-Cyrl-CS"/>
        </w:rPr>
        <w:lastRenderedPageBreak/>
        <w:t>Ситуација када долази до повећања расхода и смањења прихода и добити, услед фиктивног увећања расхода, путем отписа производа, који настају као последица разних фактора као што су: виша сила, мањкови који настају као последица крађа, пропадања производа због атмосферских услова, квара због</w:t>
      </w:r>
      <w:r w:rsidR="00F064CA">
        <w:rPr>
          <w:rFonts w:ascii="Times New Roman" w:hAnsi="Times New Roman"/>
          <w:color w:val="000000"/>
          <w:sz w:val="24"/>
          <w:szCs w:val="24"/>
          <w:shd w:val="clear" w:color="auto" w:fill="FFFFFF"/>
          <w:lang w:val="sr-Cyrl-CS"/>
        </w:rPr>
        <w:t xml:space="preserve"> неадекватног смештаја</w:t>
      </w:r>
      <w:r>
        <w:rPr>
          <w:rFonts w:ascii="Times New Roman" w:hAnsi="Times New Roman"/>
          <w:color w:val="000000"/>
          <w:sz w:val="24"/>
          <w:szCs w:val="24"/>
          <w:shd w:val="clear" w:color="auto" w:fill="FFFFFF"/>
          <w:lang w:val="sr-Cyrl-CS"/>
        </w:rPr>
        <w:t>, лома и слично, може се шематски приказати на следећи начин:</w:t>
      </w:r>
    </w:p>
    <w:p w:rsidR="00A22DD5" w:rsidRDefault="00A22DD5" w:rsidP="000B417D">
      <w:pPr>
        <w:jc w:val="both"/>
        <w:rPr>
          <w:rFonts w:ascii="Times New Roman" w:hAnsi="Times New Roman"/>
          <w:color w:val="000000"/>
          <w:sz w:val="24"/>
          <w:szCs w:val="24"/>
          <w:shd w:val="clear" w:color="auto" w:fill="FFFFFF"/>
          <w:lang w:val="sr-Cyrl-CS"/>
        </w:rPr>
      </w:pPr>
    </w:p>
    <w:p w:rsidR="009F6BE7" w:rsidRDefault="00A74A8E" w:rsidP="00167D7A">
      <w:pPr>
        <w:ind w:firstLine="708"/>
        <w:jc w:val="both"/>
        <w:rPr>
          <w:rFonts w:ascii="Times New Roman" w:hAnsi="Times New Roman"/>
          <w:b/>
          <w:color w:val="000000"/>
          <w:sz w:val="24"/>
          <w:szCs w:val="24"/>
          <w:shd w:val="clear" w:color="auto" w:fill="FFFFFF"/>
          <w:lang w:val="sr-Cyrl-CS"/>
        </w:rPr>
      </w:pPr>
      <w:r>
        <w:rPr>
          <w:rFonts w:ascii="Times New Roman" w:hAnsi="Times New Roman"/>
          <w:b/>
          <w:color w:val="000000"/>
          <w:sz w:val="24"/>
          <w:szCs w:val="24"/>
          <w:shd w:val="clear" w:color="auto" w:fill="FFFFFF"/>
          <w:lang w:val="sr-Cyrl-CS"/>
        </w:rPr>
        <w:t>Слика 11</w:t>
      </w:r>
      <w:r w:rsidR="008F562F" w:rsidRPr="008F562F">
        <w:rPr>
          <w:rFonts w:ascii="Times New Roman" w:hAnsi="Times New Roman"/>
          <w:b/>
          <w:color w:val="000000"/>
          <w:sz w:val="24"/>
          <w:szCs w:val="24"/>
          <w:shd w:val="clear" w:color="auto" w:fill="FFFFFF"/>
          <w:lang w:val="sr-Cyrl-CS"/>
        </w:rPr>
        <w:t>.</w:t>
      </w:r>
      <w:r w:rsidR="008F562F">
        <w:rPr>
          <w:rStyle w:val="FootnoteReference"/>
          <w:rFonts w:ascii="Times New Roman" w:hAnsi="Times New Roman"/>
          <w:b/>
          <w:color w:val="000000"/>
          <w:sz w:val="24"/>
          <w:szCs w:val="24"/>
          <w:shd w:val="clear" w:color="auto" w:fill="FFFFFF"/>
          <w:lang w:val="sr-Cyrl-CS"/>
        </w:rPr>
        <w:footnoteReference w:id="336"/>
      </w:r>
    </w:p>
    <w:p w:rsidR="00B84A4B" w:rsidRPr="008F562F" w:rsidRDefault="00B84A4B" w:rsidP="00167D7A">
      <w:pPr>
        <w:ind w:firstLine="708"/>
        <w:jc w:val="both"/>
        <w:rPr>
          <w:rFonts w:ascii="Times New Roman" w:hAnsi="Times New Roman"/>
          <w:b/>
          <w:color w:val="000000"/>
          <w:sz w:val="24"/>
          <w:szCs w:val="24"/>
          <w:shd w:val="clear" w:color="auto" w:fill="FFFFFF"/>
          <w:lang w:val="sr-Cyrl-CS"/>
        </w:rPr>
      </w:pPr>
    </w:p>
    <w:p w:rsidR="009F6BE7" w:rsidRDefault="00616181" w:rsidP="00167D7A">
      <w:pPr>
        <w:ind w:firstLine="708"/>
        <w:jc w:val="both"/>
        <w:rPr>
          <w:rFonts w:ascii="Times New Roman" w:hAnsi="Times New Roman"/>
          <w:color w:val="000000"/>
          <w:sz w:val="24"/>
          <w:szCs w:val="24"/>
          <w:shd w:val="clear" w:color="auto" w:fill="FFFFFF"/>
          <w:lang w:val="sr-Cyrl-CS"/>
        </w:rPr>
      </w:pPr>
      <w:r>
        <w:rPr>
          <w:rFonts w:ascii="Times New Roman" w:hAnsi="Times New Roman"/>
          <w:noProof/>
          <w:color w:val="000000"/>
          <w:sz w:val="24"/>
          <w:szCs w:val="24"/>
        </w:rPr>
        <w:pict>
          <v:shape id="_x0000_s1411" type="#_x0000_t32" style="position:absolute;left:0;text-align:left;margin-left:174.45pt;margin-top:23.95pt;width:109.5pt;height:0;z-index:251775488" o:connectortype="straight"/>
        </w:pict>
      </w:r>
      <w:r>
        <w:rPr>
          <w:rFonts w:ascii="Times New Roman" w:hAnsi="Times New Roman"/>
          <w:noProof/>
          <w:color w:val="000000"/>
          <w:sz w:val="24"/>
          <w:szCs w:val="24"/>
        </w:rPr>
        <w:pict>
          <v:rect id="_x0000_s1406" style="position:absolute;left:0;text-align:left;margin-left:283.95pt;margin-top:6.7pt;width:58.5pt;height:40.5pt;z-index:251773440">
            <v:textbox>
              <w:txbxContent>
                <w:p w:rsidR="00767127" w:rsidRPr="009666F3" w:rsidRDefault="00767127">
                  <w:pPr>
                    <w:rPr>
                      <w:sz w:val="18"/>
                      <w:szCs w:val="18"/>
                      <w:lang w:val="sr-Cyrl-CS"/>
                    </w:rPr>
                  </w:pPr>
                  <w:r>
                    <w:rPr>
                      <w:sz w:val="18"/>
                      <w:szCs w:val="18"/>
                      <w:lang w:val="sr-Cyrl-CS"/>
                    </w:rPr>
                    <w:t>Магацин производа</w:t>
                  </w:r>
                </w:p>
              </w:txbxContent>
            </v:textbox>
          </v:rect>
        </w:pict>
      </w:r>
      <w:r>
        <w:rPr>
          <w:rFonts w:ascii="Times New Roman" w:hAnsi="Times New Roman"/>
          <w:noProof/>
          <w:color w:val="000000"/>
          <w:sz w:val="24"/>
          <w:szCs w:val="24"/>
        </w:rPr>
        <w:pict>
          <v:shape id="_x0000_s1401" type="#_x0000_t32" style="position:absolute;left:0;text-align:left;margin-left:35.7pt;margin-top:23.95pt;width:81.75pt;height:0;z-index:251771392" o:connectortype="straight"/>
        </w:pict>
      </w:r>
      <w:r>
        <w:rPr>
          <w:rFonts w:ascii="Times New Roman" w:hAnsi="Times New Roman"/>
          <w:noProof/>
          <w:color w:val="000000"/>
          <w:sz w:val="24"/>
          <w:szCs w:val="24"/>
        </w:rPr>
        <w:pict>
          <v:rect id="_x0000_s1400" style="position:absolute;left:0;text-align:left;margin-left:117.45pt;margin-top:6.7pt;width:57pt;height:40.5pt;z-index:251770368">
            <v:textbox>
              <w:txbxContent>
                <w:p w:rsidR="00767127" w:rsidRPr="009666F3" w:rsidRDefault="00767127">
                  <w:pPr>
                    <w:rPr>
                      <w:sz w:val="18"/>
                      <w:szCs w:val="18"/>
                      <w:lang w:val="sr-Cyrl-CS"/>
                    </w:rPr>
                  </w:pPr>
                  <w:r>
                    <w:rPr>
                      <w:sz w:val="18"/>
                      <w:szCs w:val="18"/>
                      <w:lang w:val="sr-Cyrl-CS"/>
                    </w:rPr>
                    <w:t>Произво-ђач</w:t>
                  </w:r>
                </w:p>
              </w:txbxContent>
            </v:textbox>
          </v:rect>
        </w:pict>
      </w:r>
      <w:r>
        <w:rPr>
          <w:rFonts w:ascii="Times New Roman" w:hAnsi="Times New Roman"/>
          <w:noProof/>
          <w:color w:val="000000"/>
          <w:sz w:val="24"/>
          <w:szCs w:val="24"/>
        </w:rPr>
        <w:pict>
          <v:rect id="_x0000_s1399" style="position:absolute;left:0;text-align:left;margin-left:-18.3pt;margin-top:6.7pt;width:54pt;height:40.5pt;z-index:251769344">
            <v:textbox>
              <w:txbxContent>
                <w:p w:rsidR="00767127" w:rsidRPr="009666F3" w:rsidRDefault="00767127">
                  <w:pPr>
                    <w:rPr>
                      <w:sz w:val="18"/>
                      <w:szCs w:val="18"/>
                      <w:lang w:val="sr-Cyrl-CS"/>
                    </w:rPr>
                  </w:pPr>
                  <w:r>
                    <w:rPr>
                      <w:sz w:val="18"/>
                      <w:szCs w:val="18"/>
                      <w:lang w:val="sr-Cyrl-CS"/>
                    </w:rPr>
                    <w:t>Пословне књиге</w:t>
                  </w:r>
                </w:p>
              </w:txbxContent>
            </v:textbox>
          </v:rect>
        </w:pict>
      </w:r>
      <w:r w:rsidR="009666F3">
        <w:rPr>
          <w:rFonts w:ascii="Times New Roman" w:hAnsi="Times New Roman"/>
          <w:color w:val="000000"/>
          <w:sz w:val="24"/>
          <w:szCs w:val="24"/>
          <w:shd w:val="clear" w:color="auto" w:fill="FFFFFF"/>
          <w:lang w:val="sr-Cyrl-CS"/>
        </w:rPr>
        <w:t xml:space="preserve">   </w:t>
      </w:r>
    </w:p>
    <w:p w:rsidR="003349C1" w:rsidRPr="009666F3" w:rsidRDefault="00616181" w:rsidP="00167D7A">
      <w:pPr>
        <w:ind w:firstLine="708"/>
        <w:jc w:val="both"/>
        <w:rPr>
          <w:rFonts w:ascii="Times New Roman" w:hAnsi="Times New Roman"/>
          <w:color w:val="000000"/>
          <w:sz w:val="18"/>
          <w:szCs w:val="18"/>
          <w:shd w:val="clear" w:color="auto" w:fill="FFFFFF"/>
          <w:lang w:val="sr-Cyrl-CS"/>
        </w:rPr>
      </w:pPr>
      <w:r w:rsidRPr="00616181">
        <w:rPr>
          <w:rFonts w:ascii="Times New Roman" w:hAnsi="Times New Roman"/>
          <w:noProof/>
          <w:color w:val="000000"/>
          <w:sz w:val="24"/>
          <w:szCs w:val="24"/>
        </w:rPr>
        <w:pict>
          <v:shape id="_x0000_s1415" type="#_x0000_t32" style="position:absolute;left:0;text-align:left;margin-left:151.2pt;margin-top:21.3pt;width:0;height:49.5pt;flip:y;z-index:251779584" o:connectortype="straight">
            <v:stroke endarrow="block"/>
          </v:shape>
        </w:pict>
      </w:r>
      <w:r w:rsidRPr="00616181">
        <w:rPr>
          <w:rFonts w:ascii="Times New Roman" w:hAnsi="Times New Roman"/>
          <w:noProof/>
          <w:color w:val="000000"/>
          <w:sz w:val="24"/>
          <w:szCs w:val="24"/>
        </w:rPr>
        <w:pict>
          <v:shape id="_x0000_s1414" type="#_x0000_t32" style="position:absolute;left:0;text-align:left;margin-left:313.95pt;margin-top:21.3pt;width:3pt;height:49.5pt;z-index:251778560" o:connectortype="straight">
            <v:stroke endarrow="block"/>
          </v:shape>
        </w:pict>
      </w:r>
      <w:r w:rsidRPr="00616181">
        <w:rPr>
          <w:rFonts w:ascii="Times New Roman" w:hAnsi="Times New Roman"/>
          <w:noProof/>
          <w:color w:val="000000"/>
          <w:sz w:val="24"/>
          <w:szCs w:val="24"/>
        </w:rPr>
        <w:pict>
          <v:shape id="_x0000_s1412" type="#_x0000_t32" style="position:absolute;left:0;text-align:left;margin-left:174.45pt;margin-top:16.05pt;width:116.25pt;height:65.25pt;flip:x y;z-index:251776512" o:connectortype="straight">
            <v:stroke endarrow="block"/>
          </v:shape>
        </w:pict>
      </w:r>
      <w:r w:rsidR="009666F3">
        <w:rPr>
          <w:rFonts w:ascii="Times New Roman" w:hAnsi="Times New Roman"/>
          <w:color w:val="000000"/>
          <w:sz w:val="24"/>
          <w:szCs w:val="24"/>
          <w:shd w:val="clear" w:color="auto" w:fill="FFFFFF"/>
          <w:lang w:val="sr-Cyrl-CS"/>
        </w:rPr>
        <w:t xml:space="preserve">   </w:t>
      </w:r>
      <w:r w:rsidR="009666F3">
        <w:rPr>
          <w:rFonts w:ascii="Times New Roman" w:hAnsi="Times New Roman"/>
          <w:color w:val="000000"/>
          <w:sz w:val="18"/>
          <w:szCs w:val="18"/>
          <w:shd w:val="clear" w:color="auto" w:fill="FFFFFF"/>
          <w:lang w:val="sr-Cyrl-CS"/>
        </w:rPr>
        <w:t>Умањени приходи                               отпис производа</w:t>
      </w:r>
    </w:p>
    <w:p w:rsidR="003349C1" w:rsidRDefault="003349C1" w:rsidP="00167D7A">
      <w:pPr>
        <w:ind w:firstLine="708"/>
        <w:jc w:val="both"/>
        <w:rPr>
          <w:rFonts w:ascii="Times New Roman" w:hAnsi="Times New Roman"/>
          <w:color w:val="000000"/>
          <w:sz w:val="24"/>
          <w:szCs w:val="24"/>
          <w:shd w:val="clear" w:color="auto" w:fill="FFFFFF"/>
          <w:lang w:val="sr-Cyrl-CS"/>
        </w:rPr>
      </w:pPr>
    </w:p>
    <w:p w:rsidR="003349C1" w:rsidRPr="009666F3" w:rsidRDefault="00616181" w:rsidP="00167D7A">
      <w:pPr>
        <w:ind w:firstLine="708"/>
        <w:jc w:val="both"/>
        <w:rPr>
          <w:rFonts w:ascii="Times New Roman" w:hAnsi="Times New Roman"/>
          <w:color w:val="000000"/>
          <w:sz w:val="18"/>
          <w:szCs w:val="18"/>
          <w:shd w:val="clear" w:color="auto" w:fill="FFFFFF"/>
          <w:lang w:val="sr-Cyrl-CS"/>
        </w:rPr>
      </w:pPr>
      <w:r w:rsidRPr="00616181">
        <w:rPr>
          <w:rFonts w:ascii="Times New Roman" w:hAnsi="Times New Roman"/>
          <w:noProof/>
          <w:color w:val="000000"/>
          <w:sz w:val="24"/>
          <w:szCs w:val="24"/>
        </w:rPr>
        <w:pict>
          <v:oval id="_x0000_s1410" style="position:absolute;left:0;text-align:left;margin-left:290.7pt;margin-top:19.1pt;width:56.25pt;height:38.25pt;z-index:251774464">
            <v:textbox>
              <w:txbxContent>
                <w:p w:rsidR="00767127" w:rsidRPr="009666F3" w:rsidRDefault="00767127">
                  <w:pPr>
                    <w:rPr>
                      <w:sz w:val="18"/>
                      <w:szCs w:val="18"/>
                      <w:lang w:val="sr-Cyrl-CS"/>
                    </w:rPr>
                  </w:pPr>
                  <w:r>
                    <w:rPr>
                      <w:sz w:val="18"/>
                      <w:szCs w:val="18"/>
                      <w:lang w:val="sr-Cyrl-CS"/>
                    </w:rPr>
                    <w:t>купац</w:t>
                  </w:r>
                </w:p>
              </w:txbxContent>
            </v:textbox>
          </v:oval>
        </w:pict>
      </w:r>
      <w:r w:rsidRPr="00616181">
        <w:rPr>
          <w:rFonts w:ascii="Times New Roman" w:hAnsi="Times New Roman"/>
          <w:noProof/>
          <w:color w:val="000000"/>
          <w:sz w:val="24"/>
          <w:szCs w:val="24"/>
        </w:rPr>
        <w:pict>
          <v:oval id="_x0000_s1404" style="position:absolute;left:0;text-align:left;margin-left:121.95pt;margin-top:19.1pt;width:60pt;height:38.25pt;z-index:251772416">
            <v:textbox>
              <w:txbxContent>
                <w:p w:rsidR="00767127" w:rsidRPr="009666F3" w:rsidRDefault="00767127">
                  <w:pPr>
                    <w:rPr>
                      <w:sz w:val="18"/>
                      <w:szCs w:val="18"/>
                      <w:lang w:val="sr-Cyrl-CS"/>
                    </w:rPr>
                  </w:pPr>
                  <w:r>
                    <w:rPr>
                      <w:sz w:val="18"/>
                      <w:szCs w:val="18"/>
                      <w:lang w:val="sr-Cyrl-CS"/>
                    </w:rPr>
                    <w:t xml:space="preserve">Особа </w:t>
                  </w:r>
                  <w:r>
                    <w:rPr>
                      <w:sz w:val="18"/>
                      <w:szCs w:val="18"/>
                    </w:rPr>
                    <w:t>x</w:t>
                  </w:r>
                </w:p>
              </w:txbxContent>
            </v:textbox>
          </v:oval>
        </w:pict>
      </w:r>
      <w:r w:rsidR="009666F3">
        <w:rPr>
          <w:rFonts w:ascii="Times New Roman" w:hAnsi="Times New Roman"/>
          <w:color w:val="000000"/>
          <w:sz w:val="24"/>
          <w:szCs w:val="24"/>
          <w:shd w:val="clear" w:color="auto" w:fill="FFFFFF"/>
          <w:lang w:val="sr-Cyrl-CS"/>
        </w:rPr>
        <w:t xml:space="preserve">                                  </w:t>
      </w:r>
      <w:r w:rsidR="009666F3">
        <w:rPr>
          <w:rFonts w:ascii="Times New Roman" w:hAnsi="Times New Roman"/>
          <w:color w:val="000000"/>
          <w:sz w:val="18"/>
          <w:szCs w:val="18"/>
          <w:shd w:val="clear" w:color="auto" w:fill="FFFFFF"/>
          <w:lang w:val="sr-Cyrl-CS"/>
        </w:rPr>
        <w:t>Оснивач         нема плаћања                                   продаја отписаних</w:t>
      </w:r>
    </w:p>
    <w:p w:rsidR="003349C1" w:rsidRPr="009666F3" w:rsidRDefault="00616181" w:rsidP="00167D7A">
      <w:pPr>
        <w:ind w:firstLine="708"/>
        <w:jc w:val="both"/>
        <w:rPr>
          <w:rFonts w:ascii="Times New Roman" w:hAnsi="Times New Roman"/>
          <w:color w:val="000000"/>
          <w:sz w:val="18"/>
          <w:szCs w:val="18"/>
          <w:shd w:val="clear" w:color="auto" w:fill="FFFFFF"/>
          <w:lang w:val="sr-Cyrl-CS"/>
        </w:rPr>
      </w:pPr>
      <w:r w:rsidRPr="00616181">
        <w:rPr>
          <w:rFonts w:ascii="Times New Roman" w:hAnsi="Times New Roman"/>
          <w:noProof/>
          <w:color w:val="000000"/>
          <w:sz w:val="24"/>
          <w:szCs w:val="24"/>
        </w:rPr>
        <w:pict>
          <v:shape id="_x0000_s1413" type="#_x0000_t32" style="position:absolute;left:0;text-align:left;margin-left:181.95pt;margin-top:18.7pt;width:108.75pt;height:0;flip:x;z-index:251777536" o:connectortype="straight">
            <v:stroke endarrow="block"/>
          </v:shape>
        </w:pict>
      </w:r>
      <w:r w:rsidR="009666F3">
        <w:rPr>
          <w:rFonts w:ascii="Times New Roman" w:hAnsi="Times New Roman"/>
          <w:color w:val="000000"/>
          <w:sz w:val="24"/>
          <w:szCs w:val="24"/>
          <w:shd w:val="clear" w:color="auto" w:fill="FFFFFF"/>
          <w:lang w:val="sr-Cyrl-CS"/>
        </w:rPr>
        <w:t xml:space="preserve">                                                                                                         </w:t>
      </w:r>
      <w:r w:rsidR="009666F3">
        <w:rPr>
          <w:rFonts w:ascii="Times New Roman" w:hAnsi="Times New Roman"/>
          <w:color w:val="000000"/>
          <w:sz w:val="18"/>
          <w:szCs w:val="18"/>
          <w:shd w:val="clear" w:color="auto" w:fill="FFFFFF"/>
          <w:lang w:val="sr-Cyrl-CS"/>
        </w:rPr>
        <w:t>производа</w:t>
      </w:r>
    </w:p>
    <w:p w:rsidR="003349C1" w:rsidRPr="009666F3" w:rsidRDefault="009666F3" w:rsidP="00167D7A">
      <w:pPr>
        <w:ind w:firstLine="708"/>
        <w:jc w:val="both"/>
        <w:rPr>
          <w:rFonts w:ascii="Times New Roman" w:hAnsi="Times New Roman"/>
          <w:color w:val="000000"/>
          <w:sz w:val="18"/>
          <w:szCs w:val="18"/>
          <w:shd w:val="clear" w:color="auto" w:fill="FFFFFF"/>
          <w:lang w:val="sr-Cyrl-CS"/>
        </w:rPr>
      </w:pPr>
      <w:r>
        <w:rPr>
          <w:rFonts w:ascii="Times New Roman" w:hAnsi="Times New Roman"/>
          <w:color w:val="000000"/>
          <w:sz w:val="24"/>
          <w:szCs w:val="24"/>
          <w:shd w:val="clear" w:color="auto" w:fill="FFFFFF"/>
          <w:lang w:val="sr-Cyrl-CS"/>
        </w:rPr>
        <w:t xml:space="preserve">                                                       </w:t>
      </w:r>
      <w:r w:rsidRPr="009666F3">
        <w:rPr>
          <w:rFonts w:ascii="Times New Roman" w:hAnsi="Times New Roman"/>
          <w:color w:val="000000"/>
          <w:sz w:val="18"/>
          <w:szCs w:val="18"/>
          <w:shd w:val="clear" w:color="auto" w:fill="FFFFFF"/>
          <w:lang w:val="sr-Cyrl-CS"/>
        </w:rPr>
        <w:t>плаћање у готовини</w:t>
      </w:r>
    </w:p>
    <w:p w:rsidR="00B84A4B" w:rsidRDefault="00B84A4B" w:rsidP="00A74A8E">
      <w:pPr>
        <w:jc w:val="both"/>
        <w:rPr>
          <w:rFonts w:ascii="Times New Roman" w:hAnsi="Times New Roman"/>
          <w:color w:val="000000"/>
          <w:sz w:val="24"/>
          <w:szCs w:val="24"/>
          <w:shd w:val="clear" w:color="auto" w:fill="FFFFFF"/>
          <w:lang w:val="sr-Cyrl-CS"/>
        </w:rPr>
      </w:pPr>
    </w:p>
    <w:p w:rsidR="002675A4" w:rsidRPr="00A74A8E" w:rsidRDefault="008F562F" w:rsidP="00A74A8E">
      <w:pPr>
        <w:ind w:firstLine="708"/>
        <w:jc w:val="both"/>
        <w:rPr>
          <w:rFonts w:ascii="Times New Roman" w:hAnsi="Times New Roman"/>
          <w:color w:val="000000"/>
          <w:sz w:val="24"/>
          <w:szCs w:val="24"/>
          <w:shd w:val="clear" w:color="auto" w:fill="FFFFFF"/>
          <w:lang w:val="sr-Cyrl-CS"/>
        </w:rPr>
      </w:pPr>
      <w:r>
        <w:rPr>
          <w:rFonts w:ascii="Times New Roman" w:hAnsi="Times New Roman"/>
          <w:color w:val="000000"/>
          <w:sz w:val="24"/>
          <w:szCs w:val="24"/>
          <w:shd w:val="clear" w:color="auto" w:fill="FFFFFF"/>
          <w:lang w:val="sr-Cyrl-CS"/>
        </w:rPr>
        <w:t>Ситуација када се повећавају расходи и трошкови пословања, а смањује добит, путем лажних набавки</w:t>
      </w:r>
      <w:r w:rsidR="00666F91">
        <w:rPr>
          <w:rFonts w:ascii="Times New Roman" w:hAnsi="Times New Roman"/>
          <w:color w:val="000000"/>
          <w:sz w:val="24"/>
          <w:szCs w:val="24"/>
          <w:shd w:val="clear" w:color="auto" w:fill="FFFFFF"/>
          <w:lang w:val="sr-Cyrl-CS"/>
        </w:rPr>
        <w:t xml:space="preserve"> роба, услуга и фиктивно запослених радника, (стварају се</w:t>
      </w:r>
      <w:r>
        <w:rPr>
          <w:rFonts w:ascii="Times New Roman" w:hAnsi="Times New Roman"/>
          <w:color w:val="000000"/>
          <w:sz w:val="24"/>
          <w:szCs w:val="24"/>
          <w:shd w:val="clear" w:color="auto" w:fill="FFFFFF"/>
          <w:lang w:val="sr-Cyrl-CS"/>
        </w:rPr>
        <w:t xml:space="preserve"> </w:t>
      </w:r>
      <w:r w:rsidR="00666F91">
        <w:rPr>
          <w:rFonts w:ascii="Times New Roman" w:hAnsi="Times New Roman"/>
          <w:color w:val="000000"/>
          <w:sz w:val="24"/>
          <w:szCs w:val="24"/>
          <w:shd w:val="clear" w:color="auto" w:fill="FFFFFF"/>
          <w:lang w:val="sr-Cyrl-CS"/>
        </w:rPr>
        <w:t>лажне обавезе које не прате новчана плаћања, већ се само у финансијским извештајима исказују лажни резултати послова</w:t>
      </w:r>
      <w:r w:rsidR="000B417D">
        <w:rPr>
          <w:rFonts w:ascii="Times New Roman" w:hAnsi="Times New Roman"/>
          <w:color w:val="000000"/>
          <w:sz w:val="24"/>
          <w:szCs w:val="24"/>
          <w:shd w:val="clear" w:color="auto" w:fill="FFFFFF"/>
          <w:lang w:val="sr-Cyrl-CS"/>
        </w:rPr>
        <w:t>ња), може се шематски приказати на следећи начин:</w:t>
      </w:r>
    </w:p>
    <w:p w:rsidR="008F562F" w:rsidRPr="00B84A4B" w:rsidRDefault="00A74A8E" w:rsidP="00DD2213">
      <w:pPr>
        <w:jc w:val="both"/>
        <w:rPr>
          <w:rFonts w:ascii="Times New Roman" w:hAnsi="Times New Roman"/>
          <w:b/>
          <w:color w:val="000000"/>
          <w:sz w:val="24"/>
          <w:szCs w:val="24"/>
          <w:shd w:val="clear" w:color="auto" w:fill="FFFFFF"/>
          <w:lang w:val="sr-Cyrl-CS"/>
        </w:rPr>
      </w:pPr>
      <w:r>
        <w:rPr>
          <w:rFonts w:ascii="Times New Roman" w:hAnsi="Times New Roman"/>
          <w:b/>
          <w:color w:val="000000"/>
          <w:sz w:val="24"/>
          <w:szCs w:val="24"/>
          <w:shd w:val="clear" w:color="auto" w:fill="FFFFFF"/>
          <w:lang w:val="sr-Cyrl-CS"/>
        </w:rPr>
        <w:t>Слика 12</w:t>
      </w:r>
      <w:r w:rsidR="00B84A4B" w:rsidRPr="00B84A4B">
        <w:rPr>
          <w:rFonts w:ascii="Times New Roman" w:hAnsi="Times New Roman"/>
          <w:b/>
          <w:color w:val="000000"/>
          <w:sz w:val="24"/>
          <w:szCs w:val="24"/>
          <w:shd w:val="clear" w:color="auto" w:fill="FFFFFF"/>
          <w:lang w:val="sr-Cyrl-CS"/>
        </w:rPr>
        <w:t>.</w:t>
      </w:r>
      <w:r w:rsidR="00B84A4B">
        <w:rPr>
          <w:rStyle w:val="FootnoteReference"/>
          <w:rFonts w:ascii="Times New Roman" w:hAnsi="Times New Roman"/>
          <w:b/>
          <w:color w:val="000000"/>
          <w:sz w:val="24"/>
          <w:szCs w:val="24"/>
          <w:shd w:val="clear" w:color="auto" w:fill="FFFFFF"/>
          <w:lang w:val="sr-Cyrl-CS"/>
        </w:rPr>
        <w:footnoteReference w:id="337"/>
      </w:r>
    </w:p>
    <w:p w:rsidR="008F562F" w:rsidRDefault="00B84A4B" w:rsidP="00167D7A">
      <w:pPr>
        <w:ind w:firstLine="708"/>
        <w:jc w:val="both"/>
        <w:rPr>
          <w:rFonts w:ascii="Times New Roman" w:hAnsi="Times New Roman"/>
          <w:color w:val="000000"/>
          <w:sz w:val="24"/>
          <w:szCs w:val="24"/>
          <w:shd w:val="clear" w:color="auto" w:fill="FFFFFF"/>
          <w:lang w:val="sr-Cyrl-CS"/>
        </w:rPr>
      </w:pPr>
      <w:r>
        <w:rPr>
          <w:rFonts w:ascii="Times New Roman" w:hAnsi="Times New Roman"/>
          <w:color w:val="000000"/>
          <w:sz w:val="24"/>
          <w:szCs w:val="24"/>
          <w:shd w:val="clear" w:color="auto" w:fill="FFFFFF"/>
          <w:lang w:val="sr-Cyrl-CS"/>
        </w:rPr>
        <w:t xml:space="preserve">                                                                                 Нема робе</w:t>
      </w:r>
    </w:p>
    <w:p w:rsidR="008F562F" w:rsidRDefault="00616181" w:rsidP="00167D7A">
      <w:pPr>
        <w:ind w:firstLine="708"/>
        <w:jc w:val="both"/>
        <w:rPr>
          <w:rFonts w:ascii="Times New Roman" w:hAnsi="Times New Roman"/>
          <w:color w:val="000000"/>
          <w:sz w:val="24"/>
          <w:szCs w:val="24"/>
          <w:shd w:val="clear" w:color="auto" w:fill="FFFFFF"/>
          <w:lang w:val="sr-Cyrl-CS"/>
        </w:rPr>
      </w:pPr>
      <w:r>
        <w:rPr>
          <w:rFonts w:ascii="Times New Roman" w:hAnsi="Times New Roman"/>
          <w:noProof/>
          <w:color w:val="000000"/>
          <w:sz w:val="24"/>
          <w:szCs w:val="24"/>
        </w:rPr>
        <w:pict>
          <v:rect id="_x0000_s1494" style="position:absolute;left:0;text-align:left;margin-left:313.95pt;margin-top:23.8pt;width:43.5pt;height:31.5pt;z-index:251826688">
            <v:textbox>
              <w:txbxContent>
                <w:p w:rsidR="00767127" w:rsidRPr="00B84A4B" w:rsidRDefault="00767127">
                  <w:pPr>
                    <w:rPr>
                      <w:sz w:val="18"/>
                      <w:szCs w:val="18"/>
                      <w:lang w:val="sr-Cyrl-CS"/>
                    </w:rPr>
                  </w:pPr>
                  <w:r>
                    <w:rPr>
                      <w:sz w:val="18"/>
                      <w:szCs w:val="18"/>
                      <w:lang w:val="sr-Cyrl-CS"/>
                    </w:rPr>
                    <w:t>Факту-ра</w:t>
                  </w:r>
                </w:p>
              </w:txbxContent>
            </v:textbox>
          </v:rect>
        </w:pict>
      </w:r>
      <w:r>
        <w:rPr>
          <w:rFonts w:ascii="Times New Roman" w:hAnsi="Times New Roman"/>
          <w:noProof/>
          <w:color w:val="000000"/>
          <w:sz w:val="24"/>
          <w:szCs w:val="24"/>
        </w:rPr>
        <w:pict>
          <v:rect id="_x0000_s1463" style="position:absolute;left:0;text-align:left;margin-left:191.7pt;margin-top:5.4pt;width:56.25pt;height:43.55pt;z-index:251808256">
            <v:textbox>
              <w:txbxContent>
                <w:p w:rsidR="00767127" w:rsidRPr="00B84A4B" w:rsidRDefault="00767127">
                  <w:pPr>
                    <w:rPr>
                      <w:sz w:val="18"/>
                      <w:szCs w:val="18"/>
                      <w:lang w:val="sr-Cyrl-CS"/>
                    </w:rPr>
                  </w:pPr>
                  <w:r>
                    <w:rPr>
                      <w:sz w:val="18"/>
                      <w:szCs w:val="18"/>
                      <w:lang w:val="sr-Cyrl-CS"/>
                    </w:rPr>
                    <w:t>Тргови-нско предузеће</w:t>
                  </w:r>
                </w:p>
              </w:txbxContent>
            </v:textbox>
          </v:rect>
        </w:pict>
      </w:r>
      <w:r>
        <w:rPr>
          <w:rFonts w:ascii="Times New Roman" w:hAnsi="Times New Roman"/>
          <w:noProof/>
          <w:color w:val="000000"/>
          <w:sz w:val="24"/>
          <w:szCs w:val="24"/>
        </w:rPr>
        <w:pict>
          <v:oval id="_x0000_s1467" style="position:absolute;left:0;text-align:left;margin-left:390.45pt;margin-top:9.15pt;width:60.75pt;height:61.9pt;z-index:251810304">
            <v:textbox>
              <w:txbxContent>
                <w:p w:rsidR="00767127" w:rsidRPr="00DD2213" w:rsidRDefault="00767127">
                  <w:pPr>
                    <w:rPr>
                      <w:sz w:val="18"/>
                      <w:szCs w:val="18"/>
                      <w:lang w:val="sr-Cyrl-CS"/>
                    </w:rPr>
                  </w:pPr>
                  <w:r>
                    <w:rPr>
                      <w:sz w:val="18"/>
                      <w:szCs w:val="18"/>
                      <w:lang w:val="sr-Cyrl-CS"/>
                    </w:rPr>
                    <w:t>Лажни доба-вљач</w:t>
                  </w:r>
                </w:p>
              </w:txbxContent>
            </v:textbox>
          </v:oval>
        </w:pict>
      </w:r>
      <w:r>
        <w:rPr>
          <w:rFonts w:ascii="Times New Roman" w:hAnsi="Times New Roman"/>
          <w:noProof/>
          <w:color w:val="000000"/>
          <w:sz w:val="24"/>
          <w:szCs w:val="24"/>
        </w:rPr>
        <w:pict>
          <v:oval id="_x0000_s1462" style="position:absolute;left:0;text-align:left;margin-left:-25.8pt;margin-top:10.65pt;width:61.5pt;height:60.4pt;z-index:251807232">
            <v:textbox>
              <w:txbxContent>
                <w:p w:rsidR="00767127" w:rsidRPr="00DD2213" w:rsidRDefault="00767127">
                  <w:pPr>
                    <w:rPr>
                      <w:sz w:val="18"/>
                      <w:szCs w:val="18"/>
                      <w:lang w:val="sr-Cyrl-CS"/>
                    </w:rPr>
                  </w:pPr>
                  <w:r>
                    <w:rPr>
                      <w:sz w:val="18"/>
                      <w:szCs w:val="18"/>
                      <w:lang w:val="sr-Cyrl-CS"/>
                    </w:rPr>
                    <w:t>Лажно запо-слени</w:t>
                  </w:r>
                </w:p>
              </w:txbxContent>
            </v:textbox>
          </v:oval>
        </w:pict>
      </w:r>
      <w:r>
        <w:rPr>
          <w:rFonts w:ascii="Times New Roman" w:hAnsi="Times New Roman"/>
          <w:noProof/>
          <w:color w:val="000000"/>
          <w:sz w:val="24"/>
          <w:szCs w:val="24"/>
        </w:rPr>
        <w:pict>
          <v:shape id="_x0000_s1493" type="#_x0000_t85" style="position:absolute;left:0;text-align:left;margin-left:266.7pt;margin-top:5.4pt;width:8.25pt;height:27pt;z-index:251825664"/>
        </w:pict>
      </w:r>
      <w:r>
        <w:rPr>
          <w:rFonts w:ascii="Times New Roman" w:hAnsi="Times New Roman"/>
          <w:noProof/>
          <w:color w:val="000000"/>
          <w:sz w:val="24"/>
          <w:szCs w:val="24"/>
        </w:rPr>
        <w:pict>
          <v:shape id="_x0000_s1490" type="#_x0000_t86" style="position:absolute;left:0;text-align:left;margin-left:364.2pt;margin-top:5.4pt;width:15.75pt;height:27pt;z-index:251823616"/>
        </w:pict>
      </w:r>
      <w:r>
        <w:rPr>
          <w:rFonts w:ascii="Times New Roman" w:hAnsi="Times New Roman"/>
          <w:noProof/>
          <w:color w:val="000000"/>
          <w:sz w:val="24"/>
          <w:szCs w:val="24"/>
        </w:rPr>
        <w:pict>
          <v:shape id="_x0000_s1468" type="#_x0000_t32" style="position:absolute;left:0;text-align:left;margin-left:268.2pt;margin-top:5.4pt;width:102pt;height:0;flip:x;z-index:251811328" o:connectortype="straight">
            <v:stroke endarrow="block"/>
          </v:shape>
        </w:pict>
      </w:r>
      <w:r w:rsidR="00B84A4B">
        <w:rPr>
          <w:rFonts w:ascii="Times New Roman" w:hAnsi="Times New Roman"/>
          <w:color w:val="000000"/>
          <w:sz w:val="24"/>
          <w:szCs w:val="24"/>
          <w:shd w:val="clear" w:color="auto" w:fill="FFFFFF"/>
          <w:lang w:val="sr-Cyrl-CS"/>
        </w:rPr>
        <w:t xml:space="preserve">          Нема плаћања                                       </w:t>
      </w:r>
    </w:p>
    <w:p w:rsidR="008F562F" w:rsidRDefault="00616181" w:rsidP="00167D7A">
      <w:pPr>
        <w:ind w:firstLine="708"/>
        <w:jc w:val="both"/>
        <w:rPr>
          <w:rFonts w:ascii="Times New Roman" w:hAnsi="Times New Roman"/>
          <w:color w:val="000000"/>
          <w:sz w:val="24"/>
          <w:szCs w:val="24"/>
          <w:shd w:val="clear" w:color="auto" w:fill="FFFFFF"/>
          <w:lang w:val="sr-Cyrl-CS"/>
        </w:rPr>
      </w:pPr>
      <w:r>
        <w:rPr>
          <w:rFonts w:ascii="Times New Roman" w:hAnsi="Times New Roman"/>
          <w:noProof/>
          <w:color w:val="000000"/>
          <w:sz w:val="24"/>
          <w:szCs w:val="24"/>
        </w:rPr>
        <w:pict>
          <v:shape id="_x0000_s1491" type="#_x0000_t86" style="position:absolute;left:0;text-align:left;margin-left:364.2pt;margin-top:8.05pt;width:20.25pt;height:30pt;z-index:251824640"/>
        </w:pict>
      </w:r>
      <w:r>
        <w:rPr>
          <w:rFonts w:ascii="Times New Roman" w:hAnsi="Times New Roman"/>
          <w:noProof/>
          <w:color w:val="000000"/>
          <w:sz w:val="24"/>
          <w:szCs w:val="24"/>
        </w:rPr>
        <w:pict>
          <v:shape id="_x0000_s1489" type="#_x0000_t85" style="position:absolute;left:0;text-align:left;margin-left:268.2pt;margin-top:8.05pt;width:10.5pt;height:30pt;z-index:251822592"/>
        </w:pict>
      </w:r>
      <w:r>
        <w:rPr>
          <w:rFonts w:ascii="Times New Roman" w:hAnsi="Times New Roman"/>
          <w:noProof/>
          <w:color w:val="000000"/>
          <w:sz w:val="24"/>
          <w:szCs w:val="24"/>
        </w:rPr>
        <w:pict>
          <v:shape id="_x0000_s1475" type="#_x0000_t32" style="position:absolute;left:0;text-align:left;margin-left:76.95pt;margin-top:23.05pt;width:59.25pt;height:27.75pt;flip:x y;z-index:251815424" o:connectortype="straight">
            <v:stroke endarrow="block"/>
          </v:shape>
        </w:pict>
      </w:r>
      <w:r>
        <w:rPr>
          <w:rFonts w:ascii="Times New Roman" w:hAnsi="Times New Roman"/>
          <w:noProof/>
          <w:color w:val="000000"/>
          <w:sz w:val="24"/>
          <w:szCs w:val="24"/>
        </w:rPr>
        <w:pict>
          <v:shape id="_x0000_s1471" type="#_x0000_t32" style="position:absolute;left:0;text-align:left;margin-left:57.45pt;margin-top:8.05pt;width:117pt;height:0;flip:x;z-index:251814400" o:connectortype="straight">
            <v:stroke endarrow="block"/>
          </v:shape>
        </w:pict>
      </w:r>
      <w:r>
        <w:rPr>
          <w:rFonts w:ascii="Times New Roman" w:hAnsi="Times New Roman"/>
          <w:noProof/>
          <w:color w:val="000000"/>
          <w:sz w:val="24"/>
          <w:szCs w:val="24"/>
        </w:rPr>
        <w:pict>
          <v:shape id="_x0000_s1469" type="#_x0000_t32" style="position:absolute;left:0;text-align:left;margin-left:274.95pt;margin-top:6.55pt;width:95.25pt;height:1.5pt;flip:x y;z-index:251812352" o:connectortype="straight">
            <v:stroke endarrow="block"/>
          </v:shape>
        </w:pict>
      </w:r>
      <w:r w:rsidR="00B84A4B">
        <w:rPr>
          <w:rFonts w:ascii="Times New Roman" w:hAnsi="Times New Roman"/>
          <w:color w:val="000000"/>
          <w:sz w:val="24"/>
          <w:szCs w:val="24"/>
          <w:shd w:val="clear" w:color="auto" w:fill="FFFFFF"/>
          <w:lang w:val="sr-Cyrl-CS"/>
        </w:rPr>
        <w:t xml:space="preserve">                                                                                   </w:t>
      </w:r>
    </w:p>
    <w:p w:rsidR="008F562F" w:rsidRDefault="00616181" w:rsidP="00167D7A">
      <w:pPr>
        <w:ind w:firstLine="708"/>
        <w:jc w:val="both"/>
        <w:rPr>
          <w:rFonts w:ascii="Times New Roman" w:hAnsi="Times New Roman"/>
          <w:color w:val="000000"/>
          <w:sz w:val="24"/>
          <w:szCs w:val="24"/>
          <w:shd w:val="clear" w:color="auto" w:fill="FFFFFF"/>
          <w:lang w:val="sr-Cyrl-CS"/>
        </w:rPr>
      </w:pPr>
      <w:r>
        <w:rPr>
          <w:rFonts w:ascii="Times New Roman" w:hAnsi="Times New Roman"/>
          <w:noProof/>
          <w:color w:val="000000"/>
          <w:sz w:val="24"/>
          <w:szCs w:val="24"/>
        </w:rPr>
        <w:pict>
          <v:shape id="_x0000_s1480" type="#_x0000_t32" style="position:absolute;left:0;text-align:left;margin-left:364.2pt;margin-top:7.65pt;width:44.25pt;height:34.5pt;flip:y;z-index:251818496" o:connectortype="straight">
            <v:stroke endarrow="block"/>
          </v:shape>
        </w:pict>
      </w:r>
      <w:r>
        <w:rPr>
          <w:rFonts w:ascii="Times New Roman" w:hAnsi="Times New Roman"/>
          <w:noProof/>
          <w:color w:val="000000"/>
          <w:sz w:val="24"/>
          <w:szCs w:val="24"/>
        </w:rPr>
        <w:pict>
          <v:shape id="_x0000_s1470" type="#_x0000_t32" style="position:absolute;left:0;text-align:left;margin-left:283.95pt;margin-top:12.15pt;width:96pt;height:0;z-index:251813376" o:connectortype="straight">
            <v:stroke endarrow="block"/>
          </v:shape>
        </w:pict>
      </w:r>
      <w:r w:rsidR="00B84A4B">
        <w:rPr>
          <w:rFonts w:ascii="Times New Roman" w:hAnsi="Times New Roman"/>
          <w:color w:val="000000"/>
          <w:sz w:val="24"/>
          <w:szCs w:val="24"/>
          <w:shd w:val="clear" w:color="auto" w:fill="FFFFFF"/>
          <w:lang w:val="sr-Cyrl-CS"/>
        </w:rPr>
        <w:t xml:space="preserve">                                                                                </w:t>
      </w:r>
    </w:p>
    <w:p w:rsidR="008F562F" w:rsidRDefault="00616181" w:rsidP="00167D7A">
      <w:pPr>
        <w:ind w:firstLine="708"/>
        <w:jc w:val="both"/>
        <w:rPr>
          <w:rFonts w:ascii="Times New Roman" w:hAnsi="Times New Roman"/>
          <w:color w:val="000000"/>
          <w:sz w:val="24"/>
          <w:szCs w:val="24"/>
          <w:shd w:val="clear" w:color="auto" w:fill="FFFFFF"/>
          <w:lang w:val="sr-Cyrl-CS"/>
        </w:rPr>
      </w:pPr>
      <w:r>
        <w:rPr>
          <w:rFonts w:ascii="Times New Roman" w:hAnsi="Times New Roman"/>
          <w:noProof/>
          <w:color w:val="000000"/>
          <w:sz w:val="24"/>
          <w:szCs w:val="24"/>
        </w:rPr>
        <w:pict>
          <v:shape id="_x0000_s1485" type="#_x0000_t32" style="position:absolute;left:0;text-align:left;margin-left:330.45pt;margin-top:25.3pt;width:23.25pt;height:12.75pt;flip:x;z-index:251819520" o:connectortype="straight"/>
        </w:pict>
      </w:r>
      <w:r>
        <w:rPr>
          <w:rFonts w:ascii="Times New Roman" w:hAnsi="Times New Roman"/>
          <w:noProof/>
          <w:color w:val="000000"/>
          <w:sz w:val="24"/>
          <w:szCs w:val="24"/>
        </w:rPr>
        <w:pict>
          <v:roundrect id="_x0000_s1465" style="position:absolute;left:0;text-align:left;margin-left:221.7pt;margin-top:21.55pt;width:62.25pt;height:35.25pt;z-index:251809280" arcsize="10923f">
            <v:textbox>
              <w:txbxContent>
                <w:p w:rsidR="00767127" w:rsidRPr="00B84A4B" w:rsidRDefault="00767127">
                  <w:pPr>
                    <w:rPr>
                      <w:sz w:val="18"/>
                      <w:szCs w:val="18"/>
                      <w:lang w:val="sr-Cyrl-CS"/>
                    </w:rPr>
                  </w:pPr>
                  <w:r>
                    <w:rPr>
                      <w:sz w:val="18"/>
                      <w:szCs w:val="18"/>
                      <w:lang w:val="sr-Cyrl-CS"/>
                    </w:rPr>
                    <w:t>Лажне обавезе</w:t>
                  </w:r>
                </w:p>
              </w:txbxContent>
            </v:textbox>
          </v:roundrect>
        </w:pict>
      </w:r>
      <w:r>
        <w:rPr>
          <w:rFonts w:ascii="Times New Roman" w:hAnsi="Times New Roman"/>
          <w:noProof/>
          <w:color w:val="000000"/>
          <w:sz w:val="24"/>
          <w:szCs w:val="24"/>
        </w:rPr>
        <w:pict>
          <v:shape id="_x0000_s1477" type="#_x0000_t32" style="position:absolute;left:0;text-align:left;margin-left:174.45pt;margin-top:21.55pt;width:21.75pt;height:10.5pt;z-index:251817472" o:connectortype="straight"/>
        </w:pict>
      </w:r>
      <w:r>
        <w:rPr>
          <w:rFonts w:ascii="Times New Roman" w:hAnsi="Times New Roman"/>
          <w:noProof/>
          <w:color w:val="000000"/>
          <w:sz w:val="24"/>
          <w:szCs w:val="24"/>
        </w:rPr>
        <w:pict>
          <v:shape id="_x0000_s1476" type="#_x0000_t32" style="position:absolute;left:0;text-align:left;margin-left:145.2pt;margin-top:3.55pt;width:23.25pt;height:12.75pt;z-index:251816448" o:connectortype="straight"/>
        </w:pict>
      </w:r>
      <w:r w:rsidR="00B84A4B">
        <w:rPr>
          <w:rFonts w:ascii="Times New Roman" w:hAnsi="Times New Roman"/>
          <w:color w:val="000000"/>
          <w:sz w:val="24"/>
          <w:szCs w:val="24"/>
          <w:shd w:val="clear" w:color="auto" w:fill="FFFFFF"/>
          <w:lang w:val="sr-Cyrl-CS"/>
        </w:rPr>
        <w:t xml:space="preserve">                                                                                   Нема плаћања</w:t>
      </w:r>
    </w:p>
    <w:p w:rsidR="008F562F" w:rsidRDefault="00616181" w:rsidP="00167D7A">
      <w:pPr>
        <w:ind w:firstLine="708"/>
        <w:jc w:val="both"/>
        <w:rPr>
          <w:rFonts w:ascii="Times New Roman" w:hAnsi="Times New Roman"/>
          <w:color w:val="000000"/>
          <w:sz w:val="24"/>
          <w:szCs w:val="24"/>
          <w:shd w:val="clear" w:color="auto" w:fill="FFFFFF"/>
          <w:lang w:val="sr-Cyrl-CS"/>
        </w:rPr>
      </w:pPr>
      <w:r>
        <w:rPr>
          <w:rFonts w:ascii="Times New Roman" w:hAnsi="Times New Roman"/>
          <w:noProof/>
          <w:color w:val="000000"/>
          <w:sz w:val="24"/>
          <w:szCs w:val="24"/>
        </w:rPr>
        <w:pict>
          <v:shape id="_x0000_s1486" type="#_x0000_t32" style="position:absolute;left:0;text-align:left;margin-left:290.7pt;margin-top:12.2pt;width:26.25pt;height:0;flip:x;z-index:251820544" o:connectortype="straight"/>
        </w:pict>
      </w:r>
    </w:p>
    <w:p w:rsidR="00303867" w:rsidRDefault="00303867" w:rsidP="00167D7A">
      <w:pPr>
        <w:ind w:firstLine="708"/>
        <w:jc w:val="both"/>
        <w:rPr>
          <w:rFonts w:ascii="Times New Roman" w:hAnsi="Times New Roman"/>
          <w:color w:val="000000"/>
          <w:sz w:val="24"/>
          <w:szCs w:val="24"/>
          <w:shd w:val="clear" w:color="auto" w:fill="FFFFFF"/>
          <w:lang w:val="sr-Cyrl-CS"/>
        </w:rPr>
      </w:pPr>
    </w:p>
    <w:p w:rsidR="00303867" w:rsidRDefault="00303867" w:rsidP="00167D7A">
      <w:pPr>
        <w:ind w:firstLine="708"/>
        <w:jc w:val="both"/>
        <w:rPr>
          <w:rFonts w:ascii="Times New Roman" w:hAnsi="Times New Roman"/>
          <w:color w:val="000000"/>
          <w:sz w:val="24"/>
          <w:szCs w:val="24"/>
          <w:shd w:val="clear" w:color="auto" w:fill="FFFFFF"/>
          <w:lang w:val="sr-Cyrl-CS"/>
        </w:rPr>
      </w:pPr>
    </w:p>
    <w:p w:rsidR="00592D60" w:rsidRPr="000B417D" w:rsidRDefault="0089326D" w:rsidP="000B417D">
      <w:pPr>
        <w:ind w:firstLine="708"/>
        <w:jc w:val="both"/>
        <w:rPr>
          <w:rFonts w:ascii="Times New Roman" w:hAnsi="Times New Roman"/>
          <w:sz w:val="24"/>
          <w:szCs w:val="24"/>
          <w:shd w:val="clear" w:color="auto" w:fill="FFFFFF"/>
          <w:lang w:val="sr-Cyrl-CS"/>
        </w:rPr>
      </w:pPr>
      <w:r w:rsidRPr="000B417D">
        <w:rPr>
          <w:rFonts w:ascii="Times New Roman" w:hAnsi="Times New Roman"/>
          <w:sz w:val="24"/>
          <w:szCs w:val="24"/>
          <w:shd w:val="clear" w:color="auto" w:fill="FFFFFF"/>
          <w:lang w:val="sr-Cyrl-CS"/>
        </w:rPr>
        <w:lastRenderedPageBreak/>
        <w:t>О</w:t>
      </w:r>
      <w:r w:rsidR="00D43670" w:rsidRPr="000B417D">
        <w:rPr>
          <w:rFonts w:ascii="Times New Roman" w:hAnsi="Times New Roman"/>
          <w:sz w:val="24"/>
          <w:szCs w:val="24"/>
          <w:shd w:val="clear" w:color="auto" w:fill="FFFFFF"/>
          <w:lang w:val="sr-Cyrl-CS"/>
        </w:rPr>
        <w:t xml:space="preserve">вде ћемо се осврнути на прекршајну одговорност код пореза на добит правних лица, </w:t>
      </w:r>
      <w:r w:rsidR="00167D7A" w:rsidRPr="000B417D">
        <w:rPr>
          <w:rFonts w:ascii="Times New Roman" w:hAnsi="Times New Roman"/>
          <w:sz w:val="24"/>
          <w:szCs w:val="24"/>
          <w:shd w:val="clear" w:color="auto" w:fill="FFFFFF"/>
          <w:lang w:val="sr-Cyrl-CS"/>
        </w:rPr>
        <w:t>у циљу разграничења са законитом</w:t>
      </w:r>
      <w:r w:rsidR="00D43670" w:rsidRPr="000B417D">
        <w:rPr>
          <w:rFonts w:ascii="Times New Roman" w:hAnsi="Times New Roman"/>
          <w:sz w:val="24"/>
          <w:szCs w:val="24"/>
          <w:shd w:val="clear" w:color="auto" w:fill="FFFFFF"/>
          <w:lang w:val="sr-Cyrl-CS"/>
        </w:rPr>
        <w:t xml:space="preserve"> </w:t>
      </w:r>
      <w:r w:rsidRPr="000B417D">
        <w:rPr>
          <w:rFonts w:ascii="Times New Roman" w:hAnsi="Times New Roman"/>
          <w:sz w:val="24"/>
          <w:szCs w:val="24"/>
          <w:shd w:val="clear" w:color="auto" w:fill="FFFFFF"/>
          <w:lang w:val="sr-Cyrl-CS"/>
        </w:rPr>
        <w:t>пореском евазијом</w:t>
      </w:r>
      <w:r w:rsidR="00D43670" w:rsidRPr="000B417D">
        <w:rPr>
          <w:rFonts w:ascii="Times New Roman" w:hAnsi="Times New Roman"/>
          <w:sz w:val="24"/>
          <w:szCs w:val="24"/>
          <w:shd w:val="clear" w:color="auto" w:fill="FFFFFF"/>
          <w:lang w:val="sr-Cyrl-CS"/>
        </w:rPr>
        <w:t xml:space="preserve"> код овог пореског облика.</w:t>
      </w:r>
      <w:r w:rsidR="00167D7A" w:rsidRPr="000B417D">
        <w:rPr>
          <w:rFonts w:ascii="Times New Roman" w:hAnsi="Times New Roman"/>
          <w:sz w:val="24"/>
          <w:szCs w:val="24"/>
          <w:shd w:val="clear" w:color="auto" w:fill="FFFFFF"/>
          <w:lang w:val="sr-Cyrl-CS"/>
        </w:rPr>
        <w:t xml:space="preserve"> </w:t>
      </w:r>
    </w:p>
    <w:p w:rsidR="000B417D" w:rsidRPr="000B417D" w:rsidRDefault="001F4095" w:rsidP="000B417D">
      <w:pPr>
        <w:ind w:firstLine="708"/>
        <w:jc w:val="both"/>
        <w:rPr>
          <w:rFonts w:ascii="Times New Roman" w:hAnsi="Times New Roman"/>
          <w:sz w:val="24"/>
          <w:szCs w:val="24"/>
          <w:lang w:val="sr-Cyrl-CS"/>
        </w:rPr>
      </w:pPr>
      <w:r w:rsidRPr="000B417D">
        <w:rPr>
          <w:rFonts w:ascii="Times New Roman" w:hAnsi="Times New Roman"/>
          <w:sz w:val="24"/>
          <w:szCs w:val="24"/>
          <w:shd w:val="clear" w:color="auto" w:fill="FFFFFF"/>
          <w:lang w:val="sr-Cyrl-CS"/>
        </w:rPr>
        <w:t>Према пореским прописима</w:t>
      </w:r>
      <w:r w:rsidRPr="000B417D">
        <w:rPr>
          <w:rStyle w:val="FootnoteReference"/>
          <w:rFonts w:ascii="Times New Roman" w:hAnsi="Times New Roman"/>
          <w:color w:val="000000"/>
          <w:sz w:val="24"/>
          <w:szCs w:val="24"/>
          <w:shd w:val="clear" w:color="auto" w:fill="FFFFFF"/>
          <w:lang w:val="sr-Cyrl-CS"/>
        </w:rPr>
        <w:footnoteReference w:id="338"/>
      </w:r>
      <w:r w:rsidRPr="000B417D">
        <w:rPr>
          <w:rFonts w:ascii="Times New Roman" w:hAnsi="Times New Roman"/>
          <w:sz w:val="24"/>
          <w:szCs w:val="24"/>
          <w:shd w:val="clear" w:color="auto" w:fill="FFFFFF"/>
          <w:lang w:val="sr-Cyrl-CS"/>
        </w:rPr>
        <w:t xml:space="preserve"> казниће се новчаном казном од </w:t>
      </w:r>
      <w:r w:rsidRPr="000B417D">
        <w:rPr>
          <w:rFonts w:ascii="Times New Roman" w:hAnsi="Times New Roman"/>
          <w:sz w:val="24"/>
          <w:szCs w:val="24"/>
        </w:rPr>
        <w:t xml:space="preserve">100.000 </w:t>
      </w:r>
      <w:r w:rsidR="00036FA9" w:rsidRPr="000B417D">
        <w:rPr>
          <w:rFonts w:ascii="Times New Roman" w:hAnsi="Times New Roman"/>
          <w:sz w:val="24"/>
          <w:szCs w:val="24"/>
        </w:rPr>
        <w:t>до</w:t>
      </w:r>
      <w:r w:rsidRPr="000B417D">
        <w:rPr>
          <w:rFonts w:ascii="Times New Roman" w:hAnsi="Times New Roman"/>
          <w:sz w:val="24"/>
          <w:szCs w:val="24"/>
        </w:rPr>
        <w:t xml:space="preserve"> 2.000.000 </w:t>
      </w:r>
      <w:r w:rsidR="00036FA9" w:rsidRPr="000B417D">
        <w:rPr>
          <w:rFonts w:ascii="Times New Roman" w:hAnsi="Times New Roman"/>
          <w:sz w:val="24"/>
          <w:szCs w:val="24"/>
        </w:rPr>
        <w:t>динара</w:t>
      </w:r>
      <w:r w:rsidRPr="000B417D">
        <w:rPr>
          <w:rFonts w:ascii="Times New Roman" w:hAnsi="Times New Roman"/>
          <w:sz w:val="24"/>
          <w:szCs w:val="24"/>
          <w:lang w:val="sr-Cyrl-CS"/>
        </w:rPr>
        <w:t xml:space="preserve"> пореск</w:t>
      </w:r>
      <w:r w:rsidR="00036FA9" w:rsidRPr="000B417D">
        <w:rPr>
          <w:rFonts w:ascii="Times New Roman" w:hAnsi="Times New Roman"/>
          <w:sz w:val="24"/>
          <w:szCs w:val="24"/>
          <w:lang w:val="sr-Cyrl-CS"/>
        </w:rPr>
        <w:t>и обвезник за  прекршај ако:</w:t>
      </w:r>
    </w:p>
    <w:p w:rsidR="00A96E82" w:rsidRPr="000B417D" w:rsidRDefault="00036FA9" w:rsidP="000B417D">
      <w:pPr>
        <w:jc w:val="both"/>
        <w:rPr>
          <w:rFonts w:ascii="Times New Roman" w:hAnsi="Times New Roman"/>
          <w:sz w:val="24"/>
          <w:szCs w:val="24"/>
          <w:lang w:val="sr-Cyrl-CS"/>
        </w:rPr>
      </w:pPr>
      <w:r w:rsidRPr="000B417D">
        <w:rPr>
          <w:rFonts w:ascii="Times New Roman" w:hAnsi="Times New Roman"/>
          <w:sz w:val="24"/>
          <w:szCs w:val="24"/>
          <w:lang w:val="sr-Cyrl-CS"/>
        </w:rPr>
        <w:t>1)  У</w:t>
      </w:r>
      <w:r w:rsidR="001F4095" w:rsidRPr="000B417D">
        <w:rPr>
          <w:rFonts w:ascii="Times New Roman" w:hAnsi="Times New Roman"/>
          <w:sz w:val="24"/>
          <w:szCs w:val="24"/>
        </w:rPr>
        <w:t xml:space="preserve"> </w:t>
      </w:r>
      <w:r w:rsidRPr="000B417D">
        <w:rPr>
          <w:rFonts w:ascii="Times New Roman" w:hAnsi="Times New Roman"/>
          <w:sz w:val="24"/>
          <w:szCs w:val="24"/>
        </w:rPr>
        <w:t>пореском</w:t>
      </w:r>
      <w:r w:rsidR="001F4095" w:rsidRPr="000B417D">
        <w:rPr>
          <w:rFonts w:ascii="Times New Roman" w:hAnsi="Times New Roman"/>
          <w:sz w:val="24"/>
          <w:szCs w:val="24"/>
        </w:rPr>
        <w:t xml:space="preserve"> </w:t>
      </w:r>
      <w:r w:rsidRPr="000B417D">
        <w:rPr>
          <w:rFonts w:ascii="Times New Roman" w:hAnsi="Times New Roman"/>
          <w:sz w:val="24"/>
          <w:szCs w:val="24"/>
        </w:rPr>
        <w:t>билансу</w:t>
      </w:r>
      <w:r w:rsidR="001F4095" w:rsidRPr="000B417D">
        <w:rPr>
          <w:rFonts w:ascii="Times New Roman" w:hAnsi="Times New Roman"/>
          <w:sz w:val="24"/>
          <w:szCs w:val="24"/>
        </w:rPr>
        <w:t xml:space="preserve"> </w:t>
      </w:r>
      <w:r w:rsidRPr="000B417D">
        <w:rPr>
          <w:rFonts w:ascii="Times New Roman" w:hAnsi="Times New Roman"/>
          <w:sz w:val="24"/>
          <w:szCs w:val="24"/>
        </w:rPr>
        <w:t>не</w:t>
      </w:r>
      <w:r w:rsidR="001F4095" w:rsidRPr="000B417D">
        <w:rPr>
          <w:rFonts w:ascii="Times New Roman" w:hAnsi="Times New Roman"/>
          <w:sz w:val="24"/>
          <w:szCs w:val="24"/>
        </w:rPr>
        <w:t xml:space="preserve"> </w:t>
      </w:r>
      <w:r w:rsidRPr="000B417D">
        <w:rPr>
          <w:rFonts w:ascii="Times New Roman" w:hAnsi="Times New Roman"/>
          <w:sz w:val="24"/>
          <w:szCs w:val="24"/>
        </w:rPr>
        <w:t>искаже</w:t>
      </w:r>
      <w:r w:rsidR="001F4095" w:rsidRPr="000B417D">
        <w:rPr>
          <w:rFonts w:ascii="Times New Roman" w:hAnsi="Times New Roman"/>
          <w:sz w:val="24"/>
          <w:szCs w:val="24"/>
        </w:rPr>
        <w:t xml:space="preserve"> </w:t>
      </w:r>
      <w:r w:rsidRPr="000B417D">
        <w:rPr>
          <w:rFonts w:ascii="Times New Roman" w:hAnsi="Times New Roman"/>
          <w:sz w:val="24"/>
          <w:szCs w:val="24"/>
        </w:rPr>
        <w:t>посебно</w:t>
      </w:r>
      <w:r w:rsidR="001F4095" w:rsidRPr="000B417D">
        <w:rPr>
          <w:rFonts w:ascii="Times New Roman" w:hAnsi="Times New Roman"/>
          <w:sz w:val="24"/>
          <w:szCs w:val="24"/>
        </w:rPr>
        <w:t xml:space="preserve"> </w:t>
      </w:r>
      <w:r w:rsidRPr="000B417D">
        <w:rPr>
          <w:rFonts w:ascii="Times New Roman" w:hAnsi="Times New Roman"/>
          <w:sz w:val="24"/>
          <w:szCs w:val="24"/>
        </w:rPr>
        <w:t>вредност</w:t>
      </w:r>
      <w:r w:rsidR="001F4095" w:rsidRPr="000B417D">
        <w:rPr>
          <w:rFonts w:ascii="Times New Roman" w:hAnsi="Times New Roman"/>
          <w:sz w:val="24"/>
          <w:szCs w:val="24"/>
        </w:rPr>
        <w:t xml:space="preserve"> </w:t>
      </w:r>
      <w:r w:rsidRPr="000B417D">
        <w:rPr>
          <w:rFonts w:ascii="Times New Roman" w:hAnsi="Times New Roman"/>
          <w:sz w:val="24"/>
          <w:szCs w:val="24"/>
        </w:rPr>
        <w:t>трансакција</w:t>
      </w:r>
      <w:r w:rsidR="001F4095" w:rsidRPr="000B417D">
        <w:rPr>
          <w:rFonts w:ascii="Times New Roman" w:hAnsi="Times New Roman"/>
          <w:sz w:val="24"/>
          <w:szCs w:val="24"/>
        </w:rPr>
        <w:t xml:space="preserve"> </w:t>
      </w:r>
      <w:r w:rsidRPr="000B417D">
        <w:rPr>
          <w:rFonts w:ascii="Times New Roman" w:hAnsi="Times New Roman"/>
          <w:sz w:val="24"/>
          <w:szCs w:val="24"/>
        </w:rPr>
        <w:t>са</w:t>
      </w:r>
      <w:r w:rsidR="001F4095" w:rsidRPr="000B417D">
        <w:rPr>
          <w:rFonts w:ascii="Times New Roman" w:hAnsi="Times New Roman"/>
          <w:sz w:val="24"/>
          <w:szCs w:val="24"/>
        </w:rPr>
        <w:t xml:space="preserve"> </w:t>
      </w:r>
      <w:r w:rsidRPr="000B417D">
        <w:rPr>
          <w:rFonts w:ascii="Times New Roman" w:hAnsi="Times New Roman"/>
          <w:sz w:val="24"/>
          <w:szCs w:val="24"/>
        </w:rPr>
        <w:t>повезаним</w:t>
      </w:r>
      <w:r w:rsidR="001F4095" w:rsidRPr="000B417D">
        <w:rPr>
          <w:rFonts w:ascii="Times New Roman" w:hAnsi="Times New Roman"/>
          <w:sz w:val="24"/>
          <w:szCs w:val="24"/>
        </w:rPr>
        <w:t xml:space="preserve"> </w:t>
      </w:r>
      <w:r w:rsidRPr="000B417D">
        <w:rPr>
          <w:rFonts w:ascii="Times New Roman" w:hAnsi="Times New Roman"/>
          <w:sz w:val="24"/>
          <w:szCs w:val="24"/>
        </w:rPr>
        <w:t>лицима</w:t>
      </w:r>
      <w:r w:rsidR="001F4095" w:rsidRPr="000B417D">
        <w:rPr>
          <w:rFonts w:ascii="Times New Roman" w:hAnsi="Times New Roman"/>
          <w:sz w:val="24"/>
          <w:szCs w:val="24"/>
        </w:rPr>
        <w:t xml:space="preserve"> </w:t>
      </w:r>
      <w:r w:rsidRPr="000B417D">
        <w:rPr>
          <w:rFonts w:ascii="Times New Roman" w:hAnsi="Times New Roman"/>
          <w:sz w:val="24"/>
          <w:szCs w:val="24"/>
        </w:rPr>
        <w:t>по</w:t>
      </w:r>
      <w:r w:rsidR="001F4095" w:rsidRPr="000B417D">
        <w:rPr>
          <w:rFonts w:ascii="Times New Roman" w:hAnsi="Times New Roman"/>
          <w:sz w:val="24"/>
          <w:szCs w:val="24"/>
        </w:rPr>
        <w:t xml:space="preserve"> </w:t>
      </w:r>
      <w:r w:rsidRPr="000B417D">
        <w:rPr>
          <w:rFonts w:ascii="Times New Roman" w:hAnsi="Times New Roman"/>
          <w:sz w:val="24"/>
          <w:szCs w:val="24"/>
        </w:rPr>
        <w:t>трансферним</w:t>
      </w:r>
      <w:r w:rsidR="001F4095" w:rsidRPr="000B417D">
        <w:rPr>
          <w:rFonts w:ascii="Times New Roman" w:hAnsi="Times New Roman"/>
          <w:sz w:val="24"/>
          <w:szCs w:val="24"/>
        </w:rPr>
        <w:t xml:space="preserve"> </w:t>
      </w:r>
      <w:r w:rsidRPr="000B417D">
        <w:rPr>
          <w:rFonts w:ascii="Times New Roman" w:hAnsi="Times New Roman"/>
          <w:sz w:val="24"/>
          <w:szCs w:val="24"/>
        </w:rPr>
        <w:t>ценама</w:t>
      </w:r>
      <w:r w:rsidR="001F4095" w:rsidRPr="000B417D">
        <w:rPr>
          <w:rFonts w:ascii="Times New Roman" w:hAnsi="Times New Roman"/>
          <w:sz w:val="24"/>
          <w:szCs w:val="24"/>
          <w:lang w:val="sr-Cyrl-CS"/>
        </w:rPr>
        <w:t xml:space="preserve">. У </w:t>
      </w:r>
      <w:r w:rsidR="00F21413" w:rsidRPr="000B417D">
        <w:rPr>
          <w:rFonts w:ascii="Times New Roman" w:hAnsi="Times New Roman"/>
          <w:sz w:val="24"/>
          <w:szCs w:val="24"/>
          <w:lang w:val="sr-Cyrl-CS"/>
        </w:rPr>
        <w:t>наредном излагању биће речи о  повезаним лицима и трансферним ценама</w:t>
      </w:r>
      <w:r w:rsidR="001F4095" w:rsidRPr="000B417D">
        <w:rPr>
          <w:rFonts w:ascii="Times New Roman" w:hAnsi="Times New Roman"/>
          <w:sz w:val="24"/>
          <w:szCs w:val="24"/>
          <w:lang w:val="sr-Cyrl-CS"/>
        </w:rPr>
        <w:t>. Посебно прописивање овог понашања као прекршаја ука</w:t>
      </w:r>
      <w:r w:rsidR="006F3811" w:rsidRPr="000B417D">
        <w:rPr>
          <w:rFonts w:ascii="Times New Roman" w:hAnsi="Times New Roman"/>
          <w:sz w:val="24"/>
          <w:szCs w:val="24"/>
          <w:lang w:val="sr-Cyrl-CS"/>
        </w:rPr>
        <w:t>зује на значај ове проблематике, јер ч</w:t>
      </w:r>
      <w:r w:rsidR="001F4095" w:rsidRPr="000B417D">
        <w:rPr>
          <w:rFonts w:ascii="Times New Roman" w:hAnsi="Times New Roman"/>
          <w:sz w:val="24"/>
          <w:szCs w:val="24"/>
          <w:lang w:val="sr-Cyrl-CS"/>
        </w:rPr>
        <w:t>есто до трансакција међу повезаним лицима долази управо у циљу избегавања плаћања пореза. У оквиру тих трансакција су цене роба и услуга другачије од тржишних</w:t>
      </w:r>
      <w:r w:rsidR="006F3811" w:rsidRPr="000B417D">
        <w:rPr>
          <w:rFonts w:ascii="Times New Roman" w:hAnsi="Times New Roman"/>
          <w:sz w:val="24"/>
          <w:szCs w:val="24"/>
          <w:lang w:val="sr-Cyrl-CS"/>
        </w:rPr>
        <w:t xml:space="preserve"> и то су тзв. трансферне цене</w:t>
      </w:r>
      <w:r w:rsidR="001F4095" w:rsidRPr="000B417D">
        <w:rPr>
          <w:rFonts w:ascii="Times New Roman" w:hAnsi="Times New Roman"/>
          <w:sz w:val="24"/>
          <w:szCs w:val="24"/>
          <w:lang w:val="sr-Cyrl-CS"/>
        </w:rPr>
        <w:t xml:space="preserve">. Прекршајна одговорност ће постојати уколико се </w:t>
      </w:r>
      <w:r w:rsidR="006F3811" w:rsidRPr="000B417D">
        <w:rPr>
          <w:rFonts w:ascii="Times New Roman" w:hAnsi="Times New Roman"/>
          <w:sz w:val="24"/>
          <w:szCs w:val="24"/>
          <w:lang w:val="sr-Cyrl-CS"/>
        </w:rPr>
        <w:t xml:space="preserve">те цене </w:t>
      </w:r>
      <w:r w:rsidR="001F4095" w:rsidRPr="000B417D">
        <w:rPr>
          <w:rFonts w:ascii="Times New Roman" w:hAnsi="Times New Roman"/>
          <w:sz w:val="24"/>
          <w:szCs w:val="24"/>
          <w:lang w:val="sr-Cyrl-CS"/>
        </w:rPr>
        <w:t>не искаж</w:t>
      </w:r>
      <w:r w:rsidR="006F3811" w:rsidRPr="000B417D">
        <w:rPr>
          <w:rFonts w:ascii="Times New Roman" w:hAnsi="Times New Roman"/>
          <w:sz w:val="24"/>
          <w:szCs w:val="24"/>
          <w:lang w:val="sr-Cyrl-CS"/>
        </w:rPr>
        <w:t>у посебно</w:t>
      </w:r>
      <w:r w:rsidR="001F4095" w:rsidRPr="000B417D">
        <w:rPr>
          <w:rFonts w:ascii="Times New Roman" w:hAnsi="Times New Roman"/>
          <w:sz w:val="24"/>
          <w:szCs w:val="24"/>
          <w:lang w:val="sr-Cyrl-CS"/>
        </w:rPr>
        <w:t xml:space="preserve"> </w:t>
      </w:r>
      <w:r w:rsidR="006F3811" w:rsidRPr="000B417D">
        <w:rPr>
          <w:rFonts w:ascii="Times New Roman" w:hAnsi="Times New Roman"/>
          <w:sz w:val="24"/>
          <w:szCs w:val="24"/>
          <w:lang w:val="sr-Cyrl-CS"/>
        </w:rPr>
        <w:t xml:space="preserve">у пореском билансу. </w:t>
      </w:r>
      <w:r w:rsidR="00F21413" w:rsidRPr="000B417D">
        <w:rPr>
          <w:rFonts w:ascii="Times New Roman" w:hAnsi="Times New Roman"/>
          <w:sz w:val="24"/>
          <w:szCs w:val="24"/>
          <w:lang w:val="sr-Cyrl-CS"/>
        </w:rPr>
        <w:t>На овај начин је могуће јасно сагледавање да ли су те цене и колико различите од тржишних цена.  Укол</w:t>
      </w:r>
      <w:r w:rsidRPr="000B417D">
        <w:rPr>
          <w:rFonts w:ascii="Times New Roman" w:hAnsi="Times New Roman"/>
          <w:sz w:val="24"/>
          <w:szCs w:val="24"/>
          <w:lang w:val="sr-Cyrl-CS"/>
        </w:rPr>
        <w:t>и</w:t>
      </w:r>
      <w:r w:rsidR="00F21413" w:rsidRPr="000B417D">
        <w:rPr>
          <w:rFonts w:ascii="Times New Roman" w:hAnsi="Times New Roman"/>
          <w:sz w:val="24"/>
          <w:szCs w:val="24"/>
          <w:lang w:val="sr-Cyrl-CS"/>
        </w:rPr>
        <w:t xml:space="preserve">ко у једној трансакцији међу повезаним лицима А и Б, лице А пружи услугу по ценама које су ниже од тржишних, тиме ће умањити своје приходе, а самим тим и опорезиву добит. Са друге стране, правно лице Б ће повећати расходе. Уколико се ради о предузећу </w:t>
      </w:r>
      <w:r w:rsidR="00A96E82" w:rsidRPr="000B417D">
        <w:rPr>
          <w:rFonts w:ascii="Times New Roman" w:hAnsi="Times New Roman"/>
          <w:sz w:val="24"/>
          <w:szCs w:val="24"/>
          <w:lang w:val="sr-Cyrl-CS"/>
        </w:rPr>
        <w:t>за запошљавање инвалидних лица неће платити порез. На овај начин предузеће А је умањило своју пореску обавезу.</w:t>
      </w:r>
      <w:r w:rsidR="00167D7A" w:rsidRPr="000B417D">
        <w:rPr>
          <w:rFonts w:ascii="Times New Roman" w:hAnsi="Times New Roman"/>
          <w:sz w:val="24"/>
          <w:szCs w:val="24"/>
          <w:lang w:val="sr-Cyrl-CS"/>
        </w:rPr>
        <w:t xml:space="preserve"> </w:t>
      </w:r>
    </w:p>
    <w:p w:rsidR="00A96E82" w:rsidRPr="000B417D" w:rsidRDefault="00036FA9" w:rsidP="000B417D">
      <w:pPr>
        <w:jc w:val="both"/>
        <w:rPr>
          <w:rFonts w:ascii="Times New Roman" w:hAnsi="Times New Roman"/>
          <w:sz w:val="24"/>
          <w:szCs w:val="24"/>
          <w:u w:val="single"/>
          <w:lang w:val="sr-Cyrl-CS"/>
        </w:rPr>
      </w:pPr>
      <w:r w:rsidRPr="000B417D">
        <w:rPr>
          <w:rFonts w:ascii="Times New Roman" w:hAnsi="Times New Roman"/>
          <w:sz w:val="24"/>
          <w:szCs w:val="24"/>
          <w:lang w:val="sr-Cyrl-CS"/>
        </w:rPr>
        <w:t>2</w:t>
      </w:r>
      <w:r w:rsidR="00A96E82" w:rsidRPr="000B417D">
        <w:rPr>
          <w:rFonts w:ascii="Times New Roman" w:hAnsi="Times New Roman"/>
          <w:sz w:val="24"/>
          <w:szCs w:val="24"/>
        </w:rPr>
        <w:t xml:space="preserve">) </w:t>
      </w:r>
      <w:r w:rsidRPr="000B417D">
        <w:rPr>
          <w:rFonts w:ascii="Times New Roman" w:hAnsi="Times New Roman"/>
          <w:sz w:val="24"/>
          <w:szCs w:val="24"/>
          <w:lang w:val="sr-Cyrl-CS"/>
        </w:rPr>
        <w:t>У</w:t>
      </w:r>
      <w:r w:rsidR="00A96E82" w:rsidRPr="000B417D">
        <w:rPr>
          <w:rFonts w:ascii="Times New Roman" w:hAnsi="Times New Roman"/>
          <w:sz w:val="24"/>
          <w:szCs w:val="24"/>
        </w:rPr>
        <w:t xml:space="preserve"> </w:t>
      </w:r>
      <w:r w:rsidRPr="000B417D">
        <w:rPr>
          <w:rFonts w:ascii="Times New Roman" w:hAnsi="Times New Roman"/>
          <w:sz w:val="24"/>
          <w:szCs w:val="24"/>
        </w:rPr>
        <w:t>прописаном</w:t>
      </w:r>
      <w:r w:rsidR="00A96E82" w:rsidRPr="000B417D">
        <w:rPr>
          <w:rFonts w:ascii="Times New Roman" w:hAnsi="Times New Roman"/>
          <w:sz w:val="24"/>
          <w:szCs w:val="24"/>
        </w:rPr>
        <w:t xml:space="preserve"> </w:t>
      </w:r>
      <w:r w:rsidRPr="000B417D">
        <w:rPr>
          <w:rFonts w:ascii="Times New Roman" w:hAnsi="Times New Roman"/>
          <w:sz w:val="24"/>
          <w:szCs w:val="24"/>
        </w:rPr>
        <w:t>року</w:t>
      </w:r>
      <w:r w:rsidR="00A96E82" w:rsidRPr="000B417D">
        <w:rPr>
          <w:rFonts w:ascii="Times New Roman" w:hAnsi="Times New Roman"/>
          <w:sz w:val="24"/>
          <w:szCs w:val="24"/>
        </w:rPr>
        <w:t xml:space="preserve"> </w:t>
      </w:r>
      <w:r w:rsidRPr="000B417D">
        <w:rPr>
          <w:rFonts w:ascii="Times New Roman" w:hAnsi="Times New Roman"/>
          <w:sz w:val="24"/>
          <w:szCs w:val="24"/>
        </w:rPr>
        <w:t>не</w:t>
      </w:r>
      <w:r w:rsidR="00A96E82" w:rsidRPr="000B417D">
        <w:rPr>
          <w:rFonts w:ascii="Times New Roman" w:hAnsi="Times New Roman"/>
          <w:sz w:val="24"/>
          <w:szCs w:val="24"/>
        </w:rPr>
        <w:t xml:space="preserve"> </w:t>
      </w:r>
      <w:r w:rsidRPr="000B417D">
        <w:rPr>
          <w:rFonts w:ascii="Times New Roman" w:hAnsi="Times New Roman"/>
          <w:sz w:val="24"/>
          <w:szCs w:val="24"/>
        </w:rPr>
        <w:t>поднесе</w:t>
      </w:r>
      <w:r w:rsidR="00A96E82" w:rsidRPr="000B417D">
        <w:rPr>
          <w:rFonts w:ascii="Times New Roman" w:hAnsi="Times New Roman"/>
          <w:sz w:val="24"/>
          <w:szCs w:val="24"/>
        </w:rPr>
        <w:t xml:space="preserve"> </w:t>
      </w:r>
      <w:r w:rsidRPr="000B417D">
        <w:rPr>
          <w:rFonts w:ascii="Times New Roman" w:hAnsi="Times New Roman"/>
          <w:sz w:val="24"/>
          <w:szCs w:val="24"/>
        </w:rPr>
        <w:t>порески</w:t>
      </w:r>
      <w:r w:rsidR="00A96E82" w:rsidRPr="000B417D">
        <w:rPr>
          <w:rFonts w:ascii="Times New Roman" w:hAnsi="Times New Roman"/>
          <w:sz w:val="24"/>
          <w:szCs w:val="24"/>
        </w:rPr>
        <w:t xml:space="preserve"> </w:t>
      </w:r>
      <w:r w:rsidRPr="000B417D">
        <w:rPr>
          <w:rFonts w:ascii="Times New Roman" w:hAnsi="Times New Roman"/>
          <w:sz w:val="24"/>
          <w:szCs w:val="24"/>
        </w:rPr>
        <w:t>биланс</w:t>
      </w:r>
      <w:r w:rsidR="00A96E82" w:rsidRPr="000B417D">
        <w:rPr>
          <w:rFonts w:ascii="Times New Roman" w:hAnsi="Times New Roman"/>
          <w:sz w:val="24"/>
          <w:szCs w:val="24"/>
        </w:rPr>
        <w:t xml:space="preserve"> </w:t>
      </w:r>
      <w:r w:rsidRPr="000B417D">
        <w:rPr>
          <w:rFonts w:ascii="Times New Roman" w:hAnsi="Times New Roman"/>
          <w:sz w:val="24"/>
          <w:szCs w:val="24"/>
        </w:rPr>
        <w:t>или</w:t>
      </w:r>
      <w:r w:rsidR="00A96E82" w:rsidRPr="000B417D">
        <w:rPr>
          <w:rFonts w:ascii="Times New Roman" w:hAnsi="Times New Roman"/>
          <w:sz w:val="24"/>
          <w:szCs w:val="24"/>
        </w:rPr>
        <w:t xml:space="preserve"> </w:t>
      </w:r>
      <w:r w:rsidRPr="000B417D">
        <w:rPr>
          <w:rFonts w:ascii="Times New Roman" w:hAnsi="Times New Roman"/>
          <w:sz w:val="24"/>
          <w:szCs w:val="24"/>
        </w:rPr>
        <w:t>ако</w:t>
      </w:r>
      <w:r w:rsidR="00A96E82" w:rsidRPr="000B417D">
        <w:rPr>
          <w:rFonts w:ascii="Times New Roman" w:hAnsi="Times New Roman"/>
          <w:sz w:val="24"/>
          <w:szCs w:val="24"/>
        </w:rPr>
        <w:t xml:space="preserve"> </w:t>
      </w:r>
      <w:r w:rsidRPr="000B417D">
        <w:rPr>
          <w:rFonts w:ascii="Times New Roman" w:hAnsi="Times New Roman"/>
          <w:sz w:val="24"/>
          <w:szCs w:val="24"/>
        </w:rPr>
        <w:t>у</w:t>
      </w:r>
      <w:r w:rsidR="00A96E82" w:rsidRPr="000B417D">
        <w:rPr>
          <w:rFonts w:ascii="Times New Roman" w:hAnsi="Times New Roman"/>
          <w:sz w:val="24"/>
          <w:szCs w:val="24"/>
        </w:rPr>
        <w:t xml:space="preserve"> </w:t>
      </w:r>
      <w:r w:rsidRPr="000B417D">
        <w:rPr>
          <w:rFonts w:ascii="Times New Roman" w:hAnsi="Times New Roman"/>
          <w:sz w:val="24"/>
          <w:szCs w:val="24"/>
        </w:rPr>
        <w:t>пореском</w:t>
      </w:r>
      <w:r w:rsidR="00A96E82" w:rsidRPr="000B417D">
        <w:rPr>
          <w:rFonts w:ascii="Times New Roman" w:hAnsi="Times New Roman"/>
          <w:sz w:val="24"/>
          <w:szCs w:val="24"/>
        </w:rPr>
        <w:t xml:space="preserve"> </w:t>
      </w:r>
      <w:r w:rsidRPr="000B417D">
        <w:rPr>
          <w:rFonts w:ascii="Times New Roman" w:hAnsi="Times New Roman"/>
          <w:sz w:val="24"/>
          <w:szCs w:val="24"/>
        </w:rPr>
        <w:t>билансу</w:t>
      </w:r>
      <w:r w:rsidR="00A96E82" w:rsidRPr="000B417D">
        <w:rPr>
          <w:rFonts w:ascii="Times New Roman" w:hAnsi="Times New Roman"/>
          <w:sz w:val="24"/>
          <w:szCs w:val="24"/>
        </w:rPr>
        <w:t xml:space="preserve"> </w:t>
      </w:r>
      <w:r w:rsidRPr="000B417D">
        <w:rPr>
          <w:rFonts w:ascii="Times New Roman" w:hAnsi="Times New Roman"/>
          <w:sz w:val="24"/>
          <w:szCs w:val="24"/>
        </w:rPr>
        <w:t>поднесе</w:t>
      </w:r>
      <w:r w:rsidR="00A96E82" w:rsidRPr="000B417D">
        <w:rPr>
          <w:rFonts w:ascii="Times New Roman" w:hAnsi="Times New Roman"/>
          <w:sz w:val="24"/>
          <w:szCs w:val="24"/>
        </w:rPr>
        <w:t xml:space="preserve"> </w:t>
      </w:r>
      <w:r w:rsidRPr="000B417D">
        <w:rPr>
          <w:rFonts w:ascii="Times New Roman" w:hAnsi="Times New Roman"/>
          <w:sz w:val="24"/>
          <w:szCs w:val="24"/>
        </w:rPr>
        <w:t>нетачне</w:t>
      </w:r>
      <w:r w:rsidR="00A96E82" w:rsidRPr="000B417D">
        <w:rPr>
          <w:rFonts w:ascii="Times New Roman" w:hAnsi="Times New Roman"/>
          <w:sz w:val="24"/>
          <w:szCs w:val="24"/>
        </w:rPr>
        <w:t xml:space="preserve"> </w:t>
      </w:r>
      <w:r w:rsidRPr="000B417D">
        <w:rPr>
          <w:rFonts w:ascii="Times New Roman" w:hAnsi="Times New Roman"/>
          <w:sz w:val="24"/>
          <w:szCs w:val="24"/>
        </w:rPr>
        <w:t>податке</w:t>
      </w:r>
      <w:r w:rsidR="00A96E82" w:rsidRPr="000B417D">
        <w:rPr>
          <w:rFonts w:ascii="Times New Roman" w:hAnsi="Times New Roman"/>
          <w:sz w:val="24"/>
          <w:szCs w:val="24"/>
        </w:rPr>
        <w:t xml:space="preserve">, </w:t>
      </w:r>
      <w:r w:rsidRPr="000B417D">
        <w:rPr>
          <w:rFonts w:ascii="Times New Roman" w:hAnsi="Times New Roman"/>
          <w:sz w:val="24"/>
          <w:szCs w:val="24"/>
        </w:rPr>
        <w:t>што</w:t>
      </w:r>
      <w:r w:rsidR="00A96E82" w:rsidRPr="000B417D">
        <w:rPr>
          <w:rFonts w:ascii="Times New Roman" w:hAnsi="Times New Roman"/>
          <w:sz w:val="24"/>
          <w:szCs w:val="24"/>
        </w:rPr>
        <w:t xml:space="preserve"> </w:t>
      </w:r>
      <w:r w:rsidRPr="000B417D">
        <w:rPr>
          <w:rFonts w:ascii="Times New Roman" w:hAnsi="Times New Roman"/>
          <w:sz w:val="24"/>
          <w:szCs w:val="24"/>
        </w:rPr>
        <w:t>је</w:t>
      </w:r>
      <w:r w:rsidR="00A96E82" w:rsidRPr="000B417D">
        <w:rPr>
          <w:rFonts w:ascii="Times New Roman" w:hAnsi="Times New Roman"/>
          <w:sz w:val="24"/>
          <w:szCs w:val="24"/>
        </w:rPr>
        <w:t xml:space="preserve"> </w:t>
      </w:r>
      <w:r w:rsidRPr="000B417D">
        <w:rPr>
          <w:rFonts w:ascii="Times New Roman" w:hAnsi="Times New Roman"/>
          <w:sz w:val="24"/>
          <w:szCs w:val="24"/>
        </w:rPr>
        <w:t>за</w:t>
      </w:r>
      <w:r w:rsidR="00A96E82" w:rsidRPr="000B417D">
        <w:rPr>
          <w:rFonts w:ascii="Times New Roman" w:hAnsi="Times New Roman"/>
          <w:sz w:val="24"/>
          <w:szCs w:val="24"/>
        </w:rPr>
        <w:t xml:space="preserve"> </w:t>
      </w:r>
      <w:r w:rsidRPr="000B417D">
        <w:rPr>
          <w:rFonts w:ascii="Times New Roman" w:hAnsi="Times New Roman"/>
          <w:sz w:val="24"/>
          <w:szCs w:val="24"/>
        </w:rPr>
        <w:t>последицу</w:t>
      </w:r>
      <w:r w:rsidR="00A96E82" w:rsidRPr="000B417D">
        <w:rPr>
          <w:rFonts w:ascii="Times New Roman" w:hAnsi="Times New Roman"/>
          <w:sz w:val="24"/>
          <w:szCs w:val="24"/>
        </w:rPr>
        <w:t xml:space="preserve"> </w:t>
      </w:r>
      <w:r w:rsidRPr="000B417D">
        <w:rPr>
          <w:rFonts w:ascii="Times New Roman" w:hAnsi="Times New Roman"/>
          <w:sz w:val="24"/>
          <w:szCs w:val="24"/>
        </w:rPr>
        <w:t>могло</w:t>
      </w:r>
      <w:r w:rsidR="00A96E82" w:rsidRPr="000B417D">
        <w:rPr>
          <w:rFonts w:ascii="Times New Roman" w:hAnsi="Times New Roman"/>
          <w:sz w:val="24"/>
          <w:szCs w:val="24"/>
        </w:rPr>
        <w:t xml:space="preserve"> </w:t>
      </w:r>
      <w:r w:rsidRPr="000B417D">
        <w:rPr>
          <w:rFonts w:ascii="Times New Roman" w:hAnsi="Times New Roman"/>
          <w:sz w:val="24"/>
          <w:szCs w:val="24"/>
        </w:rPr>
        <w:t>да</w:t>
      </w:r>
      <w:r w:rsidR="00A96E82" w:rsidRPr="000B417D">
        <w:rPr>
          <w:rFonts w:ascii="Times New Roman" w:hAnsi="Times New Roman"/>
          <w:sz w:val="24"/>
          <w:szCs w:val="24"/>
        </w:rPr>
        <w:t xml:space="preserve"> </w:t>
      </w:r>
      <w:r w:rsidRPr="000B417D">
        <w:rPr>
          <w:rFonts w:ascii="Times New Roman" w:hAnsi="Times New Roman"/>
          <w:sz w:val="24"/>
          <w:szCs w:val="24"/>
        </w:rPr>
        <w:t>има</w:t>
      </w:r>
      <w:r w:rsidR="00A96E82" w:rsidRPr="000B417D">
        <w:rPr>
          <w:rFonts w:ascii="Times New Roman" w:hAnsi="Times New Roman"/>
          <w:sz w:val="24"/>
          <w:szCs w:val="24"/>
        </w:rPr>
        <w:t xml:space="preserve"> </w:t>
      </w:r>
      <w:r w:rsidRPr="000B417D">
        <w:rPr>
          <w:rFonts w:ascii="Times New Roman" w:hAnsi="Times New Roman"/>
          <w:sz w:val="24"/>
          <w:szCs w:val="24"/>
        </w:rPr>
        <w:t>смањење</w:t>
      </w:r>
      <w:r w:rsidR="00A96E82" w:rsidRPr="000B417D">
        <w:rPr>
          <w:rFonts w:ascii="Times New Roman" w:hAnsi="Times New Roman"/>
          <w:sz w:val="24"/>
          <w:szCs w:val="24"/>
        </w:rPr>
        <w:t xml:space="preserve"> </w:t>
      </w:r>
      <w:r w:rsidRPr="000B417D">
        <w:rPr>
          <w:rFonts w:ascii="Times New Roman" w:hAnsi="Times New Roman"/>
          <w:sz w:val="24"/>
          <w:szCs w:val="24"/>
        </w:rPr>
        <w:t>пореске</w:t>
      </w:r>
      <w:r w:rsidR="00A96E82" w:rsidRPr="000B417D">
        <w:rPr>
          <w:rFonts w:ascii="Times New Roman" w:hAnsi="Times New Roman"/>
          <w:sz w:val="24"/>
          <w:szCs w:val="24"/>
        </w:rPr>
        <w:t xml:space="preserve"> </w:t>
      </w:r>
      <w:r w:rsidRPr="000B417D">
        <w:rPr>
          <w:rFonts w:ascii="Times New Roman" w:hAnsi="Times New Roman"/>
          <w:sz w:val="24"/>
          <w:szCs w:val="24"/>
        </w:rPr>
        <w:t>основице</w:t>
      </w:r>
      <w:r w:rsidR="00A96E82" w:rsidRPr="000B417D">
        <w:rPr>
          <w:rFonts w:ascii="Times New Roman" w:hAnsi="Times New Roman"/>
          <w:sz w:val="24"/>
          <w:szCs w:val="24"/>
        </w:rPr>
        <w:t xml:space="preserve"> </w:t>
      </w:r>
      <w:r w:rsidRPr="000B417D">
        <w:rPr>
          <w:rFonts w:ascii="Times New Roman" w:hAnsi="Times New Roman"/>
          <w:sz w:val="24"/>
          <w:szCs w:val="24"/>
        </w:rPr>
        <w:t>или</w:t>
      </w:r>
      <w:r w:rsidR="00A96E82" w:rsidRPr="000B417D">
        <w:rPr>
          <w:rFonts w:ascii="Times New Roman" w:hAnsi="Times New Roman"/>
          <w:sz w:val="24"/>
          <w:szCs w:val="24"/>
        </w:rPr>
        <w:t xml:space="preserve"> </w:t>
      </w:r>
      <w:r w:rsidRPr="000B417D">
        <w:rPr>
          <w:rFonts w:ascii="Times New Roman" w:hAnsi="Times New Roman"/>
          <w:sz w:val="24"/>
          <w:szCs w:val="24"/>
        </w:rPr>
        <w:t>неосновано</w:t>
      </w:r>
      <w:r w:rsidR="00A96E82" w:rsidRPr="000B417D">
        <w:rPr>
          <w:rFonts w:ascii="Times New Roman" w:hAnsi="Times New Roman"/>
          <w:sz w:val="24"/>
          <w:szCs w:val="24"/>
        </w:rPr>
        <w:t xml:space="preserve"> </w:t>
      </w:r>
      <w:r w:rsidRPr="000B417D">
        <w:rPr>
          <w:rFonts w:ascii="Times New Roman" w:hAnsi="Times New Roman"/>
          <w:sz w:val="24"/>
          <w:szCs w:val="24"/>
        </w:rPr>
        <w:t>остваривање</w:t>
      </w:r>
      <w:r w:rsidR="00A96E82" w:rsidRPr="000B417D">
        <w:rPr>
          <w:rFonts w:ascii="Times New Roman" w:hAnsi="Times New Roman"/>
          <w:sz w:val="24"/>
          <w:szCs w:val="24"/>
        </w:rPr>
        <w:t xml:space="preserve"> </w:t>
      </w:r>
      <w:r w:rsidRPr="000B417D">
        <w:rPr>
          <w:rFonts w:ascii="Times New Roman" w:hAnsi="Times New Roman"/>
          <w:sz w:val="24"/>
          <w:szCs w:val="24"/>
        </w:rPr>
        <w:t>права</w:t>
      </w:r>
      <w:r w:rsidR="00A96E82" w:rsidRPr="000B417D">
        <w:rPr>
          <w:rFonts w:ascii="Times New Roman" w:hAnsi="Times New Roman"/>
          <w:sz w:val="24"/>
          <w:szCs w:val="24"/>
        </w:rPr>
        <w:t xml:space="preserve"> </w:t>
      </w:r>
      <w:r w:rsidRPr="000B417D">
        <w:rPr>
          <w:rFonts w:ascii="Times New Roman" w:hAnsi="Times New Roman"/>
          <w:sz w:val="24"/>
          <w:szCs w:val="24"/>
        </w:rPr>
        <w:t>на</w:t>
      </w:r>
      <w:r w:rsidR="00A96E82" w:rsidRPr="000B417D">
        <w:rPr>
          <w:rFonts w:ascii="Times New Roman" w:hAnsi="Times New Roman"/>
          <w:sz w:val="24"/>
          <w:szCs w:val="24"/>
        </w:rPr>
        <w:t xml:space="preserve"> </w:t>
      </w:r>
      <w:r w:rsidRPr="000B417D">
        <w:rPr>
          <w:rFonts w:ascii="Times New Roman" w:hAnsi="Times New Roman"/>
          <w:sz w:val="24"/>
          <w:szCs w:val="24"/>
        </w:rPr>
        <w:t>пореске</w:t>
      </w:r>
      <w:r w:rsidR="00A96E82" w:rsidRPr="000B417D">
        <w:rPr>
          <w:rFonts w:ascii="Times New Roman" w:hAnsi="Times New Roman"/>
          <w:sz w:val="24"/>
          <w:szCs w:val="24"/>
        </w:rPr>
        <w:t xml:space="preserve"> </w:t>
      </w:r>
      <w:r w:rsidRPr="000B417D">
        <w:rPr>
          <w:rFonts w:ascii="Times New Roman" w:hAnsi="Times New Roman"/>
          <w:sz w:val="24"/>
          <w:szCs w:val="24"/>
        </w:rPr>
        <w:t>подстицаје</w:t>
      </w:r>
      <w:r w:rsidR="00A96E82" w:rsidRPr="000B417D">
        <w:rPr>
          <w:rFonts w:ascii="Times New Roman" w:hAnsi="Times New Roman"/>
          <w:sz w:val="24"/>
          <w:szCs w:val="24"/>
        </w:rPr>
        <w:t xml:space="preserve"> </w:t>
      </w:r>
      <w:r w:rsidRPr="000B417D">
        <w:rPr>
          <w:rFonts w:ascii="Times New Roman" w:hAnsi="Times New Roman"/>
          <w:sz w:val="24"/>
          <w:szCs w:val="24"/>
        </w:rPr>
        <w:t>или</w:t>
      </w:r>
      <w:r w:rsidR="00A96E82" w:rsidRPr="000B417D">
        <w:rPr>
          <w:rFonts w:ascii="Times New Roman" w:hAnsi="Times New Roman"/>
          <w:sz w:val="24"/>
          <w:szCs w:val="24"/>
        </w:rPr>
        <w:t xml:space="preserve"> </w:t>
      </w:r>
      <w:r w:rsidRPr="000B417D">
        <w:rPr>
          <w:rFonts w:ascii="Times New Roman" w:hAnsi="Times New Roman"/>
          <w:sz w:val="24"/>
          <w:szCs w:val="24"/>
        </w:rPr>
        <w:t>ако</w:t>
      </w:r>
      <w:r w:rsidR="00A96E82" w:rsidRPr="000B417D">
        <w:rPr>
          <w:rFonts w:ascii="Times New Roman" w:hAnsi="Times New Roman"/>
          <w:sz w:val="24"/>
          <w:szCs w:val="24"/>
        </w:rPr>
        <w:t xml:space="preserve"> </w:t>
      </w:r>
      <w:r w:rsidRPr="000B417D">
        <w:rPr>
          <w:rFonts w:ascii="Times New Roman" w:hAnsi="Times New Roman"/>
          <w:sz w:val="24"/>
          <w:szCs w:val="24"/>
        </w:rPr>
        <w:t>не</w:t>
      </w:r>
      <w:r w:rsidR="00A96E82" w:rsidRPr="000B417D">
        <w:rPr>
          <w:rFonts w:ascii="Times New Roman" w:hAnsi="Times New Roman"/>
          <w:sz w:val="24"/>
          <w:szCs w:val="24"/>
        </w:rPr>
        <w:t xml:space="preserve"> </w:t>
      </w:r>
      <w:r w:rsidRPr="000B417D">
        <w:rPr>
          <w:rFonts w:ascii="Times New Roman" w:hAnsi="Times New Roman"/>
          <w:sz w:val="24"/>
          <w:szCs w:val="24"/>
        </w:rPr>
        <w:t>поднесе</w:t>
      </w:r>
      <w:r w:rsidR="00A96E82" w:rsidRPr="000B417D">
        <w:rPr>
          <w:rFonts w:ascii="Times New Roman" w:hAnsi="Times New Roman"/>
          <w:sz w:val="24"/>
          <w:szCs w:val="24"/>
        </w:rPr>
        <w:t xml:space="preserve"> </w:t>
      </w:r>
      <w:r w:rsidRPr="000B417D">
        <w:rPr>
          <w:rFonts w:ascii="Times New Roman" w:hAnsi="Times New Roman"/>
          <w:sz w:val="24"/>
          <w:szCs w:val="24"/>
        </w:rPr>
        <w:t>остала</w:t>
      </w:r>
      <w:r w:rsidR="00A96E82" w:rsidRPr="000B417D">
        <w:rPr>
          <w:rFonts w:ascii="Times New Roman" w:hAnsi="Times New Roman"/>
          <w:sz w:val="24"/>
          <w:szCs w:val="24"/>
        </w:rPr>
        <w:t xml:space="preserve"> </w:t>
      </w:r>
      <w:r w:rsidRPr="000B417D">
        <w:rPr>
          <w:rFonts w:ascii="Times New Roman" w:hAnsi="Times New Roman"/>
          <w:sz w:val="24"/>
          <w:szCs w:val="24"/>
        </w:rPr>
        <w:t>прописана</w:t>
      </w:r>
      <w:r w:rsidR="00A96E82" w:rsidRPr="000B417D">
        <w:rPr>
          <w:rFonts w:ascii="Times New Roman" w:hAnsi="Times New Roman"/>
          <w:sz w:val="24"/>
          <w:szCs w:val="24"/>
        </w:rPr>
        <w:t xml:space="preserve"> </w:t>
      </w:r>
      <w:r w:rsidRPr="000B417D">
        <w:rPr>
          <w:rFonts w:ascii="Times New Roman" w:hAnsi="Times New Roman"/>
          <w:sz w:val="24"/>
          <w:szCs w:val="24"/>
        </w:rPr>
        <w:t>документа</w:t>
      </w:r>
      <w:r w:rsidRPr="000B417D">
        <w:rPr>
          <w:rFonts w:ascii="Times New Roman" w:hAnsi="Times New Roman"/>
          <w:sz w:val="24"/>
          <w:szCs w:val="24"/>
          <w:lang w:val="sr-Cyrl-CS"/>
        </w:rPr>
        <w:t>.</w:t>
      </w:r>
    </w:p>
    <w:p w:rsidR="00036FA9" w:rsidRPr="000B417D" w:rsidRDefault="00036FA9" w:rsidP="000B417D">
      <w:pPr>
        <w:jc w:val="both"/>
        <w:rPr>
          <w:rFonts w:ascii="Times New Roman" w:hAnsi="Times New Roman"/>
          <w:sz w:val="24"/>
          <w:szCs w:val="24"/>
          <w:u w:val="single"/>
          <w:lang w:val="sr-Cyrl-CS"/>
        </w:rPr>
      </w:pPr>
      <w:r w:rsidRPr="000B417D">
        <w:rPr>
          <w:rFonts w:ascii="Times New Roman" w:hAnsi="Times New Roman"/>
          <w:sz w:val="24"/>
          <w:szCs w:val="24"/>
          <w:lang w:val="sr-Cyrl-CS"/>
        </w:rPr>
        <w:t>3)А</w:t>
      </w:r>
      <w:r w:rsidRPr="000B417D">
        <w:rPr>
          <w:rFonts w:ascii="Times New Roman" w:hAnsi="Times New Roman"/>
          <w:sz w:val="24"/>
          <w:szCs w:val="24"/>
        </w:rPr>
        <w:t>ко</w:t>
      </w:r>
      <w:r w:rsidR="00A96E82" w:rsidRPr="000B417D">
        <w:rPr>
          <w:rFonts w:ascii="Times New Roman" w:hAnsi="Times New Roman"/>
          <w:sz w:val="24"/>
          <w:szCs w:val="24"/>
        </w:rPr>
        <w:t xml:space="preserve"> </w:t>
      </w:r>
      <w:r w:rsidRPr="000B417D">
        <w:rPr>
          <w:rFonts w:ascii="Times New Roman" w:hAnsi="Times New Roman"/>
          <w:sz w:val="24"/>
          <w:szCs w:val="24"/>
        </w:rPr>
        <w:t>по</w:t>
      </w:r>
      <w:r w:rsidR="00A96E82" w:rsidRPr="000B417D">
        <w:rPr>
          <w:rFonts w:ascii="Times New Roman" w:hAnsi="Times New Roman"/>
          <w:sz w:val="24"/>
          <w:szCs w:val="24"/>
        </w:rPr>
        <w:t xml:space="preserve"> </w:t>
      </w:r>
      <w:r w:rsidRPr="000B417D">
        <w:rPr>
          <w:rFonts w:ascii="Times New Roman" w:hAnsi="Times New Roman"/>
          <w:sz w:val="24"/>
          <w:szCs w:val="24"/>
        </w:rPr>
        <w:t>отпочињању</w:t>
      </w:r>
      <w:r w:rsidR="00A96E82" w:rsidRPr="000B417D">
        <w:rPr>
          <w:rFonts w:ascii="Times New Roman" w:hAnsi="Times New Roman"/>
          <w:sz w:val="24"/>
          <w:szCs w:val="24"/>
        </w:rPr>
        <w:t xml:space="preserve"> </w:t>
      </w:r>
      <w:r w:rsidRPr="000B417D">
        <w:rPr>
          <w:rFonts w:ascii="Times New Roman" w:hAnsi="Times New Roman"/>
          <w:sz w:val="24"/>
          <w:szCs w:val="24"/>
        </w:rPr>
        <w:t>обављања</w:t>
      </w:r>
      <w:r w:rsidR="00A96E82" w:rsidRPr="000B417D">
        <w:rPr>
          <w:rFonts w:ascii="Times New Roman" w:hAnsi="Times New Roman"/>
          <w:sz w:val="24"/>
          <w:szCs w:val="24"/>
        </w:rPr>
        <w:t xml:space="preserve"> </w:t>
      </w:r>
      <w:r w:rsidRPr="000B417D">
        <w:rPr>
          <w:rFonts w:ascii="Times New Roman" w:hAnsi="Times New Roman"/>
          <w:sz w:val="24"/>
          <w:szCs w:val="24"/>
        </w:rPr>
        <w:t>делатности</w:t>
      </w:r>
      <w:r w:rsidR="00A96E82" w:rsidRPr="000B417D">
        <w:rPr>
          <w:rFonts w:ascii="Times New Roman" w:hAnsi="Times New Roman"/>
          <w:sz w:val="24"/>
          <w:szCs w:val="24"/>
        </w:rPr>
        <w:t xml:space="preserve"> </w:t>
      </w:r>
      <w:r w:rsidRPr="000B417D">
        <w:rPr>
          <w:rFonts w:ascii="Times New Roman" w:hAnsi="Times New Roman"/>
          <w:sz w:val="24"/>
          <w:szCs w:val="24"/>
        </w:rPr>
        <w:t>у</w:t>
      </w:r>
      <w:r w:rsidR="00A96E82" w:rsidRPr="000B417D">
        <w:rPr>
          <w:rFonts w:ascii="Times New Roman" w:hAnsi="Times New Roman"/>
          <w:sz w:val="24"/>
          <w:szCs w:val="24"/>
        </w:rPr>
        <w:t xml:space="preserve"> </w:t>
      </w:r>
      <w:r w:rsidRPr="000B417D">
        <w:rPr>
          <w:rFonts w:ascii="Times New Roman" w:hAnsi="Times New Roman"/>
          <w:sz w:val="24"/>
          <w:szCs w:val="24"/>
        </w:rPr>
        <w:t>прописаном</w:t>
      </w:r>
      <w:r w:rsidR="00A96E82" w:rsidRPr="000B417D">
        <w:rPr>
          <w:rFonts w:ascii="Times New Roman" w:hAnsi="Times New Roman"/>
          <w:sz w:val="24"/>
          <w:szCs w:val="24"/>
        </w:rPr>
        <w:t xml:space="preserve"> </w:t>
      </w:r>
      <w:r w:rsidRPr="000B417D">
        <w:rPr>
          <w:rFonts w:ascii="Times New Roman" w:hAnsi="Times New Roman"/>
          <w:sz w:val="24"/>
          <w:szCs w:val="24"/>
        </w:rPr>
        <w:t>року</w:t>
      </w:r>
      <w:r w:rsidR="00A96E82" w:rsidRPr="000B417D">
        <w:rPr>
          <w:rFonts w:ascii="Times New Roman" w:hAnsi="Times New Roman"/>
          <w:sz w:val="24"/>
          <w:szCs w:val="24"/>
        </w:rPr>
        <w:t xml:space="preserve"> </w:t>
      </w:r>
      <w:r w:rsidRPr="000B417D">
        <w:rPr>
          <w:rFonts w:ascii="Times New Roman" w:hAnsi="Times New Roman"/>
          <w:sz w:val="24"/>
          <w:szCs w:val="24"/>
        </w:rPr>
        <w:t>не</w:t>
      </w:r>
      <w:r w:rsidR="00A96E82" w:rsidRPr="000B417D">
        <w:rPr>
          <w:rFonts w:ascii="Times New Roman" w:hAnsi="Times New Roman"/>
          <w:sz w:val="24"/>
          <w:szCs w:val="24"/>
        </w:rPr>
        <w:t xml:space="preserve"> </w:t>
      </w:r>
      <w:r w:rsidRPr="000B417D">
        <w:rPr>
          <w:rFonts w:ascii="Times New Roman" w:hAnsi="Times New Roman"/>
          <w:sz w:val="24"/>
          <w:szCs w:val="24"/>
        </w:rPr>
        <w:t>да</w:t>
      </w:r>
      <w:r w:rsidR="00A96E82" w:rsidRPr="000B417D">
        <w:rPr>
          <w:rFonts w:ascii="Times New Roman" w:hAnsi="Times New Roman"/>
          <w:sz w:val="24"/>
          <w:szCs w:val="24"/>
        </w:rPr>
        <w:t xml:space="preserve"> </w:t>
      </w:r>
      <w:r w:rsidRPr="000B417D">
        <w:rPr>
          <w:rFonts w:ascii="Times New Roman" w:hAnsi="Times New Roman"/>
          <w:sz w:val="24"/>
          <w:szCs w:val="24"/>
        </w:rPr>
        <w:t>процену</w:t>
      </w:r>
      <w:r w:rsidR="00A96E82" w:rsidRPr="000B417D">
        <w:rPr>
          <w:rFonts w:ascii="Times New Roman" w:hAnsi="Times New Roman"/>
          <w:sz w:val="24"/>
          <w:szCs w:val="24"/>
        </w:rPr>
        <w:t xml:space="preserve"> </w:t>
      </w:r>
      <w:r w:rsidRPr="000B417D">
        <w:rPr>
          <w:rFonts w:ascii="Times New Roman" w:hAnsi="Times New Roman"/>
          <w:sz w:val="24"/>
          <w:szCs w:val="24"/>
        </w:rPr>
        <w:t>прихода</w:t>
      </w:r>
      <w:r w:rsidR="00A96E82" w:rsidRPr="000B417D">
        <w:rPr>
          <w:rFonts w:ascii="Times New Roman" w:hAnsi="Times New Roman"/>
          <w:sz w:val="24"/>
          <w:szCs w:val="24"/>
        </w:rPr>
        <w:t xml:space="preserve">, </w:t>
      </w:r>
      <w:r w:rsidRPr="000B417D">
        <w:rPr>
          <w:rFonts w:ascii="Times New Roman" w:hAnsi="Times New Roman"/>
          <w:sz w:val="24"/>
          <w:szCs w:val="24"/>
        </w:rPr>
        <w:t>расхода</w:t>
      </w:r>
      <w:r w:rsidR="00A96E82" w:rsidRPr="000B417D">
        <w:rPr>
          <w:rFonts w:ascii="Times New Roman" w:hAnsi="Times New Roman"/>
          <w:sz w:val="24"/>
          <w:szCs w:val="24"/>
        </w:rPr>
        <w:t xml:space="preserve"> </w:t>
      </w:r>
      <w:r w:rsidRPr="000B417D">
        <w:rPr>
          <w:rFonts w:ascii="Times New Roman" w:hAnsi="Times New Roman"/>
          <w:sz w:val="24"/>
          <w:szCs w:val="24"/>
        </w:rPr>
        <w:t>и</w:t>
      </w:r>
      <w:r w:rsidR="00A96E82" w:rsidRPr="000B417D">
        <w:rPr>
          <w:rFonts w:ascii="Times New Roman" w:hAnsi="Times New Roman"/>
          <w:sz w:val="24"/>
          <w:szCs w:val="24"/>
        </w:rPr>
        <w:t xml:space="preserve"> </w:t>
      </w:r>
      <w:r w:rsidRPr="000B417D">
        <w:rPr>
          <w:rFonts w:ascii="Times New Roman" w:hAnsi="Times New Roman"/>
          <w:sz w:val="24"/>
          <w:szCs w:val="24"/>
        </w:rPr>
        <w:t>добити</w:t>
      </w:r>
      <w:r w:rsidR="00A96E82" w:rsidRPr="000B417D">
        <w:rPr>
          <w:rFonts w:ascii="Times New Roman" w:hAnsi="Times New Roman"/>
          <w:sz w:val="24"/>
          <w:szCs w:val="24"/>
        </w:rPr>
        <w:t xml:space="preserve"> </w:t>
      </w:r>
      <w:r w:rsidRPr="000B417D">
        <w:rPr>
          <w:rFonts w:ascii="Times New Roman" w:hAnsi="Times New Roman"/>
          <w:sz w:val="24"/>
          <w:szCs w:val="24"/>
        </w:rPr>
        <w:t>за</w:t>
      </w:r>
      <w:r w:rsidR="00A96E82" w:rsidRPr="000B417D">
        <w:rPr>
          <w:rFonts w:ascii="Times New Roman" w:hAnsi="Times New Roman"/>
          <w:sz w:val="24"/>
          <w:szCs w:val="24"/>
        </w:rPr>
        <w:t xml:space="preserve"> </w:t>
      </w:r>
      <w:r w:rsidRPr="000B417D">
        <w:rPr>
          <w:rFonts w:ascii="Times New Roman" w:hAnsi="Times New Roman"/>
          <w:sz w:val="24"/>
          <w:szCs w:val="24"/>
        </w:rPr>
        <w:t>пословну</w:t>
      </w:r>
      <w:r w:rsidR="00A96E82" w:rsidRPr="000B417D">
        <w:rPr>
          <w:rFonts w:ascii="Times New Roman" w:hAnsi="Times New Roman"/>
          <w:sz w:val="24"/>
          <w:szCs w:val="24"/>
        </w:rPr>
        <w:t xml:space="preserve"> </w:t>
      </w:r>
      <w:r w:rsidRPr="000B417D">
        <w:rPr>
          <w:rFonts w:ascii="Times New Roman" w:hAnsi="Times New Roman"/>
          <w:sz w:val="24"/>
          <w:szCs w:val="24"/>
        </w:rPr>
        <w:t>годину</w:t>
      </w:r>
      <w:r w:rsidR="00A96E82" w:rsidRPr="000B417D">
        <w:rPr>
          <w:rFonts w:ascii="Times New Roman" w:hAnsi="Times New Roman"/>
          <w:sz w:val="24"/>
          <w:szCs w:val="24"/>
        </w:rPr>
        <w:t xml:space="preserve"> </w:t>
      </w:r>
      <w:r w:rsidRPr="000B417D">
        <w:rPr>
          <w:rFonts w:ascii="Times New Roman" w:hAnsi="Times New Roman"/>
          <w:sz w:val="24"/>
          <w:szCs w:val="24"/>
        </w:rPr>
        <w:t>и</w:t>
      </w:r>
      <w:r w:rsidR="00A96E82" w:rsidRPr="000B417D">
        <w:rPr>
          <w:rFonts w:ascii="Times New Roman" w:hAnsi="Times New Roman"/>
          <w:sz w:val="24"/>
          <w:szCs w:val="24"/>
        </w:rPr>
        <w:t xml:space="preserve"> </w:t>
      </w:r>
      <w:r w:rsidRPr="000B417D">
        <w:rPr>
          <w:rFonts w:ascii="Times New Roman" w:hAnsi="Times New Roman"/>
          <w:sz w:val="24"/>
          <w:szCs w:val="24"/>
        </w:rPr>
        <w:t>не</w:t>
      </w:r>
      <w:r w:rsidR="00A96E82" w:rsidRPr="000B417D">
        <w:rPr>
          <w:rFonts w:ascii="Times New Roman" w:hAnsi="Times New Roman"/>
          <w:sz w:val="24"/>
          <w:szCs w:val="24"/>
        </w:rPr>
        <w:t xml:space="preserve"> </w:t>
      </w:r>
      <w:r w:rsidRPr="000B417D">
        <w:rPr>
          <w:rFonts w:ascii="Times New Roman" w:hAnsi="Times New Roman"/>
          <w:sz w:val="24"/>
          <w:szCs w:val="24"/>
        </w:rPr>
        <w:t>обрачуна</w:t>
      </w:r>
      <w:r w:rsidR="00A96E82" w:rsidRPr="000B417D">
        <w:rPr>
          <w:rFonts w:ascii="Times New Roman" w:hAnsi="Times New Roman"/>
          <w:sz w:val="24"/>
          <w:szCs w:val="24"/>
        </w:rPr>
        <w:t xml:space="preserve"> </w:t>
      </w:r>
      <w:r w:rsidRPr="000B417D">
        <w:rPr>
          <w:rFonts w:ascii="Times New Roman" w:hAnsi="Times New Roman"/>
          <w:sz w:val="24"/>
          <w:szCs w:val="24"/>
        </w:rPr>
        <w:t>аконтацију</w:t>
      </w:r>
      <w:r w:rsidR="00A96E82" w:rsidRPr="000B417D">
        <w:rPr>
          <w:rFonts w:ascii="Times New Roman" w:hAnsi="Times New Roman"/>
          <w:sz w:val="24"/>
          <w:szCs w:val="24"/>
        </w:rPr>
        <w:t xml:space="preserve"> </w:t>
      </w:r>
      <w:r w:rsidRPr="000B417D">
        <w:rPr>
          <w:rFonts w:ascii="Times New Roman" w:hAnsi="Times New Roman"/>
          <w:sz w:val="24"/>
          <w:szCs w:val="24"/>
        </w:rPr>
        <w:t>пореза</w:t>
      </w:r>
      <w:r w:rsidR="00A96E82" w:rsidRPr="000B417D">
        <w:rPr>
          <w:rFonts w:ascii="Times New Roman" w:hAnsi="Times New Roman"/>
          <w:sz w:val="24"/>
          <w:szCs w:val="24"/>
        </w:rPr>
        <w:t xml:space="preserve"> </w:t>
      </w:r>
      <w:r w:rsidRPr="000B417D">
        <w:rPr>
          <w:rFonts w:ascii="Times New Roman" w:hAnsi="Times New Roman"/>
          <w:sz w:val="24"/>
          <w:szCs w:val="24"/>
        </w:rPr>
        <w:t>на</w:t>
      </w:r>
      <w:r w:rsidR="00A96E82" w:rsidRPr="000B417D">
        <w:rPr>
          <w:rFonts w:ascii="Times New Roman" w:hAnsi="Times New Roman"/>
          <w:sz w:val="24"/>
          <w:szCs w:val="24"/>
        </w:rPr>
        <w:t xml:space="preserve"> </w:t>
      </w:r>
      <w:r w:rsidRPr="000B417D">
        <w:rPr>
          <w:rFonts w:ascii="Times New Roman" w:hAnsi="Times New Roman"/>
          <w:sz w:val="24"/>
          <w:szCs w:val="24"/>
        </w:rPr>
        <w:t>добит</w:t>
      </w:r>
      <w:r w:rsidRPr="000B417D">
        <w:rPr>
          <w:rFonts w:ascii="Times New Roman" w:hAnsi="Times New Roman"/>
          <w:sz w:val="24"/>
          <w:szCs w:val="24"/>
          <w:lang w:val="sr-Cyrl-CS"/>
        </w:rPr>
        <w:t>.</w:t>
      </w:r>
      <w:r w:rsidR="00A96E82" w:rsidRPr="000B417D">
        <w:rPr>
          <w:rFonts w:ascii="Times New Roman" w:hAnsi="Times New Roman"/>
          <w:sz w:val="24"/>
          <w:szCs w:val="24"/>
        </w:rPr>
        <w:t xml:space="preserve"> </w:t>
      </w:r>
    </w:p>
    <w:p w:rsidR="00E45695" w:rsidRPr="000B417D" w:rsidRDefault="00E45695" w:rsidP="000B417D">
      <w:pPr>
        <w:jc w:val="both"/>
        <w:rPr>
          <w:rFonts w:ascii="Times New Roman" w:hAnsi="Times New Roman"/>
          <w:sz w:val="24"/>
          <w:szCs w:val="24"/>
          <w:lang w:val="sr-Cyrl-CS"/>
        </w:rPr>
      </w:pPr>
      <w:r w:rsidRPr="000B417D">
        <w:rPr>
          <w:rFonts w:ascii="Times New Roman" w:hAnsi="Times New Roman"/>
          <w:sz w:val="24"/>
          <w:szCs w:val="24"/>
          <w:lang w:val="sr-Cyrl-CS"/>
        </w:rPr>
        <w:t>4)А</w:t>
      </w:r>
      <w:r w:rsidRPr="000B417D">
        <w:rPr>
          <w:rFonts w:ascii="Times New Roman" w:hAnsi="Times New Roman"/>
          <w:sz w:val="24"/>
          <w:szCs w:val="24"/>
        </w:rPr>
        <w:t>ко</w:t>
      </w:r>
      <w:r w:rsidR="00036FA9" w:rsidRPr="000B417D">
        <w:rPr>
          <w:rFonts w:ascii="Times New Roman" w:hAnsi="Times New Roman"/>
          <w:sz w:val="24"/>
          <w:szCs w:val="24"/>
        </w:rPr>
        <w:t xml:space="preserve"> </w:t>
      </w:r>
      <w:r w:rsidRPr="000B417D">
        <w:rPr>
          <w:rFonts w:ascii="Times New Roman" w:hAnsi="Times New Roman"/>
          <w:sz w:val="24"/>
          <w:szCs w:val="24"/>
        </w:rPr>
        <w:t>не</w:t>
      </w:r>
      <w:r w:rsidR="00036FA9" w:rsidRPr="000B417D">
        <w:rPr>
          <w:rFonts w:ascii="Times New Roman" w:hAnsi="Times New Roman"/>
          <w:sz w:val="24"/>
          <w:szCs w:val="24"/>
        </w:rPr>
        <w:t xml:space="preserve"> </w:t>
      </w:r>
      <w:r w:rsidRPr="000B417D">
        <w:rPr>
          <w:rFonts w:ascii="Times New Roman" w:hAnsi="Times New Roman"/>
          <w:sz w:val="24"/>
          <w:szCs w:val="24"/>
        </w:rPr>
        <w:t>изврши</w:t>
      </w:r>
      <w:r w:rsidR="00036FA9" w:rsidRPr="000B417D">
        <w:rPr>
          <w:rFonts w:ascii="Times New Roman" w:hAnsi="Times New Roman"/>
          <w:sz w:val="24"/>
          <w:szCs w:val="24"/>
        </w:rPr>
        <w:t xml:space="preserve"> </w:t>
      </w:r>
      <w:r w:rsidRPr="000B417D">
        <w:rPr>
          <w:rFonts w:ascii="Times New Roman" w:hAnsi="Times New Roman"/>
          <w:sz w:val="24"/>
          <w:szCs w:val="24"/>
        </w:rPr>
        <w:t>уплату</w:t>
      </w:r>
      <w:r w:rsidR="00036FA9" w:rsidRPr="000B417D">
        <w:rPr>
          <w:rFonts w:ascii="Times New Roman" w:hAnsi="Times New Roman"/>
          <w:sz w:val="24"/>
          <w:szCs w:val="24"/>
        </w:rPr>
        <w:t xml:space="preserve"> </w:t>
      </w:r>
      <w:r w:rsidRPr="000B417D">
        <w:rPr>
          <w:rFonts w:ascii="Times New Roman" w:hAnsi="Times New Roman"/>
          <w:sz w:val="24"/>
          <w:szCs w:val="24"/>
        </w:rPr>
        <w:t>месечне</w:t>
      </w:r>
      <w:r w:rsidR="00036FA9" w:rsidRPr="000B417D">
        <w:rPr>
          <w:rFonts w:ascii="Times New Roman" w:hAnsi="Times New Roman"/>
          <w:sz w:val="24"/>
          <w:szCs w:val="24"/>
        </w:rPr>
        <w:t xml:space="preserve"> </w:t>
      </w:r>
      <w:r w:rsidRPr="000B417D">
        <w:rPr>
          <w:rFonts w:ascii="Times New Roman" w:hAnsi="Times New Roman"/>
          <w:sz w:val="24"/>
          <w:szCs w:val="24"/>
        </w:rPr>
        <w:t>аконтације у прописаном року</w:t>
      </w:r>
      <w:r w:rsidRPr="000B417D">
        <w:rPr>
          <w:rFonts w:ascii="Times New Roman" w:hAnsi="Times New Roman"/>
          <w:sz w:val="24"/>
          <w:szCs w:val="24"/>
          <w:lang w:val="sr-Cyrl-CS"/>
        </w:rPr>
        <w:t>.</w:t>
      </w:r>
    </w:p>
    <w:p w:rsidR="00E45695" w:rsidRPr="000B417D" w:rsidRDefault="00E45695" w:rsidP="000B417D">
      <w:pPr>
        <w:jc w:val="both"/>
        <w:rPr>
          <w:rFonts w:ascii="Times New Roman" w:hAnsi="Times New Roman"/>
          <w:sz w:val="24"/>
          <w:szCs w:val="24"/>
          <w:lang w:val="sr-Cyrl-CS"/>
        </w:rPr>
      </w:pPr>
      <w:r w:rsidRPr="000B417D">
        <w:rPr>
          <w:rFonts w:ascii="Times New Roman" w:hAnsi="Times New Roman"/>
          <w:sz w:val="24"/>
          <w:szCs w:val="24"/>
          <w:lang w:val="sr-Cyrl-CS"/>
        </w:rPr>
        <w:t>5)А</w:t>
      </w:r>
      <w:r w:rsidRPr="000B417D">
        <w:rPr>
          <w:rFonts w:ascii="Times New Roman" w:hAnsi="Times New Roman"/>
          <w:sz w:val="24"/>
          <w:szCs w:val="24"/>
        </w:rPr>
        <w:t>ко</w:t>
      </w:r>
      <w:r w:rsidR="00036FA9" w:rsidRPr="000B417D">
        <w:rPr>
          <w:rFonts w:ascii="Times New Roman" w:hAnsi="Times New Roman"/>
          <w:sz w:val="24"/>
          <w:szCs w:val="24"/>
        </w:rPr>
        <w:t xml:space="preserve"> </w:t>
      </w:r>
      <w:r w:rsidRPr="000B417D">
        <w:rPr>
          <w:rFonts w:ascii="Times New Roman" w:hAnsi="Times New Roman"/>
          <w:sz w:val="24"/>
          <w:szCs w:val="24"/>
        </w:rPr>
        <w:t>у</w:t>
      </w:r>
      <w:r w:rsidR="00036FA9" w:rsidRPr="000B417D">
        <w:rPr>
          <w:rFonts w:ascii="Times New Roman" w:hAnsi="Times New Roman"/>
          <w:sz w:val="24"/>
          <w:szCs w:val="24"/>
        </w:rPr>
        <w:t xml:space="preserve"> </w:t>
      </w:r>
      <w:r w:rsidRPr="000B417D">
        <w:rPr>
          <w:rFonts w:ascii="Times New Roman" w:hAnsi="Times New Roman"/>
          <w:sz w:val="24"/>
          <w:szCs w:val="24"/>
        </w:rPr>
        <w:t>прописаном</w:t>
      </w:r>
      <w:r w:rsidR="00036FA9" w:rsidRPr="000B417D">
        <w:rPr>
          <w:rFonts w:ascii="Times New Roman" w:hAnsi="Times New Roman"/>
          <w:sz w:val="24"/>
          <w:szCs w:val="24"/>
        </w:rPr>
        <w:t xml:space="preserve"> </w:t>
      </w:r>
      <w:r w:rsidRPr="000B417D">
        <w:rPr>
          <w:rFonts w:ascii="Times New Roman" w:hAnsi="Times New Roman"/>
          <w:sz w:val="24"/>
          <w:szCs w:val="24"/>
        </w:rPr>
        <w:t>року</w:t>
      </w:r>
      <w:r w:rsidR="00036FA9" w:rsidRPr="000B417D">
        <w:rPr>
          <w:rFonts w:ascii="Times New Roman" w:hAnsi="Times New Roman"/>
          <w:sz w:val="24"/>
          <w:szCs w:val="24"/>
        </w:rPr>
        <w:t xml:space="preserve"> </w:t>
      </w:r>
      <w:r w:rsidRPr="000B417D">
        <w:rPr>
          <w:rFonts w:ascii="Times New Roman" w:hAnsi="Times New Roman"/>
          <w:sz w:val="24"/>
          <w:szCs w:val="24"/>
        </w:rPr>
        <w:t>не</w:t>
      </w:r>
      <w:r w:rsidR="00036FA9" w:rsidRPr="000B417D">
        <w:rPr>
          <w:rFonts w:ascii="Times New Roman" w:hAnsi="Times New Roman"/>
          <w:sz w:val="24"/>
          <w:szCs w:val="24"/>
        </w:rPr>
        <w:t xml:space="preserve"> </w:t>
      </w:r>
      <w:r w:rsidRPr="000B417D">
        <w:rPr>
          <w:rFonts w:ascii="Times New Roman" w:hAnsi="Times New Roman"/>
          <w:sz w:val="24"/>
          <w:szCs w:val="24"/>
        </w:rPr>
        <w:t>изврши</w:t>
      </w:r>
      <w:r w:rsidR="00036FA9" w:rsidRPr="000B417D">
        <w:rPr>
          <w:rFonts w:ascii="Times New Roman" w:hAnsi="Times New Roman"/>
          <w:sz w:val="24"/>
          <w:szCs w:val="24"/>
        </w:rPr>
        <w:t xml:space="preserve"> </w:t>
      </w:r>
      <w:r w:rsidRPr="000B417D">
        <w:rPr>
          <w:rFonts w:ascii="Times New Roman" w:hAnsi="Times New Roman"/>
          <w:sz w:val="24"/>
          <w:szCs w:val="24"/>
        </w:rPr>
        <w:t>уплату</w:t>
      </w:r>
      <w:r w:rsidR="00036FA9" w:rsidRPr="000B417D">
        <w:rPr>
          <w:rFonts w:ascii="Times New Roman" w:hAnsi="Times New Roman"/>
          <w:sz w:val="24"/>
          <w:szCs w:val="24"/>
        </w:rPr>
        <w:t xml:space="preserve"> </w:t>
      </w:r>
      <w:r w:rsidRPr="000B417D">
        <w:rPr>
          <w:rFonts w:ascii="Times New Roman" w:hAnsi="Times New Roman"/>
          <w:sz w:val="24"/>
          <w:szCs w:val="24"/>
        </w:rPr>
        <w:t>разлике</w:t>
      </w:r>
      <w:r w:rsidR="00036FA9" w:rsidRPr="000B417D">
        <w:rPr>
          <w:rFonts w:ascii="Times New Roman" w:hAnsi="Times New Roman"/>
          <w:sz w:val="24"/>
          <w:szCs w:val="24"/>
        </w:rPr>
        <w:t xml:space="preserve"> </w:t>
      </w:r>
      <w:r w:rsidRPr="000B417D">
        <w:rPr>
          <w:rFonts w:ascii="Times New Roman" w:hAnsi="Times New Roman"/>
          <w:sz w:val="24"/>
          <w:szCs w:val="24"/>
        </w:rPr>
        <w:t>пореза</w:t>
      </w:r>
      <w:r w:rsidR="00036FA9" w:rsidRPr="000B417D">
        <w:rPr>
          <w:rFonts w:ascii="Times New Roman" w:hAnsi="Times New Roman"/>
          <w:sz w:val="24"/>
          <w:szCs w:val="24"/>
        </w:rPr>
        <w:t xml:space="preserve"> </w:t>
      </w:r>
      <w:r w:rsidRPr="000B417D">
        <w:rPr>
          <w:rFonts w:ascii="Times New Roman" w:hAnsi="Times New Roman"/>
          <w:sz w:val="24"/>
          <w:szCs w:val="24"/>
        </w:rPr>
        <w:t>обрачунатог</w:t>
      </w:r>
      <w:r w:rsidR="00036FA9" w:rsidRPr="000B417D">
        <w:rPr>
          <w:rFonts w:ascii="Times New Roman" w:hAnsi="Times New Roman"/>
          <w:sz w:val="24"/>
          <w:szCs w:val="24"/>
        </w:rPr>
        <w:t xml:space="preserve"> </w:t>
      </w:r>
      <w:r w:rsidRPr="000B417D">
        <w:rPr>
          <w:rFonts w:ascii="Times New Roman" w:hAnsi="Times New Roman"/>
          <w:sz w:val="24"/>
          <w:szCs w:val="24"/>
        </w:rPr>
        <w:t>у</w:t>
      </w:r>
      <w:r w:rsidR="00036FA9" w:rsidRPr="000B417D">
        <w:rPr>
          <w:rFonts w:ascii="Times New Roman" w:hAnsi="Times New Roman"/>
          <w:sz w:val="24"/>
          <w:szCs w:val="24"/>
        </w:rPr>
        <w:t xml:space="preserve"> </w:t>
      </w:r>
      <w:r w:rsidRPr="000B417D">
        <w:rPr>
          <w:rFonts w:ascii="Times New Roman" w:hAnsi="Times New Roman"/>
          <w:sz w:val="24"/>
          <w:szCs w:val="24"/>
        </w:rPr>
        <w:t>пореској</w:t>
      </w:r>
      <w:r w:rsidR="00036FA9" w:rsidRPr="000B417D">
        <w:rPr>
          <w:rFonts w:ascii="Times New Roman" w:hAnsi="Times New Roman"/>
          <w:sz w:val="24"/>
          <w:szCs w:val="24"/>
        </w:rPr>
        <w:t xml:space="preserve"> </w:t>
      </w:r>
      <w:r w:rsidRPr="000B417D">
        <w:rPr>
          <w:rFonts w:ascii="Times New Roman" w:hAnsi="Times New Roman"/>
          <w:sz w:val="24"/>
          <w:szCs w:val="24"/>
        </w:rPr>
        <w:t>пријави</w:t>
      </w:r>
      <w:r w:rsidR="00036FA9" w:rsidRPr="000B417D">
        <w:rPr>
          <w:rFonts w:ascii="Times New Roman" w:hAnsi="Times New Roman"/>
          <w:sz w:val="24"/>
          <w:szCs w:val="24"/>
        </w:rPr>
        <w:t xml:space="preserve"> </w:t>
      </w:r>
      <w:r w:rsidRPr="000B417D">
        <w:rPr>
          <w:rFonts w:ascii="Times New Roman" w:hAnsi="Times New Roman"/>
          <w:sz w:val="24"/>
          <w:szCs w:val="24"/>
        </w:rPr>
        <w:t>и</w:t>
      </w:r>
      <w:r w:rsidR="00036FA9" w:rsidRPr="000B417D">
        <w:rPr>
          <w:rFonts w:ascii="Times New Roman" w:hAnsi="Times New Roman"/>
          <w:sz w:val="24"/>
          <w:szCs w:val="24"/>
        </w:rPr>
        <w:t xml:space="preserve"> </w:t>
      </w:r>
      <w:r w:rsidRPr="000B417D">
        <w:rPr>
          <w:rFonts w:ascii="Times New Roman" w:hAnsi="Times New Roman"/>
          <w:sz w:val="24"/>
          <w:szCs w:val="24"/>
        </w:rPr>
        <w:t>уплаћених</w:t>
      </w:r>
      <w:r w:rsidR="00036FA9" w:rsidRPr="000B417D">
        <w:rPr>
          <w:rFonts w:ascii="Times New Roman" w:hAnsi="Times New Roman"/>
          <w:sz w:val="24"/>
          <w:szCs w:val="24"/>
        </w:rPr>
        <w:t xml:space="preserve"> </w:t>
      </w:r>
      <w:r w:rsidRPr="000B417D">
        <w:rPr>
          <w:rFonts w:ascii="Times New Roman" w:hAnsi="Times New Roman"/>
          <w:sz w:val="24"/>
          <w:szCs w:val="24"/>
        </w:rPr>
        <w:t>месечних</w:t>
      </w:r>
      <w:r w:rsidR="00036FA9" w:rsidRPr="000B417D">
        <w:rPr>
          <w:rFonts w:ascii="Times New Roman" w:hAnsi="Times New Roman"/>
          <w:sz w:val="24"/>
          <w:szCs w:val="24"/>
        </w:rPr>
        <w:t xml:space="preserve"> </w:t>
      </w:r>
      <w:r w:rsidRPr="000B417D">
        <w:rPr>
          <w:rFonts w:ascii="Times New Roman" w:hAnsi="Times New Roman"/>
          <w:sz w:val="24"/>
          <w:szCs w:val="24"/>
        </w:rPr>
        <w:t>аконтација</w:t>
      </w:r>
      <w:r w:rsidR="00036FA9" w:rsidRPr="000B417D">
        <w:rPr>
          <w:rFonts w:ascii="Times New Roman" w:hAnsi="Times New Roman"/>
          <w:sz w:val="24"/>
          <w:szCs w:val="24"/>
        </w:rPr>
        <w:t xml:space="preserve"> </w:t>
      </w:r>
      <w:r w:rsidRPr="000B417D">
        <w:rPr>
          <w:rFonts w:ascii="Times New Roman" w:hAnsi="Times New Roman"/>
          <w:sz w:val="24"/>
          <w:szCs w:val="24"/>
        </w:rPr>
        <w:t>пореза</w:t>
      </w:r>
      <w:r w:rsidRPr="000B417D">
        <w:rPr>
          <w:rFonts w:ascii="Times New Roman" w:hAnsi="Times New Roman"/>
          <w:sz w:val="24"/>
          <w:szCs w:val="24"/>
          <w:lang w:val="sr-Cyrl-CS"/>
        </w:rPr>
        <w:t>.</w:t>
      </w:r>
    </w:p>
    <w:p w:rsidR="00E45695" w:rsidRPr="000B417D" w:rsidRDefault="00E45695" w:rsidP="000B417D">
      <w:pPr>
        <w:jc w:val="both"/>
        <w:rPr>
          <w:rFonts w:ascii="Times New Roman" w:hAnsi="Times New Roman"/>
          <w:sz w:val="24"/>
          <w:szCs w:val="24"/>
          <w:lang w:val="sr-Cyrl-CS"/>
        </w:rPr>
      </w:pPr>
      <w:r w:rsidRPr="000B417D">
        <w:rPr>
          <w:rFonts w:ascii="Times New Roman" w:hAnsi="Times New Roman"/>
          <w:sz w:val="24"/>
          <w:szCs w:val="24"/>
          <w:lang w:val="sr-Cyrl-CS"/>
        </w:rPr>
        <w:t>6)А</w:t>
      </w:r>
      <w:r w:rsidRPr="000B417D">
        <w:rPr>
          <w:rFonts w:ascii="Times New Roman" w:hAnsi="Times New Roman"/>
          <w:sz w:val="24"/>
          <w:szCs w:val="24"/>
        </w:rPr>
        <w:t>ко</w:t>
      </w:r>
      <w:r w:rsidR="00036FA9" w:rsidRPr="000B417D">
        <w:rPr>
          <w:rFonts w:ascii="Times New Roman" w:hAnsi="Times New Roman"/>
          <w:sz w:val="24"/>
          <w:szCs w:val="24"/>
        </w:rPr>
        <w:t xml:space="preserve"> </w:t>
      </w:r>
      <w:r w:rsidRPr="000B417D">
        <w:rPr>
          <w:rFonts w:ascii="Times New Roman" w:hAnsi="Times New Roman"/>
          <w:sz w:val="24"/>
          <w:szCs w:val="24"/>
        </w:rPr>
        <w:t>у</w:t>
      </w:r>
      <w:r w:rsidR="00036FA9" w:rsidRPr="000B417D">
        <w:rPr>
          <w:rFonts w:ascii="Times New Roman" w:hAnsi="Times New Roman"/>
          <w:sz w:val="24"/>
          <w:szCs w:val="24"/>
        </w:rPr>
        <w:t xml:space="preserve"> </w:t>
      </w:r>
      <w:r w:rsidRPr="000B417D">
        <w:rPr>
          <w:rFonts w:ascii="Times New Roman" w:hAnsi="Times New Roman"/>
          <w:sz w:val="24"/>
          <w:szCs w:val="24"/>
        </w:rPr>
        <w:t>прописаном</w:t>
      </w:r>
      <w:r w:rsidR="00036FA9" w:rsidRPr="000B417D">
        <w:rPr>
          <w:rFonts w:ascii="Times New Roman" w:hAnsi="Times New Roman"/>
          <w:sz w:val="24"/>
          <w:szCs w:val="24"/>
        </w:rPr>
        <w:t xml:space="preserve"> </w:t>
      </w:r>
      <w:r w:rsidRPr="000B417D">
        <w:rPr>
          <w:rFonts w:ascii="Times New Roman" w:hAnsi="Times New Roman"/>
          <w:sz w:val="24"/>
          <w:szCs w:val="24"/>
        </w:rPr>
        <w:t>року</w:t>
      </w:r>
      <w:r w:rsidR="00036FA9" w:rsidRPr="000B417D">
        <w:rPr>
          <w:rFonts w:ascii="Times New Roman" w:hAnsi="Times New Roman"/>
          <w:sz w:val="24"/>
          <w:szCs w:val="24"/>
        </w:rPr>
        <w:t xml:space="preserve"> </w:t>
      </w:r>
      <w:r w:rsidRPr="000B417D">
        <w:rPr>
          <w:rFonts w:ascii="Times New Roman" w:hAnsi="Times New Roman"/>
          <w:sz w:val="24"/>
          <w:szCs w:val="24"/>
        </w:rPr>
        <w:t>не</w:t>
      </w:r>
      <w:r w:rsidR="00036FA9" w:rsidRPr="000B417D">
        <w:rPr>
          <w:rFonts w:ascii="Times New Roman" w:hAnsi="Times New Roman"/>
          <w:sz w:val="24"/>
          <w:szCs w:val="24"/>
        </w:rPr>
        <w:t xml:space="preserve"> </w:t>
      </w:r>
      <w:r w:rsidRPr="000B417D">
        <w:rPr>
          <w:rFonts w:ascii="Times New Roman" w:hAnsi="Times New Roman"/>
          <w:sz w:val="24"/>
          <w:szCs w:val="24"/>
        </w:rPr>
        <w:t>изврши</w:t>
      </w:r>
      <w:r w:rsidR="00036FA9" w:rsidRPr="000B417D">
        <w:rPr>
          <w:rFonts w:ascii="Times New Roman" w:hAnsi="Times New Roman"/>
          <w:sz w:val="24"/>
          <w:szCs w:val="24"/>
        </w:rPr>
        <w:t xml:space="preserve"> </w:t>
      </w:r>
      <w:r w:rsidRPr="000B417D">
        <w:rPr>
          <w:rFonts w:ascii="Times New Roman" w:hAnsi="Times New Roman"/>
          <w:sz w:val="24"/>
          <w:szCs w:val="24"/>
        </w:rPr>
        <w:t>уплату</w:t>
      </w:r>
      <w:r w:rsidR="00036FA9" w:rsidRPr="000B417D">
        <w:rPr>
          <w:rFonts w:ascii="Times New Roman" w:hAnsi="Times New Roman"/>
          <w:sz w:val="24"/>
          <w:szCs w:val="24"/>
        </w:rPr>
        <w:t xml:space="preserve"> </w:t>
      </w:r>
      <w:r w:rsidRPr="000B417D">
        <w:rPr>
          <w:rFonts w:ascii="Times New Roman" w:hAnsi="Times New Roman"/>
          <w:sz w:val="24"/>
          <w:szCs w:val="24"/>
        </w:rPr>
        <w:t>пореза</w:t>
      </w:r>
      <w:r w:rsidR="00036FA9" w:rsidRPr="000B417D">
        <w:rPr>
          <w:rFonts w:ascii="Times New Roman" w:hAnsi="Times New Roman"/>
          <w:sz w:val="24"/>
          <w:szCs w:val="24"/>
        </w:rPr>
        <w:t xml:space="preserve"> </w:t>
      </w:r>
      <w:r w:rsidRPr="000B417D">
        <w:rPr>
          <w:rFonts w:ascii="Times New Roman" w:hAnsi="Times New Roman"/>
          <w:sz w:val="24"/>
          <w:szCs w:val="24"/>
        </w:rPr>
        <w:t>по</w:t>
      </w:r>
      <w:r w:rsidR="00036FA9" w:rsidRPr="000B417D">
        <w:rPr>
          <w:rFonts w:ascii="Times New Roman" w:hAnsi="Times New Roman"/>
          <w:sz w:val="24"/>
          <w:szCs w:val="24"/>
        </w:rPr>
        <w:t xml:space="preserve"> </w:t>
      </w:r>
      <w:r w:rsidRPr="000B417D">
        <w:rPr>
          <w:rFonts w:ascii="Times New Roman" w:hAnsi="Times New Roman"/>
          <w:sz w:val="24"/>
          <w:szCs w:val="24"/>
        </w:rPr>
        <w:t>решењу</w:t>
      </w:r>
      <w:r w:rsidR="00036FA9" w:rsidRPr="000B417D">
        <w:rPr>
          <w:rFonts w:ascii="Times New Roman" w:hAnsi="Times New Roman"/>
          <w:sz w:val="24"/>
          <w:szCs w:val="24"/>
        </w:rPr>
        <w:t xml:space="preserve"> </w:t>
      </w:r>
      <w:r w:rsidRPr="000B417D">
        <w:rPr>
          <w:rFonts w:ascii="Times New Roman" w:hAnsi="Times New Roman"/>
          <w:sz w:val="24"/>
          <w:szCs w:val="24"/>
        </w:rPr>
        <w:t>надлежног</w:t>
      </w:r>
      <w:r w:rsidR="00036FA9" w:rsidRPr="000B417D">
        <w:rPr>
          <w:rFonts w:ascii="Times New Roman" w:hAnsi="Times New Roman"/>
          <w:sz w:val="24"/>
          <w:szCs w:val="24"/>
        </w:rPr>
        <w:t xml:space="preserve"> </w:t>
      </w:r>
      <w:r w:rsidRPr="000B417D">
        <w:rPr>
          <w:rFonts w:ascii="Times New Roman" w:hAnsi="Times New Roman"/>
          <w:sz w:val="24"/>
          <w:szCs w:val="24"/>
        </w:rPr>
        <w:t>пореског органа</w:t>
      </w:r>
      <w:r w:rsidRPr="000B417D">
        <w:rPr>
          <w:rFonts w:ascii="Times New Roman" w:hAnsi="Times New Roman"/>
          <w:sz w:val="24"/>
          <w:szCs w:val="24"/>
          <w:lang w:val="sr-Cyrl-CS"/>
        </w:rPr>
        <w:t>.</w:t>
      </w:r>
    </w:p>
    <w:p w:rsidR="00036FA9" w:rsidRPr="000B417D" w:rsidRDefault="00E45695" w:rsidP="000B417D">
      <w:pPr>
        <w:jc w:val="both"/>
        <w:rPr>
          <w:rFonts w:ascii="Times New Roman" w:hAnsi="Times New Roman"/>
          <w:sz w:val="24"/>
          <w:szCs w:val="24"/>
          <w:lang w:val="sr-Cyrl-CS"/>
        </w:rPr>
      </w:pPr>
      <w:r w:rsidRPr="000B417D">
        <w:rPr>
          <w:rFonts w:ascii="Times New Roman" w:hAnsi="Times New Roman"/>
          <w:sz w:val="24"/>
          <w:szCs w:val="24"/>
          <w:lang w:val="sr-Cyrl-CS"/>
        </w:rPr>
        <w:t>7</w:t>
      </w:r>
      <w:r w:rsidRPr="000B417D">
        <w:rPr>
          <w:rFonts w:ascii="Times New Roman" w:hAnsi="Times New Roman"/>
          <w:sz w:val="24"/>
          <w:szCs w:val="24"/>
        </w:rPr>
        <w:t xml:space="preserve">) </w:t>
      </w:r>
      <w:r w:rsidRPr="000B417D">
        <w:rPr>
          <w:rFonts w:ascii="Times New Roman" w:hAnsi="Times New Roman"/>
          <w:sz w:val="24"/>
          <w:szCs w:val="24"/>
          <w:lang w:val="sr-Cyrl-CS"/>
        </w:rPr>
        <w:t>А</w:t>
      </w:r>
      <w:r w:rsidRPr="000B417D">
        <w:rPr>
          <w:rFonts w:ascii="Times New Roman" w:hAnsi="Times New Roman"/>
          <w:sz w:val="24"/>
          <w:szCs w:val="24"/>
        </w:rPr>
        <w:t>ко</w:t>
      </w:r>
      <w:r w:rsidR="00036FA9" w:rsidRPr="000B417D">
        <w:rPr>
          <w:rFonts w:ascii="Times New Roman" w:hAnsi="Times New Roman"/>
          <w:sz w:val="24"/>
          <w:szCs w:val="24"/>
        </w:rPr>
        <w:t xml:space="preserve"> </w:t>
      </w:r>
      <w:r w:rsidRPr="000B417D">
        <w:rPr>
          <w:rFonts w:ascii="Times New Roman" w:hAnsi="Times New Roman"/>
          <w:sz w:val="24"/>
          <w:szCs w:val="24"/>
        </w:rPr>
        <w:t>пропусти</w:t>
      </w:r>
      <w:r w:rsidR="00036FA9" w:rsidRPr="000B417D">
        <w:rPr>
          <w:rFonts w:ascii="Times New Roman" w:hAnsi="Times New Roman"/>
          <w:sz w:val="24"/>
          <w:szCs w:val="24"/>
        </w:rPr>
        <w:t xml:space="preserve"> </w:t>
      </w:r>
      <w:r w:rsidRPr="000B417D">
        <w:rPr>
          <w:rFonts w:ascii="Times New Roman" w:hAnsi="Times New Roman"/>
          <w:sz w:val="24"/>
          <w:szCs w:val="24"/>
        </w:rPr>
        <w:t>да</w:t>
      </w:r>
      <w:r w:rsidR="00036FA9" w:rsidRPr="000B417D">
        <w:rPr>
          <w:rFonts w:ascii="Times New Roman" w:hAnsi="Times New Roman"/>
          <w:sz w:val="24"/>
          <w:szCs w:val="24"/>
        </w:rPr>
        <w:t xml:space="preserve"> </w:t>
      </w:r>
      <w:r w:rsidRPr="000B417D">
        <w:rPr>
          <w:rFonts w:ascii="Times New Roman" w:hAnsi="Times New Roman"/>
          <w:sz w:val="24"/>
          <w:szCs w:val="24"/>
        </w:rPr>
        <w:t>приложи</w:t>
      </w:r>
      <w:r w:rsidR="00036FA9" w:rsidRPr="000B417D">
        <w:rPr>
          <w:rFonts w:ascii="Times New Roman" w:hAnsi="Times New Roman"/>
          <w:sz w:val="24"/>
          <w:szCs w:val="24"/>
        </w:rPr>
        <w:t xml:space="preserve"> </w:t>
      </w:r>
      <w:r w:rsidRPr="000B417D">
        <w:rPr>
          <w:rFonts w:ascii="Times New Roman" w:hAnsi="Times New Roman"/>
          <w:sz w:val="24"/>
          <w:szCs w:val="24"/>
        </w:rPr>
        <w:t>или</w:t>
      </w:r>
      <w:r w:rsidR="00036FA9" w:rsidRPr="000B417D">
        <w:rPr>
          <w:rFonts w:ascii="Times New Roman" w:hAnsi="Times New Roman"/>
          <w:sz w:val="24"/>
          <w:szCs w:val="24"/>
        </w:rPr>
        <w:t xml:space="preserve"> </w:t>
      </w:r>
      <w:r w:rsidRPr="000B417D">
        <w:rPr>
          <w:rFonts w:ascii="Times New Roman" w:hAnsi="Times New Roman"/>
          <w:sz w:val="24"/>
          <w:szCs w:val="24"/>
        </w:rPr>
        <w:t>допуни</w:t>
      </w:r>
      <w:r w:rsidR="00036FA9" w:rsidRPr="000B417D">
        <w:rPr>
          <w:rFonts w:ascii="Times New Roman" w:hAnsi="Times New Roman"/>
          <w:sz w:val="24"/>
          <w:szCs w:val="24"/>
        </w:rPr>
        <w:t xml:space="preserve"> </w:t>
      </w:r>
      <w:r w:rsidRPr="000B417D">
        <w:rPr>
          <w:rFonts w:ascii="Times New Roman" w:hAnsi="Times New Roman"/>
          <w:sz w:val="24"/>
          <w:szCs w:val="24"/>
        </w:rPr>
        <w:t>документацију</w:t>
      </w:r>
      <w:r w:rsidR="00036FA9" w:rsidRPr="000B417D">
        <w:rPr>
          <w:rFonts w:ascii="Times New Roman" w:hAnsi="Times New Roman"/>
          <w:sz w:val="24"/>
          <w:szCs w:val="24"/>
        </w:rPr>
        <w:t xml:space="preserve"> </w:t>
      </w:r>
      <w:r w:rsidRPr="000B417D">
        <w:rPr>
          <w:rStyle w:val="apple-converted-space"/>
          <w:rFonts w:ascii="Times New Roman" w:hAnsi="Times New Roman"/>
          <w:color w:val="000000"/>
          <w:sz w:val="24"/>
          <w:szCs w:val="24"/>
          <w:shd w:val="clear" w:color="auto" w:fill="FFFFFF"/>
        </w:rPr>
        <w:t> </w:t>
      </w:r>
      <w:r w:rsidRPr="000B417D">
        <w:rPr>
          <w:rStyle w:val="apple-converted-space"/>
          <w:rFonts w:ascii="Times New Roman" w:hAnsi="Times New Roman"/>
          <w:color w:val="000000"/>
          <w:sz w:val="24"/>
          <w:szCs w:val="24"/>
          <w:shd w:val="clear" w:color="auto" w:fill="FFFFFF"/>
          <w:lang w:val="sr-Cyrl-CS"/>
        </w:rPr>
        <w:t xml:space="preserve">у којој се </w:t>
      </w:r>
      <w:r w:rsidRPr="000B417D">
        <w:rPr>
          <w:rFonts w:ascii="Times New Roman" w:hAnsi="Times New Roman"/>
          <w:sz w:val="24"/>
          <w:szCs w:val="24"/>
          <w:shd w:val="clear" w:color="auto" w:fill="FFFFFF"/>
        </w:rPr>
        <w:t>посебно приказује вредност истих трансакција по ценама које би се оствариле на тржишту таквих или сличних трансакција да се није радило о повезаним лицима (принцип "ван дохвата руке")</w:t>
      </w:r>
      <w:r w:rsidRPr="000B417D">
        <w:rPr>
          <w:rFonts w:ascii="Times New Roman" w:hAnsi="Times New Roman"/>
          <w:sz w:val="24"/>
          <w:szCs w:val="24"/>
          <w:shd w:val="clear" w:color="auto" w:fill="FFFFFF"/>
          <w:lang w:val="sr-Cyrl-CS"/>
        </w:rPr>
        <w:t xml:space="preserve"> </w:t>
      </w:r>
      <w:r w:rsidRPr="000B417D">
        <w:rPr>
          <w:rFonts w:ascii="Times New Roman" w:hAnsi="Times New Roman"/>
          <w:sz w:val="24"/>
          <w:szCs w:val="24"/>
        </w:rPr>
        <w:t>у</w:t>
      </w:r>
      <w:r w:rsidR="00036FA9" w:rsidRPr="000B417D">
        <w:rPr>
          <w:rFonts w:ascii="Times New Roman" w:hAnsi="Times New Roman"/>
          <w:sz w:val="24"/>
          <w:szCs w:val="24"/>
        </w:rPr>
        <w:t xml:space="preserve"> </w:t>
      </w:r>
      <w:r w:rsidRPr="000B417D">
        <w:rPr>
          <w:rFonts w:ascii="Times New Roman" w:hAnsi="Times New Roman"/>
          <w:sz w:val="24"/>
          <w:szCs w:val="24"/>
        </w:rPr>
        <w:t>року</w:t>
      </w:r>
      <w:r w:rsidR="00036FA9" w:rsidRPr="000B417D">
        <w:rPr>
          <w:rFonts w:ascii="Times New Roman" w:hAnsi="Times New Roman"/>
          <w:sz w:val="24"/>
          <w:szCs w:val="24"/>
        </w:rPr>
        <w:t xml:space="preserve"> </w:t>
      </w:r>
      <w:r w:rsidRPr="000B417D">
        <w:rPr>
          <w:rFonts w:ascii="Times New Roman" w:hAnsi="Times New Roman"/>
          <w:sz w:val="24"/>
          <w:szCs w:val="24"/>
        </w:rPr>
        <w:t>који</w:t>
      </w:r>
      <w:r w:rsidR="00036FA9" w:rsidRPr="000B417D">
        <w:rPr>
          <w:rFonts w:ascii="Times New Roman" w:hAnsi="Times New Roman"/>
          <w:sz w:val="24"/>
          <w:szCs w:val="24"/>
        </w:rPr>
        <w:t xml:space="preserve"> </w:t>
      </w:r>
      <w:r w:rsidRPr="000B417D">
        <w:rPr>
          <w:rFonts w:ascii="Times New Roman" w:hAnsi="Times New Roman"/>
          <w:sz w:val="24"/>
          <w:szCs w:val="24"/>
        </w:rPr>
        <w:t>му</w:t>
      </w:r>
      <w:r w:rsidR="00036FA9" w:rsidRPr="000B417D">
        <w:rPr>
          <w:rFonts w:ascii="Times New Roman" w:hAnsi="Times New Roman"/>
          <w:sz w:val="24"/>
          <w:szCs w:val="24"/>
        </w:rPr>
        <w:t xml:space="preserve"> </w:t>
      </w:r>
      <w:r w:rsidRPr="000B417D">
        <w:rPr>
          <w:rFonts w:ascii="Times New Roman" w:hAnsi="Times New Roman"/>
          <w:sz w:val="24"/>
          <w:szCs w:val="24"/>
        </w:rPr>
        <w:t>је</w:t>
      </w:r>
      <w:r w:rsidR="00036FA9" w:rsidRPr="000B417D">
        <w:rPr>
          <w:rFonts w:ascii="Times New Roman" w:hAnsi="Times New Roman"/>
          <w:sz w:val="24"/>
          <w:szCs w:val="24"/>
        </w:rPr>
        <w:t xml:space="preserve"> </w:t>
      </w:r>
      <w:r w:rsidRPr="000B417D">
        <w:rPr>
          <w:rFonts w:ascii="Times New Roman" w:hAnsi="Times New Roman"/>
          <w:sz w:val="24"/>
          <w:szCs w:val="24"/>
        </w:rPr>
        <w:t>остављен</w:t>
      </w:r>
      <w:r w:rsidR="00036FA9" w:rsidRPr="000B417D">
        <w:rPr>
          <w:rFonts w:ascii="Times New Roman" w:hAnsi="Times New Roman"/>
          <w:sz w:val="24"/>
          <w:szCs w:val="24"/>
        </w:rPr>
        <w:t xml:space="preserve"> </w:t>
      </w:r>
      <w:r w:rsidRPr="000B417D">
        <w:rPr>
          <w:rFonts w:ascii="Times New Roman" w:hAnsi="Times New Roman"/>
          <w:sz w:val="24"/>
          <w:szCs w:val="24"/>
        </w:rPr>
        <w:t xml:space="preserve">опоменом </w:t>
      </w:r>
      <w:r w:rsidRPr="000B417D">
        <w:rPr>
          <w:rFonts w:ascii="Times New Roman" w:hAnsi="Times New Roman"/>
          <w:sz w:val="24"/>
          <w:szCs w:val="24"/>
          <w:shd w:val="clear" w:color="auto" w:fill="FFFFFF"/>
        </w:rPr>
        <w:t xml:space="preserve"> који не може бити краћи од 30 нити дужи од 90 дана од дана достављања опомене</w:t>
      </w:r>
      <w:r w:rsidRPr="000B417D">
        <w:rPr>
          <w:rFonts w:ascii="Times New Roman" w:hAnsi="Times New Roman"/>
          <w:sz w:val="24"/>
          <w:szCs w:val="24"/>
          <w:shd w:val="clear" w:color="auto" w:fill="FFFFFF"/>
          <w:lang w:val="sr-Cyrl-CS"/>
        </w:rPr>
        <w:t>.</w:t>
      </w:r>
    </w:p>
    <w:p w:rsidR="00E45695" w:rsidRPr="000B417D" w:rsidRDefault="00E45695" w:rsidP="000B417D">
      <w:pPr>
        <w:jc w:val="both"/>
        <w:rPr>
          <w:rFonts w:ascii="Times New Roman" w:hAnsi="Times New Roman"/>
          <w:sz w:val="24"/>
          <w:szCs w:val="24"/>
          <w:lang w:val="sr-Cyrl-CS"/>
        </w:rPr>
      </w:pPr>
    </w:p>
    <w:p w:rsidR="00310781" w:rsidRPr="000B417D" w:rsidRDefault="00E45695" w:rsidP="000B417D">
      <w:pPr>
        <w:jc w:val="both"/>
        <w:rPr>
          <w:rFonts w:ascii="Times New Roman" w:hAnsi="Times New Roman"/>
          <w:sz w:val="24"/>
          <w:szCs w:val="24"/>
          <w:lang w:val="sr-Cyrl-CS"/>
        </w:rPr>
      </w:pPr>
      <w:r w:rsidRPr="000B417D">
        <w:rPr>
          <w:rFonts w:ascii="Times New Roman" w:hAnsi="Times New Roman"/>
          <w:sz w:val="24"/>
          <w:szCs w:val="24"/>
        </w:rPr>
        <w:lastRenderedPageBreak/>
        <w:t xml:space="preserve">За </w:t>
      </w:r>
      <w:r w:rsidRPr="000B417D">
        <w:rPr>
          <w:rFonts w:ascii="Times New Roman" w:hAnsi="Times New Roman"/>
          <w:sz w:val="24"/>
          <w:szCs w:val="24"/>
          <w:lang w:val="sr-Cyrl-CS"/>
        </w:rPr>
        <w:t>навед</w:t>
      </w:r>
      <w:r w:rsidR="0089326D" w:rsidRPr="000B417D">
        <w:rPr>
          <w:rFonts w:ascii="Times New Roman" w:hAnsi="Times New Roman"/>
          <w:sz w:val="24"/>
          <w:szCs w:val="24"/>
          <w:lang w:val="sr-Cyrl-CS"/>
        </w:rPr>
        <w:t>е</w:t>
      </w:r>
      <w:r w:rsidRPr="000B417D">
        <w:rPr>
          <w:rFonts w:ascii="Times New Roman" w:hAnsi="Times New Roman"/>
          <w:sz w:val="24"/>
          <w:szCs w:val="24"/>
          <w:lang w:val="sr-Cyrl-CS"/>
        </w:rPr>
        <w:t>не р</w:t>
      </w:r>
      <w:r w:rsidRPr="000B417D">
        <w:rPr>
          <w:rFonts w:ascii="Times New Roman" w:hAnsi="Times New Roman"/>
          <w:sz w:val="24"/>
          <w:szCs w:val="24"/>
        </w:rPr>
        <w:t xml:space="preserve">адње </w:t>
      </w:r>
      <w:r w:rsidR="00036FA9" w:rsidRPr="000B417D">
        <w:rPr>
          <w:rFonts w:ascii="Times New Roman" w:hAnsi="Times New Roman"/>
          <w:sz w:val="24"/>
          <w:szCs w:val="24"/>
        </w:rPr>
        <w:t xml:space="preserve"> </w:t>
      </w:r>
      <w:r w:rsidRPr="000B417D">
        <w:rPr>
          <w:rFonts w:ascii="Times New Roman" w:hAnsi="Times New Roman"/>
          <w:sz w:val="24"/>
          <w:szCs w:val="24"/>
        </w:rPr>
        <w:t>одговорно</w:t>
      </w:r>
      <w:r w:rsidR="00036FA9" w:rsidRPr="000B417D">
        <w:rPr>
          <w:rFonts w:ascii="Times New Roman" w:hAnsi="Times New Roman"/>
          <w:sz w:val="24"/>
          <w:szCs w:val="24"/>
        </w:rPr>
        <w:t xml:space="preserve"> </w:t>
      </w:r>
      <w:r w:rsidRPr="000B417D">
        <w:rPr>
          <w:rFonts w:ascii="Times New Roman" w:hAnsi="Times New Roman"/>
          <w:sz w:val="24"/>
          <w:szCs w:val="24"/>
        </w:rPr>
        <w:t>лице</w:t>
      </w:r>
      <w:r w:rsidR="00036FA9" w:rsidRPr="000B417D">
        <w:rPr>
          <w:rFonts w:ascii="Times New Roman" w:hAnsi="Times New Roman"/>
          <w:sz w:val="24"/>
          <w:szCs w:val="24"/>
        </w:rPr>
        <w:t xml:space="preserve"> </w:t>
      </w:r>
      <w:r w:rsidRPr="000B417D">
        <w:rPr>
          <w:rFonts w:ascii="Times New Roman" w:hAnsi="Times New Roman"/>
          <w:sz w:val="24"/>
          <w:szCs w:val="24"/>
        </w:rPr>
        <w:t>у</w:t>
      </w:r>
      <w:r w:rsidR="00036FA9" w:rsidRPr="000B417D">
        <w:rPr>
          <w:rFonts w:ascii="Times New Roman" w:hAnsi="Times New Roman"/>
          <w:sz w:val="24"/>
          <w:szCs w:val="24"/>
        </w:rPr>
        <w:t xml:space="preserve"> </w:t>
      </w:r>
      <w:r w:rsidRPr="000B417D">
        <w:rPr>
          <w:rFonts w:ascii="Times New Roman" w:hAnsi="Times New Roman"/>
          <w:sz w:val="24"/>
          <w:szCs w:val="24"/>
        </w:rPr>
        <w:t>правном</w:t>
      </w:r>
      <w:r w:rsidR="00036FA9" w:rsidRPr="000B417D">
        <w:rPr>
          <w:rFonts w:ascii="Times New Roman" w:hAnsi="Times New Roman"/>
          <w:sz w:val="24"/>
          <w:szCs w:val="24"/>
        </w:rPr>
        <w:t xml:space="preserve"> </w:t>
      </w:r>
      <w:r w:rsidRPr="000B417D">
        <w:rPr>
          <w:rFonts w:ascii="Times New Roman" w:hAnsi="Times New Roman"/>
          <w:sz w:val="24"/>
          <w:szCs w:val="24"/>
        </w:rPr>
        <w:t>лицу</w:t>
      </w:r>
      <w:r w:rsidR="00036FA9" w:rsidRPr="000B417D">
        <w:rPr>
          <w:rFonts w:ascii="Times New Roman" w:hAnsi="Times New Roman"/>
          <w:sz w:val="24"/>
          <w:szCs w:val="24"/>
        </w:rPr>
        <w:t xml:space="preserve"> </w:t>
      </w:r>
      <w:r w:rsidRPr="000B417D">
        <w:rPr>
          <w:rFonts w:ascii="Times New Roman" w:hAnsi="Times New Roman"/>
          <w:sz w:val="24"/>
          <w:szCs w:val="24"/>
        </w:rPr>
        <w:t>казниће</w:t>
      </w:r>
      <w:r w:rsidR="00036FA9" w:rsidRPr="000B417D">
        <w:rPr>
          <w:rFonts w:ascii="Times New Roman" w:hAnsi="Times New Roman"/>
          <w:sz w:val="24"/>
          <w:szCs w:val="24"/>
        </w:rPr>
        <w:t xml:space="preserve"> </w:t>
      </w:r>
      <w:r w:rsidRPr="000B417D">
        <w:rPr>
          <w:rFonts w:ascii="Times New Roman" w:hAnsi="Times New Roman"/>
          <w:sz w:val="24"/>
          <w:szCs w:val="24"/>
        </w:rPr>
        <w:t>се</w:t>
      </w:r>
      <w:r w:rsidR="00036FA9" w:rsidRPr="000B417D">
        <w:rPr>
          <w:rFonts w:ascii="Times New Roman" w:hAnsi="Times New Roman"/>
          <w:sz w:val="24"/>
          <w:szCs w:val="24"/>
        </w:rPr>
        <w:t xml:space="preserve"> </w:t>
      </w:r>
      <w:r w:rsidRPr="000B417D">
        <w:rPr>
          <w:rFonts w:ascii="Times New Roman" w:hAnsi="Times New Roman"/>
          <w:sz w:val="24"/>
          <w:szCs w:val="24"/>
        </w:rPr>
        <w:t>за</w:t>
      </w:r>
      <w:r w:rsidR="00036FA9" w:rsidRPr="000B417D">
        <w:rPr>
          <w:rFonts w:ascii="Times New Roman" w:hAnsi="Times New Roman"/>
          <w:sz w:val="24"/>
          <w:szCs w:val="24"/>
        </w:rPr>
        <w:t xml:space="preserve"> </w:t>
      </w:r>
      <w:r w:rsidRPr="000B417D">
        <w:rPr>
          <w:rFonts w:ascii="Times New Roman" w:hAnsi="Times New Roman"/>
          <w:sz w:val="24"/>
          <w:szCs w:val="24"/>
        </w:rPr>
        <w:t>прекршај</w:t>
      </w:r>
      <w:r w:rsidR="00036FA9" w:rsidRPr="000B417D">
        <w:rPr>
          <w:rFonts w:ascii="Times New Roman" w:hAnsi="Times New Roman"/>
          <w:sz w:val="24"/>
          <w:szCs w:val="24"/>
        </w:rPr>
        <w:t xml:space="preserve"> </w:t>
      </w:r>
      <w:r w:rsidRPr="000B417D">
        <w:rPr>
          <w:rFonts w:ascii="Times New Roman" w:hAnsi="Times New Roman"/>
          <w:sz w:val="24"/>
          <w:szCs w:val="24"/>
        </w:rPr>
        <w:t>новчаном</w:t>
      </w:r>
      <w:r w:rsidR="00036FA9" w:rsidRPr="000B417D">
        <w:rPr>
          <w:rFonts w:ascii="Times New Roman" w:hAnsi="Times New Roman"/>
          <w:sz w:val="24"/>
          <w:szCs w:val="24"/>
        </w:rPr>
        <w:t xml:space="preserve"> </w:t>
      </w:r>
      <w:r w:rsidRPr="000B417D">
        <w:rPr>
          <w:rFonts w:ascii="Times New Roman" w:hAnsi="Times New Roman"/>
          <w:sz w:val="24"/>
          <w:szCs w:val="24"/>
        </w:rPr>
        <w:t>казном</w:t>
      </w:r>
      <w:r w:rsidR="00036FA9" w:rsidRPr="000B417D">
        <w:rPr>
          <w:rFonts w:ascii="Times New Roman" w:hAnsi="Times New Roman"/>
          <w:sz w:val="24"/>
          <w:szCs w:val="24"/>
        </w:rPr>
        <w:t xml:space="preserve"> </w:t>
      </w:r>
      <w:r w:rsidRPr="000B417D">
        <w:rPr>
          <w:rFonts w:ascii="Times New Roman" w:hAnsi="Times New Roman"/>
          <w:sz w:val="24"/>
          <w:szCs w:val="24"/>
        </w:rPr>
        <w:t>од</w:t>
      </w:r>
      <w:r w:rsidR="00036FA9" w:rsidRPr="000B417D">
        <w:rPr>
          <w:rFonts w:ascii="Times New Roman" w:hAnsi="Times New Roman"/>
          <w:sz w:val="24"/>
          <w:szCs w:val="24"/>
        </w:rPr>
        <w:t xml:space="preserve"> 10.000 </w:t>
      </w:r>
      <w:r w:rsidRPr="000B417D">
        <w:rPr>
          <w:rFonts w:ascii="Times New Roman" w:hAnsi="Times New Roman"/>
          <w:sz w:val="24"/>
          <w:szCs w:val="24"/>
        </w:rPr>
        <w:t>до</w:t>
      </w:r>
      <w:r w:rsidR="00036FA9" w:rsidRPr="000B417D">
        <w:rPr>
          <w:rFonts w:ascii="Times New Roman" w:hAnsi="Times New Roman"/>
          <w:sz w:val="24"/>
          <w:szCs w:val="24"/>
        </w:rPr>
        <w:t xml:space="preserve"> 100.000 </w:t>
      </w:r>
      <w:r w:rsidRPr="000B417D">
        <w:rPr>
          <w:rFonts w:ascii="Times New Roman" w:hAnsi="Times New Roman"/>
          <w:sz w:val="24"/>
          <w:szCs w:val="24"/>
        </w:rPr>
        <w:t>динара</w:t>
      </w:r>
      <w:r w:rsidR="00036FA9" w:rsidRPr="000B417D">
        <w:rPr>
          <w:rFonts w:ascii="Times New Roman" w:hAnsi="Times New Roman"/>
          <w:sz w:val="24"/>
          <w:szCs w:val="24"/>
        </w:rPr>
        <w:t>.</w:t>
      </w:r>
    </w:p>
    <w:p w:rsidR="00124B70" w:rsidRDefault="00A96E82" w:rsidP="00A74A8E">
      <w:pPr>
        <w:ind w:firstLine="360"/>
        <w:jc w:val="both"/>
        <w:rPr>
          <w:rFonts w:ascii="Times New Roman" w:hAnsi="Times New Roman"/>
          <w:sz w:val="24"/>
          <w:szCs w:val="24"/>
          <w:lang w:val="sr-Cyrl-CS"/>
        </w:rPr>
      </w:pPr>
      <w:r>
        <w:rPr>
          <w:rFonts w:ascii="Times New Roman" w:hAnsi="Times New Roman"/>
          <w:color w:val="000000"/>
          <w:sz w:val="24"/>
          <w:szCs w:val="24"/>
          <w:shd w:val="clear" w:color="auto" w:fill="FFFFFF"/>
          <w:lang w:val="sr-Cyrl-CS"/>
        </w:rPr>
        <w:t xml:space="preserve">Уколико се ради о правном лицу које је услед неког пореског подстицаја ослобођено плаћања пореза неће доћи до незаконте евазије пореза. </w:t>
      </w:r>
      <w:r w:rsidR="00310781">
        <w:rPr>
          <w:rFonts w:ascii="Times New Roman" w:hAnsi="Times New Roman"/>
          <w:color w:val="000000"/>
          <w:sz w:val="24"/>
          <w:szCs w:val="24"/>
          <w:shd w:val="clear" w:color="auto" w:fill="FFFFFF"/>
          <w:lang w:val="sr-Cyrl-CS"/>
        </w:rPr>
        <w:t xml:space="preserve">Као што је наведено у ранијем излагању, </w:t>
      </w:r>
      <w:r w:rsidR="00310781">
        <w:rPr>
          <w:rFonts w:ascii="Times New Roman" w:hAnsi="Times New Roman"/>
          <w:sz w:val="24"/>
          <w:szCs w:val="24"/>
          <w:lang w:val="sr-Cyrl-CS"/>
        </w:rPr>
        <w:t xml:space="preserve">приликом коришћења пореских подстицаја заснива се пореско - </w:t>
      </w:r>
      <w:r w:rsidR="00310781">
        <w:rPr>
          <w:rFonts w:ascii="Times New Roman" w:hAnsi="Times New Roman"/>
          <w:sz w:val="24"/>
          <w:szCs w:val="24"/>
        </w:rPr>
        <w:t>у</w:t>
      </w:r>
      <w:r w:rsidR="00310781">
        <w:rPr>
          <w:rFonts w:ascii="Times New Roman" w:hAnsi="Times New Roman"/>
          <w:sz w:val="24"/>
          <w:szCs w:val="24"/>
          <w:lang w:val="sr-Cyrl-CS"/>
        </w:rPr>
        <w:t xml:space="preserve">правни однос са пореским повериоцем, односно остварују се чињенице које се могу подвести под законски опис пореза на добит правних лица, али изостаје обавеза плаћања плаћања, односно његова имовинска компонента. Међутим, коришћење пореских подстицаја </w:t>
      </w:r>
      <w:r w:rsidR="00036FA9">
        <w:rPr>
          <w:rFonts w:ascii="Times New Roman" w:hAnsi="Times New Roman"/>
          <w:sz w:val="24"/>
          <w:szCs w:val="24"/>
          <w:lang w:val="sr-Cyrl-CS"/>
        </w:rPr>
        <w:t xml:space="preserve">не доводи до ослобађња обавезе </w:t>
      </w:r>
      <w:r w:rsidR="00310781">
        <w:rPr>
          <w:rFonts w:ascii="Times New Roman" w:hAnsi="Times New Roman"/>
          <w:sz w:val="24"/>
          <w:szCs w:val="24"/>
          <w:lang w:val="sr-Cyrl-CS"/>
        </w:rPr>
        <w:t>вођења књиговодствене документације, обавезе да се евидентирају подаци у пореском билансу, односно да се пореска пријава поднесе надлежном пореском органу, што је од велико</w:t>
      </w:r>
      <w:r w:rsidR="0089326D">
        <w:rPr>
          <w:rFonts w:ascii="Times New Roman" w:hAnsi="Times New Roman"/>
          <w:sz w:val="24"/>
          <w:szCs w:val="24"/>
          <w:lang w:val="sr-Cyrl-CS"/>
        </w:rPr>
        <w:t>г</w:t>
      </w:r>
      <w:r w:rsidR="00310781">
        <w:rPr>
          <w:rFonts w:ascii="Times New Roman" w:hAnsi="Times New Roman"/>
          <w:sz w:val="24"/>
          <w:szCs w:val="24"/>
          <w:lang w:val="sr-Cyrl-CS"/>
        </w:rPr>
        <w:t xml:space="preserve"> значаја за спречавање злоупотреба приликом коришћења пореских подстицаја. Коришћење пореских олакица мора бити евидентирано у пореском билансу и у пореској пријави.</w:t>
      </w:r>
    </w:p>
    <w:p w:rsidR="00A74A8E" w:rsidRDefault="00A74A8E" w:rsidP="00A74A8E">
      <w:pPr>
        <w:ind w:firstLine="360"/>
        <w:jc w:val="both"/>
        <w:rPr>
          <w:rFonts w:ascii="Times New Roman" w:hAnsi="Times New Roman"/>
          <w:sz w:val="24"/>
          <w:szCs w:val="24"/>
          <w:lang w:val="sr-Cyrl-CS"/>
        </w:rPr>
      </w:pPr>
    </w:p>
    <w:p w:rsidR="000B417D" w:rsidRDefault="000B417D" w:rsidP="00A74A8E">
      <w:pPr>
        <w:ind w:firstLine="360"/>
        <w:jc w:val="both"/>
        <w:rPr>
          <w:rFonts w:ascii="Times New Roman" w:hAnsi="Times New Roman"/>
          <w:sz w:val="24"/>
          <w:szCs w:val="24"/>
          <w:lang w:val="sr-Cyrl-CS"/>
        </w:rPr>
      </w:pPr>
    </w:p>
    <w:p w:rsidR="000B417D" w:rsidRDefault="000B417D" w:rsidP="00A74A8E">
      <w:pPr>
        <w:ind w:firstLine="360"/>
        <w:jc w:val="both"/>
        <w:rPr>
          <w:rFonts w:ascii="Times New Roman" w:hAnsi="Times New Roman"/>
          <w:sz w:val="24"/>
          <w:szCs w:val="24"/>
          <w:lang w:val="sr-Cyrl-CS"/>
        </w:rPr>
      </w:pPr>
    </w:p>
    <w:p w:rsidR="000B417D" w:rsidRDefault="000B417D" w:rsidP="00A74A8E">
      <w:pPr>
        <w:ind w:firstLine="360"/>
        <w:jc w:val="both"/>
        <w:rPr>
          <w:rFonts w:ascii="Times New Roman" w:hAnsi="Times New Roman"/>
          <w:sz w:val="24"/>
          <w:szCs w:val="24"/>
          <w:lang w:val="sr-Cyrl-CS"/>
        </w:rPr>
      </w:pPr>
    </w:p>
    <w:p w:rsidR="000B417D" w:rsidRDefault="000B417D" w:rsidP="00A74A8E">
      <w:pPr>
        <w:ind w:firstLine="360"/>
        <w:jc w:val="both"/>
        <w:rPr>
          <w:rFonts w:ascii="Times New Roman" w:hAnsi="Times New Roman"/>
          <w:sz w:val="24"/>
          <w:szCs w:val="24"/>
          <w:lang w:val="sr-Cyrl-CS"/>
        </w:rPr>
      </w:pPr>
    </w:p>
    <w:p w:rsidR="000B417D" w:rsidRDefault="000B417D" w:rsidP="00A74A8E">
      <w:pPr>
        <w:ind w:firstLine="360"/>
        <w:jc w:val="both"/>
        <w:rPr>
          <w:rFonts w:ascii="Times New Roman" w:hAnsi="Times New Roman"/>
          <w:sz w:val="24"/>
          <w:szCs w:val="24"/>
          <w:lang w:val="sr-Cyrl-CS"/>
        </w:rPr>
      </w:pPr>
    </w:p>
    <w:p w:rsidR="000B417D" w:rsidRDefault="000B417D" w:rsidP="00A74A8E">
      <w:pPr>
        <w:ind w:firstLine="360"/>
        <w:jc w:val="both"/>
        <w:rPr>
          <w:rFonts w:ascii="Times New Roman" w:hAnsi="Times New Roman"/>
          <w:sz w:val="24"/>
          <w:szCs w:val="24"/>
          <w:lang w:val="sr-Cyrl-CS"/>
        </w:rPr>
      </w:pPr>
    </w:p>
    <w:p w:rsidR="000B417D" w:rsidRDefault="000B417D" w:rsidP="00A74A8E">
      <w:pPr>
        <w:ind w:firstLine="360"/>
        <w:jc w:val="both"/>
        <w:rPr>
          <w:rFonts w:ascii="Times New Roman" w:hAnsi="Times New Roman"/>
          <w:sz w:val="24"/>
          <w:szCs w:val="24"/>
          <w:lang w:val="sr-Cyrl-CS"/>
        </w:rPr>
      </w:pPr>
    </w:p>
    <w:p w:rsidR="000B417D" w:rsidRDefault="000B417D" w:rsidP="00A74A8E">
      <w:pPr>
        <w:ind w:firstLine="360"/>
        <w:jc w:val="both"/>
        <w:rPr>
          <w:rFonts w:ascii="Times New Roman" w:hAnsi="Times New Roman"/>
          <w:sz w:val="24"/>
          <w:szCs w:val="24"/>
          <w:lang w:val="sr-Cyrl-CS"/>
        </w:rPr>
      </w:pPr>
    </w:p>
    <w:p w:rsidR="000B417D" w:rsidRDefault="000B417D" w:rsidP="00A74A8E">
      <w:pPr>
        <w:ind w:firstLine="360"/>
        <w:jc w:val="both"/>
        <w:rPr>
          <w:rFonts w:ascii="Times New Roman" w:hAnsi="Times New Roman"/>
          <w:sz w:val="24"/>
          <w:szCs w:val="24"/>
          <w:lang w:val="sr-Cyrl-CS"/>
        </w:rPr>
      </w:pPr>
    </w:p>
    <w:p w:rsidR="000B417D" w:rsidRDefault="000B417D" w:rsidP="00A74A8E">
      <w:pPr>
        <w:ind w:firstLine="360"/>
        <w:jc w:val="both"/>
        <w:rPr>
          <w:rFonts w:ascii="Times New Roman" w:hAnsi="Times New Roman"/>
          <w:sz w:val="24"/>
          <w:szCs w:val="24"/>
          <w:lang w:val="sr-Cyrl-CS"/>
        </w:rPr>
      </w:pPr>
    </w:p>
    <w:p w:rsidR="000B417D" w:rsidRDefault="000B417D" w:rsidP="00A74A8E">
      <w:pPr>
        <w:ind w:firstLine="360"/>
        <w:jc w:val="both"/>
        <w:rPr>
          <w:rFonts w:ascii="Times New Roman" w:hAnsi="Times New Roman"/>
          <w:sz w:val="24"/>
          <w:szCs w:val="24"/>
          <w:lang w:val="sr-Cyrl-CS"/>
        </w:rPr>
      </w:pPr>
    </w:p>
    <w:p w:rsidR="000B417D" w:rsidRDefault="000B417D" w:rsidP="00A74A8E">
      <w:pPr>
        <w:ind w:firstLine="360"/>
        <w:jc w:val="both"/>
        <w:rPr>
          <w:rFonts w:ascii="Times New Roman" w:hAnsi="Times New Roman"/>
          <w:sz w:val="24"/>
          <w:szCs w:val="24"/>
          <w:lang w:val="sr-Cyrl-CS"/>
        </w:rPr>
      </w:pPr>
    </w:p>
    <w:p w:rsidR="000B417D" w:rsidRDefault="000B417D" w:rsidP="00A74A8E">
      <w:pPr>
        <w:ind w:firstLine="360"/>
        <w:jc w:val="both"/>
        <w:rPr>
          <w:rFonts w:ascii="Times New Roman" w:hAnsi="Times New Roman"/>
          <w:sz w:val="24"/>
          <w:szCs w:val="24"/>
          <w:lang w:val="sr-Cyrl-CS"/>
        </w:rPr>
      </w:pPr>
    </w:p>
    <w:p w:rsidR="000B417D" w:rsidRDefault="000B417D" w:rsidP="00A74A8E">
      <w:pPr>
        <w:ind w:firstLine="360"/>
        <w:jc w:val="both"/>
        <w:rPr>
          <w:rFonts w:ascii="Times New Roman" w:hAnsi="Times New Roman"/>
          <w:sz w:val="24"/>
          <w:szCs w:val="24"/>
          <w:lang w:val="sr-Cyrl-CS"/>
        </w:rPr>
      </w:pPr>
    </w:p>
    <w:p w:rsidR="000B417D" w:rsidRDefault="000B417D" w:rsidP="00A74A8E">
      <w:pPr>
        <w:ind w:firstLine="360"/>
        <w:jc w:val="both"/>
        <w:rPr>
          <w:rFonts w:ascii="Times New Roman" w:hAnsi="Times New Roman"/>
          <w:sz w:val="24"/>
          <w:szCs w:val="24"/>
          <w:lang w:val="sr-Cyrl-CS"/>
        </w:rPr>
      </w:pPr>
    </w:p>
    <w:p w:rsidR="000B417D" w:rsidRDefault="000B417D" w:rsidP="00A74A8E">
      <w:pPr>
        <w:ind w:firstLine="360"/>
        <w:jc w:val="both"/>
        <w:rPr>
          <w:rFonts w:ascii="Times New Roman" w:hAnsi="Times New Roman"/>
          <w:sz w:val="24"/>
          <w:szCs w:val="24"/>
          <w:lang w:val="sr-Cyrl-CS"/>
        </w:rPr>
      </w:pPr>
    </w:p>
    <w:p w:rsidR="000B417D" w:rsidRPr="00035C4C" w:rsidRDefault="000B417D" w:rsidP="00A74A8E">
      <w:pPr>
        <w:ind w:firstLine="360"/>
        <w:jc w:val="both"/>
        <w:rPr>
          <w:rFonts w:ascii="Times New Roman" w:hAnsi="Times New Roman"/>
          <w:sz w:val="24"/>
          <w:szCs w:val="24"/>
          <w:lang w:val="sr-Cyrl-CS"/>
        </w:rPr>
      </w:pPr>
    </w:p>
    <w:p w:rsidR="004D2866" w:rsidRDefault="00A84570" w:rsidP="002675A4">
      <w:pPr>
        <w:numPr>
          <w:ilvl w:val="1"/>
          <w:numId w:val="3"/>
        </w:numPr>
        <w:jc w:val="center"/>
        <w:rPr>
          <w:rFonts w:ascii="Times New Roman" w:hAnsi="Times New Roman"/>
          <w:b/>
          <w:i/>
          <w:sz w:val="24"/>
          <w:szCs w:val="24"/>
          <w:lang w:val="sr-Cyrl-CS"/>
        </w:rPr>
      </w:pPr>
      <w:r w:rsidRPr="00A84570">
        <w:rPr>
          <w:rFonts w:ascii="Times New Roman" w:hAnsi="Times New Roman"/>
          <w:b/>
          <w:i/>
          <w:sz w:val="24"/>
          <w:szCs w:val="24"/>
          <w:lang w:val="sr-Cyrl-CS"/>
        </w:rPr>
        <w:lastRenderedPageBreak/>
        <w:t>Порез на додату вредност</w:t>
      </w:r>
    </w:p>
    <w:p w:rsidR="00A74A8E" w:rsidRPr="002675A4" w:rsidRDefault="00A74A8E" w:rsidP="00A74A8E">
      <w:pPr>
        <w:ind w:left="1129"/>
        <w:rPr>
          <w:rFonts w:ascii="Times New Roman" w:hAnsi="Times New Roman"/>
          <w:b/>
          <w:i/>
          <w:sz w:val="24"/>
          <w:szCs w:val="24"/>
          <w:lang w:val="sr-Cyrl-CS"/>
        </w:rPr>
      </w:pPr>
    </w:p>
    <w:p w:rsidR="004D2866" w:rsidRDefault="006B470D" w:rsidP="002675A4">
      <w:pPr>
        <w:ind w:firstLine="360"/>
        <w:jc w:val="both"/>
        <w:rPr>
          <w:rFonts w:ascii="Times New Roman" w:hAnsi="Times New Roman"/>
          <w:color w:val="000000"/>
          <w:sz w:val="24"/>
          <w:szCs w:val="24"/>
          <w:lang w:val="sr-Cyrl-CS"/>
        </w:rPr>
      </w:pPr>
      <w:r w:rsidRPr="00CC7831">
        <w:rPr>
          <w:rFonts w:ascii="Times New Roman" w:hAnsi="Times New Roman"/>
          <w:color w:val="000000"/>
          <w:sz w:val="24"/>
          <w:szCs w:val="24"/>
          <w:lang w:val="sr-Cyrl-CS"/>
        </w:rPr>
        <w:t>Порез на додату вредност</w:t>
      </w:r>
      <w:r>
        <w:rPr>
          <w:rFonts w:ascii="Times New Roman" w:hAnsi="Times New Roman"/>
          <w:color w:val="000000"/>
          <w:sz w:val="24"/>
          <w:szCs w:val="24"/>
          <w:lang w:val="sr-Cyrl-CS"/>
        </w:rPr>
        <w:t xml:space="preserve"> (eng. </w:t>
      </w:r>
      <w:r>
        <w:rPr>
          <w:rFonts w:ascii="Times New Roman" w:hAnsi="Times New Roman"/>
          <w:color w:val="000000"/>
          <w:sz w:val="24"/>
          <w:szCs w:val="24"/>
        </w:rPr>
        <w:t>value aded tax-VAT)</w:t>
      </w:r>
      <w:r w:rsidRPr="00CC7831">
        <w:rPr>
          <w:rFonts w:ascii="Times New Roman" w:hAnsi="Times New Roman"/>
          <w:color w:val="000000"/>
          <w:sz w:val="24"/>
          <w:szCs w:val="24"/>
          <w:lang w:val="sr-Cyrl-CS"/>
        </w:rPr>
        <w:t xml:space="preserve"> је данас најраспрострањенији порески облик у свету. </w:t>
      </w:r>
      <w:r w:rsidR="005940A5">
        <w:rPr>
          <w:rFonts w:ascii="Times New Roman" w:hAnsi="Times New Roman"/>
          <w:color w:val="000000"/>
          <w:sz w:val="24"/>
          <w:szCs w:val="24"/>
          <w:lang w:val="sr-Cyrl-CS"/>
        </w:rPr>
        <w:t>Све земаље чланице</w:t>
      </w:r>
      <w:r w:rsidR="00107BA2">
        <w:rPr>
          <w:rFonts w:ascii="Times New Roman" w:hAnsi="Times New Roman"/>
          <w:color w:val="000000"/>
          <w:sz w:val="24"/>
          <w:szCs w:val="24"/>
          <w:lang w:val="sr-Cyrl-CS"/>
        </w:rPr>
        <w:t xml:space="preserve"> ОЕЦД</w:t>
      </w:r>
      <w:r w:rsidR="005940A5">
        <w:rPr>
          <w:rFonts w:ascii="Times New Roman" w:hAnsi="Times New Roman"/>
          <w:color w:val="000000"/>
          <w:sz w:val="24"/>
          <w:szCs w:val="24"/>
          <w:lang w:val="sr-Cyrl-CS"/>
        </w:rPr>
        <w:t xml:space="preserve"> (осим САД) примењују порез на додату вредност, као и све земље Европске уније, па је тако постао један од услова за приступање Европској унији.</w:t>
      </w:r>
    </w:p>
    <w:p w:rsidR="004D2866" w:rsidRDefault="00595B8F" w:rsidP="002675A4">
      <w:pPr>
        <w:ind w:firstLine="360"/>
        <w:jc w:val="both"/>
        <w:rPr>
          <w:rFonts w:ascii="Times New Roman" w:hAnsi="Times New Roman"/>
          <w:color w:val="000000"/>
          <w:sz w:val="24"/>
          <w:szCs w:val="24"/>
          <w:lang w:val="sr-Cyrl-CS"/>
        </w:rPr>
      </w:pPr>
      <w:r>
        <w:rPr>
          <w:rFonts w:ascii="Times New Roman" w:hAnsi="Times New Roman"/>
          <w:color w:val="000000"/>
          <w:sz w:val="24"/>
          <w:szCs w:val="24"/>
          <w:lang w:val="sr-Cyrl-CS"/>
        </w:rPr>
        <w:t>Порез на додату вредност је први пут уведен</w:t>
      </w:r>
      <w:r w:rsidR="00E043B1">
        <w:rPr>
          <w:rFonts w:ascii="Times New Roman" w:hAnsi="Times New Roman"/>
          <w:color w:val="000000"/>
          <w:sz w:val="24"/>
          <w:szCs w:val="24"/>
          <w:lang w:val="sr-Cyrl-CS"/>
        </w:rPr>
        <w:t xml:space="preserve"> у Европи </w:t>
      </w:r>
      <w:r w:rsidRPr="00595B8F">
        <w:rPr>
          <w:rFonts w:ascii="Times New Roman" w:hAnsi="Times New Roman"/>
          <w:color w:val="000000"/>
          <w:sz w:val="24"/>
          <w:szCs w:val="24"/>
          <w:lang w:val="sr-Cyrl-CS"/>
        </w:rPr>
        <w:t xml:space="preserve"> 1954</w:t>
      </w:r>
      <w:r>
        <w:rPr>
          <w:rFonts w:ascii="Times New Roman" w:hAnsi="Times New Roman"/>
          <w:color w:val="000000"/>
          <w:sz w:val="24"/>
          <w:szCs w:val="24"/>
          <w:lang w:val="sr-Cyrl-CS"/>
        </w:rPr>
        <w:t xml:space="preserve">. године у Француској. Након тога 1967. године </w:t>
      </w:r>
      <w:r w:rsidRPr="00595B8F">
        <w:rPr>
          <w:rFonts w:ascii="Times New Roman" w:hAnsi="Times New Roman"/>
          <w:color w:val="000000"/>
          <w:sz w:val="24"/>
          <w:szCs w:val="24"/>
          <w:lang w:val="sr-Cyrl-CS"/>
        </w:rPr>
        <w:t xml:space="preserve">државе чланице Европске </w:t>
      </w:r>
      <w:r>
        <w:rPr>
          <w:rFonts w:ascii="Times New Roman" w:hAnsi="Times New Roman"/>
          <w:color w:val="000000"/>
          <w:sz w:val="24"/>
          <w:szCs w:val="24"/>
          <w:lang w:val="sr-Cyrl-CS"/>
        </w:rPr>
        <w:t>економске заједнице су замениле</w:t>
      </w:r>
      <w:r w:rsidRPr="00595B8F">
        <w:rPr>
          <w:rFonts w:ascii="Times New Roman" w:hAnsi="Times New Roman"/>
          <w:color w:val="000000"/>
          <w:sz w:val="24"/>
          <w:szCs w:val="24"/>
          <w:lang w:val="sr-Cyrl-CS"/>
        </w:rPr>
        <w:t xml:space="preserve"> своје националне системе</w:t>
      </w:r>
      <w:r>
        <w:rPr>
          <w:rFonts w:ascii="Times New Roman" w:hAnsi="Times New Roman"/>
          <w:color w:val="000000"/>
          <w:sz w:val="24"/>
          <w:szCs w:val="24"/>
          <w:lang w:val="sr-Cyrl-CS"/>
        </w:rPr>
        <w:t xml:space="preserve"> пореза на промет са заједничким системом</w:t>
      </w:r>
      <w:r w:rsidRPr="00595B8F">
        <w:rPr>
          <w:rFonts w:ascii="Times New Roman" w:hAnsi="Times New Roman"/>
          <w:color w:val="000000"/>
          <w:sz w:val="24"/>
          <w:szCs w:val="24"/>
          <w:lang w:val="sr-Cyrl-CS"/>
        </w:rPr>
        <w:t xml:space="preserve"> ПДВ-а. Од тада,</w:t>
      </w:r>
      <w:r>
        <w:rPr>
          <w:rFonts w:ascii="Times New Roman" w:hAnsi="Times New Roman"/>
          <w:color w:val="000000"/>
          <w:sz w:val="24"/>
          <w:szCs w:val="24"/>
          <w:lang w:val="sr-Cyrl-CS"/>
        </w:rPr>
        <w:t xml:space="preserve"> ПДВ је уведен у око 140 земаља</w:t>
      </w:r>
      <w:r w:rsidRPr="00595B8F">
        <w:rPr>
          <w:rFonts w:ascii="Times New Roman" w:hAnsi="Times New Roman"/>
          <w:color w:val="000000"/>
          <w:sz w:val="24"/>
          <w:szCs w:val="24"/>
          <w:lang w:val="sr-Cyrl-CS"/>
        </w:rPr>
        <w:t xml:space="preserve"> широм света</w:t>
      </w:r>
      <w:r w:rsidR="004D2866">
        <w:rPr>
          <w:rFonts w:ascii="Times New Roman" w:hAnsi="Times New Roman"/>
          <w:color w:val="000000"/>
          <w:sz w:val="24"/>
          <w:szCs w:val="24"/>
          <w:lang w:val="sr-Cyrl-CS"/>
        </w:rPr>
        <w:t>.</w:t>
      </w:r>
      <w:r w:rsidR="00E35411">
        <w:rPr>
          <w:rStyle w:val="FootnoteReference"/>
          <w:rFonts w:ascii="Times New Roman" w:hAnsi="Times New Roman"/>
          <w:color w:val="000000"/>
          <w:sz w:val="24"/>
          <w:szCs w:val="24"/>
          <w:lang w:val="sr-Cyrl-CS"/>
        </w:rPr>
        <w:footnoteReference w:id="339"/>
      </w:r>
      <w:r w:rsidR="002675A4">
        <w:rPr>
          <w:rFonts w:ascii="Times New Roman" w:hAnsi="Times New Roman"/>
          <w:color w:val="000000"/>
          <w:sz w:val="24"/>
          <w:szCs w:val="24"/>
        </w:rPr>
        <w:t xml:space="preserve"> </w:t>
      </w:r>
      <w:r w:rsidRPr="00595B8F">
        <w:rPr>
          <w:rFonts w:ascii="Times New Roman" w:hAnsi="Times New Roman"/>
          <w:color w:val="000000"/>
          <w:sz w:val="24"/>
          <w:szCs w:val="24"/>
          <w:lang w:val="sr-Cyrl-CS"/>
        </w:rPr>
        <w:t>До 2008</w:t>
      </w:r>
      <w:r>
        <w:rPr>
          <w:rFonts w:ascii="Times New Roman" w:hAnsi="Times New Roman"/>
          <w:color w:val="000000"/>
          <w:sz w:val="24"/>
          <w:szCs w:val="24"/>
          <w:lang w:val="sr-Cyrl-CS"/>
        </w:rPr>
        <w:t>. године приходи од ПДВ учествују око 21,4% у националним пореским приходима</w:t>
      </w:r>
      <w:r w:rsidRPr="00595B8F">
        <w:rPr>
          <w:rFonts w:ascii="Times New Roman" w:hAnsi="Times New Roman"/>
          <w:color w:val="000000"/>
          <w:sz w:val="24"/>
          <w:szCs w:val="24"/>
          <w:lang w:val="sr-Cyrl-CS"/>
        </w:rPr>
        <w:t xml:space="preserve"> ЕУ</w:t>
      </w:r>
      <w:r>
        <w:rPr>
          <w:rFonts w:ascii="Times New Roman" w:hAnsi="Times New Roman"/>
          <w:color w:val="000000"/>
          <w:sz w:val="24"/>
          <w:szCs w:val="24"/>
          <w:lang w:val="sr-Cyrl-CS"/>
        </w:rPr>
        <w:t xml:space="preserve"> (укључујући и доприносе</w:t>
      </w:r>
      <w:r w:rsidRPr="00595B8F">
        <w:rPr>
          <w:rFonts w:ascii="Times New Roman" w:hAnsi="Times New Roman"/>
          <w:color w:val="000000"/>
          <w:sz w:val="24"/>
          <w:szCs w:val="24"/>
          <w:lang w:val="sr-Cyrl-CS"/>
        </w:rPr>
        <w:t xml:space="preserve"> за социјално осигурање), што пре</w:t>
      </w:r>
      <w:r>
        <w:rPr>
          <w:rFonts w:ascii="Times New Roman" w:hAnsi="Times New Roman"/>
          <w:color w:val="000000"/>
          <w:sz w:val="24"/>
          <w:szCs w:val="24"/>
          <w:lang w:val="sr-Cyrl-CS"/>
        </w:rPr>
        <w:t xml:space="preserve">дставља повећање од 12% од 1995. године. Због тога, ови приходи представљају главни извор финансирања националних буџета и главни </w:t>
      </w:r>
      <w:r w:rsidR="00E043B1">
        <w:rPr>
          <w:rFonts w:ascii="Times New Roman" w:hAnsi="Times New Roman"/>
          <w:color w:val="000000"/>
          <w:sz w:val="24"/>
          <w:szCs w:val="24"/>
          <w:lang w:val="sr-Cyrl-CS"/>
        </w:rPr>
        <w:t xml:space="preserve">извор </w:t>
      </w:r>
      <w:r>
        <w:rPr>
          <w:rFonts w:ascii="Times New Roman" w:hAnsi="Times New Roman"/>
          <w:color w:val="000000"/>
          <w:sz w:val="24"/>
          <w:szCs w:val="24"/>
          <w:lang w:val="sr-Cyrl-CS"/>
        </w:rPr>
        <w:t xml:space="preserve">прихода у многим државама чланицама. Финансијска и економска криза је </w:t>
      </w:r>
      <w:r w:rsidR="00E35411">
        <w:rPr>
          <w:rFonts w:ascii="Times New Roman" w:hAnsi="Times New Roman"/>
          <w:color w:val="000000"/>
          <w:sz w:val="24"/>
          <w:szCs w:val="24"/>
          <w:lang w:val="sr-Cyrl-CS"/>
        </w:rPr>
        <w:t>поставила тешке изазове јавним финансијама у многим државама чланица ЕУ.</w:t>
      </w:r>
      <w:r w:rsidR="00E35411">
        <w:rPr>
          <w:rStyle w:val="FootnoteReference"/>
          <w:rFonts w:ascii="Times New Roman" w:hAnsi="Times New Roman"/>
          <w:color w:val="000000"/>
          <w:sz w:val="24"/>
          <w:szCs w:val="24"/>
          <w:lang w:val="sr-Cyrl-CS"/>
        </w:rPr>
        <w:footnoteReference w:id="340"/>
      </w:r>
      <w:r w:rsidR="002675A4">
        <w:rPr>
          <w:rFonts w:ascii="Times New Roman" w:hAnsi="Times New Roman"/>
          <w:color w:val="000000"/>
          <w:sz w:val="24"/>
          <w:szCs w:val="24"/>
          <w:lang w:val="sr-Cyrl-CS"/>
        </w:rPr>
        <w:t xml:space="preserve"> </w:t>
      </w:r>
      <w:r w:rsidR="00107BA2">
        <w:rPr>
          <w:rFonts w:ascii="Times New Roman" w:hAnsi="Times New Roman"/>
          <w:color w:val="000000"/>
          <w:sz w:val="24"/>
          <w:szCs w:val="24"/>
          <w:lang w:val="sr-Cyrl-CS"/>
        </w:rPr>
        <w:t xml:space="preserve">У циљу хармонизације са стандардима Европске уније и наша земља је, почев од 1. </w:t>
      </w:r>
      <w:r w:rsidR="003E4F90">
        <w:rPr>
          <w:rFonts w:ascii="Times New Roman" w:hAnsi="Times New Roman"/>
          <w:color w:val="000000"/>
          <w:sz w:val="24"/>
          <w:szCs w:val="24"/>
          <w:lang w:val="sr-Cyrl-CS"/>
        </w:rPr>
        <w:t>ј</w:t>
      </w:r>
      <w:r w:rsidR="00107BA2">
        <w:rPr>
          <w:rFonts w:ascii="Times New Roman" w:hAnsi="Times New Roman"/>
          <w:color w:val="000000"/>
          <w:sz w:val="24"/>
          <w:szCs w:val="24"/>
          <w:lang w:val="sr-Cyrl-CS"/>
        </w:rPr>
        <w:t xml:space="preserve">ануара 2005. године, </w:t>
      </w:r>
      <w:r w:rsidR="007F567F">
        <w:rPr>
          <w:rFonts w:ascii="Times New Roman" w:hAnsi="Times New Roman"/>
          <w:color w:val="000000"/>
          <w:sz w:val="24"/>
          <w:szCs w:val="24"/>
          <w:lang w:val="sr-Cyrl-CS"/>
        </w:rPr>
        <w:t>За</w:t>
      </w:r>
      <w:r w:rsidR="00286ADF">
        <w:rPr>
          <w:rFonts w:ascii="Times New Roman" w:hAnsi="Times New Roman"/>
          <w:color w:val="000000"/>
          <w:sz w:val="24"/>
          <w:szCs w:val="24"/>
          <w:lang w:val="sr-Cyrl-CS"/>
        </w:rPr>
        <w:t>коном о порезу на додату вреднос</w:t>
      </w:r>
      <w:r w:rsidR="007F567F">
        <w:rPr>
          <w:rFonts w:ascii="Times New Roman" w:hAnsi="Times New Roman"/>
          <w:color w:val="000000"/>
          <w:sz w:val="24"/>
          <w:szCs w:val="24"/>
          <w:lang w:val="sr-Cyrl-CS"/>
        </w:rPr>
        <w:t>т</w:t>
      </w:r>
      <w:r w:rsidR="00286ADF">
        <w:rPr>
          <w:rStyle w:val="FootnoteReference"/>
          <w:rFonts w:ascii="Times New Roman" w:hAnsi="Times New Roman"/>
          <w:color w:val="000000"/>
          <w:sz w:val="24"/>
          <w:szCs w:val="24"/>
          <w:lang w:val="sr-Cyrl-CS"/>
        </w:rPr>
        <w:footnoteReference w:id="341"/>
      </w:r>
      <w:r w:rsidR="007F567F">
        <w:rPr>
          <w:rFonts w:ascii="Times New Roman" w:hAnsi="Times New Roman"/>
          <w:color w:val="000000"/>
          <w:sz w:val="24"/>
          <w:szCs w:val="24"/>
          <w:lang w:val="sr-Cyrl-CS"/>
        </w:rPr>
        <w:t xml:space="preserve">, </w:t>
      </w:r>
      <w:r w:rsidR="00107BA2">
        <w:rPr>
          <w:rFonts w:ascii="Times New Roman" w:hAnsi="Times New Roman"/>
          <w:color w:val="000000"/>
          <w:sz w:val="24"/>
          <w:szCs w:val="24"/>
          <w:lang w:val="sr-Cyrl-CS"/>
        </w:rPr>
        <w:t xml:space="preserve"> у свој порески систем увела порез на додату вредност, чиме је замењен дотадашњи систем пореза који се плаћао у фази крајње потрошње. Ради се о тзв. „ЕУ моделу ПДВ“, </w:t>
      </w:r>
      <w:r w:rsidR="005E67FF">
        <w:rPr>
          <w:rFonts w:ascii="Times New Roman" w:hAnsi="Times New Roman"/>
          <w:color w:val="000000"/>
          <w:sz w:val="24"/>
          <w:szCs w:val="24"/>
          <w:lang w:val="sr-Cyrl-CS"/>
        </w:rPr>
        <w:t xml:space="preserve">који је у складу са VI  директивом (77/388/EEC) Европске уније, </w:t>
      </w:r>
      <w:r w:rsidR="003E4F90">
        <w:rPr>
          <w:rFonts w:ascii="Times New Roman" w:hAnsi="Times New Roman"/>
          <w:color w:val="000000"/>
          <w:sz w:val="24"/>
          <w:szCs w:val="24"/>
          <w:lang w:val="sr-Cyrl-CS"/>
        </w:rPr>
        <w:t xml:space="preserve">а </w:t>
      </w:r>
      <w:r w:rsidR="005E67FF">
        <w:rPr>
          <w:rFonts w:ascii="Times New Roman" w:hAnsi="Times New Roman"/>
          <w:color w:val="000000"/>
          <w:sz w:val="24"/>
          <w:szCs w:val="24"/>
          <w:lang w:val="sr-Cyrl-CS"/>
        </w:rPr>
        <w:t>која представља прекретницу у процесу хармониз</w:t>
      </w:r>
      <w:r w:rsidR="00E043B1">
        <w:rPr>
          <w:rFonts w:ascii="Times New Roman" w:hAnsi="Times New Roman"/>
          <w:color w:val="000000"/>
          <w:sz w:val="24"/>
          <w:szCs w:val="24"/>
          <w:lang w:val="sr-Cyrl-CS"/>
        </w:rPr>
        <w:t>ације пореза на додату вредност и</w:t>
      </w:r>
      <w:r w:rsidR="005E67FF">
        <w:rPr>
          <w:rFonts w:ascii="Times New Roman" w:hAnsi="Times New Roman"/>
          <w:color w:val="000000"/>
          <w:sz w:val="24"/>
          <w:szCs w:val="24"/>
          <w:lang w:val="sr-Cyrl-CS"/>
        </w:rPr>
        <w:t xml:space="preserve"> којом су најзад на јединствен начин регулисана битна питања у овој области</w:t>
      </w:r>
      <w:r w:rsidR="003E4F90">
        <w:rPr>
          <w:rFonts w:ascii="Times New Roman" w:hAnsi="Times New Roman"/>
          <w:color w:val="000000"/>
          <w:sz w:val="24"/>
          <w:szCs w:val="24"/>
          <w:lang w:val="sr-Cyrl-CS"/>
        </w:rPr>
        <w:t xml:space="preserve"> у ЕУ</w:t>
      </w:r>
      <w:r w:rsidR="005E67FF">
        <w:rPr>
          <w:rFonts w:ascii="Times New Roman" w:hAnsi="Times New Roman"/>
          <w:color w:val="000000"/>
          <w:sz w:val="24"/>
          <w:szCs w:val="24"/>
          <w:lang w:val="sr-Cyrl-CS"/>
        </w:rPr>
        <w:t xml:space="preserve">. Ова директива је </w:t>
      </w:r>
      <w:r w:rsidR="003E4F90">
        <w:rPr>
          <w:rFonts w:ascii="Times New Roman" w:hAnsi="Times New Roman"/>
          <w:color w:val="000000"/>
          <w:sz w:val="24"/>
          <w:szCs w:val="24"/>
          <w:lang w:val="sr-Cyrl-CS"/>
        </w:rPr>
        <w:t xml:space="preserve">касније </w:t>
      </w:r>
      <w:r w:rsidR="005E67FF">
        <w:rPr>
          <w:rFonts w:ascii="Times New Roman" w:hAnsi="Times New Roman"/>
          <w:color w:val="000000"/>
          <w:sz w:val="24"/>
          <w:szCs w:val="24"/>
          <w:lang w:val="sr-Cyrl-CS"/>
        </w:rPr>
        <w:t>замењена директивом 2006/112/EC</w:t>
      </w:r>
      <w:r w:rsidR="003E4F90">
        <w:rPr>
          <w:rFonts w:ascii="Times New Roman" w:hAnsi="Times New Roman"/>
          <w:color w:val="000000"/>
          <w:sz w:val="24"/>
          <w:szCs w:val="24"/>
          <w:lang w:val="sr-Cyrl-CS"/>
        </w:rPr>
        <w:t>, која је у међувремену више пута мењана, у потрази за што бољим  решењима у процесу хармонизације ове сложене проблематике.</w:t>
      </w:r>
      <w:r w:rsidR="005E67FF">
        <w:rPr>
          <w:rFonts w:ascii="Times New Roman" w:hAnsi="Times New Roman"/>
          <w:color w:val="000000"/>
          <w:sz w:val="24"/>
          <w:szCs w:val="24"/>
          <w:lang w:val="sr-Cyrl-CS"/>
        </w:rPr>
        <w:t xml:space="preserve"> </w:t>
      </w:r>
      <w:r w:rsidR="005D0933">
        <w:rPr>
          <w:rFonts w:ascii="Times New Roman" w:hAnsi="Times New Roman"/>
          <w:color w:val="000000"/>
          <w:sz w:val="24"/>
          <w:szCs w:val="24"/>
          <w:lang w:val="sr-Cyrl-CS"/>
        </w:rPr>
        <w:t>У циљу јединственог т</w:t>
      </w:r>
      <w:r w:rsidR="00E043B1">
        <w:rPr>
          <w:rFonts w:ascii="Times New Roman" w:hAnsi="Times New Roman"/>
          <w:color w:val="000000"/>
          <w:sz w:val="24"/>
          <w:szCs w:val="24"/>
          <w:lang w:val="sr-Cyrl-CS"/>
        </w:rPr>
        <w:t>р</w:t>
      </w:r>
      <w:r w:rsidR="005D0933">
        <w:rPr>
          <w:rFonts w:ascii="Times New Roman" w:hAnsi="Times New Roman"/>
          <w:color w:val="000000"/>
          <w:sz w:val="24"/>
          <w:szCs w:val="24"/>
          <w:lang w:val="sr-Cyrl-CS"/>
        </w:rPr>
        <w:t xml:space="preserve">жишта ЕУ је покушала </w:t>
      </w:r>
      <w:r w:rsidR="00680841">
        <w:rPr>
          <w:rFonts w:ascii="Times New Roman" w:hAnsi="Times New Roman"/>
          <w:color w:val="000000"/>
          <w:sz w:val="24"/>
          <w:szCs w:val="24"/>
          <w:lang w:val="sr-Cyrl-CS"/>
        </w:rPr>
        <w:t xml:space="preserve">да </w:t>
      </w:r>
      <w:r w:rsidR="005D0933">
        <w:rPr>
          <w:rFonts w:ascii="Times New Roman" w:hAnsi="Times New Roman"/>
          <w:color w:val="000000"/>
          <w:sz w:val="24"/>
          <w:szCs w:val="24"/>
          <w:lang w:val="sr-Cyrl-CS"/>
        </w:rPr>
        <w:t xml:space="preserve">усклади параметре пореских стопа, пореских особођења, међународне трговине и слично путем низа директива. </w:t>
      </w:r>
      <w:r w:rsidR="003E4F90">
        <w:rPr>
          <w:rFonts w:ascii="Times New Roman" w:hAnsi="Times New Roman"/>
          <w:color w:val="000000"/>
          <w:sz w:val="24"/>
          <w:szCs w:val="24"/>
          <w:lang w:val="sr-Cyrl-CS"/>
        </w:rPr>
        <w:t>Због овако дугог периода примене овог пореског облика у ЕУ</w:t>
      </w:r>
      <w:r w:rsidR="007F567F">
        <w:rPr>
          <w:rFonts w:ascii="Times New Roman" w:hAnsi="Times New Roman"/>
          <w:color w:val="000000"/>
          <w:sz w:val="24"/>
          <w:szCs w:val="24"/>
          <w:lang w:val="sr-Cyrl-CS"/>
        </w:rPr>
        <w:t xml:space="preserve"> од више од четири деценије</w:t>
      </w:r>
      <w:r w:rsidR="003E4F90">
        <w:rPr>
          <w:rFonts w:ascii="Times New Roman" w:hAnsi="Times New Roman"/>
          <w:color w:val="000000"/>
          <w:sz w:val="24"/>
          <w:szCs w:val="24"/>
          <w:lang w:val="sr-Cyrl-CS"/>
        </w:rPr>
        <w:t xml:space="preserve">, као и због </w:t>
      </w:r>
      <w:r w:rsidR="00B969CC">
        <w:rPr>
          <w:rFonts w:ascii="Times New Roman" w:hAnsi="Times New Roman"/>
          <w:color w:val="000000"/>
          <w:sz w:val="24"/>
          <w:szCs w:val="24"/>
          <w:lang w:val="sr-Cyrl-CS"/>
        </w:rPr>
        <w:t>тога што наша земља следи пут којим је кренула ЕУ, од великог значаја су искуства у пр</w:t>
      </w:r>
      <w:r w:rsidR="00C12BFD">
        <w:rPr>
          <w:rFonts w:ascii="Times New Roman" w:hAnsi="Times New Roman"/>
          <w:color w:val="000000"/>
          <w:sz w:val="24"/>
          <w:szCs w:val="24"/>
          <w:lang w:val="sr-Cyrl-CS"/>
        </w:rPr>
        <w:t xml:space="preserve">имени овог пореског облика у ЕУ.  </w:t>
      </w:r>
    </w:p>
    <w:p w:rsidR="004D2866" w:rsidRDefault="001949AF" w:rsidP="002675A4">
      <w:pPr>
        <w:ind w:firstLine="360"/>
        <w:jc w:val="both"/>
        <w:rPr>
          <w:rFonts w:ascii="Times New Roman" w:hAnsi="Times New Roman"/>
          <w:color w:val="000000"/>
          <w:sz w:val="24"/>
          <w:szCs w:val="24"/>
          <w:lang w:val="sr-Cyrl-CS"/>
        </w:rPr>
      </w:pPr>
      <w:r>
        <w:rPr>
          <w:rFonts w:ascii="Times New Roman" w:hAnsi="Times New Roman"/>
          <w:color w:val="000000"/>
          <w:sz w:val="24"/>
          <w:szCs w:val="24"/>
          <w:lang w:val="sr-Cyrl-CS"/>
        </w:rPr>
        <w:t>У свим земљама</w:t>
      </w:r>
      <w:r w:rsidRPr="001949AF">
        <w:rPr>
          <w:rFonts w:ascii="Times New Roman" w:hAnsi="Times New Roman"/>
          <w:color w:val="000000"/>
          <w:sz w:val="24"/>
          <w:szCs w:val="24"/>
          <w:lang w:val="sr-Cyrl-CS"/>
        </w:rPr>
        <w:t xml:space="preserve"> ЕУ </w:t>
      </w:r>
      <w:r>
        <w:rPr>
          <w:rFonts w:ascii="Times New Roman" w:hAnsi="Times New Roman"/>
          <w:color w:val="000000"/>
          <w:sz w:val="24"/>
          <w:szCs w:val="24"/>
          <w:lang w:val="sr-Cyrl-CS"/>
        </w:rPr>
        <w:t>порез на додату вредност (ПДВ)</w:t>
      </w:r>
      <w:r w:rsidRPr="001949AF">
        <w:rPr>
          <w:rFonts w:ascii="Times New Roman" w:hAnsi="Times New Roman"/>
          <w:color w:val="000000"/>
          <w:sz w:val="24"/>
          <w:szCs w:val="24"/>
          <w:lang w:val="sr-Cyrl-CS"/>
        </w:rPr>
        <w:t xml:space="preserve"> </w:t>
      </w:r>
      <w:r>
        <w:rPr>
          <w:rFonts w:ascii="Times New Roman" w:hAnsi="Times New Roman"/>
          <w:color w:val="000000"/>
          <w:sz w:val="24"/>
          <w:szCs w:val="24"/>
          <w:lang w:val="sr-Cyrl-CS"/>
        </w:rPr>
        <w:t>представља један од главних извора државних прихода. У просеку</w:t>
      </w:r>
      <w:r w:rsidRPr="001949AF">
        <w:rPr>
          <w:rFonts w:ascii="Times New Roman" w:hAnsi="Times New Roman"/>
          <w:color w:val="000000"/>
          <w:sz w:val="24"/>
          <w:szCs w:val="24"/>
          <w:lang w:val="sr-Cyrl-CS"/>
        </w:rPr>
        <w:t xml:space="preserve"> приходи од ПДВ </w:t>
      </w:r>
      <w:r>
        <w:rPr>
          <w:rFonts w:ascii="Times New Roman" w:hAnsi="Times New Roman"/>
          <w:color w:val="000000"/>
          <w:sz w:val="24"/>
          <w:szCs w:val="24"/>
          <w:lang w:val="sr-Cyrl-CS"/>
        </w:rPr>
        <w:t>су износили 21 одсто од укупних државних прихода</w:t>
      </w:r>
      <w:r w:rsidRPr="001949AF">
        <w:rPr>
          <w:rFonts w:ascii="Times New Roman" w:hAnsi="Times New Roman"/>
          <w:color w:val="000000"/>
          <w:sz w:val="24"/>
          <w:szCs w:val="24"/>
          <w:lang w:val="sr-Cyrl-CS"/>
        </w:rPr>
        <w:t xml:space="preserve"> за земље ЕУ-27 у периоду 2000-2011, или 7,5 одсто БДП-а.</w:t>
      </w:r>
      <w:r>
        <w:rPr>
          <w:rFonts w:ascii="Times New Roman" w:hAnsi="Times New Roman"/>
          <w:color w:val="000000"/>
          <w:sz w:val="24"/>
          <w:szCs w:val="24"/>
          <w:lang w:val="sr-Cyrl-CS"/>
        </w:rPr>
        <w:t xml:space="preserve"> Н</w:t>
      </w:r>
      <w:r w:rsidRPr="001949AF">
        <w:rPr>
          <w:rFonts w:ascii="Times New Roman" w:hAnsi="Times New Roman"/>
          <w:color w:val="000000"/>
          <w:sz w:val="24"/>
          <w:szCs w:val="24"/>
          <w:lang w:val="sr-Cyrl-CS"/>
        </w:rPr>
        <w:t>ајнижи проценат у у</w:t>
      </w:r>
      <w:r>
        <w:rPr>
          <w:rFonts w:ascii="Times New Roman" w:hAnsi="Times New Roman"/>
          <w:color w:val="000000"/>
          <w:sz w:val="24"/>
          <w:szCs w:val="24"/>
          <w:lang w:val="sr-Cyrl-CS"/>
        </w:rPr>
        <w:t>купним приходима је регистрован</w:t>
      </w:r>
      <w:r w:rsidRPr="001949AF">
        <w:rPr>
          <w:rFonts w:ascii="Times New Roman" w:hAnsi="Times New Roman"/>
          <w:color w:val="000000"/>
          <w:sz w:val="24"/>
          <w:szCs w:val="24"/>
          <w:lang w:val="sr-Cyrl-CS"/>
        </w:rPr>
        <w:t xml:space="preserve"> у Италији, док је </w:t>
      </w:r>
      <w:r>
        <w:rPr>
          <w:rFonts w:ascii="Times New Roman" w:hAnsi="Times New Roman"/>
          <w:color w:val="000000"/>
          <w:sz w:val="24"/>
          <w:szCs w:val="24"/>
          <w:lang w:val="sr-Cyrl-CS"/>
        </w:rPr>
        <w:t xml:space="preserve">највећи регистрован у Бугарској. </w:t>
      </w:r>
      <w:r w:rsidR="006F26AF">
        <w:rPr>
          <w:rFonts w:ascii="Times New Roman" w:hAnsi="Times New Roman"/>
          <w:color w:val="000000"/>
          <w:sz w:val="24"/>
          <w:szCs w:val="24"/>
          <w:lang w:val="sr-Cyrl-CS"/>
        </w:rPr>
        <w:t xml:space="preserve">По налогу Европске  комисије обављено је истраживање у јулу 2013. године и сачињен је извештај од стране тима стручњака из  </w:t>
      </w:r>
      <w:r w:rsidR="006F26AF" w:rsidRPr="006F26AF">
        <w:rPr>
          <w:rFonts w:ascii="Times New Roman" w:hAnsi="Times New Roman"/>
          <w:color w:val="000000"/>
          <w:sz w:val="24"/>
          <w:szCs w:val="24"/>
          <w:lang w:val="sr-Cyrl-CS"/>
        </w:rPr>
        <w:t xml:space="preserve">CASE (Center for Social </w:t>
      </w:r>
      <w:r w:rsidR="002675A4">
        <w:rPr>
          <w:rFonts w:ascii="Times New Roman" w:hAnsi="Times New Roman"/>
          <w:color w:val="000000"/>
          <w:sz w:val="24"/>
          <w:szCs w:val="24"/>
          <w:lang w:val="sr-Cyrl-CS"/>
        </w:rPr>
        <w:t>an</w:t>
      </w:r>
      <w:r w:rsidR="002675A4">
        <w:rPr>
          <w:rFonts w:ascii="Times New Roman" w:hAnsi="Times New Roman"/>
          <w:color w:val="000000"/>
          <w:sz w:val="24"/>
          <w:szCs w:val="24"/>
        </w:rPr>
        <w:t xml:space="preserve">d </w:t>
      </w:r>
      <w:r w:rsidR="006F26AF" w:rsidRPr="006F26AF">
        <w:rPr>
          <w:rFonts w:ascii="Times New Roman" w:hAnsi="Times New Roman"/>
          <w:color w:val="000000"/>
          <w:sz w:val="24"/>
          <w:szCs w:val="24"/>
          <w:lang w:val="sr-Cyrl-CS"/>
        </w:rPr>
        <w:t>Economic Research, War</w:t>
      </w:r>
      <w:r w:rsidR="006F26AF">
        <w:rPr>
          <w:rFonts w:ascii="Times New Roman" w:hAnsi="Times New Roman"/>
          <w:color w:val="000000"/>
          <w:sz w:val="24"/>
          <w:szCs w:val="24"/>
          <w:lang w:val="sr-Cyrl-CS"/>
        </w:rPr>
        <w:t>saw) и</w:t>
      </w:r>
      <w:r w:rsidR="006F26AF" w:rsidRPr="006F26AF">
        <w:rPr>
          <w:rFonts w:ascii="Times New Roman" w:hAnsi="Times New Roman"/>
          <w:color w:val="000000"/>
          <w:sz w:val="24"/>
          <w:szCs w:val="24"/>
          <w:lang w:val="sr-Cyrl-CS"/>
        </w:rPr>
        <w:t xml:space="preserve"> CPB (Cent</w:t>
      </w:r>
      <w:r w:rsidR="006F26AF">
        <w:rPr>
          <w:rFonts w:ascii="Times New Roman" w:hAnsi="Times New Roman"/>
          <w:color w:val="000000"/>
          <w:sz w:val="24"/>
          <w:szCs w:val="24"/>
          <w:lang w:val="sr-Cyrl-CS"/>
        </w:rPr>
        <w:t xml:space="preserve">ral Planning Bureau, The Hague). Циљ овог </w:t>
      </w:r>
      <w:r w:rsidR="006F26AF">
        <w:rPr>
          <w:rFonts w:ascii="Times New Roman" w:hAnsi="Times New Roman"/>
          <w:color w:val="000000"/>
          <w:sz w:val="24"/>
          <w:szCs w:val="24"/>
          <w:lang w:val="sr-Cyrl-CS"/>
        </w:rPr>
        <w:lastRenderedPageBreak/>
        <w:t>истраживања је да помогне да се боље разумеју трендови у области ПДВ-а</w:t>
      </w:r>
      <w:r w:rsidR="00B4419B">
        <w:rPr>
          <w:rFonts w:ascii="Times New Roman" w:hAnsi="Times New Roman"/>
          <w:color w:val="000000"/>
          <w:sz w:val="24"/>
          <w:szCs w:val="24"/>
          <w:lang w:val="sr-Cyrl-CS"/>
        </w:rPr>
        <w:t>.</w:t>
      </w:r>
      <w:r w:rsidR="001D076A">
        <w:rPr>
          <w:rFonts w:ascii="Times New Roman" w:hAnsi="Times New Roman"/>
          <w:color w:val="000000"/>
          <w:sz w:val="24"/>
          <w:szCs w:val="24"/>
          <w:lang w:val="sr-Cyrl-CS"/>
        </w:rPr>
        <w:t xml:space="preserve"> У табели која следи су приказани ПДВ приходи за период од 2005. до 2011. године.</w:t>
      </w:r>
      <w:r w:rsidR="00B4419B">
        <w:rPr>
          <w:rStyle w:val="FootnoteReference"/>
          <w:rFonts w:ascii="Times New Roman" w:hAnsi="Times New Roman"/>
          <w:color w:val="000000"/>
          <w:sz w:val="24"/>
          <w:szCs w:val="24"/>
          <w:lang w:val="sr-Cyrl-CS"/>
        </w:rPr>
        <w:footnoteReference w:id="342"/>
      </w:r>
      <w:r w:rsidR="006F26AF">
        <w:rPr>
          <w:rFonts w:ascii="Times New Roman" w:hAnsi="Times New Roman"/>
          <w:color w:val="000000"/>
          <w:sz w:val="24"/>
          <w:szCs w:val="24"/>
          <w:lang w:val="sr-Cyrl-CS"/>
        </w:rPr>
        <w:t xml:space="preserve"> </w:t>
      </w:r>
    </w:p>
    <w:p w:rsidR="002675A4" w:rsidRPr="002675A4" w:rsidRDefault="00A74A8E" w:rsidP="002675A4">
      <w:pPr>
        <w:ind w:firstLine="360"/>
        <w:jc w:val="both"/>
        <w:rPr>
          <w:rFonts w:ascii="Times New Roman" w:hAnsi="Times New Roman"/>
          <w:b/>
          <w:color w:val="000000"/>
          <w:sz w:val="24"/>
          <w:szCs w:val="24"/>
        </w:rPr>
      </w:pPr>
      <w:r>
        <w:rPr>
          <w:rFonts w:ascii="Times New Roman" w:hAnsi="Times New Roman"/>
          <w:b/>
          <w:color w:val="000000"/>
          <w:sz w:val="24"/>
          <w:szCs w:val="24"/>
          <w:lang w:val="sr-Cyrl-CS"/>
        </w:rPr>
        <w:t>Табела 19</w:t>
      </w:r>
      <w:r w:rsidR="004D2866" w:rsidRPr="004D2866">
        <w:rPr>
          <w:rFonts w:ascii="Times New Roman" w:hAnsi="Times New Roman"/>
          <w:b/>
          <w:color w:val="000000"/>
          <w:sz w:val="24"/>
          <w:szCs w:val="24"/>
          <w:lang w:val="sr-Cyrl-CS"/>
        </w:rPr>
        <w:t xml:space="preserve">. </w:t>
      </w:r>
      <w:r w:rsidR="00FF1FC1" w:rsidRPr="004D2866">
        <w:rPr>
          <w:rFonts w:ascii="Times New Roman" w:hAnsi="Times New Roman"/>
          <w:b/>
          <w:color w:val="000000"/>
          <w:sz w:val="24"/>
          <w:szCs w:val="24"/>
          <w:lang w:val="sr-Cyrl-CS"/>
        </w:rPr>
        <w:t>ПДВ приходи за период 2005-2011 (ЕУР милион)</w:t>
      </w:r>
    </w:p>
    <w:p w:rsidR="00FF1FC1" w:rsidRDefault="00584BB7" w:rsidP="006D724E">
      <w:pPr>
        <w:pStyle w:val="NoSpacing"/>
        <w:rPr>
          <w:lang w:val="sr-Cyrl-CS"/>
        </w:rPr>
      </w:pPr>
      <w:r>
        <w:rPr>
          <w:lang w:val="sr-Cyrl-CS"/>
        </w:rPr>
        <w:t>____________________________________________________________________</w:t>
      </w:r>
      <w:r w:rsidR="000B0223">
        <w:rPr>
          <w:lang w:val="sr-Cyrl-CS"/>
        </w:rPr>
        <w:softHyphen/>
      </w:r>
      <w:r w:rsidR="000B0223">
        <w:rPr>
          <w:lang w:val="sr-Cyrl-CS"/>
        </w:rPr>
        <w:softHyphen/>
      </w:r>
      <w:r w:rsidR="000B0223">
        <w:rPr>
          <w:lang w:val="sr-Cyrl-CS"/>
        </w:rPr>
        <w:softHyphen/>
      </w:r>
      <w:r w:rsidR="000B0223">
        <w:rPr>
          <w:lang w:val="sr-Cyrl-CS"/>
        </w:rPr>
        <w:softHyphen/>
      </w:r>
      <w:r w:rsidR="000B0223">
        <w:rPr>
          <w:lang w:val="sr-Cyrl-CS"/>
        </w:rPr>
        <w:softHyphen/>
        <w:t>______</w:t>
      </w:r>
      <w:r w:rsidR="00FF1FC1">
        <w:rPr>
          <w:lang w:val="sr-Cyrl-CS"/>
        </w:rPr>
        <w:t xml:space="preserve">           </w:t>
      </w:r>
    </w:p>
    <w:p w:rsidR="006F26AF" w:rsidRDefault="00FF1FC1" w:rsidP="006D724E">
      <w:pPr>
        <w:pStyle w:val="NoSpacing"/>
        <w:jc w:val="both"/>
        <w:rPr>
          <w:sz w:val="16"/>
          <w:szCs w:val="16"/>
          <w:lang w:val="sr-Cyrl-CS"/>
        </w:rPr>
      </w:pPr>
      <w:r w:rsidRPr="00FF1FC1">
        <w:rPr>
          <w:sz w:val="16"/>
          <w:szCs w:val="16"/>
          <w:lang w:val="sr-Cyrl-CS"/>
        </w:rPr>
        <w:t>ЗЕМЉА ЧЛАНИЦА</w:t>
      </w:r>
      <w:r>
        <w:rPr>
          <w:sz w:val="16"/>
          <w:szCs w:val="16"/>
          <w:lang w:val="sr-Cyrl-CS"/>
        </w:rPr>
        <w:t xml:space="preserve">      </w:t>
      </w:r>
      <w:r w:rsidR="006F26AF" w:rsidRPr="00FF1FC1">
        <w:rPr>
          <w:sz w:val="16"/>
          <w:szCs w:val="16"/>
          <w:lang w:val="sr-Cyrl-CS"/>
        </w:rPr>
        <w:t xml:space="preserve">2005 </w:t>
      </w:r>
      <w:r>
        <w:rPr>
          <w:sz w:val="16"/>
          <w:szCs w:val="16"/>
          <w:lang w:val="sr-Cyrl-CS"/>
        </w:rPr>
        <w:t xml:space="preserve">              </w:t>
      </w:r>
      <w:r w:rsidR="006F26AF" w:rsidRPr="00FF1FC1">
        <w:rPr>
          <w:sz w:val="16"/>
          <w:szCs w:val="16"/>
          <w:lang w:val="sr-Cyrl-CS"/>
        </w:rPr>
        <w:t xml:space="preserve">2006 </w:t>
      </w:r>
      <w:r w:rsidRPr="00FF1FC1">
        <w:rPr>
          <w:sz w:val="16"/>
          <w:szCs w:val="16"/>
          <w:lang w:val="sr-Cyrl-CS"/>
        </w:rPr>
        <w:t xml:space="preserve"> </w:t>
      </w:r>
      <w:r>
        <w:rPr>
          <w:sz w:val="16"/>
          <w:szCs w:val="16"/>
          <w:lang w:val="sr-Cyrl-CS"/>
        </w:rPr>
        <w:t xml:space="preserve">              </w:t>
      </w:r>
      <w:r w:rsidR="006F26AF" w:rsidRPr="00FF1FC1">
        <w:rPr>
          <w:sz w:val="16"/>
          <w:szCs w:val="16"/>
          <w:lang w:val="sr-Cyrl-CS"/>
        </w:rPr>
        <w:t xml:space="preserve">2007 </w:t>
      </w:r>
      <w:r w:rsidRPr="00FF1FC1">
        <w:rPr>
          <w:sz w:val="16"/>
          <w:szCs w:val="16"/>
          <w:lang w:val="sr-Cyrl-CS"/>
        </w:rPr>
        <w:t xml:space="preserve"> </w:t>
      </w:r>
      <w:r>
        <w:rPr>
          <w:sz w:val="16"/>
          <w:szCs w:val="16"/>
          <w:lang w:val="sr-Cyrl-CS"/>
        </w:rPr>
        <w:t xml:space="preserve">               </w:t>
      </w:r>
      <w:r w:rsidR="006F26AF" w:rsidRPr="00FF1FC1">
        <w:rPr>
          <w:sz w:val="16"/>
          <w:szCs w:val="16"/>
          <w:lang w:val="sr-Cyrl-CS"/>
        </w:rPr>
        <w:t>2008</w:t>
      </w:r>
      <w:r w:rsidRPr="00FF1FC1">
        <w:rPr>
          <w:sz w:val="16"/>
          <w:szCs w:val="16"/>
          <w:lang w:val="sr-Cyrl-CS"/>
        </w:rPr>
        <w:t xml:space="preserve"> </w:t>
      </w:r>
      <w:r w:rsidR="006F26AF" w:rsidRPr="00FF1FC1">
        <w:rPr>
          <w:sz w:val="16"/>
          <w:szCs w:val="16"/>
          <w:lang w:val="sr-Cyrl-CS"/>
        </w:rPr>
        <w:t xml:space="preserve"> </w:t>
      </w:r>
      <w:r>
        <w:rPr>
          <w:sz w:val="16"/>
          <w:szCs w:val="16"/>
          <w:lang w:val="sr-Cyrl-CS"/>
        </w:rPr>
        <w:t xml:space="preserve">            </w:t>
      </w:r>
      <w:r w:rsidR="006F26AF" w:rsidRPr="00FF1FC1">
        <w:rPr>
          <w:sz w:val="16"/>
          <w:szCs w:val="16"/>
          <w:lang w:val="sr-Cyrl-CS"/>
        </w:rPr>
        <w:t xml:space="preserve">2009 </w:t>
      </w:r>
      <w:r w:rsidRPr="00FF1FC1">
        <w:rPr>
          <w:sz w:val="16"/>
          <w:szCs w:val="16"/>
          <w:lang w:val="sr-Cyrl-CS"/>
        </w:rPr>
        <w:t xml:space="preserve">  </w:t>
      </w:r>
      <w:r>
        <w:rPr>
          <w:sz w:val="16"/>
          <w:szCs w:val="16"/>
          <w:lang w:val="sr-Cyrl-CS"/>
        </w:rPr>
        <w:t xml:space="preserve">          </w:t>
      </w:r>
      <w:r w:rsidR="006F26AF" w:rsidRPr="00FF1FC1">
        <w:rPr>
          <w:sz w:val="16"/>
          <w:szCs w:val="16"/>
          <w:lang w:val="sr-Cyrl-CS"/>
        </w:rPr>
        <w:t xml:space="preserve">2010 </w:t>
      </w:r>
      <w:r w:rsidRPr="00FF1FC1">
        <w:rPr>
          <w:sz w:val="16"/>
          <w:szCs w:val="16"/>
          <w:lang w:val="sr-Cyrl-CS"/>
        </w:rPr>
        <w:t xml:space="preserve">    </w:t>
      </w:r>
      <w:r>
        <w:rPr>
          <w:sz w:val="16"/>
          <w:szCs w:val="16"/>
          <w:lang w:val="sr-Cyrl-CS"/>
        </w:rPr>
        <w:t xml:space="preserve">            </w:t>
      </w:r>
      <w:r w:rsidR="006F26AF" w:rsidRPr="00FF1FC1">
        <w:rPr>
          <w:sz w:val="16"/>
          <w:szCs w:val="16"/>
          <w:lang w:val="sr-Cyrl-CS"/>
        </w:rPr>
        <w:t xml:space="preserve">2011 </w:t>
      </w:r>
    </w:p>
    <w:p w:rsidR="00584BB7" w:rsidRPr="00FF1FC1" w:rsidRDefault="00584BB7" w:rsidP="006D724E">
      <w:pPr>
        <w:pStyle w:val="NoSpacing"/>
        <w:jc w:val="both"/>
        <w:rPr>
          <w:sz w:val="16"/>
          <w:szCs w:val="16"/>
          <w:lang w:val="sr-Cyrl-CS"/>
        </w:rPr>
      </w:pPr>
      <w:r>
        <w:rPr>
          <w:sz w:val="16"/>
          <w:szCs w:val="16"/>
          <w:lang w:val="sr-Cyrl-CS"/>
        </w:rPr>
        <w:t>________________________________________________________________________________________________</w:t>
      </w:r>
    </w:p>
    <w:p w:rsidR="00584BB7" w:rsidRDefault="00FF1FC1" w:rsidP="006D724E">
      <w:pPr>
        <w:pStyle w:val="NoSpacing"/>
        <w:jc w:val="both"/>
        <w:rPr>
          <w:sz w:val="16"/>
          <w:szCs w:val="16"/>
          <w:lang w:val="sr-Cyrl-CS"/>
        </w:rPr>
      </w:pPr>
      <w:r w:rsidRPr="00FF1FC1">
        <w:rPr>
          <w:sz w:val="16"/>
          <w:szCs w:val="16"/>
          <w:lang w:val="sr-Cyrl-CS"/>
        </w:rPr>
        <w:t>АУСТРИЈА</w:t>
      </w:r>
      <w:r w:rsidR="006F26AF" w:rsidRPr="00FF1FC1">
        <w:rPr>
          <w:sz w:val="16"/>
          <w:szCs w:val="16"/>
          <w:lang w:val="sr-Cyrl-CS"/>
        </w:rPr>
        <w:t xml:space="preserve"> </w:t>
      </w:r>
      <w:r w:rsidR="000472D2">
        <w:rPr>
          <w:sz w:val="16"/>
          <w:szCs w:val="16"/>
          <w:lang w:val="sr-Cyrl-CS"/>
        </w:rPr>
        <w:t xml:space="preserve">              </w:t>
      </w:r>
      <w:r w:rsidR="006F26AF" w:rsidRPr="00FF1FC1">
        <w:rPr>
          <w:sz w:val="16"/>
          <w:szCs w:val="16"/>
          <w:lang w:val="sr-Cyrl-CS"/>
        </w:rPr>
        <w:t xml:space="preserve">19 414 </w:t>
      </w:r>
      <w:r w:rsidR="00A06BC6">
        <w:rPr>
          <w:sz w:val="16"/>
          <w:szCs w:val="16"/>
          <w:lang w:val="sr-Cyrl-CS"/>
        </w:rPr>
        <w:t xml:space="preserve">           </w:t>
      </w:r>
      <w:r w:rsidR="006F26AF" w:rsidRPr="00FF1FC1">
        <w:rPr>
          <w:sz w:val="16"/>
          <w:szCs w:val="16"/>
          <w:lang w:val="sr-Cyrl-CS"/>
        </w:rPr>
        <w:t>19 735</w:t>
      </w:r>
      <w:r w:rsidR="00A06BC6">
        <w:rPr>
          <w:sz w:val="16"/>
          <w:szCs w:val="16"/>
          <w:lang w:val="sr-Cyrl-CS"/>
        </w:rPr>
        <w:t xml:space="preserve">              </w:t>
      </w:r>
      <w:r w:rsidR="006F26AF" w:rsidRPr="00FF1FC1">
        <w:rPr>
          <w:sz w:val="16"/>
          <w:szCs w:val="16"/>
          <w:lang w:val="sr-Cyrl-CS"/>
        </w:rPr>
        <w:t xml:space="preserve"> 20 970</w:t>
      </w:r>
      <w:r w:rsidR="00A06BC6">
        <w:rPr>
          <w:sz w:val="16"/>
          <w:szCs w:val="16"/>
          <w:lang w:val="sr-Cyrl-CS"/>
        </w:rPr>
        <w:t xml:space="preserve">             </w:t>
      </w:r>
      <w:r w:rsidR="006F26AF" w:rsidRPr="00FF1FC1">
        <w:rPr>
          <w:sz w:val="16"/>
          <w:szCs w:val="16"/>
          <w:lang w:val="sr-Cyrl-CS"/>
        </w:rPr>
        <w:t xml:space="preserve"> 21 935 </w:t>
      </w:r>
      <w:r w:rsidR="00A06BC6">
        <w:rPr>
          <w:sz w:val="16"/>
          <w:szCs w:val="16"/>
          <w:lang w:val="sr-Cyrl-CS"/>
        </w:rPr>
        <w:t xml:space="preserve">          </w:t>
      </w:r>
      <w:r w:rsidR="006F26AF" w:rsidRPr="00FF1FC1">
        <w:rPr>
          <w:sz w:val="16"/>
          <w:szCs w:val="16"/>
          <w:lang w:val="sr-Cyrl-CS"/>
        </w:rPr>
        <w:t xml:space="preserve">22 158 </w:t>
      </w:r>
      <w:r w:rsidR="00A06BC6">
        <w:rPr>
          <w:sz w:val="16"/>
          <w:szCs w:val="16"/>
          <w:lang w:val="sr-Cyrl-CS"/>
        </w:rPr>
        <w:t xml:space="preserve">          </w:t>
      </w:r>
      <w:r w:rsidR="006F26AF" w:rsidRPr="00FF1FC1">
        <w:rPr>
          <w:sz w:val="16"/>
          <w:szCs w:val="16"/>
          <w:lang w:val="sr-Cyrl-CS"/>
        </w:rPr>
        <w:t xml:space="preserve">22 735 </w:t>
      </w:r>
      <w:r w:rsidR="00A06BC6">
        <w:rPr>
          <w:sz w:val="16"/>
          <w:szCs w:val="16"/>
          <w:lang w:val="sr-Cyrl-CS"/>
        </w:rPr>
        <w:t xml:space="preserve">          </w:t>
      </w:r>
      <w:r w:rsidR="006F26AF" w:rsidRPr="00FF1FC1">
        <w:rPr>
          <w:sz w:val="16"/>
          <w:szCs w:val="16"/>
          <w:lang w:val="sr-Cyrl-CS"/>
        </w:rPr>
        <w:t>23 447</w:t>
      </w:r>
    </w:p>
    <w:p w:rsidR="006F26AF" w:rsidRPr="00FF1FC1" w:rsidRDefault="00584BB7" w:rsidP="006D724E">
      <w:pPr>
        <w:pStyle w:val="NoSpacing"/>
        <w:jc w:val="both"/>
        <w:rPr>
          <w:sz w:val="16"/>
          <w:szCs w:val="16"/>
          <w:lang w:val="sr-Cyrl-CS"/>
        </w:rPr>
      </w:pPr>
      <w:r>
        <w:rPr>
          <w:sz w:val="16"/>
          <w:szCs w:val="16"/>
          <w:lang w:val="sr-Cyrl-CS"/>
        </w:rPr>
        <w:t>________________________________________________________________________________________________</w:t>
      </w:r>
      <w:r w:rsidR="006F26AF" w:rsidRPr="00FF1FC1">
        <w:rPr>
          <w:sz w:val="16"/>
          <w:szCs w:val="16"/>
          <w:lang w:val="sr-Cyrl-CS"/>
        </w:rPr>
        <w:t xml:space="preserve"> </w:t>
      </w:r>
    </w:p>
    <w:p w:rsidR="00584BB7" w:rsidRDefault="00FF1FC1" w:rsidP="006D724E">
      <w:pPr>
        <w:pStyle w:val="NoSpacing"/>
        <w:jc w:val="both"/>
        <w:rPr>
          <w:sz w:val="16"/>
          <w:szCs w:val="16"/>
          <w:lang w:val="sr-Cyrl-CS"/>
        </w:rPr>
      </w:pPr>
      <w:r w:rsidRPr="00FF1FC1">
        <w:rPr>
          <w:sz w:val="16"/>
          <w:szCs w:val="16"/>
          <w:lang w:val="sr-Cyrl-CS"/>
        </w:rPr>
        <w:t>БЕЛГИЈА</w:t>
      </w:r>
      <w:r w:rsidR="006F26AF" w:rsidRPr="00FF1FC1">
        <w:rPr>
          <w:sz w:val="16"/>
          <w:szCs w:val="16"/>
          <w:lang w:val="sr-Cyrl-CS"/>
        </w:rPr>
        <w:t xml:space="preserve"> </w:t>
      </w:r>
      <w:r w:rsidR="000472D2">
        <w:rPr>
          <w:sz w:val="16"/>
          <w:szCs w:val="16"/>
          <w:lang w:val="sr-Cyrl-CS"/>
        </w:rPr>
        <w:t xml:space="preserve">                </w:t>
      </w:r>
      <w:r w:rsidR="006F26AF" w:rsidRPr="00FF1FC1">
        <w:rPr>
          <w:sz w:val="16"/>
          <w:szCs w:val="16"/>
          <w:lang w:val="sr-Cyrl-CS"/>
        </w:rPr>
        <w:t xml:space="preserve">21 362 </w:t>
      </w:r>
      <w:r w:rsidR="00A06BC6">
        <w:rPr>
          <w:sz w:val="16"/>
          <w:szCs w:val="16"/>
          <w:lang w:val="sr-Cyrl-CS"/>
        </w:rPr>
        <w:t xml:space="preserve">            </w:t>
      </w:r>
      <w:r w:rsidR="006F26AF" w:rsidRPr="00FF1FC1">
        <w:rPr>
          <w:sz w:val="16"/>
          <w:szCs w:val="16"/>
          <w:lang w:val="sr-Cyrl-CS"/>
        </w:rPr>
        <w:t xml:space="preserve">22 569 </w:t>
      </w:r>
      <w:r w:rsidR="00A06BC6">
        <w:rPr>
          <w:sz w:val="16"/>
          <w:szCs w:val="16"/>
          <w:lang w:val="sr-Cyrl-CS"/>
        </w:rPr>
        <w:t xml:space="preserve">            </w:t>
      </w:r>
      <w:r w:rsidR="000472D2">
        <w:rPr>
          <w:sz w:val="16"/>
          <w:szCs w:val="16"/>
          <w:lang w:val="sr-Cyrl-CS"/>
        </w:rPr>
        <w:t xml:space="preserve"> </w:t>
      </w:r>
      <w:r w:rsidR="006F26AF" w:rsidRPr="00FF1FC1">
        <w:rPr>
          <w:sz w:val="16"/>
          <w:szCs w:val="16"/>
          <w:lang w:val="sr-Cyrl-CS"/>
        </w:rPr>
        <w:t xml:space="preserve">23 908 </w:t>
      </w:r>
      <w:r w:rsidR="00A06BC6">
        <w:rPr>
          <w:sz w:val="16"/>
          <w:szCs w:val="16"/>
          <w:lang w:val="sr-Cyrl-CS"/>
        </w:rPr>
        <w:t xml:space="preserve">              </w:t>
      </w:r>
      <w:r w:rsidR="006F26AF" w:rsidRPr="00FF1FC1">
        <w:rPr>
          <w:sz w:val="16"/>
          <w:szCs w:val="16"/>
          <w:lang w:val="sr-Cyrl-CS"/>
        </w:rPr>
        <w:t xml:space="preserve">24 126 </w:t>
      </w:r>
      <w:r w:rsidR="00A06BC6">
        <w:rPr>
          <w:sz w:val="16"/>
          <w:szCs w:val="16"/>
          <w:lang w:val="sr-Cyrl-CS"/>
        </w:rPr>
        <w:t xml:space="preserve">          </w:t>
      </w:r>
      <w:r w:rsidR="006F26AF" w:rsidRPr="00FF1FC1">
        <w:rPr>
          <w:sz w:val="16"/>
          <w:szCs w:val="16"/>
          <w:lang w:val="sr-Cyrl-CS"/>
        </w:rPr>
        <w:t xml:space="preserve">23 600 </w:t>
      </w:r>
      <w:r w:rsidR="000472D2">
        <w:rPr>
          <w:sz w:val="16"/>
          <w:szCs w:val="16"/>
          <w:lang w:val="sr-Cyrl-CS"/>
        </w:rPr>
        <w:t xml:space="preserve">         </w:t>
      </w:r>
      <w:r w:rsidR="006F26AF" w:rsidRPr="00FF1FC1">
        <w:rPr>
          <w:sz w:val="16"/>
          <w:szCs w:val="16"/>
          <w:lang w:val="sr-Cyrl-CS"/>
        </w:rPr>
        <w:t xml:space="preserve">25 230 </w:t>
      </w:r>
      <w:r w:rsidR="00A06BC6">
        <w:rPr>
          <w:sz w:val="16"/>
          <w:szCs w:val="16"/>
          <w:lang w:val="sr-Cyrl-CS"/>
        </w:rPr>
        <w:t xml:space="preserve">           </w:t>
      </w:r>
      <w:r w:rsidR="006F26AF" w:rsidRPr="00FF1FC1">
        <w:rPr>
          <w:sz w:val="16"/>
          <w:szCs w:val="16"/>
          <w:lang w:val="sr-Cyrl-CS"/>
        </w:rPr>
        <w:t>26 021</w:t>
      </w:r>
    </w:p>
    <w:p w:rsidR="006F26AF" w:rsidRPr="00FF1FC1" w:rsidRDefault="00584BB7" w:rsidP="006D724E">
      <w:pPr>
        <w:pStyle w:val="NoSpacing"/>
        <w:jc w:val="both"/>
        <w:rPr>
          <w:sz w:val="16"/>
          <w:szCs w:val="16"/>
          <w:lang w:val="sr-Cyrl-CS"/>
        </w:rPr>
      </w:pPr>
      <w:r>
        <w:rPr>
          <w:sz w:val="16"/>
          <w:szCs w:val="16"/>
          <w:lang w:val="sr-Cyrl-CS"/>
        </w:rPr>
        <w:t>________________________________________________________________________________________________</w:t>
      </w:r>
      <w:r w:rsidR="006F26AF" w:rsidRPr="00FF1FC1">
        <w:rPr>
          <w:sz w:val="16"/>
          <w:szCs w:val="16"/>
          <w:lang w:val="sr-Cyrl-CS"/>
        </w:rPr>
        <w:t xml:space="preserve"> </w:t>
      </w:r>
    </w:p>
    <w:p w:rsidR="006F26AF" w:rsidRDefault="00FF1FC1" w:rsidP="006D724E">
      <w:pPr>
        <w:pStyle w:val="NoSpacing"/>
        <w:jc w:val="both"/>
        <w:rPr>
          <w:sz w:val="16"/>
          <w:szCs w:val="16"/>
          <w:lang w:val="sr-Cyrl-CS"/>
        </w:rPr>
      </w:pPr>
      <w:r w:rsidRPr="00FF1FC1">
        <w:rPr>
          <w:sz w:val="16"/>
          <w:szCs w:val="16"/>
          <w:lang w:val="sr-Cyrl-CS"/>
        </w:rPr>
        <w:t>БУГАРСКА</w:t>
      </w:r>
      <w:r w:rsidR="006F26AF" w:rsidRPr="00FF1FC1">
        <w:rPr>
          <w:sz w:val="16"/>
          <w:szCs w:val="16"/>
          <w:lang w:val="sr-Cyrl-CS"/>
        </w:rPr>
        <w:t xml:space="preserve"> </w:t>
      </w:r>
      <w:r w:rsidR="000472D2">
        <w:rPr>
          <w:sz w:val="16"/>
          <w:szCs w:val="16"/>
          <w:lang w:val="sr-Cyrl-CS"/>
        </w:rPr>
        <w:t xml:space="preserve">             </w:t>
      </w:r>
      <w:r w:rsidR="00A06BC6">
        <w:rPr>
          <w:sz w:val="16"/>
          <w:szCs w:val="16"/>
          <w:lang w:val="sr-Cyrl-CS"/>
        </w:rPr>
        <w:t xml:space="preserve"> </w:t>
      </w:r>
      <w:r w:rsidR="006F26AF" w:rsidRPr="00FF1FC1">
        <w:rPr>
          <w:sz w:val="16"/>
          <w:szCs w:val="16"/>
          <w:lang w:val="sr-Cyrl-CS"/>
        </w:rPr>
        <w:t>2 378</w:t>
      </w:r>
      <w:r w:rsidR="000472D2">
        <w:rPr>
          <w:sz w:val="16"/>
          <w:szCs w:val="16"/>
          <w:lang w:val="sr-Cyrl-CS"/>
        </w:rPr>
        <w:t xml:space="preserve">               </w:t>
      </w:r>
      <w:r w:rsidR="006F26AF" w:rsidRPr="00FF1FC1">
        <w:rPr>
          <w:sz w:val="16"/>
          <w:szCs w:val="16"/>
          <w:lang w:val="sr-Cyrl-CS"/>
        </w:rPr>
        <w:t xml:space="preserve">2 835 </w:t>
      </w:r>
      <w:r w:rsidR="00A06BC6">
        <w:rPr>
          <w:sz w:val="16"/>
          <w:szCs w:val="16"/>
          <w:lang w:val="sr-Cyrl-CS"/>
        </w:rPr>
        <w:t xml:space="preserve">              </w:t>
      </w:r>
      <w:r w:rsidR="000472D2">
        <w:rPr>
          <w:sz w:val="16"/>
          <w:szCs w:val="16"/>
          <w:lang w:val="sr-Cyrl-CS"/>
        </w:rPr>
        <w:t xml:space="preserve"> </w:t>
      </w:r>
      <w:r w:rsidR="006F26AF" w:rsidRPr="00FF1FC1">
        <w:rPr>
          <w:sz w:val="16"/>
          <w:szCs w:val="16"/>
          <w:lang w:val="sr-Cyrl-CS"/>
        </w:rPr>
        <w:t xml:space="preserve">3 190 </w:t>
      </w:r>
      <w:r w:rsidR="000472D2">
        <w:rPr>
          <w:sz w:val="16"/>
          <w:szCs w:val="16"/>
          <w:lang w:val="sr-Cyrl-CS"/>
        </w:rPr>
        <w:t xml:space="preserve">                 </w:t>
      </w:r>
      <w:r w:rsidR="006F26AF" w:rsidRPr="00FF1FC1">
        <w:rPr>
          <w:sz w:val="16"/>
          <w:szCs w:val="16"/>
          <w:lang w:val="sr-Cyrl-CS"/>
        </w:rPr>
        <w:t xml:space="preserve">3 862 </w:t>
      </w:r>
      <w:r w:rsidR="00A06BC6">
        <w:rPr>
          <w:sz w:val="16"/>
          <w:szCs w:val="16"/>
          <w:lang w:val="sr-Cyrl-CS"/>
        </w:rPr>
        <w:t xml:space="preserve">           </w:t>
      </w:r>
      <w:r w:rsidR="000472D2">
        <w:rPr>
          <w:sz w:val="16"/>
          <w:szCs w:val="16"/>
          <w:lang w:val="sr-Cyrl-CS"/>
        </w:rPr>
        <w:t xml:space="preserve"> </w:t>
      </w:r>
      <w:r w:rsidR="00A06BC6">
        <w:rPr>
          <w:sz w:val="16"/>
          <w:szCs w:val="16"/>
          <w:lang w:val="sr-Cyrl-CS"/>
        </w:rPr>
        <w:t xml:space="preserve"> </w:t>
      </w:r>
      <w:r w:rsidR="006F26AF" w:rsidRPr="00FF1FC1">
        <w:rPr>
          <w:sz w:val="16"/>
          <w:szCs w:val="16"/>
          <w:lang w:val="sr-Cyrl-CS"/>
        </w:rPr>
        <w:t xml:space="preserve">3 156 </w:t>
      </w:r>
      <w:r w:rsidR="000472D2">
        <w:rPr>
          <w:sz w:val="16"/>
          <w:szCs w:val="16"/>
          <w:lang w:val="sr-Cyrl-CS"/>
        </w:rPr>
        <w:t xml:space="preserve">           </w:t>
      </w:r>
      <w:r w:rsidR="006F26AF" w:rsidRPr="00FF1FC1">
        <w:rPr>
          <w:sz w:val="16"/>
          <w:szCs w:val="16"/>
          <w:lang w:val="sr-Cyrl-CS"/>
        </w:rPr>
        <w:t xml:space="preserve">3 299 </w:t>
      </w:r>
      <w:r w:rsidR="00A06BC6">
        <w:rPr>
          <w:sz w:val="16"/>
          <w:szCs w:val="16"/>
          <w:lang w:val="sr-Cyrl-CS"/>
        </w:rPr>
        <w:t xml:space="preserve">         </w:t>
      </w:r>
      <w:r w:rsidR="000472D2">
        <w:rPr>
          <w:sz w:val="16"/>
          <w:szCs w:val="16"/>
          <w:lang w:val="sr-Cyrl-CS"/>
        </w:rPr>
        <w:t xml:space="preserve">  </w:t>
      </w:r>
      <w:r w:rsidR="00A06BC6">
        <w:rPr>
          <w:sz w:val="16"/>
          <w:szCs w:val="16"/>
          <w:lang w:val="sr-Cyrl-CS"/>
        </w:rPr>
        <w:t xml:space="preserve">  </w:t>
      </w:r>
      <w:r w:rsidR="006F26AF" w:rsidRPr="00FF1FC1">
        <w:rPr>
          <w:sz w:val="16"/>
          <w:szCs w:val="16"/>
          <w:lang w:val="sr-Cyrl-CS"/>
        </w:rPr>
        <w:t xml:space="preserve">3 352 </w:t>
      </w:r>
    </w:p>
    <w:p w:rsidR="00584BB7" w:rsidRPr="00FF1FC1" w:rsidRDefault="00584BB7" w:rsidP="006D724E">
      <w:pPr>
        <w:pStyle w:val="NoSpacing"/>
        <w:jc w:val="both"/>
        <w:rPr>
          <w:sz w:val="16"/>
          <w:szCs w:val="16"/>
          <w:lang w:val="sr-Cyrl-CS"/>
        </w:rPr>
      </w:pPr>
      <w:r>
        <w:rPr>
          <w:sz w:val="16"/>
          <w:szCs w:val="16"/>
          <w:lang w:val="sr-Cyrl-CS"/>
        </w:rPr>
        <w:t>________________________________________________________________________________________________</w:t>
      </w:r>
    </w:p>
    <w:p w:rsidR="006F26AF" w:rsidRDefault="00FF1FC1" w:rsidP="006D724E">
      <w:pPr>
        <w:pStyle w:val="NoSpacing"/>
        <w:jc w:val="both"/>
        <w:rPr>
          <w:sz w:val="16"/>
          <w:szCs w:val="16"/>
          <w:lang w:val="sr-Cyrl-CS"/>
        </w:rPr>
      </w:pPr>
      <w:r w:rsidRPr="00FF1FC1">
        <w:rPr>
          <w:sz w:val="16"/>
          <w:szCs w:val="16"/>
          <w:lang w:val="sr-Cyrl-CS"/>
        </w:rPr>
        <w:t xml:space="preserve">ЧЕШКА </w:t>
      </w:r>
      <w:r w:rsidR="006F26AF" w:rsidRPr="00FF1FC1">
        <w:rPr>
          <w:sz w:val="16"/>
          <w:szCs w:val="16"/>
          <w:lang w:val="sr-Cyrl-CS"/>
        </w:rPr>
        <w:t xml:space="preserve"> </w:t>
      </w:r>
      <w:r w:rsidR="000472D2">
        <w:rPr>
          <w:sz w:val="16"/>
          <w:szCs w:val="16"/>
          <w:lang w:val="sr-Cyrl-CS"/>
        </w:rPr>
        <w:t xml:space="preserve">                 </w:t>
      </w:r>
      <w:r w:rsidR="006F26AF" w:rsidRPr="00FF1FC1">
        <w:rPr>
          <w:sz w:val="16"/>
          <w:szCs w:val="16"/>
          <w:lang w:val="sr-Cyrl-CS"/>
        </w:rPr>
        <w:t>7 223</w:t>
      </w:r>
      <w:r w:rsidR="00A06BC6">
        <w:rPr>
          <w:sz w:val="16"/>
          <w:szCs w:val="16"/>
          <w:lang w:val="sr-Cyrl-CS"/>
        </w:rPr>
        <w:t xml:space="preserve">             </w:t>
      </w:r>
      <w:r w:rsidR="000472D2">
        <w:rPr>
          <w:sz w:val="16"/>
          <w:szCs w:val="16"/>
          <w:lang w:val="sr-Cyrl-CS"/>
        </w:rPr>
        <w:t xml:space="preserve">  </w:t>
      </w:r>
      <w:r w:rsidR="006F26AF" w:rsidRPr="00FF1FC1">
        <w:rPr>
          <w:sz w:val="16"/>
          <w:szCs w:val="16"/>
          <w:lang w:val="sr-Cyrl-CS"/>
        </w:rPr>
        <w:t xml:space="preserve"> 7 541</w:t>
      </w:r>
      <w:r w:rsidR="00A06BC6">
        <w:rPr>
          <w:sz w:val="16"/>
          <w:szCs w:val="16"/>
          <w:lang w:val="sr-Cyrl-CS"/>
        </w:rPr>
        <w:t xml:space="preserve">              </w:t>
      </w:r>
      <w:r w:rsidR="006F26AF" w:rsidRPr="00FF1FC1">
        <w:rPr>
          <w:sz w:val="16"/>
          <w:szCs w:val="16"/>
          <w:lang w:val="sr-Cyrl-CS"/>
        </w:rPr>
        <w:t xml:space="preserve"> </w:t>
      </w:r>
      <w:r w:rsidR="000472D2">
        <w:rPr>
          <w:sz w:val="16"/>
          <w:szCs w:val="16"/>
          <w:lang w:val="sr-Cyrl-CS"/>
        </w:rPr>
        <w:t xml:space="preserve"> </w:t>
      </w:r>
      <w:r w:rsidR="006F26AF" w:rsidRPr="00FF1FC1">
        <w:rPr>
          <w:sz w:val="16"/>
          <w:szCs w:val="16"/>
          <w:lang w:val="sr-Cyrl-CS"/>
        </w:rPr>
        <w:t xml:space="preserve">8 366 </w:t>
      </w:r>
      <w:r w:rsidR="000472D2">
        <w:rPr>
          <w:sz w:val="16"/>
          <w:szCs w:val="16"/>
          <w:lang w:val="sr-Cyrl-CS"/>
        </w:rPr>
        <w:t xml:space="preserve">               </w:t>
      </w:r>
      <w:r w:rsidR="006F26AF" w:rsidRPr="00FF1FC1">
        <w:rPr>
          <w:sz w:val="16"/>
          <w:szCs w:val="16"/>
          <w:lang w:val="sr-Cyrl-CS"/>
        </w:rPr>
        <w:t xml:space="preserve">10 437 </w:t>
      </w:r>
      <w:r w:rsidR="00A06BC6">
        <w:rPr>
          <w:sz w:val="16"/>
          <w:szCs w:val="16"/>
          <w:lang w:val="sr-Cyrl-CS"/>
        </w:rPr>
        <w:t xml:space="preserve">           </w:t>
      </w:r>
      <w:r w:rsidR="000472D2">
        <w:rPr>
          <w:sz w:val="16"/>
          <w:szCs w:val="16"/>
          <w:lang w:val="sr-Cyrl-CS"/>
        </w:rPr>
        <w:t xml:space="preserve">  </w:t>
      </w:r>
      <w:r w:rsidR="006F26AF" w:rsidRPr="00FF1FC1">
        <w:rPr>
          <w:sz w:val="16"/>
          <w:szCs w:val="16"/>
          <w:lang w:val="sr-Cyrl-CS"/>
        </w:rPr>
        <w:t>9 784</w:t>
      </w:r>
      <w:r w:rsidR="000472D2">
        <w:rPr>
          <w:sz w:val="16"/>
          <w:szCs w:val="16"/>
          <w:lang w:val="sr-Cyrl-CS"/>
        </w:rPr>
        <w:t xml:space="preserve">         </w:t>
      </w:r>
      <w:r w:rsidR="006F26AF" w:rsidRPr="00FF1FC1">
        <w:rPr>
          <w:sz w:val="16"/>
          <w:szCs w:val="16"/>
          <w:lang w:val="sr-Cyrl-CS"/>
        </w:rPr>
        <w:t xml:space="preserve"> 10 420 </w:t>
      </w:r>
      <w:r w:rsidR="00A06BC6">
        <w:rPr>
          <w:sz w:val="16"/>
          <w:szCs w:val="16"/>
          <w:lang w:val="sr-Cyrl-CS"/>
        </w:rPr>
        <w:t xml:space="preserve">        </w:t>
      </w:r>
      <w:r w:rsidR="000472D2">
        <w:rPr>
          <w:sz w:val="16"/>
          <w:szCs w:val="16"/>
          <w:lang w:val="sr-Cyrl-CS"/>
        </w:rPr>
        <w:t xml:space="preserve">    </w:t>
      </w:r>
      <w:r w:rsidR="006F26AF" w:rsidRPr="00FF1FC1">
        <w:rPr>
          <w:sz w:val="16"/>
          <w:szCs w:val="16"/>
          <w:lang w:val="sr-Cyrl-CS"/>
        </w:rPr>
        <w:t xml:space="preserve">10 994 </w:t>
      </w:r>
    </w:p>
    <w:p w:rsidR="00584BB7" w:rsidRPr="00FF1FC1" w:rsidRDefault="00584BB7" w:rsidP="006D724E">
      <w:pPr>
        <w:pStyle w:val="NoSpacing"/>
        <w:jc w:val="both"/>
        <w:rPr>
          <w:sz w:val="16"/>
          <w:szCs w:val="16"/>
          <w:lang w:val="sr-Cyrl-CS"/>
        </w:rPr>
      </w:pPr>
      <w:r>
        <w:rPr>
          <w:sz w:val="16"/>
          <w:szCs w:val="16"/>
          <w:lang w:val="sr-Cyrl-CS"/>
        </w:rPr>
        <w:t>_______________________________________________________________________________________________</w:t>
      </w:r>
      <w:r w:rsidR="000B0223">
        <w:rPr>
          <w:sz w:val="16"/>
          <w:szCs w:val="16"/>
          <w:lang w:val="sr-Cyrl-CS"/>
        </w:rPr>
        <w:t>_</w:t>
      </w:r>
    </w:p>
    <w:p w:rsidR="006F26AF" w:rsidRDefault="00FF1FC1" w:rsidP="006D724E">
      <w:pPr>
        <w:pStyle w:val="NoSpacing"/>
        <w:jc w:val="both"/>
        <w:rPr>
          <w:sz w:val="16"/>
          <w:szCs w:val="16"/>
          <w:lang w:val="sr-Cyrl-CS"/>
        </w:rPr>
      </w:pPr>
      <w:r w:rsidRPr="00FF1FC1">
        <w:rPr>
          <w:sz w:val="16"/>
          <w:szCs w:val="16"/>
          <w:lang w:val="sr-Cyrl-CS"/>
        </w:rPr>
        <w:t>ДАНСКА</w:t>
      </w:r>
      <w:r w:rsidR="006F26AF" w:rsidRPr="00FF1FC1">
        <w:rPr>
          <w:sz w:val="16"/>
          <w:szCs w:val="16"/>
          <w:lang w:val="sr-Cyrl-CS"/>
        </w:rPr>
        <w:t xml:space="preserve"> </w:t>
      </w:r>
      <w:r w:rsidR="000472D2">
        <w:rPr>
          <w:sz w:val="16"/>
          <w:szCs w:val="16"/>
          <w:lang w:val="sr-Cyrl-CS"/>
        </w:rPr>
        <w:t xml:space="preserve">               </w:t>
      </w:r>
      <w:r w:rsidR="00A06BC6">
        <w:rPr>
          <w:sz w:val="16"/>
          <w:szCs w:val="16"/>
          <w:lang w:val="sr-Cyrl-CS"/>
        </w:rPr>
        <w:t xml:space="preserve"> </w:t>
      </w:r>
      <w:r w:rsidR="006F26AF" w:rsidRPr="00FF1FC1">
        <w:rPr>
          <w:sz w:val="16"/>
          <w:szCs w:val="16"/>
          <w:lang w:val="sr-Cyrl-CS"/>
        </w:rPr>
        <w:t xml:space="preserve">20 862 </w:t>
      </w:r>
      <w:r w:rsidR="00A06BC6">
        <w:rPr>
          <w:sz w:val="16"/>
          <w:szCs w:val="16"/>
          <w:lang w:val="sr-Cyrl-CS"/>
        </w:rPr>
        <w:t xml:space="preserve">          </w:t>
      </w:r>
      <w:r w:rsidR="000472D2">
        <w:rPr>
          <w:sz w:val="16"/>
          <w:szCs w:val="16"/>
          <w:lang w:val="sr-Cyrl-CS"/>
        </w:rPr>
        <w:t xml:space="preserve">  </w:t>
      </w:r>
      <w:r w:rsidR="00A06BC6">
        <w:rPr>
          <w:sz w:val="16"/>
          <w:szCs w:val="16"/>
          <w:lang w:val="sr-Cyrl-CS"/>
        </w:rPr>
        <w:t xml:space="preserve"> </w:t>
      </w:r>
      <w:r w:rsidR="006F26AF" w:rsidRPr="00FF1FC1">
        <w:rPr>
          <w:sz w:val="16"/>
          <w:szCs w:val="16"/>
          <w:lang w:val="sr-Cyrl-CS"/>
        </w:rPr>
        <w:t xml:space="preserve">22 560 </w:t>
      </w:r>
      <w:r w:rsidR="00A06BC6">
        <w:rPr>
          <w:sz w:val="16"/>
          <w:szCs w:val="16"/>
          <w:lang w:val="sr-Cyrl-CS"/>
        </w:rPr>
        <w:t xml:space="preserve">            </w:t>
      </w:r>
      <w:r w:rsidR="006F26AF" w:rsidRPr="00FF1FC1">
        <w:rPr>
          <w:sz w:val="16"/>
          <w:szCs w:val="16"/>
          <w:lang w:val="sr-Cyrl-CS"/>
        </w:rPr>
        <w:t xml:space="preserve">23 638 </w:t>
      </w:r>
      <w:r w:rsidR="000472D2">
        <w:rPr>
          <w:sz w:val="16"/>
          <w:szCs w:val="16"/>
          <w:lang w:val="sr-Cyrl-CS"/>
        </w:rPr>
        <w:t xml:space="preserve">            </w:t>
      </w:r>
      <w:r w:rsidR="00A06BC6">
        <w:rPr>
          <w:sz w:val="16"/>
          <w:szCs w:val="16"/>
          <w:lang w:val="sr-Cyrl-CS"/>
        </w:rPr>
        <w:t xml:space="preserve"> </w:t>
      </w:r>
      <w:r w:rsidR="000472D2">
        <w:rPr>
          <w:sz w:val="16"/>
          <w:szCs w:val="16"/>
          <w:lang w:val="sr-Cyrl-CS"/>
        </w:rPr>
        <w:t xml:space="preserve"> </w:t>
      </w:r>
      <w:r w:rsidR="006F26AF" w:rsidRPr="00FF1FC1">
        <w:rPr>
          <w:sz w:val="16"/>
          <w:szCs w:val="16"/>
          <w:lang w:val="sr-Cyrl-CS"/>
        </w:rPr>
        <w:t xml:space="preserve">23 635 </w:t>
      </w:r>
      <w:r w:rsidR="00A06BC6">
        <w:rPr>
          <w:sz w:val="16"/>
          <w:szCs w:val="16"/>
          <w:lang w:val="sr-Cyrl-CS"/>
        </w:rPr>
        <w:t xml:space="preserve">         </w:t>
      </w:r>
      <w:r w:rsidR="000472D2">
        <w:rPr>
          <w:sz w:val="16"/>
          <w:szCs w:val="16"/>
          <w:lang w:val="sr-Cyrl-CS"/>
        </w:rPr>
        <w:t xml:space="preserve">   </w:t>
      </w:r>
      <w:r w:rsidR="006F26AF" w:rsidRPr="00FF1FC1">
        <w:rPr>
          <w:sz w:val="16"/>
          <w:szCs w:val="16"/>
          <w:lang w:val="sr-Cyrl-CS"/>
        </w:rPr>
        <w:t xml:space="preserve">22 702 </w:t>
      </w:r>
      <w:r w:rsidR="000472D2">
        <w:rPr>
          <w:sz w:val="16"/>
          <w:szCs w:val="16"/>
          <w:lang w:val="sr-Cyrl-CS"/>
        </w:rPr>
        <w:t xml:space="preserve">        </w:t>
      </w:r>
      <w:r w:rsidR="00A06BC6">
        <w:rPr>
          <w:sz w:val="16"/>
          <w:szCs w:val="16"/>
          <w:lang w:val="sr-Cyrl-CS"/>
        </w:rPr>
        <w:t xml:space="preserve"> </w:t>
      </w:r>
      <w:r w:rsidR="006F26AF" w:rsidRPr="00FF1FC1">
        <w:rPr>
          <w:sz w:val="16"/>
          <w:szCs w:val="16"/>
          <w:lang w:val="sr-Cyrl-CS"/>
        </w:rPr>
        <w:t xml:space="preserve">23 245 </w:t>
      </w:r>
      <w:r w:rsidR="00A06BC6">
        <w:rPr>
          <w:sz w:val="16"/>
          <w:szCs w:val="16"/>
          <w:lang w:val="sr-Cyrl-CS"/>
        </w:rPr>
        <w:t xml:space="preserve">        </w:t>
      </w:r>
      <w:r w:rsidR="000472D2">
        <w:rPr>
          <w:sz w:val="16"/>
          <w:szCs w:val="16"/>
          <w:lang w:val="sr-Cyrl-CS"/>
        </w:rPr>
        <w:t xml:space="preserve">   </w:t>
      </w:r>
      <w:r w:rsidR="00A06BC6">
        <w:rPr>
          <w:sz w:val="16"/>
          <w:szCs w:val="16"/>
          <w:lang w:val="sr-Cyrl-CS"/>
        </w:rPr>
        <w:t xml:space="preserve"> </w:t>
      </w:r>
      <w:r w:rsidR="006F26AF" w:rsidRPr="00FF1FC1">
        <w:rPr>
          <w:sz w:val="16"/>
          <w:szCs w:val="16"/>
          <w:lang w:val="sr-Cyrl-CS"/>
        </w:rPr>
        <w:t xml:space="preserve">23 869 </w:t>
      </w:r>
    </w:p>
    <w:p w:rsidR="00584BB7" w:rsidRPr="00FF1FC1" w:rsidRDefault="00584BB7" w:rsidP="006D724E">
      <w:pPr>
        <w:pStyle w:val="NoSpacing"/>
        <w:jc w:val="both"/>
        <w:rPr>
          <w:sz w:val="16"/>
          <w:szCs w:val="16"/>
          <w:lang w:val="sr-Cyrl-CS"/>
        </w:rPr>
      </w:pPr>
      <w:r>
        <w:rPr>
          <w:sz w:val="16"/>
          <w:szCs w:val="16"/>
          <w:lang w:val="sr-Cyrl-CS"/>
        </w:rPr>
        <w:t>_______________________________________________________________________________________________</w:t>
      </w:r>
      <w:r w:rsidR="000B0223">
        <w:rPr>
          <w:sz w:val="16"/>
          <w:szCs w:val="16"/>
          <w:lang w:val="sr-Cyrl-CS"/>
        </w:rPr>
        <w:t>_</w:t>
      </w:r>
    </w:p>
    <w:p w:rsidR="006F26AF" w:rsidRDefault="00FF1FC1" w:rsidP="006D724E">
      <w:pPr>
        <w:pStyle w:val="NoSpacing"/>
        <w:jc w:val="both"/>
        <w:rPr>
          <w:sz w:val="16"/>
          <w:szCs w:val="16"/>
          <w:lang w:val="sr-Cyrl-CS"/>
        </w:rPr>
      </w:pPr>
      <w:r w:rsidRPr="00FF1FC1">
        <w:rPr>
          <w:sz w:val="16"/>
          <w:szCs w:val="16"/>
          <w:lang w:val="sr-Cyrl-CS"/>
        </w:rPr>
        <w:t>ЕСТОНИЈА</w:t>
      </w:r>
      <w:r w:rsidR="006F26AF" w:rsidRPr="00FF1FC1">
        <w:rPr>
          <w:sz w:val="16"/>
          <w:szCs w:val="16"/>
          <w:lang w:val="sr-Cyrl-CS"/>
        </w:rPr>
        <w:t xml:space="preserve"> </w:t>
      </w:r>
      <w:r w:rsidR="000472D2">
        <w:rPr>
          <w:sz w:val="16"/>
          <w:szCs w:val="16"/>
          <w:lang w:val="sr-Cyrl-CS"/>
        </w:rPr>
        <w:t xml:space="preserve">             </w:t>
      </w:r>
      <w:r w:rsidR="006F26AF" w:rsidRPr="00FF1FC1">
        <w:rPr>
          <w:sz w:val="16"/>
          <w:szCs w:val="16"/>
          <w:lang w:val="sr-Cyrl-CS"/>
        </w:rPr>
        <w:t xml:space="preserve">970 </w:t>
      </w:r>
      <w:r w:rsidR="00A06BC6">
        <w:rPr>
          <w:sz w:val="16"/>
          <w:szCs w:val="16"/>
          <w:lang w:val="sr-Cyrl-CS"/>
        </w:rPr>
        <w:t xml:space="preserve">                </w:t>
      </w:r>
      <w:r w:rsidR="000472D2">
        <w:rPr>
          <w:sz w:val="16"/>
          <w:szCs w:val="16"/>
          <w:lang w:val="sr-Cyrl-CS"/>
        </w:rPr>
        <w:t xml:space="preserve"> </w:t>
      </w:r>
      <w:r w:rsidR="006F26AF" w:rsidRPr="00FF1FC1">
        <w:rPr>
          <w:sz w:val="16"/>
          <w:szCs w:val="16"/>
          <w:lang w:val="sr-Cyrl-CS"/>
        </w:rPr>
        <w:t xml:space="preserve">1 215 </w:t>
      </w:r>
      <w:r w:rsidR="000472D2">
        <w:rPr>
          <w:sz w:val="16"/>
          <w:szCs w:val="16"/>
          <w:lang w:val="sr-Cyrl-CS"/>
        </w:rPr>
        <w:t xml:space="preserve">               </w:t>
      </w:r>
      <w:r w:rsidR="006F26AF" w:rsidRPr="00FF1FC1">
        <w:rPr>
          <w:sz w:val="16"/>
          <w:szCs w:val="16"/>
          <w:lang w:val="sr-Cyrl-CS"/>
        </w:rPr>
        <w:t xml:space="preserve">1 423 </w:t>
      </w:r>
      <w:r w:rsidR="00A06BC6">
        <w:rPr>
          <w:sz w:val="16"/>
          <w:szCs w:val="16"/>
          <w:lang w:val="sr-Cyrl-CS"/>
        </w:rPr>
        <w:t xml:space="preserve">                 </w:t>
      </w:r>
      <w:r w:rsidR="006F26AF" w:rsidRPr="00FF1FC1">
        <w:rPr>
          <w:sz w:val="16"/>
          <w:szCs w:val="16"/>
          <w:lang w:val="sr-Cyrl-CS"/>
        </w:rPr>
        <w:t>1 288</w:t>
      </w:r>
      <w:r w:rsidR="00A06BC6">
        <w:rPr>
          <w:sz w:val="16"/>
          <w:szCs w:val="16"/>
          <w:lang w:val="sr-Cyrl-CS"/>
        </w:rPr>
        <w:t xml:space="preserve">            </w:t>
      </w:r>
      <w:r w:rsidR="000472D2">
        <w:rPr>
          <w:sz w:val="16"/>
          <w:szCs w:val="16"/>
          <w:lang w:val="sr-Cyrl-CS"/>
        </w:rPr>
        <w:t xml:space="preserve">  </w:t>
      </w:r>
      <w:r w:rsidR="00A06BC6">
        <w:rPr>
          <w:sz w:val="16"/>
          <w:szCs w:val="16"/>
          <w:lang w:val="sr-Cyrl-CS"/>
        </w:rPr>
        <w:t xml:space="preserve"> </w:t>
      </w:r>
      <w:r w:rsidR="006F26AF" w:rsidRPr="00FF1FC1">
        <w:rPr>
          <w:sz w:val="16"/>
          <w:szCs w:val="16"/>
          <w:lang w:val="sr-Cyrl-CS"/>
        </w:rPr>
        <w:t xml:space="preserve"> 1 224 </w:t>
      </w:r>
      <w:r w:rsidR="000472D2">
        <w:rPr>
          <w:sz w:val="16"/>
          <w:szCs w:val="16"/>
          <w:lang w:val="sr-Cyrl-CS"/>
        </w:rPr>
        <w:t xml:space="preserve">           </w:t>
      </w:r>
      <w:r w:rsidR="006F26AF" w:rsidRPr="00FF1FC1">
        <w:rPr>
          <w:sz w:val="16"/>
          <w:szCs w:val="16"/>
          <w:lang w:val="sr-Cyrl-CS"/>
        </w:rPr>
        <w:t xml:space="preserve">1 257 </w:t>
      </w:r>
      <w:r w:rsidR="00A06BC6">
        <w:rPr>
          <w:sz w:val="16"/>
          <w:szCs w:val="16"/>
          <w:lang w:val="sr-Cyrl-CS"/>
        </w:rPr>
        <w:t xml:space="preserve">         </w:t>
      </w:r>
      <w:r w:rsidR="000472D2">
        <w:rPr>
          <w:sz w:val="16"/>
          <w:szCs w:val="16"/>
          <w:lang w:val="sr-Cyrl-CS"/>
        </w:rPr>
        <w:t xml:space="preserve">   </w:t>
      </w:r>
      <w:r w:rsidR="006F26AF" w:rsidRPr="00FF1FC1">
        <w:rPr>
          <w:sz w:val="16"/>
          <w:szCs w:val="16"/>
          <w:lang w:val="sr-Cyrl-CS"/>
        </w:rPr>
        <w:t xml:space="preserve">1 363 </w:t>
      </w:r>
    </w:p>
    <w:p w:rsidR="00584BB7" w:rsidRPr="00FF1FC1" w:rsidRDefault="00584BB7" w:rsidP="006D724E">
      <w:pPr>
        <w:pStyle w:val="NoSpacing"/>
        <w:jc w:val="both"/>
        <w:rPr>
          <w:sz w:val="16"/>
          <w:szCs w:val="16"/>
          <w:lang w:val="sr-Cyrl-CS"/>
        </w:rPr>
      </w:pPr>
      <w:r>
        <w:rPr>
          <w:sz w:val="16"/>
          <w:szCs w:val="16"/>
          <w:lang w:val="sr-Cyrl-CS"/>
        </w:rPr>
        <w:t>_______________________________________________________________________________________________</w:t>
      </w:r>
      <w:r w:rsidR="000B0223">
        <w:rPr>
          <w:sz w:val="16"/>
          <w:szCs w:val="16"/>
          <w:lang w:val="sr-Cyrl-CS"/>
        </w:rPr>
        <w:t>_</w:t>
      </w:r>
    </w:p>
    <w:p w:rsidR="006F26AF" w:rsidRDefault="00FF1FC1" w:rsidP="006D724E">
      <w:pPr>
        <w:pStyle w:val="NoSpacing"/>
        <w:jc w:val="both"/>
        <w:rPr>
          <w:sz w:val="16"/>
          <w:szCs w:val="16"/>
          <w:lang w:val="sr-Cyrl-CS"/>
        </w:rPr>
      </w:pPr>
      <w:r w:rsidRPr="00FF1FC1">
        <w:rPr>
          <w:sz w:val="16"/>
          <w:szCs w:val="16"/>
          <w:lang w:val="sr-Cyrl-CS"/>
        </w:rPr>
        <w:t>ФИНСКА</w:t>
      </w:r>
      <w:r w:rsidR="006F26AF" w:rsidRPr="00FF1FC1">
        <w:rPr>
          <w:sz w:val="16"/>
          <w:szCs w:val="16"/>
          <w:lang w:val="sr-Cyrl-CS"/>
        </w:rPr>
        <w:t xml:space="preserve"> </w:t>
      </w:r>
      <w:r w:rsidR="000472D2">
        <w:rPr>
          <w:sz w:val="16"/>
          <w:szCs w:val="16"/>
          <w:lang w:val="sr-Cyrl-CS"/>
        </w:rPr>
        <w:t xml:space="preserve">              </w:t>
      </w:r>
      <w:r w:rsidR="00A06BC6">
        <w:rPr>
          <w:sz w:val="16"/>
          <w:szCs w:val="16"/>
          <w:lang w:val="sr-Cyrl-CS"/>
        </w:rPr>
        <w:t xml:space="preserve"> </w:t>
      </w:r>
      <w:r w:rsidR="006F26AF" w:rsidRPr="00FF1FC1">
        <w:rPr>
          <w:sz w:val="16"/>
          <w:szCs w:val="16"/>
          <w:lang w:val="sr-Cyrl-CS"/>
        </w:rPr>
        <w:t xml:space="preserve">13 658 </w:t>
      </w:r>
      <w:r w:rsidR="000472D2">
        <w:rPr>
          <w:sz w:val="16"/>
          <w:szCs w:val="16"/>
          <w:lang w:val="sr-Cyrl-CS"/>
        </w:rPr>
        <w:t xml:space="preserve">            </w:t>
      </w:r>
      <w:r w:rsidR="006F26AF" w:rsidRPr="00FF1FC1">
        <w:rPr>
          <w:sz w:val="16"/>
          <w:szCs w:val="16"/>
          <w:lang w:val="sr-Cyrl-CS"/>
        </w:rPr>
        <w:t xml:space="preserve">14 418 </w:t>
      </w:r>
      <w:r w:rsidR="00A06BC6">
        <w:rPr>
          <w:sz w:val="16"/>
          <w:szCs w:val="16"/>
          <w:lang w:val="sr-Cyrl-CS"/>
        </w:rPr>
        <w:t xml:space="preserve">            </w:t>
      </w:r>
      <w:r w:rsidR="000472D2">
        <w:rPr>
          <w:sz w:val="16"/>
          <w:szCs w:val="16"/>
          <w:lang w:val="sr-Cyrl-CS"/>
        </w:rPr>
        <w:t xml:space="preserve"> </w:t>
      </w:r>
      <w:r w:rsidR="006F26AF" w:rsidRPr="00FF1FC1">
        <w:rPr>
          <w:sz w:val="16"/>
          <w:szCs w:val="16"/>
          <w:lang w:val="sr-Cyrl-CS"/>
        </w:rPr>
        <w:t xml:space="preserve">15 054 </w:t>
      </w:r>
      <w:r w:rsidR="00A06BC6">
        <w:rPr>
          <w:sz w:val="16"/>
          <w:szCs w:val="16"/>
          <w:lang w:val="sr-Cyrl-CS"/>
        </w:rPr>
        <w:t xml:space="preserve">              </w:t>
      </w:r>
      <w:r w:rsidR="006F26AF" w:rsidRPr="00FF1FC1">
        <w:rPr>
          <w:sz w:val="16"/>
          <w:szCs w:val="16"/>
          <w:lang w:val="sr-Cyrl-CS"/>
        </w:rPr>
        <w:t xml:space="preserve">15 511 </w:t>
      </w:r>
      <w:r w:rsidR="00A06BC6">
        <w:rPr>
          <w:sz w:val="16"/>
          <w:szCs w:val="16"/>
          <w:lang w:val="sr-Cyrl-CS"/>
        </w:rPr>
        <w:t xml:space="preserve">              </w:t>
      </w:r>
      <w:r w:rsidR="006F26AF" w:rsidRPr="00FF1FC1">
        <w:rPr>
          <w:sz w:val="16"/>
          <w:szCs w:val="16"/>
          <w:lang w:val="sr-Cyrl-CS"/>
        </w:rPr>
        <w:t xml:space="preserve">14 951 </w:t>
      </w:r>
      <w:r w:rsidR="000472D2">
        <w:rPr>
          <w:sz w:val="16"/>
          <w:szCs w:val="16"/>
          <w:lang w:val="sr-Cyrl-CS"/>
        </w:rPr>
        <w:t xml:space="preserve">        </w:t>
      </w:r>
      <w:r w:rsidR="006F26AF" w:rsidRPr="00FF1FC1">
        <w:rPr>
          <w:sz w:val="16"/>
          <w:szCs w:val="16"/>
          <w:lang w:val="sr-Cyrl-CS"/>
        </w:rPr>
        <w:t xml:space="preserve">15 256 </w:t>
      </w:r>
      <w:r w:rsidR="00A06BC6">
        <w:rPr>
          <w:sz w:val="16"/>
          <w:szCs w:val="16"/>
          <w:lang w:val="sr-Cyrl-CS"/>
        </w:rPr>
        <w:t xml:space="preserve">       </w:t>
      </w:r>
      <w:r w:rsidR="00711270">
        <w:rPr>
          <w:sz w:val="16"/>
          <w:szCs w:val="16"/>
          <w:lang w:val="sr-Cyrl-CS"/>
        </w:rPr>
        <w:t xml:space="preserve"> </w:t>
      </w:r>
      <w:r w:rsidR="000472D2">
        <w:rPr>
          <w:sz w:val="16"/>
          <w:szCs w:val="16"/>
          <w:lang w:val="sr-Cyrl-CS"/>
        </w:rPr>
        <w:t xml:space="preserve"> </w:t>
      </w:r>
      <w:r w:rsidR="006F26AF" w:rsidRPr="00FF1FC1">
        <w:rPr>
          <w:sz w:val="16"/>
          <w:szCs w:val="16"/>
          <w:lang w:val="sr-Cyrl-CS"/>
        </w:rPr>
        <w:t xml:space="preserve">16 915 </w:t>
      </w:r>
    </w:p>
    <w:p w:rsidR="00584BB7" w:rsidRPr="00FF1FC1" w:rsidRDefault="00584BB7" w:rsidP="006D724E">
      <w:pPr>
        <w:pStyle w:val="NoSpacing"/>
        <w:jc w:val="both"/>
        <w:rPr>
          <w:sz w:val="16"/>
          <w:szCs w:val="16"/>
          <w:lang w:val="sr-Cyrl-CS"/>
        </w:rPr>
      </w:pPr>
      <w:r>
        <w:rPr>
          <w:sz w:val="16"/>
          <w:szCs w:val="16"/>
          <w:lang w:val="sr-Cyrl-CS"/>
        </w:rPr>
        <w:t>________________________________________________________________________________________________</w:t>
      </w:r>
    </w:p>
    <w:p w:rsidR="00584BB7" w:rsidRDefault="00FF1FC1" w:rsidP="006D724E">
      <w:pPr>
        <w:pStyle w:val="NoSpacing"/>
        <w:jc w:val="both"/>
        <w:rPr>
          <w:sz w:val="16"/>
          <w:szCs w:val="16"/>
          <w:lang w:val="sr-Cyrl-CS"/>
        </w:rPr>
      </w:pPr>
      <w:r w:rsidRPr="00FF1FC1">
        <w:rPr>
          <w:sz w:val="16"/>
          <w:szCs w:val="16"/>
          <w:lang w:val="sr-Cyrl-CS"/>
        </w:rPr>
        <w:t>ФРАНЦУСКА</w:t>
      </w:r>
      <w:r w:rsidR="00A06BC6">
        <w:rPr>
          <w:sz w:val="16"/>
          <w:szCs w:val="16"/>
          <w:lang w:val="sr-Cyrl-CS"/>
        </w:rPr>
        <w:t xml:space="preserve">       </w:t>
      </w:r>
      <w:r w:rsidR="000472D2">
        <w:rPr>
          <w:sz w:val="16"/>
          <w:szCs w:val="16"/>
          <w:lang w:val="sr-Cyrl-CS"/>
        </w:rPr>
        <w:t xml:space="preserve">  </w:t>
      </w:r>
      <w:r w:rsidR="006F26AF" w:rsidRPr="00FF1FC1">
        <w:rPr>
          <w:sz w:val="16"/>
          <w:szCs w:val="16"/>
          <w:lang w:val="sr-Cyrl-CS"/>
        </w:rPr>
        <w:t xml:space="preserve"> 126 625 </w:t>
      </w:r>
      <w:r w:rsidR="000472D2">
        <w:rPr>
          <w:sz w:val="16"/>
          <w:szCs w:val="16"/>
          <w:lang w:val="sr-Cyrl-CS"/>
        </w:rPr>
        <w:t xml:space="preserve">          </w:t>
      </w:r>
      <w:r w:rsidR="00A06BC6">
        <w:rPr>
          <w:sz w:val="16"/>
          <w:szCs w:val="16"/>
          <w:lang w:val="sr-Cyrl-CS"/>
        </w:rPr>
        <w:t xml:space="preserve"> </w:t>
      </w:r>
      <w:r w:rsidR="006F26AF" w:rsidRPr="00FF1FC1">
        <w:rPr>
          <w:sz w:val="16"/>
          <w:szCs w:val="16"/>
          <w:lang w:val="sr-Cyrl-CS"/>
        </w:rPr>
        <w:t xml:space="preserve">131 693 </w:t>
      </w:r>
      <w:r w:rsidR="000472D2">
        <w:rPr>
          <w:sz w:val="16"/>
          <w:szCs w:val="16"/>
          <w:lang w:val="sr-Cyrl-CS"/>
        </w:rPr>
        <w:t xml:space="preserve">         </w:t>
      </w:r>
      <w:r w:rsidR="006F26AF" w:rsidRPr="00FF1FC1">
        <w:rPr>
          <w:sz w:val="16"/>
          <w:szCs w:val="16"/>
          <w:lang w:val="sr-Cyrl-CS"/>
        </w:rPr>
        <w:t xml:space="preserve">136 542 </w:t>
      </w:r>
      <w:r w:rsidR="00A06BC6">
        <w:rPr>
          <w:sz w:val="16"/>
          <w:szCs w:val="16"/>
          <w:lang w:val="sr-Cyrl-CS"/>
        </w:rPr>
        <w:t xml:space="preserve">           </w:t>
      </w:r>
      <w:r w:rsidR="006F26AF" w:rsidRPr="00FF1FC1">
        <w:rPr>
          <w:sz w:val="16"/>
          <w:szCs w:val="16"/>
          <w:lang w:val="sr-Cyrl-CS"/>
        </w:rPr>
        <w:t xml:space="preserve">137 736 </w:t>
      </w:r>
      <w:r w:rsidR="000472D2">
        <w:rPr>
          <w:sz w:val="16"/>
          <w:szCs w:val="16"/>
          <w:lang w:val="sr-Cyrl-CS"/>
        </w:rPr>
        <w:t xml:space="preserve">            </w:t>
      </w:r>
      <w:r w:rsidR="006F26AF" w:rsidRPr="00FF1FC1">
        <w:rPr>
          <w:sz w:val="16"/>
          <w:szCs w:val="16"/>
          <w:lang w:val="sr-Cyrl-CS"/>
        </w:rPr>
        <w:t xml:space="preserve">130 303 </w:t>
      </w:r>
      <w:r w:rsidR="00A06BC6">
        <w:rPr>
          <w:sz w:val="16"/>
          <w:szCs w:val="16"/>
          <w:lang w:val="sr-Cyrl-CS"/>
        </w:rPr>
        <w:t xml:space="preserve">      </w:t>
      </w:r>
      <w:r w:rsidR="006F26AF" w:rsidRPr="00FF1FC1">
        <w:rPr>
          <w:sz w:val="16"/>
          <w:szCs w:val="16"/>
          <w:lang w:val="sr-Cyrl-CS"/>
        </w:rPr>
        <w:t xml:space="preserve">135 579 </w:t>
      </w:r>
      <w:r w:rsidR="00A06BC6">
        <w:rPr>
          <w:sz w:val="16"/>
          <w:szCs w:val="16"/>
          <w:lang w:val="sr-Cyrl-CS"/>
        </w:rPr>
        <w:t xml:space="preserve">     </w:t>
      </w:r>
      <w:r w:rsidR="00711270">
        <w:rPr>
          <w:sz w:val="16"/>
          <w:szCs w:val="16"/>
          <w:lang w:val="sr-Cyrl-CS"/>
        </w:rPr>
        <w:t xml:space="preserve">   </w:t>
      </w:r>
      <w:r w:rsidR="00A06BC6">
        <w:rPr>
          <w:sz w:val="16"/>
          <w:szCs w:val="16"/>
          <w:lang w:val="sr-Cyrl-CS"/>
        </w:rPr>
        <w:t xml:space="preserve"> </w:t>
      </w:r>
      <w:r w:rsidR="006F26AF" w:rsidRPr="00FF1FC1">
        <w:rPr>
          <w:sz w:val="16"/>
          <w:szCs w:val="16"/>
          <w:lang w:val="sr-Cyrl-CS"/>
        </w:rPr>
        <w:t>140 506</w:t>
      </w:r>
    </w:p>
    <w:p w:rsidR="006F26AF" w:rsidRPr="00FF1FC1" w:rsidRDefault="00584BB7" w:rsidP="006D724E">
      <w:pPr>
        <w:pStyle w:val="NoSpacing"/>
        <w:jc w:val="both"/>
        <w:rPr>
          <w:sz w:val="16"/>
          <w:szCs w:val="16"/>
          <w:lang w:val="sr-Cyrl-CS"/>
        </w:rPr>
      </w:pPr>
      <w:r>
        <w:rPr>
          <w:sz w:val="16"/>
          <w:szCs w:val="16"/>
          <w:lang w:val="sr-Cyrl-CS"/>
        </w:rPr>
        <w:t>________________________________________________________________________________________________</w:t>
      </w:r>
      <w:r w:rsidR="006F26AF" w:rsidRPr="00FF1FC1">
        <w:rPr>
          <w:sz w:val="16"/>
          <w:szCs w:val="16"/>
          <w:lang w:val="sr-Cyrl-CS"/>
        </w:rPr>
        <w:t xml:space="preserve"> </w:t>
      </w:r>
    </w:p>
    <w:p w:rsidR="006F26AF" w:rsidRDefault="00FF1FC1" w:rsidP="006D724E">
      <w:pPr>
        <w:pStyle w:val="NoSpacing"/>
        <w:jc w:val="both"/>
        <w:rPr>
          <w:sz w:val="16"/>
          <w:szCs w:val="16"/>
          <w:lang w:val="sr-Cyrl-CS"/>
        </w:rPr>
      </w:pPr>
      <w:r w:rsidRPr="00FF1FC1">
        <w:rPr>
          <w:sz w:val="16"/>
          <w:szCs w:val="16"/>
          <w:lang w:val="sr-Cyrl-CS"/>
        </w:rPr>
        <w:t>НЕМАЧКА</w:t>
      </w:r>
      <w:r w:rsidR="00A06BC6">
        <w:rPr>
          <w:sz w:val="16"/>
          <w:szCs w:val="16"/>
          <w:lang w:val="sr-Cyrl-CS"/>
        </w:rPr>
        <w:t xml:space="preserve">            </w:t>
      </w:r>
      <w:r w:rsidR="006F26AF" w:rsidRPr="00FF1FC1">
        <w:rPr>
          <w:sz w:val="16"/>
          <w:szCs w:val="16"/>
          <w:lang w:val="sr-Cyrl-CS"/>
        </w:rPr>
        <w:t xml:space="preserve"> </w:t>
      </w:r>
      <w:r w:rsidR="000472D2">
        <w:rPr>
          <w:sz w:val="16"/>
          <w:szCs w:val="16"/>
          <w:lang w:val="sr-Cyrl-CS"/>
        </w:rPr>
        <w:t xml:space="preserve"> </w:t>
      </w:r>
      <w:r w:rsidR="006F26AF" w:rsidRPr="00FF1FC1">
        <w:rPr>
          <w:sz w:val="16"/>
          <w:szCs w:val="16"/>
          <w:lang w:val="sr-Cyrl-CS"/>
        </w:rPr>
        <w:t>139 810</w:t>
      </w:r>
      <w:r w:rsidR="000472D2">
        <w:rPr>
          <w:sz w:val="16"/>
          <w:szCs w:val="16"/>
          <w:lang w:val="sr-Cyrl-CS"/>
        </w:rPr>
        <w:t xml:space="preserve">            </w:t>
      </w:r>
      <w:r w:rsidR="006F26AF" w:rsidRPr="00FF1FC1">
        <w:rPr>
          <w:sz w:val="16"/>
          <w:szCs w:val="16"/>
          <w:lang w:val="sr-Cyrl-CS"/>
        </w:rPr>
        <w:t xml:space="preserve"> 147 140 </w:t>
      </w:r>
      <w:r w:rsidR="000472D2">
        <w:rPr>
          <w:sz w:val="16"/>
          <w:szCs w:val="16"/>
          <w:lang w:val="sr-Cyrl-CS"/>
        </w:rPr>
        <w:t xml:space="preserve">         </w:t>
      </w:r>
      <w:r w:rsidR="006F26AF" w:rsidRPr="00FF1FC1">
        <w:rPr>
          <w:sz w:val="16"/>
          <w:szCs w:val="16"/>
          <w:lang w:val="sr-Cyrl-CS"/>
        </w:rPr>
        <w:t xml:space="preserve">170 080 </w:t>
      </w:r>
      <w:r w:rsidR="00A06BC6">
        <w:rPr>
          <w:sz w:val="16"/>
          <w:szCs w:val="16"/>
          <w:lang w:val="sr-Cyrl-CS"/>
        </w:rPr>
        <w:t xml:space="preserve">           </w:t>
      </w:r>
      <w:r w:rsidR="006F26AF" w:rsidRPr="00FF1FC1">
        <w:rPr>
          <w:sz w:val="16"/>
          <w:szCs w:val="16"/>
          <w:lang w:val="sr-Cyrl-CS"/>
        </w:rPr>
        <w:t xml:space="preserve">175 870 </w:t>
      </w:r>
      <w:r w:rsidR="000472D2">
        <w:rPr>
          <w:sz w:val="16"/>
          <w:szCs w:val="16"/>
          <w:lang w:val="sr-Cyrl-CS"/>
        </w:rPr>
        <w:t xml:space="preserve">            </w:t>
      </w:r>
      <w:r w:rsidR="006F26AF" w:rsidRPr="00FF1FC1">
        <w:rPr>
          <w:sz w:val="16"/>
          <w:szCs w:val="16"/>
          <w:lang w:val="sr-Cyrl-CS"/>
        </w:rPr>
        <w:t xml:space="preserve">177 680 </w:t>
      </w:r>
      <w:r w:rsidR="00A06BC6">
        <w:rPr>
          <w:sz w:val="16"/>
          <w:szCs w:val="16"/>
          <w:lang w:val="sr-Cyrl-CS"/>
        </w:rPr>
        <w:t xml:space="preserve">       </w:t>
      </w:r>
      <w:r w:rsidR="006F26AF" w:rsidRPr="00FF1FC1">
        <w:rPr>
          <w:sz w:val="16"/>
          <w:szCs w:val="16"/>
          <w:lang w:val="sr-Cyrl-CS"/>
        </w:rPr>
        <w:t xml:space="preserve">180 220 </w:t>
      </w:r>
      <w:r w:rsidR="00A06BC6">
        <w:rPr>
          <w:sz w:val="16"/>
          <w:szCs w:val="16"/>
          <w:lang w:val="sr-Cyrl-CS"/>
        </w:rPr>
        <w:t xml:space="preserve">   </w:t>
      </w:r>
      <w:r w:rsidR="00711270">
        <w:rPr>
          <w:sz w:val="16"/>
          <w:szCs w:val="16"/>
          <w:lang w:val="sr-Cyrl-CS"/>
        </w:rPr>
        <w:t xml:space="preserve">    </w:t>
      </w:r>
      <w:r w:rsidR="00A06BC6">
        <w:rPr>
          <w:sz w:val="16"/>
          <w:szCs w:val="16"/>
          <w:lang w:val="sr-Cyrl-CS"/>
        </w:rPr>
        <w:t xml:space="preserve"> </w:t>
      </w:r>
      <w:r w:rsidR="006F26AF" w:rsidRPr="00FF1FC1">
        <w:rPr>
          <w:sz w:val="16"/>
          <w:szCs w:val="16"/>
          <w:lang w:val="sr-Cyrl-CS"/>
        </w:rPr>
        <w:t xml:space="preserve">189 920 </w:t>
      </w:r>
    </w:p>
    <w:p w:rsidR="00584BB7" w:rsidRPr="00FF1FC1" w:rsidRDefault="00584BB7" w:rsidP="006D724E">
      <w:pPr>
        <w:pStyle w:val="NoSpacing"/>
        <w:jc w:val="both"/>
        <w:rPr>
          <w:sz w:val="16"/>
          <w:szCs w:val="16"/>
          <w:lang w:val="sr-Cyrl-CS"/>
        </w:rPr>
      </w:pPr>
      <w:r>
        <w:rPr>
          <w:sz w:val="16"/>
          <w:szCs w:val="16"/>
          <w:lang w:val="sr-Cyrl-CS"/>
        </w:rPr>
        <w:t>________________________________________________________________________________________________</w:t>
      </w:r>
    </w:p>
    <w:p w:rsidR="006F26AF" w:rsidRDefault="00FF1FC1" w:rsidP="006D724E">
      <w:pPr>
        <w:pStyle w:val="NoSpacing"/>
        <w:jc w:val="both"/>
        <w:rPr>
          <w:sz w:val="16"/>
          <w:szCs w:val="16"/>
          <w:lang w:val="sr-Cyrl-CS"/>
        </w:rPr>
      </w:pPr>
      <w:r w:rsidRPr="00FF1FC1">
        <w:rPr>
          <w:sz w:val="16"/>
          <w:szCs w:val="16"/>
          <w:lang w:val="sr-Cyrl-CS"/>
        </w:rPr>
        <w:t>ГРЧКА</w:t>
      </w:r>
      <w:r w:rsidR="00A06BC6">
        <w:rPr>
          <w:sz w:val="16"/>
          <w:szCs w:val="16"/>
          <w:lang w:val="sr-Cyrl-CS"/>
        </w:rPr>
        <w:t xml:space="preserve">                   </w:t>
      </w:r>
      <w:r w:rsidR="006F26AF" w:rsidRPr="00FF1FC1">
        <w:rPr>
          <w:sz w:val="16"/>
          <w:szCs w:val="16"/>
          <w:lang w:val="sr-Cyrl-CS"/>
        </w:rPr>
        <w:t xml:space="preserve">13 398 </w:t>
      </w:r>
      <w:r w:rsidR="000472D2">
        <w:rPr>
          <w:sz w:val="16"/>
          <w:szCs w:val="16"/>
          <w:lang w:val="sr-Cyrl-CS"/>
        </w:rPr>
        <w:t xml:space="preserve">             </w:t>
      </w:r>
      <w:r w:rsidR="00A06BC6">
        <w:rPr>
          <w:sz w:val="16"/>
          <w:szCs w:val="16"/>
          <w:lang w:val="sr-Cyrl-CS"/>
        </w:rPr>
        <w:t xml:space="preserve"> </w:t>
      </w:r>
      <w:r w:rsidR="006F26AF" w:rsidRPr="00FF1FC1">
        <w:rPr>
          <w:sz w:val="16"/>
          <w:szCs w:val="16"/>
          <w:lang w:val="sr-Cyrl-CS"/>
        </w:rPr>
        <w:t xml:space="preserve">14 910 </w:t>
      </w:r>
      <w:r w:rsidR="00A06BC6">
        <w:rPr>
          <w:sz w:val="16"/>
          <w:szCs w:val="16"/>
          <w:lang w:val="sr-Cyrl-CS"/>
        </w:rPr>
        <w:t xml:space="preserve">             </w:t>
      </w:r>
      <w:r w:rsidR="006F26AF" w:rsidRPr="00FF1FC1">
        <w:rPr>
          <w:sz w:val="16"/>
          <w:szCs w:val="16"/>
          <w:lang w:val="sr-Cyrl-CS"/>
        </w:rPr>
        <w:t xml:space="preserve">16 611 </w:t>
      </w:r>
      <w:r w:rsidR="00A06BC6">
        <w:rPr>
          <w:sz w:val="16"/>
          <w:szCs w:val="16"/>
          <w:lang w:val="sr-Cyrl-CS"/>
        </w:rPr>
        <w:t xml:space="preserve">             </w:t>
      </w:r>
      <w:r w:rsidR="006F26AF" w:rsidRPr="00FF1FC1">
        <w:rPr>
          <w:sz w:val="16"/>
          <w:szCs w:val="16"/>
          <w:lang w:val="sr-Cyrl-CS"/>
        </w:rPr>
        <w:t xml:space="preserve">17 020 </w:t>
      </w:r>
      <w:r w:rsidR="000472D2">
        <w:rPr>
          <w:sz w:val="16"/>
          <w:szCs w:val="16"/>
          <w:lang w:val="sr-Cyrl-CS"/>
        </w:rPr>
        <w:t xml:space="preserve">              </w:t>
      </w:r>
      <w:r w:rsidR="006F26AF" w:rsidRPr="00FF1FC1">
        <w:rPr>
          <w:sz w:val="16"/>
          <w:szCs w:val="16"/>
          <w:lang w:val="sr-Cyrl-CS"/>
        </w:rPr>
        <w:t xml:space="preserve">14 914 </w:t>
      </w:r>
      <w:r w:rsidR="00711270">
        <w:rPr>
          <w:sz w:val="16"/>
          <w:szCs w:val="16"/>
          <w:lang w:val="sr-Cyrl-CS"/>
        </w:rPr>
        <w:t xml:space="preserve">      </w:t>
      </w:r>
      <w:r w:rsidR="000472D2">
        <w:rPr>
          <w:sz w:val="16"/>
          <w:szCs w:val="16"/>
          <w:lang w:val="sr-Cyrl-CS"/>
        </w:rPr>
        <w:t xml:space="preserve"> </w:t>
      </w:r>
      <w:r w:rsidR="006F26AF" w:rsidRPr="00FF1FC1">
        <w:rPr>
          <w:sz w:val="16"/>
          <w:szCs w:val="16"/>
          <w:lang w:val="sr-Cyrl-CS"/>
        </w:rPr>
        <w:t xml:space="preserve">16 308 </w:t>
      </w:r>
      <w:r w:rsidR="00A06BC6">
        <w:rPr>
          <w:sz w:val="16"/>
          <w:szCs w:val="16"/>
          <w:lang w:val="sr-Cyrl-CS"/>
        </w:rPr>
        <w:t xml:space="preserve">    </w:t>
      </w:r>
      <w:r w:rsidR="00711270">
        <w:rPr>
          <w:sz w:val="16"/>
          <w:szCs w:val="16"/>
          <w:lang w:val="sr-Cyrl-CS"/>
        </w:rPr>
        <w:t xml:space="preserve">  </w:t>
      </w:r>
      <w:r w:rsidR="000472D2">
        <w:rPr>
          <w:sz w:val="16"/>
          <w:szCs w:val="16"/>
          <w:lang w:val="sr-Cyrl-CS"/>
        </w:rPr>
        <w:t xml:space="preserve">  </w:t>
      </w:r>
      <w:r w:rsidR="00711270">
        <w:rPr>
          <w:sz w:val="16"/>
          <w:szCs w:val="16"/>
          <w:lang w:val="sr-Cyrl-CS"/>
        </w:rPr>
        <w:t xml:space="preserve">   </w:t>
      </w:r>
      <w:r w:rsidR="006F26AF" w:rsidRPr="00FF1FC1">
        <w:rPr>
          <w:sz w:val="16"/>
          <w:szCs w:val="16"/>
          <w:lang w:val="sr-Cyrl-CS"/>
        </w:rPr>
        <w:t xml:space="preserve">15 027 </w:t>
      </w:r>
    </w:p>
    <w:p w:rsidR="00584BB7" w:rsidRPr="00FF1FC1" w:rsidRDefault="00584BB7" w:rsidP="006D724E">
      <w:pPr>
        <w:pStyle w:val="NoSpacing"/>
        <w:jc w:val="both"/>
        <w:rPr>
          <w:sz w:val="16"/>
          <w:szCs w:val="16"/>
          <w:lang w:val="sr-Cyrl-CS"/>
        </w:rPr>
      </w:pPr>
      <w:r>
        <w:rPr>
          <w:sz w:val="16"/>
          <w:szCs w:val="16"/>
          <w:lang w:val="sr-Cyrl-CS"/>
        </w:rPr>
        <w:t>_________________________________________________________________________________________________</w:t>
      </w:r>
    </w:p>
    <w:p w:rsidR="006F26AF" w:rsidRDefault="00FF1FC1" w:rsidP="006D724E">
      <w:pPr>
        <w:pStyle w:val="NoSpacing"/>
        <w:jc w:val="both"/>
        <w:rPr>
          <w:sz w:val="16"/>
          <w:szCs w:val="16"/>
          <w:lang w:val="sr-Cyrl-CS"/>
        </w:rPr>
      </w:pPr>
      <w:r w:rsidRPr="00FF1FC1">
        <w:rPr>
          <w:sz w:val="16"/>
          <w:szCs w:val="16"/>
          <w:lang w:val="sr-Cyrl-CS"/>
        </w:rPr>
        <w:t>МАЂАРСКА</w:t>
      </w:r>
      <w:r w:rsidR="00A06BC6">
        <w:rPr>
          <w:sz w:val="16"/>
          <w:szCs w:val="16"/>
          <w:lang w:val="sr-Cyrl-CS"/>
        </w:rPr>
        <w:t xml:space="preserve">        </w:t>
      </w:r>
      <w:r w:rsidR="000472D2">
        <w:rPr>
          <w:sz w:val="16"/>
          <w:szCs w:val="16"/>
          <w:lang w:val="sr-Cyrl-CS"/>
        </w:rPr>
        <w:t xml:space="preserve">   </w:t>
      </w:r>
      <w:r w:rsidR="006F26AF" w:rsidRPr="00FF1FC1">
        <w:rPr>
          <w:sz w:val="16"/>
          <w:szCs w:val="16"/>
          <w:lang w:val="sr-Cyrl-CS"/>
        </w:rPr>
        <w:t xml:space="preserve"> 7 485 </w:t>
      </w:r>
      <w:r w:rsidR="000472D2">
        <w:rPr>
          <w:sz w:val="16"/>
          <w:szCs w:val="16"/>
          <w:lang w:val="sr-Cyrl-CS"/>
        </w:rPr>
        <w:t xml:space="preserve">               </w:t>
      </w:r>
      <w:r w:rsidR="00A06BC6">
        <w:rPr>
          <w:sz w:val="16"/>
          <w:szCs w:val="16"/>
          <w:lang w:val="sr-Cyrl-CS"/>
        </w:rPr>
        <w:t xml:space="preserve"> </w:t>
      </w:r>
      <w:r w:rsidR="006F26AF" w:rsidRPr="00FF1FC1">
        <w:rPr>
          <w:sz w:val="16"/>
          <w:szCs w:val="16"/>
          <w:lang w:val="sr-Cyrl-CS"/>
        </w:rPr>
        <w:t xml:space="preserve">6 813 </w:t>
      </w:r>
      <w:r w:rsidR="000472D2">
        <w:rPr>
          <w:sz w:val="16"/>
          <w:szCs w:val="16"/>
          <w:lang w:val="sr-Cyrl-CS"/>
        </w:rPr>
        <w:t xml:space="preserve">               </w:t>
      </w:r>
      <w:r w:rsidR="006F26AF" w:rsidRPr="00FF1FC1">
        <w:rPr>
          <w:sz w:val="16"/>
          <w:szCs w:val="16"/>
          <w:lang w:val="sr-Cyrl-CS"/>
        </w:rPr>
        <w:t>8 010</w:t>
      </w:r>
      <w:r w:rsidR="00A06BC6">
        <w:rPr>
          <w:sz w:val="16"/>
          <w:szCs w:val="16"/>
          <w:lang w:val="sr-Cyrl-CS"/>
        </w:rPr>
        <w:t xml:space="preserve">              </w:t>
      </w:r>
      <w:r w:rsidR="006F26AF" w:rsidRPr="00FF1FC1">
        <w:rPr>
          <w:sz w:val="16"/>
          <w:szCs w:val="16"/>
          <w:lang w:val="sr-Cyrl-CS"/>
        </w:rPr>
        <w:t xml:space="preserve"> </w:t>
      </w:r>
      <w:r w:rsidR="004D6C73">
        <w:rPr>
          <w:sz w:val="16"/>
          <w:szCs w:val="16"/>
          <w:lang w:val="sr-Cyrl-CS"/>
        </w:rPr>
        <w:t xml:space="preserve"> </w:t>
      </w:r>
      <w:r w:rsidR="006F26AF" w:rsidRPr="00FF1FC1">
        <w:rPr>
          <w:sz w:val="16"/>
          <w:szCs w:val="16"/>
          <w:lang w:val="sr-Cyrl-CS"/>
        </w:rPr>
        <w:t xml:space="preserve">8 224 </w:t>
      </w:r>
      <w:r w:rsidR="00A06BC6">
        <w:rPr>
          <w:sz w:val="16"/>
          <w:szCs w:val="16"/>
          <w:lang w:val="sr-Cyrl-CS"/>
        </w:rPr>
        <w:t xml:space="preserve">                </w:t>
      </w:r>
      <w:r w:rsidR="006F26AF" w:rsidRPr="00FF1FC1">
        <w:rPr>
          <w:sz w:val="16"/>
          <w:szCs w:val="16"/>
          <w:lang w:val="sr-Cyrl-CS"/>
        </w:rPr>
        <w:t xml:space="preserve">7 820 </w:t>
      </w:r>
      <w:r w:rsidR="00711270">
        <w:rPr>
          <w:sz w:val="16"/>
          <w:szCs w:val="16"/>
          <w:lang w:val="sr-Cyrl-CS"/>
        </w:rPr>
        <w:t xml:space="preserve">         </w:t>
      </w:r>
      <w:r w:rsidR="00A06BC6">
        <w:rPr>
          <w:sz w:val="16"/>
          <w:szCs w:val="16"/>
          <w:lang w:val="sr-Cyrl-CS"/>
        </w:rPr>
        <w:t xml:space="preserve"> </w:t>
      </w:r>
      <w:r w:rsidR="006F26AF" w:rsidRPr="00FF1FC1">
        <w:rPr>
          <w:sz w:val="16"/>
          <w:szCs w:val="16"/>
          <w:lang w:val="sr-Cyrl-CS"/>
        </w:rPr>
        <w:t xml:space="preserve">8 442 </w:t>
      </w:r>
      <w:r w:rsidR="00A06BC6">
        <w:rPr>
          <w:sz w:val="16"/>
          <w:szCs w:val="16"/>
          <w:lang w:val="sr-Cyrl-CS"/>
        </w:rPr>
        <w:t xml:space="preserve">      </w:t>
      </w:r>
      <w:r w:rsidR="00711270">
        <w:rPr>
          <w:sz w:val="16"/>
          <w:szCs w:val="16"/>
          <w:lang w:val="sr-Cyrl-CS"/>
        </w:rPr>
        <w:t xml:space="preserve">      </w:t>
      </w:r>
      <w:r w:rsidR="006F26AF" w:rsidRPr="00FF1FC1">
        <w:rPr>
          <w:sz w:val="16"/>
          <w:szCs w:val="16"/>
          <w:lang w:val="sr-Cyrl-CS"/>
        </w:rPr>
        <w:t xml:space="preserve">8 516 </w:t>
      </w:r>
    </w:p>
    <w:p w:rsidR="00584BB7" w:rsidRPr="00FF1FC1" w:rsidRDefault="00584BB7" w:rsidP="006D724E">
      <w:pPr>
        <w:pStyle w:val="NoSpacing"/>
        <w:jc w:val="both"/>
        <w:rPr>
          <w:sz w:val="16"/>
          <w:szCs w:val="16"/>
          <w:lang w:val="sr-Cyrl-CS"/>
        </w:rPr>
      </w:pPr>
      <w:r>
        <w:rPr>
          <w:sz w:val="16"/>
          <w:szCs w:val="16"/>
          <w:lang w:val="sr-Cyrl-CS"/>
        </w:rPr>
        <w:t>_________________________________________________________________________________________________</w:t>
      </w:r>
    </w:p>
    <w:p w:rsidR="006F26AF" w:rsidRDefault="00FF1FC1" w:rsidP="006D724E">
      <w:pPr>
        <w:pStyle w:val="NoSpacing"/>
        <w:jc w:val="both"/>
        <w:rPr>
          <w:sz w:val="16"/>
          <w:szCs w:val="16"/>
          <w:lang w:val="sr-Cyrl-CS"/>
        </w:rPr>
      </w:pPr>
      <w:r w:rsidRPr="00FF1FC1">
        <w:rPr>
          <w:sz w:val="16"/>
          <w:szCs w:val="16"/>
          <w:lang w:val="sr-Cyrl-CS"/>
        </w:rPr>
        <w:t>ИРСКА</w:t>
      </w:r>
      <w:r w:rsidR="00A06BC6">
        <w:rPr>
          <w:sz w:val="16"/>
          <w:szCs w:val="16"/>
          <w:lang w:val="sr-Cyrl-CS"/>
        </w:rPr>
        <w:t xml:space="preserve">                  </w:t>
      </w:r>
      <w:r w:rsidR="006F26AF" w:rsidRPr="00FF1FC1">
        <w:rPr>
          <w:sz w:val="16"/>
          <w:szCs w:val="16"/>
          <w:lang w:val="sr-Cyrl-CS"/>
        </w:rPr>
        <w:t xml:space="preserve"> 12 364 </w:t>
      </w:r>
      <w:r w:rsidR="000472D2">
        <w:rPr>
          <w:sz w:val="16"/>
          <w:szCs w:val="16"/>
          <w:lang w:val="sr-Cyrl-CS"/>
        </w:rPr>
        <w:t xml:space="preserve">             </w:t>
      </w:r>
      <w:r w:rsidR="006F26AF" w:rsidRPr="00FF1FC1">
        <w:rPr>
          <w:sz w:val="16"/>
          <w:szCs w:val="16"/>
          <w:lang w:val="sr-Cyrl-CS"/>
        </w:rPr>
        <w:t xml:space="preserve">13 802 </w:t>
      </w:r>
      <w:r w:rsidR="00A06BC6">
        <w:rPr>
          <w:sz w:val="16"/>
          <w:szCs w:val="16"/>
          <w:lang w:val="sr-Cyrl-CS"/>
        </w:rPr>
        <w:t xml:space="preserve">             </w:t>
      </w:r>
      <w:r w:rsidR="006F26AF" w:rsidRPr="00FF1FC1">
        <w:rPr>
          <w:sz w:val="16"/>
          <w:szCs w:val="16"/>
          <w:lang w:val="sr-Cyrl-CS"/>
        </w:rPr>
        <w:t xml:space="preserve">14 334 </w:t>
      </w:r>
      <w:r w:rsidR="00A06BC6">
        <w:rPr>
          <w:sz w:val="16"/>
          <w:szCs w:val="16"/>
          <w:lang w:val="sr-Cyrl-CS"/>
        </w:rPr>
        <w:t xml:space="preserve">            </w:t>
      </w:r>
      <w:r w:rsidR="000472D2">
        <w:rPr>
          <w:sz w:val="16"/>
          <w:szCs w:val="16"/>
          <w:lang w:val="sr-Cyrl-CS"/>
        </w:rPr>
        <w:t xml:space="preserve"> </w:t>
      </w:r>
      <w:r w:rsidR="006F26AF" w:rsidRPr="00FF1FC1">
        <w:rPr>
          <w:sz w:val="16"/>
          <w:szCs w:val="16"/>
          <w:lang w:val="sr-Cyrl-CS"/>
        </w:rPr>
        <w:t xml:space="preserve">13 102 </w:t>
      </w:r>
      <w:r w:rsidR="004D6C73">
        <w:rPr>
          <w:sz w:val="16"/>
          <w:szCs w:val="16"/>
          <w:lang w:val="sr-Cyrl-CS"/>
        </w:rPr>
        <w:t xml:space="preserve">             </w:t>
      </w:r>
      <w:r w:rsidR="000472D2">
        <w:rPr>
          <w:sz w:val="16"/>
          <w:szCs w:val="16"/>
          <w:lang w:val="sr-Cyrl-CS"/>
        </w:rPr>
        <w:t xml:space="preserve"> </w:t>
      </w:r>
      <w:r w:rsidR="00A06BC6">
        <w:rPr>
          <w:sz w:val="16"/>
          <w:szCs w:val="16"/>
          <w:lang w:val="sr-Cyrl-CS"/>
        </w:rPr>
        <w:t xml:space="preserve"> </w:t>
      </w:r>
      <w:r w:rsidR="006F26AF" w:rsidRPr="00FF1FC1">
        <w:rPr>
          <w:sz w:val="16"/>
          <w:szCs w:val="16"/>
          <w:lang w:val="sr-Cyrl-CS"/>
        </w:rPr>
        <w:t xml:space="preserve">10 338 </w:t>
      </w:r>
      <w:r w:rsidR="000472D2">
        <w:rPr>
          <w:sz w:val="16"/>
          <w:szCs w:val="16"/>
          <w:lang w:val="sr-Cyrl-CS"/>
        </w:rPr>
        <w:t xml:space="preserve">         </w:t>
      </w:r>
      <w:r w:rsidR="006F26AF" w:rsidRPr="00FF1FC1">
        <w:rPr>
          <w:sz w:val="16"/>
          <w:szCs w:val="16"/>
          <w:lang w:val="sr-Cyrl-CS"/>
        </w:rPr>
        <w:t>10 056</w:t>
      </w:r>
      <w:r w:rsidR="00A06BC6">
        <w:rPr>
          <w:sz w:val="16"/>
          <w:szCs w:val="16"/>
          <w:lang w:val="sr-Cyrl-CS"/>
        </w:rPr>
        <w:t xml:space="preserve">     </w:t>
      </w:r>
      <w:r w:rsidR="00711270">
        <w:rPr>
          <w:sz w:val="16"/>
          <w:szCs w:val="16"/>
          <w:lang w:val="sr-Cyrl-CS"/>
        </w:rPr>
        <w:t xml:space="preserve">     </w:t>
      </w:r>
      <w:r w:rsidR="006F26AF" w:rsidRPr="00FF1FC1">
        <w:rPr>
          <w:sz w:val="16"/>
          <w:szCs w:val="16"/>
          <w:lang w:val="sr-Cyrl-CS"/>
        </w:rPr>
        <w:t xml:space="preserve">9 782 </w:t>
      </w:r>
    </w:p>
    <w:p w:rsidR="00584BB7" w:rsidRPr="00FF1FC1" w:rsidRDefault="00584BB7" w:rsidP="006D724E">
      <w:pPr>
        <w:pStyle w:val="NoSpacing"/>
        <w:jc w:val="both"/>
        <w:rPr>
          <w:sz w:val="16"/>
          <w:szCs w:val="16"/>
          <w:lang w:val="sr-Cyrl-CS"/>
        </w:rPr>
      </w:pPr>
      <w:r>
        <w:rPr>
          <w:sz w:val="16"/>
          <w:szCs w:val="16"/>
          <w:lang w:val="sr-Cyrl-CS"/>
        </w:rPr>
        <w:t>______________________________________________________________________________________________</w:t>
      </w:r>
      <w:r w:rsidR="000B0223">
        <w:rPr>
          <w:sz w:val="16"/>
          <w:szCs w:val="16"/>
          <w:lang w:val="sr-Cyrl-CS"/>
        </w:rPr>
        <w:t>___</w:t>
      </w:r>
    </w:p>
    <w:p w:rsidR="006F26AF" w:rsidRDefault="00FF1FC1" w:rsidP="006D724E">
      <w:pPr>
        <w:pStyle w:val="NoSpacing"/>
        <w:jc w:val="both"/>
        <w:rPr>
          <w:sz w:val="16"/>
          <w:szCs w:val="16"/>
          <w:lang w:val="sr-Cyrl-CS"/>
        </w:rPr>
      </w:pPr>
      <w:r w:rsidRPr="00FF1FC1">
        <w:rPr>
          <w:sz w:val="16"/>
          <w:szCs w:val="16"/>
          <w:lang w:val="sr-Cyrl-CS"/>
        </w:rPr>
        <w:t>ИТАЛИЈА</w:t>
      </w:r>
      <w:r w:rsidR="00A06BC6">
        <w:rPr>
          <w:sz w:val="16"/>
          <w:szCs w:val="16"/>
          <w:lang w:val="sr-Cyrl-CS"/>
        </w:rPr>
        <w:t xml:space="preserve">            </w:t>
      </w:r>
      <w:r w:rsidR="000472D2">
        <w:rPr>
          <w:sz w:val="16"/>
          <w:szCs w:val="16"/>
          <w:lang w:val="sr-Cyrl-CS"/>
        </w:rPr>
        <w:t xml:space="preserve">   </w:t>
      </w:r>
      <w:r w:rsidR="006F26AF" w:rsidRPr="00FF1FC1">
        <w:rPr>
          <w:sz w:val="16"/>
          <w:szCs w:val="16"/>
          <w:lang w:val="sr-Cyrl-CS"/>
        </w:rPr>
        <w:t xml:space="preserve"> 85 317 </w:t>
      </w:r>
      <w:r w:rsidR="000472D2">
        <w:rPr>
          <w:sz w:val="16"/>
          <w:szCs w:val="16"/>
          <w:lang w:val="sr-Cyrl-CS"/>
        </w:rPr>
        <w:t xml:space="preserve">            </w:t>
      </w:r>
      <w:r w:rsidR="00A06BC6">
        <w:rPr>
          <w:sz w:val="16"/>
          <w:szCs w:val="16"/>
          <w:lang w:val="sr-Cyrl-CS"/>
        </w:rPr>
        <w:t xml:space="preserve"> </w:t>
      </w:r>
      <w:r w:rsidR="006F26AF" w:rsidRPr="00FF1FC1">
        <w:rPr>
          <w:sz w:val="16"/>
          <w:szCs w:val="16"/>
          <w:lang w:val="sr-Cyrl-CS"/>
        </w:rPr>
        <w:t xml:space="preserve">92 992 </w:t>
      </w:r>
      <w:r w:rsidR="000472D2">
        <w:rPr>
          <w:sz w:val="16"/>
          <w:szCs w:val="16"/>
          <w:lang w:val="sr-Cyrl-CS"/>
        </w:rPr>
        <w:t xml:space="preserve">             </w:t>
      </w:r>
      <w:r w:rsidR="006F26AF" w:rsidRPr="00FF1FC1">
        <w:rPr>
          <w:sz w:val="16"/>
          <w:szCs w:val="16"/>
          <w:lang w:val="sr-Cyrl-CS"/>
        </w:rPr>
        <w:t xml:space="preserve">95 623 </w:t>
      </w:r>
      <w:r w:rsidR="00A06BC6">
        <w:rPr>
          <w:sz w:val="16"/>
          <w:szCs w:val="16"/>
          <w:lang w:val="sr-Cyrl-CS"/>
        </w:rPr>
        <w:t xml:space="preserve">          </w:t>
      </w:r>
      <w:r w:rsidR="000472D2">
        <w:rPr>
          <w:sz w:val="16"/>
          <w:szCs w:val="16"/>
          <w:lang w:val="sr-Cyrl-CS"/>
        </w:rPr>
        <w:t xml:space="preserve">  </w:t>
      </w:r>
      <w:r w:rsidR="006F26AF" w:rsidRPr="00FF1FC1">
        <w:rPr>
          <w:sz w:val="16"/>
          <w:szCs w:val="16"/>
          <w:lang w:val="sr-Cyrl-CS"/>
        </w:rPr>
        <w:t xml:space="preserve">93 698 </w:t>
      </w:r>
      <w:r w:rsidR="000472D2">
        <w:rPr>
          <w:sz w:val="16"/>
          <w:szCs w:val="16"/>
          <w:lang w:val="sr-Cyrl-CS"/>
        </w:rPr>
        <w:t xml:space="preserve">               </w:t>
      </w:r>
      <w:r w:rsidR="006F26AF" w:rsidRPr="00FF1FC1">
        <w:rPr>
          <w:sz w:val="16"/>
          <w:szCs w:val="16"/>
          <w:lang w:val="sr-Cyrl-CS"/>
        </w:rPr>
        <w:t>86 544</w:t>
      </w:r>
      <w:r w:rsidR="00A06BC6">
        <w:rPr>
          <w:sz w:val="16"/>
          <w:szCs w:val="16"/>
          <w:lang w:val="sr-Cyrl-CS"/>
        </w:rPr>
        <w:t xml:space="preserve">           </w:t>
      </w:r>
      <w:r w:rsidR="006F26AF" w:rsidRPr="00FF1FC1">
        <w:rPr>
          <w:sz w:val="16"/>
          <w:szCs w:val="16"/>
          <w:lang w:val="sr-Cyrl-CS"/>
        </w:rPr>
        <w:t xml:space="preserve"> 97 586</w:t>
      </w:r>
      <w:r w:rsidR="00A06BC6">
        <w:rPr>
          <w:sz w:val="16"/>
          <w:szCs w:val="16"/>
          <w:lang w:val="sr-Cyrl-CS"/>
        </w:rPr>
        <w:t xml:space="preserve">  </w:t>
      </w:r>
      <w:r w:rsidR="006F26AF" w:rsidRPr="00FF1FC1">
        <w:rPr>
          <w:sz w:val="16"/>
          <w:szCs w:val="16"/>
          <w:lang w:val="sr-Cyrl-CS"/>
        </w:rPr>
        <w:t xml:space="preserve"> </w:t>
      </w:r>
      <w:r w:rsidR="00A06BC6">
        <w:rPr>
          <w:sz w:val="16"/>
          <w:szCs w:val="16"/>
          <w:lang w:val="sr-Cyrl-CS"/>
        </w:rPr>
        <w:t xml:space="preserve">   </w:t>
      </w:r>
      <w:r w:rsidR="00711270">
        <w:rPr>
          <w:sz w:val="16"/>
          <w:szCs w:val="16"/>
          <w:lang w:val="sr-Cyrl-CS"/>
        </w:rPr>
        <w:t xml:space="preserve">   </w:t>
      </w:r>
      <w:r w:rsidR="006F26AF" w:rsidRPr="00FF1FC1">
        <w:rPr>
          <w:sz w:val="16"/>
          <w:szCs w:val="16"/>
          <w:lang w:val="sr-Cyrl-CS"/>
        </w:rPr>
        <w:t xml:space="preserve">98 557 </w:t>
      </w:r>
    </w:p>
    <w:p w:rsidR="00584BB7" w:rsidRPr="00FF1FC1" w:rsidRDefault="00584BB7" w:rsidP="006D724E">
      <w:pPr>
        <w:pStyle w:val="NoSpacing"/>
        <w:jc w:val="both"/>
        <w:rPr>
          <w:sz w:val="16"/>
          <w:szCs w:val="16"/>
          <w:lang w:val="sr-Cyrl-CS"/>
        </w:rPr>
      </w:pPr>
      <w:r>
        <w:rPr>
          <w:sz w:val="16"/>
          <w:szCs w:val="16"/>
          <w:lang w:val="sr-Cyrl-CS"/>
        </w:rPr>
        <w:t>______________________________________________________________________________________________</w:t>
      </w:r>
      <w:r w:rsidR="000B0223">
        <w:rPr>
          <w:sz w:val="16"/>
          <w:szCs w:val="16"/>
          <w:lang w:val="sr-Cyrl-CS"/>
        </w:rPr>
        <w:t>___</w:t>
      </w:r>
    </w:p>
    <w:p w:rsidR="006F26AF" w:rsidRDefault="00FF1FC1" w:rsidP="006D724E">
      <w:pPr>
        <w:pStyle w:val="NoSpacing"/>
        <w:jc w:val="both"/>
        <w:rPr>
          <w:sz w:val="16"/>
          <w:szCs w:val="16"/>
          <w:lang w:val="sr-Cyrl-CS"/>
        </w:rPr>
      </w:pPr>
      <w:r w:rsidRPr="00FF1FC1">
        <w:rPr>
          <w:sz w:val="16"/>
          <w:szCs w:val="16"/>
          <w:lang w:val="sr-Cyrl-CS"/>
        </w:rPr>
        <w:t>ЛЕТОНИЈА</w:t>
      </w:r>
      <w:r w:rsidR="00A06BC6">
        <w:rPr>
          <w:sz w:val="16"/>
          <w:szCs w:val="16"/>
          <w:lang w:val="sr-Cyrl-CS"/>
        </w:rPr>
        <w:t xml:space="preserve">         </w:t>
      </w:r>
      <w:r w:rsidR="006F26AF" w:rsidRPr="00FF1FC1">
        <w:rPr>
          <w:sz w:val="16"/>
          <w:szCs w:val="16"/>
          <w:lang w:val="sr-Cyrl-CS"/>
        </w:rPr>
        <w:t xml:space="preserve"> </w:t>
      </w:r>
      <w:r w:rsidR="000472D2">
        <w:rPr>
          <w:sz w:val="16"/>
          <w:szCs w:val="16"/>
          <w:lang w:val="sr-Cyrl-CS"/>
        </w:rPr>
        <w:t xml:space="preserve">    </w:t>
      </w:r>
      <w:r w:rsidR="006F26AF" w:rsidRPr="00FF1FC1">
        <w:rPr>
          <w:sz w:val="16"/>
          <w:szCs w:val="16"/>
          <w:lang w:val="sr-Cyrl-CS"/>
        </w:rPr>
        <w:t xml:space="preserve">1 011 </w:t>
      </w:r>
      <w:r w:rsidR="000472D2">
        <w:rPr>
          <w:sz w:val="16"/>
          <w:szCs w:val="16"/>
          <w:lang w:val="sr-Cyrl-CS"/>
        </w:rPr>
        <w:t xml:space="preserve">               </w:t>
      </w:r>
      <w:r w:rsidR="006F26AF" w:rsidRPr="00FF1FC1">
        <w:rPr>
          <w:sz w:val="16"/>
          <w:szCs w:val="16"/>
          <w:lang w:val="sr-Cyrl-CS"/>
        </w:rPr>
        <w:t xml:space="preserve">1 374 </w:t>
      </w:r>
      <w:r w:rsidR="00A06BC6">
        <w:rPr>
          <w:sz w:val="16"/>
          <w:szCs w:val="16"/>
          <w:lang w:val="sr-Cyrl-CS"/>
        </w:rPr>
        <w:t xml:space="preserve">              </w:t>
      </w:r>
      <w:r w:rsidR="000472D2">
        <w:rPr>
          <w:sz w:val="16"/>
          <w:szCs w:val="16"/>
          <w:lang w:val="sr-Cyrl-CS"/>
        </w:rPr>
        <w:t xml:space="preserve"> </w:t>
      </w:r>
      <w:r w:rsidR="00A06BC6">
        <w:rPr>
          <w:sz w:val="16"/>
          <w:szCs w:val="16"/>
          <w:lang w:val="sr-Cyrl-CS"/>
        </w:rPr>
        <w:t xml:space="preserve"> </w:t>
      </w:r>
      <w:r w:rsidR="006F26AF" w:rsidRPr="00FF1FC1">
        <w:rPr>
          <w:sz w:val="16"/>
          <w:szCs w:val="16"/>
          <w:lang w:val="sr-Cyrl-CS"/>
        </w:rPr>
        <w:t>1 733</w:t>
      </w:r>
      <w:r w:rsidR="00A06BC6">
        <w:rPr>
          <w:sz w:val="16"/>
          <w:szCs w:val="16"/>
          <w:lang w:val="sr-Cyrl-CS"/>
        </w:rPr>
        <w:t xml:space="preserve">           </w:t>
      </w:r>
      <w:r w:rsidR="006F26AF" w:rsidRPr="00FF1FC1">
        <w:rPr>
          <w:sz w:val="16"/>
          <w:szCs w:val="16"/>
          <w:lang w:val="sr-Cyrl-CS"/>
        </w:rPr>
        <w:t xml:space="preserve"> </w:t>
      </w:r>
      <w:r w:rsidR="004D6C73">
        <w:rPr>
          <w:sz w:val="16"/>
          <w:szCs w:val="16"/>
          <w:lang w:val="sr-Cyrl-CS"/>
        </w:rPr>
        <w:t xml:space="preserve">  </w:t>
      </w:r>
      <w:r w:rsidR="000472D2">
        <w:rPr>
          <w:sz w:val="16"/>
          <w:szCs w:val="16"/>
          <w:lang w:val="sr-Cyrl-CS"/>
        </w:rPr>
        <w:t xml:space="preserve"> </w:t>
      </w:r>
      <w:r w:rsidR="006F26AF" w:rsidRPr="00FF1FC1">
        <w:rPr>
          <w:sz w:val="16"/>
          <w:szCs w:val="16"/>
          <w:lang w:val="sr-Cyrl-CS"/>
        </w:rPr>
        <w:t xml:space="preserve">1 538 </w:t>
      </w:r>
      <w:r w:rsidR="000472D2">
        <w:rPr>
          <w:sz w:val="16"/>
          <w:szCs w:val="16"/>
          <w:lang w:val="sr-Cyrl-CS"/>
        </w:rPr>
        <w:t xml:space="preserve">                </w:t>
      </w:r>
      <w:r w:rsidR="006F26AF" w:rsidRPr="00FF1FC1">
        <w:rPr>
          <w:sz w:val="16"/>
          <w:szCs w:val="16"/>
          <w:lang w:val="sr-Cyrl-CS"/>
        </w:rPr>
        <w:t xml:space="preserve">1 109 </w:t>
      </w:r>
      <w:r w:rsidR="00120C2A">
        <w:rPr>
          <w:sz w:val="16"/>
          <w:szCs w:val="16"/>
          <w:lang w:val="sr-Cyrl-CS"/>
        </w:rPr>
        <w:t xml:space="preserve">         </w:t>
      </w:r>
      <w:r w:rsidR="00A06BC6">
        <w:rPr>
          <w:sz w:val="16"/>
          <w:szCs w:val="16"/>
          <w:lang w:val="sr-Cyrl-CS"/>
        </w:rPr>
        <w:t xml:space="preserve">  </w:t>
      </w:r>
      <w:r w:rsidR="006F26AF" w:rsidRPr="00FF1FC1">
        <w:rPr>
          <w:sz w:val="16"/>
          <w:szCs w:val="16"/>
          <w:lang w:val="sr-Cyrl-CS"/>
        </w:rPr>
        <w:t xml:space="preserve">1 192 </w:t>
      </w:r>
      <w:r w:rsidR="00A06BC6">
        <w:rPr>
          <w:sz w:val="16"/>
          <w:szCs w:val="16"/>
          <w:lang w:val="sr-Cyrl-CS"/>
        </w:rPr>
        <w:t xml:space="preserve">       </w:t>
      </w:r>
      <w:r w:rsidR="000472D2">
        <w:rPr>
          <w:sz w:val="16"/>
          <w:szCs w:val="16"/>
          <w:lang w:val="sr-Cyrl-CS"/>
        </w:rPr>
        <w:t xml:space="preserve">   </w:t>
      </w:r>
      <w:r w:rsidR="00A06BC6">
        <w:rPr>
          <w:sz w:val="16"/>
          <w:szCs w:val="16"/>
          <w:lang w:val="sr-Cyrl-CS"/>
        </w:rPr>
        <w:t xml:space="preserve"> </w:t>
      </w:r>
      <w:r w:rsidR="00120C2A">
        <w:rPr>
          <w:sz w:val="16"/>
          <w:szCs w:val="16"/>
          <w:lang w:val="sr-Cyrl-CS"/>
        </w:rPr>
        <w:t xml:space="preserve"> </w:t>
      </w:r>
      <w:r w:rsidR="006F26AF" w:rsidRPr="00FF1FC1">
        <w:rPr>
          <w:sz w:val="16"/>
          <w:szCs w:val="16"/>
          <w:lang w:val="sr-Cyrl-CS"/>
        </w:rPr>
        <w:t xml:space="preserve">1 368 </w:t>
      </w:r>
    </w:p>
    <w:p w:rsidR="00584BB7" w:rsidRPr="00FF1FC1" w:rsidRDefault="00584BB7" w:rsidP="006D724E">
      <w:pPr>
        <w:pStyle w:val="NoSpacing"/>
        <w:jc w:val="both"/>
        <w:rPr>
          <w:sz w:val="16"/>
          <w:szCs w:val="16"/>
          <w:lang w:val="sr-Cyrl-CS"/>
        </w:rPr>
      </w:pPr>
      <w:r>
        <w:rPr>
          <w:sz w:val="16"/>
          <w:szCs w:val="16"/>
          <w:lang w:val="sr-Cyrl-CS"/>
        </w:rPr>
        <w:t>______________________________________________________________________________________________</w:t>
      </w:r>
      <w:r w:rsidR="000B0223">
        <w:rPr>
          <w:sz w:val="16"/>
          <w:szCs w:val="16"/>
          <w:lang w:val="sr-Cyrl-CS"/>
        </w:rPr>
        <w:t>___</w:t>
      </w:r>
    </w:p>
    <w:p w:rsidR="006F26AF" w:rsidRDefault="00FF1FC1" w:rsidP="006D724E">
      <w:pPr>
        <w:pStyle w:val="NoSpacing"/>
        <w:jc w:val="both"/>
        <w:rPr>
          <w:sz w:val="16"/>
          <w:szCs w:val="16"/>
          <w:lang w:val="sr-Cyrl-CS"/>
        </w:rPr>
      </w:pPr>
      <w:r w:rsidRPr="00FF1FC1">
        <w:rPr>
          <w:sz w:val="16"/>
          <w:szCs w:val="16"/>
          <w:lang w:val="sr-Cyrl-CS"/>
        </w:rPr>
        <w:t>ЛИТВАНИЈА</w:t>
      </w:r>
      <w:r w:rsidR="00A06BC6">
        <w:rPr>
          <w:sz w:val="16"/>
          <w:szCs w:val="16"/>
          <w:lang w:val="sr-Cyrl-CS"/>
        </w:rPr>
        <w:t xml:space="preserve">      </w:t>
      </w:r>
      <w:r w:rsidR="006F26AF" w:rsidRPr="00FF1FC1">
        <w:rPr>
          <w:sz w:val="16"/>
          <w:szCs w:val="16"/>
          <w:lang w:val="sr-Cyrl-CS"/>
        </w:rPr>
        <w:t xml:space="preserve"> </w:t>
      </w:r>
      <w:r w:rsidR="000472D2">
        <w:rPr>
          <w:sz w:val="16"/>
          <w:szCs w:val="16"/>
          <w:lang w:val="sr-Cyrl-CS"/>
        </w:rPr>
        <w:t xml:space="preserve">     </w:t>
      </w:r>
      <w:r w:rsidR="006F26AF" w:rsidRPr="00FF1FC1">
        <w:rPr>
          <w:sz w:val="16"/>
          <w:szCs w:val="16"/>
          <w:lang w:val="sr-Cyrl-CS"/>
        </w:rPr>
        <w:t xml:space="preserve">1 488 </w:t>
      </w:r>
      <w:r w:rsidR="000472D2">
        <w:rPr>
          <w:sz w:val="16"/>
          <w:szCs w:val="16"/>
          <w:lang w:val="sr-Cyrl-CS"/>
        </w:rPr>
        <w:t xml:space="preserve">              </w:t>
      </w:r>
      <w:r w:rsidR="00A06BC6">
        <w:rPr>
          <w:sz w:val="16"/>
          <w:szCs w:val="16"/>
          <w:lang w:val="sr-Cyrl-CS"/>
        </w:rPr>
        <w:t xml:space="preserve"> </w:t>
      </w:r>
      <w:r w:rsidR="006F26AF" w:rsidRPr="00FF1FC1">
        <w:rPr>
          <w:sz w:val="16"/>
          <w:szCs w:val="16"/>
          <w:lang w:val="sr-Cyrl-CS"/>
        </w:rPr>
        <w:t xml:space="preserve">1 826 </w:t>
      </w:r>
      <w:r w:rsidR="000472D2">
        <w:rPr>
          <w:sz w:val="16"/>
          <w:szCs w:val="16"/>
          <w:lang w:val="sr-Cyrl-CS"/>
        </w:rPr>
        <w:t xml:space="preserve">                </w:t>
      </w:r>
      <w:r w:rsidR="006F26AF" w:rsidRPr="00FF1FC1">
        <w:rPr>
          <w:sz w:val="16"/>
          <w:szCs w:val="16"/>
          <w:lang w:val="sr-Cyrl-CS"/>
        </w:rPr>
        <w:t xml:space="preserve">2 330 </w:t>
      </w:r>
      <w:r w:rsidR="00A06BC6">
        <w:rPr>
          <w:sz w:val="16"/>
          <w:szCs w:val="16"/>
          <w:lang w:val="sr-Cyrl-CS"/>
        </w:rPr>
        <w:t xml:space="preserve">            </w:t>
      </w:r>
      <w:r w:rsidR="004D6C73">
        <w:rPr>
          <w:sz w:val="16"/>
          <w:szCs w:val="16"/>
          <w:lang w:val="sr-Cyrl-CS"/>
        </w:rPr>
        <w:t xml:space="preserve">  </w:t>
      </w:r>
      <w:r w:rsidR="006F26AF" w:rsidRPr="00FF1FC1">
        <w:rPr>
          <w:sz w:val="16"/>
          <w:szCs w:val="16"/>
          <w:lang w:val="sr-Cyrl-CS"/>
        </w:rPr>
        <w:t>2 593</w:t>
      </w:r>
      <w:r w:rsidR="004D6C73">
        <w:rPr>
          <w:sz w:val="16"/>
          <w:szCs w:val="16"/>
          <w:lang w:val="sr-Cyrl-CS"/>
        </w:rPr>
        <w:t xml:space="preserve">               </w:t>
      </w:r>
      <w:r w:rsidR="00A06BC6">
        <w:rPr>
          <w:sz w:val="16"/>
          <w:szCs w:val="16"/>
          <w:lang w:val="sr-Cyrl-CS"/>
        </w:rPr>
        <w:t xml:space="preserve">  </w:t>
      </w:r>
      <w:r w:rsidR="006F26AF" w:rsidRPr="00FF1FC1">
        <w:rPr>
          <w:sz w:val="16"/>
          <w:szCs w:val="16"/>
          <w:lang w:val="sr-Cyrl-CS"/>
        </w:rPr>
        <w:t>1 961</w:t>
      </w:r>
      <w:r w:rsidR="00120C2A">
        <w:rPr>
          <w:sz w:val="16"/>
          <w:szCs w:val="16"/>
          <w:lang w:val="sr-Cyrl-CS"/>
        </w:rPr>
        <w:t xml:space="preserve">            </w:t>
      </w:r>
      <w:r w:rsidR="006F26AF" w:rsidRPr="00FF1FC1">
        <w:rPr>
          <w:sz w:val="16"/>
          <w:szCs w:val="16"/>
          <w:lang w:val="sr-Cyrl-CS"/>
        </w:rPr>
        <w:t>2 180</w:t>
      </w:r>
      <w:r w:rsidR="00A06BC6">
        <w:rPr>
          <w:sz w:val="16"/>
          <w:szCs w:val="16"/>
          <w:lang w:val="sr-Cyrl-CS"/>
        </w:rPr>
        <w:t xml:space="preserve">        </w:t>
      </w:r>
      <w:r w:rsidR="000472D2">
        <w:rPr>
          <w:sz w:val="16"/>
          <w:szCs w:val="16"/>
          <w:lang w:val="sr-Cyrl-CS"/>
        </w:rPr>
        <w:t xml:space="preserve"> </w:t>
      </w:r>
      <w:r w:rsidR="004D6C73">
        <w:rPr>
          <w:sz w:val="16"/>
          <w:szCs w:val="16"/>
          <w:lang w:val="sr-Cyrl-CS"/>
        </w:rPr>
        <w:t xml:space="preserve">  </w:t>
      </w:r>
      <w:r w:rsidR="000472D2">
        <w:rPr>
          <w:sz w:val="16"/>
          <w:szCs w:val="16"/>
          <w:lang w:val="sr-Cyrl-CS"/>
        </w:rPr>
        <w:t xml:space="preserve"> </w:t>
      </w:r>
      <w:r w:rsidR="006F26AF" w:rsidRPr="00FF1FC1">
        <w:rPr>
          <w:sz w:val="16"/>
          <w:szCs w:val="16"/>
          <w:lang w:val="sr-Cyrl-CS"/>
        </w:rPr>
        <w:t xml:space="preserve">2 444 </w:t>
      </w:r>
    </w:p>
    <w:p w:rsidR="00584BB7" w:rsidRPr="00FF1FC1" w:rsidRDefault="00584BB7" w:rsidP="006D724E">
      <w:pPr>
        <w:pStyle w:val="NoSpacing"/>
        <w:jc w:val="both"/>
        <w:rPr>
          <w:sz w:val="16"/>
          <w:szCs w:val="16"/>
          <w:lang w:val="sr-Cyrl-CS"/>
        </w:rPr>
      </w:pPr>
      <w:r>
        <w:rPr>
          <w:sz w:val="16"/>
          <w:szCs w:val="16"/>
          <w:lang w:val="sr-Cyrl-CS"/>
        </w:rPr>
        <w:t>_______________________________________________________________________________________________</w:t>
      </w:r>
      <w:r w:rsidR="000B0223">
        <w:rPr>
          <w:sz w:val="16"/>
          <w:szCs w:val="16"/>
          <w:lang w:val="sr-Cyrl-CS"/>
        </w:rPr>
        <w:t>__</w:t>
      </w:r>
    </w:p>
    <w:p w:rsidR="006F26AF" w:rsidRDefault="00FF1FC1" w:rsidP="006D724E">
      <w:pPr>
        <w:pStyle w:val="NoSpacing"/>
        <w:jc w:val="both"/>
        <w:rPr>
          <w:sz w:val="16"/>
          <w:szCs w:val="16"/>
          <w:lang w:val="sr-Cyrl-CS"/>
        </w:rPr>
      </w:pPr>
      <w:r w:rsidRPr="00FF1FC1">
        <w:rPr>
          <w:sz w:val="16"/>
          <w:szCs w:val="16"/>
          <w:lang w:val="sr-Cyrl-CS"/>
        </w:rPr>
        <w:t>ЛУКСЕМУРГ</w:t>
      </w:r>
      <w:r w:rsidR="00A06BC6">
        <w:rPr>
          <w:sz w:val="16"/>
          <w:szCs w:val="16"/>
          <w:lang w:val="sr-Cyrl-CS"/>
        </w:rPr>
        <w:t xml:space="preserve">      </w:t>
      </w:r>
      <w:r w:rsidR="006F26AF" w:rsidRPr="00FF1FC1">
        <w:rPr>
          <w:sz w:val="16"/>
          <w:szCs w:val="16"/>
          <w:lang w:val="sr-Cyrl-CS"/>
        </w:rPr>
        <w:t xml:space="preserve"> </w:t>
      </w:r>
      <w:r w:rsidR="000472D2">
        <w:rPr>
          <w:sz w:val="16"/>
          <w:szCs w:val="16"/>
          <w:lang w:val="sr-Cyrl-CS"/>
        </w:rPr>
        <w:t xml:space="preserve">     </w:t>
      </w:r>
      <w:r w:rsidR="006F26AF" w:rsidRPr="00FF1FC1">
        <w:rPr>
          <w:sz w:val="16"/>
          <w:szCs w:val="16"/>
          <w:lang w:val="sr-Cyrl-CS"/>
        </w:rPr>
        <w:t xml:space="preserve">1 863 </w:t>
      </w:r>
      <w:r w:rsidR="000472D2">
        <w:rPr>
          <w:sz w:val="16"/>
          <w:szCs w:val="16"/>
          <w:lang w:val="sr-Cyrl-CS"/>
        </w:rPr>
        <w:t xml:space="preserve">               1 959                 </w:t>
      </w:r>
      <w:r w:rsidR="00A06BC6">
        <w:rPr>
          <w:sz w:val="16"/>
          <w:szCs w:val="16"/>
          <w:lang w:val="sr-Cyrl-CS"/>
        </w:rPr>
        <w:t>2</w:t>
      </w:r>
      <w:r w:rsidR="006F26AF" w:rsidRPr="00FF1FC1">
        <w:rPr>
          <w:sz w:val="16"/>
          <w:szCs w:val="16"/>
          <w:lang w:val="sr-Cyrl-CS"/>
        </w:rPr>
        <w:t xml:space="preserve">156 </w:t>
      </w:r>
      <w:r w:rsidR="00A06BC6">
        <w:rPr>
          <w:sz w:val="16"/>
          <w:szCs w:val="16"/>
          <w:lang w:val="sr-Cyrl-CS"/>
        </w:rPr>
        <w:t xml:space="preserve">           </w:t>
      </w:r>
      <w:r w:rsidR="004D6C73">
        <w:rPr>
          <w:sz w:val="16"/>
          <w:szCs w:val="16"/>
          <w:lang w:val="sr-Cyrl-CS"/>
        </w:rPr>
        <w:t xml:space="preserve">  </w:t>
      </w:r>
      <w:r w:rsidR="00A06BC6">
        <w:rPr>
          <w:sz w:val="16"/>
          <w:szCs w:val="16"/>
          <w:lang w:val="sr-Cyrl-CS"/>
        </w:rPr>
        <w:t xml:space="preserve"> </w:t>
      </w:r>
      <w:r w:rsidR="006F26AF" w:rsidRPr="00FF1FC1">
        <w:rPr>
          <w:sz w:val="16"/>
          <w:szCs w:val="16"/>
          <w:lang w:val="sr-Cyrl-CS"/>
        </w:rPr>
        <w:t>2 351</w:t>
      </w:r>
      <w:r w:rsidR="00A06BC6">
        <w:rPr>
          <w:sz w:val="16"/>
          <w:szCs w:val="16"/>
          <w:lang w:val="sr-Cyrl-CS"/>
        </w:rPr>
        <w:t xml:space="preserve">                  </w:t>
      </w:r>
      <w:r w:rsidR="000472D2">
        <w:rPr>
          <w:sz w:val="16"/>
          <w:szCs w:val="16"/>
          <w:lang w:val="sr-Cyrl-CS"/>
        </w:rPr>
        <w:t xml:space="preserve"> </w:t>
      </w:r>
      <w:r w:rsidR="006F26AF" w:rsidRPr="00FF1FC1">
        <w:rPr>
          <w:sz w:val="16"/>
          <w:szCs w:val="16"/>
          <w:lang w:val="sr-Cyrl-CS"/>
        </w:rPr>
        <w:t xml:space="preserve">2 419 </w:t>
      </w:r>
      <w:r w:rsidR="00711270">
        <w:rPr>
          <w:sz w:val="16"/>
          <w:szCs w:val="16"/>
          <w:lang w:val="sr-Cyrl-CS"/>
        </w:rPr>
        <w:t xml:space="preserve">         </w:t>
      </w:r>
      <w:r w:rsidR="006F26AF" w:rsidRPr="00FF1FC1">
        <w:rPr>
          <w:sz w:val="16"/>
          <w:szCs w:val="16"/>
          <w:lang w:val="sr-Cyrl-CS"/>
        </w:rPr>
        <w:t>2 503</w:t>
      </w:r>
      <w:r w:rsidR="00A06BC6">
        <w:rPr>
          <w:sz w:val="16"/>
          <w:szCs w:val="16"/>
          <w:lang w:val="sr-Cyrl-CS"/>
        </w:rPr>
        <w:t xml:space="preserve">         </w:t>
      </w:r>
      <w:r w:rsidR="004D6C73">
        <w:rPr>
          <w:sz w:val="16"/>
          <w:szCs w:val="16"/>
          <w:lang w:val="sr-Cyrl-CS"/>
        </w:rPr>
        <w:t xml:space="preserve"> </w:t>
      </w:r>
      <w:r w:rsidR="00A06BC6">
        <w:rPr>
          <w:sz w:val="16"/>
          <w:szCs w:val="16"/>
          <w:lang w:val="sr-Cyrl-CS"/>
        </w:rPr>
        <w:t xml:space="preserve"> </w:t>
      </w:r>
      <w:r w:rsidR="006F26AF" w:rsidRPr="00FF1FC1">
        <w:rPr>
          <w:sz w:val="16"/>
          <w:szCs w:val="16"/>
          <w:lang w:val="sr-Cyrl-CS"/>
        </w:rPr>
        <w:t xml:space="preserve"> </w:t>
      </w:r>
      <w:r w:rsidR="00120C2A">
        <w:rPr>
          <w:sz w:val="16"/>
          <w:szCs w:val="16"/>
          <w:lang w:val="sr-Cyrl-CS"/>
        </w:rPr>
        <w:t xml:space="preserve"> </w:t>
      </w:r>
      <w:r w:rsidR="006F26AF" w:rsidRPr="00FF1FC1">
        <w:rPr>
          <w:sz w:val="16"/>
          <w:szCs w:val="16"/>
          <w:lang w:val="sr-Cyrl-CS"/>
        </w:rPr>
        <w:t xml:space="preserve">2 690 </w:t>
      </w:r>
    </w:p>
    <w:p w:rsidR="00584BB7" w:rsidRPr="00FF1FC1" w:rsidRDefault="00584BB7" w:rsidP="006D724E">
      <w:pPr>
        <w:pStyle w:val="NoSpacing"/>
        <w:jc w:val="both"/>
        <w:rPr>
          <w:sz w:val="16"/>
          <w:szCs w:val="16"/>
          <w:lang w:val="sr-Cyrl-CS"/>
        </w:rPr>
      </w:pPr>
      <w:r>
        <w:rPr>
          <w:sz w:val="16"/>
          <w:szCs w:val="16"/>
          <w:lang w:val="sr-Cyrl-CS"/>
        </w:rPr>
        <w:t>_______________________________________________________________________________________________</w:t>
      </w:r>
      <w:r w:rsidR="000B0223">
        <w:rPr>
          <w:sz w:val="16"/>
          <w:szCs w:val="16"/>
          <w:lang w:val="sr-Cyrl-CS"/>
        </w:rPr>
        <w:t>__</w:t>
      </w:r>
    </w:p>
    <w:p w:rsidR="006F26AF" w:rsidRDefault="00FF1FC1" w:rsidP="006D724E">
      <w:pPr>
        <w:pStyle w:val="NoSpacing"/>
        <w:jc w:val="both"/>
        <w:rPr>
          <w:sz w:val="16"/>
          <w:szCs w:val="16"/>
          <w:lang w:val="sr-Cyrl-CS"/>
        </w:rPr>
      </w:pPr>
      <w:r w:rsidRPr="00FF1FC1">
        <w:rPr>
          <w:sz w:val="16"/>
          <w:szCs w:val="16"/>
          <w:lang w:val="sr-Cyrl-CS"/>
        </w:rPr>
        <w:t>МАЛТА</w:t>
      </w:r>
      <w:r w:rsidR="005F2A41">
        <w:rPr>
          <w:sz w:val="16"/>
          <w:szCs w:val="16"/>
          <w:lang w:val="sr-Cyrl-CS"/>
        </w:rPr>
        <w:t xml:space="preserve">                 </w:t>
      </w:r>
      <w:r w:rsidR="000472D2">
        <w:rPr>
          <w:sz w:val="16"/>
          <w:szCs w:val="16"/>
          <w:lang w:val="sr-Cyrl-CS"/>
        </w:rPr>
        <w:t xml:space="preserve">  </w:t>
      </w:r>
      <w:r w:rsidR="006F26AF" w:rsidRPr="00FF1FC1">
        <w:rPr>
          <w:sz w:val="16"/>
          <w:szCs w:val="16"/>
          <w:lang w:val="sr-Cyrl-CS"/>
        </w:rPr>
        <w:t xml:space="preserve"> 397 </w:t>
      </w:r>
      <w:r w:rsidR="000472D2">
        <w:rPr>
          <w:sz w:val="16"/>
          <w:szCs w:val="16"/>
          <w:lang w:val="sr-Cyrl-CS"/>
        </w:rPr>
        <w:t xml:space="preserve">                  </w:t>
      </w:r>
      <w:r w:rsidR="005F2A41">
        <w:rPr>
          <w:sz w:val="16"/>
          <w:szCs w:val="16"/>
          <w:lang w:val="sr-Cyrl-CS"/>
        </w:rPr>
        <w:t xml:space="preserve"> </w:t>
      </w:r>
      <w:r w:rsidR="006F26AF" w:rsidRPr="00FF1FC1">
        <w:rPr>
          <w:sz w:val="16"/>
          <w:szCs w:val="16"/>
          <w:lang w:val="sr-Cyrl-CS"/>
        </w:rPr>
        <w:t xml:space="preserve">410 </w:t>
      </w:r>
      <w:r w:rsidR="000472D2">
        <w:rPr>
          <w:sz w:val="16"/>
          <w:szCs w:val="16"/>
          <w:lang w:val="sr-Cyrl-CS"/>
        </w:rPr>
        <w:t xml:space="preserve">                  </w:t>
      </w:r>
      <w:r w:rsidR="006F26AF" w:rsidRPr="00FF1FC1">
        <w:rPr>
          <w:sz w:val="16"/>
          <w:szCs w:val="16"/>
          <w:lang w:val="sr-Cyrl-CS"/>
        </w:rPr>
        <w:t xml:space="preserve">420 </w:t>
      </w:r>
      <w:r w:rsidR="005F2A41">
        <w:rPr>
          <w:sz w:val="16"/>
          <w:szCs w:val="16"/>
          <w:lang w:val="sr-Cyrl-CS"/>
        </w:rPr>
        <w:t xml:space="preserve">             </w:t>
      </w:r>
      <w:r w:rsidR="000472D2">
        <w:rPr>
          <w:sz w:val="16"/>
          <w:szCs w:val="16"/>
          <w:lang w:val="sr-Cyrl-CS"/>
        </w:rPr>
        <w:t xml:space="preserve">     </w:t>
      </w:r>
      <w:r w:rsidR="006F26AF" w:rsidRPr="00FF1FC1">
        <w:rPr>
          <w:sz w:val="16"/>
          <w:szCs w:val="16"/>
          <w:lang w:val="sr-Cyrl-CS"/>
        </w:rPr>
        <w:t xml:space="preserve">458 </w:t>
      </w:r>
      <w:r w:rsidR="005F2A41">
        <w:rPr>
          <w:sz w:val="16"/>
          <w:szCs w:val="16"/>
          <w:lang w:val="sr-Cyrl-CS"/>
        </w:rPr>
        <w:t xml:space="preserve">  </w:t>
      </w:r>
      <w:r w:rsidR="004D6C73">
        <w:rPr>
          <w:sz w:val="16"/>
          <w:szCs w:val="16"/>
          <w:lang w:val="sr-Cyrl-CS"/>
        </w:rPr>
        <w:t xml:space="preserve">                </w:t>
      </w:r>
      <w:r w:rsidR="005F2A41">
        <w:rPr>
          <w:sz w:val="16"/>
          <w:szCs w:val="16"/>
          <w:lang w:val="sr-Cyrl-CS"/>
        </w:rPr>
        <w:t xml:space="preserve"> </w:t>
      </w:r>
      <w:r w:rsidR="006F26AF" w:rsidRPr="00FF1FC1">
        <w:rPr>
          <w:sz w:val="16"/>
          <w:szCs w:val="16"/>
          <w:lang w:val="sr-Cyrl-CS"/>
        </w:rPr>
        <w:t>457</w:t>
      </w:r>
      <w:r w:rsidR="00120C2A">
        <w:rPr>
          <w:sz w:val="16"/>
          <w:szCs w:val="16"/>
          <w:lang w:val="sr-Cyrl-CS"/>
        </w:rPr>
        <w:t xml:space="preserve">              </w:t>
      </w:r>
      <w:r w:rsidR="006F26AF" w:rsidRPr="00FF1FC1">
        <w:rPr>
          <w:sz w:val="16"/>
          <w:szCs w:val="16"/>
          <w:lang w:val="sr-Cyrl-CS"/>
        </w:rPr>
        <w:t xml:space="preserve"> 477 </w:t>
      </w:r>
      <w:r w:rsidR="005F2A41">
        <w:rPr>
          <w:sz w:val="16"/>
          <w:szCs w:val="16"/>
          <w:lang w:val="sr-Cyrl-CS"/>
        </w:rPr>
        <w:t xml:space="preserve">           </w:t>
      </w:r>
      <w:r w:rsidR="004D6C73">
        <w:rPr>
          <w:sz w:val="16"/>
          <w:szCs w:val="16"/>
          <w:lang w:val="sr-Cyrl-CS"/>
        </w:rPr>
        <w:t xml:space="preserve"> </w:t>
      </w:r>
      <w:r w:rsidR="005F2A41">
        <w:rPr>
          <w:sz w:val="16"/>
          <w:szCs w:val="16"/>
          <w:lang w:val="sr-Cyrl-CS"/>
        </w:rPr>
        <w:t xml:space="preserve"> </w:t>
      </w:r>
      <w:r w:rsidR="006F26AF" w:rsidRPr="00FF1FC1">
        <w:rPr>
          <w:sz w:val="16"/>
          <w:szCs w:val="16"/>
          <w:lang w:val="sr-Cyrl-CS"/>
        </w:rPr>
        <w:t xml:space="preserve">520 </w:t>
      </w:r>
    </w:p>
    <w:p w:rsidR="00584BB7" w:rsidRPr="00FF1FC1" w:rsidRDefault="00584BB7" w:rsidP="006D724E">
      <w:pPr>
        <w:pStyle w:val="NoSpacing"/>
        <w:jc w:val="both"/>
        <w:rPr>
          <w:sz w:val="16"/>
          <w:szCs w:val="16"/>
          <w:lang w:val="sr-Cyrl-CS"/>
        </w:rPr>
      </w:pPr>
      <w:r>
        <w:rPr>
          <w:sz w:val="16"/>
          <w:szCs w:val="16"/>
          <w:lang w:val="sr-Cyrl-CS"/>
        </w:rPr>
        <w:t>_________________________________________________________________________________________________</w:t>
      </w:r>
    </w:p>
    <w:p w:rsidR="00584BB7" w:rsidRDefault="00FF1FC1" w:rsidP="006D724E">
      <w:pPr>
        <w:pStyle w:val="NoSpacing"/>
        <w:jc w:val="both"/>
        <w:rPr>
          <w:sz w:val="16"/>
          <w:szCs w:val="16"/>
          <w:lang w:val="sr-Cyrl-CS"/>
        </w:rPr>
      </w:pPr>
      <w:r w:rsidRPr="00FF1FC1">
        <w:rPr>
          <w:sz w:val="16"/>
          <w:szCs w:val="16"/>
          <w:lang w:val="sr-Cyrl-CS"/>
        </w:rPr>
        <w:t>ХОЛАНДИЈА</w:t>
      </w:r>
      <w:r w:rsidR="005F2A41">
        <w:rPr>
          <w:sz w:val="16"/>
          <w:szCs w:val="16"/>
          <w:lang w:val="sr-Cyrl-CS"/>
        </w:rPr>
        <w:t xml:space="preserve">    </w:t>
      </w:r>
      <w:r w:rsidR="006F26AF" w:rsidRPr="00FF1FC1">
        <w:rPr>
          <w:sz w:val="16"/>
          <w:szCs w:val="16"/>
          <w:lang w:val="sr-Cyrl-CS"/>
        </w:rPr>
        <w:t xml:space="preserve"> </w:t>
      </w:r>
      <w:r w:rsidR="000472D2">
        <w:rPr>
          <w:sz w:val="16"/>
          <w:szCs w:val="16"/>
          <w:lang w:val="sr-Cyrl-CS"/>
        </w:rPr>
        <w:t xml:space="preserve">       </w:t>
      </w:r>
      <w:r w:rsidR="006F26AF" w:rsidRPr="00FF1FC1">
        <w:rPr>
          <w:sz w:val="16"/>
          <w:szCs w:val="16"/>
          <w:lang w:val="sr-Cyrl-CS"/>
        </w:rPr>
        <w:t xml:space="preserve">36 950 </w:t>
      </w:r>
      <w:r w:rsidR="000472D2">
        <w:rPr>
          <w:sz w:val="16"/>
          <w:szCs w:val="16"/>
          <w:lang w:val="sr-Cyrl-CS"/>
        </w:rPr>
        <w:t xml:space="preserve">            </w:t>
      </w:r>
      <w:r w:rsidR="006F26AF" w:rsidRPr="00FF1FC1">
        <w:rPr>
          <w:sz w:val="16"/>
          <w:szCs w:val="16"/>
          <w:lang w:val="sr-Cyrl-CS"/>
        </w:rPr>
        <w:t xml:space="preserve">39 888 </w:t>
      </w:r>
      <w:r w:rsidR="000472D2">
        <w:rPr>
          <w:sz w:val="16"/>
          <w:szCs w:val="16"/>
          <w:lang w:val="sr-Cyrl-CS"/>
        </w:rPr>
        <w:t xml:space="preserve">              </w:t>
      </w:r>
      <w:r w:rsidR="005F2A41">
        <w:rPr>
          <w:sz w:val="16"/>
          <w:szCs w:val="16"/>
          <w:lang w:val="sr-Cyrl-CS"/>
        </w:rPr>
        <w:t xml:space="preserve"> </w:t>
      </w:r>
      <w:r w:rsidR="006F26AF" w:rsidRPr="00FF1FC1">
        <w:rPr>
          <w:sz w:val="16"/>
          <w:szCs w:val="16"/>
          <w:lang w:val="sr-Cyrl-CS"/>
        </w:rPr>
        <w:t xml:space="preserve">42 873 </w:t>
      </w:r>
      <w:r w:rsidR="005F2A41">
        <w:rPr>
          <w:sz w:val="16"/>
          <w:szCs w:val="16"/>
          <w:lang w:val="sr-Cyrl-CS"/>
        </w:rPr>
        <w:t xml:space="preserve">         </w:t>
      </w:r>
      <w:r w:rsidR="00120C2A">
        <w:rPr>
          <w:sz w:val="16"/>
          <w:szCs w:val="16"/>
          <w:lang w:val="sr-Cyrl-CS"/>
        </w:rPr>
        <w:t xml:space="preserve"> </w:t>
      </w:r>
      <w:r w:rsidR="000472D2">
        <w:rPr>
          <w:sz w:val="16"/>
          <w:szCs w:val="16"/>
          <w:lang w:val="sr-Cyrl-CS"/>
        </w:rPr>
        <w:t xml:space="preserve"> </w:t>
      </w:r>
      <w:r w:rsidR="006F26AF" w:rsidRPr="00FF1FC1">
        <w:rPr>
          <w:sz w:val="16"/>
          <w:szCs w:val="16"/>
          <w:lang w:val="sr-Cyrl-CS"/>
        </w:rPr>
        <w:t>43 221</w:t>
      </w:r>
      <w:r w:rsidR="004D6C73">
        <w:rPr>
          <w:sz w:val="16"/>
          <w:szCs w:val="16"/>
          <w:lang w:val="sr-Cyrl-CS"/>
        </w:rPr>
        <w:t xml:space="preserve">             </w:t>
      </w:r>
      <w:r w:rsidR="005F2A41">
        <w:rPr>
          <w:sz w:val="16"/>
          <w:szCs w:val="16"/>
          <w:lang w:val="sr-Cyrl-CS"/>
        </w:rPr>
        <w:t xml:space="preserve">   </w:t>
      </w:r>
      <w:r w:rsidR="000472D2">
        <w:rPr>
          <w:sz w:val="16"/>
          <w:szCs w:val="16"/>
          <w:lang w:val="sr-Cyrl-CS"/>
        </w:rPr>
        <w:t xml:space="preserve"> </w:t>
      </w:r>
      <w:r w:rsidR="006F26AF" w:rsidRPr="00FF1FC1">
        <w:rPr>
          <w:sz w:val="16"/>
          <w:szCs w:val="16"/>
          <w:lang w:val="sr-Cyrl-CS"/>
        </w:rPr>
        <w:t>40 086</w:t>
      </w:r>
      <w:r w:rsidR="00711270">
        <w:rPr>
          <w:sz w:val="16"/>
          <w:szCs w:val="16"/>
          <w:lang w:val="sr-Cyrl-CS"/>
        </w:rPr>
        <w:t xml:space="preserve">         </w:t>
      </w:r>
      <w:r w:rsidR="000472D2">
        <w:rPr>
          <w:sz w:val="16"/>
          <w:szCs w:val="16"/>
          <w:lang w:val="sr-Cyrl-CS"/>
        </w:rPr>
        <w:t xml:space="preserve"> </w:t>
      </w:r>
      <w:r w:rsidR="006F26AF" w:rsidRPr="00FF1FC1">
        <w:rPr>
          <w:sz w:val="16"/>
          <w:szCs w:val="16"/>
          <w:lang w:val="sr-Cyrl-CS"/>
        </w:rPr>
        <w:t xml:space="preserve">42 654 </w:t>
      </w:r>
      <w:r w:rsidR="00711270">
        <w:rPr>
          <w:sz w:val="16"/>
          <w:szCs w:val="16"/>
          <w:lang w:val="sr-Cyrl-CS"/>
        </w:rPr>
        <w:t xml:space="preserve">     </w:t>
      </w:r>
      <w:r w:rsidR="004D6C73">
        <w:rPr>
          <w:sz w:val="16"/>
          <w:szCs w:val="16"/>
          <w:lang w:val="sr-Cyrl-CS"/>
        </w:rPr>
        <w:t xml:space="preserve"> </w:t>
      </w:r>
      <w:r w:rsidR="00711270">
        <w:rPr>
          <w:sz w:val="16"/>
          <w:szCs w:val="16"/>
          <w:lang w:val="sr-Cyrl-CS"/>
        </w:rPr>
        <w:t xml:space="preserve">  </w:t>
      </w:r>
      <w:r w:rsidR="000472D2">
        <w:rPr>
          <w:sz w:val="16"/>
          <w:szCs w:val="16"/>
          <w:lang w:val="sr-Cyrl-CS"/>
        </w:rPr>
        <w:t xml:space="preserve"> </w:t>
      </w:r>
      <w:r w:rsidR="006F26AF" w:rsidRPr="00FF1FC1">
        <w:rPr>
          <w:sz w:val="16"/>
          <w:szCs w:val="16"/>
          <w:lang w:val="sr-Cyrl-CS"/>
        </w:rPr>
        <w:t>41 610</w:t>
      </w:r>
    </w:p>
    <w:p w:rsidR="006F26AF" w:rsidRPr="00FF1FC1" w:rsidRDefault="00584BB7" w:rsidP="006D724E">
      <w:pPr>
        <w:pStyle w:val="NoSpacing"/>
        <w:jc w:val="both"/>
        <w:rPr>
          <w:sz w:val="16"/>
          <w:szCs w:val="16"/>
          <w:lang w:val="sr-Cyrl-CS"/>
        </w:rPr>
      </w:pPr>
      <w:r>
        <w:rPr>
          <w:sz w:val="16"/>
          <w:szCs w:val="16"/>
          <w:lang w:val="sr-Cyrl-CS"/>
        </w:rPr>
        <w:t>__________________________________</w:t>
      </w:r>
      <w:r w:rsidR="004D6C73">
        <w:rPr>
          <w:sz w:val="16"/>
          <w:szCs w:val="16"/>
          <w:lang w:val="sr-Cyrl-CS"/>
        </w:rPr>
        <w:t>_______________________________</w:t>
      </w:r>
      <w:r>
        <w:rPr>
          <w:sz w:val="16"/>
          <w:szCs w:val="16"/>
          <w:lang w:val="sr-Cyrl-CS"/>
        </w:rPr>
        <w:t>_______________________________</w:t>
      </w:r>
      <w:r w:rsidR="006F26AF" w:rsidRPr="00FF1FC1">
        <w:rPr>
          <w:sz w:val="16"/>
          <w:szCs w:val="16"/>
          <w:lang w:val="sr-Cyrl-CS"/>
        </w:rPr>
        <w:t xml:space="preserve"> </w:t>
      </w:r>
    </w:p>
    <w:p w:rsidR="006F26AF" w:rsidRDefault="00FF1FC1" w:rsidP="006D724E">
      <w:pPr>
        <w:pStyle w:val="NoSpacing"/>
        <w:jc w:val="both"/>
        <w:rPr>
          <w:sz w:val="16"/>
          <w:szCs w:val="16"/>
          <w:lang w:val="sr-Cyrl-CS"/>
        </w:rPr>
      </w:pPr>
      <w:r w:rsidRPr="00FF1FC1">
        <w:rPr>
          <w:sz w:val="16"/>
          <w:szCs w:val="16"/>
          <w:lang w:val="sr-Cyrl-CS"/>
        </w:rPr>
        <w:t>ПОЉСКА</w:t>
      </w:r>
      <w:r w:rsidR="005F2A41">
        <w:rPr>
          <w:sz w:val="16"/>
          <w:szCs w:val="16"/>
          <w:lang w:val="sr-Cyrl-CS"/>
        </w:rPr>
        <w:t xml:space="preserve">          </w:t>
      </w:r>
      <w:r w:rsidR="006F26AF" w:rsidRPr="00FF1FC1">
        <w:rPr>
          <w:sz w:val="16"/>
          <w:szCs w:val="16"/>
          <w:lang w:val="sr-Cyrl-CS"/>
        </w:rPr>
        <w:t xml:space="preserve"> </w:t>
      </w:r>
      <w:r w:rsidR="000472D2">
        <w:rPr>
          <w:sz w:val="16"/>
          <w:szCs w:val="16"/>
          <w:lang w:val="sr-Cyrl-CS"/>
        </w:rPr>
        <w:t xml:space="preserve">      </w:t>
      </w:r>
      <w:r w:rsidR="006F26AF" w:rsidRPr="00FF1FC1">
        <w:rPr>
          <w:sz w:val="16"/>
          <w:szCs w:val="16"/>
          <w:lang w:val="sr-Cyrl-CS"/>
        </w:rPr>
        <w:t xml:space="preserve">18 837 </w:t>
      </w:r>
      <w:r w:rsidR="000472D2">
        <w:rPr>
          <w:sz w:val="16"/>
          <w:szCs w:val="16"/>
          <w:lang w:val="sr-Cyrl-CS"/>
        </w:rPr>
        <w:t xml:space="preserve">             </w:t>
      </w:r>
      <w:r w:rsidR="005F2A41">
        <w:rPr>
          <w:sz w:val="16"/>
          <w:szCs w:val="16"/>
          <w:lang w:val="sr-Cyrl-CS"/>
        </w:rPr>
        <w:t xml:space="preserve"> </w:t>
      </w:r>
      <w:r w:rsidR="006F26AF" w:rsidRPr="00FF1FC1">
        <w:rPr>
          <w:sz w:val="16"/>
          <w:szCs w:val="16"/>
          <w:lang w:val="sr-Cyrl-CS"/>
        </w:rPr>
        <w:t xml:space="preserve">22 127 </w:t>
      </w:r>
      <w:r w:rsidR="000472D2">
        <w:rPr>
          <w:sz w:val="16"/>
          <w:szCs w:val="16"/>
          <w:lang w:val="sr-Cyrl-CS"/>
        </w:rPr>
        <w:t xml:space="preserve">              </w:t>
      </w:r>
      <w:r w:rsidR="006F26AF" w:rsidRPr="00FF1FC1">
        <w:rPr>
          <w:sz w:val="16"/>
          <w:szCs w:val="16"/>
          <w:lang w:val="sr-Cyrl-CS"/>
        </w:rPr>
        <w:t xml:space="preserve">25 923 </w:t>
      </w:r>
      <w:r w:rsidR="000472D2">
        <w:rPr>
          <w:sz w:val="16"/>
          <w:szCs w:val="16"/>
          <w:lang w:val="sr-Cyrl-CS"/>
        </w:rPr>
        <w:t xml:space="preserve">         </w:t>
      </w:r>
      <w:r w:rsidR="00120C2A">
        <w:rPr>
          <w:sz w:val="16"/>
          <w:szCs w:val="16"/>
          <w:lang w:val="sr-Cyrl-CS"/>
        </w:rPr>
        <w:t xml:space="preserve"> </w:t>
      </w:r>
      <w:r w:rsidR="006F26AF" w:rsidRPr="00FF1FC1">
        <w:rPr>
          <w:sz w:val="16"/>
          <w:szCs w:val="16"/>
          <w:lang w:val="sr-Cyrl-CS"/>
        </w:rPr>
        <w:t>29 103</w:t>
      </w:r>
      <w:r w:rsidR="004D6C73">
        <w:rPr>
          <w:sz w:val="16"/>
          <w:szCs w:val="16"/>
          <w:lang w:val="sr-Cyrl-CS"/>
        </w:rPr>
        <w:t xml:space="preserve">                </w:t>
      </w:r>
      <w:r w:rsidR="006F26AF" w:rsidRPr="00FF1FC1">
        <w:rPr>
          <w:sz w:val="16"/>
          <w:szCs w:val="16"/>
          <w:lang w:val="sr-Cyrl-CS"/>
        </w:rPr>
        <w:t xml:space="preserve"> 23 056</w:t>
      </w:r>
      <w:r w:rsidR="00711270">
        <w:rPr>
          <w:sz w:val="16"/>
          <w:szCs w:val="16"/>
          <w:lang w:val="sr-Cyrl-CS"/>
        </w:rPr>
        <w:t xml:space="preserve">          </w:t>
      </w:r>
      <w:r w:rsidR="006F26AF" w:rsidRPr="00FF1FC1">
        <w:rPr>
          <w:sz w:val="16"/>
          <w:szCs w:val="16"/>
          <w:lang w:val="sr-Cyrl-CS"/>
        </w:rPr>
        <w:t xml:space="preserve">27 535 </w:t>
      </w:r>
      <w:r w:rsidR="005F2A41">
        <w:rPr>
          <w:sz w:val="16"/>
          <w:szCs w:val="16"/>
          <w:lang w:val="sr-Cyrl-CS"/>
        </w:rPr>
        <w:t xml:space="preserve">        </w:t>
      </w:r>
      <w:r w:rsidR="004D6C73">
        <w:rPr>
          <w:sz w:val="16"/>
          <w:szCs w:val="16"/>
          <w:lang w:val="sr-Cyrl-CS"/>
        </w:rPr>
        <w:t xml:space="preserve"> </w:t>
      </w:r>
      <w:r w:rsidR="006F26AF" w:rsidRPr="00FF1FC1">
        <w:rPr>
          <w:sz w:val="16"/>
          <w:szCs w:val="16"/>
          <w:lang w:val="sr-Cyrl-CS"/>
        </w:rPr>
        <w:t xml:space="preserve">29 843 </w:t>
      </w:r>
    </w:p>
    <w:p w:rsidR="00584BB7" w:rsidRPr="00FF1FC1" w:rsidRDefault="00584BB7" w:rsidP="006D724E">
      <w:pPr>
        <w:pStyle w:val="NoSpacing"/>
        <w:jc w:val="both"/>
        <w:rPr>
          <w:sz w:val="16"/>
          <w:szCs w:val="16"/>
          <w:lang w:val="sr-Cyrl-CS"/>
        </w:rPr>
      </w:pPr>
      <w:r>
        <w:rPr>
          <w:sz w:val="16"/>
          <w:szCs w:val="16"/>
          <w:lang w:val="sr-Cyrl-CS"/>
        </w:rPr>
        <w:t>________________________________________________________________________________________________</w:t>
      </w:r>
      <w:r w:rsidR="000B0223">
        <w:rPr>
          <w:sz w:val="16"/>
          <w:szCs w:val="16"/>
          <w:lang w:val="sr-Cyrl-CS"/>
        </w:rPr>
        <w:t>_</w:t>
      </w:r>
    </w:p>
    <w:p w:rsidR="006F26AF" w:rsidRDefault="00FF1FC1" w:rsidP="006D724E">
      <w:pPr>
        <w:pStyle w:val="NoSpacing"/>
        <w:jc w:val="both"/>
        <w:rPr>
          <w:sz w:val="16"/>
          <w:szCs w:val="16"/>
          <w:lang w:val="sr-Cyrl-CS"/>
        </w:rPr>
      </w:pPr>
      <w:r w:rsidRPr="00FF1FC1">
        <w:rPr>
          <w:sz w:val="16"/>
          <w:szCs w:val="16"/>
          <w:lang w:val="sr-Cyrl-CS"/>
        </w:rPr>
        <w:t>ПОРТУГАЛИЈА</w:t>
      </w:r>
      <w:r w:rsidR="006F26AF" w:rsidRPr="00FF1FC1">
        <w:rPr>
          <w:sz w:val="16"/>
          <w:szCs w:val="16"/>
          <w:lang w:val="sr-Cyrl-CS"/>
        </w:rPr>
        <w:t xml:space="preserve"> </w:t>
      </w:r>
      <w:r w:rsidR="000472D2">
        <w:rPr>
          <w:sz w:val="16"/>
          <w:szCs w:val="16"/>
          <w:lang w:val="sr-Cyrl-CS"/>
        </w:rPr>
        <w:t xml:space="preserve">        </w:t>
      </w:r>
      <w:r w:rsidR="006F26AF" w:rsidRPr="00FF1FC1">
        <w:rPr>
          <w:sz w:val="16"/>
          <w:szCs w:val="16"/>
          <w:lang w:val="sr-Cyrl-CS"/>
        </w:rPr>
        <w:t xml:space="preserve">13 001 </w:t>
      </w:r>
      <w:r w:rsidR="000472D2">
        <w:rPr>
          <w:sz w:val="16"/>
          <w:szCs w:val="16"/>
          <w:lang w:val="sr-Cyrl-CS"/>
        </w:rPr>
        <w:t xml:space="preserve">              </w:t>
      </w:r>
      <w:r w:rsidR="006F26AF" w:rsidRPr="00FF1FC1">
        <w:rPr>
          <w:sz w:val="16"/>
          <w:szCs w:val="16"/>
          <w:lang w:val="sr-Cyrl-CS"/>
        </w:rPr>
        <w:t xml:space="preserve">13 764 </w:t>
      </w:r>
      <w:r w:rsidR="004D6C73">
        <w:rPr>
          <w:sz w:val="16"/>
          <w:szCs w:val="16"/>
          <w:lang w:val="sr-Cyrl-CS"/>
        </w:rPr>
        <w:t xml:space="preserve">              </w:t>
      </w:r>
      <w:r w:rsidR="006F26AF" w:rsidRPr="00FF1FC1">
        <w:rPr>
          <w:sz w:val="16"/>
          <w:szCs w:val="16"/>
          <w:lang w:val="sr-Cyrl-CS"/>
        </w:rPr>
        <w:t xml:space="preserve">14 333 </w:t>
      </w:r>
      <w:r w:rsidR="000472D2">
        <w:rPr>
          <w:sz w:val="16"/>
          <w:szCs w:val="16"/>
          <w:lang w:val="sr-Cyrl-CS"/>
        </w:rPr>
        <w:t xml:space="preserve">      </w:t>
      </w:r>
      <w:r w:rsidR="005F2A41">
        <w:rPr>
          <w:sz w:val="16"/>
          <w:szCs w:val="16"/>
          <w:lang w:val="sr-Cyrl-CS"/>
        </w:rPr>
        <w:t xml:space="preserve"> </w:t>
      </w:r>
      <w:r w:rsidR="000472D2">
        <w:rPr>
          <w:sz w:val="16"/>
          <w:szCs w:val="16"/>
          <w:lang w:val="sr-Cyrl-CS"/>
        </w:rPr>
        <w:t xml:space="preserve"> </w:t>
      </w:r>
      <w:r w:rsidR="00120C2A">
        <w:rPr>
          <w:sz w:val="16"/>
          <w:szCs w:val="16"/>
          <w:lang w:val="sr-Cyrl-CS"/>
        </w:rPr>
        <w:t xml:space="preserve"> </w:t>
      </w:r>
      <w:r w:rsidR="006F26AF" w:rsidRPr="00FF1FC1">
        <w:rPr>
          <w:sz w:val="16"/>
          <w:szCs w:val="16"/>
          <w:lang w:val="sr-Cyrl-CS"/>
        </w:rPr>
        <w:t xml:space="preserve">14 424 </w:t>
      </w:r>
      <w:r w:rsidR="005F2A41">
        <w:rPr>
          <w:sz w:val="16"/>
          <w:szCs w:val="16"/>
          <w:lang w:val="sr-Cyrl-CS"/>
        </w:rPr>
        <w:t xml:space="preserve">               </w:t>
      </w:r>
      <w:r w:rsidR="000472D2">
        <w:rPr>
          <w:sz w:val="16"/>
          <w:szCs w:val="16"/>
          <w:lang w:val="sr-Cyrl-CS"/>
        </w:rPr>
        <w:t xml:space="preserve">  </w:t>
      </w:r>
      <w:r w:rsidR="006F26AF" w:rsidRPr="00FF1FC1">
        <w:rPr>
          <w:sz w:val="16"/>
          <w:szCs w:val="16"/>
          <w:lang w:val="sr-Cyrl-CS"/>
        </w:rPr>
        <w:t xml:space="preserve">11 971 </w:t>
      </w:r>
      <w:r w:rsidR="00711270">
        <w:rPr>
          <w:sz w:val="16"/>
          <w:szCs w:val="16"/>
          <w:lang w:val="sr-Cyrl-CS"/>
        </w:rPr>
        <w:t xml:space="preserve">         </w:t>
      </w:r>
      <w:r w:rsidR="006F26AF" w:rsidRPr="00FF1FC1">
        <w:rPr>
          <w:sz w:val="16"/>
          <w:szCs w:val="16"/>
          <w:lang w:val="sr-Cyrl-CS"/>
        </w:rPr>
        <w:t xml:space="preserve">13 517 </w:t>
      </w:r>
      <w:r w:rsidR="000472D2">
        <w:rPr>
          <w:sz w:val="16"/>
          <w:szCs w:val="16"/>
          <w:lang w:val="sr-Cyrl-CS"/>
        </w:rPr>
        <w:t xml:space="preserve">       </w:t>
      </w:r>
      <w:r w:rsidR="00120C2A">
        <w:rPr>
          <w:sz w:val="16"/>
          <w:szCs w:val="16"/>
          <w:lang w:val="sr-Cyrl-CS"/>
        </w:rPr>
        <w:t xml:space="preserve">  </w:t>
      </w:r>
      <w:r w:rsidR="006F26AF" w:rsidRPr="00FF1FC1">
        <w:rPr>
          <w:sz w:val="16"/>
          <w:szCs w:val="16"/>
          <w:lang w:val="sr-Cyrl-CS"/>
        </w:rPr>
        <w:t xml:space="preserve">14 235 </w:t>
      </w:r>
    </w:p>
    <w:p w:rsidR="00584BB7" w:rsidRPr="00FF1FC1" w:rsidRDefault="00584BB7" w:rsidP="006D724E">
      <w:pPr>
        <w:pStyle w:val="NoSpacing"/>
        <w:jc w:val="both"/>
        <w:rPr>
          <w:sz w:val="16"/>
          <w:szCs w:val="16"/>
          <w:lang w:val="sr-Cyrl-CS"/>
        </w:rPr>
      </w:pPr>
      <w:r>
        <w:rPr>
          <w:sz w:val="16"/>
          <w:szCs w:val="16"/>
          <w:lang w:val="sr-Cyrl-CS"/>
        </w:rPr>
        <w:t>________________________________________________________________________________________________</w:t>
      </w:r>
      <w:r w:rsidR="000B0223">
        <w:rPr>
          <w:sz w:val="16"/>
          <w:szCs w:val="16"/>
          <w:lang w:val="sr-Cyrl-CS"/>
        </w:rPr>
        <w:t>_</w:t>
      </w:r>
    </w:p>
    <w:p w:rsidR="006F26AF" w:rsidRDefault="00FF1FC1" w:rsidP="006D724E">
      <w:pPr>
        <w:pStyle w:val="NoSpacing"/>
        <w:jc w:val="both"/>
        <w:rPr>
          <w:sz w:val="16"/>
          <w:szCs w:val="16"/>
          <w:lang w:val="sr-Cyrl-CS"/>
        </w:rPr>
      </w:pPr>
      <w:r w:rsidRPr="00FF1FC1">
        <w:rPr>
          <w:sz w:val="16"/>
          <w:szCs w:val="16"/>
          <w:lang w:val="sr-Cyrl-CS"/>
        </w:rPr>
        <w:t>РУМУНИЈА</w:t>
      </w:r>
      <w:r w:rsidR="005F2A41">
        <w:rPr>
          <w:sz w:val="16"/>
          <w:szCs w:val="16"/>
          <w:lang w:val="sr-Cyrl-CS"/>
        </w:rPr>
        <w:t xml:space="preserve"> </w:t>
      </w:r>
      <w:r w:rsidR="006F26AF" w:rsidRPr="00FF1FC1">
        <w:rPr>
          <w:sz w:val="16"/>
          <w:szCs w:val="16"/>
          <w:lang w:val="sr-Cyrl-CS"/>
        </w:rPr>
        <w:t xml:space="preserve"> </w:t>
      </w:r>
      <w:r w:rsidR="005F2A41">
        <w:rPr>
          <w:sz w:val="16"/>
          <w:szCs w:val="16"/>
          <w:lang w:val="sr-Cyrl-CS"/>
        </w:rPr>
        <w:t xml:space="preserve">     </w:t>
      </w:r>
      <w:r w:rsidR="000472D2">
        <w:rPr>
          <w:sz w:val="16"/>
          <w:szCs w:val="16"/>
          <w:lang w:val="sr-Cyrl-CS"/>
        </w:rPr>
        <w:t xml:space="preserve">       </w:t>
      </w:r>
      <w:r w:rsidR="006F26AF" w:rsidRPr="00FF1FC1">
        <w:rPr>
          <w:sz w:val="16"/>
          <w:szCs w:val="16"/>
          <w:lang w:val="sr-Cyrl-CS"/>
        </w:rPr>
        <w:t xml:space="preserve">6 439 </w:t>
      </w:r>
      <w:r w:rsidR="000472D2">
        <w:rPr>
          <w:sz w:val="16"/>
          <w:szCs w:val="16"/>
          <w:lang w:val="sr-Cyrl-CS"/>
        </w:rPr>
        <w:t xml:space="preserve">                </w:t>
      </w:r>
      <w:r w:rsidR="006F26AF" w:rsidRPr="00FF1FC1">
        <w:rPr>
          <w:sz w:val="16"/>
          <w:szCs w:val="16"/>
          <w:lang w:val="sr-Cyrl-CS"/>
        </w:rPr>
        <w:t>7 741</w:t>
      </w:r>
      <w:r w:rsidR="004D6C73">
        <w:rPr>
          <w:sz w:val="16"/>
          <w:szCs w:val="16"/>
          <w:lang w:val="sr-Cyrl-CS"/>
        </w:rPr>
        <w:t xml:space="preserve">                 </w:t>
      </w:r>
      <w:r w:rsidR="006F26AF" w:rsidRPr="00FF1FC1">
        <w:rPr>
          <w:sz w:val="16"/>
          <w:szCs w:val="16"/>
          <w:lang w:val="sr-Cyrl-CS"/>
        </w:rPr>
        <w:t xml:space="preserve">10 079 </w:t>
      </w:r>
      <w:r w:rsidR="000472D2">
        <w:rPr>
          <w:sz w:val="16"/>
          <w:szCs w:val="16"/>
          <w:lang w:val="sr-Cyrl-CS"/>
        </w:rPr>
        <w:t xml:space="preserve">       </w:t>
      </w:r>
      <w:r w:rsidR="005F2A41">
        <w:rPr>
          <w:sz w:val="16"/>
          <w:szCs w:val="16"/>
          <w:lang w:val="sr-Cyrl-CS"/>
        </w:rPr>
        <w:t xml:space="preserve"> </w:t>
      </w:r>
      <w:r w:rsidR="000472D2">
        <w:rPr>
          <w:sz w:val="16"/>
          <w:szCs w:val="16"/>
          <w:lang w:val="sr-Cyrl-CS"/>
        </w:rPr>
        <w:t xml:space="preserve"> </w:t>
      </w:r>
      <w:r w:rsidR="00120C2A">
        <w:rPr>
          <w:sz w:val="16"/>
          <w:szCs w:val="16"/>
          <w:lang w:val="sr-Cyrl-CS"/>
        </w:rPr>
        <w:t xml:space="preserve"> </w:t>
      </w:r>
      <w:r w:rsidR="006F26AF" w:rsidRPr="00FF1FC1">
        <w:rPr>
          <w:sz w:val="16"/>
          <w:szCs w:val="16"/>
          <w:lang w:val="sr-Cyrl-CS"/>
        </w:rPr>
        <w:t xml:space="preserve">11 036 </w:t>
      </w:r>
      <w:r w:rsidR="005F2A41">
        <w:rPr>
          <w:sz w:val="16"/>
          <w:szCs w:val="16"/>
          <w:lang w:val="sr-Cyrl-CS"/>
        </w:rPr>
        <w:t xml:space="preserve">              </w:t>
      </w:r>
      <w:r w:rsidR="000472D2">
        <w:rPr>
          <w:sz w:val="16"/>
          <w:szCs w:val="16"/>
          <w:lang w:val="sr-Cyrl-CS"/>
        </w:rPr>
        <w:t xml:space="preserve">    </w:t>
      </w:r>
      <w:r w:rsidR="006F26AF" w:rsidRPr="00FF1FC1">
        <w:rPr>
          <w:sz w:val="16"/>
          <w:szCs w:val="16"/>
          <w:lang w:val="sr-Cyrl-CS"/>
        </w:rPr>
        <w:t xml:space="preserve">7 852 </w:t>
      </w:r>
      <w:r w:rsidR="00711270">
        <w:rPr>
          <w:sz w:val="16"/>
          <w:szCs w:val="16"/>
          <w:lang w:val="sr-Cyrl-CS"/>
        </w:rPr>
        <w:t xml:space="preserve">          </w:t>
      </w:r>
      <w:r w:rsidR="000472D2">
        <w:rPr>
          <w:sz w:val="16"/>
          <w:szCs w:val="16"/>
          <w:lang w:val="sr-Cyrl-CS"/>
        </w:rPr>
        <w:t xml:space="preserve"> </w:t>
      </w:r>
      <w:r w:rsidR="006F26AF" w:rsidRPr="00FF1FC1">
        <w:rPr>
          <w:sz w:val="16"/>
          <w:szCs w:val="16"/>
          <w:lang w:val="sr-Cyrl-CS"/>
        </w:rPr>
        <w:t xml:space="preserve">9 </w:t>
      </w:r>
      <w:r w:rsidR="000472D2">
        <w:rPr>
          <w:sz w:val="16"/>
          <w:szCs w:val="16"/>
          <w:lang w:val="sr-Cyrl-CS"/>
        </w:rPr>
        <w:t xml:space="preserve">494       </w:t>
      </w:r>
      <w:r w:rsidR="005F2A41">
        <w:rPr>
          <w:sz w:val="16"/>
          <w:szCs w:val="16"/>
          <w:lang w:val="sr-Cyrl-CS"/>
        </w:rPr>
        <w:t xml:space="preserve"> </w:t>
      </w:r>
      <w:r w:rsidR="00120C2A">
        <w:rPr>
          <w:sz w:val="16"/>
          <w:szCs w:val="16"/>
          <w:lang w:val="sr-Cyrl-CS"/>
        </w:rPr>
        <w:t xml:space="preserve">  </w:t>
      </w:r>
      <w:r w:rsidR="005F2A41">
        <w:rPr>
          <w:sz w:val="16"/>
          <w:szCs w:val="16"/>
          <w:lang w:val="sr-Cyrl-CS"/>
        </w:rPr>
        <w:t xml:space="preserve">11 </w:t>
      </w:r>
      <w:r w:rsidR="006F26AF" w:rsidRPr="00FF1FC1">
        <w:rPr>
          <w:sz w:val="16"/>
          <w:szCs w:val="16"/>
          <w:lang w:val="sr-Cyrl-CS"/>
        </w:rPr>
        <w:t xml:space="preserve">412 </w:t>
      </w:r>
    </w:p>
    <w:p w:rsidR="00584BB7" w:rsidRPr="00FF1FC1" w:rsidRDefault="00584BB7" w:rsidP="006D724E">
      <w:pPr>
        <w:pStyle w:val="NoSpacing"/>
        <w:jc w:val="both"/>
        <w:rPr>
          <w:sz w:val="16"/>
          <w:szCs w:val="16"/>
          <w:lang w:val="sr-Cyrl-CS"/>
        </w:rPr>
      </w:pPr>
      <w:r>
        <w:rPr>
          <w:sz w:val="16"/>
          <w:szCs w:val="16"/>
          <w:lang w:val="sr-Cyrl-CS"/>
        </w:rPr>
        <w:t>________________________________________________________________________________________________</w:t>
      </w:r>
      <w:r w:rsidR="000B0223">
        <w:rPr>
          <w:sz w:val="16"/>
          <w:szCs w:val="16"/>
          <w:lang w:val="sr-Cyrl-CS"/>
        </w:rPr>
        <w:t>_</w:t>
      </w:r>
    </w:p>
    <w:p w:rsidR="006F26AF" w:rsidRDefault="00FF1FC1" w:rsidP="006D724E">
      <w:pPr>
        <w:pStyle w:val="NoSpacing"/>
        <w:jc w:val="both"/>
        <w:rPr>
          <w:sz w:val="16"/>
          <w:szCs w:val="16"/>
          <w:lang w:val="sr-Cyrl-CS"/>
        </w:rPr>
      </w:pPr>
      <w:r w:rsidRPr="00FF1FC1">
        <w:rPr>
          <w:sz w:val="16"/>
          <w:szCs w:val="16"/>
          <w:lang w:val="sr-Cyrl-CS"/>
        </w:rPr>
        <w:t>СЛОВАЧКА</w:t>
      </w:r>
      <w:r w:rsidR="005F2A41">
        <w:rPr>
          <w:sz w:val="16"/>
          <w:szCs w:val="16"/>
          <w:lang w:val="sr-Cyrl-CS"/>
        </w:rPr>
        <w:t xml:space="preserve">       </w:t>
      </w:r>
      <w:r w:rsidR="000472D2">
        <w:rPr>
          <w:sz w:val="16"/>
          <w:szCs w:val="16"/>
          <w:lang w:val="sr-Cyrl-CS"/>
        </w:rPr>
        <w:t xml:space="preserve">   </w:t>
      </w:r>
      <w:r w:rsidR="006F26AF" w:rsidRPr="00FF1FC1">
        <w:rPr>
          <w:sz w:val="16"/>
          <w:szCs w:val="16"/>
          <w:lang w:val="sr-Cyrl-CS"/>
        </w:rPr>
        <w:t xml:space="preserve"> </w:t>
      </w:r>
      <w:r w:rsidR="000472D2">
        <w:rPr>
          <w:sz w:val="16"/>
          <w:szCs w:val="16"/>
          <w:lang w:val="sr-Cyrl-CS"/>
        </w:rPr>
        <w:t xml:space="preserve">   </w:t>
      </w:r>
      <w:r w:rsidR="006F26AF" w:rsidRPr="00FF1FC1">
        <w:rPr>
          <w:sz w:val="16"/>
          <w:szCs w:val="16"/>
          <w:lang w:val="sr-Cyrl-CS"/>
        </w:rPr>
        <w:t xml:space="preserve">3 880 </w:t>
      </w:r>
      <w:r w:rsidR="005F2A41">
        <w:rPr>
          <w:sz w:val="16"/>
          <w:szCs w:val="16"/>
          <w:lang w:val="sr-Cyrl-CS"/>
        </w:rPr>
        <w:t xml:space="preserve">                 </w:t>
      </w:r>
      <w:r w:rsidR="006F26AF" w:rsidRPr="00FF1FC1">
        <w:rPr>
          <w:sz w:val="16"/>
          <w:szCs w:val="16"/>
          <w:lang w:val="sr-Cyrl-CS"/>
        </w:rPr>
        <w:t xml:space="preserve">4 104 </w:t>
      </w:r>
      <w:r w:rsidR="000472D2">
        <w:rPr>
          <w:sz w:val="16"/>
          <w:szCs w:val="16"/>
          <w:lang w:val="sr-Cyrl-CS"/>
        </w:rPr>
        <w:t xml:space="preserve">   </w:t>
      </w:r>
      <w:r w:rsidR="004D6C73">
        <w:rPr>
          <w:sz w:val="16"/>
          <w:szCs w:val="16"/>
          <w:lang w:val="sr-Cyrl-CS"/>
        </w:rPr>
        <w:t xml:space="preserve">             </w:t>
      </w:r>
      <w:r w:rsidR="005F2A41">
        <w:rPr>
          <w:sz w:val="16"/>
          <w:szCs w:val="16"/>
          <w:lang w:val="sr-Cyrl-CS"/>
        </w:rPr>
        <w:t xml:space="preserve"> </w:t>
      </w:r>
      <w:r w:rsidR="006F26AF" w:rsidRPr="00FF1FC1">
        <w:rPr>
          <w:sz w:val="16"/>
          <w:szCs w:val="16"/>
          <w:lang w:val="sr-Cyrl-CS"/>
        </w:rPr>
        <w:t xml:space="preserve">4 147 </w:t>
      </w:r>
      <w:r w:rsidR="000472D2">
        <w:rPr>
          <w:sz w:val="16"/>
          <w:szCs w:val="16"/>
          <w:lang w:val="sr-Cyrl-CS"/>
        </w:rPr>
        <w:t xml:space="preserve">          </w:t>
      </w:r>
      <w:r w:rsidR="005F2A41">
        <w:rPr>
          <w:sz w:val="16"/>
          <w:szCs w:val="16"/>
          <w:lang w:val="sr-Cyrl-CS"/>
        </w:rPr>
        <w:t xml:space="preserve"> </w:t>
      </w:r>
      <w:r w:rsidR="000472D2">
        <w:rPr>
          <w:sz w:val="16"/>
          <w:szCs w:val="16"/>
          <w:lang w:val="sr-Cyrl-CS"/>
        </w:rPr>
        <w:t xml:space="preserve"> </w:t>
      </w:r>
      <w:r w:rsidR="006F26AF" w:rsidRPr="00FF1FC1">
        <w:rPr>
          <w:sz w:val="16"/>
          <w:szCs w:val="16"/>
          <w:lang w:val="sr-Cyrl-CS"/>
        </w:rPr>
        <w:t xml:space="preserve">4 621 </w:t>
      </w:r>
      <w:r w:rsidR="005F2A41">
        <w:rPr>
          <w:sz w:val="16"/>
          <w:szCs w:val="16"/>
          <w:lang w:val="sr-Cyrl-CS"/>
        </w:rPr>
        <w:t xml:space="preserve">                </w:t>
      </w:r>
      <w:r w:rsidR="000472D2">
        <w:rPr>
          <w:sz w:val="16"/>
          <w:szCs w:val="16"/>
          <w:lang w:val="sr-Cyrl-CS"/>
        </w:rPr>
        <w:t xml:space="preserve">  </w:t>
      </w:r>
      <w:r w:rsidR="006F26AF" w:rsidRPr="00FF1FC1">
        <w:rPr>
          <w:sz w:val="16"/>
          <w:szCs w:val="16"/>
          <w:lang w:val="sr-Cyrl-CS"/>
        </w:rPr>
        <w:t xml:space="preserve">4 221 </w:t>
      </w:r>
      <w:r w:rsidR="00711270">
        <w:rPr>
          <w:sz w:val="16"/>
          <w:szCs w:val="16"/>
          <w:lang w:val="sr-Cyrl-CS"/>
        </w:rPr>
        <w:t xml:space="preserve">            </w:t>
      </w:r>
      <w:r w:rsidR="006F26AF" w:rsidRPr="00FF1FC1">
        <w:rPr>
          <w:sz w:val="16"/>
          <w:szCs w:val="16"/>
          <w:lang w:val="sr-Cyrl-CS"/>
        </w:rPr>
        <w:t xml:space="preserve">4 182 </w:t>
      </w:r>
      <w:r w:rsidR="000472D2">
        <w:rPr>
          <w:sz w:val="16"/>
          <w:szCs w:val="16"/>
          <w:lang w:val="sr-Cyrl-CS"/>
        </w:rPr>
        <w:t xml:space="preserve">       </w:t>
      </w:r>
      <w:r w:rsidR="005F2A41">
        <w:rPr>
          <w:sz w:val="16"/>
          <w:szCs w:val="16"/>
          <w:lang w:val="sr-Cyrl-CS"/>
        </w:rPr>
        <w:t xml:space="preserve"> </w:t>
      </w:r>
      <w:r w:rsidR="00120C2A">
        <w:rPr>
          <w:sz w:val="16"/>
          <w:szCs w:val="16"/>
          <w:lang w:val="sr-Cyrl-CS"/>
        </w:rPr>
        <w:t xml:space="preserve"> </w:t>
      </w:r>
      <w:r w:rsidR="006F26AF" w:rsidRPr="00FF1FC1">
        <w:rPr>
          <w:sz w:val="16"/>
          <w:szCs w:val="16"/>
          <w:lang w:val="sr-Cyrl-CS"/>
        </w:rPr>
        <w:t xml:space="preserve">4 711 </w:t>
      </w:r>
    </w:p>
    <w:p w:rsidR="00584BB7" w:rsidRPr="00FF1FC1" w:rsidRDefault="00584BB7" w:rsidP="006D724E">
      <w:pPr>
        <w:pStyle w:val="NoSpacing"/>
        <w:jc w:val="both"/>
        <w:rPr>
          <w:sz w:val="16"/>
          <w:szCs w:val="16"/>
          <w:lang w:val="sr-Cyrl-CS"/>
        </w:rPr>
      </w:pPr>
      <w:r>
        <w:rPr>
          <w:sz w:val="16"/>
          <w:szCs w:val="16"/>
          <w:lang w:val="sr-Cyrl-CS"/>
        </w:rPr>
        <w:t>________________________________________________________________________________________________</w:t>
      </w:r>
      <w:r w:rsidR="000B0223">
        <w:rPr>
          <w:sz w:val="16"/>
          <w:szCs w:val="16"/>
          <w:lang w:val="sr-Cyrl-CS"/>
        </w:rPr>
        <w:t>_</w:t>
      </w:r>
    </w:p>
    <w:p w:rsidR="006F26AF" w:rsidRDefault="00FF1FC1" w:rsidP="006D724E">
      <w:pPr>
        <w:pStyle w:val="NoSpacing"/>
        <w:jc w:val="both"/>
        <w:rPr>
          <w:sz w:val="16"/>
          <w:szCs w:val="16"/>
          <w:lang w:val="sr-Cyrl-CS"/>
        </w:rPr>
      </w:pPr>
      <w:r w:rsidRPr="00FF1FC1">
        <w:rPr>
          <w:sz w:val="16"/>
          <w:szCs w:val="16"/>
          <w:lang w:val="sr-Cyrl-CS"/>
        </w:rPr>
        <w:t>СЛОВЕНИЈА</w:t>
      </w:r>
      <w:r w:rsidR="005F2A41">
        <w:rPr>
          <w:sz w:val="16"/>
          <w:szCs w:val="16"/>
          <w:lang w:val="sr-Cyrl-CS"/>
        </w:rPr>
        <w:t xml:space="preserve">     </w:t>
      </w:r>
      <w:r w:rsidR="000472D2">
        <w:rPr>
          <w:sz w:val="16"/>
          <w:szCs w:val="16"/>
          <w:lang w:val="sr-Cyrl-CS"/>
        </w:rPr>
        <w:t xml:space="preserve">       </w:t>
      </w:r>
      <w:r w:rsidR="006F26AF" w:rsidRPr="00FF1FC1">
        <w:rPr>
          <w:sz w:val="16"/>
          <w:szCs w:val="16"/>
          <w:lang w:val="sr-Cyrl-CS"/>
        </w:rPr>
        <w:t xml:space="preserve">2 472 </w:t>
      </w:r>
      <w:r w:rsidR="005F2A41">
        <w:rPr>
          <w:sz w:val="16"/>
          <w:szCs w:val="16"/>
          <w:lang w:val="sr-Cyrl-CS"/>
        </w:rPr>
        <w:t xml:space="preserve">                 </w:t>
      </w:r>
      <w:r w:rsidR="006F26AF" w:rsidRPr="00FF1FC1">
        <w:rPr>
          <w:sz w:val="16"/>
          <w:szCs w:val="16"/>
          <w:lang w:val="sr-Cyrl-CS"/>
        </w:rPr>
        <w:t xml:space="preserve">2 647 </w:t>
      </w:r>
      <w:r w:rsidR="000472D2">
        <w:rPr>
          <w:sz w:val="16"/>
          <w:szCs w:val="16"/>
          <w:lang w:val="sr-Cyrl-CS"/>
        </w:rPr>
        <w:t xml:space="preserve">                   </w:t>
      </w:r>
      <w:r w:rsidR="006F26AF" w:rsidRPr="00FF1FC1">
        <w:rPr>
          <w:sz w:val="16"/>
          <w:szCs w:val="16"/>
          <w:lang w:val="sr-Cyrl-CS"/>
        </w:rPr>
        <w:t xml:space="preserve">2 923 </w:t>
      </w:r>
      <w:r w:rsidR="000472D2">
        <w:rPr>
          <w:sz w:val="16"/>
          <w:szCs w:val="16"/>
          <w:lang w:val="sr-Cyrl-CS"/>
        </w:rPr>
        <w:t xml:space="preserve">           </w:t>
      </w:r>
      <w:r w:rsidR="006F26AF" w:rsidRPr="00FF1FC1">
        <w:rPr>
          <w:sz w:val="16"/>
          <w:szCs w:val="16"/>
          <w:lang w:val="sr-Cyrl-CS"/>
        </w:rPr>
        <w:t xml:space="preserve">3 165 </w:t>
      </w:r>
      <w:r w:rsidR="000472D2">
        <w:rPr>
          <w:sz w:val="16"/>
          <w:szCs w:val="16"/>
          <w:lang w:val="sr-Cyrl-CS"/>
        </w:rPr>
        <w:t xml:space="preserve">                 </w:t>
      </w:r>
      <w:r w:rsidR="005F2A41">
        <w:rPr>
          <w:sz w:val="16"/>
          <w:szCs w:val="16"/>
          <w:lang w:val="sr-Cyrl-CS"/>
        </w:rPr>
        <w:t xml:space="preserve"> </w:t>
      </w:r>
      <w:r w:rsidR="006F26AF" w:rsidRPr="00FF1FC1">
        <w:rPr>
          <w:sz w:val="16"/>
          <w:szCs w:val="16"/>
          <w:lang w:val="sr-Cyrl-CS"/>
        </w:rPr>
        <w:t xml:space="preserve">2 991 </w:t>
      </w:r>
      <w:r w:rsidR="005F2A41">
        <w:rPr>
          <w:sz w:val="16"/>
          <w:szCs w:val="16"/>
          <w:lang w:val="sr-Cyrl-CS"/>
        </w:rPr>
        <w:t xml:space="preserve">           </w:t>
      </w:r>
      <w:r w:rsidR="00711270">
        <w:rPr>
          <w:sz w:val="16"/>
          <w:szCs w:val="16"/>
          <w:lang w:val="sr-Cyrl-CS"/>
        </w:rPr>
        <w:t xml:space="preserve">  </w:t>
      </w:r>
      <w:r w:rsidR="006F26AF" w:rsidRPr="00FF1FC1">
        <w:rPr>
          <w:sz w:val="16"/>
          <w:szCs w:val="16"/>
          <w:lang w:val="sr-Cyrl-CS"/>
        </w:rPr>
        <w:t xml:space="preserve">3 045 </w:t>
      </w:r>
      <w:r w:rsidR="000472D2">
        <w:rPr>
          <w:sz w:val="16"/>
          <w:szCs w:val="16"/>
          <w:lang w:val="sr-Cyrl-CS"/>
        </w:rPr>
        <w:t xml:space="preserve">       </w:t>
      </w:r>
      <w:r w:rsidR="00120C2A">
        <w:rPr>
          <w:sz w:val="16"/>
          <w:szCs w:val="16"/>
          <w:lang w:val="sr-Cyrl-CS"/>
        </w:rPr>
        <w:t xml:space="preserve"> </w:t>
      </w:r>
      <w:r w:rsidR="006F26AF" w:rsidRPr="00FF1FC1">
        <w:rPr>
          <w:sz w:val="16"/>
          <w:szCs w:val="16"/>
          <w:lang w:val="sr-Cyrl-CS"/>
        </w:rPr>
        <w:t xml:space="preserve">3 049 </w:t>
      </w:r>
    </w:p>
    <w:p w:rsidR="00584BB7" w:rsidRPr="00FF1FC1" w:rsidRDefault="00584BB7" w:rsidP="006D724E">
      <w:pPr>
        <w:pStyle w:val="NoSpacing"/>
        <w:jc w:val="both"/>
        <w:rPr>
          <w:sz w:val="16"/>
          <w:szCs w:val="16"/>
          <w:lang w:val="sr-Cyrl-CS"/>
        </w:rPr>
      </w:pPr>
      <w:r>
        <w:rPr>
          <w:sz w:val="16"/>
          <w:szCs w:val="16"/>
          <w:lang w:val="sr-Cyrl-CS"/>
        </w:rPr>
        <w:t>_________________________________________________________________________________________________</w:t>
      </w:r>
    </w:p>
    <w:p w:rsidR="00364B8B" w:rsidRDefault="00FF1FC1" w:rsidP="006D724E">
      <w:pPr>
        <w:pStyle w:val="NoSpacing"/>
        <w:jc w:val="both"/>
        <w:rPr>
          <w:sz w:val="16"/>
          <w:szCs w:val="16"/>
          <w:lang w:val="sr-Cyrl-CS"/>
        </w:rPr>
      </w:pPr>
      <w:r w:rsidRPr="00FF1FC1">
        <w:rPr>
          <w:sz w:val="16"/>
          <w:szCs w:val="16"/>
          <w:lang w:val="sr-Cyrl-CS"/>
        </w:rPr>
        <w:t>ШПАНИЈА</w:t>
      </w:r>
      <w:r w:rsidR="005F2A41">
        <w:rPr>
          <w:sz w:val="16"/>
          <w:szCs w:val="16"/>
          <w:lang w:val="sr-Cyrl-CS"/>
        </w:rPr>
        <w:t xml:space="preserve">          </w:t>
      </w:r>
      <w:r w:rsidR="006F26AF" w:rsidRPr="00FF1FC1">
        <w:rPr>
          <w:sz w:val="16"/>
          <w:szCs w:val="16"/>
          <w:lang w:val="sr-Cyrl-CS"/>
        </w:rPr>
        <w:t xml:space="preserve"> </w:t>
      </w:r>
      <w:r w:rsidR="000472D2">
        <w:rPr>
          <w:sz w:val="16"/>
          <w:szCs w:val="16"/>
          <w:lang w:val="sr-Cyrl-CS"/>
        </w:rPr>
        <w:t xml:space="preserve">    </w:t>
      </w:r>
      <w:r w:rsidR="006F26AF" w:rsidRPr="00FF1FC1">
        <w:rPr>
          <w:sz w:val="16"/>
          <w:szCs w:val="16"/>
          <w:lang w:val="sr-Cyrl-CS"/>
        </w:rPr>
        <w:t xml:space="preserve">58 213 </w:t>
      </w:r>
      <w:r w:rsidR="005F2A41">
        <w:rPr>
          <w:sz w:val="16"/>
          <w:szCs w:val="16"/>
          <w:lang w:val="sr-Cyrl-CS"/>
        </w:rPr>
        <w:t xml:space="preserve">              </w:t>
      </w:r>
      <w:r w:rsidR="000472D2">
        <w:rPr>
          <w:sz w:val="16"/>
          <w:szCs w:val="16"/>
          <w:lang w:val="sr-Cyrl-CS"/>
        </w:rPr>
        <w:t xml:space="preserve"> </w:t>
      </w:r>
      <w:r w:rsidR="006F26AF" w:rsidRPr="00FF1FC1">
        <w:rPr>
          <w:sz w:val="16"/>
          <w:szCs w:val="16"/>
          <w:lang w:val="sr-Cyrl-CS"/>
        </w:rPr>
        <w:t>63 273</w:t>
      </w:r>
      <w:r w:rsidR="000472D2">
        <w:rPr>
          <w:sz w:val="16"/>
          <w:szCs w:val="16"/>
          <w:lang w:val="sr-Cyrl-CS"/>
        </w:rPr>
        <w:t xml:space="preserve">                 </w:t>
      </w:r>
      <w:r w:rsidR="006F26AF" w:rsidRPr="00FF1FC1">
        <w:rPr>
          <w:sz w:val="16"/>
          <w:szCs w:val="16"/>
          <w:lang w:val="sr-Cyrl-CS"/>
        </w:rPr>
        <w:t xml:space="preserve">61 713 </w:t>
      </w:r>
      <w:r w:rsidR="000472D2">
        <w:rPr>
          <w:sz w:val="16"/>
          <w:szCs w:val="16"/>
          <w:lang w:val="sr-Cyrl-CS"/>
        </w:rPr>
        <w:t xml:space="preserve">        </w:t>
      </w:r>
      <w:r w:rsidR="00120C2A">
        <w:rPr>
          <w:sz w:val="16"/>
          <w:szCs w:val="16"/>
          <w:lang w:val="sr-Cyrl-CS"/>
        </w:rPr>
        <w:t xml:space="preserve"> </w:t>
      </w:r>
      <w:r w:rsidR="006F26AF" w:rsidRPr="00FF1FC1">
        <w:rPr>
          <w:sz w:val="16"/>
          <w:szCs w:val="16"/>
          <w:lang w:val="sr-Cyrl-CS"/>
        </w:rPr>
        <w:t xml:space="preserve">54 280 </w:t>
      </w:r>
      <w:r w:rsidR="000472D2">
        <w:rPr>
          <w:sz w:val="16"/>
          <w:szCs w:val="16"/>
          <w:lang w:val="sr-Cyrl-CS"/>
        </w:rPr>
        <w:t xml:space="preserve">                </w:t>
      </w:r>
      <w:r w:rsidR="005F2A41">
        <w:rPr>
          <w:sz w:val="16"/>
          <w:szCs w:val="16"/>
          <w:lang w:val="sr-Cyrl-CS"/>
        </w:rPr>
        <w:t xml:space="preserve"> </w:t>
      </w:r>
      <w:r w:rsidR="006F26AF" w:rsidRPr="00FF1FC1">
        <w:rPr>
          <w:sz w:val="16"/>
          <w:szCs w:val="16"/>
          <w:lang w:val="sr-Cyrl-CS"/>
        </w:rPr>
        <w:t xml:space="preserve">42 669 </w:t>
      </w:r>
      <w:r w:rsidR="005F2A41">
        <w:rPr>
          <w:sz w:val="16"/>
          <w:szCs w:val="16"/>
          <w:lang w:val="sr-Cyrl-CS"/>
        </w:rPr>
        <w:t xml:space="preserve">         </w:t>
      </w:r>
      <w:r w:rsidR="00711270">
        <w:rPr>
          <w:sz w:val="16"/>
          <w:szCs w:val="16"/>
          <w:lang w:val="sr-Cyrl-CS"/>
        </w:rPr>
        <w:t xml:space="preserve"> </w:t>
      </w:r>
      <w:r w:rsidR="006F26AF" w:rsidRPr="00FF1FC1">
        <w:rPr>
          <w:sz w:val="16"/>
          <w:szCs w:val="16"/>
          <w:lang w:val="sr-Cyrl-CS"/>
        </w:rPr>
        <w:t xml:space="preserve">57 992 </w:t>
      </w:r>
      <w:r w:rsidR="004D6C73">
        <w:rPr>
          <w:sz w:val="16"/>
          <w:szCs w:val="16"/>
          <w:lang w:val="sr-Cyrl-CS"/>
        </w:rPr>
        <w:t xml:space="preserve">    </w:t>
      </w:r>
      <w:r w:rsidR="005F2A41">
        <w:rPr>
          <w:sz w:val="16"/>
          <w:szCs w:val="16"/>
          <w:lang w:val="sr-Cyrl-CS"/>
        </w:rPr>
        <w:t xml:space="preserve">  </w:t>
      </w:r>
      <w:r w:rsidR="00120C2A">
        <w:rPr>
          <w:sz w:val="16"/>
          <w:szCs w:val="16"/>
          <w:lang w:val="sr-Cyrl-CS"/>
        </w:rPr>
        <w:t xml:space="preserve"> </w:t>
      </w:r>
      <w:r w:rsidR="006F26AF" w:rsidRPr="00FF1FC1">
        <w:rPr>
          <w:sz w:val="16"/>
          <w:szCs w:val="16"/>
          <w:lang w:val="sr-Cyrl-CS"/>
        </w:rPr>
        <w:t>56 547</w:t>
      </w:r>
    </w:p>
    <w:p w:rsidR="006F26AF" w:rsidRPr="00FF1FC1" w:rsidRDefault="00364B8B" w:rsidP="006D724E">
      <w:pPr>
        <w:pStyle w:val="NoSpacing"/>
        <w:jc w:val="both"/>
        <w:rPr>
          <w:sz w:val="16"/>
          <w:szCs w:val="16"/>
          <w:lang w:val="sr-Cyrl-CS"/>
        </w:rPr>
      </w:pPr>
      <w:r>
        <w:rPr>
          <w:sz w:val="16"/>
          <w:szCs w:val="16"/>
          <w:lang w:val="sr-Cyrl-CS"/>
        </w:rPr>
        <w:t>_____________________________________________________</w:t>
      </w:r>
      <w:r w:rsidR="00120C2A">
        <w:rPr>
          <w:sz w:val="16"/>
          <w:szCs w:val="16"/>
          <w:lang w:val="sr-Cyrl-CS"/>
        </w:rPr>
        <w:t xml:space="preserve"> </w:t>
      </w:r>
      <w:r>
        <w:rPr>
          <w:sz w:val="16"/>
          <w:szCs w:val="16"/>
          <w:lang w:val="sr-Cyrl-CS"/>
        </w:rPr>
        <w:t>_____________________________________________</w:t>
      </w:r>
      <w:r w:rsidR="006F26AF" w:rsidRPr="00FF1FC1">
        <w:rPr>
          <w:sz w:val="16"/>
          <w:szCs w:val="16"/>
          <w:lang w:val="sr-Cyrl-CS"/>
        </w:rPr>
        <w:t xml:space="preserve"> </w:t>
      </w:r>
    </w:p>
    <w:p w:rsidR="006F26AF" w:rsidRDefault="00FF1FC1" w:rsidP="006D724E">
      <w:pPr>
        <w:pStyle w:val="NoSpacing"/>
        <w:jc w:val="both"/>
        <w:rPr>
          <w:sz w:val="16"/>
          <w:szCs w:val="16"/>
          <w:lang w:val="sr-Cyrl-CS"/>
        </w:rPr>
      </w:pPr>
      <w:r w:rsidRPr="00FF1FC1">
        <w:rPr>
          <w:sz w:val="16"/>
          <w:szCs w:val="16"/>
          <w:lang w:val="sr-Cyrl-CS"/>
        </w:rPr>
        <w:t>ШВЕДСКА</w:t>
      </w:r>
      <w:r w:rsidR="005F2A41">
        <w:rPr>
          <w:sz w:val="16"/>
          <w:szCs w:val="16"/>
          <w:lang w:val="sr-Cyrl-CS"/>
        </w:rPr>
        <w:t xml:space="preserve">          </w:t>
      </w:r>
      <w:r w:rsidR="006F26AF" w:rsidRPr="00FF1FC1">
        <w:rPr>
          <w:sz w:val="16"/>
          <w:szCs w:val="16"/>
          <w:lang w:val="sr-Cyrl-CS"/>
        </w:rPr>
        <w:t xml:space="preserve"> </w:t>
      </w:r>
      <w:r w:rsidR="000472D2">
        <w:rPr>
          <w:sz w:val="16"/>
          <w:szCs w:val="16"/>
          <w:lang w:val="sr-Cyrl-CS"/>
        </w:rPr>
        <w:t xml:space="preserve">    </w:t>
      </w:r>
      <w:r w:rsidR="006F26AF" w:rsidRPr="00FF1FC1">
        <w:rPr>
          <w:sz w:val="16"/>
          <w:szCs w:val="16"/>
          <w:lang w:val="sr-Cyrl-CS"/>
        </w:rPr>
        <w:t xml:space="preserve">26 786 </w:t>
      </w:r>
      <w:r w:rsidR="005F2A41">
        <w:rPr>
          <w:sz w:val="16"/>
          <w:szCs w:val="16"/>
          <w:lang w:val="sr-Cyrl-CS"/>
        </w:rPr>
        <w:t xml:space="preserve">              </w:t>
      </w:r>
      <w:r w:rsidR="000472D2">
        <w:rPr>
          <w:sz w:val="16"/>
          <w:szCs w:val="16"/>
          <w:lang w:val="sr-Cyrl-CS"/>
        </w:rPr>
        <w:t xml:space="preserve"> </w:t>
      </w:r>
      <w:r w:rsidR="006F26AF" w:rsidRPr="00FF1FC1">
        <w:rPr>
          <w:sz w:val="16"/>
          <w:szCs w:val="16"/>
          <w:lang w:val="sr-Cyrl-CS"/>
        </w:rPr>
        <w:t xml:space="preserve">28 465 </w:t>
      </w:r>
      <w:r w:rsidR="000472D2">
        <w:rPr>
          <w:sz w:val="16"/>
          <w:szCs w:val="16"/>
          <w:lang w:val="sr-Cyrl-CS"/>
        </w:rPr>
        <w:t xml:space="preserve">               </w:t>
      </w:r>
      <w:r w:rsidR="005F2A41">
        <w:rPr>
          <w:sz w:val="16"/>
          <w:szCs w:val="16"/>
          <w:lang w:val="sr-Cyrl-CS"/>
        </w:rPr>
        <w:t xml:space="preserve"> </w:t>
      </w:r>
      <w:r w:rsidR="006F26AF" w:rsidRPr="00FF1FC1">
        <w:rPr>
          <w:sz w:val="16"/>
          <w:szCs w:val="16"/>
          <w:lang w:val="sr-Cyrl-CS"/>
        </w:rPr>
        <w:t xml:space="preserve">30 550 </w:t>
      </w:r>
      <w:r w:rsidR="000472D2">
        <w:rPr>
          <w:sz w:val="16"/>
          <w:szCs w:val="16"/>
          <w:lang w:val="sr-Cyrl-CS"/>
        </w:rPr>
        <w:t xml:space="preserve">        </w:t>
      </w:r>
      <w:r w:rsidR="006F26AF" w:rsidRPr="00FF1FC1">
        <w:rPr>
          <w:sz w:val="16"/>
          <w:szCs w:val="16"/>
          <w:lang w:val="sr-Cyrl-CS"/>
        </w:rPr>
        <w:t xml:space="preserve">30 941 </w:t>
      </w:r>
      <w:r w:rsidR="000472D2">
        <w:rPr>
          <w:sz w:val="16"/>
          <w:szCs w:val="16"/>
          <w:lang w:val="sr-Cyrl-CS"/>
        </w:rPr>
        <w:t xml:space="preserve">                 </w:t>
      </w:r>
      <w:r w:rsidR="006F26AF" w:rsidRPr="00FF1FC1">
        <w:rPr>
          <w:sz w:val="16"/>
          <w:szCs w:val="16"/>
          <w:lang w:val="sr-Cyrl-CS"/>
        </w:rPr>
        <w:t xml:space="preserve">28 199 </w:t>
      </w:r>
      <w:r w:rsidR="005F2A41">
        <w:rPr>
          <w:sz w:val="16"/>
          <w:szCs w:val="16"/>
          <w:lang w:val="sr-Cyrl-CS"/>
        </w:rPr>
        <w:t xml:space="preserve">        </w:t>
      </w:r>
      <w:r w:rsidR="00120C2A">
        <w:rPr>
          <w:sz w:val="16"/>
          <w:szCs w:val="16"/>
          <w:lang w:val="sr-Cyrl-CS"/>
        </w:rPr>
        <w:t xml:space="preserve">   </w:t>
      </w:r>
      <w:r w:rsidR="006F26AF" w:rsidRPr="00FF1FC1">
        <w:rPr>
          <w:sz w:val="16"/>
          <w:szCs w:val="16"/>
          <w:lang w:val="sr-Cyrl-CS"/>
        </w:rPr>
        <w:t xml:space="preserve">33 825 </w:t>
      </w:r>
      <w:r w:rsidR="005F2A41">
        <w:rPr>
          <w:sz w:val="16"/>
          <w:szCs w:val="16"/>
          <w:lang w:val="sr-Cyrl-CS"/>
        </w:rPr>
        <w:t xml:space="preserve">       </w:t>
      </w:r>
      <w:r w:rsidR="00711270">
        <w:rPr>
          <w:sz w:val="16"/>
          <w:szCs w:val="16"/>
          <w:lang w:val="sr-Cyrl-CS"/>
        </w:rPr>
        <w:t xml:space="preserve"> </w:t>
      </w:r>
      <w:r w:rsidR="006F26AF" w:rsidRPr="00FF1FC1">
        <w:rPr>
          <w:sz w:val="16"/>
          <w:szCs w:val="16"/>
          <w:lang w:val="sr-Cyrl-CS"/>
        </w:rPr>
        <w:t xml:space="preserve">36 610 </w:t>
      </w:r>
    </w:p>
    <w:p w:rsidR="00364B8B" w:rsidRPr="00FF1FC1" w:rsidRDefault="00364B8B" w:rsidP="006D724E">
      <w:pPr>
        <w:pStyle w:val="NoSpacing"/>
        <w:jc w:val="both"/>
        <w:rPr>
          <w:sz w:val="16"/>
          <w:szCs w:val="16"/>
          <w:lang w:val="sr-Cyrl-CS"/>
        </w:rPr>
      </w:pPr>
      <w:r>
        <w:rPr>
          <w:sz w:val="16"/>
          <w:szCs w:val="16"/>
          <w:lang w:val="sr-Cyrl-CS"/>
        </w:rPr>
        <w:t>_________________________________________________________________________________________________</w:t>
      </w:r>
      <w:r w:rsidR="000472D2">
        <w:rPr>
          <w:sz w:val="16"/>
          <w:szCs w:val="16"/>
          <w:lang w:val="sr-Cyrl-CS"/>
        </w:rPr>
        <w:t>_</w:t>
      </w:r>
    </w:p>
    <w:p w:rsidR="006F26AF" w:rsidRDefault="00FF1FC1" w:rsidP="006D724E">
      <w:pPr>
        <w:pStyle w:val="NoSpacing"/>
        <w:jc w:val="both"/>
        <w:rPr>
          <w:sz w:val="16"/>
          <w:szCs w:val="16"/>
          <w:lang w:val="sr-Cyrl-CS"/>
        </w:rPr>
      </w:pPr>
      <w:r w:rsidRPr="00FF1FC1">
        <w:rPr>
          <w:sz w:val="16"/>
          <w:szCs w:val="16"/>
          <w:lang w:val="sr-Cyrl-CS"/>
        </w:rPr>
        <w:t>ВЕЛ.БРИТАН.</w:t>
      </w:r>
      <w:r w:rsidR="005F2A41">
        <w:rPr>
          <w:sz w:val="16"/>
          <w:szCs w:val="16"/>
          <w:lang w:val="sr-Cyrl-CS"/>
        </w:rPr>
        <w:t xml:space="preserve">     </w:t>
      </w:r>
      <w:r w:rsidR="006F26AF" w:rsidRPr="00FF1FC1">
        <w:rPr>
          <w:sz w:val="16"/>
          <w:szCs w:val="16"/>
          <w:lang w:val="sr-Cyrl-CS"/>
        </w:rPr>
        <w:t xml:space="preserve"> </w:t>
      </w:r>
      <w:r w:rsidR="000472D2">
        <w:rPr>
          <w:sz w:val="16"/>
          <w:szCs w:val="16"/>
          <w:lang w:val="sr-Cyrl-CS"/>
        </w:rPr>
        <w:t xml:space="preserve">    </w:t>
      </w:r>
      <w:r w:rsidR="006F26AF" w:rsidRPr="00FF1FC1">
        <w:rPr>
          <w:sz w:val="16"/>
          <w:szCs w:val="16"/>
          <w:lang w:val="sr-Cyrl-CS"/>
        </w:rPr>
        <w:t>123 766</w:t>
      </w:r>
      <w:r w:rsidR="005F2A41">
        <w:rPr>
          <w:sz w:val="16"/>
          <w:szCs w:val="16"/>
          <w:lang w:val="sr-Cyrl-CS"/>
        </w:rPr>
        <w:t xml:space="preserve">            </w:t>
      </w:r>
      <w:r w:rsidR="000472D2">
        <w:rPr>
          <w:sz w:val="16"/>
          <w:szCs w:val="16"/>
          <w:lang w:val="sr-Cyrl-CS"/>
        </w:rPr>
        <w:t xml:space="preserve"> </w:t>
      </w:r>
      <w:r w:rsidR="006F26AF" w:rsidRPr="00FF1FC1">
        <w:rPr>
          <w:sz w:val="16"/>
          <w:szCs w:val="16"/>
          <w:lang w:val="sr-Cyrl-CS"/>
        </w:rPr>
        <w:t>130 571</w:t>
      </w:r>
      <w:r w:rsidR="000472D2">
        <w:rPr>
          <w:sz w:val="16"/>
          <w:szCs w:val="16"/>
          <w:lang w:val="sr-Cyrl-CS"/>
        </w:rPr>
        <w:t xml:space="preserve">              </w:t>
      </w:r>
      <w:r w:rsidR="006F26AF" w:rsidRPr="00FF1FC1">
        <w:rPr>
          <w:sz w:val="16"/>
          <w:szCs w:val="16"/>
          <w:lang w:val="sr-Cyrl-CS"/>
        </w:rPr>
        <w:t xml:space="preserve"> 136 404</w:t>
      </w:r>
      <w:r w:rsidR="000472D2">
        <w:rPr>
          <w:sz w:val="16"/>
          <w:szCs w:val="16"/>
          <w:lang w:val="sr-Cyrl-CS"/>
        </w:rPr>
        <w:t xml:space="preserve">        </w:t>
      </w:r>
      <w:r w:rsidR="00120C2A">
        <w:rPr>
          <w:sz w:val="16"/>
          <w:szCs w:val="16"/>
          <w:lang w:val="sr-Cyrl-CS"/>
        </w:rPr>
        <w:t xml:space="preserve"> </w:t>
      </w:r>
      <w:r w:rsidR="006F26AF" w:rsidRPr="00FF1FC1">
        <w:rPr>
          <w:sz w:val="16"/>
          <w:szCs w:val="16"/>
          <w:lang w:val="sr-Cyrl-CS"/>
        </w:rPr>
        <w:t xml:space="preserve">117 292 </w:t>
      </w:r>
      <w:r w:rsidR="000472D2">
        <w:rPr>
          <w:sz w:val="16"/>
          <w:szCs w:val="16"/>
          <w:lang w:val="sr-Cyrl-CS"/>
        </w:rPr>
        <w:t xml:space="preserve">              </w:t>
      </w:r>
      <w:r w:rsidR="005F2A41">
        <w:rPr>
          <w:sz w:val="16"/>
          <w:szCs w:val="16"/>
          <w:lang w:val="sr-Cyrl-CS"/>
        </w:rPr>
        <w:t xml:space="preserve"> </w:t>
      </w:r>
      <w:r w:rsidR="006F26AF" w:rsidRPr="00FF1FC1">
        <w:rPr>
          <w:sz w:val="16"/>
          <w:szCs w:val="16"/>
          <w:lang w:val="sr-Cyrl-CS"/>
        </w:rPr>
        <w:t xml:space="preserve">91 229 </w:t>
      </w:r>
      <w:r w:rsidR="005F2A41">
        <w:rPr>
          <w:sz w:val="16"/>
          <w:szCs w:val="16"/>
          <w:lang w:val="sr-Cyrl-CS"/>
        </w:rPr>
        <w:t xml:space="preserve">        </w:t>
      </w:r>
      <w:r w:rsidR="00120C2A">
        <w:rPr>
          <w:sz w:val="16"/>
          <w:szCs w:val="16"/>
          <w:lang w:val="sr-Cyrl-CS"/>
        </w:rPr>
        <w:t xml:space="preserve"> </w:t>
      </w:r>
      <w:r w:rsidR="005F2A41">
        <w:rPr>
          <w:sz w:val="16"/>
          <w:szCs w:val="16"/>
          <w:lang w:val="sr-Cyrl-CS"/>
        </w:rPr>
        <w:t xml:space="preserve"> </w:t>
      </w:r>
      <w:r w:rsidR="00120C2A">
        <w:rPr>
          <w:sz w:val="16"/>
          <w:szCs w:val="16"/>
          <w:lang w:val="sr-Cyrl-CS"/>
        </w:rPr>
        <w:t xml:space="preserve"> </w:t>
      </w:r>
      <w:r w:rsidR="006F26AF" w:rsidRPr="00FF1FC1">
        <w:rPr>
          <w:sz w:val="16"/>
          <w:szCs w:val="16"/>
          <w:lang w:val="sr-Cyrl-CS"/>
        </w:rPr>
        <w:t xml:space="preserve">113 714 </w:t>
      </w:r>
      <w:r w:rsidR="005F2A41">
        <w:rPr>
          <w:sz w:val="16"/>
          <w:szCs w:val="16"/>
          <w:lang w:val="sr-Cyrl-CS"/>
        </w:rPr>
        <w:t xml:space="preserve">    </w:t>
      </w:r>
      <w:r w:rsidR="00711270">
        <w:rPr>
          <w:sz w:val="16"/>
          <w:szCs w:val="16"/>
          <w:lang w:val="sr-Cyrl-CS"/>
        </w:rPr>
        <w:t xml:space="preserve"> </w:t>
      </w:r>
      <w:r w:rsidR="006F26AF" w:rsidRPr="00FF1FC1">
        <w:rPr>
          <w:sz w:val="16"/>
          <w:szCs w:val="16"/>
          <w:lang w:val="sr-Cyrl-CS"/>
        </w:rPr>
        <w:t>130 577</w:t>
      </w:r>
    </w:p>
    <w:p w:rsidR="00364B8B" w:rsidRDefault="00364B8B" w:rsidP="006D724E">
      <w:pPr>
        <w:pStyle w:val="NoSpacing"/>
        <w:jc w:val="both"/>
        <w:rPr>
          <w:sz w:val="16"/>
          <w:szCs w:val="16"/>
        </w:rPr>
      </w:pPr>
      <w:r>
        <w:rPr>
          <w:sz w:val="16"/>
          <w:szCs w:val="16"/>
          <w:lang w:val="sr-Cyrl-CS"/>
        </w:rPr>
        <w:t>__________________________________________________________________________________________________</w:t>
      </w:r>
    </w:p>
    <w:p w:rsidR="002675A4" w:rsidRPr="002675A4" w:rsidRDefault="002675A4" w:rsidP="006D724E">
      <w:pPr>
        <w:pStyle w:val="NoSpacing"/>
        <w:jc w:val="both"/>
        <w:rPr>
          <w:sz w:val="16"/>
          <w:szCs w:val="16"/>
        </w:rPr>
      </w:pPr>
      <w:r w:rsidRPr="00584BB7">
        <w:rPr>
          <w:rFonts w:ascii="Times New Roman" w:hAnsi="Times New Roman"/>
          <w:color w:val="000000"/>
          <w:sz w:val="20"/>
          <w:szCs w:val="20"/>
          <w:lang w:val="sr-Cyrl-CS"/>
        </w:rPr>
        <w:t>Извор:  ЕУРОСТАТ Study to quantify and analyse the VAT Gap in the EU-27 Member States Final Report</w:t>
      </w:r>
      <w:r w:rsidRPr="00584BB7">
        <w:rPr>
          <w:rFonts w:ascii="Times New Roman" w:hAnsi="Times New Roman"/>
          <w:color w:val="000000"/>
          <w:sz w:val="20"/>
          <w:szCs w:val="20"/>
          <w:lang w:val="sr-Cyrl-CS"/>
        </w:rPr>
        <w:cr/>
      </w:r>
    </w:p>
    <w:p w:rsidR="00486B9D" w:rsidRPr="002675A4" w:rsidRDefault="00486B9D" w:rsidP="002675A4">
      <w:pPr>
        <w:jc w:val="both"/>
        <w:rPr>
          <w:rFonts w:ascii="Times New Roman" w:hAnsi="Times New Roman"/>
          <w:color w:val="000000"/>
          <w:sz w:val="20"/>
          <w:szCs w:val="20"/>
        </w:rPr>
      </w:pPr>
    </w:p>
    <w:p w:rsidR="00B969CC" w:rsidRPr="005E67FF" w:rsidRDefault="00FF1FC1" w:rsidP="00D11BF8">
      <w:pPr>
        <w:ind w:firstLine="360"/>
        <w:jc w:val="both"/>
        <w:rPr>
          <w:rFonts w:ascii="Times New Roman" w:hAnsi="Times New Roman"/>
          <w:color w:val="000000"/>
          <w:sz w:val="24"/>
          <w:szCs w:val="24"/>
          <w:lang w:val="sr-Cyrl-CS"/>
        </w:rPr>
      </w:pPr>
      <w:r>
        <w:rPr>
          <w:rFonts w:ascii="Times New Roman" w:hAnsi="Times New Roman"/>
          <w:color w:val="000000"/>
          <w:sz w:val="24"/>
          <w:szCs w:val="24"/>
          <w:lang w:val="sr-Cyrl-CS"/>
        </w:rPr>
        <w:t xml:space="preserve">Подаци </w:t>
      </w:r>
      <w:r w:rsidR="00D11BF8">
        <w:rPr>
          <w:rFonts w:ascii="Times New Roman" w:hAnsi="Times New Roman"/>
          <w:color w:val="000000"/>
          <w:sz w:val="24"/>
          <w:szCs w:val="24"/>
          <w:lang w:val="sr-Cyrl-CS"/>
        </w:rPr>
        <w:t>у наведеној табели</w:t>
      </w:r>
      <w:r>
        <w:rPr>
          <w:rFonts w:ascii="Times New Roman" w:hAnsi="Times New Roman"/>
          <w:color w:val="000000"/>
          <w:sz w:val="24"/>
          <w:szCs w:val="24"/>
          <w:lang w:val="sr-Cyrl-CS"/>
        </w:rPr>
        <w:t xml:space="preserve"> указују на раст финансијске улоге овог пореског облика, као и на веома значајну улогу овог пореског облика у пореском систему савремених држава. Може се уочити повећање прихода од тог пореза </w:t>
      </w:r>
      <w:r w:rsidR="00D11BF8">
        <w:rPr>
          <w:rFonts w:ascii="Times New Roman" w:hAnsi="Times New Roman"/>
          <w:color w:val="000000"/>
          <w:sz w:val="24"/>
          <w:szCs w:val="24"/>
          <w:lang w:val="sr-Cyrl-CS"/>
        </w:rPr>
        <w:t>у свим наведеним земљама</w:t>
      </w:r>
      <w:r>
        <w:rPr>
          <w:rFonts w:ascii="Times New Roman" w:hAnsi="Times New Roman"/>
          <w:color w:val="000000"/>
          <w:sz w:val="24"/>
          <w:szCs w:val="24"/>
          <w:lang w:val="sr-Cyrl-CS"/>
        </w:rPr>
        <w:t xml:space="preserve"> што говори у прилог и издашности овог пореског облика. </w:t>
      </w:r>
    </w:p>
    <w:p w:rsidR="00211DC2" w:rsidRPr="00211DC2" w:rsidRDefault="009C0BCE" w:rsidP="00211DC2">
      <w:pPr>
        <w:ind w:firstLine="360"/>
        <w:jc w:val="both"/>
        <w:rPr>
          <w:rFonts w:ascii="Times New Roman" w:hAnsi="Times New Roman"/>
          <w:sz w:val="24"/>
          <w:szCs w:val="24"/>
          <w:lang w:val="sr-Cyrl-CS"/>
        </w:rPr>
      </w:pPr>
      <w:r w:rsidRPr="009C0BCE">
        <w:rPr>
          <w:rFonts w:ascii="Times New Roman" w:hAnsi="Times New Roman"/>
          <w:color w:val="000000"/>
          <w:sz w:val="24"/>
          <w:szCs w:val="24"/>
          <w:lang w:val="sr-Cyrl-CS"/>
        </w:rPr>
        <w:t>Полазећи од различитих облика евазије пореза</w:t>
      </w:r>
      <w:r>
        <w:rPr>
          <w:rFonts w:ascii="Times New Roman" w:hAnsi="Times New Roman"/>
          <w:color w:val="000000"/>
          <w:sz w:val="24"/>
          <w:szCs w:val="24"/>
          <w:lang w:val="sr-Cyrl-CS"/>
        </w:rPr>
        <w:t>, односно од поделе на з</w:t>
      </w:r>
      <w:r w:rsidR="00680841">
        <w:rPr>
          <w:rFonts w:ascii="Times New Roman" w:hAnsi="Times New Roman"/>
          <w:color w:val="000000"/>
          <w:sz w:val="24"/>
          <w:szCs w:val="24"/>
          <w:lang w:val="sr-Cyrl-CS"/>
        </w:rPr>
        <w:t>а</w:t>
      </w:r>
      <w:r>
        <w:rPr>
          <w:rFonts w:ascii="Times New Roman" w:hAnsi="Times New Roman"/>
          <w:color w:val="000000"/>
          <w:sz w:val="24"/>
          <w:szCs w:val="24"/>
          <w:lang w:val="sr-Cyrl-CS"/>
        </w:rPr>
        <w:t xml:space="preserve">кониту и незакониту евазију пореза, законита евазија пореза на додату вредност ће постојати када се поступа у границама закона, за разлику од незаконите евазије пореза на додату вредност код које долази до кршења закона. У случају прихватљиве законите евазије пореза на додату вредност </w:t>
      </w:r>
      <w:r w:rsidRPr="009C0BCE">
        <w:rPr>
          <w:rFonts w:ascii="Times New Roman" w:hAnsi="Times New Roman"/>
          <w:color w:val="000000"/>
          <w:sz w:val="24"/>
          <w:szCs w:val="24"/>
          <w:lang w:val="sr-Cyrl-CS"/>
        </w:rPr>
        <w:t xml:space="preserve"> </w:t>
      </w:r>
      <w:r>
        <w:rPr>
          <w:rFonts w:ascii="Times New Roman" w:hAnsi="Times New Roman"/>
          <w:color w:val="000000"/>
          <w:sz w:val="24"/>
          <w:szCs w:val="24"/>
          <w:lang w:val="sr-Cyrl-CS"/>
        </w:rPr>
        <w:t xml:space="preserve">поступа се у складу са вољом законодавца и остварује се предвиђен циљ опорезивања, као што је случај код пореских особођења, која су </w:t>
      </w:r>
      <w:r w:rsidR="00211DC2">
        <w:rPr>
          <w:rFonts w:ascii="Times New Roman" w:hAnsi="Times New Roman"/>
          <w:color w:val="000000"/>
          <w:sz w:val="24"/>
          <w:szCs w:val="24"/>
          <w:lang w:val="sr-Cyrl-CS"/>
        </w:rPr>
        <w:t>бројна код овог пореског облика</w:t>
      </w:r>
      <w:r w:rsidR="00680841">
        <w:rPr>
          <w:rFonts w:ascii="Times New Roman" w:hAnsi="Times New Roman"/>
          <w:color w:val="000000"/>
          <w:sz w:val="24"/>
          <w:szCs w:val="24"/>
          <w:lang w:val="sr-Cyrl-CS"/>
        </w:rPr>
        <w:t xml:space="preserve"> и која ћемо анализирати у даљем</w:t>
      </w:r>
      <w:r w:rsidR="00211DC2">
        <w:rPr>
          <w:rFonts w:ascii="Times New Roman" w:hAnsi="Times New Roman"/>
          <w:color w:val="000000"/>
          <w:sz w:val="24"/>
          <w:szCs w:val="24"/>
          <w:lang w:val="sr-Cyrl-CS"/>
        </w:rPr>
        <w:t xml:space="preserve"> излагању.</w:t>
      </w:r>
      <w:r>
        <w:rPr>
          <w:rFonts w:ascii="Times New Roman" w:hAnsi="Times New Roman"/>
          <w:color w:val="000000"/>
          <w:sz w:val="24"/>
          <w:szCs w:val="24"/>
          <w:lang w:val="sr-Cyrl-CS"/>
        </w:rPr>
        <w:t xml:space="preserve"> Њима се постижу различити циљеви поред економских, као што су социјални, здравствени, културни и други. </w:t>
      </w:r>
      <w:r w:rsidR="0058283C">
        <w:rPr>
          <w:rFonts w:ascii="Times New Roman" w:hAnsi="Times New Roman"/>
          <w:color w:val="000000"/>
          <w:sz w:val="24"/>
          <w:szCs w:val="24"/>
          <w:lang w:val="sr-Cyrl-CS"/>
        </w:rPr>
        <w:t>Најједноставниј</w:t>
      </w:r>
      <w:r w:rsidR="00680841">
        <w:rPr>
          <w:rFonts w:ascii="Times New Roman" w:hAnsi="Times New Roman"/>
          <w:color w:val="000000"/>
          <w:sz w:val="24"/>
          <w:szCs w:val="24"/>
          <w:lang w:val="sr-Cyrl-CS"/>
        </w:rPr>
        <w:t>и</w:t>
      </w:r>
      <w:r w:rsidR="0058283C">
        <w:rPr>
          <w:rFonts w:ascii="Times New Roman" w:hAnsi="Times New Roman"/>
          <w:color w:val="000000"/>
          <w:sz w:val="24"/>
          <w:szCs w:val="24"/>
          <w:lang w:val="sr-Cyrl-CS"/>
        </w:rPr>
        <w:t xml:space="preserve"> начин </w:t>
      </w:r>
      <w:r w:rsidR="008A39A7">
        <w:rPr>
          <w:rFonts w:ascii="Times New Roman" w:hAnsi="Times New Roman"/>
          <w:color w:val="000000"/>
          <w:sz w:val="24"/>
          <w:szCs w:val="24"/>
          <w:lang w:val="sr-Cyrl-CS"/>
        </w:rPr>
        <w:t xml:space="preserve">избегавања пореза </w:t>
      </w:r>
      <w:r>
        <w:rPr>
          <w:rFonts w:ascii="Times New Roman" w:hAnsi="Times New Roman"/>
          <w:color w:val="000000"/>
          <w:sz w:val="24"/>
          <w:szCs w:val="24"/>
          <w:lang w:val="sr-Cyrl-CS"/>
        </w:rPr>
        <w:t xml:space="preserve">јесте уздржавање од обављања </w:t>
      </w:r>
      <w:r w:rsidR="0058283C">
        <w:rPr>
          <w:rFonts w:ascii="Times New Roman" w:hAnsi="Times New Roman"/>
          <w:color w:val="000000"/>
          <w:sz w:val="24"/>
          <w:szCs w:val="24"/>
          <w:lang w:val="sr-Cyrl-CS"/>
        </w:rPr>
        <w:t>опорезиве испоруке добара</w:t>
      </w:r>
      <w:r w:rsidR="00211DC2" w:rsidRPr="00211DC2">
        <w:rPr>
          <w:rFonts w:ascii="Times New Roman" w:hAnsi="Times New Roman"/>
          <w:color w:val="000000"/>
          <w:sz w:val="24"/>
          <w:szCs w:val="24"/>
          <w:lang w:val="sr-Cyrl-CS"/>
        </w:rPr>
        <w:t xml:space="preserve"> </w:t>
      </w:r>
      <w:r w:rsidR="00211DC2">
        <w:rPr>
          <w:rFonts w:ascii="Times New Roman" w:hAnsi="Times New Roman"/>
          <w:color w:val="000000"/>
          <w:sz w:val="24"/>
          <w:szCs w:val="24"/>
          <w:lang w:val="sr-Cyrl-CS"/>
        </w:rPr>
        <w:t>и пружања опорезивих услуга</w:t>
      </w:r>
      <w:r w:rsidR="0058283C">
        <w:rPr>
          <w:rFonts w:ascii="Times New Roman" w:hAnsi="Times New Roman"/>
          <w:color w:val="000000"/>
          <w:sz w:val="24"/>
          <w:szCs w:val="24"/>
          <w:lang w:val="sr-Cyrl-CS"/>
        </w:rPr>
        <w:t xml:space="preserve">, као и од увоза добара, што чини предмет опорезивања код овог пореског облика. </w:t>
      </w:r>
    </w:p>
    <w:p w:rsidR="00211DC2" w:rsidRDefault="009C0BCE" w:rsidP="00211DC2">
      <w:pPr>
        <w:ind w:firstLine="360"/>
        <w:jc w:val="both"/>
        <w:rPr>
          <w:rFonts w:ascii="Times New Roman" w:hAnsi="Times New Roman"/>
          <w:sz w:val="24"/>
          <w:szCs w:val="24"/>
          <w:lang w:val="sr-Cyrl-CS"/>
        </w:rPr>
      </w:pPr>
      <w:r>
        <w:rPr>
          <w:rFonts w:ascii="Times New Roman" w:hAnsi="Times New Roman"/>
          <w:sz w:val="24"/>
          <w:szCs w:val="24"/>
          <w:lang w:val="sr-Cyrl-CS"/>
        </w:rPr>
        <w:t>К</w:t>
      </w:r>
      <w:r w:rsidRPr="00A20883">
        <w:rPr>
          <w:rFonts w:ascii="Times New Roman" w:hAnsi="Times New Roman"/>
          <w:sz w:val="24"/>
          <w:szCs w:val="24"/>
          <w:lang w:val="sr-Cyrl-CS"/>
        </w:rPr>
        <w:t xml:space="preserve">од неприхватљиве </w:t>
      </w:r>
      <w:r w:rsidR="00211DC2">
        <w:rPr>
          <w:rFonts w:ascii="Times New Roman" w:hAnsi="Times New Roman"/>
          <w:sz w:val="24"/>
          <w:szCs w:val="24"/>
          <w:lang w:val="sr-Cyrl-CS"/>
        </w:rPr>
        <w:t xml:space="preserve">законите </w:t>
      </w:r>
      <w:r w:rsidRPr="00A20883">
        <w:rPr>
          <w:rFonts w:ascii="Times New Roman" w:hAnsi="Times New Roman"/>
          <w:sz w:val="24"/>
          <w:szCs w:val="24"/>
          <w:lang w:val="sr-Cyrl-CS"/>
        </w:rPr>
        <w:t>еваз</w:t>
      </w:r>
      <w:r>
        <w:rPr>
          <w:rFonts w:ascii="Times New Roman" w:hAnsi="Times New Roman"/>
          <w:sz w:val="24"/>
          <w:szCs w:val="24"/>
          <w:lang w:val="sr-Cyrl-CS"/>
        </w:rPr>
        <w:t>ије пореза на додату вредност се</w:t>
      </w:r>
      <w:r w:rsidRPr="00A20883">
        <w:rPr>
          <w:rFonts w:ascii="Times New Roman" w:hAnsi="Times New Roman"/>
          <w:sz w:val="24"/>
          <w:szCs w:val="24"/>
          <w:lang w:val="sr-Cyrl-CS"/>
        </w:rPr>
        <w:t xml:space="preserve"> поступа у с</w:t>
      </w:r>
      <w:r>
        <w:rPr>
          <w:rFonts w:ascii="Times New Roman" w:hAnsi="Times New Roman"/>
          <w:sz w:val="24"/>
          <w:szCs w:val="24"/>
          <w:lang w:val="sr-Cyrl-CS"/>
        </w:rPr>
        <w:t>упротнос</w:t>
      </w:r>
      <w:r w:rsidR="00211DC2">
        <w:rPr>
          <w:rFonts w:ascii="Times New Roman" w:hAnsi="Times New Roman"/>
          <w:sz w:val="24"/>
          <w:szCs w:val="24"/>
          <w:lang w:val="sr-Cyrl-CS"/>
        </w:rPr>
        <w:t>ти са циљем опорезивања. Типичан пример</w:t>
      </w:r>
      <w:r>
        <w:rPr>
          <w:rFonts w:ascii="Times New Roman" w:hAnsi="Times New Roman"/>
          <w:sz w:val="24"/>
          <w:szCs w:val="24"/>
          <w:lang w:val="sr-Cyrl-CS"/>
        </w:rPr>
        <w:t xml:space="preserve"> је коришћење правних празнина и недоречености пореских прописа.</w:t>
      </w:r>
      <w:r w:rsidR="00211DC2">
        <w:rPr>
          <w:rFonts w:ascii="Times New Roman" w:hAnsi="Times New Roman"/>
          <w:sz w:val="24"/>
          <w:szCs w:val="24"/>
          <w:lang w:val="sr-Cyrl-CS"/>
        </w:rPr>
        <w:t xml:space="preserve"> У пракси и финансијској теорији није једноставно направити разлику између ова два облика законите евазије пореза. Уколико је коришћење пореских особођења мотивисано потребом обављања одређене делатности, радиће се о легитимној евазији пореза. Међутим, уколико је мотив искључиво смањење</w:t>
      </w:r>
      <w:r w:rsidR="00680841">
        <w:rPr>
          <w:rFonts w:ascii="Times New Roman" w:hAnsi="Times New Roman"/>
          <w:sz w:val="24"/>
          <w:szCs w:val="24"/>
          <w:lang w:val="sr-Cyrl-CS"/>
        </w:rPr>
        <w:t xml:space="preserve"> пореске обавезе коришћењем зак</w:t>
      </w:r>
      <w:r w:rsidR="00211DC2">
        <w:rPr>
          <w:rFonts w:ascii="Times New Roman" w:hAnsi="Times New Roman"/>
          <w:sz w:val="24"/>
          <w:szCs w:val="24"/>
          <w:lang w:val="sr-Cyrl-CS"/>
        </w:rPr>
        <w:t xml:space="preserve">онских привилегија, односно </w:t>
      </w:r>
      <w:r w:rsidR="00680841">
        <w:rPr>
          <w:rFonts w:ascii="Times New Roman" w:hAnsi="Times New Roman"/>
          <w:sz w:val="24"/>
          <w:szCs w:val="24"/>
          <w:lang w:val="sr-Cyrl-CS"/>
        </w:rPr>
        <w:t>остварење пореске уштеде</w:t>
      </w:r>
      <w:r w:rsidR="00211DC2">
        <w:rPr>
          <w:rFonts w:ascii="Times New Roman" w:hAnsi="Times New Roman"/>
          <w:sz w:val="24"/>
          <w:szCs w:val="24"/>
          <w:lang w:val="sr-Cyrl-CS"/>
        </w:rPr>
        <w:t xml:space="preserve">, радиће се о нелегитимној евазији пореза. </w:t>
      </w:r>
    </w:p>
    <w:p w:rsidR="00684713" w:rsidRDefault="00243E60" w:rsidP="009C0BCE">
      <w:pPr>
        <w:ind w:firstLine="360"/>
        <w:jc w:val="both"/>
        <w:rPr>
          <w:rFonts w:ascii="Times New Roman" w:hAnsi="Times New Roman"/>
          <w:color w:val="000000"/>
          <w:sz w:val="24"/>
          <w:szCs w:val="24"/>
          <w:lang w:val="sr-Cyrl-CS"/>
        </w:rPr>
      </w:pPr>
      <w:r>
        <w:rPr>
          <w:rFonts w:ascii="Times New Roman" w:hAnsi="Times New Roman"/>
          <w:color w:val="000000"/>
          <w:sz w:val="24"/>
          <w:szCs w:val="24"/>
          <w:lang w:val="sr-Cyrl-CS"/>
        </w:rPr>
        <w:t>Порез на додату вредност представља најразвијенији</w:t>
      </w:r>
      <w:r w:rsidR="00B1445C">
        <w:rPr>
          <w:rFonts w:ascii="Times New Roman" w:hAnsi="Times New Roman"/>
          <w:color w:val="000000"/>
          <w:sz w:val="24"/>
          <w:szCs w:val="24"/>
          <w:lang w:val="sr-Cyrl-CS"/>
        </w:rPr>
        <w:t xml:space="preserve"> облик општег пореза на промет</w:t>
      </w:r>
      <w:r>
        <w:rPr>
          <w:rFonts w:ascii="Times New Roman" w:hAnsi="Times New Roman"/>
          <w:color w:val="000000"/>
          <w:sz w:val="24"/>
          <w:szCs w:val="24"/>
          <w:lang w:val="sr-Cyrl-CS"/>
        </w:rPr>
        <w:t xml:space="preserve"> који</w:t>
      </w:r>
      <w:r w:rsidR="00B1445C">
        <w:rPr>
          <w:rFonts w:ascii="Times New Roman" w:hAnsi="Times New Roman"/>
          <w:color w:val="000000"/>
          <w:sz w:val="24"/>
          <w:szCs w:val="24"/>
          <w:lang w:val="sr-Cyrl-CS"/>
        </w:rPr>
        <w:t>,</w:t>
      </w:r>
      <w:r>
        <w:rPr>
          <w:rFonts w:ascii="Times New Roman" w:hAnsi="Times New Roman"/>
          <w:color w:val="000000"/>
          <w:sz w:val="24"/>
          <w:szCs w:val="24"/>
          <w:lang w:val="sr-Cyrl-CS"/>
        </w:rPr>
        <w:t xml:space="preserve"> поред акциза</w:t>
      </w:r>
      <w:r w:rsidR="00B1445C">
        <w:rPr>
          <w:rFonts w:ascii="Times New Roman" w:hAnsi="Times New Roman"/>
          <w:color w:val="000000"/>
          <w:sz w:val="24"/>
          <w:szCs w:val="24"/>
          <w:lang w:val="sr-Cyrl-CS"/>
        </w:rPr>
        <w:t>, царина и фискалних монопола,</w:t>
      </w:r>
      <w:r>
        <w:rPr>
          <w:rFonts w:ascii="Times New Roman" w:hAnsi="Times New Roman"/>
          <w:color w:val="000000"/>
          <w:sz w:val="24"/>
          <w:szCs w:val="24"/>
          <w:lang w:val="sr-Cyrl-CS"/>
        </w:rPr>
        <w:t xml:space="preserve"> спада у порезе на</w:t>
      </w:r>
      <w:r w:rsidR="00B1445C">
        <w:rPr>
          <w:rFonts w:ascii="Times New Roman" w:hAnsi="Times New Roman"/>
          <w:color w:val="000000"/>
          <w:sz w:val="24"/>
          <w:szCs w:val="24"/>
          <w:lang w:val="sr-Cyrl-CS"/>
        </w:rPr>
        <w:t xml:space="preserve"> </w:t>
      </w:r>
      <w:r>
        <w:rPr>
          <w:rFonts w:ascii="Times New Roman" w:hAnsi="Times New Roman"/>
          <w:color w:val="000000"/>
          <w:sz w:val="24"/>
          <w:szCs w:val="24"/>
          <w:lang w:val="sr-Cyrl-CS"/>
        </w:rPr>
        <w:t>потрошњу.</w:t>
      </w:r>
      <w:r w:rsidR="00BA570C">
        <w:rPr>
          <w:rFonts w:ascii="Times New Roman" w:hAnsi="Times New Roman"/>
          <w:color w:val="000000"/>
          <w:sz w:val="24"/>
          <w:szCs w:val="24"/>
          <w:lang w:val="sr-Cyrl-CS"/>
        </w:rPr>
        <w:t xml:space="preserve"> Порез на промет има дугу историју</w:t>
      </w:r>
      <w:r w:rsidR="0015395D">
        <w:rPr>
          <w:rFonts w:ascii="Times New Roman" w:hAnsi="Times New Roman"/>
          <w:color w:val="000000"/>
          <w:sz w:val="24"/>
          <w:szCs w:val="24"/>
          <w:lang w:val="sr-Cyrl-CS"/>
        </w:rPr>
        <w:t xml:space="preserve">, али је његова примена била ограничена на поједине предмете у промету. Због разлике међу облицима овог пореза према </w:t>
      </w:r>
      <w:r w:rsidR="006B470D">
        <w:rPr>
          <w:rFonts w:ascii="Times New Roman" w:hAnsi="Times New Roman"/>
          <w:color w:val="000000"/>
          <w:sz w:val="24"/>
          <w:szCs w:val="24"/>
          <w:lang w:val="sr-Cyrl-CS"/>
        </w:rPr>
        <w:t>обухвату</w:t>
      </w:r>
      <w:r w:rsidR="00680841">
        <w:rPr>
          <w:rFonts w:ascii="Times New Roman" w:hAnsi="Times New Roman"/>
          <w:color w:val="000000"/>
          <w:sz w:val="24"/>
          <w:szCs w:val="24"/>
          <w:lang w:val="sr-Cyrl-CS"/>
        </w:rPr>
        <w:t xml:space="preserve"> </w:t>
      </w:r>
      <w:r w:rsidR="006B470D">
        <w:rPr>
          <w:rFonts w:ascii="Times New Roman" w:hAnsi="Times New Roman"/>
          <w:color w:val="000000"/>
          <w:sz w:val="24"/>
          <w:szCs w:val="24"/>
          <w:lang w:val="sr-Cyrl-CS"/>
        </w:rPr>
        <w:t>производа и услуга, које се у промету опорезују</w:t>
      </w:r>
      <w:r w:rsidR="0015395D">
        <w:rPr>
          <w:rFonts w:ascii="Times New Roman" w:hAnsi="Times New Roman"/>
          <w:color w:val="000000"/>
          <w:sz w:val="24"/>
          <w:szCs w:val="24"/>
          <w:lang w:val="sr-Cyrl-CS"/>
        </w:rPr>
        <w:t xml:space="preserve">, односно броју фаза промета на које се односи, постоји више подела пореза на промет. </w:t>
      </w:r>
    </w:p>
    <w:p w:rsidR="0015395D" w:rsidRDefault="0015395D" w:rsidP="009C0BCE">
      <w:pPr>
        <w:ind w:firstLine="360"/>
        <w:jc w:val="both"/>
        <w:rPr>
          <w:rFonts w:ascii="Times New Roman" w:hAnsi="Times New Roman"/>
          <w:color w:val="000000"/>
          <w:sz w:val="24"/>
          <w:szCs w:val="24"/>
          <w:lang w:val="sr-Cyrl-CS"/>
        </w:rPr>
      </w:pPr>
      <w:r>
        <w:rPr>
          <w:rFonts w:ascii="Times New Roman" w:hAnsi="Times New Roman"/>
          <w:color w:val="000000"/>
          <w:sz w:val="24"/>
          <w:szCs w:val="24"/>
          <w:lang w:val="sr-Cyrl-CS"/>
        </w:rPr>
        <w:t xml:space="preserve">Један од најчешћих критеријума за поделу различитих облика пореза на промет </w:t>
      </w:r>
      <w:r w:rsidR="006515F3">
        <w:rPr>
          <w:rFonts w:ascii="Times New Roman" w:hAnsi="Times New Roman"/>
          <w:color w:val="000000"/>
          <w:sz w:val="24"/>
          <w:szCs w:val="24"/>
          <w:lang w:val="sr-Cyrl-CS"/>
        </w:rPr>
        <w:t>врши се према</w:t>
      </w:r>
      <w:r>
        <w:rPr>
          <w:rFonts w:ascii="Times New Roman" w:hAnsi="Times New Roman"/>
          <w:color w:val="000000"/>
          <w:sz w:val="24"/>
          <w:szCs w:val="24"/>
          <w:lang w:val="sr-Cyrl-CS"/>
        </w:rPr>
        <w:t xml:space="preserve"> број</w:t>
      </w:r>
      <w:r w:rsidR="006515F3">
        <w:rPr>
          <w:rFonts w:ascii="Times New Roman" w:hAnsi="Times New Roman"/>
          <w:color w:val="000000"/>
          <w:sz w:val="24"/>
          <w:szCs w:val="24"/>
          <w:lang w:val="sr-Cyrl-CS"/>
        </w:rPr>
        <w:t>у</w:t>
      </w:r>
      <w:r>
        <w:rPr>
          <w:rFonts w:ascii="Times New Roman" w:hAnsi="Times New Roman"/>
          <w:color w:val="000000"/>
          <w:sz w:val="24"/>
          <w:szCs w:val="24"/>
          <w:lang w:val="sr-Cyrl-CS"/>
        </w:rPr>
        <w:t xml:space="preserve"> фаза прометног циклуса </w:t>
      </w:r>
      <w:r w:rsidR="006515F3">
        <w:rPr>
          <w:rFonts w:ascii="Times New Roman" w:hAnsi="Times New Roman"/>
          <w:color w:val="000000"/>
          <w:sz w:val="24"/>
          <w:szCs w:val="24"/>
          <w:lang w:val="sr-Cyrl-CS"/>
        </w:rPr>
        <w:t>који се опорезује</w:t>
      </w:r>
      <w:r>
        <w:rPr>
          <w:rFonts w:ascii="Times New Roman" w:hAnsi="Times New Roman"/>
          <w:color w:val="000000"/>
          <w:sz w:val="24"/>
          <w:szCs w:val="24"/>
          <w:lang w:val="sr-Cyrl-CS"/>
        </w:rPr>
        <w:t xml:space="preserve">. </w:t>
      </w:r>
      <w:r w:rsidR="006515F3">
        <w:rPr>
          <w:rFonts w:ascii="Times New Roman" w:hAnsi="Times New Roman"/>
          <w:color w:val="000000"/>
          <w:sz w:val="24"/>
          <w:szCs w:val="24"/>
          <w:lang w:val="sr-Cyrl-CS"/>
        </w:rPr>
        <w:t>Р</w:t>
      </w:r>
      <w:r>
        <w:rPr>
          <w:rFonts w:ascii="Times New Roman" w:hAnsi="Times New Roman"/>
          <w:color w:val="000000"/>
          <w:sz w:val="24"/>
          <w:szCs w:val="24"/>
          <w:lang w:val="sr-Cyrl-CS"/>
        </w:rPr>
        <w:t>азликују се: а) бруто свефазни (вишефазни) порез на промет; б) нето свефазни (вишефазни) порез на промет и в) једнофазни порез на промет.</w:t>
      </w:r>
      <w:r>
        <w:rPr>
          <w:rStyle w:val="FootnoteReference"/>
          <w:rFonts w:ascii="Times New Roman" w:hAnsi="Times New Roman"/>
          <w:color w:val="000000"/>
          <w:sz w:val="24"/>
          <w:szCs w:val="24"/>
          <w:lang w:val="sr-Cyrl-CS"/>
        </w:rPr>
        <w:footnoteReference w:id="343"/>
      </w:r>
    </w:p>
    <w:p w:rsidR="007C284A" w:rsidRDefault="00E15A03" w:rsidP="009C0BCE">
      <w:pPr>
        <w:ind w:firstLine="360"/>
        <w:jc w:val="both"/>
        <w:rPr>
          <w:rFonts w:ascii="Times New Roman" w:hAnsi="Times New Roman"/>
          <w:color w:val="000000"/>
          <w:sz w:val="24"/>
          <w:szCs w:val="24"/>
          <w:lang w:val="sr-Cyrl-CS"/>
        </w:rPr>
      </w:pPr>
      <w:r>
        <w:rPr>
          <w:rFonts w:ascii="Times New Roman" w:hAnsi="Times New Roman"/>
          <w:color w:val="000000"/>
          <w:sz w:val="24"/>
          <w:szCs w:val="24"/>
          <w:lang w:val="sr-Cyrl-CS"/>
        </w:rPr>
        <w:t xml:space="preserve">Бруто свефазни порез на промет </w:t>
      </w:r>
      <w:r w:rsidR="006515F3">
        <w:rPr>
          <w:rFonts w:ascii="Times New Roman" w:hAnsi="Times New Roman"/>
          <w:color w:val="000000"/>
          <w:sz w:val="24"/>
          <w:szCs w:val="24"/>
          <w:lang w:val="sr-Cyrl-CS"/>
        </w:rPr>
        <w:t xml:space="preserve">захвата </w:t>
      </w:r>
      <w:r>
        <w:rPr>
          <w:rFonts w:ascii="Times New Roman" w:hAnsi="Times New Roman"/>
          <w:color w:val="000000"/>
          <w:sz w:val="24"/>
          <w:szCs w:val="24"/>
          <w:lang w:val="sr-Cyrl-CS"/>
        </w:rPr>
        <w:t xml:space="preserve">све фазе прометног циклуса. Уколико је нека од фаза прометног циклуса изостављена радиће се о вишефазном порезу на промет. Подела на бруто и нето свефазни порез на промет се прави у зависности од  </w:t>
      </w:r>
      <w:r w:rsidR="008A39A7">
        <w:rPr>
          <w:rFonts w:ascii="Times New Roman" w:hAnsi="Times New Roman"/>
          <w:color w:val="000000"/>
          <w:sz w:val="24"/>
          <w:szCs w:val="24"/>
          <w:lang w:val="sr-Cyrl-CS"/>
        </w:rPr>
        <w:t xml:space="preserve">тога </w:t>
      </w:r>
      <w:r>
        <w:rPr>
          <w:rFonts w:ascii="Times New Roman" w:hAnsi="Times New Roman"/>
          <w:color w:val="000000"/>
          <w:sz w:val="24"/>
          <w:szCs w:val="24"/>
          <w:lang w:val="sr-Cyrl-CS"/>
        </w:rPr>
        <w:t xml:space="preserve">да ли порез плаћен у претходној фази промета улази у пореску основицу у </w:t>
      </w:r>
      <w:r w:rsidR="006515F3">
        <w:rPr>
          <w:rFonts w:ascii="Times New Roman" w:hAnsi="Times New Roman"/>
          <w:color w:val="000000"/>
          <w:sz w:val="24"/>
          <w:szCs w:val="24"/>
          <w:lang w:val="sr-Cyrl-CS"/>
        </w:rPr>
        <w:t>следећој</w:t>
      </w:r>
      <w:r>
        <w:rPr>
          <w:rFonts w:ascii="Times New Roman" w:hAnsi="Times New Roman"/>
          <w:color w:val="000000"/>
          <w:sz w:val="24"/>
          <w:szCs w:val="24"/>
          <w:lang w:val="sr-Cyrl-CS"/>
        </w:rPr>
        <w:t xml:space="preserve"> </w:t>
      </w:r>
      <w:r>
        <w:rPr>
          <w:rFonts w:ascii="Times New Roman" w:hAnsi="Times New Roman"/>
          <w:color w:val="000000"/>
          <w:sz w:val="24"/>
          <w:szCs w:val="24"/>
          <w:lang w:val="sr-Cyrl-CS"/>
        </w:rPr>
        <w:lastRenderedPageBreak/>
        <w:t>фази промета, као код бруто свефазног пореза на промет</w:t>
      </w:r>
      <w:r w:rsidR="006515F3">
        <w:rPr>
          <w:rFonts w:ascii="Times New Roman" w:hAnsi="Times New Roman"/>
          <w:color w:val="000000"/>
          <w:sz w:val="24"/>
          <w:szCs w:val="24"/>
          <w:lang w:val="sr-Cyrl-CS"/>
        </w:rPr>
        <w:t xml:space="preserve"> (пореско оптерећење зависи од броја опорезованих фаза промета)</w:t>
      </w:r>
      <w:r>
        <w:rPr>
          <w:rFonts w:ascii="Times New Roman" w:hAnsi="Times New Roman"/>
          <w:color w:val="000000"/>
          <w:sz w:val="24"/>
          <w:szCs w:val="24"/>
          <w:lang w:val="sr-Cyrl-CS"/>
        </w:rPr>
        <w:t xml:space="preserve"> или не улази, већ се само опорезује додата вредност производа, као код нето свефазног пореза на промет. </w:t>
      </w:r>
      <w:r w:rsidR="007C284A">
        <w:rPr>
          <w:rFonts w:ascii="Times New Roman" w:hAnsi="Times New Roman"/>
          <w:color w:val="000000"/>
          <w:sz w:val="24"/>
          <w:szCs w:val="24"/>
          <w:lang w:val="sr-Cyrl-CS"/>
        </w:rPr>
        <w:t xml:space="preserve">Једнофазни порез на промет опорезује једну фазу прометног циклуса у сфери производње, сфери </w:t>
      </w:r>
      <w:r w:rsidR="008A39A7">
        <w:rPr>
          <w:rFonts w:ascii="Times New Roman" w:hAnsi="Times New Roman"/>
          <w:color w:val="000000"/>
          <w:sz w:val="24"/>
          <w:szCs w:val="24"/>
          <w:lang w:val="sr-Cyrl-CS"/>
        </w:rPr>
        <w:t>трговине на мало или у сф</w:t>
      </w:r>
      <w:r>
        <w:rPr>
          <w:rFonts w:ascii="Times New Roman" w:hAnsi="Times New Roman"/>
          <w:color w:val="000000"/>
          <w:sz w:val="24"/>
          <w:szCs w:val="24"/>
          <w:lang w:val="sr-Cyrl-CS"/>
        </w:rPr>
        <w:t xml:space="preserve">ери трговине на велико. </w:t>
      </w:r>
    </w:p>
    <w:p w:rsidR="00A22DD5" w:rsidRDefault="00AD258E" w:rsidP="000B417D">
      <w:pPr>
        <w:ind w:firstLine="360"/>
        <w:jc w:val="both"/>
        <w:rPr>
          <w:rFonts w:ascii="Times New Roman" w:hAnsi="Times New Roman"/>
          <w:color w:val="000000"/>
          <w:sz w:val="24"/>
          <w:szCs w:val="24"/>
          <w:lang w:val="sr-Cyrl-CS"/>
        </w:rPr>
      </w:pPr>
      <w:r>
        <w:rPr>
          <w:rFonts w:ascii="Times New Roman" w:hAnsi="Times New Roman"/>
          <w:color w:val="000000"/>
          <w:sz w:val="24"/>
          <w:szCs w:val="24"/>
          <w:lang w:val="sr-Cyrl-CS"/>
        </w:rPr>
        <w:t>„</w:t>
      </w:r>
      <w:r w:rsidR="006B470D">
        <w:rPr>
          <w:rFonts w:ascii="Times New Roman" w:hAnsi="Times New Roman"/>
          <w:color w:val="000000"/>
          <w:sz w:val="24"/>
          <w:szCs w:val="24"/>
          <w:lang w:val="sr-Cyrl-CS"/>
        </w:rPr>
        <w:t>Општи порез на промет уведен у свим фазама прометног циклуса</w:t>
      </w:r>
      <w:r w:rsidR="008A39A7">
        <w:rPr>
          <w:rFonts w:ascii="Times New Roman" w:hAnsi="Times New Roman"/>
          <w:color w:val="000000"/>
          <w:sz w:val="24"/>
          <w:szCs w:val="24"/>
          <w:lang w:val="sr-Cyrl-CS"/>
        </w:rPr>
        <w:t>,</w:t>
      </w:r>
      <w:r w:rsidR="006B470D">
        <w:rPr>
          <w:rFonts w:ascii="Times New Roman" w:hAnsi="Times New Roman"/>
          <w:color w:val="000000"/>
          <w:sz w:val="24"/>
          <w:szCs w:val="24"/>
          <w:lang w:val="sr-Cyrl-CS"/>
        </w:rPr>
        <w:t xml:space="preserve"> тако да порез плаћен у једној фази улази у основицу за обрачун пореза у следећој фази - тзв. кумулативни свефазни порез на промет, примењен је први пут 1916. године у Немачкој, као ванредни порез на финансирање ратних расхода. По оконч</w:t>
      </w:r>
      <w:r w:rsidR="008A39A7">
        <w:rPr>
          <w:rFonts w:ascii="Times New Roman" w:hAnsi="Times New Roman"/>
          <w:color w:val="000000"/>
          <w:sz w:val="24"/>
          <w:szCs w:val="24"/>
          <w:lang w:val="sr-Cyrl-CS"/>
        </w:rPr>
        <w:t>ању Првог светског рата, овај</w:t>
      </w:r>
      <w:r w:rsidR="006B470D">
        <w:rPr>
          <w:rFonts w:ascii="Times New Roman" w:hAnsi="Times New Roman"/>
          <w:color w:val="000000"/>
          <w:sz w:val="24"/>
          <w:szCs w:val="24"/>
          <w:lang w:val="sr-Cyrl-CS"/>
        </w:rPr>
        <w:t xml:space="preserve"> порез </w:t>
      </w:r>
      <w:r w:rsidR="008A39A7">
        <w:rPr>
          <w:rFonts w:ascii="Times New Roman" w:hAnsi="Times New Roman"/>
          <w:color w:val="000000"/>
          <w:sz w:val="24"/>
          <w:szCs w:val="24"/>
          <w:lang w:val="sr-Cyrl-CS"/>
        </w:rPr>
        <w:t xml:space="preserve">је </w:t>
      </w:r>
      <w:r w:rsidR="006B470D">
        <w:rPr>
          <w:rFonts w:ascii="Times New Roman" w:hAnsi="Times New Roman"/>
          <w:color w:val="000000"/>
          <w:sz w:val="24"/>
          <w:szCs w:val="24"/>
          <w:lang w:val="sr-Cyrl-CS"/>
        </w:rPr>
        <w:t>постао редовни фискалитет и проширио се по Европи и другим деловима света. Међутим његову основну ману представљао је поменути кумулативни ефекат: што је неко добро пролазило кроз већи број прометних фаза, то је укупни порески терет постајао већи, јер се сваки пут у основицу за обрачун пореза на промет укључивао порез који је снабдевач кроз цену превалио на купца.</w:t>
      </w:r>
      <w:r>
        <w:rPr>
          <w:rFonts w:ascii="Times New Roman" w:hAnsi="Times New Roman"/>
          <w:color w:val="000000"/>
          <w:sz w:val="24"/>
          <w:szCs w:val="24"/>
          <w:lang w:val="sr-Cyrl-CS"/>
        </w:rPr>
        <w:t>..</w:t>
      </w:r>
      <w:r w:rsidR="006B470D">
        <w:rPr>
          <w:rFonts w:ascii="Times New Roman" w:hAnsi="Times New Roman"/>
          <w:color w:val="000000"/>
          <w:sz w:val="24"/>
          <w:szCs w:val="24"/>
          <w:lang w:val="sr-Cyrl-CS"/>
        </w:rPr>
        <w:t xml:space="preserve"> Године 1954. у Француској, под утицајем професора Лореа, кумулативни свефазни порез на промет замењен је некумултивним свефазним порезом, названим „порез на додату вредност“</w:t>
      </w:r>
      <w:r w:rsidR="007C284A">
        <w:rPr>
          <w:rFonts w:ascii="Times New Roman" w:hAnsi="Times New Roman"/>
          <w:color w:val="000000"/>
          <w:sz w:val="24"/>
          <w:szCs w:val="24"/>
          <w:lang w:val="sr-Cyrl-CS"/>
        </w:rPr>
        <w:t>. Прелиминарно речено, порез на додату вре</w:t>
      </w:r>
      <w:r w:rsidR="00E15A03">
        <w:rPr>
          <w:rFonts w:ascii="Times New Roman" w:hAnsi="Times New Roman"/>
          <w:color w:val="000000"/>
          <w:sz w:val="24"/>
          <w:szCs w:val="24"/>
          <w:lang w:val="sr-Cyrl-CS"/>
        </w:rPr>
        <w:t>днос</w:t>
      </w:r>
      <w:r w:rsidR="007C284A">
        <w:rPr>
          <w:rFonts w:ascii="Times New Roman" w:hAnsi="Times New Roman"/>
          <w:color w:val="000000"/>
          <w:sz w:val="24"/>
          <w:szCs w:val="24"/>
          <w:lang w:val="sr-Cyrl-CS"/>
        </w:rPr>
        <w:t xml:space="preserve">т је конципиран тако да у свакој фази промета погоди само ону вредност која је у тој фази на набављене </w:t>
      </w:r>
      <w:r w:rsidR="00E15A03">
        <w:rPr>
          <w:rFonts w:ascii="Times New Roman" w:hAnsi="Times New Roman"/>
          <w:color w:val="000000"/>
          <w:sz w:val="24"/>
          <w:szCs w:val="24"/>
        </w:rPr>
        <w:t>inpute</w:t>
      </w:r>
      <w:r w:rsidR="007C284A">
        <w:rPr>
          <w:rFonts w:ascii="Times New Roman" w:hAnsi="Times New Roman"/>
          <w:color w:val="000000"/>
          <w:sz w:val="24"/>
          <w:szCs w:val="24"/>
          <w:lang w:val="sr-Cyrl-CS"/>
        </w:rPr>
        <w:t xml:space="preserve"> додата од стране пореског обвезника (произвођача, лица које пружа услугу, трговца на велико или трговца на мало), пре него што прода нов или унапређен производ или изврши услугу. Додата вредност се може представити и на други начин, као разлика између </w:t>
      </w:r>
      <w:r w:rsidR="00E15A03">
        <w:rPr>
          <w:rFonts w:ascii="Times New Roman" w:hAnsi="Times New Roman"/>
          <w:color w:val="000000"/>
          <w:sz w:val="24"/>
          <w:szCs w:val="24"/>
        </w:rPr>
        <w:t xml:space="preserve">outpuna </w:t>
      </w:r>
      <w:r w:rsidR="007C284A">
        <w:rPr>
          <w:rFonts w:ascii="Times New Roman" w:hAnsi="Times New Roman"/>
          <w:color w:val="000000"/>
          <w:sz w:val="24"/>
          <w:szCs w:val="24"/>
          <w:lang w:val="sr-Cyrl-CS"/>
        </w:rPr>
        <w:t xml:space="preserve">и </w:t>
      </w:r>
      <w:r w:rsidR="00E15A03">
        <w:rPr>
          <w:rFonts w:ascii="Times New Roman" w:hAnsi="Times New Roman"/>
          <w:color w:val="000000"/>
          <w:sz w:val="24"/>
          <w:szCs w:val="24"/>
        </w:rPr>
        <w:t>inputa</w:t>
      </w:r>
      <w:r w:rsidR="007C284A">
        <w:rPr>
          <w:rFonts w:ascii="Times New Roman" w:hAnsi="Times New Roman"/>
          <w:color w:val="000000"/>
          <w:sz w:val="24"/>
          <w:szCs w:val="24"/>
          <w:lang w:val="sr-Cyrl-CS"/>
        </w:rPr>
        <w:t>.</w:t>
      </w:r>
      <w:r>
        <w:rPr>
          <w:rFonts w:ascii="Times New Roman" w:hAnsi="Times New Roman"/>
          <w:color w:val="000000"/>
          <w:sz w:val="24"/>
          <w:szCs w:val="24"/>
          <w:lang w:val="sr-Cyrl-CS"/>
        </w:rPr>
        <w:t>“</w:t>
      </w:r>
      <w:r w:rsidR="007C284A">
        <w:rPr>
          <w:rStyle w:val="FootnoteReference"/>
          <w:rFonts w:ascii="Times New Roman" w:hAnsi="Times New Roman"/>
          <w:color w:val="000000"/>
          <w:sz w:val="24"/>
          <w:szCs w:val="24"/>
          <w:lang w:val="sr-Cyrl-CS"/>
        </w:rPr>
        <w:footnoteReference w:id="344"/>
      </w:r>
    </w:p>
    <w:p w:rsidR="00FF51AE" w:rsidRPr="00D57D20" w:rsidRDefault="00FF51AE" w:rsidP="00D57D20">
      <w:pPr>
        <w:shd w:val="clear" w:color="auto" w:fill="FFFFFF"/>
        <w:spacing w:after="0" w:line="240" w:lineRule="auto"/>
        <w:rPr>
          <w:rFonts w:ascii="Times New Roman" w:hAnsi="Times New Roman"/>
          <w:color w:val="000000"/>
          <w:lang w:val="sr-Cyrl-CS"/>
        </w:rPr>
      </w:pPr>
    </w:p>
    <w:p w:rsidR="00FB0FA1" w:rsidRPr="004D2866" w:rsidRDefault="00384954" w:rsidP="004D2866">
      <w:pPr>
        <w:pStyle w:val="ListParagraph"/>
        <w:numPr>
          <w:ilvl w:val="2"/>
          <w:numId w:val="3"/>
        </w:numPr>
        <w:shd w:val="clear" w:color="auto" w:fill="FFFFFF"/>
        <w:spacing w:after="0" w:line="285" w:lineRule="atLeast"/>
        <w:jc w:val="center"/>
        <w:rPr>
          <w:rFonts w:ascii="Times New Roman" w:hAnsi="Times New Roman"/>
          <w:b/>
          <w:color w:val="000000"/>
          <w:sz w:val="24"/>
          <w:szCs w:val="24"/>
          <w:lang w:val="sr-Cyrl-CS"/>
        </w:rPr>
      </w:pPr>
      <w:r w:rsidRPr="004D2866">
        <w:rPr>
          <w:rFonts w:ascii="Times New Roman" w:hAnsi="Times New Roman"/>
          <w:b/>
          <w:color w:val="000000"/>
          <w:sz w:val="24"/>
          <w:szCs w:val="24"/>
          <w:lang w:val="sr-Cyrl-CS"/>
        </w:rPr>
        <w:t>Правна природа</w:t>
      </w:r>
      <w:r w:rsidR="00D57D20" w:rsidRPr="004D2866">
        <w:rPr>
          <w:rFonts w:ascii="Times New Roman" w:hAnsi="Times New Roman"/>
          <w:b/>
          <w:color w:val="000000"/>
          <w:sz w:val="24"/>
          <w:szCs w:val="24"/>
          <w:lang w:val="sr-Cyrl-CS"/>
        </w:rPr>
        <w:t xml:space="preserve"> пореза на додату вредности</w:t>
      </w:r>
    </w:p>
    <w:p w:rsidR="004D2866" w:rsidRPr="004D2866" w:rsidRDefault="004D2866" w:rsidP="004D2866">
      <w:pPr>
        <w:pStyle w:val="ListParagraph"/>
        <w:shd w:val="clear" w:color="auto" w:fill="FFFFFF"/>
        <w:spacing w:after="0" w:line="285" w:lineRule="atLeast"/>
        <w:ind w:left="1429"/>
        <w:rPr>
          <w:rFonts w:ascii="Times New Roman" w:hAnsi="Times New Roman"/>
          <w:b/>
          <w:color w:val="000000"/>
          <w:sz w:val="24"/>
          <w:szCs w:val="24"/>
          <w:lang w:val="sr-Cyrl-CS"/>
        </w:rPr>
      </w:pPr>
    </w:p>
    <w:p w:rsidR="00D57D20" w:rsidRPr="00D920DA" w:rsidRDefault="00D57D20" w:rsidP="00D57D20">
      <w:pPr>
        <w:shd w:val="clear" w:color="auto" w:fill="FFFFFF"/>
        <w:spacing w:after="0" w:line="285" w:lineRule="atLeast"/>
        <w:ind w:left="1069"/>
        <w:jc w:val="center"/>
        <w:rPr>
          <w:rFonts w:ascii="Arial" w:hAnsi="Arial" w:cs="Arial"/>
          <w:b/>
          <w:color w:val="000000"/>
          <w:sz w:val="24"/>
          <w:szCs w:val="24"/>
          <w:lang w:val="sr-Cyrl-CS"/>
        </w:rPr>
      </w:pPr>
    </w:p>
    <w:p w:rsidR="00206ECB" w:rsidRDefault="00206ECB" w:rsidP="00FB0FA1">
      <w:pPr>
        <w:shd w:val="clear" w:color="auto" w:fill="FFFFFF"/>
        <w:spacing w:after="0" w:line="285" w:lineRule="atLeast"/>
        <w:ind w:left="1069"/>
        <w:rPr>
          <w:rFonts w:ascii="Arial" w:hAnsi="Arial" w:cs="Arial"/>
          <w:color w:val="000000"/>
          <w:sz w:val="24"/>
          <w:szCs w:val="24"/>
          <w:lang w:val="sr-Cyrl-CS"/>
        </w:rPr>
      </w:pPr>
    </w:p>
    <w:p w:rsidR="00D57D20" w:rsidRPr="00FB48CB" w:rsidRDefault="00206ECB" w:rsidP="00F34B11">
      <w:pPr>
        <w:ind w:firstLine="360"/>
        <w:jc w:val="both"/>
        <w:rPr>
          <w:rFonts w:ascii="Times New Roman" w:hAnsi="Times New Roman"/>
          <w:sz w:val="24"/>
          <w:szCs w:val="24"/>
          <w:lang w:val="sr-Cyrl-CS"/>
        </w:rPr>
      </w:pPr>
      <w:r w:rsidRPr="00FB48CB">
        <w:rPr>
          <w:rFonts w:ascii="Times New Roman" w:hAnsi="Times New Roman"/>
          <w:sz w:val="24"/>
          <w:szCs w:val="24"/>
          <w:lang w:val="sr-Cyrl-CS"/>
        </w:rPr>
        <w:t>Према заступљеним класификацијама пореза у финансијској теорији</w:t>
      </w:r>
      <w:r>
        <w:rPr>
          <w:rFonts w:ascii="Times New Roman" w:hAnsi="Times New Roman"/>
          <w:sz w:val="24"/>
          <w:szCs w:val="24"/>
          <w:lang w:val="sr-Cyrl-CS"/>
        </w:rPr>
        <w:t>, које су наведене у претходном излагању, основна обележја порез на добит правних лица су</w:t>
      </w:r>
      <w:r w:rsidRPr="00FB48CB">
        <w:rPr>
          <w:rFonts w:ascii="Times New Roman" w:hAnsi="Times New Roman"/>
          <w:sz w:val="24"/>
          <w:szCs w:val="24"/>
          <w:lang w:val="sr-Cyrl-CS"/>
        </w:rPr>
        <w:t>:</w:t>
      </w:r>
      <w:r w:rsidR="00D57D20">
        <w:rPr>
          <w:rFonts w:ascii="Times New Roman" w:hAnsi="Times New Roman"/>
          <w:sz w:val="24"/>
          <w:szCs w:val="24"/>
          <w:lang w:val="sr-Cyrl-CS"/>
        </w:rPr>
        <w:t xml:space="preserve"> </w:t>
      </w:r>
    </w:p>
    <w:p w:rsidR="00571052" w:rsidRPr="00AF4129" w:rsidRDefault="00AF4129" w:rsidP="00F55EB3">
      <w:pPr>
        <w:shd w:val="clear" w:color="auto" w:fill="FFFFFF"/>
        <w:spacing w:after="0" w:line="285" w:lineRule="atLeast"/>
        <w:jc w:val="both"/>
        <w:rPr>
          <w:color w:val="000000"/>
          <w:lang w:val="sr-Cyrl-CS"/>
        </w:rPr>
      </w:pPr>
      <w:r>
        <w:rPr>
          <w:rFonts w:ascii="Times New Roman" w:hAnsi="Times New Roman"/>
          <w:color w:val="000000"/>
          <w:sz w:val="24"/>
          <w:szCs w:val="24"/>
          <w:lang w:val="sr-Cyrl-CS"/>
        </w:rPr>
        <w:t>1)</w:t>
      </w:r>
      <w:r w:rsidR="00EC30C0">
        <w:rPr>
          <w:rFonts w:ascii="Times New Roman" w:hAnsi="Times New Roman"/>
          <w:color w:val="000000"/>
          <w:sz w:val="24"/>
          <w:szCs w:val="24"/>
          <w:lang w:val="sr-Cyrl-CS"/>
        </w:rPr>
        <w:t>С</w:t>
      </w:r>
      <w:r w:rsidR="005940A5" w:rsidRPr="005940A5">
        <w:rPr>
          <w:rFonts w:ascii="Times New Roman" w:hAnsi="Times New Roman"/>
          <w:color w:val="000000"/>
          <w:sz w:val="24"/>
          <w:szCs w:val="24"/>
          <w:lang w:val="sr-Cyrl-CS"/>
        </w:rPr>
        <w:t>пада</w:t>
      </w:r>
      <w:r w:rsidR="005940A5">
        <w:rPr>
          <w:rFonts w:ascii="Times New Roman" w:hAnsi="Times New Roman"/>
          <w:color w:val="000000"/>
          <w:sz w:val="24"/>
          <w:szCs w:val="24"/>
          <w:lang w:val="sr-Cyrl-CS"/>
        </w:rPr>
        <w:t xml:space="preserve"> у</w:t>
      </w:r>
      <w:r w:rsidR="00D57D20">
        <w:rPr>
          <w:rFonts w:ascii="Times New Roman" w:hAnsi="Times New Roman"/>
          <w:color w:val="000000"/>
          <w:sz w:val="24"/>
          <w:szCs w:val="24"/>
          <w:lang w:val="sr-Cyrl-CS"/>
        </w:rPr>
        <w:t xml:space="preserve"> порезе на потрошњу, јер настаје</w:t>
      </w:r>
      <w:r w:rsidR="005940A5">
        <w:rPr>
          <w:rFonts w:ascii="Times New Roman" w:hAnsi="Times New Roman"/>
          <w:color w:val="000000"/>
          <w:sz w:val="24"/>
          <w:szCs w:val="24"/>
          <w:lang w:val="sr-Cyrl-CS"/>
        </w:rPr>
        <w:t xml:space="preserve"> поводом расхода, односно везано за њихову  употребу и </w:t>
      </w:r>
      <w:r w:rsidR="00680841">
        <w:rPr>
          <w:rFonts w:ascii="Times New Roman" w:hAnsi="Times New Roman"/>
          <w:color w:val="000000"/>
          <w:sz w:val="24"/>
          <w:szCs w:val="24"/>
          <w:lang w:val="sr-Cyrl-CS"/>
        </w:rPr>
        <w:t>трошење. Због тога важи правило</w:t>
      </w:r>
      <w:r w:rsidR="005940A5">
        <w:rPr>
          <w:rFonts w:ascii="Times New Roman" w:hAnsi="Times New Roman"/>
          <w:color w:val="000000"/>
          <w:sz w:val="24"/>
          <w:szCs w:val="24"/>
          <w:lang w:val="sr-Cyrl-CS"/>
        </w:rPr>
        <w:t xml:space="preserve"> „потрошња - то су расходи“</w:t>
      </w:r>
      <w:r w:rsidR="00BA4FC2">
        <w:rPr>
          <w:rFonts w:ascii="Times New Roman" w:hAnsi="Times New Roman"/>
          <w:color w:val="000000"/>
          <w:sz w:val="24"/>
          <w:szCs w:val="24"/>
          <w:lang w:val="sr-Cyrl-CS"/>
        </w:rPr>
        <w:t>, при чему погађа потрошне расходе</w:t>
      </w:r>
      <w:r w:rsidR="001C6026">
        <w:rPr>
          <w:rFonts w:ascii="Times New Roman" w:hAnsi="Times New Roman"/>
          <w:color w:val="000000"/>
          <w:sz w:val="24"/>
          <w:szCs w:val="24"/>
        </w:rPr>
        <w:t>, а не и прозводне расходе</w:t>
      </w:r>
      <w:r w:rsidR="001C6026">
        <w:rPr>
          <w:rStyle w:val="FootnoteReference"/>
          <w:rFonts w:ascii="Times New Roman" w:hAnsi="Times New Roman"/>
          <w:color w:val="000000"/>
          <w:sz w:val="24"/>
          <w:szCs w:val="24"/>
          <w:lang w:val="sr-Cyrl-CS"/>
        </w:rPr>
        <w:footnoteReference w:id="345"/>
      </w:r>
      <w:r w:rsidR="00BA4FC2">
        <w:rPr>
          <w:rFonts w:ascii="Times New Roman" w:hAnsi="Times New Roman"/>
          <w:color w:val="000000"/>
          <w:sz w:val="24"/>
          <w:szCs w:val="24"/>
          <w:lang w:val="sr-Cyrl-CS"/>
        </w:rPr>
        <w:t>. Представља индиректан (посредан) порез јер се трошак пореза, по интенцији законодав</w:t>
      </w:r>
      <w:r w:rsidR="006732DF">
        <w:rPr>
          <w:rFonts w:ascii="Times New Roman" w:hAnsi="Times New Roman"/>
          <w:color w:val="000000"/>
          <w:sz w:val="24"/>
          <w:szCs w:val="24"/>
          <w:lang w:val="sr-Cyrl-CS"/>
        </w:rPr>
        <w:t>ца, преваљује. Наиме, овај порез терети индиректно лица која је законодавац предвидео да сносе порески терет, јер иста могу да порески терет превале на треће лице од којих се порез наплаћује</w:t>
      </w:r>
      <w:r w:rsidR="000E1C50">
        <w:rPr>
          <w:rFonts w:ascii="Times New Roman" w:hAnsi="Times New Roman"/>
          <w:color w:val="000000"/>
          <w:sz w:val="24"/>
          <w:szCs w:val="24"/>
        </w:rPr>
        <w:t xml:space="preserve"> (de facto)</w:t>
      </w:r>
      <w:r w:rsidR="006732DF">
        <w:rPr>
          <w:rFonts w:ascii="Times New Roman" w:hAnsi="Times New Roman"/>
          <w:color w:val="000000"/>
          <w:sz w:val="24"/>
          <w:szCs w:val="24"/>
          <w:lang w:val="sr-Cyrl-CS"/>
        </w:rPr>
        <w:t xml:space="preserve">. Према томе, овај порез се не наплаћује непосредно </w:t>
      </w:r>
      <w:r w:rsidR="000E1C50">
        <w:rPr>
          <w:rFonts w:ascii="Times New Roman" w:hAnsi="Times New Roman"/>
          <w:color w:val="000000"/>
          <w:sz w:val="24"/>
          <w:szCs w:val="24"/>
          <w:lang w:val="sr-Cyrl-CS"/>
        </w:rPr>
        <w:t xml:space="preserve">од </w:t>
      </w:r>
      <w:r w:rsidR="006732DF">
        <w:rPr>
          <w:rFonts w:ascii="Times New Roman" w:hAnsi="Times New Roman"/>
          <w:color w:val="000000"/>
          <w:sz w:val="24"/>
          <w:szCs w:val="24"/>
          <w:lang w:val="sr-Cyrl-CS"/>
        </w:rPr>
        <w:t xml:space="preserve"> лица која је законодавац предвидео да сносе порески терет. Ово преваљивање се врши кроз цену производа на купца, при чему порески терет погађа крајњег потрошача, односно лице које није </w:t>
      </w:r>
      <w:r w:rsidR="004B25FC">
        <w:rPr>
          <w:rFonts w:ascii="Times New Roman" w:hAnsi="Times New Roman"/>
          <w:color w:val="000000"/>
          <w:sz w:val="24"/>
          <w:szCs w:val="24"/>
          <w:lang w:val="sr-Cyrl-CS"/>
        </w:rPr>
        <w:t xml:space="preserve">у стању да порез даље преваљује. То </w:t>
      </w:r>
      <w:r w:rsidR="00EC30C0">
        <w:rPr>
          <w:rFonts w:ascii="Times New Roman" w:hAnsi="Times New Roman"/>
          <w:color w:val="000000"/>
          <w:sz w:val="24"/>
          <w:szCs w:val="24"/>
          <w:lang w:val="sr-Cyrl-CS"/>
        </w:rPr>
        <w:t xml:space="preserve">је </w:t>
      </w:r>
      <w:r w:rsidR="004B25FC">
        <w:rPr>
          <w:rFonts w:ascii="Times New Roman" w:hAnsi="Times New Roman"/>
          <w:color w:val="000000"/>
          <w:sz w:val="24"/>
          <w:szCs w:val="24"/>
          <w:lang w:val="sr-Cyrl-CS"/>
        </w:rPr>
        <w:t xml:space="preserve">један парадокс овог пореског облика </w:t>
      </w:r>
      <w:r w:rsidR="004B25FC">
        <w:rPr>
          <w:rFonts w:ascii="Times New Roman" w:hAnsi="Times New Roman"/>
          <w:color w:val="000000"/>
          <w:sz w:val="24"/>
          <w:szCs w:val="24"/>
          <w:lang w:val="sr-Cyrl-CS"/>
        </w:rPr>
        <w:lastRenderedPageBreak/>
        <w:t xml:space="preserve">да је опорезовани у ствари ослобођен. Наиме, порески обвезник има обавезу да обрачуна овај порез, али и право да одбије овај порез који је плаћен у претходној фази прометног циклуса, па је због тога опорезовани заправо ослобођен, кроз преваљивање </w:t>
      </w:r>
      <w:r w:rsidR="001912C8">
        <w:rPr>
          <w:rFonts w:ascii="Times New Roman" w:hAnsi="Times New Roman"/>
          <w:color w:val="000000"/>
          <w:sz w:val="24"/>
          <w:szCs w:val="24"/>
          <w:lang w:val="sr-Cyrl-CS"/>
        </w:rPr>
        <w:t>пореске обавезе на треће лице (купца) које није порески обвезник, али је и опорезован, јер сноси порески терет.</w:t>
      </w:r>
      <w:r w:rsidR="00B333D8">
        <w:rPr>
          <w:rFonts w:ascii="Times New Roman" w:hAnsi="Times New Roman"/>
          <w:color w:val="000000"/>
          <w:sz w:val="24"/>
          <w:szCs w:val="24"/>
          <w:lang w:val="sr-Cyrl-CS"/>
        </w:rPr>
        <w:t xml:space="preserve"> Други парадокс је да је ослобођени опорезован и односи се на све случајеве пореских ослобођења без права на одбитак претходно плаћеног пореза на додату вредност. Обвезник који има право на ово пореско ослобођење за своје испоруке, нема право да одбије претходно плаћен порез обрачунат у набавној цени.</w:t>
      </w:r>
      <w:r w:rsidR="00EC30C0">
        <w:rPr>
          <w:rFonts w:ascii="Times New Roman" w:hAnsi="Times New Roman"/>
          <w:color w:val="000000"/>
          <w:sz w:val="24"/>
          <w:szCs w:val="24"/>
          <w:lang w:val="sr-Cyrl-CS"/>
        </w:rPr>
        <w:t xml:space="preserve"> </w:t>
      </w:r>
      <w:r w:rsidR="00571052">
        <w:rPr>
          <w:rFonts w:ascii="Times New Roman" w:hAnsi="Times New Roman"/>
          <w:color w:val="000000"/>
          <w:sz w:val="24"/>
          <w:szCs w:val="24"/>
          <w:lang w:val="sr-Cyrl-CS"/>
        </w:rPr>
        <w:t>Индиректан карактер произилази из регулисања овог пореског облика п</w:t>
      </w:r>
      <w:r w:rsidR="009F5D8A">
        <w:rPr>
          <w:rFonts w:ascii="Times New Roman" w:hAnsi="Times New Roman"/>
          <w:color w:val="000000"/>
          <w:sz w:val="24"/>
          <w:szCs w:val="24"/>
          <w:lang w:val="sr-Cyrl-CS"/>
        </w:rPr>
        <w:t>рема домаћим позитивним прописма</w:t>
      </w:r>
      <w:r w:rsidR="00EC30C0">
        <w:rPr>
          <w:rFonts w:ascii="Times New Roman" w:hAnsi="Times New Roman"/>
          <w:color w:val="000000"/>
          <w:sz w:val="24"/>
          <w:szCs w:val="24"/>
          <w:lang w:val="sr-Cyrl-CS"/>
        </w:rPr>
        <w:t>.</w:t>
      </w:r>
      <w:r w:rsidR="009F5D8A">
        <w:rPr>
          <w:rStyle w:val="FootnoteReference"/>
          <w:rFonts w:ascii="Times New Roman" w:hAnsi="Times New Roman"/>
          <w:color w:val="000000"/>
          <w:sz w:val="24"/>
          <w:szCs w:val="24"/>
          <w:lang w:val="sr-Cyrl-CS"/>
        </w:rPr>
        <w:footnoteReference w:id="346"/>
      </w:r>
      <w:r w:rsidR="009F5D8A">
        <w:rPr>
          <w:rFonts w:ascii="Times New Roman" w:hAnsi="Times New Roman"/>
          <w:color w:val="000000"/>
          <w:sz w:val="24"/>
          <w:szCs w:val="24"/>
          <w:lang w:val="sr-Cyrl-CS"/>
        </w:rPr>
        <w:t xml:space="preserve"> </w:t>
      </w:r>
    </w:p>
    <w:p w:rsidR="00571052" w:rsidRPr="00AF4129" w:rsidRDefault="00571052" w:rsidP="00AF4129">
      <w:pPr>
        <w:pStyle w:val="normal0"/>
        <w:shd w:val="clear" w:color="auto" w:fill="FFFFFF"/>
        <w:spacing w:before="48" w:beforeAutospacing="0" w:after="48" w:afterAutospacing="0"/>
        <w:jc w:val="both"/>
        <w:rPr>
          <w:color w:val="000000"/>
          <w:lang w:val="sr-Cyrl-CS"/>
        </w:rPr>
      </w:pPr>
    </w:p>
    <w:p w:rsidR="00AF4129" w:rsidRPr="000B417D" w:rsidRDefault="00AF4129" w:rsidP="000B417D">
      <w:pPr>
        <w:ind w:firstLine="708"/>
        <w:jc w:val="both"/>
        <w:rPr>
          <w:rFonts w:ascii="Times New Roman" w:hAnsi="Times New Roman"/>
          <w:sz w:val="24"/>
          <w:szCs w:val="24"/>
          <w:lang w:val="sr-Cyrl-CS"/>
        </w:rPr>
      </w:pPr>
      <w:r w:rsidRPr="000B417D">
        <w:rPr>
          <w:rFonts w:ascii="Times New Roman" w:hAnsi="Times New Roman"/>
          <w:sz w:val="24"/>
          <w:szCs w:val="24"/>
          <w:shd w:val="clear" w:color="auto" w:fill="FFFFFF"/>
        </w:rPr>
        <w:t>Обвезник</w:t>
      </w:r>
      <w:r w:rsidR="00571052" w:rsidRPr="000B417D">
        <w:rPr>
          <w:rFonts w:ascii="Times New Roman" w:hAnsi="Times New Roman"/>
          <w:sz w:val="24"/>
          <w:szCs w:val="24"/>
          <w:shd w:val="clear" w:color="auto" w:fill="FFFFFF"/>
        </w:rPr>
        <w:t xml:space="preserve"> </w:t>
      </w:r>
      <w:r w:rsidRPr="000B417D">
        <w:rPr>
          <w:rFonts w:ascii="Times New Roman" w:hAnsi="Times New Roman"/>
          <w:sz w:val="24"/>
          <w:szCs w:val="24"/>
          <w:shd w:val="clear" w:color="auto" w:fill="FFFFFF"/>
        </w:rPr>
        <w:t>је</w:t>
      </w:r>
      <w:r w:rsidR="00571052" w:rsidRPr="000B417D">
        <w:rPr>
          <w:rFonts w:ascii="Times New Roman" w:hAnsi="Times New Roman"/>
          <w:sz w:val="24"/>
          <w:szCs w:val="24"/>
          <w:shd w:val="clear" w:color="auto" w:fill="FFFFFF"/>
        </w:rPr>
        <w:t xml:space="preserve"> </w:t>
      </w:r>
      <w:r w:rsidRPr="000B417D">
        <w:rPr>
          <w:rFonts w:ascii="Times New Roman" w:hAnsi="Times New Roman"/>
          <w:sz w:val="24"/>
          <w:szCs w:val="24"/>
          <w:shd w:val="clear" w:color="auto" w:fill="FFFFFF"/>
        </w:rPr>
        <w:t>дужан</w:t>
      </w:r>
      <w:r w:rsidR="00571052" w:rsidRPr="000B417D">
        <w:rPr>
          <w:rFonts w:ascii="Times New Roman" w:hAnsi="Times New Roman"/>
          <w:sz w:val="24"/>
          <w:szCs w:val="24"/>
          <w:shd w:val="clear" w:color="auto" w:fill="FFFFFF"/>
        </w:rPr>
        <w:t xml:space="preserve"> </w:t>
      </w:r>
      <w:r w:rsidRPr="000B417D">
        <w:rPr>
          <w:rFonts w:ascii="Times New Roman" w:hAnsi="Times New Roman"/>
          <w:sz w:val="24"/>
          <w:szCs w:val="24"/>
          <w:shd w:val="clear" w:color="auto" w:fill="FFFFFF"/>
        </w:rPr>
        <w:t>да</w:t>
      </w:r>
      <w:r w:rsidR="00571052" w:rsidRPr="000B417D">
        <w:rPr>
          <w:rFonts w:ascii="Times New Roman" w:hAnsi="Times New Roman"/>
          <w:sz w:val="24"/>
          <w:szCs w:val="24"/>
          <w:shd w:val="clear" w:color="auto" w:fill="FFFFFF"/>
        </w:rPr>
        <w:t xml:space="preserve"> </w:t>
      </w:r>
      <w:r w:rsidRPr="000B417D">
        <w:rPr>
          <w:rFonts w:ascii="Times New Roman" w:hAnsi="Times New Roman"/>
          <w:sz w:val="24"/>
          <w:szCs w:val="24"/>
          <w:shd w:val="clear" w:color="auto" w:fill="FFFFFF"/>
        </w:rPr>
        <w:t>изда</w:t>
      </w:r>
      <w:r w:rsidR="00571052" w:rsidRPr="000B417D">
        <w:rPr>
          <w:rFonts w:ascii="Times New Roman" w:hAnsi="Times New Roman"/>
          <w:sz w:val="24"/>
          <w:szCs w:val="24"/>
          <w:shd w:val="clear" w:color="auto" w:fill="FFFFFF"/>
        </w:rPr>
        <w:t xml:space="preserve"> </w:t>
      </w:r>
      <w:r w:rsidRPr="000B417D">
        <w:rPr>
          <w:rFonts w:ascii="Times New Roman" w:hAnsi="Times New Roman"/>
          <w:sz w:val="24"/>
          <w:szCs w:val="24"/>
          <w:shd w:val="clear" w:color="auto" w:fill="FFFFFF"/>
        </w:rPr>
        <w:t>рачун</w:t>
      </w:r>
      <w:r w:rsidR="00571052" w:rsidRPr="000B417D">
        <w:rPr>
          <w:rFonts w:ascii="Times New Roman" w:hAnsi="Times New Roman"/>
          <w:sz w:val="24"/>
          <w:szCs w:val="24"/>
          <w:shd w:val="clear" w:color="auto" w:fill="FFFFFF"/>
        </w:rPr>
        <w:t xml:space="preserve"> </w:t>
      </w:r>
      <w:r w:rsidRPr="000B417D">
        <w:rPr>
          <w:rFonts w:ascii="Times New Roman" w:hAnsi="Times New Roman"/>
          <w:sz w:val="24"/>
          <w:szCs w:val="24"/>
          <w:shd w:val="clear" w:color="auto" w:fill="FFFFFF"/>
        </w:rPr>
        <w:t>за</w:t>
      </w:r>
      <w:r w:rsidR="00571052" w:rsidRPr="000B417D">
        <w:rPr>
          <w:rFonts w:ascii="Times New Roman" w:hAnsi="Times New Roman"/>
          <w:sz w:val="24"/>
          <w:szCs w:val="24"/>
          <w:shd w:val="clear" w:color="auto" w:fill="FFFFFF"/>
        </w:rPr>
        <w:t xml:space="preserve"> </w:t>
      </w:r>
      <w:r w:rsidRPr="000B417D">
        <w:rPr>
          <w:rFonts w:ascii="Times New Roman" w:hAnsi="Times New Roman"/>
          <w:sz w:val="24"/>
          <w:szCs w:val="24"/>
          <w:shd w:val="clear" w:color="auto" w:fill="FFFFFF"/>
        </w:rPr>
        <w:t>сваки</w:t>
      </w:r>
      <w:r w:rsidR="00571052" w:rsidRPr="000B417D">
        <w:rPr>
          <w:rFonts w:ascii="Times New Roman" w:hAnsi="Times New Roman"/>
          <w:sz w:val="24"/>
          <w:szCs w:val="24"/>
          <w:shd w:val="clear" w:color="auto" w:fill="FFFFFF"/>
        </w:rPr>
        <w:t xml:space="preserve"> </w:t>
      </w:r>
      <w:r w:rsidRPr="000B417D">
        <w:rPr>
          <w:rFonts w:ascii="Times New Roman" w:hAnsi="Times New Roman"/>
          <w:sz w:val="24"/>
          <w:szCs w:val="24"/>
          <w:shd w:val="clear" w:color="auto" w:fill="FFFFFF"/>
        </w:rPr>
        <w:t>промет</w:t>
      </w:r>
      <w:r w:rsidR="00571052" w:rsidRPr="000B417D">
        <w:rPr>
          <w:rFonts w:ascii="Times New Roman" w:hAnsi="Times New Roman"/>
          <w:sz w:val="24"/>
          <w:szCs w:val="24"/>
          <w:shd w:val="clear" w:color="auto" w:fill="FFFFFF"/>
        </w:rPr>
        <w:t xml:space="preserve"> </w:t>
      </w:r>
      <w:r w:rsidRPr="000B417D">
        <w:rPr>
          <w:rFonts w:ascii="Times New Roman" w:hAnsi="Times New Roman"/>
          <w:sz w:val="24"/>
          <w:szCs w:val="24"/>
          <w:shd w:val="clear" w:color="auto" w:fill="FFFFFF"/>
        </w:rPr>
        <w:t>добара</w:t>
      </w:r>
      <w:r w:rsidR="00571052" w:rsidRPr="000B417D">
        <w:rPr>
          <w:rFonts w:ascii="Times New Roman" w:hAnsi="Times New Roman"/>
          <w:sz w:val="24"/>
          <w:szCs w:val="24"/>
          <w:shd w:val="clear" w:color="auto" w:fill="FFFFFF"/>
        </w:rPr>
        <w:t xml:space="preserve"> </w:t>
      </w:r>
      <w:r w:rsidRPr="000B417D">
        <w:rPr>
          <w:rFonts w:ascii="Times New Roman" w:hAnsi="Times New Roman"/>
          <w:sz w:val="24"/>
          <w:szCs w:val="24"/>
          <w:shd w:val="clear" w:color="auto" w:fill="FFFFFF"/>
        </w:rPr>
        <w:t>и</w:t>
      </w:r>
      <w:r w:rsidR="00571052" w:rsidRPr="000B417D">
        <w:rPr>
          <w:rFonts w:ascii="Times New Roman" w:hAnsi="Times New Roman"/>
          <w:sz w:val="24"/>
          <w:szCs w:val="24"/>
          <w:shd w:val="clear" w:color="auto" w:fill="FFFFFF"/>
        </w:rPr>
        <w:t xml:space="preserve"> </w:t>
      </w:r>
      <w:r w:rsidRPr="000B417D">
        <w:rPr>
          <w:rFonts w:ascii="Times New Roman" w:hAnsi="Times New Roman"/>
          <w:sz w:val="24"/>
          <w:szCs w:val="24"/>
          <w:shd w:val="clear" w:color="auto" w:fill="FFFFFF"/>
        </w:rPr>
        <w:t>услуга</w:t>
      </w:r>
      <w:r w:rsidR="00571052" w:rsidRPr="000B417D">
        <w:rPr>
          <w:rFonts w:ascii="Times New Roman" w:hAnsi="Times New Roman"/>
          <w:sz w:val="24"/>
          <w:szCs w:val="24"/>
          <w:shd w:val="clear" w:color="auto" w:fill="FFFFFF"/>
        </w:rPr>
        <w:t>.</w:t>
      </w:r>
      <w:r w:rsidR="00EC30C0" w:rsidRPr="000B417D">
        <w:rPr>
          <w:rFonts w:ascii="Times New Roman" w:hAnsi="Times New Roman"/>
          <w:sz w:val="24"/>
          <w:szCs w:val="24"/>
          <w:shd w:val="clear" w:color="auto" w:fill="FFFFFF"/>
          <w:lang w:val="sr-Cyrl-CS"/>
        </w:rPr>
        <w:t xml:space="preserve"> </w:t>
      </w:r>
      <w:r w:rsidRPr="000B417D">
        <w:rPr>
          <w:rFonts w:ascii="Times New Roman" w:hAnsi="Times New Roman"/>
          <w:sz w:val="24"/>
          <w:szCs w:val="24"/>
        </w:rPr>
        <w:t>Рачун</w:t>
      </w:r>
      <w:r w:rsidR="00571052" w:rsidRPr="000B417D">
        <w:rPr>
          <w:rFonts w:ascii="Times New Roman" w:hAnsi="Times New Roman"/>
          <w:sz w:val="24"/>
          <w:szCs w:val="24"/>
        </w:rPr>
        <w:t xml:space="preserve"> </w:t>
      </w:r>
      <w:r w:rsidRPr="000B417D">
        <w:rPr>
          <w:rFonts w:ascii="Times New Roman" w:hAnsi="Times New Roman"/>
          <w:sz w:val="24"/>
          <w:szCs w:val="24"/>
        </w:rPr>
        <w:t>се</w:t>
      </w:r>
      <w:r w:rsidR="00571052" w:rsidRPr="000B417D">
        <w:rPr>
          <w:rFonts w:ascii="Times New Roman" w:hAnsi="Times New Roman"/>
          <w:sz w:val="24"/>
          <w:szCs w:val="24"/>
        </w:rPr>
        <w:t xml:space="preserve"> </w:t>
      </w:r>
      <w:r w:rsidRPr="000B417D">
        <w:rPr>
          <w:rFonts w:ascii="Times New Roman" w:hAnsi="Times New Roman"/>
          <w:sz w:val="24"/>
          <w:szCs w:val="24"/>
        </w:rPr>
        <w:t>издаје</w:t>
      </w:r>
      <w:r w:rsidR="00571052" w:rsidRPr="000B417D">
        <w:rPr>
          <w:rFonts w:ascii="Times New Roman" w:hAnsi="Times New Roman"/>
          <w:sz w:val="24"/>
          <w:szCs w:val="24"/>
        </w:rPr>
        <w:t xml:space="preserve"> </w:t>
      </w:r>
      <w:r w:rsidRPr="000B417D">
        <w:rPr>
          <w:rFonts w:ascii="Times New Roman" w:hAnsi="Times New Roman"/>
          <w:sz w:val="24"/>
          <w:szCs w:val="24"/>
        </w:rPr>
        <w:t>у</w:t>
      </w:r>
      <w:r w:rsidR="00571052" w:rsidRPr="000B417D">
        <w:rPr>
          <w:rFonts w:ascii="Times New Roman" w:hAnsi="Times New Roman"/>
          <w:sz w:val="24"/>
          <w:szCs w:val="24"/>
        </w:rPr>
        <w:t xml:space="preserve"> </w:t>
      </w:r>
      <w:r w:rsidRPr="000B417D">
        <w:rPr>
          <w:rFonts w:ascii="Times New Roman" w:hAnsi="Times New Roman"/>
          <w:sz w:val="24"/>
          <w:szCs w:val="24"/>
        </w:rPr>
        <w:t>најмање</w:t>
      </w:r>
      <w:r w:rsidR="00571052" w:rsidRPr="000B417D">
        <w:rPr>
          <w:rFonts w:ascii="Times New Roman" w:hAnsi="Times New Roman"/>
          <w:sz w:val="24"/>
          <w:szCs w:val="24"/>
        </w:rPr>
        <w:t xml:space="preserve"> </w:t>
      </w:r>
      <w:r w:rsidRPr="000B417D">
        <w:rPr>
          <w:rFonts w:ascii="Times New Roman" w:hAnsi="Times New Roman"/>
          <w:sz w:val="24"/>
          <w:szCs w:val="24"/>
        </w:rPr>
        <w:t>два</w:t>
      </w:r>
      <w:r w:rsidR="00571052" w:rsidRPr="000B417D">
        <w:rPr>
          <w:rFonts w:ascii="Times New Roman" w:hAnsi="Times New Roman"/>
          <w:sz w:val="24"/>
          <w:szCs w:val="24"/>
        </w:rPr>
        <w:t xml:space="preserve"> </w:t>
      </w:r>
      <w:r w:rsidRPr="000B417D">
        <w:rPr>
          <w:rFonts w:ascii="Times New Roman" w:hAnsi="Times New Roman"/>
          <w:sz w:val="24"/>
          <w:szCs w:val="24"/>
        </w:rPr>
        <w:t>примерка</w:t>
      </w:r>
      <w:r w:rsidR="00571052" w:rsidRPr="000B417D">
        <w:rPr>
          <w:rFonts w:ascii="Times New Roman" w:hAnsi="Times New Roman"/>
          <w:sz w:val="24"/>
          <w:szCs w:val="24"/>
        </w:rPr>
        <w:t xml:space="preserve">, </w:t>
      </w:r>
      <w:r w:rsidRPr="000B417D">
        <w:rPr>
          <w:rFonts w:ascii="Times New Roman" w:hAnsi="Times New Roman"/>
          <w:sz w:val="24"/>
          <w:szCs w:val="24"/>
        </w:rPr>
        <w:t>од</w:t>
      </w:r>
      <w:r w:rsidR="00571052" w:rsidRPr="000B417D">
        <w:rPr>
          <w:rFonts w:ascii="Times New Roman" w:hAnsi="Times New Roman"/>
          <w:sz w:val="24"/>
          <w:szCs w:val="24"/>
        </w:rPr>
        <w:t xml:space="preserve"> </w:t>
      </w:r>
      <w:r w:rsidRPr="000B417D">
        <w:rPr>
          <w:rFonts w:ascii="Times New Roman" w:hAnsi="Times New Roman"/>
          <w:sz w:val="24"/>
          <w:szCs w:val="24"/>
        </w:rPr>
        <w:t>којих</w:t>
      </w:r>
      <w:r w:rsidR="00571052" w:rsidRPr="000B417D">
        <w:rPr>
          <w:rFonts w:ascii="Times New Roman" w:hAnsi="Times New Roman"/>
          <w:sz w:val="24"/>
          <w:szCs w:val="24"/>
        </w:rPr>
        <w:t xml:space="preserve"> </w:t>
      </w:r>
      <w:r w:rsidRPr="000B417D">
        <w:rPr>
          <w:rFonts w:ascii="Times New Roman" w:hAnsi="Times New Roman"/>
          <w:sz w:val="24"/>
          <w:szCs w:val="24"/>
        </w:rPr>
        <w:t>један</w:t>
      </w:r>
      <w:r w:rsidR="00571052" w:rsidRPr="000B417D">
        <w:rPr>
          <w:rFonts w:ascii="Times New Roman" w:hAnsi="Times New Roman"/>
          <w:sz w:val="24"/>
          <w:szCs w:val="24"/>
        </w:rPr>
        <w:t xml:space="preserve"> </w:t>
      </w:r>
      <w:r w:rsidRPr="000B417D">
        <w:rPr>
          <w:rFonts w:ascii="Times New Roman" w:hAnsi="Times New Roman"/>
          <w:sz w:val="24"/>
          <w:szCs w:val="24"/>
        </w:rPr>
        <w:t>задржава</w:t>
      </w:r>
      <w:r w:rsidR="00571052" w:rsidRPr="000B417D">
        <w:rPr>
          <w:rFonts w:ascii="Times New Roman" w:hAnsi="Times New Roman"/>
          <w:sz w:val="24"/>
          <w:szCs w:val="24"/>
        </w:rPr>
        <w:t xml:space="preserve"> </w:t>
      </w:r>
      <w:r w:rsidRPr="000B417D">
        <w:rPr>
          <w:rFonts w:ascii="Times New Roman" w:hAnsi="Times New Roman"/>
          <w:sz w:val="24"/>
          <w:szCs w:val="24"/>
        </w:rPr>
        <w:t>издавалац</w:t>
      </w:r>
      <w:r w:rsidR="00571052" w:rsidRPr="000B417D">
        <w:rPr>
          <w:rFonts w:ascii="Times New Roman" w:hAnsi="Times New Roman"/>
          <w:sz w:val="24"/>
          <w:szCs w:val="24"/>
        </w:rPr>
        <w:t xml:space="preserve"> </w:t>
      </w:r>
      <w:r w:rsidRPr="000B417D">
        <w:rPr>
          <w:rFonts w:ascii="Times New Roman" w:hAnsi="Times New Roman"/>
          <w:sz w:val="24"/>
          <w:szCs w:val="24"/>
        </w:rPr>
        <w:t>рачуна</w:t>
      </w:r>
      <w:r w:rsidR="00571052" w:rsidRPr="000B417D">
        <w:rPr>
          <w:rFonts w:ascii="Times New Roman" w:hAnsi="Times New Roman"/>
          <w:sz w:val="24"/>
          <w:szCs w:val="24"/>
        </w:rPr>
        <w:t xml:space="preserve">, </w:t>
      </w:r>
      <w:r w:rsidRPr="000B417D">
        <w:rPr>
          <w:rFonts w:ascii="Times New Roman" w:hAnsi="Times New Roman"/>
          <w:sz w:val="24"/>
          <w:szCs w:val="24"/>
        </w:rPr>
        <w:t>а</w:t>
      </w:r>
      <w:r w:rsidR="00571052" w:rsidRPr="000B417D">
        <w:rPr>
          <w:rFonts w:ascii="Times New Roman" w:hAnsi="Times New Roman"/>
          <w:sz w:val="24"/>
          <w:szCs w:val="24"/>
        </w:rPr>
        <w:t xml:space="preserve"> </w:t>
      </w:r>
      <w:r w:rsidRPr="000B417D">
        <w:rPr>
          <w:rFonts w:ascii="Times New Roman" w:hAnsi="Times New Roman"/>
          <w:sz w:val="24"/>
          <w:szCs w:val="24"/>
        </w:rPr>
        <w:t>остали</w:t>
      </w:r>
      <w:r w:rsidR="00571052" w:rsidRPr="000B417D">
        <w:rPr>
          <w:rFonts w:ascii="Times New Roman" w:hAnsi="Times New Roman"/>
          <w:sz w:val="24"/>
          <w:szCs w:val="24"/>
        </w:rPr>
        <w:t xml:space="preserve"> </w:t>
      </w:r>
      <w:r w:rsidRPr="000B417D">
        <w:rPr>
          <w:rFonts w:ascii="Times New Roman" w:hAnsi="Times New Roman"/>
          <w:sz w:val="24"/>
          <w:szCs w:val="24"/>
        </w:rPr>
        <w:t>се</w:t>
      </w:r>
      <w:r w:rsidR="00571052" w:rsidRPr="000B417D">
        <w:rPr>
          <w:rFonts w:ascii="Times New Roman" w:hAnsi="Times New Roman"/>
          <w:sz w:val="24"/>
          <w:szCs w:val="24"/>
        </w:rPr>
        <w:t xml:space="preserve"> </w:t>
      </w:r>
      <w:r w:rsidRPr="000B417D">
        <w:rPr>
          <w:rFonts w:ascii="Times New Roman" w:hAnsi="Times New Roman"/>
          <w:sz w:val="24"/>
          <w:szCs w:val="24"/>
        </w:rPr>
        <w:t>дају</w:t>
      </w:r>
      <w:r w:rsidR="00571052" w:rsidRPr="000B417D">
        <w:rPr>
          <w:rFonts w:ascii="Times New Roman" w:hAnsi="Times New Roman"/>
          <w:sz w:val="24"/>
          <w:szCs w:val="24"/>
        </w:rPr>
        <w:t xml:space="preserve"> </w:t>
      </w:r>
      <w:r w:rsidRPr="000B417D">
        <w:rPr>
          <w:rFonts w:ascii="Times New Roman" w:hAnsi="Times New Roman"/>
          <w:sz w:val="24"/>
          <w:szCs w:val="24"/>
        </w:rPr>
        <w:t>примаоцу</w:t>
      </w:r>
      <w:r w:rsidR="00571052" w:rsidRPr="000B417D">
        <w:rPr>
          <w:rFonts w:ascii="Times New Roman" w:hAnsi="Times New Roman"/>
          <w:sz w:val="24"/>
          <w:szCs w:val="24"/>
        </w:rPr>
        <w:t xml:space="preserve"> </w:t>
      </w:r>
      <w:r w:rsidRPr="000B417D">
        <w:rPr>
          <w:rFonts w:ascii="Times New Roman" w:hAnsi="Times New Roman"/>
          <w:sz w:val="24"/>
          <w:szCs w:val="24"/>
        </w:rPr>
        <w:t>добара</w:t>
      </w:r>
      <w:r w:rsidR="00571052" w:rsidRPr="000B417D">
        <w:rPr>
          <w:rFonts w:ascii="Times New Roman" w:hAnsi="Times New Roman"/>
          <w:sz w:val="24"/>
          <w:szCs w:val="24"/>
        </w:rPr>
        <w:t xml:space="preserve"> </w:t>
      </w:r>
      <w:r w:rsidRPr="000B417D">
        <w:rPr>
          <w:rFonts w:ascii="Times New Roman" w:hAnsi="Times New Roman"/>
          <w:sz w:val="24"/>
          <w:szCs w:val="24"/>
        </w:rPr>
        <w:t>и</w:t>
      </w:r>
      <w:r w:rsidR="00571052" w:rsidRPr="000B417D">
        <w:rPr>
          <w:rFonts w:ascii="Times New Roman" w:hAnsi="Times New Roman"/>
          <w:sz w:val="24"/>
          <w:szCs w:val="24"/>
        </w:rPr>
        <w:t xml:space="preserve"> </w:t>
      </w:r>
      <w:r w:rsidRPr="000B417D">
        <w:rPr>
          <w:rFonts w:ascii="Times New Roman" w:hAnsi="Times New Roman"/>
          <w:sz w:val="24"/>
          <w:szCs w:val="24"/>
        </w:rPr>
        <w:t>услуга</w:t>
      </w:r>
      <w:r w:rsidR="00571052" w:rsidRPr="000B417D">
        <w:rPr>
          <w:rFonts w:ascii="Times New Roman" w:hAnsi="Times New Roman"/>
          <w:sz w:val="24"/>
          <w:szCs w:val="24"/>
        </w:rPr>
        <w:t>.</w:t>
      </w:r>
      <w:r w:rsidRPr="000B417D">
        <w:rPr>
          <w:rFonts w:ascii="Times New Roman" w:hAnsi="Times New Roman"/>
          <w:sz w:val="24"/>
          <w:szCs w:val="24"/>
          <w:lang w:val="sr-Cyrl-CS"/>
        </w:rPr>
        <w:t xml:space="preserve"> </w:t>
      </w:r>
      <w:r w:rsidRPr="000B417D">
        <w:rPr>
          <w:rFonts w:ascii="Times New Roman" w:hAnsi="Times New Roman"/>
          <w:sz w:val="24"/>
          <w:szCs w:val="24"/>
        </w:rPr>
        <w:t>Обвезник</w:t>
      </w:r>
      <w:r w:rsidR="00571052" w:rsidRPr="000B417D">
        <w:rPr>
          <w:rFonts w:ascii="Times New Roman" w:hAnsi="Times New Roman"/>
          <w:sz w:val="24"/>
          <w:szCs w:val="24"/>
        </w:rPr>
        <w:t xml:space="preserve"> </w:t>
      </w:r>
      <w:r w:rsidRPr="000B417D">
        <w:rPr>
          <w:rFonts w:ascii="Times New Roman" w:hAnsi="Times New Roman"/>
          <w:sz w:val="24"/>
          <w:szCs w:val="24"/>
        </w:rPr>
        <w:t>ПДВ</w:t>
      </w:r>
      <w:r w:rsidR="00571052" w:rsidRPr="000B417D">
        <w:rPr>
          <w:rFonts w:ascii="Times New Roman" w:hAnsi="Times New Roman"/>
          <w:sz w:val="24"/>
          <w:szCs w:val="24"/>
        </w:rPr>
        <w:t xml:space="preserve"> </w:t>
      </w:r>
      <w:r w:rsidRPr="000B417D">
        <w:rPr>
          <w:rFonts w:ascii="Times New Roman" w:hAnsi="Times New Roman"/>
          <w:sz w:val="24"/>
          <w:szCs w:val="24"/>
        </w:rPr>
        <w:t>не</w:t>
      </w:r>
      <w:r w:rsidR="00571052" w:rsidRPr="000B417D">
        <w:rPr>
          <w:rFonts w:ascii="Times New Roman" w:hAnsi="Times New Roman"/>
          <w:sz w:val="24"/>
          <w:szCs w:val="24"/>
        </w:rPr>
        <w:t xml:space="preserve"> </w:t>
      </w:r>
      <w:r w:rsidRPr="000B417D">
        <w:rPr>
          <w:rFonts w:ascii="Times New Roman" w:hAnsi="Times New Roman"/>
          <w:sz w:val="24"/>
          <w:szCs w:val="24"/>
        </w:rPr>
        <w:t>издаје</w:t>
      </w:r>
      <w:r w:rsidR="00571052" w:rsidRPr="000B417D">
        <w:rPr>
          <w:rFonts w:ascii="Times New Roman" w:hAnsi="Times New Roman"/>
          <w:sz w:val="24"/>
          <w:szCs w:val="24"/>
        </w:rPr>
        <w:t xml:space="preserve"> </w:t>
      </w:r>
      <w:r w:rsidRPr="000B417D">
        <w:rPr>
          <w:rFonts w:ascii="Times New Roman" w:hAnsi="Times New Roman"/>
          <w:sz w:val="24"/>
          <w:szCs w:val="24"/>
        </w:rPr>
        <w:t>рачун</w:t>
      </w:r>
      <w:r w:rsidR="00571052" w:rsidRPr="000B417D">
        <w:rPr>
          <w:rFonts w:ascii="Times New Roman" w:hAnsi="Times New Roman"/>
          <w:sz w:val="24"/>
          <w:szCs w:val="24"/>
        </w:rPr>
        <w:t xml:space="preserve"> </w:t>
      </w:r>
      <w:r w:rsidRPr="000B417D">
        <w:rPr>
          <w:rFonts w:ascii="Times New Roman" w:hAnsi="Times New Roman"/>
          <w:sz w:val="24"/>
          <w:szCs w:val="24"/>
        </w:rPr>
        <w:t>за</w:t>
      </w:r>
      <w:r w:rsidR="00571052" w:rsidRPr="000B417D">
        <w:rPr>
          <w:rFonts w:ascii="Times New Roman" w:hAnsi="Times New Roman"/>
          <w:sz w:val="24"/>
          <w:szCs w:val="24"/>
        </w:rPr>
        <w:t xml:space="preserve"> </w:t>
      </w:r>
      <w:r w:rsidRPr="000B417D">
        <w:rPr>
          <w:rFonts w:ascii="Times New Roman" w:hAnsi="Times New Roman"/>
          <w:sz w:val="24"/>
          <w:szCs w:val="24"/>
        </w:rPr>
        <w:t>промет</w:t>
      </w:r>
      <w:r w:rsidR="00571052" w:rsidRPr="000B417D">
        <w:rPr>
          <w:rFonts w:ascii="Times New Roman" w:hAnsi="Times New Roman"/>
          <w:sz w:val="24"/>
          <w:szCs w:val="24"/>
        </w:rPr>
        <w:t xml:space="preserve"> </w:t>
      </w:r>
      <w:r w:rsidRPr="000B417D">
        <w:rPr>
          <w:rFonts w:ascii="Times New Roman" w:hAnsi="Times New Roman"/>
          <w:sz w:val="24"/>
          <w:szCs w:val="24"/>
        </w:rPr>
        <w:t>добара</w:t>
      </w:r>
      <w:r w:rsidR="00571052" w:rsidRPr="000B417D">
        <w:rPr>
          <w:rFonts w:ascii="Times New Roman" w:hAnsi="Times New Roman"/>
          <w:sz w:val="24"/>
          <w:szCs w:val="24"/>
        </w:rPr>
        <w:t xml:space="preserve"> </w:t>
      </w:r>
      <w:r w:rsidRPr="000B417D">
        <w:rPr>
          <w:rFonts w:ascii="Times New Roman" w:hAnsi="Times New Roman"/>
          <w:sz w:val="24"/>
          <w:szCs w:val="24"/>
        </w:rPr>
        <w:t>и</w:t>
      </w:r>
      <w:r w:rsidR="00571052" w:rsidRPr="000B417D">
        <w:rPr>
          <w:rFonts w:ascii="Times New Roman" w:hAnsi="Times New Roman"/>
          <w:sz w:val="24"/>
          <w:szCs w:val="24"/>
        </w:rPr>
        <w:t xml:space="preserve"> </w:t>
      </w:r>
      <w:r w:rsidRPr="000B417D">
        <w:rPr>
          <w:rFonts w:ascii="Times New Roman" w:hAnsi="Times New Roman"/>
          <w:sz w:val="24"/>
          <w:szCs w:val="24"/>
        </w:rPr>
        <w:t>услуга</w:t>
      </w:r>
      <w:r w:rsidR="00571052" w:rsidRPr="000B417D">
        <w:rPr>
          <w:rFonts w:ascii="Times New Roman" w:hAnsi="Times New Roman"/>
          <w:sz w:val="24"/>
          <w:szCs w:val="24"/>
        </w:rPr>
        <w:t xml:space="preserve"> </w:t>
      </w:r>
      <w:r w:rsidRPr="000B417D">
        <w:rPr>
          <w:rFonts w:ascii="Times New Roman" w:hAnsi="Times New Roman"/>
          <w:sz w:val="24"/>
          <w:szCs w:val="24"/>
        </w:rPr>
        <w:t>за</w:t>
      </w:r>
      <w:r w:rsidR="00571052" w:rsidRPr="000B417D">
        <w:rPr>
          <w:rFonts w:ascii="Times New Roman" w:hAnsi="Times New Roman"/>
          <w:sz w:val="24"/>
          <w:szCs w:val="24"/>
        </w:rPr>
        <w:t xml:space="preserve"> </w:t>
      </w:r>
      <w:r w:rsidRPr="000B417D">
        <w:rPr>
          <w:rFonts w:ascii="Times New Roman" w:hAnsi="Times New Roman"/>
          <w:sz w:val="24"/>
          <w:szCs w:val="24"/>
        </w:rPr>
        <w:t>који</w:t>
      </w:r>
      <w:r w:rsidR="00571052" w:rsidRPr="000B417D">
        <w:rPr>
          <w:rFonts w:ascii="Times New Roman" w:hAnsi="Times New Roman"/>
          <w:sz w:val="24"/>
          <w:szCs w:val="24"/>
        </w:rPr>
        <w:t xml:space="preserve"> </w:t>
      </w:r>
      <w:r w:rsidRPr="000B417D">
        <w:rPr>
          <w:rFonts w:ascii="Times New Roman" w:hAnsi="Times New Roman"/>
          <w:sz w:val="24"/>
          <w:szCs w:val="24"/>
        </w:rPr>
        <w:t>је</w:t>
      </w:r>
      <w:r w:rsidR="00571052" w:rsidRPr="000B417D">
        <w:rPr>
          <w:rFonts w:ascii="Times New Roman" w:hAnsi="Times New Roman"/>
          <w:sz w:val="24"/>
          <w:szCs w:val="24"/>
        </w:rPr>
        <w:t xml:space="preserve"> </w:t>
      </w:r>
      <w:r w:rsidRPr="000B417D">
        <w:rPr>
          <w:rFonts w:ascii="Times New Roman" w:hAnsi="Times New Roman"/>
          <w:sz w:val="24"/>
          <w:szCs w:val="24"/>
        </w:rPr>
        <w:t>решењем</w:t>
      </w:r>
      <w:r w:rsidR="00571052" w:rsidRPr="000B417D">
        <w:rPr>
          <w:rFonts w:ascii="Times New Roman" w:hAnsi="Times New Roman"/>
          <w:sz w:val="24"/>
          <w:szCs w:val="24"/>
        </w:rPr>
        <w:t xml:space="preserve"> </w:t>
      </w:r>
      <w:r w:rsidRPr="000B417D">
        <w:rPr>
          <w:rFonts w:ascii="Times New Roman" w:hAnsi="Times New Roman"/>
          <w:sz w:val="24"/>
          <w:szCs w:val="24"/>
        </w:rPr>
        <w:t>утврђена</w:t>
      </w:r>
      <w:r w:rsidR="00571052" w:rsidRPr="000B417D">
        <w:rPr>
          <w:rFonts w:ascii="Times New Roman" w:hAnsi="Times New Roman"/>
          <w:sz w:val="24"/>
          <w:szCs w:val="24"/>
        </w:rPr>
        <w:t xml:space="preserve"> </w:t>
      </w:r>
      <w:r w:rsidRPr="000B417D">
        <w:rPr>
          <w:rFonts w:ascii="Times New Roman" w:hAnsi="Times New Roman"/>
          <w:sz w:val="24"/>
          <w:szCs w:val="24"/>
        </w:rPr>
        <w:t>обавеза</w:t>
      </w:r>
      <w:r w:rsidR="00571052" w:rsidRPr="000B417D">
        <w:rPr>
          <w:rFonts w:ascii="Times New Roman" w:hAnsi="Times New Roman"/>
          <w:sz w:val="24"/>
          <w:szCs w:val="24"/>
        </w:rPr>
        <w:t xml:space="preserve"> </w:t>
      </w:r>
      <w:r w:rsidRPr="000B417D">
        <w:rPr>
          <w:rFonts w:ascii="Times New Roman" w:hAnsi="Times New Roman"/>
          <w:sz w:val="24"/>
          <w:szCs w:val="24"/>
        </w:rPr>
        <w:t>плаћања</w:t>
      </w:r>
      <w:r w:rsidR="00571052" w:rsidRPr="000B417D">
        <w:rPr>
          <w:rFonts w:ascii="Times New Roman" w:hAnsi="Times New Roman"/>
          <w:sz w:val="24"/>
          <w:szCs w:val="24"/>
        </w:rPr>
        <w:t xml:space="preserve"> </w:t>
      </w:r>
      <w:r w:rsidRPr="000B417D">
        <w:rPr>
          <w:rFonts w:ascii="Times New Roman" w:hAnsi="Times New Roman"/>
          <w:sz w:val="24"/>
          <w:szCs w:val="24"/>
        </w:rPr>
        <w:t>ПДВ</w:t>
      </w:r>
      <w:r w:rsidR="00571052" w:rsidRPr="000B417D">
        <w:rPr>
          <w:rFonts w:ascii="Times New Roman" w:hAnsi="Times New Roman"/>
          <w:sz w:val="24"/>
          <w:szCs w:val="24"/>
        </w:rPr>
        <w:t xml:space="preserve"> </w:t>
      </w:r>
      <w:r w:rsidRPr="000B417D">
        <w:rPr>
          <w:rFonts w:ascii="Times New Roman" w:hAnsi="Times New Roman"/>
          <w:sz w:val="24"/>
          <w:szCs w:val="24"/>
        </w:rPr>
        <w:t>од</w:t>
      </w:r>
      <w:r w:rsidR="00571052" w:rsidRPr="000B417D">
        <w:rPr>
          <w:rFonts w:ascii="Times New Roman" w:hAnsi="Times New Roman"/>
          <w:sz w:val="24"/>
          <w:szCs w:val="24"/>
        </w:rPr>
        <w:t xml:space="preserve"> </w:t>
      </w:r>
      <w:r w:rsidRPr="000B417D">
        <w:rPr>
          <w:rFonts w:ascii="Times New Roman" w:hAnsi="Times New Roman"/>
          <w:sz w:val="24"/>
          <w:szCs w:val="24"/>
        </w:rPr>
        <w:t>стране</w:t>
      </w:r>
      <w:r w:rsidR="00571052" w:rsidRPr="000B417D">
        <w:rPr>
          <w:rFonts w:ascii="Times New Roman" w:hAnsi="Times New Roman"/>
          <w:sz w:val="24"/>
          <w:szCs w:val="24"/>
        </w:rPr>
        <w:t xml:space="preserve"> </w:t>
      </w:r>
      <w:r w:rsidRPr="000B417D">
        <w:rPr>
          <w:rFonts w:ascii="Times New Roman" w:hAnsi="Times New Roman"/>
          <w:sz w:val="24"/>
          <w:szCs w:val="24"/>
        </w:rPr>
        <w:t>пореског</w:t>
      </w:r>
      <w:r w:rsidR="00571052" w:rsidRPr="000B417D">
        <w:rPr>
          <w:rFonts w:ascii="Times New Roman" w:hAnsi="Times New Roman"/>
          <w:sz w:val="24"/>
          <w:szCs w:val="24"/>
        </w:rPr>
        <w:t xml:space="preserve"> </w:t>
      </w:r>
      <w:r w:rsidRPr="000B417D">
        <w:rPr>
          <w:rFonts w:ascii="Times New Roman" w:hAnsi="Times New Roman"/>
          <w:sz w:val="24"/>
          <w:szCs w:val="24"/>
        </w:rPr>
        <w:t>органа</w:t>
      </w:r>
      <w:r w:rsidR="00571052" w:rsidRPr="000B417D">
        <w:rPr>
          <w:rFonts w:ascii="Times New Roman" w:hAnsi="Times New Roman"/>
          <w:sz w:val="24"/>
          <w:szCs w:val="24"/>
        </w:rPr>
        <w:t>.</w:t>
      </w:r>
    </w:p>
    <w:p w:rsidR="00F55EB3" w:rsidRPr="000B417D" w:rsidRDefault="00AF4129" w:rsidP="000B417D">
      <w:pPr>
        <w:ind w:firstLine="708"/>
        <w:jc w:val="both"/>
        <w:rPr>
          <w:rFonts w:ascii="Times New Roman" w:hAnsi="Times New Roman"/>
          <w:sz w:val="24"/>
          <w:szCs w:val="24"/>
          <w:lang w:val="sr-Cyrl-CS"/>
        </w:rPr>
      </w:pPr>
      <w:r w:rsidRPr="000B417D">
        <w:rPr>
          <w:rFonts w:ascii="Times New Roman" w:hAnsi="Times New Roman"/>
          <w:sz w:val="24"/>
          <w:szCs w:val="24"/>
        </w:rPr>
        <w:t>Право на одбитак претходног пореза обвезник може да оствари</w:t>
      </w:r>
      <w:r w:rsidRPr="000B417D">
        <w:rPr>
          <w:rStyle w:val="FootnoteReference"/>
          <w:rFonts w:ascii="Times New Roman" w:hAnsi="Times New Roman"/>
          <w:color w:val="000000"/>
          <w:sz w:val="24"/>
          <w:szCs w:val="24"/>
        </w:rPr>
        <w:footnoteReference w:id="347"/>
      </w:r>
      <w:r w:rsidRPr="000B417D">
        <w:rPr>
          <w:rFonts w:ascii="Times New Roman" w:hAnsi="Times New Roman"/>
          <w:sz w:val="24"/>
          <w:szCs w:val="24"/>
        </w:rPr>
        <w:t xml:space="preserve"> ако добра набављена у Републици или из увоза, укључујући и набавку опреме, као и објеката за вршење делатности и економски дељивих целина у оквиру тих објеката</w:t>
      </w:r>
      <w:r w:rsidRPr="000B417D">
        <w:rPr>
          <w:rFonts w:ascii="Times New Roman" w:hAnsi="Times New Roman"/>
          <w:sz w:val="24"/>
          <w:szCs w:val="24"/>
          <w:lang w:val="sr-Cyrl-CS"/>
        </w:rPr>
        <w:t>,</w:t>
      </w:r>
      <w:r w:rsidRPr="000B417D">
        <w:rPr>
          <w:rFonts w:ascii="Times New Roman" w:hAnsi="Times New Roman"/>
          <w:sz w:val="24"/>
          <w:szCs w:val="24"/>
        </w:rPr>
        <w:t xml:space="preserve"> односно примљене услуге, користи или ће их користити за промет добара и услуга:</w:t>
      </w:r>
      <w:r w:rsidRPr="000B417D">
        <w:rPr>
          <w:rFonts w:ascii="Times New Roman" w:hAnsi="Times New Roman"/>
          <w:sz w:val="24"/>
          <w:szCs w:val="24"/>
          <w:lang w:val="sr-Cyrl-CS"/>
        </w:rPr>
        <w:t xml:space="preserve"> </w:t>
      </w:r>
    </w:p>
    <w:p w:rsidR="00AF4129" w:rsidRPr="000B417D" w:rsidRDefault="00AF4129" w:rsidP="000B417D">
      <w:pPr>
        <w:jc w:val="both"/>
        <w:rPr>
          <w:rFonts w:ascii="Times New Roman" w:hAnsi="Times New Roman"/>
          <w:sz w:val="24"/>
          <w:szCs w:val="24"/>
        </w:rPr>
      </w:pPr>
      <w:r w:rsidRPr="000B417D">
        <w:rPr>
          <w:rFonts w:ascii="Times New Roman" w:hAnsi="Times New Roman"/>
          <w:sz w:val="24"/>
          <w:szCs w:val="24"/>
        </w:rPr>
        <w:t>1) који је опорезив ПДВ;</w:t>
      </w:r>
    </w:p>
    <w:p w:rsidR="00AF4129" w:rsidRPr="000B417D" w:rsidRDefault="00AF4129" w:rsidP="000B417D">
      <w:pPr>
        <w:jc w:val="both"/>
        <w:rPr>
          <w:rFonts w:ascii="Times New Roman" w:hAnsi="Times New Roman"/>
          <w:sz w:val="24"/>
          <w:szCs w:val="24"/>
        </w:rPr>
      </w:pPr>
      <w:r w:rsidRPr="000B417D">
        <w:rPr>
          <w:rFonts w:ascii="Times New Roman" w:hAnsi="Times New Roman"/>
          <w:sz w:val="24"/>
          <w:szCs w:val="24"/>
        </w:rPr>
        <w:t>2) за који  постоји ослобођење од плаћања ПДВ;</w:t>
      </w:r>
    </w:p>
    <w:p w:rsidR="00AF4129" w:rsidRPr="000B417D" w:rsidRDefault="00AF4129" w:rsidP="000B417D">
      <w:pPr>
        <w:jc w:val="both"/>
        <w:rPr>
          <w:rFonts w:ascii="Times New Roman" w:hAnsi="Times New Roman"/>
          <w:sz w:val="24"/>
          <w:szCs w:val="24"/>
        </w:rPr>
      </w:pPr>
      <w:r w:rsidRPr="000B417D">
        <w:rPr>
          <w:rFonts w:ascii="Times New Roman" w:hAnsi="Times New Roman"/>
          <w:sz w:val="24"/>
          <w:szCs w:val="24"/>
        </w:rPr>
        <w:t>3) који је извршен у иностранству, ако би за тај промет постојало право на одбитак претходног пореза да је извршен у Републици.</w:t>
      </w:r>
    </w:p>
    <w:p w:rsidR="00AF4129" w:rsidRPr="000B417D" w:rsidRDefault="00AF4129" w:rsidP="000B417D">
      <w:pPr>
        <w:ind w:firstLine="708"/>
        <w:jc w:val="both"/>
        <w:rPr>
          <w:rFonts w:ascii="Times New Roman" w:hAnsi="Times New Roman"/>
          <w:sz w:val="24"/>
          <w:szCs w:val="24"/>
          <w:lang w:val="sr-Cyrl-CS"/>
        </w:rPr>
      </w:pPr>
      <w:r w:rsidRPr="000B417D">
        <w:rPr>
          <w:rFonts w:ascii="Times New Roman" w:hAnsi="Times New Roman"/>
          <w:sz w:val="24"/>
          <w:szCs w:val="24"/>
        </w:rPr>
        <w:t>Право на одбитак претходног пореза обвезник може да оствари ако поседује:</w:t>
      </w:r>
    </w:p>
    <w:p w:rsidR="00AF4129" w:rsidRPr="000B417D" w:rsidRDefault="00AF4129" w:rsidP="000B417D">
      <w:pPr>
        <w:jc w:val="both"/>
        <w:rPr>
          <w:rFonts w:ascii="Times New Roman" w:hAnsi="Times New Roman"/>
          <w:sz w:val="24"/>
          <w:szCs w:val="24"/>
        </w:rPr>
      </w:pPr>
      <w:r w:rsidRPr="000B417D">
        <w:rPr>
          <w:rFonts w:ascii="Times New Roman" w:hAnsi="Times New Roman"/>
          <w:sz w:val="24"/>
          <w:szCs w:val="24"/>
        </w:rPr>
        <w:t>1) рачун издат од стране другог обвезника у промету о износу претходног пореза;</w:t>
      </w:r>
    </w:p>
    <w:p w:rsidR="00AF4129" w:rsidRPr="000B417D" w:rsidRDefault="00AF4129" w:rsidP="000B417D">
      <w:pPr>
        <w:jc w:val="both"/>
        <w:rPr>
          <w:rFonts w:ascii="Times New Roman" w:hAnsi="Times New Roman"/>
          <w:sz w:val="24"/>
          <w:szCs w:val="24"/>
        </w:rPr>
      </w:pPr>
      <w:r w:rsidRPr="000B417D">
        <w:rPr>
          <w:rFonts w:ascii="Times New Roman" w:hAnsi="Times New Roman"/>
          <w:sz w:val="24"/>
          <w:szCs w:val="24"/>
        </w:rPr>
        <w:t>2) документ о извршеном увозу добара у којем је исказан претходни порез и документ којим се потврђује да је исказани ПДВ плаћен приликом увоза.</w:t>
      </w:r>
    </w:p>
    <w:p w:rsidR="00AF4129" w:rsidRPr="000B417D" w:rsidRDefault="00AF4129" w:rsidP="000B417D">
      <w:pPr>
        <w:ind w:firstLine="708"/>
        <w:jc w:val="both"/>
        <w:rPr>
          <w:rFonts w:ascii="Times New Roman" w:hAnsi="Times New Roman"/>
          <w:sz w:val="24"/>
          <w:szCs w:val="24"/>
          <w:lang w:val="sr-Cyrl-CS"/>
        </w:rPr>
      </w:pPr>
      <w:r w:rsidRPr="000B417D">
        <w:rPr>
          <w:rFonts w:ascii="Times New Roman" w:hAnsi="Times New Roman"/>
          <w:sz w:val="24"/>
          <w:szCs w:val="24"/>
        </w:rPr>
        <w:t xml:space="preserve">У пореском периоду у којем су испуњени </w:t>
      </w:r>
      <w:r w:rsidRPr="000B417D">
        <w:rPr>
          <w:rFonts w:ascii="Times New Roman" w:hAnsi="Times New Roman"/>
          <w:sz w:val="24"/>
          <w:szCs w:val="24"/>
          <w:lang w:val="sr-Cyrl-CS"/>
        </w:rPr>
        <w:t xml:space="preserve">ови </w:t>
      </w:r>
      <w:r w:rsidRPr="000B417D">
        <w:rPr>
          <w:rFonts w:ascii="Times New Roman" w:hAnsi="Times New Roman"/>
          <w:sz w:val="24"/>
          <w:szCs w:val="24"/>
        </w:rPr>
        <w:t>услови  обвезник може да одбије претходни порез од дугованог ПДВ, и то:</w:t>
      </w:r>
    </w:p>
    <w:p w:rsidR="00AF4129" w:rsidRPr="000B417D" w:rsidRDefault="00AF4129" w:rsidP="000B417D">
      <w:pPr>
        <w:jc w:val="both"/>
        <w:rPr>
          <w:rFonts w:ascii="Times New Roman" w:hAnsi="Times New Roman"/>
          <w:sz w:val="24"/>
          <w:szCs w:val="24"/>
        </w:rPr>
      </w:pPr>
      <w:r w:rsidRPr="000B417D">
        <w:rPr>
          <w:rFonts w:ascii="Times New Roman" w:hAnsi="Times New Roman"/>
          <w:sz w:val="24"/>
          <w:szCs w:val="24"/>
        </w:rPr>
        <w:t>1) обрачунати и исказани ПДВ за промет добара и услуга, који је или ће му бити извршен од стране другог обвезника у промету;</w:t>
      </w:r>
    </w:p>
    <w:p w:rsidR="00AF4129" w:rsidRPr="000B417D" w:rsidRDefault="00AF4129" w:rsidP="000B417D">
      <w:pPr>
        <w:jc w:val="both"/>
        <w:rPr>
          <w:rFonts w:ascii="Times New Roman" w:hAnsi="Times New Roman"/>
          <w:sz w:val="24"/>
          <w:szCs w:val="24"/>
        </w:rPr>
      </w:pPr>
      <w:r w:rsidRPr="000B417D">
        <w:rPr>
          <w:rFonts w:ascii="Times New Roman" w:hAnsi="Times New Roman"/>
          <w:sz w:val="24"/>
          <w:szCs w:val="24"/>
        </w:rPr>
        <w:t>2) ПДВ који је плаћен приликом увоза добара.</w:t>
      </w:r>
    </w:p>
    <w:p w:rsidR="00571052" w:rsidRPr="00AF4129" w:rsidRDefault="00571052" w:rsidP="00AF4129">
      <w:pPr>
        <w:shd w:val="clear" w:color="auto" w:fill="FFFFFF"/>
        <w:spacing w:after="0" w:line="285" w:lineRule="atLeast"/>
        <w:ind w:firstLine="360"/>
        <w:jc w:val="both"/>
        <w:rPr>
          <w:rFonts w:ascii="Times New Roman" w:hAnsi="Times New Roman"/>
          <w:color w:val="000000"/>
          <w:sz w:val="24"/>
          <w:szCs w:val="24"/>
          <w:lang w:val="sr-Cyrl-CS"/>
        </w:rPr>
      </w:pPr>
    </w:p>
    <w:p w:rsidR="00206ECB" w:rsidRDefault="006732DF" w:rsidP="00571052">
      <w:pPr>
        <w:shd w:val="clear" w:color="auto" w:fill="FFFFFF"/>
        <w:spacing w:after="0" w:line="285" w:lineRule="atLeast"/>
        <w:jc w:val="both"/>
        <w:rPr>
          <w:rFonts w:ascii="Times New Roman" w:hAnsi="Times New Roman"/>
          <w:color w:val="000000"/>
          <w:sz w:val="24"/>
          <w:szCs w:val="24"/>
          <w:lang w:val="sr-Cyrl-CS"/>
        </w:rPr>
      </w:pPr>
      <w:r>
        <w:rPr>
          <w:rFonts w:ascii="Times New Roman" w:hAnsi="Times New Roman"/>
          <w:color w:val="000000"/>
          <w:sz w:val="24"/>
          <w:szCs w:val="24"/>
          <w:lang w:val="sr-Cyrl-CS"/>
        </w:rPr>
        <w:t xml:space="preserve"> </w:t>
      </w:r>
    </w:p>
    <w:p w:rsidR="000E1C50" w:rsidRPr="002C710B" w:rsidRDefault="00AF4129" w:rsidP="00AF4129">
      <w:pPr>
        <w:shd w:val="clear" w:color="auto" w:fill="FFFFFF"/>
        <w:spacing w:after="0" w:line="285" w:lineRule="atLeast"/>
        <w:jc w:val="both"/>
        <w:rPr>
          <w:rFonts w:ascii="Times New Roman" w:hAnsi="Times New Roman"/>
          <w:color w:val="000000"/>
          <w:sz w:val="24"/>
          <w:szCs w:val="24"/>
          <w:lang w:val="sr-Cyrl-CS"/>
        </w:rPr>
      </w:pPr>
      <w:r>
        <w:rPr>
          <w:rFonts w:ascii="Times New Roman" w:hAnsi="Times New Roman"/>
          <w:color w:val="000000"/>
          <w:sz w:val="24"/>
          <w:szCs w:val="24"/>
          <w:lang w:val="sr-Cyrl-CS"/>
        </w:rPr>
        <w:t>2)С</w:t>
      </w:r>
      <w:r w:rsidR="002C710B">
        <w:rPr>
          <w:rFonts w:ascii="Times New Roman" w:hAnsi="Times New Roman"/>
          <w:color w:val="000000"/>
          <w:sz w:val="24"/>
          <w:szCs w:val="24"/>
          <w:lang w:val="sr-Cyrl-CS"/>
        </w:rPr>
        <w:t xml:space="preserve">пада у опште порезе, јер </w:t>
      </w:r>
      <w:r w:rsidR="002C710B">
        <w:rPr>
          <w:rFonts w:ascii="Times New Roman" w:hAnsi="Times New Roman"/>
          <w:sz w:val="24"/>
          <w:szCs w:val="24"/>
          <w:lang w:val="sr-Cyrl-CS"/>
        </w:rPr>
        <w:t xml:space="preserve">код овог пореза </w:t>
      </w:r>
      <w:r w:rsidR="002C710B" w:rsidRPr="00FB48CB">
        <w:rPr>
          <w:rFonts w:ascii="Times New Roman" w:hAnsi="Times New Roman"/>
          <w:sz w:val="24"/>
          <w:szCs w:val="24"/>
          <w:lang w:val="sr-Cyrl-CS"/>
        </w:rPr>
        <w:t xml:space="preserve">није унапред утврђена намена којој служе прикупљена средства и нису везани за конкретни расход, већ </w:t>
      </w:r>
      <w:r w:rsidR="002C710B">
        <w:rPr>
          <w:rFonts w:ascii="Times New Roman" w:hAnsi="Times New Roman"/>
          <w:sz w:val="24"/>
          <w:szCs w:val="24"/>
          <w:lang w:val="sr-Cyrl-CS"/>
        </w:rPr>
        <w:t xml:space="preserve">прикупљена средства </w:t>
      </w:r>
      <w:r w:rsidR="002C710B" w:rsidRPr="00FB48CB">
        <w:rPr>
          <w:rFonts w:ascii="Times New Roman" w:hAnsi="Times New Roman"/>
          <w:sz w:val="24"/>
          <w:szCs w:val="24"/>
          <w:lang w:val="sr-Cyrl-CS"/>
        </w:rPr>
        <w:t>припадају у</w:t>
      </w:r>
      <w:r w:rsidR="002C710B">
        <w:rPr>
          <w:rFonts w:ascii="Times New Roman" w:hAnsi="Times New Roman"/>
          <w:sz w:val="24"/>
          <w:szCs w:val="24"/>
          <w:lang w:val="sr-Cyrl-CS"/>
        </w:rPr>
        <w:t xml:space="preserve">купним </w:t>
      </w:r>
      <w:r w:rsidR="002C710B" w:rsidRPr="00FB48CB">
        <w:rPr>
          <w:rFonts w:ascii="Times New Roman" w:hAnsi="Times New Roman"/>
          <w:sz w:val="24"/>
          <w:szCs w:val="24"/>
          <w:lang w:val="sr-Cyrl-CS"/>
        </w:rPr>
        <w:t xml:space="preserve"> приходима која  служе за покриће јавних расхода</w:t>
      </w:r>
      <w:r w:rsidR="002C710B">
        <w:rPr>
          <w:rFonts w:ascii="Times New Roman" w:hAnsi="Times New Roman"/>
          <w:sz w:val="24"/>
          <w:szCs w:val="24"/>
          <w:lang w:val="sr-Cyrl-CS"/>
        </w:rPr>
        <w:t>;</w:t>
      </w:r>
    </w:p>
    <w:p w:rsidR="002C710B" w:rsidRDefault="002C710B" w:rsidP="002C710B">
      <w:pPr>
        <w:pStyle w:val="ListParagraph"/>
        <w:rPr>
          <w:rFonts w:ascii="Times New Roman" w:hAnsi="Times New Roman"/>
          <w:color w:val="000000"/>
          <w:sz w:val="24"/>
          <w:szCs w:val="24"/>
          <w:lang w:val="sr-Cyrl-CS"/>
        </w:rPr>
      </w:pPr>
    </w:p>
    <w:p w:rsidR="002C710B" w:rsidRPr="002C710B" w:rsidRDefault="00AF4129" w:rsidP="00AF4129">
      <w:pPr>
        <w:shd w:val="clear" w:color="auto" w:fill="FFFFFF"/>
        <w:spacing w:after="0" w:line="285" w:lineRule="atLeast"/>
        <w:jc w:val="both"/>
        <w:rPr>
          <w:rFonts w:ascii="Times New Roman" w:hAnsi="Times New Roman"/>
          <w:color w:val="000000"/>
          <w:sz w:val="24"/>
          <w:szCs w:val="24"/>
          <w:lang w:val="sr-Cyrl-CS"/>
        </w:rPr>
      </w:pPr>
      <w:r>
        <w:rPr>
          <w:rFonts w:ascii="Times New Roman" w:hAnsi="Times New Roman"/>
          <w:sz w:val="24"/>
          <w:szCs w:val="24"/>
          <w:lang w:val="sr-Cyrl-CS"/>
        </w:rPr>
        <w:t>3)С</w:t>
      </w:r>
      <w:r w:rsidR="002C710B">
        <w:rPr>
          <w:rFonts w:ascii="Times New Roman" w:hAnsi="Times New Roman"/>
          <w:sz w:val="24"/>
          <w:szCs w:val="24"/>
          <w:lang w:val="sr-Cyrl-CS"/>
        </w:rPr>
        <w:t xml:space="preserve">пада у синтетичке порезе јер се овим порезом </w:t>
      </w:r>
      <w:r w:rsidR="002C710B" w:rsidRPr="00FB48CB">
        <w:rPr>
          <w:rFonts w:ascii="Times New Roman" w:hAnsi="Times New Roman"/>
          <w:sz w:val="24"/>
          <w:szCs w:val="24"/>
          <w:lang w:val="sr-Cyrl-CS"/>
        </w:rPr>
        <w:t xml:space="preserve">не погађа само један елемент пореске ситуације него се опорезује </w:t>
      </w:r>
      <w:r w:rsidR="002C710B">
        <w:rPr>
          <w:rFonts w:ascii="Times New Roman" w:hAnsi="Times New Roman"/>
          <w:sz w:val="24"/>
          <w:szCs w:val="24"/>
          <w:lang w:val="sr-Cyrl-CS"/>
        </w:rPr>
        <w:t>целина пореске ситуације, односно промет свих (односно највећег броја) производа и услуга</w:t>
      </w:r>
      <w:r w:rsidR="000A285A">
        <w:rPr>
          <w:rFonts w:ascii="Times New Roman" w:hAnsi="Times New Roman"/>
          <w:sz w:val="24"/>
          <w:szCs w:val="24"/>
        </w:rPr>
        <w:t>, за разлику од акциза</w:t>
      </w:r>
      <w:r w:rsidR="00225C7E">
        <w:rPr>
          <w:rFonts w:ascii="Times New Roman" w:hAnsi="Times New Roman"/>
          <w:sz w:val="24"/>
          <w:szCs w:val="24"/>
          <w:lang w:val="sr-Cyrl-CS"/>
        </w:rPr>
        <w:t xml:space="preserve"> које погађају промет појед</w:t>
      </w:r>
      <w:r w:rsidR="000A285A">
        <w:rPr>
          <w:rFonts w:ascii="Times New Roman" w:hAnsi="Times New Roman"/>
          <w:sz w:val="24"/>
          <w:szCs w:val="24"/>
          <w:lang w:val="sr-Cyrl-CS"/>
        </w:rPr>
        <w:t>иначних добара</w:t>
      </w:r>
      <w:r w:rsidR="00916BBB">
        <w:rPr>
          <w:rFonts w:ascii="Times New Roman" w:hAnsi="Times New Roman"/>
          <w:sz w:val="24"/>
          <w:szCs w:val="24"/>
          <w:lang w:val="sr-Cyrl-CS"/>
        </w:rPr>
        <w:t>. Овај порески облик се обрачунава и наплаћује у свим фазама прометног циклуса, па представља свефазни порез. При том, треба имати у виду да овај порески облик може бити и вишефазни, па чак и једнофазни.  Јендофазни порез на додату вредност је редак у пракси, као на пример у Бангладешу где се порез на додату вредност односи на само на фазу производње.</w:t>
      </w:r>
      <w:r w:rsidR="00916BBB">
        <w:rPr>
          <w:rStyle w:val="FootnoteReference"/>
          <w:rFonts w:ascii="Times New Roman" w:hAnsi="Times New Roman"/>
          <w:sz w:val="24"/>
          <w:szCs w:val="24"/>
          <w:lang w:val="sr-Cyrl-CS"/>
        </w:rPr>
        <w:footnoteReference w:id="348"/>
      </w:r>
    </w:p>
    <w:p w:rsidR="002C710B" w:rsidRDefault="002C710B" w:rsidP="002C710B">
      <w:pPr>
        <w:pStyle w:val="ListParagraph"/>
        <w:rPr>
          <w:rFonts w:ascii="Times New Roman" w:hAnsi="Times New Roman"/>
          <w:color w:val="000000"/>
          <w:sz w:val="24"/>
          <w:szCs w:val="24"/>
          <w:lang w:val="sr-Cyrl-CS"/>
        </w:rPr>
      </w:pPr>
    </w:p>
    <w:p w:rsidR="004B25FC" w:rsidRDefault="00AF4129" w:rsidP="00AF4129">
      <w:pPr>
        <w:shd w:val="clear" w:color="auto" w:fill="FFFFFF"/>
        <w:spacing w:after="0" w:line="285" w:lineRule="atLeast"/>
        <w:jc w:val="both"/>
        <w:rPr>
          <w:rFonts w:ascii="Times New Roman" w:hAnsi="Times New Roman"/>
          <w:color w:val="000000"/>
          <w:sz w:val="24"/>
          <w:szCs w:val="24"/>
          <w:lang w:val="sr-Cyrl-CS"/>
        </w:rPr>
      </w:pPr>
      <w:r>
        <w:rPr>
          <w:rFonts w:ascii="Times New Roman" w:hAnsi="Times New Roman"/>
          <w:color w:val="000000"/>
          <w:sz w:val="24"/>
          <w:szCs w:val="24"/>
          <w:lang w:val="sr-Cyrl-CS"/>
        </w:rPr>
        <w:t>4)С</w:t>
      </w:r>
      <w:r w:rsidR="002C710B">
        <w:rPr>
          <w:rFonts w:ascii="Times New Roman" w:hAnsi="Times New Roman"/>
          <w:color w:val="000000"/>
          <w:sz w:val="24"/>
          <w:szCs w:val="24"/>
          <w:lang w:val="sr-Cyrl-CS"/>
        </w:rPr>
        <w:t xml:space="preserve">пада у квотитетне порезе јер се унапред знају елементи на основу којих се утврђује пореска обавеза (пореска основица и пореска стопа), </w:t>
      </w:r>
      <w:r w:rsidR="004B25FC">
        <w:rPr>
          <w:rFonts w:ascii="Times New Roman" w:hAnsi="Times New Roman"/>
          <w:color w:val="000000"/>
          <w:sz w:val="24"/>
          <w:szCs w:val="24"/>
          <w:lang w:val="sr-Cyrl-CS"/>
        </w:rPr>
        <w:t>али се не зна унапред износ средстава који ће држава прикупити;</w:t>
      </w:r>
    </w:p>
    <w:p w:rsidR="004B25FC" w:rsidRDefault="004B25FC" w:rsidP="004B25FC">
      <w:pPr>
        <w:pStyle w:val="ListParagraph"/>
        <w:rPr>
          <w:rFonts w:ascii="Times New Roman" w:hAnsi="Times New Roman"/>
          <w:color w:val="000000"/>
          <w:sz w:val="24"/>
          <w:szCs w:val="24"/>
          <w:lang w:val="sr-Cyrl-CS"/>
        </w:rPr>
      </w:pPr>
    </w:p>
    <w:p w:rsidR="004B25FC" w:rsidRDefault="00AF4129" w:rsidP="00225C7E">
      <w:pPr>
        <w:pStyle w:val="ListParagraph"/>
        <w:ind w:left="0"/>
        <w:jc w:val="both"/>
        <w:rPr>
          <w:rFonts w:ascii="Times New Roman" w:hAnsi="Times New Roman"/>
          <w:sz w:val="24"/>
          <w:szCs w:val="24"/>
          <w:lang w:val="sr-Cyrl-CS"/>
        </w:rPr>
      </w:pPr>
      <w:r>
        <w:rPr>
          <w:rFonts w:ascii="Times New Roman" w:hAnsi="Times New Roman"/>
          <w:color w:val="000000"/>
          <w:sz w:val="24"/>
          <w:szCs w:val="24"/>
          <w:lang w:val="sr-Cyrl-CS"/>
        </w:rPr>
        <w:t>5)С</w:t>
      </w:r>
      <w:r w:rsidR="004B25FC">
        <w:rPr>
          <w:rFonts w:ascii="Times New Roman" w:hAnsi="Times New Roman"/>
          <w:color w:val="000000"/>
          <w:sz w:val="24"/>
          <w:szCs w:val="24"/>
          <w:lang w:val="sr-Cyrl-CS"/>
        </w:rPr>
        <w:t xml:space="preserve">пада у редован порез јер се </w:t>
      </w:r>
      <w:r w:rsidR="004B25FC">
        <w:rPr>
          <w:rFonts w:ascii="Times New Roman" w:hAnsi="Times New Roman"/>
          <w:sz w:val="24"/>
          <w:szCs w:val="24"/>
          <w:lang w:val="sr-Cyrl-CS"/>
        </w:rPr>
        <w:t>н</w:t>
      </w:r>
      <w:r w:rsidR="004B25FC" w:rsidRPr="00FB48CB">
        <w:rPr>
          <w:rFonts w:ascii="Times New Roman" w:hAnsi="Times New Roman"/>
          <w:sz w:val="24"/>
          <w:szCs w:val="24"/>
          <w:lang w:val="sr-Cyrl-CS"/>
        </w:rPr>
        <w:t>аплаћује сваке године, а не само повремено у ванредним околностима и служе покрићу јавних расхода</w:t>
      </w:r>
      <w:r w:rsidR="004B25FC">
        <w:rPr>
          <w:rFonts w:ascii="Times New Roman" w:hAnsi="Times New Roman"/>
          <w:sz w:val="24"/>
          <w:szCs w:val="24"/>
          <w:lang w:val="sr-Cyrl-CS"/>
        </w:rPr>
        <w:t xml:space="preserve">, </w:t>
      </w:r>
    </w:p>
    <w:p w:rsidR="004B25FC" w:rsidRPr="004B25FC" w:rsidRDefault="00AF4129" w:rsidP="00AF4129">
      <w:pPr>
        <w:shd w:val="clear" w:color="auto" w:fill="FFFFFF"/>
        <w:spacing w:after="0" w:line="285" w:lineRule="atLeast"/>
        <w:jc w:val="both"/>
        <w:rPr>
          <w:rFonts w:ascii="Times New Roman" w:hAnsi="Times New Roman"/>
          <w:color w:val="000000"/>
          <w:sz w:val="24"/>
          <w:szCs w:val="24"/>
          <w:lang w:val="sr-Cyrl-CS"/>
        </w:rPr>
      </w:pPr>
      <w:r>
        <w:rPr>
          <w:rFonts w:ascii="Times New Roman" w:hAnsi="Times New Roman"/>
          <w:sz w:val="24"/>
          <w:szCs w:val="24"/>
          <w:lang w:val="sr-Cyrl-CS"/>
        </w:rPr>
        <w:t>6)С</w:t>
      </w:r>
      <w:r w:rsidR="004B25FC">
        <w:rPr>
          <w:rFonts w:ascii="Times New Roman" w:hAnsi="Times New Roman"/>
          <w:sz w:val="24"/>
          <w:szCs w:val="24"/>
          <w:lang w:val="sr-Cyrl-CS"/>
        </w:rPr>
        <w:t>пада у</w:t>
      </w:r>
      <w:r w:rsidR="004B25FC" w:rsidRPr="00FB48CB">
        <w:rPr>
          <w:rFonts w:ascii="Times New Roman" w:hAnsi="Times New Roman"/>
          <w:sz w:val="24"/>
          <w:szCs w:val="24"/>
          <w:lang w:val="sr-Cyrl-CS"/>
        </w:rPr>
        <w:t xml:space="preserve"> дерива</w:t>
      </w:r>
      <w:r w:rsidR="004B25FC">
        <w:rPr>
          <w:rFonts w:ascii="Times New Roman" w:hAnsi="Times New Roman"/>
          <w:sz w:val="24"/>
          <w:szCs w:val="24"/>
          <w:lang w:val="sr-Cyrl-CS"/>
        </w:rPr>
        <w:t>тивне</w:t>
      </w:r>
      <w:r w:rsidR="004B25FC" w:rsidRPr="00FB48CB">
        <w:rPr>
          <w:rFonts w:ascii="Times New Roman" w:hAnsi="Times New Roman"/>
          <w:sz w:val="24"/>
          <w:szCs w:val="24"/>
          <w:lang w:val="sr-Cyrl-CS"/>
        </w:rPr>
        <w:t xml:space="preserve"> </w:t>
      </w:r>
      <w:r w:rsidR="004B25FC">
        <w:rPr>
          <w:rFonts w:ascii="Times New Roman" w:hAnsi="Times New Roman"/>
          <w:sz w:val="24"/>
          <w:szCs w:val="24"/>
          <w:lang w:val="sr-Cyrl-CS"/>
        </w:rPr>
        <w:t>(јавноправне</w:t>
      </w:r>
      <w:r w:rsidR="004B25FC" w:rsidRPr="00FB48CB">
        <w:rPr>
          <w:rFonts w:ascii="Times New Roman" w:hAnsi="Times New Roman"/>
          <w:sz w:val="24"/>
          <w:szCs w:val="24"/>
          <w:lang w:val="sr-Cyrl-CS"/>
        </w:rPr>
        <w:t>) приход</w:t>
      </w:r>
      <w:r w:rsidR="004B25FC">
        <w:rPr>
          <w:rFonts w:ascii="Times New Roman" w:hAnsi="Times New Roman"/>
          <w:sz w:val="24"/>
          <w:szCs w:val="24"/>
          <w:lang w:val="sr-Cyrl-CS"/>
        </w:rPr>
        <w:t>е</w:t>
      </w:r>
      <w:r w:rsidR="004B25FC" w:rsidRPr="00FB48CB">
        <w:rPr>
          <w:rFonts w:ascii="Times New Roman" w:hAnsi="Times New Roman"/>
          <w:sz w:val="24"/>
          <w:szCs w:val="24"/>
          <w:lang w:val="sr-Cyrl-CS"/>
        </w:rPr>
        <w:t xml:space="preserve"> државе</w:t>
      </w:r>
    </w:p>
    <w:p w:rsidR="004B25FC" w:rsidRPr="004B25FC" w:rsidRDefault="004B25FC" w:rsidP="004B25FC">
      <w:pPr>
        <w:shd w:val="clear" w:color="auto" w:fill="FFFFFF"/>
        <w:spacing w:after="0" w:line="285" w:lineRule="atLeast"/>
        <w:ind w:left="720"/>
        <w:jc w:val="both"/>
        <w:rPr>
          <w:rFonts w:ascii="Times New Roman" w:hAnsi="Times New Roman"/>
          <w:color w:val="000000"/>
          <w:sz w:val="24"/>
          <w:szCs w:val="24"/>
          <w:lang w:val="sr-Cyrl-CS"/>
        </w:rPr>
      </w:pPr>
    </w:p>
    <w:p w:rsidR="004B25FC" w:rsidRDefault="00AF4129" w:rsidP="00AF4129">
      <w:pPr>
        <w:shd w:val="clear" w:color="auto" w:fill="FFFFFF"/>
        <w:spacing w:after="0" w:line="285" w:lineRule="atLeast"/>
        <w:jc w:val="both"/>
        <w:rPr>
          <w:rFonts w:ascii="Times New Roman" w:hAnsi="Times New Roman"/>
          <w:color w:val="000000"/>
          <w:sz w:val="24"/>
          <w:szCs w:val="24"/>
          <w:lang w:val="sr-Cyrl-CS"/>
        </w:rPr>
      </w:pPr>
      <w:r>
        <w:rPr>
          <w:rFonts w:ascii="Times New Roman" w:hAnsi="Times New Roman"/>
          <w:color w:val="000000"/>
          <w:sz w:val="24"/>
          <w:szCs w:val="24"/>
          <w:lang w:val="sr-Cyrl-CS"/>
        </w:rPr>
        <w:t>7)О</w:t>
      </w:r>
      <w:r w:rsidR="004B25FC">
        <w:rPr>
          <w:rFonts w:ascii="Times New Roman" w:hAnsi="Times New Roman"/>
          <w:color w:val="000000"/>
          <w:sz w:val="24"/>
          <w:szCs w:val="24"/>
          <w:lang w:val="sr-Cyrl-CS"/>
        </w:rPr>
        <w:t>порезује правна и физичка лица.</w:t>
      </w:r>
    </w:p>
    <w:p w:rsidR="00C12BFD" w:rsidRDefault="00C12BFD" w:rsidP="00C12BFD">
      <w:pPr>
        <w:pStyle w:val="ListParagraph"/>
        <w:rPr>
          <w:rFonts w:ascii="Times New Roman" w:hAnsi="Times New Roman"/>
          <w:color w:val="000000"/>
          <w:sz w:val="24"/>
          <w:szCs w:val="24"/>
          <w:lang w:val="sr-Cyrl-CS"/>
        </w:rPr>
      </w:pPr>
    </w:p>
    <w:p w:rsidR="004B25FC" w:rsidRDefault="00C12BFD" w:rsidP="000B417D">
      <w:pPr>
        <w:shd w:val="clear" w:color="auto" w:fill="FFFFFF"/>
        <w:spacing w:after="0" w:line="285" w:lineRule="atLeast"/>
        <w:ind w:firstLine="360"/>
        <w:jc w:val="both"/>
        <w:rPr>
          <w:rFonts w:ascii="Times New Roman" w:hAnsi="Times New Roman"/>
          <w:color w:val="000000"/>
          <w:sz w:val="24"/>
          <w:szCs w:val="24"/>
          <w:lang w:val="sr-Cyrl-CS"/>
        </w:rPr>
      </w:pPr>
      <w:r>
        <w:rPr>
          <w:rFonts w:ascii="Times New Roman" w:hAnsi="Times New Roman"/>
          <w:color w:val="000000"/>
          <w:sz w:val="24"/>
          <w:szCs w:val="24"/>
          <w:lang w:val="sr-Cyrl-CS"/>
        </w:rPr>
        <w:t xml:space="preserve">До 2005. године код нас се примњивао порез на промет у малопродаји. </w:t>
      </w:r>
      <w:r w:rsidR="001912C8">
        <w:rPr>
          <w:rFonts w:ascii="Times New Roman" w:hAnsi="Times New Roman"/>
          <w:color w:val="000000"/>
          <w:sz w:val="24"/>
          <w:szCs w:val="24"/>
          <w:lang w:val="sr-Cyrl-CS"/>
        </w:rPr>
        <w:t>У финансијској литератури истичу се одређене релативне предности пореза на додату вредност у поређењу са порезом у</w:t>
      </w:r>
      <w:r w:rsidR="006515F3">
        <w:rPr>
          <w:rFonts w:ascii="Times New Roman" w:hAnsi="Times New Roman"/>
          <w:color w:val="000000"/>
          <w:sz w:val="24"/>
          <w:szCs w:val="24"/>
          <w:lang w:val="sr-Cyrl-CS"/>
        </w:rPr>
        <w:t xml:space="preserve"> малопродаји: 1) већа издашност,</w:t>
      </w:r>
      <w:r w:rsidR="001912C8">
        <w:rPr>
          <w:rFonts w:ascii="Times New Roman" w:hAnsi="Times New Roman"/>
          <w:color w:val="000000"/>
          <w:sz w:val="24"/>
          <w:szCs w:val="24"/>
          <w:lang w:val="sr-Cyrl-CS"/>
        </w:rPr>
        <w:t xml:space="preserve"> 2) </w:t>
      </w:r>
      <w:r w:rsidR="006515F3">
        <w:rPr>
          <w:rFonts w:ascii="Times New Roman" w:hAnsi="Times New Roman"/>
          <w:color w:val="000000"/>
          <w:sz w:val="24"/>
          <w:szCs w:val="24"/>
          <w:lang w:val="sr-Cyrl-CS"/>
        </w:rPr>
        <w:t xml:space="preserve">већа отпорност у односу на пореску евазију, </w:t>
      </w:r>
      <w:r w:rsidR="001912C8">
        <w:rPr>
          <w:rFonts w:ascii="Times New Roman" w:hAnsi="Times New Roman"/>
          <w:color w:val="000000"/>
          <w:sz w:val="24"/>
          <w:szCs w:val="24"/>
          <w:lang w:val="sr-Cyrl-CS"/>
        </w:rPr>
        <w:t xml:space="preserve">3) неутралност у </w:t>
      </w:r>
      <w:r w:rsidR="006515F3">
        <w:rPr>
          <w:rFonts w:ascii="Times New Roman" w:hAnsi="Times New Roman"/>
          <w:color w:val="000000"/>
          <w:sz w:val="24"/>
          <w:szCs w:val="24"/>
          <w:lang w:val="sr-Cyrl-CS"/>
        </w:rPr>
        <w:t>спољнотрговинским трансакцијама,</w:t>
      </w:r>
      <w:r w:rsidR="001912C8">
        <w:rPr>
          <w:rFonts w:ascii="Times New Roman" w:hAnsi="Times New Roman"/>
          <w:color w:val="000000"/>
          <w:sz w:val="24"/>
          <w:szCs w:val="24"/>
          <w:lang w:val="sr-Cyrl-CS"/>
        </w:rPr>
        <w:t xml:space="preserve"> 4) </w:t>
      </w:r>
      <w:r w:rsidR="006515F3">
        <w:rPr>
          <w:rFonts w:ascii="Times New Roman" w:hAnsi="Times New Roman"/>
          <w:color w:val="000000"/>
          <w:sz w:val="24"/>
          <w:szCs w:val="24"/>
          <w:lang w:val="sr-Cyrl-CS"/>
        </w:rPr>
        <w:t>захвата услуге,</w:t>
      </w:r>
      <w:r w:rsidR="001912C8">
        <w:rPr>
          <w:rFonts w:ascii="Times New Roman" w:hAnsi="Times New Roman"/>
          <w:color w:val="000000"/>
          <w:sz w:val="24"/>
          <w:szCs w:val="24"/>
          <w:lang w:val="sr-Cyrl-CS"/>
        </w:rPr>
        <w:t xml:space="preserve"> 5) могућност да се </w:t>
      </w:r>
      <w:r w:rsidR="001912C8">
        <w:rPr>
          <w:rFonts w:ascii="Times New Roman" w:hAnsi="Times New Roman"/>
          <w:color w:val="000000"/>
          <w:sz w:val="24"/>
          <w:szCs w:val="24"/>
        </w:rPr>
        <w:t>inputi</w:t>
      </w:r>
      <w:r w:rsidR="006515F3">
        <w:rPr>
          <w:rFonts w:ascii="Times New Roman" w:hAnsi="Times New Roman"/>
          <w:color w:val="000000"/>
          <w:sz w:val="24"/>
          <w:szCs w:val="24"/>
          <w:lang w:val="sr-Cyrl-CS"/>
        </w:rPr>
        <w:t xml:space="preserve"> изузму од опорезивања,</w:t>
      </w:r>
      <w:r w:rsidR="001912C8">
        <w:rPr>
          <w:rFonts w:ascii="Times New Roman" w:hAnsi="Times New Roman"/>
          <w:color w:val="000000"/>
          <w:sz w:val="24"/>
          <w:szCs w:val="24"/>
          <w:lang w:val="sr-Cyrl-CS"/>
        </w:rPr>
        <w:t xml:space="preserve"> 6) </w:t>
      </w:r>
      <w:r w:rsidR="006515F3">
        <w:rPr>
          <w:rFonts w:ascii="Times New Roman" w:hAnsi="Times New Roman"/>
          <w:color w:val="000000"/>
          <w:sz w:val="24"/>
          <w:szCs w:val="24"/>
          <w:lang w:val="sr-Cyrl-CS"/>
        </w:rPr>
        <w:t xml:space="preserve">представља </w:t>
      </w:r>
      <w:r w:rsidR="001912C8">
        <w:rPr>
          <w:rFonts w:ascii="Times New Roman" w:hAnsi="Times New Roman"/>
          <w:color w:val="000000"/>
          <w:sz w:val="24"/>
          <w:szCs w:val="24"/>
          <w:lang w:val="sr-Cyrl-CS"/>
        </w:rPr>
        <w:t>предуслов за</w:t>
      </w:r>
      <w:r w:rsidR="006515F3">
        <w:rPr>
          <w:rFonts w:ascii="Times New Roman" w:hAnsi="Times New Roman"/>
          <w:color w:val="000000"/>
          <w:sz w:val="24"/>
          <w:szCs w:val="24"/>
          <w:lang w:val="sr-Cyrl-CS"/>
        </w:rPr>
        <w:t xml:space="preserve"> повезивање са Европском унијом</w:t>
      </w:r>
      <w:r w:rsidR="001912C8">
        <w:rPr>
          <w:rFonts w:ascii="Times New Roman" w:hAnsi="Times New Roman"/>
          <w:color w:val="000000"/>
          <w:sz w:val="24"/>
          <w:szCs w:val="24"/>
          <w:lang w:val="sr-Cyrl-CS"/>
        </w:rPr>
        <w:t>.</w:t>
      </w:r>
      <w:r w:rsidR="001912C8">
        <w:rPr>
          <w:rStyle w:val="FootnoteReference"/>
          <w:rFonts w:ascii="Times New Roman" w:hAnsi="Times New Roman"/>
          <w:color w:val="000000"/>
          <w:sz w:val="24"/>
          <w:szCs w:val="24"/>
          <w:lang w:val="sr-Cyrl-CS"/>
        </w:rPr>
        <w:footnoteReference w:id="349"/>
      </w:r>
      <w:r w:rsidR="000B417D">
        <w:rPr>
          <w:rFonts w:ascii="Times New Roman" w:hAnsi="Times New Roman"/>
          <w:color w:val="000000"/>
          <w:sz w:val="24"/>
          <w:szCs w:val="24"/>
          <w:lang w:val="sr-Cyrl-CS"/>
        </w:rPr>
        <w:t xml:space="preserve"> </w:t>
      </w:r>
    </w:p>
    <w:p w:rsidR="000B417D" w:rsidRPr="000B417D" w:rsidRDefault="000B417D" w:rsidP="000B417D">
      <w:pPr>
        <w:shd w:val="clear" w:color="auto" w:fill="FFFFFF"/>
        <w:spacing w:after="0" w:line="285" w:lineRule="atLeast"/>
        <w:ind w:firstLine="360"/>
        <w:jc w:val="both"/>
        <w:rPr>
          <w:rFonts w:ascii="Times New Roman" w:hAnsi="Times New Roman"/>
          <w:color w:val="000000"/>
          <w:sz w:val="24"/>
          <w:szCs w:val="24"/>
          <w:lang w:val="sr-Cyrl-CS"/>
        </w:rPr>
      </w:pPr>
    </w:p>
    <w:p w:rsidR="00A84570" w:rsidRPr="000B417D" w:rsidRDefault="00A27497" w:rsidP="000B417D">
      <w:pPr>
        <w:ind w:firstLine="360"/>
        <w:jc w:val="both"/>
        <w:rPr>
          <w:rFonts w:ascii="Times New Roman" w:hAnsi="Times New Roman"/>
          <w:sz w:val="24"/>
          <w:szCs w:val="24"/>
          <w:lang w:val="sr-Cyrl-CS"/>
        </w:rPr>
      </w:pPr>
      <w:r w:rsidRPr="000B417D">
        <w:rPr>
          <w:rFonts w:ascii="Times New Roman" w:hAnsi="Times New Roman"/>
          <w:sz w:val="24"/>
          <w:szCs w:val="24"/>
          <w:lang w:val="sr-Cyrl-CS"/>
        </w:rPr>
        <w:t xml:space="preserve">Порез на додату вредност је издашнији због, између осталог,  ширег обухвата предмета опорезивања и веће отпорности на пореску евазију. </w:t>
      </w:r>
      <w:r w:rsidR="00623D67" w:rsidRPr="000B417D">
        <w:rPr>
          <w:rFonts w:ascii="Times New Roman" w:hAnsi="Times New Roman"/>
          <w:sz w:val="24"/>
          <w:szCs w:val="24"/>
          <w:lang w:val="sr-Cyrl-CS"/>
        </w:rPr>
        <w:t xml:space="preserve">Према позитивном законодавству примењује се принцип фактурисане реализације, јер се настанак пореске обавезе везује за извршење промета добара и услуга, када настаје и право на одбитак претходног пореза. Порески обвезник је дужан да изда рачун везано за предметни промет. </w:t>
      </w:r>
      <w:r w:rsidRPr="000B417D">
        <w:rPr>
          <w:rFonts w:ascii="Times New Roman" w:hAnsi="Times New Roman"/>
          <w:sz w:val="24"/>
          <w:szCs w:val="24"/>
          <w:lang w:val="sr-Cyrl-CS"/>
        </w:rPr>
        <w:t xml:space="preserve">Наиме, како би порески обвезник имао право да одбије порез који је плаћен у претходној фази прометног циклуса, мора да докуметнује да овакво право поседује, путем  фактуре у којој је назначено колики износ пореза је зарачунат. Такође, следећем </w:t>
      </w:r>
      <w:r w:rsidRPr="000B417D">
        <w:rPr>
          <w:rFonts w:ascii="Times New Roman" w:hAnsi="Times New Roman"/>
          <w:sz w:val="24"/>
          <w:szCs w:val="24"/>
          <w:lang w:val="sr-Cyrl-CS"/>
        </w:rPr>
        <w:lastRenderedPageBreak/>
        <w:t xml:space="preserve">учеснику у прометном циклусу мора да испостави фактуру како </w:t>
      </w:r>
      <w:r w:rsidR="00225C7E" w:rsidRPr="000B417D">
        <w:rPr>
          <w:rFonts w:ascii="Times New Roman" w:hAnsi="Times New Roman"/>
          <w:sz w:val="24"/>
          <w:szCs w:val="24"/>
          <w:lang w:val="sr-Cyrl-CS"/>
        </w:rPr>
        <w:t xml:space="preserve">би </w:t>
      </w:r>
      <w:r w:rsidRPr="000B417D">
        <w:rPr>
          <w:rFonts w:ascii="Times New Roman" w:hAnsi="Times New Roman"/>
          <w:sz w:val="24"/>
          <w:szCs w:val="24"/>
          <w:lang w:val="sr-Cyrl-CS"/>
        </w:rPr>
        <w:t xml:space="preserve">и он могао ово своје право да оствари. </w:t>
      </w:r>
    </w:p>
    <w:p w:rsidR="00623D67" w:rsidRDefault="00A84570" w:rsidP="00A84570">
      <w:pPr>
        <w:pStyle w:val="ListParagraph"/>
        <w:ind w:left="0" w:firstLine="708"/>
        <w:jc w:val="both"/>
        <w:rPr>
          <w:rFonts w:ascii="Times New Roman" w:hAnsi="Times New Roman"/>
          <w:color w:val="000000"/>
          <w:sz w:val="24"/>
          <w:szCs w:val="24"/>
          <w:lang w:val="sr-Cyrl-CS"/>
        </w:rPr>
      </w:pPr>
      <w:r w:rsidRPr="00A84570">
        <w:rPr>
          <w:rFonts w:ascii="Times New Roman" w:hAnsi="Times New Roman"/>
          <w:color w:val="000000"/>
          <w:sz w:val="24"/>
          <w:szCs w:val="24"/>
          <w:lang w:val="sr-Cyrl-CS"/>
        </w:rPr>
        <w:t xml:space="preserve">Интерес купца јесте да рачун гласи на што већи износ, како би његов порески одбитак био већи, док је интерес продавца супротан. Он жели да продајна цена у рачуну буде што нижа, како би била нижа и његова пореска обавеза. </w:t>
      </w:r>
      <w:r>
        <w:rPr>
          <w:rFonts w:ascii="Times New Roman" w:hAnsi="Times New Roman"/>
          <w:color w:val="000000"/>
          <w:sz w:val="24"/>
          <w:szCs w:val="24"/>
          <w:lang w:val="sr-Cyrl-CS"/>
        </w:rPr>
        <w:t>Право на одбитак претходног пореза повлачи дакле са собом интерес да се испоставља фактура, те да се у потпуности пријаве све испоруке и остварени приходи, а то опет води ка томе да је лакша контрола и утврђивање евазије пореза кроз проверу документације. Ово умањује могућност евазије пореза на добит правних лица, о ком пореском облику је било више речи у претходном поглављу, када је поменуто да је интерес пореског обвезника да у циљу пореске евазије смањује приходе, а по</w:t>
      </w:r>
      <w:r w:rsidR="00DC2529">
        <w:rPr>
          <w:rFonts w:ascii="Times New Roman" w:hAnsi="Times New Roman"/>
          <w:color w:val="000000"/>
          <w:sz w:val="24"/>
          <w:szCs w:val="24"/>
          <w:lang w:val="sr-Cyrl-CS"/>
        </w:rPr>
        <w:t xml:space="preserve">већава расходе, како би смањио </w:t>
      </w:r>
      <w:r>
        <w:rPr>
          <w:rFonts w:ascii="Times New Roman" w:hAnsi="Times New Roman"/>
          <w:color w:val="000000"/>
          <w:sz w:val="24"/>
          <w:szCs w:val="24"/>
          <w:lang w:val="sr-Cyrl-CS"/>
        </w:rPr>
        <w:t xml:space="preserve">опорезиву </w:t>
      </w:r>
      <w:r w:rsidR="00DC2529">
        <w:rPr>
          <w:rFonts w:ascii="Times New Roman" w:hAnsi="Times New Roman"/>
          <w:color w:val="000000"/>
          <w:sz w:val="24"/>
          <w:szCs w:val="24"/>
          <w:lang w:val="sr-Cyrl-CS"/>
        </w:rPr>
        <w:t>д</w:t>
      </w:r>
      <w:r>
        <w:rPr>
          <w:rFonts w:ascii="Times New Roman" w:hAnsi="Times New Roman"/>
          <w:color w:val="000000"/>
          <w:sz w:val="24"/>
          <w:szCs w:val="24"/>
          <w:lang w:val="sr-Cyrl-CS"/>
        </w:rPr>
        <w:t>обит, а самим тим и пореску обавезу. П</w:t>
      </w:r>
      <w:r w:rsidR="00A27497">
        <w:rPr>
          <w:rFonts w:ascii="Times New Roman" w:hAnsi="Times New Roman"/>
          <w:color w:val="000000"/>
          <w:sz w:val="24"/>
          <w:szCs w:val="24"/>
          <w:lang w:val="sr-Cyrl-CS"/>
        </w:rPr>
        <w:t xml:space="preserve">риликом увоза овај порез се обрачунава на граници. Све наведено олакшава пореску контролу. Оваква техника наплате је битно другачија у односу на порез у малопродаји, где је довољна само </w:t>
      </w:r>
      <w:r w:rsidR="00E5741C">
        <w:rPr>
          <w:rFonts w:ascii="Times New Roman" w:hAnsi="Times New Roman"/>
          <w:color w:val="000000"/>
          <w:sz w:val="24"/>
          <w:szCs w:val="24"/>
          <w:lang w:val="sr-Cyrl-CS"/>
        </w:rPr>
        <w:t xml:space="preserve">изјава </w:t>
      </w:r>
      <w:r w:rsidR="00A27497">
        <w:rPr>
          <w:rFonts w:ascii="Times New Roman" w:hAnsi="Times New Roman"/>
          <w:color w:val="000000"/>
          <w:sz w:val="24"/>
          <w:szCs w:val="24"/>
          <w:lang w:val="sr-Cyrl-CS"/>
        </w:rPr>
        <w:t>да ће се предметна набавка користи ради даље продаје, а што је у пракси отварало простор за бројне злоупотребе и отежано откривање пореске евазије.</w:t>
      </w:r>
      <w:r>
        <w:rPr>
          <w:rFonts w:ascii="Times New Roman" w:hAnsi="Times New Roman"/>
          <w:color w:val="000000"/>
          <w:sz w:val="24"/>
          <w:szCs w:val="24"/>
          <w:lang w:val="sr-Cyrl-CS"/>
        </w:rPr>
        <w:t xml:space="preserve"> </w:t>
      </w:r>
    </w:p>
    <w:p w:rsidR="00E5741C" w:rsidRDefault="00E5741C" w:rsidP="00A27497">
      <w:pPr>
        <w:pStyle w:val="ListParagraph"/>
        <w:ind w:left="0" w:firstLine="360"/>
        <w:jc w:val="both"/>
        <w:rPr>
          <w:rFonts w:ascii="Times New Roman" w:hAnsi="Times New Roman"/>
          <w:color w:val="000000"/>
          <w:sz w:val="24"/>
          <w:szCs w:val="24"/>
          <w:lang w:val="sr-Cyrl-CS"/>
        </w:rPr>
      </w:pPr>
    </w:p>
    <w:p w:rsidR="00E5741C" w:rsidRDefault="00E968C3" w:rsidP="00A27497">
      <w:pPr>
        <w:pStyle w:val="ListParagraph"/>
        <w:ind w:left="0" w:firstLine="360"/>
        <w:jc w:val="both"/>
        <w:rPr>
          <w:rFonts w:ascii="Times New Roman" w:hAnsi="Times New Roman"/>
          <w:color w:val="000000"/>
          <w:sz w:val="24"/>
          <w:szCs w:val="24"/>
          <w:lang w:val="sr-Cyrl-CS"/>
        </w:rPr>
      </w:pPr>
      <w:r>
        <w:rPr>
          <w:rFonts w:ascii="Times New Roman" w:hAnsi="Times New Roman"/>
          <w:color w:val="000000"/>
          <w:sz w:val="24"/>
          <w:szCs w:val="24"/>
          <w:lang w:val="sr-Cyrl-CS"/>
        </w:rPr>
        <w:t xml:space="preserve">Са друге стране, </w:t>
      </w:r>
      <w:r w:rsidR="00E5741C">
        <w:rPr>
          <w:rFonts w:ascii="Times New Roman" w:hAnsi="Times New Roman"/>
          <w:color w:val="000000"/>
          <w:sz w:val="24"/>
          <w:szCs w:val="24"/>
          <w:lang w:val="sr-Cyrl-CS"/>
        </w:rPr>
        <w:t xml:space="preserve">уколико порез не буде наплаћен у некој </w:t>
      </w:r>
      <w:r>
        <w:rPr>
          <w:rFonts w:ascii="Times New Roman" w:hAnsi="Times New Roman"/>
          <w:color w:val="000000"/>
          <w:sz w:val="24"/>
          <w:szCs w:val="24"/>
          <w:lang w:val="sr-Cyrl-CS"/>
        </w:rPr>
        <w:t xml:space="preserve">претходној </w:t>
      </w:r>
      <w:r w:rsidR="00E5741C">
        <w:rPr>
          <w:rFonts w:ascii="Times New Roman" w:hAnsi="Times New Roman"/>
          <w:color w:val="000000"/>
          <w:sz w:val="24"/>
          <w:szCs w:val="24"/>
          <w:lang w:val="sr-Cyrl-CS"/>
        </w:rPr>
        <w:t xml:space="preserve">фази прометног циклуса, испоруке ће садржавати тај неопорезован износ, </w:t>
      </w:r>
      <w:r>
        <w:rPr>
          <w:rFonts w:ascii="Times New Roman" w:hAnsi="Times New Roman"/>
          <w:color w:val="000000"/>
          <w:sz w:val="24"/>
          <w:szCs w:val="24"/>
          <w:lang w:val="sr-Cyrl-CS"/>
        </w:rPr>
        <w:t>односно дуговани износ пореза</w:t>
      </w:r>
      <w:r w:rsidR="00225C7E">
        <w:rPr>
          <w:rFonts w:ascii="Times New Roman" w:hAnsi="Times New Roman"/>
          <w:color w:val="000000"/>
          <w:sz w:val="24"/>
          <w:szCs w:val="24"/>
          <w:lang w:val="sr-Cyrl-CS"/>
        </w:rPr>
        <w:t xml:space="preserve"> који</w:t>
      </w:r>
      <w:r>
        <w:rPr>
          <w:rFonts w:ascii="Times New Roman" w:hAnsi="Times New Roman"/>
          <w:color w:val="000000"/>
          <w:sz w:val="24"/>
          <w:szCs w:val="24"/>
          <w:lang w:val="sr-Cyrl-CS"/>
        </w:rPr>
        <w:t xml:space="preserve"> ће бити обухваћен порезом који се обрачунава приликом испоруке, </w:t>
      </w:r>
      <w:r w:rsidR="00E5741C">
        <w:rPr>
          <w:rFonts w:ascii="Times New Roman" w:hAnsi="Times New Roman"/>
          <w:color w:val="000000"/>
          <w:sz w:val="24"/>
          <w:szCs w:val="24"/>
          <w:lang w:val="sr-Cyrl-CS"/>
        </w:rPr>
        <w:t xml:space="preserve">па ће ненаплаћен порез бити надокнађен на тај начин. </w:t>
      </w:r>
    </w:p>
    <w:p w:rsidR="00E5741C" w:rsidRDefault="00E5741C" w:rsidP="00A27497">
      <w:pPr>
        <w:pStyle w:val="ListParagraph"/>
        <w:ind w:left="0" w:firstLine="360"/>
        <w:jc w:val="both"/>
        <w:rPr>
          <w:rFonts w:ascii="Times New Roman" w:hAnsi="Times New Roman"/>
          <w:color w:val="000000"/>
          <w:sz w:val="24"/>
          <w:szCs w:val="24"/>
          <w:lang w:val="sr-Cyrl-CS"/>
        </w:rPr>
      </w:pPr>
    </w:p>
    <w:p w:rsidR="00E00BB1" w:rsidRDefault="00E5741C" w:rsidP="002675A4">
      <w:pPr>
        <w:pStyle w:val="ListParagraph"/>
        <w:ind w:left="0" w:firstLine="360"/>
        <w:jc w:val="both"/>
        <w:rPr>
          <w:rFonts w:ascii="Times New Roman" w:hAnsi="Times New Roman"/>
          <w:color w:val="000000"/>
          <w:sz w:val="24"/>
          <w:szCs w:val="24"/>
        </w:rPr>
      </w:pPr>
      <w:r>
        <w:rPr>
          <w:rFonts w:ascii="Times New Roman" w:hAnsi="Times New Roman"/>
          <w:color w:val="000000"/>
          <w:sz w:val="24"/>
          <w:szCs w:val="24"/>
          <w:lang w:val="sr-Cyrl-CS"/>
        </w:rPr>
        <w:t>Код пореза на промет у малопродају укол</w:t>
      </w:r>
      <w:r w:rsidR="00225C7E">
        <w:rPr>
          <w:rFonts w:ascii="Times New Roman" w:hAnsi="Times New Roman"/>
          <w:color w:val="000000"/>
          <w:sz w:val="24"/>
          <w:szCs w:val="24"/>
          <w:lang w:val="sr-Cyrl-CS"/>
        </w:rPr>
        <w:t>и</w:t>
      </w:r>
      <w:r>
        <w:rPr>
          <w:rFonts w:ascii="Times New Roman" w:hAnsi="Times New Roman"/>
          <w:color w:val="000000"/>
          <w:sz w:val="24"/>
          <w:szCs w:val="24"/>
          <w:lang w:val="sr-Cyrl-CS"/>
        </w:rPr>
        <w:t xml:space="preserve">ко дође до евазије пореза држава неће остварити порески приход, док је код пореза на додату вредност предност у томе што држава неће остати без пореских прихода и да не дође до наплате пореза у фази малоподаје, јер ће остати порез наплаћен у петходним фазама прометног циклуса. </w:t>
      </w:r>
    </w:p>
    <w:p w:rsidR="002675A4" w:rsidRPr="002675A4" w:rsidRDefault="002675A4" w:rsidP="002675A4">
      <w:pPr>
        <w:pStyle w:val="ListParagraph"/>
        <w:ind w:left="0" w:firstLine="360"/>
        <w:jc w:val="both"/>
        <w:rPr>
          <w:rFonts w:ascii="Times New Roman" w:hAnsi="Times New Roman"/>
          <w:color w:val="000000"/>
          <w:sz w:val="24"/>
          <w:szCs w:val="24"/>
        </w:rPr>
      </w:pPr>
    </w:p>
    <w:p w:rsidR="00623D67" w:rsidRDefault="00623D67" w:rsidP="00A27497">
      <w:pPr>
        <w:pStyle w:val="ListParagraph"/>
        <w:ind w:left="0" w:firstLine="360"/>
        <w:jc w:val="both"/>
        <w:rPr>
          <w:rFonts w:ascii="Times New Roman" w:hAnsi="Times New Roman"/>
          <w:color w:val="000000"/>
          <w:sz w:val="24"/>
          <w:szCs w:val="24"/>
          <w:lang w:val="sr-Cyrl-CS"/>
        </w:rPr>
      </w:pPr>
      <w:r>
        <w:rPr>
          <w:rFonts w:ascii="Times New Roman" w:hAnsi="Times New Roman"/>
          <w:color w:val="000000"/>
          <w:sz w:val="24"/>
          <w:szCs w:val="24"/>
          <w:lang w:val="sr-Cyrl-CS"/>
        </w:rPr>
        <w:t>Обавеза издавања рачуна примењује се и у Европској унији. Рачун представља основ за наплату једне трансакције. Рачун омогућава контролу од стране пореске администрације и неопходан је услов за одбитак претходног пореза.</w:t>
      </w:r>
      <w:r>
        <w:rPr>
          <w:rStyle w:val="FootnoteReference"/>
          <w:rFonts w:ascii="Times New Roman" w:hAnsi="Times New Roman"/>
          <w:color w:val="000000"/>
          <w:sz w:val="24"/>
          <w:szCs w:val="24"/>
          <w:lang w:val="sr-Cyrl-CS"/>
        </w:rPr>
        <w:footnoteReference w:id="350"/>
      </w:r>
    </w:p>
    <w:p w:rsidR="00E00BB1" w:rsidRDefault="00E00BB1" w:rsidP="00A27497">
      <w:pPr>
        <w:pStyle w:val="ListParagraph"/>
        <w:ind w:left="0" w:firstLine="360"/>
        <w:jc w:val="both"/>
        <w:rPr>
          <w:rFonts w:ascii="Times New Roman" w:hAnsi="Times New Roman"/>
          <w:color w:val="000000"/>
          <w:sz w:val="24"/>
          <w:szCs w:val="24"/>
          <w:lang w:val="sr-Cyrl-CS"/>
        </w:rPr>
      </w:pPr>
    </w:p>
    <w:p w:rsidR="001C6026" w:rsidRPr="00225C7E" w:rsidRDefault="00E00BB1" w:rsidP="00225C7E">
      <w:pPr>
        <w:pStyle w:val="ListParagraph"/>
        <w:ind w:left="0" w:firstLine="360"/>
        <w:jc w:val="both"/>
        <w:rPr>
          <w:rFonts w:ascii="Times New Roman" w:hAnsi="Times New Roman"/>
          <w:color w:val="000000"/>
          <w:sz w:val="24"/>
          <w:szCs w:val="24"/>
        </w:rPr>
      </w:pPr>
      <w:r>
        <w:rPr>
          <w:rFonts w:ascii="Times New Roman" w:hAnsi="Times New Roman"/>
          <w:color w:val="000000"/>
          <w:sz w:val="24"/>
          <w:szCs w:val="24"/>
          <w:lang w:val="sr-Cyrl-CS"/>
        </w:rPr>
        <w:t xml:space="preserve">Пореска техника и специфичан механизам повраћаја претходно плаћеног пореза код пореза на додату вредност омогућује неутралност у спољнотрговинским трансакцијама, јер се примењује принцип дестинације (одредишта), а не принцип порекла. </w:t>
      </w:r>
      <w:r w:rsidR="00E90EB0">
        <w:rPr>
          <w:rFonts w:ascii="Times New Roman" w:hAnsi="Times New Roman"/>
          <w:color w:val="000000"/>
          <w:sz w:val="24"/>
          <w:szCs w:val="24"/>
          <w:lang w:val="sr-Cyrl-CS"/>
        </w:rPr>
        <w:t>Овај принцип значи</w:t>
      </w:r>
      <w:r w:rsidR="001C6026">
        <w:rPr>
          <w:rFonts w:ascii="Times New Roman" w:hAnsi="Times New Roman"/>
          <w:color w:val="000000"/>
          <w:sz w:val="24"/>
          <w:szCs w:val="24"/>
          <w:lang w:val="sr-Cyrl-CS"/>
        </w:rPr>
        <w:t xml:space="preserve"> опорезивање укупне вредности оствареног промета према прописима позитивног законодавства земље крајње потрошње која је уједно и власник укупног пореског прихода</w:t>
      </w:r>
      <w:r w:rsidR="001C6026">
        <w:rPr>
          <w:rStyle w:val="FootnoteReference"/>
          <w:rFonts w:ascii="Times New Roman" w:hAnsi="Times New Roman"/>
          <w:color w:val="000000"/>
          <w:sz w:val="24"/>
          <w:szCs w:val="24"/>
          <w:lang w:val="sr-Cyrl-CS"/>
        </w:rPr>
        <w:footnoteReference w:id="351"/>
      </w:r>
      <w:r w:rsidR="001C6026">
        <w:rPr>
          <w:rFonts w:ascii="Times New Roman" w:hAnsi="Times New Roman"/>
          <w:color w:val="000000"/>
          <w:sz w:val="24"/>
          <w:szCs w:val="24"/>
          <w:lang w:val="sr-Cyrl-CS"/>
        </w:rPr>
        <w:t>.</w:t>
      </w:r>
    </w:p>
    <w:p w:rsidR="001C6026" w:rsidRDefault="001C6026" w:rsidP="00A27497">
      <w:pPr>
        <w:pStyle w:val="ListParagraph"/>
        <w:ind w:left="0" w:firstLine="360"/>
        <w:jc w:val="both"/>
        <w:rPr>
          <w:rFonts w:ascii="Times New Roman" w:hAnsi="Times New Roman"/>
          <w:color w:val="000000"/>
          <w:sz w:val="24"/>
          <w:szCs w:val="24"/>
          <w:lang w:val="sr-Cyrl-CS"/>
        </w:rPr>
      </w:pPr>
    </w:p>
    <w:p w:rsidR="005B6BCA" w:rsidRDefault="00E00BB1" w:rsidP="00A27497">
      <w:pPr>
        <w:pStyle w:val="ListParagraph"/>
        <w:ind w:left="0" w:firstLine="360"/>
        <w:jc w:val="both"/>
        <w:rPr>
          <w:rFonts w:ascii="Times New Roman" w:hAnsi="Times New Roman"/>
          <w:color w:val="000000"/>
          <w:sz w:val="24"/>
          <w:szCs w:val="24"/>
          <w:lang w:val="sr-Cyrl-CS"/>
        </w:rPr>
      </w:pPr>
      <w:r>
        <w:rPr>
          <w:rFonts w:ascii="Times New Roman" w:hAnsi="Times New Roman"/>
          <w:color w:val="000000"/>
          <w:sz w:val="24"/>
          <w:szCs w:val="24"/>
          <w:lang w:val="sr-Cyrl-CS"/>
        </w:rPr>
        <w:t xml:space="preserve">На тај начин се постиже да извоз буде ослобођен плаћања пореза, што даље снижава цену робе и услуга, које самим тим постају конкурентије на тржишту. Извозник има </w:t>
      </w:r>
      <w:r>
        <w:rPr>
          <w:rFonts w:ascii="Times New Roman" w:hAnsi="Times New Roman"/>
          <w:color w:val="000000"/>
          <w:sz w:val="24"/>
          <w:szCs w:val="24"/>
          <w:lang w:val="sr-Cyrl-CS"/>
        </w:rPr>
        <w:lastRenderedPageBreak/>
        <w:t xml:space="preserve">право </w:t>
      </w:r>
      <w:r w:rsidR="00124320">
        <w:rPr>
          <w:rFonts w:ascii="Times New Roman" w:hAnsi="Times New Roman"/>
          <w:color w:val="000000"/>
          <w:sz w:val="24"/>
          <w:szCs w:val="24"/>
          <w:lang w:val="sr-Cyrl-CS"/>
        </w:rPr>
        <w:t>на повраћај</w:t>
      </w:r>
      <w:r>
        <w:rPr>
          <w:rFonts w:ascii="Times New Roman" w:hAnsi="Times New Roman"/>
          <w:color w:val="000000"/>
          <w:sz w:val="24"/>
          <w:szCs w:val="24"/>
          <w:lang w:val="sr-Cyrl-CS"/>
        </w:rPr>
        <w:t xml:space="preserve"> порез</w:t>
      </w:r>
      <w:r w:rsidR="00124320">
        <w:rPr>
          <w:rFonts w:ascii="Times New Roman" w:hAnsi="Times New Roman"/>
          <w:color w:val="000000"/>
          <w:sz w:val="24"/>
          <w:szCs w:val="24"/>
          <w:lang w:val="sr-Cyrl-CS"/>
        </w:rPr>
        <w:t>а плаћеног кроз фактуру претходника, дакле</w:t>
      </w:r>
      <w:r>
        <w:rPr>
          <w:rFonts w:ascii="Times New Roman" w:hAnsi="Times New Roman"/>
          <w:color w:val="000000"/>
          <w:sz w:val="24"/>
          <w:szCs w:val="24"/>
          <w:lang w:val="sr-Cyrl-CS"/>
        </w:rPr>
        <w:t xml:space="preserve"> пре момента извоза, уз приложену извозну декларацију, чиме се такође олакшава пореска контрола. </w:t>
      </w:r>
      <w:r w:rsidR="00124320">
        <w:rPr>
          <w:rFonts w:ascii="Times New Roman" w:hAnsi="Times New Roman"/>
          <w:color w:val="000000"/>
          <w:sz w:val="24"/>
          <w:szCs w:val="24"/>
          <w:lang w:val="sr-Cyrl-CS"/>
        </w:rPr>
        <w:t xml:space="preserve">При увозу робе у земљу одредишта плаћа се порез, али уз право на одбитак код испоруке крајњим корисницима. </w:t>
      </w:r>
      <w:r w:rsidR="00C87C5F">
        <w:rPr>
          <w:rFonts w:ascii="Times New Roman" w:hAnsi="Times New Roman"/>
          <w:color w:val="000000"/>
          <w:sz w:val="24"/>
          <w:szCs w:val="24"/>
          <w:lang w:val="sr-Cyrl-CS"/>
        </w:rPr>
        <w:t xml:space="preserve">Дакле, извоз је ослобођен, а увоз је опорезован. На тај начин приход од пореза остаје земљи одредишта. </w:t>
      </w:r>
    </w:p>
    <w:p w:rsidR="00124320" w:rsidRDefault="00124320" w:rsidP="00124320">
      <w:pPr>
        <w:pStyle w:val="ListParagraph"/>
        <w:ind w:left="0"/>
        <w:jc w:val="both"/>
        <w:rPr>
          <w:rFonts w:ascii="Times New Roman" w:hAnsi="Times New Roman"/>
          <w:color w:val="000000"/>
          <w:sz w:val="24"/>
          <w:szCs w:val="24"/>
          <w:lang w:val="sr-Cyrl-CS"/>
        </w:rPr>
      </w:pPr>
    </w:p>
    <w:p w:rsidR="001912C8" w:rsidRDefault="00372836" w:rsidP="00A27497">
      <w:pPr>
        <w:pStyle w:val="ListParagraph"/>
        <w:ind w:left="0" w:firstLine="360"/>
        <w:jc w:val="both"/>
        <w:rPr>
          <w:rFonts w:ascii="Times New Roman" w:hAnsi="Times New Roman"/>
          <w:color w:val="000000"/>
          <w:sz w:val="24"/>
          <w:szCs w:val="24"/>
        </w:rPr>
      </w:pPr>
      <w:r>
        <w:rPr>
          <w:rFonts w:ascii="Times New Roman" w:hAnsi="Times New Roman"/>
          <w:color w:val="000000"/>
          <w:sz w:val="24"/>
          <w:szCs w:val="24"/>
          <w:lang w:val="sr-Cyrl-CS"/>
        </w:rPr>
        <w:t xml:space="preserve">Принцип дестинације </w:t>
      </w:r>
      <w:r w:rsidR="005B6BCA">
        <w:rPr>
          <w:rFonts w:ascii="Times New Roman" w:hAnsi="Times New Roman"/>
          <w:color w:val="000000"/>
          <w:sz w:val="24"/>
          <w:szCs w:val="24"/>
          <w:lang w:val="sr-Cyrl-CS"/>
        </w:rPr>
        <w:t xml:space="preserve">правила </w:t>
      </w:r>
      <w:r w:rsidR="005B6BCA">
        <w:rPr>
          <w:rFonts w:ascii="Times New Roman" w:hAnsi="Times New Roman"/>
          <w:color w:val="000000"/>
          <w:sz w:val="24"/>
          <w:szCs w:val="24"/>
        </w:rPr>
        <w:t>GATT</w:t>
      </w:r>
      <w:r w:rsidR="005B6BCA">
        <w:rPr>
          <w:rFonts w:ascii="Times New Roman" w:hAnsi="Times New Roman"/>
          <w:color w:val="000000"/>
          <w:sz w:val="24"/>
          <w:szCs w:val="24"/>
          <w:lang w:val="sr-Cyrl-CS"/>
        </w:rPr>
        <w:t xml:space="preserve">-а (односно </w:t>
      </w:r>
      <w:r w:rsidR="005B6BCA">
        <w:rPr>
          <w:rFonts w:ascii="Times New Roman" w:hAnsi="Times New Roman"/>
          <w:color w:val="000000"/>
          <w:sz w:val="24"/>
          <w:szCs w:val="24"/>
        </w:rPr>
        <w:t xml:space="preserve">World Trade Organisation) </w:t>
      </w:r>
      <w:r w:rsidR="005B6BCA">
        <w:rPr>
          <w:rFonts w:ascii="Times New Roman" w:hAnsi="Times New Roman"/>
          <w:color w:val="000000"/>
          <w:sz w:val="24"/>
          <w:szCs w:val="24"/>
          <w:lang w:val="sr-Cyrl-CS"/>
        </w:rPr>
        <w:t>прописују у међународној трговини</w:t>
      </w:r>
      <w:r>
        <w:rPr>
          <w:rFonts w:ascii="Times New Roman" w:hAnsi="Times New Roman"/>
          <w:color w:val="000000"/>
          <w:sz w:val="24"/>
          <w:szCs w:val="24"/>
          <w:lang w:val="sr-Cyrl-CS"/>
        </w:rPr>
        <w:t xml:space="preserve"> имајући у виду да се пореско оптерећење робе из увоза нивелише са домаћим и тако се избегавају тржишне дисторзије</w:t>
      </w:r>
      <w:r w:rsidR="005B6BCA">
        <w:rPr>
          <w:rFonts w:ascii="Times New Roman" w:hAnsi="Times New Roman"/>
          <w:color w:val="000000"/>
          <w:sz w:val="24"/>
          <w:szCs w:val="24"/>
          <w:lang w:val="sr-Cyrl-CS"/>
        </w:rPr>
        <w:t>.</w:t>
      </w:r>
      <w:r w:rsidR="005B6BCA">
        <w:rPr>
          <w:rStyle w:val="FootnoteReference"/>
          <w:rFonts w:ascii="Times New Roman" w:hAnsi="Times New Roman"/>
          <w:color w:val="000000"/>
          <w:sz w:val="24"/>
          <w:szCs w:val="24"/>
          <w:lang w:val="sr-Cyrl-CS"/>
        </w:rPr>
        <w:footnoteReference w:id="352"/>
      </w:r>
    </w:p>
    <w:p w:rsidR="00E90EB0" w:rsidRDefault="00E90EB0" w:rsidP="00A27497">
      <w:pPr>
        <w:pStyle w:val="ListParagraph"/>
        <w:ind w:left="0" w:firstLine="360"/>
        <w:jc w:val="both"/>
        <w:rPr>
          <w:rFonts w:ascii="Times New Roman" w:hAnsi="Times New Roman"/>
          <w:color w:val="000000"/>
          <w:sz w:val="24"/>
          <w:szCs w:val="24"/>
        </w:rPr>
      </w:pPr>
    </w:p>
    <w:p w:rsidR="00E90EB0" w:rsidRPr="00E90EB0" w:rsidRDefault="00E90EB0" w:rsidP="00225C7E">
      <w:pPr>
        <w:pStyle w:val="ListParagraph"/>
        <w:ind w:left="0" w:firstLine="360"/>
        <w:jc w:val="both"/>
        <w:rPr>
          <w:rFonts w:ascii="Times New Roman" w:hAnsi="Times New Roman"/>
          <w:color w:val="000000"/>
          <w:sz w:val="24"/>
          <w:szCs w:val="24"/>
          <w:lang w:val="sr-Cyrl-CS"/>
        </w:rPr>
      </w:pPr>
      <w:r>
        <w:rPr>
          <w:rFonts w:ascii="Times New Roman" w:hAnsi="Times New Roman"/>
          <w:color w:val="000000"/>
          <w:sz w:val="24"/>
          <w:szCs w:val="24"/>
          <w:lang w:val="sr-Cyrl-CS"/>
        </w:rPr>
        <w:t>Код принципа порекла</w:t>
      </w:r>
      <w:r w:rsidR="00225C7E">
        <w:rPr>
          <w:rFonts w:ascii="Times New Roman" w:hAnsi="Times New Roman"/>
          <w:color w:val="000000"/>
          <w:sz w:val="24"/>
          <w:szCs w:val="24"/>
          <w:lang w:val="sr-Cyrl-CS"/>
        </w:rPr>
        <w:t xml:space="preserve"> је обрнуто и</w:t>
      </w:r>
      <w:r>
        <w:rPr>
          <w:rFonts w:ascii="Times New Roman" w:hAnsi="Times New Roman"/>
          <w:color w:val="000000"/>
          <w:sz w:val="24"/>
          <w:szCs w:val="24"/>
          <w:lang w:val="sr-Cyrl-CS"/>
        </w:rPr>
        <w:t xml:space="preserve"> порез се плаћа у земљи извозници, док је увоз ослобођен и порез плаћен у земљи порекла се не враћ</w:t>
      </w:r>
      <w:r w:rsidR="00225C7E">
        <w:rPr>
          <w:rFonts w:ascii="Times New Roman" w:hAnsi="Times New Roman"/>
          <w:color w:val="000000"/>
          <w:sz w:val="24"/>
          <w:szCs w:val="24"/>
          <w:lang w:val="sr-Cyrl-CS"/>
        </w:rPr>
        <w:t>а</w:t>
      </w:r>
      <w:r>
        <w:rPr>
          <w:rFonts w:ascii="Times New Roman" w:hAnsi="Times New Roman"/>
          <w:color w:val="000000"/>
          <w:sz w:val="24"/>
          <w:szCs w:val="24"/>
          <w:lang w:val="sr-Cyrl-CS"/>
        </w:rPr>
        <w:t>, па тај део прихода државе извознице задржавају у свом буџету.</w:t>
      </w:r>
      <w:r>
        <w:rPr>
          <w:rFonts w:ascii="Times New Roman" w:hAnsi="Times New Roman"/>
          <w:color w:val="000000"/>
          <w:sz w:val="24"/>
          <w:szCs w:val="24"/>
        </w:rPr>
        <w:t xml:space="preserve"> </w:t>
      </w:r>
      <w:r>
        <w:rPr>
          <w:rFonts w:ascii="Times New Roman" w:hAnsi="Times New Roman"/>
          <w:color w:val="000000"/>
          <w:sz w:val="24"/>
          <w:szCs w:val="24"/>
          <w:lang w:val="sr-Cyrl-CS"/>
        </w:rPr>
        <w:t>У земљи одредишта опорезује се само вредност која је обухваћена у фазама прометног циклуса које су извршене на њеној територији, тако да рас</w:t>
      </w:r>
      <w:r w:rsidR="00225C7E">
        <w:rPr>
          <w:rFonts w:ascii="Times New Roman" w:hAnsi="Times New Roman"/>
          <w:color w:val="000000"/>
          <w:sz w:val="24"/>
          <w:szCs w:val="24"/>
          <w:lang w:val="sr-Cyrl-CS"/>
        </w:rPr>
        <w:t xml:space="preserve">подела укупног пореског терета </w:t>
      </w:r>
      <w:r>
        <w:rPr>
          <w:rFonts w:ascii="Times New Roman" w:hAnsi="Times New Roman"/>
          <w:color w:val="000000"/>
          <w:sz w:val="24"/>
          <w:szCs w:val="24"/>
          <w:lang w:val="sr-Cyrl-CS"/>
        </w:rPr>
        <w:t>зависи од комбинације пореских стопа земље порекла и земље одредишта.</w:t>
      </w:r>
      <w:r>
        <w:rPr>
          <w:rStyle w:val="FootnoteReference"/>
          <w:rFonts w:ascii="Times New Roman" w:hAnsi="Times New Roman"/>
          <w:color w:val="000000"/>
          <w:sz w:val="24"/>
          <w:szCs w:val="24"/>
          <w:lang w:val="sr-Cyrl-CS"/>
        </w:rPr>
        <w:footnoteReference w:id="353"/>
      </w:r>
    </w:p>
    <w:p w:rsidR="00571052" w:rsidRDefault="00571052" w:rsidP="00A27497">
      <w:pPr>
        <w:pStyle w:val="ListParagraph"/>
        <w:ind w:left="0" w:firstLine="360"/>
        <w:jc w:val="both"/>
        <w:rPr>
          <w:rFonts w:ascii="Times New Roman" w:hAnsi="Times New Roman"/>
          <w:color w:val="000000"/>
          <w:sz w:val="24"/>
          <w:szCs w:val="24"/>
          <w:lang w:val="sr-Cyrl-CS"/>
        </w:rPr>
      </w:pPr>
    </w:p>
    <w:p w:rsidR="00F34B11" w:rsidRPr="00EE123E" w:rsidRDefault="00571052" w:rsidP="00EE123E">
      <w:pPr>
        <w:pStyle w:val="ListParagraph"/>
        <w:ind w:left="0" w:firstLine="360"/>
        <w:jc w:val="both"/>
        <w:rPr>
          <w:rFonts w:ascii="Times New Roman" w:hAnsi="Times New Roman"/>
          <w:color w:val="000000"/>
          <w:sz w:val="24"/>
          <w:szCs w:val="24"/>
          <w:lang w:val="sr-Cyrl-CS"/>
        </w:rPr>
      </w:pPr>
      <w:r>
        <w:rPr>
          <w:rFonts w:ascii="Times New Roman" w:hAnsi="Times New Roman"/>
          <w:color w:val="000000"/>
          <w:sz w:val="24"/>
          <w:szCs w:val="24"/>
          <w:lang w:val="sr-Cyrl-CS"/>
        </w:rPr>
        <w:t>Према домаћим позитивним прописима прил</w:t>
      </w:r>
      <w:r w:rsidR="00CD5809">
        <w:rPr>
          <w:rFonts w:ascii="Times New Roman" w:hAnsi="Times New Roman"/>
          <w:color w:val="000000"/>
          <w:sz w:val="24"/>
          <w:szCs w:val="24"/>
          <w:lang w:val="sr-Cyrl-CS"/>
        </w:rPr>
        <w:t>иком извоза примењује се принцип</w:t>
      </w:r>
      <w:r>
        <w:rPr>
          <w:rFonts w:ascii="Times New Roman" w:hAnsi="Times New Roman"/>
          <w:color w:val="000000"/>
          <w:sz w:val="24"/>
          <w:szCs w:val="24"/>
          <w:lang w:val="sr-Cyrl-CS"/>
        </w:rPr>
        <w:t xml:space="preserve"> дестинације.</w:t>
      </w:r>
      <w:r w:rsidR="00225C7E">
        <w:rPr>
          <w:rFonts w:ascii="Times New Roman" w:hAnsi="Times New Roman"/>
          <w:color w:val="000000"/>
          <w:sz w:val="24"/>
          <w:szCs w:val="24"/>
          <w:lang w:val="sr-Cyrl-CS"/>
        </w:rPr>
        <w:t xml:space="preserve"> </w:t>
      </w:r>
      <w:r w:rsidR="00CD5809" w:rsidRPr="00CD5809">
        <w:rPr>
          <w:rFonts w:ascii="Times New Roman" w:hAnsi="Times New Roman"/>
          <w:color w:val="000000"/>
          <w:sz w:val="24"/>
          <w:szCs w:val="24"/>
        </w:rPr>
        <w:t>ПДВ</w:t>
      </w:r>
      <w:r w:rsidR="00225C7E" w:rsidRPr="00CD5809">
        <w:rPr>
          <w:rFonts w:ascii="Times New Roman" w:hAnsi="Times New Roman"/>
          <w:color w:val="000000"/>
          <w:sz w:val="24"/>
          <w:szCs w:val="24"/>
        </w:rPr>
        <w:t xml:space="preserve"> </w:t>
      </w:r>
      <w:r w:rsidR="00CD5809" w:rsidRPr="00CD5809">
        <w:rPr>
          <w:rFonts w:ascii="Times New Roman" w:hAnsi="Times New Roman"/>
          <w:color w:val="000000"/>
          <w:sz w:val="24"/>
          <w:szCs w:val="24"/>
        </w:rPr>
        <w:t>се</w:t>
      </w:r>
      <w:r w:rsidR="00225C7E" w:rsidRPr="00CD5809">
        <w:rPr>
          <w:rFonts w:ascii="Times New Roman" w:hAnsi="Times New Roman"/>
          <w:color w:val="000000"/>
          <w:sz w:val="24"/>
          <w:szCs w:val="24"/>
        </w:rPr>
        <w:t xml:space="preserve"> </w:t>
      </w:r>
      <w:r w:rsidR="00CD5809" w:rsidRPr="00CD5809">
        <w:rPr>
          <w:rFonts w:ascii="Times New Roman" w:hAnsi="Times New Roman"/>
          <w:color w:val="000000"/>
          <w:sz w:val="24"/>
          <w:szCs w:val="24"/>
        </w:rPr>
        <w:t>не</w:t>
      </w:r>
      <w:r w:rsidR="00225C7E" w:rsidRPr="00CD5809">
        <w:rPr>
          <w:rFonts w:ascii="Times New Roman" w:hAnsi="Times New Roman"/>
          <w:color w:val="000000"/>
          <w:sz w:val="24"/>
          <w:szCs w:val="24"/>
        </w:rPr>
        <w:t xml:space="preserve"> </w:t>
      </w:r>
      <w:r w:rsidR="00CD5809" w:rsidRPr="00CD5809">
        <w:rPr>
          <w:rFonts w:ascii="Times New Roman" w:hAnsi="Times New Roman"/>
          <w:color w:val="000000"/>
          <w:sz w:val="24"/>
          <w:szCs w:val="24"/>
        </w:rPr>
        <w:t>плаћа</w:t>
      </w:r>
      <w:r w:rsidR="00225C7E" w:rsidRPr="00CD5809">
        <w:rPr>
          <w:rFonts w:ascii="Times New Roman" w:hAnsi="Times New Roman"/>
          <w:color w:val="000000"/>
          <w:sz w:val="24"/>
          <w:szCs w:val="24"/>
        </w:rPr>
        <w:t xml:space="preserve"> </w:t>
      </w:r>
      <w:r w:rsidR="00CD5809" w:rsidRPr="00CD5809">
        <w:rPr>
          <w:rFonts w:ascii="Times New Roman" w:hAnsi="Times New Roman"/>
          <w:color w:val="000000"/>
          <w:sz w:val="24"/>
          <w:szCs w:val="24"/>
        </w:rPr>
        <w:t>на</w:t>
      </w:r>
      <w:r w:rsidR="00225C7E" w:rsidRPr="00CD5809">
        <w:rPr>
          <w:rFonts w:ascii="Times New Roman" w:hAnsi="Times New Roman"/>
          <w:color w:val="000000"/>
          <w:sz w:val="24"/>
          <w:szCs w:val="24"/>
          <w:lang w:val="sr-Cyrl-CS"/>
        </w:rPr>
        <w:t xml:space="preserve"> </w:t>
      </w:r>
      <w:r w:rsidR="00CD5809" w:rsidRPr="00CD5809">
        <w:rPr>
          <w:rFonts w:ascii="Times New Roman" w:hAnsi="Times New Roman"/>
          <w:color w:val="000000"/>
          <w:sz w:val="24"/>
          <w:szCs w:val="24"/>
        </w:rPr>
        <w:t>промет</w:t>
      </w:r>
      <w:r w:rsidRPr="00CD5809">
        <w:rPr>
          <w:rFonts w:ascii="Times New Roman" w:hAnsi="Times New Roman"/>
          <w:color w:val="000000"/>
          <w:sz w:val="24"/>
          <w:szCs w:val="24"/>
        </w:rPr>
        <w:t xml:space="preserve"> </w:t>
      </w:r>
      <w:r w:rsidR="00CD5809" w:rsidRPr="00CD5809">
        <w:rPr>
          <w:rFonts w:ascii="Times New Roman" w:hAnsi="Times New Roman"/>
          <w:color w:val="000000"/>
          <w:sz w:val="24"/>
          <w:szCs w:val="24"/>
        </w:rPr>
        <w:t>добара</w:t>
      </w:r>
      <w:r w:rsidRPr="00CD5809">
        <w:rPr>
          <w:rFonts w:ascii="Times New Roman" w:hAnsi="Times New Roman"/>
          <w:color w:val="000000"/>
          <w:sz w:val="24"/>
          <w:szCs w:val="24"/>
        </w:rPr>
        <w:t xml:space="preserve"> </w:t>
      </w:r>
      <w:r w:rsidR="00CD5809" w:rsidRPr="00CD5809">
        <w:rPr>
          <w:rFonts w:ascii="Times New Roman" w:hAnsi="Times New Roman"/>
          <w:color w:val="000000"/>
          <w:sz w:val="24"/>
          <w:szCs w:val="24"/>
        </w:rPr>
        <w:t>која</w:t>
      </w:r>
      <w:r w:rsidRPr="00CD5809">
        <w:rPr>
          <w:rFonts w:ascii="Times New Roman" w:hAnsi="Times New Roman"/>
          <w:color w:val="000000"/>
          <w:sz w:val="24"/>
          <w:szCs w:val="24"/>
        </w:rPr>
        <w:t xml:space="preserve"> </w:t>
      </w:r>
      <w:r w:rsidR="00CD5809" w:rsidRPr="00CD5809">
        <w:rPr>
          <w:rFonts w:ascii="Times New Roman" w:hAnsi="Times New Roman"/>
          <w:color w:val="000000"/>
          <w:sz w:val="24"/>
          <w:szCs w:val="24"/>
        </w:rPr>
        <w:t>обвезник</w:t>
      </w:r>
      <w:r w:rsidRPr="00CD5809">
        <w:rPr>
          <w:rFonts w:ascii="Times New Roman" w:hAnsi="Times New Roman"/>
          <w:color w:val="000000"/>
          <w:sz w:val="24"/>
          <w:szCs w:val="24"/>
        </w:rPr>
        <w:t xml:space="preserve"> </w:t>
      </w:r>
      <w:r w:rsidR="00CD5809" w:rsidRPr="00CD5809">
        <w:rPr>
          <w:rFonts w:ascii="Times New Roman" w:hAnsi="Times New Roman"/>
          <w:color w:val="000000"/>
          <w:sz w:val="24"/>
          <w:szCs w:val="24"/>
        </w:rPr>
        <w:t>или</w:t>
      </w:r>
      <w:r w:rsidRPr="00CD5809">
        <w:rPr>
          <w:rFonts w:ascii="Times New Roman" w:hAnsi="Times New Roman"/>
          <w:color w:val="000000"/>
          <w:sz w:val="24"/>
          <w:szCs w:val="24"/>
        </w:rPr>
        <w:t xml:space="preserve"> </w:t>
      </w:r>
      <w:r w:rsidR="00CD5809" w:rsidRPr="00CD5809">
        <w:rPr>
          <w:rFonts w:ascii="Times New Roman" w:hAnsi="Times New Roman"/>
          <w:color w:val="000000"/>
          <w:sz w:val="24"/>
          <w:szCs w:val="24"/>
        </w:rPr>
        <w:t>треће</w:t>
      </w:r>
      <w:r w:rsidRPr="00CD5809">
        <w:rPr>
          <w:rFonts w:ascii="Times New Roman" w:hAnsi="Times New Roman"/>
          <w:color w:val="000000"/>
          <w:sz w:val="24"/>
          <w:szCs w:val="24"/>
        </w:rPr>
        <w:t xml:space="preserve"> </w:t>
      </w:r>
      <w:r w:rsidR="00CD5809" w:rsidRPr="00CD5809">
        <w:rPr>
          <w:rFonts w:ascii="Times New Roman" w:hAnsi="Times New Roman"/>
          <w:color w:val="000000"/>
          <w:sz w:val="24"/>
          <w:szCs w:val="24"/>
        </w:rPr>
        <w:t>лице</w:t>
      </w:r>
      <w:r w:rsidRPr="00CD5809">
        <w:rPr>
          <w:rFonts w:ascii="Times New Roman" w:hAnsi="Times New Roman"/>
          <w:color w:val="000000"/>
          <w:sz w:val="24"/>
          <w:szCs w:val="24"/>
        </w:rPr>
        <w:t xml:space="preserve">, </w:t>
      </w:r>
      <w:r w:rsidR="00CD5809" w:rsidRPr="00CD5809">
        <w:rPr>
          <w:rFonts w:ascii="Times New Roman" w:hAnsi="Times New Roman"/>
          <w:color w:val="000000"/>
          <w:sz w:val="24"/>
          <w:szCs w:val="24"/>
        </w:rPr>
        <w:t>по</w:t>
      </w:r>
      <w:r w:rsidRPr="00CD5809">
        <w:rPr>
          <w:rFonts w:ascii="Times New Roman" w:hAnsi="Times New Roman"/>
          <w:color w:val="000000"/>
          <w:sz w:val="24"/>
          <w:szCs w:val="24"/>
        </w:rPr>
        <w:t xml:space="preserve"> </w:t>
      </w:r>
      <w:r w:rsidR="00CD5809" w:rsidRPr="00CD5809">
        <w:rPr>
          <w:rFonts w:ascii="Times New Roman" w:hAnsi="Times New Roman"/>
          <w:color w:val="000000"/>
          <w:sz w:val="24"/>
          <w:szCs w:val="24"/>
        </w:rPr>
        <w:t>његовом</w:t>
      </w:r>
      <w:r w:rsidRPr="00CD5809">
        <w:rPr>
          <w:rFonts w:ascii="Times New Roman" w:hAnsi="Times New Roman"/>
          <w:color w:val="000000"/>
          <w:sz w:val="24"/>
          <w:szCs w:val="24"/>
        </w:rPr>
        <w:t xml:space="preserve"> </w:t>
      </w:r>
      <w:r w:rsidR="00CD5809" w:rsidRPr="00CD5809">
        <w:rPr>
          <w:rFonts w:ascii="Times New Roman" w:hAnsi="Times New Roman"/>
          <w:color w:val="000000"/>
          <w:sz w:val="24"/>
          <w:szCs w:val="24"/>
        </w:rPr>
        <w:t>налогу</w:t>
      </w:r>
      <w:r w:rsidRPr="00CD5809">
        <w:rPr>
          <w:rFonts w:ascii="Times New Roman" w:hAnsi="Times New Roman"/>
          <w:color w:val="000000"/>
          <w:sz w:val="24"/>
          <w:szCs w:val="24"/>
        </w:rPr>
        <w:t xml:space="preserve">, </w:t>
      </w:r>
      <w:r w:rsidR="00CD5809" w:rsidRPr="00CD5809">
        <w:rPr>
          <w:rFonts w:ascii="Times New Roman" w:hAnsi="Times New Roman"/>
          <w:color w:val="000000"/>
          <w:sz w:val="24"/>
          <w:szCs w:val="24"/>
        </w:rPr>
        <w:t>шаље</w:t>
      </w:r>
      <w:r w:rsidRPr="00CD5809">
        <w:rPr>
          <w:rFonts w:ascii="Times New Roman" w:hAnsi="Times New Roman"/>
          <w:color w:val="000000"/>
          <w:sz w:val="24"/>
          <w:szCs w:val="24"/>
        </w:rPr>
        <w:t xml:space="preserve"> </w:t>
      </w:r>
      <w:r w:rsidR="00CD5809" w:rsidRPr="00CD5809">
        <w:rPr>
          <w:rFonts w:ascii="Times New Roman" w:hAnsi="Times New Roman"/>
          <w:color w:val="000000"/>
          <w:sz w:val="24"/>
          <w:szCs w:val="24"/>
        </w:rPr>
        <w:t>или</w:t>
      </w:r>
      <w:r w:rsidRPr="00CD5809">
        <w:rPr>
          <w:rFonts w:ascii="Times New Roman" w:hAnsi="Times New Roman"/>
          <w:color w:val="000000"/>
          <w:sz w:val="24"/>
          <w:szCs w:val="24"/>
        </w:rPr>
        <w:t xml:space="preserve"> </w:t>
      </w:r>
      <w:r w:rsidR="00CD5809" w:rsidRPr="00CD5809">
        <w:rPr>
          <w:rFonts w:ascii="Times New Roman" w:hAnsi="Times New Roman"/>
          <w:color w:val="000000"/>
          <w:sz w:val="24"/>
          <w:szCs w:val="24"/>
        </w:rPr>
        <w:t>отпрема</w:t>
      </w:r>
      <w:r w:rsidRPr="00CD5809">
        <w:rPr>
          <w:rFonts w:ascii="Times New Roman" w:hAnsi="Times New Roman"/>
          <w:color w:val="000000"/>
          <w:sz w:val="24"/>
          <w:szCs w:val="24"/>
        </w:rPr>
        <w:t xml:space="preserve"> </w:t>
      </w:r>
      <w:r w:rsidR="00CD5809" w:rsidRPr="00CD5809">
        <w:rPr>
          <w:rFonts w:ascii="Times New Roman" w:hAnsi="Times New Roman"/>
          <w:color w:val="000000"/>
          <w:sz w:val="24"/>
          <w:szCs w:val="24"/>
        </w:rPr>
        <w:t>у</w:t>
      </w:r>
      <w:r w:rsidRPr="00CD5809">
        <w:rPr>
          <w:rFonts w:ascii="Times New Roman" w:hAnsi="Times New Roman"/>
          <w:color w:val="000000"/>
          <w:sz w:val="24"/>
          <w:szCs w:val="24"/>
        </w:rPr>
        <w:t xml:space="preserve"> </w:t>
      </w:r>
      <w:r w:rsidR="00CD5809" w:rsidRPr="00CD5809">
        <w:rPr>
          <w:rFonts w:ascii="Times New Roman" w:hAnsi="Times New Roman"/>
          <w:color w:val="000000"/>
          <w:sz w:val="24"/>
          <w:szCs w:val="24"/>
        </w:rPr>
        <w:t>иностранство</w:t>
      </w:r>
      <w:r w:rsidRPr="00CD5809">
        <w:rPr>
          <w:color w:val="000000"/>
        </w:rPr>
        <w:t>.</w:t>
      </w:r>
    </w:p>
    <w:p w:rsidR="00916BBB" w:rsidRDefault="00916BBB" w:rsidP="00F82B3A">
      <w:pPr>
        <w:shd w:val="clear" w:color="auto" w:fill="FFFFFF"/>
        <w:spacing w:after="0" w:line="285" w:lineRule="atLeast"/>
        <w:ind w:firstLine="360"/>
        <w:jc w:val="both"/>
        <w:rPr>
          <w:rFonts w:ascii="Times New Roman" w:hAnsi="Times New Roman"/>
          <w:color w:val="000000"/>
          <w:sz w:val="24"/>
          <w:szCs w:val="24"/>
          <w:lang w:val="sr-Cyrl-CS"/>
        </w:rPr>
      </w:pPr>
      <w:r>
        <w:rPr>
          <w:rFonts w:ascii="Times New Roman" w:hAnsi="Times New Roman"/>
          <w:color w:val="000000"/>
          <w:sz w:val="24"/>
          <w:szCs w:val="24"/>
          <w:lang w:val="sr-Cyrl-CS"/>
        </w:rPr>
        <w:t xml:space="preserve">Економска неутралност пореза на додату вредност произилази из иснститута претходног пореза, јер раније плаћен порез у претходној фази, не предстаља трошак за пореског обвезника, па је због тога претходни порез за пореског обвезника економски неутрала. </w:t>
      </w:r>
    </w:p>
    <w:p w:rsidR="00916BBB" w:rsidRDefault="00916BBB" w:rsidP="00F82B3A">
      <w:pPr>
        <w:shd w:val="clear" w:color="auto" w:fill="FFFFFF"/>
        <w:spacing w:after="0" w:line="285" w:lineRule="atLeast"/>
        <w:ind w:firstLine="360"/>
        <w:jc w:val="both"/>
        <w:rPr>
          <w:rFonts w:ascii="Times New Roman" w:hAnsi="Times New Roman"/>
          <w:color w:val="000000"/>
          <w:sz w:val="24"/>
          <w:szCs w:val="24"/>
          <w:lang w:val="sr-Cyrl-CS"/>
        </w:rPr>
      </w:pPr>
    </w:p>
    <w:p w:rsidR="004B25FC" w:rsidRDefault="00C87C5F" w:rsidP="00F82B3A">
      <w:pPr>
        <w:shd w:val="clear" w:color="auto" w:fill="FFFFFF"/>
        <w:spacing w:after="0" w:line="285" w:lineRule="atLeast"/>
        <w:ind w:firstLine="360"/>
        <w:jc w:val="both"/>
        <w:rPr>
          <w:rFonts w:ascii="Times New Roman" w:hAnsi="Times New Roman"/>
          <w:color w:val="000000"/>
          <w:sz w:val="24"/>
          <w:szCs w:val="24"/>
          <w:lang w:val="sr-Cyrl-CS"/>
        </w:rPr>
      </w:pPr>
      <w:r>
        <w:rPr>
          <w:rFonts w:ascii="Times New Roman" w:hAnsi="Times New Roman"/>
          <w:color w:val="000000"/>
          <w:sz w:val="24"/>
          <w:szCs w:val="24"/>
          <w:lang w:val="sr-Cyrl-CS"/>
        </w:rPr>
        <w:t>Порез на додату вредност има способност да захвата услуге без кумултивног ефекта, јер порез плаћен у петходној фази не улази у пореску основицу у следећој фази прометног циклуса. Овај порески облик пружа могућност да се с</w:t>
      </w:r>
      <w:r w:rsidR="00F82B3A">
        <w:rPr>
          <w:rFonts w:ascii="Times New Roman" w:hAnsi="Times New Roman"/>
          <w:color w:val="000000"/>
          <w:sz w:val="24"/>
          <w:szCs w:val="24"/>
          <w:lang w:val="sr-Cyrl-CS"/>
        </w:rPr>
        <w:t>ви inputi изузму од оп</w:t>
      </w:r>
      <w:r w:rsidR="00CD5809">
        <w:rPr>
          <w:rFonts w:ascii="Times New Roman" w:hAnsi="Times New Roman"/>
          <w:color w:val="000000"/>
          <w:sz w:val="24"/>
          <w:szCs w:val="24"/>
          <w:lang w:val="sr-Cyrl-CS"/>
        </w:rPr>
        <w:t>о</w:t>
      </w:r>
      <w:r w:rsidR="00F82B3A">
        <w:rPr>
          <w:rFonts w:ascii="Times New Roman" w:hAnsi="Times New Roman"/>
          <w:color w:val="000000"/>
          <w:sz w:val="24"/>
          <w:szCs w:val="24"/>
          <w:lang w:val="sr-Cyrl-CS"/>
        </w:rPr>
        <w:t>резивања. Купац је дужан да докуметује да је набављена средства корстио као input, што олакшава пореску контролу. Могућност да се све наб</w:t>
      </w:r>
      <w:r w:rsidR="00CD5809">
        <w:rPr>
          <w:rFonts w:ascii="Times New Roman" w:hAnsi="Times New Roman"/>
          <w:color w:val="000000"/>
          <w:sz w:val="24"/>
          <w:szCs w:val="24"/>
          <w:lang w:val="sr-Cyrl-CS"/>
        </w:rPr>
        <w:t>авке изузму од опрезивања не пос</w:t>
      </w:r>
      <w:r w:rsidR="00F82B3A">
        <w:rPr>
          <w:rFonts w:ascii="Times New Roman" w:hAnsi="Times New Roman"/>
          <w:color w:val="000000"/>
          <w:sz w:val="24"/>
          <w:szCs w:val="24"/>
          <w:lang w:val="sr-Cyrl-CS"/>
        </w:rPr>
        <w:t xml:space="preserve">тоји код пореза на промет у малопродаји, што је отварало простор за бројне злоупотребе, јер су се бројна средства могла користити и у производњи и у крајњој потрошњи. Коначно, </w:t>
      </w:r>
      <w:r w:rsidR="009F5D8A">
        <w:rPr>
          <w:rFonts w:ascii="Times New Roman" w:hAnsi="Times New Roman"/>
          <w:color w:val="000000"/>
          <w:sz w:val="24"/>
          <w:szCs w:val="24"/>
          <w:lang w:val="sr-Cyrl-CS"/>
        </w:rPr>
        <w:t>примена овог пореског облика је предуслов за повезивање са Европском унијом.</w:t>
      </w:r>
      <w:r w:rsidR="00F82B3A">
        <w:rPr>
          <w:rFonts w:ascii="Times New Roman" w:hAnsi="Times New Roman"/>
          <w:color w:val="000000"/>
          <w:sz w:val="24"/>
          <w:szCs w:val="24"/>
          <w:lang w:val="sr-Cyrl-CS"/>
        </w:rPr>
        <w:t xml:space="preserve">   </w:t>
      </w:r>
    </w:p>
    <w:p w:rsidR="009F5D8A" w:rsidRDefault="009F5D8A" w:rsidP="00F82B3A">
      <w:pPr>
        <w:shd w:val="clear" w:color="auto" w:fill="FFFFFF"/>
        <w:spacing w:after="0" w:line="285" w:lineRule="atLeast"/>
        <w:ind w:firstLine="360"/>
        <w:jc w:val="both"/>
        <w:rPr>
          <w:rFonts w:ascii="Times New Roman" w:hAnsi="Times New Roman"/>
          <w:color w:val="000000"/>
          <w:sz w:val="24"/>
          <w:szCs w:val="24"/>
          <w:lang w:val="sr-Cyrl-CS"/>
        </w:rPr>
      </w:pPr>
    </w:p>
    <w:p w:rsidR="009F5D8A" w:rsidRDefault="00CD5809" w:rsidP="00F82B3A">
      <w:pPr>
        <w:shd w:val="clear" w:color="auto" w:fill="FFFFFF"/>
        <w:spacing w:after="0" w:line="285" w:lineRule="atLeast"/>
        <w:ind w:firstLine="360"/>
        <w:jc w:val="both"/>
        <w:rPr>
          <w:rFonts w:ascii="Times New Roman" w:hAnsi="Times New Roman"/>
          <w:color w:val="000000"/>
          <w:sz w:val="24"/>
          <w:szCs w:val="24"/>
          <w:lang w:val="sr-Cyrl-CS"/>
        </w:rPr>
      </w:pPr>
      <w:r>
        <w:rPr>
          <w:rFonts w:ascii="Times New Roman" w:hAnsi="Times New Roman"/>
          <w:color w:val="000000"/>
          <w:sz w:val="24"/>
          <w:szCs w:val="24"/>
          <w:lang w:val="sr-Cyrl-CS"/>
        </w:rPr>
        <w:t xml:space="preserve">Међутим, </w:t>
      </w:r>
      <w:r w:rsidR="00455FAF">
        <w:rPr>
          <w:rFonts w:ascii="Times New Roman" w:hAnsi="Times New Roman"/>
          <w:color w:val="000000"/>
          <w:sz w:val="24"/>
          <w:szCs w:val="24"/>
          <w:lang w:val="sr-Cyrl-CS"/>
        </w:rPr>
        <w:t>овај порески облик поред добрих страна и</w:t>
      </w:r>
      <w:r w:rsidR="00FF1B10">
        <w:rPr>
          <w:rFonts w:ascii="Times New Roman" w:hAnsi="Times New Roman"/>
          <w:color w:val="000000"/>
          <w:sz w:val="24"/>
          <w:szCs w:val="24"/>
          <w:lang w:val="sr-Cyrl-CS"/>
        </w:rPr>
        <w:t>ма и одређене негативне особине, при чему</w:t>
      </w:r>
      <w:r w:rsidR="00455FAF">
        <w:rPr>
          <w:rFonts w:ascii="Times New Roman" w:hAnsi="Times New Roman"/>
          <w:color w:val="000000"/>
          <w:sz w:val="24"/>
          <w:szCs w:val="24"/>
          <w:lang w:val="sr-Cyrl-CS"/>
        </w:rPr>
        <w:t xml:space="preserve"> </w:t>
      </w:r>
      <w:r w:rsidR="00FF1B10">
        <w:rPr>
          <w:rFonts w:ascii="Times New Roman" w:hAnsi="Times New Roman"/>
          <w:color w:val="000000"/>
          <w:sz w:val="24"/>
          <w:szCs w:val="24"/>
          <w:lang w:val="sr-Cyrl-CS"/>
        </w:rPr>
        <w:t xml:space="preserve">треба имати у виду да он није замишљен као инструмент социјалне политике и да су његови основни квалитети неутралност и издашност. У финасијској литератури се указује </w:t>
      </w:r>
      <w:r w:rsidR="00455FAF">
        <w:rPr>
          <w:rFonts w:ascii="Times New Roman" w:hAnsi="Times New Roman"/>
          <w:color w:val="000000"/>
          <w:sz w:val="24"/>
          <w:szCs w:val="24"/>
          <w:lang w:val="sr-Cyrl-CS"/>
        </w:rPr>
        <w:t>да су главни недостаци овог пореза везани за процес његовог администрирања</w:t>
      </w:r>
      <w:r w:rsidR="00FF1B10">
        <w:rPr>
          <w:rFonts w:ascii="Times New Roman" w:hAnsi="Times New Roman"/>
          <w:color w:val="000000"/>
          <w:sz w:val="24"/>
          <w:szCs w:val="24"/>
          <w:lang w:val="sr-Cyrl-CS"/>
        </w:rPr>
        <w:t xml:space="preserve"> због тога што као </w:t>
      </w:r>
      <w:r w:rsidR="00455FAF">
        <w:rPr>
          <w:rFonts w:ascii="Times New Roman" w:hAnsi="Times New Roman"/>
          <w:color w:val="000000"/>
          <w:sz w:val="24"/>
          <w:szCs w:val="24"/>
          <w:lang w:val="sr-Cyrl-CS"/>
        </w:rPr>
        <w:t>компликованији порески облик подразумева стручност и способност за примену, како код порески</w:t>
      </w:r>
      <w:r w:rsidR="00FF1B10">
        <w:rPr>
          <w:rFonts w:ascii="Times New Roman" w:hAnsi="Times New Roman"/>
          <w:color w:val="000000"/>
          <w:sz w:val="24"/>
          <w:szCs w:val="24"/>
          <w:lang w:val="sr-Cyrl-CS"/>
        </w:rPr>
        <w:t xml:space="preserve">х органа тако и код обвезника. </w:t>
      </w:r>
      <w:r w:rsidR="00FF1B10">
        <w:rPr>
          <w:rFonts w:ascii="Times New Roman" w:hAnsi="Times New Roman"/>
          <w:color w:val="000000"/>
          <w:sz w:val="24"/>
          <w:szCs w:val="24"/>
          <w:lang w:val="sr-Cyrl-CS"/>
        </w:rPr>
        <w:lastRenderedPageBreak/>
        <w:t>При том, п</w:t>
      </w:r>
      <w:r w:rsidR="00455FAF">
        <w:rPr>
          <w:rFonts w:ascii="Times New Roman" w:hAnsi="Times New Roman"/>
          <w:color w:val="000000"/>
          <w:sz w:val="24"/>
          <w:szCs w:val="24"/>
          <w:lang w:val="sr-Cyrl-CS"/>
        </w:rPr>
        <w:t xml:space="preserve">орез на додату вредност </w:t>
      </w:r>
      <w:r w:rsidR="00FF1B10">
        <w:rPr>
          <w:rFonts w:ascii="Times New Roman" w:hAnsi="Times New Roman"/>
          <w:color w:val="000000"/>
          <w:sz w:val="24"/>
          <w:szCs w:val="24"/>
          <w:lang w:val="sr-Cyrl-CS"/>
        </w:rPr>
        <w:t xml:space="preserve">има релативно и апсолутно велики број пореских обвезника па </w:t>
      </w:r>
      <w:r w:rsidR="00455FAF">
        <w:rPr>
          <w:rFonts w:ascii="Times New Roman" w:hAnsi="Times New Roman"/>
          <w:color w:val="000000"/>
          <w:sz w:val="24"/>
          <w:szCs w:val="24"/>
          <w:lang w:val="sr-Cyrl-CS"/>
        </w:rPr>
        <w:t xml:space="preserve">је </w:t>
      </w:r>
      <w:r w:rsidR="00FF1B10">
        <w:rPr>
          <w:rFonts w:ascii="Times New Roman" w:hAnsi="Times New Roman"/>
          <w:color w:val="000000"/>
          <w:sz w:val="24"/>
          <w:szCs w:val="24"/>
          <w:lang w:val="sr-Cyrl-CS"/>
        </w:rPr>
        <w:t xml:space="preserve">самим тим </w:t>
      </w:r>
      <w:r w:rsidR="00455FAF">
        <w:rPr>
          <w:rFonts w:ascii="Times New Roman" w:hAnsi="Times New Roman"/>
          <w:color w:val="000000"/>
          <w:sz w:val="24"/>
          <w:szCs w:val="24"/>
          <w:lang w:val="sr-Cyrl-CS"/>
        </w:rPr>
        <w:t xml:space="preserve">нешто скупљи за наплату. </w:t>
      </w:r>
      <w:r w:rsidR="00FF1B10">
        <w:rPr>
          <w:rFonts w:ascii="Times New Roman" w:hAnsi="Times New Roman"/>
          <w:color w:val="000000"/>
          <w:sz w:val="24"/>
          <w:szCs w:val="24"/>
          <w:lang w:val="sr-Cyrl-CS"/>
        </w:rPr>
        <w:t xml:space="preserve">Осим тога </w:t>
      </w:r>
      <w:r w:rsidR="00455FAF">
        <w:rPr>
          <w:rFonts w:ascii="Times New Roman" w:hAnsi="Times New Roman"/>
          <w:color w:val="000000"/>
          <w:sz w:val="24"/>
          <w:szCs w:val="24"/>
          <w:lang w:val="sr-Cyrl-CS"/>
        </w:rPr>
        <w:t xml:space="preserve">инфлаторни </w:t>
      </w:r>
      <w:r w:rsidR="00157A8C">
        <w:rPr>
          <w:rFonts w:ascii="Times New Roman" w:hAnsi="Times New Roman"/>
          <w:color w:val="000000"/>
          <w:sz w:val="24"/>
          <w:szCs w:val="24"/>
          <w:lang w:val="sr-Cyrl-CS"/>
        </w:rPr>
        <w:t xml:space="preserve">потенцијал пореза на додату вредност </w:t>
      </w:r>
      <w:r w:rsidR="00FF1B10">
        <w:rPr>
          <w:rFonts w:ascii="Times New Roman" w:hAnsi="Times New Roman"/>
          <w:color w:val="000000"/>
          <w:sz w:val="24"/>
          <w:szCs w:val="24"/>
          <w:lang w:val="sr-Cyrl-CS"/>
        </w:rPr>
        <w:t xml:space="preserve">је </w:t>
      </w:r>
      <w:r w:rsidR="00157A8C">
        <w:rPr>
          <w:rFonts w:ascii="Times New Roman" w:hAnsi="Times New Roman"/>
          <w:color w:val="000000"/>
          <w:sz w:val="24"/>
          <w:szCs w:val="24"/>
          <w:lang w:val="sr-Cyrl-CS"/>
        </w:rPr>
        <w:t xml:space="preserve">већи јер погађа шири круг добара и </w:t>
      </w:r>
      <w:r>
        <w:rPr>
          <w:rFonts w:ascii="Times New Roman" w:hAnsi="Times New Roman"/>
          <w:color w:val="000000"/>
          <w:sz w:val="24"/>
          <w:szCs w:val="24"/>
          <w:lang w:val="sr-Cyrl-CS"/>
        </w:rPr>
        <w:t xml:space="preserve">услуга. </w:t>
      </w:r>
      <w:r w:rsidR="00FF1B10">
        <w:rPr>
          <w:rFonts w:ascii="Times New Roman" w:hAnsi="Times New Roman"/>
          <w:color w:val="000000"/>
          <w:sz w:val="24"/>
          <w:szCs w:val="24"/>
          <w:lang w:val="sr-Cyrl-CS"/>
        </w:rPr>
        <w:t>Овај порески облик је</w:t>
      </w:r>
      <w:r w:rsidR="00157A8C">
        <w:rPr>
          <w:rFonts w:ascii="Times New Roman" w:hAnsi="Times New Roman"/>
          <w:color w:val="000000"/>
          <w:sz w:val="24"/>
          <w:szCs w:val="24"/>
          <w:lang w:val="sr-Cyrl-CS"/>
        </w:rPr>
        <w:t xml:space="preserve"> изразито регресиван због врло рестриктивно постављених пореских стопа – једна општа и евентуално једна нижа као и нулта стопа само за опорезивање изво</w:t>
      </w:r>
      <w:r>
        <w:rPr>
          <w:rFonts w:ascii="Times New Roman" w:hAnsi="Times New Roman"/>
          <w:color w:val="000000"/>
          <w:sz w:val="24"/>
          <w:szCs w:val="24"/>
          <w:lang w:val="sr-Cyrl-CS"/>
        </w:rPr>
        <w:t xml:space="preserve">за. </w:t>
      </w:r>
      <w:r w:rsidR="00FF1B10">
        <w:rPr>
          <w:rFonts w:ascii="Times New Roman" w:hAnsi="Times New Roman"/>
          <w:color w:val="000000"/>
          <w:sz w:val="24"/>
          <w:szCs w:val="24"/>
          <w:lang w:val="sr-Cyrl-CS"/>
        </w:rPr>
        <w:t>П</w:t>
      </w:r>
      <w:r w:rsidR="00157A8C">
        <w:rPr>
          <w:rFonts w:ascii="Times New Roman" w:hAnsi="Times New Roman"/>
          <w:color w:val="000000"/>
          <w:sz w:val="24"/>
          <w:szCs w:val="24"/>
          <w:lang w:val="sr-Cyrl-CS"/>
        </w:rPr>
        <w:t>одразумева јединствено прописивање и применљивост на целој територији дражаве кој</w:t>
      </w:r>
      <w:r w:rsidR="00FF1B10">
        <w:rPr>
          <w:rFonts w:ascii="Times New Roman" w:hAnsi="Times New Roman"/>
          <w:color w:val="000000"/>
          <w:sz w:val="24"/>
          <w:szCs w:val="24"/>
          <w:lang w:val="sr-Cyrl-CS"/>
        </w:rPr>
        <w:t>а га уводи, а п</w:t>
      </w:r>
      <w:r w:rsidR="00157A8C">
        <w:rPr>
          <w:rFonts w:ascii="Times New Roman" w:hAnsi="Times New Roman"/>
          <w:color w:val="000000"/>
          <w:sz w:val="24"/>
          <w:szCs w:val="24"/>
          <w:lang w:val="sr-Cyrl-CS"/>
        </w:rPr>
        <w:t>р</w:t>
      </w:r>
      <w:r w:rsidR="00FF1B10">
        <w:rPr>
          <w:rFonts w:ascii="Times New Roman" w:hAnsi="Times New Roman"/>
          <w:color w:val="000000"/>
          <w:sz w:val="24"/>
          <w:szCs w:val="24"/>
          <w:lang w:val="sr-Cyrl-CS"/>
        </w:rPr>
        <w:t>описима се прецизно мора</w:t>
      </w:r>
      <w:r w:rsidR="00157A8C">
        <w:rPr>
          <w:rFonts w:ascii="Times New Roman" w:hAnsi="Times New Roman"/>
          <w:color w:val="000000"/>
          <w:sz w:val="24"/>
          <w:szCs w:val="24"/>
          <w:lang w:val="sr-Cyrl-CS"/>
        </w:rPr>
        <w:t xml:space="preserve"> уредити </w:t>
      </w:r>
      <w:r w:rsidR="00FF1B10">
        <w:rPr>
          <w:rFonts w:ascii="Times New Roman" w:hAnsi="Times New Roman"/>
          <w:color w:val="000000"/>
          <w:sz w:val="24"/>
          <w:szCs w:val="24"/>
          <w:lang w:val="sr-Cyrl-CS"/>
        </w:rPr>
        <w:t xml:space="preserve">подела </w:t>
      </w:r>
      <w:r w:rsidR="00157A8C">
        <w:rPr>
          <w:rFonts w:ascii="Times New Roman" w:hAnsi="Times New Roman"/>
          <w:color w:val="000000"/>
          <w:sz w:val="24"/>
          <w:szCs w:val="24"/>
          <w:lang w:val="sr-Cyrl-CS"/>
        </w:rPr>
        <w:t>пореских прихода између централне власти и федералних јединица</w:t>
      </w:r>
      <w:r w:rsidR="00FF1B10">
        <w:rPr>
          <w:rFonts w:ascii="Times New Roman" w:hAnsi="Times New Roman"/>
          <w:color w:val="000000"/>
          <w:sz w:val="24"/>
          <w:szCs w:val="24"/>
          <w:lang w:val="sr-Cyrl-CS"/>
        </w:rPr>
        <w:t>, што значи да</w:t>
      </w:r>
      <w:r w:rsidR="00FF1B10" w:rsidRPr="00FF1B10">
        <w:rPr>
          <w:rFonts w:ascii="Times New Roman" w:hAnsi="Times New Roman"/>
          <w:color w:val="000000"/>
          <w:sz w:val="24"/>
          <w:szCs w:val="24"/>
          <w:lang w:val="sr-Cyrl-CS"/>
        </w:rPr>
        <w:t xml:space="preserve"> </w:t>
      </w:r>
      <w:r w:rsidR="00FF1B10">
        <w:rPr>
          <w:rFonts w:ascii="Times New Roman" w:hAnsi="Times New Roman"/>
          <w:color w:val="000000"/>
          <w:sz w:val="24"/>
          <w:szCs w:val="24"/>
          <w:lang w:val="sr-Cyrl-CS"/>
        </w:rPr>
        <w:t>порез на додату вредност захтева централизацију пореске власти</w:t>
      </w:r>
      <w:r w:rsidR="00157A8C">
        <w:rPr>
          <w:rFonts w:ascii="Times New Roman" w:hAnsi="Times New Roman"/>
          <w:color w:val="000000"/>
          <w:sz w:val="24"/>
          <w:szCs w:val="24"/>
          <w:lang w:val="sr-Cyrl-CS"/>
        </w:rPr>
        <w:t>.</w:t>
      </w:r>
      <w:r w:rsidR="00B333D8">
        <w:rPr>
          <w:rStyle w:val="FootnoteReference"/>
          <w:rFonts w:ascii="Times New Roman" w:hAnsi="Times New Roman"/>
          <w:color w:val="000000"/>
          <w:sz w:val="24"/>
          <w:szCs w:val="24"/>
          <w:lang w:val="sr-Cyrl-CS"/>
        </w:rPr>
        <w:footnoteReference w:id="354"/>
      </w:r>
    </w:p>
    <w:p w:rsidR="00961361" w:rsidRDefault="00961361" w:rsidP="00F82B3A">
      <w:pPr>
        <w:shd w:val="clear" w:color="auto" w:fill="FFFFFF"/>
        <w:spacing w:after="0" w:line="285" w:lineRule="atLeast"/>
        <w:ind w:firstLine="360"/>
        <w:jc w:val="both"/>
        <w:rPr>
          <w:rFonts w:ascii="Times New Roman" w:hAnsi="Times New Roman"/>
          <w:color w:val="000000"/>
          <w:sz w:val="24"/>
          <w:szCs w:val="24"/>
          <w:lang w:val="sr-Cyrl-CS"/>
        </w:rPr>
      </w:pPr>
    </w:p>
    <w:p w:rsidR="00FF00BB" w:rsidRPr="00B427EE" w:rsidRDefault="00623D67" w:rsidP="00B427EE">
      <w:pPr>
        <w:shd w:val="clear" w:color="auto" w:fill="FFFFFF"/>
        <w:spacing w:after="0" w:line="285" w:lineRule="atLeast"/>
        <w:ind w:firstLine="360"/>
        <w:jc w:val="both"/>
        <w:rPr>
          <w:rFonts w:ascii="Times New Roman" w:hAnsi="Times New Roman"/>
          <w:color w:val="000000"/>
          <w:sz w:val="24"/>
          <w:szCs w:val="24"/>
          <w:lang w:val="sr-Cyrl-CS"/>
        </w:rPr>
      </w:pPr>
      <w:r>
        <w:rPr>
          <w:rFonts w:ascii="Times New Roman" w:hAnsi="Times New Roman"/>
          <w:color w:val="000000"/>
          <w:sz w:val="24"/>
          <w:szCs w:val="24"/>
          <w:lang w:val="sr-Cyrl-CS"/>
        </w:rPr>
        <w:t>Порез на додату вреднос</w:t>
      </w:r>
      <w:r w:rsidR="00DC2529">
        <w:rPr>
          <w:rFonts w:ascii="Times New Roman" w:hAnsi="Times New Roman"/>
          <w:color w:val="000000"/>
          <w:sz w:val="24"/>
          <w:szCs w:val="24"/>
          <w:lang w:val="sr-Cyrl-CS"/>
        </w:rPr>
        <w:t>т се заснива на принципу само</w:t>
      </w:r>
      <w:r w:rsidR="00961361">
        <w:rPr>
          <w:rFonts w:ascii="Times New Roman" w:hAnsi="Times New Roman"/>
          <w:color w:val="000000"/>
          <w:sz w:val="24"/>
          <w:szCs w:val="24"/>
          <w:lang w:val="sr-Cyrl-CS"/>
        </w:rPr>
        <w:t>опрезивања и фактурисане реализације.</w:t>
      </w:r>
      <w:r w:rsidR="00CD5809">
        <w:rPr>
          <w:rStyle w:val="FootnoteReference"/>
          <w:rFonts w:ascii="Times New Roman" w:hAnsi="Times New Roman"/>
          <w:color w:val="000000"/>
          <w:sz w:val="24"/>
          <w:szCs w:val="24"/>
          <w:lang w:val="sr-Cyrl-CS"/>
        </w:rPr>
        <w:footnoteReference w:id="355"/>
      </w:r>
      <w:r w:rsidR="00CD5809">
        <w:rPr>
          <w:rFonts w:ascii="Times New Roman" w:hAnsi="Times New Roman"/>
          <w:color w:val="000000"/>
          <w:sz w:val="24"/>
          <w:szCs w:val="24"/>
          <w:lang w:val="sr-Cyrl-CS"/>
        </w:rPr>
        <w:t xml:space="preserve"> </w:t>
      </w:r>
      <w:r w:rsidR="00CD5809" w:rsidRPr="00B427EE">
        <w:rPr>
          <w:rFonts w:ascii="Times New Roman" w:hAnsi="Times New Roman"/>
          <w:color w:val="000000"/>
          <w:sz w:val="24"/>
          <w:szCs w:val="24"/>
          <w:lang w:val="sr-Cyrl-CS"/>
        </w:rPr>
        <w:t>Наиме, п</w:t>
      </w:r>
      <w:r w:rsidR="006E41BA" w:rsidRPr="00B427EE">
        <w:rPr>
          <w:rFonts w:ascii="Times New Roman" w:hAnsi="Times New Roman"/>
          <w:color w:val="000000"/>
          <w:sz w:val="24"/>
          <w:szCs w:val="24"/>
          <w:lang w:val="sr-Cyrl-CS"/>
        </w:rPr>
        <w:t>орез на додату вредно</w:t>
      </w:r>
      <w:r w:rsidR="00CD5809" w:rsidRPr="00B427EE">
        <w:rPr>
          <w:rFonts w:ascii="Times New Roman" w:hAnsi="Times New Roman"/>
          <w:color w:val="000000"/>
          <w:sz w:val="24"/>
          <w:szCs w:val="24"/>
          <w:lang w:val="sr-Cyrl-CS"/>
        </w:rPr>
        <w:t>ст се утврђује самоопорезивањем.</w:t>
      </w:r>
      <w:r w:rsidR="006E41BA" w:rsidRPr="00B427EE">
        <w:rPr>
          <w:rFonts w:ascii="Times New Roman" w:hAnsi="Times New Roman"/>
          <w:color w:val="000000"/>
          <w:sz w:val="24"/>
          <w:szCs w:val="24"/>
          <w:lang w:val="sr-Cyrl-CS"/>
        </w:rPr>
        <w:t xml:space="preserve"> </w:t>
      </w:r>
      <w:r w:rsidR="00B427EE" w:rsidRPr="00B427EE">
        <w:rPr>
          <w:rFonts w:ascii="Times New Roman" w:hAnsi="Times New Roman"/>
          <w:color w:val="000000"/>
          <w:sz w:val="24"/>
          <w:szCs w:val="24"/>
        </w:rPr>
        <w:t>Обвезник</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је</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дужан</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да</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обрачунава</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ПДВ</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за</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одговарајући</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порески</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период</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на</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основу</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промета</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добара</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и</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услуга</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у</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том</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периоду</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ако</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је</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за</w:t>
      </w:r>
      <w:r w:rsidR="00CD5809"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њих</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настала</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пореска</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обавеза</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а</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обвезник</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је</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истовремено</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и</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порески</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дужник</w:t>
      </w:r>
      <w:r w:rsidR="00C46BA3" w:rsidRPr="00B427EE">
        <w:rPr>
          <w:rFonts w:ascii="Times New Roman" w:hAnsi="Times New Roman"/>
          <w:color w:val="000000"/>
          <w:sz w:val="24"/>
          <w:szCs w:val="24"/>
        </w:rPr>
        <w:t>.</w:t>
      </w:r>
      <w:r w:rsidR="00CD5809" w:rsidRPr="00B427EE">
        <w:rPr>
          <w:rFonts w:ascii="Times New Roman" w:hAnsi="Times New Roman"/>
          <w:color w:val="000000"/>
          <w:sz w:val="24"/>
          <w:szCs w:val="24"/>
          <w:lang w:val="sr-Cyrl-CS"/>
        </w:rPr>
        <w:t xml:space="preserve"> Поред тога, о</w:t>
      </w:r>
      <w:r w:rsidR="00B427EE" w:rsidRPr="00B427EE">
        <w:rPr>
          <w:rFonts w:ascii="Times New Roman" w:hAnsi="Times New Roman"/>
          <w:color w:val="000000"/>
          <w:sz w:val="24"/>
          <w:szCs w:val="24"/>
        </w:rPr>
        <w:t>бвезник</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за</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кога</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је</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порески</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период</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календарски</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месец</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подноси</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пореску</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пријаву</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надлежном</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пореском</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органу</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на</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прописаном</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обрасцу</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у</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року</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од</w:t>
      </w:r>
      <w:r w:rsidR="00FF00BB" w:rsidRPr="00B427EE">
        <w:rPr>
          <w:rFonts w:ascii="Times New Roman" w:hAnsi="Times New Roman"/>
          <w:color w:val="000000"/>
          <w:sz w:val="24"/>
          <w:szCs w:val="24"/>
        </w:rPr>
        <w:t xml:space="preserve"> 15 </w:t>
      </w:r>
      <w:r w:rsidR="00B427EE" w:rsidRPr="00B427EE">
        <w:rPr>
          <w:rFonts w:ascii="Times New Roman" w:hAnsi="Times New Roman"/>
          <w:color w:val="000000"/>
          <w:sz w:val="24"/>
          <w:szCs w:val="24"/>
        </w:rPr>
        <w:t>дана</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по</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истеку</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пореског</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периода</w:t>
      </w:r>
      <w:r w:rsidR="00FF00BB" w:rsidRPr="00B427EE">
        <w:rPr>
          <w:rFonts w:ascii="Times New Roman" w:hAnsi="Times New Roman"/>
          <w:color w:val="000000"/>
          <w:sz w:val="24"/>
          <w:szCs w:val="24"/>
        </w:rPr>
        <w:t>.</w:t>
      </w:r>
      <w:r w:rsidR="00CD5809" w:rsidRPr="00B427EE">
        <w:rPr>
          <w:rFonts w:ascii="Times New Roman" w:hAnsi="Times New Roman"/>
          <w:color w:val="000000"/>
          <w:sz w:val="24"/>
          <w:szCs w:val="24"/>
          <w:lang w:val="sr-Cyrl-CS"/>
        </w:rPr>
        <w:t xml:space="preserve"> </w:t>
      </w:r>
      <w:r w:rsidR="00B427EE" w:rsidRPr="00B427EE">
        <w:rPr>
          <w:rFonts w:ascii="Times New Roman" w:hAnsi="Times New Roman"/>
          <w:color w:val="000000"/>
          <w:sz w:val="24"/>
          <w:szCs w:val="24"/>
        </w:rPr>
        <w:t>Обвезник</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за</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кога</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је</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порески</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период</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календарско</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тромесечје</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подноси</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пореску</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пријаву</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надлежном</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пореском</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органу</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на</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прописаном</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обрасцу</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у</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року</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од</w:t>
      </w:r>
      <w:r w:rsidR="00FF00BB" w:rsidRPr="00B427EE">
        <w:rPr>
          <w:rFonts w:ascii="Times New Roman" w:hAnsi="Times New Roman"/>
          <w:color w:val="000000"/>
          <w:sz w:val="24"/>
          <w:szCs w:val="24"/>
        </w:rPr>
        <w:t xml:space="preserve"> 20 </w:t>
      </w:r>
      <w:r w:rsidR="00B427EE" w:rsidRPr="00B427EE">
        <w:rPr>
          <w:rFonts w:ascii="Times New Roman" w:hAnsi="Times New Roman"/>
          <w:color w:val="000000"/>
          <w:sz w:val="24"/>
          <w:szCs w:val="24"/>
        </w:rPr>
        <w:t>дана</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по</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истеку</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пореског</w:t>
      </w:r>
      <w:r w:rsidR="00CD5809"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периода</w:t>
      </w:r>
      <w:r w:rsidR="00CD5809" w:rsidRPr="00B427EE">
        <w:rPr>
          <w:rFonts w:ascii="Times New Roman" w:hAnsi="Times New Roman"/>
          <w:color w:val="000000"/>
          <w:sz w:val="24"/>
          <w:szCs w:val="24"/>
          <w:lang w:val="sr-Cyrl-CS"/>
        </w:rPr>
        <w:t xml:space="preserve">. </w:t>
      </w:r>
      <w:r w:rsidR="00B427EE" w:rsidRPr="00B427EE">
        <w:rPr>
          <w:rFonts w:ascii="Times New Roman" w:hAnsi="Times New Roman"/>
          <w:color w:val="000000"/>
          <w:sz w:val="24"/>
          <w:szCs w:val="24"/>
        </w:rPr>
        <w:t>Обвезник</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подноси</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пореску</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пријаву</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независно</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од</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тога</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да</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ли</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у</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пореском</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периоду</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има</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обавезу</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плаћања</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ПДВ</w:t>
      </w:r>
      <w:r w:rsidR="00FF00BB" w:rsidRPr="00B427EE">
        <w:rPr>
          <w:rFonts w:ascii="Times New Roman" w:hAnsi="Times New Roman"/>
          <w:color w:val="000000"/>
          <w:sz w:val="24"/>
          <w:szCs w:val="24"/>
        </w:rPr>
        <w:t>.</w:t>
      </w:r>
      <w:r w:rsidR="00CD5809" w:rsidRPr="00B427EE">
        <w:rPr>
          <w:rFonts w:ascii="Times New Roman" w:hAnsi="Times New Roman"/>
          <w:color w:val="000000"/>
          <w:sz w:val="24"/>
          <w:szCs w:val="24"/>
          <w:lang w:val="sr-Cyrl-CS"/>
        </w:rPr>
        <w:t xml:space="preserve"> </w:t>
      </w:r>
      <w:r w:rsidR="00B427EE" w:rsidRPr="00B427EE">
        <w:rPr>
          <w:rFonts w:ascii="Times New Roman" w:hAnsi="Times New Roman"/>
          <w:color w:val="000000"/>
          <w:sz w:val="24"/>
          <w:szCs w:val="24"/>
        </w:rPr>
        <w:t>Пореску</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пријаву</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дужни</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су</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да</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поднесу</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и</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порески</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дужници</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који</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нису</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обвезници</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ПДВ</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у</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року</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од</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десет</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дана</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по</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истеку</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пореског</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периода</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у</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којем</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је</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настала</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пореска</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обавеза</w:t>
      </w:r>
      <w:r w:rsidR="00FF00BB" w:rsidRPr="00B427EE">
        <w:rPr>
          <w:rFonts w:ascii="Times New Roman" w:hAnsi="Times New Roman"/>
          <w:color w:val="000000"/>
          <w:sz w:val="24"/>
          <w:szCs w:val="24"/>
        </w:rPr>
        <w:t>.</w:t>
      </w:r>
      <w:r w:rsidR="00364867" w:rsidRPr="00B427EE">
        <w:rPr>
          <w:rFonts w:ascii="Times New Roman" w:hAnsi="Times New Roman"/>
          <w:color w:val="000000"/>
          <w:sz w:val="24"/>
          <w:szCs w:val="24"/>
          <w:lang w:val="sr-Cyrl-CS"/>
        </w:rPr>
        <w:t xml:space="preserve"> Иначе, овакво регулисање представља новину јер је раније</w:t>
      </w:r>
      <w:r w:rsidR="00FF00BB" w:rsidRPr="00B427EE">
        <w:rPr>
          <w:rFonts w:ascii="Times New Roman" w:hAnsi="Times New Roman"/>
          <w:color w:val="000000"/>
          <w:sz w:val="24"/>
          <w:szCs w:val="24"/>
          <w:lang w:val="sr-Cyrl-CS"/>
        </w:rPr>
        <w:t xml:space="preserve"> </w:t>
      </w:r>
      <w:r w:rsidR="00364867" w:rsidRPr="00B427EE">
        <w:rPr>
          <w:rFonts w:ascii="Times New Roman" w:hAnsi="Times New Roman"/>
          <w:bCs/>
          <w:color w:val="000000"/>
          <w:sz w:val="24"/>
          <w:szCs w:val="24"/>
          <w:lang w:val="sr-Cyrl-CS"/>
        </w:rPr>
        <w:t>било регулисано да</w:t>
      </w:r>
      <w:r w:rsidR="00364867" w:rsidRPr="00B427EE">
        <w:rPr>
          <w:rFonts w:ascii="Times New Roman" w:hAnsi="Times New Roman"/>
          <w:b/>
          <w:bCs/>
          <w:color w:val="000000"/>
          <w:sz w:val="24"/>
          <w:szCs w:val="24"/>
          <w:lang w:val="sr-Cyrl-CS"/>
        </w:rPr>
        <w:t xml:space="preserve"> </w:t>
      </w:r>
      <w:r w:rsidR="00364867" w:rsidRPr="00B427EE">
        <w:rPr>
          <w:rFonts w:ascii="Times New Roman" w:hAnsi="Times New Roman"/>
          <w:color w:val="000000"/>
          <w:sz w:val="24"/>
          <w:szCs w:val="24"/>
          <w:lang w:val="sr-Cyrl-CS"/>
        </w:rPr>
        <w:t>о</w:t>
      </w:r>
      <w:r w:rsidR="00B427EE" w:rsidRPr="00B427EE">
        <w:rPr>
          <w:rFonts w:ascii="Times New Roman" w:hAnsi="Times New Roman"/>
          <w:color w:val="000000"/>
          <w:sz w:val="24"/>
          <w:szCs w:val="24"/>
        </w:rPr>
        <w:t>бвезник</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подноси</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пореску</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пријаву</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надлежном</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пореском</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органу</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на</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прописаном</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обрасцу</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у</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року</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од</w:t>
      </w:r>
      <w:r w:rsidR="00FF00BB" w:rsidRPr="00B427EE">
        <w:rPr>
          <w:rFonts w:ascii="Times New Roman" w:hAnsi="Times New Roman"/>
          <w:color w:val="000000"/>
          <w:sz w:val="24"/>
          <w:szCs w:val="24"/>
        </w:rPr>
        <w:t xml:space="preserve"> 10 </w:t>
      </w:r>
      <w:r w:rsidR="00B427EE" w:rsidRPr="00B427EE">
        <w:rPr>
          <w:rFonts w:ascii="Times New Roman" w:hAnsi="Times New Roman"/>
          <w:color w:val="000000"/>
          <w:sz w:val="24"/>
          <w:szCs w:val="24"/>
        </w:rPr>
        <w:t>дана</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по</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истеку</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пореског</w:t>
      </w:r>
      <w:r w:rsidR="00FF00BB"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периода</w:t>
      </w:r>
      <w:r w:rsidR="00FF00BB" w:rsidRPr="00B427EE">
        <w:rPr>
          <w:rFonts w:ascii="Times New Roman" w:hAnsi="Times New Roman"/>
          <w:color w:val="000000"/>
          <w:sz w:val="24"/>
          <w:szCs w:val="24"/>
        </w:rPr>
        <w:t>.</w:t>
      </w:r>
      <w:r w:rsidR="00364867" w:rsidRPr="00B427EE">
        <w:rPr>
          <w:rStyle w:val="FootnoteReference"/>
          <w:rFonts w:ascii="Times New Roman" w:hAnsi="Times New Roman"/>
          <w:color w:val="000000"/>
          <w:sz w:val="24"/>
          <w:szCs w:val="24"/>
        </w:rPr>
        <w:footnoteReference w:id="356"/>
      </w:r>
      <w:r w:rsidR="00364867" w:rsidRPr="00B427EE">
        <w:rPr>
          <w:rFonts w:ascii="Times New Roman" w:hAnsi="Times New Roman"/>
          <w:color w:val="000000"/>
          <w:sz w:val="24"/>
          <w:szCs w:val="24"/>
          <w:lang w:val="sr-Cyrl-CS"/>
        </w:rPr>
        <w:t xml:space="preserve"> </w:t>
      </w:r>
    </w:p>
    <w:p w:rsidR="006E41BA" w:rsidRPr="00B427EE" w:rsidRDefault="006E41BA" w:rsidP="00B427EE">
      <w:pPr>
        <w:shd w:val="clear" w:color="auto" w:fill="FFFFFF"/>
        <w:spacing w:after="0" w:line="285" w:lineRule="atLeast"/>
        <w:ind w:firstLine="360"/>
        <w:jc w:val="both"/>
        <w:rPr>
          <w:rFonts w:ascii="Times New Roman" w:hAnsi="Times New Roman"/>
          <w:color w:val="000000"/>
          <w:sz w:val="24"/>
          <w:szCs w:val="24"/>
          <w:lang w:val="sr-Cyrl-CS"/>
        </w:rPr>
      </w:pPr>
    </w:p>
    <w:p w:rsidR="00C46BA3" w:rsidRPr="00B427EE" w:rsidRDefault="00C926C9" w:rsidP="00B427EE">
      <w:pPr>
        <w:shd w:val="clear" w:color="auto" w:fill="FFFFFF"/>
        <w:spacing w:after="0" w:line="285" w:lineRule="atLeast"/>
        <w:ind w:firstLine="360"/>
        <w:jc w:val="both"/>
        <w:rPr>
          <w:rFonts w:ascii="Times New Roman" w:hAnsi="Times New Roman"/>
          <w:color w:val="000000"/>
          <w:sz w:val="24"/>
          <w:szCs w:val="24"/>
          <w:lang w:val="sr-Cyrl-CS"/>
        </w:rPr>
      </w:pPr>
      <w:r w:rsidRPr="00B427EE">
        <w:rPr>
          <w:rFonts w:ascii="Times New Roman" w:hAnsi="Times New Roman"/>
          <w:color w:val="000000"/>
          <w:sz w:val="24"/>
          <w:szCs w:val="24"/>
          <w:lang w:val="sr-Cyrl-CS"/>
        </w:rPr>
        <w:t>Порески период</w:t>
      </w:r>
      <w:r w:rsidR="00364867" w:rsidRPr="00B427EE">
        <w:rPr>
          <w:rStyle w:val="FootnoteReference"/>
          <w:rFonts w:ascii="Times New Roman" w:hAnsi="Times New Roman"/>
          <w:color w:val="000000"/>
          <w:sz w:val="24"/>
          <w:szCs w:val="24"/>
          <w:lang w:val="sr-Cyrl-CS"/>
        </w:rPr>
        <w:footnoteReference w:id="357"/>
      </w:r>
      <w:r w:rsidRPr="00B427EE">
        <w:rPr>
          <w:rFonts w:ascii="Times New Roman" w:hAnsi="Times New Roman"/>
          <w:color w:val="000000"/>
          <w:sz w:val="24"/>
          <w:szCs w:val="24"/>
          <w:lang w:val="sr-Cyrl-CS"/>
        </w:rPr>
        <w:t xml:space="preserve"> ј</w:t>
      </w:r>
      <w:r w:rsidR="00364867" w:rsidRPr="00B427EE">
        <w:rPr>
          <w:rFonts w:ascii="Times New Roman" w:hAnsi="Times New Roman"/>
          <w:color w:val="000000"/>
          <w:sz w:val="24"/>
          <w:szCs w:val="24"/>
          <w:lang w:val="sr-Cyrl-CS"/>
        </w:rPr>
        <w:t xml:space="preserve">е </w:t>
      </w:r>
      <w:r w:rsidR="00B427EE" w:rsidRPr="00B427EE">
        <w:rPr>
          <w:rFonts w:ascii="Times New Roman" w:hAnsi="Times New Roman"/>
          <w:color w:val="000000"/>
          <w:sz w:val="24"/>
          <w:szCs w:val="24"/>
        </w:rPr>
        <w:t>календарски</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месец</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за</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обвезника</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који</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је</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у</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претходних</w:t>
      </w:r>
      <w:r w:rsidR="00C46BA3" w:rsidRPr="00B427EE">
        <w:rPr>
          <w:rFonts w:ascii="Times New Roman" w:hAnsi="Times New Roman"/>
          <w:color w:val="000000"/>
          <w:sz w:val="24"/>
          <w:szCs w:val="24"/>
        </w:rPr>
        <w:t xml:space="preserve"> 12 </w:t>
      </w:r>
      <w:r w:rsidR="00B427EE" w:rsidRPr="00B427EE">
        <w:rPr>
          <w:rFonts w:ascii="Times New Roman" w:hAnsi="Times New Roman"/>
          <w:color w:val="000000"/>
          <w:sz w:val="24"/>
          <w:szCs w:val="24"/>
        </w:rPr>
        <w:t>месеци</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остварио</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укупан</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промет</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већи</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од</w:t>
      </w:r>
      <w:r w:rsidR="00C46BA3" w:rsidRPr="00B427EE">
        <w:rPr>
          <w:rFonts w:ascii="Times New Roman" w:hAnsi="Times New Roman"/>
          <w:color w:val="000000"/>
          <w:sz w:val="24"/>
          <w:szCs w:val="24"/>
        </w:rPr>
        <w:t xml:space="preserve"> 50.000.000 </w:t>
      </w:r>
      <w:r w:rsidR="00B427EE" w:rsidRPr="00B427EE">
        <w:rPr>
          <w:rFonts w:ascii="Times New Roman" w:hAnsi="Times New Roman"/>
          <w:color w:val="000000"/>
          <w:sz w:val="24"/>
          <w:szCs w:val="24"/>
        </w:rPr>
        <w:t>динара</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или</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процењује</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да</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ће</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у</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lastRenderedPageBreak/>
        <w:t>наредних</w:t>
      </w:r>
      <w:r w:rsidR="00C46BA3" w:rsidRPr="00B427EE">
        <w:rPr>
          <w:rFonts w:ascii="Times New Roman" w:hAnsi="Times New Roman"/>
          <w:color w:val="000000"/>
          <w:sz w:val="24"/>
          <w:szCs w:val="24"/>
        </w:rPr>
        <w:t xml:space="preserve"> 12 </w:t>
      </w:r>
      <w:r w:rsidR="00B427EE" w:rsidRPr="00B427EE">
        <w:rPr>
          <w:rFonts w:ascii="Times New Roman" w:hAnsi="Times New Roman"/>
          <w:color w:val="000000"/>
          <w:sz w:val="24"/>
          <w:szCs w:val="24"/>
        </w:rPr>
        <w:t>месеци</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остварити</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укупан</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промет</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већи</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од</w:t>
      </w:r>
      <w:r w:rsidR="00C46BA3" w:rsidRPr="00B427EE">
        <w:rPr>
          <w:rFonts w:ascii="Times New Roman" w:hAnsi="Times New Roman"/>
          <w:color w:val="000000"/>
          <w:sz w:val="24"/>
          <w:szCs w:val="24"/>
        </w:rPr>
        <w:t xml:space="preserve"> 50.000.000 </w:t>
      </w:r>
      <w:r w:rsidR="00B427EE" w:rsidRPr="00B427EE">
        <w:rPr>
          <w:rFonts w:ascii="Times New Roman" w:hAnsi="Times New Roman"/>
          <w:color w:val="000000"/>
          <w:sz w:val="24"/>
          <w:szCs w:val="24"/>
        </w:rPr>
        <w:t>динара</w:t>
      </w:r>
      <w:r w:rsidR="00C46BA3" w:rsidRPr="00B427EE">
        <w:rPr>
          <w:rFonts w:ascii="Times New Roman" w:hAnsi="Times New Roman"/>
          <w:color w:val="000000"/>
          <w:sz w:val="24"/>
          <w:szCs w:val="24"/>
        </w:rPr>
        <w:t xml:space="preserve">, </w:t>
      </w:r>
      <w:r w:rsidR="00364867" w:rsidRPr="00B427EE">
        <w:rPr>
          <w:rFonts w:ascii="Times New Roman" w:hAnsi="Times New Roman"/>
          <w:color w:val="000000"/>
          <w:sz w:val="24"/>
          <w:szCs w:val="24"/>
          <w:lang w:val="sr-Cyrl-CS"/>
        </w:rPr>
        <w:t xml:space="preserve">или календарско тромесечје за обвезника </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за</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обвезника</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који</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је</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у</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претходних</w:t>
      </w:r>
      <w:r w:rsidR="00C46BA3" w:rsidRPr="00B427EE">
        <w:rPr>
          <w:rFonts w:ascii="Times New Roman" w:hAnsi="Times New Roman"/>
          <w:color w:val="000000"/>
          <w:sz w:val="24"/>
          <w:szCs w:val="24"/>
        </w:rPr>
        <w:t xml:space="preserve"> 12 </w:t>
      </w:r>
      <w:r w:rsidR="00B427EE" w:rsidRPr="00B427EE">
        <w:rPr>
          <w:rFonts w:ascii="Times New Roman" w:hAnsi="Times New Roman"/>
          <w:color w:val="000000"/>
          <w:sz w:val="24"/>
          <w:szCs w:val="24"/>
        </w:rPr>
        <w:t>месеци</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остварио</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укупан</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промет</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мањи</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од</w:t>
      </w:r>
      <w:r w:rsidR="00C46BA3" w:rsidRPr="00B427EE">
        <w:rPr>
          <w:rFonts w:ascii="Times New Roman" w:hAnsi="Times New Roman"/>
          <w:color w:val="000000"/>
          <w:sz w:val="24"/>
          <w:szCs w:val="24"/>
        </w:rPr>
        <w:t xml:space="preserve"> 50.000.000 </w:t>
      </w:r>
      <w:r w:rsidR="00B427EE" w:rsidRPr="00B427EE">
        <w:rPr>
          <w:rFonts w:ascii="Times New Roman" w:hAnsi="Times New Roman"/>
          <w:color w:val="000000"/>
          <w:sz w:val="24"/>
          <w:szCs w:val="24"/>
        </w:rPr>
        <w:t>динара</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или</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процењује</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да</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ће</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у</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наредних</w:t>
      </w:r>
      <w:r w:rsidR="00C46BA3" w:rsidRPr="00B427EE">
        <w:rPr>
          <w:rFonts w:ascii="Times New Roman" w:hAnsi="Times New Roman"/>
          <w:color w:val="000000"/>
          <w:sz w:val="24"/>
          <w:szCs w:val="24"/>
        </w:rPr>
        <w:t xml:space="preserve"> 12 </w:t>
      </w:r>
      <w:r w:rsidR="00B427EE" w:rsidRPr="00B427EE">
        <w:rPr>
          <w:rFonts w:ascii="Times New Roman" w:hAnsi="Times New Roman"/>
          <w:color w:val="000000"/>
          <w:sz w:val="24"/>
          <w:szCs w:val="24"/>
        </w:rPr>
        <w:t>месеци</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остварити</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укупан</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промет</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мањи</w:t>
      </w:r>
      <w:r w:rsidR="00C46BA3" w:rsidRPr="00B427EE">
        <w:rPr>
          <w:rFonts w:ascii="Times New Roman" w:hAnsi="Times New Roman"/>
          <w:color w:val="000000"/>
          <w:sz w:val="24"/>
          <w:szCs w:val="24"/>
        </w:rPr>
        <w:t xml:space="preserve"> </w:t>
      </w:r>
      <w:r w:rsidR="00B427EE" w:rsidRPr="00B427EE">
        <w:rPr>
          <w:rFonts w:ascii="Times New Roman" w:hAnsi="Times New Roman"/>
          <w:color w:val="000000"/>
          <w:sz w:val="24"/>
          <w:szCs w:val="24"/>
        </w:rPr>
        <w:t>од</w:t>
      </w:r>
      <w:r w:rsidR="00364867" w:rsidRPr="00B427EE">
        <w:rPr>
          <w:rFonts w:ascii="Times New Roman" w:hAnsi="Times New Roman"/>
          <w:color w:val="000000"/>
          <w:sz w:val="24"/>
          <w:szCs w:val="24"/>
        </w:rPr>
        <w:t xml:space="preserve"> 50.000.000 </w:t>
      </w:r>
      <w:r w:rsidR="00B427EE" w:rsidRPr="00B427EE">
        <w:rPr>
          <w:rFonts w:ascii="Times New Roman" w:hAnsi="Times New Roman"/>
          <w:color w:val="000000"/>
          <w:sz w:val="24"/>
          <w:szCs w:val="24"/>
        </w:rPr>
        <w:t>динара</w:t>
      </w:r>
      <w:r w:rsidR="00C46BA3" w:rsidRPr="00B427EE">
        <w:rPr>
          <w:rFonts w:ascii="Times New Roman" w:hAnsi="Times New Roman"/>
          <w:color w:val="000000"/>
          <w:sz w:val="24"/>
          <w:szCs w:val="24"/>
        </w:rPr>
        <w:t>.</w:t>
      </w:r>
    </w:p>
    <w:p w:rsidR="00C46BA3" w:rsidRPr="00B427EE" w:rsidRDefault="00C46BA3" w:rsidP="00B427EE">
      <w:pPr>
        <w:pStyle w:val="normal0"/>
        <w:shd w:val="clear" w:color="auto" w:fill="FFFFFF"/>
        <w:spacing w:before="48" w:beforeAutospacing="0" w:after="48" w:afterAutospacing="0"/>
        <w:jc w:val="both"/>
        <w:rPr>
          <w:color w:val="000000"/>
          <w:lang w:val="sr-Cyrl-CS"/>
        </w:rPr>
      </w:pPr>
    </w:p>
    <w:p w:rsidR="00C46BA3" w:rsidRPr="00B427EE" w:rsidRDefault="00364867" w:rsidP="00B427EE">
      <w:pPr>
        <w:pStyle w:val="normal0"/>
        <w:shd w:val="clear" w:color="auto" w:fill="FFFFFF"/>
        <w:spacing w:before="48" w:beforeAutospacing="0" w:after="48" w:afterAutospacing="0"/>
        <w:ind w:firstLine="708"/>
        <w:jc w:val="both"/>
        <w:rPr>
          <w:color w:val="000000"/>
          <w:lang w:val="sr-Cyrl-CS"/>
        </w:rPr>
      </w:pPr>
      <w:r w:rsidRPr="00B427EE">
        <w:rPr>
          <w:color w:val="000000"/>
          <w:lang w:val="sr-Cyrl-CS"/>
        </w:rPr>
        <w:t xml:space="preserve"> </w:t>
      </w:r>
      <w:r w:rsidR="00FD03A3" w:rsidRPr="00B427EE">
        <w:rPr>
          <w:color w:val="000000"/>
          <w:lang w:val="sr-Cyrl-CS"/>
        </w:rPr>
        <w:t>Обвезник уплаћује износ пореза који треба да плати преко фактура где је продавац, умањујући га за износе пореза иск</w:t>
      </w:r>
      <w:r w:rsidRPr="00B427EE">
        <w:rPr>
          <w:color w:val="000000"/>
          <w:lang w:val="sr-Cyrl-CS"/>
        </w:rPr>
        <w:t>азазане у фактурама својих снабд</w:t>
      </w:r>
      <w:r w:rsidR="00FD03A3" w:rsidRPr="00B427EE">
        <w:rPr>
          <w:color w:val="000000"/>
          <w:lang w:val="sr-Cyrl-CS"/>
        </w:rPr>
        <w:t>евача (онима који су му вршили испоруке). Ако је порез исказан у фактурама излаза већи од пореза на фактурама улаза, разлика се уп</w:t>
      </w:r>
      <w:r w:rsidR="008B0ABE" w:rsidRPr="00B427EE">
        <w:rPr>
          <w:color w:val="000000"/>
          <w:lang w:val="sr-Cyrl-CS"/>
        </w:rPr>
        <w:t>лаћује на одговарајући рачун буџ</w:t>
      </w:r>
      <w:r w:rsidR="00FD03A3" w:rsidRPr="00B427EE">
        <w:rPr>
          <w:color w:val="000000"/>
          <w:lang w:val="sr-Cyrl-CS"/>
        </w:rPr>
        <w:t>ета.</w:t>
      </w:r>
      <w:r w:rsidRPr="00B427EE">
        <w:rPr>
          <w:color w:val="000000"/>
          <w:lang w:val="sr-Cyrl-CS"/>
        </w:rPr>
        <w:t xml:space="preserve"> </w:t>
      </w:r>
    </w:p>
    <w:p w:rsidR="00FD03A3" w:rsidRPr="00B427EE" w:rsidRDefault="00FD03A3" w:rsidP="00B427EE">
      <w:pPr>
        <w:pStyle w:val="normal0"/>
        <w:shd w:val="clear" w:color="auto" w:fill="FFFFFF"/>
        <w:spacing w:before="48" w:beforeAutospacing="0" w:after="48" w:afterAutospacing="0"/>
        <w:jc w:val="both"/>
        <w:rPr>
          <w:color w:val="000000"/>
          <w:lang w:val="sr-Cyrl-CS"/>
        </w:rPr>
      </w:pPr>
    </w:p>
    <w:p w:rsidR="00FD03A3" w:rsidRPr="00B427EE" w:rsidRDefault="00FD03A3" w:rsidP="00B427EE">
      <w:pPr>
        <w:pStyle w:val="normal0"/>
        <w:shd w:val="clear" w:color="auto" w:fill="FFFFFF"/>
        <w:spacing w:before="48" w:beforeAutospacing="0" w:after="48" w:afterAutospacing="0"/>
        <w:jc w:val="both"/>
        <w:rPr>
          <w:color w:val="000000"/>
          <w:lang w:val="sr-Cyrl-CS"/>
        </w:rPr>
      </w:pPr>
      <w:r w:rsidRPr="00B427EE">
        <w:rPr>
          <w:color w:val="000000"/>
          <w:lang w:val="sr-Cyrl-CS"/>
        </w:rPr>
        <w:t>Пореска обавеза – Претходни порез   =   Износ пореза за уплату</w:t>
      </w:r>
    </w:p>
    <w:p w:rsidR="00FD03A3" w:rsidRPr="00B427EE" w:rsidRDefault="00FD03A3" w:rsidP="00B427EE">
      <w:pPr>
        <w:pStyle w:val="normal0"/>
        <w:shd w:val="clear" w:color="auto" w:fill="FFFFFF"/>
        <w:spacing w:before="48" w:beforeAutospacing="0" w:after="48" w:afterAutospacing="0"/>
        <w:jc w:val="both"/>
        <w:rPr>
          <w:color w:val="000000"/>
          <w:lang w:val="sr-Cyrl-CS"/>
        </w:rPr>
      </w:pPr>
      <w:r w:rsidRPr="00B427EE">
        <w:rPr>
          <w:color w:val="000000"/>
          <w:lang w:val="sr-Cyrl-CS"/>
        </w:rPr>
        <w:t>1.000 динара            200 динара                 800 динара</w:t>
      </w:r>
    </w:p>
    <w:p w:rsidR="00FD03A3" w:rsidRPr="00B427EE" w:rsidRDefault="00FD03A3" w:rsidP="00B427EE">
      <w:pPr>
        <w:pStyle w:val="normal0"/>
        <w:shd w:val="clear" w:color="auto" w:fill="FFFFFF"/>
        <w:spacing w:before="48" w:beforeAutospacing="0" w:after="48" w:afterAutospacing="0"/>
        <w:jc w:val="both"/>
        <w:rPr>
          <w:color w:val="000000"/>
          <w:lang w:val="sr-Cyrl-CS"/>
        </w:rPr>
      </w:pPr>
    </w:p>
    <w:p w:rsidR="00FD03A3" w:rsidRPr="00B427EE" w:rsidRDefault="00FD03A3" w:rsidP="00B427EE">
      <w:pPr>
        <w:pStyle w:val="normal0"/>
        <w:shd w:val="clear" w:color="auto" w:fill="FFFFFF"/>
        <w:spacing w:before="48" w:beforeAutospacing="0" w:after="48" w:afterAutospacing="0"/>
        <w:ind w:firstLine="708"/>
        <w:jc w:val="both"/>
        <w:rPr>
          <w:color w:val="000000"/>
          <w:lang w:val="sr-Cyrl-CS"/>
        </w:rPr>
      </w:pPr>
      <w:r w:rsidRPr="00B427EE">
        <w:rPr>
          <w:color w:val="000000"/>
          <w:lang w:val="sr-Cyrl-CS"/>
        </w:rPr>
        <w:t>Међутим, ако је на набавке плаћен већи порез</w:t>
      </w:r>
      <w:r w:rsidR="006F115E">
        <w:rPr>
          <w:color w:val="000000"/>
          <w:lang w:val="sr-Cyrl-CS"/>
        </w:rPr>
        <w:t xml:space="preserve"> од онога који треба да се испла</w:t>
      </w:r>
      <w:r w:rsidRPr="00B427EE">
        <w:rPr>
          <w:color w:val="000000"/>
          <w:lang w:val="sr-Cyrl-CS"/>
        </w:rPr>
        <w:t>ти на испоруке, стиче се право на повраћај или на порески кредит у наредном пореском периоду.</w:t>
      </w:r>
    </w:p>
    <w:p w:rsidR="00FD03A3" w:rsidRPr="00B427EE" w:rsidRDefault="00FD03A3" w:rsidP="00B427EE">
      <w:pPr>
        <w:pStyle w:val="normal0"/>
        <w:shd w:val="clear" w:color="auto" w:fill="FFFFFF"/>
        <w:spacing w:before="48" w:beforeAutospacing="0" w:after="48" w:afterAutospacing="0"/>
        <w:jc w:val="both"/>
        <w:rPr>
          <w:color w:val="000000"/>
          <w:lang w:val="sr-Cyrl-CS"/>
        </w:rPr>
      </w:pPr>
    </w:p>
    <w:p w:rsidR="00FD03A3" w:rsidRPr="00B427EE" w:rsidRDefault="00FD03A3" w:rsidP="00B427EE">
      <w:pPr>
        <w:pStyle w:val="normal0"/>
        <w:shd w:val="clear" w:color="auto" w:fill="FFFFFF"/>
        <w:spacing w:before="48" w:beforeAutospacing="0" w:after="48" w:afterAutospacing="0"/>
        <w:jc w:val="both"/>
        <w:rPr>
          <w:color w:val="000000"/>
          <w:lang w:val="sr-Cyrl-CS"/>
        </w:rPr>
      </w:pPr>
      <w:r w:rsidRPr="00B427EE">
        <w:rPr>
          <w:color w:val="000000"/>
          <w:lang w:val="sr-Cyrl-CS"/>
        </w:rPr>
        <w:t>Пореска обавеза – Претходни порез    = Износ повраћаја</w:t>
      </w:r>
    </w:p>
    <w:p w:rsidR="00FD03A3" w:rsidRPr="00B427EE" w:rsidRDefault="00FD03A3" w:rsidP="00B427EE">
      <w:pPr>
        <w:pStyle w:val="normal0"/>
        <w:shd w:val="clear" w:color="auto" w:fill="FFFFFF"/>
        <w:spacing w:before="48" w:beforeAutospacing="0" w:after="48" w:afterAutospacing="0"/>
        <w:jc w:val="both"/>
        <w:rPr>
          <w:color w:val="000000"/>
          <w:lang w:val="sr-Cyrl-CS"/>
        </w:rPr>
      </w:pPr>
      <w:r w:rsidRPr="00B427EE">
        <w:rPr>
          <w:color w:val="000000"/>
          <w:lang w:val="sr-Cyrl-CS"/>
        </w:rPr>
        <w:t>1.000 динара           1.200 динара              - 200 динара</w:t>
      </w:r>
    </w:p>
    <w:p w:rsidR="00857A1D" w:rsidRPr="00B427EE" w:rsidRDefault="00857A1D" w:rsidP="00B427EE">
      <w:pPr>
        <w:pStyle w:val="normal0"/>
        <w:shd w:val="clear" w:color="auto" w:fill="FFFFFF"/>
        <w:spacing w:before="48" w:beforeAutospacing="0" w:after="48" w:afterAutospacing="0"/>
        <w:jc w:val="both"/>
        <w:rPr>
          <w:color w:val="000000"/>
          <w:lang w:val="sr-Cyrl-CS"/>
        </w:rPr>
      </w:pPr>
    </w:p>
    <w:p w:rsidR="00857A1D" w:rsidRPr="00B427EE" w:rsidRDefault="00857A1D" w:rsidP="00B427EE">
      <w:pPr>
        <w:pStyle w:val="normal0"/>
        <w:shd w:val="clear" w:color="auto" w:fill="FFFFFF"/>
        <w:spacing w:before="48" w:beforeAutospacing="0" w:after="48" w:afterAutospacing="0"/>
        <w:ind w:firstLine="708"/>
        <w:jc w:val="both"/>
        <w:rPr>
          <w:color w:val="000000"/>
          <w:lang w:val="sr-Cyrl-CS"/>
        </w:rPr>
      </w:pPr>
      <w:r w:rsidRPr="00B427EE">
        <w:rPr>
          <w:color w:val="000000"/>
          <w:lang w:val="sr-Cyrl-CS"/>
        </w:rPr>
        <w:t xml:space="preserve">Поред тога што порез на додату вредност почива на самоопорезивању, овај порески облик </w:t>
      </w:r>
      <w:r w:rsidR="009B6957" w:rsidRPr="00B427EE">
        <w:rPr>
          <w:color w:val="000000"/>
          <w:lang w:val="sr-Cyrl-CS"/>
        </w:rPr>
        <w:t xml:space="preserve">почива </w:t>
      </w:r>
      <w:r w:rsidRPr="00B427EE">
        <w:rPr>
          <w:color w:val="000000"/>
          <w:lang w:val="sr-Cyrl-CS"/>
        </w:rPr>
        <w:t xml:space="preserve"> и на принципу самоконтроле и документованости </w:t>
      </w:r>
      <w:r w:rsidR="009B6957" w:rsidRPr="00B427EE">
        <w:rPr>
          <w:color w:val="000000"/>
          <w:lang w:val="sr-Cyrl-CS"/>
        </w:rPr>
        <w:t>(издавању и при</w:t>
      </w:r>
      <w:r w:rsidR="00372836">
        <w:rPr>
          <w:color w:val="000000"/>
          <w:lang w:val="sr-Cyrl-CS"/>
        </w:rPr>
        <w:t>јему фактура) јер у</w:t>
      </w:r>
      <w:r w:rsidR="009B6957" w:rsidRPr="00B427EE">
        <w:rPr>
          <w:color w:val="000000"/>
          <w:lang w:val="sr-Cyrl-CS"/>
        </w:rPr>
        <w:t xml:space="preserve"> систему ПДВ сваки учесник у ланцу контролише он</w:t>
      </w:r>
      <w:r w:rsidR="00DC2529">
        <w:rPr>
          <w:color w:val="000000"/>
          <w:lang w:val="sr-Cyrl-CS"/>
        </w:rPr>
        <w:t>о</w:t>
      </w:r>
      <w:r w:rsidR="00372836">
        <w:rPr>
          <w:color w:val="000000"/>
          <w:lang w:val="sr-Cyrl-CS"/>
        </w:rPr>
        <w:t>г другог и инсис</w:t>
      </w:r>
      <w:r w:rsidR="009B6957" w:rsidRPr="00B427EE">
        <w:rPr>
          <w:color w:val="000000"/>
          <w:lang w:val="sr-Cyrl-CS"/>
        </w:rPr>
        <w:t xml:space="preserve">тира на пријему и издавању фактура, </w:t>
      </w:r>
      <w:r w:rsidR="00372836">
        <w:rPr>
          <w:color w:val="000000"/>
          <w:lang w:val="sr-Cyrl-CS"/>
        </w:rPr>
        <w:t>имајући у виду</w:t>
      </w:r>
      <w:r w:rsidR="009B6957" w:rsidRPr="00B427EE">
        <w:rPr>
          <w:color w:val="000000"/>
          <w:lang w:val="sr-Cyrl-CS"/>
        </w:rPr>
        <w:t xml:space="preserve"> да </w:t>
      </w:r>
      <w:r w:rsidR="00372836">
        <w:rPr>
          <w:color w:val="000000"/>
          <w:lang w:val="sr-Cyrl-CS"/>
        </w:rPr>
        <w:t xml:space="preserve">тако може да оствари </w:t>
      </w:r>
      <w:r w:rsidR="009B6957" w:rsidRPr="00B427EE">
        <w:rPr>
          <w:color w:val="000000"/>
          <w:lang w:val="sr-Cyrl-CS"/>
        </w:rPr>
        <w:t>право на порески одбитак.</w:t>
      </w:r>
      <w:r w:rsidR="009B6957" w:rsidRPr="00B427EE">
        <w:rPr>
          <w:rStyle w:val="FootnoteReference"/>
          <w:color w:val="000000"/>
          <w:lang w:val="sr-Cyrl-CS"/>
        </w:rPr>
        <w:footnoteReference w:id="358"/>
      </w:r>
      <w:r w:rsidR="009B6957" w:rsidRPr="00B427EE">
        <w:rPr>
          <w:color w:val="000000"/>
          <w:lang w:val="sr-Cyrl-CS"/>
        </w:rPr>
        <w:t xml:space="preserve"> </w:t>
      </w:r>
    </w:p>
    <w:p w:rsidR="009B6957" w:rsidRPr="00B427EE" w:rsidRDefault="009B6957" w:rsidP="00B427EE">
      <w:pPr>
        <w:pStyle w:val="normal0"/>
        <w:shd w:val="clear" w:color="auto" w:fill="FFFFFF"/>
        <w:spacing w:before="48" w:beforeAutospacing="0" w:after="48" w:afterAutospacing="0"/>
        <w:ind w:firstLine="708"/>
        <w:jc w:val="both"/>
        <w:rPr>
          <w:color w:val="000000"/>
          <w:lang w:val="sr-Cyrl-CS"/>
        </w:rPr>
      </w:pPr>
    </w:p>
    <w:p w:rsidR="000B7678" w:rsidRPr="00B427EE" w:rsidRDefault="00BD4DB0" w:rsidP="00B427EE">
      <w:pPr>
        <w:pStyle w:val="normal0"/>
        <w:shd w:val="clear" w:color="auto" w:fill="FFFFFF"/>
        <w:spacing w:before="48" w:beforeAutospacing="0" w:after="48" w:afterAutospacing="0"/>
        <w:ind w:firstLine="708"/>
        <w:jc w:val="both"/>
        <w:rPr>
          <w:color w:val="000000"/>
          <w:lang w:val="sr-Cyrl-CS"/>
        </w:rPr>
      </w:pPr>
      <w:r w:rsidRPr="00B427EE">
        <w:rPr>
          <w:color w:val="000000"/>
          <w:lang w:val="sr-Cyrl-CS"/>
        </w:rPr>
        <w:t>У Закону о порезу на додату вредност су посебно уређени институти по</w:t>
      </w:r>
      <w:r w:rsidR="002D6E6E" w:rsidRPr="00B427EE">
        <w:rPr>
          <w:color w:val="000000"/>
          <w:lang w:val="sr-Cyrl-CS"/>
        </w:rPr>
        <w:t xml:space="preserve">враћаја и рефакције </w:t>
      </w:r>
      <w:r w:rsidRPr="00B427EE">
        <w:rPr>
          <w:color w:val="000000"/>
          <w:lang w:val="sr-Cyrl-CS"/>
        </w:rPr>
        <w:t xml:space="preserve"> пореза. </w:t>
      </w:r>
      <w:r w:rsidR="000B7678" w:rsidRPr="00B427EE">
        <w:rPr>
          <w:color w:val="000000"/>
          <w:lang w:val="sr-Cyrl-CS"/>
        </w:rPr>
        <w:t>Повраћај пореза на додату вредност треба разлик</w:t>
      </w:r>
      <w:r w:rsidRPr="00B427EE">
        <w:rPr>
          <w:color w:val="000000"/>
          <w:lang w:val="sr-Cyrl-CS"/>
        </w:rPr>
        <w:t>ов</w:t>
      </w:r>
      <w:r w:rsidR="000B7678" w:rsidRPr="00B427EE">
        <w:rPr>
          <w:color w:val="000000"/>
          <w:lang w:val="sr-Cyrl-CS"/>
        </w:rPr>
        <w:t xml:space="preserve">ати од рефакције. </w:t>
      </w:r>
      <w:r w:rsidRPr="00B427EE">
        <w:rPr>
          <w:color w:val="000000"/>
          <w:lang w:val="sr-Cyrl-CS"/>
        </w:rPr>
        <w:t>Наиме, повраћај пореза</w:t>
      </w:r>
      <w:r w:rsidRPr="00B427EE">
        <w:rPr>
          <w:rStyle w:val="FootnoteReference"/>
          <w:color w:val="000000"/>
          <w:lang w:val="sr-Cyrl-CS"/>
        </w:rPr>
        <w:footnoteReference w:id="359"/>
      </w:r>
      <w:r w:rsidRPr="00B427EE">
        <w:rPr>
          <w:color w:val="000000"/>
          <w:lang w:val="sr-Cyrl-CS"/>
        </w:rPr>
        <w:t xml:space="preserve"> се примењује у ситуацији када </w:t>
      </w:r>
      <w:r w:rsidR="002D6E6E" w:rsidRPr="00B427EE">
        <w:rPr>
          <w:color w:val="000000"/>
          <w:lang w:val="sr-Cyrl-CS"/>
        </w:rPr>
        <w:t>је</w:t>
      </w:r>
      <w:bookmarkStart w:id="8" w:name="clan_52"/>
      <w:bookmarkEnd w:id="8"/>
      <w:r w:rsidR="000B7678" w:rsidRPr="00B427EE">
        <w:rPr>
          <w:color w:val="000000"/>
        </w:rPr>
        <w:t xml:space="preserve"> </w:t>
      </w:r>
      <w:r w:rsidR="00B427EE" w:rsidRPr="00B427EE">
        <w:rPr>
          <w:color w:val="000000"/>
        </w:rPr>
        <w:t>износ</w:t>
      </w:r>
      <w:r w:rsidR="000B7678" w:rsidRPr="00B427EE">
        <w:rPr>
          <w:color w:val="000000"/>
        </w:rPr>
        <w:t xml:space="preserve"> </w:t>
      </w:r>
      <w:r w:rsidR="00B427EE" w:rsidRPr="00B427EE">
        <w:rPr>
          <w:color w:val="000000"/>
        </w:rPr>
        <w:t>претходног</w:t>
      </w:r>
      <w:r w:rsidR="000B7678" w:rsidRPr="00B427EE">
        <w:rPr>
          <w:color w:val="000000"/>
        </w:rPr>
        <w:t xml:space="preserve"> </w:t>
      </w:r>
      <w:r w:rsidR="00B427EE" w:rsidRPr="00B427EE">
        <w:rPr>
          <w:color w:val="000000"/>
        </w:rPr>
        <w:t>пореза</w:t>
      </w:r>
      <w:r w:rsidR="000B7678" w:rsidRPr="00B427EE">
        <w:rPr>
          <w:color w:val="000000"/>
        </w:rPr>
        <w:t xml:space="preserve"> </w:t>
      </w:r>
      <w:r w:rsidR="00B427EE" w:rsidRPr="00B427EE">
        <w:rPr>
          <w:color w:val="000000"/>
        </w:rPr>
        <w:t>већи</w:t>
      </w:r>
      <w:r w:rsidR="000B7678" w:rsidRPr="00B427EE">
        <w:rPr>
          <w:color w:val="000000"/>
        </w:rPr>
        <w:t xml:space="preserve"> </w:t>
      </w:r>
      <w:r w:rsidR="00B427EE" w:rsidRPr="00B427EE">
        <w:rPr>
          <w:color w:val="000000"/>
        </w:rPr>
        <w:t>од</w:t>
      </w:r>
      <w:r w:rsidR="000B7678" w:rsidRPr="00B427EE">
        <w:rPr>
          <w:color w:val="000000"/>
        </w:rPr>
        <w:t xml:space="preserve"> </w:t>
      </w:r>
      <w:r w:rsidR="00B427EE" w:rsidRPr="00B427EE">
        <w:rPr>
          <w:color w:val="000000"/>
        </w:rPr>
        <w:t>износа</w:t>
      </w:r>
      <w:r w:rsidR="000B7678" w:rsidRPr="00B427EE">
        <w:rPr>
          <w:color w:val="000000"/>
        </w:rPr>
        <w:t xml:space="preserve"> </w:t>
      </w:r>
      <w:r w:rsidR="00B427EE" w:rsidRPr="00B427EE">
        <w:rPr>
          <w:color w:val="000000"/>
        </w:rPr>
        <w:t>пореске</w:t>
      </w:r>
      <w:r w:rsidR="000B7678" w:rsidRPr="00B427EE">
        <w:rPr>
          <w:color w:val="000000"/>
        </w:rPr>
        <w:t xml:space="preserve"> </w:t>
      </w:r>
      <w:r w:rsidR="00B427EE" w:rsidRPr="00B427EE">
        <w:rPr>
          <w:color w:val="000000"/>
        </w:rPr>
        <w:t>обавезе</w:t>
      </w:r>
      <w:r w:rsidR="000B7678" w:rsidRPr="00B427EE">
        <w:rPr>
          <w:color w:val="000000"/>
        </w:rPr>
        <w:t>,</w:t>
      </w:r>
      <w:r w:rsidR="002D6E6E" w:rsidRPr="00B427EE">
        <w:rPr>
          <w:color w:val="000000"/>
          <w:lang w:val="sr-Cyrl-CS"/>
        </w:rPr>
        <w:t xml:space="preserve"> у ком случају</w:t>
      </w:r>
      <w:r w:rsidR="000B7678" w:rsidRPr="00B427EE">
        <w:rPr>
          <w:color w:val="000000"/>
        </w:rPr>
        <w:t xml:space="preserve"> </w:t>
      </w:r>
      <w:r w:rsidR="00B427EE" w:rsidRPr="00B427EE">
        <w:rPr>
          <w:color w:val="000000"/>
        </w:rPr>
        <w:t>обвезник</w:t>
      </w:r>
      <w:r w:rsidR="000B7678" w:rsidRPr="00B427EE">
        <w:rPr>
          <w:color w:val="000000"/>
        </w:rPr>
        <w:t xml:space="preserve"> </w:t>
      </w:r>
      <w:r w:rsidR="00B427EE" w:rsidRPr="00B427EE">
        <w:rPr>
          <w:color w:val="000000"/>
        </w:rPr>
        <w:t>има</w:t>
      </w:r>
      <w:r w:rsidR="000B7678" w:rsidRPr="00B427EE">
        <w:rPr>
          <w:color w:val="000000"/>
        </w:rPr>
        <w:t xml:space="preserve"> </w:t>
      </w:r>
      <w:r w:rsidR="00B427EE" w:rsidRPr="00B427EE">
        <w:rPr>
          <w:color w:val="000000"/>
        </w:rPr>
        <w:t>право</w:t>
      </w:r>
      <w:r w:rsidR="000B7678" w:rsidRPr="00B427EE">
        <w:rPr>
          <w:color w:val="000000"/>
        </w:rPr>
        <w:t xml:space="preserve"> </w:t>
      </w:r>
      <w:r w:rsidR="00B427EE" w:rsidRPr="00B427EE">
        <w:rPr>
          <w:color w:val="000000"/>
        </w:rPr>
        <w:t>на</w:t>
      </w:r>
      <w:r w:rsidR="000B7678" w:rsidRPr="00B427EE">
        <w:rPr>
          <w:color w:val="000000"/>
        </w:rPr>
        <w:t xml:space="preserve"> </w:t>
      </w:r>
      <w:r w:rsidR="00B427EE" w:rsidRPr="00B427EE">
        <w:rPr>
          <w:color w:val="000000"/>
        </w:rPr>
        <w:t>повраћај</w:t>
      </w:r>
      <w:r w:rsidR="000B7678" w:rsidRPr="00B427EE">
        <w:rPr>
          <w:color w:val="000000"/>
        </w:rPr>
        <w:t xml:space="preserve"> </w:t>
      </w:r>
      <w:r w:rsidR="00B427EE" w:rsidRPr="00B427EE">
        <w:rPr>
          <w:color w:val="000000"/>
        </w:rPr>
        <w:t>разлике</w:t>
      </w:r>
      <w:r w:rsidR="000B7678" w:rsidRPr="00B427EE">
        <w:rPr>
          <w:color w:val="000000"/>
        </w:rPr>
        <w:t>.</w:t>
      </w:r>
      <w:r w:rsidR="002D6E6E" w:rsidRPr="00B427EE">
        <w:rPr>
          <w:color w:val="000000"/>
          <w:lang w:val="sr-Cyrl-CS"/>
        </w:rPr>
        <w:t xml:space="preserve"> </w:t>
      </w:r>
      <w:r w:rsidR="00B427EE" w:rsidRPr="00B427EE">
        <w:rPr>
          <w:color w:val="000000"/>
        </w:rPr>
        <w:t>Ако</w:t>
      </w:r>
      <w:r w:rsidR="000B7678" w:rsidRPr="00B427EE">
        <w:rPr>
          <w:color w:val="000000"/>
        </w:rPr>
        <w:t xml:space="preserve"> </w:t>
      </w:r>
      <w:r w:rsidR="00B427EE" w:rsidRPr="00B427EE">
        <w:rPr>
          <w:color w:val="000000"/>
        </w:rPr>
        <w:t>се</w:t>
      </w:r>
      <w:r w:rsidR="000B7678" w:rsidRPr="00B427EE">
        <w:rPr>
          <w:color w:val="000000"/>
        </w:rPr>
        <w:t xml:space="preserve"> </w:t>
      </w:r>
      <w:r w:rsidR="00B427EE" w:rsidRPr="00B427EE">
        <w:rPr>
          <w:color w:val="000000"/>
        </w:rPr>
        <w:t>обвезник</w:t>
      </w:r>
      <w:r w:rsidR="000B7678" w:rsidRPr="00B427EE">
        <w:rPr>
          <w:color w:val="000000"/>
        </w:rPr>
        <w:t xml:space="preserve"> </w:t>
      </w:r>
      <w:r w:rsidR="00B427EE" w:rsidRPr="00B427EE">
        <w:rPr>
          <w:color w:val="000000"/>
        </w:rPr>
        <w:t>не</w:t>
      </w:r>
      <w:r w:rsidR="000B7678" w:rsidRPr="00B427EE">
        <w:rPr>
          <w:color w:val="000000"/>
        </w:rPr>
        <w:t xml:space="preserve"> </w:t>
      </w:r>
      <w:r w:rsidR="00B427EE" w:rsidRPr="00B427EE">
        <w:rPr>
          <w:color w:val="000000"/>
        </w:rPr>
        <w:t>определи</w:t>
      </w:r>
      <w:r w:rsidR="000B7678" w:rsidRPr="00B427EE">
        <w:rPr>
          <w:color w:val="000000"/>
        </w:rPr>
        <w:t xml:space="preserve"> </w:t>
      </w:r>
      <w:r w:rsidR="00B427EE" w:rsidRPr="00B427EE">
        <w:rPr>
          <w:color w:val="000000"/>
        </w:rPr>
        <w:t>за</w:t>
      </w:r>
      <w:r w:rsidR="000B7678" w:rsidRPr="00B427EE">
        <w:rPr>
          <w:color w:val="000000"/>
        </w:rPr>
        <w:t xml:space="preserve"> </w:t>
      </w:r>
      <w:r w:rsidR="00B427EE" w:rsidRPr="00B427EE">
        <w:rPr>
          <w:color w:val="000000"/>
        </w:rPr>
        <w:t>повраћај</w:t>
      </w:r>
      <w:r w:rsidR="002D6E6E" w:rsidRPr="00B427EE">
        <w:rPr>
          <w:color w:val="000000"/>
        </w:rPr>
        <w:t xml:space="preserve"> </w:t>
      </w:r>
      <w:r w:rsidR="000B7678" w:rsidRPr="00B427EE">
        <w:rPr>
          <w:color w:val="000000"/>
        </w:rPr>
        <w:t xml:space="preserve"> </w:t>
      </w:r>
      <w:r w:rsidR="00B427EE" w:rsidRPr="00B427EE">
        <w:rPr>
          <w:color w:val="000000"/>
        </w:rPr>
        <w:t>разлика</w:t>
      </w:r>
      <w:r w:rsidR="000B7678" w:rsidRPr="00B427EE">
        <w:rPr>
          <w:color w:val="000000"/>
        </w:rPr>
        <w:t xml:space="preserve"> </w:t>
      </w:r>
      <w:r w:rsidR="00B427EE" w:rsidRPr="00B427EE">
        <w:rPr>
          <w:color w:val="000000"/>
        </w:rPr>
        <w:t>се</w:t>
      </w:r>
      <w:r w:rsidR="000B7678" w:rsidRPr="00B427EE">
        <w:rPr>
          <w:color w:val="000000"/>
        </w:rPr>
        <w:t xml:space="preserve"> </w:t>
      </w:r>
      <w:r w:rsidR="00B427EE" w:rsidRPr="00B427EE">
        <w:rPr>
          <w:color w:val="000000"/>
        </w:rPr>
        <w:t>признаје</w:t>
      </w:r>
      <w:r w:rsidR="000B7678" w:rsidRPr="00B427EE">
        <w:rPr>
          <w:color w:val="000000"/>
        </w:rPr>
        <w:t xml:space="preserve"> </w:t>
      </w:r>
      <w:r w:rsidR="00B427EE" w:rsidRPr="00B427EE">
        <w:rPr>
          <w:color w:val="000000"/>
        </w:rPr>
        <w:t>као</w:t>
      </w:r>
      <w:r w:rsidR="000B7678" w:rsidRPr="00B427EE">
        <w:rPr>
          <w:color w:val="000000"/>
        </w:rPr>
        <w:t xml:space="preserve"> </w:t>
      </w:r>
      <w:r w:rsidR="00B427EE" w:rsidRPr="00B427EE">
        <w:rPr>
          <w:color w:val="000000"/>
        </w:rPr>
        <w:t>порески</w:t>
      </w:r>
      <w:r w:rsidR="000B7678" w:rsidRPr="00B427EE">
        <w:rPr>
          <w:color w:val="000000"/>
        </w:rPr>
        <w:t xml:space="preserve"> </w:t>
      </w:r>
      <w:r w:rsidR="00B427EE" w:rsidRPr="00B427EE">
        <w:rPr>
          <w:color w:val="000000"/>
        </w:rPr>
        <w:t>кредит</w:t>
      </w:r>
      <w:r w:rsidR="000B7678" w:rsidRPr="00B427EE">
        <w:rPr>
          <w:color w:val="000000"/>
        </w:rPr>
        <w:t>.</w:t>
      </w:r>
    </w:p>
    <w:p w:rsidR="002D6E6E" w:rsidRPr="00B427EE" w:rsidRDefault="002D6E6E" w:rsidP="00B427EE">
      <w:pPr>
        <w:pStyle w:val="normal0"/>
        <w:shd w:val="clear" w:color="auto" w:fill="FFFFFF"/>
        <w:spacing w:before="48" w:beforeAutospacing="0" w:after="48" w:afterAutospacing="0"/>
        <w:ind w:firstLine="708"/>
        <w:jc w:val="both"/>
        <w:rPr>
          <w:color w:val="000000"/>
          <w:lang w:val="sr-Cyrl-CS"/>
        </w:rPr>
      </w:pPr>
    </w:p>
    <w:p w:rsidR="00B016A0" w:rsidRPr="00B016A0" w:rsidRDefault="00B016A0" w:rsidP="00B016A0">
      <w:pPr>
        <w:pStyle w:val="normal0"/>
        <w:shd w:val="clear" w:color="auto" w:fill="FFFFFF"/>
        <w:spacing w:before="48" w:beforeAutospacing="0" w:after="48" w:afterAutospacing="0"/>
        <w:ind w:firstLine="708"/>
        <w:jc w:val="both"/>
        <w:rPr>
          <w:color w:val="000000"/>
          <w:lang w:val="sr-Cyrl-CS"/>
        </w:rPr>
      </w:pPr>
      <w:r w:rsidRPr="00B016A0">
        <w:rPr>
          <w:color w:val="000000"/>
        </w:rPr>
        <w:t>Пореска обавеза настаје даном када се најраније изврши једна од следећих радњи:</w:t>
      </w:r>
    </w:p>
    <w:p w:rsidR="00B016A0" w:rsidRPr="00B016A0" w:rsidRDefault="00B016A0" w:rsidP="00B016A0">
      <w:pPr>
        <w:pStyle w:val="normal0"/>
        <w:shd w:val="clear" w:color="auto" w:fill="FFFFFF"/>
        <w:spacing w:before="48" w:beforeAutospacing="0" w:after="48" w:afterAutospacing="0"/>
        <w:ind w:firstLine="708"/>
        <w:jc w:val="both"/>
        <w:rPr>
          <w:color w:val="000000"/>
          <w:lang w:val="sr-Cyrl-CS"/>
        </w:rPr>
      </w:pPr>
    </w:p>
    <w:p w:rsidR="00B016A0" w:rsidRPr="00B016A0" w:rsidRDefault="00B016A0" w:rsidP="00B016A0">
      <w:pPr>
        <w:pStyle w:val="normal0"/>
        <w:shd w:val="clear" w:color="auto" w:fill="FFFFFF"/>
        <w:spacing w:before="48" w:beforeAutospacing="0" w:after="48" w:afterAutospacing="0"/>
        <w:jc w:val="both"/>
        <w:rPr>
          <w:color w:val="000000"/>
        </w:rPr>
      </w:pPr>
      <w:r w:rsidRPr="00B016A0">
        <w:rPr>
          <w:color w:val="000000"/>
        </w:rPr>
        <w:t>1) промет добара и услуга;</w:t>
      </w:r>
    </w:p>
    <w:p w:rsidR="00B016A0" w:rsidRPr="00B016A0" w:rsidRDefault="00B016A0" w:rsidP="00B016A0">
      <w:pPr>
        <w:pStyle w:val="normal0"/>
        <w:shd w:val="clear" w:color="auto" w:fill="FFFFFF"/>
        <w:spacing w:before="48" w:beforeAutospacing="0" w:after="48" w:afterAutospacing="0"/>
        <w:jc w:val="both"/>
        <w:rPr>
          <w:color w:val="000000"/>
        </w:rPr>
      </w:pPr>
      <w:r w:rsidRPr="00B016A0">
        <w:rPr>
          <w:color w:val="000000"/>
        </w:rPr>
        <w:t>2) наплата, односно плаћање ако је накнада или део накнаде наплаћен, односно плаћен у новцу пре промета добара и услуга;</w:t>
      </w:r>
    </w:p>
    <w:p w:rsidR="00B016A0" w:rsidRPr="00B016A0" w:rsidRDefault="00B016A0" w:rsidP="00B016A0">
      <w:pPr>
        <w:pStyle w:val="normal0"/>
        <w:shd w:val="clear" w:color="auto" w:fill="FFFFFF"/>
        <w:spacing w:before="48" w:beforeAutospacing="0" w:after="48" w:afterAutospacing="0"/>
        <w:jc w:val="both"/>
        <w:rPr>
          <w:color w:val="000000"/>
          <w:lang w:val="sr-Cyrl-CS"/>
        </w:rPr>
      </w:pPr>
      <w:r w:rsidRPr="00B016A0">
        <w:rPr>
          <w:color w:val="000000"/>
        </w:rPr>
        <w:t>3) настанак обавезе плаћања царинског дуга, код увоза добара, а ако те обавезе нема, даном у којем би настала обавеза плаћања тог дуга.</w:t>
      </w:r>
    </w:p>
    <w:p w:rsidR="00B016A0" w:rsidRPr="00B016A0" w:rsidRDefault="00B016A0" w:rsidP="00B016A0">
      <w:pPr>
        <w:pStyle w:val="normal0"/>
        <w:shd w:val="clear" w:color="auto" w:fill="FFFFFF"/>
        <w:spacing w:before="48" w:beforeAutospacing="0" w:after="48" w:afterAutospacing="0"/>
        <w:jc w:val="both"/>
        <w:rPr>
          <w:color w:val="000000"/>
          <w:lang w:val="sr-Cyrl-CS"/>
        </w:rPr>
      </w:pPr>
    </w:p>
    <w:p w:rsidR="00B016A0" w:rsidRPr="00B016A0" w:rsidRDefault="00B016A0" w:rsidP="00B016A0">
      <w:pPr>
        <w:pStyle w:val="normal0"/>
        <w:shd w:val="clear" w:color="auto" w:fill="FFFFFF"/>
        <w:spacing w:before="48" w:beforeAutospacing="0" w:after="48" w:afterAutospacing="0"/>
        <w:ind w:firstLine="708"/>
        <w:jc w:val="both"/>
        <w:rPr>
          <w:color w:val="000000"/>
          <w:lang w:val="sr-Cyrl-CS"/>
        </w:rPr>
      </w:pPr>
      <w:r w:rsidRPr="00B016A0">
        <w:rPr>
          <w:color w:val="000000"/>
          <w:lang w:val="sr-Cyrl-CS"/>
        </w:rPr>
        <w:lastRenderedPageBreak/>
        <w:t>Настанак пореске обавезе се и према европском моделу пореза на додату вредност везује за промет добара и услуга.</w:t>
      </w:r>
      <w:r w:rsidRPr="00B016A0">
        <w:rPr>
          <w:rStyle w:val="FootnoteReference"/>
          <w:color w:val="000000"/>
          <w:lang w:val="sr-Cyrl-CS"/>
        </w:rPr>
        <w:footnoteReference w:id="360"/>
      </w:r>
      <w:r w:rsidRPr="00B016A0">
        <w:rPr>
          <w:color w:val="000000"/>
          <w:lang w:val="sr-Cyrl-CS"/>
        </w:rPr>
        <w:t xml:space="preserve"> </w:t>
      </w:r>
    </w:p>
    <w:p w:rsidR="00B016A0" w:rsidRPr="00B016A0" w:rsidRDefault="00B016A0" w:rsidP="00B016A0">
      <w:pPr>
        <w:pStyle w:val="normal0"/>
        <w:shd w:val="clear" w:color="auto" w:fill="FFFFFF"/>
        <w:spacing w:before="48" w:beforeAutospacing="0" w:after="48" w:afterAutospacing="0"/>
        <w:jc w:val="both"/>
        <w:rPr>
          <w:color w:val="000000"/>
          <w:lang w:val="sr-Cyrl-CS"/>
        </w:rPr>
      </w:pPr>
    </w:p>
    <w:p w:rsidR="00B016A0" w:rsidRPr="00B016A0" w:rsidRDefault="00B016A0" w:rsidP="00B016A0">
      <w:pPr>
        <w:pStyle w:val="normal0"/>
        <w:shd w:val="clear" w:color="auto" w:fill="FFFFFF"/>
        <w:spacing w:before="48" w:beforeAutospacing="0" w:after="48" w:afterAutospacing="0"/>
        <w:ind w:firstLine="708"/>
        <w:jc w:val="both"/>
        <w:rPr>
          <w:b/>
          <w:i/>
          <w:color w:val="000000"/>
          <w:lang w:val="sr-Cyrl-CS"/>
        </w:rPr>
      </w:pPr>
      <w:r w:rsidRPr="00B016A0">
        <w:rPr>
          <w:color w:val="000000"/>
          <w:lang w:val="sr-Cyrl-CS"/>
        </w:rPr>
        <w:t xml:space="preserve">За увоз добара примењују се посебни прописи. Наиме, </w:t>
      </w:r>
      <w:bookmarkStart w:id="9" w:name="clan_58"/>
      <w:bookmarkEnd w:id="9"/>
      <w:r w:rsidRPr="00B016A0">
        <w:rPr>
          <w:color w:val="000000"/>
          <w:lang w:val="sr-Cyrl-CS"/>
        </w:rPr>
        <w:t>н</w:t>
      </w:r>
      <w:r w:rsidRPr="00B016A0">
        <w:rPr>
          <w:color w:val="000000"/>
        </w:rPr>
        <w:t>а ПДВ при увозу добара примењују се царински прописи</w:t>
      </w:r>
      <w:r w:rsidRPr="00B016A0">
        <w:rPr>
          <w:rStyle w:val="FootnoteReference"/>
          <w:color w:val="000000"/>
        </w:rPr>
        <w:footnoteReference w:id="361"/>
      </w:r>
      <w:r w:rsidRPr="00B016A0">
        <w:rPr>
          <w:color w:val="000000"/>
        </w:rPr>
        <w:t xml:space="preserve">, ако </w:t>
      </w:r>
      <w:r w:rsidRPr="00B016A0">
        <w:rPr>
          <w:color w:val="000000"/>
          <w:lang w:val="sr-Cyrl-CS"/>
        </w:rPr>
        <w:t>Законом о порезу на додату вредност</w:t>
      </w:r>
      <w:r w:rsidRPr="00B016A0">
        <w:rPr>
          <w:color w:val="000000"/>
        </w:rPr>
        <w:t xml:space="preserve"> није друкчије одређено</w:t>
      </w:r>
      <w:r w:rsidRPr="00B016A0">
        <w:rPr>
          <w:color w:val="000000"/>
          <w:lang w:val="sr-Cyrl-CS"/>
        </w:rPr>
        <w:t xml:space="preserve">, </w:t>
      </w:r>
      <w:r w:rsidRPr="00B016A0">
        <w:rPr>
          <w:rStyle w:val="FootnoteReference"/>
          <w:color w:val="000000"/>
        </w:rPr>
        <w:footnoteReference w:id="362"/>
      </w:r>
      <w:r w:rsidRPr="00B016A0">
        <w:rPr>
          <w:color w:val="000000"/>
          <w:lang w:val="sr-Cyrl-CS"/>
        </w:rPr>
        <w:t xml:space="preserve"> а под увозом се подразумева </w:t>
      </w:r>
      <w:r w:rsidRPr="00B016A0">
        <w:rPr>
          <w:color w:val="000000"/>
          <w:shd w:val="clear" w:color="auto" w:fill="FFFFFF"/>
        </w:rPr>
        <w:t xml:space="preserve"> сваки унос добара у царинско подручје Републике.</w:t>
      </w:r>
      <w:r w:rsidRPr="00B016A0">
        <w:rPr>
          <w:rStyle w:val="FootnoteReference"/>
          <w:color w:val="000000"/>
          <w:shd w:val="clear" w:color="auto" w:fill="FFFFFF"/>
        </w:rPr>
        <w:footnoteReference w:id="363"/>
      </w:r>
      <w:bookmarkStart w:id="10" w:name="clan_59"/>
      <w:bookmarkEnd w:id="10"/>
      <w:r w:rsidRPr="00B016A0">
        <w:rPr>
          <w:color w:val="000000"/>
          <w:shd w:val="clear" w:color="auto" w:fill="FFFFFF"/>
          <w:lang w:val="sr-Cyrl-CS"/>
        </w:rPr>
        <w:t xml:space="preserve"> </w:t>
      </w:r>
      <w:r w:rsidRPr="00B016A0">
        <w:rPr>
          <w:color w:val="000000"/>
        </w:rPr>
        <w:t>За обрачун и наплату ПДВ при увозу добара надлежан је царински орган који спроводи царински поступак, ако овим законом није друкчије одређено.</w:t>
      </w:r>
      <w:r w:rsidRPr="00B016A0">
        <w:rPr>
          <w:rStyle w:val="FootnoteReference"/>
          <w:color w:val="000000"/>
        </w:rPr>
        <w:footnoteReference w:id="364"/>
      </w:r>
      <w:r>
        <w:rPr>
          <w:color w:val="000000"/>
          <w:lang w:val="sr-Cyrl-CS"/>
        </w:rPr>
        <w:t xml:space="preserve"> Царинск</w:t>
      </w:r>
      <w:r w:rsidRPr="00B016A0">
        <w:rPr>
          <w:color w:val="000000"/>
          <w:lang w:val="sr-Cyrl-CS"/>
        </w:rPr>
        <w:t>и дуг при увозу настаје:</w:t>
      </w:r>
      <w:r w:rsidRPr="00B016A0">
        <w:rPr>
          <w:rStyle w:val="FootnoteReference"/>
          <w:color w:val="000000"/>
          <w:lang w:val="sr-Cyrl-CS"/>
        </w:rPr>
        <w:footnoteReference w:id="365"/>
      </w:r>
      <w:r w:rsidRPr="00B016A0">
        <w:rPr>
          <w:color w:val="000000"/>
          <w:lang w:val="sr-Cyrl-CS"/>
        </w:rPr>
        <w:t xml:space="preserve"> </w:t>
      </w:r>
    </w:p>
    <w:p w:rsidR="00B016A0" w:rsidRPr="00B016A0" w:rsidRDefault="00B016A0" w:rsidP="00B016A0">
      <w:pPr>
        <w:pStyle w:val="normal0"/>
        <w:shd w:val="clear" w:color="auto" w:fill="FFFFFF"/>
        <w:spacing w:before="48" w:beforeAutospacing="0" w:after="48" w:afterAutospacing="0"/>
        <w:jc w:val="both"/>
        <w:rPr>
          <w:color w:val="000000"/>
          <w:lang w:val="sr-Cyrl-CS"/>
        </w:rPr>
      </w:pPr>
    </w:p>
    <w:p w:rsidR="00B016A0" w:rsidRDefault="00B016A0" w:rsidP="00B016A0">
      <w:pPr>
        <w:pStyle w:val="normal0"/>
        <w:shd w:val="clear" w:color="auto" w:fill="FFFFFF"/>
        <w:spacing w:before="48" w:beforeAutospacing="0" w:after="48" w:afterAutospacing="0"/>
        <w:jc w:val="both"/>
        <w:rPr>
          <w:color w:val="000000"/>
          <w:lang w:val="sr-Cyrl-CS"/>
        </w:rPr>
      </w:pPr>
      <w:r w:rsidRPr="00B016A0">
        <w:rPr>
          <w:color w:val="000000"/>
        </w:rPr>
        <w:t>1) стављањем робе која подлеже плаћању увозних дажбина у слободан промет;</w:t>
      </w:r>
    </w:p>
    <w:p w:rsidR="00AA7EB9" w:rsidRPr="00AA7EB9" w:rsidRDefault="00AA7EB9" w:rsidP="00B016A0">
      <w:pPr>
        <w:pStyle w:val="normal0"/>
        <w:shd w:val="clear" w:color="auto" w:fill="FFFFFF"/>
        <w:spacing w:before="48" w:beforeAutospacing="0" w:after="48" w:afterAutospacing="0"/>
        <w:jc w:val="both"/>
        <w:rPr>
          <w:color w:val="000000"/>
          <w:lang w:val="sr-Cyrl-CS"/>
        </w:rPr>
      </w:pPr>
    </w:p>
    <w:p w:rsidR="00B016A0" w:rsidRPr="00B016A0" w:rsidRDefault="00B016A0" w:rsidP="00B016A0">
      <w:pPr>
        <w:pStyle w:val="normal0"/>
        <w:shd w:val="clear" w:color="auto" w:fill="FFFFFF"/>
        <w:spacing w:before="48" w:beforeAutospacing="0" w:after="48" w:afterAutospacing="0"/>
        <w:jc w:val="both"/>
        <w:rPr>
          <w:color w:val="000000"/>
          <w:lang w:val="sr-Cyrl-CS"/>
        </w:rPr>
      </w:pPr>
      <w:r w:rsidRPr="00B016A0">
        <w:rPr>
          <w:color w:val="000000"/>
        </w:rPr>
        <w:t>2) стављањем такве робе у поступак привременог увоза са делимичним ослобођењем од плаћања увозних дажбина.</w:t>
      </w:r>
    </w:p>
    <w:p w:rsidR="00B016A0" w:rsidRPr="00B016A0" w:rsidRDefault="00B016A0" w:rsidP="00B016A0">
      <w:pPr>
        <w:pStyle w:val="normal0"/>
        <w:shd w:val="clear" w:color="auto" w:fill="FFFFFF"/>
        <w:spacing w:before="48" w:beforeAutospacing="0" w:after="48" w:afterAutospacing="0"/>
        <w:jc w:val="both"/>
        <w:rPr>
          <w:color w:val="000000"/>
          <w:lang w:val="sr-Cyrl-CS"/>
        </w:rPr>
      </w:pPr>
      <w:r w:rsidRPr="00B016A0">
        <w:rPr>
          <w:color w:val="000000"/>
        </w:rPr>
        <w:t>Царински дуг настаје у тренутку прихватања декларације.</w:t>
      </w:r>
    </w:p>
    <w:p w:rsidR="00B016A0" w:rsidRPr="00B016A0" w:rsidRDefault="00B016A0" w:rsidP="00B016A0">
      <w:pPr>
        <w:pStyle w:val="normal0"/>
        <w:shd w:val="clear" w:color="auto" w:fill="FFFFFF"/>
        <w:spacing w:before="48" w:beforeAutospacing="0" w:after="48" w:afterAutospacing="0"/>
        <w:jc w:val="both"/>
        <w:rPr>
          <w:color w:val="000000"/>
          <w:lang w:val="sr-Cyrl-CS"/>
        </w:rPr>
      </w:pPr>
    </w:p>
    <w:p w:rsidR="00B016A0" w:rsidRPr="00B016A0" w:rsidRDefault="00B016A0" w:rsidP="00B016A0">
      <w:pPr>
        <w:pStyle w:val="normal0"/>
        <w:shd w:val="clear" w:color="auto" w:fill="FFFFFF"/>
        <w:spacing w:before="48" w:beforeAutospacing="0" w:after="48" w:afterAutospacing="0"/>
        <w:jc w:val="both"/>
        <w:rPr>
          <w:color w:val="000000"/>
          <w:lang w:val="sr-Cyrl-CS"/>
        </w:rPr>
      </w:pPr>
      <w:bookmarkStart w:id="11" w:name="str_231"/>
      <w:bookmarkEnd w:id="11"/>
      <w:r w:rsidRPr="00B016A0">
        <w:rPr>
          <w:color w:val="000000"/>
        </w:rPr>
        <w:t>Царински дуг при увозу настаје и:</w:t>
      </w:r>
    </w:p>
    <w:p w:rsidR="00B016A0" w:rsidRPr="00B016A0" w:rsidRDefault="00B016A0" w:rsidP="00B016A0">
      <w:pPr>
        <w:pStyle w:val="normal0"/>
        <w:shd w:val="clear" w:color="auto" w:fill="FFFFFF"/>
        <w:spacing w:before="48" w:beforeAutospacing="0" w:after="48" w:afterAutospacing="0"/>
        <w:jc w:val="both"/>
        <w:rPr>
          <w:color w:val="000000"/>
          <w:lang w:val="sr-Cyrl-CS"/>
        </w:rPr>
      </w:pPr>
    </w:p>
    <w:p w:rsidR="00B016A0" w:rsidRDefault="00B016A0" w:rsidP="008A3795">
      <w:pPr>
        <w:pStyle w:val="normal0"/>
        <w:numPr>
          <w:ilvl w:val="0"/>
          <w:numId w:val="54"/>
        </w:numPr>
        <w:shd w:val="clear" w:color="auto" w:fill="FFFFFF"/>
        <w:spacing w:before="48" w:beforeAutospacing="0" w:after="48" w:afterAutospacing="0"/>
        <w:jc w:val="both"/>
        <w:rPr>
          <w:color w:val="000000"/>
          <w:lang w:val="sr-Cyrl-CS"/>
        </w:rPr>
      </w:pPr>
      <w:r w:rsidRPr="00B016A0">
        <w:rPr>
          <w:color w:val="000000"/>
        </w:rPr>
        <w:t>незаконитим уношењем у царинско подручје Републике</w:t>
      </w:r>
      <w:r w:rsidRPr="00B016A0">
        <w:rPr>
          <w:b/>
          <w:color w:val="000000"/>
        </w:rPr>
        <w:t xml:space="preserve"> </w:t>
      </w:r>
      <w:r w:rsidRPr="00B016A0">
        <w:rPr>
          <w:color w:val="000000"/>
        </w:rPr>
        <w:t>Србије робе која подлеже плаћању увозних дажбина;</w:t>
      </w:r>
    </w:p>
    <w:p w:rsidR="00AA7EB9" w:rsidRPr="00B016A0" w:rsidRDefault="00AA7EB9" w:rsidP="00AA7EB9">
      <w:pPr>
        <w:pStyle w:val="normal0"/>
        <w:shd w:val="clear" w:color="auto" w:fill="FFFFFF"/>
        <w:spacing w:before="48" w:beforeAutospacing="0" w:after="48" w:afterAutospacing="0"/>
        <w:ind w:left="720"/>
        <w:jc w:val="both"/>
        <w:rPr>
          <w:color w:val="000000"/>
          <w:lang w:val="sr-Cyrl-CS"/>
        </w:rPr>
      </w:pPr>
    </w:p>
    <w:p w:rsidR="00B016A0" w:rsidRDefault="00B016A0" w:rsidP="008A3795">
      <w:pPr>
        <w:pStyle w:val="normal0"/>
        <w:numPr>
          <w:ilvl w:val="0"/>
          <w:numId w:val="54"/>
        </w:numPr>
        <w:shd w:val="clear" w:color="auto" w:fill="FFFFFF"/>
        <w:spacing w:before="48" w:beforeAutospacing="0" w:after="48" w:afterAutospacing="0"/>
        <w:jc w:val="both"/>
        <w:rPr>
          <w:color w:val="000000"/>
          <w:lang w:val="sr-Cyrl-CS"/>
        </w:rPr>
      </w:pPr>
      <w:bookmarkStart w:id="12" w:name="str_232"/>
      <w:bookmarkEnd w:id="12"/>
      <w:r w:rsidRPr="00B016A0">
        <w:rPr>
          <w:color w:val="000000"/>
        </w:rPr>
        <w:t>незаконитим изузимањем испод царинског надзора робе која подлеже плаћању увозних дажбина.</w:t>
      </w:r>
    </w:p>
    <w:p w:rsidR="00AA7EB9" w:rsidRPr="00B016A0" w:rsidRDefault="00AA7EB9" w:rsidP="00AA7EB9">
      <w:pPr>
        <w:pStyle w:val="normal0"/>
        <w:shd w:val="clear" w:color="auto" w:fill="FFFFFF"/>
        <w:spacing w:before="48" w:beforeAutospacing="0" w:after="48" w:afterAutospacing="0"/>
        <w:jc w:val="both"/>
        <w:rPr>
          <w:color w:val="000000"/>
          <w:lang w:val="sr-Cyrl-CS"/>
        </w:rPr>
      </w:pPr>
    </w:p>
    <w:p w:rsidR="00B016A0" w:rsidRDefault="00B016A0" w:rsidP="008A3795">
      <w:pPr>
        <w:pStyle w:val="normal0"/>
        <w:numPr>
          <w:ilvl w:val="0"/>
          <w:numId w:val="54"/>
        </w:numPr>
        <w:shd w:val="clear" w:color="auto" w:fill="FFFFFF"/>
        <w:spacing w:before="48" w:beforeAutospacing="0" w:after="48" w:afterAutospacing="0"/>
        <w:jc w:val="both"/>
        <w:rPr>
          <w:color w:val="000000"/>
          <w:lang w:val="sr-Cyrl-CS"/>
        </w:rPr>
      </w:pPr>
      <w:bookmarkStart w:id="13" w:name="clan_240"/>
      <w:bookmarkEnd w:id="13"/>
      <w:r w:rsidRPr="00B016A0">
        <w:rPr>
          <w:color w:val="000000"/>
        </w:rPr>
        <w:t>због неиспуњавања обавеза које произилазе из привременог смештаја или другог царинског поступка у који је роба била стављена, или</w:t>
      </w:r>
    </w:p>
    <w:p w:rsidR="00AA7EB9" w:rsidRPr="00B016A0" w:rsidRDefault="00AA7EB9" w:rsidP="00AA7EB9">
      <w:pPr>
        <w:pStyle w:val="normal0"/>
        <w:shd w:val="clear" w:color="auto" w:fill="FFFFFF"/>
        <w:spacing w:before="48" w:beforeAutospacing="0" w:after="48" w:afterAutospacing="0"/>
        <w:jc w:val="both"/>
        <w:rPr>
          <w:color w:val="000000"/>
          <w:lang w:val="sr-Cyrl-CS"/>
        </w:rPr>
      </w:pPr>
    </w:p>
    <w:p w:rsidR="00B016A0" w:rsidRDefault="00B016A0" w:rsidP="008A3795">
      <w:pPr>
        <w:pStyle w:val="normal0"/>
        <w:numPr>
          <w:ilvl w:val="0"/>
          <w:numId w:val="54"/>
        </w:numPr>
        <w:shd w:val="clear" w:color="auto" w:fill="FFFFFF"/>
        <w:spacing w:before="48" w:beforeAutospacing="0" w:after="48" w:afterAutospacing="0"/>
        <w:jc w:val="both"/>
        <w:rPr>
          <w:color w:val="000000"/>
          <w:lang w:val="sr-Cyrl-CS"/>
        </w:rPr>
      </w:pPr>
      <w:r w:rsidRPr="00B016A0">
        <w:rPr>
          <w:color w:val="000000"/>
        </w:rPr>
        <w:t>због неиспуњења неких од услова за стављање робе у одговарајући царински поступак или за одобравање ниже или стопе царине нула, ради употребе робе у посебне сврхе.</w:t>
      </w:r>
    </w:p>
    <w:p w:rsidR="00AA7EB9" w:rsidRPr="00B016A0" w:rsidRDefault="00AA7EB9" w:rsidP="00AA7EB9">
      <w:pPr>
        <w:pStyle w:val="normal0"/>
        <w:shd w:val="clear" w:color="auto" w:fill="FFFFFF"/>
        <w:spacing w:before="48" w:beforeAutospacing="0" w:after="48" w:afterAutospacing="0"/>
        <w:jc w:val="both"/>
        <w:rPr>
          <w:color w:val="000000"/>
          <w:lang w:val="sr-Cyrl-CS"/>
        </w:rPr>
      </w:pPr>
    </w:p>
    <w:p w:rsidR="00B016A0" w:rsidRDefault="00B016A0" w:rsidP="008A3795">
      <w:pPr>
        <w:pStyle w:val="normal0"/>
        <w:numPr>
          <w:ilvl w:val="0"/>
          <w:numId w:val="54"/>
        </w:numPr>
        <w:shd w:val="clear" w:color="auto" w:fill="FFFFFF"/>
        <w:spacing w:before="48" w:beforeAutospacing="0" w:after="48" w:afterAutospacing="0"/>
        <w:jc w:val="both"/>
        <w:rPr>
          <w:color w:val="000000"/>
          <w:lang w:val="sr-Cyrl-CS"/>
        </w:rPr>
      </w:pPr>
      <w:bookmarkStart w:id="14" w:name="str_234"/>
      <w:bookmarkStart w:id="15" w:name="clan_241"/>
      <w:bookmarkEnd w:id="14"/>
      <w:bookmarkEnd w:id="15"/>
      <w:r w:rsidRPr="00B016A0">
        <w:rPr>
          <w:color w:val="000000"/>
        </w:rPr>
        <w:t>трошењем или употребом робе у слободној зони или слободним складиштима на начин или под условима који нису у складу са прописима. Ако роба нестане у слободној зони или слободном складишту и царински орган оцени да објашњење у вези са њеним нестанком није прихватљиво, сматра се да је таква роба потрошена или употребљена у слободној зони или слободним складиштима супротно прописима.</w:t>
      </w:r>
    </w:p>
    <w:p w:rsidR="00AA7EB9" w:rsidRPr="00A74A8E" w:rsidRDefault="00AA7EB9" w:rsidP="008B26F9">
      <w:pPr>
        <w:shd w:val="clear" w:color="auto" w:fill="FFFFFF"/>
        <w:spacing w:after="0" w:line="285" w:lineRule="atLeast"/>
        <w:jc w:val="both"/>
        <w:rPr>
          <w:rFonts w:ascii="Times New Roman" w:hAnsi="Times New Roman"/>
          <w:color w:val="000000"/>
          <w:sz w:val="24"/>
          <w:szCs w:val="24"/>
          <w:lang w:val="sr-Cyrl-CS"/>
        </w:rPr>
      </w:pPr>
    </w:p>
    <w:p w:rsidR="006B2DF9" w:rsidRDefault="00D575C4" w:rsidP="00FF51AE">
      <w:pPr>
        <w:shd w:val="clear" w:color="auto" w:fill="FFFFFF"/>
        <w:spacing w:after="0" w:line="285" w:lineRule="atLeast"/>
        <w:ind w:left="1069"/>
        <w:rPr>
          <w:rFonts w:ascii="Arial" w:hAnsi="Arial" w:cs="Arial"/>
          <w:b/>
          <w:color w:val="000000"/>
          <w:sz w:val="24"/>
          <w:szCs w:val="24"/>
          <w:lang w:val="sr-Cyrl-CS"/>
        </w:rPr>
      </w:pPr>
      <w:r>
        <w:rPr>
          <w:rFonts w:ascii="Arial" w:hAnsi="Arial" w:cs="Arial"/>
          <w:b/>
          <w:color w:val="000000"/>
          <w:sz w:val="24"/>
          <w:szCs w:val="24"/>
          <w:lang w:val="sr-Cyrl-CS"/>
        </w:rPr>
        <w:t xml:space="preserve">5.2.2. </w:t>
      </w:r>
      <w:r w:rsidRPr="00D575C4">
        <w:rPr>
          <w:rFonts w:ascii="Times New Roman" w:hAnsi="Times New Roman"/>
          <w:b/>
          <w:color w:val="000000"/>
          <w:sz w:val="24"/>
          <w:szCs w:val="24"/>
          <w:lang w:val="sr-Cyrl-CS"/>
        </w:rPr>
        <w:t>Порески обвезник</w:t>
      </w:r>
    </w:p>
    <w:p w:rsidR="00D575C4" w:rsidRDefault="00D575C4" w:rsidP="00FF51AE">
      <w:pPr>
        <w:shd w:val="clear" w:color="auto" w:fill="FFFFFF"/>
        <w:spacing w:after="0" w:line="285" w:lineRule="atLeast"/>
        <w:ind w:left="1069"/>
        <w:rPr>
          <w:rFonts w:ascii="Arial" w:hAnsi="Arial" w:cs="Arial"/>
          <w:color w:val="000000"/>
          <w:sz w:val="24"/>
          <w:szCs w:val="24"/>
          <w:lang w:val="sr-Cyrl-CS"/>
        </w:rPr>
      </w:pPr>
    </w:p>
    <w:p w:rsidR="00377144" w:rsidRDefault="00377144" w:rsidP="00FF51AE">
      <w:pPr>
        <w:shd w:val="clear" w:color="auto" w:fill="FFFFFF"/>
        <w:spacing w:after="0" w:line="285" w:lineRule="atLeast"/>
        <w:ind w:left="1069"/>
        <w:rPr>
          <w:rFonts w:ascii="Arial" w:hAnsi="Arial" w:cs="Arial"/>
          <w:color w:val="000000"/>
          <w:sz w:val="24"/>
          <w:szCs w:val="24"/>
          <w:lang w:val="sr-Cyrl-CS"/>
        </w:rPr>
      </w:pPr>
    </w:p>
    <w:p w:rsidR="00AA7EB9" w:rsidRDefault="00AA7EB9" w:rsidP="00E769D9">
      <w:pPr>
        <w:shd w:val="clear" w:color="auto" w:fill="FFFFFF"/>
        <w:spacing w:after="0" w:line="285" w:lineRule="atLeast"/>
        <w:ind w:firstLine="708"/>
        <w:jc w:val="both"/>
        <w:rPr>
          <w:rFonts w:ascii="Times New Roman" w:hAnsi="Times New Roman"/>
          <w:color w:val="000000"/>
          <w:sz w:val="24"/>
          <w:szCs w:val="24"/>
          <w:lang w:val="sr-Cyrl-CS"/>
        </w:rPr>
      </w:pPr>
    </w:p>
    <w:p w:rsidR="00334853" w:rsidRDefault="0048025B" w:rsidP="00CC4EE8">
      <w:pPr>
        <w:shd w:val="clear" w:color="auto" w:fill="FFFFFF"/>
        <w:spacing w:after="0" w:line="285" w:lineRule="atLeast"/>
        <w:ind w:firstLine="708"/>
        <w:jc w:val="both"/>
        <w:rPr>
          <w:rFonts w:ascii="Times New Roman" w:hAnsi="Times New Roman"/>
          <w:color w:val="000000"/>
          <w:sz w:val="24"/>
          <w:szCs w:val="24"/>
        </w:rPr>
      </w:pPr>
      <w:r w:rsidRPr="00B016A0">
        <w:rPr>
          <w:rFonts w:ascii="Times New Roman" w:hAnsi="Times New Roman"/>
          <w:color w:val="000000"/>
          <w:sz w:val="24"/>
          <w:szCs w:val="24"/>
          <w:lang w:val="sr-Cyrl-CS"/>
        </w:rPr>
        <w:t xml:space="preserve">Специфичност законског регулисања овог пореског облика се огледа у томе што се посебна </w:t>
      </w:r>
      <w:r w:rsidR="00334853" w:rsidRPr="00B016A0">
        <w:rPr>
          <w:rFonts w:ascii="Times New Roman" w:hAnsi="Times New Roman"/>
          <w:color w:val="000000"/>
          <w:sz w:val="24"/>
          <w:szCs w:val="24"/>
          <w:lang w:val="sr-Cyrl-CS"/>
        </w:rPr>
        <w:t xml:space="preserve">пажња </w:t>
      </w:r>
      <w:r w:rsidRPr="00B016A0">
        <w:rPr>
          <w:rFonts w:ascii="Times New Roman" w:hAnsi="Times New Roman"/>
          <w:color w:val="000000"/>
          <w:sz w:val="24"/>
          <w:szCs w:val="24"/>
          <w:lang w:val="sr-Cyrl-CS"/>
        </w:rPr>
        <w:t>посвећује не само пореском обвезнику, већ и пореском дужнику</w:t>
      </w:r>
      <w:r w:rsidR="00E769D9" w:rsidRPr="00B016A0">
        <w:rPr>
          <w:rFonts w:ascii="Times New Roman" w:hAnsi="Times New Roman"/>
          <w:color w:val="000000"/>
          <w:sz w:val="24"/>
          <w:szCs w:val="24"/>
          <w:lang w:val="sr-Cyrl-CS"/>
        </w:rPr>
        <w:t>, као ширем појму.</w:t>
      </w:r>
      <w:r w:rsidRPr="00B016A0">
        <w:rPr>
          <w:rStyle w:val="FootnoteReference"/>
          <w:rFonts w:ascii="Times New Roman" w:hAnsi="Times New Roman"/>
          <w:color w:val="000000"/>
          <w:sz w:val="24"/>
          <w:szCs w:val="24"/>
          <w:lang w:val="sr-Cyrl-CS"/>
        </w:rPr>
        <w:footnoteReference w:id="366"/>
      </w:r>
      <w:r w:rsidR="00E769D9" w:rsidRPr="00B016A0">
        <w:rPr>
          <w:rFonts w:ascii="Times New Roman" w:hAnsi="Times New Roman"/>
          <w:color w:val="000000"/>
          <w:sz w:val="24"/>
          <w:szCs w:val="24"/>
          <w:lang w:val="sr-Cyrl-CS"/>
        </w:rPr>
        <w:t xml:space="preserve"> </w:t>
      </w:r>
      <w:r w:rsidR="00B016A0" w:rsidRPr="00B016A0">
        <w:rPr>
          <w:rFonts w:ascii="Times New Roman" w:hAnsi="Times New Roman"/>
          <w:color w:val="000000"/>
          <w:sz w:val="24"/>
          <w:szCs w:val="24"/>
        </w:rPr>
        <w:t>Порески</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обвезник</w:t>
      </w:r>
      <w:r w:rsidR="00E769D9"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је</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лице</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које</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самостално</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обавља</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промет</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добара</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и</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услуга</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у</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оквиру</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обављања</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делатности</w:t>
      </w:r>
      <w:r w:rsidR="00334853" w:rsidRPr="00B016A0">
        <w:rPr>
          <w:rFonts w:ascii="Times New Roman" w:hAnsi="Times New Roman"/>
          <w:color w:val="000000"/>
          <w:sz w:val="24"/>
          <w:szCs w:val="24"/>
        </w:rPr>
        <w:t>.</w:t>
      </w:r>
      <w:r w:rsidR="00E769D9" w:rsidRPr="00B016A0">
        <w:rPr>
          <w:rFonts w:ascii="Times New Roman" w:hAnsi="Times New Roman"/>
          <w:color w:val="000000"/>
          <w:sz w:val="24"/>
          <w:szCs w:val="24"/>
          <w:lang w:val="sr-Cyrl-CS"/>
        </w:rPr>
        <w:t xml:space="preserve"> </w:t>
      </w:r>
      <w:r w:rsidR="00B016A0" w:rsidRPr="00B016A0">
        <w:rPr>
          <w:rFonts w:ascii="Times New Roman" w:hAnsi="Times New Roman"/>
          <w:color w:val="000000"/>
          <w:sz w:val="24"/>
          <w:szCs w:val="24"/>
        </w:rPr>
        <w:t>Делатност</w:t>
      </w:r>
      <w:r w:rsidR="00334853" w:rsidRPr="00B016A0">
        <w:rPr>
          <w:rFonts w:ascii="Times New Roman" w:hAnsi="Times New Roman"/>
          <w:color w:val="000000"/>
          <w:sz w:val="24"/>
          <w:szCs w:val="24"/>
        </w:rPr>
        <w:t xml:space="preserve"> </w:t>
      </w:r>
      <w:r w:rsidR="00E769D9" w:rsidRPr="00B016A0">
        <w:rPr>
          <w:rFonts w:ascii="Times New Roman" w:hAnsi="Times New Roman"/>
          <w:color w:val="000000"/>
          <w:sz w:val="24"/>
          <w:szCs w:val="24"/>
          <w:lang w:val="sr-Cyrl-CS"/>
        </w:rPr>
        <w:t>представља</w:t>
      </w:r>
      <w:r w:rsidR="00E769D9"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трајн</w:t>
      </w:r>
      <w:r w:rsidR="00E769D9" w:rsidRPr="00B016A0">
        <w:rPr>
          <w:rFonts w:ascii="Times New Roman" w:hAnsi="Times New Roman"/>
          <w:color w:val="000000"/>
          <w:sz w:val="24"/>
          <w:szCs w:val="24"/>
          <w:lang w:val="sr-Cyrl-CS"/>
        </w:rPr>
        <w:t>у</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активност</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произвођача</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трговца</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или</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пружаоца</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услуга</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у</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циљу</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остваривања</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прихода</w:t>
      </w:r>
      <w:r w:rsidR="00334853" w:rsidRPr="00B016A0">
        <w:rPr>
          <w:rFonts w:ascii="Times New Roman" w:hAnsi="Times New Roman"/>
          <w:color w:val="000000"/>
          <w:sz w:val="24"/>
          <w:szCs w:val="24"/>
          <w:u w:val="single"/>
        </w:rPr>
        <w:t>,</w:t>
      </w:r>
      <w:r w:rsidR="00E769D9" w:rsidRPr="00B016A0">
        <w:rPr>
          <w:rFonts w:ascii="Times New Roman" w:hAnsi="Times New Roman"/>
          <w:color w:val="000000"/>
          <w:sz w:val="24"/>
          <w:szCs w:val="24"/>
          <w:lang w:val="sr-Cyrl-CS"/>
        </w:rPr>
        <w:t xml:space="preserve"> </w:t>
      </w:r>
      <w:r w:rsidR="00B016A0" w:rsidRPr="00B016A0">
        <w:rPr>
          <w:rFonts w:ascii="Times New Roman" w:hAnsi="Times New Roman"/>
          <w:color w:val="000000"/>
          <w:sz w:val="24"/>
          <w:szCs w:val="24"/>
        </w:rPr>
        <w:t>укључујући</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и</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делатности</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експлоатације</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природних</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богатстава</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пољопривреде</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шумарства</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и</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самосталних</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занимања</w:t>
      </w:r>
      <w:r w:rsidR="00334853" w:rsidRPr="00B016A0">
        <w:rPr>
          <w:rFonts w:ascii="Times New Roman" w:hAnsi="Times New Roman"/>
          <w:color w:val="000000"/>
          <w:sz w:val="24"/>
          <w:szCs w:val="24"/>
        </w:rPr>
        <w:t>.</w:t>
      </w:r>
      <w:r w:rsidR="00E769D9" w:rsidRPr="00B016A0">
        <w:rPr>
          <w:rFonts w:ascii="Times New Roman" w:hAnsi="Times New Roman"/>
          <w:color w:val="000000"/>
          <w:sz w:val="24"/>
          <w:szCs w:val="24"/>
          <w:lang w:val="sr-Cyrl-CS"/>
        </w:rPr>
        <w:t xml:space="preserve"> </w:t>
      </w:r>
      <w:r w:rsidR="00B016A0" w:rsidRPr="00B016A0">
        <w:rPr>
          <w:rFonts w:ascii="Times New Roman" w:hAnsi="Times New Roman"/>
          <w:color w:val="000000"/>
          <w:sz w:val="24"/>
          <w:szCs w:val="24"/>
        </w:rPr>
        <w:t>Сматра</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се</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да</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обвезник</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обавља</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делатност</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и</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када</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је</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врши</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у</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оквиру</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пословне</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јединице</w:t>
      </w:r>
      <w:r w:rsidR="00334853" w:rsidRPr="00B016A0">
        <w:rPr>
          <w:rFonts w:ascii="Times New Roman" w:hAnsi="Times New Roman"/>
          <w:color w:val="000000"/>
          <w:sz w:val="24"/>
          <w:szCs w:val="24"/>
        </w:rPr>
        <w:t>.</w:t>
      </w:r>
      <w:r w:rsidR="00E769D9" w:rsidRPr="00B016A0">
        <w:rPr>
          <w:rFonts w:ascii="Times New Roman" w:hAnsi="Times New Roman"/>
          <w:color w:val="000000"/>
          <w:sz w:val="24"/>
          <w:szCs w:val="24"/>
          <w:lang w:val="sr-Cyrl-CS"/>
        </w:rPr>
        <w:t xml:space="preserve"> </w:t>
      </w:r>
      <w:r w:rsidR="00B016A0" w:rsidRPr="00B016A0">
        <w:rPr>
          <w:rFonts w:ascii="Times New Roman" w:hAnsi="Times New Roman"/>
          <w:color w:val="000000"/>
          <w:sz w:val="24"/>
          <w:szCs w:val="24"/>
        </w:rPr>
        <w:t>Обвезник</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је</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лице</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у</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чије</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име</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и</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за</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чији</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рачун</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се</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врши</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испорука</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добара</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или</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пружање</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услуга</w:t>
      </w:r>
      <w:r w:rsidR="00334853" w:rsidRPr="00B016A0">
        <w:rPr>
          <w:rFonts w:ascii="Times New Roman" w:hAnsi="Times New Roman"/>
          <w:color w:val="000000"/>
          <w:sz w:val="24"/>
          <w:szCs w:val="24"/>
        </w:rPr>
        <w:t>.</w:t>
      </w:r>
      <w:r w:rsidR="00E769D9" w:rsidRPr="00B016A0">
        <w:rPr>
          <w:rFonts w:ascii="Times New Roman" w:hAnsi="Times New Roman"/>
          <w:color w:val="000000"/>
          <w:sz w:val="24"/>
          <w:szCs w:val="24"/>
          <w:lang w:val="sr-Cyrl-CS"/>
        </w:rPr>
        <w:t xml:space="preserve"> </w:t>
      </w:r>
      <w:r w:rsidR="00B016A0" w:rsidRPr="00B016A0">
        <w:rPr>
          <w:rFonts w:ascii="Times New Roman" w:hAnsi="Times New Roman"/>
          <w:color w:val="000000"/>
          <w:sz w:val="24"/>
          <w:szCs w:val="24"/>
        </w:rPr>
        <w:t>Обвезник</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је</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лице</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које</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врши</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испоруку</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добара</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односно</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пружање</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услуга</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у</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своје</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име</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а</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за</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рачун</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другог</w:t>
      </w:r>
      <w:r w:rsidR="00334853" w:rsidRPr="00B016A0">
        <w:rPr>
          <w:rFonts w:ascii="Times New Roman" w:hAnsi="Times New Roman"/>
          <w:color w:val="000000"/>
          <w:sz w:val="24"/>
          <w:szCs w:val="24"/>
        </w:rPr>
        <w:t xml:space="preserve"> </w:t>
      </w:r>
      <w:r w:rsidR="00B016A0" w:rsidRPr="00B016A0">
        <w:rPr>
          <w:rFonts w:ascii="Times New Roman" w:hAnsi="Times New Roman"/>
          <w:color w:val="000000"/>
          <w:sz w:val="24"/>
          <w:szCs w:val="24"/>
        </w:rPr>
        <w:t>лица</w:t>
      </w:r>
      <w:r w:rsidR="00E769D9" w:rsidRPr="00B016A0">
        <w:rPr>
          <w:rFonts w:ascii="Times New Roman" w:hAnsi="Times New Roman"/>
          <w:color w:val="000000"/>
          <w:sz w:val="24"/>
          <w:szCs w:val="24"/>
          <w:lang w:val="sr-Cyrl-CS"/>
        </w:rPr>
        <w:t>.</w:t>
      </w:r>
      <w:r w:rsidR="00334853" w:rsidRPr="00B016A0">
        <w:rPr>
          <w:rStyle w:val="FootnoteReference"/>
          <w:rFonts w:ascii="Times New Roman" w:hAnsi="Times New Roman"/>
          <w:color w:val="000000"/>
          <w:sz w:val="24"/>
          <w:szCs w:val="24"/>
        </w:rPr>
        <w:footnoteReference w:id="367"/>
      </w:r>
      <w:r w:rsidR="00E769D9" w:rsidRPr="00B016A0">
        <w:rPr>
          <w:rFonts w:ascii="Times New Roman" w:hAnsi="Times New Roman"/>
          <w:color w:val="000000"/>
          <w:sz w:val="24"/>
          <w:szCs w:val="24"/>
          <w:lang w:val="sr-Cyrl-CS"/>
        </w:rPr>
        <w:t xml:space="preserve"> </w:t>
      </w:r>
      <w:r w:rsidR="0005202B">
        <w:rPr>
          <w:rFonts w:ascii="Times New Roman" w:hAnsi="Times New Roman"/>
          <w:color w:val="000000"/>
          <w:sz w:val="24"/>
          <w:szCs w:val="24"/>
          <w:lang w:val="sr-Cyrl-CS"/>
        </w:rPr>
        <w:t xml:space="preserve">Оваквим </w:t>
      </w:r>
      <w:r w:rsidR="00E769D9" w:rsidRPr="00B016A0">
        <w:rPr>
          <w:rFonts w:ascii="Times New Roman" w:hAnsi="Times New Roman"/>
          <w:color w:val="000000"/>
          <w:sz w:val="24"/>
          <w:szCs w:val="24"/>
          <w:lang w:val="sr-Cyrl-CS"/>
        </w:rPr>
        <w:t>законс</w:t>
      </w:r>
      <w:r w:rsidR="00372836">
        <w:rPr>
          <w:rFonts w:ascii="Times New Roman" w:hAnsi="Times New Roman"/>
          <w:color w:val="000000"/>
          <w:sz w:val="24"/>
          <w:szCs w:val="24"/>
          <w:lang w:val="sr-Cyrl-CS"/>
        </w:rPr>
        <w:t xml:space="preserve">ким регулисањем </w:t>
      </w:r>
      <w:r w:rsidR="0005202B">
        <w:rPr>
          <w:rFonts w:ascii="Times New Roman" w:hAnsi="Times New Roman"/>
          <w:color w:val="000000"/>
          <w:sz w:val="24"/>
          <w:szCs w:val="24"/>
          <w:lang w:val="sr-Cyrl-CS"/>
        </w:rPr>
        <w:t xml:space="preserve">се </w:t>
      </w:r>
      <w:r w:rsidR="00372836">
        <w:rPr>
          <w:rFonts w:ascii="Times New Roman" w:hAnsi="Times New Roman"/>
          <w:color w:val="000000"/>
          <w:sz w:val="24"/>
          <w:szCs w:val="24"/>
          <w:lang w:val="sr-Cyrl-CS"/>
        </w:rPr>
        <w:t>прокла</w:t>
      </w:r>
      <w:r w:rsidR="00E769D9" w:rsidRPr="00B016A0">
        <w:rPr>
          <w:rFonts w:ascii="Times New Roman" w:hAnsi="Times New Roman"/>
          <w:color w:val="000000"/>
          <w:sz w:val="24"/>
          <w:szCs w:val="24"/>
          <w:lang w:val="sr-Cyrl-CS"/>
        </w:rPr>
        <w:t>мује принцип јед</w:t>
      </w:r>
      <w:r w:rsidR="0005202B">
        <w:rPr>
          <w:rFonts w:ascii="Times New Roman" w:hAnsi="Times New Roman"/>
          <w:color w:val="000000"/>
          <w:sz w:val="24"/>
          <w:szCs w:val="24"/>
          <w:lang w:val="sr-Cyrl-CS"/>
        </w:rPr>
        <w:t xml:space="preserve">инства код обављања делатности, односно </w:t>
      </w:r>
      <w:r w:rsidR="00E769D9" w:rsidRPr="00B016A0">
        <w:rPr>
          <w:rFonts w:ascii="Times New Roman" w:hAnsi="Times New Roman"/>
          <w:color w:val="000000"/>
          <w:sz w:val="24"/>
          <w:szCs w:val="24"/>
          <w:lang w:val="sr-Cyrl-CS"/>
        </w:rPr>
        <w:t xml:space="preserve">сматраће се </w:t>
      </w:r>
      <w:r w:rsidR="0005202B">
        <w:rPr>
          <w:rFonts w:ascii="Times New Roman" w:hAnsi="Times New Roman"/>
          <w:color w:val="000000"/>
          <w:sz w:val="24"/>
          <w:szCs w:val="24"/>
          <w:lang w:val="sr-Cyrl-CS"/>
        </w:rPr>
        <w:t>„</w:t>
      </w:r>
      <w:r w:rsidR="00E769D9" w:rsidRPr="00B016A0">
        <w:rPr>
          <w:rFonts w:ascii="Times New Roman" w:hAnsi="Times New Roman"/>
          <w:color w:val="000000"/>
          <w:sz w:val="24"/>
          <w:szCs w:val="24"/>
          <w:lang w:val="sr-Cyrl-CS"/>
        </w:rPr>
        <w:t>да обављање делатности обухвата све економске активности обвезника ПДВ, без обзира на околност да ли је он организован као „хомогена целина“ или има пословне јединице (интерне испоруке добара између пословних јединица нису предмет ПДВ-а.</w:t>
      </w:r>
      <w:r w:rsidR="0005202B">
        <w:rPr>
          <w:rFonts w:ascii="Times New Roman" w:hAnsi="Times New Roman"/>
          <w:color w:val="000000"/>
          <w:sz w:val="24"/>
          <w:szCs w:val="24"/>
          <w:lang w:val="sr-Cyrl-CS"/>
        </w:rPr>
        <w:t>“</w:t>
      </w:r>
      <w:r w:rsidR="00E769D9" w:rsidRPr="00B016A0">
        <w:rPr>
          <w:rStyle w:val="FootnoteReference"/>
          <w:rFonts w:ascii="Times New Roman" w:hAnsi="Times New Roman"/>
          <w:color w:val="000000"/>
          <w:sz w:val="24"/>
          <w:szCs w:val="24"/>
          <w:lang w:val="sr-Cyrl-CS"/>
        </w:rPr>
        <w:footnoteReference w:id="368"/>
      </w:r>
      <w:r w:rsidR="009152B7">
        <w:rPr>
          <w:rFonts w:ascii="Times New Roman" w:hAnsi="Times New Roman"/>
          <w:color w:val="000000"/>
          <w:sz w:val="24"/>
          <w:szCs w:val="24"/>
          <w:lang w:val="sr-Cyrl-CS"/>
        </w:rPr>
        <w:t xml:space="preserve"> </w:t>
      </w:r>
    </w:p>
    <w:p w:rsidR="00CC4EE8" w:rsidRPr="00CC4EE8" w:rsidRDefault="00CC4EE8" w:rsidP="00CC4EE8">
      <w:pPr>
        <w:shd w:val="clear" w:color="auto" w:fill="FFFFFF"/>
        <w:spacing w:after="0" w:line="285" w:lineRule="atLeast"/>
        <w:ind w:firstLine="708"/>
        <w:jc w:val="both"/>
        <w:rPr>
          <w:rFonts w:ascii="Times New Roman" w:hAnsi="Times New Roman"/>
          <w:color w:val="000000"/>
          <w:sz w:val="24"/>
          <w:szCs w:val="24"/>
        </w:rPr>
      </w:pPr>
    </w:p>
    <w:p w:rsidR="00AA7EB9" w:rsidRPr="000B417D" w:rsidRDefault="00B016A0" w:rsidP="000B417D">
      <w:pPr>
        <w:ind w:firstLine="708"/>
        <w:jc w:val="both"/>
        <w:rPr>
          <w:rFonts w:ascii="Times New Roman" w:hAnsi="Times New Roman"/>
          <w:sz w:val="24"/>
          <w:szCs w:val="24"/>
          <w:lang w:val="sr-Cyrl-CS"/>
        </w:rPr>
      </w:pPr>
      <w:r w:rsidRPr="00CC4EE8">
        <w:rPr>
          <w:rFonts w:ascii="Times New Roman" w:hAnsi="Times New Roman"/>
          <w:sz w:val="24"/>
          <w:szCs w:val="24"/>
        </w:rPr>
        <w:t>Република</w:t>
      </w:r>
      <w:r w:rsidR="00334853" w:rsidRPr="00CC4EE8">
        <w:rPr>
          <w:rFonts w:ascii="Times New Roman" w:hAnsi="Times New Roman"/>
          <w:sz w:val="24"/>
          <w:szCs w:val="24"/>
        </w:rPr>
        <w:t xml:space="preserve"> </w:t>
      </w:r>
      <w:r w:rsidRPr="00CC4EE8">
        <w:rPr>
          <w:rFonts w:ascii="Times New Roman" w:hAnsi="Times New Roman"/>
          <w:sz w:val="24"/>
          <w:szCs w:val="24"/>
        </w:rPr>
        <w:t>и</w:t>
      </w:r>
      <w:r w:rsidR="00334853" w:rsidRPr="00CC4EE8">
        <w:rPr>
          <w:rFonts w:ascii="Times New Roman" w:hAnsi="Times New Roman"/>
          <w:sz w:val="24"/>
          <w:szCs w:val="24"/>
        </w:rPr>
        <w:t xml:space="preserve"> </w:t>
      </w:r>
      <w:r w:rsidRPr="00CC4EE8">
        <w:rPr>
          <w:rFonts w:ascii="Times New Roman" w:hAnsi="Times New Roman"/>
          <w:sz w:val="24"/>
          <w:szCs w:val="24"/>
        </w:rPr>
        <w:t>њени</w:t>
      </w:r>
      <w:r w:rsidR="00334853" w:rsidRPr="00CC4EE8">
        <w:rPr>
          <w:rFonts w:ascii="Times New Roman" w:hAnsi="Times New Roman"/>
          <w:sz w:val="24"/>
          <w:szCs w:val="24"/>
        </w:rPr>
        <w:t xml:space="preserve"> </w:t>
      </w:r>
      <w:r w:rsidRPr="00CC4EE8">
        <w:rPr>
          <w:rFonts w:ascii="Times New Roman" w:hAnsi="Times New Roman"/>
          <w:sz w:val="24"/>
          <w:szCs w:val="24"/>
        </w:rPr>
        <w:t>органи</w:t>
      </w:r>
      <w:r w:rsidR="00334853" w:rsidRPr="00CC4EE8">
        <w:rPr>
          <w:rFonts w:ascii="Times New Roman" w:hAnsi="Times New Roman"/>
          <w:sz w:val="24"/>
          <w:szCs w:val="24"/>
        </w:rPr>
        <w:t xml:space="preserve">, </w:t>
      </w:r>
      <w:r w:rsidRPr="00CC4EE8">
        <w:rPr>
          <w:rFonts w:ascii="Times New Roman" w:hAnsi="Times New Roman"/>
          <w:sz w:val="24"/>
          <w:szCs w:val="24"/>
        </w:rPr>
        <w:t>органи</w:t>
      </w:r>
      <w:r w:rsidR="00334853" w:rsidRPr="00CC4EE8">
        <w:rPr>
          <w:rFonts w:ascii="Times New Roman" w:hAnsi="Times New Roman"/>
          <w:sz w:val="24"/>
          <w:szCs w:val="24"/>
        </w:rPr>
        <w:t xml:space="preserve"> </w:t>
      </w:r>
      <w:r w:rsidRPr="00CC4EE8">
        <w:rPr>
          <w:rFonts w:ascii="Times New Roman" w:hAnsi="Times New Roman"/>
          <w:sz w:val="24"/>
          <w:szCs w:val="24"/>
        </w:rPr>
        <w:t>територијалне</w:t>
      </w:r>
      <w:r w:rsidR="00334853" w:rsidRPr="00CC4EE8">
        <w:rPr>
          <w:rFonts w:ascii="Times New Roman" w:hAnsi="Times New Roman"/>
          <w:sz w:val="24"/>
          <w:szCs w:val="24"/>
        </w:rPr>
        <w:t xml:space="preserve"> </w:t>
      </w:r>
      <w:r w:rsidRPr="00CC4EE8">
        <w:rPr>
          <w:rFonts w:ascii="Times New Roman" w:hAnsi="Times New Roman"/>
          <w:sz w:val="24"/>
          <w:szCs w:val="24"/>
        </w:rPr>
        <w:t>аутономије</w:t>
      </w:r>
      <w:r w:rsidR="00334853" w:rsidRPr="00CC4EE8">
        <w:rPr>
          <w:rFonts w:ascii="Times New Roman" w:hAnsi="Times New Roman"/>
          <w:sz w:val="24"/>
          <w:szCs w:val="24"/>
        </w:rPr>
        <w:t xml:space="preserve"> </w:t>
      </w:r>
      <w:r w:rsidRPr="00CC4EE8">
        <w:rPr>
          <w:rFonts w:ascii="Times New Roman" w:hAnsi="Times New Roman"/>
          <w:sz w:val="24"/>
          <w:szCs w:val="24"/>
        </w:rPr>
        <w:t>и</w:t>
      </w:r>
      <w:r w:rsidR="00334853" w:rsidRPr="00CC4EE8">
        <w:rPr>
          <w:rFonts w:ascii="Times New Roman" w:hAnsi="Times New Roman"/>
          <w:sz w:val="24"/>
          <w:szCs w:val="24"/>
        </w:rPr>
        <w:t xml:space="preserve"> </w:t>
      </w:r>
      <w:r w:rsidRPr="00CC4EE8">
        <w:rPr>
          <w:rFonts w:ascii="Times New Roman" w:hAnsi="Times New Roman"/>
          <w:sz w:val="24"/>
          <w:szCs w:val="24"/>
        </w:rPr>
        <w:t>локалне</w:t>
      </w:r>
      <w:r w:rsidR="00334853" w:rsidRPr="00CC4EE8">
        <w:rPr>
          <w:rFonts w:ascii="Times New Roman" w:hAnsi="Times New Roman"/>
          <w:sz w:val="24"/>
          <w:szCs w:val="24"/>
        </w:rPr>
        <w:t xml:space="preserve"> </w:t>
      </w:r>
      <w:r w:rsidRPr="00CC4EE8">
        <w:rPr>
          <w:rFonts w:ascii="Times New Roman" w:hAnsi="Times New Roman"/>
          <w:sz w:val="24"/>
          <w:szCs w:val="24"/>
        </w:rPr>
        <w:t>самоуправе</w:t>
      </w:r>
      <w:r w:rsidR="00334853" w:rsidRPr="00CC4EE8">
        <w:rPr>
          <w:rFonts w:ascii="Times New Roman" w:hAnsi="Times New Roman"/>
          <w:sz w:val="24"/>
          <w:szCs w:val="24"/>
        </w:rPr>
        <w:t xml:space="preserve">, </w:t>
      </w:r>
      <w:r w:rsidRPr="00CC4EE8">
        <w:rPr>
          <w:rFonts w:ascii="Times New Roman" w:hAnsi="Times New Roman"/>
          <w:sz w:val="24"/>
          <w:szCs w:val="24"/>
        </w:rPr>
        <w:t>као</w:t>
      </w:r>
      <w:r w:rsidR="00334853" w:rsidRPr="00CC4EE8">
        <w:rPr>
          <w:rFonts w:ascii="Times New Roman" w:hAnsi="Times New Roman"/>
          <w:sz w:val="24"/>
          <w:szCs w:val="24"/>
        </w:rPr>
        <w:t xml:space="preserve"> </w:t>
      </w:r>
      <w:r w:rsidRPr="00CC4EE8">
        <w:rPr>
          <w:rFonts w:ascii="Times New Roman" w:hAnsi="Times New Roman"/>
          <w:sz w:val="24"/>
          <w:szCs w:val="24"/>
        </w:rPr>
        <w:t>и</w:t>
      </w:r>
      <w:r w:rsidR="00334853" w:rsidRPr="00CC4EE8">
        <w:rPr>
          <w:rFonts w:ascii="Times New Roman" w:hAnsi="Times New Roman"/>
          <w:sz w:val="24"/>
          <w:szCs w:val="24"/>
        </w:rPr>
        <w:t xml:space="preserve"> </w:t>
      </w:r>
      <w:r w:rsidRPr="00CC4EE8">
        <w:rPr>
          <w:rFonts w:ascii="Times New Roman" w:hAnsi="Times New Roman"/>
          <w:sz w:val="24"/>
          <w:szCs w:val="24"/>
        </w:rPr>
        <w:t>правна</w:t>
      </w:r>
      <w:r w:rsidR="00334853" w:rsidRPr="00CC4EE8">
        <w:rPr>
          <w:rFonts w:ascii="Times New Roman" w:hAnsi="Times New Roman"/>
          <w:sz w:val="24"/>
          <w:szCs w:val="24"/>
        </w:rPr>
        <w:t xml:space="preserve"> </w:t>
      </w:r>
      <w:r w:rsidRPr="00CC4EE8">
        <w:rPr>
          <w:rFonts w:ascii="Times New Roman" w:hAnsi="Times New Roman"/>
          <w:sz w:val="24"/>
          <w:szCs w:val="24"/>
        </w:rPr>
        <w:t>лица</w:t>
      </w:r>
      <w:r w:rsidR="00334853" w:rsidRPr="00CC4EE8">
        <w:rPr>
          <w:rFonts w:ascii="Times New Roman" w:hAnsi="Times New Roman"/>
          <w:sz w:val="24"/>
          <w:szCs w:val="24"/>
        </w:rPr>
        <w:t xml:space="preserve"> </w:t>
      </w:r>
      <w:r w:rsidRPr="00CC4EE8">
        <w:rPr>
          <w:rFonts w:ascii="Times New Roman" w:hAnsi="Times New Roman"/>
          <w:sz w:val="24"/>
          <w:szCs w:val="24"/>
        </w:rPr>
        <w:t>основана</w:t>
      </w:r>
      <w:r w:rsidR="00334853" w:rsidRPr="00CC4EE8">
        <w:rPr>
          <w:rFonts w:ascii="Times New Roman" w:hAnsi="Times New Roman"/>
          <w:sz w:val="24"/>
          <w:szCs w:val="24"/>
        </w:rPr>
        <w:t xml:space="preserve"> </w:t>
      </w:r>
      <w:r w:rsidRPr="00CC4EE8">
        <w:rPr>
          <w:rFonts w:ascii="Times New Roman" w:hAnsi="Times New Roman"/>
          <w:sz w:val="24"/>
          <w:szCs w:val="24"/>
        </w:rPr>
        <w:t>законом</w:t>
      </w:r>
      <w:r w:rsidR="00334853" w:rsidRPr="00CC4EE8">
        <w:rPr>
          <w:rFonts w:ascii="Times New Roman" w:hAnsi="Times New Roman"/>
          <w:sz w:val="24"/>
          <w:szCs w:val="24"/>
        </w:rPr>
        <w:t xml:space="preserve">, </w:t>
      </w:r>
      <w:r w:rsidRPr="00CC4EE8">
        <w:rPr>
          <w:rFonts w:ascii="Times New Roman" w:hAnsi="Times New Roman"/>
          <w:sz w:val="24"/>
          <w:szCs w:val="24"/>
        </w:rPr>
        <w:t>односно</w:t>
      </w:r>
      <w:r w:rsidR="00334853" w:rsidRPr="00CC4EE8">
        <w:rPr>
          <w:rFonts w:ascii="Times New Roman" w:hAnsi="Times New Roman"/>
          <w:sz w:val="24"/>
          <w:szCs w:val="24"/>
        </w:rPr>
        <w:t xml:space="preserve"> </w:t>
      </w:r>
      <w:r w:rsidRPr="00CC4EE8">
        <w:rPr>
          <w:rFonts w:ascii="Times New Roman" w:hAnsi="Times New Roman"/>
          <w:sz w:val="24"/>
          <w:szCs w:val="24"/>
        </w:rPr>
        <w:t>актом</w:t>
      </w:r>
      <w:r w:rsidR="00334853" w:rsidRPr="00CC4EE8">
        <w:rPr>
          <w:rFonts w:ascii="Times New Roman" w:hAnsi="Times New Roman"/>
          <w:sz w:val="24"/>
          <w:szCs w:val="24"/>
        </w:rPr>
        <w:t xml:space="preserve"> </w:t>
      </w:r>
      <w:r w:rsidRPr="00CC4EE8">
        <w:rPr>
          <w:rFonts w:ascii="Times New Roman" w:hAnsi="Times New Roman"/>
          <w:sz w:val="24"/>
          <w:szCs w:val="24"/>
        </w:rPr>
        <w:t>органа</w:t>
      </w:r>
      <w:r w:rsidR="00334853" w:rsidRPr="00CC4EE8">
        <w:rPr>
          <w:rFonts w:ascii="Times New Roman" w:hAnsi="Times New Roman"/>
          <w:sz w:val="24"/>
          <w:szCs w:val="24"/>
        </w:rPr>
        <w:t xml:space="preserve"> </w:t>
      </w:r>
      <w:r w:rsidRPr="00CC4EE8">
        <w:rPr>
          <w:rFonts w:ascii="Times New Roman" w:hAnsi="Times New Roman"/>
          <w:sz w:val="24"/>
          <w:szCs w:val="24"/>
        </w:rPr>
        <w:t>Републике</w:t>
      </w:r>
      <w:r w:rsidR="00334853" w:rsidRPr="00CC4EE8">
        <w:rPr>
          <w:rFonts w:ascii="Times New Roman" w:hAnsi="Times New Roman"/>
          <w:sz w:val="24"/>
          <w:szCs w:val="24"/>
        </w:rPr>
        <w:t xml:space="preserve">, </w:t>
      </w:r>
      <w:r w:rsidRPr="00CC4EE8">
        <w:rPr>
          <w:rFonts w:ascii="Times New Roman" w:hAnsi="Times New Roman"/>
          <w:sz w:val="24"/>
          <w:szCs w:val="24"/>
        </w:rPr>
        <w:t>територијалне</w:t>
      </w:r>
      <w:r w:rsidR="00334853" w:rsidRPr="00CC4EE8">
        <w:rPr>
          <w:rFonts w:ascii="Times New Roman" w:hAnsi="Times New Roman"/>
          <w:sz w:val="24"/>
          <w:szCs w:val="24"/>
        </w:rPr>
        <w:t xml:space="preserve"> </w:t>
      </w:r>
      <w:r w:rsidRPr="00CC4EE8">
        <w:rPr>
          <w:rFonts w:ascii="Times New Roman" w:hAnsi="Times New Roman"/>
          <w:sz w:val="24"/>
          <w:szCs w:val="24"/>
        </w:rPr>
        <w:t>аутономије</w:t>
      </w:r>
      <w:r w:rsidR="00334853" w:rsidRPr="00CC4EE8">
        <w:rPr>
          <w:rFonts w:ascii="Times New Roman" w:hAnsi="Times New Roman"/>
          <w:sz w:val="24"/>
          <w:szCs w:val="24"/>
        </w:rPr>
        <w:t xml:space="preserve"> </w:t>
      </w:r>
      <w:r w:rsidRPr="00CC4EE8">
        <w:rPr>
          <w:rFonts w:ascii="Times New Roman" w:hAnsi="Times New Roman"/>
          <w:sz w:val="24"/>
          <w:szCs w:val="24"/>
        </w:rPr>
        <w:t>или</w:t>
      </w:r>
      <w:r w:rsidR="00334853" w:rsidRPr="00CC4EE8">
        <w:rPr>
          <w:rFonts w:ascii="Times New Roman" w:hAnsi="Times New Roman"/>
          <w:sz w:val="24"/>
          <w:szCs w:val="24"/>
        </w:rPr>
        <w:t xml:space="preserve"> </w:t>
      </w:r>
      <w:r w:rsidRPr="00CC4EE8">
        <w:rPr>
          <w:rFonts w:ascii="Times New Roman" w:hAnsi="Times New Roman"/>
          <w:sz w:val="24"/>
          <w:szCs w:val="24"/>
        </w:rPr>
        <w:t>локалне</w:t>
      </w:r>
      <w:r w:rsidR="00334853" w:rsidRPr="00CC4EE8">
        <w:rPr>
          <w:rFonts w:ascii="Times New Roman" w:hAnsi="Times New Roman"/>
          <w:sz w:val="24"/>
          <w:szCs w:val="24"/>
        </w:rPr>
        <w:t xml:space="preserve"> </w:t>
      </w:r>
      <w:r w:rsidRPr="00CC4EE8">
        <w:rPr>
          <w:rFonts w:ascii="Times New Roman" w:hAnsi="Times New Roman"/>
          <w:sz w:val="24"/>
          <w:szCs w:val="24"/>
        </w:rPr>
        <w:t>самоуправе</w:t>
      </w:r>
      <w:r w:rsidR="00334853" w:rsidRPr="00CC4EE8">
        <w:rPr>
          <w:rFonts w:ascii="Times New Roman" w:hAnsi="Times New Roman"/>
          <w:sz w:val="24"/>
          <w:szCs w:val="24"/>
        </w:rPr>
        <w:t xml:space="preserve"> </w:t>
      </w:r>
      <w:r w:rsidRPr="00CC4EE8">
        <w:rPr>
          <w:rFonts w:ascii="Times New Roman" w:hAnsi="Times New Roman"/>
          <w:sz w:val="24"/>
          <w:szCs w:val="24"/>
        </w:rPr>
        <w:t>у</w:t>
      </w:r>
      <w:r w:rsidR="00334853" w:rsidRPr="00CC4EE8">
        <w:rPr>
          <w:rFonts w:ascii="Times New Roman" w:hAnsi="Times New Roman"/>
          <w:sz w:val="24"/>
          <w:szCs w:val="24"/>
        </w:rPr>
        <w:t xml:space="preserve"> </w:t>
      </w:r>
      <w:r w:rsidRPr="00CC4EE8">
        <w:rPr>
          <w:rFonts w:ascii="Times New Roman" w:hAnsi="Times New Roman"/>
          <w:sz w:val="24"/>
          <w:szCs w:val="24"/>
        </w:rPr>
        <w:t>циљу</w:t>
      </w:r>
      <w:r w:rsidR="00334853" w:rsidRPr="00CC4EE8">
        <w:rPr>
          <w:rFonts w:ascii="Times New Roman" w:hAnsi="Times New Roman"/>
          <w:sz w:val="24"/>
          <w:szCs w:val="24"/>
        </w:rPr>
        <w:t xml:space="preserve"> </w:t>
      </w:r>
      <w:r w:rsidRPr="00CC4EE8">
        <w:rPr>
          <w:rFonts w:ascii="Times New Roman" w:hAnsi="Times New Roman"/>
          <w:sz w:val="24"/>
          <w:szCs w:val="24"/>
        </w:rPr>
        <w:t>обављања</w:t>
      </w:r>
      <w:r w:rsidR="00334853" w:rsidRPr="00CC4EE8">
        <w:rPr>
          <w:rFonts w:ascii="Times New Roman" w:hAnsi="Times New Roman"/>
          <w:sz w:val="24"/>
          <w:szCs w:val="24"/>
        </w:rPr>
        <w:t xml:space="preserve"> </w:t>
      </w:r>
      <w:r w:rsidRPr="00CC4EE8">
        <w:rPr>
          <w:rFonts w:ascii="Times New Roman" w:hAnsi="Times New Roman"/>
          <w:sz w:val="24"/>
          <w:szCs w:val="24"/>
        </w:rPr>
        <w:t>послова</w:t>
      </w:r>
      <w:r w:rsidR="00334853" w:rsidRPr="00CC4EE8">
        <w:rPr>
          <w:rFonts w:ascii="Times New Roman" w:hAnsi="Times New Roman"/>
          <w:sz w:val="24"/>
          <w:szCs w:val="24"/>
        </w:rPr>
        <w:t xml:space="preserve"> </w:t>
      </w:r>
      <w:r w:rsidRPr="00CC4EE8">
        <w:rPr>
          <w:rFonts w:ascii="Times New Roman" w:hAnsi="Times New Roman"/>
          <w:sz w:val="24"/>
          <w:szCs w:val="24"/>
        </w:rPr>
        <w:t>државне</w:t>
      </w:r>
      <w:r w:rsidR="00334853" w:rsidRPr="00CC4EE8">
        <w:rPr>
          <w:rFonts w:ascii="Times New Roman" w:hAnsi="Times New Roman"/>
          <w:sz w:val="24"/>
          <w:szCs w:val="24"/>
        </w:rPr>
        <w:t xml:space="preserve"> </w:t>
      </w:r>
      <w:r w:rsidRPr="00CC4EE8">
        <w:rPr>
          <w:rFonts w:ascii="Times New Roman" w:hAnsi="Times New Roman"/>
          <w:sz w:val="24"/>
          <w:szCs w:val="24"/>
        </w:rPr>
        <w:t>управе</w:t>
      </w:r>
      <w:r w:rsidR="00334853" w:rsidRPr="00CC4EE8">
        <w:rPr>
          <w:rFonts w:ascii="Times New Roman" w:hAnsi="Times New Roman"/>
          <w:sz w:val="24"/>
          <w:szCs w:val="24"/>
        </w:rPr>
        <w:t xml:space="preserve"> </w:t>
      </w:r>
      <w:r w:rsidRPr="00CC4EE8">
        <w:rPr>
          <w:rFonts w:ascii="Times New Roman" w:hAnsi="Times New Roman"/>
          <w:sz w:val="24"/>
          <w:szCs w:val="24"/>
        </w:rPr>
        <w:t>или</w:t>
      </w:r>
      <w:r w:rsidR="00334853" w:rsidRPr="00CC4EE8">
        <w:rPr>
          <w:rFonts w:ascii="Times New Roman" w:hAnsi="Times New Roman"/>
          <w:sz w:val="24"/>
          <w:szCs w:val="24"/>
        </w:rPr>
        <w:t xml:space="preserve"> </w:t>
      </w:r>
      <w:r w:rsidRPr="00CC4EE8">
        <w:rPr>
          <w:rFonts w:ascii="Times New Roman" w:hAnsi="Times New Roman"/>
          <w:sz w:val="24"/>
          <w:szCs w:val="24"/>
        </w:rPr>
        <w:t>локалне</w:t>
      </w:r>
      <w:r w:rsidR="00334853" w:rsidRPr="00CC4EE8">
        <w:rPr>
          <w:rFonts w:ascii="Times New Roman" w:hAnsi="Times New Roman"/>
          <w:sz w:val="24"/>
          <w:szCs w:val="24"/>
        </w:rPr>
        <w:t xml:space="preserve"> </w:t>
      </w:r>
      <w:r w:rsidRPr="00CC4EE8">
        <w:rPr>
          <w:rFonts w:ascii="Times New Roman" w:hAnsi="Times New Roman"/>
          <w:sz w:val="24"/>
          <w:szCs w:val="24"/>
        </w:rPr>
        <w:t>самоуправе</w:t>
      </w:r>
      <w:r w:rsidR="00B729CD" w:rsidRPr="00CC4EE8">
        <w:rPr>
          <w:rFonts w:ascii="Times New Roman" w:hAnsi="Times New Roman"/>
          <w:sz w:val="24"/>
          <w:szCs w:val="24"/>
          <w:lang w:val="sr-Cyrl-CS"/>
        </w:rPr>
        <w:t xml:space="preserve">, </w:t>
      </w:r>
      <w:r w:rsidRPr="00CC4EE8">
        <w:rPr>
          <w:rFonts w:ascii="Times New Roman" w:hAnsi="Times New Roman"/>
          <w:sz w:val="24"/>
          <w:szCs w:val="24"/>
        </w:rPr>
        <w:t>нису</w:t>
      </w:r>
      <w:r w:rsidR="00334853" w:rsidRPr="00CC4EE8">
        <w:rPr>
          <w:rFonts w:ascii="Times New Roman" w:hAnsi="Times New Roman"/>
          <w:sz w:val="24"/>
          <w:szCs w:val="24"/>
        </w:rPr>
        <w:t xml:space="preserve"> </w:t>
      </w:r>
      <w:r w:rsidRPr="00CC4EE8">
        <w:rPr>
          <w:rFonts w:ascii="Times New Roman" w:hAnsi="Times New Roman"/>
          <w:sz w:val="24"/>
          <w:szCs w:val="24"/>
        </w:rPr>
        <w:t>обвезници</w:t>
      </w:r>
      <w:r w:rsidR="00334853" w:rsidRPr="00CC4EE8">
        <w:rPr>
          <w:rFonts w:ascii="Times New Roman" w:hAnsi="Times New Roman"/>
          <w:sz w:val="24"/>
          <w:szCs w:val="24"/>
        </w:rPr>
        <w:t xml:space="preserve"> </w:t>
      </w:r>
      <w:r w:rsidRPr="00CC4EE8">
        <w:rPr>
          <w:rFonts w:ascii="Times New Roman" w:hAnsi="Times New Roman"/>
          <w:sz w:val="24"/>
          <w:szCs w:val="24"/>
        </w:rPr>
        <w:t>у</w:t>
      </w:r>
      <w:r w:rsidR="00334853" w:rsidRPr="00CC4EE8">
        <w:rPr>
          <w:rFonts w:ascii="Times New Roman" w:hAnsi="Times New Roman"/>
          <w:sz w:val="24"/>
          <w:szCs w:val="24"/>
        </w:rPr>
        <w:t xml:space="preserve"> </w:t>
      </w:r>
      <w:r w:rsidRPr="00CC4EE8">
        <w:rPr>
          <w:rFonts w:ascii="Times New Roman" w:hAnsi="Times New Roman"/>
          <w:sz w:val="24"/>
          <w:szCs w:val="24"/>
        </w:rPr>
        <w:t>смислу</w:t>
      </w:r>
      <w:r w:rsidR="00334853" w:rsidRPr="00CC4EE8">
        <w:rPr>
          <w:rFonts w:ascii="Times New Roman" w:hAnsi="Times New Roman"/>
          <w:sz w:val="24"/>
          <w:szCs w:val="24"/>
        </w:rPr>
        <w:t xml:space="preserve"> </w:t>
      </w:r>
      <w:r w:rsidRPr="00CC4EE8">
        <w:rPr>
          <w:rFonts w:ascii="Times New Roman" w:hAnsi="Times New Roman"/>
          <w:sz w:val="24"/>
          <w:szCs w:val="24"/>
        </w:rPr>
        <w:t>овог</w:t>
      </w:r>
      <w:r w:rsidR="00334853" w:rsidRPr="00CC4EE8">
        <w:rPr>
          <w:rFonts w:ascii="Times New Roman" w:hAnsi="Times New Roman"/>
          <w:sz w:val="24"/>
          <w:szCs w:val="24"/>
        </w:rPr>
        <w:t xml:space="preserve"> </w:t>
      </w:r>
      <w:r w:rsidRPr="00CC4EE8">
        <w:rPr>
          <w:rFonts w:ascii="Times New Roman" w:hAnsi="Times New Roman"/>
          <w:sz w:val="24"/>
          <w:szCs w:val="24"/>
        </w:rPr>
        <w:t>закона</w:t>
      </w:r>
      <w:r w:rsidR="00334853" w:rsidRPr="00CC4EE8">
        <w:rPr>
          <w:rFonts w:ascii="Times New Roman" w:hAnsi="Times New Roman"/>
          <w:sz w:val="24"/>
          <w:szCs w:val="24"/>
        </w:rPr>
        <w:t xml:space="preserve"> </w:t>
      </w:r>
      <w:r w:rsidRPr="00CC4EE8">
        <w:rPr>
          <w:rFonts w:ascii="Times New Roman" w:hAnsi="Times New Roman"/>
          <w:sz w:val="24"/>
          <w:szCs w:val="24"/>
        </w:rPr>
        <w:t>ако</w:t>
      </w:r>
      <w:r w:rsidR="00334853" w:rsidRPr="00CC4EE8">
        <w:rPr>
          <w:rFonts w:ascii="Times New Roman" w:hAnsi="Times New Roman"/>
          <w:sz w:val="24"/>
          <w:szCs w:val="24"/>
        </w:rPr>
        <w:t xml:space="preserve"> </w:t>
      </w:r>
      <w:r w:rsidRPr="00CC4EE8">
        <w:rPr>
          <w:rFonts w:ascii="Times New Roman" w:hAnsi="Times New Roman"/>
          <w:sz w:val="24"/>
          <w:szCs w:val="24"/>
        </w:rPr>
        <w:t>обављају</w:t>
      </w:r>
      <w:r w:rsidR="00334853" w:rsidRPr="00CC4EE8">
        <w:rPr>
          <w:rFonts w:ascii="Times New Roman" w:hAnsi="Times New Roman"/>
          <w:sz w:val="24"/>
          <w:szCs w:val="24"/>
        </w:rPr>
        <w:t xml:space="preserve"> </w:t>
      </w:r>
      <w:r w:rsidRPr="00CC4EE8">
        <w:rPr>
          <w:rFonts w:ascii="Times New Roman" w:hAnsi="Times New Roman"/>
          <w:sz w:val="24"/>
          <w:szCs w:val="24"/>
        </w:rPr>
        <w:t>промет</w:t>
      </w:r>
      <w:r w:rsidR="00334853" w:rsidRPr="00CC4EE8">
        <w:rPr>
          <w:rFonts w:ascii="Times New Roman" w:hAnsi="Times New Roman"/>
          <w:sz w:val="24"/>
          <w:szCs w:val="24"/>
        </w:rPr>
        <w:t xml:space="preserve"> </w:t>
      </w:r>
      <w:r w:rsidRPr="00CC4EE8">
        <w:rPr>
          <w:rFonts w:ascii="Times New Roman" w:hAnsi="Times New Roman"/>
          <w:sz w:val="24"/>
          <w:szCs w:val="24"/>
        </w:rPr>
        <w:t>добара</w:t>
      </w:r>
      <w:r w:rsidR="00334853" w:rsidRPr="00CC4EE8">
        <w:rPr>
          <w:rFonts w:ascii="Times New Roman" w:hAnsi="Times New Roman"/>
          <w:sz w:val="24"/>
          <w:szCs w:val="24"/>
        </w:rPr>
        <w:t xml:space="preserve"> </w:t>
      </w:r>
      <w:r w:rsidRPr="00CC4EE8">
        <w:rPr>
          <w:rFonts w:ascii="Times New Roman" w:hAnsi="Times New Roman"/>
          <w:sz w:val="24"/>
          <w:szCs w:val="24"/>
        </w:rPr>
        <w:t>и</w:t>
      </w:r>
      <w:r w:rsidR="00334853" w:rsidRPr="00CC4EE8">
        <w:rPr>
          <w:rFonts w:ascii="Times New Roman" w:hAnsi="Times New Roman"/>
          <w:sz w:val="24"/>
          <w:szCs w:val="24"/>
        </w:rPr>
        <w:t xml:space="preserve"> </w:t>
      </w:r>
      <w:r w:rsidRPr="00CC4EE8">
        <w:rPr>
          <w:rFonts w:ascii="Times New Roman" w:hAnsi="Times New Roman"/>
          <w:sz w:val="24"/>
          <w:szCs w:val="24"/>
        </w:rPr>
        <w:t>услуга</w:t>
      </w:r>
      <w:r w:rsidR="00334853" w:rsidRPr="00CC4EE8">
        <w:rPr>
          <w:rFonts w:ascii="Times New Roman" w:hAnsi="Times New Roman"/>
          <w:sz w:val="24"/>
          <w:szCs w:val="24"/>
        </w:rPr>
        <w:t xml:space="preserve"> </w:t>
      </w:r>
      <w:r w:rsidRPr="00CC4EE8">
        <w:rPr>
          <w:rFonts w:ascii="Times New Roman" w:hAnsi="Times New Roman"/>
          <w:sz w:val="24"/>
          <w:szCs w:val="24"/>
        </w:rPr>
        <w:t>из</w:t>
      </w:r>
      <w:r w:rsidR="00334853" w:rsidRPr="00CC4EE8">
        <w:rPr>
          <w:rFonts w:ascii="Times New Roman" w:hAnsi="Times New Roman"/>
          <w:sz w:val="24"/>
          <w:szCs w:val="24"/>
        </w:rPr>
        <w:t xml:space="preserve"> </w:t>
      </w:r>
      <w:r w:rsidRPr="00CC4EE8">
        <w:rPr>
          <w:rFonts w:ascii="Times New Roman" w:hAnsi="Times New Roman"/>
          <w:sz w:val="24"/>
          <w:szCs w:val="24"/>
        </w:rPr>
        <w:t>делокруга</w:t>
      </w:r>
      <w:r w:rsidR="00334853" w:rsidRPr="00CC4EE8">
        <w:rPr>
          <w:rFonts w:ascii="Times New Roman" w:hAnsi="Times New Roman"/>
          <w:sz w:val="24"/>
          <w:szCs w:val="24"/>
        </w:rPr>
        <w:t xml:space="preserve"> </w:t>
      </w:r>
      <w:r w:rsidRPr="00CC4EE8">
        <w:rPr>
          <w:rFonts w:ascii="Times New Roman" w:hAnsi="Times New Roman"/>
          <w:sz w:val="24"/>
          <w:szCs w:val="24"/>
        </w:rPr>
        <w:t>органа</w:t>
      </w:r>
      <w:r w:rsidR="00334853" w:rsidRPr="00CC4EE8">
        <w:rPr>
          <w:rFonts w:ascii="Times New Roman" w:hAnsi="Times New Roman"/>
          <w:sz w:val="24"/>
          <w:szCs w:val="24"/>
        </w:rPr>
        <w:t xml:space="preserve">, </w:t>
      </w:r>
      <w:r w:rsidRPr="00CC4EE8">
        <w:rPr>
          <w:rFonts w:ascii="Times New Roman" w:hAnsi="Times New Roman"/>
          <w:sz w:val="24"/>
          <w:szCs w:val="24"/>
        </w:rPr>
        <w:t>односно</w:t>
      </w:r>
      <w:r w:rsidR="00334853" w:rsidRPr="00CC4EE8">
        <w:rPr>
          <w:rFonts w:ascii="Times New Roman" w:hAnsi="Times New Roman"/>
          <w:sz w:val="24"/>
          <w:szCs w:val="24"/>
        </w:rPr>
        <w:t xml:space="preserve"> </w:t>
      </w:r>
      <w:r w:rsidRPr="00CC4EE8">
        <w:rPr>
          <w:rFonts w:ascii="Times New Roman" w:hAnsi="Times New Roman"/>
          <w:sz w:val="24"/>
          <w:szCs w:val="24"/>
        </w:rPr>
        <w:t>у</w:t>
      </w:r>
      <w:r w:rsidR="00334853" w:rsidRPr="00CC4EE8">
        <w:rPr>
          <w:rFonts w:ascii="Times New Roman" w:hAnsi="Times New Roman"/>
          <w:sz w:val="24"/>
          <w:szCs w:val="24"/>
        </w:rPr>
        <w:t xml:space="preserve"> </w:t>
      </w:r>
      <w:r w:rsidRPr="00CC4EE8">
        <w:rPr>
          <w:rFonts w:ascii="Times New Roman" w:hAnsi="Times New Roman"/>
          <w:sz w:val="24"/>
          <w:szCs w:val="24"/>
        </w:rPr>
        <w:t>циљу</w:t>
      </w:r>
      <w:r w:rsidR="00334853" w:rsidRPr="00CC4EE8">
        <w:rPr>
          <w:rFonts w:ascii="Times New Roman" w:hAnsi="Times New Roman"/>
          <w:sz w:val="24"/>
          <w:szCs w:val="24"/>
        </w:rPr>
        <w:t xml:space="preserve"> </w:t>
      </w:r>
      <w:r w:rsidRPr="00CC4EE8">
        <w:rPr>
          <w:rFonts w:ascii="Times New Roman" w:hAnsi="Times New Roman"/>
          <w:sz w:val="24"/>
          <w:szCs w:val="24"/>
        </w:rPr>
        <w:t>обављања</w:t>
      </w:r>
      <w:r w:rsidR="00334853" w:rsidRPr="00CC4EE8">
        <w:rPr>
          <w:rFonts w:ascii="Times New Roman" w:hAnsi="Times New Roman"/>
          <w:sz w:val="24"/>
          <w:szCs w:val="24"/>
        </w:rPr>
        <w:t xml:space="preserve"> </w:t>
      </w:r>
      <w:r w:rsidRPr="00CC4EE8">
        <w:rPr>
          <w:rFonts w:ascii="Times New Roman" w:hAnsi="Times New Roman"/>
          <w:sz w:val="24"/>
          <w:szCs w:val="24"/>
        </w:rPr>
        <w:t>послова</w:t>
      </w:r>
      <w:r w:rsidR="00334853" w:rsidRPr="00CC4EE8">
        <w:rPr>
          <w:rFonts w:ascii="Times New Roman" w:hAnsi="Times New Roman"/>
          <w:sz w:val="24"/>
          <w:szCs w:val="24"/>
        </w:rPr>
        <w:t xml:space="preserve"> </w:t>
      </w:r>
      <w:r w:rsidRPr="00CC4EE8">
        <w:rPr>
          <w:rFonts w:ascii="Times New Roman" w:hAnsi="Times New Roman"/>
          <w:sz w:val="24"/>
          <w:szCs w:val="24"/>
        </w:rPr>
        <w:t>државне</w:t>
      </w:r>
      <w:r w:rsidR="00B729CD" w:rsidRPr="00CC4EE8">
        <w:rPr>
          <w:rFonts w:ascii="Times New Roman" w:hAnsi="Times New Roman"/>
          <w:sz w:val="24"/>
          <w:szCs w:val="24"/>
        </w:rPr>
        <w:t xml:space="preserve"> </w:t>
      </w:r>
      <w:r w:rsidRPr="00CC4EE8">
        <w:rPr>
          <w:rFonts w:ascii="Times New Roman" w:hAnsi="Times New Roman"/>
          <w:sz w:val="24"/>
          <w:szCs w:val="24"/>
        </w:rPr>
        <w:t>управе</w:t>
      </w:r>
      <w:r w:rsidR="00B729CD" w:rsidRPr="00CC4EE8">
        <w:rPr>
          <w:rFonts w:ascii="Times New Roman" w:hAnsi="Times New Roman"/>
          <w:sz w:val="24"/>
          <w:szCs w:val="24"/>
        </w:rPr>
        <w:t xml:space="preserve"> </w:t>
      </w:r>
      <w:r w:rsidRPr="00CC4EE8">
        <w:rPr>
          <w:rFonts w:ascii="Times New Roman" w:hAnsi="Times New Roman"/>
          <w:sz w:val="24"/>
          <w:szCs w:val="24"/>
        </w:rPr>
        <w:t>или</w:t>
      </w:r>
      <w:r w:rsidR="00B729CD" w:rsidRPr="00CC4EE8">
        <w:rPr>
          <w:rFonts w:ascii="Times New Roman" w:hAnsi="Times New Roman"/>
          <w:sz w:val="24"/>
          <w:szCs w:val="24"/>
        </w:rPr>
        <w:t xml:space="preserve"> </w:t>
      </w:r>
      <w:r w:rsidRPr="00CC4EE8">
        <w:rPr>
          <w:rFonts w:ascii="Times New Roman" w:hAnsi="Times New Roman"/>
          <w:sz w:val="24"/>
          <w:szCs w:val="24"/>
        </w:rPr>
        <w:t>локалне</w:t>
      </w:r>
      <w:r w:rsidR="00B729CD" w:rsidRPr="00CC4EE8">
        <w:rPr>
          <w:rFonts w:ascii="Times New Roman" w:hAnsi="Times New Roman"/>
          <w:sz w:val="24"/>
          <w:szCs w:val="24"/>
        </w:rPr>
        <w:t xml:space="preserve"> </w:t>
      </w:r>
      <w:r w:rsidRPr="00CC4EE8">
        <w:rPr>
          <w:rFonts w:ascii="Times New Roman" w:hAnsi="Times New Roman"/>
          <w:sz w:val="24"/>
          <w:szCs w:val="24"/>
        </w:rPr>
        <w:t>самоуправе</w:t>
      </w:r>
      <w:r w:rsidR="00B729CD" w:rsidRPr="00CC4EE8">
        <w:rPr>
          <w:rFonts w:ascii="Times New Roman" w:hAnsi="Times New Roman"/>
          <w:sz w:val="24"/>
          <w:szCs w:val="24"/>
          <w:lang w:val="sr-Cyrl-CS"/>
        </w:rPr>
        <w:t xml:space="preserve">, али ће бити обвезници у случају </w:t>
      </w:r>
      <w:r w:rsidRPr="00CC4EE8">
        <w:rPr>
          <w:rFonts w:ascii="Times New Roman" w:hAnsi="Times New Roman"/>
          <w:sz w:val="24"/>
          <w:szCs w:val="24"/>
        </w:rPr>
        <w:t>промет</w:t>
      </w:r>
      <w:r w:rsidR="00B729CD" w:rsidRPr="00CC4EE8">
        <w:rPr>
          <w:rFonts w:ascii="Times New Roman" w:hAnsi="Times New Roman"/>
          <w:sz w:val="24"/>
          <w:szCs w:val="24"/>
        </w:rPr>
        <w:t xml:space="preserve">а </w:t>
      </w:r>
      <w:r w:rsidRPr="00CC4EE8">
        <w:rPr>
          <w:rFonts w:ascii="Times New Roman" w:hAnsi="Times New Roman"/>
          <w:sz w:val="24"/>
          <w:szCs w:val="24"/>
        </w:rPr>
        <w:t>добара</w:t>
      </w:r>
      <w:r w:rsidR="00B729CD" w:rsidRPr="00CC4EE8">
        <w:rPr>
          <w:rFonts w:ascii="Times New Roman" w:hAnsi="Times New Roman"/>
          <w:sz w:val="24"/>
          <w:szCs w:val="24"/>
        </w:rPr>
        <w:t xml:space="preserve"> </w:t>
      </w:r>
      <w:r w:rsidRPr="00CC4EE8">
        <w:rPr>
          <w:rFonts w:ascii="Times New Roman" w:hAnsi="Times New Roman"/>
          <w:sz w:val="24"/>
          <w:szCs w:val="24"/>
        </w:rPr>
        <w:t>и</w:t>
      </w:r>
      <w:r w:rsidR="00B729CD" w:rsidRPr="00CC4EE8">
        <w:rPr>
          <w:rFonts w:ascii="Times New Roman" w:hAnsi="Times New Roman"/>
          <w:sz w:val="24"/>
          <w:szCs w:val="24"/>
        </w:rPr>
        <w:t xml:space="preserve"> </w:t>
      </w:r>
      <w:r w:rsidRPr="00CC4EE8">
        <w:rPr>
          <w:rFonts w:ascii="Times New Roman" w:hAnsi="Times New Roman"/>
          <w:sz w:val="24"/>
          <w:szCs w:val="24"/>
        </w:rPr>
        <w:t>услуга</w:t>
      </w:r>
      <w:r w:rsidR="00B729CD" w:rsidRPr="00CC4EE8">
        <w:rPr>
          <w:rFonts w:ascii="Times New Roman" w:hAnsi="Times New Roman"/>
          <w:sz w:val="24"/>
          <w:szCs w:val="24"/>
        </w:rPr>
        <w:t xml:space="preserve"> </w:t>
      </w:r>
      <w:r w:rsidR="00334853" w:rsidRPr="00CC4EE8">
        <w:rPr>
          <w:rFonts w:ascii="Times New Roman" w:hAnsi="Times New Roman"/>
          <w:sz w:val="24"/>
          <w:szCs w:val="24"/>
        </w:rPr>
        <w:t xml:space="preserve"> </w:t>
      </w:r>
      <w:r w:rsidRPr="00CC4EE8">
        <w:rPr>
          <w:rFonts w:ascii="Times New Roman" w:hAnsi="Times New Roman"/>
          <w:sz w:val="24"/>
          <w:szCs w:val="24"/>
        </w:rPr>
        <w:t>за</w:t>
      </w:r>
      <w:r w:rsidR="00334853" w:rsidRPr="00CC4EE8">
        <w:rPr>
          <w:rFonts w:ascii="Times New Roman" w:hAnsi="Times New Roman"/>
          <w:sz w:val="24"/>
          <w:szCs w:val="24"/>
        </w:rPr>
        <w:t xml:space="preserve"> </w:t>
      </w:r>
      <w:r w:rsidRPr="00CC4EE8">
        <w:rPr>
          <w:rFonts w:ascii="Times New Roman" w:hAnsi="Times New Roman"/>
          <w:sz w:val="24"/>
          <w:szCs w:val="24"/>
        </w:rPr>
        <w:t>који</w:t>
      </w:r>
      <w:r w:rsidR="00B729CD" w:rsidRPr="00CC4EE8">
        <w:rPr>
          <w:rFonts w:ascii="Times New Roman" w:hAnsi="Times New Roman"/>
          <w:sz w:val="24"/>
          <w:szCs w:val="24"/>
        </w:rPr>
        <w:t xml:space="preserve"> </w:t>
      </w:r>
      <w:r w:rsidRPr="00CC4EE8">
        <w:rPr>
          <w:rFonts w:ascii="Times New Roman" w:hAnsi="Times New Roman"/>
          <w:sz w:val="24"/>
          <w:szCs w:val="24"/>
        </w:rPr>
        <w:t>би</w:t>
      </w:r>
      <w:r w:rsidR="00B729CD" w:rsidRPr="00CC4EE8">
        <w:rPr>
          <w:rFonts w:ascii="Times New Roman" w:hAnsi="Times New Roman"/>
          <w:sz w:val="24"/>
          <w:szCs w:val="24"/>
        </w:rPr>
        <w:t xml:space="preserve"> </w:t>
      </w:r>
      <w:r w:rsidRPr="00CC4EE8">
        <w:rPr>
          <w:rFonts w:ascii="Times New Roman" w:hAnsi="Times New Roman"/>
          <w:sz w:val="24"/>
          <w:szCs w:val="24"/>
        </w:rPr>
        <w:t>изузимање</w:t>
      </w:r>
      <w:r w:rsidR="00B729CD" w:rsidRPr="00CC4EE8">
        <w:rPr>
          <w:rFonts w:ascii="Times New Roman" w:hAnsi="Times New Roman"/>
          <w:sz w:val="24"/>
          <w:szCs w:val="24"/>
        </w:rPr>
        <w:t xml:space="preserve"> </w:t>
      </w:r>
      <w:r w:rsidRPr="00CC4EE8">
        <w:rPr>
          <w:rFonts w:ascii="Times New Roman" w:hAnsi="Times New Roman"/>
          <w:sz w:val="24"/>
          <w:szCs w:val="24"/>
        </w:rPr>
        <w:t>од</w:t>
      </w:r>
      <w:r w:rsidR="00B729CD" w:rsidRPr="00CC4EE8">
        <w:rPr>
          <w:rFonts w:ascii="Times New Roman" w:hAnsi="Times New Roman"/>
          <w:sz w:val="24"/>
          <w:szCs w:val="24"/>
        </w:rPr>
        <w:t xml:space="preserve"> </w:t>
      </w:r>
      <w:r w:rsidR="00B729CD" w:rsidRPr="00CC4EE8">
        <w:rPr>
          <w:rFonts w:ascii="Times New Roman" w:hAnsi="Times New Roman"/>
          <w:sz w:val="24"/>
          <w:szCs w:val="24"/>
          <w:lang w:val="sr-Cyrl-CS"/>
        </w:rPr>
        <w:t xml:space="preserve">ове </w:t>
      </w:r>
      <w:r w:rsidRPr="00CC4EE8">
        <w:rPr>
          <w:rFonts w:ascii="Times New Roman" w:hAnsi="Times New Roman"/>
          <w:sz w:val="24"/>
          <w:szCs w:val="24"/>
        </w:rPr>
        <w:t>обавезе</w:t>
      </w:r>
      <w:r w:rsidR="00B729CD" w:rsidRPr="00CC4EE8">
        <w:rPr>
          <w:rFonts w:ascii="Times New Roman" w:hAnsi="Times New Roman"/>
          <w:sz w:val="24"/>
          <w:szCs w:val="24"/>
        </w:rPr>
        <w:t xml:space="preserve"> </w:t>
      </w:r>
      <w:r w:rsidR="00334853" w:rsidRPr="00CC4EE8">
        <w:rPr>
          <w:rFonts w:ascii="Times New Roman" w:hAnsi="Times New Roman"/>
          <w:sz w:val="24"/>
          <w:szCs w:val="24"/>
        </w:rPr>
        <w:t xml:space="preserve"> </w:t>
      </w:r>
      <w:r w:rsidRPr="00CC4EE8">
        <w:rPr>
          <w:rFonts w:ascii="Times New Roman" w:hAnsi="Times New Roman"/>
          <w:sz w:val="24"/>
          <w:szCs w:val="24"/>
        </w:rPr>
        <w:t>могло</w:t>
      </w:r>
      <w:r w:rsidR="00334853" w:rsidRPr="00CC4EE8">
        <w:rPr>
          <w:rFonts w:ascii="Times New Roman" w:hAnsi="Times New Roman"/>
          <w:sz w:val="24"/>
          <w:szCs w:val="24"/>
        </w:rPr>
        <w:t xml:space="preserve"> </w:t>
      </w:r>
      <w:r w:rsidRPr="00CC4EE8">
        <w:rPr>
          <w:rFonts w:ascii="Times New Roman" w:hAnsi="Times New Roman"/>
          <w:sz w:val="24"/>
          <w:szCs w:val="24"/>
        </w:rPr>
        <w:t>да</w:t>
      </w:r>
      <w:r w:rsidR="00334853" w:rsidRPr="00CC4EE8">
        <w:rPr>
          <w:rFonts w:ascii="Times New Roman" w:hAnsi="Times New Roman"/>
          <w:sz w:val="24"/>
          <w:szCs w:val="24"/>
        </w:rPr>
        <w:t xml:space="preserve"> </w:t>
      </w:r>
      <w:r w:rsidRPr="00CC4EE8">
        <w:rPr>
          <w:rFonts w:ascii="Times New Roman" w:hAnsi="Times New Roman"/>
          <w:sz w:val="24"/>
          <w:szCs w:val="24"/>
        </w:rPr>
        <w:t>доведе</w:t>
      </w:r>
      <w:r w:rsidR="00334853" w:rsidRPr="00CC4EE8">
        <w:rPr>
          <w:rFonts w:ascii="Times New Roman" w:hAnsi="Times New Roman"/>
          <w:sz w:val="24"/>
          <w:szCs w:val="24"/>
        </w:rPr>
        <w:t xml:space="preserve"> </w:t>
      </w:r>
      <w:r w:rsidRPr="00CC4EE8">
        <w:rPr>
          <w:rFonts w:ascii="Times New Roman" w:hAnsi="Times New Roman"/>
          <w:sz w:val="24"/>
          <w:szCs w:val="24"/>
        </w:rPr>
        <w:t>до</w:t>
      </w:r>
      <w:r w:rsidR="00334853" w:rsidRPr="00CC4EE8">
        <w:rPr>
          <w:rFonts w:ascii="Times New Roman" w:hAnsi="Times New Roman"/>
          <w:sz w:val="24"/>
          <w:szCs w:val="24"/>
        </w:rPr>
        <w:t xml:space="preserve"> </w:t>
      </w:r>
      <w:r w:rsidRPr="00CC4EE8">
        <w:rPr>
          <w:rFonts w:ascii="Times New Roman" w:hAnsi="Times New Roman"/>
          <w:sz w:val="24"/>
          <w:szCs w:val="24"/>
        </w:rPr>
        <w:t>нарушавања</w:t>
      </w:r>
      <w:r w:rsidR="00334853" w:rsidRPr="00CC4EE8">
        <w:rPr>
          <w:rFonts w:ascii="Times New Roman" w:hAnsi="Times New Roman"/>
          <w:sz w:val="24"/>
          <w:szCs w:val="24"/>
        </w:rPr>
        <w:t xml:space="preserve"> </w:t>
      </w:r>
      <w:r w:rsidRPr="00CC4EE8">
        <w:rPr>
          <w:rFonts w:ascii="Times New Roman" w:hAnsi="Times New Roman"/>
          <w:sz w:val="24"/>
          <w:szCs w:val="24"/>
        </w:rPr>
        <w:t>конкуренције</w:t>
      </w:r>
      <w:r w:rsidR="00334853" w:rsidRPr="00CC4EE8">
        <w:rPr>
          <w:rFonts w:ascii="Times New Roman" w:hAnsi="Times New Roman"/>
          <w:sz w:val="24"/>
          <w:szCs w:val="24"/>
        </w:rPr>
        <w:t xml:space="preserve">, </w:t>
      </w:r>
      <w:r w:rsidRPr="00CC4EE8">
        <w:rPr>
          <w:rFonts w:ascii="Times New Roman" w:hAnsi="Times New Roman"/>
          <w:sz w:val="24"/>
          <w:szCs w:val="24"/>
        </w:rPr>
        <w:t>као</w:t>
      </w:r>
      <w:r w:rsidR="00334853" w:rsidRPr="00CC4EE8">
        <w:rPr>
          <w:rFonts w:ascii="Times New Roman" w:hAnsi="Times New Roman"/>
          <w:sz w:val="24"/>
          <w:szCs w:val="24"/>
        </w:rPr>
        <w:t xml:space="preserve"> </w:t>
      </w:r>
      <w:r w:rsidRPr="00CC4EE8">
        <w:rPr>
          <w:rFonts w:ascii="Times New Roman" w:hAnsi="Times New Roman"/>
          <w:sz w:val="24"/>
          <w:szCs w:val="24"/>
        </w:rPr>
        <w:t>и</w:t>
      </w:r>
      <w:r w:rsidR="00334853" w:rsidRPr="00CC4EE8">
        <w:rPr>
          <w:rFonts w:ascii="Times New Roman" w:hAnsi="Times New Roman"/>
          <w:sz w:val="24"/>
          <w:szCs w:val="24"/>
        </w:rPr>
        <w:t xml:space="preserve"> </w:t>
      </w:r>
      <w:r w:rsidRPr="00CC4EE8">
        <w:rPr>
          <w:rFonts w:ascii="Times New Roman" w:hAnsi="Times New Roman"/>
          <w:sz w:val="24"/>
          <w:szCs w:val="24"/>
        </w:rPr>
        <w:t>за</w:t>
      </w:r>
      <w:r w:rsidR="00334853" w:rsidRPr="00CC4EE8">
        <w:rPr>
          <w:rFonts w:ascii="Times New Roman" w:hAnsi="Times New Roman"/>
          <w:sz w:val="24"/>
          <w:szCs w:val="24"/>
        </w:rPr>
        <w:t xml:space="preserve"> </w:t>
      </w:r>
      <w:r w:rsidRPr="00CC4EE8">
        <w:rPr>
          <w:rFonts w:ascii="Times New Roman" w:hAnsi="Times New Roman"/>
          <w:sz w:val="24"/>
          <w:szCs w:val="24"/>
        </w:rPr>
        <w:t>промет</w:t>
      </w:r>
      <w:r w:rsidR="00334853" w:rsidRPr="00CC4EE8">
        <w:rPr>
          <w:rFonts w:ascii="Times New Roman" w:hAnsi="Times New Roman"/>
          <w:sz w:val="24"/>
          <w:szCs w:val="24"/>
        </w:rPr>
        <w:t xml:space="preserve"> </w:t>
      </w:r>
      <w:r w:rsidRPr="00CC4EE8">
        <w:rPr>
          <w:rFonts w:ascii="Times New Roman" w:hAnsi="Times New Roman"/>
          <w:sz w:val="24"/>
          <w:szCs w:val="24"/>
        </w:rPr>
        <w:t>добара</w:t>
      </w:r>
      <w:r w:rsidR="00334853" w:rsidRPr="00CC4EE8">
        <w:rPr>
          <w:rFonts w:ascii="Times New Roman" w:hAnsi="Times New Roman"/>
          <w:sz w:val="24"/>
          <w:szCs w:val="24"/>
        </w:rPr>
        <w:t xml:space="preserve"> </w:t>
      </w:r>
      <w:r w:rsidRPr="00CC4EE8">
        <w:rPr>
          <w:rFonts w:ascii="Times New Roman" w:hAnsi="Times New Roman"/>
          <w:sz w:val="24"/>
          <w:szCs w:val="24"/>
        </w:rPr>
        <w:t>и</w:t>
      </w:r>
      <w:r w:rsidR="00334853" w:rsidRPr="00CC4EE8">
        <w:rPr>
          <w:rFonts w:ascii="Times New Roman" w:hAnsi="Times New Roman"/>
          <w:sz w:val="24"/>
          <w:szCs w:val="24"/>
        </w:rPr>
        <w:t xml:space="preserve"> </w:t>
      </w:r>
      <w:r w:rsidRPr="00CC4EE8">
        <w:rPr>
          <w:rFonts w:ascii="Times New Roman" w:hAnsi="Times New Roman"/>
          <w:sz w:val="24"/>
          <w:szCs w:val="24"/>
        </w:rPr>
        <w:t>услуга</w:t>
      </w:r>
      <w:r w:rsidR="00334853" w:rsidRPr="00CC4EE8">
        <w:rPr>
          <w:rFonts w:ascii="Times New Roman" w:hAnsi="Times New Roman"/>
          <w:sz w:val="24"/>
          <w:szCs w:val="24"/>
        </w:rPr>
        <w:t xml:space="preserve"> </w:t>
      </w:r>
      <w:r w:rsidRPr="00CC4EE8">
        <w:rPr>
          <w:rFonts w:ascii="Times New Roman" w:hAnsi="Times New Roman"/>
          <w:sz w:val="24"/>
          <w:szCs w:val="24"/>
        </w:rPr>
        <w:t>изван</w:t>
      </w:r>
      <w:r w:rsidR="00334853" w:rsidRPr="00CC4EE8">
        <w:rPr>
          <w:rFonts w:ascii="Times New Roman" w:hAnsi="Times New Roman"/>
          <w:sz w:val="24"/>
          <w:szCs w:val="24"/>
        </w:rPr>
        <w:t xml:space="preserve"> </w:t>
      </w:r>
      <w:r w:rsidRPr="00CC4EE8">
        <w:rPr>
          <w:rFonts w:ascii="Times New Roman" w:hAnsi="Times New Roman"/>
          <w:sz w:val="24"/>
          <w:szCs w:val="24"/>
        </w:rPr>
        <w:t>делокруга</w:t>
      </w:r>
      <w:r w:rsidR="00334853" w:rsidRPr="00CC4EE8">
        <w:rPr>
          <w:rFonts w:ascii="Times New Roman" w:hAnsi="Times New Roman"/>
          <w:sz w:val="24"/>
          <w:szCs w:val="24"/>
        </w:rPr>
        <w:t xml:space="preserve"> </w:t>
      </w:r>
      <w:r w:rsidRPr="00CC4EE8">
        <w:rPr>
          <w:rFonts w:ascii="Times New Roman" w:hAnsi="Times New Roman"/>
          <w:sz w:val="24"/>
          <w:szCs w:val="24"/>
        </w:rPr>
        <w:t>органа</w:t>
      </w:r>
      <w:r w:rsidR="00334853" w:rsidRPr="00CC4EE8">
        <w:rPr>
          <w:rFonts w:ascii="Times New Roman" w:hAnsi="Times New Roman"/>
          <w:sz w:val="24"/>
          <w:szCs w:val="24"/>
        </w:rPr>
        <w:t xml:space="preserve">, </w:t>
      </w:r>
      <w:r w:rsidRPr="00CC4EE8">
        <w:rPr>
          <w:rFonts w:ascii="Times New Roman" w:hAnsi="Times New Roman"/>
          <w:sz w:val="24"/>
          <w:szCs w:val="24"/>
        </w:rPr>
        <w:t>односно</w:t>
      </w:r>
      <w:r w:rsidR="00334853" w:rsidRPr="00CC4EE8">
        <w:rPr>
          <w:rFonts w:ascii="Times New Roman" w:hAnsi="Times New Roman"/>
          <w:sz w:val="24"/>
          <w:szCs w:val="24"/>
        </w:rPr>
        <w:t xml:space="preserve"> </w:t>
      </w:r>
      <w:r w:rsidRPr="00CC4EE8">
        <w:rPr>
          <w:rFonts w:ascii="Times New Roman" w:hAnsi="Times New Roman"/>
          <w:sz w:val="24"/>
          <w:szCs w:val="24"/>
        </w:rPr>
        <w:t>ван</w:t>
      </w:r>
      <w:r w:rsidR="00334853" w:rsidRPr="00CC4EE8">
        <w:rPr>
          <w:rFonts w:ascii="Times New Roman" w:hAnsi="Times New Roman"/>
          <w:sz w:val="24"/>
          <w:szCs w:val="24"/>
        </w:rPr>
        <w:t xml:space="preserve"> </w:t>
      </w:r>
      <w:r w:rsidRPr="00CC4EE8">
        <w:rPr>
          <w:rFonts w:ascii="Times New Roman" w:hAnsi="Times New Roman"/>
          <w:sz w:val="24"/>
          <w:szCs w:val="24"/>
        </w:rPr>
        <w:t>обављања</w:t>
      </w:r>
      <w:r w:rsidR="00334853" w:rsidRPr="00CC4EE8">
        <w:rPr>
          <w:rFonts w:ascii="Times New Roman" w:hAnsi="Times New Roman"/>
          <w:sz w:val="24"/>
          <w:szCs w:val="24"/>
        </w:rPr>
        <w:t xml:space="preserve"> </w:t>
      </w:r>
      <w:r w:rsidRPr="00CC4EE8">
        <w:rPr>
          <w:rFonts w:ascii="Times New Roman" w:hAnsi="Times New Roman"/>
          <w:sz w:val="24"/>
          <w:szCs w:val="24"/>
        </w:rPr>
        <w:t>послова</w:t>
      </w:r>
      <w:r w:rsidR="00334853" w:rsidRPr="00CC4EE8">
        <w:rPr>
          <w:rFonts w:ascii="Times New Roman" w:hAnsi="Times New Roman"/>
          <w:sz w:val="24"/>
          <w:szCs w:val="24"/>
        </w:rPr>
        <w:t xml:space="preserve"> </w:t>
      </w:r>
      <w:r w:rsidRPr="00CC4EE8">
        <w:rPr>
          <w:rFonts w:ascii="Times New Roman" w:hAnsi="Times New Roman"/>
          <w:sz w:val="24"/>
          <w:szCs w:val="24"/>
        </w:rPr>
        <w:t>државне</w:t>
      </w:r>
      <w:r w:rsidR="00334853" w:rsidRPr="00CC4EE8">
        <w:rPr>
          <w:rFonts w:ascii="Times New Roman" w:hAnsi="Times New Roman"/>
          <w:sz w:val="24"/>
          <w:szCs w:val="24"/>
        </w:rPr>
        <w:t xml:space="preserve"> </w:t>
      </w:r>
      <w:r w:rsidRPr="00CC4EE8">
        <w:rPr>
          <w:rFonts w:ascii="Times New Roman" w:hAnsi="Times New Roman"/>
          <w:sz w:val="24"/>
          <w:szCs w:val="24"/>
        </w:rPr>
        <w:t>управе</w:t>
      </w:r>
      <w:r w:rsidR="00334853" w:rsidRPr="00CC4EE8">
        <w:rPr>
          <w:rFonts w:ascii="Times New Roman" w:hAnsi="Times New Roman"/>
          <w:sz w:val="24"/>
          <w:szCs w:val="24"/>
        </w:rPr>
        <w:t xml:space="preserve"> </w:t>
      </w:r>
      <w:r w:rsidRPr="00CC4EE8">
        <w:rPr>
          <w:rFonts w:ascii="Times New Roman" w:hAnsi="Times New Roman"/>
          <w:sz w:val="24"/>
          <w:szCs w:val="24"/>
        </w:rPr>
        <w:t>или</w:t>
      </w:r>
      <w:r w:rsidR="00334853" w:rsidRPr="00CC4EE8">
        <w:rPr>
          <w:rFonts w:ascii="Times New Roman" w:hAnsi="Times New Roman"/>
          <w:sz w:val="24"/>
          <w:szCs w:val="24"/>
        </w:rPr>
        <w:t xml:space="preserve"> </w:t>
      </w:r>
      <w:r w:rsidRPr="00CC4EE8">
        <w:rPr>
          <w:rFonts w:ascii="Times New Roman" w:hAnsi="Times New Roman"/>
          <w:sz w:val="24"/>
          <w:szCs w:val="24"/>
        </w:rPr>
        <w:t>локалне</w:t>
      </w:r>
      <w:r w:rsidR="00334853" w:rsidRPr="00CC4EE8">
        <w:rPr>
          <w:rFonts w:ascii="Times New Roman" w:hAnsi="Times New Roman"/>
          <w:sz w:val="24"/>
          <w:szCs w:val="24"/>
        </w:rPr>
        <w:t xml:space="preserve"> </w:t>
      </w:r>
      <w:r w:rsidRPr="00CC4EE8">
        <w:rPr>
          <w:rFonts w:ascii="Times New Roman" w:hAnsi="Times New Roman"/>
          <w:sz w:val="24"/>
          <w:szCs w:val="24"/>
        </w:rPr>
        <w:t>самоуправе</w:t>
      </w:r>
      <w:r w:rsidR="00334853" w:rsidRPr="00CC4EE8">
        <w:rPr>
          <w:rFonts w:ascii="Times New Roman" w:hAnsi="Times New Roman"/>
          <w:sz w:val="24"/>
          <w:szCs w:val="24"/>
        </w:rPr>
        <w:t xml:space="preserve">, </w:t>
      </w:r>
      <w:r w:rsidRPr="00CC4EE8">
        <w:rPr>
          <w:rFonts w:ascii="Times New Roman" w:hAnsi="Times New Roman"/>
          <w:sz w:val="24"/>
          <w:szCs w:val="24"/>
        </w:rPr>
        <w:t>а</w:t>
      </w:r>
      <w:r w:rsidR="00334853" w:rsidRPr="00CC4EE8">
        <w:rPr>
          <w:rFonts w:ascii="Times New Roman" w:hAnsi="Times New Roman"/>
          <w:sz w:val="24"/>
          <w:szCs w:val="24"/>
        </w:rPr>
        <w:t xml:space="preserve"> </w:t>
      </w:r>
      <w:r w:rsidRPr="00CC4EE8">
        <w:rPr>
          <w:rFonts w:ascii="Times New Roman" w:hAnsi="Times New Roman"/>
          <w:sz w:val="24"/>
          <w:szCs w:val="24"/>
        </w:rPr>
        <w:t>који</w:t>
      </w:r>
      <w:r w:rsidR="00334853" w:rsidRPr="00CC4EE8">
        <w:rPr>
          <w:rFonts w:ascii="Times New Roman" w:hAnsi="Times New Roman"/>
          <w:sz w:val="24"/>
          <w:szCs w:val="24"/>
        </w:rPr>
        <w:t xml:space="preserve"> </w:t>
      </w:r>
      <w:r w:rsidRPr="00CC4EE8">
        <w:rPr>
          <w:rFonts w:ascii="Times New Roman" w:hAnsi="Times New Roman"/>
          <w:sz w:val="24"/>
          <w:szCs w:val="24"/>
        </w:rPr>
        <w:t>су</w:t>
      </w:r>
      <w:r w:rsidR="00334853" w:rsidRPr="00CC4EE8">
        <w:rPr>
          <w:rFonts w:ascii="Times New Roman" w:hAnsi="Times New Roman"/>
          <w:sz w:val="24"/>
          <w:szCs w:val="24"/>
        </w:rPr>
        <w:t xml:space="preserve"> </w:t>
      </w:r>
      <w:r w:rsidRPr="00CC4EE8">
        <w:rPr>
          <w:rFonts w:ascii="Times New Roman" w:hAnsi="Times New Roman"/>
          <w:sz w:val="24"/>
          <w:szCs w:val="24"/>
        </w:rPr>
        <w:t>опорезиви</w:t>
      </w:r>
      <w:r w:rsidR="00334853" w:rsidRPr="00CC4EE8">
        <w:rPr>
          <w:rFonts w:ascii="Times New Roman" w:hAnsi="Times New Roman"/>
          <w:sz w:val="24"/>
          <w:szCs w:val="24"/>
        </w:rPr>
        <w:t xml:space="preserve"> </w:t>
      </w:r>
      <w:r w:rsidRPr="00CC4EE8">
        <w:rPr>
          <w:rFonts w:ascii="Times New Roman" w:hAnsi="Times New Roman"/>
          <w:sz w:val="24"/>
          <w:szCs w:val="24"/>
        </w:rPr>
        <w:t>у</w:t>
      </w:r>
      <w:r w:rsidR="00334853" w:rsidRPr="00CC4EE8">
        <w:rPr>
          <w:rFonts w:ascii="Times New Roman" w:hAnsi="Times New Roman"/>
          <w:sz w:val="24"/>
          <w:szCs w:val="24"/>
        </w:rPr>
        <w:t xml:space="preserve"> </w:t>
      </w:r>
      <w:r w:rsidRPr="00CC4EE8">
        <w:rPr>
          <w:rFonts w:ascii="Times New Roman" w:hAnsi="Times New Roman"/>
          <w:sz w:val="24"/>
          <w:szCs w:val="24"/>
        </w:rPr>
        <w:t>складу</w:t>
      </w:r>
      <w:r w:rsidR="00334853" w:rsidRPr="00CC4EE8">
        <w:rPr>
          <w:rFonts w:ascii="Times New Roman" w:hAnsi="Times New Roman"/>
          <w:sz w:val="24"/>
          <w:szCs w:val="24"/>
        </w:rPr>
        <w:t xml:space="preserve"> </w:t>
      </w:r>
      <w:r w:rsidRPr="00CC4EE8">
        <w:rPr>
          <w:rFonts w:ascii="Times New Roman" w:hAnsi="Times New Roman"/>
          <w:sz w:val="24"/>
          <w:szCs w:val="24"/>
        </w:rPr>
        <w:t>са</w:t>
      </w:r>
      <w:r w:rsidR="00334853" w:rsidRPr="00CC4EE8">
        <w:rPr>
          <w:rFonts w:ascii="Times New Roman" w:hAnsi="Times New Roman"/>
          <w:sz w:val="24"/>
          <w:szCs w:val="24"/>
        </w:rPr>
        <w:t xml:space="preserve"> </w:t>
      </w:r>
      <w:r w:rsidRPr="00CC4EE8">
        <w:rPr>
          <w:rFonts w:ascii="Times New Roman" w:hAnsi="Times New Roman"/>
          <w:sz w:val="24"/>
          <w:szCs w:val="24"/>
        </w:rPr>
        <w:t>овим</w:t>
      </w:r>
      <w:r w:rsidR="00334853" w:rsidRPr="00CC4EE8">
        <w:rPr>
          <w:rFonts w:ascii="Times New Roman" w:hAnsi="Times New Roman"/>
          <w:sz w:val="24"/>
          <w:szCs w:val="24"/>
        </w:rPr>
        <w:t xml:space="preserve"> </w:t>
      </w:r>
      <w:r w:rsidRPr="00CC4EE8">
        <w:rPr>
          <w:rFonts w:ascii="Times New Roman" w:hAnsi="Times New Roman"/>
          <w:sz w:val="24"/>
          <w:szCs w:val="24"/>
        </w:rPr>
        <w:t>законом</w:t>
      </w:r>
      <w:r w:rsidR="00334853" w:rsidRPr="00CC4EE8">
        <w:rPr>
          <w:rFonts w:ascii="Times New Roman" w:hAnsi="Times New Roman"/>
          <w:sz w:val="24"/>
          <w:szCs w:val="24"/>
        </w:rPr>
        <w:t>.</w:t>
      </w:r>
      <w:r w:rsidR="00B729CD" w:rsidRPr="00CC4EE8">
        <w:rPr>
          <w:rStyle w:val="FootnoteReference"/>
          <w:rFonts w:ascii="Times New Roman" w:hAnsi="Times New Roman"/>
          <w:color w:val="000000"/>
          <w:sz w:val="24"/>
          <w:szCs w:val="24"/>
        </w:rPr>
        <w:footnoteReference w:id="369"/>
      </w:r>
      <w:r w:rsidR="00CC4EE8">
        <w:rPr>
          <w:rFonts w:ascii="Times New Roman" w:hAnsi="Times New Roman"/>
          <w:sz w:val="24"/>
          <w:szCs w:val="24"/>
        </w:rPr>
        <w:t xml:space="preserve"> </w:t>
      </w:r>
    </w:p>
    <w:p w:rsidR="00B016A0" w:rsidRPr="000B417D" w:rsidRDefault="00334853" w:rsidP="00FB5A28">
      <w:pPr>
        <w:ind w:firstLine="708"/>
        <w:jc w:val="both"/>
        <w:rPr>
          <w:rFonts w:ascii="Times New Roman" w:hAnsi="Times New Roman"/>
          <w:sz w:val="24"/>
          <w:szCs w:val="24"/>
          <w:lang w:val="sr-Cyrl-CS"/>
        </w:rPr>
      </w:pPr>
      <w:r w:rsidRPr="000B417D">
        <w:rPr>
          <w:rFonts w:ascii="Times New Roman" w:hAnsi="Times New Roman"/>
          <w:sz w:val="24"/>
          <w:szCs w:val="24"/>
          <w:lang w:val="sr-Cyrl-CS"/>
        </w:rPr>
        <w:t>Поред пореског обвезника, други порески дужници</w:t>
      </w:r>
      <w:r w:rsidR="00B729CD" w:rsidRPr="000B417D">
        <w:rPr>
          <w:rStyle w:val="FootnoteReference"/>
          <w:rFonts w:ascii="Times New Roman" w:hAnsi="Times New Roman"/>
          <w:bCs/>
          <w:color w:val="000000"/>
          <w:sz w:val="24"/>
          <w:szCs w:val="24"/>
          <w:lang w:val="sr-Cyrl-CS"/>
        </w:rPr>
        <w:footnoteReference w:id="370"/>
      </w:r>
      <w:r w:rsidRPr="000B417D">
        <w:rPr>
          <w:rFonts w:ascii="Times New Roman" w:hAnsi="Times New Roman"/>
          <w:sz w:val="24"/>
          <w:szCs w:val="24"/>
          <w:lang w:val="sr-Cyrl-CS"/>
        </w:rPr>
        <w:t xml:space="preserve"> који имају обавезу да плаћају порез на додату вредност</w:t>
      </w:r>
      <w:r w:rsidR="00B729CD" w:rsidRPr="000B417D">
        <w:rPr>
          <w:rFonts w:ascii="Times New Roman" w:hAnsi="Times New Roman"/>
          <w:sz w:val="24"/>
          <w:szCs w:val="24"/>
          <w:lang w:val="sr-Cyrl-CS"/>
        </w:rPr>
        <w:t>, поред пореског обвезника,</w:t>
      </w:r>
      <w:r w:rsidRPr="000B417D">
        <w:rPr>
          <w:rFonts w:ascii="Times New Roman" w:hAnsi="Times New Roman"/>
          <w:sz w:val="24"/>
          <w:szCs w:val="24"/>
          <w:lang w:val="sr-Cyrl-CS"/>
        </w:rPr>
        <w:t xml:space="preserve"> су:</w:t>
      </w:r>
      <w:r w:rsidR="00B729CD" w:rsidRPr="000B417D">
        <w:rPr>
          <w:rFonts w:ascii="Times New Roman" w:hAnsi="Times New Roman"/>
          <w:sz w:val="24"/>
          <w:szCs w:val="24"/>
          <w:lang w:val="sr-Cyrl-CS"/>
        </w:rPr>
        <w:t xml:space="preserve"> </w:t>
      </w:r>
      <w:r w:rsidR="00FB5A28">
        <w:rPr>
          <w:rFonts w:ascii="Times New Roman" w:hAnsi="Times New Roman"/>
          <w:sz w:val="24"/>
          <w:szCs w:val="24"/>
          <w:lang w:val="sr-Cyrl-CS"/>
        </w:rPr>
        <w:t xml:space="preserve"> </w:t>
      </w:r>
    </w:p>
    <w:p w:rsidR="00334853" w:rsidRPr="000B417D" w:rsidRDefault="00B016A0" w:rsidP="000B417D">
      <w:pPr>
        <w:jc w:val="both"/>
        <w:rPr>
          <w:rFonts w:ascii="Times New Roman" w:hAnsi="Times New Roman"/>
          <w:sz w:val="24"/>
          <w:szCs w:val="24"/>
        </w:rPr>
      </w:pPr>
      <w:r w:rsidRPr="000B417D">
        <w:rPr>
          <w:rFonts w:ascii="Times New Roman" w:hAnsi="Times New Roman"/>
          <w:sz w:val="24"/>
          <w:szCs w:val="24"/>
        </w:rPr>
        <w:lastRenderedPageBreak/>
        <w:t>порески</w:t>
      </w:r>
      <w:r w:rsidR="00334853" w:rsidRPr="000B417D">
        <w:rPr>
          <w:rFonts w:ascii="Times New Roman" w:hAnsi="Times New Roman"/>
          <w:sz w:val="24"/>
          <w:szCs w:val="24"/>
        </w:rPr>
        <w:t xml:space="preserve"> </w:t>
      </w:r>
      <w:r w:rsidRPr="000B417D">
        <w:rPr>
          <w:rFonts w:ascii="Times New Roman" w:hAnsi="Times New Roman"/>
          <w:sz w:val="24"/>
          <w:szCs w:val="24"/>
        </w:rPr>
        <w:t>пуномоћник</w:t>
      </w:r>
      <w:r w:rsidR="00334853" w:rsidRPr="000B417D">
        <w:rPr>
          <w:rFonts w:ascii="Times New Roman" w:hAnsi="Times New Roman"/>
          <w:sz w:val="24"/>
          <w:szCs w:val="24"/>
        </w:rPr>
        <w:t xml:space="preserve"> </w:t>
      </w:r>
      <w:r w:rsidRPr="000B417D">
        <w:rPr>
          <w:rFonts w:ascii="Times New Roman" w:hAnsi="Times New Roman"/>
          <w:sz w:val="24"/>
          <w:szCs w:val="24"/>
        </w:rPr>
        <w:t>кога</w:t>
      </w:r>
      <w:r w:rsidR="00334853" w:rsidRPr="000B417D">
        <w:rPr>
          <w:rFonts w:ascii="Times New Roman" w:hAnsi="Times New Roman"/>
          <w:sz w:val="24"/>
          <w:szCs w:val="24"/>
        </w:rPr>
        <w:t xml:space="preserve"> </w:t>
      </w:r>
      <w:r w:rsidRPr="000B417D">
        <w:rPr>
          <w:rFonts w:ascii="Times New Roman" w:hAnsi="Times New Roman"/>
          <w:sz w:val="24"/>
          <w:szCs w:val="24"/>
        </w:rPr>
        <w:t>одреди</w:t>
      </w:r>
      <w:r w:rsidR="00334853" w:rsidRPr="000B417D">
        <w:rPr>
          <w:rFonts w:ascii="Times New Roman" w:hAnsi="Times New Roman"/>
          <w:sz w:val="24"/>
          <w:szCs w:val="24"/>
        </w:rPr>
        <w:t xml:space="preserve"> </w:t>
      </w:r>
      <w:r w:rsidRPr="000B417D">
        <w:rPr>
          <w:rFonts w:ascii="Times New Roman" w:hAnsi="Times New Roman"/>
          <w:sz w:val="24"/>
          <w:szCs w:val="24"/>
        </w:rPr>
        <w:t>страно</w:t>
      </w:r>
      <w:r w:rsidR="00334853" w:rsidRPr="000B417D">
        <w:rPr>
          <w:rFonts w:ascii="Times New Roman" w:hAnsi="Times New Roman"/>
          <w:sz w:val="24"/>
          <w:szCs w:val="24"/>
        </w:rPr>
        <w:t xml:space="preserve"> </w:t>
      </w:r>
      <w:r w:rsidRPr="000B417D">
        <w:rPr>
          <w:rFonts w:ascii="Times New Roman" w:hAnsi="Times New Roman"/>
          <w:sz w:val="24"/>
          <w:szCs w:val="24"/>
        </w:rPr>
        <w:t>лице</w:t>
      </w:r>
      <w:r w:rsidR="00334853" w:rsidRPr="000B417D">
        <w:rPr>
          <w:rFonts w:ascii="Times New Roman" w:hAnsi="Times New Roman"/>
          <w:sz w:val="24"/>
          <w:szCs w:val="24"/>
        </w:rPr>
        <w:t xml:space="preserve"> </w:t>
      </w:r>
      <w:r w:rsidRPr="000B417D">
        <w:rPr>
          <w:rFonts w:ascii="Times New Roman" w:hAnsi="Times New Roman"/>
          <w:sz w:val="24"/>
          <w:szCs w:val="24"/>
        </w:rPr>
        <w:t>које</w:t>
      </w:r>
      <w:r w:rsidR="00334853" w:rsidRPr="000B417D">
        <w:rPr>
          <w:rFonts w:ascii="Times New Roman" w:hAnsi="Times New Roman"/>
          <w:sz w:val="24"/>
          <w:szCs w:val="24"/>
        </w:rPr>
        <w:t xml:space="preserve"> </w:t>
      </w:r>
      <w:r w:rsidRPr="000B417D">
        <w:rPr>
          <w:rFonts w:ascii="Times New Roman" w:hAnsi="Times New Roman"/>
          <w:sz w:val="24"/>
          <w:szCs w:val="24"/>
        </w:rPr>
        <w:t>у</w:t>
      </w:r>
      <w:r w:rsidR="00334853" w:rsidRPr="000B417D">
        <w:rPr>
          <w:rFonts w:ascii="Times New Roman" w:hAnsi="Times New Roman"/>
          <w:sz w:val="24"/>
          <w:szCs w:val="24"/>
        </w:rPr>
        <w:t xml:space="preserve"> </w:t>
      </w:r>
      <w:r w:rsidRPr="000B417D">
        <w:rPr>
          <w:rFonts w:ascii="Times New Roman" w:hAnsi="Times New Roman"/>
          <w:sz w:val="24"/>
          <w:szCs w:val="24"/>
        </w:rPr>
        <w:t>Републици</w:t>
      </w:r>
      <w:r w:rsidR="00334853" w:rsidRPr="000B417D">
        <w:rPr>
          <w:rFonts w:ascii="Times New Roman" w:hAnsi="Times New Roman"/>
          <w:sz w:val="24"/>
          <w:szCs w:val="24"/>
        </w:rPr>
        <w:t xml:space="preserve"> </w:t>
      </w:r>
      <w:r w:rsidRPr="000B417D">
        <w:rPr>
          <w:rFonts w:ascii="Times New Roman" w:hAnsi="Times New Roman"/>
          <w:sz w:val="24"/>
          <w:szCs w:val="24"/>
        </w:rPr>
        <w:t>нема</w:t>
      </w:r>
      <w:r w:rsidR="00334853" w:rsidRPr="000B417D">
        <w:rPr>
          <w:rFonts w:ascii="Times New Roman" w:hAnsi="Times New Roman"/>
          <w:sz w:val="24"/>
          <w:szCs w:val="24"/>
        </w:rPr>
        <w:t xml:space="preserve"> </w:t>
      </w:r>
      <w:r w:rsidRPr="000B417D">
        <w:rPr>
          <w:rFonts w:ascii="Times New Roman" w:hAnsi="Times New Roman"/>
          <w:sz w:val="24"/>
          <w:szCs w:val="24"/>
        </w:rPr>
        <w:t>седиште</w:t>
      </w:r>
      <w:r w:rsidR="00334853" w:rsidRPr="000B417D">
        <w:rPr>
          <w:rFonts w:ascii="Times New Roman" w:hAnsi="Times New Roman"/>
          <w:sz w:val="24"/>
          <w:szCs w:val="24"/>
        </w:rPr>
        <w:t xml:space="preserve"> </w:t>
      </w:r>
      <w:r w:rsidRPr="000B417D">
        <w:rPr>
          <w:rFonts w:ascii="Times New Roman" w:hAnsi="Times New Roman"/>
          <w:sz w:val="24"/>
          <w:szCs w:val="24"/>
        </w:rPr>
        <w:t>ни</w:t>
      </w:r>
      <w:r w:rsidR="00334853" w:rsidRPr="000B417D">
        <w:rPr>
          <w:rFonts w:ascii="Times New Roman" w:hAnsi="Times New Roman"/>
          <w:sz w:val="24"/>
          <w:szCs w:val="24"/>
        </w:rPr>
        <w:t xml:space="preserve"> </w:t>
      </w:r>
      <w:r w:rsidRPr="000B417D">
        <w:rPr>
          <w:rFonts w:ascii="Times New Roman" w:hAnsi="Times New Roman"/>
          <w:sz w:val="24"/>
          <w:szCs w:val="24"/>
        </w:rPr>
        <w:t>сталну</w:t>
      </w:r>
      <w:r w:rsidR="00334853" w:rsidRPr="000B417D">
        <w:rPr>
          <w:rFonts w:ascii="Times New Roman" w:hAnsi="Times New Roman"/>
          <w:sz w:val="24"/>
          <w:szCs w:val="24"/>
        </w:rPr>
        <w:t xml:space="preserve"> </w:t>
      </w:r>
      <w:r w:rsidRPr="000B417D">
        <w:rPr>
          <w:rFonts w:ascii="Times New Roman" w:hAnsi="Times New Roman"/>
          <w:sz w:val="24"/>
          <w:szCs w:val="24"/>
        </w:rPr>
        <w:t>пословну</w:t>
      </w:r>
      <w:r w:rsidR="00334853" w:rsidRPr="000B417D">
        <w:rPr>
          <w:rFonts w:ascii="Times New Roman" w:hAnsi="Times New Roman"/>
          <w:sz w:val="24"/>
          <w:szCs w:val="24"/>
        </w:rPr>
        <w:t xml:space="preserve"> </w:t>
      </w:r>
      <w:r w:rsidRPr="000B417D">
        <w:rPr>
          <w:rFonts w:ascii="Times New Roman" w:hAnsi="Times New Roman"/>
          <w:sz w:val="24"/>
          <w:szCs w:val="24"/>
        </w:rPr>
        <w:t>јединицу</w:t>
      </w:r>
      <w:r w:rsidR="00334853" w:rsidRPr="000B417D">
        <w:rPr>
          <w:rFonts w:ascii="Times New Roman" w:hAnsi="Times New Roman"/>
          <w:sz w:val="24"/>
          <w:szCs w:val="24"/>
        </w:rPr>
        <w:t xml:space="preserve">, </w:t>
      </w:r>
      <w:r w:rsidRPr="000B417D">
        <w:rPr>
          <w:rFonts w:ascii="Times New Roman" w:hAnsi="Times New Roman"/>
          <w:sz w:val="24"/>
          <w:szCs w:val="24"/>
        </w:rPr>
        <w:t>односно</w:t>
      </w:r>
      <w:r w:rsidR="00334853" w:rsidRPr="000B417D">
        <w:rPr>
          <w:rFonts w:ascii="Times New Roman" w:hAnsi="Times New Roman"/>
          <w:sz w:val="24"/>
          <w:szCs w:val="24"/>
        </w:rPr>
        <w:t xml:space="preserve"> </w:t>
      </w:r>
      <w:r w:rsidRPr="000B417D">
        <w:rPr>
          <w:rFonts w:ascii="Times New Roman" w:hAnsi="Times New Roman"/>
          <w:sz w:val="24"/>
          <w:szCs w:val="24"/>
        </w:rPr>
        <w:t>пребивалиште</w:t>
      </w:r>
      <w:r w:rsidR="00334853" w:rsidRPr="000B417D">
        <w:rPr>
          <w:rFonts w:ascii="Times New Roman" w:hAnsi="Times New Roman"/>
          <w:sz w:val="24"/>
          <w:szCs w:val="24"/>
        </w:rPr>
        <w:t xml:space="preserve">, </w:t>
      </w:r>
      <w:r w:rsidRPr="000B417D">
        <w:rPr>
          <w:rFonts w:ascii="Times New Roman" w:hAnsi="Times New Roman"/>
          <w:sz w:val="24"/>
          <w:szCs w:val="24"/>
        </w:rPr>
        <w:t>а</w:t>
      </w:r>
      <w:r w:rsidR="00334853" w:rsidRPr="000B417D">
        <w:rPr>
          <w:rFonts w:ascii="Times New Roman" w:hAnsi="Times New Roman"/>
          <w:sz w:val="24"/>
          <w:szCs w:val="24"/>
        </w:rPr>
        <w:t xml:space="preserve"> </w:t>
      </w:r>
      <w:r w:rsidRPr="000B417D">
        <w:rPr>
          <w:rFonts w:ascii="Times New Roman" w:hAnsi="Times New Roman"/>
          <w:sz w:val="24"/>
          <w:szCs w:val="24"/>
        </w:rPr>
        <w:t>које</w:t>
      </w:r>
      <w:r w:rsidR="00334853" w:rsidRPr="000B417D">
        <w:rPr>
          <w:rFonts w:ascii="Times New Roman" w:hAnsi="Times New Roman"/>
          <w:sz w:val="24"/>
          <w:szCs w:val="24"/>
        </w:rPr>
        <w:t xml:space="preserve"> </w:t>
      </w:r>
      <w:r w:rsidRPr="000B417D">
        <w:rPr>
          <w:rFonts w:ascii="Times New Roman" w:hAnsi="Times New Roman"/>
          <w:sz w:val="24"/>
          <w:szCs w:val="24"/>
        </w:rPr>
        <w:t>обавља</w:t>
      </w:r>
      <w:r w:rsidR="00334853" w:rsidRPr="000B417D">
        <w:rPr>
          <w:rFonts w:ascii="Times New Roman" w:hAnsi="Times New Roman"/>
          <w:sz w:val="24"/>
          <w:szCs w:val="24"/>
        </w:rPr>
        <w:t xml:space="preserve"> </w:t>
      </w:r>
      <w:r w:rsidRPr="000B417D">
        <w:rPr>
          <w:rFonts w:ascii="Times New Roman" w:hAnsi="Times New Roman"/>
          <w:sz w:val="24"/>
          <w:szCs w:val="24"/>
        </w:rPr>
        <w:t>промет</w:t>
      </w:r>
      <w:r w:rsidR="00334853" w:rsidRPr="000B417D">
        <w:rPr>
          <w:rFonts w:ascii="Times New Roman" w:hAnsi="Times New Roman"/>
          <w:sz w:val="24"/>
          <w:szCs w:val="24"/>
        </w:rPr>
        <w:t xml:space="preserve"> </w:t>
      </w:r>
      <w:r w:rsidRPr="000B417D">
        <w:rPr>
          <w:rFonts w:ascii="Times New Roman" w:hAnsi="Times New Roman"/>
          <w:sz w:val="24"/>
          <w:szCs w:val="24"/>
        </w:rPr>
        <w:t>добара</w:t>
      </w:r>
      <w:r w:rsidR="00334853" w:rsidRPr="000B417D">
        <w:rPr>
          <w:rFonts w:ascii="Times New Roman" w:hAnsi="Times New Roman"/>
          <w:sz w:val="24"/>
          <w:szCs w:val="24"/>
        </w:rPr>
        <w:t xml:space="preserve"> </w:t>
      </w:r>
      <w:r w:rsidRPr="000B417D">
        <w:rPr>
          <w:rFonts w:ascii="Times New Roman" w:hAnsi="Times New Roman"/>
          <w:sz w:val="24"/>
          <w:szCs w:val="24"/>
        </w:rPr>
        <w:t>и</w:t>
      </w:r>
      <w:r w:rsidR="00334853" w:rsidRPr="000B417D">
        <w:rPr>
          <w:rFonts w:ascii="Times New Roman" w:hAnsi="Times New Roman"/>
          <w:sz w:val="24"/>
          <w:szCs w:val="24"/>
        </w:rPr>
        <w:t xml:space="preserve"> </w:t>
      </w:r>
      <w:r w:rsidRPr="000B417D">
        <w:rPr>
          <w:rFonts w:ascii="Times New Roman" w:hAnsi="Times New Roman"/>
          <w:sz w:val="24"/>
          <w:szCs w:val="24"/>
        </w:rPr>
        <w:t>услуга</w:t>
      </w:r>
      <w:r w:rsidR="00334853" w:rsidRPr="000B417D">
        <w:rPr>
          <w:rFonts w:ascii="Times New Roman" w:hAnsi="Times New Roman"/>
          <w:sz w:val="24"/>
          <w:szCs w:val="24"/>
        </w:rPr>
        <w:t xml:space="preserve"> </w:t>
      </w:r>
      <w:r w:rsidRPr="000B417D">
        <w:rPr>
          <w:rFonts w:ascii="Times New Roman" w:hAnsi="Times New Roman"/>
          <w:sz w:val="24"/>
          <w:szCs w:val="24"/>
        </w:rPr>
        <w:t>у</w:t>
      </w:r>
      <w:r w:rsidR="00334853" w:rsidRPr="000B417D">
        <w:rPr>
          <w:rFonts w:ascii="Times New Roman" w:hAnsi="Times New Roman"/>
          <w:sz w:val="24"/>
          <w:szCs w:val="24"/>
        </w:rPr>
        <w:t xml:space="preserve"> </w:t>
      </w:r>
      <w:r w:rsidRPr="000B417D">
        <w:rPr>
          <w:rFonts w:ascii="Times New Roman" w:hAnsi="Times New Roman"/>
          <w:sz w:val="24"/>
          <w:szCs w:val="24"/>
        </w:rPr>
        <w:t>Републици</w:t>
      </w:r>
      <w:r w:rsidR="00334853" w:rsidRPr="000B417D">
        <w:rPr>
          <w:rFonts w:ascii="Times New Roman" w:hAnsi="Times New Roman"/>
          <w:sz w:val="24"/>
          <w:szCs w:val="24"/>
        </w:rPr>
        <w:t>;</w:t>
      </w:r>
    </w:p>
    <w:p w:rsidR="00334853" w:rsidRPr="000B417D" w:rsidRDefault="00B016A0" w:rsidP="000B417D">
      <w:pPr>
        <w:jc w:val="both"/>
        <w:rPr>
          <w:rFonts w:ascii="Times New Roman" w:hAnsi="Times New Roman"/>
          <w:sz w:val="24"/>
          <w:szCs w:val="24"/>
        </w:rPr>
      </w:pPr>
      <w:r w:rsidRPr="000B417D">
        <w:rPr>
          <w:rFonts w:ascii="Times New Roman" w:hAnsi="Times New Roman"/>
          <w:sz w:val="24"/>
          <w:szCs w:val="24"/>
        </w:rPr>
        <w:t>прималац</w:t>
      </w:r>
      <w:r w:rsidR="00334853" w:rsidRPr="000B417D">
        <w:rPr>
          <w:rFonts w:ascii="Times New Roman" w:hAnsi="Times New Roman"/>
          <w:sz w:val="24"/>
          <w:szCs w:val="24"/>
        </w:rPr>
        <w:t xml:space="preserve"> </w:t>
      </w:r>
      <w:r w:rsidRPr="000B417D">
        <w:rPr>
          <w:rFonts w:ascii="Times New Roman" w:hAnsi="Times New Roman"/>
          <w:sz w:val="24"/>
          <w:szCs w:val="24"/>
        </w:rPr>
        <w:t>добара</w:t>
      </w:r>
      <w:r w:rsidR="00334853" w:rsidRPr="000B417D">
        <w:rPr>
          <w:rFonts w:ascii="Times New Roman" w:hAnsi="Times New Roman"/>
          <w:sz w:val="24"/>
          <w:szCs w:val="24"/>
        </w:rPr>
        <w:t xml:space="preserve"> </w:t>
      </w:r>
      <w:r w:rsidRPr="000B417D">
        <w:rPr>
          <w:rFonts w:ascii="Times New Roman" w:hAnsi="Times New Roman"/>
          <w:sz w:val="24"/>
          <w:szCs w:val="24"/>
        </w:rPr>
        <w:t>и</w:t>
      </w:r>
      <w:r w:rsidR="00334853" w:rsidRPr="000B417D">
        <w:rPr>
          <w:rFonts w:ascii="Times New Roman" w:hAnsi="Times New Roman"/>
          <w:sz w:val="24"/>
          <w:szCs w:val="24"/>
        </w:rPr>
        <w:t xml:space="preserve"> </w:t>
      </w:r>
      <w:r w:rsidRPr="000B417D">
        <w:rPr>
          <w:rFonts w:ascii="Times New Roman" w:hAnsi="Times New Roman"/>
          <w:sz w:val="24"/>
          <w:szCs w:val="24"/>
        </w:rPr>
        <w:t>услуга</w:t>
      </w:r>
      <w:r w:rsidR="00334853" w:rsidRPr="000B417D">
        <w:rPr>
          <w:rFonts w:ascii="Times New Roman" w:hAnsi="Times New Roman"/>
          <w:sz w:val="24"/>
          <w:szCs w:val="24"/>
        </w:rPr>
        <w:t xml:space="preserve">, </w:t>
      </w:r>
      <w:r w:rsidRPr="000B417D">
        <w:rPr>
          <w:rFonts w:ascii="Times New Roman" w:hAnsi="Times New Roman"/>
          <w:sz w:val="24"/>
          <w:szCs w:val="24"/>
        </w:rPr>
        <w:t>ако</w:t>
      </w:r>
      <w:r w:rsidR="00334853" w:rsidRPr="000B417D">
        <w:rPr>
          <w:rFonts w:ascii="Times New Roman" w:hAnsi="Times New Roman"/>
          <w:sz w:val="24"/>
          <w:szCs w:val="24"/>
        </w:rPr>
        <w:t xml:space="preserve"> </w:t>
      </w:r>
      <w:r w:rsidRPr="000B417D">
        <w:rPr>
          <w:rFonts w:ascii="Times New Roman" w:hAnsi="Times New Roman"/>
          <w:sz w:val="24"/>
          <w:szCs w:val="24"/>
        </w:rPr>
        <w:t>страно</w:t>
      </w:r>
      <w:r w:rsidR="00334853" w:rsidRPr="000B417D">
        <w:rPr>
          <w:rFonts w:ascii="Times New Roman" w:hAnsi="Times New Roman"/>
          <w:sz w:val="24"/>
          <w:szCs w:val="24"/>
        </w:rPr>
        <w:t xml:space="preserve"> </w:t>
      </w:r>
      <w:r w:rsidRPr="000B417D">
        <w:rPr>
          <w:rFonts w:ascii="Times New Roman" w:hAnsi="Times New Roman"/>
          <w:sz w:val="24"/>
          <w:szCs w:val="24"/>
        </w:rPr>
        <w:t>лице</w:t>
      </w:r>
      <w:r w:rsidR="00334853" w:rsidRPr="000B417D">
        <w:rPr>
          <w:rFonts w:ascii="Times New Roman" w:hAnsi="Times New Roman"/>
          <w:sz w:val="24"/>
          <w:szCs w:val="24"/>
        </w:rPr>
        <w:t xml:space="preserve"> </w:t>
      </w:r>
      <w:r w:rsidRPr="000B417D">
        <w:rPr>
          <w:rFonts w:ascii="Times New Roman" w:hAnsi="Times New Roman"/>
          <w:sz w:val="24"/>
          <w:szCs w:val="24"/>
        </w:rPr>
        <w:t>не</w:t>
      </w:r>
      <w:r w:rsidR="00334853" w:rsidRPr="000B417D">
        <w:rPr>
          <w:rFonts w:ascii="Times New Roman" w:hAnsi="Times New Roman"/>
          <w:sz w:val="24"/>
          <w:szCs w:val="24"/>
        </w:rPr>
        <w:t xml:space="preserve"> </w:t>
      </w:r>
      <w:r w:rsidRPr="000B417D">
        <w:rPr>
          <w:rFonts w:ascii="Times New Roman" w:hAnsi="Times New Roman"/>
          <w:sz w:val="24"/>
          <w:szCs w:val="24"/>
        </w:rPr>
        <w:t>одреди</w:t>
      </w:r>
      <w:r w:rsidR="00334853" w:rsidRPr="000B417D">
        <w:rPr>
          <w:rFonts w:ascii="Times New Roman" w:hAnsi="Times New Roman"/>
          <w:sz w:val="24"/>
          <w:szCs w:val="24"/>
        </w:rPr>
        <w:t xml:space="preserve"> </w:t>
      </w:r>
      <w:r w:rsidRPr="000B417D">
        <w:rPr>
          <w:rFonts w:ascii="Times New Roman" w:hAnsi="Times New Roman"/>
          <w:sz w:val="24"/>
          <w:szCs w:val="24"/>
        </w:rPr>
        <w:t>пореског</w:t>
      </w:r>
      <w:r w:rsidR="00334853" w:rsidRPr="000B417D">
        <w:rPr>
          <w:rFonts w:ascii="Times New Roman" w:hAnsi="Times New Roman"/>
          <w:sz w:val="24"/>
          <w:szCs w:val="24"/>
        </w:rPr>
        <w:t xml:space="preserve"> </w:t>
      </w:r>
      <w:r w:rsidRPr="000B417D">
        <w:rPr>
          <w:rFonts w:ascii="Times New Roman" w:hAnsi="Times New Roman"/>
          <w:sz w:val="24"/>
          <w:szCs w:val="24"/>
        </w:rPr>
        <w:t>пуномоћника</w:t>
      </w:r>
      <w:r w:rsidR="00334853" w:rsidRPr="000B417D">
        <w:rPr>
          <w:rFonts w:ascii="Times New Roman" w:hAnsi="Times New Roman"/>
          <w:sz w:val="24"/>
          <w:szCs w:val="24"/>
        </w:rPr>
        <w:t>;</w:t>
      </w:r>
    </w:p>
    <w:p w:rsidR="00334853" w:rsidRPr="000B417D" w:rsidRDefault="00334853" w:rsidP="000B417D">
      <w:pPr>
        <w:jc w:val="both"/>
        <w:rPr>
          <w:rFonts w:ascii="Times New Roman" w:hAnsi="Times New Roman"/>
          <w:sz w:val="24"/>
          <w:szCs w:val="24"/>
        </w:rPr>
      </w:pPr>
      <w:r w:rsidRPr="000B417D">
        <w:rPr>
          <w:rFonts w:ascii="Times New Roman" w:hAnsi="Times New Roman"/>
          <w:sz w:val="24"/>
          <w:szCs w:val="24"/>
        </w:rPr>
        <w:t xml:space="preserve"> </w:t>
      </w:r>
      <w:r w:rsidR="00B016A0" w:rsidRPr="000B417D">
        <w:rPr>
          <w:rFonts w:ascii="Times New Roman" w:hAnsi="Times New Roman"/>
          <w:sz w:val="24"/>
          <w:szCs w:val="24"/>
        </w:rPr>
        <w:t>лице</w:t>
      </w:r>
      <w:r w:rsidRPr="000B417D">
        <w:rPr>
          <w:rFonts w:ascii="Times New Roman" w:hAnsi="Times New Roman"/>
          <w:sz w:val="24"/>
          <w:szCs w:val="24"/>
        </w:rPr>
        <w:t xml:space="preserve"> </w:t>
      </w:r>
      <w:r w:rsidR="00B016A0" w:rsidRPr="000B417D">
        <w:rPr>
          <w:rFonts w:ascii="Times New Roman" w:hAnsi="Times New Roman"/>
          <w:sz w:val="24"/>
          <w:szCs w:val="24"/>
        </w:rPr>
        <w:t>које</w:t>
      </w:r>
      <w:r w:rsidRPr="000B417D">
        <w:rPr>
          <w:rFonts w:ascii="Times New Roman" w:hAnsi="Times New Roman"/>
          <w:sz w:val="24"/>
          <w:szCs w:val="24"/>
        </w:rPr>
        <w:t xml:space="preserve"> </w:t>
      </w:r>
      <w:r w:rsidR="00B016A0" w:rsidRPr="000B417D">
        <w:rPr>
          <w:rFonts w:ascii="Times New Roman" w:hAnsi="Times New Roman"/>
          <w:sz w:val="24"/>
          <w:szCs w:val="24"/>
        </w:rPr>
        <w:t>у</w:t>
      </w:r>
      <w:r w:rsidRPr="000B417D">
        <w:rPr>
          <w:rFonts w:ascii="Times New Roman" w:hAnsi="Times New Roman"/>
          <w:sz w:val="24"/>
          <w:szCs w:val="24"/>
        </w:rPr>
        <w:t xml:space="preserve"> </w:t>
      </w:r>
      <w:r w:rsidR="00B016A0" w:rsidRPr="000B417D">
        <w:rPr>
          <w:rFonts w:ascii="Times New Roman" w:hAnsi="Times New Roman"/>
          <w:sz w:val="24"/>
          <w:szCs w:val="24"/>
        </w:rPr>
        <w:t>рачуну</w:t>
      </w:r>
      <w:r w:rsidRPr="000B417D">
        <w:rPr>
          <w:rFonts w:ascii="Times New Roman" w:hAnsi="Times New Roman"/>
          <w:sz w:val="24"/>
          <w:szCs w:val="24"/>
        </w:rPr>
        <w:t xml:space="preserve"> </w:t>
      </w:r>
      <w:r w:rsidR="00B016A0" w:rsidRPr="000B417D">
        <w:rPr>
          <w:rFonts w:ascii="Times New Roman" w:hAnsi="Times New Roman"/>
          <w:sz w:val="24"/>
          <w:szCs w:val="24"/>
        </w:rPr>
        <w:t>или</w:t>
      </w:r>
      <w:r w:rsidRPr="000B417D">
        <w:rPr>
          <w:rFonts w:ascii="Times New Roman" w:hAnsi="Times New Roman"/>
          <w:sz w:val="24"/>
          <w:szCs w:val="24"/>
        </w:rPr>
        <w:t xml:space="preserve"> </w:t>
      </w:r>
      <w:r w:rsidR="00B016A0" w:rsidRPr="000B417D">
        <w:rPr>
          <w:rFonts w:ascii="Times New Roman" w:hAnsi="Times New Roman"/>
          <w:sz w:val="24"/>
          <w:szCs w:val="24"/>
        </w:rPr>
        <w:t>другом</w:t>
      </w:r>
      <w:r w:rsidRPr="000B417D">
        <w:rPr>
          <w:rFonts w:ascii="Times New Roman" w:hAnsi="Times New Roman"/>
          <w:sz w:val="24"/>
          <w:szCs w:val="24"/>
        </w:rPr>
        <w:t xml:space="preserve"> </w:t>
      </w:r>
      <w:r w:rsidR="00B016A0" w:rsidRPr="000B417D">
        <w:rPr>
          <w:rFonts w:ascii="Times New Roman" w:hAnsi="Times New Roman"/>
          <w:sz w:val="24"/>
          <w:szCs w:val="24"/>
        </w:rPr>
        <w:t>документу</w:t>
      </w:r>
      <w:r w:rsidRPr="000B417D">
        <w:rPr>
          <w:rFonts w:ascii="Times New Roman" w:hAnsi="Times New Roman"/>
          <w:sz w:val="24"/>
          <w:szCs w:val="24"/>
        </w:rPr>
        <w:t xml:space="preserve"> </w:t>
      </w:r>
      <w:r w:rsidR="00B016A0" w:rsidRPr="000B417D">
        <w:rPr>
          <w:rFonts w:ascii="Times New Roman" w:hAnsi="Times New Roman"/>
          <w:sz w:val="24"/>
          <w:szCs w:val="24"/>
        </w:rPr>
        <w:t>који</w:t>
      </w:r>
      <w:r w:rsidRPr="000B417D">
        <w:rPr>
          <w:rFonts w:ascii="Times New Roman" w:hAnsi="Times New Roman"/>
          <w:sz w:val="24"/>
          <w:szCs w:val="24"/>
        </w:rPr>
        <w:t xml:space="preserve"> </w:t>
      </w:r>
      <w:r w:rsidR="00B016A0" w:rsidRPr="000B417D">
        <w:rPr>
          <w:rFonts w:ascii="Times New Roman" w:hAnsi="Times New Roman"/>
          <w:sz w:val="24"/>
          <w:szCs w:val="24"/>
        </w:rPr>
        <w:t>служи</w:t>
      </w:r>
      <w:r w:rsidRPr="000B417D">
        <w:rPr>
          <w:rFonts w:ascii="Times New Roman" w:hAnsi="Times New Roman"/>
          <w:sz w:val="24"/>
          <w:szCs w:val="24"/>
        </w:rPr>
        <w:t xml:space="preserve"> </w:t>
      </w:r>
      <w:r w:rsidR="00B016A0" w:rsidRPr="000B417D">
        <w:rPr>
          <w:rFonts w:ascii="Times New Roman" w:hAnsi="Times New Roman"/>
          <w:sz w:val="24"/>
          <w:szCs w:val="24"/>
        </w:rPr>
        <w:t>као</w:t>
      </w:r>
      <w:r w:rsidR="00B729CD" w:rsidRPr="000B417D">
        <w:rPr>
          <w:rFonts w:ascii="Times New Roman" w:hAnsi="Times New Roman"/>
          <w:sz w:val="24"/>
          <w:szCs w:val="24"/>
        </w:rPr>
        <w:t xml:space="preserve"> </w:t>
      </w:r>
      <w:r w:rsidR="00B016A0" w:rsidRPr="000B417D">
        <w:rPr>
          <w:rFonts w:ascii="Times New Roman" w:hAnsi="Times New Roman"/>
          <w:sz w:val="24"/>
          <w:szCs w:val="24"/>
        </w:rPr>
        <w:t>рачун</w:t>
      </w:r>
      <w:r w:rsidRPr="000B417D">
        <w:rPr>
          <w:rFonts w:ascii="Times New Roman" w:hAnsi="Times New Roman"/>
          <w:sz w:val="24"/>
          <w:szCs w:val="24"/>
        </w:rPr>
        <w:t xml:space="preserve"> </w:t>
      </w:r>
      <w:r w:rsidR="00B016A0" w:rsidRPr="000B417D">
        <w:rPr>
          <w:rFonts w:ascii="Times New Roman" w:hAnsi="Times New Roman"/>
          <w:sz w:val="24"/>
          <w:szCs w:val="24"/>
        </w:rPr>
        <w:t>искаже</w:t>
      </w:r>
      <w:r w:rsidRPr="000B417D">
        <w:rPr>
          <w:rFonts w:ascii="Times New Roman" w:hAnsi="Times New Roman"/>
          <w:sz w:val="24"/>
          <w:szCs w:val="24"/>
        </w:rPr>
        <w:t xml:space="preserve"> </w:t>
      </w:r>
      <w:r w:rsidR="00B016A0" w:rsidRPr="000B417D">
        <w:rPr>
          <w:rFonts w:ascii="Times New Roman" w:hAnsi="Times New Roman"/>
          <w:sz w:val="24"/>
          <w:szCs w:val="24"/>
        </w:rPr>
        <w:t>ПДВ</w:t>
      </w:r>
      <w:r w:rsidRPr="000B417D">
        <w:rPr>
          <w:rFonts w:ascii="Times New Roman" w:hAnsi="Times New Roman"/>
          <w:sz w:val="24"/>
          <w:szCs w:val="24"/>
        </w:rPr>
        <w:t xml:space="preserve">, </w:t>
      </w:r>
      <w:r w:rsidR="00B016A0" w:rsidRPr="000B417D">
        <w:rPr>
          <w:rFonts w:ascii="Times New Roman" w:hAnsi="Times New Roman"/>
          <w:sz w:val="24"/>
          <w:szCs w:val="24"/>
        </w:rPr>
        <w:t>а</w:t>
      </w:r>
      <w:r w:rsidRPr="000B417D">
        <w:rPr>
          <w:rFonts w:ascii="Times New Roman" w:hAnsi="Times New Roman"/>
          <w:sz w:val="24"/>
          <w:szCs w:val="24"/>
        </w:rPr>
        <w:t xml:space="preserve"> </w:t>
      </w:r>
      <w:r w:rsidR="00B016A0" w:rsidRPr="000B417D">
        <w:rPr>
          <w:rFonts w:ascii="Times New Roman" w:hAnsi="Times New Roman"/>
          <w:sz w:val="24"/>
          <w:szCs w:val="24"/>
        </w:rPr>
        <w:t>није</w:t>
      </w:r>
      <w:r w:rsidRPr="000B417D">
        <w:rPr>
          <w:rFonts w:ascii="Times New Roman" w:hAnsi="Times New Roman"/>
          <w:sz w:val="24"/>
          <w:szCs w:val="24"/>
        </w:rPr>
        <w:t xml:space="preserve"> </w:t>
      </w:r>
      <w:r w:rsidR="00B016A0" w:rsidRPr="000B417D">
        <w:rPr>
          <w:rFonts w:ascii="Times New Roman" w:hAnsi="Times New Roman"/>
          <w:sz w:val="24"/>
          <w:szCs w:val="24"/>
        </w:rPr>
        <w:t>обвезник</w:t>
      </w:r>
      <w:r w:rsidRPr="000B417D">
        <w:rPr>
          <w:rFonts w:ascii="Times New Roman" w:hAnsi="Times New Roman"/>
          <w:sz w:val="24"/>
          <w:szCs w:val="24"/>
        </w:rPr>
        <w:t xml:space="preserve"> </w:t>
      </w:r>
      <w:r w:rsidR="00B016A0" w:rsidRPr="000B417D">
        <w:rPr>
          <w:rFonts w:ascii="Times New Roman" w:hAnsi="Times New Roman"/>
          <w:sz w:val="24"/>
          <w:szCs w:val="24"/>
        </w:rPr>
        <w:t>ПДВ</w:t>
      </w:r>
      <w:r w:rsidRPr="000B417D">
        <w:rPr>
          <w:rFonts w:ascii="Times New Roman" w:hAnsi="Times New Roman"/>
          <w:sz w:val="24"/>
          <w:szCs w:val="24"/>
        </w:rPr>
        <w:t xml:space="preserve"> </w:t>
      </w:r>
      <w:r w:rsidR="00B016A0" w:rsidRPr="000B417D">
        <w:rPr>
          <w:rFonts w:ascii="Times New Roman" w:hAnsi="Times New Roman"/>
          <w:sz w:val="24"/>
          <w:szCs w:val="24"/>
        </w:rPr>
        <w:t>или</w:t>
      </w:r>
      <w:r w:rsidRPr="000B417D">
        <w:rPr>
          <w:rFonts w:ascii="Times New Roman" w:hAnsi="Times New Roman"/>
          <w:sz w:val="24"/>
          <w:szCs w:val="24"/>
        </w:rPr>
        <w:t xml:space="preserve"> </w:t>
      </w:r>
      <w:r w:rsidR="00B016A0" w:rsidRPr="000B417D">
        <w:rPr>
          <w:rFonts w:ascii="Times New Roman" w:hAnsi="Times New Roman"/>
          <w:sz w:val="24"/>
          <w:szCs w:val="24"/>
        </w:rPr>
        <w:t>није</w:t>
      </w:r>
      <w:r w:rsidRPr="000B417D">
        <w:rPr>
          <w:rFonts w:ascii="Times New Roman" w:hAnsi="Times New Roman"/>
          <w:sz w:val="24"/>
          <w:szCs w:val="24"/>
        </w:rPr>
        <w:t xml:space="preserve"> </w:t>
      </w:r>
      <w:r w:rsidR="00B016A0" w:rsidRPr="000B417D">
        <w:rPr>
          <w:rFonts w:ascii="Times New Roman" w:hAnsi="Times New Roman"/>
          <w:sz w:val="24"/>
          <w:szCs w:val="24"/>
        </w:rPr>
        <w:t>извршило</w:t>
      </w:r>
      <w:r w:rsidRPr="000B417D">
        <w:rPr>
          <w:rFonts w:ascii="Times New Roman" w:hAnsi="Times New Roman"/>
          <w:sz w:val="24"/>
          <w:szCs w:val="24"/>
        </w:rPr>
        <w:t xml:space="preserve"> </w:t>
      </w:r>
      <w:r w:rsidR="00B016A0" w:rsidRPr="000B417D">
        <w:rPr>
          <w:rFonts w:ascii="Times New Roman" w:hAnsi="Times New Roman"/>
          <w:sz w:val="24"/>
          <w:szCs w:val="24"/>
        </w:rPr>
        <w:t>промет</w:t>
      </w:r>
      <w:r w:rsidRPr="000B417D">
        <w:rPr>
          <w:rFonts w:ascii="Times New Roman" w:hAnsi="Times New Roman"/>
          <w:sz w:val="24"/>
          <w:szCs w:val="24"/>
        </w:rPr>
        <w:t xml:space="preserve"> </w:t>
      </w:r>
      <w:r w:rsidR="00B016A0" w:rsidRPr="000B417D">
        <w:rPr>
          <w:rFonts w:ascii="Times New Roman" w:hAnsi="Times New Roman"/>
          <w:sz w:val="24"/>
          <w:szCs w:val="24"/>
        </w:rPr>
        <w:t>добара</w:t>
      </w:r>
      <w:r w:rsidRPr="000B417D">
        <w:rPr>
          <w:rFonts w:ascii="Times New Roman" w:hAnsi="Times New Roman"/>
          <w:sz w:val="24"/>
          <w:szCs w:val="24"/>
        </w:rPr>
        <w:t xml:space="preserve"> </w:t>
      </w:r>
      <w:r w:rsidR="00B016A0" w:rsidRPr="000B417D">
        <w:rPr>
          <w:rFonts w:ascii="Times New Roman" w:hAnsi="Times New Roman"/>
          <w:sz w:val="24"/>
          <w:szCs w:val="24"/>
        </w:rPr>
        <w:t>и</w:t>
      </w:r>
      <w:r w:rsidRPr="000B417D">
        <w:rPr>
          <w:rFonts w:ascii="Times New Roman" w:hAnsi="Times New Roman"/>
          <w:sz w:val="24"/>
          <w:szCs w:val="24"/>
        </w:rPr>
        <w:t xml:space="preserve"> </w:t>
      </w:r>
      <w:r w:rsidR="00B016A0" w:rsidRPr="000B417D">
        <w:rPr>
          <w:rFonts w:ascii="Times New Roman" w:hAnsi="Times New Roman"/>
          <w:sz w:val="24"/>
          <w:szCs w:val="24"/>
        </w:rPr>
        <w:t>услуга</w:t>
      </w:r>
      <w:r w:rsidRPr="000B417D">
        <w:rPr>
          <w:rFonts w:ascii="Times New Roman" w:hAnsi="Times New Roman"/>
          <w:sz w:val="24"/>
          <w:szCs w:val="24"/>
        </w:rPr>
        <w:t>;</w:t>
      </w:r>
    </w:p>
    <w:p w:rsidR="00B729CD" w:rsidRPr="000B417D" w:rsidRDefault="00B016A0" w:rsidP="000B417D">
      <w:pPr>
        <w:jc w:val="both"/>
        <w:rPr>
          <w:rFonts w:ascii="Times New Roman" w:hAnsi="Times New Roman"/>
          <w:sz w:val="24"/>
          <w:szCs w:val="24"/>
          <w:lang w:val="sr-Cyrl-CS"/>
        </w:rPr>
      </w:pPr>
      <w:r w:rsidRPr="000B417D">
        <w:rPr>
          <w:rFonts w:ascii="Times New Roman" w:hAnsi="Times New Roman"/>
          <w:sz w:val="24"/>
          <w:szCs w:val="24"/>
        </w:rPr>
        <w:t>лице</w:t>
      </w:r>
      <w:r w:rsidR="00334853" w:rsidRPr="000B417D">
        <w:rPr>
          <w:rFonts w:ascii="Times New Roman" w:hAnsi="Times New Roman"/>
          <w:sz w:val="24"/>
          <w:szCs w:val="24"/>
        </w:rPr>
        <w:t xml:space="preserve"> </w:t>
      </w:r>
      <w:r w:rsidRPr="000B417D">
        <w:rPr>
          <w:rFonts w:ascii="Times New Roman" w:hAnsi="Times New Roman"/>
          <w:sz w:val="24"/>
          <w:szCs w:val="24"/>
        </w:rPr>
        <w:t>које</w:t>
      </w:r>
      <w:r w:rsidR="00334853" w:rsidRPr="000B417D">
        <w:rPr>
          <w:rFonts w:ascii="Times New Roman" w:hAnsi="Times New Roman"/>
          <w:sz w:val="24"/>
          <w:szCs w:val="24"/>
        </w:rPr>
        <w:t xml:space="preserve"> </w:t>
      </w:r>
      <w:r w:rsidRPr="000B417D">
        <w:rPr>
          <w:rFonts w:ascii="Times New Roman" w:hAnsi="Times New Roman"/>
          <w:sz w:val="24"/>
          <w:szCs w:val="24"/>
        </w:rPr>
        <w:t>увози</w:t>
      </w:r>
      <w:r w:rsidR="00334853" w:rsidRPr="000B417D">
        <w:rPr>
          <w:rFonts w:ascii="Times New Roman" w:hAnsi="Times New Roman"/>
          <w:sz w:val="24"/>
          <w:szCs w:val="24"/>
        </w:rPr>
        <w:t xml:space="preserve"> </w:t>
      </w:r>
      <w:r w:rsidRPr="000B417D">
        <w:rPr>
          <w:rFonts w:ascii="Times New Roman" w:hAnsi="Times New Roman"/>
          <w:sz w:val="24"/>
          <w:szCs w:val="24"/>
        </w:rPr>
        <w:t>добро</w:t>
      </w:r>
      <w:r w:rsidR="00334853" w:rsidRPr="000B417D">
        <w:rPr>
          <w:rFonts w:ascii="Times New Roman" w:hAnsi="Times New Roman"/>
          <w:sz w:val="24"/>
          <w:szCs w:val="24"/>
        </w:rPr>
        <w:t>.</w:t>
      </w:r>
    </w:p>
    <w:p w:rsidR="00334853" w:rsidRPr="000B417D" w:rsidRDefault="00B729CD" w:rsidP="00FB5A28">
      <w:pPr>
        <w:jc w:val="both"/>
        <w:rPr>
          <w:rFonts w:ascii="Times New Roman" w:hAnsi="Times New Roman"/>
          <w:sz w:val="24"/>
          <w:szCs w:val="24"/>
          <w:lang w:val="sr-Cyrl-CS"/>
        </w:rPr>
      </w:pPr>
      <w:r w:rsidRPr="000B417D">
        <w:rPr>
          <w:rFonts w:ascii="Times New Roman" w:hAnsi="Times New Roman"/>
          <w:iCs/>
          <w:sz w:val="24"/>
          <w:szCs w:val="24"/>
          <w:lang w:val="sr-Cyrl-CS"/>
        </w:rPr>
        <w:t xml:space="preserve">Док </w:t>
      </w:r>
      <w:r w:rsidRPr="000B417D">
        <w:rPr>
          <w:rFonts w:ascii="Times New Roman" w:hAnsi="Times New Roman"/>
          <w:sz w:val="24"/>
          <w:szCs w:val="24"/>
          <w:lang w:val="sr-Cyrl-CS"/>
        </w:rPr>
        <w:t>и</w:t>
      </w:r>
      <w:r w:rsidR="00B016A0" w:rsidRPr="000B417D">
        <w:rPr>
          <w:rFonts w:ascii="Times New Roman" w:hAnsi="Times New Roman"/>
          <w:sz w:val="24"/>
          <w:szCs w:val="24"/>
        </w:rPr>
        <w:t>зузетно</w:t>
      </w:r>
      <w:r w:rsidRPr="000B417D">
        <w:rPr>
          <w:rFonts w:ascii="Times New Roman" w:hAnsi="Times New Roman"/>
          <w:sz w:val="24"/>
          <w:szCs w:val="24"/>
        </w:rPr>
        <w:t xml:space="preserve"> </w:t>
      </w:r>
      <w:r w:rsidR="00B016A0" w:rsidRPr="000B417D">
        <w:rPr>
          <w:rFonts w:ascii="Times New Roman" w:hAnsi="Times New Roman"/>
          <w:sz w:val="24"/>
          <w:szCs w:val="24"/>
        </w:rPr>
        <w:t>порески</w:t>
      </w:r>
      <w:r w:rsidRPr="000B417D">
        <w:rPr>
          <w:rFonts w:ascii="Times New Roman" w:hAnsi="Times New Roman"/>
          <w:sz w:val="24"/>
          <w:szCs w:val="24"/>
        </w:rPr>
        <w:t xml:space="preserve"> </w:t>
      </w:r>
      <w:r w:rsidR="00B016A0" w:rsidRPr="000B417D">
        <w:rPr>
          <w:rFonts w:ascii="Times New Roman" w:hAnsi="Times New Roman"/>
          <w:sz w:val="24"/>
          <w:szCs w:val="24"/>
        </w:rPr>
        <w:t>дужник</w:t>
      </w:r>
      <w:r w:rsidRPr="000B417D">
        <w:rPr>
          <w:rFonts w:ascii="Times New Roman" w:hAnsi="Times New Roman"/>
          <w:sz w:val="24"/>
          <w:szCs w:val="24"/>
        </w:rPr>
        <w:t xml:space="preserve"> </w:t>
      </w:r>
      <w:r w:rsidRPr="000B417D">
        <w:rPr>
          <w:rFonts w:ascii="Times New Roman" w:hAnsi="Times New Roman"/>
          <w:sz w:val="24"/>
          <w:szCs w:val="24"/>
          <w:lang w:val="sr-Cyrl-CS"/>
        </w:rPr>
        <w:t>може бити и:</w:t>
      </w:r>
    </w:p>
    <w:p w:rsidR="00B729CD" w:rsidRPr="000B417D" w:rsidRDefault="00B729CD" w:rsidP="000B417D">
      <w:pPr>
        <w:jc w:val="both"/>
        <w:rPr>
          <w:rFonts w:ascii="Times New Roman" w:hAnsi="Times New Roman"/>
          <w:sz w:val="24"/>
          <w:szCs w:val="24"/>
          <w:lang w:val="sr-Cyrl-CS"/>
        </w:rPr>
      </w:pPr>
    </w:p>
    <w:p w:rsidR="00334853" w:rsidRPr="000B417D" w:rsidRDefault="00334853" w:rsidP="000B417D">
      <w:pPr>
        <w:jc w:val="both"/>
        <w:rPr>
          <w:rFonts w:ascii="Times New Roman" w:hAnsi="Times New Roman"/>
          <w:sz w:val="24"/>
          <w:szCs w:val="24"/>
          <w:lang w:val="sr-Cyrl-CS"/>
        </w:rPr>
      </w:pPr>
      <w:r w:rsidRPr="000B417D">
        <w:rPr>
          <w:rFonts w:ascii="Times New Roman" w:hAnsi="Times New Roman"/>
          <w:sz w:val="24"/>
          <w:szCs w:val="24"/>
        </w:rPr>
        <w:t xml:space="preserve"> </w:t>
      </w:r>
      <w:r w:rsidR="00B016A0" w:rsidRPr="000B417D">
        <w:rPr>
          <w:rFonts w:ascii="Times New Roman" w:hAnsi="Times New Roman"/>
          <w:sz w:val="24"/>
          <w:szCs w:val="24"/>
        </w:rPr>
        <w:t>прималац</w:t>
      </w:r>
      <w:r w:rsidRPr="000B417D">
        <w:rPr>
          <w:rFonts w:ascii="Times New Roman" w:hAnsi="Times New Roman"/>
          <w:sz w:val="24"/>
          <w:szCs w:val="24"/>
        </w:rPr>
        <w:t xml:space="preserve"> </w:t>
      </w:r>
      <w:r w:rsidR="00B016A0" w:rsidRPr="000B417D">
        <w:rPr>
          <w:rFonts w:ascii="Times New Roman" w:hAnsi="Times New Roman"/>
          <w:sz w:val="24"/>
          <w:szCs w:val="24"/>
        </w:rPr>
        <w:t>добара</w:t>
      </w:r>
      <w:r w:rsidRPr="000B417D">
        <w:rPr>
          <w:rFonts w:ascii="Times New Roman" w:hAnsi="Times New Roman"/>
          <w:sz w:val="24"/>
          <w:szCs w:val="24"/>
        </w:rPr>
        <w:t xml:space="preserve"> </w:t>
      </w:r>
      <w:r w:rsidR="00B016A0" w:rsidRPr="000B417D">
        <w:rPr>
          <w:rFonts w:ascii="Times New Roman" w:hAnsi="Times New Roman"/>
          <w:sz w:val="24"/>
          <w:szCs w:val="24"/>
        </w:rPr>
        <w:t>или</w:t>
      </w:r>
      <w:r w:rsidRPr="000B417D">
        <w:rPr>
          <w:rFonts w:ascii="Times New Roman" w:hAnsi="Times New Roman"/>
          <w:sz w:val="24"/>
          <w:szCs w:val="24"/>
        </w:rPr>
        <w:t xml:space="preserve"> </w:t>
      </w:r>
      <w:r w:rsidR="00B016A0" w:rsidRPr="000B417D">
        <w:rPr>
          <w:rFonts w:ascii="Times New Roman" w:hAnsi="Times New Roman"/>
          <w:sz w:val="24"/>
          <w:szCs w:val="24"/>
        </w:rPr>
        <w:t>услуга</w:t>
      </w:r>
      <w:r w:rsidRPr="000B417D">
        <w:rPr>
          <w:rFonts w:ascii="Times New Roman" w:hAnsi="Times New Roman"/>
          <w:sz w:val="24"/>
          <w:szCs w:val="24"/>
        </w:rPr>
        <w:t xml:space="preserve">, </w:t>
      </w:r>
      <w:r w:rsidR="00B016A0" w:rsidRPr="000B417D">
        <w:rPr>
          <w:rFonts w:ascii="Times New Roman" w:hAnsi="Times New Roman"/>
          <w:sz w:val="24"/>
          <w:szCs w:val="24"/>
        </w:rPr>
        <w:t>обвезник</w:t>
      </w:r>
      <w:r w:rsidRPr="000B417D">
        <w:rPr>
          <w:rFonts w:ascii="Times New Roman" w:hAnsi="Times New Roman"/>
          <w:sz w:val="24"/>
          <w:szCs w:val="24"/>
        </w:rPr>
        <w:t xml:space="preserve"> </w:t>
      </w:r>
      <w:r w:rsidR="00B016A0" w:rsidRPr="000B417D">
        <w:rPr>
          <w:rFonts w:ascii="Times New Roman" w:hAnsi="Times New Roman"/>
          <w:sz w:val="24"/>
          <w:szCs w:val="24"/>
        </w:rPr>
        <w:t>ПДВ</w:t>
      </w:r>
      <w:r w:rsidRPr="000B417D">
        <w:rPr>
          <w:rFonts w:ascii="Times New Roman" w:hAnsi="Times New Roman"/>
          <w:sz w:val="24"/>
          <w:szCs w:val="24"/>
        </w:rPr>
        <w:t xml:space="preserve">, </w:t>
      </w:r>
      <w:r w:rsidR="00B016A0" w:rsidRPr="000B417D">
        <w:rPr>
          <w:rFonts w:ascii="Times New Roman" w:hAnsi="Times New Roman"/>
          <w:sz w:val="24"/>
          <w:szCs w:val="24"/>
        </w:rPr>
        <w:t>за</w:t>
      </w:r>
      <w:r w:rsidRPr="000B417D">
        <w:rPr>
          <w:rFonts w:ascii="Times New Roman" w:hAnsi="Times New Roman"/>
          <w:sz w:val="24"/>
          <w:szCs w:val="24"/>
        </w:rPr>
        <w:t xml:space="preserve"> </w:t>
      </w:r>
      <w:r w:rsidR="00B016A0" w:rsidRPr="000B417D">
        <w:rPr>
          <w:rFonts w:ascii="Times New Roman" w:hAnsi="Times New Roman"/>
          <w:sz w:val="24"/>
          <w:szCs w:val="24"/>
        </w:rPr>
        <w:t>промет</w:t>
      </w:r>
      <w:r w:rsidRPr="000B417D">
        <w:rPr>
          <w:rFonts w:ascii="Times New Roman" w:hAnsi="Times New Roman"/>
          <w:sz w:val="24"/>
          <w:szCs w:val="24"/>
        </w:rPr>
        <w:t xml:space="preserve"> </w:t>
      </w:r>
      <w:r w:rsidR="00B016A0" w:rsidRPr="000B417D">
        <w:rPr>
          <w:rFonts w:ascii="Times New Roman" w:hAnsi="Times New Roman"/>
          <w:sz w:val="24"/>
          <w:szCs w:val="24"/>
        </w:rPr>
        <w:t>секундарних</w:t>
      </w:r>
      <w:r w:rsidRPr="000B417D">
        <w:rPr>
          <w:rFonts w:ascii="Times New Roman" w:hAnsi="Times New Roman"/>
          <w:sz w:val="24"/>
          <w:szCs w:val="24"/>
        </w:rPr>
        <w:t xml:space="preserve"> </w:t>
      </w:r>
      <w:r w:rsidR="00B016A0" w:rsidRPr="000B417D">
        <w:rPr>
          <w:rFonts w:ascii="Times New Roman" w:hAnsi="Times New Roman"/>
          <w:sz w:val="24"/>
          <w:szCs w:val="24"/>
        </w:rPr>
        <w:t>сировина</w:t>
      </w:r>
      <w:r w:rsidRPr="000B417D">
        <w:rPr>
          <w:rFonts w:ascii="Times New Roman" w:hAnsi="Times New Roman"/>
          <w:sz w:val="24"/>
          <w:szCs w:val="24"/>
        </w:rPr>
        <w:t xml:space="preserve"> </w:t>
      </w:r>
      <w:r w:rsidR="00B016A0" w:rsidRPr="000B417D">
        <w:rPr>
          <w:rFonts w:ascii="Times New Roman" w:hAnsi="Times New Roman"/>
          <w:sz w:val="24"/>
          <w:szCs w:val="24"/>
        </w:rPr>
        <w:t>и</w:t>
      </w:r>
      <w:r w:rsidRPr="000B417D">
        <w:rPr>
          <w:rFonts w:ascii="Times New Roman" w:hAnsi="Times New Roman"/>
          <w:sz w:val="24"/>
          <w:szCs w:val="24"/>
        </w:rPr>
        <w:t xml:space="preserve"> </w:t>
      </w:r>
      <w:r w:rsidR="00B016A0" w:rsidRPr="000B417D">
        <w:rPr>
          <w:rFonts w:ascii="Times New Roman" w:hAnsi="Times New Roman"/>
          <w:sz w:val="24"/>
          <w:szCs w:val="24"/>
        </w:rPr>
        <w:t>услуга</w:t>
      </w:r>
      <w:r w:rsidRPr="000B417D">
        <w:rPr>
          <w:rFonts w:ascii="Times New Roman" w:hAnsi="Times New Roman"/>
          <w:sz w:val="24"/>
          <w:szCs w:val="24"/>
        </w:rPr>
        <w:t xml:space="preserve"> </w:t>
      </w:r>
      <w:r w:rsidR="00B016A0" w:rsidRPr="000B417D">
        <w:rPr>
          <w:rFonts w:ascii="Times New Roman" w:hAnsi="Times New Roman"/>
          <w:sz w:val="24"/>
          <w:szCs w:val="24"/>
        </w:rPr>
        <w:t>које</w:t>
      </w:r>
      <w:r w:rsidRPr="000B417D">
        <w:rPr>
          <w:rFonts w:ascii="Times New Roman" w:hAnsi="Times New Roman"/>
          <w:sz w:val="24"/>
          <w:szCs w:val="24"/>
        </w:rPr>
        <w:t xml:space="preserve"> </w:t>
      </w:r>
      <w:r w:rsidR="00B016A0" w:rsidRPr="000B417D">
        <w:rPr>
          <w:rFonts w:ascii="Times New Roman" w:hAnsi="Times New Roman"/>
          <w:sz w:val="24"/>
          <w:szCs w:val="24"/>
        </w:rPr>
        <w:t>су</w:t>
      </w:r>
      <w:r w:rsidRPr="000B417D">
        <w:rPr>
          <w:rFonts w:ascii="Times New Roman" w:hAnsi="Times New Roman"/>
          <w:sz w:val="24"/>
          <w:szCs w:val="24"/>
        </w:rPr>
        <w:t xml:space="preserve"> </w:t>
      </w:r>
      <w:r w:rsidR="00B016A0" w:rsidRPr="000B417D">
        <w:rPr>
          <w:rFonts w:ascii="Times New Roman" w:hAnsi="Times New Roman"/>
          <w:sz w:val="24"/>
          <w:szCs w:val="24"/>
        </w:rPr>
        <w:t>непосредно</w:t>
      </w:r>
      <w:r w:rsidRPr="000B417D">
        <w:rPr>
          <w:rFonts w:ascii="Times New Roman" w:hAnsi="Times New Roman"/>
          <w:sz w:val="24"/>
          <w:szCs w:val="24"/>
        </w:rPr>
        <w:t xml:space="preserve"> </w:t>
      </w:r>
      <w:r w:rsidR="00B016A0" w:rsidRPr="000B417D">
        <w:rPr>
          <w:rFonts w:ascii="Times New Roman" w:hAnsi="Times New Roman"/>
          <w:sz w:val="24"/>
          <w:szCs w:val="24"/>
        </w:rPr>
        <w:t>повезане</w:t>
      </w:r>
      <w:r w:rsidRPr="000B417D">
        <w:rPr>
          <w:rFonts w:ascii="Times New Roman" w:hAnsi="Times New Roman"/>
          <w:sz w:val="24"/>
          <w:szCs w:val="24"/>
        </w:rPr>
        <w:t xml:space="preserve"> </w:t>
      </w:r>
      <w:r w:rsidR="00B016A0" w:rsidRPr="000B417D">
        <w:rPr>
          <w:rFonts w:ascii="Times New Roman" w:hAnsi="Times New Roman"/>
          <w:sz w:val="24"/>
          <w:szCs w:val="24"/>
        </w:rPr>
        <w:t>са</w:t>
      </w:r>
      <w:r w:rsidRPr="000B417D">
        <w:rPr>
          <w:rFonts w:ascii="Times New Roman" w:hAnsi="Times New Roman"/>
          <w:sz w:val="24"/>
          <w:szCs w:val="24"/>
        </w:rPr>
        <w:t xml:space="preserve"> </w:t>
      </w:r>
      <w:r w:rsidR="00B016A0" w:rsidRPr="000B417D">
        <w:rPr>
          <w:rFonts w:ascii="Times New Roman" w:hAnsi="Times New Roman"/>
          <w:sz w:val="24"/>
          <w:szCs w:val="24"/>
        </w:rPr>
        <w:t>тим</w:t>
      </w:r>
      <w:r w:rsidRPr="000B417D">
        <w:rPr>
          <w:rFonts w:ascii="Times New Roman" w:hAnsi="Times New Roman"/>
          <w:sz w:val="24"/>
          <w:szCs w:val="24"/>
        </w:rPr>
        <w:t xml:space="preserve"> </w:t>
      </w:r>
      <w:r w:rsidR="00B016A0" w:rsidRPr="000B417D">
        <w:rPr>
          <w:rFonts w:ascii="Times New Roman" w:hAnsi="Times New Roman"/>
          <w:sz w:val="24"/>
          <w:szCs w:val="24"/>
        </w:rPr>
        <w:t>добрима</w:t>
      </w:r>
      <w:r w:rsidRPr="000B417D">
        <w:rPr>
          <w:rFonts w:ascii="Times New Roman" w:hAnsi="Times New Roman"/>
          <w:sz w:val="24"/>
          <w:szCs w:val="24"/>
        </w:rPr>
        <w:t xml:space="preserve">, </w:t>
      </w:r>
      <w:r w:rsidR="00B016A0" w:rsidRPr="000B417D">
        <w:rPr>
          <w:rFonts w:ascii="Times New Roman" w:hAnsi="Times New Roman"/>
          <w:sz w:val="24"/>
          <w:szCs w:val="24"/>
        </w:rPr>
        <w:t>извршен</w:t>
      </w:r>
      <w:r w:rsidRPr="000B417D">
        <w:rPr>
          <w:rFonts w:ascii="Times New Roman" w:hAnsi="Times New Roman"/>
          <w:sz w:val="24"/>
          <w:szCs w:val="24"/>
        </w:rPr>
        <w:t xml:space="preserve"> </w:t>
      </w:r>
      <w:r w:rsidR="00B016A0" w:rsidRPr="000B417D">
        <w:rPr>
          <w:rFonts w:ascii="Times New Roman" w:hAnsi="Times New Roman"/>
          <w:sz w:val="24"/>
          <w:szCs w:val="24"/>
        </w:rPr>
        <w:t>од</w:t>
      </w:r>
      <w:r w:rsidRPr="000B417D">
        <w:rPr>
          <w:rFonts w:ascii="Times New Roman" w:hAnsi="Times New Roman"/>
          <w:sz w:val="24"/>
          <w:szCs w:val="24"/>
        </w:rPr>
        <w:t xml:space="preserve"> </w:t>
      </w:r>
      <w:r w:rsidR="00B016A0" w:rsidRPr="000B417D">
        <w:rPr>
          <w:rFonts w:ascii="Times New Roman" w:hAnsi="Times New Roman"/>
          <w:sz w:val="24"/>
          <w:szCs w:val="24"/>
        </w:rPr>
        <w:t>стране</w:t>
      </w:r>
      <w:r w:rsidRPr="000B417D">
        <w:rPr>
          <w:rFonts w:ascii="Times New Roman" w:hAnsi="Times New Roman"/>
          <w:sz w:val="24"/>
          <w:szCs w:val="24"/>
        </w:rPr>
        <w:t xml:space="preserve"> </w:t>
      </w:r>
      <w:r w:rsidR="00B016A0" w:rsidRPr="000B417D">
        <w:rPr>
          <w:rFonts w:ascii="Times New Roman" w:hAnsi="Times New Roman"/>
          <w:sz w:val="24"/>
          <w:szCs w:val="24"/>
        </w:rPr>
        <w:t>другог</w:t>
      </w:r>
      <w:r w:rsidRPr="000B417D">
        <w:rPr>
          <w:rFonts w:ascii="Times New Roman" w:hAnsi="Times New Roman"/>
          <w:sz w:val="24"/>
          <w:szCs w:val="24"/>
        </w:rPr>
        <w:t xml:space="preserve"> </w:t>
      </w:r>
      <w:r w:rsidR="00B016A0" w:rsidRPr="000B417D">
        <w:rPr>
          <w:rFonts w:ascii="Times New Roman" w:hAnsi="Times New Roman"/>
          <w:sz w:val="24"/>
          <w:szCs w:val="24"/>
        </w:rPr>
        <w:t>обвезника</w:t>
      </w:r>
      <w:r w:rsidRPr="000B417D">
        <w:rPr>
          <w:rFonts w:ascii="Times New Roman" w:hAnsi="Times New Roman"/>
          <w:sz w:val="24"/>
          <w:szCs w:val="24"/>
        </w:rPr>
        <w:t xml:space="preserve"> </w:t>
      </w:r>
      <w:r w:rsidR="00B016A0" w:rsidRPr="000B417D">
        <w:rPr>
          <w:rFonts w:ascii="Times New Roman" w:hAnsi="Times New Roman"/>
          <w:sz w:val="24"/>
          <w:szCs w:val="24"/>
        </w:rPr>
        <w:t>ПДВ</w:t>
      </w:r>
      <w:r w:rsidRPr="000B417D">
        <w:rPr>
          <w:rFonts w:ascii="Times New Roman" w:hAnsi="Times New Roman"/>
          <w:sz w:val="24"/>
          <w:szCs w:val="24"/>
        </w:rPr>
        <w:t>;</w:t>
      </w:r>
    </w:p>
    <w:p w:rsidR="00334853" w:rsidRPr="000B417D" w:rsidRDefault="00334853" w:rsidP="000B417D">
      <w:pPr>
        <w:jc w:val="both"/>
        <w:rPr>
          <w:rFonts w:ascii="Times New Roman" w:hAnsi="Times New Roman"/>
          <w:sz w:val="24"/>
          <w:szCs w:val="24"/>
          <w:lang w:val="sr-Cyrl-CS"/>
        </w:rPr>
      </w:pPr>
      <w:r w:rsidRPr="000B417D">
        <w:rPr>
          <w:rFonts w:ascii="Times New Roman" w:hAnsi="Times New Roman"/>
          <w:sz w:val="24"/>
          <w:szCs w:val="24"/>
        </w:rPr>
        <w:t xml:space="preserve"> </w:t>
      </w:r>
      <w:r w:rsidR="00B016A0" w:rsidRPr="000B417D">
        <w:rPr>
          <w:rFonts w:ascii="Times New Roman" w:hAnsi="Times New Roman"/>
          <w:sz w:val="24"/>
          <w:szCs w:val="24"/>
        </w:rPr>
        <w:t>прималац</w:t>
      </w:r>
      <w:r w:rsidRPr="000B417D">
        <w:rPr>
          <w:rFonts w:ascii="Times New Roman" w:hAnsi="Times New Roman"/>
          <w:sz w:val="24"/>
          <w:szCs w:val="24"/>
        </w:rPr>
        <w:t xml:space="preserve"> </w:t>
      </w:r>
      <w:r w:rsidR="00B016A0" w:rsidRPr="000B417D">
        <w:rPr>
          <w:rFonts w:ascii="Times New Roman" w:hAnsi="Times New Roman"/>
          <w:sz w:val="24"/>
          <w:szCs w:val="24"/>
        </w:rPr>
        <w:t>добара</w:t>
      </w:r>
      <w:r w:rsidRPr="000B417D">
        <w:rPr>
          <w:rFonts w:ascii="Times New Roman" w:hAnsi="Times New Roman"/>
          <w:sz w:val="24"/>
          <w:szCs w:val="24"/>
        </w:rPr>
        <w:t xml:space="preserve">, </w:t>
      </w:r>
      <w:r w:rsidR="00B016A0" w:rsidRPr="000B417D">
        <w:rPr>
          <w:rFonts w:ascii="Times New Roman" w:hAnsi="Times New Roman"/>
          <w:sz w:val="24"/>
          <w:szCs w:val="24"/>
        </w:rPr>
        <w:t>обвезник</w:t>
      </w:r>
      <w:r w:rsidRPr="000B417D">
        <w:rPr>
          <w:rFonts w:ascii="Times New Roman" w:hAnsi="Times New Roman"/>
          <w:sz w:val="24"/>
          <w:szCs w:val="24"/>
        </w:rPr>
        <w:t xml:space="preserve"> </w:t>
      </w:r>
      <w:r w:rsidR="00B016A0" w:rsidRPr="000B417D">
        <w:rPr>
          <w:rFonts w:ascii="Times New Roman" w:hAnsi="Times New Roman"/>
          <w:sz w:val="24"/>
          <w:szCs w:val="24"/>
        </w:rPr>
        <w:t>ПДВ</w:t>
      </w:r>
      <w:r w:rsidRPr="000B417D">
        <w:rPr>
          <w:rFonts w:ascii="Times New Roman" w:hAnsi="Times New Roman"/>
          <w:sz w:val="24"/>
          <w:szCs w:val="24"/>
        </w:rPr>
        <w:t xml:space="preserve">, </w:t>
      </w:r>
      <w:r w:rsidR="00B016A0" w:rsidRPr="000B417D">
        <w:rPr>
          <w:rFonts w:ascii="Times New Roman" w:hAnsi="Times New Roman"/>
          <w:sz w:val="24"/>
          <w:szCs w:val="24"/>
        </w:rPr>
        <w:t>за</w:t>
      </w:r>
      <w:r w:rsidRPr="000B417D">
        <w:rPr>
          <w:rFonts w:ascii="Times New Roman" w:hAnsi="Times New Roman"/>
          <w:sz w:val="24"/>
          <w:szCs w:val="24"/>
        </w:rPr>
        <w:t xml:space="preserve"> </w:t>
      </w:r>
      <w:r w:rsidR="00B016A0" w:rsidRPr="000B417D">
        <w:rPr>
          <w:rFonts w:ascii="Times New Roman" w:hAnsi="Times New Roman"/>
          <w:sz w:val="24"/>
          <w:szCs w:val="24"/>
        </w:rPr>
        <w:t>промет</w:t>
      </w:r>
      <w:r w:rsidRPr="000B417D">
        <w:rPr>
          <w:rFonts w:ascii="Times New Roman" w:hAnsi="Times New Roman"/>
          <w:sz w:val="24"/>
          <w:szCs w:val="24"/>
        </w:rPr>
        <w:t xml:space="preserve"> </w:t>
      </w:r>
      <w:r w:rsidR="00B016A0" w:rsidRPr="000B417D">
        <w:rPr>
          <w:rFonts w:ascii="Times New Roman" w:hAnsi="Times New Roman"/>
          <w:sz w:val="24"/>
          <w:szCs w:val="24"/>
        </w:rPr>
        <w:t>грађевинских</w:t>
      </w:r>
      <w:r w:rsidRPr="000B417D">
        <w:rPr>
          <w:rFonts w:ascii="Times New Roman" w:hAnsi="Times New Roman"/>
          <w:sz w:val="24"/>
          <w:szCs w:val="24"/>
        </w:rPr>
        <w:t xml:space="preserve"> </w:t>
      </w:r>
      <w:r w:rsidR="00B016A0" w:rsidRPr="000B417D">
        <w:rPr>
          <w:rFonts w:ascii="Times New Roman" w:hAnsi="Times New Roman"/>
          <w:sz w:val="24"/>
          <w:szCs w:val="24"/>
        </w:rPr>
        <w:t>објеката</w:t>
      </w:r>
      <w:r w:rsidRPr="000B417D">
        <w:rPr>
          <w:rFonts w:ascii="Times New Roman" w:hAnsi="Times New Roman"/>
          <w:sz w:val="24"/>
          <w:szCs w:val="24"/>
        </w:rPr>
        <w:t xml:space="preserve"> </w:t>
      </w:r>
      <w:r w:rsidR="00B016A0" w:rsidRPr="000B417D">
        <w:rPr>
          <w:rFonts w:ascii="Times New Roman" w:hAnsi="Times New Roman"/>
          <w:sz w:val="24"/>
          <w:szCs w:val="24"/>
        </w:rPr>
        <w:t>и</w:t>
      </w:r>
      <w:r w:rsidRPr="000B417D">
        <w:rPr>
          <w:rFonts w:ascii="Times New Roman" w:hAnsi="Times New Roman"/>
          <w:sz w:val="24"/>
          <w:szCs w:val="24"/>
        </w:rPr>
        <w:t xml:space="preserve"> </w:t>
      </w:r>
      <w:r w:rsidR="00B016A0" w:rsidRPr="000B417D">
        <w:rPr>
          <w:rFonts w:ascii="Times New Roman" w:hAnsi="Times New Roman"/>
          <w:sz w:val="24"/>
          <w:szCs w:val="24"/>
        </w:rPr>
        <w:t>економски</w:t>
      </w:r>
      <w:r w:rsidRPr="000B417D">
        <w:rPr>
          <w:rFonts w:ascii="Times New Roman" w:hAnsi="Times New Roman"/>
          <w:sz w:val="24"/>
          <w:szCs w:val="24"/>
        </w:rPr>
        <w:t xml:space="preserve"> </w:t>
      </w:r>
      <w:r w:rsidR="00B016A0" w:rsidRPr="000B417D">
        <w:rPr>
          <w:rFonts w:ascii="Times New Roman" w:hAnsi="Times New Roman"/>
          <w:sz w:val="24"/>
          <w:szCs w:val="24"/>
        </w:rPr>
        <w:t>дељивих</w:t>
      </w:r>
      <w:r w:rsidRPr="000B417D">
        <w:rPr>
          <w:rFonts w:ascii="Times New Roman" w:hAnsi="Times New Roman"/>
          <w:sz w:val="24"/>
          <w:szCs w:val="24"/>
        </w:rPr>
        <w:t xml:space="preserve"> </w:t>
      </w:r>
      <w:r w:rsidR="00B016A0" w:rsidRPr="000B417D">
        <w:rPr>
          <w:rFonts w:ascii="Times New Roman" w:hAnsi="Times New Roman"/>
          <w:sz w:val="24"/>
          <w:szCs w:val="24"/>
        </w:rPr>
        <w:t>целина</w:t>
      </w:r>
      <w:r w:rsidRPr="000B417D">
        <w:rPr>
          <w:rFonts w:ascii="Times New Roman" w:hAnsi="Times New Roman"/>
          <w:sz w:val="24"/>
          <w:szCs w:val="24"/>
        </w:rPr>
        <w:t xml:space="preserve"> </w:t>
      </w:r>
      <w:r w:rsidR="00B016A0" w:rsidRPr="000B417D">
        <w:rPr>
          <w:rFonts w:ascii="Times New Roman" w:hAnsi="Times New Roman"/>
          <w:sz w:val="24"/>
          <w:szCs w:val="24"/>
        </w:rPr>
        <w:t>у</w:t>
      </w:r>
      <w:r w:rsidRPr="000B417D">
        <w:rPr>
          <w:rFonts w:ascii="Times New Roman" w:hAnsi="Times New Roman"/>
          <w:sz w:val="24"/>
          <w:szCs w:val="24"/>
        </w:rPr>
        <w:t xml:space="preserve"> </w:t>
      </w:r>
      <w:r w:rsidR="00B016A0" w:rsidRPr="000B417D">
        <w:rPr>
          <w:rFonts w:ascii="Times New Roman" w:hAnsi="Times New Roman"/>
          <w:sz w:val="24"/>
          <w:szCs w:val="24"/>
        </w:rPr>
        <w:t>оквиру</w:t>
      </w:r>
      <w:r w:rsidRPr="000B417D">
        <w:rPr>
          <w:rFonts w:ascii="Times New Roman" w:hAnsi="Times New Roman"/>
          <w:sz w:val="24"/>
          <w:szCs w:val="24"/>
        </w:rPr>
        <w:t xml:space="preserve"> </w:t>
      </w:r>
      <w:r w:rsidR="00B016A0" w:rsidRPr="000B417D">
        <w:rPr>
          <w:rFonts w:ascii="Times New Roman" w:hAnsi="Times New Roman"/>
          <w:sz w:val="24"/>
          <w:szCs w:val="24"/>
        </w:rPr>
        <w:t>тих</w:t>
      </w:r>
      <w:r w:rsidRPr="000B417D">
        <w:rPr>
          <w:rFonts w:ascii="Times New Roman" w:hAnsi="Times New Roman"/>
          <w:sz w:val="24"/>
          <w:szCs w:val="24"/>
        </w:rPr>
        <w:t xml:space="preserve"> </w:t>
      </w:r>
      <w:r w:rsidR="00B016A0" w:rsidRPr="000B417D">
        <w:rPr>
          <w:rFonts w:ascii="Times New Roman" w:hAnsi="Times New Roman"/>
          <w:sz w:val="24"/>
          <w:szCs w:val="24"/>
        </w:rPr>
        <w:t>објеката</w:t>
      </w:r>
      <w:r w:rsidRPr="000B417D">
        <w:rPr>
          <w:rFonts w:ascii="Times New Roman" w:hAnsi="Times New Roman"/>
          <w:sz w:val="24"/>
          <w:szCs w:val="24"/>
        </w:rPr>
        <w:t xml:space="preserve">, </w:t>
      </w:r>
      <w:r w:rsidR="00B016A0" w:rsidRPr="000B417D">
        <w:rPr>
          <w:rFonts w:ascii="Times New Roman" w:hAnsi="Times New Roman"/>
          <w:sz w:val="24"/>
          <w:szCs w:val="24"/>
        </w:rPr>
        <w:t>укључујући</w:t>
      </w:r>
      <w:r w:rsidRPr="000B417D">
        <w:rPr>
          <w:rFonts w:ascii="Times New Roman" w:hAnsi="Times New Roman"/>
          <w:sz w:val="24"/>
          <w:szCs w:val="24"/>
        </w:rPr>
        <w:t xml:space="preserve"> </w:t>
      </w:r>
      <w:r w:rsidR="00B016A0" w:rsidRPr="000B417D">
        <w:rPr>
          <w:rFonts w:ascii="Times New Roman" w:hAnsi="Times New Roman"/>
          <w:sz w:val="24"/>
          <w:szCs w:val="24"/>
        </w:rPr>
        <w:t>и</w:t>
      </w:r>
      <w:r w:rsidRPr="000B417D">
        <w:rPr>
          <w:rFonts w:ascii="Times New Roman" w:hAnsi="Times New Roman"/>
          <w:sz w:val="24"/>
          <w:szCs w:val="24"/>
        </w:rPr>
        <w:t xml:space="preserve"> </w:t>
      </w:r>
      <w:r w:rsidR="00B016A0" w:rsidRPr="000B417D">
        <w:rPr>
          <w:rFonts w:ascii="Times New Roman" w:hAnsi="Times New Roman"/>
          <w:sz w:val="24"/>
          <w:szCs w:val="24"/>
        </w:rPr>
        <w:t>власничке</w:t>
      </w:r>
      <w:r w:rsidRPr="000B417D">
        <w:rPr>
          <w:rFonts w:ascii="Times New Roman" w:hAnsi="Times New Roman"/>
          <w:sz w:val="24"/>
          <w:szCs w:val="24"/>
        </w:rPr>
        <w:t xml:space="preserve"> </w:t>
      </w:r>
      <w:r w:rsidR="00B016A0" w:rsidRPr="000B417D">
        <w:rPr>
          <w:rFonts w:ascii="Times New Roman" w:hAnsi="Times New Roman"/>
          <w:sz w:val="24"/>
          <w:szCs w:val="24"/>
        </w:rPr>
        <w:t>уделе</w:t>
      </w:r>
      <w:r w:rsidRPr="000B417D">
        <w:rPr>
          <w:rFonts w:ascii="Times New Roman" w:hAnsi="Times New Roman"/>
          <w:sz w:val="24"/>
          <w:szCs w:val="24"/>
        </w:rPr>
        <w:t xml:space="preserve"> </w:t>
      </w:r>
      <w:r w:rsidR="00B016A0" w:rsidRPr="000B417D">
        <w:rPr>
          <w:rFonts w:ascii="Times New Roman" w:hAnsi="Times New Roman"/>
          <w:sz w:val="24"/>
          <w:szCs w:val="24"/>
        </w:rPr>
        <w:t>на</w:t>
      </w:r>
      <w:r w:rsidRPr="000B417D">
        <w:rPr>
          <w:rFonts w:ascii="Times New Roman" w:hAnsi="Times New Roman"/>
          <w:sz w:val="24"/>
          <w:szCs w:val="24"/>
        </w:rPr>
        <w:t xml:space="preserve"> </w:t>
      </w:r>
      <w:r w:rsidR="00B016A0" w:rsidRPr="000B417D">
        <w:rPr>
          <w:rFonts w:ascii="Times New Roman" w:hAnsi="Times New Roman"/>
          <w:sz w:val="24"/>
          <w:szCs w:val="24"/>
        </w:rPr>
        <w:t>тим</w:t>
      </w:r>
      <w:r w:rsidRPr="000B417D">
        <w:rPr>
          <w:rFonts w:ascii="Times New Roman" w:hAnsi="Times New Roman"/>
          <w:sz w:val="24"/>
          <w:szCs w:val="24"/>
        </w:rPr>
        <w:t xml:space="preserve"> </w:t>
      </w:r>
      <w:r w:rsidR="00B016A0" w:rsidRPr="000B417D">
        <w:rPr>
          <w:rFonts w:ascii="Times New Roman" w:hAnsi="Times New Roman"/>
          <w:sz w:val="24"/>
          <w:szCs w:val="24"/>
        </w:rPr>
        <w:t>добрима</w:t>
      </w:r>
      <w:r w:rsidRPr="000B417D">
        <w:rPr>
          <w:rFonts w:ascii="Times New Roman" w:hAnsi="Times New Roman"/>
          <w:sz w:val="24"/>
          <w:szCs w:val="24"/>
        </w:rPr>
        <w:t xml:space="preserve">, </w:t>
      </w:r>
      <w:r w:rsidR="00B016A0" w:rsidRPr="000B417D">
        <w:rPr>
          <w:rFonts w:ascii="Times New Roman" w:hAnsi="Times New Roman"/>
          <w:sz w:val="24"/>
          <w:szCs w:val="24"/>
        </w:rPr>
        <w:t>извршен</w:t>
      </w:r>
      <w:r w:rsidRPr="000B417D">
        <w:rPr>
          <w:rFonts w:ascii="Times New Roman" w:hAnsi="Times New Roman"/>
          <w:sz w:val="24"/>
          <w:szCs w:val="24"/>
        </w:rPr>
        <w:t xml:space="preserve"> </w:t>
      </w:r>
      <w:r w:rsidR="00B016A0" w:rsidRPr="000B417D">
        <w:rPr>
          <w:rFonts w:ascii="Times New Roman" w:hAnsi="Times New Roman"/>
          <w:sz w:val="24"/>
          <w:szCs w:val="24"/>
        </w:rPr>
        <w:t>од</w:t>
      </w:r>
      <w:r w:rsidRPr="000B417D">
        <w:rPr>
          <w:rFonts w:ascii="Times New Roman" w:hAnsi="Times New Roman"/>
          <w:sz w:val="24"/>
          <w:szCs w:val="24"/>
        </w:rPr>
        <w:t xml:space="preserve"> </w:t>
      </w:r>
      <w:r w:rsidR="00B016A0" w:rsidRPr="000B417D">
        <w:rPr>
          <w:rFonts w:ascii="Times New Roman" w:hAnsi="Times New Roman"/>
          <w:sz w:val="24"/>
          <w:szCs w:val="24"/>
        </w:rPr>
        <w:t>стране</w:t>
      </w:r>
      <w:r w:rsidRPr="000B417D">
        <w:rPr>
          <w:rFonts w:ascii="Times New Roman" w:hAnsi="Times New Roman"/>
          <w:sz w:val="24"/>
          <w:szCs w:val="24"/>
        </w:rPr>
        <w:t xml:space="preserve"> </w:t>
      </w:r>
      <w:r w:rsidR="00B016A0" w:rsidRPr="000B417D">
        <w:rPr>
          <w:rFonts w:ascii="Times New Roman" w:hAnsi="Times New Roman"/>
          <w:sz w:val="24"/>
          <w:szCs w:val="24"/>
        </w:rPr>
        <w:t>другог</w:t>
      </w:r>
      <w:r w:rsidRPr="000B417D">
        <w:rPr>
          <w:rFonts w:ascii="Times New Roman" w:hAnsi="Times New Roman"/>
          <w:sz w:val="24"/>
          <w:szCs w:val="24"/>
        </w:rPr>
        <w:t xml:space="preserve"> </w:t>
      </w:r>
      <w:r w:rsidR="00B016A0" w:rsidRPr="000B417D">
        <w:rPr>
          <w:rFonts w:ascii="Times New Roman" w:hAnsi="Times New Roman"/>
          <w:sz w:val="24"/>
          <w:szCs w:val="24"/>
        </w:rPr>
        <w:t>обвезника</w:t>
      </w:r>
      <w:r w:rsidRPr="000B417D">
        <w:rPr>
          <w:rFonts w:ascii="Times New Roman" w:hAnsi="Times New Roman"/>
          <w:sz w:val="24"/>
          <w:szCs w:val="24"/>
        </w:rPr>
        <w:t xml:space="preserve"> </w:t>
      </w:r>
      <w:r w:rsidR="00B016A0" w:rsidRPr="000B417D">
        <w:rPr>
          <w:rFonts w:ascii="Times New Roman" w:hAnsi="Times New Roman"/>
          <w:sz w:val="24"/>
          <w:szCs w:val="24"/>
        </w:rPr>
        <w:t>ПДВ</w:t>
      </w:r>
      <w:r w:rsidRPr="000B417D">
        <w:rPr>
          <w:rFonts w:ascii="Times New Roman" w:hAnsi="Times New Roman"/>
          <w:sz w:val="24"/>
          <w:szCs w:val="24"/>
        </w:rPr>
        <w:t xml:space="preserve">, </w:t>
      </w:r>
      <w:r w:rsidR="00B016A0" w:rsidRPr="000B417D">
        <w:rPr>
          <w:rFonts w:ascii="Times New Roman" w:hAnsi="Times New Roman"/>
          <w:sz w:val="24"/>
          <w:szCs w:val="24"/>
        </w:rPr>
        <w:t>у</w:t>
      </w:r>
      <w:r w:rsidRPr="000B417D">
        <w:rPr>
          <w:rFonts w:ascii="Times New Roman" w:hAnsi="Times New Roman"/>
          <w:sz w:val="24"/>
          <w:szCs w:val="24"/>
        </w:rPr>
        <w:t xml:space="preserve"> </w:t>
      </w:r>
      <w:r w:rsidR="00B016A0" w:rsidRPr="000B417D">
        <w:rPr>
          <w:rFonts w:ascii="Times New Roman" w:hAnsi="Times New Roman"/>
          <w:sz w:val="24"/>
          <w:szCs w:val="24"/>
        </w:rPr>
        <w:t>случају</w:t>
      </w:r>
      <w:r w:rsidRPr="000B417D">
        <w:rPr>
          <w:rFonts w:ascii="Times New Roman" w:hAnsi="Times New Roman"/>
          <w:sz w:val="24"/>
          <w:szCs w:val="24"/>
        </w:rPr>
        <w:t xml:space="preserve"> </w:t>
      </w:r>
      <w:r w:rsidR="00B016A0" w:rsidRPr="000B417D">
        <w:rPr>
          <w:rFonts w:ascii="Times New Roman" w:hAnsi="Times New Roman"/>
          <w:sz w:val="24"/>
          <w:szCs w:val="24"/>
        </w:rPr>
        <w:t>када</w:t>
      </w:r>
      <w:r w:rsidRPr="000B417D">
        <w:rPr>
          <w:rFonts w:ascii="Times New Roman" w:hAnsi="Times New Roman"/>
          <w:sz w:val="24"/>
          <w:szCs w:val="24"/>
        </w:rPr>
        <w:t xml:space="preserve"> </w:t>
      </w:r>
      <w:r w:rsidR="00B016A0" w:rsidRPr="000B417D">
        <w:rPr>
          <w:rFonts w:ascii="Times New Roman" w:hAnsi="Times New Roman"/>
          <w:sz w:val="24"/>
          <w:szCs w:val="24"/>
        </w:rPr>
        <w:t>је</w:t>
      </w:r>
      <w:r w:rsidRPr="000B417D">
        <w:rPr>
          <w:rFonts w:ascii="Times New Roman" w:hAnsi="Times New Roman"/>
          <w:sz w:val="24"/>
          <w:szCs w:val="24"/>
        </w:rPr>
        <w:t xml:space="preserve"> </w:t>
      </w:r>
      <w:r w:rsidR="00B016A0" w:rsidRPr="000B417D">
        <w:rPr>
          <w:rFonts w:ascii="Times New Roman" w:hAnsi="Times New Roman"/>
          <w:sz w:val="24"/>
          <w:szCs w:val="24"/>
        </w:rPr>
        <w:t>уговором</w:t>
      </w:r>
      <w:r w:rsidRPr="000B417D">
        <w:rPr>
          <w:rFonts w:ascii="Times New Roman" w:hAnsi="Times New Roman"/>
          <w:sz w:val="24"/>
          <w:szCs w:val="24"/>
        </w:rPr>
        <w:t xml:space="preserve"> </w:t>
      </w:r>
      <w:r w:rsidR="00B016A0" w:rsidRPr="000B417D">
        <w:rPr>
          <w:rFonts w:ascii="Times New Roman" w:hAnsi="Times New Roman"/>
          <w:sz w:val="24"/>
          <w:szCs w:val="24"/>
        </w:rPr>
        <w:t>на</w:t>
      </w:r>
      <w:r w:rsidRPr="000B417D">
        <w:rPr>
          <w:rFonts w:ascii="Times New Roman" w:hAnsi="Times New Roman"/>
          <w:sz w:val="24"/>
          <w:szCs w:val="24"/>
        </w:rPr>
        <w:t xml:space="preserve"> </w:t>
      </w:r>
      <w:r w:rsidR="00B016A0" w:rsidRPr="000B417D">
        <w:rPr>
          <w:rFonts w:ascii="Times New Roman" w:hAnsi="Times New Roman"/>
          <w:sz w:val="24"/>
          <w:szCs w:val="24"/>
        </w:rPr>
        <w:t>основу</w:t>
      </w:r>
      <w:r w:rsidRPr="000B417D">
        <w:rPr>
          <w:rFonts w:ascii="Times New Roman" w:hAnsi="Times New Roman"/>
          <w:sz w:val="24"/>
          <w:szCs w:val="24"/>
        </w:rPr>
        <w:t xml:space="preserve"> </w:t>
      </w:r>
      <w:r w:rsidR="00B016A0" w:rsidRPr="000B417D">
        <w:rPr>
          <w:rFonts w:ascii="Times New Roman" w:hAnsi="Times New Roman"/>
          <w:sz w:val="24"/>
          <w:szCs w:val="24"/>
        </w:rPr>
        <w:t>којег</w:t>
      </w:r>
      <w:r w:rsidRPr="000B417D">
        <w:rPr>
          <w:rFonts w:ascii="Times New Roman" w:hAnsi="Times New Roman"/>
          <w:sz w:val="24"/>
          <w:szCs w:val="24"/>
        </w:rPr>
        <w:t xml:space="preserve"> </w:t>
      </w:r>
      <w:r w:rsidR="00B016A0" w:rsidRPr="000B417D">
        <w:rPr>
          <w:rFonts w:ascii="Times New Roman" w:hAnsi="Times New Roman"/>
          <w:sz w:val="24"/>
          <w:szCs w:val="24"/>
        </w:rPr>
        <w:t>се</w:t>
      </w:r>
      <w:r w:rsidRPr="000B417D">
        <w:rPr>
          <w:rFonts w:ascii="Times New Roman" w:hAnsi="Times New Roman"/>
          <w:sz w:val="24"/>
          <w:szCs w:val="24"/>
        </w:rPr>
        <w:t xml:space="preserve"> </w:t>
      </w:r>
      <w:r w:rsidR="00B016A0" w:rsidRPr="000B417D">
        <w:rPr>
          <w:rFonts w:ascii="Times New Roman" w:hAnsi="Times New Roman"/>
          <w:sz w:val="24"/>
          <w:szCs w:val="24"/>
        </w:rPr>
        <w:t>врши</w:t>
      </w:r>
      <w:r w:rsidRPr="000B417D">
        <w:rPr>
          <w:rFonts w:ascii="Times New Roman" w:hAnsi="Times New Roman"/>
          <w:sz w:val="24"/>
          <w:szCs w:val="24"/>
        </w:rPr>
        <w:t xml:space="preserve"> </w:t>
      </w:r>
      <w:r w:rsidR="00B016A0" w:rsidRPr="000B417D">
        <w:rPr>
          <w:rFonts w:ascii="Times New Roman" w:hAnsi="Times New Roman"/>
          <w:sz w:val="24"/>
          <w:szCs w:val="24"/>
        </w:rPr>
        <w:t>промет</w:t>
      </w:r>
      <w:r w:rsidRPr="000B417D">
        <w:rPr>
          <w:rFonts w:ascii="Times New Roman" w:hAnsi="Times New Roman"/>
          <w:sz w:val="24"/>
          <w:szCs w:val="24"/>
        </w:rPr>
        <w:t xml:space="preserve"> </w:t>
      </w:r>
      <w:r w:rsidR="00B016A0" w:rsidRPr="000B417D">
        <w:rPr>
          <w:rFonts w:ascii="Times New Roman" w:hAnsi="Times New Roman"/>
          <w:sz w:val="24"/>
          <w:szCs w:val="24"/>
        </w:rPr>
        <w:t>тих</w:t>
      </w:r>
      <w:r w:rsidRPr="000B417D">
        <w:rPr>
          <w:rFonts w:ascii="Times New Roman" w:hAnsi="Times New Roman"/>
          <w:sz w:val="24"/>
          <w:szCs w:val="24"/>
        </w:rPr>
        <w:t xml:space="preserve"> </w:t>
      </w:r>
      <w:r w:rsidR="00B016A0" w:rsidRPr="000B417D">
        <w:rPr>
          <w:rFonts w:ascii="Times New Roman" w:hAnsi="Times New Roman"/>
          <w:sz w:val="24"/>
          <w:szCs w:val="24"/>
        </w:rPr>
        <w:t>добара</w:t>
      </w:r>
      <w:r w:rsidRPr="000B417D">
        <w:rPr>
          <w:rFonts w:ascii="Times New Roman" w:hAnsi="Times New Roman"/>
          <w:sz w:val="24"/>
          <w:szCs w:val="24"/>
        </w:rPr>
        <w:t xml:space="preserve"> </w:t>
      </w:r>
      <w:r w:rsidR="00B016A0" w:rsidRPr="000B417D">
        <w:rPr>
          <w:rFonts w:ascii="Times New Roman" w:hAnsi="Times New Roman"/>
          <w:sz w:val="24"/>
          <w:szCs w:val="24"/>
        </w:rPr>
        <w:t>предвиђено</w:t>
      </w:r>
      <w:r w:rsidRPr="000B417D">
        <w:rPr>
          <w:rFonts w:ascii="Times New Roman" w:hAnsi="Times New Roman"/>
          <w:sz w:val="24"/>
          <w:szCs w:val="24"/>
        </w:rPr>
        <w:t xml:space="preserve"> </w:t>
      </w:r>
      <w:r w:rsidR="00B016A0" w:rsidRPr="000B417D">
        <w:rPr>
          <w:rFonts w:ascii="Times New Roman" w:hAnsi="Times New Roman"/>
          <w:sz w:val="24"/>
          <w:szCs w:val="24"/>
        </w:rPr>
        <w:t>да</w:t>
      </w:r>
      <w:r w:rsidRPr="000B417D">
        <w:rPr>
          <w:rFonts w:ascii="Times New Roman" w:hAnsi="Times New Roman"/>
          <w:sz w:val="24"/>
          <w:szCs w:val="24"/>
        </w:rPr>
        <w:t xml:space="preserve"> </w:t>
      </w:r>
      <w:r w:rsidR="00B016A0" w:rsidRPr="000B417D">
        <w:rPr>
          <w:rFonts w:ascii="Times New Roman" w:hAnsi="Times New Roman"/>
          <w:sz w:val="24"/>
          <w:szCs w:val="24"/>
        </w:rPr>
        <w:t>ће</w:t>
      </w:r>
      <w:r w:rsidRPr="000B417D">
        <w:rPr>
          <w:rFonts w:ascii="Times New Roman" w:hAnsi="Times New Roman"/>
          <w:sz w:val="24"/>
          <w:szCs w:val="24"/>
        </w:rPr>
        <w:t xml:space="preserve"> </w:t>
      </w:r>
      <w:r w:rsidR="00B016A0" w:rsidRPr="000B417D">
        <w:rPr>
          <w:rFonts w:ascii="Times New Roman" w:hAnsi="Times New Roman"/>
          <w:sz w:val="24"/>
          <w:szCs w:val="24"/>
        </w:rPr>
        <w:t>се</w:t>
      </w:r>
      <w:r w:rsidRPr="000B417D">
        <w:rPr>
          <w:rFonts w:ascii="Times New Roman" w:hAnsi="Times New Roman"/>
          <w:sz w:val="24"/>
          <w:szCs w:val="24"/>
        </w:rPr>
        <w:t xml:space="preserve"> </w:t>
      </w:r>
      <w:r w:rsidR="00B016A0" w:rsidRPr="000B417D">
        <w:rPr>
          <w:rFonts w:ascii="Times New Roman" w:hAnsi="Times New Roman"/>
          <w:sz w:val="24"/>
          <w:szCs w:val="24"/>
        </w:rPr>
        <w:t>на</w:t>
      </w:r>
      <w:r w:rsidRPr="000B417D">
        <w:rPr>
          <w:rFonts w:ascii="Times New Roman" w:hAnsi="Times New Roman"/>
          <w:sz w:val="24"/>
          <w:szCs w:val="24"/>
        </w:rPr>
        <w:t xml:space="preserve"> </w:t>
      </w:r>
      <w:r w:rsidR="00B016A0" w:rsidRPr="000B417D">
        <w:rPr>
          <w:rFonts w:ascii="Times New Roman" w:hAnsi="Times New Roman"/>
          <w:sz w:val="24"/>
          <w:szCs w:val="24"/>
        </w:rPr>
        <w:t>тај</w:t>
      </w:r>
      <w:r w:rsidRPr="000B417D">
        <w:rPr>
          <w:rFonts w:ascii="Times New Roman" w:hAnsi="Times New Roman"/>
          <w:sz w:val="24"/>
          <w:szCs w:val="24"/>
        </w:rPr>
        <w:t xml:space="preserve"> </w:t>
      </w:r>
      <w:r w:rsidR="00B016A0" w:rsidRPr="000B417D">
        <w:rPr>
          <w:rFonts w:ascii="Times New Roman" w:hAnsi="Times New Roman"/>
          <w:sz w:val="24"/>
          <w:szCs w:val="24"/>
        </w:rPr>
        <w:t>промет</w:t>
      </w:r>
      <w:r w:rsidRPr="000B417D">
        <w:rPr>
          <w:rFonts w:ascii="Times New Roman" w:hAnsi="Times New Roman"/>
          <w:sz w:val="24"/>
          <w:szCs w:val="24"/>
        </w:rPr>
        <w:t xml:space="preserve"> </w:t>
      </w:r>
      <w:r w:rsidR="00B016A0" w:rsidRPr="000B417D">
        <w:rPr>
          <w:rFonts w:ascii="Times New Roman" w:hAnsi="Times New Roman"/>
          <w:sz w:val="24"/>
          <w:szCs w:val="24"/>
        </w:rPr>
        <w:t>обрачунати</w:t>
      </w:r>
      <w:r w:rsidRPr="000B417D">
        <w:rPr>
          <w:rFonts w:ascii="Times New Roman" w:hAnsi="Times New Roman"/>
          <w:sz w:val="24"/>
          <w:szCs w:val="24"/>
        </w:rPr>
        <w:t xml:space="preserve"> </w:t>
      </w:r>
      <w:r w:rsidR="00B016A0" w:rsidRPr="000B417D">
        <w:rPr>
          <w:rFonts w:ascii="Times New Roman" w:hAnsi="Times New Roman"/>
          <w:sz w:val="24"/>
          <w:szCs w:val="24"/>
        </w:rPr>
        <w:t>ПДВ</w:t>
      </w:r>
      <w:r w:rsidRPr="000B417D">
        <w:rPr>
          <w:rFonts w:ascii="Times New Roman" w:hAnsi="Times New Roman"/>
          <w:sz w:val="24"/>
          <w:szCs w:val="24"/>
        </w:rPr>
        <w:t xml:space="preserve"> </w:t>
      </w:r>
      <w:r w:rsidR="00B016A0" w:rsidRPr="000B417D">
        <w:rPr>
          <w:rFonts w:ascii="Times New Roman" w:hAnsi="Times New Roman"/>
          <w:sz w:val="24"/>
          <w:szCs w:val="24"/>
        </w:rPr>
        <w:t>у</w:t>
      </w:r>
      <w:r w:rsidRPr="000B417D">
        <w:rPr>
          <w:rFonts w:ascii="Times New Roman" w:hAnsi="Times New Roman"/>
          <w:sz w:val="24"/>
          <w:szCs w:val="24"/>
        </w:rPr>
        <w:t xml:space="preserve"> </w:t>
      </w:r>
      <w:r w:rsidR="00B016A0" w:rsidRPr="000B417D">
        <w:rPr>
          <w:rFonts w:ascii="Times New Roman" w:hAnsi="Times New Roman"/>
          <w:sz w:val="24"/>
          <w:szCs w:val="24"/>
        </w:rPr>
        <w:t>складу</w:t>
      </w:r>
      <w:r w:rsidRPr="000B417D">
        <w:rPr>
          <w:rFonts w:ascii="Times New Roman" w:hAnsi="Times New Roman"/>
          <w:sz w:val="24"/>
          <w:szCs w:val="24"/>
        </w:rPr>
        <w:t xml:space="preserve"> </w:t>
      </w:r>
      <w:r w:rsidR="00B016A0" w:rsidRPr="000B417D">
        <w:rPr>
          <w:rFonts w:ascii="Times New Roman" w:hAnsi="Times New Roman"/>
          <w:sz w:val="24"/>
          <w:szCs w:val="24"/>
        </w:rPr>
        <w:t>са</w:t>
      </w:r>
      <w:r w:rsidRPr="000B417D">
        <w:rPr>
          <w:rFonts w:ascii="Times New Roman" w:hAnsi="Times New Roman"/>
          <w:sz w:val="24"/>
          <w:szCs w:val="24"/>
        </w:rPr>
        <w:t xml:space="preserve"> </w:t>
      </w:r>
      <w:r w:rsidR="00B016A0" w:rsidRPr="000B417D">
        <w:rPr>
          <w:rFonts w:ascii="Times New Roman" w:hAnsi="Times New Roman"/>
          <w:sz w:val="24"/>
          <w:szCs w:val="24"/>
        </w:rPr>
        <w:t>овим</w:t>
      </w:r>
      <w:r w:rsidRPr="000B417D">
        <w:rPr>
          <w:rFonts w:ascii="Times New Roman" w:hAnsi="Times New Roman"/>
          <w:sz w:val="24"/>
          <w:szCs w:val="24"/>
        </w:rPr>
        <w:t xml:space="preserve"> </w:t>
      </w:r>
      <w:r w:rsidR="00B016A0" w:rsidRPr="000B417D">
        <w:rPr>
          <w:rFonts w:ascii="Times New Roman" w:hAnsi="Times New Roman"/>
          <w:sz w:val="24"/>
          <w:szCs w:val="24"/>
        </w:rPr>
        <w:t>законом</w:t>
      </w:r>
      <w:r w:rsidRPr="000B417D">
        <w:rPr>
          <w:rFonts w:ascii="Times New Roman" w:hAnsi="Times New Roman"/>
          <w:sz w:val="24"/>
          <w:szCs w:val="24"/>
        </w:rPr>
        <w:t>;</w:t>
      </w:r>
    </w:p>
    <w:p w:rsidR="008079D5" w:rsidRPr="000B417D" w:rsidRDefault="00B016A0" w:rsidP="000B417D">
      <w:pPr>
        <w:jc w:val="both"/>
        <w:rPr>
          <w:rFonts w:ascii="Times New Roman" w:hAnsi="Times New Roman"/>
          <w:sz w:val="24"/>
          <w:szCs w:val="24"/>
          <w:lang w:val="sr-Cyrl-CS"/>
        </w:rPr>
      </w:pPr>
      <w:r w:rsidRPr="000B417D">
        <w:rPr>
          <w:rFonts w:ascii="Times New Roman" w:hAnsi="Times New Roman"/>
          <w:sz w:val="24"/>
          <w:szCs w:val="24"/>
        </w:rPr>
        <w:t>прималац</w:t>
      </w:r>
      <w:r w:rsidR="00334853" w:rsidRPr="000B417D">
        <w:rPr>
          <w:rFonts w:ascii="Times New Roman" w:hAnsi="Times New Roman"/>
          <w:sz w:val="24"/>
          <w:szCs w:val="24"/>
        </w:rPr>
        <w:t xml:space="preserve"> </w:t>
      </w:r>
      <w:r w:rsidRPr="000B417D">
        <w:rPr>
          <w:rFonts w:ascii="Times New Roman" w:hAnsi="Times New Roman"/>
          <w:sz w:val="24"/>
          <w:szCs w:val="24"/>
        </w:rPr>
        <w:t>добара</w:t>
      </w:r>
      <w:r w:rsidR="00334853" w:rsidRPr="000B417D">
        <w:rPr>
          <w:rFonts w:ascii="Times New Roman" w:hAnsi="Times New Roman"/>
          <w:sz w:val="24"/>
          <w:szCs w:val="24"/>
        </w:rPr>
        <w:t xml:space="preserve"> </w:t>
      </w:r>
      <w:r w:rsidRPr="000B417D">
        <w:rPr>
          <w:rFonts w:ascii="Times New Roman" w:hAnsi="Times New Roman"/>
          <w:sz w:val="24"/>
          <w:szCs w:val="24"/>
        </w:rPr>
        <w:t>или</w:t>
      </w:r>
      <w:r w:rsidR="00334853" w:rsidRPr="000B417D">
        <w:rPr>
          <w:rFonts w:ascii="Times New Roman" w:hAnsi="Times New Roman"/>
          <w:sz w:val="24"/>
          <w:szCs w:val="24"/>
        </w:rPr>
        <w:t xml:space="preserve"> </w:t>
      </w:r>
      <w:r w:rsidRPr="000B417D">
        <w:rPr>
          <w:rFonts w:ascii="Times New Roman" w:hAnsi="Times New Roman"/>
          <w:sz w:val="24"/>
          <w:szCs w:val="24"/>
        </w:rPr>
        <w:t>услуга</w:t>
      </w:r>
      <w:r w:rsidR="00334853" w:rsidRPr="000B417D">
        <w:rPr>
          <w:rFonts w:ascii="Times New Roman" w:hAnsi="Times New Roman"/>
          <w:sz w:val="24"/>
          <w:szCs w:val="24"/>
        </w:rPr>
        <w:t xml:space="preserve"> </w:t>
      </w:r>
      <w:r w:rsidRPr="000B417D">
        <w:rPr>
          <w:rFonts w:ascii="Times New Roman" w:hAnsi="Times New Roman"/>
          <w:sz w:val="24"/>
          <w:szCs w:val="24"/>
        </w:rPr>
        <w:t>из</w:t>
      </w:r>
      <w:r w:rsidR="00334853" w:rsidRPr="000B417D">
        <w:rPr>
          <w:rFonts w:ascii="Times New Roman" w:hAnsi="Times New Roman"/>
          <w:sz w:val="24"/>
          <w:szCs w:val="24"/>
        </w:rPr>
        <w:t xml:space="preserve"> </w:t>
      </w:r>
      <w:r w:rsidRPr="000B417D">
        <w:rPr>
          <w:rFonts w:ascii="Times New Roman" w:hAnsi="Times New Roman"/>
          <w:sz w:val="24"/>
          <w:szCs w:val="24"/>
        </w:rPr>
        <w:t>области</w:t>
      </w:r>
      <w:r w:rsidR="00334853" w:rsidRPr="000B417D">
        <w:rPr>
          <w:rFonts w:ascii="Times New Roman" w:hAnsi="Times New Roman"/>
          <w:sz w:val="24"/>
          <w:szCs w:val="24"/>
        </w:rPr>
        <w:t xml:space="preserve"> </w:t>
      </w:r>
      <w:r w:rsidRPr="000B417D">
        <w:rPr>
          <w:rFonts w:ascii="Times New Roman" w:hAnsi="Times New Roman"/>
          <w:sz w:val="24"/>
          <w:szCs w:val="24"/>
        </w:rPr>
        <w:t>грађевинарства</w:t>
      </w:r>
      <w:r w:rsidR="00334853" w:rsidRPr="000B417D">
        <w:rPr>
          <w:rFonts w:ascii="Times New Roman" w:hAnsi="Times New Roman"/>
          <w:sz w:val="24"/>
          <w:szCs w:val="24"/>
        </w:rPr>
        <w:t xml:space="preserve">, </w:t>
      </w:r>
      <w:r w:rsidRPr="000B417D">
        <w:rPr>
          <w:rFonts w:ascii="Times New Roman" w:hAnsi="Times New Roman"/>
          <w:sz w:val="24"/>
          <w:szCs w:val="24"/>
        </w:rPr>
        <w:t>обвезник</w:t>
      </w:r>
      <w:r w:rsidR="00334853" w:rsidRPr="000B417D">
        <w:rPr>
          <w:rFonts w:ascii="Times New Roman" w:hAnsi="Times New Roman"/>
          <w:sz w:val="24"/>
          <w:szCs w:val="24"/>
        </w:rPr>
        <w:t xml:space="preserve"> </w:t>
      </w:r>
      <w:r w:rsidRPr="000B417D">
        <w:rPr>
          <w:rFonts w:ascii="Times New Roman" w:hAnsi="Times New Roman"/>
          <w:sz w:val="24"/>
          <w:szCs w:val="24"/>
        </w:rPr>
        <w:t>ПДВ</w:t>
      </w:r>
      <w:r w:rsidR="00334853" w:rsidRPr="000B417D">
        <w:rPr>
          <w:rFonts w:ascii="Times New Roman" w:hAnsi="Times New Roman"/>
          <w:sz w:val="24"/>
          <w:szCs w:val="24"/>
        </w:rPr>
        <w:t xml:space="preserve">, </w:t>
      </w:r>
      <w:r w:rsidRPr="000B417D">
        <w:rPr>
          <w:rFonts w:ascii="Times New Roman" w:hAnsi="Times New Roman"/>
          <w:sz w:val="24"/>
          <w:szCs w:val="24"/>
        </w:rPr>
        <w:t>односно</w:t>
      </w:r>
      <w:r w:rsidR="00334853" w:rsidRPr="000B417D">
        <w:rPr>
          <w:rFonts w:ascii="Times New Roman" w:hAnsi="Times New Roman"/>
          <w:sz w:val="24"/>
          <w:szCs w:val="24"/>
        </w:rPr>
        <w:t xml:space="preserve"> </w:t>
      </w:r>
      <w:r w:rsidRPr="000B417D">
        <w:rPr>
          <w:rFonts w:ascii="Times New Roman" w:hAnsi="Times New Roman"/>
          <w:sz w:val="24"/>
          <w:szCs w:val="24"/>
          <w:shd w:val="clear" w:color="auto" w:fill="FFFFFF"/>
        </w:rPr>
        <w:t>Република</w:t>
      </w:r>
      <w:r w:rsidR="00F55EB3" w:rsidRPr="000B417D">
        <w:rPr>
          <w:rFonts w:ascii="Times New Roman" w:hAnsi="Times New Roman"/>
          <w:sz w:val="24"/>
          <w:szCs w:val="24"/>
          <w:shd w:val="clear" w:color="auto" w:fill="FFFFFF"/>
        </w:rPr>
        <w:t xml:space="preserve"> </w:t>
      </w:r>
      <w:r w:rsidRPr="000B417D">
        <w:rPr>
          <w:rFonts w:ascii="Times New Roman" w:hAnsi="Times New Roman"/>
          <w:sz w:val="24"/>
          <w:szCs w:val="24"/>
          <w:shd w:val="clear" w:color="auto" w:fill="FFFFFF"/>
        </w:rPr>
        <w:t>и</w:t>
      </w:r>
      <w:r w:rsidR="00F55EB3" w:rsidRPr="000B417D">
        <w:rPr>
          <w:rFonts w:ascii="Times New Roman" w:hAnsi="Times New Roman"/>
          <w:sz w:val="24"/>
          <w:szCs w:val="24"/>
          <w:shd w:val="clear" w:color="auto" w:fill="FFFFFF"/>
        </w:rPr>
        <w:t xml:space="preserve"> </w:t>
      </w:r>
      <w:r w:rsidRPr="000B417D">
        <w:rPr>
          <w:rFonts w:ascii="Times New Roman" w:hAnsi="Times New Roman"/>
          <w:sz w:val="24"/>
          <w:szCs w:val="24"/>
          <w:shd w:val="clear" w:color="auto" w:fill="FFFFFF"/>
        </w:rPr>
        <w:t>њени</w:t>
      </w:r>
      <w:r w:rsidR="00F55EB3" w:rsidRPr="000B417D">
        <w:rPr>
          <w:rFonts w:ascii="Times New Roman" w:hAnsi="Times New Roman"/>
          <w:sz w:val="24"/>
          <w:szCs w:val="24"/>
          <w:shd w:val="clear" w:color="auto" w:fill="FFFFFF"/>
        </w:rPr>
        <w:t xml:space="preserve"> </w:t>
      </w:r>
      <w:r w:rsidRPr="000B417D">
        <w:rPr>
          <w:rFonts w:ascii="Times New Roman" w:hAnsi="Times New Roman"/>
          <w:sz w:val="24"/>
          <w:szCs w:val="24"/>
          <w:shd w:val="clear" w:color="auto" w:fill="FFFFFF"/>
        </w:rPr>
        <w:t>органи</w:t>
      </w:r>
      <w:r w:rsidR="00F55EB3" w:rsidRPr="000B417D">
        <w:rPr>
          <w:rFonts w:ascii="Times New Roman" w:hAnsi="Times New Roman"/>
          <w:sz w:val="24"/>
          <w:szCs w:val="24"/>
          <w:shd w:val="clear" w:color="auto" w:fill="FFFFFF"/>
        </w:rPr>
        <w:t xml:space="preserve">, </w:t>
      </w:r>
      <w:r w:rsidRPr="000B417D">
        <w:rPr>
          <w:rFonts w:ascii="Times New Roman" w:hAnsi="Times New Roman"/>
          <w:sz w:val="24"/>
          <w:szCs w:val="24"/>
          <w:shd w:val="clear" w:color="auto" w:fill="FFFFFF"/>
        </w:rPr>
        <w:t>органи</w:t>
      </w:r>
      <w:r w:rsidR="00F55EB3" w:rsidRPr="000B417D">
        <w:rPr>
          <w:rFonts w:ascii="Times New Roman" w:hAnsi="Times New Roman"/>
          <w:sz w:val="24"/>
          <w:szCs w:val="24"/>
          <w:shd w:val="clear" w:color="auto" w:fill="FFFFFF"/>
        </w:rPr>
        <w:t xml:space="preserve"> </w:t>
      </w:r>
      <w:r w:rsidRPr="000B417D">
        <w:rPr>
          <w:rFonts w:ascii="Times New Roman" w:hAnsi="Times New Roman"/>
          <w:sz w:val="24"/>
          <w:szCs w:val="24"/>
          <w:shd w:val="clear" w:color="auto" w:fill="FFFFFF"/>
        </w:rPr>
        <w:t>територијалне</w:t>
      </w:r>
      <w:r w:rsidR="00F55EB3" w:rsidRPr="000B417D">
        <w:rPr>
          <w:rFonts w:ascii="Times New Roman" w:hAnsi="Times New Roman"/>
          <w:sz w:val="24"/>
          <w:szCs w:val="24"/>
          <w:shd w:val="clear" w:color="auto" w:fill="FFFFFF"/>
        </w:rPr>
        <w:t xml:space="preserve"> </w:t>
      </w:r>
      <w:r w:rsidRPr="000B417D">
        <w:rPr>
          <w:rFonts w:ascii="Times New Roman" w:hAnsi="Times New Roman"/>
          <w:sz w:val="24"/>
          <w:szCs w:val="24"/>
          <w:shd w:val="clear" w:color="auto" w:fill="FFFFFF"/>
        </w:rPr>
        <w:t>аутономије</w:t>
      </w:r>
      <w:r w:rsidR="00F55EB3" w:rsidRPr="000B417D">
        <w:rPr>
          <w:rFonts w:ascii="Times New Roman" w:hAnsi="Times New Roman"/>
          <w:sz w:val="24"/>
          <w:szCs w:val="24"/>
          <w:shd w:val="clear" w:color="auto" w:fill="FFFFFF"/>
        </w:rPr>
        <w:t xml:space="preserve"> </w:t>
      </w:r>
      <w:r w:rsidRPr="000B417D">
        <w:rPr>
          <w:rFonts w:ascii="Times New Roman" w:hAnsi="Times New Roman"/>
          <w:sz w:val="24"/>
          <w:szCs w:val="24"/>
          <w:shd w:val="clear" w:color="auto" w:fill="FFFFFF"/>
        </w:rPr>
        <w:t>и</w:t>
      </w:r>
      <w:r w:rsidR="00F55EB3" w:rsidRPr="000B417D">
        <w:rPr>
          <w:rFonts w:ascii="Times New Roman" w:hAnsi="Times New Roman"/>
          <w:sz w:val="24"/>
          <w:szCs w:val="24"/>
          <w:shd w:val="clear" w:color="auto" w:fill="FFFFFF"/>
        </w:rPr>
        <w:t xml:space="preserve"> </w:t>
      </w:r>
      <w:r w:rsidRPr="000B417D">
        <w:rPr>
          <w:rFonts w:ascii="Times New Roman" w:hAnsi="Times New Roman"/>
          <w:sz w:val="24"/>
          <w:szCs w:val="24"/>
          <w:shd w:val="clear" w:color="auto" w:fill="FFFFFF"/>
        </w:rPr>
        <w:t>локалне</w:t>
      </w:r>
      <w:r w:rsidR="00F55EB3" w:rsidRPr="000B417D">
        <w:rPr>
          <w:rFonts w:ascii="Times New Roman" w:hAnsi="Times New Roman"/>
          <w:sz w:val="24"/>
          <w:szCs w:val="24"/>
          <w:shd w:val="clear" w:color="auto" w:fill="FFFFFF"/>
        </w:rPr>
        <w:t xml:space="preserve"> </w:t>
      </w:r>
      <w:r w:rsidRPr="000B417D">
        <w:rPr>
          <w:rFonts w:ascii="Times New Roman" w:hAnsi="Times New Roman"/>
          <w:sz w:val="24"/>
          <w:szCs w:val="24"/>
          <w:shd w:val="clear" w:color="auto" w:fill="FFFFFF"/>
        </w:rPr>
        <w:t>самоуправе</w:t>
      </w:r>
      <w:r w:rsidR="00F55EB3" w:rsidRPr="000B417D">
        <w:rPr>
          <w:rFonts w:ascii="Times New Roman" w:hAnsi="Times New Roman"/>
          <w:sz w:val="24"/>
          <w:szCs w:val="24"/>
          <w:shd w:val="clear" w:color="auto" w:fill="FFFFFF"/>
        </w:rPr>
        <w:t xml:space="preserve">, </w:t>
      </w:r>
      <w:r w:rsidRPr="000B417D">
        <w:rPr>
          <w:rFonts w:ascii="Times New Roman" w:hAnsi="Times New Roman"/>
          <w:sz w:val="24"/>
          <w:szCs w:val="24"/>
          <w:shd w:val="clear" w:color="auto" w:fill="FFFFFF"/>
        </w:rPr>
        <w:t>као</w:t>
      </w:r>
      <w:r w:rsidR="00F55EB3" w:rsidRPr="000B417D">
        <w:rPr>
          <w:rFonts w:ascii="Times New Roman" w:hAnsi="Times New Roman"/>
          <w:sz w:val="24"/>
          <w:szCs w:val="24"/>
          <w:shd w:val="clear" w:color="auto" w:fill="FFFFFF"/>
        </w:rPr>
        <w:t xml:space="preserve"> </w:t>
      </w:r>
      <w:r w:rsidRPr="000B417D">
        <w:rPr>
          <w:rFonts w:ascii="Times New Roman" w:hAnsi="Times New Roman"/>
          <w:sz w:val="24"/>
          <w:szCs w:val="24"/>
          <w:shd w:val="clear" w:color="auto" w:fill="FFFFFF"/>
        </w:rPr>
        <w:t>и</w:t>
      </w:r>
      <w:r w:rsidR="00F55EB3" w:rsidRPr="000B417D">
        <w:rPr>
          <w:rFonts w:ascii="Times New Roman" w:hAnsi="Times New Roman"/>
          <w:sz w:val="24"/>
          <w:szCs w:val="24"/>
          <w:shd w:val="clear" w:color="auto" w:fill="FFFFFF"/>
        </w:rPr>
        <w:t xml:space="preserve"> </w:t>
      </w:r>
      <w:r w:rsidRPr="000B417D">
        <w:rPr>
          <w:rFonts w:ascii="Times New Roman" w:hAnsi="Times New Roman"/>
          <w:sz w:val="24"/>
          <w:szCs w:val="24"/>
          <w:shd w:val="clear" w:color="auto" w:fill="FFFFFF"/>
        </w:rPr>
        <w:t>правна</w:t>
      </w:r>
      <w:r w:rsidR="00F55EB3" w:rsidRPr="000B417D">
        <w:rPr>
          <w:rFonts w:ascii="Times New Roman" w:hAnsi="Times New Roman"/>
          <w:sz w:val="24"/>
          <w:szCs w:val="24"/>
          <w:shd w:val="clear" w:color="auto" w:fill="FFFFFF"/>
        </w:rPr>
        <w:t xml:space="preserve"> </w:t>
      </w:r>
      <w:r w:rsidRPr="000B417D">
        <w:rPr>
          <w:rFonts w:ascii="Times New Roman" w:hAnsi="Times New Roman"/>
          <w:sz w:val="24"/>
          <w:szCs w:val="24"/>
          <w:shd w:val="clear" w:color="auto" w:fill="FFFFFF"/>
        </w:rPr>
        <w:t>лица</w:t>
      </w:r>
      <w:r w:rsidR="00F55EB3" w:rsidRPr="000B417D">
        <w:rPr>
          <w:rFonts w:ascii="Times New Roman" w:hAnsi="Times New Roman"/>
          <w:sz w:val="24"/>
          <w:szCs w:val="24"/>
          <w:shd w:val="clear" w:color="auto" w:fill="FFFFFF"/>
        </w:rPr>
        <w:t xml:space="preserve"> </w:t>
      </w:r>
      <w:r w:rsidRPr="000B417D">
        <w:rPr>
          <w:rFonts w:ascii="Times New Roman" w:hAnsi="Times New Roman"/>
          <w:sz w:val="24"/>
          <w:szCs w:val="24"/>
          <w:shd w:val="clear" w:color="auto" w:fill="FFFFFF"/>
        </w:rPr>
        <w:t>основана</w:t>
      </w:r>
      <w:r w:rsidR="00F55EB3" w:rsidRPr="000B417D">
        <w:rPr>
          <w:rFonts w:ascii="Times New Roman" w:hAnsi="Times New Roman"/>
          <w:sz w:val="24"/>
          <w:szCs w:val="24"/>
          <w:shd w:val="clear" w:color="auto" w:fill="FFFFFF"/>
        </w:rPr>
        <w:t xml:space="preserve"> </w:t>
      </w:r>
      <w:r w:rsidRPr="000B417D">
        <w:rPr>
          <w:rFonts w:ascii="Times New Roman" w:hAnsi="Times New Roman"/>
          <w:sz w:val="24"/>
          <w:szCs w:val="24"/>
          <w:shd w:val="clear" w:color="auto" w:fill="FFFFFF"/>
        </w:rPr>
        <w:t>законом</w:t>
      </w:r>
      <w:r w:rsidR="00F55EB3" w:rsidRPr="000B417D">
        <w:rPr>
          <w:rFonts w:ascii="Times New Roman" w:hAnsi="Times New Roman"/>
          <w:sz w:val="24"/>
          <w:szCs w:val="24"/>
          <w:shd w:val="clear" w:color="auto" w:fill="FFFFFF"/>
        </w:rPr>
        <w:t xml:space="preserve">, </w:t>
      </w:r>
      <w:r w:rsidRPr="000B417D">
        <w:rPr>
          <w:rFonts w:ascii="Times New Roman" w:hAnsi="Times New Roman"/>
          <w:sz w:val="24"/>
          <w:szCs w:val="24"/>
          <w:shd w:val="clear" w:color="auto" w:fill="FFFFFF"/>
        </w:rPr>
        <w:t>односно</w:t>
      </w:r>
      <w:r w:rsidR="00F55EB3" w:rsidRPr="000B417D">
        <w:rPr>
          <w:rFonts w:ascii="Times New Roman" w:hAnsi="Times New Roman"/>
          <w:sz w:val="24"/>
          <w:szCs w:val="24"/>
          <w:shd w:val="clear" w:color="auto" w:fill="FFFFFF"/>
        </w:rPr>
        <w:t xml:space="preserve"> </w:t>
      </w:r>
      <w:r w:rsidRPr="000B417D">
        <w:rPr>
          <w:rFonts w:ascii="Times New Roman" w:hAnsi="Times New Roman"/>
          <w:sz w:val="24"/>
          <w:szCs w:val="24"/>
          <w:shd w:val="clear" w:color="auto" w:fill="FFFFFF"/>
        </w:rPr>
        <w:t>актом</w:t>
      </w:r>
      <w:r w:rsidR="00F55EB3" w:rsidRPr="000B417D">
        <w:rPr>
          <w:rFonts w:ascii="Times New Roman" w:hAnsi="Times New Roman"/>
          <w:sz w:val="24"/>
          <w:szCs w:val="24"/>
          <w:shd w:val="clear" w:color="auto" w:fill="FFFFFF"/>
        </w:rPr>
        <w:t xml:space="preserve"> </w:t>
      </w:r>
      <w:r w:rsidRPr="000B417D">
        <w:rPr>
          <w:rFonts w:ascii="Times New Roman" w:hAnsi="Times New Roman"/>
          <w:sz w:val="24"/>
          <w:szCs w:val="24"/>
          <w:shd w:val="clear" w:color="auto" w:fill="FFFFFF"/>
        </w:rPr>
        <w:t>органа</w:t>
      </w:r>
      <w:r w:rsidR="00F55EB3" w:rsidRPr="000B417D">
        <w:rPr>
          <w:rFonts w:ascii="Times New Roman" w:hAnsi="Times New Roman"/>
          <w:sz w:val="24"/>
          <w:szCs w:val="24"/>
          <w:shd w:val="clear" w:color="auto" w:fill="FFFFFF"/>
        </w:rPr>
        <w:t xml:space="preserve"> </w:t>
      </w:r>
      <w:r w:rsidRPr="000B417D">
        <w:rPr>
          <w:rFonts w:ascii="Times New Roman" w:hAnsi="Times New Roman"/>
          <w:sz w:val="24"/>
          <w:szCs w:val="24"/>
          <w:shd w:val="clear" w:color="auto" w:fill="FFFFFF"/>
        </w:rPr>
        <w:t>Републике</w:t>
      </w:r>
      <w:r w:rsidR="00F55EB3" w:rsidRPr="000B417D">
        <w:rPr>
          <w:rFonts w:ascii="Times New Roman" w:hAnsi="Times New Roman"/>
          <w:sz w:val="24"/>
          <w:szCs w:val="24"/>
          <w:shd w:val="clear" w:color="auto" w:fill="FFFFFF"/>
        </w:rPr>
        <w:t xml:space="preserve">, </w:t>
      </w:r>
      <w:r w:rsidRPr="000B417D">
        <w:rPr>
          <w:rFonts w:ascii="Times New Roman" w:hAnsi="Times New Roman"/>
          <w:sz w:val="24"/>
          <w:szCs w:val="24"/>
          <w:shd w:val="clear" w:color="auto" w:fill="FFFFFF"/>
        </w:rPr>
        <w:t>територијалне</w:t>
      </w:r>
      <w:r w:rsidR="00F55EB3" w:rsidRPr="000B417D">
        <w:rPr>
          <w:rFonts w:ascii="Times New Roman" w:hAnsi="Times New Roman"/>
          <w:sz w:val="24"/>
          <w:szCs w:val="24"/>
          <w:shd w:val="clear" w:color="auto" w:fill="FFFFFF"/>
        </w:rPr>
        <w:t xml:space="preserve"> </w:t>
      </w:r>
      <w:r w:rsidRPr="000B417D">
        <w:rPr>
          <w:rFonts w:ascii="Times New Roman" w:hAnsi="Times New Roman"/>
          <w:sz w:val="24"/>
          <w:szCs w:val="24"/>
          <w:shd w:val="clear" w:color="auto" w:fill="FFFFFF"/>
        </w:rPr>
        <w:t>аутономије</w:t>
      </w:r>
      <w:r w:rsidR="00F55EB3" w:rsidRPr="000B417D">
        <w:rPr>
          <w:rFonts w:ascii="Times New Roman" w:hAnsi="Times New Roman"/>
          <w:sz w:val="24"/>
          <w:szCs w:val="24"/>
          <w:shd w:val="clear" w:color="auto" w:fill="FFFFFF"/>
        </w:rPr>
        <w:t xml:space="preserve"> </w:t>
      </w:r>
      <w:r w:rsidRPr="000B417D">
        <w:rPr>
          <w:rFonts w:ascii="Times New Roman" w:hAnsi="Times New Roman"/>
          <w:sz w:val="24"/>
          <w:szCs w:val="24"/>
          <w:shd w:val="clear" w:color="auto" w:fill="FFFFFF"/>
        </w:rPr>
        <w:t>или</w:t>
      </w:r>
      <w:r w:rsidR="00F55EB3" w:rsidRPr="000B417D">
        <w:rPr>
          <w:rFonts w:ascii="Times New Roman" w:hAnsi="Times New Roman"/>
          <w:sz w:val="24"/>
          <w:szCs w:val="24"/>
          <w:shd w:val="clear" w:color="auto" w:fill="FFFFFF"/>
        </w:rPr>
        <w:t xml:space="preserve"> </w:t>
      </w:r>
      <w:r w:rsidRPr="000B417D">
        <w:rPr>
          <w:rFonts w:ascii="Times New Roman" w:hAnsi="Times New Roman"/>
          <w:sz w:val="24"/>
          <w:szCs w:val="24"/>
          <w:shd w:val="clear" w:color="auto" w:fill="FFFFFF"/>
        </w:rPr>
        <w:t>локалне</w:t>
      </w:r>
      <w:r w:rsidR="00F55EB3" w:rsidRPr="000B417D">
        <w:rPr>
          <w:rFonts w:ascii="Times New Roman" w:hAnsi="Times New Roman"/>
          <w:sz w:val="24"/>
          <w:szCs w:val="24"/>
          <w:shd w:val="clear" w:color="auto" w:fill="FFFFFF"/>
        </w:rPr>
        <w:t xml:space="preserve"> </w:t>
      </w:r>
      <w:r w:rsidRPr="000B417D">
        <w:rPr>
          <w:rFonts w:ascii="Times New Roman" w:hAnsi="Times New Roman"/>
          <w:sz w:val="24"/>
          <w:szCs w:val="24"/>
          <w:shd w:val="clear" w:color="auto" w:fill="FFFFFF"/>
        </w:rPr>
        <w:t>самоуправе</w:t>
      </w:r>
      <w:r w:rsidR="00F55EB3" w:rsidRPr="000B417D">
        <w:rPr>
          <w:rFonts w:ascii="Times New Roman" w:hAnsi="Times New Roman"/>
          <w:sz w:val="24"/>
          <w:szCs w:val="24"/>
          <w:shd w:val="clear" w:color="auto" w:fill="FFFFFF"/>
        </w:rPr>
        <w:t xml:space="preserve"> </w:t>
      </w:r>
      <w:r w:rsidRPr="000B417D">
        <w:rPr>
          <w:rFonts w:ascii="Times New Roman" w:hAnsi="Times New Roman"/>
          <w:sz w:val="24"/>
          <w:szCs w:val="24"/>
          <w:shd w:val="clear" w:color="auto" w:fill="FFFFFF"/>
        </w:rPr>
        <w:t>у</w:t>
      </w:r>
      <w:r w:rsidR="00F55EB3" w:rsidRPr="000B417D">
        <w:rPr>
          <w:rFonts w:ascii="Times New Roman" w:hAnsi="Times New Roman"/>
          <w:sz w:val="24"/>
          <w:szCs w:val="24"/>
          <w:shd w:val="clear" w:color="auto" w:fill="FFFFFF"/>
        </w:rPr>
        <w:t xml:space="preserve"> </w:t>
      </w:r>
      <w:r w:rsidRPr="000B417D">
        <w:rPr>
          <w:rFonts w:ascii="Times New Roman" w:hAnsi="Times New Roman"/>
          <w:sz w:val="24"/>
          <w:szCs w:val="24"/>
          <w:shd w:val="clear" w:color="auto" w:fill="FFFFFF"/>
        </w:rPr>
        <w:t>циљу</w:t>
      </w:r>
      <w:r w:rsidR="00F55EB3" w:rsidRPr="000B417D">
        <w:rPr>
          <w:rFonts w:ascii="Times New Roman" w:hAnsi="Times New Roman"/>
          <w:sz w:val="24"/>
          <w:szCs w:val="24"/>
          <w:shd w:val="clear" w:color="auto" w:fill="FFFFFF"/>
        </w:rPr>
        <w:t xml:space="preserve"> </w:t>
      </w:r>
      <w:r w:rsidRPr="000B417D">
        <w:rPr>
          <w:rFonts w:ascii="Times New Roman" w:hAnsi="Times New Roman"/>
          <w:sz w:val="24"/>
          <w:szCs w:val="24"/>
          <w:shd w:val="clear" w:color="auto" w:fill="FFFFFF"/>
        </w:rPr>
        <w:t>обављања</w:t>
      </w:r>
      <w:r w:rsidR="00F55EB3" w:rsidRPr="000B417D">
        <w:rPr>
          <w:rFonts w:ascii="Times New Roman" w:hAnsi="Times New Roman"/>
          <w:sz w:val="24"/>
          <w:szCs w:val="24"/>
          <w:shd w:val="clear" w:color="auto" w:fill="FFFFFF"/>
        </w:rPr>
        <w:t xml:space="preserve"> </w:t>
      </w:r>
      <w:r w:rsidRPr="000B417D">
        <w:rPr>
          <w:rFonts w:ascii="Times New Roman" w:hAnsi="Times New Roman"/>
          <w:sz w:val="24"/>
          <w:szCs w:val="24"/>
          <w:shd w:val="clear" w:color="auto" w:fill="FFFFFF"/>
        </w:rPr>
        <w:t>послова</w:t>
      </w:r>
      <w:r w:rsidR="00F55EB3" w:rsidRPr="000B417D">
        <w:rPr>
          <w:rFonts w:ascii="Times New Roman" w:hAnsi="Times New Roman"/>
          <w:sz w:val="24"/>
          <w:szCs w:val="24"/>
          <w:shd w:val="clear" w:color="auto" w:fill="FFFFFF"/>
        </w:rPr>
        <w:t xml:space="preserve"> </w:t>
      </w:r>
      <w:r w:rsidRPr="000B417D">
        <w:rPr>
          <w:rFonts w:ascii="Times New Roman" w:hAnsi="Times New Roman"/>
          <w:sz w:val="24"/>
          <w:szCs w:val="24"/>
          <w:shd w:val="clear" w:color="auto" w:fill="FFFFFF"/>
        </w:rPr>
        <w:t>државне</w:t>
      </w:r>
      <w:r w:rsidR="00F55EB3" w:rsidRPr="000B417D">
        <w:rPr>
          <w:rFonts w:ascii="Times New Roman" w:hAnsi="Times New Roman"/>
          <w:sz w:val="24"/>
          <w:szCs w:val="24"/>
          <w:shd w:val="clear" w:color="auto" w:fill="FFFFFF"/>
        </w:rPr>
        <w:t xml:space="preserve"> </w:t>
      </w:r>
      <w:r w:rsidRPr="000B417D">
        <w:rPr>
          <w:rFonts w:ascii="Times New Roman" w:hAnsi="Times New Roman"/>
          <w:sz w:val="24"/>
          <w:szCs w:val="24"/>
          <w:shd w:val="clear" w:color="auto" w:fill="FFFFFF"/>
        </w:rPr>
        <w:t>управе</w:t>
      </w:r>
      <w:r w:rsidR="00F55EB3" w:rsidRPr="000B417D">
        <w:rPr>
          <w:rFonts w:ascii="Times New Roman" w:hAnsi="Times New Roman"/>
          <w:sz w:val="24"/>
          <w:szCs w:val="24"/>
          <w:shd w:val="clear" w:color="auto" w:fill="FFFFFF"/>
        </w:rPr>
        <w:t xml:space="preserve"> </w:t>
      </w:r>
      <w:r w:rsidRPr="000B417D">
        <w:rPr>
          <w:rFonts w:ascii="Times New Roman" w:hAnsi="Times New Roman"/>
          <w:sz w:val="24"/>
          <w:szCs w:val="24"/>
          <w:shd w:val="clear" w:color="auto" w:fill="FFFFFF"/>
        </w:rPr>
        <w:t>или</w:t>
      </w:r>
      <w:r w:rsidR="00F55EB3" w:rsidRPr="000B417D">
        <w:rPr>
          <w:rFonts w:ascii="Times New Roman" w:hAnsi="Times New Roman"/>
          <w:sz w:val="24"/>
          <w:szCs w:val="24"/>
          <w:shd w:val="clear" w:color="auto" w:fill="FFFFFF"/>
        </w:rPr>
        <w:t xml:space="preserve"> </w:t>
      </w:r>
      <w:r w:rsidRPr="000B417D">
        <w:rPr>
          <w:rFonts w:ascii="Times New Roman" w:hAnsi="Times New Roman"/>
          <w:sz w:val="24"/>
          <w:szCs w:val="24"/>
          <w:shd w:val="clear" w:color="auto" w:fill="FFFFFF"/>
        </w:rPr>
        <w:t>локалне</w:t>
      </w:r>
      <w:r w:rsidR="00F55EB3" w:rsidRPr="000B417D">
        <w:rPr>
          <w:rFonts w:ascii="Times New Roman" w:hAnsi="Times New Roman"/>
          <w:sz w:val="24"/>
          <w:szCs w:val="24"/>
          <w:shd w:val="clear" w:color="auto" w:fill="FFFFFF"/>
        </w:rPr>
        <w:t xml:space="preserve"> </w:t>
      </w:r>
      <w:r w:rsidRPr="000B417D">
        <w:rPr>
          <w:rFonts w:ascii="Times New Roman" w:hAnsi="Times New Roman"/>
          <w:sz w:val="24"/>
          <w:szCs w:val="24"/>
          <w:shd w:val="clear" w:color="auto" w:fill="FFFFFF"/>
        </w:rPr>
        <w:t>самоуправе</w:t>
      </w:r>
      <w:r w:rsidR="00334853" w:rsidRPr="000B417D">
        <w:rPr>
          <w:rFonts w:ascii="Times New Roman" w:hAnsi="Times New Roman"/>
          <w:sz w:val="24"/>
          <w:szCs w:val="24"/>
        </w:rPr>
        <w:t xml:space="preserve">, </w:t>
      </w:r>
      <w:r w:rsidRPr="000B417D">
        <w:rPr>
          <w:rFonts w:ascii="Times New Roman" w:hAnsi="Times New Roman"/>
          <w:sz w:val="24"/>
          <w:szCs w:val="24"/>
        </w:rPr>
        <w:t>за</w:t>
      </w:r>
      <w:r w:rsidR="00334853" w:rsidRPr="000B417D">
        <w:rPr>
          <w:rFonts w:ascii="Times New Roman" w:hAnsi="Times New Roman"/>
          <w:sz w:val="24"/>
          <w:szCs w:val="24"/>
        </w:rPr>
        <w:t xml:space="preserve"> </w:t>
      </w:r>
      <w:r w:rsidRPr="000B417D">
        <w:rPr>
          <w:rFonts w:ascii="Times New Roman" w:hAnsi="Times New Roman"/>
          <w:sz w:val="24"/>
          <w:szCs w:val="24"/>
        </w:rPr>
        <w:t>промет</w:t>
      </w:r>
      <w:r w:rsidR="00334853" w:rsidRPr="000B417D">
        <w:rPr>
          <w:rFonts w:ascii="Times New Roman" w:hAnsi="Times New Roman"/>
          <w:sz w:val="24"/>
          <w:szCs w:val="24"/>
        </w:rPr>
        <w:t xml:space="preserve"> </w:t>
      </w:r>
      <w:r w:rsidRPr="000B417D">
        <w:rPr>
          <w:rFonts w:ascii="Times New Roman" w:hAnsi="Times New Roman"/>
          <w:sz w:val="24"/>
          <w:szCs w:val="24"/>
        </w:rPr>
        <w:t>извршен</w:t>
      </w:r>
      <w:r w:rsidR="00334853" w:rsidRPr="000B417D">
        <w:rPr>
          <w:rFonts w:ascii="Times New Roman" w:hAnsi="Times New Roman"/>
          <w:sz w:val="24"/>
          <w:szCs w:val="24"/>
        </w:rPr>
        <w:t xml:space="preserve"> </w:t>
      </w:r>
      <w:r w:rsidRPr="000B417D">
        <w:rPr>
          <w:rFonts w:ascii="Times New Roman" w:hAnsi="Times New Roman"/>
          <w:sz w:val="24"/>
          <w:szCs w:val="24"/>
        </w:rPr>
        <w:t>од</w:t>
      </w:r>
      <w:r w:rsidR="00334853" w:rsidRPr="000B417D">
        <w:rPr>
          <w:rFonts w:ascii="Times New Roman" w:hAnsi="Times New Roman"/>
          <w:sz w:val="24"/>
          <w:szCs w:val="24"/>
        </w:rPr>
        <w:t xml:space="preserve"> </w:t>
      </w:r>
      <w:r w:rsidRPr="000B417D">
        <w:rPr>
          <w:rFonts w:ascii="Times New Roman" w:hAnsi="Times New Roman"/>
          <w:sz w:val="24"/>
          <w:szCs w:val="24"/>
        </w:rPr>
        <w:t>стране</w:t>
      </w:r>
      <w:r w:rsidR="00334853" w:rsidRPr="000B417D">
        <w:rPr>
          <w:rFonts w:ascii="Times New Roman" w:hAnsi="Times New Roman"/>
          <w:sz w:val="24"/>
          <w:szCs w:val="24"/>
        </w:rPr>
        <w:t xml:space="preserve"> </w:t>
      </w:r>
      <w:r w:rsidRPr="000B417D">
        <w:rPr>
          <w:rFonts w:ascii="Times New Roman" w:hAnsi="Times New Roman"/>
          <w:sz w:val="24"/>
          <w:szCs w:val="24"/>
        </w:rPr>
        <w:t>обвезника</w:t>
      </w:r>
      <w:r w:rsidR="00334853" w:rsidRPr="000B417D">
        <w:rPr>
          <w:rFonts w:ascii="Times New Roman" w:hAnsi="Times New Roman"/>
          <w:sz w:val="24"/>
          <w:szCs w:val="24"/>
        </w:rPr>
        <w:t xml:space="preserve"> </w:t>
      </w:r>
      <w:r w:rsidRPr="000B417D">
        <w:rPr>
          <w:rFonts w:ascii="Times New Roman" w:hAnsi="Times New Roman"/>
          <w:sz w:val="24"/>
          <w:szCs w:val="24"/>
        </w:rPr>
        <w:t>ПДВ</w:t>
      </w:r>
      <w:r w:rsidR="00334853" w:rsidRPr="000B417D">
        <w:rPr>
          <w:rFonts w:ascii="Times New Roman" w:hAnsi="Times New Roman"/>
          <w:sz w:val="24"/>
          <w:szCs w:val="24"/>
        </w:rPr>
        <w:t xml:space="preserve">, </w:t>
      </w:r>
      <w:r w:rsidRPr="000B417D">
        <w:rPr>
          <w:rFonts w:ascii="Times New Roman" w:hAnsi="Times New Roman"/>
          <w:sz w:val="24"/>
          <w:szCs w:val="24"/>
        </w:rPr>
        <w:t>ако</w:t>
      </w:r>
      <w:r w:rsidR="00334853" w:rsidRPr="000B417D">
        <w:rPr>
          <w:rFonts w:ascii="Times New Roman" w:hAnsi="Times New Roman"/>
          <w:sz w:val="24"/>
          <w:szCs w:val="24"/>
        </w:rPr>
        <w:t xml:space="preserve"> </w:t>
      </w:r>
      <w:r w:rsidRPr="000B417D">
        <w:rPr>
          <w:rFonts w:ascii="Times New Roman" w:hAnsi="Times New Roman"/>
          <w:sz w:val="24"/>
          <w:szCs w:val="24"/>
        </w:rPr>
        <w:t>је</w:t>
      </w:r>
      <w:r w:rsidR="00334853" w:rsidRPr="000B417D">
        <w:rPr>
          <w:rFonts w:ascii="Times New Roman" w:hAnsi="Times New Roman"/>
          <w:sz w:val="24"/>
          <w:szCs w:val="24"/>
        </w:rPr>
        <w:t xml:space="preserve"> </w:t>
      </w:r>
      <w:r w:rsidRPr="000B417D">
        <w:rPr>
          <w:rFonts w:ascii="Times New Roman" w:hAnsi="Times New Roman"/>
          <w:sz w:val="24"/>
          <w:szCs w:val="24"/>
        </w:rPr>
        <w:t>прималац</w:t>
      </w:r>
      <w:r w:rsidR="00334853" w:rsidRPr="000B417D">
        <w:rPr>
          <w:rFonts w:ascii="Times New Roman" w:hAnsi="Times New Roman"/>
          <w:sz w:val="24"/>
          <w:szCs w:val="24"/>
        </w:rPr>
        <w:t xml:space="preserve"> </w:t>
      </w:r>
      <w:r w:rsidRPr="000B417D">
        <w:rPr>
          <w:rFonts w:ascii="Times New Roman" w:hAnsi="Times New Roman"/>
          <w:sz w:val="24"/>
          <w:szCs w:val="24"/>
        </w:rPr>
        <w:t>добара</w:t>
      </w:r>
      <w:r w:rsidR="00334853" w:rsidRPr="000B417D">
        <w:rPr>
          <w:rFonts w:ascii="Times New Roman" w:hAnsi="Times New Roman"/>
          <w:sz w:val="24"/>
          <w:szCs w:val="24"/>
        </w:rPr>
        <w:t xml:space="preserve"> </w:t>
      </w:r>
      <w:r w:rsidRPr="000B417D">
        <w:rPr>
          <w:rFonts w:ascii="Times New Roman" w:hAnsi="Times New Roman"/>
          <w:sz w:val="24"/>
          <w:szCs w:val="24"/>
        </w:rPr>
        <w:t>или</w:t>
      </w:r>
      <w:r w:rsidR="00334853" w:rsidRPr="000B417D">
        <w:rPr>
          <w:rFonts w:ascii="Times New Roman" w:hAnsi="Times New Roman"/>
          <w:sz w:val="24"/>
          <w:szCs w:val="24"/>
        </w:rPr>
        <w:t xml:space="preserve"> </w:t>
      </w:r>
      <w:r w:rsidRPr="000B417D">
        <w:rPr>
          <w:rFonts w:ascii="Times New Roman" w:hAnsi="Times New Roman"/>
          <w:sz w:val="24"/>
          <w:szCs w:val="24"/>
        </w:rPr>
        <w:t>услуга</w:t>
      </w:r>
      <w:r w:rsidR="00334853" w:rsidRPr="000B417D">
        <w:rPr>
          <w:rFonts w:ascii="Times New Roman" w:hAnsi="Times New Roman"/>
          <w:sz w:val="24"/>
          <w:szCs w:val="24"/>
        </w:rPr>
        <w:t xml:space="preserve"> </w:t>
      </w:r>
      <w:r w:rsidRPr="000B417D">
        <w:rPr>
          <w:rFonts w:ascii="Times New Roman" w:hAnsi="Times New Roman"/>
          <w:sz w:val="24"/>
          <w:szCs w:val="24"/>
        </w:rPr>
        <w:t>инвеститор</w:t>
      </w:r>
      <w:r w:rsidR="00334853" w:rsidRPr="000B417D">
        <w:rPr>
          <w:rFonts w:ascii="Times New Roman" w:hAnsi="Times New Roman"/>
          <w:sz w:val="24"/>
          <w:szCs w:val="24"/>
        </w:rPr>
        <w:t xml:space="preserve"> </w:t>
      </w:r>
      <w:r w:rsidRPr="000B417D">
        <w:rPr>
          <w:rFonts w:ascii="Times New Roman" w:hAnsi="Times New Roman"/>
          <w:sz w:val="24"/>
          <w:szCs w:val="24"/>
        </w:rPr>
        <w:t>и</w:t>
      </w:r>
      <w:r w:rsidR="00334853" w:rsidRPr="000B417D">
        <w:rPr>
          <w:rFonts w:ascii="Times New Roman" w:hAnsi="Times New Roman"/>
          <w:sz w:val="24"/>
          <w:szCs w:val="24"/>
        </w:rPr>
        <w:t xml:space="preserve"> </w:t>
      </w:r>
      <w:r w:rsidRPr="000B417D">
        <w:rPr>
          <w:rFonts w:ascii="Times New Roman" w:hAnsi="Times New Roman"/>
          <w:sz w:val="24"/>
          <w:szCs w:val="24"/>
        </w:rPr>
        <w:t>ако</w:t>
      </w:r>
      <w:r w:rsidR="00334853" w:rsidRPr="000B417D">
        <w:rPr>
          <w:rFonts w:ascii="Times New Roman" w:hAnsi="Times New Roman"/>
          <w:sz w:val="24"/>
          <w:szCs w:val="24"/>
        </w:rPr>
        <w:t xml:space="preserve"> </w:t>
      </w:r>
      <w:r w:rsidRPr="000B417D">
        <w:rPr>
          <w:rFonts w:ascii="Times New Roman" w:hAnsi="Times New Roman"/>
          <w:sz w:val="24"/>
          <w:szCs w:val="24"/>
        </w:rPr>
        <w:t>је</w:t>
      </w:r>
      <w:r w:rsidR="00334853" w:rsidRPr="000B417D">
        <w:rPr>
          <w:rFonts w:ascii="Times New Roman" w:hAnsi="Times New Roman"/>
          <w:sz w:val="24"/>
          <w:szCs w:val="24"/>
        </w:rPr>
        <w:t xml:space="preserve"> </w:t>
      </w:r>
      <w:r w:rsidRPr="000B417D">
        <w:rPr>
          <w:rFonts w:ascii="Times New Roman" w:hAnsi="Times New Roman"/>
          <w:sz w:val="24"/>
          <w:szCs w:val="24"/>
        </w:rPr>
        <w:t>испоручилац</w:t>
      </w:r>
      <w:r w:rsidR="00334853" w:rsidRPr="000B417D">
        <w:rPr>
          <w:rFonts w:ascii="Times New Roman" w:hAnsi="Times New Roman"/>
          <w:sz w:val="24"/>
          <w:szCs w:val="24"/>
        </w:rPr>
        <w:t xml:space="preserve"> </w:t>
      </w:r>
      <w:r w:rsidRPr="000B417D">
        <w:rPr>
          <w:rFonts w:ascii="Times New Roman" w:hAnsi="Times New Roman"/>
          <w:sz w:val="24"/>
          <w:szCs w:val="24"/>
        </w:rPr>
        <w:t>добара</w:t>
      </w:r>
      <w:r w:rsidR="00334853" w:rsidRPr="000B417D">
        <w:rPr>
          <w:rFonts w:ascii="Times New Roman" w:hAnsi="Times New Roman"/>
          <w:sz w:val="24"/>
          <w:szCs w:val="24"/>
        </w:rPr>
        <w:t xml:space="preserve"> </w:t>
      </w:r>
      <w:r w:rsidRPr="000B417D">
        <w:rPr>
          <w:rFonts w:ascii="Times New Roman" w:hAnsi="Times New Roman"/>
          <w:sz w:val="24"/>
          <w:szCs w:val="24"/>
        </w:rPr>
        <w:t>или</w:t>
      </w:r>
      <w:r w:rsidR="00334853" w:rsidRPr="000B417D">
        <w:rPr>
          <w:rFonts w:ascii="Times New Roman" w:hAnsi="Times New Roman"/>
          <w:sz w:val="24"/>
          <w:szCs w:val="24"/>
        </w:rPr>
        <w:t xml:space="preserve"> </w:t>
      </w:r>
      <w:r w:rsidRPr="000B417D">
        <w:rPr>
          <w:rFonts w:ascii="Times New Roman" w:hAnsi="Times New Roman"/>
          <w:sz w:val="24"/>
          <w:szCs w:val="24"/>
        </w:rPr>
        <w:t>услуга</w:t>
      </w:r>
      <w:r w:rsidR="00334853" w:rsidRPr="000B417D">
        <w:rPr>
          <w:rFonts w:ascii="Times New Roman" w:hAnsi="Times New Roman"/>
          <w:sz w:val="24"/>
          <w:szCs w:val="24"/>
        </w:rPr>
        <w:t xml:space="preserve"> </w:t>
      </w:r>
      <w:r w:rsidRPr="000B417D">
        <w:rPr>
          <w:rFonts w:ascii="Times New Roman" w:hAnsi="Times New Roman"/>
          <w:sz w:val="24"/>
          <w:szCs w:val="24"/>
        </w:rPr>
        <w:t>извођач</w:t>
      </w:r>
      <w:r w:rsidR="00334853" w:rsidRPr="000B417D">
        <w:rPr>
          <w:rFonts w:ascii="Times New Roman" w:hAnsi="Times New Roman"/>
          <w:sz w:val="24"/>
          <w:szCs w:val="24"/>
        </w:rPr>
        <w:t xml:space="preserve"> </w:t>
      </w:r>
      <w:r w:rsidRPr="000B417D">
        <w:rPr>
          <w:rFonts w:ascii="Times New Roman" w:hAnsi="Times New Roman"/>
          <w:sz w:val="24"/>
          <w:szCs w:val="24"/>
        </w:rPr>
        <w:t>радова</w:t>
      </w:r>
      <w:r w:rsidR="00334853" w:rsidRPr="000B417D">
        <w:rPr>
          <w:rFonts w:ascii="Times New Roman" w:hAnsi="Times New Roman"/>
          <w:sz w:val="24"/>
          <w:szCs w:val="24"/>
        </w:rPr>
        <w:t xml:space="preserve">, </w:t>
      </w:r>
      <w:r w:rsidRPr="000B417D">
        <w:rPr>
          <w:rFonts w:ascii="Times New Roman" w:hAnsi="Times New Roman"/>
          <w:sz w:val="24"/>
          <w:szCs w:val="24"/>
        </w:rPr>
        <w:t>у</w:t>
      </w:r>
      <w:r w:rsidR="00334853" w:rsidRPr="000B417D">
        <w:rPr>
          <w:rFonts w:ascii="Times New Roman" w:hAnsi="Times New Roman"/>
          <w:sz w:val="24"/>
          <w:szCs w:val="24"/>
        </w:rPr>
        <w:t xml:space="preserve"> </w:t>
      </w:r>
      <w:r w:rsidRPr="000B417D">
        <w:rPr>
          <w:rFonts w:ascii="Times New Roman" w:hAnsi="Times New Roman"/>
          <w:sz w:val="24"/>
          <w:szCs w:val="24"/>
        </w:rPr>
        <w:t>складу</w:t>
      </w:r>
      <w:r w:rsidR="00334853" w:rsidRPr="000B417D">
        <w:rPr>
          <w:rFonts w:ascii="Times New Roman" w:hAnsi="Times New Roman"/>
          <w:sz w:val="24"/>
          <w:szCs w:val="24"/>
        </w:rPr>
        <w:t xml:space="preserve"> </w:t>
      </w:r>
      <w:r w:rsidRPr="000B417D">
        <w:rPr>
          <w:rFonts w:ascii="Times New Roman" w:hAnsi="Times New Roman"/>
          <w:sz w:val="24"/>
          <w:szCs w:val="24"/>
        </w:rPr>
        <w:t>са</w:t>
      </w:r>
      <w:r w:rsidR="00334853" w:rsidRPr="000B417D">
        <w:rPr>
          <w:rFonts w:ascii="Times New Roman" w:hAnsi="Times New Roman"/>
          <w:sz w:val="24"/>
          <w:szCs w:val="24"/>
        </w:rPr>
        <w:t xml:space="preserve"> </w:t>
      </w:r>
      <w:r w:rsidRPr="000B417D">
        <w:rPr>
          <w:rFonts w:ascii="Times New Roman" w:hAnsi="Times New Roman"/>
          <w:sz w:val="24"/>
          <w:szCs w:val="24"/>
        </w:rPr>
        <w:t>законом</w:t>
      </w:r>
      <w:r w:rsidR="00334853" w:rsidRPr="000B417D">
        <w:rPr>
          <w:rFonts w:ascii="Times New Roman" w:hAnsi="Times New Roman"/>
          <w:sz w:val="24"/>
          <w:szCs w:val="24"/>
        </w:rPr>
        <w:t xml:space="preserve"> </w:t>
      </w:r>
      <w:r w:rsidRPr="000B417D">
        <w:rPr>
          <w:rFonts w:ascii="Times New Roman" w:hAnsi="Times New Roman"/>
          <w:sz w:val="24"/>
          <w:szCs w:val="24"/>
        </w:rPr>
        <w:t>којим</w:t>
      </w:r>
      <w:r w:rsidR="00334853" w:rsidRPr="000B417D">
        <w:rPr>
          <w:rFonts w:ascii="Times New Roman" w:hAnsi="Times New Roman"/>
          <w:sz w:val="24"/>
          <w:szCs w:val="24"/>
        </w:rPr>
        <w:t xml:space="preserve"> </w:t>
      </w:r>
      <w:r w:rsidRPr="000B417D">
        <w:rPr>
          <w:rFonts w:ascii="Times New Roman" w:hAnsi="Times New Roman"/>
          <w:sz w:val="24"/>
          <w:szCs w:val="24"/>
        </w:rPr>
        <w:t>се</w:t>
      </w:r>
      <w:r w:rsidR="00334853" w:rsidRPr="000B417D">
        <w:rPr>
          <w:rFonts w:ascii="Times New Roman" w:hAnsi="Times New Roman"/>
          <w:sz w:val="24"/>
          <w:szCs w:val="24"/>
        </w:rPr>
        <w:t xml:space="preserve"> </w:t>
      </w:r>
      <w:r w:rsidRPr="000B417D">
        <w:rPr>
          <w:rFonts w:ascii="Times New Roman" w:hAnsi="Times New Roman"/>
          <w:sz w:val="24"/>
          <w:szCs w:val="24"/>
        </w:rPr>
        <w:t>уређује</w:t>
      </w:r>
      <w:r w:rsidR="00334853" w:rsidRPr="000B417D">
        <w:rPr>
          <w:rFonts w:ascii="Times New Roman" w:hAnsi="Times New Roman"/>
          <w:sz w:val="24"/>
          <w:szCs w:val="24"/>
        </w:rPr>
        <w:t xml:space="preserve"> </w:t>
      </w:r>
      <w:r w:rsidRPr="000B417D">
        <w:rPr>
          <w:rFonts w:ascii="Times New Roman" w:hAnsi="Times New Roman"/>
          <w:sz w:val="24"/>
          <w:szCs w:val="24"/>
        </w:rPr>
        <w:t>планирање</w:t>
      </w:r>
      <w:r w:rsidR="00334853" w:rsidRPr="000B417D">
        <w:rPr>
          <w:rFonts w:ascii="Times New Roman" w:hAnsi="Times New Roman"/>
          <w:sz w:val="24"/>
          <w:szCs w:val="24"/>
        </w:rPr>
        <w:t xml:space="preserve"> </w:t>
      </w:r>
      <w:r w:rsidRPr="000B417D">
        <w:rPr>
          <w:rFonts w:ascii="Times New Roman" w:hAnsi="Times New Roman"/>
          <w:sz w:val="24"/>
          <w:szCs w:val="24"/>
        </w:rPr>
        <w:t>и</w:t>
      </w:r>
      <w:r w:rsidR="00334853" w:rsidRPr="000B417D">
        <w:rPr>
          <w:rFonts w:ascii="Times New Roman" w:hAnsi="Times New Roman"/>
          <w:sz w:val="24"/>
          <w:szCs w:val="24"/>
        </w:rPr>
        <w:t xml:space="preserve"> </w:t>
      </w:r>
      <w:r w:rsidRPr="000B417D">
        <w:rPr>
          <w:rFonts w:ascii="Times New Roman" w:hAnsi="Times New Roman"/>
          <w:sz w:val="24"/>
          <w:szCs w:val="24"/>
        </w:rPr>
        <w:t>изградња</w:t>
      </w:r>
      <w:r w:rsidR="00334853" w:rsidRPr="000B417D">
        <w:rPr>
          <w:rFonts w:ascii="Times New Roman" w:hAnsi="Times New Roman"/>
          <w:sz w:val="24"/>
          <w:szCs w:val="24"/>
        </w:rPr>
        <w:t>.</w:t>
      </w:r>
      <w:r w:rsidR="00F55EB3" w:rsidRPr="000B417D">
        <w:rPr>
          <w:rFonts w:ascii="Times New Roman" w:hAnsi="Times New Roman"/>
          <w:sz w:val="24"/>
          <w:szCs w:val="24"/>
          <w:lang w:val="sr-Cyrl-CS"/>
        </w:rPr>
        <w:t xml:space="preserve"> </w:t>
      </w:r>
    </w:p>
    <w:p w:rsidR="00F55EB3" w:rsidRPr="000B417D" w:rsidRDefault="00F55EB3" w:rsidP="00FB5A28">
      <w:pPr>
        <w:jc w:val="both"/>
        <w:rPr>
          <w:rFonts w:ascii="Times New Roman" w:hAnsi="Times New Roman"/>
          <w:sz w:val="24"/>
          <w:szCs w:val="24"/>
          <w:lang w:val="sr-Cyrl-CS"/>
        </w:rPr>
      </w:pPr>
      <w:r w:rsidRPr="000B417D">
        <w:rPr>
          <w:rFonts w:ascii="Times New Roman" w:hAnsi="Times New Roman"/>
          <w:sz w:val="24"/>
          <w:szCs w:val="24"/>
          <w:lang w:val="sr-Cyrl-CS"/>
        </w:rPr>
        <w:t>Обавезе пореског обвезника су да:</w:t>
      </w:r>
    </w:p>
    <w:p w:rsidR="00F55EB3" w:rsidRPr="000B417D" w:rsidRDefault="00F55EB3" w:rsidP="000B417D">
      <w:pPr>
        <w:jc w:val="both"/>
        <w:rPr>
          <w:rFonts w:ascii="Times New Roman" w:hAnsi="Times New Roman"/>
          <w:sz w:val="24"/>
          <w:szCs w:val="24"/>
        </w:rPr>
      </w:pPr>
      <w:r w:rsidRPr="000B417D">
        <w:rPr>
          <w:rFonts w:ascii="Times New Roman" w:hAnsi="Times New Roman"/>
          <w:sz w:val="24"/>
          <w:szCs w:val="24"/>
        </w:rPr>
        <w:t>1) поднесе евиденциону пријаву;</w:t>
      </w:r>
    </w:p>
    <w:p w:rsidR="00F55EB3" w:rsidRPr="000B417D" w:rsidRDefault="00F55EB3" w:rsidP="000B417D">
      <w:pPr>
        <w:jc w:val="both"/>
        <w:rPr>
          <w:rFonts w:ascii="Times New Roman" w:hAnsi="Times New Roman"/>
          <w:sz w:val="24"/>
          <w:szCs w:val="24"/>
        </w:rPr>
      </w:pPr>
      <w:r w:rsidRPr="000B417D">
        <w:rPr>
          <w:rFonts w:ascii="Times New Roman" w:hAnsi="Times New Roman"/>
          <w:sz w:val="24"/>
          <w:szCs w:val="24"/>
        </w:rPr>
        <w:t>2) издаје рачуне о извршеном промету добара и услуга;</w:t>
      </w:r>
    </w:p>
    <w:p w:rsidR="00F55EB3" w:rsidRPr="000B417D" w:rsidRDefault="00F55EB3" w:rsidP="000B417D">
      <w:pPr>
        <w:jc w:val="both"/>
        <w:rPr>
          <w:rFonts w:ascii="Times New Roman" w:hAnsi="Times New Roman"/>
          <w:sz w:val="24"/>
          <w:szCs w:val="24"/>
        </w:rPr>
      </w:pPr>
      <w:r w:rsidRPr="000B417D">
        <w:rPr>
          <w:rFonts w:ascii="Times New Roman" w:hAnsi="Times New Roman"/>
          <w:sz w:val="24"/>
          <w:szCs w:val="24"/>
        </w:rPr>
        <w:t>3) води евиденцију у складу са овим законом;</w:t>
      </w:r>
    </w:p>
    <w:p w:rsidR="00F55EB3" w:rsidRPr="000B417D" w:rsidRDefault="00F55EB3" w:rsidP="000B417D">
      <w:pPr>
        <w:jc w:val="both"/>
        <w:rPr>
          <w:rFonts w:ascii="Times New Roman" w:hAnsi="Times New Roman"/>
          <w:sz w:val="24"/>
          <w:szCs w:val="24"/>
        </w:rPr>
      </w:pPr>
      <w:r w:rsidRPr="000B417D">
        <w:rPr>
          <w:rFonts w:ascii="Times New Roman" w:hAnsi="Times New Roman"/>
          <w:sz w:val="24"/>
          <w:szCs w:val="24"/>
        </w:rPr>
        <w:t>4) обрачунава и плаћа ПДВ и подноси пореске пријаве;</w:t>
      </w:r>
    </w:p>
    <w:p w:rsidR="00F55EB3" w:rsidRPr="000B417D" w:rsidRDefault="00F55EB3" w:rsidP="000B417D">
      <w:pPr>
        <w:jc w:val="both"/>
        <w:rPr>
          <w:rFonts w:ascii="Times New Roman" w:hAnsi="Times New Roman"/>
          <w:sz w:val="24"/>
          <w:szCs w:val="24"/>
          <w:lang w:val="sr-Cyrl-CS"/>
        </w:rPr>
      </w:pPr>
      <w:r w:rsidRPr="000B417D">
        <w:rPr>
          <w:rFonts w:ascii="Times New Roman" w:hAnsi="Times New Roman"/>
          <w:sz w:val="24"/>
          <w:szCs w:val="24"/>
        </w:rPr>
        <w:t>5) доставља обавештења пореском органу у складу са овим законом.</w:t>
      </w:r>
      <w:r w:rsidRPr="000B417D">
        <w:rPr>
          <w:rStyle w:val="FootnoteReference"/>
          <w:rFonts w:ascii="Times New Roman" w:hAnsi="Times New Roman"/>
          <w:color w:val="000000"/>
          <w:sz w:val="24"/>
          <w:szCs w:val="24"/>
        </w:rPr>
        <w:footnoteReference w:id="371"/>
      </w:r>
    </w:p>
    <w:p w:rsidR="008079D5" w:rsidRPr="008079D5" w:rsidRDefault="008079D5" w:rsidP="00334853">
      <w:pPr>
        <w:pStyle w:val="normal0"/>
        <w:shd w:val="clear" w:color="auto" w:fill="FFFFFF"/>
        <w:spacing w:before="48" w:beforeAutospacing="0" w:after="48" w:afterAutospacing="0"/>
        <w:rPr>
          <w:rFonts w:ascii="Arial" w:hAnsi="Arial" w:cs="Arial"/>
          <w:color w:val="000000"/>
          <w:sz w:val="18"/>
          <w:szCs w:val="18"/>
          <w:lang w:val="sr-Cyrl-CS"/>
        </w:rPr>
      </w:pPr>
    </w:p>
    <w:p w:rsidR="00334853" w:rsidRDefault="00334853" w:rsidP="00334853">
      <w:pPr>
        <w:shd w:val="clear" w:color="auto" w:fill="FFFFFF"/>
        <w:spacing w:after="0" w:line="285" w:lineRule="atLeast"/>
        <w:ind w:firstLine="708"/>
        <w:rPr>
          <w:rFonts w:ascii="Arial" w:hAnsi="Arial" w:cs="Arial"/>
          <w:color w:val="000000"/>
          <w:sz w:val="18"/>
          <w:szCs w:val="18"/>
          <w:lang w:val="sr-Cyrl-CS"/>
        </w:rPr>
      </w:pPr>
    </w:p>
    <w:p w:rsidR="008C4058" w:rsidRDefault="00EE123E" w:rsidP="00E126AB">
      <w:pPr>
        <w:pStyle w:val="normal0"/>
        <w:shd w:val="clear" w:color="auto" w:fill="FFFFFF"/>
        <w:spacing w:before="48" w:beforeAutospacing="0" w:after="48" w:afterAutospacing="0"/>
        <w:rPr>
          <w:b/>
          <w:color w:val="000000"/>
          <w:lang w:val="sr-Cyrl-CS"/>
        </w:rPr>
      </w:pPr>
      <w:r>
        <w:rPr>
          <w:b/>
          <w:color w:val="000000"/>
          <w:lang w:val="sr-Cyrl-CS"/>
        </w:rPr>
        <w:lastRenderedPageBreak/>
        <w:t>5.2.3. Предмет опорезивања</w:t>
      </w:r>
    </w:p>
    <w:p w:rsidR="00EE123E" w:rsidRDefault="00EE123E" w:rsidP="00E126AB">
      <w:pPr>
        <w:pStyle w:val="normal0"/>
        <w:shd w:val="clear" w:color="auto" w:fill="FFFFFF"/>
        <w:spacing w:before="48" w:beforeAutospacing="0" w:after="48" w:afterAutospacing="0"/>
        <w:rPr>
          <w:b/>
          <w:color w:val="000000"/>
          <w:lang w:val="sr-Cyrl-CS"/>
        </w:rPr>
      </w:pPr>
    </w:p>
    <w:p w:rsidR="00EE123E" w:rsidRPr="00FB5A28" w:rsidRDefault="00EE123E" w:rsidP="00FB5A28">
      <w:pPr>
        <w:jc w:val="both"/>
        <w:rPr>
          <w:rFonts w:ascii="Times New Roman" w:hAnsi="Times New Roman"/>
          <w:sz w:val="24"/>
          <w:szCs w:val="24"/>
          <w:lang w:val="sr-Cyrl-CS"/>
        </w:rPr>
      </w:pPr>
      <w:r w:rsidRPr="00FB5A28">
        <w:rPr>
          <w:rFonts w:ascii="Times New Roman" w:hAnsi="Times New Roman"/>
          <w:sz w:val="24"/>
          <w:szCs w:val="24"/>
        </w:rPr>
        <w:t>Предмет опорезивања ПДВ</w:t>
      </w:r>
      <w:r w:rsidRPr="00FB5A28">
        <w:rPr>
          <w:rFonts w:ascii="Times New Roman" w:hAnsi="Times New Roman"/>
          <w:sz w:val="24"/>
          <w:szCs w:val="24"/>
          <w:lang w:val="sr-Cyrl-CS"/>
        </w:rPr>
        <w:t>-ом</w:t>
      </w:r>
      <w:r w:rsidRPr="00FB5A28">
        <w:rPr>
          <w:rFonts w:ascii="Times New Roman" w:hAnsi="Times New Roman"/>
          <w:sz w:val="24"/>
          <w:szCs w:val="24"/>
        </w:rPr>
        <w:t xml:space="preserve"> су:</w:t>
      </w:r>
      <w:r w:rsidRPr="00FB5A28">
        <w:rPr>
          <w:rStyle w:val="FootnoteReference"/>
          <w:rFonts w:ascii="Times New Roman" w:hAnsi="Times New Roman"/>
          <w:color w:val="000000"/>
          <w:sz w:val="24"/>
          <w:szCs w:val="24"/>
        </w:rPr>
        <w:footnoteReference w:id="372"/>
      </w:r>
      <w:r w:rsidRPr="00FB5A28">
        <w:rPr>
          <w:rFonts w:ascii="Times New Roman" w:hAnsi="Times New Roman"/>
          <w:sz w:val="24"/>
          <w:szCs w:val="24"/>
          <w:lang w:val="sr-Cyrl-CS"/>
        </w:rPr>
        <w:t xml:space="preserve"> </w:t>
      </w:r>
    </w:p>
    <w:p w:rsidR="00EE123E" w:rsidRPr="00FB5A28" w:rsidRDefault="00EE123E" w:rsidP="00FB5A28">
      <w:pPr>
        <w:jc w:val="both"/>
        <w:rPr>
          <w:rFonts w:ascii="Times New Roman" w:hAnsi="Times New Roman"/>
          <w:sz w:val="24"/>
          <w:szCs w:val="24"/>
          <w:lang w:val="sr-Cyrl-CS"/>
        </w:rPr>
      </w:pPr>
      <w:r w:rsidRPr="00FB5A28">
        <w:rPr>
          <w:rFonts w:ascii="Times New Roman" w:hAnsi="Times New Roman"/>
          <w:sz w:val="24"/>
          <w:szCs w:val="24"/>
          <w:lang w:val="sr-Cyrl-CS"/>
        </w:rPr>
        <w:t>1)И</w:t>
      </w:r>
      <w:r w:rsidRPr="00FB5A28">
        <w:rPr>
          <w:rFonts w:ascii="Times New Roman" w:hAnsi="Times New Roman"/>
          <w:sz w:val="24"/>
          <w:szCs w:val="24"/>
        </w:rPr>
        <w:t xml:space="preserve">спорука добара и пружање услуга  </w:t>
      </w:r>
      <w:r w:rsidRPr="00FB5A28">
        <w:rPr>
          <w:rFonts w:ascii="Times New Roman" w:hAnsi="Times New Roman"/>
          <w:sz w:val="24"/>
          <w:szCs w:val="24"/>
          <w:lang w:val="sr-Cyrl-CS"/>
        </w:rPr>
        <w:t xml:space="preserve">(пормет добара и услуга) </w:t>
      </w:r>
      <w:r w:rsidRPr="00FB5A28">
        <w:rPr>
          <w:rFonts w:ascii="Times New Roman" w:hAnsi="Times New Roman"/>
          <w:sz w:val="24"/>
          <w:szCs w:val="24"/>
        </w:rPr>
        <w:t>које порески обвезник изврши у Републици уз накнаду, у оквиру обављања делатности</w:t>
      </w:r>
      <w:r w:rsidRPr="00FB5A28">
        <w:rPr>
          <w:rFonts w:ascii="Times New Roman" w:hAnsi="Times New Roman"/>
          <w:sz w:val="24"/>
          <w:szCs w:val="24"/>
          <w:lang w:val="sr-Cyrl-CS"/>
        </w:rPr>
        <w:t>.</w:t>
      </w:r>
    </w:p>
    <w:p w:rsidR="00EE123E" w:rsidRPr="00FB5A28" w:rsidRDefault="00EE123E" w:rsidP="00FB5A28">
      <w:pPr>
        <w:jc w:val="both"/>
        <w:rPr>
          <w:rFonts w:ascii="Times New Roman" w:hAnsi="Times New Roman"/>
          <w:sz w:val="24"/>
          <w:szCs w:val="24"/>
          <w:lang w:val="sr-Cyrl-CS"/>
        </w:rPr>
      </w:pPr>
      <w:r w:rsidRPr="00FB5A28">
        <w:rPr>
          <w:rFonts w:ascii="Times New Roman" w:hAnsi="Times New Roman"/>
          <w:sz w:val="24"/>
          <w:szCs w:val="24"/>
          <w:lang w:val="sr-Cyrl-CS"/>
        </w:rPr>
        <w:t>Да би нека испорука добара и услуга била предмет опорезивања потребно је да су испуњени следећи услови:</w:t>
      </w:r>
    </w:p>
    <w:p w:rsidR="00EE123E" w:rsidRPr="00FB5A28" w:rsidRDefault="00EE123E" w:rsidP="00FB5A28">
      <w:pPr>
        <w:jc w:val="both"/>
        <w:rPr>
          <w:rFonts w:ascii="Times New Roman" w:hAnsi="Times New Roman"/>
          <w:sz w:val="24"/>
          <w:szCs w:val="24"/>
          <w:lang w:val="sr-Cyrl-CS"/>
        </w:rPr>
      </w:pPr>
      <w:r w:rsidRPr="00FB5A28">
        <w:rPr>
          <w:rFonts w:ascii="Times New Roman" w:hAnsi="Times New Roman"/>
          <w:sz w:val="24"/>
          <w:szCs w:val="24"/>
          <w:lang w:val="sr-Cyrl-CS"/>
        </w:rPr>
        <w:t>да је извршен промет добара и услуга;</w:t>
      </w:r>
    </w:p>
    <w:p w:rsidR="00EE123E" w:rsidRPr="00FB5A28" w:rsidRDefault="00EE123E" w:rsidP="00FB5A28">
      <w:pPr>
        <w:jc w:val="both"/>
        <w:rPr>
          <w:rFonts w:ascii="Times New Roman" w:hAnsi="Times New Roman"/>
          <w:sz w:val="24"/>
          <w:szCs w:val="24"/>
          <w:lang w:val="sr-Cyrl-CS"/>
        </w:rPr>
      </w:pPr>
      <w:r w:rsidRPr="00FB5A28">
        <w:rPr>
          <w:rFonts w:ascii="Times New Roman" w:hAnsi="Times New Roman"/>
          <w:sz w:val="24"/>
          <w:szCs w:val="24"/>
          <w:lang w:val="sr-Cyrl-CS"/>
        </w:rPr>
        <w:t>да је промет извршен на територији Републике;</w:t>
      </w:r>
    </w:p>
    <w:p w:rsidR="00EE123E" w:rsidRPr="00FB5A28" w:rsidRDefault="00EE123E" w:rsidP="00FB5A28">
      <w:pPr>
        <w:jc w:val="both"/>
        <w:rPr>
          <w:rFonts w:ascii="Times New Roman" w:hAnsi="Times New Roman"/>
          <w:sz w:val="24"/>
          <w:szCs w:val="24"/>
          <w:lang w:val="sr-Cyrl-CS"/>
        </w:rPr>
      </w:pPr>
      <w:r w:rsidRPr="00FB5A28">
        <w:rPr>
          <w:rFonts w:ascii="Times New Roman" w:hAnsi="Times New Roman"/>
          <w:sz w:val="24"/>
          <w:szCs w:val="24"/>
          <w:lang w:val="sr-Cyrl-CS"/>
        </w:rPr>
        <w:t>да је промет извршен од стране пореског обвезника пореза на додату вредност и у оквиру обављања делатности;</w:t>
      </w:r>
    </w:p>
    <w:p w:rsidR="00EE123E" w:rsidRPr="00FB5A28" w:rsidRDefault="00EE123E" w:rsidP="00FB5A28">
      <w:pPr>
        <w:jc w:val="both"/>
        <w:rPr>
          <w:rFonts w:ascii="Times New Roman" w:hAnsi="Times New Roman"/>
          <w:sz w:val="24"/>
          <w:szCs w:val="24"/>
          <w:lang w:val="sr-Cyrl-CS"/>
        </w:rPr>
      </w:pPr>
      <w:r w:rsidRPr="00FB5A28">
        <w:rPr>
          <w:rFonts w:ascii="Times New Roman" w:hAnsi="Times New Roman"/>
          <w:sz w:val="24"/>
          <w:szCs w:val="24"/>
          <w:lang w:val="sr-Cyrl-CS"/>
        </w:rPr>
        <w:t>да је промет извршен уз накнаду.</w:t>
      </w:r>
    </w:p>
    <w:p w:rsidR="0088734B" w:rsidRPr="00FB5A28" w:rsidRDefault="00EE123E" w:rsidP="00FB5A28">
      <w:pPr>
        <w:jc w:val="both"/>
        <w:rPr>
          <w:rFonts w:ascii="Times New Roman" w:hAnsi="Times New Roman"/>
          <w:b/>
          <w:sz w:val="24"/>
          <w:szCs w:val="24"/>
          <w:lang w:val="sr-Cyrl-CS"/>
        </w:rPr>
      </w:pPr>
      <w:r w:rsidRPr="00FB5A28">
        <w:rPr>
          <w:rFonts w:ascii="Times New Roman" w:hAnsi="Times New Roman"/>
          <w:sz w:val="24"/>
          <w:szCs w:val="24"/>
        </w:rPr>
        <w:t xml:space="preserve">2) </w:t>
      </w:r>
      <w:r w:rsidRPr="00FB5A28">
        <w:rPr>
          <w:rFonts w:ascii="Times New Roman" w:hAnsi="Times New Roman"/>
          <w:sz w:val="24"/>
          <w:szCs w:val="24"/>
          <w:lang w:val="sr-Cyrl-CS"/>
        </w:rPr>
        <w:t>У</w:t>
      </w:r>
      <w:r w:rsidRPr="00FB5A28">
        <w:rPr>
          <w:rFonts w:ascii="Times New Roman" w:hAnsi="Times New Roman"/>
          <w:sz w:val="24"/>
          <w:szCs w:val="24"/>
        </w:rPr>
        <w:t>воз добара у Републику</w:t>
      </w:r>
    </w:p>
    <w:p w:rsidR="00EE123E" w:rsidRPr="00FB5A28" w:rsidRDefault="0010457D" w:rsidP="00FB5A28">
      <w:pPr>
        <w:jc w:val="both"/>
        <w:rPr>
          <w:rFonts w:ascii="Times New Roman" w:hAnsi="Times New Roman"/>
          <w:sz w:val="24"/>
          <w:szCs w:val="24"/>
          <w:lang w:val="sr-Cyrl-CS"/>
        </w:rPr>
      </w:pPr>
      <w:r w:rsidRPr="00FB5A28">
        <w:rPr>
          <w:rFonts w:ascii="Times New Roman" w:hAnsi="Times New Roman"/>
          <w:sz w:val="24"/>
          <w:szCs w:val="24"/>
        </w:rPr>
        <w:t>ПДВ</w:t>
      </w:r>
      <w:r w:rsidR="003B24F4" w:rsidRPr="00FB5A28">
        <w:rPr>
          <w:rFonts w:ascii="Times New Roman" w:hAnsi="Times New Roman"/>
          <w:sz w:val="24"/>
          <w:szCs w:val="24"/>
        </w:rPr>
        <w:t xml:space="preserve"> </w:t>
      </w:r>
      <w:r w:rsidRPr="00FB5A28">
        <w:rPr>
          <w:rFonts w:ascii="Times New Roman" w:hAnsi="Times New Roman"/>
          <w:sz w:val="24"/>
          <w:szCs w:val="24"/>
        </w:rPr>
        <w:t>се</w:t>
      </w:r>
      <w:r w:rsidR="003B24F4" w:rsidRPr="00FB5A28">
        <w:rPr>
          <w:rFonts w:ascii="Times New Roman" w:hAnsi="Times New Roman"/>
          <w:sz w:val="24"/>
          <w:szCs w:val="24"/>
        </w:rPr>
        <w:t xml:space="preserve"> </w:t>
      </w:r>
      <w:r w:rsidRPr="00FB5A28">
        <w:rPr>
          <w:rFonts w:ascii="Times New Roman" w:hAnsi="Times New Roman"/>
          <w:sz w:val="24"/>
          <w:szCs w:val="24"/>
        </w:rPr>
        <w:t>не</w:t>
      </w:r>
      <w:r w:rsidR="003B24F4" w:rsidRPr="00FB5A28">
        <w:rPr>
          <w:rFonts w:ascii="Times New Roman" w:hAnsi="Times New Roman"/>
          <w:sz w:val="24"/>
          <w:szCs w:val="24"/>
        </w:rPr>
        <w:t xml:space="preserve"> </w:t>
      </w:r>
      <w:r w:rsidRPr="00FB5A28">
        <w:rPr>
          <w:rFonts w:ascii="Times New Roman" w:hAnsi="Times New Roman"/>
          <w:sz w:val="24"/>
          <w:szCs w:val="24"/>
        </w:rPr>
        <w:t>плаћа</w:t>
      </w:r>
      <w:r w:rsidR="003B24F4" w:rsidRPr="00FB5A28">
        <w:rPr>
          <w:rFonts w:ascii="Times New Roman" w:hAnsi="Times New Roman"/>
          <w:sz w:val="24"/>
          <w:szCs w:val="24"/>
        </w:rPr>
        <w:t xml:space="preserve"> </w:t>
      </w:r>
      <w:r w:rsidRPr="00FB5A28">
        <w:rPr>
          <w:rFonts w:ascii="Times New Roman" w:hAnsi="Times New Roman"/>
          <w:sz w:val="24"/>
          <w:szCs w:val="24"/>
        </w:rPr>
        <w:t>на</w:t>
      </w:r>
      <w:r w:rsidR="003B24F4" w:rsidRPr="00FB5A28">
        <w:rPr>
          <w:rFonts w:ascii="Times New Roman" w:hAnsi="Times New Roman"/>
          <w:sz w:val="24"/>
          <w:szCs w:val="24"/>
        </w:rPr>
        <w:t>:</w:t>
      </w:r>
      <w:r w:rsidR="00EE123E" w:rsidRPr="00FB5A28">
        <w:rPr>
          <w:rStyle w:val="FootnoteReference"/>
          <w:rFonts w:ascii="Times New Roman" w:hAnsi="Times New Roman"/>
          <w:color w:val="000000"/>
          <w:sz w:val="24"/>
          <w:szCs w:val="24"/>
        </w:rPr>
        <w:footnoteReference w:id="373"/>
      </w:r>
    </w:p>
    <w:p w:rsidR="006E4204" w:rsidRPr="00FB5A28" w:rsidRDefault="006E4204" w:rsidP="00FB5A28">
      <w:pPr>
        <w:jc w:val="both"/>
        <w:rPr>
          <w:rFonts w:ascii="Times New Roman" w:hAnsi="Times New Roman"/>
          <w:sz w:val="24"/>
          <w:szCs w:val="24"/>
          <w:lang w:val="sr-Cyrl-CS"/>
        </w:rPr>
      </w:pPr>
      <w:r w:rsidRPr="00FB5A28">
        <w:rPr>
          <w:rFonts w:ascii="Times New Roman" w:hAnsi="Times New Roman"/>
          <w:sz w:val="24"/>
          <w:szCs w:val="24"/>
          <w:lang w:val="sr-Cyrl-CS"/>
        </w:rPr>
        <w:t>1)</w:t>
      </w:r>
      <w:r w:rsidR="009704A4" w:rsidRPr="00FB5A28">
        <w:rPr>
          <w:rFonts w:ascii="Times New Roman" w:hAnsi="Times New Roman"/>
          <w:sz w:val="24"/>
          <w:szCs w:val="24"/>
          <w:lang w:val="sr-Cyrl-CS"/>
        </w:rPr>
        <w:t>П</w:t>
      </w:r>
      <w:r w:rsidR="0010457D" w:rsidRPr="00FB5A28">
        <w:rPr>
          <w:rFonts w:ascii="Times New Roman" w:hAnsi="Times New Roman"/>
          <w:sz w:val="24"/>
          <w:szCs w:val="24"/>
        </w:rPr>
        <w:t>ревозне</w:t>
      </w:r>
      <w:r w:rsidR="003B24F4" w:rsidRPr="00FB5A28">
        <w:rPr>
          <w:rFonts w:ascii="Times New Roman" w:hAnsi="Times New Roman"/>
          <w:sz w:val="24"/>
          <w:szCs w:val="24"/>
        </w:rPr>
        <w:t xml:space="preserve"> </w:t>
      </w:r>
      <w:r w:rsidR="0010457D" w:rsidRPr="00FB5A28">
        <w:rPr>
          <w:rFonts w:ascii="Times New Roman" w:hAnsi="Times New Roman"/>
          <w:sz w:val="24"/>
          <w:szCs w:val="24"/>
        </w:rPr>
        <w:t>и</w:t>
      </w:r>
      <w:r w:rsidR="003B24F4" w:rsidRPr="00FB5A28">
        <w:rPr>
          <w:rFonts w:ascii="Times New Roman" w:hAnsi="Times New Roman"/>
          <w:sz w:val="24"/>
          <w:szCs w:val="24"/>
        </w:rPr>
        <w:t xml:space="preserve"> </w:t>
      </w:r>
      <w:r w:rsidR="0010457D" w:rsidRPr="00FB5A28">
        <w:rPr>
          <w:rFonts w:ascii="Times New Roman" w:hAnsi="Times New Roman"/>
          <w:sz w:val="24"/>
          <w:szCs w:val="24"/>
        </w:rPr>
        <w:t>остале</w:t>
      </w:r>
      <w:r w:rsidR="003B24F4" w:rsidRPr="00FB5A28">
        <w:rPr>
          <w:rFonts w:ascii="Times New Roman" w:hAnsi="Times New Roman"/>
          <w:sz w:val="24"/>
          <w:szCs w:val="24"/>
        </w:rPr>
        <w:t xml:space="preserve"> </w:t>
      </w:r>
      <w:r w:rsidR="0010457D" w:rsidRPr="00FB5A28">
        <w:rPr>
          <w:rFonts w:ascii="Times New Roman" w:hAnsi="Times New Roman"/>
          <w:sz w:val="24"/>
          <w:szCs w:val="24"/>
        </w:rPr>
        <w:t>услуге</w:t>
      </w:r>
      <w:r w:rsidR="003B24F4" w:rsidRPr="00FB5A28">
        <w:rPr>
          <w:rFonts w:ascii="Times New Roman" w:hAnsi="Times New Roman"/>
          <w:sz w:val="24"/>
          <w:szCs w:val="24"/>
        </w:rPr>
        <w:t xml:space="preserve">, </w:t>
      </w:r>
      <w:r w:rsidR="0010457D" w:rsidRPr="00FB5A28">
        <w:rPr>
          <w:rFonts w:ascii="Times New Roman" w:hAnsi="Times New Roman"/>
          <w:sz w:val="24"/>
          <w:szCs w:val="24"/>
        </w:rPr>
        <w:t>које</w:t>
      </w:r>
      <w:r w:rsidR="003B24F4" w:rsidRPr="00FB5A28">
        <w:rPr>
          <w:rFonts w:ascii="Times New Roman" w:hAnsi="Times New Roman"/>
          <w:sz w:val="24"/>
          <w:szCs w:val="24"/>
        </w:rPr>
        <w:t xml:space="preserve"> </w:t>
      </w:r>
      <w:r w:rsidR="0010457D" w:rsidRPr="00FB5A28">
        <w:rPr>
          <w:rFonts w:ascii="Times New Roman" w:hAnsi="Times New Roman"/>
          <w:sz w:val="24"/>
          <w:szCs w:val="24"/>
        </w:rPr>
        <w:t>су</w:t>
      </w:r>
      <w:r w:rsidR="003B24F4" w:rsidRPr="00FB5A28">
        <w:rPr>
          <w:rFonts w:ascii="Times New Roman" w:hAnsi="Times New Roman"/>
          <w:sz w:val="24"/>
          <w:szCs w:val="24"/>
        </w:rPr>
        <w:t xml:space="preserve"> </w:t>
      </w:r>
      <w:r w:rsidR="0010457D" w:rsidRPr="00FB5A28">
        <w:rPr>
          <w:rFonts w:ascii="Times New Roman" w:hAnsi="Times New Roman"/>
          <w:sz w:val="24"/>
          <w:szCs w:val="24"/>
        </w:rPr>
        <w:t>повезане</w:t>
      </w:r>
      <w:r w:rsidR="003B24F4" w:rsidRPr="00FB5A28">
        <w:rPr>
          <w:rFonts w:ascii="Times New Roman" w:hAnsi="Times New Roman"/>
          <w:sz w:val="24"/>
          <w:szCs w:val="24"/>
        </w:rPr>
        <w:t xml:space="preserve"> </w:t>
      </w:r>
      <w:r w:rsidR="0010457D" w:rsidRPr="00FB5A28">
        <w:rPr>
          <w:rFonts w:ascii="Times New Roman" w:hAnsi="Times New Roman"/>
          <w:sz w:val="24"/>
          <w:szCs w:val="24"/>
        </w:rPr>
        <w:t>са</w:t>
      </w:r>
      <w:r w:rsidR="003B24F4" w:rsidRPr="00FB5A28">
        <w:rPr>
          <w:rFonts w:ascii="Times New Roman" w:hAnsi="Times New Roman"/>
          <w:sz w:val="24"/>
          <w:szCs w:val="24"/>
        </w:rPr>
        <w:t xml:space="preserve"> </w:t>
      </w:r>
      <w:r w:rsidR="0010457D" w:rsidRPr="00FB5A28">
        <w:rPr>
          <w:rFonts w:ascii="Times New Roman" w:hAnsi="Times New Roman"/>
          <w:sz w:val="24"/>
          <w:szCs w:val="24"/>
        </w:rPr>
        <w:t>увозом</w:t>
      </w:r>
      <w:r w:rsidR="003B24F4" w:rsidRPr="00FB5A28">
        <w:rPr>
          <w:rFonts w:ascii="Times New Roman" w:hAnsi="Times New Roman"/>
          <w:sz w:val="24"/>
          <w:szCs w:val="24"/>
        </w:rPr>
        <w:t xml:space="preserve"> </w:t>
      </w:r>
      <w:r w:rsidR="0010457D" w:rsidRPr="00FB5A28">
        <w:rPr>
          <w:rFonts w:ascii="Times New Roman" w:hAnsi="Times New Roman"/>
          <w:sz w:val="24"/>
          <w:szCs w:val="24"/>
        </w:rPr>
        <w:t>добара</w:t>
      </w:r>
      <w:r w:rsidR="003B24F4" w:rsidRPr="00FB5A28">
        <w:rPr>
          <w:rFonts w:ascii="Times New Roman" w:hAnsi="Times New Roman"/>
          <w:sz w:val="24"/>
          <w:szCs w:val="24"/>
        </w:rPr>
        <w:t xml:space="preserve">, </w:t>
      </w:r>
      <w:r w:rsidR="0010457D" w:rsidRPr="00FB5A28">
        <w:rPr>
          <w:rFonts w:ascii="Times New Roman" w:hAnsi="Times New Roman"/>
          <w:sz w:val="24"/>
          <w:szCs w:val="24"/>
        </w:rPr>
        <w:t>ако</w:t>
      </w:r>
      <w:r w:rsidR="003B24F4" w:rsidRPr="00FB5A28">
        <w:rPr>
          <w:rFonts w:ascii="Times New Roman" w:hAnsi="Times New Roman"/>
          <w:sz w:val="24"/>
          <w:szCs w:val="24"/>
        </w:rPr>
        <w:t xml:space="preserve"> </w:t>
      </w:r>
      <w:r w:rsidR="0010457D" w:rsidRPr="00FB5A28">
        <w:rPr>
          <w:rFonts w:ascii="Times New Roman" w:hAnsi="Times New Roman"/>
          <w:sz w:val="24"/>
          <w:szCs w:val="24"/>
        </w:rPr>
        <w:t>је</w:t>
      </w:r>
      <w:r w:rsidR="003B24F4" w:rsidRPr="00FB5A28">
        <w:rPr>
          <w:rFonts w:ascii="Times New Roman" w:hAnsi="Times New Roman"/>
          <w:sz w:val="24"/>
          <w:szCs w:val="24"/>
        </w:rPr>
        <w:t xml:space="preserve"> </w:t>
      </w:r>
      <w:r w:rsidR="0010457D" w:rsidRPr="00FB5A28">
        <w:rPr>
          <w:rFonts w:ascii="Times New Roman" w:hAnsi="Times New Roman"/>
          <w:sz w:val="24"/>
          <w:szCs w:val="24"/>
        </w:rPr>
        <w:t>вредност</w:t>
      </w:r>
      <w:r w:rsidR="003B24F4" w:rsidRPr="00FB5A28">
        <w:rPr>
          <w:rFonts w:ascii="Times New Roman" w:hAnsi="Times New Roman"/>
          <w:sz w:val="24"/>
          <w:szCs w:val="24"/>
        </w:rPr>
        <w:t xml:space="preserve"> </w:t>
      </w:r>
      <w:r w:rsidR="0010457D" w:rsidRPr="00FB5A28">
        <w:rPr>
          <w:rFonts w:ascii="Times New Roman" w:hAnsi="Times New Roman"/>
          <w:sz w:val="24"/>
          <w:szCs w:val="24"/>
        </w:rPr>
        <w:t>тих</w:t>
      </w:r>
      <w:r w:rsidR="003B24F4" w:rsidRPr="00FB5A28">
        <w:rPr>
          <w:rFonts w:ascii="Times New Roman" w:hAnsi="Times New Roman"/>
          <w:sz w:val="24"/>
          <w:szCs w:val="24"/>
        </w:rPr>
        <w:t xml:space="preserve"> </w:t>
      </w:r>
      <w:r w:rsidR="0010457D" w:rsidRPr="00FB5A28">
        <w:rPr>
          <w:rFonts w:ascii="Times New Roman" w:hAnsi="Times New Roman"/>
          <w:sz w:val="24"/>
          <w:szCs w:val="24"/>
        </w:rPr>
        <w:t>услуга</w:t>
      </w:r>
      <w:r w:rsidR="003B24F4" w:rsidRPr="00FB5A28">
        <w:rPr>
          <w:rFonts w:ascii="Times New Roman" w:hAnsi="Times New Roman"/>
          <w:sz w:val="24"/>
          <w:szCs w:val="24"/>
        </w:rPr>
        <w:t xml:space="preserve"> </w:t>
      </w:r>
      <w:r w:rsidR="0010457D" w:rsidRPr="00FB5A28">
        <w:rPr>
          <w:rFonts w:ascii="Times New Roman" w:hAnsi="Times New Roman"/>
          <w:sz w:val="24"/>
          <w:szCs w:val="24"/>
        </w:rPr>
        <w:t>садржана</w:t>
      </w:r>
      <w:r w:rsidR="003B24F4" w:rsidRPr="00FB5A28">
        <w:rPr>
          <w:rFonts w:ascii="Times New Roman" w:hAnsi="Times New Roman"/>
          <w:sz w:val="24"/>
          <w:szCs w:val="24"/>
        </w:rPr>
        <w:t xml:space="preserve"> </w:t>
      </w:r>
      <w:r w:rsidR="0010457D" w:rsidRPr="00FB5A28">
        <w:rPr>
          <w:rFonts w:ascii="Times New Roman" w:hAnsi="Times New Roman"/>
          <w:sz w:val="24"/>
          <w:szCs w:val="24"/>
        </w:rPr>
        <w:t>у</w:t>
      </w:r>
      <w:r w:rsidR="003B24F4" w:rsidRPr="00FB5A28">
        <w:rPr>
          <w:rFonts w:ascii="Times New Roman" w:hAnsi="Times New Roman"/>
          <w:sz w:val="24"/>
          <w:szCs w:val="24"/>
        </w:rPr>
        <w:t xml:space="preserve"> </w:t>
      </w:r>
      <w:r w:rsidR="0010457D" w:rsidRPr="00FB5A28">
        <w:rPr>
          <w:rFonts w:ascii="Times New Roman" w:hAnsi="Times New Roman"/>
          <w:sz w:val="24"/>
          <w:szCs w:val="24"/>
        </w:rPr>
        <w:t>основици</w:t>
      </w:r>
      <w:r w:rsidR="00EE123E" w:rsidRPr="00FB5A28">
        <w:rPr>
          <w:rFonts w:ascii="Times New Roman" w:hAnsi="Times New Roman"/>
          <w:sz w:val="24"/>
          <w:szCs w:val="24"/>
        </w:rPr>
        <w:t xml:space="preserve"> </w:t>
      </w:r>
      <w:r w:rsidR="00EE123E" w:rsidRPr="00FB5A28">
        <w:rPr>
          <w:rFonts w:ascii="Times New Roman" w:hAnsi="Times New Roman"/>
          <w:sz w:val="24"/>
          <w:szCs w:val="24"/>
          <w:lang w:val="sr-Cyrl-CS"/>
        </w:rPr>
        <w:t>код увоза добара</w:t>
      </w:r>
      <w:r w:rsidR="009704A4" w:rsidRPr="00FB5A28">
        <w:rPr>
          <w:rFonts w:ascii="Times New Roman" w:hAnsi="Times New Roman"/>
          <w:sz w:val="24"/>
          <w:szCs w:val="24"/>
          <w:lang w:val="sr-Cyrl-CS"/>
        </w:rPr>
        <w:t xml:space="preserve">. Ово право обвезник може да оствари </w:t>
      </w:r>
      <w:r w:rsidR="0010457D" w:rsidRPr="00FB5A28">
        <w:rPr>
          <w:rFonts w:ascii="Times New Roman" w:hAnsi="Times New Roman"/>
          <w:sz w:val="24"/>
          <w:szCs w:val="24"/>
        </w:rPr>
        <w:t>ако</w:t>
      </w:r>
      <w:r w:rsidR="009704A4" w:rsidRPr="00FB5A28">
        <w:rPr>
          <w:rFonts w:ascii="Times New Roman" w:hAnsi="Times New Roman"/>
          <w:sz w:val="24"/>
          <w:szCs w:val="24"/>
        </w:rPr>
        <w:t xml:space="preserve"> </w:t>
      </w:r>
      <w:r w:rsidR="0010457D" w:rsidRPr="00FB5A28">
        <w:rPr>
          <w:rFonts w:ascii="Times New Roman" w:hAnsi="Times New Roman"/>
          <w:sz w:val="24"/>
          <w:szCs w:val="24"/>
        </w:rPr>
        <w:t>има</w:t>
      </w:r>
      <w:r w:rsidR="009704A4" w:rsidRPr="00FB5A28">
        <w:rPr>
          <w:rFonts w:ascii="Times New Roman" w:hAnsi="Times New Roman"/>
          <w:sz w:val="24"/>
          <w:szCs w:val="24"/>
        </w:rPr>
        <w:t xml:space="preserve"> </w:t>
      </w:r>
      <w:r w:rsidR="0010457D" w:rsidRPr="00FB5A28">
        <w:rPr>
          <w:rFonts w:ascii="Times New Roman" w:hAnsi="Times New Roman"/>
          <w:sz w:val="24"/>
          <w:szCs w:val="24"/>
        </w:rPr>
        <w:t>доказ</w:t>
      </w:r>
      <w:r w:rsidR="009704A4" w:rsidRPr="00FB5A28">
        <w:rPr>
          <w:rFonts w:ascii="Times New Roman" w:hAnsi="Times New Roman"/>
          <w:sz w:val="24"/>
          <w:szCs w:val="24"/>
        </w:rPr>
        <w:t xml:space="preserve"> </w:t>
      </w:r>
      <w:r w:rsidR="0010457D" w:rsidRPr="00FB5A28">
        <w:rPr>
          <w:rFonts w:ascii="Times New Roman" w:hAnsi="Times New Roman"/>
          <w:sz w:val="24"/>
          <w:szCs w:val="24"/>
        </w:rPr>
        <w:t>да</w:t>
      </w:r>
      <w:r w:rsidR="009704A4" w:rsidRPr="00FB5A28">
        <w:rPr>
          <w:rFonts w:ascii="Times New Roman" w:hAnsi="Times New Roman"/>
          <w:sz w:val="24"/>
          <w:szCs w:val="24"/>
        </w:rPr>
        <w:t xml:space="preserve"> </w:t>
      </w:r>
      <w:r w:rsidR="0010457D" w:rsidRPr="00FB5A28">
        <w:rPr>
          <w:rFonts w:ascii="Times New Roman" w:hAnsi="Times New Roman"/>
          <w:sz w:val="24"/>
          <w:szCs w:val="24"/>
        </w:rPr>
        <w:t>је</w:t>
      </w:r>
      <w:r w:rsidR="009704A4" w:rsidRPr="00FB5A28">
        <w:rPr>
          <w:rFonts w:ascii="Times New Roman" w:hAnsi="Times New Roman"/>
          <w:sz w:val="24"/>
          <w:szCs w:val="24"/>
        </w:rPr>
        <w:t xml:space="preserve"> </w:t>
      </w:r>
      <w:r w:rsidR="009704A4" w:rsidRPr="00FB5A28">
        <w:rPr>
          <w:rFonts w:ascii="Times New Roman" w:hAnsi="Times New Roman"/>
          <w:sz w:val="24"/>
          <w:szCs w:val="24"/>
          <w:lang w:val="sr-Cyrl-CS"/>
        </w:rPr>
        <w:t xml:space="preserve">та </w:t>
      </w:r>
      <w:r w:rsidR="0010457D" w:rsidRPr="00FB5A28">
        <w:rPr>
          <w:rFonts w:ascii="Times New Roman" w:hAnsi="Times New Roman"/>
          <w:sz w:val="24"/>
          <w:szCs w:val="24"/>
        </w:rPr>
        <w:t>вредност</w:t>
      </w:r>
      <w:r w:rsidR="009704A4" w:rsidRPr="00FB5A28">
        <w:rPr>
          <w:rFonts w:ascii="Times New Roman" w:hAnsi="Times New Roman"/>
          <w:sz w:val="24"/>
          <w:szCs w:val="24"/>
        </w:rPr>
        <w:t xml:space="preserve">  </w:t>
      </w:r>
      <w:r w:rsidR="0010457D" w:rsidRPr="00FB5A28">
        <w:rPr>
          <w:rFonts w:ascii="Times New Roman" w:hAnsi="Times New Roman"/>
          <w:sz w:val="24"/>
          <w:szCs w:val="24"/>
        </w:rPr>
        <w:t>садржана</w:t>
      </w:r>
      <w:r w:rsidR="009704A4" w:rsidRPr="00FB5A28">
        <w:rPr>
          <w:rFonts w:ascii="Times New Roman" w:hAnsi="Times New Roman"/>
          <w:sz w:val="24"/>
          <w:szCs w:val="24"/>
        </w:rPr>
        <w:t xml:space="preserve"> </w:t>
      </w:r>
      <w:r w:rsidR="0010457D" w:rsidRPr="00FB5A28">
        <w:rPr>
          <w:rFonts w:ascii="Times New Roman" w:hAnsi="Times New Roman"/>
          <w:sz w:val="24"/>
          <w:szCs w:val="24"/>
        </w:rPr>
        <w:t>у</w:t>
      </w:r>
      <w:r w:rsidR="009704A4" w:rsidRPr="00FB5A28">
        <w:rPr>
          <w:rFonts w:ascii="Times New Roman" w:hAnsi="Times New Roman"/>
          <w:sz w:val="24"/>
          <w:szCs w:val="24"/>
        </w:rPr>
        <w:t xml:space="preserve"> </w:t>
      </w:r>
      <w:r w:rsidR="0010457D" w:rsidRPr="00FB5A28">
        <w:rPr>
          <w:rFonts w:ascii="Times New Roman" w:hAnsi="Times New Roman"/>
          <w:sz w:val="24"/>
          <w:szCs w:val="24"/>
        </w:rPr>
        <w:t>основици</w:t>
      </w:r>
      <w:r w:rsidR="009704A4" w:rsidRPr="00FB5A28">
        <w:rPr>
          <w:rFonts w:ascii="Times New Roman" w:hAnsi="Times New Roman"/>
          <w:sz w:val="24"/>
          <w:szCs w:val="24"/>
        </w:rPr>
        <w:t xml:space="preserve"> </w:t>
      </w:r>
      <w:r w:rsidR="0010457D" w:rsidRPr="00FB5A28">
        <w:rPr>
          <w:rFonts w:ascii="Times New Roman" w:hAnsi="Times New Roman"/>
          <w:sz w:val="24"/>
          <w:szCs w:val="24"/>
        </w:rPr>
        <w:t>за</w:t>
      </w:r>
      <w:r w:rsidR="009704A4" w:rsidRPr="00FB5A28">
        <w:rPr>
          <w:rFonts w:ascii="Times New Roman" w:hAnsi="Times New Roman"/>
          <w:sz w:val="24"/>
          <w:szCs w:val="24"/>
        </w:rPr>
        <w:t xml:space="preserve"> </w:t>
      </w:r>
      <w:r w:rsidR="0010457D" w:rsidRPr="00FB5A28">
        <w:rPr>
          <w:rFonts w:ascii="Times New Roman" w:hAnsi="Times New Roman"/>
          <w:sz w:val="24"/>
          <w:szCs w:val="24"/>
        </w:rPr>
        <w:t>обрачун</w:t>
      </w:r>
      <w:r w:rsidR="009704A4" w:rsidRPr="00FB5A28">
        <w:rPr>
          <w:rFonts w:ascii="Times New Roman" w:hAnsi="Times New Roman"/>
          <w:sz w:val="24"/>
          <w:szCs w:val="24"/>
        </w:rPr>
        <w:t xml:space="preserve"> </w:t>
      </w:r>
      <w:r w:rsidR="0010457D" w:rsidRPr="00FB5A28">
        <w:rPr>
          <w:rFonts w:ascii="Times New Roman" w:hAnsi="Times New Roman"/>
          <w:sz w:val="24"/>
          <w:szCs w:val="24"/>
        </w:rPr>
        <w:t>ПДВ</w:t>
      </w:r>
      <w:r w:rsidR="009704A4" w:rsidRPr="00FB5A28">
        <w:rPr>
          <w:rFonts w:ascii="Times New Roman" w:hAnsi="Times New Roman"/>
          <w:sz w:val="24"/>
          <w:szCs w:val="24"/>
        </w:rPr>
        <w:t xml:space="preserve"> </w:t>
      </w:r>
      <w:r w:rsidR="0010457D" w:rsidRPr="00FB5A28">
        <w:rPr>
          <w:rFonts w:ascii="Times New Roman" w:hAnsi="Times New Roman"/>
          <w:sz w:val="24"/>
          <w:szCs w:val="24"/>
        </w:rPr>
        <w:t>при</w:t>
      </w:r>
      <w:r w:rsidR="009704A4" w:rsidRPr="00FB5A28">
        <w:rPr>
          <w:rFonts w:ascii="Times New Roman" w:hAnsi="Times New Roman"/>
          <w:sz w:val="24"/>
          <w:szCs w:val="24"/>
        </w:rPr>
        <w:t xml:space="preserve"> </w:t>
      </w:r>
      <w:r w:rsidR="0010457D" w:rsidRPr="00FB5A28">
        <w:rPr>
          <w:rFonts w:ascii="Times New Roman" w:hAnsi="Times New Roman"/>
          <w:sz w:val="24"/>
          <w:szCs w:val="24"/>
        </w:rPr>
        <w:t>увозу</w:t>
      </w:r>
      <w:r w:rsidR="009704A4" w:rsidRPr="00FB5A28">
        <w:rPr>
          <w:rFonts w:ascii="Times New Roman" w:hAnsi="Times New Roman"/>
          <w:sz w:val="24"/>
          <w:szCs w:val="24"/>
        </w:rPr>
        <w:t xml:space="preserve"> </w:t>
      </w:r>
      <w:r w:rsidR="0010457D" w:rsidRPr="00FB5A28">
        <w:rPr>
          <w:rFonts w:ascii="Times New Roman" w:hAnsi="Times New Roman"/>
          <w:sz w:val="24"/>
          <w:szCs w:val="24"/>
        </w:rPr>
        <w:t>добара</w:t>
      </w:r>
      <w:r w:rsidR="009704A4" w:rsidRPr="00FB5A28">
        <w:rPr>
          <w:rFonts w:ascii="Times New Roman" w:hAnsi="Times New Roman"/>
          <w:sz w:val="24"/>
          <w:szCs w:val="24"/>
        </w:rPr>
        <w:t>.</w:t>
      </w:r>
      <w:r w:rsidR="009704A4" w:rsidRPr="00FB5A28">
        <w:rPr>
          <w:rFonts w:ascii="Times New Roman" w:hAnsi="Times New Roman"/>
          <w:sz w:val="24"/>
          <w:szCs w:val="24"/>
          <w:lang w:val="sr-Cyrl-CS"/>
        </w:rPr>
        <w:t xml:space="preserve"> </w:t>
      </w:r>
      <w:r w:rsidR="0010457D" w:rsidRPr="00FB5A28">
        <w:rPr>
          <w:rFonts w:ascii="Times New Roman" w:hAnsi="Times New Roman"/>
          <w:sz w:val="24"/>
          <w:szCs w:val="24"/>
        </w:rPr>
        <w:t>Ако</w:t>
      </w:r>
      <w:r w:rsidR="009704A4" w:rsidRPr="00FB5A28">
        <w:rPr>
          <w:rFonts w:ascii="Times New Roman" w:hAnsi="Times New Roman"/>
          <w:sz w:val="24"/>
          <w:szCs w:val="24"/>
        </w:rPr>
        <w:t xml:space="preserve"> </w:t>
      </w:r>
      <w:r w:rsidR="0010457D" w:rsidRPr="00FB5A28">
        <w:rPr>
          <w:rFonts w:ascii="Times New Roman" w:hAnsi="Times New Roman"/>
          <w:sz w:val="24"/>
          <w:szCs w:val="24"/>
        </w:rPr>
        <w:t>је</w:t>
      </w:r>
      <w:r w:rsidR="009704A4" w:rsidRPr="00FB5A28">
        <w:rPr>
          <w:rFonts w:ascii="Times New Roman" w:hAnsi="Times New Roman"/>
          <w:sz w:val="24"/>
          <w:szCs w:val="24"/>
        </w:rPr>
        <w:t xml:space="preserve"> </w:t>
      </w:r>
      <w:r w:rsidR="0010457D" w:rsidRPr="00FB5A28">
        <w:rPr>
          <w:rFonts w:ascii="Times New Roman" w:hAnsi="Times New Roman"/>
          <w:sz w:val="24"/>
          <w:szCs w:val="24"/>
        </w:rPr>
        <w:t>накнада</w:t>
      </w:r>
      <w:r w:rsidR="009704A4" w:rsidRPr="00FB5A28">
        <w:rPr>
          <w:rFonts w:ascii="Times New Roman" w:hAnsi="Times New Roman"/>
          <w:sz w:val="24"/>
          <w:szCs w:val="24"/>
        </w:rPr>
        <w:t xml:space="preserve">, </w:t>
      </w:r>
      <w:r w:rsidR="0010457D" w:rsidRPr="00FB5A28">
        <w:rPr>
          <w:rFonts w:ascii="Times New Roman" w:hAnsi="Times New Roman"/>
          <w:sz w:val="24"/>
          <w:szCs w:val="24"/>
        </w:rPr>
        <w:t>односно</w:t>
      </w:r>
      <w:r w:rsidR="009704A4" w:rsidRPr="00FB5A28">
        <w:rPr>
          <w:rFonts w:ascii="Times New Roman" w:hAnsi="Times New Roman"/>
          <w:sz w:val="24"/>
          <w:szCs w:val="24"/>
        </w:rPr>
        <w:t xml:space="preserve"> </w:t>
      </w:r>
      <w:r w:rsidR="0010457D" w:rsidRPr="00FB5A28">
        <w:rPr>
          <w:rFonts w:ascii="Times New Roman" w:hAnsi="Times New Roman"/>
          <w:sz w:val="24"/>
          <w:szCs w:val="24"/>
        </w:rPr>
        <w:t>део</w:t>
      </w:r>
      <w:r w:rsidR="009704A4" w:rsidRPr="00FB5A28">
        <w:rPr>
          <w:rFonts w:ascii="Times New Roman" w:hAnsi="Times New Roman"/>
          <w:sz w:val="24"/>
          <w:szCs w:val="24"/>
        </w:rPr>
        <w:t xml:space="preserve"> </w:t>
      </w:r>
      <w:r w:rsidR="0010457D" w:rsidRPr="00FB5A28">
        <w:rPr>
          <w:rFonts w:ascii="Times New Roman" w:hAnsi="Times New Roman"/>
          <w:sz w:val="24"/>
          <w:szCs w:val="24"/>
        </w:rPr>
        <w:t>накнаде</w:t>
      </w:r>
      <w:r w:rsidR="009704A4" w:rsidRPr="00FB5A28">
        <w:rPr>
          <w:rFonts w:ascii="Times New Roman" w:hAnsi="Times New Roman"/>
          <w:sz w:val="24"/>
          <w:szCs w:val="24"/>
        </w:rPr>
        <w:t xml:space="preserve"> </w:t>
      </w:r>
      <w:r w:rsidR="0010457D" w:rsidRPr="00FB5A28">
        <w:rPr>
          <w:rFonts w:ascii="Times New Roman" w:hAnsi="Times New Roman"/>
          <w:sz w:val="24"/>
          <w:szCs w:val="24"/>
        </w:rPr>
        <w:t>наплаћен</w:t>
      </w:r>
      <w:r w:rsidR="009704A4" w:rsidRPr="00FB5A28">
        <w:rPr>
          <w:rFonts w:ascii="Times New Roman" w:hAnsi="Times New Roman"/>
          <w:sz w:val="24"/>
          <w:szCs w:val="24"/>
        </w:rPr>
        <w:t xml:space="preserve"> </w:t>
      </w:r>
      <w:r w:rsidR="0010457D" w:rsidRPr="00FB5A28">
        <w:rPr>
          <w:rFonts w:ascii="Times New Roman" w:hAnsi="Times New Roman"/>
          <w:sz w:val="24"/>
          <w:szCs w:val="24"/>
        </w:rPr>
        <w:t>пре</w:t>
      </w:r>
      <w:r w:rsidR="009704A4" w:rsidRPr="00FB5A28">
        <w:rPr>
          <w:rFonts w:ascii="Times New Roman" w:hAnsi="Times New Roman"/>
          <w:sz w:val="24"/>
          <w:szCs w:val="24"/>
        </w:rPr>
        <w:t xml:space="preserve"> </w:t>
      </w:r>
      <w:r w:rsidR="0010457D" w:rsidRPr="00FB5A28">
        <w:rPr>
          <w:rFonts w:ascii="Times New Roman" w:hAnsi="Times New Roman"/>
          <w:sz w:val="24"/>
          <w:szCs w:val="24"/>
        </w:rPr>
        <w:t>извршеног</w:t>
      </w:r>
      <w:r w:rsidR="009704A4" w:rsidRPr="00FB5A28">
        <w:rPr>
          <w:rFonts w:ascii="Times New Roman" w:hAnsi="Times New Roman"/>
          <w:sz w:val="24"/>
          <w:szCs w:val="24"/>
        </w:rPr>
        <w:t xml:space="preserve"> </w:t>
      </w:r>
      <w:r w:rsidR="0010457D" w:rsidRPr="00FB5A28">
        <w:rPr>
          <w:rFonts w:ascii="Times New Roman" w:hAnsi="Times New Roman"/>
          <w:sz w:val="24"/>
          <w:szCs w:val="24"/>
        </w:rPr>
        <w:t>промета</w:t>
      </w:r>
      <w:r w:rsidR="009704A4" w:rsidRPr="00FB5A28">
        <w:rPr>
          <w:rFonts w:ascii="Times New Roman" w:hAnsi="Times New Roman"/>
          <w:sz w:val="24"/>
          <w:szCs w:val="24"/>
        </w:rPr>
        <w:t xml:space="preserve"> </w:t>
      </w:r>
      <w:r w:rsidR="0010457D" w:rsidRPr="00FB5A28">
        <w:rPr>
          <w:rFonts w:ascii="Times New Roman" w:hAnsi="Times New Roman"/>
          <w:sz w:val="24"/>
          <w:szCs w:val="24"/>
        </w:rPr>
        <w:t>услуга</w:t>
      </w:r>
      <w:r w:rsidR="009704A4" w:rsidRPr="00FB5A28">
        <w:rPr>
          <w:rFonts w:ascii="Times New Roman" w:hAnsi="Times New Roman"/>
          <w:sz w:val="24"/>
          <w:szCs w:val="24"/>
        </w:rPr>
        <w:t xml:space="preserve">, </w:t>
      </w:r>
      <w:r w:rsidR="0010457D" w:rsidRPr="00FB5A28">
        <w:rPr>
          <w:rFonts w:ascii="Times New Roman" w:hAnsi="Times New Roman"/>
          <w:sz w:val="24"/>
          <w:szCs w:val="24"/>
        </w:rPr>
        <w:t>обвезник</w:t>
      </w:r>
      <w:r w:rsidR="009704A4" w:rsidRPr="00FB5A28">
        <w:rPr>
          <w:rFonts w:ascii="Times New Roman" w:hAnsi="Times New Roman"/>
          <w:sz w:val="24"/>
          <w:szCs w:val="24"/>
        </w:rPr>
        <w:t xml:space="preserve"> </w:t>
      </w:r>
      <w:r w:rsidR="0010457D" w:rsidRPr="00FB5A28">
        <w:rPr>
          <w:rFonts w:ascii="Times New Roman" w:hAnsi="Times New Roman"/>
          <w:sz w:val="24"/>
          <w:szCs w:val="24"/>
        </w:rPr>
        <w:t>може</w:t>
      </w:r>
      <w:r w:rsidR="009704A4" w:rsidRPr="00FB5A28">
        <w:rPr>
          <w:rFonts w:ascii="Times New Roman" w:hAnsi="Times New Roman"/>
          <w:sz w:val="24"/>
          <w:szCs w:val="24"/>
        </w:rPr>
        <w:t xml:space="preserve"> </w:t>
      </w:r>
      <w:r w:rsidR="0010457D" w:rsidRPr="00FB5A28">
        <w:rPr>
          <w:rFonts w:ascii="Times New Roman" w:hAnsi="Times New Roman"/>
          <w:sz w:val="24"/>
          <w:szCs w:val="24"/>
        </w:rPr>
        <w:t>да</w:t>
      </w:r>
      <w:r w:rsidR="009704A4" w:rsidRPr="00FB5A28">
        <w:rPr>
          <w:rFonts w:ascii="Times New Roman" w:hAnsi="Times New Roman"/>
          <w:sz w:val="24"/>
          <w:szCs w:val="24"/>
        </w:rPr>
        <w:t xml:space="preserve"> </w:t>
      </w:r>
      <w:r w:rsidR="0010457D" w:rsidRPr="00FB5A28">
        <w:rPr>
          <w:rFonts w:ascii="Times New Roman" w:hAnsi="Times New Roman"/>
          <w:sz w:val="24"/>
          <w:szCs w:val="24"/>
        </w:rPr>
        <w:t>оствари</w:t>
      </w:r>
      <w:r w:rsidR="009704A4" w:rsidRPr="00FB5A28">
        <w:rPr>
          <w:rFonts w:ascii="Times New Roman" w:hAnsi="Times New Roman"/>
          <w:sz w:val="24"/>
          <w:szCs w:val="24"/>
        </w:rPr>
        <w:t xml:space="preserve"> </w:t>
      </w:r>
      <w:r w:rsidR="0010457D" w:rsidRPr="00FB5A28">
        <w:rPr>
          <w:rFonts w:ascii="Times New Roman" w:hAnsi="Times New Roman"/>
          <w:sz w:val="24"/>
          <w:szCs w:val="24"/>
        </w:rPr>
        <w:t>пореско</w:t>
      </w:r>
      <w:r w:rsidR="009704A4" w:rsidRPr="00FB5A28">
        <w:rPr>
          <w:rFonts w:ascii="Times New Roman" w:hAnsi="Times New Roman"/>
          <w:sz w:val="24"/>
          <w:szCs w:val="24"/>
        </w:rPr>
        <w:t xml:space="preserve"> </w:t>
      </w:r>
      <w:r w:rsidR="0010457D" w:rsidRPr="00FB5A28">
        <w:rPr>
          <w:rFonts w:ascii="Times New Roman" w:hAnsi="Times New Roman"/>
          <w:sz w:val="24"/>
          <w:szCs w:val="24"/>
        </w:rPr>
        <w:t>ослобођење</w:t>
      </w:r>
      <w:r w:rsidR="009704A4" w:rsidRPr="00FB5A28">
        <w:rPr>
          <w:rFonts w:ascii="Times New Roman" w:hAnsi="Times New Roman"/>
          <w:sz w:val="24"/>
          <w:szCs w:val="24"/>
        </w:rPr>
        <w:t xml:space="preserve"> </w:t>
      </w:r>
      <w:r w:rsidR="0010457D" w:rsidRPr="00FB5A28">
        <w:rPr>
          <w:rFonts w:ascii="Times New Roman" w:hAnsi="Times New Roman"/>
          <w:sz w:val="24"/>
          <w:szCs w:val="24"/>
        </w:rPr>
        <w:t>ако</w:t>
      </w:r>
      <w:r w:rsidR="009704A4" w:rsidRPr="00FB5A28">
        <w:rPr>
          <w:rFonts w:ascii="Times New Roman" w:hAnsi="Times New Roman"/>
          <w:sz w:val="24"/>
          <w:szCs w:val="24"/>
        </w:rPr>
        <w:t xml:space="preserve"> </w:t>
      </w:r>
      <w:r w:rsidR="0010457D" w:rsidRPr="00FB5A28">
        <w:rPr>
          <w:rFonts w:ascii="Times New Roman" w:hAnsi="Times New Roman"/>
          <w:sz w:val="24"/>
          <w:szCs w:val="24"/>
        </w:rPr>
        <w:t>поседује</w:t>
      </w:r>
      <w:r w:rsidR="009704A4" w:rsidRPr="00FB5A28">
        <w:rPr>
          <w:rFonts w:ascii="Times New Roman" w:hAnsi="Times New Roman"/>
          <w:sz w:val="24"/>
          <w:szCs w:val="24"/>
        </w:rPr>
        <w:t xml:space="preserve"> </w:t>
      </w:r>
      <w:r w:rsidR="0010457D" w:rsidRPr="00FB5A28">
        <w:rPr>
          <w:rFonts w:ascii="Times New Roman" w:hAnsi="Times New Roman"/>
          <w:sz w:val="24"/>
          <w:szCs w:val="24"/>
        </w:rPr>
        <w:t>рачун</w:t>
      </w:r>
      <w:r w:rsidR="009704A4" w:rsidRPr="00FB5A28">
        <w:rPr>
          <w:rFonts w:ascii="Times New Roman" w:hAnsi="Times New Roman"/>
          <w:sz w:val="24"/>
          <w:szCs w:val="24"/>
        </w:rPr>
        <w:t xml:space="preserve"> </w:t>
      </w:r>
      <w:r w:rsidR="0010457D" w:rsidRPr="00FB5A28">
        <w:rPr>
          <w:rFonts w:ascii="Times New Roman" w:hAnsi="Times New Roman"/>
          <w:sz w:val="24"/>
          <w:szCs w:val="24"/>
        </w:rPr>
        <w:t>о</w:t>
      </w:r>
      <w:r w:rsidR="009704A4" w:rsidRPr="00FB5A28">
        <w:rPr>
          <w:rFonts w:ascii="Times New Roman" w:hAnsi="Times New Roman"/>
          <w:sz w:val="24"/>
          <w:szCs w:val="24"/>
        </w:rPr>
        <w:t xml:space="preserve"> </w:t>
      </w:r>
      <w:r w:rsidR="0010457D" w:rsidRPr="00FB5A28">
        <w:rPr>
          <w:rFonts w:ascii="Times New Roman" w:hAnsi="Times New Roman"/>
          <w:sz w:val="24"/>
          <w:szCs w:val="24"/>
        </w:rPr>
        <w:t>авансном</w:t>
      </w:r>
      <w:r w:rsidR="009704A4" w:rsidRPr="00FB5A28">
        <w:rPr>
          <w:rFonts w:ascii="Times New Roman" w:hAnsi="Times New Roman"/>
          <w:sz w:val="24"/>
          <w:szCs w:val="24"/>
        </w:rPr>
        <w:t xml:space="preserve"> </w:t>
      </w:r>
      <w:r w:rsidR="0010457D" w:rsidRPr="00FB5A28">
        <w:rPr>
          <w:rFonts w:ascii="Times New Roman" w:hAnsi="Times New Roman"/>
          <w:sz w:val="24"/>
          <w:szCs w:val="24"/>
        </w:rPr>
        <w:t>плаћању</w:t>
      </w:r>
      <w:r w:rsidR="009704A4" w:rsidRPr="00FB5A28">
        <w:rPr>
          <w:rFonts w:ascii="Times New Roman" w:hAnsi="Times New Roman"/>
          <w:sz w:val="24"/>
          <w:szCs w:val="24"/>
        </w:rPr>
        <w:t xml:space="preserve">, </w:t>
      </w:r>
      <w:r w:rsidR="0010457D" w:rsidRPr="00FB5A28">
        <w:rPr>
          <w:rFonts w:ascii="Times New Roman" w:hAnsi="Times New Roman"/>
          <w:sz w:val="24"/>
          <w:szCs w:val="24"/>
        </w:rPr>
        <w:t>издат</w:t>
      </w:r>
      <w:r w:rsidR="009704A4" w:rsidRPr="00FB5A28">
        <w:rPr>
          <w:rFonts w:ascii="Times New Roman" w:hAnsi="Times New Roman"/>
          <w:sz w:val="24"/>
          <w:szCs w:val="24"/>
        </w:rPr>
        <w:t xml:space="preserve"> </w:t>
      </w:r>
      <w:r w:rsidR="0010457D" w:rsidRPr="00FB5A28">
        <w:rPr>
          <w:rFonts w:ascii="Times New Roman" w:hAnsi="Times New Roman"/>
          <w:sz w:val="24"/>
          <w:szCs w:val="24"/>
        </w:rPr>
        <w:t>у</w:t>
      </w:r>
      <w:r w:rsidR="009704A4" w:rsidRPr="00FB5A28">
        <w:rPr>
          <w:rFonts w:ascii="Times New Roman" w:hAnsi="Times New Roman"/>
          <w:sz w:val="24"/>
          <w:szCs w:val="24"/>
        </w:rPr>
        <w:t xml:space="preserve"> </w:t>
      </w:r>
      <w:r w:rsidR="0010457D" w:rsidRPr="00FB5A28">
        <w:rPr>
          <w:rFonts w:ascii="Times New Roman" w:hAnsi="Times New Roman"/>
          <w:sz w:val="24"/>
          <w:szCs w:val="24"/>
        </w:rPr>
        <w:t>складу</w:t>
      </w:r>
      <w:r w:rsidR="009704A4" w:rsidRPr="00FB5A28">
        <w:rPr>
          <w:rFonts w:ascii="Times New Roman" w:hAnsi="Times New Roman"/>
          <w:sz w:val="24"/>
          <w:szCs w:val="24"/>
        </w:rPr>
        <w:t xml:space="preserve"> </w:t>
      </w:r>
      <w:r w:rsidR="0010457D" w:rsidRPr="00FB5A28">
        <w:rPr>
          <w:rFonts w:ascii="Times New Roman" w:hAnsi="Times New Roman"/>
          <w:sz w:val="24"/>
          <w:szCs w:val="24"/>
        </w:rPr>
        <w:t>са</w:t>
      </w:r>
      <w:r w:rsidR="009704A4" w:rsidRPr="00FB5A28">
        <w:rPr>
          <w:rFonts w:ascii="Times New Roman" w:hAnsi="Times New Roman"/>
          <w:sz w:val="24"/>
          <w:szCs w:val="24"/>
        </w:rPr>
        <w:t xml:space="preserve"> </w:t>
      </w:r>
      <w:r w:rsidR="0010457D" w:rsidRPr="00FB5A28">
        <w:rPr>
          <w:rFonts w:ascii="Times New Roman" w:hAnsi="Times New Roman"/>
          <w:sz w:val="24"/>
          <w:szCs w:val="24"/>
        </w:rPr>
        <w:t>Законом</w:t>
      </w:r>
      <w:r w:rsidR="009704A4" w:rsidRPr="00FB5A28">
        <w:rPr>
          <w:rFonts w:ascii="Times New Roman" w:hAnsi="Times New Roman"/>
          <w:sz w:val="24"/>
          <w:szCs w:val="24"/>
          <w:lang w:val="sr-Cyrl-CS"/>
        </w:rPr>
        <w:t>.</w:t>
      </w:r>
    </w:p>
    <w:p w:rsidR="00AA7EB9" w:rsidRPr="00FB5A28" w:rsidRDefault="003B24F4" w:rsidP="00FB5A28">
      <w:pPr>
        <w:jc w:val="both"/>
        <w:rPr>
          <w:rFonts w:ascii="Times New Roman" w:hAnsi="Times New Roman"/>
          <w:sz w:val="24"/>
          <w:szCs w:val="24"/>
          <w:lang w:val="sr-Cyrl-CS"/>
        </w:rPr>
      </w:pPr>
      <w:r w:rsidRPr="00FB5A28">
        <w:rPr>
          <w:rFonts w:ascii="Times New Roman" w:hAnsi="Times New Roman"/>
          <w:sz w:val="24"/>
          <w:szCs w:val="24"/>
        </w:rPr>
        <w:t xml:space="preserve">2) </w:t>
      </w:r>
      <w:r w:rsidR="009704A4" w:rsidRPr="00FB5A28">
        <w:rPr>
          <w:rFonts w:ascii="Times New Roman" w:hAnsi="Times New Roman"/>
          <w:sz w:val="24"/>
          <w:szCs w:val="24"/>
          <w:lang w:val="sr-Cyrl-CS"/>
        </w:rPr>
        <w:t>П</w:t>
      </w:r>
      <w:r w:rsidR="0010457D" w:rsidRPr="00FB5A28">
        <w:rPr>
          <w:rFonts w:ascii="Times New Roman" w:hAnsi="Times New Roman"/>
          <w:sz w:val="24"/>
          <w:szCs w:val="24"/>
        </w:rPr>
        <w:t>ромет</w:t>
      </w:r>
      <w:r w:rsidRPr="00FB5A28">
        <w:rPr>
          <w:rFonts w:ascii="Times New Roman" w:hAnsi="Times New Roman"/>
          <w:sz w:val="24"/>
          <w:szCs w:val="24"/>
        </w:rPr>
        <w:t xml:space="preserve"> </w:t>
      </w:r>
      <w:r w:rsidR="0010457D" w:rsidRPr="00FB5A28">
        <w:rPr>
          <w:rFonts w:ascii="Times New Roman" w:hAnsi="Times New Roman"/>
          <w:sz w:val="24"/>
          <w:szCs w:val="24"/>
        </w:rPr>
        <w:t>добара</w:t>
      </w:r>
      <w:r w:rsidRPr="00FB5A28">
        <w:rPr>
          <w:rFonts w:ascii="Times New Roman" w:hAnsi="Times New Roman"/>
          <w:sz w:val="24"/>
          <w:szCs w:val="24"/>
        </w:rPr>
        <w:t xml:space="preserve"> </w:t>
      </w:r>
      <w:r w:rsidR="0010457D" w:rsidRPr="00FB5A28">
        <w:rPr>
          <w:rFonts w:ascii="Times New Roman" w:hAnsi="Times New Roman"/>
          <w:sz w:val="24"/>
          <w:szCs w:val="24"/>
        </w:rPr>
        <w:t>која</w:t>
      </w:r>
      <w:r w:rsidRPr="00FB5A28">
        <w:rPr>
          <w:rFonts w:ascii="Times New Roman" w:hAnsi="Times New Roman"/>
          <w:sz w:val="24"/>
          <w:szCs w:val="24"/>
        </w:rPr>
        <w:t xml:space="preserve"> </w:t>
      </w:r>
      <w:r w:rsidR="0010457D" w:rsidRPr="00FB5A28">
        <w:rPr>
          <w:rFonts w:ascii="Times New Roman" w:hAnsi="Times New Roman"/>
          <w:sz w:val="24"/>
          <w:szCs w:val="24"/>
        </w:rPr>
        <w:t>обвезник</w:t>
      </w:r>
      <w:r w:rsidRPr="00FB5A28">
        <w:rPr>
          <w:rFonts w:ascii="Times New Roman" w:hAnsi="Times New Roman"/>
          <w:sz w:val="24"/>
          <w:szCs w:val="24"/>
        </w:rPr>
        <w:t xml:space="preserve"> </w:t>
      </w:r>
      <w:r w:rsidR="0010457D" w:rsidRPr="00FB5A28">
        <w:rPr>
          <w:rFonts w:ascii="Times New Roman" w:hAnsi="Times New Roman"/>
          <w:sz w:val="24"/>
          <w:szCs w:val="24"/>
        </w:rPr>
        <w:t>или</w:t>
      </w:r>
      <w:r w:rsidRPr="00FB5A28">
        <w:rPr>
          <w:rFonts w:ascii="Times New Roman" w:hAnsi="Times New Roman"/>
          <w:sz w:val="24"/>
          <w:szCs w:val="24"/>
        </w:rPr>
        <w:t xml:space="preserve"> </w:t>
      </w:r>
      <w:r w:rsidR="0010457D" w:rsidRPr="00FB5A28">
        <w:rPr>
          <w:rFonts w:ascii="Times New Roman" w:hAnsi="Times New Roman"/>
          <w:sz w:val="24"/>
          <w:szCs w:val="24"/>
        </w:rPr>
        <w:t>треће</w:t>
      </w:r>
      <w:r w:rsidRPr="00FB5A28">
        <w:rPr>
          <w:rFonts w:ascii="Times New Roman" w:hAnsi="Times New Roman"/>
          <w:sz w:val="24"/>
          <w:szCs w:val="24"/>
        </w:rPr>
        <w:t xml:space="preserve"> </w:t>
      </w:r>
      <w:r w:rsidR="0010457D" w:rsidRPr="00FB5A28">
        <w:rPr>
          <w:rFonts w:ascii="Times New Roman" w:hAnsi="Times New Roman"/>
          <w:sz w:val="24"/>
          <w:szCs w:val="24"/>
        </w:rPr>
        <w:t>лице</w:t>
      </w:r>
      <w:r w:rsidRPr="00FB5A28">
        <w:rPr>
          <w:rFonts w:ascii="Times New Roman" w:hAnsi="Times New Roman"/>
          <w:sz w:val="24"/>
          <w:szCs w:val="24"/>
        </w:rPr>
        <w:t xml:space="preserve">, </w:t>
      </w:r>
      <w:r w:rsidR="0010457D" w:rsidRPr="00FB5A28">
        <w:rPr>
          <w:rFonts w:ascii="Times New Roman" w:hAnsi="Times New Roman"/>
          <w:sz w:val="24"/>
          <w:szCs w:val="24"/>
        </w:rPr>
        <w:t>по</w:t>
      </w:r>
      <w:r w:rsidRPr="00FB5A28">
        <w:rPr>
          <w:rFonts w:ascii="Times New Roman" w:hAnsi="Times New Roman"/>
          <w:sz w:val="24"/>
          <w:szCs w:val="24"/>
        </w:rPr>
        <w:t xml:space="preserve"> </w:t>
      </w:r>
      <w:r w:rsidR="0010457D" w:rsidRPr="00FB5A28">
        <w:rPr>
          <w:rFonts w:ascii="Times New Roman" w:hAnsi="Times New Roman"/>
          <w:sz w:val="24"/>
          <w:szCs w:val="24"/>
        </w:rPr>
        <w:t>његовом</w:t>
      </w:r>
      <w:r w:rsidRPr="00FB5A28">
        <w:rPr>
          <w:rFonts w:ascii="Times New Roman" w:hAnsi="Times New Roman"/>
          <w:sz w:val="24"/>
          <w:szCs w:val="24"/>
        </w:rPr>
        <w:t xml:space="preserve"> </w:t>
      </w:r>
      <w:r w:rsidR="0010457D" w:rsidRPr="00FB5A28">
        <w:rPr>
          <w:rFonts w:ascii="Times New Roman" w:hAnsi="Times New Roman"/>
          <w:sz w:val="24"/>
          <w:szCs w:val="24"/>
        </w:rPr>
        <w:t>налогу</w:t>
      </w:r>
      <w:r w:rsidRPr="00FB5A28">
        <w:rPr>
          <w:rFonts w:ascii="Times New Roman" w:hAnsi="Times New Roman"/>
          <w:sz w:val="24"/>
          <w:szCs w:val="24"/>
        </w:rPr>
        <w:t xml:space="preserve">, </w:t>
      </w:r>
      <w:r w:rsidR="0010457D" w:rsidRPr="00FB5A28">
        <w:rPr>
          <w:rFonts w:ascii="Times New Roman" w:hAnsi="Times New Roman"/>
          <w:sz w:val="24"/>
          <w:szCs w:val="24"/>
        </w:rPr>
        <w:t>шаље</w:t>
      </w:r>
      <w:r w:rsidR="009704A4" w:rsidRPr="00FB5A28">
        <w:rPr>
          <w:rFonts w:ascii="Times New Roman" w:hAnsi="Times New Roman"/>
          <w:sz w:val="24"/>
          <w:szCs w:val="24"/>
        </w:rPr>
        <w:t xml:space="preserve"> </w:t>
      </w:r>
      <w:r w:rsidR="0010457D" w:rsidRPr="00FB5A28">
        <w:rPr>
          <w:rFonts w:ascii="Times New Roman" w:hAnsi="Times New Roman"/>
          <w:sz w:val="24"/>
          <w:szCs w:val="24"/>
        </w:rPr>
        <w:t>или</w:t>
      </w:r>
      <w:r w:rsidR="009704A4" w:rsidRPr="00FB5A28">
        <w:rPr>
          <w:rFonts w:ascii="Times New Roman" w:hAnsi="Times New Roman"/>
          <w:sz w:val="24"/>
          <w:szCs w:val="24"/>
        </w:rPr>
        <w:t xml:space="preserve"> </w:t>
      </w:r>
      <w:r w:rsidR="0010457D" w:rsidRPr="00FB5A28">
        <w:rPr>
          <w:rFonts w:ascii="Times New Roman" w:hAnsi="Times New Roman"/>
          <w:sz w:val="24"/>
          <w:szCs w:val="24"/>
        </w:rPr>
        <w:t>отпрема</w:t>
      </w:r>
      <w:r w:rsidR="009704A4" w:rsidRPr="00FB5A28">
        <w:rPr>
          <w:rFonts w:ascii="Times New Roman" w:hAnsi="Times New Roman"/>
          <w:sz w:val="24"/>
          <w:szCs w:val="24"/>
        </w:rPr>
        <w:t xml:space="preserve"> </w:t>
      </w:r>
      <w:r w:rsidR="0010457D" w:rsidRPr="00FB5A28">
        <w:rPr>
          <w:rFonts w:ascii="Times New Roman" w:hAnsi="Times New Roman"/>
          <w:sz w:val="24"/>
          <w:szCs w:val="24"/>
        </w:rPr>
        <w:t>у</w:t>
      </w:r>
      <w:r w:rsidR="009704A4" w:rsidRPr="00FB5A28">
        <w:rPr>
          <w:rFonts w:ascii="Times New Roman" w:hAnsi="Times New Roman"/>
          <w:sz w:val="24"/>
          <w:szCs w:val="24"/>
        </w:rPr>
        <w:t xml:space="preserve"> </w:t>
      </w:r>
      <w:r w:rsidR="0010457D" w:rsidRPr="00FB5A28">
        <w:rPr>
          <w:rFonts w:ascii="Times New Roman" w:hAnsi="Times New Roman"/>
          <w:sz w:val="24"/>
          <w:szCs w:val="24"/>
        </w:rPr>
        <w:t>иностранство</w:t>
      </w:r>
      <w:r w:rsidR="009704A4" w:rsidRPr="00FB5A28">
        <w:rPr>
          <w:rFonts w:ascii="Times New Roman" w:hAnsi="Times New Roman"/>
          <w:sz w:val="24"/>
          <w:szCs w:val="24"/>
          <w:lang w:val="sr-Cyrl-CS"/>
        </w:rPr>
        <w:t>.</w:t>
      </w:r>
    </w:p>
    <w:p w:rsidR="00AA7EB9" w:rsidRPr="00FB5A28" w:rsidRDefault="009704A4" w:rsidP="00FB5A28">
      <w:pPr>
        <w:jc w:val="both"/>
        <w:rPr>
          <w:rFonts w:ascii="Times New Roman" w:hAnsi="Times New Roman"/>
          <w:sz w:val="24"/>
          <w:szCs w:val="24"/>
          <w:lang w:val="sr-Cyrl-CS"/>
        </w:rPr>
      </w:pPr>
      <w:r w:rsidRPr="00FB5A28">
        <w:rPr>
          <w:rFonts w:ascii="Times New Roman" w:hAnsi="Times New Roman"/>
          <w:sz w:val="24"/>
          <w:szCs w:val="24"/>
        </w:rPr>
        <w:t xml:space="preserve">3) </w:t>
      </w:r>
      <w:r w:rsidRPr="00FB5A28">
        <w:rPr>
          <w:rFonts w:ascii="Times New Roman" w:hAnsi="Times New Roman"/>
          <w:sz w:val="24"/>
          <w:szCs w:val="24"/>
          <w:lang w:val="sr-Cyrl-CS"/>
        </w:rPr>
        <w:t>П</w:t>
      </w:r>
      <w:r w:rsidR="0010457D" w:rsidRPr="00FB5A28">
        <w:rPr>
          <w:rFonts w:ascii="Times New Roman" w:hAnsi="Times New Roman"/>
          <w:sz w:val="24"/>
          <w:szCs w:val="24"/>
        </w:rPr>
        <w:t>ромет</w:t>
      </w:r>
      <w:r w:rsidR="003B24F4" w:rsidRPr="00FB5A28">
        <w:rPr>
          <w:rFonts w:ascii="Times New Roman" w:hAnsi="Times New Roman"/>
          <w:sz w:val="24"/>
          <w:szCs w:val="24"/>
        </w:rPr>
        <w:t xml:space="preserve"> </w:t>
      </w:r>
      <w:r w:rsidR="0010457D" w:rsidRPr="00FB5A28">
        <w:rPr>
          <w:rFonts w:ascii="Times New Roman" w:hAnsi="Times New Roman"/>
          <w:sz w:val="24"/>
          <w:szCs w:val="24"/>
        </w:rPr>
        <w:t>добара</w:t>
      </w:r>
      <w:r w:rsidR="003B24F4" w:rsidRPr="00FB5A28">
        <w:rPr>
          <w:rFonts w:ascii="Times New Roman" w:hAnsi="Times New Roman"/>
          <w:sz w:val="24"/>
          <w:szCs w:val="24"/>
        </w:rPr>
        <w:t xml:space="preserve"> </w:t>
      </w:r>
      <w:r w:rsidR="0010457D" w:rsidRPr="00FB5A28">
        <w:rPr>
          <w:rFonts w:ascii="Times New Roman" w:hAnsi="Times New Roman"/>
          <w:sz w:val="24"/>
          <w:szCs w:val="24"/>
        </w:rPr>
        <w:t>која</w:t>
      </w:r>
      <w:r w:rsidR="003B24F4" w:rsidRPr="00FB5A28">
        <w:rPr>
          <w:rFonts w:ascii="Times New Roman" w:hAnsi="Times New Roman"/>
          <w:sz w:val="24"/>
          <w:szCs w:val="24"/>
        </w:rPr>
        <w:t xml:space="preserve"> </w:t>
      </w:r>
      <w:r w:rsidR="0010457D" w:rsidRPr="00FB5A28">
        <w:rPr>
          <w:rFonts w:ascii="Times New Roman" w:hAnsi="Times New Roman"/>
          <w:sz w:val="24"/>
          <w:szCs w:val="24"/>
        </w:rPr>
        <w:t>инострани</w:t>
      </w:r>
      <w:r w:rsidR="003B24F4" w:rsidRPr="00FB5A28">
        <w:rPr>
          <w:rFonts w:ascii="Times New Roman" w:hAnsi="Times New Roman"/>
          <w:sz w:val="24"/>
          <w:szCs w:val="24"/>
        </w:rPr>
        <w:t xml:space="preserve"> </w:t>
      </w:r>
      <w:r w:rsidR="0010457D" w:rsidRPr="00FB5A28">
        <w:rPr>
          <w:rFonts w:ascii="Times New Roman" w:hAnsi="Times New Roman"/>
          <w:sz w:val="24"/>
          <w:szCs w:val="24"/>
        </w:rPr>
        <w:t>прималац</w:t>
      </w:r>
      <w:r w:rsidR="003B24F4" w:rsidRPr="00FB5A28">
        <w:rPr>
          <w:rFonts w:ascii="Times New Roman" w:hAnsi="Times New Roman"/>
          <w:sz w:val="24"/>
          <w:szCs w:val="24"/>
        </w:rPr>
        <w:t xml:space="preserve"> </w:t>
      </w:r>
      <w:r w:rsidR="0010457D" w:rsidRPr="00FB5A28">
        <w:rPr>
          <w:rFonts w:ascii="Times New Roman" w:hAnsi="Times New Roman"/>
          <w:sz w:val="24"/>
          <w:szCs w:val="24"/>
        </w:rPr>
        <w:t>или</w:t>
      </w:r>
      <w:r w:rsidR="003B24F4" w:rsidRPr="00FB5A28">
        <w:rPr>
          <w:rFonts w:ascii="Times New Roman" w:hAnsi="Times New Roman"/>
          <w:sz w:val="24"/>
          <w:szCs w:val="24"/>
        </w:rPr>
        <w:t xml:space="preserve"> </w:t>
      </w:r>
      <w:r w:rsidR="0010457D" w:rsidRPr="00FB5A28">
        <w:rPr>
          <w:rFonts w:ascii="Times New Roman" w:hAnsi="Times New Roman"/>
          <w:sz w:val="24"/>
          <w:szCs w:val="24"/>
        </w:rPr>
        <w:t>треће</w:t>
      </w:r>
      <w:r w:rsidR="003B24F4" w:rsidRPr="00FB5A28">
        <w:rPr>
          <w:rFonts w:ascii="Times New Roman" w:hAnsi="Times New Roman"/>
          <w:sz w:val="24"/>
          <w:szCs w:val="24"/>
        </w:rPr>
        <w:t xml:space="preserve"> </w:t>
      </w:r>
      <w:r w:rsidR="0010457D" w:rsidRPr="00FB5A28">
        <w:rPr>
          <w:rFonts w:ascii="Times New Roman" w:hAnsi="Times New Roman"/>
          <w:sz w:val="24"/>
          <w:szCs w:val="24"/>
        </w:rPr>
        <w:t>лице</w:t>
      </w:r>
      <w:r w:rsidR="003B24F4" w:rsidRPr="00FB5A28">
        <w:rPr>
          <w:rFonts w:ascii="Times New Roman" w:hAnsi="Times New Roman"/>
          <w:sz w:val="24"/>
          <w:szCs w:val="24"/>
        </w:rPr>
        <w:t xml:space="preserve">, </w:t>
      </w:r>
      <w:r w:rsidR="0010457D" w:rsidRPr="00FB5A28">
        <w:rPr>
          <w:rFonts w:ascii="Times New Roman" w:hAnsi="Times New Roman"/>
          <w:sz w:val="24"/>
          <w:szCs w:val="24"/>
        </w:rPr>
        <w:t>по</w:t>
      </w:r>
      <w:r w:rsidR="003B24F4" w:rsidRPr="00FB5A28">
        <w:rPr>
          <w:rFonts w:ascii="Times New Roman" w:hAnsi="Times New Roman"/>
          <w:sz w:val="24"/>
          <w:szCs w:val="24"/>
        </w:rPr>
        <w:t xml:space="preserve"> </w:t>
      </w:r>
      <w:r w:rsidR="0010457D" w:rsidRPr="00FB5A28">
        <w:rPr>
          <w:rFonts w:ascii="Times New Roman" w:hAnsi="Times New Roman"/>
          <w:sz w:val="24"/>
          <w:szCs w:val="24"/>
        </w:rPr>
        <w:t>његовом</w:t>
      </w:r>
      <w:r w:rsidR="003B24F4" w:rsidRPr="00FB5A28">
        <w:rPr>
          <w:rFonts w:ascii="Times New Roman" w:hAnsi="Times New Roman"/>
          <w:sz w:val="24"/>
          <w:szCs w:val="24"/>
        </w:rPr>
        <w:t xml:space="preserve"> </w:t>
      </w:r>
      <w:r w:rsidR="0010457D" w:rsidRPr="00FB5A28">
        <w:rPr>
          <w:rFonts w:ascii="Times New Roman" w:hAnsi="Times New Roman"/>
          <w:sz w:val="24"/>
          <w:szCs w:val="24"/>
        </w:rPr>
        <w:t>налогу</w:t>
      </w:r>
      <w:r w:rsidR="003B24F4" w:rsidRPr="00FB5A28">
        <w:rPr>
          <w:rFonts w:ascii="Times New Roman" w:hAnsi="Times New Roman"/>
          <w:sz w:val="24"/>
          <w:szCs w:val="24"/>
        </w:rPr>
        <w:t xml:space="preserve">, </w:t>
      </w:r>
      <w:r w:rsidR="0010457D" w:rsidRPr="00FB5A28">
        <w:rPr>
          <w:rFonts w:ascii="Times New Roman" w:hAnsi="Times New Roman"/>
          <w:sz w:val="24"/>
          <w:szCs w:val="24"/>
        </w:rPr>
        <w:t>шаље</w:t>
      </w:r>
      <w:r w:rsidRPr="00FB5A28">
        <w:rPr>
          <w:rFonts w:ascii="Times New Roman" w:hAnsi="Times New Roman"/>
          <w:sz w:val="24"/>
          <w:szCs w:val="24"/>
        </w:rPr>
        <w:t xml:space="preserve"> </w:t>
      </w:r>
      <w:r w:rsidR="0010457D" w:rsidRPr="00FB5A28">
        <w:rPr>
          <w:rFonts w:ascii="Times New Roman" w:hAnsi="Times New Roman"/>
          <w:sz w:val="24"/>
          <w:szCs w:val="24"/>
        </w:rPr>
        <w:t>или</w:t>
      </w:r>
      <w:r w:rsidRPr="00FB5A28">
        <w:rPr>
          <w:rFonts w:ascii="Times New Roman" w:hAnsi="Times New Roman"/>
          <w:sz w:val="24"/>
          <w:szCs w:val="24"/>
        </w:rPr>
        <w:t xml:space="preserve"> </w:t>
      </w:r>
      <w:r w:rsidR="0010457D" w:rsidRPr="00FB5A28">
        <w:rPr>
          <w:rFonts w:ascii="Times New Roman" w:hAnsi="Times New Roman"/>
          <w:sz w:val="24"/>
          <w:szCs w:val="24"/>
        </w:rPr>
        <w:t>отпрема</w:t>
      </w:r>
      <w:r w:rsidRPr="00FB5A28">
        <w:rPr>
          <w:rFonts w:ascii="Times New Roman" w:hAnsi="Times New Roman"/>
          <w:sz w:val="24"/>
          <w:szCs w:val="24"/>
        </w:rPr>
        <w:t xml:space="preserve"> </w:t>
      </w:r>
      <w:r w:rsidR="0010457D" w:rsidRPr="00FB5A28">
        <w:rPr>
          <w:rFonts w:ascii="Times New Roman" w:hAnsi="Times New Roman"/>
          <w:sz w:val="24"/>
          <w:szCs w:val="24"/>
        </w:rPr>
        <w:t>у</w:t>
      </w:r>
      <w:r w:rsidRPr="00FB5A28">
        <w:rPr>
          <w:rFonts w:ascii="Times New Roman" w:hAnsi="Times New Roman"/>
          <w:sz w:val="24"/>
          <w:szCs w:val="24"/>
        </w:rPr>
        <w:t xml:space="preserve"> </w:t>
      </w:r>
      <w:r w:rsidR="0010457D" w:rsidRPr="00FB5A28">
        <w:rPr>
          <w:rFonts w:ascii="Times New Roman" w:hAnsi="Times New Roman"/>
          <w:sz w:val="24"/>
          <w:szCs w:val="24"/>
        </w:rPr>
        <w:t>иностранство</w:t>
      </w:r>
      <w:r w:rsidRPr="00FB5A28">
        <w:rPr>
          <w:rFonts w:ascii="Times New Roman" w:hAnsi="Times New Roman"/>
          <w:sz w:val="24"/>
          <w:szCs w:val="24"/>
          <w:lang w:val="sr-Cyrl-CS"/>
        </w:rPr>
        <w:t>.</w:t>
      </w:r>
    </w:p>
    <w:p w:rsidR="00AA7EB9" w:rsidRPr="00FB5A28" w:rsidRDefault="009704A4" w:rsidP="00FB5A28">
      <w:pPr>
        <w:jc w:val="both"/>
        <w:rPr>
          <w:rFonts w:ascii="Times New Roman" w:hAnsi="Times New Roman"/>
          <w:sz w:val="24"/>
          <w:szCs w:val="24"/>
          <w:lang w:val="sr-Cyrl-CS"/>
        </w:rPr>
      </w:pPr>
      <w:r w:rsidRPr="00FB5A28">
        <w:rPr>
          <w:rFonts w:ascii="Times New Roman" w:hAnsi="Times New Roman"/>
          <w:sz w:val="24"/>
          <w:szCs w:val="24"/>
          <w:lang w:val="sr-Cyrl-CS"/>
        </w:rPr>
        <w:t>О</w:t>
      </w:r>
      <w:r w:rsidR="0010457D" w:rsidRPr="00FB5A28">
        <w:rPr>
          <w:rFonts w:ascii="Times New Roman" w:hAnsi="Times New Roman"/>
          <w:sz w:val="24"/>
          <w:szCs w:val="24"/>
        </w:rPr>
        <w:t>бвезник</w:t>
      </w:r>
      <w:r w:rsidRPr="00FB5A28">
        <w:rPr>
          <w:rFonts w:ascii="Times New Roman" w:hAnsi="Times New Roman"/>
          <w:sz w:val="24"/>
          <w:szCs w:val="24"/>
        </w:rPr>
        <w:t xml:space="preserve"> </w:t>
      </w:r>
      <w:r w:rsidR="0010457D" w:rsidRPr="00FB5A28">
        <w:rPr>
          <w:rFonts w:ascii="Times New Roman" w:hAnsi="Times New Roman"/>
          <w:sz w:val="24"/>
          <w:szCs w:val="24"/>
        </w:rPr>
        <w:t>може</w:t>
      </w:r>
      <w:r w:rsidRPr="00FB5A28">
        <w:rPr>
          <w:rFonts w:ascii="Times New Roman" w:hAnsi="Times New Roman"/>
          <w:sz w:val="24"/>
          <w:szCs w:val="24"/>
        </w:rPr>
        <w:t xml:space="preserve"> </w:t>
      </w:r>
      <w:r w:rsidR="0010457D" w:rsidRPr="00FB5A28">
        <w:rPr>
          <w:rFonts w:ascii="Times New Roman" w:hAnsi="Times New Roman"/>
          <w:sz w:val="24"/>
          <w:szCs w:val="24"/>
        </w:rPr>
        <w:t>да</w:t>
      </w:r>
      <w:r w:rsidRPr="00FB5A28">
        <w:rPr>
          <w:rFonts w:ascii="Times New Roman" w:hAnsi="Times New Roman"/>
          <w:sz w:val="24"/>
          <w:szCs w:val="24"/>
        </w:rPr>
        <w:t xml:space="preserve"> </w:t>
      </w:r>
      <w:r w:rsidR="0010457D" w:rsidRPr="00FB5A28">
        <w:rPr>
          <w:rFonts w:ascii="Times New Roman" w:hAnsi="Times New Roman"/>
          <w:sz w:val="24"/>
          <w:szCs w:val="24"/>
        </w:rPr>
        <w:t>оствари</w:t>
      </w:r>
      <w:r w:rsidRPr="00FB5A28">
        <w:rPr>
          <w:rFonts w:ascii="Times New Roman" w:hAnsi="Times New Roman"/>
          <w:sz w:val="24"/>
          <w:szCs w:val="24"/>
        </w:rPr>
        <w:t xml:space="preserve"> </w:t>
      </w:r>
      <w:r w:rsidRPr="00FB5A28">
        <w:rPr>
          <w:rFonts w:ascii="Times New Roman" w:hAnsi="Times New Roman"/>
          <w:sz w:val="24"/>
          <w:szCs w:val="24"/>
          <w:lang w:val="sr-Cyrl-CS"/>
        </w:rPr>
        <w:t xml:space="preserve">наведена права </w:t>
      </w:r>
      <w:r w:rsidR="0010457D" w:rsidRPr="00FB5A28">
        <w:rPr>
          <w:rFonts w:ascii="Times New Roman" w:hAnsi="Times New Roman"/>
          <w:sz w:val="24"/>
          <w:szCs w:val="24"/>
        </w:rPr>
        <w:t>ако</w:t>
      </w:r>
      <w:r w:rsidRPr="00FB5A28">
        <w:rPr>
          <w:rFonts w:ascii="Times New Roman" w:hAnsi="Times New Roman"/>
          <w:sz w:val="24"/>
          <w:szCs w:val="24"/>
        </w:rPr>
        <w:t xml:space="preserve"> </w:t>
      </w:r>
      <w:r w:rsidR="0010457D" w:rsidRPr="00FB5A28">
        <w:rPr>
          <w:rFonts w:ascii="Times New Roman" w:hAnsi="Times New Roman"/>
          <w:sz w:val="24"/>
          <w:szCs w:val="24"/>
        </w:rPr>
        <w:t>поседује</w:t>
      </w:r>
      <w:r w:rsidRPr="00FB5A28">
        <w:rPr>
          <w:rFonts w:ascii="Times New Roman" w:hAnsi="Times New Roman"/>
          <w:sz w:val="24"/>
          <w:szCs w:val="24"/>
        </w:rPr>
        <w:t xml:space="preserve"> </w:t>
      </w:r>
      <w:r w:rsidR="0010457D" w:rsidRPr="00FB5A28">
        <w:rPr>
          <w:rFonts w:ascii="Times New Roman" w:hAnsi="Times New Roman"/>
          <w:sz w:val="24"/>
          <w:szCs w:val="24"/>
        </w:rPr>
        <w:t>извозну</w:t>
      </w:r>
      <w:r w:rsidRPr="00FB5A28">
        <w:rPr>
          <w:rFonts w:ascii="Times New Roman" w:hAnsi="Times New Roman"/>
          <w:sz w:val="24"/>
          <w:szCs w:val="24"/>
        </w:rPr>
        <w:t xml:space="preserve"> </w:t>
      </w:r>
      <w:r w:rsidR="0010457D" w:rsidRPr="00FB5A28">
        <w:rPr>
          <w:rFonts w:ascii="Times New Roman" w:hAnsi="Times New Roman"/>
          <w:sz w:val="24"/>
          <w:szCs w:val="24"/>
        </w:rPr>
        <w:t>декларацију</w:t>
      </w:r>
      <w:r w:rsidRPr="00FB5A28">
        <w:rPr>
          <w:rFonts w:ascii="Times New Roman" w:hAnsi="Times New Roman"/>
          <w:sz w:val="24"/>
          <w:szCs w:val="24"/>
        </w:rPr>
        <w:t xml:space="preserve"> </w:t>
      </w:r>
      <w:r w:rsidR="0010457D" w:rsidRPr="00FB5A28">
        <w:rPr>
          <w:rFonts w:ascii="Times New Roman" w:hAnsi="Times New Roman"/>
          <w:sz w:val="24"/>
          <w:szCs w:val="24"/>
        </w:rPr>
        <w:t>која</w:t>
      </w:r>
      <w:r w:rsidRPr="00FB5A28">
        <w:rPr>
          <w:rFonts w:ascii="Times New Roman" w:hAnsi="Times New Roman"/>
          <w:sz w:val="24"/>
          <w:szCs w:val="24"/>
        </w:rPr>
        <w:t xml:space="preserve"> </w:t>
      </w:r>
      <w:r w:rsidR="0010457D" w:rsidRPr="00FB5A28">
        <w:rPr>
          <w:rFonts w:ascii="Times New Roman" w:hAnsi="Times New Roman"/>
          <w:sz w:val="24"/>
          <w:szCs w:val="24"/>
        </w:rPr>
        <w:t>садржи</w:t>
      </w:r>
      <w:r w:rsidRPr="00FB5A28">
        <w:rPr>
          <w:rFonts w:ascii="Times New Roman" w:hAnsi="Times New Roman"/>
          <w:sz w:val="24"/>
          <w:szCs w:val="24"/>
        </w:rPr>
        <w:t xml:space="preserve"> </w:t>
      </w:r>
      <w:r w:rsidR="0010457D" w:rsidRPr="00FB5A28">
        <w:rPr>
          <w:rFonts w:ascii="Times New Roman" w:hAnsi="Times New Roman"/>
          <w:sz w:val="24"/>
          <w:szCs w:val="24"/>
        </w:rPr>
        <w:t>потврду</w:t>
      </w:r>
      <w:r w:rsidRPr="00FB5A28">
        <w:rPr>
          <w:rFonts w:ascii="Times New Roman" w:hAnsi="Times New Roman"/>
          <w:sz w:val="24"/>
          <w:szCs w:val="24"/>
        </w:rPr>
        <w:t xml:space="preserve"> </w:t>
      </w:r>
      <w:r w:rsidR="0010457D" w:rsidRPr="00FB5A28">
        <w:rPr>
          <w:rFonts w:ascii="Times New Roman" w:hAnsi="Times New Roman"/>
          <w:sz w:val="24"/>
          <w:szCs w:val="24"/>
        </w:rPr>
        <w:t>да</w:t>
      </w:r>
      <w:r w:rsidRPr="00FB5A28">
        <w:rPr>
          <w:rFonts w:ascii="Times New Roman" w:hAnsi="Times New Roman"/>
          <w:sz w:val="24"/>
          <w:szCs w:val="24"/>
        </w:rPr>
        <w:t xml:space="preserve"> </w:t>
      </w:r>
      <w:r w:rsidR="0010457D" w:rsidRPr="00FB5A28">
        <w:rPr>
          <w:rFonts w:ascii="Times New Roman" w:hAnsi="Times New Roman"/>
          <w:sz w:val="24"/>
          <w:szCs w:val="24"/>
        </w:rPr>
        <w:t>су</w:t>
      </w:r>
      <w:r w:rsidRPr="00FB5A28">
        <w:rPr>
          <w:rFonts w:ascii="Times New Roman" w:hAnsi="Times New Roman"/>
          <w:sz w:val="24"/>
          <w:szCs w:val="24"/>
        </w:rPr>
        <w:t xml:space="preserve"> </w:t>
      </w:r>
      <w:r w:rsidR="0010457D" w:rsidRPr="00FB5A28">
        <w:rPr>
          <w:rFonts w:ascii="Times New Roman" w:hAnsi="Times New Roman"/>
          <w:sz w:val="24"/>
          <w:szCs w:val="24"/>
        </w:rPr>
        <w:t>добра</w:t>
      </w:r>
      <w:r w:rsidRPr="00FB5A28">
        <w:rPr>
          <w:rFonts w:ascii="Times New Roman" w:hAnsi="Times New Roman"/>
          <w:sz w:val="24"/>
          <w:szCs w:val="24"/>
        </w:rPr>
        <w:t xml:space="preserve"> </w:t>
      </w:r>
      <w:r w:rsidR="0010457D" w:rsidRPr="00FB5A28">
        <w:rPr>
          <w:rFonts w:ascii="Times New Roman" w:hAnsi="Times New Roman"/>
          <w:sz w:val="24"/>
          <w:szCs w:val="24"/>
        </w:rPr>
        <w:t>иступила</w:t>
      </w:r>
      <w:r w:rsidRPr="00FB5A28">
        <w:rPr>
          <w:rFonts w:ascii="Times New Roman" w:hAnsi="Times New Roman"/>
          <w:sz w:val="24"/>
          <w:szCs w:val="24"/>
        </w:rPr>
        <w:t xml:space="preserve"> </w:t>
      </w:r>
      <w:r w:rsidR="0010457D" w:rsidRPr="00FB5A28">
        <w:rPr>
          <w:rFonts w:ascii="Times New Roman" w:hAnsi="Times New Roman"/>
          <w:sz w:val="24"/>
          <w:szCs w:val="24"/>
        </w:rPr>
        <w:t>са</w:t>
      </w:r>
      <w:r w:rsidRPr="00FB5A28">
        <w:rPr>
          <w:rFonts w:ascii="Times New Roman" w:hAnsi="Times New Roman"/>
          <w:sz w:val="24"/>
          <w:szCs w:val="24"/>
        </w:rPr>
        <w:t xml:space="preserve"> </w:t>
      </w:r>
      <w:r w:rsidR="0010457D" w:rsidRPr="00FB5A28">
        <w:rPr>
          <w:rFonts w:ascii="Times New Roman" w:hAnsi="Times New Roman"/>
          <w:sz w:val="24"/>
          <w:szCs w:val="24"/>
        </w:rPr>
        <w:t>територије</w:t>
      </w:r>
      <w:r w:rsidRPr="00FB5A28">
        <w:rPr>
          <w:rFonts w:ascii="Times New Roman" w:hAnsi="Times New Roman"/>
          <w:sz w:val="24"/>
          <w:szCs w:val="24"/>
        </w:rPr>
        <w:t xml:space="preserve"> </w:t>
      </w:r>
      <w:r w:rsidR="0010457D" w:rsidRPr="00FB5A28">
        <w:rPr>
          <w:rFonts w:ascii="Times New Roman" w:hAnsi="Times New Roman"/>
          <w:sz w:val="24"/>
          <w:szCs w:val="24"/>
        </w:rPr>
        <w:t>Републике</w:t>
      </w:r>
      <w:r w:rsidRPr="00FB5A28">
        <w:rPr>
          <w:rFonts w:ascii="Times New Roman" w:hAnsi="Times New Roman"/>
          <w:sz w:val="24"/>
          <w:szCs w:val="24"/>
        </w:rPr>
        <w:t xml:space="preserve"> </w:t>
      </w:r>
      <w:r w:rsidR="0010457D" w:rsidRPr="00FB5A28">
        <w:rPr>
          <w:rFonts w:ascii="Times New Roman" w:hAnsi="Times New Roman"/>
          <w:sz w:val="24"/>
          <w:szCs w:val="24"/>
        </w:rPr>
        <w:t>Србије</w:t>
      </w:r>
      <w:r w:rsidRPr="00FB5A28">
        <w:rPr>
          <w:rFonts w:ascii="Times New Roman" w:hAnsi="Times New Roman"/>
          <w:sz w:val="24"/>
          <w:szCs w:val="24"/>
          <w:lang w:val="sr-Cyrl-CS"/>
        </w:rPr>
        <w:t xml:space="preserve">, </w:t>
      </w:r>
      <w:r w:rsidR="0010457D" w:rsidRPr="00FB5A28">
        <w:rPr>
          <w:rFonts w:ascii="Times New Roman" w:hAnsi="Times New Roman"/>
          <w:sz w:val="24"/>
          <w:szCs w:val="24"/>
        </w:rPr>
        <w:t>односно</w:t>
      </w:r>
      <w:r w:rsidRPr="00FB5A28">
        <w:rPr>
          <w:rFonts w:ascii="Times New Roman" w:hAnsi="Times New Roman"/>
          <w:sz w:val="24"/>
          <w:szCs w:val="24"/>
        </w:rPr>
        <w:t xml:space="preserve"> </w:t>
      </w:r>
      <w:r w:rsidR="0010457D" w:rsidRPr="00FB5A28">
        <w:rPr>
          <w:rFonts w:ascii="Times New Roman" w:hAnsi="Times New Roman"/>
          <w:sz w:val="24"/>
          <w:szCs w:val="24"/>
        </w:rPr>
        <w:t>оверену</w:t>
      </w:r>
      <w:r w:rsidRPr="00FB5A28">
        <w:rPr>
          <w:rFonts w:ascii="Times New Roman" w:hAnsi="Times New Roman"/>
          <w:sz w:val="24"/>
          <w:szCs w:val="24"/>
        </w:rPr>
        <w:t xml:space="preserve"> </w:t>
      </w:r>
      <w:r w:rsidR="0010457D" w:rsidRPr="00FB5A28">
        <w:rPr>
          <w:rFonts w:ascii="Times New Roman" w:hAnsi="Times New Roman"/>
          <w:sz w:val="24"/>
          <w:szCs w:val="24"/>
        </w:rPr>
        <w:t>копију</w:t>
      </w:r>
      <w:r w:rsidRPr="00FB5A28">
        <w:rPr>
          <w:rFonts w:ascii="Times New Roman" w:hAnsi="Times New Roman"/>
          <w:sz w:val="24"/>
          <w:szCs w:val="24"/>
        </w:rPr>
        <w:t xml:space="preserve"> </w:t>
      </w:r>
      <w:r w:rsidR="0010457D" w:rsidRPr="00FB5A28">
        <w:rPr>
          <w:rFonts w:ascii="Times New Roman" w:hAnsi="Times New Roman"/>
          <w:sz w:val="24"/>
          <w:szCs w:val="24"/>
        </w:rPr>
        <w:t>извозне</w:t>
      </w:r>
      <w:r w:rsidRPr="00FB5A28">
        <w:rPr>
          <w:rFonts w:ascii="Times New Roman" w:hAnsi="Times New Roman"/>
          <w:sz w:val="24"/>
          <w:szCs w:val="24"/>
        </w:rPr>
        <w:t xml:space="preserve"> </w:t>
      </w:r>
      <w:r w:rsidR="0010457D" w:rsidRPr="00FB5A28">
        <w:rPr>
          <w:rFonts w:ascii="Times New Roman" w:hAnsi="Times New Roman"/>
          <w:sz w:val="24"/>
          <w:szCs w:val="24"/>
        </w:rPr>
        <w:t>декларације</w:t>
      </w:r>
      <w:r w:rsidRPr="00FB5A28">
        <w:rPr>
          <w:rFonts w:ascii="Times New Roman" w:hAnsi="Times New Roman"/>
          <w:sz w:val="24"/>
          <w:szCs w:val="24"/>
        </w:rPr>
        <w:t xml:space="preserve">, </w:t>
      </w:r>
      <w:r w:rsidR="0010457D" w:rsidRPr="00FB5A28">
        <w:rPr>
          <w:rFonts w:ascii="Times New Roman" w:hAnsi="Times New Roman"/>
          <w:sz w:val="24"/>
          <w:szCs w:val="24"/>
        </w:rPr>
        <w:t>о</w:t>
      </w:r>
      <w:r w:rsidRPr="00FB5A28">
        <w:rPr>
          <w:rFonts w:ascii="Times New Roman" w:hAnsi="Times New Roman"/>
          <w:sz w:val="24"/>
          <w:szCs w:val="24"/>
        </w:rPr>
        <w:t xml:space="preserve"> </w:t>
      </w:r>
      <w:r w:rsidR="0010457D" w:rsidRPr="00FB5A28">
        <w:rPr>
          <w:rFonts w:ascii="Times New Roman" w:hAnsi="Times New Roman"/>
          <w:sz w:val="24"/>
          <w:szCs w:val="24"/>
        </w:rPr>
        <w:t>извршеном</w:t>
      </w:r>
      <w:r w:rsidRPr="00FB5A28">
        <w:rPr>
          <w:rFonts w:ascii="Times New Roman" w:hAnsi="Times New Roman"/>
          <w:sz w:val="24"/>
          <w:szCs w:val="24"/>
        </w:rPr>
        <w:t xml:space="preserve"> </w:t>
      </w:r>
      <w:r w:rsidR="0010457D" w:rsidRPr="00FB5A28">
        <w:rPr>
          <w:rFonts w:ascii="Times New Roman" w:hAnsi="Times New Roman"/>
          <w:sz w:val="24"/>
          <w:szCs w:val="24"/>
        </w:rPr>
        <w:t>извозу</w:t>
      </w:r>
      <w:r w:rsidRPr="00FB5A28">
        <w:rPr>
          <w:rFonts w:ascii="Times New Roman" w:hAnsi="Times New Roman"/>
          <w:sz w:val="24"/>
          <w:szCs w:val="24"/>
        </w:rPr>
        <w:t xml:space="preserve"> </w:t>
      </w:r>
      <w:r w:rsidR="0010457D" w:rsidRPr="00FB5A28">
        <w:rPr>
          <w:rFonts w:ascii="Times New Roman" w:hAnsi="Times New Roman"/>
          <w:sz w:val="24"/>
          <w:szCs w:val="24"/>
        </w:rPr>
        <w:t>добара</w:t>
      </w:r>
      <w:r w:rsidRPr="00FB5A28">
        <w:rPr>
          <w:rFonts w:ascii="Times New Roman" w:hAnsi="Times New Roman"/>
          <w:sz w:val="24"/>
          <w:szCs w:val="24"/>
        </w:rPr>
        <w:t xml:space="preserve"> </w:t>
      </w:r>
      <w:r w:rsidR="0010457D" w:rsidRPr="00FB5A28">
        <w:rPr>
          <w:rFonts w:ascii="Times New Roman" w:hAnsi="Times New Roman"/>
          <w:sz w:val="24"/>
          <w:szCs w:val="24"/>
        </w:rPr>
        <w:t>издату</w:t>
      </w:r>
      <w:r w:rsidRPr="00FB5A28">
        <w:rPr>
          <w:rFonts w:ascii="Times New Roman" w:hAnsi="Times New Roman"/>
          <w:sz w:val="24"/>
          <w:szCs w:val="24"/>
        </w:rPr>
        <w:t xml:space="preserve"> </w:t>
      </w:r>
      <w:r w:rsidR="0010457D" w:rsidRPr="00FB5A28">
        <w:rPr>
          <w:rFonts w:ascii="Times New Roman" w:hAnsi="Times New Roman"/>
          <w:sz w:val="24"/>
          <w:szCs w:val="24"/>
        </w:rPr>
        <w:t>у</w:t>
      </w:r>
      <w:r w:rsidRPr="00FB5A28">
        <w:rPr>
          <w:rFonts w:ascii="Times New Roman" w:hAnsi="Times New Roman"/>
          <w:sz w:val="24"/>
          <w:szCs w:val="24"/>
        </w:rPr>
        <w:t xml:space="preserve"> </w:t>
      </w:r>
      <w:r w:rsidR="0010457D" w:rsidRPr="00FB5A28">
        <w:rPr>
          <w:rFonts w:ascii="Times New Roman" w:hAnsi="Times New Roman"/>
          <w:sz w:val="24"/>
          <w:szCs w:val="24"/>
        </w:rPr>
        <w:t>складу</w:t>
      </w:r>
      <w:r w:rsidRPr="00FB5A28">
        <w:rPr>
          <w:rFonts w:ascii="Times New Roman" w:hAnsi="Times New Roman"/>
          <w:sz w:val="24"/>
          <w:szCs w:val="24"/>
        </w:rPr>
        <w:t xml:space="preserve"> </w:t>
      </w:r>
      <w:r w:rsidR="0010457D" w:rsidRPr="00FB5A28">
        <w:rPr>
          <w:rFonts w:ascii="Times New Roman" w:hAnsi="Times New Roman"/>
          <w:sz w:val="24"/>
          <w:szCs w:val="24"/>
        </w:rPr>
        <w:t>са</w:t>
      </w:r>
      <w:r w:rsidRPr="00FB5A28">
        <w:rPr>
          <w:rFonts w:ascii="Times New Roman" w:hAnsi="Times New Roman"/>
          <w:sz w:val="24"/>
          <w:szCs w:val="24"/>
        </w:rPr>
        <w:t xml:space="preserve"> </w:t>
      </w:r>
      <w:r w:rsidR="0010457D" w:rsidRPr="00FB5A28">
        <w:rPr>
          <w:rFonts w:ascii="Times New Roman" w:hAnsi="Times New Roman"/>
          <w:sz w:val="24"/>
          <w:szCs w:val="24"/>
        </w:rPr>
        <w:t>царинским</w:t>
      </w:r>
      <w:r w:rsidRPr="00FB5A28">
        <w:rPr>
          <w:rFonts w:ascii="Times New Roman" w:hAnsi="Times New Roman"/>
          <w:sz w:val="24"/>
          <w:szCs w:val="24"/>
        </w:rPr>
        <w:t xml:space="preserve"> </w:t>
      </w:r>
      <w:r w:rsidR="0010457D" w:rsidRPr="00FB5A28">
        <w:rPr>
          <w:rFonts w:ascii="Times New Roman" w:hAnsi="Times New Roman"/>
          <w:sz w:val="24"/>
          <w:szCs w:val="24"/>
        </w:rPr>
        <w:t>прописима</w:t>
      </w:r>
      <w:r w:rsidRPr="00FB5A28">
        <w:rPr>
          <w:rFonts w:ascii="Times New Roman" w:hAnsi="Times New Roman"/>
          <w:sz w:val="24"/>
          <w:szCs w:val="24"/>
        </w:rPr>
        <w:t>.</w:t>
      </w:r>
    </w:p>
    <w:p w:rsidR="00AA7EB9" w:rsidRPr="00FB5A28" w:rsidRDefault="003B24F4" w:rsidP="00FB5A28">
      <w:pPr>
        <w:jc w:val="both"/>
        <w:rPr>
          <w:rFonts w:ascii="Times New Roman" w:hAnsi="Times New Roman"/>
          <w:sz w:val="24"/>
          <w:szCs w:val="24"/>
          <w:lang w:val="sr-Cyrl-CS"/>
        </w:rPr>
      </w:pPr>
      <w:r w:rsidRPr="00FB5A28">
        <w:rPr>
          <w:rFonts w:ascii="Times New Roman" w:hAnsi="Times New Roman"/>
          <w:sz w:val="24"/>
          <w:szCs w:val="24"/>
        </w:rPr>
        <w:t xml:space="preserve">4) </w:t>
      </w:r>
      <w:r w:rsidR="0010457D" w:rsidRPr="00FB5A28">
        <w:rPr>
          <w:rFonts w:ascii="Times New Roman" w:hAnsi="Times New Roman"/>
          <w:sz w:val="24"/>
          <w:szCs w:val="24"/>
        </w:rPr>
        <w:t>промет</w:t>
      </w:r>
      <w:r w:rsidRPr="00FB5A28">
        <w:rPr>
          <w:rFonts w:ascii="Times New Roman" w:hAnsi="Times New Roman"/>
          <w:sz w:val="24"/>
          <w:szCs w:val="24"/>
        </w:rPr>
        <w:t xml:space="preserve"> </w:t>
      </w:r>
      <w:r w:rsidR="0010457D" w:rsidRPr="00FB5A28">
        <w:rPr>
          <w:rFonts w:ascii="Times New Roman" w:hAnsi="Times New Roman"/>
          <w:sz w:val="24"/>
          <w:szCs w:val="24"/>
        </w:rPr>
        <w:t>добара</w:t>
      </w:r>
      <w:r w:rsidRPr="00FB5A28">
        <w:rPr>
          <w:rFonts w:ascii="Times New Roman" w:hAnsi="Times New Roman"/>
          <w:sz w:val="24"/>
          <w:szCs w:val="24"/>
        </w:rPr>
        <w:t xml:space="preserve"> </w:t>
      </w:r>
      <w:r w:rsidR="0010457D" w:rsidRPr="00FB5A28">
        <w:rPr>
          <w:rFonts w:ascii="Times New Roman" w:hAnsi="Times New Roman"/>
          <w:sz w:val="24"/>
          <w:szCs w:val="24"/>
        </w:rPr>
        <w:t>која</w:t>
      </w:r>
      <w:r w:rsidRPr="00FB5A28">
        <w:rPr>
          <w:rFonts w:ascii="Times New Roman" w:hAnsi="Times New Roman"/>
          <w:sz w:val="24"/>
          <w:szCs w:val="24"/>
        </w:rPr>
        <w:t xml:space="preserve"> </w:t>
      </w:r>
      <w:r w:rsidR="0010457D" w:rsidRPr="00FB5A28">
        <w:rPr>
          <w:rFonts w:ascii="Times New Roman" w:hAnsi="Times New Roman"/>
          <w:sz w:val="24"/>
          <w:szCs w:val="24"/>
        </w:rPr>
        <w:t>инострани</w:t>
      </w:r>
      <w:r w:rsidRPr="00FB5A28">
        <w:rPr>
          <w:rFonts w:ascii="Times New Roman" w:hAnsi="Times New Roman"/>
          <w:sz w:val="24"/>
          <w:szCs w:val="24"/>
        </w:rPr>
        <w:t xml:space="preserve"> </w:t>
      </w:r>
      <w:r w:rsidR="0010457D" w:rsidRPr="00FB5A28">
        <w:rPr>
          <w:rFonts w:ascii="Times New Roman" w:hAnsi="Times New Roman"/>
          <w:sz w:val="24"/>
          <w:szCs w:val="24"/>
        </w:rPr>
        <w:t>прималац</w:t>
      </w:r>
      <w:r w:rsidRPr="00FB5A28">
        <w:rPr>
          <w:rFonts w:ascii="Times New Roman" w:hAnsi="Times New Roman"/>
          <w:sz w:val="24"/>
          <w:szCs w:val="24"/>
        </w:rPr>
        <w:t xml:space="preserve"> </w:t>
      </w:r>
      <w:r w:rsidR="0010457D" w:rsidRPr="00FB5A28">
        <w:rPr>
          <w:rFonts w:ascii="Times New Roman" w:hAnsi="Times New Roman"/>
          <w:sz w:val="24"/>
          <w:szCs w:val="24"/>
        </w:rPr>
        <w:t>отпрема</w:t>
      </w:r>
      <w:r w:rsidRPr="00FB5A28">
        <w:rPr>
          <w:rFonts w:ascii="Times New Roman" w:hAnsi="Times New Roman"/>
          <w:sz w:val="24"/>
          <w:szCs w:val="24"/>
        </w:rPr>
        <w:t xml:space="preserve"> </w:t>
      </w:r>
      <w:r w:rsidR="0010457D" w:rsidRPr="00FB5A28">
        <w:rPr>
          <w:rFonts w:ascii="Times New Roman" w:hAnsi="Times New Roman"/>
          <w:sz w:val="24"/>
          <w:szCs w:val="24"/>
        </w:rPr>
        <w:t>у</w:t>
      </w:r>
      <w:r w:rsidRPr="00FB5A28">
        <w:rPr>
          <w:rFonts w:ascii="Times New Roman" w:hAnsi="Times New Roman"/>
          <w:sz w:val="24"/>
          <w:szCs w:val="24"/>
        </w:rPr>
        <w:t xml:space="preserve"> </w:t>
      </w:r>
      <w:r w:rsidR="0010457D" w:rsidRPr="00FB5A28">
        <w:rPr>
          <w:rFonts w:ascii="Times New Roman" w:hAnsi="Times New Roman"/>
          <w:sz w:val="24"/>
          <w:szCs w:val="24"/>
        </w:rPr>
        <w:t>пртљагу</w:t>
      </w:r>
      <w:r w:rsidRPr="00FB5A28">
        <w:rPr>
          <w:rFonts w:ascii="Times New Roman" w:hAnsi="Times New Roman"/>
          <w:sz w:val="24"/>
          <w:szCs w:val="24"/>
        </w:rPr>
        <w:t xml:space="preserve"> </w:t>
      </w:r>
      <w:r w:rsidR="0010457D" w:rsidRPr="00FB5A28">
        <w:rPr>
          <w:rFonts w:ascii="Times New Roman" w:hAnsi="Times New Roman"/>
          <w:sz w:val="24"/>
          <w:szCs w:val="24"/>
        </w:rPr>
        <w:t>који</w:t>
      </w:r>
      <w:r w:rsidRPr="00FB5A28">
        <w:rPr>
          <w:rFonts w:ascii="Times New Roman" w:hAnsi="Times New Roman"/>
          <w:sz w:val="24"/>
          <w:szCs w:val="24"/>
        </w:rPr>
        <w:t xml:space="preserve"> </w:t>
      </w:r>
      <w:r w:rsidR="0010457D" w:rsidRPr="00FB5A28">
        <w:rPr>
          <w:rFonts w:ascii="Times New Roman" w:hAnsi="Times New Roman"/>
          <w:sz w:val="24"/>
          <w:szCs w:val="24"/>
        </w:rPr>
        <w:t>носи</w:t>
      </w:r>
      <w:r w:rsidRPr="00FB5A28">
        <w:rPr>
          <w:rFonts w:ascii="Times New Roman" w:hAnsi="Times New Roman"/>
          <w:sz w:val="24"/>
          <w:szCs w:val="24"/>
        </w:rPr>
        <w:t xml:space="preserve"> </w:t>
      </w:r>
      <w:r w:rsidR="0010457D" w:rsidRPr="00FB5A28">
        <w:rPr>
          <w:rFonts w:ascii="Times New Roman" w:hAnsi="Times New Roman"/>
          <w:sz w:val="24"/>
          <w:szCs w:val="24"/>
        </w:rPr>
        <w:t>са</w:t>
      </w:r>
      <w:r w:rsidRPr="00FB5A28">
        <w:rPr>
          <w:rFonts w:ascii="Times New Roman" w:hAnsi="Times New Roman"/>
          <w:sz w:val="24"/>
          <w:szCs w:val="24"/>
        </w:rPr>
        <w:t xml:space="preserve"> </w:t>
      </w:r>
      <w:r w:rsidR="0010457D" w:rsidRPr="00FB5A28">
        <w:rPr>
          <w:rFonts w:ascii="Times New Roman" w:hAnsi="Times New Roman"/>
          <w:sz w:val="24"/>
          <w:szCs w:val="24"/>
        </w:rPr>
        <w:t>собом</w:t>
      </w:r>
      <w:r w:rsidRPr="00FB5A28">
        <w:rPr>
          <w:rFonts w:ascii="Times New Roman" w:hAnsi="Times New Roman"/>
          <w:sz w:val="24"/>
          <w:szCs w:val="24"/>
        </w:rPr>
        <w:t xml:space="preserve"> </w:t>
      </w:r>
      <w:r w:rsidR="0010457D" w:rsidRPr="00FB5A28">
        <w:rPr>
          <w:rFonts w:ascii="Times New Roman" w:hAnsi="Times New Roman"/>
          <w:sz w:val="24"/>
          <w:szCs w:val="24"/>
        </w:rPr>
        <w:t>у</w:t>
      </w:r>
      <w:r w:rsidRPr="00FB5A28">
        <w:rPr>
          <w:rFonts w:ascii="Times New Roman" w:hAnsi="Times New Roman"/>
          <w:sz w:val="24"/>
          <w:szCs w:val="24"/>
        </w:rPr>
        <w:t xml:space="preserve"> </w:t>
      </w:r>
      <w:r w:rsidR="0010457D" w:rsidRPr="00FB5A28">
        <w:rPr>
          <w:rFonts w:ascii="Times New Roman" w:hAnsi="Times New Roman"/>
          <w:sz w:val="24"/>
          <w:szCs w:val="24"/>
        </w:rPr>
        <w:t>иностранство</w:t>
      </w:r>
      <w:r w:rsidRPr="00FB5A28">
        <w:rPr>
          <w:rFonts w:ascii="Times New Roman" w:hAnsi="Times New Roman"/>
          <w:sz w:val="24"/>
          <w:szCs w:val="24"/>
        </w:rPr>
        <w:t xml:space="preserve">, </w:t>
      </w:r>
      <w:r w:rsidR="0010457D" w:rsidRPr="00FB5A28">
        <w:rPr>
          <w:rFonts w:ascii="Times New Roman" w:hAnsi="Times New Roman"/>
          <w:sz w:val="24"/>
          <w:szCs w:val="24"/>
        </w:rPr>
        <w:t>ако</w:t>
      </w:r>
      <w:r w:rsidRPr="00FB5A28">
        <w:rPr>
          <w:rFonts w:ascii="Times New Roman" w:hAnsi="Times New Roman"/>
          <w:sz w:val="24"/>
          <w:szCs w:val="24"/>
        </w:rPr>
        <w:t>:</w:t>
      </w:r>
    </w:p>
    <w:p w:rsidR="003B24F4" w:rsidRPr="00FB5A28" w:rsidRDefault="003B24F4" w:rsidP="00FB5A28">
      <w:pPr>
        <w:jc w:val="both"/>
        <w:rPr>
          <w:rFonts w:ascii="Times New Roman" w:hAnsi="Times New Roman"/>
          <w:sz w:val="24"/>
          <w:szCs w:val="24"/>
        </w:rPr>
      </w:pPr>
      <w:r w:rsidRPr="00FB5A28">
        <w:rPr>
          <w:rFonts w:ascii="Times New Roman" w:hAnsi="Times New Roman"/>
          <w:sz w:val="24"/>
          <w:szCs w:val="24"/>
        </w:rPr>
        <w:lastRenderedPageBreak/>
        <w:t xml:space="preserve">(1) </w:t>
      </w:r>
      <w:r w:rsidR="0010457D" w:rsidRPr="00FB5A28">
        <w:rPr>
          <w:rFonts w:ascii="Times New Roman" w:hAnsi="Times New Roman"/>
          <w:sz w:val="24"/>
          <w:szCs w:val="24"/>
        </w:rPr>
        <w:t>се</w:t>
      </w:r>
      <w:r w:rsidRPr="00FB5A28">
        <w:rPr>
          <w:rFonts w:ascii="Times New Roman" w:hAnsi="Times New Roman"/>
          <w:sz w:val="24"/>
          <w:szCs w:val="24"/>
        </w:rPr>
        <w:t xml:space="preserve"> </w:t>
      </w:r>
      <w:r w:rsidR="0010457D" w:rsidRPr="00FB5A28">
        <w:rPr>
          <w:rFonts w:ascii="Times New Roman" w:hAnsi="Times New Roman"/>
          <w:sz w:val="24"/>
          <w:szCs w:val="24"/>
        </w:rPr>
        <w:t>добра</w:t>
      </w:r>
      <w:r w:rsidRPr="00FB5A28">
        <w:rPr>
          <w:rFonts w:ascii="Times New Roman" w:hAnsi="Times New Roman"/>
          <w:sz w:val="24"/>
          <w:szCs w:val="24"/>
        </w:rPr>
        <w:t xml:space="preserve"> </w:t>
      </w:r>
      <w:r w:rsidR="0010457D" w:rsidRPr="00FB5A28">
        <w:rPr>
          <w:rFonts w:ascii="Times New Roman" w:hAnsi="Times New Roman"/>
          <w:sz w:val="24"/>
          <w:szCs w:val="24"/>
        </w:rPr>
        <w:t>отпремају</w:t>
      </w:r>
      <w:r w:rsidRPr="00FB5A28">
        <w:rPr>
          <w:rFonts w:ascii="Times New Roman" w:hAnsi="Times New Roman"/>
          <w:sz w:val="24"/>
          <w:szCs w:val="24"/>
        </w:rPr>
        <w:t xml:space="preserve"> </w:t>
      </w:r>
      <w:r w:rsidR="0010457D" w:rsidRPr="00FB5A28">
        <w:rPr>
          <w:rFonts w:ascii="Times New Roman" w:hAnsi="Times New Roman"/>
          <w:sz w:val="24"/>
          <w:szCs w:val="24"/>
        </w:rPr>
        <w:t>пре</w:t>
      </w:r>
      <w:r w:rsidRPr="00FB5A28">
        <w:rPr>
          <w:rFonts w:ascii="Times New Roman" w:hAnsi="Times New Roman"/>
          <w:sz w:val="24"/>
          <w:szCs w:val="24"/>
        </w:rPr>
        <w:t xml:space="preserve"> </w:t>
      </w:r>
      <w:r w:rsidR="0010457D" w:rsidRPr="00FB5A28">
        <w:rPr>
          <w:rFonts w:ascii="Times New Roman" w:hAnsi="Times New Roman"/>
          <w:sz w:val="24"/>
          <w:szCs w:val="24"/>
        </w:rPr>
        <w:t>истека</w:t>
      </w:r>
      <w:r w:rsidRPr="00FB5A28">
        <w:rPr>
          <w:rFonts w:ascii="Times New Roman" w:hAnsi="Times New Roman"/>
          <w:sz w:val="24"/>
          <w:szCs w:val="24"/>
        </w:rPr>
        <w:t xml:space="preserve"> </w:t>
      </w:r>
      <w:r w:rsidR="0010457D" w:rsidRPr="00FB5A28">
        <w:rPr>
          <w:rFonts w:ascii="Times New Roman" w:hAnsi="Times New Roman"/>
          <w:sz w:val="24"/>
          <w:szCs w:val="24"/>
        </w:rPr>
        <w:t>три</w:t>
      </w:r>
      <w:r w:rsidRPr="00FB5A28">
        <w:rPr>
          <w:rFonts w:ascii="Times New Roman" w:hAnsi="Times New Roman"/>
          <w:sz w:val="24"/>
          <w:szCs w:val="24"/>
        </w:rPr>
        <w:t xml:space="preserve"> </w:t>
      </w:r>
      <w:r w:rsidR="0010457D" w:rsidRPr="00FB5A28">
        <w:rPr>
          <w:rFonts w:ascii="Times New Roman" w:hAnsi="Times New Roman"/>
          <w:sz w:val="24"/>
          <w:szCs w:val="24"/>
        </w:rPr>
        <w:t>календарска</w:t>
      </w:r>
      <w:r w:rsidRPr="00FB5A28">
        <w:rPr>
          <w:rFonts w:ascii="Times New Roman" w:hAnsi="Times New Roman"/>
          <w:sz w:val="24"/>
          <w:szCs w:val="24"/>
        </w:rPr>
        <w:t xml:space="preserve"> </w:t>
      </w:r>
      <w:r w:rsidR="0010457D" w:rsidRPr="00FB5A28">
        <w:rPr>
          <w:rFonts w:ascii="Times New Roman" w:hAnsi="Times New Roman"/>
          <w:sz w:val="24"/>
          <w:szCs w:val="24"/>
        </w:rPr>
        <w:t>месеца</w:t>
      </w:r>
      <w:r w:rsidRPr="00FB5A28">
        <w:rPr>
          <w:rFonts w:ascii="Times New Roman" w:hAnsi="Times New Roman"/>
          <w:sz w:val="24"/>
          <w:szCs w:val="24"/>
        </w:rPr>
        <w:t xml:space="preserve"> </w:t>
      </w:r>
      <w:r w:rsidR="0010457D" w:rsidRPr="00FB5A28">
        <w:rPr>
          <w:rFonts w:ascii="Times New Roman" w:hAnsi="Times New Roman"/>
          <w:sz w:val="24"/>
          <w:szCs w:val="24"/>
        </w:rPr>
        <w:t>по</w:t>
      </w:r>
      <w:r w:rsidRPr="00FB5A28">
        <w:rPr>
          <w:rFonts w:ascii="Times New Roman" w:hAnsi="Times New Roman"/>
          <w:sz w:val="24"/>
          <w:szCs w:val="24"/>
        </w:rPr>
        <w:t xml:space="preserve"> </w:t>
      </w:r>
      <w:r w:rsidR="0010457D" w:rsidRPr="00FB5A28">
        <w:rPr>
          <w:rFonts w:ascii="Times New Roman" w:hAnsi="Times New Roman"/>
          <w:sz w:val="24"/>
          <w:szCs w:val="24"/>
        </w:rPr>
        <w:t>испоруци</w:t>
      </w:r>
      <w:r w:rsidRPr="00FB5A28">
        <w:rPr>
          <w:rFonts w:ascii="Times New Roman" w:hAnsi="Times New Roman"/>
          <w:sz w:val="24"/>
          <w:szCs w:val="24"/>
        </w:rPr>
        <w:t xml:space="preserve"> </w:t>
      </w:r>
      <w:r w:rsidR="0010457D" w:rsidRPr="00FB5A28">
        <w:rPr>
          <w:rFonts w:ascii="Times New Roman" w:hAnsi="Times New Roman"/>
          <w:sz w:val="24"/>
          <w:szCs w:val="24"/>
        </w:rPr>
        <w:t>тих</w:t>
      </w:r>
      <w:r w:rsidRPr="00FB5A28">
        <w:rPr>
          <w:rFonts w:ascii="Times New Roman" w:hAnsi="Times New Roman"/>
          <w:sz w:val="24"/>
          <w:szCs w:val="24"/>
        </w:rPr>
        <w:t xml:space="preserve"> </w:t>
      </w:r>
      <w:r w:rsidR="0010457D" w:rsidRPr="00FB5A28">
        <w:rPr>
          <w:rFonts w:ascii="Times New Roman" w:hAnsi="Times New Roman"/>
          <w:sz w:val="24"/>
          <w:szCs w:val="24"/>
        </w:rPr>
        <w:t>добара</w:t>
      </w:r>
      <w:r w:rsidRPr="00FB5A28">
        <w:rPr>
          <w:rFonts w:ascii="Times New Roman" w:hAnsi="Times New Roman"/>
          <w:sz w:val="24"/>
          <w:szCs w:val="24"/>
        </w:rPr>
        <w:t>;</w:t>
      </w:r>
    </w:p>
    <w:p w:rsidR="003B24F4" w:rsidRPr="00FB5A28" w:rsidRDefault="003B24F4" w:rsidP="00FB5A28">
      <w:pPr>
        <w:jc w:val="both"/>
        <w:rPr>
          <w:rFonts w:ascii="Times New Roman" w:hAnsi="Times New Roman"/>
          <w:sz w:val="24"/>
          <w:szCs w:val="24"/>
          <w:lang w:val="sr-Cyrl-CS"/>
        </w:rPr>
      </w:pPr>
      <w:r w:rsidRPr="00FB5A28">
        <w:rPr>
          <w:rFonts w:ascii="Times New Roman" w:hAnsi="Times New Roman"/>
          <w:sz w:val="24"/>
          <w:szCs w:val="24"/>
        </w:rPr>
        <w:t xml:space="preserve">(2) </w:t>
      </w:r>
      <w:r w:rsidR="0010457D" w:rsidRPr="00FB5A28">
        <w:rPr>
          <w:rFonts w:ascii="Times New Roman" w:hAnsi="Times New Roman"/>
          <w:sz w:val="24"/>
          <w:szCs w:val="24"/>
        </w:rPr>
        <w:t>је</w:t>
      </w:r>
      <w:r w:rsidRPr="00FB5A28">
        <w:rPr>
          <w:rFonts w:ascii="Times New Roman" w:hAnsi="Times New Roman"/>
          <w:sz w:val="24"/>
          <w:szCs w:val="24"/>
        </w:rPr>
        <w:t xml:space="preserve"> </w:t>
      </w:r>
      <w:r w:rsidR="0010457D" w:rsidRPr="00FB5A28">
        <w:rPr>
          <w:rFonts w:ascii="Times New Roman" w:hAnsi="Times New Roman"/>
          <w:sz w:val="24"/>
          <w:szCs w:val="24"/>
        </w:rPr>
        <w:t>укупна</w:t>
      </w:r>
      <w:r w:rsidRPr="00FB5A28">
        <w:rPr>
          <w:rFonts w:ascii="Times New Roman" w:hAnsi="Times New Roman"/>
          <w:sz w:val="24"/>
          <w:szCs w:val="24"/>
        </w:rPr>
        <w:t xml:space="preserve"> </w:t>
      </w:r>
      <w:r w:rsidR="0010457D" w:rsidRPr="00FB5A28">
        <w:rPr>
          <w:rFonts w:ascii="Times New Roman" w:hAnsi="Times New Roman"/>
          <w:sz w:val="24"/>
          <w:szCs w:val="24"/>
        </w:rPr>
        <w:t>вредност</w:t>
      </w:r>
      <w:r w:rsidRPr="00FB5A28">
        <w:rPr>
          <w:rFonts w:ascii="Times New Roman" w:hAnsi="Times New Roman"/>
          <w:sz w:val="24"/>
          <w:szCs w:val="24"/>
        </w:rPr>
        <w:t xml:space="preserve"> </w:t>
      </w:r>
      <w:r w:rsidR="0010457D" w:rsidRPr="00FB5A28">
        <w:rPr>
          <w:rFonts w:ascii="Times New Roman" w:hAnsi="Times New Roman"/>
          <w:sz w:val="24"/>
          <w:szCs w:val="24"/>
        </w:rPr>
        <w:t>испоручених</w:t>
      </w:r>
      <w:r w:rsidRPr="00FB5A28">
        <w:rPr>
          <w:rFonts w:ascii="Times New Roman" w:hAnsi="Times New Roman"/>
          <w:sz w:val="24"/>
          <w:szCs w:val="24"/>
        </w:rPr>
        <w:t xml:space="preserve"> </w:t>
      </w:r>
      <w:r w:rsidR="0010457D" w:rsidRPr="00FB5A28">
        <w:rPr>
          <w:rFonts w:ascii="Times New Roman" w:hAnsi="Times New Roman"/>
          <w:sz w:val="24"/>
          <w:szCs w:val="24"/>
        </w:rPr>
        <w:t>добара</w:t>
      </w:r>
      <w:r w:rsidRPr="00FB5A28">
        <w:rPr>
          <w:rFonts w:ascii="Times New Roman" w:hAnsi="Times New Roman"/>
          <w:sz w:val="24"/>
          <w:szCs w:val="24"/>
        </w:rPr>
        <w:t xml:space="preserve"> </w:t>
      </w:r>
      <w:r w:rsidR="0010457D" w:rsidRPr="00FB5A28">
        <w:rPr>
          <w:rFonts w:ascii="Times New Roman" w:hAnsi="Times New Roman"/>
          <w:sz w:val="24"/>
          <w:szCs w:val="24"/>
        </w:rPr>
        <w:t>већа</w:t>
      </w:r>
      <w:r w:rsidRPr="00FB5A28">
        <w:rPr>
          <w:rFonts w:ascii="Times New Roman" w:hAnsi="Times New Roman"/>
          <w:sz w:val="24"/>
          <w:szCs w:val="24"/>
        </w:rPr>
        <w:t xml:space="preserve"> </w:t>
      </w:r>
      <w:r w:rsidR="0010457D" w:rsidRPr="00FB5A28">
        <w:rPr>
          <w:rFonts w:ascii="Times New Roman" w:hAnsi="Times New Roman"/>
          <w:sz w:val="24"/>
          <w:szCs w:val="24"/>
        </w:rPr>
        <w:t>од</w:t>
      </w:r>
      <w:r w:rsidRPr="00FB5A28">
        <w:rPr>
          <w:rFonts w:ascii="Times New Roman" w:hAnsi="Times New Roman"/>
          <w:sz w:val="24"/>
          <w:szCs w:val="24"/>
        </w:rPr>
        <w:t xml:space="preserve"> 150 </w:t>
      </w:r>
      <w:r w:rsidR="0010457D" w:rsidRPr="00FB5A28">
        <w:rPr>
          <w:rFonts w:ascii="Times New Roman" w:hAnsi="Times New Roman"/>
          <w:sz w:val="24"/>
          <w:szCs w:val="24"/>
        </w:rPr>
        <w:t>ЕУР</w:t>
      </w:r>
      <w:r w:rsidRPr="00FB5A28">
        <w:rPr>
          <w:rFonts w:ascii="Times New Roman" w:hAnsi="Times New Roman"/>
          <w:sz w:val="24"/>
          <w:szCs w:val="24"/>
        </w:rPr>
        <w:t xml:space="preserve">, </w:t>
      </w:r>
      <w:r w:rsidR="0010457D" w:rsidRPr="00FB5A28">
        <w:rPr>
          <w:rFonts w:ascii="Times New Roman" w:hAnsi="Times New Roman"/>
          <w:sz w:val="24"/>
          <w:szCs w:val="24"/>
        </w:rPr>
        <w:t>у</w:t>
      </w:r>
      <w:r w:rsidRPr="00FB5A28">
        <w:rPr>
          <w:rFonts w:ascii="Times New Roman" w:hAnsi="Times New Roman"/>
          <w:sz w:val="24"/>
          <w:szCs w:val="24"/>
        </w:rPr>
        <w:t xml:space="preserve"> </w:t>
      </w:r>
      <w:r w:rsidR="0010457D" w:rsidRPr="00FB5A28">
        <w:rPr>
          <w:rFonts w:ascii="Times New Roman" w:hAnsi="Times New Roman"/>
          <w:sz w:val="24"/>
          <w:szCs w:val="24"/>
        </w:rPr>
        <w:t>динарској</w:t>
      </w:r>
      <w:r w:rsidRPr="00FB5A28">
        <w:rPr>
          <w:rFonts w:ascii="Times New Roman" w:hAnsi="Times New Roman"/>
          <w:sz w:val="24"/>
          <w:szCs w:val="24"/>
        </w:rPr>
        <w:t xml:space="preserve"> </w:t>
      </w:r>
      <w:r w:rsidR="0010457D" w:rsidRPr="00FB5A28">
        <w:rPr>
          <w:rFonts w:ascii="Times New Roman" w:hAnsi="Times New Roman"/>
          <w:sz w:val="24"/>
          <w:szCs w:val="24"/>
        </w:rPr>
        <w:t>противвредности</w:t>
      </w:r>
      <w:r w:rsidRPr="00FB5A28">
        <w:rPr>
          <w:rFonts w:ascii="Times New Roman" w:hAnsi="Times New Roman"/>
          <w:sz w:val="24"/>
          <w:szCs w:val="24"/>
        </w:rPr>
        <w:t xml:space="preserve"> </w:t>
      </w:r>
      <w:r w:rsidR="0010457D" w:rsidRPr="00FB5A28">
        <w:rPr>
          <w:rFonts w:ascii="Times New Roman" w:hAnsi="Times New Roman"/>
          <w:sz w:val="24"/>
          <w:szCs w:val="24"/>
        </w:rPr>
        <w:t>по</w:t>
      </w:r>
      <w:r w:rsidRPr="00FB5A28">
        <w:rPr>
          <w:rFonts w:ascii="Times New Roman" w:hAnsi="Times New Roman"/>
          <w:sz w:val="24"/>
          <w:szCs w:val="24"/>
        </w:rPr>
        <w:t xml:space="preserve"> </w:t>
      </w:r>
      <w:r w:rsidR="0010457D" w:rsidRPr="00FB5A28">
        <w:rPr>
          <w:rFonts w:ascii="Times New Roman" w:hAnsi="Times New Roman"/>
          <w:sz w:val="24"/>
          <w:szCs w:val="24"/>
        </w:rPr>
        <w:t>средњем</w:t>
      </w:r>
      <w:r w:rsidRPr="00FB5A28">
        <w:rPr>
          <w:rFonts w:ascii="Times New Roman" w:hAnsi="Times New Roman"/>
          <w:sz w:val="24"/>
          <w:szCs w:val="24"/>
        </w:rPr>
        <w:t xml:space="preserve"> </w:t>
      </w:r>
      <w:r w:rsidR="0010457D" w:rsidRPr="00FB5A28">
        <w:rPr>
          <w:rFonts w:ascii="Times New Roman" w:hAnsi="Times New Roman"/>
          <w:sz w:val="24"/>
          <w:szCs w:val="24"/>
        </w:rPr>
        <w:t>курсу</w:t>
      </w:r>
      <w:r w:rsidRPr="00FB5A28">
        <w:rPr>
          <w:rFonts w:ascii="Times New Roman" w:hAnsi="Times New Roman"/>
          <w:sz w:val="24"/>
          <w:szCs w:val="24"/>
        </w:rPr>
        <w:t xml:space="preserve"> </w:t>
      </w:r>
      <w:r w:rsidR="0010457D" w:rsidRPr="00FB5A28">
        <w:rPr>
          <w:rFonts w:ascii="Times New Roman" w:hAnsi="Times New Roman"/>
          <w:sz w:val="24"/>
          <w:szCs w:val="24"/>
        </w:rPr>
        <w:t>Народне</w:t>
      </w:r>
      <w:r w:rsidRPr="00FB5A28">
        <w:rPr>
          <w:rFonts w:ascii="Times New Roman" w:hAnsi="Times New Roman"/>
          <w:sz w:val="24"/>
          <w:szCs w:val="24"/>
        </w:rPr>
        <w:t xml:space="preserve"> </w:t>
      </w:r>
      <w:r w:rsidR="0010457D" w:rsidRPr="00FB5A28">
        <w:rPr>
          <w:rFonts w:ascii="Times New Roman" w:hAnsi="Times New Roman"/>
          <w:sz w:val="24"/>
          <w:szCs w:val="24"/>
        </w:rPr>
        <w:t>банке</w:t>
      </w:r>
      <w:r w:rsidRPr="00FB5A28">
        <w:rPr>
          <w:rFonts w:ascii="Times New Roman" w:hAnsi="Times New Roman"/>
          <w:sz w:val="24"/>
          <w:szCs w:val="24"/>
        </w:rPr>
        <w:t xml:space="preserve"> </w:t>
      </w:r>
      <w:r w:rsidR="0010457D" w:rsidRPr="00FB5A28">
        <w:rPr>
          <w:rFonts w:ascii="Times New Roman" w:hAnsi="Times New Roman"/>
          <w:sz w:val="24"/>
          <w:szCs w:val="24"/>
        </w:rPr>
        <w:t>Србије</w:t>
      </w:r>
      <w:r w:rsidRPr="00FB5A28">
        <w:rPr>
          <w:rFonts w:ascii="Times New Roman" w:hAnsi="Times New Roman"/>
          <w:sz w:val="24"/>
          <w:szCs w:val="24"/>
        </w:rPr>
        <w:t xml:space="preserve">, </w:t>
      </w:r>
      <w:r w:rsidR="0010457D" w:rsidRPr="00FB5A28">
        <w:rPr>
          <w:rFonts w:ascii="Times New Roman" w:hAnsi="Times New Roman"/>
          <w:sz w:val="24"/>
          <w:szCs w:val="24"/>
        </w:rPr>
        <w:t>укључујући</w:t>
      </w:r>
      <w:r w:rsidRPr="00FB5A28">
        <w:rPr>
          <w:rFonts w:ascii="Times New Roman" w:hAnsi="Times New Roman"/>
          <w:sz w:val="24"/>
          <w:szCs w:val="24"/>
        </w:rPr>
        <w:t xml:space="preserve"> </w:t>
      </w:r>
      <w:r w:rsidR="0010457D" w:rsidRPr="00FB5A28">
        <w:rPr>
          <w:rFonts w:ascii="Times New Roman" w:hAnsi="Times New Roman"/>
          <w:sz w:val="24"/>
          <w:szCs w:val="24"/>
        </w:rPr>
        <w:t>ПДВ</w:t>
      </w:r>
      <w:r w:rsidRPr="00FB5A28">
        <w:rPr>
          <w:rFonts w:ascii="Times New Roman" w:hAnsi="Times New Roman"/>
          <w:sz w:val="24"/>
          <w:szCs w:val="24"/>
        </w:rPr>
        <w:t>;</w:t>
      </w:r>
    </w:p>
    <w:p w:rsidR="003B24F4" w:rsidRPr="00FB5A28" w:rsidRDefault="003B24F4" w:rsidP="00FB5A28">
      <w:pPr>
        <w:ind w:firstLine="708"/>
        <w:jc w:val="both"/>
        <w:rPr>
          <w:rFonts w:ascii="Times New Roman" w:hAnsi="Times New Roman"/>
          <w:sz w:val="24"/>
          <w:szCs w:val="24"/>
          <w:lang w:val="sr-Cyrl-CS"/>
        </w:rPr>
      </w:pPr>
      <w:r w:rsidRPr="00FB5A28">
        <w:rPr>
          <w:rFonts w:ascii="Times New Roman" w:hAnsi="Times New Roman"/>
          <w:sz w:val="24"/>
          <w:szCs w:val="24"/>
          <w:lang w:val="sr-Cyrl-CS"/>
        </w:rPr>
        <w:t>На основу наведеног произилази да се код нас примењује поменути принцип дестинације-одредишта.</w:t>
      </w:r>
      <w:r w:rsidR="009704A4" w:rsidRPr="00FB5A28">
        <w:rPr>
          <w:rFonts w:ascii="Times New Roman" w:hAnsi="Times New Roman"/>
          <w:sz w:val="24"/>
          <w:szCs w:val="24"/>
          <w:lang w:val="sr-Cyrl-CS"/>
        </w:rPr>
        <w:t xml:space="preserve"> </w:t>
      </w:r>
      <w:r w:rsidR="00682C67" w:rsidRPr="00FB5A28">
        <w:rPr>
          <w:rFonts w:ascii="Times New Roman" w:hAnsi="Times New Roman"/>
          <w:sz w:val="24"/>
          <w:szCs w:val="24"/>
          <w:lang w:val="sr-Cyrl-CS"/>
        </w:rPr>
        <w:t xml:space="preserve">Правилником </w:t>
      </w:r>
      <w:r w:rsidR="009704A4" w:rsidRPr="00FB5A28">
        <w:rPr>
          <w:rFonts w:ascii="Times New Roman" w:hAnsi="Times New Roman"/>
          <w:sz w:val="24"/>
          <w:szCs w:val="24"/>
          <w:lang w:val="sr-Cyrl-CS"/>
        </w:rPr>
        <w:t>о начину и поступку остваривања пореских ослобођења код ПДВ са правом на одбитак претходног пореза</w:t>
      </w:r>
      <w:r w:rsidR="0088734B" w:rsidRPr="00FB5A28">
        <w:rPr>
          <w:rStyle w:val="FootnoteReference"/>
          <w:rFonts w:ascii="Times New Roman" w:hAnsi="Times New Roman"/>
          <w:color w:val="000000"/>
          <w:sz w:val="24"/>
          <w:szCs w:val="24"/>
          <w:shd w:val="clear" w:color="auto" w:fill="FFFFFF"/>
        </w:rPr>
        <w:footnoteReference w:id="374"/>
      </w:r>
      <w:r w:rsidR="0088734B" w:rsidRPr="00FB5A28">
        <w:rPr>
          <w:rFonts w:ascii="Times New Roman" w:hAnsi="Times New Roman"/>
          <w:sz w:val="24"/>
          <w:szCs w:val="24"/>
          <w:shd w:val="clear" w:color="auto" w:fill="FFFFFF"/>
          <w:lang w:val="sr-Cyrl-CS"/>
        </w:rPr>
        <w:t xml:space="preserve"> </w:t>
      </w:r>
      <w:r w:rsidR="0010457D" w:rsidRPr="00FB5A28">
        <w:rPr>
          <w:rFonts w:ascii="Times New Roman" w:hAnsi="Times New Roman"/>
          <w:sz w:val="24"/>
          <w:szCs w:val="24"/>
          <w:shd w:val="clear" w:color="auto" w:fill="FFFFFF"/>
        </w:rPr>
        <w:t>ближе</w:t>
      </w:r>
      <w:r w:rsidR="0088734B" w:rsidRPr="00FB5A28">
        <w:rPr>
          <w:rFonts w:ascii="Times New Roman" w:hAnsi="Times New Roman"/>
          <w:sz w:val="24"/>
          <w:szCs w:val="24"/>
          <w:shd w:val="clear" w:color="auto" w:fill="FFFFFF"/>
        </w:rPr>
        <w:t xml:space="preserve"> </w:t>
      </w:r>
      <w:r w:rsidR="0010457D" w:rsidRPr="00FB5A28">
        <w:rPr>
          <w:rFonts w:ascii="Times New Roman" w:hAnsi="Times New Roman"/>
          <w:sz w:val="24"/>
          <w:szCs w:val="24"/>
          <w:shd w:val="clear" w:color="auto" w:fill="FFFFFF"/>
        </w:rPr>
        <w:t>се</w:t>
      </w:r>
      <w:r w:rsidR="0088734B" w:rsidRPr="00FB5A28">
        <w:rPr>
          <w:rFonts w:ascii="Times New Roman" w:hAnsi="Times New Roman"/>
          <w:sz w:val="24"/>
          <w:szCs w:val="24"/>
          <w:shd w:val="clear" w:color="auto" w:fill="FFFFFF"/>
        </w:rPr>
        <w:t xml:space="preserve"> </w:t>
      </w:r>
      <w:r w:rsidR="0010457D" w:rsidRPr="00FB5A28">
        <w:rPr>
          <w:rFonts w:ascii="Times New Roman" w:hAnsi="Times New Roman"/>
          <w:sz w:val="24"/>
          <w:szCs w:val="24"/>
          <w:shd w:val="clear" w:color="auto" w:fill="FFFFFF"/>
        </w:rPr>
        <w:t>уређују</w:t>
      </w:r>
      <w:r w:rsidR="0088734B" w:rsidRPr="00FB5A28">
        <w:rPr>
          <w:rFonts w:ascii="Times New Roman" w:hAnsi="Times New Roman"/>
          <w:sz w:val="24"/>
          <w:szCs w:val="24"/>
          <w:shd w:val="clear" w:color="auto" w:fill="FFFFFF"/>
        </w:rPr>
        <w:t xml:space="preserve"> </w:t>
      </w:r>
      <w:r w:rsidR="0010457D" w:rsidRPr="00FB5A28">
        <w:rPr>
          <w:rFonts w:ascii="Times New Roman" w:hAnsi="Times New Roman"/>
          <w:sz w:val="24"/>
          <w:szCs w:val="24"/>
          <w:shd w:val="clear" w:color="auto" w:fill="FFFFFF"/>
        </w:rPr>
        <w:t>начин</w:t>
      </w:r>
      <w:r w:rsidR="0088734B" w:rsidRPr="00FB5A28">
        <w:rPr>
          <w:rFonts w:ascii="Times New Roman" w:hAnsi="Times New Roman"/>
          <w:sz w:val="24"/>
          <w:szCs w:val="24"/>
          <w:shd w:val="clear" w:color="auto" w:fill="FFFFFF"/>
        </w:rPr>
        <w:t xml:space="preserve"> </w:t>
      </w:r>
      <w:r w:rsidR="0010457D" w:rsidRPr="00FB5A28">
        <w:rPr>
          <w:rFonts w:ascii="Times New Roman" w:hAnsi="Times New Roman"/>
          <w:sz w:val="24"/>
          <w:szCs w:val="24"/>
          <w:shd w:val="clear" w:color="auto" w:fill="FFFFFF"/>
        </w:rPr>
        <w:t>и</w:t>
      </w:r>
      <w:r w:rsidR="0088734B" w:rsidRPr="00FB5A28">
        <w:rPr>
          <w:rFonts w:ascii="Times New Roman" w:hAnsi="Times New Roman"/>
          <w:sz w:val="24"/>
          <w:szCs w:val="24"/>
          <w:shd w:val="clear" w:color="auto" w:fill="FFFFFF"/>
        </w:rPr>
        <w:t xml:space="preserve"> </w:t>
      </w:r>
      <w:r w:rsidR="0010457D" w:rsidRPr="00FB5A28">
        <w:rPr>
          <w:rFonts w:ascii="Times New Roman" w:hAnsi="Times New Roman"/>
          <w:sz w:val="24"/>
          <w:szCs w:val="24"/>
          <w:shd w:val="clear" w:color="auto" w:fill="FFFFFF"/>
        </w:rPr>
        <w:t>поступак</w:t>
      </w:r>
      <w:r w:rsidR="0088734B" w:rsidRPr="00FB5A28">
        <w:rPr>
          <w:rFonts w:ascii="Times New Roman" w:hAnsi="Times New Roman"/>
          <w:sz w:val="24"/>
          <w:szCs w:val="24"/>
          <w:shd w:val="clear" w:color="auto" w:fill="FFFFFF"/>
        </w:rPr>
        <w:t xml:space="preserve"> </w:t>
      </w:r>
      <w:r w:rsidR="0010457D" w:rsidRPr="00FB5A28">
        <w:rPr>
          <w:rFonts w:ascii="Times New Roman" w:hAnsi="Times New Roman"/>
          <w:sz w:val="24"/>
          <w:szCs w:val="24"/>
          <w:shd w:val="clear" w:color="auto" w:fill="FFFFFF"/>
        </w:rPr>
        <w:t>остваривања</w:t>
      </w:r>
      <w:r w:rsidR="0088734B" w:rsidRPr="00FB5A28">
        <w:rPr>
          <w:rFonts w:ascii="Times New Roman" w:hAnsi="Times New Roman"/>
          <w:sz w:val="24"/>
          <w:szCs w:val="24"/>
          <w:shd w:val="clear" w:color="auto" w:fill="FFFFFF"/>
        </w:rPr>
        <w:t xml:space="preserve"> </w:t>
      </w:r>
      <w:r w:rsidR="0010457D" w:rsidRPr="00FB5A28">
        <w:rPr>
          <w:rFonts w:ascii="Times New Roman" w:hAnsi="Times New Roman"/>
          <w:sz w:val="24"/>
          <w:szCs w:val="24"/>
          <w:shd w:val="clear" w:color="auto" w:fill="FFFFFF"/>
        </w:rPr>
        <w:t>пореских</w:t>
      </w:r>
      <w:r w:rsidR="0088734B" w:rsidRPr="00FB5A28">
        <w:rPr>
          <w:rFonts w:ascii="Times New Roman" w:hAnsi="Times New Roman"/>
          <w:sz w:val="24"/>
          <w:szCs w:val="24"/>
          <w:shd w:val="clear" w:color="auto" w:fill="FFFFFF"/>
        </w:rPr>
        <w:t xml:space="preserve"> </w:t>
      </w:r>
      <w:r w:rsidR="0010457D" w:rsidRPr="00FB5A28">
        <w:rPr>
          <w:rFonts w:ascii="Times New Roman" w:hAnsi="Times New Roman"/>
          <w:sz w:val="24"/>
          <w:szCs w:val="24"/>
          <w:shd w:val="clear" w:color="auto" w:fill="FFFFFF"/>
        </w:rPr>
        <w:t>ослобођења</w:t>
      </w:r>
      <w:r w:rsidR="0088734B" w:rsidRPr="00FB5A28">
        <w:rPr>
          <w:rFonts w:ascii="Times New Roman" w:hAnsi="Times New Roman"/>
          <w:sz w:val="24"/>
          <w:szCs w:val="24"/>
          <w:shd w:val="clear" w:color="auto" w:fill="FFFFFF"/>
        </w:rPr>
        <w:t xml:space="preserve"> </w:t>
      </w:r>
      <w:r w:rsidR="0010457D" w:rsidRPr="00FB5A28">
        <w:rPr>
          <w:rFonts w:ascii="Times New Roman" w:hAnsi="Times New Roman"/>
          <w:sz w:val="24"/>
          <w:szCs w:val="24"/>
          <w:shd w:val="clear" w:color="auto" w:fill="FFFFFF"/>
        </w:rPr>
        <w:t>код</w:t>
      </w:r>
      <w:r w:rsidR="0088734B" w:rsidRPr="00FB5A28">
        <w:rPr>
          <w:rFonts w:ascii="Times New Roman" w:hAnsi="Times New Roman"/>
          <w:sz w:val="24"/>
          <w:szCs w:val="24"/>
          <w:shd w:val="clear" w:color="auto" w:fill="FFFFFF"/>
        </w:rPr>
        <w:t xml:space="preserve"> </w:t>
      </w:r>
      <w:r w:rsidR="0010457D" w:rsidRPr="00FB5A28">
        <w:rPr>
          <w:rFonts w:ascii="Times New Roman" w:hAnsi="Times New Roman"/>
          <w:sz w:val="24"/>
          <w:szCs w:val="24"/>
          <w:shd w:val="clear" w:color="auto" w:fill="FFFFFF"/>
        </w:rPr>
        <w:t>ПДВ</w:t>
      </w:r>
      <w:r w:rsidR="0088734B" w:rsidRPr="00FB5A28">
        <w:rPr>
          <w:rFonts w:ascii="Times New Roman" w:hAnsi="Times New Roman"/>
          <w:sz w:val="24"/>
          <w:szCs w:val="24"/>
          <w:shd w:val="clear" w:color="auto" w:fill="FFFFFF"/>
        </w:rPr>
        <w:t xml:space="preserve"> </w:t>
      </w:r>
      <w:r w:rsidR="0010457D" w:rsidRPr="00FB5A28">
        <w:rPr>
          <w:rFonts w:ascii="Times New Roman" w:hAnsi="Times New Roman"/>
          <w:sz w:val="24"/>
          <w:szCs w:val="24"/>
          <w:shd w:val="clear" w:color="auto" w:fill="FFFFFF"/>
        </w:rPr>
        <w:t>за</w:t>
      </w:r>
      <w:r w:rsidR="0088734B" w:rsidRPr="00FB5A28">
        <w:rPr>
          <w:rFonts w:ascii="Times New Roman" w:hAnsi="Times New Roman"/>
          <w:sz w:val="24"/>
          <w:szCs w:val="24"/>
          <w:shd w:val="clear" w:color="auto" w:fill="FFFFFF"/>
        </w:rPr>
        <w:t xml:space="preserve"> </w:t>
      </w:r>
      <w:r w:rsidR="0010457D" w:rsidRPr="00FB5A28">
        <w:rPr>
          <w:rFonts w:ascii="Times New Roman" w:hAnsi="Times New Roman"/>
          <w:sz w:val="24"/>
          <w:szCs w:val="24"/>
          <w:shd w:val="clear" w:color="auto" w:fill="FFFFFF"/>
        </w:rPr>
        <w:t>промет</w:t>
      </w:r>
      <w:r w:rsidR="0088734B" w:rsidRPr="00FB5A28">
        <w:rPr>
          <w:rFonts w:ascii="Times New Roman" w:hAnsi="Times New Roman"/>
          <w:sz w:val="24"/>
          <w:szCs w:val="24"/>
          <w:shd w:val="clear" w:color="auto" w:fill="FFFFFF"/>
        </w:rPr>
        <w:t xml:space="preserve"> </w:t>
      </w:r>
      <w:r w:rsidR="0010457D" w:rsidRPr="00FB5A28">
        <w:rPr>
          <w:rFonts w:ascii="Times New Roman" w:hAnsi="Times New Roman"/>
          <w:sz w:val="24"/>
          <w:szCs w:val="24"/>
          <w:shd w:val="clear" w:color="auto" w:fill="FFFFFF"/>
        </w:rPr>
        <w:t>добара</w:t>
      </w:r>
      <w:r w:rsidR="0088734B" w:rsidRPr="00FB5A28">
        <w:rPr>
          <w:rFonts w:ascii="Times New Roman" w:hAnsi="Times New Roman"/>
          <w:sz w:val="24"/>
          <w:szCs w:val="24"/>
          <w:shd w:val="clear" w:color="auto" w:fill="FFFFFF"/>
        </w:rPr>
        <w:t xml:space="preserve"> </w:t>
      </w:r>
      <w:r w:rsidR="0010457D" w:rsidRPr="00FB5A28">
        <w:rPr>
          <w:rFonts w:ascii="Times New Roman" w:hAnsi="Times New Roman"/>
          <w:sz w:val="24"/>
          <w:szCs w:val="24"/>
          <w:shd w:val="clear" w:color="auto" w:fill="FFFFFF"/>
        </w:rPr>
        <w:t>и</w:t>
      </w:r>
      <w:r w:rsidR="0088734B" w:rsidRPr="00FB5A28">
        <w:rPr>
          <w:rFonts w:ascii="Times New Roman" w:hAnsi="Times New Roman"/>
          <w:sz w:val="24"/>
          <w:szCs w:val="24"/>
          <w:shd w:val="clear" w:color="auto" w:fill="FFFFFF"/>
        </w:rPr>
        <w:t xml:space="preserve"> </w:t>
      </w:r>
      <w:r w:rsidR="0010457D" w:rsidRPr="00FB5A28">
        <w:rPr>
          <w:rFonts w:ascii="Times New Roman" w:hAnsi="Times New Roman"/>
          <w:sz w:val="24"/>
          <w:szCs w:val="24"/>
          <w:shd w:val="clear" w:color="auto" w:fill="FFFFFF"/>
        </w:rPr>
        <w:t>услуга</w:t>
      </w:r>
      <w:r w:rsidR="0088734B" w:rsidRPr="00FB5A28">
        <w:rPr>
          <w:rFonts w:ascii="Times New Roman" w:hAnsi="Times New Roman"/>
          <w:sz w:val="24"/>
          <w:szCs w:val="24"/>
          <w:shd w:val="clear" w:color="auto" w:fill="FFFFFF"/>
        </w:rPr>
        <w:t xml:space="preserve"> </w:t>
      </w:r>
      <w:r w:rsidR="0010457D" w:rsidRPr="00FB5A28">
        <w:rPr>
          <w:rFonts w:ascii="Times New Roman" w:hAnsi="Times New Roman"/>
          <w:sz w:val="24"/>
          <w:szCs w:val="24"/>
          <w:shd w:val="clear" w:color="auto" w:fill="FFFFFF"/>
        </w:rPr>
        <w:t>са</w:t>
      </w:r>
      <w:r w:rsidR="0088734B" w:rsidRPr="00FB5A28">
        <w:rPr>
          <w:rFonts w:ascii="Times New Roman" w:hAnsi="Times New Roman"/>
          <w:sz w:val="24"/>
          <w:szCs w:val="24"/>
          <w:shd w:val="clear" w:color="auto" w:fill="FFFFFF"/>
        </w:rPr>
        <w:t xml:space="preserve"> </w:t>
      </w:r>
      <w:r w:rsidR="0010457D" w:rsidRPr="00FB5A28">
        <w:rPr>
          <w:rFonts w:ascii="Times New Roman" w:hAnsi="Times New Roman"/>
          <w:sz w:val="24"/>
          <w:szCs w:val="24"/>
          <w:shd w:val="clear" w:color="auto" w:fill="FFFFFF"/>
        </w:rPr>
        <w:t>правом</w:t>
      </w:r>
      <w:r w:rsidR="0088734B" w:rsidRPr="00FB5A28">
        <w:rPr>
          <w:rFonts w:ascii="Times New Roman" w:hAnsi="Times New Roman"/>
          <w:sz w:val="24"/>
          <w:szCs w:val="24"/>
          <w:shd w:val="clear" w:color="auto" w:fill="FFFFFF"/>
        </w:rPr>
        <w:t xml:space="preserve"> </w:t>
      </w:r>
      <w:r w:rsidR="0010457D" w:rsidRPr="00FB5A28">
        <w:rPr>
          <w:rFonts w:ascii="Times New Roman" w:hAnsi="Times New Roman"/>
          <w:sz w:val="24"/>
          <w:szCs w:val="24"/>
          <w:shd w:val="clear" w:color="auto" w:fill="FFFFFF"/>
        </w:rPr>
        <w:t>на</w:t>
      </w:r>
      <w:r w:rsidR="0088734B" w:rsidRPr="00FB5A28">
        <w:rPr>
          <w:rFonts w:ascii="Times New Roman" w:hAnsi="Times New Roman"/>
          <w:sz w:val="24"/>
          <w:szCs w:val="24"/>
          <w:shd w:val="clear" w:color="auto" w:fill="FFFFFF"/>
        </w:rPr>
        <w:t xml:space="preserve"> </w:t>
      </w:r>
      <w:r w:rsidR="0010457D" w:rsidRPr="00FB5A28">
        <w:rPr>
          <w:rFonts w:ascii="Times New Roman" w:hAnsi="Times New Roman"/>
          <w:sz w:val="24"/>
          <w:szCs w:val="24"/>
          <w:shd w:val="clear" w:color="auto" w:fill="FFFFFF"/>
        </w:rPr>
        <w:t>одбитак</w:t>
      </w:r>
      <w:r w:rsidR="0088734B" w:rsidRPr="00FB5A28">
        <w:rPr>
          <w:rFonts w:ascii="Times New Roman" w:hAnsi="Times New Roman"/>
          <w:sz w:val="24"/>
          <w:szCs w:val="24"/>
          <w:shd w:val="clear" w:color="auto" w:fill="FFFFFF"/>
        </w:rPr>
        <w:t xml:space="preserve"> </w:t>
      </w:r>
      <w:r w:rsidR="0010457D" w:rsidRPr="00FB5A28">
        <w:rPr>
          <w:rFonts w:ascii="Times New Roman" w:hAnsi="Times New Roman"/>
          <w:sz w:val="24"/>
          <w:szCs w:val="24"/>
          <w:shd w:val="clear" w:color="auto" w:fill="FFFFFF"/>
        </w:rPr>
        <w:t>претходног</w:t>
      </w:r>
      <w:r w:rsidR="0088734B" w:rsidRPr="00FB5A28">
        <w:rPr>
          <w:rFonts w:ascii="Times New Roman" w:hAnsi="Times New Roman"/>
          <w:sz w:val="24"/>
          <w:szCs w:val="24"/>
          <w:shd w:val="clear" w:color="auto" w:fill="FFFFFF"/>
        </w:rPr>
        <w:t xml:space="preserve"> </w:t>
      </w:r>
      <w:r w:rsidR="0010457D" w:rsidRPr="00FB5A28">
        <w:rPr>
          <w:rFonts w:ascii="Times New Roman" w:hAnsi="Times New Roman"/>
          <w:sz w:val="24"/>
          <w:szCs w:val="24"/>
          <w:shd w:val="clear" w:color="auto" w:fill="FFFFFF"/>
        </w:rPr>
        <w:t>пореза</w:t>
      </w:r>
      <w:r w:rsidR="00FB5A28">
        <w:rPr>
          <w:rFonts w:ascii="Times New Roman" w:hAnsi="Times New Roman"/>
          <w:sz w:val="24"/>
          <w:szCs w:val="24"/>
          <w:shd w:val="clear" w:color="auto" w:fill="FFFFFF"/>
          <w:lang w:val="sr-Cyrl-CS"/>
        </w:rPr>
        <w:t>.</w:t>
      </w:r>
    </w:p>
    <w:p w:rsidR="0088734B" w:rsidRPr="00FB5A28" w:rsidRDefault="0088734B" w:rsidP="00FB5A28">
      <w:pPr>
        <w:jc w:val="both"/>
        <w:rPr>
          <w:rFonts w:ascii="Times New Roman" w:hAnsi="Times New Roman"/>
          <w:b/>
          <w:sz w:val="24"/>
          <w:szCs w:val="24"/>
          <w:lang w:val="sr-Cyrl-CS"/>
        </w:rPr>
      </w:pPr>
    </w:p>
    <w:p w:rsidR="00C27346" w:rsidRPr="00FB5A28" w:rsidRDefault="0088734B" w:rsidP="00FB5A28">
      <w:pPr>
        <w:ind w:firstLine="708"/>
        <w:jc w:val="both"/>
        <w:rPr>
          <w:rFonts w:ascii="Times New Roman" w:hAnsi="Times New Roman"/>
          <w:sz w:val="24"/>
          <w:szCs w:val="24"/>
          <w:lang w:val="sr-Cyrl-CS"/>
        </w:rPr>
      </w:pPr>
      <w:r w:rsidRPr="00FB5A28">
        <w:rPr>
          <w:rFonts w:ascii="Times New Roman" w:hAnsi="Times New Roman"/>
          <w:sz w:val="24"/>
          <w:szCs w:val="24"/>
          <w:lang w:val="sr-Cyrl-CS"/>
        </w:rPr>
        <w:t>Промет добара</w:t>
      </w:r>
      <w:r w:rsidR="009704A4" w:rsidRPr="00FB5A28">
        <w:rPr>
          <w:rStyle w:val="FootnoteReference"/>
          <w:rFonts w:ascii="Times New Roman" w:hAnsi="Times New Roman"/>
          <w:color w:val="000000"/>
          <w:sz w:val="24"/>
          <w:szCs w:val="24"/>
          <w:lang w:val="sr-Cyrl-CS"/>
        </w:rPr>
        <w:footnoteReference w:id="375"/>
      </w:r>
      <w:r w:rsidRPr="00FB5A28">
        <w:rPr>
          <w:rFonts w:ascii="Times New Roman" w:hAnsi="Times New Roman"/>
          <w:sz w:val="24"/>
          <w:szCs w:val="24"/>
        </w:rPr>
        <w:t xml:space="preserve"> </w:t>
      </w:r>
      <w:r w:rsidR="0010457D" w:rsidRPr="00FB5A28">
        <w:rPr>
          <w:rFonts w:ascii="Times New Roman" w:hAnsi="Times New Roman"/>
          <w:sz w:val="24"/>
          <w:szCs w:val="24"/>
        </w:rPr>
        <w:t>је</w:t>
      </w:r>
      <w:r w:rsidRPr="00FB5A28">
        <w:rPr>
          <w:rFonts w:ascii="Times New Roman" w:hAnsi="Times New Roman"/>
          <w:sz w:val="24"/>
          <w:szCs w:val="24"/>
        </w:rPr>
        <w:t xml:space="preserve"> </w:t>
      </w:r>
      <w:r w:rsidR="0010457D" w:rsidRPr="00FB5A28">
        <w:rPr>
          <w:rFonts w:ascii="Times New Roman" w:hAnsi="Times New Roman"/>
          <w:sz w:val="24"/>
          <w:szCs w:val="24"/>
        </w:rPr>
        <w:t>пренос</w:t>
      </w:r>
      <w:r w:rsidRPr="00FB5A28">
        <w:rPr>
          <w:rFonts w:ascii="Times New Roman" w:hAnsi="Times New Roman"/>
          <w:sz w:val="24"/>
          <w:szCs w:val="24"/>
        </w:rPr>
        <w:t xml:space="preserve"> </w:t>
      </w:r>
      <w:r w:rsidR="0010457D" w:rsidRPr="00FB5A28">
        <w:rPr>
          <w:rFonts w:ascii="Times New Roman" w:hAnsi="Times New Roman"/>
          <w:sz w:val="24"/>
          <w:szCs w:val="24"/>
        </w:rPr>
        <w:t>права</w:t>
      </w:r>
      <w:r w:rsidRPr="00FB5A28">
        <w:rPr>
          <w:rFonts w:ascii="Times New Roman" w:hAnsi="Times New Roman"/>
          <w:sz w:val="24"/>
          <w:szCs w:val="24"/>
        </w:rPr>
        <w:t xml:space="preserve"> </w:t>
      </w:r>
      <w:r w:rsidR="0010457D" w:rsidRPr="00FB5A28">
        <w:rPr>
          <w:rFonts w:ascii="Times New Roman" w:hAnsi="Times New Roman"/>
          <w:sz w:val="24"/>
          <w:szCs w:val="24"/>
        </w:rPr>
        <w:t>располагања</w:t>
      </w:r>
      <w:r w:rsidRPr="00FB5A28">
        <w:rPr>
          <w:rFonts w:ascii="Times New Roman" w:hAnsi="Times New Roman"/>
          <w:sz w:val="24"/>
          <w:szCs w:val="24"/>
        </w:rPr>
        <w:t xml:space="preserve"> </w:t>
      </w:r>
      <w:r w:rsidR="0010457D" w:rsidRPr="00FB5A28">
        <w:rPr>
          <w:rFonts w:ascii="Times New Roman" w:hAnsi="Times New Roman"/>
          <w:sz w:val="24"/>
          <w:szCs w:val="24"/>
        </w:rPr>
        <w:t>на</w:t>
      </w:r>
      <w:r w:rsidRPr="00FB5A28">
        <w:rPr>
          <w:rFonts w:ascii="Times New Roman" w:hAnsi="Times New Roman"/>
          <w:sz w:val="24"/>
          <w:szCs w:val="24"/>
        </w:rPr>
        <w:t xml:space="preserve"> </w:t>
      </w:r>
      <w:r w:rsidR="0010457D" w:rsidRPr="00FB5A28">
        <w:rPr>
          <w:rFonts w:ascii="Times New Roman" w:hAnsi="Times New Roman"/>
          <w:sz w:val="24"/>
          <w:szCs w:val="24"/>
        </w:rPr>
        <w:t>телесним</w:t>
      </w:r>
      <w:r w:rsidRPr="00FB5A28">
        <w:rPr>
          <w:rFonts w:ascii="Times New Roman" w:hAnsi="Times New Roman"/>
          <w:sz w:val="24"/>
          <w:szCs w:val="24"/>
        </w:rPr>
        <w:t xml:space="preserve"> </w:t>
      </w:r>
      <w:r w:rsidR="0010457D" w:rsidRPr="00FB5A28">
        <w:rPr>
          <w:rFonts w:ascii="Times New Roman" w:hAnsi="Times New Roman"/>
          <w:sz w:val="24"/>
          <w:szCs w:val="24"/>
        </w:rPr>
        <w:t>стварима</w:t>
      </w:r>
      <w:r w:rsidR="009704A4" w:rsidRPr="00FB5A28">
        <w:rPr>
          <w:rFonts w:ascii="Times New Roman" w:hAnsi="Times New Roman"/>
          <w:sz w:val="24"/>
          <w:szCs w:val="24"/>
        </w:rPr>
        <w:t xml:space="preserve"> </w:t>
      </w:r>
      <w:r w:rsidRPr="00FB5A28">
        <w:rPr>
          <w:rFonts w:ascii="Times New Roman" w:hAnsi="Times New Roman"/>
          <w:sz w:val="24"/>
          <w:szCs w:val="24"/>
        </w:rPr>
        <w:t xml:space="preserve"> </w:t>
      </w:r>
      <w:r w:rsidR="0010457D" w:rsidRPr="00FB5A28">
        <w:rPr>
          <w:rFonts w:ascii="Times New Roman" w:hAnsi="Times New Roman"/>
          <w:sz w:val="24"/>
          <w:szCs w:val="24"/>
        </w:rPr>
        <w:t>лицу</w:t>
      </w:r>
      <w:r w:rsidRPr="00FB5A28">
        <w:rPr>
          <w:rFonts w:ascii="Times New Roman" w:hAnsi="Times New Roman"/>
          <w:sz w:val="24"/>
          <w:szCs w:val="24"/>
        </w:rPr>
        <w:t xml:space="preserve"> </w:t>
      </w:r>
      <w:r w:rsidR="0010457D" w:rsidRPr="00FB5A28">
        <w:rPr>
          <w:rFonts w:ascii="Times New Roman" w:hAnsi="Times New Roman"/>
          <w:sz w:val="24"/>
          <w:szCs w:val="24"/>
        </w:rPr>
        <w:t>које</w:t>
      </w:r>
      <w:r w:rsidRPr="00FB5A28">
        <w:rPr>
          <w:rFonts w:ascii="Times New Roman" w:hAnsi="Times New Roman"/>
          <w:sz w:val="24"/>
          <w:szCs w:val="24"/>
        </w:rPr>
        <w:t xml:space="preserve"> </w:t>
      </w:r>
      <w:r w:rsidR="0010457D" w:rsidRPr="00FB5A28">
        <w:rPr>
          <w:rFonts w:ascii="Times New Roman" w:hAnsi="Times New Roman"/>
          <w:sz w:val="24"/>
          <w:szCs w:val="24"/>
        </w:rPr>
        <w:t>тим</w:t>
      </w:r>
      <w:r w:rsidRPr="00FB5A28">
        <w:rPr>
          <w:rFonts w:ascii="Times New Roman" w:hAnsi="Times New Roman"/>
          <w:sz w:val="24"/>
          <w:szCs w:val="24"/>
        </w:rPr>
        <w:t xml:space="preserve"> </w:t>
      </w:r>
      <w:r w:rsidR="0010457D" w:rsidRPr="00FB5A28">
        <w:rPr>
          <w:rFonts w:ascii="Times New Roman" w:hAnsi="Times New Roman"/>
          <w:sz w:val="24"/>
          <w:szCs w:val="24"/>
        </w:rPr>
        <w:t>добрима</w:t>
      </w:r>
      <w:r w:rsidRPr="00FB5A28">
        <w:rPr>
          <w:rFonts w:ascii="Times New Roman" w:hAnsi="Times New Roman"/>
          <w:sz w:val="24"/>
          <w:szCs w:val="24"/>
        </w:rPr>
        <w:t xml:space="preserve"> </w:t>
      </w:r>
      <w:r w:rsidR="0010457D" w:rsidRPr="00FB5A28">
        <w:rPr>
          <w:rFonts w:ascii="Times New Roman" w:hAnsi="Times New Roman"/>
          <w:sz w:val="24"/>
          <w:szCs w:val="24"/>
        </w:rPr>
        <w:t>може</w:t>
      </w:r>
      <w:r w:rsidRPr="00FB5A28">
        <w:rPr>
          <w:rFonts w:ascii="Times New Roman" w:hAnsi="Times New Roman"/>
          <w:sz w:val="24"/>
          <w:szCs w:val="24"/>
        </w:rPr>
        <w:t xml:space="preserve"> </w:t>
      </w:r>
      <w:r w:rsidR="0010457D" w:rsidRPr="00FB5A28">
        <w:rPr>
          <w:rFonts w:ascii="Times New Roman" w:hAnsi="Times New Roman"/>
          <w:sz w:val="24"/>
          <w:szCs w:val="24"/>
        </w:rPr>
        <w:t>располагати</w:t>
      </w:r>
      <w:r w:rsidR="009704A4" w:rsidRPr="00FB5A28">
        <w:rPr>
          <w:rFonts w:ascii="Times New Roman" w:hAnsi="Times New Roman"/>
          <w:sz w:val="24"/>
          <w:szCs w:val="24"/>
        </w:rPr>
        <w:t xml:space="preserve"> </w:t>
      </w:r>
      <w:r w:rsidR="0010457D" w:rsidRPr="00FB5A28">
        <w:rPr>
          <w:rFonts w:ascii="Times New Roman" w:hAnsi="Times New Roman"/>
          <w:sz w:val="24"/>
          <w:szCs w:val="24"/>
        </w:rPr>
        <w:t>као</w:t>
      </w:r>
      <w:r w:rsidR="009704A4" w:rsidRPr="00FB5A28">
        <w:rPr>
          <w:rFonts w:ascii="Times New Roman" w:hAnsi="Times New Roman"/>
          <w:sz w:val="24"/>
          <w:szCs w:val="24"/>
        </w:rPr>
        <w:t xml:space="preserve"> </w:t>
      </w:r>
      <w:r w:rsidR="0010457D" w:rsidRPr="00FB5A28">
        <w:rPr>
          <w:rFonts w:ascii="Times New Roman" w:hAnsi="Times New Roman"/>
          <w:sz w:val="24"/>
          <w:szCs w:val="24"/>
        </w:rPr>
        <w:t>власник</w:t>
      </w:r>
      <w:r w:rsidR="009704A4" w:rsidRPr="00FB5A28">
        <w:rPr>
          <w:rFonts w:ascii="Times New Roman" w:hAnsi="Times New Roman"/>
          <w:sz w:val="24"/>
          <w:szCs w:val="24"/>
        </w:rPr>
        <w:t>,</w:t>
      </w:r>
      <w:r w:rsidR="009704A4" w:rsidRPr="00FB5A28">
        <w:rPr>
          <w:rFonts w:ascii="Times New Roman" w:hAnsi="Times New Roman"/>
          <w:sz w:val="24"/>
          <w:szCs w:val="24"/>
          <w:lang w:val="sr-Cyrl-CS"/>
        </w:rPr>
        <w:t xml:space="preserve"> (</w:t>
      </w:r>
      <w:r w:rsidR="00C27346" w:rsidRPr="00FB5A28">
        <w:rPr>
          <w:rFonts w:ascii="Times New Roman" w:hAnsi="Times New Roman"/>
          <w:sz w:val="24"/>
          <w:szCs w:val="24"/>
          <w:lang w:val="sr-Cyrl-CS"/>
        </w:rPr>
        <w:t>роба, сировине, непокретности, готови производи и</w:t>
      </w:r>
      <w:r w:rsidR="009704A4" w:rsidRPr="00FB5A28">
        <w:rPr>
          <w:rFonts w:ascii="Times New Roman" w:hAnsi="Times New Roman"/>
          <w:sz w:val="24"/>
          <w:szCs w:val="24"/>
          <w:lang w:val="sr-Cyrl-CS"/>
        </w:rPr>
        <w:t xml:space="preserve"> </w:t>
      </w:r>
      <w:r w:rsidR="00C27346" w:rsidRPr="00FB5A28">
        <w:rPr>
          <w:rFonts w:ascii="Times New Roman" w:hAnsi="Times New Roman"/>
          <w:sz w:val="24"/>
          <w:szCs w:val="24"/>
          <w:lang w:val="sr-Cyrl-CS"/>
        </w:rPr>
        <w:t>сл).</w:t>
      </w:r>
      <w:r w:rsidR="009704A4" w:rsidRPr="00FB5A28">
        <w:rPr>
          <w:rFonts w:ascii="Times New Roman" w:hAnsi="Times New Roman"/>
          <w:sz w:val="24"/>
          <w:szCs w:val="24"/>
          <w:lang w:val="sr-Cyrl-CS"/>
        </w:rPr>
        <w:t xml:space="preserve"> </w:t>
      </w:r>
      <w:r w:rsidR="0010457D" w:rsidRPr="00FB5A28">
        <w:rPr>
          <w:rFonts w:ascii="Times New Roman" w:hAnsi="Times New Roman"/>
          <w:sz w:val="24"/>
          <w:szCs w:val="24"/>
        </w:rPr>
        <w:t>Добрима</w:t>
      </w:r>
      <w:r w:rsidRPr="00FB5A28">
        <w:rPr>
          <w:rFonts w:ascii="Times New Roman" w:hAnsi="Times New Roman"/>
          <w:sz w:val="24"/>
          <w:szCs w:val="24"/>
        </w:rPr>
        <w:t xml:space="preserve"> </w:t>
      </w:r>
      <w:r w:rsidR="0010457D" w:rsidRPr="00FB5A28">
        <w:rPr>
          <w:rFonts w:ascii="Times New Roman" w:hAnsi="Times New Roman"/>
          <w:sz w:val="24"/>
          <w:szCs w:val="24"/>
        </w:rPr>
        <w:t>се</w:t>
      </w:r>
      <w:r w:rsidRPr="00FB5A28">
        <w:rPr>
          <w:rFonts w:ascii="Times New Roman" w:hAnsi="Times New Roman"/>
          <w:sz w:val="24"/>
          <w:szCs w:val="24"/>
        </w:rPr>
        <w:t xml:space="preserve"> </w:t>
      </w:r>
      <w:r w:rsidR="0010457D" w:rsidRPr="00FB5A28">
        <w:rPr>
          <w:rFonts w:ascii="Times New Roman" w:hAnsi="Times New Roman"/>
          <w:sz w:val="24"/>
          <w:szCs w:val="24"/>
        </w:rPr>
        <w:t>сматрају</w:t>
      </w:r>
      <w:r w:rsidRPr="00FB5A28">
        <w:rPr>
          <w:rFonts w:ascii="Times New Roman" w:hAnsi="Times New Roman"/>
          <w:sz w:val="24"/>
          <w:szCs w:val="24"/>
        </w:rPr>
        <w:t xml:space="preserve"> </w:t>
      </w:r>
      <w:r w:rsidR="0010457D" w:rsidRPr="00FB5A28">
        <w:rPr>
          <w:rFonts w:ascii="Times New Roman" w:hAnsi="Times New Roman"/>
          <w:sz w:val="24"/>
          <w:szCs w:val="24"/>
        </w:rPr>
        <w:t>и</w:t>
      </w:r>
      <w:r w:rsidRPr="00FB5A28">
        <w:rPr>
          <w:rFonts w:ascii="Times New Roman" w:hAnsi="Times New Roman"/>
          <w:sz w:val="24"/>
          <w:szCs w:val="24"/>
        </w:rPr>
        <w:t xml:space="preserve"> </w:t>
      </w:r>
      <w:r w:rsidR="009704A4" w:rsidRPr="00FB5A28">
        <w:rPr>
          <w:rFonts w:ascii="Times New Roman" w:hAnsi="Times New Roman"/>
          <w:sz w:val="24"/>
          <w:szCs w:val="24"/>
          <w:lang w:val="sr-Cyrl-CS"/>
        </w:rPr>
        <w:t xml:space="preserve"> (нематеријалне ствари као што су: </w:t>
      </w:r>
      <w:r w:rsidR="0010457D" w:rsidRPr="00FB5A28">
        <w:rPr>
          <w:rFonts w:ascii="Times New Roman" w:hAnsi="Times New Roman"/>
          <w:sz w:val="24"/>
          <w:szCs w:val="24"/>
        </w:rPr>
        <w:t>вода</w:t>
      </w:r>
      <w:r w:rsidRPr="00FB5A28">
        <w:rPr>
          <w:rFonts w:ascii="Times New Roman" w:hAnsi="Times New Roman"/>
          <w:sz w:val="24"/>
          <w:szCs w:val="24"/>
        </w:rPr>
        <w:t xml:space="preserve">, </w:t>
      </w:r>
      <w:r w:rsidR="0010457D" w:rsidRPr="00FB5A28">
        <w:rPr>
          <w:rFonts w:ascii="Times New Roman" w:hAnsi="Times New Roman"/>
          <w:sz w:val="24"/>
          <w:szCs w:val="24"/>
        </w:rPr>
        <w:t>електрична</w:t>
      </w:r>
      <w:r w:rsidRPr="00FB5A28">
        <w:rPr>
          <w:rFonts w:ascii="Times New Roman" w:hAnsi="Times New Roman"/>
          <w:sz w:val="24"/>
          <w:szCs w:val="24"/>
        </w:rPr>
        <w:t xml:space="preserve"> </w:t>
      </w:r>
      <w:r w:rsidR="0010457D" w:rsidRPr="00FB5A28">
        <w:rPr>
          <w:rFonts w:ascii="Times New Roman" w:hAnsi="Times New Roman"/>
          <w:sz w:val="24"/>
          <w:szCs w:val="24"/>
        </w:rPr>
        <w:t>енергија</w:t>
      </w:r>
      <w:r w:rsidRPr="00FB5A28">
        <w:rPr>
          <w:rFonts w:ascii="Times New Roman" w:hAnsi="Times New Roman"/>
          <w:sz w:val="24"/>
          <w:szCs w:val="24"/>
        </w:rPr>
        <w:t xml:space="preserve">, </w:t>
      </w:r>
      <w:r w:rsidR="0010457D" w:rsidRPr="00FB5A28">
        <w:rPr>
          <w:rFonts w:ascii="Times New Roman" w:hAnsi="Times New Roman"/>
          <w:sz w:val="24"/>
          <w:szCs w:val="24"/>
        </w:rPr>
        <w:t>гас</w:t>
      </w:r>
      <w:r w:rsidRPr="00FB5A28">
        <w:rPr>
          <w:rFonts w:ascii="Times New Roman" w:hAnsi="Times New Roman"/>
          <w:sz w:val="24"/>
          <w:szCs w:val="24"/>
        </w:rPr>
        <w:t xml:space="preserve"> </w:t>
      </w:r>
      <w:r w:rsidR="0010457D" w:rsidRPr="00FB5A28">
        <w:rPr>
          <w:rFonts w:ascii="Times New Roman" w:hAnsi="Times New Roman"/>
          <w:sz w:val="24"/>
          <w:szCs w:val="24"/>
        </w:rPr>
        <w:t>и</w:t>
      </w:r>
      <w:r w:rsidRPr="00FB5A28">
        <w:rPr>
          <w:rFonts w:ascii="Times New Roman" w:hAnsi="Times New Roman"/>
          <w:sz w:val="24"/>
          <w:szCs w:val="24"/>
        </w:rPr>
        <w:t xml:space="preserve"> </w:t>
      </w:r>
      <w:r w:rsidR="0010457D" w:rsidRPr="00FB5A28">
        <w:rPr>
          <w:rFonts w:ascii="Times New Roman" w:hAnsi="Times New Roman"/>
          <w:sz w:val="24"/>
          <w:szCs w:val="24"/>
        </w:rPr>
        <w:t>топлотна</w:t>
      </w:r>
      <w:r w:rsidRPr="00FB5A28">
        <w:rPr>
          <w:rFonts w:ascii="Times New Roman" w:hAnsi="Times New Roman"/>
          <w:sz w:val="24"/>
          <w:szCs w:val="24"/>
        </w:rPr>
        <w:t xml:space="preserve"> </w:t>
      </w:r>
      <w:r w:rsidR="0010457D" w:rsidRPr="00FB5A28">
        <w:rPr>
          <w:rFonts w:ascii="Times New Roman" w:hAnsi="Times New Roman"/>
          <w:sz w:val="24"/>
          <w:szCs w:val="24"/>
        </w:rPr>
        <w:t>енергија</w:t>
      </w:r>
      <w:r w:rsidRPr="00FB5A28">
        <w:rPr>
          <w:rFonts w:ascii="Times New Roman" w:hAnsi="Times New Roman"/>
          <w:sz w:val="24"/>
          <w:szCs w:val="24"/>
        </w:rPr>
        <w:t>.</w:t>
      </w:r>
      <w:r w:rsidR="009704A4" w:rsidRPr="00FB5A28">
        <w:rPr>
          <w:rFonts w:ascii="Times New Roman" w:hAnsi="Times New Roman"/>
          <w:sz w:val="24"/>
          <w:szCs w:val="24"/>
          <w:lang w:val="sr-Cyrl-CS"/>
        </w:rPr>
        <w:t xml:space="preserve"> </w:t>
      </w:r>
      <w:r w:rsidR="00C27346" w:rsidRPr="00FB5A28">
        <w:rPr>
          <w:rFonts w:ascii="Times New Roman" w:hAnsi="Times New Roman"/>
          <w:sz w:val="24"/>
          <w:szCs w:val="24"/>
          <w:lang w:val="sr-Cyrl-CS"/>
        </w:rPr>
        <w:t>Прометом добара сматрају се и специфичне врсте испорука добара које порески обвезник врши у оквиру обављања своје делатности, између осталог то су:</w:t>
      </w:r>
    </w:p>
    <w:p w:rsidR="00C27346" w:rsidRPr="00FB5A28" w:rsidRDefault="00C27346" w:rsidP="00FB5A28">
      <w:pPr>
        <w:jc w:val="both"/>
        <w:rPr>
          <w:rFonts w:ascii="Times New Roman" w:hAnsi="Times New Roman"/>
          <w:bCs/>
          <w:sz w:val="24"/>
          <w:szCs w:val="24"/>
        </w:rPr>
      </w:pPr>
      <w:r w:rsidRPr="00FB5A28">
        <w:rPr>
          <w:rFonts w:ascii="Times New Roman" w:hAnsi="Times New Roman"/>
          <w:sz w:val="24"/>
          <w:szCs w:val="24"/>
        </w:rPr>
        <w:t xml:space="preserve">1) </w:t>
      </w:r>
      <w:r w:rsidR="0010457D" w:rsidRPr="00FB5A28">
        <w:rPr>
          <w:rFonts w:ascii="Times New Roman" w:hAnsi="Times New Roman"/>
          <w:sz w:val="24"/>
          <w:szCs w:val="24"/>
        </w:rPr>
        <w:t>пренос</w:t>
      </w:r>
      <w:r w:rsidRPr="00FB5A28">
        <w:rPr>
          <w:rFonts w:ascii="Times New Roman" w:hAnsi="Times New Roman"/>
          <w:sz w:val="24"/>
          <w:szCs w:val="24"/>
        </w:rPr>
        <w:t xml:space="preserve"> </w:t>
      </w:r>
      <w:r w:rsidR="0010457D" w:rsidRPr="00FB5A28">
        <w:rPr>
          <w:rFonts w:ascii="Times New Roman" w:hAnsi="Times New Roman"/>
          <w:sz w:val="24"/>
          <w:szCs w:val="24"/>
        </w:rPr>
        <w:t>права</w:t>
      </w:r>
      <w:r w:rsidRPr="00FB5A28">
        <w:rPr>
          <w:rFonts w:ascii="Times New Roman" w:hAnsi="Times New Roman"/>
          <w:sz w:val="24"/>
          <w:szCs w:val="24"/>
        </w:rPr>
        <w:t xml:space="preserve"> </w:t>
      </w:r>
      <w:r w:rsidR="0010457D" w:rsidRPr="00FB5A28">
        <w:rPr>
          <w:rFonts w:ascii="Times New Roman" w:hAnsi="Times New Roman"/>
          <w:sz w:val="24"/>
          <w:szCs w:val="24"/>
        </w:rPr>
        <w:t>располагања</w:t>
      </w:r>
      <w:r w:rsidRPr="00FB5A28">
        <w:rPr>
          <w:rFonts w:ascii="Times New Roman" w:hAnsi="Times New Roman"/>
          <w:sz w:val="24"/>
          <w:szCs w:val="24"/>
        </w:rPr>
        <w:t xml:space="preserve"> </w:t>
      </w:r>
      <w:r w:rsidR="0010457D" w:rsidRPr="00FB5A28">
        <w:rPr>
          <w:rFonts w:ascii="Times New Roman" w:hAnsi="Times New Roman"/>
          <w:sz w:val="24"/>
          <w:szCs w:val="24"/>
        </w:rPr>
        <w:t>на</w:t>
      </w:r>
      <w:r w:rsidRPr="00FB5A28">
        <w:rPr>
          <w:rFonts w:ascii="Times New Roman" w:hAnsi="Times New Roman"/>
          <w:sz w:val="24"/>
          <w:szCs w:val="24"/>
        </w:rPr>
        <w:t xml:space="preserve"> </w:t>
      </w:r>
      <w:r w:rsidR="0010457D" w:rsidRPr="00FB5A28">
        <w:rPr>
          <w:rFonts w:ascii="Times New Roman" w:hAnsi="Times New Roman"/>
          <w:sz w:val="24"/>
          <w:szCs w:val="24"/>
        </w:rPr>
        <w:t>добрима</w:t>
      </w:r>
      <w:r w:rsidRPr="00FB5A28">
        <w:rPr>
          <w:rFonts w:ascii="Times New Roman" w:hAnsi="Times New Roman"/>
          <w:sz w:val="24"/>
          <w:szCs w:val="24"/>
        </w:rPr>
        <w:t xml:space="preserve"> </w:t>
      </w:r>
      <w:r w:rsidR="0010457D" w:rsidRPr="00FB5A28">
        <w:rPr>
          <w:rFonts w:ascii="Times New Roman" w:hAnsi="Times New Roman"/>
          <w:sz w:val="24"/>
          <w:szCs w:val="24"/>
        </w:rPr>
        <w:t>уз</w:t>
      </w:r>
      <w:r w:rsidRPr="00FB5A28">
        <w:rPr>
          <w:rFonts w:ascii="Times New Roman" w:hAnsi="Times New Roman"/>
          <w:sz w:val="24"/>
          <w:szCs w:val="24"/>
        </w:rPr>
        <w:t xml:space="preserve"> </w:t>
      </w:r>
      <w:r w:rsidR="0010457D" w:rsidRPr="00FB5A28">
        <w:rPr>
          <w:rFonts w:ascii="Times New Roman" w:hAnsi="Times New Roman"/>
          <w:sz w:val="24"/>
          <w:szCs w:val="24"/>
        </w:rPr>
        <w:t>накнаду</w:t>
      </w:r>
      <w:r w:rsidRPr="00FB5A28">
        <w:rPr>
          <w:rFonts w:ascii="Times New Roman" w:hAnsi="Times New Roman"/>
          <w:sz w:val="24"/>
          <w:szCs w:val="24"/>
        </w:rPr>
        <w:t xml:space="preserve"> </w:t>
      </w:r>
      <w:r w:rsidR="0010457D" w:rsidRPr="00FB5A28">
        <w:rPr>
          <w:rFonts w:ascii="Times New Roman" w:hAnsi="Times New Roman"/>
          <w:sz w:val="24"/>
          <w:szCs w:val="24"/>
        </w:rPr>
        <w:t>на</w:t>
      </w:r>
      <w:r w:rsidRPr="00FB5A28">
        <w:rPr>
          <w:rFonts w:ascii="Times New Roman" w:hAnsi="Times New Roman"/>
          <w:sz w:val="24"/>
          <w:szCs w:val="24"/>
        </w:rPr>
        <w:t xml:space="preserve"> </w:t>
      </w:r>
      <w:r w:rsidR="0010457D" w:rsidRPr="00FB5A28">
        <w:rPr>
          <w:rFonts w:ascii="Times New Roman" w:hAnsi="Times New Roman"/>
          <w:sz w:val="24"/>
          <w:szCs w:val="24"/>
        </w:rPr>
        <w:t>основу</w:t>
      </w:r>
      <w:r w:rsidRPr="00FB5A28">
        <w:rPr>
          <w:rFonts w:ascii="Times New Roman" w:hAnsi="Times New Roman"/>
          <w:sz w:val="24"/>
          <w:szCs w:val="24"/>
        </w:rPr>
        <w:t xml:space="preserve"> </w:t>
      </w:r>
      <w:r w:rsidR="0010457D" w:rsidRPr="00FB5A28">
        <w:rPr>
          <w:rFonts w:ascii="Times New Roman" w:hAnsi="Times New Roman"/>
          <w:sz w:val="24"/>
          <w:szCs w:val="24"/>
        </w:rPr>
        <w:t>прописа</w:t>
      </w:r>
      <w:r w:rsidRPr="00FB5A28">
        <w:rPr>
          <w:rFonts w:ascii="Times New Roman" w:hAnsi="Times New Roman"/>
          <w:sz w:val="24"/>
          <w:szCs w:val="24"/>
        </w:rPr>
        <w:t xml:space="preserve"> </w:t>
      </w:r>
      <w:r w:rsidR="0010457D" w:rsidRPr="00FB5A28">
        <w:rPr>
          <w:rFonts w:ascii="Times New Roman" w:hAnsi="Times New Roman"/>
          <w:sz w:val="24"/>
          <w:szCs w:val="24"/>
        </w:rPr>
        <w:t>или</w:t>
      </w:r>
      <w:r w:rsidRPr="00FB5A28">
        <w:rPr>
          <w:rFonts w:ascii="Times New Roman" w:hAnsi="Times New Roman"/>
          <w:sz w:val="24"/>
          <w:szCs w:val="24"/>
        </w:rPr>
        <w:t xml:space="preserve"> </w:t>
      </w:r>
      <w:r w:rsidR="0010457D" w:rsidRPr="00FB5A28">
        <w:rPr>
          <w:rFonts w:ascii="Times New Roman" w:hAnsi="Times New Roman"/>
          <w:sz w:val="24"/>
          <w:szCs w:val="24"/>
        </w:rPr>
        <w:t>другог</w:t>
      </w:r>
      <w:r w:rsidRPr="00FB5A28">
        <w:rPr>
          <w:rFonts w:ascii="Times New Roman" w:hAnsi="Times New Roman"/>
          <w:sz w:val="24"/>
          <w:szCs w:val="24"/>
        </w:rPr>
        <w:t xml:space="preserve"> </w:t>
      </w:r>
      <w:r w:rsidR="0010457D" w:rsidRPr="00FB5A28">
        <w:rPr>
          <w:rFonts w:ascii="Times New Roman" w:hAnsi="Times New Roman"/>
          <w:sz w:val="24"/>
          <w:szCs w:val="24"/>
        </w:rPr>
        <w:t>акта</w:t>
      </w:r>
      <w:r w:rsidRPr="00FB5A28">
        <w:rPr>
          <w:rFonts w:ascii="Times New Roman" w:hAnsi="Times New Roman"/>
          <w:sz w:val="24"/>
          <w:szCs w:val="24"/>
        </w:rPr>
        <w:t xml:space="preserve"> </w:t>
      </w:r>
      <w:r w:rsidR="0010457D" w:rsidRPr="00FB5A28">
        <w:rPr>
          <w:rFonts w:ascii="Times New Roman" w:hAnsi="Times New Roman"/>
          <w:sz w:val="24"/>
          <w:szCs w:val="24"/>
        </w:rPr>
        <w:t>државног</w:t>
      </w:r>
      <w:r w:rsidRPr="00FB5A28">
        <w:rPr>
          <w:rFonts w:ascii="Times New Roman" w:hAnsi="Times New Roman"/>
          <w:sz w:val="24"/>
          <w:szCs w:val="24"/>
        </w:rPr>
        <w:t xml:space="preserve"> </w:t>
      </w:r>
      <w:r w:rsidR="0010457D" w:rsidRPr="00FB5A28">
        <w:rPr>
          <w:rFonts w:ascii="Times New Roman" w:hAnsi="Times New Roman"/>
          <w:sz w:val="24"/>
          <w:szCs w:val="24"/>
        </w:rPr>
        <w:t>органа</w:t>
      </w:r>
      <w:r w:rsidRPr="00FB5A28">
        <w:rPr>
          <w:rFonts w:ascii="Times New Roman" w:hAnsi="Times New Roman"/>
          <w:sz w:val="24"/>
          <w:szCs w:val="24"/>
        </w:rPr>
        <w:t xml:space="preserve">, </w:t>
      </w:r>
      <w:r w:rsidR="0010457D" w:rsidRPr="00FB5A28">
        <w:rPr>
          <w:rFonts w:ascii="Times New Roman" w:hAnsi="Times New Roman"/>
          <w:sz w:val="24"/>
          <w:szCs w:val="24"/>
        </w:rPr>
        <w:t>органа</w:t>
      </w:r>
      <w:r w:rsidRPr="00FB5A28">
        <w:rPr>
          <w:rFonts w:ascii="Times New Roman" w:hAnsi="Times New Roman"/>
          <w:sz w:val="24"/>
          <w:szCs w:val="24"/>
        </w:rPr>
        <w:t xml:space="preserve"> </w:t>
      </w:r>
      <w:r w:rsidR="0010457D" w:rsidRPr="00FB5A28">
        <w:rPr>
          <w:rFonts w:ascii="Times New Roman" w:hAnsi="Times New Roman"/>
          <w:sz w:val="24"/>
          <w:szCs w:val="24"/>
        </w:rPr>
        <w:t>територијалне</w:t>
      </w:r>
      <w:r w:rsidRPr="00FB5A28">
        <w:rPr>
          <w:rFonts w:ascii="Times New Roman" w:hAnsi="Times New Roman"/>
          <w:sz w:val="24"/>
          <w:szCs w:val="24"/>
        </w:rPr>
        <w:t xml:space="preserve"> </w:t>
      </w:r>
      <w:r w:rsidR="0010457D" w:rsidRPr="00FB5A28">
        <w:rPr>
          <w:rFonts w:ascii="Times New Roman" w:hAnsi="Times New Roman"/>
          <w:sz w:val="24"/>
          <w:szCs w:val="24"/>
        </w:rPr>
        <w:t>аутономије</w:t>
      </w:r>
      <w:r w:rsidRPr="00FB5A28">
        <w:rPr>
          <w:rFonts w:ascii="Times New Roman" w:hAnsi="Times New Roman"/>
          <w:sz w:val="24"/>
          <w:szCs w:val="24"/>
        </w:rPr>
        <w:t xml:space="preserve"> </w:t>
      </w:r>
      <w:r w:rsidR="0010457D" w:rsidRPr="00FB5A28">
        <w:rPr>
          <w:rFonts w:ascii="Times New Roman" w:hAnsi="Times New Roman"/>
          <w:sz w:val="24"/>
          <w:szCs w:val="24"/>
        </w:rPr>
        <w:t>или</w:t>
      </w:r>
      <w:r w:rsidRPr="00FB5A28">
        <w:rPr>
          <w:rFonts w:ascii="Times New Roman" w:hAnsi="Times New Roman"/>
          <w:sz w:val="24"/>
          <w:szCs w:val="24"/>
        </w:rPr>
        <w:t xml:space="preserve"> </w:t>
      </w:r>
      <w:r w:rsidR="0010457D" w:rsidRPr="00FB5A28">
        <w:rPr>
          <w:rFonts w:ascii="Times New Roman" w:hAnsi="Times New Roman"/>
          <w:sz w:val="24"/>
          <w:szCs w:val="24"/>
        </w:rPr>
        <w:t>локалне</w:t>
      </w:r>
      <w:r w:rsidRPr="00FB5A28">
        <w:rPr>
          <w:rFonts w:ascii="Times New Roman" w:hAnsi="Times New Roman"/>
          <w:sz w:val="24"/>
          <w:szCs w:val="24"/>
        </w:rPr>
        <w:t xml:space="preserve"> </w:t>
      </w:r>
      <w:r w:rsidR="0010457D" w:rsidRPr="00FB5A28">
        <w:rPr>
          <w:rFonts w:ascii="Times New Roman" w:hAnsi="Times New Roman"/>
          <w:sz w:val="24"/>
          <w:szCs w:val="24"/>
        </w:rPr>
        <w:t>самоуправе</w:t>
      </w:r>
      <w:r w:rsidRPr="00FB5A28">
        <w:rPr>
          <w:rFonts w:ascii="Times New Roman" w:hAnsi="Times New Roman"/>
          <w:sz w:val="24"/>
          <w:szCs w:val="24"/>
        </w:rPr>
        <w:t>;</w:t>
      </w:r>
    </w:p>
    <w:p w:rsidR="00C27346" w:rsidRPr="00FB5A28" w:rsidRDefault="00C27346" w:rsidP="00FB5A28">
      <w:pPr>
        <w:jc w:val="both"/>
        <w:rPr>
          <w:rFonts w:ascii="Times New Roman" w:hAnsi="Times New Roman"/>
          <w:sz w:val="24"/>
          <w:szCs w:val="24"/>
        </w:rPr>
      </w:pPr>
      <w:r w:rsidRPr="00FB5A28">
        <w:rPr>
          <w:rFonts w:ascii="Times New Roman" w:hAnsi="Times New Roman"/>
          <w:sz w:val="24"/>
          <w:szCs w:val="24"/>
        </w:rPr>
        <w:t xml:space="preserve">2) </w:t>
      </w:r>
      <w:r w:rsidR="0010457D" w:rsidRPr="00FB5A28">
        <w:rPr>
          <w:rFonts w:ascii="Times New Roman" w:hAnsi="Times New Roman"/>
          <w:sz w:val="24"/>
          <w:szCs w:val="24"/>
        </w:rPr>
        <w:t>предаја</w:t>
      </w:r>
      <w:r w:rsidRPr="00FB5A28">
        <w:rPr>
          <w:rFonts w:ascii="Times New Roman" w:hAnsi="Times New Roman"/>
          <w:sz w:val="24"/>
          <w:szCs w:val="24"/>
        </w:rPr>
        <w:t xml:space="preserve"> </w:t>
      </w:r>
      <w:r w:rsidR="0010457D" w:rsidRPr="00FB5A28">
        <w:rPr>
          <w:rFonts w:ascii="Times New Roman" w:hAnsi="Times New Roman"/>
          <w:sz w:val="24"/>
          <w:szCs w:val="24"/>
        </w:rPr>
        <w:t>добара</w:t>
      </w:r>
      <w:r w:rsidRPr="00FB5A28">
        <w:rPr>
          <w:rFonts w:ascii="Times New Roman" w:hAnsi="Times New Roman"/>
          <w:sz w:val="24"/>
          <w:szCs w:val="24"/>
        </w:rPr>
        <w:t xml:space="preserve"> </w:t>
      </w:r>
      <w:r w:rsidR="0010457D" w:rsidRPr="00FB5A28">
        <w:rPr>
          <w:rFonts w:ascii="Times New Roman" w:hAnsi="Times New Roman"/>
          <w:sz w:val="24"/>
          <w:szCs w:val="24"/>
        </w:rPr>
        <w:t>на</w:t>
      </w:r>
      <w:r w:rsidRPr="00FB5A28">
        <w:rPr>
          <w:rFonts w:ascii="Times New Roman" w:hAnsi="Times New Roman"/>
          <w:sz w:val="24"/>
          <w:szCs w:val="24"/>
        </w:rPr>
        <w:t xml:space="preserve"> </w:t>
      </w:r>
      <w:r w:rsidR="0010457D" w:rsidRPr="00FB5A28">
        <w:rPr>
          <w:rFonts w:ascii="Times New Roman" w:hAnsi="Times New Roman"/>
          <w:sz w:val="24"/>
          <w:szCs w:val="24"/>
        </w:rPr>
        <w:t>основу</w:t>
      </w:r>
      <w:r w:rsidRPr="00FB5A28">
        <w:rPr>
          <w:rFonts w:ascii="Times New Roman" w:hAnsi="Times New Roman"/>
          <w:sz w:val="24"/>
          <w:szCs w:val="24"/>
        </w:rPr>
        <w:t xml:space="preserve"> </w:t>
      </w:r>
      <w:r w:rsidR="0010457D" w:rsidRPr="00FB5A28">
        <w:rPr>
          <w:rFonts w:ascii="Times New Roman" w:hAnsi="Times New Roman"/>
          <w:sz w:val="24"/>
          <w:szCs w:val="24"/>
        </w:rPr>
        <w:t>уговора</w:t>
      </w:r>
      <w:r w:rsidRPr="00FB5A28">
        <w:rPr>
          <w:rFonts w:ascii="Times New Roman" w:hAnsi="Times New Roman"/>
          <w:sz w:val="24"/>
          <w:szCs w:val="24"/>
        </w:rPr>
        <w:t xml:space="preserve"> </w:t>
      </w:r>
      <w:r w:rsidR="0010457D" w:rsidRPr="00FB5A28">
        <w:rPr>
          <w:rFonts w:ascii="Times New Roman" w:hAnsi="Times New Roman"/>
          <w:sz w:val="24"/>
          <w:szCs w:val="24"/>
        </w:rPr>
        <w:t>о</w:t>
      </w:r>
      <w:r w:rsidRPr="00FB5A28">
        <w:rPr>
          <w:rFonts w:ascii="Times New Roman" w:hAnsi="Times New Roman"/>
          <w:sz w:val="24"/>
          <w:szCs w:val="24"/>
        </w:rPr>
        <w:t xml:space="preserve"> </w:t>
      </w:r>
      <w:r w:rsidR="0010457D" w:rsidRPr="00FB5A28">
        <w:rPr>
          <w:rFonts w:ascii="Times New Roman" w:hAnsi="Times New Roman"/>
          <w:sz w:val="24"/>
          <w:szCs w:val="24"/>
        </w:rPr>
        <w:t>продаји</w:t>
      </w:r>
      <w:r w:rsidRPr="00FB5A28">
        <w:rPr>
          <w:rFonts w:ascii="Times New Roman" w:hAnsi="Times New Roman"/>
          <w:sz w:val="24"/>
          <w:szCs w:val="24"/>
        </w:rPr>
        <w:t xml:space="preserve"> </w:t>
      </w:r>
      <w:r w:rsidR="0010457D" w:rsidRPr="00FB5A28">
        <w:rPr>
          <w:rFonts w:ascii="Times New Roman" w:hAnsi="Times New Roman"/>
          <w:sz w:val="24"/>
          <w:szCs w:val="24"/>
        </w:rPr>
        <w:t>са</w:t>
      </w:r>
      <w:r w:rsidRPr="00FB5A28">
        <w:rPr>
          <w:rFonts w:ascii="Times New Roman" w:hAnsi="Times New Roman"/>
          <w:sz w:val="24"/>
          <w:szCs w:val="24"/>
        </w:rPr>
        <w:t xml:space="preserve"> </w:t>
      </w:r>
      <w:r w:rsidR="0010457D" w:rsidRPr="00FB5A28">
        <w:rPr>
          <w:rFonts w:ascii="Times New Roman" w:hAnsi="Times New Roman"/>
          <w:sz w:val="24"/>
          <w:szCs w:val="24"/>
        </w:rPr>
        <w:t>одложеним</w:t>
      </w:r>
      <w:r w:rsidRPr="00FB5A28">
        <w:rPr>
          <w:rFonts w:ascii="Times New Roman" w:hAnsi="Times New Roman"/>
          <w:sz w:val="24"/>
          <w:szCs w:val="24"/>
        </w:rPr>
        <w:t xml:space="preserve"> </w:t>
      </w:r>
      <w:r w:rsidR="0010457D" w:rsidRPr="00FB5A28">
        <w:rPr>
          <w:rFonts w:ascii="Times New Roman" w:hAnsi="Times New Roman"/>
          <w:sz w:val="24"/>
          <w:szCs w:val="24"/>
        </w:rPr>
        <w:t>плаћањем</w:t>
      </w:r>
      <w:r w:rsidRPr="00FB5A28">
        <w:rPr>
          <w:rFonts w:ascii="Times New Roman" w:hAnsi="Times New Roman"/>
          <w:sz w:val="24"/>
          <w:szCs w:val="24"/>
        </w:rPr>
        <w:t xml:space="preserve"> </w:t>
      </w:r>
      <w:r w:rsidR="0010457D" w:rsidRPr="00FB5A28">
        <w:rPr>
          <w:rFonts w:ascii="Times New Roman" w:hAnsi="Times New Roman"/>
          <w:sz w:val="24"/>
          <w:szCs w:val="24"/>
        </w:rPr>
        <w:t>којим</w:t>
      </w:r>
      <w:r w:rsidRPr="00FB5A28">
        <w:rPr>
          <w:rFonts w:ascii="Times New Roman" w:hAnsi="Times New Roman"/>
          <w:sz w:val="24"/>
          <w:szCs w:val="24"/>
        </w:rPr>
        <w:t xml:space="preserve"> </w:t>
      </w:r>
      <w:r w:rsidR="0010457D" w:rsidRPr="00FB5A28">
        <w:rPr>
          <w:rFonts w:ascii="Times New Roman" w:hAnsi="Times New Roman"/>
          <w:sz w:val="24"/>
          <w:szCs w:val="24"/>
        </w:rPr>
        <w:t>је</w:t>
      </w:r>
      <w:r w:rsidRPr="00FB5A28">
        <w:rPr>
          <w:rFonts w:ascii="Times New Roman" w:hAnsi="Times New Roman"/>
          <w:sz w:val="24"/>
          <w:szCs w:val="24"/>
        </w:rPr>
        <w:t xml:space="preserve"> </w:t>
      </w:r>
      <w:r w:rsidR="0010457D" w:rsidRPr="00FB5A28">
        <w:rPr>
          <w:rFonts w:ascii="Times New Roman" w:hAnsi="Times New Roman"/>
          <w:sz w:val="24"/>
          <w:szCs w:val="24"/>
        </w:rPr>
        <w:t>уговорено</w:t>
      </w:r>
      <w:r w:rsidRPr="00FB5A28">
        <w:rPr>
          <w:rFonts w:ascii="Times New Roman" w:hAnsi="Times New Roman"/>
          <w:sz w:val="24"/>
          <w:szCs w:val="24"/>
        </w:rPr>
        <w:t xml:space="preserve"> </w:t>
      </w:r>
      <w:r w:rsidR="0010457D" w:rsidRPr="00FB5A28">
        <w:rPr>
          <w:rFonts w:ascii="Times New Roman" w:hAnsi="Times New Roman"/>
          <w:sz w:val="24"/>
          <w:szCs w:val="24"/>
        </w:rPr>
        <w:t>да</w:t>
      </w:r>
      <w:r w:rsidRPr="00FB5A28">
        <w:rPr>
          <w:rFonts w:ascii="Times New Roman" w:hAnsi="Times New Roman"/>
          <w:sz w:val="24"/>
          <w:szCs w:val="24"/>
        </w:rPr>
        <w:t xml:space="preserve"> </w:t>
      </w:r>
      <w:r w:rsidR="0010457D" w:rsidRPr="00FB5A28">
        <w:rPr>
          <w:rFonts w:ascii="Times New Roman" w:hAnsi="Times New Roman"/>
          <w:sz w:val="24"/>
          <w:szCs w:val="24"/>
        </w:rPr>
        <w:t>се</w:t>
      </w:r>
      <w:r w:rsidRPr="00FB5A28">
        <w:rPr>
          <w:rFonts w:ascii="Times New Roman" w:hAnsi="Times New Roman"/>
          <w:sz w:val="24"/>
          <w:szCs w:val="24"/>
        </w:rPr>
        <w:t xml:space="preserve"> </w:t>
      </w:r>
      <w:r w:rsidR="0010457D" w:rsidRPr="00FB5A28">
        <w:rPr>
          <w:rFonts w:ascii="Times New Roman" w:hAnsi="Times New Roman"/>
          <w:sz w:val="24"/>
          <w:szCs w:val="24"/>
        </w:rPr>
        <w:t>право</w:t>
      </w:r>
      <w:r w:rsidRPr="00FB5A28">
        <w:rPr>
          <w:rFonts w:ascii="Times New Roman" w:hAnsi="Times New Roman"/>
          <w:sz w:val="24"/>
          <w:szCs w:val="24"/>
        </w:rPr>
        <w:t xml:space="preserve"> </w:t>
      </w:r>
      <w:r w:rsidR="0010457D" w:rsidRPr="00FB5A28">
        <w:rPr>
          <w:rFonts w:ascii="Times New Roman" w:hAnsi="Times New Roman"/>
          <w:sz w:val="24"/>
          <w:szCs w:val="24"/>
        </w:rPr>
        <w:t>располагања</w:t>
      </w:r>
      <w:r w:rsidRPr="00FB5A28">
        <w:rPr>
          <w:rFonts w:ascii="Times New Roman" w:hAnsi="Times New Roman"/>
          <w:sz w:val="24"/>
          <w:szCs w:val="24"/>
        </w:rPr>
        <w:t xml:space="preserve"> </w:t>
      </w:r>
      <w:r w:rsidR="0010457D" w:rsidRPr="00FB5A28">
        <w:rPr>
          <w:rFonts w:ascii="Times New Roman" w:hAnsi="Times New Roman"/>
          <w:sz w:val="24"/>
          <w:szCs w:val="24"/>
        </w:rPr>
        <w:t>преноси</w:t>
      </w:r>
      <w:r w:rsidRPr="00FB5A28">
        <w:rPr>
          <w:rFonts w:ascii="Times New Roman" w:hAnsi="Times New Roman"/>
          <w:sz w:val="24"/>
          <w:szCs w:val="24"/>
        </w:rPr>
        <w:t xml:space="preserve"> </w:t>
      </w:r>
      <w:r w:rsidR="0010457D" w:rsidRPr="00FB5A28">
        <w:rPr>
          <w:rFonts w:ascii="Times New Roman" w:hAnsi="Times New Roman"/>
          <w:sz w:val="24"/>
          <w:szCs w:val="24"/>
        </w:rPr>
        <w:t>најкасније</w:t>
      </w:r>
      <w:r w:rsidRPr="00FB5A28">
        <w:rPr>
          <w:rFonts w:ascii="Times New Roman" w:hAnsi="Times New Roman"/>
          <w:sz w:val="24"/>
          <w:szCs w:val="24"/>
        </w:rPr>
        <w:t xml:space="preserve"> </w:t>
      </w:r>
      <w:r w:rsidR="0010457D" w:rsidRPr="00FB5A28">
        <w:rPr>
          <w:rFonts w:ascii="Times New Roman" w:hAnsi="Times New Roman"/>
          <w:sz w:val="24"/>
          <w:szCs w:val="24"/>
        </w:rPr>
        <w:t>отплатом</w:t>
      </w:r>
      <w:r w:rsidRPr="00FB5A28">
        <w:rPr>
          <w:rFonts w:ascii="Times New Roman" w:hAnsi="Times New Roman"/>
          <w:sz w:val="24"/>
          <w:szCs w:val="24"/>
        </w:rPr>
        <w:t xml:space="preserve"> </w:t>
      </w:r>
      <w:r w:rsidR="0010457D" w:rsidRPr="00FB5A28">
        <w:rPr>
          <w:rFonts w:ascii="Times New Roman" w:hAnsi="Times New Roman"/>
          <w:sz w:val="24"/>
          <w:szCs w:val="24"/>
        </w:rPr>
        <w:t>последње</w:t>
      </w:r>
      <w:r w:rsidRPr="00FB5A28">
        <w:rPr>
          <w:rFonts w:ascii="Times New Roman" w:hAnsi="Times New Roman"/>
          <w:sz w:val="24"/>
          <w:szCs w:val="24"/>
        </w:rPr>
        <w:t xml:space="preserve"> </w:t>
      </w:r>
      <w:r w:rsidR="0010457D" w:rsidRPr="00FB5A28">
        <w:rPr>
          <w:rFonts w:ascii="Times New Roman" w:hAnsi="Times New Roman"/>
          <w:sz w:val="24"/>
          <w:szCs w:val="24"/>
        </w:rPr>
        <w:t>рате</w:t>
      </w:r>
      <w:r w:rsidRPr="00FB5A28">
        <w:rPr>
          <w:rFonts w:ascii="Times New Roman" w:hAnsi="Times New Roman"/>
          <w:sz w:val="24"/>
          <w:szCs w:val="24"/>
        </w:rPr>
        <w:t>;</w:t>
      </w:r>
    </w:p>
    <w:p w:rsidR="00C27346" w:rsidRPr="00FB5A28" w:rsidRDefault="009704A4" w:rsidP="00FB5A28">
      <w:pPr>
        <w:jc w:val="both"/>
        <w:rPr>
          <w:rFonts w:ascii="Times New Roman" w:hAnsi="Times New Roman"/>
          <w:sz w:val="24"/>
          <w:szCs w:val="24"/>
        </w:rPr>
      </w:pPr>
      <w:r w:rsidRPr="00FB5A28">
        <w:rPr>
          <w:rFonts w:ascii="Times New Roman" w:hAnsi="Times New Roman"/>
          <w:sz w:val="24"/>
          <w:szCs w:val="24"/>
          <w:lang w:val="sr-Cyrl-CS"/>
        </w:rPr>
        <w:t>3</w:t>
      </w:r>
      <w:r w:rsidR="00C27346" w:rsidRPr="00FB5A28">
        <w:rPr>
          <w:rFonts w:ascii="Times New Roman" w:hAnsi="Times New Roman"/>
          <w:sz w:val="24"/>
          <w:szCs w:val="24"/>
        </w:rPr>
        <w:t xml:space="preserve">) </w:t>
      </w:r>
      <w:r w:rsidR="0010457D" w:rsidRPr="00FB5A28">
        <w:rPr>
          <w:rFonts w:ascii="Times New Roman" w:hAnsi="Times New Roman"/>
          <w:sz w:val="24"/>
          <w:szCs w:val="24"/>
        </w:rPr>
        <w:t>предаја</w:t>
      </w:r>
      <w:r w:rsidR="00C27346" w:rsidRPr="00FB5A28">
        <w:rPr>
          <w:rFonts w:ascii="Times New Roman" w:hAnsi="Times New Roman"/>
          <w:sz w:val="24"/>
          <w:szCs w:val="24"/>
        </w:rPr>
        <w:t xml:space="preserve"> </w:t>
      </w:r>
      <w:r w:rsidR="0010457D" w:rsidRPr="00FB5A28">
        <w:rPr>
          <w:rFonts w:ascii="Times New Roman" w:hAnsi="Times New Roman"/>
          <w:sz w:val="24"/>
          <w:szCs w:val="24"/>
        </w:rPr>
        <w:t>добара</w:t>
      </w:r>
      <w:r w:rsidR="00C27346" w:rsidRPr="00FB5A28">
        <w:rPr>
          <w:rFonts w:ascii="Times New Roman" w:hAnsi="Times New Roman"/>
          <w:sz w:val="24"/>
          <w:szCs w:val="24"/>
        </w:rPr>
        <w:t xml:space="preserve"> </w:t>
      </w:r>
      <w:r w:rsidR="0010457D" w:rsidRPr="00FB5A28">
        <w:rPr>
          <w:rFonts w:ascii="Times New Roman" w:hAnsi="Times New Roman"/>
          <w:sz w:val="24"/>
          <w:szCs w:val="24"/>
        </w:rPr>
        <w:t>на</w:t>
      </w:r>
      <w:r w:rsidR="00C27346" w:rsidRPr="00FB5A28">
        <w:rPr>
          <w:rFonts w:ascii="Times New Roman" w:hAnsi="Times New Roman"/>
          <w:sz w:val="24"/>
          <w:szCs w:val="24"/>
        </w:rPr>
        <w:t xml:space="preserve"> </w:t>
      </w:r>
      <w:r w:rsidR="0010457D" w:rsidRPr="00FB5A28">
        <w:rPr>
          <w:rFonts w:ascii="Times New Roman" w:hAnsi="Times New Roman"/>
          <w:sz w:val="24"/>
          <w:szCs w:val="24"/>
        </w:rPr>
        <w:t>основу</w:t>
      </w:r>
      <w:r w:rsidR="00C27346" w:rsidRPr="00FB5A28">
        <w:rPr>
          <w:rFonts w:ascii="Times New Roman" w:hAnsi="Times New Roman"/>
          <w:sz w:val="24"/>
          <w:szCs w:val="24"/>
        </w:rPr>
        <w:t xml:space="preserve"> </w:t>
      </w:r>
      <w:r w:rsidR="0010457D" w:rsidRPr="00FB5A28">
        <w:rPr>
          <w:rFonts w:ascii="Times New Roman" w:hAnsi="Times New Roman"/>
          <w:sz w:val="24"/>
          <w:szCs w:val="24"/>
        </w:rPr>
        <w:t>уговора</w:t>
      </w:r>
      <w:r w:rsidR="00C27346" w:rsidRPr="00FB5A28">
        <w:rPr>
          <w:rFonts w:ascii="Times New Roman" w:hAnsi="Times New Roman"/>
          <w:sz w:val="24"/>
          <w:szCs w:val="24"/>
        </w:rPr>
        <w:t xml:space="preserve"> </w:t>
      </w:r>
      <w:r w:rsidR="0010457D" w:rsidRPr="00FB5A28">
        <w:rPr>
          <w:rFonts w:ascii="Times New Roman" w:hAnsi="Times New Roman"/>
          <w:sz w:val="24"/>
          <w:szCs w:val="24"/>
        </w:rPr>
        <w:t>о</w:t>
      </w:r>
      <w:r w:rsidR="00C27346" w:rsidRPr="00FB5A28">
        <w:rPr>
          <w:rFonts w:ascii="Times New Roman" w:hAnsi="Times New Roman"/>
          <w:sz w:val="24"/>
          <w:szCs w:val="24"/>
        </w:rPr>
        <w:t xml:space="preserve"> </w:t>
      </w:r>
      <w:r w:rsidR="0010457D" w:rsidRPr="00FB5A28">
        <w:rPr>
          <w:rFonts w:ascii="Times New Roman" w:hAnsi="Times New Roman"/>
          <w:sz w:val="24"/>
          <w:szCs w:val="24"/>
        </w:rPr>
        <w:t>лизингу</w:t>
      </w:r>
      <w:r w:rsidR="00C27346" w:rsidRPr="00FB5A28">
        <w:rPr>
          <w:rFonts w:ascii="Times New Roman" w:hAnsi="Times New Roman"/>
          <w:sz w:val="24"/>
          <w:szCs w:val="24"/>
        </w:rPr>
        <w:t xml:space="preserve">, </w:t>
      </w:r>
      <w:r w:rsidR="0010457D" w:rsidRPr="00FB5A28">
        <w:rPr>
          <w:rFonts w:ascii="Times New Roman" w:hAnsi="Times New Roman"/>
          <w:sz w:val="24"/>
          <w:szCs w:val="24"/>
        </w:rPr>
        <w:t>односно</w:t>
      </w:r>
      <w:r w:rsidR="00C27346" w:rsidRPr="00FB5A28">
        <w:rPr>
          <w:rFonts w:ascii="Times New Roman" w:hAnsi="Times New Roman"/>
          <w:sz w:val="24"/>
          <w:szCs w:val="24"/>
        </w:rPr>
        <w:t xml:space="preserve"> </w:t>
      </w:r>
      <w:r w:rsidR="0010457D" w:rsidRPr="00FB5A28">
        <w:rPr>
          <w:rFonts w:ascii="Times New Roman" w:hAnsi="Times New Roman"/>
          <w:sz w:val="24"/>
          <w:szCs w:val="24"/>
        </w:rPr>
        <w:t>закупу</w:t>
      </w:r>
      <w:r w:rsidR="00C27346" w:rsidRPr="00FB5A28">
        <w:rPr>
          <w:rFonts w:ascii="Times New Roman" w:hAnsi="Times New Roman"/>
          <w:sz w:val="24"/>
          <w:szCs w:val="24"/>
        </w:rPr>
        <w:t xml:space="preserve">, </w:t>
      </w:r>
      <w:r w:rsidR="0010457D" w:rsidRPr="00FB5A28">
        <w:rPr>
          <w:rFonts w:ascii="Times New Roman" w:hAnsi="Times New Roman"/>
          <w:sz w:val="24"/>
          <w:szCs w:val="24"/>
        </w:rPr>
        <w:t>закљученог</w:t>
      </w:r>
      <w:r w:rsidR="00C27346" w:rsidRPr="00FB5A28">
        <w:rPr>
          <w:rFonts w:ascii="Times New Roman" w:hAnsi="Times New Roman"/>
          <w:sz w:val="24"/>
          <w:szCs w:val="24"/>
        </w:rPr>
        <w:t xml:space="preserve"> </w:t>
      </w:r>
      <w:r w:rsidR="0010457D" w:rsidRPr="00FB5A28">
        <w:rPr>
          <w:rFonts w:ascii="Times New Roman" w:hAnsi="Times New Roman"/>
          <w:sz w:val="24"/>
          <w:szCs w:val="24"/>
        </w:rPr>
        <w:t>на</w:t>
      </w:r>
      <w:r w:rsidR="00C27346" w:rsidRPr="00FB5A28">
        <w:rPr>
          <w:rFonts w:ascii="Times New Roman" w:hAnsi="Times New Roman"/>
          <w:sz w:val="24"/>
          <w:szCs w:val="24"/>
        </w:rPr>
        <w:t xml:space="preserve"> </w:t>
      </w:r>
      <w:r w:rsidR="0010457D" w:rsidRPr="00FB5A28">
        <w:rPr>
          <w:rFonts w:ascii="Times New Roman" w:hAnsi="Times New Roman"/>
          <w:sz w:val="24"/>
          <w:szCs w:val="24"/>
        </w:rPr>
        <w:t>одређени</w:t>
      </w:r>
      <w:r w:rsidR="00C27346" w:rsidRPr="00FB5A28">
        <w:rPr>
          <w:rFonts w:ascii="Times New Roman" w:hAnsi="Times New Roman"/>
          <w:sz w:val="24"/>
          <w:szCs w:val="24"/>
        </w:rPr>
        <w:t xml:space="preserve"> </w:t>
      </w:r>
      <w:r w:rsidR="0010457D" w:rsidRPr="00FB5A28">
        <w:rPr>
          <w:rFonts w:ascii="Times New Roman" w:hAnsi="Times New Roman"/>
          <w:sz w:val="24"/>
          <w:szCs w:val="24"/>
        </w:rPr>
        <w:t>период</w:t>
      </w:r>
      <w:r w:rsidR="00C27346" w:rsidRPr="00FB5A28">
        <w:rPr>
          <w:rFonts w:ascii="Times New Roman" w:hAnsi="Times New Roman"/>
          <w:sz w:val="24"/>
          <w:szCs w:val="24"/>
        </w:rPr>
        <w:t xml:space="preserve">, </w:t>
      </w:r>
      <w:r w:rsidR="0010457D" w:rsidRPr="00FB5A28">
        <w:rPr>
          <w:rFonts w:ascii="Times New Roman" w:hAnsi="Times New Roman"/>
          <w:sz w:val="24"/>
          <w:szCs w:val="24"/>
        </w:rPr>
        <w:t>за</w:t>
      </w:r>
      <w:r w:rsidR="00C27346" w:rsidRPr="00FB5A28">
        <w:rPr>
          <w:rFonts w:ascii="Times New Roman" w:hAnsi="Times New Roman"/>
          <w:sz w:val="24"/>
          <w:szCs w:val="24"/>
        </w:rPr>
        <w:t xml:space="preserve"> </w:t>
      </w:r>
      <w:r w:rsidR="0010457D" w:rsidRPr="00FB5A28">
        <w:rPr>
          <w:rFonts w:ascii="Times New Roman" w:hAnsi="Times New Roman"/>
          <w:sz w:val="24"/>
          <w:szCs w:val="24"/>
        </w:rPr>
        <w:t>покретне</w:t>
      </w:r>
      <w:r w:rsidR="00C27346" w:rsidRPr="00FB5A28">
        <w:rPr>
          <w:rFonts w:ascii="Times New Roman" w:hAnsi="Times New Roman"/>
          <w:sz w:val="24"/>
          <w:szCs w:val="24"/>
        </w:rPr>
        <w:t xml:space="preserve"> </w:t>
      </w:r>
      <w:r w:rsidR="0010457D" w:rsidRPr="00FB5A28">
        <w:rPr>
          <w:rFonts w:ascii="Times New Roman" w:hAnsi="Times New Roman"/>
          <w:sz w:val="24"/>
          <w:szCs w:val="24"/>
        </w:rPr>
        <w:t>или</w:t>
      </w:r>
      <w:r w:rsidR="00C27346" w:rsidRPr="00FB5A28">
        <w:rPr>
          <w:rFonts w:ascii="Times New Roman" w:hAnsi="Times New Roman"/>
          <w:sz w:val="24"/>
          <w:szCs w:val="24"/>
        </w:rPr>
        <w:t xml:space="preserve"> </w:t>
      </w:r>
      <w:r w:rsidR="0010457D" w:rsidRPr="00FB5A28">
        <w:rPr>
          <w:rFonts w:ascii="Times New Roman" w:hAnsi="Times New Roman"/>
          <w:sz w:val="24"/>
          <w:szCs w:val="24"/>
        </w:rPr>
        <w:t>непокретне</w:t>
      </w:r>
      <w:r w:rsidR="00C27346" w:rsidRPr="00FB5A28">
        <w:rPr>
          <w:rFonts w:ascii="Times New Roman" w:hAnsi="Times New Roman"/>
          <w:sz w:val="24"/>
          <w:szCs w:val="24"/>
        </w:rPr>
        <w:t xml:space="preserve"> </w:t>
      </w:r>
      <w:r w:rsidR="0010457D" w:rsidRPr="00FB5A28">
        <w:rPr>
          <w:rFonts w:ascii="Times New Roman" w:hAnsi="Times New Roman"/>
          <w:sz w:val="24"/>
          <w:szCs w:val="24"/>
        </w:rPr>
        <w:t>ствари</w:t>
      </w:r>
      <w:r w:rsidR="00C27346" w:rsidRPr="00FB5A28">
        <w:rPr>
          <w:rFonts w:ascii="Times New Roman" w:hAnsi="Times New Roman"/>
          <w:sz w:val="24"/>
          <w:szCs w:val="24"/>
        </w:rPr>
        <w:t xml:space="preserve">, </w:t>
      </w:r>
      <w:r w:rsidR="0010457D" w:rsidRPr="00FB5A28">
        <w:rPr>
          <w:rFonts w:ascii="Times New Roman" w:hAnsi="Times New Roman"/>
          <w:sz w:val="24"/>
          <w:szCs w:val="24"/>
        </w:rPr>
        <w:t>када</w:t>
      </w:r>
      <w:r w:rsidR="00C27346" w:rsidRPr="00FB5A28">
        <w:rPr>
          <w:rFonts w:ascii="Times New Roman" w:hAnsi="Times New Roman"/>
          <w:sz w:val="24"/>
          <w:szCs w:val="24"/>
        </w:rPr>
        <w:t xml:space="preserve"> </w:t>
      </w:r>
      <w:r w:rsidR="0010457D" w:rsidRPr="00FB5A28">
        <w:rPr>
          <w:rFonts w:ascii="Times New Roman" w:hAnsi="Times New Roman"/>
          <w:sz w:val="24"/>
          <w:szCs w:val="24"/>
        </w:rPr>
        <w:t>ниједна</w:t>
      </w:r>
      <w:r w:rsidR="00C27346" w:rsidRPr="00FB5A28">
        <w:rPr>
          <w:rFonts w:ascii="Times New Roman" w:hAnsi="Times New Roman"/>
          <w:sz w:val="24"/>
          <w:szCs w:val="24"/>
        </w:rPr>
        <w:t xml:space="preserve"> </w:t>
      </w:r>
      <w:r w:rsidR="0010457D" w:rsidRPr="00FB5A28">
        <w:rPr>
          <w:rFonts w:ascii="Times New Roman" w:hAnsi="Times New Roman"/>
          <w:sz w:val="24"/>
          <w:szCs w:val="24"/>
        </w:rPr>
        <w:t>од</w:t>
      </w:r>
      <w:r w:rsidR="00C27346" w:rsidRPr="00FB5A28">
        <w:rPr>
          <w:rFonts w:ascii="Times New Roman" w:hAnsi="Times New Roman"/>
          <w:sz w:val="24"/>
          <w:szCs w:val="24"/>
        </w:rPr>
        <w:t xml:space="preserve"> </w:t>
      </w:r>
      <w:r w:rsidR="0010457D" w:rsidRPr="00FB5A28">
        <w:rPr>
          <w:rFonts w:ascii="Times New Roman" w:hAnsi="Times New Roman"/>
          <w:sz w:val="24"/>
          <w:szCs w:val="24"/>
        </w:rPr>
        <w:t>уговорних</w:t>
      </w:r>
      <w:r w:rsidR="00C27346" w:rsidRPr="00FB5A28">
        <w:rPr>
          <w:rFonts w:ascii="Times New Roman" w:hAnsi="Times New Roman"/>
          <w:sz w:val="24"/>
          <w:szCs w:val="24"/>
        </w:rPr>
        <w:t xml:space="preserve"> </w:t>
      </w:r>
      <w:r w:rsidR="0010457D" w:rsidRPr="00FB5A28">
        <w:rPr>
          <w:rFonts w:ascii="Times New Roman" w:hAnsi="Times New Roman"/>
          <w:sz w:val="24"/>
          <w:szCs w:val="24"/>
        </w:rPr>
        <w:t>страна</w:t>
      </w:r>
      <w:r w:rsidR="00C27346" w:rsidRPr="00FB5A28">
        <w:rPr>
          <w:rFonts w:ascii="Times New Roman" w:hAnsi="Times New Roman"/>
          <w:sz w:val="24"/>
          <w:szCs w:val="24"/>
        </w:rPr>
        <w:t xml:space="preserve"> </w:t>
      </w:r>
      <w:r w:rsidR="0010457D" w:rsidRPr="00FB5A28">
        <w:rPr>
          <w:rFonts w:ascii="Times New Roman" w:hAnsi="Times New Roman"/>
          <w:sz w:val="24"/>
          <w:szCs w:val="24"/>
        </w:rPr>
        <w:t>не</w:t>
      </w:r>
      <w:r w:rsidR="00C27346" w:rsidRPr="00FB5A28">
        <w:rPr>
          <w:rFonts w:ascii="Times New Roman" w:hAnsi="Times New Roman"/>
          <w:sz w:val="24"/>
          <w:szCs w:val="24"/>
        </w:rPr>
        <w:t xml:space="preserve"> </w:t>
      </w:r>
      <w:r w:rsidR="0010457D" w:rsidRPr="00FB5A28">
        <w:rPr>
          <w:rFonts w:ascii="Times New Roman" w:hAnsi="Times New Roman"/>
          <w:sz w:val="24"/>
          <w:szCs w:val="24"/>
        </w:rPr>
        <w:t>може</w:t>
      </w:r>
      <w:r w:rsidR="00C27346" w:rsidRPr="00FB5A28">
        <w:rPr>
          <w:rFonts w:ascii="Times New Roman" w:hAnsi="Times New Roman"/>
          <w:sz w:val="24"/>
          <w:szCs w:val="24"/>
        </w:rPr>
        <w:t xml:space="preserve"> </w:t>
      </w:r>
      <w:r w:rsidR="0010457D" w:rsidRPr="00FB5A28">
        <w:rPr>
          <w:rFonts w:ascii="Times New Roman" w:hAnsi="Times New Roman"/>
          <w:sz w:val="24"/>
          <w:szCs w:val="24"/>
        </w:rPr>
        <w:t>раскинути</w:t>
      </w:r>
      <w:r w:rsidR="00C27346" w:rsidRPr="00FB5A28">
        <w:rPr>
          <w:rFonts w:ascii="Times New Roman" w:hAnsi="Times New Roman"/>
          <w:sz w:val="24"/>
          <w:szCs w:val="24"/>
        </w:rPr>
        <w:t xml:space="preserve"> </w:t>
      </w:r>
      <w:r w:rsidR="0010457D" w:rsidRPr="00FB5A28">
        <w:rPr>
          <w:rFonts w:ascii="Times New Roman" w:hAnsi="Times New Roman"/>
          <w:sz w:val="24"/>
          <w:szCs w:val="24"/>
        </w:rPr>
        <w:t>уговор</w:t>
      </w:r>
      <w:r w:rsidR="00C27346" w:rsidRPr="00FB5A28">
        <w:rPr>
          <w:rFonts w:ascii="Times New Roman" w:hAnsi="Times New Roman"/>
          <w:sz w:val="24"/>
          <w:szCs w:val="24"/>
        </w:rPr>
        <w:t xml:space="preserve"> </w:t>
      </w:r>
      <w:r w:rsidR="0010457D" w:rsidRPr="00FB5A28">
        <w:rPr>
          <w:rFonts w:ascii="Times New Roman" w:hAnsi="Times New Roman"/>
          <w:sz w:val="24"/>
          <w:szCs w:val="24"/>
        </w:rPr>
        <w:t>ако</w:t>
      </w:r>
      <w:r w:rsidR="00C27346" w:rsidRPr="00FB5A28">
        <w:rPr>
          <w:rFonts w:ascii="Times New Roman" w:hAnsi="Times New Roman"/>
          <w:sz w:val="24"/>
          <w:szCs w:val="24"/>
        </w:rPr>
        <w:t xml:space="preserve"> </w:t>
      </w:r>
      <w:r w:rsidR="0010457D" w:rsidRPr="00FB5A28">
        <w:rPr>
          <w:rFonts w:ascii="Times New Roman" w:hAnsi="Times New Roman"/>
          <w:sz w:val="24"/>
          <w:szCs w:val="24"/>
        </w:rPr>
        <w:t>се</w:t>
      </w:r>
      <w:r w:rsidR="00C27346" w:rsidRPr="00FB5A28">
        <w:rPr>
          <w:rFonts w:ascii="Times New Roman" w:hAnsi="Times New Roman"/>
          <w:sz w:val="24"/>
          <w:szCs w:val="24"/>
        </w:rPr>
        <w:t xml:space="preserve"> </w:t>
      </w:r>
      <w:r w:rsidR="0010457D" w:rsidRPr="00FB5A28">
        <w:rPr>
          <w:rFonts w:ascii="Times New Roman" w:hAnsi="Times New Roman"/>
          <w:sz w:val="24"/>
          <w:szCs w:val="24"/>
        </w:rPr>
        <w:t>стране</w:t>
      </w:r>
      <w:r w:rsidR="00C27346" w:rsidRPr="00FB5A28">
        <w:rPr>
          <w:rFonts w:ascii="Times New Roman" w:hAnsi="Times New Roman"/>
          <w:sz w:val="24"/>
          <w:szCs w:val="24"/>
        </w:rPr>
        <w:t xml:space="preserve"> </w:t>
      </w:r>
      <w:r w:rsidR="0010457D" w:rsidRPr="00FB5A28">
        <w:rPr>
          <w:rFonts w:ascii="Times New Roman" w:hAnsi="Times New Roman"/>
          <w:sz w:val="24"/>
          <w:szCs w:val="24"/>
        </w:rPr>
        <w:t>придржавају</w:t>
      </w:r>
      <w:r w:rsidR="00C27346" w:rsidRPr="00FB5A28">
        <w:rPr>
          <w:rFonts w:ascii="Times New Roman" w:hAnsi="Times New Roman"/>
          <w:sz w:val="24"/>
          <w:szCs w:val="24"/>
        </w:rPr>
        <w:t xml:space="preserve"> </w:t>
      </w:r>
      <w:r w:rsidR="0010457D" w:rsidRPr="00FB5A28">
        <w:rPr>
          <w:rFonts w:ascii="Times New Roman" w:hAnsi="Times New Roman"/>
          <w:sz w:val="24"/>
          <w:szCs w:val="24"/>
        </w:rPr>
        <w:t>уговорних</w:t>
      </w:r>
      <w:r w:rsidR="00C27346" w:rsidRPr="00FB5A28">
        <w:rPr>
          <w:rFonts w:ascii="Times New Roman" w:hAnsi="Times New Roman"/>
          <w:sz w:val="24"/>
          <w:szCs w:val="24"/>
        </w:rPr>
        <w:t xml:space="preserve"> </w:t>
      </w:r>
      <w:r w:rsidR="0010457D" w:rsidRPr="00FB5A28">
        <w:rPr>
          <w:rFonts w:ascii="Times New Roman" w:hAnsi="Times New Roman"/>
          <w:sz w:val="24"/>
          <w:szCs w:val="24"/>
        </w:rPr>
        <w:t>обавеза</w:t>
      </w:r>
      <w:r w:rsidR="00C27346" w:rsidRPr="00FB5A28">
        <w:rPr>
          <w:rFonts w:ascii="Times New Roman" w:hAnsi="Times New Roman"/>
          <w:sz w:val="24"/>
          <w:szCs w:val="24"/>
        </w:rPr>
        <w:t>;</w:t>
      </w:r>
    </w:p>
    <w:p w:rsidR="00C27346" w:rsidRPr="00FB5A28" w:rsidRDefault="009704A4" w:rsidP="00FB5A28">
      <w:pPr>
        <w:jc w:val="both"/>
        <w:rPr>
          <w:rFonts w:ascii="Times New Roman" w:hAnsi="Times New Roman"/>
          <w:sz w:val="24"/>
          <w:szCs w:val="24"/>
        </w:rPr>
      </w:pPr>
      <w:r w:rsidRPr="00FB5A28">
        <w:rPr>
          <w:rFonts w:ascii="Times New Roman" w:hAnsi="Times New Roman"/>
          <w:sz w:val="24"/>
          <w:szCs w:val="24"/>
          <w:lang w:val="sr-Cyrl-CS"/>
        </w:rPr>
        <w:t>4</w:t>
      </w:r>
      <w:r w:rsidR="00C27346" w:rsidRPr="00FB5A28">
        <w:rPr>
          <w:rFonts w:ascii="Times New Roman" w:hAnsi="Times New Roman"/>
          <w:sz w:val="24"/>
          <w:szCs w:val="24"/>
        </w:rPr>
        <w:t xml:space="preserve">) </w:t>
      </w:r>
      <w:r w:rsidR="0010457D" w:rsidRPr="00FB5A28">
        <w:rPr>
          <w:rFonts w:ascii="Times New Roman" w:hAnsi="Times New Roman"/>
          <w:sz w:val="24"/>
          <w:szCs w:val="24"/>
        </w:rPr>
        <w:t>пренос</w:t>
      </w:r>
      <w:r w:rsidR="00C27346" w:rsidRPr="00FB5A28">
        <w:rPr>
          <w:rFonts w:ascii="Times New Roman" w:hAnsi="Times New Roman"/>
          <w:sz w:val="24"/>
          <w:szCs w:val="24"/>
        </w:rPr>
        <w:t xml:space="preserve"> </w:t>
      </w:r>
      <w:r w:rsidR="0010457D" w:rsidRPr="00FB5A28">
        <w:rPr>
          <w:rFonts w:ascii="Times New Roman" w:hAnsi="Times New Roman"/>
          <w:sz w:val="24"/>
          <w:szCs w:val="24"/>
        </w:rPr>
        <w:t>добара</w:t>
      </w:r>
      <w:r w:rsidR="00C27346" w:rsidRPr="00FB5A28">
        <w:rPr>
          <w:rFonts w:ascii="Times New Roman" w:hAnsi="Times New Roman"/>
          <w:sz w:val="24"/>
          <w:szCs w:val="24"/>
        </w:rPr>
        <w:t xml:space="preserve"> </w:t>
      </w:r>
      <w:r w:rsidR="0010457D" w:rsidRPr="00FB5A28">
        <w:rPr>
          <w:rFonts w:ascii="Times New Roman" w:hAnsi="Times New Roman"/>
          <w:sz w:val="24"/>
          <w:szCs w:val="24"/>
        </w:rPr>
        <w:t>од</w:t>
      </w:r>
      <w:r w:rsidR="00C27346" w:rsidRPr="00FB5A28">
        <w:rPr>
          <w:rFonts w:ascii="Times New Roman" w:hAnsi="Times New Roman"/>
          <w:sz w:val="24"/>
          <w:szCs w:val="24"/>
        </w:rPr>
        <w:t xml:space="preserve"> </w:t>
      </w:r>
      <w:r w:rsidR="0010457D" w:rsidRPr="00FB5A28">
        <w:rPr>
          <w:rFonts w:ascii="Times New Roman" w:hAnsi="Times New Roman"/>
          <w:sz w:val="24"/>
          <w:szCs w:val="24"/>
        </w:rPr>
        <w:t>стране</w:t>
      </w:r>
      <w:r w:rsidR="00C27346" w:rsidRPr="00FB5A28">
        <w:rPr>
          <w:rFonts w:ascii="Times New Roman" w:hAnsi="Times New Roman"/>
          <w:sz w:val="24"/>
          <w:szCs w:val="24"/>
        </w:rPr>
        <w:t xml:space="preserve"> </w:t>
      </w:r>
      <w:r w:rsidR="0010457D" w:rsidRPr="00FB5A28">
        <w:rPr>
          <w:rFonts w:ascii="Times New Roman" w:hAnsi="Times New Roman"/>
          <w:sz w:val="24"/>
          <w:szCs w:val="24"/>
        </w:rPr>
        <w:t>власника</w:t>
      </w:r>
      <w:r w:rsidR="00C27346" w:rsidRPr="00FB5A28">
        <w:rPr>
          <w:rFonts w:ascii="Times New Roman" w:hAnsi="Times New Roman"/>
          <w:sz w:val="24"/>
          <w:szCs w:val="24"/>
        </w:rPr>
        <w:t xml:space="preserve"> </w:t>
      </w:r>
      <w:r w:rsidR="0010457D" w:rsidRPr="00FB5A28">
        <w:rPr>
          <w:rFonts w:ascii="Times New Roman" w:hAnsi="Times New Roman"/>
          <w:sz w:val="24"/>
          <w:szCs w:val="24"/>
        </w:rPr>
        <w:t>комисионару</w:t>
      </w:r>
      <w:r w:rsidR="00C27346" w:rsidRPr="00FB5A28">
        <w:rPr>
          <w:rFonts w:ascii="Times New Roman" w:hAnsi="Times New Roman"/>
          <w:sz w:val="24"/>
          <w:szCs w:val="24"/>
        </w:rPr>
        <w:t xml:space="preserve"> </w:t>
      </w:r>
      <w:r w:rsidR="0010457D" w:rsidRPr="00FB5A28">
        <w:rPr>
          <w:rFonts w:ascii="Times New Roman" w:hAnsi="Times New Roman"/>
          <w:sz w:val="24"/>
          <w:szCs w:val="24"/>
        </w:rPr>
        <w:t>и</w:t>
      </w:r>
      <w:r w:rsidR="00C27346" w:rsidRPr="00FB5A28">
        <w:rPr>
          <w:rFonts w:ascii="Times New Roman" w:hAnsi="Times New Roman"/>
          <w:sz w:val="24"/>
          <w:szCs w:val="24"/>
        </w:rPr>
        <w:t xml:space="preserve"> </w:t>
      </w:r>
      <w:r w:rsidR="0010457D" w:rsidRPr="00FB5A28">
        <w:rPr>
          <w:rFonts w:ascii="Times New Roman" w:hAnsi="Times New Roman"/>
          <w:sz w:val="24"/>
          <w:szCs w:val="24"/>
        </w:rPr>
        <w:t>од</w:t>
      </w:r>
      <w:r w:rsidR="00C27346" w:rsidRPr="00FB5A28">
        <w:rPr>
          <w:rFonts w:ascii="Times New Roman" w:hAnsi="Times New Roman"/>
          <w:sz w:val="24"/>
          <w:szCs w:val="24"/>
        </w:rPr>
        <w:t xml:space="preserve"> </w:t>
      </w:r>
      <w:r w:rsidR="0010457D" w:rsidRPr="00FB5A28">
        <w:rPr>
          <w:rFonts w:ascii="Times New Roman" w:hAnsi="Times New Roman"/>
          <w:sz w:val="24"/>
          <w:szCs w:val="24"/>
        </w:rPr>
        <w:t>стране</w:t>
      </w:r>
      <w:r w:rsidR="00C27346" w:rsidRPr="00FB5A28">
        <w:rPr>
          <w:rFonts w:ascii="Times New Roman" w:hAnsi="Times New Roman"/>
          <w:sz w:val="24"/>
          <w:szCs w:val="24"/>
        </w:rPr>
        <w:t xml:space="preserve"> </w:t>
      </w:r>
      <w:r w:rsidR="0010457D" w:rsidRPr="00FB5A28">
        <w:rPr>
          <w:rFonts w:ascii="Times New Roman" w:hAnsi="Times New Roman"/>
          <w:sz w:val="24"/>
          <w:szCs w:val="24"/>
        </w:rPr>
        <w:t>комисионара</w:t>
      </w:r>
      <w:r w:rsidR="00C27346" w:rsidRPr="00FB5A28">
        <w:rPr>
          <w:rFonts w:ascii="Times New Roman" w:hAnsi="Times New Roman"/>
          <w:sz w:val="24"/>
          <w:szCs w:val="24"/>
        </w:rPr>
        <w:t xml:space="preserve"> </w:t>
      </w:r>
      <w:r w:rsidR="0010457D" w:rsidRPr="00FB5A28">
        <w:rPr>
          <w:rFonts w:ascii="Times New Roman" w:hAnsi="Times New Roman"/>
          <w:sz w:val="24"/>
          <w:szCs w:val="24"/>
        </w:rPr>
        <w:t>примаоцу</w:t>
      </w:r>
      <w:r w:rsidR="00C27346" w:rsidRPr="00FB5A28">
        <w:rPr>
          <w:rFonts w:ascii="Times New Roman" w:hAnsi="Times New Roman"/>
          <w:sz w:val="24"/>
          <w:szCs w:val="24"/>
        </w:rPr>
        <w:t>;</w:t>
      </w:r>
    </w:p>
    <w:p w:rsidR="0010457D" w:rsidRPr="00FB5A28" w:rsidRDefault="009704A4" w:rsidP="00FB5A28">
      <w:pPr>
        <w:jc w:val="both"/>
        <w:rPr>
          <w:rFonts w:ascii="Times New Roman" w:hAnsi="Times New Roman"/>
          <w:sz w:val="24"/>
          <w:szCs w:val="24"/>
          <w:lang w:val="sr-Cyrl-CS"/>
        </w:rPr>
      </w:pPr>
      <w:r w:rsidRPr="00FB5A28">
        <w:rPr>
          <w:rFonts w:ascii="Times New Roman" w:hAnsi="Times New Roman"/>
          <w:sz w:val="24"/>
          <w:szCs w:val="24"/>
          <w:lang w:val="sr-Cyrl-CS"/>
        </w:rPr>
        <w:t>5</w:t>
      </w:r>
      <w:r w:rsidR="00C27346" w:rsidRPr="00FB5A28">
        <w:rPr>
          <w:rFonts w:ascii="Times New Roman" w:hAnsi="Times New Roman"/>
          <w:sz w:val="24"/>
          <w:szCs w:val="24"/>
        </w:rPr>
        <w:t xml:space="preserve">) </w:t>
      </w:r>
      <w:r w:rsidR="0010457D" w:rsidRPr="00FB5A28">
        <w:rPr>
          <w:rFonts w:ascii="Times New Roman" w:hAnsi="Times New Roman"/>
          <w:sz w:val="24"/>
          <w:szCs w:val="24"/>
        </w:rPr>
        <w:t>испорука</w:t>
      </w:r>
      <w:r w:rsidR="00C27346" w:rsidRPr="00FB5A28">
        <w:rPr>
          <w:rFonts w:ascii="Times New Roman" w:hAnsi="Times New Roman"/>
          <w:sz w:val="24"/>
          <w:szCs w:val="24"/>
        </w:rPr>
        <w:t xml:space="preserve"> </w:t>
      </w:r>
      <w:r w:rsidR="0010457D" w:rsidRPr="00FB5A28">
        <w:rPr>
          <w:rFonts w:ascii="Times New Roman" w:hAnsi="Times New Roman"/>
          <w:sz w:val="24"/>
          <w:szCs w:val="24"/>
        </w:rPr>
        <w:t>добара</w:t>
      </w:r>
      <w:r w:rsidR="00C27346" w:rsidRPr="00FB5A28">
        <w:rPr>
          <w:rFonts w:ascii="Times New Roman" w:hAnsi="Times New Roman"/>
          <w:sz w:val="24"/>
          <w:szCs w:val="24"/>
        </w:rPr>
        <w:t xml:space="preserve"> </w:t>
      </w:r>
      <w:r w:rsidR="0010457D" w:rsidRPr="00FB5A28">
        <w:rPr>
          <w:rFonts w:ascii="Times New Roman" w:hAnsi="Times New Roman"/>
          <w:sz w:val="24"/>
          <w:szCs w:val="24"/>
        </w:rPr>
        <w:t>по</w:t>
      </w:r>
      <w:r w:rsidR="00C27346" w:rsidRPr="00FB5A28">
        <w:rPr>
          <w:rFonts w:ascii="Times New Roman" w:hAnsi="Times New Roman"/>
          <w:sz w:val="24"/>
          <w:szCs w:val="24"/>
        </w:rPr>
        <w:t xml:space="preserve"> </w:t>
      </w:r>
      <w:r w:rsidR="0010457D" w:rsidRPr="00FB5A28">
        <w:rPr>
          <w:rFonts w:ascii="Times New Roman" w:hAnsi="Times New Roman"/>
          <w:sz w:val="24"/>
          <w:szCs w:val="24"/>
        </w:rPr>
        <w:t>уговору</w:t>
      </w:r>
      <w:r w:rsidR="00C27346" w:rsidRPr="00FB5A28">
        <w:rPr>
          <w:rFonts w:ascii="Times New Roman" w:hAnsi="Times New Roman"/>
          <w:sz w:val="24"/>
          <w:szCs w:val="24"/>
        </w:rPr>
        <w:t xml:space="preserve"> </w:t>
      </w:r>
      <w:r w:rsidR="0010457D" w:rsidRPr="00FB5A28">
        <w:rPr>
          <w:rFonts w:ascii="Times New Roman" w:hAnsi="Times New Roman"/>
          <w:sz w:val="24"/>
          <w:szCs w:val="24"/>
        </w:rPr>
        <w:t>на</w:t>
      </w:r>
      <w:r w:rsidR="00C27346" w:rsidRPr="00FB5A28">
        <w:rPr>
          <w:rFonts w:ascii="Times New Roman" w:hAnsi="Times New Roman"/>
          <w:sz w:val="24"/>
          <w:szCs w:val="24"/>
        </w:rPr>
        <w:t xml:space="preserve"> </w:t>
      </w:r>
      <w:r w:rsidR="0010457D" w:rsidRPr="00FB5A28">
        <w:rPr>
          <w:rFonts w:ascii="Times New Roman" w:hAnsi="Times New Roman"/>
          <w:sz w:val="24"/>
          <w:szCs w:val="24"/>
        </w:rPr>
        <w:t>основу</w:t>
      </w:r>
      <w:r w:rsidR="00C27346" w:rsidRPr="00FB5A28">
        <w:rPr>
          <w:rFonts w:ascii="Times New Roman" w:hAnsi="Times New Roman"/>
          <w:sz w:val="24"/>
          <w:szCs w:val="24"/>
        </w:rPr>
        <w:t xml:space="preserve"> </w:t>
      </w:r>
      <w:r w:rsidR="0010457D" w:rsidRPr="00FB5A28">
        <w:rPr>
          <w:rFonts w:ascii="Times New Roman" w:hAnsi="Times New Roman"/>
          <w:sz w:val="24"/>
          <w:szCs w:val="24"/>
        </w:rPr>
        <w:t>којег</w:t>
      </w:r>
      <w:r w:rsidR="00C27346" w:rsidRPr="00FB5A28">
        <w:rPr>
          <w:rFonts w:ascii="Times New Roman" w:hAnsi="Times New Roman"/>
          <w:sz w:val="24"/>
          <w:szCs w:val="24"/>
        </w:rPr>
        <w:t xml:space="preserve"> </w:t>
      </w:r>
      <w:r w:rsidR="0010457D" w:rsidRPr="00FB5A28">
        <w:rPr>
          <w:rFonts w:ascii="Times New Roman" w:hAnsi="Times New Roman"/>
          <w:sz w:val="24"/>
          <w:szCs w:val="24"/>
        </w:rPr>
        <w:t>се</w:t>
      </w:r>
      <w:r w:rsidR="00C27346" w:rsidRPr="00FB5A28">
        <w:rPr>
          <w:rFonts w:ascii="Times New Roman" w:hAnsi="Times New Roman"/>
          <w:sz w:val="24"/>
          <w:szCs w:val="24"/>
        </w:rPr>
        <w:t xml:space="preserve"> </w:t>
      </w:r>
      <w:r w:rsidR="0010457D" w:rsidRPr="00FB5A28">
        <w:rPr>
          <w:rFonts w:ascii="Times New Roman" w:hAnsi="Times New Roman"/>
          <w:sz w:val="24"/>
          <w:szCs w:val="24"/>
        </w:rPr>
        <w:t>плаћа</w:t>
      </w:r>
      <w:r w:rsidR="00C27346" w:rsidRPr="00FB5A28">
        <w:rPr>
          <w:rFonts w:ascii="Times New Roman" w:hAnsi="Times New Roman"/>
          <w:sz w:val="24"/>
          <w:szCs w:val="24"/>
        </w:rPr>
        <w:t xml:space="preserve"> </w:t>
      </w:r>
      <w:r w:rsidR="0010457D" w:rsidRPr="00FB5A28">
        <w:rPr>
          <w:rFonts w:ascii="Times New Roman" w:hAnsi="Times New Roman"/>
          <w:sz w:val="24"/>
          <w:szCs w:val="24"/>
        </w:rPr>
        <w:t>провизија</w:t>
      </w:r>
      <w:r w:rsidR="00C27346" w:rsidRPr="00FB5A28">
        <w:rPr>
          <w:rFonts w:ascii="Times New Roman" w:hAnsi="Times New Roman"/>
          <w:sz w:val="24"/>
          <w:szCs w:val="24"/>
        </w:rPr>
        <w:t xml:space="preserve"> </w:t>
      </w:r>
      <w:r w:rsidR="0010457D" w:rsidRPr="00FB5A28">
        <w:rPr>
          <w:rFonts w:ascii="Times New Roman" w:hAnsi="Times New Roman"/>
          <w:sz w:val="24"/>
          <w:szCs w:val="24"/>
        </w:rPr>
        <w:t>при</w:t>
      </w:r>
      <w:r w:rsidR="00C27346" w:rsidRPr="00FB5A28">
        <w:rPr>
          <w:rFonts w:ascii="Times New Roman" w:hAnsi="Times New Roman"/>
          <w:sz w:val="24"/>
          <w:szCs w:val="24"/>
        </w:rPr>
        <w:t xml:space="preserve"> </w:t>
      </w:r>
      <w:r w:rsidR="0010457D" w:rsidRPr="00FB5A28">
        <w:rPr>
          <w:rFonts w:ascii="Times New Roman" w:hAnsi="Times New Roman"/>
          <w:sz w:val="24"/>
          <w:szCs w:val="24"/>
        </w:rPr>
        <w:t>продаји</w:t>
      </w:r>
      <w:r w:rsidR="006E4204" w:rsidRPr="00FB5A28">
        <w:rPr>
          <w:rFonts w:ascii="Times New Roman" w:hAnsi="Times New Roman"/>
          <w:sz w:val="24"/>
          <w:szCs w:val="24"/>
          <w:lang w:val="sr-Cyrl-CS"/>
        </w:rPr>
        <w:t xml:space="preserve"> и сл.</w:t>
      </w:r>
    </w:p>
    <w:p w:rsidR="0010457D" w:rsidRPr="00FB5A28" w:rsidRDefault="0010457D" w:rsidP="00FB5A28">
      <w:pPr>
        <w:jc w:val="both"/>
        <w:rPr>
          <w:rFonts w:ascii="Times New Roman" w:hAnsi="Times New Roman"/>
          <w:sz w:val="24"/>
          <w:szCs w:val="24"/>
          <w:lang w:val="sr-Cyrl-CS"/>
        </w:rPr>
      </w:pPr>
      <w:r w:rsidRPr="00FB5A28">
        <w:rPr>
          <w:rFonts w:ascii="Times New Roman" w:hAnsi="Times New Roman"/>
          <w:sz w:val="24"/>
          <w:szCs w:val="24"/>
        </w:rPr>
        <w:t>Са</w:t>
      </w:r>
      <w:r w:rsidR="00C27346" w:rsidRPr="00FB5A28">
        <w:rPr>
          <w:rFonts w:ascii="Times New Roman" w:hAnsi="Times New Roman"/>
          <w:sz w:val="24"/>
          <w:szCs w:val="24"/>
        </w:rPr>
        <w:t xml:space="preserve"> </w:t>
      </w:r>
      <w:r w:rsidRPr="00FB5A28">
        <w:rPr>
          <w:rFonts w:ascii="Times New Roman" w:hAnsi="Times New Roman"/>
          <w:sz w:val="24"/>
          <w:szCs w:val="24"/>
        </w:rPr>
        <w:t>прометом</w:t>
      </w:r>
      <w:r w:rsidR="00C27346" w:rsidRPr="00FB5A28">
        <w:rPr>
          <w:rFonts w:ascii="Times New Roman" w:hAnsi="Times New Roman"/>
          <w:sz w:val="24"/>
          <w:szCs w:val="24"/>
        </w:rPr>
        <w:t xml:space="preserve"> </w:t>
      </w:r>
      <w:r w:rsidRPr="00FB5A28">
        <w:rPr>
          <w:rFonts w:ascii="Times New Roman" w:hAnsi="Times New Roman"/>
          <w:sz w:val="24"/>
          <w:szCs w:val="24"/>
        </w:rPr>
        <w:t>добара</w:t>
      </w:r>
      <w:r w:rsidR="00C27346" w:rsidRPr="00FB5A28">
        <w:rPr>
          <w:rFonts w:ascii="Times New Roman" w:hAnsi="Times New Roman"/>
          <w:sz w:val="24"/>
          <w:szCs w:val="24"/>
        </w:rPr>
        <w:t xml:space="preserve"> </w:t>
      </w:r>
      <w:r w:rsidRPr="00FB5A28">
        <w:rPr>
          <w:rFonts w:ascii="Times New Roman" w:hAnsi="Times New Roman"/>
          <w:sz w:val="24"/>
          <w:szCs w:val="24"/>
        </w:rPr>
        <w:t>уз</w:t>
      </w:r>
      <w:r w:rsidR="00C27346" w:rsidRPr="00FB5A28">
        <w:rPr>
          <w:rFonts w:ascii="Times New Roman" w:hAnsi="Times New Roman"/>
          <w:sz w:val="24"/>
          <w:szCs w:val="24"/>
        </w:rPr>
        <w:t xml:space="preserve"> </w:t>
      </w:r>
      <w:r w:rsidRPr="00FB5A28">
        <w:rPr>
          <w:rFonts w:ascii="Times New Roman" w:hAnsi="Times New Roman"/>
          <w:sz w:val="24"/>
          <w:szCs w:val="24"/>
        </w:rPr>
        <w:t>накнаду</w:t>
      </w:r>
      <w:r w:rsidR="00C27346" w:rsidRPr="00FB5A28">
        <w:rPr>
          <w:rFonts w:ascii="Times New Roman" w:hAnsi="Times New Roman"/>
          <w:sz w:val="24"/>
          <w:szCs w:val="24"/>
        </w:rPr>
        <w:t xml:space="preserve"> </w:t>
      </w:r>
      <w:r w:rsidRPr="00FB5A28">
        <w:rPr>
          <w:rFonts w:ascii="Times New Roman" w:hAnsi="Times New Roman"/>
          <w:sz w:val="24"/>
          <w:szCs w:val="24"/>
        </w:rPr>
        <w:t>изједначава</w:t>
      </w:r>
      <w:r w:rsidR="00C27346" w:rsidRPr="00FB5A28">
        <w:rPr>
          <w:rFonts w:ascii="Times New Roman" w:hAnsi="Times New Roman"/>
          <w:sz w:val="24"/>
          <w:szCs w:val="24"/>
        </w:rPr>
        <w:t xml:space="preserve"> </w:t>
      </w:r>
      <w:r w:rsidRPr="00FB5A28">
        <w:rPr>
          <w:rFonts w:ascii="Times New Roman" w:hAnsi="Times New Roman"/>
          <w:sz w:val="24"/>
          <w:szCs w:val="24"/>
        </w:rPr>
        <w:t>се</w:t>
      </w:r>
      <w:r w:rsidR="00C27346" w:rsidRPr="00FB5A28">
        <w:rPr>
          <w:rFonts w:ascii="Times New Roman" w:hAnsi="Times New Roman"/>
          <w:sz w:val="24"/>
          <w:szCs w:val="24"/>
        </w:rPr>
        <w:t>:</w:t>
      </w:r>
    </w:p>
    <w:p w:rsidR="00C27346" w:rsidRPr="00FB5A28" w:rsidRDefault="00C27346" w:rsidP="00FB5A28">
      <w:pPr>
        <w:jc w:val="both"/>
        <w:rPr>
          <w:rFonts w:ascii="Times New Roman" w:hAnsi="Times New Roman"/>
          <w:sz w:val="24"/>
          <w:szCs w:val="24"/>
        </w:rPr>
      </w:pPr>
      <w:r w:rsidRPr="00FB5A28">
        <w:rPr>
          <w:rFonts w:ascii="Times New Roman" w:hAnsi="Times New Roman"/>
          <w:sz w:val="24"/>
          <w:szCs w:val="24"/>
        </w:rPr>
        <w:t xml:space="preserve">1) </w:t>
      </w:r>
      <w:r w:rsidR="0010457D" w:rsidRPr="00FB5A28">
        <w:rPr>
          <w:rFonts w:ascii="Times New Roman" w:hAnsi="Times New Roman"/>
          <w:sz w:val="24"/>
          <w:szCs w:val="24"/>
        </w:rPr>
        <w:t>узимање</w:t>
      </w:r>
      <w:r w:rsidRPr="00FB5A28">
        <w:rPr>
          <w:rFonts w:ascii="Times New Roman" w:hAnsi="Times New Roman"/>
          <w:sz w:val="24"/>
          <w:szCs w:val="24"/>
        </w:rPr>
        <w:t xml:space="preserve"> </w:t>
      </w:r>
      <w:r w:rsidR="0010457D" w:rsidRPr="00FB5A28">
        <w:rPr>
          <w:rFonts w:ascii="Times New Roman" w:hAnsi="Times New Roman"/>
          <w:sz w:val="24"/>
          <w:szCs w:val="24"/>
        </w:rPr>
        <w:t>добара</w:t>
      </w:r>
      <w:r w:rsidRPr="00FB5A28">
        <w:rPr>
          <w:rFonts w:ascii="Times New Roman" w:hAnsi="Times New Roman"/>
          <w:sz w:val="24"/>
          <w:szCs w:val="24"/>
        </w:rPr>
        <w:t xml:space="preserve"> </w:t>
      </w:r>
      <w:r w:rsidR="0010457D" w:rsidRPr="00FB5A28">
        <w:rPr>
          <w:rFonts w:ascii="Times New Roman" w:hAnsi="Times New Roman"/>
          <w:sz w:val="24"/>
          <w:szCs w:val="24"/>
        </w:rPr>
        <w:t>која</w:t>
      </w:r>
      <w:r w:rsidRPr="00FB5A28">
        <w:rPr>
          <w:rFonts w:ascii="Times New Roman" w:hAnsi="Times New Roman"/>
          <w:sz w:val="24"/>
          <w:szCs w:val="24"/>
        </w:rPr>
        <w:t xml:space="preserve"> </w:t>
      </w:r>
      <w:r w:rsidR="0010457D" w:rsidRPr="00FB5A28">
        <w:rPr>
          <w:rFonts w:ascii="Times New Roman" w:hAnsi="Times New Roman"/>
          <w:sz w:val="24"/>
          <w:szCs w:val="24"/>
        </w:rPr>
        <w:t>су</w:t>
      </w:r>
      <w:r w:rsidRPr="00FB5A28">
        <w:rPr>
          <w:rFonts w:ascii="Times New Roman" w:hAnsi="Times New Roman"/>
          <w:sz w:val="24"/>
          <w:szCs w:val="24"/>
        </w:rPr>
        <w:t xml:space="preserve"> </w:t>
      </w:r>
      <w:r w:rsidR="0010457D" w:rsidRPr="00FB5A28">
        <w:rPr>
          <w:rFonts w:ascii="Times New Roman" w:hAnsi="Times New Roman"/>
          <w:sz w:val="24"/>
          <w:szCs w:val="24"/>
        </w:rPr>
        <w:t>део</w:t>
      </w:r>
      <w:r w:rsidRPr="00FB5A28">
        <w:rPr>
          <w:rFonts w:ascii="Times New Roman" w:hAnsi="Times New Roman"/>
          <w:sz w:val="24"/>
          <w:szCs w:val="24"/>
        </w:rPr>
        <w:t xml:space="preserve"> </w:t>
      </w:r>
      <w:r w:rsidR="0010457D" w:rsidRPr="00FB5A28">
        <w:rPr>
          <w:rFonts w:ascii="Times New Roman" w:hAnsi="Times New Roman"/>
          <w:sz w:val="24"/>
          <w:szCs w:val="24"/>
        </w:rPr>
        <w:t>пословне</w:t>
      </w:r>
      <w:r w:rsidRPr="00FB5A28">
        <w:rPr>
          <w:rFonts w:ascii="Times New Roman" w:hAnsi="Times New Roman"/>
          <w:sz w:val="24"/>
          <w:szCs w:val="24"/>
        </w:rPr>
        <w:t xml:space="preserve"> </w:t>
      </w:r>
      <w:r w:rsidR="0010457D" w:rsidRPr="00FB5A28">
        <w:rPr>
          <w:rFonts w:ascii="Times New Roman" w:hAnsi="Times New Roman"/>
          <w:sz w:val="24"/>
          <w:szCs w:val="24"/>
        </w:rPr>
        <w:t>имовине</w:t>
      </w:r>
      <w:r w:rsidRPr="00FB5A28">
        <w:rPr>
          <w:rFonts w:ascii="Times New Roman" w:hAnsi="Times New Roman"/>
          <w:sz w:val="24"/>
          <w:szCs w:val="24"/>
        </w:rPr>
        <w:t xml:space="preserve"> </w:t>
      </w:r>
      <w:r w:rsidR="0010457D" w:rsidRPr="00FB5A28">
        <w:rPr>
          <w:rFonts w:ascii="Times New Roman" w:hAnsi="Times New Roman"/>
          <w:sz w:val="24"/>
          <w:szCs w:val="24"/>
        </w:rPr>
        <w:t>пореског</w:t>
      </w:r>
      <w:r w:rsidRPr="00FB5A28">
        <w:rPr>
          <w:rFonts w:ascii="Times New Roman" w:hAnsi="Times New Roman"/>
          <w:sz w:val="24"/>
          <w:szCs w:val="24"/>
        </w:rPr>
        <w:t xml:space="preserve"> </w:t>
      </w:r>
      <w:r w:rsidR="0010457D" w:rsidRPr="00FB5A28">
        <w:rPr>
          <w:rFonts w:ascii="Times New Roman" w:hAnsi="Times New Roman"/>
          <w:sz w:val="24"/>
          <w:szCs w:val="24"/>
        </w:rPr>
        <w:t>обвезника</w:t>
      </w:r>
      <w:r w:rsidRPr="00FB5A28">
        <w:rPr>
          <w:rFonts w:ascii="Times New Roman" w:hAnsi="Times New Roman"/>
          <w:sz w:val="24"/>
          <w:szCs w:val="24"/>
        </w:rPr>
        <w:t xml:space="preserve"> </w:t>
      </w:r>
      <w:r w:rsidR="0010457D" w:rsidRPr="00FB5A28">
        <w:rPr>
          <w:rFonts w:ascii="Times New Roman" w:hAnsi="Times New Roman"/>
          <w:sz w:val="24"/>
          <w:szCs w:val="24"/>
        </w:rPr>
        <w:t>за</w:t>
      </w:r>
      <w:r w:rsidRPr="00FB5A28">
        <w:rPr>
          <w:rFonts w:ascii="Times New Roman" w:hAnsi="Times New Roman"/>
          <w:sz w:val="24"/>
          <w:szCs w:val="24"/>
        </w:rPr>
        <w:t xml:space="preserve"> </w:t>
      </w:r>
      <w:r w:rsidR="0010457D" w:rsidRPr="00FB5A28">
        <w:rPr>
          <w:rFonts w:ascii="Times New Roman" w:hAnsi="Times New Roman"/>
          <w:sz w:val="24"/>
          <w:szCs w:val="24"/>
        </w:rPr>
        <w:t>личне</w:t>
      </w:r>
      <w:r w:rsidRPr="00FB5A28">
        <w:rPr>
          <w:rFonts w:ascii="Times New Roman" w:hAnsi="Times New Roman"/>
          <w:sz w:val="24"/>
          <w:szCs w:val="24"/>
        </w:rPr>
        <w:t xml:space="preserve"> </w:t>
      </w:r>
      <w:r w:rsidR="0010457D" w:rsidRPr="00FB5A28">
        <w:rPr>
          <w:rFonts w:ascii="Times New Roman" w:hAnsi="Times New Roman"/>
          <w:sz w:val="24"/>
          <w:szCs w:val="24"/>
        </w:rPr>
        <w:t>потребе</w:t>
      </w:r>
      <w:r w:rsidRPr="00FB5A28">
        <w:rPr>
          <w:rFonts w:ascii="Times New Roman" w:hAnsi="Times New Roman"/>
          <w:sz w:val="24"/>
          <w:szCs w:val="24"/>
        </w:rPr>
        <w:t xml:space="preserve"> </w:t>
      </w:r>
      <w:r w:rsidR="0010457D" w:rsidRPr="00FB5A28">
        <w:rPr>
          <w:rFonts w:ascii="Times New Roman" w:hAnsi="Times New Roman"/>
          <w:sz w:val="24"/>
          <w:szCs w:val="24"/>
        </w:rPr>
        <w:t>оснивача</w:t>
      </w:r>
      <w:r w:rsidRPr="00FB5A28">
        <w:rPr>
          <w:rFonts w:ascii="Times New Roman" w:hAnsi="Times New Roman"/>
          <w:sz w:val="24"/>
          <w:szCs w:val="24"/>
        </w:rPr>
        <w:t xml:space="preserve">, </w:t>
      </w:r>
      <w:r w:rsidR="0010457D" w:rsidRPr="00FB5A28">
        <w:rPr>
          <w:rFonts w:ascii="Times New Roman" w:hAnsi="Times New Roman"/>
          <w:sz w:val="24"/>
          <w:szCs w:val="24"/>
        </w:rPr>
        <w:t>власника</w:t>
      </w:r>
      <w:r w:rsidRPr="00FB5A28">
        <w:rPr>
          <w:rFonts w:ascii="Times New Roman" w:hAnsi="Times New Roman"/>
          <w:sz w:val="24"/>
          <w:szCs w:val="24"/>
        </w:rPr>
        <w:t xml:space="preserve">, </w:t>
      </w:r>
      <w:r w:rsidR="0010457D" w:rsidRPr="00FB5A28">
        <w:rPr>
          <w:rFonts w:ascii="Times New Roman" w:hAnsi="Times New Roman"/>
          <w:sz w:val="24"/>
          <w:szCs w:val="24"/>
        </w:rPr>
        <w:t>запослених</w:t>
      </w:r>
      <w:r w:rsidRPr="00FB5A28">
        <w:rPr>
          <w:rFonts w:ascii="Times New Roman" w:hAnsi="Times New Roman"/>
          <w:sz w:val="24"/>
          <w:szCs w:val="24"/>
        </w:rPr>
        <w:t xml:space="preserve"> </w:t>
      </w:r>
      <w:r w:rsidR="0010457D" w:rsidRPr="00FB5A28">
        <w:rPr>
          <w:rFonts w:ascii="Times New Roman" w:hAnsi="Times New Roman"/>
          <w:sz w:val="24"/>
          <w:szCs w:val="24"/>
        </w:rPr>
        <w:t>или</w:t>
      </w:r>
      <w:r w:rsidRPr="00FB5A28">
        <w:rPr>
          <w:rFonts w:ascii="Times New Roman" w:hAnsi="Times New Roman"/>
          <w:sz w:val="24"/>
          <w:szCs w:val="24"/>
        </w:rPr>
        <w:t xml:space="preserve"> </w:t>
      </w:r>
      <w:r w:rsidR="0010457D" w:rsidRPr="00FB5A28">
        <w:rPr>
          <w:rFonts w:ascii="Times New Roman" w:hAnsi="Times New Roman"/>
          <w:sz w:val="24"/>
          <w:szCs w:val="24"/>
        </w:rPr>
        <w:t>других</w:t>
      </w:r>
      <w:r w:rsidRPr="00FB5A28">
        <w:rPr>
          <w:rFonts w:ascii="Times New Roman" w:hAnsi="Times New Roman"/>
          <w:sz w:val="24"/>
          <w:szCs w:val="24"/>
        </w:rPr>
        <w:t xml:space="preserve"> </w:t>
      </w:r>
      <w:r w:rsidR="0010457D" w:rsidRPr="00FB5A28">
        <w:rPr>
          <w:rFonts w:ascii="Times New Roman" w:hAnsi="Times New Roman"/>
          <w:sz w:val="24"/>
          <w:szCs w:val="24"/>
        </w:rPr>
        <w:t>лица</w:t>
      </w:r>
      <w:r w:rsidRPr="00FB5A28">
        <w:rPr>
          <w:rFonts w:ascii="Times New Roman" w:hAnsi="Times New Roman"/>
          <w:sz w:val="24"/>
          <w:szCs w:val="24"/>
        </w:rPr>
        <w:t>;</w:t>
      </w:r>
    </w:p>
    <w:p w:rsidR="00C27346" w:rsidRPr="00FB5A28" w:rsidRDefault="00C27346" w:rsidP="00FB5A28">
      <w:pPr>
        <w:jc w:val="both"/>
        <w:rPr>
          <w:rFonts w:ascii="Times New Roman" w:hAnsi="Times New Roman"/>
          <w:sz w:val="24"/>
          <w:szCs w:val="24"/>
        </w:rPr>
      </w:pPr>
      <w:r w:rsidRPr="00FB5A28">
        <w:rPr>
          <w:rFonts w:ascii="Times New Roman" w:hAnsi="Times New Roman"/>
          <w:sz w:val="24"/>
          <w:szCs w:val="24"/>
        </w:rPr>
        <w:t xml:space="preserve">2) </w:t>
      </w:r>
      <w:r w:rsidR="0010457D" w:rsidRPr="00FB5A28">
        <w:rPr>
          <w:rFonts w:ascii="Times New Roman" w:hAnsi="Times New Roman"/>
          <w:sz w:val="24"/>
          <w:szCs w:val="24"/>
        </w:rPr>
        <w:t>сваки</w:t>
      </w:r>
      <w:r w:rsidRPr="00FB5A28">
        <w:rPr>
          <w:rFonts w:ascii="Times New Roman" w:hAnsi="Times New Roman"/>
          <w:sz w:val="24"/>
          <w:szCs w:val="24"/>
        </w:rPr>
        <w:t xml:space="preserve"> </w:t>
      </w:r>
      <w:r w:rsidR="0010457D" w:rsidRPr="00FB5A28">
        <w:rPr>
          <w:rFonts w:ascii="Times New Roman" w:hAnsi="Times New Roman"/>
          <w:sz w:val="24"/>
          <w:szCs w:val="24"/>
        </w:rPr>
        <w:t>други</w:t>
      </w:r>
      <w:r w:rsidRPr="00FB5A28">
        <w:rPr>
          <w:rFonts w:ascii="Times New Roman" w:hAnsi="Times New Roman"/>
          <w:sz w:val="24"/>
          <w:szCs w:val="24"/>
        </w:rPr>
        <w:t xml:space="preserve"> </w:t>
      </w:r>
      <w:r w:rsidR="0010457D" w:rsidRPr="00FB5A28">
        <w:rPr>
          <w:rFonts w:ascii="Times New Roman" w:hAnsi="Times New Roman"/>
          <w:sz w:val="24"/>
          <w:szCs w:val="24"/>
        </w:rPr>
        <w:t>промет</w:t>
      </w:r>
      <w:r w:rsidRPr="00FB5A28">
        <w:rPr>
          <w:rFonts w:ascii="Times New Roman" w:hAnsi="Times New Roman"/>
          <w:sz w:val="24"/>
          <w:szCs w:val="24"/>
        </w:rPr>
        <w:t xml:space="preserve"> </w:t>
      </w:r>
      <w:r w:rsidR="0010457D" w:rsidRPr="00FB5A28">
        <w:rPr>
          <w:rFonts w:ascii="Times New Roman" w:hAnsi="Times New Roman"/>
          <w:sz w:val="24"/>
          <w:szCs w:val="24"/>
        </w:rPr>
        <w:t>добара</w:t>
      </w:r>
      <w:r w:rsidRPr="00FB5A28">
        <w:rPr>
          <w:rFonts w:ascii="Times New Roman" w:hAnsi="Times New Roman"/>
          <w:sz w:val="24"/>
          <w:szCs w:val="24"/>
        </w:rPr>
        <w:t xml:space="preserve"> </w:t>
      </w:r>
      <w:r w:rsidR="0010457D" w:rsidRPr="00FB5A28">
        <w:rPr>
          <w:rFonts w:ascii="Times New Roman" w:hAnsi="Times New Roman"/>
          <w:sz w:val="24"/>
          <w:szCs w:val="24"/>
        </w:rPr>
        <w:t>без</w:t>
      </w:r>
      <w:r w:rsidRPr="00FB5A28">
        <w:rPr>
          <w:rFonts w:ascii="Times New Roman" w:hAnsi="Times New Roman"/>
          <w:sz w:val="24"/>
          <w:szCs w:val="24"/>
        </w:rPr>
        <w:t xml:space="preserve"> </w:t>
      </w:r>
      <w:r w:rsidR="0010457D" w:rsidRPr="00FB5A28">
        <w:rPr>
          <w:rFonts w:ascii="Times New Roman" w:hAnsi="Times New Roman"/>
          <w:sz w:val="24"/>
          <w:szCs w:val="24"/>
        </w:rPr>
        <w:t>накнаде</w:t>
      </w:r>
      <w:r w:rsidRPr="00FB5A28">
        <w:rPr>
          <w:rFonts w:ascii="Times New Roman" w:hAnsi="Times New Roman"/>
          <w:sz w:val="24"/>
          <w:szCs w:val="24"/>
        </w:rPr>
        <w:t>;</w:t>
      </w:r>
    </w:p>
    <w:p w:rsidR="00C27346" w:rsidRPr="00FB5A28" w:rsidRDefault="00C27346" w:rsidP="00FB5A28">
      <w:pPr>
        <w:jc w:val="both"/>
        <w:rPr>
          <w:rFonts w:ascii="Times New Roman" w:hAnsi="Times New Roman"/>
          <w:sz w:val="24"/>
          <w:szCs w:val="24"/>
          <w:lang w:val="sr-Cyrl-CS"/>
        </w:rPr>
      </w:pPr>
      <w:r w:rsidRPr="00FB5A28">
        <w:rPr>
          <w:rFonts w:ascii="Times New Roman" w:hAnsi="Times New Roman"/>
          <w:sz w:val="24"/>
          <w:szCs w:val="24"/>
        </w:rPr>
        <w:t xml:space="preserve">3) </w:t>
      </w:r>
      <w:r w:rsidR="0010457D" w:rsidRPr="00FB5A28">
        <w:rPr>
          <w:rFonts w:ascii="Times New Roman" w:hAnsi="Times New Roman"/>
          <w:sz w:val="24"/>
          <w:szCs w:val="24"/>
        </w:rPr>
        <w:t>исказани</w:t>
      </w:r>
      <w:r w:rsidRPr="00FB5A28">
        <w:rPr>
          <w:rFonts w:ascii="Times New Roman" w:hAnsi="Times New Roman"/>
          <w:sz w:val="24"/>
          <w:szCs w:val="24"/>
        </w:rPr>
        <w:t xml:space="preserve"> </w:t>
      </w:r>
      <w:r w:rsidR="0010457D" w:rsidRPr="00FB5A28">
        <w:rPr>
          <w:rFonts w:ascii="Times New Roman" w:hAnsi="Times New Roman"/>
          <w:sz w:val="24"/>
          <w:szCs w:val="24"/>
        </w:rPr>
        <w:t>расход</w:t>
      </w:r>
      <w:r w:rsidRPr="00FB5A28">
        <w:rPr>
          <w:rFonts w:ascii="Times New Roman" w:hAnsi="Times New Roman"/>
          <w:sz w:val="24"/>
          <w:szCs w:val="24"/>
        </w:rPr>
        <w:t xml:space="preserve"> (</w:t>
      </w:r>
      <w:r w:rsidR="0010457D" w:rsidRPr="00FB5A28">
        <w:rPr>
          <w:rFonts w:ascii="Times New Roman" w:hAnsi="Times New Roman"/>
          <w:sz w:val="24"/>
          <w:szCs w:val="24"/>
        </w:rPr>
        <w:t>кало</w:t>
      </w:r>
      <w:r w:rsidRPr="00FB5A28">
        <w:rPr>
          <w:rFonts w:ascii="Times New Roman" w:hAnsi="Times New Roman"/>
          <w:sz w:val="24"/>
          <w:szCs w:val="24"/>
        </w:rPr>
        <w:t xml:space="preserve">, </w:t>
      </w:r>
      <w:r w:rsidR="0010457D" w:rsidRPr="00FB5A28">
        <w:rPr>
          <w:rFonts w:ascii="Times New Roman" w:hAnsi="Times New Roman"/>
          <w:sz w:val="24"/>
          <w:szCs w:val="24"/>
        </w:rPr>
        <w:t>растур</w:t>
      </w:r>
      <w:r w:rsidRPr="00FB5A28">
        <w:rPr>
          <w:rFonts w:ascii="Times New Roman" w:hAnsi="Times New Roman"/>
          <w:sz w:val="24"/>
          <w:szCs w:val="24"/>
        </w:rPr>
        <w:t xml:space="preserve">, </w:t>
      </w:r>
      <w:r w:rsidR="0010457D" w:rsidRPr="00FB5A28">
        <w:rPr>
          <w:rFonts w:ascii="Times New Roman" w:hAnsi="Times New Roman"/>
          <w:sz w:val="24"/>
          <w:szCs w:val="24"/>
        </w:rPr>
        <w:t>квар</w:t>
      </w:r>
      <w:r w:rsidRPr="00FB5A28">
        <w:rPr>
          <w:rFonts w:ascii="Times New Roman" w:hAnsi="Times New Roman"/>
          <w:sz w:val="24"/>
          <w:szCs w:val="24"/>
        </w:rPr>
        <w:t xml:space="preserve"> </w:t>
      </w:r>
      <w:r w:rsidR="0010457D" w:rsidRPr="00FB5A28">
        <w:rPr>
          <w:rFonts w:ascii="Times New Roman" w:hAnsi="Times New Roman"/>
          <w:sz w:val="24"/>
          <w:szCs w:val="24"/>
        </w:rPr>
        <w:t>и</w:t>
      </w:r>
      <w:r w:rsidRPr="00FB5A28">
        <w:rPr>
          <w:rFonts w:ascii="Times New Roman" w:hAnsi="Times New Roman"/>
          <w:sz w:val="24"/>
          <w:szCs w:val="24"/>
        </w:rPr>
        <w:t xml:space="preserve"> </w:t>
      </w:r>
      <w:r w:rsidR="0010457D" w:rsidRPr="00FB5A28">
        <w:rPr>
          <w:rFonts w:ascii="Times New Roman" w:hAnsi="Times New Roman"/>
          <w:sz w:val="24"/>
          <w:szCs w:val="24"/>
        </w:rPr>
        <w:t>лом</w:t>
      </w:r>
      <w:r w:rsidRPr="00FB5A28">
        <w:rPr>
          <w:rFonts w:ascii="Times New Roman" w:hAnsi="Times New Roman"/>
          <w:sz w:val="24"/>
          <w:szCs w:val="24"/>
        </w:rPr>
        <w:t xml:space="preserve">) </w:t>
      </w:r>
      <w:r w:rsidR="0010457D" w:rsidRPr="00FB5A28">
        <w:rPr>
          <w:rFonts w:ascii="Times New Roman" w:hAnsi="Times New Roman"/>
          <w:sz w:val="24"/>
          <w:szCs w:val="24"/>
        </w:rPr>
        <w:t>изнад</w:t>
      </w:r>
      <w:r w:rsidRPr="00FB5A28">
        <w:rPr>
          <w:rFonts w:ascii="Times New Roman" w:hAnsi="Times New Roman"/>
          <w:sz w:val="24"/>
          <w:szCs w:val="24"/>
        </w:rPr>
        <w:t xml:space="preserve"> </w:t>
      </w:r>
      <w:r w:rsidR="0010457D" w:rsidRPr="00FB5A28">
        <w:rPr>
          <w:rFonts w:ascii="Times New Roman" w:hAnsi="Times New Roman"/>
          <w:sz w:val="24"/>
          <w:szCs w:val="24"/>
        </w:rPr>
        <w:t>количине</w:t>
      </w:r>
      <w:r w:rsidRPr="00FB5A28">
        <w:rPr>
          <w:rFonts w:ascii="Times New Roman" w:hAnsi="Times New Roman"/>
          <w:sz w:val="24"/>
          <w:szCs w:val="24"/>
        </w:rPr>
        <w:t xml:space="preserve"> </w:t>
      </w:r>
      <w:r w:rsidR="0010457D" w:rsidRPr="00FB5A28">
        <w:rPr>
          <w:rFonts w:ascii="Times New Roman" w:hAnsi="Times New Roman"/>
          <w:sz w:val="24"/>
          <w:szCs w:val="24"/>
        </w:rPr>
        <w:t>утврђене</w:t>
      </w:r>
      <w:r w:rsidRPr="00FB5A28">
        <w:rPr>
          <w:rFonts w:ascii="Times New Roman" w:hAnsi="Times New Roman"/>
          <w:sz w:val="24"/>
          <w:szCs w:val="24"/>
        </w:rPr>
        <w:t xml:space="preserve"> </w:t>
      </w:r>
      <w:r w:rsidR="0010457D" w:rsidRPr="00FB5A28">
        <w:rPr>
          <w:rFonts w:ascii="Times New Roman" w:hAnsi="Times New Roman"/>
          <w:sz w:val="24"/>
          <w:szCs w:val="24"/>
        </w:rPr>
        <w:t>актом</w:t>
      </w:r>
      <w:r w:rsidRPr="00FB5A28">
        <w:rPr>
          <w:rFonts w:ascii="Times New Roman" w:hAnsi="Times New Roman"/>
          <w:sz w:val="24"/>
          <w:szCs w:val="24"/>
        </w:rPr>
        <w:t xml:space="preserve"> </w:t>
      </w:r>
      <w:r w:rsidR="0010457D" w:rsidRPr="00FB5A28">
        <w:rPr>
          <w:rFonts w:ascii="Times New Roman" w:hAnsi="Times New Roman"/>
          <w:sz w:val="24"/>
          <w:szCs w:val="24"/>
        </w:rPr>
        <w:t>који</w:t>
      </w:r>
      <w:r w:rsidRPr="00FB5A28">
        <w:rPr>
          <w:rFonts w:ascii="Times New Roman" w:hAnsi="Times New Roman"/>
          <w:sz w:val="24"/>
          <w:szCs w:val="24"/>
        </w:rPr>
        <w:t xml:space="preserve"> </w:t>
      </w:r>
      <w:r w:rsidR="0010457D" w:rsidRPr="00FB5A28">
        <w:rPr>
          <w:rFonts w:ascii="Times New Roman" w:hAnsi="Times New Roman"/>
          <w:sz w:val="24"/>
          <w:szCs w:val="24"/>
        </w:rPr>
        <w:t>доноси</w:t>
      </w:r>
      <w:r w:rsidRPr="00FB5A28">
        <w:rPr>
          <w:rFonts w:ascii="Times New Roman" w:hAnsi="Times New Roman"/>
          <w:sz w:val="24"/>
          <w:szCs w:val="24"/>
        </w:rPr>
        <w:t xml:space="preserve"> </w:t>
      </w:r>
      <w:r w:rsidR="0010457D" w:rsidRPr="00FB5A28">
        <w:rPr>
          <w:rFonts w:ascii="Times New Roman" w:hAnsi="Times New Roman"/>
          <w:sz w:val="24"/>
          <w:szCs w:val="24"/>
        </w:rPr>
        <w:t>Влада</w:t>
      </w:r>
      <w:r w:rsidRPr="00FB5A28">
        <w:rPr>
          <w:rFonts w:ascii="Times New Roman" w:hAnsi="Times New Roman"/>
          <w:sz w:val="24"/>
          <w:szCs w:val="24"/>
        </w:rPr>
        <w:t xml:space="preserve"> </w:t>
      </w:r>
      <w:r w:rsidR="0010457D" w:rsidRPr="00FB5A28">
        <w:rPr>
          <w:rFonts w:ascii="Times New Roman" w:hAnsi="Times New Roman"/>
          <w:sz w:val="24"/>
          <w:szCs w:val="24"/>
        </w:rPr>
        <w:t>Републике</w:t>
      </w:r>
      <w:r w:rsidRPr="00FB5A28">
        <w:rPr>
          <w:rFonts w:ascii="Times New Roman" w:hAnsi="Times New Roman"/>
          <w:sz w:val="24"/>
          <w:szCs w:val="24"/>
        </w:rPr>
        <w:t xml:space="preserve"> </w:t>
      </w:r>
      <w:r w:rsidR="0010457D" w:rsidRPr="00FB5A28">
        <w:rPr>
          <w:rFonts w:ascii="Times New Roman" w:hAnsi="Times New Roman"/>
          <w:sz w:val="24"/>
          <w:szCs w:val="24"/>
        </w:rPr>
        <w:t>Србије</w:t>
      </w:r>
      <w:r w:rsidRPr="00FB5A28">
        <w:rPr>
          <w:rFonts w:ascii="Times New Roman" w:hAnsi="Times New Roman"/>
          <w:sz w:val="24"/>
          <w:szCs w:val="24"/>
        </w:rPr>
        <w:t>.</w:t>
      </w:r>
    </w:p>
    <w:p w:rsidR="006E4204" w:rsidRPr="00FB5A28" w:rsidRDefault="0010457D" w:rsidP="00FB5A28">
      <w:pPr>
        <w:jc w:val="both"/>
        <w:rPr>
          <w:rFonts w:ascii="Times New Roman" w:hAnsi="Times New Roman"/>
          <w:sz w:val="24"/>
          <w:szCs w:val="24"/>
          <w:lang w:val="sr-Cyrl-CS"/>
        </w:rPr>
      </w:pPr>
      <w:r w:rsidRPr="00FB5A28">
        <w:rPr>
          <w:rFonts w:ascii="Times New Roman" w:hAnsi="Times New Roman"/>
          <w:sz w:val="24"/>
          <w:szCs w:val="24"/>
        </w:rPr>
        <w:lastRenderedPageBreak/>
        <w:t>Промет</w:t>
      </w:r>
      <w:r w:rsidR="00A05C62" w:rsidRPr="00FB5A28">
        <w:rPr>
          <w:rFonts w:ascii="Times New Roman" w:hAnsi="Times New Roman"/>
          <w:sz w:val="24"/>
          <w:szCs w:val="24"/>
        </w:rPr>
        <w:t xml:space="preserve"> </w:t>
      </w:r>
      <w:r w:rsidRPr="00FB5A28">
        <w:rPr>
          <w:rFonts w:ascii="Times New Roman" w:hAnsi="Times New Roman"/>
          <w:sz w:val="24"/>
          <w:szCs w:val="24"/>
        </w:rPr>
        <w:t>услуга</w:t>
      </w:r>
      <w:r w:rsidR="00A05C62" w:rsidRPr="00FB5A28">
        <w:rPr>
          <w:rFonts w:ascii="Times New Roman" w:hAnsi="Times New Roman"/>
          <w:sz w:val="24"/>
          <w:szCs w:val="24"/>
        </w:rPr>
        <w:t>,</w:t>
      </w:r>
      <w:r w:rsidRPr="00FB5A28">
        <w:rPr>
          <w:rStyle w:val="FootnoteReference"/>
          <w:rFonts w:ascii="Times New Roman" w:hAnsi="Times New Roman"/>
          <w:color w:val="000000"/>
          <w:sz w:val="24"/>
          <w:szCs w:val="24"/>
        </w:rPr>
        <w:footnoteReference w:id="376"/>
      </w:r>
      <w:r w:rsidRPr="00FB5A28">
        <w:rPr>
          <w:rFonts w:ascii="Times New Roman" w:hAnsi="Times New Roman"/>
          <w:sz w:val="24"/>
          <w:szCs w:val="24"/>
        </w:rPr>
        <w:t xml:space="preserve"> </w:t>
      </w:r>
      <w:r w:rsidR="00A05C62" w:rsidRPr="00FB5A28">
        <w:rPr>
          <w:rFonts w:ascii="Times New Roman" w:hAnsi="Times New Roman"/>
          <w:sz w:val="24"/>
          <w:szCs w:val="24"/>
        </w:rPr>
        <w:t xml:space="preserve"> </w:t>
      </w:r>
      <w:r w:rsidRPr="00FB5A28">
        <w:rPr>
          <w:rFonts w:ascii="Times New Roman" w:hAnsi="Times New Roman"/>
          <w:sz w:val="24"/>
          <w:szCs w:val="24"/>
        </w:rPr>
        <w:t>су</w:t>
      </w:r>
      <w:r w:rsidR="00A05C62" w:rsidRPr="00FB5A28">
        <w:rPr>
          <w:rFonts w:ascii="Times New Roman" w:hAnsi="Times New Roman"/>
          <w:sz w:val="24"/>
          <w:szCs w:val="24"/>
        </w:rPr>
        <w:t xml:space="preserve"> </w:t>
      </w:r>
      <w:r w:rsidRPr="00FB5A28">
        <w:rPr>
          <w:rFonts w:ascii="Times New Roman" w:hAnsi="Times New Roman"/>
          <w:sz w:val="24"/>
          <w:szCs w:val="24"/>
        </w:rPr>
        <w:t>сви</w:t>
      </w:r>
      <w:r w:rsidR="00A05C62" w:rsidRPr="00FB5A28">
        <w:rPr>
          <w:rFonts w:ascii="Times New Roman" w:hAnsi="Times New Roman"/>
          <w:sz w:val="24"/>
          <w:szCs w:val="24"/>
        </w:rPr>
        <w:t xml:space="preserve"> </w:t>
      </w:r>
      <w:r w:rsidRPr="00FB5A28">
        <w:rPr>
          <w:rFonts w:ascii="Times New Roman" w:hAnsi="Times New Roman"/>
          <w:sz w:val="24"/>
          <w:szCs w:val="24"/>
        </w:rPr>
        <w:t>послови</w:t>
      </w:r>
      <w:r w:rsidR="00A05C62" w:rsidRPr="00FB5A28">
        <w:rPr>
          <w:rFonts w:ascii="Times New Roman" w:hAnsi="Times New Roman"/>
          <w:sz w:val="24"/>
          <w:szCs w:val="24"/>
        </w:rPr>
        <w:t xml:space="preserve"> </w:t>
      </w:r>
      <w:r w:rsidRPr="00FB5A28">
        <w:rPr>
          <w:rFonts w:ascii="Times New Roman" w:hAnsi="Times New Roman"/>
          <w:sz w:val="24"/>
          <w:szCs w:val="24"/>
        </w:rPr>
        <w:t>и</w:t>
      </w:r>
      <w:r w:rsidR="00A05C62" w:rsidRPr="00FB5A28">
        <w:rPr>
          <w:rFonts w:ascii="Times New Roman" w:hAnsi="Times New Roman"/>
          <w:sz w:val="24"/>
          <w:szCs w:val="24"/>
        </w:rPr>
        <w:t xml:space="preserve"> </w:t>
      </w:r>
      <w:r w:rsidRPr="00FB5A28">
        <w:rPr>
          <w:rFonts w:ascii="Times New Roman" w:hAnsi="Times New Roman"/>
          <w:sz w:val="24"/>
          <w:szCs w:val="24"/>
        </w:rPr>
        <w:t>радње</w:t>
      </w:r>
      <w:r w:rsidR="00A05C62" w:rsidRPr="00FB5A28">
        <w:rPr>
          <w:rFonts w:ascii="Times New Roman" w:hAnsi="Times New Roman"/>
          <w:sz w:val="24"/>
          <w:szCs w:val="24"/>
        </w:rPr>
        <w:t xml:space="preserve"> </w:t>
      </w:r>
      <w:r w:rsidRPr="00FB5A28">
        <w:rPr>
          <w:rFonts w:ascii="Times New Roman" w:hAnsi="Times New Roman"/>
          <w:sz w:val="24"/>
          <w:szCs w:val="24"/>
        </w:rPr>
        <w:t>у</w:t>
      </w:r>
      <w:r w:rsidR="00A05C62" w:rsidRPr="00FB5A28">
        <w:rPr>
          <w:rFonts w:ascii="Times New Roman" w:hAnsi="Times New Roman"/>
          <w:sz w:val="24"/>
          <w:szCs w:val="24"/>
        </w:rPr>
        <w:t xml:space="preserve"> </w:t>
      </w:r>
      <w:r w:rsidRPr="00FB5A28">
        <w:rPr>
          <w:rFonts w:ascii="Times New Roman" w:hAnsi="Times New Roman"/>
          <w:sz w:val="24"/>
          <w:szCs w:val="24"/>
        </w:rPr>
        <w:t>оквиру</w:t>
      </w:r>
      <w:r w:rsidR="00A05C62" w:rsidRPr="00FB5A28">
        <w:rPr>
          <w:rFonts w:ascii="Times New Roman" w:hAnsi="Times New Roman"/>
          <w:sz w:val="24"/>
          <w:szCs w:val="24"/>
        </w:rPr>
        <w:t xml:space="preserve"> </w:t>
      </w:r>
      <w:r w:rsidRPr="00FB5A28">
        <w:rPr>
          <w:rFonts w:ascii="Times New Roman" w:hAnsi="Times New Roman"/>
          <w:sz w:val="24"/>
          <w:szCs w:val="24"/>
        </w:rPr>
        <w:t>обављања</w:t>
      </w:r>
      <w:r w:rsidR="00A05C62" w:rsidRPr="00FB5A28">
        <w:rPr>
          <w:rFonts w:ascii="Times New Roman" w:hAnsi="Times New Roman"/>
          <w:sz w:val="24"/>
          <w:szCs w:val="24"/>
        </w:rPr>
        <w:t xml:space="preserve"> </w:t>
      </w:r>
      <w:r w:rsidRPr="00FB5A28">
        <w:rPr>
          <w:rFonts w:ascii="Times New Roman" w:hAnsi="Times New Roman"/>
          <w:sz w:val="24"/>
          <w:szCs w:val="24"/>
        </w:rPr>
        <w:t>делатности који нису промет добара.</w:t>
      </w:r>
    </w:p>
    <w:p w:rsidR="0010457D" w:rsidRPr="00FB5A28" w:rsidRDefault="0010457D" w:rsidP="00FB5A28">
      <w:pPr>
        <w:jc w:val="both"/>
        <w:rPr>
          <w:rFonts w:ascii="Times New Roman" w:hAnsi="Times New Roman"/>
          <w:sz w:val="24"/>
          <w:szCs w:val="24"/>
          <w:lang w:val="sr-Cyrl-CS"/>
        </w:rPr>
      </w:pPr>
      <w:r w:rsidRPr="00FB5A28">
        <w:rPr>
          <w:rFonts w:ascii="Times New Roman" w:hAnsi="Times New Roman"/>
          <w:sz w:val="24"/>
          <w:szCs w:val="24"/>
        </w:rPr>
        <w:t>Промет</w:t>
      </w:r>
      <w:r w:rsidR="00A05C62" w:rsidRPr="00FB5A28">
        <w:rPr>
          <w:rFonts w:ascii="Times New Roman" w:hAnsi="Times New Roman"/>
          <w:sz w:val="24"/>
          <w:szCs w:val="24"/>
        </w:rPr>
        <w:t xml:space="preserve"> </w:t>
      </w:r>
      <w:r w:rsidRPr="00FB5A28">
        <w:rPr>
          <w:rFonts w:ascii="Times New Roman" w:hAnsi="Times New Roman"/>
          <w:sz w:val="24"/>
          <w:szCs w:val="24"/>
        </w:rPr>
        <w:t>услуга</w:t>
      </w:r>
      <w:r w:rsidR="00A05C62" w:rsidRPr="00FB5A28">
        <w:rPr>
          <w:rFonts w:ascii="Times New Roman" w:hAnsi="Times New Roman"/>
          <w:sz w:val="24"/>
          <w:szCs w:val="24"/>
        </w:rPr>
        <w:t xml:space="preserve"> </w:t>
      </w:r>
      <w:r w:rsidRPr="00FB5A28">
        <w:rPr>
          <w:rFonts w:ascii="Times New Roman" w:hAnsi="Times New Roman"/>
          <w:sz w:val="24"/>
          <w:szCs w:val="24"/>
        </w:rPr>
        <w:t>је</w:t>
      </w:r>
      <w:r w:rsidR="00A05C62" w:rsidRPr="00FB5A28">
        <w:rPr>
          <w:rFonts w:ascii="Times New Roman" w:hAnsi="Times New Roman"/>
          <w:sz w:val="24"/>
          <w:szCs w:val="24"/>
        </w:rPr>
        <w:t xml:space="preserve"> </w:t>
      </w:r>
      <w:r w:rsidRPr="00FB5A28">
        <w:rPr>
          <w:rFonts w:ascii="Times New Roman" w:hAnsi="Times New Roman"/>
          <w:sz w:val="24"/>
          <w:szCs w:val="24"/>
        </w:rPr>
        <w:t>и</w:t>
      </w:r>
      <w:r w:rsidR="00A05C62" w:rsidRPr="00FB5A28">
        <w:rPr>
          <w:rFonts w:ascii="Times New Roman" w:hAnsi="Times New Roman"/>
          <w:sz w:val="24"/>
          <w:szCs w:val="24"/>
        </w:rPr>
        <w:t xml:space="preserve"> </w:t>
      </w:r>
      <w:r w:rsidRPr="00FB5A28">
        <w:rPr>
          <w:rFonts w:ascii="Times New Roman" w:hAnsi="Times New Roman"/>
          <w:sz w:val="24"/>
          <w:szCs w:val="24"/>
        </w:rPr>
        <w:t>свако</w:t>
      </w:r>
      <w:r w:rsidR="00A05C62" w:rsidRPr="00FB5A28">
        <w:rPr>
          <w:rFonts w:ascii="Times New Roman" w:hAnsi="Times New Roman"/>
          <w:sz w:val="24"/>
          <w:szCs w:val="24"/>
        </w:rPr>
        <w:t xml:space="preserve"> </w:t>
      </w:r>
      <w:r w:rsidRPr="00FB5A28">
        <w:rPr>
          <w:rFonts w:ascii="Times New Roman" w:hAnsi="Times New Roman"/>
          <w:sz w:val="24"/>
          <w:szCs w:val="24"/>
        </w:rPr>
        <w:t>нечињење</w:t>
      </w:r>
      <w:r w:rsidR="00A05C62" w:rsidRPr="00FB5A28">
        <w:rPr>
          <w:rFonts w:ascii="Times New Roman" w:hAnsi="Times New Roman"/>
          <w:sz w:val="24"/>
          <w:szCs w:val="24"/>
        </w:rPr>
        <w:t xml:space="preserve"> </w:t>
      </w:r>
      <w:r w:rsidRPr="00FB5A28">
        <w:rPr>
          <w:rFonts w:ascii="Times New Roman" w:hAnsi="Times New Roman"/>
          <w:sz w:val="24"/>
          <w:szCs w:val="24"/>
        </w:rPr>
        <w:t>и</w:t>
      </w:r>
      <w:r w:rsidR="00A05C62" w:rsidRPr="00FB5A28">
        <w:rPr>
          <w:rFonts w:ascii="Times New Roman" w:hAnsi="Times New Roman"/>
          <w:sz w:val="24"/>
          <w:szCs w:val="24"/>
        </w:rPr>
        <w:t xml:space="preserve"> </w:t>
      </w:r>
      <w:r w:rsidRPr="00FB5A28">
        <w:rPr>
          <w:rFonts w:ascii="Times New Roman" w:hAnsi="Times New Roman"/>
          <w:sz w:val="24"/>
          <w:szCs w:val="24"/>
        </w:rPr>
        <w:t>трпљење</w:t>
      </w:r>
      <w:r w:rsidR="00A05C62" w:rsidRPr="00FB5A28">
        <w:rPr>
          <w:rFonts w:ascii="Times New Roman" w:hAnsi="Times New Roman"/>
          <w:sz w:val="24"/>
          <w:szCs w:val="24"/>
        </w:rPr>
        <w:t>.</w:t>
      </w:r>
      <w:r w:rsidRPr="00FB5A28">
        <w:rPr>
          <w:rFonts w:ascii="Times New Roman" w:hAnsi="Times New Roman"/>
          <w:sz w:val="24"/>
          <w:szCs w:val="24"/>
          <w:lang w:val="sr-Cyrl-CS"/>
        </w:rPr>
        <w:t xml:space="preserve"> </w:t>
      </w:r>
      <w:r w:rsidRPr="00FB5A28">
        <w:rPr>
          <w:rFonts w:ascii="Times New Roman" w:hAnsi="Times New Roman"/>
          <w:sz w:val="24"/>
          <w:szCs w:val="24"/>
        </w:rPr>
        <w:t>Прометом услуга</w:t>
      </w:r>
      <w:r w:rsidRPr="00FB5A28">
        <w:rPr>
          <w:rFonts w:ascii="Times New Roman" w:hAnsi="Times New Roman"/>
          <w:sz w:val="24"/>
          <w:szCs w:val="24"/>
          <w:lang w:val="sr-Cyrl-CS"/>
        </w:rPr>
        <w:t xml:space="preserve"> </w:t>
      </w:r>
      <w:r w:rsidR="00A05C62" w:rsidRPr="00FB5A28">
        <w:rPr>
          <w:rFonts w:ascii="Times New Roman" w:hAnsi="Times New Roman"/>
          <w:sz w:val="24"/>
          <w:szCs w:val="24"/>
        </w:rPr>
        <w:t xml:space="preserve"> </w:t>
      </w:r>
      <w:r w:rsidRPr="00FB5A28">
        <w:rPr>
          <w:rFonts w:ascii="Times New Roman" w:hAnsi="Times New Roman"/>
          <w:sz w:val="24"/>
          <w:szCs w:val="24"/>
        </w:rPr>
        <w:t>сматра</w:t>
      </w:r>
      <w:r w:rsidR="00A05C62" w:rsidRPr="00FB5A28">
        <w:rPr>
          <w:rFonts w:ascii="Times New Roman" w:hAnsi="Times New Roman"/>
          <w:sz w:val="24"/>
          <w:szCs w:val="24"/>
        </w:rPr>
        <w:t xml:space="preserve"> </w:t>
      </w:r>
      <w:r w:rsidRPr="00FB5A28">
        <w:rPr>
          <w:rFonts w:ascii="Times New Roman" w:hAnsi="Times New Roman"/>
          <w:sz w:val="24"/>
          <w:szCs w:val="24"/>
        </w:rPr>
        <w:t>се</w:t>
      </w:r>
      <w:r w:rsidR="00A05C62" w:rsidRPr="00FB5A28">
        <w:rPr>
          <w:rFonts w:ascii="Times New Roman" w:hAnsi="Times New Roman"/>
          <w:sz w:val="24"/>
          <w:szCs w:val="24"/>
        </w:rPr>
        <w:t xml:space="preserve"> </w:t>
      </w:r>
      <w:r w:rsidRPr="00FB5A28">
        <w:rPr>
          <w:rFonts w:ascii="Times New Roman" w:hAnsi="Times New Roman"/>
          <w:sz w:val="24"/>
          <w:szCs w:val="24"/>
        </w:rPr>
        <w:t>и</w:t>
      </w:r>
      <w:r w:rsidR="00A05C62" w:rsidRPr="00FB5A28">
        <w:rPr>
          <w:rFonts w:ascii="Times New Roman" w:hAnsi="Times New Roman"/>
          <w:sz w:val="24"/>
          <w:szCs w:val="24"/>
        </w:rPr>
        <w:t>:</w:t>
      </w:r>
    </w:p>
    <w:p w:rsidR="00A05C62" w:rsidRPr="00FB5A28" w:rsidRDefault="00A05C62" w:rsidP="00FB5A28">
      <w:pPr>
        <w:jc w:val="both"/>
        <w:rPr>
          <w:rFonts w:ascii="Times New Roman" w:hAnsi="Times New Roman"/>
          <w:sz w:val="24"/>
          <w:szCs w:val="24"/>
        </w:rPr>
      </w:pPr>
      <w:r w:rsidRPr="00FB5A28">
        <w:rPr>
          <w:rFonts w:ascii="Times New Roman" w:hAnsi="Times New Roman"/>
          <w:sz w:val="24"/>
          <w:szCs w:val="24"/>
        </w:rPr>
        <w:t xml:space="preserve">1) </w:t>
      </w:r>
      <w:r w:rsidR="0010457D" w:rsidRPr="00FB5A28">
        <w:rPr>
          <w:rFonts w:ascii="Times New Roman" w:hAnsi="Times New Roman"/>
          <w:sz w:val="24"/>
          <w:szCs w:val="24"/>
        </w:rPr>
        <w:t>пренос</w:t>
      </w:r>
      <w:r w:rsidRPr="00FB5A28">
        <w:rPr>
          <w:rFonts w:ascii="Times New Roman" w:hAnsi="Times New Roman"/>
          <w:sz w:val="24"/>
          <w:szCs w:val="24"/>
        </w:rPr>
        <w:t xml:space="preserve">, </w:t>
      </w:r>
      <w:r w:rsidR="0010457D" w:rsidRPr="00FB5A28">
        <w:rPr>
          <w:rFonts w:ascii="Times New Roman" w:hAnsi="Times New Roman"/>
          <w:sz w:val="24"/>
          <w:szCs w:val="24"/>
        </w:rPr>
        <w:t>уступање</w:t>
      </w:r>
      <w:r w:rsidRPr="00FB5A28">
        <w:rPr>
          <w:rFonts w:ascii="Times New Roman" w:hAnsi="Times New Roman"/>
          <w:sz w:val="24"/>
          <w:szCs w:val="24"/>
        </w:rPr>
        <w:t xml:space="preserve"> </w:t>
      </w:r>
      <w:r w:rsidR="0010457D" w:rsidRPr="00FB5A28">
        <w:rPr>
          <w:rFonts w:ascii="Times New Roman" w:hAnsi="Times New Roman"/>
          <w:sz w:val="24"/>
          <w:szCs w:val="24"/>
        </w:rPr>
        <w:t>и</w:t>
      </w:r>
      <w:r w:rsidRPr="00FB5A28">
        <w:rPr>
          <w:rFonts w:ascii="Times New Roman" w:hAnsi="Times New Roman"/>
          <w:sz w:val="24"/>
          <w:szCs w:val="24"/>
        </w:rPr>
        <w:t xml:space="preserve"> </w:t>
      </w:r>
      <w:r w:rsidR="0010457D" w:rsidRPr="00FB5A28">
        <w:rPr>
          <w:rFonts w:ascii="Times New Roman" w:hAnsi="Times New Roman"/>
          <w:sz w:val="24"/>
          <w:szCs w:val="24"/>
        </w:rPr>
        <w:t>давање</w:t>
      </w:r>
      <w:r w:rsidRPr="00FB5A28">
        <w:rPr>
          <w:rFonts w:ascii="Times New Roman" w:hAnsi="Times New Roman"/>
          <w:sz w:val="24"/>
          <w:szCs w:val="24"/>
        </w:rPr>
        <w:t xml:space="preserve"> </w:t>
      </w:r>
      <w:r w:rsidR="0010457D" w:rsidRPr="00FB5A28">
        <w:rPr>
          <w:rFonts w:ascii="Times New Roman" w:hAnsi="Times New Roman"/>
          <w:sz w:val="24"/>
          <w:szCs w:val="24"/>
        </w:rPr>
        <w:t>на</w:t>
      </w:r>
      <w:r w:rsidRPr="00FB5A28">
        <w:rPr>
          <w:rFonts w:ascii="Times New Roman" w:hAnsi="Times New Roman"/>
          <w:sz w:val="24"/>
          <w:szCs w:val="24"/>
        </w:rPr>
        <w:t xml:space="preserve"> </w:t>
      </w:r>
      <w:r w:rsidR="0010457D" w:rsidRPr="00FB5A28">
        <w:rPr>
          <w:rFonts w:ascii="Times New Roman" w:hAnsi="Times New Roman"/>
          <w:sz w:val="24"/>
          <w:szCs w:val="24"/>
        </w:rPr>
        <w:t>коришћење</w:t>
      </w:r>
      <w:r w:rsidRPr="00FB5A28">
        <w:rPr>
          <w:rFonts w:ascii="Times New Roman" w:hAnsi="Times New Roman"/>
          <w:sz w:val="24"/>
          <w:szCs w:val="24"/>
        </w:rPr>
        <w:t xml:space="preserve"> </w:t>
      </w:r>
      <w:r w:rsidR="0010457D" w:rsidRPr="00FB5A28">
        <w:rPr>
          <w:rFonts w:ascii="Times New Roman" w:hAnsi="Times New Roman"/>
          <w:sz w:val="24"/>
          <w:szCs w:val="24"/>
        </w:rPr>
        <w:t>ауторских</w:t>
      </w:r>
      <w:r w:rsidRPr="00FB5A28">
        <w:rPr>
          <w:rFonts w:ascii="Times New Roman" w:hAnsi="Times New Roman"/>
          <w:sz w:val="24"/>
          <w:szCs w:val="24"/>
        </w:rPr>
        <w:t xml:space="preserve"> </w:t>
      </w:r>
      <w:r w:rsidR="0010457D" w:rsidRPr="00FB5A28">
        <w:rPr>
          <w:rFonts w:ascii="Times New Roman" w:hAnsi="Times New Roman"/>
          <w:sz w:val="24"/>
          <w:szCs w:val="24"/>
        </w:rPr>
        <w:t>и</w:t>
      </w:r>
      <w:r w:rsidRPr="00FB5A28">
        <w:rPr>
          <w:rFonts w:ascii="Times New Roman" w:hAnsi="Times New Roman"/>
          <w:sz w:val="24"/>
          <w:szCs w:val="24"/>
        </w:rPr>
        <w:t xml:space="preserve"> </w:t>
      </w:r>
      <w:r w:rsidR="0010457D" w:rsidRPr="00FB5A28">
        <w:rPr>
          <w:rFonts w:ascii="Times New Roman" w:hAnsi="Times New Roman"/>
          <w:sz w:val="24"/>
          <w:szCs w:val="24"/>
        </w:rPr>
        <w:t>сродних</w:t>
      </w:r>
      <w:r w:rsidRPr="00FB5A28">
        <w:rPr>
          <w:rFonts w:ascii="Times New Roman" w:hAnsi="Times New Roman"/>
          <w:sz w:val="24"/>
          <w:szCs w:val="24"/>
        </w:rPr>
        <w:t xml:space="preserve"> </w:t>
      </w:r>
      <w:r w:rsidR="0010457D" w:rsidRPr="00FB5A28">
        <w:rPr>
          <w:rFonts w:ascii="Times New Roman" w:hAnsi="Times New Roman"/>
          <w:sz w:val="24"/>
          <w:szCs w:val="24"/>
        </w:rPr>
        <w:t>права</w:t>
      </w:r>
      <w:r w:rsidRPr="00FB5A28">
        <w:rPr>
          <w:rFonts w:ascii="Times New Roman" w:hAnsi="Times New Roman"/>
          <w:sz w:val="24"/>
          <w:szCs w:val="24"/>
        </w:rPr>
        <w:t xml:space="preserve">, </w:t>
      </w:r>
      <w:r w:rsidR="0010457D" w:rsidRPr="00FB5A28">
        <w:rPr>
          <w:rFonts w:ascii="Times New Roman" w:hAnsi="Times New Roman"/>
          <w:sz w:val="24"/>
          <w:szCs w:val="24"/>
        </w:rPr>
        <w:t>патената</w:t>
      </w:r>
      <w:r w:rsidRPr="00FB5A28">
        <w:rPr>
          <w:rFonts w:ascii="Times New Roman" w:hAnsi="Times New Roman"/>
          <w:sz w:val="24"/>
          <w:szCs w:val="24"/>
        </w:rPr>
        <w:t xml:space="preserve">, </w:t>
      </w:r>
      <w:r w:rsidR="0010457D" w:rsidRPr="00FB5A28">
        <w:rPr>
          <w:rFonts w:ascii="Times New Roman" w:hAnsi="Times New Roman"/>
          <w:sz w:val="24"/>
          <w:szCs w:val="24"/>
        </w:rPr>
        <w:t>лиценци</w:t>
      </w:r>
      <w:r w:rsidRPr="00FB5A28">
        <w:rPr>
          <w:rFonts w:ascii="Times New Roman" w:hAnsi="Times New Roman"/>
          <w:sz w:val="24"/>
          <w:szCs w:val="24"/>
        </w:rPr>
        <w:t xml:space="preserve">, </w:t>
      </w:r>
      <w:r w:rsidR="0010457D" w:rsidRPr="00FB5A28">
        <w:rPr>
          <w:rFonts w:ascii="Times New Roman" w:hAnsi="Times New Roman"/>
          <w:sz w:val="24"/>
          <w:szCs w:val="24"/>
        </w:rPr>
        <w:t>заштитних</w:t>
      </w:r>
      <w:r w:rsidRPr="00FB5A28">
        <w:rPr>
          <w:rFonts w:ascii="Times New Roman" w:hAnsi="Times New Roman"/>
          <w:sz w:val="24"/>
          <w:szCs w:val="24"/>
        </w:rPr>
        <w:t xml:space="preserve"> </w:t>
      </w:r>
      <w:r w:rsidR="0010457D" w:rsidRPr="00FB5A28">
        <w:rPr>
          <w:rFonts w:ascii="Times New Roman" w:hAnsi="Times New Roman"/>
          <w:sz w:val="24"/>
          <w:szCs w:val="24"/>
        </w:rPr>
        <w:t>знакова</w:t>
      </w:r>
      <w:r w:rsidRPr="00FB5A28">
        <w:rPr>
          <w:rFonts w:ascii="Times New Roman" w:hAnsi="Times New Roman"/>
          <w:sz w:val="24"/>
          <w:szCs w:val="24"/>
        </w:rPr>
        <w:t xml:space="preserve">, </w:t>
      </w:r>
      <w:r w:rsidR="0010457D" w:rsidRPr="00FB5A28">
        <w:rPr>
          <w:rFonts w:ascii="Times New Roman" w:hAnsi="Times New Roman"/>
          <w:sz w:val="24"/>
          <w:szCs w:val="24"/>
        </w:rPr>
        <w:t>као</w:t>
      </w:r>
      <w:r w:rsidRPr="00FB5A28">
        <w:rPr>
          <w:rFonts w:ascii="Times New Roman" w:hAnsi="Times New Roman"/>
          <w:sz w:val="24"/>
          <w:szCs w:val="24"/>
        </w:rPr>
        <w:t xml:space="preserve"> </w:t>
      </w:r>
      <w:r w:rsidR="0010457D" w:rsidRPr="00FB5A28">
        <w:rPr>
          <w:rFonts w:ascii="Times New Roman" w:hAnsi="Times New Roman"/>
          <w:sz w:val="24"/>
          <w:szCs w:val="24"/>
        </w:rPr>
        <w:t>и</w:t>
      </w:r>
      <w:r w:rsidRPr="00FB5A28">
        <w:rPr>
          <w:rFonts w:ascii="Times New Roman" w:hAnsi="Times New Roman"/>
          <w:sz w:val="24"/>
          <w:szCs w:val="24"/>
        </w:rPr>
        <w:t xml:space="preserve"> </w:t>
      </w:r>
      <w:r w:rsidR="0010457D" w:rsidRPr="00FB5A28">
        <w:rPr>
          <w:rFonts w:ascii="Times New Roman" w:hAnsi="Times New Roman"/>
          <w:sz w:val="24"/>
          <w:szCs w:val="24"/>
        </w:rPr>
        <w:t>других</w:t>
      </w:r>
      <w:r w:rsidRPr="00FB5A28">
        <w:rPr>
          <w:rFonts w:ascii="Times New Roman" w:hAnsi="Times New Roman"/>
          <w:sz w:val="24"/>
          <w:szCs w:val="24"/>
        </w:rPr>
        <w:t xml:space="preserve"> </w:t>
      </w:r>
      <w:r w:rsidR="0010457D" w:rsidRPr="00FB5A28">
        <w:rPr>
          <w:rFonts w:ascii="Times New Roman" w:hAnsi="Times New Roman"/>
          <w:sz w:val="24"/>
          <w:szCs w:val="24"/>
        </w:rPr>
        <w:t>права</w:t>
      </w:r>
      <w:r w:rsidRPr="00FB5A28">
        <w:rPr>
          <w:rFonts w:ascii="Times New Roman" w:hAnsi="Times New Roman"/>
          <w:sz w:val="24"/>
          <w:szCs w:val="24"/>
        </w:rPr>
        <w:t xml:space="preserve"> </w:t>
      </w:r>
      <w:r w:rsidR="0010457D" w:rsidRPr="00FB5A28">
        <w:rPr>
          <w:rFonts w:ascii="Times New Roman" w:hAnsi="Times New Roman"/>
          <w:sz w:val="24"/>
          <w:szCs w:val="24"/>
        </w:rPr>
        <w:t>интелектуалне</w:t>
      </w:r>
      <w:r w:rsidRPr="00FB5A28">
        <w:rPr>
          <w:rFonts w:ascii="Times New Roman" w:hAnsi="Times New Roman"/>
          <w:sz w:val="24"/>
          <w:szCs w:val="24"/>
        </w:rPr>
        <w:t xml:space="preserve"> </w:t>
      </w:r>
      <w:r w:rsidR="0010457D" w:rsidRPr="00FB5A28">
        <w:rPr>
          <w:rFonts w:ascii="Times New Roman" w:hAnsi="Times New Roman"/>
          <w:sz w:val="24"/>
          <w:szCs w:val="24"/>
        </w:rPr>
        <w:t>својине</w:t>
      </w:r>
      <w:r w:rsidRPr="00FB5A28">
        <w:rPr>
          <w:rFonts w:ascii="Times New Roman" w:hAnsi="Times New Roman"/>
          <w:sz w:val="24"/>
          <w:szCs w:val="24"/>
        </w:rPr>
        <w:t>;</w:t>
      </w:r>
    </w:p>
    <w:p w:rsidR="00A05C62" w:rsidRPr="00FB5A28" w:rsidRDefault="00A05C62" w:rsidP="00FB5A28">
      <w:pPr>
        <w:jc w:val="both"/>
        <w:rPr>
          <w:rFonts w:ascii="Times New Roman" w:hAnsi="Times New Roman"/>
          <w:sz w:val="24"/>
          <w:szCs w:val="24"/>
        </w:rPr>
      </w:pPr>
      <w:r w:rsidRPr="00FB5A28">
        <w:rPr>
          <w:rFonts w:ascii="Times New Roman" w:hAnsi="Times New Roman"/>
          <w:sz w:val="24"/>
          <w:szCs w:val="24"/>
        </w:rPr>
        <w:t xml:space="preserve">2) </w:t>
      </w:r>
      <w:r w:rsidR="0010457D" w:rsidRPr="00FB5A28">
        <w:rPr>
          <w:rFonts w:ascii="Times New Roman" w:hAnsi="Times New Roman"/>
          <w:sz w:val="24"/>
          <w:szCs w:val="24"/>
        </w:rPr>
        <w:t>пружање</w:t>
      </w:r>
      <w:r w:rsidRPr="00FB5A28">
        <w:rPr>
          <w:rFonts w:ascii="Times New Roman" w:hAnsi="Times New Roman"/>
          <w:sz w:val="24"/>
          <w:szCs w:val="24"/>
        </w:rPr>
        <w:t xml:space="preserve"> </w:t>
      </w:r>
      <w:r w:rsidR="0010457D" w:rsidRPr="00FB5A28">
        <w:rPr>
          <w:rFonts w:ascii="Times New Roman" w:hAnsi="Times New Roman"/>
          <w:sz w:val="24"/>
          <w:szCs w:val="24"/>
        </w:rPr>
        <w:t>услуга</w:t>
      </w:r>
      <w:r w:rsidRPr="00FB5A28">
        <w:rPr>
          <w:rFonts w:ascii="Times New Roman" w:hAnsi="Times New Roman"/>
          <w:sz w:val="24"/>
          <w:szCs w:val="24"/>
        </w:rPr>
        <w:t xml:space="preserve"> </w:t>
      </w:r>
      <w:r w:rsidR="0010457D" w:rsidRPr="00FB5A28">
        <w:rPr>
          <w:rFonts w:ascii="Times New Roman" w:hAnsi="Times New Roman"/>
          <w:sz w:val="24"/>
          <w:szCs w:val="24"/>
        </w:rPr>
        <w:t>уз</w:t>
      </w:r>
      <w:r w:rsidRPr="00FB5A28">
        <w:rPr>
          <w:rFonts w:ascii="Times New Roman" w:hAnsi="Times New Roman"/>
          <w:sz w:val="24"/>
          <w:szCs w:val="24"/>
        </w:rPr>
        <w:t xml:space="preserve"> </w:t>
      </w:r>
      <w:r w:rsidR="0010457D" w:rsidRPr="00FB5A28">
        <w:rPr>
          <w:rFonts w:ascii="Times New Roman" w:hAnsi="Times New Roman"/>
          <w:sz w:val="24"/>
          <w:szCs w:val="24"/>
        </w:rPr>
        <w:t>накнаду</w:t>
      </w:r>
      <w:r w:rsidRPr="00FB5A28">
        <w:rPr>
          <w:rFonts w:ascii="Times New Roman" w:hAnsi="Times New Roman"/>
          <w:sz w:val="24"/>
          <w:szCs w:val="24"/>
        </w:rPr>
        <w:t xml:space="preserve"> </w:t>
      </w:r>
      <w:r w:rsidR="0010457D" w:rsidRPr="00FB5A28">
        <w:rPr>
          <w:rFonts w:ascii="Times New Roman" w:hAnsi="Times New Roman"/>
          <w:sz w:val="24"/>
          <w:szCs w:val="24"/>
        </w:rPr>
        <w:t>на</w:t>
      </w:r>
      <w:r w:rsidRPr="00FB5A28">
        <w:rPr>
          <w:rFonts w:ascii="Times New Roman" w:hAnsi="Times New Roman"/>
          <w:sz w:val="24"/>
          <w:szCs w:val="24"/>
        </w:rPr>
        <w:t xml:space="preserve"> </w:t>
      </w:r>
      <w:r w:rsidR="0010457D" w:rsidRPr="00FB5A28">
        <w:rPr>
          <w:rFonts w:ascii="Times New Roman" w:hAnsi="Times New Roman"/>
          <w:sz w:val="24"/>
          <w:szCs w:val="24"/>
        </w:rPr>
        <w:t>основу</w:t>
      </w:r>
      <w:r w:rsidRPr="00FB5A28">
        <w:rPr>
          <w:rFonts w:ascii="Times New Roman" w:hAnsi="Times New Roman"/>
          <w:sz w:val="24"/>
          <w:szCs w:val="24"/>
        </w:rPr>
        <w:t xml:space="preserve"> </w:t>
      </w:r>
      <w:r w:rsidR="0010457D" w:rsidRPr="00FB5A28">
        <w:rPr>
          <w:rFonts w:ascii="Times New Roman" w:hAnsi="Times New Roman"/>
          <w:sz w:val="24"/>
          <w:szCs w:val="24"/>
        </w:rPr>
        <w:t>прописа</w:t>
      </w:r>
      <w:r w:rsidRPr="00FB5A28">
        <w:rPr>
          <w:rFonts w:ascii="Times New Roman" w:hAnsi="Times New Roman"/>
          <w:sz w:val="24"/>
          <w:szCs w:val="24"/>
        </w:rPr>
        <w:t xml:space="preserve"> </w:t>
      </w:r>
      <w:r w:rsidR="0010457D" w:rsidRPr="00FB5A28">
        <w:rPr>
          <w:rFonts w:ascii="Times New Roman" w:hAnsi="Times New Roman"/>
          <w:sz w:val="24"/>
          <w:szCs w:val="24"/>
        </w:rPr>
        <w:t>или</w:t>
      </w:r>
      <w:r w:rsidRPr="00FB5A28">
        <w:rPr>
          <w:rFonts w:ascii="Times New Roman" w:hAnsi="Times New Roman"/>
          <w:sz w:val="24"/>
          <w:szCs w:val="24"/>
        </w:rPr>
        <w:t xml:space="preserve"> </w:t>
      </w:r>
      <w:r w:rsidR="0010457D" w:rsidRPr="00FB5A28">
        <w:rPr>
          <w:rFonts w:ascii="Times New Roman" w:hAnsi="Times New Roman"/>
          <w:sz w:val="24"/>
          <w:szCs w:val="24"/>
        </w:rPr>
        <w:t>другог</w:t>
      </w:r>
      <w:r w:rsidRPr="00FB5A28">
        <w:rPr>
          <w:rFonts w:ascii="Times New Roman" w:hAnsi="Times New Roman"/>
          <w:sz w:val="24"/>
          <w:szCs w:val="24"/>
        </w:rPr>
        <w:t xml:space="preserve"> </w:t>
      </w:r>
      <w:r w:rsidR="0010457D" w:rsidRPr="00FB5A28">
        <w:rPr>
          <w:rFonts w:ascii="Times New Roman" w:hAnsi="Times New Roman"/>
          <w:sz w:val="24"/>
          <w:szCs w:val="24"/>
        </w:rPr>
        <w:t>акта</w:t>
      </w:r>
      <w:r w:rsidRPr="00FB5A28">
        <w:rPr>
          <w:rFonts w:ascii="Times New Roman" w:hAnsi="Times New Roman"/>
          <w:sz w:val="24"/>
          <w:szCs w:val="24"/>
        </w:rPr>
        <w:t xml:space="preserve"> </w:t>
      </w:r>
      <w:r w:rsidR="0010457D" w:rsidRPr="00FB5A28">
        <w:rPr>
          <w:rFonts w:ascii="Times New Roman" w:hAnsi="Times New Roman"/>
          <w:sz w:val="24"/>
          <w:szCs w:val="24"/>
        </w:rPr>
        <w:t>државних</w:t>
      </w:r>
      <w:r w:rsidRPr="00FB5A28">
        <w:rPr>
          <w:rFonts w:ascii="Times New Roman" w:hAnsi="Times New Roman"/>
          <w:sz w:val="24"/>
          <w:szCs w:val="24"/>
        </w:rPr>
        <w:t xml:space="preserve"> </w:t>
      </w:r>
      <w:r w:rsidR="0010457D" w:rsidRPr="00FB5A28">
        <w:rPr>
          <w:rFonts w:ascii="Times New Roman" w:hAnsi="Times New Roman"/>
          <w:sz w:val="24"/>
          <w:szCs w:val="24"/>
        </w:rPr>
        <w:t>органа</w:t>
      </w:r>
      <w:r w:rsidRPr="00FB5A28">
        <w:rPr>
          <w:rFonts w:ascii="Times New Roman" w:hAnsi="Times New Roman"/>
          <w:sz w:val="24"/>
          <w:szCs w:val="24"/>
        </w:rPr>
        <w:t xml:space="preserve">, </w:t>
      </w:r>
      <w:r w:rsidR="0010457D" w:rsidRPr="00FB5A28">
        <w:rPr>
          <w:rFonts w:ascii="Times New Roman" w:hAnsi="Times New Roman"/>
          <w:sz w:val="24"/>
          <w:szCs w:val="24"/>
        </w:rPr>
        <w:t>органа</w:t>
      </w:r>
      <w:r w:rsidRPr="00FB5A28">
        <w:rPr>
          <w:rFonts w:ascii="Times New Roman" w:hAnsi="Times New Roman"/>
          <w:sz w:val="24"/>
          <w:szCs w:val="24"/>
        </w:rPr>
        <w:t xml:space="preserve"> </w:t>
      </w:r>
      <w:r w:rsidR="0010457D" w:rsidRPr="00FB5A28">
        <w:rPr>
          <w:rFonts w:ascii="Times New Roman" w:hAnsi="Times New Roman"/>
          <w:sz w:val="24"/>
          <w:szCs w:val="24"/>
        </w:rPr>
        <w:t>територијалне</w:t>
      </w:r>
      <w:r w:rsidRPr="00FB5A28">
        <w:rPr>
          <w:rFonts w:ascii="Times New Roman" w:hAnsi="Times New Roman"/>
          <w:sz w:val="24"/>
          <w:szCs w:val="24"/>
        </w:rPr>
        <w:t xml:space="preserve"> </w:t>
      </w:r>
      <w:r w:rsidR="0010457D" w:rsidRPr="00FB5A28">
        <w:rPr>
          <w:rFonts w:ascii="Times New Roman" w:hAnsi="Times New Roman"/>
          <w:sz w:val="24"/>
          <w:szCs w:val="24"/>
        </w:rPr>
        <w:t>аутономије</w:t>
      </w:r>
      <w:r w:rsidRPr="00FB5A28">
        <w:rPr>
          <w:rFonts w:ascii="Times New Roman" w:hAnsi="Times New Roman"/>
          <w:sz w:val="24"/>
          <w:szCs w:val="24"/>
        </w:rPr>
        <w:t xml:space="preserve"> </w:t>
      </w:r>
      <w:r w:rsidR="0010457D" w:rsidRPr="00FB5A28">
        <w:rPr>
          <w:rFonts w:ascii="Times New Roman" w:hAnsi="Times New Roman"/>
          <w:sz w:val="24"/>
          <w:szCs w:val="24"/>
        </w:rPr>
        <w:t>или</w:t>
      </w:r>
      <w:r w:rsidRPr="00FB5A28">
        <w:rPr>
          <w:rFonts w:ascii="Times New Roman" w:hAnsi="Times New Roman"/>
          <w:sz w:val="24"/>
          <w:szCs w:val="24"/>
        </w:rPr>
        <w:t xml:space="preserve"> </w:t>
      </w:r>
      <w:r w:rsidR="0010457D" w:rsidRPr="00FB5A28">
        <w:rPr>
          <w:rFonts w:ascii="Times New Roman" w:hAnsi="Times New Roman"/>
          <w:sz w:val="24"/>
          <w:szCs w:val="24"/>
        </w:rPr>
        <w:t>локалне</w:t>
      </w:r>
      <w:r w:rsidRPr="00FB5A28">
        <w:rPr>
          <w:rFonts w:ascii="Times New Roman" w:hAnsi="Times New Roman"/>
          <w:sz w:val="24"/>
          <w:szCs w:val="24"/>
        </w:rPr>
        <w:t xml:space="preserve"> </w:t>
      </w:r>
      <w:r w:rsidR="0010457D" w:rsidRPr="00FB5A28">
        <w:rPr>
          <w:rFonts w:ascii="Times New Roman" w:hAnsi="Times New Roman"/>
          <w:sz w:val="24"/>
          <w:szCs w:val="24"/>
        </w:rPr>
        <w:t>самоуправе</w:t>
      </w:r>
      <w:r w:rsidRPr="00FB5A28">
        <w:rPr>
          <w:rFonts w:ascii="Times New Roman" w:hAnsi="Times New Roman"/>
          <w:sz w:val="24"/>
          <w:szCs w:val="24"/>
        </w:rPr>
        <w:t>;</w:t>
      </w:r>
    </w:p>
    <w:p w:rsidR="00A05C62" w:rsidRPr="00FB5A28" w:rsidRDefault="00A05C62" w:rsidP="00FB5A28">
      <w:pPr>
        <w:jc w:val="both"/>
        <w:rPr>
          <w:rFonts w:ascii="Times New Roman" w:hAnsi="Times New Roman"/>
          <w:sz w:val="24"/>
          <w:szCs w:val="24"/>
        </w:rPr>
      </w:pPr>
      <w:r w:rsidRPr="00FB5A28">
        <w:rPr>
          <w:rFonts w:ascii="Times New Roman" w:hAnsi="Times New Roman"/>
          <w:sz w:val="24"/>
          <w:szCs w:val="24"/>
        </w:rPr>
        <w:t xml:space="preserve">3) </w:t>
      </w:r>
      <w:r w:rsidR="0010457D" w:rsidRPr="00FB5A28">
        <w:rPr>
          <w:rFonts w:ascii="Times New Roman" w:hAnsi="Times New Roman"/>
          <w:sz w:val="24"/>
          <w:szCs w:val="24"/>
        </w:rPr>
        <w:t>предаја</w:t>
      </w:r>
      <w:r w:rsidRPr="00FB5A28">
        <w:rPr>
          <w:rFonts w:ascii="Times New Roman" w:hAnsi="Times New Roman"/>
          <w:sz w:val="24"/>
          <w:szCs w:val="24"/>
        </w:rPr>
        <w:t xml:space="preserve"> </w:t>
      </w:r>
      <w:r w:rsidR="0010457D" w:rsidRPr="00FB5A28">
        <w:rPr>
          <w:rFonts w:ascii="Times New Roman" w:hAnsi="Times New Roman"/>
          <w:sz w:val="24"/>
          <w:szCs w:val="24"/>
        </w:rPr>
        <w:t>добара</w:t>
      </w:r>
      <w:r w:rsidRPr="00FB5A28">
        <w:rPr>
          <w:rFonts w:ascii="Times New Roman" w:hAnsi="Times New Roman"/>
          <w:sz w:val="24"/>
          <w:szCs w:val="24"/>
        </w:rPr>
        <w:t xml:space="preserve"> </w:t>
      </w:r>
      <w:r w:rsidR="0010457D" w:rsidRPr="00FB5A28">
        <w:rPr>
          <w:rFonts w:ascii="Times New Roman" w:hAnsi="Times New Roman"/>
          <w:sz w:val="24"/>
          <w:szCs w:val="24"/>
        </w:rPr>
        <w:t>произведених</w:t>
      </w:r>
      <w:r w:rsidRPr="00FB5A28">
        <w:rPr>
          <w:rFonts w:ascii="Times New Roman" w:hAnsi="Times New Roman"/>
          <w:sz w:val="24"/>
          <w:szCs w:val="24"/>
        </w:rPr>
        <w:t xml:space="preserve"> </w:t>
      </w:r>
      <w:r w:rsidR="0010457D" w:rsidRPr="00FB5A28">
        <w:rPr>
          <w:rFonts w:ascii="Times New Roman" w:hAnsi="Times New Roman"/>
          <w:sz w:val="24"/>
          <w:szCs w:val="24"/>
        </w:rPr>
        <w:t>или</w:t>
      </w:r>
      <w:r w:rsidRPr="00FB5A28">
        <w:rPr>
          <w:rFonts w:ascii="Times New Roman" w:hAnsi="Times New Roman"/>
          <w:sz w:val="24"/>
          <w:szCs w:val="24"/>
        </w:rPr>
        <w:t xml:space="preserve"> </w:t>
      </w:r>
      <w:r w:rsidR="0010457D" w:rsidRPr="00FB5A28">
        <w:rPr>
          <w:rFonts w:ascii="Times New Roman" w:hAnsi="Times New Roman"/>
          <w:sz w:val="24"/>
          <w:szCs w:val="24"/>
        </w:rPr>
        <w:t>састављених</w:t>
      </w:r>
      <w:r w:rsidRPr="00FB5A28">
        <w:rPr>
          <w:rFonts w:ascii="Times New Roman" w:hAnsi="Times New Roman"/>
          <w:sz w:val="24"/>
          <w:szCs w:val="24"/>
        </w:rPr>
        <w:t xml:space="preserve"> </w:t>
      </w:r>
      <w:r w:rsidR="0010457D" w:rsidRPr="00FB5A28">
        <w:rPr>
          <w:rFonts w:ascii="Times New Roman" w:hAnsi="Times New Roman"/>
          <w:sz w:val="24"/>
          <w:szCs w:val="24"/>
        </w:rPr>
        <w:t>по</w:t>
      </w:r>
      <w:r w:rsidRPr="00FB5A28">
        <w:rPr>
          <w:rFonts w:ascii="Times New Roman" w:hAnsi="Times New Roman"/>
          <w:sz w:val="24"/>
          <w:szCs w:val="24"/>
        </w:rPr>
        <w:t xml:space="preserve"> </w:t>
      </w:r>
      <w:r w:rsidR="0010457D" w:rsidRPr="00FB5A28">
        <w:rPr>
          <w:rFonts w:ascii="Times New Roman" w:hAnsi="Times New Roman"/>
          <w:sz w:val="24"/>
          <w:szCs w:val="24"/>
        </w:rPr>
        <w:t>налогу</w:t>
      </w:r>
      <w:r w:rsidRPr="00FB5A28">
        <w:rPr>
          <w:rFonts w:ascii="Times New Roman" w:hAnsi="Times New Roman"/>
          <w:sz w:val="24"/>
          <w:szCs w:val="24"/>
        </w:rPr>
        <w:t xml:space="preserve"> </w:t>
      </w:r>
      <w:r w:rsidR="0010457D" w:rsidRPr="00FB5A28">
        <w:rPr>
          <w:rFonts w:ascii="Times New Roman" w:hAnsi="Times New Roman"/>
          <w:sz w:val="24"/>
          <w:szCs w:val="24"/>
        </w:rPr>
        <w:t>наручиоца</w:t>
      </w:r>
      <w:r w:rsidRPr="00FB5A28">
        <w:rPr>
          <w:rFonts w:ascii="Times New Roman" w:hAnsi="Times New Roman"/>
          <w:sz w:val="24"/>
          <w:szCs w:val="24"/>
        </w:rPr>
        <w:t xml:space="preserve">, </w:t>
      </w:r>
      <w:r w:rsidR="0010457D" w:rsidRPr="00FB5A28">
        <w:rPr>
          <w:rFonts w:ascii="Times New Roman" w:hAnsi="Times New Roman"/>
          <w:sz w:val="24"/>
          <w:szCs w:val="24"/>
        </w:rPr>
        <w:t>од</w:t>
      </w:r>
      <w:r w:rsidRPr="00FB5A28">
        <w:rPr>
          <w:rFonts w:ascii="Times New Roman" w:hAnsi="Times New Roman"/>
          <w:sz w:val="24"/>
          <w:szCs w:val="24"/>
        </w:rPr>
        <w:t xml:space="preserve"> </w:t>
      </w:r>
      <w:r w:rsidR="0010457D" w:rsidRPr="00FB5A28">
        <w:rPr>
          <w:rFonts w:ascii="Times New Roman" w:hAnsi="Times New Roman"/>
          <w:sz w:val="24"/>
          <w:szCs w:val="24"/>
        </w:rPr>
        <w:t>материјала</w:t>
      </w:r>
      <w:r w:rsidRPr="00FB5A28">
        <w:rPr>
          <w:rFonts w:ascii="Times New Roman" w:hAnsi="Times New Roman"/>
          <w:sz w:val="24"/>
          <w:szCs w:val="24"/>
        </w:rPr>
        <w:t xml:space="preserve"> </w:t>
      </w:r>
      <w:r w:rsidR="0010457D" w:rsidRPr="00FB5A28">
        <w:rPr>
          <w:rFonts w:ascii="Times New Roman" w:hAnsi="Times New Roman"/>
          <w:sz w:val="24"/>
          <w:szCs w:val="24"/>
        </w:rPr>
        <w:t>наручиоца</w:t>
      </w:r>
      <w:r w:rsidRPr="00FB5A28">
        <w:rPr>
          <w:rFonts w:ascii="Times New Roman" w:hAnsi="Times New Roman"/>
          <w:sz w:val="24"/>
          <w:szCs w:val="24"/>
        </w:rPr>
        <w:t>;</w:t>
      </w:r>
    </w:p>
    <w:p w:rsidR="00A05C62" w:rsidRPr="00FB5A28" w:rsidRDefault="00A05C62" w:rsidP="00FB5A28">
      <w:pPr>
        <w:jc w:val="both"/>
        <w:rPr>
          <w:rFonts w:ascii="Times New Roman" w:hAnsi="Times New Roman"/>
          <w:sz w:val="24"/>
          <w:szCs w:val="24"/>
        </w:rPr>
      </w:pPr>
      <w:r w:rsidRPr="00FB5A28">
        <w:rPr>
          <w:rFonts w:ascii="Times New Roman" w:hAnsi="Times New Roman"/>
          <w:sz w:val="24"/>
          <w:szCs w:val="24"/>
        </w:rPr>
        <w:t xml:space="preserve">4) </w:t>
      </w:r>
      <w:r w:rsidR="0010457D" w:rsidRPr="00FB5A28">
        <w:rPr>
          <w:rFonts w:ascii="Times New Roman" w:hAnsi="Times New Roman"/>
          <w:sz w:val="24"/>
          <w:szCs w:val="24"/>
        </w:rPr>
        <w:t>размена</w:t>
      </w:r>
      <w:r w:rsidRPr="00FB5A28">
        <w:rPr>
          <w:rFonts w:ascii="Times New Roman" w:hAnsi="Times New Roman"/>
          <w:sz w:val="24"/>
          <w:szCs w:val="24"/>
        </w:rPr>
        <w:t xml:space="preserve"> </w:t>
      </w:r>
      <w:r w:rsidR="0010457D" w:rsidRPr="00FB5A28">
        <w:rPr>
          <w:rFonts w:ascii="Times New Roman" w:hAnsi="Times New Roman"/>
          <w:sz w:val="24"/>
          <w:szCs w:val="24"/>
        </w:rPr>
        <w:t>услуга</w:t>
      </w:r>
      <w:r w:rsidRPr="00FB5A28">
        <w:rPr>
          <w:rFonts w:ascii="Times New Roman" w:hAnsi="Times New Roman"/>
          <w:sz w:val="24"/>
          <w:szCs w:val="24"/>
        </w:rPr>
        <w:t xml:space="preserve"> </w:t>
      </w:r>
      <w:r w:rsidR="0010457D" w:rsidRPr="00FB5A28">
        <w:rPr>
          <w:rFonts w:ascii="Times New Roman" w:hAnsi="Times New Roman"/>
          <w:sz w:val="24"/>
          <w:szCs w:val="24"/>
        </w:rPr>
        <w:t>за</w:t>
      </w:r>
      <w:r w:rsidRPr="00FB5A28">
        <w:rPr>
          <w:rFonts w:ascii="Times New Roman" w:hAnsi="Times New Roman"/>
          <w:sz w:val="24"/>
          <w:szCs w:val="24"/>
        </w:rPr>
        <w:t xml:space="preserve"> </w:t>
      </w:r>
      <w:r w:rsidR="0010457D" w:rsidRPr="00FB5A28">
        <w:rPr>
          <w:rFonts w:ascii="Times New Roman" w:hAnsi="Times New Roman"/>
          <w:sz w:val="24"/>
          <w:szCs w:val="24"/>
        </w:rPr>
        <w:t>добра</w:t>
      </w:r>
      <w:r w:rsidRPr="00FB5A28">
        <w:rPr>
          <w:rFonts w:ascii="Times New Roman" w:hAnsi="Times New Roman"/>
          <w:sz w:val="24"/>
          <w:szCs w:val="24"/>
        </w:rPr>
        <w:t xml:space="preserve"> </w:t>
      </w:r>
      <w:r w:rsidR="0010457D" w:rsidRPr="00FB5A28">
        <w:rPr>
          <w:rFonts w:ascii="Times New Roman" w:hAnsi="Times New Roman"/>
          <w:sz w:val="24"/>
          <w:szCs w:val="24"/>
        </w:rPr>
        <w:t>или</w:t>
      </w:r>
      <w:r w:rsidRPr="00FB5A28">
        <w:rPr>
          <w:rFonts w:ascii="Times New Roman" w:hAnsi="Times New Roman"/>
          <w:sz w:val="24"/>
          <w:szCs w:val="24"/>
        </w:rPr>
        <w:t xml:space="preserve"> </w:t>
      </w:r>
      <w:r w:rsidR="0010457D" w:rsidRPr="00FB5A28">
        <w:rPr>
          <w:rFonts w:ascii="Times New Roman" w:hAnsi="Times New Roman"/>
          <w:sz w:val="24"/>
          <w:szCs w:val="24"/>
        </w:rPr>
        <w:t>услуге</w:t>
      </w:r>
      <w:r w:rsidRPr="00FB5A28">
        <w:rPr>
          <w:rFonts w:ascii="Times New Roman" w:hAnsi="Times New Roman"/>
          <w:sz w:val="24"/>
          <w:szCs w:val="24"/>
        </w:rPr>
        <w:t>;</w:t>
      </w:r>
    </w:p>
    <w:p w:rsidR="00A05C62" w:rsidRPr="00FB5A28" w:rsidRDefault="00A05C62" w:rsidP="00FB5A28">
      <w:pPr>
        <w:jc w:val="both"/>
        <w:rPr>
          <w:rFonts w:ascii="Times New Roman" w:hAnsi="Times New Roman"/>
          <w:sz w:val="24"/>
          <w:szCs w:val="24"/>
          <w:lang w:val="sr-Cyrl-CS"/>
        </w:rPr>
      </w:pPr>
      <w:r w:rsidRPr="00FB5A28">
        <w:rPr>
          <w:rFonts w:ascii="Times New Roman" w:hAnsi="Times New Roman"/>
          <w:sz w:val="24"/>
          <w:szCs w:val="24"/>
        </w:rPr>
        <w:t xml:space="preserve">5) </w:t>
      </w:r>
      <w:r w:rsidR="0010457D" w:rsidRPr="00FB5A28">
        <w:rPr>
          <w:rFonts w:ascii="Times New Roman" w:hAnsi="Times New Roman"/>
          <w:sz w:val="24"/>
          <w:szCs w:val="24"/>
        </w:rPr>
        <w:t>предаја</w:t>
      </w:r>
      <w:r w:rsidRPr="00FB5A28">
        <w:rPr>
          <w:rFonts w:ascii="Times New Roman" w:hAnsi="Times New Roman"/>
          <w:sz w:val="24"/>
          <w:szCs w:val="24"/>
        </w:rPr>
        <w:t xml:space="preserve"> </w:t>
      </w:r>
      <w:r w:rsidR="0010457D" w:rsidRPr="00FB5A28">
        <w:rPr>
          <w:rFonts w:ascii="Times New Roman" w:hAnsi="Times New Roman"/>
          <w:sz w:val="24"/>
          <w:szCs w:val="24"/>
        </w:rPr>
        <w:t>јела</w:t>
      </w:r>
      <w:r w:rsidRPr="00FB5A28">
        <w:rPr>
          <w:rFonts w:ascii="Times New Roman" w:hAnsi="Times New Roman"/>
          <w:sz w:val="24"/>
          <w:szCs w:val="24"/>
        </w:rPr>
        <w:t xml:space="preserve"> </w:t>
      </w:r>
      <w:r w:rsidR="0010457D" w:rsidRPr="00FB5A28">
        <w:rPr>
          <w:rFonts w:ascii="Times New Roman" w:hAnsi="Times New Roman"/>
          <w:sz w:val="24"/>
          <w:szCs w:val="24"/>
        </w:rPr>
        <w:t>и</w:t>
      </w:r>
      <w:r w:rsidRPr="00FB5A28">
        <w:rPr>
          <w:rFonts w:ascii="Times New Roman" w:hAnsi="Times New Roman"/>
          <w:sz w:val="24"/>
          <w:szCs w:val="24"/>
        </w:rPr>
        <w:t xml:space="preserve"> </w:t>
      </w:r>
      <w:r w:rsidR="0010457D" w:rsidRPr="00FB5A28">
        <w:rPr>
          <w:rFonts w:ascii="Times New Roman" w:hAnsi="Times New Roman"/>
          <w:sz w:val="24"/>
          <w:szCs w:val="24"/>
        </w:rPr>
        <w:t>пића</w:t>
      </w:r>
      <w:r w:rsidRPr="00FB5A28">
        <w:rPr>
          <w:rFonts w:ascii="Times New Roman" w:hAnsi="Times New Roman"/>
          <w:sz w:val="24"/>
          <w:szCs w:val="24"/>
        </w:rPr>
        <w:t xml:space="preserve"> </w:t>
      </w:r>
      <w:r w:rsidR="0010457D" w:rsidRPr="00FB5A28">
        <w:rPr>
          <w:rFonts w:ascii="Times New Roman" w:hAnsi="Times New Roman"/>
          <w:sz w:val="24"/>
          <w:szCs w:val="24"/>
        </w:rPr>
        <w:t>за</w:t>
      </w:r>
      <w:r w:rsidRPr="00FB5A28">
        <w:rPr>
          <w:rFonts w:ascii="Times New Roman" w:hAnsi="Times New Roman"/>
          <w:sz w:val="24"/>
          <w:szCs w:val="24"/>
        </w:rPr>
        <w:t xml:space="preserve"> </w:t>
      </w:r>
      <w:r w:rsidR="0010457D" w:rsidRPr="00FB5A28">
        <w:rPr>
          <w:rFonts w:ascii="Times New Roman" w:hAnsi="Times New Roman"/>
          <w:sz w:val="24"/>
          <w:szCs w:val="24"/>
        </w:rPr>
        <w:t>конзумацију</w:t>
      </w:r>
      <w:r w:rsidRPr="00FB5A28">
        <w:rPr>
          <w:rFonts w:ascii="Times New Roman" w:hAnsi="Times New Roman"/>
          <w:sz w:val="24"/>
          <w:szCs w:val="24"/>
        </w:rPr>
        <w:t xml:space="preserve"> </w:t>
      </w:r>
      <w:r w:rsidR="0010457D" w:rsidRPr="00FB5A28">
        <w:rPr>
          <w:rFonts w:ascii="Times New Roman" w:hAnsi="Times New Roman"/>
          <w:sz w:val="24"/>
          <w:szCs w:val="24"/>
        </w:rPr>
        <w:t>на</w:t>
      </w:r>
      <w:r w:rsidRPr="00FB5A28">
        <w:rPr>
          <w:rFonts w:ascii="Times New Roman" w:hAnsi="Times New Roman"/>
          <w:sz w:val="24"/>
          <w:szCs w:val="24"/>
        </w:rPr>
        <w:t xml:space="preserve"> </w:t>
      </w:r>
      <w:r w:rsidR="0010457D" w:rsidRPr="00FB5A28">
        <w:rPr>
          <w:rFonts w:ascii="Times New Roman" w:hAnsi="Times New Roman"/>
          <w:sz w:val="24"/>
          <w:szCs w:val="24"/>
        </w:rPr>
        <w:t>лицу</w:t>
      </w:r>
      <w:r w:rsidRPr="00FB5A28">
        <w:rPr>
          <w:rFonts w:ascii="Times New Roman" w:hAnsi="Times New Roman"/>
          <w:sz w:val="24"/>
          <w:szCs w:val="24"/>
        </w:rPr>
        <w:t xml:space="preserve"> </w:t>
      </w:r>
      <w:r w:rsidR="0010457D" w:rsidRPr="00FB5A28">
        <w:rPr>
          <w:rFonts w:ascii="Times New Roman" w:hAnsi="Times New Roman"/>
          <w:sz w:val="24"/>
          <w:szCs w:val="24"/>
        </w:rPr>
        <w:t>места</w:t>
      </w:r>
      <w:r w:rsidRPr="00FB5A28">
        <w:rPr>
          <w:rFonts w:ascii="Times New Roman" w:hAnsi="Times New Roman"/>
          <w:sz w:val="24"/>
          <w:szCs w:val="24"/>
        </w:rPr>
        <w:t>;</w:t>
      </w:r>
    </w:p>
    <w:p w:rsidR="0010457D" w:rsidRPr="00FB5A28" w:rsidRDefault="0010457D" w:rsidP="00FB5A28">
      <w:pPr>
        <w:jc w:val="both"/>
        <w:rPr>
          <w:rFonts w:ascii="Times New Roman" w:hAnsi="Times New Roman"/>
          <w:sz w:val="24"/>
          <w:szCs w:val="24"/>
          <w:lang w:val="sr-Cyrl-CS"/>
        </w:rPr>
      </w:pPr>
      <w:r w:rsidRPr="00FB5A28">
        <w:rPr>
          <w:rFonts w:ascii="Times New Roman" w:hAnsi="Times New Roman"/>
          <w:sz w:val="24"/>
          <w:szCs w:val="24"/>
          <w:lang w:val="sr-Cyrl-CS"/>
        </w:rPr>
        <w:t>6</w:t>
      </w:r>
      <w:r w:rsidR="00A05C62" w:rsidRPr="00FB5A28">
        <w:rPr>
          <w:rFonts w:ascii="Times New Roman" w:hAnsi="Times New Roman"/>
          <w:sz w:val="24"/>
          <w:szCs w:val="24"/>
        </w:rPr>
        <w:t xml:space="preserve">) </w:t>
      </w:r>
      <w:r w:rsidRPr="00FB5A28">
        <w:rPr>
          <w:rFonts w:ascii="Times New Roman" w:hAnsi="Times New Roman"/>
          <w:sz w:val="24"/>
          <w:szCs w:val="24"/>
        </w:rPr>
        <w:t>уступање</w:t>
      </w:r>
      <w:r w:rsidR="00A05C62" w:rsidRPr="00FB5A28">
        <w:rPr>
          <w:rFonts w:ascii="Times New Roman" w:hAnsi="Times New Roman"/>
          <w:sz w:val="24"/>
          <w:szCs w:val="24"/>
        </w:rPr>
        <w:t xml:space="preserve"> </w:t>
      </w:r>
      <w:r w:rsidRPr="00FB5A28">
        <w:rPr>
          <w:rFonts w:ascii="Times New Roman" w:hAnsi="Times New Roman"/>
          <w:sz w:val="24"/>
          <w:szCs w:val="24"/>
        </w:rPr>
        <w:t>удела</w:t>
      </w:r>
      <w:r w:rsidR="00A05C62" w:rsidRPr="00FB5A28">
        <w:rPr>
          <w:rFonts w:ascii="Times New Roman" w:hAnsi="Times New Roman"/>
          <w:sz w:val="24"/>
          <w:szCs w:val="24"/>
        </w:rPr>
        <w:t xml:space="preserve"> </w:t>
      </w:r>
      <w:r w:rsidRPr="00FB5A28">
        <w:rPr>
          <w:rFonts w:ascii="Times New Roman" w:hAnsi="Times New Roman"/>
          <w:sz w:val="24"/>
          <w:szCs w:val="24"/>
        </w:rPr>
        <w:t>или</w:t>
      </w:r>
      <w:r w:rsidR="00A05C62" w:rsidRPr="00FB5A28">
        <w:rPr>
          <w:rFonts w:ascii="Times New Roman" w:hAnsi="Times New Roman"/>
          <w:sz w:val="24"/>
          <w:szCs w:val="24"/>
        </w:rPr>
        <w:t xml:space="preserve"> </w:t>
      </w:r>
      <w:r w:rsidRPr="00FB5A28">
        <w:rPr>
          <w:rFonts w:ascii="Times New Roman" w:hAnsi="Times New Roman"/>
          <w:sz w:val="24"/>
          <w:szCs w:val="24"/>
        </w:rPr>
        <w:t>права</w:t>
      </w:r>
      <w:r w:rsidR="00A05C62" w:rsidRPr="00FB5A28">
        <w:rPr>
          <w:rFonts w:ascii="Times New Roman" w:hAnsi="Times New Roman"/>
          <w:sz w:val="24"/>
          <w:szCs w:val="24"/>
        </w:rPr>
        <w:t>.</w:t>
      </w:r>
    </w:p>
    <w:p w:rsidR="0010457D" w:rsidRPr="00FB5A28" w:rsidRDefault="0010457D" w:rsidP="00FB5A28">
      <w:pPr>
        <w:jc w:val="both"/>
        <w:rPr>
          <w:rFonts w:ascii="Times New Roman" w:hAnsi="Times New Roman"/>
          <w:sz w:val="24"/>
          <w:szCs w:val="24"/>
          <w:lang w:val="sr-Cyrl-CS"/>
        </w:rPr>
      </w:pPr>
      <w:r w:rsidRPr="00FB5A28">
        <w:rPr>
          <w:rFonts w:ascii="Times New Roman" w:hAnsi="Times New Roman"/>
          <w:sz w:val="24"/>
          <w:szCs w:val="24"/>
        </w:rPr>
        <w:t>Са</w:t>
      </w:r>
      <w:r w:rsidR="00A05C62" w:rsidRPr="00FB5A28">
        <w:rPr>
          <w:rFonts w:ascii="Times New Roman" w:hAnsi="Times New Roman"/>
          <w:sz w:val="24"/>
          <w:szCs w:val="24"/>
        </w:rPr>
        <w:t xml:space="preserve"> </w:t>
      </w:r>
      <w:r w:rsidRPr="00FB5A28">
        <w:rPr>
          <w:rFonts w:ascii="Times New Roman" w:hAnsi="Times New Roman"/>
          <w:sz w:val="24"/>
          <w:szCs w:val="24"/>
        </w:rPr>
        <w:t>прометом</w:t>
      </w:r>
      <w:r w:rsidR="00A05C62" w:rsidRPr="00FB5A28">
        <w:rPr>
          <w:rFonts w:ascii="Times New Roman" w:hAnsi="Times New Roman"/>
          <w:sz w:val="24"/>
          <w:szCs w:val="24"/>
        </w:rPr>
        <w:t xml:space="preserve"> </w:t>
      </w:r>
      <w:r w:rsidRPr="00FB5A28">
        <w:rPr>
          <w:rFonts w:ascii="Times New Roman" w:hAnsi="Times New Roman"/>
          <w:sz w:val="24"/>
          <w:szCs w:val="24"/>
        </w:rPr>
        <w:t>услуга</w:t>
      </w:r>
      <w:r w:rsidR="00A05C62" w:rsidRPr="00FB5A28">
        <w:rPr>
          <w:rFonts w:ascii="Times New Roman" w:hAnsi="Times New Roman"/>
          <w:sz w:val="24"/>
          <w:szCs w:val="24"/>
        </w:rPr>
        <w:t xml:space="preserve"> </w:t>
      </w:r>
      <w:r w:rsidRPr="00FB5A28">
        <w:rPr>
          <w:rFonts w:ascii="Times New Roman" w:hAnsi="Times New Roman"/>
          <w:sz w:val="24"/>
          <w:szCs w:val="24"/>
        </w:rPr>
        <w:t>уз</w:t>
      </w:r>
      <w:r w:rsidR="00A05C62" w:rsidRPr="00FB5A28">
        <w:rPr>
          <w:rFonts w:ascii="Times New Roman" w:hAnsi="Times New Roman"/>
          <w:sz w:val="24"/>
          <w:szCs w:val="24"/>
        </w:rPr>
        <w:t xml:space="preserve"> </w:t>
      </w:r>
      <w:r w:rsidRPr="00FB5A28">
        <w:rPr>
          <w:rFonts w:ascii="Times New Roman" w:hAnsi="Times New Roman"/>
          <w:sz w:val="24"/>
          <w:szCs w:val="24"/>
        </w:rPr>
        <w:t>накнаду</w:t>
      </w:r>
      <w:r w:rsidR="00A05C62" w:rsidRPr="00FB5A28">
        <w:rPr>
          <w:rFonts w:ascii="Times New Roman" w:hAnsi="Times New Roman"/>
          <w:sz w:val="24"/>
          <w:szCs w:val="24"/>
        </w:rPr>
        <w:t xml:space="preserve"> </w:t>
      </w:r>
      <w:r w:rsidRPr="00FB5A28">
        <w:rPr>
          <w:rFonts w:ascii="Times New Roman" w:hAnsi="Times New Roman"/>
          <w:sz w:val="24"/>
          <w:szCs w:val="24"/>
        </w:rPr>
        <w:t>изједначава</w:t>
      </w:r>
      <w:r w:rsidR="00A05C62" w:rsidRPr="00FB5A28">
        <w:rPr>
          <w:rFonts w:ascii="Times New Roman" w:hAnsi="Times New Roman"/>
          <w:sz w:val="24"/>
          <w:szCs w:val="24"/>
        </w:rPr>
        <w:t xml:space="preserve"> </w:t>
      </w:r>
      <w:r w:rsidRPr="00FB5A28">
        <w:rPr>
          <w:rFonts w:ascii="Times New Roman" w:hAnsi="Times New Roman"/>
          <w:sz w:val="24"/>
          <w:szCs w:val="24"/>
        </w:rPr>
        <w:t>се</w:t>
      </w:r>
      <w:r w:rsidR="00A05C62" w:rsidRPr="00FB5A28">
        <w:rPr>
          <w:rFonts w:ascii="Times New Roman" w:hAnsi="Times New Roman"/>
          <w:sz w:val="24"/>
          <w:szCs w:val="24"/>
        </w:rPr>
        <w:t>:</w:t>
      </w:r>
    </w:p>
    <w:p w:rsidR="00AA7EB9" w:rsidRPr="00FB5A28" w:rsidRDefault="00A05C62" w:rsidP="00FB5A28">
      <w:pPr>
        <w:jc w:val="both"/>
        <w:rPr>
          <w:rFonts w:ascii="Times New Roman" w:hAnsi="Times New Roman"/>
          <w:sz w:val="24"/>
          <w:szCs w:val="24"/>
          <w:lang w:val="sr-Cyrl-CS"/>
        </w:rPr>
      </w:pPr>
      <w:r w:rsidRPr="00FB5A28">
        <w:rPr>
          <w:rFonts w:ascii="Times New Roman" w:hAnsi="Times New Roman"/>
          <w:sz w:val="24"/>
          <w:szCs w:val="24"/>
        </w:rPr>
        <w:t xml:space="preserve">1) </w:t>
      </w:r>
      <w:r w:rsidR="0010457D" w:rsidRPr="00FB5A28">
        <w:rPr>
          <w:rFonts w:ascii="Times New Roman" w:hAnsi="Times New Roman"/>
          <w:sz w:val="24"/>
          <w:szCs w:val="24"/>
        </w:rPr>
        <w:t>употреба</w:t>
      </w:r>
      <w:r w:rsidRPr="00FB5A28">
        <w:rPr>
          <w:rFonts w:ascii="Times New Roman" w:hAnsi="Times New Roman"/>
          <w:sz w:val="24"/>
          <w:szCs w:val="24"/>
        </w:rPr>
        <w:t xml:space="preserve"> </w:t>
      </w:r>
      <w:r w:rsidR="0010457D" w:rsidRPr="00FB5A28">
        <w:rPr>
          <w:rFonts w:ascii="Times New Roman" w:hAnsi="Times New Roman"/>
          <w:sz w:val="24"/>
          <w:szCs w:val="24"/>
        </w:rPr>
        <w:t>добара</w:t>
      </w:r>
      <w:r w:rsidRPr="00FB5A28">
        <w:rPr>
          <w:rFonts w:ascii="Times New Roman" w:hAnsi="Times New Roman"/>
          <w:sz w:val="24"/>
          <w:szCs w:val="24"/>
        </w:rPr>
        <w:t xml:space="preserve"> </w:t>
      </w:r>
      <w:r w:rsidR="0010457D" w:rsidRPr="00FB5A28">
        <w:rPr>
          <w:rFonts w:ascii="Times New Roman" w:hAnsi="Times New Roman"/>
          <w:sz w:val="24"/>
          <w:szCs w:val="24"/>
        </w:rPr>
        <w:t>која</w:t>
      </w:r>
      <w:r w:rsidRPr="00FB5A28">
        <w:rPr>
          <w:rFonts w:ascii="Times New Roman" w:hAnsi="Times New Roman"/>
          <w:sz w:val="24"/>
          <w:szCs w:val="24"/>
        </w:rPr>
        <w:t xml:space="preserve"> </w:t>
      </w:r>
      <w:r w:rsidR="0010457D" w:rsidRPr="00FB5A28">
        <w:rPr>
          <w:rFonts w:ascii="Times New Roman" w:hAnsi="Times New Roman"/>
          <w:sz w:val="24"/>
          <w:szCs w:val="24"/>
        </w:rPr>
        <w:t>су</w:t>
      </w:r>
      <w:r w:rsidRPr="00FB5A28">
        <w:rPr>
          <w:rFonts w:ascii="Times New Roman" w:hAnsi="Times New Roman"/>
          <w:sz w:val="24"/>
          <w:szCs w:val="24"/>
        </w:rPr>
        <w:t xml:space="preserve"> </w:t>
      </w:r>
      <w:r w:rsidR="0010457D" w:rsidRPr="00FB5A28">
        <w:rPr>
          <w:rFonts w:ascii="Times New Roman" w:hAnsi="Times New Roman"/>
          <w:sz w:val="24"/>
          <w:szCs w:val="24"/>
        </w:rPr>
        <w:t>део</w:t>
      </w:r>
      <w:r w:rsidRPr="00FB5A28">
        <w:rPr>
          <w:rFonts w:ascii="Times New Roman" w:hAnsi="Times New Roman"/>
          <w:sz w:val="24"/>
          <w:szCs w:val="24"/>
        </w:rPr>
        <w:t xml:space="preserve"> </w:t>
      </w:r>
      <w:r w:rsidR="0010457D" w:rsidRPr="00FB5A28">
        <w:rPr>
          <w:rFonts w:ascii="Times New Roman" w:hAnsi="Times New Roman"/>
          <w:sz w:val="24"/>
          <w:szCs w:val="24"/>
        </w:rPr>
        <w:t>пословне</w:t>
      </w:r>
      <w:r w:rsidRPr="00FB5A28">
        <w:rPr>
          <w:rFonts w:ascii="Times New Roman" w:hAnsi="Times New Roman"/>
          <w:sz w:val="24"/>
          <w:szCs w:val="24"/>
        </w:rPr>
        <w:t xml:space="preserve"> </w:t>
      </w:r>
      <w:r w:rsidR="0010457D" w:rsidRPr="00FB5A28">
        <w:rPr>
          <w:rFonts w:ascii="Times New Roman" w:hAnsi="Times New Roman"/>
          <w:sz w:val="24"/>
          <w:szCs w:val="24"/>
        </w:rPr>
        <w:t>имовине</w:t>
      </w:r>
      <w:r w:rsidRPr="00FB5A28">
        <w:rPr>
          <w:rFonts w:ascii="Times New Roman" w:hAnsi="Times New Roman"/>
          <w:sz w:val="24"/>
          <w:szCs w:val="24"/>
        </w:rPr>
        <w:t xml:space="preserve"> </w:t>
      </w:r>
      <w:r w:rsidR="0010457D" w:rsidRPr="00FB5A28">
        <w:rPr>
          <w:rFonts w:ascii="Times New Roman" w:hAnsi="Times New Roman"/>
          <w:sz w:val="24"/>
          <w:szCs w:val="24"/>
        </w:rPr>
        <w:t>пореског</w:t>
      </w:r>
      <w:r w:rsidRPr="00FB5A28">
        <w:rPr>
          <w:rFonts w:ascii="Times New Roman" w:hAnsi="Times New Roman"/>
          <w:sz w:val="24"/>
          <w:szCs w:val="24"/>
        </w:rPr>
        <w:t xml:space="preserve"> </w:t>
      </w:r>
      <w:r w:rsidR="0010457D" w:rsidRPr="00FB5A28">
        <w:rPr>
          <w:rFonts w:ascii="Times New Roman" w:hAnsi="Times New Roman"/>
          <w:sz w:val="24"/>
          <w:szCs w:val="24"/>
        </w:rPr>
        <w:t>обвезника</w:t>
      </w:r>
      <w:r w:rsidRPr="00FB5A28">
        <w:rPr>
          <w:rFonts w:ascii="Times New Roman" w:hAnsi="Times New Roman"/>
          <w:sz w:val="24"/>
          <w:szCs w:val="24"/>
        </w:rPr>
        <w:t xml:space="preserve"> </w:t>
      </w:r>
      <w:r w:rsidR="0010457D" w:rsidRPr="00FB5A28">
        <w:rPr>
          <w:rFonts w:ascii="Times New Roman" w:hAnsi="Times New Roman"/>
          <w:sz w:val="24"/>
          <w:szCs w:val="24"/>
        </w:rPr>
        <w:t>за</w:t>
      </w:r>
      <w:r w:rsidRPr="00FB5A28">
        <w:rPr>
          <w:rFonts w:ascii="Times New Roman" w:hAnsi="Times New Roman"/>
          <w:sz w:val="24"/>
          <w:szCs w:val="24"/>
        </w:rPr>
        <w:t xml:space="preserve"> </w:t>
      </w:r>
      <w:r w:rsidR="0010457D" w:rsidRPr="00FB5A28">
        <w:rPr>
          <w:rFonts w:ascii="Times New Roman" w:hAnsi="Times New Roman"/>
          <w:sz w:val="24"/>
          <w:szCs w:val="24"/>
        </w:rPr>
        <w:t>личне</w:t>
      </w:r>
      <w:r w:rsidRPr="00FB5A28">
        <w:rPr>
          <w:rFonts w:ascii="Times New Roman" w:hAnsi="Times New Roman"/>
          <w:sz w:val="24"/>
          <w:szCs w:val="24"/>
        </w:rPr>
        <w:t xml:space="preserve"> </w:t>
      </w:r>
      <w:r w:rsidR="0010457D" w:rsidRPr="00FB5A28">
        <w:rPr>
          <w:rFonts w:ascii="Times New Roman" w:hAnsi="Times New Roman"/>
          <w:sz w:val="24"/>
          <w:szCs w:val="24"/>
        </w:rPr>
        <w:t>потребе</w:t>
      </w:r>
      <w:r w:rsidRPr="00FB5A28">
        <w:rPr>
          <w:rFonts w:ascii="Times New Roman" w:hAnsi="Times New Roman"/>
          <w:sz w:val="24"/>
          <w:szCs w:val="24"/>
        </w:rPr>
        <w:t xml:space="preserve"> </w:t>
      </w:r>
      <w:r w:rsidR="0010457D" w:rsidRPr="00FB5A28">
        <w:rPr>
          <w:rFonts w:ascii="Times New Roman" w:hAnsi="Times New Roman"/>
          <w:sz w:val="24"/>
          <w:szCs w:val="24"/>
        </w:rPr>
        <w:t>оснивача</w:t>
      </w:r>
      <w:r w:rsidRPr="00FB5A28">
        <w:rPr>
          <w:rFonts w:ascii="Times New Roman" w:hAnsi="Times New Roman"/>
          <w:sz w:val="24"/>
          <w:szCs w:val="24"/>
        </w:rPr>
        <w:t xml:space="preserve">, </w:t>
      </w:r>
      <w:r w:rsidR="0010457D" w:rsidRPr="00FB5A28">
        <w:rPr>
          <w:rFonts w:ascii="Times New Roman" w:hAnsi="Times New Roman"/>
          <w:sz w:val="24"/>
          <w:szCs w:val="24"/>
        </w:rPr>
        <w:t>власника</w:t>
      </w:r>
      <w:r w:rsidRPr="00FB5A28">
        <w:rPr>
          <w:rFonts w:ascii="Times New Roman" w:hAnsi="Times New Roman"/>
          <w:sz w:val="24"/>
          <w:szCs w:val="24"/>
        </w:rPr>
        <w:t xml:space="preserve">, </w:t>
      </w:r>
      <w:r w:rsidR="0010457D" w:rsidRPr="00FB5A28">
        <w:rPr>
          <w:rFonts w:ascii="Times New Roman" w:hAnsi="Times New Roman"/>
          <w:sz w:val="24"/>
          <w:szCs w:val="24"/>
        </w:rPr>
        <w:t>запослених</w:t>
      </w:r>
      <w:r w:rsidRPr="00FB5A28">
        <w:rPr>
          <w:rFonts w:ascii="Times New Roman" w:hAnsi="Times New Roman"/>
          <w:sz w:val="24"/>
          <w:szCs w:val="24"/>
        </w:rPr>
        <w:t xml:space="preserve"> </w:t>
      </w:r>
      <w:r w:rsidR="0010457D" w:rsidRPr="00FB5A28">
        <w:rPr>
          <w:rFonts w:ascii="Times New Roman" w:hAnsi="Times New Roman"/>
          <w:sz w:val="24"/>
          <w:szCs w:val="24"/>
        </w:rPr>
        <w:t>или</w:t>
      </w:r>
      <w:r w:rsidRPr="00FB5A28">
        <w:rPr>
          <w:rFonts w:ascii="Times New Roman" w:hAnsi="Times New Roman"/>
          <w:sz w:val="24"/>
          <w:szCs w:val="24"/>
        </w:rPr>
        <w:t xml:space="preserve"> </w:t>
      </w:r>
      <w:r w:rsidR="0010457D" w:rsidRPr="00FB5A28">
        <w:rPr>
          <w:rFonts w:ascii="Times New Roman" w:hAnsi="Times New Roman"/>
          <w:sz w:val="24"/>
          <w:szCs w:val="24"/>
        </w:rPr>
        <w:t>других</w:t>
      </w:r>
      <w:r w:rsidRPr="00FB5A28">
        <w:rPr>
          <w:rFonts w:ascii="Times New Roman" w:hAnsi="Times New Roman"/>
          <w:sz w:val="24"/>
          <w:szCs w:val="24"/>
        </w:rPr>
        <w:t xml:space="preserve"> </w:t>
      </w:r>
      <w:r w:rsidR="0010457D" w:rsidRPr="00FB5A28">
        <w:rPr>
          <w:rFonts w:ascii="Times New Roman" w:hAnsi="Times New Roman"/>
          <w:sz w:val="24"/>
          <w:szCs w:val="24"/>
        </w:rPr>
        <w:t>лица</w:t>
      </w:r>
      <w:r w:rsidRPr="00FB5A28">
        <w:rPr>
          <w:rFonts w:ascii="Times New Roman" w:hAnsi="Times New Roman"/>
          <w:sz w:val="24"/>
          <w:szCs w:val="24"/>
        </w:rPr>
        <w:t xml:space="preserve">, </w:t>
      </w:r>
      <w:r w:rsidR="0010457D" w:rsidRPr="00FB5A28">
        <w:rPr>
          <w:rFonts w:ascii="Times New Roman" w:hAnsi="Times New Roman"/>
          <w:sz w:val="24"/>
          <w:szCs w:val="24"/>
        </w:rPr>
        <w:t>односно</w:t>
      </w:r>
      <w:r w:rsidRPr="00FB5A28">
        <w:rPr>
          <w:rFonts w:ascii="Times New Roman" w:hAnsi="Times New Roman"/>
          <w:sz w:val="24"/>
          <w:szCs w:val="24"/>
        </w:rPr>
        <w:t xml:space="preserve"> </w:t>
      </w:r>
      <w:r w:rsidR="0010457D" w:rsidRPr="00FB5A28">
        <w:rPr>
          <w:rFonts w:ascii="Times New Roman" w:hAnsi="Times New Roman"/>
          <w:sz w:val="24"/>
          <w:szCs w:val="24"/>
        </w:rPr>
        <w:t>употреба</w:t>
      </w:r>
      <w:r w:rsidRPr="00FB5A28">
        <w:rPr>
          <w:rFonts w:ascii="Times New Roman" w:hAnsi="Times New Roman"/>
          <w:sz w:val="24"/>
          <w:szCs w:val="24"/>
        </w:rPr>
        <w:t xml:space="preserve"> </w:t>
      </w:r>
      <w:r w:rsidR="0010457D" w:rsidRPr="00FB5A28">
        <w:rPr>
          <w:rFonts w:ascii="Times New Roman" w:hAnsi="Times New Roman"/>
          <w:sz w:val="24"/>
          <w:szCs w:val="24"/>
        </w:rPr>
        <w:t>добара</w:t>
      </w:r>
      <w:r w:rsidRPr="00FB5A28">
        <w:rPr>
          <w:rFonts w:ascii="Times New Roman" w:hAnsi="Times New Roman"/>
          <w:sz w:val="24"/>
          <w:szCs w:val="24"/>
        </w:rPr>
        <w:t xml:space="preserve"> </w:t>
      </w:r>
      <w:r w:rsidR="0010457D" w:rsidRPr="00FB5A28">
        <w:rPr>
          <w:rFonts w:ascii="Times New Roman" w:hAnsi="Times New Roman"/>
          <w:sz w:val="24"/>
          <w:szCs w:val="24"/>
        </w:rPr>
        <w:t>у</w:t>
      </w:r>
      <w:r w:rsidRPr="00FB5A28">
        <w:rPr>
          <w:rFonts w:ascii="Times New Roman" w:hAnsi="Times New Roman"/>
          <w:sz w:val="24"/>
          <w:szCs w:val="24"/>
        </w:rPr>
        <w:t xml:space="preserve"> </w:t>
      </w:r>
      <w:r w:rsidR="0010457D" w:rsidRPr="00FB5A28">
        <w:rPr>
          <w:rFonts w:ascii="Times New Roman" w:hAnsi="Times New Roman"/>
          <w:sz w:val="24"/>
          <w:szCs w:val="24"/>
        </w:rPr>
        <w:t>непословне</w:t>
      </w:r>
      <w:r w:rsidRPr="00FB5A28">
        <w:rPr>
          <w:rFonts w:ascii="Times New Roman" w:hAnsi="Times New Roman"/>
          <w:sz w:val="24"/>
          <w:szCs w:val="24"/>
        </w:rPr>
        <w:t xml:space="preserve"> </w:t>
      </w:r>
      <w:r w:rsidR="0010457D" w:rsidRPr="00FB5A28">
        <w:rPr>
          <w:rFonts w:ascii="Times New Roman" w:hAnsi="Times New Roman"/>
          <w:sz w:val="24"/>
          <w:szCs w:val="24"/>
        </w:rPr>
        <w:t>сврхе</w:t>
      </w:r>
      <w:r w:rsidRPr="00FB5A28">
        <w:rPr>
          <w:rFonts w:ascii="Times New Roman" w:hAnsi="Times New Roman"/>
          <w:sz w:val="24"/>
          <w:szCs w:val="24"/>
        </w:rPr>
        <w:t xml:space="preserve"> </w:t>
      </w:r>
      <w:r w:rsidR="0010457D" w:rsidRPr="00FB5A28">
        <w:rPr>
          <w:rFonts w:ascii="Times New Roman" w:hAnsi="Times New Roman"/>
          <w:sz w:val="24"/>
          <w:szCs w:val="24"/>
        </w:rPr>
        <w:t>пореског</w:t>
      </w:r>
      <w:r w:rsidRPr="00FB5A28">
        <w:rPr>
          <w:rFonts w:ascii="Times New Roman" w:hAnsi="Times New Roman"/>
          <w:sz w:val="24"/>
          <w:szCs w:val="24"/>
        </w:rPr>
        <w:t xml:space="preserve"> </w:t>
      </w:r>
      <w:r w:rsidR="0010457D" w:rsidRPr="00FB5A28">
        <w:rPr>
          <w:rFonts w:ascii="Times New Roman" w:hAnsi="Times New Roman"/>
          <w:sz w:val="24"/>
          <w:szCs w:val="24"/>
        </w:rPr>
        <w:t>обвезника</w:t>
      </w:r>
      <w:r w:rsidRPr="00FB5A28">
        <w:rPr>
          <w:rFonts w:ascii="Times New Roman" w:hAnsi="Times New Roman"/>
          <w:sz w:val="24"/>
          <w:szCs w:val="24"/>
        </w:rPr>
        <w:t>;</w:t>
      </w:r>
    </w:p>
    <w:p w:rsidR="00A05C62" w:rsidRPr="00FB5A28" w:rsidRDefault="00A05C62" w:rsidP="00FB5A28">
      <w:pPr>
        <w:jc w:val="both"/>
        <w:rPr>
          <w:rFonts w:ascii="Times New Roman" w:hAnsi="Times New Roman"/>
          <w:sz w:val="24"/>
          <w:szCs w:val="24"/>
          <w:lang w:val="sr-Cyrl-CS"/>
        </w:rPr>
      </w:pPr>
      <w:r w:rsidRPr="00FB5A28">
        <w:rPr>
          <w:rFonts w:ascii="Times New Roman" w:hAnsi="Times New Roman"/>
          <w:sz w:val="24"/>
          <w:szCs w:val="24"/>
        </w:rPr>
        <w:t xml:space="preserve">2) </w:t>
      </w:r>
      <w:r w:rsidR="0010457D" w:rsidRPr="00FB5A28">
        <w:rPr>
          <w:rFonts w:ascii="Times New Roman" w:hAnsi="Times New Roman"/>
          <w:sz w:val="24"/>
          <w:szCs w:val="24"/>
        </w:rPr>
        <w:t>пружање</w:t>
      </w:r>
      <w:r w:rsidRPr="00FB5A28">
        <w:rPr>
          <w:rFonts w:ascii="Times New Roman" w:hAnsi="Times New Roman"/>
          <w:sz w:val="24"/>
          <w:szCs w:val="24"/>
        </w:rPr>
        <w:t xml:space="preserve"> </w:t>
      </w:r>
      <w:r w:rsidR="0010457D" w:rsidRPr="00FB5A28">
        <w:rPr>
          <w:rFonts w:ascii="Times New Roman" w:hAnsi="Times New Roman"/>
          <w:sz w:val="24"/>
          <w:szCs w:val="24"/>
        </w:rPr>
        <w:t>услуга</w:t>
      </w:r>
      <w:r w:rsidRPr="00FB5A28">
        <w:rPr>
          <w:rFonts w:ascii="Times New Roman" w:hAnsi="Times New Roman"/>
          <w:sz w:val="24"/>
          <w:szCs w:val="24"/>
        </w:rPr>
        <w:t xml:space="preserve"> </w:t>
      </w:r>
      <w:r w:rsidR="0010457D" w:rsidRPr="00FB5A28">
        <w:rPr>
          <w:rFonts w:ascii="Times New Roman" w:hAnsi="Times New Roman"/>
          <w:sz w:val="24"/>
          <w:szCs w:val="24"/>
        </w:rPr>
        <w:t>које</w:t>
      </w:r>
      <w:r w:rsidRPr="00FB5A28">
        <w:rPr>
          <w:rFonts w:ascii="Times New Roman" w:hAnsi="Times New Roman"/>
          <w:sz w:val="24"/>
          <w:szCs w:val="24"/>
        </w:rPr>
        <w:t xml:space="preserve"> </w:t>
      </w:r>
      <w:r w:rsidR="0010457D" w:rsidRPr="00FB5A28">
        <w:rPr>
          <w:rFonts w:ascii="Times New Roman" w:hAnsi="Times New Roman"/>
          <w:sz w:val="24"/>
          <w:szCs w:val="24"/>
        </w:rPr>
        <w:t>порески</w:t>
      </w:r>
      <w:r w:rsidRPr="00FB5A28">
        <w:rPr>
          <w:rFonts w:ascii="Times New Roman" w:hAnsi="Times New Roman"/>
          <w:sz w:val="24"/>
          <w:szCs w:val="24"/>
        </w:rPr>
        <w:t xml:space="preserve"> </w:t>
      </w:r>
      <w:r w:rsidR="0010457D" w:rsidRPr="00FB5A28">
        <w:rPr>
          <w:rFonts w:ascii="Times New Roman" w:hAnsi="Times New Roman"/>
          <w:sz w:val="24"/>
          <w:szCs w:val="24"/>
        </w:rPr>
        <w:t>обвезник</w:t>
      </w:r>
      <w:r w:rsidRPr="00FB5A28">
        <w:rPr>
          <w:rFonts w:ascii="Times New Roman" w:hAnsi="Times New Roman"/>
          <w:sz w:val="24"/>
          <w:szCs w:val="24"/>
        </w:rPr>
        <w:t xml:space="preserve"> </w:t>
      </w:r>
      <w:r w:rsidR="0010457D" w:rsidRPr="00FB5A28">
        <w:rPr>
          <w:rFonts w:ascii="Times New Roman" w:hAnsi="Times New Roman"/>
          <w:sz w:val="24"/>
          <w:szCs w:val="24"/>
        </w:rPr>
        <w:t>изврши</w:t>
      </w:r>
      <w:r w:rsidRPr="00FB5A28">
        <w:rPr>
          <w:rFonts w:ascii="Times New Roman" w:hAnsi="Times New Roman"/>
          <w:sz w:val="24"/>
          <w:szCs w:val="24"/>
        </w:rPr>
        <w:t xml:space="preserve"> </w:t>
      </w:r>
      <w:r w:rsidR="0010457D" w:rsidRPr="00FB5A28">
        <w:rPr>
          <w:rFonts w:ascii="Times New Roman" w:hAnsi="Times New Roman"/>
          <w:sz w:val="24"/>
          <w:szCs w:val="24"/>
        </w:rPr>
        <w:t>без</w:t>
      </w:r>
      <w:r w:rsidRPr="00FB5A28">
        <w:rPr>
          <w:rFonts w:ascii="Times New Roman" w:hAnsi="Times New Roman"/>
          <w:sz w:val="24"/>
          <w:szCs w:val="24"/>
        </w:rPr>
        <w:t xml:space="preserve"> </w:t>
      </w:r>
      <w:r w:rsidR="0010457D" w:rsidRPr="00FB5A28">
        <w:rPr>
          <w:rFonts w:ascii="Times New Roman" w:hAnsi="Times New Roman"/>
          <w:sz w:val="24"/>
          <w:szCs w:val="24"/>
        </w:rPr>
        <w:t>накнаде</w:t>
      </w:r>
      <w:r w:rsidRPr="00FB5A28">
        <w:rPr>
          <w:rFonts w:ascii="Times New Roman" w:hAnsi="Times New Roman"/>
          <w:sz w:val="24"/>
          <w:szCs w:val="24"/>
        </w:rPr>
        <w:t xml:space="preserve"> </w:t>
      </w:r>
      <w:r w:rsidR="0010457D" w:rsidRPr="00FB5A28">
        <w:rPr>
          <w:rFonts w:ascii="Times New Roman" w:hAnsi="Times New Roman"/>
          <w:sz w:val="24"/>
          <w:szCs w:val="24"/>
        </w:rPr>
        <w:t>за</w:t>
      </w:r>
      <w:r w:rsidRPr="00FB5A28">
        <w:rPr>
          <w:rFonts w:ascii="Times New Roman" w:hAnsi="Times New Roman"/>
          <w:sz w:val="24"/>
          <w:szCs w:val="24"/>
        </w:rPr>
        <w:t xml:space="preserve"> </w:t>
      </w:r>
      <w:r w:rsidR="0010457D" w:rsidRPr="00FB5A28">
        <w:rPr>
          <w:rFonts w:ascii="Times New Roman" w:hAnsi="Times New Roman"/>
          <w:sz w:val="24"/>
          <w:szCs w:val="24"/>
        </w:rPr>
        <w:t>личне</w:t>
      </w:r>
      <w:r w:rsidRPr="00FB5A28">
        <w:rPr>
          <w:rFonts w:ascii="Times New Roman" w:hAnsi="Times New Roman"/>
          <w:sz w:val="24"/>
          <w:szCs w:val="24"/>
        </w:rPr>
        <w:t xml:space="preserve"> </w:t>
      </w:r>
      <w:r w:rsidR="0010457D" w:rsidRPr="00FB5A28">
        <w:rPr>
          <w:rFonts w:ascii="Times New Roman" w:hAnsi="Times New Roman"/>
          <w:sz w:val="24"/>
          <w:szCs w:val="24"/>
        </w:rPr>
        <w:t>потребе</w:t>
      </w:r>
      <w:r w:rsidRPr="00FB5A28">
        <w:rPr>
          <w:rFonts w:ascii="Times New Roman" w:hAnsi="Times New Roman"/>
          <w:sz w:val="24"/>
          <w:szCs w:val="24"/>
        </w:rPr>
        <w:t xml:space="preserve"> </w:t>
      </w:r>
      <w:r w:rsidR="0010457D" w:rsidRPr="00FB5A28">
        <w:rPr>
          <w:rFonts w:ascii="Times New Roman" w:hAnsi="Times New Roman"/>
          <w:sz w:val="24"/>
          <w:szCs w:val="24"/>
        </w:rPr>
        <w:t>оснивача</w:t>
      </w:r>
      <w:r w:rsidRPr="00FB5A28">
        <w:rPr>
          <w:rFonts w:ascii="Times New Roman" w:hAnsi="Times New Roman"/>
          <w:sz w:val="24"/>
          <w:szCs w:val="24"/>
        </w:rPr>
        <w:t xml:space="preserve">, </w:t>
      </w:r>
      <w:r w:rsidR="0010457D" w:rsidRPr="00FB5A28">
        <w:rPr>
          <w:rFonts w:ascii="Times New Roman" w:hAnsi="Times New Roman"/>
          <w:sz w:val="24"/>
          <w:szCs w:val="24"/>
        </w:rPr>
        <w:t>власника</w:t>
      </w:r>
      <w:r w:rsidRPr="00FB5A28">
        <w:rPr>
          <w:rFonts w:ascii="Times New Roman" w:hAnsi="Times New Roman"/>
          <w:sz w:val="24"/>
          <w:szCs w:val="24"/>
        </w:rPr>
        <w:t xml:space="preserve">, </w:t>
      </w:r>
      <w:r w:rsidR="0010457D" w:rsidRPr="00FB5A28">
        <w:rPr>
          <w:rFonts w:ascii="Times New Roman" w:hAnsi="Times New Roman"/>
          <w:sz w:val="24"/>
          <w:szCs w:val="24"/>
        </w:rPr>
        <w:t>запослених</w:t>
      </w:r>
      <w:r w:rsidRPr="00FB5A28">
        <w:rPr>
          <w:rFonts w:ascii="Times New Roman" w:hAnsi="Times New Roman"/>
          <w:sz w:val="24"/>
          <w:szCs w:val="24"/>
        </w:rPr>
        <w:t xml:space="preserve"> </w:t>
      </w:r>
      <w:r w:rsidR="0010457D" w:rsidRPr="00FB5A28">
        <w:rPr>
          <w:rFonts w:ascii="Times New Roman" w:hAnsi="Times New Roman"/>
          <w:sz w:val="24"/>
          <w:szCs w:val="24"/>
        </w:rPr>
        <w:t>или</w:t>
      </w:r>
      <w:r w:rsidRPr="00FB5A28">
        <w:rPr>
          <w:rFonts w:ascii="Times New Roman" w:hAnsi="Times New Roman"/>
          <w:sz w:val="24"/>
          <w:szCs w:val="24"/>
        </w:rPr>
        <w:t xml:space="preserve"> </w:t>
      </w:r>
      <w:r w:rsidR="0010457D" w:rsidRPr="00FB5A28">
        <w:rPr>
          <w:rFonts w:ascii="Times New Roman" w:hAnsi="Times New Roman"/>
          <w:sz w:val="24"/>
          <w:szCs w:val="24"/>
        </w:rPr>
        <w:t>других</w:t>
      </w:r>
      <w:r w:rsidRPr="00FB5A28">
        <w:rPr>
          <w:rFonts w:ascii="Times New Roman" w:hAnsi="Times New Roman"/>
          <w:sz w:val="24"/>
          <w:szCs w:val="24"/>
        </w:rPr>
        <w:t xml:space="preserve"> </w:t>
      </w:r>
      <w:r w:rsidR="0010457D" w:rsidRPr="00FB5A28">
        <w:rPr>
          <w:rFonts w:ascii="Times New Roman" w:hAnsi="Times New Roman"/>
          <w:sz w:val="24"/>
          <w:szCs w:val="24"/>
        </w:rPr>
        <w:t>лица</w:t>
      </w:r>
      <w:r w:rsidRPr="00FB5A28">
        <w:rPr>
          <w:rFonts w:ascii="Times New Roman" w:hAnsi="Times New Roman"/>
          <w:sz w:val="24"/>
          <w:szCs w:val="24"/>
        </w:rPr>
        <w:t xml:space="preserve">, </w:t>
      </w:r>
      <w:r w:rsidR="0010457D" w:rsidRPr="00FB5A28">
        <w:rPr>
          <w:rFonts w:ascii="Times New Roman" w:hAnsi="Times New Roman"/>
          <w:sz w:val="24"/>
          <w:szCs w:val="24"/>
        </w:rPr>
        <w:t>односно</w:t>
      </w:r>
      <w:r w:rsidRPr="00FB5A28">
        <w:rPr>
          <w:rFonts w:ascii="Times New Roman" w:hAnsi="Times New Roman"/>
          <w:sz w:val="24"/>
          <w:szCs w:val="24"/>
        </w:rPr>
        <w:t xml:space="preserve"> </w:t>
      </w:r>
      <w:r w:rsidR="0010457D" w:rsidRPr="00FB5A28">
        <w:rPr>
          <w:rFonts w:ascii="Times New Roman" w:hAnsi="Times New Roman"/>
          <w:sz w:val="24"/>
          <w:szCs w:val="24"/>
        </w:rPr>
        <w:t>друго</w:t>
      </w:r>
      <w:r w:rsidRPr="00FB5A28">
        <w:rPr>
          <w:rFonts w:ascii="Times New Roman" w:hAnsi="Times New Roman"/>
          <w:sz w:val="24"/>
          <w:szCs w:val="24"/>
        </w:rPr>
        <w:t xml:space="preserve"> </w:t>
      </w:r>
      <w:r w:rsidR="0010457D" w:rsidRPr="00FB5A28">
        <w:rPr>
          <w:rFonts w:ascii="Times New Roman" w:hAnsi="Times New Roman"/>
          <w:sz w:val="24"/>
          <w:szCs w:val="24"/>
        </w:rPr>
        <w:t>пружање</w:t>
      </w:r>
      <w:r w:rsidRPr="00FB5A28">
        <w:rPr>
          <w:rFonts w:ascii="Times New Roman" w:hAnsi="Times New Roman"/>
          <w:sz w:val="24"/>
          <w:szCs w:val="24"/>
        </w:rPr>
        <w:t xml:space="preserve"> </w:t>
      </w:r>
      <w:r w:rsidR="0010457D" w:rsidRPr="00FB5A28">
        <w:rPr>
          <w:rFonts w:ascii="Times New Roman" w:hAnsi="Times New Roman"/>
          <w:sz w:val="24"/>
          <w:szCs w:val="24"/>
        </w:rPr>
        <w:t>услуга</w:t>
      </w:r>
      <w:r w:rsidRPr="00FB5A28">
        <w:rPr>
          <w:rFonts w:ascii="Times New Roman" w:hAnsi="Times New Roman"/>
          <w:sz w:val="24"/>
          <w:szCs w:val="24"/>
        </w:rPr>
        <w:t xml:space="preserve"> </w:t>
      </w:r>
      <w:r w:rsidR="0010457D" w:rsidRPr="00FB5A28">
        <w:rPr>
          <w:rFonts w:ascii="Times New Roman" w:hAnsi="Times New Roman"/>
          <w:sz w:val="24"/>
          <w:szCs w:val="24"/>
        </w:rPr>
        <w:t>без</w:t>
      </w:r>
      <w:r w:rsidRPr="00FB5A28">
        <w:rPr>
          <w:rFonts w:ascii="Times New Roman" w:hAnsi="Times New Roman"/>
          <w:sz w:val="24"/>
          <w:szCs w:val="24"/>
        </w:rPr>
        <w:t xml:space="preserve"> </w:t>
      </w:r>
      <w:r w:rsidR="0010457D" w:rsidRPr="00FB5A28">
        <w:rPr>
          <w:rFonts w:ascii="Times New Roman" w:hAnsi="Times New Roman"/>
          <w:sz w:val="24"/>
          <w:szCs w:val="24"/>
        </w:rPr>
        <w:t>накнаде</w:t>
      </w:r>
      <w:r w:rsidRPr="00FB5A28">
        <w:rPr>
          <w:rFonts w:ascii="Times New Roman" w:hAnsi="Times New Roman"/>
          <w:sz w:val="24"/>
          <w:szCs w:val="24"/>
        </w:rPr>
        <w:t xml:space="preserve"> </w:t>
      </w:r>
      <w:r w:rsidR="0010457D" w:rsidRPr="00FB5A28">
        <w:rPr>
          <w:rFonts w:ascii="Times New Roman" w:hAnsi="Times New Roman"/>
          <w:sz w:val="24"/>
          <w:szCs w:val="24"/>
        </w:rPr>
        <w:t>у</w:t>
      </w:r>
      <w:r w:rsidRPr="00FB5A28">
        <w:rPr>
          <w:rFonts w:ascii="Times New Roman" w:hAnsi="Times New Roman"/>
          <w:sz w:val="24"/>
          <w:szCs w:val="24"/>
        </w:rPr>
        <w:t xml:space="preserve"> </w:t>
      </w:r>
      <w:r w:rsidR="0010457D" w:rsidRPr="00FB5A28">
        <w:rPr>
          <w:rFonts w:ascii="Times New Roman" w:hAnsi="Times New Roman"/>
          <w:sz w:val="24"/>
          <w:szCs w:val="24"/>
        </w:rPr>
        <w:t>непословне</w:t>
      </w:r>
      <w:r w:rsidRPr="00FB5A28">
        <w:rPr>
          <w:rFonts w:ascii="Times New Roman" w:hAnsi="Times New Roman"/>
          <w:sz w:val="24"/>
          <w:szCs w:val="24"/>
        </w:rPr>
        <w:t xml:space="preserve"> </w:t>
      </w:r>
      <w:r w:rsidR="0010457D" w:rsidRPr="00FB5A28">
        <w:rPr>
          <w:rFonts w:ascii="Times New Roman" w:hAnsi="Times New Roman"/>
          <w:sz w:val="24"/>
          <w:szCs w:val="24"/>
        </w:rPr>
        <w:t>сврхе</w:t>
      </w:r>
      <w:r w:rsidRPr="00FB5A28">
        <w:rPr>
          <w:rFonts w:ascii="Times New Roman" w:hAnsi="Times New Roman"/>
          <w:sz w:val="24"/>
          <w:szCs w:val="24"/>
        </w:rPr>
        <w:t xml:space="preserve"> </w:t>
      </w:r>
      <w:r w:rsidR="0010457D" w:rsidRPr="00FB5A28">
        <w:rPr>
          <w:rFonts w:ascii="Times New Roman" w:hAnsi="Times New Roman"/>
          <w:sz w:val="24"/>
          <w:szCs w:val="24"/>
        </w:rPr>
        <w:t>пореског</w:t>
      </w:r>
      <w:r w:rsidRPr="00FB5A28">
        <w:rPr>
          <w:rFonts w:ascii="Times New Roman" w:hAnsi="Times New Roman"/>
          <w:sz w:val="24"/>
          <w:szCs w:val="24"/>
        </w:rPr>
        <w:t xml:space="preserve"> </w:t>
      </w:r>
      <w:r w:rsidR="0010457D" w:rsidRPr="00FB5A28">
        <w:rPr>
          <w:rFonts w:ascii="Times New Roman" w:hAnsi="Times New Roman"/>
          <w:sz w:val="24"/>
          <w:szCs w:val="24"/>
        </w:rPr>
        <w:t>обвезника</w:t>
      </w:r>
      <w:r w:rsidRPr="00FB5A28">
        <w:rPr>
          <w:rFonts w:ascii="Times New Roman" w:hAnsi="Times New Roman"/>
          <w:sz w:val="24"/>
          <w:szCs w:val="24"/>
        </w:rPr>
        <w:t>.</w:t>
      </w:r>
    </w:p>
    <w:p w:rsidR="00A05C62" w:rsidRPr="00FB5A28" w:rsidRDefault="00A05C62" w:rsidP="00FB5A28">
      <w:pPr>
        <w:jc w:val="both"/>
        <w:rPr>
          <w:rFonts w:ascii="Times New Roman" w:hAnsi="Times New Roman"/>
          <w:sz w:val="24"/>
          <w:szCs w:val="24"/>
          <w:lang w:val="sr-Cyrl-CS"/>
        </w:rPr>
      </w:pPr>
      <w:r w:rsidRPr="00FB5A28">
        <w:rPr>
          <w:rFonts w:ascii="Times New Roman" w:hAnsi="Times New Roman"/>
          <w:sz w:val="24"/>
          <w:szCs w:val="24"/>
          <w:lang w:val="sr-Cyrl-CS"/>
        </w:rPr>
        <w:t>Према позитивни про</w:t>
      </w:r>
      <w:r w:rsidR="0010457D" w:rsidRPr="00FB5A28">
        <w:rPr>
          <w:rFonts w:ascii="Times New Roman" w:hAnsi="Times New Roman"/>
          <w:sz w:val="24"/>
          <w:szCs w:val="24"/>
          <w:lang w:val="sr-Cyrl-CS"/>
        </w:rPr>
        <w:t>п</w:t>
      </w:r>
      <w:r w:rsidRPr="00FB5A28">
        <w:rPr>
          <w:rFonts w:ascii="Times New Roman" w:hAnsi="Times New Roman"/>
          <w:sz w:val="24"/>
          <w:szCs w:val="24"/>
          <w:lang w:val="sr-Cyrl-CS"/>
        </w:rPr>
        <w:t>исима је разгранич</w:t>
      </w:r>
      <w:r w:rsidR="0010457D" w:rsidRPr="00FB5A28">
        <w:rPr>
          <w:rFonts w:ascii="Times New Roman" w:hAnsi="Times New Roman"/>
          <w:sz w:val="24"/>
          <w:szCs w:val="24"/>
          <w:lang w:val="sr-Cyrl-CS"/>
        </w:rPr>
        <w:t>ено шта се не сматра прометом ус</w:t>
      </w:r>
      <w:r w:rsidRPr="00FB5A28">
        <w:rPr>
          <w:rFonts w:ascii="Times New Roman" w:hAnsi="Times New Roman"/>
          <w:sz w:val="24"/>
          <w:szCs w:val="24"/>
          <w:lang w:val="sr-Cyrl-CS"/>
        </w:rPr>
        <w:t>луга</w:t>
      </w:r>
      <w:r w:rsidR="0010457D" w:rsidRPr="00FB5A28">
        <w:rPr>
          <w:rFonts w:ascii="Times New Roman" w:hAnsi="Times New Roman"/>
          <w:sz w:val="24"/>
          <w:szCs w:val="24"/>
          <w:lang w:val="sr-Cyrl-CS"/>
        </w:rPr>
        <w:t>,</w:t>
      </w:r>
      <w:r w:rsidR="0010457D" w:rsidRPr="00FB5A28">
        <w:rPr>
          <w:rStyle w:val="FootnoteReference"/>
          <w:rFonts w:ascii="Times New Roman" w:hAnsi="Times New Roman"/>
          <w:color w:val="000000"/>
          <w:sz w:val="24"/>
          <w:szCs w:val="24"/>
          <w:lang w:val="sr-Cyrl-CS"/>
        </w:rPr>
        <w:footnoteReference w:id="377"/>
      </w:r>
      <w:r w:rsidR="0010457D" w:rsidRPr="00FB5A28">
        <w:rPr>
          <w:rFonts w:ascii="Times New Roman" w:hAnsi="Times New Roman"/>
          <w:sz w:val="24"/>
          <w:szCs w:val="24"/>
          <w:lang w:val="sr-Cyrl-CS"/>
        </w:rPr>
        <w:t xml:space="preserve"> па тако промет добара и услуга није извршен код:</w:t>
      </w:r>
    </w:p>
    <w:p w:rsidR="00A05C62" w:rsidRPr="00FB5A28" w:rsidRDefault="00A05C62" w:rsidP="00FB5A28">
      <w:pPr>
        <w:jc w:val="both"/>
        <w:rPr>
          <w:rFonts w:ascii="Times New Roman" w:hAnsi="Times New Roman"/>
          <w:sz w:val="24"/>
          <w:szCs w:val="24"/>
        </w:rPr>
      </w:pPr>
      <w:r w:rsidRPr="00FB5A28">
        <w:rPr>
          <w:rFonts w:ascii="Times New Roman" w:hAnsi="Times New Roman"/>
          <w:sz w:val="24"/>
          <w:szCs w:val="24"/>
        </w:rPr>
        <w:t xml:space="preserve">1) </w:t>
      </w:r>
      <w:r w:rsidR="0010457D" w:rsidRPr="00FB5A28">
        <w:rPr>
          <w:rFonts w:ascii="Times New Roman" w:hAnsi="Times New Roman"/>
          <w:sz w:val="24"/>
          <w:szCs w:val="24"/>
        </w:rPr>
        <w:t>преноса</w:t>
      </w:r>
      <w:r w:rsidRPr="00FB5A28">
        <w:rPr>
          <w:rFonts w:ascii="Times New Roman" w:hAnsi="Times New Roman"/>
          <w:sz w:val="24"/>
          <w:szCs w:val="24"/>
        </w:rPr>
        <w:t xml:space="preserve"> </w:t>
      </w:r>
      <w:r w:rsidR="0010457D" w:rsidRPr="00FB5A28">
        <w:rPr>
          <w:rFonts w:ascii="Times New Roman" w:hAnsi="Times New Roman"/>
          <w:sz w:val="24"/>
          <w:szCs w:val="24"/>
        </w:rPr>
        <w:t>целокупне</w:t>
      </w:r>
      <w:r w:rsidRPr="00FB5A28">
        <w:rPr>
          <w:rFonts w:ascii="Times New Roman" w:hAnsi="Times New Roman"/>
          <w:sz w:val="24"/>
          <w:szCs w:val="24"/>
        </w:rPr>
        <w:t xml:space="preserve"> </w:t>
      </w:r>
      <w:r w:rsidR="0010457D" w:rsidRPr="00FB5A28">
        <w:rPr>
          <w:rFonts w:ascii="Times New Roman" w:hAnsi="Times New Roman"/>
          <w:sz w:val="24"/>
          <w:szCs w:val="24"/>
        </w:rPr>
        <w:t>или</w:t>
      </w:r>
      <w:r w:rsidRPr="00FB5A28">
        <w:rPr>
          <w:rFonts w:ascii="Times New Roman" w:hAnsi="Times New Roman"/>
          <w:sz w:val="24"/>
          <w:szCs w:val="24"/>
        </w:rPr>
        <w:t xml:space="preserve"> </w:t>
      </w:r>
      <w:r w:rsidR="0010457D" w:rsidRPr="00FB5A28">
        <w:rPr>
          <w:rFonts w:ascii="Times New Roman" w:hAnsi="Times New Roman"/>
          <w:sz w:val="24"/>
          <w:szCs w:val="24"/>
        </w:rPr>
        <w:t>дела</w:t>
      </w:r>
      <w:r w:rsidRPr="00FB5A28">
        <w:rPr>
          <w:rFonts w:ascii="Times New Roman" w:hAnsi="Times New Roman"/>
          <w:sz w:val="24"/>
          <w:szCs w:val="24"/>
        </w:rPr>
        <w:t xml:space="preserve"> </w:t>
      </w:r>
      <w:r w:rsidR="0010457D" w:rsidRPr="00FB5A28">
        <w:rPr>
          <w:rFonts w:ascii="Times New Roman" w:hAnsi="Times New Roman"/>
          <w:sz w:val="24"/>
          <w:szCs w:val="24"/>
        </w:rPr>
        <w:t>имовине</w:t>
      </w:r>
      <w:r w:rsidRPr="00FB5A28">
        <w:rPr>
          <w:rFonts w:ascii="Times New Roman" w:hAnsi="Times New Roman"/>
          <w:sz w:val="24"/>
          <w:szCs w:val="24"/>
        </w:rPr>
        <w:t xml:space="preserve">, </w:t>
      </w:r>
      <w:r w:rsidR="0010457D" w:rsidRPr="00FB5A28">
        <w:rPr>
          <w:rFonts w:ascii="Times New Roman" w:hAnsi="Times New Roman"/>
          <w:sz w:val="24"/>
          <w:szCs w:val="24"/>
        </w:rPr>
        <w:t>са</w:t>
      </w:r>
      <w:r w:rsidRPr="00FB5A28">
        <w:rPr>
          <w:rFonts w:ascii="Times New Roman" w:hAnsi="Times New Roman"/>
          <w:sz w:val="24"/>
          <w:szCs w:val="24"/>
        </w:rPr>
        <w:t xml:space="preserve"> </w:t>
      </w:r>
      <w:r w:rsidR="0010457D" w:rsidRPr="00FB5A28">
        <w:rPr>
          <w:rFonts w:ascii="Times New Roman" w:hAnsi="Times New Roman"/>
          <w:sz w:val="24"/>
          <w:szCs w:val="24"/>
        </w:rPr>
        <w:t>или</w:t>
      </w:r>
      <w:r w:rsidRPr="00FB5A28">
        <w:rPr>
          <w:rFonts w:ascii="Times New Roman" w:hAnsi="Times New Roman"/>
          <w:sz w:val="24"/>
          <w:szCs w:val="24"/>
        </w:rPr>
        <w:t xml:space="preserve"> </w:t>
      </w:r>
      <w:r w:rsidR="0010457D" w:rsidRPr="00FB5A28">
        <w:rPr>
          <w:rFonts w:ascii="Times New Roman" w:hAnsi="Times New Roman"/>
          <w:sz w:val="24"/>
          <w:szCs w:val="24"/>
        </w:rPr>
        <w:t>без</w:t>
      </w:r>
      <w:r w:rsidRPr="00FB5A28">
        <w:rPr>
          <w:rFonts w:ascii="Times New Roman" w:hAnsi="Times New Roman"/>
          <w:sz w:val="24"/>
          <w:szCs w:val="24"/>
        </w:rPr>
        <w:t xml:space="preserve"> </w:t>
      </w:r>
      <w:r w:rsidR="0010457D" w:rsidRPr="00FB5A28">
        <w:rPr>
          <w:rFonts w:ascii="Times New Roman" w:hAnsi="Times New Roman"/>
          <w:sz w:val="24"/>
          <w:szCs w:val="24"/>
        </w:rPr>
        <w:t>накнаде</w:t>
      </w:r>
      <w:r w:rsidRPr="00FB5A28">
        <w:rPr>
          <w:rFonts w:ascii="Times New Roman" w:hAnsi="Times New Roman"/>
          <w:sz w:val="24"/>
          <w:szCs w:val="24"/>
        </w:rPr>
        <w:t xml:space="preserve">, </w:t>
      </w:r>
      <w:r w:rsidR="0010457D" w:rsidRPr="00FB5A28">
        <w:rPr>
          <w:rFonts w:ascii="Times New Roman" w:hAnsi="Times New Roman"/>
          <w:sz w:val="24"/>
          <w:szCs w:val="24"/>
        </w:rPr>
        <w:t>или</w:t>
      </w:r>
      <w:r w:rsidRPr="00FB5A28">
        <w:rPr>
          <w:rFonts w:ascii="Times New Roman" w:hAnsi="Times New Roman"/>
          <w:sz w:val="24"/>
          <w:szCs w:val="24"/>
        </w:rPr>
        <w:t xml:space="preserve"> </w:t>
      </w:r>
      <w:r w:rsidR="0010457D" w:rsidRPr="00FB5A28">
        <w:rPr>
          <w:rFonts w:ascii="Times New Roman" w:hAnsi="Times New Roman"/>
          <w:sz w:val="24"/>
          <w:szCs w:val="24"/>
        </w:rPr>
        <w:t>као</w:t>
      </w:r>
      <w:r w:rsidRPr="00FB5A28">
        <w:rPr>
          <w:rFonts w:ascii="Times New Roman" w:hAnsi="Times New Roman"/>
          <w:sz w:val="24"/>
          <w:szCs w:val="24"/>
        </w:rPr>
        <w:t xml:space="preserve"> </w:t>
      </w:r>
      <w:r w:rsidR="0010457D" w:rsidRPr="00FB5A28">
        <w:rPr>
          <w:rFonts w:ascii="Times New Roman" w:hAnsi="Times New Roman"/>
          <w:sz w:val="24"/>
          <w:szCs w:val="24"/>
        </w:rPr>
        <w:t>улог</w:t>
      </w:r>
      <w:r w:rsidRPr="00FB5A28">
        <w:rPr>
          <w:rFonts w:ascii="Times New Roman" w:hAnsi="Times New Roman"/>
          <w:sz w:val="24"/>
          <w:szCs w:val="24"/>
        </w:rPr>
        <w:t xml:space="preserve">, </w:t>
      </w:r>
      <w:r w:rsidR="0010457D" w:rsidRPr="00FB5A28">
        <w:rPr>
          <w:rFonts w:ascii="Times New Roman" w:hAnsi="Times New Roman"/>
          <w:sz w:val="24"/>
          <w:szCs w:val="24"/>
        </w:rPr>
        <w:t>ако</w:t>
      </w:r>
      <w:r w:rsidRPr="00FB5A28">
        <w:rPr>
          <w:rFonts w:ascii="Times New Roman" w:hAnsi="Times New Roman"/>
          <w:sz w:val="24"/>
          <w:szCs w:val="24"/>
        </w:rPr>
        <w:t xml:space="preserve"> </w:t>
      </w:r>
      <w:r w:rsidR="0010457D" w:rsidRPr="00FB5A28">
        <w:rPr>
          <w:rFonts w:ascii="Times New Roman" w:hAnsi="Times New Roman"/>
          <w:sz w:val="24"/>
          <w:szCs w:val="24"/>
        </w:rPr>
        <w:t>је</w:t>
      </w:r>
      <w:r w:rsidRPr="00FB5A28">
        <w:rPr>
          <w:rFonts w:ascii="Times New Roman" w:hAnsi="Times New Roman"/>
          <w:sz w:val="24"/>
          <w:szCs w:val="24"/>
        </w:rPr>
        <w:t xml:space="preserve"> </w:t>
      </w:r>
      <w:r w:rsidR="0010457D" w:rsidRPr="00FB5A28">
        <w:rPr>
          <w:rFonts w:ascii="Times New Roman" w:hAnsi="Times New Roman"/>
          <w:sz w:val="24"/>
          <w:szCs w:val="24"/>
        </w:rPr>
        <w:t>стицалац</w:t>
      </w:r>
      <w:r w:rsidRPr="00FB5A28">
        <w:rPr>
          <w:rFonts w:ascii="Times New Roman" w:hAnsi="Times New Roman"/>
          <w:sz w:val="24"/>
          <w:szCs w:val="24"/>
        </w:rPr>
        <w:t xml:space="preserve"> </w:t>
      </w:r>
      <w:r w:rsidR="0010457D" w:rsidRPr="00FB5A28">
        <w:rPr>
          <w:rFonts w:ascii="Times New Roman" w:hAnsi="Times New Roman"/>
          <w:sz w:val="24"/>
          <w:szCs w:val="24"/>
        </w:rPr>
        <w:t>порески</w:t>
      </w:r>
      <w:r w:rsidRPr="00FB5A28">
        <w:rPr>
          <w:rFonts w:ascii="Times New Roman" w:hAnsi="Times New Roman"/>
          <w:sz w:val="24"/>
          <w:szCs w:val="24"/>
        </w:rPr>
        <w:t xml:space="preserve"> </w:t>
      </w:r>
      <w:r w:rsidR="0010457D" w:rsidRPr="00FB5A28">
        <w:rPr>
          <w:rFonts w:ascii="Times New Roman" w:hAnsi="Times New Roman"/>
          <w:sz w:val="24"/>
          <w:szCs w:val="24"/>
        </w:rPr>
        <w:t>обвезник</w:t>
      </w:r>
      <w:r w:rsidRPr="00FB5A28">
        <w:rPr>
          <w:rFonts w:ascii="Times New Roman" w:hAnsi="Times New Roman"/>
          <w:sz w:val="24"/>
          <w:szCs w:val="24"/>
        </w:rPr>
        <w:t xml:space="preserve"> </w:t>
      </w:r>
      <w:r w:rsidR="0010457D" w:rsidRPr="00FB5A28">
        <w:rPr>
          <w:rFonts w:ascii="Times New Roman" w:hAnsi="Times New Roman"/>
          <w:sz w:val="24"/>
          <w:szCs w:val="24"/>
        </w:rPr>
        <w:t>или</w:t>
      </w:r>
      <w:r w:rsidRPr="00FB5A28">
        <w:rPr>
          <w:rFonts w:ascii="Times New Roman" w:hAnsi="Times New Roman"/>
          <w:sz w:val="24"/>
          <w:szCs w:val="24"/>
        </w:rPr>
        <w:t xml:space="preserve"> </w:t>
      </w:r>
      <w:r w:rsidR="0010457D" w:rsidRPr="00FB5A28">
        <w:rPr>
          <w:rFonts w:ascii="Times New Roman" w:hAnsi="Times New Roman"/>
          <w:sz w:val="24"/>
          <w:szCs w:val="24"/>
        </w:rPr>
        <w:t>тим</w:t>
      </w:r>
      <w:r w:rsidRPr="00FB5A28">
        <w:rPr>
          <w:rFonts w:ascii="Times New Roman" w:hAnsi="Times New Roman"/>
          <w:sz w:val="24"/>
          <w:szCs w:val="24"/>
        </w:rPr>
        <w:t xml:space="preserve"> </w:t>
      </w:r>
      <w:r w:rsidR="0010457D" w:rsidRPr="00FB5A28">
        <w:rPr>
          <w:rFonts w:ascii="Times New Roman" w:hAnsi="Times New Roman"/>
          <w:sz w:val="24"/>
          <w:szCs w:val="24"/>
        </w:rPr>
        <w:t>преносом</w:t>
      </w:r>
      <w:r w:rsidRPr="00FB5A28">
        <w:rPr>
          <w:rFonts w:ascii="Times New Roman" w:hAnsi="Times New Roman"/>
          <w:sz w:val="24"/>
          <w:szCs w:val="24"/>
        </w:rPr>
        <w:t xml:space="preserve"> </w:t>
      </w:r>
      <w:r w:rsidR="0010457D" w:rsidRPr="00FB5A28">
        <w:rPr>
          <w:rFonts w:ascii="Times New Roman" w:hAnsi="Times New Roman"/>
          <w:sz w:val="24"/>
          <w:szCs w:val="24"/>
        </w:rPr>
        <w:t>постане</w:t>
      </w:r>
      <w:r w:rsidRPr="00FB5A28">
        <w:rPr>
          <w:rFonts w:ascii="Times New Roman" w:hAnsi="Times New Roman"/>
          <w:sz w:val="24"/>
          <w:szCs w:val="24"/>
        </w:rPr>
        <w:t xml:space="preserve"> </w:t>
      </w:r>
      <w:r w:rsidR="0010457D" w:rsidRPr="00FB5A28">
        <w:rPr>
          <w:rFonts w:ascii="Times New Roman" w:hAnsi="Times New Roman"/>
          <w:sz w:val="24"/>
          <w:szCs w:val="24"/>
        </w:rPr>
        <w:t>порески</w:t>
      </w:r>
      <w:r w:rsidRPr="00FB5A28">
        <w:rPr>
          <w:rFonts w:ascii="Times New Roman" w:hAnsi="Times New Roman"/>
          <w:sz w:val="24"/>
          <w:szCs w:val="24"/>
        </w:rPr>
        <w:t xml:space="preserve"> </w:t>
      </w:r>
      <w:r w:rsidR="0010457D" w:rsidRPr="00FB5A28">
        <w:rPr>
          <w:rFonts w:ascii="Times New Roman" w:hAnsi="Times New Roman"/>
          <w:sz w:val="24"/>
          <w:szCs w:val="24"/>
        </w:rPr>
        <w:t>обвезник</w:t>
      </w:r>
      <w:r w:rsidRPr="00FB5A28">
        <w:rPr>
          <w:rFonts w:ascii="Times New Roman" w:hAnsi="Times New Roman"/>
          <w:sz w:val="24"/>
          <w:szCs w:val="24"/>
        </w:rPr>
        <w:t xml:space="preserve"> </w:t>
      </w:r>
      <w:r w:rsidR="0010457D" w:rsidRPr="00FB5A28">
        <w:rPr>
          <w:rFonts w:ascii="Times New Roman" w:hAnsi="Times New Roman"/>
          <w:sz w:val="24"/>
          <w:szCs w:val="24"/>
        </w:rPr>
        <w:t>и</w:t>
      </w:r>
      <w:r w:rsidRPr="00FB5A28">
        <w:rPr>
          <w:rFonts w:ascii="Times New Roman" w:hAnsi="Times New Roman"/>
          <w:sz w:val="24"/>
          <w:szCs w:val="24"/>
        </w:rPr>
        <w:t xml:space="preserve"> </w:t>
      </w:r>
      <w:r w:rsidR="0010457D" w:rsidRPr="00FB5A28">
        <w:rPr>
          <w:rFonts w:ascii="Times New Roman" w:hAnsi="Times New Roman"/>
          <w:sz w:val="24"/>
          <w:szCs w:val="24"/>
        </w:rPr>
        <w:t>ако</w:t>
      </w:r>
      <w:r w:rsidRPr="00FB5A28">
        <w:rPr>
          <w:rFonts w:ascii="Times New Roman" w:hAnsi="Times New Roman"/>
          <w:sz w:val="24"/>
          <w:szCs w:val="24"/>
        </w:rPr>
        <w:t xml:space="preserve"> </w:t>
      </w:r>
      <w:r w:rsidR="0010457D" w:rsidRPr="00FB5A28">
        <w:rPr>
          <w:rFonts w:ascii="Times New Roman" w:hAnsi="Times New Roman"/>
          <w:sz w:val="24"/>
          <w:szCs w:val="24"/>
        </w:rPr>
        <w:t>продужи</w:t>
      </w:r>
      <w:r w:rsidRPr="00FB5A28">
        <w:rPr>
          <w:rFonts w:ascii="Times New Roman" w:hAnsi="Times New Roman"/>
          <w:sz w:val="24"/>
          <w:szCs w:val="24"/>
        </w:rPr>
        <w:t xml:space="preserve"> </w:t>
      </w:r>
      <w:r w:rsidR="0010457D" w:rsidRPr="00FB5A28">
        <w:rPr>
          <w:rFonts w:ascii="Times New Roman" w:hAnsi="Times New Roman"/>
          <w:sz w:val="24"/>
          <w:szCs w:val="24"/>
        </w:rPr>
        <w:t>да</w:t>
      </w:r>
      <w:r w:rsidRPr="00FB5A28">
        <w:rPr>
          <w:rFonts w:ascii="Times New Roman" w:hAnsi="Times New Roman"/>
          <w:sz w:val="24"/>
          <w:szCs w:val="24"/>
        </w:rPr>
        <w:t xml:space="preserve"> </w:t>
      </w:r>
      <w:r w:rsidR="0010457D" w:rsidRPr="00FB5A28">
        <w:rPr>
          <w:rFonts w:ascii="Times New Roman" w:hAnsi="Times New Roman"/>
          <w:sz w:val="24"/>
          <w:szCs w:val="24"/>
        </w:rPr>
        <w:t>обавља</w:t>
      </w:r>
      <w:r w:rsidRPr="00FB5A28">
        <w:rPr>
          <w:rFonts w:ascii="Times New Roman" w:hAnsi="Times New Roman"/>
          <w:sz w:val="24"/>
          <w:szCs w:val="24"/>
        </w:rPr>
        <w:t xml:space="preserve"> </w:t>
      </w:r>
      <w:r w:rsidR="0010457D" w:rsidRPr="00FB5A28">
        <w:rPr>
          <w:rFonts w:ascii="Times New Roman" w:hAnsi="Times New Roman"/>
          <w:sz w:val="24"/>
          <w:szCs w:val="24"/>
        </w:rPr>
        <w:t>исту</w:t>
      </w:r>
      <w:r w:rsidRPr="00FB5A28">
        <w:rPr>
          <w:rFonts w:ascii="Times New Roman" w:hAnsi="Times New Roman"/>
          <w:sz w:val="24"/>
          <w:szCs w:val="24"/>
        </w:rPr>
        <w:t xml:space="preserve"> </w:t>
      </w:r>
      <w:r w:rsidR="0010457D" w:rsidRPr="00FB5A28">
        <w:rPr>
          <w:rFonts w:ascii="Times New Roman" w:hAnsi="Times New Roman"/>
          <w:sz w:val="24"/>
          <w:szCs w:val="24"/>
        </w:rPr>
        <w:t>делатност</w:t>
      </w:r>
      <w:r w:rsidRPr="00FB5A28">
        <w:rPr>
          <w:rFonts w:ascii="Times New Roman" w:hAnsi="Times New Roman"/>
          <w:sz w:val="24"/>
          <w:szCs w:val="24"/>
        </w:rPr>
        <w:t>;</w:t>
      </w:r>
    </w:p>
    <w:p w:rsidR="00A05C62" w:rsidRPr="00FB5A28" w:rsidRDefault="00A05C62" w:rsidP="00FB5A28">
      <w:pPr>
        <w:jc w:val="both"/>
        <w:rPr>
          <w:rFonts w:ascii="Times New Roman" w:hAnsi="Times New Roman"/>
          <w:sz w:val="24"/>
          <w:szCs w:val="24"/>
        </w:rPr>
      </w:pPr>
      <w:r w:rsidRPr="00FB5A28">
        <w:rPr>
          <w:rFonts w:ascii="Times New Roman" w:hAnsi="Times New Roman"/>
          <w:sz w:val="24"/>
          <w:szCs w:val="24"/>
        </w:rPr>
        <w:t xml:space="preserve">2) </w:t>
      </w:r>
      <w:r w:rsidR="0010457D" w:rsidRPr="00FB5A28">
        <w:rPr>
          <w:rFonts w:ascii="Times New Roman" w:hAnsi="Times New Roman"/>
          <w:sz w:val="24"/>
          <w:szCs w:val="24"/>
        </w:rPr>
        <w:t>замене</w:t>
      </w:r>
      <w:r w:rsidRPr="00FB5A28">
        <w:rPr>
          <w:rFonts w:ascii="Times New Roman" w:hAnsi="Times New Roman"/>
          <w:sz w:val="24"/>
          <w:szCs w:val="24"/>
        </w:rPr>
        <w:t xml:space="preserve"> </w:t>
      </w:r>
      <w:r w:rsidR="0010457D" w:rsidRPr="00FB5A28">
        <w:rPr>
          <w:rFonts w:ascii="Times New Roman" w:hAnsi="Times New Roman"/>
          <w:sz w:val="24"/>
          <w:szCs w:val="24"/>
        </w:rPr>
        <w:t>добара</w:t>
      </w:r>
      <w:r w:rsidRPr="00FB5A28">
        <w:rPr>
          <w:rFonts w:ascii="Times New Roman" w:hAnsi="Times New Roman"/>
          <w:sz w:val="24"/>
          <w:szCs w:val="24"/>
        </w:rPr>
        <w:t xml:space="preserve"> </w:t>
      </w:r>
      <w:r w:rsidR="0010457D" w:rsidRPr="00FB5A28">
        <w:rPr>
          <w:rFonts w:ascii="Times New Roman" w:hAnsi="Times New Roman"/>
          <w:sz w:val="24"/>
          <w:szCs w:val="24"/>
        </w:rPr>
        <w:t>у</w:t>
      </w:r>
      <w:r w:rsidRPr="00FB5A28">
        <w:rPr>
          <w:rFonts w:ascii="Times New Roman" w:hAnsi="Times New Roman"/>
          <w:sz w:val="24"/>
          <w:szCs w:val="24"/>
        </w:rPr>
        <w:t xml:space="preserve"> </w:t>
      </w:r>
      <w:r w:rsidR="0010457D" w:rsidRPr="00FB5A28">
        <w:rPr>
          <w:rFonts w:ascii="Times New Roman" w:hAnsi="Times New Roman"/>
          <w:sz w:val="24"/>
          <w:szCs w:val="24"/>
        </w:rPr>
        <w:t>гарантном</w:t>
      </w:r>
      <w:r w:rsidRPr="00FB5A28">
        <w:rPr>
          <w:rFonts w:ascii="Times New Roman" w:hAnsi="Times New Roman"/>
          <w:sz w:val="24"/>
          <w:szCs w:val="24"/>
        </w:rPr>
        <w:t xml:space="preserve"> </w:t>
      </w:r>
      <w:r w:rsidR="0010457D" w:rsidRPr="00FB5A28">
        <w:rPr>
          <w:rFonts w:ascii="Times New Roman" w:hAnsi="Times New Roman"/>
          <w:sz w:val="24"/>
          <w:szCs w:val="24"/>
        </w:rPr>
        <w:t>року</w:t>
      </w:r>
      <w:r w:rsidRPr="00FB5A28">
        <w:rPr>
          <w:rFonts w:ascii="Times New Roman" w:hAnsi="Times New Roman"/>
          <w:sz w:val="24"/>
          <w:szCs w:val="24"/>
        </w:rPr>
        <w:t>;</w:t>
      </w:r>
    </w:p>
    <w:p w:rsidR="00A05C62" w:rsidRPr="00FB5A28" w:rsidRDefault="00A05C62" w:rsidP="00FB5A28">
      <w:pPr>
        <w:jc w:val="both"/>
        <w:rPr>
          <w:rFonts w:ascii="Times New Roman" w:hAnsi="Times New Roman"/>
          <w:sz w:val="24"/>
          <w:szCs w:val="24"/>
        </w:rPr>
      </w:pPr>
      <w:r w:rsidRPr="00FB5A28">
        <w:rPr>
          <w:rFonts w:ascii="Times New Roman" w:hAnsi="Times New Roman"/>
          <w:sz w:val="24"/>
          <w:szCs w:val="24"/>
        </w:rPr>
        <w:t xml:space="preserve">3) </w:t>
      </w:r>
      <w:r w:rsidR="0010457D" w:rsidRPr="00FB5A28">
        <w:rPr>
          <w:rFonts w:ascii="Times New Roman" w:hAnsi="Times New Roman"/>
          <w:sz w:val="24"/>
          <w:szCs w:val="24"/>
        </w:rPr>
        <w:t>бесплатног</w:t>
      </w:r>
      <w:r w:rsidRPr="00FB5A28">
        <w:rPr>
          <w:rFonts w:ascii="Times New Roman" w:hAnsi="Times New Roman"/>
          <w:sz w:val="24"/>
          <w:szCs w:val="24"/>
        </w:rPr>
        <w:t xml:space="preserve"> </w:t>
      </w:r>
      <w:r w:rsidR="0010457D" w:rsidRPr="00FB5A28">
        <w:rPr>
          <w:rFonts w:ascii="Times New Roman" w:hAnsi="Times New Roman"/>
          <w:sz w:val="24"/>
          <w:szCs w:val="24"/>
        </w:rPr>
        <w:t>давања</w:t>
      </w:r>
      <w:r w:rsidRPr="00FB5A28">
        <w:rPr>
          <w:rFonts w:ascii="Times New Roman" w:hAnsi="Times New Roman"/>
          <w:sz w:val="24"/>
          <w:szCs w:val="24"/>
        </w:rPr>
        <w:t xml:space="preserve"> </w:t>
      </w:r>
      <w:r w:rsidR="0010457D" w:rsidRPr="00FB5A28">
        <w:rPr>
          <w:rFonts w:ascii="Times New Roman" w:hAnsi="Times New Roman"/>
          <w:sz w:val="24"/>
          <w:szCs w:val="24"/>
        </w:rPr>
        <w:t>пословних</w:t>
      </w:r>
      <w:r w:rsidRPr="00FB5A28">
        <w:rPr>
          <w:rFonts w:ascii="Times New Roman" w:hAnsi="Times New Roman"/>
          <w:sz w:val="24"/>
          <w:szCs w:val="24"/>
        </w:rPr>
        <w:t xml:space="preserve"> </w:t>
      </w:r>
      <w:r w:rsidR="0010457D" w:rsidRPr="00FB5A28">
        <w:rPr>
          <w:rFonts w:ascii="Times New Roman" w:hAnsi="Times New Roman"/>
          <w:sz w:val="24"/>
          <w:szCs w:val="24"/>
        </w:rPr>
        <w:t>узорака</w:t>
      </w:r>
      <w:r w:rsidRPr="00FB5A28">
        <w:rPr>
          <w:rFonts w:ascii="Times New Roman" w:hAnsi="Times New Roman"/>
          <w:sz w:val="24"/>
          <w:szCs w:val="24"/>
        </w:rPr>
        <w:t xml:space="preserve"> </w:t>
      </w:r>
      <w:r w:rsidR="0010457D" w:rsidRPr="00FB5A28">
        <w:rPr>
          <w:rFonts w:ascii="Times New Roman" w:hAnsi="Times New Roman"/>
          <w:sz w:val="24"/>
          <w:szCs w:val="24"/>
        </w:rPr>
        <w:t>у</w:t>
      </w:r>
      <w:r w:rsidRPr="00FB5A28">
        <w:rPr>
          <w:rFonts w:ascii="Times New Roman" w:hAnsi="Times New Roman"/>
          <w:sz w:val="24"/>
          <w:szCs w:val="24"/>
        </w:rPr>
        <w:t xml:space="preserve"> </w:t>
      </w:r>
      <w:r w:rsidR="0010457D" w:rsidRPr="00FB5A28">
        <w:rPr>
          <w:rFonts w:ascii="Times New Roman" w:hAnsi="Times New Roman"/>
          <w:sz w:val="24"/>
          <w:szCs w:val="24"/>
        </w:rPr>
        <w:t>уобичајеним</w:t>
      </w:r>
      <w:r w:rsidRPr="00FB5A28">
        <w:rPr>
          <w:rFonts w:ascii="Times New Roman" w:hAnsi="Times New Roman"/>
          <w:sz w:val="24"/>
          <w:szCs w:val="24"/>
        </w:rPr>
        <w:t xml:space="preserve"> </w:t>
      </w:r>
      <w:r w:rsidR="0010457D" w:rsidRPr="00FB5A28">
        <w:rPr>
          <w:rFonts w:ascii="Times New Roman" w:hAnsi="Times New Roman"/>
          <w:sz w:val="24"/>
          <w:szCs w:val="24"/>
        </w:rPr>
        <w:t>количинама</w:t>
      </w:r>
      <w:r w:rsidRPr="00FB5A28">
        <w:rPr>
          <w:rFonts w:ascii="Times New Roman" w:hAnsi="Times New Roman"/>
          <w:sz w:val="24"/>
          <w:szCs w:val="24"/>
        </w:rPr>
        <w:t xml:space="preserve"> </w:t>
      </w:r>
      <w:r w:rsidR="0010457D" w:rsidRPr="00FB5A28">
        <w:rPr>
          <w:rFonts w:ascii="Times New Roman" w:hAnsi="Times New Roman"/>
          <w:sz w:val="24"/>
          <w:szCs w:val="24"/>
        </w:rPr>
        <w:t>за</w:t>
      </w:r>
      <w:r w:rsidRPr="00FB5A28">
        <w:rPr>
          <w:rFonts w:ascii="Times New Roman" w:hAnsi="Times New Roman"/>
          <w:sz w:val="24"/>
          <w:szCs w:val="24"/>
        </w:rPr>
        <w:t xml:space="preserve"> </w:t>
      </w:r>
      <w:r w:rsidR="0010457D" w:rsidRPr="00FB5A28">
        <w:rPr>
          <w:rFonts w:ascii="Times New Roman" w:hAnsi="Times New Roman"/>
          <w:sz w:val="24"/>
          <w:szCs w:val="24"/>
        </w:rPr>
        <w:t>ту</w:t>
      </w:r>
      <w:r w:rsidRPr="00FB5A28">
        <w:rPr>
          <w:rFonts w:ascii="Times New Roman" w:hAnsi="Times New Roman"/>
          <w:sz w:val="24"/>
          <w:szCs w:val="24"/>
        </w:rPr>
        <w:t xml:space="preserve"> </w:t>
      </w:r>
      <w:r w:rsidR="0010457D" w:rsidRPr="00FB5A28">
        <w:rPr>
          <w:rFonts w:ascii="Times New Roman" w:hAnsi="Times New Roman"/>
          <w:sz w:val="24"/>
          <w:szCs w:val="24"/>
        </w:rPr>
        <w:t>намену</w:t>
      </w:r>
      <w:r w:rsidRPr="00FB5A28">
        <w:rPr>
          <w:rFonts w:ascii="Times New Roman" w:hAnsi="Times New Roman"/>
          <w:sz w:val="24"/>
          <w:szCs w:val="24"/>
        </w:rPr>
        <w:t xml:space="preserve"> </w:t>
      </w:r>
      <w:r w:rsidR="0010457D" w:rsidRPr="00FB5A28">
        <w:rPr>
          <w:rFonts w:ascii="Times New Roman" w:hAnsi="Times New Roman"/>
          <w:sz w:val="24"/>
          <w:szCs w:val="24"/>
        </w:rPr>
        <w:t>купцима</w:t>
      </w:r>
      <w:r w:rsidRPr="00FB5A28">
        <w:rPr>
          <w:rFonts w:ascii="Times New Roman" w:hAnsi="Times New Roman"/>
          <w:sz w:val="24"/>
          <w:szCs w:val="24"/>
        </w:rPr>
        <w:t xml:space="preserve"> </w:t>
      </w:r>
      <w:r w:rsidR="0010457D" w:rsidRPr="00FB5A28">
        <w:rPr>
          <w:rFonts w:ascii="Times New Roman" w:hAnsi="Times New Roman"/>
          <w:sz w:val="24"/>
          <w:szCs w:val="24"/>
        </w:rPr>
        <w:t>или</w:t>
      </w:r>
      <w:r w:rsidRPr="00FB5A28">
        <w:rPr>
          <w:rFonts w:ascii="Times New Roman" w:hAnsi="Times New Roman"/>
          <w:sz w:val="24"/>
          <w:szCs w:val="24"/>
        </w:rPr>
        <w:t xml:space="preserve"> </w:t>
      </w:r>
      <w:r w:rsidR="0010457D" w:rsidRPr="00FB5A28">
        <w:rPr>
          <w:rFonts w:ascii="Times New Roman" w:hAnsi="Times New Roman"/>
          <w:sz w:val="24"/>
          <w:szCs w:val="24"/>
        </w:rPr>
        <w:t>потенцијалним</w:t>
      </w:r>
      <w:r w:rsidRPr="00FB5A28">
        <w:rPr>
          <w:rFonts w:ascii="Times New Roman" w:hAnsi="Times New Roman"/>
          <w:sz w:val="24"/>
          <w:szCs w:val="24"/>
        </w:rPr>
        <w:t xml:space="preserve"> </w:t>
      </w:r>
      <w:r w:rsidR="0010457D" w:rsidRPr="00FB5A28">
        <w:rPr>
          <w:rFonts w:ascii="Times New Roman" w:hAnsi="Times New Roman"/>
          <w:sz w:val="24"/>
          <w:szCs w:val="24"/>
        </w:rPr>
        <w:t>купцима</w:t>
      </w:r>
      <w:r w:rsidRPr="00FB5A28">
        <w:rPr>
          <w:rFonts w:ascii="Times New Roman" w:hAnsi="Times New Roman"/>
          <w:sz w:val="24"/>
          <w:szCs w:val="24"/>
        </w:rPr>
        <w:t xml:space="preserve">, </w:t>
      </w:r>
      <w:r w:rsidR="0010457D" w:rsidRPr="00FB5A28">
        <w:rPr>
          <w:rFonts w:ascii="Times New Roman" w:hAnsi="Times New Roman"/>
          <w:sz w:val="24"/>
          <w:szCs w:val="24"/>
        </w:rPr>
        <w:t>односно</w:t>
      </w:r>
      <w:r w:rsidRPr="00FB5A28">
        <w:rPr>
          <w:rFonts w:ascii="Times New Roman" w:hAnsi="Times New Roman"/>
          <w:sz w:val="24"/>
          <w:szCs w:val="24"/>
        </w:rPr>
        <w:t xml:space="preserve"> </w:t>
      </w:r>
      <w:r w:rsidR="0010457D" w:rsidRPr="00FB5A28">
        <w:rPr>
          <w:rFonts w:ascii="Times New Roman" w:hAnsi="Times New Roman"/>
          <w:sz w:val="24"/>
          <w:szCs w:val="24"/>
        </w:rPr>
        <w:t>трећим</w:t>
      </w:r>
      <w:r w:rsidRPr="00FB5A28">
        <w:rPr>
          <w:rFonts w:ascii="Times New Roman" w:hAnsi="Times New Roman"/>
          <w:sz w:val="24"/>
          <w:szCs w:val="24"/>
        </w:rPr>
        <w:t xml:space="preserve"> </w:t>
      </w:r>
      <w:r w:rsidR="0010457D" w:rsidRPr="00FB5A28">
        <w:rPr>
          <w:rFonts w:ascii="Times New Roman" w:hAnsi="Times New Roman"/>
          <w:sz w:val="24"/>
          <w:szCs w:val="24"/>
        </w:rPr>
        <w:t>лицима</w:t>
      </w:r>
      <w:r w:rsidRPr="00FB5A28">
        <w:rPr>
          <w:rFonts w:ascii="Times New Roman" w:hAnsi="Times New Roman"/>
          <w:sz w:val="24"/>
          <w:szCs w:val="24"/>
        </w:rPr>
        <w:t xml:space="preserve"> </w:t>
      </w:r>
      <w:r w:rsidR="0010457D" w:rsidRPr="00FB5A28">
        <w:rPr>
          <w:rFonts w:ascii="Times New Roman" w:hAnsi="Times New Roman"/>
          <w:sz w:val="24"/>
          <w:szCs w:val="24"/>
        </w:rPr>
        <w:t>за</w:t>
      </w:r>
      <w:r w:rsidRPr="00FB5A28">
        <w:rPr>
          <w:rFonts w:ascii="Times New Roman" w:hAnsi="Times New Roman"/>
          <w:sz w:val="24"/>
          <w:szCs w:val="24"/>
        </w:rPr>
        <w:t xml:space="preserve"> </w:t>
      </w:r>
      <w:r w:rsidR="0010457D" w:rsidRPr="00FB5A28">
        <w:rPr>
          <w:rFonts w:ascii="Times New Roman" w:hAnsi="Times New Roman"/>
          <w:sz w:val="24"/>
          <w:szCs w:val="24"/>
        </w:rPr>
        <w:t>потребе</w:t>
      </w:r>
      <w:r w:rsidRPr="00FB5A28">
        <w:rPr>
          <w:rFonts w:ascii="Times New Roman" w:hAnsi="Times New Roman"/>
          <w:sz w:val="24"/>
          <w:szCs w:val="24"/>
        </w:rPr>
        <w:t xml:space="preserve"> </w:t>
      </w:r>
      <w:r w:rsidR="0010457D" w:rsidRPr="00FB5A28">
        <w:rPr>
          <w:rFonts w:ascii="Times New Roman" w:hAnsi="Times New Roman"/>
          <w:sz w:val="24"/>
          <w:szCs w:val="24"/>
        </w:rPr>
        <w:t>анализе</w:t>
      </w:r>
      <w:r w:rsidRPr="00FB5A28">
        <w:rPr>
          <w:rFonts w:ascii="Times New Roman" w:hAnsi="Times New Roman"/>
          <w:sz w:val="24"/>
          <w:szCs w:val="24"/>
        </w:rPr>
        <w:t xml:space="preserve"> </w:t>
      </w:r>
      <w:r w:rsidR="0010457D" w:rsidRPr="00FB5A28">
        <w:rPr>
          <w:rFonts w:ascii="Times New Roman" w:hAnsi="Times New Roman"/>
          <w:sz w:val="24"/>
          <w:szCs w:val="24"/>
        </w:rPr>
        <w:t>на</w:t>
      </w:r>
      <w:r w:rsidRPr="00FB5A28">
        <w:rPr>
          <w:rFonts w:ascii="Times New Roman" w:hAnsi="Times New Roman"/>
          <w:sz w:val="24"/>
          <w:szCs w:val="24"/>
        </w:rPr>
        <w:t xml:space="preserve"> </w:t>
      </w:r>
      <w:r w:rsidR="0010457D" w:rsidRPr="00FB5A28">
        <w:rPr>
          <w:rFonts w:ascii="Times New Roman" w:hAnsi="Times New Roman"/>
          <w:sz w:val="24"/>
          <w:szCs w:val="24"/>
        </w:rPr>
        <w:t>основу</w:t>
      </w:r>
      <w:r w:rsidRPr="00FB5A28">
        <w:rPr>
          <w:rFonts w:ascii="Times New Roman" w:hAnsi="Times New Roman"/>
          <w:sz w:val="24"/>
          <w:szCs w:val="24"/>
        </w:rPr>
        <w:t xml:space="preserve"> </w:t>
      </w:r>
      <w:r w:rsidR="0010457D" w:rsidRPr="00FB5A28">
        <w:rPr>
          <w:rFonts w:ascii="Times New Roman" w:hAnsi="Times New Roman"/>
          <w:sz w:val="24"/>
          <w:szCs w:val="24"/>
        </w:rPr>
        <w:t>акта</w:t>
      </w:r>
      <w:r w:rsidRPr="00FB5A28">
        <w:rPr>
          <w:rFonts w:ascii="Times New Roman" w:hAnsi="Times New Roman"/>
          <w:sz w:val="24"/>
          <w:szCs w:val="24"/>
        </w:rPr>
        <w:t xml:space="preserve"> </w:t>
      </w:r>
      <w:r w:rsidR="0010457D" w:rsidRPr="00FB5A28">
        <w:rPr>
          <w:rFonts w:ascii="Times New Roman" w:hAnsi="Times New Roman"/>
          <w:sz w:val="24"/>
          <w:szCs w:val="24"/>
        </w:rPr>
        <w:t>надлежног</w:t>
      </w:r>
      <w:r w:rsidRPr="00FB5A28">
        <w:rPr>
          <w:rFonts w:ascii="Times New Roman" w:hAnsi="Times New Roman"/>
          <w:sz w:val="24"/>
          <w:szCs w:val="24"/>
        </w:rPr>
        <w:t xml:space="preserve"> </w:t>
      </w:r>
      <w:r w:rsidR="0010457D" w:rsidRPr="00FB5A28">
        <w:rPr>
          <w:rFonts w:ascii="Times New Roman" w:hAnsi="Times New Roman"/>
          <w:sz w:val="24"/>
          <w:szCs w:val="24"/>
        </w:rPr>
        <w:t>органа</w:t>
      </w:r>
      <w:r w:rsidRPr="00FB5A28">
        <w:rPr>
          <w:rFonts w:ascii="Times New Roman" w:hAnsi="Times New Roman"/>
          <w:sz w:val="24"/>
          <w:szCs w:val="24"/>
        </w:rPr>
        <w:t>;</w:t>
      </w:r>
    </w:p>
    <w:p w:rsidR="00FB5A28" w:rsidRPr="00FB5A28" w:rsidRDefault="00A05C62" w:rsidP="00FB5A28">
      <w:pPr>
        <w:jc w:val="both"/>
        <w:rPr>
          <w:rFonts w:ascii="Times New Roman" w:hAnsi="Times New Roman"/>
          <w:sz w:val="24"/>
          <w:szCs w:val="24"/>
          <w:lang w:val="sr-Cyrl-CS"/>
        </w:rPr>
      </w:pPr>
      <w:r w:rsidRPr="00FB5A28">
        <w:rPr>
          <w:rFonts w:ascii="Times New Roman" w:hAnsi="Times New Roman"/>
          <w:sz w:val="24"/>
          <w:szCs w:val="24"/>
        </w:rPr>
        <w:lastRenderedPageBreak/>
        <w:t xml:space="preserve">4) </w:t>
      </w:r>
      <w:r w:rsidR="0010457D" w:rsidRPr="00FB5A28">
        <w:rPr>
          <w:rFonts w:ascii="Times New Roman" w:hAnsi="Times New Roman"/>
          <w:sz w:val="24"/>
          <w:szCs w:val="24"/>
        </w:rPr>
        <w:t>давања</w:t>
      </w:r>
      <w:r w:rsidRPr="00FB5A28">
        <w:rPr>
          <w:rFonts w:ascii="Times New Roman" w:hAnsi="Times New Roman"/>
          <w:sz w:val="24"/>
          <w:szCs w:val="24"/>
        </w:rPr>
        <w:t xml:space="preserve"> </w:t>
      </w:r>
      <w:r w:rsidR="0010457D" w:rsidRPr="00FB5A28">
        <w:rPr>
          <w:rFonts w:ascii="Times New Roman" w:hAnsi="Times New Roman"/>
          <w:sz w:val="24"/>
          <w:szCs w:val="24"/>
        </w:rPr>
        <w:t>рекламног</w:t>
      </w:r>
      <w:r w:rsidRPr="00FB5A28">
        <w:rPr>
          <w:rFonts w:ascii="Times New Roman" w:hAnsi="Times New Roman"/>
          <w:sz w:val="24"/>
          <w:szCs w:val="24"/>
        </w:rPr>
        <w:t xml:space="preserve"> </w:t>
      </w:r>
      <w:r w:rsidR="0010457D" w:rsidRPr="00FB5A28">
        <w:rPr>
          <w:rFonts w:ascii="Times New Roman" w:hAnsi="Times New Roman"/>
          <w:sz w:val="24"/>
          <w:szCs w:val="24"/>
        </w:rPr>
        <w:t>материјала</w:t>
      </w:r>
      <w:r w:rsidRPr="00FB5A28">
        <w:rPr>
          <w:rFonts w:ascii="Times New Roman" w:hAnsi="Times New Roman"/>
          <w:sz w:val="24"/>
          <w:szCs w:val="24"/>
        </w:rPr>
        <w:t xml:space="preserve"> </w:t>
      </w:r>
      <w:r w:rsidR="0010457D" w:rsidRPr="00FB5A28">
        <w:rPr>
          <w:rFonts w:ascii="Times New Roman" w:hAnsi="Times New Roman"/>
          <w:sz w:val="24"/>
          <w:szCs w:val="24"/>
        </w:rPr>
        <w:t>и</w:t>
      </w:r>
      <w:r w:rsidRPr="00FB5A28">
        <w:rPr>
          <w:rFonts w:ascii="Times New Roman" w:hAnsi="Times New Roman"/>
          <w:sz w:val="24"/>
          <w:szCs w:val="24"/>
        </w:rPr>
        <w:t xml:space="preserve"> </w:t>
      </w:r>
      <w:r w:rsidR="0010457D" w:rsidRPr="00FB5A28">
        <w:rPr>
          <w:rFonts w:ascii="Times New Roman" w:hAnsi="Times New Roman"/>
          <w:sz w:val="24"/>
          <w:szCs w:val="24"/>
        </w:rPr>
        <w:t>других</w:t>
      </w:r>
      <w:r w:rsidRPr="00FB5A28">
        <w:rPr>
          <w:rFonts w:ascii="Times New Roman" w:hAnsi="Times New Roman"/>
          <w:sz w:val="24"/>
          <w:szCs w:val="24"/>
        </w:rPr>
        <w:t xml:space="preserve"> </w:t>
      </w:r>
      <w:r w:rsidR="0010457D" w:rsidRPr="00FB5A28">
        <w:rPr>
          <w:rFonts w:ascii="Times New Roman" w:hAnsi="Times New Roman"/>
          <w:sz w:val="24"/>
          <w:szCs w:val="24"/>
        </w:rPr>
        <w:t>поклона</w:t>
      </w:r>
      <w:r w:rsidRPr="00FB5A28">
        <w:rPr>
          <w:rFonts w:ascii="Times New Roman" w:hAnsi="Times New Roman"/>
          <w:sz w:val="24"/>
          <w:szCs w:val="24"/>
        </w:rPr>
        <w:t xml:space="preserve"> </w:t>
      </w:r>
      <w:r w:rsidR="0010457D" w:rsidRPr="00FB5A28">
        <w:rPr>
          <w:rFonts w:ascii="Times New Roman" w:hAnsi="Times New Roman"/>
          <w:sz w:val="24"/>
          <w:szCs w:val="24"/>
        </w:rPr>
        <w:t>мање</w:t>
      </w:r>
      <w:r w:rsidRPr="00FB5A28">
        <w:rPr>
          <w:rFonts w:ascii="Times New Roman" w:hAnsi="Times New Roman"/>
          <w:sz w:val="24"/>
          <w:szCs w:val="24"/>
        </w:rPr>
        <w:t xml:space="preserve"> </w:t>
      </w:r>
      <w:r w:rsidR="0010457D" w:rsidRPr="00FB5A28">
        <w:rPr>
          <w:rFonts w:ascii="Times New Roman" w:hAnsi="Times New Roman"/>
          <w:sz w:val="24"/>
          <w:szCs w:val="24"/>
        </w:rPr>
        <w:t>вредности</w:t>
      </w:r>
      <w:r w:rsidRPr="00FB5A28">
        <w:rPr>
          <w:rFonts w:ascii="Times New Roman" w:hAnsi="Times New Roman"/>
          <w:sz w:val="24"/>
          <w:szCs w:val="24"/>
        </w:rPr>
        <w:t xml:space="preserve">, </w:t>
      </w:r>
      <w:r w:rsidR="0010457D" w:rsidRPr="00FB5A28">
        <w:rPr>
          <w:rFonts w:ascii="Times New Roman" w:hAnsi="Times New Roman"/>
          <w:sz w:val="24"/>
          <w:szCs w:val="24"/>
        </w:rPr>
        <w:t>ако</w:t>
      </w:r>
      <w:r w:rsidRPr="00FB5A28">
        <w:rPr>
          <w:rFonts w:ascii="Times New Roman" w:hAnsi="Times New Roman"/>
          <w:sz w:val="24"/>
          <w:szCs w:val="24"/>
        </w:rPr>
        <w:t xml:space="preserve"> </w:t>
      </w:r>
      <w:r w:rsidR="0010457D" w:rsidRPr="00FB5A28">
        <w:rPr>
          <w:rFonts w:ascii="Times New Roman" w:hAnsi="Times New Roman"/>
          <w:sz w:val="24"/>
          <w:szCs w:val="24"/>
        </w:rPr>
        <w:t>се</w:t>
      </w:r>
      <w:r w:rsidRPr="00FB5A28">
        <w:rPr>
          <w:rFonts w:ascii="Times New Roman" w:hAnsi="Times New Roman"/>
          <w:sz w:val="24"/>
          <w:szCs w:val="24"/>
        </w:rPr>
        <w:t xml:space="preserve"> </w:t>
      </w:r>
      <w:r w:rsidR="0010457D" w:rsidRPr="00FB5A28">
        <w:rPr>
          <w:rFonts w:ascii="Times New Roman" w:hAnsi="Times New Roman"/>
          <w:sz w:val="24"/>
          <w:szCs w:val="24"/>
        </w:rPr>
        <w:t>дају</w:t>
      </w:r>
      <w:r w:rsidRPr="00FB5A28">
        <w:rPr>
          <w:rFonts w:ascii="Times New Roman" w:hAnsi="Times New Roman"/>
          <w:sz w:val="24"/>
          <w:szCs w:val="24"/>
        </w:rPr>
        <w:t xml:space="preserve"> </w:t>
      </w:r>
      <w:r w:rsidR="0010457D" w:rsidRPr="00FB5A28">
        <w:rPr>
          <w:rFonts w:ascii="Times New Roman" w:hAnsi="Times New Roman"/>
          <w:sz w:val="24"/>
          <w:szCs w:val="24"/>
        </w:rPr>
        <w:t>повремено</w:t>
      </w:r>
      <w:r w:rsidRPr="00FB5A28">
        <w:rPr>
          <w:rFonts w:ascii="Times New Roman" w:hAnsi="Times New Roman"/>
          <w:sz w:val="24"/>
          <w:szCs w:val="24"/>
        </w:rPr>
        <w:t xml:space="preserve"> </w:t>
      </w:r>
      <w:r w:rsidR="0010457D" w:rsidRPr="00FB5A28">
        <w:rPr>
          <w:rFonts w:ascii="Times New Roman" w:hAnsi="Times New Roman"/>
          <w:sz w:val="24"/>
          <w:szCs w:val="24"/>
        </w:rPr>
        <w:t>различитим</w:t>
      </w:r>
      <w:r w:rsidRPr="00FB5A28">
        <w:rPr>
          <w:rFonts w:ascii="Times New Roman" w:hAnsi="Times New Roman"/>
          <w:sz w:val="24"/>
          <w:szCs w:val="24"/>
        </w:rPr>
        <w:t xml:space="preserve"> </w:t>
      </w:r>
      <w:r w:rsidR="0010457D" w:rsidRPr="00FB5A28">
        <w:rPr>
          <w:rFonts w:ascii="Times New Roman" w:hAnsi="Times New Roman"/>
          <w:sz w:val="24"/>
          <w:szCs w:val="24"/>
        </w:rPr>
        <w:t>лицима</w:t>
      </w:r>
      <w:r w:rsidRPr="00FB5A28">
        <w:rPr>
          <w:rFonts w:ascii="Times New Roman" w:hAnsi="Times New Roman"/>
          <w:sz w:val="24"/>
          <w:szCs w:val="24"/>
        </w:rPr>
        <w:t>.</w:t>
      </w:r>
    </w:p>
    <w:p w:rsidR="006E4204" w:rsidRDefault="006E4204" w:rsidP="00FB5A28">
      <w:pPr>
        <w:shd w:val="clear" w:color="auto" w:fill="FFFFFF"/>
        <w:spacing w:after="0" w:line="285" w:lineRule="atLeast"/>
        <w:rPr>
          <w:rFonts w:ascii="Arial" w:hAnsi="Arial" w:cs="Arial"/>
          <w:color w:val="000000"/>
          <w:sz w:val="24"/>
          <w:szCs w:val="24"/>
          <w:lang w:val="sr-Cyrl-CS"/>
        </w:rPr>
      </w:pPr>
    </w:p>
    <w:p w:rsidR="006B2DF9" w:rsidRDefault="0010457D" w:rsidP="00FF51AE">
      <w:pPr>
        <w:shd w:val="clear" w:color="auto" w:fill="FFFFFF"/>
        <w:spacing w:after="0" w:line="285" w:lineRule="atLeast"/>
        <w:ind w:left="1069"/>
        <w:rPr>
          <w:rFonts w:ascii="Times New Roman" w:hAnsi="Times New Roman"/>
          <w:b/>
          <w:color w:val="000000"/>
          <w:sz w:val="24"/>
          <w:szCs w:val="24"/>
          <w:lang w:val="sr-Cyrl-CS"/>
        </w:rPr>
      </w:pPr>
      <w:r w:rsidRPr="0010457D">
        <w:rPr>
          <w:rFonts w:ascii="Times New Roman" w:hAnsi="Times New Roman"/>
          <w:b/>
          <w:color w:val="000000"/>
          <w:sz w:val="24"/>
          <w:szCs w:val="24"/>
          <w:lang w:val="sr-Cyrl-CS"/>
        </w:rPr>
        <w:t>5.2.4. Пореска основица</w:t>
      </w:r>
    </w:p>
    <w:p w:rsidR="00FB5A28" w:rsidRDefault="00FB5A28" w:rsidP="00FF51AE">
      <w:pPr>
        <w:shd w:val="clear" w:color="auto" w:fill="FFFFFF"/>
        <w:spacing w:after="0" w:line="285" w:lineRule="atLeast"/>
        <w:ind w:left="1069"/>
        <w:rPr>
          <w:rFonts w:ascii="Times New Roman" w:hAnsi="Times New Roman"/>
          <w:b/>
          <w:color w:val="000000"/>
          <w:sz w:val="24"/>
          <w:szCs w:val="24"/>
          <w:lang w:val="sr-Cyrl-CS"/>
        </w:rPr>
      </w:pPr>
    </w:p>
    <w:p w:rsidR="00AA7EB9" w:rsidRPr="0010457D" w:rsidRDefault="00AA7EB9" w:rsidP="00FF51AE">
      <w:pPr>
        <w:shd w:val="clear" w:color="auto" w:fill="FFFFFF"/>
        <w:spacing w:after="0" w:line="285" w:lineRule="atLeast"/>
        <w:ind w:left="1069"/>
        <w:rPr>
          <w:rFonts w:ascii="Times New Roman" w:hAnsi="Times New Roman"/>
          <w:b/>
          <w:color w:val="000000"/>
          <w:sz w:val="24"/>
          <w:szCs w:val="24"/>
          <w:lang w:val="sr-Cyrl-CS"/>
        </w:rPr>
      </w:pPr>
    </w:p>
    <w:p w:rsidR="00E938EA" w:rsidRDefault="00E938EA" w:rsidP="00FF51AE">
      <w:pPr>
        <w:shd w:val="clear" w:color="auto" w:fill="FFFFFF"/>
        <w:spacing w:after="0" w:line="285" w:lineRule="atLeast"/>
        <w:ind w:left="1069"/>
        <w:rPr>
          <w:rFonts w:ascii="Arial" w:hAnsi="Arial" w:cs="Arial"/>
          <w:color w:val="000000"/>
          <w:sz w:val="24"/>
          <w:szCs w:val="24"/>
          <w:lang w:val="sr-Cyrl-CS"/>
        </w:rPr>
      </w:pPr>
    </w:p>
    <w:p w:rsidR="00E938EA" w:rsidRPr="00FB5A28" w:rsidRDefault="00384954" w:rsidP="00FB5A28">
      <w:pPr>
        <w:jc w:val="both"/>
        <w:rPr>
          <w:rFonts w:ascii="Times New Roman" w:hAnsi="Times New Roman"/>
          <w:sz w:val="24"/>
          <w:szCs w:val="24"/>
          <w:lang w:val="sr-Cyrl-CS"/>
        </w:rPr>
      </w:pPr>
      <w:r w:rsidRPr="00FB5A28">
        <w:rPr>
          <w:rFonts w:ascii="Times New Roman" w:hAnsi="Times New Roman"/>
          <w:sz w:val="24"/>
          <w:szCs w:val="24"/>
        </w:rPr>
        <w:t>Пореска</w:t>
      </w:r>
      <w:r w:rsidR="00E938EA" w:rsidRPr="00FB5A28">
        <w:rPr>
          <w:rFonts w:ascii="Times New Roman" w:hAnsi="Times New Roman"/>
          <w:sz w:val="24"/>
          <w:szCs w:val="24"/>
        </w:rPr>
        <w:t xml:space="preserve"> </w:t>
      </w:r>
      <w:r w:rsidRPr="00FB5A28">
        <w:rPr>
          <w:rFonts w:ascii="Times New Roman" w:hAnsi="Times New Roman"/>
          <w:sz w:val="24"/>
          <w:szCs w:val="24"/>
        </w:rPr>
        <w:t>основица</w:t>
      </w:r>
      <w:r w:rsidR="00E938EA" w:rsidRPr="00FB5A28">
        <w:rPr>
          <w:rFonts w:ascii="Times New Roman" w:hAnsi="Times New Roman"/>
          <w:sz w:val="24"/>
          <w:szCs w:val="24"/>
        </w:rPr>
        <w:t xml:space="preserve"> </w:t>
      </w:r>
      <w:r w:rsidR="0010457D" w:rsidRPr="00FB5A28">
        <w:rPr>
          <w:rStyle w:val="FootnoteReference"/>
          <w:rFonts w:ascii="Times New Roman" w:hAnsi="Times New Roman"/>
          <w:color w:val="000000"/>
          <w:sz w:val="24"/>
          <w:szCs w:val="24"/>
        </w:rPr>
        <w:footnoteReference w:id="378"/>
      </w:r>
      <w:r w:rsidRPr="00FB5A28">
        <w:rPr>
          <w:rFonts w:ascii="Times New Roman" w:hAnsi="Times New Roman"/>
          <w:sz w:val="24"/>
          <w:szCs w:val="24"/>
          <w:lang w:val="sr-Cyrl-CS"/>
        </w:rPr>
        <w:t xml:space="preserve"> </w:t>
      </w:r>
      <w:r w:rsidRPr="00FB5A28">
        <w:rPr>
          <w:rFonts w:ascii="Times New Roman" w:hAnsi="Times New Roman"/>
          <w:sz w:val="24"/>
          <w:szCs w:val="24"/>
        </w:rPr>
        <w:t>код</w:t>
      </w:r>
      <w:r w:rsidR="00E938EA" w:rsidRPr="00FB5A28">
        <w:rPr>
          <w:rFonts w:ascii="Times New Roman" w:hAnsi="Times New Roman"/>
          <w:sz w:val="24"/>
          <w:szCs w:val="24"/>
        </w:rPr>
        <w:t xml:space="preserve"> </w:t>
      </w:r>
      <w:r w:rsidRPr="00FB5A28">
        <w:rPr>
          <w:rFonts w:ascii="Times New Roman" w:hAnsi="Times New Roman"/>
          <w:sz w:val="24"/>
          <w:szCs w:val="24"/>
        </w:rPr>
        <w:t>промета</w:t>
      </w:r>
      <w:r w:rsidR="00E938EA" w:rsidRPr="00FB5A28">
        <w:rPr>
          <w:rFonts w:ascii="Times New Roman" w:hAnsi="Times New Roman"/>
          <w:sz w:val="24"/>
          <w:szCs w:val="24"/>
        </w:rPr>
        <w:t xml:space="preserve"> </w:t>
      </w:r>
      <w:r w:rsidRPr="00FB5A28">
        <w:rPr>
          <w:rFonts w:ascii="Times New Roman" w:hAnsi="Times New Roman"/>
          <w:sz w:val="24"/>
          <w:szCs w:val="24"/>
        </w:rPr>
        <w:t>добара</w:t>
      </w:r>
      <w:r w:rsidR="00E938EA" w:rsidRPr="00FB5A28">
        <w:rPr>
          <w:rFonts w:ascii="Times New Roman" w:hAnsi="Times New Roman"/>
          <w:sz w:val="24"/>
          <w:szCs w:val="24"/>
        </w:rPr>
        <w:t xml:space="preserve"> </w:t>
      </w:r>
      <w:r w:rsidRPr="00FB5A28">
        <w:rPr>
          <w:rFonts w:ascii="Times New Roman" w:hAnsi="Times New Roman"/>
          <w:sz w:val="24"/>
          <w:szCs w:val="24"/>
        </w:rPr>
        <w:t>и</w:t>
      </w:r>
      <w:r w:rsidR="00E938EA" w:rsidRPr="00FB5A28">
        <w:rPr>
          <w:rFonts w:ascii="Times New Roman" w:hAnsi="Times New Roman"/>
          <w:sz w:val="24"/>
          <w:szCs w:val="24"/>
        </w:rPr>
        <w:t xml:space="preserve"> </w:t>
      </w:r>
      <w:r w:rsidRPr="00FB5A28">
        <w:rPr>
          <w:rFonts w:ascii="Times New Roman" w:hAnsi="Times New Roman"/>
          <w:sz w:val="24"/>
          <w:szCs w:val="24"/>
        </w:rPr>
        <w:t>услуга</w:t>
      </w:r>
      <w:r w:rsidR="00E938EA" w:rsidRPr="00FB5A28">
        <w:rPr>
          <w:rFonts w:ascii="Times New Roman" w:hAnsi="Times New Roman"/>
          <w:sz w:val="24"/>
          <w:szCs w:val="24"/>
        </w:rPr>
        <w:t xml:space="preserve"> </w:t>
      </w:r>
      <w:r w:rsidRPr="00FB5A28">
        <w:rPr>
          <w:rFonts w:ascii="Times New Roman" w:hAnsi="Times New Roman"/>
          <w:sz w:val="24"/>
          <w:szCs w:val="24"/>
        </w:rPr>
        <w:t>јесте</w:t>
      </w:r>
      <w:r w:rsidR="00E938EA" w:rsidRPr="00FB5A28">
        <w:rPr>
          <w:rFonts w:ascii="Times New Roman" w:hAnsi="Times New Roman"/>
          <w:sz w:val="24"/>
          <w:szCs w:val="24"/>
        </w:rPr>
        <w:t xml:space="preserve"> </w:t>
      </w:r>
      <w:r w:rsidRPr="00FB5A28">
        <w:rPr>
          <w:rFonts w:ascii="Times New Roman" w:hAnsi="Times New Roman"/>
          <w:sz w:val="24"/>
          <w:szCs w:val="24"/>
        </w:rPr>
        <w:t>износ</w:t>
      </w:r>
      <w:r w:rsidR="00E938EA" w:rsidRPr="00FB5A28">
        <w:rPr>
          <w:rFonts w:ascii="Times New Roman" w:hAnsi="Times New Roman"/>
          <w:sz w:val="24"/>
          <w:szCs w:val="24"/>
        </w:rPr>
        <w:t xml:space="preserve"> </w:t>
      </w:r>
      <w:r w:rsidRPr="00FB5A28">
        <w:rPr>
          <w:rFonts w:ascii="Times New Roman" w:hAnsi="Times New Roman"/>
          <w:sz w:val="24"/>
          <w:szCs w:val="24"/>
        </w:rPr>
        <w:t>накнаде</w:t>
      </w:r>
      <w:r w:rsidR="00E938EA" w:rsidRPr="00FB5A28">
        <w:rPr>
          <w:rFonts w:ascii="Times New Roman" w:hAnsi="Times New Roman"/>
          <w:sz w:val="24"/>
          <w:szCs w:val="24"/>
        </w:rPr>
        <w:t xml:space="preserve"> (</w:t>
      </w:r>
      <w:r w:rsidRPr="00FB5A28">
        <w:rPr>
          <w:rFonts w:ascii="Times New Roman" w:hAnsi="Times New Roman"/>
          <w:sz w:val="24"/>
          <w:szCs w:val="24"/>
        </w:rPr>
        <w:t>у</w:t>
      </w:r>
      <w:r w:rsidR="00E938EA" w:rsidRPr="00FB5A28">
        <w:rPr>
          <w:rFonts w:ascii="Times New Roman" w:hAnsi="Times New Roman"/>
          <w:sz w:val="24"/>
          <w:szCs w:val="24"/>
        </w:rPr>
        <w:t xml:space="preserve"> </w:t>
      </w:r>
      <w:r w:rsidRPr="00FB5A28">
        <w:rPr>
          <w:rFonts w:ascii="Times New Roman" w:hAnsi="Times New Roman"/>
          <w:sz w:val="24"/>
          <w:szCs w:val="24"/>
        </w:rPr>
        <w:t>новцу</w:t>
      </w:r>
      <w:r w:rsidR="00E938EA" w:rsidRPr="00FB5A28">
        <w:rPr>
          <w:rFonts w:ascii="Times New Roman" w:hAnsi="Times New Roman"/>
          <w:sz w:val="24"/>
          <w:szCs w:val="24"/>
        </w:rPr>
        <w:t xml:space="preserve">, </w:t>
      </w:r>
      <w:r w:rsidRPr="00FB5A28">
        <w:rPr>
          <w:rFonts w:ascii="Times New Roman" w:hAnsi="Times New Roman"/>
          <w:sz w:val="24"/>
          <w:szCs w:val="24"/>
        </w:rPr>
        <w:t>стварима</w:t>
      </w:r>
      <w:r w:rsidR="00E938EA" w:rsidRPr="00FB5A28">
        <w:rPr>
          <w:rFonts w:ascii="Times New Roman" w:hAnsi="Times New Roman"/>
          <w:sz w:val="24"/>
          <w:szCs w:val="24"/>
        </w:rPr>
        <w:t xml:space="preserve"> </w:t>
      </w:r>
      <w:r w:rsidRPr="00FB5A28">
        <w:rPr>
          <w:rFonts w:ascii="Times New Roman" w:hAnsi="Times New Roman"/>
          <w:sz w:val="24"/>
          <w:szCs w:val="24"/>
        </w:rPr>
        <w:t>или</w:t>
      </w:r>
      <w:r w:rsidR="00E938EA" w:rsidRPr="00FB5A28">
        <w:rPr>
          <w:rFonts w:ascii="Times New Roman" w:hAnsi="Times New Roman"/>
          <w:sz w:val="24"/>
          <w:szCs w:val="24"/>
        </w:rPr>
        <w:t xml:space="preserve"> </w:t>
      </w:r>
      <w:r w:rsidRPr="00FB5A28">
        <w:rPr>
          <w:rFonts w:ascii="Times New Roman" w:hAnsi="Times New Roman"/>
          <w:sz w:val="24"/>
          <w:szCs w:val="24"/>
        </w:rPr>
        <w:t>услугама</w:t>
      </w:r>
      <w:r w:rsidR="00E938EA" w:rsidRPr="00FB5A28">
        <w:rPr>
          <w:rFonts w:ascii="Times New Roman" w:hAnsi="Times New Roman"/>
          <w:sz w:val="24"/>
          <w:szCs w:val="24"/>
        </w:rPr>
        <w:t xml:space="preserve">) </w:t>
      </w:r>
      <w:r w:rsidRPr="00FB5A28">
        <w:rPr>
          <w:rFonts w:ascii="Times New Roman" w:hAnsi="Times New Roman"/>
          <w:sz w:val="24"/>
          <w:szCs w:val="24"/>
        </w:rPr>
        <w:t>коју</w:t>
      </w:r>
      <w:r w:rsidR="00E938EA" w:rsidRPr="00FB5A28">
        <w:rPr>
          <w:rFonts w:ascii="Times New Roman" w:hAnsi="Times New Roman"/>
          <w:sz w:val="24"/>
          <w:szCs w:val="24"/>
        </w:rPr>
        <w:t xml:space="preserve"> </w:t>
      </w:r>
      <w:r w:rsidRPr="00FB5A28">
        <w:rPr>
          <w:rFonts w:ascii="Times New Roman" w:hAnsi="Times New Roman"/>
          <w:sz w:val="24"/>
          <w:szCs w:val="24"/>
        </w:rPr>
        <w:t>обвезник</w:t>
      </w:r>
      <w:r w:rsidR="00E938EA" w:rsidRPr="00FB5A28">
        <w:rPr>
          <w:rFonts w:ascii="Times New Roman" w:hAnsi="Times New Roman"/>
          <w:sz w:val="24"/>
          <w:szCs w:val="24"/>
        </w:rPr>
        <w:t xml:space="preserve"> </w:t>
      </w:r>
      <w:r w:rsidRPr="00FB5A28">
        <w:rPr>
          <w:rFonts w:ascii="Times New Roman" w:hAnsi="Times New Roman"/>
          <w:sz w:val="24"/>
          <w:szCs w:val="24"/>
        </w:rPr>
        <w:t>прима</w:t>
      </w:r>
      <w:r w:rsidR="00E938EA" w:rsidRPr="00FB5A28">
        <w:rPr>
          <w:rFonts w:ascii="Times New Roman" w:hAnsi="Times New Roman"/>
          <w:sz w:val="24"/>
          <w:szCs w:val="24"/>
        </w:rPr>
        <w:t xml:space="preserve"> </w:t>
      </w:r>
      <w:r w:rsidRPr="00FB5A28">
        <w:rPr>
          <w:rFonts w:ascii="Times New Roman" w:hAnsi="Times New Roman"/>
          <w:sz w:val="24"/>
          <w:szCs w:val="24"/>
        </w:rPr>
        <w:t>или</w:t>
      </w:r>
      <w:r w:rsidR="00E938EA" w:rsidRPr="00FB5A28">
        <w:rPr>
          <w:rFonts w:ascii="Times New Roman" w:hAnsi="Times New Roman"/>
          <w:sz w:val="24"/>
          <w:szCs w:val="24"/>
        </w:rPr>
        <w:t xml:space="preserve"> </w:t>
      </w:r>
      <w:r w:rsidRPr="00FB5A28">
        <w:rPr>
          <w:rFonts w:ascii="Times New Roman" w:hAnsi="Times New Roman"/>
          <w:sz w:val="24"/>
          <w:szCs w:val="24"/>
        </w:rPr>
        <w:t>треба</w:t>
      </w:r>
      <w:r w:rsidR="00E938EA" w:rsidRPr="00FB5A28">
        <w:rPr>
          <w:rFonts w:ascii="Times New Roman" w:hAnsi="Times New Roman"/>
          <w:sz w:val="24"/>
          <w:szCs w:val="24"/>
        </w:rPr>
        <w:t xml:space="preserve"> </w:t>
      </w:r>
      <w:r w:rsidRPr="00FB5A28">
        <w:rPr>
          <w:rFonts w:ascii="Times New Roman" w:hAnsi="Times New Roman"/>
          <w:sz w:val="24"/>
          <w:szCs w:val="24"/>
        </w:rPr>
        <w:t>да</w:t>
      </w:r>
      <w:r w:rsidR="00E938EA" w:rsidRPr="00FB5A28">
        <w:rPr>
          <w:rFonts w:ascii="Times New Roman" w:hAnsi="Times New Roman"/>
          <w:sz w:val="24"/>
          <w:szCs w:val="24"/>
        </w:rPr>
        <w:t xml:space="preserve"> </w:t>
      </w:r>
      <w:r w:rsidRPr="00FB5A28">
        <w:rPr>
          <w:rFonts w:ascii="Times New Roman" w:hAnsi="Times New Roman"/>
          <w:sz w:val="24"/>
          <w:szCs w:val="24"/>
        </w:rPr>
        <w:t>прими</w:t>
      </w:r>
      <w:r w:rsidR="00E938EA" w:rsidRPr="00FB5A28">
        <w:rPr>
          <w:rFonts w:ascii="Times New Roman" w:hAnsi="Times New Roman"/>
          <w:sz w:val="24"/>
          <w:szCs w:val="24"/>
        </w:rPr>
        <w:t xml:space="preserve"> </w:t>
      </w:r>
      <w:r w:rsidRPr="00FB5A28">
        <w:rPr>
          <w:rFonts w:ascii="Times New Roman" w:hAnsi="Times New Roman"/>
          <w:sz w:val="24"/>
          <w:szCs w:val="24"/>
        </w:rPr>
        <w:t>за</w:t>
      </w:r>
      <w:r w:rsidR="00E938EA" w:rsidRPr="00FB5A28">
        <w:rPr>
          <w:rFonts w:ascii="Times New Roman" w:hAnsi="Times New Roman"/>
          <w:sz w:val="24"/>
          <w:szCs w:val="24"/>
        </w:rPr>
        <w:t xml:space="preserve"> </w:t>
      </w:r>
      <w:r w:rsidRPr="00FB5A28">
        <w:rPr>
          <w:rFonts w:ascii="Times New Roman" w:hAnsi="Times New Roman"/>
          <w:sz w:val="24"/>
          <w:szCs w:val="24"/>
        </w:rPr>
        <w:t>испоручена</w:t>
      </w:r>
      <w:r w:rsidR="00E938EA" w:rsidRPr="00FB5A28">
        <w:rPr>
          <w:rFonts w:ascii="Times New Roman" w:hAnsi="Times New Roman"/>
          <w:sz w:val="24"/>
          <w:szCs w:val="24"/>
        </w:rPr>
        <w:t xml:space="preserve"> </w:t>
      </w:r>
      <w:r w:rsidRPr="00FB5A28">
        <w:rPr>
          <w:rFonts w:ascii="Times New Roman" w:hAnsi="Times New Roman"/>
          <w:sz w:val="24"/>
          <w:szCs w:val="24"/>
        </w:rPr>
        <w:t>добра</w:t>
      </w:r>
      <w:r w:rsidR="00E938EA" w:rsidRPr="00FB5A28">
        <w:rPr>
          <w:rFonts w:ascii="Times New Roman" w:hAnsi="Times New Roman"/>
          <w:sz w:val="24"/>
          <w:szCs w:val="24"/>
        </w:rPr>
        <w:t xml:space="preserve"> </w:t>
      </w:r>
      <w:r w:rsidRPr="00FB5A28">
        <w:rPr>
          <w:rFonts w:ascii="Times New Roman" w:hAnsi="Times New Roman"/>
          <w:sz w:val="24"/>
          <w:szCs w:val="24"/>
        </w:rPr>
        <w:t>или</w:t>
      </w:r>
      <w:r w:rsidR="00E938EA" w:rsidRPr="00FB5A28">
        <w:rPr>
          <w:rFonts w:ascii="Times New Roman" w:hAnsi="Times New Roman"/>
          <w:sz w:val="24"/>
          <w:szCs w:val="24"/>
        </w:rPr>
        <w:t xml:space="preserve"> </w:t>
      </w:r>
      <w:r w:rsidRPr="00FB5A28">
        <w:rPr>
          <w:rFonts w:ascii="Times New Roman" w:hAnsi="Times New Roman"/>
          <w:sz w:val="24"/>
          <w:szCs w:val="24"/>
        </w:rPr>
        <w:t>пружене</w:t>
      </w:r>
      <w:r w:rsidR="00E938EA" w:rsidRPr="00FB5A28">
        <w:rPr>
          <w:rFonts w:ascii="Times New Roman" w:hAnsi="Times New Roman"/>
          <w:sz w:val="24"/>
          <w:szCs w:val="24"/>
        </w:rPr>
        <w:t xml:space="preserve"> </w:t>
      </w:r>
      <w:r w:rsidRPr="00FB5A28">
        <w:rPr>
          <w:rFonts w:ascii="Times New Roman" w:hAnsi="Times New Roman"/>
          <w:sz w:val="24"/>
          <w:szCs w:val="24"/>
        </w:rPr>
        <w:t>услуге</w:t>
      </w:r>
      <w:r w:rsidR="00E938EA" w:rsidRPr="00FB5A28">
        <w:rPr>
          <w:rFonts w:ascii="Times New Roman" w:hAnsi="Times New Roman"/>
          <w:sz w:val="24"/>
          <w:szCs w:val="24"/>
        </w:rPr>
        <w:t xml:space="preserve"> </w:t>
      </w:r>
      <w:r w:rsidRPr="00FB5A28">
        <w:rPr>
          <w:rFonts w:ascii="Times New Roman" w:hAnsi="Times New Roman"/>
          <w:sz w:val="24"/>
          <w:szCs w:val="24"/>
        </w:rPr>
        <w:t>од</w:t>
      </w:r>
      <w:r w:rsidR="00E938EA" w:rsidRPr="00FB5A28">
        <w:rPr>
          <w:rFonts w:ascii="Times New Roman" w:hAnsi="Times New Roman"/>
          <w:sz w:val="24"/>
          <w:szCs w:val="24"/>
        </w:rPr>
        <w:t xml:space="preserve"> </w:t>
      </w:r>
      <w:r w:rsidRPr="00FB5A28">
        <w:rPr>
          <w:rFonts w:ascii="Times New Roman" w:hAnsi="Times New Roman"/>
          <w:sz w:val="24"/>
          <w:szCs w:val="24"/>
        </w:rPr>
        <w:t>примаоца</w:t>
      </w:r>
      <w:r w:rsidR="00E938EA" w:rsidRPr="00FB5A28">
        <w:rPr>
          <w:rFonts w:ascii="Times New Roman" w:hAnsi="Times New Roman"/>
          <w:sz w:val="24"/>
          <w:szCs w:val="24"/>
        </w:rPr>
        <w:t xml:space="preserve"> </w:t>
      </w:r>
      <w:r w:rsidRPr="00FB5A28">
        <w:rPr>
          <w:rFonts w:ascii="Times New Roman" w:hAnsi="Times New Roman"/>
          <w:sz w:val="24"/>
          <w:szCs w:val="24"/>
        </w:rPr>
        <w:t>добара</w:t>
      </w:r>
      <w:r w:rsidR="00E938EA" w:rsidRPr="00FB5A28">
        <w:rPr>
          <w:rFonts w:ascii="Times New Roman" w:hAnsi="Times New Roman"/>
          <w:sz w:val="24"/>
          <w:szCs w:val="24"/>
        </w:rPr>
        <w:t xml:space="preserve"> </w:t>
      </w:r>
      <w:r w:rsidRPr="00FB5A28">
        <w:rPr>
          <w:rFonts w:ascii="Times New Roman" w:hAnsi="Times New Roman"/>
          <w:sz w:val="24"/>
          <w:szCs w:val="24"/>
        </w:rPr>
        <w:t>или</w:t>
      </w:r>
      <w:r w:rsidR="00E938EA" w:rsidRPr="00FB5A28">
        <w:rPr>
          <w:rFonts w:ascii="Times New Roman" w:hAnsi="Times New Roman"/>
          <w:sz w:val="24"/>
          <w:szCs w:val="24"/>
        </w:rPr>
        <w:t xml:space="preserve"> </w:t>
      </w:r>
      <w:r w:rsidRPr="00FB5A28">
        <w:rPr>
          <w:rFonts w:ascii="Times New Roman" w:hAnsi="Times New Roman"/>
          <w:sz w:val="24"/>
          <w:szCs w:val="24"/>
        </w:rPr>
        <w:t>услуга</w:t>
      </w:r>
      <w:r w:rsidR="00E938EA" w:rsidRPr="00FB5A28">
        <w:rPr>
          <w:rFonts w:ascii="Times New Roman" w:hAnsi="Times New Roman"/>
          <w:sz w:val="24"/>
          <w:szCs w:val="24"/>
        </w:rPr>
        <w:t xml:space="preserve"> </w:t>
      </w:r>
      <w:r w:rsidRPr="00FB5A28">
        <w:rPr>
          <w:rFonts w:ascii="Times New Roman" w:hAnsi="Times New Roman"/>
          <w:sz w:val="24"/>
          <w:szCs w:val="24"/>
        </w:rPr>
        <w:t>или</w:t>
      </w:r>
      <w:r w:rsidR="00E938EA" w:rsidRPr="00FB5A28">
        <w:rPr>
          <w:rFonts w:ascii="Times New Roman" w:hAnsi="Times New Roman"/>
          <w:sz w:val="24"/>
          <w:szCs w:val="24"/>
        </w:rPr>
        <w:t xml:space="preserve"> </w:t>
      </w:r>
      <w:r w:rsidRPr="00FB5A28">
        <w:rPr>
          <w:rFonts w:ascii="Times New Roman" w:hAnsi="Times New Roman"/>
          <w:sz w:val="24"/>
          <w:szCs w:val="24"/>
        </w:rPr>
        <w:t>трећег</w:t>
      </w:r>
      <w:r w:rsidR="00E938EA" w:rsidRPr="00FB5A28">
        <w:rPr>
          <w:rFonts w:ascii="Times New Roman" w:hAnsi="Times New Roman"/>
          <w:sz w:val="24"/>
          <w:szCs w:val="24"/>
        </w:rPr>
        <w:t xml:space="preserve"> </w:t>
      </w:r>
      <w:r w:rsidRPr="00FB5A28">
        <w:rPr>
          <w:rFonts w:ascii="Times New Roman" w:hAnsi="Times New Roman"/>
          <w:sz w:val="24"/>
          <w:szCs w:val="24"/>
        </w:rPr>
        <w:t>лица</w:t>
      </w:r>
      <w:r w:rsidR="00E938EA" w:rsidRPr="00FB5A28">
        <w:rPr>
          <w:rFonts w:ascii="Times New Roman" w:hAnsi="Times New Roman"/>
          <w:sz w:val="24"/>
          <w:szCs w:val="24"/>
        </w:rPr>
        <w:t xml:space="preserve">, </w:t>
      </w:r>
      <w:r w:rsidRPr="00FB5A28">
        <w:rPr>
          <w:rFonts w:ascii="Times New Roman" w:hAnsi="Times New Roman"/>
          <w:sz w:val="24"/>
          <w:szCs w:val="24"/>
        </w:rPr>
        <w:t>укључујући</w:t>
      </w:r>
      <w:r w:rsidR="00E938EA" w:rsidRPr="00FB5A28">
        <w:rPr>
          <w:rFonts w:ascii="Times New Roman" w:hAnsi="Times New Roman"/>
          <w:sz w:val="24"/>
          <w:szCs w:val="24"/>
        </w:rPr>
        <w:t xml:space="preserve"> </w:t>
      </w:r>
      <w:r w:rsidRPr="00FB5A28">
        <w:rPr>
          <w:rFonts w:ascii="Times New Roman" w:hAnsi="Times New Roman"/>
          <w:sz w:val="24"/>
          <w:szCs w:val="24"/>
        </w:rPr>
        <w:t>субвенције</w:t>
      </w:r>
      <w:r w:rsidR="00E938EA" w:rsidRPr="00FB5A28">
        <w:rPr>
          <w:rFonts w:ascii="Times New Roman" w:hAnsi="Times New Roman"/>
          <w:sz w:val="24"/>
          <w:szCs w:val="24"/>
        </w:rPr>
        <w:t xml:space="preserve"> </w:t>
      </w:r>
      <w:r w:rsidRPr="00FB5A28">
        <w:rPr>
          <w:rFonts w:ascii="Times New Roman" w:hAnsi="Times New Roman"/>
          <w:sz w:val="24"/>
          <w:szCs w:val="24"/>
        </w:rPr>
        <w:t>које</w:t>
      </w:r>
      <w:r w:rsidR="00E938EA" w:rsidRPr="00FB5A28">
        <w:rPr>
          <w:rFonts w:ascii="Times New Roman" w:hAnsi="Times New Roman"/>
          <w:sz w:val="24"/>
          <w:szCs w:val="24"/>
        </w:rPr>
        <w:t xml:space="preserve"> </w:t>
      </w:r>
      <w:r w:rsidRPr="00FB5A28">
        <w:rPr>
          <w:rFonts w:ascii="Times New Roman" w:hAnsi="Times New Roman"/>
          <w:sz w:val="24"/>
          <w:szCs w:val="24"/>
        </w:rPr>
        <w:t>су</w:t>
      </w:r>
      <w:r w:rsidR="00E938EA" w:rsidRPr="00FB5A28">
        <w:rPr>
          <w:rFonts w:ascii="Times New Roman" w:hAnsi="Times New Roman"/>
          <w:sz w:val="24"/>
          <w:szCs w:val="24"/>
        </w:rPr>
        <w:t xml:space="preserve"> </w:t>
      </w:r>
      <w:r w:rsidRPr="00FB5A28">
        <w:rPr>
          <w:rFonts w:ascii="Times New Roman" w:hAnsi="Times New Roman"/>
          <w:sz w:val="24"/>
          <w:szCs w:val="24"/>
        </w:rPr>
        <w:t>непосредно</w:t>
      </w:r>
      <w:r w:rsidR="00E938EA" w:rsidRPr="00FB5A28">
        <w:rPr>
          <w:rFonts w:ascii="Times New Roman" w:hAnsi="Times New Roman"/>
          <w:sz w:val="24"/>
          <w:szCs w:val="24"/>
        </w:rPr>
        <w:t xml:space="preserve"> </w:t>
      </w:r>
      <w:r w:rsidRPr="00FB5A28">
        <w:rPr>
          <w:rFonts w:ascii="Times New Roman" w:hAnsi="Times New Roman"/>
          <w:sz w:val="24"/>
          <w:szCs w:val="24"/>
        </w:rPr>
        <w:t>повезане</w:t>
      </w:r>
      <w:r w:rsidR="00E938EA" w:rsidRPr="00FB5A28">
        <w:rPr>
          <w:rFonts w:ascii="Times New Roman" w:hAnsi="Times New Roman"/>
          <w:sz w:val="24"/>
          <w:szCs w:val="24"/>
        </w:rPr>
        <w:t xml:space="preserve"> </w:t>
      </w:r>
      <w:r w:rsidRPr="00FB5A28">
        <w:rPr>
          <w:rFonts w:ascii="Times New Roman" w:hAnsi="Times New Roman"/>
          <w:sz w:val="24"/>
          <w:szCs w:val="24"/>
        </w:rPr>
        <w:t>са</w:t>
      </w:r>
      <w:r w:rsidR="00E938EA" w:rsidRPr="00FB5A28">
        <w:rPr>
          <w:rFonts w:ascii="Times New Roman" w:hAnsi="Times New Roman"/>
          <w:sz w:val="24"/>
          <w:szCs w:val="24"/>
        </w:rPr>
        <w:t xml:space="preserve"> </w:t>
      </w:r>
      <w:r w:rsidRPr="00FB5A28">
        <w:rPr>
          <w:rFonts w:ascii="Times New Roman" w:hAnsi="Times New Roman"/>
          <w:sz w:val="24"/>
          <w:szCs w:val="24"/>
        </w:rPr>
        <w:t>ценом</w:t>
      </w:r>
      <w:r w:rsidR="00E938EA" w:rsidRPr="00FB5A28">
        <w:rPr>
          <w:rFonts w:ascii="Times New Roman" w:hAnsi="Times New Roman"/>
          <w:sz w:val="24"/>
          <w:szCs w:val="24"/>
        </w:rPr>
        <w:t xml:space="preserve"> </w:t>
      </w:r>
      <w:r w:rsidRPr="00FB5A28">
        <w:rPr>
          <w:rFonts w:ascii="Times New Roman" w:hAnsi="Times New Roman"/>
          <w:sz w:val="24"/>
          <w:szCs w:val="24"/>
        </w:rPr>
        <w:t>тих</w:t>
      </w:r>
      <w:r w:rsidR="00E938EA" w:rsidRPr="00FB5A28">
        <w:rPr>
          <w:rFonts w:ascii="Times New Roman" w:hAnsi="Times New Roman"/>
          <w:sz w:val="24"/>
          <w:szCs w:val="24"/>
        </w:rPr>
        <w:t xml:space="preserve"> </w:t>
      </w:r>
      <w:r w:rsidRPr="00FB5A28">
        <w:rPr>
          <w:rFonts w:ascii="Times New Roman" w:hAnsi="Times New Roman"/>
          <w:sz w:val="24"/>
          <w:szCs w:val="24"/>
        </w:rPr>
        <w:t>добара</w:t>
      </w:r>
      <w:r w:rsidR="00E938EA" w:rsidRPr="00FB5A28">
        <w:rPr>
          <w:rFonts w:ascii="Times New Roman" w:hAnsi="Times New Roman"/>
          <w:sz w:val="24"/>
          <w:szCs w:val="24"/>
        </w:rPr>
        <w:t xml:space="preserve"> </w:t>
      </w:r>
      <w:r w:rsidRPr="00FB5A28">
        <w:rPr>
          <w:rFonts w:ascii="Times New Roman" w:hAnsi="Times New Roman"/>
          <w:sz w:val="24"/>
          <w:szCs w:val="24"/>
        </w:rPr>
        <w:t>или</w:t>
      </w:r>
      <w:r w:rsidR="00E938EA" w:rsidRPr="00FB5A28">
        <w:rPr>
          <w:rFonts w:ascii="Times New Roman" w:hAnsi="Times New Roman"/>
          <w:sz w:val="24"/>
          <w:szCs w:val="24"/>
        </w:rPr>
        <w:t xml:space="preserve"> </w:t>
      </w:r>
      <w:r w:rsidRPr="00FB5A28">
        <w:rPr>
          <w:rFonts w:ascii="Times New Roman" w:hAnsi="Times New Roman"/>
          <w:sz w:val="24"/>
          <w:szCs w:val="24"/>
        </w:rPr>
        <w:t>услуга</w:t>
      </w:r>
      <w:r w:rsidR="00E938EA" w:rsidRPr="00FB5A28">
        <w:rPr>
          <w:rFonts w:ascii="Times New Roman" w:hAnsi="Times New Roman"/>
          <w:sz w:val="24"/>
          <w:szCs w:val="24"/>
        </w:rPr>
        <w:t xml:space="preserve">, </w:t>
      </w:r>
      <w:r w:rsidRPr="00FB5A28">
        <w:rPr>
          <w:rFonts w:ascii="Times New Roman" w:hAnsi="Times New Roman"/>
          <w:sz w:val="24"/>
          <w:szCs w:val="24"/>
        </w:rPr>
        <w:t>у</w:t>
      </w:r>
      <w:r w:rsidR="00E938EA" w:rsidRPr="00FB5A28">
        <w:rPr>
          <w:rFonts w:ascii="Times New Roman" w:hAnsi="Times New Roman"/>
          <w:sz w:val="24"/>
          <w:szCs w:val="24"/>
        </w:rPr>
        <w:t xml:space="preserve"> </w:t>
      </w:r>
      <w:r w:rsidRPr="00FB5A28">
        <w:rPr>
          <w:rFonts w:ascii="Times New Roman" w:hAnsi="Times New Roman"/>
          <w:sz w:val="24"/>
          <w:szCs w:val="24"/>
        </w:rPr>
        <w:t>коју није укључен ПДВ</w:t>
      </w:r>
      <w:r w:rsidR="00E938EA" w:rsidRPr="00FB5A28">
        <w:rPr>
          <w:rFonts w:ascii="Times New Roman" w:hAnsi="Times New Roman"/>
          <w:sz w:val="24"/>
          <w:szCs w:val="24"/>
        </w:rPr>
        <w:t>.</w:t>
      </w:r>
      <w:r w:rsidRPr="00FB5A28">
        <w:rPr>
          <w:rFonts w:ascii="Times New Roman" w:hAnsi="Times New Roman"/>
          <w:sz w:val="24"/>
          <w:szCs w:val="24"/>
          <w:lang w:val="sr-Cyrl-CS"/>
        </w:rPr>
        <w:t xml:space="preserve"> </w:t>
      </w:r>
      <w:r w:rsidRPr="00FB5A28">
        <w:rPr>
          <w:rFonts w:ascii="Times New Roman" w:hAnsi="Times New Roman"/>
          <w:sz w:val="24"/>
          <w:szCs w:val="24"/>
        </w:rPr>
        <w:t>У</w:t>
      </w:r>
      <w:r w:rsidR="00E938EA" w:rsidRPr="00FB5A28">
        <w:rPr>
          <w:rFonts w:ascii="Times New Roman" w:hAnsi="Times New Roman"/>
          <w:sz w:val="24"/>
          <w:szCs w:val="24"/>
        </w:rPr>
        <w:t xml:space="preserve"> </w:t>
      </w:r>
      <w:r w:rsidRPr="00FB5A28">
        <w:rPr>
          <w:rFonts w:ascii="Times New Roman" w:hAnsi="Times New Roman"/>
          <w:sz w:val="24"/>
          <w:szCs w:val="24"/>
        </w:rPr>
        <w:t>основицу</w:t>
      </w:r>
      <w:r w:rsidR="00E938EA" w:rsidRPr="00FB5A28">
        <w:rPr>
          <w:rFonts w:ascii="Times New Roman" w:hAnsi="Times New Roman"/>
          <w:sz w:val="24"/>
          <w:szCs w:val="24"/>
        </w:rPr>
        <w:t xml:space="preserve"> </w:t>
      </w:r>
      <w:r w:rsidRPr="00FB5A28">
        <w:rPr>
          <w:rFonts w:ascii="Times New Roman" w:hAnsi="Times New Roman"/>
          <w:sz w:val="24"/>
          <w:szCs w:val="24"/>
        </w:rPr>
        <w:t>се</w:t>
      </w:r>
      <w:r w:rsidR="00E938EA" w:rsidRPr="00FB5A28">
        <w:rPr>
          <w:rFonts w:ascii="Times New Roman" w:hAnsi="Times New Roman"/>
          <w:sz w:val="24"/>
          <w:szCs w:val="24"/>
        </w:rPr>
        <w:t xml:space="preserve"> </w:t>
      </w:r>
      <w:r w:rsidRPr="00FB5A28">
        <w:rPr>
          <w:rFonts w:ascii="Times New Roman" w:hAnsi="Times New Roman"/>
          <w:sz w:val="24"/>
          <w:szCs w:val="24"/>
        </w:rPr>
        <w:t>урачунавају</w:t>
      </w:r>
      <w:r w:rsidR="00E938EA" w:rsidRPr="00FB5A28">
        <w:rPr>
          <w:rFonts w:ascii="Times New Roman" w:hAnsi="Times New Roman"/>
          <w:sz w:val="24"/>
          <w:szCs w:val="24"/>
        </w:rPr>
        <w:t xml:space="preserve"> </w:t>
      </w:r>
      <w:r w:rsidRPr="00FB5A28">
        <w:rPr>
          <w:rFonts w:ascii="Times New Roman" w:hAnsi="Times New Roman"/>
          <w:sz w:val="24"/>
          <w:szCs w:val="24"/>
        </w:rPr>
        <w:t>и</w:t>
      </w:r>
      <w:r w:rsidR="00E938EA" w:rsidRPr="00FB5A28">
        <w:rPr>
          <w:rFonts w:ascii="Times New Roman" w:hAnsi="Times New Roman"/>
          <w:sz w:val="24"/>
          <w:szCs w:val="24"/>
        </w:rPr>
        <w:t>:</w:t>
      </w:r>
    </w:p>
    <w:p w:rsidR="00384954" w:rsidRPr="00FB5A28" w:rsidRDefault="00384954" w:rsidP="00FB5A28">
      <w:pPr>
        <w:jc w:val="both"/>
        <w:rPr>
          <w:rFonts w:ascii="Times New Roman" w:hAnsi="Times New Roman"/>
          <w:sz w:val="24"/>
          <w:szCs w:val="24"/>
          <w:lang w:val="sr-Cyrl-CS"/>
        </w:rPr>
      </w:pPr>
    </w:p>
    <w:p w:rsidR="00AA7EB9" w:rsidRPr="00FB5A28" w:rsidRDefault="00E938EA" w:rsidP="00FB5A28">
      <w:pPr>
        <w:jc w:val="both"/>
        <w:rPr>
          <w:rFonts w:ascii="Times New Roman" w:hAnsi="Times New Roman"/>
          <w:sz w:val="24"/>
          <w:szCs w:val="24"/>
          <w:lang w:val="sr-Cyrl-CS"/>
        </w:rPr>
      </w:pPr>
      <w:r w:rsidRPr="00FB5A28">
        <w:rPr>
          <w:rFonts w:ascii="Times New Roman" w:hAnsi="Times New Roman"/>
          <w:sz w:val="24"/>
          <w:szCs w:val="24"/>
        </w:rPr>
        <w:t xml:space="preserve">1) </w:t>
      </w:r>
      <w:r w:rsidR="00384954" w:rsidRPr="00FB5A28">
        <w:rPr>
          <w:rFonts w:ascii="Times New Roman" w:hAnsi="Times New Roman"/>
          <w:sz w:val="24"/>
          <w:szCs w:val="24"/>
        </w:rPr>
        <w:t>акцизе</w:t>
      </w:r>
      <w:r w:rsidRPr="00FB5A28">
        <w:rPr>
          <w:rFonts w:ascii="Times New Roman" w:hAnsi="Times New Roman"/>
          <w:sz w:val="24"/>
          <w:szCs w:val="24"/>
        </w:rPr>
        <w:t xml:space="preserve">, </w:t>
      </w:r>
      <w:r w:rsidR="00384954" w:rsidRPr="00FB5A28">
        <w:rPr>
          <w:rFonts w:ascii="Times New Roman" w:hAnsi="Times New Roman"/>
          <w:sz w:val="24"/>
          <w:szCs w:val="24"/>
        </w:rPr>
        <w:t>царина</w:t>
      </w:r>
      <w:r w:rsidRPr="00FB5A28">
        <w:rPr>
          <w:rFonts w:ascii="Times New Roman" w:hAnsi="Times New Roman"/>
          <w:sz w:val="24"/>
          <w:szCs w:val="24"/>
        </w:rPr>
        <w:t xml:space="preserve"> </w:t>
      </w:r>
      <w:r w:rsidR="00384954" w:rsidRPr="00FB5A28">
        <w:rPr>
          <w:rFonts w:ascii="Times New Roman" w:hAnsi="Times New Roman"/>
          <w:sz w:val="24"/>
          <w:szCs w:val="24"/>
        </w:rPr>
        <w:t>и</w:t>
      </w:r>
      <w:r w:rsidRPr="00FB5A28">
        <w:rPr>
          <w:rFonts w:ascii="Times New Roman" w:hAnsi="Times New Roman"/>
          <w:sz w:val="24"/>
          <w:szCs w:val="24"/>
        </w:rPr>
        <w:t xml:space="preserve"> </w:t>
      </w:r>
      <w:r w:rsidR="00384954" w:rsidRPr="00FB5A28">
        <w:rPr>
          <w:rFonts w:ascii="Times New Roman" w:hAnsi="Times New Roman"/>
          <w:sz w:val="24"/>
          <w:szCs w:val="24"/>
        </w:rPr>
        <w:t>друге</w:t>
      </w:r>
      <w:r w:rsidRPr="00FB5A28">
        <w:rPr>
          <w:rFonts w:ascii="Times New Roman" w:hAnsi="Times New Roman"/>
          <w:sz w:val="24"/>
          <w:szCs w:val="24"/>
        </w:rPr>
        <w:t xml:space="preserve"> </w:t>
      </w:r>
      <w:r w:rsidR="00384954" w:rsidRPr="00FB5A28">
        <w:rPr>
          <w:rFonts w:ascii="Times New Roman" w:hAnsi="Times New Roman"/>
          <w:sz w:val="24"/>
          <w:szCs w:val="24"/>
        </w:rPr>
        <w:t>увозне</w:t>
      </w:r>
      <w:r w:rsidRPr="00FB5A28">
        <w:rPr>
          <w:rFonts w:ascii="Times New Roman" w:hAnsi="Times New Roman"/>
          <w:sz w:val="24"/>
          <w:szCs w:val="24"/>
        </w:rPr>
        <w:t xml:space="preserve"> </w:t>
      </w:r>
      <w:r w:rsidR="00384954" w:rsidRPr="00FB5A28">
        <w:rPr>
          <w:rFonts w:ascii="Times New Roman" w:hAnsi="Times New Roman"/>
          <w:sz w:val="24"/>
          <w:szCs w:val="24"/>
        </w:rPr>
        <w:t>дажбине</w:t>
      </w:r>
      <w:r w:rsidRPr="00FB5A28">
        <w:rPr>
          <w:rFonts w:ascii="Times New Roman" w:hAnsi="Times New Roman"/>
          <w:sz w:val="24"/>
          <w:szCs w:val="24"/>
        </w:rPr>
        <w:t xml:space="preserve">, </w:t>
      </w:r>
      <w:r w:rsidR="00384954" w:rsidRPr="00FB5A28">
        <w:rPr>
          <w:rFonts w:ascii="Times New Roman" w:hAnsi="Times New Roman"/>
          <w:sz w:val="24"/>
          <w:szCs w:val="24"/>
        </w:rPr>
        <w:t>као</w:t>
      </w:r>
      <w:r w:rsidRPr="00FB5A28">
        <w:rPr>
          <w:rFonts w:ascii="Times New Roman" w:hAnsi="Times New Roman"/>
          <w:sz w:val="24"/>
          <w:szCs w:val="24"/>
        </w:rPr>
        <w:t xml:space="preserve"> </w:t>
      </w:r>
      <w:r w:rsidR="00384954" w:rsidRPr="00FB5A28">
        <w:rPr>
          <w:rFonts w:ascii="Times New Roman" w:hAnsi="Times New Roman"/>
          <w:sz w:val="24"/>
          <w:szCs w:val="24"/>
        </w:rPr>
        <w:t>и</w:t>
      </w:r>
      <w:r w:rsidRPr="00FB5A28">
        <w:rPr>
          <w:rFonts w:ascii="Times New Roman" w:hAnsi="Times New Roman"/>
          <w:sz w:val="24"/>
          <w:szCs w:val="24"/>
        </w:rPr>
        <w:t xml:space="preserve"> </w:t>
      </w:r>
      <w:r w:rsidR="00384954" w:rsidRPr="00FB5A28">
        <w:rPr>
          <w:rFonts w:ascii="Times New Roman" w:hAnsi="Times New Roman"/>
          <w:sz w:val="24"/>
          <w:szCs w:val="24"/>
        </w:rPr>
        <w:t>остали</w:t>
      </w:r>
      <w:r w:rsidRPr="00FB5A28">
        <w:rPr>
          <w:rFonts w:ascii="Times New Roman" w:hAnsi="Times New Roman"/>
          <w:sz w:val="24"/>
          <w:szCs w:val="24"/>
        </w:rPr>
        <w:t xml:space="preserve"> </w:t>
      </w:r>
      <w:r w:rsidR="00384954" w:rsidRPr="00FB5A28">
        <w:rPr>
          <w:rFonts w:ascii="Times New Roman" w:hAnsi="Times New Roman"/>
          <w:sz w:val="24"/>
          <w:szCs w:val="24"/>
        </w:rPr>
        <w:t>јавни</w:t>
      </w:r>
      <w:r w:rsidRPr="00FB5A28">
        <w:rPr>
          <w:rFonts w:ascii="Times New Roman" w:hAnsi="Times New Roman"/>
          <w:sz w:val="24"/>
          <w:szCs w:val="24"/>
        </w:rPr>
        <w:t xml:space="preserve"> </w:t>
      </w:r>
      <w:r w:rsidR="00384954" w:rsidRPr="00FB5A28">
        <w:rPr>
          <w:rFonts w:ascii="Times New Roman" w:hAnsi="Times New Roman"/>
          <w:sz w:val="24"/>
          <w:szCs w:val="24"/>
        </w:rPr>
        <w:t>приходи</w:t>
      </w:r>
      <w:r w:rsidRPr="00FB5A28">
        <w:rPr>
          <w:rFonts w:ascii="Times New Roman" w:hAnsi="Times New Roman"/>
          <w:sz w:val="24"/>
          <w:szCs w:val="24"/>
        </w:rPr>
        <w:t xml:space="preserve">, </w:t>
      </w:r>
      <w:r w:rsidR="00384954" w:rsidRPr="00FB5A28">
        <w:rPr>
          <w:rFonts w:ascii="Times New Roman" w:hAnsi="Times New Roman"/>
          <w:sz w:val="24"/>
          <w:szCs w:val="24"/>
        </w:rPr>
        <w:t>осим</w:t>
      </w:r>
      <w:r w:rsidRPr="00FB5A28">
        <w:rPr>
          <w:rFonts w:ascii="Times New Roman" w:hAnsi="Times New Roman"/>
          <w:sz w:val="24"/>
          <w:szCs w:val="24"/>
        </w:rPr>
        <w:t xml:space="preserve"> </w:t>
      </w:r>
      <w:r w:rsidR="00384954" w:rsidRPr="00FB5A28">
        <w:rPr>
          <w:rFonts w:ascii="Times New Roman" w:hAnsi="Times New Roman"/>
          <w:sz w:val="24"/>
          <w:szCs w:val="24"/>
        </w:rPr>
        <w:t>ПДВ</w:t>
      </w:r>
      <w:r w:rsidRPr="00FB5A28">
        <w:rPr>
          <w:rFonts w:ascii="Times New Roman" w:hAnsi="Times New Roman"/>
          <w:sz w:val="24"/>
          <w:szCs w:val="24"/>
        </w:rPr>
        <w:t>;</w:t>
      </w:r>
    </w:p>
    <w:p w:rsidR="00384954" w:rsidRPr="00FB5A28" w:rsidRDefault="00E938EA" w:rsidP="00FB5A28">
      <w:pPr>
        <w:jc w:val="both"/>
        <w:rPr>
          <w:rFonts w:ascii="Times New Roman" w:hAnsi="Times New Roman"/>
          <w:sz w:val="24"/>
          <w:szCs w:val="24"/>
          <w:lang w:val="sr-Cyrl-CS"/>
        </w:rPr>
      </w:pPr>
      <w:r w:rsidRPr="00FB5A28">
        <w:rPr>
          <w:rFonts w:ascii="Times New Roman" w:hAnsi="Times New Roman"/>
          <w:sz w:val="24"/>
          <w:szCs w:val="24"/>
        </w:rPr>
        <w:t xml:space="preserve">2) </w:t>
      </w:r>
      <w:r w:rsidR="00384954" w:rsidRPr="00FB5A28">
        <w:rPr>
          <w:rFonts w:ascii="Times New Roman" w:hAnsi="Times New Roman"/>
          <w:sz w:val="24"/>
          <w:szCs w:val="24"/>
        </w:rPr>
        <w:t>сви</w:t>
      </w:r>
      <w:r w:rsidRPr="00FB5A28">
        <w:rPr>
          <w:rFonts w:ascii="Times New Roman" w:hAnsi="Times New Roman"/>
          <w:sz w:val="24"/>
          <w:szCs w:val="24"/>
        </w:rPr>
        <w:t xml:space="preserve"> </w:t>
      </w:r>
      <w:r w:rsidR="00384954" w:rsidRPr="00FB5A28">
        <w:rPr>
          <w:rFonts w:ascii="Times New Roman" w:hAnsi="Times New Roman"/>
          <w:sz w:val="24"/>
          <w:szCs w:val="24"/>
        </w:rPr>
        <w:t>споредни</w:t>
      </w:r>
      <w:r w:rsidRPr="00FB5A28">
        <w:rPr>
          <w:rFonts w:ascii="Times New Roman" w:hAnsi="Times New Roman"/>
          <w:sz w:val="24"/>
          <w:szCs w:val="24"/>
        </w:rPr>
        <w:t xml:space="preserve"> </w:t>
      </w:r>
      <w:r w:rsidR="00384954" w:rsidRPr="00FB5A28">
        <w:rPr>
          <w:rFonts w:ascii="Times New Roman" w:hAnsi="Times New Roman"/>
          <w:sz w:val="24"/>
          <w:szCs w:val="24"/>
        </w:rPr>
        <w:t>трошкови</w:t>
      </w:r>
      <w:r w:rsidRPr="00FB5A28">
        <w:rPr>
          <w:rFonts w:ascii="Times New Roman" w:hAnsi="Times New Roman"/>
          <w:sz w:val="24"/>
          <w:szCs w:val="24"/>
        </w:rPr>
        <w:t xml:space="preserve"> </w:t>
      </w:r>
      <w:r w:rsidR="00384954" w:rsidRPr="00FB5A28">
        <w:rPr>
          <w:rFonts w:ascii="Times New Roman" w:hAnsi="Times New Roman"/>
          <w:sz w:val="24"/>
          <w:szCs w:val="24"/>
        </w:rPr>
        <w:t>које</w:t>
      </w:r>
      <w:r w:rsidRPr="00FB5A28">
        <w:rPr>
          <w:rFonts w:ascii="Times New Roman" w:hAnsi="Times New Roman"/>
          <w:sz w:val="24"/>
          <w:szCs w:val="24"/>
        </w:rPr>
        <w:t xml:space="preserve"> </w:t>
      </w:r>
      <w:r w:rsidR="00384954" w:rsidRPr="00FB5A28">
        <w:rPr>
          <w:rFonts w:ascii="Times New Roman" w:hAnsi="Times New Roman"/>
          <w:sz w:val="24"/>
          <w:szCs w:val="24"/>
        </w:rPr>
        <w:t>обвезник</w:t>
      </w:r>
      <w:r w:rsidRPr="00FB5A28">
        <w:rPr>
          <w:rFonts w:ascii="Times New Roman" w:hAnsi="Times New Roman"/>
          <w:sz w:val="24"/>
          <w:szCs w:val="24"/>
        </w:rPr>
        <w:t xml:space="preserve"> </w:t>
      </w:r>
      <w:r w:rsidR="00384954" w:rsidRPr="00FB5A28">
        <w:rPr>
          <w:rFonts w:ascii="Times New Roman" w:hAnsi="Times New Roman"/>
          <w:sz w:val="24"/>
          <w:szCs w:val="24"/>
        </w:rPr>
        <w:t>зарачунава</w:t>
      </w:r>
      <w:r w:rsidRPr="00FB5A28">
        <w:rPr>
          <w:rFonts w:ascii="Times New Roman" w:hAnsi="Times New Roman"/>
          <w:sz w:val="24"/>
          <w:szCs w:val="24"/>
        </w:rPr>
        <w:t xml:space="preserve"> </w:t>
      </w:r>
      <w:r w:rsidR="00384954" w:rsidRPr="00FB5A28">
        <w:rPr>
          <w:rFonts w:ascii="Times New Roman" w:hAnsi="Times New Roman"/>
          <w:sz w:val="24"/>
          <w:szCs w:val="24"/>
        </w:rPr>
        <w:t>примаоцу</w:t>
      </w:r>
      <w:r w:rsidRPr="00FB5A28">
        <w:rPr>
          <w:rFonts w:ascii="Times New Roman" w:hAnsi="Times New Roman"/>
          <w:sz w:val="24"/>
          <w:szCs w:val="24"/>
        </w:rPr>
        <w:t xml:space="preserve"> </w:t>
      </w:r>
      <w:r w:rsidR="00384954" w:rsidRPr="00FB5A28">
        <w:rPr>
          <w:rFonts w:ascii="Times New Roman" w:hAnsi="Times New Roman"/>
          <w:sz w:val="24"/>
          <w:szCs w:val="24"/>
        </w:rPr>
        <w:t>добара</w:t>
      </w:r>
      <w:r w:rsidRPr="00FB5A28">
        <w:rPr>
          <w:rFonts w:ascii="Times New Roman" w:hAnsi="Times New Roman"/>
          <w:sz w:val="24"/>
          <w:szCs w:val="24"/>
        </w:rPr>
        <w:t xml:space="preserve"> </w:t>
      </w:r>
      <w:r w:rsidR="00384954" w:rsidRPr="00FB5A28">
        <w:rPr>
          <w:rFonts w:ascii="Times New Roman" w:hAnsi="Times New Roman"/>
          <w:sz w:val="24"/>
          <w:szCs w:val="24"/>
        </w:rPr>
        <w:t>и</w:t>
      </w:r>
      <w:r w:rsidRPr="00FB5A28">
        <w:rPr>
          <w:rFonts w:ascii="Times New Roman" w:hAnsi="Times New Roman"/>
          <w:sz w:val="24"/>
          <w:szCs w:val="24"/>
        </w:rPr>
        <w:t xml:space="preserve"> </w:t>
      </w:r>
      <w:r w:rsidR="00384954" w:rsidRPr="00FB5A28">
        <w:rPr>
          <w:rFonts w:ascii="Times New Roman" w:hAnsi="Times New Roman"/>
          <w:sz w:val="24"/>
          <w:szCs w:val="24"/>
        </w:rPr>
        <w:t>услуга</w:t>
      </w:r>
      <w:r w:rsidRPr="00FB5A28">
        <w:rPr>
          <w:rFonts w:ascii="Times New Roman" w:hAnsi="Times New Roman"/>
          <w:sz w:val="24"/>
          <w:szCs w:val="24"/>
        </w:rPr>
        <w:t>.</w:t>
      </w:r>
    </w:p>
    <w:p w:rsidR="00AA7EB9" w:rsidRPr="00FB5A28" w:rsidRDefault="00384954" w:rsidP="00FB5A28">
      <w:pPr>
        <w:jc w:val="both"/>
        <w:rPr>
          <w:rFonts w:ascii="Times New Roman" w:hAnsi="Times New Roman"/>
          <w:sz w:val="24"/>
          <w:szCs w:val="24"/>
          <w:lang w:val="sr-Cyrl-CS"/>
        </w:rPr>
      </w:pPr>
      <w:r w:rsidRPr="00FB5A28">
        <w:rPr>
          <w:rFonts w:ascii="Times New Roman" w:hAnsi="Times New Roman"/>
          <w:sz w:val="24"/>
          <w:szCs w:val="24"/>
          <w:lang w:val="sr-Cyrl-CS"/>
        </w:rPr>
        <w:t>Док о</w:t>
      </w:r>
      <w:r w:rsidRPr="00FB5A28">
        <w:rPr>
          <w:rFonts w:ascii="Times New Roman" w:hAnsi="Times New Roman"/>
          <w:sz w:val="24"/>
          <w:szCs w:val="24"/>
        </w:rPr>
        <w:t>сновица</w:t>
      </w:r>
      <w:r w:rsidR="00E938EA" w:rsidRPr="00FB5A28">
        <w:rPr>
          <w:rFonts w:ascii="Times New Roman" w:hAnsi="Times New Roman"/>
          <w:sz w:val="24"/>
          <w:szCs w:val="24"/>
        </w:rPr>
        <w:t xml:space="preserve"> </w:t>
      </w:r>
      <w:r w:rsidRPr="00FB5A28">
        <w:rPr>
          <w:rFonts w:ascii="Times New Roman" w:hAnsi="Times New Roman"/>
          <w:sz w:val="24"/>
          <w:szCs w:val="24"/>
        </w:rPr>
        <w:t>не</w:t>
      </w:r>
      <w:r w:rsidR="00E938EA" w:rsidRPr="00FB5A28">
        <w:rPr>
          <w:rFonts w:ascii="Times New Roman" w:hAnsi="Times New Roman"/>
          <w:sz w:val="24"/>
          <w:szCs w:val="24"/>
        </w:rPr>
        <w:t xml:space="preserve"> </w:t>
      </w:r>
      <w:r w:rsidRPr="00FB5A28">
        <w:rPr>
          <w:rFonts w:ascii="Times New Roman" w:hAnsi="Times New Roman"/>
          <w:sz w:val="24"/>
          <w:szCs w:val="24"/>
        </w:rPr>
        <w:t>садржи</w:t>
      </w:r>
      <w:r w:rsidR="00E938EA" w:rsidRPr="00FB5A28">
        <w:rPr>
          <w:rFonts w:ascii="Times New Roman" w:hAnsi="Times New Roman"/>
          <w:sz w:val="24"/>
          <w:szCs w:val="24"/>
        </w:rPr>
        <w:t>:</w:t>
      </w:r>
    </w:p>
    <w:p w:rsidR="00AA7EB9" w:rsidRPr="00FB5A28" w:rsidRDefault="00E938EA" w:rsidP="00FB5A28">
      <w:pPr>
        <w:jc w:val="both"/>
        <w:rPr>
          <w:rFonts w:ascii="Times New Roman" w:hAnsi="Times New Roman"/>
          <w:sz w:val="24"/>
          <w:szCs w:val="24"/>
          <w:lang w:val="sr-Cyrl-CS"/>
        </w:rPr>
      </w:pPr>
      <w:r w:rsidRPr="00FB5A28">
        <w:rPr>
          <w:rFonts w:ascii="Times New Roman" w:hAnsi="Times New Roman"/>
          <w:sz w:val="24"/>
          <w:szCs w:val="24"/>
        </w:rPr>
        <w:t xml:space="preserve">1) </w:t>
      </w:r>
      <w:r w:rsidR="00384954" w:rsidRPr="00FB5A28">
        <w:rPr>
          <w:rFonts w:ascii="Times New Roman" w:hAnsi="Times New Roman"/>
          <w:sz w:val="24"/>
          <w:szCs w:val="24"/>
        </w:rPr>
        <w:t>попусте</w:t>
      </w:r>
      <w:r w:rsidRPr="00FB5A28">
        <w:rPr>
          <w:rFonts w:ascii="Times New Roman" w:hAnsi="Times New Roman"/>
          <w:sz w:val="24"/>
          <w:szCs w:val="24"/>
        </w:rPr>
        <w:t xml:space="preserve"> </w:t>
      </w:r>
      <w:r w:rsidR="00384954" w:rsidRPr="00FB5A28">
        <w:rPr>
          <w:rFonts w:ascii="Times New Roman" w:hAnsi="Times New Roman"/>
          <w:sz w:val="24"/>
          <w:szCs w:val="24"/>
        </w:rPr>
        <w:t>и</w:t>
      </w:r>
      <w:r w:rsidRPr="00FB5A28">
        <w:rPr>
          <w:rFonts w:ascii="Times New Roman" w:hAnsi="Times New Roman"/>
          <w:sz w:val="24"/>
          <w:szCs w:val="24"/>
        </w:rPr>
        <w:t xml:space="preserve"> </w:t>
      </w:r>
      <w:r w:rsidR="00384954" w:rsidRPr="00FB5A28">
        <w:rPr>
          <w:rFonts w:ascii="Times New Roman" w:hAnsi="Times New Roman"/>
          <w:sz w:val="24"/>
          <w:szCs w:val="24"/>
        </w:rPr>
        <w:t>друга</w:t>
      </w:r>
      <w:r w:rsidRPr="00FB5A28">
        <w:rPr>
          <w:rFonts w:ascii="Times New Roman" w:hAnsi="Times New Roman"/>
          <w:sz w:val="24"/>
          <w:szCs w:val="24"/>
        </w:rPr>
        <w:t xml:space="preserve"> </w:t>
      </w:r>
      <w:r w:rsidR="00384954" w:rsidRPr="00FB5A28">
        <w:rPr>
          <w:rFonts w:ascii="Times New Roman" w:hAnsi="Times New Roman"/>
          <w:sz w:val="24"/>
          <w:szCs w:val="24"/>
        </w:rPr>
        <w:t>умањења</w:t>
      </w:r>
      <w:r w:rsidRPr="00FB5A28">
        <w:rPr>
          <w:rFonts w:ascii="Times New Roman" w:hAnsi="Times New Roman"/>
          <w:sz w:val="24"/>
          <w:szCs w:val="24"/>
        </w:rPr>
        <w:t xml:space="preserve"> </w:t>
      </w:r>
      <w:r w:rsidR="00384954" w:rsidRPr="00FB5A28">
        <w:rPr>
          <w:rFonts w:ascii="Times New Roman" w:hAnsi="Times New Roman"/>
          <w:sz w:val="24"/>
          <w:szCs w:val="24"/>
        </w:rPr>
        <w:t>цене</w:t>
      </w:r>
      <w:r w:rsidRPr="00FB5A28">
        <w:rPr>
          <w:rFonts w:ascii="Times New Roman" w:hAnsi="Times New Roman"/>
          <w:sz w:val="24"/>
          <w:szCs w:val="24"/>
        </w:rPr>
        <w:t xml:space="preserve">, </w:t>
      </w:r>
      <w:r w:rsidR="00384954" w:rsidRPr="00FB5A28">
        <w:rPr>
          <w:rFonts w:ascii="Times New Roman" w:hAnsi="Times New Roman"/>
          <w:sz w:val="24"/>
          <w:szCs w:val="24"/>
        </w:rPr>
        <w:t>који</w:t>
      </w:r>
      <w:r w:rsidRPr="00FB5A28">
        <w:rPr>
          <w:rFonts w:ascii="Times New Roman" w:hAnsi="Times New Roman"/>
          <w:sz w:val="24"/>
          <w:szCs w:val="24"/>
        </w:rPr>
        <w:t xml:space="preserve"> </w:t>
      </w:r>
      <w:r w:rsidR="00384954" w:rsidRPr="00FB5A28">
        <w:rPr>
          <w:rFonts w:ascii="Times New Roman" w:hAnsi="Times New Roman"/>
          <w:sz w:val="24"/>
          <w:szCs w:val="24"/>
        </w:rPr>
        <w:t>се</w:t>
      </w:r>
      <w:r w:rsidRPr="00FB5A28">
        <w:rPr>
          <w:rFonts w:ascii="Times New Roman" w:hAnsi="Times New Roman"/>
          <w:sz w:val="24"/>
          <w:szCs w:val="24"/>
        </w:rPr>
        <w:t xml:space="preserve"> </w:t>
      </w:r>
      <w:r w:rsidR="00384954" w:rsidRPr="00FB5A28">
        <w:rPr>
          <w:rFonts w:ascii="Times New Roman" w:hAnsi="Times New Roman"/>
          <w:sz w:val="24"/>
          <w:szCs w:val="24"/>
        </w:rPr>
        <w:t>примаоцу</w:t>
      </w:r>
      <w:r w:rsidRPr="00FB5A28">
        <w:rPr>
          <w:rFonts w:ascii="Times New Roman" w:hAnsi="Times New Roman"/>
          <w:sz w:val="24"/>
          <w:szCs w:val="24"/>
        </w:rPr>
        <w:t xml:space="preserve"> </w:t>
      </w:r>
      <w:r w:rsidR="00384954" w:rsidRPr="00FB5A28">
        <w:rPr>
          <w:rFonts w:ascii="Times New Roman" w:hAnsi="Times New Roman"/>
          <w:sz w:val="24"/>
          <w:szCs w:val="24"/>
        </w:rPr>
        <w:t>добара</w:t>
      </w:r>
      <w:r w:rsidRPr="00FB5A28">
        <w:rPr>
          <w:rFonts w:ascii="Times New Roman" w:hAnsi="Times New Roman"/>
          <w:sz w:val="24"/>
          <w:szCs w:val="24"/>
        </w:rPr>
        <w:t xml:space="preserve"> </w:t>
      </w:r>
      <w:r w:rsidR="00384954" w:rsidRPr="00FB5A28">
        <w:rPr>
          <w:rFonts w:ascii="Times New Roman" w:hAnsi="Times New Roman"/>
          <w:sz w:val="24"/>
          <w:szCs w:val="24"/>
        </w:rPr>
        <w:t>или</w:t>
      </w:r>
      <w:r w:rsidRPr="00FB5A28">
        <w:rPr>
          <w:rFonts w:ascii="Times New Roman" w:hAnsi="Times New Roman"/>
          <w:sz w:val="24"/>
          <w:szCs w:val="24"/>
        </w:rPr>
        <w:t xml:space="preserve"> </w:t>
      </w:r>
      <w:r w:rsidR="00384954" w:rsidRPr="00FB5A28">
        <w:rPr>
          <w:rFonts w:ascii="Times New Roman" w:hAnsi="Times New Roman"/>
          <w:sz w:val="24"/>
          <w:szCs w:val="24"/>
        </w:rPr>
        <w:t>услуга</w:t>
      </w:r>
      <w:r w:rsidRPr="00FB5A28">
        <w:rPr>
          <w:rFonts w:ascii="Times New Roman" w:hAnsi="Times New Roman"/>
          <w:sz w:val="24"/>
          <w:szCs w:val="24"/>
        </w:rPr>
        <w:t xml:space="preserve"> </w:t>
      </w:r>
      <w:r w:rsidR="00384954" w:rsidRPr="00FB5A28">
        <w:rPr>
          <w:rFonts w:ascii="Times New Roman" w:hAnsi="Times New Roman"/>
          <w:sz w:val="24"/>
          <w:szCs w:val="24"/>
        </w:rPr>
        <w:t>одобравају</w:t>
      </w:r>
      <w:r w:rsidRPr="00FB5A28">
        <w:rPr>
          <w:rFonts w:ascii="Times New Roman" w:hAnsi="Times New Roman"/>
          <w:sz w:val="24"/>
          <w:szCs w:val="24"/>
        </w:rPr>
        <w:t xml:space="preserve"> </w:t>
      </w:r>
      <w:r w:rsidR="00384954" w:rsidRPr="00FB5A28">
        <w:rPr>
          <w:rFonts w:ascii="Times New Roman" w:hAnsi="Times New Roman"/>
          <w:sz w:val="24"/>
          <w:szCs w:val="24"/>
        </w:rPr>
        <w:t>у</w:t>
      </w:r>
      <w:r w:rsidRPr="00FB5A28">
        <w:rPr>
          <w:rFonts w:ascii="Times New Roman" w:hAnsi="Times New Roman"/>
          <w:sz w:val="24"/>
          <w:szCs w:val="24"/>
        </w:rPr>
        <w:t xml:space="preserve"> </w:t>
      </w:r>
      <w:r w:rsidR="00384954" w:rsidRPr="00FB5A28">
        <w:rPr>
          <w:rFonts w:ascii="Times New Roman" w:hAnsi="Times New Roman"/>
          <w:sz w:val="24"/>
          <w:szCs w:val="24"/>
        </w:rPr>
        <w:t>моменту</w:t>
      </w:r>
      <w:r w:rsidRPr="00FB5A28">
        <w:rPr>
          <w:rFonts w:ascii="Times New Roman" w:hAnsi="Times New Roman"/>
          <w:sz w:val="24"/>
          <w:szCs w:val="24"/>
        </w:rPr>
        <w:t xml:space="preserve"> </w:t>
      </w:r>
      <w:r w:rsidR="00384954" w:rsidRPr="00FB5A28">
        <w:rPr>
          <w:rFonts w:ascii="Times New Roman" w:hAnsi="Times New Roman"/>
          <w:sz w:val="24"/>
          <w:szCs w:val="24"/>
        </w:rPr>
        <w:t>вршења</w:t>
      </w:r>
      <w:r w:rsidRPr="00FB5A28">
        <w:rPr>
          <w:rFonts w:ascii="Times New Roman" w:hAnsi="Times New Roman"/>
          <w:sz w:val="24"/>
          <w:szCs w:val="24"/>
        </w:rPr>
        <w:t xml:space="preserve"> </w:t>
      </w:r>
      <w:r w:rsidR="00384954" w:rsidRPr="00FB5A28">
        <w:rPr>
          <w:rFonts w:ascii="Times New Roman" w:hAnsi="Times New Roman"/>
          <w:sz w:val="24"/>
          <w:szCs w:val="24"/>
        </w:rPr>
        <w:t>промета</w:t>
      </w:r>
      <w:r w:rsidRPr="00FB5A28">
        <w:rPr>
          <w:rFonts w:ascii="Times New Roman" w:hAnsi="Times New Roman"/>
          <w:sz w:val="24"/>
          <w:szCs w:val="24"/>
        </w:rPr>
        <w:t xml:space="preserve"> </w:t>
      </w:r>
      <w:r w:rsidR="00384954" w:rsidRPr="00FB5A28">
        <w:rPr>
          <w:rFonts w:ascii="Times New Roman" w:hAnsi="Times New Roman"/>
          <w:sz w:val="24"/>
          <w:szCs w:val="24"/>
        </w:rPr>
        <w:t>добара</w:t>
      </w:r>
      <w:r w:rsidRPr="00FB5A28">
        <w:rPr>
          <w:rFonts w:ascii="Times New Roman" w:hAnsi="Times New Roman"/>
          <w:sz w:val="24"/>
          <w:szCs w:val="24"/>
        </w:rPr>
        <w:t xml:space="preserve"> </w:t>
      </w:r>
      <w:r w:rsidR="00384954" w:rsidRPr="00FB5A28">
        <w:rPr>
          <w:rFonts w:ascii="Times New Roman" w:hAnsi="Times New Roman"/>
          <w:sz w:val="24"/>
          <w:szCs w:val="24"/>
        </w:rPr>
        <w:t>или</w:t>
      </w:r>
      <w:r w:rsidRPr="00FB5A28">
        <w:rPr>
          <w:rFonts w:ascii="Times New Roman" w:hAnsi="Times New Roman"/>
          <w:sz w:val="24"/>
          <w:szCs w:val="24"/>
        </w:rPr>
        <w:t xml:space="preserve"> </w:t>
      </w:r>
      <w:r w:rsidR="00384954" w:rsidRPr="00FB5A28">
        <w:rPr>
          <w:rFonts w:ascii="Times New Roman" w:hAnsi="Times New Roman"/>
          <w:sz w:val="24"/>
          <w:szCs w:val="24"/>
        </w:rPr>
        <w:t>услуга</w:t>
      </w:r>
      <w:r w:rsidRPr="00FB5A28">
        <w:rPr>
          <w:rFonts w:ascii="Times New Roman" w:hAnsi="Times New Roman"/>
          <w:sz w:val="24"/>
          <w:szCs w:val="24"/>
        </w:rPr>
        <w:t>;</w:t>
      </w:r>
    </w:p>
    <w:p w:rsidR="00384954" w:rsidRPr="00FB5A28" w:rsidRDefault="00E938EA" w:rsidP="00FB5A28">
      <w:pPr>
        <w:jc w:val="both"/>
        <w:rPr>
          <w:rFonts w:ascii="Times New Roman" w:hAnsi="Times New Roman"/>
          <w:sz w:val="24"/>
          <w:szCs w:val="24"/>
          <w:lang w:val="sr-Cyrl-CS"/>
        </w:rPr>
      </w:pPr>
      <w:r w:rsidRPr="00FB5A28">
        <w:rPr>
          <w:rFonts w:ascii="Times New Roman" w:hAnsi="Times New Roman"/>
          <w:sz w:val="24"/>
          <w:szCs w:val="24"/>
        </w:rPr>
        <w:t xml:space="preserve">2) </w:t>
      </w:r>
      <w:r w:rsidR="00384954" w:rsidRPr="00FB5A28">
        <w:rPr>
          <w:rFonts w:ascii="Times New Roman" w:hAnsi="Times New Roman"/>
          <w:sz w:val="24"/>
          <w:szCs w:val="24"/>
        </w:rPr>
        <w:t>износе</w:t>
      </w:r>
      <w:r w:rsidRPr="00FB5A28">
        <w:rPr>
          <w:rFonts w:ascii="Times New Roman" w:hAnsi="Times New Roman"/>
          <w:sz w:val="24"/>
          <w:szCs w:val="24"/>
        </w:rPr>
        <w:t xml:space="preserve"> </w:t>
      </w:r>
      <w:r w:rsidR="00384954" w:rsidRPr="00FB5A28">
        <w:rPr>
          <w:rFonts w:ascii="Times New Roman" w:hAnsi="Times New Roman"/>
          <w:sz w:val="24"/>
          <w:szCs w:val="24"/>
        </w:rPr>
        <w:t>које</w:t>
      </w:r>
      <w:r w:rsidRPr="00FB5A28">
        <w:rPr>
          <w:rFonts w:ascii="Times New Roman" w:hAnsi="Times New Roman"/>
          <w:sz w:val="24"/>
          <w:szCs w:val="24"/>
        </w:rPr>
        <w:t xml:space="preserve"> </w:t>
      </w:r>
      <w:r w:rsidR="00384954" w:rsidRPr="00FB5A28">
        <w:rPr>
          <w:rFonts w:ascii="Times New Roman" w:hAnsi="Times New Roman"/>
          <w:sz w:val="24"/>
          <w:szCs w:val="24"/>
        </w:rPr>
        <w:t>обвезник</w:t>
      </w:r>
      <w:r w:rsidRPr="00FB5A28">
        <w:rPr>
          <w:rFonts w:ascii="Times New Roman" w:hAnsi="Times New Roman"/>
          <w:sz w:val="24"/>
          <w:szCs w:val="24"/>
        </w:rPr>
        <w:t xml:space="preserve"> </w:t>
      </w:r>
      <w:r w:rsidR="00384954" w:rsidRPr="00FB5A28">
        <w:rPr>
          <w:rFonts w:ascii="Times New Roman" w:hAnsi="Times New Roman"/>
          <w:sz w:val="24"/>
          <w:szCs w:val="24"/>
        </w:rPr>
        <w:t>наплаћује</w:t>
      </w:r>
      <w:r w:rsidRPr="00FB5A28">
        <w:rPr>
          <w:rFonts w:ascii="Times New Roman" w:hAnsi="Times New Roman"/>
          <w:sz w:val="24"/>
          <w:szCs w:val="24"/>
        </w:rPr>
        <w:t xml:space="preserve"> </w:t>
      </w:r>
      <w:r w:rsidR="00384954" w:rsidRPr="00FB5A28">
        <w:rPr>
          <w:rFonts w:ascii="Times New Roman" w:hAnsi="Times New Roman"/>
          <w:sz w:val="24"/>
          <w:szCs w:val="24"/>
        </w:rPr>
        <w:t>у</w:t>
      </w:r>
      <w:r w:rsidRPr="00FB5A28">
        <w:rPr>
          <w:rFonts w:ascii="Times New Roman" w:hAnsi="Times New Roman"/>
          <w:sz w:val="24"/>
          <w:szCs w:val="24"/>
        </w:rPr>
        <w:t xml:space="preserve"> </w:t>
      </w:r>
      <w:r w:rsidR="00384954" w:rsidRPr="00FB5A28">
        <w:rPr>
          <w:rFonts w:ascii="Times New Roman" w:hAnsi="Times New Roman"/>
          <w:sz w:val="24"/>
          <w:szCs w:val="24"/>
        </w:rPr>
        <w:t>име</w:t>
      </w:r>
      <w:r w:rsidRPr="00FB5A28">
        <w:rPr>
          <w:rFonts w:ascii="Times New Roman" w:hAnsi="Times New Roman"/>
          <w:sz w:val="24"/>
          <w:szCs w:val="24"/>
        </w:rPr>
        <w:t xml:space="preserve"> </w:t>
      </w:r>
      <w:r w:rsidR="00384954" w:rsidRPr="00FB5A28">
        <w:rPr>
          <w:rFonts w:ascii="Times New Roman" w:hAnsi="Times New Roman"/>
          <w:sz w:val="24"/>
          <w:szCs w:val="24"/>
        </w:rPr>
        <w:t>и</w:t>
      </w:r>
      <w:r w:rsidRPr="00FB5A28">
        <w:rPr>
          <w:rFonts w:ascii="Times New Roman" w:hAnsi="Times New Roman"/>
          <w:sz w:val="24"/>
          <w:szCs w:val="24"/>
        </w:rPr>
        <w:t xml:space="preserve"> </w:t>
      </w:r>
      <w:r w:rsidR="00384954" w:rsidRPr="00FB5A28">
        <w:rPr>
          <w:rFonts w:ascii="Times New Roman" w:hAnsi="Times New Roman"/>
          <w:sz w:val="24"/>
          <w:szCs w:val="24"/>
        </w:rPr>
        <w:t>за</w:t>
      </w:r>
      <w:r w:rsidRPr="00FB5A28">
        <w:rPr>
          <w:rFonts w:ascii="Times New Roman" w:hAnsi="Times New Roman"/>
          <w:sz w:val="24"/>
          <w:szCs w:val="24"/>
        </w:rPr>
        <w:t xml:space="preserve"> </w:t>
      </w:r>
      <w:r w:rsidR="00384954" w:rsidRPr="00FB5A28">
        <w:rPr>
          <w:rFonts w:ascii="Times New Roman" w:hAnsi="Times New Roman"/>
          <w:sz w:val="24"/>
          <w:szCs w:val="24"/>
        </w:rPr>
        <w:t>рачун</w:t>
      </w:r>
      <w:r w:rsidRPr="00FB5A28">
        <w:rPr>
          <w:rFonts w:ascii="Times New Roman" w:hAnsi="Times New Roman"/>
          <w:sz w:val="24"/>
          <w:szCs w:val="24"/>
        </w:rPr>
        <w:t xml:space="preserve"> </w:t>
      </w:r>
      <w:r w:rsidR="00384954" w:rsidRPr="00FB5A28">
        <w:rPr>
          <w:rFonts w:ascii="Times New Roman" w:hAnsi="Times New Roman"/>
          <w:sz w:val="24"/>
          <w:szCs w:val="24"/>
        </w:rPr>
        <w:t>другог</w:t>
      </w:r>
      <w:r w:rsidRPr="00FB5A28">
        <w:rPr>
          <w:rFonts w:ascii="Times New Roman" w:hAnsi="Times New Roman"/>
          <w:sz w:val="24"/>
          <w:szCs w:val="24"/>
        </w:rPr>
        <w:t xml:space="preserve">, </w:t>
      </w:r>
      <w:r w:rsidR="00384954" w:rsidRPr="00FB5A28">
        <w:rPr>
          <w:rFonts w:ascii="Times New Roman" w:hAnsi="Times New Roman"/>
          <w:sz w:val="24"/>
          <w:szCs w:val="24"/>
        </w:rPr>
        <w:t>ако</w:t>
      </w:r>
      <w:r w:rsidRPr="00FB5A28">
        <w:rPr>
          <w:rFonts w:ascii="Times New Roman" w:hAnsi="Times New Roman"/>
          <w:sz w:val="24"/>
          <w:szCs w:val="24"/>
        </w:rPr>
        <w:t xml:space="preserve"> </w:t>
      </w:r>
      <w:r w:rsidR="00384954" w:rsidRPr="00FB5A28">
        <w:rPr>
          <w:rFonts w:ascii="Times New Roman" w:hAnsi="Times New Roman"/>
          <w:sz w:val="24"/>
          <w:szCs w:val="24"/>
        </w:rPr>
        <w:t>тај</w:t>
      </w:r>
      <w:r w:rsidRPr="00FB5A28">
        <w:rPr>
          <w:rFonts w:ascii="Times New Roman" w:hAnsi="Times New Roman"/>
          <w:sz w:val="24"/>
          <w:szCs w:val="24"/>
        </w:rPr>
        <w:t xml:space="preserve"> </w:t>
      </w:r>
      <w:r w:rsidR="00384954" w:rsidRPr="00FB5A28">
        <w:rPr>
          <w:rFonts w:ascii="Times New Roman" w:hAnsi="Times New Roman"/>
          <w:sz w:val="24"/>
          <w:szCs w:val="24"/>
        </w:rPr>
        <w:t>износ</w:t>
      </w:r>
      <w:r w:rsidRPr="00FB5A28">
        <w:rPr>
          <w:rFonts w:ascii="Times New Roman" w:hAnsi="Times New Roman"/>
          <w:sz w:val="24"/>
          <w:szCs w:val="24"/>
        </w:rPr>
        <w:t xml:space="preserve"> </w:t>
      </w:r>
      <w:r w:rsidR="00384954" w:rsidRPr="00FB5A28">
        <w:rPr>
          <w:rFonts w:ascii="Times New Roman" w:hAnsi="Times New Roman"/>
          <w:sz w:val="24"/>
          <w:szCs w:val="24"/>
        </w:rPr>
        <w:t>преноси</w:t>
      </w:r>
      <w:r w:rsidRPr="00FB5A28">
        <w:rPr>
          <w:rFonts w:ascii="Times New Roman" w:hAnsi="Times New Roman"/>
          <w:sz w:val="24"/>
          <w:szCs w:val="24"/>
        </w:rPr>
        <w:t xml:space="preserve"> </w:t>
      </w:r>
      <w:r w:rsidR="00384954" w:rsidRPr="00FB5A28">
        <w:rPr>
          <w:rFonts w:ascii="Times New Roman" w:hAnsi="Times New Roman"/>
          <w:sz w:val="24"/>
          <w:szCs w:val="24"/>
        </w:rPr>
        <w:t>лицу</w:t>
      </w:r>
      <w:r w:rsidRPr="00FB5A28">
        <w:rPr>
          <w:rFonts w:ascii="Times New Roman" w:hAnsi="Times New Roman"/>
          <w:sz w:val="24"/>
          <w:szCs w:val="24"/>
        </w:rPr>
        <w:t xml:space="preserve"> </w:t>
      </w:r>
      <w:r w:rsidR="00384954" w:rsidRPr="00FB5A28">
        <w:rPr>
          <w:rFonts w:ascii="Times New Roman" w:hAnsi="Times New Roman"/>
          <w:sz w:val="24"/>
          <w:szCs w:val="24"/>
        </w:rPr>
        <w:t>у</w:t>
      </w:r>
      <w:r w:rsidRPr="00FB5A28">
        <w:rPr>
          <w:rFonts w:ascii="Times New Roman" w:hAnsi="Times New Roman"/>
          <w:sz w:val="24"/>
          <w:szCs w:val="24"/>
        </w:rPr>
        <w:t xml:space="preserve"> </w:t>
      </w:r>
      <w:r w:rsidR="00384954" w:rsidRPr="00FB5A28">
        <w:rPr>
          <w:rFonts w:ascii="Times New Roman" w:hAnsi="Times New Roman"/>
          <w:sz w:val="24"/>
          <w:szCs w:val="24"/>
        </w:rPr>
        <w:t>чије</w:t>
      </w:r>
      <w:r w:rsidRPr="00FB5A28">
        <w:rPr>
          <w:rFonts w:ascii="Times New Roman" w:hAnsi="Times New Roman"/>
          <w:sz w:val="24"/>
          <w:szCs w:val="24"/>
        </w:rPr>
        <w:t xml:space="preserve"> </w:t>
      </w:r>
      <w:r w:rsidR="00384954" w:rsidRPr="00FB5A28">
        <w:rPr>
          <w:rFonts w:ascii="Times New Roman" w:hAnsi="Times New Roman"/>
          <w:sz w:val="24"/>
          <w:szCs w:val="24"/>
        </w:rPr>
        <w:t>име</w:t>
      </w:r>
      <w:r w:rsidRPr="00FB5A28">
        <w:rPr>
          <w:rFonts w:ascii="Times New Roman" w:hAnsi="Times New Roman"/>
          <w:sz w:val="24"/>
          <w:szCs w:val="24"/>
        </w:rPr>
        <w:t xml:space="preserve"> </w:t>
      </w:r>
      <w:r w:rsidR="00384954" w:rsidRPr="00FB5A28">
        <w:rPr>
          <w:rFonts w:ascii="Times New Roman" w:hAnsi="Times New Roman"/>
          <w:sz w:val="24"/>
          <w:szCs w:val="24"/>
        </w:rPr>
        <w:t>и</w:t>
      </w:r>
      <w:r w:rsidRPr="00FB5A28">
        <w:rPr>
          <w:rFonts w:ascii="Times New Roman" w:hAnsi="Times New Roman"/>
          <w:sz w:val="24"/>
          <w:szCs w:val="24"/>
        </w:rPr>
        <w:t xml:space="preserve"> </w:t>
      </w:r>
      <w:r w:rsidR="00384954" w:rsidRPr="00FB5A28">
        <w:rPr>
          <w:rFonts w:ascii="Times New Roman" w:hAnsi="Times New Roman"/>
          <w:sz w:val="24"/>
          <w:szCs w:val="24"/>
        </w:rPr>
        <w:t>за</w:t>
      </w:r>
      <w:r w:rsidRPr="00FB5A28">
        <w:rPr>
          <w:rFonts w:ascii="Times New Roman" w:hAnsi="Times New Roman"/>
          <w:sz w:val="24"/>
          <w:szCs w:val="24"/>
        </w:rPr>
        <w:t xml:space="preserve"> </w:t>
      </w:r>
      <w:r w:rsidR="00384954" w:rsidRPr="00FB5A28">
        <w:rPr>
          <w:rFonts w:ascii="Times New Roman" w:hAnsi="Times New Roman"/>
          <w:sz w:val="24"/>
          <w:szCs w:val="24"/>
        </w:rPr>
        <w:t>чији</w:t>
      </w:r>
      <w:r w:rsidRPr="00FB5A28">
        <w:rPr>
          <w:rFonts w:ascii="Times New Roman" w:hAnsi="Times New Roman"/>
          <w:sz w:val="24"/>
          <w:szCs w:val="24"/>
        </w:rPr>
        <w:t xml:space="preserve"> </w:t>
      </w:r>
      <w:r w:rsidR="00384954" w:rsidRPr="00FB5A28">
        <w:rPr>
          <w:rFonts w:ascii="Times New Roman" w:hAnsi="Times New Roman"/>
          <w:sz w:val="24"/>
          <w:szCs w:val="24"/>
        </w:rPr>
        <w:t>рачун</w:t>
      </w:r>
      <w:r w:rsidRPr="00FB5A28">
        <w:rPr>
          <w:rFonts w:ascii="Times New Roman" w:hAnsi="Times New Roman"/>
          <w:sz w:val="24"/>
          <w:szCs w:val="24"/>
        </w:rPr>
        <w:t xml:space="preserve"> </w:t>
      </w:r>
      <w:r w:rsidR="00384954" w:rsidRPr="00FB5A28">
        <w:rPr>
          <w:rFonts w:ascii="Times New Roman" w:hAnsi="Times New Roman"/>
          <w:sz w:val="24"/>
          <w:szCs w:val="24"/>
        </w:rPr>
        <w:t>је</w:t>
      </w:r>
      <w:r w:rsidRPr="00FB5A28">
        <w:rPr>
          <w:rFonts w:ascii="Times New Roman" w:hAnsi="Times New Roman"/>
          <w:sz w:val="24"/>
          <w:szCs w:val="24"/>
        </w:rPr>
        <w:t xml:space="preserve"> </w:t>
      </w:r>
      <w:r w:rsidR="00384954" w:rsidRPr="00FB5A28">
        <w:rPr>
          <w:rFonts w:ascii="Times New Roman" w:hAnsi="Times New Roman"/>
          <w:sz w:val="24"/>
          <w:szCs w:val="24"/>
        </w:rPr>
        <w:t>извршио</w:t>
      </w:r>
      <w:r w:rsidRPr="00FB5A28">
        <w:rPr>
          <w:rFonts w:ascii="Times New Roman" w:hAnsi="Times New Roman"/>
          <w:sz w:val="24"/>
          <w:szCs w:val="24"/>
        </w:rPr>
        <w:t xml:space="preserve"> </w:t>
      </w:r>
      <w:r w:rsidR="00384954" w:rsidRPr="00FB5A28">
        <w:rPr>
          <w:rFonts w:ascii="Times New Roman" w:hAnsi="Times New Roman"/>
          <w:sz w:val="24"/>
          <w:szCs w:val="24"/>
        </w:rPr>
        <w:t>наплату</w:t>
      </w:r>
      <w:r w:rsidRPr="00FB5A28">
        <w:rPr>
          <w:rFonts w:ascii="Times New Roman" w:hAnsi="Times New Roman"/>
          <w:sz w:val="24"/>
          <w:szCs w:val="24"/>
        </w:rPr>
        <w:t>.</w:t>
      </w:r>
    </w:p>
    <w:p w:rsidR="00E938EA" w:rsidRPr="00FB5A28" w:rsidRDefault="00384954" w:rsidP="00FB5A28">
      <w:pPr>
        <w:ind w:firstLine="708"/>
        <w:jc w:val="both"/>
        <w:rPr>
          <w:rFonts w:ascii="Times New Roman" w:hAnsi="Times New Roman"/>
          <w:sz w:val="24"/>
          <w:szCs w:val="24"/>
          <w:lang w:val="sr-Cyrl-CS"/>
        </w:rPr>
      </w:pPr>
      <w:r w:rsidRPr="00FB5A28">
        <w:rPr>
          <w:rFonts w:ascii="Times New Roman" w:hAnsi="Times New Roman"/>
          <w:sz w:val="24"/>
          <w:szCs w:val="24"/>
        </w:rPr>
        <w:t>Основицом</w:t>
      </w:r>
      <w:r w:rsidR="00E938EA" w:rsidRPr="00FB5A28">
        <w:rPr>
          <w:rFonts w:ascii="Times New Roman" w:hAnsi="Times New Roman"/>
          <w:sz w:val="24"/>
          <w:szCs w:val="24"/>
        </w:rPr>
        <w:t xml:space="preserve"> </w:t>
      </w:r>
      <w:r w:rsidRPr="00FB5A28">
        <w:rPr>
          <w:rFonts w:ascii="Times New Roman" w:hAnsi="Times New Roman"/>
          <w:sz w:val="24"/>
          <w:szCs w:val="24"/>
        </w:rPr>
        <w:t>код</w:t>
      </w:r>
      <w:r w:rsidR="00E938EA" w:rsidRPr="00FB5A28">
        <w:rPr>
          <w:rFonts w:ascii="Times New Roman" w:hAnsi="Times New Roman"/>
          <w:sz w:val="24"/>
          <w:szCs w:val="24"/>
        </w:rPr>
        <w:t xml:space="preserve"> </w:t>
      </w:r>
      <w:r w:rsidRPr="00FB5A28">
        <w:rPr>
          <w:rFonts w:ascii="Times New Roman" w:hAnsi="Times New Roman"/>
          <w:sz w:val="24"/>
          <w:szCs w:val="24"/>
        </w:rPr>
        <w:t>промета</w:t>
      </w:r>
      <w:r w:rsidR="00E938EA" w:rsidRPr="00FB5A28">
        <w:rPr>
          <w:rFonts w:ascii="Times New Roman" w:hAnsi="Times New Roman"/>
          <w:sz w:val="24"/>
          <w:szCs w:val="24"/>
        </w:rPr>
        <w:t xml:space="preserve"> </w:t>
      </w:r>
      <w:r w:rsidRPr="00FB5A28">
        <w:rPr>
          <w:rFonts w:ascii="Times New Roman" w:hAnsi="Times New Roman"/>
          <w:sz w:val="24"/>
          <w:szCs w:val="24"/>
        </w:rPr>
        <w:t>добара</w:t>
      </w:r>
      <w:r w:rsidR="00E938EA" w:rsidRPr="00FB5A28">
        <w:rPr>
          <w:rFonts w:ascii="Times New Roman" w:hAnsi="Times New Roman"/>
          <w:sz w:val="24"/>
          <w:szCs w:val="24"/>
        </w:rPr>
        <w:t xml:space="preserve"> </w:t>
      </w:r>
      <w:r w:rsidRPr="00FB5A28">
        <w:rPr>
          <w:rFonts w:ascii="Times New Roman" w:hAnsi="Times New Roman"/>
          <w:sz w:val="24"/>
          <w:szCs w:val="24"/>
        </w:rPr>
        <w:t>без</w:t>
      </w:r>
      <w:r w:rsidR="00E938EA" w:rsidRPr="00FB5A28">
        <w:rPr>
          <w:rFonts w:ascii="Times New Roman" w:hAnsi="Times New Roman"/>
          <w:sz w:val="24"/>
          <w:szCs w:val="24"/>
        </w:rPr>
        <w:t xml:space="preserve"> </w:t>
      </w:r>
      <w:r w:rsidRPr="00FB5A28">
        <w:rPr>
          <w:rFonts w:ascii="Times New Roman" w:hAnsi="Times New Roman"/>
          <w:sz w:val="24"/>
          <w:szCs w:val="24"/>
        </w:rPr>
        <w:t>накнаде</w:t>
      </w:r>
      <w:r w:rsidR="00E938EA" w:rsidRPr="00FB5A28">
        <w:rPr>
          <w:rFonts w:ascii="Times New Roman" w:hAnsi="Times New Roman"/>
          <w:sz w:val="24"/>
          <w:szCs w:val="24"/>
        </w:rPr>
        <w:t xml:space="preserve"> </w:t>
      </w:r>
      <w:r w:rsidRPr="00FB5A28">
        <w:rPr>
          <w:rFonts w:ascii="Times New Roman" w:hAnsi="Times New Roman"/>
          <w:sz w:val="24"/>
          <w:szCs w:val="24"/>
        </w:rPr>
        <w:t>сматра</w:t>
      </w:r>
      <w:r w:rsidR="00E938EA" w:rsidRPr="00FB5A28">
        <w:rPr>
          <w:rFonts w:ascii="Times New Roman" w:hAnsi="Times New Roman"/>
          <w:sz w:val="24"/>
          <w:szCs w:val="24"/>
        </w:rPr>
        <w:t xml:space="preserve"> </w:t>
      </w:r>
      <w:r w:rsidRPr="00FB5A28">
        <w:rPr>
          <w:rFonts w:ascii="Times New Roman" w:hAnsi="Times New Roman"/>
          <w:sz w:val="24"/>
          <w:szCs w:val="24"/>
        </w:rPr>
        <w:t>се</w:t>
      </w:r>
      <w:r w:rsidR="00E938EA" w:rsidRPr="00FB5A28">
        <w:rPr>
          <w:rFonts w:ascii="Times New Roman" w:hAnsi="Times New Roman"/>
          <w:sz w:val="24"/>
          <w:szCs w:val="24"/>
        </w:rPr>
        <w:t xml:space="preserve"> </w:t>
      </w:r>
      <w:r w:rsidRPr="00FB5A28">
        <w:rPr>
          <w:rFonts w:ascii="Times New Roman" w:hAnsi="Times New Roman"/>
          <w:sz w:val="24"/>
          <w:szCs w:val="24"/>
        </w:rPr>
        <w:t>набавна</w:t>
      </w:r>
      <w:r w:rsidR="00E938EA" w:rsidRPr="00FB5A28">
        <w:rPr>
          <w:rFonts w:ascii="Times New Roman" w:hAnsi="Times New Roman"/>
          <w:sz w:val="24"/>
          <w:szCs w:val="24"/>
        </w:rPr>
        <w:t xml:space="preserve"> </w:t>
      </w:r>
      <w:r w:rsidRPr="00FB5A28">
        <w:rPr>
          <w:rFonts w:ascii="Times New Roman" w:hAnsi="Times New Roman"/>
          <w:sz w:val="24"/>
          <w:szCs w:val="24"/>
        </w:rPr>
        <w:t>цена</w:t>
      </w:r>
      <w:r w:rsidR="00E938EA" w:rsidRPr="00FB5A28">
        <w:rPr>
          <w:rFonts w:ascii="Times New Roman" w:hAnsi="Times New Roman"/>
          <w:sz w:val="24"/>
          <w:szCs w:val="24"/>
        </w:rPr>
        <w:t xml:space="preserve">, </w:t>
      </w:r>
      <w:r w:rsidRPr="00FB5A28">
        <w:rPr>
          <w:rFonts w:ascii="Times New Roman" w:hAnsi="Times New Roman"/>
          <w:sz w:val="24"/>
          <w:szCs w:val="24"/>
        </w:rPr>
        <w:t>односно</w:t>
      </w:r>
      <w:r w:rsidR="00E938EA" w:rsidRPr="00FB5A28">
        <w:rPr>
          <w:rFonts w:ascii="Times New Roman" w:hAnsi="Times New Roman"/>
          <w:sz w:val="24"/>
          <w:szCs w:val="24"/>
        </w:rPr>
        <w:t xml:space="preserve"> </w:t>
      </w:r>
      <w:r w:rsidRPr="00FB5A28">
        <w:rPr>
          <w:rFonts w:ascii="Times New Roman" w:hAnsi="Times New Roman"/>
          <w:sz w:val="24"/>
          <w:szCs w:val="24"/>
        </w:rPr>
        <w:t>цена</w:t>
      </w:r>
      <w:r w:rsidR="00E938EA" w:rsidRPr="00FB5A28">
        <w:rPr>
          <w:rFonts w:ascii="Times New Roman" w:hAnsi="Times New Roman"/>
          <w:sz w:val="24"/>
          <w:szCs w:val="24"/>
        </w:rPr>
        <w:t xml:space="preserve"> </w:t>
      </w:r>
      <w:r w:rsidRPr="00FB5A28">
        <w:rPr>
          <w:rFonts w:ascii="Times New Roman" w:hAnsi="Times New Roman"/>
          <w:sz w:val="24"/>
          <w:szCs w:val="24"/>
        </w:rPr>
        <w:t>коштања</w:t>
      </w:r>
      <w:r w:rsidR="00E938EA" w:rsidRPr="00FB5A28">
        <w:rPr>
          <w:rFonts w:ascii="Times New Roman" w:hAnsi="Times New Roman"/>
          <w:sz w:val="24"/>
          <w:szCs w:val="24"/>
        </w:rPr>
        <w:t xml:space="preserve"> </w:t>
      </w:r>
      <w:r w:rsidRPr="00FB5A28">
        <w:rPr>
          <w:rFonts w:ascii="Times New Roman" w:hAnsi="Times New Roman"/>
          <w:sz w:val="24"/>
          <w:szCs w:val="24"/>
        </w:rPr>
        <w:t>тих</w:t>
      </w:r>
      <w:r w:rsidR="00E938EA" w:rsidRPr="00FB5A28">
        <w:rPr>
          <w:rFonts w:ascii="Times New Roman" w:hAnsi="Times New Roman"/>
          <w:sz w:val="24"/>
          <w:szCs w:val="24"/>
        </w:rPr>
        <w:t xml:space="preserve"> </w:t>
      </w:r>
      <w:r w:rsidRPr="00FB5A28">
        <w:rPr>
          <w:rFonts w:ascii="Times New Roman" w:hAnsi="Times New Roman"/>
          <w:sz w:val="24"/>
          <w:szCs w:val="24"/>
        </w:rPr>
        <w:t>или</w:t>
      </w:r>
      <w:r w:rsidR="00E938EA" w:rsidRPr="00FB5A28">
        <w:rPr>
          <w:rFonts w:ascii="Times New Roman" w:hAnsi="Times New Roman"/>
          <w:sz w:val="24"/>
          <w:szCs w:val="24"/>
        </w:rPr>
        <w:t xml:space="preserve"> </w:t>
      </w:r>
      <w:r w:rsidRPr="00FB5A28">
        <w:rPr>
          <w:rFonts w:ascii="Times New Roman" w:hAnsi="Times New Roman"/>
          <w:sz w:val="24"/>
          <w:szCs w:val="24"/>
        </w:rPr>
        <w:t>сличних</w:t>
      </w:r>
      <w:r w:rsidR="00E938EA" w:rsidRPr="00FB5A28">
        <w:rPr>
          <w:rFonts w:ascii="Times New Roman" w:hAnsi="Times New Roman"/>
          <w:sz w:val="24"/>
          <w:szCs w:val="24"/>
        </w:rPr>
        <w:t xml:space="preserve"> </w:t>
      </w:r>
      <w:r w:rsidRPr="00FB5A28">
        <w:rPr>
          <w:rFonts w:ascii="Times New Roman" w:hAnsi="Times New Roman"/>
          <w:sz w:val="24"/>
          <w:szCs w:val="24"/>
        </w:rPr>
        <w:t>добара</w:t>
      </w:r>
      <w:r w:rsidR="00E938EA" w:rsidRPr="00FB5A28">
        <w:rPr>
          <w:rFonts w:ascii="Times New Roman" w:hAnsi="Times New Roman"/>
          <w:sz w:val="24"/>
          <w:szCs w:val="24"/>
        </w:rPr>
        <w:t xml:space="preserve">, </w:t>
      </w:r>
      <w:r w:rsidRPr="00FB5A28">
        <w:rPr>
          <w:rFonts w:ascii="Times New Roman" w:hAnsi="Times New Roman"/>
          <w:sz w:val="24"/>
          <w:szCs w:val="24"/>
        </w:rPr>
        <w:t>у</w:t>
      </w:r>
      <w:r w:rsidR="00E938EA" w:rsidRPr="00FB5A28">
        <w:rPr>
          <w:rFonts w:ascii="Times New Roman" w:hAnsi="Times New Roman"/>
          <w:sz w:val="24"/>
          <w:szCs w:val="24"/>
        </w:rPr>
        <w:t xml:space="preserve"> </w:t>
      </w:r>
      <w:r w:rsidRPr="00FB5A28">
        <w:rPr>
          <w:rFonts w:ascii="Times New Roman" w:hAnsi="Times New Roman"/>
          <w:sz w:val="24"/>
          <w:szCs w:val="24"/>
        </w:rPr>
        <w:t>моменту</w:t>
      </w:r>
      <w:r w:rsidR="00E938EA" w:rsidRPr="00FB5A28">
        <w:rPr>
          <w:rFonts w:ascii="Times New Roman" w:hAnsi="Times New Roman"/>
          <w:sz w:val="24"/>
          <w:szCs w:val="24"/>
        </w:rPr>
        <w:t xml:space="preserve"> </w:t>
      </w:r>
      <w:r w:rsidRPr="00FB5A28">
        <w:rPr>
          <w:rFonts w:ascii="Times New Roman" w:hAnsi="Times New Roman"/>
          <w:sz w:val="24"/>
          <w:szCs w:val="24"/>
        </w:rPr>
        <w:t>промета</w:t>
      </w:r>
      <w:r w:rsidR="00E938EA" w:rsidRPr="00FB5A28">
        <w:rPr>
          <w:rFonts w:ascii="Times New Roman" w:hAnsi="Times New Roman"/>
          <w:sz w:val="24"/>
          <w:szCs w:val="24"/>
        </w:rPr>
        <w:t>.</w:t>
      </w:r>
      <w:r w:rsidRPr="00FB5A28">
        <w:rPr>
          <w:rFonts w:ascii="Times New Roman" w:hAnsi="Times New Roman"/>
          <w:sz w:val="24"/>
          <w:szCs w:val="24"/>
          <w:lang w:val="sr-Cyrl-CS"/>
        </w:rPr>
        <w:t xml:space="preserve"> </w:t>
      </w:r>
      <w:r w:rsidRPr="00FB5A28">
        <w:rPr>
          <w:rFonts w:ascii="Times New Roman" w:hAnsi="Times New Roman"/>
          <w:sz w:val="24"/>
          <w:szCs w:val="24"/>
        </w:rPr>
        <w:t>Основицом</w:t>
      </w:r>
      <w:r w:rsidR="00E938EA" w:rsidRPr="00FB5A28">
        <w:rPr>
          <w:rFonts w:ascii="Times New Roman" w:hAnsi="Times New Roman"/>
          <w:sz w:val="24"/>
          <w:szCs w:val="24"/>
        </w:rPr>
        <w:t xml:space="preserve"> </w:t>
      </w:r>
      <w:r w:rsidRPr="00FB5A28">
        <w:rPr>
          <w:rFonts w:ascii="Times New Roman" w:hAnsi="Times New Roman"/>
          <w:sz w:val="24"/>
          <w:szCs w:val="24"/>
        </w:rPr>
        <w:t>код</w:t>
      </w:r>
      <w:r w:rsidR="00E938EA" w:rsidRPr="00FB5A28">
        <w:rPr>
          <w:rFonts w:ascii="Times New Roman" w:hAnsi="Times New Roman"/>
          <w:sz w:val="24"/>
          <w:szCs w:val="24"/>
        </w:rPr>
        <w:t xml:space="preserve"> </w:t>
      </w:r>
      <w:r w:rsidRPr="00FB5A28">
        <w:rPr>
          <w:rFonts w:ascii="Times New Roman" w:hAnsi="Times New Roman"/>
          <w:sz w:val="24"/>
          <w:szCs w:val="24"/>
        </w:rPr>
        <w:t>промета</w:t>
      </w:r>
      <w:r w:rsidR="00E938EA" w:rsidRPr="00FB5A28">
        <w:rPr>
          <w:rFonts w:ascii="Times New Roman" w:hAnsi="Times New Roman"/>
          <w:sz w:val="24"/>
          <w:szCs w:val="24"/>
        </w:rPr>
        <w:t xml:space="preserve"> </w:t>
      </w:r>
      <w:r w:rsidRPr="00FB5A28">
        <w:rPr>
          <w:rFonts w:ascii="Times New Roman" w:hAnsi="Times New Roman"/>
          <w:sz w:val="24"/>
          <w:szCs w:val="24"/>
        </w:rPr>
        <w:t>услуга</w:t>
      </w:r>
      <w:r w:rsidR="00E938EA" w:rsidRPr="00FB5A28">
        <w:rPr>
          <w:rFonts w:ascii="Times New Roman" w:hAnsi="Times New Roman"/>
          <w:sz w:val="24"/>
          <w:szCs w:val="24"/>
        </w:rPr>
        <w:t xml:space="preserve"> </w:t>
      </w:r>
      <w:r w:rsidRPr="00FB5A28">
        <w:rPr>
          <w:rFonts w:ascii="Times New Roman" w:hAnsi="Times New Roman"/>
          <w:sz w:val="24"/>
          <w:szCs w:val="24"/>
        </w:rPr>
        <w:t>без</w:t>
      </w:r>
      <w:r w:rsidR="00E938EA" w:rsidRPr="00FB5A28">
        <w:rPr>
          <w:rFonts w:ascii="Times New Roman" w:hAnsi="Times New Roman"/>
          <w:sz w:val="24"/>
          <w:szCs w:val="24"/>
        </w:rPr>
        <w:t xml:space="preserve"> </w:t>
      </w:r>
      <w:r w:rsidRPr="00FB5A28">
        <w:rPr>
          <w:rFonts w:ascii="Times New Roman" w:hAnsi="Times New Roman"/>
          <w:sz w:val="24"/>
          <w:szCs w:val="24"/>
        </w:rPr>
        <w:t>накнаде</w:t>
      </w:r>
      <w:r w:rsidR="00E938EA" w:rsidRPr="00FB5A28">
        <w:rPr>
          <w:rFonts w:ascii="Times New Roman" w:hAnsi="Times New Roman"/>
          <w:sz w:val="24"/>
          <w:szCs w:val="24"/>
        </w:rPr>
        <w:t xml:space="preserve"> </w:t>
      </w:r>
      <w:r w:rsidRPr="00FB5A28">
        <w:rPr>
          <w:rFonts w:ascii="Times New Roman" w:hAnsi="Times New Roman"/>
          <w:sz w:val="24"/>
          <w:szCs w:val="24"/>
        </w:rPr>
        <w:t>сматра</w:t>
      </w:r>
      <w:r w:rsidR="00E938EA" w:rsidRPr="00FB5A28">
        <w:rPr>
          <w:rFonts w:ascii="Times New Roman" w:hAnsi="Times New Roman"/>
          <w:sz w:val="24"/>
          <w:szCs w:val="24"/>
        </w:rPr>
        <w:t xml:space="preserve"> </w:t>
      </w:r>
      <w:r w:rsidRPr="00FB5A28">
        <w:rPr>
          <w:rFonts w:ascii="Times New Roman" w:hAnsi="Times New Roman"/>
          <w:sz w:val="24"/>
          <w:szCs w:val="24"/>
        </w:rPr>
        <w:t>се</w:t>
      </w:r>
      <w:r w:rsidR="00E938EA" w:rsidRPr="00FB5A28">
        <w:rPr>
          <w:rFonts w:ascii="Times New Roman" w:hAnsi="Times New Roman"/>
          <w:sz w:val="24"/>
          <w:szCs w:val="24"/>
        </w:rPr>
        <w:t xml:space="preserve"> </w:t>
      </w:r>
      <w:r w:rsidRPr="00FB5A28">
        <w:rPr>
          <w:rFonts w:ascii="Times New Roman" w:hAnsi="Times New Roman"/>
          <w:sz w:val="24"/>
          <w:szCs w:val="24"/>
        </w:rPr>
        <w:t>цена</w:t>
      </w:r>
      <w:r w:rsidR="00E938EA" w:rsidRPr="00FB5A28">
        <w:rPr>
          <w:rFonts w:ascii="Times New Roman" w:hAnsi="Times New Roman"/>
          <w:sz w:val="24"/>
          <w:szCs w:val="24"/>
        </w:rPr>
        <w:t xml:space="preserve"> </w:t>
      </w:r>
      <w:r w:rsidRPr="00FB5A28">
        <w:rPr>
          <w:rFonts w:ascii="Times New Roman" w:hAnsi="Times New Roman"/>
          <w:sz w:val="24"/>
          <w:szCs w:val="24"/>
        </w:rPr>
        <w:t>коштања</w:t>
      </w:r>
      <w:r w:rsidR="00E938EA" w:rsidRPr="00FB5A28">
        <w:rPr>
          <w:rFonts w:ascii="Times New Roman" w:hAnsi="Times New Roman"/>
          <w:sz w:val="24"/>
          <w:szCs w:val="24"/>
        </w:rPr>
        <w:t xml:space="preserve"> </w:t>
      </w:r>
      <w:r w:rsidRPr="00FB5A28">
        <w:rPr>
          <w:rFonts w:ascii="Times New Roman" w:hAnsi="Times New Roman"/>
          <w:sz w:val="24"/>
          <w:szCs w:val="24"/>
        </w:rPr>
        <w:t>тих</w:t>
      </w:r>
      <w:r w:rsidR="00E938EA" w:rsidRPr="00FB5A28">
        <w:rPr>
          <w:rFonts w:ascii="Times New Roman" w:hAnsi="Times New Roman"/>
          <w:sz w:val="24"/>
          <w:szCs w:val="24"/>
        </w:rPr>
        <w:t xml:space="preserve"> </w:t>
      </w:r>
      <w:r w:rsidRPr="00FB5A28">
        <w:rPr>
          <w:rFonts w:ascii="Times New Roman" w:hAnsi="Times New Roman"/>
          <w:sz w:val="24"/>
          <w:szCs w:val="24"/>
        </w:rPr>
        <w:t>или</w:t>
      </w:r>
      <w:r w:rsidR="00E938EA" w:rsidRPr="00FB5A28">
        <w:rPr>
          <w:rFonts w:ascii="Times New Roman" w:hAnsi="Times New Roman"/>
          <w:sz w:val="24"/>
          <w:szCs w:val="24"/>
        </w:rPr>
        <w:t xml:space="preserve"> </w:t>
      </w:r>
      <w:r w:rsidRPr="00FB5A28">
        <w:rPr>
          <w:rFonts w:ascii="Times New Roman" w:hAnsi="Times New Roman"/>
          <w:sz w:val="24"/>
          <w:szCs w:val="24"/>
        </w:rPr>
        <w:t>сличних</w:t>
      </w:r>
      <w:r w:rsidR="00E938EA" w:rsidRPr="00FB5A28">
        <w:rPr>
          <w:rFonts w:ascii="Times New Roman" w:hAnsi="Times New Roman"/>
          <w:sz w:val="24"/>
          <w:szCs w:val="24"/>
        </w:rPr>
        <w:t xml:space="preserve"> </w:t>
      </w:r>
      <w:r w:rsidRPr="00FB5A28">
        <w:rPr>
          <w:rFonts w:ascii="Times New Roman" w:hAnsi="Times New Roman"/>
          <w:sz w:val="24"/>
          <w:szCs w:val="24"/>
        </w:rPr>
        <w:t>услуга</w:t>
      </w:r>
      <w:r w:rsidR="00E938EA" w:rsidRPr="00FB5A28">
        <w:rPr>
          <w:rFonts w:ascii="Times New Roman" w:hAnsi="Times New Roman"/>
          <w:sz w:val="24"/>
          <w:szCs w:val="24"/>
        </w:rPr>
        <w:t xml:space="preserve">, </w:t>
      </w:r>
      <w:r w:rsidRPr="00FB5A28">
        <w:rPr>
          <w:rFonts w:ascii="Times New Roman" w:hAnsi="Times New Roman"/>
          <w:sz w:val="24"/>
          <w:szCs w:val="24"/>
        </w:rPr>
        <w:t>у</w:t>
      </w:r>
      <w:r w:rsidR="00E938EA" w:rsidRPr="00FB5A28">
        <w:rPr>
          <w:rFonts w:ascii="Times New Roman" w:hAnsi="Times New Roman"/>
          <w:sz w:val="24"/>
          <w:szCs w:val="24"/>
        </w:rPr>
        <w:t xml:space="preserve"> </w:t>
      </w:r>
      <w:r w:rsidRPr="00FB5A28">
        <w:rPr>
          <w:rFonts w:ascii="Times New Roman" w:hAnsi="Times New Roman"/>
          <w:sz w:val="24"/>
          <w:szCs w:val="24"/>
        </w:rPr>
        <w:t>моменту</w:t>
      </w:r>
      <w:r w:rsidR="00E938EA" w:rsidRPr="00FB5A28">
        <w:rPr>
          <w:rFonts w:ascii="Times New Roman" w:hAnsi="Times New Roman"/>
          <w:sz w:val="24"/>
          <w:szCs w:val="24"/>
        </w:rPr>
        <w:t xml:space="preserve"> </w:t>
      </w:r>
      <w:r w:rsidRPr="00FB5A28">
        <w:rPr>
          <w:rFonts w:ascii="Times New Roman" w:hAnsi="Times New Roman"/>
          <w:sz w:val="24"/>
          <w:szCs w:val="24"/>
        </w:rPr>
        <w:t>промета</w:t>
      </w:r>
      <w:r w:rsidR="00E938EA" w:rsidRPr="00FB5A28">
        <w:rPr>
          <w:rFonts w:ascii="Times New Roman" w:hAnsi="Times New Roman"/>
          <w:sz w:val="24"/>
          <w:szCs w:val="24"/>
        </w:rPr>
        <w:t>.</w:t>
      </w:r>
      <w:r w:rsidRPr="00FB5A28">
        <w:rPr>
          <w:rStyle w:val="FootnoteReference"/>
          <w:rFonts w:ascii="Times New Roman" w:hAnsi="Times New Roman"/>
          <w:color w:val="000000"/>
          <w:sz w:val="24"/>
          <w:szCs w:val="24"/>
        </w:rPr>
        <w:footnoteReference w:id="379"/>
      </w:r>
    </w:p>
    <w:p w:rsidR="00384954" w:rsidRPr="00FB5A28" w:rsidRDefault="00384954" w:rsidP="00FB5A28">
      <w:pPr>
        <w:ind w:firstLine="708"/>
        <w:jc w:val="both"/>
        <w:rPr>
          <w:rFonts w:ascii="Times New Roman" w:hAnsi="Times New Roman"/>
          <w:sz w:val="24"/>
          <w:szCs w:val="24"/>
          <w:lang w:val="sr-Cyrl-CS"/>
        </w:rPr>
      </w:pPr>
      <w:r w:rsidRPr="00FB5A28">
        <w:rPr>
          <w:rFonts w:ascii="Times New Roman" w:hAnsi="Times New Roman"/>
          <w:sz w:val="24"/>
          <w:szCs w:val="24"/>
        </w:rPr>
        <w:t>Основица</w:t>
      </w:r>
      <w:r w:rsidR="00E938EA" w:rsidRPr="00FB5A28">
        <w:rPr>
          <w:rFonts w:ascii="Times New Roman" w:hAnsi="Times New Roman"/>
          <w:sz w:val="24"/>
          <w:szCs w:val="24"/>
        </w:rPr>
        <w:t xml:space="preserve"> </w:t>
      </w:r>
      <w:r w:rsidRPr="00FB5A28">
        <w:rPr>
          <w:rFonts w:ascii="Times New Roman" w:hAnsi="Times New Roman"/>
          <w:sz w:val="24"/>
          <w:szCs w:val="24"/>
        </w:rPr>
        <w:t>код</w:t>
      </w:r>
      <w:r w:rsidR="00E938EA" w:rsidRPr="00FB5A28">
        <w:rPr>
          <w:rFonts w:ascii="Times New Roman" w:hAnsi="Times New Roman"/>
          <w:sz w:val="24"/>
          <w:szCs w:val="24"/>
        </w:rPr>
        <w:t xml:space="preserve"> </w:t>
      </w:r>
      <w:r w:rsidRPr="00FB5A28">
        <w:rPr>
          <w:rFonts w:ascii="Times New Roman" w:hAnsi="Times New Roman"/>
          <w:sz w:val="24"/>
          <w:szCs w:val="24"/>
        </w:rPr>
        <w:t>увоза</w:t>
      </w:r>
      <w:r w:rsidR="00E938EA" w:rsidRPr="00FB5A28">
        <w:rPr>
          <w:rFonts w:ascii="Times New Roman" w:hAnsi="Times New Roman"/>
          <w:sz w:val="24"/>
          <w:szCs w:val="24"/>
        </w:rPr>
        <w:t xml:space="preserve"> </w:t>
      </w:r>
      <w:r w:rsidRPr="00FB5A28">
        <w:rPr>
          <w:rFonts w:ascii="Times New Roman" w:hAnsi="Times New Roman"/>
          <w:sz w:val="24"/>
          <w:szCs w:val="24"/>
        </w:rPr>
        <w:t>добара</w:t>
      </w:r>
      <w:r w:rsidRPr="00FB5A28">
        <w:rPr>
          <w:rStyle w:val="FootnoteReference"/>
          <w:rFonts w:ascii="Times New Roman" w:hAnsi="Times New Roman"/>
          <w:color w:val="000000"/>
          <w:sz w:val="24"/>
          <w:szCs w:val="24"/>
        </w:rPr>
        <w:footnoteReference w:id="380"/>
      </w:r>
      <w:r w:rsidR="00E938EA" w:rsidRPr="00FB5A28">
        <w:rPr>
          <w:rFonts w:ascii="Times New Roman" w:hAnsi="Times New Roman"/>
          <w:sz w:val="24"/>
          <w:szCs w:val="24"/>
        </w:rPr>
        <w:t xml:space="preserve"> </w:t>
      </w:r>
      <w:r w:rsidRPr="00FB5A28">
        <w:rPr>
          <w:rFonts w:ascii="Times New Roman" w:hAnsi="Times New Roman"/>
          <w:sz w:val="24"/>
          <w:szCs w:val="24"/>
        </w:rPr>
        <w:t>је</w:t>
      </w:r>
      <w:r w:rsidR="00E938EA" w:rsidRPr="00FB5A28">
        <w:rPr>
          <w:rFonts w:ascii="Times New Roman" w:hAnsi="Times New Roman"/>
          <w:sz w:val="24"/>
          <w:szCs w:val="24"/>
        </w:rPr>
        <w:t xml:space="preserve"> </w:t>
      </w:r>
      <w:r w:rsidRPr="00FB5A28">
        <w:rPr>
          <w:rFonts w:ascii="Times New Roman" w:hAnsi="Times New Roman"/>
          <w:sz w:val="24"/>
          <w:szCs w:val="24"/>
        </w:rPr>
        <w:t>вредност</w:t>
      </w:r>
      <w:r w:rsidR="00E938EA" w:rsidRPr="00FB5A28">
        <w:rPr>
          <w:rFonts w:ascii="Times New Roman" w:hAnsi="Times New Roman"/>
          <w:sz w:val="24"/>
          <w:szCs w:val="24"/>
        </w:rPr>
        <w:t xml:space="preserve"> </w:t>
      </w:r>
      <w:r w:rsidRPr="00FB5A28">
        <w:rPr>
          <w:rFonts w:ascii="Times New Roman" w:hAnsi="Times New Roman"/>
          <w:sz w:val="24"/>
          <w:szCs w:val="24"/>
        </w:rPr>
        <w:t>увезеног</w:t>
      </w:r>
      <w:r w:rsidR="00E938EA" w:rsidRPr="00FB5A28">
        <w:rPr>
          <w:rFonts w:ascii="Times New Roman" w:hAnsi="Times New Roman"/>
          <w:sz w:val="24"/>
          <w:szCs w:val="24"/>
        </w:rPr>
        <w:t xml:space="preserve"> </w:t>
      </w:r>
      <w:r w:rsidRPr="00FB5A28">
        <w:rPr>
          <w:rFonts w:ascii="Times New Roman" w:hAnsi="Times New Roman"/>
          <w:sz w:val="24"/>
          <w:szCs w:val="24"/>
        </w:rPr>
        <w:t>добра</w:t>
      </w:r>
      <w:r w:rsidR="00E938EA" w:rsidRPr="00FB5A28">
        <w:rPr>
          <w:rFonts w:ascii="Times New Roman" w:hAnsi="Times New Roman"/>
          <w:sz w:val="24"/>
          <w:szCs w:val="24"/>
        </w:rPr>
        <w:t xml:space="preserve"> </w:t>
      </w:r>
      <w:r w:rsidRPr="00FB5A28">
        <w:rPr>
          <w:rFonts w:ascii="Times New Roman" w:hAnsi="Times New Roman"/>
          <w:sz w:val="24"/>
          <w:szCs w:val="24"/>
        </w:rPr>
        <w:t>утврђена</w:t>
      </w:r>
      <w:r w:rsidR="00E938EA" w:rsidRPr="00FB5A28">
        <w:rPr>
          <w:rFonts w:ascii="Times New Roman" w:hAnsi="Times New Roman"/>
          <w:sz w:val="24"/>
          <w:szCs w:val="24"/>
        </w:rPr>
        <w:t xml:space="preserve"> </w:t>
      </w:r>
      <w:r w:rsidRPr="00FB5A28">
        <w:rPr>
          <w:rFonts w:ascii="Times New Roman" w:hAnsi="Times New Roman"/>
          <w:sz w:val="24"/>
          <w:szCs w:val="24"/>
        </w:rPr>
        <w:t>по</w:t>
      </w:r>
      <w:r w:rsidR="00E938EA" w:rsidRPr="00FB5A28">
        <w:rPr>
          <w:rFonts w:ascii="Times New Roman" w:hAnsi="Times New Roman"/>
          <w:sz w:val="24"/>
          <w:szCs w:val="24"/>
        </w:rPr>
        <w:t xml:space="preserve"> </w:t>
      </w:r>
      <w:r w:rsidRPr="00FB5A28">
        <w:rPr>
          <w:rFonts w:ascii="Times New Roman" w:hAnsi="Times New Roman"/>
          <w:sz w:val="24"/>
          <w:szCs w:val="24"/>
        </w:rPr>
        <w:t>царинским</w:t>
      </w:r>
      <w:r w:rsidR="00E938EA" w:rsidRPr="00FB5A28">
        <w:rPr>
          <w:rFonts w:ascii="Times New Roman" w:hAnsi="Times New Roman"/>
          <w:sz w:val="24"/>
          <w:szCs w:val="24"/>
        </w:rPr>
        <w:t xml:space="preserve"> </w:t>
      </w:r>
      <w:r w:rsidRPr="00FB5A28">
        <w:rPr>
          <w:rFonts w:ascii="Times New Roman" w:hAnsi="Times New Roman"/>
          <w:sz w:val="24"/>
          <w:szCs w:val="24"/>
        </w:rPr>
        <w:t>прописима</w:t>
      </w:r>
      <w:r w:rsidR="00E938EA" w:rsidRPr="00FB5A28">
        <w:rPr>
          <w:rFonts w:ascii="Times New Roman" w:hAnsi="Times New Roman"/>
          <w:sz w:val="24"/>
          <w:szCs w:val="24"/>
        </w:rPr>
        <w:t>.</w:t>
      </w:r>
      <w:r w:rsidRPr="00FB5A28">
        <w:rPr>
          <w:rFonts w:ascii="Times New Roman" w:hAnsi="Times New Roman"/>
          <w:sz w:val="24"/>
          <w:szCs w:val="24"/>
          <w:lang w:val="sr-Cyrl-CS"/>
        </w:rPr>
        <w:t xml:space="preserve"> </w:t>
      </w:r>
      <w:r w:rsidRPr="00FB5A28">
        <w:rPr>
          <w:rFonts w:ascii="Times New Roman" w:hAnsi="Times New Roman"/>
          <w:sz w:val="24"/>
          <w:szCs w:val="24"/>
        </w:rPr>
        <w:t>У</w:t>
      </w:r>
      <w:r w:rsidR="00E938EA" w:rsidRPr="00FB5A28">
        <w:rPr>
          <w:rFonts w:ascii="Times New Roman" w:hAnsi="Times New Roman"/>
          <w:sz w:val="24"/>
          <w:szCs w:val="24"/>
        </w:rPr>
        <w:t xml:space="preserve"> </w:t>
      </w:r>
      <w:r w:rsidRPr="00FB5A28">
        <w:rPr>
          <w:rFonts w:ascii="Times New Roman" w:hAnsi="Times New Roman"/>
          <w:sz w:val="24"/>
          <w:szCs w:val="24"/>
        </w:rPr>
        <w:t>основицу</w:t>
      </w:r>
      <w:r w:rsidRPr="00FB5A28">
        <w:rPr>
          <w:rFonts w:ascii="Times New Roman" w:hAnsi="Times New Roman"/>
          <w:sz w:val="24"/>
          <w:szCs w:val="24"/>
          <w:lang w:val="sr-Cyrl-CS"/>
        </w:rPr>
        <w:t xml:space="preserve"> </w:t>
      </w:r>
      <w:r w:rsidR="00E938EA" w:rsidRPr="00FB5A28">
        <w:rPr>
          <w:rFonts w:ascii="Times New Roman" w:hAnsi="Times New Roman"/>
          <w:sz w:val="24"/>
          <w:szCs w:val="24"/>
        </w:rPr>
        <w:t xml:space="preserve"> </w:t>
      </w:r>
      <w:r w:rsidRPr="00FB5A28">
        <w:rPr>
          <w:rFonts w:ascii="Times New Roman" w:hAnsi="Times New Roman"/>
          <w:sz w:val="24"/>
          <w:szCs w:val="24"/>
        </w:rPr>
        <w:t>урачунава</w:t>
      </w:r>
      <w:r w:rsidR="00E938EA" w:rsidRPr="00FB5A28">
        <w:rPr>
          <w:rFonts w:ascii="Times New Roman" w:hAnsi="Times New Roman"/>
          <w:sz w:val="24"/>
          <w:szCs w:val="24"/>
        </w:rPr>
        <w:t xml:space="preserve"> </w:t>
      </w:r>
      <w:r w:rsidRPr="00FB5A28">
        <w:rPr>
          <w:rFonts w:ascii="Times New Roman" w:hAnsi="Times New Roman"/>
          <w:sz w:val="24"/>
          <w:szCs w:val="24"/>
        </w:rPr>
        <w:t>се</w:t>
      </w:r>
      <w:r w:rsidR="00E938EA" w:rsidRPr="00FB5A28">
        <w:rPr>
          <w:rFonts w:ascii="Times New Roman" w:hAnsi="Times New Roman"/>
          <w:sz w:val="24"/>
          <w:szCs w:val="24"/>
        </w:rPr>
        <w:t xml:space="preserve"> </w:t>
      </w:r>
      <w:r w:rsidRPr="00FB5A28">
        <w:rPr>
          <w:rFonts w:ascii="Times New Roman" w:hAnsi="Times New Roman"/>
          <w:sz w:val="24"/>
          <w:szCs w:val="24"/>
        </w:rPr>
        <w:t>и</w:t>
      </w:r>
      <w:r w:rsidR="00E938EA" w:rsidRPr="00FB5A28">
        <w:rPr>
          <w:rFonts w:ascii="Times New Roman" w:hAnsi="Times New Roman"/>
          <w:sz w:val="24"/>
          <w:szCs w:val="24"/>
        </w:rPr>
        <w:t>:</w:t>
      </w:r>
    </w:p>
    <w:p w:rsidR="00AA7EB9" w:rsidRPr="00FB5A28" w:rsidRDefault="00E938EA" w:rsidP="00FB5A28">
      <w:pPr>
        <w:jc w:val="both"/>
        <w:rPr>
          <w:rFonts w:ascii="Times New Roman" w:hAnsi="Times New Roman"/>
          <w:sz w:val="24"/>
          <w:szCs w:val="24"/>
          <w:lang w:val="sr-Cyrl-CS"/>
        </w:rPr>
      </w:pPr>
      <w:r w:rsidRPr="00FB5A28">
        <w:rPr>
          <w:rFonts w:ascii="Times New Roman" w:hAnsi="Times New Roman"/>
          <w:sz w:val="24"/>
          <w:szCs w:val="24"/>
        </w:rPr>
        <w:t xml:space="preserve">1) </w:t>
      </w:r>
      <w:r w:rsidR="00384954" w:rsidRPr="00FB5A28">
        <w:rPr>
          <w:rFonts w:ascii="Times New Roman" w:hAnsi="Times New Roman"/>
          <w:sz w:val="24"/>
          <w:szCs w:val="24"/>
        </w:rPr>
        <w:t>акциза</w:t>
      </w:r>
      <w:r w:rsidRPr="00FB5A28">
        <w:rPr>
          <w:rFonts w:ascii="Times New Roman" w:hAnsi="Times New Roman"/>
          <w:sz w:val="24"/>
          <w:szCs w:val="24"/>
        </w:rPr>
        <w:t xml:space="preserve">, </w:t>
      </w:r>
      <w:r w:rsidR="00384954" w:rsidRPr="00FB5A28">
        <w:rPr>
          <w:rFonts w:ascii="Times New Roman" w:hAnsi="Times New Roman"/>
          <w:sz w:val="24"/>
          <w:szCs w:val="24"/>
        </w:rPr>
        <w:t>царина</w:t>
      </w:r>
      <w:r w:rsidRPr="00FB5A28">
        <w:rPr>
          <w:rFonts w:ascii="Times New Roman" w:hAnsi="Times New Roman"/>
          <w:sz w:val="24"/>
          <w:szCs w:val="24"/>
        </w:rPr>
        <w:t xml:space="preserve"> </w:t>
      </w:r>
      <w:r w:rsidR="00384954" w:rsidRPr="00FB5A28">
        <w:rPr>
          <w:rFonts w:ascii="Times New Roman" w:hAnsi="Times New Roman"/>
          <w:sz w:val="24"/>
          <w:szCs w:val="24"/>
        </w:rPr>
        <w:t>и</w:t>
      </w:r>
      <w:r w:rsidRPr="00FB5A28">
        <w:rPr>
          <w:rFonts w:ascii="Times New Roman" w:hAnsi="Times New Roman"/>
          <w:sz w:val="24"/>
          <w:szCs w:val="24"/>
        </w:rPr>
        <w:t xml:space="preserve"> </w:t>
      </w:r>
      <w:r w:rsidR="00384954" w:rsidRPr="00FB5A28">
        <w:rPr>
          <w:rFonts w:ascii="Times New Roman" w:hAnsi="Times New Roman"/>
          <w:sz w:val="24"/>
          <w:szCs w:val="24"/>
        </w:rPr>
        <w:t>друге</w:t>
      </w:r>
      <w:r w:rsidRPr="00FB5A28">
        <w:rPr>
          <w:rFonts w:ascii="Times New Roman" w:hAnsi="Times New Roman"/>
          <w:sz w:val="24"/>
          <w:szCs w:val="24"/>
        </w:rPr>
        <w:t xml:space="preserve"> </w:t>
      </w:r>
      <w:r w:rsidR="00384954" w:rsidRPr="00FB5A28">
        <w:rPr>
          <w:rFonts w:ascii="Times New Roman" w:hAnsi="Times New Roman"/>
          <w:sz w:val="24"/>
          <w:szCs w:val="24"/>
        </w:rPr>
        <w:t>увозне</w:t>
      </w:r>
      <w:r w:rsidRPr="00FB5A28">
        <w:rPr>
          <w:rFonts w:ascii="Times New Roman" w:hAnsi="Times New Roman"/>
          <w:sz w:val="24"/>
          <w:szCs w:val="24"/>
        </w:rPr>
        <w:t xml:space="preserve"> </w:t>
      </w:r>
      <w:r w:rsidR="00384954" w:rsidRPr="00FB5A28">
        <w:rPr>
          <w:rFonts w:ascii="Times New Roman" w:hAnsi="Times New Roman"/>
          <w:sz w:val="24"/>
          <w:szCs w:val="24"/>
        </w:rPr>
        <w:t>дажбине</w:t>
      </w:r>
      <w:r w:rsidRPr="00FB5A28">
        <w:rPr>
          <w:rFonts w:ascii="Times New Roman" w:hAnsi="Times New Roman"/>
          <w:sz w:val="24"/>
          <w:szCs w:val="24"/>
        </w:rPr>
        <w:t xml:space="preserve">, </w:t>
      </w:r>
      <w:r w:rsidR="00384954" w:rsidRPr="00FB5A28">
        <w:rPr>
          <w:rFonts w:ascii="Times New Roman" w:hAnsi="Times New Roman"/>
          <w:sz w:val="24"/>
          <w:szCs w:val="24"/>
        </w:rPr>
        <w:t>као</w:t>
      </w:r>
      <w:r w:rsidRPr="00FB5A28">
        <w:rPr>
          <w:rFonts w:ascii="Times New Roman" w:hAnsi="Times New Roman"/>
          <w:sz w:val="24"/>
          <w:szCs w:val="24"/>
        </w:rPr>
        <w:t xml:space="preserve"> </w:t>
      </w:r>
      <w:r w:rsidR="00384954" w:rsidRPr="00FB5A28">
        <w:rPr>
          <w:rFonts w:ascii="Times New Roman" w:hAnsi="Times New Roman"/>
          <w:sz w:val="24"/>
          <w:szCs w:val="24"/>
        </w:rPr>
        <w:t>и</w:t>
      </w:r>
      <w:r w:rsidRPr="00FB5A28">
        <w:rPr>
          <w:rFonts w:ascii="Times New Roman" w:hAnsi="Times New Roman"/>
          <w:sz w:val="24"/>
          <w:szCs w:val="24"/>
        </w:rPr>
        <w:t xml:space="preserve"> </w:t>
      </w:r>
      <w:r w:rsidR="00384954" w:rsidRPr="00FB5A28">
        <w:rPr>
          <w:rFonts w:ascii="Times New Roman" w:hAnsi="Times New Roman"/>
          <w:sz w:val="24"/>
          <w:szCs w:val="24"/>
        </w:rPr>
        <w:t>остали</w:t>
      </w:r>
      <w:r w:rsidRPr="00FB5A28">
        <w:rPr>
          <w:rFonts w:ascii="Times New Roman" w:hAnsi="Times New Roman"/>
          <w:sz w:val="24"/>
          <w:szCs w:val="24"/>
        </w:rPr>
        <w:t xml:space="preserve"> </w:t>
      </w:r>
      <w:r w:rsidR="00384954" w:rsidRPr="00FB5A28">
        <w:rPr>
          <w:rFonts w:ascii="Times New Roman" w:hAnsi="Times New Roman"/>
          <w:sz w:val="24"/>
          <w:szCs w:val="24"/>
        </w:rPr>
        <w:t>јавни</w:t>
      </w:r>
      <w:r w:rsidRPr="00FB5A28">
        <w:rPr>
          <w:rFonts w:ascii="Times New Roman" w:hAnsi="Times New Roman"/>
          <w:sz w:val="24"/>
          <w:szCs w:val="24"/>
        </w:rPr>
        <w:t xml:space="preserve"> </w:t>
      </w:r>
      <w:r w:rsidR="00384954" w:rsidRPr="00FB5A28">
        <w:rPr>
          <w:rFonts w:ascii="Times New Roman" w:hAnsi="Times New Roman"/>
          <w:sz w:val="24"/>
          <w:szCs w:val="24"/>
        </w:rPr>
        <w:t>приходи</w:t>
      </w:r>
      <w:r w:rsidRPr="00FB5A28">
        <w:rPr>
          <w:rFonts w:ascii="Times New Roman" w:hAnsi="Times New Roman"/>
          <w:sz w:val="24"/>
          <w:szCs w:val="24"/>
        </w:rPr>
        <w:t xml:space="preserve">, </w:t>
      </w:r>
      <w:r w:rsidR="00384954" w:rsidRPr="00FB5A28">
        <w:rPr>
          <w:rFonts w:ascii="Times New Roman" w:hAnsi="Times New Roman"/>
          <w:sz w:val="24"/>
          <w:szCs w:val="24"/>
        </w:rPr>
        <w:t>осим</w:t>
      </w:r>
      <w:r w:rsidRPr="00FB5A28">
        <w:rPr>
          <w:rFonts w:ascii="Times New Roman" w:hAnsi="Times New Roman"/>
          <w:sz w:val="24"/>
          <w:szCs w:val="24"/>
        </w:rPr>
        <w:t xml:space="preserve"> </w:t>
      </w:r>
      <w:r w:rsidR="00384954" w:rsidRPr="00FB5A28">
        <w:rPr>
          <w:rFonts w:ascii="Times New Roman" w:hAnsi="Times New Roman"/>
          <w:sz w:val="24"/>
          <w:szCs w:val="24"/>
        </w:rPr>
        <w:t>ПДВ</w:t>
      </w:r>
      <w:r w:rsidRPr="00FB5A28">
        <w:rPr>
          <w:rFonts w:ascii="Times New Roman" w:hAnsi="Times New Roman"/>
          <w:sz w:val="24"/>
          <w:szCs w:val="24"/>
        </w:rPr>
        <w:t>;</w:t>
      </w:r>
    </w:p>
    <w:p w:rsidR="00384954" w:rsidRPr="00FB5A28" w:rsidRDefault="00E938EA" w:rsidP="00FB5A28">
      <w:pPr>
        <w:jc w:val="both"/>
        <w:rPr>
          <w:rFonts w:ascii="Times New Roman" w:hAnsi="Times New Roman"/>
          <w:sz w:val="24"/>
          <w:szCs w:val="24"/>
          <w:lang w:val="sr-Cyrl-CS"/>
        </w:rPr>
      </w:pPr>
      <w:r w:rsidRPr="00FB5A28">
        <w:rPr>
          <w:rFonts w:ascii="Times New Roman" w:hAnsi="Times New Roman"/>
          <w:sz w:val="24"/>
          <w:szCs w:val="24"/>
        </w:rPr>
        <w:t xml:space="preserve">2) </w:t>
      </w:r>
      <w:r w:rsidR="00384954" w:rsidRPr="00FB5A28">
        <w:rPr>
          <w:rFonts w:ascii="Times New Roman" w:hAnsi="Times New Roman"/>
          <w:sz w:val="24"/>
          <w:szCs w:val="24"/>
        </w:rPr>
        <w:t>сви</w:t>
      </w:r>
      <w:r w:rsidRPr="00FB5A28">
        <w:rPr>
          <w:rFonts w:ascii="Times New Roman" w:hAnsi="Times New Roman"/>
          <w:sz w:val="24"/>
          <w:szCs w:val="24"/>
        </w:rPr>
        <w:t xml:space="preserve"> </w:t>
      </w:r>
      <w:r w:rsidR="00384954" w:rsidRPr="00FB5A28">
        <w:rPr>
          <w:rFonts w:ascii="Times New Roman" w:hAnsi="Times New Roman"/>
          <w:sz w:val="24"/>
          <w:szCs w:val="24"/>
        </w:rPr>
        <w:t>споредни</w:t>
      </w:r>
      <w:r w:rsidRPr="00FB5A28">
        <w:rPr>
          <w:rFonts w:ascii="Times New Roman" w:hAnsi="Times New Roman"/>
          <w:sz w:val="24"/>
          <w:szCs w:val="24"/>
        </w:rPr>
        <w:t xml:space="preserve"> </w:t>
      </w:r>
      <w:r w:rsidR="00384954" w:rsidRPr="00FB5A28">
        <w:rPr>
          <w:rFonts w:ascii="Times New Roman" w:hAnsi="Times New Roman"/>
          <w:sz w:val="24"/>
          <w:szCs w:val="24"/>
        </w:rPr>
        <w:t>трошкови</w:t>
      </w:r>
      <w:r w:rsidRPr="00FB5A28">
        <w:rPr>
          <w:rFonts w:ascii="Times New Roman" w:hAnsi="Times New Roman"/>
          <w:sz w:val="24"/>
          <w:szCs w:val="24"/>
        </w:rPr>
        <w:t xml:space="preserve"> </w:t>
      </w:r>
      <w:r w:rsidR="00384954" w:rsidRPr="00FB5A28">
        <w:rPr>
          <w:rFonts w:ascii="Times New Roman" w:hAnsi="Times New Roman"/>
          <w:sz w:val="24"/>
          <w:szCs w:val="24"/>
        </w:rPr>
        <w:t>који</w:t>
      </w:r>
      <w:r w:rsidRPr="00FB5A28">
        <w:rPr>
          <w:rFonts w:ascii="Times New Roman" w:hAnsi="Times New Roman"/>
          <w:sz w:val="24"/>
          <w:szCs w:val="24"/>
        </w:rPr>
        <w:t xml:space="preserve"> </w:t>
      </w:r>
      <w:r w:rsidR="00384954" w:rsidRPr="00FB5A28">
        <w:rPr>
          <w:rFonts w:ascii="Times New Roman" w:hAnsi="Times New Roman"/>
          <w:sz w:val="24"/>
          <w:szCs w:val="24"/>
        </w:rPr>
        <w:t>су</w:t>
      </w:r>
      <w:r w:rsidRPr="00FB5A28">
        <w:rPr>
          <w:rFonts w:ascii="Times New Roman" w:hAnsi="Times New Roman"/>
          <w:sz w:val="24"/>
          <w:szCs w:val="24"/>
        </w:rPr>
        <w:t xml:space="preserve"> </w:t>
      </w:r>
      <w:r w:rsidR="00384954" w:rsidRPr="00FB5A28">
        <w:rPr>
          <w:rFonts w:ascii="Times New Roman" w:hAnsi="Times New Roman"/>
          <w:sz w:val="24"/>
          <w:szCs w:val="24"/>
        </w:rPr>
        <w:t>настали</w:t>
      </w:r>
      <w:r w:rsidRPr="00FB5A28">
        <w:rPr>
          <w:rFonts w:ascii="Times New Roman" w:hAnsi="Times New Roman"/>
          <w:sz w:val="24"/>
          <w:szCs w:val="24"/>
        </w:rPr>
        <w:t xml:space="preserve"> </w:t>
      </w:r>
      <w:r w:rsidR="00384954" w:rsidRPr="00FB5A28">
        <w:rPr>
          <w:rFonts w:ascii="Times New Roman" w:hAnsi="Times New Roman"/>
          <w:sz w:val="24"/>
          <w:szCs w:val="24"/>
        </w:rPr>
        <w:t>до</w:t>
      </w:r>
      <w:r w:rsidRPr="00FB5A28">
        <w:rPr>
          <w:rFonts w:ascii="Times New Roman" w:hAnsi="Times New Roman"/>
          <w:sz w:val="24"/>
          <w:szCs w:val="24"/>
        </w:rPr>
        <w:t xml:space="preserve"> </w:t>
      </w:r>
      <w:r w:rsidR="00384954" w:rsidRPr="00FB5A28">
        <w:rPr>
          <w:rFonts w:ascii="Times New Roman" w:hAnsi="Times New Roman"/>
          <w:sz w:val="24"/>
          <w:szCs w:val="24"/>
        </w:rPr>
        <w:t>првог</w:t>
      </w:r>
      <w:r w:rsidRPr="00FB5A28">
        <w:rPr>
          <w:rFonts w:ascii="Times New Roman" w:hAnsi="Times New Roman"/>
          <w:sz w:val="24"/>
          <w:szCs w:val="24"/>
        </w:rPr>
        <w:t xml:space="preserve"> </w:t>
      </w:r>
      <w:r w:rsidR="00384954" w:rsidRPr="00FB5A28">
        <w:rPr>
          <w:rFonts w:ascii="Times New Roman" w:hAnsi="Times New Roman"/>
          <w:sz w:val="24"/>
          <w:szCs w:val="24"/>
        </w:rPr>
        <w:t>одредишта</w:t>
      </w:r>
      <w:r w:rsidRPr="00FB5A28">
        <w:rPr>
          <w:rFonts w:ascii="Times New Roman" w:hAnsi="Times New Roman"/>
          <w:sz w:val="24"/>
          <w:szCs w:val="24"/>
        </w:rPr>
        <w:t xml:space="preserve"> </w:t>
      </w:r>
      <w:r w:rsidR="00384954" w:rsidRPr="00FB5A28">
        <w:rPr>
          <w:rFonts w:ascii="Times New Roman" w:hAnsi="Times New Roman"/>
          <w:sz w:val="24"/>
          <w:szCs w:val="24"/>
        </w:rPr>
        <w:t>у</w:t>
      </w:r>
      <w:r w:rsidRPr="00FB5A28">
        <w:rPr>
          <w:rFonts w:ascii="Times New Roman" w:hAnsi="Times New Roman"/>
          <w:sz w:val="24"/>
          <w:szCs w:val="24"/>
        </w:rPr>
        <w:t xml:space="preserve"> </w:t>
      </w:r>
      <w:r w:rsidR="00384954" w:rsidRPr="00FB5A28">
        <w:rPr>
          <w:rFonts w:ascii="Times New Roman" w:hAnsi="Times New Roman"/>
          <w:sz w:val="24"/>
          <w:szCs w:val="24"/>
        </w:rPr>
        <w:t>Републици</w:t>
      </w:r>
      <w:r w:rsidRPr="00FB5A28">
        <w:rPr>
          <w:rFonts w:ascii="Times New Roman" w:hAnsi="Times New Roman"/>
          <w:sz w:val="24"/>
          <w:szCs w:val="24"/>
        </w:rPr>
        <w:t>.</w:t>
      </w:r>
    </w:p>
    <w:p w:rsidR="00384954" w:rsidRPr="00FB5A28" w:rsidRDefault="00384954" w:rsidP="00FB5A28">
      <w:pPr>
        <w:ind w:firstLine="708"/>
        <w:jc w:val="both"/>
        <w:rPr>
          <w:rFonts w:ascii="Times New Roman" w:hAnsi="Times New Roman"/>
          <w:sz w:val="24"/>
          <w:szCs w:val="24"/>
          <w:lang w:val="sr-Cyrl-CS"/>
        </w:rPr>
      </w:pPr>
      <w:r w:rsidRPr="00FB5A28">
        <w:rPr>
          <w:rFonts w:ascii="Times New Roman" w:hAnsi="Times New Roman"/>
          <w:sz w:val="24"/>
          <w:szCs w:val="24"/>
        </w:rPr>
        <w:t>Првим</w:t>
      </w:r>
      <w:r w:rsidR="00E938EA" w:rsidRPr="00FB5A28">
        <w:rPr>
          <w:rFonts w:ascii="Times New Roman" w:hAnsi="Times New Roman"/>
          <w:sz w:val="24"/>
          <w:szCs w:val="24"/>
        </w:rPr>
        <w:t xml:space="preserve"> </w:t>
      </w:r>
      <w:r w:rsidRPr="00FB5A28">
        <w:rPr>
          <w:rFonts w:ascii="Times New Roman" w:hAnsi="Times New Roman"/>
          <w:sz w:val="24"/>
          <w:szCs w:val="24"/>
        </w:rPr>
        <w:t>одредиштем</w:t>
      </w:r>
      <w:r w:rsidRPr="00FB5A28">
        <w:rPr>
          <w:rFonts w:ascii="Times New Roman" w:hAnsi="Times New Roman"/>
          <w:sz w:val="24"/>
          <w:szCs w:val="24"/>
          <w:lang w:val="sr-Cyrl-CS"/>
        </w:rPr>
        <w:t xml:space="preserve"> </w:t>
      </w:r>
      <w:r w:rsidRPr="00FB5A28">
        <w:rPr>
          <w:rFonts w:ascii="Times New Roman" w:hAnsi="Times New Roman"/>
          <w:sz w:val="24"/>
          <w:szCs w:val="24"/>
        </w:rPr>
        <w:t>сматра</w:t>
      </w:r>
      <w:r w:rsidR="00E938EA" w:rsidRPr="00FB5A28">
        <w:rPr>
          <w:rFonts w:ascii="Times New Roman" w:hAnsi="Times New Roman"/>
          <w:sz w:val="24"/>
          <w:szCs w:val="24"/>
        </w:rPr>
        <w:t xml:space="preserve"> </w:t>
      </w:r>
      <w:r w:rsidRPr="00FB5A28">
        <w:rPr>
          <w:rFonts w:ascii="Times New Roman" w:hAnsi="Times New Roman"/>
          <w:sz w:val="24"/>
          <w:szCs w:val="24"/>
        </w:rPr>
        <w:t>се</w:t>
      </w:r>
      <w:r w:rsidR="00E938EA" w:rsidRPr="00FB5A28">
        <w:rPr>
          <w:rFonts w:ascii="Times New Roman" w:hAnsi="Times New Roman"/>
          <w:sz w:val="24"/>
          <w:szCs w:val="24"/>
        </w:rPr>
        <w:t xml:space="preserve"> </w:t>
      </w:r>
      <w:r w:rsidRPr="00FB5A28">
        <w:rPr>
          <w:rFonts w:ascii="Times New Roman" w:hAnsi="Times New Roman"/>
          <w:sz w:val="24"/>
          <w:szCs w:val="24"/>
        </w:rPr>
        <w:t>место</w:t>
      </w:r>
      <w:r w:rsidR="00E938EA" w:rsidRPr="00FB5A28">
        <w:rPr>
          <w:rFonts w:ascii="Times New Roman" w:hAnsi="Times New Roman"/>
          <w:sz w:val="24"/>
          <w:szCs w:val="24"/>
        </w:rPr>
        <w:t xml:space="preserve"> </w:t>
      </w:r>
      <w:r w:rsidRPr="00FB5A28">
        <w:rPr>
          <w:rFonts w:ascii="Times New Roman" w:hAnsi="Times New Roman"/>
          <w:sz w:val="24"/>
          <w:szCs w:val="24"/>
        </w:rPr>
        <w:t>које</w:t>
      </w:r>
      <w:r w:rsidR="00E938EA" w:rsidRPr="00FB5A28">
        <w:rPr>
          <w:rFonts w:ascii="Times New Roman" w:hAnsi="Times New Roman"/>
          <w:sz w:val="24"/>
          <w:szCs w:val="24"/>
        </w:rPr>
        <w:t xml:space="preserve"> </w:t>
      </w:r>
      <w:r w:rsidRPr="00FB5A28">
        <w:rPr>
          <w:rFonts w:ascii="Times New Roman" w:hAnsi="Times New Roman"/>
          <w:sz w:val="24"/>
          <w:szCs w:val="24"/>
        </w:rPr>
        <w:t>је</w:t>
      </w:r>
      <w:r w:rsidR="00E938EA" w:rsidRPr="00FB5A28">
        <w:rPr>
          <w:rFonts w:ascii="Times New Roman" w:hAnsi="Times New Roman"/>
          <w:sz w:val="24"/>
          <w:szCs w:val="24"/>
        </w:rPr>
        <w:t xml:space="preserve"> </w:t>
      </w:r>
      <w:r w:rsidRPr="00FB5A28">
        <w:rPr>
          <w:rFonts w:ascii="Times New Roman" w:hAnsi="Times New Roman"/>
          <w:sz w:val="24"/>
          <w:szCs w:val="24"/>
        </w:rPr>
        <w:t>назначено</w:t>
      </w:r>
      <w:r w:rsidR="00E938EA" w:rsidRPr="00FB5A28">
        <w:rPr>
          <w:rFonts w:ascii="Times New Roman" w:hAnsi="Times New Roman"/>
          <w:sz w:val="24"/>
          <w:szCs w:val="24"/>
        </w:rPr>
        <w:t xml:space="preserve"> </w:t>
      </w:r>
      <w:r w:rsidRPr="00FB5A28">
        <w:rPr>
          <w:rFonts w:ascii="Times New Roman" w:hAnsi="Times New Roman"/>
          <w:sz w:val="24"/>
          <w:szCs w:val="24"/>
        </w:rPr>
        <w:t>у</w:t>
      </w:r>
      <w:r w:rsidR="00E938EA" w:rsidRPr="00FB5A28">
        <w:rPr>
          <w:rFonts w:ascii="Times New Roman" w:hAnsi="Times New Roman"/>
          <w:sz w:val="24"/>
          <w:szCs w:val="24"/>
        </w:rPr>
        <w:t xml:space="preserve"> </w:t>
      </w:r>
      <w:r w:rsidRPr="00FB5A28">
        <w:rPr>
          <w:rFonts w:ascii="Times New Roman" w:hAnsi="Times New Roman"/>
          <w:sz w:val="24"/>
          <w:szCs w:val="24"/>
        </w:rPr>
        <w:t>отпремници</w:t>
      </w:r>
      <w:r w:rsidR="00E938EA" w:rsidRPr="00FB5A28">
        <w:rPr>
          <w:rFonts w:ascii="Times New Roman" w:hAnsi="Times New Roman"/>
          <w:sz w:val="24"/>
          <w:szCs w:val="24"/>
        </w:rPr>
        <w:t xml:space="preserve"> </w:t>
      </w:r>
      <w:r w:rsidRPr="00FB5A28">
        <w:rPr>
          <w:rFonts w:ascii="Times New Roman" w:hAnsi="Times New Roman"/>
          <w:sz w:val="24"/>
          <w:szCs w:val="24"/>
        </w:rPr>
        <w:t>или</w:t>
      </w:r>
      <w:r w:rsidR="00E938EA" w:rsidRPr="00FB5A28">
        <w:rPr>
          <w:rFonts w:ascii="Times New Roman" w:hAnsi="Times New Roman"/>
          <w:sz w:val="24"/>
          <w:szCs w:val="24"/>
        </w:rPr>
        <w:t xml:space="preserve"> </w:t>
      </w:r>
      <w:r w:rsidRPr="00FB5A28">
        <w:rPr>
          <w:rFonts w:ascii="Times New Roman" w:hAnsi="Times New Roman"/>
          <w:sz w:val="24"/>
          <w:szCs w:val="24"/>
        </w:rPr>
        <w:t>другом</w:t>
      </w:r>
      <w:r w:rsidR="00E938EA" w:rsidRPr="00FB5A28">
        <w:rPr>
          <w:rFonts w:ascii="Times New Roman" w:hAnsi="Times New Roman"/>
          <w:sz w:val="24"/>
          <w:szCs w:val="24"/>
        </w:rPr>
        <w:t xml:space="preserve"> </w:t>
      </w:r>
      <w:r w:rsidRPr="00FB5A28">
        <w:rPr>
          <w:rFonts w:ascii="Times New Roman" w:hAnsi="Times New Roman"/>
          <w:sz w:val="24"/>
          <w:szCs w:val="24"/>
        </w:rPr>
        <w:t>превозном</w:t>
      </w:r>
      <w:r w:rsidR="00E938EA" w:rsidRPr="00FB5A28">
        <w:rPr>
          <w:rFonts w:ascii="Times New Roman" w:hAnsi="Times New Roman"/>
          <w:sz w:val="24"/>
          <w:szCs w:val="24"/>
        </w:rPr>
        <w:t xml:space="preserve"> </w:t>
      </w:r>
      <w:r w:rsidRPr="00FB5A28">
        <w:rPr>
          <w:rFonts w:ascii="Times New Roman" w:hAnsi="Times New Roman"/>
          <w:sz w:val="24"/>
          <w:szCs w:val="24"/>
        </w:rPr>
        <w:t>документу</w:t>
      </w:r>
      <w:r w:rsidR="00E938EA" w:rsidRPr="00FB5A28">
        <w:rPr>
          <w:rFonts w:ascii="Times New Roman" w:hAnsi="Times New Roman"/>
          <w:sz w:val="24"/>
          <w:szCs w:val="24"/>
        </w:rPr>
        <w:t xml:space="preserve">, </w:t>
      </w:r>
      <w:r w:rsidRPr="00FB5A28">
        <w:rPr>
          <w:rFonts w:ascii="Times New Roman" w:hAnsi="Times New Roman"/>
          <w:sz w:val="24"/>
          <w:szCs w:val="24"/>
        </w:rPr>
        <w:t>а</w:t>
      </w:r>
      <w:r w:rsidR="00E938EA" w:rsidRPr="00FB5A28">
        <w:rPr>
          <w:rFonts w:ascii="Times New Roman" w:hAnsi="Times New Roman"/>
          <w:sz w:val="24"/>
          <w:szCs w:val="24"/>
        </w:rPr>
        <w:t xml:space="preserve"> </w:t>
      </w:r>
      <w:r w:rsidRPr="00FB5A28">
        <w:rPr>
          <w:rFonts w:ascii="Times New Roman" w:hAnsi="Times New Roman"/>
          <w:sz w:val="24"/>
          <w:szCs w:val="24"/>
        </w:rPr>
        <w:t>ако</w:t>
      </w:r>
      <w:r w:rsidR="00E938EA" w:rsidRPr="00FB5A28">
        <w:rPr>
          <w:rFonts w:ascii="Times New Roman" w:hAnsi="Times New Roman"/>
          <w:sz w:val="24"/>
          <w:szCs w:val="24"/>
        </w:rPr>
        <w:t xml:space="preserve"> </w:t>
      </w:r>
      <w:r w:rsidRPr="00FB5A28">
        <w:rPr>
          <w:rFonts w:ascii="Times New Roman" w:hAnsi="Times New Roman"/>
          <w:sz w:val="24"/>
          <w:szCs w:val="24"/>
        </w:rPr>
        <w:t>није</w:t>
      </w:r>
      <w:r w:rsidR="00E938EA" w:rsidRPr="00FB5A28">
        <w:rPr>
          <w:rFonts w:ascii="Times New Roman" w:hAnsi="Times New Roman"/>
          <w:sz w:val="24"/>
          <w:szCs w:val="24"/>
        </w:rPr>
        <w:t xml:space="preserve"> </w:t>
      </w:r>
      <w:r w:rsidRPr="00FB5A28">
        <w:rPr>
          <w:rFonts w:ascii="Times New Roman" w:hAnsi="Times New Roman"/>
          <w:sz w:val="24"/>
          <w:szCs w:val="24"/>
        </w:rPr>
        <w:t>назначено</w:t>
      </w:r>
      <w:r w:rsidR="00E938EA" w:rsidRPr="00FB5A28">
        <w:rPr>
          <w:rFonts w:ascii="Times New Roman" w:hAnsi="Times New Roman"/>
          <w:sz w:val="24"/>
          <w:szCs w:val="24"/>
        </w:rPr>
        <w:t xml:space="preserve">, </w:t>
      </w:r>
      <w:r w:rsidRPr="00FB5A28">
        <w:rPr>
          <w:rFonts w:ascii="Times New Roman" w:hAnsi="Times New Roman"/>
          <w:sz w:val="24"/>
          <w:szCs w:val="24"/>
        </w:rPr>
        <w:t>место</w:t>
      </w:r>
      <w:r w:rsidR="00E938EA" w:rsidRPr="00FB5A28">
        <w:rPr>
          <w:rFonts w:ascii="Times New Roman" w:hAnsi="Times New Roman"/>
          <w:sz w:val="24"/>
          <w:szCs w:val="24"/>
        </w:rPr>
        <w:t xml:space="preserve"> </w:t>
      </w:r>
      <w:r w:rsidRPr="00FB5A28">
        <w:rPr>
          <w:rFonts w:ascii="Times New Roman" w:hAnsi="Times New Roman"/>
          <w:sz w:val="24"/>
          <w:szCs w:val="24"/>
        </w:rPr>
        <w:t>првог</w:t>
      </w:r>
      <w:r w:rsidR="00E938EA" w:rsidRPr="00FB5A28">
        <w:rPr>
          <w:rFonts w:ascii="Times New Roman" w:hAnsi="Times New Roman"/>
          <w:sz w:val="24"/>
          <w:szCs w:val="24"/>
        </w:rPr>
        <w:t xml:space="preserve"> </w:t>
      </w:r>
      <w:r w:rsidRPr="00FB5A28">
        <w:rPr>
          <w:rFonts w:ascii="Times New Roman" w:hAnsi="Times New Roman"/>
          <w:sz w:val="24"/>
          <w:szCs w:val="24"/>
        </w:rPr>
        <w:t>претовара</w:t>
      </w:r>
      <w:r w:rsidR="00E938EA" w:rsidRPr="00FB5A28">
        <w:rPr>
          <w:rFonts w:ascii="Times New Roman" w:hAnsi="Times New Roman"/>
          <w:sz w:val="24"/>
          <w:szCs w:val="24"/>
        </w:rPr>
        <w:t xml:space="preserve"> </w:t>
      </w:r>
      <w:r w:rsidRPr="00FB5A28">
        <w:rPr>
          <w:rFonts w:ascii="Times New Roman" w:hAnsi="Times New Roman"/>
          <w:sz w:val="24"/>
          <w:szCs w:val="24"/>
        </w:rPr>
        <w:t>добара</w:t>
      </w:r>
      <w:r w:rsidR="00E938EA" w:rsidRPr="00FB5A28">
        <w:rPr>
          <w:rFonts w:ascii="Times New Roman" w:hAnsi="Times New Roman"/>
          <w:sz w:val="24"/>
          <w:szCs w:val="24"/>
        </w:rPr>
        <w:t xml:space="preserve"> </w:t>
      </w:r>
      <w:r w:rsidRPr="00FB5A28">
        <w:rPr>
          <w:rFonts w:ascii="Times New Roman" w:hAnsi="Times New Roman"/>
          <w:sz w:val="24"/>
          <w:szCs w:val="24"/>
        </w:rPr>
        <w:t>у</w:t>
      </w:r>
      <w:r w:rsidR="00E938EA" w:rsidRPr="00FB5A28">
        <w:rPr>
          <w:rFonts w:ascii="Times New Roman" w:hAnsi="Times New Roman"/>
          <w:sz w:val="24"/>
          <w:szCs w:val="24"/>
        </w:rPr>
        <w:t xml:space="preserve"> </w:t>
      </w:r>
      <w:r w:rsidRPr="00FB5A28">
        <w:rPr>
          <w:rFonts w:ascii="Times New Roman" w:hAnsi="Times New Roman"/>
          <w:sz w:val="24"/>
          <w:szCs w:val="24"/>
        </w:rPr>
        <w:t>Републици</w:t>
      </w:r>
      <w:r w:rsidR="00E938EA" w:rsidRPr="00FB5A28">
        <w:rPr>
          <w:rFonts w:ascii="Times New Roman" w:hAnsi="Times New Roman"/>
          <w:sz w:val="24"/>
          <w:szCs w:val="24"/>
        </w:rPr>
        <w:t>.</w:t>
      </w:r>
    </w:p>
    <w:p w:rsidR="00384954" w:rsidRPr="00FB5A28" w:rsidRDefault="00384954" w:rsidP="00FB5A28">
      <w:pPr>
        <w:ind w:firstLine="708"/>
        <w:jc w:val="both"/>
        <w:rPr>
          <w:rFonts w:ascii="Times New Roman" w:hAnsi="Times New Roman"/>
          <w:sz w:val="24"/>
          <w:szCs w:val="24"/>
          <w:lang w:val="sr-Cyrl-CS"/>
        </w:rPr>
      </w:pPr>
      <w:bookmarkStart w:id="16" w:name="clan_20"/>
      <w:bookmarkEnd w:id="16"/>
      <w:r w:rsidRPr="00FB5A28">
        <w:rPr>
          <w:rFonts w:ascii="Times New Roman" w:hAnsi="Times New Roman"/>
          <w:sz w:val="24"/>
          <w:szCs w:val="24"/>
        </w:rPr>
        <w:lastRenderedPageBreak/>
        <w:t>Код</w:t>
      </w:r>
      <w:r w:rsidR="00E938EA" w:rsidRPr="00FB5A28">
        <w:rPr>
          <w:rFonts w:ascii="Times New Roman" w:hAnsi="Times New Roman"/>
          <w:sz w:val="24"/>
          <w:szCs w:val="24"/>
        </w:rPr>
        <w:t xml:space="preserve"> </w:t>
      </w:r>
      <w:r w:rsidRPr="00FB5A28">
        <w:rPr>
          <w:rFonts w:ascii="Times New Roman" w:hAnsi="Times New Roman"/>
          <w:sz w:val="24"/>
          <w:szCs w:val="24"/>
        </w:rPr>
        <w:t>увоза</w:t>
      </w:r>
      <w:r w:rsidR="00E938EA" w:rsidRPr="00FB5A28">
        <w:rPr>
          <w:rFonts w:ascii="Times New Roman" w:hAnsi="Times New Roman"/>
          <w:sz w:val="24"/>
          <w:szCs w:val="24"/>
        </w:rPr>
        <w:t xml:space="preserve"> </w:t>
      </w:r>
      <w:r w:rsidRPr="00FB5A28">
        <w:rPr>
          <w:rFonts w:ascii="Times New Roman" w:hAnsi="Times New Roman"/>
          <w:sz w:val="24"/>
          <w:szCs w:val="24"/>
        </w:rPr>
        <w:t>добара</w:t>
      </w:r>
      <w:r w:rsidR="00E938EA" w:rsidRPr="00FB5A28">
        <w:rPr>
          <w:rFonts w:ascii="Times New Roman" w:hAnsi="Times New Roman"/>
          <w:sz w:val="24"/>
          <w:szCs w:val="24"/>
        </w:rPr>
        <w:t xml:space="preserve">, </w:t>
      </w:r>
      <w:r w:rsidRPr="00FB5A28">
        <w:rPr>
          <w:rFonts w:ascii="Times New Roman" w:hAnsi="Times New Roman"/>
          <w:sz w:val="24"/>
          <w:szCs w:val="24"/>
        </w:rPr>
        <w:t>које</w:t>
      </w:r>
      <w:r w:rsidR="00E938EA" w:rsidRPr="00FB5A28">
        <w:rPr>
          <w:rFonts w:ascii="Times New Roman" w:hAnsi="Times New Roman"/>
          <w:sz w:val="24"/>
          <w:szCs w:val="24"/>
        </w:rPr>
        <w:t xml:space="preserve"> </w:t>
      </w:r>
      <w:r w:rsidRPr="00FB5A28">
        <w:rPr>
          <w:rFonts w:ascii="Times New Roman" w:hAnsi="Times New Roman"/>
          <w:sz w:val="24"/>
          <w:szCs w:val="24"/>
        </w:rPr>
        <w:t>је</w:t>
      </w:r>
      <w:r w:rsidR="00E938EA" w:rsidRPr="00FB5A28">
        <w:rPr>
          <w:rFonts w:ascii="Times New Roman" w:hAnsi="Times New Roman"/>
          <w:sz w:val="24"/>
          <w:szCs w:val="24"/>
        </w:rPr>
        <w:t xml:space="preserve"> </w:t>
      </w:r>
      <w:r w:rsidRPr="00FB5A28">
        <w:rPr>
          <w:rFonts w:ascii="Times New Roman" w:hAnsi="Times New Roman"/>
          <w:sz w:val="24"/>
          <w:szCs w:val="24"/>
        </w:rPr>
        <w:t>обвезник</w:t>
      </w:r>
      <w:r w:rsidR="00E938EA" w:rsidRPr="00FB5A28">
        <w:rPr>
          <w:rFonts w:ascii="Times New Roman" w:hAnsi="Times New Roman"/>
          <w:sz w:val="24"/>
          <w:szCs w:val="24"/>
        </w:rPr>
        <w:t xml:space="preserve"> </w:t>
      </w:r>
      <w:r w:rsidRPr="00FB5A28">
        <w:rPr>
          <w:rFonts w:ascii="Times New Roman" w:hAnsi="Times New Roman"/>
          <w:sz w:val="24"/>
          <w:szCs w:val="24"/>
        </w:rPr>
        <w:t>привремено</w:t>
      </w:r>
      <w:r w:rsidR="00E938EA" w:rsidRPr="00FB5A28">
        <w:rPr>
          <w:rFonts w:ascii="Times New Roman" w:hAnsi="Times New Roman"/>
          <w:sz w:val="24"/>
          <w:szCs w:val="24"/>
        </w:rPr>
        <w:t xml:space="preserve"> </w:t>
      </w:r>
      <w:r w:rsidRPr="00FB5A28">
        <w:rPr>
          <w:rFonts w:ascii="Times New Roman" w:hAnsi="Times New Roman"/>
          <w:sz w:val="24"/>
          <w:szCs w:val="24"/>
        </w:rPr>
        <w:t>извезао</w:t>
      </w:r>
      <w:r w:rsidR="00E938EA" w:rsidRPr="00FB5A28">
        <w:rPr>
          <w:rFonts w:ascii="Times New Roman" w:hAnsi="Times New Roman"/>
          <w:sz w:val="24"/>
          <w:szCs w:val="24"/>
        </w:rPr>
        <w:t xml:space="preserve"> </w:t>
      </w:r>
      <w:r w:rsidRPr="00FB5A28">
        <w:rPr>
          <w:rFonts w:ascii="Times New Roman" w:hAnsi="Times New Roman"/>
          <w:sz w:val="24"/>
          <w:szCs w:val="24"/>
        </w:rPr>
        <w:t>ради</w:t>
      </w:r>
      <w:r w:rsidR="00E938EA" w:rsidRPr="00FB5A28">
        <w:rPr>
          <w:rFonts w:ascii="Times New Roman" w:hAnsi="Times New Roman"/>
          <w:sz w:val="24"/>
          <w:szCs w:val="24"/>
        </w:rPr>
        <w:t xml:space="preserve"> </w:t>
      </w:r>
      <w:r w:rsidRPr="00FB5A28">
        <w:rPr>
          <w:rFonts w:ascii="Times New Roman" w:hAnsi="Times New Roman"/>
          <w:sz w:val="24"/>
          <w:szCs w:val="24"/>
        </w:rPr>
        <w:t>оплемењивања, обраде, дораде или прераде</w:t>
      </w:r>
      <w:r w:rsidR="00E938EA" w:rsidRPr="00FB5A28">
        <w:rPr>
          <w:rFonts w:ascii="Times New Roman" w:hAnsi="Times New Roman"/>
          <w:sz w:val="24"/>
          <w:szCs w:val="24"/>
        </w:rPr>
        <w:t xml:space="preserve">, </w:t>
      </w:r>
      <w:r w:rsidRPr="00FB5A28">
        <w:rPr>
          <w:rFonts w:ascii="Times New Roman" w:hAnsi="Times New Roman"/>
          <w:sz w:val="24"/>
          <w:szCs w:val="24"/>
        </w:rPr>
        <w:t>оправке</w:t>
      </w:r>
      <w:r w:rsidR="00E938EA" w:rsidRPr="00FB5A28">
        <w:rPr>
          <w:rFonts w:ascii="Times New Roman" w:hAnsi="Times New Roman"/>
          <w:sz w:val="24"/>
          <w:szCs w:val="24"/>
        </w:rPr>
        <w:t xml:space="preserve"> </w:t>
      </w:r>
      <w:r w:rsidRPr="00FB5A28">
        <w:rPr>
          <w:rFonts w:ascii="Times New Roman" w:hAnsi="Times New Roman"/>
          <w:sz w:val="24"/>
          <w:szCs w:val="24"/>
        </w:rPr>
        <w:t>или</w:t>
      </w:r>
      <w:r w:rsidR="00E938EA" w:rsidRPr="00FB5A28">
        <w:rPr>
          <w:rFonts w:ascii="Times New Roman" w:hAnsi="Times New Roman"/>
          <w:sz w:val="24"/>
          <w:szCs w:val="24"/>
        </w:rPr>
        <w:t xml:space="preserve"> </w:t>
      </w:r>
      <w:r w:rsidRPr="00FB5A28">
        <w:rPr>
          <w:rFonts w:ascii="Times New Roman" w:hAnsi="Times New Roman"/>
          <w:sz w:val="24"/>
          <w:szCs w:val="24"/>
        </w:rPr>
        <w:t>уградње</w:t>
      </w:r>
      <w:r w:rsidR="00E938EA" w:rsidRPr="00FB5A28">
        <w:rPr>
          <w:rFonts w:ascii="Times New Roman" w:hAnsi="Times New Roman"/>
          <w:sz w:val="24"/>
          <w:szCs w:val="24"/>
        </w:rPr>
        <w:t>,</w:t>
      </w:r>
      <w:r w:rsidRPr="00FB5A28">
        <w:rPr>
          <w:rStyle w:val="FootnoteReference"/>
          <w:rFonts w:ascii="Times New Roman" w:hAnsi="Times New Roman"/>
          <w:color w:val="000000"/>
          <w:sz w:val="24"/>
          <w:szCs w:val="24"/>
        </w:rPr>
        <w:footnoteReference w:id="381"/>
      </w:r>
      <w:r w:rsidR="00E938EA" w:rsidRPr="00FB5A28">
        <w:rPr>
          <w:rFonts w:ascii="Times New Roman" w:hAnsi="Times New Roman"/>
          <w:sz w:val="24"/>
          <w:szCs w:val="24"/>
        </w:rPr>
        <w:t xml:space="preserve"> </w:t>
      </w:r>
      <w:r w:rsidRPr="00FB5A28">
        <w:rPr>
          <w:rFonts w:ascii="Times New Roman" w:hAnsi="Times New Roman"/>
          <w:sz w:val="24"/>
          <w:szCs w:val="24"/>
        </w:rPr>
        <w:t>основицу</w:t>
      </w:r>
      <w:r w:rsidR="00E938EA" w:rsidRPr="00FB5A28">
        <w:rPr>
          <w:rFonts w:ascii="Times New Roman" w:hAnsi="Times New Roman"/>
          <w:sz w:val="24"/>
          <w:szCs w:val="24"/>
        </w:rPr>
        <w:t xml:space="preserve"> </w:t>
      </w:r>
      <w:r w:rsidRPr="00FB5A28">
        <w:rPr>
          <w:rFonts w:ascii="Times New Roman" w:hAnsi="Times New Roman"/>
          <w:sz w:val="24"/>
          <w:szCs w:val="24"/>
        </w:rPr>
        <w:t>чини</w:t>
      </w:r>
      <w:r w:rsidR="00E938EA" w:rsidRPr="00FB5A28">
        <w:rPr>
          <w:rFonts w:ascii="Times New Roman" w:hAnsi="Times New Roman"/>
          <w:sz w:val="24"/>
          <w:szCs w:val="24"/>
        </w:rPr>
        <w:t xml:space="preserve"> </w:t>
      </w:r>
      <w:r w:rsidRPr="00FB5A28">
        <w:rPr>
          <w:rFonts w:ascii="Times New Roman" w:hAnsi="Times New Roman"/>
          <w:sz w:val="24"/>
          <w:szCs w:val="24"/>
        </w:rPr>
        <w:t>накнада</w:t>
      </w:r>
      <w:r w:rsidR="00E938EA" w:rsidRPr="00FB5A28">
        <w:rPr>
          <w:rFonts w:ascii="Times New Roman" w:hAnsi="Times New Roman"/>
          <w:sz w:val="24"/>
          <w:szCs w:val="24"/>
        </w:rPr>
        <w:t xml:space="preserve"> </w:t>
      </w:r>
      <w:r w:rsidRPr="00FB5A28">
        <w:rPr>
          <w:rFonts w:ascii="Times New Roman" w:hAnsi="Times New Roman"/>
          <w:sz w:val="24"/>
          <w:szCs w:val="24"/>
        </w:rPr>
        <w:t>коју</w:t>
      </w:r>
      <w:r w:rsidR="00E938EA" w:rsidRPr="00FB5A28">
        <w:rPr>
          <w:rFonts w:ascii="Times New Roman" w:hAnsi="Times New Roman"/>
          <w:sz w:val="24"/>
          <w:szCs w:val="24"/>
        </w:rPr>
        <w:t xml:space="preserve"> </w:t>
      </w:r>
      <w:r w:rsidRPr="00FB5A28">
        <w:rPr>
          <w:rFonts w:ascii="Times New Roman" w:hAnsi="Times New Roman"/>
          <w:sz w:val="24"/>
          <w:szCs w:val="24"/>
        </w:rPr>
        <w:t>је</w:t>
      </w:r>
      <w:r w:rsidR="00E938EA" w:rsidRPr="00FB5A28">
        <w:rPr>
          <w:rFonts w:ascii="Times New Roman" w:hAnsi="Times New Roman"/>
          <w:sz w:val="24"/>
          <w:szCs w:val="24"/>
        </w:rPr>
        <w:t xml:space="preserve"> </w:t>
      </w:r>
      <w:r w:rsidRPr="00FB5A28">
        <w:rPr>
          <w:rFonts w:ascii="Times New Roman" w:hAnsi="Times New Roman"/>
          <w:sz w:val="24"/>
          <w:szCs w:val="24"/>
        </w:rPr>
        <w:t>обвезник</w:t>
      </w:r>
      <w:r w:rsidR="00E938EA" w:rsidRPr="00FB5A28">
        <w:rPr>
          <w:rFonts w:ascii="Times New Roman" w:hAnsi="Times New Roman"/>
          <w:sz w:val="24"/>
          <w:szCs w:val="24"/>
        </w:rPr>
        <w:t xml:space="preserve"> </w:t>
      </w:r>
      <w:r w:rsidRPr="00FB5A28">
        <w:rPr>
          <w:rFonts w:ascii="Times New Roman" w:hAnsi="Times New Roman"/>
          <w:sz w:val="24"/>
          <w:szCs w:val="24"/>
        </w:rPr>
        <w:t>платио</w:t>
      </w:r>
      <w:r w:rsidR="00E938EA" w:rsidRPr="00FB5A28">
        <w:rPr>
          <w:rFonts w:ascii="Times New Roman" w:hAnsi="Times New Roman"/>
          <w:sz w:val="24"/>
          <w:szCs w:val="24"/>
        </w:rPr>
        <w:t xml:space="preserve"> </w:t>
      </w:r>
      <w:r w:rsidRPr="00FB5A28">
        <w:rPr>
          <w:rFonts w:ascii="Times New Roman" w:hAnsi="Times New Roman"/>
          <w:sz w:val="24"/>
          <w:szCs w:val="24"/>
        </w:rPr>
        <w:t>или</w:t>
      </w:r>
      <w:r w:rsidR="00E938EA" w:rsidRPr="00FB5A28">
        <w:rPr>
          <w:rFonts w:ascii="Times New Roman" w:hAnsi="Times New Roman"/>
          <w:sz w:val="24"/>
          <w:szCs w:val="24"/>
        </w:rPr>
        <w:t xml:space="preserve"> </w:t>
      </w:r>
      <w:r w:rsidRPr="00FB5A28">
        <w:rPr>
          <w:rFonts w:ascii="Times New Roman" w:hAnsi="Times New Roman"/>
          <w:sz w:val="24"/>
          <w:szCs w:val="24"/>
        </w:rPr>
        <w:t>треба</w:t>
      </w:r>
      <w:r w:rsidR="00E938EA" w:rsidRPr="00FB5A28">
        <w:rPr>
          <w:rFonts w:ascii="Times New Roman" w:hAnsi="Times New Roman"/>
          <w:sz w:val="24"/>
          <w:szCs w:val="24"/>
        </w:rPr>
        <w:t xml:space="preserve"> </w:t>
      </w:r>
      <w:r w:rsidRPr="00FB5A28">
        <w:rPr>
          <w:rFonts w:ascii="Times New Roman" w:hAnsi="Times New Roman"/>
          <w:sz w:val="24"/>
          <w:szCs w:val="24"/>
        </w:rPr>
        <w:t>да</w:t>
      </w:r>
      <w:r w:rsidR="00E938EA" w:rsidRPr="00FB5A28">
        <w:rPr>
          <w:rFonts w:ascii="Times New Roman" w:hAnsi="Times New Roman"/>
          <w:sz w:val="24"/>
          <w:szCs w:val="24"/>
        </w:rPr>
        <w:t xml:space="preserve"> </w:t>
      </w:r>
      <w:r w:rsidRPr="00FB5A28">
        <w:rPr>
          <w:rFonts w:ascii="Times New Roman" w:hAnsi="Times New Roman"/>
          <w:sz w:val="24"/>
          <w:szCs w:val="24"/>
        </w:rPr>
        <w:t>плати</w:t>
      </w:r>
      <w:r w:rsidR="00E938EA" w:rsidRPr="00FB5A28">
        <w:rPr>
          <w:rFonts w:ascii="Times New Roman" w:hAnsi="Times New Roman"/>
          <w:sz w:val="24"/>
          <w:szCs w:val="24"/>
        </w:rPr>
        <w:t xml:space="preserve"> </w:t>
      </w:r>
      <w:r w:rsidRPr="00FB5A28">
        <w:rPr>
          <w:rFonts w:ascii="Times New Roman" w:hAnsi="Times New Roman"/>
          <w:sz w:val="24"/>
          <w:szCs w:val="24"/>
        </w:rPr>
        <w:t>за</w:t>
      </w:r>
      <w:r w:rsidR="00E938EA" w:rsidRPr="00FB5A28">
        <w:rPr>
          <w:rFonts w:ascii="Times New Roman" w:hAnsi="Times New Roman"/>
          <w:sz w:val="24"/>
          <w:szCs w:val="24"/>
        </w:rPr>
        <w:t xml:space="preserve"> </w:t>
      </w:r>
      <w:r w:rsidRPr="00FB5A28">
        <w:rPr>
          <w:rFonts w:ascii="Times New Roman" w:hAnsi="Times New Roman"/>
          <w:sz w:val="24"/>
          <w:szCs w:val="24"/>
        </w:rPr>
        <w:t>оплемењивање</w:t>
      </w:r>
      <w:r w:rsidR="00E938EA" w:rsidRPr="00FB5A28">
        <w:rPr>
          <w:rFonts w:ascii="Times New Roman" w:hAnsi="Times New Roman"/>
          <w:sz w:val="24"/>
          <w:szCs w:val="24"/>
        </w:rPr>
        <w:t xml:space="preserve">, </w:t>
      </w:r>
      <w:r w:rsidRPr="00FB5A28">
        <w:rPr>
          <w:rFonts w:ascii="Times New Roman" w:hAnsi="Times New Roman"/>
          <w:sz w:val="24"/>
          <w:szCs w:val="24"/>
        </w:rPr>
        <w:t>оправку</w:t>
      </w:r>
      <w:r w:rsidR="00E938EA" w:rsidRPr="00FB5A28">
        <w:rPr>
          <w:rFonts w:ascii="Times New Roman" w:hAnsi="Times New Roman"/>
          <w:sz w:val="24"/>
          <w:szCs w:val="24"/>
        </w:rPr>
        <w:t xml:space="preserve"> </w:t>
      </w:r>
      <w:r w:rsidRPr="00FB5A28">
        <w:rPr>
          <w:rFonts w:ascii="Times New Roman" w:hAnsi="Times New Roman"/>
          <w:sz w:val="24"/>
          <w:szCs w:val="24"/>
        </w:rPr>
        <w:t>или</w:t>
      </w:r>
      <w:r w:rsidR="00E938EA" w:rsidRPr="00FB5A28">
        <w:rPr>
          <w:rFonts w:ascii="Times New Roman" w:hAnsi="Times New Roman"/>
          <w:sz w:val="24"/>
          <w:szCs w:val="24"/>
        </w:rPr>
        <w:t xml:space="preserve"> </w:t>
      </w:r>
      <w:r w:rsidRPr="00FB5A28">
        <w:rPr>
          <w:rFonts w:ascii="Times New Roman" w:hAnsi="Times New Roman"/>
          <w:sz w:val="24"/>
          <w:szCs w:val="24"/>
        </w:rPr>
        <w:t>уградњу</w:t>
      </w:r>
      <w:r w:rsidR="00E938EA" w:rsidRPr="00FB5A28">
        <w:rPr>
          <w:rFonts w:ascii="Times New Roman" w:hAnsi="Times New Roman"/>
          <w:sz w:val="24"/>
          <w:szCs w:val="24"/>
        </w:rPr>
        <w:t xml:space="preserve">, </w:t>
      </w:r>
      <w:r w:rsidRPr="00FB5A28">
        <w:rPr>
          <w:rFonts w:ascii="Times New Roman" w:hAnsi="Times New Roman"/>
          <w:sz w:val="24"/>
          <w:szCs w:val="24"/>
        </w:rPr>
        <w:t>а</w:t>
      </w:r>
      <w:r w:rsidR="00E938EA" w:rsidRPr="00FB5A28">
        <w:rPr>
          <w:rFonts w:ascii="Times New Roman" w:hAnsi="Times New Roman"/>
          <w:sz w:val="24"/>
          <w:szCs w:val="24"/>
        </w:rPr>
        <w:t xml:space="preserve"> </w:t>
      </w:r>
      <w:r w:rsidRPr="00FB5A28">
        <w:rPr>
          <w:rFonts w:ascii="Times New Roman" w:hAnsi="Times New Roman"/>
          <w:sz w:val="24"/>
          <w:szCs w:val="24"/>
        </w:rPr>
        <w:t>ако</w:t>
      </w:r>
      <w:r w:rsidR="00E938EA" w:rsidRPr="00FB5A28">
        <w:rPr>
          <w:rFonts w:ascii="Times New Roman" w:hAnsi="Times New Roman"/>
          <w:sz w:val="24"/>
          <w:szCs w:val="24"/>
        </w:rPr>
        <w:t xml:space="preserve"> </w:t>
      </w:r>
      <w:r w:rsidRPr="00FB5A28">
        <w:rPr>
          <w:rFonts w:ascii="Times New Roman" w:hAnsi="Times New Roman"/>
          <w:sz w:val="24"/>
          <w:szCs w:val="24"/>
        </w:rPr>
        <w:t>се</w:t>
      </w:r>
      <w:r w:rsidR="00E938EA" w:rsidRPr="00FB5A28">
        <w:rPr>
          <w:rFonts w:ascii="Times New Roman" w:hAnsi="Times New Roman"/>
          <w:sz w:val="24"/>
          <w:szCs w:val="24"/>
        </w:rPr>
        <w:t xml:space="preserve"> </w:t>
      </w:r>
      <w:r w:rsidRPr="00FB5A28">
        <w:rPr>
          <w:rFonts w:ascii="Times New Roman" w:hAnsi="Times New Roman"/>
          <w:sz w:val="24"/>
          <w:szCs w:val="24"/>
        </w:rPr>
        <w:t>та</w:t>
      </w:r>
      <w:r w:rsidR="00E938EA" w:rsidRPr="00FB5A28">
        <w:rPr>
          <w:rFonts w:ascii="Times New Roman" w:hAnsi="Times New Roman"/>
          <w:sz w:val="24"/>
          <w:szCs w:val="24"/>
        </w:rPr>
        <w:t xml:space="preserve"> </w:t>
      </w:r>
      <w:r w:rsidRPr="00FB5A28">
        <w:rPr>
          <w:rFonts w:ascii="Times New Roman" w:hAnsi="Times New Roman"/>
          <w:sz w:val="24"/>
          <w:szCs w:val="24"/>
        </w:rPr>
        <w:t>накнада</w:t>
      </w:r>
      <w:r w:rsidR="00E938EA" w:rsidRPr="00FB5A28">
        <w:rPr>
          <w:rFonts w:ascii="Times New Roman" w:hAnsi="Times New Roman"/>
          <w:sz w:val="24"/>
          <w:szCs w:val="24"/>
        </w:rPr>
        <w:t xml:space="preserve"> </w:t>
      </w:r>
      <w:r w:rsidRPr="00FB5A28">
        <w:rPr>
          <w:rFonts w:ascii="Times New Roman" w:hAnsi="Times New Roman"/>
          <w:sz w:val="24"/>
          <w:szCs w:val="24"/>
        </w:rPr>
        <w:t>не</w:t>
      </w:r>
      <w:r w:rsidR="00E938EA" w:rsidRPr="00FB5A28">
        <w:rPr>
          <w:rFonts w:ascii="Times New Roman" w:hAnsi="Times New Roman"/>
          <w:sz w:val="24"/>
          <w:szCs w:val="24"/>
        </w:rPr>
        <w:t xml:space="preserve"> </w:t>
      </w:r>
      <w:r w:rsidRPr="00FB5A28">
        <w:rPr>
          <w:rFonts w:ascii="Times New Roman" w:hAnsi="Times New Roman"/>
          <w:sz w:val="24"/>
          <w:szCs w:val="24"/>
        </w:rPr>
        <w:t>плаћа</w:t>
      </w:r>
      <w:r w:rsidR="00E938EA" w:rsidRPr="00FB5A28">
        <w:rPr>
          <w:rFonts w:ascii="Times New Roman" w:hAnsi="Times New Roman"/>
          <w:sz w:val="24"/>
          <w:szCs w:val="24"/>
        </w:rPr>
        <w:t xml:space="preserve">, </w:t>
      </w:r>
      <w:r w:rsidRPr="00FB5A28">
        <w:rPr>
          <w:rFonts w:ascii="Times New Roman" w:hAnsi="Times New Roman"/>
          <w:sz w:val="24"/>
          <w:szCs w:val="24"/>
        </w:rPr>
        <w:t>основицу</w:t>
      </w:r>
      <w:r w:rsidR="00E938EA" w:rsidRPr="00FB5A28">
        <w:rPr>
          <w:rFonts w:ascii="Times New Roman" w:hAnsi="Times New Roman"/>
          <w:sz w:val="24"/>
          <w:szCs w:val="24"/>
        </w:rPr>
        <w:t xml:space="preserve"> </w:t>
      </w:r>
      <w:r w:rsidRPr="00FB5A28">
        <w:rPr>
          <w:rFonts w:ascii="Times New Roman" w:hAnsi="Times New Roman"/>
          <w:sz w:val="24"/>
          <w:szCs w:val="24"/>
        </w:rPr>
        <w:t>чини</w:t>
      </w:r>
      <w:r w:rsidR="00E938EA" w:rsidRPr="00FB5A28">
        <w:rPr>
          <w:rFonts w:ascii="Times New Roman" w:hAnsi="Times New Roman"/>
          <w:sz w:val="24"/>
          <w:szCs w:val="24"/>
        </w:rPr>
        <w:t xml:space="preserve"> </w:t>
      </w:r>
      <w:r w:rsidRPr="00FB5A28">
        <w:rPr>
          <w:rFonts w:ascii="Times New Roman" w:hAnsi="Times New Roman"/>
          <w:sz w:val="24"/>
          <w:szCs w:val="24"/>
        </w:rPr>
        <w:t>пораст</w:t>
      </w:r>
      <w:r w:rsidR="00E938EA" w:rsidRPr="00FB5A28">
        <w:rPr>
          <w:rFonts w:ascii="Times New Roman" w:hAnsi="Times New Roman"/>
          <w:sz w:val="24"/>
          <w:szCs w:val="24"/>
        </w:rPr>
        <w:t xml:space="preserve"> </w:t>
      </w:r>
      <w:r w:rsidRPr="00FB5A28">
        <w:rPr>
          <w:rFonts w:ascii="Times New Roman" w:hAnsi="Times New Roman"/>
          <w:sz w:val="24"/>
          <w:szCs w:val="24"/>
        </w:rPr>
        <w:t>вредности</w:t>
      </w:r>
      <w:r w:rsidR="00E938EA" w:rsidRPr="00FB5A28">
        <w:rPr>
          <w:rFonts w:ascii="Times New Roman" w:hAnsi="Times New Roman"/>
          <w:sz w:val="24"/>
          <w:szCs w:val="24"/>
        </w:rPr>
        <w:t xml:space="preserve"> </w:t>
      </w:r>
      <w:r w:rsidRPr="00FB5A28">
        <w:rPr>
          <w:rFonts w:ascii="Times New Roman" w:hAnsi="Times New Roman"/>
          <w:sz w:val="24"/>
          <w:szCs w:val="24"/>
        </w:rPr>
        <w:t>настао</w:t>
      </w:r>
      <w:r w:rsidR="00E938EA" w:rsidRPr="00FB5A28">
        <w:rPr>
          <w:rFonts w:ascii="Times New Roman" w:hAnsi="Times New Roman"/>
          <w:sz w:val="24"/>
          <w:szCs w:val="24"/>
        </w:rPr>
        <w:t xml:space="preserve"> </w:t>
      </w:r>
      <w:r w:rsidRPr="00FB5A28">
        <w:rPr>
          <w:rFonts w:ascii="Times New Roman" w:hAnsi="Times New Roman"/>
          <w:sz w:val="24"/>
          <w:szCs w:val="24"/>
        </w:rPr>
        <w:t>оплемењивањем</w:t>
      </w:r>
      <w:r w:rsidR="00E938EA" w:rsidRPr="00FB5A28">
        <w:rPr>
          <w:rFonts w:ascii="Times New Roman" w:hAnsi="Times New Roman"/>
          <w:sz w:val="24"/>
          <w:szCs w:val="24"/>
        </w:rPr>
        <w:t xml:space="preserve">, </w:t>
      </w:r>
      <w:r w:rsidRPr="00FB5A28">
        <w:rPr>
          <w:rFonts w:ascii="Times New Roman" w:hAnsi="Times New Roman"/>
          <w:sz w:val="24"/>
          <w:szCs w:val="24"/>
        </w:rPr>
        <w:t>оправком</w:t>
      </w:r>
      <w:r w:rsidR="00E938EA" w:rsidRPr="00FB5A28">
        <w:rPr>
          <w:rFonts w:ascii="Times New Roman" w:hAnsi="Times New Roman"/>
          <w:sz w:val="24"/>
          <w:szCs w:val="24"/>
        </w:rPr>
        <w:t xml:space="preserve"> </w:t>
      </w:r>
      <w:r w:rsidRPr="00FB5A28">
        <w:rPr>
          <w:rFonts w:ascii="Times New Roman" w:hAnsi="Times New Roman"/>
          <w:sz w:val="24"/>
          <w:szCs w:val="24"/>
        </w:rPr>
        <w:t>или</w:t>
      </w:r>
      <w:r w:rsidR="00E938EA" w:rsidRPr="00FB5A28">
        <w:rPr>
          <w:rFonts w:ascii="Times New Roman" w:hAnsi="Times New Roman"/>
          <w:sz w:val="24"/>
          <w:szCs w:val="24"/>
        </w:rPr>
        <w:t xml:space="preserve"> </w:t>
      </w:r>
      <w:r w:rsidRPr="00FB5A28">
        <w:rPr>
          <w:rFonts w:ascii="Times New Roman" w:hAnsi="Times New Roman"/>
          <w:sz w:val="24"/>
          <w:szCs w:val="24"/>
        </w:rPr>
        <w:t>уградњом</w:t>
      </w:r>
      <w:r w:rsidR="00E938EA" w:rsidRPr="00FB5A28">
        <w:rPr>
          <w:rFonts w:ascii="Times New Roman" w:hAnsi="Times New Roman"/>
          <w:sz w:val="24"/>
          <w:szCs w:val="24"/>
        </w:rPr>
        <w:t>.</w:t>
      </w:r>
      <w:r w:rsidR="00FB5A28">
        <w:rPr>
          <w:rFonts w:ascii="Times New Roman" w:hAnsi="Times New Roman"/>
          <w:sz w:val="24"/>
          <w:szCs w:val="24"/>
          <w:lang w:val="sr-Cyrl-CS"/>
        </w:rPr>
        <w:t xml:space="preserve"> </w:t>
      </w:r>
    </w:p>
    <w:p w:rsidR="00BF62FE" w:rsidRDefault="00BF62FE" w:rsidP="00A77940">
      <w:pPr>
        <w:shd w:val="clear" w:color="auto" w:fill="FFFFFF"/>
        <w:spacing w:after="0" w:line="285" w:lineRule="atLeast"/>
        <w:jc w:val="both"/>
        <w:rPr>
          <w:rFonts w:ascii="Times New Roman" w:hAnsi="Times New Roman"/>
          <w:color w:val="000000"/>
          <w:sz w:val="24"/>
          <w:szCs w:val="24"/>
          <w:lang w:val="sr-Cyrl-CS"/>
        </w:rPr>
      </w:pPr>
    </w:p>
    <w:p w:rsidR="00FB5A28" w:rsidRDefault="00FB5A28" w:rsidP="00A77940">
      <w:pPr>
        <w:shd w:val="clear" w:color="auto" w:fill="FFFFFF"/>
        <w:spacing w:after="0" w:line="285" w:lineRule="atLeast"/>
        <w:jc w:val="both"/>
        <w:rPr>
          <w:rFonts w:ascii="Times New Roman" w:hAnsi="Times New Roman"/>
          <w:color w:val="000000"/>
          <w:sz w:val="24"/>
          <w:szCs w:val="24"/>
          <w:lang w:val="sr-Cyrl-CS"/>
        </w:rPr>
      </w:pPr>
    </w:p>
    <w:p w:rsidR="00FB5A28" w:rsidRDefault="00FB5A28" w:rsidP="00A77940">
      <w:pPr>
        <w:shd w:val="clear" w:color="auto" w:fill="FFFFFF"/>
        <w:spacing w:after="0" w:line="285" w:lineRule="atLeast"/>
        <w:jc w:val="both"/>
        <w:rPr>
          <w:rFonts w:ascii="Times New Roman" w:hAnsi="Times New Roman"/>
          <w:color w:val="000000"/>
          <w:sz w:val="24"/>
          <w:szCs w:val="24"/>
          <w:lang w:val="sr-Cyrl-CS"/>
        </w:rPr>
      </w:pPr>
    </w:p>
    <w:p w:rsidR="00FB5A28" w:rsidRDefault="00FB5A28" w:rsidP="00A77940">
      <w:pPr>
        <w:shd w:val="clear" w:color="auto" w:fill="FFFFFF"/>
        <w:spacing w:after="0" w:line="285" w:lineRule="atLeast"/>
        <w:jc w:val="both"/>
        <w:rPr>
          <w:rFonts w:ascii="Times New Roman" w:hAnsi="Times New Roman"/>
          <w:color w:val="000000"/>
          <w:sz w:val="24"/>
          <w:szCs w:val="24"/>
          <w:lang w:val="sr-Cyrl-CS"/>
        </w:rPr>
      </w:pPr>
    </w:p>
    <w:p w:rsidR="00FB5A28" w:rsidRDefault="00FB5A28" w:rsidP="00A77940">
      <w:pPr>
        <w:shd w:val="clear" w:color="auto" w:fill="FFFFFF"/>
        <w:spacing w:after="0" w:line="285" w:lineRule="atLeast"/>
        <w:jc w:val="both"/>
        <w:rPr>
          <w:rFonts w:ascii="Times New Roman" w:hAnsi="Times New Roman"/>
          <w:color w:val="000000"/>
          <w:sz w:val="24"/>
          <w:szCs w:val="24"/>
          <w:lang w:val="sr-Cyrl-CS"/>
        </w:rPr>
      </w:pPr>
    </w:p>
    <w:p w:rsidR="00FB5A28" w:rsidRDefault="00FB5A28" w:rsidP="00A77940">
      <w:pPr>
        <w:shd w:val="clear" w:color="auto" w:fill="FFFFFF"/>
        <w:spacing w:after="0" w:line="285" w:lineRule="atLeast"/>
        <w:jc w:val="both"/>
        <w:rPr>
          <w:rFonts w:ascii="Times New Roman" w:hAnsi="Times New Roman"/>
          <w:color w:val="000000"/>
          <w:sz w:val="24"/>
          <w:szCs w:val="24"/>
          <w:lang w:val="sr-Cyrl-CS"/>
        </w:rPr>
      </w:pPr>
    </w:p>
    <w:p w:rsidR="00FB5A28" w:rsidRDefault="00FB5A28" w:rsidP="00A77940">
      <w:pPr>
        <w:shd w:val="clear" w:color="auto" w:fill="FFFFFF"/>
        <w:spacing w:after="0" w:line="285" w:lineRule="atLeast"/>
        <w:jc w:val="both"/>
        <w:rPr>
          <w:rFonts w:ascii="Times New Roman" w:hAnsi="Times New Roman"/>
          <w:color w:val="000000"/>
          <w:sz w:val="24"/>
          <w:szCs w:val="24"/>
          <w:lang w:val="sr-Cyrl-CS"/>
        </w:rPr>
      </w:pPr>
    </w:p>
    <w:p w:rsidR="00FB5A28" w:rsidRDefault="00FB5A28" w:rsidP="00A77940">
      <w:pPr>
        <w:shd w:val="clear" w:color="auto" w:fill="FFFFFF"/>
        <w:spacing w:after="0" w:line="285" w:lineRule="atLeast"/>
        <w:jc w:val="both"/>
        <w:rPr>
          <w:rFonts w:ascii="Times New Roman" w:hAnsi="Times New Roman"/>
          <w:color w:val="000000"/>
          <w:sz w:val="24"/>
          <w:szCs w:val="24"/>
          <w:lang w:val="sr-Cyrl-CS"/>
        </w:rPr>
      </w:pPr>
    </w:p>
    <w:p w:rsidR="00BF62FE" w:rsidRPr="00A77940" w:rsidRDefault="00BF62FE" w:rsidP="00A77940">
      <w:pPr>
        <w:shd w:val="clear" w:color="auto" w:fill="FFFFFF"/>
        <w:spacing w:after="0" w:line="285" w:lineRule="atLeast"/>
        <w:jc w:val="both"/>
        <w:rPr>
          <w:rFonts w:ascii="Times New Roman" w:hAnsi="Times New Roman"/>
          <w:color w:val="000000"/>
          <w:sz w:val="24"/>
          <w:szCs w:val="24"/>
          <w:lang w:val="sr-Cyrl-CS"/>
        </w:rPr>
      </w:pPr>
    </w:p>
    <w:p w:rsidR="006B2DF9" w:rsidRDefault="00384954" w:rsidP="00FF51AE">
      <w:pPr>
        <w:shd w:val="clear" w:color="auto" w:fill="FFFFFF"/>
        <w:spacing w:after="0" w:line="285" w:lineRule="atLeast"/>
        <w:ind w:left="1069"/>
        <w:rPr>
          <w:rFonts w:ascii="Times New Roman" w:hAnsi="Times New Roman"/>
          <w:b/>
          <w:color w:val="000000"/>
          <w:sz w:val="24"/>
          <w:szCs w:val="24"/>
          <w:lang w:val="sr-Cyrl-CS"/>
        </w:rPr>
      </w:pPr>
      <w:r w:rsidRPr="00384954">
        <w:rPr>
          <w:rFonts w:ascii="Times New Roman" w:hAnsi="Times New Roman"/>
          <w:b/>
          <w:color w:val="000000"/>
          <w:sz w:val="24"/>
          <w:szCs w:val="24"/>
          <w:lang w:val="sr-Cyrl-CS"/>
        </w:rPr>
        <w:t>5.2.5. Пореска стопа</w:t>
      </w:r>
    </w:p>
    <w:p w:rsidR="00384954" w:rsidRPr="00384954" w:rsidRDefault="00384954" w:rsidP="00FF51AE">
      <w:pPr>
        <w:shd w:val="clear" w:color="auto" w:fill="FFFFFF"/>
        <w:spacing w:after="0" w:line="285" w:lineRule="atLeast"/>
        <w:ind w:left="1069"/>
        <w:rPr>
          <w:rFonts w:ascii="Times New Roman" w:hAnsi="Times New Roman"/>
          <w:b/>
          <w:color w:val="000000"/>
          <w:sz w:val="24"/>
          <w:szCs w:val="24"/>
          <w:lang w:val="sr-Cyrl-CS"/>
        </w:rPr>
      </w:pPr>
    </w:p>
    <w:p w:rsidR="00E938EA" w:rsidRPr="00384954" w:rsidRDefault="00E938EA" w:rsidP="00FF51AE">
      <w:pPr>
        <w:shd w:val="clear" w:color="auto" w:fill="FFFFFF"/>
        <w:spacing w:after="0" w:line="285" w:lineRule="atLeast"/>
        <w:ind w:left="1069"/>
        <w:rPr>
          <w:rFonts w:ascii="Times New Roman" w:hAnsi="Times New Roman"/>
          <w:color w:val="000000"/>
          <w:sz w:val="24"/>
          <w:szCs w:val="24"/>
          <w:lang w:val="sr-Cyrl-CS"/>
        </w:rPr>
      </w:pPr>
    </w:p>
    <w:p w:rsidR="00E938EA" w:rsidRDefault="00F536E7" w:rsidP="00E938EA">
      <w:pPr>
        <w:shd w:val="clear" w:color="auto" w:fill="FFFFFF"/>
        <w:spacing w:after="0" w:line="285" w:lineRule="atLeast"/>
        <w:ind w:firstLine="708"/>
        <w:jc w:val="both"/>
        <w:rPr>
          <w:rFonts w:ascii="Times New Roman" w:hAnsi="Times New Roman"/>
          <w:color w:val="000000"/>
          <w:sz w:val="24"/>
          <w:szCs w:val="24"/>
          <w:lang w:val="sr-Cyrl-CS"/>
        </w:rPr>
      </w:pPr>
      <w:r>
        <w:rPr>
          <w:rFonts w:ascii="Times New Roman" w:hAnsi="Times New Roman"/>
          <w:color w:val="000000"/>
          <w:sz w:val="24"/>
          <w:szCs w:val="24"/>
          <w:lang w:val="sr-Cyrl-CS"/>
        </w:rPr>
        <w:t>Пореска стопа је</w:t>
      </w:r>
      <w:r w:rsidR="00E938EA">
        <w:rPr>
          <w:rFonts w:ascii="Times New Roman" w:hAnsi="Times New Roman"/>
          <w:color w:val="000000"/>
          <w:sz w:val="24"/>
          <w:szCs w:val="24"/>
          <w:lang w:val="sr-Cyrl-CS"/>
        </w:rPr>
        <w:t xml:space="preserve"> износ преза у односу према пореској основици. </w:t>
      </w:r>
      <w:r w:rsidR="004E019C">
        <w:rPr>
          <w:rFonts w:ascii="Times New Roman" w:hAnsi="Times New Roman"/>
          <w:color w:val="000000"/>
          <w:sz w:val="24"/>
          <w:szCs w:val="24"/>
          <w:lang w:val="sr-Cyrl-CS"/>
        </w:rPr>
        <w:t>Пореске стопе</w:t>
      </w:r>
      <w:r w:rsidR="008E673C">
        <w:rPr>
          <w:rFonts w:ascii="Times New Roman" w:hAnsi="Times New Roman"/>
          <w:color w:val="000000"/>
          <w:sz w:val="24"/>
          <w:szCs w:val="24"/>
          <w:lang w:val="sr-Cyrl-CS"/>
        </w:rPr>
        <w:t xml:space="preserve"> пореза </w:t>
      </w:r>
      <w:r w:rsidR="00E938EA" w:rsidRPr="00E938EA">
        <w:rPr>
          <w:rFonts w:ascii="Times New Roman" w:hAnsi="Times New Roman"/>
          <w:color w:val="000000"/>
          <w:sz w:val="24"/>
          <w:szCs w:val="24"/>
          <w:lang w:val="sr-Cyrl-CS"/>
        </w:rPr>
        <w:t xml:space="preserve"> на </w:t>
      </w:r>
      <w:r w:rsidR="004E019C">
        <w:rPr>
          <w:rFonts w:ascii="Times New Roman" w:hAnsi="Times New Roman"/>
          <w:color w:val="000000"/>
          <w:sz w:val="24"/>
          <w:szCs w:val="24"/>
          <w:lang w:val="sr-Cyrl-CS"/>
        </w:rPr>
        <w:t>додату вредност су пропорционалне и прави се разлика између опште и посебне</w:t>
      </w:r>
      <w:r w:rsidR="00E938EA">
        <w:rPr>
          <w:rFonts w:ascii="Times New Roman" w:hAnsi="Times New Roman"/>
          <w:color w:val="000000"/>
          <w:sz w:val="24"/>
          <w:szCs w:val="24"/>
          <w:lang w:val="sr-Cyrl-CS"/>
        </w:rPr>
        <w:t>.</w:t>
      </w:r>
      <w:r w:rsidR="008E673C">
        <w:rPr>
          <w:rFonts w:ascii="Times New Roman" w:hAnsi="Times New Roman"/>
          <w:color w:val="000000"/>
          <w:sz w:val="24"/>
          <w:szCs w:val="24"/>
          <w:lang w:val="sr-Cyrl-CS"/>
        </w:rPr>
        <w:t xml:space="preserve"> Општа </w:t>
      </w:r>
      <w:r>
        <w:rPr>
          <w:rFonts w:ascii="Times New Roman" w:hAnsi="Times New Roman"/>
          <w:color w:val="000000"/>
          <w:sz w:val="24"/>
          <w:szCs w:val="24"/>
          <w:lang w:val="sr-Cyrl-CS"/>
        </w:rPr>
        <w:t>износи 20%, док посебна износи 10</w:t>
      </w:r>
      <w:r w:rsidR="008E673C">
        <w:rPr>
          <w:rFonts w:ascii="Times New Roman" w:hAnsi="Times New Roman"/>
          <w:color w:val="000000"/>
          <w:sz w:val="24"/>
          <w:szCs w:val="24"/>
          <w:lang w:val="sr-Cyrl-CS"/>
        </w:rPr>
        <w:t>%.</w:t>
      </w:r>
      <w:r>
        <w:rPr>
          <w:rStyle w:val="FootnoteReference"/>
          <w:rFonts w:ascii="Times New Roman" w:hAnsi="Times New Roman"/>
          <w:color w:val="000000"/>
          <w:sz w:val="24"/>
          <w:szCs w:val="24"/>
          <w:lang w:val="sr-Cyrl-CS"/>
        </w:rPr>
        <w:footnoteReference w:id="382"/>
      </w:r>
      <w:r w:rsidR="008E673C">
        <w:rPr>
          <w:rFonts w:ascii="Times New Roman" w:hAnsi="Times New Roman"/>
          <w:color w:val="000000"/>
          <w:sz w:val="24"/>
          <w:szCs w:val="24"/>
          <w:lang w:val="sr-Cyrl-CS"/>
        </w:rPr>
        <w:t xml:space="preserve"> Увођењем ниже пореске стопе,</w:t>
      </w:r>
      <w:r>
        <w:rPr>
          <w:rFonts w:ascii="Times New Roman" w:hAnsi="Times New Roman"/>
          <w:color w:val="000000"/>
          <w:sz w:val="24"/>
          <w:szCs w:val="24"/>
          <w:lang w:val="sr-Cyrl-CS"/>
        </w:rPr>
        <w:t xml:space="preserve"> за таксативно у закону наведена</w:t>
      </w:r>
      <w:r w:rsidR="008E673C">
        <w:rPr>
          <w:rFonts w:ascii="Times New Roman" w:hAnsi="Times New Roman"/>
          <w:color w:val="000000"/>
          <w:sz w:val="24"/>
          <w:szCs w:val="24"/>
          <w:lang w:val="sr-Cyrl-CS"/>
        </w:rPr>
        <w:t xml:space="preserve"> добра </w:t>
      </w:r>
      <w:r w:rsidR="004E019C">
        <w:rPr>
          <w:rFonts w:ascii="Times New Roman" w:hAnsi="Times New Roman"/>
          <w:color w:val="000000"/>
          <w:sz w:val="24"/>
          <w:szCs w:val="24"/>
          <w:lang w:val="sr-Cyrl-CS"/>
        </w:rPr>
        <w:t xml:space="preserve">и </w:t>
      </w:r>
      <w:r w:rsidR="008E673C">
        <w:rPr>
          <w:rFonts w:ascii="Times New Roman" w:hAnsi="Times New Roman"/>
          <w:color w:val="000000"/>
          <w:sz w:val="24"/>
          <w:szCs w:val="24"/>
          <w:lang w:val="sr-Cyrl-CS"/>
        </w:rPr>
        <w:t>услуге</w:t>
      </w:r>
      <w:r>
        <w:rPr>
          <w:rFonts w:ascii="Times New Roman" w:hAnsi="Times New Roman"/>
          <w:color w:val="000000"/>
          <w:sz w:val="24"/>
          <w:szCs w:val="24"/>
          <w:lang w:val="sr-Cyrl-CS"/>
        </w:rPr>
        <w:t xml:space="preserve"> или увоз</w:t>
      </w:r>
      <w:r w:rsidR="008E673C">
        <w:rPr>
          <w:rFonts w:ascii="Times New Roman" w:hAnsi="Times New Roman"/>
          <w:color w:val="000000"/>
          <w:sz w:val="24"/>
          <w:szCs w:val="24"/>
          <w:lang w:val="sr-Cyrl-CS"/>
        </w:rPr>
        <w:t>, има за циљ превасходно да ублажи регресивно дејство овог пореског облика.</w:t>
      </w:r>
    </w:p>
    <w:p w:rsidR="00723CB1" w:rsidRDefault="00723CB1" w:rsidP="00E938EA">
      <w:pPr>
        <w:shd w:val="clear" w:color="auto" w:fill="FFFFFF"/>
        <w:spacing w:after="0" w:line="285" w:lineRule="atLeast"/>
        <w:ind w:firstLine="708"/>
        <w:jc w:val="both"/>
        <w:rPr>
          <w:rFonts w:ascii="Times New Roman" w:hAnsi="Times New Roman"/>
          <w:color w:val="000000"/>
          <w:sz w:val="24"/>
          <w:szCs w:val="24"/>
          <w:lang w:val="sr-Cyrl-CS"/>
        </w:rPr>
      </w:pPr>
    </w:p>
    <w:p w:rsidR="008E673C" w:rsidRDefault="008E673C" w:rsidP="008E673C">
      <w:pPr>
        <w:pStyle w:val="normal0"/>
        <w:shd w:val="clear" w:color="auto" w:fill="FFFFFF"/>
        <w:spacing w:before="48" w:beforeAutospacing="0" w:after="48" w:afterAutospacing="0"/>
        <w:rPr>
          <w:rFonts w:ascii="Arial" w:hAnsi="Arial" w:cs="Arial"/>
          <w:color w:val="000000"/>
          <w:sz w:val="18"/>
          <w:szCs w:val="18"/>
          <w:lang w:val="sr-Cyrl-CS"/>
        </w:rPr>
      </w:pPr>
    </w:p>
    <w:p w:rsidR="008E673C" w:rsidRPr="00922BDD" w:rsidRDefault="008E673C" w:rsidP="00922BDD">
      <w:pPr>
        <w:pStyle w:val="normal0"/>
        <w:shd w:val="clear" w:color="auto" w:fill="FFFFFF"/>
        <w:spacing w:before="48" w:beforeAutospacing="0" w:after="48" w:afterAutospacing="0"/>
        <w:ind w:firstLine="708"/>
        <w:jc w:val="both"/>
        <w:rPr>
          <w:color w:val="000000"/>
          <w:lang w:val="sr-Cyrl-CS"/>
        </w:rPr>
      </w:pPr>
      <w:r w:rsidRPr="00922BDD">
        <w:rPr>
          <w:color w:val="000000"/>
          <w:lang w:val="sr-Cyrl-CS"/>
        </w:rPr>
        <w:t>По посебној пореској стопи опорезује се промет следећих добара и услуга</w:t>
      </w:r>
      <w:r w:rsidR="00723CB1" w:rsidRPr="00922BDD">
        <w:rPr>
          <w:color w:val="000000"/>
          <w:lang w:val="sr-Cyrl-CS"/>
        </w:rPr>
        <w:t xml:space="preserve"> или увоза</w:t>
      </w:r>
      <w:r w:rsidRPr="00922BDD">
        <w:rPr>
          <w:color w:val="000000"/>
          <w:lang w:val="sr-Cyrl-CS"/>
        </w:rPr>
        <w:t>:</w:t>
      </w:r>
    </w:p>
    <w:p w:rsidR="00F536E7" w:rsidRPr="00922BDD" w:rsidRDefault="00F536E7" w:rsidP="00922BDD">
      <w:pPr>
        <w:pStyle w:val="normal0"/>
        <w:shd w:val="clear" w:color="auto" w:fill="FFFFFF"/>
        <w:spacing w:before="48" w:beforeAutospacing="0" w:after="48" w:afterAutospacing="0"/>
        <w:jc w:val="both"/>
        <w:rPr>
          <w:color w:val="000000"/>
          <w:lang w:val="sr-Cyrl-CS"/>
        </w:rPr>
      </w:pPr>
    </w:p>
    <w:p w:rsidR="00F536E7" w:rsidRPr="00FB5A28" w:rsidRDefault="00F536E7" w:rsidP="00FB5A28">
      <w:pPr>
        <w:jc w:val="both"/>
        <w:rPr>
          <w:rFonts w:ascii="Times New Roman" w:hAnsi="Times New Roman"/>
          <w:sz w:val="24"/>
          <w:szCs w:val="24"/>
          <w:lang w:val="sr-Cyrl-CS"/>
        </w:rPr>
      </w:pPr>
      <w:r w:rsidRPr="00FB5A28">
        <w:rPr>
          <w:rFonts w:ascii="Times New Roman" w:hAnsi="Times New Roman"/>
          <w:sz w:val="24"/>
          <w:szCs w:val="24"/>
        </w:rPr>
        <w:t xml:space="preserve">1) </w:t>
      </w:r>
      <w:r w:rsidR="00922BDD" w:rsidRPr="00FB5A28">
        <w:rPr>
          <w:rFonts w:ascii="Times New Roman" w:hAnsi="Times New Roman"/>
          <w:sz w:val="24"/>
          <w:szCs w:val="24"/>
        </w:rPr>
        <w:t>хлеба</w:t>
      </w:r>
      <w:r w:rsidRPr="00FB5A28">
        <w:rPr>
          <w:rFonts w:ascii="Times New Roman" w:hAnsi="Times New Roman"/>
          <w:sz w:val="24"/>
          <w:szCs w:val="24"/>
        </w:rPr>
        <w:t xml:space="preserve"> </w:t>
      </w:r>
      <w:r w:rsidR="00922BDD" w:rsidRPr="00FB5A28">
        <w:rPr>
          <w:rFonts w:ascii="Times New Roman" w:hAnsi="Times New Roman"/>
          <w:sz w:val="24"/>
          <w:szCs w:val="24"/>
        </w:rPr>
        <w:t>и</w:t>
      </w:r>
      <w:r w:rsidRPr="00FB5A28">
        <w:rPr>
          <w:rFonts w:ascii="Times New Roman" w:hAnsi="Times New Roman"/>
          <w:sz w:val="24"/>
          <w:szCs w:val="24"/>
        </w:rPr>
        <w:t xml:space="preserve"> </w:t>
      </w:r>
      <w:r w:rsidR="00922BDD" w:rsidRPr="00FB5A28">
        <w:rPr>
          <w:rFonts w:ascii="Times New Roman" w:hAnsi="Times New Roman"/>
          <w:sz w:val="24"/>
          <w:szCs w:val="24"/>
        </w:rPr>
        <w:t>других</w:t>
      </w:r>
      <w:r w:rsidRPr="00FB5A28">
        <w:rPr>
          <w:rFonts w:ascii="Times New Roman" w:hAnsi="Times New Roman"/>
          <w:sz w:val="24"/>
          <w:szCs w:val="24"/>
        </w:rPr>
        <w:t xml:space="preserve"> </w:t>
      </w:r>
      <w:r w:rsidR="00922BDD" w:rsidRPr="00FB5A28">
        <w:rPr>
          <w:rFonts w:ascii="Times New Roman" w:hAnsi="Times New Roman"/>
          <w:sz w:val="24"/>
          <w:szCs w:val="24"/>
        </w:rPr>
        <w:t>пекарских</w:t>
      </w:r>
      <w:r w:rsidRPr="00FB5A28">
        <w:rPr>
          <w:rFonts w:ascii="Times New Roman" w:hAnsi="Times New Roman"/>
          <w:sz w:val="24"/>
          <w:szCs w:val="24"/>
        </w:rPr>
        <w:t xml:space="preserve"> </w:t>
      </w:r>
      <w:r w:rsidR="00922BDD" w:rsidRPr="00FB5A28">
        <w:rPr>
          <w:rFonts w:ascii="Times New Roman" w:hAnsi="Times New Roman"/>
          <w:sz w:val="24"/>
          <w:szCs w:val="24"/>
        </w:rPr>
        <w:t>производа</w:t>
      </w:r>
      <w:r w:rsidRPr="00FB5A28">
        <w:rPr>
          <w:rFonts w:ascii="Times New Roman" w:hAnsi="Times New Roman"/>
          <w:sz w:val="24"/>
          <w:szCs w:val="24"/>
        </w:rPr>
        <w:t xml:space="preserve">, </w:t>
      </w:r>
      <w:r w:rsidR="00922BDD" w:rsidRPr="00FB5A28">
        <w:rPr>
          <w:rFonts w:ascii="Times New Roman" w:hAnsi="Times New Roman"/>
          <w:sz w:val="24"/>
          <w:szCs w:val="24"/>
        </w:rPr>
        <w:t>млека</w:t>
      </w:r>
      <w:r w:rsidRPr="00FB5A28">
        <w:rPr>
          <w:rFonts w:ascii="Times New Roman" w:hAnsi="Times New Roman"/>
          <w:sz w:val="24"/>
          <w:szCs w:val="24"/>
        </w:rPr>
        <w:t xml:space="preserve"> </w:t>
      </w:r>
      <w:r w:rsidR="00922BDD" w:rsidRPr="00FB5A28">
        <w:rPr>
          <w:rFonts w:ascii="Times New Roman" w:hAnsi="Times New Roman"/>
          <w:sz w:val="24"/>
          <w:szCs w:val="24"/>
        </w:rPr>
        <w:t>и</w:t>
      </w:r>
      <w:r w:rsidRPr="00FB5A28">
        <w:rPr>
          <w:rFonts w:ascii="Times New Roman" w:hAnsi="Times New Roman"/>
          <w:sz w:val="24"/>
          <w:szCs w:val="24"/>
        </w:rPr>
        <w:t xml:space="preserve"> </w:t>
      </w:r>
      <w:r w:rsidR="00922BDD" w:rsidRPr="00FB5A28">
        <w:rPr>
          <w:rFonts w:ascii="Times New Roman" w:hAnsi="Times New Roman"/>
          <w:sz w:val="24"/>
          <w:szCs w:val="24"/>
        </w:rPr>
        <w:t>млечних</w:t>
      </w:r>
      <w:r w:rsidRPr="00FB5A28">
        <w:rPr>
          <w:rFonts w:ascii="Times New Roman" w:hAnsi="Times New Roman"/>
          <w:sz w:val="24"/>
          <w:szCs w:val="24"/>
        </w:rPr>
        <w:t xml:space="preserve"> </w:t>
      </w:r>
      <w:r w:rsidR="00922BDD" w:rsidRPr="00FB5A28">
        <w:rPr>
          <w:rFonts w:ascii="Times New Roman" w:hAnsi="Times New Roman"/>
          <w:sz w:val="24"/>
          <w:szCs w:val="24"/>
        </w:rPr>
        <w:t>производа</w:t>
      </w:r>
      <w:r w:rsidRPr="00FB5A28">
        <w:rPr>
          <w:rFonts w:ascii="Times New Roman" w:hAnsi="Times New Roman"/>
          <w:sz w:val="24"/>
          <w:szCs w:val="24"/>
        </w:rPr>
        <w:t xml:space="preserve">, </w:t>
      </w:r>
      <w:r w:rsidR="00922BDD" w:rsidRPr="00FB5A28">
        <w:rPr>
          <w:rFonts w:ascii="Times New Roman" w:hAnsi="Times New Roman"/>
          <w:sz w:val="24"/>
          <w:szCs w:val="24"/>
        </w:rPr>
        <w:t>брашна</w:t>
      </w:r>
      <w:r w:rsidRPr="00FB5A28">
        <w:rPr>
          <w:rFonts w:ascii="Times New Roman" w:hAnsi="Times New Roman"/>
          <w:sz w:val="24"/>
          <w:szCs w:val="24"/>
        </w:rPr>
        <w:t xml:space="preserve">, </w:t>
      </w:r>
      <w:r w:rsidR="00922BDD" w:rsidRPr="00FB5A28">
        <w:rPr>
          <w:rFonts w:ascii="Times New Roman" w:hAnsi="Times New Roman"/>
          <w:sz w:val="24"/>
          <w:szCs w:val="24"/>
        </w:rPr>
        <w:t>шећера</w:t>
      </w:r>
      <w:r w:rsidRPr="00FB5A28">
        <w:rPr>
          <w:rFonts w:ascii="Times New Roman" w:hAnsi="Times New Roman"/>
          <w:sz w:val="24"/>
          <w:szCs w:val="24"/>
        </w:rPr>
        <w:t xml:space="preserve">, </w:t>
      </w:r>
      <w:r w:rsidR="00922BDD" w:rsidRPr="00FB5A28">
        <w:rPr>
          <w:rFonts w:ascii="Times New Roman" w:hAnsi="Times New Roman"/>
          <w:sz w:val="24"/>
          <w:szCs w:val="24"/>
        </w:rPr>
        <w:t>јестивог</w:t>
      </w:r>
      <w:r w:rsidRPr="00FB5A28">
        <w:rPr>
          <w:rFonts w:ascii="Times New Roman" w:hAnsi="Times New Roman"/>
          <w:sz w:val="24"/>
          <w:szCs w:val="24"/>
        </w:rPr>
        <w:t xml:space="preserve"> </w:t>
      </w:r>
      <w:r w:rsidR="00922BDD" w:rsidRPr="00FB5A28">
        <w:rPr>
          <w:rFonts w:ascii="Times New Roman" w:hAnsi="Times New Roman"/>
          <w:sz w:val="24"/>
          <w:szCs w:val="24"/>
        </w:rPr>
        <w:t>уља</w:t>
      </w:r>
      <w:r w:rsidRPr="00FB5A28">
        <w:rPr>
          <w:rFonts w:ascii="Times New Roman" w:hAnsi="Times New Roman"/>
          <w:sz w:val="24"/>
          <w:szCs w:val="24"/>
        </w:rPr>
        <w:t xml:space="preserve"> </w:t>
      </w:r>
      <w:r w:rsidR="00922BDD" w:rsidRPr="00FB5A28">
        <w:rPr>
          <w:rFonts w:ascii="Times New Roman" w:hAnsi="Times New Roman"/>
          <w:sz w:val="24"/>
          <w:szCs w:val="24"/>
        </w:rPr>
        <w:t>од</w:t>
      </w:r>
      <w:r w:rsidRPr="00FB5A28">
        <w:rPr>
          <w:rFonts w:ascii="Times New Roman" w:hAnsi="Times New Roman"/>
          <w:sz w:val="24"/>
          <w:szCs w:val="24"/>
        </w:rPr>
        <w:t xml:space="preserve"> </w:t>
      </w:r>
      <w:r w:rsidR="00922BDD" w:rsidRPr="00FB5A28">
        <w:rPr>
          <w:rFonts w:ascii="Times New Roman" w:hAnsi="Times New Roman"/>
          <w:sz w:val="24"/>
          <w:szCs w:val="24"/>
        </w:rPr>
        <w:t>сунцокрета</w:t>
      </w:r>
      <w:r w:rsidRPr="00FB5A28">
        <w:rPr>
          <w:rFonts w:ascii="Times New Roman" w:hAnsi="Times New Roman"/>
          <w:sz w:val="24"/>
          <w:szCs w:val="24"/>
        </w:rPr>
        <w:t xml:space="preserve">, </w:t>
      </w:r>
      <w:r w:rsidR="00922BDD" w:rsidRPr="00FB5A28">
        <w:rPr>
          <w:rFonts w:ascii="Times New Roman" w:hAnsi="Times New Roman"/>
          <w:sz w:val="24"/>
          <w:szCs w:val="24"/>
        </w:rPr>
        <w:t>кукуруза</w:t>
      </w:r>
      <w:r w:rsidRPr="00FB5A28">
        <w:rPr>
          <w:rFonts w:ascii="Times New Roman" w:hAnsi="Times New Roman"/>
          <w:sz w:val="24"/>
          <w:szCs w:val="24"/>
        </w:rPr>
        <w:t xml:space="preserve">, </w:t>
      </w:r>
      <w:r w:rsidR="00922BDD" w:rsidRPr="00FB5A28">
        <w:rPr>
          <w:rFonts w:ascii="Times New Roman" w:hAnsi="Times New Roman"/>
          <w:sz w:val="24"/>
          <w:szCs w:val="24"/>
        </w:rPr>
        <w:t>уљане</w:t>
      </w:r>
      <w:r w:rsidRPr="00FB5A28">
        <w:rPr>
          <w:rFonts w:ascii="Times New Roman" w:hAnsi="Times New Roman"/>
          <w:sz w:val="24"/>
          <w:szCs w:val="24"/>
        </w:rPr>
        <w:t xml:space="preserve"> </w:t>
      </w:r>
      <w:r w:rsidR="00922BDD" w:rsidRPr="00FB5A28">
        <w:rPr>
          <w:rFonts w:ascii="Times New Roman" w:hAnsi="Times New Roman"/>
          <w:sz w:val="24"/>
          <w:szCs w:val="24"/>
        </w:rPr>
        <w:t>репице</w:t>
      </w:r>
      <w:r w:rsidRPr="00FB5A28">
        <w:rPr>
          <w:rFonts w:ascii="Times New Roman" w:hAnsi="Times New Roman"/>
          <w:sz w:val="24"/>
          <w:szCs w:val="24"/>
        </w:rPr>
        <w:t xml:space="preserve">, </w:t>
      </w:r>
      <w:r w:rsidR="00922BDD" w:rsidRPr="00FB5A28">
        <w:rPr>
          <w:rFonts w:ascii="Times New Roman" w:hAnsi="Times New Roman"/>
          <w:sz w:val="24"/>
          <w:szCs w:val="24"/>
        </w:rPr>
        <w:t>соје</w:t>
      </w:r>
      <w:r w:rsidRPr="00FB5A28">
        <w:rPr>
          <w:rFonts w:ascii="Times New Roman" w:hAnsi="Times New Roman"/>
          <w:sz w:val="24"/>
          <w:szCs w:val="24"/>
        </w:rPr>
        <w:t xml:space="preserve"> </w:t>
      </w:r>
      <w:r w:rsidR="00922BDD" w:rsidRPr="00FB5A28">
        <w:rPr>
          <w:rFonts w:ascii="Times New Roman" w:hAnsi="Times New Roman"/>
          <w:sz w:val="24"/>
          <w:szCs w:val="24"/>
        </w:rPr>
        <w:t>и</w:t>
      </w:r>
      <w:r w:rsidRPr="00FB5A28">
        <w:rPr>
          <w:rFonts w:ascii="Times New Roman" w:hAnsi="Times New Roman"/>
          <w:sz w:val="24"/>
          <w:szCs w:val="24"/>
        </w:rPr>
        <w:t xml:space="preserve"> </w:t>
      </w:r>
      <w:r w:rsidR="00922BDD" w:rsidRPr="00FB5A28">
        <w:rPr>
          <w:rFonts w:ascii="Times New Roman" w:hAnsi="Times New Roman"/>
          <w:sz w:val="24"/>
          <w:szCs w:val="24"/>
        </w:rPr>
        <w:t>маслине</w:t>
      </w:r>
      <w:r w:rsidRPr="00FB5A28">
        <w:rPr>
          <w:rFonts w:ascii="Times New Roman" w:hAnsi="Times New Roman"/>
          <w:sz w:val="24"/>
          <w:szCs w:val="24"/>
        </w:rPr>
        <w:t xml:space="preserve">, </w:t>
      </w:r>
      <w:r w:rsidR="00922BDD" w:rsidRPr="00FB5A28">
        <w:rPr>
          <w:rFonts w:ascii="Times New Roman" w:hAnsi="Times New Roman"/>
          <w:sz w:val="24"/>
          <w:szCs w:val="24"/>
        </w:rPr>
        <w:t>јестиве</w:t>
      </w:r>
      <w:r w:rsidRPr="00FB5A28">
        <w:rPr>
          <w:rFonts w:ascii="Times New Roman" w:hAnsi="Times New Roman"/>
          <w:sz w:val="24"/>
          <w:szCs w:val="24"/>
        </w:rPr>
        <w:t xml:space="preserve"> </w:t>
      </w:r>
      <w:r w:rsidR="00922BDD" w:rsidRPr="00FB5A28">
        <w:rPr>
          <w:rFonts w:ascii="Times New Roman" w:hAnsi="Times New Roman"/>
          <w:sz w:val="24"/>
          <w:szCs w:val="24"/>
        </w:rPr>
        <w:t>масноће</w:t>
      </w:r>
      <w:r w:rsidRPr="00FB5A28">
        <w:rPr>
          <w:rFonts w:ascii="Times New Roman" w:hAnsi="Times New Roman"/>
          <w:sz w:val="24"/>
          <w:szCs w:val="24"/>
        </w:rPr>
        <w:t xml:space="preserve"> </w:t>
      </w:r>
      <w:r w:rsidR="00922BDD" w:rsidRPr="00FB5A28">
        <w:rPr>
          <w:rFonts w:ascii="Times New Roman" w:hAnsi="Times New Roman"/>
          <w:sz w:val="24"/>
          <w:szCs w:val="24"/>
        </w:rPr>
        <w:t>животињског</w:t>
      </w:r>
      <w:r w:rsidRPr="00FB5A28">
        <w:rPr>
          <w:rFonts w:ascii="Times New Roman" w:hAnsi="Times New Roman"/>
          <w:sz w:val="24"/>
          <w:szCs w:val="24"/>
        </w:rPr>
        <w:t xml:space="preserve"> </w:t>
      </w:r>
      <w:r w:rsidR="00922BDD" w:rsidRPr="00FB5A28">
        <w:rPr>
          <w:rFonts w:ascii="Times New Roman" w:hAnsi="Times New Roman"/>
          <w:sz w:val="24"/>
          <w:szCs w:val="24"/>
        </w:rPr>
        <w:t>и</w:t>
      </w:r>
      <w:r w:rsidRPr="00FB5A28">
        <w:rPr>
          <w:rFonts w:ascii="Times New Roman" w:hAnsi="Times New Roman"/>
          <w:sz w:val="24"/>
          <w:szCs w:val="24"/>
        </w:rPr>
        <w:t xml:space="preserve"> </w:t>
      </w:r>
      <w:r w:rsidR="00922BDD" w:rsidRPr="00FB5A28">
        <w:rPr>
          <w:rFonts w:ascii="Times New Roman" w:hAnsi="Times New Roman"/>
          <w:sz w:val="24"/>
          <w:szCs w:val="24"/>
        </w:rPr>
        <w:t>биљног</w:t>
      </w:r>
      <w:r w:rsidRPr="00FB5A28">
        <w:rPr>
          <w:rFonts w:ascii="Times New Roman" w:hAnsi="Times New Roman"/>
          <w:sz w:val="24"/>
          <w:szCs w:val="24"/>
        </w:rPr>
        <w:t xml:space="preserve"> </w:t>
      </w:r>
      <w:r w:rsidR="00922BDD" w:rsidRPr="00FB5A28">
        <w:rPr>
          <w:rFonts w:ascii="Times New Roman" w:hAnsi="Times New Roman"/>
          <w:sz w:val="24"/>
          <w:szCs w:val="24"/>
        </w:rPr>
        <w:t>порекла</w:t>
      </w:r>
      <w:r w:rsidRPr="00FB5A28">
        <w:rPr>
          <w:rFonts w:ascii="Times New Roman" w:hAnsi="Times New Roman"/>
          <w:sz w:val="24"/>
          <w:szCs w:val="24"/>
        </w:rPr>
        <w:t xml:space="preserve"> </w:t>
      </w:r>
      <w:r w:rsidR="00922BDD" w:rsidRPr="00FB5A28">
        <w:rPr>
          <w:rFonts w:ascii="Times New Roman" w:hAnsi="Times New Roman"/>
          <w:sz w:val="24"/>
          <w:szCs w:val="24"/>
        </w:rPr>
        <w:t>и</w:t>
      </w:r>
      <w:r w:rsidRPr="00FB5A28">
        <w:rPr>
          <w:rFonts w:ascii="Times New Roman" w:hAnsi="Times New Roman"/>
          <w:sz w:val="24"/>
          <w:szCs w:val="24"/>
        </w:rPr>
        <w:t xml:space="preserve"> </w:t>
      </w:r>
      <w:r w:rsidR="00922BDD" w:rsidRPr="00FB5A28">
        <w:rPr>
          <w:rFonts w:ascii="Times New Roman" w:hAnsi="Times New Roman"/>
          <w:sz w:val="24"/>
          <w:szCs w:val="24"/>
        </w:rPr>
        <w:t>меда</w:t>
      </w:r>
      <w:r w:rsidRPr="00FB5A28">
        <w:rPr>
          <w:rFonts w:ascii="Times New Roman" w:hAnsi="Times New Roman"/>
          <w:sz w:val="24"/>
          <w:szCs w:val="24"/>
          <w:lang w:val="sr-Cyrl-CS"/>
        </w:rPr>
        <w:t>;</w:t>
      </w:r>
    </w:p>
    <w:p w:rsidR="00F536E7" w:rsidRPr="00FB5A28" w:rsidRDefault="00F536E7" w:rsidP="00FB5A28">
      <w:pPr>
        <w:jc w:val="both"/>
        <w:rPr>
          <w:rFonts w:ascii="Times New Roman" w:hAnsi="Times New Roman"/>
          <w:sz w:val="24"/>
          <w:szCs w:val="24"/>
          <w:lang w:val="sr-Cyrl-CS"/>
        </w:rPr>
      </w:pPr>
      <w:r w:rsidRPr="00FB5A28">
        <w:rPr>
          <w:rFonts w:ascii="Times New Roman" w:hAnsi="Times New Roman"/>
          <w:sz w:val="24"/>
          <w:szCs w:val="24"/>
        </w:rPr>
        <w:t xml:space="preserve">2) </w:t>
      </w:r>
      <w:r w:rsidR="00922BDD" w:rsidRPr="00FB5A28">
        <w:rPr>
          <w:rFonts w:ascii="Times New Roman" w:hAnsi="Times New Roman"/>
          <w:sz w:val="24"/>
          <w:szCs w:val="24"/>
        </w:rPr>
        <w:t>свежег</w:t>
      </w:r>
      <w:r w:rsidRPr="00FB5A28">
        <w:rPr>
          <w:rFonts w:ascii="Times New Roman" w:hAnsi="Times New Roman"/>
          <w:sz w:val="24"/>
          <w:szCs w:val="24"/>
        </w:rPr>
        <w:t xml:space="preserve">, </w:t>
      </w:r>
      <w:r w:rsidR="00922BDD" w:rsidRPr="00FB5A28">
        <w:rPr>
          <w:rFonts w:ascii="Times New Roman" w:hAnsi="Times New Roman"/>
          <w:sz w:val="24"/>
          <w:szCs w:val="24"/>
        </w:rPr>
        <w:t>расхлађеног</w:t>
      </w:r>
      <w:r w:rsidRPr="00FB5A28">
        <w:rPr>
          <w:rFonts w:ascii="Times New Roman" w:hAnsi="Times New Roman"/>
          <w:sz w:val="24"/>
          <w:szCs w:val="24"/>
        </w:rPr>
        <w:t xml:space="preserve"> </w:t>
      </w:r>
      <w:r w:rsidR="00922BDD" w:rsidRPr="00FB5A28">
        <w:rPr>
          <w:rFonts w:ascii="Times New Roman" w:hAnsi="Times New Roman"/>
          <w:sz w:val="24"/>
          <w:szCs w:val="24"/>
        </w:rPr>
        <w:t>и</w:t>
      </w:r>
      <w:r w:rsidRPr="00FB5A28">
        <w:rPr>
          <w:rFonts w:ascii="Times New Roman" w:hAnsi="Times New Roman"/>
          <w:sz w:val="24"/>
          <w:szCs w:val="24"/>
        </w:rPr>
        <w:t xml:space="preserve"> </w:t>
      </w:r>
      <w:r w:rsidR="00922BDD" w:rsidRPr="00FB5A28">
        <w:rPr>
          <w:rFonts w:ascii="Times New Roman" w:hAnsi="Times New Roman"/>
          <w:sz w:val="24"/>
          <w:szCs w:val="24"/>
        </w:rPr>
        <w:t>смрзнутог</w:t>
      </w:r>
      <w:r w:rsidRPr="00FB5A28">
        <w:rPr>
          <w:rFonts w:ascii="Times New Roman" w:hAnsi="Times New Roman"/>
          <w:sz w:val="24"/>
          <w:szCs w:val="24"/>
        </w:rPr>
        <w:t xml:space="preserve"> </w:t>
      </w:r>
      <w:r w:rsidR="00922BDD" w:rsidRPr="00FB5A28">
        <w:rPr>
          <w:rFonts w:ascii="Times New Roman" w:hAnsi="Times New Roman"/>
          <w:sz w:val="24"/>
          <w:szCs w:val="24"/>
        </w:rPr>
        <w:t>воћа</w:t>
      </w:r>
      <w:r w:rsidRPr="00FB5A28">
        <w:rPr>
          <w:rFonts w:ascii="Times New Roman" w:hAnsi="Times New Roman"/>
          <w:sz w:val="24"/>
          <w:szCs w:val="24"/>
        </w:rPr>
        <w:t xml:space="preserve">, </w:t>
      </w:r>
      <w:r w:rsidR="00922BDD" w:rsidRPr="00FB5A28">
        <w:rPr>
          <w:rFonts w:ascii="Times New Roman" w:hAnsi="Times New Roman"/>
          <w:sz w:val="24"/>
          <w:szCs w:val="24"/>
        </w:rPr>
        <w:t>поврћа</w:t>
      </w:r>
      <w:r w:rsidRPr="00FB5A28">
        <w:rPr>
          <w:rFonts w:ascii="Times New Roman" w:hAnsi="Times New Roman"/>
          <w:sz w:val="24"/>
          <w:szCs w:val="24"/>
        </w:rPr>
        <w:t xml:space="preserve">, </w:t>
      </w:r>
      <w:r w:rsidR="00922BDD" w:rsidRPr="00FB5A28">
        <w:rPr>
          <w:rFonts w:ascii="Times New Roman" w:hAnsi="Times New Roman"/>
          <w:sz w:val="24"/>
          <w:szCs w:val="24"/>
        </w:rPr>
        <w:t>меса</w:t>
      </w:r>
      <w:r w:rsidRPr="00FB5A28">
        <w:rPr>
          <w:rFonts w:ascii="Times New Roman" w:hAnsi="Times New Roman"/>
          <w:sz w:val="24"/>
          <w:szCs w:val="24"/>
        </w:rPr>
        <w:t xml:space="preserve">, </w:t>
      </w:r>
      <w:r w:rsidR="00922BDD" w:rsidRPr="00FB5A28">
        <w:rPr>
          <w:rFonts w:ascii="Times New Roman" w:hAnsi="Times New Roman"/>
          <w:sz w:val="24"/>
          <w:szCs w:val="24"/>
        </w:rPr>
        <w:t>укључујући</w:t>
      </w:r>
      <w:r w:rsidRPr="00FB5A28">
        <w:rPr>
          <w:rFonts w:ascii="Times New Roman" w:hAnsi="Times New Roman"/>
          <w:sz w:val="24"/>
          <w:szCs w:val="24"/>
        </w:rPr>
        <w:t xml:space="preserve"> </w:t>
      </w:r>
      <w:r w:rsidR="00922BDD" w:rsidRPr="00FB5A28">
        <w:rPr>
          <w:rFonts w:ascii="Times New Roman" w:hAnsi="Times New Roman"/>
          <w:sz w:val="24"/>
          <w:szCs w:val="24"/>
        </w:rPr>
        <w:t>и</w:t>
      </w:r>
      <w:r w:rsidRPr="00FB5A28">
        <w:rPr>
          <w:rFonts w:ascii="Times New Roman" w:hAnsi="Times New Roman"/>
          <w:sz w:val="24"/>
          <w:szCs w:val="24"/>
        </w:rPr>
        <w:t xml:space="preserve"> </w:t>
      </w:r>
      <w:r w:rsidR="00922BDD" w:rsidRPr="00FB5A28">
        <w:rPr>
          <w:rFonts w:ascii="Times New Roman" w:hAnsi="Times New Roman"/>
          <w:sz w:val="24"/>
          <w:szCs w:val="24"/>
        </w:rPr>
        <w:t>изнутрице</w:t>
      </w:r>
      <w:r w:rsidRPr="00FB5A28">
        <w:rPr>
          <w:rFonts w:ascii="Times New Roman" w:hAnsi="Times New Roman"/>
          <w:sz w:val="24"/>
          <w:szCs w:val="24"/>
        </w:rPr>
        <w:t xml:space="preserve"> </w:t>
      </w:r>
      <w:r w:rsidR="00922BDD" w:rsidRPr="00FB5A28">
        <w:rPr>
          <w:rFonts w:ascii="Times New Roman" w:hAnsi="Times New Roman"/>
          <w:sz w:val="24"/>
          <w:szCs w:val="24"/>
        </w:rPr>
        <w:t>и</w:t>
      </w:r>
      <w:r w:rsidRPr="00FB5A28">
        <w:rPr>
          <w:rFonts w:ascii="Times New Roman" w:hAnsi="Times New Roman"/>
          <w:sz w:val="24"/>
          <w:szCs w:val="24"/>
        </w:rPr>
        <w:t xml:space="preserve"> </w:t>
      </w:r>
      <w:r w:rsidR="00922BDD" w:rsidRPr="00FB5A28">
        <w:rPr>
          <w:rFonts w:ascii="Times New Roman" w:hAnsi="Times New Roman"/>
          <w:sz w:val="24"/>
          <w:szCs w:val="24"/>
        </w:rPr>
        <w:t>друге</w:t>
      </w:r>
      <w:r w:rsidRPr="00FB5A28">
        <w:rPr>
          <w:rFonts w:ascii="Times New Roman" w:hAnsi="Times New Roman"/>
          <w:sz w:val="24"/>
          <w:szCs w:val="24"/>
        </w:rPr>
        <w:t xml:space="preserve"> </w:t>
      </w:r>
      <w:r w:rsidR="00922BDD" w:rsidRPr="00FB5A28">
        <w:rPr>
          <w:rFonts w:ascii="Times New Roman" w:hAnsi="Times New Roman"/>
          <w:sz w:val="24"/>
          <w:szCs w:val="24"/>
        </w:rPr>
        <w:t>кланичне</w:t>
      </w:r>
      <w:r w:rsidRPr="00FB5A28">
        <w:rPr>
          <w:rFonts w:ascii="Times New Roman" w:hAnsi="Times New Roman"/>
          <w:sz w:val="24"/>
          <w:szCs w:val="24"/>
        </w:rPr>
        <w:t xml:space="preserve"> </w:t>
      </w:r>
      <w:r w:rsidR="00922BDD" w:rsidRPr="00FB5A28">
        <w:rPr>
          <w:rFonts w:ascii="Times New Roman" w:hAnsi="Times New Roman"/>
          <w:sz w:val="24"/>
          <w:szCs w:val="24"/>
        </w:rPr>
        <w:t>производе</w:t>
      </w:r>
      <w:r w:rsidRPr="00FB5A28">
        <w:rPr>
          <w:rFonts w:ascii="Times New Roman" w:hAnsi="Times New Roman"/>
          <w:sz w:val="24"/>
          <w:szCs w:val="24"/>
        </w:rPr>
        <w:t xml:space="preserve">, </w:t>
      </w:r>
      <w:r w:rsidR="00922BDD" w:rsidRPr="00FB5A28">
        <w:rPr>
          <w:rFonts w:ascii="Times New Roman" w:hAnsi="Times New Roman"/>
          <w:sz w:val="24"/>
          <w:szCs w:val="24"/>
        </w:rPr>
        <w:t>рибе</w:t>
      </w:r>
      <w:r w:rsidRPr="00FB5A28">
        <w:rPr>
          <w:rFonts w:ascii="Times New Roman" w:hAnsi="Times New Roman"/>
          <w:sz w:val="24"/>
          <w:szCs w:val="24"/>
        </w:rPr>
        <w:t xml:space="preserve"> </w:t>
      </w:r>
      <w:r w:rsidR="00922BDD" w:rsidRPr="00FB5A28">
        <w:rPr>
          <w:rFonts w:ascii="Times New Roman" w:hAnsi="Times New Roman"/>
          <w:sz w:val="24"/>
          <w:szCs w:val="24"/>
        </w:rPr>
        <w:t>и</w:t>
      </w:r>
      <w:r w:rsidRPr="00FB5A28">
        <w:rPr>
          <w:rFonts w:ascii="Times New Roman" w:hAnsi="Times New Roman"/>
          <w:sz w:val="24"/>
          <w:szCs w:val="24"/>
        </w:rPr>
        <w:t xml:space="preserve"> </w:t>
      </w:r>
      <w:r w:rsidR="00922BDD" w:rsidRPr="00FB5A28">
        <w:rPr>
          <w:rFonts w:ascii="Times New Roman" w:hAnsi="Times New Roman"/>
          <w:sz w:val="24"/>
          <w:szCs w:val="24"/>
        </w:rPr>
        <w:t>јаја</w:t>
      </w:r>
      <w:r w:rsidRPr="00FB5A28">
        <w:rPr>
          <w:rFonts w:ascii="Times New Roman" w:hAnsi="Times New Roman"/>
          <w:sz w:val="24"/>
          <w:szCs w:val="24"/>
          <w:lang w:val="sr-Cyrl-CS"/>
        </w:rPr>
        <w:t xml:space="preserve">, </w:t>
      </w:r>
      <w:r w:rsidRPr="00FB5A28">
        <w:rPr>
          <w:rFonts w:ascii="Times New Roman" w:hAnsi="Times New Roman"/>
          <w:sz w:val="24"/>
          <w:szCs w:val="24"/>
        </w:rPr>
        <w:t xml:space="preserve"> </w:t>
      </w:r>
      <w:r w:rsidR="00922BDD" w:rsidRPr="00FB5A28">
        <w:rPr>
          <w:rFonts w:ascii="Times New Roman" w:hAnsi="Times New Roman"/>
          <w:sz w:val="24"/>
          <w:szCs w:val="24"/>
        </w:rPr>
        <w:t>житарица</w:t>
      </w:r>
      <w:r w:rsidRPr="00FB5A28">
        <w:rPr>
          <w:rFonts w:ascii="Times New Roman" w:hAnsi="Times New Roman"/>
          <w:sz w:val="24"/>
          <w:szCs w:val="24"/>
        </w:rPr>
        <w:t xml:space="preserve">, </w:t>
      </w:r>
      <w:r w:rsidR="00922BDD" w:rsidRPr="00FB5A28">
        <w:rPr>
          <w:rFonts w:ascii="Times New Roman" w:hAnsi="Times New Roman"/>
          <w:sz w:val="24"/>
          <w:szCs w:val="24"/>
        </w:rPr>
        <w:t>сунцокрета</w:t>
      </w:r>
      <w:r w:rsidRPr="00FB5A28">
        <w:rPr>
          <w:rFonts w:ascii="Times New Roman" w:hAnsi="Times New Roman"/>
          <w:sz w:val="24"/>
          <w:szCs w:val="24"/>
        </w:rPr>
        <w:t xml:space="preserve">, </w:t>
      </w:r>
      <w:r w:rsidR="00922BDD" w:rsidRPr="00FB5A28">
        <w:rPr>
          <w:rFonts w:ascii="Times New Roman" w:hAnsi="Times New Roman"/>
          <w:sz w:val="24"/>
          <w:szCs w:val="24"/>
        </w:rPr>
        <w:t>соје</w:t>
      </w:r>
      <w:r w:rsidRPr="00FB5A28">
        <w:rPr>
          <w:rFonts w:ascii="Times New Roman" w:hAnsi="Times New Roman"/>
          <w:sz w:val="24"/>
          <w:szCs w:val="24"/>
        </w:rPr>
        <w:t xml:space="preserve">, </w:t>
      </w:r>
      <w:r w:rsidR="00922BDD" w:rsidRPr="00FB5A28">
        <w:rPr>
          <w:rFonts w:ascii="Times New Roman" w:hAnsi="Times New Roman"/>
          <w:sz w:val="24"/>
          <w:szCs w:val="24"/>
        </w:rPr>
        <w:t>шећерне</w:t>
      </w:r>
      <w:r w:rsidRPr="00FB5A28">
        <w:rPr>
          <w:rFonts w:ascii="Times New Roman" w:hAnsi="Times New Roman"/>
          <w:sz w:val="24"/>
          <w:szCs w:val="24"/>
        </w:rPr>
        <w:t xml:space="preserve"> </w:t>
      </w:r>
      <w:r w:rsidR="00922BDD" w:rsidRPr="00FB5A28">
        <w:rPr>
          <w:rFonts w:ascii="Times New Roman" w:hAnsi="Times New Roman"/>
          <w:sz w:val="24"/>
          <w:szCs w:val="24"/>
        </w:rPr>
        <w:t>репе</w:t>
      </w:r>
      <w:r w:rsidRPr="00FB5A28">
        <w:rPr>
          <w:rFonts w:ascii="Times New Roman" w:hAnsi="Times New Roman"/>
          <w:sz w:val="24"/>
          <w:szCs w:val="24"/>
        </w:rPr>
        <w:t xml:space="preserve"> </w:t>
      </w:r>
      <w:r w:rsidR="00922BDD" w:rsidRPr="00FB5A28">
        <w:rPr>
          <w:rFonts w:ascii="Times New Roman" w:hAnsi="Times New Roman"/>
          <w:sz w:val="24"/>
          <w:szCs w:val="24"/>
        </w:rPr>
        <w:t>и</w:t>
      </w:r>
      <w:r w:rsidRPr="00FB5A28">
        <w:rPr>
          <w:rFonts w:ascii="Times New Roman" w:hAnsi="Times New Roman"/>
          <w:sz w:val="24"/>
          <w:szCs w:val="24"/>
        </w:rPr>
        <w:t xml:space="preserve"> </w:t>
      </w:r>
      <w:r w:rsidR="00922BDD" w:rsidRPr="00FB5A28">
        <w:rPr>
          <w:rFonts w:ascii="Times New Roman" w:hAnsi="Times New Roman"/>
          <w:sz w:val="24"/>
          <w:szCs w:val="24"/>
        </w:rPr>
        <w:t>уљане</w:t>
      </w:r>
      <w:r w:rsidRPr="00FB5A28">
        <w:rPr>
          <w:rFonts w:ascii="Times New Roman" w:hAnsi="Times New Roman"/>
          <w:sz w:val="24"/>
          <w:szCs w:val="24"/>
        </w:rPr>
        <w:t xml:space="preserve"> </w:t>
      </w:r>
      <w:r w:rsidR="00922BDD" w:rsidRPr="00FB5A28">
        <w:rPr>
          <w:rFonts w:ascii="Times New Roman" w:hAnsi="Times New Roman"/>
          <w:sz w:val="24"/>
          <w:szCs w:val="24"/>
        </w:rPr>
        <w:t>репице</w:t>
      </w:r>
      <w:r w:rsidRPr="00FB5A28">
        <w:rPr>
          <w:rFonts w:ascii="Times New Roman" w:hAnsi="Times New Roman"/>
          <w:sz w:val="24"/>
          <w:szCs w:val="24"/>
        </w:rPr>
        <w:t>;</w:t>
      </w:r>
    </w:p>
    <w:p w:rsidR="00F536E7" w:rsidRPr="00FB5A28" w:rsidRDefault="00F536E7" w:rsidP="00FB5A28">
      <w:pPr>
        <w:jc w:val="both"/>
        <w:rPr>
          <w:rFonts w:ascii="Times New Roman" w:hAnsi="Times New Roman"/>
          <w:sz w:val="24"/>
          <w:szCs w:val="24"/>
        </w:rPr>
      </w:pPr>
      <w:r w:rsidRPr="00FB5A28">
        <w:rPr>
          <w:rFonts w:ascii="Times New Roman" w:hAnsi="Times New Roman"/>
          <w:sz w:val="24"/>
          <w:szCs w:val="24"/>
        </w:rPr>
        <w:t xml:space="preserve">3) </w:t>
      </w:r>
      <w:r w:rsidR="00922BDD" w:rsidRPr="00FB5A28">
        <w:rPr>
          <w:rFonts w:ascii="Times New Roman" w:hAnsi="Times New Roman"/>
          <w:sz w:val="24"/>
          <w:szCs w:val="24"/>
        </w:rPr>
        <w:t>лекова</w:t>
      </w:r>
      <w:r w:rsidRPr="00FB5A28">
        <w:rPr>
          <w:rFonts w:ascii="Times New Roman" w:hAnsi="Times New Roman"/>
          <w:sz w:val="24"/>
          <w:szCs w:val="24"/>
        </w:rPr>
        <w:t xml:space="preserve">, </w:t>
      </w:r>
      <w:r w:rsidR="00922BDD" w:rsidRPr="00FB5A28">
        <w:rPr>
          <w:rFonts w:ascii="Times New Roman" w:hAnsi="Times New Roman"/>
          <w:sz w:val="24"/>
          <w:szCs w:val="24"/>
        </w:rPr>
        <w:t>укључујући</w:t>
      </w:r>
      <w:r w:rsidRPr="00FB5A28">
        <w:rPr>
          <w:rFonts w:ascii="Times New Roman" w:hAnsi="Times New Roman"/>
          <w:sz w:val="24"/>
          <w:szCs w:val="24"/>
        </w:rPr>
        <w:t xml:space="preserve"> </w:t>
      </w:r>
      <w:r w:rsidR="00922BDD" w:rsidRPr="00FB5A28">
        <w:rPr>
          <w:rFonts w:ascii="Times New Roman" w:hAnsi="Times New Roman"/>
          <w:sz w:val="24"/>
          <w:szCs w:val="24"/>
        </w:rPr>
        <w:t>и</w:t>
      </w:r>
      <w:r w:rsidRPr="00FB5A28">
        <w:rPr>
          <w:rFonts w:ascii="Times New Roman" w:hAnsi="Times New Roman"/>
          <w:sz w:val="24"/>
          <w:szCs w:val="24"/>
        </w:rPr>
        <w:t xml:space="preserve"> </w:t>
      </w:r>
      <w:r w:rsidR="00922BDD" w:rsidRPr="00FB5A28">
        <w:rPr>
          <w:rFonts w:ascii="Times New Roman" w:hAnsi="Times New Roman"/>
          <w:sz w:val="24"/>
          <w:szCs w:val="24"/>
        </w:rPr>
        <w:t>лекове</w:t>
      </w:r>
      <w:r w:rsidRPr="00FB5A28">
        <w:rPr>
          <w:rFonts w:ascii="Times New Roman" w:hAnsi="Times New Roman"/>
          <w:sz w:val="24"/>
          <w:szCs w:val="24"/>
        </w:rPr>
        <w:t xml:space="preserve"> </w:t>
      </w:r>
      <w:r w:rsidR="00922BDD" w:rsidRPr="00FB5A28">
        <w:rPr>
          <w:rFonts w:ascii="Times New Roman" w:hAnsi="Times New Roman"/>
          <w:sz w:val="24"/>
          <w:szCs w:val="24"/>
        </w:rPr>
        <w:t>за</w:t>
      </w:r>
      <w:r w:rsidRPr="00FB5A28">
        <w:rPr>
          <w:rFonts w:ascii="Times New Roman" w:hAnsi="Times New Roman"/>
          <w:sz w:val="24"/>
          <w:szCs w:val="24"/>
        </w:rPr>
        <w:t xml:space="preserve"> </w:t>
      </w:r>
      <w:r w:rsidR="00922BDD" w:rsidRPr="00FB5A28">
        <w:rPr>
          <w:rFonts w:ascii="Times New Roman" w:hAnsi="Times New Roman"/>
          <w:sz w:val="24"/>
          <w:szCs w:val="24"/>
        </w:rPr>
        <w:t>употребу</w:t>
      </w:r>
      <w:r w:rsidRPr="00FB5A28">
        <w:rPr>
          <w:rFonts w:ascii="Times New Roman" w:hAnsi="Times New Roman"/>
          <w:sz w:val="24"/>
          <w:szCs w:val="24"/>
        </w:rPr>
        <w:t xml:space="preserve"> </w:t>
      </w:r>
      <w:r w:rsidR="00922BDD" w:rsidRPr="00FB5A28">
        <w:rPr>
          <w:rFonts w:ascii="Times New Roman" w:hAnsi="Times New Roman"/>
          <w:sz w:val="24"/>
          <w:szCs w:val="24"/>
        </w:rPr>
        <w:t>у</w:t>
      </w:r>
      <w:r w:rsidRPr="00FB5A28">
        <w:rPr>
          <w:rFonts w:ascii="Times New Roman" w:hAnsi="Times New Roman"/>
          <w:sz w:val="24"/>
          <w:szCs w:val="24"/>
        </w:rPr>
        <w:t xml:space="preserve"> </w:t>
      </w:r>
      <w:r w:rsidR="00922BDD" w:rsidRPr="00FB5A28">
        <w:rPr>
          <w:rFonts w:ascii="Times New Roman" w:hAnsi="Times New Roman"/>
          <w:sz w:val="24"/>
          <w:szCs w:val="24"/>
        </w:rPr>
        <w:t>ветерини</w:t>
      </w:r>
      <w:r w:rsidRPr="00FB5A28">
        <w:rPr>
          <w:rFonts w:ascii="Times New Roman" w:hAnsi="Times New Roman"/>
          <w:sz w:val="24"/>
          <w:szCs w:val="24"/>
        </w:rPr>
        <w:t>;</w:t>
      </w:r>
    </w:p>
    <w:p w:rsidR="00F536E7" w:rsidRPr="00FB5A28" w:rsidRDefault="00F536E7" w:rsidP="00FB5A28">
      <w:pPr>
        <w:jc w:val="both"/>
        <w:rPr>
          <w:rFonts w:ascii="Times New Roman" w:hAnsi="Times New Roman"/>
          <w:sz w:val="24"/>
          <w:szCs w:val="24"/>
        </w:rPr>
      </w:pPr>
      <w:r w:rsidRPr="00FB5A28">
        <w:rPr>
          <w:rFonts w:ascii="Times New Roman" w:hAnsi="Times New Roman"/>
          <w:sz w:val="24"/>
          <w:szCs w:val="24"/>
        </w:rPr>
        <w:t xml:space="preserve">4) </w:t>
      </w:r>
      <w:r w:rsidR="00922BDD" w:rsidRPr="00FB5A28">
        <w:rPr>
          <w:rFonts w:ascii="Times New Roman" w:hAnsi="Times New Roman"/>
          <w:sz w:val="24"/>
          <w:szCs w:val="24"/>
        </w:rPr>
        <w:t>ортотичких</w:t>
      </w:r>
      <w:r w:rsidRPr="00FB5A28">
        <w:rPr>
          <w:rFonts w:ascii="Times New Roman" w:hAnsi="Times New Roman"/>
          <w:sz w:val="24"/>
          <w:szCs w:val="24"/>
        </w:rPr>
        <w:t xml:space="preserve"> </w:t>
      </w:r>
      <w:r w:rsidR="00922BDD" w:rsidRPr="00FB5A28">
        <w:rPr>
          <w:rFonts w:ascii="Times New Roman" w:hAnsi="Times New Roman"/>
          <w:sz w:val="24"/>
          <w:szCs w:val="24"/>
        </w:rPr>
        <w:t>и</w:t>
      </w:r>
      <w:r w:rsidRPr="00FB5A28">
        <w:rPr>
          <w:rFonts w:ascii="Times New Roman" w:hAnsi="Times New Roman"/>
          <w:sz w:val="24"/>
          <w:szCs w:val="24"/>
        </w:rPr>
        <w:t xml:space="preserve"> </w:t>
      </w:r>
      <w:r w:rsidR="00922BDD" w:rsidRPr="00FB5A28">
        <w:rPr>
          <w:rFonts w:ascii="Times New Roman" w:hAnsi="Times New Roman"/>
          <w:sz w:val="24"/>
          <w:szCs w:val="24"/>
        </w:rPr>
        <w:t>протетичких</w:t>
      </w:r>
      <w:r w:rsidRPr="00FB5A28">
        <w:rPr>
          <w:rFonts w:ascii="Times New Roman" w:hAnsi="Times New Roman"/>
          <w:sz w:val="24"/>
          <w:szCs w:val="24"/>
        </w:rPr>
        <w:t xml:space="preserve"> </w:t>
      </w:r>
      <w:r w:rsidR="00922BDD" w:rsidRPr="00FB5A28">
        <w:rPr>
          <w:rFonts w:ascii="Times New Roman" w:hAnsi="Times New Roman"/>
          <w:sz w:val="24"/>
          <w:szCs w:val="24"/>
        </w:rPr>
        <w:t>средстава</w:t>
      </w:r>
      <w:r w:rsidRPr="00FB5A28">
        <w:rPr>
          <w:rFonts w:ascii="Times New Roman" w:hAnsi="Times New Roman"/>
          <w:sz w:val="24"/>
          <w:szCs w:val="24"/>
        </w:rPr>
        <w:t xml:space="preserve">, </w:t>
      </w:r>
      <w:r w:rsidR="00922BDD" w:rsidRPr="00FB5A28">
        <w:rPr>
          <w:rFonts w:ascii="Times New Roman" w:hAnsi="Times New Roman"/>
          <w:sz w:val="24"/>
          <w:szCs w:val="24"/>
        </w:rPr>
        <w:t>као</w:t>
      </w:r>
      <w:r w:rsidRPr="00FB5A28">
        <w:rPr>
          <w:rFonts w:ascii="Times New Roman" w:hAnsi="Times New Roman"/>
          <w:sz w:val="24"/>
          <w:szCs w:val="24"/>
        </w:rPr>
        <w:t xml:space="preserve"> </w:t>
      </w:r>
      <w:r w:rsidR="00922BDD" w:rsidRPr="00FB5A28">
        <w:rPr>
          <w:rFonts w:ascii="Times New Roman" w:hAnsi="Times New Roman"/>
          <w:sz w:val="24"/>
          <w:szCs w:val="24"/>
        </w:rPr>
        <w:t>и</w:t>
      </w:r>
      <w:r w:rsidRPr="00FB5A28">
        <w:rPr>
          <w:rFonts w:ascii="Times New Roman" w:hAnsi="Times New Roman"/>
          <w:sz w:val="24"/>
          <w:szCs w:val="24"/>
        </w:rPr>
        <w:t xml:space="preserve"> </w:t>
      </w:r>
      <w:r w:rsidR="00922BDD" w:rsidRPr="00FB5A28">
        <w:rPr>
          <w:rFonts w:ascii="Times New Roman" w:hAnsi="Times New Roman"/>
          <w:sz w:val="24"/>
          <w:szCs w:val="24"/>
        </w:rPr>
        <w:t>медицинских</w:t>
      </w:r>
      <w:r w:rsidRPr="00FB5A28">
        <w:rPr>
          <w:rFonts w:ascii="Times New Roman" w:hAnsi="Times New Roman"/>
          <w:sz w:val="24"/>
          <w:szCs w:val="24"/>
        </w:rPr>
        <w:t xml:space="preserve"> </w:t>
      </w:r>
      <w:r w:rsidR="00922BDD" w:rsidRPr="00FB5A28">
        <w:rPr>
          <w:rFonts w:ascii="Times New Roman" w:hAnsi="Times New Roman"/>
          <w:sz w:val="24"/>
          <w:szCs w:val="24"/>
        </w:rPr>
        <w:t>средстава</w:t>
      </w:r>
      <w:r w:rsidRPr="00FB5A28">
        <w:rPr>
          <w:rFonts w:ascii="Times New Roman" w:hAnsi="Times New Roman"/>
          <w:sz w:val="24"/>
          <w:szCs w:val="24"/>
        </w:rPr>
        <w:t xml:space="preserve"> - </w:t>
      </w:r>
      <w:r w:rsidR="00922BDD" w:rsidRPr="00FB5A28">
        <w:rPr>
          <w:rFonts w:ascii="Times New Roman" w:hAnsi="Times New Roman"/>
          <w:sz w:val="24"/>
          <w:szCs w:val="24"/>
        </w:rPr>
        <w:t>производа</w:t>
      </w:r>
      <w:r w:rsidRPr="00FB5A28">
        <w:rPr>
          <w:rFonts w:ascii="Times New Roman" w:hAnsi="Times New Roman"/>
          <w:sz w:val="24"/>
          <w:szCs w:val="24"/>
        </w:rPr>
        <w:t xml:space="preserve"> </w:t>
      </w:r>
      <w:r w:rsidR="00922BDD" w:rsidRPr="00FB5A28">
        <w:rPr>
          <w:rFonts w:ascii="Times New Roman" w:hAnsi="Times New Roman"/>
          <w:sz w:val="24"/>
          <w:szCs w:val="24"/>
        </w:rPr>
        <w:t>који</w:t>
      </w:r>
      <w:r w:rsidRPr="00FB5A28">
        <w:rPr>
          <w:rFonts w:ascii="Times New Roman" w:hAnsi="Times New Roman"/>
          <w:sz w:val="24"/>
          <w:szCs w:val="24"/>
        </w:rPr>
        <w:t xml:space="preserve"> </w:t>
      </w:r>
      <w:r w:rsidR="00922BDD" w:rsidRPr="00FB5A28">
        <w:rPr>
          <w:rFonts w:ascii="Times New Roman" w:hAnsi="Times New Roman"/>
          <w:sz w:val="24"/>
          <w:szCs w:val="24"/>
        </w:rPr>
        <w:t>се</w:t>
      </w:r>
      <w:r w:rsidRPr="00FB5A28">
        <w:rPr>
          <w:rFonts w:ascii="Times New Roman" w:hAnsi="Times New Roman"/>
          <w:sz w:val="24"/>
          <w:szCs w:val="24"/>
        </w:rPr>
        <w:t xml:space="preserve"> </w:t>
      </w:r>
      <w:r w:rsidR="00922BDD" w:rsidRPr="00FB5A28">
        <w:rPr>
          <w:rFonts w:ascii="Times New Roman" w:hAnsi="Times New Roman"/>
          <w:sz w:val="24"/>
          <w:szCs w:val="24"/>
        </w:rPr>
        <w:t>хирушки</w:t>
      </w:r>
      <w:r w:rsidRPr="00FB5A28">
        <w:rPr>
          <w:rFonts w:ascii="Times New Roman" w:hAnsi="Times New Roman"/>
          <w:sz w:val="24"/>
          <w:szCs w:val="24"/>
        </w:rPr>
        <w:t xml:space="preserve"> </w:t>
      </w:r>
      <w:r w:rsidR="00922BDD" w:rsidRPr="00FB5A28">
        <w:rPr>
          <w:rFonts w:ascii="Times New Roman" w:hAnsi="Times New Roman"/>
          <w:sz w:val="24"/>
          <w:szCs w:val="24"/>
        </w:rPr>
        <w:t>уграђују</w:t>
      </w:r>
      <w:r w:rsidRPr="00FB5A28">
        <w:rPr>
          <w:rFonts w:ascii="Times New Roman" w:hAnsi="Times New Roman"/>
          <w:sz w:val="24"/>
          <w:szCs w:val="24"/>
        </w:rPr>
        <w:t xml:space="preserve"> </w:t>
      </w:r>
      <w:r w:rsidR="00922BDD" w:rsidRPr="00FB5A28">
        <w:rPr>
          <w:rFonts w:ascii="Times New Roman" w:hAnsi="Times New Roman"/>
          <w:sz w:val="24"/>
          <w:szCs w:val="24"/>
        </w:rPr>
        <w:t>у</w:t>
      </w:r>
      <w:r w:rsidRPr="00FB5A28">
        <w:rPr>
          <w:rFonts w:ascii="Times New Roman" w:hAnsi="Times New Roman"/>
          <w:sz w:val="24"/>
          <w:szCs w:val="24"/>
        </w:rPr>
        <w:t xml:space="preserve"> </w:t>
      </w:r>
      <w:r w:rsidR="00922BDD" w:rsidRPr="00FB5A28">
        <w:rPr>
          <w:rFonts w:ascii="Times New Roman" w:hAnsi="Times New Roman"/>
          <w:sz w:val="24"/>
          <w:szCs w:val="24"/>
        </w:rPr>
        <w:t>организам</w:t>
      </w:r>
      <w:r w:rsidRPr="00FB5A28">
        <w:rPr>
          <w:rFonts w:ascii="Times New Roman" w:hAnsi="Times New Roman"/>
          <w:sz w:val="24"/>
          <w:szCs w:val="24"/>
        </w:rPr>
        <w:t>;</w:t>
      </w:r>
    </w:p>
    <w:p w:rsidR="00F536E7" w:rsidRPr="00FB5A28" w:rsidRDefault="00F536E7" w:rsidP="00FB5A28">
      <w:pPr>
        <w:jc w:val="both"/>
        <w:rPr>
          <w:rFonts w:ascii="Times New Roman" w:hAnsi="Times New Roman"/>
          <w:sz w:val="24"/>
          <w:szCs w:val="24"/>
        </w:rPr>
      </w:pPr>
      <w:r w:rsidRPr="00FB5A28">
        <w:rPr>
          <w:rFonts w:ascii="Times New Roman" w:hAnsi="Times New Roman"/>
          <w:sz w:val="24"/>
          <w:szCs w:val="24"/>
        </w:rPr>
        <w:t xml:space="preserve">5) </w:t>
      </w:r>
      <w:r w:rsidR="00922BDD" w:rsidRPr="00FB5A28">
        <w:rPr>
          <w:rFonts w:ascii="Times New Roman" w:hAnsi="Times New Roman"/>
          <w:sz w:val="24"/>
          <w:szCs w:val="24"/>
        </w:rPr>
        <w:t>материјала</w:t>
      </w:r>
      <w:r w:rsidRPr="00FB5A28">
        <w:rPr>
          <w:rFonts w:ascii="Times New Roman" w:hAnsi="Times New Roman"/>
          <w:sz w:val="24"/>
          <w:szCs w:val="24"/>
        </w:rPr>
        <w:t xml:space="preserve"> </w:t>
      </w:r>
      <w:r w:rsidR="00922BDD" w:rsidRPr="00FB5A28">
        <w:rPr>
          <w:rFonts w:ascii="Times New Roman" w:hAnsi="Times New Roman"/>
          <w:sz w:val="24"/>
          <w:szCs w:val="24"/>
        </w:rPr>
        <w:t>за</w:t>
      </w:r>
      <w:r w:rsidRPr="00FB5A28">
        <w:rPr>
          <w:rFonts w:ascii="Times New Roman" w:hAnsi="Times New Roman"/>
          <w:sz w:val="24"/>
          <w:szCs w:val="24"/>
        </w:rPr>
        <w:t xml:space="preserve"> </w:t>
      </w:r>
      <w:r w:rsidR="00922BDD" w:rsidRPr="00FB5A28">
        <w:rPr>
          <w:rFonts w:ascii="Times New Roman" w:hAnsi="Times New Roman"/>
          <w:sz w:val="24"/>
          <w:szCs w:val="24"/>
        </w:rPr>
        <w:t>дијализу</w:t>
      </w:r>
      <w:r w:rsidRPr="00FB5A28">
        <w:rPr>
          <w:rFonts w:ascii="Times New Roman" w:hAnsi="Times New Roman"/>
          <w:sz w:val="24"/>
          <w:szCs w:val="24"/>
        </w:rPr>
        <w:t>;</w:t>
      </w:r>
    </w:p>
    <w:p w:rsidR="00F536E7" w:rsidRPr="00FB5A28" w:rsidRDefault="00F536E7" w:rsidP="00FB5A28">
      <w:pPr>
        <w:jc w:val="both"/>
        <w:rPr>
          <w:rFonts w:ascii="Times New Roman" w:hAnsi="Times New Roman"/>
          <w:sz w:val="24"/>
          <w:szCs w:val="24"/>
        </w:rPr>
      </w:pPr>
      <w:r w:rsidRPr="00FB5A28">
        <w:rPr>
          <w:rFonts w:ascii="Times New Roman" w:hAnsi="Times New Roman"/>
          <w:sz w:val="24"/>
          <w:szCs w:val="24"/>
        </w:rPr>
        <w:lastRenderedPageBreak/>
        <w:t xml:space="preserve">6) </w:t>
      </w:r>
      <w:r w:rsidR="00922BDD" w:rsidRPr="00FB5A28">
        <w:rPr>
          <w:rFonts w:ascii="Times New Roman" w:hAnsi="Times New Roman"/>
          <w:sz w:val="24"/>
          <w:szCs w:val="24"/>
        </w:rPr>
        <w:t>ђубрива</w:t>
      </w:r>
      <w:r w:rsidRPr="00FB5A28">
        <w:rPr>
          <w:rFonts w:ascii="Times New Roman" w:hAnsi="Times New Roman"/>
          <w:sz w:val="24"/>
          <w:szCs w:val="24"/>
        </w:rPr>
        <w:t xml:space="preserve">, </w:t>
      </w:r>
      <w:r w:rsidR="00922BDD" w:rsidRPr="00FB5A28">
        <w:rPr>
          <w:rFonts w:ascii="Times New Roman" w:hAnsi="Times New Roman"/>
          <w:sz w:val="24"/>
          <w:szCs w:val="24"/>
        </w:rPr>
        <w:t>средстава</w:t>
      </w:r>
      <w:r w:rsidRPr="00FB5A28">
        <w:rPr>
          <w:rFonts w:ascii="Times New Roman" w:hAnsi="Times New Roman"/>
          <w:sz w:val="24"/>
          <w:szCs w:val="24"/>
        </w:rPr>
        <w:t xml:space="preserve"> </w:t>
      </w:r>
      <w:r w:rsidR="00922BDD" w:rsidRPr="00FB5A28">
        <w:rPr>
          <w:rFonts w:ascii="Times New Roman" w:hAnsi="Times New Roman"/>
          <w:sz w:val="24"/>
          <w:szCs w:val="24"/>
        </w:rPr>
        <w:t>за</w:t>
      </w:r>
      <w:r w:rsidRPr="00FB5A28">
        <w:rPr>
          <w:rFonts w:ascii="Times New Roman" w:hAnsi="Times New Roman"/>
          <w:sz w:val="24"/>
          <w:szCs w:val="24"/>
        </w:rPr>
        <w:t xml:space="preserve"> </w:t>
      </w:r>
      <w:r w:rsidR="00922BDD" w:rsidRPr="00FB5A28">
        <w:rPr>
          <w:rFonts w:ascii="Times New Roman" w:hAnsi="Times New Roman"/>
          <w:sz w:val="24"/>
          <w:szCs w:val="24"/>
        </w:rPr>
        <w:t>заштиту</w:t>
      </w:r>
      <w:r w:rsidRPr="00FB5A28">
        <w:rPr>
          <w:rFonts w:ascii="Times New Roman" w:hAnsi="Times New Roman"/>
          <w:sz w:val="24"/>
          <w:szCs w:val="24"/>
        </w:rPr>
        <w:t xml:space="preserve"> </w:t>
      </w:r>
      <w:r w:rsidR="00922BDD" w:rsidRPr="00FB5A28">
        <w:rPr>
          <w:rFonts w:ascii="Times New Roman" w:hAnsi="Times New Roman"/>
          <w:sz w:val="24"/>
          <w:szCs w:val="24"/>
        </w:rPr>
        <w:t>биља</w:t>
      </w:r>
      <w:r w:rsidRPr="00FB5A28">
        <w:rPr>
          <w:rFonts w:ascii="Times New Roman" w:hAnsi="Times New Roman"/>
          <w:sz w:val="24"/>
          <w:szCs w:val="24"/>
        </w:rPr>
        <w:t xml:space="preserve">, </w:t>
      </w:r>
      <w:r w:rsidR="00922BDD" w:rsidRPr="00FB5A28">
        <w:rPr>
          <w:rFonts w:ascii="Times New Roman" w:hAnsi="Times New Roman"/>
          <w:sz w:val="24"/>
          <w:szCs w:val="24"/>
        </w:rPr>
        <w:t>семена</w:t>
      </w:r>
      <w:r w:rsidRPr="00FB5A28">
        <w:rPr>
          <w:rFonts w:ascii="Times New Roman" w:hAnsi="Times New Roman"/>
          <w:sz w:val="24"/>
          <w:szCs w:val="24"/>
        </w:rPr>
        <w:t xml:space="preserve"> </w:t>
      </w:r>
      <w:r w:rsidR="00922BDD" w:rsidRPr="00FB5A28">
        <w:rPr>
          <w:rFonts w:ascii="Times New Roman" w:hAnsi="Times New Roman"/>
          <w:sz w:val="24"/>
          <w:szCs w:val="24"/>
        </w:rPr>
        <w:t>за</w:t>
      </w:r>
      <w:r w:rsidRPr="00FB5A28">
        <w:rPr>
          <w:rFonts w:ascii="Times New Roman" w:hAnsi="Times New Roman"/>
          <w:sz w:val="24"/>
          <w:szCs w:val="24"/>
        </w:rPr>
        <w:t xml:space="preserve"> </w:t>
      </w:r>
      <w:r w:rsidR="00922BDD" w:rsidRPr="00FB5A28">
        <w:rPr>
          <w:rFonts w:ascii="Times New Roman" w:hAnsi="Times New Roman"/>
          <w:sz w:val="24"/>
          <w:szCs w:val="24"/>
        </w:rPr>
        <w:t>репродукцију</w:t>
      </w:r>
      <w:r w:rsidRPr="00FB5A28">
        <w:rPr>
          <w:rFonts w:ascii="Times New Roman" w:hAnsi="Times New Roman"/>
          <w:sz w:val="24"/>
          <w:szCs w:val="24"/>
        </w:rPr>
        <w:t xml:space="preserve">, </w:t>
      </w:r>
      <w:r w:rsidR="00922BDD" w:rsidRPr="00FB5A28">
        <w:rPr>
          <w:rFonts w:ascii="Times New Roman" w:hAnsi="Times New Roman"/>
          <w:sz w:val="24"/>
          <w:szCs w:val="24"/>
        </w:rPr>
        <w:t>садног</w:t>
      </w:r>
      <w:r w:rsidRPr="00FB5A28">
        <w:rPr>
          <w:rFonts w:ascii="Times New Roman" w:hAnsi="Times New Roman"/>
          <w:sz w:val="24"/>
          <w:szCs w:val="24"/>
        </w:rPr>
        <w:t xml:space="preserve"> </w:t>
      </w:r>
      <w:r w:rsidR="00922BDD" w:rsidRPr="00FB5A28">
        <w:rPr>
          <w:rFonts w:ascii="Times New Roman" w:hAnsi="Times New Roman"/>
          <w:sz w:val="24"/>
          <w:szCs w:val="24"/>
        </w:rPr>
        <w:t>материјала</w:t>
      </w:r>
      <w:r w:rsidRPr="00FB5A28">
        <w:rPr>
          <w:rFonts w:ascii="Times New Roman" w:hAnsi="Times New Roman"/>
          <w:sz w:val="24"/>
          <w:szCs w:val="24"/>
        </w:rPr>
        <w:t xml:space="preserve">, </w:t>
      </w:r>
      <w:r w:rsidR="00922BDD" w:rsidRPr="00FB5A28">
        <w:rPr>
          <w:rFonts w:ascii="Times New Roman" w:hAnsi="Times New Roman"/>
          <w:sz w:val="24"/>
          <w:szCs w:val="24"/>
        </w:rPr>
        <w:t>компоста</w:t>
      </w:r>
      <w:r w:rsidRPr="00FB5A28">
        <w:rPr>
          <w:rFonts w:ascii="Times New Roman" w:hAnsi="Times New Roman"/>
          <w:sz w:val="24"/>
          <w:szCs w:val="24"/>
        </w:rPr>
        <w:t xml:space="preserve"> </w:t>
      </w:r>
      <w:r w:rsidR="00922BDD" w:rsidRPr="00FB5A28">
        <w:rPr>
          <w:rFonts w:ascii="Times New Roman" w:hAnsi="Times New Roman"/>
          <w:sz w:val="24"/>
          <w:szCs w:val="24"/>
        </w:rPr>
        <w:t>са</w:t>
      </w:r>
      <w:r w:rsidRPr="00FB5A28">
        <w:rPr>
          <w:rFonts w:ascii="Times New Roman" w:hAnsi="Times New Roman"/>
          <w:sz w:val="24"/>
          <w:szCs w:val="24"/>
        </w:rPr>
        <w:t xml:space="preserve"> </w:t>
      </w:r>
      <w:r w:rsidR="00922BDD" w:rsidRPr="00FB5A28">
        <w:rPr>
          <w:rFonts w:ascii="Times New Roman" w:hAnsi="Times New Roman"/>
          <w:sz w:val="24"/>
          <w:szCs w:val="24"/>
        </w:rPr>
        <w:t>мицелијумом</w:t>
      </w:r>
      <w:r w:rsidRPr="00FB5A28">
        <w:rPr>
          <w:rFonts w:ascii="Times New Roman" w:hAnsi="Times New Roman"/>
          <w:sz w:val="24"/>
          <w:szCs w:val="24"/>
        </w:rPr>
        <w:t xml:space="preserve">, </w:t>
      </w:r>
      <w:r w:rsidR="00922BDD" w:rsidRPr="00FB5A28">
        <w:rPr>
          <w:rFonts w:ascii="Times New Roman" w:hAnsi="Times New Roman"/>
          <w:sz w:val="24"/>
          <w:szCs w:val="24"/>
        </w:rPr>
        <w:t>комплетне</w:t>
      </w:r>
      <w:r w:rsidRPr="00FB5A28">
        <w:rPr>
          <w:rFonts w:ascii="Times New Roman" w:hAnsi="Times New Roman"/>
          <w:sz w:val="24"/>
          <w:szCs w:val="24"/>
        </w:rPr>
        <w:t xml:space="preserve"> </w:t>
      </w:r>
      <w:r w:rsidR="00922BDD" w:rsidRPr="00FB5A28">
        <w:rPr>
          <w:rFonts w:ascii="Times New Roman" w:hAnsi="Times New Roman"/>
          <w:sz w:val="24"/>
          <w:szCs w:val="24"/>
        </w:rPr>
        <w:t>крмне</w:t>
      </w:r>
      <w:r w:rsidRPr="00FB5A28">
        <w:rPr>
          <w:rFonts w:ascii="Times New Roman" w:hAnsi="Times New Roman"/>
          <w:sz w:val="24"/>
          <w:szCs w:val="24"/>
        </w:rPr>
        <w:t xml:space="preserve"> </w:t>
      </w:r>
      <w:r w:rsidR="00922BDD" w:rsidRPr="00FB5A28">
        <w:rPr>
          <w:rFonts w:ascii="Times New Roman" w:hAnsi="Times New Roman"/>
          <w:sz w:val="24"/>
          <w:szCs w:val="24"/>
        </w:rPr>
        <w:t>смеше</w:t>
      </w:r>
      <w:r w:rsidRPr="00FB5A28">
        <w:rPr>
          <w:rFonts w:ascii="Times New Roman" w:hAnsi="Times New Roman"/>
          <w:sz w:val="24"/>
          <w:szCs w:val="24"/>
        </w:rPr>
        <w:t xml:space="preserve"> </w:t>
      </w:r>
      <w:r w:rsidR="00922BDD" w:rsidRPr="00FB5A28">
        <w:rPr>
          <w:rFonts w:ascii="Times New Roman" w:hAnsi="Times New Roman"/>
          <w:sz w:val="24"/>
          <w:szCs w:val="24"/>
        </w:rPr>
        <w:t>за</w:t>
      </w:r>
      <w:r w:rsidRPr="00FB5A28">
        <w:rPr>
          <w:rFonts w:ascii="Times New Roman" w:hAnsi="Times New Roman"/>
          <w:sz w:val="24"/>
          <w:szCs w:val="24"/>
        </w:rPr>
        <w:t xml:space="preserve"> </w:t>
      </w:r>
      <w:r w:rsidR="00922BDD" w:rsidRPr="00FB5A28">
        <w:rPr>
          <w:rFonts w:ascii="Times New Roman" w:hAnsi="Times New Roman"/>
          <w:sz w:val="24"/>
          <w:szCs w:val="24"/>
        </w:rPr>
        <w:t>исхрану</w:t>
      </w:r>
      <w:r w:rsidRPr="00FB5A28">
        <w:rPr>
          <w:rFonts w:ascii="Times New Roman" w:hAnsi="Times New Roman"/>
          <w:sz w:val="24"/>
          <w:szCs w:val="24"/>
        </w:rPr>
        <w:t xml:space="preserve"> </w:t>
      </w:r>
      <w:r w:rsidR="00922BDD" w:rsidRPr="00FB5A28">
        <w:rPr>
          <w:rFonts w:ascii="Times New Roman" w:hAnsi="Times New Roman"/>
          <w:sz w:val="24"/>
          <w:szCs w:val="24"/>
        </w:rPr>
        <w:t>стоке</w:t>
      </w:r>
      <w:r w:rsidRPr="00FB5A28">
        <w:rPr>
          <w:rFonts w:ascii="Times New Roman" w:hAnsi="Times New Roman"/>
          <w:sz w:val="24"/>
          <w:szCs w:val="24"/>
        </w:rPr>
        <w:t xml:space="preserve"> </w:t>
      </w:r>
      <w:r w:rsidR="00922BDD" w:rsidRPr="00FB5A28">
        <w:rPr>
          <w:rFonts w:ascii="Times New Roman" w:hAnsi="Times New Roman"/>
          <w:sz w:val="24"/>
          <w:szCs w:val="24"/>
        </w:rPr>
        <w:t>и</w:t>
      </w:r>
      <w:r w:rsidRPr="00FB5A28">
        <w:rPr>
          <w:rFonts w:ascii="Times New Roman" w:hAnsi="Times New Roman"/>
          <w:sz w:val="24"/>
          <w:szCs w:val="24"/>
        </w:rPr>
        <w:t xml:space="preserve"> </w:t>
      </w:r>
      <w:r w:rsidR="00922BDD" w:rsidRPr="00FB5A28">
        <w:rPr>
          <w:rFonts w:ascii="Times New Roman" w:hAnsi="Times New Roman"/>
          <w:sz w:val="24"/>
          <w:szCs w:val="24"/>
        </w:rPr>
        <w:t>живе</w:t>
      </w:r>
      <w:r w:rsidRPr="00FB5A28">
        <w:rPr>
          <w:rFonts w:ascii="Times New Roman" w:hAnsi="Times New Roman"/>
          <w:sz w:val="24"/>
          <w:szCs w:val="24"/>
        </w:rPr>
        <w:t xml:space="preserve"> </w:t>
      </w:r>
      <w:r w:rsidR="00922BDD" w:rsidRPr="00FB5A28">
        <w:rPr>
          <w:rFonts w:ascii="Times New Roman" w:hAnsi="Times New Roman"/>
          <w:sz w:val="24"/>
          <w:szCs w:val="24"/>
        </w:rPr>
        <w:t>стоке</w:t>
      </w:r>
      <w:r w:rsidRPr="00FB5A28">
        <w:rPr>
          <w:rFonts w:ascii="Times New Roman" w:hAnsi="Times New Roman"/>
          <w:sz w:val="24"/>
          <w:szCs w:val="24"/>
        </w:rPr>
        <w:t>;</w:t>
      </w:r>
    </w:p>
    <w:p w:rsidR="00F536E7" w:rsidRPr="00FB5A28" w:rsidRDefault="00F536E7" w:rsidP="00FB5A28">
      <w:pPr>
        <w:jc w:val="both"/>
        <w:rPr>
          <w:rFonts w:ascii="Times New Roman" w:hAnsi="Times New Roman"/>
          <w:sz w:val="24"/>
          <w:szCs w:val="24"/>
          <w:lang w:val="sr-Cyrl-CS"/>
        </w:rPr>
      </w:pPr>
      <w:r w:rsidRPr="00FB5A28">
        <w:rPr>
          <w:rFonts w:ascii="Times New Roman" w:hAnsi="Times New Roman"/>
          <w:sz w:val="24"/>
          <w:szCs w:val="24"/>
        </w:rPr>
        <w:t xml:space="preserve">7) </w:t>
      </w:r>
      <w:r w:rsidR="00922BDD" w:rsidRPr="00FB5A28">
        <w:rPr>
          <w:rFonts w:ascii="Times New Roman" w:hAnsi="Times New Roman"/>
          <w:sz w:val="24"/>
          <w:szCs w:val="24"/>
        </w:rPr>
        <w:t>уџбеника</w:t>
      </w:r>
      <w:r w:rsidRPr="00FB5A28">
        <w:rPr>
          <w:rFonts w:ascii="Times New Roman" w:hAnsi="Times New Roman"/>
          <w:sz w:val="24"/>
          <w:szCs w:val="24"/>
        </w:rPr>
        <w:t xml:space="preserve"> </w:t>
      </w:r>
      <w:r w:rsidR="00922BDD" w:rsidRPr="00FB5A28">
        <w:rPr>
          <w:rFonts w:ascii="Times New Roman" w:hAnsi="Times New Roman"/>
          <w:sz w:val="24"/>
          <w:szCs w:val="24"/>
        </w:rPr>
        <w:t>и</w:t>
      </w:r>
      <w:r w:rsidRPr="00FB5A28">
        <w:rPr>
          <w:rFonts w:ascii="Times New Roman" w:hAnsi="Times New Roman"/>
          <w:sz w:val="24"/>
          <w:szCs w:val="24"/>
        </w:rPr>
        <w:t xml:space="preserve"> </w:t>
      </w:r>
      <w:r w:rsidR="00922BDD" w:rsidRPr="00FB5A28">
        <w:rPr>
          <w:rFonts w:ascii="Times New Roman" w:hAnsi="Times New Roman"/>
          <w:sz w:val="24"/>
          <w:szCs w:val="24"/>
        </w:rPr>
        <w:t>наставних</w:t>
      </w:r>
      <w:r w:rsidRPr="00FB5A28">
        <w:rPr>
          <w:rFonts w:ascii="Times New Roman" w:hAnsi="Times New Roman"/>
          <w:sz w:val="24"/>
          <w:szCs w:val="24"/>
        </w:rPr>
        <w:t xml:space="preserve"> </w:t>
      </w:r>
      <w:r w:rsidR="00922BDD" w:rsidRPr="00FB5A28">
        <w:rPr>
          <w:rFonts w:ascii="Times New Roman" w:hAnsi="Times New Roman"/>
          <w:sz w:val="24"/>
          <w:szCs w:val="24"/>
        </w:rPr>
        <w:t>средстава</w:t>
      </w:r>
      <w:r w:rsidRPr="00FB5A28">
        <w:rPr>
          <w:rFonts w:ascii="Times New Roman" w:hAnsi="Times New Roman"/>
          <w:sz w:val="24"/>
          <w:szCs w:val="24"/>
        </w:rPr>
        <w:t>;</w:t>
      </w:r>
    </w:p>
    <w:p w:rsidR="00F536E7" w:rsidRPr="00FB5A28" w:rsidRDefault="00F536E7" w:rsidP="00FB5A28">
      <w:pPr>
        <w:jc w:val="both"/>
        <w:rPr>
          <w:rFonts w:ascii="Times New Roman" w:hAnsi="Times New Roman"/>
          <w:sz w:val="24"/>
          <w:szCs w:val="24"/>
        </w:rPr>
      </w:pPr>
      <w:r w:rsidRPr="00FB5A28">
        <w:rPr>
          <w:rFonts w:ascii="Times New Roman" w:hAnsi="Times New Roman"/>
          <w:sz w:val="24"/>
          <w:szCs w:val="24"/>
        </w:rPr>
        <w:t xml:space="preserve">8) </w:t>
      </w:r>
      <w:r w:rsidR="00922BDD" w:rsidRPr="00FB5A28">
        <w:rPr>
          <w:rFonts w:ascii="Times New Roman" w:hAnsi="Times New Roman"/>
          <w:sz w:val="24"/>
          <w:szCs w:val="24"/>
        </w:rPr>
        <w:t>дневних</w:t>
      </w:r>
      <w:r w:rsidRPr="00FB5A28">
        <w:rPr>
          <w:rFonts w:ascii="Times New Roman" w:hAnsi="Times New Roman"/>
          <w:sz w:val="24"/>
          <w:szCs w:val="24"/>
        </w:rPr>
        <w:t xml:space="preserve"> </w:t>
      </w:r>
      <w:r w:rsidR="00922BDD" w:rsidRPr="00FB5A28">
        <w:rPr>
          <w:rFonts w:ascii="Times New Roman" w:hAnsi="Times New Roman"/>
          <w:sz w:val="24"/>
          <w:szCs w:val="24"/>
        </w:rPr>
        <w:t>новина</w:t>
      </w:r>
      <w:r w:rsidRPr="00FB5A28">
        <w:rPr>
          <w:rFonts w:ascii="Times New Roman" w:hAnsi="Times New Roman"/>
          <w:sz w:val="24"/>
          <w:szCs w:val="24"/>
        </w:rPr>
        <w:t>;</w:t>
      </w:r>
    </w:p>
    <w:p w:rsidR="00F536E7" w:rsidRPr="00FB5A28" w:rsidRDefault="00F536E7" w:rsidP="00FB5A28">
      <w:pPr>
        <w:jc w:val="both"/>
        <w:rPr>
          <w:rFonts w:ascii="Times New Roman" w:hAnsi="Times New Roman"/>
          <w:sz w:val="24"/>
          <w:szCs w:val="24"/>
        </w:rPr>
      </w:pPr>
      <w:r w:rsidRPr="00FB5A28">
        <w:rPr>
          <w:rFonts w:ascii="Times New Roman" w:hAnsi="Times New Roman"/>
          <w:sz w:val="24"/>
          <w:szCs w:val="24"/>
        </w:rPr>
        <w:t xml:space="preserve">9) </w:t>
      </w:r>
      <w:r w:rsidR="00922BDD" w:rsidRPr="00FB5A28">
        <w:rPr>
          <w:rFonts w:ascii="Times New Roman" w:hAnsi="Times New Roman"/>
          <w:sz w:val="24"/>
          <w:szCs w:val="24"/>
        </w:rPr>
        <w:t>монографских</w:t>
      </w:r>
      <w:r w:rsidRPr="00FB5A28">
        <w:rPr>
          <w:rFonts w:ascii="Times New Roman" w:hAnsi="Times New Roman"/>
          <w:sz w:val="24"/>
          <w:szCs w:val="24"/>
        </w:rPr>
        <w:t xml:space="preserve"> </w:t>
      </w:r>
      <w:r w:rsidR="00922BDD" w:rsidRPr="00FB5A28">
        <w:rPr>
          <w:rFonts w:ascii="Times New Roman" w:hAnsi="Times New Roman"/>
          <w:sz w:val="24"/>
          <w:szCs w:val="24"/>
        </w:rPr>
        <w:t>и</w:t>
      </w:r>
      <w:r w:rsidRPr="00FB5A28">
        <w:rPr>
          <w:rFonts w:ascii="Times New Roman" w:hAnsi="Times New Roman"/>
          <w:sz w:val="24"/>
          <w:szCs w:val="24"/>
        </w:rPr>
        <w:t xml:space="preserve"> </w:t>
      </w:r>
      <w:r w:rsidR="00922BDD" w:rsidRPr="00FB5A28">
        <w:rPr>
          <w:rFonts w:ascii="Times New Roman" w:hAnsi="Times New Roman"/>
          <w:sz w:val="24"/>
          <w:szCs w:val="24"/>
        </w:rPr>
        <w:t>серијских</w:t>
      </w:r>
      <w:r w:rsidRPr="00FB5A28">
        <w:rPr>
          <w:rFonts w:ascii="Times New Roman" w:hAnsi="Times New Roman"/>
          <w:sz w:val="24"/>
          <w:szCs w:val="24"/>
        </w:rPr>
        <w:t xml:space="preserve"> </w:t>
      </w:r>
      <w:r w:rsidR="00922BDD" w:rsidRPr="00FB5A28">
        <w:rPr>
          <w:rFonts w:ascii="Times New Roman" w:hAnsi="Times New Roman"/>
          <w:sz w:val="24"/>
          <w:szCs w:val="24"/>
        </w:rPr>
        <w:t>публикација</w:t>
      </w:r>
      <w:r w:rsidRPr="00FB5A28">
        <w:rPr>
          <w:rFonts w:ascii="Times New Roman" w:hAnsi="Times New Roman"/>
          <w:sz w:val="24"/>
          <w:szCs w:val="24"/>
        </w:rPr>
        <w:t>;</w:t>
      </w:r>
    </w:p>
    <w:p w:rsidR="00F536E7" w:rsidRPr="00FB5A28" w:rsidRDefault="00F536E7" w:rsidP="00FB5A28">
      <w:pPr>
        <w:jc w:val="both"/>
        <w:rPr>
          <w:rFonts w:ascii="Times New Roman" w:hAnsi="Times New Roman"/>
          <w:sz w:val="24"/>
          <w:szCs w:val="24"/>
        </w:rPr>
      </w:pPr>
      <w:r w:rsidRPr="00FB5A28">
        <w:rPr>
          <w:rFonts w:ascii="Times New Roman" w:hAnsi="Times New Roman"/>
          <w:sz w:val="24"/>
          <w:szCs w:val="24"/>
        </w:rPr>
        <w:t xml:space="preserve">10) </w:t>
      </w:r>
      <w:r w:rsidR="00922BDD" w:rsidRPr="00FB5A28">
        <w:rPr>
          <w:rFonts w:ascii="Times New Roman" w:hAnsi="Times New Roman"/>
          <w:sz w:val="24"/>
          <w:szCs w:val="24"/>
        </w:rPr>
        <w:t>огревног</w:t>
      </w:r>
      <w:r w:rsidRPr="00FB5A28">
        <w:rPr>
          <w:rFonts w:ascii="Times New Roman" w:hAnsi="Times New Roman"/>
          <w:sz w:val="24"/>
          <w:szCs w:val="24"/>
        </w:rPr>
        <w:t xml:space="preserve"> </w:t>
      </w:r>
      <w:r w:rsidR="00922BDD" w:rsidRPr="00FB5A28">
        <w:rPr>
          <w:rFonts w:ascii="Times New Roman" w:hAnsi="Times New Roman"/>
          <w:sz w:val="24"/>
          <w:szCs w:val="24"/>
        </w:rPr>
        <w:t>дрвета</w:t>
      </w:r>
      <w:r w:rsidRPr="00FB5A28">
        <w:rPr>
          <w:rFonts w:ascii="Times New Roman" w:hAnsi="Times New Roman"/>
          <w:sz w:val="24"/>
          <w:szCs w:val="24"/>
        </w:rPr>
        <w:t>;</w:t>
      </w:r>
    </w:p>
    <w:p w:rsidR="00F536E7" w:rsidRPr="00FB5A28" w:rsidRDefault="00F536E7" w:rsidP="00FB5A28">
      <w:pPr>
        <w:jc w:val="both"/>
        <w:rPr>
          <w:rFonts w:ascii="Times New Roman" w:hAnsi="Times New Roman"/>
          <w:sz w:val="24"/>
          <w:szCs w:val="24"/>
        </w:rPr>
      </w:pPr>
      <w:r w:rsidRPr="00FB5A28">
        <w:rPr>
          <w:rFonts w:ascii="Times New Roman" w:hAnsi="Times New Roman"/>
          <w:sz w:val="24"/>
          <w:szCs w:val="24"/>
        </w:rPr>
        <w:t xml:space="preserve">11) </w:t>
      </w:r>
      <w:r w:rsidR="00922BDD" w:rsidRPr="00FB5A28">
        <w:rPr>
          <w:rFonts w:ascii="Times New Roman" w:hAnsi="Times New Roman"/>
          <w:sz w:val="24"/>
          <w:szCs w:val="24"/>
        </w:rPr>
        <w:t>услуга</w:t>
      </w:r>
      <w:r w:rsidRPr="00FB5A28">
        <w:rPr>
          <w:rFonts w:ascii="Times New Roman" w:hAnsi="Times New Roman"/>
          <w:sz w:val="24"/>
          <w:szCs w:val="24"/>
        </w:rPr>
        <w:t xml:space="preserve"> </w:t>
      </w:r>
      <w:r w:rsidR="00922BDD" w:rsidRPr="00FB5A28">
        <w:rPr>
          <w:rFonts w:ascii="Times New Roman" w:hAnsi="Times New Roman"/>
          <w:sz w:val="24"/>
          <w:szCs w:val="24"/>
        </w:rPr>
        <w:t>смештаја</w:t>
      </w:r>
      <w:r w:rsidRPr="00FB5A28">
        <w:rPr>
          <w:rFonts w:ascii="Times New Roman" w:hAnsi="Times New Roman"/>
          <w:sz w:val="24"/>
          <w:szCs w:val="24"/>
        </w:rPr>
        <w:t xml:space="preserve"> </w:t>
      </w:r>
      <w:r w:rsidR="00922BDD" w:rsidRPr="00FB5A28">
        <w:rPr>
          <w:rFonts w:ascii="Times New Roman" w:hAnsi="Times New Roman"/>
          <w:sz w:val="24"/>
          <w:szCs w:val="24"/>
        </w:rPr>
        <w:t>у</w:t>
      </w:r>
      <w:r w:rsidRPr="00FB5A28">
        <w:rPr>
          <w:rFonts w:ascii="Times New Roman" w:hAnsi="Times New Roman"/>
          <w:sz w:val="24"/>
          <w:szCs w:val="24"/>
        </w:rPr>
        <w:t xml:space="preserve"> </w:t>
      </w:r>
      <w:r w:rsidR="00922BDD" w:rsidRPr="00FB5A28">
        <w:rPr>
          <w:rFonts w:ascii="Times New Roman" w:hAnsi="Times New Roman"/>
          <w:sz w:val="24"/>
          <w:szCs w:val="24"/>
        </w:rPr>
        <w:t>хотелима</w:t>
      </w:r>
      <w:r w:rsidRPr="00FB5A28">
        <w:rPr>
          <w:rFonts w:ascii="Times New Roman" w:hAnsi="Times New Roman"/>
          <w:sz w:val="24"/>
          <w:szCs w:val="24"/>
        </w:rPr>
        <w:t xml:space="preserve">, </w:t>
      </w:r>
      <w:r w:rsidR="00922BDD" w:rsidRPr="00FB5A28">
        <w:rPr>
          <w:rFonts w:ascii="Times New Roman" w:hAnsi="Times New Roman"/>
          <w:sz w:val="24"/>
          <w:szCs w:val="24"/>
        </w:rPr>
        <w:t>мотелима</w:t>
      </w:r>
      <w:r w:rsidRPr="00FB5A28">
        <w:rPr>
          <w:rFonts w:ascii="Times New Roman" w:hAnsi="Times New Roman"/>
          <w:sz w:val="24"/>
          <w:szCs w:val="24"/>
        </w:rPr>
        <w:t xml:space="preserve">, </w:t>
      </w:r>
      <w:r w:rsidR="00922BDD" w:rsidRPr="00FB5A28">
        <w:rPr>
          <w:rFonts w:ascii="Times New Roman" w:hAnsi="Times New Roman"/>
          <w:sz w:val="24"/>
          <w:szCs w:val="24"/>
        </w:rPr>
        <w:t>одмаралиштима</w:t>
      </w:r>
      <w:r w:rsidRPr="00FB5A28">
        <w:rPr>
          <w:rFonts w:ascii="Times New Roman" w:hAnsi="Times New Roman"/>
          <w:sz w:val="24"/>
          <w:szCs w:val="24"/>
        </w:rPr>
        <w:t xml:space="preserve">, </w:t>
      </w:r>
      <w:r w:rsidR="00922BDD" w:rsidRPr="00FB5A28">
        <w:rPr>
          <w:rFonts w:ascii="Times New Roman" w:hAnsi="Times New Roman"/>
          <w:sz w:val="24"/>
          <w:szCs w:val="24"/>
        </w:rPr>
        <w:t>домовима</w:t>
      </w:r>
      <w:r w:rsidRPr="00FB5A28">
        <w:rPr>
          <w:rFonts w:ascii="Times New Roman" w:hAnsi="Times New Roman"/>
          <w:sz w:val="24"/>
          <w:szCs w:val="24"/>
        </w:rPr>
        <w:t xml:space="preserve"> </w:t>
      </w:r>
      <w:r w:rsidR="00922BDD" w:rsidRPr="00FB5A28">
        <w:rPr>
          <w:rFonts w:ascii="Times New Roman" w:hAnsi="Times New Roman"/>
          <w:sz w:val="24"/>
          <w:szCs w:val="24"/>
        </w:rPr>
        <w:t>и</w:t>
      </w:r>
      <w:r w:rsidRPr="00FB5A28">
        <w:rPr>
          <w:rFonts w:ascii="Times New Roman" w:hAnsi="Times New Roman"/>
          <w:sz w:val="24"/>
          <w:szCs w:val="24"/>
        </w:rPr>
        <w:t xml:space="preserve"> </w:t>
      </w:r>
      <w:r w:rsidR="00922BDD" w:rsidRPr="00FB5A28">
        <w:rPr>
          <w:rFonts w:ascii="Times New Roman" w:hAnsi="Times New Roman"/>
          <w:sz w:val="24"/>
          <w:szCs w:val="24"/>
        </w:rPr>
        <w:t>камповима</w:t>
      </w:r>
      <w:r w:rsidRPr="00FB5A28">
        <w:rPr>
          <w:rFonts w:ascii="Times New Roman" w:hAnsi="Times New Roman"/>
          <w:sz w:val="24"/>
          <w:szCs w:val="24"/>
        </w:rPr>
        <w:t>;</w:t>
      </w:r>
    </w:p>
    <w:p w:rsidR="00F536E7" w:rsidRPr="00FB5A28" w:rsidRDefault="00F536E7" w:rsidP="00FB5A28">
      <w:pPr>
        <w:jc w:val="both"/>
        <w:rPr>
          <w:rFonts w:ascii="Times New Roman" w:hAnsi="Times New Roman"/>
          <w:sz w:val="24"/>
          <w:szCs w:val="24"/>
          <w:lang w:val="sr-Cyrl-CS"/>
        </w:rPr>
      </w:pPr>
      <w:r w:rsidRPr="00FB5A28">
        <w:rPr>
          <w:rFonts w:ascii="Times New Roman" w:hAnsi="Times New Roman"/>
          <w:sz w:val="24"/>
          <w:szCs w:val="24"/>
        </w:rPr>
        <w:t xml:space="preserve">12) </w:t>
      </w:r>
      <w:r w:rsidR="00922BDD" w:rsidRPr="00FB5A28">
        <w:rPr>
          <w:rFonts w:ascii="Times New Roman" w:hAnsi="Times New Roman"/>
          <w:sz w:val="24"/>
          <w:szCs w:val="24"/>
        </w:rPr>
        <w:t>услуге</w:t>
      </w:r>
      <w:r w:rsidRPr="00FB5A28">
        <w:rPr>
          <w:rFonts w:ascii="Times New Roman" w:hAnsi="Times New Roman"/>
          <w:sz w:val="24"/>
          <w:szCs w:val="24"/>
        </w:rPr>
        <w:t xml:space="preserve"> </w:t>
      </w:r>
      <w:r w:rsidR="00922BDD" w:rsidRPr="00FB5A28">
        <w:rPr>
          <w:rFonts w:ascii="Times New Roman" w:hAnsi="Times New Roman"/>
          <w:sz w:val="24"/>
          <w:szCs w:val="24"/>
        </w:rPr>
        <w:t>које</w:t>
      </w:r>
      <w:r w:rsidRPr="00FB5A28">
        <w:rPr>
          <w:rFonts w:ascii="Times New Roman" w:hAnsi="Times New Roman"/>
          <w:sz w:val="24"/>
          <w:szCs w:val="24"/>
        </w:rPr>
        <w:t xml:space="preserve"> </w:t>
      </w:r>
      <w:r w:rsidR="00922BDD" w:rsidRPr="00FB5A28">
        <w:rPr>
          <w:rFonts w:ascii="Times New Roman" w:hAnsi="Times New Roman"/>
          <w:sz w:val="24"/>
          <w:szCs w:val="24"/>
        </w:rPr>
        <w:t>се</w:t>
      </w:r>
      <w:r w:rsidRPr="00FB5A28">
        <w:rPr>
          <w:rFonts w:ascii="Times New Roman" w:hAnsi="Times New Roman"/>
          <w:sz w:val="24"/>
          <w:szCs w:val="24"/>
        </w:rPr>
        <w:t xml:space="preserve"> </w:t>
      </w:r>
      <w:r w:rsidR="00922BDD" w:rsidRPr="00FB5A28">
        <w:rPr>
          <w:rFonts w:ascii="Times New Roman" w:hAnsi="Times New Roman"/>
          <w:sz w:val="24"/>
          <w:szCs w:val="24"/>
        </w:rPr>
        <w:t>наплаћују</w:t>
      </w:r>
      <w:r w:rsidRPr="00FB5A28">
        <w:rPr>
          <w:rFonts w:ascii="Times New Roman" w:hAnsi="Times New Roman"/>
          <w:sz w:val="24"/>
          <w:szCs w:val="24"/>
        </w:rPr>
        <w:t xml:space="preserve"> </w:t>
      </w:r>
      <w:r w:rsidR="00922BDD" w:rsidRPr="00FB5A28">
        <w:rPr>
          <w:rFonts w:ascii="Times New Roman" w:hAnsi="Times New Roman"/>
          <w:sz w:val="24"/>
          <w:szCs w:val="24"/>
        </w:rPr>
        <w:t>путем</w:t>
      </w:r>
      <w:r w:rsidRPr="00FB5A28">
        <w:rPr>
          <w:rFonts w:ascii="Times New Roman" w:hAnsi="Times New Roman"/>
          <w:sz w:val="24"/>
          <w:szCs w:val="24"/>
        </w:rPr>
        <w:t xml:space="preserve"> </w:t>
      </w:r>
      <w:r w:rsidR="00922BDD" w:rsidRPr="00FB5A28">
        <w:rPr>
          <w:rFonts w:ascii="Times New Roman" w:hAnsi="Times New Roman"/>
          <w:sz w:val="24"/>
          <w:szCs w:val="24"/>
        </w:rPr>
        <w:t>улазница</w:t>
      </w:r>
      <w:r w:rsidRPr="00FB5A28">
        <w:rPr>
          <w:rFonts w:ascii="Times New Roman" w:hAnsi="Times New Roman"/>
          <w:sz w:val="24"/>
          <w:szCs w:val="24"/>
        </w:rPr>
        <w:t xml:space="preserve"> </w:t>
      </w:r>
      <w:r w:rsidR="00922BDD" w:rsidRPr="00FB5A28">
        <w:rPr>
          <w:rFonts w:ascii="Times New Roman" w:hAnsi="Times New Roman"/>
          <w:sz w:val="24"/>
          <w:szCs w:val="24"/>
        </w:rPr>
        <w:t>за</w:t>
      </w:r>
      <w:r w:rsidRPr="00FB5A28">
        <w:rPr>
          <w:rFonts w:ascii="Times New Roman" w:hAnsi="Times New Roman"/>
          <w:sz w:val="24"/>
          <w:szCs w:val="24"/>
        </w:rPr>
        <w:t xml:space="preserve"> </w:t>
      </w:r>
      <w:r w:rsidR="00922BDD" w:rsidRPr="00FB5A28">
        <w:rPr>
          <w:rFonts w:ascii="Times New Roman" w:hAnsi="Times New Roman"/>
          <w:sz w:val="24"/>
          <w:szCs w:val="24"/>
        </w:rPr>
        <w:t>биоскопске</w:t>
      </w:r>
      <w:r w:rsidRPr="00FB5A28">
        <w:rPr>
          <w:rFonts w:ascii="Times New Roman" w:hAnsi="Times New Roman"/>
          <w:sz w:val="24"/>
          <w:szCs w:val="24"/>
        </w:rPr>
        <w:t xml:space="preserve"> </w:t>
      </w:r>
      <w:r w:rsidR="00922BDD" w:rsidRPr="00FB5A28">
        <w:rPr>
          <w:rFonts w:ascii="Times New Roman" w:hAnsi="Times New Roman"/>
          <w:sz w:val="24"/>
          <w:szCs w:val="24"/>
        </w:rPr>
        <w:t>и</w:t>
      </w:r>
      <w:r w:rsidRPr="00FB5A28">
        <w:rPr>
          <w:rFonts w:ascii="Times New Roman" w:hAnsi="Times New Roman"/>
          <w:sz w:val="24"/>
          <w:szCs w:val="24"/>
        </w:rPr>
        <w:t xml:space="preserve"> </w:t>
      </w:r>
      <w:r w:rsidR="00922BDD" w:rsidRPr="00FB5A28">
        <w:rPr>
          <w:rFonts w:ascii="Times New Roman" w:hAnsi="Times New Roman"/>
          <w:sz w:val="24"/>
          <w:szCs w:val="24"/>
        </w:rPr>
        <w:t>позоришне</w:t>
      </w:r>
      <w:r w:rsidRPr="00FB5A28">
        <w:rPr>
          <w:rFonts w:ascii="Times New Roman" w:hAnsi="Times New Roman"/>
          <w:sz w:val="24"/>
          <w:szCs w:val="24"/>
        </w:rPr>
        <w:t xml:space="preserve"> </w:t>
      </w:r>
      <w:r w:rsidR="00922BDD" w:rsidRPr="00FB5A28">
        <w:rPr>
          <w:rFonts w:ascii="Times New Roman" w:hAnsi="Times New Roman"/>
          <w:sz w:val="24"/>
          <w:szCs w:val="24"/>
        </w:rPr>
        <w:t>представе</w:t>
      </w:r>
      <w:r w:rsidRPr="00FB5A28">
        <w:rPr>
          <w:rFonts w:ascii="Times New Roman" w:hAnsi="Times New Roman"/>
          <w:sz w:val="24"/>
          <w:szCs w:val="24"/>
        </w:rPr>
        <w:t xml:space="preserve">, </w:t>
      </w:r>
      <w:r w:rsidR="00922BDD" w:rsidRPr="00FB5A28">
        <w:rPr>
          <w:rFonts w:ascii="Times New Roman" w:hAnsi="Times New Roman"/>
          <w:sz w:val="24"/>
          <w:szCs w:val="24"/>
        </w:rPr>
        <w:t>сајмове</w:t>
      </w:r>
      <w:r w:rsidRPr="00FB5A28">
        <w:rPr>
          <w:rFonts w:ascii="Times New Roman" w:hAnsi="Times New Roman"/>
          <w:sz w:val="24"/>
          <w:szCs w:val="24"/>
        </w:rPr>
        <w:t xml:space="preserve">, </w:t>
      </w:r>
      <w:r w:rsidR="00922BDD" w:rsidRPr="00FB5A28">
        <w:rPr>
          <w:rFonts w:ascii="Times New Roman" w:hAnsi="Times New Roman"/>
          <w:sz w:val="24"/>
          <w:szCs w:val="24"/>
        </w:rPr>
        <w:t>циркусе</w:t>
      </w:r>
      <w:r w:rsidRPr="00FB5A28">
        <w:rPr>
          <w:rFonts w:ascii="Times New Roman" w:hAnsi="Times New Roman"/>
          <w:sz w:val="24"/>
          <w:szCs w:val="24"/>
        </w:rPr>
        <w:t xml:space="preserve">, </w:t>
      </w:r>
      <w:r w:rsidR="00922BDD" w:rsidRPr="00FB5A28">
        <w:rPr>
          <w:rFonts w:ascii="Times New Roman" w:hAnsi="Times New Roman"/>
          <w:sz w:val="24"/>
          <w:szCs w:val="24"/>
        </w:rPr>
        <w:t>забавне</w:t>
      </w:r>
      <w:r w:rsidRPr="00FB5A28">
        <w:rPr>
          <w:rFonts w:ascii="Times New Roman" w:hAnsi="Times New Roman"/>
          <w:sz w:val="24"/>
          <w:szCs w:val="24"/>
        </w:rPr>
        <w:t xml:space="preserve"> </w:t>
      </w:r>
      <w:r w:rsidR="00922BDD" w:rsidRPr="00FB5A28">
        <w:rPr>
          <w:rFonts w:ascii="Times New Roman" w:hAnsi="Times New Roman"/>
          <w:sz w:val="24"/>
          <w:szCs w:val="24"/>
        </w:rPr>
        <w:t>паркове</w:t>
      </w:r>
      <w:r w:rsidRPr="00FB5A28">
        <w:rPr>
          <w:rFonts w:ascii="Times New Roman" w:hAnsi="Times New Roman"/>
          <w:sz w:val="24"/>
          <w:szCs w:val="24"/>
        </w:rPr>
        <w:t xml:space="preserve">, </w:t>
      </w:r>
      <w:r w:rsidR="00922BDD" w:rsidRPr="00FB5A28">
        <w:rPr>
          <w:rFonts w:ascii="Times New Roman" w:hAnsi="Times New Roman"/>
          <w:sz w:val="24"/>
          <w:szCs w:val="24"/>
        </w:rPr>
        <w:t>концерте</w:t>
      </w:r>
      <w:r w:rsidRPr="00FB5A28">
        <w:rPr>
          <w:rFonts w:ascii="Times New Roman" w:hAnsi="Times New Roman"/>
          <w:sz w:val="24"/>
          <w:szCs w:val="24"/>
        </w:rPr>
        <w:t xml:space="preserve"> (</w:t>
      </w:r>
      <w:r w:rsidR="00922BDD" w:rsidRPr="00FB5A28">
        <w:rPr>
          <w:rFonts w:ascii="Times New Roman" w:hAnsi="Times New Roman"/>
          <w:sz w:val="24"/>
          <w:szCs w:val="24"/>
        </w:rPr>
        <w:t>музичке</w:t>
      </w:r>
      <w:r w:rsidRPr="00FB5A28">
        <w:rPr>
          <w:rFonts w:ascii="Times New Roman" w:hAnsi="Times New Roman"/>
          <w:sz w:val="24"/>
          <w:szCs w:val="24"/>
        </w:rPr>
        <w:t xml:space="preserve"> </w:t>
      </w:r>
      <w:r w:rsidR="00922BDD" w:rsidRPr="00FB5A28">
        <w:rPr>
          <w:rFonts w:ascii="Times New Roman" w:hAnsi="Times New Roman"/>
          <w:sz w:val="24"/>
          <w:szCs w:val="24"/>
        </w:rPr>
        <w:t>догађаје</w:t>
      </w:r>
      <w:r w:rsidRPr="00FB5A28">
        <w:rPr>
          <w:rFonts w:ascii="Times New Roman" w:hAnsi="Times New Roman"/>
          <w:sz w:val="24"/>
          <w:szCs w:val="24"/>
        </w:rPr>
        <w:t xml:space="preserve">), </w:t>
      </w:r>
      <w:r w:rsidR="00922BDD" w:rsidRPr="00FB5A28">
        <w:rPr>
          <w:rFonts w:ascii="Times New Roman" w:hAnsi="Times New Roman"/>
          <w:sz w:val="24"/>
          <w:szCs w:val="24"/>
        </w:rPr>
        <w:t>изложбе</w:t>
      </w:r>
      <w:r w:rsidRPr="00FB5A28">
        <w:rPr>
          <w:rFonts w:ascii="Times New Roman" w:hAnsi="Times New Roman"/>
          <w:sz w:val="24"/>
          <w:szCs w:val="24"/>
        </w:rPr>
        <w:t xml:space="preserve">, </w:t>
      </w:r>
      <w:r w:rsidR="00922BDD" w:rsidRPr="00FB5A28">
        <w:rPr>
          <w:rFonts w:ascii="Times New Roman" w:hAnsi="Times New Roman"/>
          <w:sz w:val="24"/>
          <w:szCs w:val="24"/>
        </w:rPr>
        <w:t>спортске</w:t>
      </w:r>
      <w:r w:rsidRPr="00FB5A28">
        <w:rPr>
          <w:rFonts w:ascii="Times New Roman" w:hAnsi="Times New Roman"/>
          <w:sz w:val="24"/>
          <w:szCs w:val="24"/>
        </w:rPr>
        <w:t xml:space="preserve"> </w:t>
      </w:r>
      <w:r w:rsidR="00922BDD" w:rsidRPr="00FB5A28">
        <w:rPr>
          <w:rFonts w:ascii="Times New Roman" w:hAnsi="Times New Roman"/>
          <w:sz w:val="24"/>
          <w:szCs w:val="24"/>
        </w:rPr>
        <w:t>догађаје</w:t>
      </w:r>
      <w:r w:rsidRPr="00FB5A28">
        <w:rPr>
          <w:rFonts w:ascii="Times New Roman" w:hAnsi="Times New Roman"/>
          <w:sz w:val="24"/>
          <w:szCs w:val="24"/>
        </w:rPr>
        <w:t xml:space="preserve">, </w:t>
      </w:r>
      <w:r w:rsidR="00922BDD" w:rsidRPr="00FB5A28">
        <w:rPr>
          <w:rFonts w:ascii="Times New Roman" w:hAnsi="Times New Roman"/>
          <w:sz w:val="24"/>
          <w:szCs w:val="24"/>
        </w:rPr>
        <w:t>музеје</w:t>
      </w:r>
      <w:r w:rsidRPr="00FB5A28">
        <w:rPr>
          <w:rFonts w:ascii="Times New Roman" w:hAnsi="Times New Roman"/>
          <w:sz w:val="24"/>
          <w:szCs w:val="24"/>
        </w:rPr>
        <w:t xml:space="preserve"> </w:t>
      </w:r>
      <w:r w:rsidR="00922BDD" w:rsidRPr="00FB5A28">
        <w:rPr>
          <w:rFonts w:ascii="Times New Roman" w:hAnsi="Times New Roman"/>
          <w:sz w:val="24"/>
          <w:szCs w:val="24"/>
        </w:rPr>
        <w:t>и</w:t>
      </w:r>
      <w:r w:rsidRPr="00FB5A28">
        <w:rPr>
          <w:rFonts w:ascii="Times New Roman" w:hAnsi="Times New Roman"/>
          <w:sz w:val="24"/>
          <w:szCs w:val="24"/>
        </w:rPr>
        <w:t xml:space="preserve"> </w:t>
      </w:r>
      <w:r w:rsidR="00922BDD" w:rsidRPr="00FB5A28">
        <w:rPr>
          <w:rFonts w:ascii="Times New Roman" w:hAnsi="Times New Roman"/>
          <w:sz w:val="24"/>
          <w:szCs w:val="24"/>
        </w:rPr>
        <w:t>галерије</w:t>
      </w:r>
      <w:r w:rsidRPr="00FB5A28">
        <w:rPr>
          <w:rFonts w:ascii="Times New Roman" w:hAnsi="Times New Roman"/>
          <w:sz w:val="24"/>
          <w:szCs w:val="24"/>
        </w:rPr>
        <w:t xml:space="preserve">, </w:t>
      </w:r>
      <w:r w:rsidR="00922BDD" w:rsidRPr="00FB5A28">
        <w:rPr>
          <w:rFonts w:ascii="Times New Roman" w:hAnsi="Times New Roman"/>
          <w:sz w:val="24"/>
          <w:szCs w:val="24"/>
        </w:rPr>
        <w:t>ботаничке</w:t>
      </w:r>
      <w:r w:rsidRPr="00FB5A28">
        <w:rPr>
          <w:rFonts w:ascii="Times New Roman" w:hAnsi="Times New Roman"/>
          <w:sz w:val="24"/>
          <w:szCs w:val="24"/>
        </w:rPr>
        <w:t xml:space="preserve"> </w:t>
      </w:r>
      <w:r w:rsidR="00922BDD" w:rsidRPr="00FB5A28">
        <w:rPr>
          <w:rFonts w:ascii="Times New Roman" w:hAnsi="Times New Roman"/>
          <w:sz w:val="24"/>
          <w:szCs w:val="24"/>
        </w:rPr>
        <w:t>баште</w:t>
      </w:r>
      <w:r w:rsidRPr="00FB5A28">
        <w:rPr>
          <w:rFonts w:ascii="Times New Roman" w:hAnsi="Times New Roman"/>
          <w:sz w:val="24"/>
          <w:szCs w:val="24"/>
        </w:rPr>
        <w:t xml:space="preserve"> </w:t>
      </w:r>
      <w:r w:rsidR="00922BDD" w:rsidRPr="00FB5A28">
        <w:rPr>
          <w:rFonts w:ascii="Times New Roman" w:hAnsi="Times New Roman"/>
          <w:sz w:val="24"/>
          <w:szCs w:val="24"/>
        </w:rPr>
        <w:t>и</w:t>
      </w:r>
      <w:r w:rsidRPr="00FB5A28">
        <w:rPr>
          <w:rFonts w:ascii="Times New Roman" w:hAnsi="Times New Roman"/>
          <w:sz w:val="24"/>
          <w:szCs w:val="24"/>
        </w:rPr>
        <w:t xml:space="preserve"> </w:t>
      </w:r>
      <w:r w:rsidR="00922BDD" w:rsidRPr="00FB5A28">
        <w:rPr>
          <w:rFonts w:ascii="Times New Roman" w:hAnsi="Times New Roman"/>
          <w:sz w:val="24"/>
          <w:szCs w:val="24"/>
        </w:rPr>
        <w:t>зоолошке</w:t>
      </w:r>
      <w:r w:rsidRPr="00FB5A28">
        <w:rPr>
          <w:rFonts w:ascii="Times New Roman" w:hAnsi="Times New Roman"/>
          <w:sz w:val="24"/>
          <w:szCs w:val="24"/>
        </w:rPr>
        <w:t xml:space="preserve"> </w:t>
      </w:r>
      <w:r w:rsidR="00922BDD" w:rsidRPr="00FB5A28">
        <w:rPr>
          <w:rFonts w:ascii="Times New Roman" w:hAnsi="Times New Roman"/>
          <w:sz w:val="24"/>
          <w:szCs w:val="24"/>
        </w:rPr>
        <w:t>вртове</w:t>
      </w:r>
      <w:r w:rsidRPr="00FB5A28">
        <w:rPr>
          <w:rFonts w:ascii="Times New Roman" w:hAnsi="Times New Roman"/>
          <w:sz w:val="24"/>
          <w:szCs w:val="24"/>
        </w:rPr>
        <w:t xml:space="preserve">, </w:t>
      </w:r>
      <w:r w:rsidR="00922BDD" w:rsidRPr="00FB5A28">
        <w:rPr>
          <w:rFonts w:ascii="Times New Roman" w:hAnsi="Times New Roman"/>
          <w:sz w:val="24"/>
          <w:szCs w:val="24"/>
        </w:rPr>
        <w:t>ако</w:t>
      </w:r>
      <w:r w:rsidRPr="00FB5A28">
        <w:rPr>
          <w:rFonts w:ascii="Times New Roman" w:hAnsi="Times New Roman"/>
          <w:sz w:val="24"/>
          <w:szCs w:val="24"/>
        </w:rPr>
        <w:t xml:space="preserve"> </w:t>
      </w:r>
      <w:r w:rsidR="00922BDD" w:rsidRPr="00FB5A28">
        <w:rPr>
          <w:rFonts w:ascii="Times New Roman" w:hAnsi="Times New Roman"/>
          <w:sz w:val="24"/>
          <w:szCs w:val="24"/>
        </w:rPr>
        <w:t>промет</w:t>
      </w:r>
      <w:r w:rsidRPr="00FB5A28">
        <w:rPr>
          <w:rFonts w:ascii="Times New Roman" w:hAnsi="Times New Roman"/>
          <w:sz w:val="24"/>
          <w:szCs w:val="24"/>
        </w:rPr>
        <w:t xml:space="preserve"> </w:t>
      </w:r>
      <w:r w:rsidR="00922BDD" w:rsidRPr="00FB5A28">
        <w:rPr>
          <w:rFonts w:ascii="Times New Roman" w:hAnsi="Times New Roman"/>
          <w:sz w:val="24"/>
          <w:szCs w:val="24"/>
        </w:rPr>
        <w:t>ових</w:t>
      </w:r>
      <w:r w:rsidRPr="00FB5A28">
        <w:rPr>
          <w:rFonts w:ascii="Times New Roman" w:hAnsi="Times New Roman"/>
          <w:sz w:val="24"/>
          <w:szCs w:val="24"/>
        </w:rPr>
        <w:t xml:space="preserve"> </w:t>
      </w:r>
      <w:r w:rsidR="00922BDD" w:rsidRPr="00FB5A28">
        <w:rPr>
          <w:rFonts w:ascii="Times New Roman" w:hAnsi="Times New Roman"/>
          <w:sz w:val="24"/>
          <w:szCs w:val="24"/>
        </w:rPr>
        <w:t>услуга</w:t>
      </w:r>
      <w:r w:rsidRPr="00FB5A28">
        <w:rPr>
          <w:rFonts w:ascii="Times New Roman" w:hAnsi="Times New Roman"/>
          <w:sz w:val="24"/>
          <w:szCs w:val="24"/>
        </w:rPr>
        <w:t xml:space="preserve"> </w:t>
      </w:r>
      <w:r w:rsidR="00922BDD" w:rsidRPr="00FB5A28">
        <w:rPr>
          <w:rFonts w:ascii="Times New Roman" w:hAnsi="Times New Roman"/>
          <w:sz w:val="24"/>
          <w:szCs w:val="24"/>
        </w:rPr>
        <w:t>није</w:t>
      </w:r>
      <w:r w:rsidRPr="00FB5A28">
        <w:rPr>
          <w:rFonts w:ascii="Times New Roman" w:hAnsi="Times New Roman"/>
          <w:sz w:val="24"/>
          <w:szCs w:val="24"/>
        </w:rPr>
        <w:t xml:space="preserve"> </w:t>
      </w:r>
      <w:r w:rsidR="00922BDD" w:rsidRPr="00FB5A28">
        <w:rPr>
          <w:rFonts w:ascii="Times New Roman" w:hAnsi="Times New Roman"/>
          <w:sz w:val="24"/>
          <w:szCs w:val="24"/>
        </w:rPr>
        <w:t>ослобођен</w:t>
      </w:r>
      <w:r w:rsidRPr="00FB5A28">
        <w:rPr>
          <w:rFonts w:ascii="Times New Roman" w:hAnsi="Times New Roman"/>
          <w:sz w:val="24"/>
          <w:szCs w:val="24"/>
        </w:rPr>
        <w:t xml:space="preserve"> </w:t>
      </w:r>
      <w:r w:rsidR="00922BDD" w:rsidRPr="00FB5A28">
        <w:rPr>
          <w:rFonts w:ascii="Times New Roman" w:hAnsi="Times New Roman"/>
          <w:sz w:val="24"/>
          <w:szCs w:val="24"/>
        </w:rPr>
        <w:t>ПДВ</w:t>
      </w:r>
      <w:r w:rsidRPr="00FB5A28">
        <w:rPr>
          <w:rFonts w:ascii="Times New Roman" w:hAnsi="Times New Roman"/>
          <w:sz w:val="24"/>
          <w:szCs w:val="24"/>
        </w:rPr>
        <w:t>;</w:t>
      </w:r>
    </w:p>
    <w:p w:rsidR="00AA7EB9" w:rsidRPr="00FB5A28" w:rsidRDefault="00F536E7" w:rsidP="00FB5A28">
      <w:pPr>
        <w:jc w:val="both"/>
        <w:rPr>
          <w:rFonts w:ascii="Times New Roman" w:hAnsi="Times New Roman"/>
          <w:sz w:val="24"/>
          <w:szCs w:val="24"/>
          <w:lang w:val="sr-Cyrl-CS"/>
        </w:rPr>
      </w:pPr>
      <w:r w:rsidRPr="00FB5A28">
        <w:rPr>
          <w:rFonts w:ascii="Times New Roman" w:hAnsi="Times New Roman"/>
          <w:sz w:val="24"/>
          <w:szCs w:val="24"/>
        </w:rPr>
        <w:t xml:space="preserve">13) </w:t>
      </w:r>
      <w:r w:rsidR="00922BDD" w:rsidRPr="00FB5A28">
        <w:rPr>
          <w:rFonts w:ascii="Times New Roman" w:hAnsi="Times New Roman"/>
          <w:sz w:val="24"/>
          <w:szCs w:val="24"/>
        </w:rPr>
        <w:t>природног</w:t>
      </w:r>
      <w:r w:rsidRPr="00FB5A28">
        <w:rPr>
          <w:rFonts w:ascii="Times New Roman" w:hAnsi="Times New Roman"/>
          <w:sz w:val="24"/>
          <w:szCs w:val="24"/>
        </w:rPr>
        <w:t xml:space="preserve"> </w:t>
      </w:r>
      <w:r w:rsidR="00922BDD" w:rsidRPr="00FB5A28">
        <w:rPr>
          <w:rFonts w:ascii="Times New Roman" w:hAnsi="Times New Roman"/>
          <w:sz w:val="24"/>
          <w:szCs w:val="24"/>
        </w:rPr>
        <w:t>гаса</w:t>
      </w:r>
      <w:r w:rsidRPr="00FB5A28">
        <w:rPr>
          <w:rFonts w:ascii="Times New Roman" w:hAnsi="Times New Roman"/>
          <w:sz w:val="24"/>
          <w:szCs w:val="24"/>
        </w:rPr>
        <w:t>;</w:t>
      </w:r>
    </w:p>
    <w:p w:rsidR="00F536E7" w:rsidRPr="00FB5A28" w:rsidRDefault="00F536E7" w:rsidP="00FB5A28">
      <w:pPr>
        <w:jc w:val="both"/>
        <w:rPr>
          <w:rFonts w:ascii="Times New Roman" w:hAnsi="Times New Roman"/>
          <w:sz w:val="24"/>
          <w:szCs w:val="24"/>
        </w:rPr>
      </w:pPr>
      <w:r w:rsidRPr="00FB5A28">
        <w:rPr>
          <w:rFonts w:ascii="Times New Roman" w:hAnsi="Times New Roman"/>
          <w:sz w:val="24"/>
          <w:szCs w:val="24"/>
        </w:rPr>
        <w:t>13</w:t>
      </w:r>
      <w:r w:rsidR="00922BDD" w:rsidRPr="00FB5A28">
        <w:rPr>
          <w:rFonts w:ascii="Times New Roman" w:hAnsi="Times New Roman"/>
          <w:sz w:val="24"/>
          <w:szCs w:val="24"/>
        </w:rPr>
        <w:t>а</w:t>
      </w:r>
      <w:r w:rsidRPr="00FB5A28">
        <w:rPr>
          <w:rFonts w:ascii="Times New Roman" w:hAnsi="Times New Roman"/>
          <w:sz w:val="24"/>
          <w:szCs w:val="24"/>
        </w:rPr>
        <w:t xml:space="preserve">) </w:t>
      </w:r>
      <w:r w:rsidR="00922BDD" w:rsidRPr="00FB5A28">
        <w:rPr>
          <w:rFonts w:ascii="Times New Roman" w:hAnsi="Times New Roman"/>
          <w:sz w:val="24"/>
          <w:szCs w:val="24"/>
        </w:rPr>
        <w:t>топлотне</w:t>
      </w:r>
      <w:r w:rsidRPr="00FB5A28">
        <w:rPr>
          <w:rFonts w:ascii="Times New Roman" w:hAnsi="Times New Roman"/>
          <w:sz w:val="24"/>
          <w:szCs w:val="24"/>
        </w:rPr>
        <w:t xml:space="preserve"> </w:t>
      </w:r>
      <w:r w:rsidR="00922BDD" w:rsidRPr="00FB5A28">
        <w:rPr>
          <w:rFonts w:ascii="Times New Roman" w:hAnsi="Times New Roman"/>
          <w:sz w:val="24"/>
          <w:szCs w:val="24"/>
        </w:rPr>
        <w:t>енергије</w:t>
      </w:r>
      <w:r w:rsidRPr="00FB5A28">
        <w:rPr>
          <w:rFonts w:ascii="Times New Roman" w:hAnsi="Times New Roman"/>
          <w:sz w:val="24"/>
          <w:szCs w:val="24"/>
        </w:rPr>
        <w:t xml:space="preserve"> </w:t>
      </w:r>
      <w:r w:rsidR="00922BDD" w:rsidRPr="00FB5A28">
        <w:rPr>
          <w:rFonts w:ascii="Times New Roman" w:hAnsi="Times New Roman"/>
          <w:sz w:val="24"/>
          <w:szCs w:val="24"/>
        </w:rPr>
        <w:t>за</w:t>
      </w:r>
      <w:r w:rsidRPr="00FB5A28">
        <w:rPr>
          <w:rFonts w:ascii="Times New Roman" w:hAnsi="Times New Roman"/>
          <w:sz w:val="24"/>
          <w:szCs w:val="24"/>
        </w:rPr>
        <w:t xml:space="preserve"> </w:t>
      </w:r>
      <w:r w:rsidR="00922BDD" w:rsidRPr="00FB5A28">
        <w:rPr>
          <w:rFonts w:ascii="Times New Roman" w:hAnsi="Times New Roman"/>
          <w:sz w:val="24"/>
          <w:szCs w:val="24"/>
        </w:rPr>
        <w:t>потребе</w:t>
      </w:r>
      <w:r w:rsidRPr="00FB5A28">
        <w:rPr>
          <w:rFonts w:ascii="Times New Roman" w:hAnsi="Times New Roman"/>
          <w:sz w:val="24"/>
          <w:szCs w:val="24"/>
        </w:rPr>
        <w:t xml:space="preserve"> </w:t>
      </w:r>
      <w:r w:rsidR="00922BDD" w:rsidRPr="00FB5A28">
        <w:rPr>
          <w:rFonts w:ascii="Times New Roman" w:hAnsi="Times New Roman"/>
          <w:sz w:val="24"/>
          <w:szCs w:val="24"/>
        </w:rPr>
        <w:t>грејања</w:t>
      </w:r>
      <w:r w:rsidRPr="00FB5A28">
        <w:rPr>
          <w:rFonts w:ascii="Times New Roman" w:hAnsi="Times New Roman"/>
          <w:sz w:val="24"/>
          <w:szCs w:val="24"/>
        </w:rPr>
        <w:t>;</w:t>
      </w:r>
    </w:p>
    <w:p w:rsidR="00F536E7" w:rsidRPr="00FB5A28" w:rsidRDefault="00F536E7" w:rsidP="00FB5A28">
      <w:pPr>
        <w:jc w:val="both"/>
        <w:rPr>
          <w:rFonts w:ascii="Times New Roman" w:hAnsi="Times New Roman"/>
          <w:sz w:val="24"/>
          <w:szCs w:val="24"/>
        </w:rPr>
      </w:pPr>
      <w:r w:rsidRPr="00FB5A28">
        <w:rPr>
          <w:rFonts w:ascii="Times New Roman" w:hAnsi="Times New Roman"/>
          <w:sz w:val="24"/>
          <w:szCs w:val="24"/>
        </w:rPr>
        <w:t xml:space="preserve">14) </w:t>
      </w:r>
      <w:r w:rsidR="00922BDD" w:rsidRPr="00FB5A28">
        <w:rPr>
          <w:rFonts w:ascii="Times New Roman" w:hAnsi="Times New Roman"/>
          <w:sz w:val="24"/>
          <w:szCs w:val="24"/>
        </w:rPr>
        <w:t>пренос</w:t>
      </w:r>
      <w:r w:rsidRPr="00FB5A28">
        <w:rPr>
          <w:rFonts w:ascii="Times New Roman" w:hAnsi="Times New Roman"/>
          <w:sz w:val="24"/>
          <w:szCs w:val="24"/>
        </w:rPr>
        <w:t xml:space="preserve"> </w:t>
      </w:r>
      <w:r w:rsidR="00922BDD" w:rsidRPr="00FB5A28">
        <w:rPr>
          <w:rFonts w:ascii="Times New Roman" w:hAnsi="Times New Roman"/>
          <w:sz w:val="24"/>
          <w:szCs w:val="24"/>
        </w:rPr>
        <w:t>права</w:t>
      </w:r>
      <w:r w:rsidRPr="00FB5A28">
        <w:rPr>
          <w:rFonts w:ascii="Times New Roman" w:hAnsi="Times New Roman"/>
          <w:sz w:val="24"/>
          <w:szCs w:val="24"/>
        </w:rPr>
        <w:t xml:space="preserve"> </w:t>
      </w:r>
      <w:r w:rsidR="00922BDD" w:rsidRPr="00FB5A28">
        <w:rPr>
          <w:rFonts w:ascii="Times New Roman" w:hAnsi="Times New Roman"/>
          <w:sz w:val="24"/>
          <w:szCs w:val="24"/>
        </w:rPr>
        <w:t>располагања</w:t>
      </w:r>
      <w:r w:rsidRPr="00FB5A28">
        <w:rPr>
          <w:rFonts w:ascii="Times New Roman" w:hAnsi="Times New Roman"/>
          <w:sz w:val="24"/>
          <w:szCs w:val="24"/>
        </w:rPr>
        <w:t xml:space="preserve"> </w:t>
      </w:r>
      <w:r w:rsidR="00922BDD" w:rsidRPr="00FB5A28">
        <w:rPr>
          <w:rFonts w:ascii="Times New Roman" w:hAnsi="Times New Roman"/>
          <w:sz w:val="24"/>
          <w:szCs w:val="24"/>
        </w:rPr>
        <w:t>на</w:t>
      </w:r>
      <w:r w:rsidRPr="00FB5A28">
        <w:rPr>
          <w:rFonts w:ascii="Times New Roman" w:hAnsi="Times New Roman"/>
          <w:sz w:val="24"/>
          <w:szCs w:val="24"/>
        </w:rPr>
        <w:t xml:space="preserve"> </w:t>
      </w:r>
      <w:r w:rsidR="00922BDD" w:rsidRPr="00FB5A28">
        <w:rPr>
          <w:rFonts w:ascii="Times New Roman" w:hAnsi="Times New Roman"/>
          <w:sz w:val="24"/>
          <w:szCs w:val="24"/>
        </w:rPr>
        <w:t>стамбеним</w:t>
      </w:r>
      <w:r w:rsidRPr="00FB5A28">
        <w:rPr>
          <w:rFonts w:ascii="Times New Roman" w:hAnsi="Times New Roman"/>
          <w:sz w:val="24"/>
          <w:szCs w:val="24"/>
        </w:rPr>
        <w:t xml:space="preserve"> </w:t>
      </w:r>
      <w:r w:rsidR="00922BDD" w:rsidRPr="00FB5A28">
        <w:rPr>
          <w:rFonts w:ascii="Times New Roman" w:hAnsi="Times New Roman"/>
          <w:sz w:val="24"/>
          <w:szCs w:val="24"/>
        </w:rPr>
        <w:t>објектима</w:t>
      </w:r>
      <w:r w:rsidRPr="00FB5A28">
        <w:rPr>
          <w:rFonts w:ascii="Times New Roman" w:hAnsi="Times New Roman"/>
          <w:sz w:val="24"/>
          <w:szCs w:val="24"/>
        </w:rPr>
        <w:t xml:space="preserve">, </w:t>
      </w:r>
      <w:r w:rsidR="00922BDD" w:rsidRPr="00FB5A28">
        <w:rPr>
          <w:rFonts w:ascii="Times New Roman" w:hAnsi="Times New Roman"/>
          <w:sz w:val="24"/>
          <w:szCs w:val="24"/>
        </w:rPr>
        <w:t>економски</w:t>
      </w:r>
      <w:r w:rsidRPr="00FB5A28">
        <w:rPr>
          <w:rFonts w:ascii="Times New Roman" w:hAnsi="Times New Roman"/>
          <w:sz w:val="24"/>
          <w:szCs w:val="24"/>
        </w:rPr>
        <w:t xml:space="preserve"> </w:t>
      </w:r>
      <w:r w:rsidR="00922BDD" w:rsidRPr="00FB5A28">
        <w:rPr>
          <w:rFonts w:ascii="Times New Roman" w:hAnsi="Times New Roman"/>
          <w:sz w:val="24"/>
          <w:szCs w:val="24"/>
        </w:rPr>
        <w:t>дељивим</w:t>
      </w:r>
      <w:r w:rsidRPr="00FB5A28">
        <w:rPr>
          <w:rFonts w:ascii="Times New Roman" w:hAnsi="Times New Roman"/>
          <w:sz w:val="24"/>
          <w:szCs w:val="24"/>
        </w:rPr>
        <w:t xml:space="preserve"> </w:t>
      </w:r>
      <w:r w:rsidR="00922BDD" w:rsidRPr="00FB5A28">
        <w:rPr>
          <w:rFonts w:ascii="Times New Roman" w:hAnsi="Times New Roman"/>
          <w:sz w:val="24"/>
          <w:szCs w:val="24"/>
        </w:rPr>
        <w:t>целинама</w:t>
      </w:r>
      <w:r w:rsidRPr="00FB5A28">
        <w:rPr>
          <w:rFonts w:ascii="Times New Roman" w:hAnsi="Times New Roman"/>
          <w:sz w:val="24"/>
          <w:szCs w:val="24"/>
        </w:rPr>
        <w:t xml:space="preserve"> </w:t>
      </w:r>
      <w:r w:rsidR="00922BDD" w:rsidRPr="00FB5A28">
        <w:rPr>
          <w:rFonts w:ascii="Times New Roman" w:hAnsi="Times New Roman"/>
          <w:sz w:val="24"/>
          <w:szCs w:val="24"/>
        </w:rPr>
        <w:t>у</w:t>
      </w:r>
      <w:r w:rsidRPr="00FB5A28">
        <w:rPr>
          <w:rFonts w:ascii="Times New Roman" w:hAnsi="Times New Roman"/>
          <w:sz w:val="24"/>
          <w:szCs w:val="24"/>
        </w:rPr>
        <w:t xml:space="preserve"> </w:t>
      </w:r>
      <w:r w:rsidR="00922BDD" w:rsidRPr="00FB5A28">
        <w:rPr>
          <w:rFonts w:ascii="Times New Roman" w:hAnsi="Times New Roman"/>
          <w:sz w:val="24"/>
          <w:szCs w:val="24"/>
        </w:rPr>
        <w:t>оквиру</w:t>
      </w:r>
      <w:r w:rsidRPr="00FB5A28">
        <w:rPr>
          <w:rFonts w:ascii="Times New Roman" w:hAnsi="Times New Roman"/>
          <w:sz w:val="24"/>
          <w:szCs w:val="24"/>
        </w:rPr>
        <w:t xml:space="preserve"> </w:t>
      </w:r>
      <w:r w:rsidR="00922BDD" w:rsidRPr="00FB5A28">
        <w:rPr>
          <w:rFonts w:ascii="Times New Roman" w:hAnsi="Times New Roman"/>
          <w:sz w:val="24"/>
          <w:szCs w:val="24"/>
        </w:rPr>
        <w:t>тих</w:t>
      </w:r>
      <w:r w:rsidRPr="00FB5A28">
        <w:rPr>
          <w:rFonts w:ascii="Times New Roman" w:hAnsi="Times New Roman"/>
          <w:sz w:val="24"/>
          <w:szCs w:val="24"/>
        </w:rPr>
        <w:t xml:space="preserve"> </w:t>
      </w:r>
      <w:r w:rsidR="00922BDD" w:rsidRPr="00FB5A28">
        <w:rPr>
          <w:rFonts w:ascii="Times New Roman" w:hAnsi="Times New Roman"/>
          <w:sz w:val="24"/>
          <w:szCs w:val="24"/>
        </w:rPr>
        <w:t>објеката</w:t>
      </w:r>
      <w:r w:rsidRPr="00FB5A28">
        <w:rPr>
          <w:rFonts w:ascii="Times New Roman" w:hAnsi="Times New Roman"/>
          <w:sz w:val="24"/>
          <w:szCs w:val="24"/>
        </w:rPr>
        <w:t xml:space="preserve">, </w:t>
      </w:r>
      <w:r w:rsidR="00922BDD" w:rsidRPr="00FB5A28">
        <w:rPr>
          <w:rFonts w:ascii="Times New Roman" w:hAnsi="Times New Roman"/>
          <w:sz w:val="24"/>
          <w:szCs w:val="24"/>
        </w:rPr>
        <w:t>као</w:t>
      </w:r>
      <w:r w:rsidRPr="00FB5A28">
        <w:rPr>
          <w:rFonts w:ascii="Times New Roman" w:hAnsi="Times New Roman"/>
          <w:sz w:val="24"/>
          <w:szCs w:val="24"/>
        </w:rPr>
        <w:t xml:space="preserve"> </w:t>
      </w:r>
      <w:r w:rsidR="00922BDD" w:rsidRPr="00FB5A28">
        <w:rPr>
          <w:rFonts w:ascii="Times New Roman" w:hAnsi="Times New Roman"/>
          <w:sz w:val="24"/>
          <w:szCs w:val="24"/>
        </w:rPr>
        <w:t>и</w:t>
      </w:r>
      <w:r w:rsidRPr="00FB5A28">
        <w:rPr>
          <w:rFonts w:ascii="Times New Roman" w:hAnsi="Times New Roman"/>
          <w:sz w:val="24"/>
          <w:szCs w:val="24"/>
        </w:rPr>
        <w:t xml:space="preserve"> </w:t>
      </w:r>
      <w:r w:rsidR="00922BDD" w:rsidRPr="00FB5A28">
        <w:rPr>
          <w:rFonts w:ascii="Times New Roman" w:hAnsi="Times New Roman"/>
          <w:sz w:val="24"/>
          <w:szCs w:val="24"/>
        </w:rPr>
        <w:t>власничким</w:t>
      </w:r>
      <w:r w:rsidRPr="00FB5A28">
        <w:rPr>
          <w:rFonts w:ascii="Times New Roman" w:hAnsi="Times New Roman"/>
          <w:sz w:val="24"/>
          <w:szCs w:val="24"/>
        </w:rPr>
        <w:t xml:space="preserve"> </w:t>
      </w:r>
      <w:r w:rsidR="00922BDD" w:rsidRPr="00FB5A28">
        <w:rPr>
          <w:rFonts w:ascii="Times New Roman" w:hAnsi="Times New Roman"/>
          <w:sz w:val="24"/>
          <w:szCs w:val="24"/>
        </w:rPr>
        <w:t>уделима</w:t>
      </w:r>
      <w:r w:rsidRPr="00FB5A28">
        <w:rPr>
          <w:rFonts w:ascii="Times New Roman" w:hAnsi="Times New Roman"/>
          <w:sz w:val="24"/>
          <w:szCs w:val="24"/>
        </w:rPr>
        <w:t xml:space="preserve"> </w:t>
      </w:r>
      <w:r w:rsidR="00922BDD" w:rsidRPr="00FB5A28">
        <w:rPr>
          <w:rFonts w:ascii="Times New Roman" w:hAnsi="Times New Roman"/>
          <w:sz w:val="24"/>
          <w:szCs w:val="24"/>
        </w:rPr>
        <w:t>на</w:t>
      </w:r>
      <w:r w:rsidRPr="00FB5A28">
        <w:rPr>
          <w:rFonts w:ascii="Times New Roman" w:hAnsi="Times New Roman"/>
          <w:sz w:val="24"/>
          <w:szCs w:val="24"/>
        </w:rPr>
        <w:t xml:space="preserve"> </w:t>
      </w:r>
      <w:r w:rsidR="00922BDD" w:rsidRPr="00FB5A28">
        <w:rPr>
          <w:rFonts w:ascii="Times New Roman" w:hAnsi="Times New Roman"/>
          <w:sz w:val="24"/>
          <w:szCs w:val="24"/>
        </w:rPr>
        <w:t>тим</w:t>
      </w:r>
      <w:r w:rsidRPr="00FB5A28">
        <w:rPr>
          <w:rFonts w:ascii="Times New Roman" w:hAnsi="Times New Roman"/>
          <w:sz w:val="24"/>
          <w:szCs w:val="24"/>
        </w:rPr>
        <w:t xml:space="preserve"> </w:t>
      </w:r>
      <w:r w:rsidR="00922BDD" w:rsidRPr="00FB5A28">
        <w:rPr>
          <w:rFonts w:ascii="Times New Roman" w:hAnsi="Times New Roman"/>
          <w:sz w:val="24"/>
          <w:szCs w:val="24"/>
        </w:rPr>
        <w:t>добрима</w:t>
      </w:r>
      <w:r w:rsidRPr="00FB5A28">
        <w:rPr>
          <w:rFonts w:ascii="Times New Roman" w:hAnsi="Times New Roman"/>
          <w:sz w:val="24"/>
          <w:szCs w:val="24"/>
        </w:rPr>
        <w:t>;</w:t>
      </w:r>
    </w:p>
    <w:p w:rsidR="00F536E7" w:rsidRPr="00FB5A28" w:rsidRDefault="00F536E7" w:rsidP="00FB5A28">
      <w:pPr>
        <w:jc w:val="both"/>
        <w:rPr>
          <w:rFonts w:ascii="Times New Roman" w:hAnsi="Times New Roman"/>
          <w:sz w:val="24"/>
          <w:szCs w:val="24"/>
        </w:rPr>
      </w:pPr>
      <w:r w:rsidRPr="00FB5A28">
        <w:rPr>
          <w:rFonts w:ascii="Times New Roman" w:hAnsi="Times New Roman"/>
          <w:sz w:val="24"/>
          <w:szCs w:val="24"/>
        </w:rPr>
        <w:t xml:space="preserve">15) </w:t>
      </w:r>
      <w:r w:rsidR="00922BDD" w:rsidRPr="00FB5A28">
        <w:rPr>
          <w:rFonts w:ascii="Times New Roman" w:hAnsi="Times New Roman"/>
          <w:sz w:val="24"/>
          <w:szCs w:val="24"/>
        </w:rPr>
        <w:t>услуге</w:t>
      </w:r>
      <w:r w:rsidRPr="00FB5A28">
        <w:rPr>
          <w:rFonts w:ascii="Times New Roman" w:hAnsi="Times New Roman"/>
          <w:sz w:val="24"/>
          <w:szCs w:val="24"/>
        </w:rPr>
        <w:t xml:space="preserve"> </w:t>
      </w:r>
      <w:r w:rsidR="00922BDD" w:rsidRPr="00FB5A28">
        <w:rPr>
          <w:rFonts w:ascii="Times New Roman" w:hAnsi="Times New Roman"/>
          <w:sz w:val="24"/>
          <w:szCs w:val="24"/>
        </w:rPr>
        <w:t>које</w:t>
      </w:r>
      <w:r w:rsidRPr="00FB5A28">
        <w:rPr>
          <w:rFonts w:ascii="Times New Roman" w:hAnsi="Times New Roman"/>
          <w:sz w:val="24"/>
          <w:szCs w:val="24"/>
        </w:rPr>
        <w:t xml:space="preserve"> </w:t>
      </w:r>
      <w:r w:rsidR="00922BDD" w:rsidRPr="00FB5A28">
        <w:rPr>
          <w:rFonts w:ascii="Times New Roman" w:hAnsi="Times New Roman"/>
          <w:sz w:val="24"/>
          <w:szCs w:val="24"/>
        </w:rPr>
        <w:t>претходе</w:t>
      </w:r>
      <w:r w:rsidRPr="00FB5A28">
        <w:rPr>
          <w:rFonts w:ascii="Times New Roman" w:hAnsi="Times New Roman"/>
          <w:sz w:val="24"/>
          <w:szCs w:val="24"/>
        </w:rPr>
        <w:t xml:space="preserve"> </w:t>
      </w:r>
      <w:r w:rsidR="00922BDD" w:rsidRPr="00FB5A28">
        <w:rPr>
          <w:rFonts w:ascii="Times New Roman" w:hAnsi="Times New Roman"/>
          <w:sz w:val="24"/>
          <w:szCs w:val="24"/>
        </w:rPr>
        <w:t>испоруци</w:t>
      </w:r>
      <w:r w:rsidRPr="00FB5A28">
        <w:rPr>
          <w:rFonts w:ascii="Times New Roman" w:hAnsi="Times New Roman"/>
          <w:sz w:val="24"/>
          <w:szCs w:val="24"/>
        </w:rPr>
        <w:t xml:space="preserve"> </w:t>
      </w:r>
      <w:r w:rsidR="00922BDD" w:rsidRPr="00FB5A28">
        <w:rPr>
          <w:rFonts w:ascii="Times New Roman" w:hAnsi="Times New Roman"/>
          <w:sz w:val="24"/>
          <w:szCs w:val="24"/>
        </w:rPr>
        <w:t>воде</w:t>
      </w:r>
      <w:r w:rsidRPr="00FB5A28">
        <w:rPr>
          <w:rFonts w:ascii="Times New Roman" w:hAnsi="Times New Roman"/>
          <w:sz w:val="24"/>
          <w:szCs w:val="24"/>
        </w:rPr>
        <w:t xml:space="preserve"> </w:t>
      </w:r>
      <w:r w:rsidR="00922BDD" w:rsidRPr="00FB5A28">
        <w:rPr>
          <w:rFonts w:ascii="Times New Roman" w:hAnsi="Times New Roman"/>
          <w:sz w:val="24"/>
          <w:szCs w:val="24"/>
        </w:rPr>
        <w:t>за</w:t>
      </w:r>
      <w:r w:rsidRPr="00FB5A28">
        <w:rPr>
          <w:rFonts w:ascii="Times New Roman" w:hAnsi="Times New Roman"/>
          <w:sz w:val="24"/>
          <w:szCs w:val="24"/>
        </w:rPr>
        <w:t xml:space="preserve"> </w:t>
      </w:r>
      <w:r w:rsidR="00922BDD" w:rsidRPr="00FB5A28">
        <w:rPr>
          <w:rFonts w:ascii="Times New Roman" w:hAnsi="Times New Roman"/>
          <w:sz w:val="24"/>
          <w:szCs w:val="24"/>
        </w:rPr>
        <w:t>пиће</w:t>
      </w:r>
      <w:r w:rsidRPr="00FB5A28">
        <w:rPr>
          <w:rFonts w:ascii="Times New Roman" w:hAnsi="Times New Roman"/>
          <w:sz w:val="24"/>
          <w:szCs w:val="24"/>
        </w:rPr>
        <w:t xml:space="preserve"> </w:t>
      </w:r>
      <w:r w:rsidR="00922BDD" w:rsidRPr="00FB5A28">
        <w:rPr>
          <w:rFonts w:ascii="Times New Roman" w:hAnsi="Times New Roman"/>
          <w:sz w:val="24"/>
          <w:szCs w:val="24"/>
        </w:rPr>
        <w:t>водоводном</w:t>
      </w:r>
      <w:r w:rsidRPr="00FB5A28">
        <w:rPr>
          <w:rFonts w:ascii="Times New Roman" w:hAnsi="Times New Roman"/>
          <w:sz w:val="24"/>
          <w:szCs w:val="24"/>
        </w:rPr>
        <w:t xml:space="preserve"> </w:t>
      </w:r>
      <w:r w:rsidR="00922BDD" w:rsidRPr="00FB5A28">
        <w:rPr>
          <w:rFonts w:ascii="Times New Roman" w:hAnsi="Times New Roman"/>
          <w:sz w:val="24"/>
          <w:szCs w:val="24"/>
        </w:rPr>
        <w:t>мрежом</w:t>
      </w:r>
      <w:r w:rsidRPr="00FB5A28">
        <w:rPr>
          <w:rFonts w:ascii="Times New Roman" w:hAnsi="Times New Roman"/>
          <w:sz w:val="24"/>
          <w:szCs w:val="24"/>
        </w:rPr>
        <w:t xml:space="preserve">, </w:t>
      </w:r>
      <w:r w:rsidR="00922BDD" w:rsidRPr="00FB5A28">
        <w:rPr>
          <w:rFonts w:ascii="Times New Roman" w:hAnsi="Times New Roman"/>
          <w:sz w:val="24"/>
          <w:szCs w:val="24"/>
        </w:rPr>
        <w:t>као</w:t>
      </w:r>
      <w:r w:rsidRPr="00FB5A28">
        <w:rPr>
          <w:rFonts w:ascii="Times New Roman" w:hAnsi="Times New Roman"/>
          <w:sz w:val="24"/>
          <w:szCs w:val="24"/>
        </w:rPr>
        <w:t xml:space="preserve"> </w:t>
      </w:r>
      <w:r w:rsidR="00922BDD" w:rsidRPr="00FB5A28">
        <w:rPr>
          <w:rFonts w:ascii="Times New Roman" w:hAnsi="Times New Roman"/>
          <w:sz w:val="24"/>
          <w:szCs w:val="24"/>
        </w:rPr>
        <w:t>и</w:t>
      </w:r>
      <w:r w:rsidRPr="00FB5A28">
        <w:rPr>
          <w:rFonts w:ascii="Times New Roman" w:hAnsi="Times New Roman"/>
          <w:sz w:val="24"/>
          <w:szCs w:val="24"/>
        </w:rPr>
        <w:t xml:space="preserve"> </w:t>
      </w:r>
      <w:r w:rsidR="00922BDD" w:rsidRPr="00FB5A28">
        <w:rPr>
          <w:rFonts w:ascii="Times New Roman" w:hAnsi="Times New Roman"/>
          <w:sz w:val="24"/>
          <w:szCs w:val="24"/>
        </w:rPr>
        <w:t>воде</w:t>
      </w:r>
      <w:r w:rsidRPr="00FB5A28">
        <w:rPr>
          <w:rFonts w:ascii="Times New Roman" w:hAnsi="Times New Roman"/>
          <w:sz w:val="24"/>
          <w:szCs w:val="24"/>
        </w:rPr>
        <w:t xml:space="preserve"> </w:t>
      </w:r>
      <w:r w:rsidR="00922BDD" w:rsidRPr="00FB5A28">
        <w:rPr>
          <w:rFonts w:ascii="Times New Roman" w:hAnsi="Times New Roman"/>
          <w:sz w:val="24"/>
          <w:szCs w:val="24"/>
        </w:rPr>
        <w:t>за</w:t>
      </w:r>
      <w:r w:rsidRPr="00FB5A28">
        <w:rPr>
          <w:rFonts w:ascii="Times New Roman" w:hAnsi="Times New Roman"/>
          <w:sz w:val="24"/>
          <w:szCs w:val="24"/>
        </w:rPr>
        <w:t xml:space="preserve"> </w:t>
      </w:r>
      <w:r w:rsidR="00922BDD" w:rsidRPr="00FB5A28">
        <w:rPr>
          <w:rFonts w:ascii="Times New Roman" w:hAnsi="Times New Roman"/>
          <w:sz w:val="24"/>
          <w:szCs w:val="24"/>
        </w:rPr>
        <w:t>пиће</w:t>
      </w:r>
      <w:r w:rsidRPr="00FB5A28">
        <w:rPr>
          <w:rFonts w:ascii="Times New Roman" w:hAnsi="Times New Roman"/>
          <w:sz w:val="24"/>
          <w:szCs w:val="24"/>
        </w:rPr>
        <w:t xml:space="preserve">, </w:t>
      </w:r>
      <w:r w:rsidR="00922BDD" w:rsidRPr="00FB5A28">
        <w:rPr>
          <w:rFonts w:ascii="Times New Roman" w:hAnsi="Times New Roman"/>
          <w:sz w:val="24"/>
          <w:szCs w:val="24"/>
        </w:rPr>
        <w:t>осим</w:t>
      </w:r>
      <w:r w:rsidRPr="00FB5A28">
        <w:rPr>
          <w:rFonts w:ascii="Times New Roman" w:hAnsi="Times New Roman"/>
          <w:sz w:val="24"/>
          <w:szCs w:val="24"/>
        </w:rPr>
        <w:t xml:space="preserve"> </w:t>
      </w:r>
      <w:r w:rsidR="00922BDD" w:rsidRPr="00FB5A28">
        <w:rPr>
          <w:rFonts w:ascii="Times New Roman" w:hAnsi="Times New Roman"/>
          <w:sz w:val="24"/>
          <w:szCs w:val="24"/>
        </w:rPr>
        <w:t>флаширане</w:t>
      </w:r>
      <w:r w:rsidRPr="00FB5A28">
        <w:rPr>
          <w:rFonts w:ascii="Times New Roman" w:hAnsi="Times New Roman"/>
          <w:sz w:val="24"/>
          <w:szCs w:val="24"/>
        </w:rPr>
        <w:t>;</w:t>
      </w:r>
    </w:p>
    <w:p w:rsidR="00F536E7" w:rsidRPr="00FB5A28" w:rsidRDefault="00F536E7" w:rsidP="00FB5A28">
      <w:pPr>
        <w:jc w:val="both"/>
        <w:rPr>
          <w:rFonts w:ascii="Times New Roman" w:hAnsi="Times New Roman"/>
          <w:sz w:val="24"/>
          <w:szCs w:val="24"/>
        </w:rPr>
      </w:pPr>
      <w:r w:rsidRPr="00FB5A28">
        <w:rPr>
          <w:rFonts w:ascii="Times New Roman" w:hAnsi="Times New Roman"/>
          <w:sz w:val="24"/>
          <w:szCs w:val="24"/>
        </w:rPr>
        <w:t xml:space="preserve">16) </w:t>
      </w:r>
      <w:r w:rsidR="00922BDD" w:rsidRPr="00FB5A28">
        <w:rPr>
          <w:rFonts w:ascii="Times New Roman" w:hAnsi="Times New Roman"/>
          <w:sz w:val="24"/>
          <w:szCs w:val="24"/>
        </w:rPr>
        <w:t>пречишћавања</w:t>
      </w:r>
      <w:r w:rsidRPr="00FB5A28">
        <w:rPr>
          <w:rFonts w:ascii="Times New Roman" w:hAnsi="Times New Roman"/>
          <w:sz w:val="24"/>
          <w:szCs w:val="24"/>
        </w:rPr>
        <w:t xml:space="preserve"> </w:t>
      </w:r>
      <w:r w:rsidR="00922BDD" w:rsidRPr="00FB5A28">
        <w:rPr>
          <w:rFonts w:ascii="Times New Roman" w:hAnsi="Times New Roman"/>
          <w:sz w:val="24"/>
          <w:szCs w:val="24"/>
        </w:rPr>
        <w:t>и</w:t>
      </w:r>
      <w:r w:rsidRPr="00FB5A28">
        <w:rPr>
          <w:rFonts w:ascii="Times New Roman" w:hAnsi="Times New Roman"/>
          <w:sz w:val="24"/>
          <w:szCs w:val="24"/>
        </w:rPr>
        <w:t xml:space="preserve"> </w:t>
      </w:r>
      <w:r w:rsidR="00922BDD" w:rsidRPr="00FB5A28">
        <w:rPr>
          <w:rFonts w:ascii="Times New Roman" w:hAnsi="Times New Roman"/>
          <w:sz w:val="24"/>
          <w:szCs w:val="24"/>
        </w:rPr>
        <w:t>одвођења</w:t>
      </w:r>
      <w:r w:rsidRPr="00FB5A28">
        <w:rPr>
          <w:rFonts w:ascii="Times New Roman" w:hAnsi="Times New Roman"/>
          <w:sz w:val="24"/>
          <w:szCs w:val="24"/>
        </w:rPr>
        <w:t xml:space="preserve"> </w:t>
      </w:r>
      <w:r w:rsidR="00922BDD" w:rsidRPr="00FB5A28">
        <w:rPr>
          <w:rFonts w:ascii="Times New Roman" w:hAnsi="Times New Roman"/>
          <w:sz w:val="24"/>
          <w:szCs w:val="24"/>
        </w:rPr>
        <w:t>атмосферских</w:t>
      </w:r>
      <w:r w:rsidRPr="00FB5A28">
        <w:rPr>
          <w:rFonts w:ascii="Times New Roman" w:hAnsi="Times New Roman"/>
          <w:sz w:val="24"/>
          <w:szCs w:val="24"/>
        </w:rPr>
        <w:t xml:space="preserve"> </w:t>
      </w:r>
      <w:r w:rsidR="00922BDD" w:rsidRPr="00FB5A28">
        <w:rPr>
          <w:rFonts w:ascii="Times New Roman" w:hAnsi="Times New Roman"/>
          <w:sz w:val="24"/>
          <w:szCs w:val="24"/>
        </w:rPr>
        <w:t>и</w:t>
      </w:r>
      <w:r w:rsidRPr="00FB5A28">
        <w:rPr>
          <w:rFonts w:ascii="Times New Roman" w:hAnsi="Times New Roman"/>
          <w:sz w:val="24"/>
          <w:szCs w:val="24"/>
        </w:rPr>
        <w:t xml:space="preserve"> </w:t>
      </w:r>
      <w:r w:rsidR="00922BDD" w:rsidRPr="00FB5A28">
        <w:rPr>
          <w:rFonts w:ascii="Times New Roman" w:hAnsi="Times New Roman"/>
          <w:sz w:val="24"/>
          <w:szCs w:val="24"/>
        </w:rPr>
        <w:t>отпадних</w:t>
      </w:r>
      <w:r w:rsidRPr="00FB5A28">
        <w:rPr>
          <w:rFonts w:ascii="Times New Roman" w:hAnsi="Times New Roman"/>
          <w:sz w:val="24"/>
          <w:szCs w:val="24"/>
        </w:rPr>
        <w:t xml:space="preserve"> </w:t>
      </w:r>
      <w:r w:rsidR="00922BDD" w:rsidRPr="00FB5A28">
        <w:rPr>
          <w:rFonts w:ascii="Times New Roman" w:hAnsi="Times New Roman"/>
          <w:sz w:val="24"/>
          <w:szCs w:val="24"/>
        </w:rPr>
        <w:t>вода</w:t>
      </w:r>
      <w:r w:rsidRPr="00FB5A28">
        <w:rPr>
          <w:rFonts w:ascii="Times New Roman" w:hAnsi="Times New Roman"/>
          <w:sz w:val="24"/>
          <w:szCs w:val="24"/>
        </w:rPr>
        <w:t>;</w:t>
      </w:r>
    </w:p>
    <w:p w:rsidR="00F536E7" w:rsidRPr="00FB5A28" w:rsidRDefault="00F536E7" w:rsidP="00FB5A28">
      <w:pPr>
        <w:jc w:val="both"/>
        <w:rPr>
          <w:rFonts w:ascii="Times New Roman" w:hAnsi="Times New Roman"/>
          <w:sz w:val="24"/>
          <w:szCs w:val="24"/>
        </w:rPr>
      </w:pPr>
      <w:r w:rsidRPr="00FB5A28">
        <w:rPr>
          <w:rFonts w:ascii="Times New Roman" w:hAnsi="Times New Roman"/>
          <w:sz w:val="24"/>
          <w:szCs w:val="24"/>
        </w:rPr>
        <w:t xml:space="preserve">17) </w:t>
      </w:r>
      <w:r w:rsidR="00922BDD" w:rsidRPr="00FB5A28">
        <w:rPr>
          <w:rFonts w:ascii="Times New Roman" w:hAnsi="Times New Roman"/>
          <w:sz w:val="24"/>
          <w:szCs w:val="24"/>
        </w:rPr>
        <w:t>управљање</w:t>
      </w:r>
      <w:r w:rsidRPr="00FB5A28">
        <w:rPr>
          <w:rFonts w:ascii="Times New Roman" w:hAnsi="Times New Roman"/>
          <w:sz w:val="24"/>
          <w:szCs w:val="24"/>
        </w:rPr>
        <w:t xml:space="preserve"> </w:t>
      </w:r>
      <w:r w:rsidR="00922BDD" w:rsidRPr="00FB5A28">
        <w:rPr>
          <w:rFonts w:ascii="Times New Roman" w:hAnsi="Times New Roman"/>
          <w:sz w:val="24"/>
          <w:szCs w:val="24"/>
        </w:rPr>
        <w:t>комуналним</w:t>
      </w:r>
      <w:r w:rsidRPr="00FB5A28">
        <w:rPr>
          <w:rFonts w:ascii="Times New Roman" w:hAnsi="Times New Roman"/>
          <w:sz w:val="24"/>
          <w:szCs w:val="24"/>
        </w:rPr>
        <w:t xml:space="preserve"> </w:t>
      </w:r>
      <w:r w:rsidR="00922BDD" w:rsidRPr="00FB5A28">
        <w:rPr>
          <w:rFonts w:ascii="Times New Roman" w:hAnsi="Times New Roman"/>
          <w:sz w:val="24"/>
          <w:szCs w:val="24"/>
        </w:rPr>
        <w:t>отпадом</w:t>
      </w:r>
      <w:r w:rsidRPr="00FB5A28">
        <w:rPr>
          <w:rFonts w:ascii="Times New Roman" w:hAnsi="Times New Roman"/>
          <w:sz w:val="24"/>
          <w:szCs w:val="24"/>
        </w:rPr>
        <w:t>;</w:t>
      </w:r>
    </w:p>
    <w:p w:rsidR="00F536E7" w:rsidRPr="00FB5A28" w:rsidRDefault="00F536E7" w:rsidP="00FB5A28">
      <w:pPr>
        <w:jc w:val="both"/>
        <w:rPr>
          <w:rFonts w:ascii="Times New Roman" w:hAnsi="Times New Roman"/>
          <w:sz w:val="24"/>
          <w:szCs w:val="24"/>
        </w:rPr>
      </w:pPr>
      <w:r w:rsidRPr="00FB5A28">
        <w:rPr>
          <w:rFonts w:ascii="Times New Roman" w:hAnsi="Times New Roman"/>
          <w:sz w:val="24"/>
          <w:szCs w:val="24"/>
        </w:rPr>
        <w:t xml:space="preserve">18) </w:t>
      </w:r>
      <w:r w:rsidR="00922BDD" w:rsidRPr="00FB5A28">
        <w:rPr>
          <w:rFonts w:ascii="Times New Roman" w:hAnsi="Times New Roman"/>
          <w:sz w:val="24"/>
          <w:szCs w:val="24"/>
        </w:rPr>
        <w:t>одржавање</w:t>
      </w:r>
      <w:r w:rsidRPr="00FB5A28">
        <w:rPr>
          <w:rFonts w:ascii="Times New Roman" w:hAnsi="Times New Roman"/>
          <w:sz w:val="24"/>
          <w:szCs w:val="24"/>
        </w:rPr>
        <w:t xml:space="preserve"> </w:t>
      </w:r>
      <w:r w:rsidR="00922BDD" w:rsidRPr="00FB5A28">
        <w:rPr>
          <w:rFonts w:ascii="Times New Roman" w:hAnsi="Times New Roman"/>
          <w:sz w:val="24"/>
          <w:szCs w:val="24"/>
        </w:rPr>
        <w:t>чистоће</w:t>
      </w:r>
      <w:r w:rsidRPr="00FB5A28">
        <w:rPr>
          <w:rFonts w:ascii="Times New Roman" w:hAnsi="Times New Roman"/>
          <w:sz w:val="24"/>
          <w:szCs w:val="24"/>
        </w:rPr>
        <w:t xml:space="preserve"> </w:t>
      </w:r>
      <w:r w:rsidR="00922BDD" w:rsidRPr="00FB5A28">
        <w:rPr>
          <w:rFonts w:ascii="Times New Roman" w:hAnsi="Times New Roman"/>
          <w:sz w:val="24"/>
          <w:szCs w:val="24"/>
        </w:rPr>
        <w:t>на</w:t>
      </w:r>
      <w:r w:rsidRPr="00FB5A28">
        <w:rPr>
          <w:rFonts w:ascii="Times New Roman" w:hAnsi="Times New Roman"/>
          <w:sz w:val="24"/>
          <w:szCs w:val="24"/>
        </w:rPr>
        <w:t xml:space="preserve"> </w:t>
      </w:r>
      <w:r w:rsidR="00922BDD" w:rsidRPr="00FB5A28">
        <w:rPr>
          <w:rFonts w:ascii="Times New Roman" w:hAnsi="Times New Roman"/>
          <w:sz w:val="24"/>
          <w:szCs w:val="24"/>
        </w:rPr>
        <w:t>површинама</w:t>
      </w:r>
      <w:r w:rsidRPr="00FB5A28">
        <w:rPr>
          <w:rFonts w:ascii="Times New Roman" w:hAnsi="Times New Roman"/>
          <w:sz w:val="24"/>
          <w:szCs w:val="24"/>
        </w:rPr>
        <w:t xml:space="preserve"> </w:t>
      </w:r>
      <w:r w:rsidR="00922BDD" w:rsidRPr="00FB5A28">
        <w:rPr>
          <w:rFonts w:ascii="Times New Roman" w:hAnsi="Times New Roman"/>
          <w:sz w:val="24"/>
          <w:szCs w:val="24"/>
        </w:rPr>
        <w:t>јавне</w:t>
      </w:r>
      <w:r w:rsidRPr="00FB5A28">
        <w:rPr>
          <w:rFonts w:ascii="Times New Roman" w:hAnsi="Times New Roman"/>
          <w:sz w:val="24"/>
          <w:szCs w:val="24"/>
        </w:rPr>
        <w:t xml:space="preserve"> </w:t>
      </w:r>
      <w:r w:rsidR="00922BDD" w:rsidRPr="00FB5A28">
        <w:rPr>
          <w:rFonts w:ascii="Times New Roman" w:hAnsi="Times New Roman"/>
          <w:sz w:val="24"/>
          <w:szCs w:val="24"/>
        </w:rPr>
        <w:t>намене</w:t>
      </w:r>
      <w:r w:rsidRPr="00FB5A28">
        <w:rPr>
          <w:rFonts w:ascii="Times New Roman" w:hAnsi="Times New Roman"/>
          <w:sz w:val="24"/>
          <w:szCs w:val="24"/>
        </w:rPr>
        <w:t>;</w:t>
      </w:r>
    </w:p>
    <w:p w:rsidR="00F536E7" w:rsidRPr="00FB5A28" w:rsidRDefault="00F536E7" w:rsidP="00FB5A28">
      <w:pPr>
        <w:jc w:val="both"/>
        <w:rPr>
          <w:rFonts w:ascii="Times New Roman" w:hAnsi="Times New Roman"/>
          <w:sz w:val="24"/>
          <w:szCs w:val="24"/>
        </w:rPr>
      </w:pPr>
      <w:r w:rsidRPr="00FB5A28">
        <w:rPr>
          <w:rFonts w:ascii="Times New Roman" w:hAnsi="Times New Roman"/>
          <w:sz w:val="24"/>
          <w:szCs w:val="24"/>
        </w:rPr>
        <w:t xml:space="preserve">19) </w:t>
      </w:r>
      <w:r w:rsidR="00922BDD" w:rsidRPr="00FB5A28">
        <w:rPr>
          <w:rFonts w:ascii="Times New Roman" w:hAnsi="Times New Roman"/>
          <w:sz w:val="24"/>
          <w:szCs w:val="24"/>
        </w:rPr>
        <w:t>одржавање</w:t>
      </w:r>
      <w:r w:rsidRPr="00FB5A28">
        <w:rPr>
          <w:rFonts w:ascii="Times New Roman" w:hAnsi="Times New Roman"/>
          <w:sz w:val="24"/>
          <w:szCs w:val="24"/>
        </w:rPr>
        <w:t xml:space="preserve"> </w:t>
      </w:r>
      <w:r w:rsidR="00922BDD" w:rsidRPr="00FB5A28">
        <w:rPr>
          <w:rFonts w:ascii="Times New Roman" w:hAnsi="Times New Roman"/>
          <w:sz w:val="24"/>
          <w:szCs w:val="24"/>
        </w:rPr>
        <w:t>јавних</w:t>
      </w:r>
      <w:r w:rsidRPr="00FB5A28">
        <w:rPr>
          <w:rFonts w:ascii="Times New Roman" w:hAnsi="Times New Roman"/>
          <w:sz w:val="24"/>
          <w:szCs w:val="24"/>
        </w:rPr>
        <w:t xml:space="preserve"> </w:t>
      </w:r>
      <w:r w:rsidR="00922BDD" w:rsidRPr="00FB5A28">
        <w:rPr>
          <w:rFonts w:ascii="Times New Roman" w:hAnsi="Times New Roman"/>
          <w:sz w:val="24"/>
          <w:szCs w:val="24"/>
        </w:rPr>
        <w:t>зелених</w:t>
      </w:r>
      <w:r w:rsidRPr="00FB5A28">
        <w:rPr>
          <w:rFonts w:ascii="Times New Roman" w:hAnsi="Times New Roman"/>
          <w:sz w:val="24"/>
          <w:szCs w:val="24"/>
        </w:rPr>
        <w:t xml:space="preserve"> </w:t>
      </w:r>
      <w:r w:rsidR="00922BDD" w:rsidRPr="00FB5A28">
        <w:rPr>
          <w:rFonts w:ascii="Times New Roman" w:hAnsi="Times New Roman"/>
          <w:sz w:val="24"/>
          <w:szCs w:val="24"/>
        </w:rPr>
        <w:t>површина</w:t>
      </w:r>
      <w:r w:rsidRPr="00FB5A28">
        <w:rPr>
          <w:rFonts w:ascii="Times New Roman" w:hAnsi="Times New Roman"/>
          <w:sz w:val="24"/>
          <w:szCs w:val="24"/>
        </w:rPr>
        <w:t xml:space="preserve"> </w:t>
      </w:r>
      <w:r w:rsidR="00922BDD" w:rsidRPr="00FB5A28">
        <w:rPr>
          <w:rFonts w:ascii="Times New Roman" w:hAnsi="Times New Roman"/>
          <w:sz w:val="24"/>
          <w:szCs w:val="24"/>
        </w:rPr>
        <w:t>и</w:t>
      </w:r>
      <w:r w:rsidRPr="00FB5A28">
        <w:rPr>
          <w:rFonts w:ascii="Times New Roman" w:hAnsi="Times New Roman"/>
          <w:sz w:val="24"/>
          <w:szCs w:val="24"/>
        </w:rPr>
        <w:t xml:space="preserve"> </w:t>
      </w:r>
      <w:r w:rsidR="00922BDD" w:rsidRPr="00FB5A28">
        <w:rPr>
          <w:rFonts w:ascii="Times New Roman" w:hAnsi="Times New Roman"/>
          <w:sz w:val="24"/>
          <w:szCs w:val="24"/>
        </w:rPr>
        <w:t>приобаља</w:t>
      </w:r>
      <w:r w:rsidRPr="00FB5A28">
        <w:rPr>
          <w:rFonts w:ascii="Times New Roman" w:hAnsi="Times New Roman"/>
          <w:sz w:val="24"/>
          <w:szCs w:val="24"/>
        </w:rPr>
        <w:t>;</w:t>
      </w:r>
    </w:p>
    <w:p w:rsidR="00F536E7" w:rsidRPr="00FB5A28" w:rsidRDefault="00F536E7" w:rsidP="00FB5A28">
      <w:pPr>
        <w:jc w:val="both"/>
        <w:rPr>
          <w:rFonts w:ascii="Times New Roman" w:hAnsi="Times New Roman"/>
          <w:sz w:val="24"/>
          <w:szCs w:val="24"/>
        </w:rPr>
      </w:pPr>
      <w:r w:rsidRPr="00FB5A28">
        <w:rPr>
          <w:rFonts w:ascii="Times New Roman" w:hAnsi="Times New Roman"/>
          <w:sz w:val="24"/>
          <w:szCs w:val="24"/>
        </w:rPr>
        <w:t xml:space="preserve">20) </w:t>
      </w:r>
      <w:r w:rsidR="00922BDD" w:rsidRPr="00FB5A28">
        <w:rPr>
          <w:rFonts w:ascii="Times New Roman" w:hAnsi="Times New Roman"/>
          <w:sz w:val="24"/>
          <w:szCs w:val="24"/>
        </w:rPr>
        <w:t>превоз</w:t>
      </w:r>
      <w:r w:rsidRPr="00FB5A28">
        <w:rPr>
          <w:rFonts w:ascii="Times New Roman" w:hAnsi="Times New Roman"/>
          <w:sz w:val="24"/>
          <w:szCs w:val="24"/>
        </w:rPr>
        <w:t xml:space="preserve"> </w:t>
      </w:r>
      <w:r w:rsidR="00922BDD" w:rsidRPr="00FB5A28">
        <w:rPr>
          <w:rFonts w:ascii="Times New Roman" w:hAnsi="Times New Roman"/>
          <w:sz w:val="24"/>
          <w:szCs w:val="24"/>
        </w:rPr>
        <w:t>путника</w:t>
      </w:r>
      <w:r w:rsidRPr="00FB5A28">
        <w:rPr>
          <w:rFonts w:ascii="Times New Roman" w:hAnsi="Times New Roman"/>
          <w:sz w:val="24"/>
          <w:szCs w:val="24"/>
        </w:rPr>
        <w:t xml:space="preserve"> </w:t>
      </w:r>
      <w:r w:rsidR="00922BDD" w:rsidRPr="00FB5A28">
        <w:rPr>
          <w:rFonts w:ascii="Times New Roman" w:hAnsi="Times New Roman"/>
          <w:sz w:val="24"/>
          <w:szCs w:val="24"/>
        </w:rPr>
        <w:t>у</w:t>
      </w:r>
      <w:r w:rsidRPr="00FB5A28">
        <w:rPr>
          <w:rFonts w:ascii="Times New Roman" w:hAnsi="Times New Roman"/>
          <w:sz w:val="24"/>
          <w:szCs w:val="24"/>
        </w:rPr>
        <w:t xml:space="preserve"> </w:t>
      </w:r>
      <w:r w:rsidR="00922BDD" w:rsidRPr="00FB5A28">
        <w:rPr>
          <w:rFonts w:ascii="Times New Roman" w:hAnsi="Times New Roman"/>
          <w:sz w:val="24"/>
          <w:szCs w:val="24"/>
        </w:rPr>
        <w:t>градском</w:t>
      </w:r>
      <w:r w:rsidRPr="00FB5A28">
        <w:rPr>
          <w:rFonts w:ascii="Times New Roman" w:hAnsi="Times New Roman"/>
          <w:sz w:val="24"/>
          <w:szCs w:val="24"/>
        </w:rPr>
        <w:t xml:space="preserve"> </w:t>
      </w:r>
      <w:r w:rsidR="00922BDD" w:rsidRPr="00FB5A28">
        <w:rPr>
          <w:rFonts w:ascii="Times New Roman" w:hAnsi="Times New Roman"/>
          <w:sz w:val="24"/>
          <w:szCs w:val="24"/>
        </w:rPr>
        <w:t>и</w:t>
      </w:r>
      <w:r w:rsidRPr="00FB5A28">
        <w:rPr>
          <w:rFonts w:ascii="Times New Roman" w:hAnsi="Times New Roman"/>
          <w:sz w:val="24"/>
          <w:szCs w:val="24"/>
        </w:rPr>
        <w:t xml:space="preserve"> </w:t>
      </w:r>
      <w:r w:rsidR="00922BDD" w:rsidRPr="00FB5A28">
        <w:rPr>
          <w:rFonts w:ascii="Times New Roman" w:hAnsi="Times New Roman"/>
          <w:sz w:val="24"/>
          <w:szCs w:val="24"/>
        </w:rPr>
        <w:t>приградском</w:t>
      </w:r>
      <w:r w:rsidRPr="00FB5A28">
        <w:rPr>
          <w:rFonts w:ascii="Times New Roman" w:hAnsi="Times New Roman"/>
          <w:sz w:val="24"/>
          <w:szCs w:val="24"/>
        </w:rPr>
        <w:t xml:space="preserve"> </w:t>
      </w:r>
      <w:r w:rsidR="00922BDD" w:rsidRPr="00FB5A28">
        <w:rPr>
          <w:rFonts w:ascii="Times New Roman" w:hAnsi="Times New Roman"/>
          <w:sz w:val="24"/>
          <w:szCs w:val="24"/>
        </w:rPr>
        <w:t>саобраћају</w:t>
      </w:r>
      <w:r w:rsidRPr="00FB5A28">
        <w:rPr>
          <w:rFonts w:ascii="Times New Roman" w:hAnsi="Times New Roman"/>
          <w:sz w:val="24"/>
          <w:szCs w:val="24"/>
        </w:rPr>
        <w:t>;</w:t>
      </w:r>
    </w:p>
    <w:p w:rsidR="00F536E7" w:rsidRPr="00FB5A28" w:rsidRDefault="00F536E7" w:rsidP="00FB5A28">
      <w:pPr>
        <w:jc w:val="both"/>
        <w:rPr>
          <w:rFonts w:ascii="Times New Roman" w:hAnsi="Times New Roman"/>
          <w:sz w:val="24"/>
          <w:szCs w:val="24"/>
          <w:lang w:val="sr-Cyrl-CS"/>
        </w:rPr>
      </w:pPr>
      <w:r w:rsidRPr="00FB5A28">
        <w:rPr>
          <w:rFonts w:ascii="Times New Roman" w:hAnsi="Times New Roman"/>
          <w:sz w:val="24"/>
          <w:szCs w:val="24"/>
        </w:rPr>
        <w:t xml:space="preserve">21) </w:t>
      </w:r>
      <w:r w:rsidR="00922BDD" w:rsidRPr="00FB5A28">
        <w:rPr>
          <w:rFonts w:ascii="Times New Roman" w:hAnsi="Times New Roman"/>
          <w:sz w:val="24"/>
          <w:szCs w:val="24"/>
        </w:rPr>
        <w:t>управљање</w:t>
      </w:r>
      <w:r w:rsidRPr="00FB5A28">
        <w:rPr>
          <w:rFonts w:ascii="Times New Roman" w:hAnsi="Times New Roman"/>
          <w:sz w:val="24"/>
          <w:szCs w:val="24"/>
        </w:rPr>
        <w:t xml:space="preserve"> </w:t>
      </w:r>
      <w:r w:rsidR="00922BDD" w:rsidRPr="00FB5A28">
        <w:rPr>
          <w:rFonts w:ascii="Times New Roman" w:hAnsi="Times New Roman"/>
          <w:sz w:val="24"/>
          <w:szCs w:val="24"/>
        </w:rPr>
        <w:t>гробљима</w:t>
      </w:r>
      <w:r w:rsidRPr="00FB5A28">
        <w:rPr>
          <w:rFonts w:ascii="Times New Roman" w:hAnsi="Times New Roman"/>
          <w:sz w:val="24"/>
          <w:szCs w:val="24"/>
        </w:rPr>
        <w:t xml:space="preserve"> </w:t>
      </w:r>
      <w:r w:rsidR="00922BDD" w:rsidRPr="00FB5A28">
        <w:rPr>
          <w:rFonts w:ascii="Times New Roman" w:hAnsi="Times New Roman"/>
          <w:sz w:val="24"/>
          <w:szCs w:val="24"/>
        </w:rPr>
        <w:t>и</w:t>
      </w:r>
      <w:r w:rsidRPr="00FB5A28">
        <w:rPr>
          <w:rFonts w:ascii="Times New Roman" w:hAnsi="Times New Roman"/>
          <w:sz w:val="24"/>
          <w:szCs w:val="24"/>
        </w:rPr>
        <w:t xml:space="preserve"> </w:t>
      </w:r>
      <w:r w:rsidR="00922BDD" w:rsidRPr="00FB5A28">
        <w:rPr>
          <w:rFonts w:ascii="Times New Roman" w:hAnsi="Times New Roman"/>
          <w:sz w:val="24"/>
          <w:szCs w:val="24"/>
        </w:rPr>
        <w:t>погребне</w:t>
      </w:r>
      <w:r w:rsidRPr="00FB5A28">
        <w:rPr>
          <w:rFonts w:ascii="Times New Roman" w:hAnsi="Times New Roman"/>
          <w:sz w:val="24"/>
          <w:szCs w:val="24"/>
        </w:rPr>
        <w:t xml:space="preserve"> </w:t>
      </w:r>
      <w:r w:rsidR="00922BDD" w:rsidRPr="00FB5A28">
        <w:rPr>
          <w:rFonts w:ascii="Times New Roman" w:hAnsi="Times New Roman"/>
          <w:sz w:val="24"/>
          <w:szCs w:val="24"/>
        </w:rPr>
        <w:t>услуге</w:t>
      </w:r>
      <w:r w:rsidRPr="00FB5A28">
        <w:rPr>
          <w:rFonts w:ascii="Times New Roman" w:hAnsi="Times New Roman"/>
          <w:sz w:val="24"/>
          <w:szCs w:val="24"/>
        </w:rPr>
        <w:t>.</w:t>
      </w:r>
    </w:p>
    <w:p w:rsidR="008E673C" w:rsidRPr="00922BDD" w:rsidRDefault="008E673C" w:rsidP="00FB5A28">
      <w:pPr>
        <w:shd w:val="clear" w:color="auto" w:fill="FFFFFF"/>
        <w:spacing w:after="0" w:line="285" w:lineRule="atLeast"/>
        <w:jc w:val="both"/>
        <w:rPr>
          <w:rFonts w:ascii="Times New Roman" w:hAnsi="Times New Roman"/>
          <w:color w:val="000000"/>
          <w:sz w:val="24"/>
          <w:szCs w:val="24"/>
          <w:lang w:val="sr-Cyrl-CS"/>
        </w:rPr>
      </w:pPr>
    </w:p>
    <w:p w:rsidR="008E757E" w:rsidRDefault="009152B7" w:rsidP="00E938EA">
      <w:pPr>
        <w:shd w:val="clear" w:color="auto" w:fill="FFFFFF"/>
        <w:spacing w:after="0" w:line="285" w:lineRule="atLeast"/>
        <w:ind w:firstLine="708"/>
        <w:jc w:val="both"/>
        <w:rPr>
          <w:rFonts w:ascii="Times New Roman" w:hAnsi="Times New Roman"/>
          <w:color w:val="000000"/>
          <w:sz w:val="24"/>
          <w:szCs w:val="24"/>
          <w:lang w:val="sr-Cyrl-CS"/>
        </w:rPr>
      </w:pPr>
      <w:r>
        <w:rPr>
          <w:rFonts w:ascii="Times New Roman" w:hAnsi="Times New Roman"/>
          <w:color w:val="000000"/>
          <w:sz w:val="24"/>
          <w:szCs w:val="24"/>
          <w:lang w:val="sr-Cyrl-CS"/>
        </w:rPr>
        <w:t xml:space="preserve">Како је ПДВ искључен из пореске основице може бити потребно да се израчуна </w:t>
      </w:r>
      <w:r w:rsidR="00723CB1">
        <w:rPr>
          <w:rFonts w:ascii="Times New Roman" w:hAnsi="Times New Roman"/>
          <w:color w:val="000000"/>
          <w:sz w:val="24"/>
          <w:szCs w:val="24"/>
          <w:lang w:val="sr-Cyrl-CS"/>
        </w:rPr>
        <w:t>тзв. прерач</w:t>
      </w:r>
      <w:r>
        <w:rPr>
          <w:rFonts w:ascii="Times New Roman" w:hAnsi="Times New Roman"/>
          <w:color w:val="000000"/>
          <w:sz w:val="24"/>
          <w:szCs w:val="24"/>
          <w:lang w:val="sr-Cyrl-CS"/>
        </w:rPr>
        <w:t>уната општа стопа</w:t>
      </w:r>
      <w:r w:rsidR="00723CB1">
        <w:rPr>
          <w:rFonts w:ascii="Times New Roman" w:hAnsi="Times New Roman"/>
          <w:color w:val="000000"/>
          <w:sz w:val="24"/>
          <w:szCs w:val="24"/>
          <w:lang w:val="sr-Cyrl-CS"/>
        </w:rPr>
        <w:t xml:space="preserve"> ПДВ, која </w:t>
      </w:r>
      <w:r>
        <w:rPr>
          <w:rFonts w:ascii="Times New Roman" w:hAnsi="Times New Roman"/>
          <w:color w:val="000000"/>
          <w:sz w:val="24"/>
          <w:szCs w:val="24"/>
          <w:lang w:val="sr-Cyrl-CS"/>
        </w:rPr>
        <w:t>показује</w:t>
      </w:r>
      <w:r w:rsidR="00723CB1">
        <w:rPr>
          <w:rFonts w:ascii="Times New Roman" w:hAnsi="Times New Roman"/>
          <w:color w:val="000000"/>
          <w:sz w:val="24"/>
          <w:szCs w:val="24"/>
          <w:lang w:val="sr-Cyrl-CS"/>
        </w:rPr>
        <w:t xml:space="preserve"> кол</w:t>
      </w:r>
      <w:r>
        <w:rPr>
          <w:rFonts w:ascii="Times New Roman" w:hAnsi="Times New Roman"/>
          <w:color w:val="000000"/>
          <w:sz w:val="24"/>
          <w:szCs w:val="24"/>
          <w:lang w:val="sr-Cyrl-CS"/>
        </w:rPr>
        <w:t>и</w:t>
      </w:r>
      <w:r w:rsidR="00723CB1">
        <w:rPr>
          <w:rFonts w:ascii="Times New Roman" w:hAnsi="Times New Roman"/>
          <w:color w:val="000000"/>
          <w:sz w:val="24"/>
          <w:szCs w:val="24"/>
          <w:lang w:val="sr-Cyrl-CS"/>
        </w:rPr>
        <w:t>к</w:t>
      </w:r>
      <w:r>
        <w:rPr>
          <w:rFonts w:ascii="Times New Roman" w:hAnsi="Times New Roman"/>
          <w:color w:val="000000"/>
          <w:sz w:val="24"/>
          <w:szCs w:val="24"/>
          <w:lang w:val="sr-Cyrl-CS"/>
        </w:rPr>
        <w:t>о је учешће ПДВ у „бруто“ цени, односно цени у коју је ПДВ урачунат</w:t>
      </w:r>
      <w:r w:rsidR="00723CB1">
        <w:rPr>
          <w:rFonts w:ascii="Times New Roman" w:hAnsi="Times New Roman"/>
          <w:color w:val="000000"/>
          <w:sz w:val="24"/>
          <w:szCs w:val="24"/>
          <w:lang w:val="sr-Cyrl-CS"/>
        </w:rPr>
        <w:t xml:space="preserve">. </w:t>
      </w:r>
      <w:r>
        <w:rPr>
          <w:rFonts w:ascii="Times New Roman" w:hAnsi="Times New Roman"/>
          <w:color w:val="000000"/>
          <w:sz w:val="24"/>
          <w:szCs w:val="24"/>
          <w:lang w:val="sr-Cyrl-CS"/>
        </w:rPr>
        <w:t>За израчунавење поменуте прерачунате стопе</w:t>
      </w:r>
      <w:r w:rsidR="00723CB1">
        <w:rPr>
          <w:rFonts w:ascii="Times New Roman" w:hAnsi="Times New Roman"/>
          <w:color w:val="000000"/>
          <w:sz w:val="24"/>
          <w:szCs w:val="24"/>
          <w:lang w:val="sr-Cyrl-CS"/>
        </w:rPr>
        <w:t xml:space="preserve"> ПДВ </w:t>
      </w:r>
      <w:r>
        <w:rPr>
          <w:rFonts w:ascii="Times New Roman" w:hAnsi="Times New Roman"/>
          <w:color w:val="000000"/>
          <w:sz w:val="24"/>
          <w:szCs w:val="24"/>
          <w:lang w:val="sr-Cyrl-CS"/>
        </w:rPr>
        <w:t>користи се следећи образац</w:t>
      </w:r>
      <w:r w:rsidR="00AA7EB9">
        <w:rPr>
          <w:rFonts w:ascii="Times New Roman" w:hAnsi="Times New Roman"/>
          <w:color w:val="000000"/>
          <w:sz w:val="24"/>
          <w:szCs w:val="24"/>
          <w:lang w:val="sr-Cyrl-CS"/>
        </w:rPr>
        <w:t>:</w:t>
      </w:r>
      <w:r w:rsidR="00723CB1">
        <w:rPr>
          <w:rStyle w:val="FootnoteReference"/>
          <w:rFonts w:ascii="Times New Roman" w:hAnsi="Times New Roman"/>
          <w:color w:val="000000"/>
          <w:sz w:val="24"/>
          <w:szCs w:val="24"/>
          <w:lang w:val="sr-Cyrl-CS"/>
        </w:rPr>
        <w:footnoteReference w:id="383"/>
      </w:r>
    </w:p>
    <w:p w:rsidR="00AA7EB9" w:rsidRDefault="00AA7EB9" w:rsidP="00E938EA">
      <w:pPr>
        <w:shd w:val="clear" w:color="auto" w:fill="FFFFFF"/>
        <w:spacing w:after="0" w:line="285" w:lineRule="atLeast"/>
        <w:ind w:firstLine="708"/>
        <w:jc w:val="both"/>
        <w:rPr>
          <w:rFonts w:ascii="Times New Roman" w:hAnsi="Times New Roman"/>
          <w:color w:val="000000"/>
          <w:sz w:val="24"/>
          <w:szCs w:val="24"/>
          <w:lang w:val="sr-Cyrl-CS"/>
        </w:rPr>
      </w:pPr>
    </w:p>
    <w:p w:rsidR="00723CB1" w:rsidRDefault="00723CB1" w:rsidP="00E938EA">
      <w:pPr>
        <w:shd w:val="clear" w:color="auto" w:fill="FFFFFF"/>
        <w:spacing w:after="0" w:line="285" w:lineRule="atLeast"/>
        <w:ind w:firstLine="708"/>
        <w:jc w:val="both"/>
        <w:rPr>
          <w:rFonts w:ascii="Times New Roman" w:hAnsi="Times New Roman"/>
          <w:color w:val="000000"/>
          <w:sz w:val="24"/>
          <w:szCs w:val="24"/>
          <w:lang w:val="sr-Cyrl-CS"/>
        </w:rPr>
      </w:pPr>
    </w:p>
    <w:p w:rsidR="00723CB1" w:rsidRDefault="00723CB1" w:rsidP="00E938EA">
      <w:pPr>
        <w:shd w:val="clear" w:color="auto" w:fill="FFFFFF"/>
        <w:spacing w:after="0" w:line="285" w:lineRule="atLeast"/>
        <w:ind w:firstLine="708"/>
        <w:jc w:val="both"/>
        <w:rPr>
          <w:rFonts w:ascii="Times New Roman" w:hAnsi="Times New Roman"/>
          <w:color w:val="000000"/>
          <w:sz w:val="24"/>
          <w:szCs w:val="24"/>
          <w:lang w:val="sr-Cyrl-CS"/>
        </w:rPr>
      </w:pPr>
      <w:r>
        <w:rPr>
          <w:rFonts w:ascii="Times New Roman" w:hAnsi="Times New Roman"/>
          <w:color w:val="000000"/>
          <w:sz w:val="24"/>
          <w:szCs w:val="24"/>
          <w:lang w:val="sr-Cyrl-CS"/>
        </w:rPr>
        <w:t>законска стопа x  100</w:t>
      </w:r>
    </w:p>
    <w:p w:rsidR="00723CB1" w:rsidRDefault="00723CB1" w:rsidP="00E938EA">
      <w:pPr>
        <w:shd w:val="clear" w:color="auto" w:fill="FFFFFF"/>
        <w:spacing w:after="0" w:line="285" w:lineRule="atLeast"/>
        <w:ind w:firstLine="708"/>
        <w:jc w:val="both"/>
        <w:rPr>
          <w:rFonts w:ascii="Times New Roman" w:hAnsi="Times New Roman"/>
          <w:color w:val="000000"/>
          <w:sz w:val="24"/>
          <w:szCs w:val="24"/>
          <w:lang w:val="sr-Cyrl-CS"/>
        </w:rPr>
      </w:pPr>
      <w:r>
        <w:rPr>
          <w:rFonts w:ascii="Times New Roman" w:hAnsi="Times New Roman"/>
          <w:color w:val="000000"/>
          <w:sz w:val="24"/>
          <w:szCs w:val="24"/>
          <w:lang w:val="sr-Cyrl-CS"/>
        </w:rPr>
        <w:lastRenderedPageBreak/>
        <w:t>____________________</w:t>
      </w:r>
    </w:p>
    <w:p w:rsidR="00723CB1" w:rsidRDefault="00CE7E17" w:rsidP="00E938EA">
      <w:pPr>
        <w:shd w:val="clear" w:color="auto" w:fill="FFFFFF"/>
        <w:spacing w:after="0" w:line="285" w:lineRule="atLeast"/>
        <w:ind w:firstLine="708"/>
        <w:jc w:val="both"/>
        <w:rPr>
          <w:rFonts w:ascii="Times New Roman" w:hAnsi="Times New Roman"/>
          <w:color w:val="000000"/>
          <w:sz w:val="24"/>
          <w:szCs w:val="24"/>
          <w:lang w:val="sr-Cyrl-CS"/>
        </w:rPr>
      </w:pPr>
      <w:r>
        <w:rPr>
          <w:rFonts w:ascii="Times New Roman" w:hAnsi="Times New Roman"/>
          <w:color w:val="000000"/>
          <w:sz w:val="24"/>
          <w:szCs w:val="24"/>
          <w:lang w:val="sr-Cyrl-CS"/>
        </w:rPr>
        <w:t>100   +</w:t>
      </w:r>
      <w:r w:rsidR="00723CB1">
        <w:rPr>
          <w:rFonts w:ascii="Times New Roman" w:hAnsi="Times New Roman"/>
          <w:color w:val="000000"/>
          <w:sz w:val="24"/>
          <w:szCs w:val="24"/>
          <w:lang w:val="sr-Cyrl-CS"/>
        </w:rPr>
        <w:t xml:space="preserve">  законска стопа</w:t>
      </w:r>
    </w:p>
    <w:p w:rsidR="00AA7EB9" w:rsidRDefault="00AA7EB9" w:rsidP="00E938EA">
      <w:pPr>
        <w:shd w:val="clear" w:color="auto" w:fill="FFFFFF"/>
        <w:spacing w:after="0" w:line="285" w:lineRule="atLeast"/>
        <w:ind w:firstLine="708"/>
        <w:jc w:val="both"/>
        <w:rPr>
          <w:rFonts w:ascii="Times New Roman" w:hAnsi="Times New Roman"/>
          <w:color w:val="000000"/>
          <w:sz w:val="24"/>
          <w:szCs w:val="24"/>
          <w:lang w:val="sr-Cyrl-CS"/>
        </w:rPr>
      </w:pPr>
    </w:p>
    <w:p w:rsidR="00C6218F" w:rsidRDefault="00C6218F" w:rsidP="00E938EA">
      <w:pPr>
        <w:shd w:val="clear" w:color="auto" w:fill="FFFFFF"/>
        <w:spacing w:after="0" w:line="285" w:lineRule="atLeast"/>
        <w:ind w:firstLine="708"/>
        <w:jc w:val="both"/>
        <w:rPr>
          <w:rFonts w:ascii="Times New Roman" w:hAnsi="Times New Roman"/>
          <w:color w:val="000000"/>
          <w:sz w:val="24"/>
          <w:szCs w:val="24"/>
          <w:lang w:val="sr-Cyrl-CS"/>
        </w:rPr>
      </w:pPr>
    </w:p>
    <w:p w:rsidR="00C6218F" w:rsidRDefault="00C6218F" w:rsidP="00E938EA">
      <w:pPr>
        <w:shd w:val="clear" w:color="auto" w:fill="FFFFFF"/>
        <w:spacing w:after="0" w:line="285" w:lineRule="atLeast"/>
        <w:ind w:firstLine="708"/>
        <w:jc w:val="both"/>
        <w:rPr>
          <w:rFonts w:ascii="Times New Roman" w:hAnsi="Times New Roman"/>
          <w:color w:val="000000"/>
          <w:sz w:val="24"/>
          <w:szCs w:val="24"/>
          <w:lang w:val="sr-Cyrl-CS"/>
        </w:rPr>
      </w:pPr>
      <w:r>
        <w:rPr>
          <w:rFonts w:ascii="Times New Roman" w:hAnsi="Times New Roman"/>
          <w:color w:val="000000"/>
          <w:sz w:val="24"/>
          <w:szCs w:val="24"/>
          <w:lang w:val="sr-Cyrl-CS"/>
        </w:rPr>
        <w:t>За прописану стопу од 20% износу 1</w:t>
      </w:r>
      <w:r w:rsidR="00CE7E17">
        <w:rPr>
          <w:rFonts w:ascii="Times New Roman" w:hAnsi="Times New Roman"/>
          <w:color w:val="000000"/>
          <w:sz w:val="24"/>
          <w:szCs w:val="24"/>
          <w:lang w:val="sr-Cyrl-CS"/>
        </w:rPr>
        <w:t>6,6667%, а за прописану стопу  10% износи 9,0909</w:t>
      </w:r>
      <w:r>
        <w:rPr>
          <w:rFonts w:ascii="Times New Roman" w:hAnsi="Times New Roman"/>
          <w:color w:val="000000"/>
          <w:sz w:val="24"/>
          <w:szCs w:val="24"/>
          <w:lang w:val="sr-Cyrl-CS"/>
        </w:rPr>
        <w:t>%.</w:t>
      </w:r>
    </w:p>
    <w:p w:rsidR="00AA7EB9" w:rsidRPr="00723CB1" w:rsidRDefault="00AA7EB9" w:rsidP="00E938EA">
      <w:pPr>
        <w:shd w:val="clear" w:color="auto" w:fill="FFFFFF"/>
        <w:spacing w:after="0" w:line="285" w:lineRule="atLeast"/>
        <w:ind w:firstLine="708"/>
        <w:jc w:val="both"/>
        <w:rPr>
          <w:rFonts w:ascii="Times New Roman" w:hAnsi="Times New Roman"/>
          <w:color w:val="000000"/>
          <w:sz w:val="24"/>
          <w:szCs w:val="24"/>
          <w:lang w:val="sr-Cyrl-CS"/>
        </w:rPr>
      </w:pPr>
    </w:p>
    <w:p w:rsidR="008E757E" w:rsidRPr="00E938EA" w:rsidRDefault="008E757E" w:rsidP="00E938EA">
      <w:pPr>
        <w:shd w:val="clear" w:color="auto" w:fill="FFFFFF"/>
        <w:spacing w:after="0" w:line="285" w:lineRule="atLeast"/>
        <w:ind w:firstLine="708"/>
        <w:jc w:val="both"/>
        <w:rPr>
          <w:rFonts w:ascii="Times New Roman" w:hAnsi="Times New Roman"/>
          <w:color w:val="000000"/>
          <w:sz w:val="24"/>
          <w:szCs w:val="24"/>
          <w:lang w:val="sr-Cyrl-CS"/>
        </w:rPr>
      </w:pPr>
    </w:p>
    <w:p w:rsidR="00B0198C" w:rsidRDefault="004E019C" w:rsidP="00CE7E17">
      <w:pPr>
        <w:shd w:val="clear" w:color="auto" w:fill="FFFFFF"/>
        <w:spacing w:after="0" w:line="285" w:lineRule="atLeast"/>
        <w:ind w:firstLine="708"/>
        <w:jc w:val="both"/>
        <w:rPr>
          <w:rFonts w:ascii="Times New Roman" w:hAnsi="Times New Roman"/>
          <w:color w:val="000000"/>
          <w:sz w:val="24"/>
          <w:szCs w:val="24"/>
          <w:lang w:val="sr-Cyrl-CS"/>
        </w:rPr>
      </w:pPr>
      <w:r w:rsidRPr="004E019C">
        <w:rPr>
          <w:rFonts w:ascii="Times New Roman" w:hAnsi="Times New Roman"/>
          <w:color w:val="000000"/>
          <w:sz w:val="24"/>
          <w:szCs w:val="24"/>
          <w:lang w:val="sr-Cyrl-CS"/>
        </w:rPr>
        <w:t>Стопа пореза на додату</w:t>
      </w:r>
      <w:r>
        <w:rPr>
          <w:rFonts w:ascii="Arial" w:hAnsi="Arial" w:cs="Arial"/>
          <w:color w:val="000000"/>
          <w:sz w:val="24"/>
          <w:szCs w:val="24"/>
          <w:lang w:val="sr-Cyrl-CS"/>
        </w:rPr>
        <w:t xml:space="preserve"> </w:t>
      </w:r>
      <w:r>
        <w:rPr>
          <w:rFonts w:ascii="Times New Roman" w:hAnsi="Times New Roman"/>
          <w:color w:val="000000"/>
          <w:sz w:val="24"/>
          <w:szCs w:val="24"/>
          <w:lang w:val="sr-Cyrl-CS"/>
        </w:rPr>
        <w:t>вредност у Европској унији је пропорционална и примењује се општа стопа, која не може бити нижа од 15%, као и једна или две посебне стопе, које не смеју бити ниже од 5%.</w:t>
      </w:r>
      <w:r>
        <w:rPr>
          <w:rStyle w:val="FootnoteReference"/>
          <w:rFonts w:ascii="Times New Roman" w:hAnsi="Times New Roman"/>
          <w:color w:val="000000"/>
          <w:sz w:val="24"/>
          <w:szCs w:val="24"/>
          <w:lang w:val="sr-Cyrl-CS"/>
        </w:rPr>
        <w:footnoteReference w:id="384"/>
      </w:r>
    </w:p>
    <w:p w:rsidR="00E61C79" w:rsidRDefault="00E61C79" w:rsidP="004E019C">
      <w:pPr>
        <w:shd w:val="clear" w:color="auto" w:fill="FFFFFF"/>
        <w:spacing w:after="0" w:line="285" w:lineRule="atLeast"/>
        <w:jc w:val="both"/>
        <w:rPr>
          <w:rFonts w:ascii="Times New Roman" w:hAnsi="Times New Roman"/>
          <w:color w:val="000000"/>
          <w:sz w:val="24"/>
          <w:szCs w:val="24"/>
          <w:lang w:val="sr-Cyrl-CS"/>
        </w:rPr>
      </w:pPr>
    </w:p>
    <w:p w:rsidR="00CE7E17" w:rsidRDefault="00CE7E17" w:rsidP="004E019C">
      <w:pPr>
        <w:shd w:val="clear" w:color="auto" w:fill="FFFFFF"/>
        <w:spacing w:after="0" w:line="285" w:lineRule="atLeast"/>
        <w:jc w:val="both"/>
        <w:rPr>
          <w:rFonts w:ascii="Times New Roman" w:hAnsi="Times New Roman"/>
          <w:color w:val="000000"/>
          <w:sz w:val="24"/>
          <w:szCs w:val="24"/>
          <w:lang w:val="sr-Cyrl-CS"/>
        </w:rPr>
      </w:pPr>
    </w:p>
    <w:p w:rsidR="00A84F87" w:rsidRDefault="00A84F87" w:rsidP="004E019C">
      <w:pPr>
        <w:shd w:val="clear" w:color="auto" w:fill="FFFFFF"/>
        <w:spacing w:after="0" w:line="285" w:lineRule="atLeast"/>
        <w:jc w:val="both"/>
        <w:rPr>
          <w:rFonts w:ascii="Times New Roman" w:hAnsi="Times New Roman"/>
          <w:color w:val="000000"/>
          <w:sz w:val="24"/>
          <w:szCs w:val="24"/>
          <w:lang w:val="sr-Cyrl-CS"/>
        </w:rPr>
      </w:pPr>
    </w:p>
    <w:p w:rsidR="00AA7EB9" w:rsidRDefault="00AA7EB9" w:rsidP="004E019C">
      <w:pPr>
        <w:shd w:val="clear" w:color="auto" w:fill="FFFFFF"/>
        <w:spacing w:after="0" w:line="285" w:lineRule="atLeast"/>
        <w:jc w:val="both"/>
        <w:rPr>
          <w:rFonts w:ascii="Times New Roman" w:hAnsi="Times New Roman"/>
          <w:color w:val="000000"/>
          <w:sz w:val="24"/>
          <w:szCs w:val="24"/>
          <w:lang w:val="sr-Cyrl-CS"/>
        </w:rPr>
      </w:pPr>
    </w:p>
    <w:p w:rsidR="00AA7EB9" w:rsidRDefault="00AA7EB9" w:rsidP="004E019C">
      <w:pPr>
        <w:shd w:val="clear" w:color="auto" w:fill="FFFFFF"/>
        <w:spacing w:after="0" w:line="285" w:lineRule="atLeast"/>
        <w:jc w:val="both"/>
        <w:rPr>
          <w:rFonts w:ascii="Times New Roman" w:hAnsi="Times New Roman"/>
          <w:color w:val="000000"/>
          <w:sz w:val="24"/>
          <w:szCs w:val="24"/>
          <w:lang w:val="sr-Cyrl-CS"/>
        </w:rPr>
      </w:pPr>
    </w:p>
    <w:p w:rsidR="00AA7EB9" w:rsidRPr="00AA7EB9" w:rsidRDefault="00AA7EB9" w:rsidP="004E019C">
      <w:pPr>
        <w:shd w:val="clear" w:color="auto" w:fill="FFFFFF"/>
        <w:spacing w:after="0" w:line="285" w:lineRule="atLeast"/>
        <w:jc w:val="both"/>
        <w:rPr>
          <w:rFonts w:ascii="Times New Roman" w:hAnsi="Times New Roman"/>
          <w:b/>
          <w:color w:val="000000"/>
          <w:sz w:val="24"/>
          <w:szCs w:val="24"/>
          <w:lang w:val="sr-Cyrl-CS"/>
        </w:rPr>
      </w:pPr>
    </w:p>
    <w:p w:rsidR="00AA7EB9" w:rsidRPr="00AA7EB9" w:rsidRDefault="00A74A8E" w:rsidP="004E019C">
      <w:pPr>
        <w:shd w:val="clear" w:color="auto" w:fill="FFFFFF"/>
        <w:spacing w:after="0" w:line="285" w:lineRule="atLeast"/>
        <w:jc w:val="both"/>
        <w:rPr>
          <w:rFonts w:ascii="Times New Roman" w:hAnsi="Times New Roman"/>
          <w:b/>
          <w:color w:val="000000"/>
          <w:sz w:val="24"/>
          <w:szCs w:val="24"/>
          <w:lang w:val="sr-Cyrl-CS"/>
        </w:rPr>
      </w:pPr>
      <w:r>
        <w:rPr>
          <w:rFonts w:ascii="Times New Roman" w:hAnsi="Times New Roman"/>
          <w:b/>
          <w:color w:val="000000"/>
          <w:sz w:val="24"/>
          <w:szCs w:val="24"/>
          <w:lang w:val="sr-Cyrl-CS"/>
        </w:rPr>
        <w:t>Табела 20</w:t>
      </w:r>
      <w:r w:rsidR="00AA7EB9">
        <w:rPr>
          <w:rFonts w:ascii="Times New Roman" w:hAnsi="Times New Roman"/>
          <w:b/>
          <w:color w:val="000000"/>
          <w:sz w:val="24"/>
          <w:szCs w:val="24"/>
          <w:lang w:val="sr-Cyrl-CS"/>
        </w:rPr>
        <w:t xml:space="preserve">. </w:t>
      </w:r>
      <w:r w:rsidR="00E61C79" w:rsidRPr="00AA7EB9">
        <w:rPr>
          <w:rFonts w:ascii="Times New Roman" w:hAnsi="Times New Roman"/>
          <w:b/>
          <w:color w:val="000000"/>
          <w:sz w:val="24"/>
          <w:szCs w:val="24"/>
          <w:lang w:val="sr-Cyrl-CS"/>
        </w:rPr>
        <w:t>Опште и посебне пор</w:t>
      </w:r>
      <w:r w:rsidR="00AA7EB9">
        <w:rPr>
          <w:rFonts w:ascii="Times New Roman" w:hAnsi="Times New Roman"/>
          <w:b/>
          <w:color w:val="000000"/>
          <w:sz w:val="24"/>
          <w:szCs w:val="24"/>
          <w:lang w:val="sr-Cyrl-CS"/>
        </w:rPr>
        <w:t>еске стопе у државама чланица ЕУ</w:t>
      </w:r>
    </w:p>
    <w:p w:rsidR="00E61C79" w:rsidRPr="00213044" w:rsidRDefault="00213044" w:rsidP="006D724E">
      <w:pPr>
        <w:pStyle w:val="NoSpacing"/>
        <w:jc w:val="both"/>
      </w:pPr>
      <w:r>
        <w:t>_________________________________________________________________________</w:t>
      </w:r>
    </w:p>
    <w:p w:rsidR="00E61C79" w:rsidRPr="00E61C79" w:rsidRDefault="00E61C79" w:rsidP="006D724E">
      <w:pPr>
        <w:pStyle w:val="NoSpacing"/>
        <w:jc w:val="both"/>
        <w:rPr>
          <w:sz w:val="20"/>
          <w:szCs w:val="20"/>
          <w:lang w:val="sr-Cyrl-CS"/>
        </w:rPr>
      </w:pPr>
      <w:r>
        <w:rPr>
          <w:sz w:val="20"/>
          <w:szCs w:val="20"/>
          <w:lang w:val="sr-Cyrl-CS"/>
        </w:rPr>
        <w:t>Држава чланица   посебе стопе мање од 5%     посебне стопе     опште стопе</w:t>
      </w:r>
    </w:p>
    <w:p w:rsidR="004E019C" w:rsidRPr="00213044" w:rsidRDefault="00213044" w:rsidP="006D724E">
      <w:pPr>
        <w:pStyle w:val="NoSpacing"/>
        <w:jc w:val="both"/>
      </w:pPr>
      <w:r>
        <w:t>_________________________________________________________________________</w:t>
      </w:r>
    </w:p>
    <w:p w:rsidR="00E61C79" w:rsidRPr="00213044" w:rsidRDefault="00AF3C57" w:rsidP="006D724E">
      <w:pPr>
        <w:pStyle w:val="NoSpacing"/>
        <w:jc w:val="both"/>
        <w:rPr>
          <w:sz w:val="16"/>
          <w:szCs w:val="16"/>
        </w:rPr>
      </w:pPr>
      <w:r>
        <w:rPr>
          <w:sz w:val="16"/>
          <w:szCs w:val="16"/>
          <w:lang w:val="sr-Cyrl-CS"/>
        </w:rPr>
        <w:t>БЕЛГИЈА</w:t>
      </w:r>
      <w:r w:rsidR="00E61C79" w:rsidRPr="00213044">
        <w:rPr>
          <w:sz w:val="16"/>
          <w:szCs w:val="16"/>
          <w:lang w:val="sr-Cyrl-CS"/>
        </w:rPr>
        <w:t xml:space="preserve">                    </w:t>
      </w:r>
      <w:r w:rsidR="00DA0A40">
        <w:rPr>
          <w:sz w:val="16"/>
          <w:szCs w:val="16"/>
        </w:rPr>
        <w:t xml:space="preserve">                 </w:t>
      </w:r>
      <w:r w:rsidR="00CE7E17">
        <w:rPr>
          <w:sz w:val="16"/>
          <w:szCs w:val="16"/>
          <w:lang w:val="sr-Cyrl-CS"/>
        </w:rPr>
        <w:t xml:space="preserve">       </w:t>
      </w:r>
      <w:r w:rsidR="00E61C79" w:rsidRPr="00213044">
        <w:rPr>
          <w:sz w:val="16"/>
          <w:szCs w:val="16"/>
          <w:lang w:val="sr-Cyrl-CS"/>
        </w:rPr>
        <w:t xml:space="preserve"> -                              </w:t>
      </w:r>
      <w:r w:rsidR="00DA0A40">
        <w:rPr>
          <w:sz w:val="16"/>
          <w:szCs w:val="16"/>
        </w:rPr>
        <w:t xml:space="preserve">                         </w:t>
      </w:r>
      <w:r w:rsidR="00E61C79" w:rsidRPr="00213044">
        <w:rPr>
          <w:sz w:val="16"/>
          <w:szCs w:val="16"/>
          <w:lang w:val="sr-Cyrl-CS"/>
        </w:rPr>
        <w:t xml:space="preserve">6 / 12 </w:t>
      </w:r>
      <w:r w:rsidR="0040225C" w:rsidRPr="00213044">
        <w:rPr>
          <w:sz w:val="16"/>
          <w:szCs w:val="16"/>
          <w:lang w:val="sr-Cyrl-CS"/>
        </w:rPr>
        <w:t xml:space="preserve">               </w:t>
      </w:r>
      <w:r w:rsidR="00DA0A40">
        <w:rPr>
          <w:sz w:val="16"/>
          <w:szCs w:val="16"/>
        </w:rPr>
        <w:t xml:space="preserve">          </w:t>
      </w:r>
      <w:r w:rsidR="0040225C" w:rsidRPr="00213044">
        <w:rPr>
          <w:sz w:val="16"/>
          <w:szCs w:val="16"/>
          <w:lang w:val="sr-Cyrl-CS"/>
        </w:rPr>
        <w:t xml:space="preserve">21 </w:t>
      </w:r>
      <w:r w:rsidR="00E61C79" w:rsidRPr="00213044">
        <w:rPr>
          <w:sz w:val="16"/>
          <w:szCs w:val="16"/>
          <w:lang w:val="sr-Cyrl-CS"/>
        </w:rPr>
        <w:t xml:space="preserve"> </w:t>
      </w:r>
    </w:p>
    <w:p w:rsidR="00213044" w:rsidRPr="00AF3C57" w:rsidRDefault="00213044" w:rsidP="006D724E">
      <w:pPr>
        <w:pStyle w:val="NoSpacing"/>
        <w:jc w:val="both"/>
        <w:rPr>
          <w:sz w:val="16"/>
          <w:szCs w:val="16"/>
          <w:lang w:val="sr-Cyrl-CS"/>
        </w:rPr>
      </w:pPr>
      <w:r w:rsidRPr="00213044">
        <w:rPr>
          <w:sz w:val="16"/>
          <w:szCs w:val="16"/>
        </w:rPr>
        <w:t>_________________________________________________________________________</w:t>
      </w:r>
      <w:r w:rsidR="00AF3C57">
        <w:rPr>
          <w:sz w:val="16"/>
          <w:szCs w:val="16"/>
          <w:lang w:val="sr-Cyrl-CS"/>
        </w:rPr>
        <w:t>____________________________________</w:t>
      </w:r>
    </w:p>
    <w:p w:rsidR="00E61C79" w:rsidRPr="00213044" w:rsidRDefault="00AF3C57" w:rsidP="006D724E">
      <w:pPr>
        <w:pStyle w:val="NoSpacing"/>
        <w:jc w:val="both"/>
        <w:rPr>
          <w:sz w:val="16"/>
          <w:szCs w:val="16"/>
        </w:rPr>
      </w:pPr>
      <w:r>
        <w:rPr>
          <w:sz w:val="16"/>
          <w:szCs w:val="16"/>
          <w:lang w:val="sr-Cyrl-CS"/>
        </w:rPr>
        <w:t>БУГАРСКА</w:t>
      </w:r>
      <w:r w:rsidR="00CE7E17">
        <w:rPr>
          <w:sz w:val="16"/>
          <w:szCs w:val="16"/>
          <w:lang w:val="sr-Cyrl-CS"/>
        </w:rPr>
        <w:t xml:space="preserve">                                   </w:t>
      </w:r>
      <w:r>
        <w:rPr>
          <w:sz w:val="16"/>
          <w:szCs w:val="16"/>
          <w:lang w:val="sr-Cyrl-CS"/>
        </w:rPr>
        <w:t xml:space="preserve">     </w:t>
      </w:r>
      <w:r w:rsidR="00CE7E17">
        <w:rPr>
          <w:sz w:val="16"/>
          <w:szCs w:val="16"/>
          <w:lang w:val="sr-Cyrl-CS"/>
        </w:rPr>
        <w:t xml:space="preserve">  </w:t>
      </w:r>
      <w:r w:rsidR="00120C2A">
        <w:rPr>
          <w:sz w:val="16"/>
          <w:szCs w:val="16"/>
          <w:lang w:val="sr-Cyrl-CS"/>
        </w:rPr>
        <w:t xml:space="preserve"> </w:t>
      </w:r>
      <w:r w:rsidR="0040225C" w:rsidRPr="00213044">
        <w:rPr>
          <w:sz w:val="16"/>
          <w:szCs w:val="16"/>
          <w:lang w:val="sr-Cyrl-CS"/>
        </w:rPr>
        <w:t xml:space="preserve">- </w:t>
      </w:r>
      <w:r w:rsidR="00CE7E17">
        <w:rPr>
          <w:sz w:val="16"/>
          <w:szCs w:val="16"/>
          <w:lang w:val="sr-Cyrl-CS"/>
        </w:rPr>
        <w:t xml:space="preserve">                                                       </w:t>
      </w:r>
      <w:r w:rsidR="0040225C" w:rsidRPr="00213044">
        <w:rPr>
          <w:sz w:val="16"/>
          <w:szCs w:val="16"/>
          <w:lang w:val="sr-Cyrl-CS"/>
        </w:rPr>
        <w:t xml:space="preserve">9 </w:t>
      </w:r>
      <w:r w:rsidR="00CE7E17">
        <w:rPr>
          <w:sz w:val="16"/>
          <w:szCs w:val="16"/>
          <w:lang w:val="sr-Cyrl-CS"/>
        </w:rPr>
        <w:t xml:space="preserve">                               </w:t>
      </w:r>
      <w:r w:rsidR="0040225C" w:rsidRPr="00213044">
        <w:rPr>
          <w:sz w:val="16"/>
          <w:szCs w:val="16"/>
          <w:lang w:val="sr-Cyrl-CS"/>
        </w:rPr>
        <w:t xml:space="preserve">20 </w:t>
      </w:r>
    </w:p>
    <w:p w:rsidR="00213044" w:rsidRPr="00AF3C57" w:rsidRDefault="00213044" w:rsidP="006D724E">
      <w:pPr>
        <w:pStyle w:val="NoSpacing"/>
        <w:jc w:val="both"/>
        <w:rPr>
          <w:sz w:val="16"/>
          <w:szCs w:val="16"/>
          <w:lang w:val="sr-Cyrl-CS"/>
        </w:rPr>
      </w:pPr>
      <w:r w:rsidRPr="00213044">
        <w:rPr>
          <w:sz w:val="16"/>
          <w:szCs w:val="16"/>
        </w:rPr>
        <w:t>_________________________________________________________________________</w:t>
      </w:r>
      <w:r w:rsidR="00AF3C57">
        <w:rPr>
          <w:sz w:val="16"/>
          <w:szCs w:val="16"/>
          <w:lang w:val="sr-Cyrl-CS"/>
        </w:rPr>
        <w:t>____________________________________</w:t>
      </w:r>
    </w:p>
    <w:p w:rsidR="00213044" w:rsidRPr="00213044" w:rsidRDefault="00AF3C57" w:rsidP="006D724E">
      <w:pPr>
        <w:pStyle w:val="NoSpacing"/>
        <w:jc w:val="both"/>
        <w:rPr>
          <w:sz w:val="16"/>
          <w:szCs w:val="16"/>
        </w:rPr>
      </w:pPr>
      <w:r>
        <w:rPr>
          <w:sz w:val="16"/>
          <w:szCs w:val="16"/>
          <w:lang w:val="sr-Cyrl-CS"/>
        </w:rPr>
        <w:t>ЧЕШКА РЕПУБЛИКА</w:t>
      </w:r>
      <w:r w:rsidR="00CE7E17">
        <w:rPr>
          <w:sz w:val="16"/>
          <w:szCs w:val="16"/>
          <w:lang w:val="sr-Cyrl-CS"/>
        </w:rPr>
        <w:t xml:space="preserve">                     </w:t>
      </w:r>
      <w:r w:rsidR="0040225C" w:rsidRPr="00213044">
        <w:rPr>
          <w:sz w:val="16"/>
          <w:szCs w:val="16"/>
          <w:lang w:val="sr-Cyrl-CS"/>
        </w:rPr>
        <w:t xml:space="preserve"> </w:t>
      </w:r>
      <w:r w:rsidR="00120C2A">
        <w:rPr>
          <w:sz w:val="16"/>
          <w:szCs w:val="16"/>
          <w:lang w:val="sr-Cyrl-CS"/>
        </w:rPr>
        <w:t xml:space="preserve">     </w:t>
      </w:r>
      <w:r w:rsidR="00CE7E17">
        <w:rPr>
          <w:sz w:val="16"/>
          <w:szCs w:val="16"/>
          <w:lang w:val="sr-Cyrl-CS"/>
        </w:rPr>
        <w:t xml:space="preserve"> </w:t>
      </w:r>
      <w:r w:rsidR="0040225C" w:rsidRPr="00213044">
        <w:rPr>
          <w:sz w:val="16"/>
          <w:szCs w:val="16"/>
          <w:lang w:val="sr-Cyrl-CS"/>
        </w:rPr>
        <w:t xml:space="preserve">- </w:t>
      </w:r>
      <w:r w:rsidR="00CE7E17">
        <w:rPr>
          <w:sz w:val="16"/>
          <w:szCs w:val="16"/>
          <w:lang w:val="sr-Cyrl-CS"/>
        </w:rPr>
        <w:t xml:space="preserve">                       </w:t>
      </w:r>
      <w:r w:rsidR="00120C2A">
        <w:rPr>
          <w:sz w:val="16"/>
          <w:szCs w:val="16"/>
          <w:lang w:val="sr-Cyrl-CS"/>
        </w:rPr>
        <w:t xml:space="preserve">                               </w:t>
      </w:r>
      <w:r w:rsidR="0040225C" w:rsidRPr="00213044">
        <w:rPr>
          <w:sz w:val="16"/>
          <w:szCs w:val="16"/>
          <w:lang w:val="sr-Cyrl-CS"/>
        </w:rPr>
        <w:t xml:space="preserve">15 </w:t>
      </w:r>
      <w:r w:rsidR="00CE7E17">
        <w:rPr>
          <w:sz w:val="16"/>
          <w:szCs w:val="16"/>
          <w:lang w:val="sr-Cyrl-CS"/>
        </w:rPr>
        <w:t xml:space="preserve">                            </w:t>
      </w:r>
      <w:r w:rsidR="00120C2A">
        <w:rPr>
          <w:sz w:val="16"/>
          <w:szCs w:val="16"/>
          <w:lang w:val="sr-Cyrl-CS"/>
        </w:rPr>
        <w:t xml:space="preserve"> </w:t>
      </w:r>
      <w:r w:rsidR="00CE7E17">
        <w:rPr>
          <w:sz w:val="16"/>
          <w:szCs w:val="16"/>
          <w:lang w:val="sr-Cyrl-CS"/>
        </w:rPr>
        <w:t xml:space="preserve"> </w:t>
      </w:r>
      <w:r w:rsidR="0040225C" w:rsidRPr="00213044">
        <w:rPr>
          <w:sz w:val="16"/>
          <w:szCs w:val="16"/>
          <w:lang w:val="sr-Cyrl-CS"/>
        </w:rPr>
        <w:t>21</w:t>
      </w:r>
    </w:p>
    <w:p w:rsidR="00E61C79" w:rsidRPr="00213044" w:rsidRDefault="00213044" w:rsidP="006D724E">
      <w:pPr>
        <w:pStyle w:val="NoSpacing"/>
        <w:jc w:val="both"/>
        <w:rPr>
          <w:sz w:val="16"/>
          <w:szCs w:val="16"/>
          <w:lang w:val="sr-Cyrl-CS"/>
        </w:rPr>
      </w:pPr>
      <w:r w:rsidRPr="00213044">
        <w:rPr>
          <w:sz w:val="16"/>
          <w:szCs w:val="16"/>
        </w:rPr>
        <w:t>__________________________________________________________________________</w:t>
      </w:r>
      <w:r w:rsidR="00AF3C57">
        <w:rPr>
          <w:sz w:val="16"/>
          <w:szCs w:val="16"/>
          <w:lang w:val="sr-Cyrl-CS"/>
        </w:rPr>
        <w:t>___________________________________</w:t>
      </w:r>
      <w:r w:rsidR="0040225C" w:rsidRPr="00213044">
        <w:rPr>
          <w:sz w:val="16"/>
          <w:szCs w:val="16"/>
          <w:lang w:val="sr-Cyrl-CS"/>
        </w:rPr>
        <w:t xml:space="preserve"> </w:t>
      </w:r>
      <w:r w:rsidR="00E61C79" w:rsidRPr="00213044">
        <w:rPr>
          <w:sz w:val="16"/>
          <w:szCs w:val="16"/>
          <w:lang w:val="sr-Cyrl-CS"/>
        </w:rPr>
        <w:t xml:space="preserve"> </w:t>
      </w:r>
    </w:p>
    <w:p w:rsidR="00E61C79" w:rsidRPr="00213044" w:rsidRDefault="00AF3C57" w:rsidP="006D724E">
      <w:pPr>
        <w:pStyle w:val="NoSpacing"/>
        <w:jc w:val="both"/>
        <w:rPr>
          <w:sz w:val="16"/>
          <w:szCs w:val="16"/>
        </w:rPr>
      </w:pPr>
      <w:r>
        <w:rPr>
          <w:sz w:val="16"/>
          <w:szCs w:val="16"/>
          <w:lang w:val="sr-Cyrl-CS"/>
        </w:rPr>
        <w:t>ДАНСКА</w:t>
      </w:r>
      <w:r w:rsidR="00CE7E17">
        <w:rPr>
          <w:sz w:val="16"/>
          <w:szCs w:val="16"/>
          <w:lang w:val="sr-Cyrl-CS"/>
        </w:rPr>
        <w:t xml:space="preserve">                                              </w:t>
      </w:r>
      <w:r w:rsidR="0040225C" w:rsidRPr="00213044">
        <w:rPr>
          <w:sz w:val="16"/>
          <w:szCs w:val="16"/>
          <w:lang w:val="sr-Cyrl-CS"/>
        </w:rPr>
        <w:t xml:space="preserve">- </w:t>
      </w:r>
      <w:r w:rsidR="00CE7E17">
        <w:rPr>
          <w:sz w:val="16"/>
          <w:szCs w:val="16"/>
          <w:lang w:val="sr-Cyrl-CS"/>
        </w:rPr>
        <w:t xml:space="preserve">                                                       </w:t>
      </w:r>
      <w:r w:rsidR="0040225C" w:rsidRPr="00213044">
        <w:rPr>
          <w:sz w:val="16"/>
          <w:szCs w:val="16"/>
          <w:lang w:val="sr-Cyrl-CS"/>
        </w:rPr>
        <w:t xml:space="preserve">- </w:t>
      </w:r>
      <w:r w:rsidR="00CE7E17">
        <w:rPr>
          <w:sz w:val="16"/>
          <w:szCs w:val="16"/>
          <w:lang w:val="sr-Cyrl-CS"/>
        </w:rPr>
        <w:t xml:space="preserve">                               </w:t>
      </w:r>
      <w:r w:rsidR="00120C2A">
        <w:rPr>
          <w:sz w:val="16"/>
          <w:szCs w:val="16"/>
          <w:lang w:val="sr-Cyrl-CS"/>
        </w:rPr>
        <w:t xml:space="preserve"> </w:t>
      </w:r>
      <w:r w:rsidR="0040225C" w:rsidRPr="00213044">
        <w:rPr>
          <w:sz w:val="16"/>
          <w:szCs w:val="16"/>
          <w:lang w:val="sr-Cyrl-CS"/>
        </w:rPr>
        <w:t xml:space="preserve">25 </w:t>
      </w:r>
      <w:r w:rsidR="00E61C79" w:rsidRPr="00213044">
        <w:rPr>
          <w:sz w:val="16"/>
          <w:szCs w:val="16"/>
          <w:lang w:val="sr-Cyrl-CS"/>
        </w:rPr>
        <w:t xml:space="preserve"> </w:t>
      </w:r>
    </w:p>
    <w:p w:rsidR="00213044" w:rsidRPr="00AF3C57" w:rsidRDefault="00213044" w:rsidP="006D724E">
      <w:pPr>
        <w:pStyle w:val="NoSpacing"/>
        <w:jc w:val="both"/>
        <w:rPr>
          <w:sz w:val="16"/>
          <w:szCs w:val="16"/>
          <w:lang w:val="sr-Cyrl-CS"/>
        </w:rPr>
      </w:pPr>
      <w:r w:rsidRPr="00213044">
        <w:rPr>
          <w:sz w:val="16"/>
          <w:szCs w:val="16"/>
        </w:rPr>
        <w:t>___________________________________________________________________________</w:t>
      </w:r>
      <w:r w:rsidR="00AF3C57">
        <w:rPr>
          <w:sz w:val="16"/>
          <w:szCs w:val="16"/>
          <w:lang w:val="sr-Cyrl-CS"/>
        </w:rPr>
        <w:t>__________________________________</w:t>
      </w:r>
    </w:p>
    <w:p w:rsidR="00213044" w:rsidRPr="00213044" w:rsidRDefault="00AF3C57" w:rsidP="006D724E">
      <w:pPr>
        <w:pStyle w:val="NoSpacing"/>
        <w:jc w:val="both"/>
        <w:rPr>
          <w:sz w:val="16"/>
          <w:szCs w:val="16"/>
        </w:rPr>
      </w:pPr>
      <w:r>
        <w:rPr>
          <w:sz w:val="16"/>
          <w:szCs w:val="16"/>
          <w:lang w:val="sr-Cyrl-CS"/>
        </w:rPr>
        <w:t>НЕМАЧКА</w:t>
      </w:r>
      <w:r w:rsidR="00CE7E17">
        <w:rPr>
          <w:sz w:val="16"/>
          <w:szCs w:val="16"/>
          <w:lang w:val="sr-Cyrl-CS"/>
        </w:rPr>
        <w:t xml:space="preserve">            </w:t>
      </w:r>
      <w:r w:rsidR="00120C2A">
        <w:rPr>
          <w:sz w:val="16"/>
          <w:szCs w:val="16"/>
          <w:lang w:val="sr-Cyrl-CS"/>
        </w:rPr>
        <w:t xml:space="preserve">                               </w:t>
      </w:r>
      <w:r w:rsidR="0040225C" w:rsidRPr="00213044">
        <w:rPr>
          <w:sz w:val="16"/>
          <w:szCs w:val="16"/>
          <w:lang w:val="sr-Cyrl-CS"/>
        </w:rPr>
        <w:t xml:space="preserve"> - </w:t>
      </w:r>
      <w:r w:rsidR="00CE7E17">
        <w:rPr>
          <w:sz w:val="16"/>
          <w:szCs w:val="16"/>
          <w:lang w:val="sr-Cyrl-CS"/>
        </w:rPr>
        <w:t xml:space="preserve">                                                     </w:t>
      </w:r>
      <w:r w:rsidR="00120C2A">
        <w:rPr>
          <w:sz w:val="16"/>
          <w:szCs w:val="16"/>
          <w:lang w:val="sr-Cyrl-CS"/>
        </w:rPr>
        <w:t xml:space="preserve">  </w:t>
      </w:r>
      <w:r w:rsidR="00CE7E17">
        <w:rPr>
          <w:sz w:val="16"/>
          <w:szCs w:val="16"/>
          <w:lang w:val="sr-Cyrl-CS"/>
        </w:rPr>
        <w:t xml:space="preserve"> </w:t>
      </w:r>
      <w:r w:rsidR="0040225C" w:rsidRPr="00213044">
        <w:rPr>
          <w:sz w:val="16"/>
          <w:szCs w:val="16"/>
          <w:lang w:val="sr-Cyrl-CS"/>
        </w:rPr>
        <w:t xml:space="preserve">7 </w:t>
      </w:r>
      <w:r w:rsidR="00120C2A">
        <w:rPr>
          <w:sz w:val="16"/>
          <w:szCs w:val="16"/>
          <w:lang w:val="sr-Cyrl-CS"/>
        </w:rPr>
        <w:t xml:space="preserve">                              </w:t>
      </w:r>
      <w:r w:rsidR="0040225C" w:rsidRPr="00213044">
        <w:rPr>
          <w:sz w:val="16"/>
          <w:szCs w:val="16"/>
          <w:lang w:val="sr-Cyrl-CS"/>
        </w:rPr>
        <w:t>19</w:t>
      </w:r>
    </w:p>
    <w:p w:rsidR="00E61C79" w:rsidRPr="00213044" w:rsidRDefault="00213044" w:rsidP="006D724E">
      <w:pPr>
        <w:pStyle w:val="NoSpacing"/>
        <w:jc w:val="both"/>
        <w:rPr>
          <w:sz w:val="16"/>
          <w:szCs w:val="16"/>
          <w:lang w:val="sr-Cyrl-CS"/>
        </w:rPr>
      </w:pPr>
      <w:r w:rsidRPr="00213044">
        <w:rPr>
          <w:sz w:val="16"/>
          <w:szCs w:val="16"/>
        </w:rPr>
        <w:t>___________________________________________________________________________</w:t>
      </w:r>
      <w:r w:rsidR="00AF3C57">
        <w:rPr>
          <w:sz w:val="16"/>
          <w:szCs w:val="16"/>
          <w:lang w:val="sr-Cyrl-CS"/>
        </w:rPr>
        <w:t>__________________________________</w:t>
      </w:r>
      <w:r w:rsidR="00E61C79" w:rsidRPr="00213044">
        <w:rPr>
          <w:sz w:val="16"/>
          <w:szCs w:val="16"/>
          <w:lang w:val="sr-Cyrl-CS"/>
        </w:rPr>
        <w:t xml:space="preserve"> </w:t>
      </w:r>
    </w:p>
    <w:p w:rsidR="00E61C79" w:rsidRPr="00213044" w:rsidRDefault="00AF3C57" w:rsidP="006D724E">
      <w:pPr>
        <w:pStyle w:val="NoSpacing"/>
        <w:jc w:val="both"/>
        <w:rPr>
          <w:sz w:val="16"/>
          <w:szCs w:val="16"/>
        </w:rPr>
      </w:pPr>
      <w:r>
        <w:rPr>
          <w:sz w:val="16"/>
          <w:szCs w:val="16"/>
          <w:lang w:val="sr-Cyrl-CS"/>
        </w:rPr>
        <w:t xml:space="preserve">ЕСТОНИЈА           </w:t>
      </w:r>
      <w:r w:rsidR="00120C2A">
        <w:rPr>
          <w:sz w:val="16"/>
          <w:szCs w:val="16"/>
          <w:lang w:val="sr-Cyrl-CS"/>
        </w:rPr>
        <w:t xml:space="preserve">                               </w:t>
      </w:r>
      <w:r w:rsidR="00213044" w:rsidRPr="00213044">
        <w:rPr>
          <w:sz w:val="16"/>
          <w:szCs w:val="16"/>
          <w:lang w:val="sr-Cyrl-CS"/>
        </w:rPr>
        <w:t xml:space="preserve"> - </w:t>
      </w:r>
      <w:r>
        <w:rPr>
          <w:sz w:val="16"/>
          <w:szCs w:val="16"/>
          <w:lang w:val="sr-Cyrl-CS"/>
        </w:rPr>
        <w:t xml:space="preserve">                                                       </w:t>
      </w:r>
      <w:r w:rsidR="00120C2A">
        <w:rPr>
          <w:sz w:val="16"/>
          <w:szCs w:val="16"/>
          <w:lang w:val="sr-Cyrl-CS"/>
        </w:rPr>
        <w:t xml:space="preserve"> </w:t>
      </w:r>
      <w:r w:rsidR="00213044" w:rsidRPr="00213044">
        <w:rPr>
          <w:sz w:val="16"/>
          <w:szCs w:val="16"/>
          <w:lang w:val="sr-Cyrl-CS"/>
        </w:rPr>
        <w:t xml:space="preserve">9 </w:t>
      </w:r>
      <w:r>
        <w:rPr>
          <w:sz w:val="16"/>
          <w:szCs w:val="16"/>
          <w:lang w:val="sr-Cyrl-CS"/>
        </w:rPr>
        <w:t xml:space="preserve">                             </w:t>
      </w:r>
      <w:r w:rsidR="00120C2A">
        <w:rPr>
          <w:sz w:val="16"/>
          <w:szCs w:val="16"/>
          <w:lang w:val="sr-Cyrl-CS"/>
        </w:rPr>
        <w:t xml:space="preserve"> </w:t>
      </w:r>
      <w:r>
        <w:rPr>
          <w:sz w:val="16"/>
          <w:szCs w:val="16"/>
          <w:lang w:val="sr-Cyrl-CS"/>
        </w:rPr>
        <w:t xml:space="preserve"> </w:t>
      </w:r>
      <w:r w:rsidR="00213044" w:rsidRPr="00213044">
        <w:rPr>
          <w:sz w:val="16"/>
          <w:szCs w:val="16"/>
          <w:lang w:val="sr-Cyrl-CS"/>
        </w:rPr>
        <w:t xml:space="preserve">20 </w:t>
      </w:r>
    </w:p>
    <w:p w:rsidR="00213044" w:rsidRPr="00AF3C57" w:rsidRDefault="00213044" w:rsidP="006D724E">
      <w:pPr>
        <w:pStyle w:val="NoSpacing"/>
        <w:jc w:val="both"/>
        <w:rPr>
          <w:sz w:val="16"/>
          <w:szCs w:val="16"/>
          <w:lang w:val="sr-Cyrl-CS"/>
        </w:rPr>
      </w:pPr>
      <w:r w:rsidRPr="00213044">
        <w:rPr>
          <w:sz w:val="16"/>
          <w:szCs w:val="16"/>
        </w:rPr>
        <w:t>__________________________________________________________________________</w:t>
      </w:r>
      <w:r w:rsidR="00AF3C57">
        <w:rPr>
          <w:sz w:val="16"/>
          <w:szCs w:val="16"/>
          <w:lang w:val="sr-Cyrl-CS"/>
        </w:rPr>
        <w:t>___________________________________</w:t>
      </w:r>
    </w:p>
    <w:p w:rsidR="00213044" w:rsidRPr="00213044" w:rsidRDefault="00AF3C57" w:rsidP="006D724E">
      <w:pPr>
        <w:pStyle w:val="NoSpacing"/>
        <w:jc w:val="both"/>
        <w:rPr>
          <w:sz w:val="16"/>
          <w:szCs w:val="16"/>
        </w:rPr>
      </w:pPr>
      <w:r>
        <w:rPr>
          <w:sz w:val="16"/>
          <w:szCs w:val="16"/>
          <w:lang w:val="sr-Cyrl-CS"/>
        </w:rPr>
        <w:t xml:space="preserve">ГРЧКА                  </w:t>
      </w:r>
      <w:r w:rsidR="00120C2A">
        <w:rPr>
          <w:sz w:val="16"/>
          <w:szCs w:val="16"/>
          <w:lang w:val="sr-Cyrl-CS"/>
        </w:rPr>
        <w:t xml:space="preserve">                               </w:t>
      </w:r>
      <w:r w:rsidR="0040225C" w:rsidRPr="00213044">
        <w:rPr>
          <w:sz w:val="16"/>
          <w:szCs w:val="16"/>
          <w:lang w:val="sr-Cyrl-CS"/>
        </w:rPr>
        <w:t xml:space="preserve"> - </w:t>
      </w:r>
      <w:r>
        <w:rPr>
          <w:sz w:val="16"/>
          <w:szCs w:val="16"/>
          <w:lang w:val="sr-Cyrl-CS"/>
        </w:rPr>
        <w:t xml:space="preserve">                                                 </w:t>
      </w:r>
      <w:r w:rsidR="0040225C" w:rsidRPr="00213044">
        <w:rPr>
          <w:sz w:val="16"/>
          <w:szCs w:val="16"/>
          <w:lang w:val="sr-Cyrl-CS"/>
        </w:rPr>
        <w:t xml:space="preserve">6,5 / 13 </w:t>
      </w:r>
      <w:r w:rsidR="00D71874">
        <w:rPr>
          <w:sz w:val="16"/>
          <w:szCs w:val="16"/>
          <w:lang w:val="sr-Cyrl-CS"/>
        </w:rPr>
        <w:t xml:space="preserve">                   </w:t>
      </w:r>
      <w:r>
        <w:rPr>
          <w:sz w:val="16"/>
          <w:szCs w:val="16"/>
          <w:lang w:val="sr-Cyrl-CS"/>
        </w:rPr>
        <w:t xml:space="preserve"> </w:t>
      </w:r>
      <w:r w:rsidR="00120C2A">
        <w:rPr>
          <w:sz w:val="16"/>
          <w:szCs w:val="16"/>
          <w:lang w:val="sr-Cyrl-CS"/>
        </w:rPr>
        <w:t xml:space="preserve">     </w:t>
      </w:r>
      <w:r>
        <w:rPr>
          <w:sz w:val="16"/>
          <w:szCs w:val="16"/>
          <w:lang w:val="sr-Cyrl-CS"/>
        </w:rPr>
        <w:t xml:space="preserve"> </w:t>
      </w:r>
      <w:r w:rsidR="0040225C" w:rsidRPr="00213044">
        <w:rPr>
          <w:sz w:val="16"/>
          <w:szCs w:val="16"/>
          <w:lang w:val="sr-Cyrl-CS"/>
        </w:rPr>
        <w:t>23</w:t>
      </w:r>
    </w:p>
    <w:p w:rsidR="00E61C79" w:rsidRPr="00213044" w:rsidRDefault="00213044" w:rsidP="006D724E">
      <w:pPr>
        <w:pStyle w:val="NoSpacing"/>
        <w:jc w:val="both"/>
        <w:rPr>
          <w:sz w:val="16"/>
          <w:szCs w:val="16"/>
          <w:lang w:val="sr-Cyrl-CS"/>
        </w:rPr>
      </w:pPr>
      <w:r w:rsidRPr="00213044">
        <w:rPr>
          <w:sz w:val="16"/>
          <w:szCs w:val="16"/>
        </w:rPr>
        <w:t>__________________________________________________________________________</w:t>
      </w:r>
      <w:r w:rsidR="00AF3C57">
        <w:rPr>
          <w:sz w:val="16"/>
          <w:szCs w:val="16"/>
          <w:lang w:val="sr-Cyrl-CS"/>
        </w:rPr>
        <w:t>___________________________________</w:t>
      </w:r>
      <w:r w:rsidR="0040225C" w:rsidRPr="00213044">
        <w:rPr>
          <w:sz w:val="16"/>
          <w:szCs w:val="16"/>
          <w:lang w:val="sr-Cyrl-CS"/>
        </w:rPr>
        <w:t xml:space="preserve"> </w:t>
      </w:r>
    </w:p>
    <w:p w:rsidR="00213044" w:rsidRPr="00213044" w:rsidRDefault="00AF3C57" w:rsidP="006D724E">
      <w:pPr>
        <w:pStyle w:val="NoSpacing"/>
        <w:jc w:val="both"/>
        <w:rPr>
          <w:sz w:val="16"/>
          <w:szCs w:val="16"/>
        </w:rPr>
      </w:pPr>
      <w:r>
        <w:rPr>
          <w:sz w:val="16"/>
          <w:szCs w:val="16"/>
          <w:lang w:val="sr-Cyrl-CS"/>
        </w:rPr>
        <w:t xml:space="preserve">ШПАНИЈА                                           </w:t>
      </w:r>
      <w:r w:rsidR="0040225C" w:rsidRPr="00213044">
        <w:rPr>
          <w:sz w:val="16"/>
          <w:szCs w:val="16"/>
          <w:lang w:val="sr-Cyrl-CS"/>
        </w:rPr>
        <w:t xml:space="preserve"> </w:t>
      </w:r>
      <w:r w:rsidR="00120C2A">
        <w:rPr>
          <w:sz w:val="16"/>
          <w:szCs w:val="16"/>
          <w:lang w:val="sr-Cyrl-CS"/>
        </w:rPr>
        <w:t xml:space="preserve"> </w:t>
      </w:r>
      <w:r w:rsidR="0040225C" w:rsidRPr="00213044">
        <w:rPr>
          <w:sz w:val="16"/>
          <w:szCs w:val="16"/>
          <w:lang w:val="sr-Cyrl-CS"/>
        </w:rPr>
        <w:t xml:space="preserve">4 </w:t>
      </w:r>
      <w:r>
        <w:rPr>
          <w:sz w:val="16"/>
          <w:szCs w:val="16"/>
          <w:lang w:val="sr-Cyrl-CS"/>
        </w:rPr>
        <w:t xml:space="preserve">                       </w:t>
      </w:r>
      <w:r w:rsidR="00120C2A">
        <w:rPr>
          <w:sz w:val="16"/>
          <w:szCs w:val="16"/>
          <w:lang w:val="sr-Cyrl-CS"/>
        </w:rPr>
        <w:t xml:space="preserve">                              </w:t>
      </w:r>
      <w:r w:rsidR="0040225C" w:rsidRPr="00213044">
        <w:rPr>
          <w:sz w:val="16"/>
          <w:szCs w:val="16"/>
          <w:lang w:val="sr-Cyrl-CS"/>
        </w:rPr>
        <w:t xml:space="preserve">10 </w:t>
      </w:r>
      <w:r>
        <w:rPr>
          <w:sz w:val="16"/>
          <w:szCs w:val="16"/>
          <w:lang w:val="sr-Cyrl-CS"/>
        </w:rPr>
        <w:t xml:space="preserve">                            </w:t>
      </w:r>
      <w:r w:rsidR="00120C2A">
        <w:rPr>
          <w:sz w:val="16"/>
          <w:szCs w:val="16"/>
          <w:lang w:val="sr-Cyrl-CS"/>
        </w:rPr>
        <w:t xml:space="preserve"> </w:t>
      </w:r>
      <w:r w:rsidR="0040225C" w:rsidRPr="00213044">
        <w:rPr>
          <w:sz w:val="16"/>
          <w:szCs w:val="16"/>
          <w:lang w:val="sr-Cyrl-CS"/>
        </w:rPr>
        <w:t>21</w:t>
      </w:r>
    </w:p>
    <w:p w:rsidR="00E61C79" w:rsidRPr="00213044" w:rsidRDefault="00213044" w:rsidP="006D724E">
      <w:pPr>
        <w:pStyle w:val="NoSpacing"/>
        <w:jc w:val="both"/>
        <w:rPr>
          <w:sz w:val="16"/>
          <w:szCs w:val="16"/>
          <w:lang w:val="sr-Cyrl-CS"/>
        </w:rPr>
      </w:pPr>
      <w:r w:rsidRPr="00213044">
        <w:rPr>
          <w:sz w:val="16"/>
          <w:szCs w:val="16"/>
        </w:rPr>
        <w:t>___________________________________________________________________________</w:t>
      </w:r>
      <w:r w:rsidR="00AF3C57">
        <w:rPr>
          <w:sz w:val="16"/>
          <w:szCs w:val="16"/>
          <w:lang w:val="sr-Cyrl-CS"/>
        </w:rPr>
        <w:t>__________________________________</w:t>
      </w:r>
      <w:r w:rsidR="0040225C" w:rsidRPr="00213044">
        <w:rPr>
          <w:sz w:val="16"/>
          <w:szCs w:val="16"/>
          <w:lang w:val="sr-Cyrl-CS"/>
        </w:rPr>
        <w:t xml:space="preserve"> </w:t>
      </w:r>
      <w:r w:rsidR="00E61C79" w:rsidRPr="00213044">
        <w:rPr>
          <w:sz w:val="16"/>
          <w:szCs w:val="16"/>
          <w:lang w:val="sr-Cyrl-CS"/>
        </w:rPr>
        <w:t xml:space="preserve"> </w:t>
      </w:r>
    </w:p>
    <w:p w:rsidR="00213044" w:rsidRPr="00213044" w:rsidRDefault="00AF3C57" w:rsidP="006D724E">
      <w:pPr>
        <w:pStyle w:val="NoSpacing"/>
        <w:jc w:val="both"/>
        <w:rPr>
          <w:sz w:val="16"/>
          <w:szCs w:val="16"/>
        </w:rPr>
      </w:pPr>
      <w:r>
        <w:rPr>
          <w:sz w:val="16"/>
          <w:szCs w:val="16"/>
          <w:lang w:val="sr-Cyrl-CS"/>
        </w:rPr>
        <w:t xml:space="preserve">ФРАНЦУСКА                                     </w:t>
      </w:r>
      <w:r w:rsidR="0040225C" w:rsidRPr="00213044">
        <w:rPr>
          <w:sz w:val="16"/>
          <w:szCs w:val="16"/>
          <w:lang w:val="sr-Cyrl-CS"/>
        </w:rPr>
        <w:t xml:space="preserve"> </w:t>
      </w:r>
      <w:r w:rsidR="00120C2A">
        <w:rPr>
          <w:sz w:val="16"/>
          <w:szCs w:val="16"/>
          <w:lang w:val="sr-Cyrl-CS"/>
        </w:rPr>
        <w:t xml:space="preserve"> </w:t>
      </w:r>
      <w:r w:rsidR="0040225C" w:rsidRPr="00213044">
        <w:rPr>
          <w:sz w:val="16"/>
          <w:szCs w:val="16"/>
          <w:lang w:val="sr-Cyrl-CS"/>
        </w:rPr>
        <w:t xml:space="preserve">2,1 </w:t>
      </w:r>
      <w:r>
        <w:rPr>
          <w:sz w:val="16"/>
          <w:szCs w:val="16"/>
          <w:lang w:val="sr-Cyrl-CS"/>
        </w:rPr>
        <w:t xml:space="preserve">                     </w:t>
      </w:r>
      <w:r w:rsidR="00120C2A">
        <w:rPr>
          <w:sz w:val="16"/>
          <w:szCs w:val="16"/>
          <w:lang w:val="sr-Cyrl-CS"/>
        </w:rPr>
        <w:t xml:space="preserve">                           </w:t>
      </w:r>
      <w:r w:rsidR="0040225C" w:rsidRPr="00213044">
        <w:rPr>
          <w:sz w:val="16"/>
          <w:szCs w:val="16"/>
          <w:lang w:val="sr-Cyrl-CS"/>
        </w:rPr>
        <w:t xml:space="preserve">5,5 / 7 </w:t>
      </w:r>
      <w:r>
        <w:rPr>
          <w:sz w:val="16"/>
          <w:szCs w:val="16"/>
          <w:lang w:val="sr-Cyrl-CS"/>
        </w:rPr>
        <w:t xml:space="preserve">                    </w:t>
      </w:r>
      <w:r w:rsidR="00120C2A">
        <w:rPr>
          <w:sz w:val="16"/>
          <w:szCs w:val="16"/>
          <w:lang w:val="sr-Cyrl-CS"/>
        </w:rPr>
        <w:t xml:space="preserve">    </w:t>
      </w:r>
      <w:r w:rsidR="0040225C" w:rsidRPr="00213044">
        <w:rPr>
          <w:sz w:val="16"/>
          <w:szCs w:val="16"/>
          <w:lang w:val="sr-Cyrl-CS"/>
        </w:rPr>
        <w:t xml:space="preserve">19,6 </w:t>
      </w:r>
    </w:p>
    <w:p w:rsidR="00E61C79" w:rsidRPr="00213044" w:rsidRDefault="00213044" w:rsidP="006D724E">
      <w:pPr>
        <w:pStyle w:val="NoSpacing"/>
        <w:jc w:val="both"/>
        <w:rPr>
          <w:sz w:val="16"/>
          <w:szCs w:val="16"/>
          <w:lang w:val="sr-Cyrl-CS"/>
        </w:rPr>
      </w:pPr>
      <w:r w:rsidRPr="00213044">
        <w:rPr>
          <w:sz w:val="16"/>
          <w:szCs w:val="16"/>
        </w:rPr>
        <w:t>__________________________________________________________________________</w:t>
      </w:r>
      <w:r w:rsidR="00AF3C57">
        <w:rPr>
          <w:sz w:val="16"/>
          <w:szCs w:val="16"/>
          <w:lang w:val="sr-Cyrl-CS"/>
        </w:rPr>
        <w:t>___________________________________</w:t>
      </w:r>
    </w:p>
    <w:p w:rsidR="00E61C79" w:rsidRPr="00213044" w:rsidRDefault="00AF3C57" w:rsidP="006D724E">
      <w:pPr>
        <w:pStyle w:val="NoSpacing"/>
        <w:jc w:val="both"/>
        <w:rPr>
          <w:sz w:val="16"/>
          <w:szCs w:val="16"/>
        </w:rPr>
      </w:pPr>
      <w:r>
        <w:rPr>
          <w:sz w:val="16"/>
          <w:szCs w:val="16"/>
          <w:lang w:val="sr-Cyrl-CS"/>
        </w:rPr>
        <w:t xml:space="preserve">ХРВАТСКА                                          </w:t>
      </w:r>
      <w:r w:rsidR="0040225C" w:rsidRPr="00213044">
        <w:rPr>
          <w:sz w:val="16"/>
          <w:szCs w:val="16"/>
          <w:lang w:val="sr-Cyrl-CS"/>
        </w:rPr>
        <w:t xml:space="preserve"> </w:t>
      </w:r>
      <w:r w:rsidR="00120C2A">
        <w:rPr>
          <w:sz w:val="16"/>
          <w:szCs w:val="16"/>
          <w:lang w:val="sr-Cyrl-CS"/>
        </w:rPr>
        <w:t xml:space="preserve"> </w:t>
      </w:r>
      <w:r w:rsidR="0040225C" w:rsidRPr="00213044">
        <w:rPr>
          <w:sz w:val="16"/>
          <w:szCs w:val="16"/>
          <w:lang w:val="sr-Cyrl-CS"/>
        </w:rPr>
        <w:t xml:space="preserve">- </w:t>
      </w:r>
      <w:r>
        <w:rPr>
          <w:sz w:val="16"/>
          <w:szCs w:val="16"/>
          <w:lang w:val="sr-Cyrl-CS"/>
        </w:rPr>
        <w:t xml:space="preserve">                        </w:t>
      </w:r>
      <w:r w:rsidR="00120C2A">
        <w:rPr>
          <w:sz w:val="16"/>
          <w:szCs w:val="16"/>
          <w:lang w:val="sr-Cyrl-CS"/>
        </w:rPr>
        <w:t xml:space="preserve">                            </w:t>
      </w:r>
      <w:r w:rsidR="0040225C" w:rsidRPr="00213044">
        <w:rPr>
          <w:sz w:val="16"/>
          <w:szCs w:val="16"/>
          <w:lang w:val="sr-Cyrl-CS"/>
        </w:rPr>
        <w:t xml:space="preserve">5 / 10 </w:t>
      </w:r>
      <w:r>
        <w:rPr>
          <w:sz w:val="16"/>
          <w:szCs w:val="16"/>
          <w:lang w:val="sr-Cyrl-CS"/>
        </w:rPr>
        <w:t xml:space="preserve">                     </w:t>
      </w:r>
      <w:r w:rsidR="00120C2A">
        <w:rPr>
          <w:sz w:val="16"/>
          <w:szCs w:val="16"/>
          <w:lang w:val="sr-Cyrl-CS"/>
        </w:rPr>
        <w:t xml:space="preserve">    </w:t>
      </w:r>
      <w:r>
        <w:rPr>
          <w:sz w:val="16"/>
          <w:szCs w:val="16"/>
          <w:lang w:val="sr-Cyrl-CS"/>
        </w:rPr>
        <w:t xml:space="preserve"> </w:t>
      </w:r>
      <w:r w:rsidR="0040225C" w:rsidRPr="00213044">
        <w:rPr>
          <w:sz w:val="16"/>
          <w:szCs w:val="16"/>
          <w:lang w:val="sr-Cyrl-CS"/>
        </w:rPr>
        <w:t xml:space="preserve">25 </w:t>
      </w:r>
      <w:r w:rsidR="00E61C79" w:rsidRPr="00213044">
        <w:rPr>
          <w:sz w:val="16"/>
          <w:szCs w:val="16"/>
          <w:lang w:val="sr-Cyrl-CS"/>
        </w:rPr>
        <w:t xml:space="preserve"> </w:t>
      </w:r>
    </w:p>
    <w:p w:rsidR="00213044" w:rsidRPr="00AF3C57" w:rsidRDefault="00213044" w:rsidP="006D724E">
      <w:pPr>
        <w:pStyle w:val="NoSpacing"/>
        <w:jc w:val="both"/>
        <w:rPr>
          <w:sz w:val="16"/>
          <w:szCs w:val="16"/>
          <w:lang w:val="sr-Cyrl-CS"/>
        </w:rPr>
      </w:pPr>
      <w:r w:rsidRPr="00213044">
        <w:rPr>
          <w:sz w:val="16"/>
          <w:szCs w:val="16"/>
        </w:rPr>
        <w:t>__________________________________________________________________________</w:t>
      </w:r>
      <w:r w:rsidR="00AF3C57">
        <w:rPr>
          <w:sz w:val="16"/>
          <w:szCs w:val="16"/>
          <w:lang w:val="sr-Cyrl-CS"/>
        </w:rPr>
        <w:t>___________________________________</w:t>
      </w:r>
    </w:p>
    <w:p w:rsidR="00213044" w:rsidRPr="00213044" w:rsidRDefault="00AF3C57" w:rsidP="006D724E">
      <w:pPr>
        <w:pStyle w:val="NoSpacing"/>
        <w:jc w:val="both"/>
        <w:rPr>
          <w:sz w:val="16"/>
          <w:szCs w:val="16"/>
        </w:rPr>
      </w:pPr>
      <w:r>
        <w:rPr>
          <w:sz w:val="16"/>
          <w:szCs w:val="16"/>
          <w:lang w:val="sr-Cyrl-CS"/>
        </w:rPr>
        <w:t xml:space="preserve">ИРСКА                 </w:t>
      </w:r>
      <w:r w:rsidR="00120C2A">
        <w:rPr>
          <w:sz w:val="16"/>
          <w:szCs w:val="16"/>
          <w:lang w:val="sr-Cyrl-CS"/>
        </w:rPr>
        <w:t xml:space="preserve">                               </w:t>
      </w:r>
      <w:r w:rsidR="0040225C" w:rsidRPr="00213044">
        <w:rPr>
          <w:sz w:val="16"/>
          <w:szCs w:val="16"/>
          <w:lang w:val="sr-Cyrl-CS"/>
        </w:rPr>
        <w:t xml:space="preserve">4,8 </w:t>
      </w:r>
      <w:r>
        <w:rPr>
          <w:sz w:val="16"/>
          <w:szCs w:val="16"/>
          <w:lang w:val="sr-Cyrl-CS"/>
        </w:rPr>
        <w:t xml:space="preserve">                     </w:t>
      </w:r>
      <w:r w:rsidR="00120C2A">
        <w:rPr>
          <w:sz w:val="16"/>
          <w:szCs w:val="16"/>
          <w:lang w:val="sr-Cyrl-CS"/>
        </w:rPr>
        <w:t xml:space="preserve">                             </w:t>
      </w:r>
      <w:r w:rsidR="0040225C" w:rsidRPr="00213044">
        <w:rPr>
          <w:sz w:val="16"/>
          <w:szCs w:val="16"/>
          <w:lang w:val="sr-Cyrl-CS"/>
        </w:rPr>
        <w:t xml:space="preserve">9 / 13,5 </w:t>
      </w:r>
      <w:r>
        <w:rPr>
          <w:sz w:val="16"/>
          <w:szCs w:val="16"/>
          <w:lang w:val="sr-Cyrl-CS"/>
        </w:rPr>
        <w:t xml:space="preserve">                    </w:t>
      </w:r>
      <w:r w:rsidR="00120C2A">
        <w:rPr>
          <w:sz w:val="16"/>
          <w:szCs w:val="16"/>
          <w:lang w:val="sr-Cyrl-CS"/>
        </w:rPr>
        <w:t xml:space="preserve">   </w:t>
      </w:r>
      <w:r w:rsidR="0040225C" w:rsidRPr="00213044">
        <w:rPr>
          <w:sz w:val="16"/>
          <w:szCs w:val="16"/>
          <w:lang w:val="sr-Cyrl-CS"/>
        </w:rPr>
        <w:t xml:space="preserve">23 </w:t>
      </w:r>
    </w:p>
    <w:p w:rsidR="00E61C79" w:rsidRPr="00E61C79" w:rsidRDefault="00213044" w:rsidP="006D724E">
      <w:pPr>
        <w:pStyle w:val="NoSpacing"/>
        <w:jc w:val="both"/>
        <w:rPr>
          <w:lang w:val="sr-Cyrl-CS"/>
        </w:rPr>
      </w:pPr>
      <w:r>
        <w:t>______________________________________________________________________</w:t>
      </w:r>
      <w:r w:rsidR="00AF3C57">
        <w:rPr>
          <w:lang w:val="sr-Cyrl-CS"/>
        </w:rPr>
        <w:t>___</w:t>
      </w:r>
      <w:r w:rsidR="00E61C79" w:rsidRPr="00E61C79">
        <w:rPr>
          <w:lang w:val="sr-Cyrl-CS"/>
        </w:rPr>
        <w:t xml:space="preserve"> </w:t>
      </w:r>
    </w:p>
    <w:p w:rsidR="00E61C79" w:rsidRPr="00213044" w:rsidRDefault="00AF3C57" w:rsidP="006D724E">
      <w:pPr>
        <w:pStyle w:val="NoSpacing"/>
        <w:jc w:val="both"/>
        <w:rPr>
          <w:sz w:val="16"/>
          <w:szCs w:val="16"/>
        </w:rPr>
      </w:pPr>
      <w:r>
        <w:rPr>
          <w:sz w:val="16"/>
          <w:szCs w:val="16"/>
          <w:lang w:val="sr-Cyrl-CS"/>
        </w:rPr>
        <w:t xml:space="preserve">ИТАЛИЈА                                           </w:t>
      </w:r>
      <w:r w:rsidR="00213044" w:rsidRPr="00213044">
        <w:rPr>
          <w:sz w:val="16"/>
          <w:szCs w:val="16"/>
          <w:lang w:val="sr-Cyrl-CS"/>
        </w:rPr>
        <w:t xml:space="preserve"> </w:t>
      </w:r>
      <w:r>
        <w:rPr>
          <w:sz w:val="16"/>
          <w:szCs w:val="16"/>
          <w:lang w:val="sr-Cyrl-CS"/>
        </w:rPr>
        <w:t xml:space="preserve"> </w:t>
      </w:r>
      <w:r w:rsidR="00120C2A">
        <w:rPr>
          <w:sz w:val="16"/>
          <w:szCs w:val="16"/>
          <w:lang w:val="sr-Cyrl-CS"/>
        </w:rPr>
        <w:t xml:space="preserve">  </w:t>
      </w:r>
      <w:r w:rsidR="00213044" w:rsidRPr="00213044">
        <w:rPr>
          <w:sz w:val="16"/>
          <w:szCs w:val="16"/>
          <w:lang w:val="sr-Cyrl-CS"/>
        </w:rPr>
        <w:t xml:space="preserve">4 </w:t>
      </w:r>
      <w:r>
        <w:rPr>
          <w:sz w:val="16"/>
          <w:szCs w:val="16"/>
          <w:lang w:val="sr-Cyrl-CS"/>
        </w:rPr>
        <w:t xml:space="preserve">                        </w:t>
      </w:r>
      <w:r w:rsidR="00120C2A">
        <w:rPr>
          <w:sz w:val="16"/>
          <w:szCs w:val="16"/>
          <w:lang w:val="sr-Cyrl-CS"/>
        </w:rPr>
        <w:t xml:space="preserve">                              </w:t>
      </w:r>
      <w:r w:rsidR="00213044" w:rsidRPr="00213044">
        <w:rPr>
          <w:sz w:val="16"/>
          <w:szCs w:val="16"/>
          <w:lang w:val="sr-Cyrl-CS"/>
        </w:rPr>
        <w:t xml:space="preserve">10 </w:t>
      </w:r>
      <w:r>
        <w:rPr>
          <w:sz w:val="16"/>
          <w:szCs w:val="16"/>
          <w:lang w:val="sr-Cyrl-CS"/>
        </w:rPr>
        <w:t xml:space="preserve">   </w:t>
      </w:r>
      <w:r w:rsidR="00120C2A">
        <w:rPr>
          <w:sz w:val="16"/>
          <w:szCs w:val="16"/>
          <w:lang w:val="sr-Cyrl-CS"/>
        </w:rPr>
        <w:t xml:space="preserve">                         </w:t>
      </w:r>
      <w:r w:rsidR="00213044" w:rsidRPr="00213044">
        <w:rPr>
          <w:sz w:val="16"/>
          <w:szCs w:val="16"/>
          <w:lang w:val="sr-Cyrl-CS"/>
        </w:rPr>
        <w:t>21</w:t>
      </w:r>
    </w:p>
    <w:p w:rsidR="00213044" w:rsidRPr="00AF3C57" w:rsidRDefault="00213044" w:rsidP="006D724E">
      <w:pPr>
        <w:pStyle w:val="NoSpacing"/>
        <w:jc w:val="both"/>
        <w:rPr>
          <w:sz w:val="16"/>
          <w:szCs w:val="16"/>
          <w:lang w:val="sr-Cyrl-CS"/>
        </w:rPr>
      </w:pPr>
      <w:r w:rsidRPr="00213044">
        <w:rPr>
          <w:sz w:val="16"/>
          <w:szCs w:val="16"/>
        </w:rPr>
        <w:t>___________________________________________________________</w:t>
      </w:r>
      <w:r w:rsidR="00AF3C57">
        <w:rPr>
          <w:sz w:val="16"/>
          <w:szCs w:val="16"/>
          <w:lang w:val="sr-Cyrl-CS"/>
        </w:rPr>
        <w:t>__________________________________________________</w:t>
      </w:r>
    </w:p>
    <w:p w:rsidR="00E61C79" w:rsidRPr="00213044" w:rsidRDefault="00AF3C57" w:rsidP="006D724E">
      <w:pPr>
        <w:pStyle w:val="NoSpacing"/>
        <w:jc w:val="both"/>
        <w:rPr>
          <w:sz w:val="16"/>
          <w:szCs w:val="16"/>
          <w:lang w:val="sr-Cyrl-CS"/>
        </w:rPr>
      </w:pPr>
      <w:r>
        <w:rPr>
          <w:sz w:val="16"/>
          <w:szCs w:val="16"/>
          <w:lang w:val="sr-Cyrl-CS"/>
        </w:rPr>
        <w:t xml:space="preserve">КИПАР                                                 </w:t>
      </w:r>
      <w:r w:rsidR="00120C2A">
        <w:rPr>
          <w:sz w:val="16"/>
          <w:szCs w:val="16"/>
          <w:lang w:val="sr-Cyrl-CS"/>
        </w:rPr>
        <w:t xml:space="preserve"> </w:t>
      </w:r>
      <w:r w:rsidR="00213044" w:rsidRPr="00213044">
        <w:rPr>
          <w:sz w:val="16"/>
          <w:szCs w:val="16"/>
          <w:lang w:val="sr-Cyrl-CS"/>
        </w:rPr>
        <w:t xml:space="preserve"> - </w:t>
      </w:r>
      <w:r>
        <w:rPr>
          <w:sz w:val="16"/>
          <w:szCs w:val="16"/>
          <w:lang w:val="sr-Cyrl-CS"/>
        </w:rPr>
        <w:t xml:space="preserve">                        </w:t>
      </w:r>
      <w:r w:rsidR="00120C2A">
        <w:rPr>
          <w:sz w:val="16"/>
          <w:szCs w:val="16"/>
          <w:lang w:val="sr-Cyrl-CS"/>
        </w:rPr>
        <w:t xml:space="preserve">                             </w:t>
      </w:r>
      <w:r w:rsidR="00213044" w:rsidRPr="00213044">
        <w:rPr>
          <w:sz w:val="16"/>
          <w:szCs w:val="16"/>
          <w:lang w:val="sr-Cyrl-CS"/>
        </w:rPr>
        <w:t xml:space="preserve">5 / 8 </w:t>
      </w:r>
      <w:r>
        <w:rPr>
          <w:sz w:val="16"/>
          <w:szCs w:val="16"/>
          <w:lang w:val="sr-Cyrl-CS"/>
        </w:rPr>
        <w:t xml:space="preserve">                          </w:t>
      </w:r>
      <w:r w:rsidR="00213044" w:rsidRPr="00213044">
        <w:rPr>
          <w:sz w:val="16"/>
          <w:szCs w:val="16"/>
          <w:lang w:val="sr-Cyrl-CS"/>
        </w:rPr>
        <w:t>18</w:t>
      </w:r>
    </w:p>
    <w:p w:rsidR="00213044" w:rsidRPr="00AF3C57" w:rsidRDefault="00213044" w:rsidP="006D724E">
      <w:pPr>
        <w:pStyle w:val="NoSpacing"/>
        <w:jc w:val="both"/>
        <w:rPr>
          <w:sz w:val="16"/>
          <w:szCs w:val="16"/>
          <w:lang w:val="sr-Cyrl-CS"/>
        </w:rPr>
      </w:pPr>
      <w:r w:rsidRPr="00213044">
        <w:rPr>
          <w:sz w:val="16"/>
          <w:szCs w:val="16"/>
        </w:rPr>
        <w:t>___________________________________________________________________________</w:t>
      </w:r>
      <w:r w:rsidR="00AF3C57">
        <w:rPr>
          <w:sz w:val="16"/>
          <w:szCs w:val="16"/>
          <w:lang w:val="sr-Cyrl-CS"/>
        </w:rPr>
        <w:t>__________________________________</w:t>
      </w:r>
    </w:p>
    <w:p w:rsidR="00E61C79" w:rsidRPr="00213044" w:rsidRDefault="00AF3C57" w:rsidP="006D724E">
      <w:pPr>
        <w:pStyle w:val="NoSpacing"/>
        <w:jc w:val="both"/>
        <w:rPr>
          <w:sz w:val="16"/>
          <w:szCs w:val="16"/>
        </w:rPr>
      </w:pPr>
      <w:r>
        <w:rPr>
          <w:sz w:val="16"/>
          <w:szCs w:val="16"/>
          <w:lang w:val="sr-Cyrl-CS"/>
        </w:rPr>
        <w:t xml:space="preserve">ЛЕТОНИЈА                                          </w:t>
      </w:r>
      <w:r w:rsidR="00120C2A">
        <w:rPr>
          <w:sz w:val="16"/>
          <w:szCs w:val="16"/>
          <w:lang w:val="sr-Cyrl-CS"/>
        </w:rPr>
        <w:t xml:space="preserve">   </w:t>
      </w:r>
      <w:r w:rsidR="00213044" w:rsidRPr="00213044">
        <w:rPr>
          <w:sz w:val="16"/>
          <w:szCs w:val="16"/>
          <w:lang w:val="sr-Cyrl-CS"/>
        </w:rPr>
        <w:t xml:space="preserve"> - </w:t>
      </w:r>
      <w:r>
        <w:rPr>
          <w:sz w:val="16"/>
          <w:szCs w:val="16"/>
          <w:lang w:val="sr-Cyrl-CS"/>
        </w:rPr>
        <w:t xml:space="preserve">                        </w:t>
      </w:r>
      <w:r w:rsidR="00120C2A">
        <w:rPr>
          <w:sz w:val="16"/>
          <w:szCs w:val="16"/>
          <w:lang w:val="sr-Cyrl-CS"/>
        </w:rPr>
        <w:t xml:space="preserve">                             </w:t>
      </w:r>
      <w:r>
        <w:rPr>
          <w:sz w:val="16"/>
          <w:szCs w:val="16"/>
          <w:lang w:val="sr-Cyrl-CS"/>
        </w:rPr>
        <w:t xml:space="preserve"> </w:t>
      </w:r>
      <w:r w:rsidR="00213044" w:rsidRPr="00213044">
        <w:rPr>
          <w:sz w:val="16"/>
          <w:szCs w:val="16"/>
          <w:lang w:val="sr-Cyrl-CS"/>
        </w:rPr>
        <w:t xml:space="preserve">12 </w:t>
      </w:r>
      <w:r>
        <w:rPr>
          <w:sz w:val="16"/>
          <w:szCs w:val="16"/>
          <w:lang w:val="sr-Cyrl-CS"/>
        </w:rPr>
        <w:t xml:space="preserve"> </w:t>
      </w:r>
      <w:r w:rsidR="00120C2A">
        <w:rPr>
          <w:sz w:val="16"/>
          <w:szCs w:val="16"/>
          <w:lang w:val="sr-Cyrl-CS"/>
        </w:rPr>
        <w:t xml:space="preserve">                           </w:t>
      </w:r>
      <w:r>
        <w:rPr>
          <w:sz w:val="16"/>
          <w:szCs w:val="16"/>
          <w:lang w:val="sr-Cyrl-CS"/>
        </w:rPr>
        <w:t xml:space="preserve">21 </w:t>
      </w:r>
    </w:p>
    <w:p w:rsidR="00213044" w:rsidRPr="00AF3C57" w:rsidRDefault="00213044" w:rsidP="006D724E">
      <w:pPr>
        <w:pStyle w:val="NoSpacing"/>
        <w:jc w:val="both"/>
        <w:rPr>
          <w:sz w:val="16"/>
          <w:szCs w:val="16"/>
          <w:lang w:val="sr-Cyrl-CS"/>
        </w:rPr>
      </w:pPr>
      <w:r w:rsidRPr="00213044">
        <w:rPr>
          <w:sz w:val="16"/>
          <w:szCs w:val="16"/>
        </w:rPr>
        <w:t>_________________________________________________________________</w:t>
      </w:r>
      <w:r w:rsidR="00AF3C57">
        <w:rPr>
          <w:sz w:val="16"/>
          <w:szCs w:val="16"/>
          <w:lang w:val="sr-Cyrl-CS"/>
        </w:rPr>
        <w:t>____________________________________________</w:t>
      </w:r>
    </w:p>
    <w:p w:rsidR="00E61C79" w:rsidRPr="00213044" w:rsidRDefault="00AF3C57" w:rsidP="006D724E">
      <w:pPr>
        <w:pStyle w:val="NoSpacing"/>
        <w:jc w:val="both"/>
        <w:rPr>
          <w:sz w:val="16"/>
          <w:szCs w:val="16"/>
        </w:rPr>
      </w:pPr>
      <w:r>
        <w:rPr>
          <w:sz w:val="16"/>
          <w:szCs w:val="16"/>
          <w:lang w:val="sr-Cyrl-CS"/>
        </w:rPr>
        <w:t xml:space="preserve">ЛИТВАНИЈА                                       </w:t>
      </w:r>
      <w:r w:rsidR="00120C2A">
        <w:rPr>
          <w:sz w:val="16"/>
          <w:szCs w:val="16"/>
          <w:lang w:val="sr-Cyrl-CS"/>
        </w:rPr>
        <w:t xml:space="preserve">   </w:t>
      </w:r>
      <w:r w:rsidR="00213044" w:rsidRPr="00213044">
        <w:rPr>
          <w:sz w:val="16"/>
          <w:szCs w:val="16"/>
          <w:lang w:val="sr-Cyrl-CS"/>
        </w:rPr>
        <w:t xml:space="preserve"> - </w:t>
      </w:r>
      <w:r>
        <w:rPr>
          <w:sz w:val="16"/>
          <w:szCs w:val="16"/>
          <w:lang w:val="sr-Cyrl-CS"/>
        </w:rPr>
        <w:t xml:space="preserve">                      </w:t>
      </w:r>
      <w:r w:rsidR="00120C2A">
        <w:rPr>
          <w:sz w:val="16"/>
          <w:szCs w:val="16"/>
          <w:lang w:val="sr-Cyrl-CS"/>
        </w:rPr>
        <w:t xml:space="preserve">                               </w:t>
      </w:r>
      <w:r>
        <w:rPr>
          <w:sz w:val="16"/>
          <w:szCs w:val="16"/>
          <w:lang w:val="sr-Cyrl-CS"/>
        </w:rPr>
        <w:t xml:space="preserve">   </w:t>
      </w:r>
      <w:r w:rsidR="00213044" w:rsidRPr="00213044">
        <w:rPr>
          <w:sz w:val="16"/>
          <w:szCs w:val="16"/>
          <w:lang w:val="sr-Cyrl-CS"/>
        </w:rPr>
        <w:t xml:space="preserve">5 / 9 </w:t>
      </w:r>
      <w:r w:rsidR="002318A3">
        <w:rPr>
          <w:sz w:val="16"/>
          <w:szCs w:val="16"/>
          <w:lang w:val="sr-Cyrl-CS"/>
        </w:rPr>
        <w:t xml:space="preserve">                      </w:t>
      </w:r>
      <w:r>
        <w:rPr>
          <w:sz w:val="16"/>
          <w:szCs w:val="16"/>
          <w:lang w:val="sr-Cyrl-CS"/>
        </w:rPr>
        <w:t xml:space="preserve">  </w:t>
      </w:r>
      <w:r w:rsidR="00213044" w:rsidRPr="00213044">
        <w:rPr>
          <w:sz w:val="16"/>
          <w:szCs w:val="16"/>
          <w:lang w:val="sr-Cyrl-CS"/>
        </w:rPr>
        <w:t xml:space="preserve">21 </w:t>
      </w:r>
    </w:p>
    <w:p w:rsidR="00213044" w:rsidRPr="00AF3C57" w:rsidRDefault="00213044" w:rsidP="006D724E">
      <w:pPr>
        <w:pStyle w:val="NoSpacing"/>
        <w:jc w:val="both"/>
        <w:rPr>
          <w:sz w:val="16"/>
          <w:szCs w:val="16"/>
          <w:lang w:val="sr-Cyrl-CS"/>
        </w:rPr>
      </w:pPr>
      <w:r w:rsidRPr="00213044">
        <w:rPr>
          <w:sz w:val="16"/>
          <w:szCs w:val="16"/>
        </w:rPr>
        <w:t>_________________________________________________________________</w:t>
      </w:r>
      <w:r w:rsidR="00AF3C57">
        <w:rPr>
          <w:sz w:val="16"/>
          <w:szCs w:val="16"/>
          <w:lang w:val="sr-Cyrl-CS"/>
        </w:rPr>
        <w:t>____________________________________________</w:t>
      </w:r>
    </w:p>
    <w:p w:rsidR="00213044" w:rsidRPr="00213044" w:rsidRDefault="00AF3C57" w:rsidP="006D724E">
      <w:pPr>
        <w:pStyle w:val="NoSpacing"/>
        <w:jc w:val="both"/>
        <w:rPr>
          <w:sz w:val="16"/>
          <w:szCs w:val="16"/>
        </w:rPr>
      </w:pPr>
      <w:r>
        <w:rPr>
          <w:sz w:val="16"/>
          <w:szCs w:val="16"/>
          <w:lang w:val="sr-Cyrl-CS"/>
        </w:rPr>
        <w:t xml:space="preserve">ЛУКСЕМБУРГ                                     </w:t>
      </w:r>
      <w:r w:rsidR="00120C2A">
        <w:rPr>
          <w:sz w:val="16"/>
          <w:szCs w:val="16"/>
          <w:lang w:val="sr-Cyrl-CS"/>
        </w:rPr>
        <w:t xml:space="preserve"> </w:t>
      </w:r>
      <w:r>
        <w:rPr>
          <w:sz w:val="16"/>
          <w:szCs w:val="16"/>
          <w:lang w:val="sr-Cyrl-CS"/>
        </w:rPr>
        <w:t xml:space="preserve"> </w:t>
      </w:r>
      <w:r w:rsidR="00120C2A">
        <w:rPr>
          <w:sz w:val="16"/>
          <w:szCs w:val="16"/>
          <w:lang w:val="sr-Cyrl-CS"/>
        </w:rPr>
        <w:t xml:space="preserve">  </w:t>
      </w:r>
      <w:r w:rsidR="0040225C" w:rsidRPr="00213044">
        <w:rPr>
          <w:sz w:val="16"/>
          <w:szCs w:val="16"/>
          <w:lang w:val="sr-Cyrl-CS"/>
        </w:rPr>
        <w:t xml:space="preserve">3 </w:t>
      </w:r>
      <w:r>
        <w:rPr>
          <w:sz w:val="16"/>
          <w:szCs w:val="16"/>
          <w:lang w:val="sr-Cyrl-CS"/>
        </w:rPr>
        <w:t xml:space="preserve">                      </w:t>
      </w:r>
      <w:r w:rsidR="00120C2A">
        <w:rPr>
          <w:sz w:val="16"/>
          <w:szCs w:val="16"/>
          <w:lang w:val="sr-Cyrl-CS"/>
        </w:rPr>
        <w:t xml:space="preserve">                               </w:t>
      </w:r>
      <w:r>
        <w:rPr>
          <w:sz w:val="16"/>
          <w:szCs w:val="16"/>
          <w:lang w:val="sr-Cyrl-CS"/>
        </w:rPr>
        <w:t xml:space="preserve"> </w:t>
      </w:r>
      <w:r w:rsidR="0040225C" w:rsidRPr="00213044">
        <w:rPr>
          <w:sz w:val="16"/>
          <w:szCs w:val="16"/>
          <w:lang w:val="sr-Cyrl-CS"/>
        </w:rPr>
        <w:t xml:space="preserve">6 / 12 </w:t>
      </w:r>
      <w:r w:rsidR="002318A3">
        <w:rPr>
          <w:sz w:val="16"/>
          <w:szCs w:val="16"/>
          <w:lang w:val="sr-Cyrl-CS"/>
        </w:rPr>
        <w:t xml:space="preserve">                     </w:t>
      </w:r>
      <w:r>
        <w:rPr>
          <w:sz w:val="16"/>
          <w:szCs w:val="16"/>
          <w:lang w:val="sr-Cyrl-CS"/>
        </w:rPr>
        <w:t xml:space="preserve">  </w:t>
      </w:r>
      <w:r w:rsidR="0040225C" w:rsidRPr="00213044">
        <w:rPr>
          <w:sz w:val="16"/>
          <w:szCs w:val="16"/>
          <w:lang w:val="sr-Cyrl-CS"/>
        </w:rPr>
        <w:t>15</w:t>
      </w:r>
    </w:p>
    <w:p w:rsidR="00E61C79" w:rsidRPr="00213044" w:rsidRDefault="00213044" w:rsidP="006D724E">
      <w:pPr>
        <w:pStyle w:val="NoSpacing"/>
        <w:jc w:val="both"/>
        <w:rPr>
          <w:sz w:val="16"/>
          <w:szCs w:val="16"/>
          <w:lang w:val="sr-Cyrl-CS"/>
        </w:rPr>
      </w:pPr>
      <w:r w:rsidRPr="00213044">
        <w:rPr>
          <w:sz w:val="16"/>
          <w:szCs w:val="16"/>
        </w:rPr>
        <w:t>___________________________________________________________________</w:t>
      </w:r>
      <w:r w:rsidR="00AF3C57">
        <w:rPr>
          <w:sz w:val="16"/>
          <w:szCs w:val="16"/>
          <w:lang w:val="sr-Cyrl-CS"/>
        </w:rPr>
        <w:t>__________________________________________</w:t>
      </w:r>
      <w:r w:rsidR="0040225C" w:rsidRPr="00213044">
        <w:rPr>
          <w:sz w:val="16"/>
          <w:szCs w:val="16"/>
          <w:lang w:val="sr-Cyrl-CS"/>
        </w:rPr>
        <w:t xml:space="preserve"> </w:t>
      </w:r>
    </w:p>
    <w:p w:rsidR="00AF3C57" w:rsidRDefault="00D71874" w:rsidP="006D724E">
      <w:pPr>
        <w:pStyle w:val="NoSpacing"/>
        <w:jc w:val="both"/>
        <w:rPr>
          <w:sz w:val="16"/>
          <w:szCs w:val="16"/>
          <w:lang w:val="sr-Cyrl-CS"/>
        </w:rPr>
      </w:pPr>
      <w:r>
        <w:rPr>
          <w:sz w:val="16"/>
          <w:szCs w:val="16"/>
          <w:lang w:val="sr-Cyrl-CS"/>
        </w:rPr>
        <w:t xml:space="preserve">МАЂАРСКА                                       </w:t>
      </w:r>
      <w:r w:rsidR="00120C2A">
        <w:rPr>
          <w:sz w:val="16"/>
          <w:szCs w:val="16"/>
          <w:lang w:val="sr-Cyrl-CS"/>
        </w:rPr>
        <w:t xml:space="preserve">    </w:t>
      </w:r>
      <w:r>
        <w:rPr>
          <w:sz w:val="16"/>
          <w:szCs w:val="16"/>
          <w:lang w:val="sr-Cyrl-CS"/>
        </w:rPr>
        <w:t xml:space="preserve"> </w:t>
      </w:r>
      <w:r w:rsidR="0040225C" w:rsidRPr="00213044">
        <w:rPr>
          <w:sz w:val="16"/>
          <w:szCs w:val="16"/>
          <w:lang w:val="sr-Cyrl-CS"/>
        </w:rPr>
        <w:t xml:space="preserve"> - </w:t>
      </w:r>
      <w:r>
        <w:rPr>
          <w:sz w:val="16"/>
          <w:szCs w:val="16"/>
          <w:lang w:val="sr-Cyrl-CS"/>
        </w:rPr>
        <w:t xml:space="preserve">                         </w:t>
      </w:r>
      <w:r w:rsidR="00120C2A">
        <w:rPr>
          <w:sz w:val="16"/>
          <w:szCs w:val="16"/>
          <w:lang w:val="sr-Cyrl-CS"/>
        </w:rPr>
        <w:t xml:space="preserve">                              </w:t>
      </w:r>
      <w:r w:rsidR="0040225C" w:rsidRPr="00213044">
        <w:rPr>
          <w:sz w:val="16"/>
          <w:szCs w:val="16"/>
          <w:lang w:val="sr-Cyrl-CS"/>
        </w:rPr>
        <w:t xml:space="preserve">5 / 18 </w:t>
      </w:r>
      <w:r w:rsidR="002318A3">
        <w:rPr>
          <w:sz w:val="16"/>
          <w:szCs w:val="16"/>
          <w:lang w:val="sr-Cyrl-CS"/>
        </w:rPr>
        <w:t xml:space="preserve">                     </w:t>
      </w:r>
      <w:r>
        <w:rPr>
          <w:sz w:val="16"/>
          <w:szCs w:val="16"/>
          <w:lang w:val="sr-Cyrl-CS"/>
        </w:rPr>
        <w:t xml:space="preserve">  </w:t>
      </w:r>
      <w:r w:rsidR="0040225C" w:rsidRPr="00213044">
        <w:rPr>
          <w:sz w:val="16"/>
          <w:szCs w:val="16"/>
          <w:lang w:val="sr-Cyrl-CS"/>
        </w:rPr>
        <w:t>27</w:t>
      </w:r>
    </w:p>
    <w:p w:rsidR="00E61C79" w:rsidRPr="00213044" w:rsidRDefault="00AF3C57" w:rsidP="006D724E">
      <w:pPr>
        <w:pStyle w:val="NoSpacing"/>
        <w:jc w:val="both"/>
        <w:rPr>
          <w:sz w:val="16"/>
          <w:szCs w:val="16"/>
          <w:lang w:val="sr-Cyrl-CS"/>
        </w:rPr>
      </w:pPr>
      <w:r>
        <w:rPr>
          <w:sz w:val="16"/>
          <w:szCs w:val="16"/>
          <w:lang w:val="sr-Cyrl-CS"/>
        </w:rPr>
        <w:t>_____________________________________________________________________________________________________________</w:t>
      </w:r>
      <w:r w:rsidR="0040225C" w:rsidRPr="00213044">
        <w:rPr>
          <w:sz w:val="16"/>
          <w:szCs w:val="16"/>
          <w:lang w:val="sr-Cyrl-CS"/>
        </w:rPr>
        <w:t xml:space="preserve"> </w:t>
      </w:r>
    </w:p>
    <w:p w:rsidR="00E61C79" w:rsidRDefault="00D71874" w:rsidP="006D724E">
      <w:pPr>
        <w:pStyle w:val="NoSpacing"/>
        <w:jc w:val="both"/>
        <w:rPr>
          <w:sz w:val="16"/>
          <w:szCs w:val="16"/>
          <w:lang w:val="sr-Cyrl-CS"/>
        </w:rPr>
      </w:pPr>
      <w:r>
        <w:rPr>
          <w:sz w:val="16"/>
          <w:szCs w:val="16"/>
          <w:lang w:val="sr-Cyrl-CS"/>
        </w:rPr>
        <w:t xml:space="preserve">МАЛТА               </w:t>
      </w:r>
      <w:r w:rsidR="00120C2A">
        <w:rPr>
          <w:sz w:val="16"/>
          <w:szCs w:val="16"/>
          <w:lang w:val="sr-Cyrl-CS"/>
        </w:rPr>
        <w:t xml:space="preserve">                                </w:t>
      </w:r>
      <w:r>
        <w:rPr>
          <w:sz w:val="16"/>
          <w:szCs w:val="16"/>
          <w:lang w:val="sr-Cyrl-CS"/>
        </w:rPr>
        <w:t xml:space="preserve"> </w:t>
      </w:r>
      <w:r w:rsidR="00120C2A">
        <w:rPr>
          <w:sz w:val="16"/>
          <w:szCs w:val="16"/>
          <w:lang w:val="sr-Cyrl-CS"/>
        </w:rPr>
        <w:t xml:space="preserve">    </w:t>
      </w:r>
      <w:r w:rsidR="00E61C79" w:rsidRPr="00213044">
        <w:rPr>
          <w:sz w:val="16"/>
          <w:szCs w:val="16"/>
          <w:lang w:val="sr-Cyrl-CS"/>
        </w:rPr>
        <w:t xml:space="preserve">- </w:t>
      </w:r>
      <w:r>
        <w:rPr>
          <w:sz w:val="16"/>
          <w:szCs w:val="16"/>
          <w:lang w:val="sr-Cyrl-CS"/>
        </w:rPr>
        <w:t xml:space="preserve">                        </w:t>
      </w:r>
      <w:r w:rsidR="00120C2A">
        <w:rPr>
          <w:sz w:val="16"/>
          <w:szCs w:val="16"/>
          <w:lang w:val="sr-Cyrl-CS"/>
        </w:rPr>
        <w:t xml:space="preserve">                              </w:t>
      </w:r>
      <w:r>
        <w:rPr>
          <w:sz w:val="16"/>
          <w:szCs w:val="16"/>
          <w:lang w:val="sr-Cyrl-CS"/>
        </w:rPr>
        <w:t xml:space="preserve"> </w:t>
      </w:r>
      <w:r w:rsidR="00E61C79" w:rsidRPr="00213044">
        <w:rPr>
          <w:sz w:val="16"/>
          <w:szCs w:val="16"/>
          <w:lang w:val="sr-Cyrl-CS"/>
        </w:rPr>
        <w:t xml:space="preserve">5 / 7 </w:t>
      </w:r>
      <w:r w:rsidR="002318A3">
        <w:rPr>
          <w:sz w:val="16"/>
          <w:szCs w:val="16"/>
          <w:lang w:val="sr-Cyrl-CS"/>
        </w:rPr>
        <w:t xml:space="preserve">                      </w:t>
      </w:r>
      <w:r w:rsidR="00120C2A">
        <w:rPr>
          <w:sz w:val="16"/>
          <w:szCs w:val="16"/>
          <w:lang w:val="sr-Cyrl-CS"/>
        </w:rPr>
        <w:t xml:space="preserve">  </w:t>
      </w:r>
      <w:r>
        <w:rPr>
          <w:sz w:val="16"/>
          <w:szCs w:val="16"/>
          <w:lang w:val="sr-Cyrl-CS"/>
        </w:rPr>
        <w:t xml:space="preserve"> </w:t>
      </w:r>
      <w:r w:rsidR="00E61C79" w:rsidRPr="00213044">
        <w:rPr>
          <w:sz w:val="16"/>
          <w:szCs w:val="16"/>
          <w:lang w:val="sr-Cyrl-CS"/>
        </w:rPr>
        <w:t xml:space="preserve">18  </w:t>
      </w:r>
    </w:p>
    <w:p w:rsidR="00AF3C57" w:rsidRPr="00213044" w:rsidRDefault="00AF3C57" w:rsidP="006D724E">
      <w:pPr>
        <w:pStyle w:val="NoSpacing"/>
        <w:jc w:val="both"/>
        <w:rPr>
          <w:sz w:val="16"/>
          <w:szCs w:val="16"/>
          <w:lang w:val="sr-Cyrl-CS"/>
        </w:rPr>
      </w:pPr>
      <w:r>
        <w:rPr>
          <w:sz w:val="16"/>
          <w:szCs w:val="16"/>
          <w:lang w:val="sr-Cyrl-CS"/>
        </w:rPr>
        <w:t>_____________________________________________________________________________________________________________</w:t>
      </w:r>
    </w:p>
    <w:p w:rsidR="00E61C79" w:rsidRDefault="00D71874" w:rsidP="006D724E">
      <w:pPr>
        <w:pStyle w:val="NoSpacing"/>
        <w:jc w:val="both"/>
        <w:rPr>
          <w:sz w:val="16"/>
          <w:szCs w:val="16"/>
          <w:lang w:val="sr-Cyrl-CS"/>
        </w:rPr>
      </w:pPr>
      <w:r>
        <w:rPr>
          <w:sz w:val="16"/>
          <w:szCs w:val="16"/>
          <w:lang w:val="sr-Cyrl-CS"/>
        </w:rPr>
        <w:lastRenderedPageBreak/>
        <w:t xml:space="preserve">ХОЛАНДИЈА        </w:t>
      </w:r>
      <w:r w:rsidR="00120C2A">
        <w:rPr>
          <w:sz w:val="16"/>
          <w:szCs w:val="16"/>
          <w:lang w:val="sr-Cyrl-CS"/>
        </w:rPr>
        <w:t xml:space="preserve">                                    </w:t>
      </w:r>
      <w:r w:rsidR="00E61C79" w:rsidRPr="00213044">
        <w:rPr>
          <w:sz w:val="16"/>
          <w:szCs w:val="16"/>
          <w:lang w:val="sr-Cyrl-CS"/>
        </w:rPr>
        <w:t>-</w:t>
      </w:r>
      <w:r>
        <w:rPr>
          <w:sz w:val="16"/>
          <w:szCs w:val="16"/>
          <w:lang w:val="sr-Cyrl-CS"/>
        </w:rPr>
        <w:t xml:space="preserve">                                                         </w:t>
      </w:r>
      <w:r w:rsidR="00E61C79" w:rsidRPr="00213044">
        <w:rPr>
          <w:sz w:val="16"/>
          <w:szCs w:val="16"/>
          <w:lang w:val="sr-Cyrl-CS"/>
        </w:rPr>
        <w:t xml:space="preserve"> 6</w:t>
      </w:r>
      <w:r>
        <w:rPr>
          <w:sz w:val="16"/>
          <w:szCs w:val="16"/>
          <w:lang w:val="sr-Cyrl-CS"/>
        </w:rPr>
        <w:t xml:space="preserve">  </w:t>
      </w:r>
      <w:r w:rsidR="002318A3">
        <w:rPr>
          <w:sz w:val="16"/>
          <w:szCs w:val="16"/>
          <w:lang w:val="sr-Cyrl-CS"/>
        </w:rPr>
        <w:t xml:space="preserve">                           </w:t>
      </w:r>
      <w:r w:rsidR="00E61C79" w:rsidRPr="00213044">
        <w:rPr>
          <w:sz w:val="16"/>
          <w:szCs w:val="16"/>
          <w:lang w:val="sr-Cyrl-CS"/>
        </w:rPr>
        <w:t xml:space="preserve">21 </w:t>
      </w:r>
    </w:p>
    <w:p w:rsidR="00AF3C57" w:rsidRPr="00213044" w:rsidRDefault="00AF3C57" w:rsidP="006D724E">
      <w:pPr>
        <w:pStyle w:val="NoSpacing"/>
        <w:jc w:val="both"/>
        <w:rPr>
          <w:sz w:val="16"/>
          <w:szCs w:val="16"/>
          <w:lang w:val="sr-Cyrl-CS"/>
        </w:rPr>
      </w:pPr>
      <w:r>
        <w:rPr>
          <w:sz w:val="16"/>
          <w:szCs w:val="16"/>
          <w:lang w:val="sr-Cyrl-CS"/>
        </w:rPr>
        <w:t>______________________________________________________________________________________________________________</w:t>
      </w:r>
    </w:p>
    <w:p w:rsidR="00AF3C57" w:rsidRDefault="00D71874" w:rsidP="006D724E">
      <w:pPr>
        <w:pStyle w:val="NoSpacing"/>
        <w:jc w:val="both"/>
        <w:rPr>
          <w:sz w:val="16"/>
          <w:szCs w:val="16"/>
          <w:lang w:val="sr-Cyrl-CS"/>
        </w:rPr>
      </w:pPr>
      <w:r>
        <w:rPr>
          <w:sz w:val="16"/>
          <w:szCs w:val="16"/>
          <w:lang w:val="sr-Cyrl-CS"/>
        </w:rPr>
        <w:t xml:space="preserve">АУСТРИЈА             </w:t>
      </w:r>
      <w:r w:rsidR="00120C2A">
        <w:rPr>
          <w:sz w:val="16"/>
          <w:szCs w:val="16"/>
          <w:lang w:val="sr-Cyrl-CS"/>
        </w:rPr>
        <w:t xml:space="preserve">                                  </w:t>
      </w:r>
      <w:r w:rsidR="0040225C" w:rsidRPr="00213044">
        <w:rPr>
          <w:sz w:val="16"/>
          <w:szCs w:val="16"/>
          <w:lang w:val="sr-Cyrl-CS"/>
        </w:rPr>
        <w:t xml:space="preserve"> - </w:t>
      </w:r>
      <w:r>
        <w:rPr>
          <w:sz w:val="16"/>
          <w:szCs w:val="16"/>
          <w:lang w:val="sr-Cyrl-CS"/>
        </w:rPr>
        <w:t xml:space="preserve">                                                        </w:t>
      </w:r>
      <w:r w:rsidR="0040225C" w:rsidRPr="00213044">
        <w:rPr>
          <w:sz w:val="16"/>
          <w:szCs w:val="16"/>
          <w:lang w:val="sr-Cyrl-CS"/>
        </w:rPr>
        <w:t>10</w:t>
      </w:r>
      <w:r w:rsidR="002318A3">
        <w:rPr>
          <w:sz w:val="16"/>
          <w:szCs w:val="16"/>
          <w:lang w:val="sr-Cyrl-CS"/>
        </w:rPr>
        <w:t xml:space="preserve">                           </w:t>
      </w:r>
      <w:r w:rsidR="00120C2A">
        <w:rPr>
          <w:sz w:val="16"/>
          <w:szCs w:val="16"/>
          <w:lang w:val="sr-Cyrl-CS"/>
        </w:rPr>
        <w:t xml:space="preserve"> </w:t>
      </w:r>
      <w:r w:rsidR="0040225C" w:rsidRPr="00213044">
        <w:rPr>
          <w:sz w:val="16"/>
          <w:szCs w:val="16"/>
          <w:lang w:val="sr-Cyrl-CS"/>
        </w:rPr>
        <w:t>20</w:t>
      </w:r>
    </w:p>
    <w:p w:rsidR="00E61C79" w:rsidRPr="00213044" w:rsidRDefault="00AF3C57" w:rsidP="006D724E">
      <w:pPr>
        <w:pStyle w:val="NoSpacing"/>
        <w:jc w:val="both"/>
        <w:rPr>
          <w:sz w:val="16"/>
          <w:szCs w:val="16"/>
          <w:lang w:val="sr-Cyrl-CS"/>
        </w:rPr>
      </w:pPr>
      <w:r>
        <w:rPr>
          <w:sz w:val="16"/>
          <w:szCs w:val="16"/>
          <w:lang w:val="sr-Cyrl-CS"/>
        </w:rPr>
        <w:t>______________________________________________________________________________________________________________</w:t>
      </w:r>
      <w:r w:rsidR="0040225C" w:rsidRPr="00213044">
        <w:rPr>
          <w:sz w:val="16"/>
          <w:szCs w:val="16"/>
          <w:lang w:val="sr-Cyrl-CS"/>
        </w:rPr>
        <w:t xml:space="preserve"> </w:t>
      </w:r>
      <w:r w:rsidR="00E61C79" w:rsidRPr="00213044">
        <w:rPr>
          <w:sz w:val="16"/>
          <w:szCs w:val="16"/>
          <w:lang w:val="sr-Cyrl-CS"/>
        </w:rPr>
        <w:t xml:space="preserve"> </w:t>
      </w:r>
    </w:p>
    <w:p w:rsidR="00AF3C57" w:rsidRDefault="00D71874" w:rsidP="006D724E">
      <w:pPr>
        <w:pStyle w:val="NoSpacing"/>
        <w:jc w:val="both"/>
        <w:rPr>
          <w:sz w:val="16"/>
          <w:szCs w:val="16"/>
          <w:lang w:val="sr-Cyrl-CS"/>
        </w:rPr>
      </w:pPr>
      <w:r>
        <w:rPr>
          <w:sz w:val="16"/>
          <w:szCs w:val="16"/>
          <w:lang w:val="sr-Cyrl-CS"/>
        </w:rPr>
        <w:t xml:space="preserve">ПОЉСКА                                               </w:t>
      </w:r>
      <w:r w:rsidR="00E61C79" w:rsidRPr="00213044">
        <w:rPr>
          <w:sz w:val="16"/>
          <w:szCs w:val="16"/>
          <w:lang w:val="sr-Cyrl-CS"/>
        </w:rPr>
        <w:t xml:space="preserve"> </w:t>
      </w:r>
      <w:r>
        <w:rPr>
          <w:sz w:val="16"/>
          <w:szCs w:val="16"/>
          <w:lang w:val="sr-Cyrl-CS"/>
        </w:rPr>
        <w:t xml:space="preserve">                             </w:t>
      </w:r>
      <w:r w:rsidR="00922BDD">
        <w:rPr>
          <w:sz w:val="16"/>
          <w:szCs w:val="16"/>
          <w:lang w:val="sr-Cyrl-CS"/>
        </w:rPr>
        <w:t xml:space="preserve">                              </w:t>
      </w:r>
      <w:r w:rsidR="00E61C79" w:rsidRPr="00213044">
        <w:rPr>
          <w:sz w:val="16"/>
          <w:szCs w:val="16"/>
          <w:lang w:val="sr-Cyrl-CS"/>
        </w:rPr>
        <w:t>5 / 8</w:t>
      </w:r>
      <w:r w:rsidR="002318A3">
        <w:rPr>
          <w:sz w:val="16"/>
          <w:szCs w:val="16"/>
          <w:lang w:val="sr-Cyrl-CS"/>
        </w:rPr>
        <w:t xml:space="preserve">                         </w:t>
      </w:r>
      <w:r w:rsidR="00E61C79" w:rsidRPr="00213044">
        <w:rPr>
          <w:sz w:val="16"/>
          <w:szCs w:val="16"/>
          <w:lang w:val="sr-Cyrl-CS"/>
        </w:rPr>
        <w:t xml:space="preserve">23 </w:t>
      </w:r>
    </w:p>
    <w:p w:rsidR="00E61C79" w:rsidRPr="00213044" w:rsidRDefault="00AF3C57" w:rsidP="006D724E">
      <w:pPr>
        <w:pStyle w:val="NoSpacing"/>
        <w:jc w:val="both"/>
        <w:rPr>
          <w:sz w:val="16"/>
          <w:szCs w:val="16"/>
          <w:lang w:val="sr-Cyrl-CS"/>
        </w:rPr>
      </w:pPr>
      <w:r>
        <w:rPr>
          <w:sz w:val="16"/>
          <w:szCs w:val="16"/>
          <w:lang w:val="sr-Cyrl-CS"/>
        </w:rPr>
        <w:t>________________________________</w:t>
      </w:r>
      <w:r w:rsidR="00D71874">
        <w:rPr>
          <w:sz w:val="16"/>
          <w:szCs w:val="16"/>
          <w:lang w:val="sr-Cyrl-CS"/>
        </w:rPr>
        <w:t>_</w:t>
      </w:r>
      <w:r>
        <w:rPr>
          <w:sz w:val="16"/>
          <w:szCs w:val="16"/>
          <w:lang w:val="sr-Cyrl-CS"/>
        </w:rPr>
        <w:t>______________________________________________________________________________</w:t>
      </w:r>
      <w:r w:rsidR="00E61C79" w:rsidRPr="00213044">
        <w:rPr>
          <w:sz w:val="16"/>
          <w:szCs w:val="16"/>
          <w:lang w:val="sr-Cyrl-CS"/>
        </w:rPr>
        <w:t xml:space="preserve"> </w:t>
      </w:r>
    </w:p>
    <w:p w:rsidR="00AF3C57" w:rsidRDefault="00D71874" w:rsidP="006D724E">
      <w:pPr>
        <w:pStyle w:val="NoSpacing"/>
        <w:jc w:val="both"/>
        <w:rPr>
          <w:sz w:val="16"/>
          <w:szCs w:val="16"/>
          <w:lang w:val="sr-Cyrl-CS"/>
        </w:rPr>
      </w:pPr>
      <w:r>
        <w:rPr>
          <w:sz w:val="16"/>
          <w:szCs w:val="16"/>
          <w:lang w:val="sr-Cyrl-CS"/>
        </w:rPr>
        <w:t>ПОРТУГАЛ</w:t>
      </w:r>
      <w:r w:rsidR="00B83D38">
        <w:rPr>
          <w:sz w:val="16"/>
          <w:szCs w:val="16"/>
          <w:lang w:val="sr-Cyrl-CS"/>
        </w:rPr>
        <w:t>ИЈА</w:t>
      </w:r>
      <w:r w:rsidR="0040225C" w:rsidRPr="00213044">
        <w:rPr>
          <w:sz w:val="16"/>
          <w:szCs w:val="16"/>
          <w:lang w:val="sr-Cyrl-CS"/>
        </w:rPr>
        <w:t xml:space="preserve"> </w:t>
      </w:r>
      <w:r>
        <w:rPr>
          <w:sz w:val="16"/>
          <w:szCs w:val="16"/>
          <w:lang w:val="sr-Cyrl-CS"/>
        </w:rPr>
        <w:t xml:space="preserve">           </w:t>
      </w:r>
      <w:r w:rsidR="00120C2A">
        <w:rPr>
          <w:sz w:val="16"/>
          <w:szCs w:val="16"/>
          <w:lang w:val="sr-Cyrl-CS"/>
        </w:rPr>
        <w:t xml:space="preserve">                             </w:t>
      </w:r>
      <w:r>
        <w:rPr>
          <w:sz w:val="16"/>
          <w:szCs w:val="16"/>
          <w:lang w:val="sr-Cyrl-CS"/>
        </w:rPr>
        <w:t xml:space="preserve"> </w:t>
      </w:r>
      <w:r w:rsidR="0040225C" w:rsidRPr="00213044">
        <w:rPr>
          <w:sz w:val="16"/>
          <w:szCs w:val="16"/>
          <w:lang w:val="sr-Cyrl-CS"/>
        </w:rPr>
        <w:t>-</w:t>
      </w:r>
      <w:r>
        <w:rPr>
          <w:sz w:val="16"/>
          <w:szCs w:val="16"/>
          <w:lang w:val="sr-Cyrl-CS"/>
        </w:rPr>
        <w:t xml:space="preserve">                                </w:t>
      </w:r>
      <w:r w:rsidR="00B83D38">
        <w:rPr>
          <w:sz w:val="16"/>
          <w:szCs w:val="16"/>
          <w:lang w:val="sr-Cyrl-CS"/>
        </w:rPr>
        <w:t xml:space="preserve">                 </w:t>
      </w:r>
      <w:r>
        <w:rPr>
          <w:sz w:val="16"/>
          <w:szCs w:val="16"/>
          <w:lang w:val="sr-Cyrl-CS"/>
        </w:rPr>
        <w:t xml:space="preserve"> </w:t>
      </w:r>
      <w:r w:rsidR="00120C2A">
        <w:rPr>
          <w:sz w:val="16"/>
          <w:szCs w:val="16"/>
          <w:lang w:val="sr-Cyrl-CS"/>
        </w:rPr>
        <w:t xml:space="preserve">      </w:t>
      </w:r>
      <w:r w:rsidR="0040225C" w:rsidRPr="00213044">
        <w:rPr>
          <w:sz w:val="16"/>
          <w:szCs w:val="16"/>
          <w:lang w:val="sr-Cyrl-CS"/>
        </w:rPr>
        <w:t>6 / 13</w:t>
      </w:r>
      <w:r w:rsidR="002318A3">
        <w:rPr>
          <w:sz w:val="16"/>
          <w:szCs w:val="16"/>
          <w:lang w:val="sr-Cyrl-CS"/>
        </w:rPr>
        <w:t xml:space="preserve">                        </w:t>
      </w:r>
      <w:r w:rsidR="0040225C" w:rsidRPr="00213044">
        <w:rPr>
          <w:sz w:val="16"/>
          <w:szCs w:val="16"/>
          <w:lang w:val="sr-Cyrl-CS"/>
        </w:rPr>
        <w:t xml:space="preserve">23 </w:t>
      </w:r>
    </w:p>
    <w:p w:rsidR="00E61C79" w:rsidRPr="00213044" w:rsidRDefault="00AF3C57" w:rsidP="006D724E">
      <w:pPr>
        <w:pStyle w:val="NoSpacing"/>
        <w:jc w:val="both"/>
        <w:rPr>
          <w:sz w:val="16"/>
          <w:szCs w:val="16"/>
          <w:lang w:val="sr-Cyrl-CS"/>
        </w:rPr>
      </w:pPr>
      <w:r>
        <w:rPr>
          <w:sz w:val="16"/>
          <w:szCs w:val="16"/>
          <w:lang w:val="sr-Cyrl-CS"/>
        </w:rPr>
        <w:t>______________________________________________________________________________________________________________</w:t>
      </w:r>
      <w:r w:rsidR="00E61C79" w:rsidRPr="00213044">
        <w:rPr>
          <w:sz w:val="16"/>
          <w:szCs w:val="16"/>
          <w:lang w:val="sr-Cyrl-CS"/>
        </w:rPr>
        <w:t xml:space="preserve"> </w:t>
      </w:r>
    </w:p>
    <w:p w:rsidR="00E61C79" w:rsidRDefault="00D71874" w:rsidP="006D724E">
      <w:pPr>
        <w:pStyle w:val="NoSpacing"/>
        <w:jc w:val="both"/>
        <w:rPr>
          <w:sz w:val="16"/>
          <w:szCs w:val="16"/>
          <w:lang w:val="sr-Cyrl-CS"/>
        </w:rPr>
      </w:pPr>
      <w:r>
        <w:rPr>
          <w:sz w:val="16"/>
          <w:szCs w:val="16"/>
          <w:lang w:val="sr-Cyrl-CS"/>
        </w:rPr>
        <w:t>РУМУНИЈА</w:t>
      </w:r>
      <w:r w:rsidR="00E61C79" w:rsidRPr="00213044">
        <w:rPr>
          <w:sz w:val="16"/>
          <w:szCs w:val="16"/>
          <w:lang w:val="sr-Cyrl-CS"/>
        </w:rPr>
        <w:t xml:space="preserve"> </w:t>
      </w:r>
      <w:r>
        <w:rPr>
          <w:sz w:val="16"/>
          <w:szCs w:val="16"/>
          <w:lang w:val="sr-Cyrl-CS"/>
        </w:rPr>
        <w:t xml:space="preserve">                                                                        </w:t>
      </w:r>
      <w:r w:rsidR="00922BDD">
        <w:rPr>
          <w:sz w:val="16"/>
          <w:szCs w:val="16"/>
          <w:lang w:val="sr-Cyrl-CS"/>
        </w:rPr>
        <w:t xml:space="preserve">                               </w:t>
      </w:r>
      <w:r w:rsidR="00E61C79" w:rsidRPr="00213044">
        <w:rPr>
          <w:sz w:val="16"/>
          <w:szCs w:val="16"/>
          <w:lang w:val="sr-Cyrl-CS"/>
        </w:rPr>
        <w:t xml:space="preserve">5 / 9 </w:t>
      </w:r>
      <w:r w:rsidR="002318A3">
        <w:rPr>
          <w:sz w:val="16"/>
          <w:szCs w:val="16"/>
          <w:lang w:val="sr-Cyrl-CS"/>
        </w:rPr>
        <w:t xml:space="preserve">                      </w:t>
      </w:r>
      <w:r>
        <w:rPr>
          <w:sz w:val="16"/>
          <w:szCs w:val="16"/>
          <w:lang w:val="sr-Cyrl-CS"/>
        </w:rPr>
        <w:t xml:space="preserve">   </w:t>
      </w:r>
      <w:r w:rsidR="00E61C79" w:rsidRPr="00213044">
        <w:rPr>
          <w:sz w:val="16"/>
          <w:szCs w:val="16"/>
          <w:lang w:val="sr-Cyrl-CS"/>
        </w:rPr>
        <w:t xml:space="preserve">24 </w:t>
      </w:r>
    </w:p>
    <w:p w:rsidR="00AF3C57" w:rsidRPr="00213044" w:rsidRDefault="00AF3C57" w:rsidP="006D724E">
      <w:pPr>
        <w:pStyle w:val="NoSpacing"/>
        <w:jc w:val="both"/>
        <w:rPr>
          <w:sz w:val="16"/>
          <w:szCs w:val="16"/>
          <w:lang w:val="sr-Cyrl-CS"/>
        </w:rPr>
      </w:pPr>
      <w:r>
        <w:rPr>
          <w:sz w:val="16"/>
          <w:szCs w:val="16"/>
          <w:lang w:val="sr-Cyrl-CS"/>
        </w:rPr>
        <w:t>_________________________________________________________________________________________________________________</w:t>
      </w:r>
    </w:p>
    <w:p w:rsidR="00E61C79" w:rsidRDefault="00D71874" w:rsidP="006D724E">
      <w:pPr>
        <w:pStyle w:val="NoSpacing"/>
        <w:jc w:val="both"/>
        <w:rPr>
          <w:sz w:val="16"/>
          <w:szCs w:val="16"/>
          <w:lang w:val="sr-Cyrl-CS"/>
        </w:rPr>
      </w:pPr>
      <w:r>
        <w:rPr>
          <w:sz w:val="16"/>
          <w:szCs w:val="16"/>
          <w:lang w:val="sr-Cyrl-CS"/>
        </w:rPr>
        <w:t xml:space="preserve">СЛОВЕНИЈА                 </w:t>
      </w:r>
      <w:r w:rsidR="00120C2A">
        <w:rPr>
          <w:sz w:val="16"/>
          <w:szCs w:val="16"/>
          <w:lang w:val="sr-Cyrl-CS"/>
        </w:rPr>
        <w:t xml:space="preserve">                             </w:t>
      </w:r>
      <w:r w:rsidR="00E61C79" w:rsidRPr="00213044">
        <w:rPr>
          <w:sz w:val="16"/>
          <w:szCs w:val="16"/>
          <w:lang w:val="sr-Cyrl-CS"/>
        </w:rPr>
        <w:t xml:space="preserve">- </w:t>
      </w:r>
      <w:r>
        <w:rPr>
          <w:sz w:val="16"/>
          <w:szCs w:val="16"/>
          <w:lang w:val="sr-Cyrl-CS"/>
        </w:rPr>
        <w:t xml:space="preserve">                      </w:t>
      </w:r>
      <w:r w:rsidR="00922BDD">
        <w:rPr>
          <w:sz w:val="16"/>
          <w:szCs w:val="16"/>
          <w:lang w:val="sr-Cyrl-CS"/>
        </w:rPr>
        <w:t xml:space="preserve">                             </w:t>
      </w:r>
      <w:r w:rsidR="00120C2A">
        <w:rPr>
          <w:sz w:val="16"/>
          <w:szCs w:val="16"/>
          <w:lang w:val="sr-Cyrl-CS"/>
        </w:rPr>
        <w:t xml:space="preserve">     </w:t>
      </w:r>
      <w:r w:rsidR="00E61C79" w:rsidRPr="00213044">
        <w:rPr>
          <w:sz w:val="16"/>
          <w:szCs w:val="16"/>
          <w:lang w:val="sr-Cyrl-CS"/>
        </w:rPr>
        <w:t xml:space="preserve">9,5 </w:t>
      </w:r>
      <w:r w:rsidR="002318A3">
        <w:rPr>
          <w:sz w:val="16"/>
          <w:szCs w:val="16"/>
          <w:lang w:val="sr-Cyrl-CS"/>
        </w:rPr>
        <w:t xml:space="preserve">                          </w:t>
      </w:r>
      <w:r w:rsidR="00E61C79" w:rsidRPr="00213044">
        <w:rPr>
          <w:sz w:val="16"/>
          <w:szCs w:val="16"/>
          <w:lang w:val="sr-Cyrl-CS"/>
        </w:rPr>
        <w:t xml:space="preserve">22  </w:t>
      </w:r>
    </w:p>
    <w:p w:rsidR="00AF3C57" w:rsidRPr="00213044" w:rsidRDefault="00AF3C57" w:rsidP="006D724E">
      <w:pPr>
        <w:pStyle w:val="NoSpacing"/>
        <w:jc w:val="both"/>
        <w:rPr>
          <w:sz w:val="16"/>
          <w:szCs w:val="16"/>
          <w:lang w:val="sr-Cyrl-CS"/>
        </w:rPr>
      </w:pPr>
      <w:r>
        <w:rPr>
          <w:sz w:val="16"/>
          <w:szCs w:val="16"/>
          <w:lang w:val="sr-Cyrl-CS"/>
        </w:rPr>
        <w:t>____________________________________________________________________________</w:t>
      </w:r>
      <w:r w:rsidR="002318A3">
        <w:rPr>
          <w:sz w:val="16"/>
          <w:szCs w:val="16"/>
          <w:lang w:val="sr-Cyrl-CS"/>
        </w:rPr>
        <w:t>__________</w:t>
      </w:r>
      <w:r>
        <w:rPr>
          <w:sz w:val="16"/>
          <w:szCs w:val="16"/>
          <w:lang w:val="sr-Cyrl-CS"/>
        </w:rPr>
        <w:t>__________________________</w:t>
      </w:r>
    </w:p>
    <w:p w:rsidR="00E61C79" w:rsidRDefault="00D71874" w:rsidP="006D724E">
      <w:pPr>
        <w:pStyle w:val="NoSpacing"/>
        <w:jc w:val="both"/>
        <w:rPr>
          <w:sz w:val="16"/>
          <w:szCs w:val="16"/>
          <w:lang w:val="sr-Cyrl-CS"/>
        </w:rPr>
      </w:pPr>
      <w:r>
        <w:rPr>
          <w:sz w:val="16"/>
          <w:szCs w:val="16"/>
          <w:lang w:val="sr-Cyrl-CS"/>
        </w:rPr>
        <w:t>СЛОВАЧКА</w:t>
      </w:r>
      <w:r w:rsidR="00E61C79" w:rsidRPr="00213044">
        <w:rPr>
          <w:sz w:val="16"/>
          <w:szCs w:val="16"/>
          <w:lang w:val="sr-Cyrl-CS"/>
        </w:rPr>
        <w:t xml:space="preserve"> </w:t>
      </w:r>
      <w:r>
        <w:rPr>
          <w:sz w:val="16"/>
          <w:szCs w:val="16"/>
          <w:lang w:val="sr-Cyrl-CS"/>
        </w:rPr>
        <w:t xml:space="preserve">                  </w:t>
      </w:r>
      <w:r w:rsidR="00120C2A">
        <w:rPr>
          <w:sz w:val="16"/>
          <w:szCs w:val="16"/>
          <w:lang w:val="sr-Cyrl-CS"/>
        </w:rPr>
        <w:t xml:space="preserve">                            </w:t>
      </w:r>
      <w:r>
        <w:rPr>
          <w:sz w:val="16"/>
          <w:szCs w:val="16"/>
          <w:lang w:val="sr-Cyrl-CS"/>
        </w:rPr>
        <w:t xml:space="preserve"> </w:t>
      </w:r>
      <w:r w:rsidR="00E61C79" w:rsidRPr="00213044">
        <w:rPr>
          <w:sz w:val="16"/>
          <w:szCs w:val="16"/>
          <w:lang w:val="sr-Cyrl-CS"/>
        </w:rPr>
        <w:t>-</w:t>
      </w:r>
      <w:r>
        <w:rPr>
          <w:sz w:val="16"/>
          <w:szCs w:val="16"/>
          <w:lang w:val="sr-Cyrl-CS"/>
        </w:rPr>
        <w:t xml:space="preserve">                           </w:t>
      </w:r>
      <w:r w:rsidR="00922BDD">
        <w:rPr>
          <w:sz w:val="16"/>
          <w:szCs w:val="16"/>
          <w:lang w:val="sr-Cyrl-CS"/>
        </w:rPr>
        <w:t xml:space="preserve">                        </w:t>
      </w:r>
      <w:r w:rsidR="00120C2A">
        <w:rPr>
          <w:sz w:val="16"/>
          <w:szCs w:val="16"/>
          <w:lang w:val="sr-Cyrl-CS"/>
        </w:rPr>
        <w:t xml:space="preserve">     </w:t>
      </w:r>
      <w:r w:rsidR="00E61C79" w:rsidRPr="00213044">
        <w:rPr>
          <w:sz w:val="16"/>
          <w:szCs w:val="16"/>
          <w:lang w:val="sr-Cyrl-CS"/>
        </w:rPr>
        <w:t xml:space="preserve"> 10</w:t>
      </w:r>
      <w:r w:rsidR="002318A3">
        <w:rPr>
          <w:sz w:val="16"/>
          <w:szCs w:val="16"/>
          <w:lang w:val="sr-Cyrl-CS"/>
        </w:rPr>
        <w:t xml:space="preserve">                       </w:t>
      </w:r>
      <w:r>
        <w:rPr>
          <w:sz w:val="16"/>
          <w:szCs w:val="16"/>
          <w:lang w:val="sr-Cyrl-CS"/>
        </w:rPr>
        <w:t xml:space="preserve">   </w:t>
      </w:r>
      <w:r w:rsidR="00120C2A">
        <w:rPr>
          <w:sz w:val="16"/>
          <w:szCs w:val="16"/>
          <w:lang w:val="sr-Cyrl-CS"/>
        </w:rPr>
        <w:t xml:space="preserve"> </w:t>
      </w:r>
      <w:r w:rsidR="00E61C79" w:rsidRPr="00213044">
        <w:rPr>
          <w:sz w:val="16"/>
          <w:szCs w:val="16"/>
          <w:lang w:val="sr-Cyrl-CS"/>
        </w:rPr>
        <w:t xml:space="preserve"> 20  </w:t>
      </w:r>
    </w:p>
    <w:p w:rsidR="00AF3C57" w:rsidRPr="00213044" w:rsidRDefault="00AF3C57" w:rsidP="006D724E">
      <w:pPr>
        <w:pStyle w:val="NoSpacing"/>
        <w:jc w:val="both"/>
        <w:rPr>
          <w:sz w:val="16"/>
          <w:szCs w:val="16"/>
          <w:lang w:val="sr-Cyrl-CS"/>
        </w:rPr>
      </w:pPr>
      <w:r>
        <w:rPr>
          <w:sz w:val="16"/>
          <w:szCs w:val="16"/>
          <w:lang w:val="sr-Cyrl-CS"/>
        </w:rPr>
        <w:t>_________________________________________________________________________________________________________________</w:t>
      </w:r>
    </w:p>
    <w:p w:rsidR="00E61C79" w:rsidRDefault="00D71874" w:rsidP="006D724E">
      <w:pPr>
        <w:pStyle w:val="NoSpacing"/>
        <w:jc w:val="both"/>
        <w:rPr>
          <w:sz w:val="16"/>
          <w:szCs w:val="16"/>
          <w:lang w:val="sr-Cyrl-CS"/>
        </w:rPr>
      </w:pPr>
      <w:r>
        <w:rPr>
          <w:sz w:val="16"/>
          <w:szCs w:val="16"/>
          <w:lang w:val="sr-Cyrl-CS"/>
        </w:rPr>
        <w:t xml:space="preserve">ФИНСКА                        </w:t>
      </w:r>
      <w:r w:rsidR="00120C2A">
        <w:rPr>
          <w:sz w:val="16"/>
          <w:szCs w:val="16"/>
          <w:lang w:val="sr-Cyrl-CS"/>
        </w:rPr>
        <w:t xml:space="preserve">                          </w:t>
      </w:r>
      <w:r>
        <w:rPr>
          <w:sz w:val="16"/>
          <w:szCs w:val="16"/>
          <w:lang w:val="sr-Cyrl-CS"/>
        </w:rPr>
        <w:t xml:space="preserve"> </w:t>
      </w:r>
      <w:r w:rsidR="00E61C79" w:rsidRPr="00213044">
        <w:rPr>
          <w:sz w:val="16"/>
          <w:szCs w:val="16"/>
          <w:lang w:val="sr-Cyrl-CS"/>
        </w:rPr>
        <w:t xml:space="preserve">- </w:t>
      </w:r>
      <w:r>
        <w:rPr>
          <w:sz w:val="16"/>
          <w:szCs w:val="16"/>
          <w:lang w:val="sr-Cyrl-CS"/>
        </w:rPr>
        <w:t xml:space="preserve">                          </w:t>
      </w:r>
      <w:r w:rsidR="00922BDD">
        <w:rPr>
          <w:sz w:val="16"/>
          <w:szCs w:val="16"/>
          <w:lang w:val="sr-Cyrl-CS"/>
        </w:rPr>
        <w:t xml:space="preserve">                         </w:t>
      </w:r>
      <w:r w:rsidR="00120C2A">
        <w:rPr>
          <w:sz w:val="16"/>
          <w:szCs w:val="16"/>
          <w:lang w:val="sr-Cyrl-CS"/>
        </w:rPr>
        <w:t xml:space="preserve">    </w:t>
      </w:r>
      <w:r w:rsidR="00E61C79" w:rsidRPr="00213044">
        <w:rPr>
          <w:sz w:val="16"/>
          <w:szCs w:val="16"/>
          <w:lang w:val="sr-Cyrl-CS"/>
        </w:rPr>
        <w:t xml:space="preserve">10 / 14 </w:t>
      </w:r>
      <w:r w:rsidR="002318A3">
        <w:rPr>
          <w:sz w:val="16"/>
          <w:szCs w:val="16"/>
          <w:lang w:val="sr-Cyrl-CS"/>
        </w:rPr>
        <w:t xml:space="preserve">                    </w:t>
      </w:r>
      <w:r w:rsidR="00120C2A">
        <w:rPr>
          <w:sz w:val="16"/>
          <w:szCs w:val="16"/>
          <w:lang w:val="sr-Cyrl-CS"/>
        </w:rPr>
        <w:t xml:space="preserve"> </w:t>
      </w:r>
      <w:r w:rsidR="00E61C79" w:rsidRPr="00213044">
        <w:rPr>
          <w:sz w:val="16"/>
          <w:szCs w:val="16"/>
          <w:lang w:val="sr-Cyrl-CS"/>
        </w:rPr>
        <w:t xml:space="preserve">24 </w:t>
      </w:r>
    </w:p>
    <w:p w:rsidR="00AF3C57" w:rsidRPr="00213044" w:rsidRDefault="00AF3C57" w:rsidP="006D724E">
      <w:pPr>
        <w:pStyle w:val="NoSpacing"/>
        <w:jc w:val="both"/>
        <w:rPr>
          <w:sz w:val="16"/>
          <w:szCs w:val="16"/>
          <w:lang w:val="sr-Cyrl-CS"/>
        </w:rPr>
      </w:pPr>
      <w:r>
        <w:rPr>
          <w:sz w:val="16"/>
          <w:szCs w:val="16"/>
          <w:lang w:val="sr-Cyrl-CS"/>
        </w:rPr>
        <w:t>_________________________________________________________________________________________________________________</w:t>
      </w:r>
    </w:p>
    <w:p w:rsidR="00E61C79" w:rsidRDefault="00D71874" w:rsidP="006D724E">
      <w:pPr>
        <w:pStyle w:val="NoSpacing"/>
        <w:jc w:val="both"/>
        <w:rPr>
          <w:sz w:val="16"/>
          <w:szCs w:val="16"/>
          <w:lang w:val="sr-Cyrl-CS"/>
        </w:rPr>
      </w:pPr>
      <w:r>
        <w:rPr>
          <w:sz w:val="16"/>
          <w:szCs w:val="16"/>
          <w:lang w:val="sr-Cyrl-CS"/>
        </w:rPr>
        <w:t>ШВЕДСКА</w:t>
      </w:r>
      <w:r w:rsidR="00E61C79" w:rsidRPr="00213044">
        <w:rPr>
          <w:sz w:val="16"/>
          <w:szCs w:val="16"/>
          <w:lang w:val="sr-Cyrl-CS"/>
        </w:rPr>
        <w:t xml:space="preserve"> </w:t>
      </w:r>
      <w:r>
        <w:rPr>
          <w:sz w:val="16"/>
          <w:szCs w:val="16"/>
          <w:lang w:val="sr-Cyrl-CS"/>
        </w:rPr>
        <w:t xml:space="preserve">                    </w:t>
      </w:r>
      <w:r w:rsidR="00120C2A">
        <w:rPr>
          <w:sz w:val="16"/>
          <w:szCs w:val="16"/>
          <w:lang w:val="sr-Cyrl-CS"/>
        </w:rPr>
        <w:t xml:space="preserve">                            </w:t>
      </w:r>
      <w:r>
        <w:rPr>
          <w:sz w:val="16"/>
          <w:szCs w:val="16"/>
          <w:lang w:val="sr-Cyrl-CS"/>
        </w:rPr>
        <w:t xml:space="preserve"> </w:t>
      </w:r>
      <w:r w:rsidR="00E61C79" w:rsidRPr="00213044">
        <w:rPr>
          <w:sz w:val="16"/>
          <w:szCs w:val="16"/>
          <w:lang w:val="sr-Cyrl-CS"/>
        </w:rPr>
        <w:t xml:space="preserve">- </w:t>
      </w:r>
      <w:r>
        <w:rPr>
          <w:sz w:val="16"/>
          <w:szCs w:val="16"/>
          <w:lang w:val="sr-Cyrl-CS"/>
        </w:rPr>
        <w:t xml:space="preserve">                           </w:t>
      </w:r>
      <w:r w:rsidR="00922BDD">
        <w:rPr>
          <w:sz w:val="16"/>
          <w:szCs w:val="16"/>
          <w:lang w:val="sr-Cyrl-CS"/>
        </w:rPr>
        <w:t xml:space="preserve">                         </w:t>
      </w:r>
      <w:r w:rsidR="00120C2A">
        <w:rPr>
          <w:sz w:val="16"/>
          <w:szCs w:val="16"/>
          <w:lang w:val="sr-Cyrl-CS"/>
        </w:rPr>
        <w:t xml:space="preserve">  </w:t>
      </w:r>
      <w:r w:rsidR="00922BDD">
        <w:rPr>
          <w:sz w:val="16"/>
          <w:szCs w:val="16"/>
          <w:lang w:val="sr-Cyrl-CS"/>
        </w:rPr>
        <w:t xml:space="preserve"> </w:t>
      </w:r>
      <w:r w:rsidR="00E61C79" w:rsidRPr="00213044">
        <w:rPr>
          <w:sz w:val="16"/>
          <w:szCs w:val="16"/>
          <w:lang w:val="sr-Cyrl-CS"/>
        </w:rPr>
        <w:t>6 / 12</w:t>
      </w:r>
      <w:r w:rsidR="002318A3">
        <w:rPr>
          <w:sz w:val="16"/>
          <w:szCs w:val="16"/>
          <w:lang w:val="sr-Cyrl-CS"/>
        </w:rPr>
        <w:t xml:space="preserve">                      </w:t>
      </w:r>
      <w:r>
        <w:rPr>
          <w:sz w:val="16"/>
          <w:szCs w:val="16"/>
          <w:lang w:val="sr-Cyrl-CS"/>
        </w:rPr>
        <w:t xml:space="preserve"> </w:t>
      </w:r>
      <w:r w:rsidR="00E61C79" w:rsidRPr="00213044">
        <w:rPr>
          <w:sz w:val="16"/>
          <w:szCs w:val="16"/>
          <w:lang w:val="sr-Cyrl-CS"/>
        </w:rPr>
        <w:t xml:space="preserve">25 </w:t>
      </w:r>
    </w:p>
    <w:p w:rsidR="00AF3C57" w:rsidRPr="00213044" w:rsidRDefault="00AF3C57" w:rsidP="006D724E">
      <w:pPr>
        <w:pStyle w:val="NoSpacing"/>
        <w:jc w:val="both"/>
        <w:rPr>
          <w:sz w:val="16"/>
          <w:szCs w:val="16"/>
          <w:lang w:val="sr-Cyrl-CS"/>
        </w:rPr>
      </w:pPr>
      <w:r>
        <w:rPr>
          <w:sz w:val="16"/>
          <w:szCs w:val="16"/>
          <w:lang w:val="sr-Cyrl-CS"/>
        </w:rPr>
        <w:t>_________________________________________________________________________________________________________________</w:t>
      </w:r>
    </w:p>
    <w:p w:rsidR="004E019C" w:rsidRDefault="00D71874" w:rsidP="006D724E">
      <w:pPr>
        <w:pStyle w:val="NoSpacing"/>
        <w:pBdr>
          <w:bottom w:val="single" w:sz="12" w:space="1" w:color="auto"/>
        </w:pBdr>
        <w:jc w:val="both"/>
        <w:rPr>
          <w:sz w:val="16"/>
          <w:szCs w:val="16"/>
          <w:lang w:val="sr-Cyrl-CS"/>
        </w:rPr>
      </w:pPr>
      <w:r>
        <w:rPr>
          <w:sz w:val="16"/>
          <w:szCs w:val="16"/>
          <w:lang w:val="sr-Cyrl-CS"/>
        </w:rPr>
        <w:t>ВЕЛИКА БРИТАНИЈА</w:t>
      </w:r>
      <w:r w:rsidR="00E61C79" w:rsidRPr="00213044">
        <w:rPr>
          <w:sz w:val="16"/>
          <w:szCs w:val="16"/>
          <w:lang w:val="sr-Cyrl-CS"/>
        </w:rPr>
        <w:t xml:space="preserve"> </w:t>
      </w:r>
      <w:r>
        <w:rPr>
          <w:sz w:val="16"/>
          <w:szCs w:val="16"/>
          <w:lang w:val="sr-Cyrl-CS"/>
        </w:rPr>
        <w:t xml:space="preserve"> </w:t>
      </w:r>
      <w:r w:rsidR="00120C2A">
        <w:rPr>
          <w:sz w:val="16"/>
          <w:szCs w:val="16"/>
          <w:lang w:val="sr-Cyrl-CS"/>
        </w:rPr>
        <w:t xml:space="preserve">                               </w:t>
      </w:r>
      <w:r>
        <w:rPr>
          <w:sz w:val="16"/>
          <w:szCs w:val="16"/>
          <w:lang w:val="sr-Cyrl-CS"/>
        </w:rPr>
        <w:t xml:space="preserve"> </w:t>
      </w:r>
      <w:r w:rsidR="00E61C79" w:rsidRPr="00213044">
        <w:rPr>
          <w:sz w:val="16"/>
          <w:szCs w:val="16"/>
          <w:lang w:val="sr-Cyrl-CS"/>
        </w:rPr>
        <w:t xml:space="preserve">- </w:t>
      </w:r>
      <w:r>
        <w:rPr>
          <w:sz w:val="16"/>
          <w:szCs w:val="16"/>
          <w:lang w:val="sr-Cyrl-CS"/>
        </w:rPr>
        <w:t xml:space="preserve">                       </w:t>
      </w:r>
      <w:r w:rsidR="00922BDD">
        <w:rPr>
          <w:sz w:val="16"/>
          <w:szCs w:val="16"/>
          <w:lang w:val="sr-Cyrl-CS"/>
        </w:rPr>
        <w:t xml:space="preserve">                             </w:t>
      </w:r>
      <w:r w:rsidR="00120C2A">
        <w:rPr>
          <w:sz w:val="16"/>
          <w:szCs w:val="16"/>
          <w:lang w:val="sr-Cyrl-CS"/>
        </w:rPr>
        <w:t xml:space="preserve">    </w:t>
      </w:r>
      <w:r>
        <w:rPr>
          <w:sz w:val="16"/>
          <w:szCs w:val="16"/>
          <w:lang w:val="sr-Cyrl-CS"/>
        </w:rPr>
        <w:t xml:space="preserve"> </w:t>
      </w:r>
      <w:r w:rsidR="00E61C79" w:rsidRPr="00213044">
        <w:rPr>
          <w:sz w:val="16"/>
          <w:szCs w:val="16"/>
          <w:lang w:val="sr-Cyrl-CS"/>
        </w:rPr>
        <w:t xml:space="preserve">5 </w:t>
      </w:r>
      <w:r w:rsidR="002318A3">
        <w:rPr>
          <w:sz w:val="16"/>
          <w:szCs w:val="16"/>
          <w:lang w:val="sr-Cyrl-CS"/>
        </w:rPr>
        <w:t xml:space="preserve">                           </w:t>
      </w:r>
      <w:r w:rsidR="00120C2A">
        <w:rPr>
          <w:sz w:val="16"/>
          <w:szCs w:val="16"/>
          <w:lang w:val="sr-Cyrl-CS"/>
        </w:rPr>
        <w:t xml:space="preserve"> </w:t>
      </w:r>
      <w:r>
        <w:rPr>
          <w:sz w:val="16"/>
          <w:szCs w:val="16"/>
          <w:lang w:val="sr-Cyrl-CS"/>
        </w:rPr>
        <w:t>20</w:t>
      </w:r>
      <w:r w:rsidR="00E61C79" w:rsidRPr="00213044">
        <w:rPr>
          <w:sz w:val="16"/>
          <w:szCs w:val="16"/>
          <w:lang w:val="sr-Cyrl-CS"/>
        </w:rPr>
        <w:t xml:space="preserve"> </w:t>
      </w:r>
      <w:r w:rsidR="00E61C79" w:rsidRPr="00213044">
        <w:rPr>
          <w:sz w:val="16"/>
          <w:szCs w:val="16"/>
          <w:lang w:val="sr-Cyrl-CS"/>
        </w:rPr>
        <w:cr/>
      </w:r>
    </w:p>
    <w:p w:rsidR="0040225C" w:rsidRPr="00AA7EB9" w:rsidRDefault="0040225C" w:rsidP="00AA7EB9">
      <w:pPr>
        <w:pStyle w:val="NoSpacing"/>
        <w:jc w:val="both"/>
        <w:rPr>
          <w:sz w:val="16"/>
          <w:szCs w:val="16"/>
          <w:lang w:val="sr-Cyrl-CS"/>
        </w:rPr>
      </w:pPr>
      <w:r>
        <w:rPr>
          <w:rFonts w:ascii="Times New Roman" w:hAnsi="Times New Roman"/>
          <w:color w:val="000000"/>
          <w:sz w:val="24"/>
          <w:szCs w:val="24"/>
          <w:lang w:val="sr-Cyrl-CS"/>
        </w:rPr>
        <w:t xml:space="preserve">Извор: </w:t>
      </w:r>
      <w:r w:rsidR="00922BDD">
        <w:rPr>
          <w:rFonts w:ascii="Times New Roman" w:hAnsi="Times New Roman"/>
          <w:color w:val="000000"/>
          <w:sz w:val="24"/>
          <w:szCs w:val="24"/>
          <w:lang w:val="en-US"/>
        </w:rPr>
        <w:t>European Commis</w:t>
      </w:r>
      <w:r>
        <w:rPr>
          <w:rFonts w:ascii="Times New Roman" w:hAnsi="Times New Roman"/>
          <w:color w:val="000000"/>
          <w:sz w:val="24"/>
          <w:szCs w:val="24"/>
          <w:lang w:val="en-US"/>
        </w:rPr>
        <w:t xml:space="preserve">ion, taxud.c.1(2013)2823545, стање на дан </w:t>
      </w:r>
      <w:r>
        <w:rPr>
          <w:rFonts w:ascii="Times New Roman" w:hAnsi="Times New Roman"/>
          <w:color w:val="000000"/>
          <w:sz w:val="24"/>
          <w:szCs w:val="24"/>
          <w:lang w:val="sr-Cyrl-CS"/>
        </w:rPr>
        <w:t>01.07.2013.</w:t>
      </w:r>
      <w:r>
        <w:rPr>
          <w:rStyle w:val="FootnoteReference"/>
          <w:rFonts w:ascii="Times New Roman" w:hAnsi="Times New Roman"/>
          <w:color w:val="000000"/>
          <w:sz w:val="24"/>
          <w:szCs w:val="24"/>
          <w:lang w:val="sr-Cyrl-CS"/>
        </w:rPr>
        <w:footnoteReference w:id="385"/>
      </w:r>
      <w:r w:rsidRPr="0040225C">
        <w:rPr>
          <w:rFonts w:ascii="Times New Roman" w:hAnsi="Times New Roman"/>
          <w:color w:val="000000"/>
          <w:sz w:val="24"/>
          <w:szCs w:val="24"/>
          <w:lang w:val="en-US"/>
        </w:rPr>
        <w:t xml:space="preserve"> </w:t>
      </w:r>
      <w:r w:rsidRPr="0040225C">
        <w:rPr>
          <w:rFonts w:ascii="Times New Roman" w:hAnsi="Times New Roman"/>
          <w:color w:val="000000"/>
          <w:sz w:val="24"/>
          <w:szCs w:val="24"/>
          <w:lang w:val="en-US"/>
        </w:rPr>
        <w:cr/>
      </w:r>
    </w:p>
    <w:p w:rsidR="00BF62FE" w:rsidRDefault="00BF62FE" w:rsidP="00E61C79">
      <w:pPr>
        <w:shd w:val="clear" w:color="auto" w:fill="FFFFFF"/>
        <w:spacing w:after="0" w:line="285" w:lineRule="atLeast"/>
        <w:rPr>
          <w:rFonts w:ascii="Times New Roman" w:hAnsi="Times New Roman"/>
          <w:color w:val="000000"/>
          <w:sz w:val="24"/>
          <w:szCs w:val="24"/>
          <w:lang w:val="sr-Cyrl-CS"/>
        </w:rPr>
      </w:pPr>
    </w:p>
    <w:p w:rsidR="00BF62FE" w:rsidRDefault="00BF62FE" w:rsidP="00E61C79">
      <w:pPr>
        <w:shd w:val="clear" w:color="auto" w:fill="FFFFFF"/>
        <w:spacing w:after="0" w:line="285" w:lineRule="atLeast"/>
        <w:rPr>
          <w:rFonts w:ascii="Times New Roman" w:hAnsi="Times New Roman"/>
          <w:color w:val="000000"/>
          <w:sz w:val="24"/>
          <w:szCs w:val="24"/>
          <w:lang w:val="sr-Cyrl-CS"/>
        </w:rPr>
      </w:pPr>
    </w:p>
    <w:p w:rsidR="00BF62FE" w:rsidRDefault="00A74A8E" w:rsidP="00E61C79">
      <w:pPr>
        <w:shd w:val="clear" w:color="auto" w:fill="FFFFFF"/>
        <w:spacing w:after="0" w:line="285" w:lineRule="atLeast"/>
        <w:rPr>
          <w:rFonts w:ascii="Times New Roman" w:hAnsi="Times New Roman"/>
          <w:b/>
          <w:color w:val="000000"/>
          <w:sz w:val="24"/>
          <w:szCs w:val="24"/>
          <w:lang w:val="sr-Cyrl-CS"/>
        </w:rPr>
      </w:pPr>
      <w:r>
        <w:rPr>
          <w:rFonts w:ascii="Times New Roman" w:hAnsi="Times New Roman"/>
          <w:b/>
          <w:color w:val="000000"/>
          <w:sz w:val="24"/>
          <w:szCs w:val="24"/>
          <w:lang w:val="sr-Cyrl-CS"/>
        </w:rPr>
        <w:t>Табела 21</w:t>
      </w:r>
      <w:r w:rsidR="00AA7EB9" w:rsidRPr="00AA7EB9">
        <w:rPr>
          <w:rFonts w:ascii="Times New Roman" w:hAnsi="Times New Roman"/>
          <w:b/>
          <w:color w:val="000000"/>
          <w:sz w:val="24"/>
          <w:szCs w:val="24"/>
          <w:lang w:val="sr-Cyrl-CS"/>
        </w:rPr>
        <w:t>.</w:t>
      </w:r>
    </w:p>
    <w:p w:rsidR="00AA7EB9" w:rsidRPr="00AA7EB9" w:rsidRDefault="00AA7EB9" w:rsidP="00E61C79">
      <w:pPr>
        <w:shd w:val="clear" w:color="auto" w:fill="FFFFFF"/>
        <w:spacing w:after="0" w:line="285" w:lineRule="atLeast"/>
        <w:rPr>
          <w:rFonts w:ascii="Times New Roman" w:hAnsi="Times New Roman"/>
          <w:b/>
          <w:color w:val="000000"/>
          <w:sz w:val="24"/>
          <w:szCs w:val="24"/>
          <w:lang w:val="sr-Cyrl-CS"/>
        </w:rPr>
      </w:pPr>
    </w:p>
    <w:p w:rsidR="00B83D38" w:rsidRDefault="00B83D38" w:rsidP="00E61C79">
      <w:pPr>
        <w:shd w:val="clear" w:color="auto" w:fill="FFFFFF"/>
        <w:spacing w:after="0" w:line="285" w:lineRule="atLeast"/>
        <w:rPr>
          <w:rFonts w:ascii="Times New Roman" w:hAnsi="Times New Roman"/>
          <w:b/>
          <w:color w:val="000000"/>
          <w:sz w:val="24"/>
          <w:szCs w:val="24"/>
          <w:lang w:val="sr-Cyrl-CS"/>
        </w:rPr>
      </w:pPr>
      <w:r w:rsidRPr="00AA7EB9">
        <w:rPr>
          <w:rFonts w:ascii="Times New Roman" w:hAnsi="Times New Roman"/>
          <w:b/>
          <w:color w:val="000000"/>
          <w:sz w:val="24"/>
          <w:szCs w:val="24"/>
          <w:lang w:val="sr-Cyrl-CS"/>
        </w:rPr>
        <w:t>Опште пореске стопе за период 2000-2012</w:t>
      </w:r>
    </w:p>
    <w:p w:rsidR="00AA7EB9" w:rsidRPr="00AA7EB9" w:rsidRDefault="00AA7EB9" w:rsidP="00E61C79">
      <w:pPr>
        <w:shd w:val="clear" w:color="auto" w:fill="FFFFFF"/>
        <w:spacing w:after="0" w:line="285" w:lineRule="atLeast"/>
        <w:rPr>
          <w:rFonts w:ascii="Times New Roman" w:hAnsi="Times New Roman"/>
          <w:b/>
          <w:color w:val="000000"/>
          <w:sz w:val="24"/>
          <w:szCs w:val="24"/>
          <w:lang w:val="sr-Cyrl-CS"/>
        </w:rPr>
      </w:pPr>
    </w:p>
    <w:p w:rsidR="00BF62FE" w:rsidRDefault="00BF62FE" w:rsidP="00E61C79">
      <w:pPr>
        <w:shd w:val="clear" w:color="auto" w:fill="FFFFFF"/>
        <w:spacing w:after="0" w:line="285" w:lineRule="atLeast"/>
        <w:rPr>
          <w:rFonts w:ascii="Times New Roman" w:hAnsi="Times New Roman"/>
          <w:color w:val="000000"/>
          <w:sz w:val="24"/>
          <w:szCs w:val="24"/>
          <w:lang w:val="sr-Cyrl-CS"/>
        </w:rPr>
      </w:pPr>
    </w:p>
    <w:p w:rsidR="00BF62FE" w:rsidRDefault="00BF62FE" w:rsidP="00E61C79">
      <w:pPr>
        <w:shd w:val="clear" w:color="auto" w:fill="FFFFFF"/>
        <w:spacing w:after="0" w:line="285" w:lineRule="atLeast"/>
        <w:rPr>
          <w:rFonts w:ascii="Times New Roman" w:hAnsi="Times New Roman"/>
          <w:color w:val="000000"/>
          <w:sz w:val="24"/>
          <w:szCs w:val="24"/>
          <w:lang w:val="sr-Cyrl-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02"/>
        <w:gridCol w:w="2303"/>
        <w:gridCol w:w="2303"/>
        <w:gridCol w:w="2303"/>
      </w:tblGrid>
      <w:tr w:rsidR="00BF62FE" w:rsidRPr="00E3424F" w:rsidTr="00E3424F">
        <w:tc>
          <w:tcPr>
            <w:tcW w:w="2302" w:type="dxa"/>
          </w:tcPr>
          <w:p w:rsidR="00BF62FE" w:rsidRPr="00E3424F" w:rsidRDefault="00BF62FE" w:rsidP="00E3424F">
            <w:pPr>
              <w:spacing w:after="0" w:line="285" w:lineRule="atLeast"/>
              <w:rPr>
                <w:rFonts w:ascii="Times New Roman" w:hAnsi="Times New Roman"/>
                <w:color w:val="000000"/>
                <w:sz w:val="24"/>
                <w:szCs w:val="24"/>
                <w:lang w:val="sr-Cyrl-CS"/>
              </w:rPr>
            </w:pPr>
          </w:p>
        </w:tc>
        <w:tc>
          <w:tcPr>
            <w:tcW w:w="2303" w:type="dxa"/>
          </w:tcPr>
          <w:p w:rsidR="00BF62FE" w:rsidRPr="00E3424F" w:rsidRDefault="00BF62FE" w:rsidP="00E3424F">
            <w:pPr>
              <w:spacing w:after="0" w:line="285" w:lineRule="atLeast"/>
              <w:rPr>
                <w:rFonts w:ascii="Times New Roman" w:hAnsi="Times New Roman"/>
                <w:b/>
                <w:color w:val="000000"/>
                <w:sz w:val="24"/>
                <w:szCs w:val="24"/>
                <w:lang w:val="sr-Cyrl-CS"/>
              </w:rPr>
            </w:pPr>
            <w:r w:rsidRPr="00E3424F">
              <w:rPr>
                <w:rFonts w:ascii="Times New Roman" w:hAnsi="Times New Roman"/>
                <w:b/>
                <w:color w:val="000000"/>
                <w:sz w:val="24"/>
                <w:szCs w:val="24"/>
                <w:lang w:val="sr-Cyrl-CS"/>
              </w:rPr>
              <w:t>2000</w:t>
            </w:r>
          </w:p>
        </w:tc>
        <w:tc>
          <w:tcPr>
            <w:tcW w:w="2303" w:type="dxa"/>
          </w:tcPr>
          <w:p w:rsidR="00BF62FE" w:rsidRPr="00E3424F" w:rsidRDefault="00BF62FE" w:rsidP="00E3424F">
            <w:pPr>
              <w:spacing w:after="0" w:line="285" w:lineRule="atLeast"/>
              <w:rPr>
                <w:rFonts w:ascii="Times New Roman" w:hAnsi="Times New Roman"/>
                <w:b/>
                <w:color w:val="000000"/>
                <w:sz w:val="24"/>
                <w:szCs w:val="24"/>
                <w:lang w:val="sr-Cyrl-CS"/>
              </w:rPr>
            </w:pPr>
            <w:r w:rsidRPr="00E3424F">
              <w:rPr>
                <w:rFonts w:ascii="Times New Roman" w:hAnsi="Times New Roman"/>
                <w:b/>
                <w:color w:val="000000"/>
                <w:sz w:val="24"/>
                <w:szCs w:val="24"/>
                <w:lang w:val="sr-Cyrl-CS"/>
              </w:rPr>
              <w:t>2011</w:t>
            </w:r>
          </w:p>
        </w:tc>
        <w:tc>
          <w:tcPr>
            <w:tcW w:w="2303" w:type="dxa"/>
          </w:tcPr>
          <w:p w:rsidR="00BF62FE" w:rsidRPr="00E3424F" w:rsidRDefault="00BF62FE" w:rsidP="00E3424F">
            <w:pPr>
              <w:spacing w:after="0" w:line="285" w:lineRule="atLeast"/>
              <w:rPr>
                <w:rFonts w:ascii="Times New Roman" w:hAnsi="Times New Roman"/>
                <w:b/>
                <w:color w:val="000000"/>
                <w:sz w:val="24"/>
                <w:szCs w:val="24"/>
                <w:lang w:val="sr-Cyrl-CS"/>
              </w:rPr>
            </w:pPr>
            <w:r w:rsidRPr="00E3424F">
              <w:rPr>
                <w:rFonts w:ascii="Times New Roman" w:hAnsi="Times New Roman"/>
                <w:b/>
                <w:color w:val="000000"/>
                <w:sz w:val="24"/>
                <w:szCs w:val="24"/>
                <w:lang w:val="sr-Cyrl-CS"/>
              </w:rPr>
              <w:t>2012</w:t>
            </w:r>
          </w:p>
        </w:tc>
      </w:tr>
      <w:tr w:rsidR="00BF62FE" w:rsidRPr="00E3424F" w:rsidTr="00E3424F">
        <w:tc>
          <w:tcPr>
            <w:tcW w:w="2302" w:type="dxa"/>
          </w:tcPr>
          <w:p w:rsidR="00BF62FE" w:rsidRPr="00E3424F" w:rsidRDefault="00BF62FE" w:rsidP="00E3424F">
            <w:pPr>
              <w:spacing w:after="0" w:line="285" w:lineRule="atLeast"/>
              <w:rPr>
                <w:rFonts w:ascii="Times New Roman" w:hAnsi="Times New Roman"/>
                <w:b/>
                <w:color w:val="000000"/>
                <w:sz w:val="24"/>
                <w:szCs w:val="24"/>
                <w:lang w:val="sr-Cyrl-CS"/>
              </w:rPr>
            </w:pPr>
            <w:r w:rsidRPr="00E3424F">
              <w:rPr>
                <w:rFonts w:ascii="Times New Roman" w:hAnsi="Times New Roman"/>
                <w:b/>
                <w:color w:val="000000"/>
                <w:sz w:val="24"/>
                <w:szCs w:val="24"/>
                <w:lang w:val="sr-Cyrl-CS"/>
              </w:rPr>
              <w:t>ЕУ 27</w:t>
            </w:r>
          </w:p>
        </w:tc>
        <w:tc>
          <w:tcPr>
            <w:tcW w:w="2303" w:type="dxa"/>
          </w:tcPr>
          <w:p w:rsidR="00BF62FE" w:rsidRPr="00E3424F" w:rsidRDefault="00BF62FE" w:rsidP="00E3424F">
            <w:pPr>
              <w:spacing w:after="0" w:line="285" w:lineRule="atLeast"/>
              <w:rPr>
                <w:rFonts w:ascii="Times New Roman" w:hAnsi="Times New Roman"/>
                <w:color w:val="000000"/>
                <w:sz w:val="24"/>
                <w:szCs w:val="24"/>
                <w:lang w:val="sr-Cyrl-CS"/>
              </w:rPr>
            </w:pPr>
            <w:r w:rsidRPr="00E3424F">
              <w:rPr>
                <w:rFonts w:ascii="Times New Roman" w:hAnsi="Times New Roman"/>
                <w:color w:val="000000"/>
                <w:sz w:val="24"/>
                <w:szCs w:val="24"/>
                <w:lang w:val="sr-Cyrl-CS"/>
              </w:rPr>
              <w:t>19,2</w:t>
            </w:r>
          </w:p>
        </w:tc>
        <w:tc>
          <w:tcPr>
            <w:tcW w:w="2303" w:type="dxa"/>
          </w:tcPr>
          <w:p w:rsidR="00BF62FE" w:rsidRPr="00E3424F" w:rsidRDefault="00BF62FE" w:rsidP="00E3424F">
            <w:pPr>
              <w:spacing w:after="0" w:line="285" w:lineRule="atLeast"/>
              <w:rPr>
                <w:rFonts w:ascii="Times New Roman" w:hAnsi="Times New Roman"/>
                <w:color w:val="000000"/>
                <w:sz w:val="24"/>
                <w:szCs w:val="24"/>
                <w:lang w:val="sr-Cyrl-CS"/>
              </w:rPr>
            </w:pPr>
            <w:r w:rsidRPr="00E3424F">
              <w:rPr>
                <w:rFonts w:ascii="Times New Roman" w:hAnsi="Times New Roman"/>
                <w:color w:val="000000"/>
                <w:sz w:val="24"/>
                <w:szCs w:val="24"/>
                <w:lang w:val="sr-Cyrl-CS"/>
              </w:rPr>
              <w:t>20,7</w:t>
            </w:r>
          </w:p>
        </w:tc>
        <w:tc>
          <w:tcPr>
            <w:tcW w:w="2303" w:type="dxa"/>
          </w:tcPr>
          <w:p w:rsidR="00BF62FE" w:rsidRPr="00E3424F" w:rsidRDefault="00BF62FE" w:rsidP="00E3424F">
            <w:pPr>
              <w:spacing w:after="0" w:line="285" w:lineRule="atLeast"/>
              <w:rPr>
                <w:rFonts w:ascii="Times New Roman" w:hAnsi="Times New Roman"/>
                <w:color w:val="000000"/>
                <w:sz w:val="24"/>
                <w:szCs w:val="24"/>
                <w:lang w:val="sr-Cyrl-CS"/>
              </w:rPr>
            </w:pPr>
            <w:r w:rsidRPr="00E3424F">
              <w:rPr>
                <w:rFonts w:ascii="Times New Roman" w:hAnsi="Times New Roman"/>
                <w:color w:val="000000"/>
                <w:sz w:val="24"/>
                <w:szCs w:val="24"/>
                <w:lang w:val="sr-Cyrl-CS"/>
              </w:rPr>
              <w:t>21.0</w:t>
            </w:r>
          </w:p>
        </w:tc>
      </w:tr>
      <w:tr w:rsidR="00BF62FE" w:rsidRPr="00E3424F" w:rsidTr="00E3424F">
        <w:tc>
          <w:tcPr>
            <w:tcW w:w="2302" w:type="dxa"/>
          </w:tcPr>
          <w:p w:rsidR="00BF62FE" w:rsidRPr="00E3424F" w:rsidRDefault="00BF62FE" w:rsidP="00E3424F">
            <w:pPr>
              <w:spacing w:after="0" w:line="285" w:lineRule="atLeast"/>
              <w:rPr>
                <w:rFonts w:ascii="Times New Roman" w:hAnsi="Times New Roman"/>
                <w:b/>
                <w:color w:val="000000"/>
                <w:sz w:val="24"/>
                <w:szCs w:val="24"/>
                <w:lang w:val="sr-Cyrl-CS"/>
              </w:rPr>
            </w:pPr>
            <w:r w:rsidRPr="00E3424F">
              <w:rPr>
                <w:rFonts w:ascii="Times New Roman" w:hAnsi="Times New Roman"/>
                <w:b/>
                <w:color w:val="000000"/>
                <w:sz w:val="24"/>
                <w:szCs w:val="24"/>
                <w:lang w:val="sr-Cyrl-CS"/>
              </w:rPr>
              <w:t>ЕУ 17</w:t>
            </w:r>
          </w:p>
        </w:tc>
        <w:tc>
          <w:tcPr>
            <w:tcW w:w="2303" w:type="dxa"/>
          </w:tcPr>
          <w:p w:rsidR="00BF62FE" w:rsidRPr="00E3424F" w:rsidRDefault="00BF62FE" w:rsidP="00E3424F">
            <w:pPr>
              <w:spacing w:after="0" w:line="285" w:lineRule="atLeast"/>
              <w:rPr>
                <w:rFonts w:ascii="Times New Roman" w:hAnsi="Times New Roman"/>
                <w:color w:val="000000"/>
                <w:sz w:val="24"/>
                <w:szCs w:val="24"/>
                <w:lang w:val="sr-Cyrl-CS"/>
              </w:rPr>
            </w:pPr>
            <w:r w:rsidRPr="00E3424F">
              <w:rPr>
                <w:rFonts w:ascii="Times New Roman" w:hAnsi="Times New Roman"/>
                <w:color w:val="000000"/>
                <w:sz w:val="24"/>
                <w:szCs w:val="24"/>
                <w:lang w:val="sr-Cyrl-CS"/>
              </w:rPr>
              <w:t>18,1</w:t>
            </w:r>
          </w:p>
        </w:tc>
        <w:tc>
          <w:tcPr>
            <w:tcW w:w="2303" w:type="dxa"/>
          </w:tcPr>
          <w:p w:rsidR="00BF62FE" w:rsidRPr="00E3424F" w:rsidRDefault="00BF62FE" w:rsidP="00E3424F">
            <w:pPr>
              <w:spacing w:after="0" w:line="285" w:lineRule="atLeast"/>
              <w:rPr>
                <w:rFonts w:ascii="Times New Roman" w:hAnsi="Times New Roman"/>
                <w:color w:val="000000"/>
                <w:sz w:val="24"/>
                <w:szCs w:val="24"/>
                <w:lang w:val="sr-Cyrl-CS"/>
              </w:rPr>
            </w:pPr>
            <w:r w:rsidRPr="00E3424F">
              <w:rPr>
                <w:rFonts w:ascii="Times New Roman" w:hAnsi="Times New Roman"/>
                <w:color w:val="000000"/>
                <w:sz w:val="24"/>
                <w:szCs w:val="24"/>
                <w:lang w:val="sr-Cyrl-CS"/>
              </w:rPr>
              <w:t>19,7</w:t>
            </w:r>
          </w:p>
        </w:tc>
        <w:tc>
          <w:tcPr>
            <w:tcW w:w="2303" w:type="dxa"/>
          </w:tcPr>
          <w:p w:rsidR="00BF62FE" w:rsidRPr="00E3424F" w:rsidRDefault="00BF62FE" w:rsidP="00E3424F">
            <w:pPr>
              <w:spacing w:after="0" w:line="285" w:lineRule="atLeast"/>
              <w:rPr>
                <w:rFonts w:ascii="Times New Roman" w:hAnsi="Times New Roman"/>
                <w:color w:val="000000"/>
                <w:sz w:val="24"/>
                <w:szCs w:val="24"/>
                <w:lang w:val="sr-Cyrl-CS"/>
              </w:rPr>
            </w:pPr>
            <w:r w:rsidRPr="00E3424F">
              <w:rPr>
                <w:rFonts w:ascii="Times New Roman" w:hAnsi="Times New Roman"/>
                <w:color w:val="000000"/>
                <w:sz w:val="24"/>
                <w:szCs w:val="24"/>
                <w:lang w:val="sr-Cyrl-CS"/>
              </w:rPr>
              <w:t>20,0</w:t>
            </w:r>
          </w:p>
        </w:tc>
      </w:tr>
    </w:tbl>
    <w:p w:rsidR="00BF62FE" w:rsidRPr="00B83D38" w:rsidRDefault="00BF62FE" w:rsidP="00E61C79">
      <w:pPr>
        <w:shd w:val="clear" w:color="auto" w:fill="FFFFFF"/>
        <w:spacing w:after="0" w:line="285" w:lineRule="atLeast"/>
        <w:rPr>
          <w:rFonts w:ascii="Times New Roman" w:hAnsi="Times New Roman"/>
          <w:color w:val="000000"/>
          <w:sz w:val="24"/>
          <w:szCs w:val="24"/>
          <w:lang w:val="sr-Cyrl-CS"/>
        </w:rPr>
      </w:pPr>
    </w:p>
    <w:p w:rsidR="00D31443" w:rsidRPr="00DA0A40" w:rsidRDefault="00D31443" w:rsidP="00DA0A40">
      <w:pPr>
        <w:shd w:val="clear" w:color="auto" w:fill="FFFFFF"/>
        <w:spacing w:after="0" w:line="285" w:lineRule="atLeast"/>
        <w:rPr>
          <w:rFonts w:ascii="Arial" w:hAnsi="Arial" w:cs="Arial"/>
          <w:color w:val="000000"/>
          <w:sz w:val="24"/>
          <w:szCs w:val="24"/>
        </w:rPr>
      </w:pPr>
    </w:p>
    <w:p w:rsidR="0044733C" w:rsidRPr="00FB5A28" w:rsidRDefault="00BF62FE" w:rsidP="00FB5A28">
      <w:pPr>
        <w:ind w:firstLine="708"/>
        <w:jc w:val="both"/>
        <w:rPr>
          <w:rFonts w:ascii="Times New Roman" w:hAnsi="Times New Roman"/>
          <w:sz w:val="24"/>
          <w:szCs w:val="24"/>
          <w:lang w:val="sr-Cyrl-CS"/>
        </w:rPr>
      </w:pPr>
      <w:r w:rsidRPr="00FB5A28">
        <w:rPr>
          <w:rFonts w:ascii="Times New Roman" w:hAnsi="Times New Roman"/>
          <w:sz w:val="24"/>
          <w:szCs w:val="24"/>
          <w:lang w:val="sr-Cyrl-CS"/>
        </w:rPr>
        <w:t>Општа пореска с</w:t>
      </w:r>
      <w:r w:rsidR="00B0198C" w:rsidRPr="00FB5A28">
        <w:rPr>
          <w:rFonts w:ascii="Times New Roman" w:hAnsi="Times New Roman"/>
          <w:sz w:val="24"/>
          <w:szCs w:val="24"/>
          <w:lang w:val="sr-Cyrl-CS"/>
        </w:rPr>
        <w:t>топа ПДВ</w:t>
      </w:r>
      <w:r w:rsidRPr="00FB5A28">
        <w:rPr>
          <w:rFonts w:ascii="Times New Roman" w:hAnsi="Times New Roman"/>
          <w:sz w:val="24"/>
          <w:szCs w:val="24"/>
          <w:lang w:val="sr-Cyrl-CS"/>
        </w:rPr>
        <w:t>-а</w:t>
      </w:r>
      <w:r w:rsidR="00B0198C" w:rsidRPr="00FB5A28">
        <w:rPr>
          <w:rFonts w:ascii="Times New Roman" w:hAnsi="Times New Roman"/>
          <w:sz w:val="24"/>
          <w:szCs w:val="24"/>
          <w:lang w:val="sr-Cyrl-CS"/>
        </w:rPr>
        <w:t xml:space="preserve"> варира од 15,0 % у</w:t>
      </w:r>
      <w:r w:rsidRPr="00FB5A28">
        <w:rPr>
          <w:rFonts w:ascii="Times New Roman" w:hAnsi="Times New Roman"/>
          <w:sz w:val="24"/>
          <w:szCs w:val="24"/>
          <w:lang w:val="sr-Cyrl-CS"/>
        </w:rPr>
        <w:t xml:space="preserve"> Луксембургу и на Кипру 17,0% па до</w:t>
      </w:r>
      <w:r w:rsidR="00B0198C" w:rsidRPr="00FB5A28">
        <w:rPr>
          <w:rFonts w:ascii="Times New Roman" w:hAnsi="Times New Roman"/>
          <w:sz w:val="24"/>
          <w:szCs w:val="24"/>
          <w:lang w:val="sr-Cyrl-CS"/>
        </w:rPr>
        <w:t xml:space="preserve"> 27,0 % у Мађарској и 25,0% у Данској и Шведској. </w:t>
      </w:r>
    </w:p>
    <w:p w:rsidR="00B0198C" w:rsidRPr="00FB5A28" w:rsidRDefault="00B0198C" w:rsidP="00FB5A28">
      <w:pPr>
        <w:ind w:firstLine="708"/>
        <w:jc w:val="both"/>
        <w:rPr>
          <w:rFonts w:ascii="Times New Roman" w:hAnsi="Times New Roman"/>
          <w:sz w:val="24"/>
          <w:szCs w:val="24"/>
          <w:lang w:val="sr-Cyrl-CS"/>
        </w:rPr>
      </w:pPr>
      <w:r w:rsidRPr="00FB5A28">
        <w:rPr>
          <w:rFonts w:ascii="Times New Roman" w:hAnsi="Times New Roman"/>
          <w:sz w:val="24"/>
          <w:szCs w:val="24"/>
          <w:lang w:val="sr-Cyrl-CS"/>
        </w:rPr>
        <w:t>У поређењу са остатком света у чланицама ЕУ27 пореска стопа је и даље генерално висока. Међутим, пореско оптерећење знатно варира између држава чланица у 2010</w:t>
      </w:r>
      <w:r w:rsidR="00BD133E" w:rsidRPr="00FB5A28">
        <w:rPr>
          <w:rFonts w:ascii="Times New Roman" w:hAnsi="Times New Roman"/>
          <w:sz w:val="24"/>
          <w:szCs w:val="24"/>
          <w:lang w:val="sr-Cyrl-CS"/>
        </w:rPr>
        <w:t>. г</w:t>
      </w:r>
      <w:r w:rsidRPr="00FB5A28">
        <w:rPr>
          <w:rFonts w:ascii="Times New Roman" w:hAnsi="Times New Roman"/>
          <w:sz w:val="24"/>
          <w:szCs w:val="24"/>
          <w:lang w:val="sr-Cyrl-CS"/>
        </w:rPr>
        <w:t>одини у распону од мање од 3</w:t>
      </w:r>
      <w:r w:rsidR="00922BDD" w:rsidRPr="00FB5A28">
        <w:rPr>
          <w:rFonts w:ascii="Times New Roman" w:hAnsi="Times New Roman"/>
          <w:sz w:val="24"/>
          <w:szCs w:val="24"/>
          <w:lang w:val="sr-Cyrl-CS"/>
        </w:rPr>
        <w:t>0% у Литванији (27,1%), Румунији (27,2%), Летонији (27,3%), Бугарској (27,4%), Словачкој (28,1%) и Ирској (28,2%), до</w:t>
      </w:r>
      <w:r w:rsidRPr="00FB5A28">
        <w:rPr>
          <w:rFonts w:ascii="Times New Roman" w:hAnsi="Times New Roman"/>
          <w:sz w:val="24"/>
          <w:szCs w:val="24"/>
          <w:lang w:val="sr-Cyrl-CS"/>
        </w:rPr>
        <w:t xml:space="preserve"> више од 45% у Данској (47,6%) и у Шведској (45,8%).</w:t>
      </w:r>
      <w:r w:rsidR="00BF62FE" w:rsidRPr="00FB5A28">
        <w:rPr>
          <w:rFonts w:ascii="Times New Roman" w:hAnsi="Times New Roman"/>
          <w:sz w:val="24"/>
          <w:szCs w:val="24"/>
          <w:lang w:val="sr-Cyrl-CS"/>
        </w:rPr>
        <w:t xml:space="preserve"> </w:t>
      </w:r>
      <w:r w:rsidRPr="00FB5A28">
        <w:rPr>
          <w:rFonts w:ascii="Times New Roman" w:hAnsi="Times New Roman"/>
          <w:sz w:val="24"/>
          <w:szCs w:val="24"/>
          <w:lang w:val="sr-Cyrl-CS"/>
        </w:rPr>
        <w:t>Између 2009 и 2010, највећи пад забележе</w:t>
      </w:r>
      <w:r w:rsidR="0044733C" w:rsidRPr="00FB5A28">
        <w:rPr>
          <w:rFonts w:ascii="Times New Roman" w:hAnsi="Times New Roman"/>
          <w:sz w:val="24"/>
          <w:szCs w:val="24"/>
          <w:lang w:val="sr-Cyrl-CS"/>
        </w:rPr>
        <w:t>н је</w:t>
      </w:r>
      <w:r w:rsidRPr="00FB5A28">
        <w:rPr>
          <w:rFonts w:ascii="Times New Roman" w:hAnsi="Times New Roman"/>
          <w:sz w:val="24"/>
          <w:szCs w:val="24"/>
          <w:lang w:val="sr-Cyrl-CS"/>
        </w:rPr>
        <w:t xml:space="preserve"> у Мађарско</w:t>
      </w:r>
      <w:r w:rsidR="0044733C" w:rsidRPr="00FB5A28">
        <w:rPr>
          <w:rFonts w:ascii="Times New Roman" w:hAnsi="Times New Roman"/>
          <w:sz w:val="24"/>
          <w:szCs w:val="24"/>
          <w:lang w:val="sr-Cyrl-CS"/>
        </w:rPr>
        <w:t xml:space="preserve">ј (са 40,1% на 37,7%), Литванији (са 29,2% на 27,1%), Бугарској (са 29,0% на 27,4%) и Естонији (од 35,7% до 34,2%), а највеће повећање </w:t>
      </w:r>
      <w:r w:rsidRPr="00FB5A28">
        <w:rPr>
          <w:rFonts w:ascii="Times New Roman" w:hAnsi="Times New Roman"/>
          <w:sz w:val="24"/>
          <w:szCs w:val="24"/>
          <w:lang w:val="sr-Cyrl-CS"/>
        </w:rPr>
        <w:t xml:space="preserve"> у Шпанији (повећање од 30,7% до 31,9%), Велика Британија (са 34,8% на 35,6%) и Летонији (са 26,7% на 27,3%).</w:t>
      </w:r>
      <w:r w:rsidR="00BF62FE" w:rsidRPr="00FB5A28">
        <w:rPr>
          <w:rStyle w:val="FootnoteReference"/>
          <w:rFonts w:ascii="Times New Roman" w:hAnsi="Times New Roman"/>
          <w:color w:val="000000"/>
          <w:sz w:val="24"/>
          <w:szCs w:val="24"/>
          <w:lang w:val="sr-Cyrl-CS"/>
        </w:rPr>
        <w:footnoteReference w:id="386"/>
      </w:r>
    </w:p>
    <w:p w:rsidR="00CE7E17" w:rsidRDefault="00CE7E17" w:rsidP="00B0198C">
      <w:pPr>
        <w:shd w:val="clear" w:color="auto" w:fill="FFFFFF"/>
        <w:spacing w:after="0" w:line="285" w:lineRule="atLeast"/>
        <w:jc w:val="both"/>
        <w:rPr>
          <w:rFonts w:ascii="Times New Roman" w:hAnsi="Times New Roman"/>
          <w:color w:val="000000"/>
          <w:sz w:val="24"/>
          <w:szCs w:val="24"/>
          <w:lang w:val="sr-Cyrl-CS"/>
        </w:rPr>
      </w:pPr>
    </w:p>
    <w:p w:rsidR="00F40F95" w:rsidRDefault="00F40F95" w:rsidP="00B0198C">
      <w:pPr>
        <w:shd w:val="clear" w:color="auto" w:fill="FFFFFF"/>
        <w:spacing w:after="0" w:line="285" w:lineRule="atLeast"/>
        <w:jc w:val="both"/>
        <w:rPr>
          <w:rFonts w:ascii="Times New Roman" w:hAnsi="Times New Roman"/>
          <w:color w:val="000000"/>
          <w:sz w:val="24"/>
          <w:szCs w:val="24"/>
          <w:lang w:val="sr-Cyrl-CS"/>
        </w:rPr>
      </w:pPr>
    </w:p>
    <w:p w:rsidR="00AA7EB9" w:rsidRDefault="00AA7EB9" w:rsidP="00B0198C">
      <w:pPr>
        <w:shd w:val="clear" w:color="auto" w:fill="FFFFFF"/>
        <w:spacing w:after="0" w:line="285" w:lineRule="atLeast"/>
        <w:jc w:val="both"/>
        <w:rPr>
          <w:rFonts w:ascii="Times New Roman" w:hAnsi="Times New Roman"/>
          <w:color w:val="000000"/>
          <w:sz w:val="24"/>
          <w:szCs w:val="24"/>
          <w:lang w:val="sr-Cyrl-CS"/>
        </w:rPr>
      </w:pPr>
    </w:p>
    <w:p w:rsidR="00AA7EB9" w:rsidRDefault="00AA7EB9" w:rsidP="00B0198C">
      <w:pPr>
        <w:shd w:val="clear" w:color="auto" w:fill="FFFFFF"/>
        <w:spacing w:after="0" w:line="285" w:lineRule="atLeast"/>
        <w:jc w:val="both"/>
        <w:rPr>
          <w:rFonts w:ascii="Times New Roman" w:hAnsi="Times New Roman"/>
          <w:color w:val="000000"/>
          <w:sz w:val="24"/>
          <w:szCs w:val="24"/>
          <w:lang w:val="sr-Cyrl-CS"/>
        </w:rPr>
      </w:pPr>
    </w:p>
    <w:p w:rsidR="00AA7EB9" w:rsidRDefault="00AA7EB9" w:rsidP="00B0198C">
      <w:pPr>
        <w:shd w:val="clear" w:color="auto" w:fill="FFFFFF"/>
        <w:spacing w:after="0" w:line="285" w:lineRule="atLeast"/>
        <w:jc w:val="both"/>
        <w:rPr>
          <w:rFonts w:ascii="Times New Roman" w:hAnsi="Times New Roman"/>
          <w:color w:val="000000"/>
          <w:sz w:val="24"/>
          <w:szCs w:val="24"/>
          <w:lang w:val="sr-Cyrl-CS"/>
        </w:rPr>
      </w:pPr>
    </w:p>
    <w:p w:rsidR="00AA7EB9" w:rsidRDefault="00AA7EB9" w:rsidP="00B0198C">
      <w:pPr>
        <w:shd w:val="clear" w:color="auto" w:fill="FFFFFF"/>
        <w:spacing w:after="0" w:line="285" w:lineRule="atLeast"/>
        <w:jc w:val="both"/>
        <w:rPr>
          <w:rFonts w:ascii="Times New Roman" w:hAnsi="Times New Roman"/>
          <w:color w:val="000000"/>
          <w:sz w:val="24"/>
          <w:szCs w:val="24"/>
          <w:lang w:val="sr-Cyrl-CS"/>
        </w:rPr>
      </w:pPr>
    </w:p>
    <w:p w:rsidR="00AA7EB9" w:rsidRDefault="00AA7EB9" w:rsidP="00B0198C">
      <w:pPr>
        <w:shd w:val="clear" w:color="auto" w:fill="FFFFFF"/>
        <w:spacing w:after="0" w:line="285" w:lineRule="atLeast"/>
        <w:jc w:val="both"/>
        <w:rPr>
          <w:rFonts w:ascii="Times New Roman" w:hAnsi="Times New Roman"/>
          <w:color w:val="000000"/>
          <w:sz w:val="24"/>
          <w:szCs w:val="24"/>
          <w:lang w:val="sr-Cyrl-CS"/>
        </w:rPr>
      </w:pPr>
    </w:p>
    <w:p w:rsidR="00AA7EB9" w:rsidRDefault="00AA7EB9" w:rsidP="00B0198C">
      <w:pPr>
        <w:shd w:val="clear" w:color="auto" w:fill="FFFFFF"/>
        <w:spacing w:after="0" w:line="285" w:lineRule="atLeast"/>
        <w:jc w:val="both"/>
        <w:rPr>
          <w:rFonts w:ascii="Times New Roman" w:hAnsi="Times New Roman"/>
          <w:color w:val="000000"/>
          <w:sz w:val="24"/>
          <w:szCs w:val="24"/>
          <w:lang w:val="sr-Cyrl-CS"/>
        </w:rPr>
      </w:pPr>
    </w:p>
    <w:p w:rsidR="00AA7EB9" w:rsidRDefault="00AA7EB9" w:rsidP="00B0198C">
      <w:pPr>
        <w:shd w:val="clear" w:color="auto" w:fill="FFFFFF"/>
        <w:spacing w:after="0" w:line="285" w:lineRule="atLeast"/>
        <w:jc w:val="both"/>
        <w:rPr>
          <w:rFonts w:ascii="Times New Roman" w:hAnsi="Times New Roman"/>
          <w:color w:val="000000"/>
          <w:sz w:val="24"/>
          <w:szCs w:val="24"/>
          <w:lang w:val="sr-Cyrl-CS"/>
        </w:rPr>
      </w:pPr>
    </w:p>
    <w:p w:rsidR="00AA7EB9" w:rsidRDefault="00AA7EB9" w:rsidP="00B0198C">
      <w:pPr>
        <w:shd w:val="clear" w:color="auto" w:fill="FFFFFF"/>
        <w:spacing w:after="0" w:line="285" w:lineRule="atLeast"/>
        <w:jc w:val="both"/>
        <w:rPr>
          <w:rFonts w:ascii="Times New Roman" w:hAnsi="Times New Roman"/>
          <w:color w:val="000000"/>
          <w:sz w:val="24"/>
          <w:szCs w:val="24"/>
          <w:lang w:val="sr-Cyrl-CS"/>
        </w:rPr>
      </w:pPr>
    </w:p>
    <w:p w:rsidR="00AA7EB9" w:rsidRDefault="00AA7EB9" w:rsidP="00B0198C">
      <w:pPr>
        <w:shd w:val="clear" w:color="auto" w:fill="FFFFFF"/>
        <w:spacing w:after="0" w:line="285" w:lineRule="atLeast"/>
        <w:jc w:val="both"/>
        <w:rPr>
          <w:rFonts w:ascii="Times New Roman" w:hAnsi="Times New Roman"/>
          <w:color w:val="000000"/>
          <w:sz w:val="24"/>
          <w:szCs w:val="24"/>
          <w:lang w:val="sr-Cyrl-CS"/>
        </w:rPr>
      </w:pPr>
    </w:p>
    <w:p w:rsidR="00AA7EB9" w:rsidRDefault="00AA7EB9" w:rsidP="00B0198C">
      <w:pPr>
        <w:shd w:val="clear" w:color="auto" w:fill="FFFFFF"/>
        <w:spacing w:after="0" w:line="285" w:lineRule="atLeast"/>
        <w:jc w:val="both"/>
        <w:rPr>
          <w:rFonts w:ascii="Times New Roman" w:hAnsi="Times New Roman"/>
          <w:color w:val="000000"/>
          <w:sz w:val="24"/>
          <w:szCs w:val="24"/>
          <w:lang w:val="sr-Cyrl-CS"/>
        </w:rPr>
      </w:pPr>
    </w:p>
    <w:p w:rsidR="00AA7EB9" w:rsidRDefault="00AA7EB9" w:rsidP="00B0198C">
      <w:pPr>
        <w:shd w:val="clear" w:color="auto" w:fill="FFFFFF"/>
        <w:spacing w:after="0" w:line="285" w:lineRule="atLeast"/>
        <w:jc w:val="both"/>
        <w:rPr>
          <w:rFonts w:ascii="Times New Roman" w:hAnsi="Times New Roman"/>
          <w:color w:val="000000"/>
          <w:sz w:val="24"/>
          <w:szCs w:val="24"/>
          <w:lang w:val="sr-Cyrl-CS"/>
        </w:rPr>
      </w:pPr>
    </w:p>
    <w:p w:rsidR="00AA7EB9" w:rsidRDefault="00AA7EB9" w:rsidP="00B0198C">
      <w:pPr>
        <w:shd w:val="clear" w:color="auto" w:fill="FFFFFF"/>
        <w:spacing w:after="0" w:line="285" w:lineRule="atLeast"/>
        <w:jc w:val="both"/>
        <w:rPr>
          <w:rFonts w:ascii="Times New Roman" w:hAnsi="Times New Roman"/>
          <w:color w:val="000000"/>
          <w:sz w:val="24"/>
          <w:szCs w:val="24"/>
          <w:lang w:val="sr-Cyrl-CS"/>
        </w:rPr>
      </w:pPr>
    </w:p>
    <w:p w:rsidR="00AA7EB9" w:rsidRDefault="00AA7EB9" w:rsidP="00B0198C">
      <w:pPr>
        <w:shd w:val="clear" w:color="auto" w:fill="FFFFFF"/>
        <w:spacing w:after="0" w:line="285" w:lineRule="atLeast"/>
        <w:jc w:val="both"/>
        <w:rPr>
          <w:rFonts w:ascii="Times New Roman" w:hAnsi="Times New Roman"/>
          <w:color w:val="000000"/>
          <w:sz w:val="24"/>
          <w:szCs w:val="24"/>
          <w:lang w:val="sr-Cyrl-CS"/>
        </w:rPr>
      </w:pPr>
    </w:p>
    <w:p w:rsidR="00AA7EB9" w:rsidRDefault="00AA7EB9" w:rsidP="00B0198C">
      <w:pPr>
        <w:shd w:val="clear" w:color="auto" w:fill="FFFFFF"/>
        <w:spacing w:after="0" w:line="285" w:lineRule="atLeast"/>
        <w:jc w:val="both"/>
        <w:rPr>
          <w:rFonts w:ascii="Times New Roman" w:hAnsi="Times New Roman"/>
          <w:color w:val="000000"/>
          <w:sz w:val="24"/>
          <w:szCs w:val="24"/>
          <w:lang w:val="sr-Cyrl-CS"/>
        </w:rPr>
      </w:pPr>
    </w:p>
    <w:p w:rsidR="00AA7EB9" w:rsidRDefault="00AA7EB9" w:rsidP="00B0198C">
      <w:pPr>
        <w:shd w:val="clear" w:color="auto" w:fill="FFFFFF"/>
        <w:spacing w:after="0" w:line="285" w:lineRule="atLeast"/>
        <w:jc w:val="both"/>
        <w:rPr>
          <w:rFonts w:ascii="Times New Roman" w:hAnsi="Times New Roman"/>
          <w:color w:val="000000"/>
          <w:sz w:val="24"/>
          <w:szCs w:val="24"/>
          <w:lang w:val="sr-Cyrl-CS"/>
        </w:rPr>
      </w:pPr>
    </w:p>
    <w:p w:rsidR="00AA7EB9" w:rsidRDefault="00AA7EB9" w:rsidP="00B0198C">
      <w:pPr>
        <w:shd w:val="clear" w:color="auto" w:fill="FFFFFF"/>
        <w:spacing w:after="0" w:line="285" w:lineRule="atLeast"/>
        <w:jc w:val="both"/>
        <w:rPr>
          <w:rFonts w:ascii="Times New Roman" w:hAnsi="Times New Roman"/>
          <w:color w:val="000000"/>
          <w:sz w:val="24"/>
          <w:szCs w:val="24"/>
          <w:lang w:val="sr-Cyrl-CS"/>
        </w:rPr>
      </w:pPr>
    </w:p>
    <w:p w:rsidR="00AA7EB9" w:rsidRDefault="00AA7EB9" w:rsidP="00B0198C">
      <w:pPr>
        <w:shd w:val="clear" w:color="auto" w:fill="FFFFFF"/>
        <w:spacing w:after="0" w:line="285" w:lineRule="atLeast"/>
        <w:jc w:val="both"/>
        <w:rPr>
          <w:rFonts w:ascii="Times New Roman" w:hAnsi="Times New Roman"/>
          <w:color w:val="000000"/>
          <w:sz w:val="24"/>
          <w:szCs w:val="24"/>
          <w:lang w:val="sr-Cyrl-CS"/>
        </w:rPr>
      </w:pPr>
    </w:p>
    <w:p w:rsidR="00F40F95" w:rsidRDefault="00941BF6" w:rsidP="00941BF6">
      <w:pPr>
        <w:shd w:val="clear" w:color="auto" w:fill="FFFFFF"/>
        <w:spacing w:after="0" w:line="285" w:lineRule="atLeast"/>
        <w:jc w:val="center"/>
        <w:rPr>
          <w:rFonts w:ascii="Times New Roman" w:hAnsi="Times New Roman"/>
          <w:b/>
          <w:color w:val="000000"/>
          <w:sz w:val="24"/>
          <w:szCs w:val="24"/>
          <w:lang w:val="sr-Cyrl-CS"/>
        </w:rPr>
      </w:pPr>
      <w:r>
        <w:rPr>
          <w:rFonts w:ascii="Times New Roman" w:hAnsi="Times New Roman"/>
          <w:b/>
          <w:color w:val="000000"/>
          <w:sz w:val="24"/>
          <w:szCs w:val="24"/>
          <w:lang w:val="sr-Cyrl-CS"/>
        </w:rPr>
        <w:t>5.2.6. Избегавање плаћања пореза са становишта пореза на додату вредност</w:t>
      </w:r>
    </w:p>
    <w:p w:rsidR="00AA7EB9" w:rsidRDefault="00AA7EB9" w:rsidP="00941BF6">
      <w:pPr>
        <w:shd w:val="clear" w:color="auto" w:fill="FFFFFF"/>
        <w:spacing w:after="0" w:line="285" w:lineRule="atLeast"/>
        <w:jc w:val="center"/>
        <w:rPr>
          <w:rFonts w:ascii="Times New Roman" w:hAnsi="Times New Roman"/>
          <w:b/>
          <w:color w:val="000000"/>
          <w:sz w:val="24"/>
          <w:szCs w:val="24"/>
          <w:lang w:val="sr-Cyrl-CS"/>
        </w:rPr>
      </w:pPr>
    </w:p>
    <w:p w:rsidR="00941BF6" w:rsidRPr="00F40F95" w:rsidRDefault="00941BF6" w:rsidP="00941BF6">
      <w:pPr>
        <w:shd w:val="clear" w:color="auto" w:fill="FFFFFF"/>
        <w:spacing w:after="0" w:line="285" w:lineRule="atLeast"/>
        <w:jc w:val="center"/>
        <w:rPr>
          <w:rFonts w:ascii="Times New Roman" w:hAnsi="Times New Roman"/>
          <w:b/>
          <w:color w:val="000000"/>
          <w:sz w:val="24"/>
          <w:szCs w:val="24"/>
          <w:lang w:val="sr-Cyrl-CS"/>
        </w:rPr>
      </w:pPr>
    </w:p>
    <w:p w:rsidR="00F40F95" w:rsidRDefault="00F40F95" w:rsidP="00B0198C">
      <w:pPr>
        <w:shd w:val="clear" w:color="auto" w:fill="FFFFFF"/>
        <w:spacing w:after="0" w:line="285" w:lineRule="atLeast"/>
        <w:jc w:val="both"/>
        <w:rPr>
          <w:rFonts w:ascii="Times New Roman" w:hAnsi="Times New Roman"/>
          <w:color w:val="000000"/>
          <w:sz w:val="24"/>
          <w:szCs w:val="24"/>
          <w:lang w:val="sr-Cyrl-CS"/>
        </w:rPr>
      </w:pPr>
    </w:p>
    <w:p w:rsidR="00D57366" w:rsidRDefault="00F40F95" w:rsidP="00F40F95">
      <w:pPr>
        <w:shd w:val="clear" w:color="auto" w:fill="FFFFFF"/>
        <w:spacing w:after="0" w:line="285" w:lineRule="atLeast"/>
        <w:ind w:firstLine="708"/>
        <w:jc w:val="both"/>
        <w:rPr>
          <w:rFonts w:ascii="Times New Roman" w:hAnsi="Times New Roman"/>
          <w:color w:val="000000"/>
          <w:sz w:val="24"/>
          <w:szCs w:val="24"/>
          <w:lang w:val="sr-Cyrl-CS"/>
        </w:rPr>
      </w:pPr>
      <w:r>
        <w:rPr>
          <w:rFonts w:ascii="Times New Roman" w:hAnsi="Times New Roman"/>
          <w:color w:val="000000"/>
          <w:sz w:val="24"/>
          <w:szCs w:val="24"/>
          <w:lang w:val="sr-Cyrl-CS"/>
        </w:rPr>
        <w:t>Поред бројних предности које смањују могућност евазије пореза, ни овај порески облик, на жалост, није имун на ову негативну поја</w:t>
      </w:r>
      <w:r w:rsidR="001F2DF4">
        <w:rPr>
          <w:rFonts w:ascii="Times New Roman" w:hAnsi="Times New Roman"/>
          <w:color w:val="000000"/>
          <w:sz w:val="24"/>
          <w:szCs w:val="24"/>
          <w:lang w:val="sr-Cyrl-CS"/>
        </w:rPr>
        <w:t xml:space="preserve">ву. Размере незаконите пореске </w:t>
      </w:r>
      <w:r>
        <w:rPr>
          <w:rFonts w:ascii="Times New Roman" w:hAnsi="Times New Roman"/>
          <w:color w:val="000000"/>
          <w:sz w:val="24"/>
          <w:szCs w:val="24"/>
          <w:lang w:val="sr-Cyrl-CS"/>
        </w:rPr>
        <w:t>евазије су велике и код овог пореског облика. Иако сасвим поуздани подаци не постоје</w:t>
      </w:r>
      <w:r w:rsidR="00D41775">
        <w:rPr>
          <w:rFonts w:ascii="Times New Roman" w:hAnsi="Times New Roman"/>
          <w:color w:val="000000"/>
          <w:sz w:val="24"/>
          <w:szCs w:val="24"/>
          <w:lang w:val="sr-Cyrl-CS"/>
        </w:rPr>
        <w:t xml:space="preserve">, а процене су различите, ипак </w:t>
      </w:r>
      <w:r w:rsidR="00941BF6">
        <w:rPr>
          <w:rFonts w:ascii="Times New Roman" w:hAnsi="Times New Roman"/>
          <w:color w:val="000000"/>
          <w:sz w:val="24"/>
          <w:szCs w:val="24"/>
          <w:lang w:val="sr-Cyrl-CS"/>
        </w:rPr>
        <w:t xml:space="preserve">се </w:t>
      </w:r>
      <w:r w:rsidR="00D41775">
        <w:rPr>
          <w:rFonts w:ascii="Times New Roman" w:hAnsi="Times New Roman"/>
          <w:color w:val="000000"/>
          <w:sz w:val="24"/>
          <w:szCs w:val="24"/>
          <w:lang w:val="sr-Cyrl-CS"/>
        </w:rPr>
        <w:t xml:space="preserve">овај износ мери у милијардама евра годишње, само на простору Европске уније. Тако </w:t>
      </w:r>
      <w:r w:rsidR="00C725FE">
        <w:rPr>
          <w:rFonts w:ascii="Times New Roman" w:hAnsi="Times New Roman"/>
          <w:color w:val="000000"/>
          <w:sz w:val="24"/>
          <w:szCs w:val="24"/>
          <w:lang w:val="sr-Cyrl-CS"/>
        </w:rPr>
        <w:t xml:space="preserve">је </w:t>
      </w:r>
      <w:r w:rsidR="00D41775">
        <w:rPr>
          <w:rFonts w:ascii="Times New Roman" w:hAnsi="Times New Roman"/>
          <w:color w:val="000000"/>
          <w:sz w:val="24"/>
          <w:szCs w:val="24"/>
          <w:lang w:val="sr-Cyrl-CS"/>
        </w:rPr>
        <w:t xml:space="preserve">према истраживању </w:t>
      </w:r>
      <w:r w:rsidR="008D2FCF">
        <w:rPr>
          <w:rFonts w:ascii="Times New Roman" w:hAnsi="Times New Roman"/>
          <w:color w:val="000000"/>
          <w:sz w:val="24"/>
          <w:szCs w:val="24"/>
        </w:rPr>
        <w:t>HMRC</w:t>
      </w:r>
      <w:r w:rsidR="008D2FCF">
        <w:rPr>
          <w:rStyle w:val="FootnoteReference"/>
          <w:rFonts w:ascii="Times New Roman" w:hAnsi="Times New Roman"/>
          <w:color w:val="000000"/>
          <w:sz w:val="24"/>
          <w:szCs w:val="24"/>
        </w:rPr>
        <w:footnoteReference w:id="387"/>
      </w:r>
      <w:r w:rsidR="008D2FCF">
        <w:rPr>
          <w:rFonts w:ascii="Times New Roman" w:hAnsi="Times New Roman"/>
          <w:color w:val="000000"/>
          <w:sz w:val="24"/>
          <w:szCs w:val="24"/>
          <w:lang w:val="sr-Cyrl-CS"/>
        </w:rPr>
        <w:t xml:space="preserve"> </w:t>
      </w:r>
      <w:r w:rsidR="00C725FE">
        <w:rPr>
          <w:rFonts w:ascii="Times New Roman" w:hAnsi="Times New Roman"/>
          <w:color w:val="000000"/>
          <w:sz w:val="24"/>
          <w:szCs w:val="24"/>
          <w:lang w:val="sr-Cyrl-CS"/>
        </w:rPr>
        <w:t xml:space="preserve">за 2011. и 2012. годину, </w:t>
      </w:r>
      <w:r w:rsidR="008D2FCF">
        <w:rPr>
          <w:rFonts w:ascii="Times New Roman" w:hAnsi="Times New Roman"/>
          <w:color w:val="000000"/>
          <w:sz w:val="24"/>
          <w:szCs w:val="24"/>
          <w:lang w:val="sr-Cyrl-CS"/>
        </w:rPr>
        <w:t xml:space="preserve">а које </w:t>
      </w:r>
      <w:r w:rsidR="00C725FE">
        <w:rPr>
          <w:rFonts w:ascii="Times New Roman" w:hAnsi="Times New Roman"/>
          <w:color w:val="000000"/>
          <w:sz w:val="24"/>
          <w:szCs w:val="24"/>
          <w:lang w:val="sr-Cyrl-CS"/>
        </w:rPr>
        <w:t xml:space="preserve">истраживање </w:t>
      </w:r>
      <w:r w:rsidR="008D2FCF">
        <w:rPr>
          <w:rFonts w:ascii="Times New Roman" w:hAnsi="Times New Roman"/>
          <w:color w:val="000000"/>
          <w:sz w:val="24"/>
          <w:szCs w:val="24"/>
          <w:lang w:val="sr-Cyrl-CS"/>
        </w:rPr>
        <w:t>је користило низ интерних и екстерних подата</w:t>
      </w:r>
      <w:r w:rsidR="00C63930">
        <w:rPr>
          <w:rFonts w:ascii="Times New Roman" w:hAnsi="Times New Roman"/>
          <w:color w:val="000000"/>
          <w:sz w:val="24"/>
          <w:szCs w:val="24"/>
          <w:lang w:val="sr-Cyrl-CS"/>
        </w:rPr>
        <w:t>ка</w:t>
      </w:r>
      <w:r w:rsidR="008D2FCF">
        <w:rPr>
          <w:rFonts w:ascii="Times New Roman" w:hAnsi="Times New Roman"/>
          <w:color w:val="000000"/>
          <w:sz w:val="24"/>
          <w:szCs w:val="24"/>
          <w:lang w:val="sr-Cyrl-CS"/>
        </w:rPr>
        <w:t xml:space="preserve"> и различите аналитичке технике за годишње процене</w:t>
      </w:r>
      <w:r w:rsidR="00C725FE">
        <w:rPr>
          <w:rFonts w:ascii="Times New Roman" w:hAnsi="Times New Roman"/>
          <w:color w:val="000000"/>
          <w:sz w:val="24"/>
          <w:szCs w:val="24"/>
          <w:lang w:val="sr-Cyrl-CS"/>
        </w:rPr>
        <w:t>, процењено да је губитак од пореза 35 милијарди фу</w:t>
      </w:r>
      <w:r w:rsidR="00C01D72">
        <w:rPr>
          <w:rFonts w:ascii="Times New Roman" w:hAnsi="Times New Roman"/>
          <w:color w:val="000000"/>
          <w:sz w:val="24"/>
          <w:szCs w:val="24"/>
          <w:lang w:val="sr-Cyrl-CS"/>
        </w:rPr>
        <w:t>нти, што је 0,7 одсто од укупног пореског оптерећења</w:t>
      </w:r>
      <w:r w:rsidR="00C725FE">
        <w:rPr>
          <w:rFonts w:ascii="Times New Roman" w:hAnsi="Times New Roman"/>
          <w:color w:val="000000"/>
          <w:sz w:val="24"/>
          <w:szCs w:val="24"/>
          <w:lang w:val="sr-Cyrl-CS"/>
        </w:rPr>
        <w:t>. До оваквог губитка долази услед разних облика незаконитог поступања, грешака, непријављивања пореза или нетачног тумачења сложене пореске проблематике.</w:t>
      </w:r>
      <w:r w:rsidR="00D57366">
        <w:rPr>
          <w:rFonts w:ascii="Times New Roman" w:hAnsi="Times New Roman"/>
          <w:color w:val="000000"/>
          <w:sz w:val="24"/>
          <w:szCs w:val="24"/>
          <w:lang w:val="sr-Cyrl-CS"/>
        </w:rPr>
        <w:t xml:space="preserve"> </w:t>
      </w:r>
    </w:p>
    <w:p w:rsidR="00D57366" w:rsidRDefault="00D57366" w:rsidP="00F40F95">
      <w:pPr>
        <w:shd w:val="clear" w:color="auto" w:fill="FFFFFF"/>
        <w:spacing w:after="0" w:line="285" w:lineRule="atLeast"/>
        <w:ind w:firstLine="708"/>
        <w:jc w:val="both"/>
        <w:rPr>
          <w:rFonts w:ascii="Times New Roman" w:hAnsi="Times New Roman"/>
          <w:color w:val="000000"/>
          <w:sz w:val="24"/>
          <w:szCs w:val="24"/>
          <w:lang w:val="sr-Cyrl-CS"/>
        </w:rPr>
      </w:pPr>
    </w:p>
    <w:p w:rsidR="00D41775" w:rsidRPr="008D2FCF" w:rsidRDefault="00D57366" w:rsidP="00F40F95">
      <w:pPr>
        <w:shd w:val="clear" w:color="auto" w:fill="FFFFFF"/>
        <w:spacing w:after="0" w:line="285" w:lineRule="atLeast"/>
        <w:ind w:firstLine="708"/>
        <w:jc w:val="both"/>
        <w:rPr>
          <w:rFonts w:ascii="Times New Roman" w:hAnsi="Times New Roman"/>
          <w:color w:val="000000"/>
          <w:sz w:val="24"/>
          <w:szCs w:val="24"/>
          <w:lang w:val="sr-Cyrl-CS"/>
        </w:rPr>
      </w:pPr>
      <w:r>
        <w:rPr>
          <w:rFonts w:ascii="Times New Roman" w:hAnsi="Times New Roman"/>
          <w:color w:val="000000"/>
          <w:sz w:val="24"/>
          <w:szCs w:val="24"/>
          <w:lang w:val="sr-Cyrl-CS"/>
        </w:rPr>
        <w:t>Према овом истраживању губитак од пореза на додату вредност износи 11,4 милијарди фунти</w:t>
      </w:r>
      <w:r w:rsidR="00C01D72">
        <w:rPr>
          <w:rFonts w:ascii="Times New Roman" w:hAnsi="Times New Roman"/>
          <w:color w:val="000000"/>
          <w:sz w:val="24"/>
          <w:szCs w:val="24"/>
          <w:lang w:val="sr-Cyrl-CS"/>
        </w:rPr>
        <w:t xml:space="preserve"> (33%)</w:t>
      </w:r>
      <w:r w:rsidR="007D135D">
        <w:rPr>
          <w:rFonts w:ascii="Times New Roman" w:hAnsi="Times New Roman"/>
          <w:color w:val="000000"/>
          <w:sz w:val="24"/>
          <w:szCs w:val="24"/>
          <w:lang w:val="sr-Cyrl-CS"/>
        </w:rPr>
        <w:t>,</w:t>
      </w:r>
      <w:r>
        <w:rPr>
          <w:rFonts w:ascii="Times New Roman" w:hAnsi="Times New Roman"/>
          <w:color w:val="000000"/>
          <w:sz w:val="24"/>
          <w:szCs w:val="24"/>
          <w:lang w:val="sr-Cyrl-CS"/>
        </w:rPr>
        <w:t xml:space="preserve"> губитак од пореза на доходак, осигурање и капиталну добит износи 15,3 милијарди фунти</w:t>
      </w:r>
      <w:r w:rsidR="00C01D72">
        <w:rPr>
          <w:rFonts w:ascii="Times New Roman" w:hAnsi="Times New Roman"/>
          <w:color w:val="000000"/>
          <w:sz w:val="24"/>
          <w:szCs w:val="24"/>
          <w:lang w:val="sr-Cyrl-CS"/>
        </w:rPr>
        <w:t xml:space="preserve"> (44%)</w:t>
      </w:r>
      <w:r>
        <w:rPr>
          <w:rFonts w:ascii="Times New Roman" w:hAnsi="Times New Roman"/>
          <w:color w:val="000000"/>
          <w:sz w:val="24"/>
          <w:szCs w:val="24"/>
          <w:lang w:val="sr-Cyrl-CS"/>
        </w:rPr>
        <w:t>,  губитак од акциза износи 2,5 милијарди фунти</w:t>
      </w:r>
      <w:r w:rsidR="00C01D72">
        <w:rPr>
          <w:rFonts w:ascii="Times New Roman" w:hAnsi="Times New Roman"/>
          <w:color w:val="000000"/>
          <w:sz w:val="24"/>
          <w:szCs w:val="24"/>
          <w:lang w:val="sr-Cyrl-CS"/>
        </w:rPr>
        <w:t xml:space="preserve"> (7%)</w:t>
      </w:r>
      <w:r>
        <w:rPr>
          <w:rFonts w:ascii="Times New Roman" w:hAnsi="Times New Roman"/>
          <w:color w:val="000000"/>
          <w:sz w:val="24"/>
          <w:szCs w:val="24"/>
          <w:lang w:val="sr-Cyrl-CS"/>
        </w:rPr>
        <w:t>, губитак пореза на добит корпорација износи 4,7 милијарди фунти</w:t>
      </w:r>
      <w:r w:rsidR="00C01D72">
        <w:rPr>
          <w:rFonts w:ascii="Times New Roman" w:hAnsi="Times New Roman"/>
          <w:color w:val="000000"/>
          <w:sz w:val="24"/>
          <w:szCs w:val="24"/>
          <w:lang w:val="sr-Cyrl-CS"/>
        </w:rPr>
        <w:t xml:space="preserve"> (3%)</w:t>
      </w:r>
      <w:r>
        <w:rPr>
          <w:rFonts w:ascii="Times New Roman" w:hAnsi="Times New Roman"/>
          <w:color w:val="000000"/>
          <w:sz w:val="24"/>
          <w:szCs w:val="24"/>
          <w:lang w:val="sr-Cyrl-CS"/>
        </w:rPr>
        <w:t>, док губитак од осталих пореза износи 1,1 милијарду фунти</w:t>
      </w:r>
      <w:r w:rsidR="00C01D72">
        <w:rPr>
          <w:rFonts w:ascii="Times New Roman" w:hAnsi="Times New Roman"/>
          <w:color w:val="000000"/>
          <w:sz w:val="24"/>
          <w:szCs w:val="24"/>
          <w:lang w:val="sr-Cyrl-CS"/>
        </w:rPr>
        <w:t xml:space="preserve"> (3%) од укупног хипотетичког пореског оптерећења</w:t>
      </w:r>
      <w:r>
        <w:rPr>
          <w:rFonts w:ascii="Times New Roman" w:hAnsi="Times New Roman"/>
          <w:color w:val="000000"/>
          <w:sz w:val="24"/>
          <w:szCs w:val="24"/>
          <w:lang w:val="sr-Cyrl-CS"/>
        </w:rPr>
        <w:t xml:space="preserve">. </w:t>
      </w:r>
      <w:r w:rsidR="00CB4C5A">
        <w:rPr>
          <w:rFonts w:ascii="Times New Roman" w:hAnsi="Times New Roman"/>
          <w:color w:val="000000"/>
          <w:sz w:val="24"/>
          <w:szCs w:val="24"/>
          <w:lang w:val="sr-Cyrl-CS"/>
        </w:rPr>
        <w:t>Губитак од пореза на додату вредност је повећан са 9,9 милијарди фунти у периоду 2010-2011 до 11,4 милијарди фунти за период 2011-2012.</w:t>
      </w:r>
    </w:p>
    <w:p w:rsidR="006C771B" w:rsidRDefault="006C771B" w:rsidP="00AA7EB9">
      <w:pPr>
        <w:shd w:val="clear" w:color="auto" w:fill="FFFFFF"/>
        <w:spacing w:after="0" w:line="285" w:lineRule="atLeast"/>
        <w:rPr>
          <w:rFonts w:ascii="Times New Roman" w:hAnsi="Times New Roman"/>
          <w:color w:val="000000"/>
          <w:sz w:val="24"/>
          <w:szCs w:val="24"/>
          <w:lang w:val="sr-Cyrl-CS"/>
        </w:rPr>
      </w:pPr>
    </w:p>
    <w:p w:rsidR="006C771B" w:rsidRDefault="006C771B" w:rsidP="006C771B">
      <w:pPr>
        <w:shd w:val="clear" w:color="auto" w:fill="FFFFFF"/>
        <w:spacing w:after="0" w:line="285" w:lineRule="atLeast"/>
        <w:ind w:left="1069"/>
        <w:jc w:val="both"/>
        <w:rPr>
          <w:rFonts w:ascii="Times New Roman" w:hAnsi="Times New Roman"/>
          <w:color w:val="000000"/>
          <w:sz w:val="24"/>
          <w:szCs w:val="24"/>
          <w:lang w:val="sr-Cyrl-CS"/>
        </w:rPr>
      </w:pPr>
      <w:r w:rsidRPr="00AA7EB9">
        <w:rPr>
          <w:rFonts w:ascii="Times New Roman" w:hAnsi="Times New Roman"/>
          <w:b/>
          <w:color w:val="000000"/>
          <w:sz w:val="24"/>
          <w:szCs w:val="24"/>
          <w:lang w:val="sr-Cyrl-CS"/>
        </w:rPr>
        <w:lastRenderedPageBreak/>
        <w:t xml:space="preserve"> </w:t>
      </w:r>
      <w:r w:rsidR="00A74A8E">
        <w:rPr>
          <w:rFonts w:ascii="Times New Roman" w:hAnsi="Times New Roman"/>
          <w:b/>
          <w:color w:val="000000"/>
          <w:sz w:val="24"/>
          <w:szCs w:val="24"/>
          <w:lang w:val="sr-Cyrl-CS"/>
        </w:rPr>
        <w:t>Табела 22</w:t>
      </w:r>
      <w:r w:rsidR="00AA7EB9" w:rsidRPr="00AA7EB9">
        <w:rPr>
          <w:rFonts w:ascii="Times New Roman" w:hAnsi="Times New Roman"/>
          <w:b/>
          <w:color w:val="000000"/>
          <w:sz w:val="24"/>
          <w:szCs w:val="24"/>
          <w:lang w:val="sr-Cyrl-CS"/>
        </w:rPr>
        <w:t>.</w:t>
      </w:r>
      <w:r w:rsidR="00AA7EB9">
        <w:rPr>
          <w:rFonts w:ascii="Times New Roman" w:hAnsi="Times New Roman"/>
          <w:color w:val="000000"/>
          <w:sz w:val="24"/>
          <w:szCs w:val="24"/>
          <w:lang w:val="sr-Cyrl-CS"/>
        </w:rPr>
        <w:t xml:space="preserve"> </w:t>
      </w:r>
      <w:r>
        <w:rPr>
          <w:rFonts w:ascii="Times New Roman" w:hAnsi="Times New Roman"/>
          <w:color w:val="000000"/>
          <w:sz w:val="24"/>
          <w:szCs w:val="24"/>
          <w:lang w:val="sr-Cyrl-CS"/>
        </w:rPr>
        <w:t>Проце</w:t>
      </w:r>
      <w:r w:rsidR="00A7104F">
        <w:rPr>
          <w:rFonts w:ascii="Times New Roman" w:hAnsi="Times New Roman"/>
          <w:color w:val="000000"/>
          <w:sz w:val="24"/>
          <w:szCs w:val="24"/>
          <w:lang w:val="sr-Cyrl-CS"/>
        </w:rPr>
        <w:t xml:space="preserve">не ПДВ  губитка </w:t>
      </w:r>
      <w:r>
        <w:rPr>
          <w:rFonts w:ascii="Times New Roman" w:hAnsi="Times New Roman"/>
          <w:color w:val="000000"/>
          <w:sz w:val="24"/>
          <w:szCs w:val="24"/>
          <w:lang w:val="sr-Cyrl-CS"/>
        </w:rPr>
        <w:t xml:space="preserve"> (у милијардама фунти)</w:t>
      </w:r>
    </w:p>
    <w:p w:rsidR="00FF4717" w:rsidRPr="003F6E70" w:rsidRDefault="00A7104F" w:rsidP="00A7104F">
      <w:pPr>
        <w:shd w:val="clear" w:color="auto" w:fill="FFFFFF"/>
        <w:spacing w:after="0" w:line="285" w:lineRule="atLeast"/>
        <w:jc w:val="both"/>
        <w:rPr>
          <w:rFonts w:ascii="Times New Roman" w:hAnsi="Times New Roman"/>
          <w:color w:val="000000"/>
          <w:sz w:val="24"/>
          <w:szCs w:val="24"/>
          <w:lang w:val="sr-Cyrl-CS"/>
        </w:rPr>
      </w:pPr>
      <w:r>
        <w:rPr>
          <w:rFonts w:ascii="Times New Roman" w:hAnsi="Times New Roman"/>
          <w:color w:val="000000"/>
          <w:sz w:val="24"/>
          <w:szCs w:val="24"/>
          <w:lang w:val="sr-Cyrl-CS"/>
        </w:rPr>
        <w:t>___________________________________________________________________________</w:t>
      </w:r>
    </w:p>
    <w:p w:rsidR="006C771B" w:rsidRDefault="00FF4717" w:rsidP="00FF4717">
      <w:pPr>
        <w:shd w:val="clear" w:color="auto" w:fill="FFFFFF"/>
        <w:spacing w:after="0" w:line="285" w:lineRule="atLeast"/>
        <w:jc w:val="both"/>
        <w:rPr>
          <w:rFonts w:ascii="Times New Roman" w:hAnsi="Times New Roman"/>
          <w:color w:val="000000"/>
          <w:sz w:val="24"/>
          <w:szCs w:val="24"/>
          <w:lang w:val="sr-Cyrl-CS"/>
        </w:rPr>
      </w:pPr>
      <w:r>
        <w:rPr>
          <w:rFonts w:ascii="Times New Roman" w:hAnsi="Times New Roman"/>
          <w:color w:val="000000"/>
          <w:sz w:val="24"/>
          <w:szCs w:val="24"/>
          <w:lang w:val="sr-Cyrl-CS"/>
        </w:rPr>
        <w:t xml:space="preserve"> </w:t>
      </w:r>
      <w:r w:rsidR="00A7104F">
        <w:rPr>
          <w:rFonts w:ascii="Times New Roman" w:hAnsi="Times New Roman"/>
          <w:color w:val="000000"/>
          <w:sz w:val="24"/>
          <w:szCs w:val="24"/>
          <w:lang w:val="sr-Cyrl-CS"/>
        </w:rPr>
        <w:t>период</w:t>
      </w:r>
      <w:r>
        <w:rPr>
          <w:rFonts w:ascii="Times New Roman" w:hAnsi="Times New Roman"/>
          <w:color w:val="000000"/>
          <w:sz w:val="24"/>
          <w:szCs w:val="24"/>
          <w:lang w:val="sr-Cyrl-CS"/>
        </w:rPr>
        <w:t xml:space="preserve">        </w:t>
      </w:r>
      <w:r w:rsidR="00A7104F">
        <w:rPr>
          <w:rFonts w:ascii="Times New Roman" w:hAnsi="Times New Roman"/>
          <w:color w:val="000000"/>
          <w:sz w:val="24"/>
          <w:szCs w:val="24"/>
          <w:lang w:val="sr-Cyrl-CS"/>
        </w:rPr>
        <w:t xml:space="preserve">                     </w:t>
      </w:r>
      <w:r>
        <w:rPr>
          <w:rFonts w:ascii="Times New Roman" w:hAnsi="Times New Roman"/>
          <w:color w:val="000000"/>
          <w:sz w:val="24"/>
          <w:szCs w:val="24"/>
          <w:lang w:val="sr-Cyrl-CS"/>
        </w:rPr>
        <w:t xml:space="preserve"> </w:t>
      </w:r>
      <w:r w:rsidR="006C771B" w:rsidRPr="003F6E70">
        <w:rPr>
          <w:rFonts w:ascii="Times New Roman" w:hAnsi="Times New Roman"/>
          <w:color w:val="000000"/>
          <w:sz w:val="24"/>
          <w:szCs w:val="24"/>
          <w:lang w:val="sr-Cyrl-CS"/>
        </w:rPr>
        <w:t xml:space="preserve">2007-08 </w:t>
      </w:r>
      <w:r>
        <w:rPr>
          <w:rFonts w:ascii="Times New Roman" w:hAnsi="Times New Roman"/>
          <w:color w:val="000000"/>
          <w:sz w:val="24"/>
          <w:szCs w:val="24"/>
          <w:lang w:val="sr-Cyrl-CS"/>
        </w:rPr>
        <w:t xml:space="preserve">           </w:t>
      </w:r>
      <w:r w:rsidR="006C771B" w:rsidRPr="003F6E70">
        <w:rPr>
          <w:rFonts w:ascii="Times New Roman" w:hAnsi="Times New Roman"/>
          <w:color w:val="000000"/>
          <w:sz w:val="24"/>
          <w:szCs w:val="24"/>
          <w:lang w:val="sr-Cyrl-CS"/>
        </w:rPr>
        <w:t xml:space="preserve">2008-09 </w:t>
      </w:r>
      <w:r>
        <w:rPr>
          <w:rFonts w:ascii="Times New Roman" w:hAnsi="Times New Roman"/>
          <w:color w:val="000000"/>
          <w:sz w:val="24"/>
          <w:szCs w:val="24"/>
          <w:lang w:val="sr-Cyrl-CS"/>
        </w:rPr>
        <w:t xml:space="preserve">          </w:t>
      </w:r>
      <w:r w:rsidR="006C771B" w:rsidRPr="003F6E70">
        <w:rPr>
          <w:rFonts w:ascii="Times New Roman" w:hAnsi="Times New Roman"/>
          <w:color w:val="000000"/>
          <w:sz w:val="24"/>
          <w:szCs w:val="24"/>
          <w:lang w:val="sr-Cyrl-CS"/>
        </w:rPr>
        <w:t>2009-10</w:t>
      </w:r>
      <w:r>
        <w:rPr>
          <w:rFonts w:ascii="Times New Roman" w:hAnsi="Times New Roman"/>
          <w:color w:val="000000"/>
          <w:sz w:val="24"/>
          <w:szCs w:val="24"/>
          <w:lang w:val="sr-Cyrl-CS"/>
        </w:rPr>
        <w:t xml:space="preserve">       </w:t>
      </w:r>
      <w:r w:rsidR="006C771B" w:rsidRPr="003F6E70">
        <w:rPr>
          <w:rFonts w:ascii="Times New Roman" w:hAnsi="Times New Roman"/>
          <w:color w:val="000000"/>
          <w:sz w:val="24"/>
          <w:szCs w:val="24"/>
          <w:lang w:val="sr-Cyrl-CS"/>
        </w:rPr>
        <w:t xml:space="preserve">2010-11 </w:t>
      </w:r>
      <w:r>
        <w:rPr>
          <w:rFonts w:ascii="Times New Roman" w:hAnsi="Times New Roman"/>
          <w:color w:val="000000"/>
          <w:sz w:val="24"/>
          <w:szCs w:val="24"/>
          <w:lang w:val="sr-Cyrl-CS"/>
        </w:rPr>
        <w:t xml:space="preserve">          </w:t>
      </w:r>
      <w:r w:rsidR="006C771B" w:rsidRPr="003F6E70">
        <w:rPr>
          <w:rFonts w:ascii="Times New Roman" w:hAnsi="Times New Roman"/>
          <w:color w:val="000000"/>
          <w:sz w:val="24"/>
          <w:szCs w:val="24"/>
          <w:lang w:val="sr-Cyrl-CS"/>
        </w:rPr>
        <w:t>2011-12</w:t>
      </w:r>
    </w:p>
    <w:p w:rsidR="00A7104F" w:rsidRPr="003F6E70" w:rsidRDefault="00A7104F" w:rsidP="00FF4717">
      <w:pPr>
        <w:shd w:val="clear" w:color="auto" w:fill="FFFFFF"/>
        <w:spacing w:after="0" w:line="285" w:lineRule="atLeast"/>
        <w:jc w:val="both"/>
        <w:rPr>
          <w:rFonts w:ascii="Times New Roman" w:hAnsi="Times New Roman"/>
          <w:color w:val="000000"/>
          <w:sz w:val="24"/>
          <w:szCs w:val="24"/>
          <w:lang w:val="sr-Cyrl-CS"/>
        </w:rPr>
      </w:pPr>
      <w:r>
        <w:rPr>
          <w:rFonts w:ascii="Times New Roman" w:hAnsi="Times New Roman"/>
          <w:color w:val="000000"/>
          <w:sz w:val="24"/>
          <w:szCs w:val="24"/>
          <w:lang w:val="sr-Cyrl-CS"/>
        </w:rPr>
        <w:t>___________________________________________________________________________</w:t>
      </w:r>
    </w:p>
    <w:p w:rsidR="00A7104F" w:rsidRPr="00A7104F" w:rsidRDefault="006C771B" w:rsidP="00FF4717">
      <w:pPr>
        <w:shd w:val="clear" w:color="auto" w:fill="FFFFFF"/>
        <w:spacing w:after="0" w:line="285" w:lineRule="atLeast"/>
        <w:jc w:val="both"/>
        <w:rPr>
          <w:rFonts w:ascii="Times New Roman" w:hAnsi="Times New Roman"/>
          <w:color w:val="000000"/>
          <w:sz w:val="24"/>
          <w:szCs w:val="24"/>
          <w:lang w:val="sr-Cyrl-CS"/>
        </w:rPr>
      </w:pPr>
      <w:r w:rsidRPr="00FF4717">
        <w:rPr>
          <w:rFonts w:ascii="Times New Roman" w:hAnsi="Times New Roman"/>
          <w:color w:val="000000"/>
          <w:lang w:val="sr-Cyrl-CS"/>
        </w:rPr>
        <w:t xml:space="preserve">ПДВ укупно </w:t>
      </w:r>
      <w:r w:rsidR="00FF4717">
        <w:rPr>
          <w:rFonts w:ascii="Times New Roman" w:hAnsi="Times New Roman"/>
          <w:color w:val="000000"/>
          <w:lang w:val="sr-Cyrl-CS"/>
        </w:rPr>
        <w:t xml:space="preserve">                       </w:t>
      </w:r>
      <w:r w:rsidR="00FF4717" w:rsidRPr="003F6E70">
        <w:rPr>
          <w:rFonts w:ascii="Times New Roman" w:hAnsi="Times New Roman"/>
          <w:color w:val="000000"/>
          <w:sz w:val="24"/>
          <w:szCs w:val="24"/>
          <w:lang w:val="sr-Cyrl-CS"/>
        </w:rPr>
        <w:t xml:space="preserve">92.8 </w:t>
      </w:r>
      <w:r w:rsidR="00FF4717">
        <w:rPr>
          <w:rFonts w:ascii="Times New Roman" w:hAnsi="Times New Roman"/>
          <w:color w:val="000000"/>
          <w:sz w:val="24"/>
          <w:szCs w:val="24"/>
          <w:lang w:val="sr-Cyrl-CS"/>
        </w:rPr>
        <w:t xml:space="preserve">                   </w:t>
      </w:r>
      <w:r w:rsidR="00FF4717" w:rsidRPr="003F6E70">
        <w:rPr>
          <w:rFonts w:ascii="Times New Roman" w:hAnsi="Times New Roman"/>
          <w:color w:val="000000"/>
          <w:sz w:val="24"/>
          <w:szCs w:val="24"/>
          <w:lang w:val="sr-Cyrl-CS"/>
        </w:rPr>
        <w:t xml:space="preserve">93.0 </w:t>
      </w:r>
      <w:r w:rsidR="00FF4717">
        <w:rPr>
          <w:rFonts w:ascii="Times New Roman" w:hAnsi="Times New Roman"/>
          <w:color w:val="000000"/>
          <w:sz w:val="24"/>
          <w:szCs w:val="24"/>
          <w:lang w:val="sr-Cyrl-CS"/>
        </w:rPr>
        <w:t xml:space="preserve">              </w:t>
      </w:r>
      <w:r w:rsidR="00FF4717" w:rsidRPr="003F6E70">
        <w:rPr>
          <w:rFonts w:ascii="Times New Roman" w:hAnsi="Times New Roman"/>
          <w:color w:val="000000"/>
          <w:sz w:val="24"/>
          <w:szCs w:val="24"/>
          <w:lang w:val="sr-Cyrl-CS"/>
        </w:rPr>
        <w:t xml:space="preserve">80.8 </w:t>
      </w:r>
      <w:r w:rsidR="00FF4717">
        <w:rPr>
          <w:rFonts w:ascii="Times New Roman" w:hAnsi="Times New Roman"/>
          <w:color w:val="000000"/>
          <w:sz w:val="24"/>
          <w:szCs w:val="24"/>
          <w:lang w:val="sr-Cyrl-CS"/>
        </w:rPr>
        <w:t xml:space="preserve">             </w:t>
      </w:r>
      <w:r w:rsidR="00FF4717" w:rsidRPr="003F6E70">
        <w:rPr>
          <w:rFonts w:ascii="Times New Roman" w:hAnsi="Times New Roman"/>
          <w:color w:val="000000"/>
          <w:sz w:val="24"/>
          <w:szCs w:val="24"/>
          <w:lang w:val="sr-Cyrl-CS"/>
        </w:rPr>
        <w:t xml:space="preserve">95.3 </w:t>
      </w:r>
      <w:r w:rsidR="00FF4717">
        <w:rPr>
          <w:rFonts w:ascii="Times New Roman" w:hAnsi="Times New Roman"/>
          <w:color w:val="000000"/>
          <w:sz w:val="24"/>
          <w:szCs w:val="24"/>
          <w:lang w:val="sr-Cyrl-CS"/>
        </w:rPr>
        <w:t xml:space="preserve">                 </w:t>
      </w:r>
      <w:r w:rsidR="00FF4717" w:rsidRPr="003F6E70">
        <w:rPr>
          <w:rFonts w:ascii="Times New Roman" w:hAnsi="Times New Roman"/>
          <w:color w:val="000000"/>
          <w:sz w:val="24"/>
          <w:szCs w:val="24"/>
          <w:lang w:val="sr-Cyrl-CS"/>
        </w:rPr>
        <w:t>109.8</w:t>
      </w:r>
    </w:p>
    <w:p w:rsidR="00A7104F" w:rsidRDefault="006C771B" w:rsidP="00FF4717">
      <w:pPr>
        <w:shd w:val="clear" w:color="auto" w:fill="FFFFFF"/>
        <w:spacing w:after="0" w:line="285" w:lineRule="atLeast"/>
        <w:jc w:val="both"/>
        <w:rPr>
          <w:rFonts w:ascii="Times New Roman" w:hAnsi="Times New Roman"/>
          <w:color w:val="000000"/>
          <w:lang w:val="sr-Cyrl-CS"/>
        </w:rPr>
      </w:pPr>
      <w:r w:rsidRPr="00FF4717">
        <w:rPr>
          <w:rFonts w:ascii="Times New Roman" w:hAnsi="Times New Roman"/>
          <w:color w:val="000000"/>
          <w:lang w:val="sr-Cyrl-CS"/>
        </w:rPr>
        <w:t>хипотетичко оптерећење</w:t>
      </w:r>
    </w:p>
    <w:p w:rsidR="006C771B" w:rsidRPr="003F6E70" w:rsidRDefault="00A7104F" w:rsidP="00FF4717">
      <w:pPr>
        <w:shd w:val="clear" w:color="auto" w:fill="FFFFFF"/>
        <w:spacing w:after="0" w:line="285" w:lineRule="atLeast"/>
        <w:jc w:val="both"/>
        <w:rPr>
          <w:rFonts w:ascii="Times New Roman" w:hAnsi="Times New Roman"/>
          <w:color w:val="000000"/>
          <w:sz w:val="24"/>
          <w:szCs w:val="24"/>
          <w:lang w:val="sr-Cyrl-CS"/>
        </w:rPr>
      </w:pPr>
      <w:r>
        <w:rPr>
          <w:rFonts w:ascii="Times New Roman" w:hAnsi="Times New Roman"/>
          <w:color w:val="000000"/>
          <w:lang w:val="sr-Cyrl-CS"/>
        </w:rPr>
        <w:t>_____________________________________________________________________________</w:t>
      </w:r>
      <w:r w:rsidR="006C771B" w:rsidRPr="003F6E70">
        <w:rPr>
          <w:rFonts w:ascii="Times New Roman" w:hAnsi="Times New Roman"/>
          <w:color w:val="000000"/>
          <w:sz w:val="24"/>
          <w:szCs w:val="24"/>
          <w:lang w:val="sr-Cyrl-CS"/>
        </w:rPr>
        <w:t xml:space="preserve"> </w:t>
      </w:r>
    </w:p>
    <w:p w:rsidR="006C771B" w:rsidRDefault="00FF4717" w:rsidP="00FF4717">
      <w:pPr>
        <w:shd w:val="clear" w:color="auto" w:fill="FFFFFF"/>
        <w:spacing w:after="0" w:line="285" w:lineRule="atLeast"/>
        <w:jc w:val="both"/>
        <w:rPr>
          <w:rFonts w:ascii="Times New Roman" w:hAnsi="Times New Roman"/>
          <w:color w:val="000000"/>
          <w:sz w:val="24"/>
          <w:szCs w:val="24"/>
          <w:lang w:val="sr-Cyrl-CS"/>
        </w:rPr>
      </w:pPr>
      <w:r>
        <w:rPr>
          <w:rFonts w:ascii="Times New Roman" w:hAnsi="Times New Roman"/>
          <w:color w:val="000000"/>
          <w:lang w:val="sr-Cyrl-CS"/>
        </w:rPr>
        <w:t>ПДВ приходи</w:t>
      </w:r>
      <w:r w:rsidR="006C771B" w:rsidRPr="00FF4717">
        <w:rPr>
          <w:rFonts w:ascii="Times New Roman" w:hAnsi="Times New Roman"/>
          <w:color w:val="000000"/>
          <w:lang w:val="sr-Cyrl-CS"/>
        </w:rPr>
        <w:t xml:space="preserve"> </w:t>
      </w:r>
      <w:r>
        <w:rPr>
          <w:rFonts w:ascii="Times New Roman" w:hAnsi="Times New Roman"/>
          <w:color w:val="000000"/>
          <w:sz w:val="24"/>
          <w:szCs w:val="24"/>
          <w:lang w:val="sr-Cyrl-CS"/>
        </w:rPr>
        <w:t xml:space="preserve">                 </w:t>
      </w:r>
      <w:r w:rsidR="006C771B" w:rsidRPr="003F6E70">
        <w:rPr>
          <w:rFonts w:ascii="Times New Roman" w:hAnsi="Times New Roman"/>
          <w:color w:val="000000"/>
          <w:sz w:val="24"/>
          <w:szCs w:val="24"/>
          <w:lang w:val="sr-Cyrl-CS"/>
        </w:rPr>
        <w:t xml:space="preserve"> 82.0 </w:t>
      </w:r>
      <w:r>
        <w:rPr>
          <w:rFonts w:ascii="Times New Roman" w:hAnsi="Times New Roman"/>
          <w:color w:val="000000"/>
          <w:sz w:val="24"/>
          <w:szCs w:val="24"/>
          <w:lang w:val="sr-Cyrl-CS"/>
        </w:rPr>
        <w:t xml:space="preserve">                  </w:t>
      </w:r>
      <w:r w:rsidR="006C771B" w:rsidRPr="003F6E70">
        <w:rPr>
          <w:rFonts w:ascii="Times New Roman" w:hAnsi="Times New Roman"/>
          <w:color w:val="000000"/>
          <w:sz w:val="24"/>
          <w:szCs w:val="24"/>
          <w:lang w:val="sr-Cyrl-CS"/>
        </w:rPr>
        <w:t xml:space="preserve">79.8 </w:t>
      </w:r>
      <w:r>
        <w:rPr>
          <w:rFonts w:ascii="Times New Roman" w:hAnsi="Times New Roman"/>
          <w:color w:val="000000"/>
          <w:sz w:val="24"/>
          <w:szCs w:val="24"/>
          <w:lang w:val="sr-Cyrl-CS"/>
        </w:rPr>
        <w:t xml:space="preserve">              </w:t>
      </w:r>
      <w:r w:rsidR="006C771B" w:rsidRPr="003F6E70">
        <w:rPr>
          <w:rFonts w:ascii="Times New Roman" w:hAnsi="Times New Roman"/>
          <w:color w:val="000000"/>
          <w:sz w:val="24"/>
          <w:szCs w:val="24"/>
          <w:lang w:val="sr-Cyrl-CS"/>
        </w:rPr>
        <w:t xml:space="preserve">71.4 </w:t>
      </w:r>
      <w:r>
        <w:rPr>
          <w:rFonts w:ascii="Times New Roman" w:hAnsi="Times New Roman"/>
          <w:color w:val="000000"/>
          <w:sz w:val="24"/>
          <w:szCs w:val="24"/>
          <w:lang w:val="sr-Cyrl-CS"/>
        </w:rPr>
        <w:t xml:space="preserve">              </w:t>
      </w:r>
      <w:r w:rsidR="006C771B" w:rsidRPr="003F6E70">
        <w:rPr>
          <w:rFonts w:ascii="Times New Roman" w:hAnsi="Times New Roman"/>
          <w:color w:val="000000"/>
          <w:sz w:val="24"/>
          <w:szCs w:val="24"/>
          <w:lang w:val="sr-Cyrl-CS"/>
        </w:rPr>
        <w:t xml:space="preserve">85.4 </w:t>
      </w:r>
      <w:r>
        <w:rPr>
          <w:rFonts w:ascii="Times New Roman" w:hAnsi="Times New Roman"/>
          <w:color w:val="000000"/>
          <w:sz w:val="24"/>
          <w:szCs w:val="24"/>
          <w:lang w:val="sr-Cyrl-CS"/>
        </w:rPr>
        <w:t xml:space="preserve">                  </w:t>
      </w:r>
      <w:r w:rsidR="006C771B" w:rsidRPr="003F6E70">
        <w:rPr>
          <w:rFonts w:ascii="Times New Roman" w:hAnsi="Times New Roman"/>
          <w:color w:val="000000"/>
          <w:sz w:val="24"/>
          <w:szCs w:val="24"/>
          <w:lang w:val="sr-Cyrl-CS"/>
        </w:rPr>
        <w:t>98.4</w:t>
      </w:r>
    </w:p>
    <w:p w:rsidR="00A7104F" w:rsidRPr="003F6E70" w:rsidRDefault="00A7104F" w:rsidP="00FF4717">
      <w:pPr>
        <w:shd w:val="clear" w:color="auto" w:fill="FFFFFF"/>
        <w:spacing w:after="0" w:line="285" w:lineRule="atLeast"/>
        <w:jc w:val="both"/>
        <w:rPr>
          <w:rFonts w:ascii="Times New Roman" w:hAnsi="Times New Roman"/>
          <w:color w:val="000000"/>
          <w:sz w:val="24"/>
          <w:szCs w:val="24"/>
          <w:lang w:val="sr-Cyrl-CS"/>
        </w:rPr>
      </w:pPr>
      <w:r>
        <w:rPr>
          <w:rFonts w:ascii="Times New Roman" w:hAnsi="Times New Roman"/>
          <w:color w:val="000000"/>
          <w:sz w:val="24"/>
          <w:szCs w:val="24"/>
          <w:lang w:val="sr-Cyrl-CS"/>
        </w:rPr>
        <w:t>___________________________________________________________________________</w:t>
      </w:r>
    </w:p>
    <w:p w:rsidR="006C771B" w:rsidRDefault="006C771B" w:rsidP="00FF4717">
      <w:pPr>
        <w:shd w:val="clear" w:color="auto" w:fill="FFFFFF"/>
        <w:spacing w:after="0" w:line="285" w:lineRule="atLeast"/>
        <w:jc w:val="both"/>
        <w:rPr>
          <w:rFonts w:ascii="Times New Roman" w:hAnsi="Times New Roman"/>
          <w:color w:val="000000"/>
          <w:sz w:val="24"/>
          <w:szCs w:val="24"/>
          <w:lang w:val="sr-Cyrl-CS"/>
        </w:rPr>
      </w:pPr>
      <w:r w:rsidRPr="00FF4717">
        <w:rPr>
          <w:rFonts w:ascii="Times New Roman" w:hAnsi="Times New Roman"/>
          <w:color w:val="000000"/>
          <w:lang w:val="sr-Cyrl-CS"/>
        </w:rPr>
        <w:t>губитак</w:t>
      </w:r>
      <w:r w:rsidRPr="003F6E70">
        <w:rPr>
          <w:rFonts w:ascii="Times New Roman" w:hAnsi="Times New Roman"/>
          <w:color w:val="000000"/>
          <w:sz w:val="24"/>
          <w:szCs w:val="24"/>
          <w:lang w:val="sr-Cyrl-CS"/>
        </w:rPr>
        <w:t xml:space="preserve"> </w:t>
      </w:r>
      <w:r w:rsidR="00FF4717">
        <w:rPr>
          <w:rFonts w:ascii="Times New Roman" w:hAnsi="Times New Roman"/>
          <w:color w:val="000000"/>
          <w:sz w:val="24"/>
          <w:szCs w:val="24"/>
          <w:lang w:val="sr-Cyrl-CS"/>
        </w:rPr>
        <w:t xml:space="preserve">                               </w:t>
      </w:r>
      <w:r w:rsidRPr="003F6E70">
        <w:rPr>
          <w:rFonts w:ascii="Times New Roman" w:hAnsi="Times New Roman"/>
          <w:color w:val="000000"/>
          <w:sz w:val="24"/>
          <w:szCs w:val="24"/>
          <w:lang w:val="sr-Cyrl-CS"/>
        </w:rPr>
        <w:t xml:space="preserve">10.8 </w:t>
      </w:r>
      <w:r w:rsidR="00FF4717">
        <w:rPr>
          <w:rFonts w:ascii="Times New Roman" w:hAnsi="Times New Roman"/>
          <w:color w:val="000000"/>
          <w:sz w:val="24"/>
          <w:szCs w:val="24"/>
          <w:lang w:val="sr-Cyrl-CS"/>
        </w:rPr>
        <w:t xml:space="preserve">                  </w:t>
      </w:r>
      <w:r w:rsidRPr="003F6E70">
        <w:rPr>
          <w:rFonts w:ascii="Times New Roman" w:hAnsi="Times New Roman"/>
          <w:color w:val="000000"/>
          <w:sz w:val="24"/>
          <w:szCs w:val="24"/>
          <w:lang w:val="sr-Cyrl-CS"/>
        </w:rPr>
        <w:t xml:space="preserve">13.2 </w:t>
      </w:r>
      <w:r w:rsidR="00FF4717">
        <w:rPr>
          <w:rFonts w:ascii="Times New Roman" w:hAnsi="Times New Roman"/>
          <w:color w:val="000000"/>
          <w:sz w:val="24"/>
          <w:szCs w:val="24"/>
          <w:lang w:val="sr-Cyrl-CS"/>
        </w:rPr>
        <w:t xml:space="preserve">              </w:t>
      </w:r>
      <w:r w:rsidRPr="003F6E70">
        <w:rPr>
          <w:rFonts w:ascii="Times New Roman" w:hAnsi="Times New Roman"/>
          <w:color w:val="000000"/>
          <w:sz w:val="24"/>
          <w:szCs w:val="24"/>
          <w:lang w:val="sr-Cyrl-CS"/>
        </w:rPr>
        <w:t xml:space="preserve">9.4 </w:t>
      </w:r>
      <w:r w:rsidR="00FF4717">
        <w:rPr>
          <w:rFonts w:ascii="Times New Roman" w:hAnsi="Times New Roman"/>
          <w:color w:val="000000"/>
          <w:sz w:val="24"/>
          <w:szCs w:val="24"/>
          <w:lang w:val="sr-Cyrl-CS"/>
        </w:rPr>
        <w:t xml:space="preserve">                </w:t>
      </w:r>
      <w:r w:rsidRPr="003F6E70">
        <w:rPr>
          <w:rFonts w:ascii="Times New Roman" w:hAnsi="Times New Roman"/>
          <w:color w:val="000000"/>
          <w:sz w:val="24"/>
          <w:szCs w:val="24"/>
          <w:lang w:val="sr-Cyrl-CS"/>
        </w:rPr>
        <w:t xml:space="preserve">9.9 </w:t>
      </w:r>
      <w:r w:rsidR="00FF4717">
        <w:rPr>
          <w:rFonts w:ascii="Times New Roman" w:hAnsi="Times New Roman"/>
          <w:color w:val="000000"/>
          <w:sz w:val="24"/>
          <w:szCs w:val="24"/>
          <w:lang w:val="sr-Cyrl-CS"/>
        </w:rPr>
        <w:t xml:space="preserve">                    </w:t>
      </w:r>
      <w:r w:rsidRPr="003F6E70">
        <w:rPr>
          <w:rFonts w:ascii="Times New Roman" w:hAnsi="Times New Roman"/>
          <w:color w:val="000000"/>
          <w:sz w:val="24"/>
          <w:szCs w:val="24"/>
          <w:lang w:val="sr-Cyrl-CS"/>
        </w:rPr>
        <w:t>11.4</w:t>
      </w:r>
    </w:p>
    <w:p w:rsidR="00A7104F" w:rsidRPr="003F6E70" w:rsidRDefault="00A7104F" w:rsidP="00FF4717">
      <w:pPr>
        <w:shd w:val="clear" w:color="auto" w:fill="FFFFFF"/>
        <w:spacing w:after="0" w:line="285" w:lineRule="atLeast"/>
        <w:jc w:val="both"/>
        <w:rPr>
          <w:rFonts w:ascii="Times New Roman" w:hAnsi="Times New Roman"/>
          <w:color w:val="000000"/>
          <w:sz w:val="24"/>
          <w:szCs w:val="24"/>
          <w:lang w:val="sr-Cyrl-CS"/>
        </w:rPr>
      </w:pPr>
      <w:r>
        <w:rPr>
          <w:rFonts w:ascii="Times New Roman" w:hAnsi="Times New Roman"/>
          <w:color w:val="000000"/>
          <w:sz w:val="24"/>
          <w:szCs w:val="24"/>
          <w:lang w:val="sr-Cyrl-CS"/>
        </w:rPr>
        <w:t>___________________________________________________________________________</w:t>
      </w:r>
    </w:p>
    <w:p w:rsidR="006C771B" w:rsidRDefault="00FF4717" w:rsidP="00FF4717">
      <w:pPr>
        <w:shd w:val="clear" w:color="auto" w:fill="FFFFFF"/>
        <w:spacing w:after="0" w:line="285" w:lineRule="atLeast"/>
        <w:jc w:val="both"/>
        <w:rPr>
          <w:rFonts w:ascii="Times New Roman" w:hAnsi="Times New Roman"/>
          <w:color w:val="000000"/>
          <w:sz w:val="24"/>
          <w:szCs w:val="24"/>
          <w:lang w:val="sr-Cyrl-CS"/>
        </w:rPr>
      </w:pPr>
      <w:r w:rsidRPr="00FF4717">
        <w:rPr>
          <w:rFonts w:ascii="Times New Roman" w:hAnsi="Times New Roman"/>
          <w:color w:val="000000"/>
          <w:lang w:val="sr-Cyrl-CS"/>
        </w:rPr>
        <w:t>губитак у %</w:t>
      </w:r>
      <w:r>
        <w:rPr>
          <w:rFonts w:ascii="Times New Roman" w:hAnsi="Times New Roman"/>
          <w:color w:val="000000"/>
          <w:lang w:val="sr-Cyrl-CS"/>
        </w:rPr>
        <w:t xml:space="preserve">                         </w:t>
      </w:r>
      <w:r w:rsidR="006C771B" w:rsidRPr="003F6E70">
        <w:rPr>
          <w:rFonts w:ascii="Times New Roman" w:hAnsi="Times New Roman"/>
          <w:color w:val="000000"/>
          <w:sz w:val="24"/>
          <w:szCs w:val="24"/>
          <w:lang w:val="sr-Cyrl-CS"/>
        </w:rPr>
        <w:t xml:space="preserve">11.7% </w:t>
      </w:r>
      <w:r>
        <w:rPr>
          <w:rFonts w:ascii="Times New Roman" w:hAnsi="Times New Roman"/>
          <w:color w:val="000000"/>
          <w:sz w:val="24"/>
          <w:szCs w:val="24"/>
          <w:lang w:val="sr-Cyrl-CS"/>
        </w:rPr>
        <w:t xml:space="preserve">               </w:t>
      </w:r>
      <w:r w:rsidR="006C771B" w:rsidRPr="003F6E70">
        <w:rPr>
          <w:rFonts w:ascii="Times New Roman" w:hAnsi="Times New Roman"/>
          <w:color w:val="000000"/>
          <w:sz w:val="24"/>
          <w:szCs w:val="24"/>
          <w:lang w:val="sr-Cyrl-CS"/>
        </w:rPr>
        <w:t xml:space="preserve">14.2% </w:t>
      </w:r>
      <w:r>
        <w:rPr>
          <w:rFonts w:ascii="Times New Roman" w:hAnsi="Times New Roman"/>
          <w:color w:val="000000"/>
          <w:sz w:val="24"/>
          <w:szCs w:val="24"/>
          <w:lang w:val="sr-Cyrl-CS"/>
        </w:rPr>
        <w:t xml:space="preserve">          </w:t>
      </w:r>
      <w:r w:rsidR="006C771B" w:rsidRPr="003F6E70">
        <w:rPr>
          <w:rFonts w:ascii="Times New Roman" w:hAnsi="Times New Roman"/>
          <w:color w:val="000000"/>
          <w:sz w:val="24"/>
          <w:szCs w:val="24"/>
          <w:lang w:val="sr-Cyrl-CS"/>
        </w:rPr>
        <w:t xml:space="preserve">11.6% </w:t>
      </w:r>
      <w:r>
        <w:rPr>
          <w:rFonts w:ascii="Times New Roman" w:hAnsi="Times New Roman"/>
          <w:color w:val="000000"/>
          <w:sz w:val="24"/>
          <w:szCs w:val="24"/>
          <w:lang w:val="sr-Cyrl-CS"/>
        </w:rPr>
        <w:t xml:space="preserve">           </w:t>
      </w:r>
      <w:r w:rsidR="006C771B" w:rsidRPr="003F6E70">
        <w:rPr>
          <w:rFonts w:ascii="Times New Roman" w:hAnsi="Times New Roman"/>
          <w:color w:val="000000"/>
          <w:sz w:val="24"/>
          <w:szCs w:val="24"/>
          <w:lang w:val="sr-Cyrl-CS"/>
        </w:rPr>
        <w:t xml:space="preserve">10.4% </w:t>
      </w:r>
      <w:r>
        <w:rPr>
          <w:rFonts w:ascii="Times New Roman" w:hAnsi="Times New Roman"/>
          <w:color w:val="000000"/>
          <w:sz w:val="24"/>
          <w:szCs w:val="24"/>
          <w:lang w:val="sr-Cyrl-CS"/>
        </w:rPr>
        <w:t xml:space="preserve">              </w:t>
      </w:r>
      <w:r w:rsidR="006C771B" w:rsidRPr="003F6E70">
        <w:rPr>
          <w:rFonts w:ascii="Times New Roman" w:hAnsi="Times New Roman"/>
          <w:color w:val="000000"/>
          <w:sz w:val="24"/>
          <w:szCs w:val="24"/>
          <w:lang w:val="sr-Cyrl-CS"/>
        </w:rPr>
        <w:t>10.4%</w:t>
      </w:r>
    </w:p>
    <w:p w:rsidR="00A7104F" w:rsidRDefault="00A7104F" w:rsidP="00FF4717">
      <w:pPr>
        <w:shd w:val="clear" w:color="auto" w:fill="FFFFFF"/>
        <w:spacing w:after="0" w:line="285" w:lineRule="atLeast"/>
        <w:jc w:val="both"/>
        <w:rPr>
          <w:rFonts w:ascii="Times New Roman" w:hAnsi="Times New Roman"/>
          <w:color w:val="000000"/>
          <w:sz w:val="24"/>
          <w:szCs w:val="24"/>
          <w:lang w:val="sr-Cyrl-CS"/>
        </w:rPr>
      </w:pPr>
      <w:r>
        <w:rPr>
          <w:rFonts w:ascii="Times New Roman" w:hAnsi="Times New Roman"/>
          <w:color w:val="000000"/>
          <w:sz w:val="24"/>
          <w:szCs w:val="24"/>
          <w:lang w:val="sr-Cyrl-CS"/>
        </w:rPr>
        <w:t>___________________________________________________________________________</w:t>
      </w:r>
    </w:p>
    <w:p w:rsidR="007D135D" w:rsidRDefault="007D135D" w:rsidP="00F31C0E">
      <w:pPr>
        <w:shd w:val="clear" w:color="auto" w:fill="FFFFFF"/>
        <w:spacing w:after="0" w:line="285" w:lineRule="atLeast"/>
        <w:ind w:firstLine="708"/>
        <w:jc w:val="both"/>
        <w:rPr>
          <w:rFonts w:ascii="Times New Roman" w:hAnsi="Times New Roman"/>
          <w:color w:val="000000"/>
          <w:sz w:val="24"/>
          <w:szCs w:val="24"/>
          <w:lang w:val="sr-Cyrl-CS"/>
        </w:rPr>
      </w:pPr>
    </w:p>
    <w:p w:rsidR="007D135D" w:rsidRDefault="007D135D" w:rsidP="00F31C0E">
      <w:pPr>
        <w:shd w:val="clear" w:color="auto" w:fill="FFFFFF"/>
        <w:spacing w:after="0" w:line="285" w:lineRule="atLeast"/>
        <w:ind w:firstLine="708"/>
        <w:jc w:val="both"/>
        <w:rPr>
          <w:rFonts w:ascii="Times New Roman" w:hAnsi="Times New Roman"/>
          <w:color w:val="000000"/>
          <w:sz w:val="24"/>
          <w:szCs w:val="24"/>
          <w:lang w:val="sr-Cyrl-CS"/>
        </w:rPr>
      </w:pPr>
    </w:p>
    <w:p w:rsidR="00120C2A" w:rsidRDefault="00900E87" w:rsidP="00120C2A">
      <w:pPr>
        <w:shd w:val="clear" w:color="auto" w:fill="FFFFFF"/>
        <w:spacing w:after="0" w:line="285" w:lineRule="atLeast"/>
        <w:ind w:firstLine="708"/>
        <w:jc w:val="both"/>
        <w:rPr>
          <w:rFonts w:ascii="Times New Roman" w:hAnsi="Times New Roman"/>
          <w:color w:val="000000"/>
          <w:sz w:val="24"/>
          <w:szCs w:val="24"/>
          <w:lang w:val="sr-Cyrl-CS"/>
        </w:rPr>
      </w:pPr>
      <w:r>
        <w:rPr>
          <w:rFonts w:ascii="Times New Roman" w:hAnsi="Times New Roman"/>
          <w:color w:val="000000"/>
          <w:sz w:val="24"/>
          <w:szCs w:val="24"/>
          <w:lang w:val="sr-Cyrl-CS"/>
        </w:rPr>
        <w:t xml:space="preserve">Према </w:t>
      </w:r>
      <w:r w:rsidR="00081D7E">
        <w:rPr>
          <w:rFonts w:ascii="Times New Roman" w:hAnsi="Times New Roman"/>
          <w:color w:val="000000"/>
          <w:sz w:val="24"/>
          <w:szCs w:val="24"/>
        </w:rPr>
        <w:t xml:space="preserve">једном другом </w:t>
      </w:r>
      <w:r>
        <w:rPr>
          <w:rFonts w:ascii="Times New Roman" w:hAnsi="Times New Roman"/>
          <w:color w:val="000000"/>
          <w:sz w:val="24"/>
          <w:szCs w:val="24"/>
          <w:lang w:val="sr-Cyrl-CS"/>
        </w:rPr>
        <w:t>истраживању</w:t>
      </w:r>
      <w:r w:rsidR="00081D7E">
        <w:rPr>
          <w:rStyle w:val="FootnoteReference"/>
          <w:rFonts w:ascii="Times New Roman" w:hAnsi="Times New Roman"/>
          <w:color w:val="000000"/>
          <w:sz w:val="24"/>
          <w:szCs w:val="24"/>
          <w:lang w:val="sr-Cyrl-CS"/>
        </w:rPr>
        <w:footnoteReference w:id="388"/>
      </w:r>
      <w:r>
        <w:rPr>
          <w:rFonts w:ascii="Times New Roman" w:hAnsi="Times New Roman"/>
          <w:color w:val="000000"/>
          <w:sz w:val="24"/>
          <w:szCs w:val="24"/>
          <w:lang w:val="sr-Cyrl-CS"/>
        </w:rPr>
        <w:t xml:space="preserve"> </w:t>
      </w:r>
      <w:r w:rsidR="00F31C0E">
        <w:rPr>
          <w:rFonts w:ascii="Times New Roman" w:hAnsi="Times New Roman"/>
          <w:color w:val="000000"/>
          <w:sz w:val="24"/>
          <w:szCs w:val="24"/>
        </w:rPr>
        <w:t xml:space="preserve">учешће у </w:t>
      </w:r>
      <w:r w:rsidR="00F31C0E">
        <w:rPr>
          <w:rFonts w:ascii="Times New Roman" w:hAnsi="Times New Roman"/>
          <w:color w:val="000000"/>
          <w:sz w:val="24"/>
          <w:szCs w:val="24"/>
          <w:lang w:val="sr-Cyrl-CS"/>
        </w:rPr>
        <w:t xml:space="preserve">укупним </w:t>
      </w:r>
      <w:r w:rsidR="00F31C0E">
        <w:rPr>
          <w:rFonts w:ascii="Times New Roman" w:hAnsi="Times New Roman"/>
          <w:color w:val="000000"/>
          <w:sz w:val="24"/>
          <w:szCs w:val="24"/>
        </w:rPr>
        <w:t>губицима</w:t>
      </w:r>
      <w:r w:rsidR="00F31C0E">
        <w:rPr>
          <w:rFonts w:ascii="Times New Roman" w:hAnsi="Times New Roman"/>
          <w:color w:val="000000"/>
          <w:sz w:val="24"/>
          <w:szCs w:val="24"/>
          <w:lang w:val="sr-Cyrl-CS"/>
        </w:rPr>
        <w:t xml:space="preserve"> на нивоу Европске уније за 2009. годину процењено је </w:t>
      </w:r>
      <w:r w:rsidR="00081D7E">
        <w:rPr>
          <w:rFonts w:ascii="Times New Roman" w:hAnsi="Times New Roman"/>
          <w:color w:val="000000"/>
          <w:sz w:val="24"/>
          <w:szCs w:val="24"/>
        </w:rPr>
        <w:t xml:space="preserve">према појединим </w:t>
      </w:r>
      <w:r w:rsidR="00081D7E">
        <w:rPr>
          <w:rFonts w:ascii="Times New Roman" w:hAnsi="Times New Roman"/>
          <w:color w:val="000000"/>
          <w:sz w:val="24"/>
          <w:szCs w:val="24"/>
          <w:lang w:val="sr-Cyrl-CS"/>
        </w:rPr>
        <w:t xml:space="preserve"> </w:t>
      </w:r>
      <w:r w:rsidR="00F31C0E">
        <w:rPr>
          <w:rFonts w:ascii="Times New Roman" w:hAnsi="Times New Roman"/>
          <w:color w:val="000000"/>
          <w:sz w:val="24"/>
          <w:szCs w:val="24"/>
          <w:lang w:val="sr-Cyrl-CS"/>
        </w:rPr>
        <w:t>категоријама, а на основу доступних подака у Великој Британији о учешћу појединих категорија у укупним губицима. Наглашено је да подацима треба приступити са великом резервом имајући у виду ограничене доступне податке у овој области.</w:t>
      </w:r>
      <w:r w:rsidR="00E71937">
        <w:rPr>
          <w:rFonts w:ascii="Times New Roman" w:hAnsi="Times New Roman"/>
          <w:color w:val="000000"/>
          <w:sz w:val="24"/>
          <w:szCs w:val="24"/>
          <w:lang w:val="sr-Cyrl-CS"/>
        </w:rPr>
        <w:t xml:space="preserve"> Подаци су приказани у табели која следи.</w:t>
      </w:r>
    </w:p>
    <w:p w:rsidR="00120C2A" w:rsidRDefault="00120C2A" w:rsidP="00120C2A">
      <w:pPr>
        <w:shd w:val="clear" w:color="auto" w:fill="FFFFFF"/>
        <w:spacing w:after="0" w:line="285" w:lineRule="atLeast"/>
        <w:ind w:firstLine="708"/>
        <w:jc w:val="both"/>
        <w:rPr>
          <w:rFonts w:ascii="Times New Roman" w:hAnsi="Times New Roman"/>
          <w:color w:val="000000"/>
          <w:sz w:val="24"/>
          <w:szCs w:val="24"/>
          <w:lang w:val="sr-Cyrl-CS"/>
        </w:rPr>
      </w:pPr>
    </w:p>
    <w:p w:rsidR="00120C2A" w:rsidRPr="004B6685" w:rsidRDefault="00001DEB" w:rsidP="00E71937">
      <w:pPr>
        <w:shd w:val="clear" w:color="auto" w:fill="FFFFFF"/>
        <w:spacing w:after="0" w:line="285" w:lineRule="atLeast"/>
        <w:rPr>
          <w:rFonts w:ascii="Times New Roman" w:hAnsi="Times New Roman"/>
          <w:b/>
          <w:color w:val="000000"/>
          <w:sz w:val="24"/>
          <w:szCs w:val="24"/>
          <w:lang w:val="sr-Cyrl-CS"/>
        </w:rPr>
      </w:pPr>
      <w:r>
        <w:rPr>
          <w:rFonts w:ascii="Times New Roman" w:hAnsi="Times New Roman"/>
          <w:b/>
          <w:color w:val="000000"/>
          <w:sz w:val="24"/>
          <w:szCs w:val="24"/>
          <w:lang w:val="sr-Cyrl-CS"/>
        </w:rPr>
        <w:t>Табела 23</w:t>
      </w:r>
      <w:r w:rsidR="004B6685" w:rsidRPr="004B6685">
        <w:rPr>
          <w:rFonts w:ascii="Times New Roman" w:hAnsi="Times New Roman"/>
          <w:b/>
          <w:color w:val="000000"/>
          <w:sz w:val="24"/>
          <w:szCs w:val="24"/>
          <w:lang w:val="sr-Cyrl-CS"/>
        </w:rPr>
        <w:t>.</w:t>
      </w:r>
    </w:p>
    <w:tbl>
      <w:tblPr>
        <w:tblW w:w="955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16"/>
        <w:gridCol w:w="3466"/>
        <w:gridCol w:w="1627"/>
        <w:gridCol w:w="1841"/>
      </w:tblGrid>
      <w:tr w:rsidR="00713A58" w:rsidRPr="00F74116" w:rsidTr="00120C2A">
        <w:trPr>
          <w:trHeight w:val="587"/>
        </w:trPr>
        <w:tc>
          <w:tcPr>
            <w:tcW w:w="2616" w:type="dxa"/>
          </w:tcPr>
          <w:p w:rsidR="00C833AA" w:rsidRPr="00F74116" w:rsidRDefault="00C833AA" w:rsidP="00F74116">
            <w:pPr>
              <w:spacing w:after="0" w:line="285" w:lineRule="atLeast"/>
              <w:rPr>
                <w:rFonts w:ascii="Times New Roman" w:hAnsi="Times New Roman"/>
                <w:color w:val="000000"/>
                <w:sz w:val="24"/>
                <w:szCs w:val="24"/>
                <w:lang w:val="sr-Cyrl-CS"/>
              </w:rPr>
            </w:pPr>
            <w:r w:rsidRPr="00F74116">
              <w:rPr>
                <w:rFonts w:ascii="Times New Roman" w:hAnsi="Times New Roman"/>
                <w:color w:val="000000"/>
                <w:sz w:val="24"/>
                <w:szCs w:val="24"/>
                <w:lang w:val="sr-Cyrl-CS"/>
              </w:rPr>
              <w:t>компоненте</w:t>
            </w:r>
          </w:p>
          <w:p w:rsidR="00713A58" w:rsidRPr="00F74116" w:rsidRDefault="00C833AA" w:rsidP="00F74116">
            <w:pPr>
              <w:spacing w:after="0" w:line="285" w:lineRule="atLeast"/>
              <w:rPr>
                <w:rFonts w:ascii="Times New Roman" w:hAnsi="Times New Roman"/>
                <w:color w:val="000000"/>
                <w:sz w:val="24"/>
                <w:szCs w:val="24"/>
                <w:lang w:val="sr-Cyrl-CS"/>
              </w:rPr>
            </w:pPr>
            <w:r w:rsidRPr="00F74116">
              <w:rPr>
                <w:rFonts w:ascii="Times New Roman" w:hAnsi="Times New Roman"/>
                <w:color w:val="000000"/>
                <w:sz w:val="24"/>
                <w:szCs w:val="24"/>
                <w:lang w:val="sr-Cyrl-CS"/>
              </w:rPr>
              <w:t>ПДВ губитка</w:t>
            </w:r>
          </w:p>
        </w:tc>
        <w:tc>
          <w:tcPr>
            <w:tcW w:w="3466" w:type="dxa"/>
          </w:tcPr>
          <w:p w:rsidR="00C833AA" w:rsidRPr="00F74116" w:rsidRDefault="00C833AA" w:rsidP="00F74116">
            <w:pPr>
              <w:spacing w:after="0" w:line="285" w:lineRule="atLeast"/>
              <w:rPr>
                <w:rFonts w:ascii="Times New Roman" w:hAnsi="Times New Roman"/>
                <w:color w:val="000000"/>
                <w:sz w:val="24"/>
                <w:szCs w:val="24"/>
                <w:lang w:val="sr-Cyrl-CS"/>
              </w:rPr>
            </w:pPr>
            <w:r w:rsidRPr="00F74116">
              <w:rPr>
                <w:rFonts w:ascii="Times New Roman" w:hAnsi="Times New Roman"/>
                <w:color w:val="000000"/>
                <w:sz w:val="24"/>
                <w:szCs w:val="24"/>
                <w:lang w:val="sr-Cyrl-CS"/>
              </w:rPr>
              <w:t>ПДВ губитак</w:t>
            </w:r>
          </w:p>
          <w:p w:rsidR="00C833AA" w:rsidRPr="00F74116" w:rsidRDefault="00C833AA" w:rsidP="00F74116">
            <w:pPr>
              <w:spacing w:after="0" w:line="285" w:lineRule="atLeast"/>
              <w:rPr>
                <w:rFonts w:ascii="Times New Roman" w:hAnsi="Times New Roman"/>
                <w:color w:val="000000"/>
                <w:sz w:val="24"/>
                <w:szCs w:val="24"/>
                <w:lang w:val="sr-Cyrl-CS"/>
              </w:rPr>
            </w:pPr>
            <w:r w:rsidRPr="00F74116">
              <w:rPr>
                <w:rFonts w:ascii="Times New Roman" w:hAnsi="Times New Roman"/>
                <w:color w:val="000000"/>
                <w:sz w:val="24"/>
                <w:szCs w:val="24"/>
                <w:lang w:val="sr-Cyrl-CS"/>
              </w:rPr>
              <w:t>у Великој</w:t>
            </w:r>
          </w:p>
          <w:p w:rsidR="00713A58" w:rsidRPr="00F74116" w:rsidRDefault="00C833AA" w:rsidP="00F74116">
            <w:pPr>
              <w:spacing w:after="0" w:line="285" w:lineRule="atLeast"/>
              <w:rPr>
                <w:rFonts w:ascii="Times New Roman" w:hAnsi="Times New Roman"/>
                <w:color w:val="000000"/>
                <w:sz w:val="24"/>
                <w:szCs w:val="24"/>
                <w:lang w:val="sr-Cyrl-CS"/>
              </w:rPr>
            </w:pPr>
            <w:r w:rsidRPr="00F74116">
              <w:rPr>
                <w:rFonts w:ascii="Times New Roman" w:hAnsi="Times New Roman"/>
                <w:color w:val="000000"/>
                <w:sz w:val="24"/>
                <w:szCs w:val="24"/>
                <w:lang w:val="sr-Cyrl-CS"/>
              </w:rPr>
              <w:t>Британији</w:t>
            </w:r>
          </w:p>
        </w:tc>
        <w:tc>
          <w:tcPr>
            <w:tcW w:w="3468" w:type="dxa"/>
            <w:gridSpan w:val="2"/>
          </w:tcPr>
          <w:p w:rsidR="00C833AA" w:rsidRPr="00F74116" w:rsidRDefault="00C833AA" w:rsidP="00F74116">
            <w:pPr>
              <w:spacing w:after="0" w:line="285" w:lineRule="atLeast"/>
              <w:rPr>
                <w:rFonts w:ascii="Times New Roman" w:hAnsi="Times New Roman"/>
                <w:color w:val="000000"/>
                <w:sz w:val="24"/>
                <w:szCs w:val="24"/>
                <w:lang w:val="sr-Cyrl-CS"/>
              </w:rPr>
            </w:pPr>
            <w:r w:rsidRPr="00F74116">
              <w:rPr>
                <w:rFonts w:ascii="Times New Roman" w:hAnsi="Times New Roman"/>
                <w:color w:val="000000"/>
                <w:sz w:val="24"/>
                <w:szCs w:val="24"/>
                <w:lang w:val="sr-Cyrl-CS"/>
              </w:rPr>
              <w:t>Учешће у ПДВ  губицима</w:t>
            </w:r>
          </w:p>
          <w:p w:rsidR="00713A58" w:rsidRPr="00F74116" w:rsidRDefault="00C833AA" w:rsidP="00F74116">
            <w:pPr>
              <w:spacing w:after="0" w:line="285" w:lineRule="atLeast"/>
              <w:rPr>
                <w:rFonts w:ascii="Times New Roman" w:hAnsi="Times New Roman"/>
                <w:color w:val="000000"/>
                <w:sz w:val="24"/>
                <w:szCs w:val="24"/>
                <w:lang w:val="sr-Cyrl-CS"/>
              </w:rPr>
            </w:pPr>
            <w:r w:rsidRPr="00F74116">
              <w:rPr>
                <w:rFonts w:ascii="Times New Roman" w:hAnsi="Times New Roman"/>
                <w:color w:val="000000"/>
                <w:sz w:val="24"/>
                <w:szCs w:val="24"/>
                <w:lang w:val="sr-Cyrl-CS"/>
              </w:rPr>
              <w:t>ЕУ-27</w:t>
            </w:r>
          </w:p>
          <w:p w:rsidR="00C833AA" w:rsidRPr="00F74116" w:rsidRDefault="00C833AA" w:rsidP="00F74116">
            <w:pPr>
              <w:spacing w:after="0" w:line="285" w:lineRule="atLeast"/>
              <w:rPr>
                <w:rFonts w:ascii="Times New Roman" w:hAnsi="Times New Roman"/>
                <w:color w:val="000000"/>
                <w:sz w:val="24"/>
                <w:szCs w:val="24"/>
                <w:lang w:val="sr-Cyrl-CS"/>
              </w:rPr>
            </w:pPr>
            <w:r w:rsidRPr="00F74116">
              <w:rPr>
                <w:rFonts w:ascii="Times New Roman" w:hAnsi="Times New Roman"/>
                <w:color w:val="000000"/>
                <w:sz w:val="24"/>
                <w:szCs w:val="24"/>
                <w:lang w:val="sr-Cyrl-CS"/>
              </w:rPr>
              <w:t>минимум                  максимум</w:t>
            </w:r>
          </w:p>
        </w:tc>
      </w:tr>
      <w:tr w:rsidR="006D724E" w:rsidRPr="00F74116" w:rsidTr="00120C2A">
        <w:trPr>
          <w:trHeight w:val="620"/>
        </w:trPr>
        <w:tc>
          <w:tcPr>
            <w:tcW w:w="2616" w:type="dxa"/>
          </w:tcPr>
          <w:p w:rsidR="006D724E" w:rsidRPr="00F74116" w:rsidRDefault="006D724E" w:rsidP="00F74116">
            <w:pPr>
              <w:shd w:val="clear" w:color="auto" w:fill="FFFFFF"/>
              <w:spacing w:after="0" w:line="285" w:lineRule="atLeast"/>
              <w:rPr>
                <w:rFonts w:ascii="Times New Roman" w:hAnsi="Times New Roman"/>
                <w:color w:val="000000"/>
                <w:sz w:val="24"/>
                <w:szCs w:val="24"/>
                <w:lang w:val="sr-Cyrl-CS"/>
              </w:rPr>
            </w:pPr>
            <w:r w:rsidRPr="00F74116">
              <w:rPr>
                <w:rFonts w:ascii="Times New Roman" w:hAnsi="Times New Roman"/>
                <w:color w:val="000000"/>
                <w:sz w:val="24"/>
                <w:szCs w:val="24"/>
                <w:lang w:val="sr-Cyrl-CS"/>
              </w:rPr>
              <w:t>Интра-комунитарни облици</w:t>
            </w:r>
          </w:p>
          <w:p w:rsidR="006D724E" w:rsidRPr="00F74116" w:rsidRDefault="006D724E" w:rsidP="00F74116">
            <w:pPr>
              <w:spacing w:after="0" w:line="285" w:lineRule="atLeast"/>
              <w:rPr>
                <w:rFonts w:ascii="Times New Roman" w:hAnsi="Times New Roman"/>
                <w:color w:val="000000"/>
                <w:sz w:val="24"/>
                <w:szCs w:val="24"/>
                <w:lang w:val="sr-Cyrl-CS"/>
              </w:rPr>
            </w:pPr>
          </w:p>
        </w:tc>
        <w:tc>
          <w:tcPr>
            <w:tcW w:w="3466" w:type="dxa"/>
          </w:tcPr>
          <w:p w:rsidR="006D724E" w:rsidRPr="00F74116" w:rsidRDefault="006D724E" w:rsidP="00F74116">
            <w:pPr>
              <w:spacing w:after="0" w:line="285" w:lineRule="atLeast"/>
              <w:rPr>
                <w:rFonts w:ascii="Times New Roman" w:hAnsi="Times New Roman"/>
                <w:color w:val="000000"/>
                <w:sz w:val="24"/>
                <w:szCs w:val="24"/>
                <w:lang w:val="sr-Cyrl-CS"/>
              </w:rPr>
            </w:pPr>
            <w:r w:rsidRPr="00F74116">
              <w:rPr>
                <w:rFonts w:ascii="Times New Roman" w:hAnsi="Times New Roman"/>
                <w:color w:val="000000"/>
                <w:sz w:val="24"/>
                <w:szCs w:val="24"/>
                <w:lang w:val="sr-Cyrl-CS"/>
              </w:rPr>
              <w:t>17-26%</w:t>
            </w:r>
          </w:p>
        </w:tc>
        <w:tc>
          <w:tcPr>
            <w:tcW w:w="1627" w:type="dxa"/>
            <w:tcBorders>
              <w:right w:val="single" w:sz="4" w:space="0" w:color="auto"/>
            </w:tcBorders>
          </w:tcPr>
          <w:p w:rsidR="006D724E" w:rsidRPr="00F74116" w:rsidRDefault="006D724E" w:rsidP="00F74116">
            <w:pPr>
              <w:spacing w:after="0" w:line="285" w:lineRule="atLeast"/>
              <w:rPr>
                <w:rFonts w:ascii="Times New Roman" w:hAnsi="Times New Roman"/>
                <w:color w:val="000000"/>
                <w:sz w:val="24"/>
                <w:szCs w:val="24"/>
                <w:lang w:val="sr-Cyrl-CS"/>
              </w:rPr>
            </w:pPr>
            <w:r w:rsidRPr="00F74116">
              <w:rPr>
                <w:rFonts w:ascii="Times New Roman" w:hAnsi="Times New Roman"/>
                <w:color w:val="000000"/>
                <w:sz w:val="24"/>
                <w:szCs w:val="24"/>
                <w:lang w:val="sr-Cyrl-CS"/>
              </w:rPr>
              <w:t>19,849</w:t>
            </w:r>
          </w:p>
        </w:tc>
        <w:tc>
          <w:tcPr>
            <w:tcW w:w="1841" w:type="dxa"/>
            <w:tcBorders>
              <w:left w:val="single" w:sz="4" w:space="0" w:color="auto"/>
            </w:tcBorders>
          </w:tcPr>
          <w:p w:rsidR="006D724E" w:rsidRPr="00F74116" w:rsidRDefault="006D724E" w:rsidP="006D724E">
            <w:pPr>
              <w:spacing w:line="285" w:lineRule="atLeast"/>
              <w:ind w:left="117"/>
              <w:rPr>
                <w:rFonts w:ascii="Times New Roman" w:hAnsi="Times New Roman"/>
                <w:color w:val="000000"/>
                <w:sz w:val="24"/>
                <w:szCs w:val="24"/>
                <w:lang w:val="sr-Cyrl-CS"/>
              </w:rPr>
            </w:pPr>
            <w:r w:rsidRPr="00F74116">
              <w:rPr>
                <w:rFonts w:ascii="Times New Roman" w:hAnsi="Times New Roman"/>
                <w:color w:val="000000"/>
                <w:sz w:val="24"/>
                <w:szCs w:val="24"/>
                <w:lang w:val="sr-Cyrl-CS"/>
              </w:rPr>
              <w:t>30,840</w:t>
            </w:r>
          </w:p>
        </w:tc>
      </w:tr>
      <w:tr w:rsidR="006D724E" w:rsidRPr="00F74116" w:rsidTr="00120C2A">
        <w:trPr>
          <w:trHeight w:val="587"/>
        </w:trPr>
        <w:tc>
          <w:tcPr>
            <w:tcW w:w="2616" w:type="dxa"/>
          </w:tcPr>
          <w:p w:rsidR="006D724E" w:rsidRPr="00F74116" w:rsidRDefault="006D724E" w:rsidP="00F74116">
            <w:pPr>
              <w:spacing w:after="0" w:line="285" w:lineRule="atLeast"/>
              <w:rPr>
                <w:rFonts w:ascii="Times New Roman" w:hAnsi="Times New Roman"/>
                <w:color w:val="000000"/>
                <w:sz w:val="24"/>
                <w:szCs w:val="24"/>
                <w:lang w:val="sr-Cyrl-CS"/>
              </w:rPr>
            </w:pPr>
            <w:r w:rsidRPr="00F74116">
              <w:rPr>
                <w:rFonts w:ascii="Times New Roman" w:hAnsi="Times New Roman"/>
                <w:color w:val="000000"/>
                <w:sz w:val="24"/>
                <w:szCs w:val="24"/>
                <w:lang w:val="sr-Cyrl-CS"/>
              </w:rPr>
              <w:t>Нерегистровање због ПДВ</w:t>
            </w:r>
          </w:p>
        </w:tc>
        <w:tc>
          <w:tcPr>
            <w:tcW w:w="3466" w:type="dxa"/>
          </w:tcPr>
          <w:p w:rsidR="006D724E" w:rsidRPr="00F74116" w:rsidRDefault="006D724E" w:rsidP="00F74116">
            <w:pPr>
              <w:spacing w:after="0" w:line="285" w:lineRule="atLeast"/>
              <w:rPr>
                <w:rFonts w:ascii="Times New Roman" w:hAnsi="Times New Roman"/>
                <w:color w:val="000000"/>
                <w:sz w:val="24"/>
                <w:szCs w:val="24"/>
                <w:lang w:val="sr-Cyrl-CS"/>
              </w:rPr>
            </w:pPr>
            <w:r w:rsidRPr="00F74116">
              <w:rPr>
                <w:rFonts w:ascii="Times New Roman" w:hAnsi="Times New Roman"/>
                <w:color w:val="000000"/>
                <w:sz w:val="24"/>
                <w:szCs w:val="24"/>
                <w:lang w:val="sr-Cyrl-CS"/>
              </w:rPr>
              <w:t>4-5%</w:t>
            </w:r>
          </w:p>
        </w:tc>
        <w:tc>
          <w:tcPr>
            <w:tcW w:w="1627" w:type="dxa"/>
            <w:tcBorders>
              <w:right w:val="single" w:sz="4" w:space="0" w:color="auto"/>
            </w:tcBorders>
          </w:tcPr>
          <w:p w:rsidR="006D724E" w:rsidRPr="00F74116" w:rsidRDefault="006D724E" w:rsidP="00F74116">
            <w:pPr>
              <w:spacing w:after="0" w:line="285" w:lineRule="atLeast"/>
              <w:rPr>
                <w:rFonts w:ascii="Times New Roman" w:hAnsi="Times New Roman"/>
                <w:color w:val="000000"/>
                <w:sz w:val="24"/>
                <w:szCs w:val="24"/>
                <w:lang w:val="sr-Cyrl-CS"/>
              </w:rPr>
            </w:pPr>
            <w:r w:rsidRPr="00F74116">
              <w:rPr>
                <w:rFonts w:ascii="Times New Roman" w:hAnsi="Times New Roman"/>
                <w:color w:val="000000"/>
                <w:sz w:val="24"/>
                <w:szCs w:val="24"/>
                <w:lang w:val="sr-Cyrl-CS"/>
              </w:rPr>
              <w:t>4,485</w:t>
            </w:r>
          </w:p>
        </w:tc>
        <w:tc>
          <w:tcPr>
            <w:tcW w:w="1841" w:type="dxa"/>
            <w:tcBorders>
              <w:left w:val="single" w:sz="4" w:space="0" w:color="auto"/>
            </w:tcBorders>
          </w:tcPr>
          <w:p w:rsidR="006D724E" w:rsidRPr="00F74116" w:rsidRDefault="006D724E" w:rsidP="006D724E">
            <w:pPr>
              <w:spacing w:line="285" w:lineRule="atLeast"/>
              <w:ind w:left="117"/>
              <w:rPr>
                <w:rFonts w:ascii="Times New Roman" w:hAnsi="Times New Roman"/>
                <w:color w:val="000000"/>
                <w:sz w:val="24"/>
                <w:szCs w:val="24"/>
                <w:lang w:val="sr-Cyrl-CS"/>
              </w:rPr>
            </w:pPr>
            <w:r w:rsidRPr="00F74116">
              <w:rPr>
                <w:rFonts w:ascii="Times New Roman" w:hAnsi="Times New Roman"/>
                <w:color w:val="000000"/>
                <w:sz w:val="24"/>
                <w:szCs w:val="24"/>
                <w:lang w:val="sr-Cyrl-CS"/>
              </w:rPr>
              <w:t>5,607</w:t>
            </w:r>
          </w:p>
        </w:tc>
      </w:tr>
      <w:tr w:rsidR="006D724E" w:rsidRPr="00F74116" w:rsidTr="00120C2A">
        <w:trPr>
          <w:trHeight w:val="620"/>
        </w:trPr>
        <w:tc>
          <w:tcPr>
            <w:tcW w:w="2616" w:type="dxa"/>
          </w:tcPr>
          <w:p w:rsidR="006D724E" w:rsidRPr="00F74116" w:rsidRDefault="006D724E" w:rsidP="00F74116">
            <w:pPr>
              <w:spacing w:after="0" w:line="285" w:lineRule="atLeast"/>
              <w:rPr>
                <w:rFonts w:ascii="Times New Roman" w:hAnsi="Times New Roman"/>
                <w:color w:val="000000"/>
                <w:sz w:val="24"/>
                <w:szCs w:val="24"/>
                <w:lang w:val="sr-Cyrl-CS"/>
              </w:rPr>
            </w:pPr>
            <w:r w:rsidRPr="00F74116">
              <w:rPr>
                <w:rFonts w:ascii="Times New Roman" w:hAnsi="Times New Roman"/>
                <w:color w:val="000000"/>
                <w:sz w:val="24"/>
                <w:szCs w:val="24"/>
                <w:lang w:val="sr-Cyrl-CS"/>
              </w:rPr>
              <w:t>Грешке у обрачуну или свесно умањење пор.обавезе</w:t>
            </w:r>
          </w:p>
        </w:tc>
        <w:tc>
          <w:tcPr>
            <w:tcW w:w="3466" w:type="dxa"/>
          </w:tcPr>
          <w:p w:rsidR="006D724E" w:rsidRPr="00F74116" w:rsidRDefault="006D724E" w:rsidP="00F74116">
            <w:pPr>
              <w:spacing w:after="0" w:line="285" w:lineRule="atLeast"/>
              <w:rPr>
                <w:rFonts w:ascii="Times New Roman" w:hAnsi="Times New Roman"/>
                <w:color w:val="000000"/>
                <w:sz w:val="24"/>
                <w:szCs w:val="24"/>
                <w:lang w:val="sr-Cyrl-CS"/>
              </w:rPr>
            </w:pPr>
            <w:r w:rsidRPr="00F74116">
              <w:rPr>
                <w:rFonts w:ascii="Times New Roman" w:hAnsi="Times New Roman"/>
                <w:color w:val="000000"/>
                <w:sz w:val="24"/>
                <w:szCs w:val="24"/>
                <w:lang w:val="sr-Cyrl-CS"/>
              </w:rPr>
              <w:t>24-38%</w:t>
            </w:r>
          </w:p>
        </w:tc>
        <w:tc>
          <w:tcPr>
            <w:tcW w:w="1627" w:type="dxa"/>
            <w:tcBorders>
              <w:right w:val="single" w:sz="4" w:space="0" w:color="auto"/>
            </w:tcBorders>
          </w:tcPr>
          <w:p w:rsidR="006D724E" w:rsidRPr="00F74116" w:rsidRDefault="006D724E" w:rsidP="00F74116">
            <w:pPr>
              <w:spacing w:after="0" w:line="285" w:lineRule="atLeast"/>
              <w:rPr>
                <w:rFonts w:ascii="Times New Roman" w:hAnsi="Times New Roman"/>
                <w:color w:val="000000"/>
                <w:sz w:val="24"/>
                <w:szCs w:val="24"/>
                <w:lang w:val="sr-Cyrl-CS"/>
              </w:rPr>
            </w:pPr>
            <w:r w:rsidRPr="00F74116">
              <w:rPr>
                <w:rFonts w:ascii="Times New Roman" w:hAnsi="Times New Roman"/>
                <w:color w:val="000000"/>
                <w:sz w:val="24"/>
                <w:szCs w:val="24"/>
                <w:lang w:val="sr-Cyrl-CS"/>
              </w:rPr>
              <w:t>28,036</w:t>
            </w:r>
          </w:p>
        </w:tc>
        <w:tc>
          <w:tcPr>
            <w:tcW w:w="1841" w:type="dxa"/>
            <w:tcBorders>
              <w:left w:val="single" w:sz="4" w:space="0" w:color="auto"/>
            </w:tcBorders>
          </w:tcPr>
          <w:p w:rsidR="006D724E" w:rsidRPr="00F74116" w:rsidRDefault="006D724E" w:rsidP="006D724E">
            <w:pPr>
              <w:spacing w:line="285" w:lineRule="atLeast"/>
              <w:ind w:left="117"/>
              <w:rPr>
                <w:rFonts w:ascii="Times New Roman" w:hAnsi="Times New Roman"/>
                <w:color w:val="000000"/>
                <w:sz w:val="24"/>
                <w:szCs w:val="24"/>
                <w:lang w:val="sr-Cyrl-CS"/>
              </w:rPr>
            </w:pPr>
            <w:r w:rsidRPr="00F74116">
              <w:rPr>
                <w:rFonts w:ascii="Times New Roman" w:hAnsi="Times New Roman"/>
                <w:color w:val="000000"/>
                <w:sz w:val="24"/>
                <w:szCs w:val="24"/>
                <w:lang w:val="sr-Cyrl-CS"/>
              </w:rPr>
              <w:t>44,858</w:t>
            </w:r>
          </w:p>
        </w:tc>
      </w:tr>
      <w:tr w:rsidR="006D724E" w:rsidRPr="00F74116" w:rsidTr="00120C2A">
        <w:trPr>
          <w:trHeight w:val="620"/>
        </w:trPr>
        <w:tc>
          <w:tcPr>
            <w:tcW w:w="2616" w:type="dxa"/>
          </w:tcPr>
          <w:p w:rsidR="006D724E" w:rsidRPr="00F74116" w:rsidRDefault="006D724E" w:rsidP="00F74116">
            <w:pPr>
              <w:spacing w:after="0" w:line="285" w:lineRule="atLeast"/>
              <w:rPr>
                <w:rFonts w:ascii="Times New Roman" w:hAnsi="Times New Roman"/>
                <w:color w:val="000000"/>
                <w:sz w:val="24"/>
                <w:szCs w:val="24"/>
                <w:lang w:val="sr-Cyrl-CS"/>
              </w:rPr>
            </w:pPr>
            <w:r w:rsidRPr="00F74116">
              <w:rPr>
                <w:rFonts w:ascii="Times New Roman" w:hAnsi="Times New Roman"/>
                <w:color w:val="000000"/>
                <w:sz w:val="24"/>
                <w:szCs w:val="24"/>
                <w:lang w:val="sr-Cyrl-CS"/>
              </w:rPr>
              <w:t>Неприхватљива законска евазија</w:t>
            </w:r>
          </w:p>
        </w:tc>
        <w:tc>
          <w:tcPr>
            <w:tcW w:w="3466" w:type="dxa"/>
          </w:tcPr>
          <w:p w:rsidR="006D724E" w:rsidRPr="00F74116" w:rsidRDefault="006D724E" w:rsidP="00F74116">
            <w:pPr>
              <w:spacing w:after="0" w:line="285" w:lineRule="atLeast"/>
              <w:rPr>
                <w:rFonts w:ascii="Times New Roman" w:hAnsi="Times New Roman"/>
                <w:color w:val="000000"/>
                <w:sz w:val="24"/>
                <w:szCs w:val="24"/>
                <w:lang w:val="sr-Cyrl-CS"/>
              </w:rPr>
            </w:pPr>
            <w:r w:rsidRPr="00F74116">
              <w:rPr>
                <w:rFonts w:ascii="Times New Roman" w:hAnsi="Times New Roman"/>
                <w:color w:val="000000"/>
                <w:sz w:val="24"/>
                <w:szCs w:val="24"/>
                <w:lang w:val="sr-Cyrl-CS"/>
              </w:rPr>
              <w:t>24-28%</w:t>
            </w:r>
          </w:p>
        </w:tc>
        <w:tc>
          <w:tcPr>
            <w:tcW w:w="1627" w:type="dxa"/>
            <w:tcBorders>
              <w:right w:val="single" w:sz="4" w:space="0" w:color="auto"/>
            </w:tcBorders>
          </w:tcPr>
          <w:p w:rsidR="006D724E" w:rsidRPr="00F74116" w:rsidRDefault="006D724E" w:rsidP="00F74116">
            <w:pPr>
              <w:spacing w:after="0" w:line="285" w:lineRule="atLeast"/>
              <w:rPr>
                <w:rFonts w:ascii="Times New Roman" w:hAnsi="Times New Roman"/>
                <w:color w:val="000000"/>
                <w:sz w:val="24"/>
                <w:szCs w:val="24"/>
                <w:lang w:val="sr-Cyrl-CS"/>
              </w:rPr>
            </w:pPr>
            <w:r w:rsidRPr="00F74116">
              <w:rPr>
                <w:rFonts w:ascii="Times New Roman" w:hAnsi="Times New Roman"/>
                <w:color w:val="000000"/>
                <w:sz w:val="24"/>
                <w:szCs w:val="24"/>
                <w:lang w:val="sr-Cyrl-CS"/>
              </w:rPr>
              <w:t>28,036</w:t>
            </w:r>
          </w:p>
        </w:tc>
        <w:tc>
          <w:tcPr>
            <w:tcW w:w="1841" w:type="dxa"/>
            <w:tcBorders>
              <w:left w:val="single" w:sz="4" w:space="0" w:color="auto"/>
            </w:tcBorders>
          </w:tcPr>
          <w:p w:rsidR="006D724E" w:rsidRPr="00F74116" w:rsidRDefault="006D724E" w:rsidP="006D724E">
            <w:pPr>
              <w:spacing w:line="285" w:lineRule="atLeast"/>
              <w:ind w:left="117"/>
              <w:rPr>
                <w:rFonts w:ascii="Times New Roman" w:hAnsi="Times New Roman"/>
                <w:color w:val="000000"/>
                <w:sz w:val="24"/>
                <w:szCs w:val="24"/>
                <w:lang w:val="sr-Cyrl-CS"/>
              </w:rPr>
            </w:pPr>
            <w:r w:rsidRPr="00F74116">
              <w:rPr>
                <w:rFonts w:ascii="Times New Roman" w:hAnsi="Times New Roman"/>
                <w:color w:val="000000"/>
                <w:sz w:val="24"/>
                <w:szCs w:val="24"/>
                <w:lang w:val="sr-Cyrl-CS"/>
              </w:rPr>
              <w:t>33,643</w:t>
            </w:r>
          </w:p>
        </w:tc>
      </w:tr>
      <w:tr w:rsidR="006D724E" w:rsidRPr="00F74116" w:rsidTr="00120C2A">
        <w:trPr>
          <w:trHeight w:val="587"/>
        </w:trPr>
        <w:tc>
          <w:tcPr>
            <w:tcW w:w="2616" w:type="dxa"/>
          </w:tcPr>
          <w:p w:rsidR="006D724E" w:rsidRPr="00F74116" w:rsidRDefault="006D724E" w:rsidP="00F74116">
            <w:pPr>
              <w:shd w:val="clear" w:color="auto" w:fill="FFFFFF"/>
              <w:spacing w:after="0" w:line="285" w:lineRule="atLeast"/>
              <w:rPr>
                <w:rFonts w:ascii="Times New Roman" w:hAnsi="Times New Roman"/>
                <w:color w:val="000000"/>
                <w:sz w:val="24"/>
                <w:szCs w:val="24"/>
                <w:lang w:val="sr-Cyrl-CS"/>
              </w:rPr>
            </w:pPr>
            <w:r w:rsidRPr="00F74116">
              <w:rPr>
                <w:rFonts w:ascii="Times New Roman" w:hAnsi="Times New Roman"/>
                <w:color w:val="000000"/>
                <w:sz w:val="24"/>
                <w:szCs w:val="24"/>
                <w:lang w:val="sr-Cyrl-CS"/>
              </w:rPr>
              <w:t>Остали губици (нпр. стечај, неосновано истицање повраћаја претх. пореза)</w:t>
            </w:r>
          </w:p>
          <w:p w:rsidR="006D724E" w:rsidRPr="00F74116" w:rsidRDefault="006D724E" w:rsidP="00F74116">
            <w:pPr>
              <w:spacing w:after="0" w:line="285" w:lineRule="atLeast"/>
              <w:rPr>
                <w:rFonts w:ascii="Times New Roman" w:hAnsi="Times New Roman"/>
                <w:color w:val="000000"/>
                <w:sz w:val="24"/>
                <w:szCs w:val="24"/>
                <w:lang w:val="sr-Cyrl-CS"/>
              </w:rPr>
            </w:pPr>
          </w:p>
        </w:tc>
        <w:tc>
          <w:tcPr>
            <w:tcW w:w="3466" w:type="dxa"/>
          </w:tcPr>
          <w:p w:rsidR="006D724E" w:rsidRPr="00F74116" w:rsidRDefault="006D724E" w:rsidP="00F74116">
            <w:pPr>
              <w:spacing w:after="0" w:line="285" w:lineRule="atLeast"/>
              <w:rPr>
                <w:rFonts w:ascii="Times New Roman" w:hAnsi="Times New Roman"/>
                <w:color w:val="000000"/>
                <w:sz w:val="24"/>
                <w:szCs w:val="24"/>
                <w:lang w:val="sr-Cyrl-CS"/>
              </w:rPr>
            </w:pPr>
            <w:r w:rsidRPr="00F74116">
              <w:rPr>
                <w:rFonts w:ascii="Times New Roman" w:hAnsi="Times New Roman"/>
                <w:color w:val="000000"/>
                <w:sz w:val="24"/>
                <w:szCs w:val="24"/>
                <w:lang w:val="sr-Cyrl-CS"/>
              </w:rPr>
              <w:t>3-32%</w:t>
            </w:r>
          </w:p>
        </w:tc>
        <w:tc>
          <w:tcPr>
            <w:tcW w:w="1627" w:type="dxa"/>
            <w:tcBorders>
              <w:right w:val="single" w:sz="4" w:space="0" w:color="auto"/>
            </w:tcBorders>
          </w:tcPr>
          <w:p w:rsidR="006D724E" w:rsidRPr="00F74116" w:rsidRDefault="006D724E" w:rsidP="00F74116">
            <w:pPr>
              <w:spacing w:after="0" w:line="285" w:lineRule="atLeast"/>
              <w:rPr>
                <w:rFonts w:ascii="Times New Roman" w:hAnsi="Times New Roman"/>
                <w:color w:val="000000"/>
                <w:sz w:val="24"/>
                <w:szCs w:val="24"/>
                <w:lang w:val="sr-Cyrl-CS"/>
              </w:rPr>
            </w:pPr>
            <w:r w:rsidRPr="00F74116">
              <w:rPr>
                <w:rFonts w:ascii="Times New Roman" w:hAnsi="Times New Roman"/>
                <w:color w:val="000000"/>
                <w:sz w:val="24"/>
                <w:szCs w:val="24"/>
                <w:lang w:val="sr-Cyrl-CS"/>
              </w:rPr>
              <w:t>3,925</w:t>
            </w:r>
          </w:p>
        </w:tc>
        <w:tc>
          <w:tcPr>
            <w:tcW w:w="1841" w:type="dxa"/>
            <w:tcBorders>
              <w:left w:val="single" w:sz="4" w:space="0" w:color="auto"/>
            </w:tcBorders>
          </w:tcPr>
          <w:p w:rsidR="006D724E" w:rsidRPr="00F74116" w:rsidRDefault="006D724E" w:rsidP="006D724E">
            <w:pPr>
              <w:spacing w:line="285" w:lineRule="atLeast"/>
              <w:ind w:left="237"/>
              <w:rPr>
                <w:rFonts w:ascii="Times New Roman" w:hAnsi="Times New Roman"/>
                <w:color w:val="000000"/>
                <w:sz w:val="24"/>
                <w:szCs w:val="24"/>
                <w:lang w:val="sr-Cyrl-CS"/>
              </w:rPr>
            </w:pPr>
            <w:r w:rsidRPr="00F74116">
              <w:rPr>
                <w:rFonts w:ascii="Times New Roman" w:hAnsi="Times New Roman"/>
                <w:color w:val="000000"/>
                <w:sz w:val="24"/>
                <w:szCs w:val="24"/>
                <w:lang w:val="sr-Cyrl-CS"/>
              </w:rPr>
              <w:t>38,466</w:t>
            </w:r>
          </w:p>
        </w:tc>
      </w:tr>
      <w:tr w:rsidR="006D724E" w:rsidRPr="00F74116" w:rsidTr="00120C2A">
        <w:trPr>
          <w:trHeight w:val="620"/>
        </w:trPr>
        <w:tc>
          <w:tcPr>
            <w:tcW w:w="2616" w:type="dxa"/>
          </w:tcPr>
          <w:p w:rsidR="006D724E" w:rsidRPr="00F74116" w:rsidRDefault="006D724E" w:rsidP="00F74116">
            <w:pPr>
              <w:spacing w:after="0" w:line="285" w:lineRule="atLeast"/>
              <w:rPr>
                <w:rFonts w:ascii="Times New Roman" w:hAnsi="Times New Roman"/>
                <w:color w:val="000000"/>
                <w:sz w:val="24"/>
                <w:szCs w:val="24"/>
                <w:lang w:val="sr-Cyrl-CS"/>
              </w:rPr>
            </w:pPr>
            <w:r w:rsidRPr="00F74116">
              <w:rPr>
                <w:rFonts w:ascii="Times New Roman" w:hAnsi="Times New Roman"/>
                <w:color w:val="000000"/>
                <w:sz w:val="24"/>
                <w:szCs w:val="24"/>
                <w:lang w:val="sr-Cyrl-CS"/>
              </w:rPr>
              <w:t xml:space="preserve">Процењен ПДВ губитак у 2009. </w:t>
            </w:r>
            <w:r w:rsidRPr="00F74116">
              <w:rPr>
                <w:rFonts w:ascii="Times New Roman" w:hAnsi="Times New Roman"/>
                <w:color w:val="000000"/>
                <w:sz w:val="24"/>
                <w:szCs w:val="24"/>
                <w:lang w:val="sr-Cyrl-CS"/>
              </w:rPr>
              <w:lastRenderedPageBreak/>
              <w:t>Години (ЕУР)</w:t>
            </w:r>
          </w:p>
        </w:tc>
        <w:tc>
          <w:tcPr>
            <w:tcW w:w="3466" w:type="dxa"/>
          </w:tcPr>
          <w:p w:rsidR="006D724E" w:rsidRPr="00F74116" w:rsidRDefault="006D724E" w:rsidP="00F74116">
            <w:pPr>
              <w:spacing w:after="0" w:line="285" w:lineRule="atLeast"/>
              <w:rPr>
                <w:rFonts w:ascii="Times New Roman" w:hAnsi="Times New Roman"/>
                <w:color w:val="000000"/>
                <w:sz w:val="24"/>
                <w:szCs w:val="24"/>
                <w:lang w:val="sr-Cyrl-CS"/>
              </w:rPr>
            </w:pPr>
            <w:r w:rsidRPr="00F74116">
              <w:rPr>
                <w:rFonts w:ascii="Times New Roman" w:hAnsi="Times New Roman"/>
                <w:color w:val="000000"/>
                <w:sz w:val="24"/>
                <w:szCs w:val="24"/>
                <w:lang w:val="sr-Cyrl-CS"/>
              </w:rPr>
              <w:lastRenderedPageBreak/>
              <w:t>118.874.583.802</w:t>
            </w:r>
          </w:p>
        </w:tc>
        <w:tc>
          <w:tcPr>
            <w:tcW w:w="1627" w:type="dxa"/>
            <w:tcBorders>
              <w:right w:val="single" w:sz="4" w:space="0" w:color="auto"/>
            </w:tcBorders>
          </w:tcPr>
          <w:p w:rsidR="006D724E" w:rsidRPr="00F74116" w:rsidRDefault="006D724E" w:rsidP="00F74116">
            <w:pPr>
              <w:spacing w:after="0" w:line="285" w:lineRule="atLeast"/>
              <w:rPr>
                <w:rFonts w:ascii="Times New Roman" w:hAnsi="Times New Roman"/>
                <w:color w:val="000000"/>
                <w:sz w:val="24"/>
                <w:szCs w:val="24"/>
                <w:lang w:val="sr-Cyrl-CS"/>
              </w:rPr>
            </w:pPr>
          </w:p>
        </w:tc>
        <w:tc>
          <w:tcPr>
            <w:tcW w:w="1841" w:type="dxa"/>
            <w:tcBorders>
              <w:left w:val="single" w:sz="4" w:space="0" w:color="auto"/>
            </w:tcBorders>
          </w:tcPr>
          <w:p w:rsidR="006D724E" w:rsidRPr="00F74116" w:rsidRDefault="006D724E" w:rsidP="00F74116">
            <w:pPr>
              <w:spacing w:after="0" w:line="285" w:lineRule="atLeast"/>
              <w:rPr>
                <w:rFonts w:ascii="Times New Roman" w:hAnsi="Times New Roman"/>
                <w:color w:val="000000"/>
                <w:sz w:val="24"/>
                <w:szCs w:val="24"/>
                <w:lang w:val="sr-Cyrl-CS"/>
              </w:rPr>
            </w:pPr>
          </w:p>
        </w:tc>
      </w:tr>
    </w:tbl>
    <w:p w:rsidR="00CB4C5A" w:rsidRDefault="00CB4C5A" w:rsidP="00FF51AE">
      <w:pPr>
        <w:shd w:val="clear" w:color="auto" w:fill="FFFFFF"/>
        <w:spacing w:after="0" w:line="285" w:lineRule="atLeast"/>
        <w:ind w:left="1069"/>
        <w:rPr>
          <w:rFonts w:ascii="Times New Roman" w:hAnsi="Times New Roman"/>
          <w:color w:val="000000"/>
          <w:sz w:val="24"/>
          <w:szCs w:val="24"/>
          <w:lang w:val="sr-Cyrl-CS"/>
        </w:rPr>
      </w:pPr>
    </w:p>
    <w:p w:rsidR="00CB4C5A" w:rsidRDefault="00CB4C5A" w:rsidP="00FF51AE">
      <w:pPr>
        <w:shd w:val="clear" w:color="auto" w:fill="FFFFFF"/>
        <w:spacing w:after="0" w:line="285" w:lineRule="atLeast"/>
        <w:ind w:left="1069"/>
        <w:rPr>
          <w:rFonts w:ascii="Times New Roman" w:hAnsi="Times New Roman"/>
          <w:color w:val="000000"/>
          <w:sz w:val="24"/>
          <w:szCs w:val="24"/>
          <w:lang w:val="sr-Cyrl-CS"/>
        </w:rPr>
      </w:pPr>
    </w:p>
    <w:p w:rsidR="00CB4C5A" w:rsidRDefault="0080067B" w:rsidP="00951AEB">
      <w:pPr>
        <w:ind w:firstLine="708"/>
        <w:jc w:val="both"/>
        <w:rPr>
          <w:rFonts w:ascii="Times New Roman" w:hAnsi="Times New Roman"/>
          <w:sz w:val="24"/>
          <w:szCs w:val="24"/>
          <w:shd w:val="clear" w:color="auto" w:fill="FFFFFF"/>
          <w:lang w:val="sr-Cyrl-CS"/>
        </w:rPr>
      </w:pPr>
      <w:r w:rsidRPr="0080067B">
        <w:rPr>
          <w:rFonts w:ascii="Times New Roman" w:hAnsi="Times New Roman"/>
          <w:sz w:val="24"/>
          <w:szCs w:val="24"/>
          <w:shd w:val="clear" w:color="auto" w:fill="FFFFFF"/>
          <w:lang w:val="sr-Cyrl-CS"/>
        </w:rPr>
        <w:t xml:space="preserve">У Републици Србији је од  1. јануара до </w:t>
      </w:r>
      <w:r w:rsidR="007D135D">
        <w:rPr>
          <w:rFonts w:ascii="Times New Roman" w:hAnsi="Times New Roman"/>
          <w:sz w:val="24"/>
          <w:szCs w:val="24"/>
          <w:shd w:val="clear" w:color="auto" w:fill="FFFFFF"/>
          <w:lang w:val="sr-Cyrl-CS"/>
        </w:rPr>
        <w:t>10. о</w:t>
      </w:r>
      <w:r>
        <w:rPr>
          <w:rFonts w:ascii="Times New Roman" w:hAnsi="Times New Roman"/>
          <w:sz w:val="24"/>
          <w:szCs w:val="24"/>
          <w:shd w:val="clear" w:color="auto" w:fill="FFFFFF"/>
          <w:lang w:val="sr-Cyrl-CS"/>
        </w:rPr>
        <w:t xml:space="preserve">ктобра </w:t>
      </w:r>
      <w:r w:rsidR="00C63930">
        <w:rPr>
          <w:rFonts w:ascii="Times New Roman" w:hAnsi="Times New Roman"/>
          <w:sz w:val="24"/>
          <w:szCs w:val="24"/>
          <w:shd w:val="clear" w:color="auto" w:fill="FFFFFF"/>
          <w:lang w:val="sr-Cyrl-CS"/>
        </w:rPr>
        <w:t xml:space="preserve">2013. године </w:t>
      </w:r>
      <w:r>
        <w:rPr>
          <w:rFonts w:ascii="Times New Roman" w:hAnsi="Times New Roman"/>
          <w:sz w:val="24"/>
          <w:szCs w:val="24"/>
          <w:shd w:val="clear" w:color="auto" w:fill="FFFFFF"/>
          <w:lang w:val="sr-Cyrl-CS"/>
        </w:rPr>
        <w:t>по основу ПДВ наплаћено укупно 164,2 милијарде динара. На</w:t>
      </w:r>
      <w:r w:rsidR="005548CD">
        <w:rPr>
          <w:rFonts w:ascii="Times New Roman" w:hAnsi="Times New Roman"/>
          <w:sz w:val="24"/>
          <w:szCs w:val="24"/>
          <w:shd w:val="clear" w:color="auto" w:fill="FFFFFF"/>
          <w:lang w:val="sr-Cyrl-CS"/>
        </w:rPr>
        <w:t xml:space="preserve"> домаћем тржишту наплаћено је 78,6</w:t>
      </w:r>
      <w:r>
        <w:rPr>
          <w:rFonts w:ascii="Times New Roman" w:hAnsi="Times New Roman"/>
          <w:sz w:val="24"/>
          <w:szCs w:val="24"/>
          <w:shd w:val="clear" w:color="auto" w:fill="FFFFFF"/>
          <w:lang w:val="sr-Cyrl-CS"/>
        </w:rPr>
        <w:t xml:space="preserve"> милијарди динара, ПДВ по основу увоза је износио </w:t>
      </w:r>
      <w:r w:rsidR="005548CD">
        <w:rPr>
          <w:rFonts w:ascii="Times New Roman" w:hAnsi="Times New Roman"/>
          <w:sz w:val="24"/>
          <w:szCs w:val="24"/>
          <w:shd w:val="clear" w:color="auto" w:fill="FFFFFF"/>
          <w:lang w:val="sr-Cyrl-CS"/>
        </w:rPr>
        <w:t>85,5 милијарди динара, док је укупно наплаћени ПДВ приликом допремања робе са територије Косова и Метохије био 52,4 милиона динара. Од укупно наплаћеног износа ПДВ-а пореским обвезницима је враћено 18,2 милијарде динара. Пореска полиција је од јануара до септембра 2013. године поднела 776 кривичних пријава због избегавања плаћања пореза, 153 због неуплаћивања пореза по одбитку, као и 265 пријава због фалсификовања документације. Поднете су 134 пријаве због угрожавања наплате пореза, 25 због недозвољеног промета акцизним производима и 50 пријава због недозвољеног складиштења робе. Према поднетим пријавама укупан износ избегнутог пореза износи 6,2 милијарде динара.</w:t>
      </w:r>
      <w:r>
        <w:rPr>
          <w:rStyle w:val="FootnoteReference"/>
          <w:rFonts w:ascii="Arial" w:hAnsi="Arial" w:cs="Arial"/>
          <w:color w:val="444444"/>
          <w:sz w:val="18"/>
          <w:szCs w:val="18"/>
          <w:shd w:val="clear" w:color="auto" w:fill="FFFFFF"/>
        </w:rPr>
        <w:footnoteReference w:id="389"/>
      </w:r>
    </w:p>
    <w:p w:rsidR="00E33AC1" w:rsidRDefault="00E75F11" w:rsidP="00E75F11">
      <w:pPr>
        <w:ind w:firstLine="708"/>
        <w:jc w:val="both"/>
        <w:rPr>
          <w:rFonts w:ascii="Times New Roman" w:hAnsi="Times New Roman"/>
          <w:sz w:val="24"/>
          <w:szCs w:val="24"/>
          <w:shd w:val="clear" w:color="auto" w:fill="FFFFFF"/>
          <w:lang w:val="sr-Cyrl-CS"/>
        </w:rPr>
      </w:pPr>
      <w:r w:rsidRPr="00E75F11">
        <w:rPr>
          <w:rFonts w:ascii="Times New Roman" w:hAnsi="Times New Roman"/>
          <w:sz w:val="24"/>
          <w:szCs w:val="24"/>
          <w:shd w:val="clear" w:color="auto" w:fill="FFFFFF"/>
          <w:lang w:val="sr-Cyrl-CS"/>
        </w:rPr>
        <w:t>Приходи по основу ПДВ реално су виши за 9,2% у јануару 2013. године, у односу на јануар 2012. У склопу мера фискалне консолидације је и повећање опште стопе ПДВ са 18% на 20%, што ће имати значајног утицаја на остварење у 2013. Номинални раст износи 23,2%. Нето домаћи ПДВ је номинално виши 16,7%, а реално 3,5%, у односу на исти период претходне године. Бруто наплата домаћег ПДВ реално је нижа за 10,2%, а номинално 1,3% виша, у односу на исти период претходне године. ПДВ из увоза, са друге стране, бележи номинални раст од 30,1%, а реални раст од 15,3%. Повраћај ПДВ-а је остварио номинални и реални пад од 16,4%, односно 25,9%. Овде треба истаћи да је у јануару 2012. године извршен повраћај ПДВ из децембра 2011. године у износу од 4,3 млрд динара</w:t>
      </w:r>
      <w:r w:rsidR="00E33AC1">
        <w:rPr>
          <w:rStyle w:val="FootnoteReference"/>
          <w:rFonts w:ascii="Times New Roman" w:hAnsi="Times New Roman"/>
          <w:sz w:val="24"/>
          <w:szCs w:val="24"/>
          <w:shd w:val="clear" w:color="auto" w:fill="FFFFFF"/>
          <w:lang w:val="sr-Cyrl-CS"/>
        </w:rPr>
        <w:footnoteReference w:id="390"/>
      </w:r>
      <w:r>
        <w:rPr>
          <w:rFonts w:ascii="Times New Roman" w:hAnsi="Times New Roman"/>
          <w:sz w:val="24"/>
          <w:szCs w:val="24"/>
          <w:shd w:val="clear" w:color="auto" w:fill="FFFFFF"/>
          <w:lang w:val="sr-Cyrl-CS"/>
        </w:rPr>
        <w:t>.</w:t>
      </w:r>
      <w:r w:rsidR="00E33AC1">
        <w:rPr>
          <w:rFonts w:ascii="Times New Roman" w:hAnsi="Times New Roman"/>
          <w:sz w:val="24"/>
          <w:szCs w:val="24"/>
          <w:shd w:val="clear" w:color="auto" w:fill="FFFFFF"/>
          <w:lang w:val="sr-Cyrl-CS"/>
        </w:rPr>
        <w:t xml:space="preserve"> </w:t>
      </w:r>
    </w:p>
    <w:p w:rsidR="0041421C" w:rsidRDefault="00E33AC1" w:rsidP="00E75F11">
      <w:pPr>
        <w:ind w:firstLine="708"/>
        <w:jc w:val="both"/>
        <w:rPr>
          <w:rFonts w:ascii="Times New Roman" w:hAnsi="Times New Roman"/>
          <w:sz w:val="24"/>
          <w:szCs w:val="24"/>
          <w:shd w:val="clear" w:color="auto" w:fill="FFFFFF"/>
          <w:lang w:val="sr-Cyrl-CS"/>
        </w:rPr>
      </w:pPr>
      <w:r>
        <w:rPr>
          <w:rFonts w:ascii="Times New Roman" w:hAnsi="Times New Roman"/>
          <w:sz w:val="24"/>
          <w:szCs w:val="24"/>
          <w:shd w:val="clear" w:color="auto" w:fill="FFFFFF"/>
          <w:lang w:val="sr-Cyrl-CS"/>
        </w:rPr>
        <w:t>Оствар</w:t>
      </w:r>
      <w:r w:rsidR="004B6685">
        <w:rPr>
          <w:rFonts w:ascii="Times New Roman" w:hAnsi="Times New Roman"/>
          <w:sz w:val="24"/>
          <w:szCs w:val="24"/>
          <w:shd w:val="clear" w:color="auto" w:fill="FFFFFF"/>
          <w:lang w:val="sr-Cyrl-CS"/>
        </w:rPr>
        <w:t>е</w:t>
      </w:r>
      <w:r>
        <w:rPr>
          <w:rFonts w:ascii="Times New Roman" w:hAnsi="Times New Roman"/>
          <w:sz w:val="24"/>
          <w:szCs w:val="24"/>
          <w:shd w:val="clear" w:color="auto" w:fill="FFFFFF"/>
          <w:lang w:val="sr-Cyrl-CS"/>
        </w:rPr>
        <w:t>н порески приход од ПДВ за 2005. годину износио је 215.938.</w:t>
      </w:r>
      <w:r w:rsidRPr="00E33AC1">
        <w:rPr>
          <w:rFonts w:ascii="Times New Roman" w:hAnsi="Times New Roman"/>
          <w:sz w:val="24"/>
          <w:szCs w:val="24"/>
          <w:shd w:val="clear" w:color="auto" w:fill="FFFFFF"/>
          <w:lang w:val="sr-Cyrl-CS"/>
        </w:rPr>
        <w:t>5</w:t>
      </w:r>
      <w:r>
        <w:rPr>
          <w:rFonts w:ascii="Times New Roman" w:hAnsi="Times New Roman"/>
          <w:sz w:val="24"/>
          <w:szCs w:val="24"/>
          <w:shd w:val="clear" w:color="auto" w:fill="FFFFFF"/>
          <w:lang w:val="sr-Cyrl-CS"/>
        </w:rPr>
        <w:t>00,000 динара. Оствар</w:t>
      </w:r>
      <w:r w:rsidR="00C63930">
        <w:rPr>
          <w:rFonts w:ascii="Times New Roman" w:hAnsi="Times New Roman"/>
          <w:sz w:val="24"/>
          <w:szCs w:val="24"/>
          <w:shd w:val="clear" w:color="auto" w:fill="FFFFFF"/>
          <w:lang w:val="sr-Cyrl-CS"/>
        </w:rPr>
        <w:t>е</w:t>
      </w:r>
      <w:r>
        <w:rPr>
          <w:rFonts w:ascii="Times New Roman" w:hAnsi="Times New Roman"/>
          <w:sz w:val="24"/>
          <w:szCs w:val="24"/>
          <w:shd w:val="clear" w:color="auto" w:fill="FFFFFF"/>
          <w:lang w:val="sr-Cyrl-CS"/>
        </w:rPr>
        <w:t>н порески приход од ПДВ за 2010. годину износио је 319.369.400,000 динара. У 2011. години остварен приход је износио 342.445.700,000 динара. Тенденција пораста прихода се наставља па у 2012. години износи 367.471.</w:t>
      </w:r>
      <w:r w:rsidRPr="00E33AC1">
        <w:rPr>
          <w:rFonts w:ascii="Times New Roman" w:hAnsi="Times New Roman"/>
          <w:sz w:val="24"/>
          <w:szCs w:val="24"/>
          <w:shd w:val="clear" w:color="auto" w:fill="FFFFFF"/>
          <w:lang w:val="sr-Cyrl-CS"/>
        </w:rPr>
        <w:t>8</w:t>
      </w:r>
      <w:r>
        <w:rPr>
          <w:rFonts w:ascii="Times New Roman" w:hAnsi="Times New Roman"/>
          <w:sz w:val="24"/>
          <w:szCs w:val="24"/>
          <w:shd w:val="clear" w:color="auto" w:fill="FFFFFF"/>
          <w:lang w:val="sr-Cyrl-CS"/>
        </w:rPr>
        <w:t>00,000 динара</w:t>
      </w:r>
      <w:r>
        <w:rPr>
          <w:rStyle w:val="FootnoteReference"/>
          <w:rFonts w:ascii="Times New Roman" w:hAnsi="Times New Roman"/>
          <w:sz w:val="24"/>
          <w:szCs w:val="24"/>
          <w:shd w:val="clear" w:color="auto" w:fill="FFFFFF"/>
          <w:lang w:val="sr-Cyrl-CS"/>
        </w:rPr>
        <w:footnoteReference w:id="391"/>
      </w:r>
      <w:r>
        <w:rPr>
          <w:rFonts w:ascii="Times New Roman" w:hAnsi="Times New Roman"/>
          <w:sz w:val="24"/>
          <w:szCs w:val="24"/>
          <w:shd w:val="clear" w:color="auto" w:fill="FFFFFF"/>
          <w:lang w:val="sr-Cyrl-CS"/>
        </w:rPr>
        <w:t>.</w:t>
      </w:r>
    </w:p>
    <w:p w:rsidR="00953489" w:rsidRDefault="00953489" w:rsidP="007A7ECC">
      <w:pPr>
        <w:ind w:firstLine="708"/>
        <w:jc w:val="both"/>
        <w:rPr>
          <w:rFonts w:ascii="Times New Roman" w:hAnsi="Times New Roman"/>
          <w:sz w:val="24"/>
          <w:szCs w:val="24"/>
          <w:shd w:val="clear" w:color="auto" w:fill="FFFFFF"/>
          <w:lang w:val="sr-Cyrl-CS"/>
        </w:rPr>
      </w:pPr>
      <w:r>
        <w:rPr>
          <w:rFonts w:ascii="Times New Roman" w:hAnsi="Times New Roman"/>
          <w:sz w:val="24"/>
          <w:szCs w:val="24"/>
          <w:shd w:val="clear" w:color="auto" w:fill="FFFFFF"/>
          <w:lang w:val="sr-Cyrl-CS"/>
        </w:rPr>
        <w:t>У првој години примене ПДВ-а, током 2005. године, износ избегнутог пореза по поднетим кривичним пријавама износио је 8.725.957.481,06 динара, од чега се на избегавање ПДВ-а односило 448.091.278,74 динара или 5,14%. У 2006. години поднетим кривичним пријавама обухваћен је укупан износ избег</w:t>
      </w:r>
      <w:r w:rsidR="007A7ECC">
        <w:rPr>
          <w:rFonts w:ascii="Times New Roman" w:hAnsi="Times New Roman"/>
          <w:sz w:val="24"/>
          <w:szCs w:val="24"/>
          <w:shd w:val="clear" w:color="auto" w:fill="FFFFFF"/>
          <w:lang w:val="sr-Cyrl-CS"/>
        </w:rPr>
        <w:t>нутог пореза од 18.148.625.898,</w:t>
      </w:r>
      <w:r>
        <w:rPr>
          <w:rFonts w:ascii="Times New Roman" w:hAnsi="Times New Roman"/>
          <w:sz w:val="24"/>
          <w:szCs w:val="24"/>
          <w:shd w:val="clear" w:color="auto" w:fill="FFFFFF"/>
          <w:lang w:val="sr-Cyrl-CS"/>
        </w:rPr>
        <w:t xml:space="preserve">14 динара од чега се 5.310.157.259,65 динара или 29,26% одоси на избегавање ПДВ-а. Током 2007. године укупан обим избегнутог пореза који је обухваћен кривичним пријавама износио је 19.487.119.541,71 динара, од тог износа </w:t>
      </w:r>
      <w:r>
        <w:rPr>
          <w:rFonts w:ascii="Times New Roman" w:hAnsi="Times New Roman"/>
          <w:sz w:val="24"/>
          <w:szCs w:val="24"/>
          <w:shd w:val="clear" w:color="auto" w:fill="FFFFFF"/>
          <w:lang w:val="sr-Cyrl-CS"/>
        </w:rPr>
        <w:lastRenderedPageBreak/>
        <w:t>6.123.332.933</w:t>
      </w:r>
      <w:r w:rsidR="00684250">
        <w:rPr>
          <w:rFonts w:ascii="Times New Roman" w:hAnsi="Times New Roman"/>
          <w:sz w:val="24"/>
          <w:szCs w:val="24"/>
          <w:shd w:val="clear" w:color="auto" w:fill="FFFFFF"/>
          <w:lang w:val="sr-Cyrl-CS"/>
        </w:rPr>
        <w:t>,97 или 31,42% односи се на откривене утаје пореза на додату вредност и ПДВ преваре. Током 2008. године укупан обим избегнутог пореза који је обухваћен кривичним пријавама износио је 18.103.149.138,73 динара, од чега се на откривене утаје пореза на додату вредност и ПДВ преваре односи 6.385.167.244,99 динара или 35,27%. У 2009. години укупан обим избегнутог пореза који је обухваћен кривичним пријавама износио је 14.528.248.884,34 од чега се на откривене утаје пореза на додату вредност и ПДВ преваре односи 4.594.791.740,95 динара или 31,63%. У периоду од 2005.-2009. године пријављена лица су избегла плаћање ПДВ у укупном износу од 22,9 милијарди динара. Тенденција избегавања ПДВ по месецима од 2005. до 2009. године</w:t>
      </w:r>
      <w:r w:rsidR="007A7ECC">
        <w:rPr>
          <w:rFonts w:ascii="Times New Roman" w:hAnsi="Times New Roman"/>
          <w:sz w:val="24"/>
          <w:szCs w:val="24"/>
          <w:shd w:val="clear" w:color="auto" w:fill="FFFFFF"/>
          <w:lang w:val="sr-Cyrl-CS"/>
        </w:rPr>
        <w:t xml:space="preserve"> илу</w:t>
      </w:r>
      <w:r w:rsidR="00684250">
        <w:rPr>
          <w:rFonts w:ascii="Times New Roman" w:hAnsi="Times New Roman"/>
          <w:sz w:val="24"/>
          <w:szCs w:val="24"/>
          <w:shd w:val="clear" w:color="auto" w:fill="FFFFFF"/>
          <w:lang w:val="sr-Cyrl-CS"/>
        </w:rPr>
        <w:t>струје следећа крива:</w:t>
      </w:r>
      <w:r w:rsidR="00684250">
        <w:rPr>
          <w:rStyle w:val="FootnoteReference"/>
          <w:rFonts w:ascii="Times New Roman" w:hAnsi="Times New Roman"/>
          <w:sz w:val="24"/>
          <w:szCs w:val="24"/>
          <w:shd w:val="clear" w:color="auto" w:fill="FFFFFF"/>
          <w:lang w:val="sr-Cyrl-CS"/>
        </w:rPr>
        <w:footnoteReference w:id="392"/>
      </w:r>
    </w:p>
    <w:p w:rsidR="00FB5A28" w:rsidRDefault="00FB5A28" w:rsidP="007A7ECC">
      <w:pPr>
        <w:ind w:firstLine="708"/>
        <w:jc w:val="both"/>
        <w:rPr>
          <w:rFonts w:ascii="Times New Roman" w:hAnsi="Times New Roman"/>
          <w:sz w:val="24"/>
          <w:szCs w:val="24"/>
          <w:shd w:val="clear" w:color="auto" w:fill="FFFFFF"/>
          <w:lang w:val="sr-Cyrl-CS"/>
        </w:rPr>
      </w:pPr>
    </w:p>
    <w:p w:rsidR="00953489" w:rsidRDefault="00001DEB" w:rsidP="00E75F11">
      <w:pPr>
        <w:ind w:firstLine="708"/>
        <w:jc w:val="both"/>
        <w:rPr>
          <w:rFonts w:ascii="Times New Roman" w:hAnsi="Times New Roman"/>
          <w:sz w:val="24"/>
          <w:szCs w:val="24"/>
          <w:shd w:val="clear" w:color="auto" w:fill="FFFFFF"/>
          <w:lang w:val="sr-Cyrl-CS"/>
        </w:rPr>
      </w:pPr>
      <w:r>
        <w:rPr>
          <w:rFonts w:ascii="Times New Roman" w:hAnsi="Times New Roman"/>
          <w:sz w:val="24"/>
          <w:szCs w:val="24"/>
          <w:shd w:val="clear" w:color="auto" w:fill="FFFFFF"/>
          <w:lang w:val="sr-Cyrl-CS"/>
        </w:rPr>
        <w:t>Слика 13</w:t>
      </w:r>
      <w:r w:rsidR="009D2514">
        <w:rPr>
          <w:rFonts w:ascii="Times New Roman" w:hAnsi="Times New Roman"/>
          <w:sz w:val="24"/>
          <w:szCs w:val="24"/>
          <w:shd w:val="clear" w:color="auto" w:fill="FFFFFF"/>
          <w:lang w:val="sr-Cyrl-CS"/>
        </w:rPr>
        <w:t>.</w:t>
      </w:r>
    </w:p>
    <w:p w:rsidR="00953489" w:rsidRDefault="00953489" w:rsidP="00953489">
      <w:pPr>
        <w:jc w:val="both"/>
        <w:rPr>
          <w:rFonts w:ascii="Times New Roman" w:hAnsi="Times New Roman"/>
          <w:sz w:val="24"/>
          <w:szCs w:val="24"/>
          <w:shd w:val="clear" w:color="auto" w:fill="FFFFFF"/>
          <w:lang w:val="sr-Cyrl-CS"/>
        </w:rPr>
      </w:pPr>
      <w:r>
        <w:rPr>
          <w:rFonts w:ascii="Times New Roman" w:hAnsi="Times New Roman"/>
          <w:noProof/>
          <w:sz w:val="24"/>
          <w:szCs w:val="24"/>
          <w:shd w:val="clear" w:color="auto" w:fill="FFFFFF"/>
        </w:rPr>
        <w:drawing>
          <wp:inline distT="0" distB="0" distL="0" distR="0">
            <wp:extent cx="5760085" cy="3073578"/>
            <wp:effectExtent l="1905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a:stretch>
                      <a:fillRect/>
                    </a:stretch>
                  </pic:blipFill>
                  <pic:spPr bwMode="auto">
                    <a:xfrm>
                      <a:off x="0" y="0"/>
                      <a:ext cx="5760085" cy="3073578"/>
                    </a:xfrm>
                    <a:prstGeom prst="rect">
                      <a:avLst/>
                    </a:prstGeom>
                    <a:noFill/>
                    <a:ln w="9525">
                      <a:noFill/>
                      <a:miter lim="800000"/>
                      <a:headEnd/>
                      <a:tailEnd/>
                    </a:ln>
                  </pic:spPr>
                </pic:pic>
              </a:graphicData>
            </a:graphic>
          </wp:inline>
        </w:drawing>
      </w:r>
    </w:p>
    <w:p w:rsidR="00953489" w:rsidRDefault="00953489" w:rsidP="00E75F11">
      <w:pPr>
        <w:ind w:firstLine="708"/>
        <w:jc w:val="both"/>
        <w:rPr>
          <w:rFonts w:ascii="Times New Roman" w:hAnsi="Times New Roman"/>
          <w:sz w:val="24"/>
          <w:szCs w:val="24"/>
          <w:shd w:val="clear" w:color="auto" w:fill="FFFFFF"/>
          <w:lang w:val="sr-Cyrl-CS"/>
        </w:rPr>
      </w:pPr>
    </w:p>
    <w:p w:rsidR="00953489" w:rsidRDefault="00953489" w:rsidP="007A7ECC">
      <w:pPr>
        <w:jc w:val="both"/>
        <w:rPr>
          <w:rFonts w:ascii="Times New Roman" w:hAnsi="Times New Roman"/>
          <w:sz w:val="24"/>
          <w:szCs w:val="24"/>
          <w:shd w:val="clear" w:color="auto" w:fill="FFFFFF"/>
          <w:lang w:val="sr-Cyrl-CS"/>
        </w:rPr>
      </w:pPr>
    </w:p>
    <w:p w:rsidR="00EE5E71" w:rsidRDefault="00951AEB" w:rsidP="00E75F11">
      <w:pPr>
        <w:ind w:firstLine="708"/>
        <w:jc w:val="both"/>
        <w:rPr>
          <w:rFonts w:ascii="Times New Roman" w:hAnsi="Times New Roman"/>
          <w:sz w:val="24"/>
          <w:szCs w:val="24"/>
          <w:shd w:val="clear" w:color="auto" w:fill="FFFFFF"/>
          <w:lang w:val="sr-Cyrl-CS"/>
        </w:rPr>
      </w:pPr>
      <w:r>
        <w:rPr>
          <w:rFonts w:ascii="Times New Roman" w:hAnsi="Times New Roman"/>
          <w:sz w:val="24"/>
          <w:szCs w:val="24"/>
          <w:shd w:val="clear" w:color="auto" w:fill="FFFFFF"/>
          <w:lang w:val="sr-Cyrl-CS"/>
        </w:rPr>
        <w:t>У литератури</w:t>
      </w:r>
      <w:r>
        <w:rPr>
          <w:rStyle w:val="FootnoteReference"/>
          <w:rFonts w:ascii="Times New Roman" w:hAnsi="Times New Roman"/>
          <w:sz w:val="24"/>
          <w:szCs w:val="24"/>
          <w:shd w:val="clear" w:color="auto" w:fill="FFFFFF"/>
          <w:lang w:val="sr-Cyrl-CS"/>
        </w:rPr>
        <w:footnoteReference w:id="393"/>
      </w:r>
      <w:r>
        <w:rPr>
          <w:rFonts w:ascii="Times New Roman" w:hAnsi="Times New Roman"/>
          <w:sz w:val="24"/>
          <w:szCs w:val="24"/>
          <w:shd w:val="clear" w:color="auto" w:fill="FFFFFF"/>
          <w:lang w:val="sr-Cyrl-CS"/>
        </w:rPr>
        <w:t xml:space="preserve"> су бројне поделе облика евазије пореза на додату вредност, а као најчешћи облици се помињу:</w:t>
      </w:r>
    </w:p>
    <w:p w:rsidR="00951AEB" w:rsidRDefault="00951AEB" w:rsidP="008A3795">
      <w:pPr>
        <w:numPr>
          <w:ilvl w:val="0"/>
          <w:numId w:val="23"/>
        </w:numPr>
        <w:jc w:val="both"/>
        <w:rPr>
          <w:rFonts w:ascii="Times New Roman" w:hAnsi="Times New Roman"/>
          <w:sz w:val="24"/>
          <w:szCs w:val="24"/>
          <w:shd w:val="clear" w:color="auto" w:fill="FFFFFF"/>
          <w:lang w:val="sr-Cyrl-CS"/>
        </w:rPr>
      </w:pPr>
      <w:r>
        <w:rPr>
          <w:rFonts w:ascii="Times New Roman" w:hAnsi="Times New Roman"/>
          <w:sz w:val="24"/>
          <w:szCs w:val="24"/>
          <w:shd w:val="clear" w:color="auto" w:fill="FFFFFF"/>
          <w:lang w:val="sr-Cyrl-CS"/>
        </w:rPr>
        <w:lastRenderedPageBreak/>
        <w:t>коришћење лажних фактура;</w:t>
      </w:r>
    </w:p>
    <w:p w:rsidR="00951AEB" w:rsidRDefault="00951AEB" w:rsidP="008A3795">
      <w:pPr>
        <w:numPr>
          <w:ilvl w:val="0"/>
          <w:numId w:val="23"/>
        </w:numPr>
        <w:jc w:val="both"/>
        <w:rPr>
          <w:rFonts w:ascii="Times New Roman" w:hAnsi="Times New Roman"/>
          <w:sz w:val="24"/>
          <w:szCs w:val="24"/>
          <w:shd w:val="clear" w:color="auto" w:fill="FFFFFF"/>
          <w:lang w:val="sr-Cyrl-CS"/>
        </w:rPr>
      </w:pPr>
      <w:r>
        <w:rPr>
          <w:rFonts w:ascii="Times New Roman" w:hAnsi="Times New Roman"/>
          <w:sz w:val="24"/>
          <w:szCs w:val="24"/>
          <w:shd w:val="clear" w:color="auto" w:fill="FFFFFF"/>
          <w:lang w:val="sr-Cyrl-CS"/>
        </w:rPr>
        <w:t>пословање са фантом предузећима;</w:t>
      </w:r>
    </w:p>
    <w:p w:rsidR="00951AEB" w:rsidRDefault="00951AEB" w:rsidP="008A3795">
      <w:pPr>
        <w:numPr>
          <w:ilvl w:val="0"/>
          <w:numId w:val="23"/>
        </w:numPr>
        <w:jc w:val="both"/>
        <w:rPr>
          <w:rFonts w:ascii="Times New Roman" w:hAnsi="Times New Roman"/>
          <w:sz w:val="24"/>
          <w:szCs w:val="24"/>
          <w:shd w:val="clear" w:color="auto" w:fill="FFFFFF"/>
          <w:lang w:val="sr-Cyrl-CS"/>
        </w:rPr>
      </w:pPr>
      <w:r>
        <w:rPr>
          <w:rFonts w:ascii="Times New Roman" w:hAnsi="Times New Roman"/>
          <w:sz w:val="24"/>
          <w:szCs w:val="24"/>
          <w:shd w:val="clear" w:color="auto" w:fill="FFFFFF"/>
          <w:lang w:val="sr-Cyrl-CS"/>
        </w:rPr>
        <w:t>неевидентирање укупно оствареног промета;</w:t>
      </w:r>
    </w:p>
    <w:p w:rsidR="00951AEB" w:rsidRDefault="00951AEB" w:rsidP="008A3795">
      <w:pPr>
        <w:numPr>
          <w:ilvl w:val="0"/>
          <w:numId w:val="23"/>
        </w:numPr>
        <w:jc w:val="both"/>
        <w:rPr>
          <w:rFonts w:ascii="Times New Roman" w:hAnsi="Times New Roman"/>
          <w:sz w:val="24"/>
          <w:szCs w:val="24"/>
          <w:shd w:val="clear" w:color="auto" w:fill="FFFFFF"/>
          <w:lang w:val="sr-Cyrl-CS"/>
        </w:rPr>
      </w:pPr>
      <w:r>
        <w:rPr>
          <w:rFonts w:ascii="Times New Roman" w:hAnsi="Times New Roman"/>
          <w:sz w:val="24"/>
          <w:szCs w:val="24"/>
          <w:shd w:val="clear" w:color="auto" w:fill="FFFFFF"/>
          <w:lang w:val="sr-Cyrl-CS"/>
        </w:rPr>
        <w:t>неподношење ПДВ пријаве</w:t>
      </w:r>
      <w:r w:rsidR="00954516">
        <w:rPr>
          <w:rFonts w:ascii="Times New Roman" w:hAnsi="Times New Roman"/>
          <w:sz w:val="24"/>
          <w:szCs w:val="24"/>
          <w:shd w:val="clear" w:color="auto" w:fill="FFFFFF"/>
          <w:lang w:val="sr-Cyrl-CS"/>
        </w:rPr>
        <w:t xml:space="preserve"> (пореске и евиденционе)</w:t>
      </w:r>
      <w:r>
        <w:rPr>
          <w:rFonts w:ascii="Times New Roman" w:hAnsi="Times New Roman"/>
          <w:sz w:val="24"/>
          <w:szCs w:val="24"/>
          <w:shd w:val="clear" w:color="auto" w:fill="FFFFFF"/>
          <w:lang w:val="sr-Cyrl-CS"/>
        </w:rPr>
        <w:t>;</w:t>
      </w:r>
    </w:p>
    <w:p w:rsidR="00951AEB" w:rsidRDefault="00951AEB" w:rsidP="008A3795">
      <w:pPr>
        <w:numPr>
          <w:ilvl w:val="0"/>
          <w:numId w:val="23"/>
        </w:numPr>
        <w:jc w:val="both"/>
        <w:rPr>
          <w:rFonts w:ascii="Times New Roman" w:hAnsi="Times New Roman"/>
          <w:sz w:val="24"/>
          <w:szCs w:val="24"/>
          <w:shd w:val="clear" w:color="auto" w:fill="FFFFFF"/>
          <w:lang w:val="sr-Cyrl-CS"/>
        </w:rPr>
      </w:pPr>
      <w:r>
        <w:rPr>
          <w:rFonts w:ascii="Times New Roman" w:hAnsi="Times New Roman"/>
          <w:sz w:val="24"/>
          <w:szCs w:val="24"/>
          <w:shd w:val="clear" w:color="auto" w:fill="FFFFFF"/>
          <w:lang w:val="sr-Cyrl-CS"/>
        </w:rPr>
        <w:t>давање лажних података о чињеницама које су од значаја за обрачун и плаћање ПДВ-а;</w:t>
      </w:r>
      <w:r w:rsidR="002F022B">
        <w:rPr>
          <w:rFonts w:ascii="Times New Roman" w:hAnsi="Times New Roman"/>
          <w:sz w:val="24"/>
          <w:szCs w:val="24"/>
          <w:shd w:val="clear" w:color="auto" w:fill="FFFFFF"/>
          <w:lang w:val="sr-Cyrl-CS"/>
        </w:rPr>
        <w:t xml:space="preserve"> </w:t>
      </w:r>
    </w:p>
    <w:p w:rsidR="00951AEB" w:rsidRDefault="00951AEB" w:rsidP="008A3795">
      <w:pPr>
        <w:numPr>
          <w:ilvl w:val="0"/>
          <w:numId w:val="23"/>
        </w:numPr>
        <w:jc w:val="both"/>
        <w:rPr>
          <w:rFonts w:ascii="Times New Roman" w:hAnsi="Times New Roman"/>
          <w:sz w:val="24"/>
          <w:szCs w:val="24"/>
          <w:shd w:val="clear" w:color="auto" w:fill="FFFFFF"/>
          <w:lang w:val="sr-Cyrl-CS"/>
        </w:rPr>
      </w:pPr>
      <w:r>
        <w:rPr>
          <w:rFonts w:ascii="Times New Roman" w:hAnsi="Times New Roman"/>
          <w:sz w:val="24"/>
          <w:szCs w:val="24"/>
          <w:shd w:val="clear" w:color="auto" w:fill="FFFFFF"/>
          <w:lang w:val="sr-Cyrl-CS"/>
        </w:rPr>
        <w:t>сива економија;</w:t>
      </w:r>
    </w:p>
    <w:p w:rsidR="00951AEB" w:rsidRDefault="00951AEB" w:rsidP="008A3795">
      <w:pPr>
        <w:numPr>
          <w:ilvl w:val="0"/>
          <w:numId w:val="23"/>
        </w:numPr>
        <w:jc w:val="both"/>
        <w:rPr>
          <w:rFonts w:ascii="Times New Roman" w:hAnsi="Times New Roman"/>
          <w:sz w:val="24"/>
          <w:szCs w:val="24"/>
          <w:shd w:val="clear" w:color="auto" w:fill="FFFFFF"/>
          <w:lang w:val="sr-Cyrl-CS"/>
        </w:rPr>
      </w:pPr>
      <w:r>
        <w:rPr>
          <w:rFonts w:ascii="Times New Roman" w:hAnsi="Times New Roman"/>
          <w:sz w:val="24"/>
          <w:szCs w:val="24"/>
          <w:shd w:val="clear" w:color="auto" w:fill="FFFFFF"/>
          <w:lang w:val="sr-Cyrl-CS"/>
        </w:rPr>
        <w:t>намерно изазивање стечаја;</w:t>
      </w:r>
    </w:p>
    <w:p w:rsidR="00951AEB" w:rsidRDefault="00951AEB" w:rsidP="008A3795">
      <w:pPr>
        <w:numPr>
          <w:ilvl w:val="0"/>
          <w:numId w:val="23"/>
        </w:numPr>
        <w:jc w:val="both"/>
        <w:rPr>
          <w:rFonts w:ascii="Times New Roman" w:hAnsi="Times New Roman"/>
          <w:sz w:val="24"/>
          <w:szCs w:val="24"/>
          <w:shd w:val="clear" w:color="auto" w:fill="FFFFFF"/>
          <w:lang w:val="sr-Cyrl-CS"/>
        </w:rPr>
      </w:pPr>
      <w:r>
        <w:rPr>
          <w:rFonts w:ascii="Times New Roman" w:hAnsi="Times New Roman"/>
          <w:sz w:val="24"/>
          <w:szCs w:val="24"/>
          <w:shd w:val="clear" w:color="auto" w:fill="FFFFFF"/>
          <w:lang w:val="sr-Cyrl-CS"/>
        </w:rPr>
        <w:t>извозна евазија;</w:t>
      </w:r>
    </w:p>
    <w:p w:rsidR="00951AEB" w:rsidRDefault="00951AEB" w:rsidP="008A3795">
      <w:pPr>
        <w:numPr>
          <w:ilvl w:val="0"/>
          <w:numId w:val="23"/>
        </w:numPr>
        <w:jc w:val="both"/>
        <w:rPr>
          <w:rFonts w:ascii="Times New Roman" w:hAnsi="Times New Roman"/>
          <w:sz w:val="24"/>
          <w:szCs w:val="24"/>
          <w:shd w:val="clear" w:color="auto" w:fill="FFFFFF"/>
          <w:lang w:val="sr-Cyrl-CS"/>
        </w:rPr>
      </w:pPr>
      <w:r>
        <w:rPr>
          <w:rFonts w:ascii="Times New Roman" w:hAnsi="Times New Roman"/>
          <w:sz w:val="24"/>
          <w:szCs w:val="24"/>
          <w:shd w:val="clear" w:color="auto" w:fill="FFFFFF"/>
          <w:lang w:val="sr-Cyrl-CS"/>
        </w:rPr>
        <w:t>непријављивање излазног промета плаћеног готовински;</w:t>
      </w:r>
    </w:p>
    <w:p w:rsidR="00951AEB" w:rsidRDefault="005C0F72" w:rsidP="008A3795">
      <w:pPr>
        <w:numPr>
          <w:ilvl w:val="0"/>
          <w:numId w:val="23"/>
        </w:numPr>
        <w:jc w:val="both"/>
        <w:rPr>
          <w:rFonts w:ascii="Times New Roman" w:hAnsi="Times New Roman"/>
          <w:sz w:val="24"/>
          <w:szCs w:val="24"/>
          <w:shd w:val="clear" w:color="auto" w:fill="FFFFFF"/>
          <w:lang w:val="sr-Cyrl-CS"/>
        </w:rPr>
      </w:pPr>
      <w:r>
        <w:rPr>
          <w:rFonts w:ascii="Times New Roman" w:hAnsi="Times New Roman"/>
          <w:sz w:val="24"/>
          <w:szCs w:val="24"/>
          <w:shd w:val="clear" w:color="auto" w:fill="FFFFFF"/>
          <w:lang w:val="sr-Cyrl-CS"/>
        </w:rPr>
        <w:t>злоупотребе са претходним порезом;</w:t>
      </w:r>
    </w:p>
    <w:p w:rsidR="005C0F72" w:rsidRDefault="005C0F72" w:rsidP="008A3795">
      <w:pPr>
        <w:numPr>
          <w:ilvl w:val="0"/>
          <w:numId w:val="23"/>
        </w:numPr>
        <w:jc w:val="both"/>
        <w:rPr>
          <w:rFonts w:ascii="Times New Roman" w:hAnsi="Times New Roman"/>
          <w:sz w:val="24"/>
          <w:szCs w:val="24"/>
          <w:shd w:val="clear" w:color="auto" w:fill="FFFFFF"/>
          <w:lang w:val="sr-Cyrl-CS"/>
        </w:rPr>
      </w:pPr>
      <w:r>
        <w:rPr>
          <w:rFonts w:ascii="Times New Roman" w:hAnsi="Times New Roman"/>
          <w:sz w:val="24"/>
          <w:szCs w:val="24"/>
          <w:shd w:val="clear" w:color="auto" w:fill="FFFFFF"/>
          <w:lang w:val="sr-Cyrl-CS"/>
        </w:rPr>
        <w:t>злоупотребе са изузецима од стандардног начина опорезивања;</w:t>
      </w:r>
    </w:p>
    <w:p w:rsidR="005C0F72" w:rsidRPr="004B6685" w:rsidRDefault="005C0F72" w:rsidP="008A3795">
      <w:pPr>
        <w:numPr>
          <w:ilvl w:val="0"/>
          <w:numId w:val="23"/>
        </w:numPr>
        <w:jc w:val="both"/>
        <w:rPr>
          <w:rFonts w:ascii="Times New Roman" w:hAnsi="Times New Roman"/>
          <w:sz w:val="24"/>
          <w:szCs w:val="24"/>
          <w:shd w:val="clear" w:color="auto" w:fill="FFFFFF"/>
          <w:lang w:val="sr-Cyrl-CS"/>
        </w:rPr>
      </w:pPr>
      <w:r>
        <w:rPr>
          <w:rFonts w:ascii="Times New Roman" w:hAnsi="Times New Roman"/>
          <w:sz w:val="24"/>
          <w:szCs w:val="24"/>
          <w:shd w:val="clear" w:color="auto" w:fill="FFFFFF"/>
          <w:lang w:val="sr-Cyrl-CS"/>
        </w:rPr>
        <w:t>непријављивање чињеница и давање лажних података о чињеницама од значаја за утврђивање и наплату пореза на додату вредност.</w:t>
      </w:r>
    </w:p>
    <w:p w:rsidR="00EE22D3" w:rsidRPr="00EE22D3" w:rsidRDefault="00001DEB" w:rsidP="004C0E90">
      <w:pPr>
        <w:ind w:firstLine="708"/>
        <w:jc w:val="both"/>
        <w:rPr>
          <w:rFonts w:ascii="Times New Roman" w:hAnsi="Times New Roman"/>
          <w:sz w:val="24"/>
          <w:szCs w:val="24"/>
          <w:lang w:val="sr-Cyrl-CS"/>
        </w:rPr>
      </w:pPr>
      <w:r>
        <w:rPr>
          <w:rFonts w:ascii="Times New Roman" w:hAnsi="Times New Roman"/>
          <w:b/>
          <w:sz w:val="24"/>
          <w:szCs w:val="24"/>
          <w:lang w:val="sr-Cyrl-CS"/>
        </w:rPr>
        <w:t>Слика 14</w:t>
      </w:r>
      <w:r w:rsidR="004B6685" w:rsidRPr="004B6685">
        <w:rPr>
          <w:rFonts w:ascii="Times New Roman" w:hAnsi="Times New Roman"/>
          <w:b/>
          <w:sz w:val="24"/>
          <w:szCs w:val="24"/>
          <w:lang w:val="sr-Cyrl-CS"/>
        </w:rPr>
        <w:t xml:space="preserve">. </w:t>
      </w:r>
      <w:r w:rsidR="00EE22D3" w:rsidRPr="004B6685">
        <w:rPr>
          <w:rFonts w:ascii="Times New Roman" w:hAnsi="Times New Roman"/>
          <w:b/>
          <w:sz w:val="24"/>
          <w:szCs w:val="24"/>
          <w:lang w:val="sr-Cyrl-CS"/>
        </w:rPr>
        <w:t>Структура консолидованих прихода у Републици Србији у 2013. години</w:t>
      </w:r>
      <w:r w:rsidR="00EE22D3">
        <w:rPr>
          <w:rStyle w:val="FootnoteReference"/>
          <w:rFonts w:ascii="Times New Roman" w:hAnsi="Times New Roman"/>
          <w:sz w:val="24"/>
          <w:szCs w:val="24"/>
          <w:lang w:val="sr-Cyrl-CS"/>
        </w:rPr>
        <w:footnoteReference w:id="394"/>
      </w:r>
    </w:p>
    <w:p w:rsidR="0041421C" w:rsidRDefault="0041421C" w:rsidP="005548CD">
      <w:pPr>
        <w:rPr>
          <w:rFonts w:ascii="Times New Roman" w:hAnsi="Times New Roman"/>
          <w:sz w:val="24"/>
          <w:szCs w:val="24"/>
          <w:shd w:val="clear" w:color="auto" w:fill="FFFFFF"/>
          <w:lang w:val="sr-Cyrl-CS"/>
        </w:rPr>
      </w:pPr>
      <w:r>
        <w:rPr>
          <w:rFonts w:ascii="Times New Roman" w:hAnsi="Times New Roman"/>
          <w:sz w:val="24"/>
          <w:szCs w:val="24"/>
          <w:shd w:val="clear" w:color="auto" w:fill="FFFFFF"/>
          <w:lang w:val="sr-Cyrl-CS"/>
        </w:rPr>
        <w:lastRenderedPageBreak/>
        <w:tab/>
      </w:r>
      <w:r w:rsidR="00717D0E">
        <w:rPr>
          <w:rFonts w:ascii="Times New Roman" w:hAnsi="Times New Roman"/>
          <w:noProof/>
          <w:sz w:val="24"/>
          <w:szCs w:val="24"/>
          <w:shd w:val="clear" w:color="auto" w:fill="FFFFFF"/>
        </w:rPr>
        <w:drawing>
          <wp:inline distT="0" distB="0" distL="0" distR="0">
            <wp:extent cx="5286375" cy="4686300"/>
            <wp:effectExtent l="0" t="0" r="0" b="0"/>
            <wp:docPr id="194" name="Diagram 19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954516" w:rsidRDefault="00633D9F" w:rsidP="004B6685">
      <w:pPr>
        <w:ind w:firstLine="708"/>
        <w:jc w:val="both"/>
        <w:rPr>
          <w:rFonts w:ascii="Times New Roman" w:hAnsi="Times New Roman"/>
          <w:sz w:val="24"/>
          <w:szCs w:val="24"/>
          <w:shd w:val="clear" w:color="auto" w:fill="FFFFFF"/>
          <w:lang w:val="sr-Cyrl-CS"/>
        </w:rPr>
      </w:pPr>
      <w:r>
        <w:rPr>
          <w:rFonts w:ascii="Times New Roman" w:hAnsi="Times New Roman"/>
          <w:sz w:val="24"/>
          <w:szCs w:val="24"/>
          <w:shd w:val="clear" w:color="auto" w:fill="FFFFFF"/>
          <w:lang w:val="sr-Cyrl-CS"/>
        </w:rPr>
        <w:t>Велико учешће пореза на додату вредност у укупним приходима чини га</w:t>
      </w:r>
      <w:r w:rsidR="00954516">
        <w:rPr>
          <w:rFonts w:ascii="Times New Roman" w:hAnsi="Times New Roman"/>
          <w:sz w:val="24"/>
          <w:szCs w:val="24"/>
          <w:shd w:val="clear" w:color="auto" w:fill="FFFFFF"/>
          <w:lang w:val="sr-Cyrl-CS"/>
        </w:rPr>
        <w:t xml:space="preserve"> </w:t>
      </w:r>
      <w:r>
        <w:rPr>
          <w:rFonts w:ascii="Times New Roman" w:hAnsi="Times New Roman"/>
          <w:sz w:val="24"/>
          <w:szCs w:val="24"/>
          <w:shd w:val="clear" w:color="auto" w:fill="FFFFFF"/>
          <w:lang w:val="sr-Cyrl-CS"/>
        </w:rPr>
        <w:t xml:space="preserve">издашним </w:t>
      </w:r>
      <w:r w:rsidR="00954516">
        <w:rPr>
          <w:rFonts w:ascii="Times New Roman" w:hAnsi="Times New Roman"/>
          <w:sz w:val="24"/>
          <w:szCs w:val="24"/>
          <w:shd w:val="clear" w:color="auto" w:fill="FFFFFF"/>
          <w:lang w:val="sr-Cyrl-CS"/>
        </w:rPr>
        <w:t xml:space="preserve">и значајним </w:t>
      </w:r>
      <w:r w:rsidR="00A71D29">
        <w:rPr>
          <w:rFonts w:ascii="Times New Roman" w:hAnsi="Times New Roman"/>
          <w:sz w:val="24"/>
          <w:szCs w:val="24"/>
          <w:shd w:val="clear" w:color="auto" w:fill="FFFFFF"/>
          <w:lang w:val="sr-Cyrl-CS"/>
        </w:rPr>
        <w:t>пореским приходом и утолико су значајни начини и обим пореске евазије, о којима ће бити речи на страницама које следе.</w:t>
      </w:r>
    </w:p>
    <w:p w:rsidR="005548CD" w:rsidRDefault="00A71D29" w:rsidP="00A71D29">
      <w:pPr>
        <w:pStyle w:val="ListParagraph"/>
        <w:jc w:val="center"/>
        <w:rPr>
          <w:rFonts w:ascii="Times New Roman" w:hAnsi="Times New Roman"/>
          <w:b/>
          <w:sz w:val="24"/>
          <w:szCs w:val="24"/>
          <w:lang w:val="sr-Cyrl-CS"/>
        </w:rPr>
      </w:pPr>
      <w:r>
        <w:rPr>
          <w:rFonts w:ascii="Times New Roman" w:hAnsi="Times New Roman"/>
          <w:b/>
          <w:sz w:val="24"/>
          <w:szCs w:val="24"/>
          <w:shd w:val="clear" w:color="auto" w:fill="FFFFFF"/>
          <w:lang w:val="sr-Cyrl-CS"/>
        </w:rPr>
        <w:t xml:space="preserve">5.2.6.1. </w:t>
      </w:r>
      <w:r w:rsidRPr="00A71D29">
        <w:rPr>
          <w:rFonts w:ascii="Times New Roman" w:hAnsi="Times New Roman"/>
          <w:b/>
          <w:sz w:val="24"/>
          <w:szCs w:val="24"/>
          <w:lang w:val="sr-Cyrl-CS"/>
        </w:rPr>
        <w:t>Избегавање пореза на додату вредност путем давања лажних података о чињеницама које су од значаја за обрачун и плаћање ПДВ-а</w:t>
      </w:r>
    </w:p>
    <w:p w:rsidR="00A71D29" w:rsidRPr="00A71D29" w:rsidRDefault="00A71D29" w:rsidP="00E13395">
      <w:pPr>
        <w:pStyle w:val="ListParagraph"/>
        <w:ind w:left="0"/>
        <w:rPr>
          <w:rFonts w:ascii="Times New Roman" w:hAnsi="Times New Roman"/>
          <w:b/>
          <w:sz w:val="24"/>
          <w:szCs w:val="24"/>
          <w:lang w:val="sr-Cyrl-CS"/>
        </w:rPr>
      </w:pPr>
    </w:p>
    <w:p w:rsidR="00C23054" w:rsidRDefault="00C23054" w:rsidP="002C4B08">
      <w:pPr>
        <w:pStyle w:val="normal0"/>
        <w:shd w:val="clear" w:color="auto" w:fill="FFFFFF"/>
        <w:spacing w:before="48" w:beforeAutospacing="0" w:after="48" w:afterAutospacing="0"/>
        <w:jc w:val="both"/>
        <w:rPr>
          <w:color w:val="000000"/>
          <w:lang w:val="sr-Cyrl-CS"/>
        </w:rPr>
      </w:pPr>
    </w:p>
    <w:p w:rsidR="00E13395" w:rsidRPr="00FB5A28" w:rsidRDefault="00F40F95" w:rsidP="00FB5A28">
      <w:pPr>
        <w:ind w:firstLine="708"/>
        <w:jc w:val="both"/>
        <w:rPr>
          <w:rFonts w:ascii="Times New Roman" w:hAnsi="Times New Roman"/>
          <w:sz w:val="24"/>
          <w:szCs w:val="24"/>
          <w:lang w:val="sr-Cyrl-CS"/>
        </w:rPr>
      </w:pPr>
      <w:r w:rsidRPr="00FB5A28">
        <w:rPr>
          <w:rFonts w:ascii="Times New Roman" w:hAnsi="Times New Roman"/>
          <w:sz w:val="24"/>
          <w:szCs w:val="24"/>
          <w:lang w:val="sr-Cyrl-CS"/>
        </w:rPr>
        <w:t xml:space="preserve">Један од најбитнијих елемената у систему пореза на додату вредност, у коме се огледа </w:t>
      </w:r>
      <w:r w:rsidR="004B00EA" w:rsidRPr="00FB5A28">
        <w:rPr>
          <w:rFonts w:ascii="Times New Roman" w:hAnsi="Times New Roman"/>
          <w:sz w:val="24"/>
          <w:szCs w:val="24"/>
          <w:lang w:val="sr-Cyrl-CS"/>
        </w:rPr>
        <w:t xml:space="preserve">и </w:t>
      </w:r>
      <w:r w:rsidRPr="00FB5A28">
        <w:rPr>
          <w:rFonts w:ascii="Times New Roman" w:hAnsi="Times New Roman"/>
          <w:sz w:val="24"/>
          <w:szCs w:val="24"/>
          <w:lang w:val="sr-Cyrl-CS"/>
        </w:rPr>
        <w:t xml:space="preserve">његова суштина,  јесте институт претходног пореза. </w:t>
      </w:r>
      <w:r w:rsidR="004B00EA" w:rsidRPr="00FB5A28">
        <w:rPr>
          <w:rFonts w:ascii="Times New Roman" w:hAnsi="Times New Roman"/>
          <w:sz w:val="24"/>
          <w:szCs w:val="24"/>
          <w:lang w:val="sr-Cyrl-CS"/>
        </w:rPr>
        <w:t xml:space="preserve">Због тога ћемо ово излагање, које се односи на различите облике и могућности избегавања плаћања пореза на додату вредност, почети управо одатле. </w:t>
      </w:r>
      <w:r w:rsidR="00954516" w:rsidRPr="00FB5A28">
        <w:rPr>
          <w:rFonts w:ascii="Times New Roman" w:hAnsi="Times New Roman"/>
          <w:sz w:val="24"/>
          <w:szCs w:val="24"/>
          <w:lang w:val="sr-Cyrl-CS"/>
        </w:rPr>
        <w:t xml:space="preserve">Порески обвезници давањем лажних података без основа извршавају одбитак претходног пореза, чиме директно умањују своју пореску обавезу. </w:t>
      </w:r>
    </w:p>
    <w:p w:rsidR="00F40F95" w:rsidRPr="00FB5A28" w:rsidRDefault="00F40F95" w:rsidP="00FB5A28">
      <w:pPr>
        <w:ind w:firstLine="708"/>
        <w:jc w:val="both"/>
        <w:rPr>
          <w:rFonts w:ascii="Times New Roman" w:hAnsi="Times New Roman"/>
          <w:sz w:val="24"/>
          <w:szCs w:val="24"/>
          <w:lang w:val="sr-Cyrl-CS"/>
        </w:rPr>
      </w:pPr>
      <w:r w:rsidRPr="00FB5A28">
        <w:rPr>
          <w:rFonts w:ascii="Times New Roman" w:hAnsi="Times New Roman"/>
          <w:sz w:val="24"/>
          <w:szCs w:val="24"/>
          <w:lang w:val="sr-Cyrl-CS"/>
        </w:rPr>
        <w:lastRenderedPageBreak/>
        <w:t>Претходни порез</w:t>
      </w:r>
      <w:r w:rsidR="00E13395" w:rsidRPr="00FB5A28">
        <w:rPr>
          <w:rStyle w:val="FootnoteReference"/>
          <w:rFonts w:ascii="Times New Roman" w:hAnsi="Times New Roman"/>
          <w:color w:val="000000"/>
          <w:sz w:val="24"/>
          <w:szCs w:val="24"/>
          <w:lang w:val="sr-Cyrl-CS"/>
        </w:rPr>
        <w:footnoteReference w:id="395"/>
      </w:r>
      <w:r w:rsidRPr="00FB5A28">
        <w:rPr>
          <w:rFonts w:ascii="Times New Roman" w:hAnsi="Times New Roman"/>
          <w:sz w:val="24"/>
          <w:szCs w:val="24"/>
          <w:lang w:val="sr-Cyrl-CS"/>
        </w:rPr>
        <w:t xml:space="preserve"> </w:t>
      </w:r>
      <w:bookmarkStart w:id="17" w:name="clan_27"/>
      <w:bookmarkEnd w:id="17"/>
      <w:r w:rsidRPr="00FB5A28">
        <w:rPr>
          <w:rFonts w:ascii="Times New Roman" w:hAnsi="Times New Roman"/>
          <w:sz w:val="24"/>
          <w:szCs w:val="24"/>
        </w:rPr>
        <w:t xml:space="preserve"> </w:t>
      </w:r>
      <w:r w:rsidR="00167C13" w:rsidRPr="00FB5A28">
        <w:rPr>
          <w:rFonts w:ascii="Times New Roman" w:hAnsi="Times New Roman"/>
          <w:sz w:val="24"/>
          <w:szCs w:val="24"/>
        </w:rPr>
        <w:t>је</w:t>
      </w:r>
      <w:r w:rsidRPr="00FB5A28">
        <w:rPr>
          <w:rFonts w:ascii="Times New Roman" w:hAnsi="Times New Roman"/>
          <w:sz w:val="24"/>
          <w:szCs w:val="24"/>
        </w:rPr>
        <w:t xml:space="preserve"> </w:t>
      </w:r>
      <w:r w:rsidR="00167C13" w:rsidRPr="00FB5A28">
        <w:rPr>
          <w:rFonts w:ascii="Times New Roman" w:hAnsi="Times New Roman"/>
          <w:sz w:val="24"/>
          <w:szCs w:val="24"/>
        </w:rPr>
        <w:t>износ</w:t>
      </w:r>
      <w:r w:rsidRPr="00FB5A28">
        <w:rPr>
          <w:rFonts w:ascii="Times New Roman" w:hAnsi="Times New Roman"/>
          <w:sz w:val="24"/>
          <w:szCs w:val="24"/>
        </w:rPr>
        <w:t xml:space="preserve"> </w:t>
      </w:r>
      <w:r w:rsidR="00167C13" w:rsidRPr="00FB5A28">
        <w:rPr>
          <w:rFonts w:ascii="Times New Roman" w:hAnsi="Times New Roman"/>
          <w:sz w:val="24"/>
          <w:szCs w:val="24"/>
        </w:rPr>
        <w:t>ПДВ</w:t>
      </w:r>
      <w:r w:rsidRPr="00FB5A28">
        <w:rPr>
          <w:rFonts w:ascii="Times New Roman" w:hAnsi="Times New Roman"/>
          <w:sz w:val="24"/>
          <w:szCs w:val="24"/>
        </w:rPr>
        <w:t xml:space="preserve"> </w:t>
      </w:r>
      <w:r w:rsidR="00167C13" w:rsidRPr="00FB5A28">
        <w:rPr>
          <w:rFonts w:ascii="Times New Roman" w:hAnsi="Times New Roman"/>
          <w:sz w:val="24"/>
          <w:szCs w:val="24"/>
        </w:rPr>
        <w:t>обрачунат</w:t>
      </w:r>
      <w:r w:rsidRPr="00FB5A28">
        <w:rPr>
          <w:rFonts w:ascii="Times New Roman" w:hAnsi="Times New Roman"/>
          <w:sz w:val="24"/>
          <w:szCs w:val="24"/>
        </w:rPr>
        <w:t xml:space="preserve"> </w:t>
      </w:r>
      <w:r w:rsidR="00167C13" w:rsidRPr="00FB5A28">
        <w:rPr>
          <w:rFonts w:ascii="Times New Roman" w:hAnsi="Times New Roman"/>
          <w:sz w:val="24"/>
          <w:szCs w:val="24"/>
        </w:rPr>
        <w:t>у</w:t>
      </w:r>
      <w:r w:rsidRPr="00FB5A28">
        <w:rPr>
          <w:rFonts w:ascii="Times New Roman" w:hAnsi="Times New Roman"/>
          <w:sz w:val="24"/>
          <w:szCs w:val="24"/>
        </w:rPr>
        <w:t xml:space="preserve"> </w:t>
      </w:r>
      <w:r w:rsidR="00167C13" w:rsidRPr="00FB5A28">
        <w:rPr>
          <w:rFonts w:ascii="Times New Roman" w:hAnsi="Times New Roman"/>
          <w:sz w:val="24"/>
          <w:szCs w:val="24"/>
        </w:rPr>
        <w:t>претходној</w:t>
      </w:r>
      <w:r w:rsidRPr="00FB5A28">
        <w:rPr>
          <w:rFonts w:ascii="Times New Roman" w:hAnsi="Times New Roman"/>
          <w:sz w:val="24"/>
          <w:szCs w:val="24"/>
        </w:rPr>
        <w:t xml:space="preserve"> </w:t>
      </w:r>
      <w:r w:rsidR="00167C13" w:rsidRPr="00FB5A28">
        <w:rPr>
          <w:rFonts w:ascii="Times New Roman" w:hAnsi="Times New Roman"/>
          <w:sz w:val="24"/>
          <w:szCs w:val="24"/>
        </w:rPr>
        <w:t>фази</w:t>
      </w:r>
      <w:r w:rsidRPr="00FB5A28">
        <w:rPr>
          <w:rFonts w:ascii="Times New Roman" w:hAnsi="Times New Roman"/>
          <w:sz w:val="24"/>
          <w:szCs w:val="24"/>
        </w:rPr>
        <w:t xml:space="preserve"> </w:t>
      </w:r>
      <w:r w:rsidR="00167C13" w:rsidRPr="00FB5A28">
        <w:rPr>
          <w:rFonts w:ascii="Times New Roman" w:hAnsi="Times New Roman"/>
          <w:sz w:val="24"/>
          <w:szCs w:val="24"/>
        </w:rPr>
        <w:t>промета</w:t>
      </w:r>
      <w:r w:rsidRPr="00FB5A28">
        <w:rPr>
          <w:rFonts w:ascii="Times New Roman" w:hAnsi="Times New Roman"/>
          <w:sz w:val="24"/>
          <w:szCs w:val="24"/>
        </w:rPr>
        <w:t xml:space="preserve"> </w:t>
      </w:r>
      <w:r w:rsidR="00167C13" w:rsidRPr="00FB5A28">
        <w:rPr>
          <w:rFonts w:ascii="Times New Roman" w:hAnsi="Times New Roman"/>
          <w:sz w:val="24"/>
          <w:szCs w:val="24"/>
        </w:rPr>
        <w:t>добара</w:t>
      </w:r>
      <w:r w:rsidRPr="00FB5A28">
        <w:rPr>
          <w:rFonts w:ascii="Times New Roman" w:hAnsi="Times New Roman"/>
          <w:sz w:val="24"/>
          <w:szCs w:val="24"/>
        </w:rPr>
        <w:t xml:space="preserve"> </w:t>
      </w:r>
      <w:r w:rsidR="00167C13" w:rsidRPr="00FB5A28">
        <w:rPr>
          <w:rFonts w:ascii="Times New Roman" w:hAnsi="Times New Roman"/>
          <w:sz w:val="24"/>
          <w:szCs w:val="24"/>
        </w:rPr>
        <w:t>и</w:t>
      </w:r>
      <w:r w:rsidRPr="00FB5A28">
        <w:rPr>
          <w:rFonts w:ascii="Times New Roman" w:hAnsi="Times New Roman"/>
          <w:sz w:val="24"/>
          <w:szCs w:val="24"/>
        </w:rPr>
        <w:t xml:space="preserve"> </w:t>
      </w:r>
      <w:r w:rsidR="00167C13" w:rsidRPr="00FB5A28">
        <w:rPr>
          <w:rFonts w:ascii="Times New Roman" w:hAnsi="Times New Roman"/>
          <w:sz w:val="24"/>
          <w:szCs w:val="24"/>
        </w:rPr>
        <w:t>услуга</w:t>
      </w:r>
      <w:r w:rsidRPr="00FB5A28">
        <w:rPr>
          <w:rFonts w:ascii="Times New Roman" w:hAnsi="Times New Roman"/>
          <w:sz w:val="24"/>
          <w:szCs w:val="24"/>
        </w:rPr>
        <w:t xml:space="preserve">, </w:t>
      </w:r>
      <w:r w:rsidR="00167C13" w:rsidRPr="00FB5A28">
        <w:rPr>
          <w:rFonts w:ascii="Times New Roman" w:hAnsi="Times New Roman"/>
          <w:sz w:val="24"/>
          <w:szCs w:val="24"/>
        </w:rPr>
        <w:t>односно</w:t>
      </w:r>
      <w:r w:rsidRPr="00FB5A28">
        <w:rPr>
          <w:rFonts w:ascii="Times New Roman" w:hAnsi="Times New Roman"/>
          <w:sz w:val="24"/>
          <w:szCs w:val="24"/>
        </w:rPr>
        <w:t xml:space="preserve"> </w:t>
      </w:r>
      <w:r w:rsidR="00167C13" w:rsidRPr="00FB5A28">
        <w:rPr>
          <w:rFonts w:ascii="Times New Roman" w:hAnsi="Times New Roman"/>
          <w:sz w:val="24"/>
          <w:szCs w:val="24"/>
        </w:rPr>
        <w:t>плаћен</w:t>
      </w:r>
      <w:r w:rsidRPr="00FB5A28">
        <w:rPr>
          <w:rFonts w:ascii="Times New Roman" w:hAnsi="Times New Roman"/>
          <w:sz w:val="24"/>
          <w:szCs w:val="24"/>
        </w:rPr>
        <w:t xml:space="preserve"> </w:t>
      </w:r>
      <w:r w:rsidR="00167C13" w:rsidRPr="00FB5A28">
        <w:rPr>
          <w:rFonts w:ascii="Times New Roman" w:hAnsi="Times New Roman"/>
          <w:sz w:val="24"/>
          <w:szCs w:val="24"/>
        </w:rPr>
        <w:t>при</w:t>
      </w:r>
      <w:r w:rsidRPr="00FB5A28">
        <w:rPr>
          <w:rFonts w:ascii="Times New Roman" w:hAnsi="Times New Roman"/>
          <w:sz w:val="24"/>
          <w:szCs w:val="24"/>
        </w:rPr>
        <w:t xml:space="preserve"> </w:t>
      </w:r>
      <w:r w:rsidR="00167C13" w:rsidRPr="00FB5A28">
        <w:rPr>
          <w:rFonts w:ascii="Times New Roman" w:hAnsi="Times New Roman"/>
          <w:sz w:val="24"/>
          <w:szCs w:val="24"/>
        </w:rPr>
        <w:t>увозу</w:t>
      </w:r>
      <w:r w:rsidRPr="00FB5A28">
        <w:rPr>
          <w:rFonts w:ascii="Times New Roman" w:hAnsi="Times New Roman"/>
          <w:sz w:val="24"/>
          <w:szCs w:val="24"/>
        </w:rPr>
        <w:t xml:space="preserve"> </w:t>
      </w:r>
      <w:r w:rsidR="00167C13" w:rsidRPr="00FB5A28">
        <w:rPr>
          <w:rFonts w:ascii="Times New Roman" w:hAnsi="Times New Roman"/>
          <w:sz w:val="24"/>
          <w:szCs w:val="24"/>
        </w:rPr>
        <w:t>добара</w:t>
      </w:r>
      <w:r w:rsidRPr="00FB5A28">
        <w:rPr>
          <w:rFonts w:ascii="Times New Roman" w:hAnsi="Times New Roman"/>
          <w:sz w:val="24"/>
          <w:szCs w:val="24"/>
        </w:rPr>
        <w:t xml:space="preserve">, </w:t>
      </w:r>
      <w:r w:rsidR="00167C13" w:rsidRPr="00FB5A28">
        <w:rPr>
          <w:rFonts w:ascii="Times New Roman" w:hAnsi="Times New Roman"/>
          <w:sz w:val="24"/>
          <w:szCs w:val="24"/>
        </w:rPr>
        <w:t>а</w:t>
      </w:r>
      <w:r w:rsidRPr="00FB5A28">
        <w:rPr>
          <w:rFonts w:ascii="Times New Roman" w:hAnsi="Times New Roman"/>
          <w:sz w:val="24"/>
          <w:szCs w:val="24"/>
        </w:rPr>
        <w:t xml:space="preserve"> </w:t>
      </w:r>
      <w:r w:rsidR="00167C13" w:rsidRPr="00FB5A28">
        <w:rPr>
          <w:rFonts w:ascii="Times New Roman" w:hAnsi="Times New Roman"/>
          <w:sz w:val="24"/>
          <w:szCs w:val="24"/>
        </w:rPr>
        <w:t>који</w:t>
      </w:r>
      <w:r w:rsidRPr="00FB5A28">
        <w:rPr>
          <w:rFonts w:ascii="Times New Roman" w:hAnsi="Times New Roman"/>
          <w:sz w:val="24"/>
          <w:szCs w:val="24"/>
        </w:rPr>
        <w:t xml:space="preserve"> </w:t>
      </w:r>
      <w:r w:rsidR="00167C13" w:rsidRPr="00FB5A28">
        <w:rPr>
          <w:rFonts w:ascii="Times New Roman" w:hAnsi="Times New Roman"/>
          <w:sz w:val="24"/>
          <w:szCs w:val="24"/>
        </w:rPr>
        <w:t>обвезник</w:t>
      </w:r>
      <w:r w:rsidRPr="00FB5A28">
        <w:rPr>
          <w:rFonts w:ascii="Times New Roman" w:hAnsi="Times New Roman"/>
          <w:sz w:val="24"/>
          <w:szCs w:val="24"/>
        </w:rPr>
        <w:t xml:space="preserve"> </w:t>
      </w:r>
      <w:r w:rsidR="00167C13" w:rsidRPr="00FB5A28">
        <w:rPr>
          <w:rFonts w:ascii="Times New Roman" w:hAnsi="Times New Roman"/>
          <w:sz w:val="24"/>
          <w:szCs w:val="24"/>
        </w:rPr>
        <w:t>може</w:t>
      </w:r>
      <w:r w:rsidRPr="00FB5A28">
        <w:rPr>
          <w:rFonts w:ascii="Times New Roman" w:hAnsi="Times New Roman"/>
          <w:sz w:val="24"/>
          <w:szCs w:val="24"/>
        </w:rPr>
        <w:t xml:space="preserve"> </w:t>
      </w:r>
      <w:r w:rsidR="00167C13" w:rsidRPr="00FB5A28">
        <w:rPr>
          <w:rFonts w:ascii="Times New Roman" w:hAnsi="Times New Roman"/>
          <w:sz w:val="24"/>
          <w:szCs w:val="24"/>
        </w:rPr>
        <w:t>да</w:t>
      </w:r>
      <w:r w:rsidRPr="00FB5A28">
        <w:rPr>
          <w:rFonts w:ascii="Times New Roman" w:hAnsi="Times New Roman"/>
          <w:sz w:val="24"/>
          <w:szCs w:val="24"/>
        </w:rPr>
        <w:t xml:space="preserve"> </w:t>
      </w:r>
      <w:r w:rsidR="00167C13" w:rsidRPr="00FB5A28">
        <w:rPr>
          <w:rFonts w:ascii="Times New Roman" w:hAnsi="Times New Roman"/>
          <w:sz w:val="24"/>
          <w:szCs w:val="24"/>
        </w:rPr>
        <w:t>одбије</w:t>
      </w:r>
      <w:r w:rsidRPr="00FB5A28">
        <w:rPr>
          <w:rFonts w:ascii="Times New Roman" w:hAnsi="Times New Roman"/>
          <w:sz w:val="24"/>
          <w:szCs w:val="24"/>
        </w:rPr>
        <w:t xml:space="preserve"> </w:t>
      </w:r>
      <w:r w:rsidR="00167C13" w:rsidRPr="00FB5A28">
        <w:rPr>
          <w:rFonts w:ascii="Times New Roman" w:hAnsi="Times New Roman"/>
          <w:sz w:val="24"/>
          <w:szCs w:val="24"/>
        </w:rPr>
        <w:t>од</w:t>
      </w:r>
      <w:r w:rsidRPr="00FB5A28">
        <w:rPr>
          <w:rFonts w:ascii="Times New Roman" w:hAnsi="Times New Roman"/>
          <w:sz w:val="24"/>
          <w:szCs w:val="24"/>
        </w:rPr>
        <w:t xml:space="preserve"> </w:t>
      </w:r>
      <w:r w:rsidR="00167C13" w:rsidRPr="00FB5A28">
        <w:rPr>
          <w:rFonts w:ascii="Times New Roman" w:hAnsi="Times New Roman"/>
          <w:sz w:val="24"/>
          <w:szCs w:val="24"/>
        </w:rPr>
        <w:t>ПДВ</w:t>
      </w:r>
      <w:r w:rsidRPr="00FB5A28">
        <w:rPr>
          <w:rFonts w:ascii="Times New Roman" w:hAnsi="Times New Roman"/>
          <w:sz w:val="24"/>
          <w:szCs w:val="24"/>
        </w:rPr>
        <w:t xml:space="preserve"> </w:t>
      </w:r>
      <w:r w:rsidR="00167C13" w:rsidRPr="00FB5A28">
        <w:rPr>
          <w:rFonts w:ascii="Times New Roman" w:hAnsi="Times New Roman"/>
          <w:sz w:val="24"/>
          <w:szCs w:val="24"/>
        </w:rPr>
        <w:t>који</w:t>
      </w:r>
      <w:r w:rsidRPr="00FB5A28">
        <w:rPr>
          <w:rFonts w:ascii="Times New Roman" w:hAnsi="Times New Roman"/>
          <w:sz w:val="24"/>
          <w:szCs w:val="24"/>
        </w:rPr>
        <w:t xml:space="preserve"> </w:t>
      </w:r>
      <w:r w:rsidR="00167C13" w:rsidRPr="00FB5A28">
        <w:rPr>
          <w:rFonts w:ascii="Times New Roman" w:hAnsi="Times New Roman"/>
          <w:sz w:val="24"/>
          <w:szCs w:val="24"/>
        </w:rPr>
        <w:t>дугује</w:t>
      </w:r>
      <w:r w:rsidRPr="00FB5A28">
        <w:rPr>
          <w:rFonts w:ascii="Times New Roman" w:hAnsi="Times New Roman"/>
          <w:sz w:val="24"/>
          <w:szCs w:val="24"/>
        </w:rPr>
        <w:t>.</w:t>
      </w:r>
    </w:p>
    <w:p w:rsidR="005F7509" w:rsidRPr="00FB5A28" w:rsidRDefault="00D571EE" w:rsidP="00FB5A28">
      <w:pPr>
        <w:ind w:firstLine="708"/>
        <w:jc w:val="both"/>
        <w:rPr>
          <w:rFonts w:ascii="Times New Roman" w:hAnsi="Times New Roman"/>
          <w:sz w:val="24"/>
          <w:szCs w:val="24"/>
          <w:lang w:val="sr-Cyrl-CS"/>
        </w:rPr>
      </w:pPr>
      <w:r w:rsidRPr="00FB5A28">
        <w:rPr>
          <w:rFonts w:ascii="Times New Roman" w:hAnsi="Times New Roman"/>
          <w:sz w:val="24"/>
          <w:szCs w:val="24"/>
          <w:lang w:val="sr-Cyrl-CS"/>
        </w:rPr>
        <w:t>П</w:t>
      </w:r>
      <w:r w:rsidR="00F40F95" w:rsidRPr="00FB5A28">
        <w:rPr>
          <w:rFonts w:ascii="Times New Roman" w:hAnsi="Times New Roman"/>
          <w:sz w:val="24"/>
          <w:szCs w:val="24"/>
          <w:lang w:val="sr-Cyrl-CS"/>
        </w:rPr>
        <w:t xml:space="preserve">орески обвезник може </w:t>
      </w:r>
      <w:r w:rsidRPr="00FB5A28">
        <w:rPr>
          <w:rFonts w:ascii="Times New Roman" w:hAnsi="Times New Roman"/>
          <w:sz w:val="24"/>
          <w:szCs w:val="24"/>
          <w:lang w:val="sr-Cyrl-CS"/>
        </w:rPr>
        <w:t xml:space="preserve">да </w:t>
      </w:r>
      <w:r w:rsidR="00F40F95" w:rsidRPr="00FB5A28">
        <w:rPr>
          <w:rFonts w:ascii="Times New Roman" w:hAnsi="Times New Roman"/>
          <w:sz w:val="24"/>
          <w:szCs w:val="24"/>
          <w:lang w:val="sr-Cyrl-CS"/>
        </w:rPr>
        <w:t xml:space="preserve">претходно обрачунати ПДВ одбије </w:t>
      </w:r>
      <w:r w:rsidR="00D11E9B" w:rsidRPr="00FB5A28">
        <w:rPr>
          <w:rFonts w:ascii="Times New Roman" w:hAnsi="Times New Roman"/>
          <w:sz w:val="24"/>
          <w:szCs w:val="24"/>
          <w:lang w:val="sr-Cyrl-CS"/>
        </w:rPr>
        <w:t>као претходни порез</w:t>
      </w:r>
      <w:r w:rsidRPr="00FB5A28">
        <w:rPr>
          <w:rFonts w:ascii="Times New Roman" w:hAnsi="Times New Roman"/>
          <w:sz w:val="24"/>
          <w:szCs w:val="24"/>
          <w:lang w:val="sr-Cyrl-CS"/>
        </w:rPr>
        <w:t xml:space="preserve"> у складу са  законом у потпуности или делимично или га уо</w:t>
      </w:r>
      <w:r w:rsidR="004C0E90" w:rsidRPr="00FB5A28">
        <w:rPr>
          <w:rFonts w:ascii="Times New Roman" w:hAnsi="Times New Roman"/>
          <w:sz w:val="24"/>
          <w:szCs w:val="24"/>
          <w:lang w:val="sr-Cyrl-CS"/>
        </w:rPr>
        <w:t>пште не може одбити, а што завис</w:t>
      </w:r>
      <w:r w:rsidRPr="00FB5A28">
        <w:rPr>
          <w:rFonts w:ascii="Times New Roman" w:hAnsi="Times New Roman"/>
          <w:sz w:val="24"/>
          <w:szCs w:val="24"/>
          <w:lang w:val="sr-Cyrl-CS"/>
        </w:rPr>
        <w:t>и од намене за коју се</w:t>
      </w:r>
      <w:r w:rsidR="00F40F95" w:rsidRPr="00FB5A28">
        <w:rPr>
          <w:rFonts w:ascii="Times New Roman" w:hAnsi="Times New Roman"/>
          <w:sz w:val="24"/>
          <w:szCs w:val="24"/>
          <w:lang w:val="sr-Cyrl-CS"/>
        </w:rPr>
        <w:t xml:space="preserve"> набављена добра или услуге користе и од испуњењ</w:t>
      </w:r>
      <w:r w:rsidRPr="00FB5A28">
        <w:rPr>
          <w:rFonts w:ascii="Times New Roman" w:hAnsi="Times New Roman"/>
          <w:sz w:val="24"/>
          <w:szCs w:val="24"/>
          <w:lang w:val="sr-Cyrl-CS"/>
        </w:rPr>
        <w:t>а прописаних услова. Износ претходно обрачунатог ПДВ</w:t>
      </w:r>
      <w:r w:rsidR="00F40F95" w:rsidRPr="00FB5A28">
        <w:rPr>
          <w:rFonts w:ascii="Times New Roman" w:hAnsi="Times New Roman"/>
          <w:sz w:val="24"/>
          <w:szCs w:val="24"/>
          <w:lang w:val="sr-Cyrl-CS"/>
        </w:rPr>
        <w:t xml:space="preserve"> порески обвезник може да одбије </w:t>
      </w:r>
      <w:r w:rsidRPr="00FB5A28">
        <w:rPr>
          <w:rFonts w:ascii="Times New Roman" w:hAnsi="Times New Roman"/>
          <w:sz w:val="24"/>
          <w:szCs w:val="24"/>
          <w:lang w:val="sr-Cyrl-CS"/>
        </w:rPr>
        <w:t xml:space="preserve">у целини </w:t>
      </w:r>
      <w:r w:rsidR="00F40F95" w:rsidRPr="00FB5A28">
        <w:rPr>
          <w:rFonts w:ascii="Times New Roman" w:hAnsi="Times New Roman"/>
          <w:sz w:val="24"/>
          <w:szCs w:val="24"/>
          <w:lang w:val="sr-Cyrl-CS"/>
        </w:rPr>
        <w:t xml:space="preserve">као претходни порез само у случају када испуњава све прописане услове за </w:t>
      </w:r>
      <w:r w:rsidRPr="00FB5A28">
        <w:rPr>
          <w:rFonts w:ascii="Times New Roman" w:hAnsi="Times New Roman"/>
          <w:sz w:val="24"/>
          <w:szCs w:val="24"/>
          <w:lang w:val="sr-Cyrl-CS"/>
        </w:rPr>
        <w:t>одбитак претходног пореза. П</w:t>
      </w:r>
      <w:r w:rsidR="00C23054" w:rsidRPr="00FB5A28">
        <w:rPr>
          <w:rFonts w:ascii="Times New Roman" w:hAnsi="Times New Roman"/>
          <w:sz w:val="24"/>
          <w:szCs w:val="24"/>
          <w:lang w:val="sr-Cyrl-CS"/>
        </w:rPr>
        <w:t xml:space="preserve">орески обвезник и </w:t>
      </w:r>
      <w:r w:rsidR="00F40F95" w:rsidRPr="00FB5A28">
        <w:rPr>
          <w:rFonts w:ascii="Times New Roman" w:hAnsi="Times New Roman"/>
          <w:sz w:val="24"/>
          <w:szCs w:val="24"/>
          <w:lang w:val="sr-Cyrl-CS"/>
        </w:rPr>
        <w:t xml:space="preserve">испоручилац добара и пружалац услуга </w:t>
      </w:r>
      <w:r w:rsidRPr="00FB5A28">
        <w:rPr>
          <w:rFonts w:ascii="Times New Roman" w:hAnsi="Times New Roman"/>
          <w:sz w:val="24"/>
          <w:szCs w:val="24"/>
          <w:lang w:val="sr-Cyrl-CS"/>
        </w:rPr>
        <w:t xml:space="preserve">треба да </w:t>
      </w:r>
      <w:r w:rsidR="00F40F95" w:rsidRPr="00FB5A28">
        <w:rPr>
          <w:rFonts w:ascii="Times New Roman" w:hAnsi="Times New Roman"/>
          <w:sz w:val="24"/>
          <w:szCs w:val="24"/>
          <w:lang w:val="sr-Cyrl-CS"/>
        </w:rPr>
        <w:t xml:space="preserve">буду регистровани као обвезници ПДВ. </w:t>
      </w:r>
      <w:r w:rsidRPr="00FB5A28">
        <w:rPr>
          <w:rFonts w:ascii="Times New Roman" w:hAnsi="Times New Roman"/>
          <w:sz w:val="24"/>
          <w:szCs w:val="24"/>
          <w:lang w:val="sr-Cyrl-CS"/>
        </w:rPr>
        <w:t xml:space="preserve">Претходно обрачунат ПДВ порески обвезник може да одбије делимично као претходни порез </w:t>
      </w:r>
      <w:r w:rsidR="00F40F95" w:rsidRPr="00FB5A28">
        <w:rPr>
          <w:rFonts w:ascii="Times New Roman" w:hAnsi="Times New Roman"/>
          <w:sz w:val="24"/>
          <w:szCs w:val="24"/>
          <w:lang w:val="sr-Cyrl-CS"/>
        </w:rPr>
        <w:t>у случају када набављена добра истовремено користи за промет добара и услуга за које не постоји право на одбитак и за промет добара са правом на одбитак претходног пореза</w:t>
      </w:r>
      <w:r w:rsidR="00E13395" w:rsidRPr="00FB5A28">
        <w:rPr>
          <w:rFonts w:ascii="Times New Roman" w:hAnsi="Times New Roman"/>
          <w:sz w:val="24"/>
          <w:szCs w:val="24"/>
          <w:lang w:val="sr-Cyrl-CS"/>
        </w:rPr>
        <w:t>.</w:t>
      </w:r>
      <w:r w:rsidR="00F40F95" w:rsidRPr="00FB5A28">
        <w:rPr>
          <w:rStyle w:val="FootnoteReference"/>
          <w:rFonts w:ascii="Times New Roman" w:hAnsi="Times New Roman"/>
          <w:color w:val="000000"/>
          <w:sz w:val="24"/>
          <w:szCs w:val="24"/>
          <w:lang w:val="sr-Cyrl-CS"/>
        </w:rPr>
        <w:footnoteReference w:id="396"/>
      </w:r>
      <w:r w:rsidR="00F40F95" w:rsidRPr="00FB5A28">
        <w:rPr>
          <w:rFonts w:ascii="Times New Roman" w:hAnsi="Times New Roman"/>
          <w:sz w:val="24"/>
          <w:szCs w:val="24"/>
          <w:lang w:val="sr-Cyrl-CS"/>
        </w:rPr>
        <w:t xml:space="preserve"> </w:t>
      </w:r>
      <w:r w:rsidR="00E13395" w:rsidRPr="00FB5A28">
        <w:rPr>
          <w:rFonts w:ascii="Times New Roman" w:hAnsi="Times New Roman"/>
          <w:sz w:val="24"/>
          <w:szCs w:val="24"/>
          <w:lang w:val="sr-Cyrl-CS"/>
        </w:rPr>
        <w:t xml:space="preserve"> </w:t>
      </w:r>
      <w:r w:rsidR="00633D9F" w:rsidRPr="00FB5A28">
        <w:rPr>
          <w:rFonts w:ascii="Times New Roman" w:hAnsi="Times New Roman"/>
          <w:sz w:val="24"/>
          <w:szCs w:val="24"/>
          <w:lang w:val="sr-Cyrl-CS"/>
        </w:rPr>
        <w:t>Према томе, претходни порез утиче на висину пореске обавезе, па због тога порески обвезници врше разне злоупотребе како би своју пореску обавезу смањили.</w:t>
      </w:r>
    </w:p>
    <w:p w:rsidR="005F7509" w:rsidRPr="00FB5A28" w:rsidRDefault="00167C13" w:rsidP="00FB5A28">
      <w:pPr>
        <w:ind w:firstLine="708"/>
        <w:jc w:val="both"/>
        <w:rPr>
          <w:rFonts w:ascii="Times New Roman" w:hAnsi="Times New Roman"/>
          <w:sz w:val="24"/>
          <w:szCs w:val="24"/>
          <w:lang w:val="sr-Cyrl-CS"/>
        </w:rPr>
      </w:pPr>
      <w:r w:rsidRPr="00FB5A28">
        <w:rPr>
          <w:rFonts w:ascii="Times New Roman" w:hAnsi="Times New Roman"/>
          <w:sz w:val="24"/>
          <w:szCs w:val="24"/>
        </w:rPr>
        <w:t>Право</w:t>
      </w:r>
      <w:r w:rsidR="005F7509" w:rsidRPr="00FB5A28">
        <w:rPr>
          <w:rFonts w:ascii="Times New Roman" w:hAnsi="Times New Roman"/>
          <w:sz w:val="24"/>
          <w:szCs w:val="24"/>
        </w:rPr>
        <w:t xml:space="preserve"> </w:t>
      </w:r>
      <w:r w:rsidRPr="00FB5A28">
        <w:rPr>
          <w:rFonts w:ascii="Times New Roman" w:hAnsi="Times New Roman"/>
          <w:sz w:val="24"/>
          <w:szCs w:val="24"/>
        </w:rPr>
        <w:t>на</w:t>
      </w:r>
      <w:r w:rsidR="005F7509" w:rsidRPr="00FB5A28">
        <w:rPr>
          <w:rFonts w:ascii="Times New Roman" w:hAnsi="Times New Roman"/>
          <w:sz w:val="24"/>
          <w:szCs w:val="24"/>
        </w:rPr>
        <w:t xml:space="preserve"> </w:t>
      </w:r>
      <w:r w:rsidRPr="00FB5A28">
        <w:rPr>
          <w:rFonts w:ascii="Times New Roman" w:hAnsi="Times New Roman"/>
          <w:sz w:val="24"/>
          <w:szCs w:val="24"/>
        </w:rPr>
        <w:t>одбитак</w:t>
      </w:r>
      <w:r w:rsidR="005F7509" w:rsidRPr="00FB5A28">
        <w:rPr>
          <w:rFonts w:ascii="Times New Roman" w:hAnsi="Times New Roman"/>
          <w:sz w:val="24"/>
          <w:szCs w:val="24"/>
        </w:rPr>
        <w:t xml:space="preserve"> </w:t>
      </w:r>
      <w:r w:rsidRPr="00FB5A28">
        <w:rPr>
          <w:rFonts w:ascii="Times New Roman" w:hAnsi="Times New Roman"/>
          <w:sz w:val="24"/>
          <w:szCs w:val="24"/>
        </w:rPr>
        <w:t>претходног</w:t>
      </w:r>
      <w:r w:rsidR="005F7509" w:rsidRPr="00FB5A28">
        <w:rPr>
          <w:rFonts w:ascii="Times New Roman" w:hAnsi="Times New Roman"/>
          <w:sz w:val="24"/>
          <w:szCs w:val="24"/>
        </w:rPr>
        <w:t xml:space="preserve"> </w:t>
      </w:r>
      <w:r w:rsidRPr="00FB5A28">
        <w:rPr>
          <w:rFonts w:ascii="Times New Roman" w:hAnsi="Times New Roman"/>
          <w:sz w:val="24"/>
          <w:szCs w:val="24"/>
        </w:rPr>
        <w:t>пореза</w:t>
      </w:r>
      <w:r w:rsidR="005F7509" w:rsidRPr="00FB5A28">
        <w:rPr>
          <w:rFonts w:ascii="Times New Roman" w:hAnsi="Times New Roman"/>
          <w:sz w:val="24"/>
          <w:szCs w:val="24"/>
        </w:rPr>
        <w:t xml:space="preserve"> </w:t>
      </w:r>
      <w:r w:rsidRPr="00FB5A28">
        <w:rPr>
          <w:rFonts w:ascii="Times New Roman" w:hAnsi="Times New Roman"/>
          <w:sz w:val="24"/>
          <w:szCs w:val="24"/>
        </w:rPr>
        <w:t>обвезник</w:t>
      </w:r>
      <w:r w:rsidR="005F7509" w:rsidRPr="00FB5A28">
        <w:rPr>
          <w:rFonts w:ascii="Times New Roman" w:hAnsi="Times New Roman"/>
          <w:sz w:val="24"/>
          <w:szCs w:val="24"/>
        </w:rPr>
        <w:t xml:space="preserve"> </w:t>
      </w:r>
      <w:r w:rsidRPr="00FB5A28">
        <w:rPr>
          <w:rFonts w:ascii="Times New Roman" w:hAnsi="Times New Roman"/>
          <w:sz w:val="24"/>
          <w:szCs w:val="24"/>
        </w:rPr>
        <w:t>може</w:t>
      </w:r>
      <w:r w:rsidR="005F7509" w:rsidRPr="00FB5A28">
        <w:rPr>
          <w:rFonts w:ascii="Times New Roman" w:hAnsi="Times New Roman"/>
          <w:sz w:val="24"/>
          <w:szCs w:val="24"/>
        </w:rPr>
        <w:t xml:space="preserve"> </w:t>
      </w:r>
      <w:r w:rsidRPr="00FB5A28">
        <w:rPr>
          <w:rFonts w:ascii="Times New Roman" w:hAnsi="Times New Roman"/>
          <w:sz w:val="24"/>
          <w:szCs w:val="24"/>
        </w:rPr>
        <w:t>да</w:t>
      </w:r>
      <w:r w:rsidR="005F7509" w:rsidRPr="00FB5A28">
        <w:rPr>
          <w:rFonts w:ascii="Times New Roman" w:hAnsi="Times New Roman"/>
          <w:sz w:val="24"/>
          <w:szCs w:val="24"/>
        </w:rPr>
        <w:t xml:space="preserve"> </w:t>
      </w:r>
      <w:r w:rsidRPr="00FB5A28">
        <w:rPr>
          <w:rFonts w:ascii="Times New Roman" w:hAnsi="Times New Roman"/>
          <w:sz w:val="24"/>
          <w:szCs w:val="24"/>
        </w:rPr>
        <w:t>оствари</w:t>
      </w:r>
      <w:r w:rsidR="005F7509" w:rsidRPr="00FB5A28">
        <w:rPr>
          <w:rFonts w:ascii="Times New Roman" w:hAnsi="Times New Roman"/>
          <w:sz w:val="24"/>
          <w:szCs w:val="24"/>
        </w:rPr>
        <w:t xml:space="preserve"> </w:t>
      </w:r>
      <w:r w:rsidRPr="00FB5A28">
        <w:rPr>
          <w:rFonts w:ascii="Times New Roman" w:hAnsi="Times New Roman"/>
          <w:sz w:val="24"/>
          <w:szCs w:val="24"/>
        </w:rPr>
        <w:t>ако</w:t>
      </w:r>
      <w:r w:rsidR="005F7509" w:rsidRPr="00FB5A28">
        <w:rPr>
          <w:rFonts w:ascii="Times New Roman" w:hAnsi="Times New Roman"/>
          <w:sz w:val="24"/>
          <w:szCs w:val="24"/>
        </w:rPr>
        <w:t xml:space="preserve"> </w:t>
      </w:r>
      <w:r w:rsidRPr="00FB5A28">
        <w:rPr>
          <w:rFonts w:ascii="Times New Roman" w:hAnsi="Times New Roman"/>
          <w:sz w:val="24"/>
          <w:szCs w:val="24"/>
        </w:rPr>
        <w:t>добра</w:t>
      </w:r>
      <w:r w:rsidR="005F7509" w:rsidRPr="00FB5A28">
        <w:rPr>
          <w:rFonts w:ascii="Times New Roman" w:hAnsi="Times New Roman"/>
          <w:sz w:val="24"/>
          <w:szCs w:val="24"/>
        </w:rPr>
        <w:t xml:space="preserve"> </w:t>
      </w:r>
      <w:r w:rsidRPr="00FB5A28">
        <w:rPr>
          <w:rFonts w:ascii="Times New Roman" w:hAnsi="Times New Roman"/>
          <w:sz w:val="24"/>
          <w:szCs w:val="24"/>
        </w:rPr>
        <w:t>набављена</w:t>
      </w:r>
      <w:r w:rsidR="005F7509" w:rsidRPr="00FB5A28">
        <w:rPr>
          <w:rFonts w:ascii="Times New Roman" w:hAnsi="Times New Roman"/>
          <w:sz w:val="24"/>
          <w:szCs w:val="24"/>
        </w:rPr>
        <w:t xml:space="preserve"> </w:t>
      </w:r>
      <w:r w:rsidRPr="00FB5A28">
        <w:rPr>
          <w:rFonts w:ascii="Times New Roman" w:hAnsi="Times New Roman"/>
          <w:sz w:val="24"/>
          <w:szCs w:val="24"/>
        </w:rPr>
        <w:t>у</w:t>
      </w:r>
      <w:r w:rsidR="005F7509" w:rsidRPr="00FB5A28">
        <w:rPr>
          <w:rFonts w:ascii="Times New Roman" w:hAnsi="Times New Roman"/>
          <w:sz w:val="24"/>
          <w:szCs w:val="24"/>
        </w:rPr>
        <w:t xml:space="preserve"> </w:t>
      </w:r>
      <w:r w:rsidRPr="00FB5A28">
        <w:rPr>
          <w:rFonts w:ascii="Times New Roman" w:hAnsi="Times New Roman"/>
          <w:sz w:val="24"/>
          <w:szCs w:val="24"/>
        </w:rPr>
        <w:t>Републици</w:t>
      </w:r>
      <w:r w:rsidR="005F7509" w:rsidRPr="00FB5A28">
        <w:rPr>
          <w:rFonts w:ascii="Times New Roman" w:hAnsi="Times New Roman"/>
          <w:sz w:val="24"/>
          <w:szCs w:val="24"/>
        </w:rPr>
        <w:t xml:space="preserve"> </w:t>
      </w:r>
      <w:r w:rsidRPr="00FB5A28">
        <w:rPr>
          <w:rFonts w:ascii="Times New Roman" w:hAnsi="Times New Roman"/>
          <w:sz w:val="24"/>
          <w:szCs w:val="24"/>
        </w:rPr>
        <w:t>или</w:t>
      </w:r>
      <w:r w:rsidR="005F7509" w:rsidRPr="00FB5A28">
        <w:rPr>
          <w:rFonts w:ascii="Times New Roman" w:hAnsi="Times New Roman"/>
          <w:sz w:val="24"/>
          <w:szCs w:val="24"/>
        </w:rPr>
        <w:t xml:space="preserve"> </w:t>
      </w:r>
      <w:r w:rsidRPr="00FB5A28">
        <w:rPr>
          <w:rFonts w:ascii="Times New Roman" w:hAnsi="Times New Roman"/>
          <w:sz w:val="24"/>
          <w:szCs w:val="24"/>
        </w:rPr>
        <w:t>из</w:t>
      </w:r>
      <w:r w:rsidR="005F7509" w:rsidRPr="00FB5A28">
        <w:rPr>
          <w:rFonts w:ascii="Times New Roman" w:hAnsi="Times New Roman"/>
          <w:sz w:val="24"/>
          <w:szCs w:val="24"/>
        </w:rPr>
        <w:t xml:space="preserve"> </w:t>
      </w:r>
      <w:r w:rsidRPr="00FB5A28">
        <w:rPr>
          <w:rFonts w:ascii="Times New Roman" w:hAnsi="Times New Roman"/>
          <w:sz w:val="24"/>
          <w:szCs w:val="24"/>
        </w:rPr>
        <w:t>увоза</w:t>
      </w:r>
      <w:r w:rsidR="005F7509" w:rsidRPr="00FB5A28">
        <w:rPr>
          <w:rFonts w:ascii="Times New Roman" w:hAnsi="Times New Roman"/>
          <w:sz w:val="24"/>
          <w:szCs w:val="24"/>
        </w:rPr>
        <w:t xml:space="preserve">, </w:t>
      </w:r>
      <w:r w:rsidRPr="00FB5A28">
        <w:rPr>
          <w:rFonts w:ascii="Times New Roman" w:hAnsi="Times New Roman"/>
          <w:sz w:val="24"/>
          <w:szCs w:val="24"/>
        </w:rPr>
        <w:t>укључујући</w:t>
      </w:r>
      <w:r w:rsidR="005F7509" w:rsidRPr="00FB5A28">
        <w:rPr>
          <w:rFonts w:ascii="Times New Roman" w:hAnsi="Times New Roman"/>
          <w:sz w:val="24"/>
          <w:szCs w:val="24"/>
        </w:rPr>
        <w:t xml:space="preserve"> </w:t>
      </w:r>
      <w:r w:rsidRPr="00FB5A28">
        <w:rPr>
          <w:rFonts w:ascii="Times New Roman" w:hAnsi="Times New Roman"/>
          <w:sz w:val="24"/>
          <w:szCs w:val="24"/>
        </w:rPr>
        <w:t>и</w:t>
      </w:r>
      <w:r w:rsidR="005F7509" w:rsidRPr="00FB5A28">
        <w:rPr>
          <w:rFonts w:ascii="Times New Roman" w:hAnsi="Times New Roman"/>
          <w:sz w:val="24"/>
          <w:szCs w:val="24"/>
        </w:rPr>
        <w:t xml:space="preserve"> </w:t>
      </w:r>
      <w:r w:rsidRPr="00FB5A28">
        <w:rPr>
          <w:rFonts w:ascii="Times New Roman" w:hAnsi="Times New Roman"/>
          <w:sz w:val="24"/>
          <w:szCs w:val="24"/>
        </w:rPr>
        <w:t>набавку</w:t>
      </w:r>
      <w:r w:rsidR="005F7509" w:rsidRPr="00FB5A28">
        <w:rPr>
          <w:rFonts w:ascii="Times New Roman" w:hAnsi="Times New Roman"/>
          <w:sz w:val="24"/>
          <w:szCs w:val="24"/>
        </w:rPr>
        <w:t xml:space="preserve"> </w:t>
      </w:r>
      <w:r w:rsidRPr="00FB5A28">
        <w:rPr>
          <w:rFonts w:ascii="Times New Roman" w:hAnsi="Times New Roman"/>
          <w:sz w:val="24"/>
          <w:szCs w:val="24"/>
        </w:rPr>
        <w:t>опреме</w:t>
      </w:r>
      <w:r w:rsidR="005F7509" w:rsidRPr="00FB5A28">
        <w:rPr>
          <w:rFonts w:ascii="Times New Roman" w:hAnsi="Times New Roman"/>
          <w:sz w:val="24"/>
          <w:szCs w:val="24"/>
        </w:rPr>
        <w:t xml:space="preserve">, </w:t>
      </w:r>
      <w:r w:rsidRPr="00FB5A28">
        <w:rPr>
          <w:rFonts w:ascii="Times New Roman" w:hAnsi="Times New Roman"/>
          <w:sz w:val="24"/>
          <w:szCs w:val="24"/>
        </w:rPr>
        <w:t>као</w:t>
      </w:r>
      <w:r w:rsidR="005F7509" w:rsidRPr="00FB5A28">
        <w:rPr>
          <w:rFonts w:ascii="Times New Roman" w:hAnsi="Times New Roman"/>
          <w:sz w:val="24"/>
          <w:szCs w:val="24"/>
        </w:rPr>
        <w:t xml:space="preserve"> </w:t>
      </w:r>
      <w:r w:rsidRPr="00FB5A28">
        <w:rPr>
          <w:rFonts w:ascii="Times New Roman" w:hAnsi="Times New Roman"/>
          <w:sz w:val="24"/>
          <w:szCs w:val="24"/>
        </w:rPr>
        <w:t>и</w:t>
      </w:r>
      <w:r w:rsidR="005F7509" w:rsidRPr="00FB5A28">
        <w:rPr>
          <w:rFonts w:ascii="Times New Roman" w:hAnsi="Times New Roman"/>
          <w:sz w:val="24"/>
          <w:szCs w:val="24"/>
        </w:rPr>
        <w:t xml:space="preserve"> </w:t>
      </w:r>
      <w:r w:rsidRPr="00FB5A28">
        <w:rPr>
          <w:rFonts w:ascii="Times New Roman" w:hAnsi="Times New Roman"/>
          <w:sz w:val="24"/>
          <w:szCs w:val="24"/>
        </w:rPr>
        <w:t>објеката</w:t>
      </w:r>
      <w:r w:rsidR="005F7509" w:rsidRPr="00FB5A28">
        <w:rPr>
          <w:rFonts w:ascii="Times New Roman" w:hAnsi="Times New Roman"/>
          <w:sz w:val="24"/>
          <w:szCs w:val="24"/>
        </w:rPr>
        <w:t xml:space="preserve"> </w:t>
      </w:r>
      <w:r w:rsidRPr="00FB5A28">
        <w:rPr>
          <w:rFonts w:ascii="Times New Roman" w:hAnsi="Times New Roman"/>
          <w:sz w:val="24"/>
          <w:szCs w:val="24"/>
        </w:rPr>
        <w:t>за</w:t>
      </w:r>
      <w:r w:rsidR="005F7509" w:rsidRPr="00FB5A28">
        <w:rPr>
          <w:rFonts w:ascii="Times New Roman" w:hAnsi="Times New Roman"/>
          <w:sz w:val="24"/>
          <w:szCs w:val="24"/>
        </w:rPr>
        <w:t xml:space="preserve"> </w:t>
      </w:r>
      <w:r w:rsidRPr="00FB5A28">
        <w:rPr>
          <w:rFonts w:ascii="Times New Roman" w:hAnsi="Times New Roman"/>
          <w:sz w:val="24"/>
          <w:szCs w:val="24"/>
        </w:rPr>
        <w:t>вршење</w:t>
      </w:r>
      <w:r w:rsidR="005F7509" w:rsidRPr="00FB5A28">
        <w:rPr>
          <w:rFonts w:ascii="Times New Roman" w:hAnsi="Times New Roman"/>
          <w:sz w:val="24"/>
          <w:szCs w:val="24"/>
        </w:rPr>
        <w:t xml:space="preserve"> </w:t>
      </w:r>
      <w:r w:rsidRPr="00FB5A28">
        <w:rPr>
          <w:rFonts w:ascii="Times New Roman" w:hAnsi="Times New Roman"/>
          <w:sz w:val="24"/>
          <w:szCs w:val="24"/>
        </w:rPr>
        <w:t>делатности</w:t>
      </w:r>
      <w:r w:rsidR="005F7509" w:rsidRPr="00FB5A28">
        <w:rPr>
          <w:rFonts w:ascii="Times New Roman" w:hAnsi="Times New Roman"/>
          <w:sz w:val="24"/>
          <w:szCs w:val="24"/>
        </w:rPr>
        <w:t xml:space="preserve"> </w:t>
      </w:r>
      <w:r w:rsidRPr="00FB5A28">
        <w:rPr>
          <w:rFonts w:ascii="Times New Roman" w:hAnsi="Times New Roman"/>
          <w:sz w:val="24"/>
          <w:szCs w:val="24"/>
        </w:rPr>
        <w:t>и</w:t>
      </w:r>
      <w:r w:rsidR="005F7509" w:rsidRPr="00FB5A28">
        <w:rPr>
          <w:rFonts w:ascii="Times New Roman" w:hAnsi="Times New Roman"/>
          <w:sz w:val="24"/>
          <w:szCs w:val="24"/>
        </w:rPr>
        <w:t xml:space="preserve"> </w:t>
      </w:r>
      <w:r w:rsidRPr="00FB5A28">
        <w:rPr>
          <w:rFonts w:ascii="Times New Roman" w:hAnsi="Times New Roman"/>
          <w:sz w:val="24"/>
          <w:szCs w:val="24"/>
        </w:rPr>
        <w:t>економски</w:t>
      </w:r>
      <w:r w:rsidR="005F7509" w:rsidRPr="00FB5A28">
        <w:rPr>
          <w:rFonts w:ascii="Times New Roman" w:hAnsi="Times New Roman"/>
          <w:sz w:val="24"/>
          <w:szCs w:val="24"/>
        </w:rPr>
        <w:t xml:space="preserve"> </w:t>
      </w:r>
      <w:r w:rsidRPr="00FB5A28">
        <w:rPr>
          <w:rFonts w:ascii="Times New Roman" w:hAnsi="Times New Roman"/>
          <w:sz w:val="24"/>
          <w:szCs w:val="24"/>
        </w:rPr>
        <w:t>дељивих</w:t>
      </w:r>
      <w:r w:rsidR="005F7509" w:rsidRPr="00FB5A28">
        <w:rPr>
          <w:rFonts w:ascii="Times New Roman" w:hAnsi="Times New Roman"/>
          <w:sz w:val="24"/>
          <w:szCs w:val="24"/>
        </w:rPr>
        <w:t xml:space="preserve"> </w:t>
      </w:r>
      <w:r w:rsidRPr="00FB5A28">
        <w:rPr>
          <w:rFonts w:ascii="Times New Roman" w:hAnsi="Times New Roman"/>
          <w:sz w:val="24"/>
          <w:szCs w:val="24"/>
        </w:rPr>
        <w:t>целина</w:t>
      </w:r>
      <w:r w:rsidR="005F7509" w:rsidRPr="00FB5A28">
        <w:rPr>
          <w:rFonts w:ascii="Times New Roman" w:hAnsi="Times New Roman"/>
          <w:sz w:val="24"/>
          <w:szCs w:val="24"/>
        </w:rPr>
        <w:t xml:space="preserve"> </w:t>
      </w:r>
      <w:r w:rsidRPr="00FB5A28">
        <w:rPr>
          <w:rFonts w:ascii="Times New Roman" w:hAnsi="Times New Roman"/>
          <w:sz w:val="24"/>
          <w:szCs w:val="24"/>
        </w:rPr>
        <w:t>у</w:t>
      </w:r>
      <w:r w:rsidR="005F7509" w:rsidRPr="00FB5A28">
        <w:rPr>
          <w:rFonts w:ascii="Times New Roman" w:hAnsi="Times New Roman"/>
          <w:sz w:val="24"/>
          <w:szCs w:val="24"/>
        </w:rPr>
        <w:t xml:space="preserve"> </w:t>
      </w:r>
      <w:r w:rsidRPr="00FB5A28">
        <w:rPr>
          <w:rFonts w:ascii="Times New Roman" w:hAnsi="Times New Roman"/>
          <w:sz w:val="24"/>
          <w:szCs w:val="24"/>
        </w:rPr>
        <w:t>оквиру</w:t>
      </w:r>
      <w:r w:rsidR="005F7509" w:rsidRPr="00FB5A28">
        <w:rPr>
          <w:rFonts w:ascii="Times New Roman" w:hAnsi="Times New Roman"/>
          <w:sz w:val="24"/>
          <w:szCs w:val="24"/>
        </w:rPr>
        <w:t xml:space="preserve"> </w:t>
      </w:r>
      <w:r w:rsidRPr="00FB5A28">
        <w:rPr>
          <w:rFonts w:ascii="Times New Roman" w:hAnsi="Times New Roman"/>
          <w:sz w:val="24"/>
          <w:szCs w:val="24"/>
        </w:rPr>
        <w:t>тих</w:t>
      </w:r>
      <w:r w:rsidR="005F7509" w:rsidRPr="00FB5A28">
        <w:rPr>
          <w:rFonts w:ascii="Times New Roman" w:hAnsi="Times New Roman"/>
          <w:sz w:val="24"/>
          <w:szCs w:val="24"/>
        </w:rPr>
        <w:t xml:space="preserve"> </w:t>
      </w:r>
      <w:r w:rsidRPr="00FB5A28">
        <w:rPr>
          <w:rFonts w:ascii="Times New Roman" w:hAnsi="Times New Roman"/>
          <w:sz w:val="24"/>
          <w:szCs w:val="24"/>
        </w:rPr>
        <w:t>објеката</w:t>
      </w:r>
      <w:r w:rsidR="005F7509" w:rsidRPr="00FB5A28">
        <w:rPr>
          <w:rFonts w:ascii="Times New Roman" w:hAnsi="Times New Roman"/>
          <w:sz w:val="24"/>
          <w:szCs w:val="24"/>
        </w:rPr>
        <w:t xml:space="preserve"> , </w:t>
      </w:r>
      <w:r w:rsidRPr="00FB5A28">
        <w:rPr>
          <w:rFonts w:ascii="Times New Roman" w:hAnsi="Times New Roman"/>
          <w:sz w:val="24"/>
          <w:szCs w:val="24"/>
        </w:rPr>
        <w:t>односно</w:t>
      </w:r>
      <w:r w:rsidR="005F7509" w:rsidRPr="00FB5A28">
        <w:rPr>
          <w:rFonts w:ascii="Times New Roman" w:hAnsi="Times New Roman"/>
          <w:sz w:val="24"/>
          <w:szCs w:val="24"/>
        </w:rPr>
        <w:t xml:space="preserve"> </w:t>
      </w:r>
      <w:r w:rsidRPr="00FB5A28">
        <w:rPr>
          <w:rFonts w:ascii="Times New Roman" w:hAnsi="Times New Roman"/>
          <w:sz w:val="24"/>
          <w:szCs w:val="24"/>
        </w:rPr>
        <w:t>примљене</w:t>
      </w:r>
      <w:r w:rsidR="005F7509" w:rsidRPr="00FB5A28">
        <w:rPr>
          <w:rFonts w:ascii="Times New Roman" w:hAnsi="Times New Roman"/>
          <w:sz w:val="24"/>
          <w:szCs w:val="24"/>
        </w:rPr>
        <w:t xml:space="preserve"> </w:t>
      </w:r>
      <w:r w:rsidRPr="00FB5A28">
        <w:rPr>
          <w:rFonts w:ascii="Times New Roman" w:hAnsi="Times New Roman"/>
          <w:sz w:val="24"/>
          <w:szCs w:val="24"/>
        </w:rPr>
        <w:t>услуге</w:t>
      </w:r>
      <w:r w:rsidR="005F7509" w:rsidRPr="00FB5A28">
        <w:rPr>
          <w:rFonts w:ascii="Times New Roman" w:hAnsi="Times New Roman"/>
          <w:sz w:val="24"/>
          <w:szCs w:val="24"/>
        </w:rPr>
        <w:t xml:space="preserve">, </w:t>
      </w:r>
      <w:r w:rsidRPr="00FB5A28">
        <w:rPr>
          <w:rFonts w:ascii="Times New Roman" w:hAnsi="Times New Roman"/>
          <w:sz w:val="24"/>
          <w:szCs w:val="24"/>
        </w:rPr>
        <w:t>користи</w:t>
      </w:r>
      <w:r w:rsidR="005F7509" w:rsidRPr="00FB5A28">
        <w:rPr>
          <w:rFonts w:ascii="Times New Roman" w:hAnsi="Times New Roman"/>
          <w:sz w:val="24"/>
          <w:szCs w:val="24"/>
        </w:rPr>
        <w:t xml:space="preserve"> </w:t>
      </w:r>
      <w:r w:rsidRPr="00FB5A28">
        <w:rPr>
          <w:rFonts w:ascii="Times New Roman" w:hAnsi="Times New Roman"/>
          <w:sz w:val="24"/>
          <w:szCs w:val="24"/>
        </w:rPr>
        <w:t>или</w:t>
      </w:r>
      <w:r w:rsidR="005F7509" w:rsidRPr="00FB5A28">
        <w:rPr>
          <w:rFonts w:ascii="Times New Roman" w:hAnsi="Times New Roman"/>
          <w:sz w:val="24"/>
          <w:szCs w:val="24"/>
        </w:rPr>
        <w:t xml:space="preserve"> </w:t>
      </w:r>
      <w:r w:rsidRPr="00FB5A28">
        <w:rPr>
          <w:rFonts w:ascii="Times New Roman" w:hAnsi="Times New Roman"/>
          <w:sz w:val="24"/>
          <w:szCs w:val="24"/>
        </w:rPr>
        <w:t>ће</w:t>
      </w:r>
      <w:r w:rsidR="005F7509" w:rsidRPr="00FB5A28">
        <w:rPr>
          <w:rFonts w:ascii="Times New Roman" w:hAnsi="Times New Roman"/>
          <w:sz w:val="24"/>
          <w:szCs w:val="24"/>
        </w:rPr>
        <w:t xml:space="preserve"> </w:t>
      </w:r>
      <w:r w:rsidRPr="00FB5A28">
        <w:rPr>
          <w:rFonts w:ascii="Times New Roman" w:hAnsi="Times New Roman"/>
          <w:sz w:val="24"/>
          <w:szCs w:val="24"/>
        </w:rPr>
        <w:t>их</w:t>
      </w:r>
      <w:r w:rsidR="005F7509" w:rsidRPr="00FB5A28">
        <w:rPr>
          <w:rFonts w:ascii="Times New Roman" w:hAnsi="Times New Roman"/>
          <w:sz w:val="24"/>
          <w:szCs w:val="24"/>
        </w:rPr>
        <w:t xml:space="preserve"> </w:t>
      </w:r>
      <w:r w:rsidRPr="00FB5A28">
        <w:rPr>
          <w:rFonts w:ascii="Times New Roman" w:hAnsi="Times New Roman"/>
          <w:sz w:val="24"/>
          <w:szCs w:val="24"/>
        </w:rPr>
        <w:t>користити</w:t>
      </w:r>
      <w:r w:rsidR="005F7509" w:rsidRPr="00FB5A28">
        <w:rPr>
          <w:rFonts w:ascii="Times New Roman" w:hAnsi="Times New Roman"/>
          <w:sz w:val="24"/>
          <w:szCs w:val="24"/>
        </w:rPr>
        <w:t xml:space="preserve"> </w:t>
      </w:r>
      <w:r w:rsidRPr="00FB5A28">
        <w:rPr>
          <w:rFonts w:ascii="Times New Roman" w:hAnsi="Times New Roman"/>
          <w:sz w:val="24"/>
          <w:szCs w:val="24"/>
        </w:rPr>
        <w:t>за</w:t>
      </w:r>
      <w:r w:rsidR="005F7509" w:rsidRPr="00FB5A28">
        <w:rPr>
          <w:rFonts w:ascii="Times New Roman" w:hAnsi="Times New Roman"/>
          <w:sz w:val="24"/>
          <w:szCs w:val="24"/>
        </w:rPr>
        <w:t xml:space="preserve"> </w:t>
      </w:r>
      <w:r w:rsidRPr="00FB5A28">
        <w:rPr>
          <w:rFonts w:ascii="Times New Roman" w:hAnsi="Times New Roman"/>
          <w:sz w:val="24"/>
          <w:szCs w:val="24"/>
        </w:rPr>
        <w:t>промет</w:t>
      </w:r>
      <w:r w:rsidR="005F7509" w:rsidRPr="00FB5A28">
        <w:rPr>
          <w:rFonts w:ascii="Times New Roman" w:hAnsi="Times New Roman"/>
          <w:sz w:val="24"/>
          <w:szCs w:val="24"/>
        </w:rPr>
        <w:t xml:space="preserve"> </w:t>
      </w:r>
      <w:r w:rsidRPr="00FB5A28">
        <w:rPr>
          <w:rFonts w:ascii="Times New Roman" w:hAnsi="Times New Roman"/>
          <w:sz w:val="24"/>
          <w:szCs w:val="24"/>
        </w:rPr>
        <w:t>добара</w:t>
      </w:r>
      <w:r w:rsidR="005F7509" w:rsidRPr="00FB5A28">
        <w:rPr>
          <w:rFonts w:ascii="Times New Roman" w:hAnsi="Times New Roman"/>
          <w:sz w:val="24"/>
          <w:szCs w:val="24"/>
        </w:rPr>
        <w:t xml:space="preserve"> </w:t>
      </w:r>
      <w:r w:rsidRPr="00FB5A28">
        <w:rPr>
          <w:rFonts w:ascii="Times New Roman" w:hAnsi="Times New Roman"/>
          <w:sz w:val="24"/>
          <w:szCs w:val="24"/>
        </w:rPr>
        <w:t>и</w:t>
      </w:r>
      <w:r w:rsidR="005F7509" w:rsidRPr="00FB5A28">
        <w:rPr>
          <w:rFonts w:ascii="Times New Roman" w:hAnsi="Times New Roman"/>
          <w:sz w:val="24"/>
          <w:szCs w:val="24"/>
        </w:rPr>
        <w:t xml:space="preserve"> </w:t>
      </w:r>
      <w:r w:rsidRPr="00FB5A28">
        <w:rPr>
          <w:rFonts w:ascii="Times New Roman" w:hAnsi="Times New Roman"/>
          <w:sz w:val="24"/>
          <w:szCs w:val="24"/>
        </w:rPr>
        <w:t>услуга</w:t>
      </w:r>
      <w:r w:rsidR="005F7509" w:rsidRPr="00FB5A28">
        <w:rPr>
          <w:rFonts w:ascii="Times New Roman" w:hAnsi="Times New Roman"/>
          <w:sz w:val="24"/>
          <w:szCs w:val="24"/>
        </w:rPr>
        <w:t>:</w:t>
      </w:r>
      <w:r w:rsidR="005F7509" w:rsidRPr="00FB5A28">
        <w:rPr>
          <w:rFonts w:ascii="Times New Roman" w:hAnsi="Times New Roman"/>
          <w:sz w:val="24"/>
          <w:szCs w:val="24"/>
          <w:lang w:val="sr-Cyrl-CS"/>
        </w:rPr>
        <w:t xml:space="preserve"> </w:t>
      </w:r>
    </w:p>
    <w:p w:rsidR="005F7509" w:rsidRPr="00FB5A28" w:rsidRDefault="005F7509" w:rsidP="00FB5A28">
      <w:pPr>
        <w:jc w:val="both"/>
        <w:rPr>
          <w:rFonts w:ascii="Times New Roman" w:hAnsi="Times New Roman"/>
          <w:sz w:val="24"/>
          <w:szCs w:val="24"/>
        </w:rPr>
      </w:pPr>
      <w:r w:rsidRPr="00FB5A28">
        <w:rPr>
          <w:rFonts w:ascii="Times New Roman" w:hAnsi="Times New Roman"/>
          <w:sz w:val="24"/>
          <w:szCs w:val="24"/>
        </w:rPr>
        <w:t xml:space="preserve">1) </w:t>
      </w:r>
      <w:r w:rsidR="00167C13" w:rsidRPr="00FB5A28">
        <w:rPr>
          <w:rFonts w:ascii="Times New Roman" w:hAnsi="Times New Roman"/>
          <w:sz w:val="24"/>
          <w:szCs w:val="24"/>
        </w:rPr>
        <w:t>који</w:t>
      </w:r>
      <w:r w:rsidRPr="00FB5A28">
        <w:rPr>
          <w:rFonts w:ascii="Times New Roman" w:hAnsi="Times New Roman"/>
          <w:sz w:val="24"/>
          <w:szCs w:val="24"/>
        </w:rPr>
        <w:t xml:space="preserve"> </w:t>
      </w:r>
      <w:r w:rsidR="00167C13" w:rsidRPr="00FB5A28">
        <w:rPr>
          <w:rFonts w:ascii="Times New Roman" w:hAnsi="Times New Roman"/>
          <w:sz w:val="24"/>
          <w:szCs w:val="24"/>
        </w:rPr>
        <w:t>је</w:t>
      </w:r>
      <w:r w:rsidRPr="00FB5A28">
        <w:rPr>
          <w:rFonts w:ascii="Times New Roman" w:hAnsi="Times New Roman"/>
          <w:sz w:val="24"/>
          <w:szCs w:val="24"/>
        </w:rPr>
        <w:t xml:space="preserve"> </w:t>
      </w:r>
      <w:r w:rsidR="00167C13" w:rsidRPr="00FB5A28">
        <w:rPr>
          <w:rFonts w:ascii="Times New Roman" w:hAnsi="Times New Roman"/>
          <w:sz w:val="24"/>
          <w:szCs w:val="24"/>
        </w:rPr>
        <w:t>опорезив</w:t>
      </w:r>
      <w:r w:rsidRPr="00FB5A28">
        <w:rPr>
          <w:rFonts w:ascii="Times New Roman" w:hAnsi="Times New Roman"/>
          <w:sz w:val="24"/>
          <w:szCs w:val="24"/>
        </w:rPr>
        <w:t xml:space="preserve"> </w:t>
      </w:r>
      <w:r w:rsidR="00167C13" w:rsidRPr="00FB5A28">
        <w:rPr>
          <w:rFonts w:ascii="Times New Roman" w:hAnsi="Times New Roman"/>
          <w:sz w:val="24"/>
          <w:szCs w:val="24"/>
        </w:rPr>
        <w:t>ПДВ</w:t>
      </w:r>
      <w:r w:rsidRPr="00FB5A28">
        <w:rPr>
          <w:rFonts w:ascii="Times New Roman" w:hAnsi="Times New Roman"/>
          <w:sz w:val="24"/>
          <w:szCs w:val="24"/>
        </w:rPr>
        <w:t>;</w:t>
      </w:r>
    </w:p>
    <w:p w:rsidR="005F7509" w:rsidRPr="00FB5A28" w:rsidRDefault="005F7509" w:rsidP="00FB5A28">
      <w:pPr>
        <w:jc w:val="both"/>
        <w:rPr>
          <w:rFonts w:ascii="Times New Roman" w:hAnsi="Times New Roman"/>
          <w:sz w:val="24"/>
          <w:szCs w:val="24"/>
        </w:rPr>
      </w:pPr>
      <w:r w:rsidRPr="00FB5A28">
        <w:rPr>
          <w:rFonts w:ascii="Times New Roman" w:hAnsi="Times New Roman"/>
          <w:sz w:val="24"/>
          <w:szCs w:val="24"/>
        </w:rPr>
        <w:t xml:space="preserve">2) </w:t>
      </w:r>
      <w:r w:rsidR="00167C13" w:rsidRPr="00FB5A28">
        <w:rPr>
          <w:rFonts w:ascii="Times New Roman" w:hAnsi="Times New Roman"/>
          <w:sz w:val="24"/>
          <w:szCs w:val="24"/>
        </w:rPr>
        <w:t>за</w:t>
      </w:r>
      <w:r w:rsidRPr="00FB5A28">
        <w:rPr>
          <w:rFonts w:ascii="Times New Roman" w:hAnsi="Times New Roman"/>
          <w:sz w:val="24"/>
          <w:szCs w:val="24"/>
        </w:rPr>
        <w:t xml:space="preserve"> </w:t>
      </w:r>
      <w:r w:rsidR="00167C13" w:rsidRPr="00FB5A28">
        <w:rPr>
          <w:rFonts w:ascii="Times New Roman" w:hAnsi="Times New Roman"/>
          <w:sz w:val="24"/>
          <w:szCs w:val="24"/>
        </w:rPr>
        <w:t>који</w:t>
      </w:r>
      <w:r w:rsidRPr="00FB5A28">
        <w:rPr>
          <w:rFonts w:ascii="Times New Roman" w:hAnsi="Times New Roman"/>
          <w:sz w:val="24"/>
          <w:szCs w:val="24"/>
          <w:lang w:val="sr-Cyrl-CS"/>
        </w:rPr>
        <w:t xml:space="preserve"> </w:t>
      </w:r>
      <w:r w:rsidRPr="00FB5A28">
        <w:rPr>
          <w:rFonts w:ascii="Times New Roman" w:hAnsi="Times New Roman"/>
          <w:sz w:val="24"/>
          <w:szCs w:val="24"/>
        </w:rPr>
        <w:t xml:space="preserve"> </w:t>
      </w:r>
      <w:r w:rsidR="00167C13" w:rsidRPr="00FB5A28">
        <w:rPr>
          <w:rFonts w:ascii="Times New Roman" w:hAnsi="Times New Roman"/>
          <w:sz w:val="24"/>
          <w:szCs w:val="24"/>
        </w:rPr>
        <w:t>постоји</w:t>
      </w:r>
      <w:r w:rsidRPr="00FB5A28">
        <w:rPr>
          <w:rFonts w:ascii="Times New Roman" w:hAnsi="Times New Roman"/>
          <w:sz w:val="24"/>
          <w:szCs w:val="24"/>
        </w:rPr>
        <w:t xml:space="preserve"> </w:t>
      </w:r>
      <w:r w:rsidR="00167C13" w:rsidRPr="00FB5A28">
        <w:rPr>
          <w:rFonts w:ascii="Times New Roman" w:hAnsi="Times New Roman"/>
          <w:sz w:val="24"/>
          <w:szCs w:val="24"/>
        </w:rPr>
        <w:t>ослобођење</w:t>
      </w:r>
      <w:r w:rsidRPr="00FB5A28">
        <w:rPr>
          <w:rFonts w:ascii="Times New Roman" w:hAnsi="Times New Roman"/>
          <w:sz w:val="24"/>
          <w:szCs w:val="24"/>
        </w:rPr>
        <w:t xml:space="preserve"> </w:t>
      </w:r>
      <w:r w:rsidR="00167C13" w:rsidRPr="00FB5A28">
        <w:rPr>
          <w:rFonts w:ascii="Times New Roman" w:hAnsi="Times New Roman"/>
          <w:sz w:val="24"/>
          <w:szCs w:val="24"/>
        </w:rPr>
        <w:t>од</w:t>
      </w:r>
      <w:r w:rsidRPr="00FB5A28">
        <w:rPr>
          <w:rFonts w:ascii="Times New Roman" w:hAnsi="Times New Roman"/>
          <w:sz w:val="24"/>
          <w:szCs w:val="24"/>
        </w:rPr>
        <w:t xml:space="preserve"> </w:t>
      </w:r>
      <w:r w:rsidR="00167C13" w:rsidRPr="00FB5A28">
        <w:rPr>
          <w:rFonts w:ascii="Times New Roman" w:hAnsi="Times New Roman"/>
          <w:sz w:val="24"/>
          <w:szCs w:val="24"/>
        </w:rPr>
        <w:t>плаћања</w:t>
      </w:r>
      <w:r w:rsidRPr="00FB5A28">
        <w:rPr>
          <w:rFonts w:ascii="Times New Roman" w:hAnsi="Times New Roman"/>
          <w:sz w:val="24"/>
          <w:szCs w:val="24"/>
        </w:rPr>
        <w:t xml:space="preserve"> </w:t>
      </w:r>
      <w:r w:rsidR="00167C13" w:rsidRPr="00FB5A28">
        <w:rPr>
          <w:rFonts w:ascii="Times New Roman" w:hAnsi="Times New Roman"/>
          <w:sz w:val="24"/>
          <w:szCs w:val="24"/>
        </w:rPr>
        <w:t>ПДВ</w:t>
      </w:r>
      <w:r w:rsidRPr="00FB5A28">
        <w:rPr>
          <w:rFonts w:ascii="Times New Roman" w:hAnsi="Times New Roman"/>
          <w:sz w:val="24"/>
          <w:szCs w:val="24"/>
        </w:rPr>
        <w:t>;</w:t>
      </w:r>
    </w:p>
    <w:p w:rsidR="005F7509" w:rsidRPr="00FB5A28" w:rsidRDefault="005F7509" w:rsidP="00FB5A28">
      <w:pPr>
        <w:jc w:val="both"/>
        <w:rPr>
          <w:rFonts w:ascii="Times New Roman" w:hAnsi="Times New Roman"/>
          <w:sz w:val="24"/>
          <w:szCs w:val="24"/>
          <w:lang w:val="sr-Cyrl-CS"/>
        </w:rPr>
      </w:pPr>
      <w:r w:rsidRPr="00FB5A28">
        <w:rPr>
          <w:rFonts w:ascii="Times New Roman" w:hAnsi="Times New Roman"/>
          <w:sz w:val="24"/>
          <w:szCs w:val="24"/>
        </w:rPr>
        <w:t xml:space="preserve">3) </w:t>
      </w:r>
      <w:r w:rsidR="00167C13" w:rsidRPr="00FB5A28">
        <w:rPr>
          <w:rFonts w:ascii="Times New Roman" w:hAnsi="Times New Roman"/>
          <w:sz w:val="24"/>
          <w:szCs w:val="24"/>
        </w:rPr>
        <w:t>који</w:t>
      </w:r>
      <w:r w:rsidRPr="00FB5A28">
        <w:rPr>
          <w:rFonts w:ascii="Times New Roman" w:hAnsi="Times New Roman"/>
          <w:sz w:val="24"/>
          <w:szCs w:val="24"/>
        </w:rPr>
        <w:t xml:space="preserve"> </w:t>
      </w:r>
      <w:r w:rsidR="00167C13" w:rsidRPr="00FB5A28">
        <w:rPr>
          <w:rFonts w:ascii="Times New Roman" w:hAnsi="Times New Roman"/>
          <w:sz w:val="24"/>
          <w:szCs w:val="24"/>
        </w:rPr>
        <w:t>је</w:t>
      </w:r>
      <w:r w:rsidRPr="00FB5A28">
        <w:rPr>
          <w:rFonts w:ascii="Times New Roman" w:hAnsi="Times New Roman"/>
          <w:sz w:val="24"/>
          <w:szCs w:val="24"/>
        </w:rPr>
        <w:t xml:space="preserve"> </w:t>
      </w:r>
      <w:r w:rsidR="00167C13" w:rsidRPr="00FB5A28">
        <w:rPr>
          <w:rFonts w:ascii="Times New Roman" w:hAnsi="Times New Roman"/>
          <w:sz w:val="24"/>
          <w:szCs w:val="24"/>
        </w:rPr>
        <w:t>извршен</w:t>
      </w:r>
      <w:r w:rsidRPr="00FB5A28">
        <w:rPr>
          <w:rFonts w:ascii="Times New Roman" w:hAnsi="Times New Roman"/>
          <w:sz w:val="24"/>
          <w:szCs w:val="24"/>
        </w:rPr>
        <w:t xml:space="preserve"> </w:t>
      </w:r>
      <w:r w:rsidR="00167C13" w:rsidRPr="00FB5A28">
        <w:rPr>
          <w:rFonts w:ascii="Times New Roman" w:hAnsi="Times New Roman"/>
          <w:sz w:val="24"/>
          <w:szCs w:val="24"/>
        </w:rPr>
        <w:t>у</w:t>
      </w:r>
      <w:r w:rsidRPr="00FB5A28">
        <w:rPr>
          <w:rFonts w:ascii="Times New Roman" w:hAnsi="Times New Roman"/>
          <w:sz w:val="24"/>
          <w:szCs w:val="24"/>
        </w:rPr>
        <w:t xml:space="preserve"> </w:t>
      </w:r>
      <w:r w:rsidR="00167C13" w:rsidRPr="00FB5A28">
        <w:rPr>
          <w:rFonts w:ascii="Times New Roman" w:hAnsi="Times New Roman"/>
          <w:sz w:val="24"/>
          <w:szCs w:val="24"/>
        </w:rPr>
        <w:t>иностранству</w:t>
      </w:r>
      <w:r w:rsidRPr="00FB5A28">
        <w:rPr>
          <w:rFonts w:ascii="Times New Roman" w:hAnsi="Times New Roman"/>
          <w:sz w:val="24"/>
          <w:szCs w:val="24"/>
        </w:rPr>
        <w:t xml:space="preserve">, </w:t>
      </w:r>
      <w:r w:rsidR="00167C13" w:rsidRPr="00FB5A28">
        <w:rPr>
          <w:rFonts w:ascii="Times New Roman" w:hAnsi="Times New Roman"/>
          <w:sz w:val="24"/>
          <w:szCs w:val="24"/>
        </w:rPr>
        <w:t>ако</w:t>
      </w:r>
      <w:r w:rsidRPr="00FB5A28">
        <w:rPr>
          <w:rFonts w:ascii="Times New Roman" w:hAnsi="Times New Roman"/>
          <w:sz w:val="24"/>
          <w:szCs w:val="24"/>
        </w:rPr>
        <w:t xml:space="preserve"> </w:t>
      </w:r>
      <w:r w:rsidR="00167C13" w:rsidRPr="00FB5A28">
        <w:rPr>
          <w:rFonts w:ascii="Times New Roman" w:hAnsi="Times New Roman"/>
          <w:sz w:val="24"/>
          <w:szCs w:val="24"/>
        </w:rPr>
        <w:t>би</w:t>
      </w:r>
      <w:r w:rsidRPr="00FB5A28">
        <w:rPr>
          <w:rFonts w:ascii="Times New Roman" w:hAnsi="Times New Roman"/>
          <w:sz w:val="24"/>
          <w:szCs w:val="24"/>
        </w:rPr>
        <w:t xml:space="preserve"> </w:t>
      </w:r>
      <w:r w:rsidR="00167C13" w:rsidRPr="00FB5A28">
        <w:rPr>
          <w:rFonts w:ascii="Times New Roman" w:hAnsi="Times New Roman"/>
          <w:sz w:val="24"/>
          <w:szCs w:val="24"/>
        </w:rPr>
        <w:t>за</w:t>
      </w:r>
      <w:r w:rsidRPr="00FB5A28">
        <w:rPr>
          <w:rFonts w:ascii="Times New Roman" w:hAnsi="Times New Roman"/>
          <w:sz w:val="24"/>
          <w:szCs w:val="24"/>
        </w:rPr>
        <w:t xml:space="preserve"> </w:t>
      </w:r>
      <w:r w:rsidR="00167C13" w:rsidRPr="00FB5A28">
        <w:rPr>
          <w:rFonts w:ascii="Times New Roman" w:hAnsi="Times New Roman"/>
          <w:sz w:val="24"/>
          <w:szCs w:val="24"/>
        </w:rPr>
        <w:t>тај</w:t>
      </w:r>
      <w:r w:rsidRPr="00FB5A28">
        <w:rPr>
          <w:rFonts w:ascii="Times New Roman" w:hAnsi="Times New Roman"/>
          <w:sz w:val="24"/>
          <w:szCs w:val="24"/>
        </w:rPr>
        <w:t xml:space="preserve"> </w:t>
      </w:r>
      <w:r w:rsidR="00167C13" w:rsidRPr="00FB5A28">
        <w:rPr>
          <w:rFonts w:ascii="Times New Roman" w:hAnsi="Times New Roman"/>
          <w:sz w:val="24"/>
          <w:szCs w:val="24"/>
        </w:rPr>
        <w:t>промет</w:t>
      </w:r>
      <w:r w:rsidRPr="00FB5A28">
        <w:rPr>
          <w:rFonts w:ascii="Times New Roman" w:hAnsi="Times New Roman"/>
          <w:sz w:val="24"/>
          <w:szCs w:val="24"/>
        </w:rPr>
        <w:t xml:space="preserve"> </w:t>
      </w:r>
      <w:r w:rsidR="00167C13" w:rsidRPr="00FB5A28">
        <w:rPr>
          <w:rFonts w:ascii="Times New Roman" w:hAnsi="Times New Roman"/>
          <w:sz w:val="24"/>
          <w:szCs w:val="24"/>
        </w:rPr>
        <w:t>постојало</w:t>
      </w:r>
      <w:r w:rsidRPr="00FB5A28">
        <w:rPr>
          <w:rFonts w:ascii="Times New Roman" w:hAnsi="Times New Roman"/>
          <w:sz w:val="24"/>
          <w:szCs w:val="24"/>
        </w:rPr>
        <w:t xml:space="preserve"> </w:t>
      </w:r>
      <w:r w:rsidR="00167C13" w:rsidRPr="00FB5A28">
        <w:rPr>
          <w:rFonts w:ascii="Times New Roman" w:hAnsi="Times New Roman"/>
          <w:sz w:val="24"/>
          <w:szCs w:val="24"/>
        </w:rPr>
        <w:t>право</w:t>
      </w:r>
      <w:r w:rsidRPr="00FB5A28">
        <w:rPr>
          <w:rFonts w:ascii="Times New Roman" w:hAnsi="Times New Roman"/>
          <w:sz w:val="24"/>
          <w:szCs w:val="24"/>
        </w:rPr>
        <w:t xml:space="preserve"> </w:t>
      </w:r>
      <w:r w:rsidR="00167C13" w:rsidRPr="00FB5A28">
        <w:rPr>
          <w:rFonts w:ascii="Times New Roman" w:hAnsi="Times New Roman"/>
          <w:sz w:val="24"/>
          <w:szCs w:val="24"/>
        </w:rPr>
        <w:t>на</w:t>
      </w:r>
      <w:r w:rsidRPr="00FB5A28">
        <w:rPr>
          <w:rFonts w:ascii="Times New Roman" w:hAnsi="Times New Roman"/>
          <w:sz w:val="24"/>
          <w:szCs w:val="24"/>
        </w:rPr>
        <w:t xml:space="preserve"> </w:t>
      </w:r>
      <w:r w:rsidR="00167C13" w:rsidRPr="00FB5A28">
        <w:rPr>
          <w:rFonts w:ascii="Times New Roman" w:hAnsi="Times New Roman"/>
          <w:sz w:val="24"/>
          <w:szCs w:val="24"/>
        </w:rPr>
        <w:t>одбитак</w:t>
      </w:r>
      <w:r w:rsidRPr="00FB5A28">
        <w:rPr>
          <w:rFonts w:ascii="Times New Roman" w:hAnsi="Times New Roman"/>
          <w:sz w:val="24"/>
          <w:szCs w:val="24"/>
        </w:rPr>
        <w:t xml:space="preserve"> </w:t>
      </w:r>
      <w:r w:rsidR="00167C13" w:rsidRPr="00FB5A28">
        <w:rPr>
          <w:rFonts w:ascii="Times New Roman" w:hAnsi="Times New Roman"/>
          <w:sz w:val="24"/>
          <w:szCs w:val="24"/>
        </w:rPr>
        <w:t>претходног</w:t>
      </w:r>
      <w:r w:rsidRPr="00FB5A28">
        <w:rPr>
          <w:rFonts w:ascii="Times New Roman" w:hAnsi="Times New Roman"/>
          <w:sz w:val="24"/>
          <w:szCs w:val="24"/>
        </w:rPr>
        <w:t xml:space="preserve"> </w:t>
      </w:r>
      <w:r w:rsidR="00167C13" w:rsidRPr="00FB5A28">
        <w:rPr>
          <w:rFonts w:ascii="Times New Roman" w:hAnsi="Times New Roman"/>
          <w:sz w:val="24"/>
          <w:szCs w:val="24"/>
        </w:rPr>
        <w:t>пореза</w:t>
      </w:r>
      <w:r w:rsidRPr="00FB5A28">
        <w:rPr>
          <w:rFonts w:ascii="Times New Roman" w:hAnsi="Times New Roman"/>
          <w:sz w:val="24"/>
          <w:szCs w:val="24"/>
        </w:rPr>
        <w:t xml:space="preserve"> </w:t>
      </w:r>
      <w:r w:rsidR="00167C13" w:rsidRPr="00FB5A28">
        <w:rPr>
          <w:rFonts w:ascii="Times New Roman" w:hAnsi="Times New Roman"/>
          <w:sz w:val="24"/>
          <w:szCs w:val="24"/>
        </w:rPr>
        <w:t>да</w:t>
      </w:r>
      <w:r w:rsidRPr="00FB5A28">
        <w:rPr>
          <w:rFonts w:ascii="Times New Roman" w:hAnsi="Times New Roman"/>
          <w:sz w:val="24"/>
          <w:szCs w:val="24"/>
        </w:rPr>
        <w:t xml:space="preserve"> </w:t>
      </w:r>
      <w:r w:rsidR="00167C13" w:rsidRPr="00FB5A28">
        <w:rPr>
          <w:rFonts w:ascii="Times New Roman" w:hAnsi="Times New Roman"/>
          <w:sz w:val="24"/>
          <w:szCs w:val="24"/>
        </w:rPr>
        <w:t>је</w:t>
      </w:r>
      <w:r w:rsidRPr="00FB5A28">
        <w:rPr>
          <w:rFonts w:ascii="Times New Roman" w:hAnsi="Times New Roman"/>
          <w:sz w:val="24"/>
          <w:szCs w:val="24"/>
        </w:rPr>
        <w:t xml:space="preserve"> </w:t>
      </w:r>
      <w:r w:rsidR="00167C13" w:rsidRPr="00FB5A28">
        <w:rPr>
          <w:rFonts w:ascii="Times New Roman" w:hAnsi="Times New Roman"/>
          <w:sz w:val="24"/>
          <w:szCs w:val="24"/>
        </w:rPr>
        <w:t>извршен</w:t>
      </w:r>
      <w:r w:rsidRPr="00FB5A28">
        <w:rPr>
          <w:rFonts w:ascii="Times New Roman" w:hAnsi="Times New Roman"/>
          <w:sz w:val="24"/>
          <w:szCs w:val="24"/>
        </w:rPr>
        <w:t xml:space="preserve"> </w:t>
      </w:r>
      <w:r w:rsidR="00167C13" w:rsidRPr="00FB5A28">
        <w:rPr>
          <w:rFonts w:ascii="Times New Roman" w:hAnsi="Times New Roman"/>
          <w:sz w:val="24"/>
          <w:szCs w:val="24"/>
        </w:rPr>
        <w:t>у</w:t>
      </w:r>
      <w:r w:rsidRPr="00FB5A28">
        <w:rPr>
          <w:rFonts w:ascii="Times New Roman" w:hAnsi="Times New Roman"/>
          <w:sz w:val="24"/>
          <w:szCs w:val="24"/>
        </w:rPr>
        <w:t xml:space="preserve"> </w:t>
      </w:r>
      <w:r w:rsidR="00167C13" w:rsidRPr="00FB5A28">
        <w:rPr>
          <w:rFonts w:ascii="Times New Roman" w:hAnsi="Times New Roman"/>
          <w:sz w:val="24"/>
          <w:szCs w:val="24"/>
        </w:rPr>
        <w:t>Републици</w:t>
      </w:r>
      <w:r w:rsidRPr="00FB5A28">
        <w:rPr>
          <w:rFonts w:ascii="Times New Roman" w:hAnsi="Times New Roman"/>
          <w:sz w:val="24"/>
          <w:szCs w:val="24"/>
        </w:rPr>
        <w:t>.</w:t>
      </w:r>
    </w:p>
    <w:p w:rsidR="004B6685" w:rsidRPr="00FB5A28" w:rsidRDefault="004B6685" w:rsidP="00FB5A28">
      <w:pPr>
        <w:jc w:val="both"/>
        <w:rPr>
          <w:rFonts w:ascii="Times New Roman" w:hAnsi="Times New Roman"/>
          <w:sz w:val="24"/>
          <w:szCs w:val="24"/>
          <w:lang w:val="sr-Cyrl-CS"/>
        </w:rPr>
      </w:pPr>
    </w:p>
    <w:p w:rsidR="005F7509" w:rsidRPr="00FB5A28" w:rsidRDefault="00167C13" w:rsidP="00FB5A28">
      <w:pPr>
        <w:jc w:val="both"/>
        <w:rPr>
          <w:rFonts w:ascii="Times New Roman" w:hAnsi="Times New Roman"/>
          <w:sz w:val="24"/>
          <w:szCs w:val="24"/>
          <w:lang w:val="sr-Cyrl-CS"/>
        </w:rPr>
      </w:pPr>
      <w:r w:rsidRPr="00FB5A28">
        <w:rPr>
          <w:rFonts w:ascii="Times New Roman" w:hAnsi="Times New Roman"/>
          <w:sz w:val="24"/>
          <w:szCs w:val="24"/>
        </w:rPr>
        <w:t>Право</w:t>
      </w:r>
      <w:r w:rsidR="005F7509" w:rsidRPr="00FB5A28">
        <w:rPr>
          <w:rFonts w:ascii="Times New Roman" w:hAnsi="Times New Roman"/>
          <w:sz w:val="24"/>
          <w:szCs w:val="24"/>
        </w:rPr>
        <w:t xml:space="preserve"> </w:t>
      </w:r>
      <w:r w:rsidRPr="00FB5A28">
        <w:rPr>
          <w:rFonts w:ascii="Times New Roman" w:hAnsi="Times New Roman"/>
          <w:sz w:val="24"/>
          <w:szCs w:val="24"/>
        </w:rPr>
        <w:t>на</w:t>
      </w:r>
      <w:r w:rsidR="005F7509" w:rsidRPr="00FB5A28">
        <w:rPr>
          <w:rFonts w:ascii="Times New Roman" w:hAnsi="Times New Roman"/>
          <w:sz w:val="24"/>
          <w:szCs w:val="24"/>
        </w:rPr>
        <w:t xml:space="preserve"> </w:t>
      </w:r>
      <w:r w:rsidRPr="00FB5A28">
        <w:rPr>
          <w:rFonts w:ascii="Times New Roman" w:hAnsi="Times New Roman"/>
          <w:sz w:val="24"/>
          <w:szCs w:val="24"/>
        </w:rPr>
        <w:t>одбитак</w:t>
      </w:r>
      <w:r w:rsidR="005F7509" w:rsidRPr="00FB5A28">
        <w:rPr>
          <w:rFonts w:ascii="Times New Roman" w:hAnsi="Times New Roman"/>
          <w:sz w:val="24"/>
          <w:szCs w:val="24"/>
        </w:rPr>
        <w:t xml:space="preserve"> </w:t>
      </w:r>
      <w:r w:rsidRPr="00FB5A28">
        <w:rPr>
          <w:rFonts w:ascii="Times New Roman" w:hAnsi="Times New Roman"/>
          <w:sz w:val="24"/>
          <w:szCs w:val="24"/>
        </w:rPr>
        <w:t>претходног</w:t>
      </w:r>
      <w:r w:rsidR="005F7509" w:rsidRPr="00FB5A28">
        <w:rPr>
          <w:rFonts w:ascii="Times New Roman" w:hAnsi="Times New Roman"/>
          <w:sz w:val="24"/>
          <w:szCs w:val="24"/>
        </w:rPr>
        <w:t xml:space="preserve"> </w:t>
      </w:r>
      <w:r w:rsidRPr="00FB5A28">
        <w:rPr>
          <w:rFonts w:ascii="Times New Roman" w:hAnsi="Times New Roman"/>
          <w:sz w:val="24"/>
          <w:szCs w:val="24"/>
        </w:rPr>
        <w:t>пореза</w:t>
      </w:r>
      <w:r w:rsidR="005F7509" w:rsidRPr="00FB5A28">
        <w:rPr>
          <w:rFonts w:ascii="Times New Roman" w:hAnsi="Times New Roman"/>
          <w:sz w:val="24"/>
          <w:szCs w:val="24"/>
        </w:rPr>
        <w:t xml:space="preserve"> </w:t>
      </w:r>
      <w:r w:rsidRPr="00FB5A28">
        <w:rPr>
          <w:rFonts w:ascii="Times New Roman" w:hAnsi="Times New Roman"/>
          <w:sz w:val="24"/>
          <w:szCs w:val="24"/>
        </w:rPr>
        <w:t>обвезник</w:t>
      </w:r>
      <w:r w:rsidR="005F7509" w:rsidRPr="00FB5A28">
        <w:rPr>
          <w:rFonts w:ascii="Times New Roman" w:hAnsi="Times New Roman"/>
          <w:sz w:val="24"/>
          <w:szCs w:val="24"/>
        </w:rPr>
        <w:t xml:space="preserve"> </w:t>
      </w:r>
      <w:r w:rsidRPr="00FB5A28">
        <w:rPr>
          <w:rFonts w:ascii="Times New Roman" w:hAnsi="Times New Roman"/>
          <w:sz w:val="24"/>
          <w:szCs w:val="24"/>
        </w:rPr>
        <w:t>може</w:t>
      </w:r>
      <w:r w:rsidR="005F7509" w:rsidRPr="00FB5A28">
        <w:rPr>
          <w:rFonts w:ascii="Times New Roman" w:hAnsi="Times New Roman"/>
          <w:sz w:val="24"/>
          <w:szCs w:val="24"/>
        </w:rPr>
        <w:t xml:space="preserve"> </w:t>
      </w:r>
      <w:r w:rsidRPr="00FB5A28">
        <w:rPr>
          <w:rFonts w:ascii="Times New Roman" w:hAnsi="Times New Roman"/>
          <w:sz w:val="24"/>
          <w:szCs w:val="24"/>
        </w:rPr>
        <w:t>да</w:t>
      </w:r>
      <w:r w:rsidR="005F7509" w:rsidRPr="00FB5A28">
        <w:rPr>
          <w:rFonts w:ascii="Times New Roman" w:hAnsi="Times New Roman"/>
          <w:sz w:val="24"/>
          <w:szCs w:val="24"/>
        </w:rPr>
        <w:t xml:space="preserve"> </w:t>
      </w:r>
      <w:r w:rsidRPr="00FB5A28">
        <w:rPr>
          <w:rFonts w:ascii="Times New Roman" w:hAnsi="Times New Roman"/>
          <w:sz w:val="24"/>
          <w:szCs w:val="24"/>
        </w:rPr>
        <w:t>оствари</w:t>
      </w:r>
      <w:r w:rsidR="005F7509" w:rsidRPr="00FB5A28">
        <w:rPr>
          <w:rFonts w:ascii="Times New Roman" w:hAnsi="Times New Roman"/>
          <w:sz w:val="24"/>
          <w:szCs w:val="24"/>
        </w:rPr>
        <w:t xml:space="preserve"> </w:t>
      </w:r>
      <w:r w:rsidRPr="00FB5A28">
        <w:rPr>
          <w:rFonts w:ascii="Times New Roman" w:hAnsi="Times New Roman"/>
          <w:sz w:val="24"/>
          <w:szCs w:val="24"/>
        </w:rPr>
        <w:t>ако</w:t>
      </w:r>
      <w:r w:rsidR="005F7509" w:rsidRPr="00FB5A28">
        <w:rPr>
          <w:rFonts w:ascii="Times New Roman" w:hAnsi="Times New Roman"/>
          <w:sz w:val="24"/>
          <w:szCs w:val="24"/>
        </w:rPr>
        <w:t xml:space="preserve"> </w:t>
      </w:r>
      <w:r w:rsidRPr="00FB5A28">
        <w:rPr>
          <w:rFonts w:ascii="Times New Roman" w:hAnsi="Times New Roman"/>
          <w:sz w:val="24"/>
          <w:szCs w:val="24"/>
        </w:rPr>
        <w:t>поседује</w:t>
      </w:r>
      <w:r w:rsidR="005F7509" w:rsidRPr="00FB5A28">
        <w:rPr>
          <w:rFonts w:ascii="Times New Roman" w:hAnsi="Times New Roman"/>
          <w:sz w:val="24"/>
          <w:szCs w:val="24"/>
        </w:rPr>
        <w:t>:</w:t>
      </w:r>
      <w:r w:rsidR="005F7509" w:rsidRPr="00FB5A28">
        <w:rPr>
          <w:rFonts w:ascii="Times New Roman" w:hAnsi="Times New Roman"/>
          <w:sz w:val="24"/>
          <w:szCs w:val="24"/>
          <w:lang w:val="sr-Cyrl-CS"/>
        </w:rPr>
        <w:t xml:space="preserve"> </w:t>
      </w:r>
    </w:p>
    <w:p w:rsidR="004B6685" w:rsidRPr="00FB5A28" w:rsidRDefault="005F7509" w:rsidP="00FB5A28">
      <w:pPr>
        <w:jc w:val="both"/>
        <w:rPr>
          <w:rFonts w:ascii="Times New Roman" w:hAnsi="Times New Roman"/>
          <w:sz w:val="24"/>
          <w:szCs w:val="24"/>
          <w:lang w:val="sr-Cyrl-CS"/>
        </w:rPr>
      </w:pPr>
      <w:r w:rsidRPr="00FB5A28">
        <w:rPr>
          <w:rFonts w:ascii="Times New Roman" w:hAnsi="Times New Roman"/>
          <w:sz w:val="24"/>
          <w:szCs w:val="24"/>
        </w:rPr>
        <w:t xml:space="preserve">1) </w:t>
      </w:r>
      <w:r w:rsidR="00167C13" w:rsidRPr="00FB5A28">
        <w:rPr>
          <w:rFonts w:ascii="Times New Roman" w:hAnsi="Times New Roman"/>
          <w:sz w:val="24"/>
          <w:szCs w:val="24"/>
        </w:rPr>
        <w:t>рачун</w:t>
      </w:r>
      <w:r w:rsidRPr="00FB5A28">
        <w:rPr>
          <w:rFonts w:ascii="Times New Roman" w:hAnsi="Times New Roman"/>
          <w:sz w:val="24"/>
          <w:szCs w:val="24"/>
        </w:rPr>
        <w:t xml:space="preserve"> </w:t>
      </w:r>
      <w:r w:rsidR="00167C13" w:rsidRPr="00FB5A28">
        <w:rPr>
          <w:rFonts w:ascii="Times New Roman" w:hAnsi="Times New Roman"/>
          <w:sz w:val="24"/>
          <w:szCs w:val="24"/>
        </w:rPr>
        <w:t>издат</w:t>
      </w:r>
      <w:r w:rsidRPr="00FB5A28">
        <w:rPr>
          <w:rFonts w:ascii="Times New Roman" w:hAnsi="Times New Roman"/>
          <w:sz w:val="24"/>
          <w:szCs w:val="24"/>
        </w:rPr>
        <w:t xml:space="preserve"> </w:t>
      </w:r>
      <w:r w:rsidR="00167C13" w:rsidRPr="00FB5A28">
        <w:rPr>
          <w:rFonts w:ascii="Times New Roman" w:hAnsi="Times New Roman"/>
          <w:sz w:val="24"/>
          <w:szCs w:val="24"/>
        </w:rPr>
        <w:t>од</w:t>
      </w:r>
      <w:r w:rsidRPr="00FB5A28">
        <w:rPr>
          <w:rFonts w:ascii="Times New Roman" w:hAnsi="Times New Roman"/>
          <w:sz w:val="24"/>
          <w:szCs w:val="24"/>
        </w:rPr>
        <w:t xml:space="preserve"> </w:t>
      </w:r>
      <w:r w:rsidR="00167C13" w:rsidRPr="00FB5A28">
        <w:rPr>
          <w:rFonts w:ascii="Times New Roman" w:hAnsi="Times New Roman"/>
          <w:sz w:val="24"/>
          <w:szCs w:val="24"/>
        </w:rPr>
        <w:t>стране</w:t>
      </w:r>
      <w:r w:rsidRPr="00FB5A28">
        <w:rPr>
          <w:rFonts w:ascii="Times New Roman" w:hAnsi="Times New Roman"/>
          <w:sz w:val="24"/>
          <w:szCs w:val="24"/>
        </w:rPr>
        <w:t xml:space="preserve"> </w:t>
      </w:r>
      <w:r w:rsidR="00167C13" w:rsidRPr="00FB5A28">
        <w:rPr>
          <w:rFonts w:ascii="Times New Roman" w:hAnsi="Times New Roman"/>
          <w:sz w:val="24"/>
          <w:szCs w:val="24"/>
        </w:rPr>
        <w:t>другог</w:t>
      </w:r>
      <w:r w:rsidRPr="00FB5A28">
        <w:rPr>
          <w:rFonts w:ascii="Times New Roman" w:hAnsi="Times New Roman"/>
          <w:sz w:val="24"/>
          <w:szCs w:val="24"/>
        </w:rPr>
        <w:t xml:space="preserve"> </w:t>
      </w:r>
      <w:r w:rsidR="00167C13" w:rsidRPr="00FB5A28">
        <w:rPr>
          <w:rFonts w:ascii="Times New Roman" w:hAnsi="Times New Roman"/>
          <w:sz w:val="24"/>
          <w:szCs w:val="24"/>
        </w:rPr>
        <w:t>обвезника</w:t>
      </w:r>
      <w:r w:rsidRPr="00FB5A28">
        <w:rPr>
          <w:rFonts w:ascii="Times New Roman" w:hAnsi="Times New Roman"/>
          <w:sz w:val="24"/>
          <w:szCs w:val="24"/>
        </w:rPr>
        <w:t xml:space="preserve"> </w:t>
      </w:r>
      <w:r w:rsidR="00167C13" w:rsidRPr="00FB5A28">
        <w:rPr>
          <w:rFonts w:ascii="Times New Roman" w:hAnsi="Times New Roman"/>
          <w:sz w:val="24"/>
          <w:szCs w:val="24"/>
        </w:rPr>
        <w:t>у</w:t>
      </w:r>
      <w:r w:rsidRPr="00FB5A28">
        <w:rPr>
          <w:rFonts w:ascii="Times New Roman" w:hAnsi="Times New Roman"/>
          <w:sz w:val="24"/>
          <w:szCs w:val="24"/>
        </w:rPr>
        <w:t xml:space="preserve"> </w:t>
      </w:r>
      <w:r w:rsidR="00167C13" w:rsidRPr="00FB5A28">
        <w:rPr>
          <w:rFonts w:ascii="Times New Roman" w:hAnsi="Times New Roman"/>
          <w:sz w:val="24"/>
          <w:szCs w:val="24"/>
        </w:rPr>
        <w:t>промету</w:t>
      </w:r>
      <w:r w:rsidRPr="00FB5A28">
        <w:rPr>
          <w:rFonts w:ascii="Times New Roman" w:hAnsi="Times New Roman"/>
          <w:sz w:val="24"/>
          <w:szCs w:val="24"/>
        </w:rPr>
        <w:t xml:space="preserve"> </w:t>
      </w:r>
      <w:r w:rsidR="00167C13" w:rsidRPr="00FB5A28">
        <w:rPr>
          <w:rFonts w:ascii="Times New Roman" w:hAnsi="Times New Roman"/>
          <w:sz w:val="24"/>
          <w:szCs w:val="24"/>
        </w:rPr>
        <w:t>о</w:t>
      </w:r>
      <w:r w:rsidRPr="00FB5A28">
        <w:rPr>
          <w:rFonts w:ascii="Times New Roman" w:hAnsi="Times New Roman"/>
          <w:sz w:val="24"/>
          <w:szCs w:val="24"/>
        </w:rPr>
        <w:t xml:space="preserve"> </w:t>
      </w:r>
      <w:r w:rsidR="00167C13" w:rsidRPr="00FB5A28">
        <w:rPr>
          <w:rFonts w:ascii="Times New Roman" w:hAnsi="Times New Roman"/>
          <w:sz w:val="24"/>
          <w:szCs w:val="24"/>
        </w:rPr>
        <w:t>износу</w:t>
      </w:r>
      <w:r w:rsidRPr="00FB5A28">
        <w:rPr>
          <w:rFonts w:ascii="Times New Roman" w:hAnsi="Times New Roman"/>
          <w:sz w:val="24"/>
          <w:szCs w:val="24"/>
        </w:rPr>
        <w:t xml:space="preserve"> </w:t>
      </w:r>
      <w:r w:rsidR="00167C13" w:rsidRPr="00FB5A28">
        <w:rPr>
          <w:rFonts w:ascii="Times New Roman" w:hAnsi="Times New Roman"/>
          <w:sz w:val="24"/>
          <w:szCs w:val="24"/>
        </w:rPr>
        <w:t>претходног</w:t>
      </w:r>
      <w:r w:rsidRPr="00FB5A28">
        <w:rPr>
          <w:rFonts w:ascii="Times New Roman" w:hAnsi="Times New Roman"/>
          <w:sz w:val="24"/>
          <w:szCs w:val="24"/>
        </w:rPr>
        <w:t xml:space="preserve"> </w:t>
      </w:r>
      <w:r w:rsidR="00167C13" w:rsidRPr="00FB5A28">
        <w:rPr>
          <w:rFonts w:ascii="Times New Roman" w:hAnsi="Times New Roman"/>
          <w:sz w:val="24"/>
          <w:szCs w:val="24"/>
        </w:rPr>
        <w:t>пореза</w:t>
      </w:r>
      <w:r w:rsidRPr="00FB5A28">
        <w:rPr>
          <w:rFonts w:ascii="Times New Roman" w:hAnsi="Times New Roman"/>
          <w:sz w:val="24"/>
          <w:szCs w:val="24"/>
        </w:rPr>
        <w:t>;</w:t>
      </w:r>
    </w:p>
    <w:p w:rsidR="004B6685" w:rsidRPr="00FB5A28" w:rsidRDefault="005F7509" w:rsidP="00FB5A28">
      <w:pPr>
        <w:jc w:val="both"/>
        <w:rPr>
          <w:rFonts w:ascii="Times New Roman" w:hAnsi="Times New Roman"/>
          <w:sz w:val="24"/>
          <w:szCs w:val="24"/>
          <w:lang w:val="sr-Cyrl-CS"/>
        </w:rPr>
      </w:pPr>
      <w:r w:rsidRPr="00FB5A28">
        <w:rPr>
          <w:rFonts w:ascii="Times New Roman" w:hAnsi="Times New Roman"/>
          <w:sz w:val="24"/>
          <w:szCs w:val="24"/>
        </w:rPr>
        <w:t xml:space="preserve">2) </w:t>
      </w:r>
      <w:r w:rsidR="00167C13" w:rsidRPr="00FB5A28">
        <w:rPr>
          <w:rFonts w:ascii="Times New Roman" w:hAnsi="Times New Roman"/>
          <w:sz w:val="24"/>
          <w:szCs w:val="24"/>
        </w:rPr>
        <w:t>документ</w:t>
      </w:r>
      <w:r w:rsidRPr="00FB5A28">
        <w:rPr>
          <w:rFonts w:ascii="Times New Roman" w:hAnsi="Times New Roman"/>
          <w:sz w:val="24"/>
          <w:szCs w:val="24"/>
        </w:rPr>
        <w:t xml:space="preserve"> </w:t>
      </w:r>
      <w:r w:rsidR="00167C13" w:rsidRPr="00FB5A28">
        <w:rPr>
          <w:rFonts w:ascii="Times New Roman" w:hAnsi="Times New Roman"/>
          <w:sz w:val="24"/>
          <w:szCs w:val="24"/>
        </w:rPr>
        <w:t>о</w:t>
      </w:r>
      <w:r w:rsidRPr="00FB5A28">
        <w:rPr>
          <w:rFonts w:ascii="Times New Roman" w:hAnsi="Times New Roman"/>
          <w:sz w:val="24"/>
          <w:szCs w:val="24"/>
        </w:rPr>
        <w:t xml:space="preserve"> </w:t>
      </w:r>
      <w:r w:rsidR="00167C13" w:rsidRPr="00FB5A28">
        <w:rPr>
          <w:rFonts w:ascii="Times New Roman" w:hAnsi="Times New Roman"/>
          <w:sz w:val="24"/>
          <w:szCs w:val="24"/>
        </w:rPr>
        <w:t>извршеном</w:t>
      </w:r>
      <w:r w:rsidRPr="00FB5A28">
        <w:rPr>
          <w:rFonts w:ascii="Times New Roman" w:hAnsi="Times New Roman"/>
          <w:sz w:val="24"/>
          <w:szCs w:val="24"/>
        </w:rPr>
        <w:t xml:space="preserve"> </w:t>
      </w:r>
      <w:r w:rsidR="00167C13" w:rsidRPr="00FB5A28">
        <w:rPr>
          <w:rFonts w:ascii="Times New Roman" w:hAnsi="Times New Roman"/>
          <w:sz w:val="24"/>
          <w:szCs w:val="24"/>
        </w:rPr>
        <w:t>увозу</w:t>
      </w:r>
      <w:r w:rsidRPr="00FB5A28">
        <w:rPr>
          <w:rFonts w:ascii="Times New Roman" w:hAnsi="Times New Roman"/>
          <w:sz w:val="24"/>
          <w:szCs w:val="24"/>
        </w:rPr>
        <w:t xml:space="preserve"> </w:t>
      </w:r>
      <w:r w:rsidR="00167C13" w:rsidRPr="00FB5A28">
        <w:rPr>
          <w:rFonts w:ascii="Times New Roman" w:hAnsi="Times New Roman"/>
          <w:sz w:val="24"/>
          <w:szCs w:val="24"/>
        </w:rPr>
        <w:t>добара</w:t>
      </w:r>
      <w:r w:rsidRPr="00FB5A28">
        <w:rPr>
          <w:rFonts w:ascii="Times New Roman" w:hAnsi="Times New Roman"/>
          <w:sz w:val="24"/>
          <w:szCs w:val="24"/>
        </w:rPr>
        <w:t xml:space="preserve"> </w:t>
      </w:r>
      <w:r w:rsidR="00167C13" w:rsidRPr="00FB5A28">
        <w:rPr>
          <w:rFonts w:ascii="Times New Roman" w:hAnsi="Times New Roman"/>
          <w:sz w:val="24"/>
          <w:szCs w:val="24"/>
        </w:rPr>
        <w:t>у</w:t>
      </w:r>
      <w:r w:rsidRPr="00FB5A28">
        <w:rPr>
          <w:rFonts w:ascii="Times New Roman" w:hAnsi="Times New Roman"/>
          <w:sz w:val="24"/>
          <w:szCs w:val="24"/>
        </w:rPr>
        <w:t xml:space="preserve"> </w:t>
      </w:r>
      <w:r w:rsidR="00167C13" w:rsidRPr="00FB5A28">
        <w:rPr>
          <w:rFonts w:ascii="Times New Roman" w:hAnsi="Times New Roman"/>
          <w:sz w:val="24"/>
          <w:szCs w:val="24"/>
        </w:rPr>
        <w:t>којем</w:t>
      </w:r>
      <w:r w:rsidRPr="00FB5A28">
        <w:rPr>
          <w:rFonts w:ascii="Times New Roman" w:hAnsi="Times New Roman"/>
          <w:sz w:val="24"/>
          <w:szCs w:val="24"/>
        </w:rPr>
        <w:t xml:space="preserve"> </w:t>
      </w:r>
      <w:r w:rsidR="00167C13" w:rsidRPr="00FB5A28">
        <w:rPr>
          <w:rFonts w:ascii="Times New Roman" w:hAnsi="Times New Roman"/>
          <w:sz w:val="24"/>
          <w:szCs w:val="24"/>
        </w:rPr>
        <w:t>је</w:t>
      </w:r>
      <w:r w:rsidRPr="00FB5A28">
        <w:rPr>
          <w:rFonts w:ascii="Times New Roman" w:hAnsi="Times New Roman"/>
          <w:sz w:val="24"/>
          <w:szCs w:val="24"/>
        </w:rPr>
        <w:t xml:space="preserve"> </w:t>
      </w:r>
      <w:r w:rsidR="00167C13" w:rsidRPr="00FB5A28">
        <w:rPr>
          <w:rFonts w:ascii="Times New Roman" w:hAnsi="Times New Roman"/>
          <w:sz w:val="24"/>
          <w:szCs w:val="24"/>
        </w:rPr>
        <w:t>исказан</w:t>
      </w:r>
      <w:r w:rsidRPr="00FB5A28">
        <w:rPr>
          <w:rFonts w:ascii="Times New Roman" w:hAnsi="Times New Roman"/>
          <w:sz w:val="24"/>
          <w:szCs w:val="24"/>
        </w:rPr>
        <w:t xml:space="preserve"> </w:t>
      </w:r>
      <w:r w:rsidR="00167C13" w:rsidRPr="00FB5A28">
        <w:rPr>
          <w:rFonts w:ascii="Times New Roman" w:hAnsi="Times New Roman"/>
          <w:sz w:val="24"/>
          <w:szCs w:val="24"/>
        </w:rPr>
        <w:t>претходни</w:t>
      </w:r>
      <w:r w:rsidRPr="00FB5A28">
        <w:rPr>
          <w:rFonts w:ascii="Times New Roman" w:hAnsi="Times New Roman"/>
          <w:sz w:val="24"/>
          <w:szCs w:val="24"/>
        </w:rPr>
        <w:t xml:space="preserve"> </w:t>
      </w:r>
      <w:r w:rsidR="00167C13" w:rsidRPr="00FB5A28">
        <w:rPr>
          <w:rFonts w:ascii="Times New Roman" w:hAnsi="Times New Roman"/>
          <w:sz w:val="24"/>
          <w:szCs w:val="24"/>
        </w:rPr>
        <w:t>порез</w:t>
      </w:r>
      <w:r w:rsidRPr="00FB5A28">
        <w:rPr>
          <w:rFonts w:ascii="Times New Roman" w:hAnsi="Times New Roman"/>
          <w:sz w:val="24"/>
          <w:szCs w:val="24"/>
        </w:rPr>
        <w:t xml:space="preserve"> </w:t>
      </w:r>
      <w:r w:rsidR="00167C13" w:rsidRPr="00FB5A28">
        <w:rPr>
          <w:rFonts w:ascii="Times New Roman" w:hAnsi="Times New Roman"/>
          <w:sz w:val="24"/>
          <w:szCs w:val="24"/>
        </w:rPr>
        <w:t>и</w:t>
      </w:r>
      <w:r w:rsidRPr="00FB5A28">
        <w:rPr>
          <w:rFonts w:ascii="Times New Roman" w:hAnsi="Times New Roman"/>
          <w:sz w:val="24"/>
          <w:szCs w:val="24"/>
        </w:rPr>
        <w:t xml:space="preserve"> </w:t>
      </w:r>
      <w:r w:rsidR="00167C13" w:rsidRPr="00FB5A28">
        <w:rPr>
          <w:rFonts w:ascii="Times New Roman" w:hAnsi="Times New Roman"/>
          <w:sz w:val="24"/>
          <w:szCs w:val="24"/>
        </w:rPr>
        <w:t>документ</w:t>
      </w:r>
      <w:r w:rsidRPr="00FB5A28">
        <w:rPr>
          <w:rFonts w:ascii="Times New Roman" w:hAnsi="Times New Roman"/>
          <w:sz w:val="24"/>
          <w:szCs w:val="24"/>
        </w:rPr>
        <w:t xml:space="preserve"> </w:t>
      </w:r>
      <w:r w:rsidR="00167C13" w:rsidRPr="00FB5A28">
        <w:rPr>
          <w:rFonts w:ascii="Times New Roman" w:hAnsi="Times New Roman"/>
          <w:sz w:val="24"/>
          <w:szCs w:val="24"/>
        </w:rPr>
        <w:t>којим</w:t>
      </w:r>
      <w:r w:rsidRPr="00FB5A28">
        <w:rPr>
          <w:rFonts w:ascii="Times New Roman" w:hAnsi="Times New Roman"/>
          <w:sz w:val="24"/>
          <w:szCs w:val="24"/>
        </w:rPr>
        <w:t xml:space="preserve"> </w:t>
      </w:r>
      <w:r w:rsidR="00167C13" w:rsidRPr="00FB5A28">
        <w:rPr>
          <w:rFonts w:ascii="Times New Roman" w:hAnsi="Times New Roman"/>
          <w:sz w:val="24"/>
          <w:szCs w:val="24"/>
        </w:rPr>
        <w:t>се</w:t>
      </w:r>
      <w:r w:rsidRPr="00FB5A28">
        <w:rPr>
          <w:rFonts w:ascii="Times New Roman" w:hAnsi="Times New Roman"/>
          <w:sz w:val="24"/>
          <w:szCs w:val="24"/>
        </w:rPr>
        <w:t xml:space="preserve"> </w:t>
      </w:r>
      <w:r w:rsidR="00167C13" w:rsidRPr="00FB5A28">
        <w:rPr>
          <w:rFonts w:ascii="Times New Roman" w:hAnsi="Times New Roman"/>
          <w:sz w:val="24"/>
          <w:szCs w:val="24"/>
        </w:rPr>
        <w:t>потврђује</w:t>
      </w:r>
      <w:r w:rsidRPr="00FB5A28">
        <w:rPr>
          <w:rFonts w:ascii="Times New Roman" w:hAnsi="Times New Roman"/>
          <w:sz w:val="24"/>
          <w:szCs w:val="24"/>
        </w:rPr>
        <w:t xml:space="preserve"> </w:t>
      </w:r>
      <w:r w:rsidR="00167C13" w:rsidRPr="00FB5A28">
        <w:rPr>
          <w:rFonts w:ascii="Times New Roman" w:hAnsi="Times New Roman"/>
          <w:sz w:val="24"/>
          <w:szCs w:val="24"/>
        </w:rPr>
        <w:t>да</w:t>
      </w:r>
      <w:r w:rsidRPr="00FB5A28">
        <w:rPr>
          <w:rFonts w:ascii="Times New Roman" w:hAnsi="Times New Roman"/>
          <w:sz w:val="24"/>
          <w:szCs w:val="24"/>
        </w:rPr>
        <w:t xml:space="preserve"> </w:t>
      </w:r>
      <w:r w:rsidR="00167C13" w:rsidRPr="00FB5A28">
        <w:rPr>
          <w:rFonts w:ascii="Times New Roman" w:hAnsi="Times New Roman"/>
          <w:sz w:val="24"/>
          <w:szCs w:val="24"/>
        </w:rPr>
        <w:t>је</w:t>
      </w:r>
      <w:r w:rsidRPr="00FB5A28">
        <w:rPr>
          <w:rFonts w:ascii="Times New Roman" w:hAnsi="Times New Roman"/>
          <w:sz w:val="24"/>
          <w:szCs w:val="24"/>
        </w:rPr>
        <w:t xml:space="preserve"> </w:t>
      </w:r>
      <w:r w:rsidR="00167C13" w:rsidRPr="00FB5A28">
        <w:rPr>
          <w:rFonts w:ascii="Times New Roman" w:hAnsi="Times New Roman"/>
          <w:sz w:val="24"/>
          <w:szCs w:val="24"/>
        </w:rPr>
        <w:t>исказани</w:t>
      </w:r>
      <w:r w:rsidRPr="00FB5A28">
        <w:rPr>
          <w:rFonts w:ascii="Times New Roman" w:hAnsi="Times New Roman"/>
          <w:sz w:val="24"/>
          <w:szCs w:val="24"/>
        </w:rPr>
        <w:t xml:space="preserve"> </w:t>
      </w:r>
      <w:r w:rsidR="00167C13" w:rsidRPr="00FB5A28">
        <w:rPr>
          <w:rFonts w:ascii="Times New Roman" w:hAnsi="Times New Roman"/>
          <w:sz w:val="24"/>
          <w:szCs w:val="24"/>
        </w:rPr>
        <w:t>ПДВ</w:t>
      </w:r>
      <w:r w:rsidRPr="00FB5A28">
        <w:rPr>
          <w:rFonts w:ascii="Times New Roman" w:hAnsi="Times New Roman"/>
          <w:sz w:val="24"/>
          <w:szCs w:val="24"/>
        </w:rPr>
        <w:t xml:space="preserve"> </w:t>
      </w:r>
      <w:r w:rsidR="00167C13" w:rsidRPr="00FB5A28">
        <w:rPr>
          <w:rFonts w:ascii="Times New Roman" w:hAnsi="Times New Roman"/>
          <w:sz w:val="24"/>
          <w:szCs w:val="24"/>
        </w:rPr>
        <w:t>плаћен</w:t>
      </w:r>
      <w:r w:rsidRPr="00FB5A28">
        <w:rPr>
          <w:rFonts w:ascii="Times New Roman" w:hAnsi="Times New Roman"/>
          <w:sz w:val="24"/>
          <w:szCs w:val="24"/>
        </w:rPr>
        <w:t xml:space="preserve"> </w:t>
      </w:r>
      <w:r w:rsidR="00167C13" w:rsidRPr="00FB5A28">
        <w:rPr>
          <w:rFonts w:ascii="Times New Roman" w:hAnsi="Times New Roman"/>
          <w:sz w:val="24"/>
          <w:szCs w:val="24"/>
        </w:rPr>
        <w:t>приликом</w:t>
      </w:r>
      <w:r w:rsidRPr="00FB5A28">
        <w:rPr>
          <w:rFonts w:ascii="Times New Roman" w:hAnsi="Times New Roman"/>
          <w:sz w:val="24"/>
          <w:szCs w:val="24"/>
        </w:rPr>
        <w:t xml:space="preserve"> </w:t>
      </w:r>
      <w:r w:rsidR="00167C13" w:rsidRPr="00FB5A28">
        <w:rPr>
          <w:rFonts w:ascii="Times New Roman" w:hAnsi="Times New Roman"/>
          <w:sz w:val="24"/>
          <w:szCs w:val="24"/>
        </w:rPr>
        <w:t>увоза</w:t>
      </w:r>
      <w:r w:rsidRPr="00FB5A28">
        <w:rPr>
          <w:rFonts w:ascii="Times New Roman" w:hAnsi="Times New Roman"/>
          <w:sz w:val="24"/>
          <w:szCs w:val="24"/>
        </w:rPr>
        <w:t>.</w:t>
      </w:r>
    </w:p>
    <w:p w:rsidR="005F7509" w:rsidRPr="00FB5A28" w:rsidRDefault="005F7509" w:rsidP="00FB5A28">
      <w:pPr>
        <w:jc w:val="both"/>
        <w:rPr>
          <w:rFonts w:ascii="Times New Roman" w:hAnsi="Times New Roman"/>
          <w:sz w:val="24"/>
          <w:szCs w:val="24"/>
          <w:lang w:val="sr-Cyrl-CS"/>
        </w:rPr>
      </w:pPr>
      <w:r w:rsidRPr="00FB5A28">
        <w:rPr>
          <w:rFonts w:ascii="Times New Roman" w:hAnsi="Times New Roman"/>
          <w:sz w:val="24"/>
          <w:szCs w:val="24"/>
          <w:lang w:val="sr-Cyrl-CS"/>
        </w:rPr>
        <w:t>О</w:t>
      </w:r>
      <w:r w:rsidR="00167C13" w:rsidRPr="00FB5A28">
        <w:rPr>
          <w:rFonts w:ascii="Times New Roman" w:hAnsi="Times New Roman"/>
          <w:sz w:val="24"/>
          <w:szCs w:val="24"/>
        </w:rPr>
        <w:t>бвезник</w:t>
      </w:r>
      <w:r w:rsidRPr="00FB5A28">
        <w:rPr>
          <w:rFonts w:ascii="Times New Roman" w:hAnsi="Times New Roman"/>
          <w:sz w:val="24"/>
          <w:szCs w:val="24"/>
        </w:rPr>
        <w:t xml:space="preserve"> </w:t>
      </w:r>
      <w:r w:rsidR="00167C13" w:rsidRPr="00FB5A28">
        <w:rPr>
          <w:rFonts w:ascii="Times New Roman" w:hAnsi="Times New Roman"/>
          <w:sz w:val="24"/>
          <w:szCs w:val="24"/>
        </w:rPr>
        <w:t>може</w:t>
      </w:r>
      <w:r w:rsidRPr="00FB5A28">
        <w:rPr>
          <w:rFonts w:ascii="Times New Roman" w:hAnsi="Times New Roman"/>
          <w:sz w:val="24"/>
          <w:szCs w:val="24"/>
        </w:rPr>
        <w:t xml:space="preserve"> </w:t>
      </w:r>
      <w:r w:rsidR="00167C13" w:rsidRPr="00FB5A28">
        <w:rPr>
          <w:rFonts w:ascii="Times New Roman" w:hAnsi="Times New Roman"/>
          <w:sz w:val="24"/>
          <w:szCs w:val="24"/>
        </w:rPr>
        <w:t>да</w:t>
      </w:r>
      <w:r w:rsidRPr="00FB5A28">
        <w:rPr>
          <w:rFonts w:ascii="Times New Roman" w:hAnsi="Times New Roman"/>
          <w:sz w:val="24"/>
          <w:szCs w:val="24"/>
        </w:rPr>
        <w:t xml:space="preserve"> </w:t>
      </w:r>
      <w:r w:rsidR="00167C13" w:rsidRPr="00FB5A28">
        <w:rPr>
          <w:rFonts w:ascii="Times New Roman" w:hAnsi="Times New Roman"/>
          <w:sz w:val="24"/>
          <w:szCs w:val="24"/>
        </w:rPr>
        <w:t>одбије</w:t>
      </w:r>
      <w:r w:rsidRPr="00FB5A28">
        <w:rPr>
          <w:rFonts w:ascii="Times New Roman" w:hAnsi="Times New Roman"/>
          <w:sz w:val="24"/>
          <w:szCs w:val="24"/>
        </w:rPr>
        <w:t xml:space="preserve"> </w:t>
      </w:r>
      <w:r w:rsidR="00167C13" w:rsidRPr="00FB5A28">
        <w:rPr>
          <w:rFonts w:ascii="Times New Roman" w:hAnsi="Times New Roman"/>
          <w:sz w:val="24"/>
          <w:szCs w:val="24"/>
        </w:rPr>
        <w:t>претходни</w:t>
      </w:r>
      <w:r w:rsidRPr="00FB5A28">
        <w:rPr>
          <w:rFonts w:ascii="Times New Roman" w:hAnsi="Times New Roman"/>
          <w:sz w:val="24"/>
          <w:szCs w:val="24"/>
        </w:rPr>
        <w:t xml:space="preserve"> </w:t>
      </w:r>
      <w:r w:rsidR="00167C13" w:rsidRPr="00FB5A28">
        <w:rPr>
          <w:rFonts w:ascii="Times New Roman" w:hAnsi="Times New Roman"/>
          <w:sz w:val="24"/>
          <w:szCs w:val="24"/>
        </w:rPr>
        <w:t>порез</w:t>
      </w:r>
      <w:r w:rsidRPr="00FB5A28">
        <w:rPr>
          <w:rFonts w:ascii="Times New Roman" w:hAnsi="Times New Roman"/>
          <w:sz w:val="24"/>
          <w:szCs w:val="24"/>
        </w:rPr>
        <w:t xml:space="preserve"> </w:t>
      </w:r>
      <w:r w:rsidR="00167C13" w:rsidRPr="00FB5A28">
        <w:rPr>
          <w:rFonts w:ascii="Times New Roman" w:hAnsi="Times New Roman"/>
          <w:sz w:val="24"/>
          <w:szCs w:val="24"/>
        </w:rPr>
        <w:t>од</w:t>
      </w:r>
      <w:r w:rsidRPr="00FB5A28">
        <w:rPr>
          <w:rFonts w:ascii="Times New Roman" w:hAnsi="Times New Roman"/>
          <w:sz w:val="24"/>
          <w:szCs w:val="24"/>
        </w:rPr>
        <w:t xml:space="preserve"> </w:t>
      </w:r>
      <w:r w:rsidR="00167C13" w:rsidRPr="00FB5A28">
        <w:rPr>
          <w:rFonts w:ascii="Times New Roman" w:hAnsi="Times New Roman"/>
          <w:sz w:val="24"/>
          <w:szCs w:val="24"/>
        </w:rPr>
        <w:t>дугованог</w:t>
      </w:r>
      <w:r w:rsidRPr="00FB5A28">
        <w:rPr>
          <w:rFonts w:ascii="Times New Roman" w:hAnsi="Times New Roman"/>
          <w:sz w:val="24"/>
          <w:szCs w:val="24"/>
        </w:rPr>
        <w:t xml:space="preserve"> </w:t>
      </w:r>
      <w:r w:rsidR="00167C13" w:rsidRPr="00FB5A28">
        <w:rPr>
          <w:rFonts w:ascii="Times New Roman" w:hAnsi="Times New Roman"/>
          <w:sz w:val="24"/>
          <w:szCs w:val="24"/>
        </w:rPr>
        <w:t>ПДВ</w:t>
      </w:r>
      <w:r w:rsidRPr="00FB5A28">
        <w:rPr>
          <w:rFonts w:ascii="Times New Roman" w:hAnsi="Times New Roman"/>
          <w:sz w:val="24"/>
          <w:szCs w:val="24"/>
        </w:rPr>
        <w:t xml:space="preserve">, </w:t>
      </w:r>
      <w:r w:rsidR="00167C13" w:rsidRPr="00FB5A28">
        <w:rPr>
          <w:rFonts w:ascii="Times New Roman" w:hAnsi="Times New Roman"/>
          <w:sz w:val="24"/>
          <w:szCs w:val="24"/>
        </w:rPr>
        <w:t>и</w:t>
      </w:r>
      <w:r w:rsidRPr="00FB5A28">
        <w:rPr>
          <w:rFonts w:ascii="Times New Roman" w:hAnsi="Times New Roman"/>
          <w:sz w:val="24"/>
          <w:szCs w:val="24"/>
        </w:rPr>
        <w:t xml:space="preserve"> </w:t>
      </w:r>
      <w:r w:rsidR="00167C13" w:rsidRPr="00FB5A28">
        <w:rPr>
          <w:rFonts w:ascii="Times New Roman" w:hAnsi="Times New Roman"/>
          <w:sz w:val="24"/>
          <w:szCs w:val="24"/>
        </w:rPr>
        <w:t>то</w:t>
      </w:r>
      <w:r w:rsidRPr="00FB5A28">
        <w:rPr>
          <w:rFonts w:ascii="Times New Roman" w:hAnsi="Times New Roman"/>
          <w:sz w:val="24"/>
          <w:szCs w:val="24"/>
        </w:rPr>
        <w:t>:</w:t>
      </w:r>
    </w:p>
    <w:p w:rsidR="004B6685" w:rsidRPr="00FB5A28" w:rsidRDefault="005F7509" w:rsidP="00FB5A28">
      <w:pPr>
        <w:jc w:val="both"/>
        <w:rPr>
          <w:rFonts w:ascii="Times New Roman" w:hAnsi="Times New Roman"/>
          <w:sz w:val="24"/>
          <w:szCs w:val="24"/>
          <w:lang w:val="sr-Cyrl-CS"/>
        </w:rPr>
      </w:pPr>
      <w:r w:rsidRPr="00FB5A28">
        <w:rPr>
          <w:rFonts w:ascii="Times New Roman" w:hAnsi="Times New Roman"/>
          <w:sz w:val="24"/>
          <w:szCs w:val="24"/>
        </w:rPr>
        <w:t xml:space="preserve">1) </w:t>
      </w:r>
      <w:r w:rsidR="00167C13" w:rsidRPr="00FB5A28">
        <w:rPr>
          <w:rFonts w:ascii="Times New Roman" w:hAnsi="Times New Roman"/>
          <w:sz w:val="24"/>
          <w:szCs w:val="24"/>
        </w:rPr>
        <w:t>обрачунати</w:t>
      </w:r>
      <w:r w:rsidRPr="00FB5A28">
        <w:rPr>
          <w:rFonts w:ascii="Times New Roman" w:hAnsi="Times New Roman"/>
          <w:sz w:val="24"/>
          <w:szCs w:val="24"/>
        </w:rPr>
        <w:t xml:space="preserve"> </w:t>
      </w:r>
      <w:r w:rsidR="00167C13" w:rsidRPr="00FB5A28">
        <w:rPr>
          <w:rFonts w:ascii="Times New Roman" w:hAnsi="Times New Roman"/>
          <w:sz w:val="24"/>
          <w:szCs w:val="24"/>
        </w:rPr>
        <w:t>и</w:t>
      </w:r>
      <w:r w:rsidRPr="00FB5A28">
        <w:rPr>
          <w:rFonts w:ascii="Times New Roman" w:hAnsi="Times New Roman"/>
          <w:sz w:val="24"/>
          <w:szCs w:val="24"/>
        </w:rPr>
        <w:t xml:space="preserve"> </w:t>
      </w:r>
      <w:r w:rsidR="00167C13" w:rsidRPr="00FB5A28">
        <w:rPr>
          <w:rFonts w:ascii="Times New Roman" w:hAnsi="Times New Roman"/>
          <w:sz w:val="24"/>
          <w:szCs w:val="24"/>
        </w:rPr>
        <w:t>исказани</w:t>
      </w:r>
      <w:r w:rsidRPr="00FB5A28">
        <w:rPr>
          <w:rFonts w:ascii="Times New Roman" w:hAnsi="Times New Roman"/>
          <w:sz w:val="24"/>
          <w:szCs w:val="24"/>
        </w:rPr>
        <w:t xml:space="preserve"> </w:t>
      </w:r>
      <w:r w:rsidR="00167C13" w:rsidRPr="00FB5A28">
        <w:rPr>
          <w:rFonts w:ascii="Times New Roman" w:hAnsi="Times New Roman"/>
          <w:sz w:val="24"/>
          <w:szCs w:val="24"/>
        </w:rPr>
        <w:t>ПДВ</w:t>
      </w:r>
      <w:r w:rsidRPr="00FB5A28">
        <w:rPr>
          <w:rFonts w:ascii="Times New Roman" w:hAnsi="Times New Roman"/>
          <w:sz w:val="24"/>
          <w:szCs w:val="24"/>
        </w:rPr>
        <w:t xml:space="preserve"> </w:t>
      </w:r>
      <w:r w:rsidR="00167C13" w:rsidRPr="00FB5A28">
        <w:rPr>
          <w:rFonts w:ascii="Times New Roman" w:hAnsi="Times New Roman"/>
          <w:sz w:val="24"/>
          <w:szCs w:val="24"/>
        </w:rPr>
        <w:t>за</w:t>
      </w:r>
      <w:r w:rsidRPr="00FB5A28">
        <w:rPr>
          <w:rFonts w:ascii="Times New Roman" w:hAnsi="Times New Roman"/>
          <w:sz w:val="24"/>
          <w:szCs w:val="24"/>
        </w:rPr>
        <w:t xml:space="preserve"> </w:t>
      </w:r>
      <w:r w:rsidR="00167C13" w:rsidRPr="00FB5A28">
        <w:rPr>
          <w:rFonts w:ascii="Times New Roman" w:hAnsi="Times New Roman"/>
          <w:sz w:val="24"/>
          <w:szCs w:val="24"/>
        </w:rPr>
        <w:t>промет</w:t>
      </w:r>
      <w:r w:rsidRPr="00FB5A28">
        <w:rPr>
          <w:rFonts w:ascii="Times New Roman" w:hAnsi="Times New Roman"/>
          <w:sz w:val="24"/>
          <w:szCs w:val="24"/>
        </w:rPr>
        <w:t xml:space="preserve"> </w:t>
      </w:r>
      <w:r w:rsidR="00167C13" w:rsidRPr="00FB5A28">
        <w:rPr>
          <w:rFonts w:ascii="Times New Roman" w:hAnsi="Times New Roman"/>
          <w:sz w:val="24"/>
          <w:szCs w:val="24"/>
        </w:rPr>
        <w:t>добара</w:t>
      </w:r>
      <w:r w:rsidRPr="00FB5A28">
        <w:rPr>
          <w:rFonts w:ascii="Times New Roman" w:hAnsi="Times New Roman"/>
          <w:sz w:val="24"/>
          <w:szCs w:val="24"/>
        </w:rPr>
        <w:t xml:space="preserve"> </w:t>
      </w:r>
      <w:r w:rsidR="00167C13" w:rsidRPr="00FB5A28">
        <w:rPr>
          <w:rFonts w:ascii="Times New Roman" w:hAnsi="Times New Roman"/>
          <w:sz w:val="24"/>
          <w:szCs w:val="24"/>
        </w:rPr>
        <w:t>и</w:t>
      </w:r>
      <w:r w:rsidRPr="00FB5A28">
        <w:rPr>
          <w:rFonts w:ascii="Times New Roman" w:hAnsi="Times New Roman"/>
          <w:sz w:val="24"/>
          <w:szCs w:val="24"/>
        </w:rPr>
        <w:t xml:space="preserve"> </w:t>
      </w:r>
      <w:r w:rsidR="00167C13" w:rsidRPr="00FB5A28">
        <w:rPr>
          <w:rFonts w:ascii="Times New Roman" w:hAnsi="Times New Roman"/>
          <w:sz w:val="24"/>
          <w:szCs w:val="24"/>
        </w:rPr>
        <w:t>услуга</w:t>
      </w:r>
      <w:r w:rsidRPr="00FB5A28">
        <w:rPr>
          <w:rFonts w:ascii="Times New Roman" w:hAnsi="Times New Roman"/>
          <w:sz w:val="24"/>
          <w:szCs w:val="24"/>
        </w:rPr>
        <w:t xml:space="preserve">, </w:t>
      </w:r>
      <w:r w:rsidR="00167C13" w:rsidRPr="00FB5A28">
        <w:rPr>
          <w:rFonts w:ascii="Times New Roman" w:hAnsi="Times New Roman"/>
          <w:sz w:val="24"/>
          <w:szCs w:val="24"/>
        </w:rPr>
        <w:t>који</w:t>
      </w:r>
      <w:r w:rsidRPr="00FB5A28">
        <w:rPr>
          <w:rFonts w:ascii="Times New Roman" w:hAnsi="Times New Roman"/>
          <w:sz w:val="24"/>
          <w:szCs w:val="24"/>
        </w:rPr>
        <w:t xml:space="preserve"> </w:t>
      </w:r>
      <w:r w:rsidR="00167C13" w:rsidRPr="00FB5A28">
        <w:rPr>
          <w:rFonts w:ascii="Times New Roman" w:hAnsi="Times New Roman"/>
          <w:sz w:val="24"/>
          <w:szCs w:val="24"/>
        </w:rPr>
        <w:t>је</w:t>
      </w:r>
      <w:r w:rsidRPr="00FB5A28">
        <w:rPr>
          <w:rFonts w:ascii="Times New Roman" w:hAnsi="Times New Roman"/>
          <w:sz w:val="24"/>
          <w:szCs w:val="24"/>
        </w:rPr>
        <w:t xml:space="preserve"> </w:t>
      </w:r>
      <w:r w:rsidR="00167C13" w:rsidRPr="00FB5A28">
        <w:rPr>
          <w:rFonts w:ascii="Times New Roman" w:hAnsi="Times New Roman"/>
          <w:sz w:val="24"/>
          <w:szCs w:val="24"/>
        </w:rPr>
        <w:t>или</w:t>
      </w:r>
      <w:r w:rsidRPr="00FB5A28">
        <w:rPr>
          <w:rFonts w:ascii="Times New Roman" w:hAnsi="Times New Roman"/>
          <w:sz w:val="24"/>
          <w:szCs w:val="24"/>
        </w:rPr>
        <w:t xml:space="preserve"> </w:t>
      </w:r>
      <w:r w:rsidR="00167C13" w:rsidRPr="00FB5A28">
        <w:rPr>
          <w:rFonts w:ascii="Times New Roman" w:hAnsi="Times New Roman"/>
          <w:sz w:val="24"/>
          <w:szCs w:val="24"/>
        </w:rPr>
        <w:t>ће</w:t>
      </w:r>
      <w:r w:rsidRPr="00FB5A28">
        <w:rPr>
          <w:rFonts w:ascii="Times New Roman" w:hAnsi="Times New Roman"/>
          <w:sz w:val="24"/>
          <w:szCs w:val="24"/>
        </w:rPr>
        <w:t xml:space="preserve"> </w:t>
      </w:r>
      <w:r w:rsidR="00167C13" w:rsidRPr="00FB5A28">
        <w:rPr>
          <w:rFonts w:ascii="Times New Roman" w:hAnsi="Times New Roman"/>
          <w:sz w:val="24"/>
          <w:szCs w:val="24"/>
        </w:rPr>
        <w:t>му</w:t>
      </w:r>
      <w:r w:rsidRPr="00FB5A28">
        <w:rPr>
          <w:rFonts w:ascii="Times New Roman" w:hAnsi="Times New Roman"/>
          <w:sz w:val="24"/>
          <w:szCs w:val="24"/>
        </w:rPr>
        <w:t xml:space="preserve"> </w:t>
      </w:r>
      <w:r w:rsidR="00167C13" w:rsidRPr="00FB5A28">
        <w:rPr>
          <w:rFonts w:ascii="Times New Roman" w:hAnsi="Times New Roman"/>
          <w:sz w:val="24"/>
          <w:szCs w:val="24"/>
        </w:rPr>
        <w:t>бити</w:t>
      </w:r>
      <w:r w:rsidRPr="00FB5A28">
        <w:rPr>
          <w:rFonts w:ascii="Times New Roman" w:hAnsi="Times New Roman"/>
          <w:sz w:val="24"/>
          <w:szCs w:val="24"/>
        </w:rPr>
        <w:t xml:space="preserve"> </w:t>
      </w:r>
      <w:r w:rsidR="00167C13" w:rsidRPr="00FB5A28">
        <w:rPr>
          <w:rFonts w:ascii="Times New Roman" w:hAnsi="Times New Roman"/>
          <w:sz w:val="24"/>
          <w:szCs w:val="24"/>
        </w:rPr>
        <w:t>извршен</w:t>
      </w:r>
      <w:r w:rsidRPr="00FB5A28">
        <w:rPr>
          <w:rFonts w:ascii="Times New Roman" w:hAnsi="Times New Roman"/>
          <w:sz w:val="24"/>
          <w:szCs w:val="24"/>
        </w:rPr>
        <w:t xml:space="preserve"> </w:t>
      </w:r>
      <w:r w:rsidR="00167C13" w:rsidRPr="00FB5A28">
        <w:rPr>
          <w:rFonts w:ascii="Times New Roman" w:hAnsi="Times New Roman"/>
          <w:sz w:val="24"/>
          <w:szCs w:val="24"/>
        </w:rPr>
        <w:t>од</w:t>
      </w:r>
      <w:r w:rsidRPr="00FB5A28">
        <w:rPr>
          <w:rFonts w:ascii="Times New Roman" w:hAnsi="Times New Roman"/>
          <w:sz w:val="24"/>
          <w:szCs w:val="24"/>
        </w:rPr>
        <w:t xml:space="preserve"> </w:t>
      </w:r>
      <w:r w:rsidR="00167C13" w:rsidRPr="00FB5A28">
        <w:rPr>
          <w:rFonts w:ascii="Times New Roman" w:hAnsi="Times New Roman"/>
          <w:sz w:val="24"/>
          <w:szCs w:val="24"/>
        </w:rPr>
        <w:t>стране</w:t>
      </w:r>
      <w:r w:rsidRPr="00FB5A28">
        <w:rPr>
          <w:rFonts w:ascii="Times New Roman" w:hAnsi="Times New Roman"/>
          <w:sz w:val="24"/>
          <w:szCs w:val="24"/>
        </w:rPr>
        <w:t xml:space="preserve"> </w:t>
      </w:r>
      <w:r w:rsidR="00167C13" w:rsidRPr="00FB5A28">
        <w:rPr>
          <w:rFonts w:ascii="Times New Roman" w:hAnsi="Times New Roman"/>
          <w:sz w:val="24"/>
          <w:szCs w:val="24"/>
        </w:rPr>
        <w:t>другог</w:t>
      </w:r>
      <w:r w:rsidRPr="00FB5A28">
        <w:rPr>
          <w:rFonts w:ascii="Times New Roman" w:hAnsi="Times New Roman"/>
          <w:sz w:val="24"/>
          <w:szCs w:val="24"/>
        </w:rPr>
        <w:t xml:space="preserve"> </w:t>
      </w:r>
      <w:r w:rsidR="00167C13" w:rsidRPr="00FB5A28">
        <w:rPr>
          <w:rFonts w:ascii="Times New Roman" w:hAnsi="Times New Roman"/>
          <w:sz w:val="24"/>
          <w:szCs w:val="24"/>
        </w:rPr>
        <w:t>обвезника</w:t>
      </w:r>
      <w:r w:rsidRPr="00FB5A28">
        <w:rPr>
          <w:rFonts w:ascii="Times New Roman" w:hAnsi="Times New Roman"/>
          <w:sz w:val="24"/>
          <w:szCs w:val="24"/>
        </w:rPr>
        <w:t xml:space="preserve"> </w:t>
      </w:r>
      <w:r w:rsidR="00167C13" w:rsidRPr="00FB5A28">
        <w:rPr>
          <w:rFonts w:ascii="Times New Roman" w:hAnsi="Times New Roman"/>
          <w:sz w:val="24"/>
          <w:szCs w:val="24"/>
        </w:rPr>
        <w:t>у</w:t>
      </w:r>
      <w:r w:rsidRPr="00FB5A28">
        <w:rPr>
          <w:rFonts w:ascii="Times New Roman" w:hAnsi="Times New Roman"/>
          <w:sz w:val="24"/>
          <w:szCs w:val="24"/>
        </w:rPr>
        <w:t xml:space="preserve"> </w:t>
      </w:r>
      <w:r w:rsidR="00167C13" w:rsidRPr="00FB5A28">
        <w:rPr>
          <w:rFonts w:ascii="Times New Roman" w:hAnsi="Times New Roman"/>
          <w:sz w:val="24"/>
          <w:szCs w:val="24"/>
        </w:rPr>
        <w:t>промету</w:t>
      </w:r>
      <w:r w:rsidRPr="00FB5A28">
        <w:rPr>
          <w:rFonts w:ascii="Times New Roman" w:hAnsi="Times New Roman"/>
          <w:sz w:val="24"/>
          <w:szCs w:val="24"/>
        </w:rPr>
        <w:t>;</w:t>
      </w:r>
    </w:p>
    <w:p w:rsidR="00E13395" w:rsidRPr="00FB5A28" w:rsidRDefault="005F7509" w:rsidP="00FB5A28">
      <w:pPr>
        <w:jc w:val="both"/>
        <w:rPr>
          <w:rFonts w:ascii="Times New Roman" w:hAnsi="Times New Roman"/>
          <w:sz w:val="24"/>
          <w:szCs w:val="24"/>
          <w:lang w:val="sr-Cyrl-CS"/>
        </w:rPr>
      </w:pPr>
      <w:r w:rsidRPr="00FB5A28">
        <w:rPr>
          <w:rFonts w:ascii="Times New Roman" w:hAnsi="Times New Roman"/>
          <w:sz w:val="24"/>
          <w:szCs w:val="24"/>
        </w:rPr>
        <w:t xml:space="preserve">2) </w:t>
      </w:r>
      <w:r w:rsidR="00167C13" w:rsidRPr="00FB5A28">
        <w:rPr>
          <w:rFonts w:ascii="Times New Roman" w:hAnsi="Times New Roman"/>
          <w:sz w:val="24"/>
          <w:szCs w:val="24"/>
        </w:rPr>
        <w:t>ПДВ</w:t>
      </w:r>
      <w:r w:rsidRPr="00FB5A28">
        <w:rPr>
          <w:rFonts w:ascii="Times New Roman" w:hAnsi="Times New Roman"/>
          <w:sz w:val="24"/>
          <w:szCs w:val="24"/>
        </w:rPr>
        <w:t xml:space="preserve"> </w:t>
      </w:r>
      <w:r w:rsidR="00167C13" w:rsidRPr="00FB5A28">
        <w:rPr>
          <w:rFonts w:ascii="Times New Roman" w:hAnsi="Times New Roman"/>
          <w:sz w:val="24"/>
          <w:szCs w:val="24"/>
        </w:rPr>
        <w:t>који</w:t>
      </w:r>
      <w:r w:rsidRPr="00FB5A28">
        <w:rPr>
          <w:rFonts w:ascii="Times New Roman" w:hAnsi="Times New Roman"/>
          <w:sz w:val="24"/>
          <w:szCs w:val="24"/>
        </w:rPr>
        <w:t xml:space="preserve"> </w:t>
      </w:r>
      <w:r w:rsidR="00167C13" w:rsidRPr="00FB5A28">
        <w:rPr>
          <w:rFonts w:ascii="Times New Roman" w:hAnsi="Times New Roman"/>
          <w:sz w:val="24"/>
          <w:szCs w:val="24"/>
        </w:rPr>
        <w:t>је</w:t>
      </w:r>
      <w:r w:rsidRPr="00FB5A28">
        <w:rPr>
          <w:rFonts w:ascii="Times New Roman" w:hAnsi="Times New Roman"/>
          <w:sz w:val="24"/>
          <w:szCs w:val="24"/>
        </w:rPr>
        <w:t xml:space="preserve"> </w:t>
      </w:r>
      <w:r w:rsidR="00167C13" w:rsidRPr="00FB5A28">
        <w:rPr>
          <w:rFonts w:ascii="Times New Roman" w:hAnsi="Times New Roman"/>
          <w:sz w:val="24"/>
          <w:szCs w:val="24"/>
        </w:rPr>
        <w:t>плаћен</w:t>
      </w:r>
      <w:r w:rsidRPr="00FB5A28">
        <w:rPr>
          <w:rFonts w:ascii="Times New Roman" w:hAnsi="Times New Roman"/>
          <w:sz w:val="24"/>
          <w:szCs w:val="24"/>
        </w:rPr>
        <w:t xml:space="preserve"> </w:t>
      </w:r>
      <w:r w:rsidR="00167C13" w:rsidRPr="00FB5A28">
        <w:rPr>
          <w:rFonts w:ascii="Times New Roman" w:hAnsi="Times New Roman"/>
          <w:sz w:val="24"/>
          <w:szCs w:val="24"/>
        </w:rPr>
        <w:t>приликом</w:t>
      </w:r>
      <w:r w:rsidRPr="00FB5A28">
        <w:rPr>
          <w:rFonts w:ascii="Times New Roman" w:hAnsi="Times New Roman"/>
          <w:sz w:val="24"/>
          <w:szCs w:val="24"/>
        </w:rPr>
        <w:t xml:space="preserve"> </w:t>
      </w:r>
      <w:r w:rsidR="00167C13" w:rsidRPr="00FB5A28">
        <w:rPr>
          <w:rFonts w:ascii="Times New Roman" w:hAnsi="Times New Roman"/>
          <w:sz w:val="24"/>
          <w:szCs w:val="24"/>
        </w:rPr>
        <w:t>увоза</w:t>
      </w:r>
      <w:r w:rsidRPr="00FB5A28">
        <w:rPr>
          <w:rFonts w:ascii="Times New Roman" w:hAnsi="Times New Roman"/>
          <w:sz w:val="24"/>
          <w:szCs w:val="24"/>
        </w:rPr>
        <w:t xml:space="preserve"> </w:t>
      </w:r>
      <w:r w:rsidR="00167C13" w:rsidRPr="00FB5A28">
        <w:rPr>
          <w:rFonts w:ascii="Times New Roman" w:hAnsi="Times New Roman"/>
          <w:sz w:val="24"/>
          <w:szCs w:val="24"/>
        </w:rPr>
        <w:t>добара</w:t>
      </w:r>
      <w:r w:rsidRPr="00FB5A28">
        <w:rPr>
          <w:rFonts w:ascii="Times New Roman" w:hAnsi="Times New Roman"/>
          <w:sz w:val="24"/>
          <w:szCs w:val="24"/>
        </w:rPr>
        <w:t>.</w:t>
      </w:r>
    </w:p>
    <w:p w:rsidR="005F7509" w:rsidRPr="00FB5A28" w:rsidRDefault="00167C13" w:rsidP="00FB5A28">
      <w:pPr>
        <w:jc w:val="both"/>
        <w:rPr>
          <w:rFonts w:ascii="Times New Roman" w:hAnsi="Times New Roman"/>
          <w:sz w:val="24"/>
          <w:szCs w:val="24"/>
          <w:lang w:val="sr-Cyrl-CS"/>
        </w:rPr>
      </w:pPr>
      <w:r w:rsidRPr="00FB5A28">
        <w:rPr>
          <w:rFonts w:ascii="Times New Roman" w:hAnsi="Times New Roman"/>
          <w:sz w:val="24"/>
          <w:szCs w:val="24"/>
        </w:rPr>
        <w:lastRenderedPageBreak/>
        <w:t>Обвезник</w:t>
      </w:r>
      <w:r w:rsidR="005F7509" w:rsidRPr="00FB5A28">
        <w:rPr>
          <w:rFonts w:ascii="Times New Roman" w:hAnsi="Times New Roman"/>
          <w:sz w:val="24"/>
          <w:szCs w:val="24"/>
        </w:rPr>
        <w:t xml:space="preserve"> </w:t>
      </w:r>
      <w:r w:rsidRPr="00FB5A28">
        <w:rPr>
          <w:rFonts w:ascii="Times New Roman" w:hAnsi="Times New Roman"/>
          <w:sz w:val="24"/>
          <w:szCs w:val="24"/>
        </w:rPr>
        <w:t>нема</w:t>
      </w:r>
      <w:r w:rsidR="005F7509" w:rsidRPr="00FB5A28">
        <w:rPr>
          <w:rFonts w:ascii="Times New Roman" w:hAnsi="Times New Roman"/>
          <w:sz w:val="24"/>
          <w:szCs w:val="24"/>
        </w:rPr>
        <w:t xml:space="preserve"> </w:t>
      </w:r>
      <w:r w:rsidRPr="00FB5A28">
        <w:rPr>
          <w:rFonts w:ascii="Times New Roman" w:hAnsi="Times New Roman"/>
          <w:sz w:val="24"/>
          <w:szCs w:val="24"/>
        </w:rPr>
        <w:t>право</w:t>
      </w:r>
      <w:r w:rsidR="005F7509" w:rsidRPr="00FB5A28">
        <w:rPr>
          <w:rFonts w:ascii="Times New Roman" w:hAnsi="Times New Roman"/>
          <w:sz w:val="24"/>
          <w:szCs w:val="24"/>
        </w:rPr>
        <w:t xml:space="preserve"> </w:t>
      </w:r>
      <w:r w:rsidRPr="00FB5A28">
        <w:rPr>
          <w:rFonts w:ascii="Times New Roman" w:hAnsi="Times New Roman"/>
          <w:sz w:val="24"/>
          <w:szCs w:val="24"/>
        </w:rPr>
        <w:t>на</w:t>
      </w:r>
      <w:r w:rsidR="005F7509" w:rsidRPr="00FB5A28">
        <w:rPr>
          <w:rFonts w:ascii="Times New Roman" w:hAnsi="Times New Roman"/>
          <w:sz w:val="24"/>
          <w:szCs w:val="24"/>
        </w:rPr>
        <w:t xml:space="preserve"> </w:t>
      </w:r>
      <w:r w:rsidRPr="00FB5A28">
        <w:rPr>
          <w:rFonts w:ascii="Times New Roman" w:hAnsi="Times New Roman"/>
          <w:sz w:val="24"/>
          <w:szCs w:val="24"/>
        </w:rPr>
        <w:t>одбитак</w:t>
      </w:r>
      <w:r w:rsidR="005F7509" w:rsidRPr="00FB5A28">
        <w:rPr>
          <w:rFonts w:ascii="Times New Roman" w:hAnsi="Times New Roman"/>
          <w:sz w:val="24"/>
          <w:szCs w:val="24"/>
        </w:rPr>
        <w:t xml:space="preserve"> </w:t>
      </w:r>
      <w:r w:rsidRPr="00FB5A28">
        <w:rPr>
          <w:rFonts w:ascii="Times New Roman" w:hAnsi="Times New Roman"/>
          <w:sz w:val="24"/>
          <w:szCs w:val="24"/>
        </w:rPr>
        <w:t>претходног</w:t>
      </w:r>
      <w:r w:rsidR="005F7509" w:rsidRPr="00FB5A28">
        <w:rPr>
          <w:rFonts w:ascii="Times New Roman" w:hAnsi="Times New Roman"/>
          <w:sz w:val="24"/>
          <w:szCs w:val="24"/>
        </w:rPr>
        <w:t xml:space="preserve"> </w:t>
      </w:r>
      <w:r w:rsidRPr="00FB5A28">
        <w:rPr>
          <w:rFonts w:ascii="Times New Roman" w:hAnsi="Times New Roman"/>
          <w:sz w:val="24"/>
          <w:szCs w:val="24"/>
        </w:rPr>
        <w:t>пореза</w:t>
      </w:r>
      <w:r w:rsidR="005F7509" w:rsidRPr="00FB5A28">
        <w:rPr>
          <w:rFonts w:ascii="Times New Roman" w:hAnsi="Times New Roman"/>
          <w:sz w:val="24"/>
          <w:szCs w:val="24"/>
        </w:rPr>
        <w:t xml:space="preserve"> </w:t>
      </w:r>
      <w:r w:rsidRPr="00FB5A28">
        <w:rPr>
          <w:rFonts w:ascii="Times New Roman" w:hAnsi="Times New Roman"/>
          <w:sz w:val="24"/>
          <w:szCs w:val="24"/>
        </w:rPr>
        <w:t>по</w:t>
      </w:r>
      <w:r w:rsidR="005F7509" w:rsidRPr="00FB5A28">
        <w:rPr>
          <w:rFonts w:ascii="Times New Roman" w:hAnsi="Times New Roman"/>
          <w:sz w:val="24"/>
          <w:szCs w:val="24"/>
        </w:rPr>
        <w:t xml:space="preserve"> </w:t>
      </w:r>
      <w:r w:rsidRPr="00FB5A28">
        <w:rPr>
          <w:rFonts w:ascii="Times New Roman" w:hAnsi="Times New Roman"/>
          <w:sz w:val="24"/>
          <w:szCs w:val="24"/>
        </w:rPr>
        <w:t>основу</w:t>
      </w:r>
      <w:r w:rsidR="005F7509" w:rsidRPr="00FB5A28">
        <w:rPr>
          <w:rFonts w:ascii="Times New Roman" w:hAnsi="Times New Roman"/>
          <w:sz w:val="24"/>
          <w:szCs w:val="24"/>
        </w:rPr>
        <w:t>:</w:t>
      </w:r>
    </w:p>
    <w:p w:rsidR="005F7509" w:rsidRPr="00FB5A28" w:rsidRDefault="005F7509" w:rsidP="00FB5A28">
      <w:pPr>
        <w:jc w:val="both"/>
        <w:rPr>
          <w:rFonts w:ascii="Times New Roman" w:hAnsi="Times New Roman"/>
          <w:sz w:val="24"/>
          <w:szCs w:val="24"/>
        </w:rPr>
      </w:pPr>
      <w:r w:rsidRPr="00FB5A28">
        <w:rPr>
          <w:rFonts w:ascii="Times New Roman" w:hAnsi="Times New Roman"/>
          <w:sz w:val="24"/>
          <w:szCs w:val="24"/>
        </w:rPr>
        <w:t xml:space="preserve">1) </w:t>
      </w:r>
      <w:r w:rsidR="00167C13" w:rsidRPr="00FB5A28">
        <w:rPr>
          <w:rFonts w:ascii="Times New Roman" w:hAnsi="Times New Roman"/>
          <w:sz w:val="24"/>
          <w:szCs w:val="24"/>
        </w:rPr>
        <w:t>набавке</w:t>
      </w:r>
      <w:r w:rsidRPr="00FB5A28">
        <w:rPr>
          <w:rFonts w:ascii="Times New Roman" w:hAnsi="Times New Roman"/>
          <w:sz w:val="24"/>
          <w:szCs w:val="24"/>
        </w:rPr>
        <w:t xml:space="preserve">, </w:t>
      </w:r>
      <w:r w:rsidR="00167C13" w:rsidRPr="00FB5A28">
        <w:rPr>
          <w:rFonts w:ascii="Times New Roman" w:hAnsi="Times New Roman"/>
          <w:sz w:val="24"/>
          <w:szCs w:val="24"/>
        </w:rPr>
        <w:t>производње</w:t>
      </w:r>
      <w:r w:rsidRPr="00FB5A28">
        <w:rPr>
          <w:rFonts w:ascii="Times New Roman" w:hAnsi="Times New Roman"/>
          <w:sz w:val="24"/>
          <w:szCs w:val="24"/>
        </w:rPr>
        <w:t xml:space="preserve"> </w:t>
      </w:r>
      <w:r w:rsidR="00167C13" w:rsidRPr="00FB5A28">
        <w:rPr>
          <w:rFonts w:ascii="Times New Roman" w:hAnsi="Times New Roman"/>
          <w:sz w:val="24"/>
          <w:szCs w:val="24"/>
        </w:rPr>
        <w:t>и</w:t>
      </w:r>
      <w:r w:rsidRPr="00FB5A28">
        <w:rPr>
          <w:rFonts w:ascii="Times New Roman" w:hAnsi="Times New Roman"/>
          <w:sz w:val="24"/>
          <w:szCs w:val="24"/>
        </w:rPr>
        <w:t xml:space="preserve"> </w:t>
      </w:r>
      <w:r w:rsidR="00167C13" w:rsidRPr="00FB5A28">
        <w:rPr>
          <w:rFonts w:ascii="Times New Roman" w:hAnsi="Times New Roman"/>
          <w:sz w:val="24"/>
          <w:szCs w:val="24"/>
        </w:rPr>
        <w:t>увоза</w:t>
      </w:r>
      <w:r w:rsidRPr="00FB5A28">
        <w:rPr>
          <w:rFonts w:ascii="Times New Roman" w:hAnsi="Times New Roman"/>
          <w:sz w:val="24"/>
          <w:szCs w:val="24"/>
        </w:rPr>
        <w:t xml:space="preserve"> </w:t>
      </w:r>
      <w:r w:rsidR="00167C13" w:rsidRPr="00FB5A28">
        <w:rPr>
          <w:rFonts w:ascii="Times New Roman" w:hAnsi="Times New Roman"/>
          <w:sz w:val="24"/>
          <w:szCs w:val="24"/>
        </w:rPr>
        <w:t>путничких</w:t>
      </w:r>
      <w:r w:rsidRPr="00FB5A28">
        <w:rPr>
          <w:rFonts w:ascii="Times New Roman" w:hAnsi="Times New Roman"/>
          <w:sz w:val="24"/>
          <w:szCs w:val="24"/>
        </w:rPr>
        <w:t xml:space="preserve"> </w:t>
      </w:r>
      <w:r w:rsidR="00167C13" w:rsidRPr="00FB5A28">
        <w:rPr>
          <w:rFonts w:ascii="Times New Roman" w:hAnsi="Times New Roman"/>
          <w:sz w:val="24"/>
          <w:szCs w:val="24"/>
        </w:rPr>
        <w:t>аутомобила</w:t>
      </w:r>
      <w:r w:rsidRPr="00FB5A28">
        <w:rPr>
          <w:rFonts w:ascii="Times New Roman" w:hAnsi="Times New Roman"/>
          <w:sz w:val="24"/>
          <w:szCs w:val="24"/>
        </w:rPr>
        <w:t xml:space="preserve">, </w:t>
      </w:r>
      <w:r w:rsidR="00167C13" w:rsidRPr="00FB5A28">
        <w:rPr>
          <w:rFonts w:ascii="Times New Roman" w:hAnsi="Times New Roman"/>
          <w:sz w:val="24"/>
          <w:szCs w:val="24"/>
        </w:rPr>
        <w:t>мотоцикала</w:t>
      </w:r>
      <w:r w:rsidRPr="00FB5A28">
        <w:rPr>
          <w:rFonts w:ascii="Times New Roman" w:hAnsi="Times New Roman"/>
          <w:sz w:val="24"/>
          <w:szCs w:val="24"/>
        </w:rPr>
        <w:t xml:space="preserve">, </w:t>
      </w:r>
      <w:r w:rsidR="00167C13" w:rsidRPr="00FB5A28">
        <w:rPr>
          <w:rFonts w:ascii="Times New Roman" w:hAnsi="Times New Roman"/>
          <w:sz w:val="24"/>
          <w:szCs w:val="24"/>
        </w:rPr>
        <w:t>јахти</w:t>
      </w:r>
      <w:r w:rsidRPr="00FB5A28">
        <w:rPr>
          <w:rFonts w:ascii="Times New Roman" w:hAnsi="Times New Roman"/>
          <w:sz w:val="24"/>
          <w:szCs w:val="24"/>
        </w:rPr>
        <w:t xml:space="preserve">, </w:t>
      </w:r>
      <w:r w:rsidR="00167C13" w:rsidRPr="00FB5A28">
        <w:rPr>
          <w:rFonts w:ascii="Times New Roman" w:hAnsi="Times New Roman"/>
          <w:sz w:val="24"/>
          <w:szCs w:val="24"/>
        </w:rPr>
        <w:t>чамаца</w:t>
      </w:r>
      <w:r w:rsidRPr="00FB5A28">
        <w:rPr>
          <w:rFonts w:ascii="Times New Roman" w:hAnsi="Times New Roman"/>
          <w:sz w:val="24"/>
          <w:szCs w:val="24"/>
        </w:rPr>
        <w:t xml:space="preserve"> </w:t>
      </w:r>
      <w:r w:rsidR="00167C13" w:rsidRPr="00FB5A28">
        <w:rPr>
          <w:rFonts w:ascii="Times New Roman" w:hAnsi="Times New Roman"/>
          <w:sz w:val="24"/>
          <w:szCs w:val="24"/>
        </w:rPr>
        <w:t>и</w:t>
      </w:r>
      <w:r w:rsidRPr="00FB5A28">
        <w:rPr>
          <w:rFonts w:ascii="Times New Roman" w:hAnsi="Times New Roman"/>
          <w:sz w:val="24"/>
          <w:szCs w:val="24"/>
        </w:rPr>
        <w:t xml:space="preserve"> </w:t>
      </w:r>
      <w:r w:rsidR="00167C13" w:rsidRPr="00FB5A28">
        <w:rPr>
          <w:rFonts w:ascii="Times New Roman" w:hAnsi="Times New Roman"/>
          <w:sz w:val="24"/>
          <w:szCs w:val="24"/>
        </w:rPr>
        <w:t>ваздухоплова</w:t>
      </w:r>
      <w:r w:rsidRPr="00FB5A28">
        <w:rPr>
          <w:rFonts w:ascii="Times New Roman" w:hAnsi="Times New Roman"/>
          <w:sz w:val="24"/>
          <w:szCs w:val="24"/>
        </w:rPr>
        <w:t xml:space="preserve">, </w:t>
      </w:r>
      <w:r w:rsidR="00167C13" w:rsidRPr="00FB5A28">
        <w:rPr>
          <w:rFonts w:ascii="Times New Roman" w:hAnsi="Times New Roman"/>
          <w:sz w:val="24"/>
          <w:szCs w:val="24"/>
        </w:rPr>
        <w:t>објеката</w:t>
      </w:r>
      <w:r w:rsidRPr="00FB5A28">
        <w:rPr>
          <w:rFonts w:ascii="Times New Roman" w:hAnsi="Times New Roman"/>
          <w:sz w:val="24"/>
          <w:szCs w:val="24"/>
        </w:rPr>
        <w:t xml:space="preserve"> </w:t>
      </w:r>
      <w:r w:rsidR="00167C13" w:rsidRPr="00FB5A28">
        <w:rPr>
          <w:rFonts w:ascii="Times New Roman" w:hAnsi="Times New Roman"/>
          <w:sz w:val="24"/>
          <w:szCs w:val="24"/>
        </w:rPr>
        <w:t>за</w:t>
      </w:r>
      <w:r w:rsidRPr="00FB5A28">
        <w:rPr>
          <w:rFonts w:ascii="Times New Roman" w:hAnsi="Times New Roman"/>
          <w:sz w:val="24"/>
          <w:szCs w:val="24"/>
        </w:rPr>
        <w:t xml:space="preserve"> </w:t>
      </w:r>
      <w:r w:rsidR="00167C13" w:rsidRPr="00FB5A28">
        <w:rPr>
          <w:rFonts w:ascii="Times New Roman" w:hAnsi="Times New Roman"/>
          <w:sz w:val="24"/>
          <w:szCs w:val="24"/>
        </w:rPr>
        <w:t>смештај</w:t>
      </w:r>
      <w:r w:rsidRPr="00FB5A28">
        <w:rPr>
          <w:rFonts w:ascii="Times New Roman" w:hAnsi="Times New Roman"/>
          <w:sz w:val="24"/>
          <w:szCs w:val="24"/>
        </w:rPr>
        <w:t xml:space="preserve"> </w:t>
      </w:r>
      <w:r w:rsidR="00167C13" w:rsidRPr="00FB5A28">
        <w:rPr>
          <w:rFonts w:ascii="Times New Roman" w:hAnsi="Times New Roman"/>
          <w:sz w:val="24"/>
          <w:szCs w:val="24"/>
        </w:rPr>
        <w:t>тих</w:t>
      </w:r>
      <w:r w:rsidRPr="00FB5A28">
        <w:rPr>
          <w:rFonts w:ascii="Times New Roman" w:hAnsi="Times New Roman"/>
          <w:sz w:val="24"/>
          <w:szCs w:val="24"/>
        </w:rPr>
        <w:t xml:space="preserve"> </w:t>
      </w:r>
      <w:r w:rsidR="00167C13" w:rsidRPr="00FB5A28">
        <w:rPr>
          <w:rFonts w:ascii="Times New Roman" w:hAnsi="Times New Roman"/>
          <w:sz w:val="24"/>
          <w:szCs w:val="24"/>
        </w:rPr>
        <w:t>добара</w:t>
      </w:r>
      <w:r w:rsidRPr="00FB5A28">
        <w:rPr>
          <w:rFonts w:ascii="Times New Roman" w:hAnsi="Times New Roman"/>
          <w:sz w:val="24"/>
          <w:szCs w:val="24"/>
        </w:rPr>
        <w:t xml:space="preserve">, </w:t>
      </w:r>
      <w:r w:rsidR="00167C13" w:rsidRPr="00FB5A28">
        <w:rPr>
          <w:rFonts w:ascii="Times New Roman" w:hAnsi="Times New Roman"/>
          <w:sz w:val="24"/>
          <w:szCs w:val="24"/>
        </w:rPr>
        <w:t>резервних</w:t>
      </w:r>
      <w:r w:rsidRPr="00FB5A28">
        <w:rPr>
          <w:rFonts w:ascii="Times New Roman" w:hAnsi="Times New Roman"/>
          <w:sz w:val="24"/>
          <w:szCs w:val="24"/>
        </w:rPr>
        <w:t xml:space="preserve"> </w:t>
      </w:r>
      <w:r w:rsidR="00167C13" w:rsidRPr="00FB5A28">
        <w:rPr>
          <w:rFonts w:ascii="Times New Roman" w:hAnsi="Times New Roman"/>
          <w:sz w:val="24"/>
          <w:szCs w:val="24"/>
        </w:rPr>
        <w:t>делова</w:t>
      </w:r>
      <w:r w:rsidRPr="00FB5A28">
        <w:rPr>
          <w:rFonts w:ascii="Times New Roman" w:hAnsi="Times New Roman"/>
          <w:sz w:val="24"/>
          <w:szCs w:val="24"/>
        </w:rPr>
        <w:t xml:space="preserve">, </w:t>
      </w:r>
      <w:r w:rsidR="00167C13" w:rsidRPr="00FB5A28">
        <w:rPr>
          <w:rFonts w:ascii="Times New Roman" w:hAnsi="Times New Roman"/>
          <w:sz w:val="24"/>
          <w:szCs w:val="24"/>
        </w:rPr>
        <w:t>горива</w:t>
      </w:r>
      <w:r w:rsidRPr="00FB5A28">
        <w:rPr>
          <w:rFonts w:ascii="Times New Roman" w:hAnsi="Times New Roman"/>
          <w:sz w:val="24"/>
          <w:szCs w:val="24"/>
        </w:rPr>
        <w:t xml:space="preserve"> </w:t>
      </w:r>
      <w:r w:rsidR="00167C13" w:rsidRPr="00FB5A28">
        <w:rPr>
          <w:rFonts w:ascii="Times New Roman" w:hAnsi="Times New Roman"/>
          <w:sz w:val="24"/>
          <w:szCs w:val="24"/>
        </w:rPr>
        <w:t>и</w:t>
      </w:r>
      <w:r w:rsidRPr="00FB5A28">
        <w:rPr>
          <w:rFonts w:ascii="Times New Roman" w:hAnsi="Times New Roman"/>
          <w:sz w:val="24"/>
          <w:szCs w:val="24"/>
        </w:rPr>
        <w:t xml:space="preserve"> </w:t>
      </w:r>
      <w:r w:rsidR="00167C13" w:rsidRPr="00FB5A28">
        <w:rPr>
          <w:rFonts w:ascii="Times New Roman" w:hAnsi="Times New Roman"/>
          <w:sz w:val="24"/>
          <w:szCs w:val="24"/>
        </w:rPr>
        <w:t>потрошног</w:t>
      </w:r>
      <w:r w:rsidRPr="00FB5A28">
        <w:rPr>
          <w:rFonts w:ascii="Times New Roman" w:hAnsi="Times New Roman"/>
          <w:sz w:val="24"/>
          <w:szCs w:val="24"/>
        </w:rPr>
        <w:t xml:space="preserve"> </w:t>
      </w:r>
      <w:r w:rsidR="00167C13" w:rsidRPr="00FB5A28">
        <w:rPr>
          <w:rFonts w:ascii="Times New Roman" w:hAnsi="Times New Roman"/>
          <w:sz w:val="24"/>
          <w:szCs w:val="24"/>
        </w:rPr>
        <w:t>материјала</w:t>
      </w:r>
      <w:r w:rsidRPr="00FB5A28">
        <w:rPr>
          <w:rFonts w:ascii="Times New Roman" w:hAnsi="Times New Roman"/>
          <w:sz w:val="24"/>
          <w:szCs w:val="24"/>
        </w:rPr>
        <w:t xml:space="preserve"> </w:t>
      </w:r>
      <w:r w:rsidR="00167C13" w:rsidRPr="00FB5A28">
        <w:rPr>
          <w:rFonts w:ascii="Times New Roman" w:hAnsi="Times New Roman"/>
          <w:sz w:val="24"/>
          <w:szCs w:val="24"/>
        </w:rPr>
        <w:t>за</w:t>
      </w:r>
      <w:r w:rsidRPr="00FB5A28">
        <w:rPr>
          <w:rFonts w:ascii="Times New Roman" w:hAnsi="Times New Roman"/>
          <w:sz w:val="24"/>
          <w:szCs w:val="24"/>
        </w:rPr>
        <w:t xml:space="preserve"> </w:t>
      </w:r>
      <w:r w:rsidR="00167C13" w:rsidRPr="00FB5A28">
        <w:rPr>
          <w:rFonts w:ascii="Times New Roman" w:hAnsi="Times New Roman"/>
          <w:sz w:val="24"/>
          <w:szCs w:val="24"/>
        </w:rPr>
        <w:t>њихове</w:t>
      </w:r>
      <w:r w:rsidRPr="00FB5A28">
        <w:rPr>
          <w:rFonts w:ascii="Times New Roman" w:hAnsi="Times New Roman"/>
          <w:sz w:val="24"/>
          <w:szCs w:val="24"/>
        </w:rPr>
        <w:t xml:space="preserve"> </w:t>
      </w:r>
      <w:r w:rsidR="00167C13" w:rsidRPr="00FB5A28">
        <w:rPr>
          <w:rFonts w:ascii="Times New Roman" w:hAnsi="Times New Roman"/>
          <w:sz w:val="24"/>
          <w:szCs w:val="24"/>
        </w:rPr>
        <w:t>потребе</w:t>
      </w:r>
      <w:r w:rsidRPr="00FB5A28">
        <w:rPr>
          <w:rFonts w:ascii="Times New Roman" w:hAnsi="Times New Roman"/>
          <w:sz w:val="24"/>
          <w:szCs w:val="24"/>
        </w:rPr>
        <w:t xml:space="preserve">, </w:t>
      </w:r>
      <w:r w:rsidR="00167C13" w:rsidRPr="00FB5A28">
        <w:rPr>
          <w:rFonts w:ascii="Times New Roman" w:hAnsi="Times New Roman"/>
          <w:sz w:val="24"/>
          <w:szCs w:val="24"/>
        </w:rPr>
        <w:t>као</w:t>
      </w:r>
      <w:r w:rsidRPr="00FB5A28">
        <w:rPr>
          <w:rFonts w:ascii="Times New Roman" w:hAnsi="Times New Roman"/>
          <w:sz w:val="24"/>
          <w:szCs w:val="24"/>
        </w:rPr>
        <w:t xml:space="preserve"> </w:t>
      </w:r>
      <w:r w:rsidR="00167C13" w:rsidRPr="00FB5A28">
        <w:rPr>
          <w:rFonts w:ascii="Times New Roman" w:hAnsi="Times New Roman"/>
          <w:sz w:val="24"/>
          <w:szCs w:val="24"/>
        </w:rPr>
        <w:t>и</w:t>
      </w:r>
      <w:r w:rsidRPr="00FB5A28">
        <w:rPr>
          <w:rFonts w:ascii="Times New Roman" w:hAnsi="Times New Roman"/>
          <w:sz w:val="24"/>
          <w:szCs w:val="24"/>
        </w:rPr>
        <w:t xml:space="preserve"> </w:t>
      </w:r>
      <w:r w:rsidR="00167C13" w:rsidRPr="00FB5A28">
        <w:rPr>
          <w:rFonts w:ascii="Times New Roman" w:hAnsi="Times New Roman"/>
          <w:sz w:val="24"/>
          <w:szCs w:val="24"/>
        </w:rPr>
        <w:t>изнајмљивања</w:t>
      </w:r>
      <w:r w:rsidRPr="00FB5A28">
        <w:rPr>
          <w:rFonts w:ascii="Times New Roman" w:hAnsi="Times New Roman"/>
          <w:sz w:val="24"/>
          <w:szCs w:val="24"/>
        </w:rPr>
        <w:t xml:space="preserve">, </w:t>
      </w:r>
      <w:r w:rsidR="00167C13" w:rsidRPr="00FB5A28">
        <w:rPr>
          <w:rFonts w:ascii="Times New Roman" w:hAnsi="Times New Roman"/>
          <w:sz w:val="24"/>
          <w:szCs w:val="24"/>
        </w:rPr>
        <w:t>одржавања</w:t>
      </w:r>
      <w:r w:rsidRPr="00FB5A28">
        <w:rPr>
          <w:rFonts w:ascii="Times New Roman" w:hAnsi="Times New Roman"/>
          <w:sz w:val="24"/>
          <w:szCs w:val="24"/>
        </w:rPr>
        <w:t xml:space="preserve">, </w:t>
      </w:r>
      <w:r w:rsidR="00167C13" w:rsidRPr="00FB5A28">
        <w:rPr>
          <w:rFonts w:ascii="Times New Roman" w:hAnsi="Times New Roman"/>
          <w:sz w:val="24"/>
          <w:szCs w:val="24"/>
        </w:rPr>
        <w:t>поправки</w:t>
      </w:r>
      <w:r w:rsidRPr="00FB5A28">
        <w:rPr>
          <w:rFonts w:ascii="Times New Roman" w:hAnsi="Times New Roman"/>
          <w:sz w:val="24"/>
          <w:szCs w:val="24"/>
        </w:rPr>
        <w:t xml:space="preserve"> </w:t>
      </w:r>
      <w:r w:rsidR="00167C13" w:rsidRPr="00FB5A28">
        <w:rPr>
          <w:rFonts w:ascii="Times New Roman" w:hAnsi="Times New Roman"/>
          <w:sz w:val="24"/>
          <w:szCs w:val="24"/>
        </w:rPr>
        <w:t>и</w:t>
      </w:r>
      <w:r w:rsidRPr="00FB5A28">
        <w:rPr>
          <w:rFonts w:ascii="Times New Roman" w:hAnsi="Times New Roman"/>
          <w:sz w:val="24"/>
          <w:szCs w:val="24"/>
        </w:rPr>
        <w:t xml:space="preserve"> </w:t>
      </w:r>
      <w:r w:rsidR="00167C13" w:rsidRPr="00FB5A28">
        <w:rPr>
          <w:rFonts w:ascii="Times New Roman" w:hAnsi="Times New Roman"/>
          <w:sz w:val="24"/>
          <w:szCs w:val="24"/>
        </w:rPr>
        <w:t>других</w:t>
      </w:r>
      <w:r w:rsidRPr="00FB5A28">
        <w:rPr>
          <w:rFonts w:ascii="Times New Roman" w:hAnsi="Times New Roman"/>
          <w:sz w:val="24"/>
          <w:szCs w:val="24"/>
        </w:rPr>
        <w:t xml:space="preserve"> </w:t>
      </w:r>
      <w:r w:rsidR="00167C13" w:rsidRPr="00FB5A28">
        <w:rPr>
          <w:rFonts w:ascii="Times New Roman" w:hAnsi="Times New Roman"/>
          <w:sz w:val="24"/>
          <w:szCs w:val="24"/>
        </w:rPr>
        <w:t>услуга</w:t>
      </w:r>
      <w:r w:rsidRPr="00FB5A28">
        <w:rPr>
          <w:rFonts w:ascii="Times New Roman" w:hAnsi="Times New Roman"/>
          <w:sz w:val="24"/>
          <w:szCs w:val="24"/>
        </w:rPr>
        <w:t xml:space="preserve">, </w:t>
      </w:r>
      <w:r w:rsidR="00167C13" w:rsidRPr="00FB5A28">
        <w:rPr>
          <w:rFonts w:ascii="Times New Roman" w:hAnsi="Times New Roman"/>
          <w:sz w:val="24"/>
          <w:szCs w:val="24"/>
        </w:rPr>
        <w:t>које</w:t>
      </w:r>
      <w:r w:rsidRPr="00FB5A28">
        <w:rPr>
          <w:rFonts w:ascii="Times New Roman" w:hAnsi="Times New Roman"/>
          <w:sz w:val="24"/>
          <w:szCs w:val="24"/>
        </w:rPr>
        <w:t xml:space="preserve"> </w:t>
      </w:r>
      <w:r w:rsidR="00167C13" w:rsidRPr="00FB5A28">
        <w:rPr>
          <w:rFonts w:ascii="Times New Roman" w:hAnsi="Times New Roman"/>
          <w:sz w:val="24"/>
          <w:szCs w:val="24"/>
        </w:rPr>
        <w:t>су</w:t>
      </w:r>
      <w:r w:rsidRPr="00FB5A28">
        <w:rPr>
          <w:rFonts w:ascii="Times New Roman" w:hAnsi="Times New Roman"/>
          <w:sz w:val="24"/>
          <w:szCs w:val="24"/>
        </w:rPr>
        <w:t xml:space="preserve"> </w:t>
      </w:r>
      <w:r w:rsidR="00167C13" w:rsidRPr="00FB5A28">
        <w:rPr>
          <w:rFonts w:ascii="Times New Roman" w:hAnsi="Times New Roman"/>
          <w:sz w:val="24"/>
          <w:szCs w:val="24"/>
        </w:rPr>
        <w:t>повезане</w:t>
      </w:r>
      <w:r w:rsidRPr="00FB5A28">
        <w:rPr>
          <w:rFonts w:ascii="Times New Roman" w:hAnsi="Times New Roman"/>
          <w:sz w:val="24"/>
          <w:szCs w:val="24"/>
        </w:rPr>
        <w:t xml:space="preserve"> </w:t>
      </w:r>
      <w:r w:rsidR="00167C13" w:rsidRPr="00FB5A28">
        <w:rPr>
          <w:rFonts w:ascii="Times New Roman" w:hAnsi="Times New Roman"/>
          <w:sz w:val="24"/>
          <w:szCs w:val="24"/>
        </w:rPr>
        <w:t>са</w:t>
      </w:r>
      <w:r w:rsidRPr="00FB5A28">
        <w:rPr>
          <w:rFonts w:ascii="Times New Roman" w:hAnsi="Times New Roman"/>
          <w:sz w:val="24"/>
          <w:szCs w:val="24"/>
        </w:rPr>
        <w:t xml:space="preserve"> </w:t>
      </w:r>
      <w:r w:rsidR="00167C13" w:rsidRPr="00FB5A28">
        <w:rPr>
          <w:rFonts w:ascii="Times New Roman" w:hAnsi="Times New Roman"/>
          <w:sz w:val="24"/>
          <w:szCs w:val="24"/>
        </w:rPr>
        <w:t>коришћењем</w:t>
      </w:r>
      <w:r w:rsidRPr="00FB5A28">
        <w:rPr>
          <w:rFonts w:ascii="Times New Roman" w:hAnsi="Times New Roman"/>
          <w:sz w:val="24"/>
          <w:szCs w:val="24"/>
        </w:rPr>
        <w:t xml:space="preserve"> </w:t>
      </w:r>
      <w:r w:rsidR="00167C13" w:rsidRPr="00FB5A28">
        <w:rPr>
          <w:rFonts w:ascii="Times New Roman" w:hAnsi="Times New Roman"/>
          <w:sz w:val="24"/>
          <w:szCs w:val="24"/>
        </w:rPr>
        <w:t>ових</w:t>
      </w:r>
      <w:r w:rsidRPr="00FB5A28">
        <w:rPr>
          <w:rFonts w:ascii="Times New Roman" w:hAnsi="Times New Roman"/>
          <w:sz w:val="24"/>
          <w:szCs w:val="24"/>
        </w:rPr>
        <w:t xml:space="preserve"> </w:t>
      </w:r>
      <w:r w:rsidR="00167C13" w:rsidRPr="00FB5A28">
        <w:rPr>
          <w:rFonts w:ascii="Times New Roman" w:hAnsi="Times New Roman"/>
          <w:sz w:val="24"/>
          <w:szCs w:val="24"/>
        </w:rPr>
        <w:t>превозних</w:t>
      </w:r>
      <w:r w:rsidRPr="00FB5A28">
        <w:rPr>
          <w:rFonts w:ascii="Times New Roman" w:hAnsi="Times New Roman"/>
          <w:sz w:val="24"/>
          <w:szCs w:val="24"/>
        </w:rPr>
        <w:t xml:space="preserve"> </w:t>
      </w:r>
      <w:r w:rsidR="00167C13" w:rsidRPr="00FB5A28">
        <w:rPr>
          <w:rFonts w:ascii="Times New Roman" w:hAnsi="Times New Roman"/>
          <w:sz w:val="24"/>
          <w:szCs w:val="24"/>
        </w:rPr>
        <w:t>средстава</w:t>
      </w:r>
      <w:r w:rsidRPr="00FB5A28">
        <w:rPr>
          <w:rFonts w:ascii="Times New Roman" w:hAnsi="Times New Roman"/>
          <w:sz w:val="24"/>
          <w:szCs w:val="24"/>
        </w:rPr>
        <w:t>;</w:t>
      </w:r>
    </w:p>
    <w:p w:rsidR="005F7509" w:rsidRPr="00FB5A28" w:rsidRDefault="005F7509" w:rsidP="00FB5A28">
      <w:pPr>
        <w:jc w:val="both"/>
        <w:rPr>
          <w:rFonts w:ascii="Times New Roman" w:hAnsi="Times New Roman"/>
          <w:sz w:val="24"/>
          <w:szCs w:val="24"/>
        </w:rPr>
      </w:pPr>
      <w:r w:rsidRPr="00FB5A28">
        <w:rPr>
          <w:rFonts w:ascii="Times New Roman" w:hAnsi="Times New Roman"/>
          <w:sz w:val="24"/>
          <w:szCs w:val="24"/>
        </w:rPr>
        <w:t xml:space="preserve">2) </w:t>
      </w:r>
      <w:r w:rsidR="00167C13" w:rsidRPr="00FB5A28">
        <w:rPr>
          <w:rFonts w:ascii="Times New Roman" w:hAnsi="Times New Roman"/>
          <w:sz w:val="24"/>
          <w:szCs w:val="24"/>
        </w:rPr>
        <w:t>издатака</w:t>
      </w:r>
      <w:r w:rsidRPr="00FB5A28">
        <w:rPr>
          <w:rFonts w:ascii="Times New Roman" w:hAnsi="Times New Roman"/>
          <w:sz w:val="24"/>
          <w:szCs w:val="24"/>
        </w:rPr>
        <w:t xml:space="preserve"> </w:t>
      </w:r>
      <w:r w:rsidR="00167C13" w:rsidRPr="00FB5A28">
        <w:rPr>
          <w:rFonts w:ascii="Times New Roman" w:hAnsi="Times New Roman"/>
          <w:sz w:val="24"/>
          <w:szCs w:val="24"/>
        </w:rPr>
        <w:t>за</w:t>
      </w:r>
      <w:r w:rsidRPr="00FB5A28">
        <w:rPr>
          <w:rFonts w:ascii="Times New Roman" w:hAnsi="Times New Roman"/>
          <w:sz w:val="24"/>
          <w:szCs w:val="24"/>
        </w:rPr>
        <w:t xml:space="preserve"> </w:t>
      </w:r>
      <w:r w:rsidR="00167C13" w:rsidRPr="00FB5A28">
        <w:rPr>
          <w:rFonts w:ascii="Times New Roman" w:hAnsi="Times New Roman"/>
          <w:sz w:val="24"/>
          <w:szCs w:val="24"/>
        </w:rPr>
        <w:t>репрезентацију</w:t>
      </w:r>
      <w:r w:rsidRPr="00FB5A28">
        <w:rPr>
          <w:rFonts w:ascii="Times New Roman" w:hAnsi="Times New Roman"/>
          <w:sz w:val="24"/>
          <w:szCs w:val="24"/>
        </w:rPr>
        <w:t xml:space="preserve"> </w:t>
      </w:r>
      <w:r w:rsidR="00167C13" w:rsidRPr="00FB5A28">
        <w:rPr>
          <w:rFonts w:ascii="Times New Roman" w:hAnsi="Times New Roman"/>
          <w:sz w:val="24"/>
          <w:szCs w:val="24"/>
        </w:rPr>
        <w:t>обвезника</w:t>
      </w:r>
      <w:r w:rsidRPr="00FB5A28">
        <w:rPr>
          <w:rFonts w:ascii="Times New Roman" w:hAnsi="Times New Roman"/>
          <w:sz w:val="24"/>
          <w:szCs w:val="24"/>
        </w:rPr>
        <w:t>;</w:t>
      </w:r>
    </w:p>
    <w:p w:rsidR="005F7509" w:rsidRPr="00FB5A28" w:rsidRDefault="005F7509" w:rsidP="00FB5A28">
      <w:pPr>
        <w:jc w:val="both"/>
        <w:rPr>
          <w:rFonts w:ascii="Times New Roman" w:hAnsi="Times New Roman"/>
          <w:sz w:val="24"/>
          <w:szCs w:val="24"/>
          <w:lang w:val="sr-Cyrl-CS"/>
        </w:rPr>
      </w:pPr>
      <w:r w:rsidRPr="00FB5A28">
        <w:rPr>
          <w:rFonts w:ascii="Times New Roman" w:hAnsi="Times New Roman"/>
          <w:sz w:val="24"/>
          <w:szCs w:val="24"/>
        </w:rPr>
        <w:t xml:space="preserve">3) </w:t>
      </w:r>
      <w:r w:rsidR="00167C13" w:rsidRPr="00FB5A28">
        <w:rPr>
          <w:rFonts w:ascii="Times New Roman" w:hAnsi="Times New Roman"/>
          <w:sz w:val="24"/>
          <w:szCs w:val="24"/>
        </w:rPr>
        <w:t>набавке</w:t>
      </w:r>
      <w:r w:rsidRPr="00FB5A28">
        <w:rPr>
          <w:rFonts w:ascii="Times New Roman" w:hAnsi="Times New Roman"/>
          <w:sz w:val="24"/>
          <w:szCs w:val="24"/>
        </w:rPr>
        <w:t xml:space="preserve"> </w:t>
      </w:r>
      <w:r w:rsidR="00167C13" w:rsidRPr="00FB5A28">
        <w:rPr>
          <w:rFonts w:ascii="Times New Roman" w:hAnsi="Times New Roman"/>
          <w:sz w:val="24"/>
          <w:szCs w:val="24"/>
        </w:rPr>
        <w:t>или</w:t>
      </w:r>
      <w:r w:rsidRPr="00FB5A28">
        <w:rPr>
          <w:rFonts w:ascii="Times New Roman" w:hAnsi="Times New Roman"/>
          <w:sz w:val="24"/>
          <w:szCs w:val="24"/>
        </w:rPr>
        <w:t xml:space="preserve"> </w:t>
      </w:r>
      <w:r w:rsidR="00167C13" w:rsidRPr="00FB5A28">
        <w:rPr>
          <w:rFonts w:ascii="Times New Roman" w:hAnsi="Times New Roman"/>
          <w:sz w:val="24"/>
          <w:szCs w:val="24"/>
        </w:rPr>
        <w:t>увоза</w:t>
      </w:r>
      <w:r w:rsidRPr="00FB5A28">
        <w:rPr>
          <w:rFonts w:ascii="Times New Roman" w:hAnsi="Times New Roman"/>
          <w:sz w:val="24"/>
          <w:szCs w:val="24"/>
        </w:rPr>
        <w:t xml:space="preserve"> </w:t>
      </w:r>
      <w:r w:rsidR="00167C13" w:rsidRPr="00FB5A28">
        <w:rPr>
          <w:rFonts w:ascii="Times New Roman" w:hAnsi="Times New Roman"/>
          <w:sz w:val="24"/>
          <w:szCs w:val="24"/>
        </w:rPr>
        <w:t>тепиха</w:t>
      </w:r>
      <w:r w:rsidRPr="00FB5A28">
        <w:rPr>
          <w:rFonts w:ascii="Times New Roman" w:hAnsi="Times New Roman"/>
          <w:sz w:val="24"/>
          <w:szCs w:val="24"/>
        </w:rPr>
        <w:t xml:space="preserve">, </w:t>
      </w:r>
      <w:r w:rsidR="00167C13" w:rsidRPr="00FB5A28">
        <w:rPr>
          <w:rFonts w:ascii="Times New Roman" w:hAnsi="Times New Roman"/>
          <w:sz w:val="24"/>
          <w:szCs w:val="24"/>
        </w:rPr>
        <w:t>електричних</w:t>
      </w:r>
      <w:r w:rsidRPr="00FB5A28">
        <w:rPr>
          <w:rFonts w:ascii="Times New Roman" w:hAnsi="Times New Roman"/>
          <w:sz w:val="24"/>
          <w:szCs w:val="24"/>
        </w:rPr>
        <w:t xml:space="preserve"> </w:t>
      </w:r>
      <w:r w:rsidR="00167C13" w:rsidRPr="00FB5A28">
        <w:rPr>
          <w:rFonts w:ascii="Times New Roman" w:hAnsi="Times New Roman"/>
          <w:sz w:val="24"/>
          <w:szCs w:val="24"/>
        </w:rPr>
        <w:t>апарата</w:t>
      </w:r>
      <w:r w:rsidRPr="00FB5A28">
        <w:rPr>
          <w:rFonts w:ascii="Times New Roman" w:hAnsi="Times New Roman"/>
          <w:sz w:val="24"/>
          <w:szCs w:val="24"/>
        </w:rPr>
        <w:t xml:space="preserve"> </w:t>
      </w:r>
      <w:r w:rsidR="00167C13" w:rsidRPr="00FB5A28">
        <w:rPr>
          <w:rFonts w:ascii="Times New Roman" w:hAnsi="Times New Roman"/>
          <w:sz w:val="24"/>
          <w:szCs w:val="24"/>
        </w:rPr>
        <w:t>за</w:t>
      </w:r>
      <w:r w:rsidRPr="00FB5A28">
        <w:rPr>
          <w:rFonts w:ascii="Times New Roman" w:hAnsi="Times New Roman"/>
          <w:sz w:val="24"/>
          <w:szCs w:val="24"/>
        </w:rPr>
        <w:t xml:space="preserve"> </w:t>
      </w:r>
      <w:r w:rsidR="00167C13" w:rsidRPr="00FB5A28">
        <w:rPr>
          <w:rFonts w:ascii="Times New Roman" w:hAnsi="Times New Roman"/>
          <w:sz w:val="24"/>
          <w:szCs w:val="24"/>
        </w:rPr>
        <w:t>домаћинство</w:t>
      </w:r>
      <w:r w:rsidRPr="00FB5A28">
        <w:rPr>
          <w:rFonts w:ascii="Times New Roman" w:hAnsi="Times New Roman"/>
          <w:sz w:val="24"/>
          <w:szCs w:val="24"/>
        </w:rPr>
        <w:t xml:space="preserve">, </w:t>
      </w:r>
      <w:r w:rsidR="00167C13" w:rsidRPr="00FB5A28">
        <w:rPr>
          <w:rFonts w:ascii="Times New Roman" w:hAnsi="Times New Roman"/>
          <w:sz w:val="24"/>
          <w:szCs w:val="24"/>
        </w:rPr>
        <w:t>телевизијских</w:t>
      </w:r>
      <w:r w:rsidRPr="00FB5A28">
        <w:rPr>
          <w:rFonts w:ascii="Times New Roman" w:hAnsi="Times New Roman"/>
          <w:sz w:val="24"/>
          <w:szCs w:val="24"/>
        </w:rPr>
        <w:t xml:space="preserve"> </w:t>
      </w:r>
      <w:r w:rsidR="00167C13" w:rsidRPr="00FB5A28">
        <w:rPr>
          <w:rFonts w:ascii="Times New Roman" w:hAnsi="Times New Roman"/>
          <w:sz w:val="24"/>
          <w:szCs w:val="24"/>
        </w:rPr>
        <w:t>и</w:t>
      </w:r>
      <w:r w:rsidRPr="00FB5A28">
        <w:rPr>
          <w:rFonts w:ascii="Times New Roman" w:hAnsi="Times New Roman"/>
          <w:sz w:val="24"/>
          <w:szCs w:val="24"/>
        </w:rPr>
        <w:t xml:space="preserve"> </w:t>
      </w:r>
      <w:r w:rsidR="00167C13" w:rsidRPr="00FB5A28">
        <w:rPr>
          <w:rFonts w:ascii="Times New Roman" w:hAnsi="Times New Roman"/>
          <w:sz w:val="24"/>
          <w:szCs w:val="24"/>
        </w:rPr>
        <w:t>радио</w:t>
      </w:r>
      <w:r w:rsidRPr="00FB5A28">
        <w:rPr>
          <w:rFonts w:ascii="Times New Roman" w:hAnsi="Times New Roman"/>
          <w:sz w:val="24"/>
          <w:szCs w:val="24"/>
        </w:rPr>
        <w:t xml:space="preserve"> </w:t>
      </w:r>
      <w:r w:rsidR="00167C13" w:rsidRPr="00FB5A28">
        <w:rPr>
          <w:rFonts w:ascii="Times New Roman" w:hAnsi="Times New Roman"/>
          <w:sz w:val="24"/>
          <w:szCs w:val="24"/>
        </w:rPr>
        <w:t>пријемника</w:t>
      </w:r>
      <w:r w:rsidRPr="00FB5A28">
        <w:rPr>
          <w:rFonts w:ascii="Times New Roman" w:hAnsi="Times New Roman"/>
          <w:sz w:val="24"/>
          <w:szCs w:val="24"/>
        </w:rPr>
        <w:t xml:space="preserve">, </w:t>
      </w:r>
      <w:r w:rsidR="00167C13" w:rsidRPr="00FB5A28">
        <w:rPr>
          <w:rFonts w:ascii="Times New Roman" w:hAnsi="Times New Roman"/>
          <w:sz w:val="24"/>
          <w:szCs w:val="24"/>
        </w:rPr>
        <w:t>уметничких</w:t>
      </w:r>
      <w:r w:rsidRPr="00FB5A28">
        <w:rPr>
          <w:rFonts w:ascii="Times New Roman" w:hAnsi="Times New Roman"/>
          <w:sz w:val="24"/>
          <w:szCs w:val="24"/>
        </w:rPr>
        <w:t xml:space="preserve"> </w:t>
      </w:r>
      <w:r w:rsidR="00167C13" w:rsidRPr="00FB5A28">
        <w:rPr>
          <w:rFonts w:ascii="Times New Roman" w:hAnsi="Times New Roman"/>
          <w:sz w:val="24"/>
          <w:szCs w:val="24"/>
        </w:rPr>
        <w:t>дела</w:t>
      </w:r>
      <w:r w:rsidRPr="00FB5A28">
        <w:rPr>
          <w:rFonts w:ascii="Times New Roman" w:hAnsi="Times New Roman"/>
          <w:sz w:val="24"/>
          <w:szCs w:val="24"/>
        </w:rPr>
        <w:t xml:space="preserve"> </w:t>
      </w:r>
      <w:r w:rsidR="00167C13" w:rsidRPr="00FB5A28">
        <w:rPr>
          <w:rFonts w:ascii="Times New Roman" w:hAnsi="Times New Roman"/>
          <w:sz w:val="24"/>
          <w:szCs w:val="24"/>
        </w:rPr>
        <w:t>ликовне</w:t>
      </w:r>
      <w:r w:rsidRPr="00FB5A28">
        <w:rPr>
          <w:rFonts w:ascii="Times New Roman" w:hAnsi="Times New Roman"/>
          <w:sz w:val="24"/>
          <w:szCs w:val="24"/>
        </w:rPr>
        <w:t xml:space="preserve"> </w:t>
      </w:r>
      <w:r w:rsidR="00167C13" w:rsidRPr="00FB5A28">
        <w:rPr>
          <w:rFonts w:ascii="Times New Roman" w:hAnsi="Times New Roman"/>
          <w:sz w:val="24"/>
          <w:szCs w:val="24"/>
        </w:rPr>
        <w:t>и</w:t>
      </w:r>
      <w:r w:rsidRPr="00FB5A28">
        <w:rPr>
          <w:rFonts w:ascii="Times New Roman" w:hAnsi="Times New Roman"/>
          <w:sz w:val="24"/>
          <w:szCs w:val="24"/>
        </w:rPr>
        <w:t xml:space="preserve"> </w:t>
      </w:r>
      <w:r w:rsidR="00167C13" w:rsidRPr="00FB5A28">
        <w:rPr>
          <w:rFonts w:ascii="Times New Roman" w:hAnsi="Times New Roman"/>
          <w:sz w:val="24"/>
          <w:szCs w:val="24"/>
        </w:rPr>
        <w:t>примењене</w:t>
      </w:r>
      <w:r w:rsidRPr="00FB5A28">
        <w:rPr>
          <w:rFonts w:ascii="Times New Roman" w:hAnsi="Times New Roman"/>
          <w:sz w:val="24"/>
          <w:szCs w:val="24"/>
        </w:rPr>
        <w:t xml:space="preserve"> </w:t>
      </w:r>
      <w:r w:rsidR="00167C13" w:rsidRPr="00FB5A28">
        <w:rPr>
          <w:rFonts w:ascii="Times New Roman" w:hAnsi="Times New Roman"/>
          <w:sz w:val="24"/>
          <w:szCs w:val="24"/>
        </w:rPr>
        <w:t>уметности</w:t>
      </w:r>
      <w:r w:rsidRPr="00FB5A28">
        <w:rPr>
          <w:rFonts w:ascii="Times New Roman" w:hAnsi="Times New Roman"/>
          <w:sz w:val="24"/>
          <w:szCs w:val="24"/>
        </w:rPr>
        <w:t xml:space="preserve"> </w:t>
      </w:r>
      <w:r w:rsidR="00167C13" w:rsidRPr="00FB5A28">
        <w:rPr>
          <w:rFonts w:ascii="Times New Roman" w:hAnsi="Times New Roman"/>
          <w:sz w:val="24"/>
          <w:szCs w:val="24"/>
        </w:rPr>
        <w:t>и</w:t>
      </w:r>
      <w:r w:rsidRPr="00FB5A28">
        <w:rPr>
          <w:rFonts w:ascii="Times New Roman" w:hAnsi="Times New Roman"/>
          <w:sz w:val="24"/>
          <w:szCs w:val="24"/>
        </w:rPr>
        <w:t xml:space="preserve"> </w:t>
      </w:r>
      <w:r w:rsidR="00167C13" w:rsidRPr="00FB5A28">
        <w:rPr>
          <w:rFonts w:ascii="Times New Roman" w:hAnsi="Times New Roman"/>
          <w:sz w:val="24"/>
          <w:szCs w:val="24"/>
        </w:rPr>
        <w:t>других</w:t>
      </w:r>
      <w:r w:rsidRPr="00FB5A28">
        <w:rPr>
          <w:rFonts w:ascii="Times New Roman" w:hAnsi="Times New Roman"/>
          <w:sz w:val="24"/>
          <w:szCs w:val="24"/>
        </w:rPr>
        <w:t xml:space="preserve"> </w:t>
      </w:r>
      <w:r w:rsidR="00167C13" w:rsidRPr="00FB5A28">
        <w:rPr>
          <w:rFonts w:ascii="Times New Roman" w:hAnsi="Times New Roman"/>
          <w:sz w:val="24"/>
          <w:szCs w:val="24"/>
        </w:rPr>
        <w:t>украсних</w:t>
      </w:r>
      <w:r w:rsidRPr="00FB5A28">
        <w:rPr>
          <w:rFonts w:ascii="Times New Roman" w:hAnsi="Times New Roman"/>
          <w:sz w:val="24"/>
          <w:szCs w:val="24"/>
        </w:rPr>
        <w:t xml:space="preserve"> </w:t>
      </w:r>
      <w:r w:rsidR="00167C13" w:rsidRPr="00FB5A28">
        <w:rPr>
          <w:rFonts w:ascii="Times New Roman" w:hAnsi="Times New Roman"/>
          <w:sz w:val="24"/>
          <w:szCs w:val="24"/>
        </w:rPr>
        <w:t>предмета</w:t>
      </w:r>
      <w:r w:rsidRPr="00FB5A28">
        <w:rPr>
          <w:rFonts w:ascii="Times New Roman" w:hAnsi="Times New Roman"/>
          <w:sz w:val="24"/>
          <w:szCs w:val="24"/>
        </w:rPr>
        <w:t xml:space="preserve">, </w:t>
      </w:r>
      <w:r w:rsidR="00167C13" w:rsidRPr="00FB5A28">
        <w:rPr>
          <w:rFonts w:ascii="Times New Roman" w:hAnsi="Times New Roman"/>
          <w:sz w:val="24"/>
          <w:szCs w:val="24"/>
        </w:rPr>
        <w:t>који</w:t>
      </w:r>
      <w:r w:rsidRPr="00FB5A28">
        <w:rPr>
          <w:rFonts w:ascii="Times New Roman" w:hAnsi="Times New Roman"/>
          <w:sz w:val="24"/>
          <w:szCs w:val="24"/>
        </w:rPr>
        <w:t xml:space="preserve"> </w:t>
      </w:r>
      <w:r w:rsidR="00167C13" w:rsidRPr="00FB5A28">
        <w:rPr>
          <w:rFonts w:ascii="Times New Roman" w:hAnsi="Times New Roman"/>
          <w:sz w:val="24"/>
          <w:szCs w:val="24"/>
        </w:rPr>
        <w:t>се</w:t>
      </w:r>
      <w:r w:rsidRPr="00FB5A28">
        <w:rPr>
          <w:rFonts w:ascii="Times New Roman" w:hAnsi="Times New Roman"/>
          <w:sz w:val="24"/>
          <w:szCs w:val="24"/>
        </w:rPr>
        <w:t xml:space="preserve"> </w:t>
      </w:r>
      <w:r w:rsidR="00167C13" w:rsidRPr="00FB5A28">
        <w:rPr>
          <w:rFonts w:ascii="Times New Roman" w:hAnsi="Times New Roman"/>
          <w:sz w:val="24"/>
          <w:szCs w:val="24"/>
        </w:rPr>
        <w:t>користе</w:t>
      </w:r>
      <w:r w:rsidRPr="00FB5A28">
        <w:rPr>
          <w:rFonts w:ascii="Times New Roman" w:hAnsi="Times New Roman"/>
          <w:sz w:val="24"/>
          <w:szCs w:val="24"/>
        </w:rPr>
        <w:t xml:space="preserve"> </w:t>
      </w:r>
      <w:r w:rsidR="00167C13" w:rsidRPr="00FB5A28">
        <w:rPr>
          <w:rFonts w:ascii="Times New Roman" w:hAnsi="Times New Roman"/>
          <w:sz w:val="24"/>
          <w:szCs w:val="24"/>
        </w:rPr>
        <w:t>за</w:t>
      </w:r>
      <w:r w:rsidRPr="00FB5A28">
        <w:rPr>
          <w:rFonts w:ascii="Times New Roman" w:hAnsi="Times New Roman"/>
          <w:sz w:val="24"/>
          <w:szCs w:val="24"/>
        </w:rPr>
        <w:t xml:space="preserve"> </w:t>
      </w:r>
      <w:r w:rsidR="00167C13" w:rsidRPr="00FB5A28">
        <w:rPr>
          <w:rFonts w:ascii="Times New Roman" w:hAnsi="Times New Roman"/>
          <w:sz w:val="24"/>
          <w:szCs w:val="24"/>
        </w:rPr>
        <w:t>опремање</w:t>
      </w:r>
      <w:r w:rsidRPr="00FB5A28">
        <w:rPr>
          <w:rFonts w:ascii="Times New Roman" w:hAnsi="Times New Roman"/>
          <w:sz w:val="24"/>
          <w:szCs w:val="24"/>
        </w:rPr>
        <w:t xml:space="preserve"> </w:t>
      </w:r>
      <w:r w:rsidR="00167C13" w:rsidRPr="00FB5A28">
        <w:rPr>
          <w:rFonts w:ascii="Times New Roman" w:hAnsi="Times New Roman"/>
          <w:sz w:val="24"/>
          <w:szCs w:val="24"/>
        </w:rPr>
        <w:t>административних</w:t>
      </w:r>
      <w:r w:rsidRPr="00FB5A28">
        <w:rPr>
          <w:rFonts w:ascii="Times New Roman" w:hAnsi="Times New Roman"/>
          <w:sz w:val="24"/>
          <w:szCs w:val="24"/>
        </w:rPr>
        <w:t xml:space="preserve"> </w:t>
      </w:r>
      <w:r w:rsidR="00167C13" w:rsidRPr="00FB5A28">
        <w:rPr>
          <w:rFonts w:ascii="Times New Roman" w:hAnsi="Times New Roman"/>
          <w:sz w:val="24"/>
          <w:szCs w:val="24"/>
        </w:rPr>
        <w:t>просторија</w:t>
      </w:r>
      <w:r w:rsidRPr="00FB5A28">
        <w:rPr>
          <w:rFonts w:ascii="Times New Roman" w:hAnsi="Times New Roman"/>
          <w:sz w:val="24"/>
          <w:szCs w:val="24"/>
        </w:rPr>
        <w:t>.</w:t>
      </w:r>
    </w:p>
    <w:p w:rsidR="005F7509" w:rsidRPr="00612C4D" w:rsidRDefault="00167C13" w:rsidP="00612C4D">
      <w:pPr>
        <w:pStyle w:val="normal0"/>
        <w:shd w:val="clear" w:color="auto" w:fill="FFFFFF"/>
        <w:spacing w:before="48" w:beforeAutospacing="0" w:after="48" w:afterAutospacing="0"/>
        <w:ind w:firstLine="708"/>
        <w:jc w:val="both"/>
        <w:rPr>
          <w:color w:val="000000"/>
          <w:lang w:val="sr-Cyrl-CS"/>
        </w:rPr>
      </w:pPr>
      <w:r w:rsidRPr="00612C4D">
        <w:rPr>
          <w:color w:val="000000"/>
        </w:rPr>
        <w:t>Изузетно</w:t>
      </w:r>
      <w:r w:rsidR="005F7509" w:rsidRPr="00612C4D">
        <w:rPr>
          <w:color w:val="000000"/>
        </w:rPr>
        <w:t xml:space="preserve">, </w:t>
      </w:r>
      <w:r w:rsidRPr="00612C4D">
        <w:rPr>
          <w:color w:val="000000"/>
        </w:rPr>
        <w:t>обвезник</w:t>
      </w:r>
      <w:r w:rsidR="005F7509" w:rsidRPr="00612C4D">
        <w:rPr>
          <w:color w:val="000000"/>
        </w:rPr>
        <w:t xml:space="preserve"> </w:t>
      </w:r>
      <w:r w:rsidRPr="00612C4D">
        <w:rPr>
          <w:color w:val="000000"/>
        </w:rPr>
        <w:t>има</w:t>
      </w:r>
      <w:r w:rsidR="005F7509" w:rsidRPr="00612C4D">
        <w:rPr>
          <w:color w:val="000000"/>
        </w:rPr>
        <w:t xml:space="preserve"> </w:t>
      </w:r>
      <w:r w:rsidRPr="00612C4D">
        <w:rPr>
          <w:color w:val="000000"/>
        </w:rPr>
        <w:t>право</w:t>
      </w:r>
      <w:r w:rsidR="005F7509" w:rsidRPr="00612C4D">
        <w:rPr>
          <w:color w:val="000000"/>
        </w:rPr>
        <w:t xml:space="preserve"> </w:t>
      </w:r>
      <w:r w:rsidRPr="00612C4D">
        <w:rPr>
          <w:color w:val="000000"/>
        </w:rPr>
        <w:t>на</w:t>
      </w:r>
      <w:r w:rsidR="005F7509" w:rsidRPr="00612C4D">
        <w:rPr>
          <w:color w:val="000000"/>
        </w:rPr>
        <w:t xml:space="preserve"> </w:t>
      </w:r>
      <w:r w:rsidRPr="00612C4D">
        <w:rPr>
          <w:color w:val="000000"/>
        </w:rPr>
        <w:t>одбитак</w:t>
      </w:r>
      <w:r w:rsidR="005F7509" w:rsidRPr="00612C4D">
        <w:rPr>
          <w:color w:val="000000"/>
        </w:rPr>
        <w:t xml:space="preserve"> </w:t>
      </w:r>
      <w:r w:rsidRPr="00612C4D">
        <w:rPr>
          <w:color w:val="000000"/>
        </w:rPr>
        <w:t>претходног</w:t>
      </w:r>
      <w:r w:rsidR="005F7509" w:rsidRPr="00612C4D">
        <w:rPr>
          <w:color w:val="000000"/>
        </w:rPr>
        <w:t xml:space="preserve"> </w:t>
      </w:r>
      <w:r w:rsidRPr="00612C4D">
        <w:rPr>
          <w:color w:val="000000"/>
        </w:rPr>
        <w:t>пореза</w:t>
      </w:r>
      <w:r w:rsidR="005F7509" w:rsidRPr="00612C4D">
        <w:rPr>
          <w:color w:val="000000"/>
        </w:rPr>
        <w:t xml:space="preserve"> </w:t>
      </w:r>
      <w:r w:rsidRPr="00612C4D">
        <w:rPr>
          <w:color w:val="000000"/>
        </w:rPr>
        <w:t>ако</w:t>
      </w:r>
      <w:r w:rsidR="005F7509" w:rsidRPr="00612C4D">
        <w:rPr>
          <w:color w:val="000000"/>
        </w:rPr>
        <w:t xml:space="preserve"> </w:t>
      </w:r>
      <w:r w:rsidRPr="00612C4D">
        <w:rPr>
          <w:color w:val="000000"/>
        </w:rPr>
        <w:t>превозна</w:t>
      </w:r>
      <w:r w:rsidR="005F7509" w:rsidRPr="00612C4D">
        <w:rPr>
          <w:color w:val="000000"/>
        </w:rPr>
        <w:t xml:space="preserve"> </w:t>
      </w:r>
      <w:r w:rsidRPr="00612C4D">
        <w:rPr>
          <w:color w:val="000000"/>
        </w:rPr>
        <w:t>средства</w:t>
      </w:r>
      <w:r w:rsidR="005F7509" w:rsidRPr="00612C4D">
        <w:rPr>
          <w:color w:val="000000"/>
        </w:rPr>
        <w:t xml:space="preserve"> </w:t>
      </w:r>
      <w:r w:rsidRPr="00612C4D">
        <w:rPr>
          <w:color w:val="000000"/>
        </w:rPr>
        <w:t>и</w:t>
      </w:r>
      <w:r w:rsidR="005F7509" w:rsidRPr="00612C4D">
        <w:rPr>
          <w:color w:val="000000"/>
        </w:rPr>
        <w:t xml:space="preserve"> </w:t>
      </w:r>
      <w:r w:rsidRPr="00612C4D">
        <w:rPr>
          <w:color w:val="000000"/>
        </w:rPr>
        <w:t>друга</w:t>
      </w:r>
      <w:r w:rsidR="005F7509" w:rsidRPr="00612C4D">
        <w:rPr>
          <w:color w:val="000000"/>
        </w:rPr>
        <w:t xml:space="preserve"> </w:t>
      </w:r>
      <w:r w:rsidRPr="00612C4D">
        <w:rPr>
          <w:color w:val="000000"/>
        </w:rPr>
        <w:t>добра</w:t>
      </w:r>
      <w:r w:rsidR="005F7509" w:rsidRPr="00612C4D">
        <w:rPr>
          <w:color w:val="000000"/>
        </w:rPr>
        <w:t xml:space="preserve"> </w:t>
      </w:r>
      <w:r w:rsidRPr="00612C4D">
        <w:rPr>
          <w:color w:val="000000"/>
        </w:rPr>
        <w:t>користи</w:t>
      </w:r>
      <w:r w:rsidR="005F7509" w:rsidRPr="00612C4D">
        <w:rPr>
          <w:color w:val="000000"/>
        </w:rPr>
        <w:t xml:space="preserve"> </w:t>
      </w:r>
      <w:r w:rsidRPr="00612C4D">
        <w:rPr>
          <w:color w:val="000000"/>
        </w:rPr>
        <w:t>искључиво</w:t>
      </w:r>
      <w:r w:rsidR="005F7509" w:rsidRPr="00612C4D">
        <w:rPr>
          <w:color w:val="000000"/>
        </w:rPr>
        <w:t xml:space="preserve"> </w:t>
      </w:r>
      <w:r w:rsidRPr="00612C4D">
        <w:rPr>
          <w:color w:val="000000"/>
        </w:rPr>
        <w:t>за</w:t>
      </w:r>
      <w:r w:rsidR="005F7509" w:rsidRPr="00612C4D">
        <w:rPr>
          <w:color w:val="000000"/>
        </w:rPr>
        <w:t xml:space="preserve"> </w:t>
      </w:r>
      <w:r w:rsidRPr="00612C4D">
        <w:rPr>
          <w:color w:val="000000"/>
        </w:rPr>
        <w:t>обављање</w:t>
      </w:r>
      <w:r w:rsidR="005F7509" w:rsidRPr="00612C4D">
        <w:rPr>
          <w:color w:val="000000"/>
        </w:rPr>
        <w:t xml:space="preserve"> </w:t>
      </w:r>
      <w:r w:rsidRPr="00612C4D">
        <w:rPr>
          <w:color w:val="000000"/>
        </w:rPr>
        <w:t>делатности</w:t>
      </w:r>
      <w:r w:rsidR="005F7509" w:rsidRPr="00612C4D">
        <w:rPr>
          <w:color w:val="000000"/>
        </w:rPr>
        <w:t>:</w:t>
      </w:r>
    </w:p>
    <w:p w:rsidR="005F7509" w:rsidRPr="00612C4D" w:rsidRDefault="005F7509" w:rsidP="00612C4D">
      <w:pPr>
        <w:pStyle w:val="normal0"/>
        <w:shd w:val="clear" w:color="auto" w:fill="FFFFFF"/>
        <w:spacing w:before="48" w:beforeAutospacing="0" w:after="48" w:afterAutospacing="0"/>
        <w:ind w:firstLine="708"/>
        <w:jc w:val="both"/>
        <w:rPr>
          <w:color w:val="000000"/>
          <w:lang w:val="sr-Cyrl-CS"/>
        </w:rPr>
      </w:pPr>
    </w:p>
    <w:p w:rsidR="005F7509" w:rsidRDefault="005F7509" w:rsidP="00612C4D">
      <w:pPr>
        <w:pStyle w:val="normal0"/>
        <w:shd w:val="clear" w:color="auto" w:fill="FFFFFF"/>
        <w:spacing w:before="48" w:beforeAutospacing="0" w:after="48" w:afterAutospacing="0"/>
        <w:jc w:val="both"/>
        <w:rPr>
          <w:color w:val="000000"/>
          <w:lang w:val="sr-Cyrl-CS"/>
        </w:rPr>
      </w:pPr>
      <w:r w:rsidRPr="00612C4D">
        <w:rPr>
          <w:color w:val="000000"/>
        </w:rPr>
        <w:t xml:space="preserve">1) </w:t>
      </w:r>
      <w:r w:rsidR="00167C13" w:rsidRPr="00612C4D">
        <w:rPr>
          <w:color w:val="000000"/>
        </w:rPr>
        <w:t>промета</w:t>
      </w:r>
      <w:r w:rsidRPr="00612C4D">
        <w:rPr>
          <w:color w:val="000000"/>
        </w:rPr>
        <w:t xml:space="preserve"> </w:t>
      </w:r>
      <w:r w:rsidR="00167C13" w:rsidRPr="00612C4D">
        <w:rPr>
          <w:color w:val="000000"/>
        </w:rPr>
        <w:t>и</w:t>
      </w:r>
      <w:r w:rsidRPr="00612C4D">
        <w:rPr>
          <w:color w:val="000000"/>
        </w:rPr>
        <w:t xml:space="preserve"> </w:t>
      </w:r>
      <w:r w:rsidR="00167C13" w:rsidRPr="00612C4D">
        <w:rPr>
          <w:color w:val="000000"/>
        </w:rPr>
        <w:t>изнајмљивања</w:t>
      </w:r>
      <w:r w:rsidRPr="00612C4D">
        <w:rPr>
          <w:color w:val="000000"/>
        </w:rPr>
        <w:t xml:space="preserve"> </w:t>
      </w:r>
      <w:r w:rsidR="00167C13" w:rsidRPr="00612C4D">
        <w:rPr>
          <w:color w:val="000000"/>
        </w:rPr>
        <w:t>наведених</w:t>
      </w:r>
      <w:r w:rsidRPr="00612C4D">
        <w:rPr>
          <w:color w:val="000000"/>
        </w:rPr>
        <w:t xml:space="preserve"> </w:t>
      </w:r>
      <w:r w:rsidR="00167C13" w:rsidRPr="00612C4D">
        <w:rPr>
          <w:color w:val="000000"/>
        </w:rPr>
        <w:t>превозних</w:t>
      </w:r>
      <w:r w:rsidRPr="00612C4D">
        <w:rPr>
          <w:color w:val="000000"/>
        </w:rPr>
        <w:t xml:space="preserve"> </w:t>
      </w:r>
      <w:r w:rsidR="00167C13" w:rsidRPr="00612C4D">
        <w:rPr>
          <w:color w:val="000000"/>
        </w:rPr>
        <w:t>средстава</w:t>
      </w:r>
      <w:r w:rsidRPr="00612C4D">
        <w:rPr>
          <w:color w:val="000000"/>
        </w:rPr>
        <w:t xml:space="preserve"> </w:t>
      </w:r>
      <w:r w:rsidR="00167C13" w:rsidRPr="00612C4D">
        <w:rPr>
          <w:color w:val="000000"/>
        </w:rPr>
        <w:t>и</w:t>
      </w:r>
      <w:r w:rsidRPr="00612C4D">
        <w:rPr>
          <w:color w:val="000000"/>
        </w:rPr>
        <w:t xml:space="preserve"> </w:t>
      </w:r>
      <w:r w:rsidR="00167C13" w:rsidRPr="00612C4D">
        <w:rPr>
          <w:color w:val="000000"/>
        </w:rPr>
        <w:t>других</w:t>
      </w:r>
      <w:r w:rsidRPr="00612C4D">
        <w:rPr>
          <w:color w:val="000000"/>
        </w:rPr>
        <w:t xml:space="preserve"> </w:t>
      </w:r>
      <w:r w:rsidR="00167C13" w:rsidRPr="00612C4D">
        <w:rPr>
          <w:color w:val="000000"/>
        </w:rPr>
        <w:t>добара</w:t>
      </w:r>
      <w:r w:rsidRPr="00612C4D">
        <w:rPr>
          <w:color w:val="000000"/>
        </w:rPr>
        <w:t>;</w:t>
      </w:r>
    </w:p>
    <w:p w:rsidR="004B6685" w:rsidRPr="004B6685" w:rsidRDefault="004B6685" w:rsidP="00612C4D">
      <w:pPr>
        <w:pStyle w:val="normal0"/>
        <w:shd w:val="clear" w:color="auto" w:fill="FFFFFF"/>
        <w:spacing w:before="48" w:beforeAutospacing="0" w:after="48" w:afterAutospacing="0"/>
        <w:jc w:val="both"/>
        <w:rPr>
          <w:color w:val="000000"/>
          <w:lang w:val="sr-Cyrl-CS"/>
        </w:rPr>
      </w:pPr>
    </w:p>
    <w:p w:rsidR="005F7509" w:rsidRPr="00612C4D" w:rsidRDefault="005F7509" w:rsidP="00612C4D">
      <w:pPr>
        <w:pStyle w:val="normal0"/>
        <w:shd w:val="clear" w:color="auto" w:fill="FFFFFF"/>
        <w:spacing w:before="48" w:beforeAutospacing="0" w:after="48" w:afterAutospacing="0"/>
        <w:jc w:val="both"/>
        <w:rPr>
          <w:color w:val="000000"/>
        </w:rPr>
      </w:pPr>
      <w:r w:rsidRPr="00612C4D">
        <w:rPr>
          <w:color w:val="000000"/>
        </w:rPr>
        <w:t xml:space="preserve">2) </w:t>
      </w:r>
      <w:r w:rsidR="00167C13" w:rsidRPr="00612C4D">
        <w:rPr>
          <w:color w:val="000000"/>
        </w:rPr>
        <w:t>превоза</w:t>
      </w:r>
      <w:r w:rsidRPr="00612C4D">
        <w:rPr>
          <w:color w:val="000000"/>
        </w:rPr>
        <w:t xml:space="preserve"> </w:t>
      </w:r>
      <w:r w:rsidR="00167C13" w:rsidRPr="00612C4D">
        <w:rPr>
          <w:color w:val="000000"/>
        </w:rPr>
        <w:t>лица</w:t>
      </w:r>
      <w:r w:rsidRPr="00612C4D">
        <w:rPr>
          <w:color w:val="000000"/>
        </w:rPr>
        <w:t xml:space="preserve"> </w:t>
      </w:r>
      <w:r w:rsidR="00167C13" w:rsidRPr="00612C4D">
        <w:rPr>
          <w:color w:val="000000"/>
        </w:rPr>
        <w:t>и</w:t>
      </w:r>
      <w:r w:rsidRPr="00612C4D">
        <w:rPr>
          <w:color w:val="000000"/>
        </w:rPr>
        <w:t xml:space="preserve"> </w:t>
      </w:r>
      <w:r w:rsidR="00167C13" w:rsidRPr="00612C4D">
        <w:rPr>
          <w:color w:val="000000"/>
        </w:rPr>
        <w:t>добара</w:t>
      </w:r>
      <w:r w:rsidRPr="00612C4D">
        <w:rPr>
          <w:color w:val="000000"/>
        </w:rPr>
        <w:t xml:space="preserve"> </w:t>
      </w:r>
      <w:r w:rsidR="00167C13" w:rsidRPr="00612C4D">
        <w:rPr>
          <w:color w:val="000000"/>
        </w:rPr>
        <w:t>или</w:t>
      </w:r>
      <w:r w:rsidRPr="00612C4D">
        <w:rPr>
          <w:color w:val="000000"/>
        </w:rPr>
        <w:t xml:space="preserve"> </w:t>
      </w:r>
      <w:r w:rsidR="00167C13" w:rsidRPr="00612C4D">
        <w:rPr>
          <w:color w:val="000000"/>
        </w:rPr>
        <w:t>обуку</w:t>
      </w:r>
      <w:r w:rsidRPr="00612C4D">
        <w:rPr>
          <w:color w:val="000000"/>
        </w:rPr>
        <w:t xml:space="preserve"> </w:t>
      </w:r>
      <w:r w:rsidR="00167C13" w:rsidRPr="00612C4D">
        <w:rPr>
          <w:color w:val="000000"/>
        </w:rPr>
        <w:t>возача</w:t>
      </w:r>
      <w:r w:rsidRPr="00612C4D">
        <w:rPr>
          <w:color w:val="000000"/>
        </w:rPr>
        <w:t xml:space="preserve"> </w:t>
      </w:r>
      <w:r w:rsidR="00167C13" w:rsidRPr="00612C4D">
        <w:rPr>
          <w:color w:val="000000"/>
        </w:rPr>
        <w:t>за</w:t>
      </w:r>
      <w:r w:rsidRPr="00612C4D">
        <w:rPr>
          <w:color w:val="000000"/>
        </w:rPr>
        <w:t xml:space="preserve"> </w:t>
      </w:r>
      <w:r w:rsidR="00167C13" w:rsidRPr="00612C4D">
        <w:rPr>
          <w:color w:val="000000"/>
        </w:rPr>
        <w:t>управљање</w:t>
      </w:r>
      <w:r w:rsidRPr="00612C4D">
        <w:rPr>
          <w:color w:val="000000"/>
        </w:rPr>
        <w:t xml:space="preserve"> </w:t>
      </w:r>
      <w:r w:rsidR="00167C13" w:rsidRPr="00612C4D">
        <w:rPr>
          <w:color w:val="000000"/>
        </w:rPr>
        <w:t>наведеним</w:t>
      </w:r>
      <w:r w:rsidRPr="00612C4D">
        <w:rPr>
          <w:color w:val="000000"/>
        </w:rPr>
        <w:t xml:space="preserve"> </w:t>
      </w:r>
      <w:r w:rsidR="00167C13" w:rsidRPr="00612C4D">
        <w:rPr>
          <w:color w:val="000000"/>
        </w:rPr>
        <w:t>превозним</w:t>
      </w:r>
      <w:r w:rsidRPr="00612C4D">
        <w:rPr>
          <w:color w:val="000000"/>
        </w:rPr>
        <w:t xml:space="preserve"> </w:t>
      </w:r>
      <w:r w:rsidR="00167C13" w:rsidRPr="00612C4D">
        <w:rPr>
          <w:color w:val="000000"/>
        </w:rPr>
        <w:t>средствима</w:t>
      </w:r>
      <w:r w:rsidRPr="00612C4D">
        <w:rPr>
          <w:color w:val="000000"/>
        </w:rPr>
        <w:t>.</w:t>
      </w:r>
    </w:p>
    <w:p w:rsidR="006F4727" w:rsidRPr="00612C4D" w:rsidRDefault="006F4727" w:rsidP="00612C4D">
      <w:pPr>
        <w:shd w:val="clear" w:color="auto" w:fill="FFFFFF"/>
        <w:spacing w:after="0" w:line="285" w:lineRule="atLeast"/>
        <w:jc w:val="both"/>
        <w:rPr>
          <w:rFonts w:ascii="Times New Roman" w:hAnsi="Times New Roman"/>
          <w:color w:val="000000"/>
          <w:sz w:val="24"/>
          <w:szCs w:val="24"/>
          <w:lang w:val="sr-Cyrl-CS"/>
        </w:rPr>
      </w:pPr>
    </w:p>
    <w:p w:rsidR="006F4727" w:rsidRPr="00612C4D" w:rsidRDefault="006F4727" w:rsidP="00612C4D">
      <w:pPr>
        <w:shd w:val="clear" w:color="auto" w:fill="FFFFFF"/>
        <w:spacing w:after="0" w:line="285" w:lineRule="atLeast"/>
        <w:jc w:val="both"/>
        <w:rPr>
          <w:rFonts w:ascii="Times New Roman" w:hAnsi="Times New Roman"/>
          <w:color w:val="000000"/>
          <w:sz w:val="24"/>
          <w:szCs w:val="24"/>
          <w:lang w:val="sr-Cyrl-CS"/>
        </w:rPr>
      </w:pPr>
      <w:r w:rsidRPr="00612C4D">
        <w:rPr>
          <w:rFonts w:ascii="Times New Roman" w:hAnsi="Times New Roman"/>
          <w:color w:val="000000"/>
          <w:sz w:val="24"/>
          <w:szCs w:val="24"/>
          <w:lang w:val="sr-Cyrl-CS"/>
        </w:rPr>
        <w:tab/>
        <w:t xml:space="preserve">У овом случају се давање лажних чињеница користи ради прикривања да се набављена средства и добра не користе за обављање делатности, него у приватне сврхе. </w:t>
      </w:r>
    </w:p>
    <w:p w:rsidR="007A0A02" w:rsidRPr="00612C4D" w:rsidRDefault="007A0A02" w:rsidP="00612C4D">
      <w:pPr>
        <w:shd w:val="clear" w:color="auto" w:fill="FFFFFF"/>
        <w:spacing w:after="0" w:line="285" w:lineRule="atLeast"/>
        <w:jc w:val="both"/>
        <w:rPr>
          <w:rFonts w:ascii="Times New Roman" w:hAnsi="Times New Roman"/>
          <w:color w:val="000000"/>
          <w:sz w:val="24"/>
          <w:szCs w:val="24"/>
          <w:lang w:val="sr-Cyrl-CS"/>
        </w:rPr>
      </w:pPr>
    </w:p>
    <w:p w:rsidR="007A0A02" w:rsidRPr="00612C4D" w:rsidRDefault="007A0A02" w:rsidP="00612C4D">
      <w:pPr>
        <w:shd w:val="clear" w:color="auto" w:fill="FFFFFF"/>
        <w:spacing w:after="0" w:line="285" w:lineRule="atLeast"/>
        <w:ind w:firstLine="360"/>
        <w:jc w:val="both"/>
        <w:rPr>
          <w:rFonts w:ascii="Times New Roman" w:hAnsi="Times New Roman"/>
          <w:color w:val="000000"/>
          <w:sz w:val="24"/>
          <w:szCs w:val="24"/>
          <w:lang w:val="sr-Cyrl-CS"/>
        </w:rPr>
      </w:pPr>
      <w:r w:rsidRPr="00612C4D">
        <w:rPr>
          <w:rFonts w:ascii="Times New Roman" w:hAnsi="Times New Roman"/>
          <w:color w:val="000000"/>
          <w:sz w:val="24"/>
          <w:szCs w:val="24"/>
          <w:lang w:val="sr-Cyrl-CS"/>
        </w:rPr>
        <w:t xml:space="preserve">Давањем лажних података о чињеницама од значаја за опорезивање обвезници повећавају пословне расходе на основу чега кроз неосновано истицање претходног пореза умањују своју излазну обавезу. Ово повећање пословних расхода може се вршити на различите начине. </w:t>
      </w:r>
    </w:p>
    <w:p w:rsidR="007A0A02" w:rsidRPr="00612C4D" w:rsidRDefault="007A0A02" w:rsidP="00612C4D">
      <w:pPr>
        <w:shd w:val="clear" w:color="auto" w:fill="FFFFFF"/>
        <w:spacing w:after="0" w:line="285" w:lineRule="atLeast"/>
        <w:jc w:val="both"/>
        <w:rPr>
          <w:rFonts w:ascii="Times New Roman" w:hAnsi="Times New Roman"/>
          <w:color w:val="000000"/>
          <w:sz w:val="24"/>
          <w:szCs w:val="24"/>
          <w:lang w:val="sr-Cyrl-CS"/>
        </w:rPr>
      </w:pPr>
    </w:p>
    <w:p w:rsidR="00F4744E" w:rsidRPr="00612C4D" w:rsidRDefault="00AE3990" w:rsidP="00612C4D">
      <w:pPr>
        <w:shd w:val="clear" w:color="auto" w:fill="FFFFFF"/>
        <w:spacing w:after="0" w:line="285" w:lineRule="atLeast"/>
        <w:ind w:firstLine="360"/>
        <w:jc w:val="both"/>
        <w:rPr>
          <w:rFonts w:ascii="Times New Roman" w:hAnsi="Times New Roman"/>
          <w:b/>
          <w:color w:val="000000"/>
          <w:sz w:val="24"/>
          <w:szCs w:val="24"/>
          <w:lang w:val="sr-Cyrl-CS"/>
        </w:rPr>
      </w:pPr>
      <w:r w:rsidRPr="00612C4D">
        <w:rPr>
          <w:rFonts w:ascii="Times New Roman" w:hAnsi="Times New Roman"/>
          <w:color w:val="000000"/>
          <w:sz w:val="24"/>
          <w:szCs w:val="24"/>
          <w:lang w:val="sr-Cyrl-CS"/>
        </w:rPr>
        <w:t xml:space="preserve">Повећање пословних расхода може се вршити код оснивања предузећа у циљу пореске евазије ради лакшег прикривања и тежег откривања лажних података о чињеницама од значаја за опорезивање. Наиме, преузеће се оснива ради фиктивне набавке основних средстава, или се пак врши неосновано увећање вредности набавке основних средстава. У оба случаја се повећавају пословни расходи,  па се на основу тако повећаних </w:t>
      </w:r>
      <w:r w:rsidR="00167C13" w:rsidRPr="00612C4D">
        <w:rPr>
          <w:rFonts w:ascii="Times New Roman" w:hAnsi="Times New Roman"/>
          <w:color w:val="000000"/>
          <w:sz w:val="24"/>
          <w:szCs w:val="24"/>
        </w:rPr>
        <w:t>инпут</w:t>
      </w:r>
      <w:r w:rsidR="00C23054">
        <w:rPr>
          <w:rFonts w:ascii="Times New Roman" w:hAnsi="Times New Roman"/>
          <w:color w:val="000000"/>
          <w:sz w:val="24"/>
          <w:szCs w:val="24"/>
          <w:lang w:val="sr-Cyrl-CS"/>
        </w:rPr>
        <w:t>а</w:t>
      </w:r>
      <w:r w:rsidRPr="00612C4D">
        <w:rPr>
          <w:rFonts w:ascii="Times New Roman" w:hAnsi="Times New Roman"/>
          <w:color w:val="000000"/>
          <w:sz w:val="24"/>
          <w:szCs w:val="24"/>
        </w:rPr>
        <w:t xml:space="preserve"> </w:t>
      </w:r>
      <w:r w:rsidRPr="00612C4D">
        <w:rPr>
          <w:rFonts w:ascii="Times New Roman" w:hAnsi="Times New Roman"/>
          <w:color w:val="000000"/>
          <w:sz w:val="24"/>
          <w:szCs w:val="24"/>
          <w:lang w:val="sr-Cyrl-CS"/>
        </w:rPr>
        <w:t xml:space="preserve">потом </w:t>
      </w:r>
      <w:r w:rsidRPr="00612C4D">
        <w:rPr>
          <w:rFonts w:ascii="Times New Roman" w:hAnsi="Times New Roman"/>
          <w:color w:val="000000"/>
          <w:sz w:val="24"/>
          <w:szCs w:val="24"/>
        </w:rPr>
        <w:t xml:space="preserve">тражи повраћај претходног пореза. </w:t>
      </w:r>
      <w:r w:rsidRPr="00612C4D">
        <w:rPr>
          <w:rFonts w:ascii="Times New Roman" w:hAnsi="Times New Roman"/>
          <w:color w:val="000000"/>
          <w:sz w:val="24"/>
          <w:szCs w:val="24"/>
          <w:lang w:val="sr-Cyrl-CS"/>
        </w:rPr>
        <w:t>Пошто је код новооснованих предузећа уобичајено да имају велике трошкове набавке основних средстава, поређењем улаза и излаза се</w:t>
      </w:r>
      <w:r w:rsidR="005F7509" w:rsidRPr="00612C4D">
        <w:rPr>
          <w:rFonts w:ascii="Times New Roman" w:hAnsi="Times New Roman"/>
          <w:color w:val="000000"/>
          <w:sz w:val="24"/>
          <w:szCs w:val="24"/>
          <w:lang w:val="sr-Cyrl-CS"/>
        </w:rPr>
        <w:t xml:space="preserve"> не може открити евазија пореза, па се тако може н</w:t>
      </w:r>
      <w:r w:rsidR="005C2C14" w:rsidRPr="00612C4D">
        <w:rPr>
          <w:rFonts w:ascii="Times New Roman" w:hAnsi="Times New Roman"/>
          <w:color w:val="000000"/>
          <w:sz w:val="24"/>
          <w:szCs w:val="24"/>
          <w:lang w:val="sr-Cyrl-CS"/>
        </w:rPr>
        <w:t>еопажено остварити прекомерни повраћај претходног пореза.</w:t>
      </w:r>
      <w:r w:rsidR="005F7509" w:rsidRPr="00612C4D">
        <w:rPr>
          <w:rFonts w:ascii="Times New Roman" w:hAnsi="Times New Roman"/>
          <w:color w:val="000000"/>
          <w:sz w:val="24"/>
          <w:szCs w:val="24"/>
          <w:lang w:val="sr-Cyrl-CS"/>
        </w:rPr>
        <w:t xml:space="preserve"> </w:t>
      </w:r>
      <w:r w:rsidR="007D2A84" w:rsidRPr="00612C4D">
        <w:rPr>
          <w:rFonts w:ascii="Times New Roman" w:hAnsi="Times New Roman"/>
          <w:color w:val="000000"/>
          <w:sz w:val="24"/>
          <w:szCs w:val="24"/>
          <w:lang w:val="sr-Cyrl-CS"/>
        </w:rPr>
        <w:t>Како се обично ради о добрима веће вредности, самим тим порески обвезник истиче претходни порез у већем износу који ће касније остварити кроз повраћај.</w:t>
      </w:r>
    </w:p>
    <w:p w:rsidR="00F618A6" w:rsidRPr="00612C4D" w:rsidRDefault="00F618A6" w:rsidP="004C0E90">
      <w:pPr>
        <w:shd w:val="clear" w:color="auto" w:fill="FFFFFF"/>
        <w:spacing w:after="0" w:line="285" w:lineRule="atLeast"/>
        <w:jc w:val="both"/>
        <w:rPr>
          <w:rFonts w:ascii="Times New Roman" w:hAnsi="Times New Roman"/>
          <w:color w:val="000000"/>
          <w:sz w:val="24"/>
          <w:szCs w:val="24"/>
          <w:lang w:val="sr-Cyrl-CS"/>
        </w:rPr>
      </w:pPr>
    </w:p>
    <w:p w:rsidR="008E7454" w:rsidRPr="00FB5A28" w:rsidRDefault="00167C13" w:rsidP="00FB5A28">
      <w:pPr>
        <w:ind w:firstLine="360"/>
        <w:jc w:val="both"/>
        <w:rPr>
          <w:rStyle w:val="Emphasis"/>
          <w:rFonts w:ascii="Times New Roman" w:hAnsi="Times New Roman"/>
          <w:i w:val="0"/>
          <w:iCs w:val="0"/>
          <w:sz w:val="24"/>
          <w:szCs w:val="24"/>
          <w:lang w:val="sr-Cyrl-CS"/>
        </w:rPr>
      </w:pPr>
      <w:r w:rsidRPr="00FB5A28">
        <w:rPr>
          <w:rStyle w:val="Emphasis"/>
          <w:rFonts w:ascii="Times New Roman" w:hAnsi="Times New Roman"/>
          <w:i w:val="0"/>
          <w:color w:val="000000"/>
          <w:sz w:val="24"/>
          <w:szCs w:val="24"/>
          <w:shd w:val="clear" w:color="auto" w:fill="FFFFFF"/>
        </w:rPr>
        <w:t>Наша</w:t>
      </w:r>
      <w:r w:rsidR="00F618A6"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земља</w:t>
      </w:r>
      <w:r w:rsidR="00F618A6"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је</w:t>
      </w:r>
      <w:r w:rsidR="00F618A6"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по</w:t>
      </w:r>
      <w:r w:rsidR="00F618A6"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индикатору</w:t>
      </w:r>
      <w:r w:rsidR="00F618A6"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покретање</w:t>
      </w:r>
      <w:r w:rsidR="005F7509"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пословања</w:t>
      </w:r>
      <w:r w:rsidR="005F7509" w:rsidRPr="00FB5A28">
        <w:rPr>
          <w:rStyle w:val="Emphasis"/>
          <w:rFonts w:ascii="Times New Roman" w:hAnsi="Times New Roman"/>
          <w:i w:val="0"/>
          <w:color w:val="000000"/>
          <w:sz w:val="24"/>
          <w:szCs w:val="24"/>
          <w:shd w:val="clear" w:color="auto" w:fill="FFFFFF"/>
        </w:rPr>
        <w:t>",</w:t>
      </w:r>
      <w:r w:rsidR="00F618A6"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напредовала</w:t>
      </w:r>
      <w:r w:rsidR="00F618A6"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укупно</w:t>
      </w:r>
      <w:r w:rsidR="00F618A6" w:rsidRPr="00FB5A28">
        <w:rPr>
          <w:rStyle w:val="Emphasis"/>
          <w:rFonts w:ascii="Times New Roman" w:hAnsi="Times New Roman"/>
          <w:i w:val="0"/>
          <w:color w:val="000000"/>
          <w:sz w:val="24"/>
          <w:szCs w:val="24"/>
          <w:shd w:val="clear" w:color="auto" w:fill="FFFFFF"/>
        </w:rPr>
        <w:t xml:space="preserve"> 49 </w:t>
      </w:r>
      <w:r w:rsidRPr="00FB5A28">
        <w:rPr>
          <w:rStyle w:val="Emphasis"/>
          <w:rFonts w:ascii="Times New Roman" w:hAnsi="Times New Roman"/>
          <w:i w:val="0"/>
          <w:color w:val="000000"/>
          <w:sz w:val="24"/>
          <w:szCs w:val="24"/>
          <w:shd w:val="clear" w:color="auto" w:fill="FFFFFF"/>
        </w:rPr>
        <w:t>позиција</w:t>
      </w:r>
      <w:r w:rsidR="00F618A6"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захваљујући</w:t>
      </w:r>
      <w:r w:rsidR="00F618A6"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усвајању</w:t>
      </w:r>
      <w:r w:rsidR="00F618A6"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Закона</w:t>
      </w:r>
      <w:r w:rsidR="00F618A6"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о</w:t>
      </w:r>
      <w:r w:rsidR="00F618A6"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привредним</w:t>
      </w:r>
      <w:r w:rsidR="00F618A6"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друштвима</w:t>
      </w:r>
      <w:r w:rsidR="00F618A6"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и</w:t>
      </w:r>
      <w:r w:rsidR="00F618A6"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отклањању</w:t>
      </w:r>
      <w:r w:rsidR="00F618A6"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захтева</w:t>
      </w:r>
      <w:r w:rsidR="00F618A6"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за</w:t>
      </w:r>
      <w:r w:rsidR="00F618A6"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минимални</w:t>
      </w:r>
      <w:r w:rsidR="00F618A6"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почетни</w:t>
      </w:r>
      <w:r w:rsidR="00F618A6"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капитал</w:t>
      </w:r>
      <w:r w:rsidR="00F618A6"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приликом</w:t>
      </w:r>
      <w:r w:rsidR="00F618A6"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отварања</w:t>
      </w:r>
      <w:r w:rsidR="00F618A6"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фирми</w:t>
      </w:r>
      <w:r w:rsidR="00F618A6"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у</w:t>
      </w:r>
      <w:r w:rsidR="00F618A6"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Србији</w:t>
      </w:r>
      <w:r w:rsidR="00F618A6"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На</w:t>
      </w:r>
      <w:r w:rsidR="00F618A6"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листи</w:t>
      </w:r>
      <w:r w:rsidR="00F618A6" w:rsidRPr="00FB5A28">
        <w:rPr>
          <w:rStyle w:val="Emphasis"/>
          <w:rFonts w:ascii="Times New Roman" w:hAnsi="Times New Roman"/>
          <w:i w:val="0"/>
          <w:color w:val="000000"/>
          <w:sz w:val="24"/>
          <w:szCs w:val="24"/>
          <w:shd w:val="clear" w:color="auto" w:fill="FFFFFF"/>
        </w:rPr>
        <w:t xml:space="preserve"> 185 </w:t>
      </w:r>
      <w:r w:rsidRPr="00FB5A28">
        <w:rPr>
          <w:rStyle w:val="Emphasis"/>
          <w:rFonts w:ascii="Times New Roman" w:hAnsi="Times New Roman"/>
          <w:i w:val="0"/>
          <w:color w:val="000000"/>
          <w:sz w:val="24"/>
          <w:szCs w:val="24"/>
          <w:shd w:val="clear" w:color="auto" w:fill="FFFFFF"/>
        </w:rPr>
        <w:t>земаља</w:t>
      </w:r>
      <w:r w:rsidR="00F618A6"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Србија</w:t>
      </w:r>
      <w:r w:rsidR="00F618A6"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се</w:t>
      </w:r>
      <w:r w:rsidR="00F618A6"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данас</w:t>
      </w:r>
      <w:r w:rsidR="00F618A6"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налази</w:t>
      </w:r>
      <w:r w:rsidR="00F618A6"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на</w:t>
      </w:r>
      <w:r w:rsidR="00F618A6" w:rsidRPr="00FB5A28">
        <w:rPr>
          <w:rStyle w:val="Emphasis"/>
          <w:rFonts w:ascii="Times New Roman" w:hAnsi="Times New Roman"/>
          <w:i w:val="0"/>
          <w:color w:val="000000"/>
          <w:sz w:val="24"/>
          <w:szCs w:val="24"/>
          <w:shd w:val="clear" w:color="auto" w:fill="FFFFFF"/>
        </w:rPr>
        <w:t xml:space="preserve"> 42. </w:t>
      </w:r>
      <w:r w:rsidRPr="00FB5A28">
        <w:rPr>
          <w:rStyle w:val="Emphasis"/>
          <w:rFonts w:ascii="Times New Roman" w:hAnsi="Times New Roman"/>
          <w:i w:val="0"/>
          <w:color w:val="000000"/>
          <w:sz w:val="24"/>
          <w:szCs w:val="24"/>
          <w:shd w:val="clear" w:color="auto" w:fill="FFFFFF"/>
        </w:rPr>
        <w:t>месту</w:t>
      </w:r>
      <w:r w:rsidR="00F618A6"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у</w:t>
      </w:r>
      <w:r w:rsidR="00F618A6"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свету</w:t>
      </w:r>
      <w:r w:rsidR="00F618A6"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док</w:t>
      </w:r>
      <w:r w:rsidR="00F618A6"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истовремено</w:t>
      </w:r>
      <w:r w:rsidR="00F618A6"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улази</w:t>
      </w:r>
      <w:r w:rsidR="00F618A6"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у</w:t>
      </w:r>
      <w:r w:rsidR="00F618A6"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круг</w:t>
      </w:r>
      <w:r w:rsidR="00F618A6" w:rsidRPr="00FB5A28">
        <w:rPr>
          <w:rStyle w:val="Emphasis"/>
          <w:rFonts w:ascii="Times New Roman" w:hAnsi="Times New Roman"/>
          <w:i w:val="0"/>
          <w:color w:val="000000"/>
          <w:sz w:val="24"/>
          <w:szCs w:val="24"/>
          <w:shd w:val="clear" w:color="auto" w:fill="FFFFFF"/>
        </w:rPr>
        <w:t xml:space="preserve"> 87 </w:t>
      </w:r>
      <w:r w:rsidRPr="00FB5A28">
        <w:rPr>
          <w:rStyle w:val="Emphasis"/>
          <w:rFonts w:ascii="Times New Roman" w:hAnsi="Times New Roman"/>
          <w:i w:val="0"/>
          <w:color w:val="000000"/>
          <w:sz w:val="24"/>
          <w:szCs w:val="24"/>
          <w:shd w:val="clear" w:color="auto" w:fill="FFFFFF"/>
        </w:rPr>
        <w:t>земаља</w:t>
      </w:r>
      <w:r w:rsidR="00F618A6"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у</w:t>
      </w:r>
      <w:r w:rsidR="00F618A6"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свету</w:t>
      </w:r>
      <w:r w:rsidR="00F618A6"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које</w:t>
      </w:r>
      <w:r w:rsidR="00F618A6"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не</w:t>
      </w:r>
      <w:r w:rsidR="00F618A6"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захтевају</w:t>
      </w:r>
      <w:r w:rsidR="00F618A6"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основни</w:t>
      </w:r>
      <w:r w:rsidR="00F618A6"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почетни</w:t>
      </w:r>
      <w:r w:rsidR="00F618A6"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капитал</w:t>
      </w:r>
      <w:r w:rsidR="00F618A6"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приликом</w:t>
      </w:r>
      <w:r w:rsidR="00F618A6"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регистрације</w:t>
      </w:r>
      <w:r w:rsidR="00F618A6"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lastRenderedPageBreak/>
        <w:t>фирми</w:t>
      </w:r>
      <w:r w:rsidR="00F618A6"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Тиме</w:t>
      </w:r>
      <w:r w:rsidR="005F7509" w:rsidRPr="00FB5A28">
        <w:rPr>
          <w:rStyle w:val="Emphasis"/>
          <w:rFonts w:ascii="Times New Roman" w:hAnsi="Times New Roman"/>
          <w:i w:val="0"/>
          <w:color w:val="000000"/>
          <w:sz w:val="24"/>
          <w:szCs w:val="24"/>
          <w:shd w:val="clear" w:color="auto" w:fill="FFFFFF"/>
        </w:rPr>
        <w:t xml:space="preserve"> </w:t>
      </w:r>
      <w:r w:rsidR="005F7509" w:rsidRPr="00FB5A28">
        <w:rPr>
          <w:rStyle w:val="Emphasis"/>
          <w:rFonts w:ascii="Times New Roman" w:hAnsi="Times New Roman"/>
          <w:i w:val="0"/>
          <w:color w:val="000000"/>
          <w:sz w:val="24"/>
          <w:szCs w:val="24"/>
          <w:shd w:val="clear" w:color="auto" w:fill="FFFFFF"/>
          <w:lang w:val="sr-Cyrl-CS"/>
        </w:rPr>
        <w:t>је</w:t>
      </w:r>
      <w:r w:rsidR="005F7509"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пруж</w:t>
      </w:r>
      <w:r w:rsidR="005F7509" w:rsidRPr="00FB5A28">
        <w:rPr>
          <w:rStyle w:val="Emphasis"/>
          <w:rFonts w:ascii="Times New Roman" w:hAnsi="Times New Roman"/>
          <w:i w:val="0"/>
          <w:color w:val="000000"/>
          <w:sz w:val="24"/>
          <w:szCs w:val="24"/>
          <w:shd w:val="clear" w:color="auto" w:fill="FFFFFF"/>
        </w:rPr>
        <w:t>ена</w:t>
      </w:r>
      <w:r w:rsidR="00F618A6"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директна</w:t>
      </w:r>
      <w:r w:rsidR="00F618A6"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олакшица</w:t>
      </w:r>
      <w:r w:rsidR="005F7509"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почетницима</w:t>
      </w:r>
      <w:r w:rsidR="005F7509"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у</w:t>
      </w:r>
      <w:r w:rsidR="005F7509"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пословању</w:t>
      </w:r>
      <w:r w:rsidR="005F7509" w:rsidRPr="00FB5A28">
        <w:rPr>
          <w:rStyle w:val="Emphasis"/>
          <w:rFonts w:ascii="Times New Roman" w:hAnsi="Times New Roman"/>
          <w:i w:val="0"/>
          <w:color w:val="000000"/>
          <w:sz w:val="24"/>
          <w:szCs w:val="24"/>
          <w:shd w:val="clear" w:color="auto" w:fill="FFFFFF"/>
        </w:rPr>
        <w:t>.</w:t>
      </w:r>
      <w:r w:rsidR="005F7509" w:rsidRPr="00FB5A28">
        <w:rPr>
          <w:rStyle w:val="FootnoteReference"/>
          <w:rFonts w:ascii="Times New Roman" w:hAnsi="Times New Roman"/>
          <w:iCs/>
          <w:color w:val="000000"/>
          <w:sz w:val="24"/>
          <w:szCs w:val="24"/>
          <w:shd w:val="clear" w:color="auto" w:fill="FFFFFF"/>
        </w:rPr>
        <w:footnoteReference w:id="397"/>
      </w:r>
      <w:r w:rsidR="00F618A6" w:rsidRPr="00FB5A28">
        <w:rPr>
          <w:rStyle w:val="Emphasis"/>
          <w:rFonts w:ascii="Times New Roman" w:hAnsi="Times New Roman"/>
          <w:i w:val="0"/>
          <w:color w:val="000000"/>
          <w:sz w:val="24"/>
          <w:szCs w:val="24"/>
          <w:shd w:val="clear" w:color="auto" w:fill="FFFFFF"/>
          <w:lang w:val="sr-Cyrl-CS"/>
        </w:rPr>
        <w:t xml:space="preserve"> </w:t>
      </w:r>
      <w:r w:rsidRPr="00FB5A28">
        <w:rPr>
          <w:rStyle w:val="Emphasis"/>
          <w:rFonts w:ascii="Times New Roman" w:hAnsi="Times New Roman"/>
          <w:i w:val="0"/>
          <w:color w:val="000000"/>
          <w:sz w:val="24"/>
          <w:szCs w:val="24"/>
          <w:shd w:val="clear" w:color="auto" w:fill="FFFFFF"/>
        </w:rPr>
        <w:t>Тачније</w:t>
      </w:r>
      <w:r w:rsidR="008E7454" w:rsidRPr="00FB5A28">
        <w:rPr>
          <w:rStyle w:val="Emphasis"/>
          <w:rFonts w:ascii="Times New Roman" w:hAnsi="Times New Roman"/>
          <w:i w:val="0"/>
          <w:color w:val="000000"/>
          <w:sz w:val="24"/>
          <w:szCs w:val="24"/>
          <w:shd w:val="clear" w:color="auto" w:fill="FFFFFF"/>
        </w:rPr>
        <w:t xml:space="preserve">, </w:t>
      </w:r>
      <w:r w:rsidR="008E7454" w:rsidRPr="00FB5A28">
        <w:rPr>
          <w:rStyle w:val="Emphasis"/>
          <w:rFonts w:ascii="Times New Roman" w:hAnsi="Times New Roman"/>
          <w:i w:val="0"/>
          <w:color w:val="000000"/>
          <w:sz w:val="24"/>
          <w:szCs w:val="24"/>
          <w:shd w:val="clear" w:color="auto" w:fill="FFFFFF"/>
          <w:lang w:val="sr-Cyrl-CS"/>
        </w:rPr>
        <w:t>основни капитал</w:t>
      </w:r>
      <w:r w:rsidR="008E7454"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друштва</w:t>
      </w:r>
      <w:r w:rsidR="008E7454"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са</w:t>
      </w:r>
      <w:r w:rsidR="008E7454"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ограниченом</w:t>
      </w:r>
      <w:r w:rsidR="008E7454" w:rsidRPr="00FB5A28">
        <w:rPr>
          <w:rStyle w:val="Emphasis"/>
          <w:rFonts w:ascii="Times New Roman" w:hAnsi="Times New Roman"/>
          <w:i w:val="0"/>
          <w:color w:val="000000"/>
          <w:sz w:val="24"/>
          <w:szCs w:val="24"/>
          <w:shd w:val="clear" w:color="auto" w:fill="FFFFFF"/>
        </w:rPr>
        <w:t xml:space="preserve"> </w:t>
      </w:r>
      <w:r w:rsidRPr="00FB5A28">
        <w:rPr>
          <w:rStyle w:val="Emphasis"/>
          <w:rFonts w:ascii="Times New Roman" w:hAnsi="Times New Roman"/>
          <w:i w:val="0"/>
          <w:color w:val="000000"/>
          <w:sz w:val="24"/>
          <w:szCs w:val="24"/>
          <w:shd w:val="clear" w:color="auto" w:fill="FFFFFF"/>
        </w:rPr>
        <w:t>одговорношћу</w:t>
      </w:r>
      <w:r w:rsidR="00392BF2" w:rsidRPr="00FB5A28">
        <w:rPr>
          <w:rStyle w:val="Emphasis"/>
          <w:rFonts w:ascii="Times New Roman" w:hAnsi="Times New Roman"/>
          <w:i w:val="0"/>
          <w:color w:val="000000"/>
          <w:sz w:val="24"/>
          <w:szCs w:val="24"/>
          <w:shd w:val="clear" w:color="auto" w:fill="FFFFFF"/>
          <w:lang w:val="sr-Cyrl-CS"/>
        </w:rPr>
        <w:t xml:space="preserve"> износи најмање</w:t>
      </w:r>
      <w:r w:rsidR="008E7454" w:rsidRPr="00FB5A28">
        <w:rPr>
          <w:rStyle w:val="Emphasis"/>
          <w:rFonts w:ascii="Times New Roman" w:hAnsi="Times New Roman"/>
          <w:i w:val="0"/>
          <w:color w:val="000000"/>
          <w:sz w:val="24"/>
          <w:szCs w:val="24"/>
          <w:shd w:val="clear" w:color="auto" w:fill="FFFFFF"/>
        </w:rPr>
        <w:t xml:space="preserve"> 100 </w:t>
      </w:r>
      <w:r w:rsidRPr="00FB5A28">
        <w:rPr>
          <w:rStyle w:val="Emphasis"/>
          <w:rFonts w:ascii="Times New Roman" w:hAnsi="Times New Roman"/>
          <w:i w:val="0"/>
          <w:color w:val="000000"/>
          <w:sz w:val="24"/>
          <w:szCs w:val="24"/>
          <w:shd w:val="clear" w:color="auto" w:fill="FFFFFF"/>
        </w:rPr>
        <w:t>динара</w:t>
      </w:r>
      <w:r w:rsidR="008E7454" w:rsidRPr="00FB5A28">
        <w:rPr>
          <w:rStyle w:val="Emphasis"/>
          <w:rFonts w:ascii="Times New Roman" w:hAnsi="Times New Roman"/>
          <w:i w:val="0"/>
          <w:color w:val="000000"/>
          <w:sz w:val="24"/>
          <w:szCs w:val="24"/>
          <w:shd w:val="clear" w:color="auto" w:fill="FFFFFF"/>
        </w:rPr>
        <w:t>.</w:t>
      </w:r>
      <w:r w:rsidR="008E7454" w:rsidRPr="00FB5A28">
        <w:rPr>
          <w:rStyle w:val="FootnoteReference"/>
          <w:rFonts w:ascii="Times New Roman" w:hAnsi="Times New Roman"/>
          <w:iCs/>
          <w:color w:val="000000"/>
          <w:sz w:val="24"/>
          <w:szCs w:val="24"/>
          <w:shd w:val="clear" w:color="auto" w:fill="FFFFFF"/>
        </w:rPr>
        <w:footnoteReference w:id="398"/>
      </w:r>
      <w:r w:rsidR="008E7454" w:rsidRPr="00FB5A28">
        <w:rPr>
          <w:rStyle w:val="Emphasis"/>
          <w:rFonts w:ascii="Times New Roman" w:hAnsi="Times New Roman"/>
          <w:i w:val="0"/>
          <w:color w:val="000000"/>
          <w:sz w:val="24"/>
          <w:szCs w:val="24"/>
          <w:shd w:val="clear" w:color="auto" w:fill="FFFFFF"/>
          <w:lang w:val="sr-Cyrl-CS"/>
        </w:rPr>
        <w:t xml:space="preserve"> При томе, </w:t>
      </w:r>
      <w:r w:rsidRPr="00FB5A28">
        <w:rPr>
          <w:rFonts w:ascii="Times New Roman" w:hAnsi="Times New Roman"/>
          <w:sz w:val="24"/>
          <w:szCs w:val="24"/>
        </w:rPr>
        <w:t>Закон</w:t>
      </w:r>
      <w:r w:rsidR="008E7454" w:rsidRPr="00FB5A28">
        <w:rPr>
          <w:rFonts w:ascii="Times New Roman" w:hAnsi="Times New Roman"/>
          <w:sz w:val="24"/>
          <w:szCs w:val="24"/>
        </w:rPr>
        <w:t xml:space="preserve"> </w:t>
      </w:r>
      <w:r w:rsidRPr="00FB5A28">
        <w:rPr>
          <w:rFonts w:ascii="Times New Roman" w:hAnsi="Times New Roman"/>
          <w:sz w:val="24"/>
          <w:szCs w:val="24"/>
        </w:rPr>
        <w:t>о</w:t>
      </w:r>
      <w:r w:rsidR="008E7454" w:rsidRPr="00FB5A28">
        <w:rPr>
          <w:rFonts w:ascii="Times New Roman" w:hAnsi="Times New Roman"/>
          <w:sz w:val="24"/>
          <w:szCs w:val="24"/>
        </w:rPr>
        <w:t xml:space="preserve"> </w:t>
      </w:r>
      <w:r w:rsidRPr="00FB5A28">
        <w:rPr>
          <w:rFonts w:ascii="Times New Roman" w:hAnsi="Times New Roman"/>
          <w:sz w:val="24"/>
          <w:szCs w:val="24"/>
        </w:rPr>
        <w:t>привредним</w:t>
      </w:r>
      <w:r w:rsidR="008E7454" w:rsidRPr="00FB5A28">
        <w:rPr>
          <w:rFonts w:ascii="Times New Roman" w:hAnsi="Times New Roman"/>
          <w:sz w:val="24"/>
          <w:szCs w:val="24"/>
        </w:rPr>
        <w:t xml:space="preserve"> </w:t>
      </w:r>
      <w:r w:rsidRPr="00FB5A28">
        <w:rPr>
          <w:rFonts w:ascii="Times New Roman" w:hAnsi="Times New Roman"/>
          <w:sz w:val="24"/>
          <w:szCs w:val="24"/>
        </w:rPr>
        <w:t>друштвима</w:t>
      </w:r>
      <w:r w:rsidR="008E7454" w:rsidRPr="00FB5A28">
        <w:rPr>
          <w:rFonts w:ascii="Times New Roman" w:hAnsi="Times New Roman"/>
          <w:sz w:val="24"/>
          <w:szCs w:val="24"/>
        </w:rPr>
        <w:t xml:space="preserve"> </w:t>
      </w:r>
      <w:r w:rsidRPr="00FB5A28">
        <w:rPr>
          <w:rFonts w:ascii="Times New Roman" w:hAnsi="Times New Roman"/>
          <w:sz w:val="24"/>
          <w:szCs w:val="24"/>
        </w:rPr>
        <w:t>из</w:t>
      </w:r>
      <w:r w:rsidR="008E7454" w:rsidRPr="00FB5A28">
        <w:rPr>
          <w:rFonts w:ascii="Times New Roman" w:hAnsi="Times New Roman"/>
          <w:sz w:val="24"/>
          <w:szCs w:val="24"/>
        </w:rPr>
        <w:t xml:space="preserve"> 2011. </w:t>
      </w:r>
      <w:r w:rsidRPr="00FB5A28">
        <w:rPr>
          <w:rFonts w:ascii="Times New Roman" w:hAnsi="Times New Roman"/>
          <w:sz w:val="24"/>
          <w:szCs w:val="24"/>
        </w:rPr>
        <w:t>године</w:t>
      </w:r>
      <w:r w:rsidR="008E7454" w:rsidRPr="00FB5A28">
        <w:rPr>
          <w:rFonts w:ascii="Times New Roman" w:hAnsi="Times New Roman"/>
          <w:sz w:val="24"/>
          <w:szCs w:val="24"/>
        </w:rPr>
        <w:t xml:space="preserve"> </w:t>
      </w:r>
      <w:r w:rsidRPr="00FB5A28">
        <w:rPr>
          <w:rFonts w:ascii="Times New Roman" w:hAnsi="Times New Roman"/>
          <w:sz w:val="24"/>
          <w:szCs w:val="24"/>
        </w:rPr>
        <w:t>одређује</w:t>
      </w:r>
      <w:r w:rsidR="008E7454" w:rsidRPr="00FB5A28">
        <w:rPr>
          <w:rFonts w:ascii="Times New Roman" w:hAnsi="Times New Roman"/>
          <w:sz w:val="24"/>
          <w:szCs w:val="24"/>
        </w:rPr>
        <w:t xml:space="preserve"> </w:t>
      </w:r>
      <w:r w:rsidRPr="00FB5A28">
        <w:rPr>
          <w:rFonts w:ascii="Times New Roman" w:hAnsi="Times New Roman"/>
          <w:sz w:val="24"/>
          <w:szCs w:val="24"/>
        </w:rPr>
        <w:t>да</w:t>
      </w:r>
      <w:r w:rsidR="008E7454" w:rsidRPr="00FB5A28">
        <w:rPr>
          <w:rFonts w:ascii="Times New Roman" w:hAnsi="Times New Roman"/>
          <w:sz w:val="24"/>
          <w:szCs w:val="24"/>
        </w:rPr>
        <w:t xml:space="preserve"> </w:t>
      </w:r>
      <w:r w:rsidRPr="00FB5A28">
        <w:rPr>
          <w:rFonts w:ascii="Times New Roman" w:hAnsi="Times New Roman"/>
          <w:sz w:val="24"/>
          <w:szCs w:val="24"/>
        </w:rPr>
        <w:t>се</w:t>
      </w:r>
      <w:r w:rsidR="008E7454" w:rsidRPr="00FB5A28">
        <w:rPr>
          <w:rFonts w:ascii="Times New Roman" w:hAnsi="Times New Roman"/>
          <w:sz w:val="24"/>
          <w:szCs w:val="24"/>
        </w:rPr>
        <w:t xml:space="preserve"> </w:t>
      </w:r>
      <w:r w:rsidRPr="00FB5A28">
        <w:rPr>
          <w:rFonts w:ascii="Times New Roman" w:hAnsi="Times New Roman"/>
          <w:sz w:val="24"/>
          <w:szCs w:val="24"/>
        </w:rPr>
        <w:t>улог</w:t>
      </w:r>
      <w:r w:rsidR="008E7454" w:rsidRPr="00FB5A28">
        <w:rPr>
          <w:rFonts w:ascii="Times New Roman" w:hAnsi="Times New Roman"/>
          <w:sz w:val="24"/>
          <w:szCs w:val="24"/>
        </w:rPr>
        <w:t xml:space="preserve"> </w:t>
      </w:r>
      <w:r w:rsidRPr="00FB5A28">
        <w:rPr>
          <w:rFonts w:ascii="Times New Roman" w:hAnsi="Times New Roman"/>
          <w:sz w:val="24"/>
          <w:szCs w:val="24"/>
        </w:rPr>
        <w:t>приликом</w:t>
      </w:r>
      <w:r w:rsidR="008E7454" w:rsidRPr="00FB5A28">
        <w:rPr>
          <w:rFonts w:ascii="Times New Roman" w:hAnsi="Times New Roman"/>
          <w:sz w:val="24"/>
          <w:szCs w:val="24"/>
        </w:rPr>
        <w:t xml:space="preserve"> </w:t>
      </w:r>
      <w:r w:rsidRPr="00FB5A28">
        <w:rPr>
          <w:rFonts w:ascii="Times New Roman" w:hAnsi="Times New Roman"/>
          <w:sz w:val="24"/>
          <w:szCs w:val="24"/>
        </w:rPr>
        <w:t>оснивања</w:t>
      </w:r>
      <w:r w:rsidR="008E7454" w:rsidRPr="00FB5A28">
        <w:rPr>
          <w:rFonts w:ascii="Times New Roman" w:hAnsi="Times New Roman"/>
          <w:sz w:val="24"/>
          <w:szCs w:val="24"/>
        </w:rPr>
        <w:t xml:space="preserve"> </w:t>
      </w:r>
      <w:r w:rsidRPr="00FB5A28">
        <w:rPr>
          <w:rFonts w:ascii="Times New Roman" w:hAnsi="Times New Roman"/>
          <w:sz w:val="24"/>
          <w:szCs w:val="24"/>
        </w:rPr>
        <w:t>друштва</w:t>
      </w:r>
      <w:r w:rsidR="008E7454" w:rsidRPr="00FB5A28">
        <w:rPr>
          <w:rFonts w:ascii="Times New Roman" w:hAnsi="Times New Roman"/>
          <w:sz w:val="24"/>
          <w:szCs w:val="24"/>
        </w:rPr>
        <w:t xml:space="preserve"> </w:t>
      </w:r>
      <w:r w:rsidRPr="00FB5A28">
        <w:rPr>
          <w:rFonts w:ascii="Times New Roman" w:hAnsi="Times New Roman"/>
          <w:sz w:val="24"/>
          <w:szCs w:val="24"/>
        </w:rPr>
        <w:t>с</w:t>
      </w:r>
      <w:r w:rsidR="008E7454" w:rsidRPr="00FB5A28">
        <w:rPr>
          <w:rFonts w:ascii="Times New Roman" w:hAnsi="Times New Roman"/>
          <w:sz w:val="24"/>
          <w:szCs w:val="24"/>
        </w:rPr>
        <w:t xml:space="preserve"> </w:t>
      </w:r>
      <w:r w:rsidRPr="00FB5A28">
        <w:rPr>
          <w:rFonts w:ascii="Times New Roman" w:hAnsi="Times New Roman"/>
          <w:sz w:val="24"/>
          <w:szCs w:val="24"/>
        </w:rPr>
        <w:t>ограниченом</w:t>
      </w:r>
      <w:r w:rsidR="008E7454" w:rsidRPr="00FB5A28">
        <w:rPr>
          <w:rFonts w:ascii="Times New Roman" w:hAnsi="Times New Roman"/>
          <w:sz w:val="24"/>
          <w:szCs w:val="24"/>
        </w:rPr>
        <w:t xml:space="preserve"> </w:t>
      </w:r>
      <w:r w:rsidRPr="00FB5A28">
        <w:rPr>
          <w:rFonts w:ascii="Times New Roman" w:hAnsi="Times New Roman"/>
          <w:sz w:val="24"/>
          <w:szCs w:val="24"/>
        </w:rPr>
        <w:t>одговорношћу</w:t>
      </w:r>
      <w:r w:rsidR="008E7454" w:rsidRPr="00FB5A28">
        <w:rPr>
          <w:rFonts w:ascii="Times New Roman" w:hAnsi="Times New Roman"/>
          <w:sz w:val="24"/>
          <w:szCs w:val="24"/>
        </w:rPr>
        <w:t xml:space="preserve"> </w:t>
      </w:r>
      <w:r w:rsidRPr="00FB5A28">
        <w:rPr>
          <w:rFonts w:ascii="Times New Roman" w:hAnsi="Times New Roman"/>
          <w:sz w:val="24"/>
          <w:szCs w:val="24"/>
        </w:rPr>
        <w:t>не</w:t>
      </w:r>
      <w:r w:rsidR="008E7454" w:rsidRPr="00FB5A28">
        <w:rPr>
          <w:rFonts w:ascii="Times New Roman" w:hAnsi="Times New Roman"/>
          <w:sz w:val="24"/>
          <w:szCs w:val="24"/>
        </w:rPr>
        <w:t xml:space="preserve"> </w:t>
      </w:r>
      <w:r w:rsidRPr="00FB5A28">
        <w:rPr>
          <w:rFonts w:ascii="Times New Roman" w:hAnsi="Times New Roman"/>
          <w:sz w:val="24"/>
          <w:szCs w:val="24"/>
        </w:rPr>
        <w:t>мора</w:t>
      </w:r>
      <w:r w:rsidR="008E7454" w:rsidRPr="00FB5A28">
        <w:rPr>
          <w:rFonts w:ascii="Times New Roman" w:hAnsi="Times New Roman"/>
          <w:sz w:val="24"/>
          <w:szCs w:val="24"/>
        </w:rPr>
        <w:t xml:space="preserve"> </w:t>
      </w:r>
      <w:r w:rsidRPr="00FB5A28">
        <w:rPr>
          <w:rFonts w:ascii="Times New Roman" w:hAnsi="Times New Roman"/>
          <w:sz w:val="24"/>
          <w:szCs w:val="24"/>
        </w:rPr>
        <w:t>уплатити</w:t>
      </w:r>
      <w:r w:rsidR="008E7454" w:rsidRPr="00FB5A28">
        <w:rPr>
          <w:rFonts w:ascii="Times New Roman" w:hAnsi="Times New Roman"/>
          <w:sz w:val="24"/>
          <w:szCs w:val="24"/>
        </w:rPr>
        <w:t xml:space="preserve"> </w:t>
      </w:r>
      <w:r w:rsidRPr="00FB5A28">
        <w:rPr>
          <w:rFonts w:ascii="Times New Roman" w:hAnsi="Times New Roman"/>
          <w:sz w:val="24"/>
          <w:szCs w:val="24"/>
        </w:rPr>
        <w:t>односно</w:t>
      </w:r>
      <w:r w:rsidR="008E7454" w:rsidRPr="00FB5A28">
        <w:rPr>
          <w:rFonts w:ascii="Times New Roman" w:hAnsi="Times New Roman"/>
          <w:sz w:val="24"/>
          <w:szCs w:val="24"/>
        </w:rPr>
        <w:t xml:space="preserve"> </w:t>
      </w:r>
      <w:r w:rsidRPr="00FB5A28">
        <w:rPr>
          <w:rFonts w:ascii="Times New Roman" w:hAnsi="Times New Roman"/>
          <w:sz w:val="24"/>
          <w:szCs w:val="24"/>
        </w:rPr>
        <w:t>унети</w:t>
      </w:r>
      <w:r w:rsidR="008E7454" w:rsidRPr="00FB5A28">
        <w:rPr>
          <w:rFonts w:ascii="Times New Roman" w:hAnsi="Times New Roman"/>
          <w:sz w:val="24"/>
          <w:szCs w:val="24"/>
        </w:rPr>
        <w:t xml:space="preserve">, </w:t>
      </w:r>
      <w:r w:rsidRPr="00FB5A28">
        <w:rPr>
          <w:rFonts w:ascii="Times New Roman" w:hAnsi="Times New Roman"/>
          <w:sz w:val="24"/>
          <w:szCs w:val="24"/>
        </w:rPr>
        <w:t>већ</w:t>
      </w:r>
      <w:r w:rsidR="008E7454" w:rsidRPr="00FB5A28">
        <w:rPr>
          <w:rFonts w:ascii="Times New Roman" w:hAnsi="Times New Roman"/>
          <w:sz w:val="24"/>
          <w:szCs w:val="24"/>
        </w:rPr>
        <w:t xml:space="preserve"> </w:t>
      </w:r>
      <w:r w:rsidRPr="00FB5A28">
        <w:rPr>
          <w:rFonts w:ascii="Times New Roman" w:hAnsi="Times New Roman"/>
          <w:sz w:val="24"/>
          <w:szCs w:val="24"/>
        </w:rPr>
        <w:t>се</w:t>
      </w:r>
      <w:r w:rsidR="008E7454" w:rsidRPr="00FB5A28">
        <w:rPr>
          <w:rFonts w:ascii="Times New Roman" w:hAnsi="Times New Roman"/>
          <w:sz w:val="24"/>
          <w:szCs w:val="24"/>
        </w:rPr>
        <w:t xml:space="preserve"> </w:t>
      </w:r>
      <w:r w:rsidRPr="00FB5A28">
        <w:rPr>
          <w:rFonts w:ascii="Times New Roman" w:hAnsi="Times New Roman"/>
          <w:sz w:val="24"/>
          <w:szCs w:val="24"/>
        </w:rPr>
        <w:t>мора</w:t>
      </w:r>
      <w:r w:rsidR="008E7454" w:rsidRPr="00FB5A28">
        <w:rPr>
          <w:rFonts w:ascii="Times New Roman" w:hAnsi="Times New Roman"/>
          <w:sz w:val="24"/>
          <w:szCs w:val="24"/>
        </w:rPr>
        <w:t xml:space="preserve"> </w:t>
      </w:r>
      <w:r w:rsidRPr="00FB5A28">
        <w:rPr>
          <w:rFonts w:ascii="Times New Roman" w:hAnsi="Times New Roman"/>
          <w:sz w:val="24"/>
          <w:szCs w:val="24"/>
        </w:rPr>
        <w:t>само</w:t>
      </w:r>
      <w:r w:rsidR="008E7454" w:rsidRPr="00FB5A28">
        <w:rPr>
          <w:rFonts w:ascii="Times New Roman" w:hAnsi="Times New Roman"/>
          <w:sz w:val="24"/>
          <w:szCs w:val="24"/>
        </w:rPr>
        <w:t xml:space="preserve"> </w:t>
      </w:r>
      <w:r w:rsidRPr="00FB5A28">
        <w:rPr>
          <w:rFonts w:ascii="Times New Roman" w:hAnsi="Times New Roman"/>
          <w:sz w:val="24"/>
          <w:szCs w:val="24"/>
        </w:rPr>
        <w:t>уписати</w:t>
      </w:r>
      <w:r w:rsidR="008E7454" w:rsidRPr="00FB5A28">
        <w:rPr>
          <w:rFonts w:ascii="Times New Roman" w:hAnsi="Times New Roman"/>
          <w:sz w:val="24"/>
          <w:szCs w:val="24"/>
        </w:rPr>
        <w:t xml:space="preserve">, </w:t>
      </w:r>
      <w:r w:rsidRPr="00FB5A28">
        <w:rPr>
          <w:rFonts w:ascii="Times New Roman" w:hAnsi="Times New Roman"/>
          <w:sz w:val="24"/>
          <w:szCs w:val="24"/>
        </w:rPr>
        <w:t>а</w:t>
      </w:r>
      <w:r w:rsidR="008E7454" w:rsidRPr="00FB5A28">
        <w:rPr>
          <w:rFonts w:ascii="Times New Roman" w:hAnsi="Times New Roman"/>
          <w:sz w:val="24"/>
          <w:szCs w:val="24"/>
        </w:rPr>
        <w:t xml:space="preserve"> </w:t>
      </w:r>
      <w:r w:rsidRPr="00FB5A28">
        <w:rPr>
          <w:rFonts w:ascii="Times New Roman" w:hAnsi="Times New Roman"/>
          <w:sz w:val="24"/>
          <w:szCs w:val="24"/>
        </w:rPr>
        <w:t>у</w:t>
      </w:r>
      <w:r w:rsidR="008E7454" w:rsidRPr="00FB5A28">
        <w:rPr>
          <w:rFonts w:ascii="Times New Roman" w:hAnsi="Times New Roman"/>
          <w:sz w:val="24"/>
          <w:szCs w:val="24"/>
        </w:rPr>
        <w:t xml:space="preserve"> </w:t>
      </w:r>
      <w:r w:rsidRPr="00FB5A28">
        <w:rPr>
          <w:rFonts w:ascii="Times New Roman" w:hAnsi="Times New Roman"/>
          <w:sz w:val="24"/>
          <w:szCs w:val="24"/>
        </w:rPr>
        <w:t>оснивачком</w:t>
      </w:r>
      <w:r w:rsidR="008E7454" w:rsidRPr="00FB5A28">
        <w:rPr>
          <w:rFonts w:ascii="Times New Roman" w:hAnsi="Times New Roman"/>
          <w:sz w:val="24"/>
          <w:szCs w:val="24"/>
        </w:rPr>
        <w:t xml:space="preserve"> </w:t>
      </w:r>
      <w:r w:rsidRPr="00FB5A28">
        <w:rPr>
          <w:rFonts w:ascii="Times New Roman" w:hAnsi="Times New Roman"/>
          <w:sz w:val="24"/>
          <w:szCs w:val="24"/>
        </w:rPr>
        <w:t>акту</w:t>
      </w:r>
      <w:r w:rsidR="008E7454" w:rsidRPr="00FB5A28">
        <w:rPr>
          <w:rFonts w:ascii="Times New Roman" w:hAnsi="Times New Roman"/>
          <w:sz w:val="24"/>
          <w:szCs w:val="24"/>
        </w:rPr>
        <w:t xml:space="preserve"> </w:t>
      </w:r>
      <w:r w:rsidRPr="00FB5A28">
        <w:rPr>
          <w:rFonts w:ascii="Times New Roman" w:hAnsi="Times New Roman"/>
          <w:sz w:val="24"/>
          <w:szCs w:val="24"/>
        </w:rPr>
        <w:t>се</w:t>
      </w:r>
      <w:r w:rsidR="008E7454" w:rsidRPr="00FB5A28">
        <w:rPr>
          <w:rFonts w:ascii="Times New Roman" w:hAnsi="Times New Roman"/>
          <w:sz w:val="24"/>
          <w:szCs w:val="24"/>
        </w:rPr>
        <w:t xml:space="preserve"> </w:t>
      </w:r>
      <w:r w:rsidRPr="00FB5A28">
        <w:rPr>
          <w:rFonts w:ascii="Times New Roman" w:hAnsi="Times New Roman"/>
          <w:sz w:val="24"/>
          <w:szCs w:val="24"/>
        </w:rPr>
        <w:t>мора</w:t>
      </w:r>
      <w:r w:rsidR="008E7454" w:rsidRPr="00FB5A28">
        <w:rPr>
          <w:rFonts w:ascii="Times New Roman" w:hAnsi="Times New Roman"/>
          <w:sz w:val="24"/>
          <w:szCs w:val="24"/>
        </w:rPr>
        <w:t xml:space="preserve"> </w:t>
      </w:r>
      <w:r w:rsidRPr="00FB5A28">
        <w:rPr>
          <w:rFonts w:ascii="Times New Roman" w:hAnsi="Times New Roman"/>
          <w:sz w:val="24"/>
          <w:szCs w:val="24"/>
        </w:rPr>
        <w:t>одредити</w:t>
      </w:r>
      <w:r w:rsidR="008E7454" w:rsidRPr="00FB5A28">
        <w:rPr>
          <w:rFonts w:ascii="Times New Roman" w:hAnsi="Times New Roman"/>
          <w:sz w:val="24"/>
          <w:szCs w:val="24"/>
        </w:rPr>
        <w:t xml:space="preserve"> </w:t>
      </w:r>
      <w:r w:rsidRPr="00FB5A28">
        <w:rPr>
          <w:rFonts w:ascii="Times New Roman" w:hAnsi="Times New Roman"/>
          <w:sz w:val="24"/>
          <w:szCs w:val="24"/>
        </w:rPr>
        <w:t>у</w:t>
      </w:r>
      <w:r w:rsidR="008E7454" w:rsidRPr="00FB5A28">
        <w:rPr>
          <w:rFonts w:ascii="Times New Roman" w:hAnsi="Times New Roman"/>
          <w:sz w:val="24"/>
          <w:szCs w:val="24"/>
        </w:rPr>
        <w:t xml:space="preserve"> </w:t>
      </w:r>
      <w:r w:rsidRPr="00FB5A28">
        <w:rPr>
          <w:rFonts w:ascii="Times New Roman" w:hAnsi="Times New Roman"/>
          <w:sz w:val="24"/>
          <w:szCs w:val="24"/>
        </w:rPr>
        <w:t>ком</w:t>
      </w:r>
      <w:r w:rsidR="008E7454" w:rsidRPr="00FB5A28">
        <w:rPr>
          <w:rFonts w:ascii="Times New Roman" w:hAnsi="Times New Roman"/>
          <w:sz w:val="24"/>
          <w:szCs w:val="24"/>
        </w:rPr>
        <w:t xml:space="preserve"> </w:t>
      </w:r>
      <w:r w:rsidRPr="00FB5A28">
        <w:rPr>
          <w:rFonts w:ascii="Times New Roman" w:hAnsi="Times New Roman"/>
          <w:sz w:val="24"/>
          <w:szCs w:val="24"/>
        </w:rPr>
        <w:t>року</w:t>
      </w:r>
      <w:r w:rsidR="008E7454" w:rsidRPr="00FB5A28">
        <w:rPr>
          <w:rFonts w:ascii="Times New Roman" w:hAnsi="Times New Roman"/>
          <w:sz w:val="24"/>
          <w:szCs w:val="24"/>
        </w:rPr>
        <w:t xml:space="preserve"> </w:t>
      </w:r>
      <w:r w:rsidRPr="00FB5A28">
        <w:rPr>
          <w:rFonts w:ascii="Times New Roman" w:hAnsi="Times New Roman"/>
          <w:sz w:val="24"/>
          <w:szCs w:val="24"/>
        </w:rPr>
        <w:t>у</w:t>
      </w:r>
      <w:r w:rsidR="008E7454" w:rsidRPr="00FB5A28">
        <w:rPr>
          <w:rFonts w:ascii="Times New Roman" w:hAnsi="Times New Roman"/>
          <w:sz w:val="24"/>
          <w:szCs w:val="24"/>
        </w:rPr>
        <w:t xml:space="preserve"> </w:t>
      </w:r>
      <w:r w:rsidRPr="00FB5A28">
        <w:rPr>
          <w:rFonts w:ascii="Times New Roman" w:hAnsi="Times New Roman"/>
          <w:sz w:val="24"/>
          <w:szCs w:val="24"/>
        </w:rPr>
        <w:t>коме</w:t>
      </w:r>
      <w:r w:rsidR="008E7454" w:rsidRPr="00FB5A28">
        <w:rPr>
          <w:rFonts w:ascii="Times New Roman" w:hAnsi="Times New Roman"/>
          <w:sz w:val="24"/>
          <w:szCs w:val="24"/>
        </w:rPr>
        <w:t xml:space="preserve"> </w:t>
      </w:r>
      <w:r w:rsidRPr="00FB5A28">
        <w:rPr>
          <w:rFonts w:ascii="Times New Roman" w:hAnsi="Times New Roman"/>
          <w:sz w:val="24"/>
          <w:szCs w:val="24"/>
        </w:rPr>
        <w:t>ће</w:t>
      </w:r>
      <w:r w:rsidR="008E7454" w:rsidRPr="00FB5A28">
        <w:rPr>
          <w:rFonts w:ascii="Times New Roman" w:hAnsi="Times New Roman"/>
          <w:sz w:val="24"/>
          <w:szCs w:val="24"/>
        </w:rPr>
        <w:t xml:space="preserve"> </w:t>
      </w:r>
      <w:r w:rsidRPr="00FB5A28">
        <w:rPr>
          <w:rFonts w:ascii="Times New Roman" w:hAnsi="Times New Roman"/>
          <w:sz w:val="24"/>
          <w:szCs w:val="24"/>
        </w:rPr>
        <w:t>члан</w:t>
      </w:r>
      <w:r w:rsidR="008E7454" w:rsidRPr="00FB5A28">
        <w:rPr>
          <w:rFonts w:ascii="Times New Roman" w:hAnsi="Times New Roman"/>
          <w:sz w:val="24"/>
          <w:szCs w:val="24"/>
        </w:rPr>
        <w:t xml:space="preserve"> </w:t>
      </w:r>
      <w:r w:rsidRPr="00FB5A28">
        <w:rPr>
          <w:rFonts w:ascii="Times New Roman" w:hAnsi="Times New Roman"/>
          <w:sz w:val="24"/>
          <w:szCs w:val="24"/>
        </w:rPr>
        <w:t>друштва</w:t>
      </w:r>
      <w:r w:rsidR="008E7454" w:rsidRPr="00FB5A28">
        <w:rPr>
          <w:rFonts w:ascii="Times New Roman" w:hAnsi="Times New Roman"/>
          <w:sz w:val="24"/>
          <w:szCs w:val="24"/>
        </w:rPr>
        <w:t xml:space="preserve"> </w:t>
      </w:r>
      <w:r w:rsidRPr="00FB5A28">
        <w:rPr>
          <w:rFonts w:ascii="Times New Roman" w:hAnsi="Times New Roman"/>
          <w:sz w:val="24"/>
          <w:szCs w:val="24"/>
        </w:rPr>
        <w:t>уплатити</w:t>
      </w:r>
      <w:r w:rsidR="008E7454" w:rsidRPr="00FB5A28">
        <w:rPr>
          <w:rFonts w:ascii="Times New Roman" w:hAnsi="Times New Roman"/>
          <w:sz w:val="24"/>
          <w:szCs w:val="24"/>
        </w:rPr>
        <w:t xml:space="preserve"> </w:t>
      </w:r>
      <w:r w:rsidRPr="00FB5A28">
        <w:rPr>
          <w:rFonts w:ascii="Times New Roman" w:hAnsi="Times New Roman"/>
          <w:sz w:val="24"/>
          <w:szCs w:val="24"/>
        </w:rPr>
        <w:t>односно</w:t>
      </w:r>
      <w:r w:rsidR="008E7454" w:rsidRPr="00FB5A28">
        <w:rPr>
          <w:rFonts w:ascii="Times New Roman" w:hAnsi="Times New Roman"/>
          <w:sz w:val="24"/>
          <w:szCs w:val="24"/>
        </w:rPr>
        <w:t xml:space="preserve"> </w:t>
      </w:r>
      <w:r w:rsidRPr="00FB5A28">
        <w:rPr>
          <w:rFonts w:ascii="Times New Roman" w:hAnsi="Times New Roman"/>
          <w:sz w:val="24"/>
          <w:szCs w:val="24"/>
        </w:rPr>
        <w:t>унети</w:t>
      </w:r>
      <w:r w:rsidR="008E7454" w:rsidRPr="00FB5A28">
        <w:rPr>
          <w:rFonts w:ascii="Times New Roman" w:hAnsi="Times New Roman"/>
          <w:sz w:val="24"/>
          <w:szCs w:val="24"/>
        </w:rPr>
        <w:t xml:space="preserve"> </w:t>
      </w:r>
      <w:r w:rsidRPr="00FB5A28">
        <w:rPr>
          <w:rFonts w:ascii="Times New Roman" w:hAnsi="Times New Roman"/>
          <w:sz w:val="24"/>
          <w:szCs w:val="24"/>
        </w:rPr>
        <w:t>улог</w:t>
      </w:r>
      <w:r w:rsidR="008E7454" w:rsidRPr="00FB5A28">
        <w:rPr>
          <w:rFonts w:ascii="Times New Roman" w:hAnsi="Times New Roman"/>
          <w:sz w:val="24"/>
          <w:szCs w:val="24"/>
        </w:rPr>
        <w:t xml:space="preserve">. </w:t>
      </w:r>
      <w:r w:rsidRPr="00FB5A28">
        <w:rPr>
          <w:rFonts w:ascii="Times New Roman" w:hAnsi="Times New Roman"/>
          <w:sz w:val="24"/>
          <w:szCs w:val="24"/>
        </w:rPr>
        <w:t>Рок</w:t>
      </w:r>
      <w:r w:rsidR="008E7454" w:rsidRPr="00FB5A28">
        <w:rPr>
          <w:rFonts w:ascii="Times New Roman" w:hAnsi="Times New Roman"/>
          <w:sz w:val="24"/>
          <w:szCs w:val="24"/>
        </w:rPr>
        <w:t xml:space="preserve"> </w:t>
      </w:r>
      <w:r w:rsidRPr="00FB5A28">
        <w:rPr>
          <w:rFonts w:ascii="Times New Roman" w:hAnsi="Times New Roman"/>
          <w:sz w:val="24"/>
          <w:szCs w:val="24"/>
        </w:rPr>
        <w:t>за</w:t>
      </w:r>
      <w:r w:rsidR="008E7454" w:rsidRPr="00FB5A28">
        <w:rPr>
          <w:rFonts w:ascii="Times New Roman" w:hAnsi="Times New Roman"/>
          <w:sz w:val="24"/>
          <w:szCs w:val="24"/>
        </w:rPr>
        <w:t xml:space="preserve"> </w:t>
      </w:r>
      <w:r w:rsidRPr="00FB5A28">
        <w:rPr>
          <w:rFonts w:ascii="Times New Roman" w:hAnsi="Times New Roman"/>
          <w:sz w:val="24"/>
          <w:szCs w:val="24"/>
        </w:rPr>
        <w:t>уплату</w:t>
      </w:r>
      <w:r w:rsidR="008E7454" w:rsidRPr="00FB5A28">
        <w:rPr>
          <w:rFonts w:ascii="Times New Roman" w:hAnsi="Times New Roman"/>
          <w:sz w:val="24"/>
          <w:szCs w:val="24"/>
        </w:rPr>
        <w:t xml:space="preserve"> </w:t>
      </w:r>
      <w:r w:rsidRPr="00FB5A28">
        <w:rPr>
          <w:rFonts w:ascii="Times New Roman" w:hAnsi="Times New Roman"/>
          <w:sz w:val="24"/>
          <w:szCs w:val="24"/>
        </w:rPr>
        <w:t>не</w:t>
      </w:r>
      <w:r w:rsidR="008E7454" w:rsidRPr="00FB5A28">
        <w:rPr>
          <w:rFonts w:ascii="Times New Roman" w:hAnsi="Times New Roman"/>
          <w:sz w:val="24"/>
          <w:szCs w:val="24"/>
        </w:rPr>
        <w:t xml:space="preserve"> </w:t>
      </w:r>
      <w:r w:rsidRPr="00FB5A28">
        <w:rPr>
          <w:rFonts w:ascii="Times New Roman" w:hAnsi="Times New Roman"/>
          <w:sz w:val="24"/>
          <w:szCs w:val="24"/>
        </w:rPr>
        <w:t>може</w:t>
      </w:r>
      <w:r w:rsidR="008E7454" w:rsidRPr="00FB5A28">
        <w:rPr>
          <w:rFonts w:ascii="Times New Roman" w:hAnsi="Times New Roman"/>
          <w:sz w:val="24"/>
          <w:szCs w:val="24"/>
        </w:rPr>
        <w:t xml:space="preserve"> </w:t>
      </w:r>
      <w:r w:rsidRPr="00FB5A28">
        <w:rPr>
          <w:rFonts w:ascii="Times New Roman" w:hAnsi="Times New Roman"/>
          <w:sz w:val="24"/>
          <w:szCs w:val="24"/>
        </w:rPr>
        <w:t>бити</w:t>
      </w:r>
      <w:r w:rsidR="008E7454" w:rsidRPr="00FB5A28">
        <w:rPr>
          <w:rFonts w:ascii="Times New Roman" w:hAnsi="Times New Roman"/>
          <w:sz w:val="24"/>
          <w:szCs w:val="24"/>
        </w:rPr>
        <w:t xml:space="preserve"> </w:t>
      </w:r>
      <w:r w:rsidRPr="00FB5A28">
        <w:rPr>
          <w:rFonts w:ascii="Times New Roman" w:hAnsi="Times New Roman"/>
          <w:sz w:val="24"/>
          <w:szCs w:val="24"/>
        </w:rPr>
        <w:t>дужи</w:t>
      </w:r>
      <w:r w:rsidR="008E7454" w:rsidRPr="00FB5A28">
        <w:rPr>
          <w:rFonts w:ascii="Times New Roman" w:hAnsi="Times New Roman"/>
          <w:sz w:val="24"/>
          <w:szCs w:val="24"/>
        </w:rPr>
        <w:t xml:space="preserve"> </w:t>
      </w:r>
      <w:r w:rsidRPr="00FB5A28">
        <w:rPr>
          <w:rFonts w:ascii="Times New Roman" w:hAnsi="Times New Roman"/>
          <w:sz w:val="24"/>
          <w:szCs w:val="24"/>
        </w:rPr>
        <w:t>од</w:t>
      </w:r>
      <w:r w:rsidR="008E7454" w:rsidRPr="00FB5A28">
        <w:rPr>
          <w:rFonts w:ascii="Times New Roman" w:hAnsi="Times New Roman"/>
          <w:sz w:val="24"/>
          <w:szCs w:val="24"/>
        </w:rPr>
        <w:t xml:space="preserve"> 5 </w:t>
      </w:r>
      <w:r w:rsidRPr="00FB5A28">
        <w:rPr>
          <w:rFonts w:ascii="Times New Roman" w:hAnsi="Times New Roman"/>
          <w:sz w:val="24"/>
          <w:szCs w:val="24"/>
        </w:rPr>
        <w:t>година</w:t>
      </w:r>
      <w:r w:rsidR="008E7454" w:rsidRPr="00FB5A28">
        <w:rPr>
          <w:rFonts w:ascii="Times New Roman" w:hAnsi="Times New Roman"/>
          <w:sz w:val="24"/>
          <w:szCs w:val="24"/>
        </w:rPr>
        <w:t xml:space="preserve"> </w:t>
      </w:r>
      <w:r w:rsidRPr="00FB5A28">
        <w:rPr>
          <w:rFonts w:ascii="Times New Roman" w:hAnsi="Times New Roman"/>
          <w:sz w:val="24"/>
          <w:szCs w:val="24"/>
        </w:rPr>
        <w:t>и</w:t>
      </w:r>
      <w:r w:rsidR="008E7454" w:rsidRPr="00FB5A28">
        <w:rPr>
          <w:rFonts w:ascii="Times New Roman" w:hAnsi="Times New Roman"/>
          <w:sz w:val="24"/>
          <w:szCs w:val="24"/>
        </w:rPr>
        <w:t xml:space="preserve"> </w:t>
      </w:r>
      <w:r w:rsidRPr="00FB5A28">
        <w:rPr>
          <w:rFonts w:ascii="Times New Roman" w:hAnsi="Times New Roman"/>
          <w:sz w:val="24"/>
          <w:szCs w:val="24"/>
        </w:rPr>
        <w:t>рачуна</w:t>
      </w:r>
      <w:r w:rsidR="008E7454" w:rsidRPr="00FB5A28">
        <w:rPr>
          <w:rFonts w:ascii="Times New Roman" w:hAnsi="Times New Roman"/>
          <w:sz w:val="24"/>
          <w:szCs w:val="24"/>
        </w:rPr>
        <w:t xml:space="preserve"> </w:t>
      </w:r>
      <w:r w:rsidRPr="00FB5A28">
        <w:rPr>
          <w:rFonts w:ascii="Times New Roman" w:hAnsi="Times New Roman"/>
          <w:sz w:val="24"/>
          <w:szCs w:val="24"/>
        </w:rPr>
        <w:t>се</w:t>
      </w:r>
      <w:r w:rsidR="008E7454" w:rsidRPr="00FB5A28">
        <w:rPr>
          <w:rFonts w:ascii="Times New Roman" w:hAnsi="Times New Roman"/>
          <w:sz w:val="24"/>
          <w:szCs w:val="24"/>
        </w:rPr>
        <w:t xml:space="preserve"> </w:t>
      </w:r>
      <w:r w:rsidRPr="00FB5A28">
        <w:rPr>
          <w:rFonts w:ascii="Times New Roman" w:hAnsi="Times New Roman"/>
          <w:sz w:val="24"/>
          <w:szCs w:val="24"/>
        </w:rPr>
        <w:t>од</w:t>
      </w:r>
      <w:r w:rsidR="008E7454" w:rsidRPr="00FB5A28">
        <w:rPr>
          <w:rFonts w:ascii="Times New Roman" w:hAnsi="Times New Roman"/>
          <w:sz w:val="24"/>
          <w:szCs w:val="24"/>
        </w:rPr>
        <w:t xml:space="preserve"> </w:t>
      </w:r>
      <w:r w:rsidRPr="00FB5A28">
        <w:rPr>
          <w:rFonts w:ascii="Times New Roman" w:hAnsi="Times New Roman"/>
          <w:sz w:val="24"/>
          <w:szCs w:val="24"/>
        </w:rPr>
        <w:t>дана</w:t>
      </w:r>
      <w:r w:rsidR="008E7454" w:rsidRPr="00FB5A28">
        <w:rPr>
          <w:rFonts w:ascii="Times New Roman" w:hAnsi="Times New Roman"/>
          <w:sz w:val="24"/>
          <w:szCs w:val="24"/>
        </w:rPr>
        <w:t xml:space="preserve"> </w:t>
      </w:r>
      <w:r w:rsidRPr="00FB5A28">
        <w:rPr>
          <w:rFonts w:ascii="Times New Roman" w:hAnsi="Times New Roman"/>
          <w:sz w:val="24"/>
          <w:szCs w:val="24"/>
        </w:rPr>
        <w:t>доношења</w:t>
      </w:r>
      <w:r w:rsidR="008E7454" w:rsidRPr="00FB5A28">
        <w:rPr>
          <w:rFonts w:ascii="Times New Roman" w:hAnsi="Times New Roman"/>
          <w:sz w:val="24"/>
          <w:szCs w:val="24"/>
        </w:rPr>
        <w:t xml:space="preserve"> </w:t>
      </w:r>
      <w:r w:rsidRPr="00FB5A28">
        <w:rPr>
          <w:rFonts w:ascii="Times New Roman" w:hAnsi="Times New Roman"/>
          <w:sz w:val="24"/>
          <w:szCs w:val="24"/>
        </w:rPr>
        <w:t>оснивачког</w:t>
      </w:r>
      <w:r w:rsidR="008E7454" w:rsidRPr="00FB5A28">
        <w:rPr>
          <w:rFonts w:ascii="Times New Roman" w:hAnsi="Times New Roman"/>
          <w:sz w:val="24"/>
          <w:szCs w:val="24"/>
        </w:rPr>
        <w:t xml:space="preserve"> </w:t>
      </w:r>
      <w:r w:rsidRPr="00FB5A28">
        <w:rPr>
          <w:rFonts w:ascii="Times New Roman" w:hAnsi="Times New Roman"/>
          <w:sz w:val="24"/>
          <w:szCs w:val="24"/>
        </w:rPr>
        <w:t>акта</w:t>
      </w:r>
      <w:r w:rsidR="008E7454" w:rsidRPr="00FB5A28">
        <w:rPr>
          <w:rFonts w:ascii="Times New Roman" w:hAnsi="Times New Roman"/>
          <w:sz w:val="24"/>
          <w:szCs w:val="24"/>
        </w:rPr>
        <w:t xml:space="preserve">. </w:t>
      </w:r>
      <w:r w:rsidRPr="00FB5A28">
        <w:rPr>
          <w:rFonts w:ascii="Times New Roman" w:hAnsi="Times New Roman"/>
          <w:sz w:val="24"/>
          <w:szCs w:val="24"/>
        </w:rPr>
        <w:t>Чланови</w:t>
      </w:r>
      <w:r w:rsidR="008E7454" w:rsidRPr="00FB5A28">
        <w:rPr>
          <w:rFonts w:ascii="Times New Roman" w:hAnsi="Times New Roman"/>
          <w:sz w:val="24"/>
          <w:szCs w:val="24"/>
        </w:rPr>
        <w:t xml:space="preserve"> </w:t>
      </w:r>
      <w:r w:rsidRPr="00FB5A28">
        <w:rPr>
          <w:rFonts w:ascii="Times New Roman" w:hAnsi="Times New Roman"/>
          <w:sz w:val="24"/>
          <w:szCs w:val="24"/>
        </w:rPr>
        <w:t>друштва</w:t>
      </w:r>
      <w:r w:rsidR="008E7454" w:rsidRPr="00FB5A28">
        <w:rPr>
          <w:rFonts w:ascii="Times New Roman" w:hAnsi="Times New Roman"/>
          <w:sz w:val="24"/>
          <w:szCs w:val="24"/>
        </w:rPr>
        <w:t xml:space="preserve"> </w:t>
      </w:r>
      <w:r w:rsidRPr="00FB5A28">
        <w:rPr>
          <w:rFonts w:ascii="Times New Roman" w:hAnsi="Times New Roman"/>
          <w:sz w:val="24"/>
          <w:szCs w:val="24"/>
        </w:rPr>
        <w:t>стичу</w:t>
      </w:r>
      <w:r w:rsidR="008E7454" w:rsidRPr="00FB5A28">
        <w:rPr>
          <w:rFonts w:ascii="Times New Roman" w:hAnsi="Times New Roman"/>
          <w:sz w:val="24"/>
          <w:szCs w:val="24"/>
        </w:rPr>
        <w:t xml:space="preserve"> </w:t>
      </w:r>
      <w:r w:rsidRPr="00FB5A28">
        <w:rPr>
          <w:rFonts w:ascii="Times New Roman" w:hAnsi="Times New Roman"/>
          <w:sz w:val="24"/>
          <w:szCs w:val="24"/>
        </w:rPr>
        <w:t>удео</w:t>
      </w:r>
      <w:r w:rsidR="008E7454" w:rsidRPr="00FB5A28">
        <w:rPr>
          <w:rFonts w:ascii="Times New Roman" w:hAnsi="Times New Roman"/>
          <w:sz w:val="24"/>
          <w:szCs w:val="24"/>
        </w:rPr>
        <w:t xml:space="preserve"> </w:t>
      </w:r>
      <w:r w:rsidRPr="00FB5A28">
        <w:rPr>
          <w:rFonts w:ascii="Times New Roman" w:hAnsi="Times New Roman"/>
          <w:sz w:val="24"/>
          <w:szCs w:val="24"/>
        </w:rPr>
        <w:t>у</w:t>
      </w:r>
      <w:r w:rsidR="008E7454" w:rsidRPr="00FB5A28">
        <w:rPr>
          <w:rFonts w:ascii="Times New Roman" w:hAnsi="Times New Roman"/>
          <w:sz w:val="24"/>
          <w:szCs w:val="24"/>
        </w:rPr>
        <w:t xml:space="preserve"> </w:t>
      </w:r>
      <w:r w:rsidRPr="00FB5A28">
        <w:rPr>
          <w:rFonts w:ascii="Times New Roman" w:hAnsi="Times New Roman"/>
          <w:sz w:val="24"/>
          <w:szCs w:val="24"/>
        </w:rPr>
        <w:t>друштву</w:t>
      </w:r>
      <w:r w:rsidR="008E7454" w:rsidRPr="00FB5A28">
        <w:rPr>
          <w:rFonts w:ascii="Times New Roman" w:hAnsi="Times New Roman"/>
          <w:sz w:val="24"/>
          <w:szCs w:val="24"/>
        </w:rPr>
        <w:t xml:space="preserve"> </w:t>
      </w:r>
      <w:r w:rsidRPr="00FB5A28">
        <w:rPr>
          <w:rFonts w:ascii="Times New Roman" w:hAnsi="Times New Roman"/>
          <w:sz w:val="24"/>
          <w:szCs w:val="24"/>
        </w:rPr>
        <w:t>преузимањем</w:t>
      </w:r>
      <w:r w:rsidR="008E7454" w:rsidRPr="00FB5A28">
        <w:rPr>
          <w:rFonts w:ascii="Times New Roman" w:hAnsi="Times New Roman"/>
          <w:sz w:val="24"/>
          <w:szCs w:val="24"/>
        </w:rPr>
        <w:t xml:space="preserve"> </w:t>
      </w:r>
      <w:r w:rsidRPr="00FB5A28">
        <w:rPr>
          <w:rFonts w:ascii="Times New Roman" w:hAnsi="Times New Roman"/>
          <w:sz w:val="24"/>
          <w:szCs w:val="24"/>
        </w:rPr>
        <w:t>обавезе</w:t>
      </w:r>
      <w:r w:rsidR="008E7454" w:rsidRPr="00FB5A28">
        <w:rPr>
          <w:rFonts w:ascii="Times New Roman" w:hAnsi="Times New Roman"/>
          <w:sz w:val="24"/>
          <w:szCs w:val="24"/>
        </w:rPr>
        <w:t xml:space="preserve"> </w:t>
      </w:r>
      <w:r w:rsidRPr="00FB5A28">
        <w:rPr>
          <w:rFonts w:ascii="Times New Roman" w:hAnsi="Times New Roman"/>
          <w:sz w:val="24"/>
          <w:szCs w:val="24"/>
        </w:rPr>
        <w:t>уплате</w:t>
      </w:r>
      <w:r w:rsidR="008E7454" w:rsidRPr="00FB5A28">
        <w:rPr>
          <w:rFonts w:ascii="Times New Roman" w:hAnsi="Times New Roman"/>
          <w:sz w:val="24"/>
          <w:szCs w:val="24"/>
        </w:rPr>
        <w:t xml:space="preserve"> </w:t>
      </w:r>
      <w:r w:rsidRPr="00FB5A28">
        <w:rPr>
          <w:rFonts w:ascii="Times New Roman" w:hAnsi="Times New Roman"/>
          <w:sz w:val="24"/>
          <w:szCs w:val="24"/>
        </w:rPr>
        <w:t>односно</w:t>
      </w:r>
      <w:r w:rsidR="008E7454" w:rsidRPr="00FB5A28">
        <w:rPr>
          <w:rFonts w:ascii="Times New Roman" w:hAnsi="Times New Roman"/>
          <w:sz w:val="24"/>
          <w:szCs w:val="24"/>
        </w:rPr>
        <w:t xml:space="preserve"> </w:t>
      </w:r>
      <w:r w:rsidRPr="00FB5A28">
        <w:rPr>
          <w:rFonts w:ascii="Times New Roman" w:hAnsi="Times New Roman"/>
          <w:sz w:val="24"/>
          <w:szCs w:val="24"/>
        </w:rPr>
        <w:t>уношења</w:t>
      </w:r>
      <w:r w:rsidR="008E7454" w:rsidRPr="00FB5A28">
        <w:rPr>
          <w:rFonts w:ascii="Times New Roman" w:hAnsi="Times New Roman"/>
          <w:sz w:val="24"/>
          <w:szCs w:val="24"/>
        </w:rPr>
        <w:t xml:space="preserve"> </w:t>
      </w:r>
      <w:r w:rsidRPr="00FB5A28">
        <w:rPr>
          <w:rFonts w:ascii="Times New Roman" w:hAnsi="Times New Roman"/>
          <w:sz w:val="24"/>
          <w:szCs w:val="24"/>
        </w:rPr>
        <w:t>улога</w:t>
      </w:r>
      <w:r w:rsidR="008E7454" w:rsidRPr="00FB5A28">
        <w:rPr>
          <w:rFonts w:ascii="Times New Roman" w:hAnsi="Times New Roman"/>
          <w:sz w:val="24"/>
          <w:szCs w:val="24"/>
        </w:rPr>
        <w:t xml:space="preserve">. </w:t>
      </w:r>
      <w:r w:rsidRPr="00FB5A28">
        <w:rPr>
          <w:rFonts w:ascii="Times New Roman" w:hAnsi="Times New Roman"/>
          <w:sz w:val="24"/>
          <w:szCs w:val="24"/>
        </w:rPr>
        <w:t>Насупрот</w:t>
      </w:r>
      <w:r w:rsidR="008E7454" w:rsidRPr="00FB5A28">
        <w:rPr>
          <w:rFonts w:ascii="Times New Roman" w:hAnsi="Times New Roman"/>
          <w:sz w:val="24"/>
          <w:szCs w:val="24"/>
        </w:rPr>
        <w:t xml:space="preserve"> </w:t>
      </w:r>
      <w:r w:rsidRPr="00FB5A28">
        <w:rPr>
          <w:rFonts w:ascii="Times New Roman" w:hAnsi="Times New Roman"/>
          <w:sz w:val="24"/>
          <w:szCs w:val="24"/>
        </w:rPr>
        <w:t>овом</w:t>
      </w:r>
      <w:r w:rsidR="008E7454" w:rsidRPr="00FB5A28">
        <w:rPr>
          <w:rFonts w:ascii="Times New Roman" w:hAnsi="Times New Roman"/>
          <w:sz w:val="24"/>
          <w:szCs w:val="24"/>
        </w:rPr>
        <w:t xml:space="preserve"> </w:t>
      </w:r>
      <w:r w:rsidRPr="00FB5A28">
        <w:rPr>
          <w:rFonts w:ascii="Times New Roman" w:hAnsi="Times New Roman"/>
          <w:sz w:val="24"/>
          <w:szCs w:val="24"/>
        </w:rPr>
        <w:t>решењу</w:t>
      </w:r>
      <w:r w:rsidR="008E7454" w:rsidRPr="00FB5A28">
        <w:rPr>
          <w:rFonts w:ascii="Times New Roman" w:hAnsi="Times New Roman"/>
          <w:sz w:val="24"/>
          <w:szCs w:val="24"/>
        </w:rPr>
        <w:t xml:space="preserve">, </w:t>
      </w:r>
      <w:r w:rsidRPr="00FB5A28">
        <w:rPr>
          <w:rFonts w:ascii="Times New Roman" w:hAnsi="Times New Roman"/>
          <w:sz w:val="24"/>
          <w:szCs w:val="24"/>
        </w:rPr>
        <w:t>Закон</w:t>
      </w:r>
      <w:r w:rsidR="008E7454" w:rsidRPr="00FB5A28">
        <w:rPr>
          <w:rFonts w:ascii="Times New Roman" w:hAnsi="Times New Roman"/>
          <w:sz w:val="24"/>
          <w:szCs w:val="24"/>
        </w:rPr>
        <w:t xml:space="preserve"> </w:t>
      </w:r>
      <w:r w:rsidRPr="00FB5A28">
        <w:rPr>
          <w:rFonts w:ascii="Times New Roman" w:hAnsi="Times New Roman"/>
          <w:sz w:val="24"/>
          <w:szCs w:val="24"/>
        </w:rPr>
        <w:t>о</w:t>
      </w:r>
      <w:r w:rsidR="008E7454" w:rsidRPr="00FB5A28">
        <w:rPr>
          <w:rFonts w:ascii="Times New Roman" w:hAnsi="Times New Roman"/>
          <w:sz w:val="24"/>
          <w:szCs w:val="24"/>
        </w:rPr>
        <w:t xml:space="preserve"> </w:t>
      </w:r>
      <w:r w:rsidRPr="00FB5A28">
        <w:rPr>
          <w:rFonts w:ascii="Times New Roman" w:hAnsi="Times New Roman"/>
          <w:sz w:val="24"/>
          <w:szCs w:val="24"/>
        </w:rPr>
        <w:t>привредним</w:t>
      </w:r>
      <w:r w:rsidR="008E7454" w:rsidRPr="00FB5A28">
        <w:rPr>
          <w:rFonts w:ascii="Times New Roman" w:hAnsi="Times New Roman"/>
          <w:sz w:val="24"/>
          <w:szCs w:val="24"/>
        </w:rPr>
        <w:t xml:space="preserve"> </w:t>
      </w:r>
      <w:r w:rsidRPr="00FB5A28">
        <w:rPr>
          <w:rFonts w:ascii="Times New Roman" w:hAnsi="Times New Roman"/>
          <w:sz w:val="24"/>
          <w:szCs w:val="24"/>
        </w:rPr>
        <w:t>друштвима</w:t>
      </w:r>
      <w:r w:rsidR="008E7454" w:rsidRPr="00FB5A28">
        <w:rPr>
          <w:rFonts w:ascii="Times New Roman" w:hAnsi="Times New Roman"/>
          <w:sz w:val="24"/>
          <w:szCs w:val="24"/>
        </w:rPr>
        <w:t xml:space="preserve"> </w:t>
      </w:r>
      <w:r w:rsidRPr="00FB5A28">
        <w:rPr>
          <w:rFonts w:ascii="Times New Roman" w:hAnsi="Times New Roman"/>
          <w:sz w:val="24"/>
          <w:szCs w:val="24"/>
        </w:rPr>
        <w:t>из</w:t>
      </w:r>
      <w:r w:rsidR="008E7454" w:rsidRPr="00FB5A28">
        <w:rPr>
          <w:rFonts w:ascii="Times New Roman" w:hAnsi="Times New Roman"/>
          <w:sz w:val="24"/>
          <w:szCs w:val="24"/>
        </w:rPr>
        <w:t xml:space="preserve"> 2004. </w:t>
      </w:r>
      <w:r w:rsidRPr="00FB5A28">
        <w:rPr>
          <w:rFonts w:ascii="Times New Roman" w:hAnsi="Times New Roman"/>
          <w:sz w:val="24"/>
          <w:szCs w:val="24"/>
        </w:rPr>
        <w:t>године</w:t>
      </w:r>
      <w:r w:rsidR="008E7454" w:rsidRPr="00FB5A28">
        <w:rPr>
          <w:rFonts w:ascii="Times New Roman" w:hAnsi="Times New Roman"/>
          <w:sz w:val="24"/>
          <w:szCs w:val="24"/>
        </w:rPr>
        <w:t xml:space="preserve"> </w:t>
      </w:r>
      <w:r w:rsidRPr="00FB5A28">
        <w:rPr>
          <w:rFonts w:ascii="Times New Roman" w:hAnsi="Times New Roman"/>
          <w:sz w:val="24"/>
          <w:szCs w:val="24"/>
        </w:rPr>
        <w:t>је</w:t>
      </w:r>
      <w:r w:rsidR="008E7454" w:rsidRPr="00FB5A28">
        <w:rPr>
          <w:rFonts w:ascii="Times New Roman" w:hAnsi="Times New Roman"/>
          <w:sz w:val="24"/>
          <w:szCs w:val="24"/>
        </w:rPr>
        <w:t xml:space="preserve"> </w:t>
      </w:r>
      <w:r w:rsidRPr="00FB5A28">
        <w:rPr>
          <w:rFonts w:ascii="Times New Roman" w:hAnsi="Times New Roman"/>
          <w:sz w:val="24"/>
          <w:szCs w:val="24"/>
        </w:rPr>
        <w:t>прописивао</w:t>
      </w:r>
      <w:r w:rsidR="008E7454" w:rsidRPr="00FB5A28">
        <w:rPr>
          <w:rFonts w:ascii="Times New Roman" w:hAnsi="Times New Roman"/>
          <w:sz w:val="24"/>
          <w:szCs w:val="24"/>
        </w:rPr>
        <w:t xml:space="preserve"> </w:t>
      </w:r>
      <w:r w:rsidRPr="00FB5A28">
        <w:rPr>
          <w:rFonts w:ascii="Times New Roman" w:hAnsi="Times New Roman"/>
          <w:sz w:val="24"/>
          <w:szCs w:val="24"/>
        </w:rPr>
        <w:t>да</w:t>
      </w:r>
      <w:r w:rsidR="008E7454" w:rsidRPr="00FB5A28">
        <w:rPr>
          <w:rFonts w:ascii="Times New Roman" w:hAnsi="Times New Roman"/>
          <w:sz w:val="24"/>
          <w:szCs w:val="24"/>
        </w:rPr>
        <w:t xml:space="preserve"> </w:t>
      </w:r>
      <w:r w:rsidRPr="00FB5A28">
        <w:rPr>
          <w:rFonts w:ascii="Times New Roman" w:hAnsi="Times New Roman"/>
          <w:sz w:val="24"/>
          <w:szCs w:val="24"/>
        </w:rPr>
        <w:t>се</w:t>
      </w:r>
      <w:r w:rsidR="008E7454" w:rsidRPr="00FB5A28">
        <w:rPr>
          <w:rFonts w:ascii="Times New Roman" w:hAnsi="Times New Roman"/>
          <w:sz w:val="24"/>
          <w:szCs w:val="24"/>
        </w:rPr>
        <w:t xml:space="preserve"> </w:t>
      </w:r>
      <w:r w:rsidRPr="00FB5A28">
        <w:rPr>
          <w:rFonts w:ascii="Times New Roman" w:hAnsi="Times New Roman"/>
          <w:sz w:val="24"/>
          <w:szCs w:val="24"/>
        </w:rPr>
        <w:t>најмање</w:t>
      </w:r>
      <w:r w:rsidR="008E7454" w:rsidRPr="00FB5A28">
        <w:rPr>
          <w:rFonts w:ascii="Times New Roman" w:hAnsi="Times New Roman"/>
          <w:sz w:val="24"/>
          <w:szCs w:val="24"/>
        </w:rPr>
        <w:t xml:space="preserve"> </w:t>
      </w:r>
      <w:r w:rsidRPr="00FB5A28">
        <w:rPr>
          <w:rFonts w:ascii="Times New Roman" w:hAnsi="Times New Roman"/>
          <w:sz w:val="24"/>
          <w:szCs w:val="24"/>
        </w:rPr>
        <w:t>половина</w:t>
      </w:r>
      <w:r w:rsidR="008E7454" w:rsidRPr="00FB5A28">
        <w:rPr>
          <w:rFonts w:ascii="Times New Roman" w:hAnsi="Times New Roman"/>
          <w:sz w:val="24"/>
          <w:szCs w:val="24"/>
        </w:rPr>
        <w:t xml:space="preserve"> </w:t>
      </w:r>
      <w:r w:rsidRPr="00FB5A28">
        <w:rPr>
          <w:rFonts w:ascii="Times New Roman" w:hAnsi="Times New Roman"/>
          <w:sz w:val="24"/>
          <w:szCs w:val="24"/>
        </w:rPr>
        <w:t>минималног</w:t>
      </w:r>
      <w:r w:rsidR="008E7454" w:rsidRPr="00FB5A28">
        <w:rPr>
          <w:rFonts w:ascii="Times New Roman" w:hAnsi="Times New Roman"/>
          <w:sz w:val="24"/>
          <w:szCs w:val="24"/>
        </w:rPr>
        <w:t xml:space="preserve"> </w:t>
      </w:r>
      <w:r w:rsidRPr="00FB5A28">
        <w:rPr>
          <w:rFonts w:ascii="Times New Roman" w:hAnsi="Times New Roman"/>
          <w:sz w:val="24"/>
          <w:szCs w:val="24"/>
        </w:rPr>
        <w:t>дела</w:t>
      </w:r>
      <w:r w:rsidR="008E7454" w:rsidRPr="00FB5A28">
        <w:rPr>
          <w:rFonts w:ascii="Times New Roman" w:hAnsi="Times New Roman"/>
          <w:sz w:val="24"/>
          <w:szCs w:val="24"/>
        </w:rPr>
        <w:t xml:space="preserve"> </w:t>
      </w:r>
      <w:r w:rsidRPr="00FB5A28">
        <w:rPr>
          <w:rFonts w:ascii="Times New Roman" w:hAnsi="Times New Roman"/>
          <w:sz w:val="24"/>
          <w:szCs w:val="24"/>
        </w:rPr>
        <w:t>основног</w:t>
      </w:r>
      <w:r w:rsidR="008E7454" w:rsidRPr="00FB5A28">
        <w:rPr>
          <w:rFonts w:ascii="Times New Roman" w:hAnsi="Times New Roman"/>
          <w:sz w:val="24"/>
          <w:szCs w:val="24"/>
        </w:rPr>
        <w:t xml:space="preserve"> </w:t>
      </w:r>
      <w:r w:rsidRPr="00FB5A28">
        <w:rPr>
          <w:rFonts w:ascii="Times New Roman" w:hAnsi="Times New Roman"/>
          <w:sz w:val="24"/>
          <w:szCs w:val="24"/>
        </w:rPr>
        <w:t>капитала</w:t>
      </w:r>
      <w:r w:rsidR="008E7454" w:rsidRPr="00FB5A28">
        <w:rPr>
          <w:rFonts w:ascii="Times New Roman" w:hAnsi="Times New Roman"/>
          <w:sz w:val="24"/>
          <w:szCs w:val="24"/>
        </w:rPr>
        <w:t xml:space="preserve"> </w:t>
      </w:r>
      <w:r w:rsidRPr="00FB5A28">
        <w:rPr>
          <w:rFonts w:ascii="Times New Roman" w:hAnsi="Times New Roman"/>
          <w:sz w:val="24"/>
          <w:szCs w:val="24"/>
        </w:rPr>
        <w:t>уплаћује</w:t>
      </w:r>
      <w:r w:rsidR="008E7454" w:rsidRPr="00FB5A28">
        <w:rPr>
          <w:rFonts w:ascii="Times New Roman" w:hAnsi="Times New Roman"/>
          <w:sz w:val="24"/>
          <w:szCs w:val="24"/>
        </w:rPr>
        <w:t xml:space="preserve"> </w:t>
      </w:r>
      <w:r w:rsidRPr="00FB5A28">
        <w:rPr>
          <w:rFonts w:ascii="Times New Roman" w:hAnsi="Times New Roman"/>
          <w:sz w:val="24"/>
          <w:szCs w:val="24"/>
        </w:rPr>
        <w:t>на</w:t>
      </w:r>
      <w:r w:rsidR="008E7454" w:rsidRPr="00FB5A28">
        <w:rPr>
          <w:rFonts w:ascii="Times New Roman" w:hAnsi="Times New Roman"/>
          <w:sz w:val="24"/>
          <w:szCs w:val="24"/>
        </w:rPr>
        <w:t xml:space="preserve"> </w:t>
      </w:r>
      <w:r w:rsidRPr="00FB5A28">
        <w:rPr>
          <w:rFonts w:ascii="Times New Roman" w:hAnsi="Times New Roman"/>
          <w:sz w:val="24"/>
          <w:szCs w:val="24"/>
        </w:rPr>
        <w:t>привремени</w:t>
      </w:r>
      <w:r w:rsidR="008E7454" w:rsidRPr="00FB5A28">
        <w:rPr>
          <w:rFonts w:ascii="Times New Roman" w:hAnsi="Times New Roman"/>
          <w:sz w:val="24"/>
          <w:szCs w:val="24"/>
        </w:rPr>
        <w:t xml:space="preserve"> </w:t>
      </w:r>
      <w:r w:rsidRPr="00FB5A28">
        <w:rPr>
          <w:rFonts w:ascii="Times New Roman" w:hAnsi="Times New Roman"/>
          <w:sz w:val="24"/>
          <w:szCs w:val="24"/>
        </w:rPr>
        <w:t>рачун</w:t>
      </w:r>
      <w:r w:rsidR="008E7454" w:rsidRPr="00FB5A28">
        <w:rPr>
          <w:rFonts w:ascii="Times New Roman" w:hAnsi="Times New Roman"/>
          <w:sz w:val="24"/>
          <w:szCs w:val="24"/>
        </w:rPr>
        <w:t xml:space="preserve"> </w:t>
      </w:r>
      <w:r w:rsidRPr="00FB5A28">
        <w:rPr>
          <w:rFonts w:ascii="Times New Roman" w:hAnsi="Times New Roman"/>
          <w:sz w:val="24"/>
          <w:szCs w:val="24"/>
        </w:rPr>
        <w:t>до</w:t>
      </w:r>
      <w:r w:rsidR="008E7454" w:rsidRPr="00FB5A28">
        <w:rPr>
          <w:rFonts w:ascii="Times New Roman" w:hAnsi="Times New Roman"/>
          <w:sz w:val="24"/>
          <w:szCs w:val="24"/>
        </w:rPr>
        <w:t xml:space="preserve"> </w:t>
      </w:r>
      <w:r w:rsidRPr="00FB5A28">
        <w:rPr>
          <w:rFonts w:ascii="Times New Roman" w:hAnsi="Times New Roman"/>
          <w:sz w:val="24"/>
          <w:szCs w:val="24"/>
        </w:rPr>
        <w:t>регистрације</w:t>
      </w:r>
      <w:r w:rsidR="008E7454" w:rsidRPr="00FB5A28">
        <w:rPr>
          <w:rFonts w:ascii="Times New Roman" w:hAnsi="Times New Roman"/>
          <w:sz w:val="24"/>
          <w:szCs w:val="24"/>
        </w:rPr>
        <w:t xml:space="preserve"> </w:t>
      </w:r>
      <w:r w:rsidRPr="00FB5A28">
        <w:rPr>
          <w:rFonts w:ascii="Times New Roman" w:hAnsi="Times New Roman"/>
          <w:sz w:val="24"/>
          <w:szCs w:val="24"/>
        </w:rPr>
        <w:t>друштва</w:t>
      </w:r>
      <w:r w:rsidR="008E7454" w:rsidRPr="00FB5A28">
        <w:rPr>
          <w:rFonts w:ascii="Times New Roman" w:hAnsi="Times New Roman"/>
          <w:sz w:val="24"/>
          <w:szCs w:val="24"/>
        </w:rPr>
        <w:t xml:space="preserve">, </w:t>
      </w:r>
      <w:r w:rsidRPr="00FB5A28">
        <w:rPr>
          <w:rFonts w:ascii="Times New Roman" w:hAnsi="Times New Roman"/>
          <w:sz w:val="24"/>
          <w:szCs w:val="24"/>
        </w:rPr>
        <w:t>а</w:t>
      </w:r>
      <w:r w:rsidR="008E7454" w:rsidRPr="00FB5A28">
        <w:rPr>
          <w:rFonts w:ascii="Times New Roman" w:hAnsi="Times New Roman"/>
          <w:sz w:val="24"/>
          <w:szCs w:val="24"/>
        </w:rPr>
        <w:t xml:space="preserve"> </w:t>
      </w:r>
      <w:r w:rsidRPr="00FB5A28">
        <w:rPr>
          <w:rFonts w:ascii="Times New Roman" w:hAnsi="Times New Roman"/>
          <w:sz w:val="24"/>
          <w:szCs w:val="24"/>
        </w:rPr>
        <w:t>остатак</w:t>
      </w:r>
      <w:r w:rsidR="008E7454" w:rsidRPr="00FB5A28">
        <w:rPr>
          <w:rFonts w:ascii="Times New Roman" w:hAnsi="Times New Roman"/>
          <w:sz w:val="24"/>
          <w:szCs w:val="24"/>
        </w:rPr>
        <w:t xml:space="preserve"> </w:t>
      </w:r>
      <w:r w:rsidRPr="00FB5A28">
        <w:rPr>
          <w:rFonts w:ascii="Times New Roman" w:hAnsi="Times New Roman"/>
          <w:sz w:val="24"/>
          <w:szCs w:val="24"/>
        </w:rPr>
        <w:t>се</w:t>
      </w:r>
      <w:r w:rsidR="008E7454" w:rsidRPr="00FB5A28">
        <w:rPr>
          <w:rFonts w:ascii="Times New Roman" w:hAnsi="Times New Roman"/>
          <w:sz w:val="24"/>
          <w:szCs w:val="24"/>
        </w:rPr>
        <w:t xml:space="preserve"> </w:t>
      </w:r>
      <w:r w:rsidRPr="00FB5A28">
        <w:rPr>
          <w:rFonts w:ascii="Times New Roman" w:hAnsi="Times New Roman"/>
          <w:sz w:val="24"/>
          <w:szCs w:val="24"/>
        </w:rPr>
        <w:t>уплаћује</w:t>
      </w:r>
      <w:r w:rsidR="008E7454" w:rsidRPr="00FB5A28">
        <w:rPr>
          <w:rFonts w:ascii="Times New Roman" w:hAnsi="Times New Roman"/>
          <w:sz w:val="24"/>
          <w:szCs w:val="24"/>
        </w:rPr>
        <w:t xml:space="preserve"> </w:t>
      </w:r>
      <w:r w:rsidRPr="00FB5A28">
        <w:rPr>
          <w:rFonts w:ascii="Times New Roman" w:hAnsi="Times New Roman"/>
          <w:sz w:val="24"/>
          <w:szCs w:val="24"/>
        </w:rPr>
        <w:t>на</w:t>
      </w:r>
      <w:r w:rsidR="008E7454" w:rsidRPr="00FB5A28">
        <w:rPr>
          <w:rFonts w:ascii="Times New Roman" w:hAnsi="Times New Roman"/>
          <w:sz w:val="24"/>
          <w:szCs w:val="24"/>
        </w:rPr>
        <w:t xml:space="preserve"> </w:t>
      </w:r>
      <w:r w:rsidRPr="00FB5A28">
        <w:rPr>
          <w:rFonts w:ascii="Times New Roman" w:hAnsi="Times New Roman"/>
          <w:sz w:val="24"/>
          <w:szCs w:val="24"/>
        </w:rPr>
        <w:t>рачун</w:t>
      </w:r>
      <w:r w:rsidR="008E7454" w:rsidRPr="00FB5A28">
        <w:rPr>
          <w:rFonts w:ascii="Times New Roman" w:hAnsi="Times New Roman"/>
          <w:sz w:val="24"/>
          <w:szCs w:val="24"/>
        </w:rPr>
        <w:t xml:space="preserve"> </w:t>
      </w:r>
      <w:r w:rsidRPr="00FB5A28">
        <w:rPr>
          <w:rFonts w:ascii="Times New Roman" w:hAnsi="Times New Roman"/>
          <w:sz w:val="24"/>
          <w:szCs w:val="24"/>
        </w:rPr>
        <w:t>друштва</w:t>
      </w:r>
      <w:r w:rsidR="008E7454" w:rsidRPr="00FB5A28">
        <w:rPr>
          <w:rFonts w:ascii="Times New Roman" w:hAnsi="Times New Roman"/>
          <w:sz w:val="24"/>
          <w:szCs w:val="24"/>
        </w:rPr>
        <w:t xml:space="preserve"> </w:t>
      </w:r>
      <w:r w:rsidRPr="00FB5A28">
        <w:rPr>
          <w:rFonts w:ascii="Times New Roman" w:hAnsi="Times New Roman"/>
          <w:sz w:val="24"/>
          <w:szCs w:val="24"/>
        </w:rPr>
        <w:t>у</w:t>
      </w:r>
      <w:r w:rsidR="008E7454" w:rsidRPr="00FB5A28">
        <w:rPr>
          <w:rFonts w:ascii="Times New Roman" w:hAnsi="Times New Roman"/>
          <w:sz w:val="24"/>
          <w:szCs w:val="24"/>
        </w:rPr>
        <w:t xml:space="preserve"> </w:t>
      </w:r>
      <w:r w:rsidRPr="00FB5A28">
        <w:rPr>
          <w:rFonts w:ascii="Times New Roman" w:hAnsi="Times New Roman"/>
          <w:sz w:val="24"/>
          <w:szCs w:val="24"/>
        </w:rPr>
        <w:t>року</w:t>
      </w:r>
      <w:r w:rsidR="008E7454" w:rsidRPr="00FB5A28">
        <w:rPr>
          <w:rFonts w:ascii="Times New Roman" w:hAnsi="Times New Roman"/>
          <w:sz w:val="24"/>
          <w:szCs w:val="24"/>
        </w:rPr>
        <w:t xml:space="preserve"> </w:t>
      </w:r>
      <w:r w:rsidRPr="00FB5A28">
        <w:rPr>
          <w:rFonts w:ascii="Times New Roman" w:hAnsi="Times New Roman"/>
          <w:sz w:val="24"/>
          <w:szCs w:val="24"/>
        </w:rPr>
        <w:t>од</w:t>
      </w:r>
      <w:r w:rsidR="008E7454" w:rsidRPr="00FB5A28">
        <w:rPr>
          <w:rFonts w:ascii="Times New Roman" w:hAnsi="Times New Roman"/>
          <w:sz w:val="24"/>
          <w:szCs w:val="24"/>
        </w:rPr>
        <w:t xml:space="preserve"> </w:t>
      </w:r>
      <w:r w:rsidRPr="00FB5A28">
        <w:rPr>
          <w:rFonts w:ascii="Times New Roman" w:hAnsi="Times New Roman"/>
          <w:sz w:val="24"/>
          <w:szCs w:val="24"/>
        </w:rPr>
        <w:t>две</w:t>
      </w:r>
      <w:r w:rsidR="008E7454" w:rsidRPr="00FB5A28">
        <w:rPr>
          <w:rFonts w:ascii="Times New Roman" w:hAnsi="Times New Roman"/>
          <w:sz w:val="24"/>
          <w:szCs w:val="24"/>
        </w:rPr>
        <w:t xml:space="preserve"> </w:t>
      </w:r>
      <w:r w:rsidRPr="00FB5A28">
        <w:rPr>
          <w:rFonts w:ascii="Times New Roman" w:hAnsi="Times New Roman"/>
          <w:sz w:val="24"/>
          <w:szCs w:val="24"/>
        </w:rPr>
        <w:t>године</w:t>
      </w:r>
      <w:r w:rsidR="008E7454" w:rsidRPr="00FB5A28">
        <w:rPr>
          <w:rFonts w:ascii="Times New Roman" w:hAnsi="Times New Roman"/>
          <w:sz w:val="24"/>
          <w:szCs w:val="24"/>
        </w:rPr>
        <w:t xml:space="preserve"> </w:t>
      </w:r>
      <w:r w:rsidRPr="00FB5A28">
        <w:rPr>
          <w:rFonts w:ascii="Times New Roman" w:hAnsi="Times New Roman"/>
          <w:sz w:val="24"/>
          <w:szCs w:val="24"/>
        </w:rPr>
        <w:t>од</w:t>
      </w:r>
      <w:r w:rsidR="008E7454" w:rsidRPr="00FB5A28">
        <w:rPr>
          <w:rFonts w:ascii="Times New Roman" w:hAnsi="Times New Roman"/>
          <w:sz w:val="24"/>
          <w:szCs w:val="24"/>
        </w:rPr>
        <w:t xml:space="preserve"> </w:t>
      </w:r>
      <w:r w:rsidRPr="00FB5A28">
        <w:rPr>
          <w:rFonts w:ascii="Times New Roman" w:hAnsi="Times New Roman"/>
          <w:sz w:val="24"/>
          <w:szCs w:val="24"/>
        </w:rPr>
        <w:t>дана</w:t>
      </w:r>
      <w:r w:rsidR="008E7454" w:rsidRPr="00FB5A28">
        <w:rPr>
          <w:rFonts w:ascii="Times New Roman" w:hAnsi="Times New Roman"/>
          <w:sz w:val="24"/>
          <w:szCs w:val="24"/>
        </w:rPr>
        <w:t xml:space="preserve"> </w:t>
      </w:r>
      <w:r w:rsidRPr="00FB5A28">
        <w:rPr>
          <w:rFonts w:ascii="Times New Roman" w:hAnsi="Times New Roman"/>
          <w:sz w:val="24"/>
          <w:szCs w:val="24"/>
        </w:rPr>
        <w:t>регистрације</w:t>
      </w:r>
      <w:r w:rsidR="008E7454" w:rsidRPr="00FB5A28">
        <w:rPr>
          <w:rFonts w:ascii="Times New Roman" w:hAnsi="Times New Roman"/>
          <w:sz w:val="24"/>
          <w:szCs w:val="24"/>
        </w:rPr>
        <w:t xml:space="preserve">. </w:t>
      </w:r>
      <w:r w:rsidRPr="00FB5A28">
        <w:rPr>
          <w:rFonts w:ascii="Times New Roman" w:hAnsi="Times New Roman"/>
          <w:sz w:val="24"/>
          <w:szCs w:val="24"/>
        </w:rPr>
        <w:t>Вредност</w:t>
      </w:r>
      <w:r w:rsidR="008E7454" w:rsidRPr="00FB5A28">
        <w:rPr>
          <w:rFonts w:ascii="Times New Roman" w:hAnsi="Times New Roman"/>
          <w:sz w:val="24"/>
          <w:szCs w:val="24"/>
        </w:rPr>
        <w:t xml:space="preserve"> </w:t>
      </w:r>
      <w:r w:rsidRPr="00FB5A28">
        <w:rPr>
          <w:rFonts w:ascii="Times New Roman" w:hAnsi="Times New Roman"/>
          <w:sz w:val="24"/>
          <w:szCs w:val="24"/>
        </w:rPr>
        <w:t>новчаног</w:t>
      </w:r>
      <w:r w:rsidR="008E7454" w:rsidRPr="00FB5A28">
        <w:rPr>
          <w:rFonts w:ascii="Times New Roman" w:hAnsi="Times New Roman"/>
          <w:sz w:val="24"/>
          <w:szCs w:val="24"/>
        </w:rPr>
        <w:t xml:space="preserve"> </w:t>
      </w:r>
      <w:r w:rsidRPr="00FB5A28">
        <w:rPr>
          <w:rFonts w:ascii="Times New Roman" w:hAnsi="Times New Roman"/>
          <w:sz w:val="24"/>
          <w:szCs w:val="24"/>
        </w:rPr>
        <w:t>улога</w:t>
      </w:r>
      <w:r w:rsidR="008E7454" w:rsidRPr="00FB5A28">
        <w:rPr>
          <w:rFonts w:ascii="Times New Roman" w:hAnsi="Times New Roman"/>
          <w:sz w:val="24"/>
          <w:szCs w:val="24"/>
        </w:rPr>
        <w:t xml:space="preserve"> </w:t>
      </w:r>
      <w:r w:rsidRPr="00FB5A28">
        <w:rPr>
          <w:rFonts w:ascii="Times New Roman" w:hAnsi="Times New Roman"/>
          <w:sz w:val="24"/>
          <w:szCs w:val="24"/>
        </w:rPr>
        <w:t>преко</w:t>
      </w:r>
      <w:r w:rsidR="008E7454" w:rsidRPr="00FB5A28">
        <w:rPr>
          <w:rFonts w:ascii="Times New Roman" w:hAnsi="Times New Roman"/>
          <w:sz w:val="24"/>
          <w:szCs w:val="24"/>
        </w:rPr>
        <w:t xml:space="preserve"> </w:t>
      </w:r>
      <w:r w:rsidRPr="00FB5A28">
        <w:rPr>
          <w:rFonts w:ascii="Times New Roman" w:hAnsi="Times New Roman"/>
          <w:sz w:val="24"/>
          <w:szCs w:val="24"/>
        </w:rPr>
        <w:t>минималне</w:t>
      </w:r>
      <w:r w:rsidR="008E7454" w:rsidRPr="00FB5A28">
        <w:rPr>
          <w:rFonts w:ascii="Times New Roman" w:hAnsi="Times New Roman"/>
          <w:sz w:val="24"/>
          <w:szCs w:val="24"/>
        </w:rPr>
        <w:t xml:space="preserve"> </w:t>
      </w:r>
      <w:r w:rsidRPr="00FB5A28">
        <w:rPr>
          <w:rFonts w:ascii="Times New Roman" w:hAnsi="Times New Roman"/>
          <w:sz w:val="24"/>
          <w:szCs w:val="24"/>
        </w:rPr>
        <w:t>вредности</w:t>
      </w:r>
      <w:r w:rsidR="008E7454" w:rsidRPr="00FB5A28">
        <w:rPr>
          <w:rFonts w:ascii="Times New Roman" w:hAnsi="Times New Roman"/>
          <w:sz w:val="24"/>
          <w:szCs w:val="24"/>
        </w:rPr>
        <w:t xml:space="preserve"> </w:t>
      </w:r>
      <w:r w:rsidRPr="00FB5A28">
        <w:rPr>
          <w:rFonts w:ascii="Times New Roman" w:hAnsi="Times New Roman"/>
          <w:sz w:val="24"/>
          <w:szCs w:val="24"/>
        </w:rPr>
        <w:t>основног</w:t>
      </w:r>
      <w:r w:rsidR="008E7454" w:rsidRPr="00FB5A28">
        <w:rPr>
          <w:rFonts w:ascii="Times New Roman" w:hAnsi="Times New Roman"/>
          <w:sz w:val="24"/>
          <w:szCs w:val="24"/>
        </w:rPr>
        <w:t xml:space="preserve"> </w:t>
      </w:r>
      <w:r w:rsidRPr="00FB5A28">
        <w:rPr>
          <w:rFonts w:ascii="Times New Roman" w:hAnsi="Times New Roman"/>
          <w:sz w:val="24"/>
          <w:szCs w:val="24"/>
        </w:rPr>
        <w:t>капитала</w:t>
      </w:r>
      <w:r w:rsidR="008E7454" w:rsidRPr="00FB5A28">
        <w:rPr>
          <w:rFonts w:ascii="Times New Roman" w:hAnsi="Times New Roman"/>
          <w:sz w:val="24"/>
          <w:szCs w:val="24"/>
        </w:rPr>
        <w:t xml:space="preserve"> </w:t>
      </w:r>
      <w:r w:rsidRPr="00FB5A28">
        <w:rPr>
          <w:rFonts w:ascii="Times New Roman" w:hAnsi="Times New Roman"/>
          <w:sz w:val="24"/>
          <w:szCs w:val="24"/>
        </w:rPr>
        <w:t>и</w:t>
      </w:r>
      <w:r w:rsidR="008E7454" w:rsidRPr="00FB5A28">
        <w:rPr>
          <w:rFonts w:ascii="Times New Roman" w:hAnsi="Times New Roman"/>
          <w:sz w:val="24"/>
          <w:szCs w:val="24"/>
        </w:rPr>
        <w:t xml:space="preserve"> </w:t>
      </w:r>
      <w:r w:rsidRPr="00FB5A28">
        <w:rPr>
          <w:rFonts w:ascii="Times New Roman" w:hAnsi="Times New Roman"/>
          <w:sz w:val="24"/>
          <w:szCs w:val="24"/>
        </w:rPr>
        <w:t>неновчани</w:t>
      </w:r>
      <w:r w:rsidR="008E7454" w:rsidRPr="00FB5A28">
        <w:rPr>
          <w:rFonts w:ascii="Times New Roman" w:hAnsi="Times New Roman"/>
          <w:sz w:val="24"/>
          <w:szCs w:val="24"/>
        </w:rPr>
        <w:t xml:space="preserve"> </w:t>
      </w:r>
      <w:r w:rsidRPr="00FB5A28">
        <w:rPr>
          <w:rFonts w:ascii="Times New Roman" w:hAnsi="Times New Roman"/>
          <w:sz w:val="24"/>
          <w:szCs w:val="24"/>
        </w:rPr>
        <w:t>улог</w:t>
      </w:r>
      <w:r w:rsidR="008E7454" w:rsidRPr="00FB5A28">
        <w:rPr>
          <w:rFonts w:ascii="Times New Roman" w:hAnsi="Times New Roman"/>
          <w:sz w:val="24"/>
          <w:szCs w:val="24"/>
        </w:rPr>
        <w:t xml:space="preserve"> </w:t>
      </w:r>
      <w:r w:rsidRPr="00FB5A28">
        <w:rPr>
          <w:rFonts w:ascii="Times New Roman" w:hAnsi="Times New Roman"/>
          <w:sz w:val="24"/>
          <w:szCs w:val="24"/>
        </w:rPr>
        <w:t>уносе</w:t>
      </w:r>
      <w:r w:rsidR="008E7454" w:rsidRPr="00FB5A28">
        <w:rPr>
          <w:rFonts w:ascii="Times New Roman" w:hAnsi="Times New Roman"/>
          <w:sz w:val="24"/>
          <w:szCs w:val="24"/>
        </w:rPr>
        <w:t xml:space="preserve"> </w:t>
      </w:r>
      <w:r w:rsidRPr="00FB5A28">
        <w:rPr>
          <w:rFonts w:ascii="Times New Roman" w:hAnsi="Times New Roman"/>
          <w:sz w:val="24"/>
          <w:szCs w:val="24"/>
        </w:rPr>
        <w:t>се</w:t>
      </w:r>
      <w:r w:rsidR="008E7454" w:rsidRPr="00FB5A28">
        <w:rPr>
          <w:rFonts w:ascii="Times New Roman" w:hAnsi="Times New Roman"/>
          <w:sz w:val="24"/>
          <w:szCs w:val="24"/>
        </w:rPr>
        <w:t xml:space="preserve"> </w:t>
      </w:r>
      <w:r w:rsidRPr="00FB5A28">
        <w:rPr>
          <w:rFonts w:ascii="Times New Roman" w:hAnsi="Times New Roman"/>
          <w:sz w:val="24"/>
          <w:szCs w:val="24"/>
        </w:rPr>
        <w:t>у</w:t>
      </w:r>
      <w:r w:rsidR="008E7454" w:rsidRPr="00FB5A28">
        <w:rPr>
          <w:rFonts w:ascii="Times New Roman" w:hAnsi="Times New Roman"/>
          <w:sz w:val="24"/>
          <w:szCs w:val="24"/>
        </w:rPr>
        <w:t xml:space="preserve"> </w:t>
      </w:r>
      <w:r w:rsidRPr="00FB5A28">
        <w:rPr>
          <w:rFonts w:ascii="Times New Roman" w:hAnsi="Times New Roman"/>
          <w:sz w:val="24"/>
          <w:szCs w:val="24"/>
        </w:rPr>
        <w:t>року</w:t>
      </w:r>
      <w:r w:rsidR="008E7454" w:rsidRPr="00FB5A28">
        <w:rPr>
          <w:rFonts w:ascii="Times New Roman" w:hAnsi="Times New Roman"/>
          <w:sz w:val="24"/>
          <w:szCs w:val="24"/>
        </w:rPr>
        <w:t xml:space="preserve"> </w:t>
      </w:r>
      <w:r w:rsidRPr="00FB5A28">
        <w:rPr>
          <w:rFonts w:ascii="Times New Roman" w:hAnsi="Times New Roman"/>
          <w:sz w:val="24"/>
          <w:szCs w:val="24"/>
        </w:rPr>
        <w:t>одређеним</w:t>
      </w:r>
      <w:r w:rsidR="008E7454" w:rsidRPr="00FB5A28">
        <w:rPr>
          <w:rFonts w:ascii="Times New Roman" w:hAnsi="Times New Roman"/>
          <w:sz w:val="24"/>
          <w:szCs w:val="24"/>
        </w:rPr>
        <w:t xml:space="preserve"> </w:t>
      </w:r>
      <w:r w:rsidRPr="00FB5A28">
        <w:rPr>
          <w:rFonts w:ascii="Times New Roman" w:hAnsi="Times New Roman"/>
          <w:sz w:val="24"/>
          <w:szCs w:val="24"/>
        </w:rPr>
        <w:t>оснивачким</w:t>
      </w:r>
      <w:r w:rsidR="008E7454" w:rsidRPr="00FB5A28">
        <w:rPr>
          <w:rFonts w:ascii="Times New Roman" w:hAnsi="Times New Roman"/>
          <w:sz w:val="24"/>
          <w:szCs w:val="24"/>
        </w:rPr>
        <w:t xml:space="preserve"> </w:t>
      </w:r>
      <w:r w:rsidRPr="00FB5A28">
        <w:rPr>
          <w:rFonts w:ascii="Times New Roman" w:hAnsi="Times New Roman"/>
          <w:sz w:val="24"/>
          <w:szCs w:val="24"/>
        </w:rPr>
        <w:t>актом</w:t>
      </w:r>
      <w:r w:rsidR="00FB5A28">
        <w:rPr>
          <w:rFonts w:ascii="Times New Roman" w:hAnsi="Times New Roman"/>
          <w:sz w:val="24"/>
          <w:szCs w:val="24"/>
          <w:lang w:val="sr-Cyrl-CS"/>
        </w:rPr>
        <w:t>.</w:t>
      </w:r>
    </w:p>
    <w:p w:rsidR="00171709" w:rsidRPr="00FB5A28" w:rsidRDefault="00167C13" w:rsidP="00FB5A28">
      <w:pPr>
        <w:ind w:firstLine="360"/>
        <w:jc w:val="both"/>
        <w:rPr>
          <w:rFonts w:ascii="Times New Roman" w:hAnsi="Times New Roman"/>
          <w:sz w:val="24"/>
          <w:szCs w:val="24"/>
          <w:lang w:val="sr-Cyrl-CS"/>
        </w:rPr>
      </w:pPr>
      <w:r w:rsidRPr="00FB5A28">
        <w:rPr>
          <w:rFonts w:ascii="Times New Roman" w:hAnsi="Times New Roman"/>
          <w:sz w:val="24"/>
          <w:szCs w:val="24"/>
        </w:rPr>
        <w:t>Обвезник</w:t>
      </w:r>
      <w:r w:rsidR="00171709" w:rsidRPr="00FB5A28">
        <w:rPr>
          <w:rFonts w:ascii="Times New Roman" w:hAnsi="Times New Roman"/>
          <w:sz w:val="24"/>
          <w:szCs w:val="24"/>
        </w:rPr>
        <w:t xml:space="preserve"> </w:t>
      </w:r>
      <w:r w:rsidRPr="00FB5A28">
        <w:rPr>
          <w:rFonts w:ascii="Times New Roman" w:hAnsi="Times New Roman"/>
          <w:sz w:val="24"/>
          <w:szCs w:val="24"/>
        </w:rPr>
        <w:t>који</w:t>
      </w:r>
      <w:r w:rsidR="00171709" w:rsidRPr="00FB5A28">
        <w:rPr>
          <w:rFonts w:ascii="Times New Roman" w:hAnsi="Times New Roman"/>
          <w:sz w:val="24"/>
          <w:szCs w:val="24"/>
        </w:rPr>
        <w:t xml:space="preserve"> </w:t>
      </w:r>
      <w:r w:rsidRPr="00FB5A28">
        <w:rPr>
          <w:rFonts w:ascii="Times New Roman" w:hAnsi="Times New Roman"/>
          <w:sz w:val="24"/>
          <w:szCs w:val="24"/>
        </w:rPr>
        <w:t>је</w:t>
      </w:r>
      <w:r w:rsidR="00171709" w:rsidRPr="00FB5A28">
        <w:rPr>
          <w:rFonts w:ascii="Times New Roman" w:hAnsi="Times New Roman"/>
          <w:sz w:val="24"/>
          <w:szCs w:val="24"/>
        </w:rPr>
        <w:t xml:space="preserve"> </w:t>
      </w:r>
      <w:r w:rsidRPr="00FB5A28">
        <w:rPr>
          <w:rFonts w:ascii="Times New Roman" w:hAnsi="Times New Roman"/>
          <w:sz w:val="24"/>
          <w:szCs w:val="24"/>
        </w:rPr>
        <w:t>остварио</w:t>
      </w:r>
      <w:r w:rsidR="00171709" w:rsidRPr="00FB5A28">
        <w:rPr>
          <w:rFonts w:ascii="Times New Roman" w:hAnsi="Times New Roman"/>
          <w:sz w:val="24"/>
          <w:szCs w:val="24"/>
        </w:rPr>
        <w:t xml:space="preserve"> </w:t>
      </w:r>
      <w:r w:rsidRPr="00FB5A28">
        <w:rPr>
          <w:rFonts w:ascii="Times New Roman" w:hAnsi="Times New Roman"/>
          <w:sz w:val="24"/>
          <w:szCs w:val="24"/>
        </w:rPr>
        <w:t>право</w:t>
      </w:r>
      <w:r w:rsidR="00171709" w:rsidRPr="00FB5A28">
        <w:rPr>
          <w:rFonts w:ascii="Times New Roman" w:hAnsi="Times New Roman"/>
          <w:sz w:val="24"/>
          <w:szCs w:val="24"/>
        </w:rPr>
        <w:t xml:space="preserve"> </w:t>
      </w:r>
      <w:r w:rsidRPr="00FB5A28">
        <w:rPr>
          <w:rFonts w:ascii="Times New Roman" w:hAnsi="Times New Roman"/>
          <w:sz w:val="24"/>
          <w:szCs w:val="24"/>
        </w:rPr>
        <w:t>на</w:t>
      </w:r>
      <w:r w:rsidR="00171709" w:rsidRPr="00FB5A28">
        <w:rPr>
          <w:rFonts w:ascii="Times New Roman" w:hAnsi="Times New Roman"/>
          <w:sz w:val="24"/>
          <w:szCs w:val="24"/>
        </w:rPr>
        <w:t xml:space="preserve"> </w:t>
      </w:r>
      <w:r w:rsidRPr="00FB5A28">
        <w:rPr>
          <w:rFonts w:ascii="Times New Roman" w:hAnsi="Times New Roman"/>
          <w:sz w:val="24"/>
          <w:szCs w:val="24"/>
        </w:rPr>
        <w:t>одбитак</w:t>
      </w:r>
      <w:r w:rsidR="00171709" w:rsidRPr="00FB5A28">
        <w:rPr>
          <w:rFonts w:ascii="Times New Roman" w:hAnsi="Times New Roman"/>
          <w:sz w:val="24"/>
          <w:szCs w:val="24"/>
        </w:rPr>
        <w:t xml:space="preserve"> </w:t>
      </w:r>
      <w:r w:rsidRPr="00FB5A28">
        <w:rPr>
          <w:rFonts w:ascii="Times New Roman" w:hAnsi="Times New Roman"/>
          <w:sz w:val="24"/>
          <w:szCs w:val="24"/>
        </w:rPr>
        <w:t>претходног</w:t>
      </w:r>
      <w:r w:rsidR="00171709" w:rsidRPr="00FB5A28">
        <w:rPr>
          <w:rFonts w:ascii="Times New Roman" w:hAnsi="Times New Roman"/>
          <w:sz w:val="24"/>
          <w:szCs w:val="24"/>
        </w:rPr>
        <w:t xml:space="preserve"> </w:t>
      </w:r>
      <w:r w:rsidRPr="00FB5A28">
        <w:rPr>
          <w:rFonts w:ascii="Times New Roman" w:hAnsi="Times New Roman"/>
          <w:sz w:val="24"/>
          <w:szCs w:val="24"/>
        </w:rPr>
        <w:t>пореза</w:t>
      </w:r>
      <w:r w:rsidR="00171709" w:rsidRPr="00FB5A28">
        <w:rPr>
          <w:rFonts w:ascii="Times New Roman" w:hAnsi="Times New Roman"/>
          <w:sz w:val="24"/>
          <w:szCs w:val="24"/>
        </w:rPr>
        <w:t xml:space="preserve"> </w:t>
      </w:r>
      <w:r w:rsidRPr="00FB5A28">
        <w:rPr>
          <w:rFonts w:ascii="Times New Roman" w:hAnsi="Times New Roman"/>
          <w:sz w:val="24"/>
          <w:szCs w:val="24"/>
        </w:rPr>
        <w:t>по</w:t>
      </w:r>
      <w:r w:rsidR="00171709" w:rsidRPr="00FB5A28">
        <w:rPr>
          <w:rFonts w:ascii="Times New Roman" w:hAnsi="Times New Roman"/>
          <w:sz w:val="24"/>
          <w:szCs w:val="24"/>
        </w:rPr>
        <w:t xml:space="preserve"> </w:t>
      </w:r>
      <w:r w:rsidRPr="00FB5A28">
        <w:rPr>
          <w:rFonts w:ascii="Times New Roman" w:hAnsi="Times New Roman"/>
          <w:sz w:val="24"/>
          <w:szCs w:val="24"/>
        </w:rPr>
        <w:t>основу</w:t>
      </w:r>
      <w:r w:rsidR="00171709" w:rsidRPr="00FB5A28">
        <w:rPr>
          <w:rFonts w:ascii="Times New Roman" w:hAnsi="Times New Roman"/>
          <w:sz w:val="24"/>
          <w:szCs w:val="24"/>
        </w:rPr>
        <w:t xml:space="preserve"> </w:t>
      </w:r>
      <w:r w:rsidRPr="00FB5A28">
        <w:rPr>
          <w:rFonts w:ascii="Times New Roman" w:hAnsi="Times New Roman"/>
          <w:sz w:val="24"/>
          <w:szCs w:val="24"/>
        </w:rPr>
        <w:t>набавке</w:t>
      </w:r>
      <w:r w:rsidR="00171709" w:rsidRPr="00FB5A28">
        <w:rPr>
          <w:rFonts w:ascii="Times New Roman" w:hAnsi="Times New Roman"/>
          <w:sz w:val="24"/>
          <w:szCs w:val="24"/>
        </w:rPr>
        <w:t xml:space="preserve"> </w:t>
      </w:r>
      <w:r w:rsidRPr="00FB5A28">
        <w:rPr>
          <w:rFonts w:ascii="Times New Roman" w:hAnsi="Times New Roman"/>
          <w:sz w:val="24"/>
          <w:szCs w:val="24"/>
        </w:rPr>
        <w:t>опреме</w:t>
      </w:r>
      <w:r w:rsidR="00171709" w:rsidRPr="00FB5A28">
        <w:rPr>
          <w:rFonts w:ascii="Times New Roman" w:hAnsi="Times New Roman"/>
          <w:sz w:val="24"/>
          <w:szCs w:val="24"/>
        </w:rPr>
        <w:t xml:space="preserve"> </w:t>
      </w:r>
      <w:r w:rsidRPr="00FB5A28">
        <w:rPr>
          <w:rFonts w:ascii="Times New Roman" w:hAnsi="Times New Roman"/>
          <w:sz w:val="24"/>
          <w:szCs w:val="24"/>
        </w:rPr>
        <w:t>и</w:t>
      </w:r>
      <w:r w:rsidR="00171709" w:rsidRPr="00FB5A28">
        <w:rPr>
          <w:rFonts w:ascii="Times New Roman" w:hAnsi="Times New Roman"/>
          <w:sz w:val="24"/>
          <w:szCs w:val="24"/>
        </w:rPr>
        <w:t xml:space="preserve"> </w:t>
      </w:r>
      <w:r w:rsidRPr="00FB5A28">
        <w:rPr>
          <w:rFonts w:ascii="Times New Roman" w:hAnsi="Times New Roman"/>
          <w:sz w:val="24"/>
          <w:szCs w:val="24"/>
        </w:rPr>
        <w:t>објеката</w:t>
      </w:r>
      <w:r w:rsidR="00171709" w:rsidRPr="00FB5A28">
        <w:rPr>
          <w:rFonts w:ascii="Times New Roman" w:hAnsi="Times New Roman"/>
          <w:sz w:val="24"/>
          <w:szCs w:val="24"/>
        </w:rPr>
        <w:t xml:space="preserve"> </w:t>
      </w:r>
      <w:r w:rsidRPr="00FB5A28">
        <w:rPr>
          <w:rFonts w:ascii="Times New Roman" w:hAnsi="Times New Roman"/>
          <w:sz w:val="24"/>
          <w:szCs w:val="24"/>
        </w:rPr>
        <w:t>за</w:t>
      </w:r>
      <w:r w:rsidR="00171709" w:rsidRPr="00FB5A28">
        <w:rPr>
          <w:rFonts w:ascii="Times New Roman" w:hAnsi="Times New Roman"/>
          <w:sz w:val="24"/>
          <w:szCs w:val="24"/>
        </w:rPr>
        <w:t xml:space="preserve"> </w:t>
      </w:r>
      <w:r w:rsidRPr="00FB5A28">
        <w:rPr>
          <w:rFonts w:ascii="Times New Roman" w:hAnsi="Times New Roman"/>
          <w:sz w:val="24"/>
          <w:szCs w:val="24"/>
        </w:rPr>
        <w:t>вршење</w:t>
      </w:r>
      <w:r w:rsidR="00171709" w:rsidRPr="00FB5A28">
        <w:rPr>
          <w:rFonts w:ascii="Times New Roman" w:hAnsi="Times New Roman"/>
          <w:sz w:val="24"/>
          <w:szCs w:val="24"/>
        </w:rPr>
        <w:t xml:space="preserve"> </w:t>
      </w:r>
      <w:r w:rsidRPr="00FB5A28">
        <w:rPr>
          <w:rFonts w:ascii="Times New Roman" w:hAnsi="Times New Roman"/>
          <w:sz w:val="24"/>
          <w:szCs w:val="24"/>
        </w:rPr>
        <w:t>делатности</w:t>
      </w:r>
      <w:r w:rsidR="00171709" w:rsidRPr="00FB5A28">
        <w:rPr>
          <w:rFonts w:ascii="Times New Roman" w:hAnsi="Times New Roman"/>
          <w:sz w:val="24"/>
          <w:szCs w:val="24"/>
        </w:rPr>
        <w:t xml:space="preserve">, </w:t>
      </w:r>
      <w:r w:rsidRPr="00FB5A28">
        <w:rPr>
          <w:rFonts w:ascii="Times New Roman" w:hAnsi="Times New Roman"/>
          <w:sz w:val="24"/>
          <w:szCs w:val="24"/>
        </w:rPr>
        <w:t>као</w:t>
      </w:r>
      <w:r w:rsidR="00171709" w:rsidRPr="00FB5A28">
        <w:rPr>
          <w:rFonts w:ascii="Times New Roman" w:hAnsi="Times New Roman"/>
          <w:sz w:val="24"/>
          <w:szCs w:val="24"/>
        </w:rPr>
        <w:t xml:space="preserve"> </w:t>
      </w:r>
      <w:r w:rsidRPr="00FB5A28">
        <w:rPr>
          <w:rFonts w:ascii="Times New Roman" w:hAnsi="Times New Roman"/>
          <w:sz w:val="24"/>
          <w:szCs w:val="24"/>
        </w:rPr>
        <w:t>и</w:t>
      </w:r>
      <w:r w:rsidR="00171709" w:rsidRPr="00FB5A28">
        <w:rPr>
          <w:rFonts w:ascii="Times New Roman" w:hAnsi="Times New Roman"/>
          <w:sz w:val="24"/>
          <w:szCs w:val="24"/>
        </w:rPr>
        <w:t xml:space="preserve"> </w:t>
      </w:r>
      <w:r w:rsidRPr="00FB5A28">
        <w:rPr>
          <w:rFonts w:ascii="Times New Roman" w:hAnsi="Times New Roman"/>
          <w:sz w:val="24"/>
          <w:szCs w:val="24"/>
        </w:rPr>
        <w:t>улагања</w:t>
      </w:r>
      <w:r w:rsidR="00171709" w:rsidRPr="00FB5A28">
        <w:rPr>
          <w:rFonts w:ascii="Times New Roman" w:hAnsi="Times New Roman"/>
          <w:sz w:val="24"/>
          <w:szCs w:val="24"/>
        </w:rPr>
        <w:t xml:space="preserve"> </w:t>
      </w:r>
      <w:r w:rsidRPr="00FB5A28">
        <w:rPr>
          <w:rFonts w:ascii="Times New Roman" w:hAnsi="Times New Roman"/>
          <w:sz w:val="24"/>
          <w:szCs w:val="24"/>
        </w:rPr>
        <w:t>у</w:t>
      </w:r>
      <w:r w:rsidR="00171709" w:rsidRPr="00FB5A28">
        <w:rPr>
          <w:rFonts w:ascii="Times New Roman" w:hAnsi="Times New Roman"/>
          <w:sz w:val="24"/>
          <w:szCs w:val="24"/>
        </w:rPr>
        <w:t xml:space="preserve"> </w:t>
      </w:r>
      <w:r w:rsidRPr="00FB5A28">
        <w:rPr>
          <w:rFonts w:ascii="Times New Roman" w:hAnsi="Times New Roman"/>
          <w:sz w:val="24"/>
          <w:szCs w:val="24"/>
        </w:rPr>
        <w:t>сопствене</w:t>
      </w:r>
      <w:r w:rsidR="00171709" w:rsidRPr="00FB5A28">
        <w:rPr>
          <w:rFonts w:ascii="Times New Roman" w:hAnsi="Times New Roman"/>
          <w:sz w:val="24"/>
          <w:szCs w:val="24"/>
        </w:rPr>
        <w:t xml:space="preserve"> </w:t>
      </w:r>
      <w:r w:rsidRPr="00FB5A28">
        <w:rPr>
          <w:rFonts w:ascii="Times New Roman" w:hAnsi="Times New Roman"/>
          <w:sz w:val="24"/>
          <w:szCs w:val="24"/>
        </w:rPr>
        <w:t>или</w:t>
      </w:r>
      <w:r w:rsidR="00171709" w:rsidRPr="00FB5A28">
        <w:rPr>
          <w:rFonts w:ascii="Times New Roman" w:hAnsi="Times New Roman"/>
          <w:sz w:val="24"/>
          <w:szCs w:val="24"/>
        </w:rPr>
        <w:t xml:space="preserve"> </w:t>
      </w:r>
      <w:r w:rsidRPr="00FB5A28">
        <w:rPr>
          <w:rFonts w:ascii="Times New Roman" w:hAnsi="Times New Roman"/>
          <w:sz w:val="24"/>
          <w:szCs w:val="24"/>
        </w:rPr>
        <w:t>туђе</w:t>
      </w:r>
      <w:r w:rsidR="00171709" w:rsidRPr="00FB5A28">
        <w:rPr>
          <w:rFonts w:ascii="Times New Roman" w:hAnsi="Times New Roman"/>
          <w:sz w:val="24"/>
          <w:szCs w:val="24"/>
        </w:rPr>
        <w:t xml:space="preserve"> </w:t>
      </w:r>
      <w:r w:rsidRPr="00FB5A28">
        <w:rPr>
          <w:rFonts w:ascii="Times New Roman" w:hAnsi="Times New Roman"/>
          <w:sz w:val="24"/>
          <w:szCs w:val="24"/>
        </w:rPr>
        <w:t>објекте</w:t>
      </w:r>
      <w:r w:rsidR="00171709" w:rsidRPr="00FB5A28">
        <w:rPr>
          <w:rFonts w:ascii="Times New Roman" w:hAnsi="Times New Roman"/>
          <w:sz w:val="24"/>
          <w:szCs w:val="24"/>
        </w:rPr>
        <w:t xml:space="preserve">, </w:t>
      </w:r>
      <w:r w:rsidRPr="00FB5A28">
        <w:rPr>
          <w:rFonts w:ascii="Times New Roman" w:hAnsi="Times New Roman"/>
          <w:sz w:val="24"/>
          <w:szCs w:val="24"/>
        </w:rPr>
        <w:t>осим</w:t>
      </w:r>
      <w:r w:rsidR="00171709" w:rsidRPr="00FB5A28">
        <w:rPr>
          <w:rFonts w:ascii="Times New Roman" w:hAnsi="Times New Roman"/>
          <w:sz w:val="24"/>
          <w:szCs w:val="24"/>
        </w:rPr>
        <w:t xml:space="preserve"> </w:t>
      </w:r>
      <w:r w:rsidRPr="00FB5A28">
        <w:rPr>
          <w:rFonts w:ascii="Times New Roman" w:hAnsi="Times New Roman"/>
          <w:sz w:val="24"/>
          <w:szCs w:val="24"/>
        </w:rPr>
        <w:t>улагања</w:t>
      </w:r>
      <w:r w:rsidR="00171709" w:rsidRPr="00FB5A28">
        <w:rPr>
          <w:rFonts w:ascii="Times New Roman" w:hAnsi="Times New Roman"/>
          <w:sz w:val="24"/>
          <w:szCs w:val="24"/>
        </w:rPr>
        <w:t xml:space="preserve"> </w:t>
      </w:r>
      <w:r w:rsidRPr="00FB5A28">
        <w:rPr>
          <w:rFonts w:ascii="Times New Roman" w:hAnsi="Times New Roman"/>
          <w:sz w:val="24"/>
          <w:szCs w:val="24"/>
        </w:rPr>
        <w:t>која</w:t>
      </w:r>
      <w:r w:rsidR="00171709" w:rsidRPr="00FB5A28">
        <w:rPr>
          <w:rFonts w:ascii="Times New Roman" w:hAnsi="Times New Roman"/>
          <w:sz w:val="24"/>
          <w:szCs w:val="24"/>
        </w:rPr>
        <w:t xml:space="preserve"> </w:t>
      </w:r>
      <w:r w:rsidRPr="00FB5A28">
        <w:rPr>
          <w:rFonts w:ascii="Times New Roman" w:hAnsi="Times New Roman"/>
          <w:sz w:val="24"/>
          <w:szCs w:val="24"/>
        </w:rPr>
        <w:t>се</w:t>
      </w:r>
      <w:r w:rsidR="00171709" w:rsidRPr="00FB5A28">
        <w:rPr>
          <w:rFonts w:ascii="Times New Roman" w:hAnsi="Times New Roman"/>
          <w:sz w:val="24"/>
          <w:szCs w:val="24"/>
        </w:rPr>
        <w:t xml:space="preserve"> </w:t>
      </w:r>
      <w:r w:rsidRPr="00FB5A28">
        <w:rPr>
          <w:rFonts w:ascii="Times New Roman" w:hAnsi="Times New Roman"/>
          <w:sz w:val="24"/>
          <w:szCs w:val="24"/>
        </w:rPr>
        <w:t>односе</w:t>
      </w:r>
      <w:r w:rsidR="00171709" w:rsidRPr="00FB5A28">
        <w:rPr>
          <w:rFonts w:ascii="Times New Roman" w:hAnsi="Times New Roman"/>
          <w:sz w:val="24"/>
          <w:szCs w:val="24"/>
        </w:rPr>
        <w:t xml:space="preserve"> </w:t>
      </w:r>
      <w:r w:rsidRPr="00FB5A28">
        <w:rPr>
          <w:rFonts w:ascii="Times New Roman" w:hAnsi="Times New Roman"/>
          <w:sz w:val="24"/>
          <w:szCs w:val="24"/>
        </w:rPr>
        <w:t>на</w:t>
      </w:r>
      <w:r w:rsidR="00171709" w:rsidRPr="00FB5A28">
        <w:rPr>
          <w:rFonts w:ascii="Times New Roman" w:hAnsi="Times New Roman"/>
          <w:sz w:val="24"/>
          <w:szCs w:val="24"/>
        </w:rPr>
        <w:t xml:space="preserve"> </w:t>
      </w:r>
      <w:r w:rsidRPr="00FB5A28">
        <w:rPr>
          <w:rFonts w:ascii="Times New Roman" w:hAnsi="Times New Roman"/>
          <w:sz w:val="24"/>
          <w:szCs w:val="24"/>
        </w:rPr>
        <w:t>редовно</w:t>
      </w:r>
      <w:r w:rsidR="00392BF2" w:rsidRPr="00FB5A28">
        <w:rPr>
          <w:rFonts w:ascii="Times New Roman" w:hAnsi="Times New Roman"/>
          <w:sz w:val="24"/>
          <w:szCs w:val="24"/>
        </w:rPr>
        <w:t xml:space="preserve"> </w:t>
      </w:r>
      <w:r w:rsidRPr="00FB5A28">
        <w:rPr>
          <w:rFonts w:ascii="Times New Roman" w:hAnsi="Times New Roman"/>
          <w:sz w:val="24"/>
          <w:szCs w:val="24"/>
        </w:rPr>
        <w:t>одржавање</w:t>
      </w:r>
      <w:r w:rsidR="00392BF2" w:rsidRPr="00FB5A28">
        <w:rPr>
          <w:rFonts w:ascii="Times New Roman" w:hAnsi="Times New Roman"/>
          <w:sz w:val="24"/>
          <w:szCs w:val="24"/>
        </w:rPr>
        <w:t xml:space="preserve"> </w:t>
      </w:r>
      <w:r w:rsidRPr="00FB5A28">
        <w:rPr>
          <w:rFonts w:ascii="Times New Roman" w:hAnsi="Times New Roman"/>
          <w:sz w:val="24"/>
          <w:szCs w:val="24"/>
        </w:rPr>
        <w:t>објеката</w:t>
      </w:r>
      <w:r w:rsidR="00171709" w:rsidRPr="00FB5A28">
        <w:rPr>
          <w:rFonts w:ascii="Times New Roman" w:hAnsi="Times New Roman"/>
          <w:sz w:val="24"/>
          <w:szCs w:val="24"/>
        </w:rPr>
        <w:t xml:space="preserve">, </w:t>
      </w:r>
      <w:r w:rsidRPr="00FB5A28">
        <w:rPr>
          <w:rFonts w:ascii="Times New Roman" w:hAnsi="Times New Roman"/>
          <w:sz w:val="24"/>
          <w:szCs w:val="24"/>
        </w:rPr>
        <w:t>дужан</w:t>
      </w:r>
      <w:r w:rsidR="00171709" w:rsidRPr="00FB5A28">
        <w:rPr>
          <w:rFonts w:ascii="Times New Roman" w:hAnsi="Times New Roman"/>
          <w:sz w:val="24"/>
          <w:szCs w:val="24"/>
        </w:rPr>
        <w:t xml:space="preserve"> </w:t>
      </w:r>
      <w:r w:rsidRPr="00FB5A28">
        <w:rPr>
          <w:rFonts w:ascii="Times New Roman" w:hAnsi="Times New Roman"/>
          <w:sz w:val="24"/>
          <w:szCs w:val="24"/>
        </w:rPr>
        <w:t>је</w:t>
      </w:r>
      <w:r w:rsidR="00171709" w:rsidRPr="00FB5A28">
        <w:rPr>
          <w:rFonts w:ascii="Times New Roman" w:hAnsi="Times New Roman"/>
          <w:sz w:val="24"/>
          <w:szCs w:val="24"/>
        </w:rPr>
        <w:t xml:space="preserve"> </w:t>
      </w:r>
      <w:r w:rsidRPr="00FB5A28">
        <w:rPr>
          <w:rFonts w:ascii="Times New Roman" w:hAnsi="Times New Roman"/>
          <w:sz w:val="24"/>
          <w:szCs w:val="24"/>
        </w:rPr>
        <w:t>да</w:t>
      </w:r>
      <w:r w:rsidR="00171709" w:rsidRPr="00FB5A28">
        <w:rPr>
          <w:rFonts w:ascii="Times New Roman" w:hAnsi="Times New Roman"/>
          <w:sz w:val="24"/>
          <w:szCs w:val="24"/>
        </w:rPr>
        <w:t xml:space="preserve"> </w:t>
      </w:r>
      <w:r w:rsidRPr="00FB5A28">
        <w:rPr>
          <w:rFonts w:ascii="Times New Roman" w:hAnsi="Times New Roman"/>
          <w:sz w:val="24"/>
          <w:szCs w:val="24"/>
        </w:rPr>
        <w:t>изврши</w:t>
      </w:r>
      <w:r w:rsidR="00171709" w:rsidRPr="00FB5A28">
        <w:rPr>
          <w:rFonts w:ascii="Times New Roman" w:hAnsi="Times New Roman"/>
          <w:sz w:val="24"/>
          <w:szCs w:val="24"/>
        </w:rPr>
        <w:t xml:space="preserve"> </w:t>
      </w:r>
      <w:r w:rsidRPr="00FB5A28">
        <w:rPr>
          <w:rFonts w:ascii="Times New Roman" w:hAnsi="Times New Roman"/>
          <w:sz w:val="24"/>
          <w:szCs w:val="24"/>
        </w:rPr>
        <w:t>исправку</w:t>
      </w:r>
      <w:r w:rsidR="00171709" w:rsidRPr="00FB5A28">
        <w:rPr>
          <w:rFonts w:ascii="Times New Roman" w:hAnsi="Times New Roman"/>
          <w:sz w:val="24"/>
          <w:szCs w:val="24"/>
        </w:rPr>
        <w:t xml:space="preserve"> </w:t>
      </w:r>
      <w:r w:rsidRPr="00FB5A28">
        <w:rPr>
          <w:rFonts w:ascii="Times New Roman" w:hAnsi="Times New Roman"/>
          <w:sz w:val="24"/>
          <w:szCs w:val="24"/>
        </w:rPr>
        <w:t>одбитка</w:t>
      </w:r>
      <w:r w:rsidR="00171709" w:rsidRPr="00FB5A28">
        <w:rPr>
          <w:rFonts w:ascii="Times New Roman" w:hAnsi="Times New Roman"/>
          <w:sz w:val="24"/>
          <w:szCs w:val="24"/>
        </w:rPr>
        <w:t xml:space="preserve"> </w:t>
      </w:r>
      <w:r w:rsidRPr="00FB5A28">
        <w:rPr>
          <w:rFonts w:ascii="Times New Roman" w:hAnsi="Times New Roman"/>
          <w:sz w:val="24"/>
          <w:szCs w:val="24"/>
        </w:rPr>
        <w:t>претходног</w:t>
      </w:r>
      <w:r w:rsidR="00171709" w:rsidRPr="00FB5A28">
        <w:rPr>
          <w:rFonts w:ascii="Times New Roman" w:hAnsi="Times New Roman"/>
          <w:sz w:val="24"/>
          <w:szCs w:val="24"/>
        </w:rPr>
        <w:t xml:space="preserve"> </w:t>
      </w:r>
      <w:r w:rsidRPr="00FB5A28">
        <w:rPr>
          <w:rFonts w:ascii="Times New Roman" w:hAnsi="Times New Roman"/>
          <w:sz w:val="24"/>
          <w:szCs w:val="24"/>
        </w:rPr>
        <w:t>пореза</w:t>
      </w:r>
      <w:r w:rsidR="00392BF2" w:rsidRPr="00FB5A28">
        <w:rPr>
          <w:rStyle w:val="FootnoteReference"/>
          <w:rFonts w:ascii="Times New Roman" w:hAnsi="Times New Roman"/>
          <w:color w:val="000000"/>
          <w:sz w:val="24"/>
          <w:szCs w:val="24"/>
        </w:rPr>
        <w:footnoteReference w:id="399"/>
      </w:r>
      <w:r w:rsidR="00171709" w:rsidRPr="00FB5A28">
        <w:rPr>
          <w:rFonts w:ascii="Times New Roman" w:hAnsi="Times New Roman"/>
          <w:sz w:val="24"/>
          <w:szCs w:val="24"/>
        </w:rPr>
        <w:t xml:space="preserve"> </w:t>
      </w:r>
      <w:r w:rsidRPr="00FB5A28">
        <w:rPr>
          <w:rFonts w:ascii="Times New Roman" w:hAnsi="Times New Roman"/>
          <w:sz w:val="24"/>
          <w:szCs w:val="24"/>
        </w:rPr>
        <w:t>ако</w:t>
      </w:r>
      <w:r w:rsidR="00171709" w:rsidRPr="00FB5A28">
        <w:rPr>
          <w:rFonts w:ascii="Times New Roman" w:hAnsi="Times New Roman"/>
          <w:sz w:val="24"/>
          <w:szCs w:val="24"/>
        </w:rPr>
        <w:t xml:space="preserve"> </w:t>
      </w:r>
      <w:r w:rsidRPr="00FB5A28">
        <w:rPr>
          <w:rFonts w:ascii="Times New Roman" w:hAnsi="Times New Roman"/>
          <w:sz w:val="24"/>
          <w:szCs w:val="24"/>
        </w:rPr>
        <w:t>престане</w:t>
      </w:r>
      <w:r w:rsidR="00171709" w:rsidRPr="00FB5A28">
        <w:rPr>
          <w:rFonts w:ascii="Times New Roman" w:hAnsi="Times New Roman"/>
          <w:sz w:val="24"/>
          <w:szCs w:val="24"/>
        </w:rPr>
        <w:t xml:space="preserve"> </w:t>
      </w:r>
      <w:r w:rsidRPr="00FB5A28">
        <w:rPr>
          <w:rFonts w:ascii="Times New Roman" w:hAnsi="Times New Roman"/>
          <w:sz w:val="24"/>
          <w:szCs w:val="24"/>
        </w:rPr>
        <w:t>да</w:t>
      </w:r>
      <w:r w:rsidR="00171709" w:rsidRPr="00FB5A28">
        <w:rPr>
          <w:rFonts w:ascii="Times New Roman" w:hAnsi="Times New Roman"/>
          <w:sz w:val="24"/>
          <w:szCs w:val="24"/>
        </w:rPr>
        <w:t xml:space="preserve"> </w:t>
      </w:r>
      <w:r w:rsidRPr="00FB5A28">
        <w:rPr>
          <w:rFonts w:ascii="Times New Roman" w:hAnsi="Times New Roman"/>
          <w:sz w:val="24"/>
          <w:szCs w:val="24"/>
        </w:rPr>
        <w:t>испуњава</w:t>
      </w:r>
      <w:r w:rsidR="00171709" w:rsidRPr="00FB5A28">
        <w:rPr>
          <w:rFonts w:ascii="Times New Roman" w:hAnsi="Times New Roman"/>
          <w:sz w:val="24"/>
          <w:szCs w:val="24"/>
        </w:rPr>
        <w:t xml:space="preserve"> </w:t>
      </w:r>
      <w:r w:rsidRPr="00FB5A28">
        <w:rPr>
          <w:rFonts w:ascii="Times New Roman" w:hAnsi="Times New Roman"/>
          <w:sz w:val="24"/>
          <w:szCs w:val="24"/>
        </w:rPr>
        <w:t>услове</w:t>
      </w:r>
      <w:r w:rsidR="00171709" w:rsidRPr="00FB5A28">
        <w:rPr>
          <w:rFonts w:ascii="Times New Roman" w:hAnsi="Times New Roman"/>
          <w:sz w:val="24"/>
          <w:szCs w:val="24"/>
        </w:rPr>
        <w:t xml:space="preserve"> </w:t>
      </w:r>
      <w:r w:rsidRPr="00FB5A28">
        <w:rPr>
          <w:rFonts w:ascii="Times New Roman" w:hAnsi="Times New Roman"/>
          <w:sz w:val="24"/>
          <w:szCs w:val="24"/>
        </w:rPr>
        <w:t>за</w:t>
      </w:r>
      <w:r w:rsidR="00171709" w:rsidRPr="00FB5A28">
        <w:rPr>
          <w:rFonts w:ascii="Times New Roman" w:hAnsi="Times New Roman"/>
          <w:sz w:val="24"/>
          <w:szCs w:val="24"/>
        </w:rPr>
        <w:t xml:space="preserve"> </w:t>
      </w:r>
      <w:r w:rsidRPr="00FB5A28">
        <w:rPr>
          <w:rFonts w:ascii="Times New Roman" w:hAnsi="Times New Roman"/>
          <w:sz w:val="24"/>
          <w:szCs w:val="24"/>
        </w:rPr>
        <w:t>остваривање</w:t>
      </w:r>
      <w:r w:rsidR="00171709" w:rsidRPr="00FB5A28">
        <w:rPr>
          <w:rFonts w:ascii="Times New Roman" w:hAnsi="Times New Roman"/>
          <w:sz w:val="24"/>
          <w:szCs w:val="24"/>
        </w:rPr>
        <w:t xml:space="preserve"> </w:t>
      </w:r>
      <w:r w:rsidRPr="00FB5A28">
        <w:rPr>
          <w:rFonts w:ascii="Times New Roman" w:hAnsi="Times New Roman"/>
          <w:sz w:val="24"/>
          <w:szCs w:val="24"/>
        </w:rPr>
        <w:t>овог</w:t>
      </w:r>
      <w:r w:rsidR="00171709" w:rsidRPr="00FB5A28">
        <w:rPr>
          <w:rFonts w:ascii="Times New Roman" w:hAnsi="Times New Roman"/>
          <w:sz w:val="24"/>
          <w:szCs w:val="24"/>
        </w:rPr>
        <w:t xml:space="preserve"> </w:t>
      </w:r>
      <w:r w:rsidRPr="00FB5A28">
        <w:rPr>
          <w:rFonts w:ascii="Times New Roman" w:hAnsi="Times New Roman"/>
          <w:sz w:val="24"/>
          <w:szCs w:val="24"/>
        </w:rPr>
        <w:t>права</w:t>
      </w:r>
      <w:r w:rsidR="00171709" w:rsidRPr="00FB5A28">
        <w:rPr>
          <w:rFonts w:ascii="Times New Roman" w:hAnsi="Times New Roman"/>
          <w:sz w:val="24"/>
          <w:szCs w:val="24"/>
        </w:rPr>
        <w:t xml:space="preserve">, </w:t>
      </w:r>
      <w:r w:rsidRPr="00FB5A28">
        <w:rPr>
          <w:rFonts w:ascii="Times New Roman" w:hAnsi="Times New Roman"/>
          <w:sz w:val="24"/>
          <w:szCs w:val="24"/>
        </w:rPr>
        <w:t>и</w:t>
      </w:r>
      <w:r w:rsidR="00171709" w:rsidRPr="00FB5A28">
        <w:rPr>
          <w:rFonts w:ascii="Times New Roman" w:hAnsi="Times New Roman"/>
          <w:sz w:val="24"/>
          <w:szCs w:val="24"/>
        </w:rPr>
        <w:t xml:space="preserve"> </w:t>
      </w:r>
      <w:r w:rsidRPr="00FB5A28">
        <w:rPr>
          <w:rFonts w:ascii="Times New Roman" w:hAnsi="Times New Roman"/>
          <w:sz w:val="24"/>
          <w:szCs w:val="24"/>
        </w:rPr>
        <w:t>то</w:t>
      </w:r>
      <w:r w:rsidR="00171709" w:rsidRPr="00FB5A28">
        <w:rPr>
          <w:rFonts w:ascii="Times New Roman" w:hAnsi="Times New Roman"/>
          <w:sz w:val="24"/>
          <w:szCs w:val="24"/>
        </w:rPr>
        <w:t xml:space="preserve"> </w:t>
      </w:r>
      <w:r w:rsidRPr="00FB5A28">
        <w:rPr>
          <w:rFonts w:ascii="Times New Roman" w:hAnsi="Times New Roman"/>
          <w:sz w:val="24"/>
          <w:szCs w:val="24"/>
        </w:rPr>
        <w:t>у</w:t>
      </w:r>
      <w:r w:rsidR="00171709" w:rsidRPr="00FB5A28">
        <w:rPr>
          <w:rFonts w:ascii="Times New Roman" w:hAnsi="Times New Roman"/>
          <w:sz w:val="24"/>
          <w:szCs w:val="24"/>
        </w:rPr>
        <w:t xml:space="preserve"> </w:t>
      </w:r>
      <w:r w:rsidRPr="00FB5A28">
        <w:rPr>
          <w:rFonts w:ascii="Times New Roman" w:hAnsi="Times New Roman"/>
          <w:sz w:val="24"/>
          <w:szCs w:val="24"/>
        </w:rPr>
        <w:t>року</w:t>
      </w:r>
      <w:r w:rsidR="00171709" w:rsidRPr="00FB5A28">
        <w:rPr>
          <w:rFonts w:ascii="Times New Roman" w:hAnsi="Times New Roman"/>
          <w:sz w:val="24"/>
          <w:szCs w:val="24"/>
        </w:rPr>
        <w:t xml:space="preserve"> </w:t>
      </w:r>
      <w:r w:rsidRPr="00FB5A28">
        <w:rPr>
          <w:rFonts w:ascii="Times New Roman" w:hAnsi="Times New Roman"/>
          <w:sz w:val="24"/>
          <w:szCs w:val="24"/>
        </w:rPr>
        <w:t>краћем</w:t>
      </w:r>
      <w:r w:rsidR="00171709" w:rsidRPr="00FB5A28">
        <w:rPr>
          <w:rFonts w:ascii="Times New Roman" w:hAnsi="Times New Roman"/>
          <w:sz w:val="24"/>
          <w:szCs w:val="24"/>
        </w:rPr>
        <w:t xml:space="preserve"> </w:t>
      </w:r>
      <w:r w:rsidRPr="00FB5A28">
        <w:rPr>
          <w:rFonts w:ascii="Times New Roman" w:hAnsi="Times New Roman"/>
          <w:sz w:val="24"/>
          <w:szCs w:val="24"/>
        </w:rPr>
        <w:t>од</w:t>
      </w:r>
      <w:r w:rsidR="00171709" w:rsidRPr="00FB5A28">
        <w:rPr>
          <w:rFonts w:ascii="Times New Roman" w:hAnsi="Times New Roman"/>
          <w:sz w:val="24"/>
          <w:szCs w:val="24"/>
        </w:rPr>
        <w:t xml:space="preserve"> </w:t>
      </w:r>
      <w:r w:rsidRPr="00FB5A28">
        <w:rPr>
          <w:rFonts w:ascii="Times New Roman" w:hAnsi="Times New Roman"/>
          <w:sz w:val="24"/>
          <w:szCs w:val="24"/>
        </w:rPr>
        <w:t>пет</w:t>
      </w:r>
      <w:r w:rsidR="00171709" w:rsidRPr="00FB5A28">
        <w:rPr>
          <w:rFonts w:ascii="Times New Roman" w:hAnsi="Times New Roman"/>
          <w:sz w:val="24"/>
          <w:szCs w:val="24"/>
        </w:rPr>
        <w:t xml:space="preserve"> </w:t>
      </w:r>
      <w:r w:rsidRPr="00FB5A28">
        <w:rPr>
          <w:rFonts w:ascii="Times New Roman" w:hAnsi="Times New Roman"/>
          <w:sz w:val="24"/>
          <w:szCs w:val="24"/>
        </w:rPr>
        <w:t>година</w:t>
      </w:r>
      <w:r w:rsidR="00171709" w:rsidRPr="00FB5A28">
        <w:rPr>
          <w:rFonts w:ascii="Times New Roman" w:hAnsi="Times New Roman"/>
          <w:sz w:val="24"/>
          <w:szCs w:val="24"/>
        </w:rPr>
        <w:t xml:space="preserve"> </w:t>
      </w:r>
      <w:r w:rsidRPr="00FB5A28">
        <w:rPr>
          <w:rFonts w:ascii="Times New Roman" w:hAnsi="Times New Roman"/>
          <w:sz w:val="24"/>
          <w:szCs w:val="24"/>
        </w:rPr>
        <w:t>од</w:t>
      </w:r>
      <w:r w:rsidR="00171709" w:rsidRPr="00FB5A28">
        <w:rPr>
          <w:rFonts w:ascii="Times New Roman" w:hAnsi="Times New Roman"/>
          <w:sz w:val="24"/>
          <w:szCs w:val="24"/>
        </w:rPr>
        <w:t xml:space="preserve"> </w:t>
      </w:r>
      <w:r w:rsidRPr="00FB5A28">
        <w:rPr>
          <w:rFonts w:ascii="Times New Roman" w:hAnsi="Times New Roman"/>
          <w:sz w:val="24"/>
          <w:szCs w:val="24"/>
        </w:rPr>
        <w:t>момента</w:t>
      </w:r>
      <w:r w:rsidR="00171709" w:rsidRPr="00FB5A28">
        <w:rPr>
          <w:rFonts w:ascii="Times New Roman" w:hAnsi="Times New Roman"/>
          <w:sz w:val="24"/>
          <w:szCs w:val="24"/>
        </w:rPr>
        <w:t xml:space="preserve"> </w:t>
      </w:r>
      <w:r w:rsidRPr="00FB5A28">
        <w:rPr>
          <w:rFonts w:ascii="Times New Roman" w:hAnsi="Times New Roman"/>
          <w:sz w:val="24"/>
          <w:szCs w:val="24"/>
        </w:rPr>
        <w:t>прве</w:t>
      </w:r>
      <w:r w:rsidR="00171709" w:rsidRPr="00FB5A28">
        <w:rPr>
          <w:rFonts w:ascii="Times New Roman" w:hAnsi="Times New Roman"/>
          <w:sz w:val="24"/>
          <w:szCs w:val="24"/>
        </w:rPr>
        <w:t xml:space="preserve"> </w:t>
      </w:r>
      <w:r w:rsidRPr="00FB5A28">
        <w:rPr>
          <w:rFonts w:ascii="Times New Roman" w:hAnsi="Times New Roman"/>
          <w:sz w:val="24"/>
          <w:szCs w:val="24"/>
        </w:rPr>
        <w:t>употребе</w:t>
      </w:r>
      <w:r w:rsidR="00171709" w:rsidRPr="00FB5A28">
        <w:rPr>
          <w:rFonts w:ascii="Times New Roman" w:hAnsi="Times New Roman"/>
          <w:sz w:val="24"/>
          <w:szCs w:val="24"/>
        </w:rPr>
        <w:t xml:space="preserve"> </w:t>
      </w:r>
      <w:r w:rsidRPr="00FB5A28">
        <w:rPr>
          <w:rFonts w:ascii="Times New Roman" w:hAnsi="Times New Roman"/>
          <w:sz w:val="24"/>
          <w:szCs w:val="24"/>
        </w:rPr>
        <w:t>за</w:t>
      </w:r>
      <w:r w:rsidR="00171709" w:rsidRPr="00FB5A28">
        <w:rPr>
          <w:rFonts w:ascii="Times New Roman" w:hAnsi="Times New Roman"/>
          <w:sz w:val="24"/>
          <w:szCs w:val="24"/>
        </w:rPr>
        <w:t xml:space="preserve"> </w:t>
      </w:r>
      <w:r w:rsidRPr="00FB5A28">
        <w:rPr>
          <w:rFonts w:ascii="Times New Roman" w:hAnsi="Times New Roman"/>
          <w:sz w:val="24"/>
          <w:szCs w:val="24"/>
        </w:rPr>
        <w:t>опрему</w:t>
      </w:r>
      <w:r w:rsidR="00171709" w:rsidRPr="00FB5A28">
        <w:rPr>
          <w:rFonts w:ascii="Times New Roman" w:hAnsi="Times New Roman"/>
          <w:sz w:val="24"/>
          <w:szCs w:val="24"/>
        </w:rPr>
        <w:t xml:space="preserve">, </w:t>
      </w:r>
      <w:r w:rsidRPr="00FB5A28">
        <w:rPr>
          <w:rFonts w:ascii="Times New Roman" w:hAnsi="Times New Roman"/>
          <w:sz w:val="24"/>
          <w:szCs w:val="24"/>
        </w:rPr>
        <w:t>десет</w:t>
      </w:r>
      <w:r w:rsidR="00171709" w:rsidRPr="00FB5A28">
        <w:rPr>
          <w:rFonts w:ascii="Times New Roman" w:hAnsi="Times New Roman"/>
          <w:sz w:val="24"/>
          <w:szCs w:val="24"/>
        </w:rPr>
        <w:t xml:space="preserve"> </w:t>
      </w:r>
      <w:r w:rsidRPr="00FB5A28">
        <w:rPr>
          <w:rFonts w:ascii="Times New Roman" w:hAnsi="Times New Roman"/>
          <w:sz w:val="24"/>
          <w:szCs w:val="24"/>
        </w:rPr>
        <w:t>година</w:t>
      </w:r>
      <w:r w:rsidR="00171709" w:rsidRPr="00FB5A28">
        <w:rPr>
          <w:rFonts w:ascii="Times New Roman" w:hAnsi="Times New Roman"/>
          <w:sz w:val="24"/>
          <w:szCs w:val="24"/>
        </w:rPr>
        <w:t xml:space="preserve"> </w:t>
      </w:r>
      <w:r w:rsidRPr="00FB5A28">
        <w:rPr>
          <w:rFonts w:ascii="Times New Roman" w:hAnsi="Times New Roman"/>
          <w:sz w:val="24"/>
          <w:szCs w:val="24"/>
        </w:rPr>
        <w:t>од</w:t>
      </w:r>
      <w:r w:rsidR="00171709" w:rsidRPr="00FB5A28">
        <w:rPr>
          <w:rFonts w:ascii="Times New Roman" w:hAnsi="Times New Roman"/>
          <w:sz w:val="24"/>
          <w:szCs w:val="24"/>
        </w:rPr>
        <w:t xml:space="preserve"> </w:t>
      </w:r>
      <w:r w:rsidRPr="00FB5A28">
        <w:rPr>
          <w:rFonts w:ascii="Times New Roman" w:hAnsi="Times New Roman"/>
          <w:sz w:val="24"/>
          <w:szCs w:val="24"/>
        </w:rPr>
        <w:t>момента</w:t>
      </w:r>
      <w:r w:rsidR="00171709" w:rsidRPr="00FB5A28">
        <w:rPr>
          <w:rFonts w:ascii="Times New Roman" w:hAnsi="Times New Roman"/>
          <w:sz w:val="24"/>
          <w:szCs w:val="24"/>
        </w:rPr>
        <w:t xml:space="preserve"> </w:t>
      </w:r>
      <w:r w:rsidRPr="00FB5A28">
        <w:rPr>
          <w:rFonts w:ascii="Times New Roman" w:hAnsi="Times New Roman"/>
          <w:sz w:val="24"/>
          <w:szCs w:val="24"/>
        </w:rPr>
        <w:t>прве</w:t>
      </w:r>
      <w:r w:rsidR="00171709" w:rsidRPr="00FB5A28">
        <w:rPr>
          <w:rFonts w:ascii="Times New Roman" w:hAnsi="Times New Roman"/>
          <w:sz w:val="24"/>
          <w:szCs w:val="24"/>
        </w:rPr>
        <w:t xml:space="preserve"> </w:t>
      </w:r>
      <w:r w:rsidRPr="00FB5A28">
        <w:rPr>
          <w:rFonts w:ascii="Times New Roman" w:hAnsi="Times New Roman"/>
          <w:sz w:val="24"/>
          <w:szCs w:val="24"/>
        </w:rPr>
        <w:t>употребе</w:t>
      </w:r>
      <w:r w:rsidR="00171709" w:rsidRPr="00FB5A28">
        <w:rPr>
          <w:rFonts w:ascii="Times New Roman" w:hAnsi="Times New Roman"/>
          <w:sz w:val="24"/>
          <w:szCs w:val="24"/>
        </w:rPr>
        <w:t xml:space="preserve"> </w:t>
      </w:r>
      <w:r w:rsidRPr="00FB5A28">
        <w:rPr>
          <w:rFonts w:ascii="Times New Roman" w:hAnsi="Times New Roman"/>
          <w:sz w:val="24"/>
          <w:szCs w:val="24"/>
        </w:rPr>
        <w:t>за</w:t>
      </w:r>
      <w:r w:rsidR="00171709" w:rsidRPr="00FB5A28">
        <w:rPr>
          <w:rFonts w:ascii="Times New Roman" w:hAnsi="Times New Roman"/>
          <w:sz w:val="24"/>
          <w:szCs w:val="24"/>
        </w:rPr>
        <w:t xml:space="preserve"> </w:t>
      </w:r>
      <w:r w:rsidRPr="00FB5A28">
        <w:rPr>
          <w:rFonts w:ascii="Times New Roman" w:hAnsi="Times New Roman"/>
          <w:sz w:val="24"/>
          <w:szCs w:val="24"/>
        </w:rPr>
        <w:t>објекте</w:t>
      </w:r>
      <w:r w:rsidR="00171709" w:rsidRPr="00FB5A28">
        <w:rPr>
          <w:rFonts w:ascii="Times New Roman" w:hAnsi="Times New Roman"/>
          <w:sz w:val="24"/>
          <w:szCs w:val="24"/>
        </w:rPr>
        <w:t xml:space="preserve">, </w:t>
      </w:r>
      <w:r w:rsidRPr="00FB5A28">
        <w:rPr>
          <w:rFonts w:ascii="Times New Roman" w:hAnsi="Times New Roman"/>
          <w:sz w:val="24"/>
          <w:szCs w:val="24"/>
        </w:rPr>
        <w:t>односно</w:t>
      </w:r>
      <w:r w:rsidR="00171709" w:rsidRPr="00FB5A28">
        <w:rPr>
          <w:rFonts w:ascii="Times New Roman" w:hAnsi="Times New Roman"/>
          <w:sz w:val="24"/>
          <w:szCs w:val="24"/>
        </w:rPr>
        <w:t xml:space="preserve"> </w:t>
      </w:r>
      <w:r w:rsidRPr="00FB5A28">
        <w:rPr>
          <w:rFonts w:ascii="Times New Roman" w:hAnsi="Times New Roman"/>
          <w:sz w:val="24"/>
          <w:szCs w:val="24"/>
        </w:rPr>
        <w:t>десет</w:t>
      </w:r>
      <w:r w:rsidR="00171709" w:rsidRPr="00FB5A28">
        <w:rPr>
          <w:rFonts w:ascii="Times New Roman" w:hAnsi="Times New Roman"/>
          <w:sz w:val="24"/>
          <w:szCs w:val="24"/>
        </w:rPr>
        <w:t xml:space="preserve"> </w:t>
      </w:r>
      <w:r w:rsidRPr="00FB5A28">
        <w:rPr>
          <w:rFonts w:ascii="Times New Roman" w:hAnsi="Times New Roman"/>
          <w:sz w:val="24"/>
          <w:szCs w:val="24"/>
        </w:rPr>
        <w:t>година</w:t>
      </w:r>
      <w:r w:rsidR="00171709" w:rsidRPr="00FB5A28">
        <w:rPr>
          <w:rFonts w:ascii="Times New Roman" w:hAnsi="Times New Roman"/>
          <w:sz w:val="24"/>
          <w:szCs w:val="24"/>
        </w:rPr>
        <w:t xml:space="preserve"> </w:t>
      </w:r>
      <w:r w:rsidRPr="00FB5A28">
        <w:rPr>
          <w:rFonts w:ascii="Times New Roman" w:hAnsi="Times New Roman"/>
          <w:sz w:val="24"/>
          <w:szCs w:val="24"/>
        </w:rPr>
        <w:t>од</w:t>
      </w:r>
      <w:r w:rsidR="00171709" w:rsidRPr="00FB5A28">
        <w:rPr>
          <w:rFonts w:ascii="Times New Roman" w:hAnsi="Times New Roman"/>
          <w:sz w:val="24"/>
          <w:szCs w:val="24"/>
        </w:rPr>
        <w:t xml:space="preserve"> </w:t>
      </w:r>
      <w:r w:rsidRPr="00FB5A28">
        <w:rPr>
          <w:rFonts w:ascii="Times New Roman" w:hAnsi="Times New Roman"/>
          <w:sz w:val="24"/>
          <w:szCs w:val="24"/>
        </w:rPr>
        <w:t>момента</w:t>
      </w:r>
      <w:r w:rsidR="00171709" w:rsidRPr="00FB5A28">
        <w:rPr>
          <w:rFonts w:ascii="Times New Roman" w:hAnsi="Times New Roman"/>
          <w:sz w:val="24"/>
          <w:szCs w:val="24"/>
        </w:rPr>
        <w:t xml:space="preserve"> </w:t>
      </w:r>
      <w:r w:rsidRPr="00FB5A28">
        <w:rPr>
          <w:rFonts w:ascii="Times New Roman" w:hAnsi="Times New Roman"/>
          <w:sz w:val="24"/>
          <w:szCs w:val="24"/>
        </w:rPr>
        <w:t>завршетка</w:t>
      </w:r>
      <w:r w:rsidR="00171709" w:rsidRPr="00FB5A28">
        <w:rPr>
          <w:rFonts w:ascii="Times New Roman" w:hAnsi="Times New Roman"/>
          <w:sz w:val="24"/>
          <w:szCs w:val="24"/>
        </w:rPr>
        <w:t xml:space="preserve"> </w:t>
      </w:r>
      <w:r w:rsidRPr="00FB5A28">
        <w:rPr>
          <w:rFonts w:ascii="Times New Roman" w:hAnsi="Times New Roman"/>
          <w:sz w:val="24"/>
          <w:szCs w:val="24"/>
        </w:rPr>
        <w:t>улагања</w:t>
      </w:r>
      <w:r w:rsidR="00171709" w:rsidRPr="00FB5A28">
        <w:rPr>
          <w:rFonts w:ascii="Times New Roman" w:hAnsi="Times New Roman"/>
          <w:sz w:val="24"/>
          <w:szCs w:val="24"/>
        </w:rPr>
        <w:t xml:space="preserve"> </w:t>
      </w:r>
      <w:r w:rsidRPr="00FB5A28">
        <w:rPr>
          <w:rFonts w:ascii="Times New Roman" w:hAnsi="Times New Roman"/>
          <w:sz w:val="24"/>
          <w:szCs w:val="24"/>
        </w:rPr>
        <w:t>у</w:t>
      </w:r>
      <w:r w:rsidR="00171709" w:rsidRPr="00FB5A28">
        <w:rPr>
          <w:rFonts w:ascii="Times New Roman" w:hAnsi="Times New Roman"/>
          <w:sz w:val="24"/>
          <w:szCs w:val="24"/>
        </w:rPr>
        <w:t xml:space="preserve"> </w:t>
      </w:r>
      <w:r w:rsidRPr="00FB5A28">
        <w:rPr>
          <w:rFonts w:ascii="Times New Roman" w:hAnsi="Times New Roman"/>
          <w:sz w:val="24"/>
          <w:szCs w:val="24"/>
        </w:rPr>
        <w:t>објекте</w:t>
      </w:r>
      <w:r w:rsidR="00171709" w:rsidRPr="00FB5A28">
        <w:rPr>
          <w:rFonts w:ascii="Times New Roman" w:hAnsi="Times New Roman"/>
          <w:sz w:val="24"/>
          <w:szCs w:val="24"/>
        </w:rPr>
        <w:t>.</w:t>
      </w:r>
      <w:r w:rsidR="00392BF2" w:rsidRPr="00FB5A28">
        <w:rPr>
          <w:rFonts w:ascii="Times New Roman" w:hAnsi="Times New Roman"/>
          <w:sz w:val="24"/>
          <w:szCs w:val="24"/>
          <w:lang w:val="sr-Cyrl-CS"/>
        </w:rPr>
        <w:t xml:space="preserve"> </w:t>
      </w:r>
    </w:p>
    <w:p w:rsidR="00392BF2" w:rsidRPr="00FB5A28" w:rsidRDefault="00167C13" w:rsidP="00FB5A28">
      <w:pPr>
        <w:ind w:firstLine="360"/>
        <w:jc w:val="both"/>
        <w:rPr>
          <w:rFonts w:ascii="Times New Roman" w:hAnsi="Times New Roman"/>
          <w:sz w:val="24"/>
          <w:szCs w:val="24"/>
          <w:lang w:val="sr-Cyrl-CS"/>
        </w:rPr>
      </w:pPr>
      <w:r w:rsidRPr="00FB5A28">
        <w:rPr>
          <w:rFonts w:ascii="Times New Roman" w:hAnsi="Times New Roman"/>
          <w:sz w:val="24"/>
          <w:szCs w:val="24"/>
        </w:rPr>
        <w:t>Исправка</w:t>
      </w:r>
      <w:r w:rsidR="00171709" w:rsidRPr="00FB5A28">
        <w:rPr>
          <w:rFonts w:ascii="Times New Roman" w:hAnsi="Times New Roman"/>
          <w:sz w:val="24"/>
          <w:szCs w:val="24"/>
        </w:rPr>
        <w:t xml:space="preserve"> </w:t>
      </w:r>
      <w:r w:rsidRPr="00FB5A28">
        <w:rPr>
          <w:rFonts w:ascii="Times New Roman" w:hAnsi="Times New Roman"/>
          <w:sz w:val="24"/>
          <w:szCs w:val="24"/>
        </w:rPr>
        <w:t>одбитка</w:t>
      </w:r>
      <w:r w:rsidR="00171709" w:rsidRPr="00FB5A28">
        <w:rPr>
          <w:rFonts w:ascii="Times New Roman" w:hAnsi="Times New Roman"/>
          <w:sz w:val="24"/>
          <w:szCs w:val="24"/>
        </w:rPr>
        <w:t xml:space="preserve"> </w:t>
      </w:r>
      <w:r w:rsidRPr="00FB5A28">
        <w:rPr>
          <w:rFonts w:ascii="Times New Roman" w:hAnsi="Times New Roman"/>
          <w:sz w:val="24"/>
          <w:szCs w:val="24"/>
        </w:rPr>
        <w:t>претходног</w:t>
      </w:r>
      <w:r w:rsidR="00171709" w:rsidRPr="00FB5A28">
        <w:rPr>
          <w:rFonts w:ascii="Times New Roman" w:hAnsi="Times New Roman"/>
          <w:sz w:val="24"/>
          <w:szCs w:val="24"/>
        </w:rPr>
        <w:t xml:space="preserve"> </w:t>
      </w:r>
      <w:r w:rsidRPr="00FB5A28">
        <w:rPr>
          <w:rFonts w:ascii="Times New Roman" w:hAnsi="Times New Roman"/>
          <w:sz w:val="24"/>
          <w:szCs w:val="24"/>
        </w:rPr>
        <w:t>пореза</w:t>
      </w:r>
      <w:r w:rsidR="00171709" w:rsidRPr="00FB5A28">
        <w:rPr>
          <w:rFonts w:ascii="Times New Roman" w:hAnsi="Times New Roman"/>
          <w:sz w:val="24"/>
          <w:szCs w:val="24"/>
        </w:rPr>
        <w:t xml:space="preserve"> </w:t>
      </w:r>
      <w:r w:rsidRPr="00FB5A28">
        <w:rPr>
          <w:rFonts w:ascii="Times New Roman" w:hAnsi="Times New Roman"/>
          <w:sz w:val="24"/>
          <w:szCs w:val="24"/>
        </w:rPr>
        <w:t>врши</w:t>
      </w:r>
      <w:r w:rsidR="00171709" w:rsidRPr="00FB5A28">
        <w:rPr>
          <w:rFonts w:ascii="Times New Roman" w:hAnsi="Times New Roman"/>
          <w:sz w:val="24"/>
          <w:szCs w:val="24"/>
        </w:rPr>
        <w:t xml:space="preserve"> </w:t>
      </w:r>
      <w:r w:rsidRPr="00FB5A28">
        <w:rPr>
          <w:rFonts w:ascii="Times New Roman" w:hAnsi="Times New Roman"/>
          <w:sz w:val="24"/>
          <w:szCs w:val="24"/>
        </w:rPr>
        <w:t>се</w:t>
      </w:r>
      <w:r w:rsidR="00171709" w:rsidRPr="00FB5A28">
        <w:rPr>
          <w:rFonts w:ascii="Times New Roman" w:hAnsi="Times New Roman"/>
          <w:sz w:val="24"/>
          <w:szCs w:val="24"/>
        </w:rPr>
        <w:t xml:space="preserve"> </w:t>
      </w:r>
      <w:r w:rsidR="00171709" w:rsidRPr="00FB5A28">
        <w:rPr>
          <w:rFonts w:ascii="Times New Roman" w:hAnsi="Times New Roman"/>
          <w:sz w:val="24"/>
          <w:szCs w:val="24"/>
          <w:lang w:val="sr-Cyrl-CS"/>
        </w:rPr>
        <w:t>за период који је једнак разлици између ових рокова и периода у којем је обвезник испуњавао услове за остваривање права на одбитак претходног пореза.</w:t>
      </w:r>
      <w:r w:rsidR="00FB5A28">
        <w:rPr>
          <w:rFonts w:ascii="Times New Roman" w:hAnsi="Times New Roman"/>
          <w:sz w:val="24"/>
          <w:szCs w:val="24"/>
          <w:lang w:val="sr-Cyrl-CS"/>
        </w:rPr>
        <w:t xml:space="preserve"> </w:t>
      </w:r>
    </w:p>
    <w:p w:rsidR="00171709" w:rsidRPr="00612C4D" w:rsidRDefault="00171709" w:rsidP="00612C4D">
      <w:pPr>
        <w:shd w:val="clear" w:color="auto" w:fill="FFFFFF"/>
        <w:spacing w:after="0" w:line="285" w:lineRule="atLeast"/>
        <w:ind w:firstLine="360"/>
        <w:jc w:val="both"/>
        <w:rPr>
          <w:rFonts w:ascii="Times New Roman" w:hAnsi="Times New Roman"/>
          <w:color w:val="000000"/>
          <w:sz w:val="24"/>
          <w:szCs w:val="24"/>
          <w:lang w:val="sr-Cyrl-CS"/>
        </w:rPr>
      </w:pPr>
      <w:r w:rsidRPr="00612C4D">
        <w:rPr>
          <w:rFonts w:ascii="Times New Roman" w:hAnsi="Times New Roman"/>
          <w:color w:val="000000"/>
          <w:sz w:val="24"/>
          <w:szCs w:val="24"/>
          <w:lang w:val="sr-Cyrl-CS"/>
        </w:rPr>
        <w:t>У случају да обвезник не изврши исправку одбитка претходног пореза истицање претходног пореза биће неосновано.</w:t>
      </w:r>
    </w:p>
    <w:p w:rsidR="00171709" w:rsidRPr="00612C4D" w:rsidRDefault="00171709" w:rsidP="00612C4D">
      <w:pPr>
        <w:shd w:val="clear" w:color="auto" w:fill="FFFFFF"/>
        <w:spacing w:after="0" w:line="285" w:lineRule="atLeast"/>
        <w:ind w:firstLine="360"/>
        <w:jc w:val="both"/>
        <w:rPr>
          <w:rFonts w:ascii="Times New Roman" w:hAnsi="Times New Roman"/>
          <w:color w:val="000000"/>
          <w:sz w:val="24"/>
          <w:szCs w:val="24"/>
          <w:lang w:val="sr-Cyrl-CS"/>
        </w:rPr>
      </w:pPr>
    </w:p>
    <w:p w:rsidR="00171709" w:rsidRDefault="00167C13" w:rsidP="00612C4D">
      <w:pPr>
        <w:pStyle w:val="normal0"/>
        <w:shd w:val="clear" w:color="auto" w:fill="FFFFFF"/>
        <w:spacing w:before="48" w:beforeAutospacing="0" w:after="48" w:afterAutospacing="0"/>
        <w:ind w:firstLine="360"/>
        <w:jc w:val="both"/>
        <w:rPr>
          <w:color w:val="000000"/>
          <w:lang w:val="sr-Cyrl-CS"/>
        </w:rPr>
      </w:pPr>
      <w:r w:rsidRPr="00612C4D">
        <w:rPr>
          <w:color w:val="000000"/>
        </w:rPr>
        <w:t>Ако</w:t>
      </w:r>
      <w:r w:rsidR="00171709" w:rsidRPr="00612C4D">
        <w:rPr>
          <w:color w:val="000000"/>
        </w:rPr>
        <w:t xml:space="preserve"> </w:t>
      </w:r>
      <w:r w:rsidRPr="00612C4D">
        <w:rPr>
          <w:color w:val="000000"/>
        </w:rPr>
        <w:t>обвезник</w:t>
      </w:r>
      <w:r w:rsidR="00171709" w:rsidRPr="00612C4D">
        <w:rPr>
          <w:color w:val="000000"/>
        </w:rPr>
        <w:t xml:space="preserve"> </w:t>
      </w:r>
      <w:r w:rsidRPr="00612C4D">
        <w:rPr>
          <w:color w:val="000000"/>
        </w:rPr>
        <w:t>користи</w:t>
      </w:r>
      <w:r w:rsidR="00171709" w:rsidRPr="00612C4D">
        <w:rPr>
          <w:color w:val="000000"/>
        </w:rPr>
        <w:t xml:space="preserve"> </w:t>
      </w:r>
      <w:r w:rsidRPr="00612C4D">
        <w:rPr>
          <w:color w:val="000000"/>
        </w:rPr>
        <w:t>испоручена</w:t>
      </w:r>
      <w:r w:rsidR="00171709" w:rsidRPr="00612C4D">
        <w:rPr>
          <w:color w:val="000000"/>
        </w:rPr>
        <w:t xml:space="preserve"> </w:t>
      </w:r>
      <w:r w:rsidRPr="00612C4D">
        <w:rPr>
          <w:color w:val="000000"/>
        </w:rPr>
        <w:t>или</w:t>
      </w:r>
      <w:r w:rsidR="00171709" w:rsidRPr="00612C4D">
        <w:rPr>
          <w:color w:val="000000"/>
        </w:rPr>
        <w:t xml:space="preserve"> </w:t>
      </w:r>
      <w:r w:rsidRPr="00612C4D">
        <w:rPr>
          <w:color w:val="000000"/>
        </w:rPr>
        <w:t>увезена</w:t>
      </w:r>
      <w:r w:rsidR="00171709" w:rsidRPr="00612C4D">
        <w:rPr>
          <w:color w:val="000000"/>
        </w:rPr>
        <w:t xml:space="preserve"> </w:t>
      </w:r>
      <w:r w:rsidRPr="00612C4D">
        <w:rPr>
          <w:color w:val="000000"/>
        </w:rPr>
        <w:t>добра</w:t>
      </w:r>
      <w:r w:rsidR="00171709" w:rsidRPr="00612C4D">
        <w:rPr>
          <w:color w:val="000000"/>
        </w:rPr>
        <w:t xml:space="preserve"> </w:t>
      </w:r>
      <w:r w:rsidRPr="00612C4D">
        <w:rPr>
          <w:color w:val="000000"/>
        </w:rPr>
        <w:t>или</w:t>
      </w:r>
      <w:r w:rsidR="00171709" w:rsidRPr="00612C4D">
        <w:rPr>
          <w:color w:val="000000"/>
        </w:rPr>
        <w:t xml:space="preserve"> </w:t>
      </w:r>
      <w:r w:rsidRPr="00612C4D">
        <w:rPr>
          <w:color w:val="000000"/>
        </w:rPr>
        <w:t>прима</w:t>
      </w:r>
      <w:r w:rsidR="00171709" w:rsidRPr="00612C4D">
        <w:rPr>
          <w:color w:val="000000"/>
        </w:rPr>
        <w:t xml:space="preserve"> </w:t>
      </w:r>
      <w:r w:rsidRPr="00612C4D">
        <w:rPr>
          <w:color w:val="000000"/>
        </w:rPr>
        <w:t>услуге</w:t>
      </w:r>
      <w:r w:rsidR="00171709" w:rsidRPr="00612C4D">
        <w:rPr>
          <w:color w:val="000000"/>
        </w:rPr>
        <w:t xml:space="preserve">, </w:t>
      </w:r>
      <w:r w:rsidRPr="00612C4D">
        <w:rPr>
          <w:color w:val="000000"/>
        </w:rPr>
        <w:t>за</w:t>
      </w:r>
      <w:r w:rsidR="00171709" w:rsidRPr="00612C4D">
        <w:rPr>
          <w:color w:val="000000"/>
        </w:rPr>
        <w:t xml:space="preserve"> </w:t>
      </w:r>
      <w:r w:rsidRPr="00612C4D">
        <w:rPr>
          <w:color w:val="000000"/>
        </w:rPr>
        <w:t>потребе</w:t>
      </w:r>
      <w:r w:rsidR="00171709" w:rsidRPr="00612C4D">
        <w:rPr>
          <w:color w:val="000000"/>
        </w:rPr>
        <w:t xml:space="preserve"> </w:t>
      </w:r>
      <w:r w:rsidRPr="00612C4D">
        <w:rPr>
          <w:color w:val="000000"/>
        </w:rPr>
        <w:t>своје</w:t>
      </w:r>
      <w:r w:rsidR="00171709" w:rsidRPr="00612C4D">
        <w:rPr>
          <w:color w:val="000000"/>
        </w:rPr>
        <w:t xml:space="preserve"> </w:t>
      </w:r>
      <w:r w:rsidRPr="00612C4D">
        <w:rPr>
          <w:color w:val="000000"/>
        </w:rPr>
        <w:t>делатности</w:t>
      </w:r>
      <w:r w:rsidR="00171709" w:rsidRPr="00612C4D">
        <w:rPr>
          <w:color w:val="000000"/>
        </w:rPr>
        <w:t xml:space="preserve">, </w:t>
      </w:r>
      <w:r w:rsidRPr="00612C4D">
        <w:rPr>
          <w:color w:val="000000"/>
        </w:rPr>
        <w:t>да</w:t>
      </w:r>
      <w:r w:rsidR="00171709" w:rsidRPr="00612C4D">
        <w:rPr>
          <w:color w:val="000000"/>
        </w:rPr>
        <w:t xml:space="preserve"> </w:t>
      </w:r>
      <w:r w:rsidRPr="00612C4D">
        <w:rPr>
          <w:color w:val="000000"/>
        </w:rPr>
        <w:t>би</w:t>
      </w:r>
      <w:r w:rsidR="00171709" w:rsidRPr="00612C4D">
        <w:rPr>
          <w:color w:val="000000"/>
        </w:rPr>
        <w:t xml:space="preserve"> </w:t>
      </w:r>
      <w:r w:rsidRPr="00612C4D">
        <w:rPr>
          <w:color w:val="000000"/>
        </w:rPr>
        <w:t>извршио</w:t>
      </w:r>
      <w:r w:rsidR="00171709" w:rsidRPr="00612C4D">
        <w:rPr>
          <w:color w:val="000000"/>
        </w:rPr>
        <w:t xml:space="preserve"> </w:t>
      </w:r>
      <w:r w:rsidRPr="00612C4D">
        <w:rPr>
          <w:color w:val="000000"/>
        </w:rPr>
        <w:t>промет</w:t>
      </w:r>
      <w:r w:rsidR="00171709" w:rsidRPr="00612C4D">
        <w:rPr>
          <w:color w:val="000000"/>
        </w:rPr>
        <w:t xml:space="preserve"> </w:t>
      </w:r>
      <w:r w:rsidRPr="00612C4D">
        <w:rPr>
          <w:color w:val="000000"/>
        </w:rPr>
        <w:t>добара</w:t>
      </w:r>
      <w:r w:rsidR="00171709" w:rsidRPr="00612C4D">
        <w:rPr>
          <w:color w:val="000000"/>
        </w:rPr>
        <w:t xml:space="preserve"> </w:t>
      </w:r>
      <w:r w:rsidRPr="00612C4D">
        <w:rPr>
          <w:color w:val="000000"/>
        </w:rPr>
        <w:t>и</w:t>
      </w:r>
      <w:r w:rsidR="00171709" w:rsidRPr="00612C4D">
        <w:rPr>
          <w:color w:val="000000"/>
        </w:rPr>
        <w:t xml:space="preserve"> </w:t>
      </w:r>
      <w:r w:rsidRPr="00612C4D">
        <w:rPr>
          <w:color w:val="000000"/>
        </w:rPr>
        <w:t>услуга</w:t>
      </w:r>
      <w:r w:rsidR="00171709" w:rsidRPr="00612C4D">
        <w:rPr>
          <w:color w:val="000000"/>
        </w:rPr>
        <w:t xml:space="preserve"> </w:t>
      </w:r>
      <w:r w:rsidRPr="00612C4D">
        <w:rPr>
          <w:color w:val="000000"/>
        </w:rPr>
        <w:t>за</w:t>
      </w:r>
      <w:r w:rsidR="00171709" w:rsidRPr="00612C4D">
        <w:rPr>
          <w:color w:val="000000"/>
        </w:rPr>
        <w:t xml:space="preserve"> </w:t>
      </w:r>
      <w:r w:rsidRPr="00612C4D">
        <w:rPr>
          <w:color w:val="000000"/>
        </w:rPr>
        <w:t>који</w:t>
      </w:r>
      <w:r w:rsidR="00171709" w:rsidRPr="00612C4D">
        <w:rPr>
          <w:color w:val="000000"/>
        </w:rPr>
        <w:t xml:space="preserve"> </w:t>
      </w:r>
      <w:r w:rsidRPr="00612C4D">
        <w:rPr>
          <w:color w:val="000000"/>
        </w:rPr>
        <w:t>постоји</w:t>
      </w:r>
      <w:r w:rsidR="00171709" w:rsidRPr="00612C4D">
        <w:rPr>
          <w:color w:val="000000"/>
        </w:rPr>
        <w:t xml:space="preserve"> </w:t>
      </w:r>
      <w:r w:rsidRPr="00612C4D">
        <w:rPr>
          <w:color w:val="000000"/>
        </w:rPr>
        <w:t>право</w:t>
      </w:r>
      <w:r w:rsidR="00171709" w:rsidRPr="00612C4D">
        <w:rPr>
          <w:color w:val="000000"/>
        </w:rPr>
        <w:t xml:space="preserve"> </w:t>
      </w:r>
      <w:r w:rsidRPr="00612C4D">
        <w:rPr>
          <w:color w:val="000000"/>
        </w:rPr>
        <w:t>на</w:t>
      </w:r>
      <w:r w:rsidR="00171709" w:rsidRPr="00612C4D">
        <w:rPr>
          <w:color w:val="000000"/>
        </w:rPr>
        <w:t xml:space="preserve"> </w:t>
      </w:r>
      <w:r w:rsidRPr="00612C4D">
        <w:rPr>
          <w:color w:val="000000"/>
        </w:rPr>
        <w:t>одбитак</w:t>
      </w:r>
      <w:r w:rsidR="00171709" w:rsidRPr="00612C4D">
        <w:rPr>
          <w:color w:val="000000"/>
        </w:rPr>
        <w:t xml:space="preserve"> </w:t>
      </w:r>
      <w:r w:rsidRPr="00612C4D">
        <w:rPr>
          <w:color w:val="000000"/>
        </w:rPr>
        <w:t>претходног</w:t>
      </w:r>
      <w:r w:rsidR="00171709" w:rsidRPr="00612C4D">
        <w:rPr>
          <w:color w:val="000000"/>
        </w:rPr>
        <w:t xml:space="preserve"> </w:t>
      </w:r>
      <w:r w:rsidRPr="00612C4D">
        <w:rPr>
          <w:color w:val="000000"/>
        </w:rPr>
        <w:t>пореза</w:t>
      </w:r>
      <w:r w:rsidR="00171709" w:rsidRPr="00612C4D">
        <w:rPr>
          <w:color w:val="000000"/>
        </w:rPr>
        <w:t xml:space="preserve">, </w:t>
      </w:r>
      <w:r w:rsidRPr="00612C4D">
        <w:rPr>
          <w:color w:val="000000"/>
        </w:rPr>
        <w:t>као</w:t>
      </w:r>
      <w:r w:rsidR="00171709" w:rsidRPr="00612C4D">
        <w:rPr>
          <w:color w:val="000000"/>
        </w:rPr>
        <w:t xml:space="preserve"> </w:t>
      </w:r>
      <w:r w:rsidRPr="00612C4D">
        <w:rPr>
          <w:color w:val="000000"/>
        </w:rPr>
        <w:t>и</w:t>
      </w:r>
      <w:r w:rsidR="00171709" w:rsidRPr="00612C4D">
        <w:rPr>
          <w:color w:val="000000"/>
        </w:rPr>
        <w:t xml:space="preserve"> </w:t>
      </w:r>
      <w:r w:rsidRPr="00612C4D">
        <w:rPr>
          <w:color w:val="000000"/>
        </w:rPr>
        <w:t>за</w:t>
      </w:r>
      <w:r w:rsidR="00171709" w:rsidRPr="00612C4D">
        <w:rPr>
          <w:color w:val="000000"/>
        </w:rPr>
        <w:t xml:space="preserve"> </w:t>
      </w:r>
      <w:r w:rsidRPr="00612C4D">
        <w:rPr>
          <w:color w:val="000000"/>
        </w:rPr>
        <w:t>промет</w:t>
      </w:r>
      <w:r w:rsidR="00171709" w:rsidRPr="00612C4D">
        <w:rPr>
          <w:color w:val="000000"/>
        </w:rPr>
        <w:t xml:space="preserve"> </w:t>
      </w:r>
      <w:r w:rsidRPr="00612C4D">
        <w:rPr>
          <w:color w:val="000000"/>
        </w:rPr>
        <w:t>добара</w:t>
      </w:r>
      <w:r w:rsidR="00171709" w:rsidRPr="00612C4D">
        <w:rPr>
          <w:color w:val="000000"/>
        </w:rPr>
        <w:t xml:space="preserve"> </w:t>
      </w:r>
      <w:r w:rsidRPr="00612C4D">
        <w:rPr>
          <w:color w:val="000000"/>
        </w:rPr>
        <w:t>и</w:t>
      </w:r>
      <w:r w:rsidR="00171709" w:rsidRPr="00612C4D">
        <w:rPr>
          <w:color w:val="000000"/>
        </w:rPr>
        <w:t xml:space="preserve"> </w:t>
      </w:r>
      <w:r w:rsidRPr="00612C4D">
        <w:rPr>
          <w:color w:val="000000"/>
        </w:rPr>
        <w:t>услуга</w:t>
      </w:r>
      <w:r w:rsidR="00171709" w:rsidRPr="00612C4D">
        <w:rPr>
          <w:color w:val="000000"/>
        </w:rPr>
        <w:t xml:space="preserve"> </w:t>
      </w:r>
      <w:r w:rsidRPr="00612C4D">
        <w:rPr>
          <w:color w:val="000000"/>
        </w:rPr>
        <w:t>за</w:t>
      </w:r>
      <w:r w:rsidR="00171709" w:rsidRPr="00612C4D">
        <w:rPr>
          <w:color w:val="000000"/>
        </w:rPr>
        <w:t xml:space="preserve"> </w:t>
      </w:r>
      <w:r w:rsidRPr="00612C4D">
        <w:rPr>
          <w:color w:val="000000"/>
        </w:rPr>
        <w:t>који</w:t>
      </w:r>
      <w:r w:rsidR="00171709" w:rsidRPr="00612C4D">
        <w:rPr>
          <w:color w:val="000000"/>
        </w:rPr>
        <w:t xml:space="preserve"> </w:t>
      </w:r>
      <w:r w:rsidRPr="00612C4D">
        <w:rPr>
          <w:color w:val="000000"/>
        </w:rPr>
        <w:t>не</w:t>
      </w:r>
      <w:r w:rsidR="00171709" w:rsidRPr="00612C4D">
        <w:rPr>
          <w:color w:val="000000"/>
        </w:rPr>
        <w:t xml:space="preserve"> </w:t>
      </w:r>
      <w:r w:rsidRPr="00612C4D">
        <w:rPr>
          <w:color w:val="000000"/>
        </w:rPr>
        <w:t>постоји</w:t>
      </w:r>
      <w:r w:rsidR="00171709" w:rsidRPr="00612C4D">
        <w:rPr>
          <w:color w:val="000000"/>
        </w:rPr>
        <w:t xml:space="preserve"> </w:t>
      </w:r>
      <w:r w:rsidRPr="00612C4D">
        <w:rPr>
          <w:color w:val="000000"/>
        </w:rPr>
        <w:t>право</w:t>
      </w:r>
      <w:r w:rsidR="00171709" w:rsidRPr="00612C4D">
        <w:rPr>
          <w:color w:val="000000"/>
        </w:rPr>
        <w:t xml:space="preserve"> </w:t>
      </w:r>
      <w:r w:rsidRPr="00612C4D">
        <w:rPr>
          <w:color w:val="000000"/>
        </w:rPr>
        <w:t>на</w:t>
      </w:r>
      <w:r w:rsidR="00171709" w:rsidRPr="00612C4D">
        <w:rPr>
          <w:color w:val="000000"/>
        </w:rPr>
        <w:t xml:space="preserve"> </w:t>
      </w:r>
      <w:r w:rsidRPr="00612C4D">
        <w:rPr>
          <w:color w:val="000000"/>
        </w:rPr>
        <w:t>одбитак</w:t>
      </w:r>
      <w:r w:rsidR="00171709" w:rsidRPr="00612C4D">
        <w:rPr>
          <w:color w:val="000000"/>
        </w:rPr>
        <w:t xml:space="preserve"> </w:t>
      </w:r>
      <w:r w:rsidRPr="00612C4D">
        <w:rPr>
          <w:color w:val="000000"/>
        </w:rPr>
        <w:t>претходног</w:t>
      </w:r>
      <w:r w:rsidR="00171709" w:rsidRPr="00612C4D">
        <w:rPr>
          <w:color w:val="000000"/>
        </w:rPr>
        <w:t xml:space="preserve"> </w:t>
      </w:r>
      <w:r w:rsidRPr="00612C4D">
        <w:rPr>
          <w:color w:val="000000"/>
        </w:rPr>
        <w:t>пореза</w:t>
      </w:r>
      <w:r w:rsidR="00171709" w:rsidRPr="00612C4D">
        <w:rPr>
          <w:color w:val="000000"/>
        </w:rPr>
        <w:t xml:space="preserve">, </w:t>
      </w:r>
      <w:r w:rsidRPr="00612C4D">
        <w:rPr>
          <w:color w:val="000000"/>
        </w:rPr>
        <w:t>дужан</w:t>
      </w:r>
      <w:r w:rsidR="00171709" w:rsidRPr="00612C4D">
        <w:rPr>
          <w:color w:val="000000"/>
        </w:rPr>
        <w:t xml:space="preserve"> </w:t>
      </w:r>
      <w:r w:rsidRPr="00612C4D">
        <w:rPr>
          <w:color w:val="000000"/>
        </w:rPr>
        <w:t>је</w:t>
      </w:r>
      <w:r w:rsidR="00171709" w:rsidRPr="00612C4D">
        <w:rPr>
          <w:color w:val="000000"/>
        </w:rPr>
        <w:t xml:space="preserve"> </w:t>
      </w:r>
      <w:r w:rsidRPr="00612C4D">
        <w:rPr>
          <w:color w:val="000000"/>
        </w:rPr>
        <w:t>да</w:t>
      </w:r>
      <w:r w:rsidR="00171709" w:rsidRPr="00612C4D">
        <w:rPr>
          <w:color w:val="000000"/>
        </w:rPr>
        <w:t xml:space="preserve"> </w:t>
      </w:r>
      <w:r w:rsidRPr="00612C4D">
        <w:rPr>
          <w:color w:val="000000"/>
        </w:rPr>
        <w:t>изврши</w:t>
      </w:r>
      <w:r w:rsidR="00171709" w:rsidRPr="00612C4D">
        <w:rPr>
          <w:color w:val="000000"/>
        </w:rPr>
        <w:t xml:space="preserve"> </w:t>
      </w:r>
      <w:r w:rsidRPr="00612C4D">
        <w:rPr>
          <w:color w:val="000000"/>
        </w:rPr>
        <w:t>поделу</w:t>
      </w:r>
      <w:r w:rsidR="00171709" w:rsidRPr="00612C4D">
        <w:rPr>
          <w:color w:val="000000"/>
        </w:rPr>
        <w:t xml:space="preserve"> </w:t>
      </w:r>
      <w:r w:rsidRPr="00612C4D">
        <w:rPr>
          <w:color w:val="000000"/>
        </w:rPr>
        <w:t>претходног</w:t>
      </w:r>
      <w:r w:rsidR="00171709" w:rsidRPr="00612C4D">
        <w:rPr>
          <w:color w:val="000000"/>
        </w:rPr>
        <w:t xml:space="preserve"> </w:t>
      </w:r>
      <w:r w:rsidRPr="00612C4D">
        <w:rPr>
          <w:color w:val="000000"/>
        </w:rPr>
        <w:t>пореза</w:t>
      </w:r>
      <w:r w:rsidR="00171709" w:rsidRPr="00612C4D">
        <w:rPr>
          <w:color w:val="000000"/>
        </w:rPr>
        <w:t xml:space="preserve"> </w:t>
      </w:r>
      <w:r w:rsidRPr="00612C4D">
        <w:rPr>
          <w:color w:val="000000"/>
        </w:rPr>
        <w:t>према</w:t>
      </w:r>
      <w:r w:rsidR="00171709" w:rsidRPr="00612C4D">
        <w:rPr>
          <w:color w:val="000000"/>
        </w:rPr>
        <w:t xml:space="preserve"> </w:t>
      </w:r>
      <w:r w:rsidRPr="00612C4D">
        <w:rPr>
          <w:color w:val="000000"/>
        </w:rPr>
        <w:t>економској</w:t>
      </w:r>
      <w:r w:rsidR="00171709" w:rsidRPr="00612C4D">
        <w:rPr>
          <w:color w:val="000000"/>
        </w:rPr>
        <w:t xml:space="preserve"> </w:t>
      </w:r>
      <w:r w:rsidRPr="00612C4D">
        <w:rPr>
          <w:color w:val="000000"/>
        </w:rPr>
        <w:t>припадности</w:t>
      </w:r>
      <w:r w:rsidR="00171709" w:rsidRPr="00612C4D">
        <w:rPr>
          <w:color w:val="000000"/>
        </w:rPr>
        <w:t xml:space="preserve"> </w:t>
      </w:r>
      <w:r w:rsidRPr="00612C4D">
        <w:rPr>
          <w:color w:val="000000"/>
        </w:rPr>
        <w:t>на</w:t>
      </w:r>
      <w:r w:rsidR="00171709" w:rsidRPr="00612C4D">
        <w:rPr>
          <w:color w:val="000000"/>
        </w:rPr>
        <w:t xml:space="preserve"> </w:t>
      </w:r>
      <w:r w:rsidRPr="00612C4D">
        <w:rPr>
          <w:color w:val="000000"/>
        </w:rPr>
        <w:t>део</w:t>
      </w:r>
      <w:r w:rsidR="00171709" w:rsidRPr="00612C4D">
        <w:rPr>
          <w:color w:val="000000"/>
        </w:rPr>
        <w:t xml:space="preserve"> </w:t>
      </w:r>
      <w:r w:rsidRPr="00612C4D">
        <w:rPr>
          <w:color w:val="000000"/>
        </w:rPr>
        <w:t>који</w:t>
      </w:r>
      <w:r w:rsidR="00171709" w:rsidRPr="00612C4D">
        <w:rPr>
          <w:color w:val="000000"/>
        </w:rPr>
        <w:t xml:space="preserve"> </w:t>
      </w:r>
      <w:r w:rsidRPr="00612C4D">
        <w:rPr>
          <w:color w:val="000000"/>
        </w:rPr>
        <w:t>има</w:t>
      </w:r>
      <w:r w:rsidR="00171709" w:rsidRPr="00612C4D">
        <w:rPr>
          <w:color w:val="000000"/>
        </w:rPr>
        <w:t xml:space="preserve"> </w:t>
      </w:r>
      <w:r w:rsidRPr="00612C4D">
        <w:rPr>
          <w:color w:val="000000"/>
        </w:rPr>
        <w:t>право</w:t>
      </w:r>
      <w:r w:rsidR="00171709" w:rsidRPr="00612C4D">
        <w:rPr>
          <w:color w:val="000000"/>
        </w:rPr>
        <w:t xml:space="preserve"> </w:t>
      </w:r>
      <w:r w:rsidRPr="00612C4D">
        <w:rPr>
          <w:color w:val="000000"/>
        </w:rPr>
        <w:t>и</w:t>
      </w:r>
      <w:r w:rsidR="00171709" w:rsidRPr="00612C4D">
        <w:rPr>
          <w:color w:val="000000"/>
        </w:rPr>
        <w:t xml:space="preserve"> </w:t>
      </w:r>
      <w:r w:rsidRPr="00612C4D">
        <w:rPr>
          <w:color w:val="000000"/>
        </w:rPr>
        <w:t>део</w:t>
      </w:r>
      <w:r w:rsidR="00171709" w:rsidRPr="00612C4D">
        <w:rPr>
          <w:color w:val="000000"/>
        </w:rPr>
        <w:t xml:space="preserve"> </w:t>
      </w:r>
      <w:r w:rsidRPr="00612C4D">
        <w:rPr>
          <w:color w:val="000000"/>
        </w:rPr>
        <w:t>који</w:t>
      </w:r>
      <w:r w:rsidR="00171709" w:rsidRPr="00612C4D">
        <w:rPr>
          <w:color w:val="000000"/>
        </w:rPr>
        <w:t xml:space="preserve"> </w:t>
      </w:r>
      <w:r w:rsidRPr="00612C4D">
        <w:rPr>
          <w:color w:val="000000"/>
        </w:rPr>
        <w:t>нема</w:t>
      </w:r>
      <w:r w:rsidR="00171709" w:rsidRPr="00612C4D">
        <w:rPr>
          <w:color w:val="000000"/>
        </w:rPr>
        <w:t xml:space="preserve"> </w:t>
      </w:r>
      <w:r w:rsidRPr="00612C4D">
        <w:rPr>
          <w:color w:val="000000"/>
        </w:rPr>
        <w:t>право</w:t>
      </w:r>
      <w:r w:rsidR="00171709" w:rsidRPr="00612C4D">
        <w:rPr>
          <w:color w:val="000000"/>
        </w:rPr>
        <w:t xml:space="preserve"> </w:t>
      </w:r>
      <w:r w:rsidRPr="00612C4D">
        <w:rPr>
          <w:color w:val="000000"/>
        </w:rPr>
        <w:t>да</w:t>
      </w:r>
      <w:r w:rsidR="00171709" w:rsidRPr="00612C4D">
        <w:rPr>
          <w:color w:val="000000"/>
        </w:rPr>
        <w:t xml:space="preserve"> </w:t>
      </w:r>
      <w:r w:rsidRPr="00612C4D">
        <w:rPr>
          <w:color w:val="000000"/>
        </w:rPr>
        <w:t>одбије</w:t>
      </w:r>
      <w:r w:rsidR="00171709" w:rsidRPr="00612C4D">
        <w:rPr>
          <w:color w:val="000000"/>
        </w:rPr>
        <w:t xml:space="preserve"> </w:t>
      </w:r>
      <w:r w:rsidRPr="00612C4D">
        <w:rPr>
          <w:color w:val="000000"/>
        </w:rPr>
        <w:t>од</w:t>
      </w:r>
      <w:r w:rsidR="00171709" w:rsidRPr="00612C4D">
        <w:rPr>
          <w:color w:val="000000"/>
        </w:rPr>
        <w:t xml:space="preserve"> </w:t>
      </w:r>
      <w:r w:rsidRPr="00612C4D">
        <w:rPr>
          <w:color w:val="000000"/>
        </w:rPr>
        <w:t>ПДВ</w:t>
      </w:r>
      <w:r w:rsidR="00171709" w:rsidRPr="00612C4D">
        <w:rPr>
          <w:color w:val="000000"/>
        </w:rPr>
        <w:t xml:space="preserve"> </w:t>
      </w:r>
      <w:r w:rsidRPr="00612C4D">
        <w:rPr>
          <w:color w:val="000000"/>
        </w:rPr>
        <w:t>који</w:t>
      </w:r>
      <w:r w:rsidR="00171709" w:rsidRPr="00612C4D">
        <w:rPr>
          <w:color w:val="000000"/>
        </w:rPr>
        <w:t xml:space="preserve"> </w:t>
      </w:r>
      <w:r w:rsidRPr="00612C4D">
        <w:rPr>
          <w:color w:val="000000"/>
        </w:rPr>
        <w:t>дугује</w:t>
      </w:r>
      <w:r w:rsidR="00171709" w:rsidRPr="00612C4D">
        <w:rPr>
          <w:color w:val="000000"/>
        </w:rPr>
        <w:t>.</w:t>
      </w:r>
      <w:r w:rsidR="00392BF2" w:rsidRPr="00612C4D">
        <w:rPr>
          <w:color w:val="000000"/>
          <w:lang w:val="sr-Cyrl-CS"/>
        </w:rPr>
        <w:t xml:space="preserve"> </w:t>
      </w:r>
      <w:r w:rsidRPr="00612C4D">
        <w:rPr>
          <w:color w:val="000000"/>
        </w:rPr>
        <w:t>Ако</w:t>
      </w:r>
      <w:r w:rsidR="00171709" w:rsidRPr="00612C4D">
        <w:rPr>
          <w:color w:val="000000"/>
        </w:rPr>
        <w:t xml:space="preserve"> </w:t>
      </w:r>
      <w:r w:rsidRPr="00612C4D">
        <w:rPr>
          <w:color w:val="000000"/>
        </w:rPr>
        <w:t>за</w:t>
      </w:r>
      <w:r w:rsidR="00171709" w:rsidRPr="00612C4D">
        <w:rPr>
          <w:color w:val="000000"/>
        </w:rPr>
        <w:t xml:space="preserve"> </w:t>
      </w:r>
      <w:r w:rsidRPr="00612C4D">
        <w:rPr>
          <w:color w:val="000000"/>
        </w:rPr>
        <w:t>поједина</w:t>
      </w:r>
      <w:r w:rsidR="00171709" w:rsidRPr="00612C4D">
        <w:rPr>
          <w:color w:val="000000"/>
        </w:rPr>
        <w:t xml:space="preserve"> </w:t>
      </w:r>
      <w:r w:rsidRPr="00612C4D">
        <w:rPr>
          <w:color w:val="000000"/>
        </w:rPr>
        <w:t>испоручена</w:t>
      </w:r>
      <w:r w:rsidR="00171709" w:rsidRPr="00612C4D">
        <w:rPr>
          <w:color w:val="000000"/>
        </w:rPr>
        <w:t xml:space="preserve"> </w:t>
      </w:r>
      <w:r w:rsidRPr="00612C4D">
        <w:rPr>
          <w:color w:val="000000"/>
        </w:rPr>
        <w:t>или</w:t>
      </w:r>
      <w:r w:rsidR="00171709" w:rsidRPr="00612C4D">
        <w:rPr>
          <w:color w:val="000000"/>
        </w:rPr>
        <w:t xml:space="preserve"> </w:t>
      </w:r>
      <w:r w:rsidRPr="00612C4D">
        <w:rPr>
          <w:color w:val="000000"/>
        </w:rPr>
        <w:t>увезена</w:t>
      </w:r>
      <w:r w:rsidR="00171709" w:rsidRPr="00612C4D">
        <w:rPr>
          <w:color w:val="000000"/>
        </w:rPr>
        <w:t xml:space="preserve"> </w:t>
      </w:r>
      <w:r w:rsidRPr="00612C4D">
        <w:rPr>
          <w:color w:val="000000"/>
        </w:rPr>
        <w:t>добра</w:t>
      </w:r>
      <w:r w:rsidR="00171709" w:rsidRPr="00612C4D">
        <w:rPr>
          <w:color w:val="000000"/>
        </w:rPr>
        <w:t xml:space="preserve"> </w:t>
      </w:r>
      <w:r w:rsidRPr="00612C4D">
        <w:rPr>
          <w:color w:val="000000"/>
        </w:rPr>
        <w:t>или</w:t>
      </w:r>
      <w:r w:rsidR="00171709" w:rsidRPr="00612C4D">
        <w:rPr>
          <w:color w:val="000000"/>
        </w:rPr>
        <w:t xml:space="preserve"> </w:t>
      </w:r>
      <w:r w:rsidRPr="00612C4D">
        <w:rPr>
          <w:color w:val="000000"/>
        </w:rPr>
        <w:t>примљене</w:t>
      </w:r>
      <w:r w:rsidR="00171709" w:rsidRPr="00612C4D">
        <w:rPr>
          <w:color w:val="000000"/>
        </w:rPr>
        <w:t xml:space="preserve"> </w:t>
      </w:r>
      <w:r w:rsidRPr="00612C4D">
        <w:rPr>
          <w:color w:val="000000"/>
        </w:rPr>
        <w:t>услуге</w:t>
      </w:r>
      <w:r w:rsidR="00171709" w:rsidRPr="00612C4D">
        <w:rPr>
          <w:color w:val="000000"/>
        </w:rPr>
        <w:t xml:space="preserve"> </w:t>
      </w:r>
      <w:r w:rsidRPr="00612C4D">
        <w:rPr>
          <w:color w:val="000000"/>
        </w:rPr>
        <w:t>обвезник</w:t>
      </w:r>
      <w:r w:rsidR="00171709" w:rsidRPr="00612C4D">
        <w:rPr>
          <w:color w:val="000000"/>
        </w:rPr>
        <w:t xml:space="preserve"> </w:t>
      </w:r>
      <w:r w:rsidRPr="00612C4D">
        <w:rPr>
          <w:color w:val="000000"/>
        </w:rPr>
        <w:t>не</w:t>
      </w:r>
      <w:r w:rsidR="00171709" w:rsidRPr="00612C4D">
        <w:rPr>
          <w:color w:val="000000"/>
        </w:rPr>
        <w:t xml:space="preserve"> </w:t>
      </w:r>
      <w:r w:rsidRPr="00612C4D">
        <w:rPr>
          <w:color w:val="000000"/>
        </w:rPr>
        <w:t>може</w:t>
      </w:r>
      <w:r w:rsidR="00171709" w:rsidRPr="00612C4D">
        <w:rPr>
          <w:color w:val="000000"/>
        </w:rPr>
        <w:t xml:space="preserve"> </w:t>
      </w:r>
      <w:r w:rsidRPr="00612C4D">
        <w:rPr>
          <w:color w:val="000000"/>
        </w:rPr>
        <w:t>да</w:t>
      </w:r>
      <w:r w:rsidR="00171709" w:rsidRPr="00612C4D">
        <w:rPr>
          <w:color w:val="000000"/>
        </w:rPr>
        <w:t xml:space="preserve"> </w:t>
      </w:r>
      <w:r w:rsidRPr="00612C4D">
        <w:rPr>
          <w:color w:val="000000"/>
        </w:rPr>
        <w:t>изврши</w:t>
      </w:r>
      <w:r w:rsidR="00171709" w:rsidRPr="00612C4D">
        <w:rPr>
          <w:color w:val="000000"/>
        </w:rPr>
        <w:t xml:space="preserve"> </w:t>
      </w:r>
      <w:r w:rsidRPr="00612C4D">
        <w:rPr>
          <w:color w:val="000000"/>
        </w:rPr>
        <w:t>поделу</w:t>
      </w:r>
      <w:r w:rsidR="00171709" w:rsidRPr="00612C4D">
        <w:rPr>
          <w:color w:val="000000"/>
        </w:rPr>
        <w:t xml:space="preserve"> </w:t>
      </w:r>
      <w:r w:rsidRPr="00612C4D">
        <w:rPr>
          <w:color w:val="000000"/>
        </w:rPr>
        <w:t>претходног</w:t>
      </w:r>
      <w:r w:rsidR="00171709" w:rsidRPr="00612C4D">
        <w:rPr>
          <w:color w:val="000000"/>
        </w:rPr>
        <w:t xml:space="preserve"> </w:t>
      </w:r>
      <w:r w:rsidRPr="00612C4D">
        <w:rPr>
          <w:color w:val="000000"/>
        </w:rPr>
        <w:t>пореза</w:t>
      </w:r>
      <w:r w:rsidR="00171709" w:rsidRPr="00612C4D">
        <w:rPr>
          <w:color w:val="000000"/>
        </w:rPr>
        <w:t xml:space="preserve">, </w:t>
      </w:r>
      <w:r w:rsidRPr="00612C4D">
        <w:rPr>
          <w:color w:val="000000"/>
        </w:rPr>
        <w:t>а</w:t>
      </w:r>
      <w:r w:rsidR="00171709" w:rsidRPr="00612C4D">
        <w:rPr>
          <w:color w:val="000000"/>
        </w:rPr>
        <w:t xml:space="preserve"> </w:t>
      </w:r>
      <w:r w:rsidRPr="00612C4D">
        <w:rPr>
          <w:color w:val="000000"/>
        </w:rPr>
        <w:t>које</w:t>
      </w:r>
      <w:r w:rsidR="00171709" w:rsidRPr="00612C4D">
        <w:rPr>
          <w:color w:val="000000"/>
        </w:rPr>
        <w:t xml:space="preserve"> </w:t>
      </w:r>
      <w:r w:rsidRPr="00612C4D">
        <w:rPr>
          <w:color w:val="000000"/>
        </w:rPr>
        <w:t>користи</w:t>
      </w:r>
      <w:r w:rsidR="00171709" w:rsidRPr="00612C4D">
        <w:rPr>
          <w:color w:val="000000"/>
        </w:rPr>
        <w:t xml:space="preserve"> </w:t>
      </w:r>
      <w:r w:rsidRPr="00612C4D">
        <w:rPr>
          <w:color w:val="000000"/>
        </w:rPr>
        <w:t>за</w:t>
      </w:r>
      <w:r w:rsidR="00171709" w:rsidRPr="00612C4D">
        <w:rPr>
          <w:color w:val="000000"/>
        </w:rPr>
        <w:t xml:space="preserve"> </w:t>
      </w:r>
      <w:r w:rsidRPr="00612C4D">
        <w:rPr>
          <w:color w:val="000000"/>
        </w:rPr>
        <w:t>потребе</w:t>
      </w:r>
      <w:r w:rsidR="00171709" w:rsidRPr="00612C4D">
        <w:rPr>
          <w:color w:val="000000"/>
        </w:rPr>
        <w:t xml:space="preserve"> </w:t>
      </w:r>
      <w:r w:rsidRPr="00612C4D">
        <w:rPr>
          <w:color w:val="000000"/>
        </w:rPr>
        <w:t>своје</w:t>
      </w:r>
      <w:r w:rsidR="00171709" w:rsidRPr="00612C4D">
        <w:rPr>
          <w:color w:val="000000"/>
        </w:rPr>
        <w:t xml:space="preserve"> </w:t>
      </w:r>
      <w:r w:rsidRPr="00612C4D">
        <w:rPr>
          <w:color w:val="000000"/>
        </w:rPr>
        <w:t>делатности</w:t>
      </w:r>
      <w:r w:rsidR="00171709" w:rsidRPr="00612C4D">
        <w:rPr>
          <w:color w:val="000000"/>
        </w:rPr>
        <w:t xml:space="preserve">, </w:t>
      </w:r>
      <w:r w:rsidRPr="00612C4D">
        <w:rPr>
          <w:color w:val="000000"/>
        </w:rPr>
        <w:t>да</w:t>
      </w:r>
      <w:r w:rsidR="00171709" w:rsidRPr="00612C4D">
        <w:rPr>
          <w:color w:val="000000"/>
        </w:rPr>
        <w:t xml:space="preserve"> </w:t>
      </w:r>
      <w:r w:rsidRPr="00612C4D">
        <w:rPr>
          <w:color w:val="000000"/>
        </w:rPr>
        <w:t>би</w:t>
      </w:r>
      <w:r w:rsidR="00171709" w:rsidRPr="00612C4D">
        <w:rPr>
          <w:color w:val="000000"/>
        </w:rPr>
        <w:t xml:space="preserve"> </w:t>
      </w:r>
      <w:r w:rsidRPr="00612C4D">
        <w:rPr>
          <w:color w:val="000000"/>
        </w:rPr>
        <w:t>извршио</w:t>
      </w:r>
      <w:r w:rsidR="00171709" w:rsidRPr="00612C4D">
        <w:rPr>
          <w:color w:val="000000"/>
        </w:rPr>
        <w:t xml:space="preserve"> </w:t>
      </w:r>
      <w:r w:rsidRPr="00612C4D">
        <w:rPr>
          <w:color w:val="000000"/>
        </w:rPr>
        <w:t>промет</w:t>
      </w:r>
      <w:r w:rsidR="00171709" w:rsidRPr="00612C4D">
        <w:rPr>
          <w:color w:val="000000"/>
        </w:rPr>
        <w:t xml:space="preserve"> </w:t>
      </w:r>
      <w:r w:rsidRPr="00612C4D">
        <w:rPr>
          <w:color w:val="000000"/>
        </w:rPr>
        <w:t>добара</w:t>
      </w:r>
      <w:r w:rsidR="00171709" w:rsidRPr="00612C4D">
        <w:rPr>
          <w:color w:val="000000"/>
        </w:rPr>
        <w:t xml:space="preserve"> </w:t>
      </w:r>
      <w:r w:rsidRPr="00612C4D">
        <w:rPr>
          <w:color w:val="000000"/>
        </w:rPr>
        <w:t>и</w:t>
      </w:r>
      <w:r w:rsidR="00171709" w:rsidRPr="00612C4D">
        <w:rPr>
          <w:color w:val="000000"/>
        </w:rPr>
        <w:t xml:space="preserve"> </w:t>
      </w:r>
      <w:r w:rsidRPr="00612C4D">
        <w:rPr>
          <w:color w:val="000000"/>
        </w:rPr>
        <w:t>услуга</w:t>
      </w:r>
      <w:r w:rsidR="00171709" w:rsidRPr="00612C4D">
        <w:rPr>
          <w:color w:val="000000"/>
        </w:rPr>
        <w:t xml:space="preserve"> </w:t>
      </w:r>
      <w:r w:rsidRPr="00612C4D">
        <w:rPr>
          <w:color w:val="000000"/>
        </w:rPr>
        <w:t>за</w:t>
      </w:r>
      <w:r w:rsidR="00171709" w:rsidRPr="00612C4D">
        <w:rPr>
          <w:color w:val="000000"/>
        </w:rPr>
        <w:t xml:space="preserve"> </w:t>
      </w:r>
      <w:r w:rsidRPr="00612C4D">
        <w:rPr>
          <w:color w:val="000000"/>
        </w:rPr>
        <w:t>који</w:t>
      </w:r>
      <w:r w:rsidR="00171709" w:rsidRPr="00612C4D">
        <w:rPr>
          <w:color w:val="000000"/>
        </w:rPr>
        <w:t xml:space="preserve"> </w:t>
      </w:r>
      <w:r w:rsidRPr="00612C4D">
        <w:rPr>
          <w:color w:val="000000"/>
        </w:rPr>
        <w:t>постоји</w:t>
      </w:r>
      <w:r w:rsidR="00171709" w:rsidRPr="00612C4D">
        <w:rPr>
          <w:color w:val="000000"/>
        </w:rPr>
        <w:t xml:space="preserve"> </w:t>
      </w:r>
      <w:r w:rsidRPr="00612C4D">
        <w:rPr>
          <w:color w:val="000000"/>
        </w:rPr>
        <w:t>право</w:t>
      </w:r>
      <w:r w:rsidR="00171709" w:rsidRPr="00612C4D">
        <w:rPr>
          <w:color w:val="000000"/>
        </w:rPr>
        <w:t xml:space="preserve"> </w:t>
      </w:r>
      <w:r w:rsidRPr="00612C4D">
        <w:rPr>
          <w:color w:val="000000"/>
        </w:rPr>
        <w:t>на</w:t>
      </w:r>
      <w:r w:rsidR="00171709" w:rsidRPr="00612C4D">
        <w:rPr>
          <w:color w:val="000000"/>
        </w:rPr>
        <w:t xml:space="preserve"> </w:t>
      </w:r>
      <w:r w:rsidRPr="00612C4D">
        <w:rPr>
          <w:color w:val="000000"/>
        </w:rPr>
        <w:t>одбитак</w:t>
      </w:r>
      <w:r w:rsidR="00171709" w:rsidRPr="00612C4D">
        <w:rPr>
          <w:color w:val="000000"/>
        </w:rPr>
        <w:t xml:space="preserve"> </w:t>
      </w:r>
      <w:r w:rsidRPr="00612C4D">
        <w:rPr>
          <w:color w:val="000000"/>
        </w:rPr>
        <w:t>претходног</w:t>
      </w:r>
      <w:r w:rsidR="00171709" w:rsidRPr="00612C4D">
        <w:rPr>
          <w:color w:val="000000"/>
        </w:rPr>
        <w:t xml:space="preserve"> </w:t>
      </w:r>
      <w:r w:rsidRPr="00612C4D">
        <w:rPr>
          <w:color w:val="000000"/>
        </w:rPr>
        <w:t>пореза</w:t>
      </w:r>
      <w:r w:rsidR="00171709" w:rsidRPr="00612C4D">
        <w:rPr>
          <w:color w:val="000000"/>
        </w:rPr>
        <w:t xml:space="preserve"> </w:t>
      </w:r>
      <w:r w:rsidRPr="00612C4D">
        <w:rPr>
          <w:color w:val="000000"/>
        </w:rPr>
        <w:t>и</w:t>
      </w:r>
      <w:r w:rsidR="00171709" w:rsidRPr="00612C4D">
        <w:rPr>
          <w:color w:val="000000"/>
        </w:rPr>
        <w:t xml:space="preserve"> </w:t>
      </w:r>
      <w:r w:rsidRPr="00612C4D">
        <w:rPr>
          <w:color w:val="000000"/>
        </w:rPr>
        <w:t>за</w:t>
      </w:r>
      <w:r w:rsidR="00171709" w:rsidRPr="00612C4D">
        <w:rPr>
          <w:color w:val="000000"/>
        </w:rPr>
        <w:t xml:space="preserve"> </w:t>
      </w:r>
      <w:r w:rsidRPr="00612C4D">
        <w:rPr>
          <w:color w:val="000000"/>
        </w:rPr>
        <w:t>промет</w:t>
      </w:r>
      <w:r w:rsidR="00171709" w:rsidRPr="00612C4D">
        <w:rPr>
          <w:color w:val="000000"/>
        </w:rPr>
        <w:t xml:space="preserve"> </w:t>
      </w:r>
      <w:r w:rsidRPr="00612C4D">
        <w:rPr>
          <w:color w:val="000000"/>
        </w:rPr>
        <w:t>добара</w:t>
      </w:r>
      <w:r w:rsidR="00171709" w:rsidRPr="00612C4D">
        <w:rPr>
          <w:color w:val="000000"/>
        </w:rPr>
        <w:t xml:space="preserve"> </w:t>
      </w:r>
      <w:r w:rsidRPr="00612C4D">
        <w:rPr>
          <w:color w:val="000000"/>
        </w:rPr>
        <w:t>и</w:t>
      </w:r>
      <w:r w:rsidR="00171709" w:rsidRPr="00612C4D">
        <w:rPr>
          <w:color w:val="000000"/>
        </w:rPr>
        <w:t xml:space="preserve"> </w:t>
      </w:r>
      <w:r w:rsidRPr="00612C4D">
        <w:rPr>
          <w:color w:val="000000"/>
        </w:rPr>
        <w:t>услуга</w:t>
      </w:r>
      <w:r w:rsidR="00171709" w:rsidRPr="00612C4D">
        <w:rPr>
          <w:color w:val="000000"/>
        </w:rPr>
        <w:t xml:space="preserve"> </w:t>
      </w:r>
      <w:r w:rsidRPr="00612C4D">
        <w:rPr>
          <w:color w:val="000000"/>
        </w:rPr>
        <w:t>за</w:t>
      </w:r>
      <w:r w:rsidR="00171709" w:rsidRPr="00612C4D">
        <w:rPr>
          <w:color w:val="000000"/>
        </w:rPr>
        <w:t xml:space="preserve"> </w:t>
      </w:r>
      <w:r w:rsidRPr="00612C4D">
        <w:rPr>
          <w:color w:val="000000"/>
        </w:rPr>
        <w:t>који</w:t>
      </w:r>
      <w:r w:rsidR="00171709" w:rsidRPr="00612C4D">
        <w:rPr>
          <w:color w:val="000000"/>
        </w:rPr>
        <w:t xml:space="preserve"> </w:t>
      </w:r>
      <w:r w:rsidRPr="00612C4D">
        <w:rPr>
          <w:color w:val="000000"/>
        </w:rPr>
        <w:t>не</w:t>
      </w:r>
      <w:r w:rsidR="00171709" w:rsidRPr="00612C4D">
        <w:rPr>
          <w:color w:val="000000"/>
        </w:rPr>
        <w:t xml:space="preserve"> </w:t>
      </w:r>
      <w:r w:rsidRPr="00612C4D">
        <w:rPr>
          <w:color w:val="000000"/>
        </w:rPr>
        <w:t>постоји</w:t>
      </w:r>
      <w:r w:rsidR="00171709" w:rsidRPr="00612C4D">
        <w:rPr>
          <w:color w:val="000000"/>
        </w:rPr>
        <w:t xml:space="preserve"> </w:t>
      </w:r>
      <w:r w:rsidRPr="00612C4D">
        <w:rPr>
          <w:color w:val="000000"/>
        </w:rPr>
        <w:t>право</w:t>
      </w:r>
      <w:r w:rsidR="00171709" w:rsidRPr="00612C4D">
        <w:rPr>
          <w:color w:val="000000"/>
        </w:rPr>
        <w:t xml:space="preserve"> </w:t>
      </w:r>
      <w:r w:rsidRPr="00612C4D">
        <w:rPr>
          <w:color w:val="000000"/>
        </w:rPr>
        <w:t>на</w:t>
      </w:r>
      <w:r w:rsidR="00171709" w:rsidRPr="00612C4D">
        <w:rPr>
          <w:color w:val="000000"/>
        </w:rPr>
        <w:t xml:space="preserve"> </w:t>
      </w:r>
      <w:r w:rsidRPr="00612C4D">
        <w:rPr>
          <w:color w:val="000000"/>
        </w:rPr>
        <w:t>одбитак</w:t>
      </w:r>
      <w:r w:rsidR="00171709" w:rsidRPr="00612C4D">
        <w:rPr>
          <w:color w:val="000000"/>
        </w:rPr>
        <w:t xml:space="preserve"> </w:t>
      </w:r>
      <w:r w:rsidRPr="00612C4D">
        <w:rPr>
          <w:color w:val="000000"/>
        </w:rPr>
        <w:t>претходног</w:t>
      </w:r>
      <w:r w:rsidR="00171709" w:rsidRPr="00612C4D">
        <w:rPr>
          <w:color w:val="000000"/>
        </w:rPr>
        <w:t xml:space="preserve"> </w:t>
      </w:r>
      <w:r w:rsidRPr="00612C4D">
        <w:rPr>
          <w:color w:val="000000"/>
        </w:rPr>
        <w:t>пореза</w:t>
      </w:r>
      <w:r w:rsidR="00171709" w:rsidRPr="00612C4D">
        <w:rPr>
          <w:color w:val="000000"/>
        </w:rPr>
        <w:t xml:space="preserve">, </w:t>
      </w:r>
      <w:r w:rsidRPr="00612C4D">
        <w:rPr>
          <w:color w:val="000000"/>
        </w:rPr>
        <w:t>може</w:t>
      </w:r>
      <w:r w:rsidR="00171709" w:rsidRPr="00612C4D">
        <w:rPr>
          <w:color w:val="000000"/>
        </w:rPr>
        <w:t xml:space="preserve"> </w:t>
      </w:r>
      <w:r w:rsidRPr="00612C4D">
        <w:rPr>
          <w:color w:val="000000"/>
        </w:rPr>
        <w:t>да</w:t>
      </w:r>
      <w:r w:rsidR="00171709" w:rsidRPr="00612C4D">
        <w:rPr>
          <w:color w:val="000000"/>
        </w:rPr>
        <w:t xml:space="preserve"> </w:t>
      </w:r>
      <w:r w:rsidRPr="00612C4D">
        <w:rPr>
          <w:color w:val="000000"/>
        </w:rPr>
        <w:t>одбије</w:t>
      </w:r>
      <w:r w:rsidR="00171709" w:rsidRPr="00612C4D">
        <w:rPr>
          <w:color w:val="000000"/>
        </w:rPr>
        <w:t xml:space="preserve"> </w:t>
      </w:r>
      <w:r w:rsidRPr="00612C4D">
        <w:rPr>
          <w:color w:val="000000"/>
        </w:rPr>
        <w:t>сразмерни</w:t>
      </w:r>
      <w:r w:rsidR="00171709" w:rsidRPr="00612C4D">
        <w:rPr>
          <w:color w:val="000000"/>
        </w:rPr>
        <w:t xml:space="preserve"> </w:t>
      </w:r>
      <w:r w:rsidRPr="00612C4D">
        <w:rPr>
          <w:color w:val="000000"/>
        </w:rPr>
        <w:t>део</w:t>
      </w:r>
      <w:r w:rsidR="00171709" w:rsidRPr="00612C4D">
        <w:rPr>
          <w:color w:val="000000"/>
        </w:rPr>
        <w:t xml:space="preserve"> </w:t>
      </w:r>
      <w:r w:rsidRPr="00612C4D">
        <w:rPr>
          <w:color w:val="000000"/>
        </w:rPr>
        <w:t>претходног</w:t>
      </w:r>
      <w:r w:rsidR="00171709" w:rsidRPr="00612C4D">
        <w:rPr>
          <w:color w:val="000000"/>
        </w:rPr>
        <w:t xml:space="preserve"> </w:t>
      </w:r>
      <w:r w:rsidRPr="00612C4D">
        <w:rPr>
          <w:color w:val="000000"/>
        </w:rPr>
        <w:t>пореза</w:t>
      </w:r>
      <w:r w:rsidR="00171709" w:rsidRPr="00612C4D">
        <w:rPr>
          <w:color w:val="000000"/>
        </w:rPr>
        <w:t xml:space="preserve"> </w:t>
      </w:r>
      <w:r w:rsidRPr="00612C4D">
        <w:rPr>
          <w:color w:val="000000"/>
        </w:rPr>
        <w:t>који</w:t>
      </w:r>
      <w:r w:rsidR="00171709" w:rsidRPr="00612C4D">
        <w:rPr>
          <w:color w:val="000000"/>
        </w:rPr>
        <w:t xml:space="preserve"> </w:t>
      </w:r>
      <w:r w:rsidRPr="00612C4D">
        <w:rPr>
          <w:color w:val="000000"/>
        </w:rPr>
        <w:t>одговара</w:t>
      </w:r>
      <w:r w:rsidR="00171709" w:rsidRPr="00612C4D">
        <w:rPr>
          <w:color w:val="000000"/>
        </w:rPr>
        <w:t xml:space="preserve"> </w:t>
      </w:r>
      <w:r w:rsidRPr="00612C4D">
        <w:rPr>
          <w:color w:val="000000"/>
        </w:rPr>
        <w:lastRenderedPageBreak/>
        <w:t>учешћу</w:t>
      </w:r>
      <w:r w:rsidR="00171709" w:rsidRPr="00612C4D">
        <w:rPr>
          <w:color w:val="000000"/>
        </w:rPr>
        <w:t xml:space="preserve"> </w:t>
      </w:r>
      <w:r w:rsidRPr="00612C4D">
        <w:rPr>
          <w:color w:val="000000"/>
        </w:rPr>
        <w:t>промета</w:t>
      </w:r>
      <w:r w:rsidR="00171709" w:rsidRPr="00612C4D">
        <w:rPr>
          <w:color w:val="000000"/>
        </w:rPr>
        <w:t xml:space="preserve"> </w:t>
      </w:r>
      <w:r w:rsidRPr="00612C4D">
        <w:rPr>
          <w:color w:val="000000"/>
        </w:rPr>
        <w:t>добара</w:t>
      </w:r>
      <w:r w:rsidR="00171709" w:rsidRPr="00612C4D">
        <w:rPr>
          <w:color w:val="000000"/>
        </w:rPr>
        <w:t xml:space="preserve"> </w:t>
      </w:r>
      <w:r w:rsidRPr="00612C4D">
        <w:rPr>
          <w:color w:val="000000"/>
        </w:rPr>
        <w:t>и</w:t>
      </w:r>
      <w:r w:rsidR="00171709" w:rsidRPr="00612C4D">
        <w:rPr>
          <w:color w:val="000000"/>
        </w:rPr>
        <w:t xml:space="preserve"> </w:t>
      </w:r>
      <w:r w:rsidRPr="00612C4D">
        <w:rPr>
          <w:color w:val="000000"/>
        </w:rPr>
        <w:t>услуга</w:t>
      </w:r>
      <w:r w:rsidR="00171709" w:rsidRPr="00612C4D">
        <w:rPr>
          <w:color w:val="000000"/>
        </w:rPr>
        <w:t xml:space="preserve"> </w:t>
      </w:r>
      <w:r w:rsidRPr="00612C4D">
        <w:rPr>
          <w:color w:val="000000"/>
        </w:rPr>
        <w:t>са</w:t>
      </w:r>
      <w:r w:rsidR="00171709" w:rsidRPr="00612C4D">
        <w:rPr>
          <w:color w:val="000000"/>
        </w:rPr>
        <w:t xml:space="preserve"> </w:t>
      </w:r>
      <w:r w:rsidRPr="00612C4D">
        <w:rPr>
          <w:color w:val="000000"/>
        </w:rPr>
        <w:t>правом</w:t>
      </w:r>
      <w:r w:rsidR="00171709" w:rsidRPr="00612C4D">
        <w:rPr>
          <w:color w:val="000000"/>
        </w:rPr>
        <w:t xml:space="preserve"> </w:t>
      </w:r>
      <w:r w:rsidRPr="00612C4D">
        <w:rPr>
          <w:color w:val="000000"/>
        </w:rPr>
        <w:t>на</w:t>
      </w:r>
      <w:r w:rsidR="00171709" w:rsidRPr="00612C4D">
        <w:rPr>
          <w:color w:val="000000"/>
        </w:rPr>
        <w:t xml:space="preserve"> </w:t>
      </w:r>
      <w:r w:rsidRPr="00612C4D">
        <w:rPr>
          <w:color w:val="000000"/>
        </w:rPr>
        <w:t>одбитак</w:t>
      </w:r>
      <w:r w:rsidR="00171709" w:rsidRPr="00612C4D">
        <w:rPr>
          <w:color w:val="000000"/>
        </w:rPr>
        <w:t xml:space="preserve"> </w:t>
      </w:r>
      <w:r w:rsidRPr="00612C4D">
        <w:rPr>
          <w:color w:val="000000"/>
        </w:rPr>
        <w:t>претходног</w:t>
      </w:r>
      <w:r w:rsidR="00171709" w:rsidRPr="00612C4D">
        <w:rPr>
          <w:color w:val="000000"/>
        </w:rPr>
        <w:t xml:space="preserve"> </w:t>
      </w:r>
      <w:r w:rsidRPr="00612C4D">
        <w:rPr>
          <w:color w:val="000000"/>
        </w:rPr>
        <w:t>пореза</w:t>
      </w:r>
      <w:r w:rsidR="00171709" w:rsidRPr="00612C4D">
        <w:rPr>
          <w:color w:val="000000"/>
        </w:rPr>
        <w:t xml:space="preserve"> </w:t>
      </w:r>
      <w:r w:rsidRPr="00612C4D">
        <w:rPr>
          <w:color w:val="000000"/>
        </w:rPr>
        <w:t>у</w:t>
      </w:r>
      <w:r w:rsidR="00171709" w:rsidRPr="00612C4D">
        <w:rPr>
          <w:color w:val="000000"/>
        </w:rPr>
        <w:t xml:space="preserve"> </w:t>
      </w:r>
      <w:r w:rsidRPr="00612C4D">
        <w:rPr>
          <w:color w:val="000000"/>
        </w:rPr>
        <w:t>који</w:t>
      </w:r>
      <w:r w:rsidR="00171709" w:rsidRPr="00612C4D">
        <w:rPr>
          <w:color w:val="000000"/>
        </w:rPr>
        <w:t xml:space="preserve"> </w:t>
      </w:r>
      <w:r w:rsidRPr="00612C4D">
        <w:rPr>
          <w:color w:val="000000"/>
        </w:rPr>
        <w:t>није</w:t>
      </w:r>
      <w:r w:rsidR="00171709" w:rsidRPr="00612C4D">
        <w:rPr>
          <w:color w:val="000000"/>
        </w:rPr>
        <w:t xml:space="preserve"> </w:t>
      </w:r>
      <w:r w:rsidRPr="00612C4D">
        <w:rPr>
          <w:color w:val="000000"/>
        </w:rPr>
        <w:t>укључен</w:t>
      </w:r>
      <w:r w:rsidR="00171709" w:rsidRPr="00612C4D">
        <w:rPr>
          <w:color w:val="000000"/>
        </w:rPr>
        <w:t xml:space="preserve"> </w:t>
      </w:r>
      <w:r w:rsidRPr="00612C4D">
        <w:rPr>
          <w:color w:val="000000"/>
        </w:rPr>
        <w:t>ПДВ</w:t>
      </w:r>
      <w:r w:rsidR="00171709" w:rsidRPr="00612C4D">
        <w:rPr>
          <w:color w:val="000000"/>
        </w:rPr>
        <w:t xml:space="preserve">, </w:t>
      </w:r>
      <w:r w:rsidRPr="00612C4D">
        <w:rPr>
          <w:color w:val="000000"/>
        </w:rPr>
        <w:t>у</w:t>
      </w:r>
      <w:r w:rsidR="00171709" w:rsidRPr="00612C4D">
        <w:rPr>
          <w:color w:val="000000"/>
        </w:rPr>
        <w:t xml:space="preserve"> </w:t>
      </w:r>
      <w:r w:rsidRPr="00612C4D">
        <w:rPr>
          <w:color w:val="000000"/>
        </w:rPr>
        <w:t>укупном</w:t>
      </w:r>
      <w:r w:rsidR="00171709" w:rsidRPr="00612C4D">
        <w:rPr>
          <w:color w:val="000000"/>
        </w:rPr>
        <w:t xml:space="preserve"> </w:t>
      </w:r>
      <w:r w:rsidRPr="00612C4D">
        <w:rPr>
          <w:color w:val="000000"/>
        </w:rPr>
        <w:t>промету</w:t>
      </w:r>
      <w:r w:rsidR="00171709" w:rsidRPr="00612C4D">
        <w:rPr>
          <w:color w:val="000000"/>
        </w:rPr>
        <w:t xml:space="preserve"> </w:t>
      </w:r>
      <w:r w:rsidRPr="00612C4D">
        <w:rPr>
          <w:color w:val="000000"/>
        </w:rPr>
        <w:t>у</w:t>
      </w:r>
      <w:r w:rsidR="00171709" w:rsidRPr="00612C4D">
        <w:rPr>
          <w:color w:val="000000"/>
        </w:rPr>
        <w:t xml:space="preserve"> </w:t>
      </w:r>
      <w:r w:rsidRPr="00612C4D">
        <w:rPr>
          <w:color w:val="000000"/>
        </w:rPr>
        <w:t>који</w:t>
      </w:r>
      <w:r w:rsidR="00171709" w:rsidRPr="00612C4D">
        <w:rPr>
          <w:color w:val="000000"/>
        </w:rPr>
        <w:t xml:space="preserve"> </w:t>
      </w:r>
      <w:r w:rsidRPr="00612C4D">
        <w:rPr>
          <w:color w:val="000000"/>
        </w:rPr>
        <w:t>није</w:t>
      </w:r>
      <w:r w:rsidR="00171709" w:rsidRPr="00612C4D">
        <w:rPr>
          <w:color w:val="000000"/>
        </w:rPr>
        <w:t xml:space="preserve"> </w:t>
      </w:r>
      <w:r w:rsidRPr="00612C4D">
        <w:rPr>
          <w:color w:val="000000"/>
        </w:rPr>
        <w:t>укључен</w:t>
      </w:r>
      <w:r w:rsidR="00392BF2" w:rsidRPr="00612C4D">
        <w:rPr>
          <w:color w:val="000000"/>
        </w:rPr>
        <w:t xml:space="preserve"> </w:t>
      </w:r>
      <w:r w:rsidRPr="00612C4D">
        <w:rPr>
          <w:color w:val="000000"/>
        </w:rPr>
        <w:t>ПДВ</w:t>
      </w:r>
      <w:r w:rsidR="00171709" w:rsidRPr="00612C4D">
        <w:rPr>
          <w:color w:val="000000"/>
        </w:rPr>
        <w:t>.</w:t>
      </w:r>
      <w:r w:rsidR="00392BF2" w:rsidRPr="00612C4D">
        <w:rPr>
          <w:rStyle w:val="FootnoteReference"/>
          <w:color w:val="000000"/>
        </w:rPr>
        <w:footnoteReference w:id="400"/>
      </w:r>
    </w:p>
    <w:p w:rsidR="005A16DE" w:rsidRDefault="005A16DE" w:rsidP="00612C4D">
      <w:pPr>
        <w:pStyle w:val="normal0"/>
        <w:shd w:val="clear" w:color="auto" w:fill="FFFFFF"/>
        <w:spacing w:before="48" w:beforeAutospacing="0" w:after="48" w:afterAutospacing="0"/>
        <w:ind w:firstLine="360"/>
        <w:jc w:val="both"/>
        <w:rPr>
          <w:color w:val="000000"/>
          <w:lang w:val="sr-Cyrl-CS"/>
        </w:rPr>
      </w:pPr>
    </w:p>
    <w:p w:rsidR="005A16DE" w:rsidRDefault="005A16DE" w:rsidP="003314D2">
      <w:pPr>
        <w:pStyle w:val="normal0"/>
        <w:shd w:val="clear" w:color="auto" w:fill="FFFFFF"/>
        <w:spacing w:before="48" w:beforeAutospacing="0" w:after="48" w:afterAutospacing="0"/>
        <w:ind w:firstLine="360"/>
        <w:jc w:val="both"/>
        <w:rPr>
          <w:color w:val="000000"/>
          <w:lang w:val="sr-Cyrl-CS"/>
        </w:rPr>
      </w:pPr>
      <w:r>
        <w:rPr>
          <w:color w:val="000000"/>
          <w:lang w:val="sr-Cyrl-CS"/>
        </w:rPr>
        <w:t>На увоз добара која се у оквиру царинског поступка привремено увозе и поново извозе, као и стављају у царински поступак активног оплемењивања системом одлагања, за који је чл. 26 Закона о порезу на додату вредност</w:t>
      </w:r>
      <w:r w:rsidR="003314D2" w:rsidRPr="00612C4D">
        <w:rPr>
          <w:rStyle w:val="FootnoteReference"/>
          <w:color w:val="000000"/>
        </w:rPr>
        <w:footnoteReference w:id="401"/>
      </w:r>
      <w:r>
        <w:rPr>
          <w:color w:val="000000"/>
          <w:lang w:val="sr-Cyrl-CS"/>
        </w:rPr>
        <w:t xml:space="preserve"> прописано пореско ослобођење, постоји могућност избегавања ПДВ-а, тако што се репроматеријал након оплемењивања не враћа ино-добављачу, већ се за готов новац продаје на домаћем тржишту, а у пословним књигама лажно приказује реекспорт. Овај појавни облик био је карактериситичан за нека предузећа са подручја Новог Пазара која су из Турске привремено увозила веће количине конфекцијских тканина. Сем избегавања плаћања царине и ПДВ-а при увозу, на тканине увежене на наведени нач</w:t>
      </w:r>
      <w:r w:rsidR="003314D2">
        <w:rPr>
          <w:color w:val="000000"/>
          <w:lang w:val="sr-Cyrl-CS"/>
        </w:rPr>
        <w:t>ин, пореску утају врше и произво</w:t>
      </w:r>
      <w:r>
        <w:rPr>
          <w:color w:val="000000"/>
          <w:lang w:val="sr-Cyrl-CS"/>
        </w:rPr>
        <w:t>ђачи који неевидентирају репроматер</w:t>
      </w:r>
      <w:r w:rsidR="003314D2">
        <w:rPr>
          <w:color w:val="000000"/>
          <w:lang w:val="sr-Cyrl-CS"/>
        </w:rPr>
        <w:t>и</w:t>
      </w:r>
      <w:r>
        <w:rPr>
          <w:color w:val="000000"/>
          <w:lang w:val="sr-Cyrl-CS"/>
        </w:rPr>
        <w:t xml:space="preserve">јал и производњу и продају готових производа (конфекције). У проверама су идентификовани и случајеви када се у ПДВ пријаву једноставно уносе лажни, већи износи претходног пореза у односу на порез који је плаћен при увозу добара и који је исказан у </w:t>
      </w:r>
      <w:r w:rsidR="004C0E90">
        <w:rPr>
          <w:color w:val="000000"/>
          <w:lang w:val="sr-Cyrl-CS"/>
        </w:rPr>
        <w:t>ца</w:t>
      </w:r>
      <w:r>
        <w:rPr>
          <w:color w:val="000000"/>
          <w:lang w:val="sr-Cyrl-CS"/>
        </w:rPr>
        <w:t>р</w:t>
      </w:r>
      <w:r w:rsidR="004C0E90">
        <w:rPr>
          <w:color w:val="000000"/>
          <w:lang w:val="sr-Cyrl-CS"/>
        </w:rPr>
        <w:t>и</w:t>
      </w:r>
      <w:r>
        <w:rPr>
          <w:color w:val="000000"/>
          <w:lang w:val="sr-Cyrl-CS"/>
        </w:rPr>
        <w:t>нској документацији.</w:t>
      </w:r>
      <w:r w:rsidR="003314D2">
        <w:rPr>
          <w:rStyle w:val="FootnoteReference"/>
          <w:color w:val="000000"/>
          <w:lang w:val="sr-Cyrl-CS"/>
        </w:rPr>
        <w:footnoteReference w:id="402"/>
      </w:r>
    </w:p>
    <w:p w:rsidR="00392BF2" w:rsidRPr="00612C4D" w:rsidRDefault="00392BF2" w:rsidP="00612C4D">
      <w:pPr>
        <w:pStyle w:val="normal0"/>
        <w:shd w:val="clear" w:color="auto" w:fill="FFFFFF"/>
        <w:spacing w:before="48" w:beforeAutospacing="0" w:after="48" w:afterAutospacing="0"/>
        <w:jc w:val="both"/>
        <w:rPr>
          <w:color w:val="000000"/>
          <w:lang w:val="sr-Cyrl-CS"/>
        </w:rPr>
      </w:pPr>
    </w:p>
    <w:p w:rsidR="002D02A8" w:rsidRPr="00612C4D" w:rsidRDefault="00171709" w:rsidP="00612C4D">
      <w:pPr>
        <w:shd w:val="clear" w:color="auto" w:fill="FFFFFF"/>
        <w:spacing w:after="0" w:line="285" w:lineRule="atLeast"/>
        <w:ind w:firstLine="360"/>
        <w:jc w:val="both"/>
        <w:rPr>
          <w:rFonts w:ascii="Times New Roman" w:hAnsi="Times New Roman"/>
          <w:color w:val="000000"/>
          <w:sz w:val="24"/>
          <w:szCs w:val="24"/>
          <w:lang w:val="sr-Cyrl-CS"/>
        </w:rPr>
      </w:pPr>
      <w:r w:rsidRPr="00612C4D">
        <w:rPr>
          <w:rFonts w:ascii="Times New Roman" w:hAnsi="Times New Roman"/>
          <w:color w:val="000000"/>
          <w:sz w:val="24"/>
          <w:szCs w:val="24"/>
          <w:lang w:val="sr-Cyrl-CS"/>
        </w:rPr>
        <w:t xml:space="preserve">Обвезник може да не изврши поделу претходног пореза или да </w:t>
      </w:r>
      <w:r w:rsidR="00392BF2" w:rsidRPr="00612C4D">
        <w:rPr>
          <w:rFonts w:ascii="Times New Roman" w:hAnsi="Times New Roman"/>
          <w:color w:val="000000"/>
          <w:sz w:val="24"/>
          <w:szCs w:val="24"/>
          <w:lang w:val="sr-Cyrl-CS"/>
        </w:rPr>
        <w:t xml:space="preserve">поделу не изврши  у складу са законом, а све у циљу пореске евазије. </w:t>
      </w:r>
      <w:r w:rsidR="00C23054">
        <w:rPr>
          <w:rFonts w:ascii="Times New Roman" w:hAnsi="Times New Roman"/>
          <w:color w:val="000000"/>
          <w:sz w:val="24"/>
          <w:szCs w:val="24"/>
          <w:lang w:val="sr-Cyrl-CS"/>
        </w:rPr>
        <w:t xml:space="preserve">Осим </w:t>
      </w:r>
      <w:r w:rsidR="00392BF2" w:rsidRPr="00612C4D">
        <w:rPr>
          <w:rFonts w:ascii="Times New Roman" w:hAnsi="Times New Roman"/>
          <w:color w:val="000000"/>
          <w:sz w:val="24"/>
          <w:szCs w:val="24"/>
          <w:lang w:val="sr-Cyrl-CS"/>
        </w:rPr>
        <w:t>тога, и</w:t>
      </w:r>
      <w:r w:rsidR="00241CCA" w:rsidRPr="00612C4D">
        <w:rPr>
          <w:rFonts w:ascii="Times New Roman" w:hAnsi="Times New Roman"/>
          <w:color w:val="000000"/>
          <w:sz w:val="24"/>
          <w:szCs w:val="24"/>
          <w:lang w:val="sr-Cyrl-CS"/>
        </w:rPr>
        <w:t xml:space="preserve">зузеци од општег режима опорезивања пружају пуно могућности за разне злоупотребе. Због тога овакви изузеци треба да буду што мањи, јер поред тога што компликују порески систем, могу постати погодан механизам за евазију пореза. </w:t>
      </w:r>
    </w:p>
    <w:p w:rsidR="00241CCA" w:rsidRPr="00612C4D" w:rsidRDefault="00241CCA" w:rsidP="00612C4D">
      <w:pPr>
        <w:shd w:val="clear" w:color="auto" w:fill="FFFFFF"/>
        <w:spacing w:after="0" w:line="285" w:lineRule="atLeast"/>
        <w:ind w:firstLine="360"/>
        <w:jc w:val="both"/>
        <w:rPr>
          <w:rFonts w:ascii="Times New Roman" w:hAnsi="Times New Roman"/>
          <w:color w:val="000000"/>
          <w:sz w:val="24"/>
          <w:szCs w:val="24"/>
          <w:lang w:val="sr-Cyrl-CS"/>
        </w:rPr>
      </w:pPr>
    </w:p>
    <w:p w:rsidR="00241CCA" w:rsidRPr="00612C4D" w:rsidRDefault="00241CCA" w:rsidP="00612C4D">
      <w:pPr>
        <w:shd w:val="clear" w:color="auto" w:fill="FFFFFF"/>
        <w:spacing w:after="0" w:line="285" w:lineRule="atLeast"/>
        <w:ind w:firstLine="360"/>
        <w:jc w:val="both"/>
        <w:rPr>
          <w:rFonts w:ascii="Times New Roman" w:hAnsi="Times New Roman"/>
          <w:color w:val="000000"/>
          <w:sz w:val="24"/>
          <w:szCs w:val="24"/>
          <w:lang w:val="sr-Cyrl-CS"/>
        </w:rPr>
      </w:pPr>
      <w:r w:rsidRPr="00612C4D">
        <w:rPr>
          <w:rFonts w:ascii="Times New Roman" w:hAnsi="Times New Roman"/>
          <w:color w:val="000000"/>
          <w:sz w:val="24"/>
          <w:szCs w:val="24"/>
          <w:lang w:val="sr-Cyrl-CS"/>
        </w:rPr>
        <w:t>Према Закону о порезу на додату вредност</w:t>
      </w:r>
      <w:r w:rsidRPr="00612C4D">
        <w:rPr>
          <w:rStyle w:val="FootnoteReference"/>
          <w:rFonts w:ascii="Times New Roman" w:hAnsi="Times New Roman"/>
          <w:color w:val="000000"/>
          <w:sz w:val="24"/>
          <w:szCs w:val="24"/>
          <w:lang w:val="sr-Cyrl-CS"/>
        </w:rPr>
        <w:footnoteReference w:id="403"/>
      </w:r>
      <w:r w:rsidRPr="00612C4D">
        <w:rPr>
          <w:rFonts w:ascii="Times New Roman" w:hAnsi="Times New Roman"/>
          <w:color w:val="000000"/>
          <w:sz w:val="24"/>
          <w:szCs w:val="24"/>
          <w:lang w:val="sr-Cyrl-CS"/>
        </w:rPr>
        <w:t xml:space="preserve"> бројна су пореска олобођења и постоји више врста и то:</w:t>
      </w:r>
    </w:p>
    <w:p w:rsidR="00241CCA" w:rsidRPr="00612C4D" w:rsidRDefault="00241CCA" w:rsidP="00612C4D">
      <w:pPr>
        <w:shd w:val="clear" w:color="auto" w:fill="FFFFFF"/>
        <w:spacing w:after="0" w:line="285" w:lineRule="atLeast"/>
        <w:ind w:firstLine="360"/>
        <w:jc w:val="both"/>
        <w:rPr>
          <w:rFonts w:ascii="Times New Roman" w:hAnsi="Times New Roman"/>
          <w:color w:val="000000"/>
          <w:sz w:val="24"/>
          <w:szCs w:val="24"/>
          <w:lang w:val="sr-Cyrl-CS"/>
        </w:rPr>
      </w:pPr>
    </w:p>
    <w:p w:rsidR="00241CCA" w:rsidRDefault="00241CCA" w:rsidP="008A3795">
      <w:pPr>
        <w:numPr>
          <w:ilvl w:val="0"/>
          <w:numId w:val="23"/>
        </w:numPr>
        <w:shd w:val="clear" w:color="auto" w:fill="FFFFFF"/>
        <w:spacing w:after="0" w:line="285" w:lineRule="atLeast"/>
        <w:jc w:val="both"/>
        <w:rPr>
          <w:rFonts w:ascii="Times New Roman" w:hAnsi="Times New Roman"/>
          <w:color w:val="000000"/>
          <w:sz w:val="24"/>
          <w:szCs w:val="24"/>
          <w:lang w:val="sr-Cyrl-CS"/>
        </w:rPr>
      </w:pPr>
      <w:r w:rsidRPr="00612C4D">
        <w:rPr>
          <w:rFonts w:ascii="Times New Roman" w:hAnsi="Times New Roman"/>
          <w:color w:val="000000"/>
          <w:sz w:val="24"/>
          <w:szCs w:val="24"/>
          <w:lang w:val="sr-Cyrl-CS"/>
        </w:rPr>
        <w:t>пореска ослобођења са правом на одбитак претходног пореза;</w:t>
      </w:r>
    </w:p>
    <w:p w:rsidR="004B6685" w:rsidRPr="00612C4D" w:rsidRDefault="004B6685" w:rsidP="004B6685">
      <w:pPr>
        <w:shd w:val="clear" w:color="auto" w:fill="FFFFFF"/>
        <w:spacing w:after="0" w:line="285" w:lineRule="atLeast"/>
        <w:ind w:left="720"/>
        <w:jc w:val="both"/>
        <w:rPr>
          <w:rFonts w:ascii="Times New Roman" w:hAnsi="Times New Roman"/>
          <w:color w:val="000000"/>
          <w:sz w:val="24"/>
          <w:szCs w:val="24"/>
          <w:lang w:val="sr-Cyrl-CS"/>
        </w:rPr>
      </w:pPr>
    </w:p>
    <w:p w:rsidR="00241CCA" w:rsidRDefault="00241CCA" w:rsidP="008A3795">
      <w:pPr>
        <w:numPr>
          <w:ilvl w:val="0"/>
          <w:numId w:val="23"/>
        </w:numPr>
        <w:shd w:val="clear" w:color="auto" w:fill="FFFFFF"/>
        <w:spacing w:after="0" w:line="285" w:lineRule="atLeast"/>
        <w:jc w:val="both"/>
        <w:rPr>
          <w:rFonts w:ascii="Times New Roman" w:hAnsi="Times New Roman"/>
          <w:color w:val="000000"/>
          <w:sz w:val="24"/>
          <w:szCs w:val="24"/>
          <w:lang w:val="sr-Cyrl-CS"/>
        </w:rPr>
      </w:pPr>
      <w:r w:rsidRPr="00612C4D">
        <w:rPr>
          <w:rFonts w:ascii="Times New Roman" w:hAnsi="Times New Roman"/>
          <w:color w:val="000000"/>
          <w:sz w:val="24"/>
          <w:szCs w:val="24"/>
          <w:lang w:val="sr-Cyrl-CS"/>
        </w:rPr>
        <w:t>пореска особођења без права на одбитак претходног пореза;</w:t>
      </w:r>
    </w:p>
    <w:p w:rsidR="004B6685" w:rsidRPr="00612C4D" w:rsidRDefault="004B6685" w:rsidP="004B6685">
      <w:pPr>
        <w:shd w:val="clear" w:color="auto" w:fill="FFFFFF"/>
        <w:spacing w:after="0" w:line="285" w:lineRule="atLeast"/>
        <w:jc w:val="both"/>
        <w:rPr>
          <w:rFonts w:ascii="Times New Roman" w:hAnsi="Times New Roman"/>
          <w:color w:val="000000"/>
          <w:sz w:val="24"/>
          <w:szCs w:val="24"/>
          <w:lang w:val="sr-Cyrl-CS"/>
        </w:rPr>
      </w:pPr>
    </w:p>
    <w:p w:rsidR="00241CCA" w:rsidRPr="00612C4D" w:rsidRDefault="00241CCA" w:rsidP="008A3795">
      <w:pPr>
        <w:numPr>
          <w:ilvl w:val="0"/>
          <w:numId w:val="23"/>
        </w:numPr>
        <w:shd w:val="clear" w:color="auto" w:fill="FFFFFF"/>
        <w:spacing w:after="0" w:line="285" w:lineRule="atLeast"/>
        <w:jc w:val="both"/>
        <w:rPr>
          <w:rFonts w:ascii="Times New Roman" w:hAnsi="Times New Roman"/>
          <w:color w:val="000000"/>
          <w:sz w:val="24"/>
          <w:szCs w:val="24"/>
          <w:lang w:val="sr-Cyrl-CS"/>
        </w:rPr>
      </w:pPr>
      <w:r w:rsidRPr="00612C4D">
        <w:rPr>
          <w:rFonts w:ascii="Times New Roman" w:hAnsi="Times New Roman"/>
          <w:color w:val="000000"/>
          <w:sz w:val="24"/>
          <w:szCs w:val="24"/>
          <w:lang w:val="sr-Cyrl-CS"/>
        </w:rPr>
        <w:t>пореска ослобођења код увоза.</w:t>
      </w:r>
    </w:p>
    <w:p w:rsidR="00052B04" w:rsidRPr="00612C4D" w:rsidRDefault="00052B04" w:rsidP="00612C4D">
      <w:pPr>
        <w:shd w:val="clear" w:color="auto" w:fill="FFFFFF"/>
        <w:spacing w:after="0" w:line="285" w:lineRule="atLeast"/>
        <w:ind w:left="720"/>
        <w:jc w:val="both"/>
        <w:rPr>
          <w:rFonts w:ascii="Times New Roman" w:hAnsi="Times New Roman"/>
          <w:color w:val="000000"/>
          <w:sz w:val="24"/>
          <w:szCs w:val="24"/>
          <w:lang w:val="sr-Cyrl-CS"/>
        </w:rPr>
      </w:pPr>
    </w:p>
    <w:p w:rsidR="00052B04" w:rsidRPr="00612C4D" w:rsidRDefault="00052B04" w:rsidP="00612C4D">
      <w:pPr>
        <w:shd w:val="clear" w:color="auto" w:fill="FFFFFF"/>
        <w:spacing w:after="0" w:line="285" w:lineRule="atLeast"/>
        <w:ind w:firstLine="360"/>
        <w:jc w:val="both"/>
        <w:rPr>
          <w:rFonts w:ascii="Times New Roman" w:hAnsi="Times New Roman"/>
          <w:color w:val="000000"/>
          <w:sz w:val="24"/>
          <w:szCs w:val="24"/>
          <w:lang w:val="sr-Cyrl-CS"/>
        </w:rPr>
      </w:pPr>
      <w:r w:rsidRPr="00612C4D">
        <w:rPr>
          <w:rFonts w:ascii="Times New Roman" w:hAnsi="Times New Roman"/>
          <w:color w:val="000000"/>
          <w:sz w:val="24"/>
          <w:szCs w:val="24"/>
          <w:lang w:val="sr-Cyrl-CS"/>
        </w:rPr>
        <w:t>Такође</w:t>
      </w:r>
      <w:r w:rsidR="00392BF2" w:rsidRPr="00612C4D">
        <w:rPr>
          <w:rFonts w:ascii="Times New Roman" w:hAnsi="Times New Roman"/>
          <w:color w:val="000000"/>
          <w:sz w:val="24"/>
          <w:szCs w:val="24"/>
          <w:lang w:val="sr-Cyrl-CS"/>
        </w:rPr>
        <w:t>, могу се злоупотребити другачија регулисања</w:t>
      </w:r>
      <w:r w:rsidRPr="00612C4D">
        <w:rPr>
          <w:rFonts w:ascii="Times New Roman" w:hAnsi="Times New Roman"/>
          <w:color w:val="000000"/>
          <w:sz w:val="24"/>
          <w:szCs w:val="24"/>
          <w:lang w:val="sr-Cyrl-CS"/>
        </w:rPr>
        <w:t xml:space="preserve"> посебних поступака опорезивањем ПДВ-ом.</w:t>
      </w:r>
      <w:r w:rsidRPr="00612C4D">
        <w:rPr>
          <w:rStyle w:val="FootnoteReference"/>
          <w:rFonts w:ascii="Times New Roman" w:hAnsi="Times New Roman"/>
          <w:color w:val="000000"/>
          <w:sz w:val="24"/>
          <w:szCs w:val="24"/>
          <w:lang w:val="sr-Cyrl-CS"/>
        </w:rPr>
        <w:footnoteReference w:id="404"/>
      </w:r>
      <w:r w:rsidRPr="00612C4D">
        <w:rPr>
          <w:rFonts w:ascii="Times New Roman" w:hAnsi="Times New Roman"/>
          <w:color w:val="000000"/>
          <w:sz w:val="24"/>
          <w:szCs w:val="24"/>
          <w:lang w:val="sr-Cyrl-CS"/>
        </w:rPr>
        <w:t xml:space="preserve"> Ови поступци се односе на мале пореске обвезнике, пољопривреднике, туристичке агенције, половна добра, уметничка дела, колекционарска добра и антиквитете. Оправдање за увођење ових посебних поступака се налази у примени једноставнијег поступка за наведене случајеве, како би се избегла примена иначе сложеног поступка опорезивања кога прате високи административни трошкови. Али са друге стране, као и сваки изузетак од општег режима опорезивања, тако и примена посебних поступака може створити простор за евазију пореза.</w:t>
      </w:r>
    </w:p>
    <w:p w:rsidR="00052B04" w:rsidRPr="00612C4D" w:rsidRDefault="00052B04" w:rsidP="00612C4D">
      <w:pPr>
        <w:shd w:val="clear" w:color="auto" w:fill="FFFFFF"/>
        <w:spacing w:after="0" w:line="285" w:lineRule="atLeast"/>
        <w:ind w:firstLine="360"/>
        <w:jc w:val="both"/>
        <w:rPr>
          <w:rFonts w:ascii="Times New Roman" w:hAnsi="Times New Roman"/>
          <w:color w:val="000000"/>
          <w:sz w:val="24"/>
          <w:szCs w:val="24"/>
          <w:lang w:val="sr-Cyrl-CS"/>
        </w:rPr>
      </w:pPr>
    </w:p>
    <w:p w:rsidR="00052B04" w:rsidRPr="00612C4D" w:rsidRDefault="00034756" w:rsidP="004C0E90">
      <w:pPr>
        <w:pStyle w:val="normal0"/>
        <w:shd w:val="clear" w:color="auto" w:fill="FFFFFF"/>
        <w:spacing w:before="48" w:beforeAutospacing="0" w:after="48" w:afterAutospacing="0"/>
        <w:ind w:firstLine="360"/>
        <w:jc w:val="both"/>
        <w:rPr>
          <w:color w:val="000000"/>
          <w:lang w:val="sr-Cyrl-CS"/>
        </w:rPr>
      </w:pPr>
      <w:r w:rsidRPr="00612C4D">
        <w:rPr>
          <w:color w:val="000000"/>
          <w:lang w:val="sr-Cyrl-CS"/>
        </w:rPr>
        <w:t xml:space="preserve">Према законском регулисању, </w:t>
      </w:r>
      <w:r w:rsidRPr="00612C4D">
        <w:rPr>
          <w:color w:val="000000"/>
        </w:rPr>
        <w:t>о</w:t>
      </w:r>
      <w:r w:rsidR="00167C13" w:rsidRPr="00612C4D">
        <w:rPr>
          <w:color w:val="000000"/>
        </w:rPr>
        <w:t>бвезници</w:t>
      </w:r>
      <w:r w:rsidR="00052B04" w:rsidRPr="00612C4D">
        <w:rPr>
          <w:color w:val="000000"/>
        </w:rPr>
        <w:t xml:space="preserve"> </w:t>
      </w:r>
      <w:r w:rsidR="00167C13" w:rsidRPr="00612C4D">
        <w:rPr>
          <w:color w:val="000000"/>
        </w:rPr>
        <w:t>који</w:t>
      </w:r>
      <w:r w:rsidR="00052B04" w:rsidRPr="00612C4D">
        <w:rPr>
          <w:color w:val="000000"/>
        </w:rPr>
        <w:t xml:space="preserve"> </w:t>
      </w:r>
      <w:r w:rsidR="00167C13" w:rsidRPr="00612C4D">
        <w:rPr>
          <w:color w:val="000000"/>
        </w:rPr>
        <w:t>се</w:t>
      </w:r>
      <w:r w:rsidR="00052B04" w:rsidRPr="00612C4D">
        <w:rPr>
          <w:color w:val="000000"/>
        </w:rPr>
        <w:t xml:space="preserve"> </w:t>
      </w:r>
      <w:r w:rsidR="00167C13" w:rsidRPr="00612C4D">
        <w:rPr>
          <w:color w:val="000000"/>
        </w:rPr>
        <w:t>баве</w:t>
      </w:r>
      <w:r w:rsidR="00052B04" w:rsidRPr="00612C4D">
        <w:rPr>
          <w:color w:val="000000"/>
        </w:rPr>
        <w:t xml:space="preserve"> </w:t>
      </w:r>
      <w:r w:rsidR="00167C13" w:rsidRPr="00612C4D">
        <w:rPr>
          <w:color w:val="000000"/>
        </w:rPr>
        <w:t>прометом</w:t>
      </w:r>
      <w:r w:rsidR="00052B04" w:rsidRPr="00612C4D">
        <w:rPr>
          <w:color w:val="000000"/>
        </w:rPr>
        <w:t xml:space="preserve"> </w:t>
      </w:r>
      <w:r w:rsidR="00167C13" w:rsidRPr="00612C4D">
        <w:rPr>
          <w:color w:val="000000"/>
        </w:rPr>
        <w:t>половних</w:t>
      </w:r>
      <w:r w:rsidR="00052B04" w:rsidRPr="00612C4D">
        <w:rPr>
          <w:color w:val="000000"/>
        </w:rPr>
        <w:t xml:space="preserve"> </w:t>
      </w:r>
      <w:r w:rsidR="00167C13" w:rsidRPr="00612C4D">
        <w:rPr>
          <w:color w:val="000000"/>
        </w:rPr>
        <w:t>добара</w:t>
      </w:r>
      <w:r w:rsidR="00052B04" w:rsidRPr="00612C4D">
        <w:rPr>
          <w:color w:val="000000"/>
        </w:rPr>
        <w:t xml:space="preserve">, </w:t>
      </w:r>
      <w:r w:rsidR="00167C13" w:rsidRPr="00612C4D">
        <w:rPr>
          <w:color w:val="000000"/>
        </w:rPr>
        <w:t>укључујући</w:t>
      </w:r>
      <w:r w:rsidR="00052B04" w:rsidRPr="00612C4D">
        <w:rPr>
          <w:color w:val="000000"/>
        </w:rPr>
        <w:t xml:space="preserve"> </w:t>
      </w:r>
      <w:r w:rsidR="00167C13" w:rsidRPr="00612C4D">
        <w:rPr>
          <w:color w:val="000000"/>
        </w:rPr>
        <w:t>половна</w:t>
      </w:r>
      <w:r w:rsidR="00052B04" w:rsidRPr="00612C4D">
        <w:rPr>
          <w:color w:val="000000"/>
        </w:rPr>
        <w:t xml:space="preserve"> </w:t>
      </w:r>
      <w:r w:rsidR="00167C13" w:rsidRPr="00612C4D">
        <w:rPr>
          <w:color w:val="000000"/>
        </w:rPr>
        <w:t>моторна</w:t>
      </w:r>
      <w:r w:rsidR="00052B04" w:rsidRPr="00612C4D">
        <w:rPr>
          <w:color w:val="000000"/>
        </w:rPr>
        <w:t xml:space="preserve"> </w:t>
      </w:r>
      <w:r w:rsidR="00167C13" w:rsidRPr="00612C4D">
        <w:rPr>
          <w:color w:val="000000"/>
        </w:rPr>
        <w:t>возила</w:t>
      </w:r>
      <w:r w:rsidR="00052B04" w:rsidRPr="00612C4D">
        <w:rPr>
          <w:color w:val="000000"/>
        </w:rPr>
        <w:t xml:space="preserve">, </w:t>
      </w:r>
      <w:r w:rsidR="00167C13" w:rsidRPr="00612C4D">
        <w:rPr>
          <w:color w:val="000000"/>
        </w:rPr>
        <w:t>уметничких</w:t>
      </w:r>
      <w:r w:rsidR="00052B04" w:rsidRPr="00612C4D">
        <w:rPr>
          <w:color w:val="000000"/>
        </w:rPr>
        <w:t xml:space="preserve"> </w:t>
      </w:r>
      <w:r w:rsidR="00167C13" w:rsidRPr="00612C4D">
        <w:rPr>
          <w:color w:val="000000"/>
        </w:rPr>
        <w:t>дела</w:t>
      </w:r>
      <w:r w:rsidR="00052B04" w:rsidRPr="00612C4D">
        <w:rPr>
          <w:color w:val="000000"/>
        </w:rPr>
        <w:t xml:space="preserve">, </w:t>
      </w:r>
      <w:r w:rsidR="00167C13" w:rsidRPr="00612C4D">
        <w:rPr>
          <w:color w:val="000000"/>
        </w:rPr>
        <w:t>колекционарских</w:t>
      </w:r>
      <w:r w:rsidR="00052B04" w:rsidRPr="00612C4D">
        <w:rPr>
          <w:color w:val="000000"/>
        </w:rPr>
        <w:t xml:space="preserve"> </w:t>
      </w:r>
      <w:r w:rsidR="00167C13" w:rsidRPr="00612C4D">
        <w:rPr>
          <w:color w:val="000000"/>
        </w:rPr>
        <w:t>добара</w:t>
      </w:r>
      <w:r w:rsidR="00052B04" w:rsidRPr="00612C4D">
        <w:rPr>
          <w:color w:val="000000"/>
        </w:rPr>
        <w:t xml:space="preserve"> </w:t>
      </w:r>
      <w:r w:rsidR="00167C13" w:rsidRPr="00612C4D">
        <w:rPr>
          <w:color w:val="000000"/>
        </w:rPr>
        <w:t>и</w:t>
      </w:r>
      <w:r w:rsidR="00052B04" w:rsidRPr="00612C4D">
        <w:rPr>
          <w:color w:val="000000"/>
        </w:rPr>
        <w:t xml:space="preserve"> </w:t>
      </w:r>
      <w:r w:rsidR="00167C13" w:rsidRPr="00612C4D">
        <w:rPr>
          <w:color w:val="000000"/>
        </w:rPr>
        <w:t>антиквитета</w:t>
      </w:r>
      <w:r w:rsidR="00052B04" w:rsidRPr="00612C4D">
        <w:rPr>
          <w:color w:val="000000"/>
        </w:rPr>
        <w:t xml:space="preserve">, </w:t>
      </w:r>
      <w:r w:rsidR="00167C13" w:rsidRPr="00612C4D">
        <w:rPr>
          <w:color w:val="000000"/>
        </w:rPr>
        <w:t>утврђују</w:t>
      </w:r>
      <w:r w:rsidR="00052B04" w:rsidRPr="00612C4D">
        <w:rPr>
          <w:color w:val="000000"/>
        </w:rPr>
        <w:t xml:space="preserve"> </w:t>
      </w:r>
      <w:r w:rsidR="00167C13" w:rsidRPr="00612C4D">
        <w:rPr>
          <w:color w:val="000000"/>
        </w:rPr>
        <w:t>основицу</w:t>
      </w:r>
      <w:r w:rsidR="00052B04" w:rsidRPr="00612C4D">
        <w:rPr>
          <w:color w:val="000000"/>
        </w:rPr>
        <w:t xml:space="preserve"> </w:t>
      </w:r>
      <w:r w:rsidR="00167C13" w:rsidRPr="00612C4D">
        <w:rPr>
          <w:color w:val="000000"/>
        </w:rPr>
        <w:t>као</w:t>
      </w:r>
      <w:r w:rsidR="00052B04" w:rsidRPr="00612C4D">
        <w:rPr>
          <w:color w:val="000000"/>
        </w:rPr>
        <w:t xml:space="preserve"> </w:t>
      </w:r>
      <w:r w:rsidR="00167C13" w:rsidRPr="00612C4D">
        <w:rPr>
          <w:color w:val="000000"/>
        </w:rPr>
        <w:t>разлику</w:t>
      </w:r>
      <w:r w:rsidR="00052B04" w:rsidRPr="00612C4D">
        <w:rPr>
          <w:color w:val="000000"/>
        </w:rPr>
        <w:t xml:space="preserve"> </w:t>
      </w:r>
      <w:r w:rsidR="00167C13" w:rsidRPr="00612C4D">
        <w:rPr>
          <w:color w:val="000000"/>
        </w:rPr>
        <w:t>између</w:t>
      </w:r>
      <w:r w:rsidR="00052B04" w:rsidRPr="00612C4D">
        <w:rPr>
          <w:color w:val="000000"/>
        </w:rPr>
        <w:t xml:space="preserve"> </w:t>
      </w:r>
      <w:r w:rsidR="00167C13" w:rsidRPr="00612C4D">
        <w:rPr>
          <w:color w:val="000000"/>
        </w:rPr>
        <w:t>продајне</w:t>
      </w:r>
      <w:r w:rsidRPr="00612C4D">
        <w:rPr>
          <w:color w:val="000000"/>
        </w:rPr>
        <w:t xml:space="preserve"> </w:t>
      </w:r>
      <w:r w:rsidR="00167C13" w:rsidRPr="00612C4D">
        <w:rPr>
          <w:color w:val="000000"/>
        </w:rPr>
        <w:t>и</w:t>
      </w:r>
      <w:r w:rsidRPr="00612C4D">
        <w:rPr>
          <w:color w:val="000000"/>
        </w:rPr>
        <w:t xml:space="preserve"> </w:t>
      </w:r>
      <w:r w:rsidR="00167C13" w:rsidRPr="00612C4D">
        <w:rPr>
          <w:color w:val="000000"/>
        </w:rPr>
        <w:t>набавне</w:t>
      </w:r>
      <w:r w:rsidRPr="00612C4D">
        <w:rPr>
          <w:color w:val="000000"/>
        </w:rPr>
        <w:t xml:space="preserve"> </w:t>
      </w:r>
      <w:r w:rsidR="00167C13" w:rsidRPr="00612C4D">
        <w:rPr>
          <w:color w:val="000000"/>
        </w:rPr>
        <w:t>цене</w:t>
      </w:r>
      <w:r w:rsidRPr="00612C4D">
        <w:rPr>
          <w:color w:val="000000"/>
        </w:rPr>
        <w:t xml:space="preserve"> </w:t>
      </w:r>
      <w:r w:rsidR="00167C13" w:rsidRPr="00612C4D">
        <w:rPr>
          <w:color w:val="000000"/>
        </w:rPr>
        <w:t>добра</w:t>
      </w:r>
      <w:r w:rsidR="00052B04" w:rsidRPr="00612C4D">
        <w:rPr>
          <w:color w:val="000000"/>
        </w:rPr>
        <w:t xml:space="preserve">, </w:t>
      </w:r>
      <w:r w:rsidR="00167C13" w:rsidRPr="00612C4D">
        <w:rPr>
          <w:color w:val="000000"/>
        </w:rPr>
        <w:t>уз</w:t>
      </w:r>
      <w:r w:rsidR="00052B04" w:rsidRPr="00612C4D">
        <w:rPr>
          <w:color w:val="000000"/>
        </w:rPr>
        <w:t xml:space="preserve"> </w:t>
      </w:r>
      <w:r w:rsidR="00167C13" w:rsidRPr="00612C4D">
        <w:rPr>
          <w:color w:val="000000"/>
        </w:rPr>
        <w:t>одбитак</w:t>
      </w:r>
      <w:r w:rsidR="00052B04" w:rsidRPr="00612C4D">
        <w:rPr>
          <w:color w:val="000000"/>
        </w:rPr>
        <w:t xml:space="preserve"> </w:t>
      </w:r>
      <w:r w:rsidR="00167C13" w:rsidRPr="00612C4D">
        <w:rPr>
          <w:color w:val="000000"/>
        </w:rPr>
        <w:t>ПДВ</w:t>
      </w:r>
      <w:r w:rsidR="00052B04" w:rsidRPr="00612C4D">
        <w:rPr>
          <w:color w:val="000000"/>
        </w:rPr>
        <w:t xml:space="preserve"> </w:t>
      </w:r>
      <w:r w:rsidR="00167C13" w:rsidRPr="00612C4D">
        <w:rPr>
          <w:color w:val="000000"/>
        </w:rPr>
        <w:t>који</w:t>
      </w:r>
      <w:r w:rsidR="00052B04" w:rsidRPr="00612C4D">
        <w:rPr>
          <w:color w:val="000000"/>
        </w:rPr>
        <w:t xml:space="preserve"> </w:t>
      </w:r>
      <w:r w:rsidR="00167C13" w:rsidRPr="00612C4D">
        <w:rPr>
          <w:color w:val="000000"/>
        </w:rPr>
        <w:t>је</w:t>
      </w:r>
      <w:r w:rsidR="00052B04" w:rsidRPr="00612C4D">
        <w:rPr>
          <w:color w:val="000000"/>
        </w:rPr>
        <w:t xml:space="preserve"> </w:t>
      </w:r>
      <w:r w:rsidR="00167C13" w:rsidRPr="00612C4D">
        <w:rPr>
          <w:color w:val="000000"/>
        </w:rPr>
        <w:t>садржан</w:t>
      </w:r>
      <w:r w:rsidR="00052B04" w:rsidRPr="00612C4D">
        <w:rPr>
          <w:color w:val="000000"/>
        </w:rPr>
        <w:t xml:space="preserve"> </w:t>
      </w:r>
      <w:r w:rsidR="00167C13" w:rsidRPr="00612C4D">
        <w:rPr>
          <w:color w:val="000000"/>
        </w:rPr>
        <w:t>у</w:t>
      </w:r>
      <w:r w:rsidR="00052B04" w:rsidRPr="00612C4D">
        <w:rPr>
          <w:color w:val="000000"/>
        </w:rPr>
        <w:t xml:space="preserve"> </w:t>
      </w:r>
      <w:r w:rsidR="00167C13" w:rsidRPr="00612C4D">
        <w:rPr>
          <w:color w:val="000000"/>
        </w:rPr>
        <w:t>тој</w:t>
      </w:r>
      <w:r w:rsidR="00052B04" w:rsidRPr="00612C4D">
        <w:rPr>
          <w:color w:val="000000"/>
        </w:rPr>
        <w:t xml:space="preserve"> </w:t>
      </w:r>
      <w:r w:rsidR="00167C13" w:rsidRPr="00612C4D">
        <w:rPr>
          <w:color w:val="000000"/>
        </w:rPr>
        <w:t>разлици</w:t>
      </w:r>
      <w:r w:rsidR="00052B04" w:rsidRPr="00612C4D">
        <w:rPr>
          <w:color w:val="000000"/>
        </w:rPr>
        <w:t>.</w:t>
      </w:r>
      <w:r w:rsidRPr="00612C4D">
        <w:rPr>
          <w:color w:val="000000"/>
          <w:lang w:val="sr-Cyrl-CS"/>
        </w:rPr>
        <w:t xml:space="preserve"> Оваква основица </w:t>
      </w:r>
      <w:r w:rsidRPr="00612C4D">
        <w:rPr>
          <w:color w:val="000000"/>
        </w:rPr>
        <w:t xml:space="preserve"> </w:t>
      </w:r>
      <w:r w:rsidR="00052B04" w:rsidRPr="00612C4D">
        <w:rPr>
          <w:color w:val="000000"/>
        </w:rPr>
        <w:t xml:space="preserve"> </w:t>
      </w:r>
      <w:r w:rsidR="00167C13" w:rsidRPr="00612C4D">
        <w:rPr>
          <w:color w:val="000000"/>
        </w:rPr>
        <w:t>примењује</w:t>
      </w:r>
      <w:r w:rsidR="00052B04" w:rsidRPr="00612C4D">
        <w:rPr>
          <w:color w:val="000000"/>
        </w:rPr>
        <w:t xml:space="preserve"> </w:t>
      </w:r>
      <w:r w:rsidR="00167C13" w:rsidRPr="00612C4D">
        <w:rPr>
          <w:color w:val="000000"/>
        </w:rPr>
        <w:t>се</w:t>
      </w:r>
      <w:r w:rsidR="00052B04" w:rsidRPr="00612C4D">
        <w:rPr>
          <w:color w:val="000000"/>
        </w:rPr>
        <w:t xml:space="preserve"> </w:t>
      </w:r>
      <w:r w:rsidR="00167C13" w:rsidRPr="00612C4D">
        <w:rPr>
          <w:color w:val="000000"/>
        </w:rPr>
        <w:t>ако</w:t>
      </w:r>
      <w:r w:rsidR="00052B04" w:rsidRPr="00612C4D">
        <w:rPr>
          <w:color w:val="000000"/>
        </w:rPr>
        <w:t xml:space="preserve"> </w:t>
      </w:r>
      <w:r w:rsidR="00167C13" w:rsidRPr="00612C4D">
        <w:rPr>
          <w:color w:val="000000"/>
        </w:rPr>
        <w:t>код</w:t>
      </w:r>
      <w:r w:rsidR="00052B04" w:rsidRPr="00612C4D">
        <w:rPr>
          <w:color w:val="000000"/>
        </w:rPr>
        <w:t xml:space="preserve"> </w:t>
      </w:r>
      <w:r w:rsidR="00167C13" w:rsidRPr="00612C4D">
        <w:rPr>
          <w:color w:val="000000"/>
        </w:rPr>
        <w:t>набавке</w:t>
      </w:r>
      <w:r w:rsidR="00052B04" w:rsidRPr="00612C4D">
        <w:rPr>
          <w:color w:val="000000"/>
        </w:rPr>
        <w:t xml:space="preserve"> </w:t>
      </w:r>
      <w:r w:rsidR="00167C13" w:rsidRPr="00612C4D">
        <w:rPr>
          <w:color w:val="000000"/>
        </w:rPr>
        <w:t>добара</w:t>
      </w:r>
      <w:r w:rsidR="00052B04" w:rsidRPr="00612C4D">
        <w:rPr>
          <w:color w:val="000000"/>
        </w:rPr>
        <w:t xml:space="preserve"> </w:t>
      </w:r>
      <w:r w:rsidR="00167C13" w:rsidRPr="00612C4D">
        <w:rPr>
          <w:color w:val="000000"/>
        </w:rPr>
        <w:t>њихов</w:t>
      </w:r>
      <w:r w:rsidR="00052B04" w:rsidRPr="00612C4D">
        <w:rPr>
          <w:color w:val="000000"/>
        </w:rPr>
        <w:t xml:space="preserve"> </w:t>
      </w:r>
      <w:r w:rsidR="00167C13" w:rsidRPr="00612C4D">
        <w:rPr>
          <w:color w:val="000000"/>
        </w:rPr>
        <w:t>испоручилац</w:t>
      </w:r>
      <w:r w:rsidR="00052B04" w:rsidRPr="00612C4D">
        <w:rPr>
          <w:color w:val="000000"/>
        </w:rPr>
        <w:t xml:space="preserve"> </w:t>
      </w:r>
      <w:r w:rsidR="00167C13" w:rsidRPr="00612C4D">
        <w:rPr>
          <w:color w:val="000000"/>
        </w:rPr>
        <w:t>није</w:t>
      </w:r>
      <w:r w:rsidR="00052B04" w:rsidRPr="00612C4D">
        <w:rPr>
          <w:color w:val="000000"/>
        </w:rPr>
        <w:t xml:space="preserve"> </w:t>
      </w:r>
      <w:r w:rsidR="00167C13" w:rsidRPr="00612C4D">
        <w:rPr>
          <w:color w:val="000000"/>
        </w:rPr>
        <w:t>дуговао</w:t>
      </w:r>
      <w:r w:rsidR="00052B04" w:rsidRPr="00612C4D">
        <w:rPr>
          <w:color w:val="000000"/>
        </w:rPr>
        <w:t xml:space="preserve"> </w:t>
      </w:r>
      <w:r w:rsidR="00F55131" w:rsidRPr="00612C4D">
        <w:rPr>
          <w:color w:val="000000"/>
          <w:lang w:val="sr-Cyrl-CS"/>
        </w:rPr>
        <w:t xml:space="preserve">(лица које није порески обвезник) </w:t>
      </w:r>
      <w:r w:rsidR="00167C13" w:rsidRPr="00612C4D">
        <w:rPr>
          <w:color w:val="000000"/>
        </w:rPr>
        <w:t>ПДВ</w:t>
      </w:r>
      <w:r w:rsidR="00052B04" w:rsidRPr="00612C4D">
        <w:rPr>
          <w:color w:val="000000"/>
        </w:rPr>
        <w:t xml:space="preserve"> </w:t>
      </w:r>
      <w:r w:rsidR="00167C13" w:rsidRPr="00612C4D">
        <w:rPr>
          <w:color w:val="000000"/>
        </w:rPr>
        <w:t>или</w:t>
      </w:r>
      <w:r w:rsidR="00052B04" w:rsidRPr="00612C4D">
        <w:rPr>
          <w:color w:val="000000"/>
        </w:rPr>
        <w:t xml:space="preserve"> </w:t>
      </w:r>
      <w:r w:rsidR="00167C13" w:rsidRPr="00612C4D">
        <w:rPr>
          <w:color w:val="000000"/>
        </w:rPr>
        <w:t>је</w:t>
      </w:r>
      <w:r w:rsidR="00052B04" w:rsidRPr="00612C4D">
        <w:rPr>
          <w:color w:val="000000"/>
        </w:rPr>
        <w:t xml:space="preserve"> </w:t>
      </w:r>
      <w:r w:rsidR="00167C13" w:rsidRPr="00612C4D">
        <w:rPr>
          <w:color w:val="000000"/>
        </w:rPr>
        <w:t>користио</w:t>
      </w:r>
      <w:r w:rsidR="00052B04" w:rsidRPr="00612C4D">
        <w:rPr>
          <w:color w:val="000000"/>
        </w:rPr>
        <w:t xml:space="preserve"> </w:t>
      </w:r>
      <w:r w:rsidR="00167C13" w:rsidRPr="00612C4D">
        <w:rPr>
          <w:color w:val="000000"/>
        </w:rPr>
        <w:t>опорезивање</w:t>
      </w:r>
      <w:r w:rsidRPr="00612C4D">
        <w:rPr>
          <w:color w:val="000000"/>
        </w:rPr>
        <w:t xml:space="preserve"> </w:t>
      </w:r>
      <w:r w:rsidR="00167C13" w:rsidRPr="00612C4D">
        <w:rPr>
          <w:color w:val="000000"/>
        </w:rPr>
        <w:t>разлике</w:t>
      </w:r>
      <w:r w:rsidR="00052B04" w:rsidRPr="00612C4D">
        <w:rPr>
          <w:color w:val="000000"/>
        </w:rPr>
        <w:t>.</w:t>
      </w:r>
      <w:r w:rsidRPr="00612C4D">
        <w:rPr>
          <w:color w:val="000000"/>
          <w:lang w:val="sr-Cyrl-CS"/>
        </w:rPr>
        <w:t xml:space="preserve"> </w:t>
      </w:r>
      <w:r w:rsidR="00167C13" w:rsidRPr="00612C4D">
        <w:rPr>
          <w:color w:val="000000"/>
        </w:rPr>
        <w:t>Код</w:t>
      </w:r>
      <w:r w:rsidR="00F55131" w:rsidRPr="00612C4D">
        <w:rPr>
          <w:color w:val="000000"/>
        </w:rPr>
        <w:t xml:space="preserve"> </w:t>
      </w:r>
      <w:r w:rsidR="00167C13" w:rsidRPr="00612C4D">
        <w:rPr>
          <w:color w:val="000000"/>
        </w:rPr>
        <w:t>промета</w:t>
      </w:r>
      <w:r w:rsidR="00F55131" w:rsidRPr="00612C4D">
        <w:rPr>
          <w:color w:val="000000"/>
        </w:rPr>
        <w:t xml:space="preserve"> </w:t>
      </w:r>
      <w:r w:rsidRPr="00612C4D">
        <w:rPr>
          <w:color w:val="000000"/>
          <w:lang w:val="sr-Cyrl-CS"/>
        </w:rPr>
        <w:t xml:space="preserve">оваквих </w:t>
      </w:r>
      <w:r w:rsidR="00167C13" w:rsidRPr="00612C4D">
        <w:rPr>
          <w:color w:val="000000"/>
        </w:rPr>
        <w:t>добара</w:t>
      </w:r>
      <w:r w:rsidR="00F55131" w:rsidRPr="00612C4D">
        <w:rPr>
          <w:color w:val="000000"/>
        </w:rPr>
        <w:t xml:space="preserve">, </w:t>
      </w:r>
      <w:r w:rsidR="00167C13" w:rsidRPr="00612C4D">
        <w:rPr>
          <w:color w:val="000000"/>
        </w:rPr>
        <w:t>обвезник</w:t>
      </w:r>
      <w:r w:rsidR="00F55131" w:rsidRPr="00612C4D">
        <w:rPr>
          <w:color w:val="000000"/>
        </w:rPr>
        <w:t xml:space="preserve"> </w:t>
      </w:r>
      <w:r w:rsidR="00167C13" w:rsidRPr="00612C4D">
        <w:rPr>
          <w:color w:val="000000"/>
        </w:rPr>
        <w:t>не</w:t>
      </w:r>
      <w:r w:rsidR="00F55131" w:rsidRPr="00612C4D">
        <w:rPr>
          <w:color w:val="000000"/>
        </w:rPr>
        <w:t xml:space="preserve"> </w:t>
      </w:r>
      <w:r w:rsidR="00167C13" w:rsidRPr="00612C4D">
        <w:rPr>
          <w:color w:val="000000"/>
        </w:rPr>
        <w:t>може</w:t>
      </w:r>
      <w:r w:rsidR="00F55131" w:rsidRPr="00612C4D">
        <w:rPr>
          <w:color w:val="000000"/>
        </w:rPr>
        <w:t xml:space="preserve"> </w:t>
      </w:r>
      <w:r w:rsidR="00167C13" w:rsidRPr="00612C4D">
        <w:rPr>
          <w:color w:val="000000"/>
        </w:rPr>
        <w:t>исказивати</w:t>
      </w:r>
      <w:r w:rsidR="00F55131" w:rsidRPr="00612C4D">
        <w:rPr>
          <w:color w:val="000000"/>
        </w:rPr>
        <w:t xml:space="preserve"> </w:t>
      </w:r>
      <w:r w:rsidR="00167C13" w:rsidRPr="00612C4D">
        <w:rPr>
          <w:color w:val="000000"/>
        </w:rPr>
        <w:t>ПДВ</w:t>
      </w:r>
      <w:r w:rsidR="00F55131" w:rsidRPr="00612C4D">
        <w:rPr>
          <w:color w:val="000000"/>
        </w:rPr>
        <w:t xml:space="preserve"> </w:t>
      </w:r>
      <w:r w:rsidR="00167C13" w:rsidRPr="00612C4D">
        <w:rPr>
          <w:color w:val="000000"/>
        </w:rPr>
        <w:t>у</w:t>
      </w:r>
      <w:r w:rsidR="00F55131" w:rsidRPr="00612C4D">
        <w:rPr>
          <w:color w:val="000000"/>
        </w:rPr>
        <w:t xml:space="preserve"> </w:t>
      </w:r>
      <w:r w:rsidR="00167C13" w:rsidRPr="00612C4D">
        <w:rPr>
          <w:color w:val="000000"/>
        </w:rPr>
        <w:t>рачунима</w:t>
      </w:r>
      <w:r w:rsidR="00F55131" w:rsidRPr="00612C4D">
        <w:rPr>
          <w:color w:val="000000"/>
        </w:rPr>
        <w:t xml:space="preserve"> </w:t>
      </w:r>
      <w:r w:rsidR="00167C13" w:rsidRPr="00612C4D">
        <w:rPr>
          <w:color w:val="000000"/>
        </w:rPr>
        <w:t>или</w:t>
      </w:r>
      <w:r w:rsidR="00F55131" w:rsidRPr="00612C4D">
        <w:rPr>
          <w:color w:val="000000"/>
        </w:rPr>
        <w:t xml:space="preserve"> </w:t>
      </w:r>
      <w:r w:rsidR="00167C13" w:rsidRPr="00612C4D">
        <w:rPr>
          <w:color w:val="000000"/>
        </w:rPr>
        <w:t>другим</w:t>
      </w:r>
      <w:r w:rsidR="00F55131" w:rsidRPr="00612C4D">
        <w:rPr>
          <w:color w:val="000000"/>
        </w:rPr>
        <w:t xml:space="preserve"> </w:t>
      </w:r>
      <w:r w:rsidR="00167C13" w:rsidRPr="00612C4D">
        <w:rPr>
          <w:color w:val="000000"/>
        </w:rPr>
        <w:t>документима</w:t>
      </w:r>
      <w:r w:rsidR="00F55131" w:rsidRPr="00612C4D">
        <w:rPr>
          <w:color w:val="000000"/>
        </w:rPr>
        <w:t>.</w:t>
      </w:r>
      <w:r w:rsidRPr="00612C4D">
        <w:rPr>
          <w:color w:val="000000"/>
          <w:lang w:val="sr-Cyrl-CS"/>
        </w:rPr>
        <w:t xml:space="preserve"> </w:t>
      </w:r>
      <w:r w:rsidR="00167C13" w:rsidRPr="00612C4D">
        <w:rPr>
          <w:color w:val="000000"/>
        </w:rPr>
        <w:t>Обвезник</w:t>
      </w:r>
      <w:r w:rsidR="00F55131" w:rsidRPr="00612C4D">
        <w:rPr>
          <w:color w:val="000000"/>
        </w:rPr>
        <w:t xml:space="preserve"> </w:t>
      </w:r>
      <w:r w:rsidR="00167C13" w:rsidRPr="00612C4D">
        <w:rPr>
          <w:color w:val="000000"/>
        </w:rPr>
        <w:t>нема</w:t>
      </w:r>
      <w:r w:rsidR="00F55131" w:rsidRPr="00612C4D">
        <w:rPr>
          <w:color w:val="000000"/>
        </w:rPr>
        <w:t xml:space="preserve"> </w:t>
      </w:r>
      <w:r w:rsidR="00167C13" w:rsidRPr="00612C4D">
        <w:rPr>
          <w:color w:val="000000"/>
        </w:rPr>
        <w:t>право</w:t>
      </w:r>
      <w:r w:rsidR="00F55131" w:rsidRPr="00612C4D">
        <w:rPr>
          <w:color w:val="000000"/>
        </w:rPr>
        <w:t xml:space="preserve"> </w:t>
      </w:r>
      <w:r w:rsidR="00167C13" w:rsidRPr="00612C4D">
        <w:rPr>
          <w:color w:val="000000"/>
        </w:rPr>
        <w:t>на</w:t>
      </w:r>
      <w:r w:rsidR="00F55131" w:rsidRPr="00612C4D">
        <w:rPr>
          <w:color w:val="000000"/>
        </w:rPr>
        <w:t xml:space="preserve"> </w:t>
      </w:r>
      <w:r w:rsidR="00167C13" w:rsidRPr="00612C4D">
        <w:rPr>
          <w:color w:val="000000"/>
        </w:rPr>
        <w:t>одбитак</w:t>
      </w:r>
      <w:r w:rsidR="00F55131" w:rsidRPr="00612C4D">
        <w:rPr>
          <w:color w:val="000000"/>
        </w:rPr>
        <w:t xml:space="preserve"> </w:t>
      </w:r>
      <w:r w:rsidR="00167C13" w:rsidRPr="00612C4D">
        <w:rPr>
          <w:color w:val="000000"/>
        </w:rPr>
        <w:t>претходног</w:t>
      </w:r>
      <w:r w:rsidR="00F55131" w:rsidRPr="00612C4D">
        <w:rPr>
          <w:color w:val="000000"/>
        </w:rPr>
        <w:t xml:space="preserve"> </w:t>
      </w:r>
      <w:r w:rsidR="00167C13" w:rsidRPr="00612C4D">
        <w:rPr>
          <w:color w:val="000000"/>
        </w:rPr>
        <w:t>пореза</w:t>
      </w:r>
      <w:r w:rsidR="00F55131" w:rsidRPr="00612C4D">
        <w:rPr>
          <w:color w:val="000000"/>
        </w:rPr>
        <w:t xml:space="preserve"> </w:t>
      </w:r>
      <w:r w:rsidR="00167C13" w:rsidRPr="00612C4D">
        <w:rPr>
          <w:color w:val="000000"/>
        </w:rPr>
        <w:t>за</w:t>
      </w:r>
      <w:r w:rsidR="00F55131" w:rsidRPr="00612C4D">
        <w:rPr>
          <w:color w:val="000000"/>
        </w:rPr>
        <w:t xml:space="preserve"> </w:t>
      </w:r>
      <w:r w:rsidR="00167C13" w:rsidRPr="00612C4D">
        <w:rPr>
          <w:color w:val="000000"/>
        </w:rPr>
        <w:t>добра</w:t>
      </w:r>
      <w:r w:rsidR="00F55131" w:rsidRPr="00612C4D">
        <w:rPr>
          <w:color w:val="000000"/>
        </w:rPr>
        <w:t xml:space="preserve"> </w:t>
      </w:r>
      <w:r w:rsidR="00167C13" w:rsidRPr="00612C4D">
        <w:rPr>
          <w:color w:val="000000"/>
        </w:rPr>
        <w:t>и</w:t>
      </w:r>
      <w:r w:rsidR="00F55131" w:rsidRPr="00612C4D">
        <w:rPr>
          <w:color w:val="000000"/>
        </w:rPr>
        <w:t xml:space="preserve"> </w:t>
      </w:r>
      <w:r w:rsidR="00167C13" w:rsidRPr="00612C4D">
        <w:rPr>
          <w:color w:val="000000"/>
        </w:rPr>
        <w:t>услуге</w:t>
      </w:r>
      <w:r w:rsidR="00F55131" w:rsidRPr="00612C4D">
        <w:rPr>
          <w:color w:val="000000"/>
        </w:rPr>
        <w:t xml:space="preserve"> </w:t>
      </w:r>
      <w:r w:rsidR="00167C13" w:rsidRPr="00612C4D">
        <w:rPr>
          <w:color w:val="000000"/>
        </w:rPr>
        <w:t>који</w:t>
      </w:r>
      <w:r w:rsidR="00F55131" w:rsidRPr="00612C4D">
        <w:rPr>
          <w:color w:val="000000"/>
        </w:rPr>
        <w:t xml:space="preserve"> </w:t>
      </w:r>
      <w:r w:rsidR="00167C13" w:rsidRPr="00612C4D">
        <w:rPr>
          <w:color w:val="000000"/>
        </w:rPr>
        <w:t>су</w:t>
      </w:r>
      <w:r w:rsidR="00F55131" w:rsidRPr="00612C4D">
        <w:rPr>
          <w:color w:val="000000"/>
        </w:rPr>
        <w:t xml:space="preserve"> </w:t>
      </w:r>
      <w:r w:rsidR="00167C13" w:rsidRPr="00612C4D">
        <w:rPr>
          <w:color w:val="000000"/>
        </w:rPr>
        <w:t>у</w:t>
      </w:r>
      <w:r w:rsidR="00F55131" w:rsidRPr="00612C4D">
        <w:rPr>
          <w:color w:val="000000"/>
        </w:rPr>
        <w:t xml:space="preserve"> </w:t>
      </w:r>
      <w:r w:rsidR="00167C13" w:rsidRPr="00612C4D">
        <w:rPr>
          <w:color w:val="000000"/>
        </w:rPr>
        <w:t>непосредној</w:t>
      </w:r>
      <w:r w:rsidR="00F55131" w:rsidRPr="00612C4D">
        <w:rPr>
          <w:color w:val="000000"/>
        </w:rPr>
        <w:t xml:space="preserve"> </w:t>
      </w:r>
      <w:r w:rsidR="00167C13" w:rsidRPr="00612C4D">
        <w:rPr>
          <w:color w:val="000000"/>
        </w:rPr>
        <w:t>вези</w:t>
      </w:r>
      <w:r w:rsidR="00F55131" w:rsidRPr="00612C4D">
        <w:rPr>
          <w:color w:val="000000"/>
        </w:rPr>
        <w:t xml:space="preserve"> </w:t>
      </w:r>
      <w:r w:rsidR="00167C13" w:rsidRPr="00612C4D">
        <w:rPr>
          <w:color w:val="000000"/>
        </w:rPr>
        <w:t>са</w:t>
      </w:r>
      <w:r w:rsidR="00F55131" w:rsidRPr="00612C4D">
        <w:rPr>
          <w:color w:val="000000"/>
        </w:rPr>
        <w:t xml:space="preserve"> </w:t>
      </w:r>
      <w:r w:rsidRPr="00612C4D">
        <w:rPr>
          <w:color w:val="000000"/>
          <w:lang w:val="sr-Cyrl-CS"/>
        </w:rPr>
        <w:t xml:space="preserve">оваквим </w:t>
      </w:r>
      <w:r w:rsidR="00167C13" w:rsidRPr="00612C4D">
        <w:rPr>
          <w:color w:val="000000"/>
        </w:rPr>
        <w:t>добрима</w:t>
      </w:r>
      <w:r w:rsidR="00F55131" w:rsidRPr="00612C4D">
        <w:rPr>
          <w:color w:val="000000"/>
        </w:rPr>
        <w:t>.</w:t>
      </w:r>
      <w:r w:rsidR="00392BF2" w:rsidRPr="00612C4D">
        <w:rPr>
          <w:rStyle w:val="FootnoteReference"/>
          <w:color w:val="000000"/>
        </w:rPr>
        <w:footnoteReference w:id="405"/>
      </w:r>
      <w:r w:rsidRPr="00612C4D">
        <w:rPr>
          <w:color w:val="000000"/>
          <w:lang w:val="sr-Cyrl-CS"/>
        </w:rPr>
        <w:t xml:space="preserve"> Тако на  пример, у циљу евазије пореза  п</w:t>
      </w:r>
      <w:r w:rsidR="00F55131" w:rsidRPr="00612C4D">
        <w:rPr>
          <w:color w:val="000000"/>
          <w:lang w:val="sr-Cyrl-CS"/>
        </w:rPr>
        <w:t xml:space="preserve">орески обвезник може фингирати (уз помоћ лажне фактуре) набавку неког од предмета овог посебног поступка од лица које није порески обвезник, иако предмете није стварно набавио од таквог лица и искористити законску могућност да </w:t>
      </w:r>
      <w:r w:rsidR="00167C13" w:rsidRPr="00612C4D">
        <w:rPr>
          <w:color w:val="000000"/>
        </w:rPr>
        <w:t>утврђуј</w:t>
      </w:r>
      <w:r w:rsidR="00392BF2" w:rsidRPr="00612C4D">
        <w:rPr>
          <w:color w:val="000000"/>
          <w:lang w:val="sr-Cyrl-CS"/>
        </w:rPr>
        <w:t>е</w:t>
      </w:r>
      <w:r w:rsidR="00F55131" w:rsidRPr="00612C4D">
        <w:rPr>
          <w:color w:val="000000"/>
        </w:rPr>
        <w:t xml:space="preserve"> </w:t>
      </w:r>
      <w:r w:rsidR="00167C13" w:rsidRPr="00612C4D">
        <w:rPr>
          <w:color w:val="000000"/>
        </w:rPr>
        <w:t>основицу</w:t>
      </w:r>
      <w:r w:rsidR="00F55131" w:rsidRPr="00612C4D">
        <w:rPr>
          <w:color w:val="000000"/>
        </w:rPr>
        <w:t xml:space="preserve"> </w:t>
      </w:r>
      <w:r w:rsidR="00167C13" w:rsidRPr="00612C4D">
        <w:rPr>
          <w:color w:val="000000"/>
        </w:rPr>
        <w:t>као</w:t>
      </w:r>
      <w:r w:rsidR="00F55131" w:rsidRPr="00612C4D">
        <w:rPr>
          <w:color w:val="000000"/>
        </w:rPr>
        <w:t xml:space="preserve"> </w:t>
      </w:r>
      <w:r w:rsidR="00167C13" w:rsidRPr="00612C4D">
        <w:rPr>
          <w:color w:val="000000"/>
        </w:rPr>
        <w:t>разлику</w:t>
      </w:r>
      <w:r w:rsidR="00F55131" w:rsidRPr="00612C4D">
        <w:rPr>
          <w:color w:val="000000"/>
        </w:rPr>
        <w:t xml:space="preserve"> </w:t>
      </w:r>
      <w:r w:rsidR="00167C13" w:rsidRPr="00612C4D">
        <w:rPr>
          <w:color w:val="000000"/>
        </w:rPr>
        <w:t>између</w:t>
      </w:r>
      <w:r w:rsidR="00F55131" w:rsidRPr="00612C4D">
        <w:rPr>
          <w:color w:val="000000"/>
        </w:rPr>
        <w:t xml:space="preserve"> </w:t>
      </w:r>
      <w:r w:rsidR="00167C13" w:rsidRPr="00612C4D">
        <w:rPr>
          <w:color w:val="000000"/>
        </w:rPr>
        <w:t>продајне</w:t>
      </w:r>
      <w:r w:rsidR="00392BF2" w:rsidRPr="00612C4D">
        <w:rPr>
          <w:color w:val="000000"/>
        </w:rPr>
        <w:t xml:space="preserve"> </w:t>
      </w:r>
      <w:r w:rsidR="00167C13" w:rsidRPr="00612C4D">
        <w:rPr>
          <w:color w:val="000000"/>
        </w:rPr>
        <w:t>и</w:t>
      </w:r>
      <w:r w:rsidR="00392BF2" w:rsidRPr="00612C4D">
        <w:rPr>
          <w:color w:val="000000"/>
        </w:rPr>
        <w:t xml:space="preserve"> </w:t>
      </w:r>
      <w:r w:rsidR="00167C13" w:rsidRPr="00612C4D">
        <w:rPr>
          <w:color w:val="000000"/>
        </w:rPr>
        <w:t>набавне</w:t>
      </w:r>
      <w:r w:rsidR="00392BF2" w:rsidRPr="00612C4D">
        <w:rPr>
          <w:color w:val="000000"/>
        </w:rPr>
        <w:t xml:space="preserve"> </w:t>
      </w:r>
      <w:r w:rsidR="00167C13" w:rsidRPr="00612C4D">
        <w:rPr>
          <w:color w:val="000000"/>
        </w:rPr>
        <w:t>цене</w:t>
      </w:r>
      <w:r w:rsidR="00392BF2" w:rsidRPr="00612C4D">
        <w:rPr>
          <w:color w:val="000000"/>
        </w:rPr>
        <w:t xml:space="preserve"> </w:t>
      </w:r>
      <w:r w:rsidR="00167C13" w:rsidRPr="00612C4D">
        <w:rPr>
          <w:color w:val="000000"/>
        </w:rPr>
        <w:t>добра</w:t>
      </w:r>
      <w:r w:rsidR="00F55131" w:rsidRPr="00612C4D">
        <w:rPr>
          <w:color w:val="000000"/>
        </w:rPr>
        <w:t xml:space="preserve"> </w:t>
      </w:r>
      <w:r w:rsidR="00167C13" w:rsidRPr="00612C4D">
        <w:rPr>
          <w:color w:val="000000"/>
        </w:rPr>
        <w:t>уз</w:t>
      </w:r>
      <w:r w:rsidR="00F55131" w:rsidRPr="00612C4D">
        <w:rPr>
          <w:color w:val="000000"/>
        </w:rPr>
        <w:t xml:space="preserve"> </w:t>
      </w:r>
      <w:r w:rsidR="00167C13" w:rsidRPr="00612C4D">
        <w:rPr>
          <w:color w:val="000000"/>
        </w:rPr>
        <w:t>одбитак</w:t>
      </w:r>
      <w:r w:rsidR="00F55131" w:rsidRPr="00612C4D">
        <w:rPr>
          <w:color w:val="000000"/>
        </w:rPr>
        <w:t xml:space="preserve"> </w:t>
      </w:r>
      <w:r w:rsidR="00167C13" w:rsidRPr="00612C4D">
        <w:rPr>
          <w:color w:val="000000"/>
        </w:rPr>
        <w:t>ПДВ</w:t>
      </w:r>
      <w:r w:rsidR="00F55131" w:rsidRPr="00612C4D">
        <w:rPr>
          <w:color w:val="000000"/>
        </w:rPr>
        <w:t xml:space="preserve"> </w:t>
      </w:r>
      <w:r w:rsidR="00167C13" w:rsidRPr="00612C4D">
        <w:rPr>
          <w:color w:val="000000"/>
        </w:rPr>
        <w:t>који</w:t>
      </w:r>
      <w:r w:rsidR="00F55131" w:rsidRPr="00612C4D">
        <w:rPr>
          <w:color w:val="000000"/>
        </w:rPr>
        <w:t xml:space="preserve"> </w:t>
      </w:r>
      <w:r w:rsidR="00167C13" w:rsidRPr="00612C4D">
        <w:rPr>
          <w:color w:val="000000"/>
        </w:rPr>
        <w:t>је</w:t>
      </w:r>
      <w:r w:rsidR="00F55131" w:rsidRPr="00612C4D">
        <w:rPr>
          <w:color w:val="000000"/>
        </w:rPr>
        <w:t xml:space="preserve"> </w:t>
      </w:r>
      <w:r w:rsidR="00167C13" w:rsidRPr="00612C4D">
        <w:rPr>
          <w:color w:val="000000"/>
        </w:rPr>
        <w:t>садржан</w:t>
      </w:r>
      <w:r w:rsidR="00F55131" w:rsidRPr="00612C4D">
        <w:rPr>
          <w:color w:val="000000"/>
        </w:rPr>
        <w:t xml:space="preserve"> </w:t>
      </w:r>
      <w:r w:rsidR="00167C13" w:rsidRPr="00612C4D">
        <w:rPr>
          <w:color w:val="000000"/>
        </w:rPr>
        <w:t>у</w:t>
      </w:r>
      <w:r w:rsidR="00F55131" w:rsidRPr="00612C4D">
        <w:rPr>
          <w:color w:val="000000"/>
        </w:rPr>
        <w:t xml:space="preserve"> </w:t>
      </w:r>
      <w:r w:rsidR="00167C13" w:rsidRPr="00612C4D">
        <w:rPr>
          <w:color w:val="000000"/>
        </w:rPr>
        <w:t>тој</w:t>
      </w:r>
      <w:r w:rsidR="00F55131" w:rsidRPr="00612C4D">
        <w:rPr>
          <w:color w:val="000000"/>
        </w:rPr>
        <w:t xml:space="preserve"> </w:t>
      </w:r>
      <w:r w:rsidR="00167C13" w:rsidRPr="00612C4D">
        <w:rPr>
          <w:color w:val="000000"/>
        </w:rPr>
        <w:t>разлици</w:t>
      </w:r>
      <w:r w:rsidR="00F55131" w:rsidRPr="00612C4D">
        <w:rPr>
          <w:color w:val="000000"/>
          <w:lang w:val="sr-Cyrl-CS"/>
        </w:rPr>
        <w:t xml:space="preserve">, </w:t>
      </w:r>
      <w:r w:rsidR="00392BF2" w:rsidRPr="00612C4D">
        <w:rPr>
          <w:color w:val="000000"/>
          <w:lang w:val="sr-Cyrl-CS"/>
        </w:rPr>
        <w:t xml:space="preserve">те да на тај начин </w:t>
      </w:r>
      <w:r w:rsidR="00F55131" w:rsidRPr="00612C4D">
        <w:rPr>
          <w:color w:val="000000"/>
          <w:lang w:val="sr-Cyrl-CS"/>
        </w:rPr>
        <w:t>неосновано користи предности посебног поступка опорезивања разлике.</w:t>
      </w:r>
    </w:p>
    <w:p w:rsidR="005D2DAF" w:rsidRPr="00612C4D" w:rsidRDefault="005D2DAF" w:rsidP="00612C4D">
      <w:pPr>
        <w:shd w:val="clear" w:color="auto" w:fill="FFFFFF"/>
        <w:spacing w:after="0" w:line="285" w:lineRule="atLeast"/>
        <w:ind w:left="720"/>
        <w:jc w:val="both"/>
        <w:rPr>
          <w:rFonts w:ascii="Times New Roman" w:hAnsi="Times New Roman"/>
          <w:color w:val="000000"/>
          <w:sz w:val="24"/>
          <w:szCs w:val="24"/>
          <w:lang w:val="sr-Cyrl-CS"/>
        </w:rPr>
      </w:pPr>
    </w:p>
    <w:p w:rsidR="005D2DAF" w:rsidRPr="00612C4D" w:rsidRDefault="005D2DAF" w:rsidP="00612C4D">
      <w:pPr>
        <w:shd w:val="clear" w:color="auto" w:fill="FFFFFF"/>
        <w:spacing w:after="0" w:line="285" w:lineRule="atLeast"/>
        <w:ind w:firstLine="708"/>
        <w:jc w:val="both"/>
        <w:rPr>
          <w:rFonts w:ascii="Times New Roman" w:hAnsi="Times New Roman"/>
          <w:color w:val="000000"/>
          <w:sz w:val="24"/>
          <w:szCs w:val="24"/>
          <w:lang w:val="sr-Cyrl-CS"/>
        </w:rPr>
      </w:pPr>
      <w:r w:rsidRPr="00612C4D">
        <w:rPr>
          <w:rFonts w:ascii="Times New Roman" w:hAnsi="Times New Roman"/>
          <w:color w:val="000000"/>
          <w:sz w:val="24"/>
          <w:szCs w:val="24"/>
          <w:lang w:val="sr-Cyrl-CS"/>
        </w:rPr>
        <w:t>У циљу пореске евазије најбоље могућности пружају пореска ослобођења са правом на одбитак претходног пореза.</w:t>
      </w:r>
      <w:r w:rsidR="00392BF2" w:rsidRPr="00612C4D">
        <w:rPr>
          <w:rFonts w:ascii="Times New Roman" w:hAnsi="Times New Roman"/>
          <w:color w:val="000000"/>
          <w:sz w:val="24"/>
          <w:szCs w:val="24"/>
          <w:lang w:val="sr-Cyrl-CS"/>
        </w:rPr>
        <w:t xml:space="preserve"> </w:t>
      </w:r>
    </w:p>
    <w:p w:rsidR="00241CCA" w:rsidRPr="00612C4D" w:rsidRDefault="00241CCA" w:rsidP="00612C4D">
      <w:pPr>
        <w:shd w:val="clear" w:color="auto" w:fill="FFFFFF"/>
        <w:spacing w:after="0" w:line="285" w:lineRule="atLeast"/>
        <w:jc w:val="both"/>
        <w:rPr>
          <w:rFonts w:ascii="Times New Roman" w:hAnsi="Times New Roman"/>
          <w:color w:val="000000"/>
          <w:sz w:val="24"/>
          <w:szCs w:val="24"/>
          <w:lang w:val="sr-Cyrl-CS"/>
        </w:rPr>
      </w:pPr>
    </w:p>
    <w:p w:rsidR="005D2DAF" w:rsidRPr="00612C4D" w:rsidRDefault="00034756" w:rsidP="00612C4D">
      <w:pPr>
        <w:pStyle w:val="normal0"/>
        <w:shd w:val="clear" w:color="auto" w:fill="FFFFFF"/>
        <w:spacing w:before="48" w:beforeAutospacing="0" w:after="48" w:afterAutospacing="0"/>
        <w:ind w:firstLine="708"/>
        <w:jc w:val="both"/>
        <w:rPr>
          <w:color w:val="000000"/>
          <w:lang w:val="sr-Cyrl-CS"/>
        </w:rPr>
      </w:pPr>
      <w:r w:rsidRPr="00612C4D">
        <w:rPr>
          <w:color w:val="000000"/>
          <w:lang w:val="sr-Cyrl-CS"/>
        </w:rPr>
        <w:t xml:space="preserve">Наиме, </w:t>
      </w:r>
      <w:r w:rsidR="00167C13" w:rsidRPr="00612C4D">
        <w:rPr>
          <w:color w:val="000000"/>
        </w:rPr>
        <w:t>ПДВ</w:t>
      </w:r>
      <w:r w:rsidR="005D2DAF" w:rsidRPr="00612C4D">
        <w:rPr>
          <w:color w:val="000000"/>
        </w:rPr>
        <w:t xml:space="preserve"> </w:t>
      </w:r>
      <w:r w:rsidR="00167C13" w:rsidRPr="00612C4D">
        <w:rPr>
          <w:color w:val="000000"/>
        </w:rPr>
        <w:t>се</w:t>
      </w:r>
      <w:r w:rsidR="005D2DAF" w:rsidRPr="00612C4D">
        <w:rPr>
          <w:color w:val="000000"/>
        </w:rPr>
        <w:t xml:space="preserve"> </w:t>
      </w:r>
      <w:r w:rsidR="00167C13" w:rsidRPr="00612C4D">
        <w:rPr>
          <w:color w:val="000000"/>
        </w:rPr>
        <w:t>не</w:t>
      </w:r>
      <w:r w:rsidR="005D2DAF" w:rsidRPr="00612C4D">
        <w:rPr>
          <w:color w:val="000000"/>
        </w:rPr>
        <w:t xml:space="preserve"> </w:t>
      </w:r>
      <w:r w:rsidR="00167C13" w:rsidRPr="00612C4D">
        <w:rPr>
          <w:color w:val="000000"/>
        </w:rPr>
        <w:t>плаћа</w:t>
      </w:r>
      <w:r w:rsidRPr="00612C4D">
        <w:rPr>
          <w:color w:val="000000"/>
          <w:lang w:val="sr-Cyrl-CS"/>
        </w:rPr>
        <w:t xml:space="preserve">, између осталог, </w:t>
      </w:r>
      <w:r w:rsidR="005D2DAF" w:rsidRPr="00612C4D">
        <w:rPr>
          <w:color w:val="000000"/>
        </w:rPr>
        <w:t xml:space="preserve"> </w:t>
      </w:r>
      <w:r w:rsidR="00167C13" w:rsidRPr="00612C4D">
        <w:rPr>
          <w:color w:val="000000"/>
        </w:rPr>
        <w:t>на</w:t>
      </w:r>
      <w:r w:rsidR="005D2DAF" w:rsidRPr="00612C4D">
        <w:rPr>
          <w:color w:val="000000"/>
        </w:rPr>
        <w:t>:</w:t>
      </w:r>
    </w:p>
    <w:p w:rsidR="00034756" w:rsidRPr="00612C4D" w:rsidRDefault="00034756" w:rsidP="00612C4D">
      <w:pPr>
        <w:pStyle w:val="normal0"/>
        <w:shd w:val="clear" w:color="auto" w:fill="FFFFFF"/>
        <w:spacing w:before="48" w:beforeAutospacing="0" w:after="48" w:afterAutospacing="0"/>
        <w:ind w:firstLine="708"/>
        <w:jc w:val="both"/>
        <w:rPr>
          <w:color w:val="000000"/>
          <w:lang w:val="sr-Cyrl-CS"/>
        </w:rPr>
      </w:pPr>
    </w:p>
    <w:p w:rsidR="005D2DAF" w:rsidRPr="00612C4D" w:rsidRDefault="00034756" w:rsidP="00612C4D">
      <w:pPr>
        <w:pStyle w:val="normal0"/>
        <w:shd w:val="clear" w:color="auto" w:fill="FFFFFF"/>
        <w:spacing w:before="48" w:beforeAutospacing="0" w:after="48" w:afterAutospacing="0"/>
        <w:jc w:val="both"/>
        <w:rPr>
          <w:color w:val="000000"/>
          <w:lang w:val="sr-Cyrl-CS"/>
        </w:rPr>
      </w:pPr>
      <w:r w:rsidRPr="00612C4D">
        <w:rPr>
          <w:color w:val="000000"/>
          <w:lang w:val="sr-Cyrl-CS"/>
        </w:rPr>
        <w:t>1)</w:t>
      </w:r>
      <w:r w:rsidR="00167C13" w:rsidRPr="00612C4D">
        <w:rPr>
          <w:color w:val="000000"/>
        </w:rPr>
        <w:t>превозне</w:t>
      </w:r>
      <w:r w:rsidR="005D2DAF" w:rsidRPr="00612C4D">
        <w:rPr>
          <w:color w:val="000000"/>
        </w:rPr>
        <w:t xml:space="preserve"> </w:t>
      </w:r>
      <w:r w:rsidR="00167C13" w:rsidRPr="00612C4D">
        <w:rPr>
          <w:color w:val="000000"/>
        </w:rPr>
        <w:t>и</w:t>
      </w:r>
      <w:r w:rsidR="005D2DAF" w:rsidRPr="00612C4D">
        <w:rPr>
          <w:color w:val="000000"/>
        </w:rPr>
        <w:t xml:space="preserve"> </w:t>
      </w:r>
      <w:r w:rsidR="00167C13" w:rsidRPr="00612C4D">
        <w:rPr>
          <w:color w:val="000000"/>
        </w:rPr>
        <w:t>остале</w:t>
      </w:r>
      <w:r w:rsidR="005D2DAF" w:rsidRPr="00612C4D">
        <w:rPr>
          <w:color w:val="000000"/>
        </w:rPr>
        <w:t xml:space="preserve"> </w:t>
      </w:r>
      <w:r w:rsidR="00167C13" w:rsidRPr="00612C4D">
        <w:rPr>
          <w:color w:val="000000"/>
        </w:rPr>
        <w:t>услуге</w:t>
      </w:r>
      <w:r w:rsidR="005D2DAF" w:rsidRPr="00612C4D">
        <w:rPr>
          <w:color w:val="000000"/>
        </w:rPr>
        <w:t xml:space="preserve">, </w:t>
      </w:r>
      <w:r w:rsidR="00167C13" w:rsidRPr="00612C4D">
        <w:rPr>
          <w:color w:val="000000"/>
        </w:rPr>
        <w:t>које</w:t>
      </w:r>
      <w:r w:rsidR="005D2DAF" w:rsidRPr="00612C4D">
        <w:rPr>
          <w:color w:val="000000"/>
        </w:rPr>
        <w:t xml:space="preserve"> </w:t>
      </w:r>
      <w:r w:rsidR="00167C13" w:rsidRPr="00612C4D">
        <w:rPr>
          <w:color w:val="000000"/>
        </w:rPr>
        <w:t>су</w:t>
      </w:r>
      <w:r w:rsidR="005D2DAF" w:rsidRPr="00612C4D">
        <w:rPr>
          <w:color w:val="000000"/>
        </w:rPr>
        <w:t xml:space="preserve"> </w:t>
      </w:r>
      <w:r w:rsidR="00167C13" w:rsidRPr="00612C4D">
        <w:rPr>
          <w:color w:val="000000"/>
        </w:rPr>
        <w:t>повезане</w:t>
      </w:r>
      <w:r w:rsidR="005D2DAF" w:rsidRPr="00612C4D">
        <w:rPr>
          <w:color w:val="000000"/>
        </w:rPr>
        <w:t xml:space="preserve"> </w:t>
      </w:r>
      <w:r w:rsidR="00167C13" w:rsidRPr="00612C4D">
        <w:rPr>
          <w:color w:val="000000"/>
        </w:rPr>
        <w:t>са</w:t>
      </w:r>
      <w:r w:rsidR="005D2DAF" w:rsidRPr="00612C4D">
        <w:rPr>
          <w:color w:val="000000"/>
        </w:rPr>
        <w:t xml:space="preserve"> </w:t>
      </w:r>
      <w:r w:rsidR="00167C13" w:rsidRPr="00612C4D">
        <w:rPr>
          <w:color w:val="000000"/>
        </w:rPr>
        <w:t>увозом</w:t>
      </w:r>
      <w:r w:rsidR="005D2DAF" w:rsidRPr="00612C4D">
        <w:rPr>
          <w:color w:val="000000"/>
        </w:rPr>
        <w:t xml:space="preserve"> </w:t>
      </w:r>
      <w:r w:rsidR="00167C13" w:rsidRPr="00612C4D">
        <w:rPr>
          <w:color w:val="000000"/>
        </w:rPr>
        <w:t>добара</w:t>
      </w:r>
      <w:r w:rsidR="005D2DAF" w:rsidRPr="00612C4D">
        <w:rPr>
          <w:color w:val="000000"/>
        </w:rPr>
        <w:t xml:space="preserve">, </w:t>
      </w:r>
      <w:r w:rsidR="00167C13" w:rsidRPr="00612C4D">
        <w:rPr>
          <w:color w:val="000000"/>
        </w:rPr>
        <w:t>ако</w:t>
      </w:r>
      <w:r w:rsidR="005D2DAF" w:rsidRPr="00612C4D">
        <w:rPr>
          <w:color w:val="000000"/>
        </w:rPr>
        <w:t xml:space="preserve"> </w:t>
      </w:r>
      <w:r w:rsidR="00167C13" w:rsidRPr="00612C4D">
        <w:rPr>
          <w:color w:val="000000"/>
        </w:rPr>
        <w:t>је</w:t>
      </w:r>
      <w:r w:rsidR="005D2DAF" w:rsidRPr="00612C4D">
        <w:rPr>
          <w:color w:val="000000"/>
        </w:rPr>
        <w:t xml:space="preserve"> </w:t>
      </w:r>
      <w:r w:rsidR="00167C13" w:rsidRPr="00612C4D">
        <w:rPr>
          <w:color w:val="000000"/>
        </w:rPr>
        <w:t>вредност</w:t>
      </w:r>
      <w:r w:rsidR="005D2DAF" w:rsidRPr="00612C4D">
        <w:rPr>
          <w:color w:val="000000"/>
        </w:rPr>
        <w:t xml:space="preserve"> </w:t>
      </w:r>
      <w:r w:rsidR="00167C13" w:rsidRPr="00612C4D">
        <w:rPr>
          <w:color w:val="000000"/>
        </w:rPr>
        <w:t>тих</w:t>
      </w:r>
      <w:r w:rsidR="005D2DAF" w:rsidRPr="00612C4D">
        <w:rPr>
          <w:color w:val="000000"/>
        </w:rPr>
        <w:t xml:space="preserve"> </w:t>
      </w:r>
      <w:r w:rsidR="00167C13" w:rsidRPr="00612C4D">
        <w:rPr>
          <w:color w:val="000000"/>
        </w:rPr>
        <w:t>услуга</w:t>
      </w:r>
      <w:r w:rsidR="005D2DAF" w:rsidRPr="00612C4D">
        <w:rPr>
          <w:color w:val="000000"/>
        </w:rPr>
        <w:t xml:space="preserve"> </w:t>
      </w:r>
      <w:r w:rsidR="00167C13" w:rsidRPr="00612C4D">
        <w:rPr>
          <w:color w:val="000000"/>
        </w:rPr>
        <w:t>садржана</w:t>
      </w:r>
      <w:r w:rsidR="005D2DAF" w:rsidRPr="00612C4D">
        <w:rPr>
          <w:color w:val="000000"/>
        </w:rPr>
        <w:t xml:space="preserve"> </w:t>
      </w:r>
      <w:r w:rsidR="00167C13" w:rsidRPr="00612C4D">
        <w:rPr>
          <w:color w:val="000000"/>
        </w:rPr>
        <w:t>у</w:t>
      </w:r>
      <w:r w:rsidR="005D2DAF" w:rsidRPr="00612C4D">
        <w:rPr>
          <w:color w:val="000000"/>
        </w:rPr>
        <w:t xml:space="preserve"> </w:t>
      </w:r>
      <w:r w:rsidR="00167C13" w:rsidRPr="00612C4D">
        <w:rPr>
          <w:color w:val="000000"/>
        </w:rPr>
        <w:t>основици</w:t>
      </w:r>
      <w:r w:rsidR="005D2DAF" w:rsidRPr="00612C4D">
        <w:rPr>
          <w:color w:val="000000"/>
        </w:rPr>
        <w:t>;</w:t>
      </w:r>
    </w:p>
    <w:p w:rsidR="00034756" w:rsidRPr="00612C4D" w:rsidRDefault="00034756" w:rsidP="00612C4D">
      <w:pPr>
        <w:pStyle w:val="normal0"/>
        <w:shd w:val="clear" w:color="auto" w:fill="FFFFFF"/>
        <w:spacing w:before="48" w:beforeAutospacing="0" w:after="48" w:afterAutospacing="0"/>
        <w:ind w:left="720"/>
        <w:jc w:val="both"/>
        <w:rPr>
          <w:color w:val="000000"/>
          <w:lang w:val="sr-Cyrl-CS"/>
        </w:rPr>
      </w:pPr>
    </w:p>
    <w:p w:rsidR="005D2DAF" w:rsidRPr="00612C4D" w:rsidRDefault="005D2DAF" w:rsidP="00612C4D">
      <w:pPr>
        <w:pStyle w:val="normal0"/>
        <w:shd w:val="clear" w:color="auto" w:fill="FFFFFF"/>
        <w:spacing w:before="48" w:beforeAutospacing="0" w:after="48" w:afterAutospacing="0"/>
        <w:jc w:val="both"/>
        <w:rPr>
          <w:color w:val="000000"/>
          <w:lang w:val="sr-Cyrl-CS"/>
        </w:rPr>
      </w:pPr>
      <w:r w:rsidRPr="00612C4D">
        <w:rPr>
          <w:color w:val="000000"/>
        </w:rPr>
        <w:t xml:space="preserve">2) </w:t>
      </w:r>
      <w:r w:rsidR="00167C13" w:rsidRPr="00612C4D">
        <w:rPr>
          <w:color w:val="000000"/>
        </w:rPr>
        <w:t>промет</w:t>
      </w:r>
      <w:r w:rsidRPr="00612C4D">
        <w:rPr>
          <w:color w:val="000000"/>
        </w:rPr>
        <w:t xml:space="preserve"> </w:t>
      </w:r>
      <w:r w:rsidR="00167C13" w:rsidRPr="00612C4D">
        <w:rPr>
          <w:color w:val="000000"/>
        </w:rPr>
        <w:t>добара</w:t>
      </w:r>
      <w:r w:rsidRPr="00612C4D">
        <w:rPr>
          <w:color w:val="000000"/>
        </w:rPr>
        <w:t xml:space="preserve"> </w:t>
      </w:r>
      <w:r w:rsidR="00167C13" w:rsidRPr="00612C4D">
        <w:rPr>
          <w:color w:val="000000"/>
        </w:rPr>
        <w:t>која</w:t>
      </w:r>
      <w:r w:rsidRPr="00612C4D">
        <w:rPr>
          <w:color w:val="000000"/>
        </w:rPr>
        <w:t xml:space="preserve"> </w:t>
      </w:r>
      <w:r w:rsidR="00167C13" w:rsidRPr="00612C4D">
        <w:rPr>
          <w:color w:val="000000"/>
        </w:rPr>
        <w:t>обвезник</w:t>
      </w:r>
      <w:r w:rsidRPr="00612C4D">
        <w:rPr>
          <w:color w:val="000000"/>
        </w:rPr>
        <w:t xml:space="preserve"> </w:t>
      </w:r>
      <w:r w:rsidR="00167C13" w:rsidRPr="00612C4D">
        <w:rPr>
          <w:color w:val="000000"/>
        </w:rPr>
        <w:t>или</w:t>
      </w:r>
      <w:r w:rsidRPr="00612C4D">
        <w:rPr>
          <w:color w:val="000000"/>
        </w:rPr>
        <w:t xml:space="preserve"> </w:t>
      </w:r>
      <w:r w:rsidR="00167C13" w:rsidRPr="00612C4D">
        <w:rPr>
          <w:color w:val="000000"/>
        </w:rPr>
        <w:t>треће</w:t>
      </w:r>
      <w:r w:rsidRPr="00612C4D">
        <w:rPr>
          <w:color w:val="000000"/>
        </w:rPr>
        <w:t xml:space="preserve"> </w:t>
      </w:r>
      <w:r w:rsidR="00167C13" w:rsidRPr="00612C4D">
        <w:rPr>
          <w:color w:val="000000"/>
        </w:rPr>
        <w:t>лице</w:t>
      </w:r>
      <w:r w:rsidRPr="00612C4D">
        <w:rPr>
          <w:color w:val="000000"/>
        </w:rPr>
        <w:t xml:space="preserve">, </w:t>
      </w:r>
      <w:r w:rsidR="00167C13" w:rsidRPr="00612C4D">
        <w:rPr>
          <w:color w:val="000000"/>
        </w:rPr>
        <w:t>по</w:t>
      </w:r>
      <w:r w:rsidRPr="00612C4D">
        <w:rPr>
          <w:color w:val="000000"/>
        </w:rPr>
        <w:t xml:space="preserve"> </w:t>
      </w:r>
      <w:r w:rsidR="00167C13" w:rsidRPr="00612C4D">
        <w:rPr>
          <w:color w:val="000000"/>
        </w:rPr>
        <w:t>његовом</w:t>
      </w:r>
      <w:r w:rsidRPr="00612C4D">
        <w:rPr>
          <w:color w:val="000000"/>
        </w:rPr>
        <w:t xml:space="preserve"> </w:t>
      </w:r>
      <w:r w:rsidR="00167C13" w:rsidRPr="00612C4D">
        <w:rPr>
          <w:color w:val="000000"/>
        </w:rPr>
        <w:t>налогу</w:t>
      </w:r>
      <w:r w:rsidRPr="00612C4D">
        <w:rPr>
          <w:color w:val="000000"/>
        </w:rPr>
        <w:t xml:space="preserve">, </w:t>
      </w:r>
      <w:r w:rsidR="00167C13" w:rsidRPr="00612C4D">
        <w:rPr>
          <w:color w:val="000000"/>
        </w:rPr>
        <w:t>шаље</w:t>
      </w:r>
      <w:r w:rsidRPr="00612C4D">
        <w:rPr>
          <w:color w:val="000000"/>
        </w:rPr>
        <w:t xml:space="preserve"> </w:t>
      </w:r>
      <w:r w:rsidR="00167C13" w:rsidRPr="00612C4D">
        <w:rPr>
          <w:color w:val="000000"/>
        </w:rPr>
        <w:t>или</w:t>
      </w:r>
      <w:r w:rsidRPr="00612C4D">
        <w:rPr>
          <w:color w:val="000000"/>
        </w:rPr>
        <w:t xml:space="preserve"> </w:t>
      </w:r>
      <w:r w:rsidR="00167C13" w:rsidRPr="00612C4D">
        <w:rPr>
          <w:color w:val="000000"/>
        </w:rPr>
        <w:t>отпрема</w:t>
      </w:r>
      <w:r w:rsidRPr="00612C4D">
        <w:rPr>
          <w:color w:val="000000"/>
        </w:rPr>
        <w:t xml:space="preserve"> </w:t>
      </w:r>
      <w:r w:rsidR="00167C13" w:rsidRPr="00612C4D">
        <w:rPr>
          <w:color w:val="000000"/>
        </w:rPr>
        <w:t>у</w:t>
      </w:r>
      <w:r w:rsidRPr="00612C4D">
        <w:rPr>
          <w:color w:val="000000"/>
        </w:rPr>
        <w:t xml:space="preserve"> </w:t>
      </w:r>
      <w:r w:rsidR="00167C13" w:rsidRPr="00612C4D">
        <w:rPr>
          <w:color w:val="000000"/>
        </w:rPr>
        <w:t>иностранство</w:t>
      </w:r>
      <w:r w:rsidR="00034756" w:rsidRPr="00612C4D">
        <w:rPr>
          <w:color w:val="000000"/>
          <w:lang w:val="sr-Cyrl-CS"/>
        </w:rPr>
        <w:t>.</w:t>
      </w:r>
      <w:r w:rsidR="00034756" w:rsidRPr="00612C4D">
        <w:rPr>
          <w:rStyle w:val="FootnoteReference"/>
          <w:color w:val="000000"/>
          <w:lang w:val="sr-Cyrl-CS"/>
        </w:rPr>
        <w:footnoteReference w:id="406"/>
      </w:r>
    </w:p>
    <w:p w:rsidR="005D2DAF" w:rsidRPr="00612C4D" w:rsidRDefault="005D2DAF" w:rsidP="00612C4D">
      <w:pPr>
        <w:shd w:val="clear" w:color="auto" w:fill="FFFFFF"/>
        <w:spacing w:after="0" w:line="285" w:lineRule="atLeast"/>
        <w:jc w:val="both"/>
        <w:rPr>
          <w:rFonts w:ascii="Times New Roman" w:hAnsi="Times New Roman"/>
          <w:color w:val="000000"/>
          <w:sz w:val="24"/>
          <w:szCs w:val="24"/>
          <w:lang w:val="sr-Cyrl-CS"/>
        </w:rPr>
      </w:pPr>
    </w:p>
    <w:p w:rsidR="005D2DAF" w:rsidRPr="00612C4D" w:rsidRDefault="005D2DAF" w:rsidP="00612C4D">
      <w:pPr>
        <w:shd w:val="clear" w:color="auto" w:fill="FFFFFF"/>
        <w:spacing w:after="0" w:line="285" w:lineRule="atLeast"/>
        <w:ind w:firstLine="708"/>
        <w:jc w:val="both"/>
        <w:rPr>
          <w:rFonts w:ascii="Times New Roman" w:hAnsi="Times New Roman"/>
          <w:color w:val="000000"/>
          <w:sz w:val="24"/>
          <w:szCs w:val="24"/>
          <w:lang w:val="sr-Cyrl-CS"/>
        </w:rPr>
      </w:pPr>
      <w:r w:rsidRPr="00612C4D">
        <w:rPr>
          <w:rFonts w:ascii="Times New Roman" w:hAnsi="Times New Roman"/>
          <w:color w:val="000000"/>
          <w:sz w:val="24"/>
          <w:szCs w:val="24"/>
          <w:lang w:val="sr-Cyrl-CS"/>
        </w:rPr>
        <w:t>У циљу избегавања пореза може се један промет лажно приказати као извозни, иако се заправо ради о домаћем промету и роба се продаје на домаћем тржишту, при чему се могу користити лажне фактуре издате од стране фантомских фирми.</w:t>
      </w:r>
      <w:r w:rsidR="00C56274" w:rsidRPr="00612C4D">
        <w:rPr>
          <w:rFonts w:ascii="Times New Roman" w:hAnsi="Times New Roman"/>
          <w:color w:val="000000"/>
          <w:sz w:val="24"/>
          <w:szCs w:val="24"/>
          <w:lang w:val="sr-Cyrl-CS"/>
        </w:rPr>
        <w:t xml:space="preserve"> На тај начин се неосновано остварује повраћај пореза који је плаћен при набавци.</w:t>
      </w:r>
      <w:r w:rsidR="00034756" w:rsidRPr="00612C4D">
        <w:rPr>
          <w:rFonts w:ascii="Times New Roman" w:hAnsi="Times New Roman"/>
          <w:color w:val="000000"/>
          <w:sz w:val="24"/>
          <w:szCs w:val="24"/>
          <w:lang w:val="sr-Cyrl-CS"/>
        </w:rPr>
        <w:t xml:space="preserve"> </w:t>
      </w:r>
    </w:p>
    <w:p w:rsidR="00167C13" w:rsidRPr="00612C4D" w:rsidRDefault="00167C13" w:rsidP="004C0E90">
      <w:pPr>
        <w:shd w:val="clear" w:color="auto" w:fill="FFFFFF"/>
        <w:spacing w:after="0" w:line="285" w:lineRule="atLeast"/>
        <w:jc w:val="both"/>
        <w:rPr>
          <w:rFonts w:ascii="Times New Roman" w:hAnsi="Times New Roman"/>
          <w:color w:val="000000"/>
          <w:sz w:val="24"/>
          <w:szCs w:val="24"/>
          <w:lang w:val="sr-Cyrl-CS"/>
        </w:rPr>
      </w:pPr>
    </w:p>
    <w:p w:rsidR="00167C13" w:rsidRPr="00612C4D" w:rsidRDefault="00167C13" w:rsidP="00612C4D">
      <w:pPr>
        <w:pStyle w:val="normal0"/>
        <w:shd w:val="clear" w:color="auto" w:fill="FFFFFF"/>
        <w:spacing w:before="48" w:beforeAutospacing="0" w:after="48" w:afterAutospacing="0"/>
        <w:ind w:firstLine="708"/>
        <w:jc w:val="both"/>
        <w:rPr>
          <w:color w:val="000000"/>
          <w:lang w:val="sr-Cyrl-CS"/>
        </w:rPr>
      </w:pPr>
      <w:r w:rsidRPr="00612C4D">
        <w:rPr>
          <w:color w:val="000000"/>
          <w:lang w:val="sr-Cyrl-CS"/>
        </w:rPr>
        <w:t>Према томе, према нашем позитивном праву бројни су изузеци од општег режима опорезивања, што погодује повећању обима и различитог начина избегавања плаћања пореза. Међутим, имајући у виду бројне мотиве због којих се ови изузеци уводе у законску регулативу (социјални, културни и сл.) тешко је замислити њихово укидање.</w:t>
      </w:r>
    </w:p>
    <w:p w:rsidR="00167C13" w:rsidRPr="00612C4D" w:rsidRDefault="00167C13" w:rsidP="00612C4D">
      <w:pPr>
        <w:shd w:val="clear" w:color="auto" w:fill="FFFFFF"/>
        <w:spacing w:after="0" w:line="285" w:lineRule="atLeast"/>
        <w:ind w:firstLine="708"/>
        <w:jc w:val="both"/>
        <w:rPr>
          <w:rFonts w:ascii="Times New Roman" w:hAnsi="Times New Roman"/>
          <w:color w:val="000000"/>
          <w:sz w:val="24"/>
          <w:szCs w:val="24"/>
          <w:lang w:val="sr-Cyrl-CS"/>
        </w:rPr>
      </w:pPr>
    </w:p>
    <w:p w:rsidR="00F4744E" w:rsidRPr="00612C4D" w:rsidRDefault="00F4744E" w:rsidP="00612C4D">
      <w:pPr>
        <w:pStyle w:val="normal0"/>
        <w:shd w:val="clear" w:color="auto" w:fill="FFFFFF"/>
        <w:spacing w:before="48" w:beforeAutospacing="0" w:after="48" w:afterAutospacing="0"/>
        <w:ind w:firstLine="708"/>
        <w:jc w:val="both"/>
        <w:rPr>
          <w:color w:val="000000"/>
          <w:lang w:val="sr-Cyrl-CS"/>
        </w:rPr>
      </w:pPr>
      <w:r w:rsidRPr="00612C4D">
        <w:rPr>
          <w:color w:val="000000"/>
          <w:lang w:val="sr-Cyrl-CS"/>
        </w:rPr>
        <w:t xml:space="preserve">Као што је наведено, поред стандардне стопе од </w:t>
      </w:r>
      <w:r w:rsidR="00167C13" w:rsidRPr="00612C4D">
        <w:rPr>
          <w:color w:val="000000"/>
          <w:lang w:val="sr-Cyrl-CS"/>
        </w:rPr>
        <w:t>20</w:t>
      </w:r>
      <w:r w:rsidRPr="00612C4D">
        <w:rPr>
          <w:color w:val="000000"/>
          <w:lang w:val="sr-Cyrl-CS"/>
        </w:rPr>
        <w:t>%, примењује с</w:t>
      </w:r>
      <w:r w:rsidR="00167C13" w:rsidRPr="00612C4D">
        <w:rPr>
          <w:color w:val="000000"/>
          <w:lang w:val="sr-Cyrl-CS"/>
        </w:rPr>
        <w:t>е и нижа бенефицирана стопа од 10</w:t>
      </w:r>
      <w:r w:rsidRPr="00612C4D">
        <w:rPr>
          <w:color w:val="000000"/>
          <w:lang w:val="sr-Cyrl-CS"/>
        </w:rPr>
        <w:t xml:space="preserve">% за таксативно набројане случајеве. Прављење оваквог изузетка од стандардног режима може подстаћи пореске обвезнике да то злоупотребе у циљу порске евазије. Наиме, порески обвезници могу промет одређеног производа </w:t>
      </w:r>
      <w:r w:rsidRPr="00612C4D">
        <w:rPr>
          <w:color w:val="000000"/>
          <w:lang w:val="sr-Cyrl-CS"/>
        </w:rPr>
        <w:lastRenderedPageBreak/>
        <w:t xml:space="preserve">лажно приказати као промет производа који је опорезив бенефицираном пореском стопом, а тиме снижавају излазни промет, кроз нижу продајну цену, чиме смањују пореску обавезу. </w:t>
      </w:r>
    </w:p>
    <w:p w:rsidR="005D2DAF" w:rsidRPr="005D2DAF" w:rsidRDefault="005D2DAF" w:rsidP="005D2DAF">
      <w:pPr>
        <w:shd w:val="clear" w:color="auto" w:fill="FFFFFF"/>
        <w:spacing w:after="0" w:line="285" w:lineRule="atLeast"/>
        <w:jc w:val="both"/>
        <w:rPr>
          <w:rFonts w:ascii="Times New Roman" w:hAnsi="Times New Roman"/>
          <w:b/>
          <w:color w:val="000000"/>
          <w:sz w:val="24"/>
          <w:szCs w:val="24"/>
          <w:lang w:val="sr-Cyrl-CS"/>
        </w:rPr>
      </w:pPr>
    </w:p>
    <w:p w:rsidR="006F3964" w:rsidRPr="002D02A8" w:rsidRDefault="00377FE0" w:rsidP="00167C13">
      <w:pPr>
        <w:ind w:firstLine="708"/>
        <w:jc w:val="both"/>
        <w:rPr>
          <w:rFonts w:ascii="Times New Roman" w:hAnsi="Times New Roman"/>
          <w:sz w:val="24"/>
          <w:szCs w:val="24"/>
          <w:shd w:val="clear" w:color="auto" w:fill="FFFFFF"/>
          <w:lang w:val="sr-Cyrl-CS"/>
        </w:rPr>
      </w:pPr>
      <w:r>
        <w:rPr>
          <w:rFonts w:ascii="Times New Roman" w:hAnsi="Times New Roman"/>
          <w:sz w:val="24"/>
          <w:szCs w:val="24"/>
          <w:shd w:val="clear" w:color="auto" w:fill="FFFFFF"/>
          <w:lang w:val="sr-Cyrl-CS"/>
        </w:rPr>
        <w:t xml:space="preserve">Давање лажних података од значаја за опрезивање, према томе, има веома различите облике испољавања, али се у основи </w:t>
      </w:r>
      <w:r w:rsidR="00167C13">
        <w:rPr>
          <w:rFonts w:ascii="Times New Roman" w:hAnsi="Times New Roman"/>
          <w:sz w:val="24"/>
          <w:szCs w:val="24"/>
          <w:shd w:val="clear" w:color="auto" w:fill="FFFFFF"/>
          <w:lang w:val="sr-Cyrl-CS"/>
        </w:rPr>
        <w:t xml:space="preserve">у пракси најчешће </w:t>
      </w:r>
      <w:r>
        <w:rPr>
          <w:rFonts w:ascii="Times New Roman" w:hAnsi="Times New Roman"/>
          <w:sz w:val="24"/>
          <w:szCs w:val="24"/>
          <w:shd w:val="clear" w:color="auto" w:fill="FFFFFF"/>
          <w:lang w:val="sr-Cyrl-CS"/>
        </w:rPr>
        <w:t>своди на издавање лажних фактура и умањење пореске обавезе потупним или делимичним неевидетирањем оствареног промета. Наведеним модалетитама биће пос</w:t>
      </w:r>
      <w:r w:rsidR="00392BF2">
        <w:rPr>
          <w:rFonts w:ascii="Times New Roman" w:hAnsi="Times New Roman"/>
          <w:sz w:val="24"/>
          <w:szCs w:val="24"/>
          <w:shd w:val="clear" w:color="auto" w:fill="FFFFFF"/>
          <w:lang w:val="sr-Cyrl-CS"/>
        </w:rPr>
        <w:t>већена посебна пажња у даљем изл</w:t>
      </w:r>
      <w:r>
        <w:rPr>
          <w:rFonts w:ascii="Times New Roman" w:hAnsi="Times New Roman"/>
          <w:sz w:val="24"/>
          <w:szCs w:val="24"/>
          <w:shd w:val="clear" w:color="auto" w:fill="FFFFFF"/>
          <w:lang w:val="sr-Cyrl-CS"/>
        </w:rPr>
        <w:t xml:space="preserve">агању. </w:t>
      </w:r>
      <w:r w:rsidR="006F3964" w:rsidRPr="002D02A8">
        <w:rPr>
          <w:rFonts w:ascii="Times New Roman" w:hAnsi="Times New Roman"/>
          <w:sz w:val="24"/>
          <w:szCs w:val="24"/>
          <w:shd w:val="clear" w:color="auto" w:fill="FFFFFF"/>
          <w:lang w:val="sr-Cyrl-CS"/>
        </w:rPr>
        <w:t xml:space="preserve">У наставку излагања </w:t>
      </w:r>
      <w:r w:rsidR="006F3964">
        <w:rPr>
          <w:rFonts w:ascii="Times New Roman" w:hAnsi="Times New Roman"/>
          <w:sz w:val="24"/>
          <w:szCs w:val="24"/>
          <w:shd w:val="clear" w:color="auto" w:fill="FFFFFF"/>
          <w:lang w:val="sr-Cyrl-CS"/>
        </w:rPr>
        <w:t xml:space="preserve">биће </w:t>
      </w:r>
      <w:r>
        <w:rPr>
          <w:rFonts w:ascii="Times New Roman" w:hAnsi="Times New Roman"/>
          <w:sz w:val="24"/>
          <w:szCs w:val="24"/>
          <w:shd w:val="clear" w:color="auto" w:fill="FFFFFF"/>
          <w:lang w:val="sr-Cyrl-CS"/>
        </w:rPr>
        <w:t xml:space="preserve">такође </w:t>
      </w:r>
      <w:r w:rsidR="006F3964">
        <w:rPr>
          <w:rFonts w:ascii="Times New Roman" w:hAnsi="Times New Roman"/>
          <w:sz w:val="24"/>
          <w:szCs w:val="24"/>
          <w:shd w:val="clear" w:color="auto" w:fill="FFFFFF"/>
          <w:lang w:val="sr-Cyrl-CS"/>
        </w:rPr>
        <w:t>детаљније изложени поједини случајеви избегавања плаћања пореза на додату вредност који се у пракси често појављују.</w:t>
      </w:r>
      <w:r w:rsidR="00167C13">
        <w:rPr>
          <w:rFonts w:ascii="Times New Roman" w:hAnsi="Times New Roman"/>
          <w:sz w:val="24"/>
          <w:szCs w:val="24"/>
          <w:shd w:val="clear" w:color="auto" w:fill="FFFFFF"/>
          <w:lang w:val="sr-Cyrl-CS"/>
        </w:rPr>
        <w:t xml:space="preserve"> </w:t>
      </w:r>
    </w:p>
    <w:p w:rsidR="00C567E2" w:rsidRDefault="00C567E2" w:rsidP="004B6685">
      <w:pPr>
        <w:shd w:val="clear" w:color="auto" w:fill="FFFFFF"/>
        <w:spacing w:after="0" w:line="285" w:lineRule="atLeast"/>
        <w:jc w:val="both"/>
        <w:rPr>
          <w:rFonts w:ascii="Times New Roman" w:hAnsi="Times New Roman"/>
          <w:color w:val="000000"/>
          <w:sz w:val="24"/>
          <w:szCs w:val="24"/>
          <w:lang w:val="sr-Cyrl-CS"/>
        </w:rPr>
      </w:pPr>
    </w:p>
    <w:p w:rsidR="004B6685" w:rsidRDefault="004B6685" w:rsidP="004B6685">
      <w:pPr>
        <w:shd w:val="clear" w:color="auto" w:fill="FFFFFF"/>
        <w:spacing w:after="0" w:line="285" w:lineRule="atLeast"/>
        <w:jc w:val="both"/>
        <w:rPr>
          <w:rFonts w:ascii="Times New Roman" w:hAnsi="Times New Roman"/>
          <w:color w:val="000000"/>
          <w:sz w:val="24"/>
          <w:szCs w:val="24"/>
          <w:lang w:val="sr-Cyrl-CS"/>
        </w:rPr>
      </w:pPr>
    </w:p>
    <w:p w:rsidR="008D7E6F" w:rsidRDefault="008D7E6F" w:rsidP="00612C4D">
      <w:pPr>
        <w:shd w:val="clear" w:color="auto" w:fill="FFFFFF"/>
        <w:spacing w:after="0" w:line="285" w:lineRule="atLeast"/>
        <w:jc w:val="both"/>
        <w:rPr>
          <w:rFonts w:ascii="Times New Roman" w:hAnsi="Times New Roman"/>
          <w:color w:val="000000"/>
          <w:sz w:val="24"/>
          <w:szCs w:val="24"/>
          <w:lang w:val="sr-Cyrl-CS"/>
        </w:rPr>
      </w:pPr>
    </w:p>
    <w:p w:rsidR="00612C4D" w:rsidRPr="00026B33" w:rsidRDefault="00612C4D" w:rsidP="00612C4D">
      <w:pPr>
        <w:pStyle w:val="ListParagraph"/>
        <w:jc w:val="center"/>
        <w:rPr>
          <w:rFonts w:ascii="Times New Roman" w:hAnsi="Times New Roman"/>
          <w:sz w:val="24"/>
          <w:szCs w:val="24"/>
          <w:lang w:val="sr-Cyrl-CS"/>
        </w:rPr>
      </w:pPr>
      <w:r>
        <w:rPr>
          <w:rFonts w:ascii="Times New Roman" w:hAnsi="Times New Roman"/>
          <w:b/>
          <w:sz w:val="24"/>
          <w:szCs w:val="24"/>
          <w:shd w:val="clear" w:color="auto" w:fill="FFFFFF"/>
          <w:lang w:val="sr-Cyrl-CS"/>
        </w:rPr>
        <w:t xml:space="preserve">5.2.6.2. </w:t>
      </w:r>
      <w:r w:rsidRPr="00612C4D">
        <w:rPr>
          <w:rFonts w:ascii="Times New Roman" w:hAnsi="Times New Roman"/>
          <w:b/>
          <w:sz w:val="24"/>
          <w:szCs w:val="24"/>
          <w:lang w:val="sr-Cyrl-CS"/>
        </w:rPr>
        <w:t>Избегавање пореза на додату вредност путем пословања са фантомским предузећима</w:t>
      </w:r>
      <w:r w:rsidR="006A1CFD">
        <w:rPr>
          <w:rFonts w:ascii="Times New Roman" w:hAnsi="Times New Roman"/>
          <w:b/>
          <w:sz w:val="24"/>
          <w:szCs w:val="24"/>
          <w:lang w:val="sr-Cyrl-CS"/>
        </w:rPr>
        <w:t xml:space="preserve"> и коришћењем лажних фактура</w:t>
      </w:r>
    </w:p>
    <w:p w:rsidR="004B6685" w:rsidRDefault="004B6685" w:rsidP="00AE3990">
      <w:pPr>
        <w:jc w:val="both"/>
        <w:rPr>
          <w:rFonts w:ascii="Times New Roman" w:hAnsi="Times New Roman"/>
          <w:b/>
          <w:sz w:val="24"/>
          <w:szCs w:val="24"/>
          <w:shd w:val="clear" w:color="auto" w:fill="FFFFFF"/>
          <w:lang w:val="sr-Cyrl-CS"/>
        </w:rPr>
      </w:pPr>
    </w:p>
    <w:p w:rsidR="00171709" w:rsidRDefault="00171709" w:rsidP="004E3DBF">
      <w:pPr>
        <w:ind w:firstLine="708"/>
        <w:jc w:val="both"/>
        <w:rPr>
          <w:rFonts w:ascii="Times New Roman" w:hAnsi="Times New Roman"/>
          <w:sz w:val="24"/>
          <w:szCs w:val="24"/>
          <w:shd w:val="clear" w:color="auto" w:fill="FFFFFF"/>
          <w:lang w:val="sr-Cyrl-CS"/>
        </w:rPr>
      </w:pPr>
      <w:r w:rsidRPr="00171709">
        <w:rPr>
          <w:rFonts w:ascii="Times New Roman" w:hAnsi="Times New Roman"/>
          <w:sz w:val="24"/>
          <w:szCs w:val="24"/>
          <w:shd w:val="clear" w:color="auto" w:fill="FFFFFF"/>
          <w:lang w:val="sr-Cyrl-CS"/>
        </w:rPr>
        <w:t xml:space="preserve">Фантомска </w:t>
      </w:r>
      <w:r>
        <w:rPr>
          <w:rFonts w:ascii="Times New Roman" w:hAnsi="Times New Roman"/>
          <w:sz w:val="24"/>
          <w:szCs w:val="24"/>
          <w:shd w:val="clear" w:color="auto" w:fill="FFFFFF"/>
          <w:lang w:val="sr-Cyrl-CS"/>
        </w:rPr>
        <w:t xml:space="preserve">предузећа </w:t>
      </w:r>
      <w:r w:rsidR="004C3C32">
        <w:rPr>
          <w:rFonts w:ascii="Times New Roman" w:hAnsi="Times New Roman"/>
          <w:sz w:val="24"/>
          <w:szCs w:val="24"/>
          <w:shd w:val="clear" w:color="auto" w:fill="FFFFFF"/>
          <w:lang w:val="sr-Cyrl-CS"/>
        </w:rPr>
        <w:t>имају за циљ</w:t>
      </w:r>
      <w:r w:rsidR="002C4B08">
        <w:rPr>
          <w:rFonts w:ascii="Times New Roman" w:hAnsi="Times New Roman"/>
          <w:sz w:val="24"/>
          <w:szCs w:val="24"/>
          <w:shd w:val="clear" w:color="auto" w:fill="FFFFFF"/>
          <w:lang w:val="sr-Cyrl-CS"/>
        </w:rPr>
        <w:t xml:space="preserve"> избегавање</w:t>
      </w:r>
      <w:r>
        <w:rPr>
          <w:rFonts w:ascii="Times New Roman" w:hAnsi="Times New Roman"/>
          <w:sz w:val="24"/>
          <w:szCs w:val="24"/>
          <w:shd w:val="clear" w:color="auto" w:fill="FFFFFF"/>
          <w:lang w:val="sr-Cyrl-CS"/>
        </w:rPr>
        <w:t xml:space="preserve"> плаћања пореза. </w:t>
      </w:r>
      <w:r w:rsidR="004D6A7B">
        <w:rPr>
          <w:rFonts w:ascii="Times New Roman" w:hAnsi="Times New Roman"/>
          <w:sz w:val="24"/>
          <w:szCs w:val="24"/>
          <w:shd w:val="clear" w:color="auto" w:fill="FFFFFF"/>
          <w:lang w:val="sr-Cyrl-CS"/>
        </w:rPr>
        <w:t>Оваква</w:t>
      </w:r>
      <w:r w:rsidR="004C3C32">
        <w:rPr>
          <w:rFonts w:ascii="Times New Roman" w:hAnsi="Times New Roman"/>
          <w:sz w:val="24"/>
          <w:szCs w:val="24"/>
          <w:shd w:val="clear" w:color="auto" w:fill="FFFFFF"/>
          <w:lang w:val="sr-Cyrl-CS"/>
        </w:rPr>
        <w:t xml:space="preserve"> предузећа могу бити регистрована и нерегистрована. </w:t>
      </w:r>
      <w:r w:rsidR="00D15EF8">
        <w:rPr>
          <w:rFonts w:ascii="Times New Roman" w:hAnsi="Times New Roman"/>
          <w:sz w:val="24"/>
          <w:szCs w:val="24"/>
          <w:shd w:val="clear" w:color="auto" w:fill="FFFFFF"/>
          <w:lang w:val="sr-Cyrl-CS"/>
        </w:rPr>
        <w:t xml:space="preserve">Код регистрованих предузећа ради се </w:t>
      </w:r>
      <w:r w:rsidR="002C4B08">
        <w:rPr>
          <w:rFonts w:ascii="Times New Roman" w:hAnsi="Times New Roman"/>
          <w:sz w:val="24"/>
          <w:szCs w:val="24"/>
          <w:shd w:val="clear" w:color="auto" w:fill="FFFFFF"/>
          <w:lang w:val="sr-Cyrl-CS"/>
        </w:rPr>
        <w:t xml:space="preserve">о </w:t>
      </w:r>
      <w:r w:rsidR="00D15EF8">
        <w:rPr>
          <w:rFonts w:ascii="Times New Roman" w:hAnsi="Times New Roman"/>
          <w:sz w:val="24"/>
          <w:szCs w:val="24"/>
          <w:shd w:val="clear" w:color="auto" w:fill="FFFFFF"/>
          <w:lang w:val="sr-Cyrl-CS"/>
        </w:rPr>
        <w:t xml:space="preserve">малом оснивачком капиталу и једним или свега неколико запослених. </w:t>
      </w:r>
      <w:r w:rsidR="004C3C32">
        <w:rPr>
          <w:rFonts w:ascii="Times New Roman" w:hAnsi="Times New Roman"/>
          <w:sz w:val="24"/>
          <w:szCs w:val="24"/>
          <w:shd w:val="clear" w:color="auto" w:fill="FFFFFF"/>
          <w:lang w:val="sr-Cyrl-CS"/>
        </w:rPr>
        <w:t xml:space="preserve">Оваква предузећа се </w:t>
      </w:r>
      <w:r w:rsidR="00D15EF8">
        <w:rPr>
          <w:rFonts w:ascii="Times New Roman" w:hAnsi="Times New Roman"/>
          <w:sz w:val="24"/>
          <w:szCs w:val="24"/>
          <w:shd w:val="clear" w:color="auto" w:fill="FFFFFF"/>
          <w:lang w:val="sr-Cyrl-CS"/>
        </w:rPr>
        <w:t xml:space="preserve">често </w:t>
      </w:r>
      <w:r w:rsidR="004C3C32">
        <w:rPr>
          <w:rFonts w:ascii="Times New Roman" w:hAnsi="Times New Roman"/>
          <w:sz w:val="24"/>
          <w:szCs w:val="24"/>
          <w:shd w:val="clear" w:color="auto" w:fill="FFFFFF"/>
          <w:lang w:val="sr-Cyrl-CS"/>
        </w:rPr>
        <w:t xml:space="preserve">региструју помоћу фалсификованих или украдених личних докумената. Фантомске фирме могу да имају исти ПИБ број и назив као легално регистровано предузеће. Рачуни и остала документација </w:t>
      </w:r>
      <w:r w:rsidR="004E3DBF">
        <w:rPr>
          <w:rFonts w:ascii="Times New Roman" w:hAnsi="Times New Roman"/>
          <w:sz w:val="24"/>
          <w:szCs w:val="24"/>
          <w:shd w:val="clear" w:color="auto" w:fill="FFFFFF"/>
          <w:lang w:val="sr-Cyrl-CS"/>
        </w:rPr>
        <w:t xml:space="preserve">се сачињава тако да изгледа као права, а користи се печат набављен на „црном тржишту“. </w:t>
      </w:r>
      <w:r>
        <w:rPr>
          <w:rFonts w:ascii="Times New Roman" w:hAnsi="Times New Roman"/>
          <w:sz w:val="24"/>
          <w:szCs w:val="24"/>
          <w:shd w:val="clear" w:color="auto" w:fill="FFFFFF"/>
          <w:lang w:val="sr-Cyrl-CS"/>
        </w:rPr>
        <w:t>Оваква предузећа не постоје на адре</w:t>
      </w:r>
      <w:r w:rsidR="004D6A7B">
        <w:rPr>
          <w:rFonts w:ascii="Times New Roman" w:hAnsi="Times New Roman"/>
          <w:sz w:val="24"/>
          <w:szCs w:val="24"/>
          <w:shd w:val="clear" w:color="auto" w:fill="FFFFFF"/>
          <w:lang w:val="sr-Cyrl-CS"/>
        </w:rPr>
        <w:t xml:space="preserve">сама на којима су регистрована </w:t>
      </w:r>
      <w:r>
        <w:rPr>
          <w:rFonts w:ascii="Times New Roman" w:hAnsi="Times New Roman"/>
          <w:sz w:val="24"/>
          <w:szCs w:val="24"/>
          <w:shd w:val="clear" w:color="auto" w:fill="FFFFFF"/>
          <w:lang w:val="sr-Cyrl-CS"/>
        </w:rPr>
        <w:t>и тешко је ући у траг ко</w:t>
      </w:r>
      <w:r w:rsidR="002D43F7">
        <w:rPr>
          <w:rFonts w:ascii="Times New Roman" w:hAnsi="Times New Roman"/>
          <w:sz w:val="24"/>
          <w:szCs w:val="24"/>
          <w:shd w:val="clear" w:color="auto" w:fill="FFFFFF"/>
          <w:lang w:val="sr-Cyrl-CS"/>
        </w:rPr>
        <w:t xml:space="preserve"> стоји иза њих. Фантомска пред</w:t>
      </w:r>
      <w:r w:rsidR="004E3DBF">
        <w:rPr>
          <w:rFonts w:ascii="Times New Roman" w:hAnsi="Times New Roman"/>
          <w:sz w:val="24"/>
          <w:szCs w:val="24"/>
          <w:shd w:val="clear" w:color="auto" w:fill="FFFFFF"/>
          <w:lang w:val="sr-Cyrl-CS"/>
        </w:rPr>
        <w:t>уз</w:t>
      </w:r>
      <w:r w:rsidR="002D43F7">
        <w:rPr>
          <w:rFonts w:ascii="Times New Roman" w:hAnsi="Times New Roman"/>
          <w:sz w:val="24"/>
          <w:szCs w:val="24"/>
          <w:shd w:val="clear" w:color="auto" w:fill="FFFFFF"/>
          <w:lang w:val="sr-Cyrl-CS"/>
        </w:rPr>
        <w:t>ећа</w:t>
      </w:r>
      <w:r>
        <w:rPr>
          <w:rFonts w:ascii="Times New Roman" w:hAnsi="Times New Roman"/>
          <w:sz w:val="24"/>
          <w:szCs w:val="24"/>
          <w:shd w:val="clear" w:color="auto" w:fill="FFFFFF"/>
          <w:lang w:val="sr-Cyrl-CS"/>
        </w:rPr>
        <w:t xml:space="preserve"> не воде одговарајуће евиденције, нити подносе пореске пријаве. </w:t>
      </w:r>
    </w:p>
    <w:p w:rsidR="0065119F" w:rsidRDefault="004D6A7B" w:rsidP="0065119F">
      <w:pPr>
        <w:ind w:firstLine="708"/>
        <w:jc w:val="both"/>
        <w:rPr>
          <w:rFonts w:ascii="Times New Roman" w:hAnsi="Times New Roman"/>
          <w:sz w:val="24"/>
          <w:szCs w:val="24"/>
          <w:shd w:val="clear" w:color="auto" w:fill="FFFFFF"/>
          <w:lang w:val="sr-Cyrl-CS"/>
        </w:rPr>
      </w:pPr>
      <w:r>
        <w:rPr>
          <w:rFonts w:ascii="Times New Roman" w:hAnsi="Times New Roman"/>
          <w:sz w:val="24"/>
          <w:szCs w:val="24"/>
          <w:shd w:val="clear" w:color="auto" w:fill="FFFFFF"/>
          <w:lang w:val="sr-Cyrl-CS"/>
        </w:rPr>
        <w:t>Ова</w:t>
      </w:r>
      <w:r w:rsidR="0065119F">
        <w:rPr>
          <w:rFonts w:ascii="Times New Roman" w:hAnsi="Times New Roman"/>
          <w:sz w:val="24"/>
          <w:szCs w:val="24"/>
          <w:shd w:val="clear" w:color="auto" w:fill="FFFFFF"/>
          <w:lang w:val="sr-Cyrl-CS"/>
        </w:rPr>
        <w:t xml:space="preserve"> предузећа</w:t>
      </w:r>
      <w:r>
        <w:rPr>
          <w:rFonts w:ascii="Times New Roman" w:hAnsi="Times New Roman"/>
          <w:sz w:val="24"/>
          <w:szCs w:val="24"/>
          <w:shd w:val="clear" w:color="auto" w:fill="FFFFFF"/>
          <w:lang w:val="sr-Cyrl-CS"/>
        </w:rPr>
        <w:t xml:space="preserve"> практично злоупотребљавају </w:t>
      </w:r>
      <w:r w:rsidR="0065119F">
        <w:rPr>
          <w:rFonts w:ascii="Times New Roman" w:hAnsi="Times New Roman"/>
          <w:sz w:val="24"/>
          <w:szCs w:val="24"/>
          <w:shd w:val="clear" w:color="auto" w:fill="FFFFFF"/>
          <w:lang w:val="sr-Cyrl-CS"/>
        </w:rPr>
        <w:t>режим слободне трговине и потребе за брзим прот</w:t>
      </w:r>
      <w:r w:rsidR="002C4B08">
        <w:rPr>
          <w:rFonts w:ascii="Times New Roman" w:hAnsi="Times New Roman"/>
          <w:sz w:val="24"/>
          <w:szCs w:val="24"/>
          <w:shd w:val="clear" w:color="auto" w:fill="FFFFFF"/>
          <w:lang w:val="sr-Cyrl-CS"/>
        </w:rPr>
        <w:t>о</w:t>
      </w:r>
      <w:r w:rsidR="0065119F">
        <w:rPr>
          <w:rFonts w:ascii="Times New Roman" w:hAnsi="Times New Roman"/>
          <w:sz w:val="24"/>
          <w:szCs w:val="24"/>
          <w:shd w:val="clear" w:color="auto" w:fill="FFFFFF"/>
          <w:lang w:val="sr-Cyrl-CS"/>
        </w:rPr>
        <w:t>ком новца и добара</w:t>
      </w:r>
      <w:r w:rsidR="00E518BF">
        <w:rPr>
          <w:rFonts w:ascii="Times New Roman" w:hAnsi="Times New Roman"/>
          <w:sz w:val="24"/>
          <w:szCs w:val="24"/>
          <w:shd w:val="clear" w:color="auto" w:fill="FFFFFF"/>
          <w:lang w:val="sr-Cyrl-CS"/>
        </w:rPr>
        <w:t xml:space="preserve"> у најразвијенијим земљама</w:t>
      </w:r>
      <w:r w:rsidR="0065119F">
        <w:rPr>
          <w:rFonts w:ascii="Times New Roman" w:hAnsi="Times New Roman"/>
          <w:sz w:val="24"/>
          <w:szCs w:val="24"/>
          <w:shd w:val="clear" w:color="auto" w:fill="FFFFFF"/>
          <w:lang w:val="sr-Cyrl-CS"/>
        </w:rPr>
        <w:t xml:space="preserve">. </w:t>
      </w:r>
      <w:r w:rsidR="00E518BF">
        <w:rPr>
          <w:rFonts w:ascii="Times New Roman" w:hAnsi="Times New Roman"/>
          <w:sz w:val="24"/>
          <w:szCs w:val="24"/>
          <w:shd w:val="clear" w:color="auto" w:fill="FFFFFF"/>
          <w:lang w:val="sr-Cyrl-CS"/>
        </w:rPr>
        <w:t>Постојање таквог ражима наметнуло је</w:t>
      </w:r>
      <w:r>
        <w:rPr>
          <w:rFonts w:ascii="Times New Roman" w:hAnsi="Times New Roman"/>
          <w:sz w:val="24"/>
          <w:szCs w:val="24"/>
          <w:shd w:val="clear" w:color="auto" w:fill="FFFFFF"/>
          <w:lang w:val="sr-Cyrl-CS"/>
        </w:rPr>
        <w:t xml:space="preserve"> потр</w:t>
      </w:r>
      <w:r w:rsidR="002C4B08">
        <w:rPr>
          <w:rFonts w:ascii="Times New Roman" w:hAnsi="Times New Roman"/>
          <w:sz w:val="24"/>
          <w:szCs w:val="24"/>
          <w:shd w:val="clear" w:color="auto" w:fill="FFFFFF"/>
          <w:lang w:val="sr-Cyrl-CS"/>
        </w:rPr>
        <w:t>е</w:t>
      </w:r>
      <w:r>
        <w:rPr>
          <w:rFonts w:ascii="Times New Roman" w:hAnsi="Times New Roman"/>
          <w:sz w:val="24"/>
          <w:szCs w:val="24"/>
          <w:shd w:val="clear" w:color="auto" w:fill="FFFFFF"/>
          <w:lang w:val="sr-Cyrl-CS"/>
        </w:rPr>
        <w:t>бу за веома либерализовани</w:t>
      </w:r>
      <w:r w:rsidR="0065119F">
        <w:rPr>
          <w:rFonts w:ascii="Times New Roman" w:hAnsi="Times New Roman"/>
          <w:sz w:val="24"/>
          <w:szCs w:val="24"/>
          <w:shd w:val="clear" w:color="auto" w:fill="FFFFFF"/>
          <w:lang w:val="sr-Cyrl-CS"/>
        </w:rPr>
        <w:t xml:space="preserve">м режимом регистрације привредних субјеката који таква предузећа највише и злоупотребљавају. </w:t>
      </w:r>
      <w:r w:rsidR="00E518BF">
        <w:rPr>
          <w:rFonts w:ascii="Times New Roman" w:hAnsi="Times New Roman"/>
          <w:sz w:val="24"/>
          <w:szCs w:val="24"/>
          <w:shd w:val="clear" w:color="auto" w:fill="FFFFFF"/>
          <w:lang w:val="sr-Cyrl-CS"/>
        </w:rPr>
        <w:t>Посебно им погодује</w:t>
      </w:r>
      <w:r w:rsidR="002C4B08">
        <w:rPr>
          <w:rFonts w:ascii="Times New Roman" w:hAnsi="Times New Roman"/>
          <w:sz w:val="24"/>
          <w:szCs w:val="24"/>
          <w:shd w:val="clear" w:color="auto" w:fill="FFFFFF"/>
          <w:lang w:val="sr-Cyrl-CS"/>
        </w:rPr>
        <w:t xml:space="preserve"> интернет-т</w:t>
      </w:r>
      <w:r w:rsidR="00E518BF">
        <w:rPr>
          <w:rFonts w:ascii="Times New Roman" w:hAnsi="Times New Roman"/>
          <w:sz w:val="24"/>
          <w:szCs w:val="24"/>
          <w:shd w:val="clear" w:color="auto" w:fill="FFFFFF"/>
          <w:lang w:val="sr-Cyrl-CS"/>
        </w:rPr>
        <w:t>рговина</w:t>
      </w:r>
      <w:r w:rsidR="002C4B08">
        <w:rPr>
          <w:rFonts w:ascii="Times New Roman" w:hAnsi="Times New Roman"/>
          <w:sz w:val="24"/>
          <w:szCs w:val="24"/>
          <w:shd w:val="clear" w:color="auto" w:fill="FFFFFF"/>
          <w:lang w:val="sr-Cyrl-CS"/>
        </w:rPr>
        <w:t>, где послуј</w:t>
      </w:r>
      <w:r w:rsidR="0065119F">
        <w:rPr>
          <w:rFonts w:ascii="Times New Roman" w:hAnsi="Times New Roman"/>
          <w:sz w:val="24"/>
          <w:szCs w:val="24"/>
          <w:shd w:val="clear" w:color="auto" w:fill="FFFFFF"/>
          <w:lang w:val="sr-Cyrl-CS"/>
        </w:rPr>
        <w:t xml:space="preserve">у на истим принципима </w:t>
      </w:r>
      <w:r w:rsidR="00E518BF">
        <w:rPr>
          <w:rFonts w:ascii="Times New Roman" w:hAnsi="Times New Roman"/>
          <w:sz w:val="24"/>
          <w:szCs w:val="24"/>
          <w:shd w:val="clear" w:color="auto" w:fill="FFFFFF"/>
          <w:lang w:val="sr-Cyrl-CS"/>
        </w:rPr>
        <w:t>који важе у класичној трговини. П</w:t>
      </w:r>
      <w:r w:rsidR="0065119F">
        <w:rPr>
          <w:rFonts w:ascii="Times New Roman" w:hAnsi="Times New Roman"/>
          <w:sz w:val="24"/>
          <w:szCs w:val="24"/>
          <w:shd w:val="clear" w:color="auto" w:fill="FFFFFF"/>
          <w:lang w:val="sr-Cyrl-CS"/>
        </w:rPr>
        <w:t xml:space="preserve">осле </w:t>
      </w:r>
      <w:r>
        <w:rPr>
          <w:rFonts w:ascii="Times New Roman" w:hAnsi="Times New Roman"/>
          <w:sz w:val="24"/>
          <w:szCs w:val="24"/>
          <w:shd w:val="clear" w:color="auto" w:fill="FFFFFF"/>
          <w:lang w:val="sr-Cyrl-CS"/>
        </w:rPr>
        <w:t>ду</w:t>
      </w:r>
      <w:r w:rsidR="0065119F">
        <w:rPr>
          <w:rFonts w:ascii="Times New Roman" w:hAnsi="Times New Roman"/>
          <w:sz w:val="24"/>
          <w:szCs w:val="24"/>
          <w:shd w:val="clear" w:color="auto" w:fill="FFFFFF"/>
          <w:lang w:val="sr-Cyrl-CS"/>
        </w:rPr>
        <w:t xml:space="preserve">жег или краћег периода </w:t>
      </w:r>
      <w:r w:rsidR="00E518BF">
        <w:rPr>
          <w:rFonts w:ascii="Times New Roman" w:hAnsi="Times New Roman"/>
          <w:sz w:val="24"/>
          <w:szCs w:val="24"/>
          <w:shd w:val="clear" w:color="auto" w:fill="FFFFFF"/>
          <w:lang w:val="sr-Cyrl-CS"/>
        </w:rPr>
        <w:t>пословања, током кога су остварили обиман промет захваљујући веома повољним куповинама</w:t>
      </w:r>
      <w:r w:rsidR="0065119F">
        <w:rPr>
          <w:rFonts w:ascii="Times New Roman" w:hAnsi="Times New Roman"/>
          <w:sz w:val="24"/>
          <w:szCs w:val="24"/>
          <w:shd w:val="clear" w:color="auto" w:fill="FFFFFF"/>
          <w:lang w:val="sr-Cyrl-CS"/>
        </w:rPr>
        <w:t xml:space="preserve"> атрактивних артикала, једноставно им се угаси сајт и нестају без трага са гомилом новца који су примили као уплату за робу која никада неће стићи до купца.</w:t>
      </w:r>
      <w:r w:rsidR="0065119F">
        <w:rPr>
          <w:rStyle w:val="FootnoteReference"/>
          <w:rFonts w:ascii="Times New Roman" w:hAnsi="Times New Roman"/>
          <w:sz w:val="24"/>
          <w:szCs w:val="24"/>
          <w:shd w:val="clear" w:color="auto" w:fill="FFFFFF"/>
          <w:lang w:val="sr-Cyrl-CS"/>
        </w:rPr>
        <w:footnoteReference w:id="407"/>
      </w:r>
      <w:r w:rsidR="0065119F">
        <w:rPr>
          <w:rFonts w:ascii="Times New Roman" w:hAnsi="Times New Roman"/>
          <w:sz w:val="24"/>
          <w:szCs w:val="24"/>
          <w:shd w:val="clear" w:color="auto" w:fill="FFFFFF"/>
          <w:lang w:val="sr-Cyrl-CS"/>
        </w:rPr>
        <w:t xml:space="preserve"> </w:t>
      </w:r>
    </w:p>
    <w:p w:rsidR="004E3DBF" w:rsidRDefault="004E3DBF" w:rsidP="004E3DBF">
      <w:pPr>
        <w:ind w:firstLine="708"/>
        <w:jc w:val="both"/>
        <w:rPr>
          <w:rFonts w:ascii="Times New Roman" w:hAnsi="Times New Roman"/>
          <w:sz w:val="24"/>
          <w:szCs w:val="24"/>
          <w:shd w:val="clear" w:color="auto" w:fill="FFFFFF"/>
          <w:lang w:val="sr-Cyrl-CS"/>
        </w:rPr>
      </w:pPr>
      <w:r>
        <w:rPr>
          <w:rFonts w:ascii="Times New Roman" w:hAnsi="Times New Roman"/>
          <w:sz w:val="24"/>
          <w:szCs w:val="24"/>
          <w:shd w:val="clear" w:color="auto" w:fill="FFFFFF"/>
          <w:lang w:val="sr-Cyrl-CS"/>
        </w:rPr>
        <w:t xml:space="preserve">Модалитети пословања ових фирми су различити. Легална предузећа продају робу фантомским фирмама по нижој продајној цени, како би минимализовали своје излазе и пореске обавезе, а потом се даље роба продаје на црном тржишту. Легалне фирме могу да уплате новац фантомским фирмама, за робу и услуге, </w:t>
      </w:r>
      <w:r w:rsidR="00D15EF8">
        <w:rPr>
          <w:rFonts w:ascii="Times New Roman" w:hAnsi="Times New Roman"/>
          <w:sz w:val="24"/>
          <w:szCs w:val="24"/>
          <w:shd w:val="clear" w:color="auto" w:fill="FFFFFF"/>
          <w:lang w:val="sr-Cyrl-CS"/>
        </w:rPr>
        <w:t xml:space="preserve">при чему стварни </w:t>
      </w:r>
      <w:r w:rsidR="00D15EF8">
        <w:rPr>
          <w:rFonts w:ascii="Times New Roman" w:hAnsi="Times New Roman"/>
          <w:sz w:val="24"/>
          <w:szCs w:val="24"/>
          <w:shd w:val="clear" w:color="auto" w:fill="FFFFFF"/>
          <w:lang w:val="sr-Cyrl-CS"/>
        </w:rPr>
        <w:lastRenderedPageBreak/>
        <w:t xml:space="preserve">промет не постоји, уз урачунат ПДВ у продајну цену, како би било мање сумњиво и како би се стекао привид легалног пословања, </w:t>
      </w:r>
      <w:r>
        <w:rPr>
          <w:rFonts w:ascii="Times New Roman" w:hAnsi="Times New Roman"/>
          <w:sz w:val="24"/>
          <w:szCs w:val="24"/>
          <w:shd w:val="clear" w:color="auto" w:fill="FFFFFF"/>
          <w:lang w:val="sr-Cyrl-CS"/>
        </w:rPr>
        <w:t xml:space="preserve">а потом се новац подиже са рачуна и </w:t>
      </w:r>
      <w:r w:rsidR="00D15EF8">
        <w:rPr>
          <w:rFonts w:ascii="Times New Roman" w:hAnsi="Times New Roman"/>
          <w:sz w:val="24"/>
          <w:szCs w:val="24"/>
          <w:shd w:val="clear" w:color="auto" w:fill="FFFFFF"/>
          <w:lang w:val="sr-Cyrl-CS"/>
        </w:rPr>
        <w:t>враћа уплатиоцу, уз задржавање одређене провизије од стране</w:t>
      </w:r>
      <w:r w:rsidR="002C4B08">
        <w:rPr>
          <w:rFonts w:ascii="Times New Roman" w:hAnsi="Times New Roman"/>
          <w:sz w:val="24"/>
          <w:szCs w:val="24"/>
          <w:shd w:val="clear" w:color="auto" w:fill="FFFFFF"/>
          <w:lang w:val="sr-Cyrl-CS"/>
        </w:rPr>
        <w:t xml:space="preserve"> фантомске фирме. Чешће се прибе</w:t>
      </w:r>
      <w:r w:rsidR="00D15EF8">
        <w:rPr>
          <w:rFonts w:ascii="Times New Roman" w:hAnsi="Times New Roman"/>
          <w:sz w:val="24"/>
          <w:szCs w:val="24"/>
          <w:shd w:val="clear" w:color="auto" w:fill="FFFFFF"/>
          <w:lang w:val="sr-Cyrl-CS"/>
        </w:rPr>
        <w:t>гава пружању услуга, јер се овакве трансакције у том случају теже откривају, пошто је теже доказати да услуге нису заиста пружене.</w:t>
      </w:r>
    </w:p>
    <w:p w:rsidR="002D43F7" w:rsidRDefault="00E518BF" w:rsidP="002D43F7">
      <w:pPr>
        <w:ind w:firstLine="708"/>
        <w:jc w:val="both"/>
        <w:rPr>
          <w:rFonts w:ascii="Times New Roman" w:hAnsi="Times New Roman"/>
          <w:sz w:val="24"/>
          <w:szCs w:val="24"/>
          <w:shd w:val="clear" w:color="auto" w:fill="FFFFFF"/>
          <w:lang w:val="sr-Cyrl-CS"/>
        </w:rPr>
      </w:pPr>
      <w:r>
        <w:rPr>
          <w:rFonts w:ascii="Times New Roman" w:hAnsi="Times New Roman"/>
          <w:sz w:val="24"/>
          <w:szCs w:val="24"/>
          <w:shd w:val="clear" w:color="auto" w:fill="FFFFFF"/>
          <w:lang w:val="sr-Cyrl-CS"/>
        </w:rPr>
        <w:t>Предузеће</w:t>
      </w:r>
      <w:r w:rsidR="009E2477">
        <w:rPr>
          <w:rFonts w:ascii="Times New Roman" w:hAnsi="Times New Roman"/>
          <w:sz w:val="24"/>
          <w:szCs w:val="24"/>
          <w:shd w:val="clear" w:color="auto" w:fill="FFFFFF"/>
          <w:lang w:val="sr-Cyrl-CS"/>
        </w:rPr>
        <w:t xml:space="preserve"> које је на </w:t>
      </w:r>
      <w:r>
        <w:rPr>
          <w:rFonts w:ascii="Times New Roman" w:hAnsi="Times New Roman"/>
          <w:sz w:val="24"/>
          <w:szCs w:val="24"/>
          <w:shd w:val="clear" w:color="auto" w:fill="FFFFFF"/>
          <w:lang w:val="sr-Cyrl-CS"/>
        </w:rPr>
        <w:t>наведени начин регистровано</w:t>
      </w:r>
      <w:r w:rsidR="009E2477">
        <w:rPr>
          <w:rFonts w:ascii="Times New Roman" w:hAnsi="Times New Roman"/>
          <w:sz w:val="24"/>
          <w:szCs w:val="24"/>
          <w:shd w:val="clear" w:color="auto" w:fill="FFFFFF"/>
          <w:lang w:val="sr-Cyrl-CS"/>
        </w:rPr>
        <w:t xml:space="preserve"> </w:t>
      </w:r>
      <w:r>
        <w:rPr>
          <w:rFonts w:ascii="Times New Roman" w:hAnsi="Times New Roman"/>
          <w:sz w:val="24"/>
          <w:szCs w:val="24"/>
          <w:shd w:val="clear" w:color="auto" w:fill="FFFFFF"/>
          <w:lang w:val="sr-Cyrl-CS"/>
        </w:rPr>
        <w:t xml:space="preserve">не само што </w:t>
      </w:r>
      <w:r w:rsidR="002D43F7">
        <w:rPr>
          <w:rFonts w:ascii="Times New Roman" w:hAnsi="Times New Roman"/>
          <w:sz w:val="24"/>
          <w:szCs w:val="24"/>
          <w:shd w:val="clear" w:color="auto" w:fill="FFFFFF"/>
          <w:lang w:val="sr-Cyrl-CS"/>
        </w:rPr>
        <w:t>не</w:t>
      </w:r>
      <w:r w:rsidR="004D6A7B">
        <w:rPr>
          <w:rFonts w:ascii="Times New Roman" w:hAnsi="Times New Roman"/>
          <w:sz w:val="24"/>
          <w:szCs w:val="24"/>
          <w:shd w:val="clear" w:color="auto" w:fill="FFFFFF"/>
          <w:lang w:val="sr-Cyrl-CS"/>
        </w:rPr>
        <w:t xml:space="preserve"> измирује</w:t>
      </w:r>
      <w:r>
        <w:rPr>
          <w:rFonts w:ascii="Times New Roman" w:hAnsi="Times New Roman"/>
          <w:sz w:val="24"/>
          <w:szCs w:val="24"/>
          <w:shd w:val="clear" w:color="auto" w:fill="FFFFFF"/>
          <w:lang w:val="sr-Cyrl-CS"/>
        </w:rPr>
        <w:t xml:space="preserve"> своје пореске обавезе већ</w:t>
      </w:r>
      <w:r w:rsidR="00C40E5F">
        <w:rPr>
          <w:rFonts w:ascii="Times New Roman" w:hAnsi="Times New Roman"/>
          <w:sz w:val="24"/>
          <w:szCs w:val="24"/>
          <w:shd w:val="clear" w:color="auto" w:fill="FFFFFF"/>
          <w:lang w:val="sr-Cyrl-CS"/>
        </w:rPr>
        <w:t xml:space="preserve"> истовремено помаже регуларним предузећима у </w:t>
      </w:r>
      <w:r w:rsidR="009E2477">
        <w:rPr>
          <w:rFonts w:ascii="Times New Roman" w:hAnsi="Times New Roman"/>
          <w:sz w:val="24"/>
          <w:szCs w:val="24"/>
          <w:shd w:val="clear" w:color="auto" w:fill="FFFFFF"/>
          <w:lang w:val="sr-Cyrl-CS"/>
        </w:rPr>
        <w:t>избегава</w:t>
      </w:r>
      <w:r w:rsidR="00F618A6">
        <w:rPr>
          <w:rFonts w:ascii="Times New Roman" w:hAnsi="Times New Roman"/>
          <w:sz w:val="24"/>
          <w:szCs w:val="24"/>
          <w:shd w:val="clear" w:color="auto" w:fill="FFFFFF"/>
          <w:lang w:val="sr-Cyrl-CS"/>
        </w:rPr>
        <w:t>њу њихових пореских обавеза</w:t>
      </w:r>
      <w:r w:rsidR="009E2477">
        <w:rPr>
          <w:rFonts w:ascii="Times New Roman" w:hAnsi="Times New Roman"/>
          <w:sz w:val="24"/>
          <w:szCs w:val="24"/>
          <w:shd w:val="clear" w:color="auto" w:fill="FFFFFF"/>
          <w:lang w:val="sr-Cyrl-CS"/>
        </w:rPr>
        <w:t xml:space="preserve">, </w:t>
      </w:r>
      <w:r>
        <w:rPr>
          <w:rFonts w:ascii="Times New Roman" w:hAnsi="Times New Roman"/>
          <w:sz w:val="24"/>
          <w:szCs w:val="24"/>
          <w:shd w:val="clear" w:color="auto" w:fill="FFFFFF"/>
          <w:lang w:val="sr-Cyrl-CS"/>
        </w:rPr>
        <w:t>имајући у виду</w:t>
      </w:r>
      <w:r w:rsidR="009E2477">
        <w:rPr>
          <w:rFonts w:ascii="Times New Roman" w:hAnsi="Times New Roman"/>
          <w:sz w:val="24"/>
          <w:szCs w:val="24"/>
          <w:shd w:val="clear" w:color="auto" w:fill="FFFFFF"/>
          <w:lang w:val="sr-Cyrl-CS"/>
        </w:rPr>
        <w:t xml:space="preserve"> да је једини мотив регуларних предузећа да послују са оваквим предузећем управо избегавање пореских обавеза кроз различите видове симуло</w:t>
      </w:r>
      <w:r w:rsidR="00D55B46">
        <w:rPr>
          <w:rFonts w:ascii="Times New Roman" w:hAnsi="Times New Roman"/>
          <w:sz w:val="24"/>
          <w:szCs w:val="24"/>
          <w:shd w:val="clear" w:color="auto" w:fill="FFFFFF"/>
          <w:lang w:val="sr-Cyrl-CS"/>
        </w:rPr>
        <w:t>ваних робноновчаних трансакција</w:t>
      </w:r>
      <w:r w:rsidR="00F618A6">
        <w:rPr>
          <w:rFonts w:ascii="Times New Roman" w:hAnsi="Times New Roman"/>
          <w:sz w:val="24"/>
          <w:szCs w:val="24"/>
          <w:shd w:val="clear" w:color="auto" w:fill="FFFFFF"/>
          <w:lang w:val="sr-Cyrl-CS"/>
        </w:rPr>
        <w:t>.</w:t>
      </w:r>
      <w:r w:rsidR="001804C3">
        <w:rPr>
          <w:rStyle w:val="FootnoteReference"/>
          <w:rFonts w:ascii="Times New Roman" w:hAnsi="Times New Roman"/>
          <w:sz w:val="24"/>
          <w:szCs w:val="24"/>
          <w:shd w:val="clear" w:color="auto" w:fill="FFFFFF"/>
          <w:lang w:val="sr-Cyrl-CS"/>
        </w:rPr>
        <w:footnoteReference w:id="408"/>
      </w:r>
    </w:p>
    <w:p w:rsidR="002D02A8" w:rsidRDefault="002D43F7" w:rsidP="002D43F7">
      <w:pPr>
        <w:ind w:firstLine="708"/>
        <w:jc w:val="both"/>
        <w:rPr>
          <w:rFonts w:ascii="Times New Roman" w:hAnsi="Times New Roman"/>
          <w:sz w:val="24"/>
          <w:szCs w:val="24"/>
          <w:shd w:val="clear" w:color="auto" w:fill="FFFFFF"/>
          <w:lang w:val="sr-Cyrl-CS"/>
        </w:rPr>
      </w:pPr>
      <w:r>
        <w:rPr>
          <w:rFonts w:ascii="Times New Roman" w:hAnsi="Times New Roman"/>
          <w:sz w:val="24"/>
          <w:szCs w:val="24"/>
          <w:shd w:val="clear" w:color="auto" w:fill="FFFFFF"/>
          <w:lang w:val="sr-Cyrl-CS"/>
        </w:rPr>
        <w:t>Како би се прикриле набавке р</w:t>
      </w:r>
      <w:r w:rsidR="004D6A7B">
        <w:rPr>
          <w:rFonts w:ascii="Times New Roman" w:hAnsi="Times New Roman"/>
          <w:sz w:val="24"/>
          <w:szCs w:val="24"/>
          <w:shd w:val="clear" w:color="auto" w:fill="FFFFFF"/>
          <w:lang w:val="sr-Cyrl-CS"/>
        </w:rPr>
        <w:t>обе „на црно“ укључивање фантомс</w:t>
      </w:r>
      <w:r>
        <w:rPr>
          <w:rFonts w:ascii="Times New Roman" w:hAnsi="Times New Roman"/>
          <w:sz w:val="24"/>
          <w:szCs w:val="24"/>
          <w:shd w:val="clear" w:color="auto" w:fill="FFFFFF"/>
          <w:lang w:val="sr-Cyrl-CS"/>
        </w:rPr>
        <w:t xml:space="preserve">ких предузећа у прометни ланац је и више него корисно. Фантомско предуће сачињава лажне фактуре везано за овако остварене набавке уз одговарајућу провизију, те на тај начин омогућава пореском обвезнику да оствари право на одбитак претходног пореза. </w:t>
      </w:r>
    </w:p>
    <w:p w:rsidR="004D6A7B" w:rsidRPr="00034227" w:rsidRDefault="00034227" w:rsidP="00034227">
      <w:pPr>
        <w:pStyle w:val="NormalWeb"/>
        <w:shd w:val="clear" w:color="auto" w:fill="FFFFFF"/>
        <w:spacing w:before="0" w:beforeAutospacing="0" w:after="150" w:afterAutospacing="0" w:line="270" w:lineRule="atLeast"/>
        <w:ind w:firstLine="708"/>
        <w:jc w:val="both"/>
        <w:rPr>
          <w:color w:val="000000"/>
          <w:lang w:val="sr-Cyrl-CS"/>
        </w:rPr>
      </w:pPr>
      <w:r w:rsidRPr="00034227">
        <w:rPr>
          <w:color w:val="000000"/>
        </w:rPr>
        <w:t>Од</w:t>
      </w:r>
      <w:r w:rsidR="00161597" w:rsidRPr="00034227">
        <w:rPr>
          <w:color w:val="000000"/>
        </w:rPr>
        <w:t xml:space="preserve"> 107.363 </w:t>
      </w:r>
      <w:r w:rsidR="002C4B08">
        <w:rPr>
          <w:color w:val="000000"/>
        </w:rPr>
        <w:t>привредн</w:t>
      </w:r>
      <w:r w:rsidR="002C4B08">
        <w:rPr>
          <w:color w:val="000000"/>
          <w:lang w:val="sr-Cyrl-CS"/>
        </w:rPr>
        <w:t>их</w:t>
      </w:r>
      <w:r w:rsidR="00161597" w:rsidRPr="00034227">
        <w:rPr>
          <w:color w:val="000000"/>
        </w:rPr>
        <w:t xml:space="preserve"> </w:t>
      </w:r>
      <w:r w:rsidR="002C4B08">
        <w:rPr>
          <w:color w:val="000000"/>
        </w:rPr>
        <w:t>друшт</w:t>
      </w:r>
      <w:r w:rsidR="002C4B08">
        <w:rPr>
          <w:color w:val="000000"/>
          <w:lang w:val="sr-Cyrl-CS"/>
        </w:rPr>
        <w:t>ава</w:t>
      </w:r>
      <w:r w:rsidR="00161597" w:rsidRPr="00034227">
        <w:rPr>
          <w:color w:val="000000"/>
        </w:rPr>
        <w:t xml:space="preserve"> </w:t>
      </w:r>
      <w:r w:rsidRPr="00034227">
        <w:rPr>
          <w:color w:val="000000"/>
        </w:rPr>
        <w:t>у</w:t>
      </w:r>
      <w:r w:rsidR="00161597" w:rsidRPr="00034227">
        <w:rPr>
          <w:color w:val="000000"/>
        </w:rPr>
        <w:t xml:space="preserve"> </w:t>
      </w:r>
      <w:r w:rsidRPr="00034227">
        <w:rPr>
          <w:color w:val="000000"/>
        </w:rPr>
        <w:t>Србији</w:t>
      </w:r>
      <w:r w:rsidR="00161597" w:rsidRPr="00034227">
        <w:rPr>
          <w:color w:val="000000"/>
        </w:rPr>
        <w:t xml:space="preserve"> </w:t>
      </w:r>
      <w:r w:rsidRPr="00034227">
        <w:rPr>
          <w:color w:val="000000"/>
        </w:rPr>
        <w:t>четвртину</w:t>
      </w:r>
      <w:r w:rsidR="00161597" w:rsidRPr="00034227">
        <w:rPr>
          <w:color w:val="000000"/>
        </w:rPr>
        <w:t xml:space="preserve"> </w:t>
      </w:r>
      <w:r w:rsidRPr="00034227">
        <w:rPr>
          <w:color w:val="000000"/>
        </w:rPr>
        <w:t>чине</w:t>
      </w:r>
      <w:r w:rsidR="00161597" w:rsidRPr="00034227">
        <w:rPr>
          <w:color w:val="000000"/>
        </w:rPr>
        <w:t xml:space="preserve"> </w:t>
      </w:r>
      <w:r w:rsidRPr="00034227">
        <w:rPr>
          <w:color w:val="000000"/>
        </w:rPr>
        <w:t>фирме</w:t>
      </w:r>
      <w:r w:rsidR="00161597" w:rsidRPr="00034227">
        <w:rPr>
          <w:color w:val="000000"/>
        </w:rPr>
        <w:t xml:space="preserve"> </w:t>
      </w:r>
      <w:r w:rsidRPr="00034227">
        <w:rPr>
          <w:color w:val="000000"/>
        </w:rPr>
        <w:t>које</w:t>
      </w:r>
      <w:r w:rsidR="00161597" w:rsidRPr="00034227">
        <w:rPr>
          <w:color w:val="000000"/>
        </w:rPr>
        <w:t xml:space="preserve"> </w:t>
      </w:r>
      <w:r w:rsidRPr="00034227">
        <w:rPr>
          <w:color w:val="000000"/>
        </w:rPr>
        <w:t>немају</w:t>
      </w:r>
      <w:r w:rsidR="00161597" w:rsidRPr="00034227">
        <w:rPr>
          <w:color w:val="000000"/>
        </w:rPr>
        <w:t xml:space="preserve"> </w:t>
      </w:r>
      <w:r w:rsidRPr="00034227">
        <w:rPr>
          <w:color w:val="000000"/>
        </w:rPr>
        <w:t>ниједног</w:t>
      </w:r>
      <w:r w:rsidR="00161597" w:rsidRPr="00034227">
        <w:rPr>
          <w:color w:val="000000"/>
        </w:rPr>
        <w:t xml:space="preserve"> </w:t>
      </w:r>
      <w:r w:rsidRPr="00034227">
        <w:rPr>
          <w:color w:val="000000"/>
        </w:rPr>
        <w:t>запосленог</w:t>
      </w:r>
      <w:r w:rsidR="00161597" w:rsidRPr="00034227">
        <w:rPr>
          <w:color w:val="000000"/>
        </w:rPr>
        <w:t xml:space="preserve">. </w:t>
      </w:r>
      <w:r w:rsidRPr="00034227">
        <w:rPr>
          <w:color w:val="000000"/>
        </w:rPr>
        <w:t>У</w:t>
      </w:r>
      <w:r w:rsidR="00161597" w:rsidRPr="00034227">
        <w:rPr>
          <w:color w:val="000000"/>
        </w:rPr>
        <w:t xml:space="preserve"> </w:t>
      </w:r>
      <w:r w:rsidRPr="00034227">
        <w:rPr>
          <w:color w:val="000000"/>
        </w:rPr>
        <w:t>Агенцији</w:t>
      </w:r>
      <w:r w:rsidR="00161597" w:rsidRPr="00034227">
        <w:rPr>
          <w:color w:val="000000"/>
        </w:rPr>
        <w:t xml:space="preserve"> </w:t>
      </w:r>
      <w:r w:rsidRPr="00034227">
        <w:rPr>
          <w:color w:val="000000"/>
        </w:rPr>
        <w:t>за</w:t>
      </w:r>
      <w:r w:rsidR="00161597" w:rsidRPr="00034227">
        <w:rPr>
          <w:color w:val="000000"/>
        </w:rPr>
        <w:t xml:space="preserve"> </w:t>
      </w:r>
      <w:r w:rsidRPr="00034227">
        <w:rPr>
          <w:color w:val="000000"/>
        </w:rPr>
        <w:t>привредне</w:t>
      </w:r>
      <w:r w:rsidR="00161597" w:rsidRPr="00034227">
        <w:rPr>
          <w:color w:val="000000"/>
        </w:rPr>
        <w:t xml:space="preserve"> </w:t>
      </w:r>
      <w:r w:rsidRPr="00034227">
        <w:rPr>
          <w:color w:val="000000"/>
        </w:rPr>
        <w:t>регистре</w:t>
      </w:r>
      <w:r w:rsidR="00161597" w:rsidRPr="00034227">
        <w:rPr>
          <w:color w:val="000000"/>
        </w:rPr>
        <w:t xml:space="preserve"> </w:t>
      </w:r>
      <w:r w:rsidR="002C4B08">
        <w:rPr>
          <w:color w:val="000000"/>
          <w:lang w:val="sr-Cyrl-CS"/>
        </w:rPr>
        <w:t>постоје подаци</w:t>
      </w:r>
      <w:r w:rsidR="00161597" w:rsidRPr="00034227">
        <w:rPr>
          <w:color w:val="000000"/>
        </w:rPr>
        <w:t xml:space="preserve"> </w:t>
      </w:r>
      <w:r w:rsidRPr="00034227">
        <w:rPr>
          <w:color w:val="000000"/>
        </w:rPr>
        <w:t>да</w:t>
      </w:r>
      <w:r w:rsidR="00161597" w:rsidRPr="00034227">
        <w:rPr>
          <w:color w:val="000000"/>
        </w:rPr>
        <w:t xml:space="preserve"> </w:t>
      </w:r>
      <w:r w:rsidRPr="00034227">
        <w:rPr>
          <w:color w:val="000000"/>
        </w:rPr>
        <w:t>нешто</w:t>
      </w:r>
      <w:r w:rsidR="00161597" w:rsidRPr="00034227">
        <w:rPr>
          <w:color w:val="000000"/>
        </w:rPr>
        <w:t xml:space="preserve"> </w:t>
      </w:r>
      <w:r w:rsidRPr="00034227">
        <w:rPr>
          <w:color w:val="000000"/>
        </w:rPr>
        <w:t>више</w:t>
      </w:r>
      <w:r w:rsidR="00161597" w:rsidRPr="00034227">
        <w:rPr>
          <w:color w:val="000000"/>
        </w:rPr>
        <w:t xml:space="preserve"> </w:t>
      </w:r>
      <w:r w:rsidRPr="00034227">
        <w:rPr>
          <w:color w:val="000000"/>
        </w:rPr>
        <w:t>од</w:t>
      </w:r>
      <w:r w:rsidR="00161597" w:rsidRPr="00034227">
        <w:rPr>
          <w:color w:val="000000"/>
        </w:rPr>
        <w:t xml:space="preserve"> 24.370 </w:t>
      </w:r>
      <w:r w:rsidRPr="00034227">
        <w:rPr>
          <w:color w:val="000000"/>
        </w:rPr>
        <w:t>таквих</w:t>
      </w:r>
      <w:r w:rsidR="00161597" w:rsidRPr="00034227">
        <w:rPr>
          <w:color w:val="000000"/>
        </w:rPr>
        <w:t xml:space="preserve"> </w:t>
      </w:r>
      <w:r w:rsidRPr="00034227">
        <w:rPr>
          <w:color w:val="000000"/>
        </w:rPr>
        <w:t>предузећа</w:t>
      </w:r>
      <w:r w:rsidR="00161597" w:rsidRPr="00034227">
        <w:rPr>
          <w:color w:val="000000"/>
        </w:rPr>
        <w:t xml:space="preserve"> ,,</w:t>
      </w:r>
      <w:r w:rsidRPr="00034227">
        <w:rPr>
          <w:color w:val="000000"/>
        </w:rPr>
        <w:t>представљају</w:t>
      </w:r>
      <w:r w:rsidR="00161597" w:rsidRPr="00034227">
        <w:rPr>
          <w:color w:val="000000"/>
        </w:rPr>
        <w:t xml:space="preserve"> </w:t>
      </w:r>
      <w:r w:rsidRPr="00034227">
        <w:rPr>
          <w:color w:val="000000"/>
        </w:rPr>
        <w:t>и</w:t>
      </w:r>
      <w:r w:rsidR="00161597" w:rsidRPr="00034227">
        <w:rPr>
          <w:color w:val="000000"/>
        </w:rPr>
        <w:t xml:space="preserve"> </w:t>
      </w:r>
      <w:r w:rsidRPr="00034227">
        <w:rPr>
          <w:color w:val="000000"/>
        </w:rPr>
        <w:t>својеврсну</w:t>
      </w:r>
      <w:r w:rsidR="00161597" w:rsidRPr="00034227">
        <w:rPr>
          <w:color w:val="000000"/>
        </w:rPr>
        <w:t xml:space="preserve"> </w:t>
      </w:r>
      <w:r w:rsidRPr="00034227">
        <w:rPr>
          <w:color w:val="000000"/>
        </w:rPr>
        <w:t>специфичност</w:t>
      </w:r>
      <w:r w:rsidR="00161597" w:rsidRPr="00034227">
        <w:rPr>
          <w:color w:val="000000"/>
        </w:rPr>
        <w:t xml:space="preserve"> </w:t>
      </w:r>
      <w:r w:rsidRPr="00034227">
        <w:rPr>
          <w:color w:val="000000"/>
        </w:rPr>
        <w:t>српске</w:t>
      </w:r>
      <w:r w:rsidR="00161597" w:rsidRPr="00034227">
        <w:rPr>
          <w:color w:val="000000"/>
        </w:rPr>
        <w:t xml:space="preserve"> </w:t>
      </w:r>
      <w:r w:rsidRPr="00034227">
        <w:rPr>
          <w:color w:val="000000"/>
        </w:rPr>
        <w:t>привреде</w:t>
      </w:r>
      <w:r w:rsidR="00161597" w:rsidRPr="00034227">
        <w:rPr>
          <w:color w:val="000000"/>
        </w:rPr>
        <w:t xml:space="preserve">”. </w:t>
      </w:r>
      <w:r w:rsidRPr="00034227">
        <w:rPr>
          <w:color w:val="000000"/>
        </w:rPr>
        <w:t>У</w:t>
      </w:r>
      <w:r w:rsidR="00161597" w:rsidRPr="00034227">
        <w:rPr>
          <w:color w:val="000000"/>
        </w:rPr>
        <w:t xml:space="preserve"> 2012. </w:t>
      </w:r>
      <w:r w:rsidRPr="00034227">
        <w:rPr>
          <w:color w:val="000000"/>
        </w:rPr>
        <w:t>години</w:t>
      </w:r>
      <w:r w:rsidR="00161597" w:rsidRPr="00034227">
        <w:rPr>
          <w:color w:val="000000"/>
        </w:rPr>
        <w:t xml:space="preserve"> </w:t>
      </w:r>
      <w:r w:rsidRPr="00034227">
        <w:rPr>
          <w:color w:val="000000"/>
        </w:rPr>
        <w:t>највише</w:t>
      </w:r>
      <w:r w:rsidR="00161597" w:rsidRPr="00034227">
        <w:rPr>
          <w:color w:val="000000"/>
        </w:rPr>
        <w:t xml:space="preserve"> </w:t>
      </w:r>
      <w:r w:rsidRPr="00034227">
        <w:rPr>
          <w:color w:val="000000"/>
        </w:rPr>
        <w:t>их</w:t>
      </w:r>
      <w:r w:rsidR="00161597" w:rsidRPr="00034227">
        <w:rPr>
          <w:color w:val="000000"/>
        </w:rPr>
        <w:t xml:space="preserve"> </w:t>
      </w:r>
      <w:r w:rsidRPr="00034227">
        <w:rPr>
          <w:color w:val="000000"/>
        </w:rPr>
        <w:t>је</w:t>
      </w:r>
      <w:r w:rsidR="00161597" w:rsidRPr="00034227">
        <w:rPr>
          <w:color w:val="000000"/>
        </w:rPr>
        <w:t xml:space="preserve"> </w:t>
      </w:r>
      <w:r w:rsidRPr="00034227">
        <w:rPr>
          <w:color w:val="000000"/>
        </w:rPr>
        <w:t>пословало</w:t>
      </w:r>
      <w:r w:rsidR="00161597" w:rsidRPr="00034227">
        <w:rPr>
          <w:color w:val="000000"/>
        </w:rPr>
        <w:t xml:space="preserve"> </w:t>
      </w:r>
      <w:r w:rsidRPr="00034227">
        <w:rPr>
          <w:color w:val="000000"/>
        </w:rPr>
        <w:t>у</w:t>
      </w:r>
      <w:r w:rsidR="00161597" w:rsidRPr="00034227">
        <w:rPr>
          <w:color w:val="000000"/>
        </w:rPr>
        <w:t xml:space="preserve"> </w:t>
      </w:r>
      <w:r w:rsidRPr="00034227">
        <w:rPr>
          <w:color w:val="000000"/>
        </w:rPr>
        <w:t>сектору</w:t>
      </w:r>
      <w:r w:rsidR="00161597" w:rsidRPr="00034227">
        <w:rPr>
          <w:color w:val="000000"/>
        </w:rPr>
        <w:t xml:space="preserve"> </w:t>
      </w:r>
      <w:r w:rsidRPr="00034227">
        <w:rPr>
          <w:color w:val="000000"/>
        </w:rPr>
        <w:t>трговина</w:t>
      </w:r>
      <w:r w:rsidR="00161597" w:rsidRPr="00034227">
        <w:rPr>
          <w:color w:val="000000"/>
        </w:rPr>
        <w:t xml:space="preserve"> </w:t>
      </w:r>
      <w:r w:rsidRPr="00034227">
        <w:rPr>
          <w:color w:val="000000"/>
        </w:rPr>
        <w:t>на</w:t>
      </w:r>
      <w:r w:rsidR="00161597" w:rsidRPr="00034227">
        <w:rPr>
          <w:color w:val="000000"/>
        </w:rPr>
        <w:t xml:space="preserve"> </w:t>
      </w:r>
      <w:r w:rsidRPr="00034227">
        <w:rPr>
          <w:color w:val="000000"/>
        </w:rPr>
        <w:t>велико</w:t>
      </w:r>
      <w:r w:rsidR="00161597" w:rsidRPr="00034227">
        <w:rPr>
          <w:color w:val="000000"/>
        </w:rPr>
        <w:t xml:space="preserve"> </w:t>
      </w:r>
      <w:r w:rsidRPr="00034227">
        <w:rPr>
          <w:color w:val="000000"/>
        </w:rPr>
        <w:t>и</w:t>
      </w:r>
      <w:r w:rsidR="00161597" w:rsidRPr="00034227">
        <w:rPr>
          <w:color w:val="000000"/>
        </w:rPr>
        <w:t xml:space="preserve"> </w:t>
      </w:r>
      <w:r w:rsidRPr="00034227">
        <w:rPr>
          <w:color w:val="000000"/>
        </w:rPr>
        <w:t>мало</w:t>
      </w:r>
      <w:r w:rsidR="00161597" w:rsidRPr="00034227">
        <w:rPr>
          <w:color w:val="000000"/>
        </w:rPr>
        <w:t xml:space="preserve"> – 8.644, </w:t>
      </w:r>
      <w:r w:rsidRPr="00034227">
        <w:rPr>
          <w:color w:val="000000"/>
        </w:rPr>
        <w:t>прерађивачка</w:t>
      </w:r>
      <w:r w:rsidR="00161597" w:rsidRPr="00034227">
        <w:rPr>
          <w:color w:val="000000"/>
        </w:rPr>
        <w:t xml:space="preserve"> </w:t>
      </w:r>
      <w:r w:rsidRPr="00034227">
        <w:rPr>
          <w:color w:val="000000"/>
        </w:rPr>
        <w:t>индустрија</w:t>
      </w:r>
      <w:r w:rsidR="00161597" w:rsidRPr="00034227">
        <w:rPr>
          <w:color w:val="000000"/>
        </w:rPr>
        <w:t xml:space="preserve"> – 4.338 </w:t>
      </w:r>
      <w:r w:rsidRPr="00034227">
        <w:rPr>
          <w:color w:val="000000"/>
        </w:rPr>
        <w:t>и</w:t>
      </w:r>
      <w:r w:rsidR="00161597" w:rsidRPr="00034227">
        <w:rPr>
          <w:color w:val="000000"/>
        </w:rPr>
        <w:t xml:space="preserve"> </w:t>
      </w:r>
      <w:r w:rsidRPr="00034227">
        <w:rPr>
          <w:color w:val="000000"/>
        </w:rPr>
        <w:t>стручне</w:t>
      </w:r>
      <w:r w:rsidR="00161597" w:rsidRPr="00034227">
        <w:rPr>
          <w:color w:val="000000"/>
        </w:rPr>
        <w:t xml:space="preserve">, </w:t>
      </w:r>
      <w:r w:rsidRPr="00034227">
        <w:rPr>
          <w:color w:val="000000"/>
        </w:rPr>
        <w:t>научне</w:t>
      </w:r>
      <w:r w:rsidR="00161597" w:rsidRPr="00034227">
        <w:rPr>
          <w:color w:val="000000"/>
        </w:rPr>
        <w:t xml:space="preserve">, </w:t>
      </w:r>
      <w:r w:rsidRPr="00034227">
        <w:rPr>
          <w:color w:val="000000"/>
        </w:rPr>
        <w:t>иновационе</w:t>
      </w:r>
      <w:r w:rsidR="00161597" w:rsidRPr="00034227">
        <w:rPr>
          <w:color w:val="000000"/>
        </w:rPr>
        <w:t xml:space="preserve"> </w:t>
      </w:r>
      <w:r w:rsidRPr="00034227">
        <w:rPr>
          <w:color w:val="000000"/>
        </w:rPr>
        <w:t>и</w:t>
      </w:r>
      <w:r w:rsidR="00161597" w:rsidRPr="00034227">
        <w:rPr>
          <w:color w:val="000000"/>
        </w:rPr>
        <w:t xml:space="preserve"> </w:t>
      </w:r>
      <w:r w:rsidRPr="00034227">
        <w:rPr>
          <w:color w:val="000000"/>
        </w:rPr>
        <w:t>техничке</w:t>
      </w:r>
      <w:r w:rsidR="00161597" w:rsidRPr="00034227">
        <w:rPr>
          <w:color w:val="000000"/>
        </w:rPr>
        <w:t xml:space="preserve"> </w:t>
      </w:r>
      <w:r w:rsidRPr="00034227">
        <w:rPr>
          <w:color w:val="000000"/>
        </w:rPr>
        <w:t>делатности</w:t>
      </w:r>
      <w:r w:rsidR="00161597" w:rsidRPr="00034227">
        <w:rPr>
          <w:color w:val="000000"/>
        </w:rPr>
        <w:t xml:space="preserve"> – 2.662. </w:t>
      </w:r>
      <w:r w:rsidRPr="00034227">
        <w:rPr>
          <w:color w:val="000000"/>
        </w:rPr>
        <w:t>Економски</w:t>
      </w:r>
      <w:r w:rsidR="00161597" w:rsidRPr="00034227">
        <w:rPr>
          <w:color w:val="000000"/>
        </w:rPr>
        <w:t xml:space="preserve"> </w:t>
      </w:r>
      <w:r w:rsidRPr="00034227">
        <w:rPr>
          <w:color w:val="000000"/>
        </w:rPr>
        <w:t>значај</w:t>
      </w:r>
      <w:r w:rsidR="00161597" w:rsidRPr="00034227">
        <w:rPr>
          <w:color w:val="000000"/>
        </w:rPr>
        <w:t xml:space="preserve"> </w:t>
      </w:r>
      <w:r w:rsidRPr="00034227">
        <w:rPr>
          <w:color w:val="000000"/>
        </w:rPr>
        <w:t>предузећа</w:t>
      </w:r>
      <w:r w:rsidR="00161597" w:rsidRPr="00034227">
        <w:rPr>
          <w:color w:val="000000"/>
        </w:rPr>
        <w:t xml:space="preserve"> </w:t>
      </w:r>
      <w:r w:rsidRPr="00034227">
        <w:rPr>
          <w:color w:val="000000"/>
        </w:rPr>
        <w:t>без</w:t>
      </w:r>
      <w:r w:rsidR="00161597" w:rsidRPr="00034227">
        <w:rPr>
          <w:color w:val="000000"/>
        </w:rPr>
        <w:t xml:space="preserve"> </w:t>
      </w:r>
      <w:r w:rsidRPr="00034227">
        <w:rPr>
          <w:color w:val="000000"/>
        </w:rPr>
        <w:t>запослених</w:t>
      </w:r>
      <w:r w:rsidR="00161597" w:rsidRPr="00034227">
        <w:rPr>
          <w:color w:val="000000"/>
        </w:rPr>
        <w:t xml:space="preserve"> </w:t>
      </w:r>
      <w:r w:rsidRPr="00034227">
        <w:rPr>
          <w:color w:val="000000"/>
        </w:rPr>
        <w:t>није</w:t>
      </w:r>
      <w:r w:rsidR="00161597" w:rsidRPr="00034227">
        <w:rPr>
          <w:color w:val="000000"/>
        </w:rPr>
        <w:t xml:space="preserve"> </w:t>
      </w:r>
      <w:r w:rsidRPr="00034227">
        <w:rPr>
          <w:color w:val="000000"/>
        </w:rPr>
        <w:t>занемарљив</w:t>
      </w:r>
      <w:r w:rsidR="00161597" w:rsidRPr="00034227">
        <w:rPr>
          <w:color w:val="000000"/>
        </w:rPr>
        <w:t xml:space="preserve">. </w:t>
      </w:r>
      <w:r w:rsidRPr="00034227">
        <w:rPr>
          <w:color w:val="000000"/>
        </w:rPr>
        <w:t>Према</w:t>
      </w:r>
      <w:r w:rsidR="00161597" w:rsidRPr="00034227">
        <w:rPr>
          <w:color w:val="000000"/>
        </w:rPr>
        <w:t xml:space="preserve"> </w:t>
      </w:r>
      <w:r w:rsidRPr="00034227">
        <w:rPr>
          <w:color w:val="000000"/>
        </w:rPr>
        <w:t>саопштењу</w:t>
      </w:r>
      <w:r w:rsidR="00161597" w:rsidRPr="00034227">
        <w:rPr>
          <w:color w:val="000000"/>
        </w:rPr>
        <w:t xml:space="preserve"> </w:t>
      </w:r>
      <w:r w:rsidRPr="00034227">
        <w:rPr>
          <w:color w:val="000000"/>
        </w:rPr>
        <w:t>АПР</w:t>
      </w:r>
      <w:r w:rsidR="00161597" w:rsidRPr="00034227">
        <w:rPr>
          <w:color w:val="000000"/>
        </w:rPr>
        <w:t xml:space="preserve"> </w:t>
      </w:r>
      <w:r w:rsidRPr="00034227">
        <w:rPr>
          <w:color w:val="000000"/>
        </w:rPr>
        <w:t>о</w:t>
      </w:r>
      <w:r w:rsidR="00161597" w:rsidRPr="00034227">
        <w:rPr>
          <w:color w:val="000000"/>
        </w:rPr>
        <w:t xml:space="preserve"> </w:t>
      </w:r>
      <w:r w:rsidRPr="00034227">
        <w:rPr>
          <w:color w:val="000000"/>
        </w:rPr>
        <w:t>пословању</w:t>
      </w:r>
      <w:r w:rsidR="00161597" w:rsidRPr="00034227">
        <w:rPr>
          <w:color w:val="000000"/>
        </w:rPr>
        <w:t xml:space="preserve"> </w:t>
      </w:r>
      <w:r w:rsidRPr="00034227">
        <w:rPr>
          <w:color w:val="000000"/>
        </w:rPr>
        <w:t>привреде</w:t>
      </w:r>
      <w:r w:rsidR="00161597" w:rsidRPr="00034227">
        <w:rPr>
          <w:color w:val="000000"/>
        </w:rPr>
        <w:t xml:space="preserve"> </w:t>
      </w:r>
      <w:r w:rsidRPr="00034227">
        <w:rPr>
          <w:color w:val="000000"/>
        </w:rPr>
        <w:t>у</w:t>
      </w:r>
      <w:r w:rsidR="00161597" w:rsidRPr="00034227">
        <w:rPr>
          <w:color w:val="000000"/>
        </w:rPr>
        <w:t xml:space="preserve"> 2012, </w:t>
      </w:r>
      <w:r w:rsidRPr="00034227">
        <w:rPr>
          <w:color w:val="000000"/>
        </w:rPr>
        <w:t>он</w:t>
      </w:r>
      <w:r w:rsidR="00161597" w:rsidRPr="00034227">
        <w:rPr>
          <w:color w:val="000000"/>
        </w:rPr>
        <w:t xml:space="preserve"> </w:t>
      </w:r>
      <w:r w:rsidRPr="00034227">
        <w:rPr>
          <w:color w:val="000000"/>
        </w:rPr>
        <w:t>се</w:t>
      </w:r>
      <w:r w:rsidR="00161597" w:rsidRPr="00034227">
        <w:rPr>
          <w:color w:val="000000"/>
        </w:rPr>
        <w:t xml:space="preserve"> </w:t>
      </w:r>
      <w:r w:rsidRPr="00034227">
        <w:rPr>
          <w:color w:val="000000"/>
        </w:rPr>
        <w:t>из</w:t>
      </w:r>
      <w:r w:rsidR="00161597" w:rsidRPr="00034227">
        <w:rPr>
          <w:color w:val="000000"/>
        </w:rPr>
        <w:t xml:space="preserve"> </w:t>
      </w:r>
      <w:r w:rsidRPr="00034227">
        <w:rPr>
          <w:color w:val="000000"/>
        </w:rPr>
        <w:t>године</w:t>
      </w:r>
      <w:r w:rsidR="00161597" w:rsidRPr="00034227">
        <w:rPr>
          <w:color w:val="000000"/>
        </w:rPr>
        <w:t xml:space="preserve"> </w:t>
      </w:r>
      <w:r w:rsidRPr="00034227">
        <w:rPr>
          <w:color w:val="000000"/>
        </w:rPr>
        <w:t>у</w:t>
      </w:r>
      <w:r w:rsidR="00161597" w:rsidRPr="00034227">
        <w:rPr>
          <w:color w:val="000000"/>
        </w:rPr>
        <w:t xml:space="preserve"> </w:t>
      </w:r>
      <w:r w:rsidRPr="00034227">
        <w:rPr>
          <w:color w:val="000000"/>
        </w:rPr>
        <w:t>годину</w:t>
      </w:r>
      <w:r w:rsidR="00161597" w:rsidRPr="00034227">
        <w:rPr>
          <w:color w:val="000000"/>
        </w:rPr>
        <w:t xml:space="preserve"> </w:t>
      </w:r>
      <w:r w:rsidRPr="00034227">
        <w:rPr>
          <w:color w:val="000000"/>
        </w:rPr>
        <w:t>повећава</w:t>
      </w:r>
      <w:r w:rsidR="00161597" w:rsidRPr="00034227">
        <w:rPr>
          <w:color w:val="000000"/>
        </w:rPr>
        <w:t>.</w:t>
      </w:r>
      <w:r w:rsidR="00F85926" w:rsidRPr="00034227">
        <w:rPr>
          <w:color w:val="000000"/>
          <w:lang w:val="sr-Cyrl-CS"/>
        </w:rPr>
        <w:t xml:space="preserve"> </w:t>
      </w:r>
      <w:r w:rsidRPr="00034227">
        <w:rPr>
          <w:color w:val="000000"/>
        </w:rPr>
        <w:t>Иначе</w:t>
      </w:r>
      <w:r w:rsidR="00161597" w:rsidRPr="00034227">
        <w:rPr>
          <w:color w:val="000000"/>
        </w:rPr>
        <w:t xml:space="preserve">, </w:t>
      </w:r>
      <w:r w:rsidRPr="00034227">
        <w:rPr>
          <w:color w:val="000000"/>
        </w:rPr>
        <w:t>према</w:t>
      </w:r>
      <w:r w:rsidR="00161597" w:rsidRPr="00034227">
        <w:rPr>
          <w:color w:val="000000"/>
        </w:rPr>
        <w:t xml:space="preserve"> </w:t>
      </w:r>
      <w:r w:rsidRPr="00034227">
        <w:rPr>
          <w:color w:val="000000"/>
        </w:rPr>
        <w:t>званичним</w:t>
      </w:r>
      <w:r w:rsidR="00161597" w:rsidRPr="00034227">
        <w:rPr>
          <w:color w:val="000000"/>
        </w:rPr>
        <w:t xml:space="preserve"> </w:t>
      </w:r>
      <w:r w:rsidRPr="00034227">
        <w:rPr>
          <w:color w:val="000000"/>
        </w:rPr>
        <w:t>подацима</w:t>
      </w:r>
      <w:r w:rsidR="00161597" w:rsidRPr="00034227">
        <w:rPr>
          <w:color w:val="000000"/>
        </w:rPr>
        <w:t xml:space="preserve">, </w:t>
      </w:r>
      <w:r w:rsidRPr="00034227">
        <w:rPr>
          <w:color w:val="000000"/>
        </w:rPr>
        <w:t>на</w:t>
      </w:r>
      <w:r w:rsidR="00161597" w:rsidRPr="00034227">
        <w:rPr>
          <w:color w:val="000000"/>
        </w:rPr>
        <w:t xml:space="preserve"> </w:t>
      </w:r>
      <w:r w:rsidRPr="00034227">
        <w:rPr>
          <w:color w:val="000000"/>
        </w:rPr>
        <w:t>њих</w:t>
      </w:r>
      <w:r w:rsidR="00161597" w:rsidRPr="00034227">
        <w:rPr>
          <w:color w:val="000000"/>
        </w:rPr>
        <w:t xml:space="preserve"> </w:t>
      </w:r>
      <w:r w:rsidRPr="00034227">
        <w:rPr>
          <w:color w:val="000000"/>
        </w:rPr>
        <w:t>се</w:t>
      </w:r>
      <w:r w:rsidR="00161597" w:rsidRPr="00034227">
        <w:rPr>
          <w:color w:val="000000"/>
        </w:rPr>
        <w:t xml:space="preserve"> </w:t>
      </w:r>
      <w:r w:rsidRPr="00034227">
        <w:rPr>
          <w:color w:val="000000"/>
        </w:rPr>
        <w:t>води</w:t>
      </w:r>
      <w:r w:rsidR="00161597" w:rsidRPr="00034227">
        <w:rPr>
          <w:color w:val="000000"/>
        </w:rPr>
        <w:t xml:space="preserve"> 18,3 </w:t>
      </w:r>
      <w:r w:rsidRPr="00034227">
        <w:rPr>
          <w:color w:val="000000"/>
        </w:rPr>
        <w:t>одсто</w:t>
      </w:r>
      <w:r w:rsidR="00161597" w:rsidRPr="00034227">
        <w:rPr>
          <w:color w:val="000000"/>
        </w:rPr>
        <w:t xml:space="preserve"> </w:t>
      </w:r>
      <w:r w:rsidRPr="00034227">
        <w:rPr>
          <w:color w:val="000000"/>
        </w:rPr>
        <w:t>кумулираних</w:t>
      </w:r>
      <w:r w:rsidR="00161597" w:rsidRPr="00034227">
        <w:rPr>
          <w:color w:val="000000"/>
        </w:rPr>
        <w:t xml:space="preserve"> </w:t>
      </w:r>
      <w:r w:rsidRPr="00034227">
        <w:rPr>
          <w:color w:val="000000"/>
        </w:rPr>
        <w:t>губитака</w:t>
      </w:r>
      <w:r w:rsidR="00161597" w:rsidRPr="00034227">
        <w:rPr>
          <w:color w:val="000000"/>
        </w:rPr>
        <w:t xml:space="preserve"> </w:t>
      </w:r>
      <w:r w:rsidRPr="00034227">
        <w:rPr>
          <w:color w:val="000000"/>
        </w:rPr>
        <w:t>укупне</w:t>
      </w:r>
      <w:r w:rsidR="00161597" w:rsidRPr="00034227">
        <w:rPr>
          <w:color w:val="000000"/>
        </w:rPr>
        <w:t xml:space="preserve"> </w:t>
      </w:r>
      <w:r w:rsidRPr="00034227">
        <w:rPr>
          <w:color w:val="000000"/>
        </w:rPr>
        <w:t>привреде</w:t>
      </w:r>
      <w:r w:rsidR="00161597" w:rsidRPr="00034227">
        <w:rPr>
          <w:color w:val="000000"/>
        </w:rPr>
        <w:t xml:space="preserve"> </w:t>
      </w:r>
      <w:r w:rsidRPr="00034227">
        <w:rPr>
          <w:color w:val="000000"/>
        </w:rPr>
        <w:t>и</w:t>
      </w:r>
      <w:r w:rsidR="00161597" w:rsidRPr="00034227">
        <w:rPr>
          <w:color w:val="000000"/>
        </w:rPr>
        <w:t xml:space="preserve"> 13,5 </w:t>
      </w:r>
      <w:r w:rsidRPr="00034227">
        <w:rPr>
          <w:color w:val="000000"/>
        </w:rPr>
        <w:t>процената</w:t>
      </w:r>
      <w:r w:rsidR="00161597" w:rsidRPr="00034227">
        <w:rPr>
          <w:color w:val="000000"/>
        </w:rPr>
        <w:t xml:space="preserve"> </w:t>
      </w:r>
      <w:r w:rsidRPr="00034227">
        <w:rPr>
          <w:color w:val="000000"/>
        </w:rPr>
        <w:t>нето</w:t>
      </w:r>
      <w:r w:rsidR="00161597" w:rsidRPr="00034227">
        <w:rPr>
          <w:color w:val="000000"/>
        </w:rPr>
        <w:t xml:space="preserve"> </w:t>
      </w:r>
      <w:r w:rsidRPr="00034227">
        <w:rPr>
          <w:color w:val="000000"/>
        </w:rPr>
        <w:t>губитка</w:t>
      </w:r>
      <w:r w:rsidR="00161597" w:rsidRPr="00034227">
        <w:rPr>
          <w:color w:val="000000"/>
        </w:rPr>
        <w:t xml:space="preserve">, </w:t>
      </w:r>
      <w:r w:rsidRPr="00034227">
        <w:rPr>
          <w:color w:val="000000"/>
        </w:rPr>
        <w:t>али</w:t>
      </w:r>
      <w:r w:rsidR="00161597" w:rsidRPr="00034227">
        <w:rPr>
          <w:color w:val="000000"/>
        </w:rPr>
        <w:t xml:space="preserve"> </w:t>
      </w:r>
      <w:r w:rsidRPr="00034227">
        <w:rPr>
          <w:color w:val="000000"/>
        </w:rPr>
        <w:t>су</w:t>
      </w:r>
      <w:r w:rsidR="00161597" w:rsidRPr="00034227">
        <w:rPr>
          <w:color w:val="000000"/>
        </w:rPr>
        <w:t xml:space="preserve"> </w:t>
      </w:r>
      <w:r w:rsidRPr="00034227">
        <w:rPr>
          <w:color w:val="000000"/>
        </w:rPr>
        <w:t>у</w:t>
      </w:r>
      <w:r w:rsidR="00161597" w:rsidRPr="00034227">
        <w:rPr>
          <w:color w:val="000000"/>
        </w:rPr>
        <w:t xml:space="preserve"> 2012, </w:t>
      </w:r>
      <w:r w:rsidRPr="00034227">
        <w:rPr>
          <w:color w:val="000000"/>
        </w:rPr>
        <w:t>у</w:t>
      </w:r>
      <w:r w:rsidR="00161597" w:rsidRPr="00034227">
        <w:rPr>
          <w:color w:val="000000"/>
        </w:rPr>
        <w:t xml:space="preserve"> </w:t>
      </w:r>
      <w:r w:rsidRPr="00034227">
        <w:rPr>
          <w:color w:val="000000"/>
        </w:rPr>
        <w:t>односу</w:t>
      </w:r>
      <w:r w:rsidR="00161597" w:rsidRPr="00034227">
        <w:rPr>
          <w:color w:val="000000"/>
        </w:rPr>
        <w:t xml:space="preserve"> </w:t>
      </w:r>
      <w:r w:rsidRPr="00034227">
        <w:rPr>
          <w:color w:val="000000"/>
        </w:rPr>
        <w:t>на</w:t>
      </w:r>
      <w:r w:rsidR="00161597" w:rsidRPr="00034227">
        <w:rPr>
          <w:color w:val="000000"/>
        </w:rPr>
        <w:t xml:space="preserve"> </w:t>
      </w:r>
      <w:r w:rsidRPr="00034227">
        <w:rPr>
          <w:color w:val="000000"/>
        </w:rPr>
        <w:t>претходну</w:t>
      </w:r>
      <w:r w:rsidR="00161597" w:rsidRPr="00034227">
        <w:rPr>
          <w:color w:val="000000"/>
        </w:rPr>
        <w:t xml:space="preserve">, </w:t>
      </w:r>
      <w:r w:rsidRPr="00034227">
        <w:rPr>
          <w:color w:val="000000"/>
        </w:rPr>
        <w:t>готово</w:t>
      </w:r>
      <w:r w:rsidR="00161597" w:rsidRPr="00034227">
        <w:rPr>
          <w:color w:val="000000"/>
        </w:rPr>
        <w:t xml:space="preserve"> </w:t>
      </w:r>
      <w:r w:rsidRPr="00034227">
        <w:rPr>
          <w:color w:val="000000"/>
        </w:rPr>
        <w:t>удвостручиле</w:t>
      </w:r>
      <w:r w:rsidR="00161597" w:rsidRPr="00034227">
        <w:rPr>
          <w:color w:val="000000"/>
        </w:rPr>
        <w:t xml:space="preserve"> </w:t>
      </w:r>
      <w:r w:rsidRPr="00034227">
        <w:rPr>
          <w:color w:val="000000"/>
        </w:rPr>
        <w:t>капитал</w:t>
      </w:r>
      <w:r w:rsidR="00161597" w:rsidRPr="00034227">
        <w:rPr>
          <w:color w:val="000000"/>
        </w:rPr>
        <w:t xml:space="preserve">. </w:t>
      </w:r>
      <w:r w:rsidRPr="00034227">
        <w:rPr>
          <w:color w:val="000000"/>
        </w:rPr>
        <w:t>Од</w:t>
      </w:r>
      <w:r w:rsidR="00F85926" w:rsidRPr="00034227">
        <w:rPr>
          <w:color w:val="000000"/>
        </w:rPr>
        <w:t xml:space="preserve"> 10</w:t>
      </w:r>
      <w:r w:rsidR="00F85926" w:rsidRPr="00034227">
        <w:rPr>
          <w:color w:val="000000"/>
          <w:lang w:val="sr-Cyrl-CS"/>
        </w:rPr>
        <w:t>7</w:t>
      </w:r>
      <w:r w:rsidR="00161597" w:rsidRPr="00034227">
        <w:rPr>
          <w:color w:val="000000"/>
        </w:rPr>
        <w:t xml:space="preserve">.363 </w:t>
      </w:r>
      <w:r w:rsidRPr="00034227">
        <w:rPr>
          <w:color w:val="000000"/>
        </w:rPr>
        <w:t>привредна</w:t>
      </w:r>
      <w:r w:rsidR="00161597" w:rsidRPr="00034227">
        <w:rPr>
          <w:color w:val="000000"/>
        </w:rPr>
        <w:t xml:space="preserve"> </w:t>
      </w:r>
      <w:r w:rsidRPr="00034227">
        <w:rPr>
          <w:color w:val="000000"/>
        </w:rPr>
        <w:t>друштва</w:t>
      </w:r>
      <w:r w:rsidR="00161597" w:rsidRPr="00034227">
        <w:rPr>
          <w:color w:val="000000"/>
        </w:rPr>
        <w:t xml:space="preserve">, </w:t>
      </w:r>
      <w:r w:rsidRPr="00034227">
        <w:rPr>
          <w:color w:val="000000"/>
        </w:rPr>
        <w:t>колико</w:t>
      </w:r>
      <w:r w:rsidR="00161597" w:rsidRPr="00034227">
        <w:rPr>
          <w:color w:val="000000"/>
        </w:rPr>
        <w:t xml:space="preserve"> </w:t>
      </w:r>
      <w:r w:rsidRPr="00034227">
        <w:rPr>
          <w:color w:val="000000"/>
        </w:rPr>
        <w:t>је</w:t>
      </w:r>
      <w:r w:rsidR="00161597" w:rsidRPr="00034227">
        <w:rPr>
          <w:color w:val="000000"/>
        </w:rPr>
        <w:t xml:space="preserve"> </w:t>
      </w:r>
      <w:r w:rsidRPr="00034227">
        <w:rPr>
          <w:color w:val="000000"/>
        </w:rPr>
        <w:t>пословало</w:t>
      </w:r>
      <w:r w:rsidR="00161597" w:rsidRPr="00034227">
        <w:rPr>
          <w:color w:val="000000"/>
        </w:rPr>
        <w:t xml:space="preserve"> </w:t>
      </w:r>
      <w:r w:rsidRPr="00034227">
        <w:rPr>
          <w:color w:val="000000"/>
        </w:rPr>
        <w:t>у</w:t>
      </w:r>
      <w:r w:rsidR="00161597" w:rsidRPr="00034227">
        <w:rPr>
          <w:color w:val="000000"/>
        </w:rPr>
        <w:t xml:space="preserve"> </w:t>
      </w:r>
      <w:r w:rsidR="004D6A7B" w:rsidRPr="00034227">
        <w:rPr>
          <w:color w:val="000000"/>
          <w:lang w:val="sr-Cyrl-CS"/>
        </w:rPr>
        <w:t>2011.</w:t>
      </w:r>
      <w:r w:rsidR="00161597" w:rsidRPr="00034227">
        <w:rPr>
          <w:color w:val="000000"/>
        </w:rPr>
        <w:t xml:space="preserve"> </w:t>
      </w:r>
      <w:r w:rsidRPr="00034227">
        <w:rPr>
          <w:color w:val="000000"/>
        </w:rPr>
        <w:t>години</w:t>
      </w:r>
      <w:r w:rsidR="00161597" w:rsidRPr="00034227">
        <w:rPr>
          <w:color w:val="000000"/>
        </w:rPr>
        <w:t xml:space="preserve">, </w:t>
      </w:r>
      <w:r w:rsidRPr="00034227">
        <w:rPr>
          <w:color w:val="000000"/>
        </w:rPr>
        <w:t>финансијске</w:t>
      </w:r>
      <w:r w:rsidR="00161597" w:rsidRPr="00034227">
        <w:rPr>
          <w:color w:val="000000"/>
        </w:rPr>
        <w:t xml:space="preserve"> </w:t>
      </w:r>
      <w:r w:rsidRPr="00034227">
        <w:rPr>
          <w:color w:val="000000"/>
        </w:rPr>
        <w:t>извештаје</w:t>
      </w:r>
      <w:r w:rsidR="00161597" w:rsidRPr="00034227">
        <w:rPr>
          <w:color w:val="000000"/>
        </w:rPr>
        <w:t xml:space="preserve"> </w:t>
      </w:r>
      <w:r w:rsidRPr="00034227">
        <w:rPr>
          <w:color w:val="000000"/>
        </w:rPr>
        <w:t>поднело</w:t>
      </w:r>
      <w:r w:rsidR="00161597" w:rsidRPr="00034227">
        <w:rPr>
          <w:color w:val="000000"/>
        </w:rPr>
        <w:t xml:space="preserve"> </w:t>
      </w:r>
      <w:r w:rsidRPr="00034227">
        <w:rPr>
          <w:color w:val="000000"/>
        </w:rPr>
        <w:t>је</w:t>
      </w:r>
      <w:r w:rsidR="00161597" w:rsidRPr="00034227">
        <w:rPr>
          <w:color w:val="000000"/>
        </w:rPr>
        <w:t xml:space="preserve"> 92.157.</w:t>
      </w:r>
      <w:r w:rsidRPr="00034227">
        <w:rPr>
          <w:color w:val="000000"/>
          <w:lang w:val="sr-Cyrl-CS"/>
        </w:rPr>
        <w:t xml:space="preserve"> У наставку се даје преглед броја привредних друштава по броју запослених.</w:t>
      </w:r>
      <w:r w:rsidRPr="00034227">
        <w:rPr>
          <w:rStyle w:val="FootnoteReference"/>
          <w:color w:val="000000"/>
        </w:rPr>
        <w:footnoteReference w:id="409"/>
      </w:r>
    </w:p>
    <w:p w:rsidR="00F85926" w:rsidRDefault="00F85926" w:rsidP="00034227">
      <w:pPr>
        <w:pStyle w:val="NormalWeb"/>
        <w:shd w:val="clear" w:color="auto" w:fill="FFFFFF"/>
        <w:spacing w:before="0" w:beforeAutospacing="0" w:after="150" w:afterAutospacing="0" w:line="270" w:lineRule="atLeast"/>
        <w:jc w:val="both"/>
        <w:rPr>
          <w:color w:val="000000"/>
          <w:lang w:val="sr-Cyrl-CS"/>
        </w:rPr>
      </w:pPr>
    </w:p>
    <w:p w:rsidR="004B6685" w:rsidRDefault="004B6685" w:rsidP="00034227">
      <w:pPr>
        <w:pStyle w:val="NormalWeb"/>
        <w:shd w:val="clear" w:color="auto" w:fill="FFFFFF"/>
        <w:spacing w:before="0" w:beforeAutospacing="0" w:after="150" w:afterAutospacing="0" w:line="270" w:lineRule="atLeast"/>
        <w:jc w:val="both"/>
        <w:rPr>
          <w:color w:val="000000"/>
          <w:lang w:val="sr-Latn-CS"/>
        </w:rPr>
      </w:pPr>
    </w:p>
    <w:p w:rsidR="007850DA" w:rsidRDefault="007850DA" w:rsidP="00034227">
      <w:pPr>
        <w:pStyle w:val="NormalWeb"/>
        <w:shd w:val="clear" w:color="auto" w:fill="FFFFFF"/>
        <w:spacing w:before="0" w:beforeAutospacing="0" w:after="150" w:afterAutospacing="0" w:line="270" w:lineRule="atLeast"/>
        <w:jc w:val="both"/>
        <w:rPr>
          <w:color w:val="000000"/>
          <w:lang w:val="sr-Cyrl-CS"/>
        </w:rPr>
      </w:pPr>
    </w:p>
    <w:p w:rsidR="00FB5A28" w:rsidRPr="00FB5A28" w:rsidRDefault="00FB5A28" w:rsidP="00034227">
      <w:pPr>
        <w:pStyle w:val="NormalWeb"/>
        <w:shd w:val="clear" w:color="auto" w:fill="FFFFFF"/>
        <w:spacing w:before="0" w:beforeAutospacing="0" w:after="150" w:afterAutospacing="0" w:line="270" w:lineRule="atLeast"/>
        <w:jc w:val="both"/>
        <w:rPr>
          <w:color w:val="000000"/>
          <w:lang w:val="sr-Cyrl-CS"/>
        </w:rPr>
      </w:pPr>
    </w:p>
    <w:p w:rsidR="004B6685" w:rsidRPr="004B6685" w:rsidRDefault="00001DEB" w:rsidP="00034227">
      <w:pPr>
        <w:pStyle w:val="NormalWeb"/>
        <w:shd w:val="clear" w:color="auto" w:fill="FFFFFF"/>
        <w:spacing w:before="0" w:beforeAutospacing="0" w:after="150" w:afterAutospacing="0" w:line="270" w:lineRule="atLeast"/>
        <w:jc w:val="both"/>
        <w:rPr>
          <w:b/>
          <w:color w:val="000000"/>
          <w:lang w:val="sr-Cyrl-CS"/>
        </w:rPr>
      </w:pPr>
      <w:r>
        <w:rPr>
          <w:b/>
          <w:color w:val="000000"/>
          <w:lang w:val="sr-Cyrl-CS"/>
        </w:rPr>
        <w:t>Слика 15</w:t>
      </w:r>
      <w:r w:rsidR="004B6685" w:rsidRPr="004B6685">
        <w:rPr>
          <w:b/>
          <w:color w:val="000000"/>
          <w:lang w:val="sr-Cyrl-CS"/>
        </w:rPr>
        <w:t>.</w:t>
      </w:r>
    </w:p>
    <w:p w:rsidR="00F85926" w:rsidRDefault="00717D0E" w:rsidP="00161597">
      <w:pPr>
        <w:pStyle w:val="NormalWeb"/>
        <w:shd w:val="clear" w:color="auto" w:fill="FFFFFF"/>
        <w:spacing w:before="0" w:beforeAutospacing="0" w:after="150" w:afterAutospacing="0" w:line="270" w:lineRule="atLeast"/>
        <w:rPr>
          <w:rFonts w:ascii="Arial" w:hAnsi="Arial" w:cs="Arial"/>
          <w:color w:val="000000"/>
          <w:sz w:val="18"/>
          <w:szCs w:val="18"/>
          <w:lang w:val="sr-Cyrl-CS"/>
        </w:rPr>
      </w:pPr>
      <w:r>
        <w:rPr>
          <w:rFonts w:ascii="Arial" w:hAnsi="Arial" w:cs="Arial"/>
          <w:noProof/>
          <w:color w:val="000000"/>
          <w:sz w:val="18"/>
          <w:szCs w:val="18"/>
          <w:lang w:val="sr-Latn-CS" w:eastAsia="sr-Latn-CS"/>
        </w:rPr>
        <w:lastRenderedPageBreak/>
        <w:drawing>
          <wp:inline distT="0" distB="0" distL="0" distR="0">
            <wp:extent cx="4457700" cy="2276475"/>
            <wp:effectExtent l="19050" t="0" r="0" b="0"/>
            <wp:docPr id="2" name="Picture 2" descr="35801i1pol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5801i1pol11"/>
                    <pic:cNvPicPr>
                      <a:picLocks noChangeAspect="1" noChangeArrowheads="1"/>
                    </pic:cNvPicPr>
                  </pic:nvPicPr>
                  <pic:blipFill>
                    <a:blip r:embed="rId17"/>
                    <a:srcRect/>
                    <a:stretch>
                      <a:fillRect/>
                    </a:stretch>
                  </pic:blipFill>
                  <pic:spPr bwMode="auto">
                    <a:xfrm>
                      <a:off x="0" y="0"/>
                      <a:ext cx="4457700" cy="2276475"/>
                    </a:xfrm>
                    <a:prstGeom prst="rect">
                      <a:avLst/>
                    </a:prstGeom>
                    <a:noFill/>
                    <a:ln w="9525">
                      <a:noFill/>
                      <a:miter lim="800000"/>
                      <a:headEnd/>
                      <a:tailEnd/>
                    </a:ln>
                  </pic:spPr>
                </pic:pic>
              </a:graphicData>
            </a:graphic>
          </wp:inline>
        </w:drawing>
      </w:r>
    </w:p>
    <w:p w:rsidR="00D966FC" w:rsidRDefault="00034227" w:rsidP="00161597">
      <w:pPr>
        <w:pStyle w:val="NormalWeb"/>
        <w:shd w:val="clear" w:color="auto" w:fill="FFFFFF"/>
        <w:spacing w:before="0" w:beforeAutospacing="0" w:after="150" w:afterAutospacing="0" w:line="270" w:lineRule="atLeast"/>
        <w:rPr>
          <w:lang w:val="sr-Cyrl-CS"/>
        </w:rPr>
      </w:pPr>
      <w:r>
        <w:rPr>
          <w:rFonts w:ascii="Arial" w:hAnsi="Arial" w:cs="Arial"/>
          <w:color w:val="000000"/>
          <w:sz w:val="18"/>
          <w:szCs w:val="18"/>
          <w:lang w:val="sr-Cyrl-CS"/>
        </w:rPr>
        <w:t xml:space="preserve">Извор: </w:t>
      </w:r>
      <w:hyperlink r:id="rId18" w:history="1">
        <w:r>
          <w:rPr>
            <w:rStyle w:val="Hyperlink"/>
          </w:rPr>
          <w:t>http://www.politika.rs/rubrike/Ekonomija/Fantomske-firme-za-velike-mucke.lt.html</w:t>
        </w:r>
      </w:hyperlink>
    </w:p>
    <w:p w:rsidR="004B6685" w:rsidRPr="004B6685" w:rsidRDefault="004B6685" w:rsidP="00161597">
      <w:pPr>
        <w:pStyle w:val="NormalWeb"/>
        <w:shd w:val="clear" w:color="auto" w:fill="FFFFFF"/>
        <w:spacing w:before="0" w:beforeAutospacing="0" w:after="150" w:afterAutospacing="0" w:line="270" w:lineRule="atLeast"/>
        <w:rPr>
          <w:rFonts w:ascii="Arial" w:hAnsi="Arial" w:cs="Arial"/>
          <w:color w:val="000000"/>
          <w:sz w:val="18"/>
          <w:szCs w:val="18"/>
          <w:lang w:val="sr-Cyrl-CS"/>
        </w:rPr>
      </w:pPr>
    </w:p>
    <w:p w:rsidR="00F85926" w:rsidRPr="004C0E90" w:rsidRDefault="00F702E2" w:rsidP="004C0E90">
      <w:pPr>
        <w:jc w:val="both"/>
        <w:rPr>
          <w:rFonts w:ascii="Times New Roman" w:hAnsi="Times New Roman"/>
          <w:sz w:val="24"/>
          <w:szCs w:val="24"/>
          <w:lang w:val="sr-Cyrl-CS"/>
        </w:rPr>
      </w:pPr>
      <w:r>
        <w:rPr>
          <w:rFonts w:ascii="Arial" w:hAnsi="Arial" w:cs="Arial"/>
          <w:sz w:val="18"/>
          <w:szCs w:val="18"/>
          <w:lang w:val="sr-Cyrl-CS"/>
        </w:rPr>
        <w:tab/>
      </w:r>
      <w:r w:rsidRPr="004C0E90">
        <w:rPr>
          <w:rFonts w:ascii="Times New Roman" w:hAnsi="Times New Roman"/>
          <w:sz w:val="24"/>
          <w:szCs w:val="24"/>
          <w:lang w:val="sr-Cyrl-CS"/>
        </w:rPr>
        <w:t>Оснивању оваквих фирми погудују олакшани услови за оснивање са минималним осивачким капиталом, о чему је било речи у п</w:t>
      </w:r>
      <w:r w:rsidR="002C4B08" w:rsidRPr="004C0E90">
        <w:rPr>
          <w:rFonts w:ascii="Times New Roman" w:hAnsi="Times New Roman"/>
          <w:sz w:val="24"/>
          <w:szCs w:val="24"/>
          <w:lang w:val="sr-Cyrl-CS"/>
        </w:rPr>
        <w:t>р</w:t>
      </w:r>
      <w:r w:rsidRPr="004C0E90">
        <w:rPr>
          <w:rFonts w:ascii="Times New Roman" w:hAnsi="Times New Roman"/>
          <w:sz w:val="24"/>
          <w:szCs w:val="24"/>
          <w:lang w:val="sr-Cyrl-CS"/>
        </w:rPr>
        <w:t>етходном излагању, при чему за кратко време, са једним запо</w:t>
      </w:r>
      <w:r w:rsidR="002C4B08" w:rsidRPr="004C0E90">
        <w:rPr>
          <w:rFonts w:ascii="Times New Roman" w:hAnsi="Times New Roman"/>
          <w:sz w:val="24"/>
          <w:szCs w:val="24"/>
          <w:lang w:val="sr-Cyrl-CS"/>
        </w:rPr>
        <w:t>с</w:t>
      </w:r>
      <w:r w:rsidRPr="004C0E90">
        <w:rPr>
          <w:rFonts w:ascii="Times New Roman" w:hAnsi="Times New Roman"/>
          <w:sz w:val="24"/>
          <w:szCs w:val="24"/>
          <w:lang w:val="sr-Cyrl-CS"/>
        </w:rPr>
        <w:t xml:space="preserve">леним,  остваре укупан приход који је многима недостижан фирмама са стотинама запослених, представљајући тако </w:t>
      </w:r>
      <w:r w:rsidR="00D966FC" w:rsidRPr="004C0E90">
        <w:rPr>
          <w:rFonts w:ascii="Times New Roman" w:hAnsi="Times New Roman"/>
          <w:sz w:val="24"/>
          <w:szCs w:val="24"/>
          <w:lang w:val="sr-Cyrl-CS"/>
        </w:rPr>
        <w:t xml:space="preserve">изворе разних злоупотреба, рада на црно, прања новца, пореске евазије као и </w:t>
      </w:r>
      <w:r w:rsidRPr="004C0E90">
        <w:rPr>
          <w:rFonts w:ascii="Times New Roman" w:hAnsi="Times New Roman"/>
          <w:sz w:val="24"/>
          <w:szCs w:val="24"/>
          <w:lang w:val="sr-Cyrl-CS"/>
        </w:rPr>
        <w:t>нелојалну конкуренцију фирмама које легално послују на тржишту.</w:t>
      </w:r>
      <w:r w:rsidR="00D966FC" w:rsidRPr="004C0E90">
        <w:rPr>
          <w:rFonts w:ascii="Times New Roman" w:hAnsi="Times New Roman"/>
          <w:sz w:val="24"/>
          <w:szCs w:val="24"/>
          <w:lang w:val="sr-Cyrl-CS"/>
        </w:rPr>
        <w:t xml:space="preserve"> Због тога, треба повећати оснивачки капитал и </w:t>
      </w:r>
      <w:r w:rsidR="002C4B08" w:rsidRPr="004C0E90">
        <w:rPr>
          <w:rFonts w:ascii="Times New Roman" w:hAnsi="Times New Roman"/>
          <w:sz w:val="24"/>
          <w:szCs w:val="24"/>
          <w:lang w:val="sr-Cyrl-CS"/>
        </w:rPr>
        <w:t>поставити строжије</w:t>
      </w:r>
      <w:r w:rsidR="00D966FC" w:rsidRPr="004C0E90">
        <w:rPr>
          <w:rFonts w:ascii="Times New Roman" w:hAnsi="Times New Roman"/>
          <w:sz w:val="24"/>
          <w:szCs w:val="24"/>
          <w:lang w:val="sr-Cyrl-CS"/>
        </w:rPr>
        <w:t xml:space="preserve"> ус</w:t>
      </w:r>
      <w:r w:rsidR="002C4B08" w:rsidRPr="004C0E90">
        <w:rPr>
          <w:rFonts w:ascii="Times New Roman" w:hAnsi="Times New Roman"/>
          <w:sz w:val="24"/>
          <w:szCs w:val="24"/>
          <w:lang w:val="sr-Cyrl-CS"/>
        </w:rPr>
        <w:t>л</w:t>
      </w:r>
      <w:r w:rsidR="00D966FC" w:rsidRPr="004C0E90">
        <w:rPr>
          <w:rFonts w:ascii="Times New Roman" w:hAnsi="Times New Roman"/>
          <w:sz w:val="24"/>
          <w:szCs w:val="24"/>
          <w:lang w:val="sr-Cyrl-CS"/>
        </w:rPr>
        <w:t>ове за оснивање фирми</w:t>
      </w:r>
      <w:r w:rsidR="00034227" w:rsidRPr="004C0E90">
        <w:rPr>
          <w:rFonts w:ascii="Times New Roman" w:hAnsi="Times New Roman"/>
          <w:sz w:val="24"/>
          <w:szCs w:val="24"/>
          <w:lang w:val="sr-Cyrl-CS"/>
        </w:rPr>
        <w:t>. Као битна превентивна мера коју треба предузети је и вођење евиденција о лицима којима су фирме блокиране, како не би за то време могла оснивати нове фирме и тако вршити злоупотребе, као и чешћа примена  мере безбедности забране обављања одређене делатности, која се у пракси ретко примењује и контролише.</w:t>
      </w:r>
    </w:p>
    <w:p w:rsidR="00AE3990" w:rsidRDefault="004715E6" w:rsidP="00F85926">
      <w:pPr>
        <w:ind w:firstLine="708"/>
        <w:jc w:val="both"/>
        <w:rPr>
          <w:rFonts w:ascii="Times New Roman" w:hAnsi="Times New Roman"/>
          <w:sz w:val="24"/>
          <w:szCs w:val="24"/>
          <w:shd w:val="clear" w:color="auto" w:fill="FFFFFF"/>
          <w:lang w:val="sr-Cyrl-CS"/>
        </w:rPr>
      </w:pPr>
      <w:r>
        <w:rPr>
          <w:rFonts w:ascii="Times New Roman" w:hAnsi="Times New Roman"/>
          <w:sz w:val="24"/>
          <w:szCs w:val="24"/>
          <w:shd w:val="clear" w:color="auto" w:fill="FFFFFF"/>
          <w:lang w:val="sr-Cyrl-CS"/>
        </w:rPr>
        <w:t>Како би се избегло плаћање</w:t>
      </w:r>
      <w:r w:rsidR="006F3964">
        <w:rPr>
          <w:rFonts w:ascii="Times New Roman" w:hAnsi="Times New Roman"/>
          <w:sz w:val="24"/>
          <w:szCs w:val="24"/>
          <w:shd w:val="clear" w:color="auto" w:fill="FFFFFF"/>
          <w:lang w:val="sr-Cyrl-CS"/>
        </w:rPr>
        <w:t xml:space="preserve"> пореза укључују </w:t>
      </w:r>
      <w:r>
        <w:rPr>
          <w:rFonts w:ascii="Times New Roman" w:hAnsi="Times New Roman"/>
          <w:sz w:val="24"/>
          <w:szCs w:val="24"/>
          <w:shd w:val="clear" w:color="auto" w:fill="FFFFFF"/>
          <w:lang w:val="sr-Cyrl-CS"/>
        </w:rPr>
        <w:t xml:space="preserve">се </w:t>
      </w:r>
      <w:r w:rsidR="006F3964">
        <w:rPr>
          <w:rFonts w:ascii="Times New Roman" w:hAnsi="Times New Roman"/>
          <w:sz w:val="24"/>
          <w:szCs w:val="24"/>
          <w:shd w:val="clear" w:color="auto" w:fill="FFFFFF"/>
          <w:lang w:val="sr-Cyrl-CS"/>
        </w:rPr>
        <w:t>предузећа посредни</w:t>
      </w:r>
      <w:r w:rsidR="00D55B46">
        <w:rPr>
          <w:rFonts w:ascii="Times New Roman" w:hAnsi="Times New Roman"/>
          <w:sz w:val="24"/>
          <w:szCs w:val="24"/>
          <w:shd w:val="clear" w:color="auto" w:fill="FFFFFF"/>
          <w:lang w:val="sr-Cyrl-CS"/>
        </w:rPr>
        <w:t xml:space="preserve">ци тзв. „перачи“. Тако, </w:t>
      </w:r>
      <w:r>
        <w:rPr>
          <w:rFonts w:ascii="Times New Roman" w:hAnsi="Times New Roman"/>
          <w:sz w:val="24"/>
          <w:szCs w:val="24"/>
          <w:shd w:val="clear" w:color="auto" w:fill="FFFFFF"/>
          <w:lang w:val="sr-Cyrl-CS"/>
        </w:rPr>
        <w:t>на пример,</w:t>
      </w:r>
      <w:r w:rsidR="006F3964">
        <w:rPr>
          <w:rFonts w:ascii="Times New Roman" w:hAnsi="Times New Roman"/>
          <w:sz w:val="24"/>
          <w:szCs w:val="24"/>
          <w:shd w:val="clear" w:color="auto" w:fill="FFFFFF"/>
          <w:lang w:val="sr-Cyrl-CS"/>
        </w:rPr>
        <w:t xml:space="preserve"> фантом</w:t>
      </w:r>
      <w:r w:rsidR="00D55B46">
        <w:rPr>
          <w:rFonts w:ascii="Times New Roman" w:hAnsi="Times New Roman"/>
          <w:sz w:val="24"/>
          <w:szCs w:val="24"/>
          <w:shd w:val="clear" w:color="auto" w:fill="FFFFFF"/>
          <w:lang w:val="sr-Cyrl-CS"/>
        </w:rPr>
        <w:t>-</w:t>
      </w:r>
      <w:r w:rsidR="006F3964">
        <w:rPr>
          <w:rFonts w:ascii="Times New Roman" w:hAnsi="Times New Roman"/>
          <w:sz w:val="24"/>
          <w:szCs w:val="24"/>
          <w:shd w:val="clear" w:color="auto" w:fill="FFFFFF"/>
          <w:lang w:val="sr-Cyrl-CS"/>
        </w:rPr>
        <w:t>предузе</w:t>
      </w:r>
      <w:r w:rsidR="00D55B46">
        <w:rPr>
          <w:rFonts w:ascii="Times New Roman" w:hAnsi="Times New Roman"/>
          <w:sz w:val="24"/>
          <w:szCs w:val="24"/>
          <w:shd w:val="clear" w:color="auto" w:fill="FFFFFF"/>
          <w:lang w:val="sr-Cyrl-CS"/>
        </w:rPr>
        <w:t>ће</w:t>
      </w:r>
      <w:r w:rsidR="006F3964">
        <w:rPr>
          <w:rFonts w:ascii="Times New Roman" w:hAnsi="Times New Roman"/>
          <w:sz w:val="24"/>
          <w:szCs w:val="24"/>
          <w:shd w:val="clear" w:color="auto" w:fill="FFFFFF"/>
          <w:lang w:val="sr-Cyrl-CS"/>
        </w:rPr>
        <w:t xml:space="preserve"> испоставља лажне фактуре</w:t>
      </w:r>
      <w:r w:rsidR="00D55B46">
        <w:rPr>
          <w:rFonts w:ascii="Times New Roman" w:hAnsi="Times New Roman"/>
          <w:sz w:val="24"/>
          <w:szCs w:val="24"/>
          <w:shd w:val="clear" w:color="auto" w:fill="FFFFFF"/>
          <w:lang w:val="sr-Cyrl-CS"/>
        </w:rPr>
        <w:t>,</w:t>
      </w:r>
      <w:r w:rsidR="006F3964">
        <w:rPr>
          <w:rFonts w:ascii="Times New Roman" w:hAnsi="Times New Roman"/>
          <w:sz w:val="24"/>
          <w:szCs w:val="24"/>
          <w:shd w:val="clear" w:color="auto" w:fill="FFFFFF"/>
          <w:lang w:val="sr-Cyrl-CS"/>
        </w:rPr>
        <w:t xml:space="preserve"> са исказаним ПДВ-ом о на</w:t>
      </w:r>
      <w:r w:rsidR="00D55B46">
        <w:rPr>
          <w:rFonts w:ascii="Times New Roman" w:hAnsi="Times New Roman"/>
          <w:sz w:val="24"/>
          <w:szCs w:val="24"/>
          <w:shd w:val="clear" w:color="auto" w:fill="FFFFFF"/>
          <w:lang w:val="sr-Cyrl-CS"/>
        </w:rPr>
        <w:t>водно пруженим услугама другом П</w:t>
      </w:r>
      <w:r w:rsidR="006F3964">
        <w:rPr>
          <w:rFonts w:ascii="Times New Roman" w:hAnsi="Times New Roman"/>
          <w:sz w:val="24"/>
          <w:szCs w:val="24"/>
          <w:shd w:val="clear" w:color="auto" w:fill="FFFFFF"/>
          <w:lang w:val="sr-Cyrl-CS"/>
        </w:rPr>
        <w:t>ДВ обвезнику, посреднику</w:t>
      </w:r>
      <w:r w:rsidR="00D55B46">
        <w:rPr>
          <w:rFonts w:ascii="Times New Roman" w:hAnsi="Times New Roman"/>
          <w:sz w:val="24"/>
          <w:szCs w:val="24"/>
          <w:shd w:val="clear" w:color="auto" w:fill="FFFFFF"/>
          <w:lang w:val="sr-Cyrl-CS"/>
        </w:rPr>
        <w:t>,</w:t>
      </w:r>
      <w:r w:rsidR="006F3964">
        <w:rPr>
          <w:rFonts w:ascii="Times New Roman" w:hAnsi="Times New Roman"/>
          <w:sz w:val="24"/>
          <w:szCs w:val="24"/>
          <w:shd w:val="clear" w:color="auto" w:fill="FFFFFF"/>
          <w:lang w:val="sr-Cyrl-CS"/>
        </w:rPr>
        <w:t xml:space="preserve"> које се у пракси назива </w:t>
      </w:r>
      <w:r w:rsidR="00D55B46">
        <w:rPr>
          <w:rFonts w:ascii="Times New Roman" w:hAnsi="Times New Roman"/>
          <w:sz w:val="24"/>
          <w:szCs w:val="24"/>
          <w:shd w:val="clear" w:color="auto" w:fill="FFFFFF"/>
          <w:lang w:val="sr-Cyrl-CS"/>
        </w:rPr>
        <w:t>и предузеће</w:t>
      </w:r>
      <w:r w:rsidR="00F85926">
        <w:rPr>
          <w:rFonts w:ascii="Times New Roman" w:hAnsi="Times New Roman"/>
          <w:sz w:val="24"/>
          <w:szCs w:val="24"/>
          <w:shd w:val="clear" w:color="auto" w:fill="FFFFFF"/>
          <w:lang w:val="sr-Cyrl-CS"/>
        </w:rPr>
        <w:t xml:space="preserve"> </w:t>
      </w:r>
      <w:r w:rsidR="00D55B46">
        <w:rPr>
          <w:rFonts w:ascii="Times New Roman" w:hAnsi="Times New Roman"/>
          <w:sz w:val="24"/>
          <w:szCs w:val="24"/>
          <w:shd w:val="clear" w:color="auto" w:fill="FFFFFF"/>
          <w:lang w:val="sr-Cyrl-CS"/>
        </w:rPr>
        <w:t>-</w:t>
      </w:r>
      <w:r w:rsidR="00F85926">
        <w:rPr>
          <w:rFonts w:ascii="Times New Roman" w:hAnsi="Times New Roman"/>
          <w:sz w:val="24"/>
          <w:szCs w:val="24"/>
          <w:shd w:val="clear" w:color="auto" w:fill="FFFFFF"/>
          <w:lang w:val="sr-Cyrl-CS"/>
        </w:rPr>
        <w:t xml:space="preserve"> </w:t>
      </w:r>
      <w:r w:rsidR="00D55B46">
        <w:rPr>
          <w:rFonts w:ascii="Times New Roman" w:hAnsi="Times New Roman"/>
          <w:sz w:val="24"/>
          <w:szCs w:val="24"/>
          <w:shd w:val="clear" w:color="auto" w:fill="FFFFFF"/>
          <w:lang w:val="sr-Cyrl-CS"/>
        </w:rPr>
        <w:t>перач, (</w:t>
      </w:r>
      <w:r w:rsidR="006F3964">
        <w:rPr>
          <w:rFonts w:ascii="Times New Roman" w:hAnsi="Times New Roman"/>
          <w:sz w:val="24"/>
          <w:szCs w:val="24"/>
          <w:shd w:val="clear" w:color="auto" w:fill="FFFFFF"/>
          <w:lang w:val="sr-Cyrl-CS"/>
        </w:rPr>
        <w:t xml:space="preserve">његово пословање </w:t>
      </w:r>
      <w:r w:rsidR="00D55B46">
        <w:rPr>
          <w:rFonts w:ascii="Times New Roman" w:hAnsi="Times New Roman"/>
          <w:sz w:val="24"/>
          <w:szCs w:val="24"/>
          <w:shd w:val="clear" w:color="auto" w:fill="FFFFFF"/>
          <w:lang w:val="sr-Cyrl-CS"/>
        </w:rPr>
        <w:t xml:space="preserve">је </w:t>
      </w:r>
      <w:r w:rsidR="006F3964">
        <w:rPr>
          <w:rFonts w:ascii="Times New Roman" w:hAnsi="Times New Roman"/>
          <w:sz w:val="24"/>
          <w:szCs w:val="24"/>
          <w:shd w:val="clear" w:color="auto" w:fill="FFFFFF"/>
          <w:lang w:val="sr-Cyrl-CS"/>
        </w:rPr>
        <w:t>к</w:t>
      </w:r>
      <w:r w:rsidR="00D55B46">
        <w:rPr>
          <w:rFonts w:ascii="Times New Roman" w:hAnsi="Times New Roman"/>
          <w:sz w:val="24"/>
          <w:szCs w:val="24"/>
          <w:shd w:val="clear" w:color="auto" w:fill="FFFFFF"/>
          <w:lang w:val="sr-Cyrl-CS"/>
        </w:rPr>
        <w:t>омбинација рада фантом</w:t>
      </w:r>
      <w:r w:rsidR="006F3964">
        <w:rPr>
          <w:rFonts w:ascii="Times New Roman" w:hAnsi="Times New Roman"/>
          <w:sz w:val="24"/>
          <w:szCs w:val="24"/>
          <w:shd w:val="clear" w:color="auto" w:fill="FFFFFF"/>
          <w:lang w:val="sr-Cyrl-CS"/>
        </w:rPr>
        <w:t xml:space="preserve"> и регуларног предузећа</w:t>
      </w:r>
      <w:r w:rsidR="00D55B46">
        <w:rPr>
          <w:rFonts w:ascii="Times New Roman" w:hAnsi="Times New Roman"/>
          <w:sz w:val="24"/>
          <w:szCs w:val="24"/>
          <w:shd w:val="clear" w:color="auto" w:fill="FFFFFF"/>
          <w:lang w:val="sr-Cyrl-CS"/>
        </w:rPr>
        <w:t>)</w:t>
      </w:r>
      <w:r w:rsidR="006F3964">
        <w:rPr>
          <w:rFonts w:ascii="Times New Roman" w:hAnsi="Times New Roman"/>
          <w:sz w:val="24"/>
          <w:szCs w:val="24"/>
          <w:shd w:val="clear" w:color="auto" w:fill="FFFFFF"/>
          <w:lang w:val="sr-Cyrl-CS"/>
        </w:rPr>
        <w:t xml:space="preserve">, које те услуге </w:t>
      </w:r>
      <w:r w:rsidR="00D55B46">
        <w:rPr>
          <w:rFonts w:ascii="Times New Roman" w:hAnsi="Times New Roman"/>
          <w:sz w:val="24"/>
          <w:szCs w:val="24"/>
          <w:shd w:val="clear" w:color="auto" w:fill="FFFFFF"/>
          <w:lang w:val="sr-Cyrl-CS"/>
        </w:rPr>
        <w:t>даље</w:t>
      </w:r>
      <w:r>
        <w:rPr>
          <w:rFonts w:ascii="Times New Roman" w:hAnsi="Times New Roman"/>
          <w:sz w:val="24"/>
          <w:szCs w:val="24"/>
          <w:shd w:val="clear" w:color="auto" w:fill="FFFFFF"/>
          <w:lang w:val="sr-Cyrl-CS"/>
        </w:rPr>
        <w:t xml:space="preserve"> фиктивно</w:t>
      </w:r>
      <w:r w:rsidR="00D55B46">
        <w:rPr>
          <w:rFonts w:ascii="Times New Roman" w:hAnsi="Times New Roman"/>
          <w:sz w:val="24"/>
          <w:szCs w:val="24"/>
          <w:shd w:val="clear" w:color="auto" w:fill="FFFFFF"/>
          <w:lang w:val="sr-Cyrl-CS"/>
        </w:rPr>
        <w:t xml:space="preserve"> фактурише трећем предузећу (</w:t>
      </w:r>
      <w:r w:rsidR="006F3964">
        <w:rPr>
          <w:rFonts w:ascii="Times New Roman" w:hAnsi="Times New Roman"/>
          <w:sz w:val="24"/>
          <w:szCs w:val="24"/>
          <w:shd w:val="clear" w:color="auto" w:fill="FFFFFF"/>
          <w:lang w:val="sr-Cyrl-CS"/>
        </w:rPr>
        <w:t>крајњем кориснику</w:t>
      </w:r>
      <w:r w:rsidR="00F85926">
        <w:rPr>
          <w:rFonts w:ascii="Times New Roman" w:hAnsi="Times New Roman"/>
          <w:sz w:val="24"/>
          <w:szCs w:val="24"/>
          <w:shd w:val="clear" w:color="auto" w:fill="FFFFFF"/>
          <w:lang w:val="sr-Cyrl-CS"/>
        </w:rPr>
        <w:t xml:space="preserve"> </w:t>
      </w:r>
      <w:r w:rsidR="00D55B46">
        <w:rPr>
          <w:rFonts w:ascii="Times New Roman" w:hAnsi="Times New Roman"/>
          <w:sz w:val="24"/>
          <w:szCs w:val="24"/>
          <w:shd w:val="clear" w:color="auto" w:fill="FFFFFF"/>
          <w:lang w:val="sr-Cyrl-CS"/>
        </w:rPr>
        <w:t>-</w:t>
      </w:r>
      <w:r w:rsidR="00F85926">
        <w:rPr>
          <w:rFonts w:ascii="Times New Roman" w:hAnsi="Times New Roman"/>
          <w:sz w:val="24"/>
          <w:szCs w:val="24"/>
          <w:shd w:val="clear" w:color="auto" w:fill="FFFFFF"/>
          <w:lang w:val="sr-Cyrl-CS"/>
        </w:rPr>
        <w:t xml:space="preserve"> </w:t>
      </w:r>
      <w:r w:rsidR="00D55B46">
        <w:rPr>
          <w:rFonts w:ascii="Times New Roman" w:hAnsi="Times New Roman"/>
          <w:sz w:val="24"/>
          <w:szCs w:val="24"/>
          <w:shd w:val="clear" w:color="auto" w:fill="FFFFFF"/>
          <w:lang w:val="sr-Cyrl-CS"/>
        </w:rPr>
        <w:t>по правилу</w:t>
      </w:r>
      <w:r w:rsidR="006F3964">
        <w:rPr>
          <w:rFonts w:ascii="Times New Roman" w:hAnsi="Times New Roman"/>
          <w:sz w:val="24"/>
          <w:szCs w:val="24"/>
          <w:shd w:val="clear" w:color="auto" w:fill="FFFFFF"/>
          <w:lang w:val="sr-Cyrl-CS"/>
        </w:rPr>
        <w:t xml:space="preserve"> регуларном предузећу</w:t>
      </w:r>
      <w:r w:rsidR="00D55B46">
        <w:rPr>
          <w:rFonts w:ascii="Times New Roman" w:hAnsi="Times New Roman"/>
          <w:sz w:val="24"/>
          <w:szCs w:val="24"/>
          <w:shd w:val="clear" w:color="auto" w:fill="FFFFFF"/>
          <w:lang w:val="sr-Cyrl-CS"/>
        </w:rPr>
        <w:t>)</w:t>
      </w:r>
      <w:r w:rsidR="006F3964">
        <w:rPr>
          <w:rFonts w:ascii="Times New Roman" w:hAnsi="Times New Roman"/>
          <w:sz w:val="24"/>
          <w:szCs w:val="24"/>
          <w:shd w:val="clear" w:color="auto" w:fill="FFFFFF"/>
          <w:lang w:val="sr-Cyrl-CS"/>
        </w:rPr>
        <w:t xml:space="preserve"> и безготовински их наплаћује преко свог текућег рачуна. </w:t>
      </w:r>
      <w:r>
        <w:rPr>
          <w:rFonts w:ascii="Times New Roman" w:hAnsi="Times New Roman"/>
          <w:sz w:val="24"/>
          <w:szCs w:val="24"/>
          <w:shd w:val="clear" w:color="auto" w:fill="FFFFFF"/>
          <w:lang w:val="sr-Cyrl-CS"/>
        </w:rPr>
        <w:t>Н</w:t>
      </w:r>
      <w:r w:rsidR="00D55B46">
        <w:rPr>
          <w:rFonts w:ascii="Times New Roman" w:hAnsi="Times New Roman"/>
          <w:sz w:val="24"/>
          <w:szCs w:val="24"/>
          <w:shd w:val="clear" w:color="auto" w:fill="FFFFFF"/>
          <w:lang w:val="sr-Cyrl-CS"/>
        </w:rPr>
        <w:t xml:space="preserve">аплаћен износ </w:t>
      </w:r>
      <w:r>
        <w:rPr>
          <w:rFonts w:ascii="Times New Roman" w:hAnsi="Times New Roman"/>
          <w:sz w:val="24"/>
          <w:szCs w:val="24"/>
          <w:shd w:val="clear" w:color="auto" w:fill="FFFFFF"/>
          <w:lang w:val="sr-Cyrl-CS"/>
        </w:rPr>
        <w:t>фактуре на описани начин се умањује</w:t>
      </w:r>
      <w:r w:rsidR="006F3964">
        <w:rPr>
          <w:rFonts w:ascii="Times New Roman" w:hAnsi="Times New Roman"/>
          <w:sz w:val="24"/>
          <w:szCs w:val="24"/>
          <w:shd w:val="clear" w:color="auto" w:fill="FFFFFF"/>
          <w:lang w:val="sr-Cyrl-CS"/>
        </w:rPr>
        <w:t xml:space="preserve"> за износ д</w:t>
      </w:r>
      <w:r>
        <w:rPr>
          <w:rFonts w:ascii="Times New Roman" w:hAnsi="Times New Roman"/>
          <w:sz w:val="24"/>
          <w:szCs w:val="24"/>
          <w:shd w:val="clear" w:color="auto" w:fill="FFFFFF"/>
          <w:lang w:val="sr-Cyrl-CS"/>
        </w:rPr>
        <w:t>оговорене провизије коју</w:t>
      </w:r>
      <w:r w:rsidR="00D55B46">
        <w:rPr>
          <w:rFonts w:ascii="Times New Roman" w:hAnsi="Times New Roman"/>
          <w:sz w:val="24"/>
          <w:szCs w:val="24"/>
          <w:shd w:val="clear" w:color="auto" w:fill="FFFFFF"/>
          <w:lang w:val="sr-Cyrl-CS"/>
        </w:rPr>
        <w:t xml:space="preserve"> посредник</w:t>
      </w:r>
      <w:r w:rsidR="00F85926">
        <w:rPr>
          <w:rFonts w:ascii="Times New Roman" w:hAnsi="Times New Roman"/>
          <w:sz w:val="24"/>
          <w:szCs w:val="24"/>
          <w:shd w:val="clear" w:color="auto" w:fill="FFFFFF"/>
          <w:lang w:val="sr-Cyrl-CS"/>
        </w:rPr>
        <w:t xml:space="preserve"> </w:t>
      </w:r>
      <w:r w:rsidR="00D55B46">
        <w:rPr>
          <w:rFonts w:ascii="Times New Roman" w:hAnsi="Times New Roman"/>
          <w:sz w:val="24"/>
          <w:szCs w:val="24"/>
          <w:shd w:val="clear" w:color="auto" w:fill="FFFFFF"/>
          <w:lang w:val="sr-Cyrl-CS"/>
        </w:rPr>
        <w:t>-</w:t>
      </w:r>
      <w:r w:rsidR="00F85926">
        <w:rPr>
          <w:rFonts w:ascii="Times New Roman" w:hAnsi="Times New Roman"/>
          <w:sz w:val="24"/>
          <w:szCs w:val="24"/>
          <w:shd w:val="clear" w:color="auto" w:fill="FFFFFF"/>
          <w:lang w:val="sr-Cyrl-CS"/>
        </w:rPr>
        <w:t xml:space="preserve"> </w:t>
      </w:r>
      <w:r w:rsidR="00D55B46">
        <w:rPr>
          <w:rFonts w:ascii="Times New Roman" w:hAnsi="Times New Roman"/>
          <w:sz w:val="24"/>
          <w:szCs w:val="24"/>
          <w:shd w:val="clear" w:color="auto" w:fill="FFFFFF"/>
          <w:lang w:val="sr-Cyrl-CS"/>
        </w:rPr>
        <w:t>перач</w:t>
      </w:r>
      <w:r w:rsidR="006F3964">
        <w:rPr>
          <w:rFonts w:ascii="Times New Roman" w:hAnsi="Times New Roman"/>
          <w:sz w:val="24"/>
          <w:szCs w:val="24"/>
          <w:shd w:val="clear" w:color="auto" w:fill="FFFFFF"/>
          <w:lang w:val="sr-Cyrl-CS"/>
        </w:rPr>
        <w:t xml:space="preserve"> </w:t>
      </w:r>
      <w:r w:rsidR="00F85926">
        <w:rPr>
          <w:rFonts w:ascii="Times New Roman" w:hAnsi="Times New Roman"/>
          <w:sz w:val="24"/>
          <w:szCs w:val="24"/>
          <w:shd w:val="clear" w:color="auto" w:fill="FFFFFF"/>
          <w:lang w:val="sr-Cyrl-CS"/>
        </w:rPr>
        <w:t>пред</w:t>
      </w:r>
      <w:r w:rsidR="006F3964">
        <w:rPr>
          <w:rFonts w:ascii="Times New Roman" w:hAnsi="Times New Roman"/>
          <w:sz w:val="24"/>
          <w:szCs w:val="24"/>
          <w:shd w:val="clear" w:color="auto" w:fill="FFFFFF"/>
          <w:lang w:val="sr-Cyrl-CS"/>
        </w:rPr>
        <w:t xml:space="preserve">узеће враћа у готовом новцу трећем регуларном предузећу, које му је извршило безготовинску уплату </w:t>
      </w:r>
      <w:r>
        <w:rPr>
          <w:rFonts w:ascii="Times New Roman" w:hAnsi="Times New Roman"/>
          <w:sz w:val="24"/>
          <w:szCs w:val="24"/>
          <w:shd w:val="clear" w:color="auto" w:fill="FFFFFF"/>
          <w:lang w:val="sr-Cyrl-CS"/>
        </w:rPr>
        <w:t xml:space="preserve">и које је </w:t>
      </w:r>
      <w:r w:rsidR="006F3964">
        <w:rPr>
          <w:rFonts w:ascii="Times New Roman" w:hAnsi="Times New Roman"/>
          <w:sz w:val="24"/>
          <w:szCs w:val="24"/>
          <w:shd w:val="clear" w:color="auto" w:fill="FFFFFF"/>
          <w:lang w:val="sr-Cyrl-CS"/>
        </w:rPr>
        <w:t xml:space="preserve"> крајњи корисник у описаном ланцу фактурисања и плаћања.</w:t>
      </w:r>
      <w:r w:rsidR="00696CD2">
        <w:rPr>
          <w:rFonts w:ascii="Times New Roman" w:hAnsi="Times New Roman"/>
          <w:sz w:val="24"/>
          <w:szCs w:val="24"/>
          <w:shd w:val="clear" w:color="auto" w:fill="FFFFFF"/>
          <w:lang w:val="sr-Cyrl-CS"/>
        </w:rPr>
        <w:t xml:space="preserve"> Основни циљ овакве трансакције је да крајњи корисник у ланцу, регуларно предузеће</w:t>
      </w:r>
      <w:r w:rsidR="00D55B46">
        <w:rPr>
          <w:rFonts w:ascii="Times New Roman" w:hAnsi="Times New Roman"/>
          <w:sz w:val="24"/>
          <w:szCs w:val="24"/>
          <w:shd w:val="clear" w:color="auto" w:fill="FFFFFF"/>
          <w:lang w:val="sr-Cyrl-CS"/>
        </w:rPr>
        <w:t xml:space="preserve">, </w:t>
      </w:r>
      <w:r>
        <w:rPr>
          <w:rFonts w:ascii="Times New Roman" w:hAnsi="Times New Roman"/>
          <w:sz w:val="24"/>
          <w:szCs w:val="24"/>
          <w:shd w:val="clear" w:color="auto" w:fill="FFFFFF"/>
          <w:lang w:val="sr-Cyrl-CS"/>
        </w:rPr>
        <w:t>дође до готовог новца</w:t>
      </w:r>
      <w:r w:rsidR="00696CD2">
        <w:rPr>
          <w:rFonts w:ascii="Times New Roman" w:hAnsi="Times New Roman"/>
          <w:sz w:val="24"/>
          <w:szCs w:val="24"/>
          <w:shd w:val="clear" w:color="auto" w:fill="FFFFFF"/>
          <w:lang w:val="sr-Cyrl-CS"/>
        </w:rPr>
        <w:t xml:space="preserve"> </w:t>
      </w:r>
      <w:r>
        <w:rPr>
          <w:rFonts w:ascii="Times New Roman" w:hAnsi="Times New Roman"/>
          <w:sz w:val="24"/>
          <w:szCs w:val="24"/>
          <w:shd w:val="clear" w:color="auto" w:fill="FFFFFF"/>
          <w:lang w:val="sr-Cyrl-CS"/>
        </w:rPr>
        <w:t>који се потом кор</w:t>
      </w:r>
      <w:r w:rsidR="004C0E90">
        <w:rPr>
          <w:rFonts w:ascii="Times New Roman" w:hAnsi="Times New Roman"/>
          <w:sz w:val="24"/>
          <w:szCs w:val="24"/>
          <w:shd w:val="clear" w:color="auto" w:fill="FFFFFF"/>
          <w:lang w:val="sr-Cyrl-CS"/>
        </w:rPr>
        <w:t>и</w:t>
      </w:r>
      <w:r>
        <w:rPr>
          <w:rFonts w:ascii="Times New Roman" w:hAnsi="Times New Roman"/>
          <w:sz w:val="24"/>
          <w:szCs w:val="24"/>
          <w:shd w:val="clear" w:color="auto" w:fill="FFFFFF"/>
          <w:lang w:val="sr-Cyrl-CS"/>
        </w:rPr>
        <w:t>сти</w:t>
      </w:r>
      <w:r w:rsidR="00696CD2">
        <w:rPr>
          <w:rFonts w:ascii="Times New Roman" w:hAnsi="Times New Roman"/>
          <w:sz w:val="24"/>
          <w:szCs w:val="24"/>
          <w:shd w:val="clear" w:color="auto" w:fill="FFFFFF"/>
          <w:lang w:val="sr-Cyrl-CS"/>
        </w:rPr>
        <w:t xml:space="preserve"> </w:t>
      </w:r>
      <w:r>
        <w:rPr>
          <w:rFonts w:ascii="Times New Roman" w:hAnsi="Times New Roman"/>
          <w:sz w:val="24"/>
          <w:szCs w:val="24"/>
          <w:shd w:val="clear" w:color="auto" w:fill="FFFFFF"/>
          <w:lang w:val="sr-Cyrl-CS"/>
        </w:rPr>
        <w:t xml:space="preserve">за </w:t>
      </w:r>
      <w:r w:rsidR="00696CD2">
        <w:rPr>
          <w:rFonts w:ascii="Times New Roman" w:hAnsi="Times New Roman"/>
          <w:sz w:val="24"/>
          <w:szCs w:val="24"/>
          <w:shd w:val="clear" w:color="auto" w:fill="FFFFFF"/>
          <w:lang w:val="sr-Cyrl-CS"/>
        </w:rPr>
        <w:t>готовинске исплате</w:t>
      </w:r>
      <w:r w:rsidR="00D55B46">
        <w:rPr>
          <w:rFonts w:ascii="Times New Roman" w:hAnsi="Times New Roman"/>
          <w:sz w:val="24"/>
          <w:szCs w:val="24"/>
          <w:shd w:val="clear" w:color="auto" w:fill="FFFFFF"/>
          <w:lang w:val="sr-Cyrl-CS"/>
        </w:rPr>
        <w:t>,</w:t>
      </w:r>
      <w:r w:rsidR="00696CD2">
        <w:rPr>
          <w:rFonts w:ascii="Times New Roman" w:hAnsi="Times New Roman"/>
          <w:sz w:val="24"/>
          <w:szCs w:val="24"/>
          <w:shd w:val="clear" w:color="auto" w:fill="FFFFFF"/>
          <w:lang w:val="sr-Cyrl-CS"/>
        </w:rPr>
        <w:t xml:space="preserve"> без измирења пореских обавеза, по</w:t>
      </w:r>
      <w:r w:rsidR="00F85926">
        <w:rPr>
          <w:rFonts w:ascii="Times New Roman" w:hAnsi="Times New Roman"/>
          <w:sz w:val="24"/>
          <w:szCs w:val="24"/>
          <w:shd w:val="clear" w:color="auto" w:fill="FFFFFF"/>
          <w:lang w:val="sr-Cyrl-CS"/>
        </w:rPr>
        <w:t>п</w:t>
      </w:r>
      <w:r w:rsidR="00696CD2">
        <w:rPr>
          <w:rFonts w:ascii="Times New Roman" w:hAnsi="Times New Roman"/>
          <w:sz w:val="24"/>
          <w:szCs w:val="24"/>
          <w:shd w:val="clear" w:color="auto" w:fill="FFFFFF"/>
          <w:lang w:val="sr-Cyrl-CS"/>
        </w:rPr>
        <w:t xml:space="preserve">ут накнада за ангажовану радну снагу на </w:t>
      </w:r>
      <w:r w:rsidR="00D55B46">
        <w:rPr>
          <w:rFonts w:ascii="Times New Roman" w:hAnsi="Times New Roman"/>
          <w:sz w:val="24"/>
          <w:szCs w:val="24"/>
          <w:shd w:val="clear" w:color="auto" w:fill="FFFFFF"/>
          <w:lang w:val="sr-Cyrl-CS"/>
        </w:rPr>
        <w:t>„</w:t>
      </w:r>
      <w:r w:rsidR="00696CD2">
        <w:rPr>
          <w:rFonts w:ascii="Times New Roman" w:hAnsi="Times New Roman"/>
          <w:sz w:val="24"/>
          <w:szCs w:val="24"/>
          <w:shd w:val="clear" w:color="auto" w:fill="FFFFFF"/>
          <w:lang w:val="sr-Cyrl-CS"/>
        </w:rPr>
        <w:t>црно</w:t>
      </w:r>
      <w:r w:rsidR="00D55B46">
        <w:rPr>
          <w:rFonts w:ascii="Times New Roman" w:hAnsi="Times New Roman"/>
          <w:sz w:val="24"/>
          <w:szCs w:val="24"/>
          <w:shd w:val="clear" w:color="auto" w:fill="FFFFFF"/>
          <w:lang w:val="sr-Cyrl-CS"/>
        </w:rPr>
        <w:t>“</w:t>
      </w:r>
      <w:r w:rsidR="00696CD2">
        <w:rPr>
          <w:rFonts w:ascii="Times New Roman" w:hAnsi="Times New Roman"/>
          <w:sz w:val="24"/>
          <w:szCs w:val="24"/>
          <w:shd w:val="clear" w:color="auto" w:fill="FFFFFF"/>
          <w:lang w:val="sr-Cyrl-CS"/>
        </w:rPr>
        <w:t>, накнада за пружене услуге од стране нерегистрованих субјеката, исплата дела зарада својим запосленим које се не евидентир</w:t>
      </w:r>
      <w:r w:rsidR="00D55B46">
        <w:rPr>
          <w:rFonts w:ascii="Times New Roman" w:hAnsi="Times New Roman"/>
          <w:sz w:val="24"/>
          <w:szCs w:val="24"/>
          <w:shd w:val="clear" w:color="auto" w:fill="FFFFFF"/>
          <w:lang w:val="sr-Cyrl-CS"/>
        </w:rPr>
        <w:t>ају у пословним књигама и сл</w:t>
      </w:r>
      <w:r w:rsidR="00696CD2">
        <w:rPr>
          <w:rFonts w:ascii="Times New Roman" w:hAnsi="Times New Roman"/>
          <w:sz w:val="24"/>
          <w:szCs w:val="24"/>
          <w:shd w:val="clear" w:color="auto" w:fill="FFFFFF"/>
          <w:lang w:val="sr-Cyrl-CS"/>
        </w:rPr>
        <w:t xml:space="preserve">. </w:t>
      </w:r>
      <w:r>
        <w:rPr>
          <w:rFonts w:ascii="Times New Roman" w:hAnsi="Times New Roman"/>
          <w:sz w:val="24"/>
          <w:szCs w:val="24"/>
          <w:shd w:val="clear" w:color="auto" w:fill="FFFFFF"/>
          <w:lang w:val="sr-Cyrl-CS"/>
        </w:rPr>
        <w:t>Како се неосновано користи претходни порез који је исказан на лажном улазном рачуну по коме промет није извршен о</w:t>
      </w:r>
      <w:r w:rsidR="00D55B46">
        <w:rPr>
          <w:rFonts w:ascii="Times New Roman" w:hAnsi="Times New Roman"/>
          <w:sz w:val="24"/>
          <w:szCs w:val="24"/>
          <w:shd w:val="clear" w:color="auto" w:fill="FFFFFF"/>
          <w:lang w:val="sr-Cyrl-CS"/>
        </w:rPr>
        <w:t xml:space="preserve">вај порески обвезник </w:t>
      </w:r>
      <w:r w:rsidR="00696CD2">
        <w:rPr>
          <w:rFonts w:ascii="Times New Roman" w:hAnsi="Times New Roman"/>
          <w:sz w:val="24"/>
          <w:szCs w:val="24"/>
          <w:shd w:val="clear" w:color="auto" w:fill="FFFFFF"/>
          <w:lang w:val="sr-Cyrl-CS"/>
        </w:rPr>
        <w:t xml:space="preserve"> истоврем</w:t>
      </w:r>
      <w:r w:rsidR="00D55B46">
        <w:rPr>
          <w:rFonts w:ascii="Times New Roman" w:hAnsi="Times New Roman"/>
          <w:sz w:val="24"/>
          <w:szCs w:val="24"/>
          <w:shd w:val="clear" w:color="auto" w:fill="FFFFFF"/>
          <w:lang w:val="sr-Cyrl-CS"/>
        </w:rPr>
        <w:t>ено умањује и своју ПДВ обавезу</w:t>
      </w:r>
      <w:r w:rsidR="00696CD2">
        <w:rPr>
          <w:rFonts w:ascii="Times New Roman" w:hAnsi="Times New Roman"/>
          <w:sz w:val="24"/>
          <w:szCs w:val="24"/>
          <w:shd w:val="clear" w:color="auto" w:fill="FFFFFF"/>
          <w:lang w:val="sr-Cyrl-CS"/>
        </w:rPr>
        <w:t xml:space="preserve">, будући да му је цео износ по том </w:t>
      </w:r>
      <w:r w:rsidR="00696CD2">
        <w:rPr>
          <w:rFonts w:ascii="Times New Roman" w:hAnsi="Times New Roman"/>
          <w:sz w:val="24"/>
          <w:szCs w:val="24"/>
          <w:shd w:val="clear" w:color="auto" w:fill="FFFFFF"/>
          <w:lang w:val="sr-Cyrl-CS"/>
        </w:rPr>
        <w:lastRenderedPageBreak/>
        <w:t>рачуну</w:t>
      </w:r>
      <w:r w:rsidR="00D55B46">
        <w:rPr>
          <w:rFonts w:ascii="Times New Roman" w:hAnsi="Times New Roman"/>
          <w:sz w:val="24"/>
          <w:szCs w:val="24"/>
          <w:shd w:val="clear" w:color="auto" w:fill="FFFFFF"/>
          <w:lang w:val="sr-Cyrl-CS"/>
        </w:rPr>
        <w:t>,</w:t>
      </w:r>
      <w:r w:rsidR="00696CD2">
        <w:rPr>
          <w:rFonts w:ascii="Times New Roman" w:hAnsi="Times New Roman"/>
          <w:sz w:val="24"/>
          <w:szCs w:val="24"/>
          <w:shd w:val="clear" w:color="auto" w:fill="FFFFFF"/>
          <w:lang w:val="sr-Cyrl-CS"/>
        </w:rPr>
        <w:t xml:space="preserve"> са ПДВ-ом, </w:t>
      </w:r>
      <w:r w:rsidR="00D55B46">
        <w:rPr>
          <w:rFonts w:ascii="Times New Roman" w:hAnsi="Times New Roman"/>
          <w:sz w:val="24"/>
          <w:szCs w:val="24"/>
          <w:shd w:val="clear" w:color="auto" w:fill="FFFFFF"/>
          <w:lang w:val="sr-Cyrl-CS"/>
        </w:rPr>
        <w:t xml:space="preserve">(само </w:t>
      </w:r>
      <w:r w:rsidR="00696CD2">
        <w:rPr>
          <w:rFonts w:ascii="Times New Roman" w:hAnsi="Times New Roman"/>
          <w:sz w:val="24"/>
          <w:szCs w:val="24"/>
          <w:shd w:val="clear" w:color="auto" w:fill="FFFFFF"/>
          <w:lang w:val="sr-Cyrl-CS"/>
        </w:rPr>
        <w:t>у</w:t>
      </w:r>
      <w:r w:rsidR="00D55B46">
        <w:rPr>
          <w:rFonts w:ascii="Times New Roman" w:hAnsi="Times New Roman"/>
          <w:sz w:val="24"/>
          <w:szCs w:val="24"/>
          <w:shd w:val="clear" w:color="auto" w:fill="FFFFFF"/>
          <w:lang w:val="sr-Cyrl-CS"/>
        </w:rPr>
        <w:t>з одбитак договорене  провизије)</w:t>
      </w:r>
      <w:r w:rsidR="00696CD2">
        <w:rPr>
          <w:rFonts w:ascii="Times New Roman" w:hAnsi="Times New Roman"/>
          <w:sz w:val="24"/>
          <w:szCs w:val="24"/>
          <w:shd w:val="clear" w:color="auto" w:fill="FFFFFF"/>
          <w:lang w:val="sr-Cyrl-CS"/>
        </w:rPr>
        <w:t xml:space="preserve"> враћен у готом новцу. Предузеће које </w:t>
      </w:r>
      <w:r w:rsidR="00D55B46">
        <w:rPr>
          <w:rFonts w:ascii="Times New Roman" w:hAnsi="Times New Roman"/>
          <w:sz w:val="24"/>
          <w:szCs w:val="24"/>
          <w:shd w:val="clear" w:color="auto" w:fill="FFFFFF"/>
          <w:lang w:val="sr-Cyrl-CS"/>
        </w:rPr>
        <w:t xml:space="preserve">је </w:t>
      </w:r>
      <w:r w:rsidR="00696CD2">
        <w:rPr>
          <w:rFonts w:ascii="Times New Roman" w:hAnsi="Times New Roman"/>
          <w:sz w:val="24"/>
          <w:szCs w:val="24"/>
          <w:shd w:val="clear" w:color="auto" w:fill="FFFFFF"/>
          <w:lang w:val="sr-Cyrl-CS"/>
        </w:rPr>
        <w:t>посредник</w:t>
      </w:r>
      <w:r w:rsidR="00D55B46">
        <w:rPr>
          <w:rFonts w:ascii="Times New Roman" w:hAnsi="Times New Roman"/>
          <w:sz w:val="24"/>
          <w:szCs w:val="24"/>
          <w:shd w:val="clear" w:color="auto" w:fill="FFFFFF"/>
          <w:lang w:val="sr-Cyrl-CS"/>
        </w:rPr>
        <w:t xml:space="preserve">, односно перач-предузеће у оваквим трансакцијама, </w:t>
      </w:r>
      <w:r w:rsidR="00696CD2">
        <w:rPr>
          <w:rFonts w:ascii="Times New Roman" w:hAnsi="Times New Roman"/>
          <w:sz w:val="24"/>
          <w:szCs w:val="24"/>
          <w:shd w:val="clear" w:color="auto" w:fill="FFFFFF"/>
          <w:lang w:val="sr-Cyrl-CS"/>
        </w:rPr>
        <w:t xml:space="preserve"> </w:t>
      </w:r>
      <w:r>
        <w:rPr>
          <w:rFonts w:ascii="Times New Roman" w:hAnsi="Times New Roman"/>
          <w:sz w:val="24"/>
          <w:szCs w:val="24"/>
          <w:shd w:val="clear" w:color="auto" w:fill="FFFFFF"/>
          <w:lang w:val="sr-Cyrl-CS"/>
        </w:rPr>
        <w:t>исто тако</w:t>
      </w:r>
      <w:r w:rsidR="00696CD2">
        <w:rPr>
          <w:rFonts w:ascii="Times New Roman" w:hAnsi="Times New Roman"/>
          <w:sz w:val="24"/>
          <w:szCs w:val="24"/>
          <w:shd w:val="clear" w:color="auto" w:fill="FFFFFF"/>
          <w:lang w:val="sr-Cyrl-CS"/>
        </w:rPr>
        <w:t xml:space="preserve"> неосновано користи претходни по</w:t>
      </w:r>
      <w:r w:rsidR="00D55B46">
        <w:rPr>
          <w:rFonts w:ascii="Times New Roman" w:hAnsi="Times New Roman"/>
          <w:sz w:val="24"/>
          <w:szCs w:val="24"/>
          <w:shd w:val="clear" w:color="auto" w:fill="FFFFFF"/>
          <w:lang w:val="sr-Cyrl-CS"/>
        </w:rPr>
        <w:t>рез који је исказан на фактури фантом-</w:t>
      </w:r>
      <w:r>
        <w:rPr>
          <w:rFonts w:ascii="Times New Roman" w:hAnsi="Times New Roman"/>
          <w:sz w:val="24"/>
          <w:szCs w:val="24"/>
          <w:shd w:val="clear" w:color="auto" w:fill="FFFFFF"/>
          <w:lang w:val="sr-Cyrl-CS"/>
        </w:rPr>
        <w:t>предузећа</w:t>
      </w:r>
      <w:r w:rsidR="00696CD2">
        <w:rPr>
          <w:rFonts w:ascii="Times New Roman" w:hAnsi="Times New Roman"/>
          <w:sz w:val="24"/>
          <w:szCs w:val="24"/>
          <w:shd w:val="clear" w:color="auto" w:fill="FFFFFF"/>
          <w:lang w:val="sr-Cyrl-CS"/>
        </w:rPr>
        <w:t xml:space="preserve"> који није плаћен јер </w:t>
      </w:r>
      <w:r>
        <w:rPr>
          <w:rFonts w:ascii="Times New Roman" w:hAnsi="Times New Roman"/>
          <w:sz w:val="24"/>
          <w:szCs w:val="24"/>
          <w:shd w:val="clear" w:color="auto" w:fill="FFFFFF"/>
          <w:lang w:val="sr-Cyrl-CS"/>
        </w:rPr>
        <w:t>промета није ни било и з</w:t>
      </w:r>
      <w:r w:rsidR="00696CD2">
        <w:rPr>
          <w:rFonts w:ascii="Times New Roman" w:hAnsi="Times New Roman"/>
          <w:sz w:val="24"/>
          <w:szCs w:val="24"/>
          <w:shd w:val="clear" w:color="auto" w:fill="FFFFFF"/>
          <w:lang w:val="sr-Cyrl-CS"/>
        </w:rPr>
        <w:t>а тај износ претходног ПДВ-а предузеће</w:t>
      </w:r>
      <w:r w:rsidR="00F85926">
        <w:rPr>
          <w:rFonts w:ascii="Times New Roman" w:hAnsi="Times New Roman"/>
          <w:sz w:val="24"/>
          <w:szCs w:val="24"/>
          <w:shd w:val="clear" w:color="auto" w:fill="FFFFFF"/>
          <w:lang w:val="sr-Cyrl-CS"/>
        </w:rPr>
        <w:t xml:space="preserve"> </w:t>
      </w:r>
      <w:r w:rsidR="00D55B46">
        <w:rPr>
          <w:rFonts w:ascii="Times New Roman" w:hAnsi="Times New Roman"/>
          <w:sz w:val="24"/>
          <w:szCs w:val="24"/>
          <w:shd w:val="clear" w:color="auto" w:fill="FFFFFF"/>
          <w:lang w:val="sr-Cyrl-CS"/>
        </w:rPr>
        <w:t>-</w:t>
      </w:r>
      <w:r w:rsidR="00F85926">
        <w:rPr>
          <w:rFonts w:ascii="Times New Roman" w:hAnsi="Times New Roman"/>
          <w:sz w:val="24"/>
          <w:szCs w:val="24"/>
          <w:shd w:val="clear" w:color="auto" w:fill="FFFFFF"/>
          <w:lang w:val="sr-Cyrl-CS"/>
        </w:rPr>
        <w:t xml:space="preserve"> </w:t>
      </w:r>
      <w:r w:rsidR="00696CD2">
        <w:rPr>
          <w:rFonts w:ascii="Times New Roman" w:hAnsi="Times New Roman"/>
          <w:sz w:val="24"/>
          <w:szCs w:val="24"/>
          <w:shd w:val="clear" w:color="auto" w:fill="FFFFFF"/>
          <w:lang w:val="sr-Cyrl-CS"/>
        </w:rPr>
        <w:t>посредник</w:t>
      </w:r>
      <w:r w:rsidR="00D55B46">
        <w:rPr>
          <w:rFonts w:ascii="Times New Roman" w:hAnsi="Times New Roman"/>
          <w:sz w:val="24"/>
          <w:szCs w:val="24"/>
          <w:shd w:val="clear" w:color="auto" w:fill="FFFFFF"/>
          <w:lang w:val="sr-Cyrl-CS"/>
        </w:rPr>
        <w:t>, односно перач</w:t>
      </w:r>
      <w:r w:rsidR="00F85926">
        <w:rPr>
          <w:rFonts w:ascii="Times New Roman" w:hAnsi="Times New Roman"/>
          <w:sz w:val="24"/>
          <w:szCs w:val="24"/>
          <w:shd w:val="clear" w:color="auto" w:fill="FFFFFF"/>
          <w:lang w:val="sr-Cyrl-CS"/>
        </w:rPr>
        <w:t xml:space="preserve"> </w:t>
      </w:r>
      <w:r w:rsidR="00D55B46">
        <w:rPr>
          <w:rFonts w:ascii="Times New Roman" w:hAnsi="Times New Roman"/>
          <w:sz w:val="24"/>
          <w:szCs w:val="24"/>
          <w:shd w:val="clear" w:color="auto" w:fill="FFFFFF"/>
          <w:lang w:val="sr-Cyrl-CS"/>
        </w:rPr>
        <w:t>-</w:t>
      </w:r>
      <w:r w:rsidR="00F85926">
        <w:rPr>
          <w:rFonts w:ascii="Times New Roman" w:hAnsi="Times New Roman"/>
          <w:sz w:val="24"/>
          <w:szCs w:val="24"/>
          <w:shd w:val="clear" w:color="auto" w:fill="FFFFFF"/>
          <w:lang w:val="sr-Cyrl-CS"/>
        </w:rPr>
        <w:t xml:space="preserve"> </w:t>
      </w:r>
      <w:r w:rsidR="00D55B46">
        <w:rPr>
          <w:rFonts w:ascii="Times New Roman" w:hAnsi="Times New Roman"/>
          <w:sz w:val="24"/>
          <w:szCs w:val="24"/>
          <w:shd w:val="clear" w:color="auto" w:fill="FFFFFF"/>
          <w:lang w:val="sr-Cyrl-CS"/>
        </w:rPr>
        <w:t>предузеће</w:t>
      </w:r>
      <w:r w:rsidR="00696CD2">
        <w:rPr>
          <w:rFonts w:ascii="Times New Roman" w:hAnsi="Times New Roman"/>
          <w:sz w:val="24"/>
          <w:szCs w:val="24"/>
          <w:shd w:val="clear" w:color="auto" w:fill="FFFFFF"/>
          <w:lang w:val="sr-Cyrl-CS"/>
        </w:rPr>
        <w:t xml:space="preserve"> неосновано умањује </w:t>
      </w:r>
      <w:r>
        <w:rPr>
          <w:rFonts w:ascii="Times New Roman" w:hAnsi="Times New Roman"/>
          <w:sz w:val="24"/>
          <w:szCs w:val="24"/>
          <w:shd w:val="clear" w:color="auto" w:fill="FFFFFF"/>
          <w:lang w:val="sr-Cyrl-CS"/>
        </w:rPr>
        <w:t>своју пореску обавезу</w:t>
      </w:r>
      <w:r w:rsidR="00696CD2">
        <w:rPr>
          <w:rFonts w:ascii="Times New Roman" w:hAnsi="Times New Roman"/>
          <w:sz w:val="24"/>
          <w:szCs w:val="24"/>
          <w:shd w:val="clear" w:color="auto" w:fill="FFFFFF"/>
          <w:lang w:val="sr-Cyrl-CS"/>
        </w:rPr>
        <w:t>.</w:t>
      </w:r>
      <w:r w:rsidR="006F3964">
        <w:rPr>
          <w:rStyle w:val="FootnoteReference"/>
          <w:rFonts w:ascii="Times New Roman" w:hAnsi="Times New Roman"/>
          <w:sz w:val="24"/>
          <w:szCs w:val="24"/>
          <w:shd w:val="clear" w:color="auto" w:fill="FFFFFF"/>
          <w:lang w:val="sr-Cyrl-CS"/>
        </w:rPr>
        <w:footnoteReference w:id="410"/>
      </w:r>
      <w:r w:rsidR="00F85926">
        <w:rPr>
          <w:rFonts w:ascii="Times New Roman" w:hAnsi="Times New Roman"/>
          <w:sz w:val="24"/>
          <w:szCs w:val="24"/>
          <w:shd w:val="clear" w:color="auto" w:fill="FFFFFF"/>
          <w:lang w:val="sr-Cyrl-CS"/>
        </w:rPr>
        <w:t xml:space="preserve"> </w:t>
      </w:r>
    </w:p>
    <w:p w:rsidR="00DA4D94" w:rsidRDefault="0056233F" w:rsidP="000436F7">
      <w:pPr>
        <w:ind w:firstLine="708"/>
        <w:jc w:val="both"/>
        <w:rPr>
          <w:rFonts w:ascii="Times New Roman" w:hAnsi="Times New Roman"/>
          <w:sz w:val="24"/>
          <w:szCs w:val="24"/>
          <w:shd w:val="clear" w:color="auto" w:fill="FFFFFF"/>
          <w:lang w:val="sr-Cyrl-CS"/>
        </w:rPr>
      </w:pPr>
      <w:r>
        <w:rPr>
          <w:rFonts w:ascii="Times New Roman" w:hAnsi="Times New Roman"/>
          <w:sz w:val="24"/>
          <w:szCs w:val="24"/>
          <w:shd w:val="clear" w:color="auto" w:fill="FFFFFF"/>
          <w:lang w:val="sr-Cyrl-CS"/>
        </w:rPr>
        <w:t>Тако је предузеће „</w:t>
      </w:r>
      <w:r>
        <w:rPr>
          <w:rFonts w:ascii="Times New Roman" w:hAnsi="Times New Roman"/>
          <w:sz w:val="24"/>
          <w:szCs w:val="24"/>
          <w:shd w:val="clear" w:color="auto" w:fill="FFFFFF"/>
          <w:lang w:val="en-US"/>
        </w:rPr>
        <w:t>B.Y</w:t>
      </w:r>
      <w:r>
        <w:rPr>
          <w:rFonts w:ascii="Times New Roman" w:hAnsi="Times New Roman"/>
          <w:sz w:val="24"/>
          <w:szCs w:val="24"/>
          <w:shd w:val="clear" w:color="auto" w:fill="FFFFFF"/>
          <w:lang w:val="sr-Cyrl-CS"/>
        </w:rPr>
        <w:t>“ из Београда као „перач“ само посредовало између „фантом“ предузећа и регуларних предузећа. То је реализовано тако што су регуларна предузећа, предузећу „</w:t>
      </w:r>
      <w:r>
        <w:rPr>
          <w:rFonts w:ascii="Times New Roman" w:hAnsi="Times New Roman"/>
          <w:sz w:val="24"/>
          <w:szCs w:val="24"/>
          <w:shd w:val="clear" w:color="auto" w:fill="FFFFFF"/>
          <w:lang w:val="en-US"/>
        </w:rPr>
        <w:t>B.Y</w:t>
      </w:r>
      <w:r>
        <w:rPr>
          <w:rFonts w:ascii="Times New Roman" w:hAnsi="Times New Roman"/>
          <w:sz w:val="24"/>
          <w:szCs w:val="24"/>
          <w:shd w:val="clear" w:color="auto" w:fill="FFFFFF"/>
          <w:lang w:val="sr-Cyrl-CS"/>
        </w:rPr>
        <w:t>“ фиктивно фактурисала добра која су већ пласирала на илегалном тржишту, а предузеће „</w:t>
      </w:r>
      <w:r>
        <w:rPr>
          <w:rFonts w:ascii="Times New Roman" w:hAnsi="Times New Roman"/>
          <w:sz w:val="24"/>
          <w:szCs w:val="24"/>
          <w:shd w:val="clear" w:color="auto" w:fill="FFFFFF"/>
          <w:lang w:val="en-US"/>
        </w:rPr>
        <w:t>B.Y</w:t>
      </w:r>
      <w:r>
        <w:rPr>
          <w:rFonts w:ascii="Times New Roman" w:hAnsi="Times New Roman"/>
          <w:sz w:val="24"/>
          <w:szCs w:val="24"/>
          <w:shd w:val="clear" w:color="auto" w:fill="FFFFFF"/>
          <w:lang w:val="sr-Cyrl-CS"/>
        </w:rPr>
        <w:t>“ је регуларним предузећима фактурисало испоруку добара и услуга (са исказаним ПДВ-ом) које су та предузећа већ набавила на илеганом тржишту. Регулана предузећа су вршила безготовинско плаћање на текући рачун „</w:t>
      </w:r>
      <w:r>
        <w:rPr>
          <w:rFonts w:ascii="Times New Roman" w:hAnsi="Times New Roman"/>
          <w:sz w:val="24"/>
          <w:szCs w:val="24"/>
          <w:shd w:val="clear" w:color="auto" w:fill="FFFFFF"/>
          <w:lang w:val="en-US"/>
        </w:rPr>
        <w:t>B.Y</w:t>
      </w:r>
      <w:r>
        <w:rPr>
          <w:rFonts w:ascii="Times New Roman" w:hAnsi="Times New Roman"/>
          <w:sz w:val="24"/>
          <w:szCs w:val="24"/>
          <w:shd w:val="clear" w:color="auto" w:fill="FFFFFF"/>
          <w:lang w:val="sr-Cyrl-CS"/>
        </w:rPr>
        <w:t>“ од којег су назад добијала готовину. Лажно приказујући набавку добара од „</w:t>
      </w:r>
      <w:r w:rsidR="0075137C">
        <w:rPr>
          <w:rFonts w:ascii="Times New Roman" w:hAnsi="Times New Roman"/>
          <w:sz w:val="24"/>
          <w:szCs w:val="24"/>
          <w:shd w:val="clear" w:color="auto" w:fill="FFFFFF"/>
          <w:lang w:val="sr-Cyrl-CS"/>
        </w:rPr>
        <w:t>ф</w:t>
      </w:r>
      <w:r>
        <w:rPr>
          <w:rFonts w:ascii="Times New Roman" w:hAnsi="Times New Roman"/>
          <w:sz w:val="24"/>
          <w:szCs w:val="24"/>
          <w:shd w:val="clear" w:color="auto" w:fill="FFFFFF"/>
          <w:lang w:val="sr-Cyrl-CS"/>
        </w:rPr>
        <w:t>антом“ предузећа у износу од 178</w:t>
      </w:r>
      <w:r w:rsidR="0075137C">
        <w:rPr>
          <w:rFonts w:ascii="Times New Roman" w:hAnsi="Times New Roman"/>
          <w:sz w:val="24"/>
          <w:szCs w:val="24"/>
          <w:shd w:val="clear" w:color="auto" w:fill="FFFFFF"/>
          <w:lang w:val="sr-Cyrl-CS"/>
        </w:rPr>
        <w:t>.1</w:t>
      </w:r>
      <w:r>
        <w:rPr>
          <w:rFonts w:ascii="Times New Roman" w:hAnsi="Times New Roman"/>
          <w:sz w:val="24"/>
          <w:szCs w:val="24"/>
          <w:shd w:val="clear" w:color="auto" w:fill="FFFFFF"/>
          <w:lang w:val="sr-Cyrl-CS"/>
        </w:rPr>
        <w:t>60.841,00 динар, неосновано је искористило права на одбитак претходног пореза у износу до 27.173.840,00 динара који није плаћен у претходној фази промета, јер таквог промета није ни било.</w:t>
      </w:r>
      <w:r w:rsidR="0075137C">
        <w:rPr>
          <w:rStyle w:val="FootnoteReference"/>
          <w:rFonts w:ascii="Times New Roman" w:hAnsi="Times New Roman"/>
          <w:sz w:val="24"/>
          <w:szCs w:val="24"/>
          <w:shd w:val="clear" w:color="auto" w:fill="FFFFFF"/>
          <w:lang w:val="sr-Cyrl-CS"/>
        </w:rPr>
        <w:footnoteReference w:id="411"/>
      </w:r>
    </w:p>
    <w:p w:rsidR="006A1CFD" w:rsidRPr="006A1CFD" w:rsidRDefault="00EB2028" w:rsidP="006A1CFD">
      <w:pPr>
        <w:pStyle w:val="normal0"/>
        <w:shd w:val="clear" w:color="auto" w:fill="FFFFFF"/>
        <w:spacing w:before="48" w:beforeAutospacing="0" w:after="48" w:afterAutospacing="0"/>
        <w:ind w:firstLine="708"/>
        <w:jc w:val="both"/>
        <w:rPr>
          <w:color w:val="000000"/>
          <w:lang w:val="sr-Cyrl-CS"/>
        </w:rPr>
      </w:pPr>
      <w:r>
        <w:rPr>
          <w:color w:val="000000"/>
          <w:lang w:val="sr-Cyrl-CS"/>
        </w:rPr>
        <w:t>Иначе, п</w:t>
      </w:r>
      <w:r w:rsidR="006A1CFD" w:rsidRPr="006A1CFD">
        <w:rPr>
          <w:color w:val="000000"/>
        </w:rPr>
        <w:t>раво на одбитак претходног пореза обвезник може да оствари ако добра набављена у Републици или из увоза, укључујући и набавку опреме, као и објеката за вршење делатности и економски дељивих целина у оквиру тих објеката, односно примљене услуге, користи или ће их користити за промет добара и услуга</w:t>
      </w:r>
      <w:r w:rsidR="006A1CFD" w:rsidRPr="006A1CFD">
        <w:rPr>
          <w:color w:val="000000"/>
          <w:lang w:val="sr-Cyrl-CS"/>
        </w:rPr>
        <w:t xml:space="preserve"> који:</w:t>
      </w:r>
    </w:p>
    <w:p w:rsidR="006A1CFD" w:rsidRPr="006A1CFD" w:rsidRDefault="006A1CFD" w:rsidP="006A1CFD">
      <w:pPr>
        <w:pStyle w:val="normal0"/>
        <w:shd w:val="clear" w:color="auto" w:fill="FFFFFF"/>
        <w:spacing w:before="48" w:beforeAutospacing="0" w:after="48" w:afterAutospacing="0"/>
        <w:ind w:firstLine="708"/>
        <w:jc w:val="both"/>
        <w:rPr>
          <w:color w:val="000000"/>
          <w:lang w:val="sr-Cyrl-CS"/>
        </w:rPr>
      </w:pPr>
      <w:r w:rsidRPr="006A1CFD">
        <w:rPr>
          <w:color w:val="000000"/>
          <w:lang w:val="sr-Cyrl-CS"/>
        </w:rPr>
        <w:t xml:space="preserve"> </w:t>
      </w:r>
    </w:p>
    <w:p w:rsidR="006A1CFD" w:rsidRDefault="006A1CFD" w:rsidP="006A1CFD">
      <w:pPr>
        <w:pStyle w:val="normal0"/>
        <w:shd w:val="clear" w:color="auto" w:fill="FFFFFF"/>
        <w:spacing w:before="48" w:beforeAutospacing="0" w:after="48" w:afterAutospacing="0"/>
        <w:jc w:val="both"/>
        <w:rPr>
          <w:color w:val="000000"/>
          <w:lang w:val="sr-Cyrl-CS"/>
        </w:rPr>
      </w:pPr>
      <w:r w:rsidRPr="006A1CFD">
        <w:rPr>
          <w:color w:val="000000"/>
        </w:rPr>
        <w:t>1) који је опорезив ПДВ;</w:t>
      </w:r>
    </w:p>
    <w:p w:rsidR="004B6685" w:rsidRPr="004B6685" w:rsidRDefault="004B6685" w:rsidP="006A1CFD">
      <w:pPr>
        <w:pStyle w:val="normal0"/>
        <w:shd w:val="clear" w:color="auto" w:fill="FFFFFF"/>
        <w:spacing w:before="48" w:beforeAutospacing="0" w:after="48" w:afterAutospacing="0"/>
        <w:jc w:val="both"/>
        <w:rPr>
          <w:color w:val="000000"/>
          <w:lang w:val="sr-Cyrl-CS"/>
        </w:rPr>
      </w:pPr>
    </w:p>
    <w:p w:rsidR="006A1CFD" w:rsidRDefault="006A1CFD" w:rsidP="006A1CFD">
      <w:pPr>
        <w:pStyle w:val="normal0"/>
        <w:shd w:val="clear" w:color="auto" w:fill="FFFFFF"/>
        <w:spacing w:before="48" w:beforeAutospacing="0" w:after="48" w:afterAutospacing="0"/>
        <w:jc w:val="both"/>
        <w:rPr>
          <w:color w:val="000000"/>
          <w:lang w:val="sr-Cyrl-CS"/>
        </w:rPr>
      </w:pPr>
      <w:r w:rsidRPr="006A1CFD">
        <w:rPr>
          <w:color w:val="000000"/>
        </w:rPr>
        <w:t>2) за који  постоји ослобођење од плаћања ПДВ;</w:t>
      </w:r>
    </w:p>
    <w:p w:rsidR="004B6685" w:rsidRPr="004B6685" w:rsidRDefault="004B6685" w:rsidP="006A1CFD">
      <w:pPr>
        <w:pStyle w:val="normal0"/>
        <w:shd w:val="clear" w:color="auto" w:fill="FFFFFF"/>
        <w:spacing w:before="48" w:beforeAutospacing="0" w:after="48" w:afterAutospacing="0"/>
        <w:jc w:val="both"/>
        <w:rPr>
          <w:color w:val="000000"/>
          <w:lang w:val="sr-Cyrl-CS"/>
        </w:rPr>
      </w:pPr>
    </w:p>
    <w:p w:rsidR="006A1CFD" w:rsidRDefault="006A1CFD" w:rsidP="006A1CFD">
      <w:pPr>
        <w:pStyle w:val="normal0"/>
        <w:shd w:val="clear" w:color="auto" w:fill="FFFFFF"/>
        <w:spacing w:before="48" w:beforeAutospacing="0" w:after="48" w:afterAutospacing="0"/>
        <w:jc w:val="both"/>
        <w:rPr>
          <w:color w:val="000000"/>
          <w:lang w:val="sr-Cyrl-CS"/>
        </w:rPr>
      </w:pPr>
      <w:r w:rsidRPr="006A1CFD">
        <w:rPr>
          <w:color w:val="000000"/>
        </w:rPr>
        <w:t>3) који је извршен у иностранству, ако би за тај промет постојало право на одбитак претходног пореза да је извршен у Републици.</w:t>
      </w:r>
      <w:r w:rsidRPr="006A1CFD">
        <w:rPr>
          <w:rStyle w:val="FootnoteReference"/>
          <w:color w:val="000000"/>
        </w:rPr>
        <w:footnoteReference w:id="412"/>
      </w:r>
    </w:p>
    <w:p w:rsidR="004B6685" w:rsidRPr="004B6685" w:rsidRDefault="004B6685" w:rsidP="006A1CFD">
      <w:pPr>
        <w:pStyle w:val="normal0"/>
        <w:shd w:val="clear" w:color="auto" w:fill="FFFFFF"/>
        <w:spacing w:before="48" w:beforeAutospacing="0" w:after="48" w:afterAutospacing="0"/>
        <w:jc w:val="both"/>
        <w:rPr>
          <w:color w:val="000000"/>
          <w:lang w:val="sr-Cyrl-CS"/>
        </w:rPr>
      </w:pPr>
    </w:p>
    <w:p w:rsidR="006A1CFD" w:rsidRPr="006A1CFD" w:rsidRDefault="006A1CFD" w:rsidP="006A1CFD">
      <w:pPr>
        <w:pStyle w:val="normal0"/>
        <w:shd w:val="clear" w:color="auto" w:fill="FFFFFF"/>
        <w:spacing w:before="48" w:beforeAutospacing="0" w:after="48" w:afterAutospacing="0"/>
        <w:jc w:val="both"/>
        <w:rPr>
          <w:color w:val="000000"/>
          <w:lang w:val="sr-Cyrl-CS"/>
        </w:rPr>
      </w:pPr>
      <w:r w:rsidRPr="006A1CFD">
        <w:rPr>
          <w:color w:val="000000"/>
          <w:lang w:val="sr-Cyrl-CS"/>
        </w:rPr>
        <w:t>Ови материјални услови треба да буду кумулативно испуњени,уз  испуњене формалне услове и то да порески обвезник поседује:</w:t>
      </w:r>
    </w:p>
    <w:p w:rsidR="006A1CFD" w:rsidRPr="006A1CFD" w:rsidRDefault="006A1CFD" w:rsidP="006A1CFD">
      <w:pPr>
        <w:pStyle w:val="normal0"/>
        <w:shd w:val="clear" w:color="auto" w:fill="FFFFFF"/>
        <w:spacing w:before="48" w:beforeAutospacing="0" w:after="48" w:afterAutospacing="0"/>
        <w:jc w:val="both"/>
        <w:rPr>
          <w:color w:val="000000"/>
          <w:lang w:val="sr-Cyrl-CS"/>
        </w:rPr>
      </w:pPr>
    </w:p>
    <w:p w:rsidR="006A1CFD" w:rsidRDefault="006A1CFD" w:rsidP="006A1CFD">
      <w:pPr>
        <w:pStyle w:val="normal0"/>
        <w:shd w:val="clear" w:color="auto" w:fill="FFFFFF"/>
        <w:spacing w:before="48" w:beforeAutospacing="0" w:after="48" w:afterAutospacing="0"/>
        <w:jc w:val="both"/>
        <w:rPr>
          <w:color w:val="000000"/>
          <w:lang w:val="sr-Cyrl-CS"/>
        </w:rPr>
      </w:pPr>
      <w:r w:rsidRPr="006A1CFD">
        <w:rPr>
          <w:color w:val="000000"/>
        </w:rPr>
        <w:t>1) рачун издат од стране другог обвезника у промету о износу претходног пореза;</w:t>
      </w:r>
    </w:p>
    <w:p w:rsidR="004B6685" w:rsidRPr="004B6685" w:rsidRDefault="004B6685" w:rsidP="006A1CFD">
      <w:pPr>
        <w:pStyle w:val="normal0"/>
        <w:shd w:val="clear" w:color="auto" w:fill="FFFFFF"/>
        <w:spacing w:before="48" w:beforeAutospacing="0" w:after="48" w:afterAutospacing="0"/>
        <w:jc w:val="both"/>
        <w:rPr>
          <w:color w:val="000000"/>
          <w:lang w:val="sr-Cyrl-CS"/>
        </w:rPr>
      </w:pPr>
    </w:p>
    <w:p w:rsidR="006A1CFD" w:rsidRPr="006A1CFD" w:rsidRDefault="006A1CFD" w:rsidP="006A1CFD">
      <w:pPr>
        <w:pStyle w:val="normal0"/>
        <w:shd w:val="clear" w:color="auto" w:fill="FFFFFF"/>
        <w:spacing w:before="48" w:beforeAutospacing="0" w:after="48" w:afterAutospacing="0"/>
        <w:jc w:val="both"/>
        <w:rPr>
          <w:color w:val="000000"/>
        </w:rPr>
      </w:pPr>
      <w:r w:rsidRPr="006A1CFD">
        <w:rPr>
          <w:color w:val="000000"/>
        </w:rPr>
        <w:t>2) документ о извршеном увозу добара у којем је исказан претходни порез и документ којим се потврђује да је исказани ПДВ плаћен приликом увоза.</w:t>
      </w:r>
    </w:p>
    <w:p w:rsidR="006A1CFD" w:rsidRDefault="006A1CFD" w:rsidP="006A1CFD">
      <w:pPr>
        <w:shd w:val="clear" w:color="auto" w:fill="FFFFFF"/>
        <w:spacing w:after="0" w:line="285" w:lineRule="atLeast"/>
        <w:jc w:val="both"/>
        <w:rPr>
          <w:rFonts w:ascii="Times New Roman" w:hAnsi="Times New Roman"/>
          <w:color w:val="000000"/>
          <w:sz w:val="24"/>
          <w:szCs w:val="24"/>
          <w:lang w:val="sr-Cyrl-CS"/>
        </w:rPr>
      </w:pPr>
    </w:p>
    <w:p w:rsidR="006A1CFD" w:rsidRDefault="00D11E9B" w:rsidP="006A1CFD">
      <w:pPr>
        <w:shd w:val="clear" w:color="auto" w:fill="FFFFFF"/>
        <w:spacing w:after="0" w:line="285" w:lineRule="atLeast"/>
        <w:ind w:firstLine="708"/>
        <w:jc w:val="both"/>
        <w:rPr>
          <w:rFonts w:ascii="Times New Roman" w:hAnsi="Times New Roman"/>
          <w:color w:val="000000"/>
          <w:sz w:val="24"/>
          <w:szCs w:val="24"/>
          <w:lang w:val="sr-Cyrl-CS"/>
        </w:rPr>
      </w:pPr>
      <w:r>
        <w:rPr>
          <w:rFonts w:ascii="Times New Roman" w:hAnsi="Times New Roman"/>
          <w:color w:val="000000"/>
          <w:sz w:val="24"/>
          <w:szCs w:val="24"/>
          <w:lang w:val="sr-Cyrl-CS"/>
        </w:rPr>
        <w:t>Дакле</w:t>
      </w:r>
      <w:r w:rsidR="006A1CFD">
        <w:rPr>
          <w:rFonts w:ascii="Times New Roman" w:hAnsi="Times New Roman"/>
          <w:color w:val="000000"/>
          <w:sz w:val="24"/>
          <w:szCs w:val="24"/>
          <w:lang w:val="sr-Cyrl-CS"/>
        </w:rPr>
        <w:t xml:space="preserve">, постојање документације (рачун, документ о извршеном увозу) представља формални услов за остваривање права на одбитак претходног пореза. Због тога се користи лажна документација коју не прати стварни промет или је не прати </w:t>
      </w:r>
      <w:r w:rsidR="006A1CFD">
        <w:rPr>
          <w:rFonts w:ascii="Times New Roman" w:hAnsi="Times New Roman"/>
          <w:color w:val="000000"/>
          <w:sz w:val="24"/>
          <w:szCs w:val="24"/>
          <w:lang w:val="sr-Cyrl-CS"/>
        </w:rPr>
        <w:lastRenderedPageBreak/>
        <w:t>промет у истом обиму који је у документации приказан. Са друге стране, коришћење лажних фактура је чест начин у пракси за избегавање плаћања овог пореског облика. Овакве фактуре се могу сачињавати у циљу повећања претходног пореза или их пак уопште не прате било какве испоруке. За ту намену често се користе услуге фантомских предузећа. Сачињавање</w:t>
      </w:r>
      <w:r w:rsidR="002C4B08">
        <w:rPr>
          <w:rFonts w:ascii="Times New Roman" w:hAnsi="Times New Roman"/>
          <w:color w:val="000000"/>
          <w:sz w:val="24"/>
          <w:szCs w:val="24"/>
          <w:lang w:val="sr-Cyrl-CS"/>
        </w:rPr>
        <w:t xml:space="preserve"> лажне докуметације може се врш</w:t>
      </w:r>
      <w:r w:rsidR="006A1CFD">
        <w:rPr>
          <w:rFonts w:ascii="Times New Roman" w:hAnsi="Times New Roman"/>
          <w:color w:val="000000"/>
          <w:sz w:val="24"/>
          <w:szCs w:val="24"/>
          <w:lang w:val="sr-Cyrl-CS"/>
        </w:rPr>
        <w:t>ити накнадно и у случају када су испоруке праћене веродостојним рачунима и без знања испоручиоца. У том случају постоје две исте фактуре за исту набавку. Конролом код добављача се у том случају лако може открити злоупотреба и висина утајеног пореза. Проблем код пословања са фантомским фирмама јесте што се та контрола не може извршити у случају да немају седиште на регистровани</w:t>
      </w:r>
      <w:r w:rsidR="007850DA">
        <w:rPr>
          <w:rFonts w:ascii="Times New Roman" w:hAnsi="Times New Roman"/>
          <w:color w:val="000000"/>
          <w:sz w:val="24"/>
          <w:szCs w:val="24"/>
          <w:lang w:val="sr-Cyrl-CS"/>
        </w:rPr>
        <w:t>м адресама, када су регистрован</w:t>
      </w:r>
      <w:r w:rsidR="007850DA">
        <w:rPr>
          <w:rFonts w:ascii="Times New Roman" w:hAnsi="Times New Roman"/>
          <w:color w:val="000000"/>
          <w:sz w:val="24"/>
          <w:szCs w:val="24"/>
        </w:rPr>
        <w:t>a</w:t>
      </w:r>
      <w:r w:rsidR="006A1CFD">
        <w:rPr>
          <w:rFonts w:ascii="Times New Roman" w:hAnsi="Times New Roman"/>
          <w:color w:val="000000"/>
          <w:sz w:val="24"/>
          <w:szCs w:val="24"/>
          <w:lang w:val="sr-Cyrl-CS"/>
        </w:rPr>
        <w:t xml:space="preserve"> на основу фалсификоване личне карте и слично, па се и не зна ко су прави власници, нити постоји документација о извршеном промету. </w:t>
      </w:r>
    </w:p>
    <w:p w:rsidR="006A1CFD" w:rsidRDefault="006A1CFD" w:rsidP="006A1CFD">
      <w:pPr>
        <w:shd w:val="clear" w:color="auto" w:fill="FFFFFF"/>
        <w:spacing w:after="0" w:line="285" w:lineRule="atLeast"/>
        <w:rPr>
          <w:rFonts w:ascii="Times New Roman" w:hAnsi="Times New Roman"/>
          <w:color w:val="000000"/>
          <w:sz w:val="24"/>
          <w:szCs w:val="24"/>
          <w:lang w:val="sr-Cyrl-CS"/>
        </w:rPr>
      </w:pPr>
      <w:r>
        <w:rPr>
          <w:rFonts w:ascii="Times New Roman" w:hAnsi="Times New Roman"/>
          <w:color w:val="000000"/>
          <w:sz w:val="24"/>
          <w:szCs w:val="24"/>
          <w:lang w:val="sr-Cyrl-CS"/>
        </w:rPr>
        <w:t xml:space="preserve">  </w:t>
      </w:r>
    </w:p>
    <w:p w:rsidR="006A1CFD" w:rsidRDefault="00A84570" w:rsidP="006A1CFD">
      <w:pPr>
        <w:shd w:val="clear" w:color="auto" w:fill="FFFFFF"/>
        <w:spacing w:after="0" w:line="285" w:lineRule="atLeast"/>
        <w:ind w:firstLine="708"/>
        <w:jc w:val="both"/>
        <w:rPr>
          <w:rFonts w:ascii="Times New Roman" w:hAnsi="Times New Roman"/>
          <w:color w:val="000000"/>
          <w:sz w:val="24"/>
          <w:szCs w:val="24"/>
          <w:lang w:val="sr-Cyrl-CS"/>
        </w:rPr>
      </w:pPr>
      <w:r>
        <w:rPr>
          <w:rFonts w:ascii="Times New Roman" w:hAnsi="Times New Roman"/>
          <w:color w:val="000000"/>
          <w:sz w:val="24"/>
          <w:szCs w:val="24"/>
          <w:lang w:val="sr-Cyrl-CS"/>
        </w:rPr>
        <w:t>Имајући у виду наведено</w:t>
      </w:r>
      <w:r w:rsidR="006A1CFD">
        <w:rPr>
          <w:rFonts w:ascii="Times New Roman" w:hAnsi="Times New Roman"/>
          <w:color w:val="000000"/>
          <w:sz w:val="24"/>
          <w:szCs w:val="24"/>
          <w:lang w:val="sr-Cyrl-CS"/>
        </w:rPr>
        <w:t xml:space="preserve">, лажне  фактуре и „услуге“ фантомских фирми пружају широке могућности злоупотреба код повећања претходног пореза у циљу умањења пореске обавезе. Лажне фактуре се прибављају у случају набавке робе „на црно“, као покриће ових нелегалних набавки, како би се покрио овај промет робе, док са друге стране купац води евиденцију „у складу са законом“, јер уколико је рачун формално исправан он може бити прокњижен, без обзира да ли га прати стварна испорука добара или пружање услуга. Потом се поменути лажни рачун користи за остваривање права на одбитак претходног пореза и сви учесници у овом прометном циклусу су на добитку. </w:t>
      </w:r>
    </w:p>
    <w:p w:rsidR="00046AD0" w:rsidRDefault="00046AD0" w:rsidP="006A1CFD">
      <w:pPr>
        <w:shd w:val="clear" w:color="auto" w:fill="FFFFFF"/>
        <w:spacing w:after="0" w:line="285" w:lineRule="atLeast"/>
        <w:ind w:firstLine="708"/>
        <w:jc w:val="both"/>
        <w:rPr>
          <w:rFonts w:ascii="Times New Roman" w:hAnsi="Times New Roman"/>
          <w:color w:val="000000"/>
          <w:sz w:val="24"/>
          <w:szCs w:val="24"/>
          <w:lang w:val="sr-Cyrl-CS"/>
        </w:rPr>
      </w:pPr>
    </w:p>
    <w:p w:rsidR="00046AD0" w:rsidRDefault="00046AD0" w:rsidP="00695AAC">
      <w:pPr>
        <w:shd w:val="clear" w:color="auto" w:fill="FFFFFF"/>
        <w:spacing w:after="0" w:line="285" w:lineRule="atLeast"/>
        <w:ind w:firstLine="708"/>
        <w:jc w:val="both"/>
        <w:rPr>
          <w:rFonts w:ascii="Times New Roman" w:hAnsi="Times New Roman"/>
          <w:color w:val="000000"/>
          <w:sz w:val="24"/>
          <w:szCs w:val="24"/>
          <w:lang w:val="sr-Cyrl-CS"/>
        </w:rPr>
      </w:pPr>
      <w:r>
        <w:rPr>
          <w:rFonts w:ascii="Times New Roman" w:hAnsi="Times New Roman"/>
          <w:color w:val="000000"/>
          <w:sz w:val="24"/>
          <w:szCs w:val="24"/>
          <w:lang w:val="sr-Cyrl-CS"/>
        </w:rPr>
        <w:t>Описане чињенице указују да овакав модус најчешће користе лица чије је дугорочно опредељење утаја пореза односно помагање другима у утаји пореза, уз одговарајући износ провизије. Све ово се чини на веома осмишљен и добро организовани начин што представља додатну друштвену опасност. Ову констатацију протврђује пример предузећа „М.Д.“ из Лазаревца које је током две године избегло плаћање ПДВ-а у укупном износу од 95.334.222,00 динара. Наиме, на основу лажних фактура које су добијене од тзв. „фантом</w:t>
      </w:r>
      <w:r w:rsidR="00695AAC">
        <w:rPr>
          <w:rFonts w:ascii="Times New Roman" w:hAnsi="Times New Roman"/>
          <w:color w:val="000000"/>
          <w:sz w:val="24"/>
          <w:szCs w:val="24"/>
          <w:lang w:val="sr-Cyrl-CS"/>
        </w:rPr>
        <w:t>“ предузећа</w:t>
      </w:r>
      <w:r w:rsidR="000436F7">
        <w:rPr>
          <w:rFonts w:ascii="Times New Roman" w:hAnsi="Times New Roman"/>
          <w:color w:val="000000"/>
          <w:sz w:val="24"/>
          <w:szCs w:val="24"/>
          <w:lang w:val="sr-Cyrl-CS"/>
        </w:rPr>
        <w:t xml:space="preserve"> </w:t>
      </w:r>
      <w:r w:rsidR="00695AAC">
        <w:rPr>
          <w:rFonts w:ascii="Times New Roman" w:hAnsi="Times New Roman"/>
          <w:color w:val="000000"/>
          <w:sz w:val="24"/>
          <w:szCs w:val="24"/>
          <w:lang w:val="sr-Cyrl-CS"/>
        </w:rPr>
        <w:t>-</w:t>
      </w:r>
      <w:r w:rsidR="000436F7">
        <w:rPr>
          <w:rFonts w:ascii="Times New Roman" w:hAnsi="Times New Roman"/>
          <w:color w:val="000000"/>
          <w:sz w:val="24"/>
          <w:szCs w:val="24"/>
          <w:lang w:val="sr-Cyrl-CS"/>
        </w:rPr>
        <w:t xml:space="preserve"> </w:t>
      </w:r>
      <w:r w:rsidR="00695AAC">
        <w:rPr>
          <w:rFonts w:ascii="Times New Roman" w:hAnsi="Times New Roman"/>
          <w:color w:val="000000"/>
          <w:sz w:val="24"/>
          <w:szCs w:val="24"/>
          <w:lang w:val="sr-Cyrl-CS"/>
        </w:rPr>
        <w:t xml:space="preserve">„Н“, „П“ и „С.Б.Б.“, а преко „перача“ –„С.К.“, „Д.Ц.“, „В.“ и др. о наводној набавци добара и услуга у вредности од 624.968.792,00 динара предузеће  „М.Д.“ је неосновано исказало претходни порез у износу од 93.334.222,00 динара и неосновано умањило своју пореску обавезу. Разлог због којег је предузеће „М.Д.“ прибављало лажне фактуре са неосновано исказаним улазним ПДВ-ом је чињеница што је остваривало велику разлику у цени на белој техници  коју је набављало из увоза и продавало је купцима на домаћем тржишту. Како би </w:t>
      </w:r>
      <w:r w:rsidR="000436F7">
        <w:rPr>
          <w:rFonts w:ascii="Times New Roman" w:hAnsi="Times New Roman"/>
          <w:color w:val="000000"/>
          <w:sz w:val="24"/>
          <w:szCs w:val="24"/>
          <w:lang w:val="sr-Cyrl-CS"/>
        </w:rPr>
        <w:t xml:space="preserve">по </w:t>
      </w:r>
      <w:r w:rsidR="00695AAC">
        <w:rPr>
          <w:rFonts w:ascii="Times New Roman" w:hAnsi="Times New Roman"/>
          <w:color w:val="000000"/>
          <w:sz w:val="24"/>
          <w:szCs w:val="24"/>
          <w:lang w:val="sr-Cyrl-CS"/>
        </w:rPr>
        <w:t>то</w:t>
      </w:r>
      <w:r w:rsidR="000436F7">
        <w:rPr>
          <w:rFonts w:ascii="Times New Roman" w:hAnsi="Times New Roman"/>
          <w:color w:val="000000"/>
          <w:sz w:val="24"/>
          <w:szCs w:val="24"/>
          <w:lang w:val="sr-Cyrl-CS"/>
        </w:rPr>
        <w:t>м</w:t>
      </w:r>
      <w:r w:rsidR="00695AAC">
        <w:rPr>
          <w:rFonts w:ascii="Times New Roman" w:hAnsi="Times New Roman"/>
          <w:color w:val="000000"/>
          <w:sz w:val="24"/>
          <w:szCs w:val="24"/>
          <w:lang w:val="sr-Cyrl-CS"/>
        </w:rPr>
        <w:t xml:space="preserve"> основу морало да плати велики износ ПДВ и пореза на добит прибављени су лажни рачуни о набавци добара и услуга са неосновано исказаним улазним ПДВ-ом. Да би умањило порез на добит, за фактурисане услуге по овим рачунима, је увећавало расходе и на тај начин избегло плаћање пореза у износу од 11.778.759,00 динара. </w:t>
      </w:r>
      <w:r w:rsidR="000436F7">
        <w:rPr>
          <w:rFonts w:ascii="Times New Roman" w:hAnsi="Times New Roman"/>
          <w:color w:val="000000"/>
          <w:sz w:val="24"/>
          <w:szCs w:val="24"/>
          <w:lang w:val="sr-Cyrl-CS"/>
        </w:rPr>
        <w:t>Шематски се поменути модус може приказати на следећи начин:</w:t>
      </w:r>
      <w:r w:rsidR="0082705E">
        <w:rPr>
          <w:rStyle w:val="FootnoteReference"/>
          <w:rFonts w:ascii="Times New Roman" w:hAnsi="Times New Roman"/>
          <w:color w:val="000000"/>
          <w:sz w:val="24"/>
          <w:szCs w:val="24"/>
          <w:lang w:val="sr-Cyrl-CS"/>
        </w:rPr>
        <w:footnoteReference w:id="413"/>
      </w:r>
    </w:p>
    <w:p w:rsidR="000436F7" w:rsidRDefault="000436F7" w:rsidP="00695AAC">
      <w:pPr>
        <w:shd w:val="clear" w:color="auto" w:fill="FFFFFF"/>
        <w:spacing w:after="0" w:line="285" w:lineRule="atLeast"/>
        <w:ind w:firstLine="708"/>
        <w:jc w:val="both"/>
        <w:rPr>
          <w:rFonts w:ascii="Times New Roman" w:hAnsi="Times New Roman"/>
          <w:color w:val="000000"/>
          <w:sz w:val="24"/>
          <w:szCs w:val="24"/>
          <w:lang w:val="sr-Cyrl-CS"/>
        </w:rPr>
      </w:pPr>
    </w:p>
    <w:p w:rsidR="000436F7" w:rsidRDefault="000436F7" w:rsidP="00695AAC">
      <w:pPr>
        <w:shd w:val="clear" w:color="auto" w:fill="FFFFFF"/>
        <w:spacing w:after="0" w:line="285" w:lineRule="atLeast"/>
        <w:ind w:firstLine="708"/>
        <w:jc w:val="both"/>
        <w:rPr>
          <w:rFonts w:ascii="Times New Roman" w:hAnsi="Times New Roman"/>
          <w:color w:val="000000"/>
          <w:sz w:val="24"/>
          <w:szCs w:val="24"/>
          <w:lang w:val="sr-Cyrl-CS"/>
        </w:rPr>
      </w:pPr>
    </w:p>
    <w:p w:rsidR="000436F7" w:rsidRDefault="000436F7" w:rsidP="00695AAC">
      <w:pPr>
        <w:shd w:val="clear" w:color="auto" w:fill="FFFFFF"/>
        <w:spacing w:after="0" w:line="285" w:lineRule="atLeast"/>
        <w:ind w:firstLine="708"/>
        <w:jc w:val="both"/>
        <w:rPr>
          <w:rFonts w:ascii="Times New Roman" w:hAnsi="Times New Roman"/>
          <w:color w:val="000000"/>
          <w:sz w:val="24"/>
          <w:szCs w:val="24"/>
          <w:lang w:val="sr-Cyrl-CS"/>
        </w:rPr>
      </w:pPr>
    </w:p>
    <w:p w:rsidR="00A22DD5" w:rsidRDefault="00A22DD5" w:rsidP="00695AAC">
      <w:pPr>
        <w:shd w:val="clear" w:color="auto" w:fill="FFFFFF"/>
        <w:spacing w:after="0" w:line="285" w:lineRule="atLeast"/>
        <w:ind w:firstLine="708"/>
        <w:jc w:val="both"/>
        <w:rPr>
          <w:rFonts w:ascii="Times New Roman" w:hAnsi="Times New Roman"/>
          <w:color w:val="000000"/>
          <w:sz w:val="24"/>
          <w:szCs w:val="24"/>
          <w:lang w:val="sr-Cyrl-CS"/>
        </w:rPr>
      </w:pPr>
    </w:p>
    <w:p w:rsidR="000436F7" w:rsidRDefault="000436F7" w:rsidP="00695AAC">
      <w:pPr>
        <w:shd w:val="clear" w:color="auto" w:fill="FFFFFF"/>
        <w:spacing w:after="0" w:line="285" w:lineRule="atLeast"/>
        <w:ind w:firstLine="708"/>
        <w:jc w:val="both"/>
        <w:rPr>
          <w:rFonts w:ascii="Times New Roman" w:hAnsi="Times New Roman"/>
          <w:color w:val="000000"/>
          <w:sz w:val="24"/>
          <w:szCs w:val="24"/>
          <w:lang w:val="sr-Cyrl-CS"/>
        </w:rPr>
      </w:pPr>
    </w:p>
    <w:p w:rsidR="000436F7" w:rsidRPr="0082705E" w:rsidRDefault="00001DEB" w:rsidP="00695AAC">
      <w:pPr>
        <w:shd w:val="clear" w:color="auto" w:fill="FFFFFF"/>
        <w:spacing w:after="0" w:line="285" w:lineRule="atLeast"/>
        <w:ind w:firstLine="708"/>
        <w:jc w:val="both"/>
        <w:rPr>
          <w:rFonts w:ascii="Times New Roman" w:hAnsi="Times New Roman"/>
          <w:b/>
          <w:color w:val="000000"/>
          <w:sz w:val="24"/>
          <w:szCs w:val="24"/>
          <w:lang w:val="sr-Cyrl-CS"/>
        </w:rPr>
      </w:pPr>
      <w:r>
        <w:rPr>
          <w:rFonts w:ascii="Times New Roman" w:hAnsi="Times New Roman"/>
          <w:b/>
          <w:color w:val="000000"/>
          <w:sz w:val="24"/>
          <w:szCs w:val="24"/>
          <w:lang w:val="sr-Cyrl-CS"/>
        </w:rPr>
        <w:lastRenderedPageBreak/>
        <w:t>Слика 16</w:t>
      </w:r>
      <w:r w:rsidR="0082705E" w:rsidRPr="0082705E">
        <w:rPr>
          <w:rFonts w:ascii="Times New Roman" w:hAnsi="Times New Roman"/>
          <w:b/>
          <w:color w:val="000000"/>
          <w:sz w:val="24"/>
          <w:szCs w:val="24"/>
          <w:lang w:val="sr-Cyrl-CS"/>
        </w:rPr>
        <w:t>.</w:t>
      </w:r>
    </w:p>
    <w:p w:rsidR="000436F7" w:rsidRPr="00695AAC" w:rsidRDefault="000436F7" w:rsidP="000436F7">
      <w:pPr>
        <w:shd w:val="clear" w:color="auto" w:fill="FFFFFF"/>
        <w:spacing w:after="0" w:line="285" w:lineRule="atLeast"/>
        <w:jc w:val="both"/>
        <w:rPr>
          <w:rFonts w:ascii="Times New Roman" w:hAnsi="Times New Roman"/>
          <w:color w:val="000000"/>
          <w:sz w:val="24"/>
          <w:szCs w:val="24"/>
          <w:lang w:val="sr-Cyrl-CS"/>
        </w:rPr>
      </w:pPr>
      <w:r w:rsidRPr="000436F7">
        <w:rPr>
          <w:rFonts w:ascii="Times New Roman" w:hAnsi="Times New Roman"/>
          <w:noProof/>
          <w:color w:val="000000"/>
          <w:sz w:val="24"/>
          <w:szCs w:val="24"/>
        </w:rPr>
        <w:drawing>
          <wp:inline distT="0" distB="0" distL="0" distR="0">
            <wp:extent cx="5760085" cy="4386374"/>
            <wp:effectExtent l="19050" t="0" r="0" b="0"/>
            <wp:docPr id="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srcRect/>
                    <a:stretch>
                      <a:fillRect/>
                    </a:stretch>
                  </pic:blipFill>
                  <pic:spPr bwMode="auto">
                    <a:xfrm>
                      <a:off x="0" y="0"/>
                      <a:ext cx="5760085" cy="4386374"/>
                    </a:xfrm>
                    <a:prstGeom prst="rect">
                      <a:avLst/>
                    </a:prstGeom>
                    <a:noFill/>
                    <a:ln w="9525">
                      <a:noFill/>
                      <a:miter lim="800000"/>
                      <a:headEnd/>
                      <a:tailEnd/>
                    </a:ln>
                  </pic:spPr>
                </pic:pic>
              </a:graphicData>
            </a:graphic>
          </wp:inline>
        </w:drawing>
      </w:r>
    </w:p>
    <w:p w:rsidR="00046AD0" w:rsidRDefault="00046AD0" w:rsidP="006A1CFD">
      <w:pPr>
        <w:shd w:val="clear" w:color="auto" w:fill="FFFFFF"/>
        <w:spacing w:after="0" w:line="285" w:lineRule="atLeast"/>
        <w:ind w:firstLine="708"/>
        <w:jc w:val="both"/>
        <w:rPr>
          <w:rFonts w:ascii="Times New Roman" w:hAnsi="Times New Roman"/>
          <w:color w:val="000000"/>
          <w:sz w:val="24"/>
          <w:szCs w:val="24"/>
          <w:lang w:val="sr-Cyrl-CS"/>
        </w:rPr>
      </w:pPr>
    </w:p>
    <w:p w:rsidR="006A1CFD" w:rsidRDefault="006A1CFD" w:rsidP="006A1CFD">
      <w:pPr>
        <w:shd w:val="clear" w:color="auto" w:fill="FFFFFF"/>
        <w:spacing w:after="0" w:line="285" w:lineRule="atLeast"/>
        <w:jc w:val="both"/>
        <w:rPr>
          <w:rFonts w:ascii="Times New Roman" w:hAnsi="Times New Roman"/>
          <w:color w:val="000000"/>
          <w:sz w:val="24"/>
          <w:szCs w:val="24"/>
          <w:lang w:val="sr-Cyrl-CS"/>
        </w:rPr>
      </w:pPr>
    </w:p>
    <w:p w:rsidR="006A1CFD" w:rsidRDefault="006A1CFD" w:rsidP="006A1CFD">
      <w:pPr>
        <w:shd w:val="clear" w:color="auto" w:fill="FFFFFF"/>
        <w:spacing w:after="0" w:line="285" w:lineRule="atLeast"/>
        <w:jc w:val="both"/>
        <w:rPr>
          <w:rFonts w:ascii="Times New Roman" w:hAnsi="Times New Roman"/>
          <w:color w:val="000000"/>
          <w:sz w:val="24"/>
          <w:szCs w:val="24"/>
          <w:lang w:val="sr-Cyrl-CS"/>
        </w:rPr>
      </w:pPr>
      <w:r>
        <w:rPr>
          <w:rFonts w:ascii="Times New Roman" w:hAnsi="Times New Roman"/>
          <w:color w:val="000000"/>
          <w:sz w:val="24"/>
          <w:szCs w:val="24"/>
          <w:lang w:val="sr-Cyrl-CS"/>
        </w:rPr>
        <w:tab/>
        <w:t xml:space="preserve">Лажне фактуре прати  безготовинско плаћање фантомским фирмама, након чега се новчана средства подижу са рачуна и враћају примаоцу робе или услуга, уз задржавање провизије у одређеном проценту од стране фантомске фирме. Самим тим, фантомска фирма неосновано користи претходни порез исказан у лажној фактури за фиктивне испоруке. Примљеном готовином купац потом располаже у различите сврхе, које су често незаконите, као што су делатности у оквирима привредног криминала и корупције. </w:t>
      </w:r>
    </w:p>
    <w:p w:rsidR="00C46B15" w:rsidRDefault="00C46B15" w:rsidP="00AE3990">
      <w:pPr>
        <w:jc w:val="both"/>
        <w:rPr>
          <w:rFonts w:ascii="Times New Roman" w:hAnsi="Times New Roman"/>
          <w:color w:val="000000"/>
          <w:sz w:val="24"/>
          <w:szCs w:val="24"/>
          <w:lang w:val="sr-Cyrl-CS"/>
        </w:rPr>
      </w:pPr>
    </w:p>
    <w:p w:rsidR="004B6685" w:rsidRDefault="004B6685" w:rsidP="00AE3990">
      <w:pPr>
        <w:jc w:val="both"/>
        <w:rPr>
          <w:rFonts w:ascii="Times New Roman" w:hAnsi="Times New Roman"/>
          <w:sz w:val="24"/>
          <w:szCs w:val="24"/>
          <w:shd w:val="clear" w:color="auto" w:fill="FFFFFF"/>
          <w:lang w:val="sr-Cyrl-CS"/>
        </w:rPr>
      </w:pPr>
    </w:p>
    <w:p w:rsidR="00FE1702" w:rsidRDefault="00FE1702" w:rsidP="00AE3990">
      <w:pPr>
        <w:jc w:val="both"/>
        <w:rPr>
          <w:rFonts w:ascii="Times New Roman" w:hAnsi="Times New Roman"/>
          <w:sz w:val="24"/>
          <w:szCs w:val="24"/>
          <w:shd w:val="clear" w:color="auto" w:fill="FFFFFF"/>
          <w:lang w:val="sr-Cyrl-CS"/>
        </w:rPr>
      </w:pPr>
    </w:p>
    <w:p w:rsidR="00FE1702" w:rsidRDefault="00FE1702" w:rsidP="00AE3990">
      <w:pPr>
        <w:jc w:val="both"/>
        <w:rPr>
          <w:rFonts w:ascii="Times New Roman" w:hAnsi="Times New Roman"/>
          <w:sz w:val="24"/>
          <w:szCs w:val="24"/>
          <w:shd w:val="clear" w:color="auto" w:fill="FFFFFF"/>
          <w:lang w:val="sr-Cyrl-CS"/>
        </w:rPr>
      </w:pPr>
    </w:p>
    <w:p w:rsidR="00FE1702" w:rsidRDefault="00FE1702" w:rsidP="00AE3990">
      <w:pPr>
        <w:jc w:val="both"/>
        <w:rPr>
          <w:rFonts w:ascii="Times New Roman" w:hAnsi="Times New Roman"/>
          <w:sz w:val="24"/>
          <w:szCs w:val="24"/>
          <w:shd w:val="clear" w:color="auto" w:fill="FFFFFF"/>
          <w:lang w:val="sr-Cyrl-CS"/>
        </w:rPr>
      </w:pPr>
    </w:p>
    <w:p w:rsidR="00A22DD5" w:rsidRDefault="00A22DD5" w:rsidP="00AE3990">
      <w:pPr>
        <w:jc w:val="both"/>
        <w:rPr>
          <w:rFonts w:ascii="Times New Roman" w:hAnsi="Times New Roman"/>
          <w:sz w:val="24"/>
          <w:szCs w:val="24"/>
          <w:shd w:val="clear" w:color="auto" w:fill="FFFFFF"/>
          <w:lang w:val="sr-Cyrl-CS"/>
        </w:rPr>
      </w:pPr>
    </w:p>
    <w:p w:rsidR="00A22DD5" w:rsidRPr="006F3964" w:rsidRDefault="00A22DD5" w:rsidP="00AE3990">
      <w:pPr>
        <w:jc w:val="both"/>
        <w:rPr>
          <w:rFonts w:ascii="Times New Roman" w:hAnsi="Times New Roman"/>
          <w:sz w:val="24"/>
          <w:szCs w:val="24"/>
          <w:shd w:val="clear" w:color="auto" w:fill="FFFFFF"/>
          <w:lang w:val="sr-Cyrl-CS"/>
        </w:rPr>
      </w:pPr>
    </w:p>
    <w:p w:rsidR="00CB33BC" w:rsidRDefault="00612C4D" w:rsidP="00612C4D">
      <w:pPr>
        <w:jc w:val="center"/>
        <w:rPr>
          <w:rFonts w:ascii="Times New Roman" w:hAnsi="Times New Roman"/>
          <w:b/>
          <w:sz w:val="24"/>
          <w:szCs w:val="24"/>
          <w:shd w:val="clear" w:color="auto" w:fill="FFFFFF"/>
          <w:lang w:val="sr-Cyrl-CS"/>
        </w:rPr>
      </w:pPr>
      <w:r>
        <w:rPr>
          <w:rFonts w:ascii="Times New Roman" w:hAnsi="Times New Roman"/>
          <w:b/>
          <w:sz w:val="24"/>
          <w:szCs w:val="24"/>
          <w:shd w:val="clear" w:color="auto" w:fill="FFFFFF"/>
          <w:lang w:val="sr-Cyrl-CS"/>
        </w:rPr>
        <w:lastRenderedPageBreak/>
        <w:t>5.2.6.3. Избегавање пореза на додату вредност неподношењем пореске и евиденционе пријаве</w:t>
      </w:r>
    </w:p>
    <w:p w:rsidR="004B6685" w:rsidRPr="00612C4D" w:rsidRDefault="004B6685" w:rsidP="00612C4D">
      <w:pPr>
        <w:jc w:val="center"/>
        <w:rPr>
          <w:rFonts w:ascii="Times New Roman" w:hAnsi="Times New Roman"/>
          <w:b/>
          <w:sz w:val="24"/>
          <w:szCs w:val="24"/>
          <w:shd w:val="clear" w:color="auto" w:fill="FFFFFF"/>
          <w:lang w:val="sr-Cyrl-CS"/>
        </w:rPr>
      </w:pPr>
    </w:p>
    <w:p w:rsidR="00C46B15" w:rsidRDefault="00C46B15" w:rsidP="006E5E89">
      <w:pPr>
        <w:pStyle w:val="normal0"/>
        <w:shd w:val="clear" w:color="auto" w:fill="FFFFFF"/>
        <w:spacing w:before="48" w:beforeAutospacing="0" w:after="48" w:afterAutospacing="0"/>
        <w:ind w:firstLine="708"/>
        <w:jc w:val="both"/>
        <w:rPr>
          <w:color w:val="000000"/>
          <w:lang w:val="sr-Cyrl-CS"/>
        </w:rPr>
      </w:pPr>
    </w:p>
    <w:p w:rsidR="00171709" w:rsidRPr="00FB5A28" w:rsidRDefault="00034227" w:rsidP="00FB5A28">
      <w:pPr>
        <w:jc w:val="both"/>
        <w:rPr>
          <w:rFonts w:ascii="Times New Roman" w:hAnsi="Times New Roman"/>
          <w:sz w:val="24"/>
          <w:szCs w:val="24"/>
          <w:lang w:val="sr-Cyrl-CS"/>
        </w:rPr>
      </w:pPr>
      <w:r w:rsidRPr="00FB5A28">
        <w:rPr>
          <w:rFonts w:ascii="Times New Roman" w:hAnsi="Times New Roman"/>
          <w:sz w:val="24"/>
          <w:szCs w:val="24"/>
          <w:lang w:val="sr-Cyrl-CS"/>
        </w:rPr>
        <w:t>Према одредби чл. 37. Закона о порезу на додату вредност о</w:t>
      </w:r>
      <w:r w:rsidR="006E5E89" w:rsidRPr="00FB5A28">
        <w:rPr>
          <w:rFonts w:ascii="Times New Roman" w:hAnsi="Times New Roman"/>
          <w:sz w:val="24"/>
          <w:szCs w:val="24"/>
        </w:rPr>
        <w:t>бвезник</w:t>
      </w:r>
      <w:r w:rsidR="00171709" w:rsidRPr="00FB5A28">
        <w:rPr>
          <w:rFonts w:ascii="Times New Roman" w:hAnsi="Times New Roman"/>
          <w:sz w:val="24"/>
          <w:szCs w:val="24"/>
        </w:rPr>
        <w:t xml:space="preserve"> </w:t>
      </w:r>
      <w:r w:rsidR="006E5E89" w:rsidRPr="00FB5A28">
        <w:rPr>
          <w:rFonts w:ascii="Times New Roman" w:hAnsi="Times New Roman"/>
          <w:sz w:val="24"/>
          <w:szCs w:val="24"/>
        </w:rPr>
        <w:t>је</w:t>
      </w:r>
      <w:r w:rsidR="00171709" w:rsidRPr="00FB5A28">
        <w:rPr>
          <w:rFonts w:ascii="Times New Roman" w:hAnsi="Times New Roman"/>
          <w:sz w:val="24"/>
          <w:szCs w:val="24"/>
        </w:rPr>
        <w:t xml:space="preserve"> </w:t>
      </w:r>
      <w:r w:rsidR="006E5E89" w:rsidRPr="00FB5A28">
        <w:rPr>
          <w:rFonts w:ascii="Times New Roman" w:hAnsi="Times New Roman"/>
          <w:sz w:val="24"/>
          <w:szCs w:val="24"/>
        </w:rPr>
        <w:t>дужан</w:t>
      </w:r>
      <w:r w:rsidR="00171709" w:rsidRPr="00FB5A28">
        <w:rPr>
          <w:rFonts w:ascii="Times New Roman" w:hAnsi="Times New Roman"/>
          <w:sz w:val="24"/>
          <w:szCs w:val="24"/>
        </w:rPr>
        <w:t xml:space="preserve"> </w:t>
      </w:r>
      <w:r w:rsidR="006E5E89" w:rsidRPr="00FB5A28">
        <w:rPr>
          <w:rFonts w:ascii="Times New Roman" w:hAnsi="Times New Roman"/>
          <w:sz w:val="24"/>
          <w:szCs w:val="24"/>
        </w:rPr>
        <w:t>да</w:t>
      </w:r>
      <w:r w:rsidR="00171709" w:rsidRPr="00FB5A28">
        <w:rPr>
          <w:rFonts w:ascii="Times New Roman" w:hAnsi="Times New Roman"/>
          <w:sz w:val="24"/>
          <w:szCs w:val="24"/>
        </w:rPr>
        <w:t>:</w:t>
      </w:r>
    </w:p>
    <w:p w:rsidR="00034227" w:rsidRPr="00FB5A28" w:rsidRDefault="00034227" w:rsidP="00FB5A28">
      <w:pPr>
        <w:jc w:val="both"/>
        <w:rPr>
          <w:rFonts w:ascii="Times New Roman" w:hAnsi="Times New Roman"/>
          <w:sz w:val="24"/>
          <w:szCs w:val="24"/>
          <w:lang w:val="sr-Cyrl-CS"/>
        </w:rPr>
      </w:pPr>
    </w:p>
    <w:p w:rsidR="00171709" w:rsidRPr="00FB5A28" w:rsidRDefault="00171709" w:rsidP="00FB5A28">
      <w:pPr>
        <w:jc w:val="both"/>
        <w:rPr>
          <w:rFonts w:ascii="Times New Roman" w:hAnsi="Times New Roman"/>
          <w:sz w:val="24"/>
          <w:szCs w:val="24"/>
        </w:rPr>
      </w:pPr>
      <w:r w:rsidRPr="00FB5A28">
        <w:rPr>
          <w:rFonts w:ascii="Times New Roman" w:hAnsi="Times New Roman"/>
          <w:sz w:val="24"/>
          <w:szCs w:val="24"/>
        </w:rPr>
        <w:t xml:space="preserve">1) </w:t>
      </w:r>
      <w:r w:rsidR="006E5E89" w:rsidRPr="00FB5A28">
        <w:rPr>
          <w:rFonts w:ascii="Times New Roman" w:hAnsi="Times New Roman"/>
          <w:sz w:val="24"/>
          <w:szCs w:val="24"/>
        </w:rPr>
        <w:t>поднесе</w:t>
      </w:r>
      <w:r w:rsidRPr="00FB5A28">
        <w:rPr>
          <w:rFonts w:ascii="Times New Roman" w:hAnsi="Times New Roman"/>
          <w:sz w:val="24"/>
          <w:szCs w:val="24"/>
        </w:rPr>
        <w:t xml:space="preserve"> </w:t>
      </w:r>
      <w:r w:rsidR="006E5E89" w:rsidRPr="00FB5A28">
        <w:rPr>
          <w:rFonts w:ascii="Times New Roman" w:hAnsi="Times New Roman"/>
          <w:sz w:val="24"/>
          <w:szCs w:val="24"/>
        </w:rPr>
        <w:t>евиденциону</w:t>
      </w:r>
      <w:r w:rsidRPr="00FB5A28">
        <w:rPr>
          <w:rFonts w:ascii="Times New Roman" w:hAnsi="Times New Roman"/>
          <w:sz w:val="24"/>
          <w:szCs w:val="24"/>
        </w:rPr>
        <w:t xml:space="preserve"> </w:t>
      </w:r>
      <w:r w:rsidR="006E5E89" w:rsidRPr="00FB5A28">
        <w:rPr>
          <w:rFonts w:ascii="Times New Roman" w:hAnsi="Times New Roman"/>
          <w:sz w:val="24"/>
          <w:szCs w:val="24"/>
        </w:rPr>
        <w:t>пријаву</w:t>
      </w:r>
      <w:r w:rsidRPr="00FB5A28">
        <w:rPr>
          <w:rFonts w:ascii="Times New Roman" w:hAnsi="Times New Roman"/>
          <w:sz w:val="24"/>
          <w:szCs w:val="24"/>
        </w:rPr>
        <w:t>;</w:t>
      </w:r>
    </w:p>
    <w:p w:rsidR="00171709" w:rsidRPr="00FB5A28" w:rsidRDefault="00171709" w:rsidP="00FB5A28">
      <w:pPr>
        <w:jc w:val="both"/>
        <w:rPr>
          <w:rFonts w:ascii="Times New Roman" w:hAnsi="Times New Roman"/>
          <w:sz w:val="24"/>
          <w:szCs w:val="24"/>
        </w:rPr>
      </w:pPr>
      <w:r w:rsidRPr="00FB5A28">
        <w:rPr>
          <w:rFonts w:ascii="Times New Roman" w:hAnsi="Times New Roman"/>
          <w:sz w:val="24"/>
          <w:szCs w:val="24"/>
        </w:rPr>
        <w:t xml:space="preserve">2) </w:t>
      </w:r>
      <w:r w:rsidR="006E5E89" w:rsidRPr="00FB5A28">
        <w:rPr>
          <w:rFonts w:ascii="Times New Roman" w:hAnsi="Times New Roman"/>
          <w:sz w:val="24"/>
          <w:szCs w:val="24"/>
        </w:rPr>
        <w:t>издаје</w:t>
      </w:r>
      <w:r w:rsidRPr="00FB5A28">
        <w:rPr>
          <w:rFonts w:ascii="Times New Roman" w:hAnsi="Times New Roman"/>
          <w:sz w:val="24"/>
          <w:szCs w:val="24"/>
        </w:rPr>
        <w:t xml:space="preserve"> </w:t>
      </w:r>
      <w:r w:rsidR="006E5E89" w:rsidRPr="00FB5A28">
        <w:rPr>
          <w:rFonts w:ascii="Times New Roman" w:hAnsi="Times New Roman"/>
          <w:sz w:val="24"/>
          <w:szCs w:val="24"/>
        </w:rPr>
        <w:t>рачуне</w:t>
      </w:r>
      <w:r w:rsidRPr="00FB5A28">
        <w:rPr>
          <w:rFonts w:ascii="Times New Roman" w:hAnsi="Times New Roman"/>
          <w:sz w:val="24"/>
          <w:szCs w:val="24"/>
        </w:rPr>
        <w:t xml:space="preserve"> </w:t>
      </w:r>
      <w:r w:rsidR="006E5E89" w:rsidRPr="00FB5A28">
        <w:rPr>
          <w:rFonts w:ascii="Times New Roman" w:hAnsi="Times New Roman"/>
          <w:sz w:val="24"/>
          <w:szCs w:val="24"/>
        </w:rPr>
        <w:t>о</w:t>
      </w:r>
      <w:r w:rsidRPr="00FB5A28">
        <w:rPr>
          <w:rFonts w:ascii="Times New Roman" w:hAnsi="Times New Roman"/>
          <w:sz w:val="24"/>
          <w:szCs w:val="24"/>
        </w:rPr>
        <w:t xml:space="preserve"> </w:t>
      </w:r>
      <w:r w:rsidR="006E5E89" w:rsidRPr="00FB5A28">
        <w:rPr>
          <w:rFonts w:ascii="Times New Roman" w:hAnsi="Times New Roman"/>
          <w:sz w:val="24"/>
          <w:szCs w:val="24"/>
        </w:rPr>
        <w:t>извршеном</w:t>
      </w:r>
      <w:r w:rsidRPr="00FB5A28">
        <w:rPr>
          <w:rFonts w:ascii="Times New Roman" w:hAnsi="Times New Roman"/>
          <w:sz w:val="24"/>
          <w:szCs w:val="24"/>
        </w:rPr>
        <w:t xml:space="preserve"> </w:t>
      </w:r>
      <w:r w:rsidR="006E5E89" w:rsidRPr="00FB5A28">
        <w:rPr>
          <w:rFonts w:ascii="Times New Roman" w:hAnsi="Times New Roman"/>
          <w:sz w:val="24"/>
          <w:szCs w:val="24"/>
        </w:rPr>
        <w:t>промету</w:t>
      </w:r>
      <w:r w:rsidRPr="00FB5A28">
        <w:rPr>
          <w:rFonts w:ascii="Times New Roman" w:hAnsi="Times New Roman"/>
          <w:sz w:val="24"/>
          <w:szCs w:val="24"/>
        </w:rPr>
        <w:t xml:space="preserve"> </w:t>
      </w:r>
      <w:r w:rsidR="006E5E89" w:rsidRPr="00FB5A28">
        <w:rPr>
          <w:rFonts w:ascii="Times New Roman" w:hAnsi="Times New Roman"/>
          <w:sz w:val="24"/>
          <w:szCs w:val="24"/>
        </w:rPr>
        <w:t>добара</w:t>
      </w:r>
      <w:r w:rsidRPr="00FB5A28">
        <w:rPr>
          <w:rFonts w:ascii="Times New Roman" w:hAnsi="Times New Roman"/>
          <w:sz w:val="24"/>
          <w:szCs w:val="24"/>
        </w:rPr>
        <w:t xml:space="preserve"> </w:t>
      </w:r>
      <w:r w:rsidR="006E5E89" w:rsidRPr="00FB5A28">
        <w:rPr>
          <w:rFonts w:ascii="Times New Roman" w:hAnsi="Times New Roman"/>
          <w:sz w:val="24"/>
          <w:szCs w:val="24"/>
        </w:rPr>
        <w:t>и</w:t>
      </w:r>
      <w:r w:rsidRPr="00FB5A28">
        <w:rPr>
          <w:rFonts w:ascii="Times New Roman" w:hAnsi="Times New Roman"/>
          <w:sz w:val="24"/>
          <w:szCs w:val="24"/>
        </w:rPr>
        <w:t xml:space="preserve"> </w:t>
      </w:r>
      <w:r w:rsidR="006E5E89" w:rsidRPr="00FB5A28">
        <w:rPr>
          <w:rFonts w:ascii="Times New Roman" w:hAnsi="Times New Roman"/>
          <w:sz w:val="24"/>
          <w:szCs w:val="24"/>
        </w:rPr>
        <w:t>услуга</w:t>
      </w:r>
      <w:r w:rsidRPr="00FB5A28">
        <w:rPr>
          <w:rFonts w:ascii="Times New Roman" w:hAnsi="Times New Roman"/>
          <w:sz w:val="24"/>
          <w:szCs w:val="24"/>
        </w:rPr>
        <w:t>;</w:t>
      </w:r>
    </w:p>
    <w:p w:rsidR="00171709" w:rsidRPr="00FB5A28" w:rsidRDefault="00171709" w:rsidP="00FB5A28">
      <w:pPr>
        <w:jc w:val="both"/>
        <w:rPr>
          <w:rFonts w:ascii="Times New Roman" w:hAnsi="Times New Roman"/>
          <w:sz w:val="24"/>
          <w:szCs w:val="24"/>
        </w:rPr>
      </w:pPr>
      <w:r w:rsidRPr="00FB5A28">
        <w:rPr>
          <w:rFonts w:ascii="Times New Roman" w:hAnsi="Times New Roman"/>
          <w:sz w:val="24"/>
          <w:szCs w:val="24"/>
        </w:rPr>
        <w:t xml:space="preserve">3) </w:t>
      </w:r>
      <w:r w:rsidR="006E5E89" w:rsidRPr="00FB5A28">
        <w:rPr>
          <w:rFonts w:ascii="Times New Roman" w:hAnsi="Times New Roman"/>
          <w:sz w:val="24"/>
          <w:szCs w:val="24"/>
        </w:rPr>
        <w:t>води</w:t>
      </w:r>
      <w:r w:rsidRPr="00FB5A28">
        <w:rPr>
          <w:rFonts w:ascii="Times New Roman" w:hAnsi="Times New Roman"/>
          <w:sz w:val="24"/>
          <w:szCs w:val="24"/>
        </w:rPr>
        <w:t xml:space="preserve"> </w:t>
      </w:r>
      <w:r w:rsidR="006E5E89" w:rsidRPr="00FB5A28">
        <w:rPr>
          <w:rFonts w:ascii="Times New Roman" w:hAnsi="Times New Roman"/>
          <w:sz w:val="24"/>
          <w:szCs w:val="24"/>
        </w:rPr>
        <w:t>евиденцију</w:t>
      </w:r>
      <w:r w:rsidRPr="00FB5A28">
        <w:rPr>
          <w:rFonts w:ascii="Times New Roman" w:hAnsi="Times New Roman"/>
          <w:sz w:val="24"/>
          <w:szCs w:val="24"/>
        </w:rPr>
        <w:t xml:space="preserve"> </w:t>
      </w:r>
      <w:r w:rsidR="006E5E89" w:rsidRPr="00FB5A28">
        <w:rPr>
          <w:rFonts w:ascii="Times New Roman" w:hAnsi="Times New Roman"/>
          <w:sz w:val="24"/>
          <w:szCs w:val="24"/>
        </w:rPr>
        <w:t>у</w:t>
      </w:r>
      <w:r w:rsidRPr="00FB5A28">
        <w:rPr>
          <w:rFonts w:ascii="Times New Roman" w:hAnsi="Times New Roman"/>
          <w:sz w:val="24"/>
          <w:szCs w:val="24"/>
        </w:rPr>
        <w:t xml:space="preserve"> </w:t>
      </w:r>
      <w:r w:rsidR="006E5E89" w:rsidRPr="00FB5A28">
        <w:rPr>
          <w:rFonts w:ascii="Times New Roman" w:hAnsi="Times New Roman"/>
          <w:sz w:val="24"/>
          <w:szCs w:val="24"/>
        </w:rPr>
        <w:t>складу</w:t>
      </w:r>
      <w:r w:rsidRPr="00FB5A28">
        <w:rPr>
          <w:rFonts w:ascii="Times New Roman" w:hAnsi="Times New Roman"/>
          <w:sz w:val="24"/>
          <w:szCs w:val="24"/>
        </w:rPr>
        <w:t xml:space="preserve"> </w:t>
      </w:r>
      <w:r w:rsidR="006E5E89" w:rsidRPr="00FB5A28">
        <w:rPr>
          <w:rFonts w:ascii="Times New Roman" w:hAnsi="Times New Roman"/>
          <w:sz w:val="24"/>
          <w:szCs w:val="24"/>
        </w:rPr>
        <w:t>са</w:t>
      </w:r>
      <w:r w:rsidRPr="00FB5A28">
        <w:rPr>
          <w:rFonts w:ascii="Times New Roman" w:hAnsi="Times New Roman"/>
          <w:sz w:val="24"/>
          <w:szCs w:val="24"/>
        </w:rPr>
        <w:t xml:space="preserve"> </w:t>
      </w:r>
      <w:r w:rsidR="006E5E89" w:rsidRPr="00FB5A28">
        <w:rPr>
          <w:rFonts w:ascii="Times New Roman" w:hAnsi="Times New Roman"/>
          <w:sz w:val="24"/>
          <w:szCs w:val="24"/>
        </w:rPr>
        <w:t>овим</w:t>
      </w:r>
      <w:r w:rsidRPr="00FB5A28">
        <w:rPr>
          <w:rFonts w:ascii="Times New Roman" w:hAnsi="Times New Roman"/>
          <w:sz w:val="24"/>
          <w:szCs w:val="24"/>
        </w:rPr>
        <w:t xml:space="preserve"> </w:t>
      </w:r>
      <w:r w:rsidR="006E5E89" w:rsidRPr="00FB5A28">
        <w:rPr>
          <w:rFonts w:ascii="Times New Roman" w:hAnsi="Times New Roman"/>
          <w:sz w:val="24"/>
          <w:szCs w:val="24"/>
        </w:rPr>
        <w:t>законом</w:t>
      </w:r>
      <w:r w:rsidRPr="00FB5A28">
        <w:rPr>
          <w:rFonts w:ascii="Times New Roman" w:hAnsi="Times New Roman"/>
          <w:sz w:val="24"/>
          <w:szCs w:val="24"/>
        </w:rPr>
        <w:t>;</w:t>
      </w:r>
    </w:p>
    <w:p w:rsidR="00171709" w:rsidRPr="00FB5A28" w:rsidRDefault="00171709" w:rsidP="00FB5A28">
      <w:pPr>
        <w:jc w:val="both"/>
        <w:rPr>
          <w:rFonts w:ascii="Times New Roman" w:hAnsi="Times New Roman"/>
          <w:sz w:val="24"/>
          <w:szCs w:val="24"/>
        </w:rPr>
      </w:pPr>
      <w:r w:rsidRPr="00FB5A28">
        <w:rPr>
          <w:rFonts w:ascii="Times New Roman" w:hAnsi="Times New Roman"/>
          <w:sz w:val="24"/>
          <w:szCs w:val="24"/>
        </w:rPr>
        <w:t xml:space="preserve">4) </w:t>
      </w:r>
      <w:r w:rsidR="006E5E89" w:rsidRPr="00FB5A28">
        <w:rPr>
          <w:rFonts w:ascii="Times New Roman" w:hAnsi="Times New Roman"/>
          <w:sz w:val="24"/>
          <w:szCs w:val="24"/>
        </w:rPr>
        <w:t>обрачунава</w:t>
      </w:r>
      <w:r w:rsidRPr="00FB5A28">
        <w:rPr>
          <w:rFonts w:ascii="Times New Roman" w:hAnsi="Times New Roman"/>
          <w:sz w:val="24"/>
          <w:szCs w:val="24"/>
        </w:rPr>
        <w:t xml:space="preserve"> </w:t>
      </w:r>
      <w:r w:rsidR="006E5E89" w:rsidRPr="00FB5A28">
        <w:rPr>
          <w:rFonts w:ascii="Times New Roman" w:hAnsi="Times New Roman"/>
          <w:sz w:val="24"/>
          <w:szCs w:val="24"/>
        </w:rPr>
        <w:t>и</w:t>
      </w:r>
      <w:r w:rsidRPr="00FB5A28">
        <w:rPr>
          <w:rFonts w:ascii="Times New Roman" w:hAnsi="Times New Roman"/>
          <w:sz w:val="24"/>
          <w:szCs w:val="24"/>
        </w:rPr>
        <w:t xml:space="preserve"> </w:t>
      </w:r>
      <w:r w:rsidR="006E5E89" w:rsidRPr="00FB5A28">
        <w:rPr>
          <w:rFonts w:ascii="Times New Roman" w:hAnsi="Times New Roman"/>
          <w:sz w:val="24"/>
          <w:szCs w:val="24"/>
        </w:rPr>
        <w:t>плаћа</w:t>
      </w:r>
      <w:r w:rsidRPr="00FB5A28">
        <w:rPr>
          <w:rFonts w:ascii="Times New Roman" w:hAnsi="Times New Roman"/>
          <w:sz w:val="24"/>
          <w:szCs w:val="24"/>
        </w:rPr>
        <w:t xml:space="preserve"> </w:t>
      </w:r>
      <w:r w:rsidR="006E5E89" w:rsidRPr="00FB5A28">
        <w:rPr>
          <w:rFonts w:ascii="Times New Roman" w:hAnsi="Times New Roman"/>
          <w:sz w:val="24"/>
          <w:szCs w:val="24"/>
        </w:rPr>
        <w:t>ПДВ</w:t>
      </w:r>
      <w:r w:rsidRPr="00FB5A28">
        <w:rPr>
          <w:rFonts w:ascii="Times New Roman" w:hAnsi="Times New Roman"/>
          <w:sz w:val="24"/>
          <w:szCs w:val="24"/>
        </w:rPr>
        <w:t xml:space="preserve"> </w:t>
      </w:r>
      <w:r w:rsidR="006E5E89" w:rsidRPr="00FB5A28">
        <w:rPr>
          <w:rFonts w:ascii="Times New Roman" w:hAnsi="Times New Roman"/>
          <w:sz w:val="24"/>
          <w:szCs w:val="24"/>
        </w:rPr>
        <w:t>и</w:t>
      </w:r>
      <w:r w:rsidRPr="00FB5A28">
        <w:rPr>
          <w:rFonts w:ascii="Times New Roman" w:hAnsi="Times New Roman"/>
          <w:sz w:val="24"/>
          <w:szCs w:val="24"/>
        </w:rPr>
        <w:t xml:space="preserve"> </w:t>
      </w:r>
      <w:r w:rsidR="006E5E89" w:rsidRPr="00FB5A28">
        <w:rPr>
          <w:rFonts w:ascii="Times New Roman" w:hAnsi="Times New Roman"/>
          <w:sz w:val="24"/>
          <w:szCs w:val="24"/>
        </w:rPr>
        <w:t>подноси</w:t>
      </w:r>
      <w:r w:rsidRPr="00FB5A28">
        <w:rPr>
          <w:rFonts w:ascii="Times New Roman" w:hAnsi="Times New Roman"/>
          <w:sz w:val="24"/>
          <w:szCs w:val="24"/>
        </w:rPr>
        <w:t xml:space="preserve"> </w:t>
      </w:r>
      <w:r w:rsidR="006E5E89" w:rsidRPr="00FB5A28">
        <w:rPr>
          <w:rFonts w:ascii="Times New Roman" w:hAnsi="Times New Roman"/>
          <w:sz w:val="24"/>
          <w:szCs w:val="24"/>
        </w:rPr>
        <w:t>пореске</w:t>
      </w:r>
      <w:r w:rsidRPr="00FB5A28">
        <w:rPr>
          <w:rFonts w:ascii="Times New Roman" w:hAnsi="Times New Roman"/>
          <w:sz w:val="24"/>
          <w:szCs w:val="24"/>
        </w:rPr>
        <w:t xml:space="preserve"> </w:t>
      </w:r>
      <w:r w:rsidR="006E5E89" w:rsidRPr="00FB5A28">
        <w:rPr>
          <w:rFonts w:ascii="Times New Roman" w:hAnsi="Times New Roman"/>
          <w:sz w:val="24"/>
          <w:szCs w:val="24"/>
        </w:rPr>
        <w:t>пријаве</w:t>
      </w:r>
      <w:r w:rsidRPr="00FB5A28">
        <w:rPr>
          <w:rFonts w:ascii="Times New Roman" w:hAnsi="Times New Roman"/>
          <w:sz w:val="24"/>
          <w:szCs w:val="24"/>
        </w:rPr>
        <w:t>;</w:t>
      </w:r>
    </w:p>
    <w:p w:rsidR="006B39AA" w:rsidRPr="00FB5A28" w:rsidRDefault="00171709" w:rsidP="00FB5A28">
      <w:pPr>
        <w:jc w:val="both"/>
        <w:rPr>
          <w:rFonts w:ascii="Times New Roman" w:hAnsi="Times New Roman"/>
          <w:sz w:val="24"/>
          <w:szCs w:val="24"/>
          <w:lang w:val="sr-Cyrl-CS"/>
        </w:rPr>
      </w:pPr>
      <w:r w:rsidRPr="00FB5A28">
        <w:rPr>
          <w:rFonts w:ascii="Times New Roman" w:hAnsi="Times New Roman"/>
          <w:sz w:val="24"/>
          <w:szCs w:val="24"/>
        </w:rPr>
        <w:t xml:space="preserve">5) </w:t>
      </w:r>
      <w:r w:rsidR="006E5E89" w:rsidRPr="00FB5A28">
        <w:rPr>
          <w:rFonts w:ascii="Times New Roman" w:hAnsi="Times New Roman"/>
          <w:sz w:val="24"/>
          <w:szCs w:val="24"/>
        </w:rPr>
        <w:t>доставља</w:t>
      </w:r>
      <w:r w:rsidRPr="00FB5A28">
        <w:rPr>
          <w:rFonts w:ascii="Times New Roman" w:hAnsi="Times New Roman"/>
          <w:sz w:val="24"/>
          <w:szCs w:val="24"/>
        </w:rPr>
        <w:t xml:space="preserve"> </w:t>
      </w:r>
      <w:r w:rsidR="006E5E89" w:rsidRPr="00FB5A28">
        <w:rPr>
          <w:rFonts w:ascii="Times New Roman" w:hAnsi="Times New Roman"/>
          <w:sz w:val="24"/>
          <w:szCs w:val="24"/>
        </w:rPr>
        <w:t>обавештења</w:t>
      </w:r>
      <w:r w:rsidRPr="00FB5A28">
        <w:rPr>
          <w:rFonts w:ascii="Times New Roman" w:hAnsi="Times New Roman"/>
          <w:sz w:val="24"/>
          <w:szCs w:val="24"/>
        </w:rPr>
        <w:t xml:space="preserve"> </w:t>
      </w:r>
      <w:r w:rsidR="006E5E89" w:rsidRPr="00FB5A28">
        <w:rPr>
          <w:rFonts w:ascii="Times New Roman" w:hAnsi="Times New Roman"/>
          <w:sz w:val="24"/>
          <w:szCs w:val="24"/>
        </w:rPr>
        <w:t>пореском</w:t>
      </w:r>
      <w:r w:rsidRPr="00FB5A28">
        <w:rPr>
          <w:rFonts w:ascii="Times New Roman" w:hAnsi="Times New Roman"/>
          <w:sz w:val="24"/>
          <w:szCs w:val="24"/>
        </w:rPr>
        <w:t xml:space="preserve"> </w:t>
      </w:r>
      <w:r w:rsidR="006E5E89" w:rsidRPr="00FB5A28">
        <w:rPr>
          <w:rFonts w:ascii="Times New Roman" w:hAnsi="Times New Roman"/>
          <w:sz w:val="24"/>
          <w:szCs w:val="24"/>
        </w:rPr>
        <w:t>органу</w:t>
      </w:r>
      <w:r w:rsidRPr="00FB5A28">
        <w:rPr>
          <w:rFonts w:ascii="Times New Roman" w:hAnsi="Times New Roman"/>
          <w:sz w:val="24"/>
          <w:szCs w:val="24"/>
        </w:rPr>
        <w:t xml:space="preserve"> </w:t>
      </w:r>
      <w:r w:rsidR="006E5E89" w:rsidRPr="00FB5A28">
        <w:rPr>
          <w:rFonts w:ascii="Times New Roman" w:hAnsi="Times New Roman"/>
          <w:sz w:val="24"/>
          <w:szCs w:val="24"/>
        </w:rPr>
        <w:t>у</w:t>
      </w:r>
      <w:r w:rsidRPr="00FB5A28">
        <w:rPr>
          <w:rFonts w:ascii="Times New Roman" w:hAnsi="Times New Roman"/>
          <w:sz w:val="24"/>
          <w:szCs w:val="24"/>
        </w:rPr>
        <w:t xml:space="preserve"> </w:t>
      </w:r>
      <w:r w:rsidR="006E5E89" w:rsidRPr="00FB5A28">
        <w:rPr>
          <w:rFonts w:ascii="Times New Roman" w:hAnsi="Times New Roman"/>
          <w:sz w:val="24"/>
          <w:szCs w:val="24"/>
        </w:rPr>
        <w:t>складу</w:t>
      </w:r>
      <w:r w:rsidRPr="00FB5A28">
        <w:rPr>
          <w:rFonts w:ascii="Times New Roman" w:hAnsi="Times New Roman"/>
          <w:sz w:val="24"/>
          <w:szCs w:val="24"/>
        </w:rPr>
        <w:t xml:space="preserve"> </w:t>
      </w:r>
      <w:r w:rsidR="006E5E89" w:rsidRPr="00FB5A28">
        <w:rPr>
          <w:rFonts w:ascii="Times New Roman" w:hAnsi="Times New Roman"/>
          <w:sz w:val="24"/>
          <w:szCs w:val="24"/>
        </w:rPr>
        <w:t>са</w:t>
      </w:r>
      <w:r w:rsidRPr="00FB5A28">
        <w:rPr>
          <w:rFonts w:ascii="Times New Roman" w:hAnsi="Times New Roman"/>
          <w:sz w:val="24"/>
          <w:szCs w:val="24"/>
        </w:rPr>
        <w:t xml:space="preserve"> </w:t>
      </w:r>
      <w:r w:rsidR="006E5E89" w:rsidRPr="00FB5A28">
        <w:rPr>
          <w:rFonts w:ascii="Times New Roman" w:hAnsi="Times New Roman"/>
          <w:sz w:val="24"/>
          <w:szCs w:val="24"/>
        </w:rPr>
        <w:t>овим</w:t>
      </w:r>
      <w:r w:rsidRPr="00FB5A28">
        <w:rPr>
          <w:rFonts w:ascii="Times New Roman" w:hAnsi="Times New Roman"/>
          <w:sz w:val="24"/>
          <w:szCs w:val="24"/>
        </w:rPr>
        <w:t xml:space="preserve"> </w:t>
      </w:r>
      <w:r w:rsidR="006E5E89" w:rsidRPr="00FB5A28">
        <w:rPr>
          <w:rFonts w:ascii="Times New Roman" w:hAnsi="Times New Roman"/>
          <w:sz w:val="24"/>
          <w:szCs w:val="24"/>
        </w:rPr>
        <w:t>законом</w:t>
      </w:r>
      <w:r w:rsidRPr="00FB5A28">
        <w:rPr>
          <w:rFonts w:ascii="Times New Roman" w:hAnsi="Times New Roman"/>
          <w:sz w:val="24"/>
          <w:szCs w:val="24"/>
        </w:rPr>
        <w:t>.</w:t>
      </w:r>
    </w:p>
    <w:p w:rsidR="00171709" w:rsidRPr="00FB5A28" w:rsidRDefault="006B39AA" w:rsidP="00FB5A28">
      <w:pPr>
        <w:ind w:firstLine="708"/>
        <w:jc w:val="both"/>
        <w:rPr>
          <w:rFonts w:ascii="Times New Roman" w:hAnsi="Times New Roman"/>
          <w:sz w:val="24"/>
          <w:szCs w:val="24"/>
          <w:lang w:val="sr-Cyrl-CS"/>
        </w:rPr>
      </w:pPr>
      <w:r w:rsidRPr="00FB5A28">
        <w:rPr>
          <w:rFonts w:ascii="Times New Roman" w:hAnsi="Times New Roman"/>
          <w:sz w:val="24"/>
          <w:szCs w:val="24"/>
          <w:lang w:val="sr-Cyrl-CS"/>
        </w:rPr>
        <w:t xml:space="preserve">Неподношењем пореске пријаве порески обвезник поступа у супротности са законском обавезом. </w:t>
      </w:r>
      <w:r w:rsidR="006E5E89" w:rsidRPr="00FB5A28">
        <w:rPr>
          <w:rFonts w:ascii="Times New Roman" w:hAnsi="Times New Roman"/>
          <w:sz w:val="24"/>
          <w:szCs w:val="24"/>
        </w:rPr>
        <w:t>Обвезник</w:t>
      </w:r>
      <w:r w:rsidR="00171709" w:rsidRPr="00FB5A28">
        <w:rPr>
          <w:rFonts w:ascii="Times New Roman" w:hAnsi="Times New Roman"/>
          <w:sz w:val="24"/>
          <w:szCs w:val="24"/>
        </w:rPr>
        <w:t xml:space="preserve"> </w:t>
      </w:r>
      <w:r w:rsidR="006E5E89" w:rsidRPr="00FB5A28">
        <w:rPr>
          <w:rFonts w:ascii="Times New Roman" w:hAnsi="Times New Roman"/>
          <w:sz w:val="24"/>
          <w:szCs w:val="24"/>
        </w:rPr>
        <w:t>за</w:t>
      </w:r>
      <w:r w:rsidR="00171709" w:rsidRPr="00FB5A28">
        <w:rPr>
          <w:rFonts w:ascii="Times New Roman" w:hAnsi="Times New Roman"/>
          <w:sz w:val="24"/>
          <w:szCs w:val="24"/>
        </w:rPr>
        <w:t xml:space="preserve"> </w:t>
      </w:r>
      <w:r w:rsidR="006E5E89" w:rsidRPr="00FB5A28">
        <w:rPr>
          <w:rFonts w:ascii="Times New Roman" w:hAnsi="Times New Roman"/>
          <w:sz w:val="24"/>
          <w:szCs w:val="24"/>
        </w:rPr>
        <w:t>кога</w:t>
      </w:r>
      <w:r w:rsidR="00171709" w:rsidRPr="00FB5A28">
        <w:rPr>
          <w:rFonts w:ascii="Times New Roman" w:hAnsi="Times New Roman"/>
          <w:sz w:val="24"/>
          <w:szCs w:val="24"/>
        </w:rPr>
        <w:t xml:space="preserve"> </w:t>
      </w:r>
      <w:r w:rsidR="006E5E89" w:rsidRPr="00FB5A28">
        <w:rPr>
          <w:rFonts w:ascii="Times New Roman" w:hAnsi="Times New Roman"/>
          <w:sz w:val="24"/>
          <w:szCs w:val="24"/>
        </w:rPr>
        <w:t>је</w:t>
      </w:r>
      <w:r w:rsidR="00171709" w:rsidRPr="00FB5A28">
        <w:rPr>
          <w:rFonts w:ascii="Times New Roman" w:hAnsi="Times New Roman"/>
          <w:sz w:val="24"/>
          <w:szCs w:val="24"/>
        </w:rPr>
        <w:t xml:space="preserve"> </w:t>
      </w:r>
      <w:r w:rsidR="006E5E89" w:rsidRPr="00FB5A28">
        <w:rPr>
          <w:rFonts w:ascii="Times New Roman" w:hAnsi="Times New Roman"/>
          <w:sz w:val="24"/>
          <w:szCs w:val="24"/>
        </w:rPr>
        <w:t>порески</w:t>
      </w:r>
      <w:r w:rsidR="00171709" w:rsidRPr="00FB5A28">
        <w:rPr>
          <w:rFonts w:ascii="Times New Roman" w:hAnsi="Times New Roman"/>
          <w:sz w:val="24"/>
          <w:szCs w:val="24"/>
        </w:rPr>
        <w:t xml:space="preserve"> </w:t>
      </w:r>
      <w:r w:rsidR="006E5E89" w:rsidRPr="00FB5A28">
        <w:rPr>
          <w:rFonts w:ascii="Times New Roman" w:hAnsi="Times New Roman"/>
          <w:sz w:val="24"/>
          <w:szCs w:val="24"/>
        </w:rPr>
        <w:t>период</w:t>
      </w:r>
      <w:r w:rsidR="00171709" w:rsidRPr="00FB5A28">
        <w:rPr>
          <w:rFonts w:ascii="Times New Roman" w:hAnsi="Times New Roman"/>
          <w:sz w:val="24"/>
          <w:szCs w:val="24"/>
        </w:rPr>
        <w:t xml:space="preserve"> </w:t>
      </w:r>
      <w:r w:rsidR="006E5E89" w:rsidRPr="00FB5A28">
        <w:rPr>
          <w:rFonts w:ascii="Times New Roman" w:hAnsi="Times New Roman"/>
          <w:sz w:val="24"/>
          <w:szCs w:val="24"/>
        </w:rPr>
        <w:t>календарски</w:t>
      </w:r>
      <w:r w:rsidR="00171709" w:rsidRPr="00FB5A28">
        <w:rPr>
          <w:rFonts w:ascii="Times New Roman" w:hAnsi="Times New Roman"/>
          <w:sz w:val="24"/>
          <w:szCs w:val="24"/>
        </w:rPr>
        <w:t xml:space="preserve"> </w:t>
      </w:r>
      <w:r w:rsidR="006E5E89" w:rsidRPr="00FB5A28">
        <w:rPr>
          <w:rFonts w:ascii="Times New Roman" w:hAnsi="Times New Roman"/>
          <w:sz w:val="24"/>
          <w:szCs w:val="24"/>
        </w:rPr>
        <w:t>месец</w:t>
      </w:r>
      <w:r w:rsidR="00171709" w:rsidRPr="00FB5A28">
        <w:rPr>
          <w:rFonts w:ascii="Times New Roman" w:hAnsi="Times New Roman"/>
          <w:sz w:val="24"/>
          <w:szCs w:val="24"/>
        </w:rPr>
        <w:t xml:space="preserve"> </w:t>
      </w:r>
      <w:r w:rsidR="006E5E89" w:rsidRPr="00FB5A28">
        <w:rPr>
          <w:rFonts w:ascii="Times New Roman" w:hAnsi="Times New Roman"/>
          <w:sz w:val="24"/>
          <w:szCs w:val="24"/>
        </w:rPr>
        <w:t>подноси</w:t>
      </w:r>
      <w:r w:rsidR="00171709" w:rsidRPr="00FB5A28">
        <w:rPr>
          <w:rFonts w:ascii="Times New Roman" w:hAnsi="Times New Roman"/>
          <w:sz w:val="24"/>
          <w:szCs w:val="24"/>
        </w:rPr>
        <w:t xml:space="preserve"> </w:t>
      </w:r>
      <w:r w:rsidR="006E5E89" w:rsidRPr="00FB5A28">
        <w:rPr>
          <w:rFonts w:ascii="Times New Roman" w:hAnsi="Times New Roman"/>
          <w:sz w:val="24"/>
          <w:szCs w:val="24"/>
        </w:rPr>
        <w:t>пореску</w:t>
      </w:r>
      <w:r w:rsidR="00171709" w:rsidRPr="00FB5A28">
        <w:rPr>
          <w:rFonts w:ascii="Times New Roman" w:hAnsi="Times New Roman"/>
          <w:sz w:val="24"/>
          <w:szCs w:val="24"/>
        </w:rPr>
        <w:t xml:space="preserve"> </w:t>
      </w:r>
      <w:r w:rsidR="006E5E89" w:rsidRPr="00FB5A28">
        <w:rPr>
          <w:rFonts w:ascii="Times New Roman" w:hAnsi="Times New Roman"/>
          <w:sz w:val="24"/>
          <w:szCs w:val="24"/>
        </w:rPr>
        <w:t>пријаву</w:t>
      </w:r>
      <w:r w:rsidR="00171709" w:rsidRPr="00FB5A28">
        <w:rPr>
          <w:rFonts w:ascii="Times New Roman" w:hAnsi="Times New Roman"/>
          <w:sz w:val="24"/>
          <w:szCs w:val="24"/>
        </w:rPr>
        <w:t xml:space="preserve"> </w:t>
      </w:r>
      <w:r w:rsidR="006E5E89" w:rsidRPr="00FB5A28">
        <w:rPr>
          <w:rFonts w:ascii="Times New Roman" w:hAnsi="Times New Roman"/>
          <w:sz w:val="24"/>
          <w:szCs w:val="24"/>
        </w:rPr>
        <w:t>надлежном</w:t>
      </w:r>
      <w:r w:rsidR="00171709" w:rsidRPr="00FB5A28">
        <w:rPr>
          <w:rFonts w:ascii="Times New Roman" w:hAnsi="Times New Roman"/>
          <w:sz w:val="24"/>
          <w:szCs w:val="24"/>
        </w:rPr>
        <w:t xml:space="preserve"> </w:t>
      </w:r>
      <w:r w:rsidR="006E5E89" w:rsidRPr="00FB5A28">
        <w:rPr>
          <w:rFonts w:ascii="Times New Roman" w:hAnsi="Times New Roman"/>
          <w:sz w:val="24"/>
          <w:szCs w:val="24"/>
        </w:rPr>
        <w:t>пореском</w:t>
      </w:r>
      <w:r w:rsidR="00171709" w:rsidRPr="00FB5A28">
        <w:rPr>
          <w:rFonts w:ascii="Times New Roman" w:hAnsi="Times New Roman"/>
          <w:sz w:val="24"/>
          <w:szCs w:val="24"/>
        </w:rPr>
        <w:t xml:space="preserve"> </w:t>
      </w:r>
      <w:r w:rsidR="006E5E89" w:rsidRPr="00FB5A28">
        <w:rPr>
          <w:rFonts w:ascii="Times New Roman" w:hAnsi="Times New Roman"/>
          <w:sz w:val="24"/>
          <w:szCs w:val="24"/>
        </w:rPr>
        <w:t>органу</w:t>
      </w:r>
      <w:r w:rsidR="00171709" w:rsidRPr="00FB5A28">
        <w:rPr>
          <w:rFonts w:ascii="Times New Roman" w:hAnsi="Times New Roman"/>
          <w:sz w:val="24"/>
          <w:szCs w:val="24"/>
        </w:rPr>
        <w:t xml:space="preserve"> </w:t>
      </w:r>
      <w:r w:rsidR="006E5E89" w:rsidRPr="00FB5A28">
        <w:rPr>
          <w:rFonts w:ascii="Times New Roman" w:hAnsi="Times New Roman"/>
          <w:sz w:val="24"/>
          <w:szCs w:val="24"/>
        </w:rPr>
        <w:t>на</w:t>
      </w:r>
      <w:r w:rsidR="00171709" w:rsidRPr="00FB5A28">
        <w:rPr>
          <w:rFonts w:ascii="Times New Roman" w:hAnsi="Times New Roman"/>
          <w:sz w:val="24"/>
          <w:szCs w:val="24"/>
        </w:rPr>
        <w:t xml:space="preserve"> </w:t>
      </w:r>
      <w:r w:rsidR="006E5E89" w:rsidRPr="00FB5A28">
        <w:rPr>
          <w:rFonts w:ascii="Times New Roman" w:hAnsi="Times New Roman"/>
          <w:sz w:val="24"/>
          <w:szCs w:val="24"/>
        </w:rPr>
        <w:t>прописаном</w:t>
      </w:r>
      <w:r w:rsidR="00171709" w:rsidRPr="00FB5A28">
        <w:rPr>
          <w:rFonts w:ascii="Times New Roman" w:hAnsi="Times New Roman"/>
          <w:sz w:val="24"/>
          <w:szCs w:val="24"/>
        </w:rPr>
        <w:t xml:space="preserve"> </w:t>
      </w:r>
      <w:r w:rsidR="006E5E89" w:rsidRPr="00FB5A28">
        <w:rPr>
          <w:rFonts w:ascii="Times New Roman" w:hAnsi="Times New Roman"/>
          <w:sz w:val="24"/>
          <w:szCs w:val="24"/>
        </w:rPr>
        <w:t>обрасцу</w:t>
      </w:r>
      <w:r w:rsidR="00171709" w:rsidRPr="00FB5A28">
        <w:rPr>
          <w:rFonts w:ascii="Times New Roman" w:hAnsi="Times New Roman"/>
          <w:sz w:val="24"/>
          <w:szCs w:val="24"/>
        </w:rPr>
        <w:t xml:space="preserve">, </w:t>
      </w:r>
      <w:r w:rsidR="006E5E89" w:rsidRPr="00FB5A28">
        <w:rPr>
          <w:rFonts w:ascii="Times New Roman" w:hAnsi="Times New Roman"/>
          <w:sz w:val="24"/>
          <w:szCs w:val="24"/>
        </w:rPr>
        <w:t>у</w:t>
      </w:r>
      <w:r w:rsidR="00171709" w:rsidRPr="00FB5A28">
        <w:rPr>
          <w:rFonts w:ascii="Times New Roman" w:hAnsi="Times New Roman"/>
          <w:sz w:val="24"/>
          <w:szCs w:val="24"/>
        </w:rPr>
        <w:t xml:space="preserve"> </w:t>
      </w:r>
      <w:r w:rsidR="006E5E89" w:rsidRPr="00FB5A28">
        <w:rPr>
          <w:rFonts w:ascii="Times New Roman" w:hAnsi="Times New Roman"/>
          <w:sz w:val="24"/>
          <w:szCs w:val="24"/>
        </w:rPr>
        <w:t>року</w:t>
      </w:r>
      <w:r w:rsidR="00171709" w:rsidRPr="00FB5A28">
        <w:rPr>
          <w:rFonts w:ascii="Times New Roman" w:hAnsi="Times New Roman"/>
          <w:sz w:val="24"/>
          <w:szCs w:val="24"/>
        </w:rPr>
        <w:t xml:space="preserve"> </w:t>
      </w:r>
      <w:r w:rsidR="006E5E89" w:rsidRPr="00FB5A28">
        <w:rPr>
          <w:rFonts w:ascii="Times New Roman" w:hAnsi="Times New Roman"/>
          <w:sz w:val="24"/>
          <w:szCs w:val="24"/>
        </w:rPr>
        <w:t>од</w:t>
      </w:r>
      <w:r w:rsidR="00171709" w:rsidRPr="00FB5A28">
        <w:rPr>
          <w:rFonts w:ascii="Times New Roman" w:hAnsi="Times New Roman"/>
          <w:sz w:val="24"/>
          <w:szCs w:val="24"/>
        </w:rPr>
        <w:t xml:space="preserve"> 15 </w:t>
      </w:r>
      <w:r w:rsidR="006E5E89" w:rsidRPr="00FB5A28">
        <w:rPr>
          <w:rFonts w:ascii="Times New Roman" w:hAnsi="Times New Roman"/>
          <w:sz w:val="24"/>
          <w:szCs w:val="24"/>
        </w:rPr>
        <w:t>дана</w:t>
      </w:r>
      <w:r w:rsidR="00171709" w:rsidRPr="00FB5A28">
        <w:rPr>
          <w:rFonts w:ascii="Times New Roman" w:hAnsi="Times New Roman"/>
          <w:sz w:val="24"/>
          <w:szCs w:val="24"/>
        </w:rPr>
        <w:t xml:space="preserve"> </w:t>
      </w:r>
      <w:r w:rsidR="006E5E89" w:rsidRPr="00FB5A28">
        <w:rPr>
          <w:rFonts w:ascii="Times New Roman" w:hAnsi="Times New Roman"/>
          <w:sz w:val="24"/>
          <w:szCs w:val="24"/>
        </w:rPr>
        <w:t>по</w:t>
      </w:r>
      <w:r w:rsidR="00171709" w:rsidRPr="00FB5A28">
        <w:rPr>
          <w:rFonts w:ascii="Times New Roman" w:hAnsi="Times New Roman"/>
          <w:sz w:val="24"/>
          <w:szCs w:val="24"/>
        </w:rPr>
        <w:t xml:space="preserve"> </w:t>
      </w:r>
      <w:r w:rsidR="006E5E89" w:rsidRPr="00FB5A28">
        <w:rPr>
          <w:rFonts w:ascii="Times New Roman" w:hAnsi="Times New Roman"/>
          <w:sz w:val="24"/>
          <w:szCs w:val="24"/>
        </w:rPr>
        <w:t>истеку</w:t>
      </w:r>
      <w:r w:rsidR="00171709" w:rsidRPr="00FB5A28">
        <w:rPr>
          <w:rFonts w:ascii="Times New Roman" w:hAnsi="Times New Roman"/>
          <w:sz w:val="24"/>
          <w:szCs w:val="24"/>
        </w:rPr>
        <w:t xml:space="preserve"> </w:t>
      </w:r>
      <w:r w:rsidR="006E5E89" w:rsidRPr="00FB5A28">
        <w:rPr>
          <w:rFonts w:ascii="Times New Roman" w:hAnsi="Times New Roman"/>
          <w:sz w:val="24"/>
          <w:szCs w:val="24"/>
        </w:rPr>
        <w:t>пореског</w:t>
      </w:r>
      <w:r w:rsidR="00171709" w:rsidRPr="00FB5A28">
        <w:rPr>
          <w:rFonts w:ascii="Times New Roman" w:hAnsi="Times New Roman"/>
          <w:sz w:val="24"/>
          <w:szCs w:val="24"/>
        </w:rPr>
        <w:t xml:space="preserve"> </w:t>
      </w:r>
      <w:r w:rsidR="006E5E89" w:rsidRPr="00FB5A28">
        <w:rPr>
          <w:rFonts w:ascii="Times New Roman" w:hAnsi="Times New Roman"/>
          <w:sz w:val="24"/>
          <w:szCs w:val="24"/>
        </w:rPr>
        <w:t>периода</w:t>
      </w:r>
      <w:r w:rsidR="00171709" w:rsidRPr="00FB5A28">
        <w:rPr>
          <w:rFonts w:ascii="Times New Roman" w:hAnsi="Times New Roman"/>
          <w:sz w:val="24"/>
          <w:szCs w:val="24"/>
        </w:rPr>
        <w:t>.</w:t>
      </w:r>
      <w:r w:rsidR="006E5E89" w:rsidRPr="00FB5A28">
        <w:rPr>
          <w:rFonts w:ascii="Times New Roman" w:hAnsi="Times New Roman"/>
          <w:sz w:val="24"/>
          <w:szCs w:val="24"/>
          <w:lang w:val="sr-Cyrl-CS"/>
        </w:rPr>
        <w:t xml:space="preserve"> </w:t>
      </w:r>
      <w:r w:rsidR="006E5E89" w:rsidRPr="00FB5A28">
        <w:rPr>
          <w:rFonts w:ascii="Times New Roman" w:hAnsi="Times New Roman"/>
          <w:sz w:val="24"/>
          <w:szCs w:val="24"/>
        </w:rPr>
        <w:t>Обвезник</w:t>
      </w:r>
      <w:r w:rsidR="00171709" w:rsidRPr="00FB5A28">
        <w:rPr>
          <w:rFonts w:ascii="Times New Roman" w:hAnsi="Times New Roman"/>
          <w:sz w:val="24"/>
          <w:szCs w:val="24"/>
        </w:rPr>
        <w:t xml:space="preserve"> </w:t>
      </w:r>
      <w:r w:rsidR="006E5E89" w:rsidRPr="00FB5A28">
        <w:rPr>
          <w:rFonts w:ascii="Times New Roman" w:hAnsi="Times New Roman"/>
          <w:sz w:val="24"/>
          <w:szCs w:val="24"/>
        </w:rPr>
        <w:t>за</w:t>
      </w:r>
      <w:r w:rsidR="00171709" w:rsidRPr="00FB5A28">
        <w:rPr>
          <w:rFonts w:ascii="Times New Roman" w:hAnsi="Times New Roman"/>
          <w:sz w:val="24"/>
          <w:szCs w:val="24"/>
        </w:rPr>
        <w:t xml:space="preserve"> </w:t>
      </w:r>
      <w:r w:rsidR="006E5E89" w:rsidRPr="00FB5A28">
        <w:rPr>
          <w:rFonts w:ascii="Times New Roman" w:hAnsi="Times New Roman"/>
          <w:sz w:val="24"/>
          <w:szCs w:val="24"/>
        </w:rPr>
        <w:t>кога</w:t>
      </w:r>
      <w:r w:rsidR="00171709" w:rsidRPr="00FB5A28">
        <w:rPr>
          <w:rFonts w:ascii="Times New Roman" w:hAnsi="Times New Roman"/>
          <w:sz w:val="24"/>
          <w:szCs w:val="24"/>
        </w:rPr>
        <w:t xml:space="preserve"> </w:t>
      </w:r>
      <w:r w:rsidR="006E5E89" w:rsidRPr="00FB5A28">
        <w:rPr>
          <w:rFonts w:ascii="Times New Roman" w:hAnsi="Times New Roman"/>
          <w:sz w:val="24"/>
          <w:szCs w:val="24"/>
        </w:rPr>
        <w:t>је</w:t>
      </w:r>
      <w:r w:rsidR="00171709" w:rsidRPr="00FB5A28">
        <w:rPr>
          <w:rFonts w:ascii="Times New Roman" w:hAnsi="Times New Roman"/>
          <w:sz w:val="24"/>
          <w:szCs w:val="24"/>
        </w:rPr>
        <w:t xml:space="preserve"> </w:t>
      </w:r>
      <w:r w:rsidR="006E5E89" w:rsidRPr="00FB5A28">
        <w:rPr>
          <w:rFonts w:ascii="Times New Roman" w:hAnsi="Times New Roman"/>
          <w:sz w:val="24"/>
          <w:szCs w:val="24"/>
        </w:rPr>
        <w:t>порески</w:t>
      </w:r>
      <w:r w:rsidR="00171709" w:rsidRPr="00FB5A28">
        <w:rPr>
          <w:rFonts w:ascii="Times New Roman" w:hAnsi="Times New Roman"/>
          <w:sz w:val="24"/>
          <w:szCs w:val="24"/>
        </w:rPr>
        <w:t xml:space="preserve"> </w:t>
      </w:r>
      <w:r w:rsidR="006E5E89" w:rsidRPr="00FB5A28">
        <w:rPr>
          <w:rFonts w:ascii="Times New Roman" w:hAnsi="Times New Roman"/>
          <w:sz w:val="24"/>
          <w:szCs w:val="24"/>
        </w:rPr>
        <w:t>период</w:t>
      </w:r>
      <w:r w:rsidR="00171709" w:rsidRPr="00FB5A28">
        <w:rPr>
          <w:rFonts w:ascii="Times New Roman" w:hAnsi="Times New Roman"/>
          <w:sz w:val="24"/>
          <w:szCs w:val="24"/>
        </w:rPr>
        <w:t xml:space="preserve"> </w:t>
      </w:r>
      <w:r w:rsidR="006E5E89" w:rsidRPr="00FB5A28">
        <w:rPr>
          <w:rFonts w:ascii="Times New Roman" w:hAnsi="Times New Roman"/>
          <w:sz w:val="24"/>
          <w:szCs w:val="24"/>
        </w:rPr>
        <w:t>календарско</w:t>
      </w:r>
      <w:r w:rsidR="00171709" w:rsidRPr="00FB5A28">
        <w:rPr>
          <w:rFonts w:ascii="Times New Roman" w:hAnsi="Times New Roman"/>
          <w:sz w:val="24"/>
          <w:szCs w:val="24"/>
        </w:rPr>
        <w:t xml:space="preserve"> </w:t>
      </w:r>
      <w:r w:rsidR="006E5E89" w:rsidRPr="00FB5A28">
        <w:rPr>
          <w:rFonts w:ascii="Times New Roman" w:hAnsi="Times New Roman"/>
          <w:sz w:val="24"/>
          <w:szCs w:val="24"/>
        </w:rPr>
        <w:t>тромесечје</w:t>
      </w:r>
      <w:r w:rsidR="00171709" w:rsidRPr="00FB5A28">
        <w:rPr>
          <w:rFonts w:ascii="Times New Roman" w:hAnsi="Times New Roman"/>
          <w:sz w:val="24"/>
          <w:szCs w:val="24"/>
        </w:rPr>
        <w:t xml:space="preserve"> </w:t>
      </w:r>
      <w:r w:rsidR="006E5E89" w:rsidRPr="00FB5A28">
        <w:rPr>
          <w:rFonts w:ascii="Times New Roman" w:hAnsi="Times New Roman"/>
          <w:sz w:val="24"/>
          <w:szCs w:val="24"/>
        </w:rPr>
        <w:t>подноси</w:t>
      </w:r>
      <w:r w:rsidR="00171709" w:rsidRPr="00FB5A28">
        <w:rPr>
          <w:rFonts w:ascii="Times New Roman" w:hAnsi="Times New Roman"/>
          <w:sz w:val="24"/>
          <w:szCs w:val="24"/>
        </w:rPr>
        <w:t xml:space="preserve"> </w:t>
      </w:r>
      <w:r w:rsidR="006E5E89" w:rsidRPr="00FB5A28">
        <w:rPr>
          <w:rFonts w:ascii="Times New Roman" w:hAnsi="Times New Roman"/>
          <w:sz w:val="24"/>
          <w:szCs w:val="24"/>
        </w:rPr>
        <w:t>пореску</w:t>
      </w:r>
      <w:r w:rsidR="00171709" w:rsidRPr="00FB5A28">
        <w:rPr>
          <w:rFonts w:ascii="Times New Roman" w:hAnsi="Times New Roman"/>
          <w:sz w:val="24"/>
          <w:szCs w:val="24"/>
        </w:rPr>
        <w:t xml:space="preserve"> </w:t>
      </w:r>
      <w:r w:rsidR="006E5E89" w:rsidRPr="00FB5A28">
        <w:rPr>
          <w:rFonts w:ascii="Times New Roman" w:hAnsi="Times New Roman"/>
          <w:sz w:val="24"/>
          <w:szCs w:val="24"/>
        </w:rPr>
        <w:t>пријаву</w:t>
      </w:r>
      <w:r w:rsidR="00171709" w:rsidRPr="00FB5A28">
        <w:rPr>
          <w:rFonts w:ascii="Times New Roman" w:hAnsi="Times New Roman"/>
          <w:sz w:val="24"/>
          <w:szCs w:val="24"/>
        </w:rPr>
        <w:t xml:space="preserve"> </w:t>
      </w:r>
      <w:r w:rsidR="006E5E89" w:rsidRPr="00FB5A28">
        <w:rPr>
          <w:rFonts w:ascii="Times New Roman" w:hAnsi="Times New Roman"/>
          <w:sz w:val="24"/>
          <w:szCs w:val="24"/>
        </w:rPr>
        <w:t>надлежном</w:t>
      </w:r>
      <w:r w:rsidR="00171709" w:rsidRPr="00FB5A28">
        <w:rPr>
          <w:rFonts w:ascii="Times New Roman" w:hAnsi="Times New Roman"/>
          <w:sz w:val="24"/>
          <w:szCs w:val="24"/>
        </w:rPr>
        <w:t xml:space="preserve"> </w:t>
      </w:r>
      <w:r w:rsidR="006E5E89" w:rsidRPr="00FB5A28">
        <w:rPr>
          <w:rFonts w:ascii="Times New Roman" w:hAnsi="Times New Roman"/>
          <w:sz w:val="24"/>
          <w:szCs w:val="24"/>
        </w:rPr>
        <w:t>пореском</w:t>
      </w:r>
      <w:r w:rsidR="00171709" w:rsidRPr="00FB5A28">
        <w:rPr>
          <w:rFonts w:ascii="Times New Roman" w:hAnsi="Times New Roman"/>
          <w:sz w:val="24"/>
          <w:szCs w:val="24"/>
        </w:rPr>
        <w:t xml:space="preserve"> </w:t>
      </w:r>
      <w:r w:rsidR="006E5E89" w:rsidRPr="00FB5A28">
        <w:rPr>
          <w:rFonts w:ascii="Times New Roman" w:hAnsi="Times New Roman"/>
          <w:sz w:val="24"/>
          <w:szCs w:val="24"/>
        </w:rPr>
        <w:t>органу</w:t>
      </w:r>
      <w:r w:rsidR="00171709" w:rsidRPr="00FB5A28">
        <w:rPr>
          <w:rFonts w:ascii="Times New Roman" w:hAnsi="Times New Roman"/>
          <w:sz w:val="24"/>
          <w:szCs w:val="24"/>
        </w:rPr>
        <w:t xml:space="preserve"> </w:t>
      </w:r>
      <w:r w:rsidR="006E5E89" w:rsidRPr="00FB5A28">
        <w:rPr>
          <w:rFonts w:ascii="Times New Roman" w:hAnsi="Times New Roman"/>
          <w:sz w:val="24"/>
          <w:szCs w:val="24"/>
        </w:rPr>
        <w:t>на</w:t>
      </w:r>
      <w:r w:rsidR="00171709" w:rsidRPr="00FB5A28">
        <w:rPr>
          <w:rFonts w:ascii="Times New Roman" w:hAnsi="Times New Roman"/>
          <w:sz w:val="24"/>
          <w:szCs w:val="24"/>
        </w:rPr>
        <w:t xml:space="preserve"> </w:t>
      </w:r>
      <w:r w:rsidR="006E5E89" w:rsidRPr="00FB5A28">
        <w:rPr>
          <w:rFonts w:ascii="Times New Roman" w:hAnsi="Times New Roman"/>
          <w:sz w:val="24"/>
          <w:szCs w:val="24"/>
        </w:rPr>
        <w:t>прописаном</w:t>
      </w:r>
      <w:r w:rsidR="00171709" w:rsidRPr="00FB5A28">
        <w:rPr>
          <w:rFonts w:ascii="Times New Roman" w:hAnsi="Times New Roman"/>
          <w:sz w:val="24"/>
          <w:szCs w:val="24"/>
        </w:rPr>
        <w:t xml:space="preserve"> </w:t>
      </w:r>
      <w:r w:rsidR="006E5E89" w:rsidRPr="00FB5A28">
        <w:rPr>
          <w:rFonts w:ascii="Times New Roman" w:hAnsi="Times New Roman"/>
          <w:sz w:val="24"/>
          <w:szCs w:val="24"/>
        </w:rPr>
        <w:t>обрасцу</w:t>
      </w:r>
      <w:r w:rsidR="00171709" w:rsidRPr="00FB5A28">
        <w:rPr>
          <w:rFonts w:ascii="Times New Roman" w:hAnsi="Times New Roman"/>
          <w:sz w:val="24"/>
          <w:szCs w:val="24"/>
        </w:rPr>
        <w:t xml:space="preserve">, </w:t>
      </w:r>
      <w:r w:rsidR="006E5E89" w:rsidRPr="00FB5A28">
        <w:rPr>
          <w:rFonts w:ascii="Times New Roman" w:hAnsi="Times New Roman"/>
          <w:sz w:val="24"/>
          <w:szCs w:val="24"/>
        </w:rPr>
        <w:t>у</w:t>
      </w:r>
      <w:r w:rsidR="00171709" w:rsidRPr="00FB5A28">
        <w:rPr>
          <w:rFonts w:ascii="Times New Roman" w:hAnsi="Times New Roman"/>
          <w:sz w:val="24"/>
          <w:szCs w:val="24"/>
        </w:rPr>
        <w:t xml:space="preserve"> </w:t>
      </w:r>
      <w:r w:rsidR="006E5E89" w:rsidRPr="00FB5A28">
        <w:rPr>
          <w:rFonts w:ascii="Times New Roman" w:hAnsi="Times New Roman"/>
          <w:sz w:val="24"/>
          <w:szCs w:val="24"/>
        </w:rPr>
        <w:t>року</w:t>
      </w:r>
      <w:r w:rsidR="00171709" w:rsidRPr="00FB5A28">
        <w:rPr>
          <w:rFonts w:ascii="Times New Roman" w:hAnsi="Times New Roman"/>
          <w:sz w:val="24"/>
          <w:szCs w:val="24"/>
        </w:rPr>
        <w:t xml:space="preserve"> </w:t>
      </w:r>
      <w:r w:rsidR="006E5E89" w:rsidRPr="00FB5A28">
        <w:rPr>
          <w:rFonts w:ascii="Times New Roman" w:hAnsi="Times New Roman"/>
          <w:sz w:val="24"/>
          <w:szCs w:val="24"/>
        </w:rPr>
        <w:t>од</w:t>
      </w:r>
      <w:r w:rsidR="00171709" w:rsidRPr="00FB5A28">
        <w:rPr>
          <w:rFonts w:ascii="Times New Roman" w:hAnsi="Times New Roman"/>
          <w:sz w:val="24"/>
          <w:szCs w:val="24"/>
        </w:rPr>
        <w:t xml:space="preserve"> 20 </w:t>
      </w:r>
      <w:r w:rsidR="006E5E89" w:rsidRPr="00FB5A28">
        <w:rPr>
          <w:rFonts w:ascii="Times New Roman" w:hAnsi="Times New Roman"/>
          <w:sz w:val="24"/>
          <w:szCs w:val="24"/>
        </w:rPr>
        <w:t>дана</w:t>
      </w:r>
      <w:r w:rsidR="00171709" w:rsidRPr="00FB5A28">
        <w:rPr>
          <w:rFonts w:ascii="Times New Roman" w:hAnsi="Times New Roman"/>
          <w:sz w:val="24"/>
          <w:szCs w:val="24"/>
        </w:rPr>
        <w:t xml:space="preserve"> </w:t>
      </w:r>
      <w:r w:rsidR="006E5E89" w:rsidRPr="00FB5A28">
        <w:rPr>
          <w:rFonts w:ascii="Times New Roman" w:hAnsi="Times New Roman"/>
          <w:sz w:val="24"/>
          <w:szCs w:val="24"/>
        </w:rPr>
        <w:t>по</w:t>
      </w:r>
      <w:r w:rsidR="00171709" w:rsidRPr="00FB5A28">
        <w:rPr>
          <w:rFonts w:ascii="Times New Roman" w:hAnsi="Times New Roman"/>
          <w:sz w:val="24"/>
          <w:szCs w:val="24"/>
        </w:rPr>
        <w:t xml:space="preserve"> </w:t>
      </w:r>
      <w:r w:rsidR="006E5E89" w:rsidRPr="00FB5A28">
        <w:rPr>
          <w:rFonts w:ascii="Times New Roman" w:hAnsi="Times New Roman"/>
          <w:sz w:val="24"/>
          <w:szCs w:val="24"/>
        </w:rPr>
        <w:t>истеку</w:t>
      </w:r>
      <w:r w:rsidR="00171709" w:rsidRPr="00FB5A28">
        <w:rPr>
          <w:rFonts w:ascii="Times New Roman" w:hAnsi="Times New Roman"/>
          <w:sz w:val="24"/>
          <w:szCs w:val="24"/>
        </w:rPr>
        <w:t xml:space="preserve"> </w:t>
      </w:r>
      <w:r w:rsidR="006E5E89" w:rsidRPr="00FB5A28">
        <w:rPr>
          <w:rFonts w:ascii="Times New Roman" w:hAnsi="Times New Roman"/>
          <w:sz w:val="24"/>
          <w:szCs w:val="24"/>
        </w:rPr>
        <w:t>пореског</w:t>
      </w:r>
      <w:r w:rsidR="00171709" w:rsidRPr="00FB5A28">
        <w:rPr>
          <w:rFonts w:ascii="Times New Roman" w:hAnsi="Times New Roman"/>
          <w:sz w:val="24"/>
          <w:szCs w:val="24"/>
        </w:rPr>
        <w:t xml:space="preserve"> </w:t>
      </w:r>
      <w:r w:rsidR="006E5E89" w:rsidRPr="00FB5A28">
        <w:rPr>
          <w:rFonts w:ascii="Times New Roman" w:hAnsi="Times New Roman"/>
          <w:sz w:val="24"/>
          <w:szCs w:val="24"/>
        </w:rPr>
        <w:t>периода</w:t>
      </w:r>
      <w:r w:rsidR="00171709" w:rsidRPr="00FB5A28">
        <w:rPr>
          <w:rFonts w:ascii="Times New Roman" w:hAnsi="Times New Roman"/>
          <w:sz w:val="24"/>
          <w:szCs w:val="24"/>
        </w:rPr>
        <w:t>.</w:t>
      </w:r>
      <w:r w:rsidR="006E5E89" w:rsidRPr="00FB5A28">
        <w:rPr>
          <w:rFonts w:ascii="Times New Roman" w:hAnsi="Times New Roman"/>
          <w:sz w:val="24"/>
          <w:szCs w:val="24"/>
          <w:lang w:val="sr-Cyrl-CS"/>
        </w:rPr>
        <w:t xml:space="preserve"> </w:t>
      </w:r>
      <w:r w:rsidR="006E5E89" w:rsidRPr="00FB5A28">
        <w:rPr>
          <w:rFonts w:ascii="Times New Roman" w:hAnsi="Times New Roman"/>
          <w:sz w:val="24"/>
          <w:szCs w:val="24"/>
        </w:rPr>
        <w:t>Обвезник</w:t>
      </w:r>
      <w:r w:rsidR="00171709" w:rsidRPr="00FB5A28">
        <w:rPr>
          <w:rFonts w:ascii="Times New Roman" w:hAnsi="Times New Roman"/>
          <w:sz w:val="24"/>
          <w:szCs w:val="24"/>
        </w:rPr>
        <w:t xml:space="preserve"> </w:t>
      </w:r>
      <w:r w:rsidR="006E5E89" w:rsidRPr="00FB5A28">
        <w:rPr>
          <w:rFonts w:ascii="Times New Roman" w:hAnsi="Times New Roman"/>
          <w:sz w:val="24"/>
          <w:szCs w:val="24"/>
        </w:rPr>
        <w:t>подноси</w:t>
      </w:r>
      <w:r w:rsidR="00171709" w:rsidRPr="00FB5A28">
        <w:rPr>
          <w:rFonts w:ascii="Times New Roman" w:hAnsi="Times New Roman"/>
          <w:sz w:val="24"/>
          <w:szCs w:val="24"/>
        </w:rPr>
        <w:t xml:space="preserve"> </w:t>
      </w:r>
      <w:r w:rsidR="006E5E89" w:rsidRPr="00FB5A28">
        <w:rPr>
          <w:rFonts w:ascii="Times New Roman" w:hAnsi="Times New Roman"/>
          <w:sz w:val="24"/>
          <w:szCs w:val="24"/>
        </w:rPr>
        <w:t>пореску</w:t>
      </w:r>
      <w:r w:rsidR="00171709" w:rsidRPr="00FB5A28">
        <w:rPr>
          <w:rFonts w:ascii="Times New Roman" w:hAnsi="Times New Roman"/>
          <w:sz w:val="24"/>
          <w:szCs w:val="24"/>
        </w:rPr>
        <w:t xml:space="preserve"> </w:t>
      </w:r>
      <w:r w:rsidR="006E5E89" w:rsidRPr="00FB5A28">
        <w:rPr>
          <w:rFonts w:ascii="Times New Roman" w:hAnsi="Times New Roman"/>
          <w:sz w:val="24"/>
          <w:szCs w:val="24"/>
        </w:rPr>
        <w:t>пријаву</w:t>
      </w:r>
      <w:r w:rsidR="00171709" w:rsidRPr="00FB5A28">
        <w:rPr>
          <w:rFonts w:ascii="Times New Roman" w:hAnsi="Times New Roman"/>
          <w:sz w:val="24"/>
          <w:szCs w:val="24"/>
        </w:rPr>
        <w:t xml:space="preserve"> </w:t>
      </w:r>
      <w:r w:rsidR="006E5E89" w:rsidRPr="00FB5A28">
        <w:rPr>
          <w:rFonts w:ascii="Times New Roman" w:hAnsi="Times New Roman"/>
          <w:sz w:val="24"/>
          <w:szCs w:val="24"/>
        </w:rPr>
        <w:t>независно</w:t>
      </w:r>
      <w:r w:rsidR="00171709" w:rsidRPr="00FB5A28">
        <w:rPr>
          <w:rFonts w:ascii="Times New Roman" w:hAnsi="Times New Roman"/>
          <w:sz w:val="24"/>
          <w:szCs w:val="24"/>
        </w:rPr>
        <w:t xml:space="preserve"> </w:t>
      </w:r>
      <w:r w:rsidR="006E5E89" w:rsidRPr="00FB5A28">
        <w:rPr>
          <w:rFonts w:ascii="Times New Roman" w:hAnsi="Times New Roman"/>
          <w:sz w:val="24"/>
          <w:szCs w:val="24"/>
        </w:rPr>
        <w:t>од</w:t>
      </w:r>
      <w:r w:rsidR="00171709" w:rsidRPr="00FB5A28">
        <w:rPr>
          <w:rFonts w:ascii="Times New Roman" w:hAnsi="Times New Roman"/>
          <w:sz w:val="24"/>
          <w:szCs w:val="24"/>
        </w:rPr>
        <w:t xml:space="preserve"> </w:t>
      </w:r>
      <w:r w:rsidR="006E5E89" w:rsidRPr="00FB5A28">
        <w:rPr>
          <w:rFonts w:ascii="Times New Roman" w:hAnsi="Times New Roman"/>
          <w:sz w:val="24"/>
          <w:szCs w:val="24"/>
        </w:rPr>
        <w:t>тога</w:t>
      </w:r>
      <w:r w:rsidR="00171709" w:rsidRPr="00FB5A28">
        <w:rPr>
          <w:rFonts w:ascii="Times New Roman" w:hAnsi="Times New Roman"/>
          <w:sz w:val="24"/>
          <w:szCs w:val="24"/>
        </w:rPr>
        <w:t xml:space="preserve"> </w:t>
      </w:r>
      <w:r w:rsidR="006E5E89" w:rsidRPr="00FB5A28">
        <w:rPr>
          <w:rFonts w:ascii="Times New Roman" w:hAnsi="Times New Roman"/>
          <w:sz w:val="24"/>
          <w:szCs w:val="24"/>
        </w:rPr>
        <w:t>да</w:t>
      </w:r>
      <w:r w:rsidR="00171709" w:rsidRPr="00FB5A28">
        <w:rPr>
          <w:rFonts w:ascii="Times New Roman" w:hAnsi="Times New Roman"/>
          <w:sz w:val="24"/>
          <w:szCs w:val="24"/>
        </w:rPr>
        <w:t xml:space="preserve"> </w:t>
      </w:r>
      <w:r w:rsidR="006E5E89" w:rsidRPr="00FB5A28">
        <w:rPr>
          <w:rFonts w:ascii="Times New Roman" w:hAnsi="Times New Roman"/>
          <w:sz w:val="24"/>
          <w:szCs w:val="24"/>
        </w:rPr>
        <w:t>ли</w:t>
      </w:r>
      <w:r w:rsidR="00171709" w:rsidRPr="00FB5A28">
        <w:rPr>
          <w:rFonts w:ascii="Times New Roman" w:hAnsi="Times New Roman"/>
          <w:sz w:val="24"/>
          <w:szCs w:val="24"/>
        </w:rPr>
        <w:t xml:space="preserve"> </w:t>
      </w:r>
      <w:r w:rsidR="006E5E89" w:rsidRPr="00FB5A28">
        <w:rPr>
          <w:rFonts w:ascii="Times New Roman" w:hAnsi="Times New Roman"/>
          <w:sz w:val="24"/>
          <w:szCs w:val="24"/>
        </w:rPr>
        <w:t>у</w:t>
      </w:r>
      <w:r w:rsidR="00171709" w:rsidRPr="00FB5A28">
        <w:rPr>
          <w:rFonts w:ascii="Times New Roman" w:hAnsi="Times New Roman"/>
          <w:sz w:val="24"/>
          <w:szCs w:val="24"/>
        </w:rPr>
        <w:t xml:space="preserve"> </w:t>
      </w:r>
      <w:r w:rsidR="006E5E89" w:rsidRPr="00FB5A28">
        <w:rPr>
          <w:rFonts w:ascii="Times New Roman" w:hAnsi="Times New Roman"/>
          <w:sz w:val="24"/>
          <w:szCs w:val="24"/>
        </w:rPr>
        <w:t>пореском</w:t>
      </w:r>
      <w:r w:rsidR="00171709" w:rsidRPr="00FB5A28">
        <w:rPr>
          <w:rFonts w:ascii="Times New Roman" w:hAnsi="Times New Roman"/>
          <w:sz w:val="24"/>
          <w:szCs w:val="24"/>
        </w:rPr>
        <w:t xml:space="preserve"> </w:t>
      </w:r>
      <w:r w:rsidR="006E5E89" w:rsidRPr="00FB5A28">
        <w:rPr>
          <w:rFonts w:ascii="Times New Roman" w:hAnsi="Times New Roman"/>
          <w:sz w:val="24"/>
          <w:szCs w:val="24"/>
        </w:rPr>
        <w:t>периоду</w:t>
      </w:r>
      <w:r w:rsidR="00171709" w:rsidRPr="00FB5A28">
        <w:rPr>
          <w:rFonts w:ascii="Times New Roman" w:hAnsi="Times New Roman"/>
          <w:sz w:val="24"/>
          <w:szCs w:val="24"/>
        </w:rPr>
        <w:t xml:space="preserve"> </w:t>
      </w:r>
      <w:r w:rsidR="006E5E89" w:rsidRPr="00FB5A28">
        <w:rPr>
          <w:rFonts w:ascii="Times New Roman" w:hAnsi="Times New Roman"/>
          <w:sz w:val="24"/>
          <w:szCs w:val="24"/>
        </w:rPr>
        <w:t>има</w:t>
      </w:r>
      <w:r w:rsidR="00171709" w:rsidRPr="00FB5A28">
        <w:rPr>
          <w:rFonts w:ascii="Times New Roman" w:hAnsi="Times New Roman"/>
          <w:sz w:val="24"/>
          <w:szCs w:val="24"/>
        </w:rPr>
        <w:t xml:space="preserve"> </w:t>
      </w:r>
      <w:r w:rsidR="006E5E89" w:rsidRPr="00FB5A28">
        <w:rPr>
          <w:rFonts w:ascii="Times New Roman" w:hAnsi="Times New Roman"/>
          <w:sz w:val="24"/>
          <w:szCs w:val="24"/>
        </w:rPr>
        <w:t>обавезу</w:t>
      </w:r>
      <w:r w:rsidR="00171709" w:rsidRPr="00FB5A28">
        <w:rPr>
          <w:rFonts w:ascii="Times New Roman" w:hAnsi="Times New Roman"/>
          <w:sz w:val="24"/>
          <w:szCs w:val="24"/>
        </w:rPr>
        <w:t xml:space="preserve"> </w:t>
      </w:r>
      <w:r w:rsidR="006E5E89" w:rsidRPr="00FB5A28">
        <w:rPr>
          <w:rFonts w:ascii="Times New Roman" w:hAnsi="Times New Roman"/>
          <w:sz w:val="24"/>
          <w:szCs w:val="24"/>
        </w:rPr>
        <w:t>плаћања</w:t>
      </w:r>
      <w:r w:rsidR="00171709" w:rsidRPr="00FB5A28">
        <w:rPr>
          <w:rFonts w:ascii="Times New Roman" w:hAnsi="Times New Roman"/>
          <w:sz w:val="24"/>
          <w:szCs w:val="24"/>
        </w:rPr>
        <w:t xml:space="preserve"> </w:t>
      </w:r>
      <w:r w:rsidR="006E5E89" w:rsidRPr="00FB5A28">
        <w:rPr>
          <w:rFonts w:ascii="Times New Roman" w:hAnsi="Times New Roman"/>
          <w:sz w:val="24"/>
          <w:szCs w:val="24"/>
        </w:rPr>
        <w:t>ПДВ</w:t>
      </w:r>
      <w:r w:rsidR="00171709" w:rsidRPr="00FB5A28">
        <w:rPr>
          <w:rFonts w:ascii="Times New Roman" w:hAnsi="Times New Roman"/>
          <w:sz w:val="24"/>
          <w:szCs w:val="24"/>
        </w:rPr>
        <w:t>.</w:t>
      </w:r>
    </w:p>
    <w:p w:rsidR="00171709" w:rsidRPr="00FB5A28" w:rsidRDefault="006E5E89" w:rsidP="00FB5A28">
      <w:pPr>
        <w:ind w:firstLine="708"/>
        <w:jc w:val="both"/>
        <w:rPr>
          <w:rFonts w:ascii="Times New Roman" w:hAnsi="Times New Roman"/>
          <w:b/>
          <w:bCs/>
          <w:sz w:val="24"/>
          <w:szCs w:val="24"/>
          <w:lang w:val="sr-Cyrl-CS"/>
        </w:rPr>
      </w:pPr>
      <w:r w:rsidRPr="00FB5A28">
        <w:rPr>
          <w:rFonts w:ascii="Times New Roman" w:hAnsi="Times New Roman"/>
          <w:sz w:val="24"/>
          <w:szCs w:val="24"/>
        </w:rPr>
        <w:t>Порески</w:t>
      </w:r>
      <w:r w:rsidR="00171709" w:rsidRPr="00FB5A28">
        <w:rPr>
          <w:rFonts w:ascii="Times New Roman" w:hAnsi="Times New Roman"/>
          <w:sz w:val="24"/>
          <w:szCs w:val="24"/>
        </w:rPr>
        <w:t xml:space="preserve"> </w:t>
      </w:r>
      <w:r w:rsidRPr="00FB5A28">
        <w:rPr>
          <w:rFonts w:ascii="Times New Roman" w:hAnsi="Times New Roman"/>
          <w:sz w:val="24"/>
          <w:szCs w:val="24"/>
        </w:rPr>
        <w:t>период</w:t>
      </w:r>
      <w:r w:rsidR="00171709" w:rsidRPr="00FB5A28">
        <w:rPr>
          <w:rFonts w:ascii="Times New Roman" w:hAnsi="Times New Roman"/>
          <w:sz w:val="24"/>
          <w:szCs w:val="24"/>
        </w:rPr>
        <w:t xml:space="preserve"> </w:t>
      </w:r>
      <w:r w:rsidRPr="00FB5A28">
        <w:rPr>
          <w:rFonts w:ascii="Times New Roman" w:hAnsi="Times New Roman"/>
          <w:sz w:val="24"/>
          <w:szCs w:val="24"/>
        </w:rPr>
        <w:t>за</w:t>
      </w:r>
      <w:r w:rsidR="00171709" w:rsidRPr="00FB5A28">
        <w:rPr>
          <w:rFonts w:ascii="Times New Roman" w:hAnsi="Times New Roman"/>
          <w:sz w:val="24"/>
          <w:szCs w:val="24"/>
        </w:rPr>
        <w:t xml:space="preserve"> </w:t>
      </w:r>
      <w:r w:rsidRPr="00FB5A28">
        <w:rPr>
          <w:rFonts w:ascii="Times New Roman" w:hAnsi="Times New Roman"/>
          <w:sz w:val="24"/>
          <w:szCs w:val="24"/>
        </w:rPr>
        <w:t>који</w:t>
      </w:r>
      <w:r w:rsidR="00171709" w:rsidRPr="00FB5A28">
        <w:rPr>
          <w:rFonts w:ascii="Times New Roman" w:hAnsi="Times New Roman"/>
          <w:sz w:val="24"/>
          <w:szCs w:val="24"/>
        </w:rPr>
        <w:t xml:space="preserve"> </w:t>
      </w:r>
      <w:r w:rsidRPr="00FB5A28">
        <w:rPr>
          <w:rFonts w:ascii="Times New Roman" w:hAnsi="Times New Roman"/>
          <w:sz w:val="24"/>
          <w:szCs w:val="24"/>
        </w:rPr>
        <w:t>се</w:t>
      </w:r>
      <w:r w:rsidR="00171709" w:rsidRPr="00FB5A28">
        <w:rPr>
          <w:rFonts w:ascii="Times New Roman" w:hAnsi="Times New Roman"/>
          <w:sz w:val="24"/>
          <w:szCs w:val="24"/>
        </w:rPr>
        <w:t xml:space="preserve"> </w:t>
      </w:r>
      <w:r w:rsidRPr="00FB5A28">
        <w:rPr>
          <w:rFonts w:ascii="Times New Roman" w:hAnsi="Times New Roman"/>
          <w:sz w:val="24"/>
          <w:szCs w:val="24"/>
        </w:rPr>
        <w:t>обрачунава</w:t>
      </w:r>
      <w:r w:rsidR="00171709" w:rsidRPr="00FB5A28">
        <w:rPr>
          <w:rFonts w:ascii="Times New Roman" w:hAnsi="Times New Roman"/>
          <w:sz w:val="24"/>
          <w:szCs w:val="24"/>
        </w:rPr>
        <w:t xml:space="preserve"> </w:t>
      </w:r>
      <w:r w:rsidRPr="00FB5A28">
        <w:rPr>
          <w:rFonts w:ascii="Times New Roman" w:hAnsi="Times New Roman"/>
          <w:sz w:val="24"/>
          <w:szCs w:val="24"/>
        </w:rPr>
        <w:t>ПДВ</w:t>
      </w:r>
      <w:r w:rsidR="00171709" w:rsidRPr="00FB5A28">
        <w:rPr>
          <w:rFonts w:ascii="Times New Roman" w:hAnsi="Times New Roman"/>
          <w:sz w:val="24"/>
          <w:szCs w:val="24"/>
        </w:rPr>
        <w:t xml:space="preserve">, </w:t>
      </w:r>
      <w:r w:rsidRPr="00FB5A28">
        <w:rPr>
          <w:rFonts w:ascii="Times New Roman" w:hAnsi="Times New Roman"/>
          <w:sz w:val="24"/>
          <w:szCs w:val="24"/>
        </w:rPr>
        <w:t>предаје</w:t>
      </w:r>
      <w:r w:rsidR="00171709" w:rsidRPr="00FB5A28">
        <w:rPr>
          <w:rFonts w:ascii="Times New Roman" w:hAnsi="Times New Roman"/>
          <w:sz w:val="24"/>
          <w:szCs w:val="24"/>
        </w:rPr>
        <w:t xml:space="preserve"> </w:t>
      </w:r>
      <w:r w:rsidRPr="00FB5A28">
        <w:rPr>
          <w:rFonts w:ascii="Times New Roman" w:hAnsi="Times New Roman"/>
          <w:sz w:val="24"/>
          <w:szCs w:val="24"/>
        </w:rPr>
        <w:t>пореска</w:t>
      </w:r>
      <w:r w:rsidR="00171709" w:rsidRPr="00FB5A28">
        <w:rPr>
          <w:rFonts w:ascii="Times New Roman" w:hAnsi="Times New Roman"/>
          <w:sz w:val="24"/>
          <w:szCs w:val="24"/>
        </w:rPr>
        <w:t xml:space="preserve"> </w:t>
      </w:r>
      <w:r w:rsidRPr="00FB5A28">
        <w:rPr>
          <w:rFonts w:ascii="Times New Roman" w:hAnsi="Times New Roman"/>
          <w:sz w:val="24"/>
          <w:szCs w:val="24"/>
        </w:rPr>
        <w:t>пријава</w:t>
      </w:r>
      <w:r w:rsidR="00171709" w:rsidRPr="00FB5A28">
        <w:rPr>
          <w:rFonts w:ascii="Times New Roman" w:hAnsi="Times New Roman"/>
          <w:sz w:val="24"/>
          <w:szCs w:val="24"/>
        </w:rPr>
        <w:t xml:space="preserve"> </w:t>
      </w:r>
      <w:r w:rsidRPr="00FB5A28">
        <w:rPr>
          <w:rFonts w:ascii="Times New Roman" w:hAnsi="Times New Roman"/>
          <w:sz w:val="24"/>
          <w:szCs w:val="24"/>
        </w:rPr>
        <w:t>и</w:t>
      </w:r>
      <w:r w:rsidR="00171709" w:rsidRPr="00FB5A28">
        <w:rPr>
          <w:rFonts w:ascii="Times New Roman" w:hAnsi="Times New Roman"/>
          <w:sz w:val="24"/>
          <w:szCs w:val="24"/>
        </w:rPr>
        <w:t xml:space="preserve"> </w:t>
      </w:r>
      <w:r w:rsidRPr="00FB5A28">
        <w:rPr>
          <w:rFonts w:ascii="Times New Roman" w:hAnsi="Times New Roman"/>
          <w:sz w:val="24"/>
          <w:szCs w:val="24"/>
        </w:rPr>
        <w:t>плаћа</w:t>
      </w:r>
      <w:r w:rsidR="00171709" w:rsidRPr="00FB5A28">
        <w:rPr>
          <w:rFonts w:ascii="Times New Roman" w:hAnsi="Times New Roman"/>
          <w:sz w:val="24"/>
          <w:szCs w:val="24"/>
        </w:rPr>
        <w:t xml:space="preserve"> </w:t>
      </w:r>
      <w:r w:rsidRPr="00FB5A28">
        <w:rPr>
          <w:rFonts w:ascii="Times New Roman" w:hAnsi="Times New Roman"/>
          <w:sz w:val="24"/>
          <w:szCs w:val="24"/>
        </w:rPr>
        <w:t>ПДВ</w:t>
      </w:r>
      <w:r w:rsidR="00171709" w:rsidRPr="00FB5A28">
        <w:rPr>
          <w:rFonts w:ascii="Times New Roman" w:hAnsi="Times New Roman"/>
          <w:sz w:val="24"/>
          <w:szCs w:val="24"/>
        </w:rPr>
        <w:t xml:space="preserve"> </w:t>
      </w:r>
      <w:r w:rsidRPr="00FB5A28">
        <w:rPr>
          <w:rFonts w:ascii="Times New Roman" w:hAnsi="Times New Roman"/>
          <w:sz w:val="24"/>
          <w:szCs w:val="24"/>
        </w:rPr>
        <w:t>је</w:t>
      </w:r>
      <w:r w:rsidR="00171709" w:rsidRPr="00FB5A28">
        <w:rPr>
          <w:rFonts w:ascii="Times New Roman" w:hAnsi="Times New Roman"/>
          <w:sz w:val="24"/>
          <w:szCs w:val="24"/>
        </w:rPr>
        <w:t xml:space="preserve"> </w:t>
      </w:r>
      <w:r w:rsidRPr="00FB5A28">
        <w:rPr>
          <w:rFonts w:ascii="Times New Roman" w:hAnsi="Times New Roman"/>
          <w:sz w:val="24"/>
          <w:szCs w:val="24"/>
        </w:rPr>
        <w:t>календарски</w:t>
      </w:r>
      <w:r w:rsidR="00171709" w:rsidRPr="00FB5A28">
        <w:rPr>
          <w:rFonts w:ascii="Times New Roman" w:hAnsi="Times New Roman"/>
          <w:sz w:val="24"/>
          <w:szCs w:val="24"/>
        </w:rPr>
        <w:t xml:space="preserve"> </w:t>
      </w:r>
      <w:r w:rsidRPr="00FB5A28">
        <w:rPr>
          <w:rFonts w:ascii="Times New Roman" w:hAnsi="Times New Roman"/>
          <w:sz w:val="24"/>
          <w:szCs w:val="24"/>
        </w:rPr>
        <w:t>месец</w:t>
      </w:r>
      <w:r w:rsidR="00171709" w:rsidRPr="00FB5A28">
        <w:rPr>
          <w:rFonts w:ascii="Times New Roman" w:hAnsi="Times New Roman"/>
          <w:sz w:val="24"/>
          <w:szCs w:val="24"/>
        </w:rPr>
        <w:t xml:space="preserve"> </w:t>
      </w:r>
      <w:r w:rsidRPr="00FB5A28">
        <w:rPr>
          <w:rFonts w:ascii="Times New Roman" w:hAnsi="Times New Roman"/>
          <w:sz w:val="24"/>
          <w:szCs w:val="24"/>
        </w:rPr>
        <w:t>за</w:t>
      </w:r>
      <w:r w:rsidR="00171709" w:rsidRPr="00FB5A28">
        <w:rPr>
          <w:rFonts w:ascii="Times New Roman" w:hAnsi="Times New Roman"/>
          <w:sz w:val="24"/>
          <w:szCs w:val="24"/>
        </w:rPr>
        <w:t xml:space="preserve"> </w:t>
      </w:r>
      <w:r w:rsidRPr="00FB5A28">
        <w:rPr>
          <w:rFonts w:ascii="Times New Roman" w:hAnsi="Times New Roman"/>
          <w:sz w:val="24"/>
          <w:szCs w:val="24"/>
        </w:rPr>
        <w:t>обвезника</w:t>
      </w:r>
      <w:r w:rsidR="00171709" w:rsidRPr="00FB5A28">
        <w:rPr>
          <w:rFonts w:ascii="Times New Roman" w:hAnsi="Times New Roman"/>
          <w:sz w:val="24"/>
          <w:szCs w:val="24"/>
        </w:rPr>
        <w:t xml:space="preserve"> </w:t>
      </w:r>
      <w:r w:rsidRPr="00FB5A28">
        <w:rPr>
          <w:rFonts w:ascii="Times New Roman" w:hAnsi="Times New Roman"/>
          <w:sz w:val="24"/>
          <w:szCs w:val="24"/>
        </w:rPr>
        <w:t>који</w:t>
      </w:r>
      <w:r w:rsidR="00171709" w:rsidRPr="00FB5A28">
        <w:rPr>
          <w:rFonts w:ascii="Times New Roman" w:hAnsi="Times New Roman"/>
          <w:sz w:val="24"/>
          <w:szCs w:val="24"/>
        </w:rPr>
        <w:t xml:space="preserve"> </w:t>
      </w:r>
      <w:r w:rsidRPr="00FB5A28">
        <w:rPr>
          <w:rFonts w:ascii="Times New Roman" w:hAnsi="Times New Roman"/>
          <w:sz w:val="24"/>
          <w:szCs w:val="24"/>
        </w:rPr>
        <w:t>је</w:t>
      </w:r>
      <w:r w:rsidR="00171709" w:rsidRPr="00FB5A28">
        <w:rPr>
          <w:rFonts w:ascii="Times New Roman" w:hAnsi="Times New Roman"/>
          <w:sz w:val="24"/>
          <w:szCs w:val="24"/>
        </w:rPr>
        <w:t xml:space="preserve"> </w:t>
      </w:r>
      <w:r w:rsidRPr="00FB5A28">
        <w:rPr>
          <w:rFonts w:ascii="Times New Roman" w:hAnsi="Times New Roman"/>
          <w:sz w:val="24"/>
          <w:szCs w:val="24"/>
        </w:rPr>
        <w:t>у</w:t>
      </w:r>
      <w:r w:rsidR="00171709" w:rsidRPr="00FB5A28">
        <w:rPr>
          <w:rFonts w:ascii="Times New Roman" w:hAnsi="Times New Roman"/>
          <w:sz w:val="24"/>
          <w:szCs w:val="24"/>
        </w:rPr>
        <w:t xml:space="preserve"> </w:t>
      </w:r>
      <w:r w:rsidRPr="00FB5A28">
        <w:rPr>
          <w:rFonts w:ascii="Times New Roman" w:hAnsi="Times New Roman"/>
          <w:sz w:val="24"/>
          <w:szCs w:val="24"/>
        </w:rPr>
        <w:t>претходних</w:t>
      </w:r>
      <w:r w:rsidR="00171709" w:rsidRPr="00FB5A28">
        <w:rPr>
          <w:rFonts w:ascii="Times New Roman" w:hAnsi="Times New Roman"/>
          <w:sz w:val="24"/>
          <w:szCs w:val="24"/>
        </w:rPr>
        <w:t xml:space="preserve"> 12 </w:t>
      </w:r>
      <w:r w:rsidRPr="00FB5A28">
        <w:rPr>
          <w:rFonts w:ascii="Times New Roman" w:hAnsi="Times New Roman"/>
          <w:sz w:val="24"/>
          <w:szCs w:val="24"/>
        </w:rPr>
        <w:t>месеци</w:t>
      </w:r>
      <w:r w:rsidR="00171709" w:rsidRPr="00FB5A28">
        <w:rPr>
          <w:rFonts w:ascii="Times New Roman" w:hAnsi="Times New Roman"/>
          <w:sz w:val="24"/>
          <w:szCs w:val="24"/>
        </w:rPr>
        <w:t xml:space="preserve"> </w:t>
      </w:r>
      <w:r w:rsidRPr="00FB5A28">
        <w:rPr>
          <w:rFonts w:ascii="Times New Roman" w:hAnsi="Times New Roman"/>
          <w:sz w:val="24"/>
          <w:szCs w:val="24"/>
        </w:rPr>
        <w:t>остварио</w:t>
      </w:r>
      <w:r w:rsidR="00171709" w:rsidRPr="00FB5A28">
        <w:rPr>
          <w:rFonts w:ascii="Times New Roman" w:hAnsi="Times New Roman"/>
          <w:sz w:val="24"/>
          <w:szCs w:val="24"/>
        </w:rPr>
        <w:t xml:space="preserve"> </w:t>
      </w:r>
      <w:r w:rsidRPr="00FB5A28">
        <w:rPr>
          <w:rFonts w:ascii="Times New Roman" w:hAnsi="Times New Roman"/>
          <w:sz w:val="24"/>
          <w:szCs w:val="24"/>
        </w:rPr>
        <w:t>укупан</w:t>
      </w:r>
      <w:r w:rsidR="00171709" w:rsidRPr="00FB5A28">
        <w:rPr>
          <w:rFonts w:ascii="Times New Roman" w:hAnsi="Times New Roman"/>
          <w:sz w:val="24"/>
          <w:szCs w:val="24"/>
        </w:rPr>
        <w:t xml:space="preserve"> </w:t>
      </w:r>
      <w:r w:rsidRPr="00FB5A28">
        <w:rPr>
          <w:rFonts w:ascii="Times New Roman" w:hAnsi="Times New Roman"/>
          <w:sz w:val="24"/>
          <w:szCs w:val="24"/>
        </w:rPr>
        <w:t>промет</w:t>
      </w:r>
      <w:r w:rsidR="00171709" w:rsidRPr="00FB5A28">
        <w:rPr>
          <w:rFonts w:ascii="Times New Roman" w:hAnsi="Times New Roman"/>
          <w:sz w:val="24"/>
          <w:szCs w:val="24"/>
        </w:rPr>
        <w:t xml:space="preserve"> </w:t>
      </w:r>
      <w:r w:rsidRPr="00FB5A28">
        <w:rPr>
          <w:rFonts w:ascii="Times New Roman" w:hAnsi="Times New Roman"/>
          <w:sz w:val="24"/>
          <w:szCs w:val="24"/>
        </w:rPr>
        <w:t>већи</w:t>
      </w:r>
      <w:r w:rsidR="00171709" w:rsidRPr="00FB5A28">
        <w:rPr>
          <w:rFonts w:ascii="Times New Roman" w:hAnsi="Times New Roman"/>
          <w:sz w:val="24"/>
          <w:szCs w:val="24"/>
        </w:rPr>
        <w:t xml:space="preserve"> </w:t>
      </w:r>
      <w:r w:rsidRPr="00FB5A28">
        <w:rPr>
          <w:rFonts w:ascii="Times New Roman" w:hAnsi="Times New Roman"/>
          <w:sz w:val="24"/>
          <w:szCs w:val="24"/>
        </w:rPr>
        <w:t>од</w:t>
      </w:r>
      <w:r w:rsidR="00171709" w:rsidRPr="00FB5A28">
        <w:rPr>
          <w:rFonts w:ascii="Times New Roman" w:hAnsi="Times New Roman"/>
          <w:sz w:val="24"/>
          <w:szCs w:val="24"/>
        </w:rPr>
        <w:t xml:space="preserve"> 50.000.000 </w:t>
      </w:r>
      <w:r w:rsidRPr="00FB5A28">
        <w:rPr>
          <w:rFonts w:ascii="Times New Roman" w:hAnsi="Times New Roman"/>
          <w:sz w:val="24"/>
          <w:szCs w:val="24"/>
        </w:rPr>
        <w:t>динара</w:t>
      </w:r>
      <w:r w:rsidR="00171709" w:rsidRPr="00FB5A28">
        <w:rPr>
          <w:rFonts w:ascii="Times New Roman" w:hAnsi="Times New Roman"/>
          <w:sz w:val="24"/>
          <w:szCs w:val="24"/>
        </w:rPr>
        <w:t xml:space="preserve"> </w:t>
      </w:r>
      <w:r w:rsidRPr="00FB5A28">
        <w:rPr>
          <w:rFonts w:ascii="Times New Roman" w:hAnsi="Times New Roman"/>
          <w:sz w:val="24"/>
          <w:szCs w:val="24"/>
        </w:rPr>
        <w:t>или</w:t>
      </w:r>
      <w:r w:rsidR="00171709" w:rsidRPr="00FB5A28">
        <w:rPr>
          <w:rFonts w:ascii="Times New Roman" w:hAnsi="Times New Roman"/>
          <w:sz w:val="24"/>
          <w:szCs w:val="24"/>
        </w:rPr>
        <w:t xml:space="preserve"> </w:t>
      </w:r>
      <w:r w:rsidRPr="00FB5A28">
        <w:rPr>
          <w:rFonts w:ascii="Times New Roman" w:hAnsi="Times New Roman"/>
          <w:sz w:val="24"/>
          <w:szCs w:val="24"/>
        </w:rPr>
        <w:t>процењује</w:t>
      </w:r>
      <w:r w:rsidR="00171709" w:rsidRPr="00FB5A28">
        <w:rPr>
          <w:rFonts w:ascii="Times New Roman" w:hAnsi="Times New Roman"/>
          <w:sz w:val="24"/>
          <w:szCs w:val="24"/>
        </w:rPr>
        <w:t xml:space="preserve"> </w:t>
      </w:r>
      <w:r w:rsidRPr="00FB5A28">
        <w:rPr>
          <w:rFonts w:ascii="Times New Roman" w:hAnsi="Times New Roman"/>
          <w:sz w:val="24"/>
          <w:szCs w:val="24"/>
        </w:rPr>
        <w:t>да</w:t>
      </w:r>
      <w:r w:rsidR="00171709" w:rsidRPr="00FB5A28">
        <w:rPr>
          <w:rFonts w:ascii="Times New Roman" w:hAnsi="Times New Roman"/>
          <w:sz w:val="24"/>
          <w:szCs w:val="24"/>
        </w:rPr>
        <w:t xml:space="preserve"> </w:t>
      </w:r>
      <w:r w:rsidRPr="00FB5A28">
        <w:rPr>
          <w:rFonts w:ascii="Times New Roman" w:hAnsi="Times New Roman"/>
          <w:sz w:val="24"/>
          <w:szCs w:val="24"/>
        </w:rPr>
        <w:t>ће</w:t>
      </w:r>
      <w:r w:rsidR="00171709" w:rsidRPr="00FB5A28">
        <w:rPr>
          <w:rFonts w:ascii="Times New Roman" w:hAnsi="Times New Roman"/>
          <w:sz w:val="24"/>
          <w:szCs w:val="24"/>
        </w:rPr>
        <w:t xml:space="preserve"> </w:t>
      </w:r>
      <w:r w:rsidRPr="00FB5A28">
        <w:rPr>
          <w:rFonts w:ascii="Times New Roman" w:hAnsi="Times New Roman"/>
          <w:sz w:val="24"/>
          <w:szCs w:val="24"/>
        </w:rPr>
        <w:t>у</w:t>
      </w:r>
      <w:r w:rsidR="00171709" w:rsidRPr="00FB5A28">
        <w:rPr>
          <w:rFonts w:ascii="Times New Roman" w:hAnsi="Times New Roman"/>
          <w:sz w:val="24"/>
          <w:szCs w:val="24"/>
        </w:rPr>
        <w:t xml:space="preserve"> </w:t>
      </w:r>
      <w:r w:rsidRPr="00FB5A28">
        <w:rPr>
          <w:rFonts w:ascii="Times New Roman" w:hAnsi="Times New Roman"/>
          <w:sz w:val="24"/>
          <w:szCs w:val="24"/>
        </w:rPr>
        <w:t>наредних</w:t>
      </w:r>
      <w:r w:rsidR="00171709" w:rsidRPr="00FB5A28">
        <w:rPr>
          <w:rFonts w:ascii="Times New Roman" w:hAnsi="Times New Roman"/>
          <w:sz w:val="24"/>
          <w:szCs w:val="24"/>
        </w:rPr>
        <w:t xml:space="preserve"> 12 </w:t>
      </w:r>
      <w:r w:rsidRPr="00FB5A28">
        <w:rPr>
          <w:rFonts w:ascii="Times New Roman" w:hAnsi="Times New Roman"/>
          <w:sz w:val="24"/>
          <w:szCs w:val="24"/>
        </w:rPr>
        <w:t>месеци</w:t>
      </w:r>
      <w:r w:rsidR="00171709" w:rsidRPr="00FB5A28">
        <w:rPr>
          <w:rFonts w:ascii="Times New Roman" w:hAnsi="Times New Roman"/>
          <w:sz w:val="24"/>
          <w:szCs w:val="24"/>
        </w:rPr>
        <w:t xml:space="preserve"> </w:t>
      </w:r>
      <w:r w:rsidRPr="00FB5A28">
        <w:rPr>
          <w:rFonts w:ascii="Times New Roman" w:hAnsi="Times New Roman"/>
          <w:sz w:val="24"/>
          <w:szCs w:val="24"/>
        </w:rPr>
        <w:t>остварити</w:t>
      </w:r>
      <w:r w:rsidR="00171709" w:rsidRPr="00FB5A28">
        <w:rPr>
          <w:rFonts w:ascii="Times New Roman" w:hAnsi="Times New Roman"/>
          <w:sz w:val="24"/>
          <w:szCs w:val="24"/>
        </w:rPr>
        <w:t xml:space="preserve"> </w:t>
      </w:r>
      <w:r w:rsidRPr="00FB5A28">
        <w:rPr>
          <w:rFonts w:ascii="Times New Roman" w:hAnsi="Times New Roman"/>
          <w:sz w:val="24"/>
          <w:szCs w:val="24"/>
        </w:rPr>
        <w:t>укупан</w:t>
      </w:r>
      <w:r w:rsidR="00171709" w:rsidRPr="00FB5A28">
        <w:rPr>
          <w:rFonts w:ascii="Times New Roman" w:hAnsi="Times New Roman"/>
          <w:sz w:val="24"/>
          <w:szCs w:val="24"/>
        </w:rPr>
        <w:t xml:space="preserve"> </w:t>
      </w:r>
      <w:r w:rsidRPr="00FB5A28">
        <w:rPr>
          <w:rFonts w:ascii="Times New Roman" w:hAnsi="Times New Roman"/>
          <w:sz w:val="24"/>
          <w:szCs w:val="24"/>
        </w:rPr>
        <w:t>промет</w:t>
      </w:r>
      <w:r w:rsidR="00171709" w:rsidRPr="00FB5A28">
        <w:rPr>
          <w:rFonts w:ascii="Times New Roman" w:hAnsi="Times New Roman"/>
          <w:sz w:val="24"/>
          <w:szCs w:val="24"/>
        </w:rPr>
        <w:t xml:space="preserve"> </w:t>
      </w:r>
      <w:r w:rsidRPr="00FB5A28">
        <w:rPr>
          <w:rFonts w:ascii="Times New Roman" w:hAnsi="Times New Roman"/>
          <w:sz w:val="24"/>
          <w:szCs w:val="24"/>
        </w:rPr>
        <w:t>већи</w:t>
      </w:r>
      <w:r w:rsidR="00171709" w:rsidRPr="00FB5A28">
        <w:rPr>
          <w:rFonts w:ascii="Times New Roman" w:hAnsi="Times New Roman"/>
          <w:sz w:val="24"/>
          <w:szCs w:val="24"/>
        </w:rPr>
        <w:t xml:space="preserve"> </w:t>
      </w:r>
      <w:r w:rsidRPr="00FB5A28">
        <w:rPr>
          <w:rFonts w:ascii="Times New Roman" w:hAnsi="Times New Roman"/>
          <w:sz w:val="24"/>
          <w:szCs w:val="24"/>
        </w:rPr>
        <w:t>од</w:t>
      </w:r>
      <w:r w:rsidR="00171709" w:rsidRPr="00FB5A28">
        <w:rPr>
          <w:rFonts w:ascii="Times New Roman" w:hAnsi="Times New Roman"/>
          <w:sz w:val="24"/>
          <w:szCs w:val="24"/>
        </w:rPr>
        <w:t xml:space="preserve"> 50.000.000 </w:t>
      </w:r>
      <w:r w:rsidRPr="00FB5A28">
        <w:rPr>
          <w:rFonts w:ascii="Times New Roman" w:hAnsi="Times New Roman"/>
          <w:sz w:val="24"/>
          <w:szCs w:val="24"/>
        </w:rPr>
        <w:t>динара</w:t>
      </w:r>
      <w:r w:rsidRPr="00FB5A28">
        <w:rPr>
          <w:rFonts w:ascii="Times New Roman" w:hAnsi="Times New Roman"/>
          <w:sz w:val="24"/>
          <w:szCs w:val="24"/>
          <w:lang w:val="sr-Cyrl-CS"/>
        </w:rPr>
        <w:t xml:space="preserve">. </w:t>
      </w:r>
      <w:r w:rsidRPr="00FB5A28">
        <w:rPr>
          <w:rFonts w:ascii="Times New Roman" w:hAnsi="Times New Roman"/>
          <w:sz w:val="24"/>
          <w:szCs w:val="24"/>
        </w:rPr>
        <w:t>Порески</w:t>
      </w:r>
      <w:r w:rsidR="00171709" w:rsidRPr="00FB5A28">
        <w:rPr>
          <w:rFonts w:ascii="Times New Roman" w:hAnsi="Times New Roman"/>
          <w:sz w:val="24"/>
          <w:szCs w:val="24"/>
        </w:rPr>
        <w:t xml:space="preserve"> </w:t>
      </w:r>
      <w:r w:rsidRPr="00FB5A28">
        <w:rPr>
          <w:rFonts w:ascii="Times New Roman" w:hAnsi="Times New Roman"/>
          <w:sz w:val="24"/>
          <w:szCs w:val="24"/>
        </w:rPr>
        <w:t>период</w:t>
      </w:r>
      <w:r w:rsidR="00171709" w:rsidRPr="00FB5A28">
        <w:rPr>
          <w:rFonts w:ascii="Times New Roman" w:hAnsi="Times New Roman"/>
          <w:sz w:val="24"/>
          <w:szCs w:val="24"/>
        </w:rPr>
        <w:t xml:space="preserve"> </w:t>
      </w:r>
      <w:r w:rsidRPr="00FB5A28">
        <w:rPr>
          <w:rFonts w:ascii="Times New Roman" w:hAnsi="Times New Roman"/>
          <w:sz w:val="24"/>
          <w:szCs w:val="24"/>
        </w:rPr>
        <w:t>за</w:t>
      </w:r>
      <w:r w:rsidR="00171709" w:rsidRPr="00FB5A28">
        <w:rPr>
          <w:rFonts w:ascii="Times New Roman" w:hAnsi="Times New Roman"/>
          <w:sz w:val="24"/>
          <w:szCs w:val="24"/>
        </w:rPr>
        <w:t xml:space="preserve"> </w:t>
      </w:r>
      <w:r w:rsidRPr="00FB5A28">
        <w:rPr>
          <w:rFonts w:ascii="Times New Roman" w:hAnsi="Times New Roman"/>
          <w:sz w:val="24"/>
          <w:szCs w:val="24"/>
        </w:rPr>
        <w:t>који</w:t>
      </w:r>
      <w:r w:rsidR="00171709" w:rsidRPr="00FB5A28">
        <w:rPr>
          <w:rFonts w:ascii="Times New Roman" w:hAnsi="Times New Roman"/>
          <w:sz w:val="24"/>
          <w:szCs w:val="24"/>
        </w:rPr>
        <w:t xml:space="preserve"> </w:t>
      </w:r>
      <w:r w:rsidRPr="00FB5A28">
        <w:rPr>
          <w:rFonts w:ascii="Times New Roman" w:hAnsi="Times New Roman"/>
          <w:sz w:val="24"/>
          <w:szCs w:val="24"/>
        </w:rPr>
        <w:t>се</w:t>
      </w:r>
      <w:r w:rsidR="00171709" w:rsidRPr="00FB5A28">
        <w:rPr>
          <w:rFonts w:ascii="Times New Roman" w:hAnsi="Times New Roman"/>
          <w:sz w:val="24"/>
          <w:szCs w:val="24"/>
        </w:rPr>
        <w:t xml:space="preserve"> </w:t>
      </w:r>
      <w:r w:rsidRPr="00FB5A28">
        <w:rPr>
          <w:rFonts w:ascii="Times New Roman" w:hAnsi="Times New Roman"/>
          <w:sz w:val="24"/>
          <w:szCs w:val="24"/>
        </w:rPr>
        <w:t>обрачунава</w:t>
      </w:r>
      <w:r w:rsidR="00171709" w:rsidRPr="00FB5A28">
        <w:rPr>
          <w:rFonts w:ascii="Times New Roman" w:hAnsi="Times New Roman"/>
          <w:sz w:val="24"/>
          <w:szCs w:val="24"/>
        </w:rPr>
        <w:t xml:space="preserve"> </w:t>
      </w:r>
      <w:r w:rsidRPr="00FB5A28">
        <w:rPr>
          <w:rFonts w:ascii="Times New Roman" w:hAnsi="Times New Roman"/>
          <w:sz w:val="24"/>
          <w:szCs w:val="24"/>
        </w:rPr>
        <w:t>ПДВ</w:t>
      </w:r>
      <w:r w:rsidR="00171709" w:rsidRPr="00FB5A28">
        <w:rPr>
          <w:rFonts w:ascii="Times New Roman" w:hAnsi="Times New Roman"/>
          <w:sz w:val="24"/>
          <w:szCs w:val="24"/>
        </w:rPr>
        <w:t xml:space="preserve">, </w:t>
      </w:r>
      <w:r w:rsidRPr="00FB5A28">
        <w:rPr>
          <w:rFonts w:ascii="Times New Roman" w:hAnsi="Times New Roman"/>
          <w:sz w:val="24"/>
          <w:szCs w:val="24"/>
        </w:rPr>
        <w:t>предаје</w:t>
      </w:r>
      <w:r w:rsidR="00171709" w:rsidRPr="00FB5A28">
        <w:rPr>
          <w:rFonts w:ascii="Times New Roman" w:hAnsi="Times New Roman"/>
          <w:sz w:val="24"/>
          <w:szCs w:val="24"/>
        </w:rPr>
        <w:t xml:space="preserve"> </w:t>
      </w:r>
      <w:r w:rsidRPr="00FB5A28">
        <w:rPr>
          <w:rFonts w:ascii="Times New Roman" w:hAnsi="Times New Roman"/>
          <w:sz w:val="24"/>
          <w:szCs w:val="24"/>
        </w:rPr>
        <w:t>пореска</w:t>
      </w:r>
      <w:r w:rsidR="00171709" w:rsidRPr="00FB5A28">
        <w:rPr>
          <w:rFonts w:ascii="Times New Roman" w:hAnsi="Times New Roman"/>
          <w:sz w:val="24"/>
          <w:szCs w:val="24"/>
        </w:rPr>
        <w:t xml:space="preserve"> </w:t>
      </w:r>
      <w:r w:rsidRPr="00FB5A28">
        <w:rPr>
          <w:rFonts w:ascii="Times New Roman" w:hAnsi="Times New Roman"/>
          <w:sz w:val="24"/>
          <w:szCs w:val="24"/>
        </w:rPr>
        <w:t>пријава</w:t>
      </w:r>
      <w:r w:rsidR="00171709" w:rsidRPr="00FB5A28">
        <w:rPr>
          <w:rFonts w:ascii="Times New Roman" w:hAnsi="Times New Roman"/>
          <w:sz w:val="24"/>
          <w:szCs w:val="24"/>
        </w:rPr>
        <w:t xml:space="preserve"> </w:t>
      </w:r>
      <w:r w:rsidRPr="00FB5A28">
        <w:rPr>
          <w:rFonts w:ascii="Times New Roman" w:hAnsi="Times New Roman"/>
          <w:sz w:val="24"/>
          <w:szCs w:val="24"/>
        </w:rPr>
        <w:t>и</w:t>
      </w:r>
      <w:r w:rsidR="00171709" w:rsidRPr="00FB5A28">
        <w:rPr>
          <w:rFonts w:ascii="Times New Roman" w:hAnsi="Times New Roman"/>
          <w:sz w:val="24"/>
          <w:szCs w:val="24"/>
        </w:rPr>
        <w:t xml:space="preserve"> </w:t>
      </w:r>
      <w:r w:rsidRPr="00FB5A28">
        <w:rPr>
          <w:rFonts w:ascii="Times New Roman" w:hAnsi="Times New Roman"/>
          <w:sz w:val="24"/>
          <w:szCs w:val="24"/>
        </w:rPr>
        <w:t>плаћа</w:t>
      </w:r>
      <w:r w:rsidR="00171709" w:rsidRPr="00FB5A28">
        <w:rPr>
          <w:rFonts w:ascii="Times New Roman" w:hAnsi="Times New Roman"/>
          <w:sz w:val="24"/>
          <w:szCs w:val="24"/>
        </w:rPr>
        <w:t xml:space="preserve"> </w:t>
      </w:r>
      <w:r w:rsidRPr="00FB5A28">
        <w:rPr>
          <w:rFonts w:ascii="Times New Roman" w:hAnsi="Times New Roman"/>
          <w:sz w:val="24"/>
          <w:szCs w:val="24"/>
        </w:rPr>
        <w:t>ПДВ</w:t>
      </w:r>
      <w:r w:rsidR="00171709" w:rsidRPr="00FB5A28">
        <w:rPr>
          <w:rFonts w:ascii="Times New Roman" w:hAnsi="Times New Roman"/>
          <w:sz w:val="24"/>
          <w:szCs w:val="24"/>
        </w:rPr>
        <w:t xml:space="preserve"> </w:t>
      </w:r>
      <w:r w:rsidRPr="00FB5A28">
        <w:rPr>
          <w:rFonts w:ascii="Times New Roman" w:hAnsi="Times New Roman"/>
          <w:sz w:val="24"/>
          <w:szCs w:val="24"/>
        </w:rPr>
        <w:t>је</w:t>
      </w:r>
      <w:r w:rsidR="00171709" w:rsidRPr="00FB5A28">
        <w:rPr>
          <w:rFonts w:ascii="Times New Roman" w:hAnsi="Times New Roman"/>
          <w:sz w:val="24"/>
          <w:szCs w:val="24"/>
        </w:rPr>
        <w:t xml:space="preserve"> </w:t>
      </w:r>
      <w:r w:rsidRPr="00FB5A28">
        <w:rPr>
          <w:rFonts w:ascii="Times New Roman" w:hAnsi="Times New Roman"/>
          <w:sz w:val="24"/>
          <w:szCs w:val="24"/>
        </w:rPr>
        <w:t>календарско</w:t>
      </w:r>
      <w:r w:rsidR="00171709" w:rsidRPr="00FB5A28">
        <w:rPr>
          <w:rFonts w:ascii="Times New Roman" w:hAnsi="Times New Roman"/>
          <w:sz w:val="24"/>
          <w:szCs w:val="24"/>
        </w:rPr>
        <w:t xml:space="preserve"> </w:t>
      </w:r>
      <w:r w:rsidRPr="00FB5A28">
        <w:rPr>
          <w:rFonts w:ascii="Times New Roman" w:hAnsi="Times New Roman"/>
          <w:sz w:val="24"/>
          <w:szCs w:val="24"/>
        </w:rPr>
        <w:t>тромесечје</w:t>
      </w:r>
      <w:r w:rsidR="00171709" w:rsidRPr="00FB5A28">
        <w:rPr>
          <w:rFonts w:ascii="Times New Roman" w:hAnsi="Times New Roman"/>
          <w:sz w:val="24"/>
          <w:szCs w:val="24"/>
        </w:rPr>
        <w:t xml:space="preserve"> </w:t>
      </w:r>
      <w:r w:rsidRPr="00FB5A28">
        <w:rPr>
          <w:rFonts w:ascii="Times New Roman" w:hAnsi="Times New Roman"/>
          <w:sz w:val="24"/>
          <w:szCs w:val="24"/>
        </w:rPr>
        <w:t>за</w:t>
      </w:r>
      <w:r w:rsidR="00171709" w:rsidRPr="00FB5A28">
        <w:rPr>
          <w:rFonts w:ascii="Times New Roman" w:hAnsi="Times New Roman"/>
          <w:sz w:val="24"/>
          <w:szCs w:val="24"/>
        </w:rPr>
        <w:t xml:space="preserve"> </w:t>
      </w:r>
      <w:r w:rsidRPr="00FB5A28">
        <w:rPr>
          <w:rFonts w:ascii="Times New Roman" w:hAnsi="Times New Roman"/>
          <w:sz w:val="24"/>
          <w:szCs w:val="24"/>
        </w:rPr>
        <w:t>обвезника</w:t>
      </w:r>
      <w:r w:rsidR="00171709" w:rsidRPr="00FB5A28">
        <w:rPr>
          <w:rFonts w:ascii="Times New Roman" w:hAnsi="Times New Roman"/>
          <w:sz w:val="24"/>
          <w:szCs w:val="24"/>
        </w:rPr>
        <w:t xml:space="preserve"> </w:t>
      </w:r>
      <w:r w:rsidRPr="00FB5A28">
        <w:rPr>
          <w:rFonts w:ascii="Times New Roman" w:hAnsi="Times New Roman"/>
          <w:sz w:val="24"/>
          <w:szCs w:val="24"/>
        </w:rPr>
        <w:t>који</w:t>
      </w:r>
      <w:r w:rsidR="00171709" w:rsidRPr="00FB5A28">
        <w:rPr>
          <w:rFonts w:ascii="Times New Roman" w:hAnsi="Times New Roman"/>
          <w:sz w:val="24"/>
          <w:szCs w:val="24"/>
        </w:rPr>
        <w:t xml:space="preserve"> </w:t>
      </w:r>
      <w:r w:rsidRPr="00FB5A28">
        <w:rPr>
          <w:rFonts w:ascii="Times New Roman" w:hAnsi="Times New Roman"/>
          <w:sz w:val="24"/>
          <w:szCs w:val="24"/>
        </w:rPr>
        <w:t>је</w:t>
      </w:r>
      <w:r w:rsidR="00171709" w:rsidRPr="00FB5A28">
        <w:rPr>
          <w:rFonts w:ascii="Times New Roman" w:hAnsi="Times New Roman"/>
          <w:sz w:val="24"/>
          <w:szCs w:val="24"/>
        </w:rPr>
        <w:t xml:space="preserve"> </w:t>
      </w:r>
      <w:r w:rsidRPr="00FB5A28">
        <w:rPr>
          <w:rFonts w:ascii="Times New Roman" w:hAnsi="Times New Roman"/>
          <w:sz w:val="24"/>
          <w:szCs w:val="24"/>
        </w:rPr>
        <w:t>у</w:t>
      </w:r>
      <w:r w:rsidR="00171709" w:rsidRPr="00FB5A28">
        <w:rPr>
          <w:rFonts w:ascii="Times New Roman" w:hAnsi="Times New Roman"/>
          <w:sz w:val="24"/>
          <w:szCs w:val="24"/>
        </w:rPr>
        <w:t xml:space="preserve"> </w:t>
      </w:r>
      <w:r w:rsidRPr="00FB5A28">
        <w:rPr>
          <w:rFonts w:ascii="Times New Roman" w:hAnsi="Times New Roman"/>
          <w:sz w:val="24"/>
          <w:szCs w:val="24"/>
        </w:rPr>
        <w:t>претходних</w:t>
      </w:r>
      <w:r w:rsidR="00171709" w:rsidRPr="00FB5A28">
        <w:rPr>
          <w:rFonts w:ascii="Times New Roman" w:hAnsi="Times New Roman"/>
          <w:sz w:val="24"/>
          <w:szCs w:val="24"/>
        </w:rPr>
        <w:t xml:space="preserve"> 12 </w:t>
      </w:r>
      <w:r w:rsidRPr="00FB5A28">
        <w:rPr>
          <w:rFonts w:ascii="Times New Roman" w:hAnsi="Times New Roman"/>
          <w:sz w:val="24"/>
          <w:szCs w:val="24"/>
        </w:rPr>
        <w:t>месеци</w:t>
      </w:r>
      <w:r w:rsidR="00171709" w:rsidRPr="00FB5A28">
        <w:rPr>
          <w:rFonts w:ascii="Times New Roman" w:hAnsi="Times New Roman"/>
          <w:sz w:val="24"/>
          <w:szCs w:val="24"/>
        </w:rPr>
        <w:t xml:space="preserve"> </w:t>
      </w:r>
      <w:r w:rsidRPr="00FB5A28">
        <w:rPr>
          <w:rFonts w:ascii="Times New Roman" w:hAnsi="Times New Roman"/>
          <w:sz w:val="24"/>
          <w:szCs w:val="24"/>
        </w:rPr>
        <w:t>остварио</w:t>
      </w:r>
      <w:r w:rsidR="00171709" w:rsidRPr="00FB5A28">
        <w:rPr>
          <w:rFonts w:ascii="Times New Roman" w:hAnsi="Times New Roman"/>
          <w:sz w:val="24"/>
          <w:szCs w:val="24"/>
        </w:rPr>
        <w:t xml:space="preserve"> </w:t>
      </w:r>
      <w:r w:rsidRPr="00FB5A28">
        <w:rPr>
          <w:rFonts w:ascii="Times New Roman" w:hAnsi="Times New Roman"/>
          <w:sz w:val="24"/>
          <w:szCs w:val="24"/>
        </w:rPr>
        <w:t>укупан</w:t>
      </w:r>
      <w:r w:rsidR="00171709" w:rsidRPr="00FB5A28">
        <w:rPr>
          <w:rFonts w:ascii="Times New Roman" w:hAnsi="Times New Roman"/>
          <w:sz w:val="24"/>
          <w:szCs w:val="24"/>
        </w:rPr>
        <w:t xml:space="preserve"> </w:t>
      </w:r>
      <w:r w:rsidRPr="00FB5A28">
        <w:rPr>
          <w:rFonts w:ascii="Times New Roman" w:hAnsi="Times New Roman"/>
          <w:sz w:val="24"/>
          <w:szCs w:val="24"/>
        </w:rPr>
        <w:t>промет</w:t>
      </w:r>
      <w:r w:rsidR="00171709" w:rsidRPr="00FB5A28">
        <w:rPr>
          <w:rFonts w:ascii="Times New Roman" w:hAnsi="Times New Roman"/>
          <w:sz w:val="24"/>
          <w:szCs w:val="24"/>
        </w:rPr>
        <w:t xml:space="preserve"> </w:t>
      </w:r>
      <w:r w:rsidRPr="00FB5A28">
        <w:rPr>
          <w:rFonts w:ascii="Times New Roman" w:hAnsi="Times New Roman"/>
          <w:sz w:val="24"/>
          <w:szCs w:val="24"/>
        </w:rPr>
        <w:t>мањи</w:t>
      </w:r>
      <w:r w:rsidR="00171709" w:rsidRPr="00FB5A28">
        <w:rPr>
          <w:rFonts w:ascii="Times New Roman" w:hAnsi="Times New Roman"/>
          <w:sz w:val="24"/>
          <w:szCs w:val="24"/>
        </w:rPr>
        <w:t xml:space="preserve"> </w:t>
      </w:r>
      <w:r w:rsidRPr="00FB5A28">
        <w:rPr>
          <w:rFonts w:ascii="Times New Roman" w:hAnsi="Times New Roman"/>
          <w:sz w:val="24"/>
          <w:szCs w:val="24"/>
        </w:rPr>
        <w:t>од</w:t>
      </w:r>
      <w:r w:rsidR="00171709" w:rsidRPr="00FB5A28">
        <w:rPr>
          <w:rFonts w:ascii="Times New Roman" w:hAnsi="Times New Roman"/>
          <w:sz w:val="24"/>
          <w:szCs w:val="24"/>
        </w:rPr>
        <w:t xml:space="preserve"> 50.000.000 </w:t>
      </w:r>
      <w:r w:rsidRPr="00FB5A28">
        <w:rPr>
          <w:rFonts w:ascii="Times New Roman" w:hAnsi="Times New Roman"/>
          <w:sz w:val="24"/>
          <w:szCs w:val="24"/>
        </w:rPr>
        <w:t>динара</w:t>
      </w:r>
      <w:r w:rsidR="00171709" w:rsidRPr="00FB5A28">
        <w:rPr>
          <w:rFonts w:ascii="Times New Roman" w:hAnsi="Times New Roman"/>
          <w:sz w:val="24"/>
          <w:szCs w:val="24"/>
        </w:rPr>
        <w:t xml:space="preserve"> </w:t>
      </w:r>
      <w:r w:rsidRPr="00FB5A28">
        <w:rPr>
          <w:rFonts w:ascii="Times New Roman" w:hAnsi="Times New Roman"/>
          <w:sz w:val="24"/>
          <w:szCs w:val="24"/>
        </w:rPr>
        <w:t>или</w:t>
      </w:r>
      <w:r w:rsidR="00171709" w:rsidRPr="00FB5A28">
        <w:rPr>
          <w:rFonts w:ascii="Times New Roman" w:hAnsi="Times New Roman"/>
          <w:sz w:val="24"/>
          <w:szCs w:val="24"/>
        </w:rPr>
        <w:t xml:space="preserve"> </w:t>
      </w:r>
      <w:r w:rsidRPr="00FB5A28">
        <w:rPr>
          <w:rFonts w:ascii="Times New Roman" w:hAnsi="Times New Roman"/>
          <w:sz w:val="24"/>
          <w:szCs w:val="24"/>
        </w:rPr>
        <w:t>процењује</w:t>
      </w:r>
      <w:r w:rsidR="00171709" w:rsidRPr="00FB5A28">
        <w:rPr>
          <w:rFonts w:ascii="Times New Roman" w:hAnsi="Times New Roman"/>
          <w:sz w:val="24"/>
          <w:szCs w:val="24"/>
        </w:rPr>
        <w:t xml:space="preserve"> </w:t>
      </w:r>
      <w:r w:rsidRPr="00FB5A28">
        <w:rPr>
          <w:rFonts w:ascii="Times New Roman" w:hAnsi="Times New Roman"/>
          <w:sz w:val="24"/>
          <w:szCs w:val="24"/>
        </w:rPr>
        <w:t>да</w:t>
      </w:r>
      <w:r w:rsidR="00171709" w:rsidRPr="00FB5A28">
        <w:rPr>
          <w:rFonts w:ascii="Times New Roman" w:hAnsi="Times New Roman"/>
          <w:sz w:val="24"/>
          <w:szCs w:val="24"/>
        </w:rPr>
        <w:t xml:space="preserve"> </w:t>
      </w:r>
      <w:r w:rsidRPr="00FB5A28">
        <w:rPr>
          <w:rFonts w:ascii="Times New Roman" w:hAnsi="Times New Roman"/>
          <w:sz w:val="24"/>
          <w:szCs w:val="24"/>
        </w:rPr>
        <w:t>ће</w:t>
      </w:r>
      <w:r w:rsidR="00171709" w:rsidRPr="00FB5A28">
        <w:rPr>
          <w:rFonts w:ascii="Times New Roman" w:hAnsi="Times New Roman"/>
          <w:sz w:val="24"/>
          <w:szCs w:val="24"/>
        </w:rPr>
        <w:t xml:space="preserve"> </w:t>
      </w:r>
      <w:r w:rsidRPr="00FB5A28">
        <w:rPr>
          <w:rFonts w:ascii="Times New Roman" w:hAnsi="Times New Roman"/>
          <w:sz w:val="24"/>
          <w:szCs w:val="24"/>
        </w:rPr>
        <w:t>у</w:t>
      </w:r>
      <w:r w:rsidR="00171709" w:rsidRPr="00FB5A28">
        <w:rPr>
          <w:rFonts w:ascii="Times New Roman" w:hAnsi="Times New Roman"/>
          <w:sz w:val="24"/>
          <w:szCs w:val="24"/>
        </w:rPr>
        <w:t xml:space="preserve"> </w:t>
      </w:r>
      <w:r w:rsidRPr="00FB5A28">
        <w:rPr>
          <w:rFonts w:ascii="Times New Roman" w:hAnsi="Times New Roman"/>
          <w:sz w:val="24"/>
          <w:szCs w:val="24"/>
        </w:rPr>
        <w:t>наредних</w:t>
      </w:r>
      <w:r w:rsidR="00171709" w:rsidRPr="00FB5A28">
        <w:rPr>
          <w:rFonts w:ascii="Times New Roman" w:hAnsi="Times New Roman"/>
          <w:sz w:val="24"/>
          <w:szCs w:val="24"/>
        </w:rPr>
        <w:t xml:space="preserve"> 12 </w:t>
      </w:r>
      <w:r w:rsidRPr="00FB5A28">
        <w:rPr>
          <w:rFonts w:ascii="Times New Roman" w:hAnsi="Times New Roman"/>
          <w:sz w:val="24"/>
          <w:szCs w:val="24"/>
        </w:rPr>
        <w:t>месеци</w:t>
      </w:r>
      <w:r w:rsidR="00171709" w:rsidRPr="00FB5A28">
        <w:rPr>
          <w:rFonts w:ascii="Times New Roman" w:hAnsi="Times New Roman"/>
          <w:sz w:val="24"/>
          <w:szCs w:val="24"/>
        </w:rPr>
        <w:t xml:space="preserve"> </w:t>
      </w:r>
      <w:r w:rsidRPr="00FB5A28">
        <w:rPr>
          <w:rFonts w:ascii="Times New Roman" w:hAnsi="Times New Roman"/>
          <w:sz w:val="24"/>
          <w:szCs w:val="24"/>
        </w:rPr>
        <w:t>остварити</w:t>
      </w:r>
      <w:r w:rsidR="00171709" w:rsidRPr="00FB5A28">
        <w:rPr>
          <w:rFonts w:ascii="Times New Roman" w:hAnsi="Times New Roman"/>
          <w:sz w:val="24"/>
          <w:szCs w:val="24"/>
        </w:rPr>
        <w:t xml:space="preserve"> </w:t>
      </w:r>
      <w:r w:rsidRPr="00FB5A28">
        <w:rPr>
          <w:rFonts w:ascii="Times New Roman" w:hAnsi="Times New Roman"/>
          <w:sz w:val="24"/>
          <w:szCs w:val="24"/>
        </w:rPr>
        <w:t>укупан</w:t>
      </w:r>
      <w:r w:rsidR="00171709" w:rsidRPr="00FB5A28">
        <w:rPr>
          <w:rFonts w:ascii="Times New Roman" w:hAnsi="Times New Roman"/>
          <w:sz w:val="24"/>
          <w:szCs w:val="24"/>
        </w:rPr>
        <w:t xml:space="preserve"> </w:t>
      </w:r>
      <w:r w:rsidRPr="00FB5A28">
        <w:rPr>
          <w:rFonts w:ascii="Times New Roman" w:hAnsi="Times New Roman"/>
          <w:sz w:val="24"/>
          <w:szCs w:val="24"/>
        </w:rPr>
        <w:t>промет</w:t>
      </w:r>
      <w:r w:rsidR="00171709" w:rsidRPr="00FB5A28">
        <w:rPr>
          <w:rFonts w:ascii="Times New Roman" w:hAnsi="Times New Roman"/>
          <w:sz w:val="24"/>
          <w:szCs w:val="24"/>
        </w:rPr>
        <w:t xml:space="preserve"> </w:t>
      </w:r>
      <w:r w:rsidRPr="00FB5A28">
        <w:rPr>
          <w:rFonts w:ascii="Times New Roman" w:hAnsi="Times New Roman"/>
          <w:sz w:val="24"/>
          <w:szCs w:val="24"/>
        </w:rPr>
        <w:t>мањи</w:t>
      </w:r>
      <w:r w:rsidR="00171709" w:rsidRPr="00FB5A28">
        <w:rPr>
          <w:rFonts w:ascii="Times New Roman" w:hAnsi="Times New Roman"/>
          <w:sz w:val="24"/>
          <w:szCs w:val="24"/>
        </w:rPr>
        <w:t xml:space="preserve"> </w:t>
      </w:r>
      <w:r w:rsidRPr="00FB5A28">
        <w:rPr>
          <w:rFonts w:ascii="Times New Roman" w:hAnsi="Times New Roman"/>
          <w:sz w:val="24"/>
          <w:szCs w:val="24"/>
        </w:rPr>
        <w:t>од 50.000.000 ди</w:t>
      </w:r>
      <w:r w:rsidRPr="00FB5A28">
        <w:rPr>
          <w:rFonts w:ascii="Times New Roman" w:hAnsi="Times New Roman"/>
          <w:sz w:val="24"/>
          <w:szCs w:val="24"/>
          <w:lang w:val="sr-Cyrl-CS"/>
        </w:rPr>
        <w:t>нара</w:t>
      </w:r>
      <w:r w:rsidR="00171709" w:rsidRPr="00FB5A28">
        <w:rPr>
          <w:rFonts w:ascii="Times New Roman" w:hAnsi="Times New Roman"/>
          <w:sz w:val="24"/>
          <w:szCs w:val="24"/>
        </w:rPr>
        <w:t>.</w:t>
      </w:r>
    </w:p>
    <w:p w:rsidR="00171709" w:rsidRPr="00FB5A28" w:rsidRDefault="006E5E89" w:rsidP="00FB5A28">
      <w:pPr>
        <w:ind w:firstLine="708"/>
        <w:jc w:val="both"/>
        <w:rPr>
          <w:rFonts w:ascii="Times New Roman" w:hAnsi="Times New Roman"/>
          <w:b/>
          <w:bCs/>
          <w:sz w:val="24"/>
          <w:szCs w:val="24"/>
          <w:lang w:val="sr-Cyrl-CS"/>
        </w:rPr>
      </w:pPr>
      <w:bookmarkStart w:id="18" w:name="clan_38"/>
      <w:bookmarkEnd w:id="18"/>
      <w:r w:rsidRPr="00FB5A28">
        <w:rPr>
          <w:rFonts w:ascii="Times New Roman" w:hAnsi="Times New Roman"/>
          <w:sz w:val="24"/>
          <w:szCs w:val="24"/>
        </w:rPr>
        <w:t>Обвезник</w:t>
      </w:r>
      <w:r w:rsidR="00171709" w:rsidRPr="00FB5A28">
        <w:rPr>
          <w:rFonts w:ascii="Times New Roman" w:hAnsi="Times New Roman"/>
          <w:sz w:val="24"/>
          <w:szCs w:val="24"/>
        </w:rPr>
        <w:t xml:space="preserve"> </w:t>
      </w:r>
      <w:r w:rsidRPr="00FB5A28">
        <w:rPr>
          <w:rFonts w:ascii="Times New Roman" w:hAnsi="Times New Roman"/>
          <w:sz w:val="24"/>
          <w:szCs w:val="24"/>
        </w:rPr>
        <w:t>који</w:t>
      </w:r>
      <w:r w:rsidR="00171709" w:rsidRPr="00FB5A28">
        <w:rPr>
          <w:rFonts w:ascii="Times New Roman" w:hAnsi="Times New Roman"/>
          <w:sz w:val="24"/>
          <w:szCs w:val="24"/>
        </w:rPr>
        <w:t xml:space="preserve"> </w:t>
      </w:r>
      <w:r w:rsidRPr="00FB5A28">
        <w:rPr>
          <w:rFonts w:ascii="Times New Roman" w:hAnsi="Times New Roman"/>
          <w:sz w:val="24"/>
          <w:szCs w:val="24"/>
        </w:rPr>
        <w:t>је</w:t>
      </w:r>
      <w:r w:rsidR="00171709" w:rsidRPr="00FB5A28">
        <w:rPr>
          <w:rFonts w:ascii="Times New Roman" w:hAnsi="Times New Roman"/>
          <w:sz w:val="24"/>
          <w:szCs w:val="24"/>
        </w:rPr>
        <w:t xml:space="preserve"> </w:t>
      </w:r>
      <w:r w:rsidRPr="00FB5A28">
        <w:rPr>
          <w:rFonts w:ascii="Times New Roman" w:hAnsi="Times New Roman"/>
          <w:sz w:val="24"/>
          <w:szCs w:val="24"/>
        </w:rPr>
        <w:t>у</w:t>
      </w:r>
      <w:r w:rsidR="00171709" w:rsidRPr="00FB5A28">
        <w:rPr>
          <w:rFonts w:ascii="Times New Roman" w:hAnsi="Times New Roman"/>
          <w:sz w:val="24"/>
          <w:szCs w:val="24"/>
        </w:rPr>
        <w:t xml:space="preserve"> </w:t>
      </w:r>
      <w:r w:rsidRPr="00FB5A28">
        <w:rPr>
          <w:rFonts w:ascii="Times New Roman" w:hAnsi="Times New Roman"/>
          <w:sz w:val="24"/>
          <w:szCs w:val="24"/>
        </w:rPr>
        <w:t>претходних</w:t>
      </w:r>
      <w:r w:rsidR="00171709" w:rsidRPr="00FB5A28">
        <w:rPr>
          <w:rFonts w:ascii="Times New Roman" w:hAnsi="Times New Roman"/>
          <w:sz w:val="24"/>
          <w:szCs w:val="24"/>
        </w:rPr>
        <w:t xml:space="preserve"> 12 </w:t>
      </w:r>
      <w:r w:rsidRPr="00FB5A28">
        <w:rPr>
          <w:rFonts w:ascii="Times New Roman" w:hAnsi="Times New Roman"/>
          <w:sz w:val="24"/>
          <w:szCs w:val="24"/>
        </w:rPr>
        <w:t>месеци</w:t>
      </w:r>
      <w:r w:rsidR="00171709" w:rsidRPr="00FB5A28">
        <w:rPr>
          <w:rFonts w:ascii="Times New Roman" w:hAnsi="Times New Roman"/>
          <w:sz w:val="24"/>
          <w:szCs w:val="24"/>
        </w:rPr>
        <w:t xml:space="preserve"> </w:t>
      </w:r>
      <w:r w:rsidRPr="00FB5A28">
        <w:rPr>
          <w:rFonts w:ascii="Times New Roman" w:hAnsi="Times New Roman"/>
          <w:sz w:val="24"/>
          <w:szCs w:val="24"/>
        </w:rPr>
        <w:t>остварио</w:t>
      </w:r>
      <w:r w:rsidR="00171709" w:rsidRPr="00FB5A28">
        <w:rPr>
          <w:rFonts w:ascii="Times New Roman" w:hAnsi="Times New Roman"/>
          <w:sz w:val="24"/>
          <w:szCs w:val="24"/>
        </w:rPr>
        <w:t xml:space="preserve"> </w:t>
      </w:r>
      <w:r w:rsidRPr="00FB5A28">
        <w:rPr>
          <w:rFonts w:ascii="Times New Roman" w:hAnsi="Times New Roman"/>
          <w:sz w:val="24"/>
          <w:szCs w:val="24"/>
        </w:rPr>
        <w:t>укупан</w:t>
      </w:r>
      <w:r w:rsidR="00171709" w:rsidRPr="00FB5A28">
        <w:rPr>
          <w:rFonts w:ascii="Times New Roman" w:hAnsi="Times New Roman"/>
          <w:sz w:val="24"/>
          <w:szCs w:val="24"/>
        </w:rPr>
        <w:t xml:space="preserve"> </w:t>
      </w:r>
      <w:r w:rsidRPr="00FB5A28">
        <w:rPr>
          <w:rFonts w:ascii="Times New Roman" w:hAnsi="Times New Roman"/>
          <w:sz w:val="24"/>
          <w:szCs w:val="24"/>
        </w:rPr>
        <w:t>промет</w:t>
      </w:r>
      <w:r w:rsidR="00171709" w:rsidRPr="00FB5A28">
        <w:rPr>
          <w:rFonts w:ascii="Times New Roman" w:hAnsi="Times New Roman"/>
          <w:sz w:val="24"/>
          <w:szCs w:val="24"/>
        </w:rPr>
        <w:t xml:space="preserve"> </w:t>
      </w:r>
      <w:r w:rsidRPr="00FB5A28">
        <w:rPr>
          <w:rFonts w:ascii="Times New Roman" w:hAnsi="Times New Roman"/>
          <w:sz w:val="24"/>
          <w:szCs w:val="24"/>
        </w:rPr>
        <w:t>већи</w:t>
      </w:r>
      <w:r w:rsidR="00171709" w:rsidRPr="00FB5A28">
        <w:rPr>
          <w:rFonts w:ascii="Times New Roman" w:hAnsi="Times New Roman"/>
          <w:sz w:val="24"/>
          <w:szCs w:val="24"/>
        </w:rPr>
        <w:t xml:space="preserve"> </w:t>
      </w:r>
      <w:r w:rsidRPr="00FB5A28">
        <w:rPr>
          <w:rFonts w:ascii="Times New Roman" w:hAnsi="Times New Roman"/>
          <w:sz w:val="24"/>
          <w:szCs w:val="24"/>
        </w:rPr>
        <w:t>од</w:t>
      </w:r>
      <w:r w:rsidR="00171709" w:rsidRPr="00FB5A28">
        <w:rPr>
          <w:rFonts w:ascii="Times New Roman" w:hAnsi="Times New Roman"/>
          <w:sz w:val="24"/>
          <w:szCs w:val="24"/>
        </w:rPr>
        <w:t xml:space="preserve"> 8.000.000 </w:t>
      </w:r>
      <w:r w:rsidRPr="00FB5A28">
        <w:rPr>
          <w:rFonts w:ascii="Times New Roman" w:hAnsi="Times New Roman"/>
          <w:sz w:val="24"/>
          <w:szCs w:val="24"/>
        </w:rPr>
        <w:t>динара</w:t>
      </w:r>
      <w:r w:rsidR="00171709" w:rsidRPr="00FB5A28">
        <w:rPr>
          <w:rFonts w:ascii="Times New Roman" w:hAnsi="Times New Roman"/>
          <w:sz w:val="24"/>
          <w:szCs w:val="24"/>
        </w:rPr>
        <w:t xml:space="preserve"> </w:t>
      </w:r>
      <w:r w:rsidRPr="00FB5A28">
        <w:rPr>
          <w:rFonts w:ascii="Times New Roman" w:hAnsi="Times New Roman"/>
          <w:sz w:val="24"/>
          <w:szCs w:val="24"/>
        </w:rPr>
        <w:t>дужан</w:t>
      </w:r>
      <w:r w:rsidR="00171709" w:rsidRPr="00FB5A28">
        <w:rPr>
          <w:rFonts w:ascii="Times New Roman" w:hAnsi="Times New Roman"/>
          <w:sz w:val="24"/>
          <w:szCs w:val="24"/>
        </w:rPr>
        <w:t xml:space="preserve"> </w:t>
      </w:r>
      <w:r w:rsidRPr="00FB5A28">
        <w:rPr>
          <w:rFonts w:ascii="Times New Roman" w:hAnsi="Times New Roman"/>
          <w:sz w:val="24"/>
          <w:szCs w:val="24"/>
        </w:rPr>
        <w:t>је</w:t>
      </w:r>
      <w:r w:rsidR="00171709" w:rsidRPr="00FB5A28">
        <w:rPr>
          <w:rFonts w:ascii="Times New Roman" w:hAnsi="Times New Roman"/>
          <w:sz w:val="24"/>
          <w:szCs w:val="24"/>
        </w:rPr>
        <w:t xml:space="preserve"> </w:t>
      </w:r>
      <w:r w:rsidRPr="00FB5A28">
        <w:rPr>
          <w:rFonts w:ascii="Times New Roman" w:hAnsi="Times New Roman"/>
          <w:sz w:val="24"/>
          <w:szCs w:val="24"/>
        </w:rPr>
        <w:t>да</w:t>
      </w:r>
      <w:r w:rsidR="00171709" w:rsidRPr="00FB5A28">
        <w:rPr>
          <w:rFonts w:ascii="Times New Roman" w:hAnsi="Times New Roman"/>
          <w:sz w:val="24"/>
          <w:szCs w:val="24"/>
        </w:rPr>
        <w:t xml:space="preserve">, </w:t>
      </w:r>
      <w:r w:rsidRPr="00FB5A28">
        <w:rPr>
          <w:rFonts w:ascii="Times New Roman" w:hAnsi="Times New Roman"/>
          <w:sz w:val="24"/>
          <w:szCs w:val="24"/>
        </w:rPr>
        <w:t>поднесе</w:t>
      </w:r>
      <w:r w:rsidR="00171709" w:rsidRPr="00FB5A28">
        <w:rPr>
          <w:rFonts w:ascii="Times New Roman" w:hAnsi="Times New Roman"/>
          <w:sz w:val="24"/>
          <w:szCs w:val="24"/>
        </w:rPr>
        <w:t xml:space="preserve"> </w:t>
      </w:r>
      <w:r w:rsidRPr="00FB5A28">
        <w:rPr>
          <w:rFonts w:ascii="Times New Roman" w:hAnsi="Times New Roman"/>
          <w:sz w:val="24"/>
          <w:szCs w:val="24"/>
        </w:rPr>
        <w:t>евиденциону</w:t>
      </w:r>
      <w:r w:rsidR="00171709" w:rsidRPr="00FB5A28">
        <w:rPr>
          <w:rFonts w:ascii="Times New Roman" w:hAnsi="Times New Roman"/>
          <w:sz w:val="24"/>
          <w:szCs w:val="24"/>
        </w:rPr>
        <w:t xml:space="preserve"> </w:t>
      </w:r>
      <w:r w:rsidRPr="00FB5A28">
        <w:rPr>
          <w:rFonts w:ascii="Times New Roman" w:hAnsi="Times New Roman"/>
          <w:sz w:val="24"/>
          <w:szCs w:val="24"/>
        </w:rPr>
        <w:t>пријаву</w:t>
      </w:r>
      <w:r w:rsidR="00171709" w:rsidRPr="00FB5A28">
        <w:rPr>
          <w:rFonts w:ascii="Times New Roman" w:hAnsi="Times New Roman"/>
          <w:sz w:val="24"/>
          <w:szCs w:val="24"/>
        </w:rPr>
        <w:t xml:space="preserve"> </w:t>
      </w:r>
      <w:r w:rsidRPr="00FB5A28">
        <w:rPr>
          <w:rFonts w:ascii="Times New Roman" w:hAnsi="Times New Roman"/>
          <w:sz w:val="24"/>
          <w:szCs w:val="24"/>
        </w:rPr>
        <w:t>надлежном</w:t>
      </w:r>
      <w:r w:rsidR="00171709" w:rsidRPr="00FB5A28">
        <w:rPr>
          <w:rFonts w:ascii="Times New Roman" w:hAnsi="Times New Roman"/>
          <w:sz w:val="24"/>
          <w:szCs w:val="24"/>
        </w:rPr>
        <w:t xml:space="preserve"> </w:t>
      </w:r>
      <w:r w:rsidRPr="00FB5A28">
        <w:rPr>
          <w:rFonts w:ascii="Times New Roman" w:hAnsi="Times New Roman"/>
          <w:sz w:val="24"/>
          <w:szCs w:val="24"/>
        </w:rPr>
        <w:t>пореском</w:t>
      </w:r>
      <w:r w:rsidR="00171709" w:rsidRPr="00FB5A28">
        <w:rPr>
          <w:rFonts w:ascii="Times New Roman" w:hAnsi="Times New Roman"/>
          <w:sz w:val="24"/>
          <w:szCs w:val="24"/>
        </w:rPr>
        <w:t xml:space="preserve"> </w:t>
      </w:r>
      <w:r w:rsidRPr="00FB5A28">
        <w:rPr>
          <w:rFonts w:ascii="Times New Roman" w:hAnsi="Times New Roman"/>
          <w:sz w:val="24"/>
          <w:szCs w:val="24"/>
        </w:rPr>
        <w:t>органу</w:t>
      </w:r>
      <w:r w:rsidR="00171709" w:rsidRPr="00FB5A28">
        <w:rPr>
          <w:rFonts w:ascii="Times New Roman" w:hAnsi="Times New Roman"/>
          <w:sz w:val="24"/>
          <w:szCs w:val="24"/>
        </w:rPr>
        <w:t>.</w:t>
      </w:r>
      <w:r w:rsidRPr="00FB5A28">
        <w:rPr>
          <w:rFonts w:ascii="Times New Roman" w:hAnsi="Times New Roman"/>
          <w:sz w:val="24"/>
          <w:szCs w:val="24"/>
          <w:lang w:val="sr-Cyrl-CS"/>
        </w:rPr>
        <w:t xml:space="preserve"> </w:t>
      </w:r>
      <w:r w:rsidRPr="00FB5A28">
        <w:rPr>
          <w:rFonts w:ascii="Times New Roman" w:hAnsi="Times New Roman"/>
          <w:sz w:val="24"/>
          <w:szCs w:val="24"/>
        </w:rPr>
        <w:t>Евиденциону</w:t>
      </w:r>
      <w:r w:rsidR="00171709" w:rsidRPr="00FB5A28">
        <w:rPr>
          <w:rFonts w:ascii="Times New Roman" w:hAnsi="Times New Roman"/>
          <w:sz w:val="24"/>
          <w:szCs w:val="24"/>
        </w:rPr>
        <w:t xml:space="preserve"> </w:t>
      </w:r>
      <w:r w:rsidRPr="00FB5A28">
        <w:rPr>
          <w:rFonts w:ascii="Times New Roman" w:hAnsi="Times New Roman"/>
          <w:sz w:val="24"/>
          <w:szCs w:val="24"/>
        </w:rPr>
        <w:t>пријаву</w:t>
      </w:r>
      <w:r w:rsidR="00171709" w:rsidRPr="00FB5A28">
        <w:rPr>
          <w:rFonts w:ascii="Times New Roman" w:hAnsi="Times New Roman"/>
          <w:sz w:val="24"/>
          <w:szCs w:val="24"/>
        </w:rPr>
        <w:t xml:space="preserve"> </w:t>
      </w:r>
      <w:r w:rsidRPr="00FB5A28">
        <w:rPr>
          <w:rFonts w:ascii="Times New Roman" w:hAnsi="Times New Roman"/>
          <w:sz w:val="24"/>
          <w:szCs w:val="24"/>
        </w:rPr>
        <w:t>подноси</w:t>
      </w:r>
      <w:r w:rsidR="00171709" w:rsidRPr="00FB5A28">
        <w:rPr>
          <w:rFonts w:ascii="Times New Roman" w:hAnsi="Times New Roman"/>
          <w:sz w:val="24"/>
          <w:szCs w:val="24"/>
        </w:rPr>
        <w:t xml:space="preserve"> </w:t>
      </w:r>
      <w:r w:rsidRPr="00FB5A28">
        <w:rPr>
          <w:rFonts w:ascii="Times New Roman" w:hAnsi="Times New Roman"/>
          <w:sz w:val="24"/>
          <w:szCs w:val="24"/>
        </w:rPr>
        <w:t>и</w:t>
      </w:r>
      <w:r w:rsidR="00171709" w:rsidRPr="00FB5A28">
        <w:rPr>
          <w:rFonts w:ascii="Times New Roman" w:hAnsi="Times New Roman"/>
          <w:sz w:val="24"/>
          <w:szCs w:val="24"/>
        </w:rPr>
        <w:t xml:space="preserve"> </w:t>
      </w:r>
      <w:r w:rsidRPr="00FB5A28">
        <w:rPr>
          <w:rFonts w:ascii="Times New Roman" w:hAnsi="Times New Roman"/>
          <w:sz w:val="24"/>
          <w:szCs w:val="24"/>
        </w:rPr>
        <w:t>мали</w:t>
      </w:r>
      <w:r w:rsidR="00171709" w:rsidRPr="00FB5A28">
        <w:rPr>
          <w:rFonts w:ascii="Times New Roman" w:hAnsi="Times New Roman"/>
          <w:sz w:val="24"/>
          <w:szCs w:val="24"/>
        </w:rPr>
        <w:t xml:space="preserve"> </w:t>
      </w:r>
      <w:r w:rsidRPr="00FB5A28">
        <w:rPr>
          <w:rFonts w:ascii="Times New Roman" w:hAnsi="Times New Roman"/>
          <w:sz w:val="24"/>
          <w:szCs w:val="24"/>
        </w:rPr>
        <w:t>обвезник</w:t>
      </w:r>
      <w:r w:rsidR="00171709" w:rsidRPr="00FB5A28">
        <w:rPr>
          <w:rFonts w:ascii="Times New Roman" w:hAnsi="Times New Roman"/>
          <w:sz w:val="24"/>
          <w:szCs w:val="24"/>
        </w:rPr>
        <w:t xml:space="preserve">, </w:t>
      </w:r>
      <w:r w:rsidRPr="00FB5A28">
        <w:rPr>
          <w:rFonts w:ascii="Times New Roman" w:hAnsi="Times New Roman"/>
          <w:sz w:val="24"/>
          <w:szCs w:val="24"/>
        </w:rPr>
        <w:t>односно</w:t>
      </w:r>
      <w:r w:rsidR="00171709" w:rsidRPr="00FB5A28">
        <w:rPr>
          <w:rFonts w:ascii="Times New Roman" w:hAnsi="Times New Roman"/>
          <w:sz w:val="24"/>
          <w:szCs w:val="24"/>
        </w:rPr>
        <w:t xml:space="preserve"> </w:t>
      </w:r>
      <w:r w:rsidRPr="00FB5A28">
        <w:rPr>
          <w:rFonts w:ascii="Times New Roman" w:hAnsi="Times New Roman"/>
          <w:sz w:val="24"/>
          <w:szCs w:val="24"/>
        </w:rPr>
        <w:t>пољопривредник</w:t>
      </w:r>
      <w:r w:rsidR="00171709" w:rsidRPr="00FB5A28">
        <w:rPr>
          <w:rFonts w:ascii="Times New Roman" w:hAnsi="Times New Roman"/>
          <w:sz w:val="24"/>
          <w:szCs w:val="24"/>
        </w:rPr>
        <w:t xml:space="preserve"> </w:t>
      </w:r>
      <w:r w:rsidRPr="00FB5A28">
        <w:rPr>
          <w:rFonts w:ascii="Times New Roman" w:hAnsi="Times New Roman"/>
          <w:sz w:val="24"/>
          <w:szCs w:val="24"/>
        </w:rPr>
        <w:t>који</w:t>
      </w:r>
      <w:r w:rsidR="00171709" w:rsidRPr="00FB5A28">
        <w:rPr>
          <w:rFonts w:ascii="Times New Roman" w:hAnsi="Times New Roman"/>
          <w:sz w:val="24"/>
          <w:szCs w:val="24"/>
        </w:rPr>
        <w:t xml:space="preserve"> </w:t>
      </w:r>
      <w:r w:rsidRPr="00FB5A28">
        <w:rPr>
          <w:rFonts w:ascii="Times New Roman" w:hAnsi="Times New Roman"/>
          <w:sz w:val="24"/>
          <w:szCs w:val="24"/>
        </w:rPr>
        <w:t>се</w:t>
      </w:r>
      <w:r w:rsidR="00171709" w:rsidRPr="00FB5A28">
        <w:rPr>
          <w:rFonts w:ascii="Times New Roman" w:hAnsi="Times New Roman"/>
          <w:sz w:val="24"/>
          <w:szCs w:val="24"/>
        </w:rPr>
        <w:t xml:space="preserve"> </w:t>
      </w:r>
      <w:r w:rsidRPr="00FB5A28">
        <w:rPr>
          <w:rFonts w:ascii="Times New Roman" w:hAnsi="Times New Roman"/>
          <w:sz w:val="24"/>
          <w:szCs w:val="24"/>
        </w:rPr>
        <w:t>определио</w:t>
      </w:r>
      <w:r w:rsidR="00171709" w:rsidRPr="00FB5A28">
        <w:rPr>
          <w:rFonts w:ascii="Times New Roman" w:hAnsi="Times New Roman"/>
          <w:sz w:val="24"/>
          <w:szCs w:val="24"/>
        </w:rPr>
        <w:t xml:space="preserve"> </w:t>
      </w:r>
      <w:r w:rsidRPr="00FB5A28">
        <w:rPr>
          <w:rFonts w:ascii="Times New Roman" w:hAnsi="Times New Roman"/>
          <w:sz w:val="24"/>
          <w:szCs w:val="24"/>
        </w:rPr>
        <w:t>за</w:t>
      </w:r>
      <w:r w:rsidR="00171709" w:rsidRPr="00FB5A28">
        <w:rPr>
          <w:rFonts w:ascii="Times New Roman" w:hAnsi="Times New Roman"/>
          <w:sz w:val="24"/>
          <w:szCs w:val="24"/>
        </w:rPr>
        <w:t xml:space="preserve"> </w:t>
      </w:r>
      <w:r w:rsidRPr="00FB5A28">
        <w:rPr>
          <w:rFonts w:ascii="Times New Roman" w:hAnsi="Times New Roman"/>
          <w:sz w:val="24"/>
          <w:szCs w:val="24"/>
        </w:rPr>
        <w:t>обавезу</w:t>
      </w:r>
      <w:r w:rsidR="00171709" w:rsidRPr="00FB5A28">
        <w:rPr>
          <w:rFonts w:ascii="Times New Roman" w:hAnsi="Times New Roman"/>
          <w:sz w:val="24"/>
          <w:szCs w:val="24"/>
        </w:rPr>
        <w:t xml:space="preserve"> </w:t>
      </w:r>
      <w:r w:rsidRPr="00FB5A28">
        <w:rPr>
          <w:rFonts w:ascii="Times New Roman" w:hAnsi="Times New Roman"/>
          <w:sz w:val="24"/>
          <w:szCs w:val="24"/>
        </w:rPr>
        <w:t>плаћања</w:t>
      </w:r>
      <w:r w:rsidR="00171709" w:rsidRPr="00FB5A28">
        <w:rPr>
          <w:rFonts w:ascii="Times New Roman" w:hAnsi="Times New Roman"/>
          <w:sz w:val="24"/>
          <w:szCs w:val="24"/>
        </w:rPr>
        <w:t xml:space="preserve"> </w:t>
      </w:r>
      <w:r w:rsidRPr="00FB5A28">
        <w:rPr>
          <w:rFonts w:ascii="Times New Roman" w:hAnsi="Times New Roman"/>
          <w:sz w:val="24"/>
          <w:szCs w:val="24"/>
        </w:rPr>
        <w:t>ПДВ</w:t>
      </w:r>
      <w:r w:rsidR="00171709" w:rsidRPr="00FB5A28">
        <w:rPr>
          <w:rFonts w:ascii="Times New Roman" w:hAnsi="Times New Roman"/>
          <w:sz w:val="24"/>
          <w:szCs w:val="24"/>
        </w:rPr>
        <w:t>.</w:t>
      </w:r>
      <w:r w:rsidRPr="00FB5A28">
        <w:rPr>
          <w:rFonts w:ascii="Times New Roman" w:hAnsi="Times New Roman"/>
          <w:sz w:val="24"/>
          <w:szCs w:val="24"/>
          <w:lang w:val="sr-Cyrl-CS"/>
        </w:rPr>
        <w:t xml:space="preserve"> </w:t>
      </w:r>
      <w:r w:rsidRPr="00FB5A28">
        <w:rPr>
          <w:rFonts w:ascii="Times New Roman" w:hAnsi="Times New Roman"/>
          <w:sz w:val="24"/>
          <w:szCs w:val="24"/>
        </w:rPr>
        <w:t>Надлежни</w:t>
      </w:r>
      <w:r w:rsidR="00171709" w:rsidRPr="00FB5A28">
        <w:rPr>
          <w:rFonts w:ascii="Times New Roman" w:hAnsi="Times New Roman"/>
          <w:sz w:val="24"/>
          <w:szCs w:val="24"/>
        </w:rPr>
        <w:t xml:space="preserve"> </w:t>
      </w:r>
      <w:r w:rsidRPr="00FB5A28">
        <w:rPr>
          <w:rFonts w:ascii="Times New Roman" w:hAnsi="Times New Roman"/>
          <w:sz w:val="24"/>
          <w:szCs w:val="24"/>
        </w:rPr>
        <w:t>порески</w:t>
      </w:r>
      <w:r w:rsidR="00171709" w:rsidRPr="00FB5A28">
        <w:rPr>
          <w:rFonts w:ascii="Times New Roman" w:hAnsi="Times New Roman"/>
          <w:sz w:val="24"/>
          <w:szCs w:val="24"/>
        </w:rPr>
        <w:t xml:space="preserve"> </w:t>
      </w:r>
      <w:r w:rsidRPr="00FB5A28">
        <w:rPr>
          <w:rFonts w:ascii="Times New Roman" w:hAnsi="Times New Roman"/>
          <w:sz w:val="24"/>
          <w:szCs w:val="24"/>
        </w:rPr>
        <w:t>орган</w:t>
      </w:r>
      <w:r w:rsidR="00171709" w:rsidRPr="00FB5A28">
        <w:rPr>
          <w:rFonts w:ascii="Times New Roman" w:hAnsi="Times New Roman"/>
          <w:sz w:val="24"/>
          <w:szCs w:val="24"/>
        </w:rPr>
        <w:t xml:space="preserve"> </w:t>
      </w:r>
      <w:r w:rsidRPr="00FB5A28">
        <w:rPr>
          <w:rFonts w:ascii="Times New Roman" w:hAnsi="Times New Roman"/>
          <w:sz w:val="24"/>
          <w:szCs w:val="24"/>
        </w:rPr>
        <w:t>обвезнику</w:t>
      </w:r>
      <w:r w:rsidR="00171709" w:rsidRPr="00FB5A28">
        <w:rPr>
          <w:rFonts w:ascii="Times New Roman" w:hAnsi="Times New Roman"/>
          <w:sz w:val="24"/>
          <w:szCs w:val="24"/>
        </w:rPr>
        <w:t xml:space="preserve"> </w:t>
      </w:r>
      <w:r w:rsidRPr="00FB5A28">
        <w:rPr>
          <w:rFonts w:ascii="Times New Roman" w:hAnsi="Times New Roman"/>
          <w:sz w:val="24"/>
          <w:szCs w:val="24"/>
        </w:rPr>
        <w:t>издаје</w:t>
      </w:r>
      <w:r w:rsidR="00171709" w:rsidRPr="00FB5A28">
        <w:rPr>
          <w:rFonts w:ascii="Times New Roman" w:hAnsi="Times New Roman"/>
          <w:sz w:val="24"/>
          <w:szCs w:val="24"/>
        </w:rPr>
        <w:t xml:space="preserve"> </w:t>
      </w:r>
      <w:r w:rsidRPr="00FB5A28">
        <w:rPr>
          <w:rFonts w:ascii="Times New Roman" w:hAnsi="Times New Roman"/>
          <w:sz w:val="24"/>
          <w:szCs w:val="24"/>
        </w:rPr>
        <w:t>потврду</w:t>
      </w:r>
      <w:r w:rsidR="00171709" w:rsidRPr="00FB5A28">
        <w:rPr>
          <w:rFonts w:ascii="Times New Roman" w:hAnsi="Times New Roman"/>
          <w:sz w:val="24"/>
          <w:szCs w:val="24"/>
        </w:rPr>
        <w:t xml:space="preserve"> </w:t>
      </w:r>
      <w:r w:rsidRPr="00FB5A28">
        <w:rPr>
          <w:rFonts w:ascii="Times New Roman" w:hAnsi="Times New Roman"/>
          <w:sz w:val="24"/>
          <w:szCs w:val="24"/>
        </w:rPr>
        <w:t>о</w:t>
      </w:r>
      <w:r w:rsidR="00171709" w:rsidRPr="00FB5A28">
        <w:rPr>
          <w:rFonts w:ascii="Times New Roman" w:hAnsi="Times New Roman"/>
          <w:sz w:val="24"/>
          <w:szCs w:val="24"/>
        </w:rPr>
        <w:t xml:space="preserve"> </w:t>
      </w:r>
      <w:r w:rsidRPr="00FB5A28">
        <w:rPr>
          <w:rFonts w:ascii="Times New Roman" w:hAnsi="Times New Roman"/>
          <w:sz w:val="24"/>
          <w:szCs w:val="24"/>
        </w:rPr>
        <w:t>извршеном</w:t>
      </w:r>
      <w:r w:rsidR="00171709" w:rsidRPr="00FB5A28">
        <w:rPr>
          <w:rFonts w:ascii="Times New Roman" w:hAnsi="Times New Roman"/>
          <w:sz w:val="24"/>
          <w:szCs w:val="24"/>
        </w:rPr>
        <w:t xml:space="preserve"> </w:t>
      </w:r>
      <w:r w:rsidRPr="00FB5A28">
        <w:rPr>
          <w:rFonts w:ascii="Times New Roman" w:hAnsi="Times New Roman"/>
          <w:sz w:val="24"/>
          <w:szCs w:val="24"/>
        </w:rPr>
        <w:t>евидентирању</w:t>
      </w:r>
      <w:r w:rsidR="00171709" w:rsidRPr="00FB5A28">
        <w:rPr>
          <w:rFonts w:ascii="Times New Roman" w:hAnsi="Times New Roman"/>
          <w:sz w:val="24"/>
          <w:szCs w:val="24"/>
        </w:rPr>
        <w:t xml:space="preserve"> </w:t>
      </w:r>
      <w:r w:rsidRPr="00FB5A28">
        <w:rPr>
          <w:rFonts w:ascii="Times New Roman" w:hAnsi="Times New Roman"/>
          <w:sz w:val="24"/>
          <w:szCs w:val="24"/>
        </w:rPr>
        <w:t>за</w:t>
      </w:r>
      <w:r w:rsidR="00171709" w:rsidRPr="00FB5A28">
        <w:rPr>
          <w:rFonts w:ascii="Times New Roman" w:hAnsi="Times New Roman"/>
          <w:sz w:val="24"/>
          <w:szCs w:val="24"/>
        </w:rPr>
        <w:t xml:space="preserve"> </w:t>
      </w:r>
      <w:r w:rsidRPr="00FB5A28">
        <w:rPr>
          <w:rFonts w:ascii="Times New Roman" w:hAnsi="Times New Roman"/>
          <w:sz w:val="24"/>
          <w:szCs w:val="24"/>
        </w:rPr>
        <w:t>ПДВ</w:t>
      </w:r>
      <w:r w:rsidR="00171709" w:rsidRPr="00FB5A28">
        <w:rPr>
          <w:rFonts w:ascii="Times New Roman" w:hAnsi="Times New Roman"/>
          <w:sz w:val="24"/>
          <w:szCs w:val="24"/>
        </w:rPr>
        <w:t>.</w:t>
      </w:r>
    </w:p>
    <w:p w:rsidR="00ED7AD6" w:rsidRPr="00FB5A28" w:rsidRDefault="00171709" w:rsidP="00FB5A28">
      <w:pPr>
        <w:ind w:firstLine="708"/>
        <w:jc w:val="both"/>
        <w:rPr>
          <w:rFonts w:ascii="Times New Roman" w:hAnsi="Times New Roman"/>
          <w:sz w:val="24"/>
          <w:szCs w:val="24"/>
          <w:lang w:val="sr-Cyrl-CS"/>
        </w:rPr>
      </w:pPr>
      <w:r w:rsidRPr="00FB5A28">
        <w:rPr>
          <w:rFonts w:ascii="Times New Roman" w:hAnsi="Times New Roman"/>
          <w:sz w:val="24"/>
          <w:szCs w:val="24"/>
          <w:lang w:val="sr-Cyrl-CS"/>
        </w:rPr>
        <w:t>Укол</w:t>
      </w:r>
      <w:r w:rsidR="00FE1702" w:rsidRPr="00FB5A28">
        <w:rPr>
          <w:rFonts w:ascii="Times New Roman" w:hAnsi="Times New Roman"/>
          <w:sz w:val="24"/>
          <w:szCs w:val="24"/>
          <w:lang w:val="sr-Cyrl-CS"/>
        </w:rPr>
        <w:t>и</w:t>
      </w:r>
      <w:r w:rsidRPr="00FB5A28">
        <w:rPr>
          <w:rFonts w:ascii="Times New Roman" w:hAnsi="Times New Roman"/>
          <w:sz w:val="24"/>
          <w:szCs w:val="24"/>
          <w:lang w:val="sr-Cyrl-CS"/>
        </w:rPr>
        <w:t xml:space="preserve">ко обвезник не поднесе евиденциону пријаву и не региструје се избегава плаћање пореза на додату вредност у потпуности. </w:t>
      </w:r>
      <w:r w:rsidR="00576BD9" w:rsidRPr="00FB5A28">
        <w:rPr>
          <w:rFonts w:ascii="Times New Roman" w:hAnsi="Times New Roman"/>
          <w:sz w:val="24"/>
          <w:szCs w:val="24"/>
          <w:shd w:val="clear" w:color="auto" w:fill="FFFFFF"/>
          <w:lang w:val="sr-Cyrl-CS"/>
        </w:rPr>
        <w:t>Оно што овоме најчешће претходи је</w:t>
      </w:r>
      <w:r w:rsidR="006B39AA" w:rsidRPr="00FB5A28">
        <w:rPr>
          <w:rFonts w:ascii="Times New Roman" w:hAnsi="Times New Roman"/>
          <w:sz w:val="24"/>
          <w:szCs w:val="24"/>
          <w:shd w:val="clear" w:color="auto" w:fill="FFFFFF"/>
          <w:lang w:val="sr-Cyrl-CS"/>
        </w:rPr>
        <w:t xml:space="preserve"> невођење евиденције о оствареном промету, односно неформирање пословне докум</w:t>
      </w:r>
      <w:r w:rsidR="006E5E89" w:rsidRPr="00FB5A28">
        <w:rPr>
          <w:rFonts w:ascii="Times New Roman" w:hAnsi="Times New Roman"/>
          <w:sz w:val="24"/>
          <w:szCs w:val="24"/>
          <w:shd w:val="clear" w:color="auto" w:fill="FFFFFF"/>
          <w:lang w:val="sr-Cyrl-CS"/>
        </w:rPr>
        <w:t>ентације, у складу са чл. 37. с</w:t>
      </w:r>
      <w:r w:rsidR="006B39AA" w:rsidRPr="00FB5A28">
        <w:rPr>
          <w:rFonts w:ascii="Times New Roman" w:hAnsi="Times New Roman"/>
          <w:sz w:val="24"/>
          <w:szCs w:val="24"/>
          <w:shd w:val="clear" w:color="auto" w:fill="FFFFFF"/>
          <w:lang w:val="sr-Cyrl-CS"/>
        </w:rPr>
        <w:t>т. 3. Закона о ПДВ-у</w:t>
      </w:r>
      <w:r w:rsidR="00ED7AD6" w:rsidRPr="00FB5A28">
        <w:rPr>
          <w:rFonts w:ascii="Times New Roman" w:hAnsi="Times New Roman"/>
          <w:sz w:val="24"/>
          <w:szCs w:val="24"/>
          <w:shd w:val="clear" w:color="auto" w:fill="FFFFFF"/>
          <w:lang w:val="sr-Cyrl-CS"/>
        </w:rPr>
        <w:t xml:space="preserve">. Иако </w:t>
      </w:r>
      <w:r w:rsidR="00576BD9" w:rsidRPr="00FB5A28">
        <w:rPr>
          <w:rFonts w:ascii="Times New Roman" w:hAnsi="Times New Roman"/>
          <w:sz w:val="24"/>
          <w:szCs w:val="24"/>
          <w:shd w:val="clear" w:color="auto" w:fill="FFFFFF"/>
          <w:lang w:val="sr-Cyrl-CS"/>
        </w:rPr>
        <w:t>се ради</w:t>
      </w:r>
      <w:r w:rsidR="00ED7AD6" w:rsidRPr="00FB5A28">
        <w:rPr>
          <w:rFonts w:ascii="Times New Roman" w:hAnsi="Times New Roman"/>
          <w:sz w:val="24"/>
          <w:szCs w:val="24"/>
          <w:shd w:val="clear" w:color="auto" w:fill="FFFFFF"/>
          <w:lang w:val="sr-Cyrl-CS"/>
        </w:rPr>
        <w:t xml:space="preserve"> о релативно </w:t>
      </w:r>
      <w:r w:rsidR="00ED7AD6" w:rsidRPr="00FB5A28">
        <w:rPr>
          <w:rFonts w:ascii="Times New Roman" w:hAnsi="Times New Roman"/>
          <w:sz w:val="24"/>
          <w:szCs w:val="24"/>
          <w:shd w:val="clear" w:color="auto" w:fill="FFFFFF"/>
          <w:lang w:val="sr-Cyrl-CS"/>
        </w:rPr>
        <w:lastRenderedPageBreak/>
        <w:t xml:space="preserve">једноставном начину избегавања плаћања ПДВ-а, у пракси је </w:t>
      </w:r>
      <w:r w:rsidR="00576BD9" w:rsidRPr="00FB5A28">
        <w:rPr>
          <w:rFonts w:ascii="Times New Roman" w:hAnsi="Times New Roman"/>
          <w:sz w:val="24"/>
          <w:szCs w:val="24"/>
          <w:shd w:val="clear" w:color="auto" w:fill="FFFFFF"/>
          <w:lang w:val="sr-Cyrl-CS"/>
        </w:rPr>
        <w:t>присутан код великог броја обвезника</w:t>
      </w:r>
      <w:r w:rsidR="00ED7AD6" w:rsidRPr="00FB5A28">
        <w:rPr>
          <w:rStyle w:val="FootnoteReference"/>
          <w:rFonts w:ascii="Times New Roman" w:hAnsi="Times New Roman"/>
          <w:sz w:val="24"/>
          <w:szCs w:val="24"/>
          <w:shd w:val="clear" w:color="auto" w:fill="FFFFFF"/>
          <w:lang w:val="sr-Cyrl-CS"/>
        </w:rPr>
        <w:footnoteReference w:id="414"/>
      </w:r>
      <w:r w:rsidR="00ED7AD6" w:rsidRPr="00FB5A28">
        <w:rPr>
          <w:rFonts w:ascii="Times New Roman" w:hAnsi="Times New Roman"/>
          <w:sz w:val="24"/>
          <w:szCs w:val="24"/>
          <w:shd w:val="clear" w:color="auto" w:fill="FFFFFF"/>
          <w:lang w:val="sr-Cyrl-CS"/>
        </w:rPr>
        <w:t>.</w:t>
      </w:r>
    </w:p>
    <w:p w:rsidR="006A1CFD" w:rsidRDefault="006A1CFD" w:rsidP="00612C4D">
      <w:pPr>
        <w:rPr>
          <w:rFonts w:ascii="Times New Roman" w:hAnsi="Times New Roman"/>
          <w:b/>
          <w:sz w:val="24"/>
          <w:szCs w:val="24"/>
          <w:shd w:val="clear" w:color="auto" w:fill="FFFFFF"/>
          <w:lang w:val="sr-Cyrl-CS"/>
        </w:rPr>
      </w:pPr>
    </w:p>
    <w:p w:rsidR="00AE3990" w:rsidRDefault="00612C4D" w:rsidP="0057151E">
      <w:pPr>
        <w:jc w:val="center"/>
        <w:rPr>
          <w:rFonts w:ascii="Times New Roman" w:hAnsi="Times New Roman"/>
          <w:b/>
          <w:sz w:val="24"/>
          <w:szCs w:val="24"/>
          <w:shd w:val="clear" w:color="auto" w:fill="FFFFFF"/>
          <w:lang w:val="sr-Cyrl-CS"/>
        </w:rPr>
      </w:pPr>
      <w:r>
        <w:rPr>
          <w:rFonts w:ascii="Times New Roman" w:hAnsi="Times New Roman"/>
          <w:b/>
          <w:sz w:val="24"/>
          <w:szCs w:val="24"/>
          <w:shd w:val="clear" w:color="auto" w:fill="FFFFFF"/>
          <w:lang w:val="sr-Cyrl-CS"/>
        </w:rPr>
        <w:t>5.2.6.4</w:t>
      </w:r>
      <w:r w:rsidR="006A1CFD">
        <w:rPr>
          <w:rFonts w:ascii="Times New Roman" w:hAnsi="Times New Roman"/>
          <w:b/>
          <w:sz w:val="24"/>
          <w:szCs w:val="24"/>
          <w:shd w:val="clear" w:color="auto" w:fill="FFFFFF"/>
          <w:lang w:val="sr-Cyrl-CS"/>
        </w:rPr>
        <w:t xml:space="preserve">. </w:t>
      </w:r>
      <w:r w:rsidR="0057151E">
        <w:rPr>
          <w:rFonts w:ascii="Times New Roman" w:hAnsi="Times New Roman"/>
          <w:b/>
          <w:sz w:val="24"/>
          <w:szCs w:val="24"/>
          <w:shd w:val="clear" w:color="auto" w:fill="FFFFFF"/>
          <w:lang w:val="sr-Cyrl-CS"/>
        </w:rPr>
        <w:t>Избегавање пореза на додату вредност путем злоупотреба везаних за остварен промет</w:t>
      </w:r>
    </w:p>
    <w:p w:rsidR="002A4EED" w:rsidRPr="0057151E" w:rsidRDefault="002A4EED" w:rsidP="00AE3990">
      <w:pPr>
        <w:jc w:val="both"/>
        <w:rPr>
          <w:rFonts w:ascii="Times New Roman" w:hAnsi="Times New Roman"/>
          <w:b/>
          <w:sz w:val="24"/>
          <w:szCs w:val="24"/>
          <w:shd w:val="clear" w:color="auto" w:fill="FFFFFF"/>
          <w:lang w:val="sr-Cyrl-CS"/>
        </w:rPr>
      </w:pPr>
    </w:p>
    <w:p w:rsidR="00C12887" w:rsidRDefault="001228A8" w:rsidP="00F34746">
      <w:pPr>
        <w:ind w:firstLine="708"/>
        <w:jc w:val="both"/>
        <w:rPr>
          <w:rFonts w:ascii="Times New Roman" w:hAnsi="Times New Roman"/>
          <w:sz w:val="24"/>
          <w:szCs w:val="24"/>
          <w:shd w:val="clear" w:color="auto" w:fill="FFFFFF"/>
        </w:rPr>
      </w:pPr>
      <w:r w:rsidRPr="00F34746">
        <w:rPr>
          <w:rFonts w:ascii="Times New Roman" w:hAnsi="Times New Roman"/>
          <w:sz w:val="24"/>
          <w:szCs w:val="24"/>
          <w:shd w:val="clear" w:color="auto" w:fill="FFFFFF"/>
        </w:rPr>
        <w:t>Давање лажних под</w:t>
      </w:r>
      <w:r w:rsidR="0057151E" w:rsidRPr="00F34746">
        <w:rPr>
          <w:rFonts w:ascii="Times New Roman" w:hAnsi="Times New Roman"/>
          <w:sz w:val="24"/>
          <w:szCs w:val="24"/>
          <w:shd w:val="clear" w:color="auto" w:fill="FFFFFF"/>
        </w:rPr>
        <w:t>атака о чињеницама од значаја</w:t>
      </w:r>
      <w:r w:rsidRPr="00F34746">
        <w:rPr>
          <w:rFonts w:ascii="Times New Roman" w:hAnsi="Times New Roman"/>
          <w:sz w:val="24"/>
          <w:szCs w:val="24"/>
          <w:shd w:val="clear" w:color="auto" w:fill="FFFFFF"/>
        </w:rPr>
        <w:t xml:space="preserve"> </w:t>
      </w:r>
      <w:r w:rsidR="009E2477" w:rsidRPr="00F34746">
        <w:rPr>
          <w:rFonts w:ascii="Times New Roman" w:hAnsi="Times New Roman"/>
          <w:sz w:val="24"/>
          <w:szCs w:val="24"/>
          <w:shd w:val="clear" w:color="auto" w:fill="FFFFFF"/>
          <w:lang w:val="sr-Cyrl-CS"/>
        </w:rPr>
        <w:t>за опорезивање</w:t>
      </w:r>
      <w:r w:rsidRPr="00F34746">
        <w:rPr>
          <w:rFonts w:ascii="Times New Roman" w:hAnsi="Times New Roman"/>
          <w:sz w:val="24"/>
          <w:szCs w:val="24"/>
          <w:shd w:val="clear" w:color="auto" w:fill="FFFFFF"/>
        </w:rPr>
        <w:t xml:space="preserve"> најчешће се </w:t>
      </w:r>
      <w:r w:rsidR="009E2477" w:rsidRPr="00F34746">
        <w:rPr>
          <w:rFonts w:ascii="Times New Roman" w:hAnsi="Times New Roman"/>
          <w:sz w:val="24"/>
          <w:szCs w:val="24"/>
          <w:shd w:val="clear" w:color="auto" w:fill="FFFFFF"/>
          <w:lang w:val="sr-Cyrl-CS"/>
        </w:rPr>
        <w:t>испољава кроз</w:t>
      </w:r>
      <w:r w:rsidR="00FE1702" w:rsidRPr="00F34746">
        <w:rPr>
          <w:rFonts w:ascii="Times New Roman" w:hAnsi="Times New Roman"/>
          <w:sz w:val="24"/>
          <w:szCs w:val="24"/>
          <w:shd w:val="clear" w:color="auto" w:fill="FFFFFF"/>
        </w:rPr>
        <w:t xml:space="preserve"> неевидентирање</w:t>
      </w:r>
      <w:r w:rsidRPr="00F34746">
        <w:rPr>
          <w:rFonts w:ascii="Times New Roman" w:hAnsi="Times New Roman"/>
          <w:sz w:val="24"/>
          <w:szCs w:val="24"/>
          <w:shd w:val="clear" w:color="auto" w:fill="FFFFFF"/>
        </w:rPr>
        <w:t xml:space="preserve"> укупно оствареног промета ради умањења ПДВ-а и коришћењем различитих </w:t>
      </w:r>
      <w:r w:rsidR="009E2477" w:rsidRPr="00F34746">
        <w:rPr>
          <w:rFonts w:ascii="Times New Roman" w:hAnsi="Times New Roman"/>
          <w:sz w:val="24"/>
          <w:szCs w:val="24"/>
          <w:shd w:val="clear" w:color="auto" w:fill="FFFFFF"/>
          <w:lang w:val="sr-Cyrl-CS"/>
        </w:rPr>
        <w:t xml:space="preserve">лажних </w:t>
      </w:r>
      <w:r w:rsidRPr="00F34746">
        <w:rPr>
          <w:rFonts w:ascii="Times New Roman" w:hAnsi="Times New Roman"/>
          <w:sz w:val="24"/>
          <w:szCs w:val="24"/>
          <w:shd w:val="clear" w:color="auto" w:fill="FFFFFF"/>
        </w:rPr>
        <w:t xml:space="preserve">фактура. </w:t>
      </w:r>
      <w:r w:rsidR="0057151E" w:rsidRPr="00F34746">
        <w:rPr>
          <w:rFonts w:ascii="Times New Roman" w:hAnsi="Times New Roman"/>
          <w:sz w:val="24"/>
          <w:szCs w:val="24"/>
          <w:shd w:val="clear" w:color="auto" w:fill="FFFFFF"/>
          <w:lang w:val="sr-Cyrl-CS"/>
        </w:rPr>
        <w:t xml:space="preserve"> </w:t>
      </w:r>
      <w:r w:rsidR="00FE1702" w:rsidRPr="00F34746">
        <w:rPr>
          <w:rFonts w:ascii="Times New Roman" w:hAnsi="Times New Roman"/>
          <w:sz w:val="24"/>
          <w:szCs w:val="24"/>
          <w:shd w:val="clear" w:color="auto" w:fill="FFFFFF"/>
          <w:lang w:val="sr-Cyrl-CS"/>
        </w:rPr>
        <w:t>Поред</w:t>
      </w:r>
      <w:r w:rsidR="0057151E" w:rsidRPr="00F34746">
        <w:rPr>
          <w:rFonts w:ascii="Times New Roman" w:hAnsi="Times New Roman"/>
          <w:sz w:val="24"/>
          <w:szCs w:val="24"/>
          <w:shd w:val="clear" w:color="auto" w:fill="FFFFFF"/>
          <w:lang w:val="sr-Cyrl-CS"/>
        </w:rPr>
        <w:t xml:space="preserve"> тога, </w:t>
      </w:r>
      <w:r w:rsidR="0057151E" w:rsidRPr="00F34746">
        <w:rPr>
          <w:rFonts w:ascii="Times New Roman" w:hAnsi="Times New Roman"/>
          <w:color w:val="000000"/>
          <w:sz w:val="24"/>
          <w:szCs w:val="24"/>
          <w:lang w:val="sr-Cyrl-CS"/>
        </w:rPr>
        <w:t xml:space="preserve">у намери избегавања плаћања ПДВ-а  уопште се не води евиденција о оствареном промету што представља законску обавезу.  </w:t>
      </w:r>
      <w:r w:rsidR="0057151E" w:rsidRPr="00F34746">
        <w:rPr>
          <w:rFonts w:ascii="Times New Roman" w:hAnsi="Times New Roman"/>
          <w:sz w:val="24"/>
          <w:szCs w:val="24"/>
          <w:shd w:val="clear" w:color="auto" w:fill="FFFFFF"/>
          <w:lang w:val="sr-Cyrl-CS"/>
        </w:rPr>
        <w:t>Код неподношења пореске и евиденционе пријаве избегава се у потпуности плаћање пореза на извршен промет добра и услуга. Међутим</w:t>
      </w:r>
      <w:r w:rsidR="00FE1702" w:rsidRPr="00F34746">
        <w:rPr>
          <w:rFonts w:ascii="Times New Roman" w:hAnsi="Times New Roman"/>
          <w:sz w:val="24"/>
          <w:szCs w:val="24"/>
          <w:shd w:val="clear" w:color="auto" w:fill="FFFFFF"/>
          <w:lang w:val="sr-Cyrl-CS"/>
        </w:rPr>
        <w:t>,</w:t>
      </w:r>
      <w:r w:rsidR="0057151E" w:rsidRPr="00F34746">
        <w:rPr>
          <w:rFonts w:ascii="Times New Roman" w:hAnsi="Times New Roman"/>
          <w:sz w:val="24"/>
          <w:szCs w:val="24"/>
          <w:shd w:val="clear" w:color="auto" w:fill="FFFFFF"/>
          <w:lang w:val="sr-Cyrl-CS"/>
        </w:rPr>
        <w:t xml:space="preserve"> чести су случајеви где порески обвезници подносе пореске пријаве али евидентирају само део оствареног промета. Оваквим поступањем порески обвезник пореску обавезу умањује за износ претходног пореза.</w:t>
      </w:r>
      <w:r w:rsidR="00F34746">
        <w:rPr>
          <w:rFonts w:ascii="Times New Roman" w:hAnsi="Times New Roman"/>
          <w:sz w:val="24"/>
          <w:szCs w:val="24"/>
          <w:shd w:val="clear" w:color="auto" w:fill="FFFFFF"/>
          <w:lang w:val="sr-Cyrl-CS"/>
        </w:rPr>
        <w:t xml:space="preserve"> </w:t>
      </w:r>
    </w:p>
    <w:p w:rsidR="00A22DD5" w:rsidRPr="00FB5A28" w:rsidRDefault="00C12887" w:rsidP="00FB5A28">
      <w:pPr>
        <w:ind w:firstLine="708"/>
        <w:jc w:val="both"/>
        <w:rPr>
          <w:rFonts w:ascii="Times New Roman" w:hAnsi="Times New Roman"/>
          <w:sz w:val="24"/>
          <w:szCs w:val="24"/>
          <w:shd w:val="clear" w:color="auto" w:fill="FFFFFF"/>
          <w:lang w:val="sr-Cyrl-CS"/>
        </w:rPr>
      </w:pPr>
      <w:r>
        <w:rPr>
          <w:rFonts w:ascii="Times New Roman" w:hAnsi="Times New Roman"/>
          <w:sz w:val="24"/>
          <w:szCs w:val="24"/>
          <w:shd w:val="clear" w:color="auto" w:fill="FFFFFF"/>
          <w:lang w:val="sr-Cyrl-CS"/>
        </w:rPr>
        <w:t>На овај начин је овлашћено лице предузећа „Ф“ из Ћуприје избегло плаћање ПДВ-а у износу од 101.982.587,00 динара, тако што је у пословању са око 270 купаца у земљи осварило промет добара и услуга у укупном износу од 668.554.152,00 динара, који није евидентирао у пословним књигама и није обрачунао ПДВ. У поднетим пријавама је исказивао лажне и произвољне податке. Такође, за извршену наплату добара и услуга преко текућег рачуна је по разним лажним основима подигао готовину у износу од 509.963.450,00 динара, што није евидентирао у пословним књигама, а новац је употребио за сопствене потребе, па је тако избегао плаћање пореза на доходак грађана у износу од 97.135.879,00 динара.</w:t>
      </w:r>
      <w:r w:rsidR="00C07E86">
        <w:rPr>
          <w:rFonts w:ascii="Times New Roman" w:hAnsi="Times New Roman"/>
          <w:sz w:val="24"/>
          <w:szCs w:val="24"/>
          <w:shd w:val="clear" w:color="auto" w:fill="FFFFFF"/>
          <w:lang w:val="sr-Cyrl-CS"/>
        </w:rPr>
        <w:t xml:space="preserve"> Овлашћено лице предузећа „Ф“ је овлашћено лице и предузећа „В.К.“ из Сења код којег је проверама утврђено да је на исти начин остварен промет добара и услуга у укупном износу од 437.925.772,00 динара који није евидентиран у пословним књигама и није обрачунат и плаћен ПДВ у износу од 72.293.761,00 динара, а у поднетим ПДВ пријавама је исказивао лажне и произвољне податке. Поред избегнутог ПДВ, избегнуто је и плаћање пореза на доходак грђана с обзиром да су за подигнуту готовину, са текућег рачуна предузећа у износу од 253.891.370,00 динара, приказани различити лажни основи подизања готвог новца, тако да је избегнуто плаћање пореза на доходак грађана у укупном износу од 48.360.253,00 динара. Поменути </w:t>
      </w:r>
      <w:r w:rsidR="00395BCD">
        <w:rPr>
          <w:rFonts w:ascii="Times New Roman" w:hAnsi="Times New Roman"/>
          <w:sz w:val="24"/>
          <w:szCs w:val="24"/>
          <w:shd w:val="clear" w:color="auto" w:fill="FFFFFF"/>
          <w:lang w:val="sr-Cyrl-CS"/>
        </w:rPr>
        <w:t>случај</w:t>
      </w:r>
      <w:r w:rsidR="00C07E86">
        <w:rPr>
          <w:rFonts w:ascii="Times New Roman" w:hAnsi="Times New Roman"/>
          <w:sz w:val="24"/>
          <w:szCs w:val="24"/>
          <w:shd w:val="clear" w:color="auto" w:fill="FFFFFF"/>
          <w:lang w:val="sr-Cyrl-CS"/>
        </w:rPr>
        <w:t xml:space="preserve"> се шематски може приказати на следећи начин</w:t>
      </w:r>
      <w:r w:rsidR="00CC4EE8">
        <w:rPr>
          <w:rStyle w:val="FootnoteReference"/>
          <w:rFonts w:ascii="Times New Roman" w:hAnsi="Times New Roman"/>
          <w:sz w:val="24"/>
          <w:szCs w:val="24"/>
          <w:shd w:val="clear" w:color="auto" w:fill="FFFFFF"/>
          <w:lang w:val="sr-Cyrl-CS"/>
        </w:rPr>
        <w:footnoteReference w:id="415"/>
      </w:r>
    </w:p>
    <w:p w:rsidR="00A22DD5" w:rsidRPr="00A22DD5" w:rsidRDefault="00A22DD5" w:rsidP="00CC4EE8">
      <w:pPr>
        <w:ind w:firstLine="708"/>
        <w:jc w:val="both"/>
        <w:rPr>
          <w:rFonts w:ascii="Times New Roman" w:hAnsi="Times New Roman"/>
          <w:sz w:val="24"/>
          <w:szCs w:val="24"/>
          <w:shd w:val="clear" w:color="auto" w:fill="FFFFFF"/>
          <w:lang w:val="sr-Cyrl-CS"/>
        </w:rPr>
      </w:pPr>
    </w:p>
    <w:p w:rsidR="00C12887" w:rsidRPr="00395BCD" w:rsidRDefault="00001DEB" w:rsidP="0057151E">
      <w:pPr>
        <w:ind w:firstLine="708"/>
        <w:jc w:val="both"/>
        <w:rPr>
          <w:rFonts w:ascii="Times New Roman" w:hAnsi="Times New Roman"/>
          <w:b/>
          <w:sz w:val="24"/>
          <w:szCs w:val="24"/>
          <w:shd w:val="clear" w:color="auto" w:fill="FFFFFF"/>
          <w:lang w:val="sr-Cyrl-CS"/>
        </w:rPr>
      </w:pPr>
      <w:r>
        <w:rPr>
          <w:rFonts w:ascii="Times New Roman" w:hAnsi="Times New Roman"/>
          <w:b/>
          <w:sz w:val="24"/>
          <w:szCs w:val="24"/>
          <w:shd w:val="clear" w:color="auto" w:fill="FFFFFF"/>
          <w:lang w:val="sr-Cyrl-CS"/>
        </w:rPr>
        <w:t>Слика 17</w:t>
      </w:r>
      <w:r w:rsidR="00395BCD" w:rsidRPr="00395BCD">
        <w:rPr>
          <w:rFonts w:ascii="Times New Roman" w:hAnsi="Times New Roman"/>
          <w:b/>
          <w:sz w:val="24"/>
          <w:szCs w:val="24"/>
          <w:shd w:val="clear" w:color="auto" w:fill="FFFFFF"/>
          <w:lang w:val="sr-Cyrl-CS"/>
        </w:rPr>
        <w:t>.</w:t>
      </w:r>
    </w:p>
    <w:p w:rsidR="00C12887" w:rsidRDefault="00C12887" w:rsidP="0057151E">
      <w:pPr>
        <w:ind w:firstLine="708"/>
        <w:jc w:val="both"/>
        <w:rPr>
          <w:rFonts w:ascii="Times New Roman" w:hAnsi="Times New Roman"/>
          <w:sz w:val="24"/>
          <w:szCs w:val="24"/>
          <w:shd w:val="clear" w:color="auto" w:fill="FFFFFF"/>
        </w:rPr>
      </w:pPr>
    </w:p>
    <w:p w:rsidR="00C12887" w:rsidRDefault="00C12887" w:rsidP="00C12887">
      <w:pPr>
        <w:jc w:val="both"/>
        <w:rPr>
          <w:rFonts w:ascii="Times New Roman" w:hAnsi="Times New Roman"/>
          <w:sz w:val="24"/>
          <w:szCs w:val="24"/>
          <w:shd w:val="clear" w:color="auto" w:fill="FFFFFF"/>
        </w:rPr>
      </w:pPr>
      <w:r>
        <w:rPr>
          <w:rFonts w:ascii="Times New Roman" w:hAnsi="Times New Roman"/>
          <w:noProof/>
          <w:sz w:val="24"/>
          <w:szCs w:val="24"/>
          <w:shd w:val="clear" w:color="auto" w:fill="FFFFFF"/>
        </w:rPr>
        <w:drawing>
          <wp:inline distT="0" distB="0" distL="0" distR="0">
            <wp:extent cx="5760085" cy="4334026"/>
            <wp:effectExtent l="19050" t="0" r="0" b="0"/>
            <wp:docPr id="2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srcRect/>
                    <a:stretch>
                      <a:fillRect/>
                    </a:stretch>
                  </pic:blipFill>
                  <pic:spPr bwMode="auto">
                    <a:xfrm>
                      <a:off x="0" y="0"/>
                      <a:ext cx="5760085" cy="4334026"/>
                    </a:xfrm>
                    <a:prstGeom prst="rect">
                      <a:avLst/>
                    </a:prstGeom>
                    <a:noFill/>
                    <a:ln w="9525">
                      <a:noFill/>
                      <a:miter lim="800000"/>
                      <a:headEnd/>
                      <a:tailEnd/>
                    </a:ln>
                  </pic:spPr>
                </pic:pic>
              </a:graphicData>
            </a:graphic>
          </wp:inline>
        </w:drawing>
      </w:r>
    </w:p>
    <w:p w:rsidR="00C12887" w:rsidRDefault="00C12887" w:rsidP="00CC4EE8">
      <w:pPr>
        <w:jc w:val="both"/>
        <w:rPr>
          <w:rFonts w:ascii="Times New Roman" w:hAnsi="Times New Roman"/>
          <w:sz w:val="24"/>
          <w:szCs w:val="24"/>
          <w:shd w:val="clear" w:color="auto" w:fill="FFFFFF"/>
        </w:rPr>
      </w:pPr>
    </w:p>
    <w:p w:rsidR="00CB33BC" w:rsidRDefault="00950E30" w:rsidP="0057151E">
      <w:pPr>
        <w:ind w:firstLine="708"/>
        <w:jc w:val="both"/>
        <w:rPr>
          <w:rFonts w:ascii="Times New Roman" w:hAnsi="Times New Roman"/>
          <w:sz w:val="24"/>
          <w:szCs w:val="24"/>
          <w:shd w:val="clear" w:color="auto" w:fill="FFFFFF"/>
          <w:lang w:val="sr-Cyrl-CS"/>
        </w:rPr>
      </w:pPr>
      <w:r>
        <w:rPr>
          <w:rFonts w:ascii="Times New Roman" w:hAnsi="Times New Roman"/>
          <w:sz w:val="24"/>
          <w:szCs w:val="24"/>
          <w:shd w:val="clear" w:color="auto" w:fill="FFFFFF"/>
          <w:lang w:val="sr-Cyrl-CS"/>
        </w:rPr>
        <w:t>Издавање лажних фактура представља једноставан начин за избегавање плаћања пореза на до</w:t>
      </w:r>
      <w:r w:rsidR="0057151E">
        <w:rPr>
          <w:rFonts w:ascii="Times New Roman" w:hAnsi="Times New Roman"/>
          <w:sz w:val="24"/>
          <w:szCs w:val="24"/>
          <w:shd w:val="clear" w:color="auto" w:fill="FFFFFF"/>
          <w:lang w:val="sr-Cyrl-CS"/>
        </w:rPr>
        <w:t>дату вредност. Примена овог начин</w:t>
      </w:r>
      <w:r>
        <w:rPr>
          <w:rFonts w:ascii="Times New Roman" w:hAnsi="Times New Roman"/>
          <w:sz w:val="24"/>
          <w:szCs w:val="24"/>
          <w:shd w:val="clear" w:color="auto" w:fill="FFFFFF"/>
          <w:lang w:val="sr-Cyrl-CS"/>
        </w:rPr>
        <w:t xml:space="preserve">а у пракси је релативно јеноставна и у прометни ланац </w:t>
      </w:r>
      <w:r w:rsidR="00B16593">
        <w:rPr>
          <w:rFonts w:ascii="Times New Roman" w:hAnsi="Times New Roman"/>
          <w:sz w:val="24"/>
          <w:szCs w:val="24"/>
          <w:shd w:val="clear" w:color="auto" w:fill="FFFFFF"/>
          <w:lang w:val="sr-Cyrl-CS"/>
        </w:rPr>
        <w:t>се укључују како фантом предузећа, тако и предузећа која легално послују. До лажних фактура се долази фалсификовањем, а најчешће лажне фактуре обезбеђују  фантом предузећа, недоступна пореск</w:t>
      </w:r>
      <w:r w:rsidR="0057151E">
        <w:rPr>
          <w:rFonts w:ascii="Times New Roman" w:hAnsi="Times New Roman"/>
          <w:sz w:val="24"/>
          <w:szCs w:val="24"/>
          <w:shd w:val="clear" w:color="auto" w:fill="FFFFFF"/>
          <w:lang w:val="sr-Cyrl-CS"/>
        </w:rPr>
        <w:t>ој контроли. Лажне фактуре прати</w:t>
      </w:r>
      <w:r w:rsidR="00B16593">
        <w:rPr>
          <w:rFonts w:ascii="Times New Roman" w:hAnsi="Times New Roman"/>
          <w:sz w:val="24"/>
          <w:szCs w:val="24"/>
          <w:shd w:val="clear" w:color="auto" w:fill="FFFFFF"/>
          <w:lang w:val="sr-Cyrl-CS"/>
        </w:rPr>
        <w:t xml:space="preserve"> промет роба и услуга који није стварно извршен, нити је плаћен порез у претходној фази прометног циклуса. Путем овако сачињених лажних </w:t>
      </w:r>
      <w:r w:rsidR="0057151E">
        <w:rPr>
          <w:rFonts w:ascii="Times New Roman" w:hAnsi="Times New Roman"/>
          <w:sz w:val="24"/>
          <w:szCs w:val="24"/>
          <w:shd w:val="clear" w:color="auto" w:fill="FFFFFF"/>
          <w:lang w:val="sr-Cyrl-CS"/>
        </w:rPr>
        <w:t>ф</w:t>
      </w:r>
      <w:r w:rsidR="00B16593">
        <w:rPr>
          <w:rFonts w:ascii="Times New Roman" w:hAnsi="Times New Roman"/>
          <w:sz w:val="24"/>
          <w:szCs w:val="24"/>
          <w:shd w:val="clear" w:color="auto" w:fill="FFFFFF"/>
          <w:lang w:val="sr-Cyrl-CS"/>
        </w:rPr>
        <w:t>актура се неосновано остварује право на претходни порез, а исте се уредно евидентирају у књиговодству предузећа, како би се прикрило избегавање плаћања пореза и цела трансакција приказала као легална.</w:t>
      </w:r>
      <w:r w:rsidR="0057151E">
        <w:rPr>
          <w:rFonts w:ascii="Times New Roman" w:hAnsi="Times New Roman"/>
          <w:sz w:val="24"/>
          <w:szCs w:val="24"/>
          <w:shd w:val="clear" w:color="auto" w:fill="FFFFFF"/>
          <w:lang w:val="sr-Cyrl-CS"/>
        </w:rPr>
        <w:t xml:space="preserve"> </w:t>
      </w:r>
    </w:p>
    <w:p w:rsidR="002A4EED" w:rsidRDefault="00C77FB9" w:rsidP="0057151E">
      <w:pPr>
        <w:ind w:firstLine="708"/>
        <w:jc w:val="both"/>
        <w:rPr>
          <w:rFonts w:ascii="Times New Roman" w:hAnsi="Times New Roman"/>
          <w:sz w:val="24"/>
          <w:szCs w:val="24"/>
          <w:shd w:val="clear" w:color="auto" w:fill="FFFFFF"/>
          <w:lang w:val="sr-Cyrl-CS"/>
        </w:rPr>
      </w:pPr>
      <w:r>
        <w:rPr>
          <w:rFonts w:ascii="Times New Roman" w:hAnsi="Times New Roman"/>
          <w:sz w:val="24"/>
          <w:szCs w:val="24"/>
          <w:shd w:val="clear" w:color="auto" w:fill="FFFFFF"/>
          <w:lang w:val="sr-Cyrl-CS"/>
        </w:rPr>
        <w:t xml:space="preserve">Порески обвезник </w:t>
      </w:r>
      <w:r w:rsidR="002A4EED">
        <w:rPr>
          <w:rFonts w:ascii="Times New Roman" w:hAnsi="Times New Roman"/>
          <w:sz w:val="24"/>
          <w:szCs w:val="24"/>
          <w:shd w:val="clear" w:color="auto" w:fill="FFFFFF"/>
          <w:lang w:val="sr-Cyrl-CS"/>
        </w:rPr>
        <w:t>м</w:t>
      </w:r>
      <w:r>
        <w:rPr>
          <w:rFonts w:ascii="Times New Roman" w:hAnsi="Times New Roman"/>
          <w:sz w:val="24"/>
          <w:szCs w:val="24"/>
          <w:shd w:val="clear" w:color="auto" w:fill="FFFFFF"/>
          <w:lang w:val="sr-Cyrl-CS"/>
        </w:rPr>
        <w:t>о</w:t>
      </w:r>
      <w:r w:rsidR="002A4EED">
        <w:rPr>
          <w:rFonts w:ascii="Times New Roman" w:hAnsi="Times New Roman"/>
          <w:sz w:val="24"/>
          <w:szCs w:val="24"/>
          <w:shd w:val="clear" w:color="auto" w:fill="FFFFFF"/>
          <w:lang w:val="sr-Cyrl-CS"/>
        </w:rPr>
        <w:t xml:space="preserve">же предузимати радње у циљу умањења пореске обавезе другог пореског обвезника, тако што ће и за промет који није евидентирао, издавати фактуре другом пореском обвезнику, </w:t>
      </w:r>
      <w:r>
        <w:rPr>
          <w:rFonts w:ascii="Times New Roman" w:hAnsi="Times New Roman"/>
          <w:sz w:val="24"/>
          <w:szCs w:val="24"/>
          <w:shd w:val="clear" w:color="auto" w:fill="FFFFFF"/>
          <w:lang w:val="sr-Cyrl-CS"/>
        </w:rPr>
        <w:t>који ће на основу истих остварити</w:t>
      </w:r>
      <w:r w:rsidR="002A4EED">
        <w:rPr>
          <w:rFonts w:ascii="Times New Roman" w:hAnsi="Times New Roman"/>
          <w:sz w:val="24"/>
          <w:szCs w:val="24"/>
          <w:shd w:val="clear" w:color="auto" w:fill="FFFFFF"/>
          <w:lang w:val="sr-Cyrl-CS"/>
        </w:rPr>
        <w:t xml:space="preserve"> право на одбитак претходног пореза.  </w:t>
      </w:r>
      <w:r w:rsidR="0057151E">
        <w:rPr>
          <w:rFonts w:ascii="Times New Roman" w:hAnsi="Times New Roman"/>
          <w:sz w:val="24"/>
          <w:szCs w:val="24"/>
          <w:shd w:val="clear" w:color="auto" w:fill="FFFFFF"/>
          <w:lang w:val="sr-Cyrl-CS"/>
        </w:rPr>
        <w:t xml:space="preserve"> </w:t>
      </w:r>
      <w:r w:rsidR="00C14F26">
        <w:rPr>
          <w:rFonts w:ascii="Times New Roman" w:hAnsi="Times New Roman"/>
          <w:sz w:val="24"/>
          <w:szCs w:val="24"/>
          <w:shd w:val="clear" w:color="auto" w:fill="FFFFFF"/>
          <w:lang w:val="sr-Cyrl-CS"/>
        </w:rPr>
        <w:t xml:space="preserve"> </w:t>
      </w:r>
    </w:p>
    <w:p w:rsidR="00252179" w:rsidRPr="00C14F26" w:rsidRDefault="00C77FB9" w:rsidP="00001DEB">
      <w:pPr>
        <w:ind w:firstLine="708"/>
        <w:jc w:val="both"/>
        <w:rPr>
          <w:rFonts w:ascii="Times New Roman" w:hAnsi="Times New Roman"/>
          <w:sz w:val="24"/>
          <w:szCs w:val="24"/>
          <w:shd w:val="clear" w:color="auto" w:fill="FFFFFF"/>
          <w:lang w:val="sr-Cyrl-CS"/>
        </w:rPr>
      </w:pPr>
      <w:r>
        <w:rPr>
          <w:rFonts w:ascii="Times New Roman" w:hAnsi="Times New Roman"/>
          <w:sz w:val="24"/>
          <w:szCs w:val="24"/>
          <w:shd w:val="clear" w:color="auto" w:fill="FFFFFF"/>
          <w:lang w:val="sr-Cyrl-CS"/>
        </w:rPr>
        <w:t>Најчешће, због тежег от</w:t>
      </w:r>
      <w:r w:rsidR="00CF04EA">
        <w:rPr>
          <w:rFonts w:ascii="Times New Roman" w:hAnsi="Times New Roman"/>
          <w:sz w:val="24"/>
          <w:szCs w:val="24"/>
          <w:shd w:val="clear" w:color="auto" w:fill="FFFFFF"/>
          <w:lang w:val="sr-Cyrl-CS"/>
        </w:rPr>
        <w:t>кривања, порески обвезник за не</w:t>
      </w:r>
      <w:r>
        <w:rPr>
          <w:rFonts w:ascii="Times New Roman" w:hAnsi="Times New Roman"/>
          <w:sz w:val="24"/>
          <w:szCs w:val="24"/>
          <w:shd w:val="clear" w:color="auto" w:fill="FFFFFF"/>
          <w:lang w:val="sr-Cyrl-CS"/>
        </w:rPr>
        <w:t xml:space="preserve">евидентиран промет неће издавати фактуру, </w:t>
      </w:r>
      <w:r w:rsidR="00CF04EA">
        <w:rPr>
          <w:rFonts w:ascii="Times New Roman" w:hAnsi="Times New Roman"/>
          <w:sz w:val="24"/>
          <w:szCs w:val="24"/>
          <w:shd w:val="clear" w:color="auto" w:fill="FFFFFF"/>
          <w:lang w:val="sr-Cyrl-CS"/>
        </w:rPr>
        <w:t xml:space="preserve">посебно уколико се ради о пореском обвезнику </w:t>
      </w:r>
      <w:r w:rsidR="00CF04EA" w:rsidRPr="00C14F26">
        <w:rPr>
          <w:rFonts w:ascii="Times New Roman" w:hAnsi="Times New Roman"/>
          <w:color w:val="000000"/>
          <w:sz w:val="24"/>
          <w:szCs w:val="24"/>
          <w:shd w:val="clear" w:color="auto" w:fill="FFFFFF"/>
          <w:lang w:val="sr-Cyrl-CS"/>
        </w:rPr>
        <w:t xml:space="preserve">који </w:t>
      </w:r>
      <w:r w:rsidR="00C14F26" w:rsidRPr="00C14F26">
        <w:rPr>
          <w:rFonts w:ascii="Times New Roman" w:hAnsi="Times New Roman"/>
          <w:color w:val="000000"/>
          <w:sz w:val="24"/>
          <w:szCs w:val="24"/>
          <w:shd w:val="clear" w:color="auto" w:fill="FFFFFF"/>
        </w:rPr>
        <w:t>обавља</w:t>
      </w:r>
      <w:r w:rsidR="00CF04EA" w:rsidRPr="00C14F26">
        <w:rPr>
          <w:rFonts w:ascii="Times New Roman" w:hAnsi="Times New Roman"/>
          <w:color w:val="000000"/>
          <w:sz w:val="24"/>
          <w:szCs w:val="24"/>
          <w:shd w:val="clear" w:color="auto" w:fill="FFFFFF"/>
        </w:rPr>
        <w:t xml:space="preserve"> </w:t>
      </w:r>
      <w:r w:rsidR="00C14F26" w:rsidRPr="00C14F26">
        <w:rPr>
          <w:rFonts w:ascii="Times New Roman" w:hAnsi="Times New Roman"/>
          <w:color w:val="000000"/>
          <w:sz w:val="24"/>
          <w:szCs w:val="24"/>
          <w:shd w:val="clear" w:color="auto" w:fill="FFFFFF"/>
        </w:rPr>
        <w:lastRenderedPageBreak/>
        <w:t>промет</w:t>
      </w:r>
      <w:r w:rsidR="00CF04EA" w:rsidRPr="00C14F26">
        <w:rPr>
          <w:rFonts w:ascii="Times New Roman" w:hAnsi="Times New Roman"/>
          <w:color w:val="000000"/>
          <w:sz w:val="24"/>
          <w:szCs w:val="24"/>
          <w:shd w:val="clear" w:color="auto" w:fill="FFFFFF"/>
        </w:rPr>
        <w:t xml:space="preserve"> </w:t>
      </w:r>
      <w:r w:rsidR="00C14F26" w:rsidRPr="00C14F26">
        <w:rPr>
          <w:rFonts w:ascii="Times New Roman" w:hAnsi="Times New Roman"/>
          <w:color w:val="000000"/>
          <w:sz w:val="24"/>
          <w:szCs w:val="24"/>
          <w:shd w:val="clear" w:color="auto" w:fill="FFFFFF"/>
        </w:rPr>
        <w:t>добара</w:t>
      </w:r>
      <w:r w:rsidR="00CF04EA" w:rsidRPr="00C14F26">
        <w:rPr>
          <w:rFonts w:ascii="Times New Roman" w:hAnsi="Times New Roman"/>
          <w:color w:val="000000"/>
          <w:sz w:val="24"/>
          <w:szCs w:val="24"/>
          <w:shd w:val="clear" w:color="auto" w:fill="FFFFFF"/>
        </w:rPr>
        <w:t xml:space="preserve"> </w:t>
      </w:r>
      <w:r w:rsidR="00C14F26" w:rsidRPr="00C14F26">
        <w:rPr>
          <w:rFonts w:ascii="Times New Roman" w:hAnsi="Times New Roman"/>
          <w:color w:val="000000"/>
          <w:sz w:val="24"/>
          <w:szCs w:val="24"/>
          <w:shd w:val="clear" w:color="auto" w:fill="FFFFFF"/>
        </w:rPr>
        <w:t>на</w:t>
      </w:r>
      <w:r w:rsidR="00CF04EA" w:rsidRPr="00C14F26">
        <w:rPr>
          <w:rFonts w:ascii="Times New Roman" w:hAnsi="Times New Roman"/>
          <w:color w:val="000000"/>
          <w:sz w:val="24"/>
          <w:szCs w:val="24"/>
          <w:shd w:val="clear" w:color="auto" w:fill="FFFFFF"/>
        </w:rPr>
        <w:t xml:space="preserve"> </w:t>
      </w:r>
      <w:r w:rsidR="00C14F26" w:rsidRPr="00C14F26">
        <w:rPr>
          <w:rFonts w:ascii="Times New Roman" w:hAnsi="Times New Roman"/>
          <w:color w:val="000000"/>
          <w:sz w:val="24"/>
          <w:szCs w:val="24"/>
          <w:shd w:val="clear" w:color="auto" w:fill="FFFFFF"/>
        </w:rPr>
        <w:t>мало</w:t>
      </w:r>
      <w:r w:rsidR="00CF04EA" w:rsidRPr="00C14F26">
        <w:rPr>
          <w:rFonts w:ascii="Times New Roman" w:hAnsi="Times New Roman"/>
          <w:color w:val="000000"/>
          <w:sz w:val="24"/>
          <w:szCs w:val="24"/>
          <w:shd w:val="clear" w:color="auto" w:fill="FFFFFF"/>
        </w:rPr>
        <w:t xml:space="preserve">, </w:t>
      </w:r>
      <w:r w:rsidR="00C14F26" w:rsidRPr="00C14F26">
        <w:rPr>
          <w:rFonts w:ascii="Times New Roman" w:hAnsi="Times New Roman"/>
          <w:color w:val="000000"/>
          <w:sz w:val="24"/>
          <w:szCs w:val="24"/>
          <w:shd w:val="clear" w:color="auto" w:fill="FFFFFF"/>
        </w:rPr>
        <w:t>односно</w:t>
      </w:r>
      <w:r w:rsidR="00CF04EA" w:rsidRPr="00C14F26">
        <w:rPr>
          <w:rFonts w:ascii="Times New Roman" w:hAnsi="Times New Roman"/>
          <w:color w:val="000000"/>
          <w:sz w:val="24"/>
          <w:szCs w:val="24"/>
          <w:shd w:val="clear" w:color="auto" w:fill="FFFFFF"/>
        </w:rPr>
        <w:t xml:space="preserve"> </w:t>
      </w:r>
      <w:r w:rsidR="00C14F26" w:rsidRPr="00C14F26">
        <w:rPr>
          <w:rFonts w:ascii="Times New Roman" w:hAnsi="Times New Roman"/>
          <w:color w:val="000000"/>
          <w:sz w:val="24"/>
          <w:szCs w:val="24"/>
          <w:shd w:val="clear" w:color="auto" w:fill="FFFFFF"/>
        </w:rPr>
        <w:t>пружа</w:t>
      </w:r>
      <w:r w:rsidR="00CF04EA" w:rsidRPr="00C14F26">
        <w:rPr>
          <w:rFonts w:ascii="Times New Roman" w:hAnsi="Times New Roman"/>
          <w:color w:val="000000"/>
          <w:sz w:val="24"/>
          <w:szCs w:val="24"/>
          <w:shd w:val="clear" w:color="auto" w:fill="FFFFFF"/>
        </w:rPr>
        <w:t xml:space="preserve"> </w:t>
      </w:r>
      <w:r w:rsidR="00C14F26" w:rsidRPr="00C14F26">
        <w:rPr>
          <w:rFonts w:ascii="Times New Roman" w:hAnsi="Times New Roman"/>
          <w:color w:val="000000"/>
          <w:sz w:val="24"/>
          <w:szCs w:val="24"/>
          <w:shd w:val="clear" w:color="auto" w:fill="FFFFFF"/>
        </w:rPr>
        <w:t>услуге</w:t>
      </w:r>
      <w:r w:rsidR="00CF04EA" w:rsidRPr="00C14F26">
        <w:rPr>
          <w:rFonts w:ascii="Times New Roman" w:hAnsi="Times New Roman"/>
          <w:color w:val="000000"/>
          <w:sz w:val="24"/>
          <w:szCs w:val="24"/>
          <w:shd w:val="clear" w:color="auto" w:fill="FFFFFF"/>
        </w:rPr>
        <w:t xml:space="preserve"> </w:t>
      </w:r>
      <w:r w:rsidR="00C14F26" w:rsidRPr="00C14F26">
        <w:rPr>
          <w:rFonts w:ascii="Times New Roman" w:hAnsi="Times New Roman"/>
          <w:color w:val="000000"/>
          <w:sz w:val="24"/>
          <w:szCs w:val="24"/>
          <w:shd w:val="clear" w:color="auto" w:fill="FFFFFF"/>
        </w:rPr>
        <w:t>физичким</w:t>
      </w:r>
      <w:r w:rsidR="00CF04EA" w:rsidRPr="00C14F26">
        <w:rPr>
          <w:rFonts w:ascii="Times New Roman" w:hAnsi="Times New Roman"/>
          <w:color w:val="000000"/>
          <w:sz w:val="24"/>
          <w:szCs w:val="24"/>
          <w:shd w:val="clear" w:color="auto" w:fill="FFFFFF"/>
        </w:rPr>
        <w:t xml:space="preserve"> </w:t>
      </w:r>
      <w:r w:rsidR="00C14F26" w:rsidRPr="00C14F26">
        <w:rPr>
          <w:rFonts w:ascii="Times New Roman" w:hAnsi="Times New Roman"/>
          <w:color w:val="000000"/>
          <w:sz w:val="24"/>
          <w:szCs w:val="24"/>
          <w:shd w:val="clear" w:color="auto" w:fill="FFFFFF"/>
        </w:rPr>
        <w:t>лицима</w:t>
      </w:r>
      <w:r w:rsidR="00CF04EA">
        <w:rPr>
          <w:rFonts w:ascii="Arial" w:hAnsi="Arial" w:cs="Arial"/>
          <w:color w:val="000000"/>
          <w:sz w:val="18"/>
          <w:szCs w:val="18"/>
          <w:shd w:val="clear" w:color="auto" w:fill="FFFFFF"/>
          <w:lang w:val="sr-Cyrl-CS"/>
        </w:rPr>
        <w:t xml:space="preserve">, а </w:t>
      </w:r>
      <w:r>
        <w:rPr>
          <w:rFonts w:ascii="Times New Roman" w:hAnsi="Times New Roman"/>
          <w:sz w:val="24"/>
          <w:szCs w:val="24"/>
          <w:shd w:val="clear" w:color="auto" w:fill="FFFFFF"/>
          <w:lang w:val="sr-Cyrl-CS"/>
        </w:rPr>
        <w:t>што може бити у интересу другог пореског обвезника уколико се ради о крајњем потрошачу или обвезнику који нема право на одбитак претходног пореза, јер долазе до робе или услуга по нижој цени. У оваквим случајевима се интерес продавца и купца поклапају, а начело фискалитета, које се наводи као једно од предности код овог пореског облика у односу на пореску евазију, губи на значају. Према домаћим позитивним прописима</w:t>
      </w:r>
      <w:r w:rsidR="00CF4F98">
        <w:rPr>
          <w:rStyle w:val="FootnoteReference"/>
          <w:rFonts w:ascii="Times New Roman" w:hAnsi="Times New Roman"/>
          <w:sz w:val="24"/>
          <w:szCs w:val="24"/>
          <w:shd w:val="clear" w:color="auto" w:fill="FFFFFF"/>
          <w:lang w:val="sr-Cyrl-CS"/>
        </w:rPr>
        <w:footnoteReference w:id="416"/>
      </w:r>
      <w:r>
        <w:rPr>
          <w:rFonts w:ascii="Times New Roman" w:hAnsi="Times New Roman"/>
          <w:sz w:val="24"/>
          <w:szCs w:val="24"/>
          <w:shd w:val="clear" w:color="auto" w:fill="FFFFFF"/>
          <w:lang w:val="sr-Cyrl-CS"/>
        </w:rPr>
        <w:t xml:space="preserve"> постоји обавеза издавања фискалног исечка. </w:t>
      </w:r>
    </w:p>
    <w:p w:rsidR="00C14F26" w:rsidRPr="00001DEB" w:rsidRDefault="00880814" w:rsidP="00001DEB">
      <w:pPr>
        <w:ind w:firstLine="708"/>
        <w:jc w:val="both"/>
        <w:rPr>
          <w:rFonts w:ascii="Times New Roman" w:hAnsi="Times New Roman"/>
          <w:color w:val="000000"/>
          <w:sz w:val="24"/>
          <w:szCs w:val="24"/>
          <w:lang w:val="sr-Cyrl-CS"/>
        </w:rPr>
      </w:pPr>
      <w:r w:rsidRPr="00F34746">
        <w:rPr>
          <w:rFonts w:ascii="Times New Roman" w:hAnsi="Times New Roman"/>
          <w:sz w:val="24"/>
          <w:szCs w:val="24"/>
        </w:rPr>
        <w:t>Обвезник</w:t>
      </w:r>
      <w:r w:rsidR="00C14F26" w:rsidRPr="00F34746">
        <w:rPr>
          <w:rFonts w:ascii="Times New Roman" w:hAnsi="Times New Roman"/>
          <w:sz w:val="24"/>
          <w:szCs w:val="24"/>
        </w:rPr>
        <w:t xml:space="preserve"> </w:t>
      </w:r>
      <w:r w:rsidRPr="00F34746">
        <w:rPr>
          <w:rFonts w:ascii="Times New Roman" w:hAnsi="Times New Roman"/>
          <w:sz w:val="24"/>
          <w:szCs w:val="24"/>
        </w:rPr>
        <w:t>који</w:t>
      </w:r>
      <w:r w:rsidR="00C14F26" w:rsidRPr="00F34746">
        <w:rPr>
          <w:rFonts w:ascii="Times New Roman" w:hAnsi="Times New Roman"/>
          <w:sz w:val="24"/>
          <w:szCs w:val="24"/>
        </w:rPr>
        <w:t xml:space="preserve"> </w:t>
      </w:r>
      <w:r w:rsidRPr="00F34746">
        <w:rPr>
          <w:rFonts w:ascii="Times New Roman" w:hAnsi="Times New Roman"/>
          <w:sz w:val="24"/>
          <w:szCs w:val="24"/>
        </w:rPr>
        <w:t>је</w:t>
      </w:r>
      <w:r w:rsidR="00CF4F98" w:rsidRPr="00F34746">
        <w:rPr>
          <w:rFonts w:ascii="Times New Roman" w:hAnsi="Times New Roman"/>
          <w:sz w:val="24"/>
          <w:szCs w:val="24"/>
        </w:rPr>
        <w:t xml:space="preserve"> </w:t>
      </w:r>
      <w:r w:rsidRPr="00F34746">
        <w:rPr>
          <w:rFonts w:ascii="Times New Roman" w:hAnsi="Times New Roman"/>
          <w:sz w:val="24"/>
          <w:szCs w:val="24"/>
        </w:rPr>
        <w:t>дужан</w:t>
      </w:r>
      <w:r w:rsidR="00CF4F98" w:rsidRPr="00F34746">
        <w:rPr>
          <w:rFonts w:ascii="Times New Roman" w:hAnsi="Times New Roman"/>
          <w:sz w:val="24"/>
          <w:szCs w:val="24"/>
        </w:rPr>
        <w:t xml:space="preserve"> </w:t>
      </w:r>
      <w:r w:rsidRPr="00F34746">
        <w:rPr>
          <w:rFonts w:ascii="Times New Roman" w:hAnsi="Times New Roman"/>
          <w:sz w:val="24"/>
          <w:szCs w:val="24"/>
        </w:rPr>
        <w:t>да</w:t>
      </w:r>
      <w:r w:rsidR="00CF4F98" w:rsidRPr="00F34746">
        <w:rPr>
          <w:rFonts w:ascii="Times New Roman" w:hAnsi="Times New Roman"/>
          <w:sz w:val="24"/>
          <w:szCs w:val="24"/>
        </w:rPr>
        <w:t xml:space="preserve"> </w:t>
      </w:r>
      <w:r w:rsidRPr="00F34746">
        <w:rPr>
          <w:rFonts w:ascii="Times New Roman" w:hAnsi="Times New Roman"/>
          <w:sz w:val="24"/>
          <w:szCs w:val="24"/>
        </w:rPr>
        <w:t>евидентира</w:t>
      </w:r>
      <w:r w:rsidR="00CF4F98" w:rsidRPr="00F34746">
        <w:rPr>
          <w:rFonts w:ascii="Times New Roman" w:hAnsi="Times New Roman"/>
          <w:sz w:val="24"/>
          <w:szCs w:val="24"/>
        </w:rPr>
        <w:t xml:space="preserve"> </w:t>
      </w:r>
      <w:r w:rsidRPr="00F34746">
        <w:rPr>
          <w:rFonts w:ascii="Times New Roman" w:hAnsi="Times New Roman"/>
          <w:sz w:val="24"/>
          <w:szCs w:val="24"/>
        </w:rPr>
        <w:t>сваки</w:t>
      </w:r>
      <w:r w:rsidR="00CF4F98" w:rsidRPr="00F34746">
        <w:rPr>
          <w:rFonts w:ascii="Times New Roman" w:hAnsi="Times New Roman"/>
          <w:sz w:val="24"/>
          <w:szCs w:val="24"/>
        </w:rPr>
        <w:t xml:space="preserve"> </w:t>
      </w:r>
      <w:r w:rsidRPr="00F34746">
        <w:rPr>
          <w:rFonts w:ascii="Times New Roman" w:hAnsi="Times New Roman"/>
          <w:sz w:val="24"/>
          <w:szCs w:val="24"/>
        </w:rPr>
        <w:t>појединачни</w:t>
      </w:r>
      <w:r w:rsidR="00CF4F98" w:rsidRPr="00F34746">
        <w:rPr>
          <w:rFonts w:ascii="Times New Roman" w:hAnsi="Times New Roman"/>
          <w:sz w:val="24"/>
          <w:szCs w:val="24"/>
        </w:rPr>
        <w:t xml:space="preserve"> </w:t>
      </w:r>
      <w:r w:rsidRPr="00F34746">
        <w:rPr>
          <w:rFonts w:ascii="Times New Roman" w:hAnsi="Times New Roman"/>
          <w:sz w:val="24"/>
          <w:szCs w:val="24"/>
        </w:rPr>
        <w:t>промет</w:t>
      </w:r>
      <w:r w:rsidR="00CF4F98" w:rsidRPr="00F34746">
        <w:rPr>
          <w:rFonts w:ascii="Times New Roman" w:hAnsi="Times New Roman"/>
          <w:sz w:val="24"/>
          <w:szCs w:val="24"/>
        </w:rPr>
        <w:t xml:space="preserve"> </w:t>
      </w:r>
      <w:r w:rsidRPr="00F34746">
        <w:rPr>
          <w:rFonts w:ascii="Times New Roman" w:hAnsi="Times New Roman"/>
          <w:sz w:val="24"/>
          <w:szCs w:val="24"/>
        </w:rPr>
        <w:t>добара</w:t>
      </w:r>
      <w:r w:rsidR="00CF4F98" w:rsidRPr="00F34746">
        <w:rPr>
          <w:rFonts w:ascii="Times New Roman" w:hAnsi="Times New Roman"/>
          <w:sz w:val="24"/>
          <w:szCs w:val="24"/>
        </w:rPr>
        <w:t xml:space="preserve"> </w:t>
      </w:r>
      <w:r w:rsidRPr="00F34746">
        <w:rPr>
          <w:rFonts w:ascii="Times New Roman" w:hAnsi="Times New Roman"/>
          <w:sz w:val="24"/>
          <w:szCs w:val="24"/>
        </w:rPr>
        <w:t>на</w:t>
      </w:r>
      <w:r w:rsidR="00CF4F98" w:rsidRPr="00F34746">
        <w:rPr>
          <w:rFonts w:ascii="Times New Roman" w:hAnsi="Times New Roman"/>
          <w:sz w:val="24"/>
          <w:szCs w:val="24"/>
        </w:rPr>
        <w:t xml:space="preserve"> </w:t>
      </w:r>
      <w:r w:rsidRPr="00F34746">
        <w:rPr>
          <w:rFonts w:ascii="Times New Roman" w:hAnsi="Times New Roman"/>
          <w:sz w:val="24"/>
          <w:szCs w:val="24"/>
        </w:rPr>
        <w:t>мало</w:t>
      </w:r>
      <w:r w:rsidR="00CF4F98" w:rsidRPr="00F34746">
        <w:rPr>
          <w:rFonts w:ascii="Times New Roman" w:hAnsi="Times New Roman"/>
          <w:sz w:val="24"/>
          <w:szCs w:val="24"/>
        </w:rPr>
        <w:t xml:space="preserve">, </w:t>
      </w:r>
      <w:r w:rsidRPr="00F34746">
        <w:rPr>
          <w:rFonts w:ascii="Times New Roman" w:hAnsi="Times New Roman"/>
          <w:sz w:val="24"/>
          <w:szCs w:val="24"/>
        </w:rPr>
        <w:t>односно</w:t>
      </w:r>
      <w:r w:rsidR="00CF4F98" w:rsidRPr="00F34746">
        <w:rPr>
          <w:rFonts w:ascii="Times New Roman" w:hAnsi="Times New Roman"/>
          <w:sz w:val="24"/>
          <w:szCs w:val="24"/>
        </w:rPr>
        <w:t xml:space="preserve"> </w:t>
      </w:r>
      <w:r w:rsidRPr="00F34746">
        <w:rPr>
          <w:rFonts w:ascii="Times New Roman" w:hAnsi="Times New Roman"/>
          <w:sz w:val="24"/>
          <w:szCs w:val="24"/>
        </w:rPr>
        <w:t>промет</w:t>
      </w:r>
      <w:r w:rsidR="00CF4F98" w:rsidRPr="00F34746">
        <w:rPr>
          <w:rFonts w:ascii="Times New Roman" w:hAnsi="Times New Roman"/>
          <w:sz w:val="24"/>
          <w:szCs w:val="24"/>
        </w:rPr>
        <w:t xml:space="preserve"> </w:t>
      </w:r>
      <w:r w:rsidRPr="00F34746">
        <w:rPr>
          <w:rFonts w:ascii="Times New Roman" w:hAnsi="Times New Roman"/>
          <w:sz w:val="24"/>
          <w:szCs w:val="24"/>
        </w:rPr>
        <w:t>услуга</w:t>
      </w:r>
      <w:r w:rsidR="00CF4F98" w:rsidRPr="00F34746">
        <w:rPr>
          <w:rFonts w:ascii="Times New Roman" w:hAnsi="Times New Roman"/>
          <w:sz w:val="24"/>
          <w:szCs w:val="24"/>
        </w:rPr>
        <w:t xml:space="preserve"> </w:t>
      </w:r>
      <w:r w:rsidRPr="00F34746">
        <w:rPr>
          <w:rFonts w:ascii="Times New Roman" w:hAnsi="Times New Roman"/>
          <w:sz w:val="24"/>
          <w:szCs w:val="24"/>
        </w:rPr>
        <w:t>физичким</w:t>
      </w:r>
      <w:r w:rsidR="00CF4F98" w:rsidRPr="00F34746">
        <w:rPr>
          <w:rFonts w:ascii="Times New Roman" w:hAnsi="Times New Roman"/>
          <w:sz w:val="24"/>
          <w:szCs w:val="24"/>
        </w:rPr>
        <w:t xml:space="preserve"> </w:t>
      </w:r>
      <w:r w:rsidRPr="00F34746">
        <w:rPr>
          <w:rFonts w:ascii="Times New Roman" w:hAnsi="Times New Roman"/>
          <w:sz w:val="24"/>
          <w:szCs w:val="24"/>
        </w:rPr>
        <w:t>лицима</w:t>
      </w:r>
      <w:r w:rsidR="00CF4F98" w:rsidRPr="00F34746">
        <w:rPr>
          <w:rFonts w:ascii="Times New Roman" w:hAnsi="Times New Roman"/>
          <w:sz w:val="24"/>
          <w:szCs w:val="24"/>
        </w:rPr>
        <w:t xml:space="preserve"> </w:t>
      </w:r>
      <w:r w:rsidRPr="00F34746">
        <w:rPr>
          <w:rFonts w:ascii="Times New Roman" w:hAnsi="Times New Roman"/>
          <w:sz w:val="24"/>
          <w:szCs w:val="24"/>
        </w:rPr>
        <w:t>преко</w:t>
      </w:r>
      <w:r w:rsidR="00CF4F98" w:rsidRPr="00F34746">
        <w:rPr>
          <w:rFonts w:ascii="Times New Roman" w:hAnsi="Times New Roman"/>
          <w:sz w:val="24"/>
          <w:szCs w:val="24"/>
        </w:rPr>
        <w:t xml:space="preserve"> </w:t>
      </w:r>
      <w:r w:rsidRPr="00F34746">
        <w:rPr>
          <w:rFonts w:ascii="Times New Roman" w:hAnsi="Times New Roman"/>
          <w:sz w:val="24"/>
          <w:szCs w:val="24"/>
        </w:rPr>
        <w:t>фискалне</w:t>
      </w:r>
      <w:r w:rsidR="00CF4F98" w:rsidRPr="00F34746">
        <w:rPr>
          <w:rFonts w:ascii="Times New Roman" w:hAnsi="Times New Roman"/>
          <w:sz w:val="24"/>
          <w:szCs w:val="24"/>
        </w:rPr>
        <w:t xml:space="preserve"> </w:t>
      </w:r>
      <w:r w:rsidRPr="00F34746">
        <w:rPr>
          <w:rFonts w:ascii="Times New Roman" w:hAnsi="Times New Roman"/>
          <w:sz w:val="24"/>
          <w:szCs w:val="24"/>
        </w:rPr>
        <w:t>касе</w:t>
      </w:r>
      <w:r w:rsidR="00CF4F98" w:rsidRPr="00F34746">
        <w:rPr>
          <w:rFonts w:ascii="Times New Roman" w:hAnsi="Times New Roman"/>
          <w:sz w:val="24"/>
          <w:szCs w:val="24"/>
        </w:rPr>
        <w:t xml:space="preserve">, </w:t>
      </w:r>
      <w:r w:rsidRPr="00F34746">
        <w:rPr>
          <w:rFonts w:ascii="Times New Roman" w:hAnsi="Times New Roman"/>
          <w:sz w:val="24"/>
          <w:szCs w:val="24"/>
        </w:rPr>
        <w:t>дужан</w:t>
      </w:r>
      <w:r w:rsidR="00CF4F98" w:rsidRPr="00F34746">
        <w:rPr>
          <w:rFonts w:ascii="Times New Roman" w:hAnsi="Times New Roman"/>
          <w:sz w:val="24"/>
          <w:szCs w:val="24"/>
        </w:rPr>
        <w:t xml:space="preserve"> </w:t>
      </w:r>
      <w:r w:rsidRPr="00F34746">
        <w:rPr>
          <w:rFonts w:ascii="Times New Roman" w:hAnsi="Times New Roman"/>
          <w:sz w:val="24"/>
          <w:szCs w:val="24"/>
        </w:rPr>
        <w:t>је</w:t>
      </w:r>
      <w:r w:rsidR="00CF4F98" w:rsidRPr="00F34746">
        <w:rPr>
          <w:rFonts w:ascii="Times New Roman" w:hAnsi="Times New Roman"/>
          <w:sz w:val="24"/>
          <w:szCs w:val="24"/>
        </w:rPr>
        <w:t xml:space="preserve"> </w:t>
      </w:r>
      <w:r w:rsidRPr="00F34746">
        <w:rPr>
          <w:rFonts w:ascii="Times New Roman" w:hAnsi="Times New Roman"/>
          <w:sz w:val="24"/>
          <w:szCs w:val="24"/>
        </w:rPr>
        <w:t>да</w:t>
      </w:r>
      <w:r w:rsidR="00CF4F98" w:rsidRPr="00F34746">
        <w:rPr>
          <w:rFonts w:ascii="Times New Roman" w:hAnsi="Times New Roman"/>
          <w:sz w:val="24"/>
          <w:szCs w:val="24"/>
        </w:rPr>
        <w:t xml:space="preserve"> </w:t>
      </w:r>
      <w:r w:rsidRPr="00F34746">
        <w:rPr>
          <w:rFonts w:ascii="Times New Roman" w:hAnsi="Times New Roman"/>
          <w:sz w:val="24"/>
          <w:szCs w:val="24"/>
        </w:rPr>
        <w:t>купцу</w:t>
      </w:r>
      <w:r w:rsidR="00CF4F98" w:rsidRPr="00F34746">
        <w:rPr>
          <w:rFonts w:ascii="Times New Roman" w:hAnsi="Times New Roman"/>
          <w:sz w:val="24"/>
          <w:szCs w:val="24"/>
        </w:rPr>
        <w:t xml:space="preserve"> </w:t>
      </w:r>
      <w:r w:rsidRPr="00F34746">
        <w:rPr>
          <w:rFonts w:ascii="Times New Roman" w:hAnsi="Times New Roman"/>
          <w:sz w:val="24"/>
          <w:szCs w:val="24"/>
        </w:rPr>
        <w:t>добара</w:t>
      </w:r>
      <w:r w:rsidR="00CF4F98" w:rsidRPr="00F34746">
        <w:rPr>
          <w:rFonts w:ascii="Times New Roman" w:hAnsi="Times New Roman"/>
          <w:sz w:val="24"/>
          <w:szCs w:val="24"/>
        </w:rPr>
        <w:t xml:space="preserve">, </w:t>
      </w:r>
      <w:r w:rsidRPr="00F34746">
        <w:rPr>
          <w:rFonts w:ascii="Times New Roman" w:hAnsi="Times New Roman"/>
          <w:sz w:val="24"/>
          <w:szCs w:val="24"/>
        </w:rPr>
        <w:t>односно</w:t>
      </w:r>
      <w:r w:rsidR="00CF4F98" w:rsidRPr="00F34746">
        <w:rPr>
          <w:rFonts w:ascii="Times New Roman" w:hAnsi="Times New Roman"/>
          <w:sz w:val="24"/>
          <w:szCs w:val="24"/>
        </w:rPr>
        <w:t xml:space="preserve"> </w:t>
      </w:r>
      <w:r w:rsidRPr="00F34746">
        <w:rPr>
          <w:rFonts w:ascii="Times New Roman" w:hAnsi="Times New Roman"/>
          <w:sz w:val="24"/>
          <w:szCs w:val="24"/>
        </w:rPr>
        <w:t>кориснику</w:t>
      </w:r>
      <w:r w:rsidR="00CF4F98" w:rsidRPr="00F34746">
        <w:rPr>
          <w:rFonts w:ascii="Times New Roman" w:hAnsi="Times New Roman"/>
          <w:sz w:val="24"/>
          <w:szCs w:val="24"/>
        </w:rPr>
        <w:t xml:space="preserve"> </w:t>
      </w:r>
      <w:r w:rsidRPr="00F34746">
        <w:rPr>
          <w:rFonts w:ascii="Times New Roman" w:hAnsi="Times New Roman"/>
          <w:sz w:val="24"/>
          <w:szCs w:val="24"/>
        </w:rPr>
        <w:t>услуге</w:t>
      </w:r>
      <w:r w:rsidR="00CF4F98" w:rsidRPr="00F34746">
        <w:rPr>
          <w:rFonts w:ascii="Times New Roman" w:hAnsi="Times New Roman"/>
          <w:sz w:val="24"/>
          <w:szCs w:val="24"/>
        </w:rPr>
        <w:t xml:space="preserve"> </w:t>
      </w:r>
      <w:r w:rsidRPr="00F34746">
        <w:rPr>
          <w:rFonts w:ascii="Times New Roman" w:hAnsi="Times New Roman"/>
          <w:sz w:val="24"/>
          <w:szCs w:val="24"/>
        </w:rPr>
        <w:t>одштампа</w:t>
      </w:r>
      <w:r w:rsidR="00CF4F98" w:rsidRPr="00F34746">
        <w:rPr>
          <w:rFonts w:ascii="Times New Roman" w:hAnsi="Times New Roman"/>
          <w:sz w:val="24"/>
          <w:szCs w:val="24"/>
        </w:rPr>
        <w:t xml:space="preserve"> </w:t>
      </w:r>
      <w:r w:rsidRPr="00F34746">
        <w:rPr>
          <w:rFonts w:ascii="Times New Roman" w:hAnsi="Times New Roman"/>
          <w:sz w:val="24"/>
          <w:szCs w:val="24"/>
        </w:rPr>
        <w:t>и</w:t>
      </w:r>
      <w:r w:rsidR="00CF4F98" w:rsidRPr="00F34746">
        <w:rPr>
          <w:rFonts w:ascii="Times New Roman" w:hAnsi="Times New Roman"/>
          <w:sz w:val="24"/>
          <w:szCs w:val="24"/>
        </w:rPr>
        <w:t xml:space="preserve"> </w:t>
      </w:r>
      <w:r w:rsidRPr="00F34746">
        <w:rPr>
          <w:rFonts w:ascii="Times New Roman" w:hAnsi="Times New Roman"/>
          <w:sz w:val="24"/>
          <w:szCs w:val="24"/>
        </w:rPr>
        <w:t>изда</w:t>
      </w:r>
      <w:r w:rsidR="00CF4F98" w:rsidRPr="00F34746">
        <w:rPr>
          <w:rFonts w:ascii="Times New Roman" w:hAnsi="Times New Roman"/>
          <w:sz w:val="24"/>
          <w:szCs w:val="24"/>
        </w:rPr>
        <w:t xml:space="preserve"> </w:t>
      </w:r>
      <w:r w:rsidRPr="00F34746">
        <w:rPr>
          <w:rFonts w:ascii="Times New Roman" w:hAnsi="Times New Roman"/>
          <w:sz w:val="24"/>
          <w:szCs w:val="24"/>
        </w:rPr>
        <w:t>фискални</w:t>
      </w:r>
      <w:r w:rsidR="00CF4F98" w:rsidRPr="00F34746">
        <w:rPr>
          <w:rFonts w:ascii="Times New Roman" w:hAnsi="Times New Roman"/>
          <w:sz w:val="24"/>
          <w:szCs w:val="24"/>
        </w:rPr>
        <w:t xml:space="preserve"> </w:t>
      </w:r>
      <w:r w:rsidRPr="00F34746">
        <w:rPr>
          <w:rFonts w:ascii="Times New Roman" w:hAnsi="Times New Roman"/>
          <w:sz w:val="24"/>
          <w:szCs w:val="24"/>
        </w:rPr>
        <w:t>исечак</w:t>
      </w:r>
      <w:r w:rsidR="00CF4F98" w:rsidRPr="00F34746">
        <w:rPr>
          <w:rFonts w:ascii="Times New Roman" w:hAnsi="Times New Roman"/>
          <w:sz w:val="24"/>
          <w:szCs w:val="24"/>
        </w:rPr>
        <w:t xml:space="preserve"> </w:t>
      </w:r>
      <w:r w:rsidRPr="00F34746">
        <w:rPr>
          <w:rFonts w:ascii="Times New Roman" w:hAnsi="Times New Roman"/>
          <w:sz w:val="24"/>
          <w:szCs w:val="24"/>
        </w:rPr>
        <w:t>фискалне</w:t>
      </w:r>
      <w:r w:rsidR="00CF4F98" w:rsidRPr="00F34746">
        <w:rPr>
          <w:rFonts w:ascii="Times New Roman" w:hAnsi="Times New Roman"/>
          <w:sz w:val="24"/>
          <w:szCs w:val="24"/>
        </w:rPr>
        <w:t xml:space="preserve"> </w:t>
      </w:r>
      <w:r w:rsidRPr="00F34746">
        <w:rPr>
          <w:rFonts w:ascii="Times New Roman" w:hAnsi="Times New Roman"/>
          <w:sz w:val="24"/>
          <w:szCs w:val="24"/>
        </w:rPr>
        <w:t>касе</w:t>
      </w:r>
      <w:r w:rsidR="00CF4F98" w:rsidRPr="00F34746">
        <w:rPr>
          <w:rFonts w:ascii="Times New Roman" w:hAnsi="Times New Roman"/>
          <w:sz w:val="24"/>
          <w:szCs w:val="24"/>
        </w:rPr>
        <w:t xml:space="preserve"> </w:t>
      </w:r>
      <w:r w:rsidRPr="00F34746">
        <w:rPr>
          <w:rFonts w:ascii="Times New Roman" w:hAnsi="Times New Roman"/>
          <w:sz w:val="24"/>
          <w:szCs w:val="24"/>
        </w:rPr>
        <w:t>преко</w:t>
      </w:r>
      <w:r w:rsidR="00CF4F98" w:rsidRPr="00F34746">
        <w:rPr>
          <w:rFonts w:ascii="Times New Roman" w:hAnsi="Times New Roman"/>
          <w:sz w:val="24"/>
          <w:szCs w:val="24"/>
        </w:rPr>
        <w:t xml:space="preserve"> </w:t>
      </w:r>
      <w:r w:rsidRPr="00F34746">
        <w:rPr>
          <w:rFonts w:ascii="Times New Roman" w:hAnsi="Times New Roman"/>
          <w:sz w:val="24"/>
          <w:szCs w:val="24"/>
        </w:rPr>
        <w:t>које</w:t>
      </w:r>
      <w:r w:rsidR="00CF4F98" w:rsidRPr="00F34746">
        <w:rPr>
          <w:rFonts w:ascii="Times New Roman" w:hAnsi="Times New Roman"/>
          <w:sz w:val="24"/>
          <w:szCs w:val="24"/>
        </w:rPr>
        <w:t xml:space="preserve"> </w:t>
      </w:r>
      <w:r w:rsidRPr="00F34746">
        <w:rPr>
          <w:rFonts w:ascii="Times New Roman" w:hAnsi="Times New Roman"/>
          <w:sz w:val="24"/>
          <w:szCs w:val="24"/>
        </w:rPr>
        <w:t>је</w:t>
      </w:r>
      <w:r w:rsidR="00CF4F98" w:rsidRPr="00F34746">
        <w:rPr>
          <w:rFonts w:ascii="Times New Roman" w:hAnsi="Times New Roman"/>
          <w:sz w:val="24"/>
          <w:szCs w:val="24"/>
        </w:rPr>
        <w:t xml:space="preserve"> </w:t>
      </w:r>
      <w:r w:rsidRPr="00F34746">
        <w:rPr>
          <w:rFonts w:ascii="Times New Roman" w:hAnsi="Times New Roman"/>
          <w:sz w:val="24"/>
          <w:szCs w:val="24"/>
        </w:rPr>
        <w:t>евидентиран</w:t>
      </w:r>
      <w:r w:rsidR="00CF4F98" w:rsidRPr="00F34746">
        <w:rPr>
          <w:rFonts w:ascii="Times New Roman" w:hAnsi="Times New Roman"/>
          <w:sz w:val="24"/>
          <w:szCs w:val="24"/>
        </w:rPr>
        <w:t xml:space="preserve"> </w:t>
      </w:r>
      <w:r w:rsidRPr="00F34746">
        <w:rPr>
          <w:rFonts w:ascii="Times New Roman" w:hAnsi="Times New Roman"/>
          <w:sz w:val="24"/>
          <w:szCs w:val="24"/>
        </w:rPr>
        <w:t>промет</w:t>
      </w:r>
      <w:r w:rsidR="00CF4F98" w:rsidRPr="00F34746">
        <w:rPr>
          <w:rFonts w:ascii="Times New Roman" w:hAnsi="Times New Roman"/>
          <w:sz w:val="24"/>
          <w:szCs w:val="24"/>
        </w:rPr>
        <w:t xml:space="preserve">, </w:t>
      </w:r>
      <w:r w:rsidRPr="00F34746">
        <w:rPr>
          <w:rFonts w:ascii="Times New Roman" w:hAnsi="Times New Roman"/>
          <w:sz w:val="24"/>
          <w:szCs w:val="24"/>
        </w:rPr>
        <w:t>без</w:t>
      </w:r>
      <w:r w:rsidR="00CF4F98" w:rsidRPr="00F34746">
        <w:rPr>
          <w:rFonts w:ascii="Times New Roman" w:hAnsi="Times New Roman"/>
          <w:sz w:val="24"/>
          <w:szCs w:val="24"/>
        </w:rPr>
        <w:t xml:space="preserve"> </w:t>
      </w:r>
      <w:r w:rsidRPr="00F34746">
        <w:rPr>
          <w:rFonts w:ascii="Times New Roman" w:hAnsi="Times New Roman"/>
          <w:sz w:val="24"/>
          <w:szCs w:val="24"/>
        </w:rPr>
        <w:t>обзира</w:t>
      </w:r>
      <w:r w:rsidR="00CF4F98" w:rsidRPr="00F34746">
        <w:rPr>
          <w:rFonts w:ascii="Times New Roman" w:hAnsi="Times New Roman"/>
          <w:sz w:val="24"/>
          <w:szCs w:val="24"/>
        </w:rPr>
        <w:t xml:space="preserve"> </w:t>
      </w:r>
      <w:r w:rsidRPr="00F34746">
        <w:rPr>
          <w:rFonts w:ascii="Times New Roman" w:hAnsi="Times New Roman"/>
          <w:sz w:val="24"/>
          <w:szCs w:val="24"/>
        </w:rPr>
        <w:t>да</w:t>
      </w:r>
      <w:r w:rsidR="00CF4F98" w:rsidRPr="00F34746">
        <w:rPr>
          <w:rFonts w:ascii="Times New Roman" w:hAnsi="Times New Roman"/>
          <w:sz w:val="24"/>
          <w:szCs w:val="24"/>
        </w:rPr>
        <w:t xml:space="preserve"> </w:t>
      </w:r>
      <w:r w:rsidRPr="00F34746">
        <w:rPr>
          <w:rFonts w:ascii="Times New Roman" w:hAnsi="Times New Roman"/>
          <w:sz w:val="24"/>
          <w:szCs w:val="24"/>
        </w:rPr>
        <w:t>ли</w:t>
      </w:r>
      <w:r w:rsidR="00CF4F98" w:rsidRPr="00F34746">
        <w:rPr>
          <w:rFonts w:ascii="Times New Roman" w:hAnsi="Times New Roman"/>
          <w:sz w:val="24"/>
          <w:szCs w:val="24"/>
        </w:rPr>
        <w:t xml:space="preserve"> </w:t>
      </w:r>
      <w:r w:rsidRPr="00F34746">
        <w:rPr>
          <w:rFonts w:ascii="Times New Roman" w:hAnsi="Times New Roman"/>
          <w:sz w:val="24"/>
          <w:szCs w:val="24"/>
        </w:rPr>
        <w:t>купац</w:t>
      </w:r>
      <w:r w:rsidR="00CF4F98" w:rsidRPr="00F34746">
        <w:rPr>
          <w:rFonts w:ascii="Times New Roman" w:hAnsi="Times New Roman"/>
          <w:sz w:val="24"/>
          <w:szCs w:val="24"/>
        </w:rPr>
        <w:t xml:space="preserve"> </w:t>
      </w:r>
      <w:r w:rsidRPr="00F34746">
        <w:rPr>
          <w:rFonts w:ascii="Times New Roman" w:hAnsi="Times New Roman"/>
          <w:sz w:val="24"/>
          <w:szCs w:val="24"/>
        </w:rPr>
        <w:t>добара</w:t>
      </w:r>
      <w:r w:rsidR="00CF4F98" w:rsidRPr="00F34746">
        <w:rPr>
          <w:rFonts w:ascii="Times New Roman" w:hAnsi="Times New Roman"/>
          <w:sz w:val="24"/>
          <w:szCs w:val="24"/>
        </w:rPr>
        <w:t xml:space="preserve">, </w:t>
      </w:r>
      <w:r w:rsidRPr="00F34746">
        <w:rPr>
          <w:rFonts w:ascii="Times New Roman" w:hAnsi="Times New Roman"/>
          <w:sz w:val="24"/>
          <w:szCs w:val="24"/>
        </w:rPr>
        <w:t>односно</w:t>
      </w:r>
      <w:r w:rsidR="00CF4F98" w:rsidRPr="00F34746">
        <w:rPr>
          <w:rFonts w:ascii="Times New Roman" w:hAnsi="Times New Roman"/>
          <w:sz w:val="24"/>
          <w:szCs w:val="24"/>
        </w:rPr>
        <w:t xml:space="preserve"> </w:t>
      </w:r>
      <w:r w:rsidRPr="00F34746">
        <w:rPr>
          <w:rFonts w:ascii="Times New Roman" w:hAnsi="Times New Roman"/>
          <w:sz w:val="24"/>
          <w:szCs w:val="24"/>
        </w:rPr>
        <w:t>корисник</w:t>
      </w:r>
      <w:r w:rsidR="00CF4F98" w:rsidRPr="00F34746">
        <w:rPr>
          <w:rFonts w:ascii="Times New Roman" w:hAnsi="Times New Roman"/>
          <w:sz w:val="24"/>
          <w:szCs w:val="24"/>
        </w:rPr>
        <w:t xml:space="preserve"> </w:t>
      </w:r>
      <w:r w:rsidRPr="00F34746">
        <w:rPr>
          <w:rFonts w:ascii="Times New Roman" w:hAnsi="Times New Roman"/>
          <w:sz w:val="24"/>
          <w:szCs w:val="24"/>
        </w:rPr>
        <w:t>услуга</w:t>
      </w:r>
      <w:r w:rsidR="00CF4F98" w:rsidRPr="00F34746">
        <w:rPr>
          <w:rFonts w:ascii="Times New Roman" w:hAnsi="Times New Roman"/>
          <w:sz w:val="24"/>
          <w:szCs w:val="24"/>
        </w:rPr>
        <w:t xml:space="preserve"> </w:t>
      </w:r>
      <w:r w:rsidRPr="00F34746">
        <w:rPr>
          <w:rFonts w:ascii="Times New Roman" w:hAnsi="Times New Roman"/>
          <w:sz w:val="24"/>
          <w:szCs w:val="24"/>
        </w:rPr>
        <w:t>то</w:t>
      </w:r>
      <w:r w:rsidR="00CF4F98" w:rsidRPr="00F34746">
        <w:rPr>
          <w:rFonts w:ascii="Times New Roman" w:hAnsi="Times New Roman"/>
          <w:sz w:val="24"/>
          <w:szCs w:val="24"/>
        </w:rPr>
        <w:t xml:space="preserve"> </w:t>
      </w:r>
      <w:r w:rsidRPr="00F34746">
        <w:rPr>
          <w:rFonts w:ascii="Times New Roman" w:hAnsi="Times New Roman"/>
          <w:sz w:val="24"/>
          <w:szCs w:val="24"/>
        </w:rPr>
        <w:t>захтева</w:t>
      </w:r>
      <w:r w:rsidR="00CF4F98" w:rsidRPr="00F34746">
        <w:rPr>
          <w:rFonts w:ascii="Times New Roman" w:hAnsi="Times New Roman"/>
          <w:sz w:val="24"/>
          <w:szCs w:val="24"/>
        </w:rPr>
        <w:t xml:space="preserve"> </w:t>
      </w:r>
      <w:r w:rsidRPr="00F34746">
        <w:rPr>
          <w:rFonts w:ascii="Times New Roman" w:hAnsi="Times New Roman"/>
          <w:sz w:val="24"/>
          <w:szCs w:val="24"/>
        </w:rPr>
        <w:t>или</w:t>
      </w:r>
      <w:r w:rsidR="00CF4F98" w:rsidRPr="00F34746">
        <w:rPr>
          <w:rFonts w:ascii="Times New Roman" w:hAnsi="Times New Roman"/>
          <w:sz w:val="24"/>
          <w:szCs w:val="24"/>
        </w:rPr>
        <w:t xml:space="preserve"> </w:t>
      </w:r>
      <w:r w:rsidRPr="00F34746">
        <w:rPr>
          <w:rFonts w:ascii="Times New Roman" w:hAnsi="Times New Roman"/>
          <w:sz w:val="24"/>
          <w:szCs w:val="24"/>
        </w:rPr>
        <w:t>не</w:t>
      </w:r>
      <w:r w:rsidR="00CF4F98" w:rsidRPr="00F34746">
        <w:rPr>
          <w:rFonts w:ascii="Times New Roman" w:hAnsi="Times New Roman"/>
          <w:sz w:val="24"/>
          <w:szCs w:val="24"/>
        </w:rPr>
        <w:t>.</w:t>
      </w:r>
      <w:r w:rsidR="00C14F26" w:rsidRPr="00F34746">
        <w:rPr>
          <w:rFonts w:ascii="Times New Roman" w:hAnsi="Times New Roman"/>
          <w:sz w:val="24"/>
          <w:szCs w:val="24"/>
        </w:rPr>
        <w:t xml:space="preserve"> </w:t>
      </w:r>
      <w:r w:rsidRPr="00F34746">
        <w:rPr>
          <w:rFonts w:ascii="Times New Roman" w:hAnsi="Times New Roman"/>
          <w:sz w:val="24"/>
          <w:szCs w:val="24"/>
        </w:rPr>
        <w:t>Обвезник</w:t>
      </w:r>
      <w:r w:rsidR="00CF4F98" w:rsidRPr="00F34746">
        <w:rPr>
          <w:rFonts w:ascii="Times New Roman" w:hAnsi="Times New Roman"/>
          <w:sz w:val="24"/>
          <w:szCs w:val="24"/>
        </w:rPr>
        <w:t xml:space="preserve"> </w:t>
      </w:r>
      <w:r w:rsidR="00C14F26" w:rsidRPr="00F34746">
        <w:rPr>
          <w:rFonts w:ascii="Times New Roman" w:hAnsi="Times New Roman"/>
          <w:sz w:val="24"/>
          <w:szCs w:val="24"/>
        </w:rPr>
        <w:t xml:space="preserve">је </w:t>
      </w:r>
      <w:r w:rsidRPr="00F34746">
        <w:rPr>
          <w:rFonts w:ascii="Times New Roman" w:hAnsi="Times New Roman"/>
          <w:sz w:val="24"/>
          <w:szCs w:val="24"/>
        </w:rPr>
        <w:t>дужан</w:t>
      </w:r>
      <w:r w:rsidR="00CF4F98" w:rsidRPr="00F34746">
        <w:rPr>
          <w:rFonts w:ascii="Times New Roman" w:hAnsi="Times New Roman"/>
          <w:sz w:val="24"/>
          <w:szCs w:val="24"/>
        </w:rPr>
        <w:t xml:space="preserve"> </w:t>
      </w:r>
      <w:r w:rsidRPr="00F34746">
        <w:rPr>
          <w:rFonts w:ascii="Times New Roman" w:hAnsi="Times New Roman"/>
          <w:sz w:val="24"/>
          <w:szCs w:val="24"/>
        </w:rPr>
        <w:t>да</w:t>
      </w:r>
      <w:r w:rsidR="00CF4F98" w:rsidRPr="00F34746">
        <w:rPr>
          <w:rFonts w:ascii="Times New Roman" w:hAnsi="Times New Roman"/>
          <w:sz w:val="24"/>
          <w:szCs w:val="24"/>
        </w:rPr>
        <w:t xml:space="preserve"> </w:t>
      </w:r>
      <w:r w:rsidRPr="00F34746">
        <w:rPr>
          <w:rFonts w:ascii="Times New Roman" w:hAnsi="Times New Roman"/>
          <w:sz w:val="24"/>
          <w:szCs w:val="24"/>
        </w:rPr>
        <w:t>на</w:t>
      </w:r>
      <w:r w:rsidR="00CF4F98" w:rsidRPr="00F34746">
        <w:rPr>
          <w:rFonts w:ascii="Times New Roman" w:hAnsi="Times New Roman"/>
          <w:sz w:val="24"/>
          <w:szCs w:val="24"/>
        </w:rPr>
        <w:t xml:space="preserve"> </w:t>
      </w:r>
      <w:r w:rsidRPr="00F34746">
        <w:rPr>
          <w:rFonts w:ascii="Times New Roman" w:hAnsi="Times New Roman"/>
          <w:sz w:val="24"/>
          <w:szCs w:val="24"/>
        </w:rPr>
        <w:t>видном</w:t>
      </w:r>
      <w:r w:rsidR="00CF4F98" w:rsidRPr="00F34746">
        <w:rPr>
          <w:rFonts w:ascii="Times New Roman" w:hAnsi="Times New Roman"/>
          <w:sz w:val="24"/>
          <w:szCs w:val="24"/>
        </w:rPr>
        <w:t xml:space="preserve"> </w:t>
      </w:r>
      <w:r w:rsidRPr="00F34746">
        <w:rPr>
          <w:rFonts w:ascii="Times New Roman" w:hAnsi="Times New Roman"/>
          <w:sz w:val="24"/>
          <w:szCs w:val="24"/>
        </w:rPr>
        <w:t>месту</w:t>
      </w:r>
      <w:r w:rsidR="00CF4F98" w:rsidRPr="00F34746">
        <w:rPr>
          <w:rFonts w:ascii="Times New Roman" w:hAnsi="Times New Roman"/>
          <w:sz w:val="24"/>
          <w:szCs w:val="24"/>
        </w:rPr>
        <w:t xml:space="preserve"> </w:t>
      </w:r>
      <w:r w:rsidRPr="00F34746">
        <w:rPr>
          <w:rFonts w:ascii="Times New Roman" w:hAnsi="Times New Roman"/>
          <w:sz w:val="24"/>
          <w:szCs w:val="24"/>
        </w:rPr>
        <w:t>у</w:t>
      </w:r>
      <w:r w:rsidR="00CF4F98" w:rsidRPr="00F34746">
        <w:rPr>
          <w:rFonts w:ascii="Times New Roman" w:hAnsi="Times New Roman"/>
          <w:sz w:val="24"/>
          <w:szCs w:val="24"/>
        </w:rPr>
        <w:t xml:space="preserve"> </w:t>
      </w:r>
      <w:r w:rsidRPr="00F34746">
        <w:rPr>
          <w:rFonts w:ascii="Times New Roman" w:hAnsi="Times New Roman"/>
          <w:sz w:val="24"/>
          <w:szCs w:val="24"/>
        </w:rPr>
        <w:t>објекту</w:t>
      </w:r>
      <w:r w:rsidR="00CF4F98" w:rsidRPr="00F34746">
        <w:rPr>
          <w:rFonts w:ascii="Times New Roman" w:hAnsi="Times New Roman"/>
          <w:sz w:val="24"/>
          <w:szCs w:val="24"/>
        </w:rPr>
        <w:t xml:space="preserve"> </w:t>
      </w:r>
      <w:r w:rsidRPr="00F34746">
        <w:rPr>
          <w:rFonts w:ascii="Times New Roman" w:hAnsi="Times New Roman"/>
          <w:sz w:val="24"/>
          <w:szCs w:val="24"/>
        </w:rPr>
        <w:t>у</w:t>
      </w:r>
      <w:r w:rsidR="00CF4F98" w:rsidRPr="00F34746">
        <w:rPr>
          <w:rFonts w:ascii="Times New Roman" w:hAnsi="Times New Roman"/>
          <w:sz w:val="24"/>
          <w:szCs w:val="24"/>
        </w:rPr>
        <w:t xml:space="preserve"> </w:t>
      </w:r>
      <w:r w:rsidRPr="00F34746">
        <w:rPr>
          <w:rFonts w:ascii="Times New Roman" w:hAnsi="Times New Roman"/>
          <w:sz w:val="24"/>
          <w:szCs w:val="24"/>
        </w:rPr>
        <w:t>коме</w:t>
      </w:r>
      <w:r w:rsidR="00CF4F98" w:rsidRPr="00F34746">
        <w:rPr>
          <w:rFonts w:ascii="Times New Roman" w:hAnsi="Times New Roman"/>
          <w:sz w:val="24"/>
          <w:szCs w:val="24"/>
        </w:rPr>
        <w:t xml:space="preserve"> </w:t>
      </w:r>
      <w:r w:rsidRPr="00F34746">
        <w:rPr>
          <w:rFonts w:ascii="Times New Roman" w:hAnsi="Times New Roman"/>
          <w:sz w:val="24"/>
          <w:szCs w:val="24"/>
        </w:rPr>
        <w:t>врши</w:t>
      </w:r>
      <w:r w:rsidR="00CF4F98" w:rsidRPr="00F34746">
        <w:rPr>
          <w:rFonts w:ascii="Times New Roman" w:hAnsi="Times New Roman"/>
          <w:sz w:val="24"/>
          <w:szCs w:val="24"/>
        </w:rPr>
        <w:t xml:space="preserve"> </w:t>
      </w:r>
      <w:r w:rsidRPr="00F34746">
        <w:rPr>
          <w:rFonts w:ascii="Times New Roman" w:hAnsi="Times New Roman"/>
          <w:sz w:val="24"/>
          <w:szCs w:val="24"/>
        </w:rPr>
        <w:t>промет</w:t>
      </w:r>
      <w:r w:rsidR="00CF4F98" w:rsidRPr="00F34746">
        <w:rPr>
          <w:rFonts w:ascii="Times New Roman" w:hAnsi="Times New Roman"/>
          <w:sz w:val="24"/>
          <w:szCs w:val="24"/>
        </w:rPr>
        <w:t xml:space="preserve"> </w:t>
      </w:r>
      <w:r w:rsidRPr="00F34746">
        <w:rPr>
          <w:rFonts w:ascii="Times New Roman" w:hAnsi="Times New Roman"/>
          <w:sz w:val="24"/>
          <w:szCs w:val="24"/>
        </w:rPr>
        <w:t>добара</w:t>
      </w:r>
      <w:r w:rsidR="00CF4F98" w:rsidRPr="00F34746">
        <w:rPr>
          <w:rFonts w:ascii="Times New Roman" w:hAnsi="Times New Roman"/>
          <w:sz w:val="24"/>
          <w:szCs w:val="24"/>
        </w:rPr>
        <w:t xml:space="preserve"> </w:t>
      </w:r>
      <w:r w:rsidRPr="00F34746">
        <w:rPr>
          <w:rFonts w:ascii="Times New Roman" w:hAnsi="Times New Roman"/>
          <w:sz w:val="24"/>
          <w:szCs w:val="24"/>
        </w:rPr>
        <w:t>на</w:t>
      </w:r>
      <w:r w:rsidR="00CF4F98" w:rsidRPr="00F34746">
        <w:rPr>
          <w:rFonts w:ascii="Times New Roman" w:hAnsi="Times New Roman"/>
          <w:sz w:val="24"/>
          <w:szCs w:val="24"/>
        </w:rPr>
        <w:t xml:space="preserve"> </w:t>
      </w:r>
      <w:r w:rsidRPr="00F34746">
        <w:rPr>
          <w:rFonts w:ascii="Times New Roman" w:hAnsi="Times New Roman"/>
          <w:sz w:val="24"/>
          <w:szCs w:val="24"/>
        </w:rPr>
        <w:t>мало</w:t>
      </w:r>
      <w:r w:rsidR="00CF4F98" w:rsidRPr="00F34746">
        <w:rPr>
          <w:rFonts w:ascii="Times New Roman" w:hAnsi="Times New Roman"/>
          <w:sz w:val="24"/>
          <w:szCs w:val="24"/>
        </w:rPr>
        <w:t xml:space="preserve">, </w:t>
      </w:r>
      <w:r w:rsidRPr="00F34746">
        <w:rPr>
          <w:rFonts w:ascii="Times New Roman" w:hAnsi="Times New Roman"/>
          <w:sz w:val="24"/>
          <w:szCs w:val="24"/>
        </w:rPr>
        <w:t>односно</w:t>
      </w:r>
      <w:r w:rsidR="00CF4F98" w:rsidRPr="00F34746">
        <w:rPr>
          <w:rFonts w:ascii="Times New Roman" w:hAnsi="Times New Roman"/>
          <w:sz w:val="24"/>
          <w:szCs w:val="24"/>
        </w:rPr>
        <w:t xml:space="preserve"> </w:t>
      </w:r>
      <w:r w:rsidRPr="00F34746">
        <w:rPr>
          <w:rFonts w:ascii="Times New Roman" w:hAnsi="Times New Roman"/>
          <w:sz w:val="24"/>
          <w:szCs w:val="24"/>
        </w:rPr>
        <w:t>промет</w:t>
      </w:r>
      <w:r w:rsidR="00CF4F98" w:rsidRPr="00F34746">
        <w:rPr>
          <w:rFonts w:ascii="Times New Roman" w:hAnsi="Times New Roman"/>
          <w:sz w:val="24"/>
          <w:szCs w:val="24"/>
        </w:rPr>
        <w:t xml:space="preserve"> </w:t>
      </w:r>
      <w:r w:rsidRPr="00F34746">
        <w:rPr>
          <w:rFonts w:ascii="Times New Roman" w:hAnsi="Times New Roman"/>
          <w:sz w:val="24"/>
          <w:szCs w:val="24"/>
        </w:rPr>
        <w:t>услуга</w:t>
      </w:r>
      <w:r w:rsidR="00CF4F98" w:rsidRPr="00F34746">
        <w:rPr>
          <w:rFonts w:ascii="Times New Roman" w:hAnsi="Times New Roman"/>
          <w:sz w:val="24"/>
          <w:szCs w:val="24"/>
        </w:rPr>
        <w:t xml:space="preserve"> </w:t>
      </w:r>
      <w:r w:rsidRPr="00F34746">
        <w:rPr>
          <w:rFonts w:ascii="Times New Roman" w:hAnsi="Times New Roman"/>
          <w:sz w:val="24"/>
          <w:szCs w:val="24"/>
        </w:rPr>
        <w:t>физичким</w:t>
      </w:r>
      <w:r w:rsidR="00CF4F98" w:rsidRPr="00F34746">
        <w:rPr>
          <w:rFonts w:ascii="Times New Roman" w:hAnsi="Times New Roman"/>
          <w:sz w:val="24"/>
          <w:szCs w:val="24"/>
        </w:rPr>
        <w:t xml:space="preserve"> </w:t>
      </w:r>
      <w:r w:rsidRPr="00F34746">
        <w:rPr>
          <w:rFonts w:ascii="Times New Roman" w:hAnsi="Times New Roman"/>
          <w:sz w:val="24"/>
          <w:szCs w:val="24"/>
        </w:rPr>
        <w:t>лицима</w:t>
      </w:r>
      <w:r w:rsidR="00CF4F98" w:rsidRPr="00F34746">
        <w:rPr>
          <w:rFonts w:ascii="Times New Roman" w:hAnsi="Times New Roman"/>
          <w:sz w:val="24"/>
          <w:szCs w:val="24"/>
        </w:rPr>
        <w:t xml:space="preserve">, </w:t>
      </w:r>
      <w:r w:rsidRPr="00F34746">
        <w:rPr>
          <w:rFonts w:ascii="Times New Roman" w:hAnsi="Times New Roman"/>
          <w:sz w:val="24"/>
          <w:szCs w:val="24"/>
        </w:rPr>
        <w:t>истакне</w:t>
      </w:r>
      <w:r w:rsidR="00CF4F98" w:rsidRPr="00F34746">
        <w:rPr>
          <w:rFonts w:ascii="Times New Roman" w:hAnsi="Times New Roman"/>
          <w:sz w:val="24"/>
          <w:szCs w:val="24"/>
        </w:rPr>
        <w:t xml:space="preserve"> </w:t>
      </w:r>
      <w:r w:rsidRPr="00F34746">
        <w:rPr>
          <w:rFonts w:ascii="Times New Roman" w:hAnsi="Times New Roman"/>
          <w:sz w:val="24"/>
          <w:szCs w:val="24"/>
        </w:rPr>
        <w:t>обавештење</w:t>
      </w:r>
      <w:r w:rsidR="00CF4F98" w:rsidRPr="00F34746">
        <w:rPr>
          <w:rFonts w:ascii="Times New Roman" w:hAnsi="Times New Roman"/>
          <w:sz w:val="24"/>
          <w:szCs w:val="24"/>
        </w:rPr>
        <w:t xml:space="preserve"> </w:t>
      </w:r>
      <w:r w:rsidRPr="00F34746">
        <w:rPr>
          <w:rFonts w:ascii="Times New Roman" w:hAnsi="Times New Roman"/>
          <w:sz w:val="24"/>
          <w:szCs w:val="24"/>
        </w:rPr>
        <w:t>о</w:t>
      </w:r>
      <w:r w:rsidR="00CF4F98" w:rsidRPr="00F34746">
        <w:rPr>
          <w:rFonts w:ascii="Times New Roman" w:hAnsi="Times New Roman"/>
          <w:sz w:val="24"/>
          <w:szCs w:val="24"/>
        </w:rPr>
        <w:t xml:space="preserve"> </w:t>
      </w:r>
      <w:r w:rsidRPr="00F34746">
        <w:rPr>
          <w:rFonts w:ascii="Times New Roman" w:hAnsi="Times New Roman"/>
          <w:sz w:val="24"/>
          <w:szCs w:val="24"/>
        </w:rPr>
        <w:t>обавези</w:t>
      </w:r>
      <w:r w:rsidR="00CF4F98" w:rsidRPr="00F34746">
        <w:rPr>
          <w:rFonts w:ascii="Times New Roman" w:hAnsi="Times New Roman"/>
          <w:sz w:val="24"/>
          <w:szCs w:val="24"/>
        </w:rPr>
        <w:t xml:space="preserve"> </w:t>
      </w:r>
      <w:r w:rsidRPr="00F34746">
        <w:rPr>
          <w:rFonts w:ascii="Times New Roman" w:hAnsi="Times New Roman"/>
          <w:sz w:val="24"/>
          <w:szCs w:val="24"/>
        </w:rPr>
        <w:t>издавања</w:t>
      </w:r>
      <w:r w:rsidR="00CF4F98" w:rsidRPr="00F34746">
        <w:rPr>
          <w:rFonts w:ascii="Times New Roman" w:hAnsi="Times New Roman"/>
          <w:sz w:val="24"/>
          <w:szCs w:val="24"/>
        </w:rPr>
        <w:t xml:space="preserve"> </w:t>
      </w:r>
      <w:r w:rsidRPr="00F34746">
        <w:rPr>
          <w:rFonts w:ascii="Times New Roman" w:hAnsi="Times New Roman"/>
          <w:sz w:val="24"/>
          <w:szCs w:val="24"/>
        </w:rPr>
        <w:t>фискалног</w:t>
      </w:r>
      <w:r w:rsidR="00CF4F98" w:rsidRPr="00F34746">
        <w:rPr>
          <w:rFonts w:ascii="Times New Roman" w:hAnsi="Times New Roman"/>
          <w:sz w:val="24"/>
          <w:szCs w:val="24"/>
        </w:rPr>
        <w:t xml:space="preserve"> </w:t>
      </w:r>
      <w:r w:rsidRPr="00F34746">
        <w:rPr>
          <w:rFonts w:ascii="Times New Roman" w:hAnsi="Times New Roman"/>
          <w:sz w:val="24"/>
          <w:szCs w:val="24"/>
        </w:rPr>
        <w:t>исечка</w:t>
      </w:r>
      <w:r w:rsidR="00CF4F98" w:rsidRPr="00F34746">
        <w:rPr>
          <w:rFonts w:ascii="Times New Roman" w:hAnsi="Times New Roman"/>
          <w:sz w:val="24"/>
          <w:szCs w:val="24"/>
        </w:rPr>
        <w:t xml:space="preserve"> </w:t>
      </w:r>
      <w:r w:rsidRPr="00F34746">
        <w:rPr>
          <w:rFonts w:ascii="Times New Roman" w:hAnsi="Times New Roman"/>
          <w:sz w:val="24"/>
          <w:szCs w:val="24"/>
        </w:rPr>
        <w:t>од</w:t>
      </w:r>
      <w:r w:rsidR="00CF4F98" w:rsidRPr="00F34746">
        <w:rPr>
          <w:rFonts w:ascii="Times New Roman" w:hAnsi="Times New Roman"/>
          <w:sz w:val="24"/>
          <w:szCs w:val="24"/>
        </w:rPr>
        <w:t xml:space="preserve"> </w:t>
      </w:r>
      <w:r w:rsidRPr="00F34746">
        <w:rPr>
          <w:rFonts w:ascii="Times New Roman" w:hAnsi="Times New Roman"/>
          <w:sz w:val="24"/>
          <w:szCs w:val="24"/>
        </w:rPr>
        <w:t>стране</w:t>
      </w:r>
      <w:r w:rsidR="00CF4F98" w:rsidRPr="00F34746">
        <w:rPr>
          <w:rFonts w:ascii="Times New Roman" w:hAnsi="Times New Roman"/>
          <w:sz w:val="24"/>
          <w:szCs w:val="24"/>
        </w:rPr>
        <w:t xml:space="preserve"> </w:t>
      </w:r>
      <w:r w:rsidRPr="00F34746">
        <w:rPr>
          <w:rFonts w:ascii="Times New Roman" w:hAnsi="Times New Roman"/>
          <w:sz w:val="24"/>
          <w:szCs w:val="24"/>
        </w:rPr>
        <w:t>обвезника</w:t>
      </w:r>
      <w:r w:rsidR="00CF4F98" w:rsidRPr="00F34746">
        <w:rPr>
          <w:rFonts w:ascii="Times New Roman" w:hAnsi="Times New Roman"/>
          <w:sz w:val="24"/>
          <w:szCs w:val="24"/>
        </w:rPr>
        <w:t xml:space="preserve">, </w:t>
      </w:r>
      <w:r w:rsidRPr="00F34746">
        <w:rPr>
          <w:rFonts w:ascii="Times New Roman" w:hAnsi="Times New Roman"/>
          <w:sz w:val="24"/>
          <w:szCs w:val="24"/>
        </w:rPr>
        <w:t>о</w:t>
      </w:r>
      <w:r w:rsidR="00CF4F98" w:rsidRPr="00F34746">
        <w:rPr>
          <w:rFonts w:ascii="Times New Roman" w:hAnsi="Times New Roman"/>
          <w:sz w:val="24"/>
          <w:szCs w:val="24"/>
        </w:rPr>
        <w:t xml:space="preserve"> </w:t>
      </w:r>
      <w:r w:rsidRPr="00F34746">
        <w:rPr>
          <w:rFonts w:ascii="Times New Roman" w:hAnsi="Times New Roman"/>
          <w:sz w:val="24"/>
          <w:szCs w:val="24"/>
        </w:rPr>
        <w:t>обавези</w:t>
      </w:r>
      <w:r w:rsidR="00CF4F98" w:rsidRPr="00F34746">
        <w:rPr>
          <w:rFonts w:ascii="Times New Roman" w:hAnsi="Times New Roman"/>
          <w:sz w:val="24"/>
          <w:szCs w:val="24"/>
        </w:rPr>
        <w:t xml:space="preserve"> </w:t>
      </w:r>
      <w:r w:rsidRPr="00F34746">
        <w:rPr>
          <w:rFonts w:ascii="Times New Roman" w:hAnsi="Times New Roman"/>
          <w:sz w:val="24"/>
          <w:szCs w:val="24"/>
        </w:rPr>
        <w:t>узимања</w:t>
      </w:r>
      <w:r w:rsidR="00CF4F98" w:rsidRPr="00F34746">
        <w:rPr>
          <w:rFonts w:ascii="Times New Roman" w:hAnsi="Times New Roman"/>
          <w:sz w:val="24"/>
          <w:szCs w:val="24"/>
        </w:rPr>
        <w:t xml:space="preserve"> </w:t>
      </w:r>
      <w:r w:rsidRPr="00F34746">
        <w:rPr>
          <w:rFonts w:ascii="Times New Roman" w:hAnsi="Times New Roman"/>
          <w:sz w:val="24"/>
          <w:szCs w:val="24"/>
        </w:rPr>
        <w:t>фискалног</w:t>
      </w:r>
      <w:r w:rsidR="00CF4F98" w:rsidRPr="00F34746">
        <w:rPr>
          <w:rFonts w:ascii="Times New Roman" w:hAnsi="Times New Roman"/>
          <w:sz w:val="24"/>
          <w:szCs w:val="24"/>
        </w:rPr>
        <w:t xml:space="preserve"> </w:t>
      </w:r>
      <w:r w:rsidRPr="00F34746">
        <w:rPr>
          <w:rFonts w:ascii="Times New Roman" w:hAnsi="Times New Roman"/>
          <w:sz w:val="24"/>
          <w:szCs w:val="24"/>
        </w:rPr>
        <w:t>исечка</w:t>
      </w:r>
      <w:r w:rsidR="00CF4F98" w:rsidRPr="00F34746">
        <w:rPr>
          <w:rFonts w:ascii="Times New Roman" w:hAnsi="Times New Roman"/>
          <w:sz w:val="24"/>
          <w:szCs w:val="24"/>
        </w:rPr>
        <w:t xml:space="preserve"> </w:t>
      </w:r>
      <w:r w:rsidRPr="00F34746">
        <w:rPr>
          <w:rFonts w:ascii="Times New Roman" w:hAnsi="Times New Roman"/>
          <w:sz w:val="24"/>
          <w:szCs w:val="24"/>
        </w:rPr>
        <w:t>од</w:t>
      </w:r>
      <w:r w:rsidR="00CF4F98" w:rsidRPr="00F34746">
        <w:rPr>
          <w:rFonts w:ascii="Times New Roman" w:hAnsi="Times New Roman"/>
          <w:sz w:val="24"/>
          <w:szCs w:val="24"/>
        </w:rPr>
        <w:t xml:space="preserve"> </w:t>
      </w:r>
      <w:r w:rsidRPr="00F34746">
        <w:rPr>
          <w:rFonts w:ascii="Times New Roman" w:hAnsi="Times New Roman"/>
          <w:sz w:val="24"/>
          <w:szCs w:val="24"/>
        </w:rPr>
        <w:t>стране</w:t>
      </w:r>
      <w:r w:rsidR="00CF4F98" w:rsidRPr="00F34746">
        <w:rPr>
          <w:rFonts w:ascii="Times New Roman" w:hAnsi="Times New Roman"/>
          <w:sz w:val="24"/>
          <w:szCs w:val="24"/>
        </w:rPr>
        <w:t xml:space="preserve"> </w:t>
      </w:r>
      <w:r w:rsidRPr="00F34746">
        <w:rPr>
          <w:rFonts w:ascii="Times New Roman" w:hAnsi="Times New Roman"/>
          <w:sz w:val="24"/>
          <w:szCs w:val="24"/>
        </w:rPr>
        <w:t>купца</w:t>
      </w:r>
      <w:r w:rsidR="00CF4F98" w:rsidRPr="00F34746">
        <w:rPr>
          <w:rFonts w:ascii="Times New Roman" w:hAnsi="Times New Roman"/>
          <w:sz w:val="24"/>
          <w:szCs w:val="24"/>
        </w:rPr>
        <w:t xml:space="preserve"> </w:t>
      </w:r>
      <w:r w:rsidRPr="00F34746">
        <w:rPr>
          <w:rFonts w:ascii="Times New Roman" w:hAnsi="Times New Roman"/>
          <w:sz w:val="24"/>
          <w:szCs w:val="24"/>
        </w:rPr>
        <w:t>добара</w:t>
      </w:r>
      <w:r w:rsidR="00CF4F98" w:rsidRPr="00F34746">
        <w:rPr>
          <w:rFonts w:ascii="Times New Roman" w:hAnsi="Times New Roman"/>
          <w:sz w:val="24"/>
          <w:szCs w:val="24"/>
        </w:rPr>
        <w:t xml:space="preserve">, </w:t>
      </w:r>
      <w:r w:rsidRPr="00F34746">
        <w:rPr>
          <w:rFonts w:ascii="Times New Roman" w:hAnsi="Times New Roman"/>
          <w:sz w:val="24"/>
          <w:szCs w:val="24"/>
        </w:rPr>
        <w:t>односно</w:t>
      </w:r>
      <w:r w:rsidR="00CF4F98" w:rsidRPr="00F34746">
        <w:rPr>
          <w:rFonts w:ascii="Times New Roman" w:hAnsi="Times New Roman"/>
          <w:sz w:val="24"/>
          <w:szCs w:val="24"/>
        </w:rPr>
        <w:t xml:space="preserve"> </w:t>
      </w:r>
      <w:r w:rsidRPr="00F34746">
        <w:rPr>
          <w:rFonts w:ascii="Times New Roman" w:hAnsi="Times New Roman"/>
          <w:sz w:val="24"/>
          <w:szCs w:val="24"/>
        </w:rPr>
        <w:t>корисника</w:t>
      </w:r>
      <w:r w:rsidR="00CF4F98" w:rsidRPr="00F34746">
        <w:rPr>
          <w:rFonts w:ascii="Times New Roman" w:hAnsi="Times New Roman"/>
          <w:sz w:val="24"/>
          <w:szCs w:val="24"/>
        </w:rPr>
        <w:t xml:space="preserve"> </w:t>
      </w:r>
      <w:r w:rsidRPr="00F34746">
        <w:rPr>
          <w:rFonts w:ascii="Times New Roman" w:hAnsi="Times New Roman"/>
          <w:sz w:val="24"/>
          <w:szCs w:val="24"/>
        </w:rPr>
        <w:t>услуга</w:t>
      </w:r>
      <w:r w:rsidR="00CF4F98" w:rsidRPr="00F34746">
        <w:rPr>
          <w:rFonts w:ascii="Times New Roman" w:hAnsi="Times New Roman"/>
          <w:sz w:val="24"/>
          <w:szCs w:val="24"/>
        </w:rPr>
        <w:t xml:space="preserve">, </w:t>
      </w:r>
      <w:r w:rsidRPr="00F34746">
        <w:rPr>
          <w:rFonts w:ascii="Times New Roman" w:hAnsi="Times New Roman"/>
          <w:sz w:val="24"/>
          <w:szCs w:val="24"/>
        </w:rPr>
        <w:t>као</w:t>
      </w:r>
      <w:r w:rsidR="00CF4F98" w:rsidRPr="00F34746">
        <w:rPr>
          <w:rFonts w:ascii="Times New Roman" w:hAnsi="Times New Roman"/>
          <w:sz w:val="24"/>
          <w:szCs w:val="24"/>
        </w:rPr>
        <w:t xml:space="preserve"> </w:t>
      </w:r>
      <w:r w:rsidRPr="00F34746">
        <w:rPr>
          <w:rFonts w:ascii="Times New Roman" w:hAnsi="Times New Roman"/>
          <w:sz w:val="24"/>
          <w:szCs w:val="24"/>
        </w:rPr>
        <w:t>и</w:t>
      </w:r>
      <w:r w:rsidR="00CF4F98" w:rsidRPr="00F34746">
        <w:rPr>
          <w:rFonts w:ascii="Times New Roman" w:hAnsi="Times New Roman"/>
          <w:sz w:val="24"/>
          <w:szCs w:val="24"/>
        </w:rPr>
        <w:t xml:space="preserve"> </w:t>
      </w:r>
      <w:r w:rsidRPr="00F34746">
        <w:rPr>
          <w:rFonts w:ascii="Times New Roman" w:hAnsi="Times New Roman"/>
          <w:sz w:val="24"/>
          <w:szCs w:val="24"/>
        </w:rPr>
        <w:t>о</w:t>
      </w:r>
      <w:r w:rsidR="00CF4F98" w:rsidRPr="00F34746">
        <w:rPr>
          <w:rFonts w:ascii="Times New Roman" w:hAnsi="Times New Roman"/>
          <w:sz w:val="24"/>
          <w:szCs w:val="24"/>
        </w:rPr>
        <w:t xml:space="preserve"> </w:t>
      </w:r>
      <w:r w:rsidRPr="00F34746">
        <w:rPr>
          <w:rFonts w:ascii="Times New Roman" w:hAnsi="Times New Roman"/>
          <w:sz w:val="24"/>
          <w:szCs w:val="24"/>
        </w:rPr>
        <w:t>праву</w:t>
      </w:r>
      <w:r w:rsidR="00CF4F98" w:rsidRPr="00F34746">
        <w:rPr>
          <w:rFonts w:ascii="Times New Roman" w:hAnsi="Times New Roman"/>
          <w:sz w:val="24"/>
          <w:szCs w:val="24"/>
        </w:rPr>
        <w:t xml:space="preserve"> </w:t>
      </w:r>
      <w:r w:rsidRPr="00F34746">
        <w:rPr>
          <w:rFonts w:ascii="Times New Roman" w:hAnsi="Times New Roman"/>
          <w:sz w:val="24"/>
          <w:szCs w:val="24"/>
        </w:rPr>
        <w:t>купца</w:t>
      </w:r>
      <w:r w:rsidR="00CF4F98" w:rsidRPr="00F34746">
        <w:rPr>
          <w:rFonts w:ascii="Times New Roman" w:hAnsi="Times New Roman"/>
          <w:sz w:val="24"/>
          <w:szCs w:val="24"/>
        </w:rPr>
        <w:t xml:space="preserve"> </w:t>
      </w:r>
      <w:r w:rsidRPr="00F34746">
        <w:rPr>
          <w:rFonts w:ascii="Times New Roman" w:hAnsi="Times New Roman"/>
          <w:sz w:val="24"/>
          <w:szCs w:val="24"/>
        </w:rPr>
        <w:t>добара</w:t>
      </w:r>
      <w:r w:rsidR="00CF4F98" w:rsidRPr="00F34746">
        <w:rPr>
          <w:rFonts w:ascii="Times New Roman" w:hAnsi="Times New Roman"/>
          <w:sz w:val="24"/>
          <w:szCs w:val="24"/>
        </w:rPr>
        <w:t xml:space="preserve">, </w:t>
      </w:r>
      <w:r w:rsidRPr="00F34746">
        <w:rPr>
          <w:rFonts w:ascii="Times New Roman" w:hAnsi="Times New Roman"/>
          <w:sz w:val="24"/>
          <w:szCs w:val="24"/>
        </w:rPr>
        <w:t>односно</w:t>
      </w:r>
      <w:r w:rsidR="00CF4F98" w:rsidRPr="00F34746">
        <w:rPr>
          <w:rFonts w:ascii="Times New Roman" w:hAnsi="Times New Roman"/>
          <w:sz w:val="24"/>
          <w:szCs w:val="24"/>
        </w:rPr>
        <w:t xml:space="preserve"> </w:t>
      </w:r>
      <w:r w:rsidRPr="00F34746">
        <w:rPr>
          <w:rFonts w:ascii="Times New Roman" w:hAnsi="Times New Roman"/>
          <w:sz w:val="24"/>
          <w:szCs w:val="24"/>
        </w:rPr>
        <w:t>корисника</w:t>
      </w:r>
      <w:r w:rsidR="00CF4F98" w:rsidRPr="00F34746">
        <w:rPr>
          <w:rFonts w:ascii="Times New Roman" w:hAnsi="Times New Roman"/>
          <w:sz w:val="24"/>
          <w:szCs w:val="24"/>
        </w:rPr>
        <w:t xml:space="preserve"> </w:t>
      </w:r>
      <w:r w:rsidRPr="00F34746">
        <w:rPr>
          <w:rFonts w:ascii="Times New Roman" w:hAnsi="Times New Roman"/>
          <w:sz w:val="24"/>
          <w:szCs w:val="24"/>
        </w:rPr>
        <w:t>услуга</w:t>
      </w:r>
      <w:r w:rsidR="00CF4F98" w:rsidRPr="00F34746">
        <w:rPr>
          <w:rFonts w:ascii="Times New Roman" w:hAnsi="Times New Roman"/>
          <w:sz w:val="24"/>
          <w:szCs w:val="24"/>
        </w:rPr>
        <w:t xml:space="preserve"> </w:t>
      </w:r>
      <w:r w:rsidRPr="00F34746">
        <w:rPr>
          <w:rFonts w:ascii="Times New Roman" w:hAnsi="Times New Roman"/>
          <w:sz w:val="24"/>
          <w:szCs w:val="24"/>
        </w:rPr>
        <w:t>да</w:t>
      </w:r>
      <w:r w:rsidR="00CF4F98" w:rsidRPr="00F34746">
        <w:rPr>
          <w:rFonts w:ascii="Times New Roman" w:hAnsi="Times New Roman"/>
          <w:sz w:val="24"/>
          <w:szCs w:val="24"/>
        </w:rPr>
        <w:t xml:space="preserve"> </w:t>
      </w:r>
      <w:r w:rsidRPr="00F34746">
        <w:rPr>
          <w:rFonts w:ascii="Times New Roman" w:hAnsi="Times New Roman"/>
          <w:sz w:val="24"/>
          <w:szCs w:val="24"/>
        </w:rPr>
        <w:t>купљена</w:t>
      </w:r>
      <w:r w:rsidR="00CF4F98" w:rsidRPr="00F34746">
        <w:rPr>
          <w:rFonts w:ascii="Times New Roman" w:hAnsi="Times New Roman"/>
          <w:sz w:val="24"/>
          <w:szCs w:val="24"/>
        </w:rPr>
        <w:t xml:space="preserve"> </w:t>
      </w:r>
      <w:r w:rsidRPr="00F34746">
        <w:rPr>
          <w:rFonts w:ascii="Times New Roman" w:hAnsi="Times New Roman"/>
          <w:sz w:val="24"/>
          <w:szCs w:val="24"/>
        </w:rPr>
        <w:t>добра</w:t>
      </w:r>
      <w:r w:rsidR="00CF4F98" w:rsidRPr="00F34746">
        <w:rPr>
          <w:rFonts w:ascii="Times New Roman" w:hAnsi="Times New Roman"/>
          <w:sz w:val="24"/>
          <w:szCs w:val="24"/>
        </w:rPr>
        <w:t xml:space="preserve">, </w:t>
      </w:r>
      <w:r w:rsidRPr="00F34746">
        <w:rPr>
          <w:rFonts w:ascii="Times New Roman" w:hAnsi="Times New Roman"/>
          <w:sz w:val="24"/>
          <w:szCs w:val="24"/>
        </w:rPr>
        <w:t>односно</w:t>
      </w:r>
      <w:r w:rsidR="00CF4F98" w:rsidRPr="00F34746">
        <w:rPr>
          <w:rFonts w:ascii="Times New Roman" w:hAnsi="Times New Roman"/>
          <w:sz w:val="24"/>
          <w:szCs w:val="24"/>
        </w:rPr>
        <w:t xml:space="preserve"> </w:t>
      </w:r>
      <w:r w:rsidRPr="00F34746">
        <w:rPr>
          <w:rFonts w:ascii="Times New Roman" w:hAnsi="Times New Roman"/>
          <w:sz w:val="24"/>
          <w:szCs w:val="24"/>
        </w:rPr>
        <w:t>извршене</w:t>
      </w:r>
      <w:r w:rsidR="00CF4F98" w:rsidRPr="00F34746">
        <w:rPr>
          <w:rFonts w:ascii="Times New Roman" w:hAnsi="Times New Roman"/>
          <w:sz w:val="24"/>
          <w:szCs w:val="24"/>
        </w:rPr>
        <w:t xml:space="preserve"> </w:t>
      </w:r>
      <w:r w:rsidRPr="00F34746">
        <w:rPr>
          <w:rFonts w:ascii="Times New Roman" w:hAnsi="Times New Roman"/>
          <w:sz w:val="24"/>
          <w:szCs w:val="24"/>
        </w:rPr>
        <w:t>услуге</w:t>
      </w:r>
      <w:r w:rsidR="00CF4F98" w:rsidRPr="00F34746">
        <w:rPr>
          <w:rFonts w:ascii="Times New Roman" w:hAnsi="Times New Roman"/>
          <w:sz w:val="24"/>
          <w:szCs w:val="24"/>
        </w:rPr>
        <w:t xml:space="preserve"> </w:t>
      </w:r>
      <w:r w:rsidRPr="00F34746">
        <w:rPr>
          <w:rFonts w:ascii="Times New Roman" w:hAnsi="Times New Roman"/>
          <w:sz w:val="24"/>
          <w:szCs w:val="24"/>
        </w:rPr>
        <w:t>не</w:t>
      </w:r>
      <w:r w:rsidR="00CF4F98" w:rsidRPr="00F34746">
        <w:rPr>
          <w:rFonts w:ascii="Times New Roman" w:hAnsi="Times New Roman"/>
          <w:sz w:val="24"/>
          <w:szCs w:val="24"/>
        </w:rPr>
        <w:t xml:space="preserve"> </w:t>
      </w:r>
      <w:r w:rsidRPr="00F34746">
        <w:rPr>
          <w:rFonts w:ascii="Times New Roman" w:hAnsi="Times New Roman"/>
          <w:sz w:val="24"/>
          <w:szCs w:val="24"/>
        </w:rPr>
        <w:t>плати</w:t>
      </w:r>
      <w:r w:rsidR="00CF4F98" w:rsidRPr="00F34746">
        <w:rPr>
          <w:rFonts w:ascii="Times New Roman" w:hAnsi="Times New Roman"/>
          <w:sz w:val="24"/>
          <w:szCs w:val="24"/>
        </w:rPr>
        <w:t xml:space="preserve"> </w:t>
      </w:r>
      <w:r w:rsidRPr="00F34746">
        <w:rPr>
          <w:rFonts w:ascii="Times New Roman" w:hAnsi="Times New Roman"/>
          <w:sz w:val="24"/>
          <w:szCs w:val="24"/>
        </w:rPr>
        <w:t>обвезнику</w:t>
      </w:r>
      <w:r w:rsidR="00CF4F98" w:rsidRPr="00F34746">
        <w:rPr>
          <w:rFonts w:ascii="Times New Roman" w:hAnsi="Times New Roman"/>
          <w:sz w:val="24"/>
          <w:szCs w:val="24"/>
        </w:rPr>
        <w:t xml:space="preserve"> </w:t>
      </w:r>
      <w:r w:rsidRPr="00F34746">
        <w:rPr>
          <w:rFonts w:ascii="Times New Roman" w:hAnsi="Times New Roman"/>
          <w:sz w:val="24"/>
          <w:szCs w:val="24"/>
        </w:rPr>
        <w:t>ако</w:t>
      </w:r>
      <w:r w:rsidR="00CF4F98" w:rsidRPr="00F34746">
        <w:rPr>
          <w:rFonts w:ascii="Times New Roman" w:hAnsi="Times New Roman"/>
          <w:sz w:val="24"/>
          <w:szCs w:val="24"/>
        </w:rPr>
        <w:t xml:space="preserve"> </w:t>
      </w:r>
      <w:r w:rsidRPr="00F34746">
        <w:rPr>
          <w:rFonts w:ascii="Times New Roman" w:hAnsi="Times New Roman"/>
          <w:sz w:val="24"/>
          <w:szCs w:val="24"/>
        </w:rPr>
        <w:t>му</w:t>
      </w:r>
      <w:r w:rsidR="00CF4F98" w:rsidRPr="00F34746">
        <w:rPr>
          <w:rFonts w:ascii="Times New Roman" w:hAnsi="Times New Roman"/>
          <w:sz w:val="24"/>
          <w:szCs w:val="24"/>
        </w:rPr>
        <w:t xml:space="preserve"> </w:t>
      </w:r>
      <w:r w:rsidRPr="00F34746">
        <w:rPr>
          <w:rFonts w:ascii="Times New Roman" w:hAnsi="Times New Roman"/>
          <w:sz w:val="24"/>
          <w:szCs w:val="24"/>
        </w:rPr>
        <w:t>обвезник</w:t>
      </w:r>
      <w:r w:rsidR="00CF4F98" w:rsidRPr="00F34746">
        <w:rPr>
          <w:rFonts w:ascii="Times New Roman" w:hAnsi="Times New Roman"/>
          <w:sz w:val="24"/>
          <w:szCs w:val="24"/>
        </w:rPr>
        <w:t xml:space="preserve"> </w:t>
      </w:r>
      <w:r w:rsidRPr="00F34746">
        <w:rPr>
          <w:rFonts w:ascii="Times New Roman" w:hAnsi="Times New Roman"/>
          <w:sz w:val="24"/>
          <w:szCs w:val="24"/>
        </w:rPr>
        <w:t>не</w:t>
      </w:r>
      <w:r w:rsidR="00CF4F98" w:rsidRPr="00F34746">
        <w:rPr>
          <w:rFonts w:ascii="Times New Roman" w:hAnsi="Times New Roman"/>
          <w:sz w:val="24"/>
          <w:szCs w:val="24"/>
        </w:rPr>
        <w:t xml:space="preserve"> </w:t>
      </w:r>
      <w:r w:rsidRPr="00F34746">
        <w:rPr>
          <w:rFonts w:ascii="Times New Roman" w:hAnsi="Times New Roman"/>
          <w:sz w:val="24"/>
          <w:szCs w:val="24"/>
        </w:rPr>
        <w:t>одштампа</w:t>
      </w:r>
      <w:r w:rsidR="00CF4F98" w:rsidRPr="00F34746">
        <w:rPr>
          <w:rFonts w:ascii="Times New Roman" w:hAnsi="Times New Roman"/>
          <w:sz w:val="24"/>
          <w:szCs w:val="24"/>
        </w:rPr>
        <w:t xml:space="preserve"> </w:t>
      </w:r>
      <w:r w:rsidRPr="00F34746">
        <w:rPr>
          <w:rFonts w:ascii="Times New Roman" w:hAnsi="Times New Roman"/>
          <w:sz w:val="24"/>
          <w:szCs w:val="24"/>
        </w:rPr>
        <w:t>и</w:t>
      </w:r>
      <w:r w:rsidR="00CF4F98" w:rsidRPr="00F34746">
        <w:rPr>
          <w:rFonts w:ascii="Times New Roman" w:hAnsi="Times New Roman"/>
          <w:sz w:val="24"/>
          <w:szCs w:val="24"/>
        </w:rPr>
        <w:t xml:space="preserve"> </w:t>
      </w:r>
      <w:r w:rsidRPr="00F34746">
        <w:rPr>
          <w:rFonts w:ascii="Times New Roman" w:hAnsi="Times New Roman"/>
          <w:sz w:val="24"/>
          <w:szCs w:val="24"/>
        </w:rPr>
        <w:t>изда</w:t>
      </w:r>
      <w:r w:rsidR="00CF4F98" w:rsidRPr="00F34746">
        <w:rPr>
          <w:rFonts w:ascii="Times New Roman" w:hAnsi="Times New Roman"/>
          <w:sz w:val="24"/>
          <w:szCs w:val="24"/>
        </w:rPr>
        <w:t xml:space="preserve"> </w:t>
      </w:r>
      <w:r w:rsidRPr="00F34746">
        <w:rPr>
          <w:rFonts w:ascii="Times New Roman" w:hAnsi="Times New Roman"/>
          <w:sz w:val="24"/>
          <w:szCs w:val="24"/>
        </w:rPr>
        <w:t>фискални</w:t>
      </w:r>
      <w:r w:rsidR="00CF4F98" w:rsidRPr="00F34746">
        <w:rPr>
          <w:rFonts w:ascii="Times New Roman" w:hAnsi="Times New Roman"/>
          <w:sz w:val="24"/>
          <w:szCs w:val="24"/>
        </w:rPr>
        <w:t xml:space="preserve"> </w:t>
      </w:r>
      <w:r w:rsidRPr="00F34746">
        <w:rPr>
          <w:rFonts w:ascii="Times New Roman" w:hAnsi="Times New Roman"/>
          <w:sz w:val="24"/>
          <w:szCs w:val="24"/>
        </w:rPr>
        <w:t>исечак</w:t>
      </w:r>
      <w:r w:rsidR="00CF4F98" w:rsidRPr="00F34746">
        <w:rPr>
          <w:rFonts w:ascii="Times New Roman" w:hAnsi="Times New Roman"/>
          <w:sz w:val="24"/>
          <w:szCs w:val="24"/>
        </w:rPr>
        <w:t>.</w:t>
      </w:r>
      <w:r w:rsidR="00C14F26" w:rsidRPr="00F34746">
        <w:rPr>
          <w:rFonts w:ascii="Times New Roman" w:hAnsi="Times New Roman"/>
          <w:sz w:val="24"/>
          <w:szCs w:val="24"/>
        </w:rPr>
        <w:t xml:space="preserve"> Мимо тога, о</w:t>
      </w:r>
      <w:r w:rsidRPr="00F34746">
        <w:rPr>
          <w:rFonts w:ascii="Times New Roman" w:hAnsi="Times New Roman"/>
          <w:sz w:val="24"/>
          <w:szCs w:val="24"/>
        </w:rPr>
        <w:t>бвезник</w:t>
      </w:r>
      <w:r w:rsidR="00CF4F98" w:rsidRPr="00F34746">
        <w:rPr>
          <w:rFonts w:ascii="Times New Roman" w:hAnsi="Times New Roman"/>
          <w:sz w:val="24"/>
          <w:szCs w:val="24"/>
        </w:rPr>
        <w:t xml:space="preserve"> </w:t>
      </w:r>
      <w:r w:rsidRPr="00F34746">
        <w:rPr>
          <w:rFonts w:ascii="Times New Roman" w:hAnsi="Times New Roman"/>
          <w:sz w:val="24"/>
          <w:szCs w:val="24"/>
        </w:rPr>
        <w:t>не</w:t>
      </w:r>
      <w:r w:rsidR="00CF4F98" w:rsidRPr="00F34746">
        <w:rPr>
          <w:rFonts w:ascii="Times New Roman" w:hAnsi="Times New Roman"/>
          <w:sz w:val="24"/>
          <w:szCs w:val="24"/>
        </w:rPr>
        <w:t xml:space="preserve"> </w:t>
      </w:r>
      <w:r w:rsidRPr="00F34746">
        <w:rPr>
          <w:rFonts w:ascii="Times New Roman" w:hAnsi="Times New Roman"/>
          <w:sz w:val="24"/>
          <w:szCs w:val="24"/>
        </w:rPr>
        <w:t>може</w:t>
      </w:r>
      <w:r w:rsidR="00CF4F98" w:rsidRPr="00F34746">
        <w:rPr>
          <w:rFonts w:ascii="Times New Roman" w:hAnsi="Times New Roman"/>
          <w:sz w:val="24"/>
          <w:szCs w:val="24"/>
        </w:rPr>
        <w:t xml:space="preserve"> </w:t>
      </w:r>
      <w:r w:rsidRPr="00F34746">
        <w:rPr>
          <w:rFonts w:ascii="Times New Roman" w:hAnsi="Times New Roman"/>
          <w:sz w:val="24"/>
          <w:szCs w:val="24"/>
        </w:rPr>
        <w:t>у</w:t>
      </w:r>
      <w:r w:rsidR="00CF4F98" w:rsidRPr="00F34746">
        <w:rPr>
          <w:rFonts w:ascii="Times New Roman" w:hAnsi="Times New Roman"/>
          <w:sz w:val="24"/>
          <w:szCs w:val="24"/>
        </w:rPr>
        <w:t xml:space="preserve"> </w:t>
      </w:r>
      <w:r w:rsidRPr="00F34746">
        <w:rPr>
          <w:rFonts w:ascii="Times New Roman" w:hAnsi="Times New Roman"/>
          <w:sz w:val="24"/>
          <w:szCs w:val="24"/>
        </w:rPr>
        <w:t>објекту</w:t>
      </w:r>
      <w:r w:rsidR="00CF4F98" w:rsidRPr="00F34746">
        <w:rPr>
          <w:rFonts w:ascii="Times New Roman" w:hAnsi="Times New Roman"/>
          <w:sz w:val="24"/>
          <w:szCs w:val="24"/>
        </w:rPr>
        <w:t xml:space="preserve"> </w:t>
      </w:r>
      <w:r w:rsidRPr="00F34746">
        <w:rPr>
          <w:rFonts w:ascii="Times New Roman" w:hAnsi="Times New Roman"/>
          <w:sz w:val="24"/>
          <w:szCs w:val="24"/>
        </w:rPr>
        <w:t>или</w:t>
      </w:r>
      <w:r w:rsidR="00CF4F98" w:rsidRPr="00F34746">
        <w:rPr>
          <w:rFonts w:ascii="Times New Roman" w:hAnsi="Times New Roman"/>
          <w:sz w:val="24"/>
          <w:szCs w:val="24"/>
        </w:rPr>
        <w:t xml:space="preserve"> </w:t>
      </w:r>
      <w:r w:rsidRPr="00F34746">
        <w:rPr>
          <w:rFonts w:ascii="Times New Roman" w:hAnsi="Times New Roman"/>
          <w:sz w:val="24"/>
          <w:szCs w:val="24"/>
        </w:rPr>
        <w:t>другом</w:t>
      </w:r>
      <w:r w:rsidR="00CF4F98" w:rsidRPr="00F34746">
        <w:rPr>
          <w:rFonts w:ascii="Times New Roman" w:hAnsi="Times New Roman"/>
          <w:sz w:val="24"/>
          <w:szCs w:val="24"/>
        </w:rPr>
        <w:t xml:space="preserve"> </w:t>
      </w:r>
      <w:r w:rsidRPr="00F34746">
        <w:rPr>
          <w:rFonts w:ascii="Times New Roman" w:hAnsi="Times New Roman"/>
          <w:sz w:val="24"/>
          <w:szCs w:val="24"/>
        </w:rPr>
        <w:t>месту</w:t>
      </w:r>
      <w:r w:rsidR="00CF4F98" w:rsidRPr="00F34746">
        <w:rPr>
          <w:rFonts w:ascii="Times New Roman" w:hAnsi="Times New Roman"/>
          <w:sz w:val="24"/>
          <w:szCs w:val="24"/>
        </w:rPr>
        <w:t xml:space="preserve"> </w:t>
      </w:r>
      <w:r w:rsidRPr="00F34746">
        <w:rPr>
          <w:rFonts w:ascii="Times New Roman" w:hAnsi="Times New Roman"/>
          <w:sz w:val="24"/>
          <w:szCs w:val="24"/>
        </w:rPr>
        <w:t>на</w:t>
      </w:r>
      <w:r w:rsidR="00CF4F98" w:rsidRPr="00F34746">
        <w:rPr>
          <w:rFonts w:ascii="Times New Roman" w:hAnsi="Times New Roman"/>
          <w:sz w:val="24"/>
          <w:szCs w:val="24"/>
        </w:rPr>
        <w:t xml:space="preserve"> </w:t>
      </w:r>
      <w:r w:rsidRPr="00F34746">
        <w:rPr>
          <w:rFonts w:ascii="Times New Roman" w:hAnsi="Times New Roman"/>
          <w:sz w:val="24"/>
          <w:szCs w:val="24"/>
        </w:rPr>
        <w:t>коме</w:t>
      </w:r>
      <w:r w:rsidR="00CF4F98" w:rsidRPr="00F34746">
        <w:rPr>
          <w:rFonts w:ascii="Times New Roman" w:hAnsi="Times New Roman"/>
          <w:sz w:val="24"/>
          <w:szCs w:val="24"/>
        </w:rPr>
        <w:t xml:space="preserve"> </w:t>
      </w:r>
      <w:r w:rsidRPr="00F34746">
        <w:rPr>
          <w:rFonts w:ascii="Times New Roman" w:hAnsi="Times New Roman"/>
          <w:sz w:val="24"/>
          <w:szCs w:val="24"/>
        </w:rPr>
        <w:t>се</w:t>
      </w:r>
      <w:r w:rsidR="00CF4F98" w:rsidRPr="00F34746">
        <w:rPr>
          <w:rFonts w:ascii="Times New Roman" w:hAnsi="Times New Roman"/>
          <w:sz w:val="24"/>
          <w:szCs w:val="24"/>
        </w:rPr>
        <w:t xml:space="preserve"> </w:t>
      </w:r>
      <w:r w:rsidRPr="00F34746">
        <w:rPr>
          <w:rFonts w:ascii="Times New Roman" w:hAnsi="Times New Roman"/>
          <w:sz w:val="24"/>
          <w:szCs w:val="24"/>
        </w:rPr>
        <w:t>врши</w:t>
      </w:r>
      <w:r w:rsidR="00CF4F98" w:rsidRPr="00F34746">
        <w:rPr>
          <w:rFonts w:ascii="Times New Roman" w:hAnsi="Times New Roman"/>
          <w:sz w:val="24"/>
          <w:szCs w:val="24"/>
        </w:rPr>
        <w:t xml:space="preserve"> </w:t>
      </w:r>
      <w:r w:rsidRPr="00F34746">
        <w:rPr>
          <w:rFonts w:ascii="Times New Roman" w:hAnsi="Times New Roman"/>
          <w:sz w:val="24"/>
          <w:szCs w:val="24"/>
        </w:rPr>
        <w:t>промет</w:t>
      </w:r>
      <w:r w:rsidR="00CF4F98" w:rsidRPr="00F34746">
        <w:rPr>
          <w:rFonts w:ascii="Times New Roman" w:hAnsi="Times New Roman"/>
          <w:sz w:val="24"/>
          <w:szCs w:val="24"/>
        </w:rPr>
        <w:t xml:space="preserve"> </w:t>
      </w:r>
      <w:r w:rsidRPr="00F34746">
        <w:rPr>
          <w:rFonts w:ascii="Times New Roman" w:hAnsi="Times New Roman"/>
          <w:sz w:val="24"/>
          <w:szCs w:val="24"/>
        </w:rPr>
        <w:t>добара</w:t>
      </w:r>
      <w:r w:rsidR="00CF4F98" w:rsidRPr="00F34746">
        <w:rPr>
          <w:rFonts w:ascii="Times New Roman" w:hAnsi="Times New Roman"/>
          <w:sz w:val="24"/>
          <w:szCs w:val="24"/>
        </w:rPr>
        <w:t xml:space="preserve"> </w:t>
      </w:r>
      <w:r w:rsidRPr="00F34746">
        <w:rPr>
          <w:rFonts w:ascii="Times New Roman" w:hAnsi="Times New Roman"/>
          <w:sz w:val="24"/>
          <w:szCs w:val="24"/>
        </w:rPr>
        <w:t>на</w:t>
      </w:r>
      <w:r w:rsidR="00CF4F98" w:rsidRPr="00F34746">
        <w:rPr>
          <w:rFonts w:ascii="Times New Roman" w:hAnsi="Times New Roman"/>
          <w:sz w:val="24"/>
          <w:szCs w:val="24"/>
        </w:rPr>
        <w:t xml:space="preserve"> </w:t>
      </w:r>
      <w:r w:rsidRPr="00F34746">
        <w:rPr>
          <w:rFonts w:ascii="Times New Roman" w:hAnsi="Times New Roman"/>
          <w:sz w:val="24"/>
          <w:szCs w:val="24"/>
        </w:rPr>
        <w:t>мало</w:t>
      </w:r>
      <w:r w:rsidR="00CF4F98" w:rsidRPr="00F34746">
        <w:rPr>
          <w:rFonts w:ascii="Times New Roman" w:hAnsi="Times New Roman"/>
          <w:sz w:val="24"/>
          <w:szCs w:val="24"/>
        </w:rPr>
        <w:t xml:space="preserve">, </w:t>
      </w:r>
      <w:r w:rsidRPr="00F34746">
        <w:rPr>
          <w:rFonts w:ascii="Times New Roman" w:hAnsi="Times New Roman"/>
          <w:sz w:val="24"/>
          <w:szCs w:val="24"/>
        </w:rPr>
        <w:t>односно</w:t>
      </w:r>
      <w:r w:rsidR="00CF4F98" w:rsidRPr="00F34746">
        <w:rPr>
          <w:rFonts w:ascii="Times New Roman" w:hAnsi="Times New Roman"/>
          <w:sz w:val="24"/>
          <w:szCs w:val="24"/>
        </w:rPr>
        <w:t xml:space="preserve"> </w:t>
      </w:r>
      <w:r w:rsidRPr="00F34746">
        <w:rPr>
          <w:rFonts w:ascii="Times New Roman" w:hAnsi="Times New Roman"/>
          <w:sz w:val="24"/>
          <w:szCs w:val="24"/>
        </w:rPr>
        <w:t>пружају</w:t>
      </w:r>
      <w:r w:rsidR="00CF4F98" w:rsidRPr="00F34746">
        <w:rPr>
          <w:rFonts w:ascii="Times New Roman" w:hAnsi="Times New Roman"/>
          <w:sz w:val="24"/>
          <w:szCs w:val="24"/>
        </w:rPr>
        <w:t xml:space="preserve"> </w:t>
      </w:r>
      <w:r w:rsidRPr="00F34746">
        <w:rPr>
          <w:rFonts w:ascii="Times New Roman" w:hAnsi="Times New Roman"/>
          <w:sz w:val="24"/>
          <w:szCs w:val="24"/>
        </w:rPr>
        <w:t>услуге</w:t>
      </w:r>
      <w:r w:rsidR="00CF4F98" w:rsidRPr="00F34746">
        <w:rPr>
          <w:rFonts w:ascii="Times New Roman" w:hAnsi="Times New Roman"/>
          <w:sz w:val="24"/>
          <w:szCs w:val="24"/>
        </w:rPr>
        <w:t xml:space="preserve"> </w:t>
      </w:r>
      <w:r w:rsidRPr="00F34746">
        <w:rPr>
          <w:rFonts w:ascii="Times New Roman" w:hAnsi="Times New Roman"/>
          <w:sz w:val="24"/>
          <w:szCs w:val="24"/>
        </w:rPr>
        <w:t>физичким</w:t>
      </w:r>
      <w:r w:rsidR="00CF4F98" w:rsidRPr="00F34746">
        <w:rPr>
          <w:rFonts w:ascii="Times New Roman" w:hAnsi="Times New Roman"/>
          <w:sz w:val="24"/>
          <w:szCs w:val="24"/>
        </w:rPr>
        <w:t xml:space="preserve"> </w:t>
      </w:r>
      <w:r w:rsidRPr="00F34746">
        <w:rPr>
          <w:rFonts w:ascii="Times New Roman" w:hAnsi="Times New Roman"/>
          <w:sz w:val="24"/>
          <w:szCs w:val="24"/>
        </w:rPr>
        <w:t>лицима</w:t>
      </w:r>
      <w:r w:rsidR="00CF4F98" w:rsidRPr="00F34746">
        <w:rPr>
          <w:rFonts w:ascii="Times New Roman" w:hAnsi="Times New Roman"/>
          <w:sz w:val="24"/>
          <w:szCs w:val="24"/>
        </w:rPr>
        <w:t xml:space="preserve"> </w:t>
      </w:r>
      <w:r w:rsidRPr="00F34746">
        <w:rPr>
          <w:rFonts w:ascii="Times New Roman" w:hAnsi="Times New Roman"/>
          <w:sz w:val="24"/>
          <w:szCs w:val="24"/>
        </w:rPr>
        <w:t>држати</w:t>
      </w:r>
      <w:r w:rsidR="00CF4F98" w:rsidRPr="00F34746">
        <w:rPr>
          <w:rFonts w:ascii="Times New Roman" w:hAnsi="Times New Roman"/>
          <w:sz w:val="24"/>
          <w:szCs w:val="24"/>
        </w:rPr>
        <w:t xml:space="preserve"> </w:t>
      </w:r>
      <w:r w:rsidRPr="00F34746">
        <w:rPr>
          <w:rFonts w:ascii="Times New Roman" w:hAnsi="Times New Roman"/>
          <w:sz w:val="24"/>
          <w:szCs w:val="24"/>
        </w:rPr>
        <w:t>другу</w:t>
      </w:r>
      <w:r w:rsidR="00CF4F98" w:rsidRPr="00F34746">
        <w:rPr>
          <w:rFonts w:ascii="Times New Roman" w:hAnsi="Times New Roman"/>
          <w:sz w:val="24"/>
          <w:szCs w:val="24"/>
        </w:rPr>
        <w:t xml:space="preserve"> </w:t>
      </w:r>
      <w:r w:rsidRPr="00F34746">
        <w:rPr>
          <w:rFonts w:ascii="Times New Roman" w:hAnsi="Times New Roman"/>
          <w:sz w:val="24"/>
          <w:szCs w:val="24"/>
        </w:rPr>
        <w:t>регистар</w:t>
      </w:r>
      <w:r w:rsidR="00CF4F98" w:rsidRPr="00F34746">
        <w:rPr>
          <w:rFonts w:ascii="Times New Roman" w:hAnsi="Times New Roman"/>
          <w:sz w:val="24"/>
          <w:szCs w:val="24"/>
        </w:rPr>
        <w:t xml:space="preserve"> </w:t>
      </w:r>
      <w:r w:rsidRPr="00F34746">
        <w:rPr>
          <w:rFonts w:ascii="Times New Roman" w:hAnsi="Times New Roman"/>
          <w:sz w:val="24"/>
          <w:szCs w:val="24"/>
        </w:rPr>
        <w:t>касу</w:t>
      </w:r>
      <w:r w:rsidR="00CF4F98" w:rsidRPr="00F34746">
        <w:rPr>
          <w:rFonts w:ascii="Times New Roman" w:hAnsi="Times New Roman"/>
          <w:sz w:val="24"/>
          <w:szCs w:val="24"/>
        </w:rPr>
        <w:t xml:space="preserve"> </w:t>
      </w:r>
      <w:r w:rsidRPr="00F34746">
        <w:rPr>
          <w:rFonts w:ascii="Times New Roman" w:hAnsi="Times New Roman"/>
          <w:sz w:val="24"/>
          <w:szCs w:val="24"/>
        </w:rPr>
        <w:t>осим</w:t>
      </w:r>
      <w:r w:rsidR="00CF4F98" w:rsidRPr="00F34746">
        <w:rPr>
          <w:rFonts w:ascii="Times New Roman" w:hAnsi="Times New Roman"/>
          <w:sz w:val="24"/>
          <w:szCs w:val="24"/>
        </w:rPr>
        <w:t xml:space="preserve"> </w:t>
      </w:r>
      <w:r w:rsidRPr="00F34746">
        <w:rPr>
          <w:rFonts w:ascii="Times New Roman" w:hAnsi="Times New Roman"/>
          <w:sz w:val="24"/>
          <w:szCs w:val="24"/>
        </w:rPr>
        <w:t>фискалне</w:t>
      </w:r>
      <w:r w:rsidR="00CF4F98" w:rsidRPr="00F34746">
        <w:rPr>
          <w:rFonts w:ascii="Times New Roman" w:hAnsi="Times New Roman"/>
          <w:sz w:val="24"/>
          <w:szCs w:val="24"/>
        </w:rPr>
        <w:t>.</w:t>
      </w:r>
      <w:r w:rsidR="00F34746" w:rsidRPr="00F34746">
        <w:rPr>
          <w:rStyle w:val="FootnoteReference"/>
          <w:rFonts w:ascii="Times New Roman" w:hAnsi="Times New Roman"/>
          <w:color w:val="000000"/>
          <w:sz w:val="24"/>
          <w:szCs w:val="24"/>
          <w:lang w:val="sr-Cyrl-CS"/>
        </w:rPr>
        <w:footnoteReference w:id="417"/>
      </w:r>
      <w:r w:rsidR="00F34746">
        <w:rPr>
          <w:rFonts w:ascii="Times New Roman" w:hAnsi="Times New Roman"/>
          <w:color w:val="000000"/>
          <w:sz w:val="24"/>
          <w:szCs w:val="24"/>
          <w:lang w:val="sr-Cyrl-CS"/>
        </w:rPr>
        <w:t xml:space="preserve"> </w:t>
      </w:r>
    </w:p>
    <w:p w:rsidR="00DB1DA1" w:rsidRDefault="00C14F26" w:rsidP="00F34746">
      <w:pPr>
        <w:ind w:firstLine="360"/>
        <w:jc w:val="both"/>
        <w:rPr>
          <w:rFonts w:ascii="Times New Roman" w:hAnsi="Times New Roman"/>
          <w:sz w:val="24"/>
          <w:szCs w:val="24"/>
          <w:lang w:val="sr-Cyrl-CS"/>
        </w:rPr>
      </w:pPr>
      <w:r w:rsidRPr="00F34746">
        <w:rPr>
          <w:rFonts w:ascii="Times New Roman" w:hAnsi="Times New Roman"/>
          <w:sz w:val="24"/>
          <w:szCs w:val="24"/>
          <w:lang w:val="sr-Cyrl-CS"/>
        </w:rPr>
        <w:t>Такође, о</w:t>
      </w:r>
      <w:r w:rsidR="00880814" w:rsidRPr="00F34746">
        <w:rPr>
          <w:rFonts w:ascii="Times New Roman" w:hAnsi="Times New Roman"/>
          <w:sz w:val="24"/>
          <w:szCs w:val="24"/>
        </w:rPr>
        <w:t>бвезник</w:t>
      </w:r>
      <w:r w:rsidR="00CF04EA" w:rsidRPr="00F34746">
        <w:rPr>
          <w:rFonts w:ascii="Times New Roman" w:hAnsi="Times New Roman"/>
          <w:sz w:val="24"/>
          <w:szCs w:val="24"/>
        </w:rPr>
        <w:t xml:space="preserve"> </w:t>
      </w:r>
      <w:r w:rsidR="00880814" w:rsidRPr="00F34746">
        <w:rPr>
          <w:rFonts w:ascii="Times New Roman" w:hAnsi="Times New Roman"/>
          <w:sz w:val="24"/>
          <w:szCs w:val="24"/>
        </w:rPr>
        <w:t>је</w:t>
      </w:r>
      <w:r w:rsidR="00CF04EA" w:rsidRPr="00F34746">
        <w:rPr>
          <w:rFonts w:ascii="Times New Roman" w:hAnsi="Times New Roman"/>
          <w:sz w:val="24"/>
          <w:szCs w:val="24"/>
        </w:rPr>
        <w:t xml:space="preserve"> </w:t>
      </w:r>
      <w:r w:rsidR="00880814" w:rsidRPr="00F34746">
        <w:rPr>
          <w:rFonts w:ascii="Times New Roman" w:hAnsi="Times New Roman"/>
          <w:sz w:val="24"/>
          <w:szCs w:val="24"/>
        </w:rPr>
        <w:t>дужан</w:t>
      </w:r>
      <w:r w:rsidR="00CF04EA" w:rsidRPr="00F34746">
        <w:rPr>
          <w:rFonts w:ascii="Times New Roman" w:hAnsi="Times New Roman"/>
          <w:sz w:val="24"/>
          <w:szCs w:val="24"/>
        </w:rPr>
        <w:t xml:space="preserve"> </w:t>
      </w:r>
      <w:r w:rsidR="00880814" w:rsidRPr="00F34746">
        <w:rPr>
          <w:rFonts w:ascii="Times New Roman" w:hAnsi="Times New Roman"/>
          <w:sz w:val="24"/>
          <w:szCs w:val="24"/>
        </w:rPr>
        <w:t>да</w:t>
      </w:r>
      <w:r w:rsidR="00CF04EA" w:rsidRPr="00F34746">
        <w:rPr>
          <w:rFonts w:ascii="Times New Roman" w:hAnsi="Times New Roman"/>
          <w:sz w:val="24"/>
          <w:szCs w:val="24"/>
        </w:rPr>
        <w:t xml:space="preserve"> </w:t>
      </w:r>
      <w:r w:rsidR="00880814" w:rsidRPr="00F34746">
        <w:rPr>
          <w:rFonts w:ascii="Times New Roman" w:hAnsi="Times New Roman"/>
          <w:sz w:val="24"/>
          <w:szCs w:val="24"/>
        </w:rPr>
        <w:t>води</w:t>
      </w:r>
      <w:r w:rsidR="00CF04EA" w:rsidRPr="00F34746">
        <w:rPr>
          <w:rFonts w:ascii="Times New Roman" w:hAnsi="Times New Roman"/>
          <w:sz w:val="24"/>
          <w:szCs w:val="24"/>
        </w:rPr>
        <w:t xml:space="preserve"> </w:t>
      </w:r>
      <w:r w:rsidR="00880814" w:rsidRPr="00F34746">
        <w:rPr>
          <w:rFonts w:ascii="Times New Roman" w:hAnsi="Times New Roman"/>
          <w:sz w:val="24"/>
          <w:szCs w:val="24"/>
        </w:rPr>
        <w:t>књигу</w:t>
      </w:r>
      <w:r w:rsidR="00CF04EA" w:rsidRPr="00F34746">
        <w:rPr>
          <w:rFonts w:ascii="Times New Roman" w:hAnsi="Times New Roman"/>
          <w:sz w:val="24"/>
          <w:szCs w:val="24"/>
        </w:rPr>
        <w:t xml:space="preserve"> </w:t>
      </w:r>
      <w:r w:rsidR="00880814" w:rsidRPr="00F34746">
        <w:rPr>
          <w:rFonts w:ascii="Times New Roman" w:hAnsi="Times New Roman"/>
          <w:sz w:val="24"/>
          <w:szCs w:val="24"/>
        </w:rPr>
        <w:t>дневних</w:t>
      </w:r>
      <w:r w:rsidR="00CF04EA" w:rsidRPr="00F34746">
        <w:rPr>
          <w:rFonts w:ascii="Times New Roman" w:hAnsi="Times New Roman"/>
          <w:sz w:val="24"/>
          <w:szCs w:val="24"/>
        </w:rPr>
        <w:t xml:space="preserve"> </w:t>
      </w:r>
      <w:r w:rsidR="00880814" w:rsidRPr="00F34746">
        <w:rPr>
          <w:rFonts w:ascii="Times New Roman" w:hAnsi="Times New Roman"/>
          <w:sz w:val="24"/>
          <w:szCs w:val="24"/>
        </w:rPr>
        <w:t>извештаја</w:t>
      </w:r>
      <w:r w:rsidRPr="00F34746">
        <w:rPr>
          <w:rFonts w:ascii="Times New Roman" w:hAnsi="Times New Roman"/>
          <w:sz w:val="24"/>
          <w:szCs w:val="24"/>
        </w:rPr>
        <w:t xml:space="preserve"> </w:t>
      </w:r>
      <w:r w:rsidR="00880814" w:rsidRPr="00F34746">
        <w:rPr>
          <w:rFonts w:ascii="Times New Roman" w:hAnsi="Times New Roman"/>
          <w:sz w:val="24"/>
          <w:szCs w:val="24"/>
        </w:rPr>
        <w:t>за</w:t>
      </w:r>
      <w:r w:rsidRPr="00F34746">
        <w:rPr>
          <w:rFonts w:ascii="Times New Roman" w:hAnsi="Times New Roman"/>
          <w:sz w:val="24"/>
          <w:szCs w:val="24"/>
        </w:rPr>
        <w:t xml:space="preserve"> </w:t>
      </w:r>
      <w:r w:rsidR="00880814" w:rsidRPr="00F34746">
        <w:rPr>
          <w:rFonts w:ascii="Times New Roman" w:hAnsi="Times New Roman"/>
          <w:sz w:val="24"/>
          <w:szCs w:val="24"/>
        </w:rPr>
        <w:t>сваку</w:t>
      </w:r>
      <w:r w:rsidRPr="00F34746">
        <w:rPr>
          <w:rFonts w:ascii="Times New Roman" w:hAnsi="Times New Roman"/>
          <w:sz w:val="24"/>
          <w:szCs w:val="24"/>
        </w:rPr>
        <w:t xml:space="preserve"> </w:t>
      </w:r>
      <w:r w:rsidR="00880814" w:rsidRPr="00F34746">
        <w:rPr>
          <w:rFonts w:ascii="Times New Roman" w:hAnsi="Times New Roman"/>
          <w:sz w:val="24"/>
          <w:szCs w:val="24"/>
        </w:rPr>
        <w:t>фискалну</w:t>
      </w:r>
      <w:r w:rsidRPr="00F34746">
        <w:rPr>
          <w:rFonts w:ascii="Times New Roman" w:hAnsi="Times New Roman"/>
          <w:sz w:val="24"/>
          <w:szCs w:val="24"/>
        </w:rPr>
        <w:t xml:space="preserve"> </w:t>
      </w:r>
      <w:r w:rsidR="00880814" w:rsidRPr="00F34746">
        <w:rPr>
          <w:rFonts w:ascii="Times New Roman" w:hAnsi="Times New Roman"/>
          <w:sz w:val="24"/>
          <w:szCs w:val="24"/>
        </w:rPr>
        <w:t>касу</w:t>
      </w:r>
      <w:r w:rsidRPr="00F34746">
        <w:rPr>
          <w:rFonts w:ascii="Times New Roman" w:hAnsi="Times New Roman"/>
          <w:sz w:val="24"/>
          <w:szCs w:val="24"/>
          <w:lang w:val="sr-Cyrl-CS"/>
        </w:rPr>
        <w:t xml:space="preserve"> и да </w:t>
      </w:r>
      <w:r w:rsidR="00880814" w:rsidRPr="00F34746">
        <w:rPr>
          <w:rFonts w:ascii="Times New Roman" w:hAnsi="Times New Roman"/>
          <w:sz w:val="24"/>
          <w:szCs w:val="24"/>
        </w:rPr>
        <w:t>одштампане</w:t>
      </w:r>
      <w:r w:rsidR="00CF04EA" w:rsidRPr="00F34746">
        <w:rPr>
          <w:rFonts w:ascii="Times New Roman" w:hAnsi="Times New Roman"/>
          <w:sz w:val="24"/>
          <w:szCs w:val="24"/>
        </w:rPr>
        <w:t xml:space="preserve"> </w:t>
      </w:r>
      <w:r w:rsidR="00880814" w:rsidRPr="00F34746">
        <w:rPr>
          <w:rFonts w:ascii="Times New Roman" w:hAnsi="Times New Roman"/>
          <w:sz w:val="24"/>
          <w:szCs w:val="24"/>
        </w:rPr>
        <w:t>дневне</w:t>
      </w:r>
      <w:r w:rsidR="00CF04EA" w:rsidRPr="00F34746">
        <w:rPr>
          <w:rFonts w:ascii="Times New Roman" w:hAnsi="Times New Roman"/>
          <w:sz w:val="24"/>
          <w:szCs w:val="24"/>
        </w:rPr>
        <w:t xml:space="preserve"> </w:t>
      </w:r>
      <w:r w:rsidR="00880814" w:rsidRPr="00F34746">
        <w:rPr>
          <w:rFonts w:ascii="Times New Roman" w:hAnsi="Times New Roman"/>
          <w:sz w:val="24"/>
          <w:szCs w:val="24"/>
        </w:rPr>
        <w:t>извештаје</w:t>
      </w:r>
      <w:r w:rsidR="00CF04EA" w:rsidRPr="00F34746">
        <w:rPr>
          <w:rFonts w:ascii="Times New Roman" w:hAnsi="Times New Roman"/>
          <w:sz w:val="24"/>
          <w:szCs w:val="24"/>
        </w:rPr>
        <w:t xml:space="preserve"> </w:t>
      </w:r>
      <w:r w:rsidR="00880814" w:rsidRPr="00F34746">
        <w:rPr>
          <w:rFonts w:ascii="Times New Roman" w:hAnsi="Times New Roman"/>
          <w:sz w:val="24"/>
          <w:szCs w:val="24"/>
        </w:rPr>
        <w:t>евидентира</w:t>
      </w:r>
      <w:r w:rsidR="00CF04EA" w:rsidRPr="00F34746">
        <w:rPr>
          <w:rFonts w:ascii="Times New Roman" w:hAnsi="Times New Roman"/>
          <w:sz w:val="24"/>
          <w:szCs w:val="24"/>
        </w:rPr>
        <w:t xml:space="preserve"> </w:t>
      </w:r>
      <w:r w:rsidR="00880814" w:rsidRPr="00F34746">
        <w:rPr>
          <w:rFonts w:ascii="Times New Roman" w:hAnsi="Times New Roman"/>
          <w:sz w:val="24"/>
          <w:szCs w:val="24"/>
        </w:rPr>
        <w:t>и</w:t>
      </w:r>
      <w:r w:rsidR="00CF04EA" w:rsidRPr="00F34746">
        <w:rPr>
          <w:rFonts w:ascii="Times New Roman" w:hAnsi="Times New Roman"/>
          <w:sz w:val="24"/>
          <w:szCs w:val="24"/>
        </w:rPr>
        <w:t xml:space="preserve"> </w:t>
      </w:r>
      <w:r w:rsidR="00880814" w:rsidRPr="00F34746">
        <w:rPr>
          <w:rFonts w:ascii="Times New Roman" w:hAnsi="Times New Roman"/>
          <w:sz w:val="24"/>
          <w:szCs w:val="24"/>
        </w:rPr>
        <w:t>одлаже</w:t>
      </w:r>
      <w:r w:rsidR="00CF04EA" w:rsidRPr="00F34746">
        <w:rPr>
          <w:rFonts w:ascii="Times New Roman" w:hAnsi="Times New Roman"/>
          <w:sz w:val="24"/>
          <w:szCs w:val="24"/>
        </w:rPr>
        <w:t xml:space="preserve"> </w:t>
      </w:r>
      <w:r w:rsidR="00880814" w:rsidRPr="00F34746">
        <w:rPr>
          <w:rFonts w:ascii="Times New Roman" w:hAnsi="Times New Roman"/>
          <w:sz w:val="24"/>
          <w:szCs w:val="24"/>
        </w:rPr>
        <w:t>у</w:t>
      </w:r>
      <w:r w:rsidR="00CF04EA" w:rsidRPr="00F34746">
        <w:rPr>
          <w:rFonts w:ascii="Times New Roman" w:hAnsi="Times New Roman"/>
          <w:sz w:val="24"/>
          <w:szCs w:val="24"/>
        </w:rPr>
        <w:t xml:space="preserve"> </w:t>
      </w:r>
      <w:r w:rsidR="00880814" w:rsidRPr="00F34746">
        <w:rPr>
          <w:rFonts w:ascii="Times New Roman" w:hAnsi="Times New Roman"/>
          <w:sz w:val="24"/>
          <w:szCs w:val="24"/>
        </w:rPr>
        <w:t>књигу</w:t>
      </w:r>
      <w:r w:rsidR="00CF04EA" w:rsidRPr="00F34746">
        <w:rPr>
          <w:rFonts w:ascii="Times New Roman" w:hAnsi="Times New Roman"/>
          <w:sz w:val="24"/>
          <w:szCs w:val="24"/>
        </w:rPr>
        <w:t xml:space="preserve"> </w:t>
      </w:r>
      <w:r w:rsidR="00880814" w:rsidRPr="00F34746">
        <w:rPr>
          <w:rFonts w:ascii="Times New Roman" w:hAnsi="Times New Roman"/>
          <w:sz w:val="24"/>
          <w:szCs w:val="24"/>
        </w:rPr>
        <w:t>дневних</w:t>
      </w:r>
      <w:r w:rsidR="00CF04EA" w:rsidRPr="00F34746">
        <w:rPr>
          <w:rFonts w:ascii="Times New Roman" w:hAnsi="Times New Roman"/>
          <w:sz w:val="24"/>
          <w:szCs w:val="24"/>
        </w:rPr>
        <w:t xml:space="preserve"> </w:t>
      </w:r>
      <w:r w:rsidR="00880814" w:rsidRPr="00F34746">
        <w:rPr>
          <w:rFonts w:ascii="Times New Roman" w:hAnsi="Times New Roman"/>
          <w:sz w:val="24"/>
          <w:szCs w:val="24"/>
        </w:rPr>
        <w:t>извештаја</w:t>
      </w:r>
      <w:r w:rsidR="00CF04EA" w:rsidRPr="00F34746">
        <w:rPr>
          <w:rFonts w:ascii="Times New Roman" w:hAnsi="Times New Roman"/>
          <w:sz w:val="24"/>
          <w:szCs w:val="24"/>
        </w:rPr>
        <w:t xml:space="preserve"> </w:t>
      </w:r>
      <w:r w:rsidR="00880814" w:rsidRPr="00F34746">
        <w:rPr>
          <w:rFonts w:ascii="Times New Roman" w:hAnsi="Times New Roman"/>
          <w:sz w:val="24"/>
          <w:szCs w:val="24"/>
        </w:rPr>
        <w:t>хронолошким</w:t>
      </w:r>
      <w:r w:rsidR="00CF04EA" w:rsidRPr="00F34746">
        <w:rPr>
          <w:rFonts w:ascii="Times New Roman" w:hAnsi="Times New Roman"/>
          <w:sz w:val="24"/>
          <w:szCs w:val="24"/>
        </w:rPr>
        <w:t xml:space="preserve"> </w:t>
      </w:r>
      <w:r w:rsidR="00880814" w:rsidRPr="00F34746">
        <w:rPr>
          <w:rFonts w:ascii="Times New Roman" w:hAnsi="Times New Roman"/>
          <w:sz w:val="24"/>
          <w:szCs w:val="24"/>
        </w:rPr>
        <w:t>редом</w:t>
      </w:r>
      <w:r w:rsidR="00CF04EA" w:rsidRPr="00F34746">
        <w:rPr>
          <w:rFonts w:ascii="Times New Roman" w:hAnsi="Times New Roman"/>
          <w:sz w:val="24"/>
          <w:szCs w:val="24"/>
        </w:rPr>
        <w:t>.</w:t>
      </w:r>
      <w:r w:rsidRPr="00F34746">
        <w:rPr>
          <w:rFonts w:ascii="Times New Roman" w:hAnsi="Times New Roman"/>
          <w:sz w:val="24"/>
          <w:szCs w:val="24"/>
          <w:lang w:val="sr-Cyrl-CS"/>
        </w:rPr>
        <w:t xml:space="preserve"> </w:t>
      </w:r>
      <w:r w:rsidR="00880814" w:rsidRPr="00F34746">
        <w:rPr>
          <w:rFonts w:ascii="Times New Roman" w:hAnsi="Times New Roman"/>
          <w:sz w:val="24"/>
          <w:szCs w:val="24"/>
        </w:rPr>
        <w:t>Књигу</w:t>
      </w:r>
      <w:r w:rsidR="00CF04EA" w:rsidRPr="00F34746">
        <w:rPr>
          <w:rFonts w:ascii="Times New Roman" w:hAnsi="Times New Roman"/>
          <w:sz w:val="24"/>
          <w:szCs w:val="24"/>
        </w:rPr>
        <w:t xml:space="preserve"> </w:t>
      </w:r>
      <w:r w:rsidR="00880814" w:rsidRPr="00F34746">
        <w:rPr>
          <w:rFonts w:ascii="Times New Roman" w:hAnsi="Times New Roman"/>
          <w:sz w:val="24"/>
          <w:szCs w:val="24"/>
        </w:rPr>
        <w:t>дневних</w:t>
      </w:r>
      <w:r w:rsidR="00CF04EA" w:rsidRPr="00F34746">
        <w:rPr>
          <w:rFonts w:ascii="Times New Roman" w:hAnsi="Times New Roman"/>
          <w:sz w:val="24"/>
          <w:szCs w:val="24"/>
        </w:rPr>
        <w:t xml:space="preserve"> </w:t>
      </w:r>
      <w:r w:rsidR="00880814" w:rsidRPr="00F34746">
        <w:rPr>
          <w:rFonts w:ascii="Times New Roman" w:hAnsi="Times New Roman"/>
          <w:sz w:val="24"/>
          <w:szCs w:val="24"/>
        </w:rPr>
        <w:t>извештаја</w:t>
      </w:r>
      <w:r w:rsidR="00CF04EA" w:rsidRPr="00F34746">
        <w:rPr>
          <w:rFonts w:ascii="Times New Roman" w:hAnsi="Times New Roman"/>
          <w:sz w:val="24"/>
          <w:szCs w:val="24"/>
        </w:rPr>
        <w:t xml:space="preserve"> </w:t>
      </w:r>
      <w:r w:rsidR="00880814" w:rsidRPr="00F34746">
        <w:rPr>
          <w:rFonts w:ascii="Times New Roman" w:hAnsi="Times New Roman"/>
          <w:sz w:val="24"/>
          <w:szCs w:val="24"/>
        </w:rPr>
        <w:t>обвезник</w:t>
      </w:r>
      <w:r w:rsidR="00CF04EA" w:rsidRPr="00F34746">
        <w:rPr>
          <w:rFonts w:ascii="Times New Roman" w:hAnsi="Times New Roman"/>
          <w:sz w:val="24"/>
          <w:szCs w:val="24"/>
        </w:rPr>
        <w:t xml:space="preserve"> </w:t>
      </w:r>
      <w:r w:rsidR="00880814" w:rsidRPr="00F34746">
        <w:rPr>
          <w:rFonts w:ascii="Times New Roman" w:hAnsi="Times New Roman"/>
          <w:sz w:val="24"/>
          <w:szCs w:val="24"/>
        </w:rPr>
        <w:t>је</w:t>
      </w:r>
      <w:r w:rsidR="00CF04EA" w:rsidRPr="00F34746">
        <w:rPr>
          <w:rFonts w:ascii="Times New Roman" w:hAnsi="Times New Roman"/>
          <w:sz w:val="24"/>
          <w:szCs w:val="24"/>
        </w:rPr>
        <w:t xml:space="preserve"> </w:t>
      </w:r>
      <w:r w:rsidR="00880814" w:rsidRPr="00F34746">
        <w:rPr>
          <w:rFonts w:ascii="Times New Roman" w:hAnsi="Times New Roman"/>
          <w:sz w:val="24"/>
          <w:szCs w:val="24"/>
        </w:rPr>
        <w:t>дужан</w:t>
      </w:r>
      <w:r w:rsidR="00CF04EA" w:rsidRPr="00F34746">
        <w:rPr>
          <w:rFonts w:ascii="Times New Roman" w:hAnsi="Times New Roman"/>
          <w:sz w:val="24"/>
          <w:szCs w:val="24"/>
        </w:rPr>
        <w:t xml:space="preserve"> </w:t>
      </w:r>
      <w:r w:rsidR="00880814" w:rsidRPr="00F34746">
        <w:rPr>
          <w:rFonts w:ascii="Times New Roman" w:hAnsi="Times New Roman"/>
          <w:sz w:val="24"/>
          <w:szCs w:val="24"/>
        </w:rPr>
        <w:t>да</w:t>
      </w:r>
      <w:r w:rsidR="00CF04EA" w:rsidRPr="00F34746">
        <w:rPr>
          <w:rFonts w:ascii="Times New Roman" w:hAnsi="Times New Roman"/>
          <w:sz w:val="24"/>
          <w:szCs w:val="24"/>
        </w:rPr>
        <w:t xml:space="preserve"> </w:t>
      </w:r>
      <w:r w:rsidR="00880814" w:rsidRPr="00F34746">
        <w:rPr>
          <w:rFonts w:ascii="Times New Roman" w:hAnsi="Times New Roman"/>
          <w:sz w:val="24"/>
          <w:szCs w:val="24"/>
        </w:rPr>
        <w:t>чува</w:t>
      </w:r>
      <w:r w:rsidR="00CF04EA" w:rsidRPr="00F34746">
        <w:rPr>
          <w:rFonts w:ascii="Times New Roman" w:hAnsi="Times New Roman"/>
          <w:sz w:val="24"/>
          <w:szCs w:val="24"/>
        </w:rPr>
        <w:t xml:space="preserve"> </w:t>
      </w:r>
      <w:r w:rsidR="00880814" w:rsidRPr="00F34746">
        <w:rPr>
          <w:rFonts w:ascii="Times New Roman" w:hAnsi="Times New Roman"/>
          <w:sz w:val="24"/>
          <w:szCs w:val="24"/>
        </w:rPr>
        <w:t>на</w:t>
      </w:r>
      <w:r w:rsidR="00CF04EA" w:rsidRPr="00F34746">
        <w:rPr>
          <w:rFonts w:ascii="Times New Roman" w:hAnsi="Times New Roman"/>
          <w:sz w:val="24"/>
          <w:szCs w:val="24"/>
        </w:rPr>
        <w:t xml:space="preserve"> </w:t>
      </w:r>
      <w:r w:rsidR="00880814" w:rsidRPr="00F34746">
        <w:rPr>
          <w:rFonts w:ascii="Times New Roman" w:hAnsi="Times New Roman"/>
          <w:sz w:val="24"/>
          <w:szCs w:val="24"/>
        </w:rPr>
        <w:t>месту</w:t>
      </w:r>
      <w:r w:rsidR="00CF04EA" w:rsidRPr="00F34746">
        <w:rPr>
          <w:rFonts w:ascii="Times New Roman" w:hAnsi="Times New Roman"/>
          <w:sz w:val="24"/>
          <w:szCs w:val="24"/>
        </w:rPr>
        <w:t xml:space="preserve"> </w:t>
      </w:r>
      <w:r w:rsidR="00880814" w:rsidRPr="00F34746">
        <w:rPr>
          <w:rFonts w:ascii="Times New Roman" w:hAnsi="Times New Roman"/>
          <w:sz w:val="24"/>
          <w:szCs w:val="24"/>
        </w:rPr>
        <w:t>на</w:t>
      </w:r>
      <w:r w:rsidR="00CF04EA" w:rsidRPr="00F34746">
        <w:rPr>
          <w:rFonts w:ascii="Times New Roman" w:hAnsi="Times New Roman"/>
          <w:sz w:val="24"/>
          <w:szCs w:val="24"/>
        </w:rPr>
        <w:t xml:space="preserve"> </w:t>
      </w:r>
      <w:r w:rsidR="00880814" w:rsidRPr="00F34746">
        <w:rPr>
          <w:rFonts w:ascii="Times New Roman" w:hAnsi="Times New Roman"/>
          <w:sz w:val="24"/>
          <w:szCs w:val="24"/>
        </w:rPr>
        <w:t>коме</w:t>
      </w:r>
      <w:r w:rsidR="00CF04EA" w:rsidRPr="00F34746">
        <w:rPr>
          <w:rFonts w:ascii="Times New Roman" w:hAnsi="Times New Roman"/>
          <w:sz w:val="24"/>
          <w:szCs w:val="24"/>
        </w:rPr>
        <w:t xml:space="preserve"> </w:t>
      </w:r>
      <w:r w:rsidR="00880814" w:rsidRPr="00F34746">
        <w:rPr>
          <w:rFonts w:ascii="Times New Roman" w:hAnsi="Times New Roman"/>
          <w:sz w:val="24"/>
          <w:szCs w:val="24"/>
        </w:rPr>
        <w:t>врши</w:t>
      </w:r>
      <w:r w:rsidR="00CF04EA" w:rsidRPr="00F34746">
        <w:rPr>
          <w:rFonts w:ascii="Times New Roman" w:hAnsi="Times New Roman"/>
          <w:sz w:val="24"/>
          <w:szCs w:val="24"/>
        </w:rPr>
        <w:t xml:space="preserve"> </w:t>
      </w:r>
      <w:r w:rsidR="00880814" w:rsidRPr="00F34746">
        <w:rPr>
          <w:rFonts w:ascii="Times New Roman" w:hAnsi="Times New Roman"/>
          <w:sz w:val="24"/>
          <w:szCs w:val="24"/>
        </w:rPr>
        <w:t>промет</w:t>
      </w:r>
      <w:r w:rsidR="00CF04EA" w:rsidRPr="00F34746">
        <w:rPr>
          <w:rFonts w:ascii="Times New Roman" w:hAnsi="Times New Roman"/>
          <w:sz w:val="24"/>
          <w:szCs w:val="24"/>
        </w:rPr>
        <w:t xml:space="preserve"> </w:t>
      </w:r>
      <w:r w:rsidR="00880814" w:rsidRPr="00F34746">
        <w:rPr>
          <w:rFonts w:ascii="Times New Roman" w:hAnsi="Times New Roman"/>
          <w:sz w:val="24"/>
          <w:szCs w:val="24"/>
        </w:rPr>
        <w:t>добара</w:t>
      </w:r>
      <w:r w:rsidR="00CF04EA" w:rsidRPr="00F34746">
        <w:rPr>
          <w:rFonts w:ascii="Times New Roman" w:hAnsi="Times New Roman"/>
          <w:sz w:val="24"/>
          <w:szCs w:val="24"/>
        </w:rPr>
        <w:t xml:space="preserve"> </w:t>
      </w:r>
      <w:r w:rsidR="00880814" w:rsidRPr="00F34746">
        <w:rPr>
          <w:rFonts w:ascii="Times New Roman" w:hAnsi="Times New Roman"/>
          <w:sz w:val="24"/>
          <w:szCs w:val="24"/>
        </w:rPr>
        <w:t>на</w:t>
      </w:r>
      <w:r w:rsidR="00CF04EA" w:rsidRPr="00F34746">
        <w:rPr>
          <w:rFonts w:ascii="Times New Roman" w:hAnsi="Times New Roman"/>
          <w:sz w:val="24"/>
          <w:szCs w:val="24"/>
        </w:rPr>
        <w:t xml:space="preserve"> </w:t>
      </w:r>
      <w:r w:rsidR="00880814" w:rsidRPr="00F34746">
        <w:rPr>
          <w:rFonts w:ascii="Times New Roman" w:hAnsi="Times New Roman"/>
          <w:sz w:val="24"/>
          <w:szCs w:val="24"/>
        </w:rPr>
        <w:t>мало</w:t>
      </w:r>
      <w:r w:rsidR="00CF04EA" w:rsidRPr="00F34746">
        <w:rPr>
          <w:rFonts w:ascii="Times New Roman" w:hAnsi="Times New Roman"/>
          <w:sz w:val="24"/>
          <w:szCs w:val="24"/>
        </w:rPr>
        <w:t xml:space="preserve">, </w:t>
      </w:r>
      <w:r w:rsidR="00880814" w:rsidRPr="00F34746">
        <w:rPr>
          <w:rFonts w:ascii="Times New Roman" w:hAnsi="Times New Roman"/>
          <w:sz w:val="24"/>
          <w:szCs w:val="24"/>
        </w:rPr>
        <w:t>односно</w:t>
      </w:r>
      <w:r w:rsidR="00CF04EA" w:rsidRPr="00F34746">
        <w:rPr>
          <w:rFonts w:ascii="Times New Roman" w:hAnsi="Times New Roman"/>
          <w:sz w:val="24"/>
          <w:szCs w:val="24"/>
        </w:rPr>
        <w:t xml:space="preserve"> </w:t>
      </w:r>
      <w:r w:rsidR="00880814" w:rsidRPr="00F34746">
        <w:rPr>
          <w:rFonts w:ascii="Times New Roman" w:hAnsi="Times New Roman"/>
          <w:sz w:val="24"/>
          <w:szCs w:val="24"/>
        </w:rPr>
        <w:t>месту</w:t>
      </w:r>
      <w:r w:rsidR="00CF04EA" w:rsidRPr="00F34746">
        <w:rPr>
          <w:rFonts w:ascii="Times New Roman" w:hAnsi="Times New Roman"/>
          <w:sz w:val="24"/>
          <w:szCs w:val="24"/>
        </w:rPr>
        <w:t xml:space="preserve"> </w:t>
      </w:r>
      <w:r w:rsidR="00880814" w:rsidRPr="00F34746">
        <w:rPr>
          <w:rFonts w:ascii="Times New Roman" w:hAnsi="Times New Roman"/>
          <w:sz w:val="24"/>
          <w:szCs w:val="24"/>
        </w:rPr>
        <w:t>пружања</w:t>
      </w:r>
      <w:r w:rsidR="00CF04EA" w:rsidRPr="00F34746">
        <w:rPr>
          <w:rFonts w:ascii="Times New Roman" w:hAnsi="Times New Roman"/>
          <w:sz w:val="24"/>
          <w:szCs w:val="24"/>
        </w:rPr>
        <w:t xml:space="preserve"> </w:t>
      </w:r>
      <w:r w:rsidR="00880814" w:rsidRPr="00F34746">
        <w:rPr>
          <w:rFonts w:ascii="Times New Roman" w:hAnsi="Times New Roman"/>
          <w:sz w:val="24"/>
          <w:szCs w:val="24"/>
        </w:rPr>
        <w:t>услуга</w:t>
      </w:r>
      <w:r w:rsidRPr="00F34746">
        <w:rPr>
          <w:rFonts w:ascii="Times New Roman" w:hAnsi="Times New Roman"/>
          <w:sz w:val="24"/>
          <w:szCs w:val="24"/>
          <w:lang w:val="sr-Cyrl-CS"/>
        </w:rPr>
        <w:t xml:space="preserve"> у трајању од три године</w:t>
      </w:r>
      <w:r w:rsidR="00CF04EA" w:rsidRPr="00F34746">
        <w:rPr>
          <w:rFonts w:ascii="Times New Roman" w:hAnsi="Times New Roman"/>
          <w:sz w:val="24"/>
          <w:szCs w:val="24"/>
        </w:rPr>
        <w:t>.</w:t>
      </w:r>
      <w:r w:rsidRPr="00F34746">
        <w:rPr>
          <w:rStyle w:val="FootnoteReference"/>
          <w:rFonts w:ascii="Times New Roman" w:hAnsi="Times New Roman"/>
          <w:color w:val="000000"/>
          <w:sz w:val="24"/>
          <w:szCs w:val="24"/>
        </w:rPr>
        <w:footnoteReference w:id="418"/>
      </w:r>
      <w:r w:rsidR="00F34746">
        <w:rPr>
          <w:rFonts w:ascii="Times New Roman" w:hAnsi="Times New Roman"/>
          <w:sz w:val="24"/>
          <w:szCs w:val="24"/>
          <w:lang w:val="sr-Cyrl-CS"/>
        </w:rPr>
        <w:t xml:space="preserve"> </w:t>
      </w:r>
    </w:p>
    <w:p w:rsidR="00252179" w:rsidRDefault="00252179" w:rsidP="00F34746">
      <w:pPr>
        <w:ind w:firstLine="360"/>
        <w:jc w:val="both"/>
        <w:rPr>
          <w:rFonts w:ascii="Times New Roman" w:hAnsi="Times New Roman"/>
          <w:sz w:val="24"/>
          <w:szCs w:val="24"/>
          <w:lang w:val="sr-Cyrl-CS"/>
        </w:rPr>
      </w:pPr>
      <w:r>
        <w:rPr>
          <w:rFonts w:ascii="Times New Roman" w:hAnsi="Times New Roman"/>
          <w:sz w:val="24"/>
          <w:szCs w:val="24"/>
          <w:lang w:val="sr-Cyrl-CS"/>
        </w:rPr>
        <w:t>Од неиздавања фискалних исечака једноставнији начин избегавања ПДВ-а је издавање нефискалних исечака који су говотово идентични са фискалним, једино што се не евидентирају преко фискалне касе. Наиме, у угоститељском објекту се, поред званичне фискалне касе, често користи готово иста каса која није пломбирана и евидентирана код пореског органа. Самим тим промет остварен преко такве касе је неевидентиран пазар угоститељског објекта на који власник не обрачунава и не плаћа ПДВ ни порез на доходак грађана.</w:t>
      </w:r>
    </w:p>
    <w:p w:rsidR="00712654" w:rsidRPr="00CC4EE8" w:rsidRDefault="00712654" w:rsidP="00CC4EE8">
      <w:pPr>
        <w:ind w:firstLine="360"/>
        <w:jc w:val="both"/>
        <w:rPr>
          <w:rFonts w:ascii="Times New Roman" w:hAnsi="Times New Roman"/>
          <w:sz w:val="24"/>
          <w:szCs w:val="24"/>
        </w:rPr>
      </w:pPr>
      <w:r>
        <w:rPr>
          <w:rFonts w:ascii="Times New Roman" w:hAnsi="Times New Roman"/>
          <w:sz w:val="24"/>
          <w:szCs w:val="24"/>
          <w:lang w:val="sr-Cyrl-CS"/>
        </w:rPr>
        <w:t>Тако је значајан износ утаје ПДВ-а лажним приказивањем оствареног промета вођењем дупле евиденци</w:t>
      </w:r>
      <w:r w:rsidR="00D517E6">
        <w:rPr>
          <w:rFonts w:ascii="Times New Roman" w:hAnsi="Times New Roman"/>
          <w:sz w:val="24"/>
          <w:szCs w:val="24"/>
          <w:lang w:val="sr-Cyrl-CS"/>
        </w:rPr>
        <w:t>је („црне“и званичне) идентифик</w:t>
      </w:r>
      <w:r>
        <w:rPr>
          <w:rFonts w:ascii="Times New Roman" w:hAnsi="Times New Roman"/>
          <w:sz w:val="24"/>
          <w:szCs w:val="24"/>
          <w:lang w:val="sr-Cyrl-CS"/>
        </w:rPr>
        <w:t>ован код предузећа „</w:t>
      </w:r>
      <w:r>
        <w:rPr>
          <w:rFonts w:ascii="Times New Roman" w:hAnsi="Times New Roman"/>
          <w:sz w:val="24"/>
          <w:szCs w:val="24"/>
        </w:rPr>
        <w:t>N.C.C.“</w:t>
      </w:r>
      <w:r>
        <w:rPr>
          <w:rFonts w:ascii="Times New Roman" w:hAnsi="Times New Roman"/>
          <w:sz w:val="24"/>
          <w:szCs w:val="24"/>
          <w:lang w:val="sr-Cyrl-CS"/>
        </w:rPr>
        <w:t xml:space="preserve"> из Београда. Коришћен је софтвер који омогућава вођење дуплог књиговодства, на тај начин што је посебно означена „црна“ евиденција која је обухватала набавку робе без </w:t>
      </w:r>
      <w:r>
        <w:rPr>
          <w:rFonts w:ascii="Times New Roman" w:hAnsi="Times New Roman"/>
          <w:sz w:val="24"/>
          <w:szCs w:val="24"/>
          <w:lang w:val="sr-Cyrl-CS"/>
        </w:rPr>
        <w:lastRenderedPageBreak/>
        <w:t>порекла, продају робе у малопродаји без регистровања преко фискалне касе и продају робе</w:t>
      </w:r>
      <w:r w:rsidR="00D517E6">
        <w:rPr>
          <w:rFonts w:ascii="Times New Roman" w:hAnsi="Times New Roman"/>
          <w:sz w:val="24"/>
          <w:szCs w:val="24"/>
          <w:lang w:val="sr-Cyrl-CS"/>
        </w:rPr>
        <w:t xml:space="preserve"> у</w:t>
      </w:r>
      <w:r>
        <w:rPr>
          <w:rFonts w:ascii="Times New Roman" w:hAnsi="Times New Roman"/>
          <w:sz w:val="24"/>
          <w:szCs w:val="24"/>
          <w:lang w:val="sr-Cyrl-CS"/>
        </w:rPr>
        <w:t xml:space="preserve"> вел</w:t>
      </w:r>
      <w:r w:rsidR="00D517E6">
        <w:rPr>
          <w:rFonts w:ascii="Times New Roman" w:hAnsi="Times New Roman"/>
          <w:sz w:val="24"/>
          <w:szCs w:val="24"/>
          <w:lang w:val="sr-Cyrl-CS"/>
        </w:rPr>
        <w:t>епродаји без издав</w:t>
      </w:r>
      <w:r>
        <w:rPr>
          <w:rFonts w:ascii="Times New Roman" w:hAnsi="Times New Roman"/>
          <w:sz w:val="24"/>
          <w:szCs w:val="24"/>
          <w:lang w:val="sr-Cyrl-CS"/>
        </w:rPr>
        <w:t>ања рачуна која се наплаћује у готовини, а посебно је означена званична</w:t>
      </w:r>
      <w:r w:rsidR="00D517E6">
        <w:rPr>
          <w:rFonts w:ascii="Times New Roman" w:hAnsi="Times New Roman"/>
          <w:sz w:val="24"/>
          <w:szCs w:val="24"/>
          <w:lang w:val="sr-Cyrl-CS"/>
        </w:rPr>
        <w:t xml:space="preserve">  евиденција, која је обухватала легалну набавку робе, продају робе у малопродаји која је регистрована преко фискалне касе и продају робе у велепродаји која је фак</w:t>
      </w:r>
      <w:r w:rsidR="008F1E89">
        <w:rPr>
          <w:rFonts w:ascii="Times New Roman" w:hAnsi="Times New Roman"/>
          <w:sz w:val="24"/>
          <w:szCs w:val="24"/>
          <w:lang w:val="sr-Cyrl-CS"/>
        </w:rPr>
        <w:t>т</w:t>
      </w:r>
      <w:r w:rsidR="00D517E6">
        <w:rPr>
          <w:rFonts w:ascii="Times New Roman" w:hAnsi="Times New Roman"/>
          <w:sz w:val="24"/>
          <w:szCs w:val="24"/>
          <w:lang w:val="sr-Cyrl-CS"/>
        </w:rPr>
        <w:t>урисана</w:t>
      </w:r>
      <w:r w:rsidR="008F1E89">
        <w:rPr>
          <w:rFonts w:ascii="Times New Roman" w:hAnsi="Times New Roman"/>
          <w:sz w:val="24"/>
          <w:szCs w:val="24"/>
          <w:lang w:val="sr-Cyrl-CS"/>
        </w:rPr>
        <w:t>. На овакав начин у званичној књиговодственој евиденцији предузећа лажно су приказани подаци о оствареном промету робе, јер није евидентиран промет у износу од 143.759.908,00 динара који је наплаћен у готовом и на који није плаћен ПДВ у износу од 21.929.423,00 динара. Наплаћена готовина у износу од 143.759.908,00 динара искоришћена је за исплате зарада запосленим радницима, закуп као и за друге исплате лицима која нису запослена у предузећу. У свим овим случајевима постоји обавеза обрачуна и уплате пореза на доходак грађана у укупном износу од 30.890.018,00 динара чије плаћање је на овај начин избегнуто.</w:t>
      </w:r>
      <w:r w:rsidR="008F1E89">
        <w:rPr>
          <w:rStyle w:val="FootnoteReference"/>
          <w:rFonts w:ascii="Times New Roman" w:hAnsi="Times New Roman"/>
          <w:sz w:val="24"/>
          <w:szCs w:val="24"/>
          <w:lang w:val="sr-Cyrl-CS"/>
        </w:rPr>
        <w:footnoteReference w:id="419"/>
      </w:r>
    </w:p>
    <w:p w:rsidR="00712654" w:rsidRPr="00F34746" w:rsidRDefault="00217761" w:rsidP="00217761">
      <w:pPr>
        <w:ind w:firstLine="360"/>
        <w:jc w:val="both"/>
        <w:rPr>
          <w:rFonts w:ascii="Times New Roman" w:hAnsi="Times New Roman"/>
          <w:sz w:val="24"/>
          <w:szCs w:val="24"/>
          <w:lang w:val="sr-Cyrl-CS"/>
        </w:rPr>
      </w:pPr>
      <w:r>
        <w:rPr>
          <w:rFonts w:ascii="Times New Roman" w:hAnsi="Times New Roman"/>
          <w:sz w:val="24"/>
          <w:szCs w:val="24"/>
          <w:lang w:val="sr-Cyrl-CS"/>
        </w:rPr>
        <w:t>Поменути</w:t>
      </w:r>
      <w:r w:rsidR="00712654">
        <w:rPr>
          <w:rFonts w:ascii="Times New Roman" w:hAnsi="Times New Roman"/>
          <w:sz w:val="24"/>
          <w:szCs w:val="24"/>
          <w:lang w:val="sr-Cyrl-CS"/>
        </w:rPr>
        <w:t xml:space="preserve"> начин избегавања ПДВ-а је веома тежак за откривање јер је неопходно пронаћи фискалну касу и нефискалне исечке, тако да је скоро немогуће доказати, у већини случајева, износ стварно утајеног пореза.</w:t>
      </w:r>
    </w:p>
    <w:p w:rsidR="00AE03A0" w:rsidRPr="00880814" w:rsidRDefault="00DB1DA1" w:rsidP="00880814">
      <w:pPr>
        <w:ind w:firstLine="360"/>
        <w:jc w:val="both"/>
        <w:rPr>
          <w:rFonts w:ascii="Times New Roman" w:hAnsi="Times New Roman"/>
          <w:sz w:val="24"/>
          <w:szCs w:val="24"/>
          <w:shd w:val="clear" w:color="auto" w:fill="FFFFFF"/>
          <w:lang w:val="sr-Cyrl-CS"/>
        </w:rPr>
      </w:pPr>
      <w:r w:rsidRPr="00880814">
        <w:rPr>
          <w:rFonts w:ascii="Times New Roman" w:hAnsi="Times New Roman"/>
          <w:sz w:val="24"/>
          <w:szCs w:val="24"/>
          <w:shd w:val="clear" w:color="auto" w:fill="FFFFFF"/>
          <w:lang w:val="sr-Cyrl-CS"/>
        </w:rPr>
        <w:t xml:space="preserve">У малопродаји поред </w:t>
      </w:r>
      <w:r w:rsidR="00712654">
        <w:rPr>
          <w:rFonts w:ascii="Times New Roman" w:hAnsi="Times New Roman"/>
          <w:sz w:val="24"/>
          <w:szCs w:val="24"/>
          <w:shd w:val="clear" w:color="auto" w:fill="FFFFFF"/>
          <w:lang w:val="sr-Cyrl-CS"/>
        </w:rPr>
        <w:t xml:space="preserve">поменутих начина </w:t>
      </w:r>
      <w:r w:rsidRPr="00880814">
        <w:rPr>
          <w:rFonts w:ascii="Times New Roman" w:hAnsi="Times New Roman"/>
          <w:sz w:val="24"/>
          <w:szCs w:val="24"/>
          <w:shd w:val="clear" w:color="auto" w:fill="FFFFFF"/>
          <w:lang w:val="sr-Cyrl-CS"/>
        </w:rPr>
        <w:t>ум</w:t>
      </w:r>
      <w:r w:rsidR="00712654">
        <w:rPr>
          <w:rFonts w:ascii="Times New Roman" w:hAnsi="Times New Roman"/>
          <w:sz w:val="24"/>
          <w:szCs w:val="24"/>
          <w:shd w:val="clear" w:color="auto" w:fill="FFFFFF"/>
          <w:lang w:val="sr-Cyrl-CS"/>
        </w:rPr>
        <w:t>ањење оствареног промета се врши</w:t>
      </w:r>
      <w:r w:rsidRPr="00880814">
        <w:rPr>
          <w:rFonts w:ascii="Times New Roman" w:hAnsi="Times New Roman"/>
          <w:sz w:val="24"/>
          <w:szCs w:val="24"/>
          <w:shd w:val="clear" w:color="auto" w:fill="FFFFFF"/>
          <w:lang w:val="sr-Cyrl-CS"/>
        </w:rPr>
        <w:t xml:space="preserve"> и продајом артикала по вишој цени од цена које се евидентирају </w:t>
      </w:r>
      <w:r w:rsidR="006B42C8" w:rsidRPr="00880814">
        <w:rPr>
          <w:rFonts w:ascii="Times New Roman" w:hAnsi="Times New Roman"/>
          <w:sz w:val="24"/>
          <w:szCs w:val="24"/>
          <w:shd w:val="clear" w:color="auto" w:fill="FFFFFF"/>
          <w:lang w:val="sr-Cyrl-CS"/>
        </w:rPr>
        <w:t>у књиговодственој документацији.  Мимо тога, у пореској пријави се исказују већи износи набављене робе и претходно плаћеног пореза у односу на изно</w:t>
      </w:r>
      <w:r w:rsidR="00321156" w:rsidRPr="00880814">
        <w:rPr>
          <w:rFonts w:ascii="Times New Roman" w:hAnsi="Times New Roman"/>
          <w:sz w:val="24"/>
          <w:szCs w:val="24"/>
          <w:shd w:val="clear" w:color="auto" w:fill="FFFFFF"/>
          <w:lang w:val="sr-Cyrl-CS"/>
        </w:rPr>
        <w:t>се наведе у фактурама добављача,  па и на тај начин дају лажне податке о својим приходима.</w:t>
      </w:r>
    </w:p>
    <w:p w:rsidR="005A16DE" w:rsidRPr="00CC4EE8" w:rsidRDefault="00E77BFC" w:rsidP="00CC4EE8">
      <w:pPr>
        <w:ind w:firstLine="360"/>
        <w:jc w:val="both"/>
        <w:rPr>
          <w:rFonts w:ascii="Times New Roman" w:hAnsi="Times New Roman"/>
          <w:sz w:val="24"/>
          <w:szCs w:val="24"/>
          <w:shd w:val="clear" w:color="auto" w:fill="FFFFFF"/>
        </w:rPr>
      </w:pPr>
      <w:r>
        <w:rPr>
          <w:rFonts w:ascii="Times New Roman" w:hAnsi="Times New Roman"/>
          <w:sz w:val="24"/>
          <w:szCs w:val="24"/>
          <w:shd w:val="clear" w:color="auto" w:fill="FFFFFF"/>
          <w:lang w:val="sr-Cyrl-CS"/>
        </w:rPr>
        <w:t>Често се у пракси дешава</w:t>
      </w:r>
      <w:r w:rsidR="00DB1DA1" w:rsidRPr="00880814">
        <w:rPr>
          <w:rFonts w:ascii="Times New Roman" w:hAnsi="Times New Roman"/>
          <w:sz w:val="24"/>
          <w:szCs w:val="24"/>
          <w:shd w:val="clear" w:color="auto" w:fill="FFFFFF"/>
          <w:lang w:val="sr-Cyrl-CS"/>
        </w:rPr>
        <w:t xml:space="preserve"> да поједини малопродајни </w:t>
      </w:r>
      <w:r w:rsidR="005C2C14" w:rsidRPr="00880814">
        <w:rPr>
          <w:rFonts w:ascii="Times New Roman" w:hAnsi="Times New Roman"/>
          <w:sz w:val="24"/>
          <w:szCs w:val="24"/>
          <w:shd w:val="clear" w:color="auto" w:fill="FFFFFF"/>
          <w:lang w:val="sr-Cyrl-CS"/>
        </w:rPr>
        <w:t>објекти, нај</w:t>
      </w:r>
      <w:r w:rsidR="00DB1DA1" w:rsidRPr="00880814">
        <w:rPr>
          <w:rFonts w:ascii="Times New Roman" w:hAnsi="Times New Roman"/>
          <w:sz w:val="24"/>
          <w:szCs w:val="24"/>
          <w:shd w:val="clear" w:color="auto" w:fill="FFFFFF"/>
          <w:lang w:val="sr-Cyrl-CS"/>
        </w:rPr>
        <w:t>ч</w:t>
      </w:r>
      <w:r w:rsidR="005C2C14" w:rsidRPr="00880814">
        <w:rPr>
          <w:rFonts w:ascii="Times New Roman" w:hAnsi="Times New Roman"/>
          <w:sz w:val="24"/>
          <w:szCs w:val="24"/>
          <w:shd w:val="clear" w:color="auto" w:fill="FFFFFF"/>
          <w:lang w:val="sr-Cyrl-CS"/>
        </w:rPr>
        <w:t>е</w:t>
      </w:r>
      <w:r w:rsidR="00DB1DA1" w:rsidRPr="00880814">
        <w:rPr>
          <w:rFonts w:ascii="Times New Roman" w:hAnsi="Times New Roman"/>
          <w:sz w:val="24"/>
          <w:szCs w:val="24"/>
          <w:shd w:val="clear" w:color="auto" w:fill="FFFFFF"/>
          <w:lang w:val="sr-Cyrl-CS"/>
        </w:rPr>
        <w:t>шће угоститељски, приликом вођења свог пословног књиговодства</w:t>
      </w:r>
      <w:r w:rsidR="00C1522A" w:rsidRPr="00880814">
        <w:rPr>
          <w:rFonts w:ascii="Times New Roman" w:hAnsi="Times New Roman"/>
          <w:sz w:val="24"/>
          <w:szCs w:val="24"/>
          <w:shd w:val="clear" w:color="auto" w:fill="FFFFFF"/>
          <w:lang w:val="sr-Cyrl-CS"/>
        </w:rPr>
        <w:t>,</w:t>
      </w:r>
      <w:r w:rsidR="00DB1DA1" w:rsidRPr="00880814">
        <w:rPr>
          <w:rFonts w:ascii="Times New Roman" w:hAnsi="Times New Roman"/>
          <w:sz w:val="24"/>
          <w:szCs w:val="24"/>
          <w:shd w:val="clear" w:color="auto" w:fill="FFFFFF"/>
          <w:lang w:val="sr-Cyrl-CS"/>
        </w:rPr>
        <w:t xml:space="preserve"> користе посебно израђене софтверске програме који омогућавају вођење </w:t>
      </w:r>
      <w:r w:rsidR="00C1522A" w:rsidRPr="00880814">
        <w:rPr>
          <w:rFonts w:ascii="Times New Roman" w:hAnsi="Times New Roman"/>
          <w:sz w:val="24"/>
          <w:szCs w:val="24"/>
          <w:shd w:val="clear" w:color="auto" w:fill="FFFFFF"/>
          <w:lang w:val="sr-Cyrl-CS"/>
        </w:rPr>
        <w:t>двојног</w:t>
      </w:r>
      <w:r w:rsidR="00DB1DA1" w:rsidRPr="00880814">
        <w:rPr>
          <w:rFonts w:ascii="Times New Roman" w:hAnsi="Times New Roman"/>
          <w:sz w:val="24"/>
          <w:szCs w:val="24"/>
          <w:shd w:val="clear" w:color="auto" w:fill="FFFFFF"/>
          <w:lang w:val="sr-Cyrl-CS"/>
        </w:rPr>
        <w:t xml:space="preserve"> књиговодства. </w:t>
      </w:r>
      <w:r>
        <w:rPr>
          <w:rFonts w:ascii="Times New Roman" w:hAnsi="Times New Roman"/>
          <w:sz w:val="24"/>
          <w:szCs w:val="24"/>
          <w:shd w:val="clear" w:color="auto" w:fill="FFFFFF"/>
          <w:lang w:val="sr-Cyrl-CS"/>
        </w:rPr>
        <w:t>Овакав п</w:t>
      </w:r>
      <w:r w:rsidR="00C1522A" w:rsidRPr="00880814">
        <w:rPr>
          <w:rFonts w:ascii="Times New Roman" w:hAnsi="Times New Roman"/>
          <w:sz w:val="24"/>
          <w:szCs w:val="24"/>
          <w:shd w:val="clear" w:color="auto" w:fill="FFFFFF"/>
          <w:lang w:val="sr-Cyrl-CS"/>
        </w:rPr>
        <w:t xml:space="preserve">рограм </w:t>
      </w:r>
      <w:r>
        <w:rPr>
          <w:rFonts w:ascii="Times New Roman" w:hAnsi="Times New Roman"/>
          <w:sz w:val="24"/>
          <w:szCs w:val="24"/>
          <w:shd w:val="clear" w:color="auto" w:fill="FFFFFF"/>
          <w:lang w:val="sr-Cyrl-CS"/>
        </w:rPr>
        <w:t>је могуће</w:t>
      </w:r>
      <w:r w:rsidR="00C1522A" w:rsidRPr="00880814">
        <w:rPr>
          <w:rFonts w:ascii="Times New Roman" w:hAnsi="Times New Roman"/>
          <w:sz w:val="24"/>
          <w:szCs w:val="24"/>
          <w:shd w:val="clear" w:color="auto" w:fill="FFFFFF"/>
          <w:lang w:val="sr-Cyrl-CS"/>
        </w:rPr>
        <w:t xml:space="preserve"> инсталирати</w:t>
      </w:r>
      <w:r w:rsidR="00DB1DA1" w:rsidRPr="00880814">
        <w:rPr>
          <w:rFonts w:ascii="Times New Roman" w:hAnsi="Times New Roman"/>
          <w:sz w:val="24"/>
          <w:szCs w:val="24"/>
          <w:shd w:val="clear" w:color="auto" w:fill="FFFFFF"/>
          <w:lang w:val="sr-Cyrl-CS"/>
        </w:rPr>
        <w:t xml:space="preserve"> на једном или више персоналних рачунара</w:t>
      </w:r>
      <w:r>
        <w:rPr>
          <w:rFonts w:ascii="Times New Roman" w:hAnsi="Times New Roman"/>
          <w:sz w:val="24"/>
          <w:szCs w:val="24"/>
          <w:shd w:val="clear" w:color="auto" w:fill="FFFFFF"/>
          <w:lang w:val="sr-Cyrl-CS"/>
        </w:rPr>
        <w:t>. Захваљујући њему</w:t>
      </w:r>
      <w:r w:rsidR="00DB1DA1" w:rsidRPr="00880814">
        <w:rPr>
          <w:rFonts w:ascii="Times New Roman" w:hAnsi="Times New Roman"/>
          <w:sz w:val="24"/>
          <w:szCs w:val="24"/>
          <w:shd w:val="clear" w:color="auto" w:fill="FFFFFF"/>
          <w:lang w:val="sr-Cyrl-CS"/>
        </w:rPr>
        <w:t xml:space="preserve"> </w:t>
      </w:r>
      <w:r w:rsidR="00C1522A" w:rsidRPr="00880814">
        <w:rPr>
          <w:rFonts w:ascii="Times New Roman" w:hAnsi="Times New Roman"/>
          <w:sz w:val="24"/>
          <w:szCs w:val="24"/>
          <w:shd w:val="clear" w:color="auto" w:fill="FFFFFF"/>
          <w:lang w:val="sr-Cyrl-CS"/>
        </w:rPr>
        <w:t xml:space="preserve">истовремено </w:t>
      </w:r>
      <w:r>
        <w:rPr>
          <w:rFonts w:ascii="Times New Roman" w:hAnsi="Times New Roman"/>
          <w:sz w:val="24"/>
          <w:szCs w:val="24"/>
          <w:shd w:val="clear" w:color="auto" w:fill="FFFFFF"/>
          <w:lang w:val="sr-Cyrl-CS"/>
        </w:rPr>
        <w:t>се може водити званична и „црна</w:t>
      </w:r>
      <w:r w:rsidR="00C1522A" w:rsidRPr="00880814">
        <w:rPr>
          <w:rFonts w:ascii="Times New Roman" w:hAnsi="Times New Roman"/>
          <w:sz w:val="24"/>
          <w:szCs w:val="24"/>
          <w:shd w:val="clear" w:color="auto" w:fill="FFFFFF"/>
          <w:lang w:val="sr-Cyrl-CS"/>
        </w:rPr>
        <w:t>“-</w:t>
      </w:r>
      <w:r w:rsidR="00321156" w:rsidRPr="00880814">
        <w:rPr>
          <w:rFonts w:ascii="Times New Roman" w:hAnsi="Times New Roman"/>
          <w:sz w:val="24"/>
          <w:szCs w:val="24"/>
          <w:shd w:val="clear" w:color="auto" w:fill="FFFFFF"/>
          <w:lang w:val="sr-Cyrl-CS"/>
        </w:rPr>
        <w:t xml:space="preserve"> </w:t>
      </w:r>
      <w:r>
        <w:rPr>
          <w:rFonts w:ascii="Times New Roman" w:hAnsi="Times New Roman"/>
          <w:sz w:val="24"/>
          <w:szCs w:val="24"/>
          <w:shd w:val="clear" w:color="auto" w:fill="FFFFFF"/>
          <w:lang w:val="sr-Cyrl-CS"/>
        </w:rPr>
        <w:t>незванична евиденција</w:t>
      </w:r>
      <w:r w:rsidR="00C1522A" w:rsidRPr="00880814">
        <w:rPr>
          <w:rFonts w:ascii="Times New Roman" w:hAnsi="Times New Roman"/>
          <w:sz w:val="24"/>
          <w:szCs w:val="24"/>
          <w:shd w:val="clear" w:color="auto" w:fill="FFFFFF"/>
          <w:lang w:val="sr-Cyrl-CS"/>
        </w:rPr>
        <w:t xml:space="preserve"> </w:t>
      </w:r>
      <w:r w:rsidR="00DB1DA1" w:rsidRPr="00880814">
        <w:rPr>
          <w:rFonts w:ascii="Times New Roman" w:hAnsi="Times New Roman"/>
          <w:sz w:val="24"/>
          <w:szCs w:val="24"/>
          <w:shd w:val="clear" w:color="auto" w:fill="FFFFFF"/>
          <w:lang w:val="sr-Cyrl-CS"/>
        </w:rPr>
        <w:t xml:space="preserve">укупно оствареног промета. </w:t>
      </w:r>
      <w:r>
        <w:rPr>
          <w:rFonts w:ascii="Times New Roman" w:hAnsi="Times New Roman"/>
          <w:sz w:val="24"/>
          <w:szCs w:val="24"/>
          <w:shd w:val="clear" w:color="auto" w:fill="FFFFFF"/>
          <w:lang w:val="sr-Cyrl-CS"/>
        </w:rPr>
        <w:t>Овакви софтверски програми такође омогућавају</w:t>
      </w:r>
      <w:r w:rsidR="00C1522A" w:rsidRPr="00880814">
        <w:rPr>
          <w:rFonts w:ascii="Times New Roman" w:hAnsi="Times New Roman"/>
          <w:sz w:val="24"/>
          <w:szCs w:val="24"/>
          <w:shd w:val="clear" w:color="auto" w:fill="FFFFFF"/>
          <w:lang w:val="sr-Cyrl-CS"/>
        </w:rPr>
        <w:t xml:space="preserve"> </w:t>
      </w:r>
      <w:r>
        <w:rPr>
          <w:rFonts w:ascii="Times New Roman" w:hAnsi="Times New Roman"/>
          <w:sz w:val="24"/>
          <w:szCs w:val="24"/>
          <w:shd w:val="clear" w:color="auto" w:fill="FFFFFF"/>
          <w:lang w:val="sr-Cyrl-CS"/>
        </w:rPr>
        <w:t>активирање</w:t>
      </w:r>
      <w:r w:rsidR="00DB1DA1" w:rsidRPr="00880814">
        <w:rPr>
          <w:rFonts w:ascii="Times New Roman" w:hAnsi="Times New Roman"/>
          <w:sz w:val="24"/>
          <w:szCs w:val="24"/>
          <w:shd w:val="clear" w:color="auto" w:fill="FFFFFF"/>
          <w:lang w:val="sr-Cyrl-CS"/>
        </w:rPr>
        <w:t xml:space="preserve"> одређене команде</w:t>
      </w:r>
      <w:r>
        <w:rPr>
          <w:rFonts w:ascii="Times New Roman" w:hAnsi="Times New Roman"/>
          <w:sz w:val="24"/>
          <w:szCs w:val="24"/>
          <w:shd w:val="clear" w:color="auto" w:fill="FFFFFF"/>
          <w:lang w:val="sr-Cyrl-CS"/>
        </w:rPr>
        <w:t>,</w:t>
      </w:r>
      <w:r w:rsidR="00DB1DA1" w:rsidRPr="00880814">
        <w:rPr>
          <w:rFonts w:ascii="Times New Roman" w:hAnsi="Times New Roman"/>
          <w:sz w:val="24"/>
          <w:szCs w:val="24"/>
          <w:shd w:val="clear" w:color="auto" w:fill="FFFFFF"/>
          <w:lang w:val="sr-Cyrl-CS"/>
        </w:rPr>
        <w:t xml:space="preserve"> </w:t>
      </w:r>
      <w:r>
        <w:rPr>
          <w:rFonts w:ascii="Times New Roman" w:hAnsi="Times New Roman"/>
          <w:sz w:val="24"/>
          <w:szCs w:val="24"/>
          <w:shd w:val="clear" w:color="auto" w:fill="FFFFFF"/>
          <w:lang w:val="sr-Cyrl-CS"/>
        </w:rPr>
        <w:t>приликом издавања</w:t>
      </w:r>
      <w:r w:rsidR="00430F12" w:rsidRPr="00880814">
        <w:rPr>
          <w:rFonts w:ascii="Times New Roman" w:hAnsi="Times New Roman"/>
          <w:sz w:val="24"/>
          <w:szCs w:val="24"/>
          <w:shd w:val="clear" w:color="auto" w:fill="FFFFFF"/>
          <w:lang w:val="sr-Cyrl-CS"/>
        </w:rPr>
        <w:t xml:space="preserve"> уобичајен</w:t>
      </w:r>
      <w:r>
        <w:rPr>
          <w:rFonts w:ascii="Times New Roman" w:hAnsi="Times New Roman"/>
          <w:sz w:val="24"/>
          <w:szCs w:val="24"/>
          <w:shd w:val="clear" w:color="auto" w:fill="FFFFFF"/>
          <w:lang w:val="sr-Cyrl-CS"/>
        </w:rPr>
        <w:t>ог</w:t>
      </w:r>
      <w:r w:rsidR="004122E2">
        <w:rPr>
          <w:rFonts w:ascii="Times New Roman" w:hAnsi="Times New Roman"/>
          <w:sz w:val="24"/>
          <w:szCs w:val="24"/>
          <w:shd w:val="clear" w:color="auto" w:fill="FFFFFF"/>
          <w:lang w:val="sr-Cyrl-CS"/>
        </w:rPr>
        <w:t xml:space="preserve"> фискалног</w:t>
      </w:r>
      <w:r w:rsidR="00430F12" w:rsidRPr="00880814">
        <w:rPr>
          <w:rFonts w:ascii="Times New Roman" w:hAnsi="Times New Roman"/>
          <w:sz w:val="24"/>
          <w:szCs w:val="24"/>
          <w:shd w:val="clear" w:color="auto" w:fill="FFFFFF"/>
          <w:lang w:val="sr-Cyrl-CS"/>
        </w:rPr>
        <w:t xml:space="preserve"> рачун</w:t>
      </w:r>
      <w:r w:rsidR="004122E2">
        <w:rPr>
          <w:rFonts w:ascii="Times New Roman" w:hAnsi="Times New Roman"/>
          <w:sz w:val="24"/>
          <w:szCs w:val="24"/>
          <w:shd w:val="clear" w:color="auto" w:fill="FFFFFF"/>
          <w:lang w:val="sr-Cyrl-CS"/>
        </w:rPr>
        <w:t>а</w:t>
      </w:r>
      <w:r w:rsidR="00430F12" w:rsidRPr="00880814">
        <w:rPr>
          <w:rFonts w:ascii="Times New Roman" w:hAnsi="Times New Roman"/>
          <w:sz w:val="24"/>
          <w:szCs w:val="24"/>
          <w:shd w:val="clear" w:color="auto" w:fill="FFFFFF"/>
          <w:lang w:val="sr-Cyrl-CS"/>
        </w:rPr>
        <w:t xml:space="preserve">, </w:t>
      </w:r>
      <w:r w:rsidR="00C1522A" w:rsidRPr="00880814">
        <w:rPr>
          <w:rFonts w:ascii="Times New Roman" w:hAnsi="Times New Roman"/>
          <w:sz w:val="24"/>
          <w:szCs w:val="24"/>
          <w:shd w:val="clear" w:color="auto" w:fill="FFFFFF"/>
          <w:lang w:val="sr-Cyrl-CS"/>
        </w:rPr>
        <w:t>при чему</w:t>
      </w:r>
      <w:r w:rsidR="00430F12" w:rsidRPr="00880814">
        <w:rPr>
          <w:rFonts w:ascii="Times New Roman" w:hAnsi="Times New Roman"/>
          <w:sz w:val="24"/>
          <w:szCs w:val="24"/>
          <w:shd w:val="clear" w:color="auto" w:fill="FFFFFF"/>
          <w:lang w:val="sr-Cyrl-CS"/>
        </w:rPr>
        <w:t xml:space="preserve"> се та</w:t>
      </w:r>
      <w:r w:rsidR="00C1522A" w:rsidRPr="00880814">
        <w:rPr>
          <w:rFonts w:ascii="Times New Roman" w:hAnsi="Times New Roman"/>
          <w:sz w:val="24"/>
          <w:szCs w:val="24"/>
          <w:shd w:val="clear" w:color="auto" w:fill="FFFFFF"/>
          <w:lang w:val="sr-Cyrl-CS"/>
        </w:rPr>
        <w:t xml:space="preserve">ква поруџбина </w:t>
      </w:r>
      <w:r w:rsidR="00430F12" w:rsidRPr="00880814">
        <w:rPr>
          <w:rFonts w:ascii="Times New Roman" w:hAnsi="Times New Roman"/>
          <w:sz w:val="24"/>
          <w:szCs w:val="24"/>
          <w:shd w:val="clear" w:color="auto" w:fill="FFFFFF"/>
          <w:lang w:val="sr-Cyrl-CS"/>
        </w:rPr>
        <w:t xml:space="preserve"> евидентир</w:t>
      </w:r>
      <w:r w:rsidR="00A36043" w:rsidRPr="00880814">
        <w:rPr>
          <w:rFonts w:ascii="Times New Roman" w:hAnsi="Times New Roman"/>
          <w:sz w:val="24"/>
          <w:szCs w:val="24"/>
          <w:shd w:val="clear" w:color="auto" w:fill="FFFFFF"/>
          <w:lang w:val="sr-Cyrl-CS"/>
        </w:rPr>
        <w:t xml:space="preserve">а </w:t>
      </w:r>
      <w:r w:rsidR="00C1522A" w:rsidRPr="00880814">
        <w:rPr>
          <w:rFonts w:ascii="Times New Roman" w:hAnsi="Times New Roman"/>
          <w:sz w:val="24"/>
          <w:szCs w:val="24"/>
          <w:shd w:val="clear" w:color="auto" w:fill="FFFFFF"/>
          <w:lang w:val="sr-Cyrl-CS"/>
        </w:rPr>
        <w:t>кроз укупно остварен промет,</w:t>
      </w:r>
      <w:r w:rsidR="00321156" w:rsidRPr="00880814">
        <w:rPr>
          <w:rFonts w:ascii="Times New Roman" w:hAnsi="Times New Roman"/>
          <w:sz w:val="24"/>
          <w:szCs w:val="24"/>
          <w:shd w:val="clear" w:color="auto" w:fill="FFFFFF"/>
          <w:lang w:val="sr-Cyrl-CS"/>
        </w:rPr>
        <w:t xml:space="preserve"> или само за одређене поруџбине и тако се може заобићи меморија</w:t>
      </w:r>
      <w:r w:rsidR="00C1522A" w:rsidRPr="00880814">
        <w:rPr>
          <w:rFonts w:ascii="Times New Roman" w:hAnsi="Times New Roman"/>
          <w:sz w:val="24"/>
          <w:szCs w:val="24"/>
          <w:shd w:val="clear" w:color="auto" w:fill="FFFFFF"/>
          <w:lang w:val="sr-Cyrl-CS"/>
        </w:rPr>
        <w:t xml:space="preserve"> фискалне касе, при чему се та поруџбина евидентира у делу „црног“ промета, али не и у званично оствареном промету. </w:t>
      </w:r>
      <w:r>
        <w:rPr>
          <w:rFonts w:ascii="Times New Roman" w:hAnsi="Times New Roman"/>
          <w:sz w:val="24"/>
          <w:szCs w:val="24"/>
          <w:shd w:val="clear" w:color="auto" w:fill="FFFFFF"/>
          <w:lang w:val="sr-Cyrl-CS"/>
        </w:rPr>
        <w:t>Р</w:t>
      </w:r>
      <w:r w:rsidR="00C1522A" w:rsidRPr="00880814">
        <w:rPr>
          <w:rFonts w:ascii="Times New Roman" w:hAnsi="Times New Roman"/>
          <w:sz w:val="24"/>
          <w:szCs w:val="24"/>
          <w:shd w:val="clear" w:color="auto" w:fill="FFFFFF"/>
          <w:lang w:val="sr-Cyrl-CS"/>
        </w:rPr>
        <w:t xml:space="preserve">ачун </w:t>
      </w:r>
      <w:r>
        <w:rPr>
          <w:rFonts w:ascii="Times New Roman" w:hAnsi="Times New Roman"/>
          <w:sz w:val="24"/>
          <w:szCs w:val="24"/>
          <w:shd w:val="clear" w:color="auto" w:fill="FFFFFF"/>
          <w:lang w:val="sr-Cyrl-CS"/>
        </w:rPr>
        <w:t xml:space="preserve">који се у таквој прилици издаје  је </w:t>
      </w:r>
      <w:r w:rsidR="00C1522A" w:rsidRPr="00880814">
        <w:rPr>
          <w:rFonts w:ascii="Times New Roman" w:hAnsi="Times New Roman"/>
          <w:sz w:val="24"/>
          <w:szCs w:val="24"/>
          <w:shd w:val="clear" w:color="auto" w:fill="FFFFFF"/>
          <w:lang w:val="sr-Cyrl-CS"/>
        </w:rPr>
        <w:t xml:space="preserve">сличан фискалном </w:t>
      </w:r>
      <w:r>
        <w:rPr>
          <w:rFonts w:ascii="Times New Roman" w:hAnsi="Times New Roman"/>
          <w:sz w:val="24"/>
          <w:szCs w:val="24"/>
          <w:shd w:val="clear" w:color="auto" w:fill="FFFFFF"/>
          <w:lang w:val="sr-Cyrl-CS"/>
        </w:rPr>
        <w:t>и има ознаку артикла и цене.</w:t>
      </w:r>
      <w:r w:rsidR="00C1522A" w:rsidRPr="00880814">
        <w:rPr>
          <w:rFonts w:ascii="Times New Roman" w:hAnsi="Times New Roman"/>
          <w:sz w:val="24"/>
          <w:szCs w:val="24"/>
          <w:shd w:val="clear" w:color="auto" w:fill="FFFFFF"/>
          <w:lang w:val="sr-Cyrl-CS"/>
        </w:rPr>
        <w:t xml:space="preserve"> </w:t>
      </w:r>
      <w:r>
        <w:rPr>
          <w:rFonts w:ascii="Times New Roman" w:hAnsi="Times New Roman"/>
          <w:sz w:val="24"/>
          <w:szCs w:val="24"/>
          <w:shd w:val="clear" w:color="auto" w:fill="FFFFFF"/>
          <w:lang w:val="sr-Cyrl-CS"/>
        </w:rPr>
        <w:t xml:space="preserve">Основна сврха оваквог софтверског програма је </w:t>
      </w:r>
      <w:r w:rsidR="00C1522A" w:rsidRPr="00880814">
        <w:rPr>
          <w:rFonts w:ascii="Times New Roman" w:hAnsi="Times New Roman"/>
          <w:sz w:val="24"/>
          <w:szCs w:val="24"/>
          <w:shd w:val="clear" w:color="auto" w:fill="FFFFFF"/>
          <w:lang w:val="sr-Cyrl-CS"/>
        </w:rPr>
        <w:t>да се овај д</w:t>
      </w:r>
      <w:r w:rsidR="00321156" w:rsidRPr="00880814">
        <w:rPr>
          <w:rFonts w:ascii="Times New Roman" w:hAnsi="Times New Roman"/>
          <w:sz w:val="24"/>
          <w:szCs w:val="24"/>
          <w:shd w:val="clear" w:color="auto" w:fill="FFFFFF"/>
          <w:lang w:val="sr-Cyrl-CS"/>
        </w:rPr>
        <w:t>ео промета не евидентира у послов</w:t>
      </w:r>
      <w:r w:rsidR="00C1522A" w:rsidRPr="00880814">
        <w:rPr>
          <w:rFonts w:ascii="Times New Roman" w:hAnsi="Times New Roman"/>
          <w:sz w:val="24"/>
          <w:szCs w:val="24"/>
          <w:shd w:val="clear" w:color="auto" w:fill="FFFFFF"/>
          <w:lang w:val="sr-Cyrl-CS"/>
        </w:rPr>
        <w:t xml:space="preserve">ним књигама, па </w:t>
      </w:r>
      <w:r>
        <w:rPr>
          <w:rFonts w:ascii="Times New Roman" w:hAnsi="Times New Roman"/>
          <w:sz w:val="24"/>
          <w:szCs w:val="24"/>
          <w:shd w:val="clear" w:color="auto" w:fill="FFFFFF"/>
          <w:lang w:val="sr-Cyrl-CS"/>
        </w:rPr>
        <w:t xml:space="preserve">се самим тим </w:t>
      </w:r>
      <w:r w:rsidR="00C1522A" w:rsidRPr="00880814">
        <w:rPr>
          <w:rFonts w:ascii="Times New Roman" w:hAnsi="Times New Roman"/>
          <w:sz w:val="24"/>
          <w:szCs w:val="24"/>
          <w:shd w:val="clear" w:color="auto" w:fill="FFFFFF"/>
          <w:lang w:val="sr-Cyrl-CS"/>
        </w:rPr>
        <w:t>на ње</w:t>
      </w:r>
      <w:r>
        <w:rPr>
          <w:rFonts w:ascii="Times New Roman" w:hAnsi="Times New Roman"/>
          <w:sz w:val="24"/>
          <w:szCs w:val="24"/>
          <w:shd w:val="clear" w:color="auto" w:fill="FFFFFF"/>
          <w:lang w:val="sr-Cyrl-CS"/>
        </w:rPr>
        <w:t>га</w:t>
      </w:r>
      <w:r w:rsidR="00AE03A0" w:rsidRPr="00880814">
        <w:rPr>
          <w:rFonts w:ascii="Times New Roman" w:hAnsi="Times New Roman"/>
          <w:sz w:val="24"/>
          <w:szCs w:val="24"/>
          <w:shd w:val="clear" w:color="auto" w:fill="FFFFFF"/>
          <w:lang w:val="sr-Cyrl-CS"/>
        </w:rPr>
        <w:t xml:space="preserve"> не плаћају пореске обавезе</w:t>
      </w:r>
      <w:r w:rsidR="00A36043" w:rsidRPr="00880814">
        <w:rPr>
          <w:rFonts w:ascii="Times New Roman" w:hAnsi="Times New Roman"/>
          <w:sz w:val="24"/>
          <w:szCs w:val="24"/>
          <w:shd w:val="clear" w:color="auto" w:fill="FFFFFF"/>
          <w:lang w:val="sr-Cyrl-CS"/>
        </w:rPr>
        <w:t>.</w:t>
      </w:r>
      <w:r w:rsidR="00AE03A0" w:rsidRPr="00880814">
        <w:rPr>
          <w:rFonts w:ascii="Times New Roman" w:hAnsi="Times New Roman"/>
          <w:sz w:val="24"/>
          <w:szCs w:val="24"/>
          <w:shd w:val="clear" w:color="auto" w:fill="FFFFFF"/>
          <w:lang w:val="sr-Cyrl-CS"/>
        </w:rPr>
        <w:t xml:space="preserve"> </w:t>
      </w:r>
      <w:r>
        <w:rPr>
          <w:rFonts w:ascii="Times New Roman" w:hAnsi="Times New Roman"/>
          <w:sz w:val="24"/>
          <w:szCs w:val="24"/>
          <w:shd w:val="clear" w:color="auto" w:fill="FFFFFF"/>
          <w:lang w:val="sr-Cyrl-CS"/>
        </w:rPr>
        <w:t>Са друге стране</w:t>
      </w:r>
      <w:r w:rsidR="00AE03A0" w:rsidRPr="00880814">
        <w:rPr>
          <w:rFonts w:ascii="Times New Roman" w:hAnsi="Times New Roman"/>
          <w:sz w:val="24"/>
          <w:szCs w:val="24"/>
          <w:shd w:val="clear" w:color="auto" w:fill="FFFFFF"/>
          <w:lang w:val="sr-Cyrl-CS"/>
        </w:rPr>
        <w:t xml:space="preserve">, овакав </w:t>
      </w:r>
      <w:r>
        <w:rPr>
          <w:rFonts w:ascii="Times New Roman" w:hAnsi="Times New Roman"/>
          <w:sz w:val="24"/>
          <w:szCs w:val="24"/>
          <w:shd w:val="clear" w:color="auto" w:fill="FFFFFF"/>
          <w:lang w:val="sr-Cyrl-CS"/>
        </w:rPr>
        <w:t>програм</w:t>
      </w:r>
      <w:r w:rsidR="00AE03A0" w:rsidRPr="00880814">
        <w:rPr>
          <w:rFonts w:ascii="Times New Roman" w:hAnsi="Times New Roman"/>
          <w:sz w:val="24"/>
          <w:szCs w:val="24"/>
          <w:shd w:val="clear" w:color="auto" w:fill="FFFFFF"/>
          <w:lang w:val="sr-Cyrl-CS"/>
        </w:rPr>
        <w:t xml:space="preserve"> омогућава, у условима вођења двојног књиговодства, потпун увид у пословање и укупно остварен промет, без обзира на то који се његов део званично евидентира. </w:t>
      </w:r>
      <w:r>
        <w:rPr>
          <w:rFonts w:ascii="Times New Roman" w:hAnsi="Times New Roman"/>
          <w:sz w:val="24"/>
          <w:szCs w:val="24"/>
          <w:shd w:val="clear" w:color="auto" w:fill="FFFFFF"/>
          <w:lang w:val="sr-Cyrl-CS"/>
        </w:rPr>
        <w:t xml:space="preserve">То је веома погодна опција за власнике објекта јер се на описан начин спречавају </w:t>
      </w:r>
      <w:r w:rsidR="00AE03A0" w:rsidRPr="00880814">
        <w:rPr>
          <w:rFonts w:ascii="Times New Roman" w:hAnsi="Times New Roman"/>
          <w:sz w:val="24"/>
          <w:szCs w:val="24"/>
          <w:shd w:val="clear" w:color="auto" w:fill="FFFFFF"/>
          <w:lang w:val="sr-Cyrl-CS"/>
        </w:rPr>
        <w:t>различити облици поткрадања од стране запослених радика.</w:t>
      </w:r>
      <w:r w:rsidR="00A36043" w:rsidRPr="00880814">
        <w:rPr>
          <w:rStyle w:val="FootnoteReference"/>
          <w:rFonts w:ascii="Times New Roman" w:hAnsi="Times New Roman"/>
          <w:sz w:val="24"/>
          <w:szCs w:val="24"/>
          <w:shd w:val="clear" w:color="auto" w:fill="FFFFFF"/>
          <w:lang w:val="sr-Cyrl-CS"/>
        </w:rPr>
        <w:footnoteReference w:id="420"/>
      </w:r>
    </w:p>
    <w:p w:rsidR="005A16DE" w:rsidRPr="00CC4EE8" w:rsidRDefault="005A16DE" w:rsidP="00CC4EE8">
      <w:pPr>
        <w:ind w:firstLine="360"/>
        <w:jc w:val="both"/>
        <w:rPr>
          <w:rFonts w:ascii="Times New Roman" w:hAnsi="Times New Roman"/>
          <w:sz w:val="24"/>
          <w:szCs w:val="24"/>
          <w:shd w:val="clear" w:color="auto" w:fill="FFFFFF"/>
        </w:rPr>
      </w:pPr>
      <w:r w:rsidRPr="00880814">
        <w:rPr>
          <w:rFonts w:ascii="Times New Roman" w:hAnsi="Times New Roman"/>
          <w:sz w:val="24"/>
          <w:szCs w:val="24"/>
          <w:shd w:val="clear" w:color="auto" w:fill="FFFFFF"/>
          <w:lang w:val="sr-Cyrl-CS"/>
        </w:rPr>
        <w:lastRenderedPageBreak/>
        <w:t>Према једној анкети спроведеној у Великој Британији</w:t>
      </w:r>
      <w:r>
        <w:rPr>
          <w:rFonts w:ascii="Times New Roman" w:hAnsi="Times New Roman"/>
          <w:sz w:val="24"/>
          <w:szCs w:val="24"/>
          <w:shd w:val="clear" w:color="auto" w:fill="FFFFFF"/>
          <w:lang w:val="sr-Cyrl-CS"/>
        </w:rPr>
        <w:t xml:space="preserve"> 70% испитаника није сматрало н</w:t>
      </w:r>
      <w:r>
        <w:rPr>
          <w:rFonts w:ascii="Times New Roman" w:hAnsi="Times New Roman"/>
          <w:sz w:val="24"/>
          <w:szCs w:val="24"/>
          <w:shd w:val="clear" w:color="auto" w:fill="FFFFFF"/>
        </w:rPr>
        <w:t>e</w:t>
      </w:r>
      <w:r w:rsidRPr="00880814">
        <w:rPr>
          <w:rFonts w:ascii="Times New Roman" w:hAnsi="Times New Roman"/>
          <w:sz w:val="24"/>
          <w:szCs w:val="24"/>
          <w:shd w:val="clear" w:color="auto" w:fill="FFFFFF"/>
          <w:lang w:val="sr-Cyrl-CS"/>
        </w:rPr>
        <w:t>моралним да плате у готовом новцу трговцу који је пристао да им за износ пореза умањи продајну цену, док 65% испитаника сматра да је прихватљив облик понашања наплата услуга у готовини у циљу избегавања плаћања пореза.</w:t>
      </w:r>
      <w:r w:rsidRPr="00880814">
        <w:rPr>
          <w:rStyle w:val="FootnoteReference"/>
          <w:rFonts w:ascii="Times New Roman" w:hAnsi="Times New Roman"/>
          <w:sz w:val="24"/>
          <w:szCs w:val="24"/>
          <w:shd w:val="clear" w:color="auto" w:fill="FFFFFF"/>
          <w:lang w:val="sr-Cyrl-CS"/>
        </w:rPr>
        <w:footnoteReference w:id="421"/>
      </w:r>
    </w:p>
    <w:p w:rsidR="00B16593" w:rsidRPr="00880814" w:rsidRDefault="00321156" w:rsidP="00880814">
      <w:pPr>
        <w:ind w:firstLine="360"/>
        <w:jc w:val="both"/>
        <w:rPr>
          <w:rFonts w:ascii="Times New Roman" w:hAnsi="Times New Roman"/>
          <w:sz w:val="24"/>
          <w:szCs w:val="24"/>
          <w:shd w:val="clear" w:color="auto" w:fill="FFFFFF"/>
          <w:lang w:val="sr-Cyrl-CS"/>
        </w:rPr>
      </w:pPr>
      <w:r w:rsidRPr="00880814">
        <w:rPr>
          <w:rFonts w:ascii="Times New Roman" w:hAnsi="Times New Roman"/>
          <w:sz w:val="24"/>
          <w:szCs w:val="24"/>
          <w:shd w:val="clear" w:color="auto" w:fill="FFFFFF"/>
          <w:lang w:val="sr-Cyrl-CS"/>
        </w:rPr>
        <w:t>Самосталне</w:t>
      </w:r>
      <w:r w:rsidR="00B16593" w:rsidRPr="00880814">
        <w:rPr>
          <w:rFonts w:ascii="Times New Roman" w:hAnsi="Times New Roman"/>
          <w:sz w:val="24"/>
          <w:szCs w:val="24"/>
          <w:shd w:val="clear" w:color="auto" w:fill="FFFFFF"/>
          <w:lang w:val="sr-Cyrl-CS"/>
        </w:rPr>
        <w:t xml:space="preserve"> трговинске радње често робу набављају на кванташким пијацама или од пољопривредника, за готов новац. Како би прикрили порекло робе користе лажне фактуре.</w:t>
      </w:r>
      <w:r w:rsidR="00AD0788" w:rsidRPr="00880814">
        <w:rPr>
          <w:rFonts w:ascii="Times New Roman" w:hAnsi="Times New Roman"/>
          <w:sz w:val="24"/>
          <w:szCs w:val="24"/>
          <w:shd w:val="clear" w:color="auto" w:fill="FFFFFF"/>
          <w:lang w:val="sr-Cyrl-CS"/>
        </w:rPr>
        <w:t xml:space="preserve"> Дешава се да </w:t>
      </w:r>
      <w:r w:rsidRPr="00880814">
        <w:rPr>
          <w:rFonts w:ascii="Times New Roman" w:hAnsi="Times New Roman"/>
          <w:sz w:val="24"/>
          <w:szCs w:val="24"/>
          <w:shd w:val="clear" w:color="auto" w:fill="FFFFFF"/>
          <w:lang w:val="sr-Cyrl-CS"/>
        </w:rPr>
        <w:t>се лажно приказују</w:t>
      </w:r>
      <w:r w:rsidR="00AD0788" w:rsidRPr="00880814">
        <w:rPr>
          <w:rFonts w:ascii="Times New Roman" w:hAnsi="Times New Roman"/>
          <w:sz w:val="24"/>
          <w:szCs w:val="24"/>
          <w:shd w:val="clear" w:color="auto" w:fill="FFFFFF"/>
          <w:lang w:val="sr-Cyrl-CS"/>
        </w:rPr>
        <w:t xml:space="preserve"> откуп производа од пољопривредника уз сачињавање лажних откупних листова, те</w:t>
      </w:r>
      <w:r w:rsidRPr="00880814">
        <w:rPr>
          <w:rFonts w:ascii="Times New Roman" w:hAnsi="Times New Roman"/>
          <w:sz w:val="24"/>
          <w:szCs w:val="24"/>
          <w:shd w:val="clear" w:color="auto" w:fill="FFFFFF"/>
          <w:lang w:val="sr-Cyrl-CS"/>
        </w:rPr>
        <w:t xml:space="preserve"> се тако неосновано обрачунава П</w:t>
      </w:r>
      <w:r w:rsidR="00AD0788" w:rsidRPr="00880814">
        <w:rPr>
          <w:rFonts w:ascii="Times New Roman" w:hAnsi="Times New Roman"/>
          <w:sz w:val="24"/>
          <w:szCs w:val="24"/>
          <w:shd w:val="clear" w:color="auto" w:fill="FFFFFF"/>
          <w:lang w:val="sr-Cyrl-CS"/>
        </w:rPr>
        <w:t xml:space="preserve">ДВ накнада у износу од 5%. </w:t>
      </w:r>
    </w:p>
    <w:p w:rsidR="00321156" w:rsidRPr="00880814" w:rsidRDefault="00321156" w:rsidP="00880814">
      <w:pPr>
        <w:shd w:val="clear" w:color="auto" w:fill="FFFFFF"/>
        <w:spacing w:after="0" w:line="285" w:lineRule="atLeast"/>
        <w:ind w:firstLine="360"/>
        <w:jc w:val="both"/>
        <w:rPr>
          <w:rFonts w:ascii="Times New Roman" w:hAnsi="Times New Roman"/>
          <w:color w:val="000000"/>
          <w:sz w:val="24"/>
          <w:szCs w:val="24"/>
          <w:lang w:val="sr-Cyrl-CS"/>
        </w:rPr>
      </w:pPr>
      <w:r w:rsidRPr="00880814">
        <w:rPr>
          <w:rFonts w:ascii="Times New Roman" w:hAnsi="Times New Roman"/>
          <w:color w:val="000000"/>
          <w:sz w:val="24"/>
          <w:szCs w:val="24"/>
          <w:lang w:val="sr-Cyrl-CS"/>
        </w:rPr>
        <w:t>Пословање са пољопривредницима може се користити за увећање пословних расхода. Наиме, према одредби чл. 34. Закона о порезу на додату вредност, ф</w:t>
      </w:r>
      <w:r w:rsidR="00880814" w:rsidRPr="00880814">
        <w:rPr>
          <w:rFonts w:ascii="Times New Roman" w:hAnsi="Times New Roman"/>
          <w:color w:val="000000"/>
          <w:sz w:val="24"/>
          <w:szCs w:val="24"/>
        </w:rPr>
        <w:t>изичка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лица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која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су</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обвезници</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пореза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на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доходак</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грађана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на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приходе</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од</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пољопривреде</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и</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шумарства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на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основу</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катастарског</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прихода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и</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физичка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лица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која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су</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као</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носиоци</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односно</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чланови</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пољопривредног</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газдинства</w:t>
      </w:r>
      <w:r w:rsidRPr="00880814">
        <w:rPr>
          <w:rFonts w:ascii="Times New Roman" w:hAnsi="Times New Roman"/>
          <w:color w:val="000000"/>
          <w:sz w:val="24"/>
          <w:szCs w:val="24"/>
          <w:lang w:val="sr-Cyrl-CS"/>
        </w:rPr>
        <w:t>,</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уписана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у</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регистру</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пољопривредних</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газдинстава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у</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складу</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са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прописом</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којим</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се</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уређује</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регистрација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пољопривредних</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газдинстава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имају</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право</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на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надокнаду</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по</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основу</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ПДВ</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под</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условима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и</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на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начин</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одређен</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овим</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законом</w:t>
      </w:r>
      <w:r w:rsidRPr="00880814">
        <w:rPr>
          <w:rFonts w:ascii="Times New Roman" w:hAnsi="Times New Roman"/>
          <w:color w:val="000000"/>
          <w:sz w:val="24"/>
          <w:szCs w:val="24"/>
        </w:rPr>
        <w:t>.</w:t>
      </w:r>
      <w:r w:rsidRPr="00880814">
        <w:rPr>
          <w:rFonts w:ascii="Times New Roman" w:hAnsi="Times New Roman"/>
          <w:color w:val="000000"/>
          <w:sz w:val="24"/>
          <w:szCs w:val="24"/>
          <w:lang w:val="sr-Cyrl-CS"/>
        </w:rPr>
        <w:t xml:space="preserve"> Ова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надокнада</w:t>
      </w:r>
      <w:r w:rsidRPr="00880814">
        <w:rPr>
          <w:rFonts w:ascii="Times New Roman" w:hAnsi="Times New Roman"/>
          <w:color w:val="000000"/>
          <w:sz w:val="24"/>
          <w:szCs w:val="24"/>
          <w:lang w:val="sr-Cyrl-CS"/>
        </w:rPr>
        <w:t xml:space="preserve"> се</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признаје</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пољопривредницима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који</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изврше</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промет</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пољопривредних</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и</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шумских</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производа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односно</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пољопривредних</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услуга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обвезницима</w:t>
      </w:r>
      <w:r w:rsidRPr="00880814">
        <w:rPr>
          <w:rFonts w:ascii="Times New Roman" w:hAnsi="Times New Roman"/>
          <w:color w:val="000000"/>
          <w:sz w:val="24"/>
          <w:szCs w:val="24"/>
        </w:rPr>
        <w:t>.</w:t>
      </w:r>
      <w:r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rPr>
        <w:t>Ако</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пољопривредници</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изврше</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промет</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добара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и</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услуга</w:t>
      </w:r>
      <w:r w:rsidRPr="00880814">
        <w:rPr>
          <w:rFonts w:ascii="Times New Roman" w:hAnsi="Times New Roman"/>
          <w:color w:val="000000"/>
          <w:sz w:val="24"/>
          <w:szCs w:val="24"/>
          <w:lang w:val="sr-Cyrl-CS"/>
        </w:rPr>
        <w:t xml:space="preserve"> обвезнику </w:t>
      </w:r>
      <w:r w:rsidR="00880814" w:rsidRPr="00880814">
        <w:rPr>
          <w:rFonts w:ascii="Times New Roman" w:hAnsi="Times New Roman"/>
          <w:color w:val="000000"/>
          <w:sz w:val="24"/>
          <w:szCs w:val="24"/>
        </w:rPr>
        <w:t>обвезник</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је</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дужан</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да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обрачуна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ПДВ</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надокнаду</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у</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износу</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од</w:t>
      </w:r>
      <w:r w:rsidRPr="00880814">
        <w:rPr>
          <w:rFonts w:ascii="Times New Roman" w:hAnsi="Times New Roman"/>
          <w:color w:val="000000"/>
          <w:sz w:val="24"/>
          <w:szCs w:val="24"/>
        </w:rPr>
        <w:t xml:space="preserve"> 8% </w:t>
      </w:r>
      <w:r w:rsidR="00880814" w:rsidRPr="00880814">
        <w:rPr>
          <w:rFonts w:ascii="Times New Roman" w:hAnsi="Times New Roman"/>
          <w:color w:val="000000"/>
          <w:sz w:val="24"/>
          <w:szCs w:val="24"/>
        </w:rPr>
        <w:t>на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вредност</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примљених</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добара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и</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услуга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о</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чему</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издаје</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документ</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за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обрачун</w:t>
      </w:r>
      <w:r w:rsidRPr="00880814">
        <w:rPr>
          <w:rFonts w:ascii="Times New Roman" w:hAnsi="Times New Roman"/>
          <w:color w:val="000000"/>
          <w:sz w:val="24"/>
          <w:szCs w:val="24"/>
        </w:rPr>
        <w:t xml:space="preserve"> ( </w:t>
      </w:r>
      <w:r w:rsidR="00880814" w:rsidRPr="00880814">
        <w:rPr>
          <w:rFonts w:ascii="Times New Roman" w:hAnsi="Times New Roman"/>
          <w:color w:val="000000"/>
          <w:sz w:val="24"/>
          <w:szCs w:val="24"/>
        </w:rPr>
        <w:t>признаниц</w:t>
      </w:r>
      <w:r w:rsidRPr="00880814">
        <w:rPr>
          <w:rFonts w:ascii="Times New Roman" w:hAnsi="Times New Roman"/>
          <w:color w:val="000000"/>
          <w:sz w:val="24"/>
          <w:szCs w:val="24"/>
          <w:lang w:val="sr-Cyrl-CS"/>
        </w:rPr>
        <w:t>у</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као</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и</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да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обрачунату</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ПДВ</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надокнаду</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исплати</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пољопривредницима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у</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новцу</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уплатом</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на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текући</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рачун</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или</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рачун</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штедње</w:t>
      </w:r>
      <w:r w:rsidRPr="00880814">
        <w:rPr>
          <w:rFonts w:ascii="Times New Roman" w:hAnsi="Times New Roman"/>
          <w:color w:val="000000"/>
          <w:sz w:val="24"/>
          <w:szCs w:val="24"/>
        </w:rPr>
        <w:t>).</w:t>
      </w:r>
      <w:r w:rsidRPr="00880814">
        <w:rPr>
          <w:rFonts w:ascii="Times New Roman" w:hAnsi="Times New Roman"/>
          <w:color w:val="000000"/>
          <w:sz w:val="24"/>
          <w:szCs w:val="24"/>
          <w:lang w:val="sr-Cyrl-CS"/>
        </w:rPr>
        <w:t xml:space="preserve"> Након тога, о</w:t>
      </w:r>
      <w:r w:rsidR="00880814" w:rsidRPr="00880814">
        <w:rPr>
          <w:rFonts w:ascii="Times New Roman" w:hAnsi="Times New Roman"/>
          <w:color w:val="000000"/>
          <w:sz w:val="24"/>
          <w:szCs w:val="24"/>
        </w:rPr>
        <w:t>бвезници</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имају</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право</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да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одбију</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износ</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ПДВ</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надокнаде</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као</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претходни</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порез</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под</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условом</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да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су</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ПДВ</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надокнаду</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и</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вредност</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примљених</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добара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и</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услуга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платили</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пољопривреднику</w:t>
      </w:r>
      <w:r w:rsidRPr="00880814">
        <w:rPr>
          <w:rFonts w:ascii="Times New Roman" w:hAnsi="Times New Roman"/>
          <w:color w:val="000000"/>
          <w:sz w:val="24"/>
          <w:szCs w:val="24"/>
        </w:rPr>
        <w:t>.</w:t>
      </w:r>
      <w:r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rPr>
        <w:t>Пољопривредник</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чији</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укупан</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промет</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добара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и</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услуга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у</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претходних</w:t>
      </w:r>
      <w:r w:rsidRPr="00880814">
        <w:rPr>
          <w:rFonts w:ascii="Times New Roman" w:hAnsi="Times New Roman"/>
          <w:color w:val="000000"/>
          <w:sz w:val="24"/>
          <w:szCs w:val="24"/>
        </w:rPr>
        <w:t xml:space="preserve"> 12 </w:t>
      </w:r>
      <w:r w:rsidR="00880814" w:rsidRPr="00880814">
        <w:rPr>
          <w:rFonts w:ascii="Times New Roman" w:hAnsi="Times New Roman"/>
          <w:color w:val="000000"/>
          <w:sz w:val="24"/>
          <w:szCs w:val="24"/>
        </w:rPr>
        <w:t>месеци</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није</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већи</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од</w:t>
      </w:r>
      <w:r w:rsidRPr="00880814">
        <w:rPr>
          <w:rFonts w:ascii="Times New Roman" w:hAnsi="Times New Roman"/>
          <w:color w:val="000000"/>
          <w:sz w:val="24"/>
          <w:szCs w:val="24"/>
        </w:rPr>
        <w:t xml:space="preserve"> 8.000.000 </w:t>
      </w:r>
      <w:r w:rsidR="00880814" w:rsidRPr="00880814">
        <w:rPr>
          <w:rFonts w:ascii="Times New Roman" w:hAnsi="Times New Roman"/>
          <w:color w:val="000000"/>
          <w:sz w:val="24"/>
          <w:szCs w:val="24"/>
        </w:rPr>
        <w:t>динара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не</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обрачунава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ПДВ</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за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извршен</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промет</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добара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и</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услуга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нема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право</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исказивања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ПДВ</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у</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рачунима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нема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право</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на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одбитак</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претходног</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пореза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и</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није</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дужан</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да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води</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евиденцију</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прописану</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овим</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законом</w:t>
      </w:r>
      <w:r w:rsidRPr="00880814">
        <w:rPr>
          <w:rFonts w:ascii="Times New Roman" w:hAnsi="Times New Roman"/>
          <w:color w:val="000000"/>
          <w:sz w:val="24"/>
          <w:szCs w:val="24"/>
        </w:rPr>
        <w:t>.</w:t>
      </w:r>
    </w:p>
    <w:p w:rsidR="00321156" w:rsidRPr="00880814" w:rsidRDefault="00321156" w:rsidP="00880814">
      <w:pPr>
        <w:shd w:val="clear" w:color="auto" w:fill="FFFFFF"/>
        <w:spacing w:after="0" w:line="285" w:lineRule="atLeast"/>
        <w:ind w:firstLine="360"/>
        <w:jc w:val="both"/>
        <w:rPr>
          <w:rFonts w:ascii="Times New Roman" w:hAnsi="Times New Roman"/>
          <w:color w:val="000000"/>
          <w:sz w:val="24"/>
          <w:szCs w:val="24"/>
          <w:lang w:val="sr-Cyrl-CS"/>
        </w:rPr>
      </w:pPr>
    </w:p>
    <w:p w:rsidR="00321156" w:rsidRDefault="00321156" w:rsidP="00880814">
      <w:pPr>
        <w:shd w:val="clear" w:color="auto" w:fill="FFFFFF"/>
        <w:spacing w:after="0" w:line="285" w:lineRule="atLeast"/>
        <w:ind w:firstLine="360"/>
        <w:jc w:val="both"/>
        <w:rPr>
          <w:rFonts w:ascii="Times New Roman" w:hAnsi="Times New Roman"/>
          <w:color w:val="000000"/>
          <w:sz w:val="24"/>
          <w:szCs w:val="24"/>
          <w:lang w:val="sr-Cyrl-CS"/>
        </w:rPr>
      </w:pPr>
      <w:r w:rsidRPr="00880814">
        <w:rPr>
          <w:rFonts w:ascii="Times New Roman" w:hAnsi="Times New Roman"/>
          <w:color w:val="000000"/>
          <w:sz w:val="24"/>
          <w:szCs w:val="24"/>
          <w:lang w:val="sr-Cyrl-CS"/>
        </w:rPr>
        <w:t xml:space="preserve">Обвезник може да изда признаницу и да обрачунату ПДВ надокнаду исплати пољопривреднику у новцу (уплатом на текући рачун или рачун штедње), односно да одбије претходни порез иако није било стварно пружене испоруке добара нити вршења услуга, а коју злоупотребу је тешко открити имајући у виду да пољопривредник, </w:t>
      </w:r>
      <w:r w:rsidR="00880814" w:rsidRPr="00880814">
        <w:rPr>
          <w:rFonts w:ascii="Times New Roman" w:hAnsi="Times New Roman"/>
          <w:color w:val="000000"/>
          <w:sz w:val="24"/>
          <w:szCs w:val="24"/>
        </w:rPr>
        <w:t>чији</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укупан</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промет</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добара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и</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услуга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у</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претходних</w:t>
      </w:r>
      <w:r w:rsidRPr="00880814">
        <w:rPr>
          <w:rFonts w:ascii="Times New Roman" w:hAnsi="Times New Roman"/>
          <w:color w:val="000000"/>
          <w:sz w:val="24"/>
          <w:szCs w:val="24"/>
        </w:rPr>
        <w:t xml:space="preserve"> 12 </w:t>
      </w:r>
      <w:r w:rsidR="00880814" w:rsidRPr="00880814">
        <w:rPr>
          <w:rFonts w:ascii="Times New Roman" w:hAnsi="Times New Roman"/>
          <w:color w:val="000000"/>
          <w:sz w:val="24"/>
          <w:szCs w:val="24"/>
        </w:rPr>
        <w:t>месеци</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није</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већи</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од</w:t>
      </w:r>
      <w:r w:rsidRPr="00880814">
        <w:rPr>
          <w:rFonts w:ascii="Times New Roman" w:hAnsi="Times New Roman"/>
          <w:color w:val="000000"/>
          <w:sz w:val="24"/>
          <w:szCs w:val="24"/>
        </w:rPr>
        <w:t xml:space="preserve"> 8.000.000 </w:t>
      </w:r>
      <w:r w:rsidR="00880814" w:rsidRPr="00880814">
        <w:rPr>
          <w:rFonts w:ascii="Times New Roman" w:hAnsi="Times New Roman"/>
          <w:color w:val="000000"/>
          <w:sz w:val="24"/>
          <w:szCs w:val="24"/>
        </w:rPr>
        <w:t>динара</w:t>
      </w:r>
      <w:r w:rsidRPr="00880814">
        <w:rPr>
          <w:rFonts w:ascii="Times New Roman" w:hAnsi="Times New Roman"/>
          <w:color w:val="000000"/>
          <w:sz w:val="24"/>
          <w:szCs w:val="24"/>
          <w:lang w:val="sr-Cyrl-CS"/>
        </w:rPr>
        <w:t>,</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не</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обрачунава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ПДВ</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за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извршен</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промет</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добара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и</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услуга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нема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право</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исказивања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ПДВ</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у</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рачунима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нема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право</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на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одбитак</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претходног</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пореза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и</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није</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дужан</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да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води</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евиденцију</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прописану</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овим</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законом</w:t>
      </w:r>
      <w:r w:rsidRPr="00880814">
        <w:rPr>
          <w:rFonts w:ascii="Times New Roman" w:hAnsi="Times New Roman"/>
          <w:color w:val="000000"/>
          <w:sz w:val="24"/>
          <w:szCs w:val="24"/>
          <w:lang w:val="sr-Cyrl-CS"/>
        </w:rPr>
        <w:t>, уколико се није определио за обавезу плаћања ПДВ подношењем евиденцион</w:t>
      </w:r>
      <w:r w:rsidR="00F34746">
        <w:rPr>
          <w:rFonts w:ascii="Times New Roman" w:hAnsi="Times New Roman"/>
          <w:color w:val="000000"/>
          <w:sz w:val="24"/>
          <w:szCs w:val="24"/>
          <w:lang w:val="sr-Cyrl-CS"/>
        </w:rPr>
        <w:t>е пријаве, односно није у обавез</w:t>
      </w:r>
      <w:r w:rsidRPr="00880814">
        <w:rPr>
          <w:rFonts w:ascii="Times New Roman" w:hAnsi="Times New Roman"/>
          <w:color w:val="000000"/>
          <w:sz w:val="24"/>
          <w:szCs w:val="24"/>
          <w:lang w:val="sr-Cyrl-CS"/>
        </w:rPr>
        <w:t>и да води евиденцију о оствареном промету</w:t>
      </w:r>
      <w:r w:rsidRPr="00880814">
        <w:rPr>
          <w:rFonts w:ascii="Times New Roman" w:hAnsi="Times New Roman"/>
          <w:color w:val="000000"/>
          <w:sz w:val="24"/>
          <w:szCs w:val="24"/>
        </w:rPr>
        <w:t xml:space="preserve"> </w:t>
      </w:r>
      <w:r w:rsidRPr="00880814">
        <w:rPr>
          <w:rFonts w:ascii="Times New Roman" w:hAnsi="Times New Roman"/>
          <w:color w:val="000000"/>
          <w:sz w:val="24"/>
          <w:szCs w:val="24"/>
          <w:lang w:val="sr-Cyrl-CS"/>
        </w:rPr>
        <w:t xml:space="preserve">јер је </w:t>
      </w:r>
      <w:r w:rsidR="00880814" w:rsidRPr="00880814">
        <w:rPr>
          <w:rFonts w:ascii="Times New Roman" w:hAnsi="Times New Roman"/>
          <w:color w:val="000000"/>
          <w:sz w:val="24"/>
          <w:szCs w:val="24"/>
        </w:rPr>
        <w:t>обвезни</w:t>
      </w:r>
      <w:r w:rsidRPr="00880814">
        <w:rPr>
          <w:rFonts w:ascii="Times New Roman" w:hAnsi="Times New Roman"/>
          <w:color w:val="000000"/>
          <w:sz w:val="24"/>
          <w:szCs w:val="24"/>
          <w:lang w:val="sr-Cyrl-CS"/>
        </w:rPr>
        <w:t>к</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пореза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на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доходак</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грађана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на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приходе</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од</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пољопривреде</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и</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шумарства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на</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основу</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катастарског</w:t>
      </w:r>
      <w:r w:rsidRPr="00880814">
        <w:rPr>
          <w:rFonts w:ascii="Times New Roman" w:hAnsi="Times New Roman"/>
          <w:color w:val="000000"/>
          <w:sz w:val="24"/>
          <w:szCs w:val="24"/>
        </w:rPr>
        <w:t xml:space="preserve"> </w:t>
      </w:r>
      <w:r w:rsidR="00880814" w:rsidRPr="00880814">
        <w:rPr>
          <w:rFonts w:ascii="Times New Roman" w:hAnsi="Times New Roman"/>
          <w:color w:val="000000"/>
          <w:sz w:val="24"/>
          <w:szCs w:val="24"/>
        </w:rPr>
        <w:t>прихода</w:t>
      </w:r>
      <w:r w:rsidRPr="00880814">
        <w:rPr>
          <w:rFonts w:ascii="Times New Roman" w:hAnsi="Times New Roman"/>
          <w:color w:val="000000"/>
          <w:sz w:val="24"/>
          <w:szCs w:val="24"/>
          <w:lang w:val="sr-Cyrl-CS"/>
        </w:rPr>
        <w:t>.</w:t>
      </w:r>
    </w:p>
    <w:p w:rsidR="00617D23" w:rsidRDefault="00617D23" w:rsidP="00880814">
      <w:pPr>
        <w:shd w:val="clear" w:color="auto" w:fill="FFFFFF"/>
        <w:spacing w:after="0" w:line="285" w:lineRule="atLeast"/>
        <w:ind w:firstLine="360"/>
        <w:jc w:val="both"/>
        <w:rPr>
          <w:rFonts w:ascii="Times New Roman" w:hAnsi="Times New Roman"/>
          <w:color w:val="000000"/>
          <w:sz w:val="24"/>
          <w:szCs w:val="24"/>
          <w:lang w:val="sr-Cyrl-CS"/>
        </w:rPr>
      </w:pPr>
    </w:p>
    <w:p w:rsidR="00617D23" w:rsidRDefault="00617D23" w:rsidP="00880814">
      <w:pPr>
        <w:shd w:val="clear" w:color="auto" w:fill="FFFFFF"/>
        <w:spacing w:after="0" w:line="285" w:lineRule="atLeast"/>
        <w:ind w:firstLine="360"/>
        <w:jc w:val="both"/>
        <w:rPr>
          <w:rFonts w:ascii="Times New Roman" w:hAnsi="Times New Roman"/>
          <w:color w:val="000000"/>
          <w:sz w:val="24"/>
          <w:szCs w:val="24"/>
          <w:lang w:val="sr-Cyrl-CS"/>
        </w:rPr>
      </w:pPr>
      <w:r>
        <w:rPr>
          <w:rFonts w:ascii="Times New Roman" w:hAnsi="Times New Roman"/>
          <w:color w:val="000000"/>
          <w:sz w:val="24"/>
          <w:szCs w:val="24"/>
          <w:lang w:val="sr-Cyrl-CS"/>
        </w:rPr>
        <w:lastRenderedPageBreak/>
        <w:t>У циљу избегавања пореских обавеза код подизања готовог новца са текућег рачуна предузећа најчешће се приказује да се новац подиже ради откупа пољопривредних производа и секундарних сировина</w:t>
      </w:r>
      <w:r w:rsidR="0018410F">
        <w:rPr>
          <w:rFonts w:ascii="Times New Roman" w:hAnsi="Times New Roman"/>
          <w:color w:val="000000"/>
          <w:sz w:val="24"/>
          <w:szCs w:val="24"/>
          <w:lang w:val="sr-Cyrl-CS"/>
        </w:rPr>
        <w:t>, сачињавају се лажни откупни листови и обрачунава се ПДВнакнада која се користи као претходни порез.</w:t>
      </w:r>
    </w:p>
    <w:p w:rsidR="00617D23" w:rsidRDefault="00617D23" w:rsidP="00880814">
      <w:pPr>
        <w:shd w:val="clear" w:color="auto" w:fill="FFFFFF"/>
        <w:spacing w:after="0" w:line="285" w:lineRule="atLeast"/>
        <w:ind w:firstLine="360"/>
        <w:jc w:val="both"/>
        <w:rPr>
          <w:rFonts w:ascii="Times New Roman" w:hAnsi="Times New Roman"/>
          <w:color w:val="000000"/>
          <w:sz w:val="24"/>
          <w:szCs w:val="24"/>
          <w:lang w:val="sr-Cyrl-CS"/>
        </w:rPr>
      </w:pPr>
    </w:p>
    <w:p w:rsidR="00617D23" w:rsidRDefault="00617D23" w:rsidP="0018410F">
      <w:pPr>
        <w:shd w:val="clear" w:color="auto" w:fill="FFFFFF"/>
        <w:spacing w:after="0" w:line="285" w:lineRule="atLeast"/>
        <w:ind w:firstLine="360"/>
        <w:jc w:val="both"/>
        <w:rPr>
          <w:rFonts w:ascii="Times New Roman" w:hAnsi="Times New Roman"/>
          <w:color w:val="000000"/>
          <w:sz w:val="24"/>
          <w:szCs w:val="24"/>
          <w:lang w:val="sr-Cyrl-CS"/>
        </w:rPr>
      </w:pPr>
      <w:r>
        <w:rPr>
          <w:rFonts w:ascii="Times New Roman" w:hAnsi="Times New Roman"/>
          <w:color w:val="000000"/>
          <w:sz w:val="24"/>
          <w:szCs w:val="24"/>
          <w:lang w:val="sr-Cyrl-CS"/>
        </w:rPr>
        <w:t>Тако је предузеће „Д“ из Лазаревца од пољопривредног произвођача А.Ђ. из Лазаревца који поседује само четири хектара обрадиве земље на основу лажних откупних листова откупило пољопривредне производе у количини од 2.231.911 кг (кромпир, шљиве, јабуке и крушке). На име откупа је подигло готов новац у износу од 129.725.893,00 динара, па како су откупни листови били лажни за подигнуту готовину избегнуто је плаћање пореза на доходак грађана у износу од 24.709.091 динара. Поред тога, у ПДВ пријавама је неосновано исказало ПДВ накнаду у укупном износу од 6.047.091,00 динара коју је искористило ка</w:t>
      </w:r>
      <w:r w:rsidR="00636F31">
        <w:rPr>
          <w:rFonts w:ascii="Times New Roman" w:hAnsi="Times New Roman"/>
          <w:color w:val="000000"/>
          <w:sz w:val="24"/>
          <w:szCs w:val="24"/>
          <w:lang w:val="sr-Cyrl-CS"/>
        </w:rPr>
        <w:t>о</w:t>
      </w:r>
      <w:r>
        <w:rPr>
          <w:rFonts w:ascii="Times New Roman" w:hAnsi="Times New Roman"/>
          <w:color w:val="000000"/>
          <w:sz w:val="24"/>
          <w:szCs w:val="24"/>
          <w:lang w:val="sr-Cyrl-CS"/>
        </w:rPr>
        <w:t xml:space="preserve"> претходни порез. Целокупна количина откупљених пољопривредних производа фактурисана је предузећима „О“ из Котешице и „Н“ из Мионице која су у власништву истог лица. Плаћање је затворено компензацијом за лажно фактурисање набавке различитих врста добара и услуга од ових предузећа у укупној вредности од 220.318.712,00 динара са исказаним ПДВ-ом у износу од 32.705.467,00 динара, који је предузеће „Д“ неосновано искористило као претходни порез. У овај ланац лажног фактурисања се укључују регуларна предузећа </w:t>
      </w:r>
      <w:r w:rsidR="0018410F">
        <w:rPr>
          <w:rFonts w:ascii="Times New Roman" w:hAnsi="Times New Roman"/>
          <w:color w:val="000000"/>
          <w:sz w:val="24"/>
          <w:szCs w:val="24"/>
          <w:lang w:val="sr-Cyrl-CS"/>
        </w:rPr>
        <w:t>којима „Д“ продаје добра и услуге набављене од „О“ и „Н“, од регуларних предузећа добија безготовинску уплату на текући рачун, а враћа им подигнуту готовину, с обзиром да је суштина ове трансакције не продаја добара и услуга већ обезбеђивање готовине регуларним предузећима уз одговарајућу провизију, што је основна „делатност“ предузећа „Д“. Ово предузеће и лица која су са њима у пословном односу поводом подизања готовине су избегли плаћање пореских обавеза од више стотина милиона динара. Шематски се овај случај може приказати на следећи начин:</w:t>
      </w:r>
      <w:r w:rsidR="0018410F">
        <w:rPr>
          <w:rStyle w:val="FootnoteReference"/>
          <w:rFonts w:ascii="Times New Roman" w:hAnsi="Times New Roman"/>
          <w:color w:val="000000"/>
          <w:sz w:val="24"/>
          <w:szCs w:val="24"/>
          <w:lang w:val="sr-Cyrl-CS"/>
        </w:rPr>
        <w:footnoteReference w:id="422"/>
      </w:r>
    </w:p>
    <w:p w:rsidR="0018410F" w:rsidRDefault="0018410F" w:rsidP="0018410F">
      <w:pPr>
        <w:shd w:val="clear" w:color="auto" w:fill="FFFFFF"/>
        <w:spacing w:after="0" w:line="285" w:lineRule="atLeast"/>
        <w:ind w:firstLine="360"/>
        <w:jc w:val="both"/>
        <w:rPr>
          <w:rFonts w:ascii="Times New Roman" w:hAnsi="Times New Roman"/>
          <w:color w:val="000000"/>
          <w:sz w:val="24"/>
          <w:szCs w:val="24"/>
        </w:rPr>
      </w:pPr>
    </w:p>
    <w:p w:rsidR="00CC4EE8" w:rsidRDefault="00CC4EE8" w:rsidP="0018410F">
      <w:pPr>
        <w:shd w:val="clear" w:color="auto" w:fill="FFFFFF"/>
        <w:spacing w:after="0" w:line="285" w:lineRule="atLeast"/>
        <w:ind w:firstLine="360"/>
        <w:jc w:val="both"/>
        <w:rPr>
          <w:rFonts w:ascii="Times New Roman" w:hAnsi="Times New Roman"/>
          <w:color w:val="000000"/>
          <w:sz w:val="24"/>
          <w:szCs w:val="24"/>
        </w:rPr>
      </w:pPr>
    </w:p>
    <w:p w:rsidR="00CC4EE8" w:rsidRDefault="00CC4EE8" w:rsidP="0018410F">
      <w:pPr>
        <w:shd w:val="clear" w:color="auto" w:fill="FFFFFF"/>
        <w:spacing w:after="0" w:line="285" w:lineRule="atLeast"/>
        <w:ind w:firstLine="360"/>
        <w:jc w:val="both"/>
        <w:rPr>
          <w:rFonts w:ascii="Times New Roman" w:hAnsi="Times New Roman"/>
          <w:color w:val="000000"/>
          <w:sz w:val="24"/>
          <w:szCs w:val="24"/>
        </w:rPr>
      </w:pPr>
    </w:p>
    <w:p w:rsidR="00CC4EE8" w:rsidRDefault="00CC4EE8" w:rsidP="0018410F">
      <w:pPr>
        <w:shd w:val="clear" w:color="auto" w:fill="FFFFFF"/>
        <w:spacing w:after="0" w:line="285" w:lineRule="atLeast"/>
        <w:ind w:firstLine="360"/>
        <w:jc w:val="both"/>
        <w:rPr>
          <w:rFonts w:ascii="Times New Roman" w:hAnsi="Times New Roman"/>
          <w:color w:val="000000"/>
          <w:sz w:val="24"/>
          <w:szCs w:val="24"/>
        </w:rPr>
      </w:pPr>
    </w:p>
    <w:p w:rsidR="00CC4EE8" w:rsidRDefault="00CC4EE8" w:rsidP="0018410F">
      <w:pPr>
        <w:shd w:val="clear" w:color="auto" w:fill="FFFFFF"/>
        <w:spacing w:after="0" w:line="285" w:lineRule="atLeast"/>
        <w:ind w:firstLine="360"/>
        <w:jc w:val="both"/>
        <w:rPr>
          <w:rFonts w:ascii="Times New Roman" w:hAnsi="Times New Roman"/>
          <w:color w:val="000000"/>
          <w:sz w:val="24"/>
          <w:szCs w:val="24"/>
        </w:rPr>
      </w:pPr>
    </w:p>
    <w:p w:rsidR="00CC4EE8" w:rsidRDefault="00CC4EE8" w:rsidP="0018410F">
      <w:pPr>
        <w:shd w:val="clear" w:color="auto" w:fill="FFFFFF"/>
        <w:spacing w:after="0" w:line="285" w:lineRule="atLeast"/>
        <w:ind w:firstLine="360"/>
        <w:jc w:val="both"/>
        <w:rPr>
          <w:rFonts w:ascii="Times New Roman" w:hAnsi="Times New Roman"/>
          <w:color w:val="000000"/>
          <w:sz w:val="24"/>
          <w:szCs w:val="24"/>
        </w:rPr>
      </w:pPr>
    </w:p>
    <w:p w:rsidR="00CC4EE8" w:rsidRDefault="00CC4EE8" w:rsidP="0018410F">
      <w:pPr>
        <w:shd w:val="clear" w:color="auto" w:fill="FFFFFF"/>
        <w:spacing w:after="0" w:line="285" w:lineRule="atLeast"/>
        <w:ind w:firstLine="360"/>
        <w:jc w:val="both"/>
        <w:rPr>
          <w:rFonts w:ascii="Times New Roman" w:hAnsi="Times New Roman"/>
          <w:color w:val="000000"/>
          <w:sz w:val="24"/>
          <w:szCs w:val="24"/>
        </w:rPr>
      </w:pPr>
    </w:p>
    <w:p w:rsidR="00CC4EE8" w:rsidRDefault="00CC4EE8" w:rsidP="0018410F">
      <w:pPr>
        <w:shd w:val="clear" w:color="auto" w:fill="FFFFFF"/>
        <w:spacing w:after="0" w:line="285" w:lineRule="atLeast"/>
        <w:ind w:firstLine="360"/>
        <w:jc w:val="both"/>
        <w:rPr>
          <w:rFonts w:ascii="Times New Roman" w:hAnsi="Times New Roman"/>
          <w:color w:val="000000"/>
          <w:sz w:val="24"/>
          <w:szCs w:val="24"/>
        </w:rPr>
      </w:pPr>
    </w:p>
    <w:p w:rsidR="00CC4EE8" w:rsidRDefault="00CC4EE8" w:rsidP="0018410F">
      <w:pPr>
        <w:shd w:val="clear" w:color="auto" w:fill="FFFFFF"/>
        <w:spacing w:after="0" w:line="285" w:lineRule="atLeast"/>
        <w:ind w:firstLine="360"/>
        <w:jc w:val="both"/>
        <w:rPr>
          <w:rFonts w:ascii="Times New Roman" w:hAnsi="Times New Roman"/>
          <w:color w:val="000000"/>
          <w:sz w:val="24"/>
          <w:szCs w:val="24"/>
        </w:rPr>
      </w:pPr>
    </w:p>
    <w:p w:rsidR="00CC4EE8" w:rsidRDefault="00CC4EE8" w:rsidP="0018410F">
      <w:pPr>
        <w:shd w:val="clear" w:color="auto" w:fill="FFFFFF"/>
        <w:spacing w:after="0" w:line="285" w:lineRule="atLeast"/>
        <w:ind w:firstLine="360"/>
        <w:jc w:val="both"/>
        <w:rPr>
          <w:rFonts w:ascii="Times New Roman" w:hAnsi="Times New Roman"/>
          <w:color w:val="000000"/>
          <w:sz w:val="24"/>
          <w:szCs w:val="24"/>
        </w:rPr>
      </w:pPr>
    </w:p>
    <w:p w:rsidR="00CC4EE8" w:rsidRDefault="00CC4EE8" w:rsidP="0018410F">
      <w:pPr>
        <w:shd w:val="clear" w:color="auto" w:fill="FFFFFF"/>
        <w:spacing w:after="0" w:line="285" w:lineRule="atLeast"/>
        <w:ind w:firstLine="360"/>
        <w:jc w:val="both"/>
        <w:rPr>
          <w:rFonts w:ascii="Times New Roman" w:hAnsi="Times New Roman"/>
          <w:color w:val="000000"/>
          <w:sz w:val="24"/>
          <w:szCs w:val="24"/>
        </w:rPr>
      </w:pPr>
    </w:p>
    <w:p w:rsidR="00CC4EE8" w:rsidRDefault="00CC4EE8" w:rsidP="0018410F">
      <w:pPr>
        <w:shd w:val="clear" w:color="auto" w:fill="FFFFFF"/>
        <w:spacing w:after="0" w:line="285" w:lineRule="atLeast"/>
        <w:ind w:firstLine="360"/>
        <w:jc w:val="both"/>
        <w:rPr>
          <w:rFonts w:ascii="Times New Roman" w:hAnsi="Times New Roman"/>
          <w:color w:val="000000"/>
          <w:sz w:val="24"/>
          <w:szCs w:val="24"/>
        </w:rPr>
      </w:pPr>
    </w:p>
    <w:p w:rsidR="00CC4EE8" w:rsidRDefault="00CC4EE8" w:rsidP="0018410F">
      <w:pPr>
        <w:shd w:val="clear" w:color="auto" w:fill="FFFFFF"/>
        <w:spacing w:after="0" w:line="285" w:lineRule="atLeast"/>
        <w:ind w:firstLine="360"/>
        <w:jc w:val="both"/>
        <w:rPr>
          <w:rFonts w:ascii="Times New Roman" w:hAnsi="Times New Roman"/>
          <w:color w:val="000000"/>
          <w:sz w:val="24"/>
          <w:szCs w:val="24"/>
        </w:rPr>
      </w:pPr>
    </w:p>
    <w:p w:rsidR="00CC4EE8" w:rsidRDefault="00CC4EE8" w:rsidP="0018410F">
      <w:pPr>
        <w:shd w:val="clear" w:color="auto" w:fill="FFFFFF"/>
        <w:spacing w:after="0" w:line="285" w:lineRule="atLeast"/>
        <w:ind w:firstLine="360"/>
        <w:jc w:val="both"/>
        <w:rPr>
          <w:rFonts w:ascii="Times New Roman" w:hAnsi="Times New Roman"/>
          <w:color w:val="000000"/>
          <w:sz w:val="24"/>
          <w:szCs w:val="24"/>
        </w:rPr>
      </w:pPr>
    </w:p>
    <w:p w:rsidR="00CC4EE8" w:rsidRDefault="00CC4EE8" w:rsidP="0018410F">
      <w:pPr>
        <w:shd w:val="clear" w:color="auto" w:fill="FFFFFF"/>
        <w:spacing w:after="0" w:line="285" w:lineRule="atLeast"/>
        <w:ind w:firstLine="360"/>
        <w:jc w:val="both"/>
        <w:rPr>
          <w:rFonts w:ascii="Times New Roman" w:hAnsi="Times New Roman"/>
          <w:color w:val="000000"/>
          <w:sz w:val="24"/>
          <w:szCs w:val="24"/>
          <w:lang w:val="sr-Cyrl-CS"/>
        </w:rPr>
      </w:pPr>
    </w:p>
    <w:p w:rsidR="00001DEB" w:rsidRDefault="00001DEB" w:rsidP="0018410F">
      <w:pPr>
        <w:shd w:val="clear" w:color="auto" w:fill="FFFFFF"/>
        <w:spacing w:after="0" w:line="285" w:lineRule="atLeast"/>
        <w:ind w:firstLine="360"/>
        <w:jc w:val="both"/>
        <w:rPr>
          <w:rFonts w:ascii="Times New Roman" w:hAnsi="Times New Roman"/>
          <w:color w:val="000000"/>
          <w:sz w:val="24"/>
          <w:szCs w:val="24"/>
          <w:lang w:val="sr-Cyrl-CS"/>
        </w:rPr>
      </w:pPr>
    </w:p>
    <w:p w:rsidR="00CC4EE8" w:rsidRPr="00FB5A28" w:rsidRDefault="00CC4EE8" w:rsidP="00FB5A28">
      <w:pPr>
        <w:shd w:val="clear" w:color="auto" w:fill="FFFFFF"/>
        <w:spacing w:after="0" w:line="285" w:lineRule="atLeast"/>
        <w:jc w:val="both"/>
        <w:rPr>
          <w:rFonts w:ascii="Times New Roman" w:hAnsi="Times New Roman"/>
          <w:color w:val="000000"/>
          <w:sz w:val="24"/>
          <w:szCs w:val="24"/>
          <w:lang w:val="sr-Cyrl-CS"/>
        </w:rPr>
      </w:pPr>
    </w:p>
    <w:p w:rsidR="0018410F" w:rsidRPr="0018410F" w:rsidRDefault="00001DEB" w:rsidP="0018410F">
      <w:pPr>
        <w:shd w:val="clear" w:color="auto" w:fill="FFFFFF"/>
        <w:spacing w:after="0" w:line="285" w:lineRule="atLeast"/>
        <w:ind w:firstLine="360"/>
        <w:jc w:val="both"/>
        <w:rPr>
          <w:rFonts w:ascii="Times New Roman" w:hAnsi="Times New Roman"/>
          <w:b/>
          <w:color w:val="000000"/>
          <w:sz w:val="24"/>
          <w:szCs w:val="24"/>
          <w:lang w:val="sr-Cyrl-CS"/>
        </w:rPr>
      </w:pPr>
      <w:r>
        <w:rPr>
          <w:rFonts w:ascii="Times New Roman" w:hAnsi="Times New Roman"/>
          <w:b/>
          <w:color w:val="000000"/>
          <w:sz w:val="24"/>
          <w:szCs w:val="24"/>
          <w:lang w:val="sr-Cyrl-CS"/>
        </w:rPr>
        <w:t>Слика 18</w:t>
      </w:r>
      <w:r w:rsidR="0018410F" w:rsidRPr="0018410F">
        <w:rPr>
          <w:rFonts w:ascii="Times New Roman" w:hAnsi="Times New Roman"/>
          <w:b/>
          <w:color w:val="000000"/>
          <w:sz w:val="24"/>
          <w:szCs w:val="24"/>
          <w:lang w:val="sr-Cyrl-CS"/>
        </w:rPr>
        <w:t>.</w:t>
      </w:r>
    </w:p>
    <w:p w:rsidR="0018410F" w:rsidRDefault="0018410F" w:rsidP="0018410F">
      <w:pPr>
        <w:shd w:val="clear" w:color="auto" w:fill="FFFFFF"/>
        <w:spacing w:after="0" w:line="285" w:lineRule="atLeast"/>
        <w:ind w:firstLine="360"/>
        <w:jc w:val="both"/>
        <w:rPr>
          <w:rFonts w:ascii="Times New Roman" w:hAnsi="Times New Roman"/>
          <w:color w:val="000000"/>
          <w:sz w:val="24"/>
          <w:szCs w:val="24"/>
          <w:lang w:val="sr-Cyrl-CS"/>
        </w:rPr>
      </w:pPr>
    </w:p>
    <w:p w:rsidR="0018410F" w:rsidRPr="00880814" w:rsidRDefault="0018410F" w:rsidP="0018410F">
      <w:pPr>
        <w:shd w:val="clear" w:color="auto" w:fill="FFFFFF"/>
        <w:spacing w:after="0" w:line="285" w:lineRule="atLeast"/>
        <w:ind w:firstLine="360"/>
        <w:jc w:val="both"/>
        <w:rPr>
          <w:rFonts w:ascii="Times New Roman" w:hAnsi="Times New Roman"/>
          <w:color w:val="000000"/>
          <w:sz w:val="24"/>
          <w:szCs w:val="24"/>
          <w:lang w:val="sr-Cyrl-CS"/>
        </w:rPr>
      </w:pPr>
      <w:r>
        <w:rPr>
          <w:rFonts w:ascii="Times New Roman" w:hAnsi="Times New Roman"/>
          <w:noProof/>
          <w:color w:val="000000"/>
          <w:sz w:val="24"/>
          <w:szCs w:val="24"/>
        </w:rPr>
        <w:lastRenderedPageBreak/>
        <w:drawing>
          <wp:inline distT="0" distB="0" distL="0" distR="0">
            <wp:extent cx="5760085" cy="6941237"/>
            <wp:effectExtent l="19050" t="0" r="0" b="0"/>
            <wp:docPr id="3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srcRect/>
                    <a:stretch>
                      <a:fillRect/>
                    </a:stretch>
                  </pic:blipFill>
                  <pic:spPr bwMode="auto">
                    <a:xfrm>
                      <a:off x="0" y="0"/>
                      <a:ext cx="5760085" cy="6941237"/>
                    </a:xfrm>
                    <a:prstGeom prst="rect">
                      <a:avLst/>
                    </a:prstGeom>
                    <a:noFill/>
                    <a:ln w="9525">
                      <a:noFill/>
                      <a:miter lim="800000"/>
                      <a:headEnd/>
                      <a:tailEnd/>
                    </a:ln>
                  </pic:spPr>
                </pic:pic>
              </a:graphicData>
            </a:graphic>
          </wp:inline>
        </w:drawing>
      </w:r>
    </w:p>
    <w:p w:rsidR="004B1331" w:rsidRPr="00880814" w:rsidRDefault="004B1331" w:rsidP="00880814">
      <w:pPr>
        <w:shd w:val="clear" w:color="auto" w:fill="FFFFFF"/>
        <w:spacing w:after="0" w:line="285" w:lineRule="atLeast"/>
        <w:ind w:firstLine="360"/>
        <w:jc w:val="both"/>
        <w:rPr>
          <w:rFonts w:ascii="Times New Roman" w:hAnsi="Times New Roman"/>
          <w:color w:val="000000"/>
          <w:sz w:val="24"/>
          <w:szCs w:val="24"/>
          <w:lang w:val="sr-Cyrl-CS"/>
        </w:rPr>
      </w:pPr>
    </w:p>
    <w:p w:rsidR="00F67EE8" w:rsidRPr="00880814" w:rsidRDefault="002A2E6A" w:rsidP="00880814">
      <w:pPr>
        <w:shd w:val="clear" w:color="auto" w:fill="FFFFFF"/>
        <w:spacing w:after="0" w:line="285" w:lineRule="atLeast"/>
        <w:ind w:firstLine="360"/>
        <w:jc w:val="both"/>
        <w:rPr>
          <w:rFonts w:ascii="Times New Roman" w:hAnsi="Times New Roman"/>
          <w:sz w:val="24"/>
          <w:szCs w:val="24"/>
          <w:lang w:val="sr-Cyrl-CS"/>
        </w:rPr>
      </w:pPr>
      <w:r w:rsidRPr="00880814">
        <w:rPr>
          <w:rFonts w:ascii="Times New Roman" w:hAnsi="Times New Roman"/>
          <w:color w:val="000000"/>
          <w:sz w:val="24"/>
          <w:szCs w:val="24"/>
          <w:lang w:val="sr-Cyrl-CS"/>
        </w:rPr>
        <w:t xml:space="preserve">Злоупотребе везано за остварен промет повезане су са сивом економијом и пословањем на „црном тржишту“. </w:t>
      </w:r>
      <w:r w:rsidR="00880814" w:rsidRPr="00880814">
        <w:rPr>
          <w:rFonts w:ascii="Times New Roman" w:hAnsi="Times New Roman"/>
          <w:color w:val="000000"/>
          <w:sz w:val="24"/>
          <w:szCs w:val="24"/>
          <w:lang w:val="sr-Cyrl-CS"/>
        </w:rPr>
        <w:t>Према</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Анкети</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о</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условима</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пословања</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сива</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економија</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у</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сектору</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предузећа</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за</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два</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најважнија</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облика</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утаје</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нелегалан</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промет</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производа</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и</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рад</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на</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црно</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износи</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око</w:t>
      </w:r>
      <w:r w:rsidR="004B1331" w:rsidRPr="00880814">
        <w:rPr>
          <w:rFonts w:ascii="Times New Roman" w:hAnsi="Times New Roman"/>
          <w:color w:val="000000"/>
          <w:sz w:val="24"/>
          <w:szCs w:val="24"/>
          <w:lang w:val="sr-Cyrl-CS"/>
        </w:rPr>
        <w:t xml:space="preserve"> 21% </w:t>
      </w:r>
      <w:r w:rsidR="00880814" w:rsidRPr="00880814">
        <w:rPr>
          <w:rFonts w:ascii="Times New Roman" w:hAnsi="Times New Roman"/>
          <w:color w:val="000000"/>
          <w:sz w:val="24"/>
          <w:szCs w:val="24"/>
          <w:lang w:val="sr-Cyrl-CS"/>
        </w:rPr>
        <w:t>БДП</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На</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основу</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ових</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резултата</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може</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се</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закључити</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да</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укупна</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сива</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економија</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у</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Србији</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износи</w:t>
      </w:r>
      <w:r w:rsidR="004B1331" w:rsidRPr="00880814">
        <w:rPr>
          <w:rFonts w:ascii="Times New Roman" w:hAnsi="Times New Roman"/>
          <w:color w:val="000000"/>
          <w:sz w:val="24"/>
          <w:szCs w:val="24"/>
          <w:lang w:val="sr-Cyrl-CS"/>
        </w:rPr>
        <w:t xml:space="preserve"> 30% </w:t>
      </w:r>
      <w:r w:rsidR="00880814" w:rsidRPr="00880814">
        <w:rPr>
          <w:rFonts w:ascii="Times New Roman" w:hAnsi="Times New Roman"/>
          <w:color w:val="000000"/>
          <w:sz w:val="24"/>
          <w:szCs w:val="24"/>
          <w:lang w:val="sr-Cyrl-CS"/>
        </w:rPr>
        <w:t>БДП</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а</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да</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је</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највећи</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део</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сиве</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економије</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концентрисан</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у</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промету</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производа</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и</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раду</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на</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црно</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Сив</w:t>
      </w:r>
      <w:r w:rsidR="004B1331" w:rsidRPr="00880814">
        <w:rPr>
          <w:rFonts w:ascii="Times New Roman" w:hAnsi="Times New Roman"/>
          <w:color w:val="000000"/>
          <w:sz w:val="24"/>
          <w:szCs w:val="24"/>
          <w:lang w:val="sr-Cyrl-CS"/>
        </w:rPr>
        <w:t xml:space="preserve">а </w:t>
      </w:r>
      <w:r w:rsidR="00880814" w:rsidRPr="00880814">
        <w:rPr>
          <w:rFonts w:ascii="Times New Roman" w:hAnsi="Times New Roman"/>
          <w:color w:val="000000"/>
          <w:sz w:val="24"/>
          <w:szCs w:val="24"/>
          <w:lang w:val="sr-Cyrl-CS"/>
        </w:rPr>
        <w:t>економиј</w:t>
      </w:r>
      <w:r w:rsidR="004B1331" w:rsidRPr="00880814">
        <w:rPr>
          <w:rFonts w:ascii="Times New Roman" w:hAnsi="Times New Roman"/>
          <w:color w:val="000000"/>
          <w:sz w:val="24"/>
          <w:szCs w:val="24"/>
          <w:lang w:val="sr-Cyrl-CS"/>
        </w:rPr>
        <w:t xml:space="preserve">а </w:t>
      </w:r>
      <w:r w:rsidR="00880814" w:rsidRPr="00880814">
        <w:rPr>
          <w:rFonts w:ascii="Times New Roman" w:hAnsi="Times New Roman"/>
          <w:color w:val="000000"/>
          <w:sz w:val="24"/>
          <w:szCs w:val="24"/>
          <w:lang w:val="sr-Cyrl-CS"/>
        </w:rPr>
        <w:t>у</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сектору</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предузећа</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и</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предузетника</w:t>
      </w:r>
      <w:r w:rsidRPr="00880814">
        <w:rPr>
          <w:rFonts w:ascii="Times New Roman" w:hAnsi="Times New Roman"/>
          <w:color w:val="000000"/>
          <w:sz w:val="24"/>
          <w:szCs w:val="24"/>
          <w:lang w:val="sr-Cyrl-CS"/>
        </w:rPr>
        <w:t xml:space="preserve"> анализи</w:t>
      </w:r>
      <w:r w:rsidR="004B1331" w:rsidRPr="00880814">
        <w:rPr>
          <w:rFonts w:ascii="Times New Roman" w:hAnsi="Times New Roman"/>
          <w:color w:val="000000"/>
          <w:sz w:val="24"/>
          <w:szCs w:val="24"/>
          <w:lang w:val="sr-Cyrl-CS"/>
        </w:rPr>
        <w:t xml:space="preserve">рана је </w:t>
      </w:r>
      <w:r w:rsidR="00880814" w:rsidRPr="00880814">
        <w:rPr>
          <w:rFonts w:ascii="Times New Roman" w:hAnsi="Times New Roman"/>
          <w:color w:val="000000"/>
          <w:sz w:val="24"/>
          <w:szCs w:val="24"/>
          <w:lang w:val="sr-Cyrl-CS"/>
        </w:rPr>
        <w:t>коришћењем</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података</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Анкете</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о</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условима</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пословања</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предузећа</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на</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основу</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неколико</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индикатора</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То</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су</w:t>
      </w:r>
      <w:r w:rsidR="004B1331" w:rsidRPr="00880814">
        <w:rPr>
          <w:rFonts w:ascii="Times New Roman" w:hAnsi="Times New Roman"/>
          <w:color w:val="000000"/>
          <w:sz w:val="24"/>
          <w:szCs w:val="24"/>
          <w:lang w:val="sr-Cyrl-CS"/>
        </w:rPr>
        <w:t xml:space="preserve">: (1) </w:t>
      </w:r>
      <w:r w:rsidR="00880814" w:rsidRPr="00880814">
        <w:rPr>
          <w:rFonts w:ascii="Times New Roman" w:hAnsi="Times New Roman"/>
          <w:color w:val="000000"/>
          <w:sz w:val="24"/>
          <w:szCs w:val="24"/>
          <w:lang w:val="sr-Cyrl-CS"/>
        </w:rPr>
        <w:t>учешће</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привредних</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субјеката</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lastRenderedPageBreak/>
        <w:t>који</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се</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бави</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сивом</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економијом</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у</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укупном</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броју</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привредних</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субјеката</w:t>
      </w:r>
      <w:r w:rsidR="004B1331" w:rsidRPr="00880814">
        <w:rPr>
          <w:rFonts w:ascii="Times New Roman" w:hAnsi="Times New Roman"/>
          <w:color w:val="000000"/>
          <w:sz w:val="24"/>
          <w:szCs w:val="24"/>
          <w:lang w:val="sr-Cyrl-CS"/>
        </w:rPr>
        <w:t xml:space="preserve">; (2) </w:t>
      </w:r>
      <w:r w:rsidR="00880814" w:rsidRPr="00880814">
        <w:rPr>
          <w:rFonts w:ascii="Times New Roman" w:hAnsi="Times New Roman"/>
          <w:color w:val="000000"/>
          <w:sz w:val="24"/>
          <w:szCs w:val="24"/>
          <w:lang w:val="sr-Cyrl-CS"/>
        </w:rPr>
        <w:t>учешће</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неформално</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запослених</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у</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укупно</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запосленима</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укупно</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и</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по</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облицима</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и</w:t>
      </w:r>
      <w:r w:rsidR="004B1331" w:rsidRPr="00880814">
        <w:rPr>
          <w:rFonts w:ascii="Times New Roman" w:hAnsi="Times New Roman"/>
          <w:color w:val="000000"/>
          <w:sz w:val="24"/>
          <w:szCs w:val="24"/>
          <w:lang w:val="sr-Cyrl-CS"/>
        </w:rPr>
        <w:t xml:space="preserve"> (3) </w:t>
      </w:r>
      <w:r w:rsidR="00880814" w:rsidRPr="00880814">
        <w:rPr>
          <w:rFonts w:ascii="Times New Roman" w:hAnsi="Times New Roman"/>
          <w:color w:val="000000"/>
          <w:sz w:val="24"/>
          <w:szCs w:val="24"/>
          <w:lang w:val="sr-Cyrl-CS"/>
        </w:rPr>
        <w:t>учешће</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готовинског</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у</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укупним</w:t>
      </w:r>
      <w:r w:rsidR="004B1331" w:rsidRPr="00880814">
        <w:rPr>
          <w:rFonts w:ascii="Times New Roman" w:hAnsi="Times New Roman"/>
          <w:color w:val="000000"/>
          <w:sz w:val="24"/>
          <w:szCs w:val="24"/>
          <w:lang w:val="sr-Cyrl-CS"/>
        </w:rPr>
        <w:t xml:space="preserve"> </w:t>
      </w:r>
      <w:r w:rsidR="00880814" w:rsidRPr="00880814">
        <w:rPr>
          <w:rFonts w:ascii="Times New Roman" w:hAnsi="Times New Roman"/>
          <w:color w:val="000000"/>
          <w:sz w:val="24"/>
          <w:szCs w:val="24"/>
          <w:lang w:val="sr-Cyrl-CS"/>
        </w:rPr>
        <w:t>плаћањима</w:t>
      </w:r>
      <w:r w:rsidR="004B1331" w:rsidRPr="00880814">
        <w:rPr>
          <w:rFonts w:ascii="Times New Roman" w:hAnsi="Times New Roman"/>
          <w:color w:val="000000"/>
          <w:sz w:val="24"/>
          <w:szCs w:val="24"/>
          <w:lang w:val="sr-Cyrl-CS"/>
        </w:rPr>
        <w:t>.</w:t>
      </w:r>
      <w:r w:rsidRPr="00880814">
        <w:rPr>
          <w:rFonts w:ascii="Times New Roman" w:hAnsi="Times New Roman"/>
          <w:color w:val="000000"/>
          <w:sz w:val="24"/>
          <w:szCs w:val="24"/>
          <w:lang w:val="sr-Cyrl-CS"/>
        </w:rPr>
        <w:t xml:space="preserve"> Према овој студији </w:t>
      </w:r>
      <w:r w:rsidRPr="00880814">
        <w:rPr>
          <w:rFonts w:ascii="Times New Roman" w:hAnsi="Times New Roman"/>
          <w:sz w:val="24"/>
          <w:szCs w:val="24"/>
          <w:lang w:val="sr-Cyrl-CS"/>
        </w:rPr>
        <w:t>у</w:t>
      </w:r>
      <w:r w:rsidR="00880814" w:rsidRPr="00880814">
        <w:rPr>
          <w:rFonts w:ascii="Times New Roman" w:hAnsi="Times New Roman"/>
          <w:sz w:val="24"/>
          <w:szCs w:val="24"/>
          <w:lang w:val="sr-Cyrl-CS"/>
        </w:rPr>
        <w:t>део</w:t>
      </w:r>
      <w:r w:rsidR="00F67EE8" w:rsidRPr="00880814">
        <w:rPr>
          <w:rFonts w:ascii="Times New Roman" w:hAnsi="Times New Roman"/>
          <w:sz w:val="24"/>
          <w:szCs w:val="24"/>
          <w:lang w:val="sr-Cyrl-CS"/>
        </w:rPr>
        <w:t xml:space="preserve"> </w:t>
      </w:r>
      <w:r w:rsidR="00880814" w:rsidRPr="00880814">
        <w:rPr>
          <w:rFonts w:ascii="Times New Roman" w:hAnsi="Times New Roman"/>
          <w:sz w:val="24"/>
          <w:szCs w:val="24"/>
          <w:lang w:val="sr-Cyrl-CS"/>
        </w:rPr>
        <w:t>готовинског</w:t>
      </w:r>
      <w:r w:rsidR="00F67EE8" w:rsidRPr="00880814">
        <w:rPr>
          <w:rFonts w:ascii="Times New Roman" w:hAnsi="Times New Roman"/>
          <w:sz w:val="24"/>
          <w:szCs w:val="24"/>
          <w:lang w:val="sr-Cyrl-CS"/>
        </w:rPr>
        <w:t xml:space="preserve"> </w:t>
      </w:r>
      <w:r w:rsidR="00880814" w:rsidRPr="00880814">
        <w:rPr>
          <w:rFonts w:ascii="Times New Roman" w:hAnsi="Times New Roman"/>
          <w:sz w:val="24"/>
          <w:szCs w:val="24"/>
          <w:lang w:val="sr-Cyrl-CS"/>
        </w:rPr>
        <w:t>у</w:t>
      </w:r>
      <w:r w:rsidR="00F67EE8" w:rsidRPr="00880814">
        <w:rPr>
          <w:rFonts w:ascii="Times New Roman" w:hAnsi="Times New Roman"/>
          <w:sz w:val="24"/>
          <w:szCs w:val="24"/>
          <w:lang w:val="sr-Cyrl-CS"/>
        </w:rPr>
        <w:t xml:space="preserve"> </w:t>
      </w:r>
      <w:r w:rsidR="00880814" w:rsidRPr="00880814">
        <w:rPr>
          <w:rFonts w:ascii="Times New Roman" w:hAnsi="Times New Roman"/>
          <w:sz w:val="24"/>
          <w:szCs w:val="24"/>
          <w:lang w:val="sr-Cyrl-CS"/>
        </w:rPr>
        <w:t>укупним</w:t>
      </w:r>
      <w:r w:rsidR="00F67EE8" w:rsidRPr="00880814">
        <w:rPr>
          <w:rFonts w:ascii="Times New Roman" w:hAnsi="Times New Roman"/>
          <w:sz w:val="24"/>
          <w:szCs w:val="24"/>
          <w:lang w:val="sr-Cyrl-CS"/>
        </w:rPr>
        <w:t xml:space="preserve"> </w:t>
      </w:r>
      <w:r w:rsidR="00880814" w:rsidRPr="00880814">
        <w:rPr>
          <w:rFonts w:ascii="Times New Roman" w:hAnsi="Times New Roman"/>
          <w:sz w:val="24"/>
          <w:szCs w:val="24"/>
          <w:lang w:val="sr-Cyrl-CS"/>
        </w:rPr>
        <w:t>плаћањима</w:t>
      </w:r>
      <w:r w:rsidR="00F67EE8" w:rsidRPr="00880814">
        <w:rPr>
          <w:rFonts w:ascii="Times New Roman" w:hAnsi="Times New Roman"/>
          <w:sz w:val="24"/>
          <w:szCs w:val="24"/>
          <w:lang w:val="sr-Cyrl-CS"/>
        </w:rPr>
        <w:t xml:space="preserve"> </w:t>
      </w:r>
      <w:r w:rsidR="00880814" w:rsidRPr="00880814">
        <w:rPr>
          <w:rFonts w:ascii="Times New Roman" w:hAnsi="Times New Roman"/>
          <w:sz w:val="24"/>
          <w:szCs w:val="24"/>
          <w:lang w:val="sr-Cyrl-CS"/>
        </w:rPr>
        <w:t>ПДВ</w:t>
      </w:r>
      <w:r w:rsidR="00F67EE8" w:rsidRPr="00880814">
        <w:rPr>
          <w:rFonts w:ascii="Times New Roman" w:hAnsi="Times New Roman"/>
          <w:sz w:val="24"/>
          <w:szCs w:val="24"/>
          <w:lang w:val="sr-Cyrl-CS"/>
        </w:rPr>
        <w:t xml:space="preserve"> </w:t>
      </w:r>
      <w:r w:rsidR="00880814" w:rsidRPr="00880814">
        <w:rPr>
          <w:rFonts w:ascii="Times New Roman" w:hAnsi="Times New Roman"/>
          <w:sz w:val="24"/>
          <w:szCs w:val="24"/>
          <w:lang w:val="sr-Cyrl-CS"/>
        </w:rPr>
        <w:t>обвезника</w:t>
      </w:r>
      <w:r w:rsidR="00F67EE8" w:rsidRPr="00880814">
        <w:rPr>
          <w:rFonts w:ascii="Times New Roman" w:hAnsi="Times New Roman"/>
          <w:sz w:val="24"/>
          <w:szCs w:val="24"/>
          <w:lang w:val="sr-Cyrl-CS"/>
        </w:rPr>
        <w:t xml:space="preserve"> (</w:t>
      </w:r>
      <w:r w:rsidR="00880814" w:rsidRPr="00880814">
        <w:rPr>
          <w:rFonts w:ascii="Times New Roman" w:hAnsi="Times New Roman"/>
          <w:sz w:val="24"/>
          <w:szCs w:val="24"/>
          <w:lang w:val="sr-Cyrl-CS"/>
        </w:rPr>
        <w:t>предузећа</w:t>
      </w:r>
      <w:r w:rsidR="00F67EE8" w:rsidRPr="00880814">
        <w:rPr>
          <w:rFonts w:ascii="Times New Roman" w:hAnsi="Times New Roman"/>
          <w:sz w:val="24"/>
          <w:szCs w:val="24"/>
          <w:lang w:val="sr-Cyrl-CS"/>
        </w:rPr>
        <w:t xml:space="preserve"> </w:t>
      </w:r>
      <w:r w:rsidR="00880814" w:rsidRPr="00880814">
        <w:rPr>
          <w:rFonts w:ascii="Times New Roman" w:hAnsi="Times New Roman"/>
          <w:sz w:val="24"/>
          <w:szCs w:val="24"/>
          <w:lang w:val="sr-Cyrl-CS"/>
        </w:rPr>
        <w:t>и</w:t>
      </w:r>
      <w:r w:rsidR="00F67EE8" w:rsidRPr="00880814">
        <w:rPr>
          <w:rFonts w:ascii="Times New Roman" w:hAnsi="Times New Roman"/>
          <w:sz w:val="24"/>
          <w:szCs w:val="24"/>
          <w:lang w:val="sr-Cyrl-CS"/>
        </w:rPr>
        <w:t xml:space="preserve"> </w:t>
      </w:r>
      <w:r w:rsidR="00880814" w:rsidRPr="00880814">
        <w:rPr>
          <w:rFonts w:ascii="Times New Roman" w:hAnsi="Times New Roman"/>
          <w:sz w:val="24"/>
          <w:szCs w:val="24"/>
          <w:lang w:val="sr-Cyrl-CS"/>
        </w:rPr>
        <w:t>предузетника</w:t>
      </w:r>
      <w:r w:rsidR="00F67EE8" w:rsidRPr="00880814">
        <w:rPr>
          <w:rFonts w:ascii="Times New Roman" w:hAnsi="Times New Roman"/>
          <w:sz w:val="24"/>
          <w:szCs w:val="24"/>
          <w:lang w:val="sr-Cyrl-CS"/>
        </w:rPr>
        <w:t xml:space="preserve">) </w:t>
      </w:r>
      <w:r w:rsidR="00880814" w:rsidRPr="00880814">
        <w:rPr>
          <w:rFonts w:ascii="Times New Roman" w:hAnsi="Times New Roman"/>
          <w:sz w:val="24"/>
          <w:szCs w:val="24"/>
          <w:lang w:val="sr-Cyrl-CS"/>
        </w:rPr>
        <w:t>износи</w:t>
      </w:r>
      <w:r w:rsidR="00F67EE8" w:rsidRPr="00880814">
        <w:rPr>
          <w:rFonts w:ascii="Times New Roman" w:hAnsi="Times New Roman"/>
          <w:sz w:val="24"/>
          <w:szCs w:val="24"/>
          <w:lang w:val="sr-Cyrl-CS"/>
        </w:rPr>
        <w:t xml:space="preserve"> 27,8%. </w:t>
      </w:r>
      <w:r w:rsidRPr="00880814">
        <w:rPr>
          <w:rFonts w:ascii="Times New Roman" w:hAnsi="Times New Roman"/>
          <w:sz w:val="24"/>
          <w:szCs w:val="24"/>
          <w:lang w:val="sr-Cyrl-CS"/>
        </w:rPr>
        <w:t>При том, г</w:t>
      </w:r>
      <w:r w:rsidR="00880814" w:rsidRPr="00880814">
        <w:rPr>
          <w:rFonts w:ascii="Times New Roman" w:hAnsi="Times New Roman"/>
          <w:sz w:val="24"/>
          <w:szCs w:val="24"/>
          <w:lang w:val="sr-Cyrl-CS"/>
        </w:rPr>
        <w:t>отовинска</w:t>
      </w:r>
      <w:r w:rsidR="00F67EE8" w:rsidRPr="00880814">
        <w:rPr>
          <w:rFonts w:ascii="Times New Roman" w:hAnsi="Times New Roman"/>
          <w:sz w:val="24"/>
          <w:szCs w:val="24"/>
          <w:lang w:val="sr-Cyrl-CS"/>
        </w:rPr>
        <w:t xml:space="preserve"> </w:t>
      </w:r>
      <w:r w:rsidR="00880814" w:rsidRPr="00880814">
        <w:rPr>
          <w:rFonts w:ascii="Times New Roman" w:hAnsi="Times New Roman"/>
          <w:sz w:val="24"/>
          <w:szCs w:val="24"/>
          <w:lang w:val="sr-Cyrl-CS"/>
        </w:rPr>
        <w:t>плаћања</w:t>
      </w:r>
      <w:r w:rsidR="00F67EE8" w:rsidRPr="00880814">
        <w:rPr>
          <w:rFonts w:ascii="Times New Roman" w:hAnsi="Times New Roman"/>
          <w:sz w:val="24"/>
          <w:szCs w:val="24"/>
          <w:lang w:val="sr-Cyrl-CS"/>
        </w:rPr>
        <w:t xml:space="preserve"> </w:t>
      </w:r>
      <w:r w:rsidR="00880814" w:rsidRPr="00880814">
        <w:rPr>
          <w:rFonts w:ascii="Times New Roman" w:hAnsi="Times New Roman"/>
          <w:sz w:val="24"/>
          <w:szCs w:val="24"/>
          <w:lang w:val="sr-Cyrl-CS"/>
        </w:rPr>
        <w:t>имају</w:t>
      </w:r>
      <w:r w:rsidR="00F67EE8" w:rsidRPr="00880814">
        <w:rPr>
          <w:rFonts w:ascii="Times New Roman" w:hAnsi="Times New Roman"/>
          <w:sz w:val="24"/>
          <w:szCs w:val="24"/>
          <w:lang w:val="sr-Cyrl-CS"/>
        </w:rPr>
        <w:t xml:space="preserve"> </w:t>
      </w:r>
      <w:r w:rsidR="00880814" w:rsidRPr="00880814">
        <w:rPr>
          <w:rFonts w:ascii="Times New Roman" w:hAnsi="Times New Roman"/>
          <w:sz w:val="24"/>
          <w:szCs w:val="24"/>
          <w:lang w:val="sr-Cyrl-CS"/>
        </w:rPr>
        <w:t>највеће</w:t>
      </w:r>
      <w:r w:rsidR="00F67EE8" w:rsidRPr="00880814">
        <w:rPr>
          <w:rFonts w:ascii="Times New Roman" w:hAnsi="Times New Roman"/>
          <w:sz w:val="24"/>
          <w:szCs w:val="24"/>
          <w:lang w:val="sr-Cyrl-CS"/>
        </w:rPr>
        <w:t xml:space="preserve"> </w:t>
      </w:r>
      <w:r w:rsidR="00880814" w:rsidRPr="00880814">
        <w:rPr>
          <w:rFonts w:ascii="Times New Roman" w:hAnsi="Times New Roman"/>
          <w:sz w:val="24"/>
          <w:szCs w:val="24"/>
          <w:lang w:val="sr-Cyrl-CS"/>
        </w:rPr>
        <w:t>учешће</w:t>
      </w:r>
      <w:r w:rsidR="00F67EE8" w:rsidRPr="00880814">
        <w:rPr>
          <w:rFonts w:ascii="Times New Roman" w:hAnsi="Times New Roman"/>
          <w:sz w:val="24"/>
          <w:szCs w:val="24"/>
          <w:lang w:val="sr-Cyrl-CS"/>
        </w:rPr>
        <w:t xml:space="preserve"> </w:t>
      </w:r>
      <w:r w:rsidR="00880814" w:rsidRPr="00880814">
        <w:rPr>
          <w:rFonts w:ascii="Times New Roman" w:hAnsi="Times New Roman"/>
          <w:sz w:val="24"/>
          <w:szCs w:val="24"/>
          <w:lang w:val="sr-Cyrl-CS"/>
        </w:rPr>
        <w:t>у</w:t>
      </w:r>
      <w:r w:rsidR="00F67EE8" w:rsidRPr="00880814">
        <w:rPr>
          <w:rFonts w:ascii="Times New Roman" w:hAnsi="Times New Roman"/>
          <w:sz w:val="24"/>
          <w:szCs w:val="24"/>
          <w:lang w:val="sr-Cyrl-CS"/>
        </w:rPr>
        <w:t xml:space="preserve"> </w:t>
      </w:r>
      <w:r w:rsidR="00880814" w:rsidRPr="00880814">
        <w:rPr>
          <w:rFonts w:ascii="Times New Roman" w:hAnsi="Times New Roman"/>
          <w:sz w:val="24"/>
          <w:szCs w:val="24"/>
          <w:lang w:val="sr-Cyrl-CS"/>
        </w:rPr>
        <w:t>грађевинарству</w:t>
      </w:r>
      <w:r w:rsidR="00F67EE8" w:rsidRPr="00880814">
        <w:rPr>
          <w:rFonts w:ascii="Times New Roman" w:hAnsi="Times New Roman"/>
          <w:sz w:val="24"/>
          <w:szCs w:val="24"/>
          <w:lang w:val="sr-Cyrl-CS"/>
        </w:rPr>
        <w:t xml:space="preserve"> (43%), </w:t>
      </w:r>
      <w:r w:rsidR="00880814" w:rsidRPr="00880814">
        <w:rPr>
          <w:rFonts w:ascii="Times New Roman" w:hAnsi="Times New Roman"/>
          <w:sz w:val="24"/>
          <w:szCs w:val="24"/>
          <w:lang w:val="sr-Cyrl-CS"/>
        </w:rPr>
        <w:t>затим</w:t>
      </w:r>
      <w:r w:rsidR="00F67EE8" w:rsidRPr="00880814">
        <w:rPr>
          <w:rFonts w:ascii="Times New Roman" w:hAnsi="Times New Roman"/>
          <w:sz w:val="24"/>
          <w:szCs w:val="24"/>
          <w:lang w:val="sr-Cyrl-CS"/>
        </w:rPr>
        <w:t xml:space="preserve"> </w:t>
      </w:r>
      <w:r w:rsidR="00880814" w:rsidRPr="00880814">
        <w:rPr>
          <w:rFonts w:ascii="Times New Roman" w:hAnsi="Times New Roman"/>
          <w:sz w:val="24"/>
          <w:szCs w:val="24"/>
          <w:lang w:val="sr-Cyrl-CS"/>
        </w:rPr>
        <w:t>у</w:t>
      </w:r>
      <w:r w:rsidR="00F67EE8" w:rsidRPr="00880814">
        <w:rPr>
          <w:rFonts w:ascii="Times New Roman" w:hAnsi="Times New Roman"/>
          <w:sz w:val="24"/>
          <w:szCs w:val="24"/>
          <w:lang w:val="sr-Cyrl-CS"/>
        </w:rPr>
        <w:t xml:space="preserve"> </w:t>
      </w:r>
      <w:r w:rsidR="00880814" w:rsidRPr="00880814">
        <w:rPr>
          <w:rFonts w:ascii="Times New Roman" w:hAnsi="Times New Roman"/>
          <w:sz w:val="24"/>
          <w:szCs w:val="24"/>
          <w:lang w:val="sr-Cyrl-CS"/>
        </w:rPr>
        <w:t>пољопривреди</w:t>
      </w:r>
      <w:r w:rsidR="00F67EE8" w:rsidRPr="00880814">
        <w:rPr>
          <w:rFonts w:ascii="Times New Roman" w:hAnsi="Times New Roman"/>
          <w:sz w:val="24"/>
          <w:szCs w:val="24"/>
          <w:lang w:val="sr-Cyrl-CS"/>
        </w:rPr>
        <w:t xml:space="preserve"> (31%) </w:t>
      </w:r>
      <w:r w:rsidR="00880814" w:rsidRPr="00880814">
        <w:rPr>
          <w:rFonts w:ascii="Times New Roman" w:hAnsi="Times New Roman"/>
          <w:sz w:val="24"/>
          <w:szCs w:val="24"/>
          <w:lang w:val="sr-Cyrl-CS"/>
        </w:rPr>
        <w:t>и</w:t>
      </w:r>
      <w:r w:rsidR="00F67EE8" w:rsidRPr="00880814">
        <w:rPr>
          <w:rFonts w:ascii="Times New Roman" w:hAnsi="Times New Roman"/>
          <w:sz w:val="24"/>
          <w:szCs w:val="24"/>
          <w:lang w:val="sr-Cyrl-CS"/>
        </w:rPr>
        <w:t xml:space="preserve"> </w:t>
      </w:r>
      <w:r w:rsidR="00880814" w:rsidRPr="00880814">
        <w:rPr>
          <w:rFonts w:ascii="Times New Roman" w:hAnsi="Times New Roman"/>
          <w:sz w:val="24"/>
          <w:szCs w:val="24"/>
          <w:lang w:val="sr-Cyrl-CS"/>
        </w:rPr>
        <w:t>у</w:t>
      </w:r>
      <w:r w:rsidR="00F67EE8" w:rsidRPr="00880814">
        <w:rPr>
          <w:rFonts w:ascii="Times New Roman" w:hAnsi="Times New Roman"/>
          <w:sz w:val="24"/>
          <w:szCs w:val="24"/>
          <w:lang w:val="sr-Cyrl-CS"/>
        </w:rPr>
        <w:t xml:space="preserve"> </w:t>
      </w:r>
      <w:r w:rsidR="00880814" w:rsidRPr="00880814">
        <w:rPr>
          <w:rFonts w:ascii="Times New Roman" w:hAnsi="Times New Roman"/>
          <w:sz w:val="24"/>
          <w:szCs w:val="24"/>
          <w:lang w:val="sr-Cyrl-CS"/>
        </w:rPr>
        <w:t>трговини</w:t>
      </w:r>
      <w:r w:rsidR="00F67EE8" w:rsidRPr="00880814">
        <w:rPr>
          <w:rFonts w:ascii="Times New Roman" w:hAnsi="Times New Roman"/>
          <w:sz w:val="24"/>
          <w:szCs w:val="24"/>
          <w:lang w:val="sr-Cyrl-CS"/>
        </w:rPr>
        <w:t xml:space="preserve"> (26,9%)</w:t>
      </w:r>
      <w:r w:rsidR="00F34746">
        <w:rPr>
          <w:rFonts w:ascii="Times New Roman" w:hAnsi="Times New Roman"/>
          <w:sz w:val="24"/>
          <w:szCs w:val="24"/>
          <w:lang w:val="sr-Cyrl-CS"/>
        </w:rPr>
        <w:t>. Најважнији разлог готовинс</w:t>
      </w:r>
      <w:r w:rsidRPr="00880814">
        <w:rPr>
          <w:rFonts w:ascii="Times New Roman" w:hAnsi="Times New Roman"/>
          <w:sz w:val="24"/>
          <w:szCs w:val="24"/>
          <w:lang w:val="sr-Cyrl-CS"/>
        </w:rPr>
        <w:t>ког плаћања је нижа цена.</w:t>
      </w:r>
      <w:r w:rsidRPr="00880814">
        <w:rPr>
          <w:rStyle w:val="FootnoteReference"/>
          <w:rFonts w:ascii="Times New Roman" w:hAnsi="Times New Roman"/>
          <w:sz w:val="24"/>
          <w:szCs w:val="24"/>
          <w:lang w:val="sr-Cyrl-CS"/>
        </w:rPr>
        <w:footnoteReference w:id="423"/>
      </w:r>
      <w:r w:rsidR="00F67EE8" w:rsidRPr="00880814">
        <w:rPr>
          <w:rFonts w:ascii="Times New Roman" w:hAnsi="Times New Roman"/>
          <w:sz w:val="24"/>
          <w:szCs w:val="24"/>
          <w:lang w:val="sr-Cyrl-CS"/>
        </w:rPr>
        <w:t xml:space="preserve"> </w:t>
      </w:r>
    </w:p>
    <w:p w:rsidR="002A2E6A" w:rsidRDefault="002A2E6A" w:rsidP="002A2E6A">
      <w:pPr>
        <w:shd w:val="clear" w:color="auto" w:fill="FFFFFF"/>
        <w:spacing w:after="0" w:line="285" w:lineRule="atLeast"/>
        <w:ind w:firstLine="360"/>
        <w:jc w:val="both"/>
        <w:rPr>
          <w:lang w:val="sr-Cyrl-CS"/>
        </w:rPr>
      </w:pPr>
    </w:p>
    <w:p w:rsidR="002A2E6A" w:rsidRDefault="002A2E6A" w:rsidP="002A2E6A">
      <w:pPr>
        <w:shd w:val="clear" w:color="auto" w:fill="FFFFFF"/>
        <w:spacing w:after="0" w:line="285" w:lineRule="atLeast"/>
        <w:ind w:firstLine="360"/>
        <w:jc w:val="both"/>
        <w:rPr>
          <w:rFonts w:ascii="Times New Roman" w:hAnsi="Times New Roman"/>
          <w:sz w:val="24"/>
          <w:szCs w:val="24"/>
          <w:lang w:val="sr-Cyrl-CS"/>
        </w:rPr>
      </w:pPr>
      <w:r w:rsidRPr="00880814">
        <w:rPr>
          <w:rFonts w:ascii="Times New Roman" w:hAnsi="Times New Roman"/>
          <w:sz w:val="24"/>
          <w:szCs w:val="24"/>
          <w:lang w:val="sr-Cyrl-CS"/>
        </w:rPr>
        <w:t xml:space="preserve">Оваквим пословањем </w:t>
      </w:r>
      <w:r w:rsidR="00880814" w:rsidRPr="00880814">
        <w:rPr>
          <w:rFonts w:ascii="Times New Roman" w:hAnsi="Times New Roman"/>
          <w:sz w:val="24"/>
          <w:szCs w:val="24"/>
          <w:lang w:val="sr-Cyrl-CS"/>
        </w:rPr>
        <w:t>озбиљно се угрожавају привредни</w:t>
      </w:r>
      <w:r w:rsidRPr="00880814">
        <w:rPr>
          <w:rFonts w:ascii="Times New Roman" w:hAnsi="Times New Roman"/>
          <w:sz w:val="24"/>
          <w:szCs w:val="24"/>
          <w:lang w:val="sr-Cyrl-CS"/>
        </w:rPr>
        <w:t xml:space="preserve"> субјекти који легално п</w:t>
      </w:r>
      <w:r w:rsidR="00880814" w:rsidRPr="00880814">
        <w:rPr>
          <w:rFonts w:ascii="Times New Roman" w:hAnsi="Times New Roman"/>
          <w:sz w:val="24"/>
          <w:szCs w:val="24"/>
          <w:lang w:val="sr-Cyrl-CS"/>
        </w:rPr>
        <w:t>ослују и измирују своје обавезе по основу ПДВ-а и других државних дажбина. Они су додатно оптерећени пореским обавезама и налазе се у неравноправном положају, док се субјекти из сиве зоне недовољно контролишу. Повећано пореско оптерећење наводи субјекте који легално послују на прелазак у нелегалну зону, чиме се проблем пореске евазије даље продубљује.</w:t>
      </w:r>
      <w:r w:rsidRPr="00880814">
        <w:rPr>
          <w:rFonts w:ascii="Times New Roman" w:hAnsi="Times New Roman"/>
          <w:sz w:val="24"/>
          <w:szCs w:val="24"/>
          <w:lang w:val="sr-Cyrl-CS"/>
        </w:rPr>
        <w:t xml:space="preserve"> </w:t>
      </w:r>
    </w:p>
    <w:p w:rsidR="00710016" w:rsidRDefault="00710016" w:rsidP="002A2E6A">
      <w:pPr>
        <w:shd w:val="clear" w:color="auto" w:fill="FFFFFF"/>
        <w:spacing w:after="0" w:line="285" w:lineRule="atLeast"/>
        <w:ind w:firstLine="360"/>
        <w:jc w:val="both"/>
        <w:rPr>
          <w:rFonts w:ascii="Times New Roman" w:hAnsi="Times New Roman"/>
          <w:sz w:val="24"/>
          <w:szCs w:val="24"/>
          <w:lang w:val="sr-Cyrl-CS"/>
        </w:rPr>
      </w:pPr>
    </w:p>
    <w:p w:rsidR="00710016" w:rsidRDefault="00710016" w:rsidP="002A2E6A">
      <w:pPr>
        <w:shd w:val="clear" w:color="auto" w:fill="FFFFFF"/>
        <w:spacing w:after="0" w:line="285" w:lineRule="atLeast"/>
        <w:ind w:firstLine="360"/>
        <w:jc w:val="both"/>
        <w:rPr>
          <w:rFonts w:ascii="Times New Roman" w:hAnsi="Times New Roman"/>
          <w:sz w:val="24"/>
          <w:szCs w:val="24"/>
          <w:lang w:val="sr-Cyrl-CS"/>
        </w:rPr>
      </w:pPr>
      <w:r>
        <w:rPr>
          <w:rFonts w:ascii="Times New Roman" w:hAnsi="Times New Roman"/>
          <w:sz w:val="24"/>
          <w:szCs w:val="24"/>
          <w:lang w:val="sr-Cyrl-CS"/>
        </w:rPr>
        <w:t>Случај када одређена правна лица уплаћују новац по основу фактурисаних услуга, које нису извршене, на рачун предузећа која су основана са циљем да послују у кратком временском периоду, а новац се са рачуна тих фирми подиже по основу откупа пољопривредних производа и секундарних сировина, (при чему се праве лажни откупни блокови, којима се доказује да је откуп извршен и новац који је подигнут у свху откупа се враћа власницима фирми које су вршиле уплате по основу услуга, умањен за провизију), може се шематски приказати на следећи начин:</w:t>
      </w:r>
    </w:p>
    <w:p w:rsidR="001F2FCF" w:rsidRPr="00001DEB" w:rsidRDefault="001F2FCF" w:rsidP="00001DEB">
      <w:pPr>
        <w:shd w:val="clear" w:color="auto" w:fill="FFFFFF"/>
        <w:spacing w:after="0" w:line="285" w:lineRule="atLeast"/>
        <w:jc w:val="both"/>
        <w:rPr>
          <w:rFonts w:ascii="Times New Roman" w:hAnsi="Times New Roman"/>
          <w:sz w:val="24"/>
          <w:szCs w:val="24"/>
          <w:lang w:val="sr-Cyrl-CS"/>
        </w:rPr>
      </w:pPr>
    </w:p>
    <w:p w:rsidR="001F2FCF" w:rsidRPr="001F2FCF" w:rsidRDefault="00001DEB" w:rsidP="002A2E6A">
      <w:pPr>
        <w:shd w:val="clear" w:color="auto" w:fill="FFFFFF"/>
        <w:spacing w:after="0" w:line="285" w:lineRule="atLeast"/>
        <w:ind w:firstLine="360"/>
        <w:jc w:val="both"/>
        <w:rPr>
          <w:rFonts w:ascii="Times New Roman" w:hAnsi="Times New Roman"/>
          <w:b/>
          <w:sz w:val="24"/>
          <w:szCs w:val="24"/>
          <w:lang w:val="sr-Cyrl-CS"/>
        </w:rPr>
      </w:pPr>
      <w:r>
        <w:rPr>
          <w:rFonts w:ascii="Times New Roman" w:hAnsi="Times New Roman"/>
          <w:b/>
          <w:sz w:val="24"/>
          <w:szCs w:val="24"/>
          <w:lang w:val="sr-Cyrl-CS"/>
        </w:rPr>
        <w:t>Слика 19</w:t>
      </w:r>
      <w:r w:rsidR="001F2FCF" w:rsidRPr="001F2FCF">
        <w:rPr>
          <w:rFonts w:ascii="Times New Roman" w:hAnsi="Times New Roman"/>
          <w:b/>
          <w:sz w:val="24"/>
          <w:szCs w:val="24"/>
          <w:lang w:val="sr-Cyrl-CS"/>
        </w:rPr>
        <w:t>.</w:t>
      </w:r>
      <w:r w:rsidR="00A857A8">
        <w:rPr>
          <w:rStyle w:val="FootnoteReference"/>
          <w:rFonts w:ascii="Times New Roman" w:hAnsi="Times New Roman"/>
          <w:b/>
          <w:sz w:val="24"/>
          <w:szCs w:val="24"/>
          <w:lang w:val="sr-Cyrl-CS"/>
        </w:rPr>
        <w:footnoteReference w:id="424"/>
      </w:r>
    </w:p>
    <w:p w:rsidR="001F2FCF" w:rsidRDefault="001F2FCF" w:rsidP="002A2E6A">
      <w:pPr>
        <w:shd w:val="clear" w:color="auto" w:fill="FFFFFF"/>
        <w:spacing w:after="0" w:line="285" w:lineRule="atLeast"/>
        <w:ind w:firstLine="360"/>
        <w:jc w:val="both"/>
        <w:rPr>
          <w:rFonts w:ascii="Times New Roman" w:hAnsi="Times New Roman"/>
          <w:sz w:val="24"/>
          <w:szCs w:val="24"/>
          <w:lang w:val="sr-Cyrl-CS"/>
        </w:rPr>
      </w:pPr>
    </w:p>
    <w:p w:rsidR="00710016" w:rsidRDefault="00710016" w:rsidP="002A2E6A">
      <w:pPr>
        <w:shd w:val="clear" w:color="auto" w:fill="FFFFFF"/>
        <w:spacing w:after="0" w:line="285" w:lineRule="atLeast"/>
        <w:ind w:firstLine="360"/>
        <w:jc w:val="both"/>
        <w:rPr>
          <w:rFonts w:ascii="Times New Roman" w:hAnsi="Times New Roman"/>
          <w:sz w:val="24"/>
          <w:szCs w:val="24"/>
          <w:lang w:val="sr-Cyrl-CS"/>
        </w:rPr>
      </w:pPr>
    </w:p>
    <w:p w:rsidR="00710016" w:rsidRDefault="00616181" w:rsidP="002A2E6A">
      <w:pPr>
        <w:shd w:val="clear" w:color="auto" w:fill="FFFFFF"/>
        <w:spacing w:after="0" w:line="285" w:lineRule="atLeast"/>
        <w:ind w:firstLine="360"/>
        <w:jc w:val="both"/>
        <w:rPr>
          <w:rFonts w:ascii="Times New Roman" w:hAnsi="Times New Roman"/>
          <w:sz w:val="24"/>
          <w:szCs w:val="24"/>
          <w:lang w:val="sr-Cyrl-CS"/>
        </w:rPr>
      </w:pPr>
      <w:r>
        <w:rPr>
          <w:rFonts w:ascii="Times New Roman" w:hAnsi="Times New Roman"/>
          <w:noProof/>
          <w:sz w:val="24"/>
          <w:szCs w:val="24"/>
        </w:rPr>
        <w:pict>
          <v:oval id="_x0000_s1512" style="position:absolute;left:0;text-align:left;margin-left:198.45pt;margin-top:6.4pt;width:60pt;height:42pt;z-index:251830784">
            <v:textbox>
              <w:txbxContent>
                <w:p w:rsidR="00767127" w:rsidRPr="001F2FCF" w:rsidRDefault="00767127">
                  <w:pPr>
                    <w:rPr>
                      <w:sz w:val="18"/>
                      <w:szCs w:val="18"/>
                      <w:lang w:val="sr-Cyrl-CS"/>
                    </w:rPr>
                  </w:pPr>
                  <w:r>
                    <w:rPr>
                      <w:sz w:val="18"/>
                      <w:szCs w:val="18"/>
                      <w:lang w:val="sr-Cyrl-CS"/>
                    </w:rPr>
                    <w:t>банка</w:t>
                  </w:r>
                </w:p>
              </w:txbxContent>
            </v:textbox>
          </v:oval>
        </w:pict>
      </w:r>
    </w:p>
    <w:p w:rsidR="001F2FCF" w:rsidRDefault="001F2FCF" w:rsidP="001F2FCF">
      <w:pPr>
        <w:shd w:val="clear" w:color="auto" w:fill="FFFFFF"/>
        <w:spacing w:after="0" w:line="285" w:lineRule="atLeast"/>
        <w:jc w:val="both"/>
        <w:rPr>
          <w:rFonts w:ascii="Times New Roman" w:hAnsi="Times New Roman"/>
          <w:sz w:val="24"/>
          <w:szCs w:val="24"/>
          <w:lang w:val="sr-Cyrl-CS"/>
        </w:rPr>
      </w:pPr>
    </w:p>
    <w:p w:rsidR="00710016" w:rsidRDefault="00616181" w:rsidP="002A2E6A">
      <w:pPr>
        <w:shd w:val="clear" w:color="auto" w:fill="FFFFFF"/>
        <w:spacing w:after="0" w:line="285" w:lineRule="atLeast"/>
        <w:ind w:firstLine="360"/>
        <w:jc w:val="both"/>
        <w:rPr>
          <w:rFonts w:ascii="Times New Roman" w:hAnsi="Times New Roman"/>
          <w:sz w:val="24"/>
          <w:szCs w:val="24"/>
          <w:lang w:val="sr-Cyrl-CS"/>
        </w:rPr>
      </w:pPr>
      <w:r>
        <w:rPr>
          <w:rFonts w:ascii="Times New Roman" w:hAnsi="Times New Roman"/>
          <w:noProof/>
          <w:sz w:val="24"/>
          <w:szCs w:val="24"/>
        </w:rPr>
        <w:pict>
          <v:shape id="_x0000_s1514" type="#_x0000_t32" style="position:absolute;left:0;text-align:left;margin-left:262.2pt;margin-top:13.15pt;width:111pt;height:30pt;z-index:251832832" o:connectortype="straight">
            <v:stroke endarrow="block"/>
          </v:shape>
        </w:pict>
      </w:r>
      <w:r>
        <w:rPr>
          <w:rFonts w:ascii="Times New Roman" w:hAnsi="Times New Roman"/>
          <w:noProof/>
          <w:sz w:val="24"/>
          <w:szCs w:val="24"/>
        </w:rPr>
        <w:pict>
          <v:shape id="_x0000_s1513" type="#_x0000_t32" style="position:absolute;left:0;text-align:left;margin-left:69.45pt;margin-top:8.65pt;width:117.75pt;height:34.5pt;flip:y;z-index:251831808" o:connectortype="straight">
            <v:stroke endarrow="block"/>
          </v:shape>
        </w:pict>
      </w:r>
    </w:p>
    <w:p w:rsidR="00710016" w:rsidRDefault="001F2FCF" w:rsidP="002A2E6A">
      <w:pPr>
        <w:shd w:val="clear" w:color="auto" w:fill="FFFFFF"/>
        <w:spacing w:after="0" w:line="285" w:lineRule="atLeast"/>
        <w:ind w:firstLine="360"/>
        <w:jc w:val="both"/>
        <w:rPr>
          <w:rFonts w:ascii="Times New Roman" w:hAnsi="Times New Roman"/>
          <w:sz w:val="24"/>
          <w:szCs w:val="24"/>
          <w:lang w:val="sr-Cyrl-CS"/>
        </w:rPr>
      </w:pPr>
      <w:r>
        <w:rPr>
          <w:rFonts w:ascii="Times New Roman" w:hAnsi="Times New Roman"/>
          <w:sz w:val="24"/>
          <w:szCs w:val="24"/>
          <w:lang w:val="sr-Cyrl-CS"/>
        </w:rPr>
        <w:t xml:space="preserve">           Уплата по основу услуга                                            подизање готовине</w:t>
      </w:r>
    </w:p>
    <w:p w:rsidR="00710016" w:rsidRDefault="00710016" w:rsidP="001F2FCF">
      <w:pPr>
        <w:shd w:val="clear" w:color="auto" w:fill="FFFFFF"/>
        <w:spacing w:after="0" w:line="285" w:lineRule="atLeast"/>
        <w:jc w:val="both"/>
        <w:rPr>
          <w:rFonts w:ascii="Times New Roman" w:hAnsi="Times New Roman"/>
          <w:sz w:val="24"/>
          <w:szCs w:val="24"/>
          <w:lang w:val="sr-Cyrl-CS"/>
        </w:rPr>
      </w:pPr>
    </w:p>
    <w:p w:rsidR="001F2FCF" w:rsidRDefault="00616181" w:rsidP="001F2FCF">
      <w:pPr>
        <w:shd w:val="clear" w:color="auto" w:fill="FFFFFF"/>
        <w:spacing w:after="0" w:line="285" w:lineRule="atLeast"/>
        <w:jc w:val="both"/>
        <w:rPr>
          <w:rFonts w:ascii="Times New Roman" w:hAnsi="Times New Roman"/>
          <w:sz w:val="24"/>
          <w:szCs w:val="24"/>
          <w:lang w:val="sr-Cyrl-CS"/>
        </w:rPr>
      </w:pPr>
      <w:r>
        <w:rPr>
          <w:rFonts w:ascii="Times New Roman" w:hAnsi="Times New Roman"/>
          <w:noProof/>
          <w:sz w:val="24"/>
          <w:szCs w:val="24"/>
        </w:rPr>
        <w:pict>
          <v:rect id="_x0000_s1509" style="position:absolute;left:0;text-align:left;margin-left:2.7pt;margin-top:6.4pt;width:62.25pt;height:48.75pt;z-index:251827712">
            <v:textbox>
              <w:txbxContent>
                <w:p w:rsidR="00767127" w:rsidRDefault="00767127">
                  <w:pPr>
                    <w:rPr>
                      <w:sz w:val="18"/>
                      <w:szCs w:val="18"/>
                      <w:lang w:val="sr-Cyrl-CS"/>
                    </w:rPr>
                  </w:pPr>
                  <w:r>
                    <w:rPr>
                      <w:sz w:val="18"/>
                      <w:szCs w:val="18"/>
                      <w:lang w:val="sr-Cyrl-CS"/>
                    </w:rPr>
                    <w:t>Трговинско</w:t>
                  </w:r>
                </w:p>
                <w:p w:rsidR="00767127" w:rsidRPr="001F2FCF" w:rsidRDefault="00767127">
                  <w:pPr>
                    <w:rPr>
                      <w:sz w:val="18"/>
                      <w:szCs w:val="18"/>
                      <w:lang w:val="sr-Cyrl-CS"/>
                    </w:rPr>
                  </w:pPr>
                  <w:r>
                    <w:rPr>
                      <w:sz w:val="18"/>
                      <w:szCs w:val="18"/>
                      <w:lang w:val="sr-Cyrl-CS"/>
                    </w:rPr>
                    <w:t>предузеће</w:t>
                  </w:r>
                </w:p>
              </w:txbxContent>
            </v:textbox>
          </v:rect>
        </w:pict>
      </w:r>
      <w:r>
        <w:rPr>
          <w:rFonts w:ascii="Times New Roman" w:hAnsi="Times New Roman"/>
          <w:noProof/>
          <w:sz w:val="24"/>
          <w:szCs w:val="24"/>
        </w:rPr>
        <w:pict>
          <v:shape id="_x0000_s1520" type="#_x0000_t85" style="position:absolute;left:0;text-align:left;margin-left:94.2pt;margin-top:13.15pt;width:12.75pt;height:22.5pt;z-index:251838976"/>
        </w:pict>
      </w:r>
      <w:r>
        <w:rPr>
          <w:rFonts w:ascii="Times New Roman" w:hAnsi="Times New Roman"/>
          <w:noProof/>
          <w:sz w:val="24"/>
          <w:szCs w:val="24"/>
        </w:rPr>
        <w:pict>
          <v:shape id="_x0000_s1519" type="#_x0000_t86" style="position:absolute;left:0;text-align:left;margin-left:339.45pt;margin-top:13.15pt;width:23.25pt;height:22.5pt;z-index:251837952"/>
        </w:pict>
      </w:r>
      <w:r>
        <w:rPr>
          <w:rFonts w:ascii="Times New Roman" w:hAnsi="Times New Roman"/>
          <w:noProof/>
          <w:sz w:val="24"/>
          <w:szCs w:val="24"/>
        </w:rPr>
        <w:pict>
          <v:shape id="_x0000_s1518" type="#_x0000_t32" style="position:absolute;left:0;text-align:left;margin-left:102.45pt;margin-top:13.15pt;width:243.75pt;height:0;z-index:251836928" o:connectortype="straight"/>
        </w:pict>
      </w:r>
      <w:r>
        <w:rPr>
          <w:rFonts w:ascii="Times New Roman" w:hAnsi="Times New Roman"/>
          <w:noProof/>
          <w:sz w:val="24"/>
          <w:szCs w:val="24"/>
        </w:rPr>
        <w:pict>
          <v:rect id="_x0000_s1510" style="position:absolute;left:0;text-align:left;margin-left:373.2pt;margin-top:6.4pt;width:65.25pt;height:36.75pt;z-index:251828736">
            <v:textbox>
              <w:txbxContent>
                <w:p w:rsidR="00767127" w:rsidRPr="001F2FCF" w:rsidRDefault="00767127">
                  <w:pPr>
                    <w:rPr>
                      <w:sz w:val="18"/>
                      <w:szCs w:val="18"/>
                      <w:lang w:val="sr-Cyrl-CS"/>
                    </w:rPr>
                  </w:pPr>
                  <w:r>
                    <w:rPr>
                      <w:sz w:val="18"/>
                      <w:szCs w:val="18"/>
                      <w:lang w:val="sr-Cyrl-CS"/>
                    </w:rPr>
                    <w:t>Фантом фирма</w:t>
                  </w:r>
                </w:p>
              </w:txbxContent>
            </v:textbox>
          </v:rect>
        </w:pict>
      </w:r>
    </w:p>
    <w:p w:rsidR="00710016" w:rsidRDefault="00710016" w:rsidP="002A2E6A">
      <w:pPr>
        <w:shd w:val="clear" w:color="auto" w:fill="FFFFFF"/>
        <w:spacing w:after="0" w:line="285" w:lineRule="atLeast"/>
        <w:ind w:firstLine="360"/>
        <w:jc w:val="both"/>
        <w:rPr>
          <w:rFonts w:ascii="Times New Roman" w:hAnsi="Times New Roman"/>
          <w:sz w:val="24"/>
          <w:szCs w:val="24"/>
          <w:lang w:val="sr-Cyrl-CS"/>
        </w:rPr>
      </w:pPr>
    </w:p>
    <w:p w:rsidR="00710016" w:rsidRDefault="00616181" w:rsidP="002A2E6A">
      <w:pPr>
        <w:shd w:val="clear" w:color="auto" w:fill="FFFFFF"/>
        <w:spacing w:after="0" w:line="285" w:lineRule="atLeast"/>
        <w:ind w:firstLine="360"/>
        <w:jc w:val="both"/>
        <w:rPr>
          <w:rFonts w:ascii="Times New Roman" w:hAnsi="Times New Roman"/>
          <w:sz w:val="24"/>
          <w:szCs w:val="24"/>
          <w:lang w:val="sr-Cyrl-CS"/>
        </w:rPr>
      </w:pPr>
      <w:r>
        <w:rPr>
          <w:rFonts w:ascii="Times New Roman" w:hAnsi="Times New Roman"/>
          <w:noProof/>
          <w:sz w:val="24"/>
          <w:szCs w:val="24"/>
        </w:rPr>
        <w:pict>
          <v:shape id="_x0000_s1517" type="#_x0000_t32" style="position:absolute;left:0;text-align:left;margin-left:102.45pt;margin-top:7.15pt;width:243.75pt;height:0;flip:x;z-index:251835904" o:connectortype="straight">
            <v:stroke endarrow="block"/>
          </v:shape>
        </w:pict>
      </w:r>
    </w:p>
    <w:p w:rsidR="00710016" w:rsidRDefault="00616181" w:rsidP="002A2E6A">
      <w:pPr>
        <w:shd w:val="clear" w:color="auto" w:fill="FFFFFF"/>
        <w:spacing w:after="0" w:line="285" w:lineRule="atLeast"/>
        <w:ind w:firstLine="360"/>
        <w:jc w:val="both"/>
        <w:rPr>
          <w:rFonts w:ascii="Times New Roman" w:hAnsi="Times New Roman"/>
          <w:sz w:val="24"/>
          <w:szCs w:val="24"/>
          <w:lang w:val="sr-Cyrl-CS"/>
        </w:rPr>
      </w:pPr>
      <w:r>
        <w:rPr>
          <w:rFonts w:ascii="Times New Roman" w:hAnsi="Times New Roman"/>
          <w:noProof/>
          <w:sz w:val="24"/>
          <w:szCs w:val="24"/>
        </w:rPr>
        <w:pict>
          <v:shape id="_x0000_s1516" type="#_x0000_t32" style="position:absolute;left:0;text-align:left;margin-left:268.95pt;margin-top:12.4pt;width:112.5pt;height:39.75pt;flip:x;z-index:251834880" o:connectortype="straight">
            <v:stroke endarrow="block"/>
          </v:shape>
        </w:pict>
      </w:r>
      <w:r>
        <w:rPr>
          <w:rFonts w:ascii="Times New Roman" w:hAnsi="Times New Roman"/>
          <w:noProof/>
          <w:sz w:val="24"/>
          <w:szCs w:val="24"/>
        </w:rPr>
        <w:pict>
          <v:shape id="_x0000_s1515" type="#_x0000_t32" style="position:absolute;left:0;text-align:left;margin-left:42.45pt;margin-top:7.9pt;width:149.25pt;height:44.25pt;z-index:251833856" o:connectortype="straight"/>
        </w:pict>
      </w:r>
      <w:r w:rsidR="001F2FCF">
        <w:rPr>
          <w:rFonts w:ascii="Times New Roman" w:hAnsi="Times New Roman"/>
          <w:sz w:val="24"/>
          <w:szCs w:val="24"/>
          <w:lang w:val="sr-Cyrl-CS"/>
        </w:rPr>
        <w:t xml:space="preserve">                                                     Неизвршене услуге</w:t>
      </w:r>
    </w:p>
    <w:p w:rsidR="00710016" w:rsidRDefault="00710016" w:rsidP="002A2E6A">
      <w:pPr>
        <w:shd w:val="clear" w:color="auto" w:fill="FFFFFF"/>
        <w:spacing w:after="0" w:line="285" w:lineRule="atLeast"/>
        <w:ind w:firstLine="360"/>
        <w:jc w:val="both"/>
        <w:rPr>
          <w:rFonts w:ascii="Times New Roman" w:hAnsi="Times New Roman"/>
          <w:sz w:val="24"/>
          <w:szCs w:val="24"/>
          <w:lang w:val="sr-Cyrl-CS"/>
        </w:rPr>
      </w:pPr>
    </w:p>
    <w:p w:rsidR="00710016" w:rsidRDefault="00616181" w:rsidP="002A2E6A">
      <w:pPr>
        <w:shd w:val="clear" w:color="auto" w:fill="FFFFFF"/>
        <w:spacing w:after="0" w:line="285" w:lineRule="atLeast"/>
        <w:ind w:firstLine="360"/>
        <w:jc w:val="both"/>
        <w:rPr>
          <w:rFonts w:ascii="Times New Roman" w:hAnsi="Times New Roman"/>
          <w:sz w:val="24"/>
          <w:szCs w:val="24"/>
          <w:lang w:val="sr-Cyrl-CS"/>
        </w:rPr>
      </w:pPr>
      <w:r>
        <w:rPr>
          <w:rFonts w:ascii="Times New Roman" w:hAnsi="Times New Roman"/>
          <w:noProof/>
          <w:sz w:val="24"/>
          <w:szCs w:val="24"/>
        </w:rPr>
        <w:pict>
          <v:oval id="_x0000_s1511" style="position:absolute;left:0;text-align:left;margin-left:199.2pt;margin-top:2.65pt;width:59.25pt;height:42.75pt;z-index:251829760">
            <v:textbox>
              <w:txbxContent>
                <w:p w:rsidR="00767127" w:rsidRPr="001F2FCF" w:rsidRDefault="00767127">
                  <w:pPr>
                    <w:rPr>
                      <w:sz w:val="18"/>
                      <w:szCs w:val="18"/>
                      <w:lang w:val="sr-Cyrl-CS"/>
                    </w:rPr>
                  </w:pPr>
                  <w:r>
                    <w:rPr>
                      <w:sz w:val="18"/>
                      <w:szCs w:val="18"/>
                      <w:lang w:val="sr-Cyrl-CS"/>
                    </w:rPr>
                    <w:t xml:space="preserve">Особа </w:t>
                  </w:r>
                  <w:r>
                    <w:rPr>
                      <w:sz w:val="18"/>
                      <w:szCs w:val="18"/>
                    </w:rPr>
                    <w:t>x</w:t>
                  </w:r>
                </w:p>
              </w:txbxContent>
            </v:textbox>
          </v:oval>
        </w:pict>
      </w:r>
    </w:p>
    <w:p w:rsidR="00710016" w:rsidRDefault="001F2FCF" w:rsidP="002A2E6A">
      <w:pPr>
        <w:shd w:val="clear" w:color="auto" w:fill="FFFFFF"/>
        <w:spacing w:after="0" w:line="285" w:lineRule="atLeast"/>
        <w:ind w:firstLine="360"/>
        <w:jc w:val="both"/>
        <w:rPr>
          <w:rFonts w:ascii="Times New Roman" w:hAnsi="Times New Roman"/>
          <w:sz w:val="24"/>
          <w:szCs w:val="24"/>
          <w:lang w:val="sr-Cyrl-CS"/>
        </w:rPr>
      </w:pPr>
      <w:r>
        <w:rPr>
          <w:rFonts w:ascii="Times New Roman" w:hAnsi="Times New Roman"/>
          <w:sz w:val="24"/>
          <w:szCs w:val="24"/>
          <w:lang w:val="sr-Cyrl-CS"/>
        </w:rPr>
        <w:t xml:space="preserve">                              Оснивач                                                   исплата готовине</w:t>
      </w:r>
    </w:p>
    <w:p w:rsidR="00710016" w:rsidRPr="00880814" w:rsidRDefault="00710016" w:rsidP="002A2E6A">
      <w:pPr>
        <w:shd w:val="clear" w:color="auto" w:fill="FFFFFF"/>
        <w:spacing w:after="0" w:line="285" w:lineRule="atLeast"/>
        <w:ind w:firstLine="360"/>
        <w:jc w:val="both"/>
        <w:rPr>
          <w:rFonts w:ascii="Times New Roman" w:hAnsi="Times New Roman"/>
          <w:sz w:val="24"/>
          <w:szCs w:val="24"/>
          <w:lang w:val="sr-Cyrl-CS"/>
        </w:rPr>
      </w:pPr>
    </w:p>
    <w:p w:rsidR="001F2FCF" w:rsidRDefault="001F2FCF" w:rsidP="006B2A9D">
      <w:pPr>
        <w:shd w:val="clear" w:color="auto" w:fill="FFFFFF"/>
        <w:spacing w:after="0" w:line="285" w:lineRule="atLeast"/>
        <w:ind w:firstLine="360"/>
        <w:jc w:val="center"/>
      </w:pPr>
    </w:p>
    <w:p w:rsidR="00CC4EE8" w:rsidRPr="00CC4EE8" w:rsidRDefault="00CC4EE8" w:rsidP="006B2A9D">
      <w:pPr>
        <w:shd w:val="clear" w:color="auto" w:fill="FFFFFF"/>
        <w:spacing w:after="0" w:line="285" w:lineRule="atLeast"/>
        <w:ind w:firstLine="360"/>
        <w:jc w:val="center"/>
        <w:rPr>
          <w:rFonts w:ascii="Times New Roman" w:hAnsi="Times New Roman"/>
          <w:b/>
          <w:color w:val="000000"/>
          <w:sz w:val="24"/>
          <w:szCs w:val="24"/>
        </w:rPr>
      </w:pPr>
    </w:p>
    <w:p w:rsidR="00025F70" w:rsidRDefault="00025F70" w:rsidP="00025F70">
      <w:pPr>
        <w:shd w:val="clear" w:color="auto" w:fill="FFFFFF"/>
        <w:spacing w:after="0" w:line="285" w:lineRule="atLeast"/>
        <w:ind w:firstLine="708"/>
        <w:jc w:val="both"/>
        <w:rPr>
          <w:rFonts w:ascii="Times New Roman" w:hAnsi="Times New Roman"/>
          <w:color w:val="000000"/>
          <w:sz w:val="24"/>
          <w:szCs w:val="24"/>
          <w:lang w:val="sr-Cyrl-CS"/>
        </w:rPr>
      </w:pPr>
    </w:p>
    <w:p w:rsidR="001F2FCF" w:rsidRDefault="00025F70" w:rsidP="00025F70">
      <w:pPr>
        <w:shd w:val="clear" w:color="auto" w:fill="FFFFFF"/>
        <w:spacing w:after="0" w:line="285" w:lineRule="atLeast"/>
        <w:ind w:firstLine="708"/>
        <w:jc w:val="both"/>
        <w:rPr>
          <w:rFonts w:ascii="Times New Roman" w:hAnsi="Times New Roman"/>
          <w:color w:val="000000"/>
          <w:sz w:val="24"/>
          <w:szCs w:val="24"/>
          <w:lang w:val="sr-Cyrl-CS"/>
        </w:rPr>
      </w:pPr>
      <w:r w:rsidRPr="00025F70">
        <w:rPr>
          <w:rFonts w:ascii="Times New Roman" w:hAnsi="Times New Roman"/>
          <w:color w:val="000000"/>
          <w:sz w:val="24"/>
          <w:szCs w:val="24"/>
          <w:lang w:val="sr-Cyrl-CS"/>
        </w:rPr>
        <w:lastRenderedPageBreak/>
        <w:t xml:space="preserve">Случај када </w:t>
      </w:r>
      <w:r>
        <w:rPr>
          <w:rFonts w:ascii="Times New Roman" w:hAnsi="Times New Roman"/>
          <w:color w:val="000000"/>
          <w:sz w:val="24"/>
          <w:szCs w:val="24"/>
          <w:lang w:val="sr-Cyrl-CS"/>
        </w:rPr>
        <w:t>се нелегална готовина уплаћује кроз пазаре малопродаје, ресторана, коцкарница, преузетника који плаћају паушалне порезе и слично, а да није продата роба или извршена услуга, може се шематски приказати на следећи начин:</w:t>
      </w:r>
    </w:p>
    <w:p w:rsidR="00025F70" w:rsidRDefault="00025F70" w:rsidP="00025F70">
      <w:pPr>
        <w:shd w:val="clear" w:color="auto" w:fill="FFFFFF"/>
        <w:spacing w:after="0" w:line="285" w:lineRule="atLeast"/>
        <w:ind w:firstLine="708"/>
        <w:jc w:val="both"/>
        <w:rPr>
          <w:rFonts w:ascii="Times New Roman" w:hAnsi="Times New Roman"/>
          <w:color w:val="000000"/>
          <w:sz w:val="24"/>
          <w:szCs w:val="24"/>
          <w:lang w:val="sr-Cyrl-CS"/>
        </w:rPr>
      </w:pPr>
    </w:p>
    <w:p w:rsidR="00025F70" w:rsidRDefault="00025F70" w:rsidP="00025F70">
      <w:pPr>
        <w:shd w:val="clear" w:color="auto" w:fill="FFFFFF"/>
        <w:spacing w:after="0" w:line="285" w:lineRule="atLeast"/>
        <w:ind w:firstLine="708"/>
        <w:jc w:val="both"/>
        <w:rPr>
          <w:rFonts w:ascii="Times New Roman" w:hAnsi="Times New Roman"/>
          <w:color w:val="000000"/>
          <w:sz w:val="24"/>
          <w:szCs w:val="24"/>
          <w:lang w:val="sr-Cyrl-CS"/>
        </w:rPr>
      </w:pPr>
    </w:p>
    <w:p w:rsidR="00025F70" w:rsidRDefault="00025F70" w:rsidP="00025F70">
      <w:pPr>
        <w:shd w:val="clear" w:color="auto" w:fill="FFFFFF"/>
        <w:spacing w:after="0" w:line="285" w:lineRule="atLeast"/>
        <w:ind w:firstLine="708"/>
        <w:jc w:val="both"/>
        <w:rPr>
          <w:rFonts w:ascii="Times New Roman" w:hAnsi="Times New Roman"/>
          <w:color w:val="000000"/>
          <w:sz w:val="24"/>
          <w:szCs w:val="24"/>
          <w:lang w:val="sr-Cyrl-CS"/>
        </w:rPr>
      </w:pPr>
    </w:p>
    <w:p w:rsidR="00025F70" w:rsidRDefault="00025F70" w:rsidP="00025F70">
      <w:pPr>
        <w:shd w:val="clear" w:color="auto" w:fill="FFFFFF"/>
        <w:spacing w:after="0" w:line="285" w:lineRule="atLeast"/>
        <w:ind w:firstLine="708"/>
        <w:jc w:val="both"/>
        <w:rPr>
          <w:rFonts w:ascii="Times New Roman" w:hAnsi="Times New Roman"/>
          <w:color w:val="000000"/>
          <w:sz w:val="24"/>
          <w:szCs w:val="24"/>
          <w:lang w:val="sr-Cyrl-CS"/>
        </w:rPr>
      </w:pPr>
    </w:p>
    <w:p w:rsidR="00025F70" w:rsidRDefault="00001DEB" w:rsidP="00025F70">
      <w:pPr>
        <w:shd w:val="clear" w:color="auto" w:fill="FFFFFF"/>
        <w:spacing w:after="0" w:line="285" w:lineRule="atLeast"/>
        <w:ind w:firstLine="708"/>
        <w:jc w:val="both"/>
        <w:rPr>
          <w:rFonts w:ascii="Times New Roman" w:hAnsi="Times New Roman"/>
          <w:b/>
          <w:color w:val="000000"/>
          <w:sz w:val="24"/>
          <w:szCs w:val="24"/>
          <w:lang w:val="sr-Cyrl-CS"/>
        </w:rPr>
      </w:pPr>
      <w:r>
        <w:rPr>
          <w:rFonts w:ascii="Times New Roman" w:hAnsi="Times New Roman"/>
          <w:b/>
          <w:color w:val="000000"/>
          <w:sz w:val="24"/>
          <w:szCs w:val="24"/>
          <w:lang w:val="sr-Cyrl-CS"/>
        </w:rPr>
        <w:t>Слика 20</w:t>
      </w:r>
      <w:r w:rsidR="00025F70" w:rsidRPr="00025F70">
        <w:rPr>
          <w:rFonts w:ascii="Times New Roman" w:hAnsi="Times New Roman"/>
          <w:b/>
          <w:color w:val="000000"/>
          <w:sz w:val="24"/>
          <w:szCs w:val="24"/>
          <w:lang w:val="sr-Cyrl-CS"/>
        </w:rPr>
        <w:t>.</w:t>
      </w:r>
      <w:r w:rsidR="00025F70">
        <w:rPr>
          <w:rStyle w:val="FootnoteReference"/>
          <w:rFonts w:ascii="Times New Roman" w:hAnsi="Times New Roman"/>
          <w:b/>
          <w:color w:val="000000"/>
          <w:sz w:val="24"/>
          <w:szCs w:val="24"/>
          <w:lang w:val="sr-Cyrl-CS"/>
        </w:rPr>
        <w:footnoteReference w:id="425"/>
      </w:r>
    </w:p>
    <w:p w:rsidR="00025F70" w:rsidRDefault="00025F70" w:rsidP="00025F70">
      <w:pPr>
        <w:shd w:val="clear" w:color="auto" w:fill="FFFFFF"/>
        <w:spacing w:after="0" w:line="285" w:lineRule="atLeast"/>
        <w:ind w:firstLine="708"/>
        <w:jc w:val="both"/>
        <w:rPr>
          <w:rFonts w:ascii="Times New Roman" w:hAnsi="Times New Roman"/>
          <w:b/>
          <w:color w:val="000000"/>
          <w:sz w:val="24"/>
          <w:szCs w:val="24"/>
          <w:lang w:val="sr-Cyrl-CS"/>
        </w:rPr>
      </w:pPr>
    </w:p>
    <w:p w:rsidR="00025F70" w:rsidRDefault="00025F70" w:rsidP="00025F70">
      <w:pPr>
        <w:shd w:val="clear" w:color="auto" w:fill="FFFFFF"/>
        <w:spacing w:after="0" w:line="285" w:lineRule="atLeast"/>
        <w:ind w:firstLine="708"/>
        <w:jc w:val="both"/>
        <w:rPr>
          <w:rFonts w:ascii="Times New Roman" w:hAnsi="Times New Roman"/>
          <w:b/>
          <w:color w:val="000000"/>
          <w:sz w:val="24"/>
          <w:szCs w:val="24"/>
          <w:lang w:val="sr-Cyrl-CS"/>
        </w:rPr>
      </w:pPr>
    </w:p>
    <w:p w:rsidR="00025F70" w:rsidRPr="00025F70" w:rsidRDefault="00025F70" w:rsidP="00025F70">
      <w:pPr>
        <w:shd w:val="clear" w:color="auto" w:fill="FFFFFF"/>
        <w:spacing w:after="0" w:line="285" w:lineRule="atLeast"/>
        <w:ind w:firstLine="708"/>
        <w:jc w:val="both"/>
        <w:rPr>
          <w:rFonts w:ascii="Times New Roman" w:hAnsi="Times New Roman"/>
          <w:b/>
          <w:color w:val="000000"/>
          <w:sz w:val="24"/>
          <w:szCs w:val="24"/>
          <w:lang w:val="sr-Cyrl-CS"/>
        </w:rPr>
      </w:pPr>
    </w:p>
    <w:p w:rsidR="00025F70" w:rsidRDefault="00025F70" w:rsidP="00025F70">
      <w:pPr>
        <w:shd w:val="clear" w:color="auto" w:fill="FFFFFF"/>
        <w:spacing w:after="0" w:line="285" w:lineRule="atLeast"/>
        <w:ind w:firstLine="708"/>
        <w:jc w:val="both"/>
        <w:rPr>
          <w:rFonts w:ascii="Times New Roman" w:hAnsi="Times New Roman"/>
          <w:color w:val="000000"/>
          <w:sz w:val="24"/>
          <w:szCs w:val="24"/>
          <w:lang w:val="sr-Cyrl-CS"/>
        </w:rPr>
      </w:pPr>
    </w:p>
    <w:p w:rsidR="00025F70" w:rsidRDefault="00616181" w:rsidP="00025F70">
      <w:pPr>
        <w:shd w:val="clear" w:color="auto" w:fill="FFFFFF"/>
        <w:spacing w:after="0" w:line="285" w:lineRule="atLeast"/>
        <w:ind w:firstLine="708"/>
        <w:jc w:val="both"/>
        <w:rPr>
          <w:rFonts w:ascii="Times New Roman" w:hAnsi="Times New Roman"/>
          <w:color w:val="000000"/>
          <w:sz w:val="24"/>
          <w:szCs w:val="24"/>
          <w:lang w:val="sr-Cyrl-CS"/>
        </w:rPr>
      </w:pPr>
      <w:r>
        <w:rPr>
          <w:rFonts w:ascii="Times New Roman" w:hAnsi="Times New Roman"/>
          <w:noProof/>
          <w:color w:val="000000"/>
          <w:sz w:val="24"/>
          <w:szCs w:val="24"/>
        </w:rPr>
        <w:pict>
          <v:rect id="_x0000_s1522" style="position:absolute;left:0;text-align:left;margin-left:117.45pt;margin-top:4.15pt;width:92.25pt;height:70.5pt;z-index:251841024">
            <v:textbox>
              <w:txbxContent>
                <w:p w:rsidR="00767127" w:rsidRPr="00025F70" w:rsidRDefault="00767127">
                  <w:pPr>
                    <w:rPr>
                      <w:sz w:val="18"/>
                      <w:szCs w:val="18"/>
                      <w:lang w:val="sr-Cyrl-CS"/>
                    </w:rPr>
                  </w:pPr>
                  <w:r>
                    <w:rPr>
                      <w:sz w:val="18"/>
                      <w:szCs w:val="18"/>
                      <w:lang w:val="sr-Cyrl-CS"/>
                    </w:rPr>
                    <w:t xml:space="preserve">Уплата пазара који нема покриће у продатој роби и извршеним услугама </w:t>
                  </w:r>
                </w:p>
              </w:txbxContent>
            </v:textbox>
          </v:rect>
        </w:pict>
      </w:r>
    </w:p>
    <w:p w:rsidR="00025F70" w:rsidRDefault="00025F70" w:rsidP="00025F70">
      <w:pPr>
        <w:shd w:val="clear" w:color="auto" w:fill="FFFFFF"/>
        <w:spacing w:after="0" w:line="285" w:lineRule="atLeast"/>
        <w:ind w:firstLine="708"/>
        <w:jc w:val="both"/>
        <w:rPr>
          <w:rFonts w:ascii="Times New Roman" w:hAnsi="Times New Roman"/>
          <w:color w:val="000000"/>
          <w:sz w:val="24"/>
          <w:szCs w:val="24"/>
          <w:lang w:val="sr-Cyrl-CS"/>
        </w:rPr>
      </w:pPr>
    </w:p>
    <w:p w:rsidR="00025F70" w:rsidRDefault="00025F70" w:rsidP="00025F70">
      <w:pPr>
        <w:shd w:val="clear" w:color="auto" w:fill="FFFFFF"/>
        <w:spacing w:after="0" w:line="285" w:lineRule="atLeast"/>
        <w:ind w:firstLine="708"/>
        <w:jc w:val="both"/>
        <w:rPr>
          <w:rFonts w:ascii="Times New Roman" w:hAnsi="Times New Roman"/>
          <w:color w:val="000000"/>
          <w:sz w:val="24"/>
          <w:szCs w:val="24"/>
          <w:lang w:val="sr-Cyrl-CS"/>
        </w:rPr>
      </w:pPr>
    </w:p>
    <w:p w:rsidR="00025F70" w:rsidRDefault="00616181" w:rsidP="00025F70">
      <w:pPr>
        <w:shd w:val="clear" w:color="auto" w:fill="FFFFFF"/>
        <w:spacing w:after="0" w:line="285" w:lineRule="atLeast"/>
        <w:ind w:firstLine="708"/>
        <w:jc w:val="both"/>
        <w:rPr>
          <w:rFonts w:ascii="Times New Roman" w:hAnsi="Times New Roman"/>
          <w:color w:val="000000"/>
          <w:sz w:val="24"/>
          <w:szCs w:val="24"/>
          <w:lang w:val="sr-Cyrl-CS"/>
        </w:rPr>
      </w:pPr>
      <w:r>
        <w:rPr>
          <w:rFonts w:ascii="Times New Roman" w:hAnsi="Times New Roman"/>
          <w:noProof/>
          <w:color w:val="000000"/>
          <w:sz w:val="24"/>
          <w:szCs w:val="24"/>
        </w:rPr>
        <w:pict>
          <v:shape id="_x0000_s1527" type="#_x0000_t32" style="position:absolute;left:0;text-align:left;margin-left:209.7pt;margin-top:-.35pt;width:51pt;height:15pt;z-index:251846144" o:connectortype="straight"/>
        </w:pict>
      </w:r>
      <w:r>
        <w:rPr>
          <w:rFonts w:ascii="Times New Roman" w:hAnsi="Times New Roman"/>
          <w:noProof/>
          <w:color w:val="000000"/>
          <w:sz w:val="24"/>
          <w:szCs w:val="24"/>
        </w:rPr>
        <w:pict>
          <v:shape id="_x0000_s1526" type="#_x0000_t32" style="position:absolute;left:0;text-align:left;margin-left:55.2pt;margin-top:-.35pt;width:62.25pt;height:18.75pt;flip:x;z-index:251845120" o:connectortype="straight"/>
        </w:pict>
      </w:r>
    </w:p>
    <w:p w:rsidR="00025F70" w:rsidRPr="00025F70" w:rsidRDefault="00616181" w:rsidP="00025F70">
      <w:pPr>
        <w:shd w:val="clear" w:color="auto" w:fill="FFFFFF"/>
        <w:spacing w:after="0" w:line="285" w:lineRule="atLeast"/>
        <w:ind w:firstLine="708"/>
        <w:jc w:val="both"/>
        <w:rPr>
          <w:rFonts w:ascii="Times New Roman" w:hAnsi="Times New Roman"/>
          <w:color w:val="000000"/>
          <w:sz w:val="24"/>
          <w:szCs w:val="24"/>
          <w:lang w:val="sr-Cyrl-CS"/>
        </w:rPr>
      </w:pPr>
      <w:r w:rsidRPr="00616181">
        <w:rPr>
          <w:rFonts w:ascii="Times New Roman" w:hAnsi="Times New Roman"/>
          <w:b/>
          <w:noProof/>
          <w:color w:val="000000"/>
          <w:sz w:val="24"/>
          <w:szCs w:val="24"/>
        </w:rPr>
        <w:pict>
          <v:oval id="_x0000_s1524" style="position:absolute;left:0;text-align:left;margin-left:385.2pt;margin-top:4.15pt;width:56.25pt;height:39pt;z-index:251843072">
            <v:textbox>
              <w:txbxContent>
                <w:p w:rsidR="00767127" w:rsidRPr="00025F70" w:rsidRDefault="00767127">
                  <w:pPr>
                    <w:rPr>
                      <w:sz w:val="18"/>
                      <w:szCs w:val="18"/>
                      <w:lang w:val="sr-Cyrl-CS"/>
                    </w:rPr>
                  </w:pPr>
                  <w:r>
                    <w:rPr>
                      <w:sz w:val="18"/>
                      <w:szCs w:val="18"/>
                      <w:lang w:val="sr-Cyrl-CS"/>
                    </w:rPr>
                    <w:t>Нарко-тици</w:t>
                  </w:r>
                </w:p>
              </w:txbxContent>
            </v:textbox>
          </v:oval>
        </w:pict>
      </w:r>
      <w:r>
        <w:rPr>
          <w:rFonts w:ascii="Times New Roman" w:hAnsi="Times New Roman"/>
          <w:noProof/>
          <w:color w:val="000000"/>
          <w:sz w:val="24"/>
          <w:szCs w:val="24"/>
        </w:rPr>
        <w:pict>
          <v:oval id="_x0000_s1523" style="position:absolute;left:0;text-align:left;margin-left:224.7pt;margin-top:5.65pt;width:53.25pt;height:37.5pt;z-index:251842048">
            <v:textbox>
              <w:txbxContent>
                <w:p w:rsidR="00767127" w:rsidRPr="00025F70" w:rsidRDefault="00767127">
                  <w:pPr>
                    <w:rPr>
                      <w:sz w:val="18"/>
                      <w:szCs w:val="18"/>
                      <w:lang w:val="sr-Cyrl-CS"/>
                    </w:rPr>
                  </w:pPr>
                  <w:r>
                    <w:rPr>
                      <w:sz w:val="18"/>
                      <w:szCs w:val="18"/>
                      <w:lang w:val="sr-Cyrl-CS"/>
                    </w:rPr>
                    <w:t>бар</w:t>
                  </w:r>
                </w:p>
              </w:txbxContent>
            </v:textbox>
          </v:oval>
        </w:pict>
      </w:r>
      <w:r>
        <w:rPr>
          <w:rFonts w:ascii="Times New Roman" w:hAnsi="Times New Roman"/>
          <w:noProof/>
          <w:color w:val="000000"/>
          <w:sz w:val="24"/>
          <w:szCs w:val="24"/>
        </w:rPr>
        <w:pict>
          <v:oval id="_x0000_s1521" style="position:absolute;left:0;text-align:left;margin-left:-3.3pt;margin-top:5.65pt;width:49.5pt;height:37.5pt;z-index:251840000">
            <v:textbox>
              <w:txbxContent>
                <w:p w:rsidR="00767127" w:rsidRPr="00025F70" w:rsidRDefault="00767127">
                  <w:pPr>
                    <w:rPr>
                      <w:sz w:val="18"/>
                      <w:szCs w:val="18"/>
                      <w:lang w:val="sr-Cyrl-CS"/>
                    </w:rPr>
                  </w:pPr>
                  <w:r>
                    <w:rPr>
                      <w:sz w:val="18"/>
                      <w:szCs w:val="18"/>
                      <w:lang w:val="sr-Cyrl-CS"/>
                    </w:rPr>
                    <w:t>банка</w:t>
                  </w:r>
                </w:p>
              </w:txbxContent>
            </v:textbox>
          </v:oval>
        </w:pict>
      </w:r>
    </w:p>
    <w:p w:rsidR="001F2FCF" w:rsidRDefault="00616181" w:rsidP="006B2A9D">
      <w:pPr>
        <w:shd w:val="clear" w:color="auto" w:fill="FFFFFF"/>
        <w:spacing w:after="0" w:line="285" w:lineRule="atLeast"/>
        <w:ind w:firstLine="360"/>
        <w:jc w:val="center"/>
        <w:rPr>
          <w:rFonts w:ascii="Times New Roman" w:hAnsi="Times New Roman"/>
          <w:b/>
          <w:color w:val="000000"/>
          <w:sz w:val="24"/>
          <w:szCs w:val="24"/>
          <w:lang w:val="sr-Cyrl-CS"/>
        </w:rPr>
      </w:pPr>
      <w:r>
        <w:rPr>
          <w:rFonts w:ascii="Times New Roman" w:hAnsi="Times New Roman"/>
          <w:b/>
          <w:noProof/>
          <w:color w:val="000000"/>
          <w:sz w:val="24"/>
          <w:szCs w:val="24"/>
        </w:rPr>
        <w:pict>
          <v:shape id="_x0000_s1528" type="#_x0000_t32" style="position:absolute;left:0;text-align:left;margin-left:289.2pt;margin-top:13.15pt;width:84.75pt;height:0;flip:x;z-index:251847168" o:connectortype="straight">
            <v:stroke endarrow="block"/>
          </v:shape>
        </w:pict>
      </w:r>
      <w:r>
        <w:rPr>
          <w:rFonts w:ascii="Times New Roman" w:hAnsi="Times New Roman"/>
          <w:b/>
          <w:noProof/>
          <w:color w:val="000000"/>
          <w:sz w:val="24"/>
          <w:szCs w:val="24"/>
        </w:rPr>
        <w:pict>
          <v:shape id="_x0000_s1525" type="#_x0000_t32" style="position:absolute;left:0;text-align:left;margin-left:73.2pt;margin-top:13.15pt;width:136.5pt;height:0;flip:x;z-index:251844096" o:connectortype="straight">
            <v:stroke endarrow="block"/>
          </v:shape>
        </w:pict>
      </w:r>
    </w:p>
    <w:p w:rsidR="001F2FCF" w:rsidRDefault="001F2FCF" w:rsidP="006B2A9D">
      <w:pPr>
        <w:shd w:val="clear" w:color="auto" w:fill="FFFFFF"/>
        <w:spacing w:after="0" w:line="285" w:lineRule="atLeast"/>
        <w:ind w:firstLine="360"/>
        <w:jc w:val="center"/>
        <w:rPr>
          <w:rFonts w:ascii="Times New Roman" w:hAnsi="Times New Roman"/>
          <w:b/>
          <w:color w:val="000000"/>
          <w:sz w:val="24"/>
          <w:szCs w:val="24"/>
          <w:lang w:val="sr-Cyrl-CS"/>
        </w:rPr>
      </w:pPr>
    </w:p>
    <w:p w:rsidR="001F2FCF" w:rsidRPr="00025F70" w:rsidRDefault="00025F70" w:rsidP="00025F70">
      <w:pPr>
        <w:shd w:val="clear" w:color="auto" w:fill="FFFFFF"/>
        <w:spacing w:after="0" w:line="285" w:lineRule="atLeast"/>
        <w:ind w:firstLine="360"/>
        <w:rPr>
          <w:rFonts w:ascii="Times New Roman" w:hAnsi="Times New Roman"/>
          <w:color w:val="000000"/>
          <w:lang w:val="sr-Cyrl-CS"/>
        </w:rPr>
      </w:pPr>
      <w:r w:rsidRPr="00025F70">
        <w:rPr>
          <w:rFonts w:ascii="Times New Roman" w:hAnsi="Times New Roman"/>
          <w:color w:val="000000"/>
          <w:lang w:val="sr-Cyrl-CS"/>
        </w:rPr>
        <w:t xml:space="preserve">                            уплата пазара                              новац стечен продајом наркотика</w:t>
      </w:r>
    </w:p>
    <w:p w:rsidR="001F2FCF" w:rsidRPr="00025F70" w:rsidRDefault="001F2FCF" w:rsidP="006B2A9D">
      <w:pPr>
        <w:shd w:val="clear" w:color="auto" w:fill="FFFFFF"/>
        <w:spacing w:after="0" w:line="285" w:lineRule="atLeast"/>
        <w:ind w:firstLine="360"/>
        <w:jc w:val="center"/>
        <w:rPr>
          <w:rFonts w:ascii="Times New Roman" w:hAnsi="Times New Roman"/>
          <w:b/>
          <w:color w:val="000000"/>
          <w:lang w:val="sr-Cyrl-CS"/>
        </w:rPr>
      </w:pPr>
    </w:p>
    <w:p w:rsidR="001F2FCF" w:rsidRDefault="001F2FCF" w:rsidP="006B2A9D">
      <w:pPr>
        <w:shd w:val="clear" w:color="auto" w:fill="FFFFFF"/>
        <w:spacing w:after="0" w:line="285" w:lineRule="atLeast"/>
        <w:ind w:firstLine="360"/>
        <w:jc w:val="center"/>
        <w:rPr>
          <w:rFonts w:ascii="Times New Roman" w:hAnsi="Times New Roman"/>
          <w:b/>
          <w:color w:val="000000"/>
          <w:sz w:val="24"/>
          <w:szCs w:val="24"/>
          <w:lang w:val="sr-Cyrl-CS"/>
        </w:rPr>
      </w:pPr>
    </w:p>
    <w:p w:rsidR="001F2FCF" w:rsidRPr="00025F70" w:rsidRDefault="001F2FCF" w:rsidP="006B2A9D">
      <w:pPr>
        <w:shd w:val="clear" w:color="auto" w:fill="FFFFFF"/>
        <w:spacing w:after="0" w:line="285" w:lineRule="atLeast"/>
        <w:ind w:firstLine="360"/>
        <w:jc w:val="center"/>
        <w:rPr>
          <w:rFonts w:ascii="Times New Roman" w:hAnsi="Times New Roman"/>
          <w:b/>
          <w:color w:val="000000"/>
          <w:lang w:val="sr-Cyrl-CS"/>
        </w:rPr>
      </w:pPr>
    </w:p>
    <w:p w:rsidR="001F2FCF" w:rsidRDefault="001F2FCF" w:rsidP="006B2A9D">
      <w:pPr>
        <w:shd w:val="clear" w:color="auto" w:fill="FFFFFF"/>
        <w:spacing w:after="0" w:line="285" w:lineRule="atLeast"/>
        <w:ind w:firstLine="360"/>
        <w:jc w:val="center"/>
        <w:rPr>
          <w:rFonts w:ascii="Times New Roman" w:hAnsi="Times New Roman"/>
          <w:b/>
          <w:color w:val="000000"/>
          <w:sz w:val="24"/>
          <w:szCs w:val="24"/>
          <w:lang w:val="sr-Cyrl-CS"/>
        </w:rPr>
      </w:pPr>
    </w:p>
    <w:p w:rsidR="00DF1BDF" w:rsidRPr="00CC4EE8" w:rsidRDefault="00DF1BDF" w:rsidP="00B434FA">
      <w:pPr>
        <w:shd w:val="clear" w:color="auto" w:fill="FFFFFF"/>
        <w:spacing w:after="0" w:line="285" w:lineRule="atLeast"/>
        <w:rPr>
          <w:rFonts w:ascii="Times New Roman" w:hAnsi="Times New Roman"/>
          <w:b/>
          <w:color w:val="000000"/>
          <w:sz w:val="24"/>
          <w:szCs w:val="24"/>
        </w:rPr>
      </w:pPr>
    </w:p>
    <w:p w:rsidR="00025F70" w:rsidRDefault="00025F70" w:rsidP="006B2A9D">
      <w:pPr>
        <w:shd w:val="clear" w:color="auto" w:fill="FFFFFF"/>
        <w:spacing w:after="0" w:line="285" w:lineRule="atLeast"/>
        <w:ind w:firstLine="360"/>
        <w:jc w:val="center"/>
        <w:rPr>
          <w:rFonts w:ascii="Times New Roman" w:hAnsi="Times New Roman"/>
          <w:b/>
          <w:color w:val="000000"/>
          <w:sz w:val="24"/>
          <w:szCs w:val="24"/>
          <w:lang w:val="sr-Cyrl-CS"/>
        </w:rPr>
      </w:pPr>
    </w:p>
    <w:p w:rsidR="00155424" w:rsidRDefault="006B2A9D" w:rsidP="006B2A9D">
      <w:pPr>
        <w:shd w:val="clear" w:color="auto" w:fill="FFFFFF"/>
        <w:spacing w:after="0" w:line="285" w:lineRule="atLeast"/>
        <w:ind w:firstLine="360"/>
        <w:jc w:val="center"/>
        <w:rPr>
          <w:rFonts w:ascii="Times New Roman" w:hAnsi="Times New Roman"/>
          <w:b/>
          <w:color w:val="000000"/>
          <w:sz w:val="24"/>
          <w:szCs w:val="24"/>
          <w:lang w:val="sr-Cyrl-CS"/>
        </w:rPr>
      </w:pPr>
      <w:r>
        <w:rPr>
          <w:rFonts w:ascii="Times New Roman" w:hAnsi="Times New Roman"/>
          <w:b/>
          <w:color w:val="000000"/>
          <w:sz w:val="24"/>
          <w:szCs w:val="24"/>
          <w:lang w:val="sr-Cyrl-CS"/>
        </w:rPr>
        <w:t>5.2.6.5. Порески прекршаји</w:t>
      </w:r>
      <w:r w:rsidR="00F631DC">
        <w:rPr>
          <w:rFonts w:ascii="Times New Roman" w:hAnsi="Times New Roman"/>
          <w:b/>
          <w:color w:val="000000"/>
          <w:sz w:val="24"/>
          <w:szCs w:val="24"/>
          <w:lang w:val="sr-Cyrl-CS"/>
        </w:rPr>
        <w:t xml:space="preserve"> према Закону о порезу на додату вредност</w:t>
      </w:r>
    </w:p>
    <w:p w:rsidR="006B2A9D" w:rsidRPr="00CC4EE8" w:rsidRDefault="006B2A9D" w:rsidP="006B2A9D">
      <w:pPr>
        <w:shd w:val="clear" w:color="auto" w:fill="FFFFFF"/>
        <w:spacing w:after="0" w:line="285" w:lineRule="atLeast"/>
        <w:ind w:firstLine="360"/>
        <w:jc w:val="center"/>
        <w:rPr>
          <w:rFonts w:ascii="Times New Roman" w:hAnsi="Times New Roman"/>
          <w:b/>
          <w:color w:val="000000"/>
          <w:sz w:val="24"/>
          <w:szCs w:val="24"/>
        </w:rPr>
      </w:pPr>
    </w:p>
    <w:p w:rsidR="00322B42" w:rsidRDefault="00322B42" w:rsidP="006B2A9D">
      <w:pPr>
        <w:shd w:val="clear" w:color="auto" w:fill="FFFFFF"/>
        <w:spacing w:after="0" w:line="285" w:lineRule="atLeast"/>
        <w:ind w:firstLine="360"/>
        <w:jc w:val="center"/>
        <w:rPr>
          <w:rFonts w:ascii="Times New Roman" w:hAnsi="Times New Roman"/>
          <w:b/>
          <w:color w:val="000000"/>
          <w:sz w:val="24"/>
          <w:szCs w:val="24"/>
          <w:lang w:val="sr-Cyrl-CS"/>
        </w:rPr>
      </w:pPr>
    </w:p>
    <w:p w:rsidR="00D7736C" w:rsidRPr="00FB5A28" w:rsidRDefault="00CB5A68" w:rsidP="00FB5A28">
      <w:pPr>
        <w:ind w:firstLine="360"/>
        <w:jc w:val="both"/>
        <w:rPr>
          <w:rFonts w:ascii="Times New Roman" w:hAnsi="Times New Roman"/>
          <w:sz w:val="24"/>
          <w:szCs w:val="24"/>
          <w:lang w:val="sr-Cyrl-CS"/>
        </w:rPr>
      </w:pPr>
      <w:r>
        <w:rPr>
          <w:rFonts w:ascii="Times New Roman" w:hAnsi="Times New Roman"/>
          <w:sz w:val="24"/>
          <w:szCs w:val="24"/>
          <w:lang w:val="sr-Cyrl-CS"/>
        </w:rPr>
        <w:t>Према нашој законској регулативи</w:t>
      </w:r>
      <w:r w:rsidR="00322B42">
        <w:rPr>
          <w:rFonts w:ascii="Times New Roman" w:hAnsi="Times New Roman"/>
          <w:sz w:val="24"/>
          <w:szCs w:val="24"/>
          <w:lang w:val="sr-Cyrl-CS"/>
        </w:rPr>
        <w:t xml:space="preserve"> непоштовање пореских прописа је кажњиво као порески прекршај, прив</w:t>
      </w:r>
      <w:r w:rsidR="00B434FA">
        <w:rPr>
          <w:rFonts w:ascii="Times New Roman" w:hAnsi="Times New Roman"/>
          <w:sz w:val="24"/>
          <w:szCs w:val="24"/>
          <w:lang w:val="sr-Cyrl-CS"/>
        </w:rPr>
        <w:t>редни преступ или кривично дело.</w:t>
      </w:r>
      <w:r w:rsidR="00322B42">
        <w:rPr>
          <w:rFonts w:ascii="Times New Roman" w:hAnsi="Times New Roman"/>
          <w:sz w:val="24"/>
          <w:szCs w:val="24"/>
          <w:lang w:val="sr-Cyrl-CS"/>
        </w:rPr>
        <w:t xml:space="preserve"> </w:t>
      </w:r>
      <w:r w:rsidR="00827E31">
        <w:rPr>
          <w:rFonts w:ascii="Times New Roman" w:hAnsi="Times New Roman"/>
          <w:color w:val="000000"/>
          <w:sz w:val="24"/>
          <w:szCs w:val="24"/>
          <w:shd w:val="clear" w:color="auto" w:fill="FFFFFF"/>
          <w:lang w:val="sr-Cyrl-CS"/>
        </w:rPr>
        <w:t>О</w:t>
      </w:r>
      <w:r w:rsidR="00322B42">
        <w:rPr>
          <w:rFonts w:ascii="Times New Roman" w:hAnsi="Times New Roman"/>
          <w:color w:val="000000"/>
          <w:sz w:val="24"/>
          <w:szCs w:val="24"/>
          <w:shd w:val="clear" w:color="auto" w:fill="FFFFFF"/>
          <w:lang w:val="sr-Cyrl-CS"/>
        </w:rPr>
        <w:t xml:space="preserve">вде ћемо се </w:t>
      </w:r>
      <w:r w:rsidR="006B2A9D">
        <w:rPr>
          <w:rFonts w:ascii="Times New Roman" w:hAnsi="Times New Roman"/>
          <w:color w:val="000000"/>
          <w:sz w:val="24"/>
          <w:szCs w:val="24"/>
          <w:shd w:val="clear" w:color="auto" w:fill="FFFFFF"/>
          <w:lang w:val="sr-Cyrl-CS"/>
        </w:rPr>
        <w:t>де</w:t>
      </w:r>
      <w:r w:rsidR="00827E31">
        <w:rPr>
          <w:rFonts w:ascii="Times New Roman" w:hAnsi="Times New Roman"/>
          <w:color w:val="000000"/>
          <w:sz w:val="24"/>
          <w:szCs w:val="24"/>
          <w:shd w:val="clear" w:color="auto" w:fill="FFFFFF"/>
          <w:lang w:val="sr-Cyrl-CS"/>
        </w:rPr>
        <w:t>т</w:t>
      </w:r>
      <w:r w:rsidR="00795BD7">
        <w:rPr>
          <w:rFonts w:ascii="Times New Roman" w:hAnsi="Times New Roman"/>
          <w:color w:val="000000"/>
          <w:sz w:val="24"/>
          <w:szCs w:val="24"/>
          <w:shd w:val="clear" w:color="auto" w:fill="FFFFFF"/>
          <w:lang w:val="sr-Cyrl-CS"/>
        </w:rPr>
        <w:t>а</w:t>
      </w:r>
      <w:r w:rsidR="00827E31">
        <w:rPr>
          <w:rFonts w:ascii="Times New Roman" w:hAnsi="Times New Roman"/>
          <w:color w:val="000000"/>
          <w:sz w:val="24"/>
          <w:szCs w:val="24"/>
          <w:shd w:val="clear" w:color="auto" w:fill="FFFFFF"/>
          <w:lang w:val="sr-Cyrl-CS"/>
        </w:rPr>
        <w:t xml:space="preserve">љније </w:t>
      </w:r>
      <w:r w:rsidR="00322B42">
        <w:rPr>
          <w:rFonts w:ascii="Times New Roman" w:hAnsi="Times New Roman"/>
          <w:color w:val="000000"/>
          <w:sz w:val="24"/>
          <w:szCs w:val="24"/>
          <w:shd w:val="clear" w:color="auto" w:fill="FFFFFF"/>
          <w:lang w:val="sr-Cyrl-CS"/>
        </w:rPr>
        <w:t xml:space="preserve">осврнути на </w:t>
      </w:r>
      <w:r w:rsidR="00795BD7">
        <w:rPr>
          <w:rFonts w:ascii="Times New Roman" w:hAnsi="Times New Roman"/>
          <w:color w:val="000000"/>
          <w:sz w:val="24"/>
          <w:szCs w:val="24"/>
          <w:shd w:val="clear" w:color="auto" w:fill="FFFFFF"/>
          <w:lang w:val="sr-Cyrl-CS"/>
        </w:rPr>
        <w:t>прекршаје</w:t>
      </w:r>
      <w:r w:rsidR="00322B42">
        <w:rPr>
          <w:rFonts w:ascii="Times New Roman" w:hAnsi="Times New Roman"/>
          <w:color w:val="000000"/>
          <w:sz w:val="24"/>
          <w:szCs w:val="24"/>
          <w:shd w:val="clear" w:color="auto" w:fill="FFFFFF"/>
          <w:lang w:val="sr-Cyrl-CS"/>
        </w:rPr>
        <w:t xml:space="preserve"> код пореза на </w:t>
      </w:r>
      <w:r w:rsidR="00827E31">
        <w:rPr>
          <w:rFonts w:ascii="Times New Roman" w:hAnsi="Times New Roman"/>
          <w:color w:val="000000"/>
          <w:sz w:val="24"/>
          <w:szCs w:val="24"/>
          <w:shd w:val="clear" w:color="auto" w:fill="FFFFFF"/>
          <w:lang w:val="sr-Cyrl-CS"/>
        </w:rPr>
        <w:t>додату вредност.</w:t>
      </w:r>
      <w:r w:rsidR="00322B42">
        <w:rPr>
          <w:rFonts w:ascii="Times New Roman" w:hAnsi="Times New Roman"/>
          <w:b/>
          <w:color w:val="000000"/>
          <w:sz w:val="24"/>
          <w:szCs w:val="24"/>
          <w:lang w:val="sr-Cyrl-CS"/>
        </w:rPr>
        <w:t xml:space="preserve"> </w:t>
      </w:r>
      <w:r w:rsidR="00795BD7">
        <w:rPr>
          <w:rFonts w:ascii="Times New Roman" w:hAnsi="Times New Roman"/>
          <w:color w:val="000000"/>
          <w:sz w:val="24"/>
          <w:szCs w:val="24"/>
          <w:lang w:val="sr-Cyrl-CS"/>
        </w:rPr>
        <w:t>Према Закону о порезу на додату вредност</w:t>
      </w:r>
      <w:r w:rsidR="006B2A9D">
        <w:rPr>
          <w:rStyle w:val="FootnoteReference"/>
          <w:rFonts w:ascii="Times New Roman" w:hAnsi="Times New Roman"/>
          <w:color w:val="000000"/>
          <w:sz w:val="24"/>
          <w:szCs w:val="24"/>
          <w:lang w:val="sr-Cyrl-CS"/>
        </w:rPr>
        <w:footnoteReference w:id="426"/>
      </w:r>
      <w:r w:rsidR="00795BD7">
        <w:rPr>
          <w:rFonts w:ascii="Times New Roman" w:hAnsi="Times New Roman"/>
          <w:color w:val="000000"/>
          <w:sz w:val="24"/>
          <w:szCs w:val="24"/>
          <w:lang w:val="sr-Cyrl-CS"/>
        </w:rPr>
        <w:t xml:space="preserve"> </w:t>
      </w:r>
      <w:r w:rsidR="006B2A9D">
        <w:rPr>
          <w:rFonts w:ascii="Times New Roman" w:hAnsi="Times New Roman"/>
          <w:color w:val="000000"/>
          <w:sz w:val="24"/>
          <w:szCs w:val="24"/>
          <w:lang w:val="sr-Cyrl-CS"/>
        </w:rPr>
        <w:t xml:space="preserve">(ЗПДВ) </w:t>
      </w:r>
      <w:r w:rsidR="00795BD7">
        <w:rPr>
          <w:rFonts w:ascii="Times New Roman" w:hAnsi="Times New Roman"/>
          <w:color w:val="000000"/>
          <w:sz w:val="24"/>
          <w:szCs w:val="24"/>
          <w:lang w:val="sr-Cyrl-CS"/>
        </w:rPr>
        <w:t>прави се разлика између прекршаја који начини обвезник-правно лице, одговорно лице у правном лицу које је обвезник, предузетник, обвезник-физичко лице, као и укол</w:t>
      </w:r>
      <w:r w:rsidR="00B434FA">
        <w:rPr>
          <w:rFonts w:ascii="Times New Roman" w:hAnsi="Times New Roman"/>
          <w:color w:val="000000"/>
          <w:sz w:val="24"/>
          <w:szCs w:val="24"/>
          <w:lang w:val="sr-Cyrl-CS"/>
        </w:rPr>
        <w:t>и</w:t>
      </w:r>
      <w:r w:rsidR="00795BD7">
        <w:rPr>
          <w:rFonts w:ascii="Times New Roman" w:hAnsi="Times New Roman"/>
          <w:color w:val="000000"/>
          <w:sz w:val="24"/>
          <w:szCs w:val="24"/>
          <w:lang w:val="sr-Cyrl-CS"/>
        </w:rPr>
        <w:t>ко прекршај учини порески дужник који није обвезник.</w:t>
      </w:r>
    </w:p>
    <w:p w:rsidR="006B2A9D" w:rsidRPr="00FB5A28" w:rsidRDefault="00795BD7" w:rsidP="00FB5A28">
      <w:pPr>
        <w:jc w:val="both"/>
        <w:rPr>
          <w:rFonts w:ascii="Times New Roman" w:hAnsi="Times New Roman"/>
          <w:sz w:val="24"/>
          <w:szCs w:val="24"/>
          <w:lang w:val="sr-Cyrl-CS"/>
        </w:rPr>
      </w:pPr>
      <w:r w:rsidRPr="00FB5A28">
        <w:rPr>
          <w:rFonts w:ascii="Times New Roman" w:hAnsi="Times New Roman"/>
          <w:sz w:val="24"/>
          <w:szCs w:val="24"/>
          <w:lang w:val="sr-Cyrl-CS"/>
        </w:rPr>
        <w:t xml:space="preserve">Наиме, </w:t>
      </w:r>
      <w:r w:rsidR="006B2A9D" w:rsidRPr="00FB5A28">
        <w:rPr>
          <w:rFonts w:ascii="Times New Roman" w:hAnsi="Times New Roman"/>
          <w:sz w:val="24"/>
          <w:szCs w:val="24"/>
          <w:lang w:val="sr-Cyrl-CS"/>
        </w:rPr>
        <w:t>н</w:t>
      </w:r>
      <w:r w:rsidR="00F631DC" w:rsidRPr="00FB5A28">
        <w:rPr>
          <w:rFonts w:ascii="Times New Roman" w:hAnsi="Times New Roman"/>
          <w:sz w:val="24"/>
          <w:szCs w:val="24"/>
        </w:rPr>
        <w:t>овчаном</w:t>
      </w:r>
      <w:r w:rsidRPr="00FB5A28">
        <w:rPr>
          <w:rFonts w:ascii="Times New Roman" w:hAnsi="Times New Roman"/>
          <w:sz w:val="24"/>
          <w:szCs w:val="24"/>
        </w:rPr>
        <w:t xml:space="preserve"> </w:t>
      </w:r>
      <w:r w:rsidR="00F631DC" w:rsidRPr="00FB5A28">
        <w:rPr>
          <w:rFonts w:ascii="Times New Roman" w:hAnsi="Times New Roman"/>
          <w:sz w:val="24"/>
          <w:szCs w:val="24"/>
        </w:rPr>
        <w:t>казном</w:t>
      </w:r>
      <w:r w:rsidRPr="00FB5A28">
        <w:rPr>
          <w:rFonts w:ascii="Times New Roman" w:hAnsi="Times New Roman"/>
          <w:sz w:val="24"/>
          <w:szCs w:val="24"/>
        </w:rPr>
        <w:t xml:space="preserve"> </w:t>
      </w:r>
      <w:r w:rsidR="00F631DC" w:rsidRPr="00FB5A28">
        <w:rPr>
          <w:rFonts w:ascii="Times New Roman" w:hAnsi="Times New Roman"/>
          <w:sz w:val="24"/>
          <w:szCs w:val="24"/>
        </w:rPr>
        <w:t>од</w:t>
      </w:r>
      <w:r w:rsidRPr="00FB5A28">
        <w:rPr>
          <w:rFonts w:ascii="Times New Roman" w:hAnsi="Times New Roman"/>
          <w:sz w:val="24"/>
          <w:szCs w:val="24"/>
        </w:rPr>
        <w:t xml:space="preserve"> 100.000 </w:t>
      </w:r>
      <w:r w:rsidR="00F631DC" w:rsidRPr="00FB5A28">
        <w:rPr>
          <w:rFonts w:ascii="Times New Roman" w:hAnsi="Times New Roman"/>
          <w:sz w:val="24"/>
          <w:szCs w:val="24"/>
        </w:rPr>
        <w:t>до</w:t>
      </w:r>
      <w:r w:rsidRPr="00FB5A28">
        <w:rPr>
          <w:rFonts w:ascii="Times New Roman" w:hAnsi="Times New Roman"/>
          <w:sz w:val="24"/>
          <w:szCs w:val="24"/>
        </w:rPr>
        <w:t xml:space="preserve"> 1.000.000 </w:t>
      </w:r>
      <w:r w:rsidR="00F631DC" w:rsidRPr="00FB5A28">
        <w:rPr>
          <w:rFonts w:ascii="Times New Roman" w:hAnsi="Times New Roman"/>
          <w:sz w:val="24"/>
          <w:szCs w:val="24"/>
        </w:rPr>
        <w:t>динара</w:t>
      </w:r>
      <w:r w:rsidRPr="00FB5A28">
        <w:rPr>
          <w:rFonts w:ascii="Times New Roman" w:hAnsi="Times New Roman"/>
          <w:sz w:val="24"/>
          <w:szCs w:val="24"/>
        </w:rPr>
        <w:t xml:space="preserve"> </w:t>
      </w:r>
      <w:r w:rsidR="00F631DC" w:rsidRPr="00FB5A28">
        <w:rPr>
          <w:rFonts w:ascii="Times New Roman" w:hAnsi="Times New Roman"/>
          <w:sz w:val="24"/>
          <w:szCs w:val="24"/>
        </w:rPr>
        <w:t>казниће</w:t>
      </w:r>
      <w:r w:rsidRPr="00FB5A28">
        <w:rPr>
          <w:rFonts w:ascii="Times New Roman" w:hAnsi="Times New Roman"/>
          <w:sz w:val="24"/>
          <w:szCs w:val="24"/>
        </w:rPr>
        <w:t xml:space="preserve"> </w:t>
      </w:r>
      <w:r w:rsidR="00F631DC" w:rsidRPr="00FB5A28">
        <w:rPr>
          <w:rFonts w:ascii="Times New Roman" w:hAnsi="Times New Roman"/>
          <w:sz w:val="24"/>
          <w:szCs w:val="24"/>
        </w:rPr>
        <w:t>се</w:t>
      </w:r>
      <w:r w:rsidRPr="00FB5A28">
        <w:rPr>
          <w:rFonts w:ascii="Times New Roman" w:hAnsi="Times New Roman"/>
          <w:sz w:val="24"/>
          <w:szCs w:val="24"/>
        </w:rPr>
        <w:t xml:space="preserve"> </w:t>
      </w:r>
      <w:r w:rsidR="00F631DC" w:rsidRPr="00FB5A28">
        <w:rPr>
          <w:rFonts w:ascii="Times New Roman" w:hAnsi="Times New Roman"/>
          <w:sz w:val="24"/>
          <w:szCs w:val="24"/>
        </w:rPr>
        <w:t>за</w:t>
      </w:r>
      <w:r w:rsidRPr="00FB5A28">
        <w:rPr>
          <w:rFonts w:ascii="Times New Roman" w:hAnsi="Times New Roman"/>
          <w:sz w:val="24"/>
          <w:szCs w:val="24"/>
        </w:rPr>
        <w:t xml:space="preserve"> </w:t>
      </w:r>
      <w:r w:rsidR="00F631DC" w:rsidRPr="00FB5A28">
        <w:rPr>
          <w:rFonts w:ascii="Times New Roman" w:hAnsi="Times New Roman"/>
          <w:sz w:val="24"/>
          <w:szCs w:val="24"/>
        </w:rPr>
        <w:t>прекршај</w:t>
      </w:r>
      <w:r w:rsidRPr="00FB5A28">
        <w:rPr>
          <w:rFonts w:ascii="Times New Roman" w:hAnsi="Times New Roman"/>
          <w:sz w:val="24"/>
          <w:szCs w:val="24"/>
        </w:rPr>
        <w:t xml:space="preserve"> </w:t>
      </w:r>
      <w:r w:rsidR="00F631DC" w:rsidRPr="00FB5A28">
        <w:rPr>
          <w:rFonts w:ascii="Times New Roman" w:hAnsi="Times New Roman"/>
          <w:sz w:val="24"/>
          <w:szCs w:val="24"/>
        </w:rPr>
        <w:t>обвезник</w:t>
      </w:r>
      <w:r w:rsidRPr="00FB5A28">
        <w:rPr>
          <w:rFonts w:ascii="Times New Roman" w:hAnsi="Times New Roman"/>
          <w:sz w:val="24"/>
          <w:szCs w:val="24"/>
        </w:rPr>
        <w:t xml:space="preserve"> - </w:t>
      </w:r>
      <w:r w:rsidR="00F631DC" w:rsidRPr="00FB5A28">
        <w:rPr>
          <w:rFonts w:ascii="Times New Roman" w:hAnsi="Times New Roman"/>
          <w:sz w:val="24"/>
          <w:szCs w:val="24"/>
        </w:rPr>
        <w:t>правно</w:t>
      </w:r>
      <w:r w:rsidRPr="00FB5A28">
        <w:rPr>
          <w:rFonts w:ascii="Times New Roman" w:hAnsi="Times New Roman"/>
          <w:sz w:val="24"/>
          <w:szCs w:val="24"/>
        </w:rPr>
        <w:t xml:space="preserve"> </w:t>
      </w:r>
      <w:r w:rsidR="00F631DC" w:rsidRPr="00FB5A28">
        <w:rPr>
          <w:rFonts w:ascii="Times New Roman" w:hAnsi="Times New Roman"/>
          <w:sz w:val="24"/>
          <w:szCs w:val="24"/>
        </w:rPr>
        <w:t>лице</w:t>
      </w:r>
      <w:r w:rsidRPr="00FB5A28">
        <w:rPr>
          <w:rFonts w:ascii="Times New Roman" w:hAnsi="Times New Roman"/>
          <w:sz w:val="24"/>
          <w:szCs w:val="24"/>
        </w:rPr>
        <w:t xml:space="preserve">, </w:t>
      </w:r>
      <w:r w:rsidR="00F631DC" w:rsidRPr="00FB5A28">
        <w:rPr>
          <w:rFonts w:ascii="Times New Roman" w:hAnsi="Times New Roman"/>
          <w:sz w:val="24"/>
          <w:szCs w:val="24"/>
        </w:rPr>
        <w:t>ако</w:t>
      </w:r>
      <w:r w:rsidRPr="00FB5A28">
        <w:rPr>
          <w:rFonts w:ascii="Times New Roman" w:hAnsi="Times New Roman"/>
          <w:sz w:val="24"/>
          <w:szCs w:val="24"/>
        </w:rPr>
        <w:t>:</w:t>
      </w:r>
      <w:r w:rsidR="006B2A9D" w:rsidRPr="00FB5A28">
        <w:rPr>
          <w:rFonts w:ascii="Times New Roman" w:hAnsi="Times New Roman"/>
          <w:sz w:val="24"/>
          <w:szCs w:val="24"/>
          <w:lang w:val="sr-Cyrl-CS"/>
        </w:rPr>
        <w:t xml:space="preserve"> </w:t>
      </w:r>
    </w:p>
    <w:p w:rsidR="00795BD7" w:rsidRPr="00FB5A28" w:rsidRDefault="006B2A9D" w:rsidP="00FB5A28">
      <w:pPr>
        <w:jc w:val="both"/>
        <w:rPr>
          <w:rFonts w:ascii="Times New Roman" w:hAnsi="Times New Roman"/>
          <w:sz w:val="24"/>
          <w:szCs w:val="24"/>
        </w:rPr>
      </w:pPr>
      <w:r w:rsidRPr="00FB5A28">
        <w:rPr>
          <w:rFonts w:ascii="Times New Roman" w:hAnsi="Times New Roman"/>
          <w:sz w:val="24"/>
          <w:szCs w:val="24"/>
        </w:rPr>
        <w:t xml:space="preserve">1) </w:t>
      </w:r>
      <w:r w:rsidR="00F631DC" w:rsidRPr="00FB5A28">
        <w:rPr>
          <w:rFonts w:ascii="Times New Roman" w:hAnsi="Times New Roman"/>
          <w:sz w:val="24"/>
          <w:szCs w:val="24"/>
        </w:rPr>
        <w:t>не</w:t>
      </w:r>
      <w:r w:rsidRPr="00FB5A28">
        <w:rPr>
          <w:rFonts w:ascii="Times New Roman" w:hAnsi="Times New Roman"/>
          <w:sz w:val="24"/>
          <w:szCs w:val="24"/>
        </w:rPr>
        <w:t xml:space="preserve"> </w:t>
      </w:r>
      <w:r w:rsidR="00F631DC" w:rsidRPr="00FB5A28">
        <w:rPr>
          <w:rFonts w:ascii="Times New Roman" w:hAnsi="Times New Roman"/>
          <w:sz w:val="24"/>
          <w:szCs w:val="24"/>
        </w:rPr>
        <w:t>испуни</w:t>
      </w:r>
      <w:r w:rsidRPr="00FB5A28">
        <w:rPr>
          <w:rFonts w:ascii="Times New Roman" w:hAnsi="Times New Roman"/>
          <w:sz w:val="24"/>
          <w:szCs w:val="24"/>
        </w:rPr>
        <w:t xml:space="preserve"> </w:t>
      </w:r>
      <w:r w:rsidR="00795BD7" w:rsidRPr="00FB5A28">
        <w:rPr>
          <w:rFonts w:ascii="Times New Roman" w:hAnsi="Times New Roman"/>
          <w:sz w:val="24"/>
          <w:szCs w:val="24"/>
        </w:rPr>
        <w:t xml:space="preserve"> </w:t>
      </w:r>
      <w:r w:rsidR="00F631DC" w:rsidRPr="00FB5A28">
        <w:rPr>
          <w:rFonts w:ascii="Times New Roman" w:hAnsi="Times New Roman"/>
          <w:sz w:val="24"/>
          <w:szCs w:val="24"/>
        </w:rPr>
        <w:t>прописане</w:t>
      </w:r>
      <w:r w:rsidR="00795BD7" w:rsidRPr="00FB5A28">
        <w:rPr>
          <w:rFonts w:ascii="Times New Roman" w:hAnsi="Times New Roman"/>
          <w:sz w:val="24"/>
          <w:szCs w:val="24"/>
        </w:rPr>
        <w:t xml:space="preserve"> </w:t>
      </w:r>
      <w:r w:rsidR="00F631DC" w:rsidRPr="00FB5A28">
        <w:rPr>
          <w:rFonts w:ascii="Times New Roman" w:hAnsi="Times New Roman"/>
          <w:sz w:val="24"/>
          <w:szCs w:val="24"/>
        </w:rPr>
        <w:t>обавезе</w:t>
      </w:r>
      <w:r w:rsidR="00795BD7" w:rsidRPr="00FB5A28">
        <w:rPr>
          <w:rFonts w:ascii="Times New Roman" w:hAnsi="Times New Roman"/>
          <w:sz w:val="24"/>
          <w:szCs w:val="24"/>
        </w:rPr>
        <w:t xml:space="preserve"> </w:t>
      </w:r>
      <w:r w:rsidRPr="00FB5A28">
        <w:rPr>
          <w:rFonts w:ascii="Times New Roman" w:hAnsi="Times New Roman"/>
          <w:sz w:val="24"/>
          <w:szCs w:val="24"/>
          <w:lang w:val="sr-Cyrl-CS"/>
        </w:rPr>
        <w:t xml:space="preserve"> у ЗПДВ </w:t>
      </w:r>
      <w:r w:rsidR="00795BD7" w:rsidRPr="00FB5A28">
        <w:rPr>
          <w:rFonts w:ascii="Times New Roman" w:hAnsi="Times New Roman"/>
          <w:sz w:val="24"/>
          <w:szCs w:val="24"/>
        </w:rPr>
        <w:t>(</w:t>
      </w:r>
      <w:r w:rsidR="00F631DC" w:rsidRPr="00FB5A28">
        <w:rPr>
          <w:rFonts w:ascii="Times New Roman" w:hAnsi="Times New Roman"/>
          <w:sz w:val="24"/>
          <w:szCs w:val="24"/>
        </w:rPr>
        <w:t>члан</w:t>
      </w:r>
      <w:r w:rsidR="00795BD7" w:rsidRPr="00FB5A28">
        <w:rPr>
          <w:rFonts w:ascii="Times New Roman" w:hAnsi="Times New Roman"/>
          <w:sz w:val="24"/>
          <w:szCs w:val="24"/>
        </w:rPr>
        <w:t xml:space="preserve"> 10. </w:t>
      </w:r>
      <w:r w:rsidR="00F631DC" w:rsidRPr="00FB5A28">
        <w:rPr>
          <w:rFonts w:ascii="Times New Roman" w:hAnsi="Times New Roman"/>
          <w:sz w:val="24"/>
          <w:szCs w:val="24"/>
        </w:rPr>
        <w:t>став</w:t>
      </w:r>
      <w:r w:rsidR="00795BD7" w:rsidRPr="00FB5A28">
        <w:rPr>
          <w:rFonts w:ascii="Times New Roman" w:hAnsi="Times New Roman"/>
          <w:sz w:val="24"/>
          <w:szCs w:val="24"/>
        </w:rPr>
        <w:t xml:space="preserve"> 2);</w:t>
      </w:r>
    </w:p>
    <w:p w:rsidR="00795BD7" w:rsidRPr="00FB5A28" w:rsidRDefault="00795BD7" w:rsidP="00FB5A28">
      <w:pPr>
        <w:jc w:val="both"/>
        <w:rPr>
          <w:rFonts w:ascii="Times New Roman" w:hAnsi="Times New Roman"/>
          <w:sz w:val="24"/>
          <w:szCs w:val="24"/>
        </w:rPr>
      </w:pPr>
      <w:r w:rsidRPr="00FB5A28">
        <w:rPr>
          <w:rFonts w:ascii="Times New Roman" w:hAnsi="Times New Roman"/>
          <w:sz w:val="24"/>
          <w:szCs w:val="24"/>
        </w:rPr>
        <w:t xml:space="preserve">2) </w:t>
      </w:r>
      <w:r w:rsidR="00F631DC" w:rsidRPr="00FB5A28">
        <w:rPr>
          <w:rFonts w:ascii="Times New Roman" w:hAnsi="Times New Roman"/>
          <w:sz w:val="24"/>
          <w:szCs w:val="24"/>
        </w:rPr>
        <w:t>не</w:t>
      </w:r>
      <w:r w:rsidRPr="00FB5A28">
        <w:rPr>
          <w:rFonts w:ascii="Times New Roman" w:hAnsi="Times New Roman"/>
          <w:sz w:val="24"/>
          <w:szCs w:val="24"/>
        </w:rPr>
        <w:t xml:space="preserve"> </w:t>
      </w:r>
      <w:r w:rsidR="00F631DC" w:rsidRPr="00FB5A28">
        <w:rPr>
          <w:rFonts w:ascii="Times New Roman" w:hAnsi="Times New Roman"/>
          <w:sz w:val="24"/>
          <w:szCs w:val="24"/>
        </w:rPr>
        <w:t>исправи</w:t>
      </w:r>
      <w:r w:rsidRPr="00FB5A28">
        <w:rPr>
          <w:rFonts w:ascii="Times New Roman" w:hAnsi="Times New Roman"/>
          <w:sz w:val="24"/>
          <w:szCs w:val="24"/>
        </w:rPr>
        <w:t xml:space="preserve"> </w:t>
      </w:r>
      <w:r w:rsidR="00F631DC" w:rsidRPr="00FB5A28">
        <w:rPr>
          <w:rFonts w:ascii="Times New Roman" w:hAnsi="Times New Roman"/>
          <w:sz w:val="24"/>
          <w:szCs w:val="24"/>
        </w:rPr>
        <w:t>износ</w:t>
      </w:r>
      <w:r w:rsidRPr="00FB5A28">
        <w:rPr>
          <w:rFonts w:ascii="Times New Roman" w:hAnsi="Times New Roman"/>
          <w:sz w:val="24"/>
          <w:szCs w:val="24"/>
        </w:rPr>
        <w:t xml:space="preserve"> </w:t>
      </w:r>
      <w:r w:rsidR="00F631DC" w:rsidRPr="00FB5A28">
        <w:rPr>
          <w:rFonts w:ascii="Times New Roman" w:hAnsi="Times New Roman"/>
          <w:sz w:val="24"/>
          <w:szCs w:val="24"/>
        </w:rPr>
        <w:t>ПДВ</w:t>
      </w:r>
      <w:r w:rsidRPr="00FB5A28">
        <w:rPr>
          <w:rFonts w:ascii="Times New Roman" w:hAnsi="Times New Roman"/>
          <w:sz w:val="24"/>
          <w:szCs w:val="24"/>
        </w:rPr>
        <w:t xml:space="preserve"> </w:t>
      </w:r>
      <w:r w:rsidR="00F631DC" w:rsidRPr="00FB5A28">
        <w:rPr>
          <w:rFonts w:ascii="Times New Roman" w:hAnsi="Times New Roman"/>
          <w:sz w:val="24"/>
          <w:szCs w:val="24"/>
        </w:rPr>
        <w:t>који</w:t>
      </w:r>
      <w:r w:rsidRPr="00FB5A28">
        <w:rPr>
          <w:rFonts w:ascii="Times New Roman" w:hAnsi="Times New Roman"/>
          <w:sz w:val="24"/>
          <w:szCs w:val="24"/>
        </w:rPr>
        <w:t xml:space="preserve"> </w:t>
      </w:r>
      <w:r w:rsidR="00F631DC" w:rsidRPr="00FB5A28">
        <w:rPr>
          <w:rFonts w:ascii="Times New Roman" w:hAnsi="Times New Roman"/>
          <w:sz w:val="24"/>
          <w:szCs w:val="24"/>
        </w:rPr>
        <w:t>дугује</w:t>
      </w:r>
      <w:r w:rsidRPr="00FB5A28">
        <w:rPr>
          <w:rFonts w:ascii="Times New Roman" w:hAnsi="Times New Roman"/>
          <w:sz w:val="24"/>
          <w:szCs w:val="24"/>
        </w:rPr>
        <w:t xml:space="preserve"> </w:t>
      </w:r>
      <w:r w:rsidR="00F631DC" w:rsidRPr="00FB5A28">
        <w:rPr>
          <w:rFonts w:ascii="Times New Roman" w:hAnsi="Times New Roman"/>
          <w:sz w:val="24"/>
          <w:szCs w:val="24"/>
        </w:rPr>
        <w:t>или</w:t>
      </w:r>
      <w:r w:rsidRPr="00FB5A28">
        <w:rPr>
          <w:rFonts w:ascii="Times New Roman" w:hAnsi="Times New Roman"/>
          <w:sz w:val="24"/>
          <w:szCs w:val="24"/>
        </w:rPr>
        <w:t xml:space="preserve"> </w:t>
      </w:r>
      <w:r w:rsidR="00F631DC" w:rsidRPr="00FB5A28">
        <w:rPr>
          <w:rFonts w:ascii="Times New Roman" w:hAnsi="Times New Roman"/>
          <w:sz w:val="24"/>
          <w:szCs w:val="24"/>
        </w:rPr>
        <w:t>не</w:t>
      </w:r>
      <w:r w:rsidRPr="00FB5A28">
        <w:rPr>
          <w:rFonts w:ascii="Times New Roman" w:hAnsi="Times New Roman"/>
          <w:sz w:val="24"/>
          <w:szCs w:val="24"/>
        </w:rPr>
        <w:t xml:space="preserve"> </w:t>
      </w:r>
      <w:r w:rsidR="00F631DC" w:rsidRPr="00FB5A28">
        <w:rPr>
          <w:rFonts w:ascii="Times New Roman" w:hAnsi="Times New Roman"/>
          <w:sz w:val="24"/>
          <w:szCs w:val="24"/>
        </w:rPr>
        <w:t>обрачуна</w:t>
      </w:r>
      <w:r w:rsidRPr="00FB5A28">
        <w:rPr>
          <w:rFonts w:ascii="Times New Roman" w:hAnsi="Times New Roman"/>
          <w:sz w:val="24"/>
          <w:szCs w:val="24"/>
        </w:rPr>
        <w:t xml:space="preserve"> </w:t>
      </w:r>
      <w:r w:rsidR="00F631DC" w:rsidRPr="00FB5A28">
        <w:rPr>
          <w:rFonts w:ascii="Times New Roman" w:hAnsi="Times New Roman"/>
          <w:sz w:val="24"/>
          <w:szCs w:val="24"/>
        </w:rPr>
        <w:t>ПДВ</w:t>
      </w:r>
      <w:r w:rsidRPr="00FB5A28">
        <w:rPr>
          <w:rFonts w:ascii="Times New Roman" w:hAnsi="Times New Roman"/>
          <w:sz w:val="24"/>
          <w:szCs w:val="24"/>
        </w:rPr>
        <w:t xml:space="preserve"> </w:t>
      </w:r>
      <w:r w:rsidR="00F631DC" w:rsidRPr="00FB5A28">
        <w:rPr>
          <w:rFonts w:ascii="Times New Roman" w:hAnsi="Times New Roman"/>
          <w:sz w:val="24"/>
          <w:szCs w:val="24"/>
        </w:rPr>
        <w:t>у</w:t>
      </w:r>
      <w:r w:rsidRPr="00FB5A28">
        <w:rPr>
          <w:rFonts w:ascii="Times New Roman" w:hAnsi="Times New Roman"/>
          <w:sz w:val="24"/>
          <w:szCs w:val="24"/>
        </w:rPr>
        <w:t xml:space="preserve"> </w:t>
      </w:r>
      <w:r w:rsidR="00F631DC" w:rsidRPr="00FB5A28">
        <w:rPr>
          <w:rFonts w:ascii="Times New Roman" w:hAnsi="Times New Roman"/>
          <w:sz w:val="24"/>
          <w:szCs w:val="24"/>
        </w:rPr>
        <w:t>случају</w:t>
      </w:r>
      <w:r w:rsidRPr="00FB5A28">
        <w:rPr>
          <w:rFonts w:ascii="Times New Roman" w:hAnsi="Times New Roman"/>
          <w:sz w:val="24"/>
          <w:szCs w:val="24"/>
        </w:rPr>
        <w:t xml:space="preserve"> </w:t>
      </w:r>
      <w:r w:rsidR="00F631DC" w:rsidRPr="00FB5A28">
        <w:rPr>
          <w:rFonts w:ascii="Times New Roman" w:hAnsi="Times New Roman"/>
          <w:sz w:val="24"/>
          <w:szCs w:val="24"/>
        </w:rPr>
        <w:t>измене</w:t>
      </w:r>
      <w:r w:rsidRPr="00FB5A28">
        <w:rPr>
          <w:rFonts w:ascii="Times New Roman" w:hAnsi="Times New Roman"/>
          <w:sz w:val="24"/>
          <w:szCs w:val="24"/>
        </w:rPr>
        <w:t xml:space="preserve"> </w:t>
      </w:r>
      <w:r w:rsidR="00F631DC" w:rsidRPr="00FB5A28">
        <w:rPr>
          <w:rFonts w:ascii="Times New Roman" w:hAnsi="Times New Roman"/>
          <w:sz w:val="24"/>
          <w:szCs w:val="24"/>
        </w:rPr>
        <w:t>пореске</w:t>
      </w:r>
      <w:r w:rsidRPr="00FB5A28">
        <w:rPr>
          <w:rFonts w:ascii="Times New Roman" w:hAnsi="Times New Roman"/>
          <w:sz w:val="24"/>
          <w:szCs w:val="24"/>
        </w:rPr>
        <w:t xml:space="preserve"> </w:t>
      </w:r>
      <w:r w:rsidR="00F631DC" w:rsidRPr="00FB5A28">
        <w:rPr>
          <w:rFonts w:ascii="Times New Roman" w:hAnsi="Times New Roman"/>
          <w:sz w:val="24"/>
          <w:szCs w:val="24"/>
        </w:rPr>
        <w:t>основице</w:t>
      </w:r>
      <w:r w:rsidRPr="00FB5A28">
        <w:rPr>
          <w:rFonts w:ascii="Times New Roman" w:hAnsi="Times New Roman"/>
          <w:sz w:val="24"/>
          <w:szCs w:val="24"/>
        </w:rPr>
        <w:t xml:space="preserve"> (</w:t>
      </w:r>
      <w:r w:rsidR="00F631DC" w:rsidRPr="00FB5A28">
        <w:rPr>
          <w:rFonts w:ascii="Times New Roman" w:hAnsi="Times New Roman"/>
          <w:sz w:val="24"/>
          <w:szCs w:val="24"/>
        </w:rPr>
        <w:t>члан</w:t>
      </w:r>
      <w:r w:rsidRPr="00FB5A28">
        <w:rPr>
          <w:rFonts w:ascii="Times New Roman" w:hAnsi="Times New Roman"/>
          <w:sz w:val="24"/>
          <w:szCs w:val="24"/>
        </w:rPr>
        <w:t xml:space="preserve"> 21);</w:t>
      </w:r>
    </w:p>
    <w:p w:rsidR="00795BD7" w:rsidRPr="00FB5A28" w:rsidRDefault="00795BD7" w:rsidP="00FB5A28">
      <w:pPr>
        <w:jc w:val="both"/>
        <w:rPr>
          <w:rFonts w:ascii="Times New Roman" w:hAnsi="Times New Roman"/>
          <w:sz w:val="24"/>
          <w:szCs w:val="24"/>
        </w:rPr>
      </w:pPr>
      <w:r w:rsidRPr="00FB5A28">
        <w:rPr>
          <w:rFonts w:ascii="Times New Roman" w:hAnsi="Times New Roman"/>
          <w:sz w:val="24"/>
          <w:szCs w:val="24"/>
        </w:rPr>
        <w:lastRenderedPageBreak/>
        <w:t xml:space="preserve">3) </w:t>
      </w:r>
      <w:r w:rsidR="00F631DC" w:rsidRPr="00FB5A28">
        <w:rPr>
          <w:rFonts w:ascii="Times New Roman" w:hAnsi="Times New Roman"/>
          <w:sz w:val="24"/>
          <w:szCs w:val="24"/>
        </w:rPr>
        <w:t>одбије</w:t>
      </w:r>
      <w:r w:rsidRPr="00FB5A28">
        <w:rPr>
          <w:rFonts w:ascii="Times New Roman" w:hAnsi="Times New Roman"/>
          <w:sz w:val="24"/>
          <w:szCs w:val="24"/>
        </w:rPr>
        <w:t xml:space="preserve"> </w:t>
      </w:r>
      <w:r w:rsidR="00F631DC" w:rsidRPr="00FB5A28">
        <w:rPr>
          <w:rFonts w:ascii="Times New Roman" w:hAnsi="Times New Roman"/>
          <w:sz w:val="24"/>
          <w:szCs w:val="24"/>
        </w:rPr>
        <w:t>ПДВ</w:t>
      </w:r>
      <w:r w:rsidRPr="00FB5A28">
        <w:rPr>
          <w:rFonts w:ascii="Times New Roman" w:hAnsi="Times New Roman"/>
          <w:sz w:val="24"/>
          <w:szCs w:val="24"/>
        </w:rPr>
        <w:t xml:space="preserve"> </w:t>
      </w:r>
      <w:r w:rsidR="00F631DC" w:rsidRPr="00FB5A28">
        <w:rPr>
          <w:rFonts w:ascii="Times New Roman" w:hAnsi="Times New Roman"/>
          <w:sz w:val="24"/>
          <w:szCs w:val="24"/>
        </w:rPr>
        <w:t>као</w:t>
      </w:r>
      <w:r w:rsidRPr="00FB5A28">
        <w:rPr>
          <w:rFonts w:ascii="Times New Roman" w:hAnsi="Times New Roman"/>
          <w:sz w:val="24"/>
          <w:szCs w:val="24"/>
        </w:rPr>
        <w:t xml:space="preserve"> </w:t>
      </w:r>
      <w:r w:rsidR="00F631DC" w:rsidRPr="00FB5A28">
        <w:rPr>
          <w:rFonts w:ascii="Times New Roman" w:hAnsi="Times New Roman"/>
          <w:sz w:val="24"/>
          <w:szCs w:val="24"/>
        </w:rPr>
        <w:t>претходни</w:t>
      </w:r>
      <w:r w:rsidRPr="00FB5A28">
        <w:rPr>
          <w:rFonts w:ascii="Times New Roman" w:hAnsi="Times New Roman"/>
          <w:sz w:val="24"/>
          <w:szCs w:val="24"/>
        </w:rPr>
        <w:t xml:space="preserve"> </w:t>
      </w:r>
      <w:r w:rsidR="00F631DC" w:rsidRPr="00FB5A28">
        <w:rPr>
          <w:rFonts w:ascii="Times New Roman" w:hAnsi="Times New Roman"/>
          <w:sz w:val="24"/>
          <w:szCs w:val="24"/>
        </w:rPr>
        <w:t>порез</w:t>
      </w:r>
      <w:r w:rsidRPr="00FB5A28">
        <w:rPr>
          <w:rFonts w:ascii="Times New Roman" w:hAnsi="Times New Roman"/>
          <w:sz w:val="24"/>
          <w:szCs w:val="24"/>
        </w:rPr>
        <w:t xml:space="preserve">, </w:t>
      </w:r>
      <w:r w:rsidR="00F631DC" w:rsidRPr="00FB5A28">
        <w:rPr>
          <w:rFonts w:ascii="Times New Roman" w:hAnsi="Times New Roman"/>
          <w:sz w:val="24"/>
          <w:szCs w:val="24"/>
        </w:rPr>
        <w:t>а</w:t>
      </w:r>
      <w:r w:rsidRPr="00FB5A28">
        <w:rPr>
          <w:rFonts w:ascii="Times New Roman" w:hAnsi="Times New Roman"/>
          <w:sz w:val="24"/>
          <w:szCs w:val="24"/>
        </w:rPr>
        <w:t xml:space="preserve"> </w:t>
      </w:r>
      <w:r w:rsidR="00F631DC" w:rsidRPr="00FB5A28">
        <w:rPr>
          <w:rFonts w:ascii="Times New Roman" w:hAnsi="Times New Roman"/>
          <w:sz w:val="24"/>
          <w:szCs w:val="24"/>
        </w:rPr>
        <w:t>за</w:t>
      </w:r>
      <w:r w:rsidRPr="00FB5A28">
        <w:rPr>
          <w:rFonts w:ascii="Times New Roman" w:hAnsi="Times New Roman"/>
          <w:sz w:val="24"/>
          <w:szCs w:val="24"/>
        </w:rPr>
        <w:t xml:space="preserve"> </w:t>
      </w:r>
      <w:r w:rsidR="00F631DC" w:rsidRPr="00FB5A28">
        <w:rPr>
          <w:rFonts w:ascii="Times New Roman" w:hAnsi="Times New Roman"/>
          <w:sz w:val="24"/>
          <w:szCs w:val="24"/>
        </w:rPr>
        <w:t>то</w:t>
      </w:r>
      <w:r w:rsidRPr="00FB5A28">
        <w:rPr>
          <w:rFonts w:ascii="Times New Roman" w:hAnsi="Times New Roman"/>
          <w:sz w:val="24"/>
          <w:szCs w:val="24"/>
        </w:rPr>
        <w:t xml:space="preserve"> </w:t>
      </w:r>
      <w:r w:rsidR="00F631DC" w:rsidRPr="00FB5A28">
        <w:rPr>
          <w:rFonts w:ascii="Times New Roman" w:hAnsi="Times New Roman"/>
          <w:sz w:val="24"/>
          <w:szCs w:val="24"/>
        </w:rPr>
        <w:t>не</w:t>
      </w:r>
      <w:r w:rsidRPr="00FB5A28">
        <w:rPr>
          <w:rFonts w:ascii="Times New Roman" w:hAnsi="Times New Roman"/>
          <w:sz w:val="24"/>
          <w:szCs w:val="24"/>
        </w:rPr>
        <w:t xml:space="preserve"> </w:t>
      </w:r>
      <w:r w:rsidR="00F631DC" w:rsidRPr="00FB5A28">
        <w:rPr>
          <w:rFonts w:ascii="Times New Roman" w:hAnsi="Times New Roman"/>
          <w:sz w:val="24"/>
          <w:szCs w:val="24"/>
        </w:rPr>
        <w:t>испуњава</w:t>
      </w:r>
      <w:r w:rsidRPr="00FB5A28">
        <w:rPr>
          <w:rFonts w:ascii="Times New Roman" w:hAnsi="Times New Roman"/>
          <w:sz w:val="24"/>
          <w:szCs w:val="24"/>
        </w:rPr>
        <w:t xml:space="preserve"> </w:t>
      </w:r>
      <w:r w:rsidR="00F631DC" w:rsidRPr="00FB5A28">
        <w:rPr>
          <w:rFonts w:ascii="Times New Roman" w:hAnsi="Times New Roman"/>
          <w:sz w:val="24"/>
          <w:szCs w:val="24"/>
        </w:rPr>
        <w:t>услове</w:t>
      </w:r>
      <w:r w:rsidRPr="00FB5A28">
        <w:rPr>
          <w:rFonts w:ascii="Times New Roman" w:hAnsi="Times New Roman"/>
          <w:sz w:val="24"/>
          <w:szCs w:val="24"/>
        </w:rPr>
        <w:t xml:space="preserve"> (</w:t>
      </w:r>
      <w:r w:rsidR="00F631DC" w:rsidRPr="00FB5A28">
        <w:rPr>
          <w:rFonts w:ascii="Times New Roman" w:hAnsi="Times New Roman"/>
          <w:sz w:val="24"/>
          <w:szCs w:val="24"/>
        </w:rPr>
        <w:t>члан</w:t>
      </w:r>
      <w:r w:rsidRPr="00FB5A28">
        <w:rPr>
          <w:rFonts w:ascii="Times New Roman" w:hAnsi="Times New Roman"/>
          <w:sz w:val="24"/>
          <w:szCs w:val="24"/>
        </w:rPr>
        <w:t xml:space="preserve"> 28, </w:t>
      </w:r>
      <w:r w:rsidR="00F631DC" w:rsidRPr="00FB5A28">
        <w:rPr>
          <w:rFonts w:ascii="Times New Roman" w:hAnsi="Times New Roman"/>
          <w:sz w:val="24"/>
          <w:szCs w:val="24"/>
        </w:rPr>
        <w:t>члан</w:t>
      </w:r>
      <w:r w:rsidRPr="00FB5A28">
        <w:rPr>
          <w:rFonts w:ascii="Times New Roman" w:hAnsi="Times New Roman"/>
          <w:sz w:val="24"/>
          <w:szCs w:val="24"/>
        </w:rPr>
        <w:t xml:space="preserve"> 32</w:t>
      </w:r>
      <w:r w:rsidR="00F631DC" w:rsidRPr="00FB5A28">
        <w:rPr>
          <w:rFonts w:ascii="Times New Roman" w:hAnsi="Times New Roman"/>
          <w:sz w:val="24"/>
          <w:szCs w:val="24"/>
        </w:rPr>
        <w:t>б</w:t>
      </w:r>
      <w:r w:rsidRPr="00FB5A28">
        <w:rPr>
          <w:rFonts w:ascii="Times New Roman" w:hAnsi="Times New Roman"/>
          <w:sz w:val="24"/>
          <w:szCs w:val="24"/>
        </w:rPr>
        <w:t xml:space="preserve"> </w:t>
      </w:r>
      <w:r w:rsidR="00F631DC" w:rsidRPr="00FB5A28">
        <w:rPr>
          <w:rFonts w:ascii="Times New Roman" w:hAnsi="Times New Roman"/>
          <w:sz w:val="24"/>
          <w:szCs w:val="24"/>
        </w:rPr>
        <w:t>и</w:t>
      </w:r>
      <w:r w:rsidRPr="00FB5A28">
        <w:rPr>
          <w:rFonts w:ascii="Times New Roman" w:hAnsi="Times New Roman"/>
          <w:sz w:val="24"/>
          <w:szCs w:val="24"/>
        </w:rPr>
        <w:t xml:space="preserve"> </w:t>
      </w:r>
      <w:r w:rsidR="00F631DC" w:rsidRPr="00FB5A28">
        <w:rPr>
          <w:rFonts w:ascii="Times New Roman" w:hAnsi="Times New Roman"/>
          <w:sz w:val="24"/>
          <w:szCs w:val="24"/>
        </w:rPr>
        <w:t>члан</w:t>
      </w:r>
      <w:r w:rsidRPr="00FB5A28">
        <w:rPr>
          <w:rFonts w:ascii="Times New Roman" w:hAnsi="Times New Roman"/>
          <w:sz w:val="24"/>
          <w:szCs w:val="24"/>
        </w:rPr>
        <w:t xml:space="preserve"> 36</w:t>
      </w:r>
      <w:r w:rsidR="00F631DC" w:rsidRPr="00FB5A28">
        <w:rPr>
          <w:rFonts w:ascii="Times New Roman" w:hAnsi="Times New Roman"/>
          <w:sz w:val="24"/>
          <w:szCs w:val="24"/>
        </w:rPr>
        <w:t>а</w:t>
      </w:r>
      <w:r w:rsidRPr="00FB5A28">
        <w:rPr>
          <w:rFonts w:ascii="Times New Roman" w:hAnsi="Times New Roman"/>
          <w:sz w:val="24"/>
          <w:szCs w:val="24"/>
        </w:rPr>
        <w:t xml:space="preserve"> </w:t>
      </w:r>
      <w:r w:rsidR="00F631DC" w:rsidRPr="00FB5A28">
        <w:rPr>
          <w:rFonts w:ascii="Times New Roman" w:hAnsi="Times New Roman"/>
          <w:sz w:val="24"/>
          <w:szCs w:val="24"/>
        </w:rPr>
        <w:t>став</w:t>
      </w:r>
      <w:r w:rsidRPr="00FB5A28">
        <w:rPr>
          <w:rFonts w:ascii="Times New Roman" w:hAnsi="Times New Roman"/>
          <w:sz w:val="24"/>
          <w:szCs w:val="24"/>
        </w:rPr>
        <w:t xml:space="preserve"> 4. </w:t>
      </w:r>
      <w:r w:rsidR="00F631DC" w:rsidRPr="00FB5A28">
        <w:rPr>
          <w:rFonts w:ascii="Times New Roman" w:hAnsi="Times New Roman"/>
          <w:sz w:val="24"/>
          <w:szCs w:val="24"/>
        </w:rPr>
        <w:t>тачка</w:t>
      </w:r>
      <w:r w:rsidRPr="00FB5A28">
        <w:rPr>
          <w:rFonts w:ascii="Times New Roman" w:hAnsi="Times New Roman"/>
          <w:sz w:val="24"/>
          <w:szCs w:val="24"/>
        </w:rPr>
        <w:t xml:space="preserve"> 3);</w:t>
      </w:r>
    </w:p>
    <w:p w:rsidR="00795BD7" w:rsidRPr="00FB5A28" w:rsidRDefault="00795BD7" w:rsidP="00FB5A28">
      <w:pPr>
        <w:jc w:val="both"/>
        <w:rPr>
          <w:rFonts w:ascii="Times New Roman" w:hAnsi="Times New Roman"/>
          <w:sz w:val="24"/>
          <w:szCs w:val="24"/>
        </w:rPr>
      </w:pPr>
      <w:r w:rsidRPr="00FB5A28">
        <w:rPr>
          <w:rFonts w:ascii="Times New Roman" w:hAnsi="Times New Roman"/>
          <w:sz w:val="24"/>
          <w:szCs w:val="24"/>
        </w:rPr>
        <w:t xml:space="preserve">4) </w:t>
      </w:r>
      <w:r w:rsidR="00F631DC" w:rsidRPr="00FB5A28">
        <w:rPr>
          <w:rFonts w:ascii="Times New Roman" w:hAnsi="Times New Roman"/>
          <w:sz w:val="24"/>
          <w:szCs w:val="24"/>
        </w:rPr>
        <w:t>одбије</w:t>
      </w:r>
      <w:r w:rsidRPr="00FB5A28">
        <w:rPr>
          <w:rFonts w:ascii="Times New Roman" w:hAnsi="Times New Roman"/>
          <w:sz w:val="24"/>
          <w:szCs w:val="24"/>
        </w:rPr>
        <w:t xml:space="preserve"> </w:t>
      </w:r>
      <w:r w:rsidR="00F631DC" w:rsidRPr="00FB5A28">
        <w:rPr>
          <w:rFonts w:ascii="Times New Roman" w:hAnsi="Times New Roman"/>
          <w:sz w:val="24"/>
          <w:szCs w:val="24"/>
        </w:rPr>
        <w:t>ПДВ</w:t>
      </w:r>
      <w:r w:rsidRPr="00FB5A28">
        <w:rPr>
          <w:rFonts w:ascii="Times New Roman" w:hAnsi="Times New Roman"/>
          <w:sz w:val="24"/>
          <w:szCs w:val="24"/>
        </w:rPr>
        <w:t xml:space="preserve"> </w:t>
      </w:r>
      <w:r w:rsidR="00F631DC" w:rsidRPr="00FB5A28">
        <w:rPr>
          <w:rFonts w:ascii="Times New Roman" w:hAnsi="Times New Roman"/>
          <w:sz w:val="24"/>
          <w:szCs w:val="24"/>
        </w:rPr>
        <w:t>као</w:t>
      </w:r>
      <w:r w:rsidRPr="00FB5A28">
        <w:rPr>
          <w:rFonts w:ascii="Times New Roman" w:hAnsi="Times New Roman"/>
          <w:sz w:val="24"/>
          <w:szCs w:val="24"/>
        </w:rPr>
        <w:t xml:space="preserve"> </w:t>
      </w:r>
      <w:r w:rsidR="00F631DC" w:rsidRPr="00FB5A28">
        <w:rPr>
          <w:rFonts w:ascii="Times New Roman" w:hAnsi="Times New Roman"/>
          <w:sz w:val="24"/>
          <w:szCs w:val="24"/>
        </w:rPr>
        <w:t>претходни</w:t>
      </w:r>
      <w:r w:rsidRPr="00FB5A28">
        <w:rPr>
          <w:rFonts w:ascii="Times New Roman" w:hAnsi="Times New Roman"/>
          <w:sz w:val="24"/>
          <w:szCs w:val="24"/>
        </w:rPr>
        <w:t xml:space="preserve"> </w:t>
      </w:r>
      <w:r w:rsidR="00F631DC" w:rsidRPr="00FB5A28">
        <w:rPr>
          <w:rFonts w:ascii="Times New Roman" w:hAnsi="Times New Roman"/>
          <w:sz w:val="24"/>
          <w:szCs w:val="24"/>
        </w:rPr>
        <w:t>порез</w:t>
      </w:r>
      <w:r w:rsidRPr="00FB5A28">
        <w:rPr>
          <w:rFonts w:ascii="Times New Roman" w:hAnsi="Times New Roman"/>
          <w:sz w:val="24"/>
          <w:szCs w:val="24"/>
        </w:rPr>
        <w:t xml:space="preserve">, </w:t>
      </w:r>
      <w:r w:rsidR="00F631DC" w:rsidRPr="00FB5A28">
        <w:rPr>
          <w:rFonts w:ascii="Times New Roman" w:hAnsi="Times New Roman"/>
          <w:sz w:val="24"/>
          <w:szCs w:val="24"/>
        </w:rPr>
        <w:t>а</w:t>
      </w:r>
      <w:r w:rsidRPr="00FB5A28">
        <w:rPr>
          <w:rFonts w:ascii="Times New Roman" w:hAnsi="Times New Roman"/>
          <w:sz w:val="24"/>
          <w:szCs w:val="24"/>
        </w:rPr>
        <w:t xml:space="preserve"> </w:t>
      </w:r>
      <w:r w:rsidR="00F631DC" w:rsidRPr="00FB5A28">
        <w:rPr>
          <w:rFonts w:ascii="Times New Roman" w:hAnsi="Times New Roman"/>
          <w:sz w:val="24"/>
          <w:szCs w:val="24"/>
        </w:rPr>
        <w:t>на</w:t>
      </w:r>
      <w:r w:rsidRPr="00FB5A28">
        <w:rPr>
          <w:rFonts w:ascii="Times New Roman" w:hAnsi="Times New Roman"/>
          <w:sz w:val="24"/>
          <w:szCs w:val="24"/>
        </w:rPr>
        <w:t xml:space="preserve"> </w:t>
      </w:r>
      <w:r w:rsidR="00F631DC" w:rsidRPr="00FB5A28">
        <w:rPr>
          <w:rFonts w:ascii="Times New Roman" w:hAnsi="Times New Roman"/>
          <w:sz w:val="24"/>
          <w:szCs w:val="24"/>
        </w:rPr>
        <w:t>то</w:t>
      </w:r>
      <w:r w:rsidRPr="00FB5A28">
        <w:rPr>
          <w:rFonts w:ascii="Times New Roman" w:hAnsi="Times New Roman"/>
          <w:sz w:val="24"/>
          <w:szCs w:val="24"/>
        </w:rPr>
        <w:t xml:space="preserve"> </w:t>
      </w:r>
      <w:r w:rsidR="00F631DC" w:rsidRPr="00FB5A28">
        <w:rPr>
          <w:rFonts w:ascii="Times New Roman" w:hAnsi="Times New Roman"/>
          <w:sz w:val="24"/>
          <w:szCs w:val="24"/>
        </w:rPr>
        <w:t>нема</w:t>
      </w:r>
      <w:r w:rsidRPr="00FB5A28">
        <w:rPr>
          <w:rFonts w:ascii="Times New Roman" w:hAnsi="Times New Roman"/>
          <w:sz w:val="24"/>
          <w:szCs w:val="24"/>
        </w:rPr>
        <w:t xml:space="preserve"> </w:t>
      </w:r>
      <w:r w:rsidR="00F631DC" w:rsidRPr="00FB5A28">
        <w:rPr>
          <w:rFonts w:ascii="Times New Roman" w:hAnsi="Times New Roman"/>
          <w:sz w:val="24"/>
          <w:szCs w:val="24"/>
        </w:rPr>
        <w:t>право</w:t>
      </w:r>
      <w:r w:rsidRPr="00FB5A28">
        <w:rPr>
          <w:rFonts w:ascii="Times New Roman" w:hAnsi="Times New Roman"/>
          <w:sz w:val="24"/>
          <w:szCs w:val="24"/>
        </w:rPr>
        <w:t xml:space="preserve"> (</w:t>
      </w:r>
      <w:r w:rsidR="00F631DC" w:rsidRPr="00FB5A28">
        <w:rPr>
          <w:rFonts w:ascii="Times New Roman" w:hAnsi="Times New Roman"/>
          <w:sz w:val="24"/>
          <w:szCs w:val="24"/>
        </w:rPr>
        <w:t>члан</w:t>
      </w:r>
      <w:r w:rsidRPr="00FB5A28">
        <w:rPr>
          <w:rFonts w:ascii="Times New Roman" w:hAnsi="Times New Roman"/>
          <w:sz w:val="24"/>
          <w:szCs w:val="24"/>
        </w:rPr>
        <w:t xml:space="preserve"> 29. </w:t>
      </w:r>
      <w:r w:rsidR="00F631DC" w:rsidRPr="00FB5A28">
        <w:rPr>
          <w:rFonts w:ascii="Times New Roman" w:hAnsi="Times New Roman"/>
          <w:sz w:val="24"/>
          <w:szCs w:val="24"/>
        </w:rPr>
        <w:t>став</w:t>
      </w:r>
      <w:r w:rsidRPr="00FB5A28">
        <w:rPr>
          <w:rFonts w:ascii="Times New Roman" w:hAnsi="Times New Roman"/>
          <w:sz w:val="24"/>
          <w:szCs w:val="24"/>
        </w:rPr>
        <w:t xml:space="preserve"> 1);</w:t>
      </w:r>
    </w:p>
    <w:p w:rsidR="00795BD7" w:rsidRPr="00FB5A28" w:rsidRDefault="00795BD7" w:rsidP="00FB5A28">
      <w:pPr>
        <w:jc w:val="both"/>
        <w:rPr>
          <w:rFonts w:ascii="Times New Roman" w:hAnsi="Times New Roman"/>
          <w:sz w:val="24"/>
          <w:szCs w:val="24"/>
        </w:rPr>
      </w:pPr>
      <w:r w:rsidRPr="00FB5A28">
        <w:rPr>
          <w:rFonts w:ascii="Times New Roman" w:hAnsi="Times New Roman"/>
          <w:sz w:val="24"/>
          <w:szCs w:val="24"/>
        </w:rPr>
        <w:t xml:space="preserve">5) </w:t>
      </w:r>
      <w:r w:rsidR="00F631DC" w:rsidRPr="00FB5A28">
        <w:rPr>
          <w:rFonts w:ascii="Times New Roman" w:hAnsi="Times New Roman"/>
          <w:sz w:val="24"/>
          <w:szCs w:val="24"/>
        </w:rPr>
        <w:t>не</w:t>
      </w:r>
      <w:r w:rsidRPr="00FB5A28">
        <w:rPr>
          <w:rFonts w:ascii="Times New Roman" w:hAnsi="Times New Roman"/>
          <w:sz w:val="24"/>
          <w:szCs w:val="24"/>
        </w:rPr>
        <w:t xml:space="preserve"> </w:t>
      </w:r>
      <w:r w:rsidR="00F631DC" w:rsidRPr="00FB5A28">
        <w:rPr>
          <w:rFonts w:ascii="Times New Roman" w:hAnsi="Times New Roman"/>
          <w:sz w:val="24"/>
          <w:szCs w:val="24"/>
        </w:rPr>
        <w:t>исправи</w:t>
      </w:r>
      <w:r w:rsidRPr="00FB5A28">
        <w:rPr>
          <w:rFonts w:ascii="Times New Roman" w:hAnsi="Times New Roman"/>
          <w:sz w:val="24"/>
          <w:szCs w:val="24"/>
        </w:rPr>
        <w:t xml:space="preserve"> </w:t>
      </w:r>
      <w:r w:rsidR="00F631DC" w:rsidRPr="00FB5A28">
        <w:rPr>
          <w:rFonts w:ascii="Times New Roman" w:hAnsi="Times New Roman"/>
          <w:sz w:val="24"/>
          <w:szCs w:val="24"/>
        </w:rPr>
        <w:t>одбитак</w:t>
      </w:r>
      <w:r w:rsidRPr="00FB5A28">
        <w:rPr>
          <w:rFonts w:ascii="Times New Roman" w:hAnsi="Times New Roman"/>
          <w:sz w:val="24"/>
          <w:szCs w:val="24"/>
        </w:rPr>
        <w:t xml:space="preserve"> </w:t>
      </w:r>
      <w:r w:rsidR="00F631DC" w:rsidRPr="00FB5A28">
        <w:rPr>
          <w:rFonts w:ascii="Times New Roman" w:hAnsi="Times New Roman"/>
          <w:sz w:val="24"/>
          <w:szCs w:val="24"/>
        </w:rPr>
        <w:t>претходног</w:t>
      </w:r>
      <w:r w:rsidRPr="00FB5A28">
        <w:rPr>
          <w:rFonts w:ascii="Times New Roman" w:hAnsi="Times New Roman"/>
          <w:sz w:val="24"/>
          <w:szCs w:val="24"/>
        </w:rPr>
        <w:t xml:space="preserve"> </w:t>
      </w:r>
      <w:r w:rsidR="00F631DC" w:rsidRPr="00FB5A28">
        <w:rPr>
          <w:rFonts w:ascii="Times New Roman" w:hAnsi="Times New Roman"/>
          <w:sz w:val="24"/>
          <w:szCs w:val="24"/>
        </w:rPr>
        <w:t>пореза</w:t>
      </w:r>
      <w:r w:rsidRPr="00FB5A28">
        <w:rPr>
          <w:rFonts w:ascii="Times New Roman" w:hAnsi="Times New Roman"/>
          <w:sz w:val="24"/>
          <w:szCs w:val="24"/>
        </w:rPr>
        <w:t xml:space="preserve"> (</w:t>
      </w:r>
      <w:r w:rsidR="00F631DC" w:rsidRPr="00FB5A28">
        <w:rPr>
          <w:rFonts w:ascii="Times New Roman" w:hAnsi="Times New Roman"/>
          <w:sz w:val="24"/>
          <w:szCs w:val="24"/>
        </w:rPr>
        <w:t>члан</w:t>
      </w:r>
      <w:r w:rsidRPr="00FB5A28">
        <w:rPr>
          <w:rFonts w:ascii="Times New Roman" w:hAnsi="Times New Roman"/>
          <w:sz w:val="24"/>
          <w:szCs w:val="24"/>
        </w:rPr>
        <w:t xml:space="preserve"> 31. </w:t>
      </w:r>
      <w:r w:rsidR="00F631DC" w:rsidRPr="00FB5A28">
        <w:rPr>
          <w:rFonts w:ascii="Times New Roman" w:hAnsi="Times New Roman"/>
          <w:sz w:val="24"/>
          <w:szCs w:val="24"/>
        </w:rPr>
        <w:t>и</w:t>
      </w:r>
      <w:r w:rsidRPr="00FB5A28">
        <w:rPr>
          <w:rFonts w:ascii="Times New Roman" w:hAnsi="Times New Roman"/>
          <w:sz w:val="24"/>
          <w:szCs w:val="24"/>
        </w:rPr>
        <w:t xml:space="preserve"> </w:t>
      </w:r>
      <w:r w:rsidR="00F631DC" w:rsidRPr="00FB5A28">
        <w:rPr>
          <w:rFonts w:ascii="Times New Roman" w:hAnsi="Times New Roman"/>
          <w:sz w:val="24"/>
          <w:szCs w:val="24"/>
        </w:rPr>
        <w:t>члан</w:t>
      </w:r>
      <w:r w:rsidRPr="00FB5A28">
        <w:rPr>
          <w:rFonts w:ascii="Times New Roman" w:hAnsi="Times New Roman"/>
          <w:sz w:val="24"/>
          <w:szCs w:val="24"/>
        </w:rPr>
        <w:t xml:space="preserve"> 31</w:t>
      </w:r>
      <w:r w:rsidR="00F631DC" w:rsidRPr="00FB5A28">
        <w:rPr>
          <w:rFonts w:ascii="Times New Roman" w:hAnsi="Times New Roman"/>
          <w:sz w:val="24"/>
          <w:szCs w:val="24"/>
        </w:rPr>
        <w:t>а</w:t>
      </w:r>
      <w:r w:rsidRPr="00FB5A28">
        <w:rPr>
          <w:rFonts w:ascii="Times New Roman" w:hAnsi="Times New Roman"/>
          <w:sz w:val="24"/>
          <w:szCs w:val="24"/>
        </w:rPr>
        <w:t>);</w:t>
      </w:r>
    </w:p>
    <w:p w:rsidR="00795BD7" w:rsidRPr="00FB5A28" w:rsidRDefault="00795BD7" w:rsidP="00FB5A28">
      <w:pPr>
        <w:jc w:val="both"/>
        <w:rPr>
          <w:rFonts w:ascii="Times New Roman" w:hAnsi="Times New Roman"/>
          <w:sz w:val="24"/>
          <w:szCs w:val="24"/>
        </w:rPr>
      </w:pPr>
      <w:r w:rsidRPr="00FB5A28">
        <w:rPr>
          <w:rFonts w:ascii="Times New Roman" w:hAnsi="Times New Roman"/>
          <w:sz w:val="24"/>
          <w:szCs w:val="24"/>
        </w:rPr>
        <w:t xml:space="preserve">6) </w:t>
      </w:r>
      <w:r w:rsidR="00F631DC" w:rsidRPr="00FB5A28">
        <w:rPr>
          <w:rFonts w:ascii="Times New Roman" w:hAnsi="Times New Roman"/>
          <w:sz w:val="24"/>
          <w:szCs w:val="24"/>
        </w:rPr>
        <w:t>не</w:t>
      </w:r>
      <w:r w:rsidRPr="00FB5A28">
        <w:rPr>
          <w:rFonts w:ascii="Times New Roman" w:hAnsi="Times New Roman"/>
          <w:sz w:val="24"/>
          <w:szCs w:val="24"/>
        </w:rPr>
        <w:t xml:space="preserve"> </w:t>
      </w:r>
      <w:r w:rsidR="00F631DC" w:rsidRPr="00FB5A28">
        <w:rPr>
          <w:rFonts w:ascii="Times New Roman" w:hAnsi="Times New Roman"/>
          <w:sz w:val="24"/>
          <w:szCs w:val="24"/>
        </w:rPr>
        <w:t>обавести</w:t>
      </w:r>
      <w:r w:rsidRPr="00FB5A28">
        <w:rPr>
          <w:rFonts w:ascii="Times New Roman" w:hAnsi="Times New Roman"/>
          <w:sz w:val="24"/>
          <w:szCs w:val="24"/>
        </w:rPr>
        <w:t xml:space="preserve"> </w:t>
      </w:r>
      <w:r w:rsidR="00F631DC" w:rsidRPr="00FB5A28">
        <w:rPr>
          <w:rFonts w:ascii="Times New Roman" w:hAnsi="Times New Roman"/>
          <w:sz w:val="24"/>
          <w:szCs w:val="24"/>
        </w:rPr>
        <w:t>писмено</w:t>
      </w:r>
      <w:r w:rsidRPr="00FB5A28">
        <w:rPr>
          <w:rFonts w:ascii="Times New Roman" w:hAnsi="Times New Roman"/>
          <w:sz w:val="24"/>
          <w:szCs w:val="24"/>
        </w:rPr>
        <w:t xml:space="preserve"> </w:t>
      </w:r>
      <w:r w:rsidR="00F631DC" w:rsidRPr="00FB5A28">
        <w:rPr>
          <w:rFonts w:ascii="Times New Roman" w:hAnsi="Times New Roman"/>
          <w:sz w:val="24"/>
          <w:szCs w:val="24"/>
        </w:rPr>
        <w:t>примаоца</w:t>
      </w:r>
      <w:r w:rsidRPr="00FB5A28">
        <w:rPr>
          <w:rFonts w:ascii="Times New Roman" w:hAnsi="Times New Roman"/>
          <w:sz w:val="24"/>
          <w:szCs w:val="24"/>
        </w:rPr>
        <w:t xml:space="preserve"> </w:t>
      </w:r>
      <w:r w:rsidR="00F631DC" w:rsidRPr="00FB5A28">
        <w:rPr>
          <w:rFonts w:ascii="Times New Roman" w:hAnsi="Times New Roman"/>
          <w:sz w:val="24"/>
          <w:szCs w:val="24"/>
        </w:rPr>
        <w:t>добара</w:t>
      </w:r>
      <w:r w:rsidRPr="00FB5A28">
        <w:rPr>
          <w:rFonts w:ascii="Times New Roman" w:hAnsi="Times New Roman"/>
          <w:sz w:val="24"/>
          <w:szCs w:val="24"/>
        </w:rPr>
        <w:t xml:space="preserve"> </w:t>
      </w:r>
      <w:r w:rsidR="00F631DC" w:rsidRPr="00FB5A28">
        <w:rPr>
          <w:rFonts w:ascii="Times New Roman" w:hAnsi="Times New Roman"/>
          <w:sz w:val="24"/>
          <w:szCs w:val="24"/>
        </w:rPr>
        <w:t>и</w:t>
      </w:r>
      <w:r w:rsidRPr="00FB5A28">
        <w:rPr>
          <w:rFonts w:ascii="Times New Roman" w:hAnsi="Times New Roman"/>
          <w:sz w:val="24"/>
          <w:szCs w:val="24"/>
        </w:rPr>
        <w:t xml:space="preserve"> </w:t>
      </w:r>
      <w:r w:rsidR="00F631DC" w:rsidRPr="00FB5A28">
        <w:rPr>
          <w:rFonts w:ascii="Times New Roman" w:hAnsi="Times New Roman"/>
          <w:sz w:val="24"/>
          <w:szCs w:val="24"/>
        </w:rPr>
        <w:t>услуга</w:t>
      </w:r>
      <w:r w:rsidRPr="00FB5A28">
        <w:rPr>
          <w:rFonts w:ascii="Times New Roman" w:hAnsi="Times New Roman"/>
          <w:sz w:val="24"/>
          <w:szCs w:val="24"/>
        </w:rPr>
        <w:t xml:space="preserve"> </w:t>
      </w:r>
      <w:r w:rsidR="00F631DC" w:rsidRPr="00FB5A28">
        <w:rPr>
          <w:rFonts w:ascii="Times New Roman" w:hAnsi="Times New Roman"/>
          <w:sz w:val="24"/>
          <w:szCs w:val="24"/>
        </w:rPr>
        <w:t>о</w:t>
      </w:r>
      <w:r w:rsidRPr="00FB5A28">
        <w:rPr>
          <w:rFonts w:ascii="Times New Roman" w:hAnsi="Times New Roman"/>
          <w:sz w:val="24"/>
          <w:szCs w:val="24"/>
        </w:rPr>
        <w:t xml:space="preserve"> </w:t>
      </w:r>
      <w:r w:rsidR="00F631DC" w:rsidRPr="00FB5A28">
        <w:rPr>
          <w:rFonts w:ascii="Times New Roman" w:hAnsi="Times New Roman"/>
          <w:sz w:val="24"/>
          <w:szCs w:val="24"/>
        </w:rPr>
        <w:t>поништају</w:t>
      </w:r>
      <w:r w:rsidRPr="00FB5A28">
        <w:rPr>
          <w:rFonts w:ascii="Times New Roman" w:hAnsi="Times New Roman"/>
          <w:sz w:val="24"/>
          <w:szCs w:val="24"/>
        </w:rPr>
        <w:t xml:space="preserve">, </w:t>
      </w:r>
      <w:r w:rsidR="00F631DC" w:rsidRPr="00FB5A28">
        <w:rPr>
          <w:rFonts w:ascii="Times New Roman" w:hAnsi="Times New Roman"/>
          <w:sz w:val="24"/>
          <w:szCs w:val="24"/>
        </w:rPr>
        <w:t>измени</w:t>
      </w:r>
      <w:r w:rsidRPr="00FB5A28">
        <w:rPr>
          <w:rFonts w:ascii="Times New Roman" w:hAnsi="Times New Roman"/>
          <w:sz w:val="24"/>
          <w:szCs w:val="24"/>
        </w:rPr>
        <w:t xml:space="preserve"> </w:t>
      </w:r>
      <w:r w:rsidR="00F631DC" w:rsidRPr="00FB5A28">
        <w:rPr>
          <w:rFonts w:ascii="Times New Roman" w:hAnsi="Times New Roman"/>
          <w:sz w:val="24"/>
          <w:szCs w:val="24"/>
        </w:rPr>
        <w:t>или</w:t>
      </w:r>
      <w:r w:rsidRPr="00FB5A28">
        <w:rPr>
          <w:rFonts w:ascii="Times New Roman" w:hAnsi="Times New Roman"/>
          <w:sz w:val="24"/>
          <w:szCs w:val="24"/>
        </w:rPr>
        <w:t xml:space="preserve"> </w:t>
      </w:r>
      <w:r w:rsidR="00F631DC" w:rsidRPr="00FB5A28">
        <w:rPr>
          <w:rFonts w:ascii="Times New Roman" w:hAnsi="Times New Roman"/>
          <w:sz w:val="24"/>
          <w:szCs w:val="24"/>
        </w:rPr>
        <w:t>укидању</w:t>
      </w:r>
      <w:r w:rsidRPr="00FB5A28">
        <w:rPr>
          <w:rFonts w:ascii="Times New Roman" w:hAnsi="Times New Roman"/>
          <w:sz w:val="24"/>
          <w:szCs w:val="24"/>
        </w:rPr>
        <w:t xml:space="preserve"> </w:t>
      </w:r>
      <w:r w:rsidR="00F631DC" w:rsidRPr="00FB5A28">
        <w:rPr>
          <w:rFonts w:ascii="Times New Roman" w:hAnsi="Times New Roman"/>
          <w:sz w:val="24"/>
          <w:szCs w:val="24"/>
        </w:rPr>
        <w:t>решења</w:t>
      </w:r>
      <w:r w:rsidRPr="00FB5A28">
        <w:rPr>
          <w:rFonts w:ascii="Times New Roman" w:hAnsi="Times New Roman"/>
          <w:sz w:val="24"/>
          <w:szCs w:val="24"/>
        </w:rPr>
        <w:t xml:space="preserve"> (</w:t>
      </w:r>
      <w:r w:rsidR="00F631DC" w:rsidRPr="00FB5A28">
        <w:rPr>
          <w:rFonts w:ascii="Times New Roman" w:hAnsi="Times New Roman"/>
          <w:sz w:val="24"/>
          <w:szCs w:val="24"/>
        </w:rPr>
        <w:t>члан</w:t>
      </w:r>
      <w:r w:rsidRPr="00FB5A28">
        <w:rPr>
          <w:rFonts w:ascii="Times New Roman" w:hAnsi="Times New Roman"/>
          <w:sz w:val="24"/>
          <w:szCs w:val="24"/>
        </w:rPr>
        <w:t xml:space="preserve"> 31</w:t>
      </w:r>
      <w:r w:rsidR="00F631DC" w:rsidRPr="00FB5A28">
        <w:rPr>
          <w:rFonts w:ascii="Times New Roman" w:hAnsi="Times New Roman"/>
          <w:sz w:val="24"/>
          <w:szCs w:val="24"/>
        </w:rPr>
        <w:t>а</w:t>
      </w:r>
      <w:r w:rsidRPr="00FB5A28">
        <w:rPr>
          <w:rFonts w:ascii="Times New Roman" w:hAnsi="Times New Roman"/>
          <w:sz w:val="24"/>
          <w:szCs w:val="24"/>
        </w:rPr>
        <w:t xml:space="preserve"> </w:t>
      </w:r>
      <w:r w:rsidR="00F631DC" w:rsidRPr="00FB5A28">
        <w:rPr>
          <w:rFonts w:ascii="Times New Roman" w:hAnsi="Times New Roman"/>
          <w:sz w:val="24"/>
          <w:szCs w:val="24"/>
        </w:rPr>
        <w:t>став</w:t>
      </w:r>
      <w:r w:rsidRPr="00FB5A28">
        <w:rPr>
          <w:rFonts w:ascii="Times New Roman" w:hAnsi="Times New Roman"/>
          <w:sz w:val="24"/>
          <w:szCs w:val="24"/>
        </w:rPr>
        <w:t xml:space="preserve"> 2);</w:t>
      </w:r>
    </w:p>
    <w:p w:rsidR="00795BD7" w:rsidRPr="00FB5A28" w:rsidRDefault="00795BD7" w:rsidP="00FB5A28">
      <w:pPr>
        <w:jc w:val="both"/>
        <w:rPr>
          <w:rFonts w:ascii="Times New Roman" w:hAnsi="Times New Roman"/>
          <w:sz w:val="24"/>
          <w:szCs w:val="24"/>
        </w:rPr>
      </w:pPr>
      <w:r w:rsidRPr="00FB5A28">
        <w:rPr>
          <w:rFonts w:ascii="Times New Roman" w:hAnsi="Times New Roman"/>
          <w:sz w:val="24"/>
          <w:szCs w:val="24"/>
        </w:rPr>
        <w:t xml:space="preserve">7) </w:t>
      </w:r>
      <w:r w:rsidR="00F631DC" w:rsidRPr="00FB5A28">
        <w:rPr>
          <w:rFonts w:ascii="Times New Roman" w:hAnsi="Times New Roman"/>
          <w:sz w:val="24"/>
          <w:szCs w:val="24"/>
        </w:rPr>
        <w:t>не</w:t>
      </w:r>
      <w:r w:rsidRPr="00FB5A28">
        <w:rPr>
          <w:rFonts w:ascii="Times New Roman" w:hAnsi="Times New Roman"/>
          <w:sz w:val="24"/>
          <w:szCs w:val="24"/>
        </w:rPr>
        <w:t xml:space="preserve"> </w:t>
      </w:r>
      <w:r w:rsidR="00F631DC" w:rsidRPr="00FB5A28">
        <w:rPr>
          <w:rFonts w:ascii="Times New Roman" w:hAnsi="Times New Roman"/>
          <w:sz w:val="24"/>
          <w:szCs w:val="24"/>
        </w:rPr>
        <w:t>изврши</w:t>
      </w:r>
      <w:r w:rsidRPr="00FB5A28">
        <w:rPr>
          <w:rFonts w:ascii="Times New Roman" w:hAnsi="Times New Roman"/>
          <w:sz w:val="24"/>
          <w:szCs w:val="24"/>
        </w:rPr>
        <w:t xml:space="preserve"> </w:t>
      </w:r>
      <w:r w:rsidR="00F631DC" w:rsidRPr="00FB5A28">
        <w:rPr>
          <w:rFonts w:ascii="Times New Roman" w:hAnsi="Times New Roman"/>
          <w:sz w:val="24"/>
          <w:szCs w:val="24"/>
        </w:rPr>
        <w:t>исправку</w:t>
      </w:r>
      <w:r w:rsidRPr="00FB5A28">
        <w:rPr>
          <w:rFonts w:ascii="Times New Roman" w:hAnsi="Times New Roman"/>
          <w:sz w:val="24"/>
          <w:szCs w:val="24"/>
        </w:rPr>
        <w:t xml:space="preserve"> </w:t>
      </w:r>
      <w:r w:rsidR="00F631DC" w:rsidRPr="00FB5A28">
        <w:rPr>
          <w:rFonts w:ascii="Times New Roman" w:hAnsi="Times New Roman"/>
          <w:sz w:val="24"/>
          <w:szCs w:val="24"/>
        </w:rPr>
        <w:t>одбитка</w:t>
      </w:r>
      <w:r w:rsidRPr="00FB5A28">
        <w:rPr>
          <w:rFonts w:ascii="Times New Roman" w:hAnsi="Times New Roman"/>
          <w:sz w:val="24"/>
          <w:szCs w:val="24"/>
        </w:rPr>
        <w:t xml:space="preserve"> </w:t>
      </w:r>
      <w:r w:rsidR="00F631DC" w:rsidRPr="00FB5A28">
        <w:rPr>
          <w:rFonts w:ascii="Times New Roman" w:hAnsi="Times New Roman"/>
          <w:sz w:val="24"/>
          <w:szCs w:val="24"/>
        </w:rPr>
        <w:t>претходног</w:t>
      </w:r>
      <w:r w:rsidRPr="00FB5A28">
        <w:rPr>
          <w:rFonts w:ascii="Times New Roman" w:hAnsi="Times New Roman"/>
          <w:sz w:val="24"/>
          <w:szCs w:val="24"/>
        </w:rPr>
        <w:t xml:space="preserve"> </w:t>
      </w:r>
      <w:r w:rsidR="00F631DC" w:rsidRPr="00FB5A28">
        <w:rPr>
          <w:rFonts w:ascii="Times New Roman" w:hAnsi="Times New Roman"/>
          <w:sz w:val="24"/>
          <w:szCs w:val="24"/>
        </w:rPr>
        <w:t>пореза</w:t>
      </w:r>
      <w:r w:rsidRPr="00FB5A28">
        <w:rPr>
          <w:rFonts w:ascii="Times New Roman" w:hAnsi="Times New Roman"/>
          <w:sz w:val="24"/>
          <w:szCs w:val="24"/>
        </w:rPr>
        <w:t xml:space="preserve"> </w:t>
      </w:r>
      <w:r w:rsidR="00F631DC" w:rsidRPr="00FB5A28">
        <w:rPr>
          <w:rFonts w:ascii="Times New Roman" w:hAnsi="Times New Roman"/>
          <w:sz w:val="24"/>
          <w:szCs w:val="24"/>
        </w:rPr>
        <w:t>за</w:t>
      </w:r>
      <w:r w:rsidRPr="00FB5A28">
        <w:rPr>
          <w:rFonts w:ascii="Times New Roman" w:hAnsi="Times New Roman"/>
          <w:sz w:val="24"/>
          <w:szCs w:val="24"/>
        </w:rPr>
        <w:t xml:space="preserve"> </w:t>
      </w:r>
      <w:r w:rsidR="00F631DC" w:rsidRPr="00FB5A28">
        <w:rPr>
          <w:rFonts w:ascii="Times New Roman" w:hAnsi="Times New Roman"/>
          <w:sz w:val="24"/>
          <w:szCs w:val="24"/>
        </w:rPr>
        <w:t>опрему</w:t>
      </w:r>
      <w:r w:rsidRPr="00FB5A28">
        <w:rPr>
          <w:rFonts w:ascii="Times New Roman" w:hAnsi="Times New Roman"/>
          <w:sz w:val="24"/>
          <w:szCs w:val="24"/>
        </w:rPr>
        <w:t xml:space="preserve"> </w:t>
      </w:r>
      <w:r w:rsidR="00F631DC" w:rsidRPr="00FB5A28">
        <w:rPr>
          <w:rFonts w:ascii="Times New Roman" w:hAnsi="Times New Roman"/>
          <w:sz w:val="24"/>
          <w:szCs w:val="24"/>
        </w:rPr>
        <w:t>и</w:t>
      </w:r>
      <w:r w:rsidRPr="00FB5A28">
        <w:rPr>
          <w:rFonts w:ascii="Times New Roman" w:hAnsi="Times New Roman"/>
          <w:sz w:val="24"/>
          <w:szCs w:val="24"/>
        </w:rPr>
        <w:t xml:space="preserve"> </w:t>
      </w:r>
      <w:r w:rsidR="00F631DC" w:rsidRPr="00FB5A28">
        <w:rPr>
          <w:rFonts w:ascii="Times New Roman" w:hAnsi="Times New Roman"/>
          <w:sz w:val="24"/>
          <w:szCs w:val="24"/>
        </w:rPr>
        <w:t>објекте</w:t>
      </w:r>
      <w:r w:rsidRPr="00FB5A28">
        <w:rPr>
          <w:rFonts w:ascii="Times New Roman" w:hAnsi="Times New Roman"/>
          <w:sz w:val="24"/>
          <w:szCs w:val="24"/>
        </w:rPr>
        <w:t xml:space="preserve"> </w:t>
      </w:r>
      <w:r w:rsidR="00F631DC" w:rsidRPr="00FB5A28">
        <w:rPr>
          <w:rFonts w:ascii="Times New Roman" w:hAnsi="Times New Roman"/>
          <w:sz w:val="24"/>
          <w:szCs w:val="24"/>
        </w:rPr>
        <w:t>за</w:t>
      </w:r>
      <w:r w:rsidRPr="00FB5A28">
        <w:rPr>
          <w:rFonts w:ascii="Times New Roman" w:hAnsi="Times New Roman"/>
          <w:sz w:val="24"/>
          <w:szCs w:val="24"/>
        </w:rPr>
        <w:t xml:space="preserve"> </w:t>
      </w:r>
      <w:r w:rsidR="00F631DC" w:rsidRPr="00FB5A28">
        <w:rPr>
          <w:rFonts w:ascii="Times New Roman" w:hAnsi="Times New Roman"/>
          <w:sz w:val="24"/>
          <w:szCs w:val="24"/>
        </w:rPr>
        <w:t>вршење</w:t>
      </w:r>
      <w:r w:rsidRPr="00FB5A28">
        <w:rPr>
          <w:rFonts w:ascii="Times New Roman" w:hAnsi="Times New Roman"/>
          <w:sz w:val="24"/>
          <w:szCs w:val="24"/>
        </w:rPr>
        <w:t xml:space="preserve"> </w:t>
      </w:r>
      <w:r w:rsidR="00F631DC" w:rsidRPr="00FB5A28">
        <w:rPr>
          <w:rFonts w:ascii="Times New Roman" w:hAnsi="Times New Roman"/>
          <w:sz w:val="24"/>
          <w:szCs w:val="24"/>
        </w:rPr>
        <w:t>делатности</w:t>
      </w:r>
      <w:r w:rsidRPr="00FB5A28">
        <w:rPr>
          <w:rFonts w:ascii="Times New Roman" w:hAnsi="Times New Roman"/>
          <w:sz w:val="24"/>
          <w:szCs w:val="24"/>
        </w:rPr>
        <w:t xml:space="preserve"> </w:t>
      </w:r>
      <w:r w:rsidR="00F631DC" w:rsidRPr="00FB5A28">
        <w:rPr>
          <w:rFonts w:ascii="Times New Roman" w:hAnsi="Times New Roman"/>
          <w:sz w:val="24"/>
          <w:szCs w:val="24"/>
        </w:rPr>
        <w:t>и</w:t>
      </w:r>
      <w:r w:rsidRPr="00FB5A28">
        <w:rPr>
          <w:rFonts w:ascii="Times New Roman" w:hAnsi="Times New Roman"/>
          <w:sz w:val="24"/>
          <w:szCs w:val="24"/>
        </w:rPr>
        <w:t xml:space="preserve"> </w:t>
      </w:r>
      <w:r w:rsidR="00F631DC" w:rsidRPr="00FB5A28">
        <w:rPr>
          <w:rFonts w:ascii="Times New Roman" w:hAnsi="Times New Roman"/>
          <w:sz w:val="24"/>
          <w:szCs w:val="24"/>
        </w:rPr>
        <w:t>улагања</w:t>
      </w:r>
      <w:r w:rsidRPr="00FB5A28">
        <w:rPr>
          <w:rFonts w:ascii="Times New Roman" w:hAnsi="Times New Roman"/>
          <w:sz w:val="24"/>
          <w:szCs w:val="24"/>
        </w:rPr>
        <w:t xml:space="preserve"> </w:t>
      </w:r>
      <w:r w:rsidR="00F631DC" w:rsidRPr="00FB5A28">
        <w:rPr>
          <w:rFonts w:ascii="Times New Roman" w:hAnsi="Times New Roman"/>
          <w:sz w:val="24"/>
          <w:szCs w:val="24"/>
        </w:rPr>
        <w:t>у</w:t>
      </w:r>
      <w:r w:rsidRPr="00FB5A28">
        <w:rPr>
          <w:rFonts w:ascii="Times New Roman" w:hAnsi="Times New Roman"/>
          <w:sz w:val="24"/>
          <w:szCs w:val="24"/>
        </w:rPr>
        <w:t xml:space="preserve"> </w:t>
      </w:r>
      <w:r w:rsidR="00F631DC" w:rsidRPr="00FB5A28">
        <w:rPr>
          <w:rFonts w:ascii="Times New Roman" w:hAnsi="Times New Roman"/>
          <w:sz w:val="24"/>
          <w:szCs w:val="24"/>
        </w:rPr>
        <w:t>објекте</w:t>
      </w:r>
      <w:r w:rsidRPr="00FB5A28">
        <w:rPr>
          <w:rFonts w:ascii="Times New Roman" w:hAnsi="Times New Roman"/>
          <w:sz w:val="24"/>
          <w:szCs w:val="24"/>
        </w:rPr>
        <w:t xml:space="preserve"> (</w:t>
      </w:r>
      <w:r w:rsidR="00F631DC" w:rsidRPr="00FB5A28">
        <w:rPr>
          <w:rFonts w:ascii="Times New Roman" w:hAnsi="Times New Roman"/>
          <w:sz w:val="24"/>
          <w:szCs w:val="24"/>
        </w:rPr>
        <w:t>чл</w:t>
      </w:r>
      <w:r w:rsidRPr="00FB5A28">
        <w:rPr>
          <w:rFonts w:ascii="Times New Roman" w:hAnsi="Times New Roman"/>
          <w:sz w:val="24"/>
          <w:szCs w:val="24"/>
        </w:rPr>
        <w:t xml:space="preserve">. 32. </w:t>
      </w:r>
      <w:r w:rsidR="00F631DC" w:rsidRPr="00FB5A28">
        <w:rPr>
          <w:rFonts w:ascii="Times New Roman" w:hAnsi="Times New Roman"/>
          <w:sz w:val="24"/>
          <w:szCs w:val="24"/>
        </w:rPr>
        <w:t>и</w:t>
      </w:r>
      <w:r w:rsidRPr="00FB5A28">
        <w:rPr>
          <w:rFonts w:ascii="Times New Roman" w:hAnsi="Times New Roman"/>
          <w:sz w:val="24"/>
          <w:szCs w:val="24"/>
        </w:rPr>
        <w:t xml:space="preserve"> 32</w:t>
      </w:r>
      <w:r w:rsidR="00F631DC" w:rsidRPr="00FB5A28">
        <w:rPr>
          <w:rFonts w:ascii="Times New Roman" w:hAnsi="Times New Roman"/>
          <w:sz w:val="24"/>
          <w:szCs w:val="24"/>
        </w:rPr>
        <w:t>а</w:t>
      </w:r>
      <w:r w:rsidRPr="00FB5A28">
        <w:rPr>
          <w:rFonts w:ascii="Times New Roman" w:hAnsi="Times New Roman"/>
          <w:sz w:val="24"/>
          <w:szCs w:val="24"/>
        </w:rPr>
        <w:t>);</w:t>
      </w:r>
    </w:p>
    <w:p w:rsidR="00795BD7" w:rsidRPr="00FB5A28" w:rsidRDefault="00795BD7" w:rsidP="00FB5A28">
      <w:pPr>
        <w:jc w:val="both"/>
        <w:rPr>
          <w:rFonts w:ascii="Times New Roman" w:hAnsi="Times New Roman"/>
          <w:sz w:val="24"/>
          <w:szCs w:val="24"/>
        </w:rPr>
      </w:pPr>
      <w:r w:rsidRPr="00FB5A28">
        <w:rPr>
          <w:rFonts w:ascii="Times New Roman" w:hAnsi="Times New Roman"/>
          <w:sz w:val="24"/>
          <w:szCs w:val="24"/>
        </w:rPr>
        <w:t xml:space="preserve">8) </w:t>
      </w:r>
      <w:r w:rsidR="00F631DC" w:rsidRPr="00FB5A28">
        <w:rPr>
          <w:rFonts w:ascii="Times New Roman" w:hAnsi="Times New Roman"/>
          <w:sz w:val="24"/>
          <w:szCs w:val="24"/>
        </w:rPr>
        <w:t>не</w:t>
      </w:r>
      <w:r w:rsidRPr="00FB5A28">
        <w:rPr>
          <w:rFonts w:ascii="Times New Roman" w:hAnsi="Times New Roman"/>
          <w:sz w:val="24"/>
          <w:szCs w:val="24"/>
        </w:rPr>
        <w:t xml:space="preserve"> </w:t>
      </w:r>
      <w:r w:rsidR="00F631DC" w:rsidRPr="00FB5A28">
        <w:rPr>
          <w:rFonts w:ascii="Times New Roman" w:hAnsi="Times New Roman"/>
          <w:sz w:val="24"/>
          <w:szCs w:val="24"/>
        </w:rPr>
        <w:t>достави</w:t>
      </w:r>
      <w:r w:rsidRPr="00FB5A28">
        <w:rPr>
          <w:rFonts w:ascii="Times New Roman" w:hAnsi="Times New Roman"/>
          <w:sz w:val="24"/>
          <w:szCs w:val="24"/>
        </w:rPr>
        <w:t xml:space="preserve"> </w:t>
      </w:r>
      <w:r w:rsidR="00F631DC" w:rsidRPr="00FB5A28">
        <w:rPr>
          <w:rFonts w:ascii="Times New Roman" w:hAnsi="Times New Roman"/>
          <w:sz w:val="24"/>
          <w:szCs w:val="24"/>
        </w:rPr>
        <w:t>стицаоцу</w:t>
      </w:r>
      <w:r w:rsidRPr="00FB5A28">
        <w:rPr>
          <w:rFonts w:ascii="Times New Roman" w:hAnsi="Times New Roman"/>
          <w:sz w:val="24"/>
          <w:szCs w:val="24"/>
        </w:rPr>
        <w:t xml:space="preserve"> </w:t>
      </w:r>
      <w:r w:rsidR="00F631DC" w:rsidRPr="00FB5A28">
        <w:rPr>
          <w:rFonts w:ascii="Times New Roman" w:hAnsi="Times New Roman"/>
          <w:sz w:val="24"/>
          <w:szCs w:val="24"/>
        </w:rPr>
        <w:t>неопходне</w:t>
      </w:r>
      <w:r w:rsidRPr="00FB5A28">
        <w:rPr>
          <w:rFonts w:ascii="Times New Roman" w:hAnsi="Times New Roman"/>
          <w:sz w:val="24"/>
          <w:szCs w:val="24"/>
        </w:rPr>
        <w:t xml:space="preserve"> </w:t>
      </w:r>
      <w:r w:rsidR="00F631DC" w:rsidRPr="00FB5A28">
        <w:rPr>
          <w:rFonts w:ascii="Times New Roman" w:hAnsi="Times New Roman"/>
          <w:sz w:val="24"/>
          <w:szCs w:val="24"/>
        </w:rPr>
        <w:t>податке</w:t>
      </w:r>
      <w:r w:rsidRPr="00FB5A28">
        <w:rPr>
          <w:rFonts w:ascii="Times New Roman" w:hAnsi="Times New Roman"/>
          <w:sz w:val="24"/>
          <w:szCs w:val="24"/>
        </w:rPr>
        <w:t xml:space="preserve"> </w:t>
      </w:r>
      <w:r w:rsidR="00F631DC" w:rsidRPr="00FB5A28">
        <w:rPr>
          <w:rFonts w:ascii="Times New Roman" w:hAnsi="Times New Roman"/>
          <w:sz w:val="24"/>
          <w:szCs w:val="24"/>
        </w:rPr>
        <w:t>за</w:t>
      </w:r>
      <w:r w:rsidRPr="00FB5A28">
        <w:rPr>
          <w:rFonts w:ascii="Times New Roman" w:hAnsi="Times New Roman"/>
          <w:sz w:val="24"/>
          <w:szCs w:val="24"/>
        </w:rPr>
        <w:t xml:space="preserve"> </w:t>
      </w:r>
      <w:r w:rsidR="00F631DC" w:rsidRPr="00FB5A28">
        <w:rPr>
          <w:rFonts w:ascii="Times New Roman" w:hAnsi="Times New Roman"/>
          <w:sz w:val="24"/>
          <w:szCs w:val="24"/>
        </w:rPr>
        <w:t>спровођење</w:t>
      </w:r>
      <w:r w:rsidRPr="00FB5A28">
        <w:rPr>
          <w:rFonts w:ascii="Times New Roman" w:hAnsi="Times New Roman"/>
          <w:sz w:val="24"/>
          <w:szCs w:val="24"/>
        </w:rPr>
        <w:t xml:space="preserve"> </w:t>
      </w:r>
      <w:r w:rsidR="00F631DC" w:rsidRPr="00FB5A28">
        <w:rPr>
          <w:rFonts w:ascii="Times New Roman" w:hAnsi="Times New Roman"/>
          <w:sz w:val="24"/>
          <w:szCs w:val="24"/>
        </w:rPr>
        <w:t>исправке</w:t>
      </w:r>
      <w:r w:rsidRPr="00FB5A28">
        <w:rPr>
          <w:rFonts w:ascii="Times New Roman" w:hAnsi="Times New Roman"/>
          <w:sz w:val="24"/>
          <w:szCs w:val="24"/>
        </w:rPr>
        <w:t xml:space="preserve"> </w:t>
      </w:r>
      <w:r w:rsidR="00F631DC" w:rsidRPr="00FB5A28">
        <w:rPr>
          <w:rFonts w:ascii="Times New Roman" w:hAnsi="Times New Roman"/>
          <w:sz w:val="24"/>
          <w:szCs w:val="24"/>
        </w:rPr>
        <w:t>одбитка</w:t>
      </w:r>
      <w:r w:rsidRPr="00FB5A28">
        <w:rPr>
          <w:rFonts w:ascii="Times New Roman" w:hAnsi="Times New Roman"/>
          <w:sz w:val="24"/>
          <w:szCs w:val="24"/>
        </w:rPr>
        <w:t xml:space="preserve"> </w:t>
      </w:r>
      <w:r w:rsidR="00F631DC" w:rsidRPr="00FB5A28">
        <w:rPr>
          <w:rFonts w:ascii="Times New Roman" w:hAnsi="Times New Roman"/>
          <w:sz w:val="24"/>
          <w:szCs w:val="24"/>
        </w:rPr>
        <w:t>претходног</w:t>
      </w:r>
      <w:r w:rsidRPr="00FB5A28">
        <w:rPr>
          <w:rFonts w:ascii="Times New Roman" w:hAnsi="Times New Roman"/>
          <w:sz w:val="24"/>
          <w:szCs w:val="24"/>
        </w:rPr>
        <w:t xml:space="preserve"> </w:t>
      </w:r>
      <w:r w:rsidR="00F631DC" w:rsidRPr="00FB5A28">
        <w:rPr>
          <w:rFonts w:ascii="Times New Roman" w:hAnsi="Times New Roman"/>
          <w:sz w:val="24"/>
          <w:szCs w:val="24"/>
        </w:rPr>
        <w:t>пореза</w:t>
      </w:r>
      <w:r w:rsidRPr="00FB5A28">
        <w:rPr>
          <w:rFonts w:ascii="Times New Roman" w:hAnsi="Times New Roman"/>
          <w:sz w:val="24"/>
          <w:szCs w:val="24"/>
        </w:rPr>
        <w:t xml:space="preserve"> (</w:t>
      </w:r>
      <w:r w:rsidR="00F631DC" w:rsidRPr="00FB5A28">
        <w:rPr>
          <w:rFonts w:ascii="Times New Roman" w:hAnsi="Times New Roman"/>
          <w:sz w:val="24"/>
          <w:szCs w:val="24"/>
        </w:rPr>
        <w:t>члан</w:t>
      </w:r>
      <w:r w:rsidRPr="00FB5A28">
        <w:rPr>
          <w:rFonts w:ascii="Times New Roman" w:hAnsi="Times New Roman"/>
          <w:sz w:val="24"/>
          <w:szCs w:val="24"/>
        </w:rPr>
        <w:t xml:space="preserve"> 32. </w:t>
      </w:r>
      <w:r w:rsidR="00F631DC" w:rsidRPr="00FB5A28">
        <w:rPr>
          <w:rFonts w:ascii="Times New Roman" w:hAnsi="Times New Roman"/>
          <w:sz w:val="24"/>
          <w:szCs w:val="24"/>
        </w:rPr>
        <w:t>став</w:t>
      </w:r>
      <w:r w:rsidRPr="00FB5A28">
        <w:rPr>
          <w:rFonts w:ascii="Times New Roman" w:hAnsi="Times New Roman"/>
          <w:sz w:val="24"/>
          <w:szCs w:val="24"/>
        </w:rPr>
        <w:t xml:space="preserve"> 5);</w:t>
      </w:r>
    </w:p>
    <w:p w:rsidR="00795BD7" w:rsidRPr="00FB5A28" w:rsidRDefault="00795BD7" w:rsidP="00FB5A28">
      <w:pPr>
        <w:jc w:val="both"/>
        <w:rPr>
          <w:rFonts w:ascii="Times New Roman" w:hAnsi="Times New Roman"/>
          <w:sz w:val="24"/>
          <w:szCs w:val="24"/>
        </w:rPr>
      </w:pPr>
      <w:r w:rsidRPr="00FB5A28">
        <w:rPr>
          <w:rFonts w:ascii="Times New Roman" w:hAnsi="Times New Roman"/>
          <w:sz w:val="24"/>
          <w:szCs w:val="24"/>
        </w:rPr>
        <w:t xml:space="preserve">9) </w:t>
      </w:r>
      <w:r w:rsidR="00F631DC" w:rsidRPr="00FB5A28">
        <w:rPr>
          <w:rFonts w:ascii="Times New Roman" w:hAnsi="Times New Roman"/>
          <w:sz w:val="24"/>
          <w:szCs w:val="24"/>
        </w:rPr>
        <w:t>искаже</w:t>
      </w:r>
      <w:r w:rsidRPr="00FB5A28">
        <w:rPr>
          <w:rFonts w:ascii="Times New Roman" w:hAnsi="Times New Roman"/>
          <w:sz w:val="24"/>
          <w:szCs w:val="24"/>
        </w:rPr>
        <w:t xml:space="preserve"> </w:t>
      </w:r>
      <w:r w:rsidR="00F631DC" w:rsidRPr="00FB5A28">
        <w:rPr>
          <w:rFonts w:ascii="Times New Roman" w:hAnsi="Times New Roman"/>
          <w:sz w:val="24"/>
          <w:szCs w:val="24"/>
        </w:rPr>
        <w:t>ПДВ</w:t>
      </w:r>
      <w:r w:rsidRPr="00FB5A28">
        <w:rPr>
          <w:rFonts w:ascii="Times New Roman" w:hAnsi="Times New Roman"/>
          <w:sz w:val="24"/>
          <w:szCs w:val="24"/>
        </w:rPr>
        <w:t xml:space="preserve"> </w:t>
      </w:r>
      <w:r w:rsidR="00F631DC" w:rsidRPr="00FB5A28">
        <w:rPr>
          <w:rFonts w:ascii="Times New Roman" w:hAnsi="Times New Roman"/>
          <w:sz w:val="24"/>
          <w:szCs w:val="24"/>
        </w:rPr>
        <w:t>на</w:t>
      </w:r>
      <w:r w:rsidRPr="00FB5A28">
        <w:rPr>
          <w:rFonts w:ascii="Times New Roman" w:hAnsi="Times New Roman"/>
          <w:sz w:val="24"/>
          <w:szCs w:val="24"/>
        </w:rPr>
        <w:t xml:space="preserve"> </w:t>
      </w:r>
      <w:r w:rsidR="00F631DC" w:rsidRPr="00FB5A28">
        <w:rPr>
          <w:rFonts w:ascii="Times New Roman" w:hAnsi="Times New Roman"/>
          <w:sz w:val="24"/>
          <w:szCs w:val="24"/>
        </w:rPr>
        <w:t>рачуну</w:t>
      </w:r>
      <w:r w:rsidRPr="00FB5A28">
        <w:rPr>
          <w:rFonts w:ascii="Times New Roman" w:hAnsi="Times New Roman"/>
          <w:sz w:val="24"/>
          <w:szCs w:val="24"/>
        </w:rPr>
        <w:t xml:space="preserve"> </w:t>
      </w:r>
      <w:r w:rsidR="00F631DC" w:rsidRPr="00FB5A28">
        <w:rPr>
          <w:rFonts w:ascii="Times New Roman" w:hAnsi="Times New Roman"/>
          <w:sz w:val="24"/>
          <w:szCs w:val="24"/>
        </w:rPr>
        <w:t>или</w:t>
      </w:r>
      <w:r w:rsidRPr="00FB5A28">
        <w:rPr>
          <w:rFonts w:ascii="Times New Roman" w:hAnsi="Times New Roman"/>
          <w:sz w:val="24"/>
          <w:szCs w:val="24"/>
        </w:rPr>
        <w:t xml:space="preserve"> </w:t>
      </w:r>
      <w:r w:rsidR="00F631DC" w:rsidRPr="00FB5A28">
        <w:rPr>
          <w:rFonts w:ascii="Times New Roman" w:hAnsi="Times New Roman"/>
          <w:sz w:val="24"/>
          <w:szCs w:val="24"/>
        </w:rPr>
        <w:t>другом</w:t>
      </w:r>
      <w:r w:rsidRPr="00FB5A28">
        <w:rPr>
          <w:rFonts w:ascii="Times New Roman" w:hAnsi="Times New Roman"/>
          <w:sz w:val="24"/>
          <w:szCs w:val="24"/>
        </w:rPr>
        <w:t xml:space="preserve"> </w:t>
      </w:r>
      <w:r w:rsidR="00F631DC" w:rsidRPr="00FB5A28">
        <w:rPr>
          <w:rFonts w:ascii="Times New Roman" w:hAnsi="Times New Roman"/>
          <w:sz w:val="24"/>
          <w:szCs w:val="24"/>
        </w:rPr>
        <w:t>документу</w:t>
      </w:r>
      <w:r w:rsidRPr="00FB5A28">
        <w:rPr>
          <w:rFonts w:ascii="Times New Roman" w:hAnsi="Times New Roman"/>
          <w:sz w:val="24"/>
          <w:szCs w:val="24"/>
        </w:rPr>
        <w:t xml:space="preserve"> </w:t>
      </w:r>
      <w:r w:rsidR="00F631DC" w:rsidRPr="00FB5A28">
        <w:rPr>
          <w:rFonts w:ascii="Times New Roman" w:hAnsi="Times New Roman"/>
          <w:sz w:val="24"/>
          <w:szCs w:val="24"/>
        </w:rPr>
        <w:t>или</w:t>
      </w:r>
      <w:r w:rsidRPr="00FB5A28">
        <w:rPr>
          <w:rFonts w:ascii="Times New Roman" w:hAnsi="Times New Roman"/>
          <w:sz w:val="24"/>
          <w:szCs w:val="24"/>
        </w:rPr>
        <w:t xml:space="preserve"> </w:t>
      </w:r>
      <w:r w:rsidR="00F631DC" w:rsidRPr="00FB5A28">
        <w:rPr>
          <w:rFonts w:ascii="Times New Roman" w:hAnsi="Times New Roman"/>
          <w:sz w:val="24"/>
          <w:szCs w:val="24"/>
        </w:rPr>
        <w:t>одбије</w:t>
      </w:r>
      <w:r w:rsidRPr="00FB5A28">
        <w:rPr>
          <w:rFonts w:ascii="Times New Roman" w:hAnsi="Times New Roman"/>
          <w:sz w:val="24"/>
          <w:szCs w:val="24"/>
        </w:rPr>
        <w:t xml:space="preserve"> </w:t>
      </w:r>
      <w:r w:rsidR="00F631DC" w:rsidRPr="00FB5A28">
        <w:rPr>
          <w:rFonts w:ascii="Times New Roman" w:hAnsi="Times New Roman"/>
          <w:sz w:val="24"/>
          <w:szCs w:val="24"/>
        </w:rPr>
        <w:t>ПДВ</w:t>
      </w:r>
      <w:r w:rsidRPr="00FB5A28">
        <w:rPr>
          <w:rFonts w:ascii="Times New Roman" w:hAnsi="Times New Roman"/>
          <w:sz w:val="24"/>
          <w:szCs w:val="24"/>
        </w:rPr>
        <w:t xml:space="preserve"> </w:t>
      </w:r>
      <w:r w:rsidR="00F631DC" w:rsidRPr="00FB5A28">
        <w:rPr>
          <w:rFonts w:ascii="Times New Roman" w:hAnsi="Times New Roman"/>
          <w:sz w:val="24"/>
          <w:szCs w:val="24"/>
        </w:rPr>
        <w:t>као</w:t>
      </w:r>
      <w:r w:rsidRPr="00FB5A28">
        <w:rPr>
          <w:rFonts w:ascii="Times New Roman" w:hAnsi="Times New Roman"/>
          <w:sz w:val="24"/>
          <w:szCs w:val="24"/>
        </w:rPr>
        <w:t xml:space="preserve"> </w:t>
      </w:r>
      <w:r w:rsidR="00F631DC" w:rsidRPr="00FB5A28">
        <w:rPr>
          <w:rFonts w:ascii="Times New Roman" w:hAnsi="Times New Roman"/>
          <w:sz w:val="24"/>
          <w:szCs w:val="24"/>
        </w:rPr>
        <w:t>претходни</w:t>
      </w:r>
      <w:r w:rsidRPr="00FB5A28">
        <w:rPr>
          <w:rFonts w:ascii="Times New Roman" w:hAnsi="Times New Roman"/>
          <w:sz w:val="24"/>
          <w:szCs w:val="24"/>
        </w:rPr>
        <w:t xml:space="preserve"> </w:t>
      </w:r>
      <w:r w:rsidR="00F631DC" w:rsidRPr="00FB5A28">
        <w:rPr>
          <w:rFonts w:ascii="Times New Roman" w:hAnsi="Times New Roman"/>
          <w:sz w:val="24"/>
          <w:szCs w:val="24"/>
        </w:rPr>
        <w:t>порез</w:t>
      </w:r>
      <w:r w:rsidRPr="00FB5A28">
        <w:rPr>
          <w:rFonts w:ascii="Times New Roman" w:hAnsi="Times New Roman"/>
          <w:sz w:val="24"/>
          <w:szCs w:val="24"/>
        </w:rPr>
        <w:t xml:space="preserve">, </w:t>
      </w:r>
      <w:r w:rsidR="00F631DC" w:rsidRPr="00FB5A28">
        <w:rPr>
          <w:rFonts w:ascii="Times New Roman" w:hAnsi="Times New Roman"/>
          <w:sz w:val="24"/>
          <w:szCs w:val="24"/>
        </w:rPr>
        <w:t>а</w:t>
      </w:r>
      <w:r w:rsidRPr="00FB5A28">
        <w:rPr>
          <w:rFonts w:ascii="Times New Roman" w:hAnsi="Times New Roman"/>
          <w:sz w:val="24"/>
          <w:szCs w:val="24"/>
        </w:rPr>
        <w:t xml:space="preserve"> </w:t>
      </w:r>
      <w:r w:rsidR="00F631DC" w:rsidRPr="00FB5A28">
        <w:rPr>
          <w:rFonts w:ascii="Times New Roman" w:hAnsi="Times New Roman"/>
          <w:sz w:val="24"/>
          <w:szCs w:val="24"/>
        </w:rPr>
        <w:t>није</w:t>
      </w:r>
      <w:r w:rsidRPr="00FB5A28">
        <w:rPr>
          <w:rFonts w:ascii="Times New Roman" w:hAnsi="Times New Roman"/>
          <w:sz w:val="24"/>
          <w:szCs w:val="24"/>
        </w:rPr>
        <w:t xml:space="preserve"> </w:t>
      </w:r>
      <w:r w:rsidR="00F631DC" w:rsidRPr="00FB5A28">
        <w:rPr>
          <w:rFonts w:ascii="Times New Roman" w:hAnsi="Times New Roman"/>
          <w:sz w:val="24"/>
          <w:szCs w:val="24"/>
        </w:rPr>
        <w:t>имао</w:t>
      </w:r>
      <w:r w:rsidRPr="00FB5A28">
        <w:rPr>
          <w:rFonts w:ascii="Times New Roman" w:hAnsi="Times New Roman"/>
          <w:sz w:val="24"/>
          <w:szCs w:val="24"/>
        </w:rPr>
        <w:t xml:space="preserve"> </w:t>
      </w:r>
      <w:r w:rsidR="00F631DC" w:rsidRPr="00FB5A28">
        <w:rPr>
          <w:rFonts w:ascii="Times New Roman" w:hAnsi="Times New Roman"/>
          <w:sz w:val="24"/>
          <w:szCs w:val="24"/>
        </w:rPr>
        <w:t>на</w:t>
      </w:r>
      <w:r w:rsidRPr="00FB5A28">
        <w:rPr>
          <w:rFonts w:ascii="Times New Roman" w:hAnsi="Times New Roman"/>
          <w:sz w:val="24"/>
          <w:szCs w:val="24"/>
        </w:rPr>
        <w:t xml:space="preserve"> </w:t>
      </w:r>
      <w:r w:rsidR="00F631DC" w:rsidRPr="00FB5A28">
        <w:rPr>
          <w:rFonts w:ascii="Times New Roman" w:hAnsi="Times New Roman"/>
          <w:sz w:val="24"/>
          <w:szCs w:val="24"/>
        </w:rPr>
        <w:t>то</w:t>
      </w:r>
      <w:r w:rsidRPr="00FB5A28">
        <w:rPr>
          <w:rFonts w:ascii="Times New Roman" w:hAnsi="Times New Roman"/>
          <w:sz w:val="24"/>
          <w:szCs w:val="24"/>
        </w:rPr>
        <w:t xml:space="preserve"> </w:t>
      </w:r>
      <w:r w:rsidR="00F631DC" w:rsidRPr="00FB5A28">
        <w:rPr>
          <w:rFonts w:ascii="Times New Roman" w:hAnsi="Times New Roman"/>
          <w:sz w:val="24"/>
          <w:szCs w:val="24"/>
        </w:rPr>
        <w:t>право</w:t>
      </w:r>
      <w:r w:rsidRPr="00FB5A28">
        <w:rPr>
          <w:rFonts w:ascii="Times New Roman" w:hAnsi="Times New Roman"/>
          <w:sz w:val="24"/>
          <w:szCs w:val="24"/>
        </w:rPr>
        <w:t xml:space="preserve"> (</w:t>
      </w:r>
      <w:r w:rsidR="00F631DC" w:rsidRPr="00FB5A28">
        <w:rPr>
          <w:rFonts w:ascii="Times New Roman" w:hAnsi="Times New Roman"/>
          <w:sz w:val="24"/>
          <w:szCs w:val="24"/>
        </w:rPr>
        <w:t>члан</w:t>
      </w:r>
      <w:r w:rsidRPr="00FB5A28">
        <w:rPr>
          <w:rFonts w:ascii="Times New Roman" w:hAnsi="Times New Roman"/>
          <w:sz w:val="24"/>
          <w:szCs w:val="24"/>
        </w:rPr>
        <w:t xml:space="preserve"> 33. </w:t>
      </w:r>
      <w:r w:rsidR="00F631DC" w:rsidRPr="00FB5A28">
        <w:rPr>
          <w:rFonts w:ascii="Times New Roman" w:hAnsi="Times New Roman"/>
          <w:sz w:val="24"/>
          <w:szCs w:val="24"/>
        </w:rPr>
        <w:t>став</w:t>
      </w:r>
      <w:r w:rsidRPr="00FB5A28">
        <w:rPr>
          <w:rFonts w:ascii="Times New Roman" w:hAnsi="Times New Roman"/>
          <w:sz w:val="24"/>
          <w:szCs w:val="24"/>
        </w:rPr>
        <w:t xml:space="preserve"> 2, </w:t>
      </w:r>
      <w:r w:rsidR="00F631DC" w:rsidRPr="00FB5A28">
        <w:rPr>
          <w:rFonts w:ascii="Times New Roman" w:hAnsi="Times New Roman"/>
          <w:sz w:val="24"/>
          <w:szCs w:val="24"/>
        </w:rPr>
        <w:t>члан</w:t>
      </w:r>
      <w:r w:rsidRPr="00FB5A28">
        <w:rPr>
          <w:rFonts w:ascii="Times New Roman" w:hAnsi="Times New Roman"/>
          <w:sz w:val="24"/>
          <w:szCs w:val="24"/>
        </w:rPr>
        <w:t xml:space="preserve"> 35. </w:t>
      </w:r>
      <w:r w:rsidR="00F631DC" w:rsidRPr="00FB5A28">
        <w:rPr>
          <w:rFonts w:ascii="Times New Roman" w:hAnsi="Times New Roman"/>
          <w:sz w:val="24"/>
          <w:szCs w:val="24"/>
        </w:rPr>
        <w:t>став</w:t>
      </w:r>
      <w:r w:rsidRPr="00FB5A28">
        <w:rPr>
          <w:rFonts w:ascii="Times New Roman" w:hAnsi="Times New Roman"/>
          <w:sz w:val="24"/>
          <w:szCs w:val="24"/>
        </w:rPr>
        <w:t xml:space="preserve"> 7. </w:t>
      </w:r>
      <w:r w:rsidR="00F631DC" w:rsidRPr="00FB5A28">
        <w:rPr>
          <w:rFonts w:ascii="Times New Roman" w:hAnsi="Times New Roman"/>
          <w:sz w:val="24"/>
          <w:szCs w:val="24"/>
        </w:rPr>
        <w:t>и</w:t>
      </w:r>
      <w:r w:rsidRPr="00FB5A28">
        <w:rPr>
          <w:rFonts w:ascii="Times New Roman" w:hAnsi="Times New Roman"/>
          <w:sz w:val="24"/>
          <w:szCs w:val="24"/>
        </w:rPr>
        <w:t xml:space="preserve"> </w:t>
      </w:r>
      <w:r w:rsidR="00F631DC" w:rsidRPr="00FB5A28">
        <w:rPr>
          <w:rFonts w:ascii="Times New Roman" w:hAnsi="Times New Roman"/>
          <w:sz w:val="24"/>
          <w:szCs w:val="24"/>
        </w:rPr>
        <w:t>члан</w:t>
      </w:r>
      <w:r w:rsidRPr="00FB5A28">
        <w:rPr>
          <w:rFonts w:ascii="Times New Roman" w:hAnsi="Times New Roman"/>
          <w:sz w:val="24"/>
          <w:szCs w:val="24"/>
        </w:rPr>
        <w:t xml:space="preserve"> 36. </w:t>
      </w:r>
      <w:r w:rsidR="00F631DC" w:rsidRPr="00FB5A28">
        <w:rPr>
          <w:rFonts w:ascii="Times New Roman" w:hAnsi="Times New Roman"/>
          <w:sz w:val="24"/>
          <w:szCs w:val="24"/>
        </w:rPr>
        <w:t>ст</w:t>
      </w:r>
      <w:r w:rsidRPr="00FB5A28">
        <w:rPr>
          <w:rFonts w:ascii="Times New Roman" w:hAnsi="Times New Roman"/>
          <w:sz w:val="24"/>
          <w:szCs w:val="24"/>
        </w:rPr>
        <w:t xml:space="preserve">. 4. </w:t>
      </w:r>
      <w:r w:rsidR="00F631DC" w:rsidRPr="00FB5A28">
        <w:rPr>
          <w:rFonts w:ascii="Times New Roman" w:hAnsi="Times New Roman"/>
          <w:sz w:val="24"/>
          <w:szCs w:val="24"/>
        </w:rPr>
        <w:t>и</w:t>
      </w:r>
      <w:r w:rsidRPr="00FB5A28">
        <w:rPr>
          <w:rFonts w:ascii="Times New Roman" w:hAnsi="Times New Roman"/>
          <w:sz w:val="24"/>
          <w:szCs w:val="24"/>
        </w:rPr>
        <w:t xml:space="preserve"> 5);</w:t>
      </w:r>
    </w:p>
    <w:p w:rsidR="00795BD7" w:rsidRPr="00FB5A28" w:rsidRDefault="00795BD7" w:rsidP="00FB5A28">
      <w:pPr>
        <w:jc w:val="both"/>
        <w:rPr>
          <w:rFonts w:ascii="Times New Roman" w:hAnsi="Times New Roman"/>
          <w:sz w:val="24"/>
          <w:szCs w:val="24"/>
        </w:rPr>
      </w:pPr>
      <w:r w:rsidRPr="00FB5A28">
        <w:rPr>
          <w:rFonts w:ascii="Times New Roman" w:hAnsi="Times New Roman"/>
          <w:sz w:val="24"/>
          <w:szCs w:val="24"/>
        </w:rPr>
        <w:t xml:space="preserve">10) </w:t>
      </w:r>
      <w:r w:rsidR="00F631DC" w:rsidRPr="00FB5A28">
        <w:rPr>
          <w:rFonts w:ascii="Times New Roman" w:hAnsi="Times New Roman"/>
          <w:sz w:val="24"/>
          <w:szCs w:val="24"/>
        </w:rPr>
        <w:t>одбије</w:t>
      </w:r>
      <w:r w:rsidRPr="00FB5A28">
        <w:rPr>
          <w:rFonts w:ascii="Times New Roman" w:hAnsi="Times New Roman"/>
          <w:sz w:val="24"/>
          <w:szCs w:val="24"/>
        </w:rPr>
        <w:t xml:space="preserve"> </w:t>
      </w:r>
      <w:r w:rsidR="00F631DC" w:rsidRPr="00FB5A28">
        <w:rPr>
          <w:rFonts w:ascii="Times New Roman" w:hAnsi="Times New Roman"/>
          <w:sz w:val="24"/>
          <w:szCs w:val="24"/>
        </w:rPr>
        <w:t>износ</w:t>
      </w:r>
      <w:r w:rsidRPr="00FB5A28">
        <w:rPr>
          <w:rFonts w:ascii="Times New Roman" w:hAnsi="Times New Roman"/>
          <w:sz w:val="24"/>
          <w:szCs w:val="24"/>
        </w:rPr>
        <w:t xml:space="preserve"> </w:t>
      </w:r>
      <w:r w:rsidR="00F631DC" w:rsidRPr="00FB5A28">
        <w:rPr>
          <w:rFonts w:ascii="Times New Roman" w:hAnsi="Times New Roman"/>
          <w:sz w:val="24"/>
          <w:szCs w:val="24"/>
        </w:rPr>
        <w:t>ПДВ</w:t>
      </w:r>
      <w:r w:rsidRPr="00FB5A28">
        <w:rPr>
          <w:rFonts w:ascii="Times New Roman" w:hAnsi="Times New Roman"/>
          <w:sz w:val="24"/>
          <w:szCs w:val="24"/>
        </w:rPr>
        <w:t xml:space="preserve"> </w:t>
      </w:r>
      <w:r w:rsidR="00F631DC" w:rsidRPr="00FB5A28">
        <w:rPr>
          <w:rFonts w:ascii="Times New Roman" w:hAnsi="Times New Roman"/>
          <w:sz w:val="24"/>
          <w:szCs w:val="24"/>
        </w:rPr>
        <w:t>надокнаде</w:t>
      </w:r>
      <w:r w:rsidRPr="00FB5A28">
        <w:rPr>
          <w:rFonts w:ascii="Times New Roman" w:hAnsi="Times New Roman"/>
          <w:sz w:val="24"/>
          <w:szCs w:val="24"/>
        </w:rPr>
        <w:t xml:space="preserve"> </w:t>
      </w:r>
      <w:r w:rsidR="00F631DC" w:rsidRPr="00FB5A28">
        <w:rPr>
          <w:rFonts w:ascii="Times New Roman" w:hAnsi="Times New Roman"/>
          <w:sz w:val="24"/>
          <w:szCs w:val="24"/>
        </w:rPr>
        <w:t>као</w:t>
      </w:r>
      <w:r w:rsidRPr="00FB5A28">
        <w:rPr>
          <w:rFonts w:ascii="Times New Roman" w:hAnsi="Times New Roman"/>
          <w:sz w:val="24"/>
          <w:szCs w:val="24"/>
        </w:rPr>
        <w:t xml:space="preserve"> </w:t>
      </w:r>
      <w:r w:rsidR="00F631DC" w:rsidRPr="00FB5A28">
        <w:rPr>
          <w:rFonts w:ascii="Times New Roman" w:hAnsi="Times New Roman"/>
          <w:sz w:val="24"/>
          <w:szCs w:val="24"/>
        </w:rPr>
        <w:t>претходни</w:t>
      </w:r>
      <w:r w:rsidRPr="00FB5A28">
        <w:rPr>
          <w:rFonts w:ascii="Times New Roman" w:hAnsi="Times New Roman"/>
          <w:sz w:val="24"/>
          <w:szCs w:val="24"/>
        </w:rPr>
        <w:t xml:space="preserve"> </w:t>
      </w:r>
      <w:r w:rsidR="00F631DC" w:rsidRPr="00FB5A28">
        <w:rPr>
          <w:rFonts w:ascii="Times New Roman" w:hAnsi="Times New Roman"/>
          <w:sz w:val="24"/>
          <w:szCs w:val="24"/>
        </w:rPr>
        <w:t>порез</w:t>
      </w:r>
      <w:r w:rsidRPr="00FB5A28">
        <w:rPr>
          <w:rFonts w:ascii="Times New Roman" w:hAnsi="Times New Roman"/>
          <w:sz w:val="24"/>
          <w:szCs w:val="24"/>
        </w:rPr>
        <w:t xml:space="preserve">, </w:t>
      </w:r>
      <w:r w:rsidR="00F631DC" w:rsidRPr="00FB5A28">
        <w:rPr>
          <w:rFonts w:ascii="Times New Roman" w:hAnsi="Times New Roman"/>
          <w:sz w:val="24"/>
          <w:szCs w:val="24"/>
        </w:rPr>
        <w:t>а</w:t>
      </w:r>
      <w:r w:rsidRPr="00FB5A28">
        <w:rPr>
          <w:rFonts w:ascii="Times New Roman" w:hAnsi="Times New Roman"/>
          <w:sz w:val="24"/>
          <w:szCs w:val="24"/>
        </w:rPr>
        <w:t xml:space="preserve"> </w:t>
      </w:r>
      <w:r w:rsidR="00F631DC" w:rsidRPr="00FB5A28">
        <w:rPr>
          <w:rFonts w:ascii="Times New Roman" w:hAnsi="Times New Roman"/>
          <w:sz w:val="24"/>
          <w:szCs w:val="24"/>
        </w:rPr>
        <w:t>ПДВ</w:t>
      </w:r>
      <w:r w:rsidRPr="00FB5A28">
        <w:rPr>
          <w:rFonts w:ascii="Times New Roman" w:hAnsi="Times New Roman"/>
          <w:sz w:val="24"/>
          <w:szCs w:val="24"/>
        </w:rPr>
        <w:t xml:space="preserve"> </w:t>
      </w:r>
      <w:r w:rsidR="00F631DC" w:rsidRPr="00FB5A28">
        <w:rPr>
          <w:rFonts w:ascii="Times New Roman" w:hAnsi="Times New Roman"/>
          <w:sz w:val="24"/>
          <w:szCs w:val="24"/>
        </w:rPr>
        <w:t>надокнаду</w:t>
      </w:r>
      <w:r w:rsidRPr="00FB5A28">
        <w:rPr>
          <w:rFonts w:ascii="Times New Roman" w:hAnsi="Times New Roman"/>
          <w:sz w:val="24"/>
          <w:szCs w:val="24"/>
        </w:rPr>
        <w:t xml:space="preserve"> </w:t>
      </w:r>
      <w:r w:rsidR="00F631DC" w:rsidRPr="00FB5A28">
        <w:rPr>
          <w:rFonts w:ascii="Times New Roman" w:hAnsi="Times New Roman"/>
          <w:sz w:val="24"/>
          <w:szCs w:val="24"/>
        </w:rPr>
        <w:t>и</w:t>
      </w:r>
      <w:r w:rsidRPr="00FB5A28">
        <w:rPr>
          <w:rFonts w:ascii="Times New Roman" w:hAnsi="Times New Roman"/>
          <w:sz w:val="24"/>
          <w:szCs w:val="24"/>
        </w:rPr>
        <w:t xml:space="preserve"> </w:t>
      </w:r>
      <w:r w:rsidR="00F631DC" w:rsidRPr="00FB5A28">
        <w:rPr>
          <w:rFonts w:ascii="Times New Roman" w:hAnsi="Times New Roman"/>
          <w:sz w:val="24"/>
          <w:szCs w:val="24"/>
        </w:rPr>
        <w:t>вредност</w:t>
      </w:r>
      <w:r w:rsidRPr="00FB5A28">
        <w:rPr>
          <w:rFonts w:ascii="Times New Roman" w:hAnsi="Times New Roman"/>
          <w:sz w:val="24"/>
          <w:szCs w:val="24"/>
        </w:rPr>
        <w:t xml:space="preserve"> </w:t>
      </w:r>
      <w:r w:rsidR="00F631DC" w:rsidRPr="00FB5A28">
        <w:rPr>
          <w:rFonts w:ascii="Times New Roman" w:hAnsi="Times New Roman"/>
          <w:sz w:val="24"/>
          <w:szCs w:val="24"/>
        </w:rPr>
        <w:t>примљених</w:t>
      </w:r>
      <w:r w:rsidRPr="00FB5A28">
        <w:rPr>
          <w:rFonts w:ascii="Times New Roman" w:hAnsi="Times New Roman"/>
          <w:sz w:val="24"/>
          <w:szCs w:val="24"/>
        </w:rPr>
        <w:t xml:space="preserve"> </w:t>
      </w:r>
      <w:r w:rsidR="00F631DC" w:rsidRPr="00FB5A28">
        <w:rPr>
          <w:rFonts w:ascii="Times New Roman" w:hAnsi="Times New Roman"/>
          <w:sz w:val="24"/>
          <w:szCs w:val="24"/>
        </w:rPr>
        <w:t>добара</w:t>
      </w:r>
      <w:r w:rsidRPr="00FB5A28">
        <w:rPr>
          <w:rFonts w:ascii="Times New Roman" w:hAnsi="Times New Roman"/>
          <w:sz w:val="24"/>
          <w:szCs w:val="24"/>
        </w:rPr>
        <w:t xml:space="preserve"> </w:t>
      </w:r>
      <w:r w:rsidR="00F631DC" w:rsidRPr="00FB5A28">
        <w:rPr>
          <w:rFonts w:ascii="Times New Roman" w:hAnsi="Times New Roman"/>
          <w:sz w:val="24"/>
          <w:szCs w:val="24"/>
        </w:rPr>
        <w:t>и</w:t>
      </w:r>
      <w:r w:rsidRPr="00FB5A28">
        <w:rPr>
          <w:rFonts w:ascii="Times New Roman" w:hAnsi="Times New Roman"/>
          <w:sz w:val="24"/>
          <w:szCs w:val="24"/>
        </w:rPr>
        <w:t xml:space="preserve"> </w:t>
      </w:r>
      <w:r w:rsidR="00F631DC" w:rsidRPr="00FB5A28">
        <w:rPr>
          <w:rFonts w:ascii="Times New Roman" w:hAnsi="Times New Roman"/>
          <w:sz w:val="24"/>
          <w:szCs w:val="24"/>
        </w:rPr>
        <w:t>услуга</w:t>
      </w:r>
      <w:r w:rsidRPr="00FB5A28">
        <w:rPr>
          <w:rFonts w:ascii="Times New Roman" w:hAnsi="Times New Roman"/>
          <w:sz w:val="24"/>
          <w:szCs w:val="24"/>
        </w:rPr>
        <w:t xml:space="preserve"> </w:t>
      </w:r>
      <w:r w:rsidR="00F631DC" w:rsidRPr="00FB5A28">
        <w:rPr>
          <w:rFonts w:ascii="Times New Roman" w:hAnsi="Times New Roman"/>
          <w:sz w:val="24"/>
          <w:szCs w:val="24"/>
        </w:rPr>
        <w:t>није</w:t>
      </w:r>
      <w:r w:rsidRPr="00FB5A28">
        <w:rPr>
          <w:rFonts w:ascii="Times New Roman" w:hAnsi="Times New Roman"/>
          <w:sz w:val="24"/>
          <w:szCs w:val="24"/>
        </w:rPr>
        <w:t xml:space="preserve"> </w:t>
      </w:r>
      <w:r w:rsidR="00F631DC" w:rsidRPr="00FB5A28">
        <w:rPr>
          <w:rFonts w:ascii="Times New Roman" w:hAnsi="Times New Roman"/>
          <w:sz w:val="24"/>
          <w:szCs w:val="24"/>
        </w:rPr>
        <w:t>платио</w:t>
      </w:r>
      <w:r w:rsidRPr="00FB5A28">
        <w:rPr>
          <w:rFonts w:ascii="Times New Roman" w:hAnsi="Times New Roman"/>
          <w:sz w:val="24"/>
          <w:szCs w:val="24"/>
        </w:rPr>
        <w:t xml:space="preserve"> (</w:t>
      </w:r>
      <w:r w:rsidR="00F631DC" w:rsidRPr="00FB5A28">
        <w:rPr>
          <w:rFonts w:ascii="Times New Roman" w:hAnsi="Times New Roman"/>
          <w:sz w:val="24"/>
          <w:szCs w:val="24"/>
        </w:rPr>
        <w:t>члан</w:t>
      </w:r>
      <w:r w:rsidRPr="00FB5A28">
        <w:rPr>
          <w:rFonts w:ascii="Times New Roman" w:hAnsi="Times New Roman"/>
          <w:sz w:val="24"/>
          <w:szCs w:val="24"/>
        </w:rPr>
        <w:t xml:space="preserve"> 34. </w:t>
      </w:r>
      <w:r w:rsidR="00F631DC" w:rsidRPr="00FB5A28">
        <w:rPr>
          <w:rFonts w:ascii="Times New Roman" w:hAnsi="Times New Roman"/>
          <w:sz w:val="24"/>
          <w:szCs w:val="24"/>
        </w:rPr>
        <w:t>став</w:t>
      </w:r>
      <w:r w:rsidRPr="00FB5A28">
        <w:rPr>
          <w:rFonts w:ascii="Times New Roman" w:hAnsi="Times New Roman"/>
          <w:sz w:val="24"/>
          <w:szCs w:val="24"/>
        </w:rPr>
        <w:t xml:space="preserve"> 4);</w:t>
      </w:r>
    </w:p>
    <w:p w:rsidR="00795BD7" w:rsidRPr="00FB5A28" w:rsidRDefault="00795BD7" w:rsidP="00FB5A28">
      <w:pPr>
        <w:jc w:val="both"/>
        <w:rPr>
          <w:rFonts w:ascii="Times New Roman" w:hAnsi="Times New Roman"/>
          <w:sz w:val="24"/>
          <w:szCs w:val="24"/>
        </w:rPr>
      </w:pPr>
      <w:r w:rsidRPr="00FB5A28">
        <w:rPr>
          <w:rFonts w:ascii="Times New Roman" w:hAnsi="Times New Roman"/>
          <w:sz w:val="24"/>
          <w:szCs w:val="24"/>
        </w:rPr>
        <w:t xml:space="preserve">11) </w:t>
      </w:r>
      <w:r w:rsidR="00F631DC" w:rsidRPr="00FB5A28">
        <w:rPr>
          <w:rFonts w:ascii="Times New Roman" w:hAnsi="Times New Roman"/>
          <w:sz w:val="24"/>
          <w:szCs w:val="24"/>
        </w:rPr>
        <w:t>не</w:t>
      </w:r>
      <w:r w:rsidRPr="00FB5A28">
        <w:rPr>
          <w:rFonts w:ascii="Times New Roman" w:hAnsi="Times New Roman"/>
          <w:sz w:val="24"/>
          <w:szCs w:val="24"/>
        </w:rPr>
        <w:t xml:space="preserve"> </w:t>
      </w:r>
      <w:r w:rsidR="00F631DC" w:rsidRPr="00FB5A28">
        <w:rPr>
          <w:rFonts w:ascii="Times New Roman" w:hAnsi="Times New Roman"/>
          <w:sz w:val="24"/>
          <w:szCs w:val="24"/>
        </w:rPr>
        <w:t>плати</w:t>
      </w:r>
      <w:r w:rsidRPr="00FB5A28">
        <w:rPr>
          <w:rFonts w:ascii="Times New Roman" w:hAnsi="Times New Roman"/>
          <w:sz w:val="24"/>
          <w:szCs w:val="24"/>
        </w:rPr>
        <w:t xml:space="preserve"> </w:t>
      </w:r>
      <w:r w:rsidR="00F631DC" w:rsidRPr="00FB5A28">
        <w:rPr>
          <w:rFonts w:ascii="Times New Roman" w:hAnsi="Times New Roman"/>
          <w:sz w:val="24"/>
          <w:szCs w:val="24"/>
        </w:rPr>
        <w:t>ПДВ</w:t>
      </w:r>
      <w:r w:rsidRPr="00FB5A28">
        <w:rPr>
          <w:rFonts w:ascii="Times New Roman" w:hAnsi="Times New Roman"/>
          <w:sz w:val="24"/>
          <w:szCs w:val="24"/>
        </w:rPr>
        <w:t xml:space="preserve"> </w:t>
      </w:r>
      <w:r w:rsidR="00F631DC" w:rsidRPr="00FB5A28">
        <w:rPr>
          <w:rFonts w:ascii="Times New Roman" w:hAnsi="Times New Roman"/>
          <w:sz w:val="24"/>
          <w:szCs w:val="24"/>
        </w:rPr>
        <w:t>у</w:t>
      </w:r>
      <w:r w:rsidRPr="00FB5A28">
        <w:rPr>
          <w:rFonts w:ascii="Times New Roman" w:hAnsi="Times New Roman"/>
          <w:sz w:val="24"/>
          <w:szCs w:val="24"/>
        </w:rPr>
        <w:t xml:space="preserve"> </w:t>
      </w:r>
      <w:r w:rsidR="00F631DC" w:rsidRPr="00FB5A28">
        <w:rPr>
          <w:rFonts w:ascii="Times New Roman" w:hAnsi="Times New Roman"/>
          <w:sz w:val="24"/>
          <w:szCs w:val="24"/>
        </w:rPr>
        <w:t>прописаном</w:t>
      </w:r>
      <w:r w:rsidRPr="00FB5A28">
        <w:rPr>
          <w:rFonts w:ascii="Times New Roman" w:hAnsi="Times New Roman"/>
          <w:sz w:val="24"/>
          <w:szCs w:val="24"/>
        </w:rPr>
        <w:t xml:space="preserve"> </w:t>
      </w:r>
      <w:r w:rsidR="00F631DC" w:rsidRPr="00FB5A28">
        <w:rPr>
          <w:rFonts w:ascii="Times New Roman" w:hAnsi="Times New Roman"/>
          <w:sz w:val="24"/>
          <w:szCs w:val="24"/>
        </w:rPr>
        <w:t>року</w:t>
      </w:r>
      <w:r w:rsidRPr="00FB5A28">
        <w:rPr>
          <w:rFonts w:ascii="Times New Roman" w:hAnsi="Times New Roman"/>
          <w:sz w:val="24"/>
          <w:szCs w:val="24"/>
        </w:rPr>
        <w:t xml:space="preserve"> (</w:t>
      </w:r>
      <w:r w:rsidR="00F631DC" w:rsidRPr="00FB5A28">
        <w:rPr>
          <w:rFonts w:ascii="Times New Roman" w:hAnsi="Times New Roman"/>
          <w:sz w:val="24"/>
          <w:szCs w:val="24"/>
        </w:rPr>
        <w:t>члан</w:t>
      </w:r>
      <w:r w:rsidRPr="00FB5A28">
        <w:rPr>
          <w:rFonts w:ascii="Times New Roman" w:hAnsi="Times New Roman"/>
          <w:sz w:val="24"/>
          <w:szCs w:val="24"/>
        </w:rPr>
        <w:t xml:space="preserve"> 36</w:t>
      </w:r>
      <w:r w:rsidR="00F631DC" w:rsidRPr="00FB5A28">
        <w:rPr>
          <w:rFonts w:ascii="Times New Roman" w:hAnsi="Times New Roman"/>
          <w:sz w:val="24"/>
          <w:szCs w:val="24"/>
        </w:rPr>
        <w:t>а</w:t>
      </w:r>
      <w:r w:rsidRPr="00FB5A28">
        <w:rPr>
          <w:rFonts w:ascii="Times New Roman" w:hAnsi="Times New Roman"/>
          <w:sz w:val="24"/>
          <w:szCs w:val="24"/>
        </w:rPr>
        <w:t xml:space="preserve">, </w:t>
      </w:r>
      <w:r w:rsidR="00F631DC" w:rsidRPr="00FB5A28">
        <w:rPr>
          <w:rFonts w:ascii="Times New Roman" w:hAnsi="Times New Roman"/>
          <w:sz w:val="24"/>
          <w:szCs w:val="24"/>
        </w:rPr>
        <w:t>члан</w:t>
      </w:r>
      <w:r w:rsidRPr="00FB5A28">
        <w:rPr>
          <w:rFonts w:ascii="Times New Roman" w:hAnsi="Times New Roman"/>
          <w:sz w:val="24"/>
          <w:szCs w:val="24"/>
        </w:rPr>
        <w:t xml:space="preserve"> 37. </w:t>
      </w:r>
      <w:r w:rsidR="00F631DC" w:rsidRPr="00FB5A28">
        <w:rPr>
          <w:rFonts w:ascii="Times New Roman" w:hAnsi="Times New Roman"/>
          <w:sz w:val="24"/>
          <w:szCs w:val="24"/>
        </w:rPr>
        <w:t>тачка</w:t>
      </w:r>
      <w:r w:rsidRPr="00FB5A28">
        <w:rPr>
          <w:rFonts w:ascii="Times New Roman" w:hAnsi="Times New Roman"/>
          <w:sz w:val="24"/>
          <w:szCs w:val="24"/>
        </w:rPr>
        <w:t xml:space="preserve"> 4) </w:t>
      </w:r>
      <w:r w:rsidR="00F631DC" w:rsidRPr="00FB5A28">
        <w:rPr>
          <w:rFonts w:ascii="Times New Roman" w:hAnsi="Times New Roman"/>
          <w:sz w:val="24"/>
          <w:szCs w:val="24"/>
        </w:rPr>
        <w:t>и</w:t>
      </w:r>
      <w:r w:rsidRPr="00FB5A28">
        <w:rPr>
          <w:rFonts w:ascii="Times New Roman" w:hAnsi="Times New Roman"/>
          <w:sz w:val="24"/>
          <w:szCs w:val="24"/>
        </w:rPr>
        <w:t xml:space="preserve"> </w:t>
      </w:r>
      <w:r w:rsidR="00F631DC" w:rsidRPr="00FB5A28">
        <w:rPr>
          <w:rFonts w:ascii="Times New Roman" w:hAnsi="Times New Roman"/>
          <w:sz w:val="24"/>
          <w:szCs w:val="24"/>
        </w:rPr>
        <w:t>члан</w:t>
      </w:r>
      <w:r w:rsidRPr="00FB5A28">
        <w:rPr>
          <w:rFonts w:ascii="Times New Roman" w:hAnsi="Times New Roman"/>
          <w:sz w:val="24"/>
          <w:szCs w:val="24"/>
        </w:rPr>
        <w:t xml:space="preserve"> 51);</w:t>
      </w:r>
    </w:p>
    <w:p w:rsidR="00795BD7" w:rsidRPr="00FB5A28" w:rsidRDefault="00795BD7" w:rsidP="00FB5A28">
      <w:pPr>
        <w:jc w:val="both"/>
        <w:rPr>
          <w:rFonts w:ascii="Times New Roman" w:hAnsi="Times New Roman"/>
          <w:sz w:val="24"/>
          <w:szCs w:val="24"/>
        </w:rPr>
      </w:pPr>
      <w:r w:rsidRPr="00FB5A28">
        <w:rPr>
          <w:rFonts w:ascii="Times New Roman" w:hAnsi="Times New Roman"/>
          <w:sz w:val="24"/>
          <w:szCs w:val="24"/>
        </w:rPr>
        <w:t xml:space="preserve">12) </w:t>
      </w:r>
      <w:r w:rsidR="00F631DC" w:rsidRPr="00FB5A28">
        <w:rPr>
          <w:rFonts w:ascii="Times New Roman" w:hAnsi="Times New Roman"/>
          <w:sz w:val="24"/>
          <w:szCs w:val="24"/>
        </w:rPr>
        <w:t>не</w:t>
      </w:r>
      <w:r w:rsidRPr="00FB5A28">
        <w:rPr>
          <w:rFonts w:ascii="Times New Roman" w:hAnsi="Times New Roman"/>
          <w:sz w:val="24"/>
          <w:szCs w:val="24"/>
        </w:rPr>
        <w:t xml:space="preserve"> </w:t>
      </w:r>
      <w:r w:rsidR="00F631DC" w:rsidRPr="00FB5A28">
        <w:rPr>
          <w:rFonts w:ascii="Times New Roman" w:hAnsi="Times New Roman"/>
          <w:sz w:val="24"/>
          <w:szCs w:val="24"/>
        </w:rPr>
        <w:t>престане</w:t>
      </w:r>
      <w:r w:rsidRPr="00FB5A28">
        <w:rPr>
          <w:rFonts w:ascii="Times New Roman" w:hAnsi="Times New Roman"/>
          <w:sz w:val="24"/>
          <w:szCs w:val="24"/>
        </w:rPr>
        <w:t xml:space="preserve"> </w:t>
      </w:r>
      <w:r w:rsidR="00F631DC" w:rsidRPr="00FB5A28">
        <w:rPr>
          <w:rFonts w:ascii="Times New Roman" w:hAnsi="Times New Roman"/>
          <w:sz w:val="24"/>
          <w:szCs w:val="24"/>
        </w:rPr>
        <w:t>да</w:t>
      </w:r>
      <w:r w:rsidRPr="00FB5A28">
        <w:rPr>
          <w:rFonts w:ascii="Times New Roman" w:hAnsi="Times New Roman"/>
          <w:sz w:val="24"/>
          <w:szCs w:val="24"/>
        </w:rPr>
        <w:t xml:space="preserve"> </w:t>
      </w:r>
      <w:r w:rsidR="00F631DC" w:rsidRPr="00FB5A28">
        <w:rPr>
          <w:rFonts w:ascii="Times New Roman" w:hAnsi="Times New Roman"/>
          <w:sz w:val="24"/>
          <w:szCs w:val="24"/>
        </w:rPr>
        <w:t>користи</w:t>
      </w:r>
      <w:r w:rsidRPr="00FB5A28">
        <w:rPr>
          <w:rFonts w:ascii="Times New Roman" w:hAnsi="Times New Roman"/>
          <w:sz w:val="24"/>
          <w:szCs w:val="24"/>
        </w:rPr>
        <w:t xml:space="preserve"> </w:t>
      </w:r>
      <w:r w:rsidR="00F631DC" w:rsidRPr="00FB5A28">
        <w:rPr>
          <w:rFonts w:ascii="Times New Roman" w:hAnsi="Times New Roman"/>
          <w:sz w:val="24"/>
          <w:szCs w:val="24"/>
        </w:rPr>
        <w:t>систем</w:t>
      </w:r>
      <w:r w:rsidRPr="00FB5A28">
        <w:rPr>
          <w:rFonts w:ascii="Times New Roman" w:hAnsi="Times New Roman"/>
          <w:sz w:val="24"/>
          <w:szCs w:val="24"/>
        </w:rPr>
        <w:t xml:space="preserve"> </w:t>
      </w:r>
      <w:r w:rsidR="00F631DC" w:rsidRPr="00FB5A28">
        <w:rPr>
          <w:rFonts w:ascii="Times New Roman" w:hAnsi="Times New Roman"/>
          <w:sz w:val="24"/>
          <w:szCs w:val="24"/>
        </w:rPr>
        <w:t>наплате</w:t>
      </w:r>
      <w:r w:rsidRPr="00FB5A28">
        <w:rPr>
          <w:rFonts w:ascii="Times New Roman" w:hAnsi="Times New Roman"/>
          <w:sz w:val="24"/>
          <w:szCs w:val="24"/>
        </w:rPr>
        <w:t xml:space="preserve">, </w:t>
      </w:r>
      <w:r w:rsidR="00F631DC" w:rsidRPr="00FB5A28">
        <w:rPr>
          <w:rFonts w:ascii="Times New Roman" w:hAnsi="Times New Roman"/>
          <w:sz w:val="24"/>
          <w:szCs w:val="24"/>
        </w:rPr>
        <w:t>а</w:t>
      </w:r>
      <w:r w:rsidRPr="00FB5A28">
        <w:rPr>
          <w:rFonts w:ascii="Times New Roman" w:hAnsi="Times New Roman"/>
          <w:sz w:val="24"/>
          <w:szCs w:val="24"/>
        </w:rPr>
        <w:t xml:space="preserve"> </w:t>
      </w:r>
      <w:r w:rsidR="00F631DC" w:rsidRPr="00FB5A28">
        <w:rPr>
          <w:rFonts w:ascii="Times New Roman" w:hAnsi="Times New Roman"/>
          <w:sz w:val="24"/>
          <w:szCs w:val="24"/>
        </w:rPr>
        <w:t>да</w:t>
      </w:r>
      <w:r w:rsidRPr="00FB5A28">
        <w:rPr>
          <w:rFonts w:ascii="Times New Roman" w:hAnsi="Times New Roman"/>
          <w:sz w:val="24"/>
          <w:szCs w:val="24"/>
        </w:rPr>
        <w:t xml:space="preserve"> </w:t>
      </w:r>
      <w:r w:rsidR="00F631DC" w:rsidRPr="00FB5A28">
        <w:rPr>
          <w:rFonts w:ascii="Times New Roman" w:hAnsi="Times New Roman"/>
          <w:sz w:val="24"/>
          <w:szCs w:val="24"/>
        </w:rPr>
        <w:t>је</w:t>
      </w:r>
      <w:r w:rsidRPr="00FB5A28">
        <w:rPr>
          <w:rFonts w:ascii="Times New Roman" w:hAnsi="Times New Roman"/>
          <w:sz w:val="24"/>
          <w:szCs w:val="24"/>
        </w:rPr>
        <w:t xml:space="preserve"> </w:t>
      </w:r>
      <w:r w:rsidR="00F631DC" w:rsidRPr="00FB5A28">
        <w:rPr>
          <w:rFonts w:ascii="Times New Roman" w:hAnsi="Times New Roman"/>
          <w:sz w:val="24"/>
          <w:szCs w:val="24"/>
        </w:rPr>
        <w:t>на</w:t>
      </w:r>
      <w:r w:rsidRPr="00FB5A28">
        <w:rPr>
          <w:rFonts w:ascii="Times New Roman" w:hAnsi="Times New Roman"/>
          <w:sz w:val="24"/>
          <w:szCs w:val="24"/>
        </w:rPr>
        <w:t xml:space="preserve"> </w:t>
      </w:r>
      <w:r w:rsidR="00F631DC" w:rsidRPr="00FB5A28">
        <w:rPr>
          <w:rFonts w:ascii="Times New Roman" w:hAnsi="Times New Roman"/>
          <w:sz w:val="24"/>
          <w:szCs w:val="24"/>
        </w:rPr>
        <w:t>то</w:t>
      </w:r>
      <w:r w:rsidRPr="00FB5A28">
        <w:rPr>
          <w:rFonts w:ascii="Times New Roman" w:hAnsi="Times New Roman"/>
          <w:sz w:val="24"/>
          <w:szCs w:val="24"/>
        </w:rPr>
        <w:t xml:space="preserve"> </w:t>
      </w:r>
      <w:r w:rsidR="00F631DC" w:rsidRPr="00FB5A28">
        <w:rPr>
          <w:rFonts w:ascii="Times New Roman" w:hAnsi="Times New Roman"/>
          <w:sz w:val="24"/>
          <w:szCs w:val="24"/>
        </w:rPr>
        <w:t>обавезан</w:t>
      </w:r>
      <w:r w:rsidRPr="00FB5A28">
        <w:rPr>
          <w:rFonts w:ascii="Times New Roman" w:hAnsi="Times New Roman"/>
          <w:sz w:val="24"/>
          <w:szCs w:val="24"/>
        </w:rPr>
        <w:t xml:space="preserve"> (</w:t>
      </w:r>
      <w:r w:rsidR="00F631DC" w:rsidRPr="00FB5A28">
        <w:rPr>
          <w:rFonts w:ascii="Times New Roman" w:hAnsi="Times New Roman"/>
          <w:sz w:val="24"/>
          <w:szCs w:val="24"/>
        </w:rPr>
        <w:t>члан</w:t>
      </w:r>
      <w:r w:rsidRPr="00FB5A28">
        <w:rPr>
          <w:rFonts w:ascii="Times New Roman" w:hAnsi="Times New Roman"/>
          <w:sz w:val="24"/>
          <w:szCs w:val="24"/>
        </w:rPr>
        <w:t xml:space="preserve"> 36</w:t>
      </w:r>
      <w:r w:rsidR="00F631DC" w:rsidRPr="00FB5A28">
        <w:rPr>
          <w:rFonts w:ascii="Times New Roman" w:hAnsi="Times New Roman"/>
          <w:sz w:val="24"/>
          <w:szCs w:val="24"/>
        </w:rPr>
        <w:t>а</w:t>
      </w:r>
      <w:r w:rsidRPr="00FB5A28">
        <w:rPr>
          <w:rFonts w:ascii="Times New Roman" w:hAnsi="Times New Roman"/>
          <w:sz w:val="24"/>
          <w:szCs w:val="24"/>
        </w:rPr>
        <w:t xml:space="preserve"> </w:t>
      </w:r>
      <w:r w:rsidR="00F631DC" w:rsidRPr="00FB5A28">
        <w:rPr>
          <w:rFonts w:ascii="Times New Roman" w:hAnsi="Times New Roman"/>
          <w:sz w:val="24"/>
          <w:szCs w:val="24"/>
        </w:rPr>
        <w:t>став</w:t>
      </w:r>
      <w:r w:rsidRPr="00FB5A28">
        <w:rPr>
          <w:rFonts w:ascii="Times New Roman" w:hAnsi="Times New Roman"/>
          <w:sz w:val="24"/>
          <w:szCs w:val="24"/>
        </w:rPr>
        <w:t xml:space="preserve"> 7);</w:t>
      </w:r>
    </w:p>
    <w:p w:rsidR="00795BD7" w:rsidRPr="00FB5A28" w:rsidRDefault="00795BD7" w:rsidP="00FB5A28">
      <w:pPr>
        <w:jc w:val="both"/>
        <w:rPr>
          <w:rFonts w:ascii="Times New Roman" w:hAnsi="Times New Roman"/>
          <w:sz w:val="24"/>
          <w:szCs w:val="24"/>
        </w:rPr>
      </w:pPr>
      <w:r w:rsidRPr="00FB5A28">
        <w:rPr>
          <w:rFonts w:ascii="Times New Roman" w:hAnsi="Times New Roman"/>
          <w:sz w:val="24"/>
          <w:szCs w:val="24"/>
        </w:rPr>
        <w:t xml:space="preserve">13) </w:t>
      </w:r>
      <w:r w:rsidR="00F631DC" w:rsidRPr="00FB5A28">
        <w:rPr>
          <w:rFonts w:ascii="Times New Roman" w:hAnsi="Times New Roman"/>
          <w:sz w:val="24"/>
          <w:szCs w:val="24"/>
        </w:rPr>
        <w:t>не</w:t>
      </w:r>
      <w:r w:rsidRPr="00FB5A28">
        <w:rPr>
          <w:rFonts w:ascii="Times New Roman" w:hAnsi="Times New Roman"/>
          <w:sz w:val="24"/>
          <w:szCs w:val="24"/>
        </w:rPr>
        <w:t xml:space="preserve"> </w:t>
      </w:r>
      <w:r w:rsidR="00F631DC" w:rsidRPr="00FB5A28">
        <w:rPr>
          <w:rFonts w:ascii="Times New Roman" w:hAnsi="Times New Roman"/>
          <w:sz w:val="24"/>
          <w:szCs w:val="24"/>
        </w:rPr>
        <w:t>изда</w:t>
      </w:r>
      <w:r w:rsidRPr="00FB5A28">
        <w:rPr>
          <w:rFonts w:ascii="Times New Roman" w:hAnsi="Times New Roman"/>
          <w:sz w:val="24"/>
          <w:szCs w:val="24"/>
        </w:rPr>
        <w:t xml:space="preserve"> </w:t>
      </w:r>
      <w:r w:rsidR="00F631DC" w:rsidRPr="00FB5A28">
        <w:rPr>
          <w:rFonts w:ascii="Times New Roman" w:hAnsi="Times New Roman"/>
          <w:sz w:val="24"/>
          <w:szCs w:val="24"/>
        </w:rPr>
        <w:t>рачун</w:t>
      </w:r>
      <w:r w:rsidRPr="00FB5A28">
        <w:rPr>
          <w:rFonts w:ascii="Times New Roman" w:hAnsi="Times New Roman"/>
          <w:sz w:val="24"/>
          <w:szCs w:val="24"/>
        </w:rPr>
        <w:t xml:space="preserve"> (</w:t>
      </w:r>
      <w:r w:rsidR="00F631DC" w:rsidRPr="00FB5A28">
        <w:rPr>
          <w:rFonts w:ascii="Times New Roman" w:hAnsi="Times New Roman"/>
          <w:sz w:val="24"/>
          <w:szCs w:val="24"/>
        </w:rPr>
        <w:t>члан</w:t>
      </w:r>
      <w:r w:rsidRPr="00FB5A28">
        <w:rPr>
          <w:rFonts w:ascii="Times New Roman" w:hAnsi="Times New Roman"/>
          <w:sz w:val="24"/>
          <w:szCs w:val="24"/>
        </w:rPr>
        <w:t xml:space="preserve"> 37. </w:t>
      </w:r>
      <w:r w:rsidR="00F631DC" w:rsidRPr="00FB5A28">
        <w:rPr>
          <w:rFonts w:ascii="Times New Roman" w:hAnsi="Times New Roman"/>
          <w:sz w:val="24"/>
          <w:szCs w:val="24"/>
        </w:rPr>
        <w:t>тачка</w:t>
      </w:r>
      <w:r w:rsidRPr="00FB5A28">
        <w:rPr>
          <w:rFonts w:ascii="Times New Roman" w:hAnsi="Times New Roman"/>
          <w:sz w:val="24"/>
          <w:szCs w:val="24"/>
        </w:rPr>
        <w:t xml:space="preserve"> 2) </w:t>
      </w:r>
      <w:r w:rsidR="00F631DC" w:rsidRPr="00FB5A28">
        <w:rPr>
          <w:rFonts w:ascii="Times New Roman" w:hAnsi="Times New Roman"/>
          <w:sz w:val="24"/>
          <w:szCs w:val="24"/>
        </w:rPr>
        <w:t>и</w:t>
      </w:r>
      <w:r w:rsidRPr="00FB5A28">
        <w:rPr>
          <w:rFonts w:ascii="Times New Roman" w:hAnsi="Times New Roman"/>
          <w:sz w:val="24"/>
          <w:szCs w:val="24"/>
        </w:rPr>
        <w:t xml:space="preserve"> </w:t>
      </w:r>
      <w:r w:rsidR="00F631DC" w:rsidRPr="00FB5A28">
        <w:rPr>
          <w:rFonts w:ascii="Times New Roman" w:hAnsi="Times New Roman"/>
          <w:sz w:val="24"/>
          <w:szCs w:val="24"/>
        </w:rPr>
        <w:t>члан</w:t>
      </w:r>
      <w:r w:rsidRPr="00FB5A28">
        <w:rPr>
          <w:rFonts w:ascii="Times New Roman" w:hAnsi="Times New Roman"/>
          <w:sz w:val="24"/>
          <w:szCs w:val="24"/>
        </w:rPr>
        <w:t xml:space="preserve"> 42);</w:t>
      </w:r>
    </w:p>
    <w:p w:rsidR="00795BD7" w:rsidRPr="00FB5A28" w:rsidRDefault="00795BD7" w:rsidP="00FB5A28">
      <w:pPr>
        <w:jc w:val="both"/>
        <w:rPr>
          <w:rFonts w:ascii="Times New Roman" w:hAnsi="Times New Roman"/>
          <w:sz w:val="24"/>
          <w:szCs w:val="24"/>
        </w:rPr>
      </w:pPr>
      <w:r w:rsidRPr="00FB5A28">
        <w:rPr>
          <w:rFonts w:ascii="Times New Roman" w:hAnsi="Times New Roman"/>
          <w:sz w:val="24"/>
          <w:szCs w:val="24"/>
        </w:rPr>
        <w:t xml:space="preserve">14) </w:t>
      </w:r>
      <w:r w:rsidR="00F631DC" w:rsidRPr="00FB5A28">
        <w:rPr>
          <w:rFonts w:ascii="Times New Roman" w:hAnsi="Times New Roman"/>
          <w:sz w:val="24"/>
          <w:szCs w:val="24"/>
        </w:rPr>
        <w:t>не</w:t>
      </w:r>
      <w:r w:rsidRPr="00FB5A28">
        <w:rPr>
          <w:rFonts w:ascii="Times New Roman" w:hAnsi="Times New Roman"/>
          <w:sz w:val="24"/>
          <w:szCs w:val="24"/>
        </w:rPr>
        <w:t xml:space="preserve"> </w:t>
      </w:r>
      <w:r w:rsidR="00F631DC" w:rsidRPr="00FB5A28">
        <w:rPr>
          <w:rFonts w:ascii="Times New Roman" w:hAnsi="Times New Roman"/>
          <w:sz w:val="24"/>
          <w:szCs w:val="24"/>
        </w:rPr>
        <w:t>води</w:t>
      </w:r>
      <w:r w:rsidRPr="00FB5A28">
        <w:rPr>
          <w:rFonts w:ascii="Times New Roman" w:hAnsi="Times New Roman"/>
          <w:sz w:val="24"/>
          <w:szCs w:val="24"/>
        </w:rPr>
        <w:t xml:space="preserve"> </w:t>
      </w:r>
      <w:r w:rsidR="00F631DC" w:rsidRPr="00FB5A28">
        <w:rPr>
          <w:rFonts w:ascii="Times New Roman" w:hAnsi="Times New Roman"/>
          <w:sz w:val="24"/>
          <w:szCs w:val="24"/>
        </w:rPr>
        <w:t>прописану</w:t>
      </w:r>
      <w:r w:rsidRPr="00FB5A28">
        <w:rPr>
          <w:rFonts w:ascii="Times New Roman" w:hAnsi="Times New Roman"/>
          <w:sz w:val="24"/>
          <w:szCs w:val="24"/>
        </w:rPr>
        <w:t xml:space="preserve"> </w:t>
      </w:r>
      <w:r w:rsidR="00F631DC" w:rsidRPr="00FB5A28">
        <w:rPr>
          <w:rFonts w:ascii="Times New Roman" w:hAnsi="Times New Roman"/>
          <w:sz w:val="24"/>
          <w:szCs w:val="24"/>
        </w:rPr>
        <w:t>евиденцију</w:t>
      </w:r>
      <w:r w:rsidRPr="00FB5A28">
        <w:rPr>
          <w:rFonts w:ascii="Times New Roman" w:hAnsi="Times New Roman"/>
          <w:sz w:val="24"/>
          <w:szCs w:val="24"/>
        </w:rPr>
        <w:t xml:space="preserve"> (</w:t>
      </w:r>
      <w:r w:rsidR="00F631DC" w:rsidRPr="00FB5A28">
        <w:rPr>
          <w:rFonts w:ascii="Times New Roman" w:hAnsi="Times New Roman"/>
          <w:sz w:val="24"/>
          <w:szCs w:val="24"/>
        </w:rPr>
        <w:t>члан</w:t>
      </w:r>
      <w:r w:rsidRPr="00FB5A28">
        <w:rPr>
          <w:rFonts w:ascii="Times New Roman" w:hAnsi="Times New Roman"/>
          <w:sz w:val="24"/>
          <w:szCs w:val="24"/>
        </w:rPr>
        <w:t xml:space="preserve"> 37. </w:t>
      </w:r>
      <w:r w:rsidR="00F631DC" w:rsidRPr="00FB5A28">
        <w:rPr>
          <w:rFonts w:ascii="Times New Roman" w:hAnsi="Times New Roman"/>
          <w:sz w:val="24"/>
          <w:szCs w:val="24"/>
        </w:rPr>
        <w:t>тачка</w:t>
      </w:r>
      <w:r w:rsidRPr="00FB5A28">
        <w:rPr>
          <w:rFonts w:ascii="Times New Roman" w:hAnsi="Times New Roman"/>
          <w:sz w:val="24"/>
          <w:szCs w:val="24"/>
        </w:rPr>
        <w:t xml:space="preserve"> 3) </w:t>
      </w:r>
      <w:r w:rsidR="00F631DC" w:rsidRPr="00FB5A28">
        <w:rPr>
          <w:rFonts w:ascii="Times New Roman" w:hAnsi="Times New Roman"/>
          <w:sz w:val="24"/>
          <w:szCs w:val="24"/>
        </w:rPr>
        <w:t>и</w:t>
      </w:r>
      <w:r w:rsidRPr="00FB5A28">
        <w:rPr>
          <w:rFonts w:ascii="Times New Roman" w:hAnsi="Times New Roman"/>
          <w:sz w:val="24"/>
          <w:szCs w:val="24"/>
        </w:rPr>
        <w:t xml:space="preserve"> </w:t>
      </w:r>
      <w:r w:rsidR="00F631DC" w:rsidRPr="00FB5A28">
        <w:rPr>
          <w:rFonts w:ascii="Times New Roman" w:hAnsi="Times New Roman"/>
          <w:sz w:val="24"/>
          <w:szCs w:val="24"/>
        </w:rPr>
        <w:t>члан</w:t>
      </w:r>
      <w:r w:rsidRPr="00FB5A28">
        <w:rPr>
          <w:rFonts w:ascii="Times New Roman" w:hAnsi="Times New Roman"/>
          <w:sz w:val="24"/>
          <w:szCs w:val="24"/>
        </w:rPr>
        <w:t xml:space="preserve"> 46);</w:t>
      </w:r>
    </w:p>
    <w:p w:rsidR="00795BD7" w:rsidRPr="00FB5A28" w:rsidRDefault="00795BD7" w:rsidP="00FB5A28">
      <w:pPr>
        <w:jc w:val="both"/>
        <w:rPr>
          <w:rFonts w:ascii="Times New Roman" w:hAnsi="Times New Roman"/>
          <w:sz w:val="24"/>
          <w:szCs w:val="24"/>
        </w:rPr>
      </w:pPr>
      <w:r w:rsidRPr="00FB5A28">
        <w:rPr>
          <w:rFonts w:ascii="Times New Roman" w:hAnsi="Times New Roman"/>
          <w:sz w:val="24"/>
          <w:szCs w:val="24"/>
        </w:rPr>
        <w:t xml:space="preserve">15) </w:t>
      </w:r>
      <w:r w:rsidR="00F631DC" w:rsidRPr="00FB5A28">
        <w:rPr>
          <w:rFonts w:ascii="Times New Roman" w:hAnsi="Times New Roman"/>
          <w:sz w:val="24"/>
          <w:szCs w:val="24"/>
        </w:rPr>
        <w:t>не</w:t>
      </w:r>
      <w:r w:rsidRPr="00FB5A28">
        <w:rPr>
          <w:rFonts w:ascii="Times New Roman" w:hAnsi="Times New Roman"/>
          <w:sz w:val="24"/>
          <w:szCs w:val="24"/>
        </w:rPr>
        <w:t xml:space="preserve"> </w:t>
      </w:r>
      <w:r w:rsidR="00F631DC" w:rsidRPr="00FB5A28">
        <w:rPr>
          <w:rFonts w:ascii="Times New Roman" w:hAnsi="Times New Roman"/>
          <w:sz w:val="24"/>
          <w:szCs w:val="24"/>
        </w:rPr>
        <w:t>обрачуна</w:t>
      </w:r>
      <w:r w:rsidRPr="00FB5A28">
        <w:rPr>
          <w:rFonts w:ascii="Times New Roman" w:hAnsi="Times New Roman"/>
          <w:sz w:val="24"/>
          <w:szCs w:val="24"/>
        </w:rPr>
        <w:t xml:space="preserve"> </w:t>
      </w:r>
      <w:r w:rsidR="00F631DC" w:rsidRPr="00FB5A28">
        <w:rPr>
          <w:rFonts w:ascii="Times New Roman" w:hAnsi="Times New Roman"/>
          <w:sz w:val="24"/>
          <w:szCs w:val="24"/>
        </w:rPr>
        <w:t>ПДВ</w:t>
      </w:r>
      <w:r w:rsidRPr="00FB5A28">
        <w:rPr>
          <w:rFonts w:ascii="Times New Roman" w:hAnsi="Times New Roman"/>
          <w:sz w:val="24"/>
          <w:szCs w:val="24"/>
        </w:rPr>
        <w:t xml:space="preserve"> (</w:t>
      </w:r>
      <w:r w:rsidR="00F631DC" w:rsidRPr="00FB5A28">
        <w:rPr>
          <w:rFonts w:ascii="Times New Roman" w:hAnsi="Times New Roman"/>
          <w:sz w:val="24"/>
          <w:szCs w:val="24"/>
        </w:rPr>
        <w:t>члан</w:t>
      </w:r>
      <w:r w:rsidRPr="00FB5A28">
        <w:rPr>
          <w:rFonts w:ascii="Times New Roman" w:hAnsi="Times New Roman"/>
          <w:sz w:val="24"/>
          <w:szCs w:val="24"/>
        </w:rPr>
        <w:t xml:space="preserve"> 37. </w:t>
      </w:r>
      <w:r w:rsidR="00F631DC" w:rsidRPr="00FB5A28">
        <w:rPr>
          <w:rFonts w:ascii="Times New Roman" w:hAnsi="Times New Roman"/>
          <w:sz w:val="24"/>
          <w:szCs w:val="24"/>
        </w:rPr>
        <w:t>тачка</w:t>
      </w:r>
      <w:r w:rsidRPr="00FB5A28">
        <w:rPr>
          <w:rFonts w:ascii="Times New Roman" w:hAnsi="Times New Roman"/>
          <w:sz w:val="24"/>
          <w:szCs w:val="24"/>
        </w:rPr>
        <w:t xml:space="preserve"> 4), </w:t>
      </w:r>
      <w:r w:rsidR="00F631DC" w:rsidRPr="00FB5A28">
        <w:rPr>
          <w:rFonts w:ascii="Times New Roman" w:hAnsi="Times New Roman"/>
          <w:sz w:val="24"/>
          <w:szCs w:val="24"/>
        </w:rPr>
        <w:t>и</w:t>
      </w:r>
      <w:r w:rsidRPr="00FB5A28">
        <w:rPr>
          <w:rFonts w:ascii="Times New Roman" w:hAnsi="Times New Roman"/>
          <w:sz w:val="24"/>
          <w:szCs w:val="24"/>
        </w:rPr>
        <w:t xml:space="preserve"> </w:t>
      </w:r>
      <w:r w:rsidR="00F631DC" w:rsidRPr="00FB5A28">
        <w:rPr>
          <w:rFonts w:ascii="Times New Roman" w:hAnsi="Times New Roman"/>
          <w:sz w:val="24"/>
          <w:szCs w:val="24"/>
        </w:rPr>
        <w:t>члан</w:t>
      </w:r>
      <w:r w:rsidRPr="00FB5A28">
        <w:rPr>
          <w:rFonts w:ascii="Times New Roman" w:hAnsi="Times New Roman"/>
          <w:sz w:val="24"/>
          <w:szCs w:val="24"/>
        </w:rPr>
        <w:t xml:space="preserve"> 49);</w:t>
      </w:r>
    </w:p>
    <w:p w:rsidR="00795BD7" w:rsidRPr="00FB5A28" w:rsidRDefault="00795BD7" w:rsidP="00FB5A28">
      <w:pPr>
        <w:jc w:val="both"/>
        <w:rPr>
          <w:rFonts w:ascii="Times New Roman" w:hAnsi="Times New Roman"/>
          <w:sz w:val="24"/>
          <w:szCs w:val="24"/>
        </w:rPr>
      </w:pPr>
      <w:r w:rsidRPr="00FB5A28">
        <w:rPr>
          <w:rFonts w:ascii="Times New Roman" w:hAnsi="Times New Roman"/>
          <w:sz w:val="24"/>
          <w:szCs w:val="24"/>
        </w:rPr>
        <w:t xml:space="preserve">16) </w:t>
      </w:r>
      <w:r w:rsidR="00F631DC" w:rsidRPr="00FB5A28">
        <w:rPr>
          <w:rFonts w:ascii="Times New Roman" w:hAnsi="Times New Roman"/>
          <w:sz w:val="24"/>
          <w:szCs w:val="24"/>
        </w:rPr>
        <w:t>не</w:t>
      </w:r>
      <w:r w:rsidRPr="00FB5A28">
        <w:rPr>
          <w:rFonts w:ascii="Times New Roman" w:hAnsi="Times New Roman"/>
          <w:sz w:val="24"/>
          <w:szCs w:val="24"/>
        </w:rPr>
        <w:t xml:space="preserve"> </w:t>
      </w:r>
      <w:r w:rsidR="00F631DC" w:rsidRPr="00FB5A28">
        <w:rPr>
          <w:rFonts w:ascii="Times New Roman" w:hAnsi="Times New Roman"/>
          <w:sz w:val="24"/>
          <w:szCs w:val="24"/>
        </w:rPr>
        <w:t>достави</w:t>
      </w:r>
      <w:r w:rsidRPr="00FB5A28">
        <w:rPr>
          <w:rFonts w:ascii="Times New Roman" w:hAnsi="Times New Roman"/>
          <w:sz w:val="24"/>
          <w:szCs w:val="24"/>
        </w:rPr>
        <w:t xml:space="preserve"> </w:t>
      </w:r>
      <w:r w:rsidR="00F631DC" w:rsidRPr="00FB5A28">
        <w:rPr>
          <w:rFonts w:ascii="Times New Roman" w:hAnsi="Times New Roman"/>
          <w:sz w:val="24"/>
          <w:szCs w:val="24"/>
        </w:rPr>
        <w:t>обавештење</w:t>
      </w:r>
      <w:r w:rsidRPr="00FB5A28">
        <w:rPr>
          <w:rFonts w:ascii="Times New Roman" w:hAnsi="Times New Roman"/>
          <w:sz w:val="24"/>
          <w:szCs w:val="24"/>
        </w:rPr>
        <w:t xml:space="preserve"> </w:t>
      </w:r>
      <w:r w:rsidR="00F631DC" w:rsidRPr="00FB5A28">
        <w:rPr>
          <w:rFonts w:ascii="Times New Roman" w:hAnsi="Times New Roman"/>
          <w:sz w:val="24"/>
          <w:szCs w:val="24"/>
        </w:rPr>
        <w:t>пореском</w:t>
      </w:r>
      <w:r w:rsidRPr="00FB5A28">
        <w:rPr>
          <w:rFonts w:ascii="Times New Roman" w:hAnsi="Times New Roman"/>
          <w:sz w:val="24"/>
          <w:szCs w:val="24"/>
        </w:rPr>
        <w:t xml:space="preserve"> </w:t>
      </w:r>
      <w:r w:rsidR="00F631DC" w:rsidRPr="00FB5A28">
        <w:rPr>
          <w:rFonts w:ascii="Times New Roman" w:hAnsi="Times New Roman"/>
          <w:sz w:val="24"/>
          <w:szCs w:val="24"/>
        </w:rPr>
        <w:t>органу</w:t>
      </w:r>
      <w:r w:rsidRPr="00FB5A28">
        <w:rPr>
          <w:rFonts w:ascii="Times New Roman" w:hAnsi="Times New Roman"/>
          <w:sz w:val="24"/>
          <w:szCs w:val="24"/>
        </w:rPr>
        <w:t xml:space="preserve"> (</w:t>
      </w:r>
      <w:r w:rsidR="00F631DC" w:rsidRPr="00FB5A28">
        <w:rPr>
          <w:rFonts w:ascii="Times New Roman" w:hAnsi="Times New Roman"/>
          <w:sz w:val="24"/>
          <w:szCs w:val="24"/>
        </w:rPr>
        <w:t>члан</w:t>
      </w:r>
      <w:r w:rsidRPr="00FB5A28">
        <w:rPr>
          <w:rFonts w:ascii="Times New Roman" w:hAnsi="Times New Roman"/>
          <w:sz w:val="24"/>
          <w:szCs w:val="24"/>
        </w:rPr>
        <w:t xml:space="preserve"> 37. </w:t>
      </w:r>
      <w:r w:rsidR="00F631DC" w:rsidRPr="00FB5A28">
        <w:rPr>
          <w:rFonts w:ascii="Times New Roman" w:hAnsi="Times New Roman"/>
          <w:sz w:val="24"/>
          <w:szCs w:val="24"/>
        </w:rPr>
        <w:t>тачка</w:t>
      </w:r>
      <w:r w:rsidRPr="00FB5A28">
        <w:rPr>
          <w:rFonts w:ascii="Times New Roman" w:hAnsi="Times New Roman"/>
          <w:sz w:val="24"/>
          <w:szCs w:val="24"/>
        </w:rPr>
        <w:t xml:space="preserve"> 5) </w:t>
      </w:r>
      <w:r w:rsidR="00F631DC" w:rsidRPr="00FB5A28">
        <w:rPr>
          <w:rFonts w:ascii="Times New Roman" w:hAnsi="Times New Roman"/>
          <w:sz w:val="24"/>
          <w:szCs w:val="24"/>
        </w:rPr>
        <w:t>и</w:t>
      </w:r>
      <w:r w:rsidRPr="00FB5A28">
        <w:rPr>
          <w:rFonts w:ascii="Times New Roman" w:hAnsi="Times New Roman"/>
          <w:sz w:val="24"/>
          <w:szCs w:val="24"/>
        </w:rPr>
        <w:t xml:space="preserve"> </w:t>
      </w:r>
      <w:r w:rsidR="00F631DC" w:rsidRPr="00FB5A28">
        <w:rPr>
          <w:rFonts w:ascii="Times New Roman" w:hAnsi="Times New Roman"/>
          <w:sz w:val="24"/>
          <w:szCs w:val="24"/>
        </w:rPr>
        <w:t>члан</w:t>
      </w:r>
      <w:r w:rsidRPr="00FB5A28">
        <w:rPr>
          <w:rFonts w:ascii="Times New Roman" w:hAnsi="Times New Roman"/>
          <w:sz w:val="24"/>
          <w:szCs w:val="24"/>
        </w:rPr>
        <w:t xml:space="preserve"> 51</w:t>
      </w:r>
      <w:r w:rsidR="00F631DC" w:rsidRPr="00FB5A28">
        <w:rPr>
          <w:rFonts w:ascii="Times New Roman" w:hAnsi="Times New Roman"/>
          <w:sz w:val="24"/>
          <w:szCs w:val="24"/>
        </w:rPr>
        <w:t>а</w:t>
      </w:r>
      <w:r w:rsidRPr="00FB5A28">
        <w:rPr>
          <w:rFonts w:ascii="Times New Roman" w:hAnsi="Times New Roman"/>
          <w:sz w:val="24"/>
          <w:szCs w:val="24"/>
        </w:rPr>
        <w:t>);</w:t>
      </w:r>
    </w:p>
    <w:p w:rsidR="00795BD7" w:rsidRPr="00FB5A28" w:rsidRDefault="00795BD7" w:rsidP="00FB5A28">
      <w:pPr>
        <w:jc w:val="both"/>
        <w:rPr>
          <w:rFonts w:ascii="Times New Roman" w:hAnsi="Times New Roman"/>
          <w:sz w:val="24"/>
          <w:szCs w:val="24"/>
        </w:rPr>
      </w:pPr>
      <w:r w:rsidRPr="00FB5A28">
        <w:rPr>
          <w:rFonts w:ascii="Times New Roman" w:hAnsi="Times New Roman"/>
          <w:sz w:val="24"/>
          <w:szCs w:val="24"/>
        </w:rPr>
        <w:t xml:space="preserve">17) </w:t>
      </w:r>
      <w:r w:rsidR="00F631DC" w:rsidRPr="00FB5A28">
        <w:rPr>
          <w:rFonts w:ascii="Times New Roman" w:hAnsi="Times New Roman"/>
          <w:sz w:val="24"/>
          <w:szCs w:val="24"/>
        </w:rPr>
        <w:t>не</w:t>
      </w:r>
      <w:r w:rsidRPr="00FB5A28">
        <w:rPr>
          <w:rFonts w:ascii="Times New Roman" w:hAnsi="Times New Roman"/>
          <w:sz w:val="24"/>
          <w:szCs w:val="24"/>
        </w:rPr>
        <w:t xml:space="preserve"> </w:t>
      </w:r>
      <w:r w:rsidR="00F631DC" w:rsidRPr="00FB5A28">
        <w:rPr>
          <w:rFonts w:ascii="Times New Roman" w:hAnsi="Times New Roman"/>
          <w:sz w:val="24"/>
          <w:szCs w:val="24"/>
        </w:rPr>
        <w:t>преда</w:t>
      </w:r>
      <w:r w:rsidRPr="00FB5A28">
        <w:rPr>
          <w:rFonts w:ascii="Times New Roman" w:hAnsi="Times New Roman"/>
          <w:sz w:val="24"/>
          <w:szCs w:val="24"/>
        </w:rPr>
        <w:t xml:space="preserve"> </w:t>
      </w:r>
      <w:r w:rsidR="00F631DC" w:rsidRPr="00FB5A28">
        <w:rPr>
          <w:rFonts w:ascii="Times New Roman" w:hAnsi="Times New Roman"/>
          <w:sz w:val="24"/>
          <w:szCs w:val="24"/>
        </w:rPr>
        <w:t>евиденциону</w:t>
      </w:r>
      <w:r w:rsidRPr="00FB5A28">
        <w:rPr>
          <w:rFonts w:ascii="Times New Roman" w:hAnsi="Times New Roman"/>
          <w:sz w:val="24"/>
          <w:szCs w:val="24"/>
        </w:rPr>
        <w:t xml:space="preserve"> </w:t>
      </w:r>
      <w:r w:rsidR="00F631DC" w:rsidRPr="00FB5A28">
        <w:rPr>
          <w:rFonts w:ascii="Times New Roman" w:hAnsi="Times New Roman"/>
          <w:sz w:val="24"/>
          <w:szCs w:val="24"/>
        </w:rPr>
        <w:t>пријаву</w:t>
      </w:r>
      <w:r w:rsidRPr="00FB5A28">
        <w:rPr>
          <w:rFonts w:ascii="Times New Roman" w:hAnsi="Times New Roman"/>
          <w:sz w:val="24"/>
          <w:szCs w:val="24"/>
        </w:rPr>
        <w:t xml:space="preserve"> </w:t>
      </w:r>
      <w:r w:rsidR="00F631DC" w:rsidRPr="00FB5A28">
        <w:rPr>
          <w:rFonts w:ascii="Times New Roman" w:hAnsi="Times New Roman"/>
          <w:sz w:val="24"/>
          <w:szCs w:val="24"/>
        </w:rPr>
        <w:t>у</w:t>
      </w:r>
      <w:r w:rsidRPr="00FB5A28">
        <w:rPr>
          <w:rFonts w:ascii="Times New Roman" w:hAnsi="Times New Roman"/>
          <w:sz w:val="24"/>
          <w:szCs w:val="24"/>
        </w:rPr>
        <w:t xml:space="preserve"> </w:t>
      </w:r>
      <w:r w:rsidR="00F631DC" w:rsidRPr="00FB5A28">
        <w:rPr>
          <w:rFonts w:ascii="Times New Roman" w:hAnsi="Times New Roman"/>
          <w:sz w:val="24"/>
          <w:szCs w:val="24"/>
        </w:rPr>
        <w:t>прописаном</w:t>
      </w:r>
      <w:r w:rsidRPr="00FB5A28">
        <w:rPr>
          <w:rFonts w:ascii="Times New Roman" w:hAnsi="Times New Roman"/>
          <w:sz w:val="24"/>
          <w:szCs w:val="24"/>
        </w:rPr>
        <w:t xml:space="preserve"> </w:t>
      </w:r>
      <w:r w:rsidR="00F631DC" w:rsidRPr="00FB5A28">
        <w:rPr>
          <w:rFonts w:ascii="Times New Roman" w:hAnsi="Times New Roman"/>
          <w:sz w:val="24"/>
          <w:szCs w:val="24"/>
        </w:rPr>
        <w:t>року</w:t>
      </w:r>
      <w:r w:rsidRPr="00FB5A28">
        <w:rPr>
          <w:rFonts w:ascii="Times New Roman" w:hAnsi="Times New Roman"/>
          <w:sz w:val="24"/>
          <w:szCs w:val="24"/>
        </w:rPr>
        <w:t xml:space="preserve"> (</w:t>
      </w:r>
      <w:r w:rsidR="00F631DC" w:rsidRPr="00FB5A28">
        <w:rPr>
          <w:rFonts w:ascii="Times New Roman" w:hAnsi="Times New Roman"/>
          <w:sz w:val="24"/>
          <w:szCs w:val="24"/>
        </w:rPr>
        <w:t>члан</w:t>
      </w:r>
      <w:r w:rsidRPr="00FB5A28">
        <w:rPr>
          <w:rFonts w:ascii="Times New Roman" w:hAnsi="Times New Roman"/>
          <w:sz w:val="24"/>
          <w:szCs w:val="24"/>
        </w:rPr>
        <w:t xml:space="preserve"> 38. </w:t>
      </w:r>
      <w:r w:rsidR="00F631DC" w:rsidRPr="00FB5A28">
        <w:rPr>
          <w:rFonts w:ascii="Times New Roman" w:hAnsi="Times New Roman"/>
          <w:sz w:val="24"/>
          <w:szCs w:val="24"/>
        </w:rPr>
        <w:t>став</w:t>
      </w:r>
      <w:r w:rsidRPr="00FB5A28">
        <w:rPr>
          <w:rFonts w:ascii="Times New Roman" w:hAnsi="Times New Roman"/>
          <w:sz w:val="24"/>
          <w:szCs w:val="24"/>
        </w:rPr>
        <w:t xml:space="preserve"> 1);</w:t>
      </w:r>
    </w:p>
    <w:p w:rsidR="00795BD7" w:rsidRPr="00FB5A28" w:rsidRDefault="00795BD7" w:rsidP="00FB5A28">
      <w:pPr>
        <w:jc w:val="both"/>
        <w:rPr>
          <w:rFonts w:ascii="Times New Roman" w:hAnsi="Times New Roman"/>
          <w:sz w:val="24"/>
          <w:szCs w:val="24"/>
        </w:rPr>
      </w:pPr>
      <w:r w:rsidRPr="00FB5A28">
        <w:rPr>
          <w:rFonts w:ascii="Times New Roman" w:hAnsi="Times New Roman"/>
          <w:sz w:val="24"/>
          <w:szCs w:val="24"/>
        </w:rPr>
        <w:t xml:space="preserve">18) </w:t>
      </w:r>
      <w:r w:rsidR="00F631DC" w:rsidRPr="00FB5A28">
        <w:rPr>
          <w:rFonts w:ascii="Times New Roman" w:hAnsi="Times New Roman"/>
          <w:sz w:val="24"/>
          <w:szCs w:val="24"/>
        </w:rPr>
        <w:t>не</w:t>
      </w:r>
      <w:r w:rsidRPr="00FB5A28">
        <w:rPr>
          <w:rFonts w:ascii="Times New Roman" w:hAnsi="Times New Roman"/>
          <w:sz w:val="24"/>
          <w:szCs w:val="24"/>
        </w:rPr>
        <w:t xml:space="preserve"> </w:t>
      </w:r>
      <w:r w:rsidR="00F631DC" w:rsidRPr="00FB5A28">
        <w:rPr>
          <w:rFonts w:ascii="Times New Roman" w:hAnsi="Times New Roman"/>
          <w:sz w:val="24"/>
          <w:szCs w:val="24"/>
        </w:rPr>
        <w:t>наведе</w:t>
      </w:r>
      <w:r w:rsidRPr="00FB5A28">
        <w:rPr>
          <w:rFonts w:ascii="Times New Roman" w:hAnsi="Times New Roman"/>
          <w:sz w:val="24"/>
          <w:szCs w:val="24"/>
        </w:rPr>
        <w:t xml:space="preserve"> </w:t>
      </w:r>
      <w:r w:rsidR="00F631DC" w:rsidRPr="00FB5A28">
        <w:rPr>
          <w:rFonts w:ascii="Times New Roman" w:hAnsi="Times New Roman"/>
          <w:sz w:val="24"/>
          <w:szCs w:val="24"/>
        </w:rPr>
        <w:t>ПИБ</w:t>
      </w:r>
      <w:r w:rsidRPr="00FB5A28">
        <w:rPr>
          <w:rFonts w:ascii="Times New Roman" w:hAnsi="Times New Roman"/>
          <w:sz w:val="24"/>
          <w:szCs w:val="24"/>
        </w:rPr>
        <w:t xml:space="preserve"> </w:t>
      </w:r>
      <w:r w:rsidR="00F631DC" w:rsidRPr="00FB5A28">
        <w:rPr>
          <w:rFonts w:ascii="Times New Roman" w:hAnsi="Times New Roman"/>
          <w:sz w:val="24"/>
          <w:szCs w:val="24"/>
        </w:rPr>
        <w:t>у</w:t>
      </w:r>
      <w:r w:rsidRPr="00FB5A28">
        <w:rPr>
          <w:rFonts w:ascii="Times New Roman" w:hAnsi="Times New Roman"/>
          <w:sz w:val="24"/>
          <w:szCs w:val="24"/>
        </w:rPr>
        <w:t xml:space="preserve"> </w:t>
      </w:r>
      <w:r w:rsidR="00F631DC" w:rsidRPr="00FB5A28">
        <w:rPr>
          <w:rFonts w:ascii="Times New Roman" w:hAnsi="Times New Roman"/>
          <w:sz w:val="24"/>
          <w:szCs w:val="24"/>
        </w:rPr>
        <w:t>свим</w:t>
      </w:r>
      <w:r w:rsidRPr="00FB5A28">
        <w:rPr>
          <w:rFonts w:ascii="Times New Roman" w:hAnsi="Times New Roman"/>
          <w:sz w:val="24"/>
          <w:szCs w:val="24"/>
        </w:rPr>
        <w:t xml:space="preserve"> </w:t>
      </w:r>
      <w:r w:rsidR="00F631DC" w:rsidRPr="00FB5A28">
        <w:rPr>
          <w:rFonts w:ascii="Times New Roman" w:hAnsi="Times New Roman"/>
          <w:sz w:val="24"/>
          <w:szCs w:val="24"/>
        </w:rPr>
        <w:t>документима</w:t>
      </w:r>
      <w:r w:rsidRPr="00FB5A28">
        <w:rPr>
          <w:rFonts w:ascii="Times New Roman" w:hAnsi="Times New Roman"/>
          <w:sz w:val="24"/>
          <w:szCs w:val="24"/>
        </w:rPr>
        <w:t xml:space="preserve"> </w:t>
      </w:r>
      <w:r w:rsidR="00F631DC" w:rsidRPr="00FB5A28">
        <w:rPr>
          <w:rFonts w:ascii="Times New Roman" w:hAnsi="Times New Roman"/>
          <w:sz w:val="24"/>
          <w:szCs w:val="24"/>
        </w:rPr>
        <w:t>које</w:t>
      </w:r>
      <w:r w:rsidRPr="00FB5A28">
        <w:rPr>
          <w:rFonts w:ascii="Times New Roman" w:hAnsi="Times New Roman"/>
          <w:sz w:val="24"/>
          <w:szCs w:val="24"/>
        </w:rPr>
        <w:t xml:space="preserve"> </w:t>
      </w:r>
      <w:r w:rsidR="00F631DC" w:rsidRPr="00FB5A28">
        <w:rPr>
          <w:rFonts w:ascii="Times New Roman" w:hAnsi="Times New Roman"/>
          <w:sz w:val="24"/>
          <w:szCs w:val="24"/>
        </w:rPr>
        <w:t>прописује</w:t>
      </w:r>
      <w:r w:rsidRPr="00FB5A28">
        <w:rPr>
          <w:rFonts w:ascii="Times New Roman" w:hAnsi="Times New Roman"/>
          <w:sz w:val="24"/>
          <w:szCs w:val="24"/>
        </w:rPr>
        <w:t xml:space="preserve"> </w:t>
      </w:r>
      <w:r w:rsidR="00F631DC" w:rsidRPr="00FB5A28">
        <w:rPr>
          <w:rFonts w:ascii="Times New Roman" w:hAnsi="Times New Roman"/>
          <w:sz w:val="24"/>
          <w:szCs w:val="24"/>
        </w:rPr>
        <w:t>овај</w:t>
      </w:r>
      <w:r w:rsidRPr="00FB5A28">
        <w:rPr>
          <w:rFonts w:ascii="Times New Roman" w:hAnsi="Times New Roman"/>
          <w:sz w:val="24"/>
          <w:szCs w:val="24"/>
        </w:rPr>
        <w:t xml:space="preserve"> </w:t>
      </w:r>
      <w:r w:rsidR="00F631DC" w:rsidRPr="00FB5A28">
        <w:rPr>
          <w:rFonts w:ascii="Times New Roman" w:hAnsi="Times New Roman"/>
          <w:sz w:val="24"/>
          <w:szCs w:val="24"/>
        </w:rPr>
        <w:t>закон</w:t>
      </w:r>
      <w:r w:rsidRPr="00FB5A28">
        <w:rPr>
          <w:rFonts w:ascii="Times New Roman" w:hAnsi="Times New Roman"/>
          <w:sz w:val="24"/>
          <w:szCs w:val="24"/>
        </w:rPr>
        <w:t xml:space="preserve"> (</w:t>
      </w:r>
      <w:r w:rsidR="00F631DC" w:rsidRPr="00FB5A28">
        <w:rPr>
          <w:rFonts w:ascii="Times New Roman" w:hAnsi="Times New Roman"/>
          <w:sz w:val="24"/>
          <w:szCs w:val="24"/>
        </w:rPr>
        <w:t>члан</w:t>
      </w:r>
      <w:r w:rsidRPr="00FB5A28">
        <w:rPr>
          <w:rFonts w:ascii="Times New Roman" w:hAnsi="Times New Roman"/>
          <w:sz w:val="24"/>
          <w:szCs w:val="24"/>
        </w:rPr>
        <w:t xml:space="preserve"> 38. </w:t>
      </w:r>
      <w:r w:rsidR="00F631DC" w:rsidRPr="00FB5A28">
        <w:rPr>
          <w:rFonts w:ascii="Times New Roman" w:hAnsi="Times New Roman"/>
          <w:sz w:val="24"/>
          <w:szCs w:val="24"/>
        </w:rPr>
        <w:t>став</w:t>
      </w:r>
      <w:r w:rsidRPr="00FB5A28">
        <w:rPr>
          <w:rFonts w:ascii="Times New Roman" w:hAnsi="Times New Roman"/>
          <w:sz w:val="24"/>
          <w:szCs w:val="24"/>
        </w:rPr>
        <w:t xml:space="preserve"> 4);</w:t>
      </w:r>
    </w:p>
    <w:p w:rsidR="00795BD7" w:rsidRPr="00FB5A28" w:rsidRDefault="00795BD7" w:rsidP="00FB5A28">
      <w:pPr>
        <w:jc w:val="both"/>
        <w:rPr>
          <w:rFonts w:ascii="Times New Roman" w:hAnsi="Times New Roman"/>
          <w:sz w:val="24"/>
          <w:szCs w:val="24"/>
        </w:rPr>
      </w:pPr>
      <w:r w:rsidRPr="00FB5A28">
        <w:rPr>
          <w:rFonts w:ascii="Times New Roman" w:hAnsi="Times New Roman"/>
          <w:sz w:val="24"/>
          <w:szCs w:val="24"/>
        </w:rPr>
        <w:t xml:space="preserve">19) </w:t>
      </w:r>
      <w:r w:rsidR="00F631DC" w:rsidRPr="00FB5A28">
        <w:rPr>
          <w:rFonts w:ascii="Times New Roman" w:hAnsi="Times New Roman"/>
          <w:sz w:val="24"/>
          <w:szCs w:val="24"/>
        </w:rPr>
        <w:t>не</w:t>
      </w:r>
      <w:r w:rsidRPr="00FB5A28">
        <w:rPr>
          <w:rFonts w:ascii="Times New Roman" w:hAnsi="Times New Roman"/>
          <w:sz w:val="24"/>
          <w:szCs w:val="24"/>
        </w:rPr>
        <w:t xml:space="preserve"> </w:t>
      </w:r>
      <w:r w:rsidR="00F631DC" w:rsidRPr="00FB5A28">
        <w:rPr>
          <w:rFonts w:ascii="Times New Roman" w:hAnsi="Times New Roman"/>
          <w:sz w:val="24"/>
          <w:szCs w:val="24"/>
        </w:rPr>
        <w:t>поднесе</w:t>
      </w:r>
      <w:r w:rsidRPr="00FB5A28">
        <w:rPr>
          <w:rFonts w:ascii="Times New Roman" w:hAnsi="Times New Roman"/>
          <w:sz w:val="24"/>
          <w:szCs w:val="24"/>
        </w:rPr>
        <w:t xml:space="preserve"> </w:t>
      </w:r>
      <w:r w:rsidR="00F631DC" w:rsidRPr="00FB5A28">
        <w:rPr>
          <w:rFonts w:ascii="Times New Roman" w:hAnsi="Times New Roman"/>
          <w:sz w:val="24"/>
          <w:szCs w:val="24"/>
        </w:rPr>
        <w:t>захтев</w:t>
      </w:r>
      <w:r w:rsidRPr="00FB5A28">
        <w:rPr>
          <w:rFonts w:ascii="Times New Roman" w:hAnsi="Times New Roman"/>
          <w:sz w:val="24"/>
          <w:szCs w:val="24"/>
        </w:rPr>
        <w:t xml:space="preserve"> </w:t>
      </w:r>
      <w:r w:rsidR="00F631DC" w:rsidRPr="00FB5A28">
        <w:rPr>
          <w:rFonts w:ascii="Times New Roman" w:hAnsi="Times New Roman"/>
          <w:sz w:val="24"/>
          <w:szCs w:val="24"/>
        </w:rPr>
        <w:t>за</w:t>
      </w:r>
      <w:r w:rsidRPr="00FB5A28">
        <w:rPr>
          <w:rFonts w:ascii="Times New Roman" w:hAnsi="Times New Roman"/>
          <w:sz w:val="24"/>
          <w:szCs w:val="24"/>
        </w:rPr>
        <w:t xml:space="preserve"> </w:t>
      </w:r>
      <w:r w:rsidR="00F631DC" w:rsidRPr="00FB5A28">
        <w:rPr>
          <w:rFonts w:ascii="Times New Roman" w:hAnsi="Times New Roman"/>
          <w:sz w:val="24"/>
          <w:szCs w:val="24"/>
        </w:rPr>
        <w:t>брисање</w:t>
      </w:r>
      <w:r w:rsidRPr="00FB5A28">
        <w:rPr>
          <w:rFonts w:ascii="Times New Roman" w:hAnsi="Times New Roman"/>
          <w:sz w:val="24"/>
          <w:szCs w:val="24"/>
        </w:rPr>
        <w:t xml:space="preserve"> </w:t>
      </w:r>
      <w:r w:rsidR="00F631DC" w:rsidRPr="00FB5A28">
        <w:rPr>
          <w:rFonts w:ascii="Times New Roman" w:hAnsi="Times New Roman"/>
          <w:sz w:val="24"/>
          <w:szCs w:val="24"/>
        </w:rPr>
        <w:t>из</w:t>
      </w:r>
      <w:r w:rsidRPr="00FB5A28">
        <w:rPr>
          <w:rFonts w:ascii="Times New Roman" w:hAnsi="Times New Roman"/>
          <w:sz w:val="24"/>
          <w:szCs w:val="24"/>
        </w:rPr>
        <w:t xml:space="preserve"> </w:t>
      </w:r>
      <w:r w:rsidR="00F631DC" w:rsidRPr="00FB5A28">
        <w:rPr>
          <w:rFonts w:ascii="Times New Roman" w:hAnsi="Times New Roman"/>
          <w:sz w:val="24"/>
          <w:szCs w:val="24"/>
        </w:rPr>
        <w:t>евиденције</w:t>
      </w:r>
      <w:r w:rsidRPr="00FB5A28">
        <w:rPr>
          <w:rFonts w:ascii="Times New Roman" w:hAnsi="Times New Roman"/>
          <w:sz w:val="24"/>
          <w:szCs w:val="24"/>
        </w:rPr>
        <w:t xml:space="preserve"> </w:t>
      </w:r>
      <w:r w:rsidR="00F631DC" w:rsidRPr="00FB5A28">
        <w:rPr>
          <w:rFonts w:ascii="Times New Roman" w:hAnsi="Times New Roman"/>
          <w:sz w:val="24"/>
          <w:szCs w:val="24"/>
        </w:rPr>
        <w:t>за</w:t>
      </w:r>
      <w:r w:rsidRPr="00FB5A28">
        <w:rPr>
          <w:rFonts w:ascii="Times New Roman" w:hAnsi="Times New Roman"/>
          <w:sz w:val="24"/>
          <w:szCs w:val="24"/>
        </w:rPr>
        <w:t xml:space="preserve"> </w:t>
      </w:r>
      <w:r w:rsidR="00F631DC" w:rsidRPr="00FB5A28">
        <w:rPr>
          <w:rFonts w:ascii="Times New Roman" w:hAnsi="Times New Roman"/>
          <w:sz w:val="24"/>
          <w:szCs w:val="24"/>
        </w:rPr>
        <w:t>ПДВ</w:t>
      </w:r>
      <w:r w:rsidRPr="00FB5A28">
        <w:rPr>
          <w:rFonts w:ascii="Times New Roman" w:hAnsi="Times New Roman"/>
          <w:sz w:val="24"/>
          <w:szCs w:val="24"/>
        </w:rPr>
        <w:t xml:space="preserve"> </w:t>
      </w:r>
      <w:r w:rsidR="00F631DC" w:rsidRPr="00FB5A28">
        <w:rPr>
          <w:rFonts w:ascii="Times New Roman" w:hAnsi="Times New Roman"/>
          <w:sz w:val="24"/>
          <w:szCs w:val="24"/>
        </w:rPr>
        <w:t>због</w:t>
      </w:r>
      <w:r w:rsidRPr="00FB5A28">
        <w:rPr>
          <w:rFonts w:ascii="Times New Roman" w:hAnsi="Times New Roman"/>
          <w:sz w:val="24"/>
          <w:szCs w:val="24"/>
        </w:rPr>
        <w:t xml:space="preserve"> </w:t>
      </w:r>
      <w:r w:rsidR="00F631DC" w:rsidRPr="00FB5A28">
        <w:rPr>
          <w:rFonts w:ascii="Times New Roman" w:hAnsi="Times New Roman"/>
          <w:sz w:val="24"/>
          <w:szCs w:val="24"/>
        </w:rPr>
        <w:t>престанка</w:t>
      </w:r>
      <w:r w:rsidRPr="00FB5A28">
        <w:rPr>
          <w:rFonts w:ascii="Times New Roman" w:hAnsi="Times New Roman"/>
          <w:sz w:val="24"/>
          <w:szCs w:val="24"/>
        </w:rPr>
        <w:t xml:space="preserve"> </w:t>
      </w:r>
      <w:r w:rsidR="00F631DC" w:rsidRPr="00FB5A28">
        <w:rPr>
          <w:rFonts w:ascii="Times New Roman" w:hAnsi="Times New Roman"/>
          <w:sz w:val="24"/>
          <w:szCs w:val="24"/>
        </w:rPr>
        <w:t>обављања</w:t>
      </w:r>
      <w:r w:rsidRPr="00FB5A28">
        <w:rPr>
          <w:rFonts w:ascii="Times New Roman" w:hAnsi="Times New Roman"/>
          <w:sz w:val="24"/>
          <w:szCs w:val="24"/>
        </w:rPr>
        <w:t xml:space="preserve"> </w:t>
      </w:r>
      <w:r w:rsidR="00F631DC" w:rsidRPr="00FB5A28">
        <w:rPr>
          <w:rFonts w:ascii="Times New Roman" w:hAnsi="Times New Roman"/>
          <w:sz w:val="24"/>
          <w:szCs w:val="24"/>
        </w:rPr>
        <w:t>делатности</w:t>
      </w:r>
      <w:r w:rsidRPr="00FB5A28">
        <w:rPr>
          <w:rFonts w:ascii="Times New Roman" w:hAnsi="Times New Roman"/>
          <w:sz w:val="24"/>
          <w:szCs w:val="24"/>
        </w:rPr>
        <w:t xml:space="preserve">, </w:t>
      </w:r>
      <w:r w:rsidR="00F631DC" w:rsidRPr="00FB5A28">
        <w:rPr>
          <w:rFonts w:ascii="Times New Roman" w:hAnsi="Times New Roman"/>
          <w:sz w:val="24"/>
          <w:szCs w:val="24"/>
        </w:rPr>
        <w:t>у</w:t>
      </w:r>
      <w:r w:rsidRPr="00FB5A28">
        <w:rPr>
          <w:rFonts w:ascii="Times New Roman" w:hAnsi="Times New Roman"/>
          <w:sz w:val="24"/>
          <w:szCs w:val="24"/>
        </w:rPr>
        <w:t xml:space="preserve"> </w:t>
      </w:r>
      <w:r w:rsidR="00F631DC" w:rsidRPr="00FB5A28">
        <w:rPr>
          <w:rFonts w:ascii="Times New Roman" w:hAnsi="Times New Roman"/>
          <w:sz w:val="24"/>
          <w:szCs w:val="24"/>
        </w:rPr>
        <w:t>прописаном</w:t>
      </w:r>
      <w:r w:rsidRPr="00FB5A28">
        <w:rPr>
          <w:rFonts w:ascii="Times New Roman" w:hAnsi="Times New Roman"/>
          <w:sz w:val="24"/>
          <w:szCs w:val="24"/>
        </w:rPr>
        <w:t xml:space="preserve"> </w:t>
      </w:r>
      <w:r w:rsidR="00F631DC" w:rsidRPr="00FB5A28">
        <w:rPr>
          <w:rFonts w:ascii="Times New Roman" w:hAnsi="Times New Roman"/>
          <w:sz w:val="24"/>
          <w:szCs w:val="24"/>
        </w:rPr>
        <w:t>року</w:t>
      </w:r>
      <w:r w:rsidRPr="00FB5A28">
        <w:rPr>
          <w:rFonts w:ascii="Times New Roman" w:hAnsi="Times New Roman"/>
          <w:sz w:val="24"/>
          <w:szCs w:val="24"/>
        </w:rPr>
        <w:t xml:space="preserve"> (</w:t>
      </w:r>
      <w:r w:rsidR="00F631DC" w:rsidRPr="00FB5A28">
        <w:rPr>
          <w:rFonts w:ascii="Times New Roman" w:hAnsi="Times New Roman"/>
          <w:sz w:val="24"/>
          <w:szCs w:val="24"/>
        </w:rPr>
        <w:t>члан</w:t>
      </w:r>
      <w:r w:rsidRPr="00FB5A28">
        <w:rPr>
          <w:rFonts w:ascii="Times New Roman" w:hAnsi="Times New Roman"/>
          <w:sz w:val="24"/>
          <w:szCs w:val="24"/>
        </w:rPr>
        <w:t xml:space="preserve"> 38</w:t>
      </w:r>
      <w:r w:rsidR="00F631DC" w:rsidRPr="00FB5A28">
        <w:rPr>
          <w:rFonts w:ascii="Times New Roman" w:hAnsi="Times New Roman"/>
          <w:sz w:val="24"/>
          <w:szCs w:val="24"/>
        </w:rPr>
        <w:t>а</w:t>
      </w:r>
      <w:r w:rsidRPr="00FB5A28">
        <w:rPr>
          <w:rFonts w:ascii="Times New Roman" w:hAnsi="Times New Roman"/>
          <w:sz w:val="24"/>
          <w:szCs w:val="24"/>
        </w:rPr>
        <w:t xml:space="preserve"> </w:t>
      </w:r>
      <w:r w:rsidR="00F631DC" w:rsidRPr="00FB5A28">
        <w:rPr>
          <w:rFonts w:ascii="Times New Roman" w:hAnsi="Times New Roman"/>
          <w:sz w:val="24"/>
          <w:szCs w:val="24"/>
        </w:rPr>
        <w:t>став</w:t>
      </w:r>
      <w:r w:rsidRPr="00FB5A28">
        <w:rPr>
          <w:rFonts w:ascii="Times New Roman" w:hAnsi="Times New Roman"/>
          <w:sz w:val="24"/>
          <w:szCs w:val="24"/>
        </w:rPr>
        <w:t xml:space="preserve"> 2);</w:t>
      </w:r>
    </w:p>
    <w:p w:rsidR="00795BD7" w:rsidRPr="00FB5A28" w:rsidRDefault="00795BD7" w:rsidP="00FB5A28">
      <w:pPr>
        <w:jc w:val="both"/>
        <w:rPr>
          <w:rFonts w:ascii="Times New Roman" w:hAnsi="Times New Roman"/>
          <w:sz w:val="24"/>
          <w:szCs w:val="24"/>
        </w:rPr>
      </w:pPr>
      <w:r w:rsidRPr="00FB5A28">
        <w:rPr>
          <w:rFonts w:ascii="Times New Roman" w:hAnsi="Times New Roman"/>
          <w:sz w:val="24"/>
          <w:szCs w:val="24"/>
        </w:rPr>
        <w:t xml:space="preserve">20) </w:t>
      </w:r>
      <w:r w:rsidR="00F631DC" w:rsidRPr="00FB5A28">
        <w:rPr>
          <w:rFonts w:ascii="Times New Roman" w:hAnsi="Times New Roman"/>
          <w:sz w:val="24"/>
          <w:szCs w:val="24"/>
        </w:rPr>
        <w:t>не</w:t>
      </w:r>
      <w:r w:rsidRPr="00FB5A28">
        <w:rPr>
          <w:rFonts w:ascii="Times New Roman" w:hAnsi="Times New Roman"/>
          <w:sz w:val="24"/>
          <w:szCs w:val="24"/>
        </w:rPr>
        <w:t xml:space="preserve"> </w:t>
      </w:r>
      <w:r w:rsidR="00F631DC" w:rsidRPr="00FB5A28">
        <w:rPr>
          <w:rFonts w:ascii="Times New Roman" w:hAnsi="Times New Roman"/>
          <w:sz w:val="24"/>
          <w:szCs w:val="24"/>
        </w:rPr>
        <w:t>испуни</w:t>
      </w:r>
      <w:r w:rsidRPr="00FB5A28">
        <w:rPr>
          <w:rFonts w:ascii="Times New Roman" w:hAnsi="Times New Roman"/>
          <w:sz w:val="24"/>
          <w:szCs w:val="24"/>
        </w:rPr>
        <w:t xml:space="preserve"> </w:t>
      </w:r>
      <w:r w:rsidR="00F631DC" w:rsidRPr="00FB5A28">
        <w:rPr>
          <w:rFonts w:ascii="Times New Roman" w:hAnsi="Times New Roman"/>
          <w:sz w:val="24"/>
          <w:szCs w:val="24"/>
        </w:rPr>
        <w:t>обавезе</w:t>
      </w:r>
      <w:r w:rsidRPr="00FB5A28">
        <w:rPr>
          <w:rFonts w:ascii="Times New Roman" w:hAnsi="Times New Roman"/>
          <w:sz w:val="24"/>
          <w:szCs w:val="24"/>
        </w:rPr>
        <w:t xml:space="preserve"> </w:t>
      </w:r>
      <w:r w:rsidR="00F631DC" w:rsidRPr="00FB5A28">
        <w:rPr>
          <w:rFonts w:ascii="Times New Roman" w:hAnsi="Times New Roman"/>
          <w:sz w:val="24"/>
          <w:szCs w:val="24"/>
        </w:rPr>
        <w:t>на</w:t>
      </w:r>
      <w:r w:rsidRPr="00FB5A28">
        <w:rPr>
          <w:rFonts w:ascii="Times New Roman" w:hAnsi="Times New Roman"/>
          <w:sz w:val="24"/>
          <w:szCs w:val="24"/>
        </w:rPr>
        <w:t xml:space="preserve"> </w:t>
      </w:r>
      <w:r w:rsidR="00F631DC" w:rsidRPr="00FB5A28">
        <w:rPr>
          <w:rFonts w:ascii="Times New Roman" w:hAnsi="Times New Roman"/>
          <w:sz w:val="24"/>
          <w:szCs w:val="24"/>
        </w:rPr>
        <w:t>дан</w:t>
      </w:r>
      <w:r w:rsidRPr="00FB5A28">
        <w:rPr>
          <w:rFonts w:ascii="Times New Roman" w:hAnsi="Times New Roman"/>
          <w:sz w:val="24"/>
          <w:szCs w:val="24"/>
        </w:rPr>
        <w:t xml:space="preserve"> </w:t>
      </w:r>
      <w:r w:rsidR="00F631DC" w:rsidRPr="00FB5A28">
        <w:rPr>
          <w:rFonts w:ascii="Times New Roman" w:hAnsi="Times New Roman"/>
          <w:sz w:val="24"/>
          <w:szCs w:val="24"/>
        </w:rPr>
        <w:t>престанка</w:t>
      </w:r>
      <w:r w:rsidRPr="00FB5A28">
        <w:rPr>
          <w:rFonts w:ascii="Times New Roman" w:hAnsi="Times New Roman"/>
          <w:sz w:val="24"/>
          <w:szCs w:val="24"/>
        </w:rPr>
        <w:t xml:space="preserve"> </w:t>
      </w:r>
      <w:r w:rsidR="00F631DC" w:rsidRPr="00FB5A28">
        <w:rPr>
          <w:rFonts w:ascii="Times New Roman" w:hAnsi="Times New Roman"/>
          <w:sz w:val="24"/>
          <w:szCs w:val="24"/>
        </w:rPr>
        <w:t>ПДВ</w:t>
      </w:r>
      <w:r w:rsidRPr="00FB5A28">
        <w:rPr>
          <w:rFonts w:ascii="Times New Roman" w:hAnsi="Times New Roman"/>
          <w:sz w:val="24"/>
          <w:szCs w:val="24"/>
        </w:rPr>
        <w:t xml:space="preserve"> </w:t>
      </w:r>
      <w:r w:rsidR="00F631DC" w:rsidRPr="00FB5A28">
        <w:rPr>
          <w:rFonts w:ascii="Times New Roman" w:hAnsi="Times New Roman"/>
          <w:sz w:val="24"/>
          <w:szCs w:val="24"/>
        </w:rPr>
        <w:t>активности</w:t>
      </w:r>
      <w:r w:rsidRPr="00FB5A28">
        <w:rPr>
          <w:rFonts w:ascii="Times New Roman" w:hAnsi="Times New Roman"/>
          <w:sz w:val="24"/>
          <w:szCs w:val="24"/>
        </w:rPr>
        <w:t xml:space="preserve"> (</w:t>
      </w:r>
      <w:r w:rsidR="00F631DC" w:rsidRPr="00FB5A28">
        <w:rPr>
          <w:rFonts w:ascii="Times New Roman" w:hAnsi="Times New Roman"/>
          <w:sz w:val="24"/>
          <w:szCs w:val="24"/>
        </w:rPr>
        <w:t>члан</w:t>
      </w:r>
      <w:r w:rsidRPr="00FB5A28">
        <w:rPr>
          <w:rFonts w:ascii="Times New Roman" w:hAnsi="Times New Roman"/>
          <w:sz w:val="24"/>
          <w:szCs w:val="24"/>
        </w:rPr>
        <w:t xml:space="preserve"> 40);</w:t>
      </w:r>
    </w:p>
    <w:p w:rsidR="00795BD7" w:rsidRPr="00FB5A28" w:rsidRDefault="00795BD7" w:rsidP="00FB5A28">
      <w:pPr>
        <w:jc w:val="both"/>
        <w:rPr>
          <w:rFonts w:ascii="Times New Roman" w:hAnsi="Times New Roman"/>
          <w:sz w:val="24"/>
          <w:szCs w:val="24"/>
          <w:lang w:val="sr-Cyrl-CS"/>
        </w:rPr>
      </w:pPr>
      <w:r w:rsidRPr="00FB5A28">
        <w:rPr>
          <w:rFonts w:ascii="Times New Roman" w:hAnsi="Times New Roman"/>
          <w:sz w:val="24"/>
          <w:szCs w:val="24"/>
        </w:rPr>
        <w:t xml:space="preserve">21) </w:t>
      </w:r>
      <w:r w:rsidR="00F631DC" w:rsidRPr="00FB5A28">
        <w:rPr>
          <w:rFonts w:ascii="Times New Roman" w:hAnsi="Times New Roman"/>
          <w:sz w:val="24"/>
          <w:szCs w:val="24"/>
        </w:rPr>
        <w:t>не</w:t>
      </w:r>
      <w:r w:rsidRPr="00FB5A28">
        <w:rPr>
          <w:rFonts w:ascii="Times New Roman" w:hAnsi="Times New Roman"/>
          <w:sz w:val="24"/>
          <w:szCs w:val="24"/>
        </w:rPr>
        <w:t xml:space="preserve"> </w:t>
      </w:r>
      <w:r w:rsidR="00F631DC" w:rsidRPr="00FB5A28">
        <w:rPr>
          <w:rFonts w:ascii="Times New Roman" w:hAnsi="Times New Roman"/>
          <w:sz w:val="24"/>
          <w:szCs w:val="24"/>
        </w:rPr>
        <w:t>чува</w:t>
      </w:r>
      <w:r w:rsidRPr="00FB5A28">
        <w:rPr>
          <w:rFonts w:ascii="Times New Roman" w:hAnsi="Times New Roman"/>
          <w:sz w:val="24"/>
          <w:szCs w:val="24"/>
        </w:rPr>
        <w:t xml:space="preserve"> </w:t>
      </w:r>
      <w:r w:rsidR="00F631DC" w:rsidRPr="00FB5A28">
        <w:rPr>
          <w:rFonts w:ascii="Times New Roman" w:hAnsi="Times New Roman"/>
          <w:sz w:val="24"/>
          <w:szCs w:val="24"/>
        </w:rPr>
        <w:t>евиденцију</w:t>
      </w:r>
      <w:r w:rsidRPr="00FB5A28">
        <w:rPr>
          <w:rFonts w:ascii="Times New Roman" w:hAnsi="Times New Roman"/>
          <w:sz w:val="24"/>
          <w:szCs w:val="24"/>
        </w:rPr>
        <w:t xml:space="preserve"> </w:t>
      </w:r>
      <w:r w:rsidR="00F631DC" w:rsidRPr="00FB5A28">
        <w:rPr>
          <w:rFonts w:ascii="Times New Roman" w:hAnsi="Times New Roman"/>
          <w:sz w:val="24"/>
          <w:szCs w:val="24"/>
        </w:rPr>
        <w:t>и</w:t>
      </w:r>
      <w:r w:rsidRPr="00FB5A28">
        <w:rPr>
          <w:rFonts w:ascii="Times New Roman" w:hAnsi="Times New Roman"/>
          <w:sz w:val="24"/>
          <w:szCs w:val="24"/>
        </w:rPr>
        <w:t xml:space="preserve"> </w:t>
      </w:r>
      <w:r w:rsidR="00F631DC" w:rsidRPr="00FB5A28">
        <w:rPr>
          <w:rFonts w:ascii="Times New Roman" w:hAnsi="Times New Roman"/>
          <w:sz w:val="24"/>
          <w:szCs w:val="24"/>
        </w:rPr>
        <w:t>документацију</w:t>
      </w:r>
      <w:r w:rsidRPr="00FB5A28">
        <w:rPr>
          <w:rFonts w:ascii="Times New Roman" w:hAnsi="Times New Roman"/>
          <w:sz w:val="24"/>
          <w:szCs w:val="24"/>
        </w:rPr>
        <w:t xml:space="preserve"> </w:t>
      </w:r>
      <w:r w:rsidR="00F631DC" w:rsidRPr="00FB5A28">
        <w:rPr>
          <w:rFonts w:ascii="Times New Roman" w:hAnsi="Times New Roman"/>
          <w:sz w:val="24"/>
          <w:szCs w:val="24"/>
        </w:rPr>
        <w:t>у</w:t>
      </w:r>
      <w:r w:rsidRPr="00FB5A28">
        <w:rPr>
          <w:rFonts w:ascii="Times New Roman" w:hAnsi="Times New Roman"/>
          <w:sz w:val="24"/>
          <w:szCs w:val="24"/>
        </w:rPr>
        <w:t xml:space="preserve"> </w:t>
      </w:r>
      <w:r w:rsidR="00F631DC" w:rsidRPr="00FB5A28">
        <w:rPr>
          <w:rFonts w:ascii="Times New Roman" w:hAnsi="Times New Roman"/>
          <w:sz w:val="24"/>
          <w:szCs w:val="24"/>
        </w:rPr>
        <w:t>прописаном</w:t>
      </w:r>
      <w:r w:rsidRPr="00FB5A28">
        <w:rPr>
          <w:rFonts w:ascii="Times New Roman" w:hAnsi="Times New Roman"/>
          <w:sz w:val="24"/>
          <w:szCs w:val="24"/>
        </w:rPr>
        <w:t xml:space="preserve"> </w:t>
      </w:r>
      <w:r w:rsidR="00F631DC" w:rsidRPr="00FB5A28">
        <w:rPr>
          <w:rFonts w:ascii="Times New Roman" w:hAnsi="Times New Roman"/>
          <w:sz w:val="24"/>
          <w:szCs w:val="24"/>
        </w:rPr>
        <w:t>року</w:t>
      </w:r>
      <w:r w:rsidRPr="00FB5A28">
        <w:rPr>
          <w:rFonts w:ascii="Times New Roman" w:hAnsi="Times New Roman"/>
          <w:sz w:val="24"/>
          <w:szCs w:val="24"/>
        </w:rPr>
        <w:t xml:space="preserve"> (</w:t>
      </w:r>
      <w:r w:rsidR="00F631DC" w:rsidRPr="00FB5A28">
        <w:rPr>
          <w:rFonts w:ascii="Times New Roman" w:hAnsi="Times New Roman"/>
          <w:sz w:val="24"/>
          <w:szCs w:val="24"/>
        </w:rPr>
        <w:t>члан</w:t>
      </w:r>
      <w:r w:rsidRPr="00FB5A28">
        <w:rPr>
          <w:rFonts w:ascii="Times New Roman" w:hAnsi="Times New Roman"/>
          <w:sz w:val="24"/>
          <w:szCs w:val="24"/>
        </w:rPr>
        <w:t xml:space="preserve"> 47).</w:t>
      </w:r>
    </w:p>
    <w:p w:rsidR="00DF1BDF" w:rsidRPr="00FB5A28" w:rsidRDefault="00DF1BDF" w:rsidP="00FB5A28">
      <w:pPr>
        <w:jc w:val="both"/>
        <w:rPr>
          <w:rFonts w:ascii="Times New Roman" w:hAnsi="Times New Roman"/>
          <w:sz w:val="24"/>
          <w:szCs w:val="24"/>
          <w:lang w:val="sr-Cyrl-CS"/>
        </w:rPr>
      </w:pPr>
    </w:p>
    <w:p w:rsidR="006B2A9D" w:rsidRPr="00FB5A28" w:rsidRDefault="006B2A9D" w:rsidP="00FB5A28">
      <w:pPr>
        <w:jc w:val="both"/>
        <w:rPr>
          <w:rFonts w:ascii="Times New Roman" w:hAnsi="Times New Roman"/>
          <w:sz w:val="24"/>
          <w:szCs w:val="24"/>
          <w:lang w:val="sr-Cyrl-CS"/>
        </w:rPr>
      </w:pPr>
    </w:p>
    <w:p w:rsidR="006B2A9D" w:rsidRPr="00FB5A28" w:rsidRDefault="00F631DC" w:rsidP="00FB5A28">
      <w:pPr>
        <w:ind w:firstLine="708"/>
        <w:jc w:val="both"/>
        <w:rPr>
          <w:rFonts w:ascii="Times New Roman" w:hAnsi="Times New Roman"/>
          <w:sz w:val="24"/>
          <w:szCs w:val="24"/>
          <w:lang w:val="sr-Cyrl-CS"/>
        </w:rPr>
      </w:pPr>
      <w:r w:rsidRPr="00FB5A28">
        <w:rPr>
          <w:rFonts w:ascii="Times New Roman" w:hAnsi="Times New Roman"/>
          <w:sz w:val="24"/>
          <w:szCs w:val="24"/>
        </w:rPr>
        <w:t>За</w:t>
      </w:r>
      <w:r w:rsidR="00795BD7" w:rsidRPr="00FB5A28">
        <w:rPr>
          <w:rFonts w:ascii="Times New Roman" w:hAnsi="Times New Roman"/>
          <w:sz w:val="24"/>
          <w:szCs w:val="24"/>
        </w:rPr>
        <w:t xml:space="preserve"> </w:t>
      </w:r>
      <w:r w:rsidR="006B2A9D" w:rsidRPr="00FB5A28">
        <w:rPr>
          <w:rFonts w:ascii="Times New Roman" w:hAnsi="Times New Roman"/>
          <w:sz w:val="24"/>
          <w:szCs w:val="24"/>
          <w:lang w:val="sr-Cyrl-CS"/>
        </w:rPr>
        <w:t xml:space="preserve">наведени </w:t>
      </w:r>
      <w:r w:rsidRPr="00FB5A28">
        <w:rPr>
          <w:rFonts w:ascii="Times New Roman" w:hAnsi="Times New Roman"/>
          <w:sz w:val="24"/>
          <w:szCs w:val="24"/>
        </w:rPr>
        <w:t>прекршај</w:t>
      </w:r>
      <w:r w:rsidR="00795BD7" w:rsidRPr="00FB5A28">
        <w:rPr>
          <w:rFonts w:ascii="Times New Roman" w:hAnsi="Times New Roman"/>
          <w:sz w:val="24"/>
          <w:szCs w:val="24"/>
        </w:rPr>
        <w:t xml:space="preserve"> </w:t>
      </w:r>
      <w:r w:rsidRPr="00FB5A28">
        <w:rPr>
          <w:rFonts w:ascii="Times New Roman" w:hAnsi="Times New Roman"/>
          <w:sz w:val="24"/>
          <w:szCs w:val="24"/>
        </w:rPr>
        <w:t>казниће</w:t>
      </w:r>
      <w:r w:rsidR="00795BD7" w:rsidRPr="00FB5A28">
        <w:rPr>
          <w:rFonts w:ascii="Times New Roman" w:hAnsi="Times New Roman"/>
          <w:sz w:val="24"/>
          <w:szCs w:val="24"/>
        </w:rPr>
        <w:t xml:space="preserve"> </w:t>
      </w:r>
      <w:r w:rsidRPr="00FB5A28">
        <w:rPr>
          <w:rFonts w:ascii="Times New Roman" w:hAnsi="Times New Roman"/>
          <w:sz w:val="24"/>
          <w:szCs w:val="24"/>
        </w:rPr>
        <w:t>се</w:t>
      </w:r>
      <w:r w:rsidR="00795BD7" w:rsidRPr="00FB5A28">
        <w:rPr>
          <w:rFonts w:ascii="Times New Roman" w:hAnsi="Times New Roman"/>
          <w:sz w:val="24"/>
          <w:szCs w:val="24"/>
        </w:rPr>
        <w:t xml:space="preserve"> </w:t>
      </w:r>
      <w:r w:rsidRPr="00FB5A28">
        <w:rPr>
          <w:rFonts w:ascii="Times New Roman" w:hAnsi="Times New Roman"/>
          <w:sz w:val="24"/>
          <w:szCs w:val="24"/>
        </w:rPr>
        <w:t>и</w:t>
      </w:r>
      <w:r w:rsidR="00795BD7" w:rsidRPr="00FB5A28">
        <w:rPr>
          <w:rFonts w:ascii="Times New Roman" w:hAnsi="Times New Roman"/>
          <w:sz w:val="24"/>
          <w:szCs w:val="24"/>
        </w:rPr>
        <w:t xml:space="preserve"> </w:t>
      </w:r>
      <w:r w:rsidRPr="00FB5A28">
        <w:rPr>
          <w:rFonts w:ascii="Times New Roman" w:hAnsi="Times New Roman"/>
          <w:sz w:val="24"/>
          <w:szCs w:val="24"/>
        </w:rPr>
        <w:t>одговорно</w:t>
      </w:r>
      <w:r w:rsidR="00795BD7" w:rsidRPr="00FB5A28">
        <w:rPr>
          <w:rFonts w:ascii="Times New Roman" w:hAnsi="Times New Roman"/>
          <w:sz w:val="24"/>
          <w:szCs w:val="24"/>
        </w:rPr>
        <w:t xml:space="preserve"> </w:t>
      </w:r>
      <w:r w:rsidRPr="00FB5A28">
        <w:rPr>
          <w:rFonts w:ascii="Times New Roman" w:hAnsi="Times New Roman"/>
          <w:sz w:val="24"/>
          <w:szCs w:val="24"/>
        </w:rPr>
        <w:t>лице</w:t>
      </w:r>
      <w:r w:rsidR="00795BD7" w:rsidRPr="00FB5A28">
        <w:rPr>
          <w:rFonts w:ascii="Times New Roman" w:hAnsi="Times New Roman"/>
          <w:sz w:val="24"/>
          <w:szCs w:val="24"/>
        </w:rPr>
        <w:t xml:space="preserve"> </w:t>
      </w:r>
      <w:r w:rsidRPr="00FB5A28">
        <w:rPr>
          <w:rFonts w:ascii="Times New Roman" w:hAnsi="Times New Roman"/>
          <w:sz w:val="24"/>
          <w:szCs w:val="24"/>
        </w:rPr>
        <w:t>у</w:t>
      </w:r>
      <w:r w:rsidR="00795BD7" w:rsidRPr="00FB5A28">
        <w:rPr>
          <w:rFonts w:ascii="Times New Roman" w:hAnsi="Times New Roman"/>
          <w:sz w:val="24"/>
          <w:szCs w:val="24"/>
        </w:rPr>
        <w:t xml:space="preserve"> </w:t>
      </w:r>
      <w:r w:rsidRPr="00FB5A28">
        <w:rPr>
          <w:rFonts w:ascii="Times New Roman" w:hAnsi="Times New Roman"/>
          <w:sz w:val="24"/>
          <w:szCs w:val="24"/>
        </w:rPr>
        <w:t>правном</w:t>
      </w:r>
      <w:r w:rsidR="00795BD7" w:rsidRPr="00FB5A28">
        <w:rPr>
          <w:rFonts w:ascii="Times New Roman" w:hAnsi="Times New Roman"/>
          <w:sz w:val="24"/>
          <w:szCs w:val="24"/>
        </w:rPr>
        <w:t xml:space="preserve"> </w:t>
      </w:r>
      <w:r w:rsidRPr="00FB5A28">
        <w:rPr>
          <w:rFonts w:ascii="Times New Roman" w:hAnsi="Times New Roman"/>
          <w:sz w:val="24"/>
          <w:szCs w:val="24"/>
        </w:rPr>
        <w:t>лицу</w:t>
      </w:r>
      <w:r w:rsidR="00795BD7" w:rsidRPr="00FB5A28">
        <w:rPr>
          <w:rFonts w:ascii="Times New Roman" w:hAnsi="Times New Roman"/>
          <w:sz w:val="24"/>
          <w:szCs w:val="24"/>
        </w:rPr>
        <w:t xml:space="preserve"> </w:t>
      </w:r>
      <w:r w:rsidRPr="00FB5A28">
        <w:rPr>
          <w:rFonts w:ascii="Times New Roman" w:hAnsi="Times New Roman"/>
          <w:sz w:val="24"/>
          <w:szCs w:val="24"/>
        </w:rPr>
        <w:t>новчаном</w:t>
      </w:r>
      <w:r w:rsidR="00795BD7" w:rsidRPr="00FB5A28">
        <w:rPr>
          <w:rFonts w:ascii="Times New Roman" w:hAnsi="Times New Roman"/>
          <w:sz w:val="24"/>
          <w:szCs w:val="24"/>
        </w:rPr>
        <w:t xml:space="preserve"> </w:t>
      </w:r>
      <w:r w:rsidRPr="00FB5A28">
        <w:rPr>
          <w:rFonts w:ascii="Times New Roman" w:hAnsi="Times New Roman"/>
          <w:sz w:val="24"/>
          <w:szCs w:val="24"/>
        </w:rPr>
        <w:t>казном</w:t>
      </w:r>
      <w:r w:rsidR="00795BD7" w:rsidRPr="00FB5A28">
        <w:rPr>
          <w:rFonts w:ascii="Times New Roman" w:hAnsi="Times New Roman"/>
          <w:sz w:val="24"/>
          <w:szCs w:val="24"/>
        </w:rPr>
        <w:t xml:space="preserve"> </w:t>
      </w:r>
      <w:r w:rsidRPr="00FB5A28">
        <w:rPr>
          <w:rFonts w:ascii="Times New Roman" w:hAnsi="Times New Roman"/>
          <w:sz w:val="24"/>
          <w:szCs w:val="24"/>
        </w:rPr>
        <w:t>од</w:t>
      </w:r>
      <w:r w:rsidR="00795BD7" w:rsidRPr="00FB5A28">
        <w:rPr>
          <w:rFonts w:ascii="Times New Roman" w:hAnsi="Times New Roman"/>
          <w:sz w:val="24"/>
          <w:szCs w:val="24"/>
        </w:rPr>
        <w:t xml:space="preserve"> 10.000 </w:t>
      </w:r>
      <w:r w:rsidRPr="00FB5A28">
        <w:rPr>
          <w:rFonts w:ascii="Times New Roman" w:hAnsi="Times New Roman"/>
          <w:sz w:val="24"/>
          <w:szCs w:val="24"/>
        </w:rPr>
        <w:t>до</w:t>
      </w:r>
      <w:r w:rsidR="006B2A9D" w:rsidRPr="00FB5A28">
        <w:rPr>
          <w:rFonts w:ascii="Times New Roman" w:hAnsi="Times New Roman"/>
          <w:sz w:val="24"/>
          <w:szCs w:val="24"/>
        </w:rPr>
        <w:t xml:space="preserve"> 50.000 </w:t>
      </w:r>
      <w:r w:rsidRPr="00FB5A28">
        <w:rPr>
          <w:rFonts w:ascii="Times New Roman" w:hAnsi="Times New Roman"/>
          <w:sz w:val="24"/>
          <w:szCs w:val="24"/>
        </w:rPr>
        <w:t>динара</w:t>
      </w:r>
      <w:r w:rsidR="006B2A9D" w:rsidRPr="00FB5A28">
        <w:rPr>
          <w:rFonts w:ascii="Times New Roman" w:hAnsi="Times New Roman"/>
          <w:sz w:val="24"/>
          <w:szCs w:val="24"/>
          <w:lang w:val="sr-Cyrl-CS"/>
        </w:rPr>
        <w:t xml:space="preserve">, предузетник </w:t>
      </w:r>
      <w:r w:rsidR="00795BD7" w:rsidRPr="00FB5A28">
        <w:rPr>
          <w:rFonts w:ascii="Times New Roman" w:hAnsi="Times New Roman"/>
          <w:b/>
          <w:sz w:val="24"/>
          <w:szCs w:val="24"/>
        </w:rPr>
        <w:t xml:space="preserve"> </w:t>
      </w:r>
      <w:r w:rsidRPr="00FB5A28">
        <w:rPr>
          <w:rFonts w:ascii="Times New Roman" w:hAnsi="Times New Roman"/>
          <w:sz w:val="24"/>
          <w:szCs w:val="24"/>
        </w:rPr>
        <w:t>новчаном</w:t>
      </w:r>
      <w:r w:rsidR="00795BD7" w:rsidRPr="00FB5A28">
        <w:rPr>
          <w:rFonts w:ascii="Times New Roman" w:hAnsi="Times New Roman"/>
          <w:sz w:val="24"/>
          <w:szCs w:val="24"/>
        </w:rPr>
        <w:t xml:space="preserve"> </w:t>
      </w:r>
      <w:r w:rsidRPr="00FB5A28">
        <w:rPr>
          <w:rFonts w:ascii="Times New Roman" w:hAnsi="Times New Roman"/>
          <w:sz w:val="24"/>
          <w:szCs w:val="24"/>
        </w:rPr>
        <w:t>казном</w:t>
      </w:r>
      <w:r w:rsidR="006B2A9D" w:rsidRPr="00FB5A28">
        <w:rPr>
          <w:rFonts w:ascii="Times New Roman" w:hAnsi="Times New Roman"/>
          <w:sz w:val="24"/>
          <w:szCs w:val="24"/>
        </w:rPr>
        <w:t xml:space="preserve"> </w:t>
      </w:r>
      <w:r w:rsidRPr="00FB5A28">
        <w:rPr>
          <w:rFonts w:ascii="Times New Roman" w:hAnsi="Times New Roman"/>
          <w:sz w:val="24"/>
          <w:szCs w:val="24"/>
        </w:rPr>
        <w:t>од</w:t>
      </w:r>
      <w:r w:rsidR="006B2A9D" w:rsidRPr="00FB5A28">
        <w:rPr>
          <w:rFonts w:ascii="Times New Roman" w:hAnsi="Times New Roman"/>
          <w:sz w:val="24"/>
          <w:szCs w:val="24"/>
        </w:rPr>
        <w:t xml:space="preserve"> 12.500 </w:t>
      </w:r>
      <w:r w:rsidRPr="00FB5A28">
        <w:rPr>
          <w:rFonts w:ascii="Times New Roman" w:hAnsi="Times New Roman"/>
          <w:sz w:val="24"/>
          <w:szCs w:val="24"/>
        </w:rPr>
        <w:t>до</w:t>
      </w:r>
      <w:r w:rsidR="006B2A9D" w:rsidRPr="00FB5A28">
        <w:rPr>
          <w:rFonts w:ascii="Times New Roman" w:hAnsi="Times New Roman"/>
          <w:sz w:val="24"/>
          <w:szCs w:val="24"/>
        </w:rPr>
        <w:t xml:space="preserve"> 500.000 </w:t>
      </w:r>
      <w:r w:rsidRPr="00FB5A28">
        <w:rPr>
          <w:rFonts w:ascii="Times New Roman" w:hAnsi="Times New Roman"/>
          <w:sz w:val="24"/>
          <w:szCs w:val="24"/>
        </w:rPr>
        <w:lastRenderedPageBreak/>
        <w:t>динара</w:t>
      </w:r>
      <w:r w:rsidR="006B2A9D" w:rsidRPr="00FB5A28">
        <w:rPr>
          <w:rFonts w:ascii="Times New Roman" w:hAnsi="Times New Roman"/>
          <w:sz w:val="24"/>
          <w:szCs w:val="24"/>
          <w:lang w:val="sr-Cyrl-CS"/>
        </w:rPr>
        <w:t xml:space="preserve">, док ће се </w:t>
      </w:r>
      <w:r w:rsidR="00795BD7" w:rsidRPr="00FB5A28">
        <w:rPr>
          <w:rFonts w:ascii="Times New Roman" w:hAnsi="Times New Roman"/>
          <w:sz w:val="24"/>
          <w:szCs w:val="24"/>
        </w:rPr>
        <w:t xml:space="preserve"> </w:t>
      </w:r>
      <w:r w:rsidRPr="00FB5A28">
        <w:rPr>
          <w:rFonts w:ascii="Times New Roman" w:hAnsi="Times New Roman"/>
          <w:sz w:val="24"/>
          <w:szCs w:val="24"/>
        </w:rPr>
        <w:t>обвезник</w:t>
      </w:r>
      <w:r w:rsidR="00795BD7" w:rsidRPr="00FB5A28">
        <w:rPr>
          <w:rFonts w:ascii="Times New Roman" w:hAnsi="Times New Roman"/>
          <w:sz w:val="24"/>
          <w:szCs w:val="24"/>
        </w:rPr>
        <w:t xml:space="preserve"> - </w:t>
      </w:r>
      <w:r w:rsidRPr="00FB5A28">
        <w:rPr>
          <w:rFonts w:ascii="Times New Roman" w:hAnsi="Times New Roman"/>
          <w:sz w:val="24"/>
          <w:szCs w:val="24"/>
        </w:rPr>
        <w:t>физичко</w:t>
      </w:r>
      <w:r w:rsidR="00795BD7" w:rsidRPr="00FB5A28">
        <w:rPr>
          <w:rFonts w:ascii="Times New Roman" w:hAnsi="Times New Roman"/>
          <w:sz w:val="24"/>
          <w:szCs w:val="24"/>
        </w:rPr>
        <w:t xml:space="preserve"> </w:t>
      </w:r>
      <w:r w:rsidRPr="00FB5A28">
        <w:rPr>
          <w:rFonts w:ascii="Times New Roman" w:hAnsi="Times New Roman"/>
          <w:sz w:val="24"/>
          <w:szCs w:val="24"/>
        </w:rPr>
        <w:t>лице</w:t>
      </w:r>
      <w:r w:rsidR="00795BD7" w:rsidRPr="00FB5A28">
        <w:rPr>
          <w:rFonts w:ascii="Times New Roman" w:hAnsi="Times New Roman"/>
          <w:sz w:val="24"/>
          <w:szCs w:val="24"/>
        </w:rPr>
        <w:t xml:space="preserve"> </w:t>
      </w:r>
      <w:r w:rsidR="006B2A9D" w:rsidRPr="00FB5A28">
        <w:rPr>
          <w:rFonts w:ascii="Times New Roman" w:hAnsi="Times New Roman"/>
          <w:sz w:val="24"/>
          <w:szCs w:val="24"/>
          <w:lang w:val="sr-Cyrl-CS"/>
        </w:rPr>
        <w:t xml:space="preserve">казнити </w:t>
      </w:r>
      <w:r w:rsidRPr="00FB5A28">
        <w:rPr>
          <w:rFonts w:ascii="Times New Roman" w:hAnsi="Times New Roman"/>
          <w:sz w:val="24"/>
          <w:szCs w:val="24"/>
        </w:rPr>
        <w:t>новчаном</w:t>
      </w:r>
      <w:r w:rsidR="00795BD7" w:rsidRPr="00FB5A28">
        <w:rPr>
          <w:rFonts w:ascii="Times New Roman" w:hAnsi="Times New Roman"/>
          <w:sz w:val="24"/>
          <w:szCs w:val="24"/>
        </w:rPr>
        <w:t xml:space="preserve"> </w:t>
      </w:r>
      <w:r w:rsidRPr="00FB5A28">
        <w:rPr>
          <w:rFonts w:ascii="Times New Roman" w:hAnsi="Times New Roman"/>
          <w:sz w:val="24"/>
          <w:szCs w:val="24"/>
        </w:rPr>
        <w:t>казном</w:t>
      </w:r>
      <w:r w:rsidR="00795BD7" w:rsidRPr="00FB5A28">
        <w:rPr>
          <w:rFonts w:ascii="Times New Roman" w:hAnsi="Times New Roman"/>
          <w:sz w:val="24"/>
          <w:szCs w:val="24"/>
        </w:rPr>
        <w:t xml:space="preserve"> </w:t>
      </w:r>
      <w:r w:rsidRPr="00FB5A28">
        <w:rPr>
          <w:rFonts w:ascii="Times New Roman" w:hAnsi="Times New Roman"/>
          <w:sz w:val="24"/>
          <w:szCs w:val="24"/>
        </w:rPr>
        <w:t>од</w:t>
      </w:r>
      <w:r w:rsidR="00795BD7" w:rsidRPr="00FB5A28">
        <w:rPr>
          <w:rFonts w:ascii="Times New Roman" w:hAnsi="Times New Roman"/>
          <w:sz w:val="24"/>
          <w:szCs w:val="24"/>
        </w:rPr>
        <w:t xml:space="preserve"> 5.000 </w:t>
      </w:r>
      <w:r w:rsidRPr="00FB5A28">
        <w:rPr>
          <w:rFonts w:ascii="Times New Roman" w:hAnsi="Times New Roman"/>
          <w:sz w:val="24"/>
          <w:szCs w:val="24"/>
        </w:rPr>
        <w:t>до</w:t>
      </w:r>
      <w:r w:rsidR="00795BD7" w:rsidRPr="00FB5A28">
        <w:rPr>
          <w:rFonts w:ascii="Times New Roman" w:hAnsi="Times New Roman"/>
          <w:sz w:val="24"/>
          <w:szCs w:val="24"/>
        </w:rPr>
        <w:t xml:space="preserve"> 50.000 </w:t>
      </w:r>
      <w:r w:rsidRPr="00FB5A28">
        <w:rPr>
          <w:rFonts w:ascii="Times New Roman" w:hAnsi="Times New Roman"/>
          <w:sz w:val="24"/>
          <w:szCs w:val="24"/>
        </w:rPr>
        <w:t>динара</w:t>
      </w:r>
      <w:r w:rsidR="00795BD7" w:rsidRPr="00FB5A28">
        <w:rPr>
          <w:rFonts w:ascii="Times New Roman" w:hAnsi="Times New Roman"/>
          <w:sz w:val="24"/>
          <w:szCs w:val="24"/>
        </w:rPr>
        <w:t>.</w:t>
      </w:r>
    </w:p>
    <w:p w:rsidR="00512389" w:rsidRPr="00FB5A28" w:rsidRDefault="00F631DC" w:rsidP="00FB5A28">
      <w:pPr>
        <w:ind w:firstLine="708"/>
        <w:jc w:val="both"/>
        <w:rPr>
          <w:rFonts w:ascii="Times New Roman" w:hAnsi="Times New Roman"/>
          <w:sz w:val="24"/>
          <w:szCs w:val="24"/>
          <w:lang w:val="sr-Cyrl-CS"/>
        </w:rPr>
      </w:pPr>
      <w:r w:rsidRPr="00FB5A28">
        <w:rPr>
          <w:rFonts w:ascii="Times New Roman" w:hAnsi="Times New Roman"/>
          <w:sz w:val="24"/>
          <w:szCs w:val="24"/>
        </w:rPr>
        <w:t>Новчаном</w:t>
      </w:r>
      <w:r w:rsidR="00795BD7" w:rsidRPr="00FB5A28">
        <w:rPr>
          <w:rFonts w:ascii="Times New Roman" w:hAnsi="Times New Roman"/>
          <w:sz w:val="24"/>
          <w:szCs w:val="24"/>
        </w:rPr>
        <w:t xml:space="preserve"> </w:t>
      </w:r>
      <w:r w:rsidRPr="00FB5A28">
        <w:rPr>
          <w:rFonts w:ascii="Times New Roman" w:hAnsi="Times New Roman"/>
          <w:sz w:val="24"/>
          <w:szCs w:val="24"/>
        </w:rPr>
        <w:t>казном</w:t>
      </w:r>
      <w:r w:rsidR="00795BD7" w:rsidRPr="00FB5A28">
        <w:rPr>
          <w:rFonts w:ascii="Times New Roman" w:hAnsi="Times New Roman"/>
          <w:sz w:val="24"/>
          <w:szCs w:val="24"/>
        </w:rPr>
        <w:t xml:space="preserve"> </w:t>
      </w:r>
      <w:r w:rsidRPr="00FB5A28">
        <w:rPr>
          <w:rFonts w:ascii="Times New Roman" w:hAnsi="Times New Roman"/>
          <w:sz w:val="24"/>
          <w:szCs w:val="24"/>
        </w:rPr>
        <w:t>од</w:t>
      </w:r>
      <w:r w:rsidR="00795BD7" w:rsidRPr="00FB5A28">
        <w:rPr>
          <w:rFonts w:ascii="Times New Roman" w:hAnsi="Times New Roman"/>
          <w:sz w:val="24"/>
          <w:szCs w:val="24"/>
        </w:rPr>
        <w:t xml:space="preserve"> 10.000 </w:t>
      </w:r>
      <w:r w:rsidRPr="00FB5A28">
        <w:rPr>
          <w:rFonts w:ascii="Times New Roman" w:hAnsi="Times New Roman"/>
          <w:sz w:val="24"/>
          <w:szCs w:val="24"/>
        </w:rPr>
        <w:t>до</w:t>
      </w:r>
      <w:r w:rsidR="00795BD7" w:rsidRPr="00FB5A28">
        <w:rPr>
          <w:rFonts w:ascii="Times New Roman" w:hAnsi="Times New Roman"/>
          <w:sz w:val="24"/>
          <w:szCs w:val="24"/>
        </w:rPr>
        <w:t xml:space="preserve"> 50.000 </w:t>
      </w:r>
      <w:r w:rsidRPr="00FB5A28">
        <w:rPr>
          <w:rFonts w:ascii="Times New Roman" w:hAnsi="Times New Roman"/>
          <w:sz w:val="24"/>
          <w:szCs w:val="24"/>
        </w:rPr>
        <w:t>динара</w:t>
      </w:r>
      <w:r w:rsidR="00795BD7" w:rsidRPr="00FB5A28">
        <w:rPr>
          <w:rFonts w:ascii="Times New Roman" w:hAnsi="Times New Roman"/>
          <w:sz w:val="24"/>
          <w:szCs w:val="24"/>
        </w:rPr>
        <w:t xml:space="preserve"> </w:t>
      </w:r>
      <w:r w:rsidRPr="00FB5A28">
        <w:rPr>
          <w:rFonts w:ascii="Times New Roman" w:hAnsi="Times New Roman"/>
          <w:sz w:val="24"/>
          <w:szCs w:val="24"/>
        </w:rPr>
        <w:t>казниће</w:t>
      </w:r>
      <w:r w:rsidR="00795BD7" w:rsidRPr="00FB5A28">
        <w:rPr>
          <w:rFonts w:ascii="Times New Roman" w:hAnsi="Times New Roman"/>
          <w:sz w:val="24"/>
          <w:szCs w:val="24"/>
        </w:rPr>
        <w:t xml:space="preserve"> </w:t>
      </w:r>
      <w:r w:rsidRPr="00FB5A28">
        <w:rPr>
          <w:rFonts w:ascii="Times New Roman" w:hAnsi="Times New Roman"/>
          <w:sz w:val="24"/>
          <w:szCs w:val="24"/>
        </w:rPr>
        <w:t>се</w:t>
      </w:r>
      <w:r w:rsidR="00795BD7" w:rsidRPr="00FB5A28">
        <w:rPr>
          <w:rFonts w:ascii="Times New Roman" w:hAnsi="Times New Roman"/>
          <w:sz w:val="24"/>
          <w:szCs w:val="24"/>
        </w:rPr>
        <w:t xml:space="preserve"> </w:t>
      </w:r>
      <w:r w:rsidRPr="00FB5A28">
        <w:rPr>
          <w:rFonts w:ascii="Times New Roman" w:hAnsi="Times New Roman"/>
          <w:sz w:val="24"/>
          <w:szCs w:val="24"/>
        </w:rPr>
        <w:t>за</w:t>
      </w:r>
      <w:r w:rsidR="00795BD7" w:rsidRPr="00FB5A28">
        <w:rPr>
          <w:rFonts w:ascii="Times New Roman" w:hAnsi="Times New Roman"/>
          <w:sz w:val="24"/>
          <w:szCs w:val="24"/>
        </w:rPr>
        <w:t xml:space="preserve"> </w:t>
      </w:r>
      <w:r w:rsidRPr="00FB5A28">
        <w:rPr>
          <w:rFonts w:ascii="Times New Roman" w:hAnsi="Times New Roman"/>
          <w:sz w:val="24"/>
          <w:szCs w:val="24"/>
        </w:rPr>
        <w:t>прекршај</w:t>
      </w:r>
      <w:r w:rsidR="00795BD7" w:rsidRPr="00FB5A28">
        <w:rPr>
          <w:rFonts w:ascii="Times New Roman" w:hAnsi="Times New Roman"/>
          <w:sz w:val="24"/>
          <w:szCs w:val="24"/>
        </w:rPr>
        <w:t xml:space="preserve"> </w:t>
      </w:r>
      <w:r w:rsidR="006B2A9D" w:rsidRPr="00FB5A28">
        <w:rPr>
          <w:rFonts w:ascii="Times New Roman" w:hAnsi="Times New Roman"/>
          <w:sz w:val="24"/>
          <w:szCs w:val="24"/>
          <w:lang w:val="sr-Cyrl-CS"/>
        </w:rPr>
        <w:t xml:space="preserve">и </w:t>
      </w:r>
      <w:r w:rsidRPr="00FB5A28">
        <w:rPr>
          <w:rFonts w:ascii="Times New Roman" w:hAnsi="Times New Roman"/>
          <w:sz w:val="24"/>
          <w:szCs w:val="24"/>
        </w:rPr>
        <w:t>одговорно</w:t>
      </w:r>
      <w:r w:rsidR="00795BD7" w:rsidRPr="00FB5A28">
        <w:rPr>
          <w:rFonts w:ascii="Times New Roman" w:hAnsi="Times New Roman"/>
          <w:sz w:val="24"/>
          <w:szCs w:val="24"/>
        </w:rPr>
        <w:t xml:space="preserve"> </w:t>
      </w:r>
      <w:r w:rsidRPr="00FB5A28">
        <w:rPr>
          <w:rFonts w:ascii="Times New Roman" w:hAnsi="Times New Roman"/>
          <w:sz w:val="24"/>
          <w:szCs w:val="24"/>
        </w:rPr>
        <w:t>лице</w:t>
      </w:r>
      <w:r w:rsidR="00795BD7" w:rsidRPr="00FB5A28">
        <w:rPr>
          <w:rFonts w:ascii="Times New Roman" w:hAnsi="Times New Roman"/>
          <w:sz w:val="24"/>
          <w:szCs w:val="24"/>
        </w:rPr>
        <w:t xml:space="preserve"> </w:t>
      </w:r>
      <w:r w:rsidRPr="00FB5A28">
        <w:rPr>
          <w:rFonts w:ascii="Times New Roman" w:hAnsi="Times New Roman"/>
          <w:sz w:val="24"/>
          <w:szCs w:val="24"/>
        </w:rPr>
        <w:t>у</w:t>
      </w:r>
      <w:r w:rsidRPr="00FB5A28">
        <w:rPr>
          <w:rFonts w:ascii="Times New Roman" w:hAnsi="Times New Roman"/>
          <w:sz w:val="24"/>
          <w:szCs w:val="24"/>
          <w:lang w:val="sr-Cyrl-CS"/>
        </w:rPr>
        <w:t xml:space="preserve"> </w:t>
      </w:r>
      <w:r w:rsidRPr="00FB5A28">
        <w:rPr>
          <w:rFonts w:ascii="Times New Roman" w:hAnsi="Times New Roman"/>
          <w:sz w:val="24"/>
          <w:szCs w:val="24"/>
        </w:rPr>
        <w:t>суду</w:t>
      </w:r>
      <w:r w:rsidR="00795BD7" w:rsidRPr="00FB5A28">
        <w:rPr>
          <w:rFonts w:ascii="Times New Roman" w:hAnsi="Times New Roman"/>
          <w:sz w:val="24"/>
          <w:szCs w:val="24"/>
        </w:rPr>
        <w:t xml:space="preserve">, </w:t>
      </w:r>
      <w:r w:rsidRPr="00FB5A28">
        <w:rPr>
          <w:rFonts w:ascii="Times New Roman" w:hAnsi="Times New Roman"/>
          <w:sz w:val="24"/>
          <w:szCs w:val="24"/>
        </w:rPr>
        <w:t>органу</w:t>
      </w:r>
      <w:r w:rsidR="00795BD7" w:rsidRPr="00FB5A28">
        <w:rPr>
          <w:rFonts w:ascii="Times New Roman" w:hAnsi="Times New Roman"/>
          <w:sz w:val="24"/>
          <w:szCs w:val="24"/>
        </w:rPr>
        <w:t xml:space="preserve"> </w:t>
      </w:r>
      <w:r w:rsidRPr="00FB5A28">
        <w:rPr>
          <w:rFonts w:ascii="Times New Roman" w:hAnsi="Times New Roman"/>
          <w:sz w:val="24"/>
          <w:szCs w:val="24"/>
        </w:rPr>
        <w:t>јединице</w:t>
      </w:r>
      <w:r w:rsidR="00795BD7" w:rsidRPr="00FB5A28">
        <w:rPr>
          <w:rFonts w:ascii="Times New Roman" w:hAnsi="Times New Roman"/>
          <w:sz w:val="24"/>
          <w:szCs w:val="24"/>
        </w:rPr>
        <w:t xml:space="preserve"> </w:t>
      </w:r>
      <w:r w:rsidRPr="00FB5A28">
        <w:rPr>
          <w:rFonts w:ascii="Times New Roman" w:hAnsi="Times New Roman"/>
          <w:sz w:val="24"/>
          <w:szCs w:val="24"/>
        </w:rPr>
        <w:t>локалне</w:t>
      </w:r>
      <w:r w:rsidR="00795BD7" w:rsidRPr="00FB5A28">
        <w:rPr>
          <w:rFonts w:ascii="Times New Roman" w:hAnsi="Times New Roman"/>
          <w:sz w:val="24"/>
          <w:szCs w:val="24"/>
        </w:rPr>
        <w:t xml:space="preserve"> </w:t>
      </w:r>
      <w:r w:rsidRPr="00FB5A28">
        <w:rPr>
          <w:rFonts w:ascii="Times New Roman" w:hAnsi="Times New Roman"/>
          <w:sz w:val="24"/>
          <w:szCs w:val="24"/>
        </w:rPr>
        <w:t>самоуправе</w:t>
      </w:r>
      <w:r w:rsidR="00795BD7" w:rsidRPr="00FB5A28">
        <w:rPr>
          <w:rFonts w:ascii="Times New Roman" w:hAnsi="Times New Roman"/>
          <w:sz w:val="24"/>
          <w:szCs w:val="24"/>
        </w:rPr>
        <w:t xml:space="preserve">, </w:t>
      </w:r>
      <w:r w:rsidRPr="00FB5A28">
        <w:rPr>
          <w:rFonts w:ascii="Times New Roman" w:hAnsi="Times New Roman"/>
          <w:sz w:val="24"/>
          <w:szCs w:val="24"/>
        </w:rPr>
        <w:t>адвокатској</w:t>
      </w:r>
      <w:r w:rsidR="00795BD7" w:rsidRPr="00FB5A28">
        <w:rPr>
          <w:rFonts w:ascii="Times New Roman" w:hAnsi="Times New Roman"/>
          <w:sz w:val="24"/>
          <w:szCs w:val="24"/>
        </w:rPr>
        <w:t xml:space="preserve"> </w:t>
      </w:r>
      <w:r w:rsidRPr="00FB5A28">
        <w:rPr>
          <w:rFonts w:ascii="Times New Roman" w:hAnsi="Times New Roman"/>
          <w:sz w:val="24"/>
          <w:szCs w:val="24"/>
        </w:rPr>
        <w:t>комори</w:t>
      </w:r>
      <w:r w:rsidR="00795BD7" w:rsidRPr="00FB5A28">
        <w:rPr>
          <w:rFonts w:ascii="Times New Roman" w:hAnsi="Times New Roman"/>
          <w:sz w:val="24"/>
          <w:szCs w:val="24"/>
        </w:rPr>
        <w:t xml:space="preserve">, </w:t>
      </w:r>
      <w:r w:rsidRPr="00FB5A28">
        <w:rPr>
          <w:rFonts w:ascii="Times New Roman" w:hAnsi="Times New Roman"/>
          <w:sz w:val="24"/>
          <w:szCs w:val="24"/>
        </w:rPr>
        <w:t>професионалном</w:t>
      </w:r>
      <w:r w:rsidR="00795BD7" w:rsidRPr="00FB5A28">
        <w:rPr>
          <w:rFonts w:ascii="Times New Roman" w:hAnsi="Times New Roman"/>
          <w:sz w:val="24"/>
          <w:szCs w:val="24"/>
        </w:rPr>
        <w:t xml:space="preserve"> </w:t>
      </w:r>
      <w:r w:rsidRPr="00FB5A28">
        <w:rPr>
          <w:rFonts w:ascii="Times New Roman" w:hAnsi="Times New Roman"/>
          <w:sz w:val="24"/>
          <w:szCs w:val="24"/>
        </w:rPr>
        <w:t>удружењу</w:t>
      </w:r>
      <w:r w:rsidR="00795BD7" w:rsidRPr="00FB5A28">
        <w:rPr>
          <w:rFonts w:ascii="Times New Roman" w:hAnsi="Times New Roman"/>
          <w:sz w:val="24"/>
          <w:szCs w:val="24"/>
        </w:rPr>
        <w:t xml:space="preserve">, </w:t>
      </w:r>
      <w:r w:rsidRPr="00FB5A28">
        <w:rPr>
          <w:rFonts w:ascii="Times New Roman" w:hAnsi="Times New Roman"/>
          <w:sz w:val="24"/>
          <w:szCs w:val="24"/>
        </w:rPr>
        <w:t>као</w:t>
      </w:r>
      <w:r w:rsidR="00795BD7" w:rsidRPr="00FB5A28">
        <w:rPr>
          <w:rFonts w:ascii="Times New Roman" w:hAnsi="Times New Roman"/>
          <w:sz w:val="24"/>
          <w:szCs w:val="24"/>
        </w:rPr>
        <w:t xml:space="preserve"> </w:t>
      </w:r>
      <w:r w:rsidRPr="00FB5A28">
        <w:rPr>
          <w:rFonts w:ascii="Times New Roman" w:hAnsi="Times New Roman"/>
          <w:sz w:val="24"/>
          <w:szCs w:val="24"/>
        </w:rPr>
        <w:t>и</w:t>
      </w:r>
      <w:r w:rsidR="00795BD7" w:rsidRPr="00FB5A28">
        <w:rPr>
          <w:rFonts w:ascii="Times New Roman" w:hAnsi="Times New Roman"/>
          <w:sz w:val="24"/>
          <w:szCs w:val="24"/>
        </w:rPr>
        <w:t xml:space="preserve"> </w:t>
      </w:r>
      <w:r w:rsidRPr="00FB5A28">
        <w:rPr>
          <w:rFonts w:ascii="Times New Roman" w:hAnsi="Times New Roman"/>
          <w:sz w:val="24"/>
          <w:szCs w:val="24"/>
        </w:rPr>
        <w:t>другом</w:t>
      </w:r>
      <w:r w:rsidR="00795BD7" w:rsidRPr="00FB5A28">
        <w:rPr>
          <w:rFonts w:ascii="Times New Roman" w:hAnsi="Times New Roman"/>
          <w:sz w:val="24"/>
          <w:szCs w:val="24"/>
        </w:rPr>
        <w:t xml:space="preserve"> </w:t>
      </w:r>
      <w:r w:rsidRPr="00FB5A28">
        <w:rPr>
          <w:rFonts w:ascii="Times New Roman" w:hAnsi="Times New Roman"/>
          <w:sz w:val="24"/>
          <w:szCs w:val="24"/>
        </w:rPr>
        <w:t>органу</w:t>
      </w:r>
      <w:r w:rsidR="00795BD7" w:rsidRPr="00FB5A28">
        <w:rPr>
          <w:rFonts w:ascii="Times New Roman" w:hAnsi="Times New Roman"/>
          <w:sz w:val="24"/>
          <w:szCs w:val="24"/>
        </w:rPr>
        <w:t xml:space="preserve"> </w:t>
      </w:r>
      <w:r w:rsidRPr="00FB5A28">
        <w:rPr>
          <w:rFonts w:ascii="Times New Roman" w:hAnsi="Times New Roman"/>
          <w:sz w:val="24"/>
          <w:szCs w:val="24"/>
        </w:rPr>
        <w:t>или</w:t>
      </w:r>
      <w:r w:rsidR="00795BD7" w:rsidRPr="00FB5A28">
        <w:rPr>
          <w:rFonts w:ascii="Times New Roman" w:hAnsi="Times New Roman"/>
          <w:sz w:val="24"/>
          <w:szCs w:val="24"/>
        </w:rPr>
        <w:t xml:space="preserve"> </w:t>
      </w:r>
      <w:r w:rsidRPr="00FB5A28">
        <w:rPr>
          <w:rFonts w:ascii="Times New Roman" w:hAnsi="Times New Roman"/>
          <w:sz w:val="24"/>
          <w:szCs w:val="24"/>
        </w:rPr>
        <w:t>организацији</w:t>
      </w:r>
      <w:r w:rsidR="00795BD7" w:rsidRPr="00FB5A28">
        <w:rPr>
          <w:rFonts w:ascii="Times New Roman" w:hAnsi="Times New Roman"/>
          <w:sz w:val="24"/>
          <w:szCs w:val="24"/>
        </w:rPr>
        <w:t xml:space="preserve"> </w:t>
      </w:r>
      <w:r w:rsidRPr="00FB5A28">
        <w:rPr>
          <w:rFonts w:ascii="Times New Roman" w:hAnsi="Times New Roman"/>
          <w:sz w:val="24"/>
          <w:szCs w:val="24"/>
        </w:rPr>
        <w:t>надлежној</w:t>
      </w:r>
      <w:r w:rsidR="00795BD7" w:rsidRPr="00FB5A28">
        <w:rPr>
          <w:rFonts w:ascii="Times New Roman" w:hAnsi="Times New Roman"/>
          <w:sz w:val="24"/>
          <w:szCs w:val="24"/>
        </w:rPr>
        <w:t xml:space="preserve"> </w:t>
      </w:r>
      <w:r w:rsidRPr="00FB5A28">
        <w:rPr>
          <w:rFonts w:ascii="Times New Roman" w:hAnsi="Times New Roman"/>
          <w:sz w:val="24"/>
          <w:szCs w:val="24"/>
        </w:rPr>
        <w:t>за</w:t>
      </w:r>
      <w:r w:rsidR="00795BD7" w:rsidRPr="00FB5A28">
        <w:rPr>
          <w:rFonts w:ascii="Times New Roman" w:hAnsi="Times New Roman"/>
          <w:sz w:val="24"/>
          <w:szCs w:val="24"/>
        </w:rPr>
        <w:t xml:space="preserve"> </w:t>
      </w:r>
      <w:r w:rsidRPr="00FB5A28">
        <w:rPr>
          <w:rFonts w:ascii="Times New Roman" w:hAnsi="Times New Roman"/>
          <w:sz w:val="24"/>
          <w:szCs w:val="24"/>
        </w:rPr>
        <w:t>упис</w:t>
      </w:r>
      <w:r w:rsidR="00795BD7" w:rsidRPr="00FB5A28">
        <w:rPr>
          <w:rFonts w:ascii="Times New Roman" w:hAnsi="Times New Roman"/>
          <w:sz w:val="24"/>
          <w:szCs w:val="24"/>
        </w:rPr>
        <w:t xml:space="preserve"> </w:t>
      </w:r>
      <w:r w:rsidRPr="00FB5A28">
        <w:rPr>
          <w:rFonts w:ascii="Times New Roman" w:hAnsi="Times New Roman"/>
          <w:sz w:val="24"/>
          <w:szCs w:val="24"/>
        </w:rPr>
        <w:t>у</w:t>
      </w:r>
      <w:r w:rsidR="00795BD7" w:rsidRPr="00FB5A28">
        <w:rPr>
          <w:rFonts w:ascii="Times New Roman" w:hAnsi="Times New Roman"/>
          <w:sz w:val="24"/>
          <w:szCs w:val="24"/>
        </w:rPr>
        <w:t xml:space="preserve"> </w:t>
      </w:r>
      <w:r w:rsidRPr="00FB5A28">
        <w:rPr>
          <w:rFonts w:ascii="Times New Roman" w:hAnsi="Times New Roman"/>
          <w:sz w:val="24"/>
          <w:szCs w:val="24"/>
        </w:rPr>
        <w:t>регистар</w:t>
      </w:r>
      <w:r w:rsidR="00795BD7" w:rsidRPr="00FB5A28">
        <w:rPr>
          <w:rFonts w:ascii="Times New Roman" w:hAnsi="Times New Roman"/>
          <w:sz w:val="24"/>
          <w:szCs w:val="24"/>
        </w:rPr>
        <w:t xml:space="preserve">, </w:t>
      </w:r>
      <w:r w:rsidRPr="00FB5A28">
        <w:rPr>
          <w:rFonts w:ascii="Times New Roman" w:hAnsi="Times New Roman"/>
          <w:sz w:val="24"/>
          <w:szCs w:val="24"/>
        </w:rPr>
        <w:t>ако</w:t>
      </w:r>
      <w:r w:rsidR="00795BD7" w:rsidRPr="00FB5A28">
        <w:rPr>
          <w:rFonts w:ascii="Times New Roman" w:hAnsi="Times New Roman"/>
          <w:sz w:val="24"/>
          <w:szCs w:val="24"/>
        </w:rPr>
        <w:t xml:space="preserve"> </w:t>
      </w:r>
      <w:r w:rsidRPr="00FB5A28">
        <w:rPr>
          <w:rFonts w:ascii="Times New Roman" w:hAnsi="Times New Roman"/>
          <w:sz w:val="24"/>
          <w:szCs w:val="24"/>
        </w:rPr>
        <w:t>без</w:t>
      </w:r>
      <w:r w:rsidR="00795BD7" w:rsidRPr="00FB5A28">
        <w:rPr>
          <w:rFonts w:ascii="Times New Roman" w:hAnsi="Times New Roman"/>
          <w:sz w:val="24"/>
          <w:szCs w:val="24"/>
        </w:rPr>
        <w:t xml:space="preserve"> </w:t>
      </w:r>
      <w:r w:rsidRPr="00FB5A28">
        <w:rPr>
          <w:rFonts w:ascii="Times New Roman" w:hAnsi="Times New Roman"/>
          <w:sz w:val="24"/>
          <w:szCs w:val="24"/>
        </w:rPr>
        <w:t>потврде</w:t>
      </w:r>
      <w:r w:rsidR="00512389" w:rsidRPr="00FB5A28">
        <w:rPr>
          <w:rFonts w:ascii="Times New Roman" w:hAnsi="Times New Roman"/>
          <w:sz w:val="24"/>
          <w:szCs w:val="24"/>
        </w:rPr>
        <w:t xml:space="preserve"> </w:t>
      </w:r>
      <w:r w:rsidR="00512389" w:rsidRPr="00FB5A28">
        <w:rPr>
          <w:rFonts w:ascii="Times New Roman" w:hAnsi="Times New Roman"/>
          <w:sz w:val="24"/>
          <w:szCs w:val="24"/>
          <w:lang w:val="sr-Cyrl-CS"/>
        </w:rPr>
        <w:t>н</w:t>
      </w:r>
      <w:r w:rsidRPr="00FB5A28">
        <w:rPr>
          <w:rFonts w:ascii="Times New Roman" w:hAnsi="Times New Roman"/>
          <w:sz w:val="24"/>
          <w:szCs w:val="24"/>
        </w:rPr>
        <w:t>адлежн</w:t>
      </w:r>
      <w:r w:rsidR="00512389" w:rsidRPr="00FB5A28">
        <w:rPr>
          <w:rFonts w:ascii="Times New Roman" w:hAnsi="Times New Roman"/>
          <w:sz w:val="24"/>
          <w:szCs w:val="24"/>
          <w:lang w:val="sr-Cyrl-CS"/>
        </w:rPr>
        <w:t>ог</w:t>
      </w:r>
      <w:r w:rsidR="00512389" w:rsidRPr="00FB5A28">
        <w:rPr>
          <w:rFonts w:ascii="Times New Roman" w:hAnsi="Times New Roman"/>
          <w:sz w:val="24"/>
          <w:szCs w:val="24"/>
        </w:rPr>
        <w:t xml:space="preserve"> </w:t>
      </w:r>
      <w:r w:rsidRPr="00FB5A28">
        <w:rPr>
          <w:rFonts w:ascii="Times New Roman" w:hAnsi="Times New Roman"/>
          <w:sz w:val="24"/>
          <w:szCs w:val="24"/>
        </w:rPr>
        <w:t>пореск</w:t>
      </w:r>
      <w:r w:rsidR="00512389" w:rsidRPr="00FB5A28">
        <w:rPr>
          <w:rFonts w:ascii="Times New Roman" w:hAnsi="Times New Roman"/>
          <w:sz w:val="24"/>
          <w:szCs w:val="24"/>
          <w:lang w:val="sr-Cyrl-CS"/>
        </w:rPr>
        <w:t>ог</w:t>
      </w:r>
      <w:r w:rsidR="00512389" w:rsidRPr="00FB5A28">
        <w:rPr>
          <w:rFonts w:ascii="Times New Roman" w:hAnsi="Times New Roman"/>
          <w:sz w:val="24"/>
          <w:szCs w:val="24"/>
        </w:rPr>
        <w:t xml:space="preserve"> </w:t>
      </w:r>
      <w:r w:rsidRPr="00FB5A28">
        <w:rPr>
          <w:rFonts w:ascii="Times New Roman" w:hAnsi="Times New Roman"/>
          <w:sz w:val="24"/>
          <w:szCs w:val="24"/>
        </w:rPr>
        <w:t>орган</w:t>
      </w:r>
      <w:r w:rsidR="00512389" w:rsidRPr="00FB5A28">
        <w:rPr>
          <w:rFonts w:ascii="Times New Roman" w:hAnsi="Times New Roman"/>
          <w:sz w:val="24"/>
          <w:szCs w:val="24"/>
          <w:lang w:val="sr-Cyrl-CS"/>
        </w:rPr>
        <w:t xml:space="preserve">а </w:t>
      </w:r>
      <w:r w:rsidRPr="00FB5A28">
        <w:rPr>
          <w:rFonts w:ascii="Times New Roman" w:hAnsi="Times New Roman"/>
          <w:sz w:val="24"/>
          <w:szCs w:val="24"/>
        </w:rPr>
        <w:t>о</w:t>
      </w:r>
      <w:r w:rsidR="00512389" w:rsidRPr="00FB5A28">
        <w:rPr>
          <w:rFonts w:ascii="Times New Roman" w:hAnsi="Times New Roman"/>
          <w:sz w:val="24"/>
          <w:szCs w:val="24"/>
        </w:rPr>
        <w:t xml:space="preserve"> </w:t>
      </w:r>
      <w:r w:rsidRPr="00FB5A28">
        <w:rPr>
          <w:rFonts w:ascii="Times New Roman" w:hAnsi="Times New Roman"/>
          <w:sz w:val="24"/>
          <w:szCs w:val="24"/>
        </w:rPr>
        <w:t>брисању</w:t>
      </w:r>
      <w:r w:rsidR="00512389" w:rsidRPr="00FB5A28">
        <w:rPr>
          <w:rFonts w:ascii="Times New Roman" w:hAnsi="Times New Roman"/>
          <w:sz w:val="24"/>
          <w:szCs w:val="24"/>
        </w:rPr>
        <w:t xml:space="preserve"> </w:t>
      </w:r>
      <w:r w:rsidRPr="00FB5A28">
        <w:rPr>
          <w:rFonts w:ascii="Times New Roman" w:hAnsi="Times New Roman"/>
          <w:sz w:val="24"/>
          <w:szCs w:val="24"/>
        </w:rPr>
        <w:t>из</w:t>
      </w:r>
      <w:r w:rsidR="00512389" w:rsidRPr="00FB5A28">
        <w:rPr>
          <w:rFonts w:ascii="Times New Roman" w:hAnsi="Times New Roman"/>
          <w:sz w:val="24"/>
          <w:szCs w:val="24"/>
        </w:rPr>
        <w:t xml:space="preserve"> </w:t>
      </w:r>
      <w:r w:rsidRPr="00FB5A28">
        <w:rPr>
          <w:rFonts w:ascii="Times New Roman" w:hAnsi="Times New Roman"/>
          <w:sz w:val="24"/>
          <w:szCs w:val="24"/>
        </w:rPr>
        <w:t>евиденције</w:t>
      </w:r>
      <w:r w:rsidR="00512389" w:rsidRPr="00FB5A28">
        <w:rPr>
          <w:rFonts w:ascii="Times New Roman" w:hAnsi="Times New Roman"/>
          <w:sz w:val="24"/>
          <w:szCs w:val="24"/>
        </w:rPr>
        <w:t xml:space="preserve"> </w:t>
      </w:r>
      <w:r w:rsidRPr="00FB5A28">
        <w:rPr>
          <w:rFonts w:ascii="Times New Roman" w:hAnsi="Times New Roman"/>
          <w:sz w:val="24"/>
          <w:szCs w:val="24"/>
        </w:rPr>
        <w:t>за</w:t>
      </w:r>
      <w:r w:rsidR="00512389" w:rsidRPr="00FB5A28">
        <w:rPr>
          <w:rFonts w:ascii="Times New Roman" w:hAnsi="Times New Roman"/>
          <w:sz w:val="24"/>
          <w:szCs w:val="24"/>
        </w:rPr>
        <w:t xml:space="preserve"> </w:t>
      </w:r>
      <w:r w:rsidRPr="00FB5A28">
        <w:rPr>
          <w:rFonts w:ascii="Times New Roman" w:hAnsi="Times New Roman"/>
          <w:sz w:val="24"/>
          <w:szCs w:val="24"/>
        </w:rPr>
        <w:t>ПДВ</w:t>
      </w:r>
      <w:r w:rsidR="00512389" w:rsidRPr="00FB5A28">
        <w:rPr>
          <w:rFonts w:ascii="Times New Roman" w:hAnsi="Times New Roman"/>
          <w:sz w:val="24"/>
          <w:szCs w:val="24"/>
          <w:lang w:val="sr-Cyrl-CS"/>
        </w:rPr>
        <w:t xml:space="preserve"> </w:t>
      </w:r>
      <w:r w:rsidRPr="00FB5A28">
        <w:rPr>
          <w:rFonts w:ascii="Times New Roman" w:hAnsi="Times New Roman"/>
          <w:sz w:val="24"/>
          <w:szCs w:val="24"/>
        </w:rPr>
        <w:t>изврши</w:t>
      </w:r>
      <w:r w:rsidR="00795BD7" w:rsidRPr="00FB5A28">
        <w:rPr>
          <w:rFonts w:ascii="Times New Roman" w:hAnsi="Times New Roman"/>
          <w:sz w:val="24"/>
          <w:szCs w:val="24"/>
        </w:rPr>
        <w:t xml:space="preserve"> </w:t>
      </w:r>
      <w:r w:rsidRPr="00FB5A28">
        <w:rPr>
          <w:rFonts w:ascii="Times New Roman" w:hAnsi="Times New Roman"/>
          <w:sz w:val="24"/>
          <w:szCs w:val="24"/>
        </w:rPr>
        <w:t>брисање</w:t>
      </w:r>
      <w:r w:rsidR="00795BD7" w:rsidRPr="00FB5A28">
        <w:rPr>
          <w:rFonts w:ascii="Times New Roman" w:hAnsi="Times New Roman"/>
          <w:sz w:val="24"/>
          <w:szCs w:val="24"/>
        </w:rPr>
        <w:t xml:space="preserve"> </w:t>
      </w:r>
      <w:r w:rsidRPr="00FB5A28">
        <w:rPr>
          <w:rFonts w:ascii="Times New Roman" w:hAnsi="Times New Roman"/>
          <w:sz w:val="24"/>
          <w:szCs w:val="24"/>
        </w:rPr>
        <w:t>обвезника</w:t>
      </w:r>
      <w:r w:rsidR="00795BD7" w:rsidRPr="00FB5A28">
        <w:rPr>
          <w:rFonts w:ascii="Times New Roman" w:hAnsi="Times New Roman"/>
          <w:sz w:val="24"/>
          <w:szCs w:val="24"/>
        </w:rPr>
        <w:t xml:space="preserve"> </w:t>
      </w:r>
      <w:r w:rsidRPr="00FB5A28">
        <w:rPr>
          <w:rFonts w:ascii="Times New Roman" w:hAnsi="Times New Roman"/>
          <w:sz w:val="24"/>
          <w:szCs w:val="24"/>
        </w:rPr>
        <w:t>из</w:t>
      </w:r>
      <w:r w:rsidR="00795BD7" w:rsidRPr="00FB5A28">
        <w:rPr>
          <w:rFonts w:ascii="Times New Roman" w:hAnsi="Times New Roman"/>
          <w:sz w:val="24"/>
          <w:szCs w:val="24"/>
        </w:rPr>
        <w:t xml:space="preserve"> </w:t>
      </w:r>
      <w:r w:rsidRPr="00FB5A28">
        <w:rPr>
          <w:rFonts w:ascii="Times New Roman" w:hAnsi="Times New Roman"/>
          <w:sz w:val="24"/>
          <w:szCs w:val="24"/>
        </w:rPr>
        <w:t>регистра</w:t>
      </w:r>
      <w:r w:rsidR="00795BD7" w:rsidRPr="00FB5A28">
        <w:rPr>
          <w:rFonts w:ascii="Times New Roman" w:hAnsi="Times New Roman"/>
          <w:sz w:val="24"/>
          <w:szCs w:val="24"/>
        </w:rPr>
        <w:t>.</w:t>
      </w:r>
      <w:r w:rsidR="00512389" w:rsidRPr="00FB5A28">
        <w:rPr>
          <w:rFonts w:ascii="Times New Roman" w:hAnsi="Times New Roman"/>
          <w:sz w:val="24"/>
          <w:szCs w:val="24"/>
          <w:lang w:val="sr-Cyrl-CS"/>
        </w:rPr>
        <w:t xml:space="preserve">  </w:t>
      </w:r>
    </w:p>
    <w:p w:rsidR="00795BD7" w:rsidRPr="00FB5A28" w:rsidRDefault="00F631DC" w:rsidP="00FB5A28">
      <w:pPr>
        <w:ind w:firstLine="708"/>
        <w:jc w:val="both"/>
        <w:rPr>
          <w:rFonts w:ascii="Times New Roman" w:hAnsi="Times New Roman"/>
          <w:sz w:val="24"/>
          <w:szCs w:val="24"/>
          <w:lang w:val="sr-Cyrl-CS"/>
        </w:rPr>
      </w:pPr>
      <w:bookmarkStart w:id="19" w:name="clan_60a"/>
      <w:bookmarkEnd w:id="19"/>
      <w:r w:rsidRPr="00FB5A28">
        <w:rPr>
          <w:rFonts w:ascii="Times New Roman" w:hAnsi="Times New Roman"/>
          <w:sz w:val="24"/>
          <w:szCs w:val="24"/>
        </w:rPr>
        <w:t>Новчаном</w:t>
      </w:r>
      <w:r w:rsidR="00795BD7" w:rsidRPr="00FB5A28">
        <w:rPr>
          <w:rFonts w:ascii="Times New Roman" w:hAnsi="Times New Roman"/>
          <w:sz w:val="24"/>
          <w:szCs w:val="24"/>
        </w:rPr>
        <w:t xml:space="preserve"> </w:t>
      </w:r>
      <w:r w:rsidRPr="00FB5A28">
        <w:rPr>
          <w:rFonts w:ascii="Times New Roman" w:hAnsi="Times New Roman"/>
          <w:sz w:val="24"/>
          <w:szCs w:val="24"/>
        </w:rPr>
        <w:t>казном</w:t>
      </w:r>
      <w:r w:rsidR="00795BD7" w:rsidRPr="00FB5A28">
        <w:rPr>
          <w:rFonts w:ascii="Times New Roman" w:hAnsi="Times New Roman"/>
          <w:sz w:val="24"/>
          <w:szCs w:val="24"/>
        </w:rPr>
        <w:t xml:space="preserve"> </w:t>
      </w:r>
      <w:r w:rsidRPr="00FB5A28">
        <w:rPr>
          <w:rFonts w:ascii="Times New Roman" w:hAnsi="Times New Roman"/>
          <w:sz w:val="24"/>
          <w:szCs w:val="24"/>
        </w:rPr>
        <w:t>од</w:t>
      </w:r>
      <w:r w:rsidR="00795BD7" w:rsidRPr="00FB5A28">
        <w:rPr>
          <w:rFonts w:ascii="Times New Roman" w:hAnsi="Times New Roman"/>
          <w:sz w:val="24"/>
          <w:szCs w:val="24"/>
        </w:rPr>
        <w:t xml:space="preserve"> 100.000 </w:t>
      </w:r>
      <w:r w:rsidRPr="00FB5A28">
        <w:rPr>
          <w:rFonts w:ascii="Times New Roman" w:hAnsi="Times New Roman"/>
          <w:sz w:val="24"/>
          <w:szCs w:val="24"/>
        </w:rPr>
        <w:t>до</w:t>
      </w:r>
      <w:r w:rsidR="00795BD7" w:rsidRPr="00FB5A28">
        <w:rPr>
          <w:rFonts w:ascii="Times New Roman" w:hAnsi="Times New Roman"/>
          <w:sz w:val="24"/>
          <w:szCs w:val="24"/>
        </w:rPr>
        <w:t xml:space="preserve"> 1.000.000 </w:t>
      </w:r>
      <w:r w:rsidRPr="00FB5A28">
        <w:rPr>
          <w:rFonts w:ascii="Times New Roman" w:hAnsi="Times New Roman"/>
          <w:sz w:val="24"/>
          <w:szCs w:val="24"/>
        </w:rPr>
        <w:t>динара</w:t>
      </w:r>
      <w:r w:rsidR="00795BD7" w:rsidRPr="00FB5A28">
        <w:rPr>
          <w:rFonts w:ascii="Times New Roman" w:hAnsi="Times New Roman"/>
          <w:sz w:val="24"/>
          <w:szCs w:val="24"/>
        </w:rPr>
        <w:t xml:space="preserve"> </w:t>
      </w:r>
      <w:r w:rsidRPr="00FB5A28">
        <w:rPr>
          <w:rFonts w:ascii="Times New Roman" w:hAnsi="Times New Roman"/>
          <w:sz w:val="24"/>
          <w:szCs w:val="24"/>
        </w:rPr>
        <w:t>казниће</w:t>
      </w:r>
      <w:r w:rsidR="00795BD7" w:rsidRPr="00FB5A28">
        <w:rPr>
          <w:rFonts w:ascii="Times New Roman" w:hAnsi="Times New Roman"/>
          <w:sz w:val="24"/>
          <w:szCs w:val="24"/>
        </w:rPr>
        <w:t xml:space="preserve"> </w:t>
      </w:r>
      <w:r w:rsidRPr="00FB5A28">
        <w:rPr>
          <w:rFonts w:ascii="Times New Roman" w:hAnsi="Times New Roman"/>
          <w:sz w:val="24"/>
          <w:szCs w:val="24"/>
        </w:rPr>
        <w:t>се</w:t>
      </w:r>
      <w:r w:rsidR="00795BD7" w:rsidRPr="00FB5A28">
        <w:rPr>
          <w:rFonts w:ascii="Times New Roman" w:hAnsi="Times New Roman"/>
          <w:sz w:val="24"/>
          <w:szCs w:val="24"/>
        </w:rPr>
        <w:t xml:space="preserve"> </w:t>
      </w:r>
      <w:r w:rsidRPr="00FB5A28">
        <w:rPr>
          <w:rFonts w:ascii="Times New Roman" w:hAnsi="Times New Roman"/>
          <w:sz w:val="24"/>
          <w:szCs w:val="24"/>
        </w:rPr>
        <w:t>за</w:t>
      </w:r>
      <w:r w:rsidR="00795BD7" w:rsidRPr="00FB5A28">
        <w:rPr>
          <w:rFonts w:ascii="Times New Roman" w:hAnsi="Times New Roman"/>
          <w:sz w:val="24"/>
          <w:szCs w:val="24"/>
        </w:rPr>
        <w:t xml:space="preserve"> </w:t>
      </w:r>
      <w:r w:rsidRPr="00FB5A28">
        <w:rPr>
          <w:rFonts w:ascii="Times New Roman" w:hAnsi="Times New Roman"/>
          <w:sz w:val="24"/>
          <w:szCs w:val="24"/>
        </w:rPr>
        <w:t>прекршај</w:t>
      </w:r>
      <w:r w:rsidR="00795BD7" w:rsidRPr="00FB5A28">
        <w:rPr>
          <w:rFonts w:ascii="Times New Roman" w:hAnsi="Times New Roman"/>
          <w:sz w:val="24"/>
          <w:szCs w:val="24"/>
        </w:rPr>
        <w:t xml:space="preserve"> </w:t>
      </w:r>
      <w:r w:rsidRPr="00FB5A28">
        <w:rPr>
          <w:rFonts w:ascii="Times New Roman" w:hAnsi="Times New Roman"/>
          <w:sz w:val="24"/>
          <w:szCs w:val="24"/>
        </w:rPr>
        <w:t>порески</w:t>
      </w:r>
      <w:r w:rsidR="00795BD7" w:rsidRPr="00FB5A28">
        <w:rPr>
          <w:rFonts w:ascii="Times New Roman" w:hAnsi="Times New Roman"/>
          <w:sz w:val="24"/>
          <w:szCs w:val="24"/>
        </w:rPr>
        <w:t xml:space="preserve"> </w:t>
      </w:r>
      <w:r w:rsidRPr="00FB5A28">
        <w:rPr>
          <w:rFonts w:ascii="Times New Roman" w:hAnsi="Times New Roman"/>
          <w:sz w:val="24"/>
          <w:szCs w:val="24"/>
        </w:rPr>
        <w:t>дужник</w:t>
      </w:r>
      <w:r w:rsidR="00795BD7" w:rsidRPr="00FB5A28">
        <w:rPr>
          <w:rFonts w:ascii="Times New Roman" w:hAnsi="Times New Roman"/>
          <w:sz w:val="24"/>
          <w:szCs w:val="24"/>
        </w:rPr>
        <w:t xml:space="preserve"> - </w:t>
      </w:r>
      <w:r w:rsidRPr="00FB5A28">
        <w:rPr>
          <w:rFonts w:ascii="Times New Roman" w:hAnsi="Times New Roman"/>
          <w:sz w:val="24"/>
          <w:szCs w:val="24"/>
        </w:rPr>
        <w:t>правно</w:t>
      </w:r>
      <w:r w:rsidR="00795BD7" w:rsidRPr="00FB5A28">
        <w:rPr>
          <w:rFonts w:ascii="Times New Roman" w:hAnsi="Times New Roman"/>
          <w:sz w:val="24"/>
          <w:szCs w:val="24"/>
        </w:rPr>
        <w:t xml:space="preserve"> </w:t>
      </w:r>
      <w:r w:rsidRPr="00FB5A28">
        <w:rPr>
          <w:rFonts w:ascii="Times New Roman" w:hAnsi="Times New Roman"/>
          <w:sz w:val="24"/>
          <w:szCs w:val="24"/>
        </w:rPr>
        <w:t>лице</w:t>
      </w:r>
      <w:r w:rsidR="00795BD7" w:rsidRPr="00FB5A28">
        <w:rPr>
          <w:rFonts w:ascii="Times New Roman" w:hAnsi="Times New Roman"/>
          <w:sz w:val="24"/>
          <w:szCs w:val="24"/>
        </w:rPr>
        <w:t xml:space="preserve"> </w:t>
      </w:r>
      <w:r w:rsidRPr="00FB5A28">
        <w:rPr>
          <w:rFonts w:ascii="Times New Roman" w:hAnsi="Times New Roman"/>
          <w:sz w:val="24"/>
          <w:szCs w:val="24"/>
        </w:rPr>
        <w:t>које</w:t>
      </w:r>
      <w:r w:rsidR="00795BD7" w:rsidRPr="00FB5A28">
        <w:rPr>
          <w:rFonts w:ascii="Times New Roman" w:hAnsi="Times New Roman"/>
          <w:sz w:val="24"/>
          <w:szCs w:val="24"/>
        </w:rPr>
        <w:t xml:space="preserve"> </w:t>
      </w:r>
      <w:r w:rsidRPr="00FB5A28">
        <w:rPr>
          <w:rFonts w:ascii="Times New Roman" w:hAnsi="Times New Roman"/>
          <w:sz w:val="24"/>
          <w:szCs w:val="24"/>
        </w:rPr>
        <w:t>није</w:t>
      </w:r>
      <w:r w:rsidR="00795BD7" w:rsidRPr="00FB5A28">
        <w:rPr>
          <w:rFonts w:ascii="Times New Roman" w:hAnsi="Times New Roman"/>
          <w:sz w:val="24"/>
          <w:szCs w:val="24"/>
        </w:rPr>
        <w:t xml:space="preserve"> </w:t>
      </w:r>
      <w:r w:rsidRPr="00FB5A28">
        <w:rPr>
          <w:rFonts w:ascii="Times New Roman" w:hAnsi="Times New Roman"/>
          <w:sz w:val="24"/>
          <w:szCs w:val="24"/>
        </w:rPr>
        <w:t>обвезник</w:t>
      </w:r>
      <w:r w:rsidR="00795BD7" w:rsidRPr="00FB5A28">
        <w:rPr>
          <w:rFonts w:ascii="Times New Roman" w:hAnsi="Times New Roman"/>
          <w:sz w:val="24"/>
          <w:szCs w:val="24"/>
        </w:rPr>
        <w:t xml:space="preserve">, </w:t>
      </w:r>
      <w:r w:rsidRPr="00FB5A28">
        <w:rPr>
          <w:rFonts w:ascii="Times New Roman" w:hAnsi="Times New Roman"/>
          <w:sz w:val="24"/>
          <w:szCs w:val="24"/>
        </w:rPr>
        <w:t>ако</w:t>
      </w:r>
      <w:r w:rsidR="00795BD7" w:rsidRPr="00FB5A28">
        <w:rPr>
          <w:rFonts w:ascii="Times New Roman" w:hAnsi="Times New Roman"/>
          <w:sz w:val="24"/>
          <w:szCs w:val="24"/>
        </w:rPr>
        <w:t xml:space="preserve"> </w:t>
      </w:r>
      <w:r w:rsidRPr="00FB5A28">
        <w:rPr>
          <w:rFonts w:ascii="Times New Roman" w:hAnsi="Times New Roman"/>
          <w:sz w:val="24"/>
          <w:szCs w:val="24"/>
        </w:rPr>
        <w:t>не</w:t>
      </w:r>
      <w:r w:rsidR="00795BD7" w:rsidRPr="00FB5A28">
        <w:rPr>
          <w:rFonts w:ascii="Times New Roman" w:hAnsi="Times New Roman"/>
          <w:sz w:val="24"/>
          <w:szCs w:val="24"/>
        </w:rPr>
        <w:t xml:space="preserve"> </w:t>
      </w:r>
      <w:r w:rsidRPr="00FB5A28">
        <w:rPr>
          <w:rFonts w:ascii="Times New Roman" w:hAnsi="Times New Roman"/>
          <w:sz w:val="24"/>
          <w:szCs w:val="24"/>
        </w:rPr>
        <w:t>плати</w:t>
      </w:r>
      <w:r w:rsidR="00795BD7" w:rsidRPr="00FB5A28">
        <w:rPr>
          <w:rFonts w:ascii="Times New Roman" w:hAnsi="Times New Roman"/>
          <w:sz w:val="24"/>
          <w:szCs w:val="24"/>
        </w:rPr>
        <w:t xml:space="preserve"> </w:t>
      </w:r>
      <w:r w:rsidRPr="00FB5A28">
        <w:rPr>
          <w:rFonts w:ascii="Times New Roman" w:hAnsi="Times New Roman"/>
          <w:sz w:val="24"/>
          <w:szCs w:val="24"/>
        </w:rPr>
        <w:t>ПДВ</w:t>
      </w:r>
      <w:r w:rsidR="00795BD7" w:rsidRPr="00FB5A28">
        <w:rPr>
          <w:rFonts w:ascii="Times New Roman" w:hAnsi="Times New Roman"/>
          <w:sz w:val="24"/>
          <w:szCs w:val="24"/>
        </w:rPr>
        <w:t xml:space="preserve"> </w:t>
      </w:r>
      <w:r w:rsidRPr="00FB5A28">
        <w:rPr>
          <w:rFonts w:ascii="Times New Roman" w:hAnsi="Times New Roman"/>
          <w:sz w:val="24"/>
          <w:szCs w:val="24"/>
        </w:rPr>
        <w:t>у</w:t>
      </w:r>
      <w:r w:rsidR="00795BD7" w:rsidRPr="00FB5A28">
        <w:rPr>
          <w:rFonts w:ascii="Times New Roman" w:hAnsi="Times New Roman"/>
          <w:sz w:val="24"/>
          <w:szCs w:val="24"/>
        </w:rPr>
        <w:t xml:space="preserve"> </w:t>
      </w:r>
      <w:r w:rsidRPr="00FB5A28">
        <w:rPr>
          <w:rFonts w:ascii="Times New Roman" w:hAnsi="Times New Roman"/>
          <w:sz w:val="24"/>
          <w:szCs w:val="24"/>
        </w:rPr>
        <w:t>прописаном</w:t>
      </w:r>
      <w:r w:rsidR="00512389" w:rsidRPr="00FB5A28">
        <w:rPr>
          <w:rFonts w:ascii="Times New Roman" w:hAnsi="Times New Roman"/>
          <w:sz w:val="24"/>
          <w:szCs w:val="24"/>
        </w:rPr>
        <w:t xml:space="preserve"> </w:t>
      </w:r>
      <w:r w:rsidRPr="00FB5A28">
        <w:rPr>
          <w:rFonts w:ascii="Times New Roman" w:hAnsi="Times New Roman"/>
          <w:sz w:val="24"/>
          <w:szCs w:val="24"/>
        </w:rPr>
        <w:t>року</w:t>
      </w:r>
      <w:r w:rsidR="00512389" w:rsidRPr="00FB5A28">
        <w:rPr>
          <w:rFonts w:ascii="Times New Roman" w:hAnsi="Times New Roman"/>
          <w:sz w:val="24"/>
          <w:szCs w:val="24"/>
        </w:rPr>
        <w:t xml:space="preserve"> (</w:t>
      </w:r>
      <w:r w:rsidRPr="00FB5A28">
        <w:rPr>
          <w:rFonts w:ascii="Times New Roman" w:hAnsi="Times New Roman"/>
          <w:sz w:val="24"/>
          <w:szCs w:val="24"/>
        </w:rPr>
        <w:t>члан</w:t>
      </w:r>
      <w:r w:rsidR="00512389" w:rsidRPr="00FB5A28">
        <w:rPr>
          <w:rFonts w:ascii="Times New Roman" w:hAnsi="Times New Roman"/>
          <w:sz w:val="24"/>
          <w:szCs w:val="24"/>
        </w:rPr>
        <w:t xml:space="preserve"> 51. </w:t>
      </w:r>
      <w:r w:rsidRPr="00FB5A28">
        <w:rPr>
          <w:rFonts w:ascii="Times New Roman" w:hAnsi="Times New Roman"/>
          <w:sz w:val="24"/>
          <w:szCs w:val="24"/>
        </w:rPr>
        <w:t>став</w:t>
      </w:r>
      <w:r w:rsidR="00512389" w:rsidRPr="00FB5A28">
        <w:rPr>
          <w:rFonts w:ascii="Times New Roman" w:hAnsi="Times New Roman"/>
          <w:sz w:val="24"/>
          <w:szCs w:val="24"/>
        </w:rPr>
        <w:t xml:space="preserve"> 3)</w:t>
      </w:r>
      <w:r w:rsidR="00512389" w:rsidRPr="00FB5A28">
        <w:rPr>
          <w:rFonts w:ascii="Times New Roman" w:hAnsi="Times New Roman"/>
          <w:sz w:val="24"/>
          <w:szCs w:val="24"/>
          <w:lang w:val="sr-Cyrl-CS"/>
        </w:rPr>
        <w:t xml:space="preserve">, као и </w:t>
      </w:r>
      <w:r w:rsidRPr="00FB5A28">
        <w:rPr>
          <w:rFonts w:ascii="Times New Roman" w:hAnsi="Times New Roman"/>
          <w:sz w:val="24"/>
          <w:szCs w:val="24"/>
        </w:rPr>
        <w:t>одговорно</w:t>
      </w:r>
      <w:r w:rsidR="00795BD7" w:rsidRPr="00FB5A28">
        <w:rPr>
          <w:rFonts w:ascii="Times New Roman" w:hAnsi="Times New Roman"/>
          <w:sz w:val="24"/>
          <w:szCs w:val="24"/>
        </w:rPr>
        <w:t xml:space="preserve"> </w:t>
      </w:r>
      <w:r w:rsidRPr="00FB5A28">
        <w:rPr>
          <w:rFonts w:ascii="Times New Roman" w:hAnsi="Times New Roman"/>
          <w:sz w:val="24"/>
          <w:szCs w:val="24"/>
        </w:rPr>
        <w:t>лице</w:t>
      </w:r>
      <w:r w:rsidR="00795BD7" w:rsidRPr="00FB5A28">
        <w:rPr>
          <w:rFonts w:ascii="Times New Roman" w:hAnsi="Times New Roman"/>
          <w:sz w:val="24"/>
          <w:szCs w:val="24"/>
        </w:rPr>
        <w:t xml:space="preserve"> </w:t>
      </w:r>
      <w:r w:rsidRPr="00FB5A28">
        <w:rPr>
          <w:rFonts w:ascii="Times New Roman" w:hAnsi="Times New Roman"/>
          <w:sz w:val="24"/>
          <w:szCs w:val="24"/>
        </w:rPr>
        <w:t>у</w:t>
      </w:r>
      <w:r w:rsidR="00795BD7" w:rsidRPr="00FB5A28">
        <w:rPr>
          <w:rFonts w:ascii="Times New Roman" w:hAnsi="Times New Roman"/>
          <w:sz w:val="24"/>
          <w:szCs w:val="24"/>
        </w:rPr>
        <w:t xml:space="preserve"> </w:t>
      </w:r>
      <w:r w:rsidRPr="00FB5A28">
        <w:rPr>
          <w:rFonts w:ascii="Times New Roman" w:hAnsi="Times New Roman"/>
          <w:sz w:val="24"/>
          <w:szCs w:val="24"/>
        </w:rPr>
        <w:t>правном</w:t>
      </w:r>
      <w:r w:rsidR="00795BD7" w:rsidRPr="00FB5A28">
        <w:rPr>
          <w:rFonts w:ascii="Times New Roman" w:hAnsi="Times New Roman"/>
          <w:sz w:val="24"/>
          <w:szCs w:val="24"/>
        </w:rPr>
        <w:t xml:space="preserve"> </w:t>
      </w:r>
      <w:r w:rsidRPr="00FB5A28">
        <w:rPr>
          <w:rFonts w:ascii="Times New Roman" w:hAnsi="Times New Roman"/>
          <w:sz w:val="24"/>
          <w:szCs w:val="24"/>
        </w:rPr>
        <w:t>лицу</w:t>
      </w:r>
      <w:r w:rsidR="00795BD7" w:rsidRPr="00FB5A28">
        <w:rPr>
          <w:rFonts w:ascii="Times New Roman" w:hAnsi="Times New Roman"/>
          <w:sz w:val="24"/>
          <w:szCs w:val="24"/>
        </w:rPr>
        <w:t xml:space="preserve"> </w:t>
      </w:r>
      <w:r w:rsidRPr="00FB5A28">
        <w:rPr>
          <w:rFonts w:ascii="Times New Roman" w:hAnsi="Times New Roman"/>
          <w:sz w:val="24"/>
          <w:szCs w:val="24"/>
        </w:rPr>
        <w:t>новчаном</w:t>
      </w:r>
      <w:r w:rsidR="00795BD7" w:rsidRPr="00FB5A28">
        <w:rPr>
          <w:rFonts w:ascii="Times New Roman" w:hAnsi="Times New Roman"/>
          <w:sz w:val="24"/>
          <w:szCs w:val="24"/>
        </w:rPr>
        <w:t xml:space="preserve"> </w:t>
      </w:r>
      <w:r w:rsidRPr="00FB5A28">
        <w:rPr>
          <w:rFonts w:ascii="Times New Roman" w:hAnsi="Times New Roman"/>
          <w:sz w:val="24"/>
          <w:szCs w:val="24"/>
        </w:rPr>
        <w:t>казном</w:t>
      </w:r>
      <w:r w:rsidR="00512389" w:rsidRPr="00FB5A28">
        <w:rPr>
          <w:rFonts w:ascii="Times New Roman" w:hAnsi="Times New Roman"/>
          <w:sz w:val="24"/>
          <w:szCs w:val="24"/>
        </w:rPr>
        <w:t xml:space="preserve"> </w:t>
      </w:r>
      <w:r w:rsidRPr="00FB5A28">
        <w:rPr>
          <w:rFonts w:ascii="Times New Roman" w:hAnsi="Times New Roman"/>
          <w:sz w:val="24"/>
          <w:szCs w:val="24"/>
        </w:rPr>
        <w:t>од</w:t>
      </w:r>
      <w:r w:rsidR="00512389" w:rsidRPr="00FB5A28">
        <w:rPr>
          <w:rFonts w:ascii="Times New Roman" w:hAnsi="Times New Roman"/>
          <w:sz w:val="24"/>
          <w:szCs w:val="24"/>
        </w:rPr>
        <w:t xml:space="preserve"> 10.000 </w:t>
      </w:r>
      <w:r w:rsidRPr="00FB5A28">
        <w:rPr>
          <w:rFonts w:ascii="Times New Roman" w:hAnsi="Times New Roman"/>
          <w:sz w:val="24"/>
          <w:szCs w:val="24"/>
        </w:rPr>
        <w:t>до</w:t>
      </w:r>
      <w:r w:rsidR="00512389" w:rsidRPr="00FB5A28">
        <w:rPr>
          <w:rFonts w:ascii="Times New Roman" w:hAnsi="Times New Roman"/>
          <w:sz w:val="24"/>
          <w:szCs w:val="24"/>
        </w:rPr>
        <w:t xml:space="preserve"> 50.000 </w:t>
      </w:r>
      <w:r w:rsidRPr="00FB5A28">
        <w:rPr>
          <w:rFonts w:ascii="Times New Roman" w:hAnsi="Times New Roman"/>
          <w:sz w:val="24"/>
          <w:szCs w:val="24"/>
        </w:rPr>
        <w:t>динара</w:t>
      </w:r>
      <w:r w:rsidR="00512389" w:rsidRPr="00FB5A28">
        <w:rPr>
          <w:rFonts w:ascii="Times New Roman" w:hAnsi="Times New Roman"/>
          <w:sz w:val="24"/>
          <w:szCs w:val="24"/>
          <w:lang w:val="sr-Cyrl-CS"/>
        </w:rPr>
        <w:t xml:space="preserve">, док ће се </w:t>
      </w:r>
      <w:r w:rsidRPr="00FB5A28">
        <w:rPr>
          <w:rFonts w:ascii="Times New Roman" w:hAnsi="Times New Roman"/>
          <w:sz w:val="24"/>
          <w:szCs w:val="24"/>
        </w:rPr>
        <w:t>порески</w:t>
      </w:r>
      <w:r w:rsidR="00795BD7" w:rsidRPr="00FB5A28">
        <w:rPr>
          <w:rFonts w:ascii="Times New Roman" w:hAnsi="Times New Roman"/>
          <w:sz w:val="24"/>
          <w:szCs w:val="24"/>
        </w:rPr>
        <w:t xml:space="preserve"> </w:t>
      </w:r>
      <w:r w:rsidRPr="00FB5A28">
        <w:rPr>
          <w:rFonts w:ascii="Times New Roman" w:hAnsi="Times New Roman"/>
          <w:sz w:val="24"/>
          <w:szCs w:val="24"/>
        </w:rPr>
        <w:t>дужник</w:t>
      </w:r>
      <w:r w:rsidR="00795BD7" w:rsidRPr="00FB5A28">
        <w:rPr>
          <w:rFonts w:ascii="Times New Roman" w:hAnsi="Times New Roman"/>
          <w:sz w:val="24"/>
          <w:szCs w:val="24"/>
        </w:rPr>
        <w:t xml:space="preserve"> - </w:t>
      </w:r>
      <w:r w:rsidRPr="00FB5A28">
        <w:rPr>
          <w:rFonts w:ascii="Times New Roman" w:hAnsi="Times New Roman"/>
          <w:sz w:val="24"/>
          <w:szCs w:val="24"/>
        </w:rPr>
        <w:t>предузетник</w:t>
      </w:r>
      <w:r w:rsidR="00795BD7" w:rsidRPr="00FB5A28">
        <w:rPr>
          <w:rFonts w:ascii="Times New Roman" w:hAnsi="Times New Roman"/>
          <w:sz w:val="24"/>
          <w:szCs w:val="24"/>
        </w:rPr>
        <w:t xml:space="preserve"> </w:t>
      </w:r>
      <w:r w:rsidRPr="00FB5A28">
        <w:rPr>
          <w:rFonts w:ascii="Times New Roman" w:hAnsi="Times New Roman"/>
          <w:sz w:val="24"/>
          <w:szCs w:val="24"/>
        </w:rPr>
        <w:t>који</w:t>
      </w:r>
      <w:r w:rsidR="00795BD7" w:rsidRPr="00FB5A28">
        <w:rPr>
          <w:rFonts w:ascii="Times New Roman" w:hAnsi="Times New Roman"/>
          <w:sz w:val="24"/>
          <w:szCs w:val="24"/>
        </w:rPr>
        <w:t xml:space="preserve"> </w:t>
      </w:r>
      <w:r w:rsidRPr="00FB5A28">
        <w:rPr>
          <w:rFonts w:ascii="Times New Roman" w:hAnsi="Times New Roman"/>
          <w:sz w:val="24"/>
          <w:szCs w:val="24"/>
        </w:rPr>
        <w:t>није</w:t>
      </w:r>
      <w:r w:rsidR="00795BD7" w:rsidRPr="00FB5A28">
        <w:rPr>
          <w:rFonts w:ascii="Times New Roman" w:hAnsi="Times New Roman"/>
          <w:sz w:val="24"/>
          <w:szCs w:val="24"/>
        </w:rPr>
        <w:t xml:space="preserve"> </w:t>
      </w:r>
      <w:r w:rsidRPr="00FB5A28">
        <w:rPr>
          <w:rFonts w:ascii="Times New Roman" w:hAnsi="Times New Roman"/>
          <w:sz w:val="24"/>
          <w:szCs w:val="24"/>
        </w:rPr>
        <w:t>обвезник</w:t>
      </w:r>
      <w:r w:rsidR="00795BD7" w:rsidRPr="00FB5A28">
        <w:rPr>
          <w:rFonts w:ascii="Times New Roman" w:hAnsi="Times New Roman"/>
          <w:sz w:val="24"/>
          <w:szCs w:val="24"/>
        </w:rPr>
        <w:t xml:space="preserve"> </w:t>
      </w:r>
      <w:r w:rsidR="00512389" w:rsidRPr="00FB5A28">
        <w:rPr>
          <w:rFonts w:ascii="Times New Roman" w:hAnsi="Times New Roman"/>
          <w:sz w:val="24"/>
          <w:szCs w:val="24"/>
          <w:lang w:val="sr-Cyrl-CS"/>
        </w:rPr>
        <w:t xml:space="preserve">казнити </w:t>
      </w:r>
      <w:r w:rsidRPr="00FB5A28">
        <w:rPr>
          <w:rFonts w:ascii="Times New Roman" w:hAnsi="Times New Roman"/>
          <w:sz w:val="24"/>
          <w:szCs w:val="24"/>
        </w:rPr>
        <w:t>новчаном</w:t>
      </w:r>
      <w:r w:rsidR="00795BD7" w:rsidRPr="00FB5A28">
        <w:rPr>
          <w:rFonts w:ascii="Times New Roman" w:hAnsi="Times New Roman"/>
          <w:sz w:val="24"/>
          <w:szCs w:val="24"/>
        </w:rPr>
        <w:t xml:space="preserve"> </w:t>
      </w:r>
      <w:r w:rsidRPr="00FB5A28">
        <w:rPr>
          <w:rFonts w:ascii="Times New Roman" w:hAnsi="Times New Roman"/>
          <w:sz w:val="24"/>
          <w:szCs w:val="24"/>
        </w:rPr>
        <w:t>казном</w:t>
      </w:r>
      <w:r w:rsidR="00512389" w:rsidRPr="00FB5A28">
        <w:rPr>
          <w:rFonts w:ascii="Times New Roman" w:hAnsi="Times New Roman"/>
          <w:sz w:val="24"/>
          <w:szCs w:val="24"/>
        </w:rPr>
        <w:t xml:space="preserve"> </w:t>
      </w:r>
      <w:r w:rsidRPr="00FB5A28">
        <w:rPr>
          <w:rFonts w:ascii="Times New Roman" w:hAnsi="Times New Roman"/>
          <w:sz w:val="24"/>
          <w:szCs w:val="24"/>
        </w:rPr>
        <w:t>од</w:t>
      </w:r>
      <w:r w:rsidR="00512389" w:rsidRPr="00FB5A28">
        <w:rPr>
          <w:rFonts w:ascii="Times New Roman" w:hAnsi="Times New Roman"/>
          <w:sz w:val="24"/>
          <w:szCs w:val="24"/>
        </w:rPr>
        <w:t xml:space="preserve"> 12.500 </w:t>
      </w:r>
      <w:r w:rsidRPr="00FB5A28">
        <w:rPr>
          <w:rFonts w:ascii="Times New Roman" w:hAnsi="Times New Roman"/>
          <w:sz w:val="24"/>
          <w:szCs w:val="24"/>
        </w:rPr>
        <w:t>до</w:t>
      </w:r>
      <w:r w:rsidR="00512389" w:rsidRPr="00FB5A28">
        <w:rPr>
          <w:rFonts w:ascii="Times New Roman" w:hAnsi="Times New Roman"/>
          <w:sz w:val="24"/>
          <w:szCs w:val="24"/>
        </w:rPr>
        <w:t xml:space="preserve"> 500.000 </w:t>
      </w:r>
      <w:r w:rsidRPr="00FB5A28">
        <w:rPr>
          <w:rFonts w:ascii="Times New Roman" w:hAnsi="Times New Roman"/>
          <w:sz w:val="24"/>
          <w:szCs w:val="24"/>
        </w:rPr>
        <w:t>динара</w:t>
      </w:r>
      <w:r w:rsidR="00512389" w:rsidRPr="00FB5A28">
        <w:rPr>
          <w:rFonts w:ascii="Times New Roman" w:hAnsi="Times New Roman"/>
          <w:sz w:val="24"/>
          <w:szCs w:val="24"/>
          <w:lang w:val="sr-Cyrl-CS"/>
        </w:rPr>
        <w:t xml:space="preserve">, а </w:t>
      </w:r>
      <w:r w:rsidRPr="00FB5A28">
        <w:rPr>
          <w:rFonts w:ascii="Times New Roman" w:hAnsi="Times New Roman"/>
          <w:sz w:val="24"/>
          <w:szCs w:val="24"/>
        </w:rPr>
        <w:t>порески</w:t>
      </w:r>
      <w:r w:rsidR="00795BD7" w:rsidRPr="00FB5A28">
        <w:rPr>
          <w:rFonts w:ascii="Times New Roman" w:hAnsi="Times New Roman"/>
          <w:sz w:val="24"/>
          <w:szCs w:val="24"/>
        </w:rPr>
        <w:t xml:space="preserve"> </w:t>
      </w:r>
      <w:r w:rsidRPr="00FB5A28">
        <w:rPr>
          <w:rFonts w:ascii="Times New Roman" w:hAnsi="Times New Roman"/>
          <w:sz w:val="24"/>
          <w:szCs w:val="24"/>
        </w:rPr>
        <w:t>дужник</w:t>
      </w:r>
      <w:r w:rsidR="00795BD7" w:rsidRPr="00FB5A28">
        <w:rPr>
          <w:rFonts w:ascii="Times New Roman" w:hAnsi="Times New Roman"/>
          <w:sz w:val="24"/>
          <w:szCs w:val="24"/>
        </w:rPr>
        <w:t xml:space="preserve"> - </w:t>
      </w:r>
      <w:r w:rsidRPr="00FB5A28">
        <w:rPr>
          <w:rFonts w:ascii="Times New Roman" w:hAnsi="Times New Roman"/>
          <w:sz w:val="24"/>
          <w:szCs w:val="24"/>
        </w:rPr>
        <w:t>физичко</w:t>
      </w:r>
      <w:r w:rsidR="00795BD7" w:rsidRPr="00FB5A28">
        <w:rPr>
          <w:rFonts w:ascii="Times New Roman" w:hAnsi="Times New Roman"/>
          <w:sz w:val="24"/>
          <w:szCs w:val="24"/>
        </w:rPr>
        <w:t xml:space="preserve"> </w:t>
      </w:r>
      <w:r w:rsidRPr="00FB5A28">
        <w:rPr>
          <w:rFonts w:ascii="Times New Roman" w:hAnsi="Times New Roman"/>
          <w:sz w:val="24"/>
          <w:szCs w:val="24"/>
        </w:rPr>
        <w:t>лице</w:t>
      </w:r>
      <w:r w:rsidR="00795BD7" w:rsidRPr="00FB5A28">
        <w:rPr>
          <w:rFonts w:ascii="Times New Roman" w:hAnsi="Times New Roman"/>
          <w:sz w:val="24"/>
          <w:szCs w:val="24"/>
        </w:rPr>
        <w:t xml:space="preserve"> </w:t>
      </w:r>
      <w:r w:rsidRPr="00FB5A28">
        <w:rPr>
          <w:rFonts w:ascii="Times New Roman" w:hAnsi="Times New Roman"/>
          <w:sz w:val="24"/>
          <w:szCs w:val="24"/>
        </w:rPr>
        <w:t>које</w:t>
      </w:r>
      <w:r w:rsidR="00795BD7" w:rsidRPr="00FB5A28">
        <w:rPr>
          <w:rFonts w:ascii="Times New Roman" w:hAnsi="Times New Roman"/>
          <w:sz w:val="24"/>
          <w:szCs w:val="24"/>
        </w:rPr>
        <w:t xml:space="preserve"> </w:t>
      </w:r>
      <w:r w:rsidRPr="00FB5A28">
        <w:rPr>
          <w:rFonts w:ascii="Times New Roman" w:hAnsi="Times New Roman"/>
          <w:sz w:val="24"/>
          <w:szCs w:val="24"/>
        </w:rPr>
        <w:t>није</w:t>
      </w:r>
      <w:r w:rsidR="00795BD7" w:rsidRPr="00FB5A28">
        <w:rPr>
          <w:rFonts w:ascii="Times New Roman" w:hAnsi="Times New Roman"/>
          <w:sz w:val="24"/>
          <w:szCs w:val="24"/>
        </w:rPr>
        <w:t xml:space="preserve"> </w:t>
      </w:r>
      <w:r w:rsidRPr="00FB5A28">
        <w:rPr>
          <w:rFonts w:ascii="Times New Roman" w:hAnsi="Times New Roman"/>
          <w:sz w:val="24"/>
          <w:szCs w:val="24"/>
        </w:rPr>
        <w:t>обвезник</w:t>
      </w:r>
      <w:r w:rsidR="00795BD7" w:rsidRPr="00FB5A28">
        <w:rPr>
          <w:rFonts w:ascii="Times New Roman" w:hAnsi="Times New Roman"/>
          <w:sz w:val="24"/>
          <w:szCs w:val="24"/>
        </w:rPr>
        <w:t xml:space="preserve"> </w:t>
      </w:r>
      <w:r w:rsidR="00512389" w:rsidRPr="00FB5A28">
        <w:rPr>
          <w:rFonts w:ascii="Times New Roman" w:hAnsi="Times New Roman"/>
          <w:sz w:val="24"/>
          <w:szCs w:val="24"/>
          <w:lang w:val="sr-Cyrl-CS"/>
        </w:rPr>
        <w:t xml:space="preserve">ће се казнити </w:t>
      </w:r>
      <w:r w:rsidRPr="00FB5A28">
        <w:rPr>
          <w:rFonts w:ascii="Times New Roman" w:hAnsi="Times New Roman"/>
          <w:sz w:val="24"/>
          <w:szCs w:val="24"/>
        </w:rPr>
        <w:t>новчаном</w:t>
      </w:r>
      <w:r w:rsidR="00795BD7" w:rsidRPr="00FB5A28">
        <w:rPr>
          <w:rFonts w:ascii="Times New Roman" w:hAnsi="Times New Roman"/>
          <w:sz w:val="24"/>
          <w:szCs w:val="24"/>
        </w:rPr>
        <w:t xml:space="preserve"> </w:t>
      </w:r>
      <w:r w:rsidRPr="00FB5A28">
        <w:rPr>
          <w:rFonts w:ascii="Times New Roman" w:hAnsi="Times New Roman"/>
          <w:sz w:val="24"/>
          <w:szCs w:val="24"/>
        </w:rPr>
        <w:t>казном</w:t>
      </w:r>
      <w:r w:rsidR="00795BD7" w:rsidRPr="00FB5A28">
        <w:rPr>
          <w:rFonts w:ascii="Times New Roman" w:hAnsi="Times New Roman"/>
          <w:sz w:val="24"/>
          <w:szCs w:val="24"/>
        </w:rPr>
        <w:t xml:space="preserve"> </w:t>
      </w:r>
      <w:r w:rsidRPr="00FB5A28">
        <w:rPr>
          <w:rFonts w:ascii="Times New Roman" w:hAnsi="Times New Roman"/>
          <w:sz w:val="24"/>
          <w:szCs w:val="24"/>
        </w:rPr>
        <w:t>од</w:t>
      </w:r>
      <w:r w:rsidR="00795BD7" w:rsidRPr="00FB5A28">
        <w:rPr>
          <w:rFonts w:ascii="Times New Roman" w:hAnsi="Times New Roman"/>
          <w:sz w:val="24"/>
          <w:szCs w:val="24"/>
        </w:rPr>
        <w:t xml:space="preserve"> 5.000 </w:t>
      </w:r>
      <w:r w:rsidRPr="00FB5A28">
        <w:rPr>
          <w:rFonts w:ascii="Times New Roman" w:hAnsi="Times New Roman"/>
          <w:sz w:val="24"/>
          <w:szCs w:val="24"/>
        </w:rPr>
        <w:t>до</w:t>
      </w:r>
      <w:r w:rsidR="00795BD7" w:rsidRPr="00FB5A28">
        <w:rPr>
          <w:rFonts w:ascii="Times New Roman" w:hAnsi="Times New Roman"/>
          <w:sz w:val="24"/>
          <w:szCs w:val="24"/>
        </w:rPr>
        <w:t xml:space="preserve"> 50.000 </w:t>
      </w:r>
      <w:r w:rsidRPr="00FB5A28">
        <w:rPr>
          <w:rFonts w:ascii="Times New Roman" w:hAnsi="Times New Roman"/>
          <w:sz w:val="24"/>
          <w:szCs w:val="24"/>
        </w:rPr>
        <w:t>динара</w:t>
      </w:r>
      <w:r w:rsidR="00795BD7" w:rsidRPr="00FB5A28">
        <w:rPr>
          <w:rFonts w:ascii="Times New Roman" w:hAnsi="Times New Roman"/>
          <w:sz w:val="24"/>
          <w:szCs w:val="24"/>
        </w:rPr>
        <w:t>.</w:t>
      </w:r>
      <w:r w:rsidR="00512389" w:rsidRPr="00FB5A28">
        <w:rPr>
          <w:rStyle w:val="FootnoteReference"/>
          <w:rFonts w:ascii="Times New Roman" w:hAnsi="Times New Roman"/>
          <w:color w:val="000000"/>
          <w:sz w:val="24"/>
          <w:szCs w:val="24"/>
        </w:rPr>
        <w:footnoteReference w:id="427"/>
      </w:r>
    </w:p>
    <w:p w:rsidR="0021485F" w:rsidRPr="00D11E9B" w:rsidRDefault="0021485F" w:rsidP="00D11E9B">
      <w:pPr>
        <w:shd w:val="clear" w:color="auto" w:fill="FFFFFF"/>
        <w:spacing w:after="0" w:line="240" w:lineRule="auto"/>
        <w:jc w:val="both"/>
        <w:rPr>
          <w:rFonts w:ascii="Times New Roman" w:hAnsi="Times New Roman"/>
          <w:color w:val="636363"/>
          <w:sz w:val="20"/>
          <w:szCs w:val="20"/>
          <w:lang w:val="sr-Cyrl-CS"/>
        </w:rPr>
      </w:pPr>
    </w:p>
    <w:p w:rsidR="00A84570" w:rsidRDefault="00A84570" w:rsidP="00FF51AE">
      <w:pPr>
        <w:shd w:val="clear" w:color="auto" w:fill="FFFFFF"/>
        <w:spacing w:after="0" w:line="285" w:lineRule="atLeast"/>
        <w:ind w:left="1069"/>
        <w:rPr>
          <w:rFonts w:ascii="Arial" w:hAnsi="Arial" w:cs="Arial"/>
          <w:color w:val="000000"/>
          <w:sz w:val="24"/>
          <w:szCs w:val="24"/>
          <w:lang w:val="sr-Cyrl-CS"/>
        </w:rPr>
      </w:pPr>
    </w:p>
    <w:p w:rsidR="00FB5A28" w:rsidRDefault="00FB5A28" w:rsidP="00FF51AE">
      <w:pPr>
        <w:shd w:val="clear" w:color="auto" w:fill="FFFFFF"/>
        <w:spacing w:after="0" w:line="285" w:lineRule="atLeast"/>
        <w:ind w:left="1069"/>
        <w:rPr>
          <w:rFonts w:ascii="Arial" w:hAnsi="Arial" w:cs="Arial"/>
          <w:color w:val="000000"/>
          <w:sz w:val="24"/>
          <w:szCs w:val="24"/>
          <w:lang w:val="sr-Cyrl-CS"/>
        </w:rPr>
      </w:pPr>
    </w:p>
    <w:p w:rsidR="00FB5A28" w:rsidRDefault="00FB5A28" w:rsidP="00FF51AE">
      <w:pPr>
        <w:shd w:val="clear" w:color="auto" w:fill="FFFFFF"/>
        <w:spacing w:after="0" w:line="285" w:lineRule="atLeast"/>
        <w:ind w:left="1069"/>
        <w:rPr>
          <w:rFonts w:ascii="Arial" w:hAnsi="Arial" w:cs="Arial"/>
          <w:color w:val="000000"/>
          <w:sz w:val="24"/>
          <w:szCs w:val="24"/>
          <w:lang w:val="sr-Cyrl-CS"/>
        </w:rPr>
      </w:pPr>
    </w:p>
    <w:p w:rsidR="00FB5A28" w:rsidRDefault="00FB5A28" w:rsidP="00FF51AE">
      <w:pPr>
        <w:shd w:val="clear" w:color="auto" w:fill="FFFFFF"/>
        <w:spacing w:after="0" w:line="285" w:lineRule="atLeast"/>
        <w:ind w:left="1069"/>
        <w:rPr>
          <w:rFonts w:ascii="Arial" w:hAnsi="Arial" w:cs="Arial"/>
          <w:color w:val="000000"/>
          <w:sz w:val="24"/>
          <w:szCs w:val="24"/>
          <w:lang w:val="sr-Cyrl-CS"/>
        </w:rPr>
      </w:pPr>
    </w:p>
    <w:p w:rsidR="00FB5A28" w:rsidRDefault="00FB5A28" w:rsidP="00FF51AE">
      <w:pPr>
        <w:shd w:val="clear" w:color="auto" w:fill="FFFFFF"/>
        <w:spacing w:after="0" w:line="285" w:lineRule="atLeast"/>
        <w:ind w:left="1069"/>
        <w:rPr>
          <w:rFonts w:ascii="Arial" w:hAnsi="Arial" w:cs="Arial"/>
          <w:color w:val="000000"/>
          <w:sz w:val="24"/>
          <w:szCs w:val="24"/>
          <w:lang w:val="sr-Cyrl-CS"/>
        </w:rPr>
      </w:pPr>
    </w:p>
    <w:p w:rsidR="00FB5A28" w:rsidRDefault="00FB5A28" w:rsidP="00FF51AE">
      <w:pPr>
        <w:shd w:val="clear" w:color="auto" w:fill="FFFFFF"/>
        <w:spacing w:after="0" w:line="285" w:lineRule="atLeast"/>
        <w:ind w:left="1069"/>
        <w:rPr>
          <w:rFonts w:ascii="Arial" w:hAnsi="Arial" w:cs="Arial"/>
          <w:color w:val="000000"/>
          <w:sz w:val="24"/>
          <w:szCs w:val="24"/>
          <w:lang w:val="sr-Cyrl-CS"/>
        </w:rPr>
      </w:pPr>
    </w:p>
    <w:p w:rsidR="00FB5A28" w:rsidRDefault="00FB5A28" w:rsidP="00FF51AE">
      <w:pPr>
        <w:shd w:val="clear" w:color="auto" w:fill="FFFFFF"/>
        <w:spacing w:after="0" w:line="285" w:lineRule="atLeast"/>
        <w:ind w:left="1069"/>
        <w:rPr>
          <w:rFonts w:ascii="Arial" w:hAnsi="Arial" w:cs="Arial"/>
          <w:color w:val="000000"/>
          <w:sz w:val="24"/>
          <w:szCs w:val="24"/>
          <w:lang w:val="sr-Cyrl-CS"/>
        </w:rPr>
      </w:pPr>
    </w:p>
    <w:p w:rsidR="00FB5A28" w:rsidRDefault="00FB5A28" w:rsidP="00FF51AE">
      <w:pPr>
        <w:shd w:val="clear" w:color="auto" w:fill="FFFFFF"/>
        <w:spacing w:after="0" w:line="285" w:lineRule="atLeast"/>
        <w:ind w:left="1069"/>
        <w:rPr>
          <w:rFonts w:ascii="Arial" w:hAnsi="Arial" w:cs="Arial"/>
          <w:color w:val="000000"/>
          <w:sz w:val="24"/>
          <w:szCs w:val="24"/>
          <w:lang w:val="sr-Cyrl-CS"/>
        </w:rPr>
      </w:pPr>
    </w:p>
    <w:p w:rsidR="00FB5A28" w:rsidRDefault="00FB5A28" w:rsidP="00FF51AE">
      <w:pPr>
        <w:shd w:val="clear" w:color="auto" w:fill="FFFFFF"/>
        <w:spacing w:after="0" w:line="285" w:lineRule="atLeast"/>
        <w:ind w:left="1069"/>
        <w:rPr>
          <w:rFonts w:ascii="Arial" w:hAnsi="Arial" w:cs="Arial"/>
          <w:color w:val="000000"/>
          <w:sz w:val="24"/>
          <w:szCs w:val="24"/>
          <w:lang w:val="sr-Cyrl-CS"/>
        </w:rPr>
      </w:pPr>
    </w:p>
    <w:p w:rsidR="00FB5A28" w:rsidRDefault="00FB5A28" w:rsidP="00FF51AE">
      <w:pPr>
        <w:shd w:val="clear" w:color="auto" w:fill="FFFFFF"/>
        <w:spacing w:after="0" w:line="285" w:lineRule="atLeast"/>
        <w:ind w:left="1069"/>
        <w:rPr>
          <w:rFonts w:ascii="Arial" w:hAnsi="Arial" w:cs="Arial"/>
          <w:color w:val="000000"/>
          <w:sz w:val="24"/>
          <w:szCs w:val="24"/>
          <w:lang w:val="sr-Cyrl-CS"/>
        </w:rPr>
      </w:pPr>
    </w:p>
    <w:p w:rsidR="00FB5A28" w:rsidRDefault="00FB5A28" w:rsidP="00FF51AE">
      <w:pPr>
        <w:shd w:val="clear" w:color="auto" w:fill="FFFFFF"/>
        <w:spacing w:after="0" w:line="285" w:lineRule="atLeast"/>
        <w:ind w:left="1069"/>
        <w:rPr>
          <w:rFonts w:ascii="Arial" w:hAnsi="Arial" w:cs="Arial"/>
          <w:color w:val="000000"/>
          <w:sz w:val="24"/>
          <w:szCs w:val="24"/>
          <w:lang w:val="sr-Cyrl-CS"/>
        </w:rPr>
      </w:pPr>
    </w:p>
    <w:p w:rsidR="00FB5A28" w:rsidRDefault="00FB5A28" w:rsidP="00FF51AE">
      <w:pPr>
        <w:shd w:val="clear" w:color="auto" w:fill="FFFFFF"/>
        <w:spacing w:after="0" w:line="285" w:lineRule="atLeast"/>
        <w:ind w:left="1069"/>
        <w:rPr>
          <w:rFonts w:ascii="Arial" w:hAnsi="Arial" w:cs="Arial"/>
          <w:color w:val="000000"/>
          <w:sz w:val="24"/>
          <w:szCs w:val="24"/>
          <w:lang w:val="sr-Cyrl-CS"/>
        </w:rPr>
      </w:pPr>
    </w:p>
    <w:p w:rsidR="00FB5A28" w:rsidRDefault="00FB5A28" w:rsidP="00FF51AE">
      <w:pPr>
        <w:shd w:val="clear" w:color="auto" w:fill="FFFFFF"/>
        <w:spacing w:after="0" w:line="285" w:lineRule="atLeast"/>
        <w:ind w:left="1069"/>
        <w:rPr>
          <w:rFonts w:ascii="Arial" w:hAnsi="Arial" w:cs="Arial"/>
          <w:color w:val="000000"/>
          <w:sz w:val="24"/>
          <w:szCs w:val="24"/>
          <w:lang w:val="sr-Cyrl-CS"/>
        </w:rPr>
      </w:pPr>
    </w:p>
    <w:p w:rsidR="00FB5A28" w:rsidRDefault="00FB5A28" w:rsidP="00FF51AE">
      <w:pPr>
        <w:shd w:val="clear" w:color="auto" w:fill="FFFFFF"/>
        <w:spacing w:after="0" w:line="285" w:lineRule="atLeast"/>
        <w:ind w:left="1069"/>
        <w:rPr>
          <w:rFonts w:ascii="Arial" w:hAnsi="Arial" w:cs="Arial"/>
          <w:color w:val="000000"/>
          <w:sz w:val="24"/>
          <w:szCs w:val="24"/>
          <w:lang w:val="sr-Cyrl-CS"/>
        </w:rPr>
      </w:pPr>
    </w:p>
    <w:p w:rsidR="00FB5A28" w:rsidRDefault="00FB5A28" w:rsidP="00FF51AE">
      <w:pPr>
        <w:shd w:val="clear" w:color="auto" w:fill="FFFFFF"/>
        <w:spacing w:after="0" w:line="285" w:lineRule="atLeast"/>
        <w:ind w:left="1069"/>
        <w:rPr>
          <w:rFonts w:ascii="Arial" w:hAnsi="Arial" w:cs="Arial"/>
          <w:color w:val="000000"/>
          <w:sz w:val="24"/>
          <w:szCs w:val="24"/>
          <w:lang w:val="sr-Cyrl-CS"/>
        </w:rPr>
      </w:pPr>
    </w:p>
    <w:p w:rsidR="00FB5A28" w:rsidRDefault="00FB5A28" w:rsidP="00FF51AE">
      <w:pPr>
        <w:shd w:val="clear" w:color="auto" w:fill="FFFFFF"/>
        <w:spacing w:after="0" w:line="285" w:lineRule="atLeast"/>
        <w:ind w:left="1069"/>
        <w:rPr>
          <w:rFonts w:ascii="Arial" w:hAnsi="Arial" w:cs="Arial"/>
          <w:color w:val="000000"/>
          <w:sz w:val="24"/>
          <w:szCs w:val="24"/>
          <w:lang w:val="sr-Cyrl-CS"/>
        </w:rPr>
      </w:pPr>
    </w:p>
    <w:p w:rsidR="00FB5A28" w:rsidRDefault="00FB5A28" w:rsidP="00FF51AE">
      <w:pPr>
        <w:shd w:val="clear" w:color="auto" w:fill="FFFFFF"/>
        <w:spacing w:after="0" w:line="285" w:lineRule="atLeast"/>
        <w:ind w:left="1069"/>
        <w:rPr>
          <w:rFonts w:ascii="Arial" w:hAnsi="Arial" w:cs="Arial"/>
          <w:color w:val="000000"/>
          <w:sz w:val="24"/>
          <w:szCs w:val="24"/>
          <w:lang w:val="sr-Cyrl-CS"/>
        </w:rPr>
      </w:pPr>
    </w:p>
    <w:p w:rsidR="00FB5A28" w:rsidRDefault="00FB5A28" w:rsidP="00FF51AE">
      <w:pPr>
        <w:shd w:val="clear" w:color="auto" w:fill="FFFFFF"/>
        <w:spacing w:after="0" w:line="285" w:lineRule="atLeast"/>
        <w:ind w:left="1069"/>
        <w:rPr>
          <w:rFonts w:ascii="Arial" w:hAnsi="Arial" w:cs="Arial"/>
          <w:color w:val="000000"/>
          <w:sz w:val="24"/>
          <w:szCs w:val="24"/>
          <w:lang w:val="sr-Cyrl-CS"/>
        </w:rPr>
      </w:pPr>
    </w:p>
    <w:p w:rsidR="00FB5A28" w:rsidRDefault="00FB5A28" w:rsidP="00FF51AE">
      <w:pPr>
        <w:shd w:val="clear" w:color="auto" w:fill="FFFFFF"/>
        <w:spacing w:after="0" w:line="285" w:lineRule="atLeast"/>
        <w:ind w:left="1069"/>
        <w:rPr>
          <w:rFonts w:ascii="Arial" w:hAnsi="Arial" w:cs="Arial"/>
          <w:color w:val="000000"/>
          <w:sz w:val="24"/>
          <w:szCs w:val="24"/>
          <w:lang w:val="sr-Cyrl-CS"/>
        </w:rPr>
      </w:pPr>
    </w:p>
    <w:p w:rsidR="00FB5A28" w:rsidRDefault="00FB5A28" w:rsidP="00FF51AE">
      <w:pPr>
        <w:shd w:val="clear" w:color="auto" w:fill="FFFFFF"/>
        <w:spacing w:after="0" w:line="285" w:lineRule="atLeast"/>
        <w:ind w:left="1069"/>
        <w:rPr>
          <w:rFonts w:ascii="Arial" w:hAnsi="Arial" w:cs="Arial"/>
          <w:color w:val="000000"/>
          <w:sz w:val="24"/>
          <w:szCs w:val="24"/>
          <w:lang w:val="sr-Cyrl-CS"/>
        </w:rPr>
      </w:pPr>
    </w:p>
    <w:p w:rsidR="00FB5A28" w:rsidRDefault="00FB5A28" w:rsidP="00FF51AE">
      <w:pPr>
        <w:shd w:val="clear" w:color="auto" w:fill="FFFFFF"/>
        <w:spacing w:after="0" w:line="285" w:lineRule="atLeast"/>
        <w:ind w:left="1069"/>
        <w:rPr>
          <w:rFonts w:ascii="Arial" w:hAnsi="Arial" w:cs="Arial"/>
          <w:color w:val="000000"/>
          <w:sz w:val="24"/>
          <w:szCs w:val="24"/>
          <w:lang w:val="sr-Cyrl-CS"/>
        </w:rPr>
      </w:pPr>
    </w:p>
    <w:p w:rsidR="00FB5A28" w:rsidRDefault="00FB5A28" w:rsidP="00FF51AE">
      <w:pPr>
        <w:shd w:val="clear" w:color="auto" w:fill="FFFFFF"/>
        <w:spacing w:after="0" w:line="285" w:lineRule="atLeast"/>
        <w:ind w:left="1069"/>
        <w:rPr>
          <w:rFonts w:ascii="Arial" w:hAnsi="Arial" w:cs="Arial"/>
          <w:color w:val="000000"/>
          <w:sz w:val="24"/>
          <w:szCs w:val="24"/>
          <w:lang w:val="sr-Cyrl-CS"/>
        </w:rPr>
      </w:pPr>
    </w:p>
    <w:p w:rsidR="00FB5A28" w:rsidRDefault="00FB5A28" w:rsidP="00FF51AE">
      <w:pPr>
        <w:shd w:val="clear" w:color="auto" w:fill="FFFFFF"/>
        <w:spacing w:after="0" w:line="285" w:lineRule="atLeast"/>
        <w:ind w:left="1069"/>
        <w:rPr>
          <w:rFonts w:ascii="Arial" w:hAnsi="Arial" w:cs="Arial"/>
          <w:color w:val="000000"/>
          <w:sz w:val="24"/>
          <w:szCs w:val="24"/>
          <w:lang w:val="sr-Cyrl-CS"/>
        </w:rPr>
      </w:pPr>
    </w:p>
    <w:p w:rsidR="00FB5A28" w:rsidRDefault="00FB5A28" w:rsidP="00FF51AE">
      <w:pPr>
        <w:shd w:val="clear" w:color="auto" w:fill="FFFFFF"/>
        <w:spacing w:after="0" w:line="285" w:lineRule="atLeast"/>
        <w:ind w:left="1069"/>
        <w:rPr>
          <w:rFonts w:ascii="Arial" w:hAnsi="Arial" w:cs="Arial"/>
          <w:color w:val="000000"/>
          <w:sz w:val="24"/>
          <w:szCs w:val="24"/>
          <w:lang w:val="sr-Cyrl-CS"/>
        </w:rPr>
      </w:pPr>
    </w:p>
    <w:p w:rsidR="00FB5A28" w:rsidRDefault="00FB5A28" w:rsidP="00FF51AE">
      <w:pPr>
        <w:shd w:val="clear" w:color="auto" w:fill="FFFFFF"/>
        <w:spacing w:after="0" w:line="285" w:lineRule="atLeast"/>
        <w:ind w:left="1069"/>
        <w:rPr>
          <w:rFonts w:ascii="Arial" w:hAnsi="Arial" w:cs="Arial"/>
          <w:color w:val="000000"/>
          <w:sz w:val="24"/>
          <w:szCs w:val="24"/>
          <w:lang w:val="sr-Cyrl-CS"/>
        </w:rPr>
      </w:pPr>
    </w:p>
    <w:p w:rsidR="00DF1BDF" w:rsidRPr="00CC4EE8" w:rsidRDefault="00DF1BDF" w:rsidP="00FF51AE">
      <w:pPr>
        <w:shd w:val="clear" w:color="auto" w:fill="FFFFFF"/>
        <w:spacing w:after="0" w:line="285" w:lineRule="atLeast"/>
        <w:ind w:left="1069"/>
        <w:rPr>
          <w:rFonts w:ascii="Arial" w:hAnsi="Arial" w:cs="Arial"/>
          <w:color w:val="000000"/>
          <w:sz w:val="24"/>
          <w:szCs w:val="24"/>
        </w:rPr>
      </w:pPr>
    </w:p>
    <w:p w:rsidR="00F81450" w:rsidRPr="00F81450" w:rsidRDefault="00564DCA" w:rsidP="00DF1BDF">
      <w:pPr>
        <w:numPr>
          <w:ilvl w:val="1"/>
          <w:numId w:val="3"/>
        </w:numPr>
        <w:jc w:val="center"/>
        <w:rPr>
          <w:rFonts w:ascii="Times New Roman" w:hAnsi="Times New Roman"/>
          <w:b/>
          <w:i/>
          <w:sz w:val="24"/>
          <w:szCs w:val="24"/>
          <w:lang w:val="sr-Cyrl-CS"/>
        </w:rPr>
      </w:pPr>
      <w:r>
        <w:rPr>
          <w:rFonts w:ascii="Times New Roman" w:hAnsi="Times New Roman"/>
          <w:b/>
          <w:i/>
          <w:sz w:val="24"/>
          <w:szCs w:val="24"/>
          <w:lang w:val="sr-Cyrl-CS"/>
        </w:rPr>
        <w:t>Порез на доходак грађана</w:t>
      </w:r>
    </w:p>
    <w:p w:rsidR="00D11E9B" w:rsidRPr="00612C4D" w:rsidRDefault="00D11E9B" w:rsidP="00D11E9B">
      <w:pPr>
        <w:ind w:left="1129"/>
        <w:jc w:val="both"/>
        <w:rPr>
          <w:rFonts w:ascii="Times New Roman" w:hAnsi="Times New Roman"/>
          <w:b/>
          <w:sz w:val="24"/>
          <w:szCs w:val="24"/>
          <w:lang w:val="sr-Cyrl-CS"/>
        </w:rPr>
      </w:pPr>
    </w:p>
    <w:p w:rsidR="00B220A6" w:rsidRDefault="00B434FA" w:rsidP="00B220A6">
      <w:pPr>
        <w:ind w:firstLine="708"/>
        <w:jc w:val="both"/>
        <w:rPr>
          <w:rFonts w:ascii="Times New Roman" w:hAnsi="Times New Roman"/>
          <w:sz w:val="24"/>
          <w:szCs w:val="24"/>
          <w:lang w:val="sr-Cyrl-CS"/>
        </w:rPr>
      </w:pPr>
      <w:r>
        <w:rPr>
          <w:rFonts w:ascii="Times New Roman" w:hAnsi="Times New Roman"/>
          <w:sz w:val="24"/>
          <w:szCs w:val="24"/>
          <w:lang w:val="sr-Cyrl-CS"/>
        </w:rPr>
        <w:lastRenderedPageBreak/>
        <w:t>Порез</w:t>
      </w:r>
      <w:r w:rsidR="00B220A6">
        <w:rPr>
          <w:rFonts w:ascii="Times New Roman" w:hAnsi="Times New Roman"/>
          <w:sz w:val="24"/>
          <w:szCs w:val="24"/>
          <w:lang w:val="sr-Cyrl-CS"/>
        </w:rPr>
        <w:t xml:space="preserve"> на доходак грађана </w:t>
      </w:r>
      <w:r w:rsidR="00564DCA">
        <w:rPr>
          <w:rFonts w:ascii="Times New Roman" w:hAnsi="Times New Roman"/>
          <w:sz w:val="24"/>
          <w:szCs w:val="24"/>
        </w:rPr>
        <w:t>(eng. income tax)</w:t>
      </w:r>
      <w:r w:rsidR="00B220A6">
        <w:rPr>
          <w:rFonts w:ascii="Times New Roman" w:hAnsi="Times New Roman"/>
          <w:sz w:val="24"/>
          <w:szCs w:val="24"/>
          <w:lang w:val="sr-Cyrl-CS"/>
        </w:rPr>
        <w:t xml:space="preserve"> спада међу најзначајније пореске облике у пореским системима савремених држава. Има посебну важност због своје фискалне издашности, а погодан је и за остваривање ванфискалних циљева. Регулисан је Законом о порезу на доходак грађана</w:t>
      </w:r>
      <w:r w:rsidR="00095BAA">
        <w:rPr>
          <w:rFonts w:ascii="Times New Roman" w:hAnsi="Times New Roman"/>
          <w:sz w:val="24"/>
          <w:szCs w:val="24"/>
          <w:lang w:val="sr-Cyrl-CS"/>
        </w:rPr>
        <w:t xml:space="preserve"> (у даљем тексту: ЗПДГ)</w:t>
      </w:r>
      <w:r w:rsidR="002353AC">
        <w:rPr>
          <w:rFonts w:ascii="Times New Roman" w:hAnsi="Times New Roman"/>
          <w:sz w:val="24"/>
          <w:szCs w:val="24"/>
          <w:lang w:val="sr-Cyrl-CS"/>
        </w:rPr>
        <w:t>.</w:t>
      </w:r>
      <w:r w:rsidR="00806C45">
        <w:rPr>
          <w:rStyle w:val="FootnoteReference"/>
          <w:rFonts w:ascii="Times New Roman" w:hAnsi="Times New Roman"/>
          <w:sz w:val="24"/>
          <w:szCs w:val="24"/>
          <w:lang w:val="sr-Cyrl-CS"/>
        </w:rPr>
        <w:footnoteReference w:id="428"/>
      </w:r>
      <w:r w:rsidR="004564C2">
        <w:rPr>
          <w:rFonts w:ascii="Times New Roman" w:hAnsi="Times New Roman"/>
          <w:sz w:val="24"/>
          <w:szCs w:val="24"/>
          <w:lang w:val="sr-Cyrl-CS"/>
        </w:rPr>
        <w:t xml:space="preserve"> Основне карактеристике</w:t>
      </w:r>
      <w:r w:rsidR="004564C2">
        <w:rPr>
          <w:rStyle w:val="FootnoteReference"/>
          <w:rFonts w:ascii="Times New Roman" w:hAnsi="Times New Roman"/>
          <w:sz w:val="24"/>
          <w:szCs w:val="24"/>
          <w:lang w:val="sr-Cyrl-CS"/>
        </w:rPr>
        <w:footnoteReference w:id="429"/>
      </w:r>
      <w:r w:rsidR="004564C2">
        <w:rPr>
          <w:rFonts w:ascii="Times New Roman" w:hAnsi="Times New Roman"/>
          <w:sz w:val="24"/>
          <w:szCs w:val="24"/>
          <w:lang w:val="sr-Cyrl-CS"/>
        </w:rPr>
        <w:t xml:space="preserve"> </w:t>
      </w:r>
      <w:r w:rsidR="006548C8">
        <w:rPr>
          <w:rFonts w:ascii="Times New Roman" w:hAnsi="Times New Roman"/>
          <w:sz w:val="24"/>
          <w:szCs w:val="24"/>
          <w:lang w:val="sr-Cyrl-CS"/>
        </w:rPr>
        <w:t>обухватају следеће</w:t>
      </w:r>
      <w:r w:rsidR="004564C2">
        <w:rPr>
          <w:rFonts w:ascii="Times New Roman" w:hAnsi="Times New Roman"/>
          <w:sz w:val="24"/>
          <w:szCs w:val="24"/>
          <w:lang w:val="sr-Cyrl-CS"/>
        </w:rPr>
        <w:t>:</w:t>
      </w:r>
    </w:p>
    <w:p w:rsidR="004564C2" w:rsidRDefault="004564C2" w:rsidP="008A3795">
      <w:pPr>
        <w:numPr>
          <w:ilvl w:val="0"/>
          <w:numId w:val="23"/>
        </w:numPr>
        <w:jc w:val="both"/>
        <w:rPr>
          <w:rFonts w:ascii="Times New Roman" w:hAnsi="Times New Roman"/>
          <w:sz w:val="24"/>
          <w:szCs w:val="24"/>
          <w:lang w:val="sr-Cyrl-CS"/>
        </w:rPr>
      </w:pPr>
      <w:r>
        <w:rPr>
          <w:rFonts w:ascii="Times New Roman" w:hAnsi="Times New Roman"/>
          <w:sz w:val="24"/>
          <w:szCs w:val="24"/>
          <w:lang w:val="sr-Cyrl-CS"/>
        </w:rPr>
        <w:t xml:space="preserve">односи се на </w:t>
      </w:r>
      <w:r w:rsidR="00155F17">
        <w:rPr>
          <w:rFonts w:ascii="Times New Roman" w:hAnsi="Times New Roman"/>
          <w:sz w:val="24"/>
          <w:szCs w:val="24"/>
          <w:lang w:val="sr-Cyrl-CS"/>
        </w:rPr>
        <w:t>ук</w:t>
      </w:r>
      <w:r w:rsidR="006548C8">
        <w:rPr>
          <w:rFonts w:ascii="Times New Roman" w:hAnsi="Times New Roman"/>
          <w:sz w:val="24"/>
          <w:szCs w:val="24"/>
          <w:lang w:val="sr-Cyrl-CS"/>
        </w:rPr>
        <w:t>упан доходак пореског обвезника</w:t>
      </w:r>
      <w:r w:rsidR="00155F17">
        <w:rPr>
          <w:rFonts w:ascii="Times New Roman" w:hAnsi="Times New Roman"/>
          <w:sz w:val="24"/>
          <w:szCs w:val="24"/>
          <w:lang w:val="sr-Cyrl-CS"/>
        </w:rPr>
        <w:t xml:space="preserve"> </w:t>
      </w:r>
      <w:r w:rsidR="006548C8">
        <w:rPr>
          <w:rFonts w:ascii="Times New Roman" w:hAnsi="Times New Roman"/>
          <w:sz w:val="24"/>
          <w:szCs w:val="24"/>
          <w:lang w:val="sr-Cyrl-CS"/>
        </w:rPr>
        <w:t>(</w:t>
      </w:r>
      <w:r w:rsidR="00155F17">
        <w:rPr>
          <w:rFonts w:ascii="Times New Roman" w:hAnsi="Times New Roman"/>
          <w:sz w:val="24"/>
          <w:szCs w:val="24"/>
          <w:lang w:val="sr-Cyrl-CS"/>
        </w:rPr>
        <w:t xml:space="preserve">по томе се разликује од пореза на приход, којим се опорезују само поједини облици прихода, </w:t>
      </w:r>
      <w:r w:rsidR="006548C8">
        <w:rPr>
          <w:rFonts w:ascii="Times New Roman" w:hAnsi="Times New Roman"/>
          <w:sz w:val="24"/>
          <w:szCs w:val="24"/>
          <w:lang w:val="sr-Cyrl-CS"/>
        </w:rPr>
        <w:t>односно поједини делови дохотка)</w:t>
      </w:r>
      <w:r w:rsidR="00155F17">
        <w:rPr>
          <w:rFonts w:ascii="Times New Roman" w:hAnsi="Times New Roman"/>
          <w:sz w:val="24"/>
          <w:szCs w:val="24"/>
          <w:lang w:val="sr-Cyrl-CS"/>
        </w:rPr>
        <w:t>;</w:t>
      </w:r>
    </w:p>
    <w:p w:rsidR="00155F17" w:rsidRDefault="00155F17" w:rsidP="008A3795">
      <w:pPr>
        <w:numPr>
          <w:ilvl w:val="0"/>
          <w:numId w:val="23"/>
        </w:numPr>
        <w:jc w:val="both"/>
        <w:rPr>
          <w:rFonts w:ascii="Times New Roman" w:hAnsi="Times New Roman"/>
          <w:sz w:val="24"/>
          <w:szCs w:val="24"/>
          <w:lang w:val="sr-Cyrl-CS"/>
        </w:rPr>
      </w:pPr>
      <w:r>
        <w:rPr>
          <w:rFonts w:ascii="Times New Roman" w:hAnsi="Times New Roman"/>
          <w:sz w:val="24"/>
          <w:szCs w:val="24"/>
          <w:lang w:val="sr-Cyrl-CS"/>
        </w:rPr>
        <w:t>опорезивим дохотко</w:t>
      </w:r>
      <w:r w:rsidR="006548C8">
        <w:rPr>
          <w:rFonts w:ascii="Times New Roman" w:hAnsi="Times New Roman"/>
          <w:sz w:val="24"/>
          <w:szCs w:val="24"/>
          <w:lang w:val="sr-Cyrl-CS"/>
        </w:rPr>
        <w:t>м се сматра укупни нето доходак</w:t>
      </w:r>
      <w:r>
        <w:rPr>
          <w:rFonts w:ascii="Times New Roman" w:hAnsi="Times New Roman"/>
          <w:sz w:val="24"/>
          <w:szCs w:val="24"/>
          <w:lang w:val="sr-Cyrl-CS"/>
        </w:rPr>
        <w:t xml:space="preserve"> </w:t>
      </w:r>
      <w:r w:rsidR="006548C8">
        <w:rPr>
          <w:rFonts w:ascii="Times New Roman" w:hAnsi="Times New Roman"/>
          <w:sz w:val="24"/>
          <w:szCs w:val="24"/>
          <w:lang w:val="sr-Cyrl-CS"/>
        </w:rPr>
        <w:t>(</w:t>
      </w:r>
      <w:r>
        <w:rPr>
          <w:rFonts w:ascii="Times New Roman" w:hAnsi="Times New Roman"/>
          <w:sz w:val="24"/>
          <w:szCs w:val="24"/>
          <w:lang w:val="sr-Cyrl-CS"/>
        </w:rPr>
        <w:t>што значи да се при опорезивању узимају у обзир трошкови који су били потребни да би се доходак остварио</w:t>
      </w:r>
      <w:r w:rsidR="006548C8">
        <w:rPr>
          <w:rFonts w:ascii="Times New Roman" w:hAnsi="Times New Roman"/>
          <w:sz w:val="24"/>
          <w:szCs w:val="24"/>
          <w:lang w:val="sr-Cyrl-CS"/>
        </w:rPr>
        <w:t>)</w:t>
      </w:r>
      <w:r>
        <w:rPr>
          <w:rFonts w:ascii="Times New Roman" w:hAnsi="Times New Roman"/>
          <w:sz w:val="24"/>
          <w:szCs w:val="24"/>
          <w:lang w:val="sr-Cyrl-CS"/>
        </w:rPr>
        <w:t>;</w:t>
      </w:r>
    </w:p>
    <w:p w:rsidR="00155F17" w:rsidRDefault="00155F17" w:rsidP="008A3795">
      <w:pPr>
        <w:numPr>
          <w:ilvl w:val="0"/>
          <w:numId w:val="23"/>
        </w:numPr>
        <w:jc w:val="both"/>
        <w:rPr>
          <w:rFonts w:ascii="Times New Roman" w:hAnsi="Times New Roman"/>
          <w:sz w:val="24"/>
          <w:szCs w:val="24"/>
          <w:lang w:val="sr-Cyrl-CS"/>
        </w:rPr>
      </w:pPr>
      <w:r>
        <w:rPr>
          <w:rFonts w:ascii="Times New Roman" w:hAnsi="Times New Roman"/>
          <w:sz w:val="24"/>
          <w:szCs w:val="24"/>
          <w:lang w:val="sr-Cyrl-CS"/>
        </w:rPr>
        <w:t xml:space="preserve">по правилу заснива се на дохотку као резултату прилива разних прихода током </w:t>
      </w:r>
      <w:r w:rsidR="006548C8">
        <w:rPr>
          <w:rFonts w:ascii="Times New Roman" w:hAnsi="Times New Roman"/>
          <w:sz w:val="24"/>
          <w:szCs w:val="24"/>
          <w:lang w:val="sr-Cyrl-CS"/>
        </w:rPr>
        <w:t>периода опорезивања (</w:t>
      </w:r>
      <w:r>
        <w:rPr>
          <w:rFonts w:ascii="Times New Roman" w:hAnsi="Times New Roman"/>
          <w:sz w:val="24"/>
          <w:szCs w:val="24"/>
          <w:lang w:val="sr-Cyrl-CS"/>
        </w:rPr>
        <w:t>за разлику од потрошних пореза који се односе на доходак у процесу његове употребе</w:t>
      </w:r>
      <w:r w:rsidR="006548C8">
        <w:rPr>
          <w:rFonts w:ascii="Times New Roman" w:hAnsi="Times New Roman"/>
          <w:sz w:val="24"/>
          <w:szCs w:val="24"/>
          <w:lang w:val="sr-Cyrl-CS"/>
        </w:rPr>
        <w:t>);</w:t>
      </w:r>
    </w:p>
    <w:p w:rsidR="006548C8" w:rsidRDefault="00155F17" w:rsidP="008A3795">
      <w:pPr>
        <w:numPr>
          <w:ilvl w:val="0"/>
          <w:numId w:val="23"/>
        </w:numPr>
        <w:jc w:val="both"/>
        <w:rPr>
          <w:rFonts w:ascii="Times New Roman" w:hAnsi="Times New Roman"/>
          <w:sz w:val="24"/>
          <w:szCs w:val="24"/>
          <w:lang w:val="sr-Cyrl-CS"/>
        </w:rPr>
      </w:pPr>
      <w:r w:rsidRPr="006548C8">
        <w:rPr>
          <w:rFonts w:ascii="Times New Roman" w:hAnsi="Times New Roman"/>
          <w:sz w:val="24"/>
          <w:szCs w:val="24"/>
          <w:lang w:val="sr-Cyrl-CS"/>
        </w:rPr>
        <w:t xml:space="preserve">лични порез </w:t>
      </w:r>
      <w:r w:rsidR="006548C8">
        <w:rPr>
          <w:rFonts w:ascii="Times New Roman" w:hAnsi="Times New Roman"/>
          <w:sz w:val="24"/>
          <w:szCs w:val="24"/>
          <w:lang w:val="sr-Cyrl-CS"/>
        </w:rPr>
        <w:t>(</w:t>
      </w:r>
      <w:r w:rsidRPr="006548C8">
        <w:rPr>
          <w:rFonts w:ascii="Times New Roman" w:hAnsi="Times New Roman"/>
          <w:sz w:val="24"/>
          <w:szCs w:val="24"/>
          <w:lang w:val="sr-Cyrl-CS"/>
        </w:rPr>
        <w:t xml:space="preserve">узимају </w:t>
      </w:r>
      <w:r w:rsidR="006548C8">
        <w:rPr>
          <w:rFonts w:ascii="Times New Roman" w:hAnsi="Times New Roman"/>
          <w:sz w:val="24"/>
          <w:szCs w:val="24"/>
          <w:lang w:val="sr-Cyrl-CS"/>
        </w:rPr>
        <w:t xml:space="preserve">се </w:t>
      </w:r>
      <w:r w:rsidRPr="006548C8">
        <w:rPr>
          <w:rFonts w:ascii="Times New Roman" w:hAnsi="Times New Roman"/>
          <w:sz w:val="24"/>
          <w:szCs w:val="24"/>
          <w:lang w:val="sr-Cyrl-CS"/>
        </w:rPr>
        <w:t>у обзир личне околности које се односе на пореског об</w:t>
      </w:r>
      <w:r w:rsidR="006548C8">
        <w:rPr>
          <w:rFonts w:ascii="Times New Roman" w:hAnsi="Times New Roman"/>
          <w:sz w:val="24"/>
          <w:szCs w:val="24"/>
          <w:lang w:val="sr-Cyrl-CS"/>
        </w:rPr>
        <w:t>везника);</w:t>
      </w:r>
    </w:p>
    <w:p w:rsidR="00155F17" w:rsidRDefault="006548C8" w:rsidP="008A3795">
      <w:pPr>
        <w:numPr>
          <w:ilvl w:val="0"/>
          <w:numId w:val="23"/>
        </w:numPr>
        <w:jc w:val="both"/>
        <w:rPr>
          <w:rFonts w:ascii="Times New Roman" w:hAnsi="Times New Roman"/>
          <w:sz w:val="24"/>
          <w:szCs w:val="24"/>
          <w:lang w:val="sr-Cyrl-CS"/>
        </w:rPr>
      </w:pPr>
      <w:r>
        <w:rPr>
          <w:rFonts w:ascii="Times New Roman" w:hAnsi="Times New Roman"/>
          <w:sz w:val="24"/>
          <w:szCs w:val="24"/>
          <w:lang w:val="sr-Cyrl-CS"/>
        </w:rPr>
        <w:t>непосредни (</w:t>
      </w:r>
      <w:r w:rsidR="00155F17" w:rsidRPr="006548C8">
        <w:rPr>
          <w:rFonts w:ascii="Times New Roman" w:hAnsi="Times New Roman"/>
          <w:sz w:val="24"/>
          <w:szCs w:val="24"/>
          <w:lang w:val="sr-Cyrl-CS"/>
        </w:rPr>
        <w:t>директни</w:t>
      </w:r>
      <w:r>
        <w:rPr>
          <w:rFonts w:ascii="Times New Roman" w:hAnsi="Times New Roman"/>
          <w:sz w:val="24"/>
          <w:szCs w:val="24"/>
          <w:lang w:val="sr-Cyrl-CS"/>
        </w:rPr>
        <w:t>) порез (</w:t>
      </w:r>
      <w:r w:rsidR="00155F17" w:rsidRPr="006548C8">
        <w:rPr>
          <w:rFonts w:ascii="Times New Roman" w:hAnsi="Times New Roman"/>
          <w:sz w:val="24"/>
          <w:szCs w:val="24"/>
          <w:lang w:val="sr-Cyrl-CS"/>
        </w:rPr>
        <w:t xml:space="preserve">плаћа </w:t>
      </w:r>
      <w:r>
        <w:rPr>
          <w:rFonts w:ascii="Times New Roman" w:hAnsi="Times New Roman"/>
          <w:sz w:val="24"/>
          <w:szCs w:val="24"/>
          <w:lang w:val="sr-Cyrl-CS"/>
        </w:rPr>
        <w:t xml:space="preserve">се </w:t>
      </w:r>
      <w:r w:rsidR="00155F17" w:rsidRPr="006548C8">
        <w:rPr>
          <w:rFonts w:ascii="Times New Roman" w:hAnsi="Times New Roman"/>
          <w:sz w:val="24"/>
          <w:szCs w:val="24"/>
          <w:lang w:val="sr-Cyrl-CS"/>
        </w:rPr>
        <w:t>независно о</w:t>
      </w:r>
      <w:r w:rsidR="00C42387" w:rsidRPr="006548C8">
        <w:rPr>
          <w:rFonts w:ascii="Times New Roman" w:hAnsi="Times New Roman"/>
          <w:sz w:val="24"/>
          <w:szCs w:val="24"/>
          <w:lang w:val="sr-Cyrl-CS"/>
        </w:rPr>
        <w:t>д трошења</w:t>
      </w:r>
      <w:r w:rsidR="00155F17" w:rsidRPr="006548C8">
        <w:rPr>
          <w:rFonts w:ascii="Times New Roman" w:hAnsi="Times New Roman"/>
          <w:sz w:val="24"/>
          <w:szCs w:val="24"/>
          <w:lang w:val="sr-Cyrl-CS"/>
        </w:rPr>
        <w:t xml:space="preserve"> оствареног дохотка</w:t>
      </w:r>
      <w:r>
        <w:rPr>
          <w:rFonts w:ascii="Times New Roman" w:hAnsi="Times New Roman"/>
          <w:sz w:val="24"/>
          <w:szCs w:val="24"/>
          <w:lang w:val="sr-Cyrl-CS"/>
        </w:rPr>
        <w:t>)</w:t>
      </w:r>
      <w:r w:rsidR="00155F17" w:rsidRPr="006548C8">
        <w:rPr>
          <w:rFonts w:ascii="Times New Roman" w:hAnsi="Times New Roman"/>
          <w:sz w:val="24"/>
          <w:szCs w:val="24"/>
          <w:lang w:val="sr-Cyrl-CS"/>
        </w:rPr>
        <w:t>;</w:t>
      </w:r>
    </w:p>
    <w:p w:rsidR="006548C8" w:rsidRPr="006548C8" w:rsidRDefault="006548C8" w:rsidP="008A3795">
      <w:pPr>
        <w:pStyle w:val="ListParagraph"/>
        <w:numPr>
          <w:ilvl w:val="0"/>
          <w:numId w:val="23"/>
        </w:numPr>
        <w:jc w:val="both"/>
        <w:rPr>
          <w:rFonts w:ascii="Times New Roman" w:hAnsi="Times New Roman"/>
          <w:sz w:val="24"/>
          <w:szCs w:val="24"/>
          <w:lang w:val="sr-Cyrl-CS"/>
        </w:rPr>
      </w:pPr>
      <w:r w:rsidRPr="006548C8">
        <w:rPr>
          <w:rFonts w:ascii="Times New Roman" w:hAnsi="Times New Roman"/>
          <w:sz w:val="24"/>
          <w:szCs w:val="24"/>
          <w:lang w:val="sr-Cyrl-CS"/>
        </w:rPr>
        <w:t xml:space="preserve">један од најсложенијих пореских облика. </w:t>
      </w:r>
    </w:p>
    <w:p w:rsidR="00E21381" w:rsidRPr="006548C8" w:rsidRDefault="004564C2" w:rsidP="006548C8">
      <w:pPr>
        <w:ind w:firstLine="708"/>
        <w:jc w:val="both"/>
        <w:rPr>
          <w:rFonts w:ascii="Times New Roman" w:hAnsi="Times New Roman"/>
          <w:sz w:val="24"/>
          <w:szCs w:val="24"/>
          <w:lang w:val="sr-Cyrl-CS"/>
        </w:rPr>
      </w:pPr>
      <w:r w:rsidRPr="006548C8">
        <w:rPr>
          <w:rFonts w:ascii="Times New Roman" w:hAnsi="Times New Roman"/>
          <w:sz w:val="24"/>
          <w:szCs w:val="24"/>
          <w:lang w:val="sr-Cyrl-CS"/>
        </w:rPr>
        <w:t>Савремени порез на до</w:t>
      </w:r>
      <w:r w:rsidR="002353AC" w:rsidRPr="006548C8">
        <w:rPr>
          <w:rFonts w:ascii="Times New Roman" w:hAnsi="Times New Roman"/>
          <w:sz w:val="24"/>
          <w:szCs w:val="24"/>
          <w:lang w:val="sr-Cyrl-CS"/>
        </w:rPr>
        <w:t xml:space="preserve">ходак физичких лица </w:t>
      </w:r>
      <w:r w:rsidR="00067221" w:rsidRPr="006548C8">
        <w:rPr>
          <w:rFonts w:ascii="Times New Roman" w:hAnsi="Times New Roman"/>
          <w:sz w:val="24"/>
          <w:szCs w:val="24"/>
          <w:lang w:val="sr-Cyrl-CS"/>
        </w:rPr>
        <w:t xml:space="preserve">се </w:t>
      </w:r>
      <w:r w:rsidR="002353AC" w:rsidRPr="006548C8">
        <w:rPr>
          <w:rFonts w:ascii="Times New Roman" w:hAnsi="Times New Roman"/>
          <w:sz w:val="24"/>
          <w:szCs w:val="24"/>
          <w:lang w:val="sr-Cyrl-CS"/>
        </w:rPr>
        <w:t xml:space="preserve">у финансијској историји </w:t>
      </w:r>
      <w:r w:rsidR="00067221" w:rsidRPr="006548C8">
        <w:rPr>
          <w:rFonts w:ascii="Times New Roman" w:hAnsi="Times New Roman"/>
          <w:sz w:val="24"/>
          <w:szCs w:val="24"/>
          <w:lang w:val="sr-Cyrl-CS"/>
        </w:rPr>
        <w:t xml:space="preserve">најпре појавио као ванредни порез, </w:t>
      </w:r>
      <w:r w:rsidR="002353AC" w:rsidRPr="006548C8">
        <w:rPr>
          <w:rFonts w:ascii="Times New Roman" w:hAnsi="Times New Roman"/>
          <w:sz w:val="24"/>
          <w:szCs w:val="24"/>
          <w:lang w:val="sr-Cyrl-CS"/>
        </w:rPr>
        <w:t xml:space="preserve">први пут је забележен 1798. </w:t>
      </w:r>
      <w:r w:rsidR="00846ECB" w:rsidRPr="006548C8">
        <w:rPr>
          <w:rFonts w:ascii="Times New Roman" w:hAnsi="Times New Roman"/>
          <w:sz w:val="24"/>
          <w:szCs w:val="24"/>
          <w:lang w:val="sr-Cyrl-CS"/>
        </w:rPr>
        <w:t>г</w:t>
      </w:r>
      <w:r w:rsidR="002353AC" w:rsidRPr="006548C8">
        <w:rPr>
          <w:rFonts w:ascii="Times New Roman" w:hAnsi="Times New Roman"/>
          <w:sz w:val="24"/>
          <w:szCs w:val="24"/>
          <w:lang w:val="sr-Cyrl-CS"/>
        </w:rPr>
        <w:t>одине, када је уведен у Великој Британији</w:t>
      </w:r>
      <w:r w:rsidR="00067221" w:rsidRPr="006548C8">
        <w:rPr>
          <w:rFonts w:ascii="Times New Roman" w:hAnsi="Times New Roman"/>
          <w:sz w:val="24"/>
          <w:szCs w:val="24"/>
          <w:lang w:val="sr-Cyrl-CS"/>
        </w:rPr>
        <w:t>. Био је</w:t>
      </w:r>
      <w:r w:rsidR="002353AC" w:rsidRPr="006548C8">
        <w:rPr>
          <w:rFonts w:ascii="Times New Roman" w:hAnsi="Times New Roman"/>
          <w:sz w:val="24"/>
          <w:szCs w:val="24"/>
          <w:lang w:val="sr-Cyrl-CS"/>
        </w:rPr>
        <w:t xml:space="preserve"> намењен финансирању рата са Наполеоном. </w:t>
      </w:r>
      <w:r w:rsidR="00067221" w:rsidRPr="006548C8">
        <w:rPr>
          <w:rFonts w:ascii="Times New Roman" w:hAnsi="Times New Roman"/>
          <w:sz w:val="24"/>
          <w:szCs w:val="24"/>
          <w:lang w:val="sr-Cyrl-CS"/>
        </w:rPr>
        <w:t>Потом је од стране Пилове владе</w:t>
      </w:r>
      <w:r w:rsidR="002353AC" w:rsidRPr="006548C8">
        <w:rPr>
          <w:rFonts w:ascii="Times New Roman" w:hAnsi="Times New Roman"/>
          <w:sz w:val="24"/>
          <w:szCs w:val="24"/>
          <w:lang w:val="sr-Cyrl-CS"/>
        </w:rPr>
        <w:t xml:space="preserve"> </w:t>
      </w:r>
      <w:r w:rsidR="00067221" w:rsidRPr="006548C8">
        <w:rPr>
          <w:rFonts w:ascii="Times New Roman" w:hAnsi="Times New Roman"/>
          <w:sz w:val="24"/>
          <w:szCs w:val="24"/>
          <w:lang w:val="sr-Cyrl-CS"/>
        </w:rPr>
        <w:t>укључен</w:t>
      </w:r>
      <w:r w:rsidR="002353AC" w:rsidRPr="006548C8">
        <w:rPr>
          <w:rFonts w:ascii="Times New Roman" w:hAnsi="Times New Roman"/>
          <w:sz w:val="24"/>
          <w:szCs w:val="24"/>
          <w:lang w:val="sr-Cyrl-CS"/>
        </w:rPr>
        <w:t xml:space="preserve"> у британ</w:t>
      </w:r>
      <w:r w:rsidR="00067221" w:rsidRPr="006548C8">
        <w:rPr>
          <w:rFonts w:ascii="Times New Roman" w:hAnsi="Times New Roman"/>
          <w:sz w:val="24"/>
          <w:szCs w:val="24"/>
          <w:lang w:val="sr-Cyrl-CS"/>
        </w:rPr>
        <w:t>ски порески систем 1842. године као</w:t>
      </w:r>
      <w:r w:rsidR="002353AC" w:rsidRPr="006548C8">
        <w:rPr>
          <w:rFonts w:ascii="Times New Roman" w:hAnsi="Times New Roman"/>
          <w:sz w:val="24"/>
          <w:szCs w:val="24"/>
          <w:lang w:val="sr-Cyrl-CS"/>
        </w:rPr>
        <w:t xml:space="preserve"> редован порез. </w:t>
      </w:r>
      <w:r w:rsidR="00067221" w:rsidRPr="006548C8">
        <w:rPr>
          <w:rFonts w:ascii="Times New Roman" w:hAnsi="Times New Roman"/>
          <w:sz w:val="24"/>
          <w:szCs w:val="24"/>
          <w:lang w:val="sr-Cyrl-CS"/>
        </w:rPr>
        <w:t>Веома је издашан порески приход и</w:t>
      </w:r>
      <w:r w:rsidR="002353AC" w:rsidRPr="006548C8">
        <w:rPr>
          <w:rFonts w:ascii="Times New Roman" w:hAnsi="Times New Roman"/>
          <w:sz w:val="24"/>
          <w:szCs w:val="24"/>
          <w:lang w:val="sr-Cyrl-CS"/>
        </w:rPr>
        <w:t xml:space="preserve"> већ деценијама заузима прво место у структури порес</w:t>
      </w:r>
      <w:r w:rsidR="00067221" w:rsidRPr="006548C8">
        <w:rPr>
          <w:rFonts w:ascii="Times New Roman" w:hAnsi="Times New Roman"/>
          <w:sz w:val="24"/>
          <w:szCs w:val="24"/>
          <w:lang w:val="sr-Cyrl-CS"/>
        </w:rPr>
        <w:t>ких прихода земаља-чланица ОЕЦД</w:t>
      </w:r>
      <w:r w:rsidR="002353AC" w:rsidRPr="006548C8">
        <w:rPr>
          <w:rFonts w:ascii="Times New Roman" w:hAnsi="Times New Roman"/>
          <w:sz w:val="24"/>
          <w:szCs w:val="24"/>
          <w:lang w:val="sr-Cyrl-CS"/>
        </w:rPr>
        <w:t xml:space="preserve"> ако се посматрају као целина. </w:t>
      </w:r>
      <w:r w:rsidR="00067221" w:rsidRPr="006548C8">
        <w:rPr>
          <w:rFonts w:ascii="Times New Roman" w:hAnsi="Times New Roman"/>
          <w:sz w:val="24"/>
          <w:szCs w:val="24"/>
          <w:lang w:val="sr-Cyrl-CS"/>
        </w:rPr>
        <w:t>П</w:t>
      </w:r>
      <w:r w:rsidR="00497A36" w:rsidRPr="006548C8">
        <w:rPr>
          <w:rFonts w:ascii="Times New Roman" w:hAnsi="Times New Roman"/>
          <w:sz w:val="24"/>
          <w:szCs w:val="24"/>
          <w:lang w:val="sr-Cyrl-CS"/>
        </w:rPr>
        <w:t>орез на до</w:t>
      </w:r>
      <w:r w:rsidR="002353AC" w:rsidRPr="006548C8">
        <w:rPr>
          <w:rFonts w:ascii="Times New Roman" w:hAnsi="Times New Roman"/>
          <w:sz w:val="24"/>
          <w:szCs w:val="24"/>
          <w:lang w:val="sr-Cyrl-CS"/>
        </w:rPr>
        <w:t xml:space="preserve">ходак </w:t>
      </w:r>
      <w:r w:rsidR="00067221" w:rsidRPr="006548C8">
        <w:rPr>
          <w:rFonts w:ascii="Times New Roman" w:hAnsi="Times New Roman"/>
          <w:sz w:val="24"/>
          <w:szCs w:val="24"/>
          <w:lang w:val="sr-Cyrl-CS"/>
        </w:rPr>
        <w:t xml:space="preserve">се </w:t>
      </w:r>
      <w:r w:rsidR="002353AC" w:rsidRPr="006548C8">
        <w:rPr>
          <w:rFonts w:ascii="Times New Roman" w:hAnsi="Times New Roman"/>
          <w:sz w:val="24"/>
          <w:szCs w:val="24"/>
          <w:lang w:val="sr-Cyrl-CS"/>
        </w:rPr>
        <w:t xml:space="preserve">користи ради </w:t>
      </w:r>
      <w:r w:rsidR="00067221" w:rsidRPr="006548C8">
        <w:rPr>
          <w:rFonts w:ascii="Times New Roman" w:hAnsi="Times New Roman"/>
          <w:sz w:val="24"/>
          <w:szCs w:val="24"/>
          <w:lang w:val="sr-Cyrl-CS"/>
        </w:rPr>
        <w:t xml:space="preserve">бројних задатака као што је </w:t>
      </w:r>
      <w:r w:rsidR="002353AC" w:rsidRPr="006548C8">
        <w:rPr>
          <w:rFonts w:ascii="Times New Roman" w:hAnsi="Times New Roman"/>
          <w:sz w:val="24"/>
          <w:szCs w:val="24"/>
          <w:lang w:val="sr-Cyrl-CS"/>
        </w:rPr>
        <w:t>постизања вертикалне и хоризонталне правичности, ефикасности и других задатака.</w:t>
      </w:r>
      <w:r w:rsidR="00497A36" w:rsidRPr="006548C8">
        <w:rPr>
          <w:rFonts w:ascii="Times New Roman" w:hAnsi="Times New Roman"/>
          <w:sz w:val="24"/>
          <w:szCs w:val="24"/>
          <w:lang w:val="sr-Cyrl-CS"/>
        </w:rPr>
        <w:t xml:space="preserve"> Због издашности и бројних циљева који су му поверени порез на доходак физичких лица је од свих пореза који се срећу у савременим пореским системима најзначајнији и најсложениј порески инструмент.</w:t>
      </w:r>
      <w:r w:rsidR="002353AC">
        <w:rPr>
          <w:rStyle w:val="FootnoteReference"/>
          <w:rFonts w:ascii="Times New Roman" w:hAnsi="Times New Roman"/>
          <w:sz w:val="24"/>
          <w:szCs w:val="24"/>
          <w:lang w:val="sr-Cyrl-CS"/>
        </w:rPr>
        <w:footnoteReference w:id="430"/>
      </w:r>
      <w:r w:rsidR="00C42387" w:rsidRPr="006548C8">
        <w:rPr>
          <w:rFonts w:ascii="Times New Roman" w:hAnsi="Times New Roman"/>
          <w:sz w:val="24"/>
          <w:szCs w:val="24"/>
          <w:lang w:val="sr-Cyrl-CS"/>
        </w:rPr>
        <w:t xml:space="preserve"> </w:t>
      </w:r>
      <w:r w:rsidR="0028385A" w:rsidRPr="006548C8">
        <w:rPr>
          <w:rFonts w:ascii="Times New Roman" w:hAnsi="Times New Roman"/>
          <w:sz w:val="24"/>
          <w:szCs w:val="24"/>
          <w:lang w:val="sr-Cyrl-CS"/>
        </w:rPr>
        <w:t>Иако је често о</w:t>
      </w:r>
      <w:r w:rsidRPr="006548C8">
        <w:rPr>
          <w:rFonts w:ascii="Times New Roman" w:hAnsi="Times New Roman"/>
          <w:sz w:val="24"/>
          <w:szCs w:val="24"/>
          <w:lang w:val="sr-Cyrl-CS"/>
        </w:rPr>
        <w:t>с</w:t>
      </w:r>
      <w:r w:rsidR="0028385A" w:rsidRPr="006548C8">
        <w:rPr>
          <w:rFonts w:ascii="Times New Roman" w:hAnsi="Times New Roman"/>
          <w:sz w:val="24"/>
          <w:szCs w:val="24"/>
          <w:lang w:val="sr-Cyrl-CS"/>
        </w:rPr>
        <w:t xml:space="preserve">пораван, ипак је на крају порез на доходак оцењен као </w:t>
      </w:r>
      <w:r w:rsidR="0028385A" w:rsidRPr="006548C8">
        <w:rPr>
          <w:rFonts w:ascii="Times New Roman" w:hAnsi="Times New Roman"/>
          <w:sz w:val="24"/>
          <w:szCs w:val="24"/>
          <w:lang w:val="sr-Cyrl-CS"/>
        </w:rPr>
        <w:lastRenderedPageBreak/>
        <w:t>порески облик који је у великој мери допринео победи на</w:t>
      </w:r>
      <w:r w:rsidR="00C42387" w:rsidRPr="006548C8">
        <w:rPr>
          <w:rFonts w:ascii="Times New Roman" w:hAnsi="Times New Roman"/>
          <w:sz w:val="24"/>
          <w:szCs w:val="24"/>
          <w:lang w:val="sr-Cyrl-CS"/>
        </w:rPr>
        <w:t>д</w:t>
      </w:r>
      <w:r w:rsidR="0028385A" w:rsidRPr="006548C8">
        <w:rPr>
          <w:rFonts w:ascii="Times New Roman" w:hAnsi="Times New Roman"/>
          <w:sz w:val="24"/>
          <w:szCs w:val="24"/>
          <w:lang w:val="sr-Cyrl-CS"/>
        </w:rPr>
        <w:t xml:space="preserve"> Наполеоном и који је био најзначајнији допринос Енглеске фискалном систему савременог света.</w:t>
      </w:r>
      <w:r w:rsidR="0028385A">
        <w:rPr>
          <w:rStyle w:val="FootnoteReference"/>
          <w:rFonts w:ascii="Times New Roman" w:hAnsi="Times New Roman"/>
          <w:sz w:val="24"/>
          <w:szCs w:val="24"/>
          <w:lang w:val="sr-Cyrl-CS"/>
        </w:rPr>
        <w:footnoteReference w:id="431"/>
      </w:r>
    </w:p>
    <w:p w:rsidR="004564C2" w:rsidRDefault="00846ECB" w:rsidP="00E61CB4">
      <w:pPr>
        <w:ind w:firstLine="708"/>
        <w:jc w:val="both"/>
        <w:rPr>
          <w:rFonts w:ascii="Arial" w:hAnsi="Arial" w:cs="Arial"/>
          <w:color w:val="000000"/>
          <w:sz w:val="18"/>
          <w:szCs w:val="18"/>
          <w:shd w:val="clear" w:color="auto" w:fill="FFFFFF"/>
          <w:lang w:val="sr-Cyrl-CS"/>
        </w:rPr>
      </w:pPr>
      <w:r>
        <w:rPr>
          <w:rFonts w:ascii="Times New Roman" w:hAnsi="Times New Roman"/>
          <w:sz w:val="24"/>
          <w:szCs w:val="24"/>
          <w:lang w:val="sr-Cyrl-CS"/>
        </w:rPr>
        <w:t>Овим фискалитетом погођени су сви приходи које физичко лице оствари по основу рада и из других извора, односно приходи од зарада, приходи од самосталне делатности, приходи од ауторских права, права сродних ауторским паравима и права индустријске својине, приходи од капитала, капитални добици и остали приходи.  Ови приходи се опорезују било</w:t>
      </w:r>
      <w:r w:rsidR="008844ED">
        <w:rPr>
          <w:rFonts w:ascii="Times New Roman" w:hAnsi="Times New Roman"/>
          <w:sz w:val="24"/>
          <w:szCs w:val="24"/>
          <w:lang w:val="sr-Cyrl-CS"/>
        </w:rPr>
        <w:t xml:space="preserve"> да су остварени у новцу, нату</w:t>
      </w:r>
      <w:r>
        <w:rPr>
          <w:rFonts w:ascii="Times New Roman" w:hAnsi="Times New Roman"/>
          <w:sz w:val="24"/>
          <w:szCs w:val="24"/>
          <w:lang w:val="sr-Cyrl-CS"/>
        </w:rPr>
        <w:t>ри, чињењем или на други начин.</w:t>
      </w:r>
      <w:r>
        <w:rPr>
          <w:rStyle w:val="FootnoteReference"/>
          <w:rFonts w:ascii="Times New Roman" w:hAnsi="Times New Roman"/>
          <w:sz w:val="24"/>
          <w:szCs w:val="24"/>
          <w:lang w:val="sr-Cyrl-CS"/>
        </w:rPr>
        <w:footnoteReference w:id="432"/>
      </w:r>
      <w:r w:rsidRPr="00846ECB">
        <w:rPr>
          <w:rFonts w:ascii="Arial" w:hAnsi="Arial" w:cs="Arial"/>
          <w:color w:val="000000"/>
          <w:sz w:val="18"/>
          <w:szCs w:val="18"/>
          <w:shd w:val="clear" w:color="auto" w:fill="FFFFFF"/>
        </w:rPr>
        <w:t xml:space="preserve"> </w:t>
      </w:r>
      <w:r w:rsidRPr="00C42387">
        <w:rPr>
          <w:rFonts w:ascii="Times New Roman" w:hAnsi="Times New Roman"/>
          <w:color w:val="000000"/>
          <w:sz w:val="24"/>
          <w:szCs w:val="24"/>
          <w:shd w:val="clear" w:color="auto" w:fill="FFFFFF"/>
          <w:lang w:val="sr-Cyrl-CS"/>
        </w:rPr>
        <w:t>Порез се дакле плаћа на приход остварен из сваког појединачног извора. За разлику од наведеног, г</w:t>
      </w:r>
      <w:r w:rsidR="00C42387" w:rsidRPr="00C42387">
        <w:rPr>
          <w:rFonts w:ascii="Times New Roman" w:hAnsi="Times New Roman"/>
          <w:color w:val="000000"/>
          <w:sz w:val="24"/>
          <w:szCs w:val="24"/>
          <w:shd w:val="clear" w:color="auto" w:fill="FFFFFF"/>
        </w:rPr>
        <w:t>одишњи</w:t>
      </w:r>
      <w:r w:rsidRPr="00C42387">
        <w:rPr>
          <w:rFonts w:ascii="Times New Roman" w:hAnsi="Times New Roman"/>
          <w:color w:val="000000"/>
          <w:sz w:val="24"/>
          <w:szCs w:val="24"/>
          <w:shd w:val="clear" w:color="auto" w:fill="FFFFFF"/>
        </w:rPr>
        <w:t xml:space="preserve"> </w:t>
      </w:r>
      <w:r w:rsidR="00C42387" w:rsidRPr="00C42387">
        <w:rPr>
          <w:rFonts w:ascii="Times New Roman" w:hAnsi="Times New Roman"/>
          <w:color w:val="000000"/>
          <w:sz w:val="24"/>
          <w:szCs w:val="24"/>
          <w:shd w:val="clear" w:color="auto" w:fill="FFFFFF"/>
        </w:rPr>
        <w:t>порез</w:t>
      </w:r>
      <w:r w:rsidRPr="00C42387">
        <w:rPr>
          <w:rFonts w:ascii="Times New Roman" w:hAnsi="Times New Roman"/>
          <w:color w:val="000000"/>
          <w:sz w:val="24"/>
          <w:szCs w:val="24"/>
          <w:shd w:val="clear" w:color="auto" w:fill="FFFFFF"/>
        </w:rPr>
        <w:t xml:space="preserve"> </w:t>
      </w:r>
      <w:r w:rsidR="00C42387" w:rsidRPr="00C42387">
        <w:rPr>
          <w:rFonts w:ascii="Times New Roman" w:hAnsi="Times New Roman"/>
          <w:color w:val="000000"/>
          <w:sz w:val="24"/>
          <w:szCs w:val="24"/>
          <w:shd w:val="clear" w:color="auto" w:fill="FFFFFF"/>
        </w:rPr>
        <w:t>на</w:t>
      </w:r>
      <w:r w:rsidRPr="00C42387">
        <w:rPr>
          <w:rFonts w:ascii="Times New Roman" w:hAnsi="Times New Roman"/>
          <w:color w:val="000000"/>
          <w:sz w:val="24"/>
          <w:szCs w:val="24"/>
          <w:shd w:val="clear" w:color="auto" w:fill="FFFFFF"/>
        </w:rPr>
        <w:t xml:space="preserve"> </w:t>
      </w:r>
      <w:r w:rsidR="00C42387" w:rsidRPr="00C42387">
        <w:rPr>
          <w:rFonts w:ascii="Times New Roman" w:hAnsi="Times New Roman"/>
          <w:color w:val="000000"/>
          <w:sz w:val="24"/>
          <w:szCs w:val="24"/>
          <w:shd w:val="clear" w:color="auto" w:fill="FFFFFF"/>
        </w:rPr>
        <w:t>доходак</w:t>
      </w:r>
      <w:r w:rsidRPr="00C42387">
        <w:rPr>
          <w:rFonts w:ascii="Times New Roman" w:hAnsi="Times New Roman"/>
          <w:color w:val="000000"/>
          <w:sz w:val="24"/>
          <w:szCs w:val="24"/>
          <w:shd w:val="clear" w:color="auto" w:fill="FFFFFF"/>
        </w:rPr>
        <w:t xml:space="preserve"> </w:t>
      </w:r>
      <w:r w:rsidR="00C42387" w:rsidRPr="00C42387">
        <w:rPr>
          <w:rFonts w:ascii="Times New Roman" w:hAnsi="Times New Roman"/>
          <w:color w:val="000000"/>
          <w:sz w:val="24"/>
          <w:szCs w:val="24"/>
          <w:shd w:val="clear" w:color="auto" w:fill="FFFFFF"/>
        </w:rPr>
        <w:t>грађана</w:t>
      </w:r>
      <w:r w:rsidRPr="00C42387">
        <w:rPr>
          <w:rFonts w:ascii="Times New Roman" w:hAnsi="Times New Roman"/>
          <w:color w:val="000000"/>
          <w:sz w:val="24"/>
          <w:szCs w:val="24"/>
          <w:shd w:val="clear" w:color="auto" w:fill="FFFFFF"/>
        </w:rPr>
        <w:t xml:space="preserve"> </w:t>
      </w:r>
      <w:r w:rsidR="00C42387" w:rsidRPr="00C42387">
        <w:rPr>
          <w:rFonts w:ascii="Times New Roman" w:hAnsi="Times New Roman"/>
          <w:color w:val="000000"/>
          <w:sz w:val="24"/>
          <w:szCs w:val="24"/>
          <w:shd w:val="clear" w:color="auto" w:fill="FFFFFF"/>
        </w:rPr>
        <w:t>плаћају</w:t>
      </w:r>
      <w:r w:rsidRPr="00C42387">
        <w:rPr>
          <w:rFonts w:ascii="Times New Roman" w:hAnsi="Times New Roman"/>
          <w:color w:val="000000"/>
          <w:sz w:val="24"/>
          <w:szCs w:val="24"/>
          <w:shd w:val="clear" w:color="auto" w:fill="FFFFFF"/>
        </w:rPr>
        <w:t xml:space="preserve"> </w:t>
      </w:r>
      <w:r w:rsidR="00C42387" w:rsidRPr="00C42387">
        <w:rPr>
          <w:rFonts w:ascii="Times New Roman" w:hAnsi="Times New Roman"/>
          <w:color w:val="000000"/>
          <w:sz w:val="24"/>
          <w:szCs w:val="24"/>
          <w:shd w:val="clear" w:color="auto" w:fill="FFFFFF"/>
        </w:rPr>
        <w:t>физичка</w:t>
      </w:r>
      <w:r w:rsidRPr="00C42387">
        <w:rPr>
          <w:rFonts w:ascii="Times New Roman" w:hAnsi="Times New Roman"/>
          <w:color w:val="000000"/>
          <w:sz w:val="24"/>
          <w:szCs w:val="24"/>
          <w:shd w:val="clear" w:color="auto" w:fill="FFFFFF"/>
        </w:rPr>
        <w:t xml:space="preserve"> </w:t>
      </w:r>
      <w:r w:rsidR="00C42387" w:rsidRPr="00C42387">
        <w:rPr>
          <w:rFonts w:ascii="Times New Roman" w:hAnsi="Times New Roman"/>
          <w:color w:val="000000"/>
          <w:sz w:val="24"/>
          <w:szCs w:val="24"/>
          <w:shd w:val="clear" w:color="auto" w:fill="FFFFFF"/>
        </w:rPr>
        <w:t>лица</w:t>
      </w:r>
      <w:r w:rsidRPr="00C42387">
        <w:rPr>
          <w:rFonts w:ascii="Times New Roman" w:hAnsi="Times New Roman"/>
          <w:color w:val="000000"/>
          <w:sz w:val="24"/>
          <w:szCs w:val="24"/>
          <w:shd w:val="clear" w:color="auto" w:fill="FFFFFF"/>
        </w:rPr>
        <w:t xml:space="preserve"> </w:t>
      </w:r>
      <w:r w:rsidR="00C42387" w:rsidRPr="00C42387">
        <w:rPr>
          <w:rFonts w:ascii="Times New Roman" w:hAnsi="Times New Roman"/>
          <w:color w:val="000000"/>
          <w:sz w:val="24"/>
          <w:szCs w:val="24"/>
          <w:shd w:val="clear" w:color="auto" w:fill="FFFFFF"/>
        </w:rPr>
        <w:t>која</w:t>
      </w:r>
      <w:r w:rsidRPr="00C42387">
        <w:rPr>
          <w:rFonts w:ascii="Times New Roman" w:hAnsi="Times New Roman"/>
          <w:color w:val="000000"/>
          <w:sz w:val="24"/>
          <w:szCs w:val="24"/>
          <w:shd w:val="clear" w:color="auto" w:fill="FFFFFF"/>
        </w:rPr>
        <w:t xml:space="preserve"> </w:t>
      </w:r>
      <w:r w:rsidR="00C42387" w:rsidRPr="00C42387">
        <w:rPr>
          <w:rFonts w:ascii="Times New Roman" w:hAnsi="Times New Roman"/>
          <w:color w:val="000000"/>
          <w:sz w:val="24"/>
          <w:szCs w:val="24"/>
          <w:shd w:val="clear" w:color="auto" w:fill="FFFFFF"/>
        </w:rPr>
        <w:t>су</w:t>
      </w:r>
      <w:r w:rsidRPr="00C42387">
        <w:rPr>
          <w:rFonts w:ascii="Times New Roman" w:hAnsi="Times New Roman"/>
          <w:color w:val="000000"/>
          <w:sz w:val="24"/>
          <w:szCs w:val="24"/>
          <w:shd w:val="clear" w:color="auto" w:fill="FFFFFF"/>
        </w:rPr>
        <w:t xml:space="preserve"> </w:t>
      </w:r>
      <w:r w:rsidR="00C42387" w:rsidRPr="00C42387">
        <w:rPr>
          <w:rFonts w:ascii="Times New Roman" w:hAnsi="Times New Roman"/>
          <w:color w:val="000000"/>
          <w:sz w:val="24"/>
          <w:szCs w:val="24"/>
          <w:shd w:val="clear" w:color="auto" w:fill="FFFFFF"/>
        </w:rPr>
        <w:t>у</w:t>
      </w:r>
      <w:r w:rsidRPr="00C42387">
        <w:rPr>
          <w:rFonts w:ascii="Times New Roman" w:hAnsi="Times New Roman"/>
          <w:color w:val="000000"/>
          <w:sz w:val="24"/>
          <w:szCs w:val="24"/>
          <w:shd w:val="clear" w:color="auto" w:fill="FFFFFF"/>
        </w:rPr>
        <w:t xml:space="preserve"> </w:t>
      </w:r>
      <w:r w:rsidR="00C42387" w:rsidRPr="00C42387">
        <w:rPr>
          <w:rFonts w:ascii="Times New Roman" w:hAnsi="Times New Roman"/>
          <w:color w:val="000000"/>
          <w:sz w:val="24"/>
          <w:szCs w:val="24"/>
          <w:shd w:val="clear" w:color="auto" w:fill="FFFFFF"/>
        </w:rPr>
        <w:t>календарској</w:t>
      </w:r>
      <w:r w:rsidRPr="00C42387">
        <w:rPr>
          <w:rFonts w:ascii="Times New Roman" w:hAnsi="Times New Roman"/>
          <w:color w:val="000000"/>
          <w:sz w:val="24"/>
          <w:szCs w:val="24"/>
          <w:shd w:val="clear" w:color="auto" w:fill="FFFFFF"/>
        </w:rPr>
        <w:t xml:space="preserve"> </w:t>
      </w:r>
      <w:r w:rsidR="00C42387" w:rsidRPr="00C42387">
        <w:rPr>
          <w:rFonts w:ascii="Times New Roman" w:hAnsi="Times New Roman"/>
          <w:color w:val="000000"/>
          <w:sz w:val="24"/>
          <w:szCs w:val="24"/>
          <w:shd w:val="clear" w:color="auto" w:fill="FFFFFF"/>
        </w:rPr>
        <w:t>години</w:t>
      </w:r>
      <w:r w:rsidRPr="00C42387">
        <w:rPr>
          <w:rFonts w:ascii="Times New Roman" w:hAnsi="Times New Roman"/>
          <w:color w:val="000000"/>
          <w:sz w:val="24"/>
          <w:szCs w:val="24"/>
          <w:shd w:val="clear" w:color="auto" w:fill="FFFFFF"/>
        </w:rPr>
        <w:t xml:space="preserve"> </w:t>
      </w:r>
      <w:r w:rsidR="00C42387" w:rsidRPr="00C42387">
        <w:rPr>
          <w:rFonts w:ascii="Times New Roman" w:hAnsi="Times New Roman"/>
          <w:color w:val="000000"/>
          <w:sz w:val="24"/>
          <w:szCs w:val="24"/>
          <w:shd w:val="clear" w:color="auto" w:fill="FFFFFF"/>
        </w:rPr>
        <w:t>остварила</w:t>
      </w:r>
      <w:r w:rsidRPr="00C42387">
        <w:rPr>
          <w:rFonts w:ascii="Times New Roman" w:hAnsi="Times New Roman"/>
          <w:color w:val="000000"/>
          <w:sz w:val="24"/>
          <w:szCs w:val="24"/>
          <w:shd w:val="clear" w:color="auto" w:fill="FFFFFF"/>
        </w:rPr>
        <w:t xml:space="preserve"> </w:t>
      </w:r>
      <w:r w:rsidR="00C42387" w:rsidRPr="00C42387">
        <w:rPr>
          <w:rFonts w:ascii="Times New Roman" w:hAnsi="Times New Roman"/>
          <w:color w:val="000000"/>
          <w:sz w:val="24"/>
          <w:szCs w:val="24"/>
          <w:shd w:val="clear" w:color="auto" w:fill="FFFFFF"/>
        </w:rPr>
        <w:t>доходак</w:t>
      </w:r>
      <w:r w:rsidRPr="00C42387">
        <w:rPr>
          <w:rFonts w:ascii="Times New Roman" w:hAnsi="Times New Roman"/>
          <w:color w:val="000000"/>
          <w:sz w:val="24"/>
          <w:szCs w:val="24"/>
          <w:shd w:val="clear" w:color="auto" w:fill="FFFFFF"/>
        </w:rPr>
        <w:t xml:space="preserve"> </w:t>
      </w:r>
      <w:r w:rsidR="00C42387" w:rsidRPr="00C42387">
        <w:rPr>
          <w:rFonts w:ascii="Times New Roman" w:hAnsi="Times New Roman"/>
          <w:color w:val="000000"/>
          <w:sz w:val="24"/>
          <w:szCs w:val="24"/>
          <w:shd w:val="clear" w:color="auto" w:fill="FFFFFF"/>
        </w:rPr>
        <w:t>већи</w:t>
      </w:r>
      <w:r w:rsidRPr="00C42387">
        <w:rPr>
          <w:rFonts w:ascii="Times New Roman" w:hAnsi="Times New Roman"/>
          <w:color w:val="000000"/>
          <w:sz w:val="24"/>
          <w:szCs w:val="24"/>
          <w:shd w:val="clear" w:color="auto" w:fill="FFFFFF"/>
        </w:rPr>
        <w:t xml:space="preserve"> </w:t>
      </w:r>
      <w:r w:rsidR="00C42387" w:rsidRPr="00C42387">
        <w:rPr>
          <w:rFonts w:ascii="Times New Roman" w:hAnsi="Times New Roman"/>
          <w:color w:val="000000"/>
          <w:sz w:val="24"/>
          <w:szCs w:val="24"/>
          <w:shd w:val="clear" w:color="auto" w:fill="FFFFFF"/>
        </w:rPr>
        <w:t>од</w:t>
      </w:r>
      <w:r w:rsidRPr="00C42387">
        <w:rPr>
          <w:rFonts w:ascii="Times New Roman" w:hAnsi="Times New Roman"/>
          <w:color w:val="000000"/>
          <w:sz w:val="24"/>
          <w:szCs w:val="24"/>
          <w:shd w:val="clear" w:color="auto" w:fill="FFFFFF"/>
        </w:rPr>
        <w:t xml:space="preserve"> </w:t>
      </w:r>
      <w:r w:rsidR="00C42387" w:rsidRPr="00C42387">
        <w:rPr>
          <w:rFonts w:ascii="Times New Roman" w:hAnsi="Times New Roman"/>
          <w:color w:val="000000"/>
          <w:sz w:val="24"/>
          <w:szCs w:val="24"/>
          <w:shd w:val="clear" w:color="auto" w:fill="FFFFFF"/>
        </w:rPr>
        <w:t>троструког</w:t>
      </w:r>
      <w:r w:rsidRPr="00C42387">
        <w:rPr>
          <w:rFonts w:ascii="Times New Roman" w:hAnsi="Times New Roman"/>
          <w:color w:val="000000"/>
          <w:sz w:val="24"/>
          <w:szCs w:val="24"/>
          <w:shd w:val="clear" w:color="auto" w:fill="FFFFFF"/>
        </w:rPr>
        <w:t xml:space="preserve"> </w:t>
      </w:r>
      <w:r w:rsidR="00C42387" w:rsidRPr="00C42387">
        <w:rPr>
          <w:rFonts w:ascii="Times New Roman" w:hAnsi="Times New Roman"/>
          <w:color w:val="000000"/>
          <w:sz w:val="24"/>
          <w:szCs w:val="24"/>
          <w:shd w:val="clear" w:color="auto" w:fill="FFFFFF"/>
        </w:rPr>
        <w:t>износа</w:t>
      </w:r>
      <w:r w:rsidRPr="00C42387">
        <w:rPr>
          <w:rFonts w:ascii="Times New Roman" w:hAnsi="Times New Roman"/>
          <w:color w:val="000000"/>
          <w:sz w:val="24"/>
          <w:szCs w:val="24"/>
          <w:shd w:val="clear" w:color="auto" w:fill="FFFFFF"/>
        </w:rPr>
        <w:t xml:space="preserve"> </w:t>
      </w:r>
      <w:r w:rsidR="00C42387" w:rsidRPr="00C42387">
        <w:rPr>
          <w:rFonts w:ascii="Times New Roman" w:hAnsi="Times New Roman"/>
          <w:color w:val="000000"/>
          <w:sz w:val="24"/>
          <w:szCs w:val="24"/>
          <w:shd w:val="clear" w:color="auto" w:fill="FFFFFF"/>
        </w:rPr>
        <w:t>просечне</w:t>
      </w:r>
      <w:r w:rsidRPr="00C42387">
        <w:rPr>
          <w:rFonts w:ascii="Times New Roman" w:hAnsi="Times New Roman"/>
          <w:color w:val="000000"/>
          <w:sz w:val="24"/>
          <w:szCs w:val="24"/>
          <w:shd w:val="clear" w:color="auto" w:fill="FFFFFF"/>
        </w:rPr>
        <w:t xml:space="preserve"> </w:t>
      </w:r>
      <w:r w:rsidR="00C42387" w:rsidRPr="00C42387">
        <w:rPr>
          <w:rFonts w:ascii="Times New Roman" w:hAnsi="Times New Roman"/>
          <w:color w:val="000000"/>
          <w:sz w:val="24"/>
          <w:szCs w:val="24"/>
          <w:shd w:val="clear" w:color="auto" w:fill="FFFFFF"/>
        </w:rPr>
        <w:t>годишње</w:t>
      </w:r>
      <w:r w:rsidRPr="00C42387">
        <w:rPr>
          <w:rFonts w:ascii="Times New Roman" w:hAnsi="Times New Roman"/>
          <w:color w:val="000000"/>
          <w:sz w:val="24"/>
          <w:szCs w:val="24"/>
          <w:shd w:val="clear" w:color="auto" w:fill="FFFFFF"/>
        </w:rPr>
        <w:t xml:space="preserve"> </w:t>
      </w:r>
      <w:r w:rsidR="00C42387" w:rsidRPr="00C42387">
        <w:rPr>
          <w:rFonts w:ascii="Times New Roman" w:hAnsi="Times New Roman"/>
          <w:color w:val="000000"/>
          <w:sz w:val="24"/>
          <w:szCs w:val="24"/>
          <w:shd w:val="clear" w:color="auto" w:fill="FFFFFF"/>
        </w:rPr>
        <w:t>зараде</w:t>
      </w:r>
      <w:r w:rsidRPr="00C42387">
        <w:rPr>
          <w:rFonts w:ascii="Times New Roman" w:hAnsi="Times New Roman"/>
          <w:color w:val="000000"/>
          <w:sz w:val="24"/>
          <w:szCs w:val="24"/>
          <w:shd w:val="clear" w:color="auto" w:fill="FFFFFF"/>
        </w:rPr>
        <w:t xml:space="preserve"> </w:t>
      </w:r>
      <w:r w:rsidR="00C42387" w:rsidRPr="00C42387">
        <w:rPr>
          <w:rFonts w:ascii="Times New Roman" w:hAnsi="Times New Roman"/>
          <w:color w:val="000000"/>
          <w:sz w:val="24"/>
          <w:szCs w:val="24"/>
          <w:shd w:val="clear" w:color="auto" w:fill="FFFFFF"/>
        </w:rPr>
        <w:t>по</w:t>
      </w:r>
      <w:r w:rsidRPr="00C42387">
        <w:rPr>
          <w:rFonts w:ascii="Times New Roman" w:hAnsi="Times New Roman"/>
          <w:color w:val="000000"/>
          <w:sz w:val="24"/>
          <w:szCs w:val="24"/>
          <w:shd w:val="clear" w:color="auto" w:fill="FFFFFF"/>
        </w:rPr>
        <w:t xml:space="preserve"> </w:t>
      </w:r>
      <w:r w:rsidR="00C42387" w:rsidRPr="00C42387">
        <w:rPr>
          <w:rFonts w:ascii="Times New Roman" w:hAnsi="Times New Roman"/>
          <w:color w:val="000000"/>
          <w:sz w:val="24"/>
          <w:szCs w:val="24"/>
          <w:shd w:val="clear" w:color="auto" w:fill="FFFFFF"/>
        </w:rPr>
        <w:t>запосленом</w:t>
      </w:r>
      <w:r w:rsidRPr="00C42387">
        <w:rPr>
          <w:rFonts w:ascii="Times New Roman" w:hAnsi="Times New Roman"/>
          <w:color w:val="000000"/>
          <w:sz w:val="24"/>
          <w:szCs w:val="24"/>
          <w:shd w:val="clear" w:color="auto" w:fill="FFFFFF"/>
        </w:rPr>
        <w:t xml:space="preserve"> </w:t>
      </w:r>
      <w:r w:rsidR="00C42387" w:rsidRPr="00C42387">
        <w:rPr>
          <w:rFonts w:ascii="Times New Roman" w:hAnsi="Times New Roman"/>
          <w:color w:val="000000"/>
          <w:sz w:val="24"/>
          <w:szCs w:val="24"/>
          <w:shd w:val="clear" w:color="auto" w:fill="FFFFFF"/>
        </w:rPr>
        <w:t>исплаћене</w:t>
      </w:r>
      <w:r w:rsidRPr="00C42387">
        <w:rPr>
          <w:rFonts w:ascii="Times New Roman" w:hAnsi="Times New Roman"/>
          <w:color w:val="000000"/>
          <w:sz w:val="24"/>
          <w:szCs w:val="24"/>
          <w:shd w:val="clear" w:color="auto" w:fill="FFFFFF"/>
        </w:rPr>
        <w:t xml:space="preserve"> </w:t>
      </w:r>
      <w:r w:rsidR="00C42387" w:rsidRPr="00C42387">
        <w:rPr>
          <w:rFonts w:ascii="Times New Roman" w:hAnsi="Times New Roman"/>
          <w:color w:val="000000"/>
          <w:sz w:val="24"/>
          <w:szCs w:val="24"/>
          <w:shd w:val="clear" w:color="auto" w:fill="FFFFFF"/>
        </w:rPr>
        <w:t>у</w:t>
      </w:r>
      <w:r w:rsidRPr="00C42387">
        <w:rPr>
          <w:rFonts w:ascii="Times New Roman" w:hAnsi="Times New Roman"/>
          <w:color w:val="000000"/>
          <w:sz w:val="24"/>
          <w:szCs w:val="24"/>
          <w:shd w:val="clear" w:color="auto" w:fill="FFFFFF"/>
        </w:rPr>
        <w:t xml:space="preserve"> </w:t>
      </w:r>
      <w:r w:rsidR="00C42387" w:rsidRPr="00C42387">
        <w:rPr>
          <w:rFonts w:ascii="Times New Roman" w:hAnsi="Times New Roman"/>
          <w:color w:val="000000"/>
          <w:sz w:val="24"/>
          <w:szCs w:val="24"/>
          <w:shd w:val="clear" w:color="auto" w:fill="FFFFFF"/>
        </w:rPr>
        <w:t>Републици</w:t>
      </w:r>
      <w:r w:rsidRPr="00C42387">
        <w:rPr>
          <w:rFonts w:ascii="Times New Roman" w:hAnsi="Times New Roman"/>
          <w:color w:val="000000"/>
          <w:sz w:val="24"/>
          <w:szCs w:val="24"/>
          <w:shd w:val="clear" w:color="auto" w:fill="FFFFFF"/>
        </w:rPr>
        <w:t xml:space="preserve"> </w:t>
      </w:r>
      <w:r w:rsidR="00C42387" w:rsidRPr="00C42387">
        <w:rPr>
          <w:rFonts w:ascii="Times New Roman" w:hAnsi="Times New Roman"/>
          <w:color w:val="000000"/>
          <w:sz w:val="24"/>
          <w:szCs w:val="24"/>
          <w:shd w:val="clear" w:color="auto" w:fill="FFFFFF"/>
        </w:rPr>
        <w:t>у</w:t>
      </w:r>
      <w:r w:rsidRPr="00C42387">
        <w:rPr>
          <w:rFonts w:ascii="Times New Roman" w:hAnsi="Times New Roman"/>
          <w:color w:val="000000"/>
          <w:sz w:val="24"/>
          <w:szCs w:val="24"/>
          <w:shd w:val="clear" w:color="auto" w:fill="FFFFFF"/>
        </w:rPr>
        <w:t xml:space="preserve"> </w:t>
      </w:r>
      <w:r w:rsidR="00C42387" w:rsidRPr="00C42387">
        <w:rPr>
          <w:rFonts w:ascii="Times New Roman" w:hAnsi="Times New Roman"/>
          <w:color w:val="000000"/>
          <w:sz w:val="24"/>
          <w:szCs w:val="24"/>
          <w:shd w:val="clear" w:color="auto" w:fill="FFFFFF"/>
        </w:rPr>
        <w:t>години</w:t>
      </w:r>
      <w:r w:rsidRPr="00C42387">
        <w:rPr>
          <w:rFonts w:ascii="Times New Roman" w:hAnsi="Times New Roman"/>
          <w:color w:val="000000"/>
          <w:sz w:val="24"/>
          <w:szCs w:val="24"/>
          <w:shd w:val="clear" w:color="auto" w:fill="FFFFFF"/>
        </w:rPr>
        <w:t xml:space="preserve"> </w:t>
      </w:r>
      <w:r w:rsidR="00C42387" w:rsidRPr="00C42387">
        <w:rPr>
          <w:rFonts w:ascii="Times New Roman" w:hAnsi="Times New Roman"/>
          <w:color w:val="000000"/>
          <w:sz w:val="24"/>
          <w:szCs w:val="24"/>
          <w:shd w:val="clear" w:color="auto" w:fill="FFFFFF"/>
        </w:rPr>
        <w:t>за</w:t>
      </w:r>
      <w:r w:rsidRPr="00C42387">
        <w:rPr>
          <w:rFonts w:ascii="Times New Roman" w:hAnsi="Times New Roman"/>
          <w:color w:val="000000"/>
          <w:sz w:val="24"/>
          <w:szCs w:val="24"/>
          <w:shd w:val="clear" w:color="auto" w:fill="FFFFFF"/>
        </w:rPr>
        <w:t xml:space="preserve"> </w:t>
      </w:r>
      <w:r w:rsidR="00C42387" w:rsidRPr="00C42387">
        <w:rPr>
          <w:rFonts w:ascii="Times New Roman" w:hAnsi="Times New Roman"/>
          <w:color w:val="000000"/>
          <w:sz w:val="24"/>
          <w:szCs w:val="24"/>
          <w:shd w:val="clear" w:color="auto" w:fill="FFFFFF"/>
        </w:rPr>
        <w:t>коју</w:t>
      </w:r>
      <w:r w:rsidRPr="00C42387">
        <w:rPr>
          <w:rFonts w:ascii="Times New Roman" w:hAnsi="Times New Roman"/>
          <w:color w:val="000000"/>
          <w:sz w:val="24"/>
          <w:szCs w:val="24"/>
          <w:shd w:val="clear" w:color="auto" w:fill="FFFFFF"/>
        </w:rPr>
        <w:t xml:space="preserve"> </w:t>
      </w:r>
      <w:r w:rsidR="00C42387" w:rsidRPr="00C42387">
        <w:rPr>
          <w:rFonts w:ascii="Times New Roman" w:hAnsi="Times New Roman"/>
          <w:color w:val="000000"/>
          <w:sz w:val="24"/>
          <w:szCs w:val="24"/>
          <w:shd w:val="clear" w:color="auto" w:fill="FFFFFF"/>
        </w:rPr>
        <w:t>се</w:t>
      </w:r>
      <w:r w:rsidRPr="00C42387">
        <w:rPr>
          <w:rFonts w:ascii="Times New Roman" w:hAnsi="Times New Roman"/>
          <w:color w:val="000000"/>
          <w:sz w:val="24"/>
          <w:szCs w:val="24"/>
          <w:shd w:val="clear" w:color="auto" w:fill="FFFFFF"/>
        </w:rPr>
        <w:t xml:space="preserve"> </w:t>
      </w:r>
      <w:r w:rsidR="00C42387" w:rsidRPr="00C42387">
        <w:rPr>
          <w:rFonts w:ascii="Times New Roman" w:hAnsi="Times New Roman"/>
          <w:color w:val="000000"/>
          <w:sz w:val="24"/>
          <w:szCs w:val="24"/>
          <w:shd w:val="clear" w:color="auto" w:fill="FFFFFF"/>
        </w:rPr>
        <w:t>утврђује</w:t>
      </w:r>
      <w:r w:rsidRPr="00C42387">
        <w:rPr>
          <w:rFonts w:ascii="Times New Roman" w:hAnsi="Times New Roman"/>
          <w:color w:val="000000"/>
          <w:sz w:val="24"/>
          <w:szCs w:val="24"/>
          <w:shd w:val="clear" w:color="auto" w:fill="FFFFFF"/>
        </w:rPr>
        <w:t xml:space="preserve"> </w:t>
      </w:r>
      <w:r w:rsidR="00C42387" w:rsidRPr="00C42387">
        <w:rPr>
          <w:rFonts w:ascii="Times New Roman" w:hAnsi="Times New Roman"/>
          <w:color w:val="000000"/>
          <w:sz w:val="24"/>
          <w:szCs w:val="24"/>
          <w:shd w:val="clear" w:color="auto" w:fill="FFFFFF"/>
        </w:rPr>
        <w:t>порез</w:t>
      </w:r>
      <w:r w:rsidRPr="00C42387">
        <w:rPr>
          <w:rFonts w:ascii="Times New Roman" w:hAnsi="Times New Roman"/>
          <w:color w:val="000000"/>
          <w:sz w:val="24"/>
          <w:szCs w:val="24"/>
          <w:shd w:val="clear" w:color="auto" w:fill="FFFFFF"/>
        </w:rPr>
        <w:t xml:space="preserve">, </w:t>
      </w:r>
      <w:r w:rsidR="00C42387" w:rsidRPr="00C42387">
        <w:rPr>
          <w:rFonts w:ascii="Times New Roman" w:hAnsi="Times New Roman"/>
          <w:color w:val="000000"/>
          <w:sz w:val="24"/>
          <w:szCs w:val="24"/>
          <w:shd w:val="clear" w:color="auto" w:fill="FFFFFF"/>
        </w:rPr>
        <w:t>према</w:t>
      </w:r>
      <w:r w:rsidRPr="00C42387">
        <w:rPr>
          <w:rFonts w:ascii="Times New Roman" w:hAnsi="Times New Roman"/>
          <w:color w:val="000000"/>
          <w:sz w:val="24"/>
          <w:szCs w:val="24"/>
          <w:shd w:val="clear" w:color="auto" w:fill="FFFFFF"/>
        </w:rPr>
        <w:t xml:space="preserve"> </w:t>
      </w:r>
      <w:r w:rsidR="00C42387" w:rsidRPr="00C42387">
        <w:rPr>
          <w:rFonts w:ascii="Times New Roman" w:hAnsi="Times New Roman"/>
          <w:color w:val="000000"/>
          <w:sz w:val="24"/>
          <w:szCs w:val="24"/>
          <w:shd w:val="clear" w:color="auto" w:fill="FFFFFF"/>
        </w:rPr>
        <w:t>подацима</w:t>
      </w:r>
      <w:r w:rsidRPr="00C42387">
        <w:rPr>
          <w:rFonts w:ascii="Times New Roman" w:hAnsi="Times New Roman"/>
          <w:color w:val="000000"/>
          <w:sz w:val="24"/>
          <w:szCs w:val="24"/>
          <w:shd w:val="clear" w:color="auto" w:fill="FFFFFF"/>
        </w:rPr>
        <w:t xml:space="preserve"> </w:t>
      </w:r>
      <w:r w:rsidR="00C42387" w:rsidRPr="00C42387">
        <w:rPr>
          <w:rFonts w:ascii="Times New Roman" w:hAnsi="Times New Roman"/>
          <w:color w:val="000000"/>
          <w:sz w:val="24"/>
          <w:szCs w:val="24"/>
          <w:shd w:val="clear" w:color="auto" w:fill="FFFFFF"/>
        </w:rPr>
        <w:t>републичког</w:t>
      </w:r>
      <w:r w:rsidRPr="00C42387">
        <w:rPr>
          <w:rFonts w:ascii="Times New Roman" w:hAnsi="Times New Roman"/>
          <w:color w:val="000000"/>
          <w:sz w:val="24"/>
          <w:szCs w:val="24"/>
          <w:shd w:val="clear" w:color="auto" w:fill="FFFFFF"/>
        </w:rPr>
        <w:t xml:space="preserve"> </w:t>
      </w:r>
      <w:r w:rsidR="00C42387" w:rsidRPr="00C42387">
        <w:rPr>
          <w:rFonts w:ascii="Times New Roman" w:hAnsi="Times New Roman"/>
          <w:color w:val="000000"/>
          <w:sz w:val="24"/>
          <w:szCs w:val="24"/>
          <w:shd w:val="clear" w:color="auto" w:fill="FFFFFF"/>
        </w:rPr>
        <w:t>органа</w:t>
      </w:r>
      <w:r w:rsidRPr="00C42387">
        <w:rPr>
          <w:rFonts w:ascii="Times New Roman" w:hAnsi="Times New Roman"/>
          <w:color w:val="000000"/>
          <w:sz w:val="24"/>
          <w:szCs w:val="24"/>
          <w:shd w:val="clear" w:color="auto" w:fill="FFFFFF"/>
        </w:rPr>
        <w:t xml:space="preserve"> </w:t>
      </w:r>
      <w:r w:rsidR="00C42387" w:rsidRPr="00C42387">
        <w:rPr>
          <w:rFonts w:ascii="Times New Roman" w:hAnsi="Times New Roman"/>
          <w:color w:val="000000"/>
          <w:sz w:val="24"/>
          <w:szCs w:val="24"/>
          <w:shd w:val="clear" w:color="auto" w:fill="FFFFFF"/>
        </w:rPr>
        <w:t>надлежног</w:t>
      </w:r>
      <w:r w:rsidRPr="00C42387">
        <w:rPr>
          <w:rFonts w:ascii="Times New Roman" w:hAnsi="Times New Roman"/>
          <w:color w:val="000000"/>
          <w:sz w:val="24"/>
          <w:szCs w:val="24"/>
          <w:shd w:val="clear" w:color="auto" w:fill="FFFFFF"/>
        </w:rPr>
        <w:t xml:space="preserve"> </w:t>
      </w:r>
      <w:r w:rsidR="00C42387" w:rsidRPr="00C42387">
        <w:rPr>
          <w:rFonts w:ascii="Times New Roman" w:hAnsi="Times New Roman"/>
          <w:color w:val="000000"/>
          <w:sz w:val="24"/>
          <w:szCs w:val="24"/>
          <w:shd w:val="clear" w:color="auto" w:fill="FFFFFF"/>
        </w:rPr>
        <w:t>за</w:t>
      </w:r>
      <w:r w:rsidRPr="00C42387">
        <w:rPr>
          <w:rFonts w:ascii="Times New Roman" w:hAnsi="Times New Roman"/>
          <w:color w:val="000000"/>
          <w:sz w:val="24"/>
          <w:szCs w:val="24"/>
          <w:shd w:val="clear" w:color="auto" w:fill="FFFFFF"/>
        </w:rPr>
        <w:t xml:space="preserve"> </w:t>
      </w:r>
      <w:r w:rsidR="00C42387" w:rsidRPr="00C42387">
        <w:rPr>
          <w:rFonts w:ascii="Times New Roman" w:hAnsi="Times New Roman"/>
          <w:color w:val="000000"/>
          <w:sz w:val="24"/>
          <w:szCs w:val="24"/>
          <w:shd w:val="clear" w:color="auto" w:fill="FFFFFF"/>
        </w:rPr>
        <w:t>послове</w:t>
      </w:r>
      <w:r w:rsidRPr="00C42387">
        <w:rPr>
          <w:rFonts w:ascii="Times New Roman" w:hAnsi="Times New Roman"/>
          <w:color w:val="000000"/>
          <w:sz w:val="24"/>
          <w:szCs w:val="24"/>
          <w:shd w:val="clear" w:color="auto" w:fill="FFFFFF"/>
        </w:rPr>
        <w:t xml:space="preserve"> </w:t>
      </w:r>
      <w:r w:rsidR="00C42387" w:rsidRPr="00C42387">
        <w:rPr>
          <w:rFonts w:ascii="Times New Roman" w:hAnsi="Times New Roman"/>
          <w:color w:val="000000"/>
          <w:sz w:val="24"/>
          <w:szCs w:val="24"/>
          <w:shd w:val="clear" w:color="auto" w:fill="FFFFFF"/>
        </w:rPr>
        <w:t>статистике</w:t>
      </w:r>
      <w:r w:rsidRPr="00C42387">
        <w:rPr>
          <w:rFonts w:ascii="Times New Roman" w:hAnsi="Times New Roman"/>
          <w:color w:val="000000"/>
          <w:sz w:val="24"/>
          <w:szCs w:val="24"/>
          <w:shd w:val="clear" w:color="auto" w:fill="FFFFFF"/>
          <w:lang w:val="sr-Cyrl-CS"/>
        </w:rPr>
        <w:t xml:space="preserve">, што значи да се ради о синтетичком порезу који се плаћа на целокупну суму </w:t>
      </w:r>
      <w:r w:rsidR="0028385A" w:rsidRPr="00C42387">
        <w:rPr>
          <w:rFonts w:ascii="Times New Roman" w:hAnsi="Times New Roman"/>
          <w:color w:val="000000"/>
          <w:sz w:val="24"/>
          <w:szCs w:val="24"/>
          <w:shd w:val="clear" w:color="auto" w:fill="FFFFFF"/>
          <w:lang w:val="sr-Cyrl-CS"/>
        </w:rPr>
        <w:t>свих прихода остварених у току године.</w:t>
      </w:r>
      <w:r w:rsidRPr="00C42387">
        <w:rPr>
          <w:rStyle w:val="FootnoteReference"/>
          <w:rFonts w:ascii="Times New Roman" w:hAnsi="Times New Roman"/>
          <w:color w:val="000000"/>
          <w:sz w:val="24"/>
          <w:szCs w:val="24"/>
          <w:shd w:val="clear" w:color="auto" w:fill="FFFFFF"/>
          <w:lang w:val="sr-Cyrl-CS"/>
        </w:rPr>
        <w:footnoteReference w:id="433"/>
      </w:r>
      <w:r w:rsidR="0028385A" w:rsidRPr="00C42387">
        <w:rPr>
          <w:rFonts w:ascii="Times New Roman" w:hAnsi="Times New Roman"/>
          <w:color w:val="000000"/>
          <w:sz w:val="24"/>
          <w:szCs w:val="24"/>
          <w:shd w:val="clear" w:color="auto" w:fill="FFFFFF"/>
          <w:lang w:val="sr-Cyrl-CS"/>
        </w:rPr>
        <w:t xml:space="preserve"> Из наведеног произилази да се у Србији примењује мешовити систем, односно и глобално и </w:t>
      </w:r>
      <w:r w:rsidR="00EA2449" w:rsidRPr="00C42387">
        <w:rPr>
          <w:rFonts w:ascii="Times New Roman" w:hAnsi="Times New Roman"/>
          <w:color w:val="000000"/>
          <w:sz w:val="24"/>
          <w:szCs w:val="24"/>
          <w:shd w:val="clear" w:color="auto" w:fill="FFFFFF"/>
          <w:lang w:val="sr-Cyrl-CS"/>
        </w:rPr>
        <w:t>цедуларно опорезивање јер се сви приходи, осим неких изузетака, опорезују цедуларно током године, а годишњи порез на доходак додатно плаћају лица која остваре приход изнад одређеног нивоа плаћања</w:t>
      </w:r>
      <w:r w:rsidR="00EA2449">
        <w:rPr>
          <w:rFonts w:ascii="Arial" w:hAnsi="Arial" w:cs="Arial"/>
          <w:color w:val="000000"/>
          <w:sz w:val="18"/>
          <w:szCs w:val="18"/>
          <w:shd w:val="clear" w:color="auto" w:fill="FFFFFF"/>
          <w:lang w:val="sr-Cyrl-CS"/>
        </w:rPr>
        <w:t>.</w:t>
      </w:r>
    </w:p>
    <w:p w:rsidR="00802618" w:rsidRDefault="002D5462" w:rsidP="003C4DB5">
      <w:pPr>
        <w:ind w:firstLine="708"/>
        <w:jc w:val="both"/>
        <w:rPr>
          <w:rFonts w:ascii="Times New Roman" w:hAnsi="Times New Roman"/>
          <w:color w:val="000000"/>
          <w:sz w:val="24"/>
          <w:szCs w:val="24"/>
          <w:shd w:val="clear" w:color="auto" w:fill="FFFFFF"/>
          <w:lang w:val="sr-Cyrl-CS"/>
        </w:rPr>
      </w:pPr>
      <w:r>
        <w:rPr>
          <w:rFonts w:ascii="Times New Roman" w:hAnsi="Times New Roman"/>
          <w:color w:val="000000"/>
          <w:sz w:val="24"/>
          <w:szCs w:val="24"/>
          <w:shd w:val="clear" w:color="auto" w:fill="FFFFFF"/>
          <w:lang w:val="sr-Cyrl-CS"/>
        </w:rPr>
        <w:t>М</w:t>
      </w:r>
      <w:r w:rsidR="00802618">
        <w:rPr>
          <w:rFonts w:ascii="Times New Roman" w:hAnsi="Times New Roman"/>
          <w:color w:val="000000"/>
          <w:sz w:val="24"/>
          <w:szCs w:val="24"/>
          <w:shd w:val="clear" w:color="auto" w:fill="FFFFFF"/>
          <w:lang w:val="sr-Cyrl-CS"/>
        </w:rPr>
        <w:t>еш</w:t>
      </w:r>
      <w:r>
        <w:rPr>
          <w:rFonts w:ascii="Times New Roman" w:hAnsi="Times New Roman"/>
          <w:color w:val="000000"/>
          <w:sz w:val="24"/>
          <w:szCs w:val="24"/>
          <w:shd w:val="clear" w:color="auto" w:fill="FFFFFF"/>
          <w:lang w:val="sr-Cyrl-CS"/>
        </w:rPr>
        <w:t>овит систем опорезивања дохотка</w:t>
      </w:r>
      <w:r w:rsidR="00802618">
        <w:rPr>
          <w:rFonts w:ascii="Times New Roman" w:hAnsi="Times New Roman"/>
          <w:color w:val="000000"/>
          <w:sz w:val="24"/>
          <w:szCs w:val="24"/>
          <w:shd w:val="clear" w:color="auto" w:fill="FFFFFF"/>
          <w:lang w:val="sr-Cyrl-CS"/>
        </w:rPr>
        <w:t xml:space="preserve"> </w:t>
      </w:r>
      <w:r>
        <w:rPr>
          <w:rFonts w:ascii="Times New Roman" w:hAnsi="Times New Roman"/>
          <w:color w:val="000000"/>
          <w:sz w:val="24"/>
          <w:szCs w:val="24"/>
          <w:shd w:val="clear" w:color="auto" w:fill="FFFFFF"/>
          <w:lang w:val="sr-Cyrl-CS"/>
        </w:rPr>
        <w:t>заснован је на</w:t>
      </w:r>
      <w:r w:rsidR="008844ED">
        <w:rPr>
          <w:rFonts w:ascii="Times New Roman" w:hAnsi="Times New Roman"/>
          <w:color w:val="000000"/>
          <w:sz w:val="24"/>
          <w:szCs w:val="24"/>
          <w:shd w:val="clear" w:color="auto" w:fill="FFFFFF"/>
          <w:lang w:val="sr-Cyrl-CS"/>
        </w:rPr>
        <w:t xml:space="preserve"> цедуларно</w:t>
      </w:r>
      <w:r>
        <w:rPr>
          <w:rFonts w:ascii="Times New Roman" w:hAnsi="Times New Roman"/>
          <w:color w:val="000000"/>
          <w:sz w:val="24"/>
          <w:szCs w:val="24"/>
          <w:shd w:val="clear" w:color="auto" w:fill="FFFFFF"/>
          <w:lang w:val="sr-Cyrl-CS"/>
        </w:rPr>
        <w:t>м опорезивању</w:t>
      </w:r>
      <w:r w:rsidR="008844ED">
        <w:rPr>
          <w:rFonts w:ascii="Times New Roman" w:hAnsi="Times New Roman"/>
          <w:color w:val="000000"/>
          <w:sz w:val="24"/>
          <w:szCs w:val="24"/>
          <w:shd w:val="clear" w:color="auto" w:fill="FFFFFF"/>
          <w:lang w:val="sr-Cyrl-CS"/>
        </w:rPr>
        <w:t xml:space="preserve"> на</w:t>
      </w:r>
      <w:r w:rsidR="00802618">
        <w:rPr>
          <w:rFonts w:ascii="Times New Roman" w:hAnsi="Times New Roman"/>
          <w:color w:val="000000"/>
          <w:sz w:val="24"/>
          <w:szCs w:val="24"/>
          <w:shd w:val="clear" w:color="auto" w:fill="FFFFFF"/>
          <w:lang w:val="sr-Cyrl-CS"/>
        </w:rPr>
        <w:t xml:space="preserve"> које се надовезује комплементарни порез на укупан приход који се плаћа на крају године ако се остваре укупни приходи преко неког законом одређеног износа. Цедуларно опорезивање се врши применом пропорционалних стопа, док се на износ преко законских граница по правилу примењују прогресивне пореске стопе.</w:t>
      </w:r>
      <w:r w:rsidR="00275621">
        <w:rPr>
          <w:rFonts w:ascii="Times New Roman" w:hAnsi="Times New Roman"/>
          <w:color w:val="000000"/>
          <w:sz w:val="24"/>
          <w:szCs w:val="24"/>
          <w:shd w:val="clear" w:color="auto" w:fill="FFFFFF"/>
          <w:lang w:val="sr-Cyrl-CS"/>
        </w:rPr>
        <w:t xml:space="preserve"> </w:t>
      </w:r>
      <w:r w:rsidR="00802618">
        <w:rPr>
          <w:rFonts w:ascii="Times New Roman" w:hAnsi="Times New Roman"/>
          <w:color w:val="000000"/>
          <w:sz w:val="24"/>
          <w:szCs w:val="24"/>
          <w:shd w:val="clear" w:color="auto" w:fill="FFFFFF"/>
          <w:lang w:val="sr-Cyrl-CS"/>
        </w:rPr>
        <w:t xml:space="preserve">Овај систем био је у примени малог броја земаља, на пример у ранијој Југославији, односно све доскора у Португалији. </w:t>
      </w:r>
      <w:r w:rsidR="004C4E11">
        <w:rPr>
          <w:rFonts w:ascii="Times New Roman" w:hAnsi="Times New Roman"/>
          <w:color w:val="000000"/>
          <w:sz w:val="24"/>
          <w:szCs w:val="24"/>
          <w:shd w:val="clear" w:color="auto" w:fill="FFFFFF"/>
          <w:lang w:val="sr-Cyrl-CS"/>
        </w:rPr>
        <w:t xml:space="preserve">У примени је у Србији поново почев од 2001. </w:t>
      </w:r>
      <w:r w:rsidR="006F1195">
        <w:rPr>
          <w:rFonts w:ascii="Times New Roman" w:hAnsi="Times New Roman"/>
          <w:color w:val="000000"/>
          <w:sz w:val="24"/>
          <w:szCs w:val="24"/>
          <w:shd w:val="clear" w:color="auto" w:fill="FFFFFF"/>
          <w:lang w:val="sr-Cyrl-CS"/>
        </w:rPr>
        <w:t>г</w:t>
      </w:r>
      <w:r w:rsidR="004C4E11">
        <w:rPr>
          <w:rFonts w:ascii="Times New Roman" w:hAnsi="Times New Roman"/>
          <w:color w:val="000000"/>
          <w:sz w:val="24"/>
          <w:szCs w:val="24"/>
          <w:shd w:val="clear" w:color="auto" w:fill="FFFFFF"/>
          <w:lang w:val="sr-Cyrl-CS"/>
        </w:rPr>
        <w:t>одине. У већини земаља света, у земљама чланицама ОЕЦД посебно, примењује се систем глобалног пореза на доходак, будући да је погоднији за остваривање, поред фискалних, бројних екстрафискалних циљева опорезивања.</w:t>
      </w:r>
    </w:p>
    <w:p w:rsidR="00687EC3" w:rsidRPr="00FB5A28" w:rsidRDefault="00EA2449" w:rsidP="00FB5A28">
      <w:pPr>
        <w:ind w:firstLine="708"/>
        <w:jc w:val="both"/>
        <w:rPr>
          <w:rFonts w:ascii="Times New Roman" w:hAnsi="Times New Roman"/>
          <w:color w:val="000000"/>
          <w:sz w:val="24"/>
          <w:szCs w:val="24"/>
          <w:shd w:val="clear" w:color="auto" w:fill="FFFFFF"/>
          <w:lang w:val="sr-Cyrl-CS"/>
        </w:rPr>
      </w:pPr>
      <w:r>
        <w:rPr>
          <w:rFonts w:ascii="Times New Roman" w:hAnsi="Times New Roman"/>
          <w:color w:val="000000"/>
          <w:sz w:val="24"/>
          <w:szCs w:val="24"/>
          <w:shd w:val="clear" w:color="auto" w:fill="FFFFFF"/>
          <w:lang w:val="sr-Cyrl-CS"/>
        </w:rPr>
        <w:t>Према домаћо</w:t>
      </w:r>
      <w:r w:rsidR="00275621">
        <w:rPr>
          <w:rFonts w:ascii="Times New Roman" w:hAnsi="Times New Roman"/>
          <w:color w:val="000000"/>
          <w:sz w:val="24"/>
          <w:szCs w:val="24"/>
          <w:shd w:val="clear" w:color="auto" w:fill="FFFFFF"/>
          <w:lang w:val="sr-Cyrl-CS"/>
        </w:rPr>
        <w:t>ј правној регулативи сви приходи</w:t>
      </w:r>
      <w:r>
        <w:rPr>
          <w:rFonts w:ascii="Times New Roman" w:hAnsi="Times New Roman"/>
          <w:color w:val="000000"/>
          <w:sz w:val="24"/>
          <w:szCs w:val="24"/>
          <w:shd w:val="clear" w:color="auto" w:fill="FFFFFF"/>
          <w:lang w:val="sr-Cyrl-CS"/>
        </w:rPr>
        <w:t xml:space="preserve"> које оствари физичко лице у току године могу се опорезивати или по систему пореза по одбитку од сваког пој</w:t>
      </w:r>
      <w:r w:rsidR="00F957E3">
        <w:rPr>
          <w:rFonts w:ascii="Times New Roman" w:hAnsi="Times New Roman"/>
          <w:color w:val="000000"/>
          <w:sz w:val="24"/>
          <w:szCs w:val="24"/>
          <w:shd w:val="clear" w:color="auto" w:fill="FFFFFF"/>
          <w:lang w:val="sr-Cyrl-CS"/>
        </w:rPr>
        <w:t>единачног прихода на извору,</w:t>
      </w:r>
      <w:r>
        <w:rPr>
          <w:rFonts w:ascii="Times New Roman" w:hAnsi="Times New Roman"/>
          <w:color w:val="000000"/>
          <w:sz w:val="24"/>
          <w:szCs w:val="24"/>
          <w:shd w:val="clear" w:color="auto" w:fill="FFFFFF"/>
          <w:lang w:val="sr-Cyrl-CS"/>
        </w:rPr>
        <w:t xml:space="preserve"> по решењу надлежног пореског органа</w:t>
      </w:r>
      <w:r w:rsidR="00F957E3">
        <w:rPr>
          <w:rFonts w:ascii="Times New Roman" w:hAnsi="Times New Roman"/>
          <w:color w:val="000000"/>
          <w:sz w:val="24"/>
          <w:szCs w:val="24"/>
          <w:shd w:val="clear" w:color="auto" w:fill="FFFFFF"/>
          <w:lang w:val="sr-Cyrl-CS"/>
        </w:rPr>
        <w:t xml:space="preserve"> или самоопорезивањем</w:t>
      </w:r>
      <w:r>
        <w:rPr>
          <w:rFonts w:ascii="Times New Roman" w:hAnsi="Times New Roman"/>
          <w:color w:val="000000"/>
          <w:sz w:val="24"/>
          <w:szCs w:val="24"/>
          <w:shd w:val="clear" w:color="auto" w:fill="FFFFFF"/>
          <w:lang w:val="sr-Cyrl-CS"/>
        </w:rPr>
        <w:t xml:space="preserve">. </w:t>
      </w:r>
    </w:p>
    <w:p w:rsidR="00687EC3" w:rsidRDefault="00497A36" w:rsidP="00275621">
      <w:pPr>
        <w:pStyle w:val="normal0"/>
        <w:shd w:val="clear" w:color="auto" w:fill="FFFFFF"/>
        <w:spacing w:before="48" w:beforeAutospacing="0" w:after="48" w:afterAutospacing="0"/>
        <w:ind w:firstLine="708"/>
        <w:jc w:val="both"/>
        <w:rPr>
          <w:color w:val="000000"/>
          <w:lang w:val="sr-Cyrl-CS"/>
        </w:rPr>
      </w:pPr>
      <w:r>
        <w:rPr>
          <w:color w:val="000000"/>
          <w:lang w:val="sr-Cyrl-CS"/>
        </w:rPr>
        <w:t xml:space="preserve">Приход представља вредност </w:t>
      </w:r>
      <w:r w:rsidR="00687EC3">
        <w:rPr>
          <w:color w:val="000000"/>
          <w:lang w:val="sr-Cyrl-CS"/>
        </w:rPr>
        <w:t xml:space="preserve">реализованих </w:t>
      </w:r>
      <w:r>
        <w:rPr>
          <w:color w:val="000000"/>
          <w:lang w:val="sr-Cyrl-CS"/>
        </w:rPr>
        <w:t>добара и услуга</w:t>
      </w:r>
      <w:r w:rsidR="00687EC3">
        <w:rPr>
          <w:color w:val="000000"/>
          <w:lang w:val="sr-Cyrl-CS"/>
        </w:rPr>
        <w:t xml:space="preserve"> на тржишту. </w:t>
      </w:r>
      <w:r>
        <w:rPr>
          <w:color w:val="000000"/>
          <w:lang w:val="sr-Cyrl-CS"/>
        </w:rPr>
        <w:t>Ради се о</w:t>
      </w:r>
      <w:r w:rsidR="00687EC3">
        <w:rPr>
          <w:color w:val="000000"/>
          <w:lang w:val="sr-Cyrl-CS"/>
        </w:rPr>
        <w:t xml:space="preserve"> повећању обвезникових средстава без обавезе </w:t>
      </w:r>
      <w:r>
        <w:rPr>
          <w:color w:val="000000"/>
          <w:lang w:val="sr-Cyrl-CS"/>
        </w:rPr>
        <w:t xml:space="preserve">враћања. Опорезиви </w:t>
      </w:r>
      <w:r w:rsidR="00687EC3">
        <w:rPr>
          <w:color w:val="000000"/>
          <w:lang w:val="sr-Cyrl-CS"/>
        </w:rPr>
        <w:t xml:space="preserve">приход </w:t>
      </w:r>
      <w:r>
        <w:rPr>
          <w:color w:val="000000"/>
          <w:lang w:val="sr-Cyrl-CS"/>
        </w:rPr>
        <w:t>се добија када се од бруто прихода одбију</w:t>
      </w:r>
      <w:r w:rsidR="00687EC3">
        <w:rPr>
          <w:color w:val="000000"/>
          <w:lang w:val="sr-Cyrl-CS"/>
        </w:rPr>
        <w:t xml:space="preserve"> </w:t>
      </w:r>
      <w:r>
        <w:rPr>
          <w:color w:val="000000"/>
          <w:lang w:val="sr-Cyrl-CS"/>
        </w:rPr>
        <w:t>трошкови</w:t>
      </w:r>
      <w:r w:rsidR="00687EC3">
        <w:rPr>
          <w:color w:val="000000"/>
          <w:lang w:val="sr-Cyrl-CS"/>
        </w:rPr>
        <w:t xml:space="preserve"> које је обвезник имао при</w:t>
      </w:r>
      <w:r w:rsidR="00275621">
        <w:rPr>
          <w:color w:val="000000"/>
          <w:lang w:val="sr-Cyrl-CS"/>
        </w:rPr>
        <w:t xml:space="preserve"> остваривању тог </w:t>
      </w:r>
      <w:r w:rsidR="00275621">
        <w:rPr>
          <w:color w:val="000000"/>
          <w:lang w:val="sr-Cyrl-CS"/>
        </w:rPr>
        <w:lastRenderedPageBreak/>
        <w:t>прихода (</w:t>
      </w:r>
      <w:r>
        <w:rPr>
          <w:color w:val="000000"/>
          <w:lang w:val="sr-Cyrl-CS"/>
        </w:rPr>
        <w:t>као што су</w:t>
      </w:r>
      <w:r w:rsidR="00275621">
        <w:rPr>
          <w:color w:val="000000"/>
          <w:lang w:val="sr-Cyrl-CS"/>
        </w:rPr>
        <w:t xml:space="preserve"> </w:t>
      </w:r>
      <w:r w:rsidR="00687EC3">
        <w:rPr>
          <w:color w:val="000000"/>
          <w:lang w:val="sr-Cyrl-CS"/>
        </w:rPr>
        <w:t>трошкови зарада запослених, зак</w:t>
      </w:r>
      <w:r>
        <w:rPr>
          <w:color w:val="000000"/>
          <w:lang w:val="sr-Cyrl-CS"/>
        </w:rPr>
        <w:t>упнина, дневнице и др.).</w:t>
      </w:r>
      <w:r w:rsidR="00687EC3">
        <w:rPr>
          <w:color w:val="000000"/>
          <w:lang w:val="sr-Cyrl-CS"/>
        </w:rPr>
        <w:t xml:space="preserve"> </w:t>
      </w:r>
      <w:r>
        <w:rPr>
          <w:color w:val="000000"/>
          <w:lang w:val="sr-Cyrl-CS"/>
        </w:rPr>
        <w:t>„</w:t>
      </w:r>
      <w:r w:rsidR="00967AF9">
        <w:rPr>
          <w:color w:val="000000"/>
          <w:lang w:val="sr-Cyrl-CS"/>
        </w:rPr>
        <w:t xml:space="preserve">Да би се неки трошак могао признати, потребно је </w:t>
      </w:r>
      <w:r w:rsidR="00275621">
        <w:rPr>
          <w:color w:val="000000"/>
          <w:lang w:val="sr-Cyrl-CS"/>
        </w:rPr>
        <w:t>да</w:t>
      </w:r>
      <w:r w:rsidR="00967AF9">
        <w:rPr>
          <w:color w:val="000000"/>
          <w:lang w:val="sr-Cyrl-CS"/>
        </w:rPr>
        <w:t>:</w:t>
      </w:r>
    </w:p>
    <w:p w:rsidR="00275621" w:rsidRDefault="00275621" w:rsidP="00275621">
      <w:pPr>
        <w:pStyle w:val="normal0"/>
        <w:shd w:val="clear" w:color="auto" w:fill="FFFFFF"/>
        <w:spacing w:before="48" w:beforeAutospacing="0" w:after="48" w:afterAutospacing="0"/>
        <w:ind w:firstLine="708"/>
        <w:jc w:val="both"/>
        <w:rPr>
          <w:color w:val="000000"/>
          <w:lang w:val="sr-Cyrl-CS"/>
        </w:rPr>
      </w:pPr>
    </w:p>
    <w:p w:rsidR="00967AF9" w:rsidRDefault="00967AF9" w:rsidP="008A3795">
      <w:pPr>
        <w:pStyle w:val="normal0"/>
        <w:numPr>
          <w:ilvl w:val="0"/>
          <w:numId w:val="23"/>
        </w:numPr>
        <w:shd w:val="clear" w:color="auto" w:fill="FFFFFF"/>
        <w:spacing w:before="48" w:beforeAutospacing="0" w:after="48" w:afterAutospacing="0"/>
        <w:rPr>
          <w:color w:val="000000"/>
          <w:lang w:val="sr-Cyrl-CS"/>
        </w:rPr>
      </w:pPr>
      <w:r>
        <w:rPr>
          <w:color w:val="000000"/>
          <w:lang w:val="sr-Cyrl-CS"/>
        </w:rPr>
        <w:t>буде уобичајен за дату врсту активности којом се приход остварује; и</w:t>
      </w:r>
    </w:p>
    <w:p w:rsidR="00967AF9" w:rsidRDefault="00967AF9" w:rsidP="008A3795">
      <w:pPr>
        <w:pStyle w:val="normal0"/>
        <w:numPr>
          <w:ilvl w:val="0"/>
          <w:numId w:val="23"/>
        </w:numPr>
        <w:shd w:val="clear" w:color="auto" w:fill="FFFFFF"/>
        <w:spacing w:before="48" w:beforeAutospacing="0" w:after="48" w:afterAutospacing="0"/>
        <w:rPr>
          <w:color w:val="000000"/>
          <w:lang w:val="sr-Cyrl-CS"/>
        </w:rPr>
      </w:pPr>
      <w:r>
        <w:rPr>
          <w:color w:val="000000"/>
          <w:lang w:val="sr-Cyrl-CS"/>
        </w:rPr>
        <w:t>да је неопходан да би се приход реализовао.</w:t>
      </w:r>
    </w:p>
    <w:p w:rsidR="00967AF9" w:rsidRDefault="00967AF9" w:rsidP="00967AF9">
      <w:pPr>
        <w:pStyle w:val="normal0"/>
        <w:shd w:val="clear" w:color="auto" w:fill="FFFFFF"/>
        <w:spacing w:before="48" w:beforeAutospacing="0" w:after="48" w:afterAutospacing="0"/>
        <w:ind w:left="720"/>
        <w:rPr>
          <w:color w:val="000000"/>
          <w:lang w:val="sr-Cyrl-CS"/>
        </w:rPr>
      </w:pPr>
    </w:p>
    <w:p w:rsidR="008844ED" w:rsidRDefault="00967AF9" w:rsidP="00E05E09">
      <w:pPr>
        <w:pStyle w:val="normal0"/>
        <w:shd w:val="clear" w:color="auto" w:fill="FFFFFF"/>
        <w:spacing w:before="48" w:beforeAutospacing="0" w:after="48" w:afterAutospacing="0"/>
        <w:ind w:firstLine="360"/>
        <w:jc w:val="both"/>
        <w:rPr>
          <w:color w:val="000000"/>
          <w:lang w:val="sr-Cyrl-CS"/>
        </w:rPr>
      </w:pPr>
      <w:r>
        <w:rPr>
          <w:color w:val="000000"/>
          <w:lang w:val="sr-Cyrl-CS"/>
        </w:rPr>
        <w:t>Пореска власти неће признати трошкове личног карактера, који не испуњавају поменуте услове. Примера ради, теле</w:t>
      </w:r>
      <w:r w:rsidR="00275621">
        <w:rPr>
          <w:color w:val="000000"/>
          <w:lang w:val="sr-Cyrl-CS"/>
        </w:rPr>
        <w:t>ф</w:t>
      </w:r>
      <w:r>
        <w:rPr>
          <w:color w:val="000000"/>
          <w:lang w:val="sr-Cyrl-CS"/>
        </w:rPr>
        <w:t>онски трошкови за приватне потребе власника радње не могу се одбити при утврђивању нет</w:t>
      </w:r>
      <w:r w:rsidR="00275621">
        <w:rPr>
          <w:color w:val="000000"/>
          <w:lang w:val="sr-Cyrl-CS"/>
        </w:rPr>
        <w:t>о прихода од самосталне делатнос</w:t>
      </w:r>
      <w:r>
        <w:rPr>
          <w:color w:val="000000"/>
          <w:lang w:val="sr-Cyrl-CS"/>
        </w:rPr>
        <w:t>ти; расходи на пословне разговоре, међутим признаће се као трошак.</w:t>
      </w:r>
      <w:r w:rsidR="00497A36">
        <w:rPr>
          <w:color w:val="000000"/>
          <w:lang w:val="sr-Cyrl-CS"/>
        </w:rPr>
        <w:t>“</w:t>
      </w:r>
      <w:r>
        <w:rPr>
          <w:rStyle w:val="FootnoteReference"/>
          <w:color w:val="000000"/>
          <w:lang w:val="sr-Cyrl-CS"/>
        </w:rPr>
        <w:footnoteReference w:id="434"/>
      </w:r>
    </w:p>
    <w:p w:rsidR="008844ED" w:rsidRPr="00687EC3" w:rsidRDefault="008844ED" w:rsidP="00967AF9">
      <w:pPr>
        <w:pStyle w:val="normal0"/>
        <w:shd w:val="clear" w:color="auto" w:fill="FFFFFF"/>
        <w:spacing w:before="48" w:beforeAutospacing="0" w:after="48" w:afterAutospacing="0"/>
        <w:ind w:left="720"/>
        <w:rPr>
          <w:color w:val="000000"/>
          <w:lang w:val="sr-Cyrl-CS"/>
        </w:rPr>
      </w:pPr>
    </w:p>
    <w:p w:rsidR="00187432" w:rsidRDefault="00187432" w:rsidP="00F957E3">
      <w:pPr>
        <w:pStyle w:val="normal0"/>
        <w:shd w:val="clear" w:color="auto" w:fill="FFFFFF"/>
        <w:spacing w:before="48" w:beforeAutospacing="0" w:after="48" w:afterAutospacing="0"/>
        <w:rPr>
          <w:rFonts w:ascii="Arial" w:hAnsi="Arial" w:cs="Arial"/>
          <w:color w:val="000000"/>
          <w:sz w:val="18"/>
          <w:szCs w:val="18"/>
          <w:lang w:val="sr-Cyrl-CS"/>
        </w:rPr>
      </w:pPr>
    </w:p>
    <w:p w:rsidR="00187432" w:rsidRDefault="00E05E09" w:rsidP="00E05E09">
      <w:pPr>
        <w:pStyle w:val="normal0"/>
        <w:numPr>
          <w:ilvl w:val="2"/>
          <w:numId w:val="3"/>
        </w:numPr>
        <w:shd w:val="clear" w:color="auto" w:fill="FFFFFF"/>
        <w:spacing w:before="48" w:beforeAutospacing="0" w:after="48" w:afterAutospacing="0"/>
        <w:jc w:val="center"/>
        <w:rPr>
          <w:b/>
          <w:color w:val="000000"/>
          <w:lang w:val="sr-Cyrl-CS"/>
        </w:rPr>
      </w:pPr>
      <w:r w:rsidRPr="00E05E09">
        <w:rPr>
          <w:b/>
          <w:color w:val="000000"/>
          <w:lang w:val="sr-Cyrl-CS"/>
        </w:rPr>
        <w:t>Предмет опорезивања</w:t>
      </w:r>
    </w:p>
    <w:p w:rsidR="00EC1BA4" w:rsidRPr="00E05E09" w:rsidRDefault="00EC1BA4" w:rsidP="00EC1BA4">
      <w:pPr>
        <w:pStyle w:val="normal0"/>
        <w:shd w:val="clear" w:color="auto" w:fill="FFFFFF"/>
        <w:spacing w:before="48" w:beforeAutospacing="0" w:after="48" w:afterAutospacing="0"/>
        <w:ind w:left="1429"/>
        <w:rPr>
          <w:b/>
          <w:color w:val="000000"/>
          <w:lang w:val="sr-Cyrl-CS"/>
        </w:rPr>
      </w:pPr>
    </w:p>
    <w:p w:rsidR="00187432" w:rsidRDefault="00187432" w:rsidP="00F957E3">
      <w:pPr>
        <w:pStyle w:val="normal0"/>
        <w:shd w:val="clear" w:color="auto" w:fill="FFFFFF"/>
        <w:spacing w:before="48" w:beforeAutospacing="0" w:after="48" w:afterAutospacing="0"/>
        <w:rPr>
          <w:rFonts w:ascii="Arial" w:hAnsi="Arial" w:cs="Arial"/>
          <w:color w:val="000000"/>
          <w:sz w:val="18"/>
          <w:szCs w:val="18"/>
        </w:rPr>
      </w:pPr>
    </w:p>
    <w:p w:rsidR="00014DFE" w:rsidRPr="00014DFE" w:rsidRDefault="00014DFE" w:rsidP="00F957E3">
      <w:pPr>
        <w:pStyle w:val="normal0"/>
        <w:shd w:val="clear" w:color="auto" w:fill="FFFFFF"/>
        <w:spacing w:before="48" w:beforeAutospacing="0" w:after="48" w:afterAutospacing="0"/>
        <w:rPr>
          <w:rFonts w:ascii="Arial" w:hAnsi="Arial" w:cs="Arial"/>
          <w:color w:val="000000"/>
          <w:sz w:val="18"/>
          <w:szCs w:val="18"/>
        </w:rPr>
      </w:pPr>
    </w:p>
    <w:p w:rsidR="00187432" w:rsidRPr="000666F6" w:rsidRDefault="00687EC3" w:rsidP="000666F6">
      <w:pPr>
        <w:pStyle w:val="normal0"/>
        <w:shd w:val="clear" w:color="auto" w:fill="FFFFFF"/>
        <w:spacing w:before="48" w:beforeAutospacing="0" w:after="48" w:afterAutospacing="0"/>
        <w:ind w:firstLine="708"/>
        <w:jc w:val="both"/>
        <w:rPr>
          <w:color w:val="000000"/>
          <w:lang w:val="sr-Cyrl-CS"/>
        </w:rPr>
      </w:pPr>
      <w:r w:rsidRPr="000666F6">
        <w:rPr>
          <w:color w:val="000000"/>
          <w:lang w:val="sr-Cyrl-CS"/>
        </w:rPr>
        <w:t>Према дефиницији у пореском закону</w:t>
      </w:r>
      <w:bookmarkStart w:id="20" w:name="clan_2"/>
      <w:bookmarkEnd w:id="20"/>
      <w:r w:rsidR="00EC1BA4" w:rsidRPr="000666F6">
        <w:rPr>
          <w:color w:val="000000"/>
          <w:lang w:val="sr-Cyrl-CS"/>
        </w:rPr>
        <w:t xml:space="preserve"> п</w:t>
      </w:r>
      <w:r w:rsidR="000666F6" w:rsidRPr="000666F6">
        <w:rPr>
          <w:color w:val="000000"/>
        </w:rPr>
        <w:t>орез</w:t>
      </w:r>
      <w:r w:rsidRPr="000666F6">
        <w:rPr>
          <w:color w:val="000000"/>
        </w:rPr>
        <w:t xml:space="preserve"> </w:t>
      </w:r>
      <w:r w:rsidR="000666F6" w:rsidRPr="000666F6">
        <w:rPr>
          <w:color w:val="000000"/>
        </w:rPr>
        <w:t>на</w:t>
      </w:r>
      <w:r w:rsidRPr="000666F6">
        <w:rPr>
          <w:color w:val="000000"/>
        </w:rPr>
        <w:t xml:space="preserve"> </w:t>
      </w:r>
      <w:r w:rsidR="000666F6" w:rsidRPr="000666F6">
        <w:rPr>
          <w:color w:val="000000"/>
        </w:rPr>
        <w:t>доходак</w:t>
      </w:r>
      <w:r w:rsidRPr="000666F6">
        <w:rPr>
          <w:color w:val="000000"/>
        </w:rPr>
        <w:t xml:space="preserve"> </w:t>
      </w:r>
      <w:r w:rsidR="000666F6" w:rsidRPr="000666F6">
        <w:rPr>
          <w:color w:val="000000"/>
        </w:rPr>
        <w:t>грађана</w:t>
      </w:r>
      <w:r w:rsidRPr="000666F6">
        <w:rPr>
          <w:color w:val="000000"/>
        </w:rPr>
        <w:t xml:space="preserve"> </w:t>
      </w:r>
      <w:r w:rsidR="000666F6" w:rsidRPr="000666F6">
        <w:rPr>
          <w:color w:val="000000"/>
        </w:rPr>
        <w:t>плаћа</w:t>
      </w:r>
      <w:r w:rsidRPr="000666F6">
        <w:rPr>
          <w:color w:val="000000"/>
        </w:rPr>
        <w:t xml:space="preserve"> </w:t>
      </w:r>
      <w:r w:rsidR="000666F6" w:rsidRPr="000666F6">
        <w:rPr>
          <w:color w:val="000000"/>
        </w:rPr>
        <w:t>се</w:t>
      </w:r>
      <w:r w:rsidRPr="000666F6">
        <w:rPr>
          <w:color w:val="000000"/>
        </w:rPr>
        <w:t xml:space="preserve"> </w:t>
      </w:r>
      <w:r w:rsidR="000666F6" w:rsidRPr="000666F6">
        <w:rPr>
          <w:color w:val="000000"/>
        </w:rPr>
        <w:t>на</w:t>
      </w:r>
      <w:r w:rsidRPr="000666F6">
        <w:rPr>
          <w:color w:val="000000"/>
        </w:rPr>
        <w:t xml:space="preserve"> </w:t>
      </w:r>
      <w:r w:rsidR="000666F6" w:rsidRPr="000666F6">
        <w:rPr>
          <w:color w:val="000000"/>
        </w:rPr>
        <w:t>приходе</w:t>
      </w:r>
      <w:r w:rsidRPr="000666F6">
        <w:rPr>
          <w:color w:val="000000"/>
        </w:rPr>
        <w:t xml:space="preserve"> </w:t>
      </w:r>
      <w:r w:rsidR="000666F6" w:rsidRPr="000666F6">
        <w:rPr>
          <w:color w:val="000000"/>
        </w:rPr>
        <w:t>из</w:t>
      </w:r>
      <w:r w:rsidRPr="000666F6">
        <w:rPr>
          <w:color w:val="000000"/>
        </w:rPr>
        <w:t xml:space="preserve"> </w:t>
      </w:r>
      <w:r w:rsidR="000666F6" w:rsidRPr="000666F6">
        <w:rPr>
          <w:color w:val="000000"/>
        </w:rPr>
        <w:t>свих</w:t>
      </w:r>
      <w:r w:rsidRPr="000666F6">
        <w:rPr>
          <w:color w:val="000000"/>
        </w:rPr>
        <w:t xml:space="preserve"> </w:t>
      </w:r>
      <w:r w:rsidR="000666F6" w:rsidRPr="000666F6">
        <w:rPr>
          <w:color w:val="000000"/>
        </w:rPr>
        <w:t>извора</w:t>
      </w:r>
      <w:r w:rsidRPr="000666F6">
        <w:rPr>
          <w:color w:val="000000"/>
        </w:rPr>
        <w:t xml:space="preserve">, </w:t>
      </w:r>
      <w:r w:rsidR="000666F6" w:rsidRPr="000666F6">
        <w:rPr>
          <w:color w:val="000000"/>
        </w:rPr>
        <w:t>осим</w:t>
      </w:r>
      <w:r w:rsidRPr="000666F6">
        <w:rPr>
          <w:color w:val="000000"/>
        </w:rPr>
        <w:t xml:space="preserve"> </w:t>
      </w:r>
      <w:r w:rsidR="000666F6" w:rsidRPr="000666F6">
        <w:rPr>
          <w:color w:val="000000"/>
        </w:rPr>
        <w:t>оних</w:t>
      </w:r>
      <w:r w:rsidRPr="000666F6">
        <w:rPr>
          <w:color w:val="000000"/>
        </w:rPr>
        <w:t xml:space="preserve"> </w:t>
      </w:r>
      <w:r w:rsidR="000666F6" w:rsidRPr="000666F6">
        <w:rPr>
          <w:color w:val="000000"/>
        </w:rPr>
        <w:t>који</w:t>
      </w:r>
      <w:r w:rsidRPr="000666F6">
        <w:rPr>
          <w:color w:val="000000"/>
        </w:rPr>
        <w:t xml:space="preserve"> </w:t>
      </w:r>
      <w:r w:rsidR="000666F6" w:rsidRPr="000666F6">
        <w:rPr>
          <w:color w:val="000000"/>
        </w:rPr>
        <w:t>су</w:t>
      </w:r>
      <w:r w:rsidRPr="000666F6">
        <w:rPr>
          <w:color w:val="000000"/>
        </w:rPr>
        <w:t xml:space="preserve"> </w:t>
      </w:r>
      <w:r w:rsidR="000666F6" w:rsidRPr="000666F6">
        <w:rPr>
          <w:color w:val="000000"/>
        </w:rPr>
        <w:t>посебно</w:t>
      </w:r>
      <w:r w:rsidRPr="000666F6">
        <w:rPr>
          <w:color w:val="000000"/>
        </w:rPr>
        <w:t xml:space="preserve"> </w:t>
      </w:r>
      <w:r w:rsidR="000666F6" w:rsidRPr="000666F6">
        <w:rPr>
          <w:color w:val="000000"/>
        </w:rPr>
        <w:t>изузети</w:t>
      </w:r>
      <w:r w:rsidRPr="000666F6">
        <w:rPr>
          <w:color w:val="000000"/>
        </w:rPr>
        <w:t xml:space="preserve"> </w:t>
      </w:r>
      <w:r w:rsidR="000666F6" w:rsidRPr="000666F6">
        <w:rPr>
          <w:color w:val="000000"/>
        </w:rPr>
        <w:t>овим</w:t>
      </w:r>
      <w:r w:rsidRPr="000666F6">
        <w:rPr>
          <w:color w:val="000000"/>
        </w:rPr>
        <w:t xml:space="preserve"> </w:t>
      </w:r>
      <w:r w:rsidR="000666F6" w:rsidRPr="000666F6">
        <w:rPr>
          <w:color w:val="000000"/>
        </w:rPr>
        <w:t>законом</w:t>
      </w:r>
      <w:bookmarkStart w:id="21" w:name="clan_3"/>
      <w:bookmarkEnd w:id="21"/>
      <w:r w:rsidR="00EC1BA4" w:rsidRPr="000666F6">
        <w:rPr>
          <w:color w:val="000000"/>
          <w:lang w:val="sr-Cyrl-CS"/>
        </w:rPr>
        <w:t xml:space="preserve">. </w:t>
      </w:r>
      <w:r w:rsidR="000666F6" w:rsidRPr="000666F6">
        <w:rPr>
          <w:color w:val="000000"/>
        </w:rPr>
        <w:t>Порезу</w:t>
      </w:r>
      <w:r w:rsidR="00187432" w:rsidRPr="000666F6">
        <w:rPr>
          <w:color w:val="000000"/>
        </w:rPr>
        <w:t xml:space="preserve"> </w:t>
      </w:r>
      <w:r w:rsidR="000666F6" w:rsidRPr="000666F6">
        <w:rPr>
          <w:color w:val="000000"/>
        </w:rPr>
        <w:t>на</w:t>
      </w:r>
      <w:r w:rsidR="00187432" w:rsidRPr="000666F6">
        <w:rPr>
          <w:color w:val="000000"/>
        </w:rPr>
        <w:t xml:space="preserve"> </w:t>
      </w:r>
      <w:r w:rsidR="000666F6" w:rsidRPr="000666F6">
        <w:rPr>
          <w:color w:val="000000"/>
        </w:rPr>
        <w:t>доходак</w:t>
      </w:r>
      <w:r w:rsidR="00187432" w:rsidRPr="000666F6">
        <w:rPr>
          <w:color w:val="000000"/>
        </w:rPr>
        <w:t xml:space="preserve"> </w:t>
      </w:r>
      <w:r w:rsidR="000666F6" w:rsidRPr="000666F6">
        <w:rPr>
          <w:color w:val="000000"/>
        </w:rPr>
        <w:t>грађана</w:t>
      </w:r>
      <w:r w:rsidR="00187432" w:rsidRPr="000666F6">
        <w:rPr>
          <w:color w:val="000000"/>
        </w:rPr>
        <w:t xml:space="preserve"> </w:t>
      </w:r>
      <w:r w:rsidR="000666F6" w:rsidRPr="000666F6">
        <w:rPr>
          <w:color w:val="000000"/>
        </w:rPr>
        <w:t>подлежу</w:t>
      </w:r>
      <w:r w:rsidR="00187432" w:rsidRPr="000666F6">
        <w:rPr>
          <w:color w:val="000000"/>
        </w:rPr>
        <w:t xml:space="preserve"> </w:t>
      </w:r>
      <w:r w:rsidR="000666F6" w:rsidRPr="000666F6">
        <w:rPr>
          <w:color w:val="000000"/>
        </w:rPr>
        <w:t>следеће</w:t>
      </w:r>
      <w:r w:rsidR="00187432" w:rsidRPr="000666F6">
        <w:rPr>
          <w:color w:val="000000"/>
        </w:rPr>
        <w:t xml:space="preserve"> </w:t>
      </w:r>
      <w:r w:rsidR="000666F6" w:rsidRPr="000666F6">
        <w:rPr>
          <w:color w:val="000000"/>
        </w:rPr>
        <w:t>врсте</w:t>
      </w:r>
      <w:r w:rsidR="00187432" w:rsidRPr="000666F6">
        <w:rPr>
          <w:color w:val="000000"/>
        </w:rPr>
        <w:t xml:space="preserve"> </w:t>
      </w:r>
      <w:r w:rsidR="000666F6" w:rsidRPr="000666F6">
        <w:rPr>
          <w:color w:val="000000"/>
        </w:rPr>
        <w:t>прихода</w:t>
      </w:r>
      <w:r w:rsidR="00187432" w:rsidRPr="000666F6">
        <w:rPr>
          <w:color w:val="000000"/>
        </w:rPr>
        <w:t>:</w:t>
      </w:r>
    </w:p>
    <w:p w:rsidR="00EC1BA4" w:rsidRPr="000666F6" w:rsidRDefault="00EC1BA4" w:rsidP="000666F6">
      <w:pPr>
        <w:pStyle w:val="normal0"/>
        <w:shd w:val="clear" w:color="auto" w:fill="FFFFFF"/>
        <w:spacing w:before="48" w:beforeAutospacing="0" w:after="48" w:afterAutospacing="0"/>
        <w:jc w:val="both"/>
        <w:rPr>
          <w:color w:val="000000"/>
          <w:lang w:val="sr-Cyrl-CS"/>
        </w:rPr>
      </w:pPr>
    </w:p>
    <w:p w:rsidR="00187432" w:rsidRPr="000666F6" w:rsidRDefault="00187432" w:rsidP="000666F6">
      <w:pPr>
        <w:pStyle w:val="normal0"/>
        <w:shd w:val="clear" w:color="auto" w:fill="FFFFFF"/>
        <w:spacing w:before="48" w:beforeAutospacing="0" w:after="48" w:afterAutospacing="0"/>
        <w:jc w:val="both"/>
        <w:rPr>
          <w:color w:val="000000"/>
          <w:lang w:val="sr-Cyrl-CS"/>
        </w:rPr>
      </w:pPr>
      <w:r w:rsidRPr="000666F6">
        <w:rPr>
          <w:color w:val="000000"/>
        </w:rPr>
        <w:t xml:space="preserve">1) </w:t>
      </w:r>
      <w:r w:rsidR="000666F6" w:rsidRPr="000666F6">
        <w:rPr>
          <w:color w:val="000000"/>
        </w:rPr>
        <w:t>зараде</w:t>
      </w:r>
      <w:r w:rsidRPr="000666F6">
        <w:rPr>
          <w:color w:val="000000"/>
        </w:rPr>
        <w:t>;</w:t>
      </w:r>
    </w:p>
    <w:p w:rsidR="00187432" w:rsidRPr="000666F6" w:rsidRDefault="00EC1BA4" w:rsidP="000666F6">
      <w:pPr>
        <w:pStyle w:val="normal0"/>
        <w:shd w:val="clear" w:color="auto" w:fill="FFFFFF"/>
        <w:spacing w:before="48" w:beforeAutospacing="0" w:after="48" w:afterAutospacing="0"/>
        <w:jc w:val="both"/>
        <w:rPr>
          <w:color w:val="000000"/>
        </w:rPr>
      </w:pPr>
      <w:r w:rsidRPr="000666F6">
        <w:rPr>
          <w:color w:val="000000"/>
          <w:lang w:val="sr-Cyrl-CS"/>
        </w:rPr>
        <w:t>2</w:t>
      </w:r>
      <w:r w:rsidR="00187432" w:rsidRPr="000666F6">
        <w:rPr>
          <w:color w:val="000000"/>
        </w:rPr>
        <w:t xml:space="preserve">) </w:t>
      </w:r>
      <w:r w:rsidR="000666F6" w:rsidRPr="000666F6">
        <w:rPr>
          <w:color w:val="000000"/>
        </w:rPr>
        <w:t>приходи</w:t>
      </w:r>
      <w:r w:rsidR="00187432" w:rsidRPr="000666F6">
        <w:rPr>
          <w:color w:val="000000"/>
        </w:rPr>
        <w:t xml:space="preserve"> </w:t>
      </w:r>
      <w:r w:rsidR="000666F6" w:rsidRPr="000666F6">
        <w:rPr>
          <w:color w:val="000000"/>
        </w:rPr>
        <w:t>од</w:t>
      </w:r>
      <w:r w:rsidR="00187432" w:rsidRPr="000666F6">
        <w:rPr>
          <w:color w:val="000000"/>
        </w:rPr>
        <w:t xml:space="preserve"> </w:t>
      </w:r>
      <w:r w:rsidR="000666F6" w:rsidRPr="000666F6">
        <w:rPr>
          <w:color w:val="000000"/>
        </w:rPr>
        <w:t>самосталне</w:t>
      </w:r>
      <w:r w:rsidR="00187432" w:rsidRPr="000666F6">
        <w:rPr>
          <w:color w:val="000000"/>
        </w:rPr>
        <w:t xml:space="preserve"> </w:t>
      </w:r>
      <w:r w:rsidR="000666F6" w:rsidRPr="000666F6">
        <w:rPr>
          <w:color w:val="000000"/>
        </w:rPr>
        <w:t>делатности</w:t>
      </w:r>
      <w:r w:rsidR="00187432" w:rsidRPr="000666F6">
        <w:rPr>
          <w:color w:val="000000"/>
        </w:rPr>
        <w:t>;</w:t>
      </w:r>
    </w:p>
    <w:p w:rsidR="00187432" w:rsidRPr="000666F6" w:rsidRDefault="00EC1BA4" w:rsidP="000666F6">
      <w:pPr>
        <w:pStyle w:val="normal0"/>
        <w:shd w:val="clear" w:color="auto" w:fill="FFFFFF"/>
        <w:spacing w:before="48" w:beforeAutospacing="0" w:after="48" w:afterAutospacing="0"/>
        <w:jc w:val="both"/>
        <w:rPr>
          <w:color w:val="000000"/>
        </w:rPr>
      </w:pPr>
      <w:r w:rsidRPr="000666F6">
        <w:rPr>
          <w:color w:val="000000"/>
          <w:lang w:val="sr-Cyrl-CS"/>
        </w:rPr>
        <w:t>3</w:t>
      </w:r>
      <w:r w:rsidR="00187432" w:rsidRPr="000666F6">
        <w:rPr>
          <w:color w:val="000000"/>
        </w:rPr>
        <w:t xml:space="preserve">) </w:t>
      </w:r>
      <w:r w:rsidR="000666F6" w:rsidRPr="000666F6">
        <w:rPr>
          <w:color w:val="000000"/>
        </w:rPr>
        <w:t>приходи</w:t>
      </w:r>
      <w:r w:rsidR="00187432" w:rsidRPr="000666F6">
        <w:rPr>
          <w:color w:val="000000"/>
        </w:rPr>
        <w:t xml:space="preserve"> </w:t>
      </w:r>
      <w:r w:rsidR="000666F6" w:rsidRPr="000666F6">
        <w:rPr>
          <w:color w:val="000000"/>
        </w:rPr>
        <w:t>од</w:t>
      </w:r>
      <w:r w:rsidR="00187432" w:rsidRPr="000666F6">
        <w:rPr>
          <w:color w:val="000000"/>
        </w:rPr>
        <w:t xml:space="preserve"> </w:t>
      </w:r>
      <w:r w:rsidR="000666F6" w:rsidRPr="000666F6">
        <w:rPr>
          <w:color w:val="000000"/>
        </w:rPr>
        <w:t>ауторских</w:t>
      </w:r>
      <w:r w:rsidR="00187432" w:rsidRPr="000666F6">
        <w:rPr>
          <w:color w:val="000000"/>
        </w:rPr>
        <w:t xml:space="preserve"> </w:t>
      </w:r>
      <w:r w:rsidR="000666F6" w:rsidRPr="000666F6">
        <w:rPr>
          <w:color w:val="000000"/>
        </w:rPr>
        <w:t>права</w:t>
      </w:r>
      <w:r w:rsidR="00187432" w:rsidRPr="000666F6">
        <w:rPr>
          <w:color w:val="000000"/>
        </w:rPr>
        <w:t xml:space="preserve">, </w:t>
      </w:r>
      <w:r w:rsidR="000666F6" w:rsidRPr="000666F6">
        <w:rPr>
          <w:color w:val="000000"/>
        </w:rPr>
        <w:t>права</w:t>
      </w:r>
      <w:r w:rsidR="00187432" w:rsidRPr="000666F6">
        <w:rPr>
          <w:color w:val="000000"/>
        </w:rPr>
        <w:t xml:space="preserve"> </w:t>
      </w:r>
      <w:r w:rsidR="000666F6" w:rsidRPr="000666F6">
        <w:rPr>
          <w:color w:val="000000"/>
        </w:rPr>
        <w:t>сродних</w:t>
      </w:r>
      <w:r w:rsidR="00187432" w:rsidRPr="000666F6">
        <w:rPr>
          <w:color w:val="000000"/>
        </w:rPr>
        <w:t xml:space="preserve"> </w:t>
      </w:r>
      <w:r w:rsidR="000666F6" w:rsidRPr="000666F6">
        <w:rPr>
          <w:color w:val="000000"/>
        </w:rPr>
        <w:t>ауторском</w:t>
      </w:r>
      <w:r w:rsidR="00187432" w:rsidRPr="000666F6">
        <w:rPr>
          <w:color w:val="000000"/>
        </w:rPr>
        <w:t xml:space="preserve"> </w:t>
      </w:r>
      <w:r w:rsidR="000666F6" w:rsidRPr="000666F6">
        <w:rPr>
          <w:color w:val="000000"/>
        </w:rPr>
        <w:t>праву</w:t>
      </w:r>
      <w:r w:rsidR="00187432" w:rsidRPr="000666F6">
        <w:rPr>
          <w:color w:val="000000"/>
        </w:rPr>
        <w:t xml:space="preserve"> </w:t>
      </w:r>
      <w:r w:rsidR="000666F6" w:rsidRPr="000666F6">
        <w:rPr>
          <w:color w:val="000000"/>
        </w:rPr>
        <w:t>и</w:t>
      </w:r>
      <w:r w:rsidR="00187432" w:rsidRPr="000666F6">
        <w:rPr>
          <w:color w:val="000000"/>
        </w:rPr>
        <w:t xml:space="preserve"> </w:t>
      </w:r>
      <w:r w:rsidR="000666F6" w:rsidRPr="000666F6">
        <w:rPr>
          <w:color w:val="000000"/>
        </w:rPr>
        <w:t>права</w:t>
      </w:r>
      <w:r w:rsidR="00187432" w:rsidRPr="000666F6">
        <w:rPr>
          <w:color w:val="000000"/>
        </w:rPr>
        <w:t xml:space="preserve"> </w:t>
      </w:r>
      <w:r w:rsidR="000666F6" w:rsidRPr="000666F6">
        <w:rPr>
          <w:color w:val="000000"/>
        </w:rPr>
        <w:t>индустријске</w:t>
      </w:r>
      <w:r w:rsidR="00187432" w:rsidRPr="000666F6">
        <w:rPr>
          <w:color w:val="000000"/>
        </w:rPr>
        <w:t xml:space="preserve"> </w:t>
      </w:r>
      <w:r w:rsidR="000666F6" w:rsidRPr="000666F6">
        <w:rPr>
          <w:color w:val="000000"/>
        </w:rPr>
        <w:t>својине</w:t>
      </w:r>
      <w:r w:rsidR="00187432" w:rsidRPr="000666F6">
        <w:rPr>
          <w:color w:val="000000"/>
        </w:rPr>
        <w:t>;</w:t>
      </w:r>
    </w:p>
    <w:p w:rsidR="00187432" w:rsidRPr="000666F6" w:rsidRDefault="00EC1BA4" w:rsidP="000666F6">
      <w:pPr>
        <w:pStyle w:val="normal0"/>
        <w:shd w:val="clear" w:color="auto" w:fill="FFFFFF"/>
        <w:spacing w:before="48" w:beforeAutospacing="0" w:after="48" w:afterAutospacing="0"/>
        <w:jc w:val="both"/>
        <w:rPr>
          <w:color w:val="000000"/>
          <w:lang w:val="sr-Cyrl-CS"/>
        </w:rPr>
      </w:pPr>
      <w:r w:rsidRPr="000666F6">
        <w:rPr>
          <w:color w:val="000000"/>
          <w:lang w:val="sr-Cyrl-CS"/>
        </w:rPr>
        <w:t>4</w:t>
      </w:r>
      <w:r w:rsidR="00187432" w:rsidRPr="000666F6">
        <w:rPr>
          <w:color w:val="000000"/>
        </w:rPr>
        <w:t xml:space="preserve">) </w:t>
      </w:r>
      <w:r w:rsidR="000666F6" w:rsidRPr="000666F6">
        <w:rPr>
          <w:color w:val="000000"/>
        </w:rPr>
        <w:t>приходи</w:t>
      </w:r>
      <w:r w:rsidR="00187432" w:rsidRPr="000666F6">
        <w:rPr>
          <w:color w:val="000000"/>
        </w:rPr>
        <w:t xml:space="preserve"> </w:t>
      </w:r>
      <w:r w:rsidR="000666F6" w:rsidRPr="000666F6">
        <w:rPr>
          <w:color w:val="000000"/>
        </w:rPr>
        <w:t>од</w:t>
      </w:r>
      <w:r w:rsidR="00187432" w:rsidRPr="000666F6">
        <w:rPr>
          <w:color w:val="000000"/>
        </w:rPr>
        <w:t xml:space="preserve"> </w:t>
      </w:r>
      <w:r w:rsidR="000666F6" w:rsidRPr="000666F6">
        <w:rPr>
          <w:color w:val="000000"/>
        </w:rPr>
        <w:t>капитала</w:t>
      </w:r>
      <w:r w:rsidR="00187432" w:rsidRPr="000666F6">
        <w:rPr>
          <w:color w:val="000000"/>
        </w:rPr>
        <w:t>;</w:t>
      </w:r>
    </w:p>
    <w:p w:rsidR="00187432" w:rsidRPr="000666F6" w:rsidRDefault="00EC1BA4" w:rsidP="000666F6">
      <w:pPr>
        <w:pStyle w:val="normal0"/>
        <w:shd w:val="clear" w:color="auto" w:fill="FFFFFF"/>
        <w:spacing w:before="48" w:beforeAutospacing="0" w:after="48" w:afterAutospacing="0"/>
        <w:jc w:val="both"/>
        <w:rPr>
          <w:color w:val="000000"/>
        </w:rPr>
      </w:pPr>
      <w:r w:rsidRPr="000666F6">
        <w:rPr>
          <w:color w:val="000000"/>
          <w:lang w:val="sr-Cyrl-CS"/>
        </w:rPr>
        <w:t>5</w:t>
      </w:r>
      <w:r w:rsidR="00187432" w:rsidRPr="000666F6">
        <w:rPr>
          <w:color w:val="000000"/>
        </w:rPr>
        <w:t xml:space="preserve">) </w:t>
      </w:r>
      <w:r w:rsidR="000666F6" w:rsidRPr="000666F6">
        <w:rPr>
          <w:color w:val="000000"/>
        </w:rPr>
        <w:t>капитални</w:t>
      </w:r>
      <w:r w:rsidR="00187432" w:rsidRPr="000666F6">
        <w:rPr>
          <w:color w:val="000000"/>
        </w:rPr>
        <w:t xml:space="preserve"> </w:t>
      </w:r>
      <w:r w:rsidR="000666F6" w:rsidRPr="000666F6">
        <w:rPr>
          <w:color w:val="000000"/>
        </w:rPr>
        <w:t>добици</w:t>
      </w:r>
      <w:r w:rsidR="00187432" w:rsidRPr="000666F6">
        <w:rPr>
          <w:color w:val="000000"/>
        </w:rPr>
        <w:t>;</w:t>
      </w:r>
    </w:p>
    <w:p w:rsidR="00187432" w:rsidRPr="000666F6" w:rsidRDefault="00EC1BA4" w:rsidP="000666F6">
      <w:pPr>
        <w:pStyle w:val="normal0"/>
        <w:shd w:val="clear" w:color="auto" w:fill="FFFFFF"/>
        <w:spacing w:before="48" w:beforeAutospacing="0" w:after="48" w:afterAutospacing="0"/>
        <w:jc w:val="both"/>
        <w:rPr>
          <w:color w:val="000000"/>
        </w:rPr>
      </w:pPr>
      <w:r w:rsidRPr="000666F6">
        <w:rPr>
          <w:color w:val="000000"/>
          <w:lang w:val="sr-Cyrl-CS"/>
        </w:rPr>
        <w:t>6</w:t>
      </w:r>
      <w:r w:rsidR="00187432" w:rsidRPr="000666F6">
        <w:rPr>
          <w:color w:val="000000"/>
        </w:rPr>
        <w:t xml:space="preserve">) </w:t>
      </w:r>
      <w:r w:rsidR="000666F6" w:rsidRPr="000666F6">
        <w:rPr>
          <w:color w:val="000000"/>
        </w:rPr>
        <w:t>остали</w:t>
      </w:r>
      <w:r w:rsidR="00187432" w:rsidRPr="000666F6">
        <w:rPr>
          <w:color w:val="000000"/>
        </w:rPr>
        <w:t xml:space="preserve"> </w:t>
      </w:r>
      <w:r w:rsidR="000666F6" w:rsidRPr="000666F6">
        <w:rPr>
          <w:color w:val="000000"/>
        </w:rPr>
        <w:t>приходи</w:t>
      </w:r>
      <w:r w:rsidR="00187432" w:rsidRPr="000666F6">
        <w:rPr>
          <w:color w:val="000000"/>
        </w:rPr>
        <w:t>.</w:t>
      </w:r>
    </w:p>
    <w:p w:rsidR="00187432" w:rsidRPr="000666F6" w:rsidRDefault="00EC1BA4" w:rsidP="000666F6">
      <w:pPr>
        <w:pStyle w:val="normal0"/>
        <w:shd w:val="clear" w:color="auto" w:fill="FFFFFF"/>
        <w:spacing w:before="48" w:beforeAutospacing="0" w:after="48" w:afterAutospacing="0"/>
        <w:jc w:val="both"/>
        <w:rPr>
          <w:color w:val="000000"/>
          <w:lang w:val="sr-Cyrl-CS"/>
        </w:rPr>
      </w:pPr>
      <w:r w:rsidRPr="000666F6">
        <w:rPr>
          <w:color w:val="000000"/>
          <w:lang w:val="sr-Cyrl-CS"/>
        </w:rPr>
        <w:t>Поменути  п</w:t>
      </w:r>
      <w:r w:rsidR="000666F6" w:rsidRPr="000666F6">
        <w:rPr>
          <w:color w:val="000000"/>
        </w:rPr>
        <w:t>риходи</w:t>
      </w:r>
      <w:r w:rsidR="00187432" w:rsidRPr="000666F6">
        <w:rPr>
          <w:color w:val="000000"/>
        </w:rPr>
        <w:t xml:space="preserve"> </w:t>
      </w:r>
      <w:r w:rsidRPr="000666F6">
        <w:rPr>
          <w:color w:val="000000"/>
          <w:lang w:val="sr-Cyrl-CS"/>
        </w:rPr>
        <w:t>се</w:t>
      </w:r>
      <w:r w:rsidRPr="000666F6">
        <w:rPr>
          <w:color w:val="000000"/>
        </w:rPr>
        <w:t xml:space="preserve"> </w:t>
      </w:r>
      <w:r w:rsidR="000666F6" w:rsidRPr="000666F6">
        <w:rPr>
          <w:color w:val="000000"/>
        </w:rPr>
        <w:t>опорезују</w:t>
      </w:r>
      <w:r w:rsidRPr="000666F6">
        <w:rPr>
          <w:color w:val="000000"/>
        </w:rPr>
        <w:t xml:space="preserve"> </w:t>
      </w:r>
      <w:r w:rsidR="000666F6" w:rsidRPr="000666F6">
        <w:rPr>
          <w:color w:val="000000"/>
        </w:rPr>
        <w:t>било</w:t>
      </w:r>
      <w:r w:rsidR="00187432" w:rsidRPr="000666F6">
        <w:rPr>
          <w:color w:val="000000"/>
        </w:rPr>
        <w:t xml:space="preserve"> </w:t>
      </w:r>
      <w:r w:rsidR="000666F6" w:rsidRPr="000666F6">
        <w:rPr>
          <w:color w:val="000000"/>
        </w:rPr>
        <w:t>да</w:t>
      </w:r>
      <w:r w:rsidR="00187432" w:rsidRPr="000666F6">
        <w:rPr>
          <w:color w:val="000000"/>
        </w:rPr>
        <w:t xml:space="preserve"> </w:t>
      </w:r>
      <w:r w:rsidR="000666F6" w:rsidRPr="000666F6">
        <w:rPr>
          <w:color w:val="000000"/>
        </w:rPr>
        <w:t>су</w:t>
      </w:r>
      <w:r w:rsidR="00187432" w:rsidRPr="000666F6">
        <w:rPr>
          <w:color w:val="000000"/>
        </w:rPr>
        <w:t xml:space="preserve"> </w:t>
      </w:r>
      <w:r w:rsidR="000666F6" w:rsidRPr="000666F6">
        <w:rPr>
          <w:color w:val="000000"/>
        </w:rPr>
        <w:t>остварени</w:t>
      </w:r>
      <w:r w:rsidR="00187432" w:rsidRPr="000666F6">
        <w:rPr>
          <w:color w:val="000000"/>
        </w:rPr>
        <w:t xml:space="preserve"> </w:t>
      </w:r>
      <w:r w:rsidR="000666F6" w:rsidRPr="000666F6">
        <w:rPr>
          <w:color w:val="000000"/>
        </w:rPr>
        <w:t>у</w:t>
      </w:r>
      <w:r w:rsidR="00187432" w:rsidRPr="000666F6">
        <w:rPr>
          <w:color w:val="000000"/>
        </w:rPr>
        <w:t xml:space="preserve"> </w:t>
      </w:r>
      <w:r w:rsidR="000666F6" w:rsidRPr="000666F6">
        <w:rPr>
          <w:color w:val="000000"/>
        </w:rPr>
        <w:t>новцу</w:t>
      </w:r>
      <w:r w:rsidR="00187432" w:rsidRPr="000666F6">
        <w:rPr>
          <w:color w:val="000000"/>
        </w:rPr>
        <w:t xml:space="preserve">, </w:t>
      </w:r>
      <w:r w:rsidR="000666F6" w:rsidRPr="000666F6">
        <w:rPr>
          <w:color w:val="000000"/>
        </w:rPr>
        <w:t>у</w:t>
      </w:r>
      <w:r w:rsidR="00187432" w:rsidRPr="000666F6">
        <w:rPr>
          <w:color w:val="000000"/>
        </w:rPr>
        <w:t xml:space="preserve"> </w:t>
      </w:r>
      <w:r w:rsidR="000666F6" w:rsidRPr="000666F6">
        <w:rPr>
          <w:color w:val="000000"/>
        </w:rPr>
        <w:t>натури</w:t>
      </w:r>
      <w:r w:rsidR="00187432" w:rsidRPr="000666F6">
        <w:rPr>
          <w:color w:val="000000"/>
        </w:rPr>
        <w:t xml:space="preserve">, </w:t>
      </w:r>
      <w:r w:rsidR="000666F6" w:rsidRPr="000666F6">
        <w:rPr>
          <w:color w:val="000000"/>
        </w:rPr>
        <w:t>чињењем</w:t>
      </w:r>
      <w:r w:rsidR="00187432" w:rsidRPr="000666F6">
        <w:rPr>
          <w:color w:val="000000"/>
        </w:rPr>
        <w:t xml:space="preserve"> </w:t>
      </w:r>
      <w:r w:rsidR="000666F6" w:rsidRPr="000666F6">
        <w:rPr>
          <w:color w:val="000000"/>
        </w:rPr>
        <w:t>или</w:t>
      </w:r>
      <w:r w:rsidR="00187432" w:rsidRPr="000666F6">
        <w:rPr>
          <w:color w:val="000000"/>
        </w:rPr>
        <w:t xml:space="preserve"> </w:t>
      </w:r>
      <w:r w:rsidR="000666F6" w:rsidRPr="000666F6">
        <w:rPr>
          <w:color w:val="000000"/>
        </w:rPr>
        <w:t>на</w:t>
      </w:r>
      <w:r w:rsidR="00187432" w:rsidRPr="000666F6">
        <w:rPr>
          <w:color w:val="000000"/>
        </w:rPr>
        <w:t xml:space="preserve"> </w:t>
      </w:r>
      <w:r w:rsidR="000666F6" w:rsidRPr="000666F6">
        <w:rPr>
          <w:color w:val="000000"/>
        </w:rPr>
        <w:t>други</w:t>
      </w:r>
      <w:r w:rsidR="00187432" w:rsidRPr="000666F6">
        <w:rPr>
          <w:color w:val="000000"/>
        </w:rPr>
        <w:t xml:space="preserve"> </w:t>
      </w:r>
      <w:r w:rsidR="000666F6" w:rsidRPr="000666F6">
        <w:rPr>
          <w:color w:val="000000"/>
        </w:rPr>
        <w:t>начин</w:t>
      </w:r>
      <w:r w:rsidR="00187432" w:rsidRPr="000666F6">
        <w:rPr>
          <w:color w:val="000000"/>
        </w:rPr>
        <w:t>.</w:t>
      </w:r>
    </w:p>
    <w:p w:rsidR="00EC1BA4" w:rsidRPr="000666F6" w:rsidRDefault="00EC1BA4" w:rsidP="000666F6">
      <w:pPr>
        <w:pStyle w:val="normal0"/>
        <w:shd w:val="clear" w:color="auto" w:fill="FFFFFF"/>
        <w:spacing w:before="48" w:beforeAutospacing="0" w:after="48" w:afterAutospacing="0"/>
        <w:jc w:val="both"/>
        <w:rPr>
          <w:color w:val="000000"/>
          <w:lang w:val="sr-Cyrl-CS"/>
        </w:rPr>
      </w:pPr>
    </w:p>
    <w:p w:rsidR="00EC1BA4" w:rsidRPr="000666F6" w:rsidRDefault="000666F6" w:rsidP="000666F6">
      <w:pPr>
        <w:pStyle w:val="normal0"/>
        <w:shd w:val="clear" w:color="auto" w:fill="FFFFFF"/>
        <w:spacing w:before="48" w:beforeAutospacing="0" w:after="48" w:afterAutospacing="0"/>
        <w:ind w:firstLine="708"/>
        <w:jc w:val="both"/>
        <w:rPr>
          <w:color w:val="000000"/>
          <w:lang w:val="sr-Cyrl-CS"/>
        </w:rPr>
      </w:pPr>
      <w:r w:rsidRPr="000666F6">
        <w:rPr>
          <w:color w:val="000000"/>
        </w:rPr>
        <w:t>Опорезиви</w:t>
      </w:r>
      <w:r w:rsidR="00EC1BA4" w:rsidRPr="000666F6">
        <w:rPr>
          <w:color w:val="000000"/>
        </w:rPr>
        <w:t xml:space="preserve"> </w:t>
      </w:r>
      <w:r w:rsidRPr="000666F6">
        <w:rPr>
          <w:color w:val="000000"/>
        </w:rPr>
        <w:t>приход</w:t>
      </w:r>
      <w:r w:rsidR="00EC1BA4" w:rsidRPr="000666F6">
        <w:rPr>
          <w:color w:val="000000"/>
        </w:rPr>
        <w:t xml:space="preserve"> </w:t>
      </w:r>
      <w:r w:rsidRPr="000666F6">
        <w:rPr>
          <w:color w:val="000000"/>
        </w:rPr>
        <w:t>представља</w:t>
      </w:r>
      <w:r w:rsidR="00EC1BA4" w:rsidRPr="000666F6">
        <w:rPr>
          <w:color w:val="000000"/>
        </w:rPr>
        <w:t xml:space="preserve"> </w:t>
      </w:r>
      <w:r w:rsidRPr="000666F6">
        <w:rPr>
          <w:color w:val="000000"/>
        </w:rPr>
        <w:t>разлику</w:t>
      </w:r>
      <w:r w:rsidR="00EC1BA4" w:rsidRPr="000666F6">
        <w:rPr>
          <w:color w:val="000000"/>
        </w:rPr>
        <w:t xml:space="preserve"> </w:t>
      </w:r>
      <w:r w:rsidRPr="000666F6">
        <w:rPr>
          <w:color w:val="000000"/>
        </w:rPr>
        <w:t>између</w:t>
      </w:r>
      <w:r w:rsidR="00EC1BA4" w:rsidRPr="000666F6">
        <w:rPr>
          <w:color w:val="000000"/>
        </w:rPr>
        <w:t xml:space="preserve"> </w:t>
      </w:r>
      <w:r w:rsidRPr="000666F6">
        <w:rPr>
          <w:color w:val="000000"/>
        </w:rPr>
        <w:t>бруто</w:t>
      </w:r>
      <w:r w:rsidR="00EC1BA4" w:rsidRPr="000666F6">
        <w:rPr>
          <w:color w:val="000000"/>
        </w:rPr>
        <w:t xml:space="preserve"> </w:t>
      </w:r>
      <w:r w:rsidRPr="000666F6">
        <w:rPr>
          <w:color w:val="000000"/>
        </w:rPr>
        <w:t>прихода</w:t>
      </w:r>
      <w:r w:rsidR="00EC1BA4" w:rsidRPr="000666F6">
        <w:rPr>
          <w:color w:val="000000"/>
        </w:rPr>
        <w:t xml:space="preserve"> </w:t>
      </w:r>
      <w:r w:rsidRPr="000666F6">
        <w:rPr>
          <w:color w:val="000000"/>
        </w:rPr>
        <w:t>који</w:t>
      </w:r>
      <w:r w:rsidR="00EC1BA4" w:rsidRPr="000666F6">
        <w:rPr>
          <w:color w:val="000000"/>
        </w:rPr>
        <w:t xml:space="preserve"> </w:t>
      </w:r>
      <w:r w:rsidRPr="000666F6">
        <w:rPr>
          <w:color w:val="000000"/>
        </w:rPr>
        <w:t>је</w:t>
      </w:r>
      <w:r w:rsidR="00EC1BA4" w:rsidRPr="000666F6">
        <w:rPr>
          <w:color w:val="000000"/>
        </w:rPr>
        <w:t xml:space="preserve"> </w:t>
      </w:r>
      <w:r w:rsidRPr="000666F6">
        <w:rPr>
          <w:color w:val="000000"/>
        </w:rPr>
        <w:t>по</w:t>
      </w:r>
      <w:r w:rsidR="00EC1BA4" w:rsidRPr="000666F6">
        <w:rPr>
          <w:color w:val="000000"/>
        </w:rPr>
        <w:t xml:space="preserve"> </w:t>
      </w:r>
      <w:r w:rsidRPr="000666F6">
        <w:rPr>
          <w:color w:val="000000"/>
        </w:rPr>
        <w:t>неком</w:t>
      </w:r>
      <w:r w:rsidR="00EC1BA4" w:rsidRPr="000666F6">
        <w:rPr>
          <w:color w:val="000000"/>
        </w:rPr>
        <w:t xml:space="preserve"> </w:t>
      </w:r>
      <w:r w:rsidRPr="000666F6">
        <w:rPr>
          <w:color w:val="000000"/>
        </w:rPr>
        <w:t>од</w:t>
      </w:r>
      <w:r w:rsidR="00EC1BA4" w:rsidRPr="000666F6">
        <w:rPr>
          <w:color w:val="000000"/>
        </w:rPr>
        <w:t xml:space="preserve"> </w:t>
      </w:r>
      <w:r w:rsidR="00EC1BA4" w:rsidRPr="000666F6">
        <w:rPr>
          <w:color w:val="000000"/>
          <w:lang w:val="sr-Cyrl-CS"/>
        </w:rPr>
        <w:t xml:space="preserve">наведених </w:t>
      </w:r>
      <w:r w:rsidRPr="000666F6">
        <w:rPr>
          <w:color w:val="000000"/>
        </w:rPr>
        <w:t>основа</w:t>
      </w:r>
      <w:r w:rsidR="00EC1BA4" w:rsidRPr="000666F6">
        <w:rPr>
          <w:color w:val="000000"/>
        </w:rPr>
        <w:t xml:space="preserve"> </w:t>
      </w:r>
      <w:r w:rsidRPr="000666F6">
        <w:rPr>
          <w:color w:val="000000"/>
        </w:rPr>
        <w:t>остварио</w:t>
      </w:r>
      <w:r w:rsidR="00EC1BA4" w:rsidRPr="000666F6">
        <w:rPr>
          <w:color w:val="000000"/>
        </w:rPr>
        <w:t xml:space="preserve"> </w:t>
      </w:r>
      <w:r w:rsidRPr="000666F6">
        <w:rPr>
          <w:color w:val="000000"/>
        </w:rPr>
        <w:t>порески</w:t>
      </w:r>
      <w:r w:rsidR="00EC1BA4" w:rsidRPr="000666F6">
        <w:rPr>
          <w:color w:val="000000"/>
        </w:rPr>
        <w:t xml:space="preserve"> </w:t>
      </w:r>
      <w:r w:rsidRPr="000666F6">
        <w:rPr>
          <w:color w:val="000000"/>
        </w:rPr>
        <w:t>обвезник</w:t>
      </w:r>
      <w:r w:rsidR="00EC1BA4" w:rsidRPr="000666F6">
        <w:rPr>
          <w:color w:val="000000"/>
        </w:rPr>
        <w:t xml:space="preserve"> </w:t>
      </w:r>
      <w:r w:rsidRPr="000666F6">
        <w:rPr>
          <w:color w:val="000000"/>
        </w:rPr>
        <w:t>и</w:t>
      </w:r>
      <w:r w:rsidR="00EC1BA4" w:rsidRPr="000666F6">
        <w:rPr>
          <w:color w:val="000000"/>
        </w:rPr>
        <w:t xml:space="preserve"> </w:t>
      </w:r>
      <w:r w:rsidRPr="000666F6">
        <w:rPr>
          <w:color w:val="000000"/>
        </w:rPr>
        <w:t>трошкова</w:t>
      </w:r>
      <w:r w:rsidR="00EC1BA4" w:rsidRPr="000666F6">
        <w:rPr>
          <w:color w:val="000000"/>
        </w:rPr>
        <w:t xml:space="preserve"> </w:t>
      </w:r>
      <w:r w:rsidRPr="000666F6">
        <w:rPr>
          <w:color w:val="000000"/>
        </w:rPr>
        <w:t>које</w:t>
      </w:r>
      <w:r w:rsidR="00EC1BA4" w:rsidRPr="000666F6">
        <w:rPr>
          <w:color w:val="000000"/>
        </w:rPr>
        <w:t xml:space="preserve"> </w:t>
      </w:r>
      <w:r w:rsidRPr="000666F6">
        <w:rPr>
          <w:color w:val="000000"/>
        </w:rPr>
        <w:t>је</w:t>
      </w:r>
      <w:r w:rsidR="00EC1BA4" w:rsidRPr="000666F6">
        <w:rPr>
          <w:color w:val="000000"/>
        </w:rPr>
        <w:t xml:space="preserve"> </w:t>
      </w:r>
      <w:r w:rsidRPr="000666F6">
        <w:rPr>
          <w:color w:val="000000"/>
        </w:rPr>
        <w:t>имао</w:t>
      </w:r>
      <w:r w:rsidR="00EC1BA4" w:rsidRPr="000666F6">
        <w:rPr>
          <w:color w:val="000000"/>
        </w:rPr>
        <w:t xml:space="preserve"> </w:t>
      </w:r>
      <w:r w:rsidRPr="000666F6">
        <w:rPr>
          <w:color w:val="000000"/>
        </w:rPr>
        <w:t>при</w:t>
      </w:r>
      <w:r w:rsidR="00EC1BA4" w:rsidRPr="000666F6">
        <w:rPr>
          <w:color w:val="000000"/>
        </w:rPr>
        <w:t xml:space="preserve"> </w:t>
      </w:r>
      <w:r w:rsidRPr="000666F6">
        <w:rPr>
          <w:color w:val="000000"/>
        </w:rPr>
        <w:t>њиховом</w:t>
      </w:r>
      <w:r w:rsidR="00EC1BA4" w:rsidRPr="000666F6">
        <w:rPr>
          <w:color w:val="000000"/>
        </w:rPr>
        <w:t xml:space="preserve"> </w:t>
      </w:r>
      <w:r w:rsidRPr="000666F6">
        <w:rPr>
          <w:color w:val="000000"/>
        </w:rPr>
        <w:t>остваривању</w:t>
      </w:r>
      <w:r w:rsidR="00EC1BA4" w:rsidRPr="000666F6">
        <w:rPr>
          <w:color w:val="000000"/>
        </w:rPr>
        <w:t xml:space="preserve"> </w:t>
      </w:r>
      <w:r w:rsidRPr="000666F6">
        <w:rPr>
          <w:color w:val="000000"/>
        </w:rPr>
        <w:t>и</w:t>
      </w:r>
      <w:r w:rsidR="00EC1BA4" w:rsidRPr="000666F6">
        <w:rPr>
          <w:color w:val="000000"/>
        </w:rPr>
        <w:t xml:space="preserve"> </w:t>
      </w:r>
      <w:r w:rsidRPr="000666F6">
        <w:rPr>
          <w:color w:val="000000"/>
        </w:rPr>
        <w:t>очувању</w:t>
      </w:r>
      <w:r w:rsidR="00EC1BA4" w:rsidRPr="000666F6">
        <w:rPr>
          <w:color w:val="000000"/>
        </w:rPr>
        <w:t>.</w:t>
      </w:r>
      <w:r w:rsidR="00EC1BA4" w:rsidRPr="000666F6">
        <w:rPr>
          <w:color w:val="000000"/>
          <w:lang w:val="sr-Cyrl-CS"/>
        </w:rPr>
        <w:t xml:space="preserve"> </w:t>
      </w:r>
      <w:r w:rsidRPr="000666F6">
        <w:rPr>
          <w:color w:val="000000"/>
        </w:rPr>
        <w:t>Доходак</w:t>
      </w:r>
      <w:r w:rsidR="00EC1BA4" w:rsidRPr="000666F6">
        <w:rPr>
          <w:color w:val="000000"/>
        </w:rPr>
        <w:t xml:space="preserve"> </w:t>
      </w:r>
      <w:r w:rsidRPr="000666F6">
        <w:rPr>
          <w:color w:val="000000"/>
        </w:rPr>
        <w:t>представља</w:t>
      </w:r>
      <w:r w:rsidR="00EC1BA4" w:rsidRPr="000666F6">
        <w:rPr>
          <w:color w:val="000000"/>
        </w:rPr>
        <w:t xml:space="preserve"> </w:t>
      </w:r>
      <w:r w:rsidRPr="000666F6">
        <w:rPr>
          <w:color w:val="000000"/>
        </w:rPr>
        <w:t>збир</w:t>
      </w:r>
      <w:r w:rsidR="00EC1BA4" w:rsidRPr="000666F6">
        <w:rPr>
          <w:color w:val="000000"/>
        </w:rPr>
        <w:t xml:space="preserve"> </w:t>
      </w:r>
      <w:r w:rsidRPr="000666F6">
        <w:rPr>
          <w:color w:val="000000"/>
        </w:rPr>
        <w:t>опорезивих</w:t>
      </w:r>
      <w:r w:rsidR="00EC1BA4" w:rsidRPr="000666F6">
        <w:rPr>
          <w:color w:val="000000"/>
        </w:rPr>
        <w:t xml:space="preserve"> </w:t>
      </w:r>
      <w:r w:rsidRPr="000666F6">
        <w:rPr>
          <w:color w:val="000000"/>
        </w:rPr>
        <w:t>прихода</w:t>
      </w:r>
      <w:r w:rsidR="00EC1BA4" w:rsidRPr="000666F6">
        <w:rPr>
          <w:color w:val="000000"/>
        </w:rPr>
        <w:t xml:space="preserve"> </w:t>
      </w:r>
      <w:r w:rsidRPr="000666F6">
        <w:rPr>
          <w:color w:val="000000"/>
        </w:rPr>
        <w:t>остварених</w:t>
      </w:r>
      <w:r w:rsidR="00EC1BA4" w:rsidRPr="000666F6">
        <w:rPr>
          <w:color w:val="000000"/>
        </w:rPr>
        <w:t xml:space="preserve"> </w:t>
      </w:r>
      <w:r w:rsidRPr="000666F6">
        <w:rPr>
          <w:color w:val="000000"/>
        </w:rPr>
        <w:t>у</w:t>
      </w:r>
      <w:r w:rsidR="00EC1BA4" w:rsidRPr="000666F6">
        <w:rPr>
          <w:color w:val="000000"/>
        </w:rPr>
        <w:t xml:space="preserve"> </w:t>
      </w:r>
      <w:r w:rsidRPr="000666F6">
        <w:rPr>
          <w:color w:val="000000"/>
        </w:rPr>
        <w:t>календарској</w:t>
      </w:r>
      <w:r w:rsidR="00EC1BA4" w:rsidRPr="000666F6">
        <w:rPr>
          <w:color w:val="000000"/>
        </w:rPr>
        <w:t xml:space="preserve"> </w:t>
      </w:r>
      <w:r w:rsidRPr="000666F6">
        <w:rPr>
          <w:color w:val="000000"/>
        </w:rPr>
        <w:t>години</w:t>
      </w:r>
      <w:r w:rsidR="00EC1BA4" w:rsidRPr="000666F6">
        <w:rPr>
          <w:color w:val="000000"/>
        </w:rPr>
        <w:t>.</w:t>
      </w:r>
      <w:r w:rsidR="00EC1BA4" w:rsidRPr="000666F6">
        <w:rPr>
          <w:color w:val="000000"/>
          <w:lang w:val="sr-Cyrl-CS"/>
        </w:rPr>
        <w:t xml:space="preserve"> </w:t>
      </w:r>
      <w:r w:rsidR="00EC1BA4" w:rsidRPr="000666F6">
        <w:rPr>
          <w:color w:val="000000"/>
          <w:shd w:val="clear" w:color="auto" w:fill="FFFFFF"/>
          <w:lang w:val="sr-Cyrl-CS"/>
        </w:rPr>
        <w:t>На опорезиви приход се примењуј одговарајућа стопа.</w:t>
      </w:r>
    </w:p>
    <w:p w:rsidR="00187432" w:rsidRPr="000666F6" w:rsidRDefault="00187432" w:rsidP="000666F6">
      <w:pPr>
        <w:pStyle w:val="normal0"/>
        <w:shd w:val="clear" w:color="auto" w:fill="FFFFFF"/>
        <w:spacing w:before="48" w:beforeAutospacing="0" w:after="48" w:afterAutospacing="0"/>
        <w:jc w:val="both"/>
        <w:rPr>
          <w:color w:val="000000"/>
          <w:lang w:val="sr-Cyrl-CS"/>
        </w:rPr>
      </w:pPr>
    </w:p>
    <w:p w:rsidR="00187432" w:rsidRPr="000666F6" w:rsidRDefault="000666F6" w:rsidP="000666F6">
      <w:pPr>
        <w:pStyle w:val="normal0"/>
        <w:shd w:val="clear" w:color="auto" w:fill="FFFFFF"/>
        <w:spacing w:before="48" w:beforeAutospacing="0" w:after="48" w:afterAutospacing="0"/>
        <w:ind w:firstLine="708"/>
        <w:jc w:val="both"/>
        <w:rPr>
          <w:color w:val="000000"/>
          <w:lang w:val="sr-Cyrl-CS"/>
        </w:rPr>
      </w:pPr>
      <w:r w:rsidRPr="000666F6">
        <w:rPr>
          <w:color w:val="000000"/>
          <w:lang w:val="sr-Cyrl-CS"/>
        </w:rPr>
        <w:t>Међутим, р</w:t>
      </w:r>
      <w:r w:rsidR="00187432" w:rsidRPr="000666F6">
        <w:rPr>
          <w:color w:val="000000"/>
          <w:lang w:val="sr-Cyrl-CS"/>
        </w:rPr>
        <w:t>етко кад да овај фискалитет обухвата све нето приходе пореског обвезника, па су тако и према Закону о порезу на доходак грађана поједине врсте примања  изузета од опорезивања, у циљу остваривања екстрафискалних социјалних, хуманитарних и других циљева.</w:t>
      </w:r>
      <w:r w:rsidRPr="000666F6">
        <w:rPr>
          <w:color w:val="000000"/>
          <w:lang w:val="sr-Cyrl-CS"/>
        </w:rPr>
        <w:t xml:space="preserve"> Наиме, таксативно су прописана изузимања из дохотка за опорезивање,</w:t>
      </w:r>
      <w:r w:rsidRPr="000666F6">
        <w:rPr>
          <w:rStyle w:val="FootnoteReference"/>
          <w:color w:val="000000"/>
          <w:lang w:val="sr-Cyrl-CS"/>
        </w:rPr>
        <w:footnoteReference w:id="435"/>
      </w:r>
      <w:r w:rsidRPr="000666F6">
        <w:rPr>
          <w:color w:val="000000"/>
          <w:lang w:val="sr-Cyrl-CS"/>
        </w:rPr>
        <w:t xml:space="preserve"> па се тако не плаћа порез на доходак грађана, између осталог, остварена по основу:</w:t>
      </w:r>
    </w:p>
    <w:p w:rsidR="000666F6" w:rsidRPr="000666F6" w:rsidRDefault="000666F6" w:rsidP="000666F6">
      <w:pPr>
        <w:pStyle w:val="normal0"/>
        <w:shd w:val="clear" w:color="auto" w:fill="FFFFFF"/>
        <w:spacing w:before="48" w:beforeAutospacing="0" w:after="48" w:afterAutospacing="0"/>
        <w:ind w:firstLine="708"/>
        <w:jc w:val="both"/>
        <w:rPr>
          <w:color w:val="000000"/>
          <w:lang w:val="sr-Cyrl-CS"/>
        </w:rPr>
      </w:pPr>
    </w:p>
    <w:p w:rsidR="00187432" w:rsidRPr="000666F6" w:rsidRDefault="000666F6" w:rsidP="000666F6">
      <w:pPr>
        <w:pStyle w:val="normal0"/>
        <w:shd w:val="clear" w:color="auto" w:fill="FFFFFF"/>
        <w:spacing w:before="48" w:beforeAutospacing="0" w:after="48" w:afterAutospacing="0"/>
        <w:jc w:val="both"/>
        <w:rPr>
          <w:color w:val="000000"/>
        </w:rPr>
      </w:pPr>
      <w:r w:rsidRPr="000666F6">
        <w:rPr>
          <w:color w:val="000000"/>
          <w:lang w:val="sr-Cyrl-CS"/>
        </w:rPr>
        <w:lastRenderedPageBreak/>
        <w:t>-</w:t>
      </w:r>
      <w:r w:rsidRPr="000666F6">
        <w:rPr>
          <w:color w:val="000000"/>
        </w:rPr>
        <w:t>прописа</w:t>
      </w:r>
      <w:r w:rsidR="00187432" w:rsidRPr="000666F6">
        <w:rPr>
          <w:color w:val="000000"/>
        </w:rPr>
        <w:t xml:space="preserve"> </w:t>
      </w:r>
      <w:r w:rsidRPr="000666F6">
        <w:rPr>
          <w:color w:val="000000"/>
        </w:rPr>
        <w:t>о</w:t>
      </w:r>
      <w:r w:rsidR="00187432" w:rsidRPr="000666F6">
        <w:rPr>
          <w:color w:val="000000"/>
        </w:rPr>
        <w:t xml:space="preserve"> </w:t>
      </w:r>
      <w:r w:rsidRPr="000666F6">
        <w:rPr>
          <w:color w:val="000000"/>
        </w:rPr>
        <w:t>правима</w:t>
      </w:r>
      <w:r w:rsidR="00187432" w:rsidRPr="000666F6">
        <w:rPr>
          <w:color w:val="000000"/>
        </w:rPr>
        <w:t xml:space="preserve"> </w:t>
      </w:r>
      <w:r w:rsidRPr="000666F6">
        <w:rPr>
          <w:color w:val="000000"/>
        </w:rPr>
        <w:t>ратних</w:t>
      </w:r>
      <w:r w:rsidR="00187432" w:rsidRPr="000666F6">
        <w:rPr>
          <w:color w:val="000000"/>
        </w:rPr>
        <w:t xml:space="preserve"> </w:t>
      </w:r>
      <w:r w:rsidRPr="000666F6">
        <w:rPr>
          <w:color w:val="000000"/>
        </w:rPr>
        <w:t>инвалида</w:t>
      </w:r>
      <w:r w:rsidR="00187432" w:rsidRPr="000666F6">
        <w:rPr>
          <w:color w:val="000000"/>
        </w:rPr>
        <w:t>;</w:t>
      </w:r>
    </w:p>
    <w:p w:rsidR="00187432" w:rsidRPr="000666F6" w:rsidRDefault="000666F6" w:rsidP="000666F6">
      <w:pPr>
        <w:pStyle w:val="normal0"/>
        <w:shd w:val="clear" w:color="auto" w:fill="FFFFFF"/>
        <w:spacing w:before="48" w:beforeAutospacing="0" w:after="48" w:afterAutospacing="0"/>
        <w:jc w:val="both"/>
        <w:rPr>
          <w:color w:val="000000"/>
        </w:rPr>
      </w:pPr>
      <w:r w:rsidRPr="000666F6">
        <w:rPr>
          <w:color w:val="000000"/>
          <w:lang w:val="sr-Cyrl-CS"/>
        </w:rPr>
        <w:t>-</w:t>
      </w:r>
      <w:r w:rsidRPr="000666F6">
        <w:rPr>
          <w:color w:val="000000"/>
        </w:rPr>
        <w:t>родитељског</w:t>
      </w:r>
      <w:r w:rsidR="00187432" w:rsidRPr="000666F6">
        <w:rPr>
          <w:color w:val="000000"/>
        </w:rPr>
        <w:t xml:space="preserve"> </w:t>
      </w:r>
      <w:r w:rsidRPr="000666F6">
        <w:rPr>
          <w:color w:val="000000"/>
        </w:rPr>
        <w:t>и</w:t>
      </w:r>
      <w:r w:rsidR="00187432" w:rsidRPr="000666F6">
        <w:rPr>
          <w:color w:val="000000"/>
        </w:rPr>
        <w:t xml:space="preserve"> </w:t>
      </w:r>
      <w:r w:rsidRPr="000666F6">
        <w:rPr>
          <w:color w:val="000000"/>
        </w:rPr>
        <w:t>дечијег</w:t>
      </w:r>
      <w:r w:rsidR="00187432" w:rsidRPr="000666F6">
        <w:rPr>
          <w:color w:val="000000"/>
        </w:rPr>
        <w:t xml:space="preserve"> </w:t>
      </w:r>
      <w:r w:rsidRPr="000666F6">
        <w:rPr>
          <w:color w:val="000000"/>
        </w:rPr>
        <w:t>додатка</w:t>
      </w:r>
      <w:r w:rsidR="00187432" w:rsidRPr="000666F6">
        <w:rPr>
          <w:color w:val="000000"/>
        </w:rPr>
        <w:t>;</w:t>
      </w:r>
    </w:p>
    <w:p w:rsidR="00187432" w:rsidRPr="000666F6" w:rsidRDefault="000666F6" w:rsidP="000666F6">
      <w:pPr>
        <w:pStyle w:val="normal0"/>
        <w:shd w:val="clear" w:color="auto" w:fill="FFFFFF"/>
        <w:spacing w:before="48" w:beforeAutospacing="0" w:after="48" w:afterAutospacing="0"/>
        <w:jc w:val="both"/>
        <w:rPr>
          <w:color w:val="000000"/>
        </w:rPr>
      </w:pPr>
      <w:r w:rsidRPr="000666F6">
        <w:rPr>
          <w:color w:val="000000"/>
          <w:lang w:val="sr-Cyrl-CS"/>
        </w:rPr>
        <w:t>-</w:t>
      </w:r>
      <w:r w:rsidRPr="000666F6">
        <w:rPr>
          <w:color w:val="000000"/>
        </w:rPr>
        <w:t>накнада</w:t>
      </w:r>
      <w:r w:rsidR="00187432" w:rsidRPr="000666F6">
        <w:rPr>
          <w:color w:val="000000"/>
        </w:rPr>
        <w:t xml:space="preserve"> </w:t>
      </w:r>
      <w:r w:rsidRPr="000666F6">
        <w:rPr>
          <w:color w:val="000000"/>
        </w:rPr>
        <w:t>за</w:t>
      </w:r>
      <w:r w:rsidR="00187432" w:rsidRPr="000666F6">
        <w:rPr>
          <w:color w:val="000000"/>
        </w:rPr>
        <w:t xml:space="preserve"> </w:t>
      </w:r>
      <w:r w:rsidRPr="000666F6">
        <w:rPr>
          <w:color w:val="000000"/>
        </w:rPr>
        <w:t>туђу</w:t>
      </w:r>
      <w:r w:rsidR="00187432" w:rsidRPr="000666F6">
        <w:rPr>
          <w:color w:val="000000"/>
        </w:rPr>
        <w:t xml:space="preserve"> </w:t>
      </w:r>
      <w:r w:rsidRPr="000666F6">
        <w:rPr>
          <w:color w:val="000000"/>
        </w:rPr>
        <w:t>помоћ</w:t>
      </w:r>
      <w:r w:rsidR="00187432" w:rsidRPr="000666F6">
        <w:rPr>
          <w:color w:val="000000"/>
        </w:rPr>
        <w:t xml:space="preserve"> </w:t>
      </w:r>
      <w:r w:rsidRPr="000666F6">
        <w:rPr>
          <w:color w:val="000000"/>
        </w:rPr>
        <w:t>и</w:t>
      </w:r>
      <w:r w:rsidR="00187432" w:rsidRPr="000666F6">
        <w:rPr>
          <w:color w:val="000000"/>
        </w:rPr>
        <w:t xml:space="preserve"> </w:t>
      </w:r>
      <w:r w:rsidRPr="000666F6">
        <w:rPr>
          <w:color w:val="000000"/>
        </w:rPr>
        <w:t>негу</w:t>
      </w:r>
      <w:r w:rsidR="00187432" w:rsidRPr="000666F6">
        <w:rPr>
          <w:color w:val="000000"/>
        </w:rPr>
        <w:t xml:space="preserve"> </w:t>
      </w:r>
      <w:r w:rsidRPr="000666F6">
        <w:rPr>
          <w:color w:val="000000"/>
        </w:rPr>
        <w:t>и</w:t>
      </w:r>
      <w:r w:rsidR="00187432" w:rsidRPr="000666F6">
        <w:rPr>
          <w:color w:val="000000"/>
        </w:rPr>
        <w:t xml:space="preserve"> </w:t>
      </w:r>
      <w:r w:rsidRPr="000666F6">
        <w:rPr>
          <w:color w:val="000000"/>
        </w:rPr>
        <w:t>накнада</w:t>
      </w:r>
      <w:r w:rsidR="00187432" w:rsidRPr="000666F6">
        <w:rPr>
          <w:color w:val="000000"/>
        </w:rPr>
        <w:t xml:space="preserve"> </w:t>
      </w:r>
      <w:r w:rsidRPr="000666F6">
        <w:rPr>
          <w:color w:val="000000"/>
        </w:rPr>
        <w:t>за</w:t>
      </w:r>
      <w:r w:rsidR="00187432" w:rsidRPr="000666F6">
        <w:rPr>
          <w:color w:val="000000"/>
        </w:rPr>
        <w:t xml:space="preserve"> </w:t>
      </w:r>
      <w:r w:rsidRPr="000666F6">
        <w:rPr>
          <w:color w:val="000000"/>
        </w:rPr>
        <w:t>телесно</w:t>
      </w:r>
      <w:r w:rsidR="00187432" w:rsidRPr="000666F6">
        <w:rPr>
          <w:color w:val="000000"/>
        </w:rPr>
        <w:t xml:space="preserve"> </w:t>
      </w:r>
      <w:r w:rsidRPr="000666F6">
        <w:rPr>
          <w:color w:val="000000"/>
        </w:rPr>
        <w:t>оштећење</w:t>
      </w:r>
      <w:r w:rsidR="00187432" w:rsidRPr="000666F6">
        <w:rPr>
          <w:color w:val="000000"/>
        </w:rPr>
        <w:t>;</w:t>
      </w:r>
    </w:p>
    <w:p w:rsidR="00187432" w:rsidRPr="000666F6" w:rsidRDefault="000666F6" w:rsidP="000666F6">
      <w:pPr>
        <w:pStyle w:val="normal0"/>
        <w:shd w:val="clear" w:color="auto" w:fill="FFFFFF"/>
        <w:spacing w:before="48" w:beforeAutospacing="0" w:after="48" w:afterAutospacing="0"/>
        <w:jc w:val="both"/>
        <w:rPr>
          <w:color w:val="000000"/>
        </w:rPr>
      </w:pPr>
      <w:r w:rsidRPr="000666F6">
        <w:rPr>
          <w:color w:val="000000"/>
          <w:lang w:val="sr-Cyrl-CS"/>
        </w:rPr>
        <w:t>-</w:t>
      </w:r>
      <w:r w:rsidRPr="000666F6">
        <w:rPr>
          <w:color w:val="000000"/>
        </w:rPr>
        <w:t>накнада</w:t>
      </w:r>
      <w:r w:rsidR="00187432" w:rsidRPr="000666F6">
        <w:rPr>
          <w:color w:val="000000"/>
        </w:rPr>
        <w:t xml:space="preserve"> </w:t>
      </w:r>
      <w:r w:rsidRPr="000666F6">
        <w:rPr>
          <w:color w:val="000000"/>
        </w:rPr>
        <w:t>за</w:t>
      </w:r>
      <w:r w:rsidR="00187432" w:rsidRPr="000666F6">
        <w:rPr>
          <w:color w:val="000000"/>
        </w:rPr>
        <w:t xml:space="preserve"> </w:t>
      </w:r>
      <w:r w:rsidRPr="000666F6">
        <w:rPr>
          <w:color w:val="000000"/>
        </w:rPr>
        <w:t>време</w:t>
      </w:r>
      <w:r w:rsidR="00187432" w:rsidRPr="000666F6">
        <w:rPr>
          <w:color w:val="000000"/>
        </w:rPr>
        <w:t xml:space="preserve"> </w:t>
      </w:r>
      <w:r w:rsidRPr="000666F6">
        <w:rPr>
          <w:color w:val="000000"/>
        </w:rPr>
        <w:t>незапослености</w:t>
      </w:r>
      <w:r w:rsidR="00187432" w:rsidRPr="000666F6">
        <w:rPr>
          <w:color w:val="000000"/>
        </w:rPr>
        <w:t>;</w:t>
      </w:r>
    </w:p>
    <w:p w:rsidR="00187432" w:rsidRPr="000666F6" w:rsidRDefault="000666F6" w:rsidP="000666F6">
      <w:pPr>
        <w:pStyle w:val="normal0"/>
        <w:shd w:val="clear" w:color="auto" w:fill="FFFFFF"/>
        <w:spacing w:before="48" w:beforeAutospacing="0" w:after="48" w:afterAutospacing="0"/>
        <w:jc w:val="both"/>
        <w:rPr>
          <w:color w:val="000000"/>
        </w:rPr>
      </w:pPr>
      <w:r w:rsidRPr="000666F6">
        <w:rPr>
          <w:color w:val="000000"/>
          <w:lang w:val="sr-Cyrl-CS"/>
        </w:rPr>
        <w:t>-</w:t>
      </w:r>
      <w:r w:rsidRPr="000666F6">
        <w:rPr>
          <w:color w:val="000000"/>
        </w:rPr>
        <w:t>материјалног</w:t>
      </w:r>
      <w:r w:rsidR="00187432" w:rsidRPr="000666F6">
        <w:rPr>
          <w:color w:val="000000"/>
        </w:rPr>
        <w:t xml:space="preserve"> </w:t>
      </w:r>
      <w:r w:rsidRPr="000666F6">
        <w:rPr>
          <w:color w:val="000000"/>
        </w:rPr>
        <w:t>обезбеђења</w:t>
      </w:r>
      <w:r w:rsidR="00187432" w:rsidRPr="000666F6">
        <w:rPr>
          <w:color w:val="000000"/>
        </w:rPr>
        <w:t xml:space="preserve"> </w:t>
      </w:r>
      <w:r w:rsidRPr="000666F6">
        <w:rPr>
          <w:color w:val="000000"/>
        </w:rPr>
        <w:t>у</w:t>
      </w:r>
      <w:r w:rsidR="00187432" w:rsidRPr="000666F6">
        <w:rPr>
          <w:color w:val="000000"/>
        </w:rPr>
        <w:t xml:space="preserve"> </w:t>
      </w:r>
      <w:r w:rsidRPr="000666F6">
        <w:rPr>
          <w:color w:val="000000"/>
        </w:rPr>
        <w:t>складу</w:t>
      </w:r>
      <w:r w:rsidR="00187432" w:rsidRPr="000666F6">
        <w:rPr>
          <w:color w:val="000000"/>
        </w:rPr>
        <w:t xml:space="preserve"> </w:t>
      </w:r>
      <w:r w:rsidRPr="000666F6">
        <w:rPr>
          <w:color w:val="000000"/>
        </w:rPr>
        <w:t>са</w:t>
      </w:r>
      <w:r w:rsidR="00187432" w:rsidRPr="000666F6">
        <w:rPr>
          <w:color w:val="000000"/>
        </w:rPr>
        <w:t xml:space="preserve"> </w:t>
      </w:r>
      <w:r w:rsidRPr="000666F6">
        <w:rPr>
          <w:color w:val="000000"/>
        </w:rPr>
        <w:t>законом</w:t>
      </w:r>
      <w:r w:rsidR="00187432" w:rsidRPr="000666F6">
        <w:rPr>
          <w:color w:val="000000"/>
        </w:rPr>
        <w:t>;</w:t>
      </w:r>
    </w:p>
    <w:p w:rsidR="00187432" w:rsidRPr="000666F6" w:rsidRDefault="000666F6" w:rsidP="000666F6">
      <w:pPr>
        <w:pStyle w:val="normal0"/>
        <w:shd w:val="clear" w:color="auto" w:fill="FFFFFF"/>
        <w:spacing w:before="48" w:beforeAutospacing="0" w:after="48" w:afterAutospacing="0"/>
        <w:jc w:val="both"/>
        <w:rPr>
          <w:color w:val="000000"/>
        </w:rPr>
      </w:pPr>
      <w:r w:rsidRPr="000666F6">
        <w:rPr>
          <w:color w:val="000000"/>
          <w:lang w:val="sr-Cyrl-CS"/>
        </w:rPr>
        <w:t>-</w:t>
      </w:r>
      <w:r w:rsidRPr="000666F6">
        <w:rPr>
          <w:color w:val="000000"/>
        </w:rPr>
        <w:t>накнада</w:t>
      </w:r>
      <w:r w:rsidR="00187432" w:rsidRPr="000666F6">
        <w:rPr>
          <w:color w:val="000000"/>
        </w:rPr>
        <w:t xml:space="preserve"> </w:t>
      </w:r>
      <w:r w:rsidRPr="000666F6">
        <w:rPr>
          <w:color w:val="000000"/>
        </w:rPr>
        <w:t>из</w:t>
      </w:r>
      <w:r w:rsidR="00187432" w:rsidRPr="000666F6">
        <w:rPr>
          <w:color w:val="000000"/>
        </w:rPr>
        <w:t xml:space="preserve"> </w:t>
      </w:r>
      <w:r w:rsidRPr="000666F6">
        <w:rPr>
          <w:color w:val="000000"/>
        </w:rPr>
        <w:t>здравственог</w:t>
      </w:r>
      <w:r w:rsidR="00187432" w:rsidRPr="000666F6">
        <w:rPr>
          <w:color w:val="000000"/>
        </w:rPr>
        <w:t xml:space="preserve"> </w:t>
      </w:r>
      <w:r w:rsidRPr="000666F6">
        <w:rPr>
          <w:color w:val="000000"/>
        </w:rPr>
        <w:t>осигурања</w:t>
      </w:r>
      <w:r w:rsidR="00187432" w:rsidRPr="000666F6">
        <w:rPr>
          <w:color w:val="000000"/>
        </w:rPr>
        <w:t xml:space="preserve">, </w:t>
      </w:r>
      <w:r w:rsidRPr="000666F6">
        <w:rPr>
          <w:color w:val="000000"/>
        </w:rPr>
        <w:t>осим</w:t>
      </w:r>
      <w:r w:rsidR="00187432" w:rsidRPr="000666F6">
        <w:rPr>
          <w:color w:val="000000"/>
        </w:rPr>
        <w:t xml:space="preserve"> </w:t>
      </w:r>
      <w:r w:rsidRPr="000666F6">
        <w:rPr>
          <w:color w:val="000000"/>
        </w:rPr>
        <w:t>накнаде</w:t>
      </w:r>
      <w:r w:rsidR="00187432" w:rsidRPr="000666F6">
        <w:rPr>
          <w:color w:val="000000"/>
        </w:rPr>
        <w:t xml:space="preserve"> </w:t>
      </w:r>
      <w:r w:rsidRPr="000666F6">
        <w:rPr>
          <w:color w:val="000000"/>
        </w:rPr>
        <w:t>зараде</w:t>
      </w:r>
      <w:r w:rsidR="00187432" w:rsidRPr="000666F6">
        <w:rPr>
          <w:color w:val="000000"/>
        </w:rPr>
        <w:t xml:space="preserve"> (</w:t>
      </w:r>
      <w:r w:rsidRPr="000666F6">
        <w:rPr>
          <w:color w:val="000000"/>
        </w:rPr>
        <w:t>плате</w:t>
      </w:r>
      <w:r w:rsidR="00187432" w:rsidRPr="000666F6">
        <w:rPr>
          <w:color w:val="000000"/>
        </w:rPr>
        <w:t>);</w:t>
      </w:r>
    </w:p>
    <w:p w:rsidR="00187432" w:rsidRPr="000666F6" w:rsidRDefault="000666F6" w:rsidP="000666F6">
      <w:pPr>
        <w:pStyle w:val="normal0"/>
        <w:shd w:val="clear" w:color="auto" w:fill="FFFFFF"/>
        <w:spacing w:before="48" w:beforeAutospacing="0" w:after="48" w:afterAutospacing="0"/>
        <w:jc w:val="both"/>
        <w:rPr>
          <w:color w:val="000000"/>
        </w:rPr>
      </w:pPr>
      <w:r w:rsidRPr="000666F6">
        <w:rPr>
          <w:color w:val="000000"/>
          <w:lang w:val="sr-Cyrl-CS"/>
        </w:rPr>
        <w:t>-</w:t>
      </w:r>
      <w:r w:rsidRPr="000666F6">
        <w:rPr>
          <w:color w:val="000000"/>
        </w:rPr>
        <w:t>накнада</w:t>
      </w:r>
      <w:r w:rsidR="00187432" w:rsidRPr="000666F6">
        <w:rPr>
          <w:color w:val="000000"/>
        </w:rPr>
        <w:t xml:space="preserve"> </w:t>
      </w:r>
      <w:r w:rsidRPr="000666F6">
        <w:rPr>
          <w:color w:val="000000"/>
        </w:rPr>
        <w:t>из</w:t>
      </w:r>
      <w:r w:rsidR="00187432" w:rsidRPr="000666F6">
        <w:rPr>
          <w:color w:val="000000"/>
        </w:rPr>
        <w:t xml:space="preserve"> </w:t>
      </w:r>
      <w:r w:rsidRPr="000666F6">
        <w:rPr>
          <w:color w:val="000000"/>
        </w:rPr>
        <w:t>осигурања</w:t>
      </w:r>
      <w:r w:rsidR="00187432" w:rsidRPr="000666F6">
        <w:rPr>
          <w:color w:val="000000"/>
        </w:rPr>
        <w:t xml:space="preserve"> </w:t>
      </w:r>
      <w:r w:rsidRPr="000666F6">
        <w:rPr>
          <w:color w:val="000000"/>
        </w:rPr>
        <w:t>имовине</w:t>
      </w:r>
      <w:r w:rsidR="00187432" w:rsidRPr="000666F6">
        <w:rPr>
          <w:color w:val="000000"/>
        </w:rPr>
        <w:t xml:space="preserve">, </w:t>
      </w:r>
      <w:r w:rsidRPr="000666F6">
        <w:rPr>
          <w:color w:val="000000"/>
        </w:rPr>
        <w:t>изузев</w:t>
      </w:r>
      <w:r w:rsidR="00187432" w:rsidRPr="000666F6">
        <w:rPr>
          <w:color w:val="000000"/>
        </w:rPr>
        <w:t xml:space="preserve"> </w:t>
      </w:r>
      <w:r w:rsidRPr="000666F6">
        <w:rPr>
          <w:color w:val="000000"/>
        </w:rPr>
        <w:t>накнада</w:t>
      </w:r>
      <w:r w:rsidR="00187432" w:rsidRPr="000666F6">
        <w:rPr>
          <w:color w:val="000000"/>
        </w:rPr>
        <w:t xml:space="preserve"> </w:t>
      </w:r>
      <w:r w:rsidRPr="000666F6">
        <w:rPr>
          <w:color w:val="000000"/>
        </w:rPr>
        <w:t>из</w:t>
      </w:r>
      <w:r w:rsidR="00187432" w:rsidRPr="000666F6">
        <w:rPr>
          <w:color w:val="000000"/>
        </w:rPr>
        <w:t xml:space="preserve"> </w:t>
      </w:r>
      <w:r w:rsidRPr="000666F6">
        <w:rPr>
          <w:color w:val="000000"/>
        </w:rPr>
        <w:t>осигурања</w:t>
      </w:r>
      <w:r w:rsidR="00187432" w:rsidRPr="000666F6">
        <w:rPr>
          <w:color w:val="000000"/>
        </w:rPr>
        <w:t xml:space="preserve"> </w:t>
      </w:r>
      <w:r w:rsidRPr="000666F6">
        <w:rPr>
          <w:color w:val="000000"/>
        </w:rPr>
        <w:t>за</w:t>
      </w:r>
      <w:r w:rsidR="00187432" w:rsidRPr="000666F6">
        <w:rPr>
          <w:color w:val="000000"/>
        </w:rPr>
        <w:t xml:space="preserve"> </w:t>
      </w:r>
      <w:r w:rsidRPr="000666F6">
        <w:rPr>
          <w:color w:val="000000"/>
        </w:rPr>
        <w:t>измаклу</w:t>
      </w:r>
      <w:r w:rsidR="00187432" w:rsidRPr="000666F6">
        <w:rPr>
          <w:color w:val="000000"/>
        </w:rPr>
        <w:t xml:space="preserve"> </w:t>
      </w:r>
      <w:r w:rsidRPr="000666F6">
        <w:rPr>
          <w:color w:val="000000"/>
        </w:rPr>
        <w:t>корист</w:t>
      </w:r>
      <w:r w:rsidR="00187432" w:rsidRPr="000666F6">
        <w:rPr>
          <w:color w:val="000000"/>
        </w:rPr>
        <w:t xml:space="preserve">, </w:t>
      </w:r>
      <w:r w:rsidRPr="000666F6">
        <w:rPr>
          <w:color w:val="000000"/>
        </w:rPr>
        <w:t>као</w:t>
      </w:r>
      <w:r w:rsidR="00187432" w:rsidRPr="000666F6">
        <w:rPr>
          <w:color w:val="000000"/>
        </w:rPr>
        <w:t xml:space="preserve"> </w:t>
      </w:r>
      <w:r w:rsidRPr="000666F6">
        <w:rPr>
          <w:color w:val="000000"/>
        </w:rPr>
        <w:t>и</w:t>
      </w:r>
      <w:r w:rsidR="00187432" w:rsidRPr="000666F6">
        <w:rPr>
          <w:color w:val="000000"/>
        </w:rPr>
        <w:t xml:space="preserve"> </w:t>
      </w:r>
      <w:r w:rsidRPr="000666F6">
        <w:rPr>
          <w:color w:val="000000"/>
        </w:rPr>
        <w:t>накнада</w:t>
      </w:r>
      <w:r w:rsidR="00187432" w:rsidRPr="000666F6">
        <w:rPr>
          <w:color w:val="000000"/>
        </w:rPr>
        <w:t xml:space="preserve"> </w:t>
      </w:r>
      <w:r w:rsidRPr="000666F6">
        <w:rPr>
          <w:color w:val="000000"/>
        </w:rPr>
        <w:t>из</w:t>
      </w:r>
      <w:r w:rsidR="00187432" w:rsidRPr="000666F6">
        <w:rPr>
          <w:color w:val="000000"/>
        </w:rPr>
        <w:t xml:space="preserve"> </w:t>
      </w:r>
      <w:r w:rsidRPr="000666F6">
        <w:rPr>
          <w:color w:val="000000"/>
        </w:rPr>
        <w:t>осигурања</w:t>
      </w:r>
      <w:r w:rsidR="00187432" w:rsidRPr="000666F6">
        <w:rPr>
          <w:color w:val="000000"/>
        </w:rPr>
        <w:t xml:space="preserve"> </w:t>
      </w:r>
      <w:r w:rsidRPr="000666F6">
        <w:rPr>
          <w:color w:val="000000"/>
        </w:rPr>
        <w:t>лица</w:t>
      </w:r>
      <w:r w:rsidR="00187432" w:rsidRPr="000666F6">
        <w:rPr>
          <w:color w:val="000000"/>
        </w:rPr>
        <w:t xml:space="preserve"> </w:t>
      </w:r>
      <w:r w:rsidRPr="000666F6">
        <w:rPr>
          <w:color w:val="000000"/>
        </w:rPr>
        <w:t>којима</w:t>
      </w:r>
      <w:r w:rsidR="00187432" w:rsidRPr="000666F6">
        <w:rPr>
          <w:color w:val="000000"/>
        </w:rPr>
        <w:t xml:space="preserve"> </w:t>
      </w:r>
      <w:r w:rsidRPr="000666F6">
        <w:rPr>
          <w:color w:val="000000"/>
        </w:rPr>
        <w:t>се</w:t>
      </w:r>
      <w:r w:rsidR="00187432" w:rsidRPr="000666F6">
        <w:rPr>
          <w:color w:val="000000"/>
        </w:rPr>
        <w:t xml:space="preserve"> </w:t>
      </w:r>
      <w:r w:rsidRPr="000666F6">
        <w:rPr>
          <w:color w:val="000000"/>
        </w:rPr>
        <w:t>надокнађује</w:t>
      </w:r>
      <w:r w:rsidR="00187432" w:rsidRPr="000666F6">
        <w:rPr>
          <w:color w:val="000000"/>
        </w:rPr>
        <w:t xml:space="preserve"> </w:t>
      </w:r>
      <w:r w:rsidRPr="000666F6">
        <w:rPr>
          <w:color w:val="000000"/>
        </w:rPr>
        <w:t>претрпљена</w:t>
      </w:r>
      <w:r w:rsidR="00187432" w:rsidRPr="000666F6">
        <w:rPr>
          <w:color w:val="000000"/>
        </w:rPr>
        <w:t xml:space="preserve"> </w:t>
      </w:r>
      <w:r w:rsidRPr="000666F6">
        <w:rPr>
          <w:color w:val="000000"/>
        </w:rPr>
        <w:t>штета</w:t>
      </w:r>
      <w:r w:rsidR="00187432" w:rsidRPr="000666F6">
        <w:rPr>
          <w:color w:val="000000"/>
        </w:rPr>
        <w:t xml:space="preserve">, </w:t>
      </w:r>
      <w:r w:rsidRPr="000666F6">
        <w:rPr>
          <w:color w:val="000000"/>
        </w:rPr>
        <w:t>уколико</w:t>
      </w:r>
      <w:r w:rsidR="00187432" w:rsidRPr="000666F6">
        <w:rPr>
          <w:color w:val="000000"/>
        </w:rPr>
        <w:t xml:space="preserve"> </w:t>
      </w:r>
      <w:r w:rsidRPr="000666F6">
        <w:rPr>
          <w:color w:val="000000"/>
        </w:rPr>
        <w:t>она</w:t>
      </w:r>
      <w:r w:rsidR="00187432" w:rsidRPr="000666F6">
        <w:rPr>
          <w:color w:val="000000"/>
        </w:rPr>
        <w:t xml:space="preserve"> </w:t>
      </w:r>
      <w:r w:rsidRPr="000666F6">
        <w:rPr>
          <w:color w:val="000000"/>
        </w:rPr>
        <w:t>није</w:t>
      </w:r>
      <w:r w:rsidR="00187432" w:rsidRPr="000666F6">
        <w:rPr>
          <w:color w:val="000000"/>
        </w:rPr>
        <w:t xml:space="preserve"> </w:t>
      </w:r>
      <w:r w:rsidRPr="000666F6">
        <w:rPr>
          <w:color w:val="000000"/>
        </w:rPr>
        <w:t>надокнађена</w:t>
      </w:r>
      <w:r w:rsidR="00187432" w:rsidRPr="000666F6">
        <w:rPr>
          <w:color w:val="000000"/>
        </w:rPr>
        <w:t xml:space="preserve"> </w:t>
      </w:r>
      <w:r w:rsidRPr="000666F6">
        <w:rPr>
          <w:color w:val="000000"/>
        </w:rPr>
        <w:t>од</w:t>
      </w:r>
      <w:r w:rsidR="00187432" w:rsidRPr="000666F6">
        <w:rPr>
          <w:color w:val="000000"/>
        </w:rPr>
        <w:t xml:space="preserve"> </w:t>
      </w:r>
      <w:r w:rsidRPr="000666F6">
        <w:rPr>
          <w:color w:val="000000"/>
        </w:rPr>
        <w:t>штетника</w:t>
      </w:r>
      <w:r w:rsidR="00187432" w:rsidRPr="000666F6">
        <w:rPr>
          <w:color w:val="000000"/>
        </w:rPr>
        <w:t>;</w:t>
      </w:r>
    </w:p>
    <w:p w:rsidR="00187432" w:rsidRPr="000666F6" w:rsidRDefault="000666F6" w:rsidP="000666F6">
      <w:pPr>
        <w:pStyle w:val="normal0"/>
        <w:shd w:val="clear" w:color="auto" w:fill="FFFFFF"/>
        <w:spacing w:before="48" w:beforeAutospacing="0" w:after="48" w:afterAutospacing="0"/>
        <w:jc w:val="both"/>
        <w:rPr>
          <w:color w:val="000000"/>
        </w:rPr>
      </w:pPr>
      <w:r w:rsidRPr="000666F6">
        <w:rPr>
          <w:color w:val="000000"/>
          <w:lang w:val="sr-Cyrl-CS"/>
        </w:rPr>
        <w:t>-</w:t>
      </w:r>
      <w:r w:rsidRPr="000666F6">
        <w:rPr>
          <w:color w:val="000000"/>
        </w:rPr>
        <w:t>накнада</w:t>
      </w:r>
      <w:r w:rsidR="00187432" w:rsidRPr="000666F6">
        <w:rPr>
          <w:color w:val="000000"/>
        </w:rPr>
        <w:t xml:space="preserve"> </w:t>
      </w:r>
      <w:r w:rsidRPr="000666F6">
        <w:rPr>
          <w:color w:val="000000"/>
        </w:rPr>
        <w:t>материјалне</w:t>
      </w:r>
      <w:r w:rsidR="00187432" w:rsidRPr="000666F6">
        <w:rPr>
          <w:color w:val="000000"/>
        </w:rPr>
        <w:t xml:space="preserve"> </w:t>
      </w:r>
      <w:r w:rsidRPr="000666F6">
        <w:rPr>
          <w:color w:val="000000"/>
        </w:rPr>
        <w:t>и</w:t>
      </w:r>
      <w:r w:rsidR="00187432" w:rsidRPr="000666F6">
        <w:rPr>
          <w:color w:val="000000"/>
        </w:rPr>
        <w:t xml:space="preserve"> </w:t>
      </w:r>
      <w:r w:rsidRPr="000666F6">
        <w:rPr>
          <w:color w:val="000000"/>
        </w:rPr>
        <w:t>нематеријалне</w:t>
      </w:r>
      <w:r w:rsidR="00187432" w:rsidRPr="000666F6">
        <w:rPr>
          <w:color w:val="000000"/>
        </w:rPr>
        <w:t xml:space="preserve"> </w:t>
      </w:r>
      <w:r w:rsidRPr="000666F6">
        <w:rPr>
          <w:color w:val="000000"/>
        </w:rPr>
        <w:t>штете</w:t>
      </w:r>
      <w:r w:rsidR="00187432" w:rsidRPr="000666F6">
        <w:rPr>
          <w:color w:val="000000"/>
        </w:rPr>
        <w:t xml:space="preserve">, </w:t>
      </w:r>
      <w:r w:rsidRPr="000666F6">
        <w:rPr>
          <w:color w:val="000000"/>
        </w:rPr>
        <w:t>изузев</w:t>
      </w:r>
      <w:r w:rsidR="00187432" w:rsidRPr="000666F6">
        <w:rPr>
          <w:color w:val="000000"/>
        </w:rPr>
        <w:t xml:space="preserve"> </w:t>
      </w:r>
      <w:r w:rsidRPr="000666F6">
        <w:rPr>
          <w:color w:val="000000"/>
        </w:rPr>
        <w:t>накнаде</w:t>
      </w:r>
      <w:r w:rsidR="00187432" w:rsidRPr="000666F6">
        <w:rPr>
          <w:color w:val="000000"/>
        </w:rPr>
        <w:t xml:space="preserve"> </w:t>
      </w:r>
      <w:r w:rsidRPr="000666F6">
        <w:rPr>
          <w:color w:val="000000"/>
        </w:rPr>
        <w:t>за</w:t>
      </w:r>
      <w:r w:rsidR="00187432" w:rsidRPr="000666F6">
        <w:rPr>
          <w:color w:val="000000"/>
        </w:rPr>
        <w:t xml:space="preserve"> </w:t>
      </w:r>
      <w:r w:rsidRPr="000666F6">
        <w:rPr>
          <w:color w:val="000000"/>
        </w:rPr>
        <w:t>измаклу</w:t>
      </w:r>
      <w:r w:rsidR="00187432" w:rsidRPr="000666F6">
        <w:rPr>
          <w:color w:val="000000"/>
        </w:rPr>
        <w:t xml:space="preserve"> </w:t>
      </w:r>
      <w:r w:rsidRPr="000666F6">
        <w:rPr>
          <w:color w:val="000000"/>
        </w:rPr>
        <w:t>корист</w:t>
      </w:r>
      <w:r w:rsidR="00187432" w:rsidRPr="000666F6">
        <w:rPr>
          <w:color w:val="000000"/>
        </w:rPr>
        <w:t xml:space="preserve"> </w:t>
      </w:r>
      <w:r w:rsidRPr="000666F6">
        <w:rPr>
          <w:color w:val="000000"/>
        </w:rPr>
        <w:t>и</w:t>
      </w:r>
      <w:r w:rsidR="00187432" w:rsidRPr="000666F6">
        <w:rPr>
          <w:color w:val="000000"/>
        </w:rPr>
        <w:t xml:space="preserve"> </w:t>
      </w:r>
      <w:r w:rsidRPr="000666F6">
        <w:rPr>
          <w:color w:val="000000"/>
        </w:rPr>
        <w:t>накнаде</w:t>
      </w:r>
      <w:r w:rsidR="00187432" w:rsidRPr="000666F6">
        <w:rPr>
          <w:color w:val="000000"/>
        </w:rPr>
        <w:t xml:space="preserve"> </w:t>
      </w:r>
      <w:r w:rsidRPr="000666F6">
        <w:rPr>
          <w:color w:val="000000"/>
        </w:rPr>
        <w:t>зараде</w:t>
      </w:r>
      <w:r w:rsidR="00187432" w:rsidRPr="000666F6">
        <w:rPr>
          <w:color w:val="000000"/>
        </w:rPr>
        <w:t xml:space="preserve"> (</w:t>
      </w:r>
      <w:r w:rsidRPr="000666F6">
        <w:rPr>
          <w:color w:val="000000"/>
        </w:rPr>
        <w:t>плате</w:t>
      </w:r>
      <w:r w:rsidR="00187432" w:rsidRPr="000666F6">
        <w:rPr>
          <w:color w:val="000000"/>
        </w:rPr>
        <w:t xml:space="preserve">), </w:t>
      </w:r>
      <w:r w:rsidRPr="000666F6">
        <w:rPr>
          <w:color w:val="000000"/>
        </w:rPr>
        <w:t>односно</w:t>
      </w:r>
      <w:r w:rsidR="00187432" w:rsidRPr="000666F6">
        <w:rPr>
          <w:color w:val="000000"/>
        </w:rPr>
        <w:t xml:space="preserve"> </w:t>
      </w:r>
      <w:r w:rsidRPr="000666F6">
        <w:rPr>
          <w:color w:val="000000"/>
        </w:rPr>
        <w:t>накнаде</w:t>
      </w:r>
      <w:r w:rsidR="00187432" w:rsidRPr="000666F6">
        <w:rPr>
          <w:color w:val="000000"/>
        </w:rPr>
        <w:t xml:space="preserve"> </w:t>
      </w:r>
      <w:r w:rsidRPr="000666F6">
        <w:rPr>
          <w:color w:val="000000"/>
        </w:rPr>
        <w:t>за</w:t>
      </w:r>
      <w:r w:rsidR="00187432" w:rsidRPr="000666F6">
        <w:rPr>
          <w:color w:val="000000"/>
        </w:rPr>
        <w:t xml:space="preserve"> </w:t>
      </w:r>
      <w:r w:rsidRPr="000666F6">
        <w:rPr>
          <w:color w:val="000000"/>
        </w:rPr>
        <w:t>изгубљену</w:t>
      </w:r>
      <w:r w:rsidR="00187432" w:rsidRPr="000666F6">
        <w:rPr>
          <w:color w:val="000000"/>
        </w:rPr>
        <w:t xml:space="preserve"> </w:t>
      </w:r>
      <w:r w:rsidRPr="000666F6">
        <w:rPr>
          <w:color w:val="000000"/>
        </w:rPr>
        <w:t>зараду</w:t>
      </w:r>
      <w:r w:rsidR="00187432" w:rsidRPr="000666F6">
        <w:rPr>
          <w:color w:val="000000"/>
        </w:rPr>
        <w:t xml:space="preserve"> (</w:t>
      </w:r>
      <w:r w:rsidRPr="000666F6">
        <w:rPr>
          <w:color w:val="000000"/>
        </w:rPr>
        <w:t>плату</w:t>
      </w:r>
      <w:r w:rsidR="00187432" w:rsidRPr="000666F6">
        <w:rPr>
          <w:color w:val="000000"/>
        </w:rPr>
        <w:t>);</w:t>
      </w:r>
    </w:p>
    <w:p w:rsidR="00187432" w:rsidRPr="000666F6" w:rsidRDefault="000666F6" w:rsidP="000666F6">
      <w:pPr>
        <w:pStyle w:val="normal0"/>
        <w:shd w:val="clear" w:color="auto" w:fill="FFFFFF"/>
        <w:spacing w:before="48" w:beforeAutospacing="0" w:after="48" w:afterAutospacing="0"/>
        <w:jc w:val="both"/>
        <w:rPr>
          <w:color w:val="000000"/>
        </w:rPr>
      </w:pPr>
      <w:r w:rsidRPr="000666F6">
        <w:rPr>
          <w:color w:val="000000"/>
          <w:lang w:val="sr-Cyrl-CS"/>
        </w:rPr>
        <w:t>-</w:t>
      </w:r>
      <w:r w:rsidRPr="000666F6">
        <w:rPr>
          <w:color w:val="000000"/>
        </w:rPr>
        <w:t>помоћи</w:t>
      </w:r>
      <w:r w:rsidR="00187432" w:rsidRPr="000666F6">
        <w:rPr>
          <w:color w:val="000000"/>
        </w:rPr>
        <w:t xml:space="preserve"> </w:t>
      </w:r>
      <w:r w:rsidRPr="000666F6">
        <w:rPr>
          <w:color w:val="000000"/>
        </w:rPr>
        <w:t>у</w:t>
      </w:r>
      <w:r w:rsidR="00187432" w:rsidRPr="000666F6">
        <w:rPr>
          <w:color w:val="000000"/>
        </w:rPr>
        <w:t xml:space="preserve"> </w:t>
      </w:r>
      <w:r w:rsidRPr="000666F6">
        <w:rPr>
          <w:color w:val="000000"/>
        </w:rPr>
        <w:t>случају</w:t>
      </w:r>
      <w:r w:rsidR="00187432" w:rsidRPr="000666F6">
        <w:rPr>
          <w:color w:val="000000"/>
        </w:rPr>
        <w:t xml:space="preserve"> </w:t>
      </w:r>
      <w:r w:rsidRPr="000666F6">
        <w:rPr>
          <w:color w:val="000000"/>
        </w:rPr>
        <w:t>смрти</w:t>
      </w:r>
      <w:r w:rsidR="00187432" w:rsidRPr="000666F6">
        <w:rPr>
          <w:color w:val="000000"/>
        </w:rPr>
        <w:t xml:space="preserve"> </w:t>
      </w:r>
      <w:r w:rsidRPr="000666F6">
        <w:rPr>
          <w:color w:val="000000"/>
        </w:rPr>
        <w:t>запосленог</w:t>
      </w:r>
      <w:r w:rsidR="00187432" w:rsidRPr="000666F6">
        <w:rPr>
          <w:color w:val="000000"/>
        </w:rPr>
        <w:t xml:space="preserve">, </w:t>
      </w:r>
      <w:r w:rsidRPr="000666F6">
        <w:rPr>
          <w:color w:val="000000"/>
        </w:rPr>
        <w:t>члана</w:t>
      </w:r>
      <w:r w:rsidR="00187432" w:rsidRPr="000666F6">
        <w:rPr>
          <w:color w:val="000000"/>
        </w:rPr>
        <w:t xml:space="preserve"> </w:t>
      </w:r>
      <w:r w:rsidRPr="000666F6">
        <w:rPr>
          <w:color w:val="000000"/>
        </w:rPr>
        <w:t>његове</w:t>
      </w:r>
      <w:r w:rsidR="00187432" w:rsidRPr="000666F6">
        <w:rPr>
          <w:color w:val="000000"/>
        </w:rPr>
        <w:t xml:space="preserve"> </w:t>
      </w:r>
      <w:r w:rsidRPr="000666F6">
        <w:rPr>
          <w:color w:val="000000"/>
        </w:rPr>
        <w:t>породице</w:t>
      </w:r>
      <w:r w:rsidR="00187432" w:rsidRPr="000666F6">
        <w:rPr>
          <w:color w:val="000000"/>
        </w:rPr>
        <w:t xml:space="preserve"> </w:t>
      </w:r>
      <w:r w:rsidRPr="000666F6">
        <w:rPr>
          <w:color w:val="000000"/>
        </w:rPr>
        <w:t>или</w:t>
      </w:r>
      <w:r w:rsidR="00187432" w:rsidRPr="000666F6">
        <w:rPr>
          <w:color w:val="000000"/>
        </w:rPr>
        <w:t xml:space="preserve"> </w:t>
      </w:r>
      <w:r w:rsidRPr="000666F6">
        <w:rPr>
          <w:color w:val="000000"/>
        </w:rPr>
        <w:t>пензионисаног</w:t>
      </w:r>
      <w:r w:rsidR="00187432" w:rsidRPr="000666F6">
        <w:rPr>
          <w:color w:val="000000"/>
        </w:rPr>
        <w:t xml:space="preserve"> </w:t>
      </w:r>
      <w:r w:rsidRPr="000666F6">
        <w:rPr>
          <w:color w:val="000000"/>
        </w:rPr>
        <w:t>радника</w:t>
      </w:r>
      <w:r w:rsidR="00187432" w:rsidRPr="000666F6">
        <w:rPr>
          <w:color w:val="000000"/>
        </w:rPr>
        <w:t xml:space="preserve"> - </w:t>
      </w:r>
      <w:r w:rsidRPr="000666F6">
        <w:rPr>
          <w:color w:val="000000"/>
        </w:rPr>
        <w:t>до</w:t>
      </w:r>
      <w:r w:rsidR="00187432" w:rsidRPr="000666F6">
        <w:rPr>
          <w:color w:val="000000"/>
        </w:rPr>
        <w:t xml:space="preserve"> 60.819 </w:t>
      </w:r>
      <w:r w:rsidRPr="000666F6">
        <w:rPr>
          <w:color w:val="000000"/>
        </w:rPr>
        <w:t>динара</w:t>
      </w:r>
      <w:r w:rsidR="00187432" w:rsidRPr="000666F6">
        <w:rPr>
          <w:color w:val="000000"/>
        </w:rPr>
        <w:t>;</w:t>
      </w:r>
    </w:p>
    <w:p w:rsidR="00187432" w:rsidRPr="000666F6" w:rsidRDefault="000666F6" w:rsidP="000666F6">
      <w:pPr>
        <w:pStyle w:val="normal0"/>
        <w:shd w:val="clear" w:color="auto" w:fill="FFFFFF"/>
        <w:spacing w:before="48" w:beforeAutospacing="0" w:after="48" w:afterAutospacing="0"/>
        <w:jc w:val="both"/>
        <w:rPr>
          <w:color w:val="000000"/>
        </w:rPr>
      </w:pPr>
      <w:r w:rsidRPr="000666F6">
        <w:rPr>
          <w:color w:val="000000"/>
          <w:lang w:val="sr-Cyrl-CS"/>
        </w:rPr>
        <w:t>-</w:t>
      </w:r>
      <w:r w:rsidRPr="000666F6">
        <w:rPr>
          <w:color w:val="000000"/>
        </w:rPr>
        <w:t>помоћи</w:t>
      </w:r>
      <w:r w:rsidR="00187432" w:rsidRPr="000666F6">
        <w:rPr>
          <w:color w:val="000000"/>
        </w:rPr>
        <w:t xml:space="preserve"> </w:t>
      </w:r>
      <w:r w:rsidRPr="000666F6">
        <w:rPr>
          <w:color w:val="000000"/>
        </w:rPr>
        <w:t>због</w:t>
      </w:r>
      <w:r w:rsidR="00187432" w:rsidRPr="000666F6">
        <w:rPr>
          <w:color w:val="000000"/>
        </w:rPr>
        <w:t xml:space="preserve"> </w:t>
      </w:r>
      <w:r w:rsidRPr="000666F6">
        <w:rPr>
          <w:color w:val="000000"/>
        </w:rPr>
        <w:t>уништења</w:t>
      </w:r>
      <w:r w:rsidR="00187432" w:rsidRPr="000666F6">
        <w:rPr>
          <w:color w:val="000000"/>
        </w:rPr>
        <w:t xml:space="preserve"> </w:t>
      </w:r>
      <w:r w:rsidRPr="000666F6">
        <w:rPr>
          <w:color w:val="000000"/>
        </w:rPr>
        <w:t>или</w:t>
      </w:r>
      <w:r w:rsidR="00187432" w:rsidRPr="000666F6">
        <w:rPr>
          <w:color w:val="000000"/>
        </w:rPr>
        <w:t xml:space="preserve"> </w:t>
      </w:r>
      <w:r w:rsidRPr="000666F6">
        <w:rPr>
          <w:color w:val="000000"/>
        </w:rPr>
        <w:t>оштећења</w:t>
      </w:r>
      <w:r w:rsidR="00187432" w:rsidRPr="000666F6">
        <w:rPr>
          <w:color w:val="000000"/>
        </w:rPr>
        <w:t xml:space="preserve"> </w:t>
      </w:r>
      <w:r w:rsidRPr="000666F6">
        <w:rPr>
          <w:color w:val="000000"/>
        </w:rPr>
        <w:t>имовине</w:t>
      </w:r>
      <w:r w:rsidR="00187432" w:rsidRPr="000666F6">
        <w:rPr>
          <w:color w:val="000000"/>
        </w:rPr>
        <w:t xml:space="preserve"> </w:t>
      </w:r>
      <w:r w:rsidRPr="000666F6">
        <w:rPr>
          <w:color w:val="000000"/>
        </w:rPr>
        <w:t>услед</w:t>
      </w:r>
      <w:r w:rsidR="00187432" w:rsidRPr="000666F6">
        <w:rPr>
          <w:color w:val="000000"/>
        </w:rPr>
        <w:t xml:space="preserve"> </w:t>
      </w:r>
      <w:r w:rsidRPr="000666F6">
        <w:rPr>
          <w:color w:val="000000"/>
        </w:rPr>
        <w:t>елементарних</w:t>
      </w:r>
      <w:r w:rsidR="00187432" w:rsidRPr="000666F6">
        <w:rPr>
          <w:color w:val="000000"/>
        </w:rPr>
        <w:t xml:space="preserve"> </w:t>
      </w:r>
      <w:r w:rsidRPr="000666F6">
        <w:rPr>
          <w:color w:val="000000"/>
        </w:rPr>
        <w:t>непогода</w:t>
      </w:r>
      <w:r w:rsidR="00187432" w:rsidRPr="000666F6">
        <w:rPr>
          <w:color w:val="000000"/>
        </w:rPr>
        <w:t xml:space="preserve"> </w:t>
      </w:r>
      <w:r w:rsidRPr="000666F6">
        <w:rPr>
          <w:color w:val="000000"/>
        </w:rPr>
        <w:t>или</w:t>
      </w:r>
      <w:r w:rsidR="00187432" w:rsidRPr="000666F6">
        <w:rPr>
          <w:color w:val="000000"/>
        </w:rPr>
        <w:t xml:space="preserve"> </w:t>
      </w:r>
      <w:r w:rsidRPr="000666F6">
        <w:rPr>
          <w:color w:val="000000"/>
        </w:rPr>
        <w:t>других</w:t>
      </w:r>
      <w:r w:rsidR="00187432" w:rsidRPr="000666F6">
        <w:rPr>
          <w:color w:val="000000"/>
        </w:rPr>
        <w:t xml:space="preserve"> </w:t>
      </w:r>
      <w:r w:rsidRPr="000666F6">
        <w:rPr>
          <w:color w:val="000000"/>
        </w:rPr>
        <w:t>ванредних</w:t>
      </w:r>
      <w:r w:rsidR="00187432" w:rsidRPr="000666F6">
        <w:rPr>
          <w:color w:val="000000"/>
        </w:rPr>
        <w:t xml:space="preserve"> </w:t>
      </w:r>
      <w:r w:rsidRPr="000666F6">
        <w:rPr>
          <w:color w:val="000000"/>
        </w:rPr>
        <w:t>догађаја</w:t>
      </w:r>
      <w:r w:rsidR="00187432" w:rsidRPr="000666F6">
        <w:rPr>
          <w:color w:val="000000"/>
        </w:rPr>
        <w:t>;</w:t>
      </w:r>
    </w:p>
    <w:p w:rsidR="00187432" w:rsidRPr="000666F6" w:rsidRDefault="000666F6" w:rsidP="000666F6">
      <w:pPr>
        <w:pStyle w:val="normal0"/>
        <w:shd w:val="clear" w:color="auto" w:fill="FFFFFF"/>
        <w:spacing w:before="48" w:beforeAutospacing="0" w:after="48" w:afterAutospacing="0"/>
        <w:jc w:val="both"/>
        <w:rPr>
          <w:color w:val="000000"/>
        </w:rPr>
      </w:pPr>
      <w:r w:rsidRPr="000666F6">
        <w:rPr>
          <w:color w:val="000000"/>
          <w:lang w:val="sr-Cyrl-CS"/>
        </w:rPr>
        <w:t>-</w:t>
      </w:r>
      <w:r w:rsidRPr="000666F6">
        <w:rPr>
          <w:color w:val="000000"/>
        </w:rPr>
        <w:t>организоване</w:t>
      </w:r>
      <w:r w:rsidR="00187432" w:rsidRPr="000666F6">
        <w:rPr>
          <w:color w:val="000000"/>
        </w:rPr>
        <w:t xml:space="preserve"> </w:t>
      </w:r>
      <w:r w:rsidRPr="000666F6">
        <w:rPr>
          <w:color w:val="000000"/>
        </w:rPr>
        <w:t>социјалне</w:t>
      </w:r>
      <w:r w:rsidR="00187432" w:rsidRPr="000666F6">
        <w:rPr>
          <w:color w:val="000000"/>
        </w:rPr>
        <w:t xml:space="preserve"> </w:t>
      </w:r>
      <w:r w:rsidRPr="000666F6">
        <w:rPr>
          <w:color w:val="000000"/>
        </w:rPr>
        <w:t>и</w:t>
      </w:r>
      <w:r w:rsidR="00187432" w:rsidRPr="000666F6">
        <w:rPr>
          <w:color w:val="000000"/>
        </w:rPr>
        <w:t xml:space="preserve"> </w:t>
      </w:r>
      <w:r w:rsidRPr="000666F6">
        <w:rPr>
          <w:color w:val="000000"/>
        </w:rPr>
        <w:t>хуманитарне</w:t>
      </w:r>
      <w:r w:rsidR="00187432" w:rsidRPr="000666F6">
        <w:rPr>
          <w:color w:val="000000"/>
        </w:rPr>
        <w:t xml:space="preserve"> </w:t>
      </w:r>
      <w:r w:rsidRPr="000666F6">
        <w:rPr>
          <w:color w:val="000000"/>
        </w:rPr>
        <w:t>помоћи</w:t>
      </w:r>
      <w:r w:rsidR="00187432" w:rsidRPr="000666F6">
        <w:rPr>
          <w:color w:val="000000"/>
        </w:rPr>
        <w:t>;</w:t>
      </w:r>
    </w:p>
    <w:p w:rsidR="00187432" w:rsidRPr="000666F6" w:rsidRDefault="000666F6" w:rsidP="000666F6">
      <w:pPr>
        <w:pStyle w:val="normal0"/>
        <w:shd w:val="clear" w:color="auto" w:fill="FFFFFF"/>
        <w:spacing w:before="48" w:beforeAutospacing="0" w:after="48" w:afterAutospacing="0"/>
        <w:jc w:val="both"/>
        <w:rPr>
          <w:color w:val="000000"/>
        </w:rPr>
      </w:pPr>
      <w:r w:rsidRPr="000666F6">
        <w:rPr>
          <w:color w:val="000000"/>
          <w:lang w:val="sr-Cyrl-CS"/>
        </w:rPr>
        <w:t>-</w:t>
      </w:r>
      <w:r w:rsidRPr="000666F6">
        <w:rPr>
          <w:color w:val="000000"/>
        </w:rPr>
        <w:t>стипендија</w:t>
      </w:r>
      <w:r w:rsidR="00187432" w:rsidRPr="000666F6">
        <w:rPr>
          <w:color w:val="000000"/>
        </w:rPr>
        <w:t xml:space="preserve"> </w:t>
      </w:r>
      <w:r w:rsidRPr="000666F6">
        <w:rPr>
          <w:color w:val="000000"/>
        </w:rPr>
        <w:t>и</w:t>
      </w:r>
      <w:r w:rsidR="00187432" w:rsidRPr="000666F6">
        <w:rPr>
          <w:color w:val="000000"/>
        </w:rPr>
        <w:t xml:space="preserve"> </w:t>
      </w:r>
      <w:r w:rsidRPr="000666F6">
        <w:rPr>
          <w:color w:val="000000"/>
        </w:rPr>
        <w:t>кредита</w:t>
      </w:r>
      <w:r w:rsidR="00187432" w:rsidRPr="000666F6">
        <w:rPr>
          <w:color w:val="000000"/>
        </w:rPr>
        <w:t xml:space="preserve"> </w:t>
      </w:r>
      <w:r w:rsidRPr="000666F6">
        <w:rPr>
          <w:color w:val="000000"/>
        </w:rPr>
        <w:t>ученика</w:t>
      </w:r>
      <w:r w:rsidR="00187432" w:rsidRPr="000666F6">
        <w:rPr>
          <w:color w:val="000000"/>
        </w:rPr>
        <w:t xml:space="preserve"> </w:t>
      </w:r>
      <w:r w:rsidRPr="000666F6">
        <w:rPr>
          <w:color w:val="000000"/>
        </w:rPr>
        <w:t>и</w:t>
      </w:r>
      <w:r w:rsidR="00187432" w:rsidRPr="000666F6">
        <w:rPr>
          <w:color w:val="000000"/>
        </w:rPr>
        <w:t xml:space="preserve"> </w:t>
      </w:r>
      <w:r w:rsidRPr="000666F6">
        <w:rPr>
          <w:color w:val="000000"/>
        </w:rPr>
        <w:t>студената</w:t>
      </w:r>
      <w:r w:rsidR="00187432" w:rsidRPr="000666F6">
        <w:rPr>
          <w:color w:val="000000"/>
        </w:rPr>
        <w:t xml:space="preserve"> - </w:t>
      </w:r>
      <w:r w:rsidRPr="000666F6">
        <w:rPr>
          <w:color w:val="000000"/>
        </w:rPr>
        <w:t>у</w:t>
      </w:r>
      <w:r w:rsidR="00187432" w:rsidRPr="000666F6">
        <w:rPr>
          <w:color w:val="000000"/>
        </w:rPr>
        <w:t xml:space="preserve"> </w:t>
      </w:r>
      <w:r w:rsidRPr="000666F6">
        <w:rPr>
          <w:color w:val="000000"/>
        </w:rPr>
        <w:t>месечном</w:t>
      </w:r>
      <w:r w:rsidR="00187432" w:rsidRPr="000666F6">
        <w:rPr>
          <w:color w:val="000000"/>
        </w:rPr>
        <w:t xml:space="preserve"> </w:t>
      </w:r>
      <w:r w:rsidRPr="000666F6">
        <w:rPr>
          <w:color w:val="000000"/>
        </w:rPr>
        <w:t>износу</w:t>
      </w:r>
      <w:r w:rsidR="00187432" w:rsidRPr="000666F6">
        <w:rPr>
          <w:color w:val="000000"/>
        </w:rPr>
        <w:t xml:space="preserve"> </w:t>
      </w:r>
      <w:r w:rsidRPr="000666F6">
        <w:rPr>
          <w:color w:val="000000"/>
        </w:rPr>
        <w:t>до</w:t>
      </w:r>
      <w:r w:rsidR="00187432" w:rsidRPr="000666F6">
        <w:rPr>
          <w:color w:val="000000"/>
        </w:rPr>
        <w:t xml:space="preserve"> 10.427 </w:t>
      </w:r>
      <w:r w:rsidRPr="000666F6">
        <w:rPr>
          <w:color w:val="000000"/>
        </w:rPr>
        <w:t>динара</w:t>
      </w:r>
      <w:r w:rsidR="00187432" w:rsidRPr="000666F6">
        <w:rPr>
          <w:color w:val="000000"/>
        </w:rPr>
        <w:t>;</w:t>
      </w:r>
    </w:p>
    <w:p w:rsidR="00187432" w:rsidRPr="00B434FA" w:rsidRDefault="000666F6" w:rsidP="000666F6">
      <w:pPr>
        <w:pStyle w:val="normal0"/>
        <w:shd w:val="clear" w:color="auto" w:fill="FFFFFF"/>
        <w:spacing w:before="48" w:beforeAutospacing="0" w:after="48" w:afterAutospacing="0"/>
        <w:jc w:val="both"/>
        <w:rPr>
          <w:color w:val="000000"/>
          <w:lang w:val="sr-Cyrl-CS"/>
        </w:rPr>
      </w:pPr>
      <w:r w:rsidRPr="000666F6">
        <w:rPr>
          <w:color w:val="000000"/>
          <w:lang w:val="sr-Cyrl-CS"/>
        </w:rPr>
        <w:t>-</w:t>
      </w:r>
      <w:r w:rsidRPr="000666F6">
        <w:rPr>
          <w:color w:val="000000"/>
        </w:rPr>
        <w:t>накнада</w:t>
      </w:r>
      <w:r w:rsidR="00187432" w:rsidRPr="000666F6">
        <w:rPr>
          <w:color w:val="000000"/>
        </w:rPr>
        <w:t xml:space="preserve"> </w:t>
      </w:r>
      <w:r w:rsidRPr="000666F6">
        <w:rPr>
          <w:color w:val="000000"/>
        </w:rPr>
        <w:t>и</w:t>
      </w:r>
      <w:r w:rsidR="00187432" w:rsidRPr="000666F6">
        <w:rPr>
          <w:color w:val="000000"/>
        </w:rPr>
        <w:t xml:space="preserve"> </w:t>
      </w:r>
      <w:r w:rsidRPr="000666F6">
        <w:rPr>
          <w:color w:val="000000"/>
        </w:rPr>
        <w:t>награда</w:t>
      </w:r>
      <w:r w:rsidR="00187432" w:rsidRPr="000666F6">
        <w:rPr>
          <w:color w:val="000000"/>
        </w:rPr>
        <w:t xml:space="preserve"> </w:t>
      </w:r>
      <w:r w:rsidRPr="000666F6">
        <w:rPr>
          <w:color w:val="000000"/>
        </w:rPr>
        <w:t>за</w:t>
      </w:r>
      <w:r w:rsidR="00187432" w:rsidRPr="000666F6">
        <w:rPr>
          <w:color w:val="000000"/>
        </w:rPr>
        <w:t xml:space="preserve"> </w:t>
      </w:r>
      <w:r w:rsidRPr="000666F6">
        <w:rPr>
          <w:color w:val="000000"/>
        </w:rPr>
        <w:t>рад</w:t>
      </w:r>
      <w:r w:rsidR="00187432" w:rsidRPr="000666F6">
        <w:rPr>
          <w:color w:val="000000"/>
        </w:rPr>
        <w:t xml:space="preserve"> </w:t>
      </w:r>
      <w:r w:rsidRPr="000666F6">
        <w:rPr>
          <w:color w:val="000000"/>
        </w:rPr>
        <w:t>осуђених</w:t>
      </w:r>
      <w:r w:rsidR="00187432" w:rsidRPr="000666F6">
        <w:rPr>
          <w:color w:val="000000"/>
        </w:rPr>
        <w:t xml:space="preserve"> </w:t>
      </w:r>
      <w:r w:rsidRPr="000666F6">
        <w:rPr>
          <w:color w:val="000000"/>
        </w:rPr>
        <w:t>лица</w:t>
      </w:r>
      <w:r w:rsidR="00187432" w:rsidRPr="000666F6">
        <w:rPr>
          <w:color w:val="000000"/>
        </w:rPr>
        <w:t xml:space="preserve"> </w:t>
      </w:r>
      <w:r w:rsidRPr="000666F6">
        <w:rPr>
          <w:color w:val="000000"/>
        </w:rPr>
        <w:t>и</w:t>
      </w:r>
      <w:r w:rsidR="00187432" w:rsidRPr="000666F6">
        <w:rPr>
          <w:color w:val="000000"/>
        </w:rPr>
        <w:t xml:space="preserve"> </w:t>
      </w:r>
      <w:r w:rsidRPr="000666F6">
        <w:rPr>
          <w:color w:val="000000"/>
        </w:rPr>
        <w:t>малолетних</w:t>
      </w:r>
      <w:r w:rsidR="00187432" w:rsidRPr="000666F6">
        <w:rPr>
          <w:color w:val="000000"/>
        </w:rPr>
        <w:t xml:space="preserve"> </w:t>
      </w:r>
      <w:r w:rsidRPr="000666F6">
        <w:rPr>
          <w:color w:val="000000"/>
        </w:rPr>
        <w:t>учинилаца</w:t>
      </w:r>
      <w:r w:rsidR="00187432" w:rsidRPr="000666F6">
        <w:rPr>
          <w:color w:val="000000"/>
        </w:rPr>
        <w:t xml:space="preserve"> </w:t>
      </w:r>
      <w:r w:rsidRPr="000666F6">
        <w:rPr>
          <w:color w:val="000000"/>
        </w:rPr>
        <w:t>кривичних</w:t>
      </w:r>
      <w:r w:rsidR="00187432" w:rsidRPr="000666F6">
        <w:rPr>
          <w:color w:val="000000"/>
        </w:rPr>
        <w:t xml:space="preserve"> </w:t>
      </w:r>
      <w:r w:rsidRPr="000666F6">
        <w:rPr>
          <w:color w:val="000000"/>
        </w:rPr>
        <w:t>дела</w:t>
      </w:r>
      <w:r w:rsidR="00187432" w:rsidRPr="000666F6">
        <w:rPr>
          <w:color w:val="000000"/>
        </w:rPr>
        <w:t xml:space="preserve"> </w:t>
      </w:r>
      <w:r w:rsidRPr="000666F6">
        <w:rPr>
          <w:color w:val="000000"/>
        </w:rPr>
        <w:t>у</w:t>
      </w:r>
      <w:r w:rsidR="00187432" w:rsidRPr="000666F6">
        <w:rPr>
          <w:color w:val="000000"/>
        </w:rPr>
        <w:t xml:space="preserve"> </w:t>
      </w:r>
      <w:r w:rsidRPr="000666F6">
        <w:rPr>
          <w:color w:val="000000"/>
        </w:rPr>
        <w:t>казнено</w:t>
      </w:r>
      <w:r w:rsidR="00187432" w:rsidRPr="000666F6">
        <w:rPr>
          <w:color w:val="000000"/>
        </w:rPr>
        <w:t>-</w:t>
      </w:r>
      <w:r w:rsidRPr="000666F6">
        <w:rPr>
          <w:color w:val="000000"/>
        </w:rPr>
        <w:t>поправним</w:t>
      </w:r>
      <w:r w:rsidR="00187432" w:rsidRPr="000666F6">
        <w:rPr>
          <w:color w:val="000000"/>
        </w:rPr>
        <w:t xml:space="preserve"> </w:t>
      </w:r>
      <w:r w:rsidRPr="000666F6">
        <w:rPr>
          <w:color w:val="000000"/>
        </w:rPr>
        <w:t>установама</w:t>
      </w:r>
      <w:r w:rsidR="00B434FA">
        <w:rPr>
          <w:color w:val="000000"/>
          <w:lang w:val="sr-Cyrl-CS"/>
        </w:rPr>
        <w:t xml:space="preserve"> итд.</w:t>
      </w:r>
    </w:p>
    <w:p w:rsidR="000666F6" w:rsidRDefault="000666F6" w:rsidP="00187432">
      <w:pPr>
        <w:pStyle w:val="normal0"/>
        <w:shd w:val="clear" w:color="auto" w:fill="FFFFFF"/>
        <w:spacing w:before="48" w:beforeAutospacing="0" w:after="48" w:afterAutospacing="0"/>
        <w:rPr>
          <w:rFonts w:ascii="Arial" w:hAnsi="Arial" w:cs="Arial"/>
          <w:color w:val="000000"/>
          <w:sz w:val="18"/>
          <w:szCs w:val="18"/>
          <w:lang w:val="sr-Cyrl-CS"/>
        </w:rPr>
      </w:pPr>
    </w:p>
    <w:p w:rsidR="000666F6" w:rsidRPr="000666F6" w:rsidRDefault="000666F6" w:rsidP="00187432">
      <w:pPr>
        <w:pStyle w:val="normal0"/>
        <w:shd w:val="clear" w:color="auto" w:fill="FFFFFF"/>
        <w:spacing w:before="48" w:beforeAutospacing="0" w:after="48" w:afterAutospacing="0"/>
        <w:rPr>
          <w:rFonts w:ascii="Arial" w:hAnsi="Arial" w:cs="Arial"/>
          <w:color w:val="000000"/>
          <w:sz w:val="18"/>
          <w:szCs w:val="18"/>
          <w:lang w:val="sr-Cyrl-CS"/>
        </w:rPr>
      </w:pPr>
    </w:p>
    <w:p w:rsidR="00187432" w:rsidRDefault="00E05E09" w:rsidP="00E05E09">
      <w:pPr>
        <w:ind w:firstLine="708"/>
        <w:jc w:val="center"/>
        <w:rPr>
          <w:rFonts w:ascii="Times New Roman" w:hAnsi="Times New Roman"/>
          <w:b/>
          <w:color w:val="000000"/>
          <w:sz w:val="24"/>
          <w:szCs w:val="24"/>
          <w:shd w:val="clear" w:color="auto" w:fill="FFFFFF"/>
          <w:lang w:val="sr-Cyrl-CS"/>
        </w:rPr>
      </w:pPr>
      <w:r w:rsidRPr="00E05E09">
        <w:rPr>
          <w:rFonts w:ascii="Times New Roman" w:hAnsi="Times New Roman"/>
          <w:b/>
          <w:color w:val="000000"/>
          <w:sz w:val="24"/>
          <w:szCs w:val="24"/>
          <w:shd w:val="clear" w:color="auto" w:fill="FFFFFF"/>
          <w:lang w:val="sr-Cyrl-CS"/>
        </w:rPr>
        <w:t>5.3.2</w:t>
      </w:r>
      <w:r>
        <w:rPr>
          <w:rFonts w:ascii="Times New Roman" w:hAnsi="Times New Roman"/>
          <w:color w:val="000000"/>
          <w:sz w:val="24"/>
          <w:szCs w:val="24"/>
          <w:shd w:val="clear" w:color="auto" w:fill="FFFFFF"/>
          <w:lang w:val="sr-Cyrl-CS"/>
        </w:rPr>
        <w:t xml:space="preserve"> </w:t>
      </w:r>
      <w:r w:rsidRPr="00E05E09">
        <w:rPr>
          <w:rFonts w:ascii="Times New Roman" w:hAnsi="Times New Roman"/>
          <w:b/>
          <w:color w:val="000000"/>
          <w:sz w:val="24"/>
          <w:szCs w:val="24"/>
          <w:shd w:val="clear" w:color="auto" w:fill="FFFFFF"/>
          <w:lang w:val="sr-Cyrl-CS"/>
        </w:rPr>
        <w:t>Порески обвезник</w:t>
      </w:r>
    </w:p>
    <w:p w:rsidR="00E05E09" w:rsidRDefault="00E05E09" w:rsidP="00E05E09">
      <w:pPr>
        <w:ind w:firstLine="708"/>
        <w:jc w:val="center"/>
        <w:rPr>
          <w:rFonts w:ascii="Times New Roman" w:hAnsi="Times New Roman"/>
          <w:color w:val="000000"/>
          <w:sz w:val="24"/>
          <w:szCs w:val="24"/>
          <w:shd w:val="clear" w:color="auto" w:fill="FFFFFF"/>
          <w:lang w:val="sr-Cyrl-CS"/>
        </w:rPr>
      </w:pPr>
    </w:p>
    <w:p w:rsidR="00CB2C37" w:rsidRPr="000E4F60" w:rsidRDefault="000E4F60" w:rsidP="000E4F60">
      <w:pPr>
        <w:pStyle w:val="wyq110---naslov-clana"/>
        <w:shd w:val="clear" w:color="auto" w:fill="FFFFFF"/>
        <w:spacing w:before="240" w:beforeAutospacing="0" w:after="240" w:afterAutospacing="0" w:line="240" w:lineRule="atLeast"/>
        <w:ind w:firstLine="708"/>
        <w:jc w:val="both"/>
        <w:rPr>
          <w:b/>
          <w:bCs/>
          <w:color w:val="000000"/>
          <w:lang w:val="sr-Cyrl-CS"/>
        </w:rPr>
      </w:pPr>
      <w:bookmarkStart w:id="22" w:name="clan_6"/>
      <w:bookmarkEnd w:id="22"/>
      <w:r w:rsidRPr="000E4F60">
        <w:rPr>
          <w:color w:val="000000"/>
        </w:rPr>
        <w:t>Порески</w:t>
      </w:r>
      <w:r w:rsidR="00CB2C37" w:rsidRPr="000E4F60">
        <w:rPr>
          <w:color w:val="000000"/>
        </w:rPr>
        <w:t xml:space="preserve"> </w:t>
      </w:r>
      <w:r w:rsidRPr="000E4F60">
        <w:rPr>
          <w:color w:val="000000"/>
        </w:rPr>
        <w:t>обвезник</w:t>
      </w:r>
      <w:r w:rsidR="00CB2C37" w:rsidRPr="000E4F60">
        <w:rPr>
          <w:color w:val="000000"/>
        </w:rPr>
        <w:t xml:space="preserve"> </w:t>
      </w:r>
      <w:r w:rsidRPr="000E4F60">
        <w:rPr>
          <w:color w:val="000000"/>
        </w:rPr>
        <w:t>је</w:t>
      </w:r>
      <w:r w:rsidR="00CB2C37" w:rsidRPr="000E4F60">
        <w:rPr>
          <w:color w:val="000000"/>
        </w:rPr>
        <w:t xml:space="preserve"> </w:t>
      </w:r>
      <w:r w:rsidRPr="000E4F60">
        <w:rPr>
          <w:color w:val="000000"/>
        </w:rPr>
        <w:t>физичко</w:t>
      </w:r>
      <w:r w:rsidR="00CB2C37" w:rsidRPr="000E4F60">
        <w:rPr>
          <w:color w:val="000000"/>
        </w:rPr>
        <w:t xml:space="preserve"> </w:t>
      </w:r>
      <w:r w:rsidRPr="000E4F60">
        <w:rPr>
          <w:color w:val="000000"/>
        </w:rPr>
        <w:t>лице</w:t>
      </w:r>
      <w:r w:rsidR="00CB2C37" w:rsidRPr="000E4F60">
        <w:rPr>
          <w:color w:val="000000"/>
        </w:rPr>
        <w:t xml:space="preserve"> </w:t>
      </w:r>
      <w:r w:rsidRPr="000E4F60">
        <w:rPr>
          <w:color w:val="000000"/>
        </w:rPr>
        <w:t>које</w:t>
      </w:r>
      <w:r w:rsidR="00CB2C37" w:rsidRPr="000E4F60">
        <w:rPr>
          <w:color w:val="000000"/>
        </w:rPr>
        <w:t xml:space="preserve"> </w:t>
      </w:r>
      <w:r w:rsidRPr="000E4F60">
        <w:rPr>
          <w:color w:val="000000"/>
        </w:rPr>
        <w:t>је</w:t>
      </w:r>
      <w:r w:rsidR="00CB2C37" w:rsidRPr="000E4F60">
        <w:rPr>
          <w:color w:val="000000"/>
        </w:rPr>
        <w:t xml:space="preserve"> </w:t>
      </w:r>
      <w:r w:rsidRPr="000E4F60">
        <w:rPr>
          <w:color w:val="000000"/>
        </w:rPr>
        <w:t>по</w:t>
      </w:r>
      <w:r w:rsidR="00CB2C37" w:rsidRPr="000E4F60">
        <w:rPr>
          <w:color w:val="000000"/>
        </w:rPr>
        <w:t xml:space="preserve"> </w:t>
      </w:r>
      <w:r w:rsidRPr="000E4F60">
        <w:rPr>
          <w:color w:val="000000"/>
        </w:rPr>
        <w:t>одредбама</w:t>
      </w:r>
      <w:r w:rsidR="00CB2C37" w:rsidRPr="000E4F60">
        <w:rPr>
          <w:color w:val="000000"/>
        </w:rPr>
        <w:t xml:space="preserve"> </w:t>
      </w:r>
      <w:r w:rsidR="00095BAA" w:rsidRPr="000E4F60">
        <w:rPr>
          <w:color w:val="000000"/>
          <w:lang w:val="sr-Cyrl-CS"/>
        </w:rPr>
        <w:t>ЗПДГ</w:t>
      </w:r>
      <w:r w:rsidR="00CB2C37" w:rsidRPr="000E4F60">
        <w:rPr>
          <w:color w:val="000000"/>
        </w:rPr>
        <w:t xml:space="preserve"> </w:t>
      </w:r>
      <w:r w:rsidRPr="000E4F60">
        <w:rPr>
          <w:color w:val="000000"/>
        </w:rPr>
        <w:t>дужно</w:t>
      </w:r>
      <w:r w:rsidR="00CB2C37" w:rsidRPr="000E4F60">
        <w:rPr>
          <w:color w:val="000000"/>
        </w:rPr>
        <w:t xml:space="preserve"> </w:t>
      </w:r>
      <w:r w:rsidRPr="000E4F60">
        <w:rPr>
          <w:color w:val="000000"/>
        </w:rPr>
        <w:t>да</w:t>
      </w:r>
      <w:r w:rsidR="00CB2C37" w:rsidRPr="000E4F60">
        <w:rPr>
          <w:color w:val="000000"/>
        </w:rPr>
        <w:t xml:space="preserve"> </w:t>
      </w:r>
      <w:r w:rsidRPr="000E4F60">
        <w:rPr>
          <w:color w:val="000000"/>
        </w:rPr>
        <w:t>плати</w:t>
      </w:r>
      <w:r w:rsidR="00CB2C37" w:rsidRPr="000E4F60">
        <w:rPr>
          <w:color w:val="000000"/>
        </w:rPr>
        <w:t xml:space="preserve"> </w:t>
      </w:r>
      <w:r w:rsidRPr="000E4F60">
        <w:rPr>
          <w:color w:val="000000"/>
        </w:rPr>
        <w:t>порез</w:t>
      </w:r>
      <w:r w:rsidR="00CB2C37" w:rsidRPr="000E4F60">
        <w:rPr>
          <w:color w:val="000000"/>
        </w:rPr>
        <w:t>.</w:t>
      </w:r>
      <w:r w:rsidR="000666F6" w:rsidRPr="000E4F60">
        <w:rPr>
          <w:rStyle w:val="FootnoteReference"/>
          <w:color w:val="000000"/>
        </w:rPr>
        <w:footnoteReference w:id="436"/>
      </w:r>
    </w:p>
    <w:p w:rsidR="00095BAA" w:rsidRDefault="000E4F60" w:rsidP="000E4F60">
      <w:pPr>
        <w:pStyle w:val="wyq110---naslov-clana"/>
        <w:shd w:val="clear" w:color="auto" w:fill="FFFFFF"/>
        <w:spacing w:before="240" w:beforeAutospacing="0" w:after="240" w:afterAutospacing="0" w:line="240" w:lineRule="atLeast"/>
        <w:ind w:firstLine="708"/>
        <w:jc w:val="both"/>
        <w:rPr>
          <w:color w:val="000000"/>
          <w:lang w:val="sr-Cyrl-CS"/>
        </w:rPr>
      </w:pPr>
      <w:bookmarkStart w:id="23" w:name="str_7"/>
      <w:bookmarkStart w:id="24" w:name="clan_7"/>
      <w:bookmarkEnd w:id="23"/>
      <w:bookmarkEnd w:id="24"/>
      <w:r w:rsidRPr="000E4F60">
        <w:rPr>
          <w:color w:val="000000"/>
        </w:rPr>
        <w:t>Обвезник</w:t>
      </w:r>
      <w:r w:rsidR="00CB2C37" w:rsidRPr="000E4F60">
        <w:rPr>
          <w:color w:val="000000"/>
        </w:rPr>
        <w:t xml:space="preserve"> </w:t>
      </w:r>
      <w:r w:rsidRPr="000E4F60">
        <w:rPr>
          <w:color w:val="000000"/>
        </w:rPr>
        <w:t>пореза</w:t>
      </w:r>
      <w:r w:rsidR="00CB2C37" w:rsidRPr="000E4F60">
        <w:rPr>
          <w:color w:val="000000"/>
        </w:rPr>
        <w:t xml:space="preserve"> </w:t>
      </w:r>
      <w:r w:rsidRPr="000E4F60">
        <w:rPr>
          <w:color w:val="000000"/>
        </w:rPr>
        <w:t>на</w:t>
      </w:r>
      <w:r w:rsidR="00CB2C37" w:rsidRPr="000E4F60">
        <w:rPr>
          <w:color w:val="000000"/>
        </w:rPr>
        <w:t xml:space="preserve"> </w:t>
      </w:r>
      <w:r w:rsidRPr="000E4F60">
        <w:rPr>
          <w:color w:val="000000"/>
        </w:rPr>
        <w:t>доходак</w:t>
      </w:r>
      <w:r w:rsidR="00CB2C37" w:rsidRPr="000E4F60">
        <w:rPr>
          <w:color w:val="000000"/>
        </w:rPr>
        <w:t xml:space="preserve"> </w:t>
      </w:r>
      <w:r w:rsidRPr="000E4F60">
        <w:rPr>
          <w:color w:val="000000"/>
        </w:rPr>
        <w:t>грађана</w:t>
      </w:r>
      <w:r w:rsidR="00CB2C37" w:rsidRPr="000E4F60">
        <w:rPr>
          <w:color w:val="000000"/>
        </w:rPr>
        <w:t xml:space="preserve"> </w:t>
      </w:r>
      <w:r w:rsidRPr="000E4F60">
        <w:rPr>
          <w:color w:val="000000"/>
        </w:rPr>
        <w:t>је</w:t>
      </w:r>
      <w:r w:rsidR="00CB2C37" w:rsidRPr="000E4F60">
        <w:rPr>
          <w:color w:val="000000"/>
        </w:rPr>
        <w:t xml:space="preserve"> </w:t>
      </w:r>
      <w:r w:rsidRPr="000E4F60">
        <w:rPr>
          <w:color w:val="000000"/>
        </w:rPr>
        <w:t>резидент</w:t>
      </w:r>
      <w:r w:rsidR="00CB2C37" w:rsidRPr="000E4F60">
        <w:rPr>
          <w:color w:val="000000"/>
        </w:rPr>
        <w:t xml:space="preserve"> </w:t>
      </w:r>
      <w:r w:rsidRPr="000E4F60">
        <w:rPr>
          <w:color w:val="000000"/>
        </w:rPr>
        <w:t>Републике</w:t>
      </w:r>
      <w:r w:rsidR="00CB2C37" w:rsidRPr="000E4F60">
        <w:rPr>
          <w:color w:val="000000"/>
        </w:rPr>
        <w:t xml:space="preserve"> </w:t>
      </w:r>
      <w:r w:rsidRPr="000E4F60">
        <w:rPr>
          <w:color w:val="000000"/>
        </w:rPr>
        <w:t>Србије</w:t>
      </w:r>
      <w:r w:rsidR="00095BAA" w:rsidRPr="000E4F60">
        <w:rPr>
          <w:color w:val="000000"/>
        </w:rPr>
        <w:t xml:space="preserve"> </w:t>
      </w:r>
      <w:r w:rsidR="00CB2C37" w:rsidRPr="000E4F60">
        <w:rPr>
          <w:color w:val="000000"/>
        </w:rPr>
        <w:t xml:space="preserve">, </w:t>
      </w:r>
      <w:r w:rsidRPr="000E4F60">
        <w:rPr>
          <w:color w:val="000000"/>
        </w:rPr>
        <w:t>за</w:t>
      </w:r>
      <w:r w:rsidR="00CB2C37" w:rsidRPr="000E4F60">
        <w:rPr>
          <w:color w:val="000000"/>
        </w:rPr>
        <w:t xml:space="preserve"> </w:t>
      </w:r>
      <w:r w:rsidRPr="000E4F60">
        <w:rPr>
          <w:color w:val="000000"/>
        </w:rPr>
        <w:t>доходак</w:t>
      </w:r>
      <w:r w:rsidR="00CB2C37" w:rsidRPr="000E4F60">
        <w:rPr>
          <w:color w:val="000000"/>
        </w:rPr>
        <w:t xml:space="preserve"> </w:t>
      </w:r>
      <w:r w:rsidRPr="000E4F60">
        <w:rPr>
          <w:color w:val="000000"/>
        </w:rPr>
        <w:t>остварен</w:t>
      </w:r>
      <w:r w:rsidR="00CB2C37" w:rsidRPr="000E4F60">
        <w:rPr>
          <w:color w:val="000000"/>
        </w:rPr>
        <w:t xml:space="preserve"> </w:t>
      </w:r>
      <w:r w:rsidRPr="000E4F60">
        <w:rPr>
          <w:color w:val="000000"/>
        </w:rPr>
        <w:t>на</w:t>
      </w:r>
      <w:r w:rsidR="00CB2C37" w:rsidRPr="000E4F60">
        <w:rPr>
          <w:color w:val="000000"/>
        </w:rPr>
        <w:t xml:space="preserve"> </w:t>
      </w:r>
      <w:r w:rsidRPr="000E4F60">
        <w:rPr>
          <w:color w:val="000000"/>
        </w:rPr>
        <w:t>територији</w:t>
      </w:r>
      <w:r w:rsidR="00CB2C37" w:rsidRPr="000E4F60">
        <w:rPr>
          <w:color w:val="000000"/>
        </w:rPr>
        <w:t xml:space="preserve"> </w:t>
      </w:r>
      <w:r w:rsidRPr="000E4F60">
        <w:rPr>
          <w:color w:val="000000"/>
        </w:rPr>
        <w:t>Републике</w:t>
      </w:r>
      <w:r w:rsidR="00095BAA" w:rsidRPr="000E4F60">
        <w:rPr>
          <w:color w:val="000000"/>
        </w:rPr>
        <w:t xml:space="preserve"> </w:t>
      </w:r>
      <w:r w:rsidRPr="000E4F60">
        <w:rPr>
          <w:color w:val="000000"/>
        </w:rPr>
        <w:t>Србије</w:t>
      </w:r>
      <w:r w:rsidR="00095BAA" w:rsidRPr="000E4F60">
        <w:rPr>
          <w:color w:val="000000"/>
        </w:rPr>
        <w:t xml:space="preserve"> </w:t>
      </w:r>
      <w:r w:rsidRPr="000E4F60">
        <w:rPr>
          <w:color w:val="000000"/>
        </w:rPr>
        <w:t>и</w:t>
      </w:r>
      <w:r w:rsidR="00095BAA" w:rsidRPr="000E4F60">
        <w:rPr>
          <w:color w:val="000000"/>
        </w:rPr>
        <w:t xml:space="preserve"> </w:t>
      </w:r>
      <w:r w:rsidRPr="000E4F60">
        <w:rPr>
          <w:color w:val="000000"/>
        </w:rPr>
        <w:t>у</w:t>
      </w:r>
      <w:r w:rsidR="00095BAA" w:rsidRPr="000E4F60">
        <w:rPr>
          <w:color w:val="000000"/>
        </w:rPr>
        <w:t xml:space="preserve"> </w:t>
      </w:r>
      <w:r w:rsidRPr="000E4F60">
        <w:rPr>
          <w:color w:val="000000"/>
        </w:rPr>
        <w:t>другој</w:t>
      </w:r>
      <w:r w:rsidR="00095BAA" w:rsidRPr="000E4F60">
        <w:rPr>
          <w:color w:val="000000"/>
        </w:rPr>
        <w:t xml:space="preserve"> </w:t>
      </w:r>
      <w:r w:rsidRPr="000E4F60">
        <w:rPr>
          <w:color w:val="000000"/>
        </w:rPr>
        <w:t>држави</w:t>
      </w:r>
      <w:r w:rsidR="00095BAA" w:rsidRPr="000E4F60">
        <w:rPr>
          <w:color w:val="000000"/>
          <w:lang w:val="sr-Cyrl-CS"/>
        </w:rPr>
        <w:t>, што значи да подлеже неограниченој поерској обавези.</w:t>
      </w:r>
    </w:p>
    <w:p w:rsidR="005E086E" w:rsidRPr="000E4F60" w:rsidRDefault="005E086E" w:rsidP="000E4F60">
      <w:pPr>
        <w:pStyle w:val="wyq110---naslov-clana"/>
        <w:shd w:val="clear" w:color="auto" w:fill="FFFFFF"/>
        <w:spacing w:before="240" w:beforeAutospacing="0" w:after="240" w:afterAutospacing="0" w:line="240" w:lineRule="atLeast"/>
        <w:ind w:firstLine="708"/>
        <w:jc w:val="both"/>
        <w:rPr>
          <w:b/>
          <w:bCs/>
          <w:color w:val="000000"/>
          <w:lang w:val="sr-Cyrl-CS"/>
        </w:rPr>
      </w:pPr>
    </w:p>
    <w:p w:rsidR="00CB2C37" w:rsidRPr="000E4F60" w:rsidRDefault="00095BAA" w:rsidP="000E4F60">
      <w:pPr>
        <w:pStyle w:val="normal0"/>
        <w:shd w:val="clear" w:color="auto" w:fill="FFFFFF"/>
        <w:spacing w:before="48" w:beforeAutospacing="0" w:after="48" w:afterAutospacing="0"/>
        <w:jc w:val="both"/>
        <w:rPr>
          <w:color w:val="000000"/>
          <w:lang w:val="sr-Cyrl-CS"/>
        </w:rPr>
      </w:pPr>
      <w:r w:rsidRPr="000E4F60">
        <w:rPr>
          <w:color w:val="000000"/>
          <w:lang w:val="sr-Cyrl-CS"/>
        </w:rPr>
        <w:t>При том, р</w:t>
      </w:r>
      <w:r w:rsidR="000E4F60" w:rsidRPr="000E4F60">
        <w:rPr>
          <w:color w:val="000000"/>
        </w:rPr>
        <w:t>езидент</w:t>
      </w:r>
      <w:r w:rsidRPr="000E4F60">
        <w:rPr>
          <w:color w:val="000000"/>
        </w:rPr>
        <w:t xml:space="preserve"> </w:t>
      </w:r>
      <w:r w:rsidR="00CB2C37" w:rsidRPr="000E4F60">
        <w:rPr>
          <w:color w:val="000000"/>
        </w:rPr>
        <w:t xml:space="preserve"> </w:t>
      </w:r>
      <w:r w:rsidR="000E4F60" w:rsidRPr="000E4F60">
        <w:rPr>
          <w:color w:val="000000"/>
        </w:rPr>
        <w:t>у</w:t>
      </w:r>
      <w:r w:rsidRPr="000E4F60">
        <w:rPr>
          <w:color w:val="000000"/>
          <w:lang w:val="sr-Cyrl-CS"/>
        </w:rPr>
        <w:t xml:space="preserve"> смислу</w:t>
      </w:r>
      <w:r w:rsidR="00CB2C37" w:rsidRPr="000E4F60">
        <w:rPr>
          <w:color w:val="000000"/>
        </w:rPr>
        <w:t xml:space="preserve"> </w:t>
      </w:r>
      <w:r w:rsidRPr="000E4F60">
        <w:rPr>
          <w:color w:val="000000"/>
          <w:lang w:val="sr-Cyrl-CS"/>
        </w:rPr>
        <w:t>ЗПДГ</w:t>
      </w:r>
      <w:r w:rsidR="00CB2C37" w:rsidRPr="000E4F60">
        <w:rPr>
          <w:color w:val="000000"/>
        </w:rPr>
        <w:t xml:space="preserve"> </w:t>
      </w:r>
      <w:r w:rsidR="000E4F60" w:rsidRPr="000E4F60">
        <w:rPr>
          <w:color w:val="000000"/>
        </w:rPr>
        <w:t>јесте</w:t>
      </w:r>
      <w:r w:rsidR="00CB2C37" w:rsidRPr="000E4F60">
        <w:rPr>
          <w:color w:val="000000"/>
        </w:rPr>
        <w:t xml:space="preserve"> </w:t>
      </w:r>
      <w:r w:rsidR="000E4F60" w:rsidRPr="000E4F60">
        <w:rPr>
          <w:color w:val="000000"/>
        </w:rPr>
        <w:t>физичко</w:t>
      </w:r>
      <w:r w:rsidR="00CB2C37" w:rsidRPr="000E4F60">
        <w:rPr>
          <w:color w:val="000000"/>
        </w:rPr>
        <w:t xml:space="preserve"> </w:t>
      </w:r>
      <w:r w:rsidR="000E4F60" w:rsidRPr="000E4F60">
        <w:rPr>
          <w:color w:val="000000"/>
        </w:rPr>
        <w:t>лице</w:t>
      </w:r>
      <w:r w:rsidR="00CB2C37" w:rsidRPr="000E4F60">
        <w:rPr>
          <w:color w:val="000000"/>
        </w:rPr>
        <w:t xml:space="preserve"> </w:t>
      </w:r>
      <w:r w:rsidR="000E4F60" w:rsidRPr="000E4F60">
        <w:rPr>
          <w:color w:val="000000"/>
        </w:rPr>
        <w:t>које</w:t>
      </w:r>
      <w:r w:rsidR="00CB2C37" w:rsidRPr="000E4F60">
        <w:rPr>
          <w:color w:val="000000"/>
        </w:rPr>
        <w:t>:</w:t>
      </w:r>
    </w:p>
    <w:p w:rsidR="00095BAA" w:rsidRPr="000E4F60" w:rsidRDefault="00095BAA" w:rsidP="000E4F60">
      <w:pPr>
        <w:pStyle w:val="normal0"/>
        <w:shd w:val="clear" w:color="auto" w:fill="FFFFFF"/>
        <w:spacing w:before="48" w:beforeAutospacing="0" w:after="48" w:afterAutospacing="0"/>
        <w:jc w:val="both"/>
        <w:rPr>
          <w:color w:val="000000"/>
          <w:lang w:val="sr-Cyrl-CS"/>
        </w:rPr>
      </w:pPr>
    </w:p>
    <w:p w:rsidR="00CB2C37" w:rsidRPr="000E4F60" w:rsidRDefault="00CB2C37" w:rsidP="000E4F60">
      <w:pPr>
        <w:pStyle w:val="normal0"/>
        <w:shd w:val="clear" w:color="auto" w:fill="FFFFFF"/>
        <w:spacing w:before="48" w:beforeAutospacing="0" w:after="48" w:afterAutospacing="0"/>
        <w:jc w:val="both"/>
        <w:rPr>
          <w:color w:val="000000"/>
          <w:lang w:val="sr-Cyrl-CS"/>
        </w:rPr>
      </w:pPr>
      <w:r w:rsidRPr="000E4F60">
        <w:rPr>
          <w:color w:val="000000"/>
        </w:rPr>
        <w:t xml:space="preserve">1) </w:t>
      </w:r>
      <w:r w:rsidR="000E4F60" w:rsidRPr="000E4F60">
        <w:rPr>
          <w:color w:val="000000"/>
        </w:rPr>
        <w:t>на</w:t>
      </w:r>
      <w:r w:rsidRPr="000E4F60">
        <w:rPr>
          <w:color w:val="000000"/>
        </w:rPr>
        <w:t xml:space="preserve"> </w:t>
      </w:r>
      <w:r w:rsidR="000E4F60" w:rsidRPr="000E4F60">
        <w:rPr>
          <w:color w:val="000000"/>
        </w:rPr>
        <w:t>територији</w:t>
      </w:r>
      <w:r w:rsidRPr="000E4F60">
        <w:rPr>
          <w:color w:val="000000"/>
        </w:rPr>
        <w:t xml:space="preserve"> </w:t>
      </w:r>
      <w:r w:rsidR="000E4F60" w:rsidRPr="000E4F60">
        <w:rPr>
          <w:color w:val="000000"/>
        </w:rPr>
        <w:t>Републике</w:t>
      </w:r>
      <w:r w:rsidRPr="000E4F60">
        <w:rPr>
          <w:color w:val="000000"/>
        </w:rPr>
        <w:t xml:space="preserve"> </w:t>
      </w:r>
      <w:r w:rsidR="000E4F60" w:rsidRPr="000E4F60">
        <w:rPr>
          <w:color w:val="000000"/>
        </w:rPr>
        <w:t>има</w:t>
      </w:r>
      <w:r w:rsidRPr="000E4F60">
        <w:rPr>
          <w:color w:val="000000"/>
        </w:rPr>
        <w:t xml:space="preserve"> </w:t>
      </w:r>
      <w:r w:rsidR="000E4F60" w:rsidRPr="000E4F60">
        <w:rPr>
          <w:color w:val="000000"/>
        </w:rPr>
        <w:t>пребивалиште</w:t>
      </w:r>
      <w:r w:rsidRPr="000E4F60">
        <w:rPr>
          <w:color w:val="000000"/>
        </w:rPr>
        <w:t xml:space="preserve"> </w:t>
      </w:r>
      <w:r w:rsidR="000E4F60" w:rsidRPr="000E4F60">
        <w:rPr>
          <w:color w:val="000000"/>
        </w:rPr>
        <w:t>или</w:t>
      </w:r>
      <w:r w:rsidRPr="000E4F60">
        <w:rPr>
          <w:color w:val="000000"/>
        </w:rPr>
        <w:t xml:space="preserve"> </w:t>
      </w:r>
      <w:r w:rsidR="000E4F60" w:rsidRPr="000E4F60">
        <w:rPr>
          <w:color w:val="000000"/>
        </w:rPr>
        <w:t>центар</w:t>
      </w:r>
      <w:r w:rsidRPr="000E4F60">
        <w:rPr>
          <w:color w:val="000000"/>
        </w:rPr>
        <w:t xml:space="preserve"> </w:t>
      </w:r>
      <w:r w:rsidR="000E4F60" w:rsidRPr="000E4F60">
        <w:rPr>
          <w:color w:val="000000"/>
        </w:rPr>
        <w:t>пословних</w:t>
      </w:r>
      <w:r w:rsidR="00095BAA" w:rsidRPr="000E4F60">
        <w:rPr>
          <w:color w:val="000000"/>
        </w:rPr>
        <w:t xml:space="preserve"> </w:t>
      </w:r>
      <w:r w:rsidR="000E4F60" w:rsidRPr="000E4F60">
        <w:rPr>
          <w:color w:val="000000"/>
        </w:rPr>
        <w:t>и</w:t>
      </w:r>
      <w:r w:rsidR="00095BAA" w:rsidRPr="000E4F60">
        <w:rPr>
          <w:color w:val="000000"/>
        </w:rPr>
        <w:t xml:space="preserve"> </w:t>
      </w:r>
      <w:r w:rsidR="000E4F60" w:rsidRPr="000E4F60">
        <w:rPr>
          <w:color w:val="000000"/>
        </w:rPr>
        <w:t>животних</w:t>
      </w:r>
      <w:r w:rsidR="00095BAA" w:rsidRPr="000E4F60">
        <w:rPr>
          <w:color w:val="000000"/>
        </w:rPr>
        <w:t xml:space="preserve"> </w:t>
      </w:r>
      <w:r w:rsidR="000E4F60" w:rsidRPr="000E4F60">
        <w:rPr>
          <w:color w:val="000000"/>
        </w:rPr>
        <w:t>интереса</w:t>
      </w:r>
      <w:r w:rsidR="00095BAA" w:rsidRPr="000E4F60">
        <w:rPr>
          <w:color w:val="000000"/>
        </w:rPr>
        <w:t xml:space="preserve">, </w:t>
      </w:r>
    </w:p>
    <w:p w:rsidR="00CB2C37" w:rsidRPr="000E4F60" w:rsidRDefault="00CB2C37" w:rsidP="000E4F60">
      <w:pPr>
        <w:pStyle w:val="normal0"/>
        <w:shd w:val="clear" w:color="auto" w:fill="FFFFFF"/>
        <w:spacing w:before="48" w:beforeAutospacing="0" w:after="48" w:afterAutospacing="0"/>
        <w:jc w:val="both"/>
        <w:rPr>
          <w:color w:val="000000"/>
          <w:lang w:val="sr-Cyrl-CS"/>
        </w:rPr>
      </w:pPr>
      <w:r w:rsidRPr="000E4F60">
        <w:rPr>
          <w:color w:val="000000"/>
        </w:rPr>
        <w:t xml:space="preserve">2) </w:t>
      </w:r>
      <w:r w:rsidR="000E4F60" w:rsidRPr="000E4F60">
        <w:rPr>
          <w:color w:val="000000"/>
        </w:rPr>
        <w:t>на</w:t>
      </w:r>
      <w:r w:rsidRPr="000E4F60">
        <w:rPr>
          <w:color w:val="000000"/>
        </w:rPr>
        <w:t xml:space="preserve"> </w:t>
      </w:r>
      <w:r w:rsidR="000E4F60" w:rsidRPr="000E4F60">
        <w:rPr>
          <w:color w:val="000000"/>
        </w:rPr>
        <w:t>територији</w:t>
      </w:r>
      <w:r w:rsidRPr="000E4F60">
        <w:rPr>
          <w:color w:val="000000"/>
        </w:rPr>
        <w:t xml:space="preserve"> </w:t>
      </w:r>
      <w:r w:rsidR="000E4F60" w:rsidRPr="000E4F60">
        <w:rPr>
          <w:color w:val="000000"/>
        </w:rPr>
        <w:t>Републике</w:t>
      </w:r>
      <w:r w:rsidRPr="000E4F60">
        <w:rPr>
          <w:color w:val="000000"/>
        </w:rPr>
        <w:t xml:space="preserve">, </w:t>
      </w:r>
      <w:r w:rsidR="000E4F60" w:rsidRPr="000E4F60">
        <w:rPr>
          <w:color w:val="000000"/>
        </w:rPr>
        <w:t>непрекидно</w:t>
      </w:r>
      <w:r w:rsidRPr="000E4F60">
        <w:rPr>
          <w:color w:val="000000"/>
        </w:rPr>
        <w:t xml:space="preserve"> </w:t>
      </w:r>
      <w:r w:rsidR="000E4F60" w:rsidRPr="000E4F60">
        <w:rPr>
          <w:color w:val="000000"/>
        </w:rPr>
        <w:t>или</w:t>
      </w:r>
      <w:r w:rsidRPr="000E4F60">
        <w:rPr>
          <w:color w:val="000000"/>
        </w:rPr>
        <w:t xml:space="preserve"> </w:t>
      </w:r>
      <w:r w:rsidR="000E4F60" w:rsidRPr="000E4F60">
        <w:rPr>
          <w:color w:val="000000"/>
        </w:rPr>
        <w:t>са</w:t>
      </w:r>
      <w:r w:rsidRPr="000E4F60">
        <w:rPr>
          <w:color w:val="000000"/>
        </w:rPr>
        <w:t xml:space="preserve"> </w:t>
      </w:r>
      <w:r w:rsidR="000E4F60" w:rsidRPr="000E4F60">
        <w:rPr>
          <w:color w:val="000000"/>
        </w:rPr>
        <w:t>прекидима</w:t>
      </w:r>
      <w:r w:rsidRPr="000E4F60">
        <w:rPr>
          <w:color w:val="000000"/>
        </w:rPr>
        <w:t xml:space="preserve">, </w:t>
      </w:r>
      <w:r w:rsidR="000E4F60" w:rsidRPr="000E4F60">
        <w:rPr>
          <w:color w:val="000000"/>
        </w:rPr>
        <w:t>борави</w:t>
      </w:r>
      <w:r w:rsidRPr="000E4F60">
        <w:rPr>
          <w:color w:val="000000"/>
        </w:rPr>
        <w:t xml:space="preserve"> 183 </w:t>
      </w:r>
      <w:r w:rsidR="000E4F60" w:rsidRPr="000E4F60">
        <w:rPr>
          <w:color w:val="000000"/>
        </w:rPr>
        <w:t>или</w:t>
      </w:r>
      <w:r w:rsidRPr="000E4F60">
        <w:rPr>
          <w:color w:val="000000"/>
        </w:rPr>
        <w:t xml:space="preserve"> </w:t>
      </w:r>
      <w:r w:rsidR="000E4F60" w:rsidRPr="000E4F60">
        <w:rPr>
          <w:color w:val="000000"/>
        </w:rPr>
        <w:t>више</w:t>
      </w:r>
      <w:r w:rsidRPr="000E4F60">
        <w:rPr>
          <w:color w:val="000000"/>
        </w:rPr>
        <w:t xml:space="preserve"> </w:t>
      </w:r>
      <w:r w:rsidR="000E4F60" w:rsidRPr="000E4F60">
        <w:rPr>
          <w:color w:val="000000"/>
        </w:rPr>
        <w:t>дана</w:t>
      </w:r>
      <w:r w:rsidRPr="000E4F60">
        <w:rPr>
          <w:color w:val="000000"/>
        </w:rPr>
        <w:t xml:space="preserve"> </w:t>
      </w:r>
      <w:r w:rsidR="000E4F60" w:rsidRPr="000E4F60">
        <w:rPr>
          <w:color w:val="000000"/>
        </w:rPr>
        <w:t>у</w:t>
      </w:r>
      <w:r w:rsidRPr="000E4F60">
        <w:rPr>
          <w:color w:val="000000"/>
        </w:rPr>
        <w:t xml:space="preserve"> </w:t>
      </w:r>
      <w:r w:rsidR="000E4F60" w:rsidRPr="000E4F60">
        <w:rPr>
          <w:color w:val="000000"/>
        </w:rPr>
        <w:t>периоду</w:t>
      </w:r>
      <w:r w:rsidRPr="000E4F60">
        <w:rPr>
          <w:color w:val="000000"/>
        </w:rPr>
        <w:t xml:space="preserve"> </w:t>
      </w:r>
      <w:r w:rsidR="000E4F60" w:rsidRPr="000E4F60">
        <w:rPr>
          <w:color w:val="000000"/>
        </w:rPr>
        <w:t>од</w:t>
      </w:r>
      <w:r w:rsidRPr="000E4F60">
        <w:rPr>
          <w:color w:val="000000"/>
        </w:rPr>
        <w:t xml:space="preserve"> 12 </w:t>
      </w:r>
      <w:r w:rsidR="000E4F60" w:rsidRPr="000E4F60">
        <w:rPr>
          <w:color w:val="000000"/>
        </w:rPr>
        <w:t>месеци</w:t>
      </w:r>
      <w:r w:rsidRPr="000E4F60">
        <w:rPr>
          <w:color w:val="000000"/>
        </w:rPr>
        <w:t xml:space="preserve"> </w:t>
      </w:r>
      <w:r w:rsidR="000E4F60" w:rsidRPr="000E4F60">
        <w:rPr>
          <w:color w:val="000000"/>
        </w:rPr>
        <w:t>који</w:t>
      </w:r>
      <w:r w:rsidRPr="000E4F60">
        <w:rPr>
          <w:color w:val="000000"/>
        </w:rPr>
        <w:t xml:space="preserve"> </w:t>
      </w:r>
      <w:r w:rsidR="000E4F60" w:rsidRPr="000E4F60">
        <w:rPr>
          <w:color w:val="000000"/>
        </w:rPr>
        <w:t>почиње</w:t>
      </w:r>
      <w:r w:rsidRPr="000E4F60">
        <w:rPr>
          <w:color w:val="000000"/>
        </w:rPr>
        <w:t xml:space="preserve"> </w:t>
      </w:r>
      <w:r w:rsidR="000E4F60" w:rsidRPr="000E4F60">
        <w:rPr>
          <w:color w:val="000000"/>
        </w:rPr>
        <w:t>или</w:t>
      </w:r>
      <w:r w:rsidRPr="000E4F60">
        <w:rPr>
          <w:color w:val="000000"/>
        </w:rPr>
        <w:t xml:space="preserve"> </w:t>
      </w:r>
      <w:r w:rsidR="000E4F60" w:rsidRPr="000E4F60">
        <w:rPr>
          <w:color w:val="000000"/>
        </w:rPr>
        <w:t>се</w:t>
      </w:r>
      <w:r w:rsidRPr="000E4F60">
        <w:rPr>
          <w:color w:val="000000"/>
        </w:rPr>
        <w:t xml:space="preserve"> </w:t>
      </w:r>
      <w:r w:rsidR="000E4F60" w:rsidRPr="000E4F60">
        <w:rPr>
          <w:color w:val="000000"/>
        </w:rPr>
        <w:t>завршава</w:t>
      </w:r>
      <w:r w:rsidR="00095BAA" w:rsidRPr="000E4F60">
        <w:rPr>
          <w:color w:val="000000"/>
        </w:rPr>
        <w:t xml:space="preserve"> </w:t>
      </w:r>
      <w:r w:rsidR="000E4F60" w:rsidRPr="000E4F60">
        <w:rPr>
          <w:color w:val="000000"/>
        </w:rPr>
        <w:t>у</w:t>
      </w:r>
      <w:r w:rsidR="00095BAA" w:rsidRPr="000E4F60">
        <w:rPr>
          <w:color w:val="000000"/>
        </w:rPr>
        <w:t xml:space="preserve"> </w:t>
      </w:r>
      <w:r w:rsidR="000E4F60" w:rsidRPr="000E4F60">
        <w:rPr>
          <w:color w:val="000000"/>
        </w:rPr>
        <w:t>односној</w:t>
      </w:r>
      <w:r w:rsidR="00095BAA" w:rsidRPr="000E4F60">
        <w:rPr>
          <w:color w:val="000000"/>
        </w:rPr>
        <w:t xml:space="preserve"> </w:t>
      </w:r>
      <w:r w:rsidR="000E4F60" w:rsidRPr="000E4F60">
        <w:rPr>
          <w:color w:val="000000"/>
        </w:rPr>
        <w:t>пореској</w:t>
      </w:r>
      <w:r w:rsidR="00095BAA" w:rsidRPr="000E4F60">
        <w:rPr>
          <w:color w:val="000000"/>
        </w:rPr>
        <w:t xml:space="preserve"> </w:t>
      </w:r>
      <w:r w:rsidR="000E4F60" w:rsidRPr="000E4F60">
        <w:rPr>
          <w:color w:val="000000"/>
        </w:rPr>
        <w:t>години</w:t>
      </w:r>
      <w:r w:rsidR="00095BAA" w:rsidRPr="000E4F60">
        <w:rPr>
          <w:color w:val="000000"/>
          <w:lang w:val="sr-Cyrl-CS"/>
        </w:rPr>
        <w:t>, или</w:t>
      </w:r>
    </w:p>
    <w:p w:rsidR="00CB2C37" w:rsidRPr="000E4F60" w:rsidRDefault="00095BAA" w:rsidP="000E4F60">
      <w:pPr>
        <w:pStyle w:val="normal0"/>
        <w:shd w:val="clear" w:color="auto" w:fill="FFFFFF"/>
        <w:spacing w:before="48" w:beforeAutospacing="0" w:after="48" w:afterAutospacing="0"/>
        <w:jc w:val="both"/>
        <w:rPr>
          <w:color w:val="000000"/>
        </w:rPr>
      </w:pPr>
      <w:r w:rsidRPr="000E4F60">
        <w:rPr>
          <w:color w:val="000000"/>
          <w:lang w:val="sr-Cyrl-CS"/>
        </w:rPr>
        <w:t xml:space="preserve">3) </w:t>
      </w:r>
      <w:r w:rsidR="000E4F60" w:rsidRPr="000E4F60">
        <w:rPr>
          <w:color w:val="000000"/>
        </w:rPr>
        <w:t>физичко</w:t>
      </w:r>
      <w:r w:rsidR="00CB2C37" w:rsidRPr="000E4F60">
        <w:rPr>
          <w:color w:val="000000"/>
        </w:rPr>
        <w:t xml:space="preserve"> </w:t>
      </w:r>
      <w:r w:rsidR="000E4F60" w:rsidRPr="000E4F60">
        <w:rPr>
          <w:color w:val="000000"/>
        </w:rPr>
        <w:t>лице</w:t>
      </w:r>
      <w:r w:rsidR="00CB2C37" w:rsidRPr="000E4F60">
        <w:rPr>
          <w:color w:val="000000"/>
        </w:rPr>
        <w:t xml:space="preserve"> </w:t>
      </w:r>
      <w:r w:rsidR="000E4F60" w:rsidRPr="000E4F60">
        <w:rPr>
          <w:color w:val="000000"/>
        </w:rPr>
        <w:t>које</w:t>
      </w:r>
      <w:r w:rsidRPr="000E4F60">
        <w:rPr>
          <w:color w:val="000000"/>
        </w:rPr>
        <w:t xml:space="preserve"> </w:t>
      </w:r>
      <w:r w:rsidR="000E4F60" w:rsidRPr="000E4F60">
        <w:rPr>
          <w:color w:val="000000"/>
        </w:rPr>
        <w:t>је</w:t>
      </w:r>
      <w:r w:rsidRPr="000E4F60">
        <w:rPr>
          <w:color w:val="000000"/>
        </w:rPr>
        <w:t xml:space="preserve"> </w:t>
      </w:r>
      <w:r w:rsidR="00CB2C37" w:rsidRPr="000E4F60">
        <w:rPr>
          <w:color w:val="000000"/>
        </w:rPr>
        <w:t xml:space="preserve"> </w:t>
      </w:r>
      <w:r w:rsidR="000E4F60" w:rsidRPr="000E4F60">
        <w:rPr>
          <w:color w:val="000000"/>
        </w:rPr>
        <w:t>упућено</w:t>
      </w:r>
      <w:r w:rsidR="00CB2C37" w:rsidRPr="000E4F60">
        <w:rPr>
          <w:color w:val="000000"/>
        </w:rPr>
        <w:t xml:space="preserve"> </w:t>
      </w:r>
      <w:r w:rsidR="000E4F60" w:rsidRPr="000E4F60">
        <w:rPr>
          <w:color w:val="000000"/>
        </w:rPr>
        <w:t>у</w:t>
      </w:r>
      <w:r w:rsidR="00CB2C37" w:rsidRPr="000E4F60">
        <w:rPr>
          <w:color w:val="000000"/>
        </w:rPr>
        <w:t xml:space="preserve"> </w:t>
      </w:r>
      <w:r w:rsidR="000E4F60" w:rsidRPr="000E4F60">
        <w:rPr>
          <w:color w:val="000000"/>
        </w:rPr>
        <w:t>другу</w:t>
      </w:r>
      <w:r w:rsidR="00CB2C37" w:rsidRPr="000E4F60">
        <w:rPr>
          <w:color w:val="000000"/>
        </w:rPr>
        <w:t xml:space="preserve"> </w:t>
      </w:r>
      <w:r w:rsidR="000E4F60" w:rsidRPr="000E4F60">
        <w:rPr>
          <w:color w:val="000000"/>
        </w:rPr>
        <w:t>државу</w:t>
      </w:r>
      <w:r w:rsidR="00CB2C37" w:rsidRPr="000E4F60">
        <w:rPr>
          <w:color w:val="000000"/>
        </w:rPr>
        <w:t xml:space="preserve"> </w:t>
      </w:r>
      <w:r w:rsidR="000E4F60" w:rsidRPr="000E4F60">
        <w:rPr>
          <w:color w:val="000000"/>
        </w:rPr>
        <w:t>ради</w:t>
      </w:r>
      <w:r w:rsidR="00CB2C37" w:rsidRPr="000E4F60">
        <w:rPr>
          <w:color w:val="000000"/>
        </w:rPr>
        <w:t xml:space="preserve"> </w:t>
      </w:r>
      <w:r w:rsidR="000E4F60" w:rsidRPr="000E4F60">
        <w:rPr>
          <w:color w:val="000000"/>
        </w:rPr>
        <w:t>обављања</w:t>
      </w:r>
      <w:r w:rsidR="00CB2C37" w:rsidRPr="000E4F60">
        <w:rPr>
          <w:color w:val="000000"/>
        </w:rPr>
        <w:t xml:space="preserve"> </w:t>
      </w:r>
      <w:r w:rsidR="000E4F60" w:rsidRPr="000E4F60">
        <w:rPr>
          <w:color w:val="000000"/>
        </w:rPr>
        <w:t>послова</w:t>
      </w:r>
      <w:r w:rsidR="00CB2C37" w:rsidRPr="000E4F60">
        <w:rPr>
          <w:color w:val="000000"/>
        </w:rPr>
        <w:t xml:space="preserve"> </w:t>
      </w:r>
      <w:r w:rsidR="000E4F60" w:rsidRPr="000E4F60">
        <w:rPr>
          <w:color w:val="000000"/>
        </w:rPr>
        <w:t>у</w:t>
      </w:r>
      <w:r w:rsidR="00CB2C37" w:rsidRPr="000E4F60">
        <w:rPr>
          <w:color w:val="000000"/>
        </w:rPr>
        <w:t xml:space="preserve"> </w:t>
      </w:r>
      <w:r w:rsidR="000E4F60" w:rsidRPr="000E4F60">
        <w:rPr>
          <w:color w:val="000000"/>
        </w:rPr>
        <w:t>дипломатском</w:t>
      </w:r>
      <w:r w:rsidR="00CB2C37" w:rsidRPr="000E4F60">
        <w:rPr>
          <w:color w:val="000000"/>
        </w:rPr>
        <w:t xml:space="preserve"> </w:t>
      </w:r>
      <w:r w:rsidR="000E4F60" w:rsidRPr="000E4F60">
        <w:rPr>
          <w:color w:val="000000"/>
        </w:rPr>
        <w:t>или</w:t>
      </w:r>
      <w:r w:rsidR="00CB2C37" w:rsidRPr="000E4F60">
        <w:rPr>
          <w:color w:val="000000"/>
        </w:rPr>
        <w:t xml:space="preserve"> </w:t>
      </w:r>
      <w:r w:rsidR="000E4F60" w:rsidRPr="000E4F60">
        <w:rPr>
          <w:color w:val="000000"/>
        </w:rPr>
        <w:t>конзуларном</w:t>
      </w:r>
      <w:r w:rsidR="00CB2C37" w:rsidRPr="000E4F60">
        <w:rPr>
          <w:color w:val="000000"/>
        </w:rPr>
        <w:t xml:space="preserve"> </w:t>
      </w:r>
      <w:r w:rsidR="000E4F60" w:rsidRPr="000E4F60">
        <w:rPr>
          <w:color w:val="000000"/>
        </w:rPr>
        <w:t>представништву</w:t>
      </w:r>
      <w:r w:rsidR="00CB2C37" w:rsidRPr="000E4F60">
        <w:rPr>
          <w:color w:val="000000"/>
        </w:rPr>
        <w:t xml:space="preserve"> </w:t>
      </w:r>
      <w:r w:rsidR="000E4F60" w:rsidRPr="000E4F60">
        <w:rPr>
          <w:color w:val="000000"/>
        </w:rPr>
        <w:t>Републике</w:t>
      </w:r>
      <w:r w:rsidR="00CB2C37" w:rsidRPr="000E4F60">
        <w:rPr>
          <w:color w:val="000000"/>
        </w:rPr>
        <w:t xml:space="preserve">, </w:t>
      </w:r>
      <w:r w:rsidR="000E4F60" w:rsidRPr="000E4F60">
        <w:rPr>
          <w:color w:val="000000"/>
        </w:rPr>
        <w:t>односно</w:t>
      </w:r>
      <w:r w:rsidR="00CB2C37" w:rsidRPr="000E4F60">
        <w:rPr>
          <w:color w:val="000000"/>
        </w:rPr>
        <w:t xml:space="preserve"> </w:t>
      </w:r>
      <w:r w:rsidR="000E4F60" w:rsidRPr="000E4F60">
        <w:rPr>
          <w:color w:val="000000"/>
        </w:rPr>
        <w:t>обављања</w:t>
      </w:r>
      <w:r w:rsidR="00CB2C37" w:rsidRPr="000E4F60">
        <w:rPr>
          <w:color w:val="000000"/>
        </w:rPr>
        <w:t xml:space="preserve"> </w:t>
      </w:r>
      <w:r w:rsidR="000E4F60" w:rsidRPr="000E4F60">
        <w:rPr>
          <w:color w:val="000000"/>
        </w:rPr>
        <w:t>послова</w:t>
      </w:r>
      <w:r w:rsidR="00CB2C37" w:rsidRPr="000E4F60">
        <w:rPr>
          <w:color w:val="000000"/>
        </w:rPr>
        <w:t xml:space="preserve"> </w:t>
      </w:r>
      <w:r w:rsidR="000E4F60" w:rsidRPr="000E4F60">
        <w:rPr>
          <w:color w:val="000000"/>
        </w:rPr>
        <w:t>за</w:t>
      </w:r>
      <w:r w:rsidR="00CB2C37" w:rsidRPr="000E4F60">
        <w:rPr>
          <w:color w:val="000000"/>
        </w:rPr>
        <w:t xml:space="preserve"> </w:t>
      </w:r>
      <w:r w:rsidR="000E4F60" w:rsidRPr="000E4F60">
        <w:rPr>
          <w:color w:val="000000"/>
        </w:rPr>
        <w:t>Републику</w:t>
      </w:r>
      <w:r w:rsidR="00CB2C37" w:rsidRPr="000E4F60">
        <w:rPr>
          <w:color w:val="000000"/>
        </w:rPr>
        <w:t xml:space="preserve"> </w:t>
      </w:r>
      <w:r w:rsidR="000E4F60" w:rsidRPr="000E4F60">
        <w:rPr>
          <w:color w:val="000000"/>
        </w:rPr>
        <w:t>у</w:t>
      </w:r>
      <w:r w:rsidR="00CB2C37" w:rsidRPr="000E4F60">
        <w:rPr>
          <w:color w:val="000000"/>
        </w:rPr>
        <w:t xml:space="preserve"> </w:t>
      </w:r>
      <w:r w:rsidR="000E4F60" w:rsidRPr="000E4F60">
        <w:rPr>
          <w:color w:val="000000"/>
        </w:rPr>
        <w:t>међународним</w:t>
      </w:r>
      <w:r w:rsidR="00CB2C37" w:rsidRPr="000E4F60">
        <w:rPr>
          <w:color w:val="000000"/>
        </w:rPr>
        <w:t xml:space="preserve"> </w:t>
      </w:r>
      <w:r w:rsidR="000E4F60" w:rsidRPr="000E4F60">
        <w:rPr>
          <w:color w:val="000000"/>
        </w:rPr>
        <w:t>организацијама</w:t>
      </w:r>
      <w:r w:rsidR="00CB2C37" w:rsidRPr="000E4F60">
        <w:rPr>
          <w:color w:val="000000"/>
        </w:rPr>
        <w:t xml:space="preserve">, </w:t>
      </w:r>
      <w:r w:rsidR="000E4F60" w:rsidRPr="000E4F60">
        <w:rPr>
          <w:color w:val="000000"/>
        </w:rPr>
        <w:t>у</w:t>
      </w:r>
      <w:r w:rsidR="00CB2C37" w:rsidRPr="000E4F60">
        <w:rPr>
          <w:color w:val="000000"/>
        </w:rPr>
        <w:t xml:space="preserve"> </w:t>
      </w:r>
      <w:r w:rsidR="000E4F60" w:rsidRPr="000E4F60">
        <w:rPr>
          <w:color w:val="000000"/>
        </w:rPr>
        <w:t>периоду</w:t>
      </w:r>
      <w:r w:rsidR="00CB2C37" w:rsidRPr="000E4F60">
        <w:rPr>
          <w:color w:val="000000"/>
        </w:rPr>
        <w:t xml:space="preserve"> </w:t>
      </w:r>
      <w:r w:rsidR="000E4F60" w:rsidRPr="000E4F60">
        <w:rPr>
          <w:color w:val="000000"/>
        </w:rPr>
        <w:t>обављања</w:t>
      </w:r>
      <w:r w:rsidR="00CB2C37" w:rsidRPr="000E4F60">
        <w:rPr>
          <w:color w:val="000000"/>
        </w:rPr>
        <w:t xml:space="preserve"> </w:t>
      </w:r>
      <w:r w:rsidR="000E4F60" w:rsidRPr="000E4F60">
        <w:rPr>
          <w:color w:val="000000"/>
        </w:rPr>
        <w:t>делатности</w:t>
      </w:r>
      <w:r w:rsidR="00CB2C37" w:rsidRPr="000E4F60">
        <w:rPr>
          <w:color w:val="000000"/>
        </w:rPr>
        <w:t xml:space="preserve"> </w:t>
      </w:r>
      <w:r w:rsidR="000E4F60" w:rsidRPr="000E4F60">
        <w:rPr>
          <w:color w:val="000000"/>
        </w:rPr>
        <w:lastRenderedPageBreak/>
        <w:t>у</w:t>
      </w:r>
      <w:r w:rsidR="00CB2C37" w:rsidRPr="000E4F60">
        <w:rPr>
          <w:color w:val="000000"/>
        </w:rPr>
        <w:t xml:space="preserve"> </w:t>
      </w:r>
      <w:r w:rsidR="000E4F60" w:rsidRPr="000E4F60">
        <w:rPr>
          <w:color w:val="000000"/>
        </w:rPr>
        <w:t>том</w:t>
      </w:r>
      <w:r w:rsidR="00CB2C37" w:rsidRPr="000E4F60">
        <w:rPr>
          <w:color w:val="000000"/>
        </w:rPr>
        <w:t xml:space="preserve"> </w:t>
      </w:r>
      <w:r w:rsidR="000E4F60" w:rsidRPr="000E4F60">
        <w:rPr>
          <w:color w:val="000000"/>
        </w:rPr>
        <w:t>или</w:t>
      </w:r>
      <w:r w:rsidR="00CB2C37" w:rsidRPr="000E4F60">
        <w:rPr>
          <w:color w:val="000000"/>
        </w:rPr>
        <w:t xml:space="preserve"> </w:t>
      </w:r>
      <w:r w:rsidR="000E4F60" w:rsidRPr="000E4F60">
        <w:rPr>
          <w:color w:val="000000"/>
        </w:rPr>
        <w:t>било</w:t>
      </w:r>
      <w:r w:rsidR="00CB2C37" w:rsidRPr="000E4F60">
        <w:rPr>
          <w:color w:val="000000"/>
        </w:rPr>
        <w:t xml:space="preserve"> </w:t>
      </w:r>
      <w:r w:rsidR="000E4F60" w:rsidRPr="000E4F60">
        <w:rPr>
          <w:color w:val="000000"/>
        </w:rPr>
        <w:t>ком</w:t>
      </w:r>
      <w:r w:rsidR="00CB2C37" w:rsidRPr="000E4F60">
        <w:rPr>
          <w:color w:val="000000"/>
        </w:rPr>
        <w:t xml:space="preserve"> </w:t>
      </w:r>
      <w:r w:rsidR="000E4F60" w:rsidRPr="000E4F60">
        <w:rPr>
          <w:color w:val="000000"/>
        </w:rPr>
        <w:t>другом</w:t>
      </w:r>
      <w:r w:rsidR="00CB2C37" w:rsidRPr="000E4F60">
        <w:rPr>
          <w:color w:val="000000"/>
        </w:rPr>
        <w:t xml:space="preserve"> </w:t>
      </w:r>
      <w:r w:rsidR="000E4F60" w:rsidRPr="000E4F60">
        <w:rPr>
          <w:color w:val="000000"/>
        </w:rPr>
        <w:t>дипломатском</w:t>
      </w:r>
      <w:r w:rsidR="00CB2C37" w:rsidRPr="000E4F60">
        <w:rPr>
          <w:color w:val="000000"/>
        </w:rPr>
        <w:t xml:space="preserve"> </w:t>
      </w:r>
      <w:r w:rsidR="000E4F60" w:rsidRPr="000E4F60">
        <w:rPr>
          <w:color w:val="000000"/>
        </w:rPr>
        <w:t>или</w:t>
      </w:r>
      <w:r w:rsidR="00CB2C37" w:rsidRPr="000E4F60">
        <w:rPr>
          <w:color w:val="000000"/>
        </w:rPr>
        <w:t xml:space="preserve"> </w:t>
      </w:r>
      <w:r w:rsidR="000E4F60" w:rsidRPr="000E4F60">
        <w:rPr>
          <w:color w:val="000000"/>
        </w:rPr>
        <w:t>конзуларном</w:t>
      </w:r>
      <w:r w:rsidR="00CB2C37" w:rsidRPr="000E4F60">
        <w:rPr>
          <w:color w:val="000000"/>
        </w:rPr>
        <w:t xml:space="preserve"> </w:t>
      </w:r>
      <w:r w:rsidR="000E4F60" w:rsidRPr="000E4F60">
        <w:rPr>
          <w:color w:val="000000"/>
        </w:rPr>
        <w:t>представништву</w:t>
      </w:r>
      <w:r w:rsidR="00CB2C37" w:rsidRPr="000E4F60">
        <w:rPr>
          <w:color w:val="000000"/>
        </w:rPr>
        <w:t xml:space="preserve"> </w:t>
      </w:r>
      <w:r w:rsidR="000E4F60" w:rsidRPr="000E4F60">
        <w:rPr>
          <w:color w:val="000000"/>
        </w:rPr>
        <w:t>Републике</w:t>
      </w:r>
      <w:r w:rsidR="00CB2C37" w:rsidRPr="000E4F60">
        <w:rPr>
          <w:color w:val="000000"/>
        </w:rPr>
        <w:t xml:space="preserve">, </w:t>
      </w:r>
      <w:r w:rsidR="000E4F60" w:rsidRPr="000E4F60">
        <w:rPr>
          <w:color w:val="000000"/>
        </w:rPr>
        <w:t>односно</w:t>
      </w:r>
      <w:r w:rsidR="00CB2C37" w:rsidRPr="000E4F60">
        <w:rPr>
          <w:color w:val="000000"/>
        </w:rPr>
        <w:t xml:space="preserve"> </w:t>
      </w:r>
      <w:r w:rsidR="000E4F60" w:rsidRPr="000E4F60">
        <w:rPr>
          <w:color w:val="000000"/>
        </w:rPr>
        <w:t>међународној</w:t>
      </w:r>
      <w:r w:rsidR="00CB2C37" w:rsidRPr="000E4F60">
        <w:rPr>
          <w:color w:val="000000"/>
        </w:rPr>
        <w:t xml:space="preserve"> </w:t>
      </w:r>
      <w:r w:rsidR="000E4F60" w:rsidRPr="000E4F60">
        <w:rPr>
          <w:color w:val="000000"/>
        </w:rPr>
        <w:t>организацији</w:t>
      </w:r>
      <w:r w:rsidR="00CB2C37" w:rsidRPr="000E4F60">
        <w:rPr>
          <w:color w:val="000000"/>
        </w:rPr>
        <w:t>.</w:t>
      </w:r>
      <w:r w:rsidRPr="000E4F60">
        <w:rPr>
          <w:rStyle w:val="FootnoteReference"/>
          <w:color w:val="000000"/>
        </w:rPr>
        <w:footnoteReference w:id="437"/>
      </w:r>
    </w:p>
    <w:p w:rsidR="00CB2C37" w:rsidRPr="000E4F60" w:rsidRDefault="00095BAA" w:rsidP="000E4F60">
      <w:pPr>
        <w:pStyle w:val="wyq110---naslov-clana"/>
        <w:shd w:val="clear" w:color="auto" w:fill="FFFFFF"/>
        <w:spacing w:before="240" w:beforeAutospacing="0" w:after="240" w:afterAutospacing="0" w:line="240" w:lineRule="atLeast"/>
        <w:ind w:firstLine="708"/>
        <w:jc w:val="both"/>
        <w:rPr>
          <w:b/>
          <w:bCs/>
          <w:color w:val="000000"/>
          <w:lang w:val="sr-Cyrl-CS"/>
        </w:rPr>
      </w:pPr>
      <w:bookmarkStart w:id="25" w:name="str_8"/>
      <w:bookmarkEnd w:id="25"/>
      <w:r w:rsidRPr="000E4F60">
        <w:rPr>
          <w:color w:val="000000"/>
          <w:lang w:val="sr-Cyrl-CS"/>
        </w:rPr>
        <w:t>Мимо тога, о</w:t>
      </w:r>
      <w:r w:rsidR="000E4F60" w:rsidRPr="000E4F60">
        <w:rPr>
          <w:color w:val="000000"/>
        </w:rPr>
        <w:t>бвезник</w:t>
      </w:r>
      <w:r w:rsidR="00CB2C37" w:rsidRPr="000E4F60">
        <w:rPr>
          <w:color w:val="000000"/>
        </w:rPr>
        <w:t xml:space="preserve"> </w:t>
      </w:r>
      <w:r w:rsidR="000E4F60" w:rsidRPr="000E4F60">
        <w:rPr>
          <w:color w:val="000000"/>
        </w:rPr>
        <w:t>пореза</w:t>
      </w:r>
      <w:r w:rsidR="00CB2C37" w:rsidRPr="000E4F60">
        <w:rPr>
          <w:color w:val="000000"/>
        </w:rPr>
        <w:t xml:space="preserve"> </w:t>
      </w:r>
      <w:r w:rsidR="000E4F60" w:rsidRPr="000E4F60">
        <w:rPr>
          <w:color w:val="000000"/>
        </w:rPr>
        <w:t>на</w:t>
      </w:r>
      <w:r w:rsidR="00CB2C37" w:rsidRPr="000E4F60">
        <w:rPr>
          <w:color w:val="000000"/>
        </w:rPr>
        <w:t xml:space="preserve"> </w:t>
      </w:r>
      <w:r w:rsidR="000E4F60" w:rsidRPr="000E4F60">
        <w:rPr>
          <w:color w:val="000000"/>
        </w:rPr>
        <w:t>доходак</w:t>
      </w:r>
      <w:r w:rsidR="00CB2C37" w:rsidRPr="000E4F60">
        <w:rPr>
          <w:color w:val="000000"/>
        </w:rPr>
        <w:t xml:space="preserve"> </w:t>
      </w:r>
      <w:r w:rsidR="000E4F60" w:rsidRPr="000E4F60">
        <w:rPr>
          <w:color w:val="000000"/>
        </w:rPr>
        <w:t>грађана</w:t>
      </w:r>
      <w:r w:rsidR="00CB2C37" w:rsidRPr="000E4F60">
        <w:rPr>
          <w:color w:val="000000"/>
        </w:rPr>
        <w:t xml:space="preserve"> </w:t>
      </w:r>
      <w:r w:rsidR="000E4F60" w:rsidRPr="000E4F60">
        <w:rPr>
          <w:color w:val="000000"/>
        </w:rPr>
        <w:t>је</w:t>
      </w:r>
      <w:r w:rsidR="00CB2C37" w:rsidRPr="000E4F60">
        <w:rPr>
          <w:color w:val="000000"/>
        </w:rPr>
        <w:t xml:space="preserve"> </w:t>
      </w:r>
      <w:r w:rsidR="000E4F60" w:rsidRPr="000E4F60">
        <w:rPr>
          <w:color w:val="000000"/>
        </w:rPr>
        <w:t>и</w:t>
      </w:r>
      <w:r w:rsidR="00CB2C37" w:rsidRPr="000E4F60">
        <w:rPr>
          <w:color w:val="000000"/>
        </w:rPr>
        <w:t xml:space="preserve"> </w:t>
      </w:r>
      <w:r w:rsidR="000E4F60" w:rsidRPr="000E4F60">
        <w:rPr>
          <w:color w:val="000000"/>
        </w:rPr>
        <w:t>физичко</w:t>
      </w:r>
      <w:r w:rsidR="00CB2C37" w:rsidRPr="000E4F60">
        <w:rPr>
          <w:color w:val="000000"/>
        </w:rPr>
        <w:t xml:space="preserve"> </w:t>
      </w:r>
      <w:r w:rsidR="000E4F60" w:rsidRPr="000E4F60">
        <w:rPr>
          <w:color w:val="000000"/>
        </w:rPr>
        <w:t>лице</w:t>
      </w:r>
      <w:r w:rsidR="00CB2C37" w:rsidRPr="000E4F60">
        <w:rPr>
          <w:color w:val="000000"/>
        </w:rPr>
        <w:t xml:space="preserve"> </w:t>
      </w:r>
      <w:r w:rsidR="000E4F60" w:rsidRPr="000E4F60">
        <w:rPr>
          <w:color w:val="000000"/>
        </w:rPr>
        <w:t>које</w:t>
      </w:r>
      <w:r w:rsidR="00CB2C37" w:rsidRPr="000E4F60">
        <w:rPr>
          <w:color w:val="000000"/>
        </w:rPr>
        <w:t xml:space="preserve"> </w:t>
      </w:r>
      <w:r w:rsidR="000E4F60" w:rsidRPr="000E4F60">
        <w:rPr>
          <w:color w:val="000000"/>
        </w:rPr>
        <w:t>није</w:t>
      </w:r>
      <w:r w:rsidR="00CB2C37" w:rsidRPr="000E4F60">
        <w:rPr>
          <w:color w:val="000000"/>
        </w:rPr>
        <w:t xml:space="preserve"> </w:t>
      </w:r>
      <w:r w:rsidR="000E4F60" w:rsidRPr="000E4F60">
        <w:rPr>
          <w:color w:val="000000"/>
        </w:rPr>
        <w:t>резидент</w:t>
      </w:r>
      <w:r w:rsidR="00CB2C37" w:rsidRPr="000E4F60">
        <w:rPr>
          <w:color w:val="000000"/>
        </w:rPr>
        <w:t xml:space="preserve"> </w:t>
      </w:r>
      <w:r w:rsidR="000E4F60" w:rsidRPr="000E4F60">
        <w:rPr>
          <w:color w:val="000000"/>
        </w:rPr>
        <w:t>за</w:t>
      </w:r>
      <w:r w:rsidR="00CB2C37" w:rsidRPr="000E4F60">
        <w:rPr>
          <w:color w:val="000000"/>
        </w:rPr>
        <w:t xml:space="preserve"> </w:t>
      </w:r>
      <w:r w:rsidR="000E4F60" w:rsidRPr="000E4F60">
        <w:rPr>
          <w:color w:val="000000"/>
        </w:rPr>
        <w:t>доходак</w:t>
      </w:r>
      <w:r w:rsidR="00CB2C37" w:rsidRPr="000E4F60">
        <w:rPr>
          <w:color w:val="000000"/>
        </w:rPr>
        <w:t xml:space="preserve"> </w:t>
      </w:r>
      <w:r w:rsidR="000E4F60" w:rsidRPr="000E4F60">
        <w:rPr>
          <w:color w:val="000000"/>
        </w:rPr>
        <w:t>остварен</w:t>
      </w:r>
      <w:r w:rsidR="00CB2C37" w:rsidRPr="000E4F60">
        <w:rPr>
          <w:color w:val="000000"/>
        </w:rPr>
        <w:t xml:space="preserve"> </w:t>
      </w:r>
      <w:r w:rsidR="000E4F60" w:rsidRPr="000E4F60">
        <w:rPr>
          <w:color w:val="000000"/>
        </w:rPr>
        <w:t>на</w:t>
      </w:r>
      <w:r w:rsidR="00CB2C37" w:rsidRPr="000E4F60">
        <w:rPr>
          <w:color w:val="000000"/>
        </w:rPr>
        <w:t xml:space="preserve"> </w:t>
      </w:r>
      <w:r w:rsidR="000E4F60" w:rsidRPr="000E4F60">
        <w:rPr>
          <w:color w:val="000000"/>
        </w:rPr>
        <w:t>територији</w:t>
      </w:r>
      <w:r w:rsidR="00CB2C37" w:rsidRPr="000E4F60">
        <w:rPr>
          <w:color w:val="000000"/>
        </w:rPr>
        <w:t xml:space="preserve"> </w:t>
      </w:r>
      <w:r w:rsidR="000E4F60" w:rsidRPr="000E4F60">
        <w:rPr>
          <w:color w:val="000000"/>
        </w:rPr>
        <w:t>Републике</w:t>
      </w:r>
      <w:r w:rsidR="00CB2C37" w:rsidRPr="000E4F60">
        <w:rPr>
          <w:color w:val="000000"/>
        </w:rPr>
        <w:t>.</w:t>
      </w:r>
      <w:r w:rsidRPr="000E4F60">
        <w:rPr>
          <w:color w:val="000000"/>
          <w:lang w:val="sr-Cyrl-CS"/>
        </w:rPr>
        <w:t xml:space="preserve"> </w:t>
      </w:r>
    </w:p>
    <w:p w:rsidR="007D6C85" w:rsidRPr="000E4F60" w:rsidRDefault="000E4F60" w:rsidP="000E4F60">
      <w:pPr>
        <w:pStyle w:val="normal0"/>
        <w:shd w:val="clear" w:color="auto" w:fill="FFFFFF"/>
        <w:spacing w:before="48" w:beforeAutospacing="0" w:after="48" w:afterAutospacing="0"/>
        <w:ind w:firstLine="708"/>
        <w:jc w:val="both"/>
        <w:rPr>
          <w:color w:val="000000"/>
          <w:lang w:val="sr-Cyrl-CS"/>
        </w:rPr>
      </w:pPr>
      <w:r w:rsidRPr="000E4F60">
        <w:rPr>
          <w:color w:val="000000"/>
        </w:rPr>
        <w:t>Код</w:t>
      </w:r>
      <w:r w:rsidR="007D6C85" w:rsidRPr="000E4F60">
        <w:rPr>
          <w:color w:val="000000"/>
        </w:rPr>
        <w:t xml:space="preserve"> </w:t>
      </w:r>
      <w:r w:rsidRPr="000E4F60">
        <w:rPr>
          <w:color w:val="000000"/>
        </w:rPr>
        <w:t>обрачуна</w:t>
      </w:r>
      <w:r w:rsidR="007D6C85" w:rsidRPr="000E4F60">
        <w:rPr>
          <w:color w:val="000000"/>
        </w:rPr>
        <w:t xml:space="preserve"> </w:t>
      </w:r>
      <w:r w:rsidRPr="000E4F60">
        <w:rPr>
          <w:color w:val="000000"/>
        </w:rPr>
        <w:t>пореза</w:t>
      </w:r>
      <w:r w:rsidR="007D6C85" w:rsidRPr="000E4F60">
        <w:rPr>
          <w:color w:val="000000"/>
        </w:rPr>
        <w:t xml:space="preserve"> </w:t>
      </w:r>
      <w:r w:rsidRPr="000E4F60">
        <w:rPr>
          <w:color w:val="000000"/>
        </w:rPr>
        <w:t>по</w:t>
      </w:r>
      <w:r w:rsidR="007D6C85" w:rsidRPr="000E4F60">
        <w:rPr>
          <w:color w:val="000000"/>
        </w:rPr>
        <w:t xml:space="preserve"> </w:t>
      </w:r>
      <w:r w:rsidRPr="000E4F60">
        <w:rPr>
          <w:color w:val="000000"/>
        </w:rPr>
        <w:t>одбитку</w:t>
      </w:r>
      <w:r w:rsidR="007D6C85" w:rsidRPr="000E4F60">
        <w:rPr>
          <w:color w:val="000000"/>
        </w:rPr>
        <w:t xml:space="preserve"> </w:t>
      </w:r>
      <w:r w:rsidRPr="000E4F60">
        <w:rPr>
          <w:color w:val="000000"/>
        </w:rPr>
        <w:t>на</w:t>
      </w:r>
      <w:r w:rsidR="007D6C85" w:rsidRPr="000E4F60">
        <w:rPr>
          <w:color w:val="000000"/>
        </w:rPr>
        <w:t xml:space="preserve"> </w:t>
      </w:r>
      <w:r w:rsidRPr="000E4F60">
        <w:rPr>
          <w:color w:val="000000"/>
        </w:rPr>
        <w:t>приходе</w:t>
      </w:r>
      <w:r w:rsidR="007D6C85" w:rsidRPr="000E4F60">
        <w:rPr>
          <w:color w:val="000000"/>
        </w:rPr>
        <w:t xml:space="preserve"> </w:t>
      </w:r>
      <w:r w:rsidRPr="000E4F60">
        <w:rPr>
          <w:color w:val="000000"/>
        </w:rPr>
        <w:t>нерезидента</w:t>
      </w:r>
      <w:r w:rsidR="007D6C85" w:rsidRPr="000E4F60">
        <w:rPr>
          <w:color w:val="000000"/>
        </w:rPr>
        <w:t xml:space="preserve">, </w:t>
      </w:r>
      <w:r w:rsidRPr="000E4F60">
        <w:rPr>
          <w:color w:val="000000"/>
        </w:rPr>
        <w:t>исплатилац</w:t>
      </w:r>
      <w:r w:rsidR="007D6C85" w:rsidRPr="000E4F60">
        <w:rPr>
          <w:color w:val="000000"/>
        </w:rPr>
        <w:t xml:space="preserve"> </w:t>
      </w:r>
      <w:r w:rsidRPr="000E4F60">
        <w:rPr>
          <w:color w:val="000000"/>
        </w:rPr>
        <w:t>прихода</w:t>
      </w:r>
      <w:r w:rsidR="007D6C85" w:rsidRPr="000E4F60">
        <w:rPr>
          <w:color w:val="000000"/>
        </w:rPr>
        <w:t xml:space="preserve"> </w:t>
      </w:r>
      <w:r w:rsidRPr="000E4F60">
        <w:rPr>
          <w:color w:val="000000"/>
        </w:rPr>
        <w:t>примењује</w:t>
      </w:r>
      <w:r w:rsidR="007D6C85" w:rsidRPr="000E4F60">
        <w:rPr>
          <w:color w:val="000000"/>
        </w:rPr>
        <w:t xml:space="preserve"> </w:t>
      </w:r>
      <w:r w:rsidRPr="000E4F60">
        <w:rPr>
          <w:color w:val="000000"/>
        </w:rPr>
        <w:t>одредбе</w:t>
      </w:r>
      <w:r w:rsidR="007D6C85" w:rsidRPr="000E4F60">
        <w:rPr>
          <w:color w:val="000000"/>
        </w:rPr>
        <w:t xml:space="preserve"> </w:t>
      </w:r>
      <w:r w:rsidRPr="000E4F60">
        <w:rPr>
          <w:color w:val="000000"/>
        </w:rPr>
        <w:t>уговора</w:t>
      </w:r>
      <w:r w:rsidR="007D6C85" w:rsidRPr="000E4F60">
        <w:rPr>
          <w:color w:val="000000"/>
        </w:rPr>
        <w:t xml:space="preserve"> </w:t>
      </w:r>
      <w:r w:rsidRPr="000E4F60">
        <w:rPr>
          <w:color w:val="000000"/>
        </w:rPr>
        <w:t>о</w:t>
      </w:r>
      <w:r w:rsidR="007D6C85" w:rsidRPr="000E4F60">
        <w:rPr>
          <w:color w:val="000000"/>
        </w:rPr>
        <w:t xml:space="preserve"> </w:t>
      </w:r>
      <w:r w:rsidRPr="000E4F60">
        <w:rPr>
          <w:color w:val="000000"/>
        </w:rPr>
        <w:t>избегавању</w:t>
      </w:r>
      <w:r w:rsidR="007D6C85" w:rsidRPr="000E4F60">
        <w:rPr>
          <w:color w:val="000000"/>
        </w:rPr>
        <w:t xml:space="preserve"> </w:t>
      </w:r>
      <w:r w:rsidRPr="000E4F60">
        <w:rPr>
          <w:color w:val="000000"/>
        </w:rPr>
        <w:t>двоструког</w:t>
      </w:r>
      <w:r w:rsidR="007D6C85" w:rsidRPr="000E4F60">
        <w:rPr>
          <w:color w:val="000000"/>
        </w:rPr>
        <w:t xml:space="preserve"> </w:t>
      </w:r>
      <w:r w:rsidRPr="000E4F60">
        <w:rPr>
          <w:color w:val="000000"/>
        </w:rPr>
        <w:t>опорезивања</w:t>
      </w:r>
      <w:r w:rsidR="007D6C85" w:rsidRPr="000E4F60">
        <w:rPr>
          <w:color w:val="000000"/>
        </w:rPr>
        <w:t xml:space="preserve">, </w:t>
      </w:r>
      <w:r w:rsidRPr="000E4F60">
        <w:rPr>
          <w:color w:val="000000"/>
        </w:rPr>
        <w:t>под</w:t>
      </w:r>
      <w:r w:rsidR="007D6C85" w:rsidRPr="000E4F60">
        <w:rPr>
          <w:color w:val="000000"/>
        </w:rPr>
        <w:t xml:space="preserve"> </w:t>
      </w:r>
      <w:r w:rsidRPr="000E4F60">
        <w:rPr>
          <w:color w:val="000000"/>
        </w:rPr>
        <w:t>условом</w:t>
      </w:r>
      <w:r w:rsidR="007D6C85" w:rsidRPr="000E4F60">
        <w:rPr>
          <w:color w:val="000000"/>
        </w:rPr>
        <w:t xml:space="preserve"> </w:t>
      </w:r>
      <w:r w:rsidRPr="000E4F60">
        <w:rPr>
          <w:color w:val="000000"/>
        </w:rPr>
        <w:t>да</w:t>
      </w:r>
      <w:r w:rsidR="007D6C85" w:rsidRPr="000E4F60">
        <w:rPr>
          <w:color w:val="000000"/>
        </w:rPr>
        <w:t xml:space="preserve"> </w:t>
      </w:r>
      <w:r w:rsidRPr="000E4F60">
        <w:rPr>
          <w:color w:val="000000"/>
        </w:rPr>
        <w:t>нерезидент</w:t>
      </w:r>
      <w:r w:rsidR="007D6C85" w:rsidRPr="000E4F60">
        <w:rPr>
          <w:color w:val="000000"/>
        </w:rPr>
        <w:t xml:space="preserve"> </w:t>
      </w:r>
      <w:r w:rsidRPr="000E4F60">
        <w:rPr>
          <w:color w:val="000000"/>
        </w:rPr>
        <w:t>докаже</w:t>
      </w:r>
      <w:r w:rsidR="007D6C85" w:rsidRPr="000E4F60">
        <w:rPr>
          <w:color w:val="000000"/>
        </w:rPr>
        <w:t xml:space="preserve"> </w:t>
      </w:r>
      <w:r w:rsidRPr="000E4F60">
        <w:rPr>
          <w:color w:val="000000"/>
        </w:rPr>
        <w:t>статус</w:t>
      </w:r>
      <w:r w:rsidR="007D6C85" w:rsidRPr="000E4F60">
        <w:rPr>
          <w:color w:val="000000"/>
        </w:rPr>
        <w:t xml:space="preserve"> </w:t>
      </w:r>
      <w:r w:rsidRPr="000E4F60">
        <w:rPr>
          <w:color w:val="000000"/>
        </w:rPr>
        <w:t>резидента</w:t>
      </w:r>
      <w:r w:rsidR="007D6C85" w:rsidRPr="000E4F60">
        <w:rPr>
          <w:color w:val="000000"/>
        </w:rPr>
        <w:t xml:space="preserve"> </w:t>
      </w:r>
      <w:r w:rsidRPr="000E4F60">
        <w:rPr>
          <w:color w:val="000000"/>
        </w:rPr>
        <w:t>државе</w:t>
      </w:r>
      <w:r w:rsidR="007D6C85" w:rsidRPr="000E4F60">
        <w:rPr>
          <w:color w:val="000000"/>
        </w:rPr>
        <w:t xml:space="preserve"> </w:t>
      </w:r>
      <w:r w:rsidRPr="000E4F60">
        <w:rPr>
          <w:color w:val="000000"/>
        </w:rPr>
        <w:t>са</w:t>
      </w:r>
      <w:r w:rsidR="007D6C85" w:rsidRPr="000E4F60">
        <w:rPr>
          <w:color w:val="000000"/>
        </w:rPr>
        <w:t xml:space="preserve"> </w:t>
      </w:r>
      <w:r w:rsidRPr="000E4F60">
        <w:rPr>
          <w:color w:val="000000"/>
        </w:rPr>
        <w:t>којом</w:t>
      </w:r>
      <w:r w:rsidR="007D6C85" w:rsidRPr="000E4F60">
        <w:rPr>
          <w:color w:val="000000"/>
        </w:rPr>
        <w:t xml:space="preserve"> </w:t>
      </w:r>
      <w:r w:rsidRPr="000E4F60">
        <w:rPr>
          <w:color w:val="000000"/>
        </w:rPr>
        <w:t>је</w:t>
      </w:r>
      <w:r w:rsidR="007D6C85" w:rsidRPr="000E4F60">
        <w:rPr>
          <w:color w:val="000000"/>
        </w:rPr>
        <w:t xml:space="preserve"> </w:t>
      </w:r>
      <w:r w:rsidRPr="000E4F60">
        <w:rPr>
          <w:color w:val="000000"/>
        </w:rPr>
        <w:t>Србија</w:t>
      </w:r>
      <w:r w:rsidR="007D6C85" w:rsidRPr="000E4F60">
        <w:rPr>
          <w:color w:val="000000"/>
        </w:rPr>
        <w:t xml:space="preserve"> </w:t>
      </w:r>
      <w:r w:rsidRPr="000E4F60">
        <w:rPr>
          <w:color w:val="000000"/>
        </w:rPr>
        <w:t>закључила</w:t>
      </w:r>
      <w:r w:rsidR="007D6C85" w:rsidRPr="000E4F60">
        <w:rPr>
          <w:color w:val="000000"/>
        </w:rPr>
        <w:t xml:space="preserve"> </w:t>
      </w:r>
      <w:r w:rsidRPr="000E4F60">
        <w:rPr>
          <w:color w:val="000000"/>
        </w:rPr>
        <w:t>уговор</w:t>
      </w:r>
      <w:r w:rsidR="007D6C85" w:rsidRPr="000E4F60">
        <w:rPr>
          <w:color w:val="000000"/>
        </w:rPr>
        <w:t xml:space="preserve"> </w:t>
      </w:r>
      <w:r w:rsidRPr="000E4F60">
        <w:rPr>
          <w:color w:val="000000"/>
        </w:rPr>
        <w:t>о</w:t>
      </w:r>
      <w:r w:rsidR="007D6C85" w:rsidRPr="000E4F60">
        <w:rPr>
          <w:color w:val="000000"/>
        </w:rPr>
        <w:t xml:space="preserve"> </w:t>
      </w:r>
      <w:r w:rsidRPr="000E4F60">
        <w:rPr>
          <w:color w:val="000000"/>
        </w:rPr>
        <w:t>избегавању</w:t>
      </w:r>
      <w:r w:rsidR="007D6C85" w:rsidRPr="000E4F60">
        <w:rPr>
          <w:color w:val="000000"/>
        </w:rPr>
        <w:t xml:space="preserve"> </w:t>
      </w:r>
      <w:r w:rsidRPr="000E4F60">
        <w:rPr>
          <w:color w:val="000000"/>
        </w:rPr>
        <w:t>двоструког</w:t>
      </w:r>
      <w:r w:rsidR="007D6C85" w:rsidRPr="000E4F60">
        <w:rPr>
          <w:color w:val="000000"/>
        </w:rPr>
        <w:t xml:space="preserve"> </w:t>
      </w:r>
      <w:r w:rsidRPr="000E4F60">
        <w:rPr>
          <w:color w:val="000000"/>
        </w:rPr>
        <w:t>опорезивања</w:t>
      </w:r>
      <w:r w:rsidR="007D6C85" w:rsidRPr="000E4F60">
        <w:rPr>
          <w:color w:val="000000"/>
        </w:rPr>
        <w:t xml:space="preserve">, </w:t>
      </w:r>
      <w:r w:rsidRPr="000E4F60">
        <w:rPr>
          <w:color w:val="000000"/>
        </w:rPr>
        <w:t>и</w:t>
      </w:r>
      <w:r w:rsidR="007D6C85" w:rsidRPr="000E4F60">
        <w:rPr>
          <w:color w:val="000000"/>
        </w:rPr>
        <w:t xml:space="preserve"> </w:t>
      </w:r>
      <w:r w:rsidRPr="000E4F60">
        <w:rPr>
          <w:color w:val="000000"/>
        </w:rPr>
        <w:t>да</w:t>
      </w:r>
      <w:r w:rsidR="007D6C85" w:rsidRPr="000E4F60">
        <w:rPr>
          <w:color w:val="000000"/>
        </w:rPr>
        <w:t xml:space="preserve"> </w:t>
      </w:r>
      <w:r w:rsidRPr="000E4F60">
        <w:rPr>
          <w:color w:val="000000"/>
        </w:rPr>
        <w:t>је</w:t>
      </w:r>
      <w:r w:rsidR="007D6C85" w:rsidRPr="000E4F60">
        <w:rPr>
          <w:color w:val="000000"/>
        </w:rPr>
        <w:t xml:space="preserve"> </w:t>
      </w:r>
      <w:r w:rsidRPr="000E4F60">
        <w:rPr>
          <w:color w:val="000000"/>
        </w:rPr>
        <w:t>он</w:t>
      </w:r>
      <w:r w:rsidR="007D6C85" w:rsidRPr="000E4F60">
        <w:rPr>
          <w:color w:val="000000"/>
        </w:rPr>
        <w:t xml:space="preserve"> </w:t>
      </w:r>
      <w:r w:rsidRPr="000E4F60">
        <w:rPr>
          <w:color w:val="000000"/>
        </w:rPr>
        <w:t>стварни</w:t>
      </w:r>
      <w:r w:rsidR="007D6C85" w:rsidRPr="000E4F60">
        <w:rPr>
          <w:color w:val="000000"/>
        </w:rPr>
        <w:t xml:space="preserve"> </w:t>
      </w:r>
      <w:r w:rsidRPr="000E4F60">
        <w:rPr>
          <w:color w:val="000000"/>
        </w:rPr>
        <w:t>власник</w:t>
      </w:r>
      <w:r w:rsidR="007D6C85" w:rsidRPr="000E4F60">
        <w:rPr>
          <w:color w:val="000000"/>
        </w:rPr>
        <w:t xml:space="preserve"> </w:t>
      </w:r>
      <w:r w:rsidRPr="000E4F60">
        <w:rPr>
          <w:color w:val="000000"/>
        </w:rPr>
        <w:t>прихода</w:t>
      </w:r>
      <w:r w:rsidR="007D6C85" w:rsidRPr="000E4F60">
        <w:rPr>
          <w:color w:val="000000"/>
        </w:rPr>
        <w:t>.</w:t>
      </w:r>
      <w:r w:rsidRPr="000E4F60">
        <w:rPr>
          <w:color w:val="000000"/>
          <w:lang w:val="sr-Cyrl-CS"/>
        </w:rPr>
        <w:t xml:space="preserve"> </w:t>
      </w:r>
      <w:r w:rsidRPr="000E4F60">
        <w:rPr>
          <w:color w:val="000000"/>
        </w:rPr>
        <w:t>Статус</w:t>
      </w:r>
      <w:r w:rsidR="007D6C85" w:rsidRPr="000E4F60">
        <w:rPr>
          <w:color w:val="000000"/>
        </w:rPr>
        <w:t xml:space="preserve"> </w:t>
      </w:r>
      <w:r w:rsidRPr="000E4F60">
        <w:rPr>
          <w:color w:val="000000"/>
        </w:rPr>
        <w:t>резидента</w:t>
      </w:r>
      <w:r w:rsidR="007D6C85" w:rsidRPr="000E4F60">
        <w:rPr>
          <w:color w:val="000000"/>
        </w:rPr>
        <w:t xml:space="preserve"> </w:t>
      </w:r>
      <w:r w:rsidRPr="000E4F60">
        <w:rPr>
          <w:color w:val="000000"/>
        </w:rPr>
        <w:t>државе</w:t>
      </w:r>
      <w:r w:rsidR="007D6C85" w:rsidRPr="000E4F60">
        <w:rPr>
          <w:color w:val="000000"/>
        </w:rPr>
        <w:t xml:space="preserve"> </w:t>
      </w:r>
      <w:r w:rsidRPr="000E4F60">
        <w:rPr>
          <w:color w:val="000000"/>
        </w:rPr>
        <w:t>са</w:t>
      </w:r>
      <w:r w:rsidR="007D6C85" w:rsidRPr="000E4F60">
        <w:rPr>
          <w:color w:val="000000"/>
        </w:rPr>
        <w:t xml:space="preserve"> </w:t>
      </w:r>
      <w:r w:rsidRPr="000E4F60">
        <w:rPr>
          <w:color w:val="000000"/>
        </w:rPr>
        <w:t>којом</w:t>
      </w:r>
      <w:r w:rsidR="007D6C85" w:rsidRPr="000E4F60">
        <w:rPr>
          <w:color w:val="000000"/>
        </w:rPr>
        <w:t xml:space="preserve"> </w:t>
      </w:r>
      <w:r w:rsidRPr="000E4F60">
        <w:rPr>
          <w:color w:val="000000"/>
        </w:rPr>
        <w:t>је</w:t>
      </w:r>
      <w:r w:rsidR="007D6C85" w:rsidRPr="000E4F60">
        <w:rPr>
          <w:color w:val="000000"/>
        </w:rPr>
        <w:t xml:space="preserve"> </w:t>
      </w:r>
      <w:r w:rsidRPr="000E4F60">
        <w:rPr>
          <w:color w:val="000000"/>
        </w:rPr>
        <w:t>закључен</w:t>
      </w:r>
      <w:r w:rsidR="007D6C85" w:rsidRPr="000E4F60">
        <w:rPr>
          <w:color w:val="000000"/>
        </w:rPr>
        <w:t xml:space="preserve"> </w:t>
      </w:r>
      <w:r w:rsidRPr="000E4F60">
        <w:rPr>
          <w:color w:val="000000"/>
        </w:rPr>
        <w:t>уговор</w:t>
      </w:r>
      <w:r w:rsidR="007D6C85" w:rsidRPr="000E4F60">
        <w:rPr>
          <w:color w:val="000000"/>
        </w:rPr>
        <w:t xml:space="preserve"> </w:t>
      </w:r>
      <w:r w:rsidRPr="000E4F60">
        <w:rPr>
          <w:color w:val="000000"/>
        </w:rPr>
        <w:t>о</w:t>
      </w:r>
      <w:r w:rsidR="007D6C85" w:rsidRPr="000E4F60">
        <w:rPr>
          <w:color w:val="000000"/>
        </w:rPr>
        <w:t xml:space="preserve"> </w:t>
      </w:r>
      <w:r w:rsidRPr="000E4F60">
        <w:rPr>
          <w:color w:val="000000"/>
        </w:rPr>
        <w:t>избегавању</w:t>
      </w:r>
      <w:r w:rsidR="007D6C85" w:rsidRPr="000E4F60">
        <w:rPr>
          <w:color w:val="000000"/>
        </w:rPr>
        <w:t xml:space="preserve"> </w:t>
      </w:r>
      <w:r w:rsidRPr="000E4F60">
        <w:rPr>
          <w:color w:val="000000"/>
        </w:rPr>
        <w:t>двоструког</w:t>
      </w:r>
      <w:r w:rsidR="007D6C85" w:rsidRPr="000E4F60">
        <w:rPr>
          <w:color w:val="000000"/>
        </w:rPr>
        <w:t xml:space="preserve"> </w:t>
      </w:r>
      <w:r w:rsidRPr="000E4F60">
        <w:rPr>
          <w:color w:val="000000"/>
        </w:rPr>
        <w:t>опорезивања</w:t>
      </w:r>
      <w:r w:rsidR="00095BAA" w:rsidRPr="000E4F60">
        <w:rPr>
          <w:color w:val="000000"/>
        </w:rPr>
        <w:t xml:space="preserve"> </w:t>
      </w:r>
      <w:r w:rsidR="007D6C85" w:rsidRPr="000E4F60">
        <w:rPr>
          <w:color w:val="000000"/>
        </w:rPr>
        <w:t xml:space="preserve"> </w:t>
      </w:r>
      <w:r w:rsidRPr="000E4F60">
        <w:rPr>
          <w:color w:val="000000"/>
        </w:rPr>
        <w:t>нерезидент</w:t>
      </w:r>
      <w:r w:rsidR="007D6C85" w:rsidRPr="000E4F60">
        <w:rPr>
          <w:color w:val="000000"/>
        </w:rPr>
        <w:t xml:space="preserve"> </w:t>
      </w:r>
      <w:r w:rsidRPr="000E4F60">
        <w:rPr>
          <w:color w:val="000000"/>
        </w:rPr>
        <w:t>доказује</w:t>
      </w:r>
      <w:r w:rsidR="007D6C85" w:rsidRPr="000E4F60">
        <w:rPr>
          <w:color w:val="000000"/>
        </w:rPr>
        <w:t xml:space="preserve"> </w:t>
      </w:r>
      <w:r w:rsidRPr="000E4F60">
        <w:rPr>
          <w:color w:val="000000"/>
        </w:rPr>
        <w:t>код</w:t>
      </w:r>
      <w:r w:rsidR="007D6C85" w:rsidRPr="000E4F60">
        <w:rPr>
          <w:color w:val="000000"/>
        </w:rPr>
        <w:t xml:space="preserve"> </w:t>
      </w:r>
      <w:r w:rsidRPr="000E4F60">
        <w:rPr>
          <w:color w:val="000000"/>
        </w:rPr>
        <w:t>исплатиоца</w:t>
      </w:r>
      <w:r w:rsidR="007D6C85" w:rsidRPr="000E4F60">
        <w:rPr>
          <w:color w:val="000000"/>
        </w:rPr>
        <w:t xml:space="preserve"> </w:t>
      </w:r>
      <w:r w:rsidRPr="000E4F60">
        <w:rPr>
          <w:color w:val="000000"/>
        </w:rPr>
        <w:t>прихода</w:t>
      </w:r>
      <w:r w:rsidR="007D6C85" w:rsidRPr="000E4F60">
        <w:rPr>
          <w:color w:val="000000"/>
        </w:rPr>
        <w:t xml:space="preserve"> </w:t>
      </w:r>
      <w:r w:rsidRPr="000E4F60">
        <w:rPr>
          <w:color w:val="000000"/>
        </w:rPr>
        <w:t>потврдом</w:t>
      </w:r>
      <w:r w:rsidR="007D6C85" w:rsidRPr="000E4F60">
        <w:rPr>
          <w:color w:val="000000"/>
        </w:rPr>
        <w:t xml:space="preserve"> </w:t>
      </w:r>
      <w:r w:rsidRPr="000E4F60">
        <w:rPr>
          <w:color w:val="000000"/>
        </w:rPr>
        <w:t>о</w:t>
      </w:r>
      <w:r w:rsidR="007D6C85" w:rsidRPr="000E4F60">
        <w:rPr>
          <w:color w:val="000000"/>
        </w:rPr>
        <w:t xml:space="preserve"> </w:t>
      </w:r>
      <w:r w:rsidRPr="000E4F60">
        <w:rPr>
          <w:color w:val="000000"/>
        </w:rPr>
        <w:t>резидентности</w:t>
      </w:r>
      <w:r w:rsidR="007D6C85" w:rsidRPr="000E4F60">
        <w:rPr>
          <w:color w:val="000000"/>
        </w:rPr>
        <w:t xml:space="preserve"> </w:t>
      </w:r>
      <w:r w:rsidRPr="000E4F60">
        <w:rPr>
          <w:color w:val="000000"/>
        </w:rPr>
        <w:t>у</w:t>
      </w:r>
      <w:r w:rsidR="007D6C85" w:rsidRPr="000E4F60">
        <w:rPr>
          <w:color w:val="000000"/>
        </w:rPr>
        <w:t xml:space="preserve"> </w:t>
      </w:r>
      <w:r w:rsidRPr="000E4F60">
        <w:rPr>
          <w:color w:val="000000"/>
        </w:rPr>
        <w:t>складу</w:t>
      </w:r>
      <w:r w:rsidR="007D6C85" w:rsidRPr="000E4F60">
        <w:rPr>
          <w:color w:val="000000"/>
        </w:rPr>
        <w:t xml:space="preserve"> </w:t>
      </w:r>
      <w:r w:rsidRPr="000E4F60">
        <w:rPr>
          <w:color w:val="000000"/>
        </w:rPr>
        <w:t>са</w:t>
      </w:r>
      <w:r w:rsidR="007D6C85" w:rsidRPr="000E4F60">
        <w:rPr>
          <w:color w:val="000000"/>
        </w:rPr>
        <w:t xml:space="preserve"> </w:t>
      </w:r>
      <w:r w:rsidRPr="000E4F60">
        <w:rPr>
          <w:color w:val="000000"/>
        </w:rPr>
        <w:t>законом</w:t>
      </w:r>
      <w:r w:rsidR="007D6C85" w:rsidRPr="000E4F60">
        <w:rPr>
          <w:color w:val="000000"/>
        </w:rPr>
        <w:t xml:space="preserve"> </w:t>
      </w:r>
      <w:r w:rsidRPr="000E4F60">
        <w:rPr>
          <w:color w:val="000000"/>
        </w:rPr>
        <w:t>којим</w:t>
      </w:r>
      <w:r w:rsidR="007D6C85" w:rsidRPr="000E4F60">
        <w:rPr>
          <w:color w:val="000000"/>
        </w:rPr>
        <w:t xml:space="preserve"> </w:t>
      </w:r>
      <w:r w:rsidRPr="000E4F60">
        <w:rPr>
          <w:color w:val="000000"/>
        </w:rPr>
        <w:t>се</w:t>
      </w:r>
      <w:r w:rsidR="007D6C85" w:rsidRPr="000E4F60">
        <w:rPr>
          <w:color w:val="000000"/>
        </w:rPr>
        <w:t xml:space="preserve"> </w:t>
      </w:r>
      <w:r w:rsidRPr="000E4F60">
        <w:rPr>
          <w:color w:val="000000"/>
        </w:rPr>
        <w:t>уређује</w:t>
      </w:r>
      <w:r w:rsidR="007D6C85" w:rsidRPr="000E4F60">
        <w:rPr>
          <w:color w:val="000000"/>
        </w:rPr>
        <w:t xml:space="preserve"> </w:t>
      </w:r>
      <w:r w:rsidRPr="000E4F60">
        <w:rPr>
          <w:color w:val="000000"/>
        </w:rPr>
        <w:t>порески</w:t>
      </w:r>
      <w:r w:rsidR="007D6C85" w:rsidRPr="000E4F60">
        <w:rPr>
          <w:color w:val="000000"/>
        </w:rPr>
        <w:t xml:space="preserve"> </w:t>
      </w:r>
      <w:r w:rsidRPr="000E4F60">
        <w:rPr>
          <w:color w:val="000000"/>
        </w:rPr>
        <w:t>поступак</w:t>
      </w:r>
      <w:r w:rsidR="007D6C85" w:rsidRPr="000E4F60">
        <w:rPr>
          <w:color w:val="000000"/>
        </w:rPr>
        <w:t xml:space="preserve"> </w:t>
      </w:r>
      <w:r w:rsidRPr="000E4F60">
        <w:rPr>
          <w:color w:val="000000"/>
        </w:rPr>
        <w:t>и</w:t>
      </w:r>
      <w:r w:rsidR="007D6C85" w:rsidRPr="000E4F60">
        <w:rPr>
          <w:color w:val="000000"/>
        </w:rPr>
        <w:t xml:space="preserve"> </w:t>
      </w:r>
      <w:r w:rsidRPr="000E4F60">
        <w:rPr>
          <w:color w:val="000000"/>
        </w:rPr>
        <w:t>пореска</w:t>
      </w:r>
      <w:r w:rsidR="007D6C85" w:rsidRPr="000E4F60">
        <w:rPr>
          <w:color w:val="000000"/>
        </w:rPr>
        <w:t xml:space="preserve"> </w:t>
      </w:r>
      <w:r w:rsidRPr="000E4F60">
        <w:rPr>
          <w:color w:val="000000"/>
        </w:rPr>
        <w:t>администрација</w:t>
      </w:r>
      <w:r w:rsidR="007D6C85" w:rsidRPr="000E4F60">
        <w:rPr>
          <w:color w:val="000000"/>
        </w:rPr>
        <w:t>.</w:t>
      </w:r>
      <w:r w:rsidRPr="000E4F60">
        <w:rPr>
          <w:color w:val="000000"/>
          <w:lang w:val="sr-Cyrl-CS"/>
        </w:rPr>
        <w:t xml:space="preserve"> </w:t>
      </w:r>
      <w:r w:rsidRPr="000E4F60">
        <w:rPr>
          <w:color w:val="000000"/>
        </w:rPr>
        <w:t>Ако</w:t>
      </w:r>
      <w:r w:rsidR="007D6C85" w:rsidRPr="000E4F60">
        <w:rPr>
          <w:color w:val="000000"/>
        </w:rPr>
        <w:t xml:space="preserve"> </w:t>
      </w:r>
      <w:r w:rsidRPr="000E4F60">
        <w:rPr>
          <w:color w:val="000000"/>
        </w:rPr>
        <w:t>исплатилац</w:t>
      </w:r>
      <w:r w:rsidR="007D6C85" w:rsidRPr="000E4F60">
        <w:rPr>
          <w:color w:val="000000"/>
        </w:rPr>
        <w:t xml:space="preserve"> </w:t>
      </w:r>
      <w:r w:rsidRPr="000E4F60">
        <w:rPr>
          <w:color w:val="000000"/>
        </w:rPr>
        <w:t>прихода</w:t>
      </w:r>
      <w:r w:rsidR="007D6C85" w:rsidRPr="000E4F60">
        <w:rPr>
          <w:color w:val="000000"/>
        </w:rPr>
        <w:t xml:space="preserve"> </w:t>
      </w:r>
      <w:r w:rsidRPr="000E4F60">
        <w:rPr>
          <w:color w:val="000000"/>
        </w:rPr>
        <w:t>примени</w:t>
      </w:r>
      <w:r w:rsidR="007D6C85" w:rsidRPr="000E4F60">
        <w:rPr>
          <w:color w:val="000000"/>
        </w:rPr>
        <w:t xml:space="preserve"> </w:t>
      </w:r>
      <w:r w:rsidRPr="000E4F60">
        <w:rPr>
          <w:color w:val="000000"/>
        </w:rPr>
        <w:t>одредбе</w:t>
      </w:r>
      <w:r w:rsidR="007D6C85" w:rsidRPr="000E4F60">
        <w:rPr>
          <w:color w:val="000000"/>
        </w:rPr>
        <w:t xml:space="preserve"> </w:t>
      </w:r>
      <w:r w:rsidRPr="000E4F60">
        <w:rPr>
          <w:color w:val="000000"/>
        </w:rPr>
        <w:t>уговора</w:t>
      </w:r>
      <w:r w:rsidR="007D6C85" w:rsidRPr="000E4F60">
        <w:rPr>
          <w:color w:val="000000"/>
        </w:rPr>
        <w:t xml:space="preserve"> </w:t>
      </w:r>
      <w:r w:rsidRPr="000E4F60">
        <w:rPr>
          <w:color w:val="000000"/>
        </w:rPr>
        <w:t>о</w:t>
      </w:r>
      <w:r w:rsidR="007D6C85" w:rsidRPr="000E4F60">
        <w:rPr>
          <w:color w:val="000000"/>
        </w:rPr>
        <w:t xml:space="preserve"> </w:t>
      </w:r>
      <w:r w:rsidRPr="000E4F60">
        <w:rPr>
          <w:color w:val="000000"/>
        </w:rPr>
        <w:t>избегавању</w:t>
      </w:r>
      <w:r w:rsidR="007D6C85" w:rsidRPr="000E4F60">
        <w:rPr>
          <w:color w:val="000000"/>
        </w:rPr>
        <w:t xml:space="preserve"> </w:t>
      </w:r>
      <w:r w:rsidRPr="000E4F60">
        <w:rPr>
          <w:color w:val="000000"/>
        </w:rPr>
        <w:t>двоструког</w:t>
      </w:r>
      <w:r w:rsidR="007D6C85" w:rsidRPr="000E4F60">
        <w:rPr>
          <w:color w:val="000000"/>
        </w:rPr>
        <w:t xml:space="preserve"> </w:t>
      </w:r>
      <w:r w:rsidRPr="000E4F60">
        <w:rPr>
          <w:color w:val="000000"/>
        </w:rPr>
        <w:t>опорезивања</w:t>
      </w:r>
      <w:r w:rsidR="007D6C85" w:rsidRPr="000E4F60">
        <w:rPr>
          <w:color w:val="000000"/>
        </w:rPr>
        <w:t xml:space="preserve">, </w:t>
      </w:r>
      <w:r w:rsidRPr="000E4F60">
        <w:rPr>
          <w:color w:val="000000"/>
        </w:rPr>
        <w:t>а</w:t>
      </w:r>
      <w:r w:rsidR="007D6C85" w:rsidRPr="000E4F60">
        <w:rPr>
          <w:color w:val="000000"/>
        </w:rPr>
        <w:t xml:space="preserve"> </w:t>
      </w:r>
      <w:r w:rsidRPr="000E4F60">
        <w:rPr>
          <w:color w:val="000000"/>
        </w:rPr>
        <w:t>нису</w:t>
      </w:r>
      <w:r w:rsidR="007D6C85" w:rsidRPr="000E4F60">
        <w:rPr>
          <w:color w:val="000000"/>
        </w:rPr>
        <w:t xml:space="preserve"> </w:t>
      </w:r>
      <w:r w:rsidRPr="000E4F60">
        <w:rPr>
          <w:color w:val="000000"/>
        </w:rPr>
        <w:t>испуњени</w:t>
      </w:r>
      <w:r w:rsidR="007D6C85" w:rsidRPr="000E4F60">
        <w:rPr>
          <w:color w:val="000000"/>
        </w:rPr>
        <w:t xml:space="preserve"> </w:t>
      </w:r>
      <w:r w:rsidRPr="000E4F60">
        <w:rPr>
          <w:color w:val="000000"/>
        </w:rPr>
        <w:t>услови</w:t>
      </w:r>
      <w:r w:rsidR="007D6C85" w:rsidRPr="000E4F60">
        <w:rPr>
          <w:color w:val="000000"/>
        </w:rPr>
        <w:t xml:space="preserve">, </w:t>
      </w:r>
      <w:r w:rsidRPr="000E4F60">
        <w:rPr>
          <w:color w:val="000000"/>
        </w:rPr>
        <w:t>што</w:t>
      </w:r>
      <w:r w:rsidR="007D6C85" w:rsidRPr="000E4F60">
        <w:rPr>
          <w:color w:val="000000"/>
        </w:rPr>
        <w:t xml:space="preserve"> </w:t>
      </w:r>
      <w:r w:rsidRPr="000E4F60">
        <w:rPr>
          <w:color w:val="000000"/>
        </w:rPr>
        <w:t>за</w:t>
      </w:r>
      <w:r w:rsidR="007D6C85" w:rsidRPr="000E4F60">
        <w:rPr>
          <w:color w:val="000000"/>
        </w:rPr>
        <w:t xml:space="preserve"> </w:t>
      </w:r>
      <w:r w:rsidRPr="000E4F60">
        <w:rPr>
          <w:color w:val="000000"/>
        </w:rPr>
        <w:t>последицу</w:t>
      </w:r>
      <w:r w:rsidR="007D6C85" w:rsidRPr="000E4F60">
        <w:rPr>
          <w:color w:val="000000"/>
        </w:rPr>
        <w:t xml:space="preserve"> </w:t>
      </w:r>
      <w:r w:rsidRPr="000E4F60">
        <w:rPr>
          <w:color w:val="000000"/>
        </w:rPr>
        <w:t>има</w:t>
      </w:r>
      <w:r w:rsidR="007D6C85" w:rsidRPr="000E4F60">
        <w:rPr>
          <w:color w:val="000000"/>
        </w:rPr>
        <w:t xml:space="preserve"> </w:t>
      </w:r>
      <w:r w:rsidRPr="000E4F60">
        <w:rPr>
          <w:color w:val="000000"/>
        </w:rPr>
        <w:t>мање</w:t>
      </w:r>
      <w:r w:rsidR="007D6C85" w:rsidRPr="000E4F60">
        <w:rPr>
          <w:color w:val="000000"/>
        </w:rPr>
        <w:t xml:space="preserve"> </w:t>
      </w:r>
      <w:r w:rsidRPr="000E4F60">
        <w:rPr>
          <w:color w:val="000000"/>
        </w:rPr>
        <w:t>плаћени</w:t>
      </w:r>
      <w:r w:rsidR="007D6C85" w:rsidRPr="000E4F60">
        <w:rPr>
          <w:color w:val="000000"/>
        </w:rPr>
        <w:t xml:space="preserve"> </w:t>
      </w:r>
      <w:r w:rsidRPr="000E4F60">
        <w:rPr>
          <w:color w:val="000000"/>
        </w:rPr>
        <w:t>износ</w:t>
      </w:r>
      <w:r w:rsidR="007D6C85" w:rsidRPr="000E4F60">
        <w:rPr>
          <w:color w:val="000000"/>
        </w:rPr>
        <w:t xml:space="preserve"> </w:t>
      </w:r>
      <w:r w:rsidRPr="000E4F60">
        <w:rPr>
          <w:color w:val="000000"/>
        </w:rPr>
        <w:t>пореза</w:t>
      </w:r>
      <w:r w:rsidR="007D6C85" w:rsidRPr="000E4F60">
        <w:rPr>
          <w:color w:val="000000"/>
        </w:rPr>
        <w:t xml:space="preserve">, </w:t>
      </w:r>
      <w:r w:rsidRPr="000E4F60">
        <w:rPr>
          <w:color w:val="000000"/>
        </w:rPr>
        <w:t>сносиће</w:t>
      </w:r>
      <w:r w:rsidR="007D6C85" w:rsidRPr="000E4F60">
        <w:rPr>
          <w:color w:val="000000"/>
        </w:rPr>
        <w:t xml:space="preserve"> </w:t>
      </w:r>
      <w:r w:rsidRPr="000E4F60">
        <w:rPr>
          <w:color w:val="000000"/>
        </w:rPr>
        <w:t>разлику</w:t>
      </w:r>
      <w:r w:rsidR="007D6C85" w:rsidRPr="000E4F60">
        <w:rPr>
          <w:color w:val="000000"/>
        </w:rPr>
        <w:t xml:space="preserve"> </w:t>
      </w:r>
      <w:r w:rsidRPr="000E4F60">
        <w:rPr>
          <w:color w:val="000000"/>
        </w:rPr>
        <w:t>између</w:t>
      </w:r>
      <w:r w:rsidR="007D6C85" w:rsidRPr="000E4F60">
        <w:rPr>
          <w:color w:val="000000"/>
        </w:rPr>
        <w:t xml:space="preserve"> </w:t>
      </w:r>
      <w:r w:rsidRPr="000E4F60">
        <w:rPr>
          <w:color w:val="000000"/>
        </w:rPr>
        <w:t>плаћеног</w:t>
      </w:r>
      <w:r w:rsidR="007D6C85" w:rsidRPr="000E4F60">
        <w:rPr>
          <w:color w:val="000000"/>
        </w:rPr>
        <w:t xml:space="preserve"> </w:t>
      </w:r>
      <w:r w:rsidRPr="000E4F60">
        <w:rPr>
          <w:color w:val="000000"/>
        </w:rPr>
        <w:t>пореза</w:t>
      </w:r>
      <w:r w:rsidR="007D6C85" w:rsidRPr="000E4F60">
        <w:rPr>
          <w:color w:val="000000"/>
        </w:rPr>
        <w:t xml:space="preserve"> </w:t>
      </w:r>
      <w:r w:rsidRPr="000E4F60">
        <w:rPr>
          <w:color w:val="000000"/>
        </w:rPr>
        <w:t>и</w:t>
      </w:r>
      <w:r w:rsidR="007D6C85" w:rsidRPr="000E4F60">
        <w:rPr>
          <w:color w:val="000000"/>
        </w:rPr>
        <w:t xml:space="preserve"> </w:t>
      </w:r>
      <w:r w:rsidRPr="000E4F60">
        <w:rPr>
          <w:color w:val="000000"/>
        </w:rPr>
        <w:t>дугованог</w:t>
      </w:r>
      <w:r w:rsidR="007D6C85" w:rsidRPr="000E4F60">
        <w:rPr>
          <w:color w:val="000000"/>
        </w:rPr>
        <w:t xml:space="preserve"> </w:t>
      </w:r>
      <w:r w:rsidRPr="000E4F60">
        <w:rPr>
          <w:color w:val="000000"/>
        </w:rPr>
        <w:t>пореза</w:t>
      </w:r>
      <w:r w:rsidR="007D6C85" w:rsidRPr="000E4F60">
        <w:rPr>
          <w:color w:val="000000"/>
        </w:rPr>
        <w:t xml:space="preserve"> </w:t>
      </w:r>
      <w:r w:rsidRPr="000E4F60">
        <w:rPr>
          <w:color w:val="000000"/>
        </w:rPr>
        <w:t>по</w:t>
      </w:r>
      <w:r w:rsidR="007D6C85" w:rsidRPr="000E4F60">
        <w:rPr>
          <w:color w:val="000000"/>
        </w:rPr>
        <w:t xml:space="preserve"> </w:t>
      </w:r>
      <w:r w:rsidRPr="000E4F60">
        <w:rPr>
          <w:color w:val="000000"/>
        </w:rPr>
        <w:t>овом</w:t>
      </w:r>
      <w:r w:rsidR="007D6C85" w:rsidRPr="000E4F60">
        <w:rPr>
          <w:color w:val="000000"/>
        </w:rPr>
        <w:t xml:space="preserve"> </w:t>
      </w:r>
      <w:r w:rsidRPr="000E4F60">
        <w:rPr>
          <w:color w:val="000000"/>
        </w:rPr>
        <w:t>закону</w:t>
      </w:r>
      <w:r w:rsidR="007D6C85" w:rsidRPr="000E4F60">
        <w:rPr>
          <w:color w:val="000000"/>
        </w:rPr>
        <w:t>.</w:t>
      </w:r>
      <w:r w:rsidRPr="000E4F60">
        <w:rPr>
          <w:color w:val="000000"/>
          <w:lang w:val="sr-Cyrl-CS"/>
        </w:rPr>
        <w:t xml:space="preserve"> </w:t>
      </w:r>
      <w:r w:rsidRPr="000E4F60">
        <w:rPr>
          <w:color w:val="000000"/>
        </w:rPr>
        <w:t>Надлежни</w:t>
      </w:r>
      <w:r w:rsidR="007D6C85" w:rsidRPr="000E4F60">
        <w:rPr>
          <w:color w:val="000000"/>
        </w:rPr>
        <w:t xml:space="preserve"> </w:t>
      </w:r>
      <w:r w:rsidRPr="000E4F60">
        <w:rPr>
          <w:color w:val="000000"/>
        </w:rPr>
        <w:t>порески</w:t>
      </w:r>
      <w:r w:rsidR="007D6C85" w:rsidRPr="000E4F60">
        <w:rPr>
          <w:color w:val="000000"/>
        </w:rPr>
        <w:t xml:space="preserve"> </w:t>
      </w:r>
      <w:r w:rsidRPr="000E4F60">
        <w:rPr>
          <w:color w:val="000000"/>
        </w:rPr>
        <w:t>орган</w:t>
      </w:r>
      <w:r w:rsidR="007D6C85" w:rsidRPr="000E4F60">
        <w:rPr>
          <w:color w:val="000000"/>
        </w:rPr>
        <w:t xml:space="preserve">, </w:t>
      </w:r>
      <w:r w:rsidRPr="000E4F60">
        <w:rPr>
          <w:color w:val="000000"/>
        </w:rPr>
        <w:t>на</w:t>
      </w:r>
      <w:r w:rsidR="007D6C85" w:rsidRPr="000E4F60">
        <w:rPr>
          <w:color w:val="000000"/>
        </w:rPr>
        <w:t xml:space="preserve"> </w:t>
      </w:r>
      <w:r w:rsidRPr="000E4F60">
        <w:rPr>
          <w:color w:val="000000"/>
        </w:rPr>
        <w:t>захтев</w:t>
      </w:r>
      <w:r w:rsidR="007D6C85" w:rsidRPr="000E4F60">
        <w:rPr>
          <w:color w:val="000000"/>
        </w:rPr>
        <w:t xml:space="preserve"> </w:t>
      </w:r>
      <w:r w:rsidRPr="000E4F60">
        <w:rPr>
          <w:color w:val="000000"/>
        </w:rPr>
        <w:t>нерезидента</w:t>
      </w:r>
      <w:r w:rsidR="007D6C85" w:rsidRPr="000E4F60">
        <w:rPr>
          <w:color w:val="000000"/>
        </w:rPr>
        <w:t xml:space="preserve">, </w:t>
      </w:r>
      <w:r w:rsidRPr="000E4F60">
        <w:rPr>
          <w:color w:val="000000"/>
        </w:rPr>
        <w:t>дужан</w:t>
      </w:r>
      <w:r w:rsidR="007D6C85" w:rsidRPr="000E4F60">
        <w:rPr>
          <w:color w:val="000000"/>
        </w:rPr>
        <w:t xml:space="preserve"> </w:t>
      </w:r>
      <w:r w:rsidRPr="000E4F60">
        <w:rPr>
          <w:color w:val="000000"/>
        </w:rPr>
        <w:t>је</w:t>
      </w:r>
      <w:r w:rsidR="007D6C85" w:rsidRPr="000E4F60">
        <w:rPr>
          <w:color w:val="000000"/>
        </w:rPr>
        <w:t xml:space="preserve"> </w:t>
      </w:r>
      <w:r w:rsidRPr="000E4F60">
        <w:rPr>
          <w:color w:val="000000"/>
        </w:rPr>
        <w:t>да</w:t>
      </w:r>
      <w:r w:rsidR="007D6C85" w:rsidRPr="000E4F60">
        <w:rPr>
          <w:color w:val="000000"/>
        </w:rPr>
        <w:t xml:space="preserve"> </w:t>
      </w:r>
      <w:r w:rsidRPr="000E4F60">
        <w:rPr>
          <w:color w:val="000000"/>
        </w:rPr>
        <w:t>изда</w:t>
      </w:r>
      <w:r w:rsidR="007D6C85" w:rsidRPr="000E4F60">
        <w:rPr>
          <w:color w:val="000000"/>
        </w:rPr>
        <w:t xml:space="preserve"> </w:t>
      </w:r>
      <w:r w:rsidRPr="000E4F60">
        <w:rPr>
          <w:color w:val="000000"/>
        </w:rPr>
        <w:t>потврду</w:t>
      </w:r>
      <w:r w:rsidR="007D6C85" w:rsidRPr="000E4F60">
        <w:rPr>
          <w:color w:val="000000"/>
        </w:rPr>
        <w:t xml:space="preserve"> </w:t>
      </w:r>
      <w:r w:rsidRPr="000E4F60">
        <w:rPr>
          <w:color w:val="000000"/>
        </w:rPr>
        <w:t>о</w:t>
      </w:r>
      <w:r w:rsidR="007D6C85" w:rsidRPr="000E4F60">
        <w:rPr>
          <w:color w:val="000000"/>
        </w:rPr>
        <w:t xml:space="preserve"> </w:t>
      </w:r>
      <w:r w:rsidRPr="000E4F60">
        <w:rPr>
          <w:color w:val="000000"/>
        </w:rPr>
        <w:t>порезу</w:t>
      </w:r>
      <w:r w:rsidR="007D6C85" w:rsidRPr="000E4F60">
        <w:rPr>
          <w:color w:val="000000"/>
        </w:rPr>
        <w:t xml:space="preserve"> </w:t>
      </w:r>
      <w:r w:rsidRPr="000E4F60">
        <w:rPr>
          <w:color w:val="000000"/>
        </w:rPr>
        <w:t>плаћеном</w:t>
      </w:r>
      <w:r w:rsidR="007D6C85" w:rsidRPr="000E4F60">
        <w:rPr>
          <w:color w:val="000000"/>
        </w:rPr>
        <w:t xml:space="preserve"> </w:t>
      </w:r>
      <w:r w:rsidRPr="000E4F60">
        <w:rPr>
          <w:color w:val="000000"/>
        </w:rPr>
        <w:t>у</w:t>
      </w:r>
      <w:r w:rsidR="007D6C85" w:rsidRPr="000E4F60">
        <w:rPr>
          <w:color w:val="000000"/>
        </w:rPr>
        <w:t xml:space="preserve"> </w:t>
      </w:r>
      <w:r w:rsidRPr="000E4F60">
        <w:rPr>
          <w:color w:val="000000"/>
        </w:rPr>
        <w:t>Републици</w:t>
      </w:r>
      <w:r w:rsidR="007D6C85" w:rsidRPr="000E4F60">
        <w:rPr>
          <w:color w:val="000000"/>
        </w:rPr>
        <w:t>.</w:t>
      </w:r>
      <w:r w:rsidRPr="000E4F60">
        <w:rPr>
          <w:rStyle w:val="FootnoteReference"/>
          <w:color w:val="000000"/>
        </w:rPr>
        <w:footnoteReference w:id="438"/>
      </w:r>
    </w:p>
    <w:p w:rsidR="000E4F60" w:rsidRPr="000E4F60" w:rsidRDefault="000E4F60" w:rsidP="004122E2">
      <w:pPr>
        <w:pStyle w:val="normal0"/>
        <w:shd w:val="clear" w:color="auto" w:fill="FFFFFF"/>
        <w:spacing w:before="48" w:beforeAutospacing="0" w:after="48" w:afterAutospacing="0"/>
        <w:rPr>
          <w:rFonts w:ascii="Arial" w:hAnsi="Arial" w:cs="Arial"/>
          <w:color w:val="000000"/>
          <w:sz w:val="18"/>
          <w:szCs w:val="18"/>
          <w:lang w:val="sr-Cyrl-CS"/>
        </w:rPr>
      </w:pPr>
    </w:p>
    <w:p w:rsidR="00CB2C37" w:rsidRDefault="00A664B0" w:rsidP="000E4F60">
      <w:pPr>
        <w:ind w:firstLine="708"/>
        <w:jc w:val="both"/>
        <w:rPr>
          <w:rFonts w:ascii="Times New Roman" w:hAnsi="Times New Roman"/>
          <w:color w:val="000000"/>
          <w:sz w:val="24"/>
          <w:szCs w:val="24"/>
          <w:shd w:val="clear" w:color="auto" w:fill="FFFFFF"/>
          <w:lang w:val="sr-Cyrl-CS"/>
        </w:rPr>
      </w:pPr>
      <w:r>
        <w:rPr>
          <w:rFonts w:ascii="Times New Roman" w:hAnsi="Times New Roman"/>
          <w:color w:val="000000"/>
          <w:sz w:val="24"/>
          <w:szCs w:val="24"/>
          <w:shd w:val="clear" w:color="auto" w:fill="FFFFFF"/>
          <w:lang w:val="sr-Cyrl-CS"/>
        </w:rPr>
        <w:t xml:space="preserve">У </w:t>
      </w:r>
      <w:r w:rsidR="006713F6">
        <w:rPr>
          <w:rFonts w:ascii="Times New Roman" w:hAnsi="Times New Roman"/>
          <w:color w:val="000000"/>
          <w:sz w:val="24"/>
          <w:szCs w:val="24"/>
          <w:shd w:val="clear" w:color="auto" w:fill="FFFFFF"/>
          <w:lang w:val="sr-Cyrl-CS"/>
        </w:rPr>
        <w:t xml:space="preserve">савременим државама као обвезник овог пореза се узима појединац или породица, мада су последњих година све израженије тенденције напуштања заједничког опорезивања дохотка породице. У </w:t>
      </w:r>
      <w:r>
        <w:rPr>
          <w:rFonts w:ascii="Times New Roman" w:hAnsi="Times New Roman"/>
          <w:color w:val="000000"/>
          <w:sz w:val="24"/>
          <w:szCs w:val="24"/>
          <w:shd w:val="clear" w:color="auto" w:fill="FFFFFF"/>
          <w:lang w:val="sr-Cyrl-CS"/>
        </w:rPr>
        <w:t xml:space="preserve">већини </w:t>
      </w:r>
      <w:r w:rsidR="006713F6">
        <w:rPr>
          <w:rFonts w:ascii="Times New Roman" w:hAnsi="Times New Roman"/>
          <w:color w:val="000000"/>
          <w:sz w:val="24"/>
          <w:szCs w:val="24"/>
          <w:shd w:val="clear" w:color="auto" w:fill="FFFFFF"/>
          <w:lang w:val="sr-Cyrl-CS"/>
        </w:rPr>
        <w:t>земаља</w:t>
      </w:r>
      <w:r>
        <w:rPr>
          <w:rFonts w:ascii="Times New Roman" w:hAnsi="Times New Roman"/>
          <w:color w:val="000000"/>
          <w:sz w:val="24"/>
          <w:szCs w:val="24"/>
          <w:shd w:val="clear" w:color="auto" w:fill="FFFFFF"/>
          <w:lang w:val="sr-Cyrl-CS"/>
        </w:rPr>
        <w:t xml:space="preserve"> примењује се систем пореза на доходак физичких лица у којем </w:t>
      </w:r>
      <w:r w:rsidR="006713F6">
        <w:rPr>
          <w:rFonts w:ascii="Times New Roman" w:hAnsi="Times New Roman"/>
          <w:color w:val="000000"/>
          <w:sz w:val="24"/>
          <w:szCs w:val="24"/>
          <w:shd w:val="clear" w:color="auto" w:fill="FFFFFF"/>
          <w:lang w:val="sr-Cyrl-CS"/>
        </w:rPr>
        <w:t>се појединац јавља као обвезник, па</w:t>
      </w:r>
      <w:r>
        <w:rPr>
          <w:rFonts w:ascii="Times New Roman" w:hAnsi="Times New Roman"/>
          <w:color w:val="000000"/>
          <w:sz w:val="24"/>
          <w:szCs w:val="24"/>
          <w:shd w:val="clear" w:color="auto" w:fill="FFFFFF"/>
          <w:lang w:val="sr-Cyrl-CS"/>
        </w:rPr>
        <w:t xml:space="preserve"> се појединац као обвезник јавља у 20 земања ОЕЦД-а, док ј</w:t>
      </w:r>
      <w:r w:rsidR="006713F6">
        <w:rPr>
          <w:rFonts w:ascii="Times New Roman" w:hAnsi="Times New Roman"/>
          <w:color w:val="000000"/>
          <w:sz w:val="24"/>
          <w:szCs w:val="24"/>
          <w:shd w:val="clear" w:color="auto" w:fill="FFFFFF"/>
          <w:lang w:val="sr-Cyrl-CS"/>
        </w:rPr>
        <w:t>е у 10 земаља обвезник породица, а у</w:t>
      </w:r>
      <w:r>
        <w:rPr>
          <w:rFonts w:ascii="Times New Roman" w:hAnsi="Times New Roman"/>
          <w:color w:val="000000"/>
          <w:sz w:val="24"/>
          <w:szCs w:val="24"/>
          <w:shd w:val="clear" w:color="auto" w:fill="FFFFFF"/>
          <w:lang w:val="sr-Cyrl-CS"/>
        </w:rPr>
        <w:t xml:space="preserve"> две земље постоји могућност опције. </w:t>
      </w:r>
      <w:r w:rsidR="00D51C54">
        <w:rPr>
          <w:rFonts w:ascii="Times New Roman" w:hAnsi="Times New Roman"/>
          <w:color w:val="000000"/>
          <w:sz w:val="24"/>
          <w:szCs w:val="24"/>
          <w:shd w:val="clear" w:color="auto" w:fill="FFFFFF"/>
          <w:lang w:val="sr-Cyrl-CS"/>
        </w:rPr>
        <w:t>Међутим, и у случајевима када је за</w:t>
      </w:r>
      <w:r>
        <w:rPr>
          <w:rFonts w:ascii="Times New Roman" w:hAnsi="Times New Roman"/>
          <w:color w:val="000000"/>
          <w:sz w:val="24"/>
          <w:szCs w:val="24"/>
          <w:shd w:val="clear" w:color="auto" w:fill="FFFFFF"/>
          <w:lang w:val="sr-Cyrl-CS"/>
        </w:rPr>
        <w:t xml:space="preserve"> обвезника овог пореза узет појединац, системом тзв. стандардних и нестандардних одбитака </w:t>
      </w:r>
      <w:r w:rsidR="00D51C54">
        <w:rPr>
          <w:rFonts w:ascii="Times New Roman" w:hAnsi="Times New Roman"/>
          <w:color w:val="000000"/>
          <w:sz w:val="24"/>
          <w:szCs w:val="24"/>
          <w:shd w:val="clear" w:color="auto" w:fill="FFFFFF"/>
          <w:lang w:val="sr-Cyrl-CS"/>
        </w:rPr>
        <w:t xml:space="preserve">се </w:t>
      </w:r>
      <w:r>
        <w:rPr>
          <w:rFonts w:ascii="Times New Roman" w:hAnsi="Times New Roman"/>
          <w:color w:val="000000"/>
          <w:sz w:val="24"/>
          <w:szCs w:val="24"/>
          <w:shd w:val="clear" w:color="auto" w:fill="FFFFFF"/>
          <w:lang w:val="sr-Cyrl-CS"/>
        </w:rPr>
        <w:t>обухватају и уважав</w:t>
      </w:r>
      <w:r w:rsidR="00D51C54">
        <w:rPr>
          <w:rFonts w:ascii="Times New Roman" w:hAnsi="Times New Roman"/>
          <w:color w:val="000000"/>
          <w:sz w:val="24"/>
          <w:szCs w:val="24"/>
          <w:shd w:val="clear" w:color="auto" w:fill="FFFFFF"/>
          <w:lang w:val="sr-Cyrl-CS"/>
        </w:rPr>
        <w:t>ају породичне прилике обвезника. При том,</w:t>
      </w:r>
      <w:r w:rsidR="000E4F60">
        <w:rPr>
          <w:rFonts w:ascii="Times New Roman" w:hAnsi="Times New Roman"/>
          <w:color w:val="000000"/>
          <w:sz w:val="24"/>
          <w:szCs w:val="24"/>
          <w:shd w:val="clear" w:color="auto" w:fill="FFFFFF"/>
          <w:lang w:val="sr-Cyrl-CS"/>
        </w:rPr>
        <w:t xml:space="preserve"> </w:t>
      </w:r>
      <w:r>
        <w:rPr>
          <w:rFonts w:ascii="Times New Roman" w:hAnsi="Times New Roman"/>
          <w:color w:val="000000"/>
          <w:sz w:val="24"/>
          <w:szCs w:val="24"/>
          <w:shd w:val="clear" w:color="auto" w:fill="FFFFFF"/>
          <w:lang w:val="sr-Cyrl-CS"/>
        </w:rPr>
        <w:t xml:space="preserve">релевантан је укупан доходак који </w:t>
      </w:r>
      <w:r w:rsidR="00D51C54">
        <w:rPr>
          <w:rFonts w:ascii="Times New Roman" w:hAnsi="Times New Roman"/>
          <w:color w:val="000000"/>
          <w:sz w:val="24"/>
          <w:szCs w:val="24"/>
          <w:shd w:val="clear" w:color="auto" w:fill="FFFFFF"/>
          <w:lang w:val="sr-Cyrl-CS"/>
        </w:rPr>
        <w:t xml:space="preserve">појединац </w:t>
      </w:r>
      <w:r>
        <w:rPr>
          <w:rFonts w:ascii="Times New Roman" w:hAnsi="Times New Roman"/>
          <w:color w:val="000000"/>
          <w:sz w:val="24"/>
          <w:szCs w:val="24"/>
          <w:shd w:val="clear" w:color="auto" w:fill="FFFFFF"/>
          <w:lang w:val="sr-Cyrl-CS"/>
        </w:rPr>
        <w:t xml:space="preserve">остварује по свим основама, а не и на који начин њиме располаже. </w:t>
      </w:r>
      <w:r w:rsidR="00D51C54">
        <w:rPr>
          <w:rFonts w:ascii="Times New Roman" w:hAnsi="Times New Roman"/>
          <w:color w:val="000000"/>
          <w:sz w:val="24"/>
          <w:szCs w:val="24"/>
          <w:shd w:val="clear" w:color="auto" w:fill="FFFFFF"/>
          <w:lang w:val="sr-Cyrl-CS"/>
        </w:rPr>
        <w:t>Заступљени су и многобројни ставови који заговарају да за</w:t>
      </w:r>
      <w:r>
        <w:rPr>
          <w:rFonts w:ascii="Times New Roman" w:hAnsi="Times New Roman"/>
          <w:color w:val="000000"/>
          <w:sz w:val="24"/>
          <w:szCs w:val="24"/>
          <w:shd w:val="clear" w:color="auto" w:fill="FFFFFF"/>
          <w:lang w:val="sr-Cyrl-CS"/>
        </w:rPr>
        <w:t xml:space="preserve"> обвезника треба узети породицу </w:t>
      </w:r>
      <w:r w:rsidR="00D51C54">
        <w:rPr>
          <w:rFonts w:ascii="Times New Roman" w:hAnsi="Times New Roman"/>
          <w:color w:val="000000"/>
          <w:sz w:val="24"/>
          <w:szCs w:val="24"/>
          <w:shd w:val="clear" w:color="auto" w:fill="FFFFFF"/>
          <w:lang w:val="sr-Cyrl-CS"/>
        </w:rPr>
        <w:t>у ком случају би био релевантан начин располагања оствареним дохотком.</w:t>
      </w:r>
      <w:r>
        <w:rPr>
          <w:rFonts w:ascii="Times New Roman" w:hAnsi="Times New Roman"/>
          <w:color w:val="000000"/>
          <w:sz w:val="24"/>
          <w:szCs w:val="24"/>
          <w:shd w:val="clear" w:color="auto" w:fill="FFFFFF"/>
          <w:lang w:val="sr-Cyrl-CS"/>
        </w:rPr>
        <w:t xml:space="preserve"> Опорез</w:t>
      </w:r>
      <w:r w:rsidR="000E4F60">
        <w:rPr>
          <w:rFonts w:ascii="Times New Roman" w:hAnsi="Times New Roman"/>
          <w:color w:val="000000"/>
          <w:sz w:val="24"/>
          <w:szCs w:val="24"/>
          <w:shd w:val="clear" w:color="auto" w:fill="FFFFFF"/>
          <w:lang w:val="sr-Cyrl-CS"/>
        </w:rPr>
        <w:t>ивање</w:t>
      </w:r>
      <w:r w:rsidR="00D51C54">
        <w:rPr>
          <w:rFonts w:ascii="Times New Roman" w:hAnsi="Times New Roman"/>
          <w:color w:val="000000"/>
          <w:sz w:val="24"/>
          <w:szCs w:val="24"/>
          <w:shd w:val="clear" w:color="auto" w:fill="FFFFFF"/>
          <w:lang w:val="sr-Cyrl-CS"/>
        </w:rPr>
        <w:t>м</w:t>
      </w:r>
      <w:r w:rsidR="000E4F60">
        <w:rPr>
          <w:rFonts w:ascii="Times New Roman" w:hAnsi="Times New Roman"/>
          <w:color w:val="000000"/>
          <w:sz w:val="24"/>
          <w:szCs w:val="24"/>
          <w:shd w:val="clear" w:color="auto" w:fill="FFFFFF"/>
          <w:lang w:val="sr-Cyrl-CS"/>
        </w:rPr>
        <w:t xml:space="preserve"> дохотка породице </w:t>
      </w:r>
      <w:r w:rsidR="00D51C54">
        <w:rPr>
          <w:rFonts w:ascii="Times New Roman" w:hAnsi="Times New Roman"/>
          <w:color w:val="000000"/>
          <w:sz w:val="24"/>
          <w:szCs w:val="24"/>
          <w:shd w:val="clear" w:color="auto" w:fill="FFFFFF"/>
          <w:lang w:val="sr-Cyrl-CS"/>
        </w:rPr>
        <w:t>лакше би се остварио принцип</w:t>
      </w:r>
      <w:r>
        <w:rPr>
          <w:rFonts w:ascii="Times New Roman" w:hAnsi="Times New Roman"/>
          <w:color w:val="000000"/>
          <w:sz w:val="24"/>
          <w:szCs w:val="24"/>
          <w:shd w:val="clear" w:color="auto" w:fill="FFFFFF"/>
          <w:lang w:val="sr-Cyrl-CS"/>
        </w:rPr>
        <w:t xml:space="preserve"> опорезивања према економској снази</w:t>
      </w:r>
      <w:r w:rsidR="00D51C54">
        <w:rPr>
          <w:rFonts w:ascii="Times New Roman" w:hAnsi="Times New Roman"/>
          <w:color w:val="000000"/>
          <w:sz w:val="24"/>
          <w:szCs w:val="24"/>
          <w:shd w:val="clear" w:color="auto" w:fill="FFFFFF"/>
          <w:lang w:val="sr-Cyrl-CS"/>
        </w:rPr>
        <w:t xml:space="preserve"> и тиме би се осетно смањила</w:t>
      </w:r>
      <w:r>
        <w:rPr>
          <w:rFonts w:ascii="Times New Roman" w:hAnsi="Times New Roman"/>
          <w:color w:val="000000"/>
          <w:sz w:val="24"/>
          <w:szCs w:val="24"/>
          <w:shd w:val="clear" w:color="auto" w:fill="FFFFFF"/>
          <w:lang w:val="sr-Cyrl-CS"/>
        </w:rPr>
        <w:t xml:space="preserve"> евазија пореза.</w:t>
      </w:r>
      <w:r>
        <w:rPr>
          <w:rStyle w:val="FootnoteReference"/>
          <w:rFonts w:ascii="Times New Roman" w:hAnsi="Times New Roman"/>
          <w:color w:val="000000"/>
          <w:sz w:val="24"/>
          <w:szCs w:val="24"/>
          <w:shd w:val="clear" w:color="auto" w:fill="FFFFFF"/>
          <w:lang w:val="sr-Cyrl-CS"/>
        </w:rPr>
        <w:footnoteReference w:id="439"/>
      </w:r>
      <w:r>
        <w:rPr>
          <w:rFonts w:ascii="Times New Roman" w:hAnsi="Times New Roman"/>
          <w:color w:val="000000"/>
          <w:sz w:val="24"/>
          <w:szCs w:val="24"/>
          <w:shd w:val="clear" w:color="auto" w:fill="FFFFFF"/>
          <w:lang w:val="sr-Cyrl-CS"/>
        </w:rPr>
        <w:t xml:space="preserve"> </w:t>
      </w:r>
    </w:p>
    <w:p w:rsidR="00E05E09" w:rsidRDefault="00E05E09" w:rsidP="003C4DB5">
      <w:pPr>
        <w:ind w:firstLine="708"/>
        <w:jc w:val="both"/>
        <w:rPr>
          <w:rFonts w:ascii="Times New Roman" w:hAnsi="Times New Roman"/>
          <w:color w:val="000000"/>
          <w:sz w:val="24"/>
          <w:szCs w:val="24"/>
          <w:shd w:val="clear" w:color="auto" w:fill="FFFFFF"/>
          <w:lang w:val="sr-Cyrl-CS"/>
        </w:rPr>
      </w:pPr>
    </w:p>
    <w:p w:rsidR="00A664B0" w:rsidRDefault="00E05E09" w:rsidP="008A3795">
      <w:pPr>
        <w:numPr>
          <w:ilvl w:val="2"/>
          <w:numId w:val="55"/>
        </w:numPr>
        <w:jc w:val="center"/>
        <w:rPr>
          <w:rFonts w:ascii="Times New Roman" w:hAnsi="Times New Roman"/>
          <w:b/>
          <w:color w:val="000000"/>
          <w:sz w:val="24"/>
          <w:szCs w:val="24"/>
          <w:shd w:val="clear" w:color="auto" w:fill="FFFFFF"/>
          <w:lang w:val="sr-Cyrl-CS"/>
        </w:rPr>
      </w:pPr>
      <w:r>
        <w:rPr>
          <w:rFonts w:ascii="Times New Roman" w:hAnsi="Times New Roman"/>
          <w:b/>
          <w:color w:val="000000"/>
          <w:sz w:val="24"/>
          <w:szCs w:val="24"/>
          <w:shd w:val="clear" w:color="auto" w:fill="FFFFFF"/>
          <w:lang w:val="sr-Cyrl-CS"/>
        </w:rPr>
        <w:t>Пореска стопа</w:t>
      </w:r>
    </w:p>
    <w:p w:rsidR="00B22DD8" w:rsidRDefault="00B22DD8" w:rsidP="00B22DD8">
      <w:pPr>
        <w:ind w:left="2148"/>
        <w:rPr>
          <w:rFonts w:ascii="Times New Roman" w:hAnsi="Times New Roman"/>
          <w:b/>
          <w:color w:val="000000"/>
          <w:sz w:val="24"/>
          <w:szCs w:val="24"/>
          <w:shd w:val="clear" w:color="auto" w:fill="FFFFFF"/>
          <w:lang w:val="sr-Cyrl-CS"/>
        </w:rPr>
      </w:pPr>
    </w:p>
    <w:p w:rsidR="00A664B0" w:rsidRPr="00101AD2" w:rsidRDefault="000E4F60" w:rsidP="00101AD2">
      <w:pPr>
        <w:ind w:firstLine="708"/>
        <w:jc w:val="both"/>
        <w:rPr>
          <w:rFonts w:ascii="Times New Roman" w:hAnsi="Times New Roman"/>
          <w:color w:val="000000"/>
          <w:sz w:val="24"/>
          <w:szCs w:val="24"/>
          <w:shd w:val="clear" w:color="auto" w:fill="FFFFFF"/>
          <w:lang w:val="sr-Cyrl-CS"/>
        </w:rPr>
      </w:pPr>
      <w:r w:rsidRPr="00101AD2">
        <w:rPr>
          <w:rFonts w:ascii="Times New Roman" w:hAnsi="Times New Roman"/>
          <w:color w:val="000000"/>
          <w:sz w:val="24"/>
          <w:szCs w:val="24"/>
          <w:shd w:val="clear" w:color="auto" w:fill="FFFFFF"/>
          <w:lang w:val="sr-Cyrl-CS"/>
        </w:rPr>
        <w:t xml:space="preserve">Према ЗПДГ прописане су различите пореске стопе у зависности од врсте прихода, па се тако </w:t>
      </w:r>
      <w:r w:rsidRPr="00101AD2">
        <w:rPr>
          <w:rFonts w:ascii="Times New Roman" w:hAnsi="Times New Roman"/>
          <w:color w:val="000000"/>
          <w:sz w:val="24"/>
          <w:szCs w:val="24"/>
          <w:lang w:val="sr-Cyrl-CS"/>
        </w:rPr>
        <w:t>з</w:t>
      </w:r>
      <w:r w:rsidR="00101AD2" w:rsidRPr="00101AD2">
        <w:rPr>
          <w:rFonts w:ascii="Times New Roman" w:hAnsi="Times New Roman"/>
          <w:color w:val="000000"/>
          <w:sz w:val="24"/>
          <w:szCs w:val="24"/>
        </w:rPr>
        <w:t>арада</w:t>
      </w:r>
      <w:r w:rsidR="00B22DD8" w:rsidRPr="00101AD2">
        <w:rPr>
          <w:rFonts w:ascii="Times New Roman" w:hAnsi="Times New Roman"/>
          <w:color w:val="000000"/>
          <w:sz w:val="24"/>
          <w:szCs w:val="24"/>
        </w:rPr>
        <w:t xml:space="preserve"> </w:t>
      </w:r>
      <w:r w:rsidR="00A664B0" w:rsidRPr="00101AD2">
        <w:rPr>
          <w:rFonts w:ascii="Times New Roman" w:hAnsi="Times New Roman"/>
          <w:color w:val="000000"/>
          <w:sz w:val="24"/>
          <w:szCs w:val="24"/>
        </w:rPr>
        <w:t xml:space="preserve"> </w:t>
      </w:r>
      <w:r w:rsidR="00101AD2" w:rsidRPr="00101AD2">
        <w:rPr>
          <w:rFonts w:ascii="Times New Roman" w:hAnsi="Times New Roman"/>
          <w:color w:val="000000"/>
          <w:sz w:val="24"/>
          <w:szCs w:val="24"/>
        </w:rPr>
        <w:t>опорезује</w:t>
      </w:r>
      <w:r w:rsidR="00A664B0" w:rsidRPr="00101AD2">
        <w:rPr>
          <w:rFonts w:ascii="Times New Roman" w:hAnsi="Times New Roman"/>
          <w:color w:val="000000"/>
          <w:sz w:val="24"/>
          <w:szCs w:val="24"/>
        </w:rPr>
        <w:t xml:space="preserve"> </w:t>
      </w:r>
      <w:r w:rsidR="00101AD2" w:rsidRPr="00101AD2">
        <w:rPr>
          <w:rFonts w:ascii="Times New Roman" w:hAnsi="Times New Roman"/>
          <w:color w:val="000000"/>
          <w:sz w:val="24"/>
          <w:szCs w:val="24"/>
        </w:rPr>
        <w:t>се</w:t>
      </w:r>
      <w:r w:rsidR="00A664B0" w:rsidRPr="00101AD2">
        <w:rPr>
          <w:rFonts w:ascii="Times New Roman" w:hAnsi="Times New Roman"/>
          <w:color w:val="000000"/>
          <w:sz w:val="24"/>
          <w:szCs w:val="24"/>
        </w:rPr>
        <w:t xml:space="preserve"> </w:t>
      </w:r>
      <w:r w:rsidR="00101AD2" w:rsidRPr="00101AD2">
        <w:rPr>
          <w:rFonts w:ascii="Times New Roman" w:hAnsi="Times New Roman"/>
          <w:color w:val="000000"/>
          <w:sz w:val="24"/>
          <w:szCs w:val="24"/>
        </w:rPr>
        <w:t>по</w:t>
      </w:r>
      <w:r w:rsidR="00A664B0" w:rsidRPr="00101AD2">
        <w:rPr>
          <w:rFonts w:ascii="Times New Roman" w:hAnsi="Times New Roman"/>
          <w:color w:val="000000"/>
          <w:sz w:val="24"/>
          <w:szCs w:val="24"/>
        </w:rPr>
        <w:t xml:space="preserve"> </w:t>
      </w:r>
      <w:r w:rsidR="00101AD2" w:rsidRPr="00101AD2">
        <w:rPr>
          <w:rFonts w:ascii="Times New Roman" w:hAnsi="Times New Roman"/>
          <w:color w:val="000000"/>
          <w:sz w:val="24"/>
          <w:szCs w:val="24"/>
        </w:rPr>
        <w:t>стопи</w:t>
      </w:r>
      <w:r w:rsidR="00A664B0" w:rsidRPr="00101AD2">
        <w:rPr>
          <w:rFonts w:ascii="Times New Roman" w:hAnsi="Times New Roman"/>
          <w:color w:val="000000"/>
          <w:sz w:val="24"/>
          <w:szCs w:val="24"/>
        </w:rPr>
        <w:t xml:space="preserve"> </w:t>
      </w:r>
      <w:r w:rsidR="00101AD2" w:rsidRPr="00101AD2">
        <w:rPr>
          <w:rFonts w:ascii="Times New Roman" w:hAnsi="Times New Roman"/>
          <w:color w:val="000000"/>
          <w:sz w:val="24"/>
          <w:szCs w:val="24"/>
        </w:rPr>
        <w:t>од</w:t>
      </w:r>
      <w:r w:rsidR="00A664B0" w:rsidRPr="00101AD2">
        <w:rPr>
          <w:rFonts w:ascii="Times New Roman" w:hAnsi="Times New Roman"/>
          <w:color w:val="000000"/>
          <w:sz w:val="24"/>
          <w:szCs w:val="24"/>
        </w:rPr>
        <w:t xml:space="preserve"> 10%.</w:t>
      </w:r>
      <w:r w:rsidR="00B22DD8" w:rsidRPr="00101AD2">
        <w:rPr>
          <w:rStyle w:val="FootnoteReference"/>
          <w:rFonts w:ascii="Times New Roman" w:hAnsi="Times New Roman"/>
          <w:color w:val="000000"/>
          <w:sz w:val="24"/>
          <w:szCs w:val="24"/>
        </w:rPr>
        <w:footnoteReference w:id="440"/>
      </w:r>
      <w:r w:rsidR="00B22DD8" w:rsidRPr="00101AD2">
        <w:rPr>
          <w:rFonts w:ascii="Times New Roman" w:hAnsi="Times New Roman"/>
          <w:color w:val="000000"/>
          <w:sz w:val="24"/>
          <w:szCs w:val="24"/>
          <w:lang w:val="sr-Cyrl-CS"/>
        </w:rPr>
        <w:t xml:space="preserve"> </w:t>
      </w:r>
      <w:r w:rsidR="00101AD2" w:rsidRPr="00101AD2">
        <w:rPr>
          <w:rFonts w:ascii="Times New Roman" w:hAnsi="Times New Roman"/>
          <w:color w:val="000000"/>
          <w:sz w:val="24"/>
          <w:szCs w:val="24"/>
        </w:rPr>
        <w:t>Стопа</w:t>
      </w:r>
      <w:r w:rsidR="00A664B0" w:rsidRPr="00101AD2">
        <w:rPr>
          <w:rFonts w:ascii="Times New Roman" w:hAnsi="Times New Roman"/>
          <w:color w:val="000000"/>
          <w:sz w:val="24"/>
          <w:szCs w:val="24"/>
        </w:rPr>
        <w:t xml:space="preserve"> </w:t>
      </w:r>
      <w:r w:rsidR="00101AD2" w:rsidRPr="00101AD2">
        <w:rPr>
          <w:rFonts w:ascii="Times New Roman" w:hAnsi="Times New Roman"/>
          <w:color w:val="000000"/>
          <w:sz w:val="24"/>
          <w:szCs w:val="24"/>
        </w:rPr>
        <w:t>пореза</w:t>
      </w:r>
      <w:r w:rsidR="00A664B0" w:rsidRPr="00101AD2">
        <w:rPr>
          <w:rFonts w:ascii="Times New Roman" w:hAnsi="Times New Roman"/>
          <w:color w:val="000000"/>
          <w:sz w:val="24"/>
          <w:szCs w:val="24"/>
        </w:rPr>
        <w:t xml:space="preserve"> </w:t>
      </w:r>
      <w:r w:rsidR="00101AD2" w:rsidRPr="00101AD2">
        <w:rPr>
          <w:rFonts w:ascii="Times New Roman" w:hAnsi="Times New Roman"/>
          <w:color w:val="000000"/>
          <w:sz w:val="24"/>
          <w:szCs w:val="24"/>
        </w:rPr>
        <w:t>на</w:t>
      </w:r>
      <w:r w:rsidR="00A664B0" w:rsidRPr="00101AD2">
        <w:rPr>
          <w:rFonts w:ascii="Times New Roman" w:hAnsi="Times New Roman"/>
          <w:color w:val="000000"/>
          <w:sz w:val="24"/>
          <w:szCs w:val="24"/>
        </w:rPr>
        <w:t xml:space="preserve"> </w:t>
      </w:r>
      <w:r w:rsidR="00101AD2" w:rsidRPr="00101AD2">
        <w:rPr>
          <w:rFonts w:ascii="Times New Roman" w:hAnsi="Times New Roman"/>
          <w:color w:val="000000"/>
          <w:sz w:val="24"/>
          <w:szCs w:val="24"/>
        </w:rPr>
        <w:t>приходе</w:t>
      </w:r>
      <w:r w:rsidR="00A664B0" w:rsidRPr="00101AD2">
        <w:rPr>
          <w:rFonts w:ascii="Times New Roman" w:hAnsi="Times New Roman"/>
          <w:color w:val="000000"/>
          <w:sz w:val="24"/>
          <w:szCs w:val="24"/>
        </w:rPr>
        <w:t xml:space="preserve"> </w:t>
      </w:r>
      <w:r w:rsidR="00101AD2" w:rsidRPr="00101AD2">
        <w:rPr>
          <w:rFonts w:ascii="Times New Roman" w:hAnsi="Times New Roman"/>
          <w:color w:val="000000"/>
          <w:sz w:val="24"/>
          <w:szCs w:val="24"/>
        </w:rPr>
        <w:t>од</w:t>
      </w:r>
      <w:r w:rsidR="00A664B0" w:rsidRPr="00101AD2">
        <w:rPr>
          <w:rFonts w:ascii="Times New Roman" w:hAnsi="Times New Roman"/>
          <w:color w:val="000000"/>
          <w:sz w:val="24"/>
          <w:szCs w:val="24"/>
        </w:rPr>
        <w:t xml:space="preserve"> </w:t>
      </w:r>
      <w:r w:rsidR="00101AD2" w:rsidRPr="00101AD2">
        <w:rPr>
          <w:rFonts w:ascii="Times New Roman" w:hAnsi="Times New Roman"/>
          <w:color w:val="000000"/>
          <w:sz w:val="24"/>
          <w:szCs w:val="24"/>
        </w:rPr>
        <w:lastRenderedPageBreak/>
        <w:t>самосталне</w:t>
      </w:r>
      <w:r w:rsidR="00A664B0" w:rsidRPr="00101AD2">
        <w:rPr>
          <w:rFonts w:ascii="Times New Roman" w:hAnsi="Times New Roman"/>
          <w:color w:val="000000"/>
          <w:sz w:val="24"/>
          <w:szCs w:val="24"/>
        </w:rPr>
        <w:t xml:space="preserve"> </w:t>
      </w:r>
      <w:r w:rsidR="00101AD2" w:rsidRPr="00101AD2">
        <w:rPr>
          <w:rFonts w:ascii="Times New Roman" w:hAnsi="Times New Roman"/>
          <w:color w:val="000000"/>
          <w:sz w:val="24"/>
          <w:szCs w:val="24"/>
        </w:rPr>
        <w:t>делатности</w:t>
      </w:r>
      <w:r w:rsidR="00A664B0" w:rsidRPr="00101AD2">
        <w:rPr>
          <w:rFonts w:ascii="Times New Roman" w:hAnsi="Times New Roman"/>
          <w:color w:val="000000"/>
          <w:sz w:val="24"/>
          <w:szCs w:val="24"/>
        </w:rPr>
        <w:t xml:space="preserve"> </w:t>
      </w:r>
      <w:r w:rsidR="00101AD2" w:rsidRPr="00101AD2">
        <w:rPr>
          <w:rFonts w:ascii="Times New Roman" w:hAnsi="Times New Roman"/>
          <w:color w:val="000000"/>
          <w:sz w:val="24"/>
          <w:szCs w:val="24"/>
        </w:rPr>
        <w:t>износи</w:t>
      </w:r>
      <w:r w:rsidR="00A664B0" w:rsidRPr="00101AD2">
        <w:rPr>
          <w:rFonts w:ascii="Times New Roman" w:hAnsi="Times New Roman"/>
          <w:color w:val="000000"/>
          <w:sz w:val="24"/>
          <w:szCs w:val="24"/>
        </w:rPr>
        <w:t xml:space="preserve"> 10%.</w:t>
      </w:r>
      <w:r w:rsidR="00B22DD8" w:rsidRPr="00101AD2">
        <w:rPr>
          <w:rStyle w:val="FootnoteReference"/>
          <w:rFonts w:ascii="Times New Roman" w:hAnsi="Times New Roman"/>
          <w:color w:val="000000"/>
          <w:sz w:val="24"/>
          <w:szCs w:val="24"/>
        </w:rPr>
        <w:footnoteReference w:id="441"/>
      </w:r>
      <w:r w:rsidR="00B22DD8" w:rsidRPr="00101AD2">
        <w:rPr>
          <w:rFonts w:ascii="Times New Roman" w:hAnsi="Times New Roman"/>
          <w:color w:val="000000"/>
          <w:sz w:val="24"/>
          <w:szCs w:val="24"/>
          <w:lang w:val="sr-Cyrl-CS"/>
        </w:rPr>
        <w:t xml:space="preserve"> </w:t>
      </w:r>
      <w:r w:rsidR="00101AD2" w:rsidRPr="00101AD2">
        <w:rPr>
          <w:rFonts w:ascii="Times New Roman" w:hAnsi="Times New Roman"/>
          <w:color w:val="000000"/>
          <w:sz w:val="24"/>
          <w:szCs w:val="24"/>
        </w:rPr>
        <w:t>Стопа</w:t>
      </w:r>
      <w:r w:rsidR="00A664B0" w:rsidRPr="00101AD2">
        <w:rPr>
          <w:rFonts w:ascii="Times New Roman" w:hAnsi="Times New Roman"/>
          <w:color w:val="000000"/>
          <w:sz w:val="24"/>
          <w:szCs w:val="24"/>
        </w:rPr>
        <w:t xml:space="preserve"> </w:t>
      </w:r>
      <w:r w:rsidR="00101AD2" w:rsidRPr="00101AD2">
        <w:rPr>
          <w:rFonts w:ascii="Times New Roman" w:hAnsi="Times New Roman"/>
          <w:color w:val="000000"/>
          <w:sz w:val="24"/>
          <w:szCs w:val="24"/>
        </w:rPr>
        <w:t>пореза</w:t>
      </w:r>
      <w:r w:rsidR="00A664B0" w:rsidRPr="00101AD2">
        <w:rPr>
          <w:rFonts w:ascii="Times New Roman" w:hAnsi="Times New Roman"/>
          <w:color w:val="000000"/>
          <w:sz w:val="24"/>
          <w:szCs w:val="24"/>
        </w:rPr>
        <w:t xml:space="preserve"> </w:t>
      </w:r>
      <w:r w:rsidR="00101AD2" w:rsidRPr="00101AD2">
        <w:rPr>
          <w:rFonts w:ascii="Times New Roman" w:hAnsi="Times New Roman"/>
          <w:color w:val="000000"/>
          <w:sz w:val="24"/>
          <w:szCs w:val="24"/>
        </w:rPr>
        <w:t>на</w:t>
      </w:r>
      <w:r w:rsidR="00A664B0" w:rsidRPr="00101AD2">
        <w:rPr>
          <w:rFonts w:ascii="Times New Roman" w:hAnsi="Times New Roman"/>
          <w:color w:val="000000"/>
          <w:sz w:val="24"/>
          <w:szCs w:val="24"/>
        </w:rPr>
        <w:t xml:space="preserve"> </w:t>
      </w:r>
      <w:r w:rsidR="00101AD2" w:rsidRPr="00101AD2">
        <w:rPr>
          <w:rFonts w:ascii="Times New Roman" w:hAnsi="Times New Roman"/>
          <w:color w:val="000000"/>
          <w:sz w:val="24"/>
          <w:szCs w:val="24"/>
        </w:rPr>
        <w:t>приходе</w:t>
      </w:r>
      <w:r w:rsidR="00A664B0" w:rsidRPr="00101AD2">
        <w:rPr>
          <w:rFonts w:ascii="Times New Roman" w:hAnsi="Times New Roman"/>
          <w:color w:val="000000"/>
          <w:sz w:val="24"/>
          <w:szCs w:val="24"/>
        </w:rPr>
        <w:t xml:space="preserve"> </w:t>
      </w:r>
      <w:r w:rsidR="00101AD2" w:rsidRPr="00101AD2">
        <w:rPr>
          <w:rFonts w:ascii="Times New Roman" w:hAnsi="Times New Roman"/>
          <w:color w:val="000000"/>
          <w:sz w:val="24"/>
          <w:szCs w:val="24"/>
        </w:rPr>
        <w:t>од</w:t>
      </w:r>
      <w:r w:rsidR="00A664B0" w:rsidRPr="00101AD2">
        <w:rPr>
          <w:rFonts w:ascii="Times New Roman" w:hAnsi="Times New Roman"/>
          <w:color w:val="000000"/>
          <w:sz w:val="24"/>
          <w:szCs w:val="24"/>
        </w:rPr>
        <w:t xml:space="preserve"> </w:t>
      </w:r>
      <w:r w:rsidR="00101AD2" w:rsidRPr="00101AD2">
        <w:rPr>
          <w:rFonts w:ascii="Times New Roman" w:hAnsi="Times New Roman"/>
          <w:color w:val="000000"/>
          <w:sz w:val="24"/>
          <w:szCs w:val="24"/>
        </w:rPr>
        <w:t>ауторских</w:t>
      </w:r>
      <w:r w:rsidR="00A664B0" w:rsidRPr="00101AD2">
        <w:rPr>
          <w:rFonts w:ascii="Times New Roman" w:hAnsi="Times New Roman"/>
          <w:color w:val="000000"/>
          <w:sz w:val="24"/>
          <w:szCs w:val="24"/>
        </w:rPr>
        <w:t xml:space="preserve"> </w:t>
      </w:r>
      <w:r w:rsidR="00101AD2" w:rsidRPr="00101AD2">
        <w:rPr>
          <w:rFonts w:ascii="Times New Roman" w:hAnsi="Times New Roman"/>
          <w:color w:val="000000"/>
          <w:sz w:val="24"/>
          <w:szCs w:val="24"/>
        </w:rPr>
        <w:t>и</w:t>
      </w:r>
      <w:r w:rsidR="00A664B0" w:rsidRPr="00101AD2">
        <w:rPr>
          <w:rFonts w:ascii="Times New Roman" w:hAnsi="Times New Roman"/>
          <w:color w:val="000000"/>
          <w:sz w:val="24"/>
          <w:szCs w:val="24"/>
        </w:rPr>
        <w:t xml:space="preserve"> </w:t>
      </w:r>
      <w:r w:rsidR="00101AD2" w:rsidRPr="00101AD2">
        <w:rPr>
          <w:rFonts w:ascii="Times New Roman" w:hAnsi="Times New Roman"/>
          <w:color w:val="000000"/>
          <w:sz w:val="24"/>
          <w:szCs w:val="24"/>
        </w:rPr>
        <w:t>сродних</w:t>
      </w:r>
      <w:r w:rsidR="00A664B0" w:rsidRPr="00101AD2">
        <w:rPr>
          <w:rFonts w:ascii="Times New Roman" w:hAnsi="Times New Roman"/>
          <w:color w:val="000000"/>
          <w:sz w:val="24"/>
          <w:szCs w:val="24"/>
        </w:rPr>
        <w:t xml:space="preserve"> </w:t>
      </w:r>
      <w:r w:rsidR="00101AD2" w:rsidRPr="00101AD2">
        <w:rPr>
          <w:rFonts w:ascii="Times New Roman" w:hAnsi="Times New Roman"/>
          <w:color w:val="000000"/>
          <w:sz w:val="24"/>
          <w:szCs w:val="24"/>
        </w:rPr>
        <w:t>права</w:t>
      </w:r>
      <w:r w:rsidR="00A664B0" w:rsidRPr="00101AD2">
        <w:rPr>
          <w:rFonts w:ascii="Times New Roman" w:hAnsi="Times New Roman"/>
          <w:color w:val="000000"/>
          <w:sz w:val="24"/>
          <w:szCs w:val="24"/>
        </w:rPr>
        <w:t xml:space="preserve"> </w:t>
      </w:r>
      <w:r w:rsidR="00101AD2" w:rsidRPr="00101AD2">
        <w:rPr>
          <w:rFonts w:ascii="Times New Roman" w:hAnsi="Times New Roman"/>
          <w:color w:val="000000"/>
          <w:sz w:val="24"/>
          <w:szCs w:val="24"/>
        </w:rPr>
        <w:t>и</w:t>
      </w:r>
      <w:r w:rsidR="00A664B0" w:rsidRPr="00101AD2">
        <w:rPr>
          <w:rFonts w:ascii="Times New Roman" w:hAnsi="Times New Roman"/>
          <w:color w:val="000000"/>
          <w:sz w:val="24"/>
          <w:szCs w:val="24"/>
        </w:rPr>
        <w:t xml:space="preserve"> </w:t>
      </w:r>
      <w:r w:rsidR="00101AD2" w:rsidRPr="00101AD2">
        <w:rPr>
          <w:rFonts w:ascii="Times New Roman" w:hAnsi="Times New Roman"/>
          <w:color w:val="000000"/>
          <w:sz w:val="24"/>
          <w:szCs w:val="24"/>
        </w:rPr>
        <w:t>права</w:t>
      </w:r>
      <w:r w:rsidR="00A664B0" w:rsidRPr="00101AD2">
        <w:rPr>
          <w:rFonts w:ascii="Times New Roman" w:hAnsi="Times New Roman"/>
          <w:color w:val="000000"/>
          <w:sz w:val="24"/>
          <w:szCs w:val="24"/>
        </w:rPr>
        <w:t xml:space="preserve"> </w:t>
      </w:r>
      <w:r w:rsidR="00101AD2" w:rsidRPr="00101AD2">
        <w:rPr>
          <w:rFonts w:ascii="Times New Roman" w:hAnsi="Times New Roman"/>
          <w:color w:val="000000"/>
          <w:sz w:val="24"/>
          <w:szCs w:val="24"/>
        </w:rPr>
        <w:t>индустријске</w:t>
      </w:r>
      <w:r w:rsidR="00A664B0" w:rsidRPr="00101AD2">
        <w:rPr>
          <w:rFonts w:ascii="Times New Roman" w:hAnsi="Times New Roman"/>
          <w:color w:val="000000"/>
          <w:sz w:val="24"/>
          <w:szCs w:val="24"/>
        </w:rPr>
        <w:t xml:space="preserve"> </w:t>
      </w:r>
      <w:r w:rsidR="00101AD2" w:rsidRPr="00101AD2">
        <w:rPr>
          <w:rFonts w:ascii="Times New Roman" w:hAnsi="Times New Roman"/>
          <w:color w:val="000000"/>
          <w:sz w:val="24"/>
          <w:szCs w:val="24"/>
        </w:rPr>
        <w:t>својине</w:t>
      </w:r>
      <w:r w:rsidR="00A664B0" w:rsidRPr="00101AD2">
        <w:rPr>
          <w:rFonts w:ascii="Times New Roman" w:hAnsi="Times New Roman"/>
          <w:color w:val="000000"/>
          <w:sz w:val="24"/>
          <w:szCs w:val="24"/>
        </w:rPr>
        <w:t xml:space="preserve"> </w:t>
      </w:r>
      <w:r w:rsidR="00101AD2" w:rsidRPr="00101AD2">
        <w:rPr>
          <w:rFonts w:ascii="Times New Roman" w:hAnsi="Times New Roman"/>
          <w:color w:val="000000"/>
          <w:sz w:val="24"/>
          <w:szCs w:val="24"/>
        </w:rPr>
        <w:t>износи</w:t>
      </w:r>
      <w:r w:rsidR="00A664B0" w:rsidRPr="00101AD2">
        <w:rPr>
          <w:rFonts w:ascii="Times New Roman" w:hAnsi="Times New Roman"/>
          <w:color w:val="000000"/>
          <w:sz w:val="24"/>
          <w:szCs w:val="24"/>
        </w:rPr>
        <w:t xml:space="preserve"> 20%.</w:t>
      </w:r>
      <w:r w:rsidR="00B22DD8" w:rsidRPr="00101AD2">
        <w:rPr>
          <w:rStyle w:val="FootnoteReference"/>
          <w:rFonts w:ascii="Times New Roman" w:hAnsi="Times New Roman"/>
          <w:color w:val="000000"/>
          <w:sz w:val="24"/>
          <w:szCs w:val="24"/>
        </w:rPr>
        <w:footnoteReference w:id="442"/>
      </w:r>
      <w:r w:rsidR="00B22DD8" w:rsidRPr="00101AD2">
        <w:rPr>
          <w:rFonts w:ascii="Times New Roman" w:hAnsi="Times New Roman"/>
          <w:color w:val="000000"/>
          <w:sz w:val="24"/>
          <w:szCs w:val="24"/>
          <w:lang w:val="sr-Cyrl-CS"/>
        </w:rPr>
        <w:t xml:space="preserve"> </w:t>
      </w:r>
      <w:r w:rsidR="00101AD2" w:rsidRPr="00101AD2">
        <w:rPr>
          <w:rFonts w:ascii="Times New Roman" w:hAnsi="Times New Roman"/>
          <w:color w:val="000000"/>
          <w:sz w:val="24"/>
          <w:szCs w:val="24"/>
        </w:rPr>
        <w:t>Стопа</w:t>
      </w:r>
      <w:r w:rsidR="00A664B0" w:rsidRPr="00101AD2">
        <w:rPr>
          <w:rFonts w:ascii="Times New Roman" w:hAnsi="Times New Roman"/>
          <w:color w:val="000000"/>
          <w:sz w:val="24"/>
          <w:szCs w:val="24"/>
        </w:rPr>
        <w:t xml:space="preserve"> </w:t>
      </w:r>
      <w:r w:rsidR="00101AD2" w:rsidRPr="00101AD2">
        <w:rPr>
          <w:rFonts w:ascii="Times New Roman" w:hAnsi="Times New Roman"/>
          <w:color w:val="000000"/>
          <w:sz w:val="24"/>
          <w:szCs w:val="24"/>
        </w:rPr>
        <w:t>пореза</w:t>
      </w:r>
      <w:r w:rsidR="00A664B0" w:rsidRPr="00101AD2">
        <w:rPr>
          <w:rFonts w:ascii="Times New Roman" w:hAnsi="Times New Roman"/>
          <w:color w:val="000000"/>
          <w:sz w:val="24"/>
          <w:szCs w:val="24"/>
        </w:rPr>
        <w:t xml:space="preserve"> </w:t>
      </w:r>
      <w:r w:rsidR="00101AD2" w:rsidRPr="00101AD2">
        <w:rPr>
          <w:rFonts w:ascii="Times New Roman" w:hAnsi="Times New Roman"/>
          <w:color w:val="000000"/>
          <w:sz w:val="24"/>
          <w:szCs w:val="24"/>
        </w:rPr>
        <w:t>на</w:t>
      </w:r>
      <w:r w:rsidR="00A664B0" w:rsidRPr="00101AD2">
        <w:rPr>
          <w:rFonts w:ascii="Times New Roman" w:hAnsi="Times New Roman"/>
          <w:color w:val="000000"/>
          <w:sz w:val="24"/>
          <w:szCs w:val="24"/>
        </w:rPr>
        <w:t xml:space="preserve"> </w:t>
      </w:r>
      <w:r w:rsidR="00101AD2" w:rsidRPr="00101AD2">
        <w:rPr>
          <w:rFonts w:ascii="Times New Roman" w:hAnsi="Times New Roman"/>
          <w:color w:val="000000"/>
          <w:sz w:val="24"/>
          <w:szCs w:val="24"/>
        </w:rPr>
        <w:t>приходе</w:t>
      </w:r>
      <w:r w:rsidR="00A664B0" w:rsidRPr="00101AD2">
        <w:rPr>
          <w:rFonts w:ascii="Times New Roman" w:hAnsi="Times New Roman"/>
          <w:color w:val="000000"/>
          <w:sz w:val="24"/>
          <w:szCs w:val="24"/>
        </w:rPr>
        <w:t xml:space="preserve"> </w:t>
      </w:r>
      <w:r w:rsidR="00101AD2" w:rsidRPr="00101AD2">
        <w:rPr>
          <w:rFonts w:ascii="Times New Roman" w:hAnsi="Times New Roman"/>
          <w:color w:val="000000"/>
          <w:sz w:val="24"/>
          <w:szCs w:val="24"/>
        </w:rPr>
        <w:t>од</w:t>
      </w:r>
      <w:r w:rsidR="00A664B0" w:rsidRPr="00101AD2">
        <w:rPr>
          <w:rFonts w:ascii="Times New Roman" w:hAnsi="Times New Roman"/>
          <w:color w:val="000000"/>
          <w:sz w:val="24"/>
          <w:szCs w:val="24"/>
        </w:rPr>
        <w:t xml:space="preserve"> </w:t>
      </w:r>
      <w:r w:rsidR="00101AD2" w:rsidRPr="00101AD2">
        <w:rPr>
          <w:rFonts w:ascii="Times New Roman" w:hAnsi="Times New Roman"/>
          <w:color w:val="000000"/>
          <w:sz w:val="24"/>
          <w:szCs w:val="24"/>
        </w:rPr>
        <w:t>капитала</w:t>
      </w:r>
      <w:r w:rsidR="00A664B0" w:rsidRPr="00101AD2">
        <w:rPr>
          <w:rFonts w:ascii="Times New Roman" w:hAnsi="Times New Roman"/>
          <w:color w:val="000000"/>
          <w:sz w:val="24"/>
          <w:szCs w:val="24"/>
        </w:rPr>
        <w:t xml:space="preserve"> </w:t>
      </w:r>
      <w:r w:rsidR="00101AD2" w:rsidRPr="00101AD2">
        <w:rPr>
          <w:rFonts w:ascii="Times New Roman" w:hAnsi="Times New Roman"/>
          <w:color w:val="000000"/>
          <w:sz w:val="24"/>
          <w:szCs w:val="24"/>
        </w:rPr>
        <w:t>износи</w:t>
      </w:r>
      <w:r w:rsidR="00A664B0" w:rsidRPr="00101AD2">
        <w:rPr>
          <w:rFonts w:ascii="Times New Roman" w:hAnsi="Times New Roman"/>
          <w:color w:val="000000"/>
          <w:sz w:val="24"/>
          <w:szCs w:val="24"/>
        </w:rPr>
        <w:t xml:space="preserve"> 15%.</w:t>
      </w:r>
      <w:r w:rsidR="00B22DD8" w:rsidRPr="00101AD2">
        <w:rPr>
          <w:rFonts w:ascii="Times New Roman" w:hAnsi="Times New Roman"/>
          <w:color w:val="000000"/>
          <w:sz w:val="24"/>
          <w:szCs w:val="24"/>
          <w:lang w:val="sr-Cyrl-CS"/>
        </w:rPr>
        <w:t xml:space="preserve"> </w:t>
      </w:r>
      <w:r w:rsidR="00101AD2" w:rsidRPr="00101AD2">
        <w:rPr>
          <w:rFonts w:ascii="Times New Roman" w:hAnsi="Times New Roman"/>
          <w:color w:val="000000"/>
          <w:sz w:val="24"/>
          <w:szCs w:val="24"/>
        </w:rPr>
        <w:t>Изузетно</w:t>
      </w:r>
      <w:r w:rsidR="00A664B0" w:rsidRPr="00101AD2">
        <w:rPr>
          <w:rFonts w:ascii="Times New Roman" w:hAnsi="Times New Roman"/>
          <w:color w:val="000000"/>
          <w:sz w:val="24"/>
          <w:szCs w:val="24"/>
        </w:rPr>
        <w:t xml:space="preserve">, </w:t>
      </w:r>
      <w:r w:rsidR="00101AD2" w:rsidRPr="00101AD2">
        <w:rPr>
          <w:rFonts w:ascii="Times New Roman" w:hAnsi="Times New Roman"/>
          <w:color w:val="000000"/>
          <w:sz w:val="24"/>
          <w:szCs w:val="24"/>
        </w:rPr>
        <w:t>стопа</w:t>
      </w:r>
      <w:r w:rsidR="00A664B0" w:rsidRPr="00101AD2">
        <w:rPr>
          <w:rFonts w:ascii="Times New Roman" w:hAnsi="Times New Roman"/>
          <w:color w:val="000000"/>
          <w:sz w:val="24"/>
          <w:szCs w:val="24"/>
        </w:rPr>
        <w:t xml:space="preserve"> </w:t>
      </w:r>
      <w:r w:rsidR="00101AD2" w:rsidRPr="00101AD2">
        <w:rPr>
          <w:rFonts w:ascii="Times New Roman" w:hAnsi="Times New Roman"/>
          <w:color w:val="000000"/>
          <w:sz w:val="24"/>
          <w:szCs w:val="24"/>
        </w:rPr>
        <w:t>пореза</w:t>
      </w:r>
      <w:r w:rsidR="00A664B0" w:rsidRPr="00101AD2">
        <w:rPr>
          <w:rFonts w:ascii="Times New Roman" w:hAnsi="Times New Roman"/>
          <w:color w:val="000000"/>
          <w:sz w:val="24"/>
          <w:szCs w:val="24"/>
        </w:rPr>
        <w:t xml:space="preserve"> </w:t>
      </w:r>
      <w:r w:rsidR="00101AD2" w:rsidRPr="00101AD2">
        <w:rPr>
          <w:rFonts w:ascii="Times New Roman" w:hAnsi="Times New Roman"/>
          <w:color w:val="000000"/>
          <w:sz w:val="24"/>
          <w:szCs w:val="24"/>
        </w:rPr>
        <w:t>на</w:t>
      </w:r>
      <w:r w:rsidR="00A664B0" w:rsidRPr="00101AD2">
        <w:rPr>
          <w:rFonts w:ascii="Times New Roman" w:hAnsi="Times New Roman"/>
          <w:color w:val="000000"/>
          <w:sz w:val="24"/>
          <w:szCs w:val="24"/>
        </w:rPr>
        <w:t xml:space="preserve"> </w:t>
      </w:r>
      <w:r w:rsidR="00101AD2" w:rsidRPr="00101AD2">
        <w:rPr>
          <w:rFonts w:ascii="Times New Roman" w:hAnsi="Times New Roman"/>
          <w:color w:val="000000"/>
          <w:sz w:val="24"/>
          <w:szCs w:val="24"/>
        </w:rPr>
        <w:t>приходе</w:t>
      </w:r>
      <w:r w:rsidR="00A664B0" w:rsidRPr="00101AD2">
        <w:rPr>
          <w:rFonts w:ascii="Times New Roman" w:hAnsi="Times New Roman"/>
          <w:color w:val="000000"/>
          <w:sz w:val="24"/>
          <w:szCs w:val="24"/>
        </w:rPr>
        <w:t xml:space="preserve"> </w:t>
      </w:r>
      <w:r w:rsidR="00101AD2" w:rsidRPr="00101AD2">
        <w:rPr>
          <w:rFonts w:ascii="Times New Roman" w:hAnsi="Times New Roman"/>
          <w:color w:val="000000"/>
          <w:sz w:val="24"/>
          <w:szCs w:val="24"/>
        </w:rPr>
        <w:t>од</w:t>
      </w:r>
      <w:r w:rsidR="00A664B0" w:rsidRPr="00101AD2">
        <w:rPr>
          <w:rFonts w:ascii="Times New Roman" w:hAnsi="Times New Roman"/>
          <w:color w:val="000000"/>
          <w:sz w:val="24"/>
          <w:szCs w:val="24"/>
        </w:rPr>
        <w:t xml:space="preserve"> </w:t>
      </w:r>
      <w:r w:rsidR="00101AD2" w:rsidRPr="00101AD2">
        <w:rPr>
          <w:rFonts w:ascii="Times New Roman" w:hAnsi="Times New Roman"/>
          <w:color w:val="000000"/>
          <w:sz w:val="24"/>
          <w:szCs w:val="24"/>
        </w:rPr>
        <w:t>капитала</w:t>
      </w:r>
      <w:r w:rsidR="00A664B0" w:rsidRPr="00101AD2">
        <w:rPr>
          <w:rFonts w:ascii="Times New Roman" w:hAnsi="Times New Roman"/>
          <w:color w:val="000000"/>
          <w:sz w:val="24"/>
          <w:szCs w:val="24"/>
        </w:rPr>
        <w:t xml:space="preserve"> </w:t>
      </w:r>
      <w:r w:rsidR="00B22DD8" w:rsidRPr="00101AD2">
        <w:rPr>
          <w:rFonts w:ascii="Times New Roman" w:hAnsi="Times New Roman"/>
          <w:color w:val="000000"/>
          <w:sz w:val="24"/>
          <w:szCs w:val="24"/>
          <w:lang w:val="sr-Cyrl-CS"/>
        </w:rPr>
        <w:t xml:space="preserve">код </w:t>
      </w:r>
      <w:r w:rsidR="00101AD2" w:rsidRPr="00101AD2">
        <w:rPr>
          <w:rFonts w:ascii="Times New Roman" w:hAnsi="Times New Roman"/>
          <w:color w:val="000000"/>
          <w:sz w:val="24"/>
          <w:szCs w:val="24"/>
          <w:shd w:val="clear" w:color="auto" w:fill="FFFFFF"/>
        </w:rPr>
        <w:t>приход</w:t>
      </w:r>
      <w:r w:rsidR="00E77954">
        <w:rPr>
          <w:rFonts w:ascii="Times New Roman" w:hAnsi="Times New Roman"/>
          <w:color w:val="000000"/>
          <w:sz w:val="24"/>
          <w:szCs w:val="24"/>
          <w:shd w:val="clear" w:color="auto" w:fill="FFFFFF"/>
          <w:lang w:val="sr-Cyrl-CS"/>
        </w:rPr>
        <w:t>а</w:t>
      </w:r>
      <w:r w:rsidR="00B22DD8" w:rsidRPr="00101AD2">
        <w:rPr>
          <w:rFonts w:ascii="Times New Roman" w:hAnsi="Times New Roman"/>
          <w:color w:val="000000"/>
          <w:sz w:val="24"/>
          <w:szCs w:val="24"/>
          <w:shd w:val="clear" w:color="auto" w:fill="FFFFFF"/>
        </w:rPr>
        <w:t xml:space="preserve"> </w:t>
      </w:r>
      <w:r w:rsidR="00101AD2" w:rsidRPr="00101AD2">
        <w:rPr>
          <w:rFonts w:ascii="Times New Roman" w:hAnsi="Times New Roman"/>
          <w:color w:val="000000"/>
          <w:sz w:val="24"/>
          <w:szCs w:val="24"/>
          <w:shd w:val="clear" w:color="auto" w:fill="FFFFFF"/>
        </w:rPr>
        <w:t>од</w:t>
      </w:r>
      <w:r w:rsidR="00B22DD8" w:rsidRPr="00101AD2">
        <w:rPr>
          <w:rFonts w:ascii="Times New Roman" w:hAnsi="Times New Roman"/>
          <w:color w:val="000000"/>
          <w:sz w:val="24"/>
          <w:szCs w:val="24"/>
          <w:shd w:val="clear" w:color="auto" w:fill="FFFFFF"/>
        </w:rPr>
        <w:t xml:space="preserve"> </w:t>
      </w:r>
      <w:r w:rsidR="00101AD2" w:rsidRPr="00101AD2">
        <w:rPr>
          <w:rFonts w:ascii="Times New Roman" w:hAnsi="Times New Roman"/>
          <w:color w:val="000000"/>
          <w:sz w:val="24"/>
          <w:szCs w:val="24"/>
          <w:shd w:val="clear" w:color="auto" w:fill="FFFFFF"/>
        </w:rPr>
        <w:t>издавања</w:t>
      </w:r>
      <w:r w:rsidR="00B22DD8" w:rsidRPr="00101AD2">
        <w:rPr>
          <w:rFonts w:ascii="Times New Roman" w:hAnsi="Times New Roman"/>
          <w:color w:val="000000"/>
          <w:sz w:val="24"/>
          <w:szCs w:val="24"/>
          <w:shd w:val="clear" w:color="auto" w:fill="FFFFFF"/>
        </w:rPr>
        <w:t xml:space="preserve"> </w:t>
      </w:r>
      <w:r w:rsidR="00101AD2" w:rsidRPr="00101AD2">
        <w:rPr>
          <w:rFonts w:ascii="Times New Roman" w:hAnsi="Times New Roman"/>
          <w:color w:val="000000"/>
          <w:sz w:val="24"/>
          <w:szCs w:val="24"/>
          <w:shd w:val="clear" w:color="auto" w:fill="FFFFFF"/>
        </w:rPr>
        <w:t>сопствених</w:t>
      </w:r>
      <w:r w:rsidR="00B22DD8" w:rsidRPr="00101AD2">
        <w:rPr>
          <w:rFonts w:ascii="Times New Roman" w:hAnsi="Times New Roman"/>
          <w:color w:val="000000"/>
          <w:sz w:val="24"/>
          <w:szCs w:val="24"/>
          <w:shd w:val="clear" w:color="auto" w:fill="FFFFFF"/>
        </w:rPr>
        <w:t xml:space="preserve"> </w:t>
      </w:r>
      <w:r w:rsidR="00101AD2" w:rsidRPr="00101AD2">
        <w:rPr>
          <w:rFonts w:ascii="Times New Roman" w:hAnsi="Times New Roman"/>
          <w:color w:val="000000"/>
          <w:sz w:val="24"/>
          <w:szCs w:val="24"/>
          <w:shd w:val="clear" w:color="auto" w:fill="FFFFFF"/>
        </w:rPr>
        <w:t>непокретности</w:t>
      </w:r>
      <w:r w:rsidR="00B22DD8" w:rsidRPr="00101AD2">
        <w:rPr>
          <w:rFonts w:ascii="Times New Roman" w:hAnsi="Times New Roman"/>
          <w:color w:val="000000"/>
          <w:sz w:val="24"/>
          <w:szCs w:val="24"/>
          <w:shd w:val="clear" w:color="auto" w:fill="FFFFFF"/>
          <w:lang w:val="sr-Cyrl-CS"/>
        </w:rPr>
        <w:t xml:space="preserve"> </w:t>
      </w:r>
      <w:r w:rsidR="00101AD2" w:rsidRPr="00101AD2">
        <w:rPr>
          <w:rFonts w:ascii="Times New Roman" w:hAnsi="Times New Roman"/>
          <w:color w:val="000000"/>
          <w:sz w:val="24"/>
          <w:szCs w:val="24"/>
        </w:rPr>
        <w:t>износи</w:t>
      </w:r>
      <w:r w:rsidR="00A664B0" w:rsidRPr="00101AD2">
        <w:rPr>
          <w:rFonts w:ascii="Times New Roman" w:hAnsi="Times New Roman"/>
          <w:color w:val="000000"/>
          <w:sz w:val="24"/>
          <w:szCs w:val="24"/>
        </w:rPr>
        <w:t xml:space="preserve"> 20%.</w:t>
      </w:r>
      <w:r w:rsidR="00B22DD8" w:rsidRPr="00101AD2">
        <w:rPr>
          <w:rStyle w:val="FootnoteReference"/>
          <w:rFonts w:ascii="Times New Roman" w:hAnsi="Times New Roman"/>
          <w:color w:val="000000"/>
          <w:sz w:val="24"/>
          <w:szCs w:val="24"/>
        </w:rPr>
        <w:footnoteReference w:id="443"/>
      </w:r>
    </w:p>
    <w:p w:rsidR="00A664B0" w:rsidRPr="00101AD2" w:rsidRDefault="00101AD2" w:rsidP="00101AD2">
      <w:pPr>
        <w:pStyle w:val="wyq110---naslov-clana"/>
        <w:shd w:val="clear" w:color="auto" w:fill="FFFFFF"/>
        <w:spacing w:before="240" w:beforeAutospacing="0" w:after="240" w:afterAutospacing="0" w:line="240" w:lineRule="atLeast"/>
        <w:ind w:firstLine="708"/>
        <w:jc w:val="both"/>
        <w:rPr>
          <w:b/>
          <w:bCs/>
          <w:color w:val="000000"/>
        </w:rPr>
      </w:pPr>
      <w:bookmarkStart w:id="26" w:name="clan_77"/>
      <w:bookmarkEnd w:id="26"/>
      <w:r w:rsidRPr="00101AD2">
        <w:rPr>
          <w:color w:val="000000"/>
        </w:rPr>
        <w:t>Стопа</w:t>
      </w:r>
      <w:r w:rsidR="00A664B0" w:rsidRPr="00101AD2">
        <w:rPr>
          <w:color w:val="000000"/>
        </w:rPr>
        <w:t xml:space="preserve"> </w:t>
      </w:r>
      <w:r w:rsidRPr="00101AD2">
        <w:rPr>
          <w:color w:val="000000"/>
        </w:rPr>
        <w:t>пореза</w:t>
      </w:r>
      <w:r w:rsidR="00A664B0" w:rsidRPr="00101AD2">
        <w:rPr>
          <w:color w:val="000000"/>
        </w:rPr>
        <w:t xml:space="preserve"> </w:t>
      </w:r>
      <w:r w:rsidRPr="00101AD2">
        <w:rPr>
          <w:color w:val="000000"/>
        </w:rPr>
        <w:t>на</w:t>
      </w:r>
      <w:r w:rsidR="00A664B0" w:rsidRPr="00101AD2">
        <w:rPr>
          <w:color w:val="000000"/>
        </w:rPr>
        <w:t xml:space="preserve"> </w:t>
      </w:r>
      <w:r w:rsidRPr="00101AD2">
        <w:rPr>
          <w:color w:val="000000"/>
        </w:rPr>
        <w:t>капитални</w:t>
      </w:r>
      <w:r w:rsidR="00A664B0" w:rsidRPr="00101AD2">
        <w:rPr>
          <w:color w:val="000000"/>
        </w:rPr>
        <w:t xml:space="preserve"> </w:t>
      </w:r>
      <w:r w:rsidRPr="00101AD2">
        <w:rPr>
          <w:color w:val="000000"/>
        </w:rPr>
        <w:t>добитак</w:t>
      </w:r>
      <w:r w:rsidR="00A664B0" w:rsidRPr="00101AD2">
        <w:rPr>
          <w:color w:val="000000"/>
        </w:rPr>
        <w:t xml:space="preserve"> </w:t>
      </w:r>
      <w:r w:rsidRPr="00101AD2">
        <w:rPr>
          <w:color w:val="000000"/>
        </w:rPr>
        <w:t>износи</w:t>
      </w:r>
      <w:r w:rsidR="00A664B0" w:rsidRPr="00101AD2">
        <w:rPr>
          <w:color w:val="000000"/>
        </w:rPr>
        <w:t xml:space="preserve"> 15%.</w:t>
      </w:r>
      <w:r w:rsidR="00B22DD8" w:rsidRPr="00101AD2">
        <w:rPr>
          <w:rStyle w:val="FootnoteReference"/>
          <w:color w:val="000000"/>
        </w:rPr>
        <w:footnoteReference w:id="444"/>
      </w:r>
      <w:bookmarkStart w:id="27" w:name="clan_86"/>
      <w:bookmarkEnd w:id="27"/>
      <w:r w:rsidR="00B22DD8" w:rsidRPr="00101AD2">
        <w:rPr>
          <w:b/>
          <w:bCs/>
          <w:color w:val="000000"/>
          <w:lang w:val="sr-Cyrl-CS"/>
        </w:rPr>
        <w:t xml:space="preserve"> </w:t>
      </w:r>
      <w:r w:rsidRPr="00101AD2">
        <w:rPr>
          <w:color w:val="000000"/>
        </w:rPr>
        <w:t>Стопа</w:t>
      </w:r>
      <w:r w:rsidR="00A664B0" w:rsidRPr="00101AD2">
        <w:rPr>
          <w:color w:val="000000"/>
        </w:rPr>
        <w:t xml:space="preserve"> </w:t>
      </w:r>
      <w:r w:rsidRPr="00101AD2">
        <w:rPr>
          <w:color w:val="000000"/>
        </w:rPr>
        <w:t>пореза</w:t>
      </w:r>
      <w:r w:rsidR="00A664B0" w:rsidRPr="00101AD2">
        <w:rPr>
          <w:color w:val="000000"/>
        </w:rPr>
        <w:t xml:space="preserve"> </w:t>
      </w:r>
      <w:r w:rsidRPr="00101AD2">
        <w:rPr>
          <w:color w:val="000000"/>
        </w:rPr>
        <w:t>на</w:t>
      </w:r>
      <w:r w:rsidR="00A664B0" w:rsidRPr="00101AD2">
        <w:rPr>
          <w:color w:val="000000"/>
        </w:rPr>
        <w:t xml:space="preserve"> </w:t>
      </w:r>
      <w:r w:rsidRPr="00101AD2">
        <w:rPr>
          <w:color w:val="000000"/>
        </w:rPr>
        <w:t>остале</w:t>
      </w:r>
      <w:r w:rsidR="00A664B0" w:rsidRPr="00101AD2">
        <w:rPr>
          <w:color w:val="000000"/>
        </w:rPr>
        <w:t xml:space="preserve"> </w:t>
      </w:r>
      <w:r w:rsidRPr="00101AD2">
        <w:rPr>
          <w:color w:val="000000"/>
        </w:rPr>
        <w:t>приходе</w:t>
      </w:r>
      <w:r w:rsidR="00A664B0" w:rsidRPr="00101AD2">
        <w:rPr>
          <w:color w:val="000000"/>
        </w:rPr>
        <w:t xml:space="preserve"> </w:t>
      </w:r>
      <w:r w:rsidRPr="00101AD2">
        <w:rPr>
          <w:color w:val="000000"/>
        </w:rPr>
        <w:t>износи</w:t>
      </w:r>
      <w:r w:rsidR="00A664B0" w:rsidRPr="00101AD2">
        <w:rPr>
          <w:color w:val="000000"/>
        </w:rPr>
        <w:t xml:space="preserve"> 20%</w:t>
      </w:r>
      <w:r w:rsidR="00B22DD8" w:rsidRPr="00101AD2">
        <w:rPr>
          <w:color w:val="000000"/>
          <w:lang w:val="sr-Cyrl-CS"/>
        </w:rPr>
        <w:t xml:space="preserve">. </w:t>
      </w:r>
      <w:r w:rsidRPr="00101AD2">
        <w:rPr>
          <w:color w:val="000000"/>
        </w:rPr>
        <w:t>Изузетно</w:t>
      </w:r>
      <w:r w:rsidR="00A664B0" w:rsidRPr="00101AD2">
        <w:rPr>
          <w:color w:val="000000"/>
        </w:rPr>
        <w:t xml:space="preserve">, </w:t>
      </w:r>
      <w:r w:rsidRPr="00101AD2">
        <w:rPr>
          <w:color w:val="000000"/>
        </w:rPr>
        <w:t>стопа</w:t>
      </w:r>
      <w:r w:rsidR="00A664B0" w:rsidRPr="00101AD2">
        <w:rPr>
          <w:color w:val="000000"/>
        </w:rPr>
        <w:t xml:space="preserve"> </w:t>
      </w:r>
      <w:r w:rsidRPr="00101AD2">
        <w:rPr>
          <w:color w:val="000000"/>
        </w:rPr>
        <w:t>пореза</w:t>
      </w:r>
      <w:r w:rsidR="00A664B0" w:rsidRPr="00101AD2">
        <w:rPr>
          <w:color w:val="000000"/>
        </w:rPr>
        <w:t xml:space="preserve"> </w:t>
      </w:r>
      <w:r w:rsidRPr="00101AD2">
        <w:rPr>
          <w:color w:val="000000"/>
        </w:rPr>
        <w:t>на</w:t>
      </w:r>
      <w:r w:rsidR="00A664B0" w:rsidRPr="00101AD2">
        <w:rPr>
          <w:color w:val="000000"/>
        </w:rPr>
        <w:t xml:space="preserve"> </w:t>
      </w:r>
      <w:r w:rsidRPr="00101AD2">
        <w:rPr>
          <w:color w:val="000000"/>
        </w:rPr>
        <w:t>приходе</w:t>
      </w:r>
      <w:r w:rsidR="00A664B0" w:rsidRPr="00101AD2">
        <w:rPr>
          <w:color w:val="000000"/>
        </w:rPr>
        <w:t xml:space="preserve"> </w:t>
      </w:r>
      <w:r w:rsidRPr="00101AD2">
        <w:rPr>
          <w:color w:val="000000"/>
        </w:rPr>
        <w:t>од</w:t>
      </w:r>
      <w:r w:rsidR="00A664B0" w:rsidRPr="00101AD2">
        <w:rPr>
          <w:color w:val="000000"/>
        </w:rPr>
        <w:t xml:space="preserve"> </w:t>
      </w:r>
      <w:r w:rsidRPr="00101AD2">
        <w:rPr>
          <w:color w:val="000000"/>
        </w:rPr>
        <w:t>осигурања</w:t>
      </w:r>
      <w:r w:rsidR="00A664B0" w:rsidRPr="00101AD2">
        <w:rPr>
          <w:color w:val="000000"/>
        </w:rPr>
        <w:t xml:space="preserve"> </w:t>
      </w:r>
      <w:r w:rsidRPr="00101AD2">
        <w:rPr>
          <w:color w:val="000000"/>
        </w:rPr>
        <w:t>лица</w:t>
      </w:r>
      <w:r w:rsidR="00A664B0" w:rsidRPr="00101AD2">
        <w:rPr>
          <w:color w:val="000000"/>
        </w:rPr>
        <w:t xml:space="preserve"> </w:t>
      </w:r>
      <w:r w:rsidRPr="00101AD2">
        <w:rPr>
          <w:color w:val="000000"/>
        </w:rPr>
        <w:t>износи</w:t>
      </w:r>
      <w:r w:rsidR="00A664B0" w:rsidRPr="00101AD2">
        <w:rPr>
          <w:color w:val="000000"/>
        </w:rPr>
        <w:t xml:space="preserve"> 15%.</w:t>
      </w:r>
      <w:r w:rsidR="00B22DD8" w:rsidRPr="00101AD2">
        <w:rPr>
          <w:rStyle w:val="FootnoteReference"/>
          <w:color w:val="000000"/>
        </w:rPr>
        <w:footnoteReference w:id="445"/>
      </w:r>
    </w:p>
    <w:p w:rsidR="00201178" w:rsidRPr="00101AD2" w:rsidRDefault="00101AD2" w:rsidP="00101AD2">
      <w:pPr>
        <w:pStyle w:val="wyq110---naslov-clana"/>
        <w:shd w:val="clear" w:color="auto" w:fill="FFFFFF"/>
        <w:spacing w:before="240" w:beforeAutospacing="0" w:after="240" w:afterAutospacing="0" w:line="240" w:lineRule="atLeast"/>
        <w:ind w:firstLine="708"/>
        <w:jc w:val="both"/>
        <w:rPr>
          <w:b/>
          <w:bCs/>
          <w:color w:val="000000"/>
          <w:lang w:val="sr-Cyrl-CS"/>
        </w:rPr>
      </w:pPr>
      <w:bookmarkStart w:id="28" w:name="clan_89"/>
      <w:bookmarkEnd w:id="28"/>
      <w:r w:rsidRPr="00101AD2">
        <w:rPr>
          <w:color w:val="000000"/>
        </w:rPr>
        <w:t>Годишњи</w:t>
      </w:r>
      <w:r w:rsidR="00201178" w:rsidRPr="00101AD2">
        <w:rPr>
          <w:color w:val="000000"/>
        </w:rPr>
        <w:t xml:space="preserve"> </w:t>
      </w:r>
      <w:r w:rsidRPr="00101AD2">
        <w:rPr>
          <w:color w:val="000000"/>
        </w:rPr>
        <w:t>порез</w:t>
      </w:r>
      <w:r w:rsidR="00201178" w:rsidRPr="00101AD2">
        <w:rPr>
          <w:color w:val="000000"/>
        </w:rPr>
        <w:t xml:space="preserve"> </w:t>
      </w:r>
      <w:r w:rsidRPr="00101AD2">
        <w:rPr>
          <w:color w:val="000000"/>
        </w:rPr>
        <w:t>на</w:t>
      </w:r>
      <w:r w:rsidR="00201178" w:rsidRPr="00101AD2">
        <w:rPr>
          <w:color w:val="000000"/>
        </w:rPr>
        <w:t xml:space="preserve"> </w:t>
      </w:r>
      <w:r w:rsidRPr="00101AD2">
        <w:rPr>
          <w:color w:val="000000"/>
        </w:rPr>
        <w:t>доходак</w:t>
      </w:r>
      <w:r w:rsidR="00201178" w:rsidRPr="00101AD2">
        <w:rPr>
          <w:color w:val="000000"/>
        </w:rPr>
        <w:t xml:space="preserve"> </w:t>
      </w:r>
      <w:r w:rsidRPr="00101AD2">
        <w:rPr>
          <w:color w:val="000000"/>
        </w:rPr>
        <w:t>грађана</w:t>
      </w:r>
      <w:r w:rsidR="00201178" w:rsidRPr="00101AD2">
        <w:rPr>
          <w:color w:val="000000"/>
        </w:rPr>
        <w:t xml:space="preserve"> </w:t>
      </w:r>
      <w:r w:rsidRPr="00101AD2">
        <w:rPr>
          <w:color w:val="000000"/>
        </w:rPr>
        <w:t>плаћа</w:t>
      </w:r>
      <w:r w:rsidR="00201178" w:rsidRPr="00101AD2">
        <w:rPr>
          <w:color w:val="000000"/>
        </w:rPr>
        <w:t xml:space="preserve"> </w:t>
      </w:r>
      <w:r w:rsidRPr="00101AD2">
        <w:rPr>
          <w:color w:val="000000"/>
        </w:rPr>
        <w:t>се</w:t>
      </w:r>
      <w:r w:rsidR="00201178" w:rsidRPr="00101AD2">
        <w:rPr>
          <w:color w:val="000000"/>
        </w:rPr>
        <w:t xml:space="preserve"> </w:t>
      </w:r>
      <w:r w:rsidRPr="00101AD2">
        <w:rPr>
          <w:color w:val="000000"/>
        </w:rPr>
        <w:t>по</w:t>
      </w:r>
      <w:r w:rsidR="00201178" w:rsidRPr="00101AD2">
        <w:rPr>
          <w:color w:val="000000"/>
        </w:rPr>
        <w:t xml:space="preserve"> </w:t>
      </w:r>
      <w:r w:rsidRPr="00101AD2">
        <w:rPr>
          <w:color w:val="000000"/>
        </w:rPr>
        <w:t>следећим</w:t>
      </w:r>
      <w:r w:rsidR="00201178" w:rsidRPr="00101AD2">
        <w:rPr>
          <w:color w:val="000000"/>
        </w:rPr>
        <w:t xml:space="preserve"> </w:t>
      </w:r>
      <w:r w:rsidRPr="00101AD2">
        <w:rPr>
          <w:color w:val="000000"/>
        </w:rPr>
        <w:t>стопама</w:t>
      </w:r>
      <w:r w:rsidR="00201178" w:rsidRPr="00101AD2">
        <w:rPr>
          <w:color w:val="000000"/>
        </w:rPr>
        <w:t>:</w:t>
      </w:r>
      <w:r w:rsidR="00B22DD8" w:rsidRPr="00101AD2">
        <w:rPr>
          <w:color w:val="000000"/>
          <w:lang w:val="sr-Cyrl-CS"/>
        </w:rPr>
        <w:t xml:space="preserve"> </w:t>
      </w:r>
    </w:p>
    <w:p w:rsidR="00201178" w:rsidRPr="004122E2" w:rsidRDefault="00201178" w:rsidP="004122E2">
      <w:pPr>
        <w:jc w:val="both"/>
        <w:rPr>
          <w:rFonts w:ascii="Times New Roman" w:hAnsi="Times New Roman"/>
          <w:sz w:val="24"/>
          <w:szCs w:val="24"/>
        </w:rPr>
      </w:pPr>
      <w:r w:rsidRPr="004122E2">
        <w:rPr>
          <w:rFonts w:ascii="Times New Roman" w:hAnsi="Times New Roman"/>
          <w:sz w:val="24"/>
          <w:szCs w:val="24"/>
        </w:rPr>
        <w:t xml:space="preserve">- </w:t>
      </w:r>
      <w:r w:rsidR="00101AD2" w:rsidRPr="004122E2">
        <w:rPr>
          <w:rFonts w:ascii="Times New Roman" w:hAnsi="Times New Roman"/>
          <w:sz w:val="24"/>
          <w:szCs w:val="24"/>
        </w:rPr>
        <w:t>на</w:t>
      </w:r>
      <w:r w:rsidRPr="004122E2">
        <w:rPr>
          <w:rFonts w:ascii="Times New Roman" w:hAnsi="Times New Roman"/>
          <w:sz w:val="24"/>
          <w:szCs w:val="24"/>
        </w:rPr>
        <w:t xml:space="preserve"> </w:t>
      </w:r>
      <w:r w:rsidR="00101AD2" w:rsidRPr="004122E2">
        <w:rPr>
          <w:rFonts w:ascii="Times New Roman" w:hAnsi="Times New Roman"/>
          <w:sz w:val="24"/>
          <w:szCs w:val="24"/>
        </w:rPr>
        <w:t>износ</w:t>
      </w:r>
      <w:r w:rsidRPr="004122E2">
        <w:rPr>
          <w:rFonts w:ascii="Times New Roman" w:hAnsi="Times New Roman"/>
          <w:sz w:val="24"/>
          <w:szCs w:val="24"/>
        </w:rPr>
        <w:t xml:space="preserve"> </w:t>
      </w:r>
      <w:r w:rsidR="00101AD2" w:rsidRPr="004122E2">
        <w:rPr>
          <w:rFonts w:ascii="Times New Roman" w:hAnsi="Times New Roman"/>
          <w:sz w:val="24"/>
          <w:szCs w:val="24"/>
        </w:rPr>
        <w:t>до</w:t>
      </w:r>
      <w:r w:rsidRPr="004122E2">
        <w:rPr>
          <w:rFonts w:ascii="Times New Roman" w:hAnsi="Times New Roman"/>
          <w:sz w:val="24"/>
          <w:szCs w:val="24"/>
        </w:rPr>
        <w:t xml:space="preserve"> </w:t>
      </w:r>
      <w:r w:rsidR="00101AD2" w:rsidRPr="004122E2">
        <w:rPr>
          <w:rFonts w:ascii="Times New Roman" w:hAnsi="Times New Roman"/>
          <w:sz w:val="24"/>
          <w:szCs w:val="24"/>
        </w:rPr>
        <w:t>шестоструке</w:t>
      </w:r>
      <w:r w:rsidRPr="004122E2">
        <w:rPr>
          <w:rFonts w:ascii="Times New Roman" w:hAnsi="Times New Roman"/>
          <w:sz w:val="24"/>
          <w:szCs w:val="24"/>
        </w:rPr>
        <w:t xml:space="preserve"> </w:t>
      </w:r>
      <w:r w:rsidR="00101AD2" w:rsidRPr="004122E2">
        <w:rPr>
          <w:rFonts w:ascii="Times New Roman" w:hAnsi="Times New Roman"/>
          <w:sz w:val="24"/>
          <w:szCs w:val="24"/>
        </w:rPr>
        <w:t>просечне</w:t>
      </w:r>
      <w:r w:rsidRPr="004122E2">
        <w:rPr>
          <w:rFonts w:ascii="Times New Roman" w:hAnsi="Times New Roman"/>
          <w:sz w:val="24"/>
          <w:szCs w:val="24"/>
        </w:rPr>
        <w:t xml:space="preserve"> </w:t>
      </w:r>
      <w:r w:rsidR="00101AD2" w:rsidRPr="004122E2">
        <w:rPr>
          <w:rFonts w:ascii="Times New Roman" w:hAnsi="Times New Roman"/>
          <w:sz w:val="24"/>
          <w:szCs w:val="24"/>
        </w:rPr>
        <w:t>годишње</w:t>
      </w:r>
      <w:r w:rsidRPr="004122E2">
        <w:rPr>
          <w:rFonts w:ascii="Times New Roman" w:hAnsi="Times New Roman"/>
          <w:sz w:val="24"/>
          <w:szCs w:val="24"/>
        </w:rPr>
        <w:t xml:space="preserve"> </w:t>
      </w:r>
      <w:r w:rsidR="00101AD2" w:rsidRPr="004122E2">
        <w:rPr>
          <w:rFonts w:ascii="Times New Roman" w:hAnsi="Times New Roman"/>
          <w:sz w:val="24"/>
          <w:szCs w:val="24"/>
        </w:rPr>
        <w:t>зараде</w:t>
      </w:r>
      <w:r w:rsidRPr="004122E2">
        <w:rPr>
          <w:rFonts w:ascii="Times New Roman" w:hAnsi="Times New Roman"/>
          <w:sz w:val="24"/>
          <w:szCs w:val="24"/>
        </w:rPr>
        <w:t xml:space="preserve"> - 10%;</w:t>
      </w:r>
    </w:p>
    <w:p w:rsidR="00201178" w:rsidRPr="004122E2" w:rsidRDefault="00201178" w:rsidP="004122E2">
      <w:pPr>
        <w:jc w:val="both"/>
        <w:rPr>
          <w:rFonts w:ascii="Times New Roman" w:hAnsi="Times New Roman"/>
          <w:sz w:val="24"/>
          <w:szCs w:val="24"/>
          <w:lang w:val="sr-Cyrl-CS"/>
        </w:rPr>
      </w:pPr>
      <w:r w:rsidRPr="004122E2">
        <w:rPr>
          <w:rFonts w:ascii="Times New Roman" w:hAnsi="Times New Roman"/>
          <w:sz w:val="24"/>
          <w:szCs w:val="24"/>
        </w:rPr>
        <w:t xml:space="preserve">- </w:t>
      </w:r>
      <w:r w:rsidR="00101AD2" w:rsidRPr="004122E2">
        <w:rPr>
          <w:rFonts w:ascii="Times New Roman" w:hAnsi="Times New Roman"/>
          <w:sz w:val="24"/>
          <w:szCs w:val="24"/>
        </w:rPr>
        <w:t>на</w:t>
      </w:r>
      <w:r w:rsidRPr="004122E2">
        <w:rPr>
          <w:rFonts w:ascii="Times New Roman" w:hAnsi="Times New Roman"/>
          <w:sz w:val="24"/>
          <w:szCs w:val="24"/>
        </w:rPr>
        <w:t xml:space="preserve"> </w:t>
      </w:r>
      <w:r w:rsidR="00101AD2" w:rsidRPr="004122E2">
        <w:rPr>
          <w:rFonts w:ascii="Times New Roman" w:hAnsi="Times New Roman"/>
          <w:sz w:val="24"/>
          <w:szCs w:val="24"/>
        </w:rPr>
        <w:t>износ</w:t>
      </w:r>
      <w:r w:rsidRPr="004122E2">
        <w:rPr>
          <w:rFonts w:ascii="Times New Roman" w:hAnsi="Times New Roman"/>
          <w:sz w:val="24"/>
          <w:szCs w:val="24"/>
        </w:rPr>
        <w:t xml:space="preserve"> </w:t>
      </w:r>
      <w:r w:rsidR="00101AD2" w:rsidRPr="004122E2">
        <w:rPr>
          <w:rFonts w:ascii="Times New Roman" w:hAnsi="Times New Roman"/>
          <w:sz w:val="24"/>
          <w:szCs w:val="24"/>
        </w:rPr>
        <w:t>преко</w:t>
      </w:r>
      <w:r w:rsidRPr="004122E2">
        <w:rPr>
          <w:rFonts w:ascii="Times New Roman" w:hAnsi="Times New Roman"/>
          <w:sz w:val="24"/>
          <w:szCs w:val="24"/>
        </w:rPr>
        <w:t xml:space="preserve"> </w:t>
      </w:r>
      <w:r w:rsidR="00101AD2" w:rsidRPr="004122E2">
        <w:rPr>
          <w:rFonts w:ascii="Times New Roman" w:hAnsi="Times New Roman"/>
          <w:sz w:val="24"/>
          <w:szCs w:val="24"/>
        </w:rPr>
        <w:t>шестоструке</w:t>
      </w:r>
      <w:r w:rsidRPr="004122E2">
        <w:rPr>
          <w:rFonts w:ascii="Times New Roman" w:hAnsi="Times New Roman"/>
          <w:sz w:val="24"/>
          <w:szCs w:val="24"/>
        </w:rPr>
        <w:t xml:space="preserve"> </w:t>
      </w:r>
      <w:r w:rsidR="00101AD2" w:rsidRPr="004122E2">
        <w:rPr>
          <w:rFonts w:ascii="Times New Roman" w:hAnsi="Times New Roman"/>
          <w:sz w:val="24"/>
          <w:szCs w:val="24"/>
        </w:rPr>
        <w:t>просечне</w:t>
      </w:r>
      <w:r w:rsidRPr="004122E2">
        <w:rPr>
          <w:rFonts w:ascii="Times New Roman" w:hAnsi="Times New Roman"/>
          <w:sz w:val="24"/>
          <w:szCs w:val="24"/>
        </w:rPr>
        <w:t xml:space="preserve"> </w:t>
      </w:r>
      <w:r w:rsidR="00101AD2" w:rsidRPr="004122E2">
        <w:rPr>
          <w:rFonts w:ascii="Times New Roman" w:hAnsi="Times New Roman"/>
          <w:sz w:val="24"/>
          <w:szCs w:val="24"/>
        </w:rPr>
        <w:t>годишње</w:t>
      </w:r>
      <w:r w:rsidRPr="004122E2">
        <w:rPr>
          <w:rFonts w:ascii="Times New Roman" w:hAnsi="Times New Roman"/>
          <w:sz w:val="24"/>
          <w:szCs w:val="24"/>
        </w:rPr>
        <w:t xml:space="preserve"> </w:t>
      </w:r>
      <w:r w:rsidR="00101AD2" w:rsidRPr="004122E2">
        <w:rPr>
          <w:rFonts w:ascii="Times New Roman" w:hAnsi="Times New Roman"/>
          <w:sz w:val="24"/>
          <w:szCs w:val="24"/>
        </w:rPr>
        <w:t>зараде</w:t>
      </w:r>
      <w:r w:rsidRPr="004122E2">
        <w:rPr>
          <w:rFonts w:ascii="Times New Roman" w:hAnsi="Times New Roman"/>
          <w:sz w:val="24"/>
          <w:szCs w:val="24"/>
        </w:rPr>
        <w:t xml:space="preserve"> - 10% </w:t>
      </w:r>
      <w:r w:rsidR="00101AD2" w:rsidRPr="004122E2">
        <w:rPr>
          <w:rFonts w:ascii="Times New Roman" w:hAnsi="Times New Roman"/>
          <w:sz w:val="24"/>
          <w:szCs w:val="24"/>
        </w:rPr>
        <w:t>на</w:t>
      </w:r>
      <w:r w:rsidRPr="004122E2">
        <w:rPr>
          <w:rFonts w:ascii="Times New Roman" w:hAnsi="Times New Roman"/>
          <w:sz w:val="24"/>
          <w:szCs w:val="24"/>
        </w:rPr>
        <w:t xml:space="preserve"> </w:t>
      </w:r>
      <w:r w:rsidR="00101AD2" w:rsidRPr="004122E2">
        <w:rPr>
          <w:rFonts w:ascii="Times New Roman" w:hAnsi="Times New Roman"/>
          <w:sz w:val="24"/>
          <w:szCs w:val="24"/>
        </w:rPr>
        <w:t>износ</w:t>
      </w:r>
      <w:r w:rsidRPr="004122E2">
        <w:rPr>
          <w:rFonts w:ascii="Times New Roman" w:hAnsi="Times New Roman"/>
          <w:sz w:val="24"/>
          <w:szCs w:val="24"/>
        </w:rPr>
        <w:t xml:space="preserve"> </w:t>
      </w:r>
      <w:r w:rsidR="00101AD2" w:rsidRPr="004122E2">
        <w:rPr>
          <w:rFonts w:ascii="Times New Roman" w:hAnsi="Times New Roman"/>
          <w:sz w:val="24"/>
          <w:szCs w:val="24"/>
        </w:rPr>
        <w:t>до</w:t>
      </w:r>
      <w:r w:rsidRPr="004122E2">
        <w:rPr>
          <w:rFonts w:ascii="Times New Roman" w:hAnsi="Times New Roman"/>
          <w:sz w:val="24"/>
          <w:szCs w:val="24"/>
        </w:rPr>
        <w:t xml:space="preserve"> </w:t>
      </w:r>
      <w:r w:rsidR="00101AD2" w:rsidRPr="004122E2">
        <w:rPr>
          <w:rFonts w:ascii="Times New Roman" w:hAnsi="Times New Roman"/>
          <w:sz w:val="24"/>
          <w:szCs w:val="24"/>
        </w:rPr>
        <w:t>шестоструке</w:t>
      </w:r>
      <w:r w:rsidRPr="004122E2">
        <w:rPr>
          <w:rFonts w:ascii="Times New Roman" w:hAnsi="Times New Roman"/>
          <w:sz w:val="24"/>
          <w:szCs w:val="24"/>
        </w:rPr>
        <w:t xml:space="preserve"> </w:t>
      </w:r>
      <w:r w:rsidR="00101AD2" w:rsidRPr="004122E2">
        <w:rPr>
          <w:rFonts w:ascii="Times New Roman" w:hAnsi="Times New Roman"/>
          <w:sz w:val="24"/>
          <w:szCs w:val="24"/>
        </w:rPr>
        <w:t>просечне</w:t>
      </w:r>
      <w:r w:rsidRPr="004122E2">
        <w:rPr>
          <w:rFonts w:ascii="Times New Roman" w:hAnsi="Times New Roman"/>
          <w:sz w:val="24"/>
          <w:szCs w:val="24"/>
        </w:rPr>
        <w:t xml:space="preserve"> </w:t>
      </w:r>
      <w:r w:rsidR="00101AD2" w:rsidRPr="004122E2">
        <w:rPr>
          <w:rFonts w:ascii="Times New Roman" w:hAnsi="Times New Roman"/>
          <w:sz w:val="24"/>
          <w:szCs w:val="24"/>
        </w:rPr>
        <w:t>годишње</w:t>
      </w:r>
      <w:r w:rsidRPr="004122E2">
        <w:rPr>
          <w:rFonts w:ascii="Times New Roman" w:hAnsi="Times New Roman"/>
          <w:sz w:val="24"/>
          <w:szCs w:val="24"/>
        </w:rPr>
        <w:t xml:space="preserve"> </w:t>
      </w:r>
      <w:r w:rsidR="00101AD2" w:rsidRPr="004122E2">
        <w:rPr>
          <w:rFonts w:ascii="Times New Roman" w:hAnsi="Times New Roman"/>
          <w:sz w:val="24"/>
          <w:szCs w:val="24"/>
        </w:rPr>
        <w:t>зараде</w:t>
      </w:r>
      <w:r w:rsidRPr="004122E2">
        <w:rPr>
          <w:rFonts w:ascii="Times New Roman" w:hAnsi="Times New Roman"/>
          <w:sz w:val="24"/>
          <w:szCs w:val="24"/>
        </w:rPr>
        <w:t xml:space="preserve"> + 15% </w:t>
      </w:r>
      <w:r w:rsidR="00101AD2" w:rsidRPr="004122E2">
        <w:rPr>
          <w:rFonts w:ascii="Times New Roman" w:hAnsi="Times New Roman"/>
          <w:sz w:val="24"/>
          <w:szCs w:val="24"/>
        </w:rPr>
        <w:t>на</w:t>
      </w:r>
      <w:r w:rsidRPr="004122E2">
        <w:rPr>
          <w:rFonts w:ascii="Times New Roman" w:hAnsi="Times New Roman"/>
          <w:sz w:val="24"/>
          <w:szCs w:val="24"/>
        </w:rPr>
        <w:t xml:space="preserve"> </w:t>
      </w:r>
      <w:r w:rsidR="00101AD2" w:rsidRPr="004122E2">
        <w:rPr>
          <w:rFonts w:ascii="Times New Roman" w:hAnsi="Times New Roman"/>
          <w:sz w:val="24"/>
          <w:szCs w:val="24"/>
        </w:rPr>
        <w:t>износ</w:t>
      </w:r>
      <w:r w:rsidRPr="004122E2">
        <w:rPr>
          <w:rFonts w:ascii="Times New Roman" w:hAnsi="Times New Roman"/>
          <w:sz w:val="24"/>
          <w:szCs w:val="24"/>
        </w:rPr>
        <w:t xml:space="preserve"> </w:t>
      </w:r>
      <w:r w:rsidR="00101AD2" w:rsidRPr="004122E2">
        <w:rPr>
          <w:rFonts w:ascii="Times New Roman" w:hAnsi="Times New Roman"/>
          <w:sz w:val="24"/>
          <w:szCs w:val="24"/>
        </w:rPr>
        <w:t>преко</w:t>
      </w:r>
      <w:r w:rsidRPr="004122E2">
        <w:rPr>
          <w:rFonts w:ascii="Times New Roman" w:hAnsi="Times New Roman"/>
          <w:sz w:val="24"/>
          <w:szCs w:val="24"/>
        </w:rPr>
        <w:t xml:space="preserve"> </w:t>
      </w:r>
      <w:r w:rsidR="00101AD2" w:rsidRPr="004122E2">
        <w:rPr>
          <w:rFonts w:ascii="Times New Roman" w:hAnsi="Times New Roman"/>
          <w:sz w:val="24"/>
          <w:szCs w:val="24"/>
        </w:rPr>
        <w:t>шестоструке</w:t>
      </w:r>
      <w:r w:rsidRPr="004122E2">
        <w:rPr>
          <w:rFonts w:ascii="Times New Roman" w:hAnsi="Times New Roman"/>
          <w:sz w:val="24"/>
          <w:szCs w:val="24"/>
        </w:rPr>
        <w:t xml:space="preserve"> </w:t>
      </w:r>
      <w:r w:rsidR="00101AD2" w:rsidRPr="004122E2">
        <w:rPr>
          <w:rFonts w:ascii="Times New Roman" w:hAnsi="Times New Roman"/>
          <w:sz w:val="24"/>
          <w:szCs w:val="24"/>
        </w:rPr>
        <w:t>просечне</w:t>
      </w:r>
      <w:r w:rsidRPr="004122E2">
        <w:rPr>
          <w:rFonts w:ascii="Times New Roman" w:hAnsi="Times New Roman"/>
          <w:sz w:val="24"/>
          <w:szCs w:val="24"/>
        </w:rPr>
        <w:t xml:space="preserve"> </w:t>
      </w:r>
      <w:r w:rsidR="00101AD2" w:rsidRPr="004122E2">
        <w:rPr>
          <w:rFonts w:ascii="Times New Roman" w:hAnsi="Times New Roman"/>
          <w:sz w:val="24"/>
          <w:szCs w:val="24"/>
        </w:rPr>
        <w:t>годишње</w:t>
      </w:r>
      <w:r w:rsidRPr="004122E2">
        <w:rPr>
          <w:rFonts w:ascii="Times New Roman" w:hAnsi="Times New Roman"/>
          <w:sz w:val="24"/>
          <w:szCs w:val="24"/>
        </w:rPr>
        <w:t xml:space="preserve"> </w:t>
      </w:r>
      <w:r w:rsidR="00101AD2" w:rsidRPr="004122E2">
        <w:rPr>
          <w:rFonts w:ascii="Times New Roman" w:hAnsi="Times New Roman"/>
          <w:sz w:val="24"/>
          <w:szCs w:val="24"/>
        </w:rPr>
        <w:t>зараде</w:t>
      </w:r>
      <w:r w:rsidRPr="004122E2">
        <w:rPr>
          <w:rFonts w:ascii="Times New Roman" w:hAnsi="Times New Roman"/>
          <w:sz w:val="24"/>
          <w:szCs w:val="24"/>
        </w:rPr>
        <w:t>.</w:t>
      </w:r>
      <w:r w:rsidR="00B22DD8" w:rsidRPr="004122E2">
        <w:rPr>
          <w:rStyle w:val="FootnoteReference"/>
          <w:rFonts w:ascii="Times New Roman" w:hAnsi="Times New Roman"/>
          <w:color w:val="000000"/>
          <w:sz w:val="24"/>
          <w:szCs w:val="24"/>
        </w:rPr>
        <w:footnoteReference w:id="446"/>
      </w:r>
    </w:p>
    <w:p w:rsidR="00E05E09" w:rsidRPr="00101AD2" w:rsidRDefault="00E05E09" w:rsidP="00101AD2">
      <w:pPr>
        <w:pStyle w:val="normal0"/>
        <w:shd w:val="clear" w:color="auto" w:fill="FFFFFF"/>
        <w:spacing w:before="48" w:beforeAutospacing="0" w:after="48" w:afterAutospacing="0"/>
        <w:jc w:val="both"/>
        <w:rPr>
          <w:color w:val="000000"/>
          <w:lang w:val="sr-Cyrl-CS"/>
        </w:rPr>
      </w:pPr>
    </w:p>
    <w:p w:rsidR="00E77954" w:rsidRPr="00014DFE" w:rsidRDefault="00E77954" w:rsidP="00201178">
      <w:pPr>
        <w:pStyle w:val="normal0"/>
        <w:shd w:val="clear" w:color="auto" w:fill="FFFFFF"/>
        <w:spacing w:before="48" w:beforeAutospacing="0" w:after="48" w:afterAutospacing="0"/>
        <w:rPr>
          <w:rFonts w:ascii="Arial" w:hAnsi="Arial" w:cs="Arial"/>
          <w:color w:val="000000"/>
          <w:sz w:val="18"/>
          <w:szCs w:val="18"/>
        </w:rPr>
      </w:pPr>
    </w:p>
    <w:p w:rsidR="00E77954" w:rsidRDefault="00E77954" w:rsidP="00201178">
      <w:pPr>
        <w:pStyle w:val="normal0"/>
        <w:shd w:val="clear" w:color="auto" w:fill="FFFFFF"/>
        <w:spacing w:before="48" w:beforeAutospacing="0" w:after="48" w:afterAutospacing="0"/>
        <w:rPr>
          <w:rFonts w:ascii="Arial" w:hAnsi="Arial" w:cs="Arial"/>
          <w:color w:val="000000"/>
          <w:sz w:val="18"/>
          <w:szCs w:val="18"/>
          <w:lang w:val="sr-Cyrl-CS"/>
        </w:rPr>
      </w:pPr>
    </w:p>
    <w:p w:rsidR="00201178" w:rsidRDefault="00E05E09" w:rsidP="008A3795">
      <w:pPr>
        <w:pStyle w:val="normal0"/>
        <w:numPr>
          <w:ilvl w:val="2"/>
          <w:numId w:val="55"/>
        </w:numPr>
        <w:shd w:val="clear" w:color="auto" w:fill="FFFFFF"/>
        <w:spacing w:before="48" w:beforeAutospacing="0" w:after="48" w:afterAutospacing="0"/>
        <w:rPr>
          <w:b/>
          <w:color w:val="000000"/>
          <w:lang w:val="sr-Cyrl-CS"/>
        </w:rPr>
      </w:pPr>
      <w:r>
        <w:rPr>
          <w:b/>
          <w:color w:val="000000"/>
          <w:lang w:val="sr-Cyrl-CS"/>
        </w:rPr>
        <w:t>Цедуларни порески облици пореза на доходак грађана</w:t>
      </w:r>
    </w:p>
    <w:p w:rsidR="00E05E09" w:rsidRPr="00F01F96" w:rsidRDefault="00E05E09" w:rsidP="00E05E09">
      <w:pPr>
        <w:pStyle w:val="normal0"/>
        <w:shd w:val="clear" w:color="auto" w:fill="FFFFFF"/>
        <w:spacing w:before="48" w:beforeAutospacing="0" w:after="48" w:afterAutospacing="0"/>
        <w:ind w:left="2148"/>
        <w:rPr>
          <w:b/>
          <w:color w:val="000000"/>
          <w:lang w:val="sr-Cyrl-CS"/>
        </w:rPr>
      </w:pPr>
    </w:p>
    <w:p w:rsidR="00201178" w:rsidRPr="00201178" w:rsidRDefault="00201178" w:rsidP="00201178">
      <w:pPr>
        <w:pStyle w:val="normal0"/>
        <w:shd w:val="clear" w:color="auto" w:fill="FFFFFF"/>
        <w:spacing w:before="48" w:beforeAutospacing="0" w:after="48" w:afterAutospacing="0"/>
        <w:rPr>
          <w:color w:val="000000"/>
          <w:lang w:val="sr-Cyrl-CS"/>
        </w:rPr>
      </w:pPr>
    </w:p>
    <w:p w:rsidR="00201178" w:rsidRDefault="00E05E09" w:rsidP="008A3795">
      <w:pPr>
        <w:numPr>
          <w:ilvl w:val="3"/>
          <w:numId w:val="55"/>
        </w:numPr>
        <w:jc w:val="both"/>
        <w:rPr>
          <w:rFonts w:ascii="Times New Roman" w:hAnsi="Times New Roman"/>
          <w:b/>
          <w:color w:val="000000"/>
          <w:sz w:val="24"/>
          <w:szCs w:val="24"/>
          <w:shd w:val="clear" w:color="auto" w:fill="FFFFFF"/>
          <w:lang w:val="sr-Cyrl-CS"/>
        </w:rPr>
      </w:pPr>
      <w:r>
        <w:rPr>
          <w:rFonts w:ascii="Times New Roman" w:hAnsi="Times New Roman"/>
          <w:b/>
          <w:color w:val="000000"/>
          <w:sz w:val="24"/>
          <w:szCs w:val="24"/>
          <w:shd w:val="clear" w:color="auto" w:fill="FFFFFF"/>
          <w:lang w:val="sr-Cyrl-CS"/>
        </w:rPr>
        <w:t>Порез на зараде</w:t>
      </w:r>
    </w:p>
    <w:p w:rsidR="00A508EC" w:rsidRPr="00F01F96" w:rsidRDefault="00A508EC" w:rsidP="00A508EC">
      <w:pPr>
        <w:ind w:left="2862"/>
        <w:jc w:val="both"/>
        <w:rPr>
          <w:rFonts w:ascii="Times New Roman" w:hAnsi="Times New Roman"/>
          <w:b/>
          <w:color w:val="000000"/>
          <w:sz w:val="24"/>
          <w:szCs w:val="24"/>
          <w:shd w:val="clear" w:color="auto" w:fill="FFFFFF"/>
          <w:lang w:val="sr-Cyrl-CS"/>
        </w:rPr>
      </w:pPr>
    </w:p>
    <w:p w:rsidR="00C22F48" w:rsidRPr="004122E2" w:rsidRDefault="002A4165" w:rsidP="004122E2">
      <w:pPr>
        <w:ind w:firstLine="708"/>
        <w:jc w:val="both"/>
        <w:rPr>
          <w:rFonts w:ascii="Times New Roman" w:hAnsi="Times New Roman"/>
          <w:sz w:val="24"/>
          <w:szCs w:val="24"/>
          <w:lang w:val="sr-Cyrl-CS"/>
        </w:rPr>
      </w:pPr>
      <w:r w:rsidRPr="004122E2">
        <w:rPr>
          <w:rFonts w:ascii="Times New Roman" w:hAnsi="Times New Roman"/>
          <w:sz w:val="24"/>
          <w:szCs w:val="24"/>
        </w:rPr>
        <w:t>Под</w:t>
      </w:r>
      <w:r w:rsidR="00201178" w:rsidRPr="004122E2">
        <w:rPr>
          <w:rFonts w:ascii="Times New Roman" w:hAnsi="Times New Roman"/>
          <w:sz w:val="24"/>
          <w:szCs w:val="24"/>
        </w:rPr>
        <w:t xml:space="preserve"> </w:t>
      </w:r>
      <w:r w:rsidRPr="004122E2">
        <w:rPr>
          <w:rFonts w:ascii="Times New Roman" w:hAnsi="Times New Roman"/>
          <w:sz w:val="24"/>
          <w:szCs w:val="24"/>
        </w:rPr>
        <w:t>зарадом</w:t>
      </w:r>
      <w:r w:rsidR="00A508EC" w:rsidRPr="004122E2">
        <w:rPr>
          <w:rStyle w:val="FootnoteReference"/>
          <w:rFonts w:ascii="Times New Roman" w:hAnsi="Times New Roman"/>
          <w:color w:val="000000"/>
          <w:sz w:val="24"/>
          <w:szCs w:val="24"/>
        </w:rPr>
        <w:footnoteReference w:id="447"/>
      </w:r>
      <w:r w:rsidR="00201178" w:rsidRPr="004122E2">
        <w:rPr>
          <w:rFonts w:ascii="Times New Roman" w:hAnsi="Times New Roman"/>
          <w:sz w:val="24"/>
          <w:szCs w:val="24"/>
        </w:rPr>
        <w:t xml:space="preserve"> </w:t>
      </w:r>
      <w:r w:rsidRPr="004122E2">
        <w:rPr>
          <w:rFonts w:ascii="Times New Roman" w:hAnsi="Times New Roman"/>
          <w:sz w:val="24"/>
          <w:szCs w:val="24"/>
        </w:rPr>
        <w:t>у</w:t>
      </w:r>
      <w:r w:rsidR="00201178" w:rsidRPr="004122E2">
        <w:rPr>
          <w:rFonts w:ascii="Times New Roman" w:hAnsi="Times New Roman"/>
          <w:sz w:val="24"/>
          <w:szCs w:val="24"/>
        </w:rPr>
        <w:t xml:space="preserve"> </w:t>
      </w:r>
      <w:r w:rsidRPr="004122E2">
        <w:rPr>
          <w:rFonts w:ascii="Times New Roman" w:hAnsi="Times New Roman"/>
          <w:sz w:val="24"/>
          <w:szCs w:val="24"/>
        </w:rPr>
        <w:t>смислу</w:t>
      </w:r>
      <w:r w:rsidR="00201178" w:rsidRPr="004122E2">
        <w:rPr>
          <w:rFonts w:ascii="Times New Roman" w:hAnsi="Times New Roman"/>
          <w:sz w:val="24"/>
          <w:szCs w:val="24"/>
        </w:rPr>
        <w:t xml:space="preserve"> </w:t>
      </w:r>
      <w:r w:rsidR="00A508EC" w:rsidRPr="004122E2">
        <w:rPr>
          <w:rFonts w:ascii="Times New Roman" w:hAnsi="Times New Roman"/>
          <w:sz w:val="24"/>
          <w:szCs w:val="24"/>
          <w:lang w:val="sr-Cyrl-CS"/>
        </w:rPr>
        <w:t>ЗПДГ</w:t>
      </w:r>
      <w:r w:rsidR="00A508EC" w:rsidRPr="004122E2">
        <w:rPr>
          <w:rFonts w:ascii="Times New Roman" w:hAnsi="Times New Roman"/>
          <w:sz w:val="24"/>
          <w:szCs w:val="24"/>
        </w:rPr>
        <w:t xml:space="preserve"> </w:t>
      </w:r>
      <w:r w:rsidRPr="004122E2">
        <w:rPr>
          <w:rFonts w:ascii="Times New Roman" w:hAnsi="Times New Roman"/>
          <w:sz w:val="24"/>
          <w:szCs w:val="24"/>
        </w:rPr>
        <w:t>сматра</w:t>
      </w:r>
      <w:r w:rsidR="00201178" w:rsidRPr="004122E2">
        <w:rPr>
          <w:rFonts w:ascii="Times New Roman" w:hAnsi="Times New Roman"/>
          <w:sz w:val="24"/>
          <w:szCs w:val="24"/>
        </w:rPr>
        <w:t xml:space="preserve"> </w:t>
      </w:r>
      <w:r w:rsidRPr="004122E2">
        <w:rPr>
          <w:rFonts w:ascii="Times New Roman" w:hAnsi="Times New Roman"/>
          <w:sz w:val="24"/>
          <w:szCs w:val="24"/>
        </w:rPr>
        <w:t>се</w:t>
      </w:r>
      <w:r w:rsidR="00201178" w:rsidRPr="004122E2">
        <w:rPr>
          <w:rFonts w:ascii="Times New Roman" w:hAnsi="Times New Roman"/>
          <w:sz w:val="24"/>
          <w:szCs w:val="24"/>
        </w:rPr>
        <w:t xml:space="preserve"> </w:t>
      </w:r>
      <w:r w:rsidRPr="004122E2">
        <w:rPr>
          <w:rFonts w:ascii="Times New Roman" w:hAnsi="Times New Roman"/>
          <w:sz w:val="24"/>
          <w:szCs w:val="24"/>
        </w:rPr>
        <w:t>зарада</w:t>
      </w:r>
      <w:r w:rsidR="00201178" w:rsidRPr="004122E2">
        <w:rPr>
          <w:rFonts w:ascii="Times New Roman" w:hAnsi="Times New Roman"/>
          <w:sz w:val="24"/>
          <w:szCs w:val="24"/>
        </w:rPr>
        <w:t xml:space="preserve"> </w:t>
      </w:r>
      <w:r w:rsidRPr="004122E2">
        <w:rPr>
          <w:rFonts w:ascii="Times New Roman" w:hAnsi="Times New Roman"/>
          <w:sz w:val="24"/>
          <w:szCs w:val="24"/>
        </w:rPr>
        <w:t>која</w:t>
      </w:r>
      <w:r w:rsidR="00201178" w:rsidRPr="004122E2">
        <w:rPr>
          <w:rFonts w:ascii="Times New Roman" w:hAnsi="Times New Roman"/>
          <w:sz w:val="24"/>
          <w:szCs w:val="24"/>
        </w:rPr>
        <w:t xml:space="preserve"> </w:t>
      </w:r>
      <w:r w:rsidRPr="004122E2">
        <w:rPr>
          <w:rFonts w:ascii="Times New Roman" w:hAnsi="Times New Roman"/>
          <w:sz w:val="24"/>
          <w:szCs w:val="24"/>
        </w:rPr>
        <w:t>се</w:t>
      </w:r>
      <w:r w:rsidR="00201178" w:rsidRPr="004122E2">
        <w:rPr>
          <w:rFonts w:ascii="Times New Roman" w:hAnsi="Times New Roman"/>
          <w:sz w:val="24"/>
          <w:szCs w:val="24"/>
        </w:rPr>
        <w:t xml:space="preserve"> </w:t>
      </w:r>
      <w:r w:rsidRPr="004122E2">
        <w:rPr>
          <w:rFonts w:ascii="Times New Roman" w:hAnsi="Times New Roman"/>
          <w:sz w:val="24"/>
          <w:szCs w:val="24"/>
        </w:rPr>
        <w:t>остварује</w:t>
      </w:r>
      <w:r w:rsidR="00201178" w:rsidRPr="004122E2">
        <w:rPr>
          <w:rFonts w:ascii="Times New Roman" w:hAnsi="Times New Roman"/>
          <w:sz w:val="24"/>
          <w:szCs w:val="24"/>
        </w:rPr>
        <w:t xml:space="preserve"> </w:t>
      </w:r>
      <w:r w:rsidRPr="004122E2">
        <w:rPr>
          <w:rFonts w:ascii="Times New Roman" w:hAnsi="Times New Roman"/>
          <w:sz w:val="24"/>
          <w:szCs w:val="24"/>
        </w:rPr>
        <w:t>по</w:t>
      </w:r>
      <w:r w:rsidR="00201178" w:rsidRPr="004122E2">
        <w:rPr>
          <w:rFonts w:ascii="Times New Roman" w:hAnsi="Times New Roman"/>
          <w:sz w:val="24"/>
          <w:szCs w:val="24"/>
        </w:rPr>
        <w:t xml:space="preserve"> </w:t>
      </w:r>
      <w:r w:rsidRPr="004122E2">
        <w:rPr>
          <w:rFonts w:ascii="Times New Roman" w:hAnsi="Times New Roman"/>
          <w:sz w:val="24"/>
          <w:szCs w:val="24"/>
        </w:rPr>
        <w:t>основу</w:t>
      </w:r>
      <w:r w:rsidR="00201178" w:rsidRPr="004122E2">
        <w:rPr>
          <w:rFonts w:ascii="Times New Roman" w:hAnsi="Times New Roman"/>
          <w:sz w:val="24"/>
          <w:szCs w:val="24"/>
        </w:rPr>
        <w:t xml:space="preserve"> </w:t>
      </w:r>
      <w:r w:rsidRPr="004122E2">
        <w:rPr>
          <w:rFonts w:ascii="Times New Roman" w:hAnsi="Times New Roman"/>
          <w:sz w:val="24"/>
          <w:szCs w:val="24"/>
        </w:rPr>
        <w:t>радног</w:t>
      </w:r>
      <w:r w:rsidR="00201178" w:rsidRPr="004122E2">
        <w:rPr>
          <w:rFonts w:ascii="Times New Roman" w:hAnsi="Times New Roman"/>
          <w:sz w:val="24"/>
          <w:szCs w:val="24"/>
        </w:rPr>
        <w:t xml:space="preserve"> </w:t>
      </w:r>
      <w:r w:rsidRPr="004122E2">
        <w:rPr>
          <w:rFonts w:ascii="Times New Roman" w:hAnsi="Times New Roman"/>
          <w:sz w:val="24"/>
          <w:szCs w:val="24"/>
        </w:rPr>
        <w:t>односа</w:t>
      </w:r>
      <w:r w:rsidR="00201178" w:rsidRPr="004122E2">
        <w:rPr>
          <w:rFonts w:ascii="Times New Roman" w:hAnsi="Times New Roman"/>
          <w:sz w:val="24"/>
          <w:szCs w:val="24"/>
        </w:rPr>
        <w:t xml:space="preserve">, </w:t>
      </w:r>
      <w:r w:rsidRPr="004122E2">
        <w:rPr>
          <w:rFonts w:ascii="Times New Roman" w:hAnsi="Times New Roman"/>
          <w:sz w:val="24"/>
          <w:szCs w:val="24"/>
        </w:rPr>
        <w:t>дефинисана</w:t>
      </w:r>
      <w:r w:rsidR="00201178" w:rsidRPr="004122E2">
        <w:rPr>
          <w:rFonts w:ascii="Times New Roman" w:hAnsi="Times New Roman"/>
          <w:sz w:val="24"/>
          <w:szCs w:val="24"/>
        </w:rPr>
        <w:t xml:space="preserve"> </w:t>
      </w:r>
      <w:r w:rsidRPr="004122E2">
        <w:rPr>
          <w:rFonts w:ascii="Times New Roman" w:hAnsi="Times New Roman"/>
          <w:sz w:val="24"/>
          <w:szCs w:val="24"/>
        </w:rPr>
        <w:t>законом</w:t>
      </w:r>
      <w:r w:rsidR="00201178" w:rsidRPr="004122E2">
        <w:rPr>
          <w:rFonts w:ascii="Times New Roman" w:hAnsi="Times New Roman"/>
          <w:sz w:val="24"/>
          <w:szCs w:val="24"/>
        </w:rPr>
        <w:t xml:space="preserve"> </w:t>
      </w:r>
      <w:r w:rsidRPr="004122E2">
        <w:rPr>
          <w:rFonts w:ascii="Times New Roman" w:hAnsi="Times New Roman"/>
          <w:sz w:val="24"/>
          <w:szCs w:val="24"/>
        </w:rPr>
        <w:t>којим</w:t>
      </w:r>
      <w:r w:rsidR="00201178" w:rsidRPr="004122E2">
        <w:rPr>
          <w:rFonts w:ascii="Times New Roman" w:hAnsi="Times New Roman"/>
          <w:sz w:val="24"/>
          <w:szCs w:val="24"/>
        </w:rPr>
        <w:t xml:space="preserve"> </w:t>
      </w:r>
      <w:r w:rsidRPr="004122E2">
        <w:rPr>
          <w:rFonts w:ascii="Times New Roman" w:hAnsi="Times New Roman"/>
          <w:sz w:val="24"/>
          <w:szCs w:val="24"/>
        </w:rPr>
        <w:t>се</w:t>
      </w:r>
      <w:r w:rsidR="00201178" w:rsidRPr="004122E2">
        <w:rPr>
          <w:rFonts w:ascii="Times New Roman" w:hAnsi="Times New Roman"/>
          <w:sz w:val="24"/>
          <w:szCs w:val="24"/>
        </w:rPr>
        <w:t xml:space="preserve"> </w:t>
      </w:r>
      <w:r w:rsidRPr="004122E2">
        <w:rPr>
          <w:rFonts w:ascii="Times New Roman" w:hAnsi="Times New Roman"/>
          <w:sz w:val="24"/>
          <w:szCs w:val="24"/>
        </w:rPr>
        <w:t>уређују</w:t>
      </w:r>
      <w:r w:rsidR="00201178" w:rsidRPr="004122E2">
        <w:rPr>
          <w:rFonts w:ascii="Times New Roman" w:hAnsi="Times New Roman"/>
          <w:sz w:val="24"/>
          <w:szCs w:val="24"/>
        </w:rPr>
        <w:t xml:space="preserve"> </w:t>
      </w:r>
      <w:r w:rsidRPr="004122E2">
        <w:rPr>
          <w:rFonts w:ascii="Times New Roman" w:hAnsi="Times New Roman"/>
          <w:sz w:val="24"/>
          <w:szCs w:val="24"/>
        </w:rPr>
        <w:t>радни</w:t>
      </w:r>
      <w:r w:rsidR="00201178" w:rsidRPr="004122E2">
        <w:rPr>
          <w:rFonts w:ascii="Times New Roman" w:hAnsi="Times New Roman"/>
          <w:sz w:val="24"/>
          <w:szCs w:val="24"/>
        </w:rPr>
        <w:t xml:space="preserve"> </w:t>
      </w:r>
      <w:r w:rsidRPr="004122E2">
        <w:rPr>
          <w:rFonts w:ascii="Times New Roman" w:hAnsi="Times New Roman"/>
          <w:sz w:val="24"/>
          <w:szCs w:val="24"/>
        </w:rPr>
        <w:t>односи</w:t>
      </w:r>
      <w:r w:rsidR="00201178" w:rsidRPr="004122E2">
        <w:rPr>
          <w:rFonts w:ascii="Times New Roman" w:hAnsi="Times New Roman"/>
          <w:sz w:val="24"/>
          <w:szCs w:val="24"/>
        </w:rPr>
        <w:t xml:space="preserve"> </w:t>
      </w:r>
      <w:r w:rsidRPr="004122E2">
        <w:rPr>
          <w:rFonts w:ascii="Times New Roman" w:hAnsi="Times New Roman"/>
          <w:sz w:val="24"/>
          <w:szCs w:val="24"/>
        </w:rPr>
        <w:t>и</w:t>
      </w:r>
      <w:r w:rsidR="00201178" w:rsidRPr="004122E2">
        <w:rPr>
          <w:rFonts w:ascii="Times New Roman" w:hAnsi="Times New Roman"/>
          <w:sz w:val="24"/>
          <w:szCs w:val="24"/>
        </w:rPr>
        <w:t xml:space="preserve"> </w:t>
      </w:r>
      <w:r w:rsidRPr="004122E2">
        <w:rPr>
          <w:rFonts w:ascii="Times New Roman" w:hAnsi="Times New Roman"/>
          <w:sz w:val="24"/>
          <w:szCs w:val="24"/>
        </w:rPr>
        <w:t>друга</w:t>
      </w:r>
      <w:r w:rsidR="00201178" w:rsidRPr="004122E2">
        <w:rPr>
          <w:rFonts w:ascii="Times New Roman" w:hAnsi="Times New Roman"/>
          <w:sz w:val="24"/>
          <w:szCs w:val="24"/>
        </w:rPr>
        <w:t xml:space="preserve"> </w:t>
      </w:r>
      <w:r w:rsidRPr="004122E2">
        <w:rPr>
          <w:rFonts w:ascii="Times New Roman" w:hAnsi="Times New Roman"/>
          <w:sz w:val="24"/>
          <w:szCs w:val="24"/>
        </w:rPr>
        <w:t>примања</w:t>
      </w:r>
      <w:r w:rsidR="00201178" w:rsidRPr="004122E2">
        <w:rPr>
          <w:rFonts w:ascii="Times New Roman" w:hAnsi="Times New Roman"/>
          <w:sz w:val="24"/>
          <w:szCs w:val="24"/>
        </w:rPr>
        <w:t xml:space="preserve"> </w:t>
      </w:r>
      <w:r w:rsidRPr="004122E2">
        <w:rPr>
          <w:rFonts w:ascii="Times New Roman" w:hAnsi="Times New Roman"/>
          <w:sz w:val="24"/>
          <w:szCs w:val="24"/>
        </w:rPr>
        <w:t>запосленог</w:t>
      </w:r>
      <w:r w:rsidR="00201178" w:rsidRPr="004122E2">
        <w:rPr>
          <w:rFonts w:ascii="Times New Roman" w:hAnsi="Times New Roman"/>
          <w:sz w:val="24"/>
          <w:szCs w:val="24"/>
        </w:rPr>
        <w:t>.</w:t>
      </w:r>
      <w:r w:rsidR="00A508EC" w:rsidRPr="004122E2">
        <w:rPr>
          <w:rFonts w:ascii="Times New Roman" w:hAnsi="Times New Roman"/>
          <w:sz w:val="24"/>
          <w:szCs w:val="24"/>
          <w:lang w:val="sr-Cyrl-CS"/>
        </w:rPr>
        <w:t xml:space="preserve"> </w:t>
      </w:r>
      <w:r w:rsidRPr="004122E2">
        <w:rPr>
          <w:rFonts w:ascii="Times New Roman" w:hAnsi="Times New Roman"/>
          <w:sz w:val="24"/>
          <w:szCs w:val="24"/>
        </w:rPr>
        <w:t>Зарадом</w:t>
      </w:r>
      <w:r w:rsidR="00A508EC" w:rsidRPr="004122E2">
        <w:rPr>
          <w:rFonts w:ascii="Times New Roman" w:hAnsi="Times New Roman"/>
          <w:sz w:val="24"/>
          <w:szCs w:val="24"/>
          <w:lang w:val="sr-Cyrl-CS"/>
        </w:rPr>
        <w:t xml:space="preserve"> се</w:t>
      </w:r>
      <w:r w:rsidR="00201178" w:rsidRPr="004122E2">
        <w:rPr>
          <w:rFonts w:ascii="Times New Roman" w:hAnsi="Times New Roman"/>
          <w:sz w:val="24"/>
          <w:szCs w:val="24"/>
        </w:rPr>
        <w:t xml:space="preserve"> </w:t>
      </w:r>
      <w:r w:rsidRPr="004122E2">
        <w:rPr>
          <w:rFonts w:ascii="Times New Roman" w:hAnsi="Times New Roman"/>
          <w:sz w:val="24"/>
          <w:szCs w:val="24"/>
        </w:rPr>
        <w:t>сматрају</w:t>
      </w:r>
      <w:r w:rsidR="00201178" w:rsidRPr="004122E2">
        <w:rPr>
          <w:rFonts w:ascii="Times New Roman" w:hAnsi="Times New Roman"/>
          <w:sz w:val="24"/>
          <w:szCs w:val="24"/>
        </w:rPr>
        <w:t xml:space="preserve"> </w:t>
      </w:r>
      <w:r w:rsidRPr="004122E2">
        <w:rPr>
          <w:rFonts w:ascii="Times New Roman" w:hAnsi="Times New Roman"/>
          <w:sz w:val="24"/>
          <w:szCs w:val="24"/>
        </w:rPr>
        <w:t>и</w:t>
      </w:r>
      <w:r w:rsidR="00201178" w:rsidRPr="004122E2">
        <w:rPr>
          <w:rFonts w:ascii="Times New Roman" w:hAnsi="Times New Roman"/>
          <w:sz w:val="24"/>
          <w:szCs w:val="24"/>
        </w:rPr>
        <w:t xml:space="preserve"> </w:t>
      </w:r>
      <w:r w:rsidRPr="004122E2">
        <w:rPr>
          <w:rFonts w:ascii="Times New Roman" w:hAnsi="Times New Roman"/>
          <w:sz w:val="24"/>
          <w:szCs w:val="24"/>
        </w:rPr>
        <w:t>уговорена</w:t>
      </w:r>
      <w:r w:rsidR="00201178" w:rsidRPr="004122E2">
        <w:rPr>
          <w:rFonts w:ascii="Times New Roman" w:hAnsi="Times New Roman"/>
          <w:sz w:val="24"/>
          <w:szCs w:val="24"/>
        </w:rPr>
        <w:t xml:space="preserve"> </w:t>
      </w:r>
      <w:r w:rsidRPr="004122E2">
        <w:rPr>
          <w:rFonts w:ascii="Times New Roman" w:hAnsi="Times New Roman"/>
          <w:sz w:val="24"/>
          <w:szCs w:val="24"/>
        </w:rPr>
        <w:t>накнада</w:t>
      </w:r>
      <w:r w:rsidR="00201178" w:rsidRPr="004122E2">
        <w:rPr>
          <w:rFonts w:ascii="Times New Roman" w:hAnsi="Times New Roman"/>
          <w:sz w:val="24"/>
          <w:szCs w:val="24"/>
        </w:rPr>
        <w:t xml:space="preserve"> </w:t>
      </w:r>
      <w:r w:rsidRPr="004122E2">
        <w:rPr>
          <w:rFonts w:ascii="Times New Roman" w:hAnsi="Times New Roman"/>
          <w:sz w:val="24"/>
          <w:szCs w:val="24"/>
        </w:rPr>
        <w:t>и</w:t>
      </w:r>
      <w:r w:rsidR="00201178" w:rsidRPr="004122E2">
        <w:rPr>
          <w:rFonts w:ascii="Times New Roman" w:hAnsi="Times New Roman"/>
          <w:sz w:val="24"/>
          <w:szCs w:val="24"/>
        </w:rPr>
        <w:t xml:space="preserve"> </w:t>
      </w:r>
      <w:r w:rsidRPr="004122E2">
        <w:rPr>
          <w:rFonts w:ascii="Times New Roman" w:hAnsi="Times New Roman"/>
          <w:sz w:val="24"/>
          <w:szCs w:val="24"/>
        </w:rPr>
        <w:t>друга</w:t>
      </w:r>
      <w:r w:rsidR="00201178" w:rsidRPr="004122E2">
        <w:rPr>
          <w:rFonts w:ascii="Times New Roman" w:hAnsi="Times New Roman"/>
          <w:sz w:val="24"/>
          <w:szCs w:val="24"/>
        </w:rPr>
        <w:t xml:space="preserve"> </w:t>
      </w:r>
      <w:r w:rsidRPr="004122E2">
        <w:rPr>
          <w:rFonts w:ascii="Times New Roman" w:hAnsi="Times New Roman"/>
          <w:sz w:val="24"/>
          <w:szCs w:val="24"/>
        </w:rPr>
        <w:t>примања</w:t>
      </w:r>
      <w:r w:rsidR="00201178" w:rsidRPr="004122E2">
        <w:rPr>
          <w:rFonts w:ascii="Times New Roman" w:hAnsi="Times New Roman"/>
          <w:sz w:val="24"/>
          <w:szCs w:val="24"/>
        </w:rPr>
        <w:t xml:space="preserve"> </w:t>
      </w:r>
      <w:r w:rsidRPr="004122E2">
        <w:rPr>
          <w:rFonts w:ascii="Times New Roman" w:hAnsi="Times New Roman"/>
          <w:sz w:val="24"/>
          <w:szCs w:val="24"/>
        </w:rPr>
        <w:t>која</w:t>
      </w:r>
      <w:r w:rsidR="00201178" w:rsidRPr="004122E2">
        <w:rPr>
          <w:rFonts w:ascii="Times New Roman" w:hAnsi="Times New Roman"/>
          <w:sz w:val="24"/>
          <w:szCs w:val="24"/>
        </w:rPr>
        <w:t xml:space="preserve"> </w:t>
      </w:r>
      <w:r w:rsidRPr="004122E2">
        <w:rPr>
          <w:rFonts w:ascii="Times New Roman" w:hAnsi="Times New Roman"/>
          <w:sz w:val="24"/>
          <w:szCs w:val="24"/>
        </w:rPr>
        <w:t>се</w:t>
      </w:r>
      <w:r w:rsidR="00201178" w:rsidRPr="004122E2">
        <w:rPr>
          <w:rFonts w:ascii="Times New Roman" w:hAnsi="Times New Roman"/>
          <w:sz w:val="24"/>
          <w:szCs w:val="24"/>
        </w:rPr>
        <w:t xml:space="preserve"> </w:t>
      </w:r>
      <w:r w:rsidRPr="004122E2">
        <w:rPr>
          <w:rFonts w:ascii="Times New Roman" w:hAnsi="Times New Roman"/>
          <w:sz w:val="24"/>
          <w:szCs w:val="24"/>
        </w:rPr>
        <w:t>остварују</w:t>
      </w:r>
      <w:r w:rsidR="00201178" w:rsidRPr="004122E2">
        <w:rPr>
          <w:rFonts w:ascii="Times New Roman" w:hAnsi="Times New Roman"/>
          <w:sz w:val="24"/>
          <w:szCs w:val="24"/>
        </w:rPr>
        <w:t xml:space="preserve"> </w:t>
      </w:r>
      <w:r w:rsidRPr="004122E2">
        <w:rPr>
          <w:rFonts w:ascii="Times New Roman" w:hAnsi="Times New Roman"/>
          <w:sz w:val="24"/>
          <w:szCs w:val="24"/>
        </w:rPr>
        <w:t>обављањем</w:t>
      </w:r>
      <w:r w:rsidR="00201178" w:rsidRPr="004122E2">
        <w:rPr>
          <w:rFonts w:ascii="Times New Roman" w:hAnsi="Times New Roman"/>
          <w:sz w:val="24"/>
          <w:szCs w:val="24"/>
        </w:rPr>
        <w:t xml:space="preserve"> </w:t>
      </w:r>
      <w:r w:rsidRPr="004122E2">
        <w:rPr>
          <w:rFonts w:ascii="Times New Roman" w:hAnsi="Times New Roman"/>
          <w:sz w:val="24"/>
          <w:szCs w:val="24"/>
        </w:rPr>
        <w:t>привремених</w:t>
      </w:r>
      <w:r w:rsidR="00201178" w:rsidRPr="004122E2">
        <w:rPr>
          <w:rFonts w:ascii="Times New Roman" w:hAnsi="Times New Roman"/>
          <w:sz w:val="24"/>
          <w:szCs w:val="24"/>
        </w:rPr>
        <w:t xml:space="preserve"> </w:t>
      </w:r>
      <w:r w:rsidRPr="004122E2">
        <w:rPr>
          <w:rFonts w:ascii="Times New Roman" w:hAnsi="Times New Roman"/>
          <w:sz w:val="24"/>
          <w:szCs w:val="24"/>
        </w:rPr>
        <w:t>и</w:t>
      </w:r>
      <w:r w:rsidR="00201178" w:rsidRPr="004122E2">
        <w:rPr>
          <w:rFonts w:ascii="Times New Roman" w:hAnsi="Times New Roman"/>
          <w:sz w:val="24"/>
          <w:szCs w:val="24"/>
        </w:rPr>
        <w:t xml:space="preserve"> </w:t>
      </w:r>
      <w:r w:rsidRPr="004122E2">
        <w:rPr>
          <w:rFonts w:ascii="Times New Roman" w:hAnsi="Times New Roman"/>
          <w:sz w:val="24"/>
          <w:szCs w:val="24"/>
        </w:rPr>
        <w:t>повремених</w:t>
      </w:r>
      <w:r w:rsidR="00201178" w:rsidRPr="004122E2">
        <w:rPr>
          <w:rFonts w:ascii="Times New Roman" w:hAnsi="Times New Roman"/>
          <w:sz w:val="24"/>
          <w:szCs w:val="24"/>
        </w:rPr>
        <w:t xml:space="preserve"> </w:t>
      </w:r>
      <w:r w:rsidRPr="004122E2">
        <w:rPr>
          <w:rFonts w:ascii="Times New Roman" w:hAnsi="Times New Roman"/>
          <w:sz w:val="24"/>
          <w:szCs w:val="24"/>
        </w:rPr>
        <w:t>послова</w:t>
      </w:r>
      <w:r w:rsidR="00201178" w:rsidRPr="004122E2">
        <w:rPr>
          <w:rFonts w:ascii="Times New Roman" w:hAnsi="Times New Roman"/>
          <w:sz w:val="24"/>
          <w:szCs w:val="24"/>
        </w:rPr>
        <w:t xml:space="preserve"> </w:t>
      </w:r>
      <w:r w:rsidRPr="004122E2">
        <w:rPr>
          <w:rFonts w:ascii="Times New Roman" w:hAnsi="Times New Roman"/>
          <w:sz w:val="24"/>
          <w:szCs w:val="24"/>
        </w:rPr>
        <w:t>на</w:t>
      </w:r>
      <w:r w:rsidR="00201178" w:rsidRPr="004122E2">
        <w:rPr>
          <w:rFonts w:ascii="Times New Roman" w:hAnsi="Times New Roman"/>
          <w:sz w:val="24"/>
          <w:szCs w:val="24"/>
        </w:rPr>
        <w:t xml:space="preserve"> </w:t>
      </w:r>
      <w:r w:rsidRPr="004122E2">
        <w:rPr>
          <w:rFonts w:ascii="Times New Roman" w:hAnsi="Times New Roman"/>
          <w:sz w:val="24"/>
          <w:szCs w:val="24"/>
        </w:rPr>
        <w:t>основу</w:t>
      </w:r>
      <w:r w:rsidR="00201178" w:rsidRPr="004122E2">
        <w:rPr>
          <w:rFonts w:ascii="Times New Roman" w:hAnsi="Times New Roman"/>
          <w:sz w:val="24"/>
          <w:szCs w:val="24"/>
        </w:rPr>
        <w:t xml:space="preserve"> </w:t>
      </w:r>
      <w:r w:rsidRPr="004122E2">
        <w:rPr>
          <w:rFonts w:ascii="Times New Roman" w:hAnsi="Times New Roman"/>
          <w:sz w:val="24"/>
          <w:szCs w:val="24"/>
        </w:rPr>
        <w:t>уговора</w:t>
      </w:r>
      <w:r w:rsidR="00201178" w:rsidRPr="004122E2">
        <w:rPr>
          <w:rFonts w:ascii="Times New Roman" w:hAnsi="Times New Roman"/>
          <w:sz w:val="24"/>
          <w:szCs w:val="24"/>
        </w:rPr>
        <w:t xml:space="preserve"> </w:t>
      </w:r>
      <w:r w:rsidRPr="004122E2">
        <w:rPr>
          <w:rFonts w:ascii="Times New Roman" w:hAnsi="Times New Roman"/>
          <w:sz w:val="24"/>
          <w:szCs w:val="24"/>
        </w:rPr>
        <w:t>закљученог</w:t>
      </w:r>
      <w:r w:rsidR="00201178" w:rsidRPr="004122E2">
        <w:rPr>
          <w:rFonts w:ascii="Times New Roman" w:hAnsi="Times New Roman"/>
          <w:sz w:val="24"/>
          <w:szCs w:val="24"/>
        </w:rPr>
        <w:t xml:space="preserve"> </w:t>
      </w:r>
      <w:r w:rsidRPr="004122E2">
        <w:rPr>
          <w:rFonts w:ascii="Times New Roman" w:hAnsi="Times New Roman"/>
          <w:sz w:val="24"/>
          <w:szCs w:val="24"/>
        </w:rPr>
        <w:t>непосредно</w:t>
      </w:r>
      <w:r w:rsidR="00201178" w:rsidRPr="004122E2">
        <w:rPr>
          <w:rFonts w:ascii="Times New Roman" w:hAnsi="Times New Roman"/>
          <w:sz w:val="24"/>
          <w:szCs w:val="24"/>
        </w:rPr>
        <w:t xml:space="preserve"> </w:t>
      </w:r>
      <w:r w:rsidRPr="004122E2">
        <w:rPr>
          <w:rFonts w:ascii="Times New Roman" w:hAnsi="Times New Roman"/>
          <w:sz w:val="24"/>
          <w:szCs w:val="24"/>
        </w:rPr>
        <w:t>са</w:t>
      </w:r>
      <w:r w:rsidR="00201178" w:rsidRPr="004122E2">
        <w:rPr>
          <w:rFonts w:ascii="Times New Roman" w:hAnsi="Times New Roman"/>
          <w:sz w:val="24"/>
          <w:szCs w:val="24"/>
        </w:rPr>
        <w:t xml:space="preserve"> </w:t>
      </w:r>
      <w:r w:rsidRPr="004122E2">
        <w:rPr>
          <w:rFonts w:ascii="Times New Roman" w:hAnsi="Times New Roman"/>
          <w:sz w:val="24"/>
          <w:szCs w:val="24"/>
        </w:rPr>
        <w:t>послодавцем</w:t>
      </w:r>
      <w:r w:rsidR="00201178" w:rsidRPr="004122E2">
        <w:rPr>
          <w:rFonts w:ascii="Times New Roman" w:hAnsi="Times New Roman"/>
          <w:sz w:val="24"/>
          <w:szCs w:val="24"/>
        </w:rPr>
        <w:t xml:space="preserve">, </w:t>
      </w:r>
      <w:r w:rsidRPr="004122E2">
        <w:rPr>
          <w:rFonts w:ascii="Times New Roman" w:hAnsi="Times New Roman"/>
          <w:sz w:val="24"/>
          <w:szCs w:val="24"/>
        </w:rPr>
        <w:t>као</w:t>
      </w:r>
      <w:r w:rsidR="00201178" w:rsidRPr="004122E2">
        <w:rPr>
          <w:rFonts w:ascii="Times New Roman" w:hAnsi="Times New Roman"/>
          <w:sz w:val="24"/>
          <w:szCs w:val="24"/>
        </w:rPr>
        <w:t xml:space="preserve"> </w:t>
      </w:r>
      <w:r w:rsidRPr="004122E2">
        <w:rPr>
          <w:rFonts w:ascii="Times New Roman" w:hAnsi="Times New Roman"/>
          <w:sz w:val="24"/>
          <w:szCs w:val="24"/>
        </w:rPr>
        <w:t>и</w:t>
      </w:r>
      <w:r w:rsidR="00201178" w:rsidRPr="004122E2">
        <w:rPr>
          <w:rFonts w:ascii="Times New Roman" w:hAnsi="Times New Roman"/>
          <w:sz w:val="24"/>
          <w:szCs w:val="24"/>
        </w:rPr>
        <w:t xml:space="preserve"> </w:t>
      </w:r>
      <w:r w:rsidRPr="004122E2">
        <w:rPr>
          <w:rFonts w:ascii="Times New Roman" w:hAnsi="Times New Roman"/>
          <w:sz w:val="24"/>
          <w:szCs w:val="24"/>
        </w:rPr>
        <w:t>на</w:t>
      </w:r>
      <w:r w:rsidR="00201178" w:rsidRPr="004122E2">
        <w:rPr>
          <w:rFonts w:ascii="Times New Roman" w:hAnsi="Times New Roman"/>
          <w:sz w:val="24"/>
          <w:szCs w:val="24"/>
        </w:rPr>
        <w:t xml:space="preserve"> </w:t>
      </w:r>
      <w:r w:rsidRPr="004122E2">
        <w:rPr>
          <w:rFonts w:ascii="Times New Roman" w:hAnsi="Times New Roman"/>
          <w:sz w:val="24"/>
          <w:szCs w:val="24"/>
        </w:rPr>
        <w:t>основу</w:t>
      </w:r>
      <w:r w:rsidR="00201178" w:rsidRPr="004122E2">
        <w:rPr>
          <w:rFonts w:ascii="Times New Roman" w:hAnsi="Times New Roman"/>
          <w:sz w:val="24"/>
          <w:szCs w:val="24"/>
        </w:rPr>
        <w:t xml:space="preserve"> </w:t>
      </w:r>
      <w:r w:rsidRPr="004122E2">
        <w:rPr>
          <w:rFonts w:ascii="Times New Roman" w:hAnsi="Times New Roman"/>
          <w:sz w:val="24"/>
          <w:szCs w:val="24"/>
        </w:rPr>
        <w:t>уговора</w:t>
      </w:r>
      <w:r w:rsidR="00201178" w:rsidRPr="004122E2">
        <w:rPr>
          <w:rFonts w:ascii="Times New Roman" w:hAnsi="Times New Roman"/>
          <w:sz w:val="24"/>
          <w:szCs w:val="24"/>
        </w:rPr>
        <w:t xml:space="preserve"> </w:t>
      </w:r>
      <w:r w:rsidRPr="004122E2">
        <w:rPr>
          <w:rFonts w:ascii="Times New Roman" w:hAnsi="Times New Roman"/>
          <w:sz w:val="24"/>
          <w:szCs w:val="24"/>
        </w:rPr>
        <w:t>закљученог</w:t>
      </w:r>
      <w:r w:rsidR="00201178" w:rsidRPr="004122E2">
        <w:rPr>
          <w:rFonts w:ascii="Times New Roman" w:hAnsi="Times New Roman"/>
          <w:sz w:val="24"/>
          <w:szCs w:val="24"/>
        </w:rPr>
        <w:t xml:space="preserve"> </w:t>
      </w:r>
      <w:r w:rsidRPr="004122E2">
        <w:rPr>
          <w:rFonts w:ascii="Times New Roman" w:hAnsi="Times New Roman"/>
          <w:sz w:val="24"/>
          <w:szCs w:val="24"/>
        </w:rPr>
        <w:t>преко</w:t>
      </w:r>
      <w:r w:rsidR="00201178" w:rsidRPr="004122E2">
        <w:rPr>
          <w:rFonts w:ascii="Times New Roman" w:hAnsi="Times New Roman"/>
          <w:sz w:val="24"/>
          <w:szCs w:val="24"/>
        </w:rPr>
        <w:t xml:space="preserve"> </w:t>
      </w:r>
      <w:r w:rsidRPr="004122E2">
        <w:rPr>
          <w:rFonts w:ascii="Times New Roman" w:hAnsi="Times New Roman"/>
          <w:sz w:val="24"/>
          <w:szCs w:val="24"/>
        </w:rPr>
        <w:t>омладинске</w:t>
      </w:r>
      <w:r w:rsidR="00201178" w:rsidRPr="004122E2">
        <w:rPr>
          <w:rFonts w:ascii="Times New Roman" w:hAnsi="Times New Roman"/>
          <w:sz w:val="24"/>
          <w:szCs w:val="24"/>
        </w:rPr>
        <w:t xml:space="preserve"> </w:t>
      </w:r>
      <w:r w:rsidRPr="004122E2">
        <w:rPr>
          <w:rFonts w:ascii="Times New Roman" w:hAnsi="Times New Roman"/>
          <w:sz w:val="24"/>
          <w:szCs w:val="24"/>
        </w:rPr>
        <w:t>или</w:t>
      </w:r>
      <w:r w:rsidR="00201178" w:rsidRPr="004122E2">
        <w:rPr>
          <w:rFonts w:ascii="Times New Roman" w:hAnsi="Times New Roman"/>
          <w:sz w:val="24"/>
          <w:szCs w:val="24"/>
        </w:rPr>
        <w:t xml:space="preserve"> </w:t>
      </w:r>
      <w:r w:rsidRPr="004122E2">
        <w:rPr>
          <w:rFonts w:ascii="Times New Roman" w:hAnsi="Times New Roman"/>
          <w:sz w:val="24"/>
          <w:szCs w:val="24"/>
        </w:rPr>
        <w:t>студентске</w:t>
      </w:r>
      <w:r w:rsidR="00201178" w:rsidRPr="004122E2">
        <w:rPr>
          <w:rFonts w:ascii="Times New Roman" w:hAnsi="Times New Roman"/>
          <w:sz w:val="24"/>
          <w:szCs w:val="24"/>
        </w:rPr>
        <w:t xml:space="preserve"> </w:t>
      </w:r>
      <w:r w:rsidRPr="004122E2">
        <w:rPr>
          <w:rFonts w:ascii="Times New Roman" w:hAnsi="Times New Roman"/>
          <w:sz w:val="24"/>
          <w:szCs w:val="24"/>
        </w:rPr>
        <w:t>задруге</w:t>
      </w:r>
      <w:r w:rsidR="00201178" w:rsidRPr="004122E2">
        <w:rPr>
          <w:rFonts w:ascii="Times New Roman" w:hAnsi="Times New Roman"/>
          <w:sz w:val="24"/>
          <w:szCs w:val="24"/>
        </w:rPr>
        <w:t xml:space="preserve">, </w:t>
      </w:r>
      <w:r w:rsidRPr="004122E2">
        <w:rPr>
          <w:rFonts w:ascii="Times New Roman" w:hAnsi="Times New Roman"/>
          <w:sz w:val="24"/>
          <w:szCs w:val="24"/>
        </w:rPr>
        <w:t>осим</w:t>
      </w:r>
      <w:r w:rsidR="00201178" w:rsidRPr="004122E2">
        <w:rPr>
          <w:rFonts w:ascii="Times New Roman" w:hAnsi="Times New Roman"/>
          <w:sz w:val="24"/>
          <w:szCs w:val="24"/>
        </w:rPr>
        <w:t xml:space="preserve"> </w:t>
      </w:r>
      <w:r w:rsidRPr="004122E2">
        <w:rPr>
          <w:rFonts w:ascii="Times New Roman" w:hAnsi="Times New Roman"/>
          <w:sz w:val="24"/>
          <w:szCs w:val="24"/>
        </w:rPr>
        <w:t>са</w:t>
      </w:r>
      <w:r w:rsidR="00201178" w:rsidRPr="004122E2">
        <w:rPr>
          <w:rFonts w:ascii="Times New Roman" w:hAnsi="Times New Roman"/>
          <w:sz w:val="24"/>
          <w:szCs w:val="24"/>
        </w:rPr>
        <w:t xml:space="preserve"> </w:t>
      </w:r>
      <w:r w:rsidRPr="004122E2">
        <w:rPr>
          <w:rFonts w:ascii="Times New Roman" w:hAnsi="Times New Roman"/>
          <w:sz w:val="24"/>
          <w:szCs w:val="24"/>
        </w:rPr>
        <w:t>лицем</w:t>
      </w:r>
      <w:r w:rsidR="00201178" w:rsidRPr="004122E2">
        <w:rPr>
          <w:rFonts w:ascii="Times New Roman" w:hAnsi="Times New Roman"/>
          <w:sz w:val="24"/>
          <w:szCs w:val="24"/>
        </w:rPr>
        <w:t xml:space="preserve"> </w:t>
      </w:r>
      <w:r w:rsidRPr="004122E2">
        <w:rPr>
          <w:rFonts w:ascii="Times New Roman" w:hAnsi="Times New Roman"/>
          <w:sz w:val="24"/>
          <w:szCs w:val="24"/>
        </w:rPr>
        <w:t>до</w:t>
      </w:r>
      <w:r w:rsidR="00201178" w:rsidRPr="004122E2">
        <w:rPr>
          <w:rFonts w:ascii="Times New Roman" w:hAnsi="Times New Roman"/>
          <w:sz w:val="24"/>
          <w:szCs w:val="24"/>
        </w:rPr>
        <w:t xml:space="preserve"> </w:t>
      </w:r>
      <w:r w:rsidRPr="004122E2">
        <w:rPr>
          <w:rFonts w:ascii="Times New Roman" w:hAnsi="Times New Roman"/>
          <w:sz w:val="24"/>
          <w:szCs w:val="24"/>
        </w:rPr>
        <w:t>навршених</w:t>
      </w:r>
      <w:r w:rsidR="00201178" w:rsidRPr="004122E2">
        <w:rPr>
          <w:rFonts w:ascii="Times New Roman" w:hAnsi="Times New Roman"/>
          <w:sz w:val="24"/>
          <w:szCs w:val="24"/>
        </w:rPr>
        <w:t xml:space="preserve"> 26 </w:t>
      </w:r>
      <w:r w:rsidRPr="004122E2">
        <w:rPr>
          <w:rFonts w:ascii="Times New Roman" w:hAnsi="Times New Roman"/>
          <w:sz w:val="24"/>
          <w:szCs w:val="24"/>
        </w:rPr>
        <w:t>година</w:t>
      </w:r>
      <w:r w:rsidR="00201178" w:rsidRPr="004122E2">
        <w:rPr>
          <w:rFonts w:ascii="Times New Roman" w:hAnsi="Times New Roman"/>
          <w:sz w:val="24"/>
          <w:szCs w:val="24"/>
        </w:rPr>
        <w:t xml:space="preserve"> </w:t>
      </w:r>
      <w:r w:rsidRPr="004122E2">
        <w:rPr>
          <w:rFonts w:ascii="Times New Roman" w:hAnsi="Times New Roman"/>
          <w:sz w:val="24"/>
          <w:szCs w:val="24"/>
        </w:rPr>
        <w:t>живота</w:t>
      </w:r>
      <w:r w:rsidR="00201178" w:rsidRPr="004122E2">
        <w:rPr>
          <w:rFonts w:ascii="Times New Roman" w:hAnsi="Times New Roman"/>
          <w:sz w:val="24"/>
          <w:szCs w:val="24"/>
        </w:rPr>
        <w:t xml:space="preserve">, </w:t>
      </w:r>
      <w:r w:rsidRPr="004122E2">
        <w:rPr>
          <w:rFonts w:ascii="Times New Roman" w:hAnsi="Times New Roman"/>
          <w:sz w:val="24"/>
          <w:szCs w:val="24"/>
        </w:rPr>
        <w:t>ако</w:t>
      </w:r>
      <w:r w:rsidR="00201178" w:rsidRPr="004122E2">
        <w:rPr>
          <w:rFonts w:ascii="Times New Roman" w:hAnsi="Times New Roman"/>
          <w:sz w:val="24"/>
          <w:szCs w:val="24"/>
        </w:rPr>
        <w:t xml:space="preserve"> </w:t>
      </w:r>
      <w:r w:rsidRPr="004122E2">
        <w:rPr>
          <w:rFonts w:ascii="Times New Roman" w:hAnsi="Times New Roman"/>
          <w:sz w:val="24"/>
          <w:szCs w:val="24"/>
        </w:rPr>
        <w:t>је</w:t>
      </w:r>
      <w:r w:rsidR="00201178" w:rsidRPr="004122E2">
        <w:rPr>
          <w:rFonts w:ascii="Times New Roman" w:hAnsi="Times New Roman"/>
          <w:sz w:val="24"/>
          <w:szCs w:val="24"/>
        </w:rPr>
        <w:t xml:space="preserve"> </w:t>
      </w:r>
      <w:r w:rsidRPr="004122E2">
        <w:rPr>
          <w:rFonts w:ascii="Times New Roman" w:hAnsi="Times New Roman"/>
          <w:sz w:val="24"/>
          <w:szCs w:val="24"/>
        </w:rPr>
        <w:t>на</w:t>
      </w:r>
      <w:r w:rsidR="00201178" w:rsidRPr="004122E2">
        <w:rPr>
          <w:rFonts w:ascii="Times New Roman" w:hAnsi="Times New Roman"/>
          <w:sz w:val="24"/>
          <w:szCs w:val="24"/>
        </w:rPr>
        <w:t xml:space="preserve"> </w:t>
      </w:r>
      <w:r w:rsidRPr="004122E2">
        <w:rPr>
          <w:rFonts w:ascii="Times New Roman" w:hAnsi="Times New Roman"/>
          <w:sz w:val="24"/>
          <w:szCs w:val="24"/>
        </w:rPr>
        <w:t>школовању</w:t>
      </w:r>
      <w:r w:rsidR="00201178" w:rsidRPr="004122E2">
        <w:rPr>
          <w:rFonts w:ascii="Times New Roman" w:hAnsi="Times New Roman"/>
          <w:sz w:val="24"/>
          <w:szCs w:val="24"/>
        </w:rPr>
        <w:t xml:space="preserve"> </w:t>
      </w:r>
      <w:r w:rsidRPr="004122E2">
        <w:rPr>
          <w:rFonts w:ascii="Times New Roman" w:hAnsi="Times New Roman"/>
          <w:sz w:val="24"/>
          <w:szCs w:val="24"/>
        </w:rPr>
        <w:t>у</w:t>
      </w:r>
      <w:r w:rsidR="00201178" w:rsidRPr="004122E2">
        <w:rPr>
          <w:rFonts w:ascii="Times New Roman" w:hAnsi="Times New Roman"/>
          <w:sz w:val="24"/>
          <w:szCs w:val="24"/>
        </w:rPr>
        <w:t xml:space="preserve"> </w:t>
      </w:r>
      <w:r w:rsidRPr="004122E2">
        <w:rPr>
          <w:rFonts w:ascii="Times New Roman" w:hAnsi="Times New Roman"/>
          <w:sz w:val="24"/>
          <w:szCs w:val="24"/>
        </w:rPr>
        <w:t>установама</w:t>
      </w:r>
      <w:r w:rsidR="00201178" w:rsidRPr="004122E2">
        <w:rPr>
          <w:rFonts w:ascii="Times New Roman" w:hAnsi="Times New Roman"/>
          <w:sz w:val="24"/>
          <w:szCs w:val="24"/>
        </w:rPr>
        <w:t xml:space="preserve"> </w:t>
      </w:r>
      <w:r w:rsidRPr="004122E2">
        <w:rPr>
          <w:rFonts w:ascii="Times New Roman" w:hAnsi="Times New Roman"/>
          <w:sz w:val="24"/>
          <w:szCs w:val="24"/>
        </w:rPr>
        <w:t>средњег</w:t>
      </w:r>
      <w:r w:rsidR="00201178" w:rsidRPr="004122E2">
        <w:rPr>
          <w:rFonts w:ascii="Times New Roman" w:hAnsi="Times New Roman"/>
          <w:sz w:val="24"/>
          <w:szCs w:val="24"/>
        </w:rPr>
        <w:t xml:space="preserve">, </w:t>
      </w:r>
      <w:r w:rsidRPr="004122E2">
        <w:rPr>
          <w:rFonts w:ascii="Times New Roman" w:hAnsi="Times New Roman"/>
          <w:sz w:val="24"/>
          <w:szCs w:val="24"/>
        </w:rPr>
        <w:t>вишег</w:t>
      </w:r>
      <w:r w:rsidR="00201178" w:rsidRPr="004122E2">
        <w:rPr>
          <w:rFonts w:ascii="Times New Roman" w:hAnsi="Times New Roman"/>
          <w:sz w:val="24"/>
          <w:szCs w:val="24"/>
        </w:rPr>
        <w:t xml:space="preserve"> </w:t>
      </w:r>
      <w:r w:rsidRPr="004122E2">
        <w:rPr>
          <w:rFonts w:ascii="Times New Roman" w:hAnsi="Times New Roman"/>
          <w:sz w:val="24"/>
          <w:szCs w:val="24"/>
        </w:rPr>
        <w:t>и</w:t>
      </w:r>
      <w:r w:rsidR="00201178" w:rsidRPr="004122E2">
        <w:rPr>
          <w:rFonts w:ascii="Times New Roman" w:hAnsi="Times New Roman"/>
          <w:sz w:val="24"/>
          <w:szCs w:val="24"/>
        </w:rPr>
        <w:t xml:space="preserve"> </w:t>
      </w:r>
      <w:r w:rsidRPr="004122E2">
        <w:rPr>
          <w:rFonts w:ascii="Times New Roman" w:hAnsi="Times New Roman"/>
          <w:sz w:val="24"/>
          <w:szCs w:val="24"/>
        </w:rPr>
        <w:t>високог</w:t>
      </w:r>
      <w:r w:rsidR="00201178" w:rsidRPr="004122E2">
        <w:rPr>
          <w:rFonts w:ascii="Times New Roman" w:hAnsi="Times New Roman"/>
          <w:sz w:val="24"/>
          <w:szCs w:val="24"/>
        </w:rPr>
        <w:t xml:space="preserve"> </w:t>
      </w:r>
      <w:r w:rsidRPr="004122E2">
        <w:rPr>
          <w:rFonts w:ascii="Times New Roman" w:hAnsi="Times New Roman"/>
          <w:sz w:val="24"/>
          <w:szCs w:val="24"/>
        </w:rPr>
        <w:t>образовања</w:t>
      </w:r>
      <w:r w:rsidR="00201178" w:rsidRPr="004122E2">
        <w:rPr>
          <w:rFonts w:ascii="Times New Roman" w:hAnsi="Times New Roman"/>
          <w:sz w:val="24"/>
          <w:szCs w:val="24"/>
        </w:rPr>
        <w:t>.</w:t>
      </w:r>
      <w:r w:rsidR="00A508EC" w:rsidRPr="004122E2">
        <w:rPr>
          <w:rFonts w:ascii="Times New Roman" w:hAnsi="Times New Roman"/>
          <w:sz w:val="24"/>
          <w:szCs w:val="24"/>
          <w:lang w:val="sr-Cyrl-CS"/>
        </w:rPr>
        <w:t xml:space="preserve"> </w:t>
      </w:r>
      <w:r w:rsidRPr="004122E2">
        <w:rPr>
          <w:rFonts w:ascii="Times New Roman" w:hAnsi="Times New Roman"/>
          <w:sz w:val="24"/>
          <w:szCs w:val="24"/>
        </w:rPr>
        <w:t>Зарадом</w:t>
      </w:r>
      <w:r w:rsidR="00A508EC" w:rsidRPr="004122E2">
        <w:rPr>
          <w:rFonts w:ascii="Times New Roman" w:hAnsi="Times New Roman"/>
          <w:sz w:val="24"/>
          <w:szCs w:val="24"/>
          <w:lang w:val="sr-Cyrl-CS"/>
        </w:rPr>
        <w:t xml:space="preserve"> се </w:t>
      </w:r>
      <w:r w:rsidRPr="004122E2">
        <w:rPr>
          <w:rFonts w:ascii="Times New Roman" w:hAnsi="Times New Roman"/>
          <w:sz w:val="24"/>
          <w:szCs w:val="24"/>
        </w:rPr>
        <w:t>сматра</w:t>
      </w:r>
      <w:r w:rsidR="00A508EC" w:rsidRPr="004122E2">
        <w:rPr>
          <w:rFonts w:ascii="Times New Roman" w:hAnsi="Times New Roman"/>
          <w:sz w:val="24"/>
          <w:szCs w:val="24"/>
        </w:rPr>
        <w:t xml:space="preserve"> </w:t>
      </w:r>
      <w:r w:rsidR="00201178" w:rsidRPr="004122E2">
        <w:rPr>
          <w:rFonts w:ascii="Times New Roman" w:hAnsi="Times New Roman"/>
          <w:sz w:val="24"/>
          <w:szCs w:val="24"/>
        </w:rPr>
        <w:t xml:space="preserve"> </w:t>
      </w:r>
      <w:r w:rsidRPr="004122E2">
        <w:rPr>
          <w:rFonts w:ascii="Times New Roman" w:hAnsi="Times New Roman"/>
          <w:sz w:val="24"/>
          <w:szCs w:val="24"/>
        </w:rPr>
        <w:t>и</w:t>
      </w:r>
      <w:r w:rsidR="00201178" w:rsidRPr="004122E2">
        <w:rPr>
          <w:rFonts w:ascii="Times New Roman" w:hAnsi="Times New Roman"/>
          <w:sz w:val="24"/>
          <w:szCs w:val="24"/>
        </w:rPr>
        <w:t xml:space="preserve"> </w:t>
      </w:r>
      <w:r w:rsidRPr="004122E2">
        <w:rPr>
          <w:rFonts w:ascii="Times New Roman" w:hAnsi="Times New Roman"/>
          <w:sz w:val="24"/>
          <w:szCs w:val="24"/>
        </w:rPr>
        <w:lastRenderedPageBreak/>
        <w:t>исплаћена</w:t>
      </w:r>
      <w:r w:rsidR="00201178" w:rsidRPr="004122E2">
        <w:rPr>
          <w:rFonts w:ascii="Times New Roman" w:hAnsi="Times New Roman"/>
          <w:sz w:val="24"/>
          <w:szCs w:val="24"/>
        </w:rPr>
        <w:t xml:space="preserve"> </w:t>
      </w:r>
      <w:r w:rsidRPr="004122E2">
        <w:rPr>
          <w:rFonts w:ascii="Times New Roman" w:hAnsi="Times New Roman"/>
          <w:sz w:val="24"/>
          <w:szCs w:val="24"/>
        </w:rPr>
        <w:t>лична</w:t>
      </w:r>
      <w:r w:rsidR="00201178" w:rsidRPr="004122E2">
        <w:rPr>
          <w:rFonts w:ascii="Times New Roman" w:hAnsi="Times New Roman"/>
          <w:sz w:val="24"/>
          <w:szCs w:val="24"/>
        </w:rPr>
        <w:t xml:space="preserve"> </w:t>
      </w:r>
      <w:r w:rsidRPr="004122E2">
        <w:rPr>
          <w:rFonts w:ascii="Times New Roman" w:hAnsi="Times New Roman"/>
          <w:sz w:val="24"/>
          <w:szCs w:val="24"/>
        </w:rPr>
        <w:t>зарада</w:t>
      </w:r>
      <w:r w:rsidR="00201178" w:rsidRPr="004122E2">
        <w:rPr>
          <w:rFonts w:ascii="Times New Roman" w:hAnsi="Times New Roman"/>
          <w:sz w:val="24"/>
          <w:szCs w:val="24"/>
        </w:rPr>
        <w:t xml:space="preserve"> </w:t>
      </w:r>
      <w:r w:rsidRPr="004122E2">
        <w:rPr>
          <w:rFonts w:ascii="Times New Roman" w:hAnsi="Times New Roman"/>
          <w:sz w:val="24"/>
          <w:szCs w:val="24"/>
        </w:rPr>
        <w:t>предузетника</w:t>
      </w:r>
      <w:r w:rsidR="00201178" w:rsidRPr="004122E2">
        <w:rPr>
          <w:rFonts w:ascii="Times New Roman" w:hAnsi="Times New Roman"/>
          <w:sz w:val="24"/>
          <w:szCs w:val="24"/>
        </w:rPr>
        <w:t xml:space="preserve"> </w:t>
      </w:r>
      <w:r w:rsidRPr="004122E2">
        <w:rPr>
          <w:rFonts w:ascii="Times New Roman" w:hAnsi="Times New Roman"/>
          <w:sz w:val="24"/>
          <w:szCs w:val="24"/>
        </w:rPr>
        <w:t>утврђена</w:t>
      </w:r>
      <w:r w:rsidR="00201178" w:rsidRPr="004122E2">
        <w:rPr>
          <w:rFonts w:ascii="Times New Roman" w:hAnsi="Times New Roman"/>
          <w:sz w:val="24"/>
          <w:szCs w:val="24"/>
        </w:rPr>
        <w:t xml:space="preserve"> </w:t>
      </w:r>
      <w:r w:rsidRPr="004122E2">
        <w:rPr>
          <w:rFonts w:ascii="Times New Roman" w:hAnsi="Times New Roman"/>
          <w:sz w:val="24"/>
          <w:szCs w:val="24"/>
        </w:rPr>
        <w:t>у</w:t>
      </w:r>
      <w:r w:rsidR="00201178" w:rsidRPr="004122E2">
        <w:rPr>
          <w:rFonts w:ascii="Times New Roman" w:hAnsi="Times New Roman"/>
          <w:sz w:val="24"/>
          <w:szCs w:val="24"/>
        </w:rPr>
        <w:t xml:space="preserve"> </w:t>
      </w:r>
      <w:r w:rsidRPr="004122E2">
        <w:rPr>
          <w:rFonts w:ascii="Times New Roman" w:hAnsi="Times New Roman"/>
          <w:sz w:val="24"/>
          <w:szCs w:val="24"/>
        </w:rPr>
        <w:t>складу</w:t>
      </w:r>
      <w:r w:rsidR="00201178" w:rsidRPr="004122E2">
        <w:rPr>
          <w:rFonts w:ascii="Times New Roman" w:hAnsi="Times New Roman"/>
          <w:sz w:val="24"/>
          <w:szCs w:val="24"/>
        </w:rPr>
        <w:t xml:space="preserve"> </w:t>
      </w:r>
      <w:r w:rsidRPr="004122E2">
        <w:rPr>
          <w:rFonts w:ascii="Times New Roman" w:hAnsi="Times New Roman"/>
          <w:sz w:val="24"/>
          <w:szCs w:val="24"/>
        </w:rPr>
        <w:t>са</w:t>
      </w:r>
      <w:r w:rsidR="00201178" w:rsidRPr="004122E2">
        <w:rPr>
          <w:rFonts w:ascii="Times New Roman" w:hAnsi="Times New Roman"/>
          <w:sz w:val="24"/>
          <w:szCs w:val="24"/>
        </w:rPr>
        <w:t xml:space="preserve"> </w:t>
      </w:r>
      <w:r w:rsidRPr="004122E2">
        <w:rPr>
          <w:rFonts w:ascii="Times New Roman" w:hAnsi="Times New Roman"/>
          <w:sz w:val="24"/>
          <w:szCs w:val="24"/>
        </w:rPr>
        <w:t>овим</w:t>
      </w:r>
      <w:r w:rsidR="00201178" w:rsidRPr="004122E2">
        <w:rPr>
          <w:rFonts w:ascii="Times New Roman" w:hAnsi="Times New Roman"/>
          <w:sz w:val="24"/>
          <w:szCs w:val="24"/>
        </w:rPr>
        <w:t xml:space="preserve"> </w:t>
      </w:r>
      <w:r w:rsidRPr="004122E2">
        <w:rPr>
          <w:rFonts w:ascii="Times New Roman" w:hAnsi="Times New Roman"/>
          <w:sz w:val="24"/>
          <w:szCs w:val="24"/>
        </w:rPr>
        <w:t>законом</w:t>
      </w:r>
      <w:r w:rsidR="00A508EC" w:rsidRPr="004122E2">
        <w:rPr>
          <w:rFonts w:ascii="Times New Roman" w:hAnsi="Times New Roman"/>
          <w:sz w:val="24"/>
          <w:szCs w:val="24"/>
          <w:lang w:val="sr-Cyrl-CS"/>
        </w:rPr>
        <w:t xml:space="preserve">, као и </w:t>
      </w:r>
      <w:r w:rsidR="00201178" w:rsidRPr="004122E2">
        <w:rPr>
          <w:rFonts w:ascii="Times New Roman" w:hAnsi="Times New Roman"/>
          <w:sz w:val="24"/>
          <w:szCs w:val="24"/>
        </w:rPr>
        <w:t xml:space="preserve"> </w:t>
      </w:r>
      <w:r w:rsidRPr="004122E2">
        <w:rPr>
          <w:rFonts w:ascii="Times New Roman" w:hAnsi="Times New Roman"/>
          <w:sz w:val="24"/>
          <w:szCs w:val="24"/>
        </w:rPr>
        <w:t>примања</w:t>
      </w:r>
      <w:r w:rsidR="00201178" w:rsidRPr="004122E2">
        <w:rPr>
          <w:rFonts w:ascii="Times New Roman" w:hAnsi="Times New Roman"/>
          <w:sz w:val="24"/>
          <w:szCs w:val="24"/>
        </w:rPr>
        <w:t xml:space="preserve"> </w:t>
      </w:r>
      <w:r w:rsidRPr="004122E2">
        <w:rPr>
          <w:rFonts w:ascii="Times New Roman" w:hAnsi="Times New Roman"/>
          <w:sz w:val="24"/>
          <w:szCs w:val="24"/>
        </w:rPr>
        <w:t>која</w:t>
      </w:r>
      <w:r w:rsidR="00201178" w:rsidRPr="004122E2">
        <w:rPr>
          <w:rFonts w:ascii="Times New Roman" w:hAnsi="Times New Roman"/>
          <w:sz w:val="24"/>
          <w:szCs w:val="24"/>
        </w:rPr>
        <w:t xml:space="preserve"> </w:t>
      </w:r>
      <w:r w:rsidRPr="004122E2">
        <w:rPr>
          <w:rFonts w:ascii="Times New Roman" w:hAnsi="Times New Roman"/>
          <w:sz w:val="24"/>
          <w:szCs w:val="24"/>
        </w:rPr>
        <w:t>запослени</w:t>
      </w:r>
      <w:r w:rsidR="00201178" w:rsidRPr="004122E2">
        <w:rPr>
          <w:rFonts w:ascii="Times New Roman" w:hAnsi="Times New Roman"/>
          <w:sz w:val="24"/>
          <w:szCs w:val="24"/>
        </w:rPr>
        <w:t xml:space="preserve"> </w:t>
      </w:r>
      <w:r w:rsidRPr="004122E2">
        <w:rPr>
          <w:rFonts w:ascii="Times New Roman" w:hAnsi="Times New Roman"/>
          <w:sz w:val="24"/>
          <w:szCs w:val="24"/>
        </w:rPr>
        <w:t>у</w:t>
      </w:r>
      <w:r w:rsidR="00201178" w:rsidRPr="004122E2">
        <w:rPr>
          <w:rFonts w:ascii="Times New Roman" w:hAnsi="Times New Roman"/>
          <w:sz w:val="24"/>
          <w:szCs w:val="24"/>
        </w:rPr>
        <w:t xml:space="preserve"> </w:t>
      </w:r>
      <w:r w:rsidRPr="004122E2">
        <w:rPr>
          <w:rFonts w:ascii="Times New Roman" w:hAnsi="Times New Roman"/>
          <w:sz w:val="24"/>
          <w:szCs w:val="24"/>
        </w:rPr>
        <w:t>вези</w:t>
      </w:r>
      <w:r w:rsidR="00201178" w:rsidRPr="004122E2">
        <w:rPr>
          <w:rFonts w:ascii="Times New Roman" w:hAnsi="Times New Roman"/>
          <w:sz w:val="24"/>
          <w:szCs w:val="24"/>
        </w:rPr>
        <w:t xml:space="preserve"> </w:t>
      </w:r>
      <w:r w:rsidRPr="004122E2">
        <w:rPr>
          <w:rFonts w:ascii="Times New Roman" w:hAnsi="Times New Roman"/>
          <w:sz w:val="24"/>
          <w:szCs w:val="24"/>
        </w:rPr>
        <w:t>са</w:t>
      </w:r>
      <w:r w:rsidR="00201178" w:rsidRPr="004122E2">
        <w:rPr>
          <w:rFonts w:ascii="Times New Roman" w:hAnsi="Times New Roman"/>
          <w:sz w:val="24"/>
          <w:szCs w:val="24"/>
        </w:rPr>
        <w:t xml:space="preserve"> </w:t>
      </w:r>
      <w:r w:rsidRPr="004122E2">
        <w:rPr>
          <w:rFonts w:ascii="Times New Roman" w:hAnsi="Times New Roman"/>
          <w:sz w:val="24"/>
          <w:szCs w:val="24"/>
        </w:rPr>
        <w:t>радом</w:t>
      </w:r>
      <w:r w:rsidR="00201178" w:rsidRPr="004122E2">
        <w:rPr>
          <w:rFonts w:ascii="Times New Roman" w:hAnsi="Times New Roman"/>
          <w:sz w:val="24"/>
          <w:szCs w:val="24"/>
        </w:rPr>
        <w:t xml:space="preserve"> </w:t>
      </w:r>
      <w:r w:rsidRPr="004122E2">
        <w:rPr>
          <w:rFonts w:ascii="Times New Roman" w:hAnsi="Times New Roman"/>
          <w:sz w:val="24"/>
          <w:szCs w:val="24"/>
        </w:rPr>
        <w:t>код</w:t>
      </w:r>
      <w:r w:rsidR="00201178" w:rsidRPr="004122E2">
        <w:rPr>
          <w:rFonts w:ascii="Times New Roman" w:hAnsi="Times New Roman"/>
          <w:sz w:val="24"/>
          <w:szCs w:val="24"/>
        </w:rPr>
        <w:t xml:space="preserve"> </w:t>
      </w:r>
      <w:r w:rsidRPr="004122E2">
        <w:rPr>
          <w:rFonts w:ascii="Times New Roman" w:hAnsi="Times New Roman"/>
          <w:sz w:val="24"/>
          <w:szCs w:val="24"/>
        </w:rPr>
        <w:t>послодавца</w:t>
      </w:r>
      <w:r w:rsidR="00201178" w:rsidRPr="004122E2">
        <w:rPr>
          <w:rFonts w:ascii="Times New Roman" w:hAnsi="Times New Roman"/>
          <w:sz w:val="24"/>
          <w:szCs w:val="24"/>
        </w:rPr>
        <w:t xml:space="preserve"> </w:t>
      </w:r>
      <w:r w:rsidRPr="004122E2">
        <w:rPr>
          <w:rFonts w:ascii="Times New Roman" w:hAnsi="Times New Roman"/>
          <w:sz w:val="24"/>
          <w:szCs w:val="24"/>
        </w:rPr>
        <w:t>оствари</w:t>
      </w:r>
      <w:r w:rsidR="00201178" w:rsidRPr="004122E2">
        <w:rPr>
          <w:rFonts w:ascii="Times New Roman" w:hAnsi="Times New Roman"/>
          <w:sz w:val="24"/>
          <w:szCs w:val="24"/>
        </w:rPr>
        <w:t xml:space="preserve"> </w:t>
      </w:r>
      <w:r w:rsidRPr="004122E2">
        <w:rPr>
          <w:rFonts w:ascii="Times New Roman" w:hAnsi="Times New Roman"/>
          <w:sz w:val="24"/>
          <w:szCs w:val="24"/>
        </w:rPr>
        <w:t>од</w:t>
      </w:r>
      <w:r w:rsidR="00201178" w:rsidRPr="004122E2">
        <w:rPr>
          <w:rFonts w:ascii="Times New Roman" w:hAnsi="Times New Roman"/>
          <w:sz w:val="24"/>
          <w:szCs w:val="24"/>
        </w:rPr>
        <w:t xml:space="preserve"> </w:t>
      </w:r>
      <w:r w:rsidRPr="004122E2">
        <w:rPr>
          <w:rFonts w:ascii="Times New Roman" w:hAnsi="Times New Roman"/>
          <w:sz w:val="24"/>
          <w:szCs w:val="24"/>
        </w:rPr>
        <w:t>лица</w:t>
      </w:r>
      <w:r w:rsidR="00201178" w:rsidRPr="004122E2">
        <w:rPr>
          <w:rFonts w:ascii="Times New Roman" w:hAnsi="Times New Roman"/>
          <w:sz w:val="24"/>
          <w:szCs w:val="24"/>
        </w:rPr>
        <w:t xml:space="preserve">, </w:t>
      </w:r>
      <w:r w:rsidRPr="004122E2">
        <w:rPr>
          <w:rFonts w:ascii="Times New Roman" w:hAnsi="Times New Roman"/>
          <w:sz w:val="24"/>
          <w:szCs w:val="24"/>
        </w:rPr>
        <w:t>које</w:t>
      </w:r>
      <w:r w:rsidR="00201178" w:rsidRPr="004122E2">
        <w:rPr>
          <w:rFonts w:ascii="Times New Roman" w:hAnsi="Times New Roman"/>
          <w:sz w:val="24"/>
          <w:szCs w:val="24"/>
        </w:rPr>
        <w:t xml:space="preserve"> </w:t>
      </w:r>
      <w:r w:rsidRPr="004122E2">
        <w:rPr>
          <w:rFonts w:ascii="Times New Roman" w:hAnsi="Times New Roman"/>
          <w:sz w:val="24"/>
          <w:szCs w:val="24"/>
        </w:rPr>
        <w:t>се</w:t>
      </w:r>
      <w:r w:rsidR="00201178" w:rsidRPr="004122E2">
        <w:rPr>
          <w:rFonts w:ascii="Times New Roman" w:hAnsi="Times New Roman"/>
          <w:sz w:val="24"/>
          <w:szCs w:val="24"/>
        </w:rPr>
        <w:t xml:space="preserve"> </w:t>
      </w:r>
      <w:r w:rsidRPr="004122E2">
        <w:rPr>
          <w:rFonts w:ascii="Times New Roman" w:hAnsi="Times New Roman"/>
          <w:sz w:val="24"/>
          <w:szCs w:val="24"/>
        </w:rPr>
        <w:t>у</w:t>
      </w:r>
      <w:r w:rsidR="00201178" w:rsidRPr="004122E2">
        <w:rPr>
          <w:rFonts w:ascii="Times New Roman" w:hAnsi="Times New Roman"/>
          <w:sz w:val="24"/>
          <w:szCs w:val="24"/>
        </w:rPr>
        <w:t xml:space="preserve"> </w:t>
      </w:r>
      <w:r w:rsidRPr="004122E2">
        <w:rPr>
          <w:rFonts w:ascii="Times New Roman" w:hAnsi="Times New Roman"/>
          <w:sz w:val="24"/>
          <w:szCs w:val="24"/>
        </w:rPr>
        <w:t>смислу</w:t>
      </w:r>
      <w:r w:rsidR="00201178" w:rsidRPr="004122E2">
        <w:rPr>
          <w:rFonts w:ascii="Times New Roman" w:hAnsi="Times New Roman"/>
          <w:sz w:val="24"/>
          <w:szCs w:val="24"/>
        </w:rPr>
        <w:t xml:space="preserve"> </w:t>
      </w:r>
      <w:r w:rsidRPr="004122E2">
        <w:rPr>
          <w:rFonts w:ascii="Times New Roman" w:hAnsi="Times New Roman"/>
          <w:sz w:val="24"/>
          <w:szCs w:val="24"/>
        </w:rPr>
        <w:t>закона</w:t>
      </w:r>
      <w:r w:rsidR="00201178" w:rsidRPr="004122E2">
        <w:rPr>
          <w:rFonts w:ascii="Times New Roman" w:hAnsi="Times New Roman"/>
          <w:sz w:val="24"/>
          <w:szCs w:val="24"/>
        </w:rPr>
        <w:t xml:space="preserve"> </w:t>
      </w:r>
      <w:r w:rsidRPr="004122E2">
        <w:rPr>
          <w:rFonts w:ascii="Times New Roman" w:hAnsi="Times New Roman"/>
          <w:sz w:val="24"/>
          <w:szCs w:val="24"/>
        </w:rPr>
        <w:t>који</w:t>
      </w:r>
      <w:r w:rsidR="00201178" w:rsidRPr="004122E2">
        <w:rPr>
          <w:rFonts w:ascii="Times New Roman" w:hAnsi="Times New Roman"/>
          <w:sz w:val="24"/>
          <w:szCs w:val="24"/>
        </w:rPr>
        <w:t xml:space="preserve"> </w:t>
      </w:r>
      <w:r w:rsidRPr="004122E2">
        <w:rPr>
          <w:rFonts w:ascii="Times New Roman" w:hAnsi="Times New Roman"/>
          <w:sz w:val="24"/>
          <w:szCs w:val="24"/>
        </w:rPr>
        <w:t>уређује</w:t>
      </w:r>
      <w:r w:rsidR="00201178" w:rsidRPr="004122E2">
        <w:rPr>
          <w:rFonts w:ascii="Times New Roman" w:hAnsi="Times New Roman"/>
          <w:sz w:val="24"/>
          <w:szCs w:val="24"/>
        </w:rPr>
        <w:t xml:space="preserve"> </w:t>
      </w:r>
      <w:r w:rsidRPr="004122E2">
        <w:rPr>
          <w:rFonts w:ascii="Times New Roman" w:hAnsi="Times New Roman"/>
          <w:sz w:val="24"/>
          <w:szCs w:val="24"/>
        </w:rPr>
        <w:t>порез</w:t>
      </w:r>
      <w:r w:rsidR="00201178" w:rsidRPr="004122E2">
        <w:rPr>
          <w:rFonts w:ascii="Times New Roman" w:hAnsi="Times New Roman"/>
          <w:sz w:val="24"/>
          <w:szCs w:val="24"/>
        </w:rPr>
        <w:t xml:space="preserve"> </w:t>
      </w:r>
      <w:r w:rsidRPr="004122E2">
        <w:rPr>
          <w:rFonts w:ascii="Times New Roman" w:hAnsi="Times New Roman"/>
          <w:sz w:val="24"/>
          <w:szCs w:val="24"/>
        </w:rPr>
        <w:t>на</w:t>
      </w:r>
      <w:r w:rsidR="00201178" w:rsidRPr="004122E2">
        <w:rPr>
          <w:rFonts w:ascii="Times New Roman" w:hAnsi="Times New Roman"/>
          <w:sz w:val="24"/>
          <w:szCs w:val="24"/>
        </w:rPr>
        <w:t xml:space="preserve"> </w:t>
      </w:r>
      <w:r w:rsidRPr="004122E2">
        <w:rPr>
          <w:rFonts w:ascii="Times New Roman" w:hAnsi="Times New Roman"/>
          <w:sz w:val="24"/>
          <w:szCs w:val="24"/>
        </w:rPr>
        <w:t>добит</w:t>
      </w:r>
      <w:r w:rsidR="00201178" w:rsidRPr="004122E2">
        <w:rPr>
          <w:rFonts w:ascii="Times New Roman" w:hAnsi="Times New Roman"/>
          <w:sz w:val="24"/>
          <w:szCs w:val="24"/>
        </w:rPr>
        <w:t xml:space="preserve"> </w:t>
      </w:r>
      <w:r w:rsidRPr="004122E2">
        <w:rPr>
          <w:rFonts w:ascii="Times New Roman" w:hAnsi="Times New Roman"/>
          <w:sz w:val="24"/>
          <w:szCs w:val="24"/>
        </w:rPr>
        <w:t>правних</w:t>
      </w:r>
      <w:r w:rsidR="00201178" w:rsidRPr="004122E2">
        <w:rPr>
          <w:rFonts w:ascii="Times New Roman" w:hAnsi="Times New Roman"/>
          <w:sz w:val="24"/>
          <w:szCs w:val="24"/>
        </w:rPr>
        <w:t xml:space="preserve"> </w:t>
      </w:r>
      <w:r w:rsidRPr="004122E2">
        <w:rPr>
          <w:rFonts w:ascii="Times New Roman" w:hAnsi="Times New Roman"/>
          <w:sz w:val="24"/>
          <w:szCs w:val="24"/>
        </w:rPr>
        <w:t>лица</w:t>
      </w:r>
      <w:r w:rsidR="00201178" w:rsidRPr="004122E2">
        <w:rPr>
          <w:rFonts w:ascii="Times New Roman" w:hAnsi="Times New Roman"/>
          <w:sz w:val="24"/>
          <w:szCs w:val="24"/>
        </w:rPr>
        <w:t xml:space="preserve">, </w:t>
      </w:r>
      <w:r w:rsidRPr="004122E2">
        <w:rPr>
          <w:rFonts w:ascii="Times New Roman" w:hAnsi="Times New Roman"/>
          <w:sz w:val="24"/>
          <w:szCs w:val="24"/>
        </w:rPr>
        <w:t>сматра</w:t>
      </w:r>
      <w:r w:rsidR="00A508EC" w:rsidRPr="004122E2">
        <w:rPr>
          <w:rFonts w:ascii="Times New Roman" w:hAnsi="Times New Roman"/>
          <w:sz w:val="24"/>
          <w:szCs w:val="24"/>
        </w:rPr>
        <w:t xml:space="preserve"> </w:t>
      </w:r>
      <w:r w:rsidRPr="004122E2">
        <w:rPr>
          <w:rFonts w:ascii="Times New Roman" w:hAnsi="Times New Roman"/>
          <w:sz w:val="24"/>
          <w:szCs w:val="24"/>
        </w:rPr>
        <w:t>повезаним</w:t>
      </w:r>
      <w:r w:rsidR="00A508EC" w:rsidRPr="004122E2">
        <w:rPr>
          <w:rFonts w:ascii="Times New Roman" w:hAnsi="Times New Roman"/>
          <w:sz w:val="24"/>
          <w:szCs w:val="24"/>
        </w:rPr>
        <w:t xml:space="preserve"> </w:t>
      </w:r>
      <w:r w:rsidRPr="004122E2">
        <w:rPr>
          <w:rFonts w:ascii="Times New Roman" w:hAnsi="Times New Roman"/>
          <w:sz w:val="24"/>
          <w:szCs w:val="24"/>
        </w:rPr>
        <w:t>лицем</w:t>
      </w:r>
      <w:r w:rsidR="00A508EC" w:rsidRPr="004122E2">
        <w:rPr>
          <w:rFonts w:ascii="Times New Roman" w:hAnsi="Times New Roman"/>
          <w:sz w:val="24"/>
          <w:szCs w:val="24"/>
        </w:rPr>
        <w:t xml:space="preserve"> </w:t>
      </w:r>
      <w:r w:rsidRPr="004122E2">
        <w:rPr>
          <w:rFonts w:ascii="Times New Roman" w:hAnsi="Times New Roman"/>
          <w:sz w:val="24"/>
          <w:szCs w:val="24"/>
        </w:rPr>
        <w:t>с</w:t>
      </w:r>
      <w:r w:rsidR="00A508EC" w:rsidRPr="004122E2">
        <w:rPr>
          <w:rFonts w:ascii="Times New Roman" w:hAnsi="Times New Roman"/>
          <w:sz w:val="24"/>
          <w:szCs w:val="24"/>
        </w:rPr>
        <w:t xml:space="preserve"> </w:t>
      </w:r>
      <w:r w:rsidRPr="004122E2">
        <w:rPr>
          <w:rFonts w:ascii="Times New Roman" w:hAnsi="Times New Roman"/>
          <w:sz w:val="24"/>
          <w:szCs w:val="24"/>
        </w:rPr>
        <w:t>послодавцем</w:t>
      </w:r>
      <w:r w:rsidR="00A508EC" w:rsidRPr="004122E2">
        <w:rPr>
          <w:rFonts w:ascii="Times New Roman" w:hAnsi="Times New Roman"/>
          <w:sz w:val="24"/>
          <w:szCs w:val="24"/>
        </w:rPr>
        <w:t>.</w:t>
      </w:r>
    </w:p>
    <w:p w:rsidR="00C22F48" w:rsidRPr="004122E2" w:rsidRDefault="00E77954" w:rsidP="004122E2">
      <w:pPr>
        <w:ind w:firstLine="708"/>
        <w:jc w:val="both"/>
        <w:rPr>
          <w:rFonts w:ascii="Times New Roman" w:hAnsi="Times New Roman"/>
          <w:sz w:val="24"/>
          <w:szCs w:val="24"/>
          <w:lang w:val="sr-Cyrl-CS"/>
        </w:rPr>
      </w:pPr>
      <w:r w:rsidRPr="004122E2">
        <w:rPr>
          <w:rFonts w:ascii="Times New Roman" w:hAnsi="Times New Roman"/>
          <w:sz w:val="24"/>
          <w:szCs w:val="24"/>
          <w:lang w:val="sr-Cyrl-CS"/>
        </w:rPr>
        <w:t>Поред</w:t>
      </w:r>
      <w:r w:rsidR="00A508EC" w:rsidRPr="004122E2">
        <w:rPr>
          <w:rFonts w:ascii="Times New Roman" w:hAnsi="Times New Roman"/>
          <w:sz w:val="24"/>
          <w:szCs w:val="24"/>
          <w:lang w:val="sr-Cyrl-CS"/>
        </w:rPr>
        <w:t xml:space="preserve"> тога, з</w:t>
      </w:r>
      <w:r w:rsidR="002A4165" w:rsidRPr="004122E2">
        <w:rPr>
          <w:rFonts w:ascii="Times New Roman" w:hAnsi="Times New Roman"/>
          <w:sz w:val="24"/>
          <w:szCs w:val="24"/>
        </w:rPr>
        <w:t>арадом</w:t>
      </w:r>
      <w:r w:rsidR="00201178" w:rsidRPr="004122E2">
        <w:rPr>
          <w:rFonts w:ascii="Times New Roman" w:hAnsi="Times New Roman"/>
          <w:sz w:val="24"/>
          <w:szCs w:val="24"/>
        </w:rPr>
        <w:t xml:space="preserve">, </w:t>
      </w:r>
      <w:r w:rsidR="002A4165" w:rsidRPr="004122E2">
        <w:rPr>
          <w:rFonts w:ascii="Times New Roman" w:hAnsi="Times New Roman"/>
          <w:sz w:val="24"/>
          <w:szCs w:val="24"/>
        </w:rPr>
        <w:t>у</w:t>
      </w:r>
      <w:r w:rsidR="00201178" w:rsidRPr="004122E2">
        <w:rPr>
          <w:rFonts w:ascii="Times New Roman" w:hAnsi="Times New Roman"/>
          <w:sz w:val="24"/>
          <w:szCs w:val="24"/>
        </w:rPr>
        <w:t xml:space="preserve"> </w:t>
      </w:r>
      <w:r w:rsidR="002A4165" w:rsidRPr="004122E2">
        <w:rPr>
          <w:rFonts w:ascii="Times New Roman" w:hAnsi="Times New Roman"/>
          <w:sz w:val="24"/>
          <w:szCs w:val="24"/>
        </w:rPr>
        <w:t>смислу</w:t>
      </w:r>
      <w:r w:rsidR="00201178" w:rsidRPr="004122E2">
        <w:rPr>
          <w:rFonts w:ascii="Times New Roman" w:hAnsi="Times New Roman"/>
          <w:sz w:val="24"/>
          <w:szCs w:val="24"/>
        </w:rPr>
        <w:t xml:space="preserve"> </w:t>
      </w:r>
      <w:r w:rsidR="00A508EC" w:rsidRPr="004122E2">
        <w:rPr>
          <w:rFonts w:ascii="Times New Roman" w:hAnsi="Times New Roman"/>
          <w:sz w:val="24"/>
          <w:szCs w:val="24"/>
          <w:lang w:val="sr-Cyrl-CS"/>
        </w:rPr>
        <w:t xml:space="preserve">ЗПДГ </w:t>
      </w:r>
      <w:r w:rsidR="00201178" w:rsidRPr="004122E2">
        <w:rPr>
          <w:rFonts w:ascii="Times New Roman" w:hAnsi="Times New Roman"/>
          <w:sz w:val="24"/>
          <w:szCs w:val="24"/>
        </w:rPr>
        <w:t xml:space="preserve"> </w:t>
      </w:r>
      <w:r w:rsidR="002A4165" w:rsidRPr="004122E2">
        <w:rPr>
          <w:rFonts w:ascii="Times New Roman" w:hAnsi="Times New Roman"/>
          <w:sz w:val="24"/>
          <w:szCs w:val="24"/>
        </w:rPr>
        <w:t>сматрају</w:t>
      </w:r>
      <w:r w:rsidR="00201178" w:rsidRPr="004122E2">
        <w:rPr>
          <w:rFonts w:ascii="Times New Roman" w:hAnsi="Times New Roman"/>
          <w:sz w:val="24"/>
          <w:szCs w:val="24"/>
        </w:rPr>
        <w:t xml:space="preserve"> </w:t>
      </w:r>
      <w:r w:rsidR="002A4165" w:rsidRPr="004122E2">
        <w:rPr>
          <w:rFonts w:ascii="Times New Roman" w:hAnsi="Times New Roman"/>
          <w:sz w:val="24"/>
          <w:szCs w:val="24"/>
        </w:rPr>
        <w:t>се</w:t>
      </w:r>
      <w:r w:rsidR="00201178" w:rsidRPr="004122E2">
        <w:rPr>
          <w:rFonts w:ascii="Times New Roman" w:hAnsi="Times New Roman"/>
          <w:sz w:val="24"/>
          <w:szCs w:val="24"/>
        </w:rPr>
        <w:t xml:space="preserve"> </w:t>
      </w:r>
      <w:r w:rsidR="002A4165" w:rsidRPr="004122E2">
        <w:rPr>
          <w:rFonts w:ascii="Times New Roman" w:hAnsi="Times New Roman"/>
          <w:sz w:val="24"/>
          <w:szCs w:val="24"/>
        </w:rPr>
        <w:t>и</w:t>
      </w:r>
      <w:r w:rsidR="00201178" w:rsidRPr="004122E2">
        <w:rPr>
          <w:rFonts w:ascii="Times New Roman" w:hAnsi="Times New Roman"/>
          <w:sz w:val="24"/>
          <w:szCs w:val="24"/>
        </w:rPr>
        <w:t xml:space="preserve"> </w:t>
      </w:r>
      <w:r w:rsidR="002A4165" w:rsidRPr="004122E2">
        <w:rPr>
          <w:rFonts w:ascii="Times New Roman" w:hAnsi="Times New Roman"/>
          <w:sz w:val="24"/>
          <w:szCs w:val="24"/>
        </w:rPr>
        <w:t>примања</w:t>
      </w:r>
      <w:r w:rsidR="00201178" w:rsidRPr="004122E2">
        <w:rPr>
          <w:rFonts w:ascii="Times New Roman" w:hAnsi="Times New Roman"/>
          <w:sz w:val="24"/>
          <w:szCs w:val="24"/>
        </w:rPr>
        <w:t xml:space="preserve"> </w:t>
      </w:r>
      <w:r w:rsidR="002A4165" w:rsidRPr="004122E2">
        <w:rPr>
          <w:rFonts w:ascii="Times New Roman" w:hAnsi="Times New Roman"/>
          <w:sz w:val="24"/>
          <w:szCs w:val="24"/>
        </w:rPr>
        <w:t>у</w:t>
      </w:r>
      <w:r w:rsidR="00201178" w:rsidRPr="004122E2">
        <w:rPr>
          <w:rFonts w:ascii="Times New Roman" w:hAnsi="Times New Roman"/>
          <w:sz w:val="24"/>
          <w:szCs w:val="24"/>
        </w:rPr>
        <w:t xml:space="preserve"> </w:t>
      </w:r>
      <w:r w:rsidR="002A4165" w:rsidRPr="004122E2">
        <w:rPr>
          <w:rFonts w:ascii="Times New Roman" w:hAnsi="Times New Roman"/>
          <w:sz w:val="24"/>
          <w:szCs w:val="24"/>
        </w:rPr>
        <w:t>облику</w:t>
      </w:r>
      <w:r w:rsidR="00201178" w:rsidRPr="004122E2">
        <w:rPr>
          <w:rFonts w:ascii="Times New Roman" w:hAnsi="Times New Roman"/>
          <w:sz w:val="24"/>
          <w:szCs w:val="24"/>
        </w:rPr>
        <w:t xml:space="preserve"> </w:t>
      </w:r>
      <w:r w:rsidR="002A4165" w:rsidRPr="004122E2">
        <w:rPr>
          <w:rFonts w:ascii="Times New Roman" w:hAnsi="Times New Roman"/>
          <w:sz w:val="24"/>
          <w:szCs w:val="24"/>
        </w:rPr>
        <w:t>бонова</w:t>
      </w:r>
      <w:r w:rsidR="00201178" w:rsidRPr="004122E2">
        <w:rPr>
          <w:rFonts w:ascii="Times New Roman" w:hAnsi="Times New Roman"/>
          <w:sz w:val="24"/>
          <w:szCs w:val="24"/>
        </w:rPr>
        <w:t xml:space="preserve">, </w:t>
      </w:r>
      <w:r w:rsidR="002A4165" w:rsidRPr="004122E2">
        <w:rPr>
          <w:rFonts w:ascii="Times New Roman" w:hAnsi="Times New Roman"/>
          <w:sz w:val="24"/>
          <w:szCs w:val="24"/>
        </w:rPr>
        <w:t>новчаних</w:t>
      </w:r>
      <w:r w:rsidR="00201178" w:rsidRPr="004122E2">
        <w:rPr>
          <w:rFonts w:ascii="Times New Roman" w:hAnsi="Times New Roman"/>
          <w:sz w:val="24"/>
          <w:szCs w:val="24"/>
        </w:rPr>
        <w:t xml:space="preserve"> </w:t>
      </w:r>
      <w:r w:rsidR="002A4165" w:rsidRPr="004122E2">
        <w:rPr>
          <w:rFonts w:ascii="Times New Roman" w:hAnsi="Times New Roman"/>
          <w:sz w:val="24"/>
          <w:szCs w:val="24"/>
        </w:rPr>
        <w:t>потврда</w:t>
      </w:r>
      <w:r w:rsidR="00201178" w:rsidRPr="004122E2">
        <w:rPr>
          <w:rFonts w:ascii="Times New Roman" w:hAnsi="Times New Roman"/>
          <w:sz w:val="24"/>
          <w:szCs w:val="24"/>
        </w:rPr>
        <w:t xml:space="preserve">, </w:t>
      </w:r>
      <w:r w:rsidR="002A4165" w:rsidRPr="004122E2">
        <w:rPr>
          <w:rFonts w:ascii="Times New Roman" w:hAnsi="Times New Roman"/>
          <w:sz w:val="24"/>
          <w:szCs w:val="24"/>
        </w:rPr>
        <w:t>робе</w:t>
      </w:r>
      <w:r w:rsidR="00201178" w:rsidRPr="004122E2">
        <w:rPr>
          <w:rFonts w:ascii="Times New Roman" w:hAnsi="Times New Roman"/>
          <w:sz w:val="24"/>
          <w:szCs w:val="24"/>
        </w:rPr>
        <w:t xml:space="preserve">, </w:t>
      </w:r>
      <w:r w:rsidR="002A4165" w:rsidRPr="004122E2">
        <w:rPr>
          <w:rFonts w:ascii="Times New Roman" w:hAnsi="Times New Roman"/>
          <w:sz w:val="24"/>
          <w:szCs w:val="24"/>
        </w:rPr>
        <w:t>чињењем</w:t>
      </w:r>
      <w:r w:rsidR="00201178" w:rsidRPr="004122E2">
        <w:rPr>
          <w:rFonts w:ascii="Times New Roman" w:hAnsi="Times New Roman"/>
          <w:sz w:val="24"/>
          <w:szCs w:val="24"/>
        </w:rPr>
        <w:t xml:space="preserve"> </w:t>
      </w:r>
      <w:r w:rsidR="002A4165" w:rsidRPr="004122E2">
        <w:rPr>
          <w:rFonts w:ascii="Times New Roman" w:hAnsi="Times New Roman"/>
          <w:sz w:val="24"/>
          <w:szCs w:val="24"/>
        </w:rPr>
        <w:t>или</w:t>
      </w:r>
      <w:r w:rsidR="00201178" w:rsidRPr="004122E2">
        <w:rPr>
          <w:rFonts w:ascii="Times New Roman" w:hAnsi="Times New Roman"/>
          <w:sz w:val="24"/>
          <w:szCs w:val="24"/>
        </w:rPr>
        <w:t xml:space="preserve"> </w:t>
      </w:r>
      <w:r w:rsidR="002A4165" w:rsidRPr="004122E2">
        <w:rPr>
          <w:rFonts w:ascii="Times New Roman" w:hAnsi="Times New Roman"/>
          <w:sz w:val="24"/>
          <w:szCs w:val="24"/>
        </w:rPr>
        <w:t>пружањем</w:t>
      </w:r>
      <w:r w:rsidR="00201178" w:rsidRPr="004122E2">
        <w:rPr>
          <w:rFonts w:ascii="Times New Roman" w:hAnsi="Times New Roman"/>
          <w:sz w:val="24"/>
          <w:szCs w:val="24"/>
        </w:rPr>
        <w:t xml:space="preserve"> </w:t>
      </w:r>
      <w:r w:rsidR="002A4165" w:rsidRPr="004122E2">
        <w:rPr>
          <w:rFonts w:ascii="Times New Roman" w:hAnsi="Times New Roman"/>
          <w:sz w:val="24"/>
          <w:szCs w:val="24"/>
        </w:rPr>
        <w:t>погодности</w:t>
      </w:r>
      <w:r w:rsidR="00201178" w:rsidRPr="004122E2">
        <w:rPr>
          <w:rFonts w:ascii="Times New Roman" w:hAnsi="Times New Roman"/>
          <w:sz w:val="24"/>
          <w:szCs w:val="24"/>
        </w:rPr>
        <w:t xml:space="preserve">, </w:t>
      </w:r>
      <w:r w:rsidR="002A4165" w:rsidRPr="004122E2">
        <w:rPr>
          <w:rFonts w:ascii="Times New Roman" w:hAnsi="Times New Roman"/>
          <w:sz w:val="24"/>
          <w:szCs w:val="24"/>
        </w:rPr>
        <w:t>опраштањем</w:t>
      </w:r>
      <w:r w:rsidR="00201178" w:rsidRPr="004122E2">
        <w:rPr>
          <w:rFonts w:ascii="Times New Roman" w:hAnsi="Times New Roman"/>
          <w:sz w:val="24"/>
          <w:szCs w:val="24"/>
        </w:rPr>
        <w:t xml:space="preserve"> </w:t>
      </w:r>
      <w:r w:rsidR="002A4165" w:rsidRPr="004122E2">
        <w:rPr>
          <w:rFonts w:ascii="Times New Roman" w:hAnsi="Times New Roman"/>
          <w:sz w:val="24"/>
          <w:szCs w:val="24"/>
        </w:rPr>
        <w:t>дуга</w:t>
      </w:r>
      <w:r w:rsidR="00201178" w:rsidRPr="004122E2">
        <w:rPr>
          <w:rFonts w:ascii="Times New Roman" w:hAnsi="Times New Roman"/>
          <w:sz w:val="24"/>
          <w:szCs w:val="24"/>
        </w:rPr>
        <w:t xml:space="preserve">, </w:t>
      </w:r>
      <w:r w:rsidR="002A4165" w:rsidRPr="004122E2">
        <w:rPr>
          <w:rFonts w:ascii="Times New Roman" w:hAnsi="Times New Roman"/>
          <w:sz w:val="24"/>
          <w:szCs w:val="24"/>
        </w:rPr>
        <w:t>као</w:t>
      </w:r>
      <w:r w:rsidR="00201178" w:rsidRPr="004122E2">
        <w:rPr>
          <w:rFonts w:ascii="Times New Roman" w:hAnsi="Times New Roman"/>
          <w:sz w:val="24"/>
          <w:szCs w:val="24"/>
        </w:rPr>
        <w:t xml:space="preserve"> </w:t>
      </w:r>
      <w:r w:rsidR="002A4165" w:rsidRPr="004122E2">
        <w:rPr>
          <w:rFonts w:ascii="Times New Roman" w:hAnsi="Times New Roman"/>
          <w:sz w:val="24"/>
          <w:szCs w:val="24"/>
        </w:rPr>
        <w:t>и</w:t>
      </w:r>
      <w:r w:rsidR="00201178" w:rsidRPr="004122E2">
        <w:rPr>
          <w:rFonts w:ascii="Times New Roman" w:hAnsi="Times New Roman"/>
          <w:sz w:val="24"/>
          <w:szCs w:val="24"/>
        </w:rPr>
        <w:t xml:space="preserve"> </w:t>
      </w:r>
      <w:r w:rsidR="002A4165" w:rsidRPr="004122E2">
        <w:rPr>
          <w:rFonts w:ascii="Times New Roman" w:hAnsi="Times New Roman"/>
          <w:sz w:val="24"/>
          <w:szCs w:val="24"/>
        </w:rPr>
        <w:t>покривањем</w:t>
      </w:r>
      <w:r w:rsidR="00201178" w:rsidRPr="004122E2">
        <w:rPr>
          <w:rFonts w:ascii="Times New Roman" w:hAnsi="Times New Roman"/>
          <w:sz w:val="24"/>
          <w:szCs w:val="24"/>
        </w:rPr>
        <w:t xml:space="preserve"> </w:t>
      </w:r>
      <w:r w:rsidR="002A4165" w:rsidRPr="004122E2">
        <w:rPr>
          <w:rFonts w:ascii="Times New Roman" w:hAnsi="Times New Roman"/>
          <w:sz w:val="24"/>
          <w:szCs w:val="24"/>
        </w:rPr>
        <w:t>расхода</w:t>
      </w:r>
      <w:r w:rsidR="00201178" w:rsidRPr="004122E2">
        <w:rPr>
          <w:rFonts w:ascii="Times New Roman" w:hAnsi="Times New Roman"/>
          <w:sz w:val="24"/>
          <w:szCs w:val="24"/>
        </w:rPr>
        <w:t xml:space="preserve"> </w:t>
      </w:r>
      <w:r w:rsidR="002A4165" w:rsidRPr="004122E2">
        <w:rPr>
          <w:rFonts w:ascii="Times New Roman" w:hAnsi="Times New Roman"/>
          <w:sz w:val="24"/>
          <w:szCs w:val="24"/>
        </w:rPr>
        <w:t>обвезника</w:t>
      </w:r>
      <w:r w:rsidR="00201178" w:rsidRPr="004122E2">
        <w:rPr>
          <w:rFonts w:ascii="Times New Roman" w:hAnsi="Times New Roman"/>
          <w:sz w:val="24"/>
          <w:szCs w:val="24"/>
        </w:rPr>
        <w:t xml:space="preserve"> </w:t>
      </w:r>
      <w:r w:rsidR="002A4165" w:rsidRPr="004122E2">
        <w:rPr>
          <w:rFonts w:ascii="Times New Roman" w:hAnsi="Times New Roman"/>
          <w:sz w:val="24"/>
          <w:szCs w:val="24"/>
        </w:rPr>
        <w:t>новчаном</w:t>
      </w:r>
      <w:r w:rsidR="00201178" w:rsidRPr="004122E2">
        <w:rPr>
          <w:rFonts w:ascii="Times New Roman" w:hAnsi="Times New Roman"/>
          <w:sz w:val="24"/>
          <w:szCs w:val="24"/>
        </w:rPr>
        <w:t xml:space="preserve"> </w:t>
      </w:r>
      <w:r w:rsidR="002A4165" w:rsidRPr="004122E2">
        <w:rPr>
          <w:rFonts w:ascii="Times New Roman" w:hAnsi="Times New Roman"/>
          <w:sz w:val="24"/>
          <w:szCs w:val="24"/>
        </w:rPr>
        <w:t>надокнадом</w:t>
      </w:r>
      <w:r w:rsidR="00201178" w:rsidRPr="004122E2">
        <w:rPr>
          <w:rFonts w:ascii="Times New Roman" w:hAnsi="Times New Roman"/>
          <w:sz w:val="24"/>
          <w:szCs w:val="24"/>
        </w:rPr>
        <w:t xml:space="preserve"> </w:t>
      </w:r>
      <w:r w:rsidR="00A508EC" w:rsidRPr="004122E2">
        <w:rPr>
          <w:rFonts w:ascii="Times New Roman" w:hAnsi="Times New Roman"/>
          <w:sz w:val="24"/>
          <w:szCs w:val="24"/>
          <w:lang w:val="sr-Cyrl-CS"/>
        </w:rPr>
        <w:t xml:space="preserve"> </w:t>
      </w:r>
      <w:r w:rsidR="002A4165" w:rsidRPr="004122E2">
        <w:rPr>
          <w:rFonts w:ascii="Times New Roman" w:hAnsi="Times New Roman"/>
          <w:sz w:val="24"/>
          <w:szCs w:val="24"/>
        </w:rPr>
        <w:t>или</w:t>
      </w:r>
      <w:r w:rsidR="00201178" w:rsidRPr="004122E2">
        <w:rPr>
          <w:rFonts w:ascii="Times New Roman" w:hAnsi="Times New Roman"/>
          <w:sz w:val="24"/>
          <w:szCs w:val="24"/>
        </w:rPr>
        <w:t xml:space="preserve"> </w:t>
      </w:r>
      <w:r w:rsidR="002A4165" w:rsidRPr="004122E2">
        <w:rPr>
          <w:rFonts w:ascii="Times New Roman" w:hAnsi="Times New Roman"/>
          <w:sz w:val="24"/>
          <w:szCs w:val="24"/>
        </w:rPr>
        <w:t>непосредним</w:t>
      </w:r>
      <w:r w:rsidR="00201178" w:rsidRPr="004122E2">
        <w:rPr>
          <w:rFonts w:ascii="Times New Roman" w:hAnsi="Times New Roman"/>
          <w:sz w:val="24"/>
          <w:szCs w:val="24"/>
        </w:rPr>
        <w:t xml:space="preserve"> </w:t>
      </w:r>
      <w:r w:rsidR="002A4165" w:rsidRPr="004122E2">
        <w:rPr>
          <w:rFonts w:ascii="Times New Roman" w:hAnsi="Times New Roman"/>
          <w:sz w:val="24"/>
          <w:szCs w:val="24"/>
        </w:rPr>
        <w:t>плаћањем</w:t>
      </w:r>
      <w:r w:rsidR="00201178" w:rsidRPr="004122E2">
        <w:rPr>
          <w:rFonts w:ascii="Times New Roman" w:hAnsi="Times New Roman"/>
          <w:sz w:val="24"/>
          <w:szCs w:val="24"/>
        </w:rPr>
        <w:t>.</w:t>
      </w:r>
      <w:r w:rsidR="00A508EC" w:rsidRPr="004122E2">
        <w:rPr>
          <w:rFonts w:ascii="Times New Roman" w:hAnsi="Times New Roman"/>
          <w:sz w:val="24"/>
          <w:szCs w:val="24"/>
          <w:lang w:val="sr-Cyrl-CS"/>
        </w:rPr>
        <w:t xml:space="preserve"> </w:t>
      </w:r>
      <w:r w:rsidR="002A4165" w:rsidRPr="004122E2">
        <w:rPr>
          <w:rFonts w:ascii="Times New Roman" w:hAnsi="Times New Roman"/>
          <w:sz w:val="24"/>
          <w:szCs w:val="24"/>
        </w:rPr>
        <w:t>Хартије</w:t>
      </w:r>
      <w:r w:rsidR="00201178" w:rsidRPr="004122E2">
        <w:rPr>
          <w:rFonts w:ascii="Times New Roman" w:hAnsi="Times New Roman"/>
          <w:sz w:val="24"/>
          <w:szCs w:val="24"/>
        </w:rPr>
        <w:t xml:space="preserve"> </w:t>
      </w:r>
      <w:r w:rsidR="002A4165" w:rsidRPr="004122E2">
        <w:rPr>
          <w:rFonts w:ascii="Times New Roman" w:hAnsi="Times New Roman"/>
          <w:sz w:val="24"/>
          <w:szCs w:val="24"/>
        </w:rPr>
        <w:t>од</w:t>
      </w:r>
      <w:r w:rsidR="00201178" w:rsidRPr="004122E2">
        <w:rPr>
          <w:rFonts w:ascii="Times New Roman" w:hAnsi="Times New Roman"/>
          <w:sz w:val="24"/>
          <w:szCs w:val="24"/>
        </w:rPr>
        <w:t xml:space="preserve"> </w:t>
      </w:r>
      <w:r w:rsidR="002A4165" w:rsidRPr="004122E2">
        <w:rPr>
          <w:rFonts w:ascii="Times New Roman" w:hAnsi="Times New Roman"/>
          <w:sz w:val="24"/>
          <w:szCs w:val="24"/>
        </w:rPr>
        <w:t>вредности</w:t>
      </w:r>
      <w:r w:rsidR="00201178" w:rsidRPr="004122E2">
        <w:rPr>
          <w:rFonts w:ascii="Times New Roman" w:hAnsi="Times New Roman"/>
          <w:sz w:val="24"/>
          <w:szCs w:val="24"/>
        </w:rPr>
        <w:t xml:space="preserve">, </w:t>
      </w:r>
      <w:r w:rsidR="002A4165" w:rsidRPr="004122E2">
        <w:rPr>
          <w:rFonts w:ascii="Times New Roman" w:hAnsi="Times New Roman"/>
          <w:sz w:val="24"/>
          <w:szCs w:val="24"/>
        </w:rPr>
        <w:t>осим</w:t>
      </w:r>
      <w:r w:rsidR="00201178" w:rsidRPr="004122E2">
        <w:rPr>
          <w:rFonts w:ascii="Times New Roman" w:hAnsi="Times New Roman"/>
          <w:sz w:val="24"/>
          <w:szCs w:val="24"/>
        </w:rPr>
        <w:t xml:space="preserve"> </w:t>
      </w:r>
      <w:r w:rsidR="002A4165" w:rsidRPr="004122E2">
        <w:rPr>
          <w:rFonts w:ascii="Times New Roman" w:hAnsi="Times New Roman"/>
          <w:sz w:val="24"/>
          <w:szCs w:val="24"/>
        </w:rPr>
        <w:t>акција</w:t>
      </w:r>
      <w:r w:rsidR="00201178" w:rsidRPr="004122E2">
        <w:rPr>
          <w:rFonts w:ascii="Times New Roman" w:hAnsi="Times New Roman"/>
          <w:sz w:val="24"/>
          <w:szCs w:val="24"/>
        </w:rPr>
        <w:t xml:space="preserve"> </w:t>
      </w:r>
      <w:r w:rsidR="002A4165" w:rsidRPr="004122E2">
        <w:rPr>
          <w:rFonts w:ascii="Times New Roman" w:hAnsi="Times New Roman"/>
          <w:sz w:val="24"/>
          <w:szCs w:val="24"/>
        </w:rPr>
        <w:t>стечених</w:t>
      </w:r>
      <w:r w:rsidR="00201178" w:rsidRPr="004122E2">
        <w:rPr>
          <w:rFonts w:ascii="Times New Roman" w:hAnsi="Times New Roman"/>
          <w:sz w:val="24"/>
          <w:szCs w:val="24"/>
        </w:rPr>
        <w:t xml:space="preserve"> </w:t>
      </w:r>
      <w:r w:rsidR="002A4165" w:rsidRPr="004122E2">
        <w:rPr>
          <w:rFonts w:ascii="Times New Roman" w:hAnsi="Times New Roman"/>
          <w:sz w:val="24"/>
          <w:szCs w:val="24"/>
        </w:rPr>
        <w:t>у</w:t>
      </w:r>
      <w:r w:rsidR="00201178" w:rsidRPr="004122E2">
        <w:rPr>
          <w:rFonts w:ascii="Times New Roman" w:hAnsi="Times New Roman"/>
          <w:sz w:val="24"/>
          <w:szCs w:val="24"/>
        </w:rPr>
        <w:t xml:space="preserve"> </w:t>
      </w:r>
      <w:r w:rsidR="002A4165" w:rsidRPr="004122E2">
        <w:rPr>
          <w:rFonts w:ascii="Times New Roman" w:hAnsi="Times New Roman"/>
          <w:sz w:val="24"/>
          <w:szCs w:val="24"/>
        </w:rPr>
        <w:t>поступку</w:t>
      </w:r>
      <w:r w:rsidR="00201178" w:rsidRPr="004122E2">
        <w:rPr>
          <w:rFonts w:ascii="Times New Roman" w:hAnsi="Times New Roman"/>
          <w:sz w:val="24"/>
          <w:szCs w:val="24"/>
        </w:rPr>
        <w:t xml:space="preserve"> </w:t>
      </w:r>
      <w:r w:rsidR="002A4165" w:rsidRPr="004122E2">
        <w:rPr>
          <w:rFonts w:ascii="Times New Roman" w:hAnsi="Times New Roman"/>
          <w:sz w:val="24"/>
          <w:szCs w:val="24"/>
        </w:rPr>
        <w:t>својинске</w:t>
      </w:r>
      <w:r w:rsidR="00201178" w:rsidRPr="004122E2">
        <w:rPr>
          <w:rFonts w:ascii="Times New Roman" w:hAnsi="Times New Roman"/>
          <w:sz w:val="24"/>
          <w:szCs w:val="24"/>
        </w:rPr>
        <w:t xml:space="preserve"> </w:t>
      </w:r>
      <w:r w:rsidR="002A4165" w:rsidRPr="004122E2">
        <w:rPr>
          <w:rFonts w:ascii="Times New Roman" w:hAnsi="Times New Roman"/>
          <w:sz w:val="24"/>
          <w:szCs w:val="24"/>
        </w:rPr>
        <w:t>трансформације</w:t>
      </w:r>
      <w:r w:rsidR="00201178" w:rsidRPr="004122E2">
        <w:rPr>
          <w:rFonts w:ascii="Times New Roman" w:hAnsi="Times New Roman"/>
          <w:sz w:val="24"/>
          <w:szCs w:val="24"/>
        </w:rPr>
        <w:t xml:space="preserve">, </w:t>
      </w:r>
      <w:r w:rsidR="002A4165" w:rsidRPr="004122E2">
        <w:rPr>
          <w:rFonts w:ascii="Times New Roman" w:hAnsi="Times New Roman"/>
          <w:sz w:val="24"/>
          <w:szCs w:val="24"/>
        </w:rPr>
        <w:t>које</w:t>
      </w:r>
      <w:r w:rsidR="00201178" w:rsidRPr="004122E2">
        <w:rPr>
          <w:rFonts w:ascii="Times New Roman" w:hAnsi="Times New Roman"/>
          <w:sz w:val="24"/>
          <w:szCs w:val="24"/>
        </w:rPr>
        <w:t xml:space="preserve"> </w:t>
      </w:r>
      <w:r w:rsidR="002A4165" w:rsidRPr="004122E2">
        <w:rPr>
          <w:rFonts w:ascii="Times New Roman" w:hAnsi="Times New Roman"/>
          <w:sz w:val="24"/>
          <w:szCs w:val="24"/>
        </w:rPr>
        <w:t>запослени</w:t>
      </w:r>
      <w:r w:rsidR="00201178" w:rsidRPr="004122E2">
        <w:rPr>
          <w:rFonts w:ascii="Times New Roman" w:hAnsi="Times New Roman"/>
          <w:sz w:val="24"/>
          <w:szCs w:val="24"/>
        </w:rPr>
        <w:t xml:space="preserve"> </w:t>
      </w:r>
      <w:r w:rsidR="002A4165" w:rsidRPr="004122E2">
        <w:rPr>
          <w:rFonts w:ascii="Times New Roman" w:hAnsi="Times New Roman"/>
          <w:sz w:val="24"/>
          <w:szCs w:val="24"/>
        </w:rPr>
        <w:t>добије</w:t>
      </w:r>
      <w:r w:rsidR="00201178" w:rsidRPr="004122E2">
        <w:rPr>
          <w:rFonts w:ascii="Times New Roman" w:hAnsi="Times New Roman"/>
          <w:sz w:val="24"/>
          <w:szCs w:val="24"/>
        </w:rPr>
        <w:t xml:space="preserve"> </w:t>
      </w:r>
      <w:r w:rsidR="002A4165" w:rsidRPr="004122E2">
        <w:rPr>
          <w:rFonts w:ascii="Times New Roman" w:hAnsi="Times New Roman"/>
          <w:sz w:val="24"/>
          <w:szCs w:val="24"/>
        </w:rPr>
        <w:t>од</w:t>
      </w:r>
      <w:r w:rsidR="00201178" w:rsidRPr="004122E2">
        <w:rPr>
          <w:rFonts w:ascii="Times New Roman" w:hAnsi="Times New Roman"/>
          <w:sz w:val="24"/>
          <w:szCs w:val="24"/>
        </w:rPr>
        <w:t xml:space="preserve"> </w:t>
      </w:r>
      <w:r w:rsidR="002A4165" w:rsidRPr="004122E2">
        <w:rPr>
          <w:rFonts w:ascii="Times New Roman" w:hAnsi="Times New Roman"/>
          <w:sz w:val="24"/>
          <w:szCs w:val="24"/>
        </w:rPr>
        <w:t>послодавца</w:t>
      </w:r>
      <w:r w:rsidR="00201178" w:rsidRPr="004122E2">
        <w:rPr>
          <w:rFonts w:ascii="Times New Roman" w:hAnsi="Times New Roman"/>
          <w:sz w:val="24"/>
          <w:szCs w:val="24"/>
        </w:rPr>
        <w:t xml:space="preserve"> </w:t>
      </w:r>
      <w:r w:rsidR="002A4165" w:rsidRPr="004122E2">
        <w:rPr>
          <w:rFonts w:ascii="Times New Roman" w:hAnsi="Times New Roman"/>
          <w:sz w:val="24"/>
          <w:szCs w:val="24"/>
        </w:rPr>
        <w:t>или</w:t>
      </w:r>
      <w:r w:rsidR="00201178" w:rsidRPr="004122E2">
        <w:rPr>
          <w:rFonts w:ascii="Times New Roman" w:hAnsi="Times New Roman"/>
          <w:sz w:val="24"/>
          <w:szCs w:val="24"/>
        </w:rPr>
        <w:t xml:space="preserve"> </w:t>
      </w:r>
      <w:r w:rsidR="002A4165" w:rsidRPr="004122E2">
        <w:rPr>
          <w:rFonts w:ascii="Times New Roman" w:hAnsi="Times New Roman"/>
          <w:sz w:val="24"/>
          <w:szCs w:val="24"/>
        </w:rPr>
        <w:t>од</w:t>
      </w:r>
      <w:r w:rsidR="00201178" w:rsidRPr="004122E2">
        <w:rPr>
          <w:rFonts w:ascii="Times New Roman" w:hAnsi="Times New Roman"/>
          <w:sz w:val="24"/>
          <w:szCs w:val="24"/>
        </w:rPr>
        <w:t xml:space="preserve"> </w:t>
      </w:r>
      <w:r w:rsidR="002A4165" w:rsidRPr="004122E2">
        <w:rPr>
          <w:rFonts w:ascii="Times New Roman" w:hAnsi="Times New Roman"/>
          <w:sz w:val="24"/>
          <w:szCs w:val="24"/>
        </w:rPr>
        <w:t>с</w:t>
      </w:r>
      <w:r w:rsidR="00A508EC" w:rsidRPr="004122E2">
        <w:rPr>
          <w:rFonts w:ascii="Times New Roman" w:hAnsi="Times New Roman"/>
          <w:sz w:val="24"/>
          <w:szCs w:val="24"/>
          <w:lang w:val="sr-Cyrl-CS"/>
        </w:rPr>
        <w:t>а</w:t>
      </w:r>
      <w:r w:rsidR="00201178" w:rsidRPr="004122E2">
        <w:rPr>
          <w:rFonts w:ascii="Times New Roman" w:hAnsi="Times New Roman"/>
          <w:sz w:val="24"/>
          <w:szCs w:val="24"/>
        </w:rPr>
        <w:t xml:space="preserve"> </w:t>
      </w:r>
      <w:r w:rsidR="002A4165" w:rsidRPr="004122E2">
        <w:rPr>
          <w:rFonts w:ascii="Times New Roman" w:hAnsi="Times New Roman"/>
          <w:sz w:val="24"/>
          <w:szCs w:val="24"/>
        </w:rPr>
        <w:t>послодавцем</w:t>
      </w:r>
      <w:r w:rsidR="00201178" w:rsidRPr="004122E2">
        <w:rPr>
          <w:rFonts w:ascii="Times New Roman" w:hAnsi="Times New Roman"/>
          <w:sz w:val="24"/>
          <w:szCs w:val="24"/>
        </w:rPr>
        <w:t xml:space="preserve"> </w:t>
      </w:r>
      <w:r w:rsidR="002A4165" w:rsidRPr="004122E2">
        <w:rPr>
          <w:rFonts w:ascii="Times New Roman" w:hAnsi="Times New Roman"/>
          <w:sz w:val="24"/>
          <w:szCs w:val="24"/>
        </w:rPr>
        <w:t>повезаног</w:t>
      </w:r>
      <w:r w:rsidR="00201178" w:rsidRPr="004122E2">
        <w:rPr>
          <w:rFonts w:ascii="Times New Roman" w:hAnsi="Times New Roman"/>
          <w:sz w:val="24"/>
          <w:szCs w:val="24"/>
        </w:rPr>
        <w:t xml:space="preserve"> </w:t>
      </w:r>
      <w:r w:rsidR="002A4165" w:rsidRPr="004122E2">
        <w:rPr>
          <w:rFonts w:ascii="Times New Roman" w:hAnsi="Times New Roman"/>
          <w:sz w:val="24"/>
          <w:szCs w:val="24"/>
        </w:rPr>
        <w:t>лица</w:t>
      </w:r>
      <w:r w:rsidR="00201178" w:rsidRPr="004122E2">
        <w:rPr>
          <w:rFonts w:ascii="Times New Roman" w:hAnsi="Times New Roman"/>
          <w:sz w:val="24"/>
          <w:szCs w:val="24"/>
        </w:rPr>
        <w:t xml:space="preserve"> </w:t>
      </w:r>
      <w:r w:rsidR="002A4165" w:rsidRPr="004122E2">
        <w:rPr>
          <w:rFonts w:ascii="Times New Roman" w:hAnsi="Times New Roman"/>
          <w:sz w:val="24"/>
          <w:szCs w:val="24"/>
        </w:rPr>
        <w:t>сматрају</w:t>
      </w:r>
      <w:r w:rsidR="00201178" w:rsidRPr="004122E2">
        <w:rPr>
          <w:rFonts w:ascii="Times New Roman" w:hAnsi="Times New Roman"/>
          <w:sz w:val="24"/>
          <w:szCs w:val="24"/>
        </w:rPr>
        <w:t xml:space="preserve"> </w:t>
      </w:r>
      <w:r w:rsidR="002A4165" w:rsidRPr="004122E2">
        <w:rPr>
          <w:rFonts w:ascii="Times New Roman" w:hAnsi="Times New Roman"/>
          <w:sz w:val="24"/>
          <w:szCs w:val="24"/>
        </w:rPr>
        <w:t>се</w:t>
      </w:r>
      <w:r w:rsidR="00201178" w:rsidRPr="004122E2">
        <w:rPr>
          <w:rFonts w:ascii="Times New Roman" w:hAnsi="Times New Roman"/>
          <w:sz w:val="24"/>
          <w:szCs w:val="24"/>
        </w:rPr>
        <w:t xml:space="preserve"> </w:t>
      </w:r>
      <w:r w:rsidR="002A4165" w:rsidRPr="004122E2">
        <w:rPr>
          <w:rFonts w:ascii="Times New Roman" w:hAnsi="Times New Roman"/>
          <w:sz w:val="24"/>
          <w:szCs w:val="24"/>
        </w:rPr>
        <w:t>зарадом</w:t>
      </w:r>
      <w:r w:rsidR="00201178" w:rsidRPr="004122E2">
        <w:rPr>
          <w:rFonts w:ascii="Times New Roman" w:hAnsi="Times New Roman"/>
          <w:sz w:val="24"/>
          <w:szCs w:val="24"/>
        </w:rPr>
        <w:t xml:space="preserve"> </w:t>
      </w:r>
      <w:r w:rsidR="002A4165" w:rsidRPr="004122E2">
        <w:rPr>
          <w:rFonts w:ascii="Times New Roman" w:hAnsi="Times New Roman"/>
          <w:sz w:val="24"/>
          <w:szCs w:val="24"/>
        </w:rPr>
        <w:t>у</w:t>
      </w:r>
      <w:r w:rsidR="00201178" w:rsidRPr="004122E2">
        <w:rPr>
          <w:rFonts w:ascii="Times New Roman" w:hAnsi="Times New Roman"/>
          <w:sz w:val="24"/>
          <w:szCs w:val="24"/>
        </w:rPr>
        <w:t xml:space="preserve"> </w:t>
      </w:r>
      <w:r w:rsidR="002A4165" w:rsidRPr="004122E2">
        <w:rPr>
          <w:rFonts w:ascii="Times New Roman" w:hAnsi="Times New Roman"/>
          <w:sz w:val="24"/>
          <w:szCs w:val="24"/>
        </w:rPr>
        <w:t>моменту</w:t>
      </w:r>
      <w:r w:rsidR="00201178" w:rsidRPr="004122E2">
        <w:rPr>
          <w:rFonts w:ascii="Times New Roman" w:hAnsi="Times New Roman"/>
          <w:sz w:val="24"/>
          <w:szCs w:val="24"/>
        </w:rPr>
        <w:t xml:space="preserve"> </w:t>
      </w:r>
      <w:r w:rsidR="002A4165" w:rsidRPr="004122E2">
        <w:rPr>
          <w:rFonts w:ascii="Times New Roman" w:hAnsi="Times New Roman"/>
          <w:sz w:val="24"/>
          <w:szCs w:val="24"/>
        </w:rPr>
        <w:t>стицања</w:t>
      </w:r>
      <w:r w:rsidR="00201178" w:rsidRPr="004122E2">
        <w:rPr>
          <w:rFonts w:ascii="Times New Roman" w:hAnsi="Times New Roman"/>
          <w:sz w:val="24"/>
          <w:szCs w:val="24"/>
        </w:rPr>
        <w:t xml:space="preserve"> </w:t>
      </w:r>
      <w:r w:rsidR="002A4165" w:rsidRPr="004122E2">
        <w:rPr>
          <w:rFonts w:ascii="Times New Roman" w:hAnsi="Times New Roman"/>
          <w:sz w:val="24"/>
          <w:szCs w:val="24"/>
        </w:rPr>
        <w:t>права</w:t>
      </w:r>
      <w:r w:rsidR="00201178" w:rsidRPr="004122E2">
        <w:rPr>
          <w:rFonts w:ascii="Times New Roman" w:hAnsi="Times New Roman"/>
          <w:sz w:val="24"/>
          <w:szCs w:val="24"/>
        </w:rPr>
        <w:t xml:space="preserve"> </w:t>
      </w:r>
      <w:r w:rsidR="002A4165" w:rsidRPr="004122E2">
        <w:rPr>
          <w:rFonts w:ascii="Times New Roman" w:hAnsi="Times New Roman"/>
          <w:sz w:val="24"/>
          <w:szCs w:val="24"/>
        </w:rPr>
        <w:t>располагања</w:t>
      </w:r>
      <w:r w:rsidR="00A508EC" w:rsidRPr="004122E2">
        <w:rPr>
          <w:rFonts w:ascii="Times New Roman" w:hAnsi="Times New Roman"/>
          <w:sz w:val="24"/>
          <w:szCs w:val="24"/>
        </w:rPr>
        <w:t xml:space="preserve"> </w:t>
      </w:r>
      <w:r w:rsidR="002A4165" w:rsidRPr="004122E2">
        <w:rPr>
          <w:rFonts w:ascii="Times New Roman" w:hAnsi="Times New Roman"/>
          <w:sz w:val="24"/>
          <w:szCs w:val="24"/>
        </w:rPr>
        <w:t>на</w:t>
      </w:r>
      <w:r w:rsidR="00A508EC" w:rsidRPr="004122E2">
        <w:rPr>
          <w:rFonts w:ascii="Times New Roman" w:hAnsi="Times New Roman"/>
          <w:sz w:val="24"/>
          <w:szCs w:val="24"/>
        </w:rPr>
        <w:t xml:space="preserve"> </w:t>
      </w:r>
      <w:r w:rsidR="002A4165" w:rsidRPr="004122E2">
        <w:rPr>
          <w:rFonts w:ascii="Times New Roman" w:hAnsi="Times New Roman"/>
          <w:sz w:val="24"/>
          <w:szCs w:val="24"/>
        </w:rPr>
        <w:t>тим</w:t>
      </w:r>
      <w:r w:rsidR="00A508EC" w:rsidRPr="004122E2">
        <w:rPr>
          <w:rFonts w:ascii="Times New Roman" w:hAnsi="Times New Roman"/>
          <w:sz w:val="24"/>
          <w:szCs w:val="24"/>
        </w:rPr>
        <w:t xml:space="preserve"> </w:t>
      </w:r>
      <w:r w:rsidR="002A4165" w:rsidRPr="004122E2">
        <w:rPr>
          <w:rFonts w:ascii="Times New Roman" w:hAnsi="Times New Roman"/>
          <w:sz w:val="24"/>
          <w:szCs w:val="24"/>
        </w:rPr>
        <w:t>хартијама</w:t>
      </w:r>
      <w:r w:rsidR="00A508EC" w:rsidRPr="004122E2">
        <w:rPr>
          <w:rFonts w:ascii="Times New Roman" w:hAnsi="Times New Roman"/>
          <w:sz w:val="24"/>
          <w:szCs w:val="24"/>
        </w:rPr>
        <w:t xml:space="preserve"> </w:t>
      </w:r>
      <w:r w:rsidR="002A4165" w:rsidRPr="004122E2">
        <w:rPr>
          <w:rFonts w:ascii="Times New Roman" w:hAnsi="Times New Roman"/>
          <w:sz w:val="24"/>
          <w:szCs w:val="24"/>
        </w:rPr>
        <w:t>од</w:t>
      </w:r>
      <w:r w:rsidR="00A508EC" w:rsidRPr="004122E2">
        <w:rPr>
          <w:rFonts w:ascii="Times New Roman" w:hAnsi="Times New Roman"/>
          <w:sz w:val="24"/>
          <w:szCs w:val="24"/>
        </w:rPr>
        <w:t xml:space="preserve"> </w:t>
      </w:r>
      <w:r w:rsidR="002A4165" w:rsidRPr="004122E2">
        <w:rPr>
          <w:rFonts w:ascii="Times New Roman" w:hAnsi="Times New Roman"/>
          <w:sz w:val="24"/>
          <w:szCs w:val="24"/>
        </w:rPr>
        <w:t>вредности</w:t>
      </w:r>
      <w:r w:rsidR="00A508EC" w:rsidRPr="004122E2">
        <w:rPr>
          <w:rFonts w:ascii="Times New Roman" w:hAnsi="Times New Roman"/>
          <w:sz w:val="24"/>
          <w:szCs w:val="24"/>
          <w:lang w:val="sr-Cyrl-CS"/>
        </w:rPr>
        <w:t xml:space="preserve">, а зарадом се </w:t>
      </w:r>
      <w:r w:rsidR="002A4165" w:rsidRPr="004122E2">
        <w:rPr>
          <w:rFonts w:ascii="Times New Roman" w:hAnsi="Times New Roman"/>
          <w:sz w:val="24"/>
          <w:szCs w:val="24"/>
        </w:rPr>
        <w:t>сматрају</w:t>
      </w:r>
      <w:r w:rsidR="00201178" w:rsidRPr="004122E2">
        <w:rPr>
          <w:rFonts w:ascii="Times New Roman" w:hAnsi="Times New Roman"/>
          <w:sz w:val="24"/>
          <w:szCs w:val="24"/>
        </w:rPr>
        <w:t xml:space="preserve"> </w:t>
      </w:r>
      <w:r w:rsidR="002A4165" w:rsidRPr="004122E2">
        <w:rPr>
          <w:rFonts w:ascii="Times New Roman" w:hAnsi="Times New Roman"/>
          <w:sz w:val="24"/>
          <w:szCs w:val="24"/>
        </w:rPr>
        <w:t>и</w:t>
      </w:r>
      <w:r w:rsidR="00201178" w:rsidRPr="004122E2">
        <w:rPr>
          <w:rFonts w:ascii="Times New Roman" w:hAnsi="Times New Roman"/>
          <w:sz w:val="24"/>
          <w:szCs w:val="24"/>
        </w:rPr>
        <w:t xml:space="preserve"> </w:t>
      </w:r>
      <w:r w:rsidR="002A4165" w:rsidRPr="004122E2">
        <w:rPr>
          <w:rFonts w:ascii="Times New Roman" w:hAnsi="Times New Roman"/>
          <w:sz w:val="24"/>
          <w:szCs w:val="24"/>
        </w:rPr>
        <w:t>хартије</w:t>
      </w:r>
      <w:r w:rsidR="00201178" w:rsidRPr="004122E2">
        <w:rPr>
          <w:rFonts w:ascii="Times New Roman" w:hAnsi="Times New Roman"/>
          <w:sz w:val="24"/>
          <w:szCs w:val="24"/>
        </w:rPr>
        <w:t xml:space="preserve"> </w:t>
      </w:r>
      <w:r w:rsidR="002A4165" w:rsidRPr="004122E2">
        <w:rPr>
          <w:rFonts w:ascii="Times New Roman" w:hAnsi="Times New Roman"/>
          <w:sz w:val="24"/>
          <w:szCs w:val="24"/>
        </w:rPr>
        <w:t>од</w:t>
      </w:r>
      <w:r w:rsidR="00201178" w:rsidRPr="004122E2">
        <w:rPr>
          <w:rFonts w:ascii="Times New Roman" w:hAnsi="Times New Roman"/>
          <w:sz w:val="24"/>
          <w:szCs w:val="24"/>
        </w:rPr>
        <w:t xml:space="preserve"> </w:t>
      </w:r>
      <w:r w:rsidR="002A4165" w:rsidRPr="004122E2">
        <w:rPr>
          <w:rFonts w:ascii="Times New Roman" w:hAnsi="Times New Roman"/>
          <w:sz w:val="24"/>
          <w:szCs w:val="24"/>
        </w:rPr>
        <w:t>вредности</w:t>
      </w:r>
      <w:r w:rsidR="00201178" w:rsidRPr="004122E2">
        <w:rPr>
          <w:rFonts w:ascii="Times New Roman" w:hAnsi="Times New Roman"/>
          <w:sz w:val="24"/>
          <w:szCs w:val="24"/>
        </w:rPr>
        <w:t xml:space="preserve"> </w:t>
      </w:r>
      <w:r w:rsidR="002A4165" w:rsidRPr="004122E2">
        <w:rPr>
          <w:rFonts w:ascii="Times New Roman" w:hAnsi="Times New Roman"/>
          <w:sz w:val="24"/>
          <w:szCs w:val="24"/>
        </w:rPr>
        <w:t>које</w:t>
      </w:r>
      <w:r w:rsidR="00201178" w:rsidRPr="004122E2">
        <w:rPr>
          <w:rFonts w:ascii="Times New Roman" w:hAnsi="Times New Roman"/>
          <w:sz w:val="24"/>
          <w:szCs w:val="24"/>
        </w:rPr>
        <w:t xml:space="preserve"> </w:t>
      </w:r>
      <w:r w:rsidR="002A4165" w:rsidRPr="004122E2">
        <w:rPr>
          <w:rFonts w:ascii="Times New Roman" w:hAnsi="Times New Roman"/>
          <w:sz w:val="24"/>
          <w:szCs w:val="24"/>
        </w:rPr>
        <w:t>запослени</w:t>
      </w:r>
      <w:r w:rsidR="00201178" w:rsidRPr="004122E2">
        <w:rPr>
          <w:rFonts w:ascii="Times New Roman" w:hAnsi="Times New Roman"/>
          <w:sz w:val="24"/>
          <w:szCs w:val="24"/>
        </w:rPr>
        <w:t xml:space="preserve"> </w:t>
      </w:r>
      <w:r w:rsidR="002A4165" w:rsidRPr="004122E2">
        <w:rPr>
          <w:rFonts w:ascii="Times New Roman" w:hAnsi="Times New Roman"/>
          <w:sz w:val="24"/>
          <w:szCs w:val="24"/>
        </w:rPr>
        <w:t>добије</w:t>
      </w:r>
      <w:r w:rsidR="00201178" w:rsidRPr="004122E2">
        <w:rPr>
          <w:rFonts w:ascii="Times New Roman" w:hAnsi="Times New Roman"/>
          <w:sz w:val="24"/>
          <w:szCs w:val="24"/>
        </w:rPr>
        <w:t xml:space="preserve"> </w:t>
      </w:r>
      <w:r w:rsidR="002A4165" w:rsidRPr="004122E2">
        <w:rPr>
          <w:rFonts w:ascii="Times New Roman" w:hAnsi="Times New Roman"/>
          <w:sz w:val="24"/>
          <w:szCs w:val="24"/>
        </w:rPr>
        <w:t>на</w:t>
      </w:r>
      <w:r w:rsidR="00201178" w:rsidRPr="004122E2">
        <w:rPr>
          <w:rFonts w:ascii="Times New Roman" w:hAnsi="Times New Roman"/>
          <w:sz w:val="24"/>
          <w:szCs w:val="24"/>
        </w:rPr>
        <w:t xml:space="preserve"> </w:t>
      </w:r>
      <w:r w:rsidR="002A4165" w:rsidRPr="004122E2">
        <w:rPr>
          <w:rFonts w:ascii="Times New Roman" w:hAnsi="Times New Roman"/>
          <w:sz w:val="24"/>
          <w:szCs w:val="24"/>
        </w:rPr>
        <w:t>основу</w:t>
      </w:r>
      <w:r w:rsidR="00201178" w:rsidRPr="004122E2">
        <w:rPr>
          <w:rFonts w:ascii="Times New Roman" w:hAnsi="Times New Roman"/>
          <w:sz w:val="24"/>
          <w:szCs w:val="24"/>
        </w:rPr>
        <w:t xml:space="preserve"> </w:t>
      </w:r>
      <w:r w:rsidR="002A4165" w:rsidRPr="004122E2">
        <w:rPr>
          <w:rFonts w:ascii="Times New Roman" w:hAnsi="Times New Roman"/>
          <w:sz w:val="24"/>
          <w:szCs w:val="24"/>
        </w:rPr>
        <w:t>правила</w:t>
      </w:r>
      <w:r w:rsidR="00201178" w:rsidRPr="004122E2">
        <w:rPr>
          <w:rFonts w:ascii="Times New Roman" w:hAnsi="Times New Roman"/>
          <w:sz w:val="24"/>
          <w:szCs w:val="24"/>
        </w:rPr>
        <w:t xml:space="preserve"> </w:t>
      </w:r>
      <w:r w:rsidR="002A4165" w:rsidRPr="004122E2">
        <w:rPr>
          <w:rFonts w:ascii="Times New Roman" w:hAnsi="Times New Roman"/>
          <w:sz w:val="24"/>
          <w:szCs w:val="24"/>
        </w:rPr>
        <w:t>награђивања</w:t>
      </w:r>
      <w:r w:rsidR="00201178" w:rsidRPr="004122E2">
        <w:rPr>
          <w:rFonts w:ascii="Times New Roman" w:hAnsi="Times New Roman"/>
          <w:sz w:val="24"/>
          <w:szCs w:val="24"/>
        </w:rPr>
        <w:t xml:space="preserve"> (</w:t>
      </w:r>
      <w:r w:rsidR="002A4165" w:rsidRPr="004122E2">
        <w:rPr>
          <w:rFonts w:ascii="Times New Roman" w:hAnsi="Times New Roman"/>
          <w:sz w:val="24"/>
          <w:szCs w:val="24"/>
        </w:rPr>
        <w:t>опције</w:t>
      </w:r>
      <w:r w:rsidR="00201178" w:rsidRPr="004122E2">
        <w:rPr>
          <w:rFonts w:ascii="Times New Roman" w:hAnsi="Times New Roman"/>
          <w:sz w:val="24"/>
          <w:szCs w:val="24"/>
        </w:rPr>
        <w:t xml:space="preserve"> </w:t>
      </w:r>
      <w:r w:rsidR="002A4165" w:rsidRPr="004122E2">
        <w:rPr>
          <w:rFonts w:ascii="Times New Roman" w:hAnsi="Times New Roman"/>
          <w:sz w:val="24"/>
          <w:szCs w:val="24"/>
        </w:rPr>
        <w:t>на</w:t>
      </w:r>
      <w:r w:rsidR="00201178" w:rsidRPr="004122E2">
        <w:rPr>
          <w:rFonts w:ascii="Times New Roman" w:hAnsi="Times New Roman"/>
          <w:sz w:val="24"/>
          <w:szCs w:val="24"/>
        </w:rPr>
        <w:t xml:space="preserve"> </w:t>
      </w:r>
      <w:r w:rsidR="002A4165" w:rsidRPr="004122E2">
        <w:rPr>
          <w:rFonts w:ascii="Times New Roman" w:hAnsi="Times New Roman"/>
          <w:sz w:val="24"/>
          <w:szCs w:val="24"/>
        </w:rPr>
        <w:t>акције</w:t>
      </w:r>
      <w:r w:rsidR="00201178" w:rsidRPr="004122E2">
        <w:rPr>
          <w:rFonts w:ascii="Times New Roman" w:hAnsi="Times New Roman"/>
          <w:sz w:val="24"/>
          <w:szCs w:val="24"/>
        </w:rPr>
        <w:t xml:space="preserve"> </w:t>
      </w:r>
      <w:r w:rsidR="002A4165" w:rsidRPr="004122E2">
        <w:rPr>
          <w:rFonts w:ascii="Times New Roman" w:hAnsi="Times New Roman"/>
          <w:sz w:val="24"/>
          <w:szCs w:val="24"/>
        </w:rPr>
        <w:t>и</w:t>
      </w:r>
      <w:r w:rsidR="00201178" w:rsidRPr="004122E2">
        <w:rPr>
          <w:rFonts w:ascii="Times New Roman" w:hAnsi="Times New Roman"/>
          <w:sz w:val="24"/>
          <w:szCs w:val="24"/>
        </w:rPr>
        <w:t xml:space="preserve"> </w:t>
      </w:r>
      <w:r w:rsidR="002A4165" w:rsidRPr="004122E2">
        <w:rPr>
          <w:rFonts w:ascii="Times New Roman" w:hAnsi="Times New Roman"/>
          <w:sz w:val="24"/>
          <w:szCs w:val="24"/>
        </w:rPr>
        <w:t>др</w:t>
      </w:r>
      <w:r w:rsidR="00201178" w:rsidRPr="004122E2">
        <w:rPr>
          <w:rFonts w:ascii="Times New Roman" w:hAnsi="Times New Roman"/>
          <w:sz w:val="24"/>
          <w:szCs w:val="24"/>
        </w:rPr>
        <w:t xml:space="preserve">.) </w:t>
      </w:r>
      <w:r w:rsidR="002A4165" w:rsidRPr="004122E2">
        <w:rPr>
          <w:rFonts w:ascii="Times New Roman" w:hAnsi="Times New Roman"/>
          <w:sz w:val="24"/>
          <w:szCs w:val="24"/>
        </w:rPr>
        <w:t>од</w:t>
      </w:r>
      <w:r w:rsidR="00201178" w:rsidRPr="004122E2">
        <w:rPr>
          <w:rFonts w:ascii="Times New Roman" w:hAnsi="Times New Roman"/>
          <w:sz w:val="24"/>
          <w:szCs w:val="24"/>
        </w:rPr>
        <w:t xml:space="preserve"> </w:t>
      </w:r>
      <w:r w:rsidR="002A4165" w:rsidRPr="004122E2">
        <w:rPr>
          <w:rFonts w:ascii="Times New Roman" w:hAnsi="Times New Roman"/>
          <w:sz w:val="24"/>
          <w:szCs w:val="24"/>
        </w:rPr>
        <w:t>послодавца</w:t>
      </w:r>
      <w:r w:rsidR="00201178" w:rsidRPr="004122E2">
        <w:rPr>
          <w:rFonts w:ascii="Times New Roman" w:hAnsi="Times New Roman"/>
          <w:sz w:val="24"/>
          <w:szCs w:val="24"/>
        </w:rPr>
        <w:t xml:space="preserve"> </w:t>
      </w:r>
      <w:r w:rsidR="002A4165" w:rsidRPr="004122E2">
        <w:rPr>
          <w:rFonts w:ascii="Times New Roman" w:hAnsi="Times New Roman"/>
          <w:sz w:val="24"/>
          <w:szCs w:val="24"/>
        </w:rPr>
        <w:t>или</w:t>
      </w:r>
      <w:r w:rsidR="00201178" w:rsidRPr="004122E2">
        <w:rPr>
          <w:rFonts w:ascii="Times New Roman" w:hAnsi="Times New Roman"/>
          <w:sz w:val="24"/>
          <w:szCs w:val="24"/>
        </w:rPr>
        <w:t xml:space="preserve"> </w:t>
      </w:r>
      <w:r w:rsidR="002A4165" w:rsidRPr="004122E2">
        <w:rPr>
          <w:rFonts w:ascii="Times New Roman" w:hAnsi="Times New Roman"/>
          <w:sz w:val="24"/>
          <w:szCs w:val="24"/>
        </w:rPr>
        <w:t>од</w:t>
      </w:r>
      <w:r w:rsidR="00201178" w:rsidRPr="004122E2">
        <w:rPr>
          <w:rFonts w:ascii="Times New Roman" w:hAnsi="Times New Roman"/>
          <w:sz w:val="24"/>
          <w:szCs w:val="24"/>
        </w:rPr>
        <w:t xml:space="preserve"> </w:t>
      </w:r>
      <w:r w:rsidR="002A4165" w:rsidRPr="004122E2">
        <w:rPr>
          <w:rFonts w:ascii="Times New Roman" w:hAnsi="Times New Roman"/>
          <w:sz w:val="24"/>
          <w:szCs w:val="24"/>
        </w:rPr>
        <w:t>с</w:t>
      </w:r>
      <w:r w:rsidR="00A508EC" w:rsidRPr="004122E2">
        <w:rPr>
          <w:rFonts w:ascii="Times New Roman" w:hAnsi="Times New Roman"/>
          <w:sz w:val="24"/>
          <w:szCs w:val="24"/>
          <w:lang w:val="sr-Cyrl-CS"/>
        </w:rPr>
        <w:t>а</w:t>
      </w:r>
      <w:r w:rsidR="00201178" w:rsidRPr="004122E2">
        <w:rPr>
          <w:rFonts w:ascii="Times New Roman" w:hAnsi="Times New Roman"/>
          <w:sz w:val="24"/>
          <w:szCs w:val="24"/>
        </w:rPr>
        <w:t xml:space="preserve"> </w:t>
      </w:r>
      <w:r w:rsidR="002A4165" w:rsidRPr="004122E2">
        <w:rPr>
          <w:rFonts w:ascii="Times New Roman" w:hAnsi="Times New Roman"/>
          <w:sz w:val="24"/>
          <w:szCs w:val="24"/>
        </w:rPr>
        <w:t>послодавцем</w:t>
      </w:r>
      <w:r w:rsidR="00201178" w:rsidRPr="004122E2">
        <w:rPr>
          <w:rFonts w:ascii="Times New Roman" w:hAnsi="Times New Roman"/>
          <w:sz w:val="24"/>
          <w:szCs w:val="24"/>
        </w:rPr>
        <w:t xml:space="preserve"> </w:t>
      </w:r>
      <w:r w:rsidR="002A4165" w:rsidRPr="004122E2">
        <w:rPr>
          <w:rFonts w:ascii="Times New Roman" w:hAnsi="Times New Roman"/>
          <w:sz w:val="24"/>
          <w:szCs w:val="24"/>
        </w:rPr>
        <w:t>повезаног</w:t>
      </w:r>
      <w:r w:rsidR="00201178" w:rsidRPr="004122E2">
        <w:rPr>
          <w:rFonts w:ascii="Times New Roman" w:hAnsi="Times New Roman"/>
          <w:sz w:val="24"/>
          <w:szCs w:val="24"/>
        </w:rPr>
        <w:t xml:space="preserve"> </w:t>
      </w:r>
      <w:r w:rsidR="002A4165" w:rsidRPr="004122E2">
        <w:rPr>
          <w:rFonts w:ascii="Times New Roman" w:hAnsi="Times New Roman"/>
          <w:sz w:val="24"/>
          <w:szCs w:val="24"/>
        </w:rPr>
        <w:t>лица</w:t>
      </w:r>
      <w:r w:rsidR="00201178" w:rsidRPr="004122E2">
        <w:rPr>
          <w:rFonts w:ascii="Times New Roman" w:hAnsi="Times New Roman"/>
          <w:sz w:val="24"/>
          <w:szCs w:val="24"/>
        </w:rPr>
        <w:t>.</w:t>
      </w:r>
      <w:r w:rsidR="00A508EC" w:rsidRPr="004122E2">
        <w:rPr>
          <w:rFonts w:ascii="Times New Roman" w:hAnsi="Times New Roman"/>
          <w:sz w:val="24"/>
          <w:szCs w:val="24"/>
          <w:lang w:val="sr-Cyrl-CS"/>
        </w:rPr>
        <w:t xml:space="preserve"> </w:t>
      </w:r>
      <w:r w:rsidR="002A4165" w:rsidRPr="004122E2">
        <w:rPr>
          <w:rFonts w:ascii="Times New Roman" w:hAnsi="Times New Roman"/>
          <w:sz w:val="24"/>
          <w:szCs w:val="24"/>
        </w:rPr>
        <w:t>Изузетно</w:t>
      </w:r>
      <w:r w:rsidR="00A508EC" w:rsidRPr="004122E2">
        <w:rPr>
          <w:rFonts w:ascii="Times New Roman" w:hAnsi="Times New Roman"/>
          <w:sz w:val="24"/>
          <w:szCs w:val="24"/>
          <w:lang w:val="sr-Cyrl-CS"/>
        </w:rPr>
        <w:t>,</w:t>
      </w:r>
      <w:r w:rsidR="00201178" w:rsidRPr="004122E2">
        <w:rPr>
          <w:rFonts w:ascii="Times New Roman" w:hAnsi="Times New Roman"/>
          <w:sz w:val="24"/>
          <w:szCs w:val="24"/>
        </w:rPr>
        <w:t xml:space="preserve"> </w:t>
      </w:r>
      <w:r w:rsidR="002A4165" w:rsidRPr="004122E2">
        <w:rPr>
          <w:rFonts w:ascii="Times New Roman" w:hAnsi="Times New Roman"/>
          <w:sz w:val="24"/>
          <w:szCs w:val="24"/>
        </w:rPr>
        <w:t>ако</w:t>
      </w:r>
      <w:r w:rsidR="00201178" w:rsidRPr="004122E2">
        <w:rPr>
          <w:rFonts w:ascii="Times New Roman" w:hAnsi="Times New Roman"/>
          <w:sz w:val="24"/>
          <w:szCs w:val="24"/>
        </w:rPr>
        <w:t xml:space="preserve"> </w:t>
      </w:r>
      <w:r w:rsidR="002A4165" w:rsidRPr="004122E2">
        <w:rPr>
          <w:rFonts w:ascii="Times New Roman" w:hAnsi="Times New Roman"/>
          <w:sz w:val="24"/>
          <w:szCs w:val="24"/>
        </w:rPr>
        <w:t>за</w:t>
      </w:r>
      <w:r w:rsidR="00201178" w:rsidRPr="004122E2">
        <w:rPr>
          <w:rFonts w:ascii="Times New Roman" w:hAnsi="Times New Roman"/>
          <w:sz w:val="24"/>
          <w:szCs w:val="24"/>
        </w:rPr>
        <w:t xml:space="preserve"> </w:t>
      </w:r>
      <w:r w:rsidR="002A4165" w:rsidRPr="004122E2">
        <w:rPr>
          <w:rFonts w:ascii="Times New Roman" w:hAnsi="Times New Roman"/>
          <w:sz w:val="24"/>
          <w:szCs w:val="24"/>
        </w:rPr>
        <w:t>примања</w:t>
      </w:r>
      <w:r w:rsidR="00201178" w:rsidRPr="004122E2">
        <w:rPr>
          <w:rFonts w:ascii="Times New Roman" w:hAnsi="Times New Roman"/>
          <w:sz w:val="24"/>
          <w:szCs w:val="24"/>
        </w:rPr>
        <w:t xml:space="preserve"> </w:t>
      </w:r>
      <w:r w:rsidR="00A508EC" w:rsidRPr="004122E2">
        <w:rPr>
          <w:rFonts w:ascii="Times New Roman" w:hAnsi="Times New Roman"/>
          <w:sz w:val="24"/>
          <w:szCs w:val="24"/>
          <w:lang w:val="sr-Cyrl-CS"/>
        </w:rPr>
        <w:t>везано за хартије од вредности</w:t>
      </w:r>
      <w:r w:rsidR="00201178" w:rsidRPr="004122E2">
        <w:rPr>
          <w:rFonts w:ascii="Times New Roman" w:hAnsi="Times New Roman"/>
          <w:sz w:val="24"/>
          <w:szCs w:val="24"/>
        </w:rPr>
        <w:t xml:space="preserve">, </w:t>
      </w:r>
      <w:r w:rsidR="002A4165" w:rsidRPr="004122E2">
        <w:rPr>
          <w:rFonts w:ascii="Times New Roman" w:hAnsi="Times New Roman"/>
          <w:sz w:val="24"/>
          <w:szCs w:val="24"/>
        </w:rPr>
        <w:t>која</w:t>
      </w:r>
      <w:r w:rsidR="00201178" w:rsidRPr="004122E2">
        <w:rPr>
          <w:rFonts w:ascii="Times New Roman" w:hAnsi="Times New Roman"/>
          <w:sz w:val="24"/>
          <w:szCs w:val="24"/>
        </w:rPr>
        <w:t xml:space="preserve"> </w:t>
      </w:r>
      <w:r w:rsidR="002A4165" w:rsidRPr="004122E2">
        <w:rPr>
          <w:rFonts w:ascii="Times New Roman" w:hAnsi="Times New Roman"/>
          <w:sz w:val="24"/>
          <w:szCs w:val="24"/>
        </w:rPr>
        <w:t>запослени</w:t>
      </w:r>
      <w:r w:rsidR="00201178" w:rsidRPr="004122E2">
        <w:rPr>
          <w:rFonts w:ascii="Times New Roman" w:hAnsi="Times New Roman"/>
          <w:sz w:val="24"/>
          <w:szCs w:val="24"/>
        </w:rPr>
        <w:t xml:space="preserve"> </w:t>
      </w:r>
      <w:r w:rsidR="002A4165" w:rsidRPr="004122E2">
        <w:rPr>
          <w:rFonts w:ascii="Times New Roman" w:hAnsi="Times New Roman"/>
          <w:sz w:val="24"/>
          <w:szCs w:val="24"/>
        </w:rPr>
        <w:t>добије</w:t>
      </w:r>
      <w:r w:rsidR="00201178" w:rsidRPr="004122E2">
        <w:rPr>
          <w:rFonts w:ascii="Times New Roman" w:hAnsi="Times New Roman"/>
          <w:sz w:val="24"/>
          <w:szCs w:val="24"/>
        </w:rPr>
        <w:t xml:space="preserve"> </w:t>
      </w:r>
      <w:r w:rsidR="002A4165" w:rsidRPr="004122E2">
        <w:rPr>
          <w:rFonts w:ascii="Times New Roman" w:hAnsi="Times New Roman"/>
          <w:sz w:val="24"/>
          <w:szCs w:val="24"/>
        </w:rPr>
        <w:t>од</w:t>
      </w:r>
      <w:r w:rsidR="00201178" w:rsidRPr="004122E2">
        <w:rPr>
          <w:rFonts w:ascii="Times New Roman" w:hAnsi="Times New Roman"/>
          <w:sz w:val="24"/>
          <w:szCs w:val="24"/>
        </w:rPr>
        <w:t xml:space="preserve"> </w:t>
      </w:r>
      <w:r w:rsidR="002A4165" w:rsidRPr="004122E2">
        <w:rPr>
          <w:rFonts w:ascii="Times New Roman" w:hAnsi="Times New Roman"/>
          <w:sz w:val="24"/>
          <w:szCs w:val="24"/>
        </w:rPr>
        <w:t>с</w:t>
      </w:r>
      <w:r w:rsidR="00A508EC" w:rsidRPr="004122E2">
        <w:rPr>
          <w:rFonts w:ascii="Times New Roman" w:hAnsi="Times New Roman"/>
          <w:sz w:val="24"/>
          <w:szCs w:val="24"/>
          <w:lang w:val="sr-Cyrl-CS"/>
        </w:rPr>
        <w:t>а</w:t>
      </w:r>
      <w:r w:rsidR="00201178" w:rsidRPr="004122E2">
        <w:rPr>
          <w:rFonts w:ascii="Times New Roman" w:hAnsi="Times New Roman"/>
          <w:sz w:val="24"/>
          <w:szCs w:val="24"/>
        </w:rPr>
        <w:t xml:space="preserve"> </w:t>
      </w:r>
      <w:r w:rsidR="002A4165" w:rsidRPr="004122E2">
        <w:rPr>
          <w:rFonts w:ascii="Times New Roman" w:hAnsi="Times New Roman"/>
          <w:sz w:val="24"/>
          <w:szCs w:val="24"/>
        </w:rPr>
        <w:t>послодавцем</w:t>
      </w:r>
      <w:r w:rsidR="00201178" w:rsidRPr="004122E2">
        <w:rPr>
          <w:rFonts w:ascii="Times New Roman" w:hAnsi="Times New Roman"/>
          <w:sz w:val="24"/>
          <w:szCs w:val="24"/>
        </w:rPr>
        <w:t xml:space="preserve"> </w:t>
      </w:r>
      <w:r w:rsidR="002A4165" w:rsidRPr="004122E2">
        <w:rPr>
          <w:rFonts w:ascii="Times New Roman" w:hAnsi="Times New Roman"/>
          <w:sz w:val="24"/>
          <w:szCs w:val="24"/>
        </w:rPr>
        <w:t>повезаног</w:t>
      </w:r>
      <w:r w:rsidR="00201178" w:rsidRPr="004122E2">
        <w:rPr>
          <w:rFonts w:ascii="Times New Roman" w:hAnsi="Times New Roman"/>
          <w:sz w:val="24"/>
          <w:szCs w:val="24"/>
        </w:rPr>
        <w:t xml:space="preserve"> </w:t>
      </w:r>
      <w:r w:rsidR="002A4165" w:rsidRPr="004122E2">
        <w:rPr>
          <w:rFonts w:ascii="Times New Roman" w:hAnsi="Times New Roman"/>
          <w:sz w:val="24"/>
          <w:szCs w:val="24"/>
        </w:rPr>
        <w:t>лица</w:t>
      </w:r>
      <w:r w:rsidR="00201178" w:rsidRPr="004122E2">
        <w:rPr>
          <w:rFonts w:ascii="Times New Roman" w:hAnsi="Times New Roman"/>
          <w:sz w:val="24"/>
          <w:szCs w:val="24"/>
        </w:rPr>
        <w:t xml:space="preserve">, </w:t>
      </w:r>
      <w:r w:rsidR="002A4165" w:rsidRPr="004122E2">
        <w:rPr>
          <w:rFonts w:ascii="Times New Roman" w:hAnsi="Times New Roman"/>
          <w:sz w:val="24"/>
          <w:szCs w:val="24"/>
        </w:rPr>
        <w:t>трошак</w:t>
      </w:r>
      <w:r w:rsidR="00201178" w:rsidRPr="004122E2">
        <w:rPr>
          <w:rFonts w:ascii="Times New Roman" w:hAnsi="Times New Roman"/>
          <w:sz w:val="24"/>
          <w:szCs w:val="24"/>
        </w:rPr>
        <w:t xml:space="preserve"> </w:t>
      </w:r>
      <w:r w:rsidR="002A4165" w:rsidRPr="004122E2">
        <w:rPr>
          <w:rFonts w:ascii="Times New Roman" w:hAnsi="Times New Roman"/>
          <w:sz w:val="24"/>
          <w:szCs w:val="24"/>
        </w:rPr>
        <w:t>сноси</w:t>
      </w:r>
      <w:r w:rsidR="00201178" w:rsidRPr="004122E2">
        <w:rPr>
          <w:rFonts w:ascii="Times New Roman" w:hAnsi="Times New Roman"/>
          <w:sz w:val="24"/>
          <w:szCs w:val="24"/>
        </w:rPr>
        <w:t xml:space="preserve"> </w:t>
      </w:r>
      <w:r w:rsidR="002A4165" w:rsidRPr="004122E2">
        <w:rPr>
          <w:rFonts w:ascii="Times New Roman" w:hAnsi="Times New Roman"/>
          <w:sz w:val="24"/>
          <w:szCs w:val="24"/>
        </w:rPr>
        <w:t>послодавац</w:t>
      </w:r>
      <w:r w:rsidR="00201178" w:rsidRPr="004122E2">
        <w:rPr>
          <w:rFonts w:ascii="Times New Roman" w:hAnsi="Times New Roman"/>
          <w:sz w:val="24"/>
          <w:szCs w:val="24"/>
        </w:rPr>
        <w:t xml:space="preserve">, </w:t>
      </w:r>
      <w:r w:rsidR="002A4165" w:rsidRPr="004122E2">
        <w:rPr>
          <w:rFonts w:ascii="Times New Roman" w:hAnsi="Times New Roman"/>
          <w:sz w:val="24"/>
          <w:szCs w:val="24"/>
        </w:rPr>
        <w:t>та</w:t>
      </w:r>
      <w:r w:rsidR="00201178" w:rsidRPr="004122E2">
        <w:rPr>
          <w:rFonts w:ascii="Times New Roman" w:hAnsi="Times New Roman"/>
          <w:sz w:val="24"/>
          <w:szCs w:val="24"/>
        </w:rPr>
        <w:t xml:space="preserve"> </w:t>
      </w:r>
      <w:r w:rsidR="002A4165" w:rsidRPr="004122E2">
        <w:rPr>
          <w:rFonts w:ascii="Times New Roman" w:hAnsi="Times New Roman"/>
          <w:sz w:val="24"/>
          <w:szCs w:val="24"/>
        </w:rPr>
        <w:t>примања</w:t>
      </w:r>
      <w:r w:rsidR="00201178" w:rsidRPr="004122E2">
        <w:rPr>
          <w:rFonts w:ascii="Times New Roman" w:hAnsi="Times New Roman"/>
          <w:sz w:val="24"/>
          <w:szCs w:val="24"/>
        </w:rPr>
        <w:t xml:space="preserve"> </w:t>
      </w:r>
      <w:r w:rsidR="002A4165" w:rsidRPr="004122E2">
        <w:rPr>
          <w:rFonts w:ascii="Times New Roman" w:hAnsi="Times New Roman"/>
          <w:sz w:val="24"/>
          <w:szCs w:val="24"/>
        </w:rPr>
        <w:t>сматрају</w:t>
      </w:r>
      <w:r w:rsidR="00201178" w:rsidRPr="004122E2">
        <w:rPr>
          <w:rFonts w:ascii="Times New Roman" w:hAnsi="Times New Roman"/>
          <w:sz w:val="24"/>
          <w:szCs w:val="24"/>
        </w:rPr>
        <w:t xml:space="preserve"> </w:t>
      </w:r>
      <w:r w:rsidR="002A4165" w:rsidRPr="004122E2">
        <w:rPr>
          <w:rFonts w:ascii="Times New Roman" w:hAnsi="Times New Roman"/>
          <w:sz w:val="24"/>
          <w:szCs w:val="24"/>
        </w:rPr>
        <w:t>се</w:t>
      </w:r>
      <w:r w:rsidR="00201178" w:rsidRPr="004122E2">
        <w:rPr>
          <w:rFonts w:ascii="Times New Roman" w:hAnsi="Times New Roman"/>
          <w:sz w:val="24"/>
          <w:szCs w:val="24"/>
        </w:rPr>
        <w:t xml:space="preserve"> </w:t>
      </w:r>
      <w:r w:rsidR="002A4165" w:rsidRPr="004122E2">
        <w:rPr>
          <w:rFonts w:ascii="Times New Roman" w:hAnsi="Times New Roman"/>
          <w:sz w:val="24"/>
          <w:szCs w:val="24"/>
        </w:rPr>
        <w:t>зарадом</w:t>
      </w:r>
      <w:r w:rsidR="00201178" w:rsidRPr="004122E2">
        <w:rPr>
          <w:rFonts w:ascii="Times New Roman" w:hAnsi="Times New Roman"/>
          <w:sz w:val="24"/>
          <w:szCs w:val="24"/>
        </w:rPr>
        <w:t xml:space="preserve"> </w:t>
      </w:r>
      <w:r w:rsidR="002A4165" w:rsidRPr="004122E2">
        <w:rPr>
          <w:rFonts w:ascii="Times New Roman" w:hAnsi="Times New Roman"/>
          <w:sz w:val="24"/>
          <w:szCs w:val="24"/>
        </w:rPr>
        <w:t>у</w:t>
      </w:r>
      <w:r w:rsidR="00201178" w:rsidRPr="004122E2">
        <w:rPr>
          <w:rFonts w:ascii="Times New Roman" w:hAnsi="Times New Roman"/>
          <w:sz w:val="24"/>
          <w:szCs w:val="24"/>
        </w:rPr>
        <w:t xml:space="preserve"> </w:t>
      </w:r>
      <w:r w:rsidR="002A4165" w:rsidRPr="004122E2">
        <w:rPr>
          <w:rFonts w:ascii="Times New Roman" w:hAnsi="Times New Roman"/>
          <w:sz w:val="24"/>
          <w:szCs w:val="24"/>
        </w:rPr>
        <w:t>моменту</w:t>
      </w:r>
      <w:r w:rsidR="00201178" w:rsidRPr="004122E2">
        <w:rPr>
          <w:rFonts w:ascii="Times New Roman" w:hAnsi="Times New Roman"/>
          <w:sz w:val="24"/>
          <w:szCs w:val="24"/>
        </w:rPr>
        <w:t xml:space="preserve"> </w:t>
      </w:r>
      <w:r w:rsidR="002A4165" w:rsidRPr="004122E2">
        <w:rPr>
          <w:rFonts w:ascii="Times New Roman" w:hAnsi="Times New Roman"/>
          <w:sz w:val="24"/>
          <w:szCs w:val="24"/>
        </w:rPr>
        <w:t>у</w:t>
      </w:r>
      <w:r w:rsidR="00201178" w:rsidRPr="004122E2">
        <w:rPr>
          <w:rFonts w:ascii="Times New Roman" w:hAnsi="Times New Roman"/>
          <w:sz w:val="24"/>
          <w:szCs w:val="24"/>
        </w:rPr>
        <w:t xml:space="preserve"> </w:t>
      </w:r>
      <w:r w:rsidR="002A4165" w:rsidRPr="004122E2">
        <w:rPr>
          <w:rFonts w:ascii="Times New Roman" w:hAnsi="Times New Roman"/>
          <w:sz w:val="24"/>
          <w:szCs w:val="24"/>
        </w:rPr>
        <w:t>којем</w:t>
      </w:r>
      <w:r w:rsidR="00201178" w:rsidRPr="004122E2">
        <w:rPr>
          <w:rFonts w:ascii="Times New Roman" w:hAnsi="Times New Roman"/>
          <w:sz w:val="24"/>
          <w:szCs w:val="24"/>
        </w:rPr>
        <w:t xml:space="preserve"> </w:t>
      </w:r>
      <w:r w:rsidR="002A4165" w:rsidRPr="004122E2">
        <w:rPr>
          <w:rFonts w:ascii="Times New Roman" w:hAnsi="Times New Roman"/>
          <w:sz w:val="24"/>
          <w:szCs w:val="24"/>
        </w:rPr>
        <w:t>послодавац</w:t>
      </w:r>
      <w:r w:rsidR="00201178" w:rsidRPr="004122E2">
        <w:rPr>
          <w:rFonts w:ascii="Times New Roman" w:hAnsi="Times New Roman"/>
          <w:sz w:val="24"/>
          <w:szCs w:val="24"/>
        </w:rPr>
        <w:t xml:space="preserve"> </w:t>
      </w:r>
      <w:r w:rsidR="002A4165" w:rsidRPr="004122E2">
        <w:rPr>
          <w:rFonts w:ascii="Times New Roman" w:hAnsi="Times New Roman"/>
          <w:sz w:val="24"/>
          <w:szCs w:val="24"/>
        </w:rPr>
        <w:t>овај</w:t>
      </w:r>
      <w:r w:rsidR="00201178" w:rsidRPr="004122E2">
        <w:rPr>
          <w:rFonts w:ascii="Times New Roman" w:hAnsi="Times New Roman"/>
          <w:sz w:val="24"/>
          <w:szCs w:val="24"/>
        </w:rPr>
        <w:t xml:space="preserve"> </w:t>
      </w:r>
      <w:r w:rsidR="002A4165" w:rsidRPr="004122E2">
        <w:rPr>
          <w:rFonts w:ascii="Times New Roman" w:hAnsi="Times New Roman"/>
          <w:sz w:val="24"/>
          <w:szCs w:val="24"/>
        </w:rPr>
        <w:t>трошак</w:t>
      </w:r>
      <w:r w:rsidR="00201178" w:rsidRPr="004122E2">
        <w:rPr>
          <w:rFonts w:ascii="Times New Roman" w:hAnsi="Times New Roman"/>
          <w:sz w:val="24"/>
          <w:szCs w:val="24"/>
        </w:rPr>
        <w:t xml:space="preserve"> </w:t>
      </w:r>
      <w:r w:rsidR="002A4165" w:rsidRPr="004122E2">
        <w:rPr>
          <w:rFonts w:ascii="Times New Roman" w:hAnsi="Times New Roman"/>
          <w:sz w:val="24"/>
          <w:szCs w:val="24"/>
        </w:rPr>
        <w:t>евидентира</w:t>
      </w:r>
      <w:r w:rsidR="00201178" w:rsidRPr="004122E2">
        <w:rPr>
          <w:rFonts w:ascii="Times New Roman" w:hAnsi="Times New Roman"/>
          <w:sz w:val="24"/>
          <w:szCs w:val="24"/>
        </w:rPr>
        <w:t xml:space="preserve"> </w:t>
      </w:r>
      <w:r w:rsidR="002A4165" w:rsidRPr="004122E2">
        <w:rPr>
          <w:rFonts w:ascii="Times New Roman" w:hAnsi="Times New Roman"/>
          <w:sz w:val="24"/>
          <w:szCs w:val="24"/>
        </w:rPr>
        <w:t>у</w:t>
      </w:r>
      <w:r w:rsidR="00201178" w:rsidRPr="004122E2">
        <w:rPr>
          <w:rFonts w:ascii="Times New Roman" w:hAnsi="Times New Roman"/>
          <w:sz w:val="24"/>
          <w:szCs w:val="24"/>
        </w:rPr>
        <w:t xml:space="preserve"> </w:t>
      </w:r>
      <w:r w:rsidR="002A4165" w:rsidRPr="004122E2">
        <w:rPr>
          <w:rFonts w:ascii="Times New Roman" w:hAnsi="Times New Roman"/>
          <w:sz w:val="24"/>
          <w:szCs w:val="24"/>
        </w:rPr>
        <w:t>пословним</w:t>
      </w:r>
      <w:r w:rsidR="00201178" w:rsidRPr="004122E2">
        <w:rPr>
          <w:rFonts w:ascii="Times New Roman" w:hAnsi="Times New Roman"/>
          <w:sz w:val="24"/>
          <w:szCs w:val="24"/>
        </w:rPr>
        <w:t xml:space="preserve"> </w:t>
      </w:r>
      <w:r w:rsidR="002A4165" w:rsidRPr="004122E2">
        <w:rPr>
          <w:rFonts w:ascii="Times New Roman" w:hAnsi="Times New Roman"/>
          <w:sz w:val="24"/>
          <w:szCs w:val="24"/>
        </w:rPr>
        <w:t>књигама</w:t>
      </w:r>
      <w:r w:rsidR="00201178" w:rsidRPr="004122E2">
        <w:rPr>
          <w:rFonts w:ascii="Times New Roman" w:hAnsi="Times New Roman"/>
          <w:sz w:val="24"/>
          <w:szCs w:val="24"/>
        </w:rPr>
        <w:t>.</w:t>
      </w:r>
    </w:p>
    <w:p w:rsidR="002A4165" w:rsidRPr="004122E2" w:rsidRDefault="002A4165" w:rsidP="004122E2">
      <w:pPr>
        <w:ind w:firstLine="708"/>
        <w:jc w:val="both"/>
        <w:rPr>
          <w:rFonts w:ascii="Times New Roman" w:hAnsi="Times New Roman"/>
          <w:sz w:val="24"/>
          <w:szCs w:val="24"/>
          <w:lang w:val="sr-Cyrl-CS"/>
        </w:rPr>
      </w:pPr>
      <w:r w:rsidRPr="004122E2">
        <w:rPr>
          <w:rFonts w:ascii="Times New Roman" w:hAnsi="Times New Roman"/>
          <w:sz w:val="24"/>
          <w:szCs w:val="24"/>
        </w:rPr>
        <w:t>Зарадом</w:t>
      </w:r>
      <w:r w:rsidR="00C22F48" w:rsidRPr="004122E2">
        <w:rPr>
          <w:rFonts w:ascii="Times New Roman" w:hAnsi="Times New Roman"/>
          <w:sz w:val="24"/>
          <w:szCs w:val="24"/>
          <w:lang w:val="sr-Cyrl-CS"/>
        </w:rPr>
        <w:t xml:space="preserve"> се</w:t>
      </w:r>
      <w:r w:rsidR="00C22F48" w:rsidRPr="004122E2">
        <w:rPr>
          <w:rFonts w:ascii="Times New Roman" w:hAnsi="Times New Roman"/>
          <w:sz w:val="24"/>
          <w:szCs w:val="24"/>
        </w:rPr>
        <w:t xml:space="preserve"> </w:t>
      </w:r>
      <w:r w:rsidRPr="004122E2">
        <w:rPr>
          <w:rFonts w:ascii="Times New Roman" w:hAnsi="Times New Roman"/>
          <w:sz w:val="24"/>
          <w:szCs w:val="24"/>
        </w:rPr>
        <w:t>сматрају</w:t>
      </w:r>
      <w:r w:rsidR="00C22F48" w:rsidRPr="004122E2">
        <w:rPr>
          <w:rFonts w:ascii="Times New Roman" w:hAnsi="Times New Roman"/>
          <w:sz w:val="24"/>
          <w:szCs w:val="24"/>
        </w:rPr>
        <w:t xml:space="preserve">  </w:t>
      </w:r>
      <w:r w:rsidRPr="004122E2">
        <w:rPr>
          <w:rFonts w:ascii="Times New Roman" w:hAnsi="Times New Roman"/>
          <w:sz w:val="24"/>
          <w:szCs w:val="24"/>
        </w:rPr>
        <w:t>и</w:t>
      </w:r>
      <w:r w:rsidR="00C22F48" w:rsidRPr="004122E2">
        <w:rPr>
          <w:rFonts w:ascii="Times New Roman" w:hAnsi="Times New Roman"/>
          <w:sz w:val="24"/>
          <w:szCs w:val="24"/>
        </w:rPr>
        <w:t xml:space="preserve"> </w:t>
      </w:r>
      <w:r w:rsidRPr="004122E2">
        <w:rPr>
          <w:rFonts w:ascii="Times New Roman" w:hAnsi="Times New Roman"/>
          <w:sz w:val="24"/>
          <w:szCs w:val="24"/>
        </w:rPr>
        <w:t>премије</w:t>
      </w:r>
      <w:r w:rsidR="00C22F48" w:rsidRPr="004122E2">
        <w:rPr>
          <w:rFonts w:ascii="Times New Roman" w:hAnsi="Times New Roman"/>
          <w:sz w:val="24"/>
          <w:szCs w:val="24"/>
        </w:rPr>
        <w:t xml:space="preserve"> </w:t>
      </w:r>
      <w:r w:rsidRPr="004122E2">
        <w:rPr>
          <w:rFonts w:ascii="Times New Roman" w:hAnsi="Times New Roman"/>
          <w:sz w:val="24"/>
          <w:szCs w:val="24"/>
        </w:rPr>
        <w:t>свих</w:t>
      </w:r>
      <w:r w:rsidR="00C22F48" w:rsidRPr="004122E2">
        <w:rPr>
          <w:rFonts w:ascii="Times New Roman" w:hAnsi="Times New Roman"/>
          <w:sz w:val="24"/>
          <w:szCs w:val="24"/>
        </w:rPr>
        <w:t xml:space="preserve"> </w:t>
      </w:r>
      <w:r w:rsidRPr="004122E2">
        <w:rPr>
          <w:rFonts w:ascii="Times New Roman" w:hAnsi="Times New Roman"/>
          <w:sz w:val="24"/>
          <w:szCs w:val="24"/>
        </w:rPr>
        <w:t>видова</w:t>
      </w:r>
      <w:r w:rsidR="00C22F48" w:rsidRPr="004122E2">
        <w:rPr>
          <w:rFonts w:ascii="Times New Roman" w:hAnsi="Times New Roman"/>
          <w:sz w:val="24"/>
          <w:szCs w:val="24"/>
        </w:rPr>
        <w:t xml:space="preserve"> </w:t>
      </w:r>
      <w:r w:rsidRPr="004122E2">
        <w:rPr>
          <w:rFonts w:ascii="Times New Roman" w:hAnsi="Times New Roman"/>
          <w:sz w:val="24"/>
          <w:szCs w:val="24"/>
        </w:rPr>
        <w:t>добровољног</w:t>
      </w:r>
      <w:r w:rsidR="00C22F48" w:rsidRPr="004122E2">
        <w:rPr>
          <w:rFonts w:ascii="Times New Roman" w:hAnsi="Times New Roman"/>
          <w:sz w:val="24"/>
          <w:szCs w:val="24"/>
        </w:rPr>
        <w:t xml:space="preserve"> </w:t>
      </w:r>
      <w:r w:rsidRPr="004122E2">
        <w:rPr>
          <w:rFonts w:ascii="Times New Roman" w:hAnsi="Times New Roman"/>
          <w:sz w:val="24"/>
          <w:szCs w:val="24"/>
        </w:rPr>
        <w:t>осигурања</w:t>
      </w:r>
      <w:r w:rsidR="00C22F48" w:rsidRPr="004122E2">
        <w:rPr>
          <w:rFonts w:ascii="Times New Roman" w:hAnsi="Times New Roman"/>
          <w:sz w:val="24"/>
          <w:szCs w:val="24"/>
        </w:rPr>
        <w:t xml:space="preserve">, </w:t>
      </w:r>
      <w:r w:rsidRPr="004122E2">
        <w:rPr>
          <w:rFonts w:ascii="Times New Roman" w:hAnsi="Times New Roman"/>
          <w:sz w:val="24"/>
          <w:szCs w:val="24"/>
        </w:rPr>
        <w:t>као</w:t>
      </w:r>
      <w:r w:rsidR="00C22F48" w:rsidRPr="004122E2">
        <w:rPr>
          <w:rFonts w:ascii="Times New Roman" w:hAnsi="Times New Roman"/>
          <w:sz w:val="24"/>
          <w:szCs w:val="24"/>
        </w:rPr>
        <w:t xml:space="preserve"> </w:t>
      </w:r>
      <w:r w:rsidRPr="004122E2">
        <w:rPr>
          <w:rFonts w:ascii="Times New Roman" w:hAnsi="Times New Roman"/>
          <w:sz w:val="24"/>
          <w:szCs w:val="24"/>
        </w:rPr>
        <w:t>и</w:t>
      </w:r>
      <w:r w:rsidR="00C22F48" w:rsidRPr="004122E2">
        <w:rPr>
          <w:rFonts w:ascii="Times New Roman" w:hAnsi="Times New Roman"/>
          <w:sz w:val="24"/>
          <w:szCs w:val="24"/>
        </w:rPr>
        <w:t xml:space="preserve"> </w:t>
      </w:r>
      <w:r w:rsidRPr="004122E2">
        <w:rPr>
          <w:rFonts w:ascii="Times New Roman" w:hAnsi="Times New Roman"/>
          <w:sz w:val="24"/>
          <w:szCs w:val="24"/>
        </w:rPr>
        <w:t>пензијски</w:t>
      </w:r>
      <w:r w:rsidR="00C22F48" w:rsidRPr="004122E2">
        <w:rPr>
          <w:rFonts w:ascii="Times New Roman" w:hAnsi="Times New Roman"/>
          <w:sz w:val="24"/>
          <w:szCs w:val="24"/>
        </w:rPr>
        <w:t xml:space="preserve"> </w:t>
      </w:r>
      <w:r w:rsidRPr="004122E2">
        <w:rPr>
          <w:rFonts w:ascii="Times New Roman" w:hAnsi="Times New Roman"/>
          <w:sz w:val="24"/>
          <w:szCs w:val="24"/>
        </w:rPr>
        <w:t>допринос</w:t>
      </w:r>
      <w:r w:rsidR="00C22F48" w:rsidRPr="004122E2">
        <w:rPr>
          <w:rFonts w:ascii="Times New Roman" w:hAnsi="Times New Roman"/>
          <w:sz w:val="24"/>
          <w:szCs w:val="24"/>
        </w:rPr>
        <w:t xml:space="preserve"> </w:t>
      </w:r>
      <w:r w:rsidRPr="004122E2">
        <w:rPr>
          <w:rFonts w:ascii="Times New Roman" w:hAnsi="Times New Roman"/>
          <w:sz w:val="24"/>
          <w:szCs w:val="24"/>
        </w:rPr>
        <w:t>у</w:t>
      </w:r>
      <w:r w:rsidR="00C22F48" w:rsidRPr="004122E2">
        <w:rPr>
          <w:rFonts w:ascii="Times New Roman" w:hAnsi="Times New Roman"/>
          <w:sz w:val="24"/>
          <w:szCs w:val="24"/>
        </w:rPr>
        <w:t xml:space="preserve"> </w:t>
      </w:r>
      <w:r w:rsidRPr="004122E2">
        <w:rPr>
          <w:rFonts w:ascii="Times New Roman" w:hAnsi="Times New Roman"/>
          <w:sz w:val="24"/>
          <w:szCs w:val="24"/>
        </w:rPr>
        <w:t>добровољни</w:t>
      </w:r>
      <w:r w:rsidR="00C22F48" w:rsidRPr="004122E2">
        <w:rPr>
          <w:rFonts w:ascii="Times New Roman" w:hAnsi="Times New Roman"/>
          <w:sz w:val="24"/>
          <w:szCs w:val="24"/>
        </w:rPr>
        <w:t xml:space="preserve"> </w:t>
      </w:r>
      <w:r w:rsidRPr="004122E2">
        <w:rPr>
          <w:rFonts w:ascii="Times New Roman" w:hAnsi="Times New Roman"/>
          <w:sz w:val="24"/>
          <w:szCs w:val="24"/>
        </w:rPr>
        <w:t>пензијски</w:t>
      </w:r>
      <w:r w:rsidR="00C22F48" w:rsidRPr="004122E2">
        <w:rPr>
          <w:rFonts w:ascii="Times New Roman" w:hAnsi="Times New Roman"/>
          <w:sz w:val="24"/>
          <w:szCs w:val="24"/>
        </w:rPr>
        <w:t xml:space="preserve"> </w:t>
      </w:r>
      <w:r w:rsidRPr="004122E2">
        <w:rPr>
          <w:rFonts w:ascii="Times New Roman" w:hAnsi="Times New Roman"/>
          <w:sz w:val="24"/>
          <w:szCs w:val="24"/>
        </w:rPr>
        <w:t>фонд</w:t>
      </w:r>
      <w:r w:rsidR="00C22F48" w:rsidRPr="004122E2">
        <w:rPr>
          <w:rFonts w:ascii="Times New Roman" w:hAnsi="Times New Roman"/>
          <w:sz w:val="24"/>
          <w:szCs w:val="24"/>
        </w:rPr>
        <w:t xml:space="preserve">, </w:t>
      </w:r>
      <w:r w:rsidRPr="004122E2">
        <w:rPr>
          <w:rFonts w:ascii="Times New Roman" w:hAnsi="Times New Roman"/>
          <w:sz w:val="24"/>
          <w:szCs w:val="24"/>
        </w:rPr>
        <w:t>које</w:t>
      </w:r>
      <w:r w:rsidR="00C22F48" w:rsidRPr="004122E2">
        <w:rPr>
          <w:rFonts w:ascii="Times New Roman" w:hAnsi="Times New Roman"/>
          <w:sz w:val="24"/>
          <w:szCs w:val="24"/>
        </w:rPr>
        <w:t xml:space="preserve"> </w:t>
      </w:r>
      <w:r w:rsidRPr="004122E2">
        <w:rPr>
          <w:rFonts w:ascii="Times New Roman" w:hAnsi="Times New Roman"/>
          <w:sz w:val="24"/>
          <w:szCs w:val="24"/>
        </w:rPr>
        <w:t>послодавац</w:t>
      </w:r>
      <w:r w:rsidR="00C22F48" w:rsidRPr="004122E2">
        <w:rPr>
          <w:rFonts w:ascii="Times New Roman" w:hAnsi="Times New Roman"/>
          <w:sz w:val="24"/>
          <w:szCs w:val="24"/>
        </w:rPr>
        <w:t xml:space="preserve"> </w:t>
      </w:r>
      <w:r w:rsidRPr="004122E2">
        <w:rPr>
          <w:rFonts w:ascii="Times New Roman" w:hAnsi="Times New Roman"/>
          <w:sz w:val="24"/>
          <w:szCs w:val="24"/>
        </w:rPr>
        <w:t>плаћа</w:t>
      </w:r>
      <w:r w:rsidR="00C22F48" w:rsidRPr="004122E2">
        <w:rPr>
          <w:rFonts w:ascii="Times New Roman" w:hAnsi="Times New Roman"/>
          <w:sz w:val="24"/>
          <w:szCs w:val="24"/>
        </w:rPr>
        <w:t xml:space="preserve"> </w:t>
      </w:r>
      <w:r w:rsidRPr="004122E2">
        <w:rPr>
          <w:rFonts w:ascii="Times New Roman" w:hAnsi="Times New Roman"/>
          <w:sz w:val="24"/>
          <w:szCs w:val="24"/>
        </w:rPr>
        <w:t>за</w:t>
      </w:r>
      <w:r w:rsidR="00C22F48" w:rsidRPr="004122E2">
        <w:rPr>
          <w:rFonts w:ascii="Times New Roman" w:hAnsi="Times New Roman"/>
          <w:sz w:val="24"/>
          <w:szCs w:val="24"/>
        </w:rPr>
        <w:t xml:space="preserve"> </w:t>
      </w:r>
      <w:r w:rsidRPr="004122E2">
        <w:rPr>
          <w:rFonts w:ascii="Times New Roman" w:hAnsi="Times New Roman"/>
          <w:sz w:val="24"/>
          <w:szCs w:val="24"/>
        </w:rPr>
        <w:t>запослене</w:t>
      </w:r>
      <w:r w:rsidR="00C22F48" w:rsidRPr="004122E2">
        <w:rPr>
          <w:rFonts w:ascii="Times New Roman" w:hAnsi="Times New Roman"/>
          <w:sz w:val="24"/>
          <w:szCs w:val="24"/>
        </w:rPr>
        <w:t xml:space="preserve"> - </w:t>
      </w:r>
      <w:r w:rsidRPr="004122E2">
        <w:rPr>
          <w:rFonts w:ascii="Times New Roman" w:hAnsi="Times New Roman"/>
          <w:sz w:val="24"/>
          <w:szCs w:val="24"/>
        </w:rPr>
        <w:t>осигуранике</w:t>
      </w:r>
      <w:r w:rsidR="00C22F48" w:rsidRPr="004122E2">
        <w:rPr>
          <w:rFonts w:ascii="Times New Roman" w:hAnsi="Times New Roman"/>
          <w:sz w:val="24"/>
          <w:szCs w:val="24"/>
        </w:rPr>
        <w:t xml:space="preserve"> </w:t>
      </w:r>
      <w:r w:rsidRPr="004122E2">
        <w:rPr>
          <w:rFonts w:ascii="Times New Roman" w:hAnsi="Times New Roman"/>
          <w:sz w:val="24"/>
          <w:szCs w:val="24"/>
        </w:rPr>
        <w:t>укључене</w:t>
      </w:r>
      <w:r w:rsidR="00C22F48" w:rsidRPr="004122E2">
        <w:rPr>
          <w:rFonts w:ascii="Times New Roman" w:hAnsi="Times New Roman"/>
          <w:sz w:val="24"/>
          <w:szCs w:val="24"/>
        </w:rPr>
        <w:t xml:space="preserve"> </w:t>
      </w:r>
      <w:r w:rsidRPr="004122E2">
        <w:rPr>
          <w:rFonts w:ascii="Times New Roman" w:hAnsi="Times New Roman"/>
          <w:sz w:val="24"/>
          <w:szCs w:val="24"/>
        </w:rPr>
        <w:t>у</w:t>
      </w:r>
      <w:r w:rsidR="00C22F48" w:rsidRPr="004122E2">
        <w:rPr>
          <w:rFonts w:ascii="Times New Roman" w:hAnsi="Times New Roman"/>
          <w:sz w:val="24"/>
          <w:szCs w:val="24"/>
        </w:rPr>
        <w:t xml:space="preserve"> </w:t>
      </w:r>
      <w:r w:rsidRPr="004122E2">
        <w:rPr>
          <w:rFonts w:ascii="Times New Roman" w:hAnsi="Times New Roman"/>
          <w:sz w:val="24"/>
          <w:szCs w:val="24"/>
        </w:rPr>
        <w:t>добровољно</w:t>
      </w:r>
      <w:r w:rsidR="00C22F48" w:rsidRPr="004122E2">
        <w:rPr>
          <w:rFonts w:ascii="Times New Roman" w:hAnsi="Times New Roman"/>
          <w:sz w:val="24"/>
          <w:szCs w:val="24"/>
        </w:rPr>
        <w:t xml:space="preserve"> </w:t>
      </w:r>
      <w:r w:rsidRPr="004122E2">
        <w:rPr>
          <w:rFonts w:ascii="Times New Roman" w:hAnsi="Times New Roman"/>
          <w:sz w:val="24"/>
          <w:szCs w:val="24"/>
        </w:rPr>
        <w:t>осигурање</w:t>
      </w:r>
      <w:r w:rsidR="00C22F48" w:rsidRPr="004122E2">
        <w:rPr>
          <w:rFonts w:ascii="Times New Roman" w:hAnsi="Times New Roman"/>
          <w:sz w:val="24"/>
          <w:szCs w:val="24"/>
        </w:rPr>
        <w:t xml:space="preserve">, </w:t>
      </w:r>
      <w:r w:rsidRPr="004122E2">
        <w:rPr>
          <w:rFonts w:ascii="Times New Roman" w:hAnsi="Times New Roman"/>
          <w:sz w:val="24"/>
          <w:szCs w:val="24"/>
        </w:rPr>
        <w:t>односно</w:t>
      </w:r>
      <w:r w:rsidR="00C22F48" w:rsidRPr="004122E2">
        <w:rPr>
          <w:rFonts w:ascii="Times New Roman" w:hAnsi="Times New Roman"/>
          <w:sz w:val="24"/>
          <w:szCs w:val="24"/>
        </w:rPr>
        <w:t xml:space="preserve"> </w:t>
      </w:r>
      <w:r w:rsidRPr="004122E2">
        <w:rPr>
          <w:rFonts w:ascii="Times New Roman" w:hAnsi="Times New Roman"/>
          <w:sz w:val="24"/>
          <w:szCs w:val="24"/>
        </w:rPr>
        <w:t>за</w:t>
      </w:r>
      <w:r w:rsidR="00C22F48" w:rsidRPr="004122E2">
        <w:rPr>
          <w:rFonts w:ascii="Times New Roman" w:hAnsi="Times New Roman"/>
          <w:sz w:val="24"/>
          <w:szCs w:val="24"/>
        </w:rPr>
        <w:t xml:space="preserve"> </w:t>
      </w:r>
      <w:r w:rsidRPr="004122E2">
        <w:rPr>
          <w:rFonts w:ascii="Times New Roman" w:hAnsi="Times New Roman"/>
          <w:sz w:val="24"/>
          <w:szCs w:val="24"/>
        </w:rPr>
        <w:t>запослене</w:t>
      </w:r>
      <w:r w:rsidR="00C22F48" w:rsidRPr="004122E2">
        <w:rPr>
          <w:rFonts w:ascii="Times New Roman" w:hAnsi="Times New Roman"/>
          <w:sz w:val="24"/>
          <w:szCs w:val="24"/>
        </w:rPr>
        <w:t xml:space="preserve"> - </w:t>
      </w:r>
      <w:r w:rsidRPr="004122E2">
        <w:rPr>
          <w:rFonts w:ascii="Times New Roman" w:hAnsi="Times New Roman"/>
          <w:sz w:val="24"/>
          <w:szCs w:val="24"/>
        </w:rPr>
        <w:t>чланове</w:t>
      </w:r>
      <w:r w:rsidR="00C22F48" w:rsidRPr="004122E2">
        <w:rPr>
          <w:rFonts w:ascii="Times New Roman" w:hAnsi="Times New Roman"/>
          <w:sz w:val="24"/>
          <w:szCs w:val="24"/>
        </w:rPr>
        <w:t xml:space="preserve"> </w:t>
      </w:r>
      <w:r w:rsidRPr="004122E2">
        <w:rPr>
          <w:rFonts w:ascii="Times New Roman" w:hAnsi="Times New Roman"/>
          <w:sz w:val="24"/>
          <w:szCs w:val="24"/>
        </w:rPr>
        <w:t>добровољног</w:t>
      </w:r>
      <w:r w:rsidR="00C22F48" w:rsidRPr="004122E2">
        <w:rPr>
          <w:rFonts w:ascii="Times New Roman" w:hAnsi="Times New Roman"/>
          <w:sz w:val="24"/>
          <w:szCs w:val="24"/>
        </w:rPr>
        <w:t xml:space="preserve"> </w:t>
      </w:r>
      <w:r w:rsidRPr="004122E2">
        <w:rPr>
          <w:rFonts w:ascii="Times New Roman" w:hAnsi="Times New Roman"/>
          <w:sz w:val="24"/>
          <w:szCs w:val="24"/>
        </w:rPr>
        <w:t>пензијског</w:t>
      </w:r>
      <w:r w:rsidR="00C22F48" w:rsidRPr="004122E2">
        <w:rPr>
          <w:rFonts w:ascii="Times New Roman" w:hAnsi="Times New Roman"/>
          <w:sz w:val="24"/>
          <w:szCs w:val="24"/>
        </w:rPr>
        <w:t xml:space="preserve"> </w:t>
      </w:r>
      <w:r w:rsidRPr="004122E2">
        <w:rPr>
          <w:rFonts w:ascii="Times New Roman" w:hAnsi="Times New Roman"/>
          <w:sz w:val="24"/>
          <w:szCs w:val="24"/>
        </w:rPr>
        <w:t>фонда</w:t>
      </w:r>
      <w:r w:rsidR="00C22F48" w:rsidRPr="004122E2">
        <w:rPr>
          <w:rFonts w:ascii="Times New Roman" w:hAnsi="Times New Roman"/>
          <w:sz w:val="24"/>
          <w:szCs w:val="24"/>
        </w:rPr>
        <w:t xml:space="preserve">, </w:t>
      </w:r>
      <w:r w:rsidRPr="004122E2">
        <w:rPr>
          <w:rFonts w:ascii="Times New Roman" w:hAnsi="Times New Roman"/>
          <w:sz w:val="24"/>
          <w:szCs w:val="24"/>
        </w:rPr>
        <w:t>у</w:t>
      </w:r>
      <w:r w:rsidR="00C22F48" w:rsidRPr="004122E2">
        <w:rPr>
          <w:rFonts w:ascii="Times New Roman" w:hAnsi="Times New Roman"/>
          <w:sz w:val="24"/>
          <w:szCs w:val="24"/>
        </w:rPr>
        <w:t xml:space="preserve"> </w:t>
      </w:r>
      <w:r w:rsidRPr="004122E2">
        <w:rPr>
          <w:rFonts w:ascii="Times New Roman" w:hAnsi="Times New Roman"/>
          <w:sz w:val="24"/>
          <w:szCs w:val="24"/>
        </w:rPr>
        <w:t>складу</w:t>
      </w:r>
      <w:r w:rsidR="00C22F48" w:rsidRPr="004122E2">
        <w:rPr>
          <w:rFonts w:ascii="Times New Roman" w:hAnsi="Times New Roman"/>
          <w:sz w:val="24"/>
          <w:szCs w:val="24"/>
        </w:rPr>
        <w:t xml:space="preserve"> </w:t>
      </w:r>
      <w:r w:rsidRPr="004122E2">
        <w:rPr>
          <w:rFonts w:ascii="Times New Roman" w:hAnsi="Times New Roman"/>
          <w:sz w:val="24"/>
          <w:szCs w:val="24"/>
        </w:rPr>
        <w:t>са</w:t>
      </w:r>
      <w:r w:rsidR="00C22F48" w:rsidRPr="004122E2">
        <w:rPr>
          <w:rFonts w:ascii="Times New Roman" w:hAnsi="Times New Roman"/>
          <w:sz w:val="24"/>
          <w:szCs w:val="24"/>
        </w:rPr>
        <w:t xml:space="preserve"> </w:t>
      </w:r>
      <w:r w:rsidRPr="004122E2">
        <w:rPr>
          <w:rFonts w:ascii="Times New Roman" w:hAnsi="Times New Roman"/>
          <w:sz w:val="24"/>
          <w:szCs w:val="24"/>
        </w:rPr>
        <w:t>законом</w:t>
      </w:r>
      <w:r w:rsidR="00C22F48" w:rsidRPr="004122E2">
        <w:rPr>
          <w:rFonts w:ascii="Times New Roman" w:hAnsi="Times New Roman"/>
          <w:sz w:val="24"/>
          <w:szCs w:val="24"/>
        </w:rPr>
        <w:t xml:space="preserve"> </w:t>
      </w:r>
      <w:r w:rsidRPr="004122E2">
        <w:rPr>
          <w:rFonts w:ascii="Times New Roman" w:hAnsi="Times New Roman"/>
          <w:sz w:val="24"/>
          <w:szCs w:val="24"/>
        </w:rPr>
        <w:t>који</w:t>
      </w:r>
      <w:r w:rsidR="00C22F48" w:rsidRPr="004122E2">
        <w:rPr>
          <w:rFonts w:ascii="Times New Roman" w:hAnsi="Times New Roman"/>
          <w:sz w:val="24"/>
          <w:szCs w:val="24"/>
        </w:rPr>
        <w:t xml:space="preserve"> </w:t>
      </w:r>
      <w:r w:rsidRPr="004122E2">
        <w:rPr>
          <w:rFonts w:ascii="Times New Roman" w:hAnsi="Times New Roman"/>
          <w:sz w:val="24"/>
          <w:szCs w:val="24"/>
        </w:rPr>
        <w:t>уређује</w:t>
      </w:r>
      <w:r w:rsidR="00C22F48" w:rsidRPr="004122E2">
        <w:rPr>
          <w:rFonts w:ascii="Times New Roman" w:hAnsi="Times New Roman"/>
          <w:sz w:val="24"/>
          <w:szCs w:val="24"/>
        </w:rPr>
        <w:t xml:space="preserve"> </w:t>
      </w:r>
      <w:r w:rsidRPr="004122E2">
        <w:rPr>
          <w:rFonts w:ascii="Times New Roman" w:hAnsi="Times New Roman"/>
          <w:sz w:val="24"/>
          <w:szCs w:val="24"/>
        </w:rPr>
        <w:t>добровољно</w:t>
      </w:r>
      <w:r w:rsidR="00C22F48" w:rsidRPr="004122E2">
        <w:rPr>
          <w:rFonts w:ascii="Times New Roman" w:hAnsi="Times New Roman"/>
          <w:sz w:val="24"/>
          <w:szCs w:val="24"/>
        </w:rPr>
        <w:t xml:space="preserve"> </w:t>
      </w:r>
      <w:r w:rsidRPr="004122E2">
        <w:rPr>
          <w:rFonts w:ascii="Times New Roman" w:hAnsi="Times New Roman"/>
          <w:sz w:val="24"/>
          <w:szCs w:val="24"/>
        </w:rPr>
        <w:t>осигурање</w:t>
      </w:r>
      <w:r w:rsidR="00C22F48" w:rsidRPr="004122E2">
        <w:rPr>
          <w:rFonts w:ascii="Times New Roman" w:hAnsi="Times New Roman"/>
          <w:sz w:val="24"/>
          <w:szCs w:val="24"/>
        </w:rPr>
        <w:t xml:space="preserve">, </w:t>
      </w:r>
      <w:r w:rsidRPr="004122E2">
        <w:rPr>
          <w:rFonts w:ascii="Times New Roman" w:hAnsi="Times New Roman"/>
          <w:sz w:val="24"/>
          <w:szCs w:val="24"/>
        </w:rPr>
        <w:t>односно</w:t>
      </w:r>
      <w:r w:rsidR="00C22F48" w:rsidRPr="004122E2">
        <w:rPr>
          <w:rFonts w:ascii="Times New Roman" w:hAnsi="Times New Roman"/>
          <w:sz w:val="24"/>
          <w:szCs w:val="24"/>
        </w:rPr>
        <w:t xml:space="preserve"> </w:t>
      </w:r>
      <w:r w:rsidRPr="004122E2">
        <w:rPr>
          <w:rFonts w:ascii="Times New Roman" w:hAnsi="Times New Roman"/>
          <w:sz w:val="24"/>
          <w:szCs w:val="24"/>
        </w:rPr>
        <w:t>добровољне</w:t>
      </w:r>
      <w:r w:rsidR="00C22F48" w:rsidRPr="004122E2">
        <w:rPr>
          <w:rFonts w:ascii="Times New Roman" w:hAnsi="Times New Roman"/>
          <w:sz w:val="24"/>
          <w:szCs w:val="24"/>
        </w:rPr>
        <w:t xml:space="preserve"> </w:t>
      </w:r>
      <w:r w:rsidRPr="004122E2">
        <w:rPr>
          <w:rFonts w:ascii="Times New Roman" w:hAnsi="Times New Roman"/>
          <w:sz w:val="24"/>
          <w:szCs w:val="24"/>
        </w:rPr>
        <w:t>пензијске</w:t>
      </w:r>
      <w:r w:rsidR="00C22F48" w:rsidRPr="004122E2">
        <w:rPr>
          <w:rFonts w:ascii="Times New Roman" w:hAnsi="Times New Roman"/>
          <w:sz w:val="24"/>
          <w:szCs w:val="24"/>
        </w:rPr>
        <w:t xml:space="preserve"> </w:t>
      </w:r>
      <w:r w:rsidRPr="004122E2">
        <w:rPr>
          <w:rFonts w:ascii="Times New Roman" w:hAnsi="Times New Roman"/>
          <w:sz w:val="24"/>
          <w:szCs w:val="24"/>
        </w:rPr>
        <w:t>фондове</w:t>
      </w:r>
      <w:r w:rsidR="00C22F48" w:rsidRPr="004122E2">
        <w:rPr>
          <w:rFonts w:ascii="Times New Roman" w:hAnsi="Times New Roman"/>
          <w:sz w:val="24"/>
          <w:szCs w:val="24"/>
        </w:rPr>
        <w:t xml:space="preserve"> </w:t>
      </w:r>
      <w:r w:rsidRPr="004122E2">
        <w:rPr>
          <w:rFonts w:ascii="Times New Roman" w:hAnsi="Times New Roman"/>
          <w:sz w:val="24"/>
          <w:szCs w:val="24"/>
        </w:rPr>
        <w:t>и</w:t>
      </w:r>
      <w:r w:rsidR="00C22F48" w:rsidRPr="004122E2">
        <w:rPr>
          <w:rFonts w:ascii="Times New Roman" w:hAnsi="Times New Roman"/>
          <w:sz w:val="24"/>
          <w:szCs w:val="24"/>
        </w:rPr>
        <w:t xml:space="preserve"> </w:t>
      </w:r>
      <w:r w:rsidRPr="004122E2">
        <w:rPr>
          <w:rFonts w:ascii="Times New Roman" w:hAnsi="Times New Roman"/>
          <w:sz w:val="24"/>
          <w:szCs w:val="24"/>
        </w:rPr>
        <w:t>пензијске</w:t>
      </w:r>
      <w:r w:rsidR="00C22F48" w:rsidRPr="004122E2">
        <w:rPr>
          <w:rFonts w:ascii="Times New Roman" w:hAnsi="Times New Roman"/>
          <w:sz w:val="24"/>
          <w:szCs w:val="24"/>
        </w:rPr>
        <w:t xml:space="preserve"> </w:t>
      </w:r>
      <w:r w:rsidRPr="004122E2">
        <w:rPr>
          <w:rFonts w:ascii="Times New Roman" w:hAnsi="Times New Roman"/>
          <w:sz w:val="24"/>
          <w:szCs w:val="24"/>
        </w:rPr>
        <w:t>планове</w:t>
      </w:r>
      <w:r w:rsidR="00C22F48" w:rsidRPr="004122E2">
        <w:rPr>
          <w:rFonts w:ascii="Times New Roman" w:hAnsi="Times New Roman"/>
          <w:sz w:val="24"/>
          <w:szCs w:val="24"/>
        </w:rPr>
        <w:t>.</w:t>
      </w:r>
      <w:r w:rsidR="00C22F48" w:rsidRPr="004122E2">
        <w:rPr>
          <w:rFonts w:ascii="Times New Roman" w:hAnsi="Times New Roman"/>
          <w:sz w:val="24"/>
          <w:szCs w:val="24"/>
          <w:lang w:val="sr-Cyrl-CS"/>
        </w:rPr>
        <w:t xml:space="preserve"> </w:t>
      </w:r>
      <w:r w:rsidRPr="004122E2">
        <w:rPr>
          <w:rFonts w:ascii="Times New Roman" w:hAnsi="Times New Roman"/>
          <w:sz w:val="24"/>
          <w:szCs w:val="24"/>
        </w:rPr>
        <w:t>Изузетно</w:t>
      </w:r>
      <w:r w:rsidR="00C22F48" w:rsidRPr="004122E2">
        <w:rPr>
          <w:rFonts w:ascii="Times New Roman" w:hAnsi="Times New Roman"/>
          <w:sz w:val="24"/>
          <w:szCs w:val="24"/>
          <w:lang w:val="sr-Cyrl-CS"/>
        </w:rPr>
        <w:t>,</w:t>
      </w:r>
      <w:r w:rsidR="00C22F48" w:rsidRPr="004122E2">
        <w:rPr>
          <w:rFonts w:ascii="Times New Roman" w:hAnsi="Times New Roman"/>
          <w:sz w:val="24"/>
          <w:szCs w:val="24"/>
        </w:rPr>
        <w:t xml:space="preserve"> </w:t>
      </w:r>
      <w:r w:rsidRPr="004122E2">
        <w:rPr>
          <w:rFonts w:ascii="Times New Roman" w:hAnsi="Times New Roman"/>
          <w:sz w:val="24"/>
          <w:szCs w:val="24"/>
        </w:rPr>
        <w:t>зарадом</w:t>
      </w:r>
      <w:r w:rsidR="00C22F48" w:rsidRPr="004122E2">
        <w:rPr>
          <w:rFonts w:ascii="Times New Roman" w:hAnsi="Times New Roman"/>
          <w:sz w:val="24"/>
          <w:szCs w:val="24"/>
        </w:rPr>
        <w:t xml:space="preserve"> </w:t>
      </w:r>
      <w:r w:rsidR="00C22F48" w:rsidRPr="004122E2">
        <w:rPr>
          <w:rFonts w:ascii="Times New Roman" w:hAnsi="Times New Roman"/>
          <w:sz w:val="24"/>
          <w:szCs w:val="24"/>
          <w:lang w:val="sr-Cyrl-CS"/>
        </w:rPr>
        <w:t xml:space="preserve">се </w:t>
      </w:r>
      <w:r w:rsidRPr="004122E2">
        <w:rPr>
          <w:rFonts w:ascii="Times New Roman" w:hAnsi="Times New Roman"/>
          <w:sz w:val="24"/>
          <w:szCs w:val="24"/>
        </w:rPr>
        <w:t>не</w:t>
      </w:r>
      <w:r w:rsidR="00C22F48" w:rsidRPr="004122E2">
        <w:rPr>
          <w:rFonts w:ascii="Times New Roman" w:hAnsi="Times New Roman"/>
          <w:sz w:val="24"/>
          <w:szCs w:val="24"/>
        </w:rPr>
        <w:t xml:space="preserve"> </w:t>
      </w:r>
      <w:r w:rsidRPr="004122E2">
        <w:rPr>
          <w:rFonts w:ascii="Times New Roman" w:hAnsi="Times New Roman"/>
          <w:sz w:val="24"/>
          <w:szCs w:val="24"/>
        </w:rPr>
        <w:t>сматра</w:t>
      </w:r>
      <w:r w:rsidR="00C22F48" w:rsidRPr="004122E2">
        <w:rPr>
          <w:rFonts w:ascii="Times New Roman" w:hAnsi="Times New Roman"/>
          <w:sz w:val="24"/>
          <w:szCs w:val="24"/>
        </w:rPr>
        <w:t>:</w:t>
      </w:r>
    </w:p>
    <w:p w:rsidR="00C22F48" w:rsidRPr="004122E2" w:rsidRDefault="00C22F48" w:rsidP="004122E2">
      <w:pPr>
        <w:jc w:val="both"/>
        <w:rPr>
          <w:rFonts w:ascii="Times New Roman" w:hAnsi="Times New Roman"/>
          <w:sz w:val="24"/>
          <w:szCs w:val="24"/>
        </w:rPr>
      </w:pPr>
      <w:r w:rsidRPr="004122E2">
        <w:rPr>
          <w:rFonts w:ascii="Times New Roman" w:hAnsi="Times New Roman"/>
          <w:sz w:val="24"/>
          <w:szCs w:val="24"/>
        </w:rPr>
        <w:t xml:space="preserve">1) </w:t>
      </w:r>
      <w:r w:rsidR="002A4165" w:rsidRPr="004122E2">
        <w:rPr>
          <w:rFonts w:ascii="Times New Roman" w:hAnsi="Times New Roman"/>
          <w:sz w:val="24"/>
          <w:szCs w:val="24"/>
        </w:rPr>
        <w:t>премија</w:t>
      </w:r>
      <w:r w:rsidRPr="004122E2">
        <w:rPr>
          <w:rFonts w:ascii="Times New Roman" w:hAnsi="Times New Roman"/>
          <w:sz w:val="24"/>
          <w:szCs w:val="24"/>
        </w:rPr>
        <w:t xml:space="preserve"> </w:t>
      </w:r>
      <w:r w:rsidR="002A4165" w:rsidRPr="004122E2">
        <w:rPr>
          <w:rFonts w:ascii="Times New Roman" w:hAnsi="Times New Roman"/>
          <w:sz w:val="24"/>
          <w:szCs w:val="24"/>
        </w:rPr>
        <w:t>коју</w:t>
      </w:r>
      <w:r w:rsidRPr="004122E2">
        <w:rPr>
          <w:rFonts w:ascii="Times New Roman" w:hAnsi="Times New Roman"/>
          <w:sz w:val="24"/>
          <w:szCs w:val="24"/>
        </w:rPr>
        <w:t xml:space="preserve"> </w:t>
      </w:r>
      <w:r w:rsidR="002A4165" w:rsidRPr="004122E2">
        <w:rPr>
          <w:rFonts w:ascii="Times New Roman" w:hAnsi="Times New Roman"/>
          <w:sz w:val="24"/>
          <w:szCs w:val="24"/>
        </w:rPr>
        <w:t>послодавац</w:t>
      </w:r>
      <w:r w:rsidRPr="004122E2">
        <w:rPr>
          <w:rFonts w:ascii="Times New Roman" w:hAnsi="Times New Roman"/>
          <w:sz w:val="24"/>
          <w:szCs w:val="24"/>
        </w:rPr>
        <w:t xml:space="preserve"> </w:t>
      </w:r>
      <w:r w:rsidR="002A4165" w:rsidRPr="004122E2">
        <w:rPr>
          <w:rFonts w:ascii="Times New Roman" w:hAnsi="Times New Roman"/>
          <w:sz w:val="24"/>
          <w:szCs w:val="24"/>
        </w:rPr>
        <w:t>плаћа</w:t>
      </w:r>
      <w:r w:rsidRPr="004122E2">
        <w:rPr>
          <w:rFonts w:ascii="Times New Roman" w:hAnsi="Times New Roman"/>
          <w:sz w:val="24"/>
          <w:szCs w:val="24"/>
        </w:rPr>
        <w:t xml:space="preserve"> </w:t>
      </w:r>
      <w:r w:rsidR="002A4165" w:rsidRPr="004122E2">
        <w:rPr>
          <w:rFonts w:ascii="Times New Roman" w:hAnsi="Times New Roman"/>
          <w:sz w:val="24"/>
          <w:szCs w:val="24"/>
        </w:rPr>
        <w:t>за</w:t>
      </w:r>
      <w:r w:rsidRPr="004122E2">
        <w:rPr>
          <w:rFonts w:ascii="Times New Roman" w:hAnsi="Times New Roman"/>
          <w:sz w:val="24"/>
          <w:szCs w:val="24"/>
        </w:rPr>
        <w:t xml:space="preserve"> </w:t>
      </w:r>
      <w:r w:rsidR="002A4165" w:rsidRPr="004122E2">
        <w:rPr>
          <w:rFonts w:ascii="Times New Roman" w:hAnsi="Times New Roman"/>
          <w:sz w:val="24"/>
          <w:szCs w:val="24"/>
        </w:rPr>
        <w:t>све</w:t>
      </w:r>
      <w:r w:rsidRPr="004122E2">
        <w:rPr>
          <w:rFonts w:ascii="Times New Roman" w:hAnsi="Times New Roman"/>
          <w:sz w:val="24"/>
          <w:szCs w:val="24"/>
        </w:rPr>
        <w:t xml:space="preserve"> </w:t>
      </w:r>
      <w:r w:rsidR="002A4165" w:rsidRPr="004122E2">
        <w:rPr>
          <w:rFonts w:ascii="Times New Roman" w:hAnsi="Times New Roman"/>
          <w:sz w:val="24"/>
          <w:szCs w:val="24"/>
        </w:rPr>
        <w:t>запослене</w:t>
      </w:r>
      <w:r w:rsidRPr="004122E2">
        <w:rPr>
          <w:rFonts w:ascii="Times New Roman" w:hAnsi="Times New Roman"/>
          <w:sz w:val="24"/>
          <w:szCs w:val="24"/>
        </w:rPr>
        <w:t xml:space="preserve"> </w:t>
      </w:r>
      <w:r w:rsidR="002A4165" w:rsidRPr="004122E2">
        <w:rPr>
          <w:rFonts w:ascii="Times New Roman" w:hAnsi="Times New Roman"/>
          <w:sz w:val="24"/>
          <w:szCs w:val="24"/>
        </w:rPr>
        <w:t>код</w:t>
      </w:r>
      <w:r w:rsidRPr="004122E2">
        <w:rPr>
          <w:rFonts w:ascii="Times New Roman" w:hAnsi="Times New Roman"/>
          <w:sz w:val="24"/>
          <w:szCs w:val="24"/>
        </w:rPr>
        <w:t xml:space="preserve"> </w:t>
      </w:r>
      <w:r w:rsidR="002A4165" w:rsidRPr="004122E2">
        <w:rPr>
          <w:rFonts w:ascii="Times New Roman" w:hAnsi="Times New Roman"/>
          <w:sz w:val="24"/>
          <w:szCs w:val="24"/>
        </w:rPr>
        <w:t>колективног</w:t>
      </w:r>
      <w:r w:rsidRPr="004122E2">
        <w:rPr>
          <w:rFonts w:ascii="Times New Roman" w:hAnsi="Times New Roman"/>
          <w:sz w:val="24"/>
          <w:szCs w:val="24"/>
        </w:rPr>
        <w:t xml:space="preserve"> </w:t>
      </w:r>
      <w:r w:rsidR="002A4165" w:rsidRPr="004122E2">
        <w:rPr>
          <w:rFonts w:ascii="Times New Roman" w:hAnsi="Times New Roman"/>
          <w:sz w:val="24"/>
          <w:szCs w:val="24"/>
        </w:rPr>
        <w:t>осигурања</w:t>
      </w:r>
      <w:r w:rsidRPr="004122E2">
        <w:rPr>
          <w:rFonts w:ascii="Times New Roman" w:hAnsi="Times New Roman"/>
          <w:sz w:val="24"/>
          <w:szCs w:val="24"/>
        </w:rPr>
        <w:t xml:space="preserve"> </w:t>
      </w:r>
      <w:r w:rsidR="002A4165" w:rsidRPr="004122E2">
        <w:rPr>
          <w:rFonts w:ascii="Times New Roman" w:hAnsi="Times New Roman"/>
          <w:sz w:val="24"/>
          <w:szCs w:val="24"/>
        </w:rPr>
        <w:t>од</w:t>
      </w:r>
      <w:r w:rsidRPr="004122E2">
        <w:rPr>
          <w:rFonts w:ascii="Times New Roman" w:hAnsi="Times New Roman"/>
          <w:sz w:val="24"/>
          <w:szCs w:val="24"/>
        </w:rPr>
        <w:t xml:space="preserve"> </w:t>
      </w:r>
      <w:r w:rsidR="002A4165" w:rsidRPr="004122E2">
        <w:rPr>
          <w:rFonts w:ascii="Times New Roman" w:hAnsi="Times New Roman"/>
          <w:sz w:val="24"/>
          <w:szCs w:val="24"/>
        </w:rPr>
        <w:t>последица</w:t>
      </w:r>
      <w:r w:rsidRPr="004122E2">
        <w:rPr>
          <w:rFonts w:ascii="Times New Roman" w:hAnsi="Times New Roman"/>
          <w:sz w:val="24"/>
          <w:szCs w:val="24"/>
        </w:rPr>
        <w:t xml:space="preserve"> </w:t>
      </w:r>
      <w:r w:rsidR="002A4165" w:rsidRPr="004122E2">
        <w:rPr>
          <w:rFonts w:ascii="Times New Roman" w:hAnsi="Times New Roman"/>
          <w:sz w:val="24"/>
          <w:szCs w:val="24"/>
        </w:rPr>
        <w:t>незгоде</w:t>
      </w:r>
      <w:r w:rsidRPr="004122E2">
        <w:rPr>
          <w:rFonts w:ascii="Times New Roman" w:hAnsi="Times New Roman"/>
          <w:sz w:val="24"/>
          <w:szCs w:val="24"/>
        </w:rPr>
        <w:t xml:space="preserve">, </w:t>
      </w:r>
      <w:r w:rsidR="002A4165" w:rsidRPr="004122E2">
        <w:rPr>
          <w:rFonts w:ascii="Times New Roman" w:hAnsi="Times New Roman"/>
          <w:sz w:val="24"/>
          <w:szCs w:val="24"/>
        </w:rPr>
        <w:t>укључујући</w:t>
      </w:r>
      <w:r w:rsidRPr="004122E2">
        <w:rPr>
          <w:rFonts w:ascii="Times New Roman" w:hAnsi="Times New Roman"/>
          <w:sz w:val="24"/>
          <w:szCs w:val="24"/>
        </w:rPr>
        <w:t xml:space="preserve"> </w:t>
      </w:r>
      <w:r w:rsidR="002A4165" w:rsidRPr="004122E2">
        <w:rPr>
          <w:rFonts w:ascii="Times New Roman" w:hAnsi="Times New Roman"/>
          <w:sz w:val="24"/>
          <w:szCs w:val="24"/>
        </w:rPr>
        <w:t>осигурање</w:t>
      </w:r>
      <w:r w:rsidRPr="004122E2">
        <w:rPr>
          <w:rFonts w:ascii="Times New Roman" w:hAnsi="Times New Roman"/>
          <w:sz w:val="24"/>
          <w:szCs w:val="24"/>
        </w:rPr>
        <w:t xml:space="preserve"> </w:t>
      </w:r>
      <w:r w:rsidR="002A4165" w:rsidRPr="004122E2">
        <w:rPr>
          <w:rFonts w:ascii="Times New Roman" w:hAnsi="Times New Roman"/>
          <w:sz w:val="24"/>
          <w:szCs w:val="24"/>
        </w:rPr>
        <w:t>од</w:t>
      </w:r>
      <w:r w:rsidRPr="004122E2">
        <w:rPr>
          <w:rFonts w:ascii="Times New Roman" w:hAnsi="Times New Roman"/>
          <w:sz w:val="24"/>
          <w:szCs w:val="24"/>
        </w:rPr>
        <w:t xml:space="preserve"> </w:t>
      </w:r>
      <w:r w:rsidR="002A4165" w:rsidRPr="004122E2">
        <w:rPr>
          <w:rFonts w:ascii="Times New Roman" w:hAnsi="Times New Roman"/>
          <w:sz w:val="24"/>
          <w:szCs w:val="24"/>
        </w:rPr>
        <w:t>повреда</w:t>
      </w:r>
      <w:r w:rsidRPr="004122E2">
        <w:rPr>
          <w:rFonts w:ascii="Times New Roman" w:hAnsi="Times New Roman"/>
          <w:sz w:val="24"/>
          <w:szCs w:val="24"/>
        </w:rPr>
        <w:t xml:space="preserve"> </w:t>
      </w:r>
      <w:r w:rsidR="002A4165" w:rsidRPr="004122E2">
        <w:rPr>
          <w:rFonts w:ascii="Times New Roman" w:hAnsi="Times New Roman"/>
          <w:sz w:val="24"/>
          <w:szCs w:val="24"/>
        </w:rPr>
        <w:t>на</w:t>
      </w:r>
      <w:r w:rsidRPr="004122E2">
        <w:rPr>
          <w:rFonts w:ascii="Times New Roman" w:hAnsi="Times New Roman"/>
          <w:sz w:val="24"/>
          <w:szCs w:val="24"/>
        </w:rPr>
        <w:t xml:space="preserve"> </w:t>
      </w:r>
      <w:r w:rsidR="002A4165" w:rsidRPr="004122E2">
        <w:rPr>
          <w:rFonts w:ascii="Times New Roman" w:hAnsi="Times New Roman"/>
          <w:sz w:val="24"/>
          <w:szCs w:val="24"/>
        </w:rPr>
        <w:t>раду</w:t>
      </w:r>
      <w:r w:rsidRPr="004122E2">
        <w:rPr>
          <w:rFonts w:ascii="Times New Roman" w:hAnsi="Times New Roman"/>
          <w:sz w:val="24"/>
          <w:szCs w:val="24"/>
        </w:rPr>
        <w:t xml:space="preserve"> </w:t>
      </w:r>
      <w:r w:rsidR="002A4165" w:rsidRPr="004122E2">
        <w:rPr>
          <w:rFonts w:ascii="Times New Roman" w:hAnsi="Times New Roman"/>
          <w:sz w:val="24"/>
          <w:szCs w:val="24"/>
        </w:rPr>
        <w:t>и</w:t>
      </w:r>
      <w:r w:rsidRPr="004122E2">
        <w:rPr>
          <w:rFonts w:ascii="Times New Roman" w:hAnsi="Times New Roman"/>
          <w:sz w:val="24"/>
          <w:szCs w:val="24"/>
        </w:rPr>
        <w:t xml:space="preserve"> </w:t>
      </w:r>
      <w:r w:rsidR="002A4165" w:rsidRPr="004122E2">
        <w:rPr>
          <w:rFonts w:ascii="Times New Roman" w:hAnsi="Times New Roman"/>
          <w:sz w:val="24"/>
          <w:szCs w:val="24"/>
        </w:rPr>
        <w:t>професионалних</w:t>
      </w:r>
      <w:r w:rsidRPr="004122E2">
        <w:rPr>
          <w:rFonts w:ascii="Times New Roman" w:hAnsi="Times New Roman"/>
          <w:sz w:val="24"/>
          <w:szCs w:val="24"/>
        </w:rPr>
        <w:t xml:space="preserve"> </w:t>
      </w:r>
      <w:r w:rsidR="002A4165" w:rsidRPr="004122E2">
        <w:rPr>
          <w:rFonts w:ascii="Times New Roman" w:hAnsi="Times New Roman"/>
          <w:sz w:val="24"/>
          <w:szCs w:val="24"/>
        </w:rPr>
        <w:t>обољења</w:t>
      </w:r>
      <w:r w:rsidRPr="004122E2">
        <w:rPr>
          <w:rFonts w:ascii="Times New Roman" w:hAnsi="Times New Roman"/>
          <w:sz w:val="24"/>
          <w:szCs w:val="24"/>
        </w:rPr>
        <w:t xml:space="preserve"> </w:t>
      </w:r>
      <w:r w:rsidR="002A4165" w:rsidRPr="004122E2">
        <w:rPr>
          <w:rFonts w:ascii="Times New Roman" w:hAnsi="Times New Roman"/>
          <w:sz w:val="24"/>
          <w:szCs w:val="24"/>
        </w:rPr>
        <w:t>и</w:t>
      </w:r>
      <w:r w:rsidRPr="004122E2">
        <w:rPr>
          <w:rFonts w:ascii="Times New Roman" w:hAnsi="Times New Roman"/>
          <w:sz w:val="24"/>
          <w:szCs w:val="24"/>
        </w:rPr>
        <w:t xml:space="preserve"> </w:t>
      </w:r>
      <w:r w:rsidR="002A4165" w:rsidRPr="004122E2">
        <w:rPr>
          <w:rFonts w:ascii="Times New Roman" w:hAnsi="Times New Roman"/>
          <w:sz w:val="24"/>
          <w:szCs w:val="24"/>
        </w:rPr>
        <w:t>колективног</w:t>
      </w:r>
      <w:r w:rsidRPr="004122E2">
        <w:rPr>
          <w:rFonts w:ascii="Times New Roman" w:hAnsi="Times New Roman"/>
          <w:sz w:val="24"/>
          <w:szCs w:val="24"/>
        </w:rPr>
        <w:t xml:space="preserve"> </w:t>
      </w:r>
      <w:r w:rsidR="002A4165" w:rsidRPr="004122E2">
        <w:rPr>
          <w:rFonts w:ascii="Times New Roman" w:hAnsi="Times New Roman"/>
          <w:sz w:val="24"/>
          <w:szCs w:val="24"/>
        </w:rPr>
        <w:t>осигурања</w:t>
      </w:r>
      <w:r w:rsidRPr="004122E2">
        <w:rPr>
          <w:rFonts w:ascii="Times New Roman" w:hAnsi="Times New Roman"/>
          <w:sz w:val="24"/>
          <w:szCs w:val="24"/>
        </w:rPr>
        <w:t xml:space="preserve"> </w:t>
      </w:r>
      <w:r w:rsidR="002A4165" w:rsidRPr="004122E2">
        <w:rPr>
          <w:rFonts w:ascii="Times New Roman" w:hAnsi="Times New Roman"/>
          <w:sz w:val="24"/>
          <w:szCs w:val="24"/>
        </w:rPr>
        <w:t>за</w:t>
      </w:r>
      <w:r w:rsidRPr="004122E2">
        <w:rPr>
          <w:rFonts w:ascii="Times New Roman" w:hAnsi="Times New Roman"/>
          <w:sz w:val="24"/>
          <w:szCs w:val="24"/>
        </w:rPr>
        <w:t xml:space="preserve"> </w:t>
      </w:r>
      <w:r w:rsidR="002A4165" w:rsidRPr="004122E2">
        <w:rPr>
          <w:rFonts w:ascii="Times New Roman" w:hAnsi="Times New Roman"/>
          <w:sz w:val="24"/>
          <w:szCs w:val="24"/>
        </w:rPr>
        <w:t>случај</w:t>
      </w:r>
      <w:r w:rsidRPr="004122E2">
        <w:rPr>
          <w:rFonts w:ascii="Times New Roman" w:hAnsi="Times New Roman"/>
          <w:sz w:val="24"/>
          <w:szCs w:val="24"/>
        </w:rPr>
        <w:t xml:space="preserve"> </w:t>
      </w:r>
      <w:r w:rsidR="002A4165" w:rsidRPr="004122E2">
        <w:rPr>
          <w:rFonts w:ascii="Times New Roman" w:hAnsi="Times New Roman"/>
          <w:sz w:val="24"/>
          <w:szCs w:val="24"/>
        </w:rPr>
        <w:t>тежих</w:t>
      </w:r>
      <w:r w:rsidRPr="004122E2">
        <w:rPr>
          <w:rFonts w:ascii="Times New Roman" w:hAnsi="Times New Roman"/>
          <w:sz w:val="24"/>
          <w:szCs w:val="24"/>
        </w:rPr>
        <w:t xml:space="preserve"> </w:t>
      </w:r>
      <w:r w:rsidR="002A4165" w:rsidRPr="004122E2">
        <w:rPr>
          <w:rFonts w:ascii="Times New Roman" w:hAnsi="Times New Roman"/>
          <w:sz w:val="24"/>
          <w:szCs w:val="24"/>
        </w:rPr>
        <w:t>болести</w:t>
      </w:r>
      <w:r w:rsidRPr="004122E2">
        <w:rPr>
          <w:rFonts w:ascii="Times New Roman" w:hAnsi="Times New Roman"/>
          <w:sz w:val="24"/>
          <w:szCs w:val="24"/>
        </w:rPr>
        <w:t xml:space="preserve"> </w:t>
      </w:r>
      <w:r w:rsidR="002A4165" w:rsidRPr="004122E2">
        <w:rPr>
          <w:rFonts w:ascii="Times New Roman" w:hAnsi="Times New Roman"/>
          <w:sz w:val="24"/>
          <w:szCs w:val="24"/>
        </w:rPr>
        <w:t>и</w:t>
      </w:r>
      <w:r w:rsidRPr="004122E2">
        <w:rPr>
          <w:rFonts w:ascii="Times New Roman" w:hAnsi="Times New Roman"/>
          <w:sz w:val="24"/>
          <w:szCs w:val="24"/>
        </w:rPr>
        <w:t xml:space="preserve"> </w:t>
      </w:r>
      <w:r w:rsidR="002A4165" w:rsidRPr="004122E2">
        <w:rPr>
          <w:rFonts w:ascii="Times New Roman" w:hAnsi="Times New Roman"/>
          <w:sz w:val="24"/>
          <w:szCs w:val="24"/>
        </w:rPr>
        <w:t>хируршких</w:t>
      </w:r>
      <w:r w:rsidRPr="004122E2">
        <w:rPr>
          <w:rFonts w:ascii="Times New Roman" w:hAnsi="Times New Roman"/>
          <w:sz w:val="24"/>
          <w:szCs w:val="24"/>
        </w:rPr>
        <w:t xml:space="preserve"> </w:t>
      </w:r>
      <w:r w:rsidR="002A4165" w:rsidRPr="004122E2">
        <w:rPr>
          <w:rFonts w:ascii="Times New Roman" w:hAnsi="Times New Roman"/>
          <w:sz w:val="24"/>
          <w:szCs w:val="24"/>
        </w:rPr>
        <w:t>интервенција</w:t>
      </w:r>
      <w:r w:rsidRPr="004122E2">
        <w:rPr>
          <w:rFonts w:ascii="Times New Roman" w:hAnsi="Times New Roman"/>
          <w:sz w:val="24"/>
          <w:szCs w:val="24"/>
        </w:rPr>
        <w:t>;</w:t>
      </w:r>
    </w:p>
    <w:p w:rsidR="00201178" w:rsidRPr="004122E2" w:rsidRDefault="00C22F48" w:rsidP="004122E2">
      <w:pPr>
        <w:jc w:val="both"/>
        <w:rPr>
          <w:rFonts w:ascii="Times New Roman" w:hAnsi="Times New Roman"/>
          <w:sz w:val="24"/>
          <w:szCs w:val="24"/>
          <w:lang w:val="sr-Cyrl-CS"/>
        </w:rPr>
      </w:pPr>
      <w:r w:rsidRPr="004122E2">
        <w:rPr>
          <w:rFonts w:ascii="Times New Roman" w:hAnsi="Times New Roman"/>
          <w:sz w:val="24"/>
          <w:szCs w:val="24"/>
        </w:rPr>
        <w:t xml:space="preserve">2) </w:t>
      </w:r>
      <w:r w:rsidR="002A4165" w:rsidRPr="004122E2">
        <w:rPr>
          <w:rFonts w:ascii="Times New Roman" w:hAnsi="Times New Roman"/>
          <w:sz w:val="24"/>
          <w:szCs w:val="24"/>
        </w:rPr>
        <w:t>премија</w:t>
      </w:r>
      <w:r w:rsidRPr="004122E2">
        <w:rPr>
          <w:rFonts w:ascii="Times New Roman" w:hAnsi="Times New Roman"/>
          <w:sz w:val="24"/>
          <w:szCs w:val="24"/>
        </w:rPr>
        <w:t xml:space="preserve"> </w:t>
      </w:r>
      <w:r w:rsidR="002A4165" w:rsidRPr="004122E2">
        <w:rPr>
          <w:rFonts w:ascii="Times New Roman" w:hAnsi="Times New Roman"/>
          <w:sz w:val="24"/>
          <w:szCs w:val="24"/>
        </w:rPr>
        <w:t>добровољног</w:t>
      </w:r>
      <w:r w:rsidRPr="004122E2">
        <w:rPr>
          <w:rFonts w:ascii="Times New Roman" w:hAnsi="Times New Roman"/>
          <w:sz w:val="24"/>
          <w:szCs w:val="24"/>
        </w:rPr>
        <w:t xml:space="preserve"> </w:t>
      </w:r>
      <w:r w:rsidR="002A4165" w:rsidRPr="004122E2">
        <w:rPr>
          <w:rFonts w:ascii="Times New Roman" w:hAnsi="Times New Roman"/>
          <w:sz w:val="24"/>
          <w:szCs w:val="24"/>
        </w:rPr>
        <w:t>здравственог</w:t>
      </w:r>
      <w:r w:rsidRPr="004122E2">
        <w:rPr>
          <w:rFonts w:ascii="Times New Roman" w:hAnsi="Times New Roman"/>
          <w:sz w:val="24"/>
          <w:szCs w:val="24"/>
        </w:rPr>
        <w:t xml:space="preserve"> </w:t>
      </w:r>
      <w:r w:rsidR="002A4165" w:rsidRPr="004122E2">
        <w:rPr>
          <w:rFonts w:ascii="Times New Roman" w:hAnsi="Times New Roman"/>
          <w:sz w:val="24"/>
          <w:szCs w:val="24"/>
        </w:rPr>
        <w:t>осигурања</w:t>
      </w:r>
      <w:r w:rsidRPr="004122E2">
        <w:rPr>
          <w:rFonts w:ascii="Times New Roman" w:hAnsi="Times New Roman"/>
          <w:sz w:val="24"/>
          <w:szCs w:val="24"/>
        </w:rPr>
        <w:t xml:space="preserve">, </w:t>
      </w:r>
      <w:r w:rsidR="002A4165" w:rsidRPr="004122E2">
        <w:rPr>
          <w:rFonts w:ascii="Times New Roman" w:hAnsi="Times New Roman"/>
          <w:sz w:val="24"/>
          <w:szCs w:val="24"/>
        </w:rPr>
        <w:t>односно</w:t>
      </w:r>
      <w:r w:rsidRPr="004122E2">
        <w:rPr>
          <w:rFonts w:ascii="Times New Roman" w:hAnsi="Times New Roman"/>
          <w:sz w:val="24"/>
          <w:szCs w:val="24"/>
        </w:rPr>
        <w:t xml:space="preserve"> </w:t>
      </w:r>
      <w:r w:rsidR="002A4165" w:rsidRPr="004122E2">
        <w:rPr>
          <w:rFonts w:ascii="Times New Roman" w:hAnsi="Times New Roman"/>
          <w:sz w:val="24"/>
          <w:szCs w:val="24"/>
        </w:rPr>
        <w:t>пензијски</w:t>
      </w:r>
      <w:r w:rsidRPr="004122E2">
        <w:rPr>
          <w:rFonts w:ascii="Times New Roman" w:hAnsi="Times New Roman"/>
          <w:sz w:val="24"/>
          <w:szCs w:val="24"/>
        </w:rPr>
        <w:t xml:space="preserve"> </w:t>
      </w:r>
      <w:r w:rsidR="002A4165" w:rsidRPr="004122E2">
        <w:rPr>
          <w:rFonts w:ascii="Times New Roman" w:hAnsi="Times New Roman"/>
          <w:sz w:val="24"/>
          <w:szCs w:val="24"/>
        </w:rPr>
        <w:t>допринос</w:t>
      </w:r>
      <w:r w:rsidRPr="004122E2">
        <w:rPr>
          <w:rFonts w:ascii="Times New Roman" w:hAnsi="Times New Roman"/>
          <w:sz w:val="24"/>
          <w:szCs w:val="24"/>
        </w:rPr>
        <w:t xml:space="preserve"> </w:t>
      </w:r>
      <w:r w:rsidR="002A4165" w:rsidRPr="004122E2">
        <w:rPr>
          <w:rFonts w:ascii="Times New Roman" w:hAnsi="Times New Roman"/>
          <w:sz w:val="24"/>
          <w:szCs w:val="24"/>
        </w:rPr>
        <w:t>у</w:t>
      </w:r>
      <w:r w:rsidRPr="004122E2">
        <w:rPr>
          <w:rFonts w:ascii="Times New Roman" w:hAnsi="Times New Roman"/>
          <w:sz w:val="24"/>
          <w:szCs w:val="24"/>
        </w:rPr>
        <w:t xml:space="preserve"> </w:t>
      </w:r>
      <w:r w:rsidR="002A4165" w:rsidRPr="004122E2">
        <w:rPr>
          <w:rFonts w:ascii="Times New Roman" w:hAnsi="Times New Roman"/>
          <w:sz w:val="24"/>
          <w:szCs w:val="24"/>
        </w:rPr>
        <w:t>добровољни</w:t>
      </w:r>
      <w:r w:rsidRPr="004122E2">
        <w:rPr>
          <w:rFonts w:ascii="Times New Roman" w:hAnsi="Times New Roman"/>
          <w:sz w:val="24"/>
          <w:szCs w:val="24"/>
        </w:rPr>
        <w:t xml:space="preserve"> </w:t>
      </w:r>
      <w:r w:rsidR="002A4165" w:rsidRPr="004122E2">
        <w:rPr>
          <w:rFonts w:ascii="Times New Roman" w:hAnsi="Times New Roman"/>
          <w:sz w:val="24"/>
          <w:szCs w:val="24"/>
        </w:rPr>
        <w:t>пензијски</w:t>
      </w:r>
      <w:r w:rsidRPr="004122E2">
        <w:rPr>
          <w:rFonts w:ascii="Times New Roman" w:hAnsi="Times New Roman"/>
          <w:sz w:val="24"/>
          <w:szCs w:val="24"/>
        </w:rPr>
        <w:t xml:space="preserve"> </w:t>
      </w:r>
      <w:r w:rsidR="002A4165" w:rsidRPr="004122E2">
        <w:rPr>
          <w:rFonts w:ascii="Times New Roman" w:hAnsi="Times New Roman"/>
          <w:sz w:val="24"/>
          <w:szCs w:val="24"/>
        </w:rPr>
        <w:t>фонд</w:t>
      </w:r>
      <w:r w:rsidRPr="004122E2">
        <w:rPr>
          <w:rFonts w:ascii="Times New Roman" w:hAnsi="Times New Roman"/>
          <w:sz w:val="24"/>
          <w:szCs w:val="24"/>
        </w:rPr>
        <w:t xml:space="preserve">, </w:t>
      </w:r>
      <w:r w:rsidR="002A4165" w:rsidRPr="004122E2">
        <w:rPr>
          <w:rFonts w:ascii="Times New Roman" w:hAnsi="Times New Roman"/>
          <w:sz w:val="24"/>
          <w:szCs w:val="24"/>
        </w:rPr>
        <w:t>које</w:t>
      </w:r>
      <w:r w:rsidRPr="004122E2">
        <w:rPr>
          <w:rFonts w:ascii="Times New Roman" w:hAnsi="Times New Roman"/>
          <w:sz w:val="24"/>
          <w:szCs w:val="24"/>
        </w:rPr>
        <w:t xml:space="preserve"> </w:t>
      </w:r>
      <w:r w:rsidR="002A4165" w:rsidRPr="004122E2">
        <w:rPr>
          <w:rFonts w:ascii="Times New Roman" w:hAnsi="Times New Roman"/>
          <w:sz w:val="24"/>
          <w:szCs w:val="24"/>
        </w:rPr>
        <w:t>послодавац</w:t>
      </w:r>
      <w:r w:rsidRPr="004122E2">
        <w:rPr>
          <w:rFonts w:ascii="Times New Roman" w:hAnsi="Times New Roman"/>
          <w:sz w:val="24"/>
          <w:szCs w:val="24"/>
        </w:rPr>
        <w:t xml:space="preserve"> </w:t>
      </w:r>
      <w:r w:rsidR="002A4165" w:rsidRPr="004122E2">
        <w:rPr>
          <w:rFonts w:ascii="Times New Roman" w:hAnsi="Times New Roman"/>
          <w:sz w:val="24"/>
          <w:szCs w:val="24"/>
        </w:rPr>
        <w:t>плаћа</w:t>
      </w:r>
      <w:r w:rsidRPr="004122E2">
        <w:rPr>
          <w:rFonts w:ascii="Times New Roman" w:hAnsi="Times New Roman"/>
          <w:sz w:val="24"/>
          <w:szCs w:val="24"/>
        </w:rPr>
        <w:t xml:space="preserve"> </w:t>
      </w:r>
      <w:r w:rsidR="002A4165" w:rsidRPr="004122E2">
        <w:rPr>
          <w:rFonts w:ascii="Times New Roman" w:hAnsi="Times New Roman"/>
          <w:sz w:val="24"/>
          <w:szCs w:val="24"/>
        </w:rPr>
        <w:t>за</w:t>
      </w:r>
      <w:r w:rsidRPr="004122E2">
        <w:rPr>
          <w:rFonts w:ascii="Times New Roman" w:hAnsi="Times New Roman"/>
          <w:sz w:val="24"/>
          <w:szCs w:val="24"/>
        </w:rPr>
        <w:t xml:space="preserve"> </w:t>
      </w:r>
      <w:r w:rsidR="002A4165" w:rsidRPr="004122E2">
        <w:rPr>
          <w:rFonts w:ascii="Times New Roman" w:hAnsi="Times New Roman"/>
          <w:sz w:val="24"/>
          <w:szCs w:val="24"/>
        </w:rPr>
        <w:t>запослене</w:t>
      </w:r>
      <w:r w:rsidRPr="004122E2">
        <w:rPr>
          <w:rFonts w:ascii="Times New Roman" w:hAnsi="Times New Roman"/>
          <w:sz w:val="24"/>
          <w:szCs w:val="24"/>
        </w:rPr>
        <w:t xml:space="preserve"> - </w:t>
      </w:r>
      <w:r w:rsidR="002A4165" w:rsidRPr="004122E2">
        <w:rPr>
          <w:rFonts w:ascii="Times New Roman" w:hAnsi="Times New Roman"/>
          <w:sz w:val="24"/>
          <w:szCs w:val="24"/>
        </w:rPr>
        <w:t>осигуранике</w:t>
      </w:r>
      <w:r w:rsidRPr="004122E2">
        <w:rPr>
          <w:rFonts w:ascii="Times New Roman" w:hAnsi="Times New Roman"/>
          <w:sz w:val="24"/>
          <w:szCs w:val="24"/>
        </w:rPr>
        <w:t xml:space="preserve">, </w:t>
      </w:r>
      <w:r w:rsidR="002A4165" w:rsidRPr="004122E2">
        <w:rPr>
          <w:rFonts w:ascii="Times New Roman" w:hAnsi="Times New Roman"/>
          <w:sz w:val="24"/>
          <w:szCs w:val="24"/>
        </w:rPr>
        <w:t>односно</w:t>
      </w:r>
      <w:r w:rsidRPr="004122E2">
        <w:rPr>
          <w:rFonts w:ascii="Times New Roman" w:hAnsi="Times New Roman"/>
          <w:sz w:val="24"/>
          <w:szCs w:val="24"/>
        </w:rPr>
        <w:t xml:space="preserve"> </w:t>
      </w:r>
      <w:r w:rsidR="002A4165" w:rsidRPr="004122E2">
        <w:rPr>
          <w:rFonts w:ascii="Times New Roman" w:hAnsi="Times New Roman"/>
          <w:sz w:val="24"/>
          <w:szCs w:val="24"/>
        </w:rPr>
        <w:t>чланове</w:t>
      </w:r>
      <w:r w:rsidRPr="004122E2">
        <w:rPr>
          <w:rFonts w:ascii="Times New Roman" w:hAnsi="Times New Roman"/>
          <w:sz w:val="24"/>
          <w:szCs w:val="24"/>
        </w:rPr>
        <w:t xml:space="preserve"> </w:t>
      </w:r>
      <w:r w:rsidR="002A4165" w:rsidRPr="004122E2">
        <w:rPr>
          <w:rFonts w:ascii="Times New Roman" w:hAnsi="Times New Roman"/>
          <w:sz w:val="24"/>
          <w:szCs w:val="24"/>
        </w:rPr>
        <w:t>добровољног</w:t>
      </w:r>
      <w:r w:rsidRPr="004122E2">
        <w:rPr>
          <w:rFonts w:ascii="Times New Roman" w:hAnsi="Times New Roman"/>
          <w:sz w:val="24"/>
          <w:szCs w:val="24"/>
        </w:rPr>
        <w:t xml:space="preserve"> </w:t>
      </w:r>
      <w:r w:rsidR="002A4165" w:rsidRPr="004122E2">
        <w:rPr>
          <w:rFonts w:ascii="Times New Roman" w:hAnsi="Times New Roman"/>
          <w:sz w:val="24"/>
          <w:szCs w:val="24"/>
        </w:rPr>
        <w:t>пензијског</w:t>
      </w:r>
      <w:r w:rsidRPr="004122E2">
        <w:rPr>
          <w:rFonts w:ascii="Times New Roman" w:hAnsi="Times New Roman"/>
          <w:sz w:val="24"/>
          <w:szCs w:val="24"/>
        </w:rPr>
        <w:t xml:space="preserve"> </w:t>
      </w:r>
      <w:r w:rsidR="002A4165" w:rsidRPr="004122E2">
        <w:rPr>
          <w:rFonts w:ascii="Times New Roman" w:hAnsi="Times New Roman"/>
          <w:sz w:val="24"/>
          <w:szCs w:val="24"/>
        </w:rPr>
        <w:t>фонда</w:t>
      </w:r>
      <w:r w:rsidRPr="004122E2">
        <w:rPr>
          <w:rFonts w:ascii="Times New Roman" w:hAnsi="Times New Roman"/>
          <w:sz w:val="24"/>
          <w:szCs w:val="24"/>
        </w:rPr>
        <w:t xml:space="preserve">, </w:t>
      </w:r>
      <w:r w:rsidR="002A4165" w:rsidRPr="004122E2">
        <w:rPr>
          <w:rFonts w:ascii="Times New Roman" w:hAnsi="Times New Roman"/>
          <w:sz w:val="24"/>
          <w:szCs w:val="24"/>
        </w:rPr>
        <w:t>у</w:t>
      </w:r>
      <w:r w:rsidRPr="004122E2">
        <w:rPr>
          <w:rFonts w:ascii="Times New Roman" w:hAnsi="Times New Roman"/>
          <w:sz w:val="24"/>
          <w:szCs w:val="24"/>
        </w:rPr>
        <w:t xml:space="preserve"> </w:t>
      </w:r>
      <w:r w:rsidR="002A4165" w:rsidRPr="004122E2">
        <w:rPr>
          <w:rFonts w:ascii="Times New Roman" w:hAnsi="Times New Roman"/>
          <w:sz w:val="24"/>
          <w:szCs w:val="24"/>
        </w:rPr>
        <w:t>складу</w:t>
      </w:r>
      <w:r w:rsidRPr="004122E2">
        <w:rPr>
          <w:rFonts w:ascii="Times New Roman" w:hAnsi="Times New Roman"/>
          <w:sz w:val="24"/>
          <w:szCs w:val="24"/>
        </w:rPr>
        <w:t xml:space="preserve"> </w:t>
      </w:r>
      <w:r w:rsidR="002A4165" w:rsidRPr="004122E2">
        <w:rPr>
          <w:rFonts w:ascii="Times New Roman" w:hAnsi="Times New Roman"/>
          <w:sz w:val="24"/>
          <w:szCs w:val="24"/>
        </w:rPr>
        <w:t>са</w:t>
      </w:r>
      <w:r w:rsidRPr="004122E2">
        <w:rPr>
          <w:rFonts w:ascii="Times New Roman" w:hAnsi="Times New Roman"/>
          <w:sz w:val="24"/>
          <w:szCs w:val="24"/>
        </w:rPr>
        <w:t xml:space="preserve"> </w:t>
      </w:r>
      <w:r w:rsidR="002A4165" w:rsidRPr="004122E2">
        <w:rPr>
          <w:rFonts w:ascii="Times New Roman" w:hAnsi="Times New Roman"/>
          <w:sz w:val="24"/>
          <w:szCs w:val="24"/>
        </w:rPr>
        <w:t>посебним</w:t>
      </w:r>
      <w:r w:rsidRPr="004122E2">
        <w:rPr>
          <w:rFonts w:ascii="Times New Roman" w:hAnsi="Times New Roman"/>
          <w:sz w:val="24"/>
          <w:szCs w:val="24"/>
        </w:rPr>
        <w:t xml:space="preserve"> </w:t>
      </w:r>
      <w:r w:rsidR="002A4165" w:rsidRPr="004122E2">
        <w:rPr>
          <w:rFonts w:ascii="Times New Roman" w:hAnsi="Times New Roman"/>
          <w:sz w:val="24"/>
          <w:szCs w:val="24"/>
        </w:rPr>
        <w:t>прописима</w:t>
      </w:r>
      <w:r w:rsidRPr="004122E2">
        <w:rPr>
          <w:rFonts w:ascii="Times New Roman" w:hAnsi="Times New Roman"/>
          <w:sz w:val="24"/>
          <w:szCs w:val="24"/>
        </w:rPr>
        <w:t xml:space="preserve"> </w:t>
      </w:r>
      <w:r w:rsidR="002A4165" w:rsidRPr="004122E2">
        <w:rPr>
          <w:rFonts w:ascii="Times New Roman" w:hAnsi="Times New Roman"/>
          <w:sz w:val="24"/>
          <w:szCs w:val="24"/>
        </w:rPr>
        <w:t>који</w:t>
      </w:r>
      <w:r w:rsidRPr="004122E2">
        <w:rPr>
          <w:rFonts w:ascii="Times New Roman" w:hAnsi="Times New Roman"/>
          <w:sz w:val="24"/>
          <w:szCs w:val="24"/>
        </w:rPr>
        <w:t xml:space="preserve"> </w:t>
      </w:r>
      <w:r w:rsidR="002A4165" w:rsidRPr="004122E2">
        <w:rPr>
          <w:rFonts w:ascii="Times New Roman" w:hAnsi="Times New Roman"/>
          <w:sz w:val="24"/>
          <w:szCs w:val="24"/>
        </w:rPr>
        <w:t>уређују</w:t>
      </w:r>
      <w:r w:rsidRPr="004122E2">
        <w:rPr>
          <w:rFonts w:ascii="Times New Roman" w:hAnsi="Times New Roman"/>
          <w:sz w:val="24"/>
          <w:szCs w:val="24"/>
        </w:rPr>
        <w:t xml:space="preserve"> </w:t>
      </w:r>
      <w:r w:rsidR="002A4165" w:rsidRPr="004122E2">
        <w:rPr>
          <w:rFonts w:ascii="Times New Roman" w:hAnsi="Times New Roman"/>
          <w:sz w:val="24"/>
          <w:szCs w:val="24"/>
        </w:rPr>
        <w:t>наведене</w:t>
      </w:r>
      <w:r w:rsidRPr="004122E2">
        <w:rPr>
          <w:rFonts w:ascii="Times New Roman" w:hAnsi="Times New Roman"/>
          <w:sz w:val="24"/>
          <w:szCs w:val="24"/>
        </w:rPr>
        <w:t xml:space="preserve"> </w:t>
      </w:r>
      <w:r w:rsidR="002A4165" w:rsidRPr="004122E2">
        <w:rPr>
          <w:rFonts w:ascii="Times New Roman" w:hAnsi="Times New Roman"/>
          <w:sz w:val="24"/>
          <w:szCs w:val="24"/>
        </w:rPr>
        <w:t>области</w:t>
      </w:r>
      <w:r w:rsidRPr="004122E2">
        <w:rPr>
          <w:rFonts w:ascii="Times New Roman" w:hAnsi="Times New Roman"/>
          <w:sz w:val="24"/>
          <w:szCs w:val="24"/>
        </w:rPr>
        <w:t xml:space="preserve">, </w:t>
      </w:r>
      <w:r w:rsidR="002A4165" w:rsidRPr="004122E2">
        <w:rPr>
          <w:rFonts w:ascii="Times New Roman" w:hAnsi="Times New Roman"/>
          <w:sz w:val="24"/>
          <w:szCs w:val="24"/>
        </w:rPr>
        <w:t>до</w:t>
      </w:r>
      <w:r w:rsidRPr="004122E2">
        <w:rPr>
          <w:rFonts w:ascii="Times New Roman" w:hAnsi="Times New Roman"/>
          <w:sz w:val="24"/>
          <w:szCs w:val="24"/>
        </w:rPr>
        <w:t xml:space="preserve"> </w:t>
      </w:r>
      <w:r w:rsidR="002A4165" w:rsidRPr="004122E2">
        <w:rPr>
          <w:rFonts w:ascii="Times New Roman" w:hAnsi="Times New Roman"/>
          <w:sz w:val="24"/>
          <w:szCs w:val="24"/>
        </w:rPr>
        <w:t>износа</w:t>
      </w:r>
      <w:r w:rsidRPr="004122E2">
        <w:rPr>
          <w:rFonts w:ascii="Times New Roman" w:hAnsi="Times New Roman"/>
          <w:sz w:val="24"/>
          <w:szCs w:val="24"/>
        </w:rPr>
        <w:t xml:space="preserve"> </w:t>
      </w:r>
      <w:r w:rsidR="002A4165" w:rsidRPr="004122E2">
        <w:rPr>
          <w:rFonts w:ascii="Times New Roman" w:hAnsi="Times New Roman"/>
          <w:sz w:val="24"/>
          <w:szCs w:val="24"/>
        </w:rPr>
        <w:t>који</w:t>
      </w:r>
      <w:r w:rsidRPr="004122E2">
        <w:rPr>
          <w:rFonts w:ascii="Times New Roman" w:hAnsi="Times New Roman"/>
          <w:sz w:val="24"/>
          <w:szCs w:val="24"/>
        </w:rPr>
        <w:t xml:space="preserve"> </w:t>
      </w:r>
      <w:r w:rsidR="002A4165" w:rsidRPr="004122E2">
        <w:rPr>
          <w:rFonts w:ascii="Times New Roman" w:hAnsi="Times New Roman"/>
          <w:sz w:val="24"/>
          <w:szCs w:val="24"/>
        </w:rPr>
        <w:t>је</w:t>
      </w:r>
      <w:r w:rsidRPr="004122E2">
        <w:rPr>
          <w:rFonts w:ascii="Times New Roman" w:hAnsi="Times New Roman"/>
          <w:sz w:val="24"/>
          <w:szCs w:val="24"/>
        </w:rPr>
        <w:t xml:space="preserve"> </w:t>
      </w:r>
      <w:r w:rsidR="002A4165" w:rsidRPr="004122E2">
        <w:rPr>
          <w:rFonts w:ascii="Times New Roman" w:hAnsi="Times New Roman"/>
          <w:sz w:val="24"/>
          <w:szCs w:val="24"/>
        </w:rPr>
        <w:t>ослобођен</w:t>
      </w:r>
      <w:r w:rsidRPr="004122E2">
        <w:rPr>
          <w:rFonts w:ascii="Times New Roman" w:hAnsi="Times New Roman"/>
          <w:sz w:val="24"/>
          <w:szCs w:val="24"/>
        </w:rPr>
        <w:t xml:space="preserve"> </w:t>
      </w:r>
      <w:r w:rsidR="002A4165" w:rsidRPr="004122E2">
        <w:rPr>
          <w:rFonts w:ascii="Times New Roman" w:hAnsi="Times New Roman"/>
          <w:sz w:val="24"/>
          <w:szCs w:val="24"/>
        </w:rPr>
        <w:t>од</w:t>
      </w:r>
      <w:r w:rsidRPr="004122E2">
        <w:rPr>
          <w:rFonts w:ascii="Times New Roman" w:hAnsi="Times New Roman"/>
          <w:sz w:val="24"/>
          <w:szCs w:val="24"/>
        </w:rPr>
        <w:t xml:space="preserve"> </w:t>
      </w:r>
      <w:r w:rsidR="002A4165" w:rsidRPr="004122E2">
        <w:rPr>
          <w:rFonts w:ascii="Times New Roman" w:hAnsi="Times New Roman"/>
          <w:sz w:val="24"/>
          <w:szCs w:val="24"/>
        </w:rPr>
        <w:t>плаћања</w:t>
      </w:r>
      <w:r w:rsidRPr="004122E2">
        <w:rPr>
          <w:rFonts w:ascii="Times New Roman" w:hAnsi="Times New Roman"/>
          <w:sz w:val="24"/>
          <w:szCs w:val="24"/>
        </w:rPr>
        <w:t xml:space="preserve"> </w:t>
      </w:r>
      <w:r w:rsidR="002A4165" w:rsidRPr="004122E2">
        <w:rPr>
          <w:rFonts w:ascii="Times New Roman" w:hAnsi="Times New Roman"/>
          <w:sz w:val="24"/>
          <w:szCs w:val="24"/>
        </w:rPr>
        <w:t>доприноса</w:t>
      </w:r>
      <w:r w:rsidRPr="004122E2">
        <w:rPr>
          <w:rFonts w:ascii="Times New Roman" w:hAnsi="Times New Roman"/>
          <w:sz w:val="24"/>
          <w:szCs w:val="24"/>
        </w:rPr>
        <w:t xml:space="preserve"> </w:t>
      </w:r>
      <w:r w:rsidR="002A4165" w:rsidRPr="004122E2">
        <w:rPr>
          <w:rFonts w:ascii="Times New Roman" w:hAnsi="Times New Roman"/>
          <w:sz w:val="24"/>
          <w:szCs w:val="24"/>
        </w:rPr>
        <w:t>сагласно</w:t>
      </w:r>
      <w:r w:rsidRPr="004122E2">
        <w:rPr>
          <w:rFonts w:ascii="Times New Roman" w:hAnsi="Times New Roman"/>
          <w:sz w:val="24"/>
          <w:szCs w:val="24"/>
        </w:rPr>
        <w:t xml:space="preserve"> </w:t>
      </w:r>
      <w:r w:rsidR="002A4165" w:rsidRPr="004122E2">
        <w:rPr>
          <w:rFonts w:ascii="Times New Roman" w:hAnsi="Times New Roman"/>
          <w:sz w:val="24"/>
          <w:szCs w:val="24"/>
        </w:rPr>
        <w:t>закону</w:t>
      </w:r>
      <w:r w:rsidRPr="004122E2">
        <w:rPr>
          <w:rFonts w:ascii="Times New Roman" w:hAnsi="Times New Roman"/>
          <w:sz w:val="24"/>
          <w:szCs w:val="24"/>
        </w:rPr>
        <w:t xml:space="preserve"> </w:t>
      </w:r>
      <w:r w:rsidR="002A4165" w:rsidRPr="004122E2">
        <w:rPr>
          <w:rFonts w:ascii="Times New Roman" w:hAnsi="Times New Roman"/>
          <w:sz w:val="24"/>
          <w:szCs w:val="24"/>
        </w:rPr>
        <w:t>који</w:t>
      </w:r>
      <w:r w:rsidRPr="004122E2">
        <w:rPr>
          <w:rFonts w:ascii="Times New Roman" w:hAnsi="Times New Roman"/>
          <w:sz w:val="24"/>
          <w:szCs w:val="24"/>
        </w:rPr>
        <w:t xml:space="preserve"> </w:t>
      </w:r>
      <w:r w:rsidR="002A4165" w:rsidRPr="004122E2">
        <w:rPr>
          <w:rFonts w:ascii="Times New Roman" w:hAnsi="Times New Roman"/>
          <w:sz w:val="24"/>
          <w:szCs w:val="24"/>
        </w:rPr>
        <w:t>уређује</w:t>
      </w:r>
      <w:r w:rsidRPr="004122E2">
        <w:rPr>
          <w:rFonts w:ascii="Times New Roman" w:hAnsi="Times New Roman"/>
          <w:sz w:val="24"/>
          <w:szCs w:val="24"/>
        </w:rPr>
        <w:t xml:space="preserve"> </w:t>
      </w:r>
      <w:r w:rsidR="002A4165" w:rsidRPr="004122E2">
        <w:rPr>
          <w:rFonts w:ascii="Times New Roman" w:hAnsi="Times New Roman"/>
          <w:sz w:val="24"/>
          <w:szCs w:val="24"/>
        </w:rPr>
        <w:t>доприносе</w:t>
      </w:r>
      <w:r w:rsidRPr="004122E2">
        <w:rPr>
          <w:rFonts w:ascii="Times New Roman" w:hAnsi="Times New Roman"/>
          <w:sz w:val="24"/>
          <w:szCs w:val="24"/>
        </w:rPr>
        <w:t xml:space="preserve"> </w:t>
      </w:r>
      <w:r w:rsidR="002A4165" w:rsidRPr="004122E2">
        <w:rPr>
          <w:rFonts w:ascii="Times New Roman" w:hAnsi="Times New Roman"/>
          <w:sz w:val="24"/>
          <w:szCs w:val="24"/>
        </w:rPr>
        <w:t>за</w:t>
      </w:r>
      <w:r w:rsidRPr="004122E2">
        <w:rPr>
          <w:rFonts w:ascii="Times New Roman" w:hAnsi="Times New Roman"/>
          <w:sz w:val="24"/>
          <w:szCs w:val="24"/>
        </w:rPr>
        <w:t xml:space="preserve"> </w:t>
      </w:r>
      <w:r w:rsidR="002A4165" w:rsidRPr="004122E2">
        <w:rPr>
          <w:rFonts w:ascii="Times New Roman" w:hAnsi="Times New Roman"/>
          <w:sz w:val="24"/>
          <w:szCs w:val="24"/>
        </w:rPr>
        <w:t>обавезно</w:t>
      </w:r>
      <w:r w:rsidRPr="004122E2">
        <w:rPr>
          <w:rFonts w:ascii="Times New Roman" w:hAnsi="Times New Roman"/>
          <w:sz w:val="24"/>
          <w:szCs w:val="24"/>
        </w:rPr>
        <w:t xml:space="preserve"> </w:t>
      </w:r>
      <w:r w:rsidR="002A4165" w:rsidRPr="004122E2">
        <w:rPr>
          <w:rFonts w:ascii="Times New Roman" w:hAnsi="Times New Roman"/>
          <w:sz w:val="24"/>
          <w:szCs w:val="24"/>
        </w:rPr>
        <w:t>социјално</w:t>
      </w:r>
      <w:r w:rsidRPr="004122E2">
        <w:rPr>
          <w:rFonts w:ascii="Times New Roman" w:hAnsi="Times New Roman"/>
          <w:sz w:val="24"/>
          <w:szCs w:val="24"/>
        </w:rPr>
        <w:t xml:space="preserve"> </w:t>
      </w:r>
      <w:r w:rsidR="002A4165" w:rsidRPr="004122E2">
        <w:rPr>
          <w:rFonts w:ascii="Times New Roman" w:hAnsi="Times New Roman"/>
          <w:sz w:val="24"/>
          <w:szCs w:val="24"/>
        </w:rPr>
        <w:t>осигурање</w:t>
      </w:r>
      <w:r w:rsidRPr="004122E2">
        <w:rPr>
          <w:rFonts w:ascii="Times New Roman" w:hAnsi="Times New Roman"/>
          <w:sz w:val="24"/>
          <w:szCs w:val="24"/>
        </w:rPr>
        <w:t>.</w:t>
      </w:r>
    </w:p>
    <w:p w:rsidR="009A34F9" w:rsidRPr="004122E2" w:rsidRDefault="002A4165" w:rsidP="004122E2">
      <w:pPr>
        <w:ind w:firstLine="708"/>
        <w:jc w:val="both"/>
        <w:rPr>
          <w:rFonts w:ascii="Times New Roman" w:hAnsi="Times New Roman"/>
          <w:b/>
          <w:bCs/>
          <w:sz w:val="24"/>
          <w:szCs w:val="24"/>
        </w:rPr>
      </w:pPr>
      <w:r w:rsidRPr="004122E2">
        <w:rPr>
          <w:rFonts w:ascii="Times New Roman" w:hAnsi="Times New Roman"/>
          <w:sz w:val="24"/>
          <w:szCs w:val="24"/>
        </w:rPr>
        <w:t>Обвезник</w:t>
      </w:r>
      <w:r w:rsidR="009A34F9" w:rsidRPr="004122E2">
        <w:rPr>
          <w:rFonts w:ascii="Times New Roman" w:hAnsi="Times New Roman"/>
          <w:sz w:val="24"/>
          <w:szCs w:val="24"/>
        </w:rPr>
        <w:t xml:space="preserve"> </w:t>
      </w:r>
      <w:r w:rsidRPr="004122E2">
        <w:rPr>
          <w:rFonts w:ascii="Times New Roman" w:hAnsi="Times New Roman"/>
          <w:sz w:val="24"/>
          <w:szCs w:val="24"/>
        </w:rPr>
        <w:t>пореза</w:t>
      </w:r>
      <w:r w:rsidR="009A34F9" w:rsidRPr="004122E2">
        <w:rPr>
          <w:rFonts w:ascii="Times New Roman" w:hAnsi="Times New Roman"/>
          <w:sz w:val="24"/>
          <w:szCs w:val="24"/>
        </w:rPr>
        <w:t xml:space="preserve"> </w:t>
      </w:r>
      <w:r w:rsidRPr="004122E2">
        <w:rPr>
          <w:rFonts w:ascii="Times New Roman" w:hAnsi="Times New Roman"/>
          <w:sz w:val="24"/>
          <w:szCs w:val="24"/>
        </w:rPr>
        <w:t>на</w:t>
      </w:r>
      <w:r w:rsidR="009A34F9" w:rsidRPr="004122E2">
        <w:rPr>
          <w:rFonts w:ascii="Times New Roman" w:hAnsi="Times New Roman"/>
          <w:sz w:val="24"/>
          <w:szCs w:val="24"/>
        </w:rPr>
        <w:t xml:space="preserve"> </w:t>
      </w:r>
      <w:r w:rsidRPr="004122E2">
        <w:rPr>
          <w:rFonts w:ascii="Times New Roman" w:hAnsi="Times New Roman"/>
          <w:sz w:val="24"/>
          <w:szCs w:val="24"/>
        </w:rPr>
        <w:t>зараде</w:t>
      </w:r>
      <w:r w:rsidR="009A34F9" w:rsidRPr="004122E2">
        <w:rPr>
          <w:rFonts w:ascii="Times New Roman" w:hAnsi="Times New Roman"/>
          <w:sz w:val="24"/>
          <w:szCs w:val="24"/>
        </w:rPr>
        <w:t xml:space="preserve"> </w:t>
      </w:r>
      <w:r w:rsidRPr="004122E2">
        <w:rPr>
          <w:rFonts w:ascii="Times New Roman" w:hAnsi="Times New Roman"/>
          <w:sz w:val="24"/>
          <w:szCs w:val="24"/>
        </w:rPr>
        <w:t>је</w:t>
      </w:r>
      <w:r w:rsidR="009A34F9" w:rsidRPr="004122E2">
        <w:rPr>
          <w:rFonts w:ascii="Times New Roman" w:hAnsi="Times New Roman"/>
          <w:sz w:val="24"/>
          <w:szCs w:val="24"/>
        </w:rPr>
        <w:t xml:space="preserve"> </w:t>
      </w:r>
      <w:r w:rsidRPr="004122E2">
        <w:rPr>
          <w:rFonts w:ascii="Times New Roman" w:hAnsi="Times New Roman"/>
          <w:sz w:val="24"/>
          <w:szCs w:val="24"/>
        </w:rPr>
        <w:t>физичко</w:t>
      </w:r>
      <w:r w:rsidR="009A34F9" w:rsidRPr="004122E2">
        <w:rPr>
          <w:rFonts w:ascii="Times New Roman" w:hAnsi="Times New Roman"/>
          <w:sz w:val="24"/>
          <w:szCs w:val="24"/>
        </w:rPr>
        <w:t xml:space="preserve"> </w:t>
      </w:r>
      <w:r w:rsidRPr="004122E2">
        <w:rPr>
          <w:rFonts w:ascii="Times New Roman" w:hAnsi="Times New Roman"/>
          <w:sz w:val="24"/>
          <w:szCs w:val="24"/>
        </w:rPr>
        <w:t>лице</w:t>
      </w:r>
      <w:r w:rsidR="009A34F9" w:rsidRPr="004122E2">
        <w:rPr>
          <w:rFonts w:ascii="Times New Roman" w:hAnsi="Times New Roman"/>
          <w:sz w:val="24"/>
          <w:szCs w:val="24"/>
        </w:rPr>
        <w:t xml:space="preserve"> </w:t>
      </w:r>
      <w:r w:rsidRPr="004122E2">
        <w:rPr>
          <w:rFonts w:ascii="Times New Roman" w:hAnsi="Times New Roman"/>
          <w:sz w:val="24"/>
          <w:szCs w:val="24"/>
        </w:rPr>
        <w:t>које</w:t>
      </w:r>
      <w:r w:rsidR="009A34F9" w:rsidRPr="004122E2">
        <w:rPr>
          <w:rFonts w:ascii="Times New Roman" w:hAnsi="Times New Roman"/>
          <w:sz w:val="24"/>
          <w:szCs w:val="24"/>
        </w:rPr>
        <w:t xml:space="preserve"> </w:t>
      </w:r>
      <w:r w:rsidRPr="004122E2">
        <w:rPr>
          <w:rFonts w:ascii="Times New Roman" w:hAnsi="Times New Roman"/>
          <w:sz w:val="24"/>
          <w:szCs w:val="24"/>
        </w:rPr>
        <w:t>остварује</w:t>
      </w:r>
      <w:r w:rsidR="009A34F9" w:rsidRPr="004122E2">
        <w:rPr>
          <w:rFonts w:ascii="Times New Roman" w:hAnsi="Times New Roman"/>
          <w:sz w:val="24"/>
          <w:szCs w:val="24"/>
        </w:rPr>
        <w:t xml:space="preserve"> </w:t>
      </w:r>
      <w:r w:rsidRPr="004122E2">
        <w:rPr>
          <w:rFonts w:ascii="Times New Roman" w:hAnsi="Times New Roman"/>
          <w:sz w:val="24"/>
          <w:szCs w:val="24"/>
        </w:rPr>
        <w:t>зараду</w:t>
      </w:r>
      <w:r w:rsidR="00A508EC" w:rsidRPr="004122E2">
        <w:rPr>
          <w:rFonts w:ascii="Times New Roman" w:hAnsi="Times New Roman"/>
          <w:sz w:val="24"/>
          <w:szCs w:val="24"/>
          <w:lang w:val="sr-Cyrl-CS"/>
        </w:rPr>
        <w:t>.</w:t>
      </w:r>
      <w:r w:rsidR="00A508EC" w:rsidRPr="004122E2">
        <w:rPr>
          <w:rStyle w:val="FootnoteReference"/>
          <w:rFonts w:ascii="Times New Roman" w:hAnsi="Times New Roman"/>
          <w:color w:val="000000"/>
          <w:sz w:val="24"/>
          <w:szCs w:val="24"/>
          <w:lang w:val="sr-Cyrl-CS"/>
        </w:rPr>
        <w:footnoteReference w:id="448"/>
      </w:r>
      <w:r w:rsidR="00A508EC" w:rsidRPr="004122E2">
        <w:rPr>
          <w:rFonts w:ascii="Times New Roman" w:hAnsi="Times New Roman"/>
          <w:sz w:val="24"/>
          <w:szCs w:val="24"/>
          <w:lang w:val="sr-Cyrl-CS"/>
        </w:rPr>
        <w:t xml:space="preserve"> </w:t>
      </w:r>
      <w:r w:rsidR="00C22F48" w:rsidRPr="004122E2">
        <w:rPr>
          <w:rFonts w:ascii="Times New Roman" w:hAnsi="Times New Roman"/>
          <w:sz w:val="24"/>
          <w:szCs w:val="24"/>
          <w:lang w:val="sr-Cyrl-CS"/>
        </w:rPr>
        <w:t xml:space="preserve">Према </w:t>
      </w:r>
      <w:r w:rsidR="005B3A96" w:rsidRPr="004122E2">
        <w:rPr>
          <w:rFonts w:ascii="Times New Roman" w:hAnsi="Times New Roman"/>
          <w:sz w:val="24"/>
          <w:szCs w:val="24"/>
          <w:lang w:val="sr-Cyrl-CS"/>
        </w:rPr>
        <w:t>томе, то је: запослени, примаоци</w:t>
      </w:r>
      <w:r w:rsidR="00C22F48" w:rsidRPr="004122E2">
        <w:rPr>
          <w:rFonts w:ascii="Times New Roman" w:hAnsi="Times New Roman"/>
          <w:sz w:val="24"/>
          <w:szCs w:val="24"/>
          <w:lang w:val="sr-Cyrl-CS"/>
        </w:rPr>
        <w:t xml:space="preserve"> накнаде по основу уговора о обављању п</w:t>
      </w:r>
      <w:r w:rsidR="005B3A96" w:rsidRPr="004122E2">
        <w:rPr>
          <w:rFonts w:ascii="Times New Roman" w:hAnsi="Times New Roman"/>
          <w:sz w:val="24"/>
          <w:szCs w:val="24"/>
          <w:lang w:val="sr-Cyrl-CS"/>
        </w:rPr>
        <w:t>ривремених и повремених послова који су закључени</w:t>
      </w:r>
      <w:r w:rsidR="00C22F48" w:rsidRPr="004122E2">
        <w:rPr>
          <w:rFonts w:ascii="Times New Roman" w:hAnsi="Times New Roman"/>
          <w:sz w:val="24"/>
          <w:szCs w:val="24"/>
          <w:lang w:val="sr-Cyrl-CS"/>
        </w:rPr>
        <w:t xml:space="preserve"> непосредно са послодавцем</w:t>
      </w:r>
      <w:r w:rsidR="005B3A96" w:rsidRPr="004122E2">
        <w:rPr>
          <w:rFonts w:ascii="Times New Roman" w:hAnsi="Times New Roman"/>
          <w:sz w:val="24"/>
          <w:szCs w:val="24"/>
          <w:lang w:val="sr-Cyrl-CS"/>
        </w:rPr>
        <w:t xml:space="preserve"> или преко омладинске и </w:t>
      </w:r>
      <w:r w:rsidR="008953FF" w:rsidRPr="004122E2">
        <w:rPr>
          <w:rFonts w:ascii="Times New Roman" w:hAnsi="Times New Roman"/>
          <w:sz w:val="24"/>
          <w:szCs w:val="24"/>
          <w:lang w:val="sr-Cyrl-CS"/>
        </w:rPr>
        <w:t>студентске задруге, док је п</w:t>
      </w:r>
      <w:r w:rsidR="00C22F48" w:rsidRPr="004122E2">
        <w:rPr>
          <w:rFonts w:ascii="Times New Roman" w:hAnsi="Times New Roman"/>
          <w:sz w:val="24"/>
          <w:szCs w:val="24"/>
          <w:lang w:val="sr-Cyrl-CS"/>
        </w:rPr>
        <w:t>латац ово</w:t>
      </w:r>
      <w:r w:rsidR="008953FF" w:rsidRPr="004122E2">
        <w:rPr>
          <w:rFonts w:ascii="Times New Roman" w:hAnsi="Times New Roman"/>
          <w:sz w:val="24"/>
          <w:szCs w:val="24"/>
          <w:lang w:val="sr-Cyrl-CS"/>
        </w:rPr>
        <w:t xml:space="preserve">г пореза </w:t>
      </w:r>
      <w:r w:rsidR="005B3A96" w:rsidRPr="004122E2">
        <w:rPr>
          <w:rFonts w:ascii="Times New Roman" w:hAnsi="Times New Roman"/>
          <w:sz w:val="24"/>
          <w:szCs w:val="24"/>
          <w:lang w:val="sr-Cyrl-CS"/>
        </w:rPr>
        <w:t xml:space="preserve"> </w:t>
      </w:r>
      <w:r w:rsidR="00C22F48" w:rsidRPr="004122E2">
        <w:rPr>
          <w:rFonts w:ascii="Times New Roman" w:hAnsi="Times New Roman"/>
          <w:sz w:val="24"/>
          <w:szCs w:val="24"/>
          <w:lang w:val="sr-Cyrl-CS"/>
        </w:rPr>
        <w:t>послодавац</w:t>
      </w:r>
      <w:r w:rsidR="005B3A96" w:rsidRPr="004122E2">
        <w:rPr>
          <w:rFonts w:ascii="Times New Roman" w:hAnsi="Times New Roman"/>
          <w:sz w:val="24"/>
          <w:szCs w:val="24"/>
          <w:lang w:val="sr-Cyrl-CS"/>
        </w:rPr>
        <w:t xml:space="preserve"> као исплатилац прихода.</w:t>
      </w:r>
      <w:r w:rsidR="00C22F48" w:rsidRPr="004122E2">
        <w:rPr>
          <w:rStyle w:val="FootnoteReference"/>
          <w:rFonts w:ascii="Times New Roman" w:hAnsi="Times New Roman"/>
          <w:color w:val="000000"/>
          <w:sz w:val="24"/>
          <w:szCs w:val="24"/>
          <w:lang w:val="sr-Cyrl-CS"/>
        </w:rPr>
        <w:footnoteReference w:id="449"/>
      </w:r>
    </w:p>
    <w:p w:rsidR="00535ACD" w:rsidRPr="004122E2" w:rsidRDefault="002A4165" w:rsidP="004122E2">
      <w:pPr>
        <w:ind w:firstLine="708"/>
        <w:jc w:val="both"/>
        <w:rPr>
          <w:rFonts w:ascii="Times New Roman" w:hAnsi="Times New Roman"/>
          <w:sz w:val="24"/>
          <w:szCs w:val="24"/>
          <w:lang w:val="sr-Cyrl-CS"/>
        </w:rPr>
      </w:pPr>
      <w:r w:rsidRPr="004122E2">
        <w:rPr>
          <w:rFonts w:ascii="Times New Roman" w:hAnsi="Times New Roman"/>
          <w:sz w:val="24"/>
          <w:szCs w:val="24"/>
        </w:rPr>
        <w:lastRenderedPageBreak/>
        <w:t>Основицу</w:t>
      </w:r>
      <w:r w:rsidR="00535ACD" w:rsidRPr="004122E2">
        <w:rPr>
          <w:rFonts w:ascii="Times New Roman" w:hAnsi="Times New Roman"/>
          <w:sz w:val="24"/>
          <w:szCs w:val="24"/>
        </w:rPr>
        <w:t xml:space="preserve"> </w:t>
      </w:r>
      <w:r w:rsidRPr="004122E2">
        <w:rPr>
          <w:rFonts w:ascii="Times New Roman" w:hAnsi="Times New Roman"/>
          <w:sz w:val="24"/>
          <w:szCs w:val="24"/>
        </w:rPr>
        <w:t>пореза</w:t>
      </w:r>
      <w:r w:rsidR="00535ACD" w:rsidRPr="004122E2">
        <w:rPr>
          <w:rFonts w:ascii="Times New Roman" w:hAnsi="Times New Roman"/>
          <w:sz w:val="24"/>
          <w:szCs w:val="24"/>
        </w:rPr>
        <w:t xml:space="preserve"> </w:t>
      </w:r>
      <w:r w:rsidRPr="004122E2">
        <w:rPr>
          <w:rFonts w:ascii="Times New Roman" w:hAnsi="Times New Roman"/>
          <w:sz w:val="24"/>
          <w:szCs w:val="24"/>
        </w:rPr>
        <w:t>на</w:t>
      </w:r>
      <w:r w:rsidR="00535ACD" w:rsidRPr="004122E2">
        <w:rPr>
          <w:rFonts w:ascii="Times New Roman" w:hAnsi="Times New Roman"/>
          <w:sz w:val="24"/>
          <w:szCs w:val="24"/>
        </w:rPr>
        <w:t xml:space="preserve"> </w:t>
      </w:r>
      <w:r w:rsidRPr="004122E2">
        <w:rPr>
          <w:rFonts w:ascii="Times New Roman" w:hAnsi="Times New Roman"/>
          <w:sz w:val="24"/>
          <w:szCs w:val="24"/>
        </w:rPr>
        <w:t>зараде</w:t>
      </w:r>
      <w:r w:rsidR="00C22F48" w:rsidRPr="004122E2">
        <w:rPr>
          <w:rStyle w:val="FootnoteReference"/>
          <w:rFonts w:ascii="Times New Roman" w:hAnsi="Times New Roman"/>
          <w:color w:val="000000"/>
          <w:sz w:val="24"/>
          <w:szCs w:val="24"/>
        </w:rPr>
        <w:footnoteReference w:id="450"/>
      </w:r>
      <w:r w:rsidR="00A508EC" w:rsidRPr="004122E2">
        <w:rPr>
          <w:rFonts w:ascii="Times New Roman" w:hAnsi="Times New Roman"/>
          <w:sz w:val="24"/>
          <w:szCs w:val="24"/>
        </w:rPr>
        <w:t xml:space="preserve"> </w:t>
      </w:r>
      <w:r w:rsidR="00535ACD" w:rsidRPr="004122E2">
        <w:rPr>
          <w:rFonts w:ascii="Times New Roman" w:hAnsi="Times New Roman"/>
          <w:sz w:val="24"/>
          <w:szCs w:val="24"/>
        </w:rPr>
        <w:t xml:space="preserve"> </w:t>
      </w:r>
      <w:r w:rsidRPr="004122E2">
        <w:rPr>
          <w:rFonts w:ascii="Times New Roman" w:hAnsi="Times New Roman"/>
          <w:sz w:val="24"/>
          <w:szCs w:val="24"/>
        </w:rPr>
        <w:t>чини</w:t>
      </w:r>
      <w:r w:rsidR="00535ACD" w:rsidRPr="004122E2">
        <w:rPr>
          <w:rFonts w:ascii="Times New Roman" w:hAnsi="Times New Roman"/>
          <w:sz w:val="24"/>
          <w:szCs w:val="24"/>
        </w:rPr>
        <w:t xml:space="preserve"> </w:t>
      </w:r>
      <w:r w:rsidRPr="004122E2">
        <w:rPr>
          <w:rFonts w:ascii="Times New Roman" w:hAnsi="Times New Roman"/>
          <w:sz w:val="24"/>
          <w:szCs w:val="24"/>
        </w:rPr>
        <w:t>исплаћена</w:t>
      </w:r>
      <w:r w:rsidR="00535ACD" w:rsidRPr="004122E2">
        <w:rPr>
          <w:rFonts w:ascii="Times New Roman" w:hAnsi="Times New Roman"/>
          <w:sz w:val="24"/>
          <w:szCs w:val="24"/>
        </w:rPr>
        <w:t xml:space="preserve">, </w:t>
      </w:r>
      <w:r w:rsidRPr="004122E2">
        <w:rPr>
          <w:rFonts w:ascii="Times New Roman" w:hAnsi="Times New Roman"/>
          <w:sz w:val="24"/>
          <w:szCs w:val="24"/>
        </w:rPr>
        <w:t>односно</w:t>
      </w:r>
      <w:r w:rsidR="00535ACD" w:rsidRPr="004122E2">
        <w:rPr>
          <w:rFonts w:ascii="Times New Roman" w:hAnsi="Times New Roman"/>
          <w:sz w:val="24"/>
          <w:szCs w:val="24"/>
        </w:rPr>
        <w:t xml:space="preserve"> </w:t>
      </w:r>
      <w:r w:rsidRPr="004122E2">
        <w:rPr>
          <w:rFonts w:ascii="Times New Roman" w:hAnsi="Times New Roman"/>
          <w:sz w:val="24"/>
          <w:szCs w:val="24"/>
        </w:rPr>
        <w:t>остварена</w:t>
      </w:r>
      <w:r w:rsidR="00535ACD" w:rsidRPr="004122E2">
        <w:rPr>
          <w:rFonts w:ascii="Times New Roman" w:hAnsi="Times New Roman"/>
          <w:sz w:val="24"/>
          <w:szCs w:val="24"/>
        </w:rPr>
        <w:t xml:space="preserve"> </w:t>
      </w:r>
      <w:r w:rsidRPr="004122E2">
        <w:rPr>
          <w:rFonts w:ascii="Times New Roman" w:hAnsi="Times New Roman"/>
          <w:sz w:val="24"/>
          <w:szCs w:val="24"/>
        </w:rPr>
        <w:t>зарада</w:t>
      </w:r>
      <w:r w:rsidR="00535ACD" w:rsidRPr="004122E2">
        <w:rPr>
          <w:rFonts w:ascii="Times New Roman" w:hAnsi="Times New Roman"/>
          <w:sz w:val="24"/>
          <w:szCs w:val="24"/>
        </w:rPr>
        <w:t>.</w:t>
      </w:r>
      <w:r w:rsidR="00C22F48" w:rsidRPr="004122E2">
        <w:rPr>
          <w:rFonts w:ascii="Times New Roman" w:hAnsi="Times New Roman"/>
          <w:sz w:val="24"/>
          <w:szCs w:val="24"/>
          <w:lang w:val="sr-Cyrl-CS"/>
        </w:rPr>
        <w:t xml:space="preserve"> </w:t>
      </w:r>
      <w:r w:rsidRPr="004122E2">
        <w:rPr>
          <w:rFonts w:ascii="Times New Roman" w:hAnsi="Times New Roman"/>
          <w:sz w:val="24"/>
          <w:szCs w:val="24"/>
        </w:rPr>
        <w:t>Основицу</w:t>
      </w:r>
      <w:r w:rsidR="00535ACD" w:rsidRPr="004122E2">
        <w:rPr>
          <w:rFonts w:ascii="Times New Roman" w:hAnsi="Times New Roman"/>
          <w:sz w:val="24"/>
          <w:szCs w:val="24"/>
        </w:rPr>
        <w:t xml:space="preserve"> </w:t>
      </w:r>
      <w:r w:rsidRPr="004122E2">
        <w:rPr>
          <w:rFonts w:ascii="Times New Roman" w:hAnsi="Times New Roman"/>
          <w:sz w:val="24"/>
          <w:szCs w:val="24"/>
        </w:rPr>
        <w:t>пореза</w:t>
      </w:r>
      <w:r w:rsidR="00535ACD" w:rsidRPr="004122E2">
        <w:rPr>
          <w:rFonts w:ascii="Times New Roman" w:hAnsi="Times New Roman"/>
          <w:sz w:val="24"/>
          <w:szCs w:val="24"/>
        </w:rPr>
        <w:t xml:space="preserve"> </w:t>
      </w:r>
      <w:r w:rsidRPr="004122E2">
        <w:rPr>
          <w:rFonts w:ascii="Times New Roman" w:hAnsi="Times New Roman"/>
          <w:sz w:val="24"/>
          <w:szCs w:val="24"/>
        </w:rPr>
        <w:t>на</w:t>
      </w:r>
      <w:r w:rsidR="00535ACD" w:rsidRPr="004122E2">
        <w:rPr>
          <w:rFonts w:ascii="Times New Roman" w:hAnsi="Times New Roman"/>
          <w:sz w:val="24"/>
          <w:szCs w:val="24"/>
        </w:rPr>
        <w:t xml:space="preserve"> </w:t>
      </w:r>
      <w:r w:rsidRPr="004122E2">
        <w:rPr>
          <w:rFonts w:ascii="Times New Roman" w:hAnsi="Times New Roman"/>
          <w:sz w:val="24"/>
          <w:szCs w:val="24"/>
        </w:rPr>
        <w:t>зараде</w:t>
      </w:r>
      <w:r w:rsidR="00535ACD" w:rsidRPr="004122E2">
        <w:rPr>
          <w:rFonts w:ascii="Times New Roman" w:hAnsi="Times New Roman"/>
          <w:sz w:val="24"/>
          <w:szCs w:val="24"/>
        </w:rPr>
        <w:t xml:space="preserve"> </w:t>
      </w:r>
      <w:r w:rsidRPr="004122E2">
        <w:rPr>
          <w:rFonts w:ascii="Times New Roman" w:hAnsi="Times New Roman"/>
          <w:sz w:val="24"/>
          <w:szCs w:val="24"/>
        </w:rPr>
        <w:t>чини</w:t>
      </w:r>
      <w:r w:rsidR="00535ACD" w:rsidRPr="004122E2">
        <w:rPr>
          <w:rFonts w:ascii="Times New Roman" w:hAnsi="Times New Roman"/>
          <w:sz w:val="24"/>
          <w:szCs w:val="24"/>
        </w:rPr>
        <w:t xml:space="preserve"> </w:t>
      </w:r>
      <w:r w:rsidRPr="004122E2">
        <w:rPr>
          <w:rFonts w:ascii="Times New Roman" w:hAnsi="Times New Roman"/>
          <w:sz w:val="24"/>
          <w:szCs w:val="24"/>
        </w:rPr>
        <w:t>зарада</w:t>
      </w:r>
      <w:r w:rsidR="00535ACD" w:rsidRPr="004122E2">
        <w:rPr>
          <w:rFonts w:ascii="Times New Roman" w:hAnsi="Times New Roman"/>
          <w:sz w:val="24"/>
          <w:szCs w:val="24"/>
        </w:rPr>
        <w:t xml:space="preserve"> </w:t>
      </w:r>
      <w:r w:rsidRPr="004122E2">
        <w:rPr>
          <w:rFonts w:ascii="Times New Roman" w:hAnsi="Times New Roman"/>
          <w:sz w:val="24"/>
          <w:szCs w:val="24"/>
        </w:rPr>
        <w:t>умањена</w:t>
      </w:r>
      <w:r w:rsidR="00535ACD" w:rsidRPr="004122E2">
        <w:rPr>
          <w:rFonts w:ascii="Times New Roman" w:hAnsi="Times New Roman"/>
          <w:sz w:val="24"/>
          <w:szCs w:val="24"/>
        </w:rPr>
        <w:t xml:space="preserve"> </w:t>
      </w:r>
      <w:r w:rsidRPr="004122E2">
        <w:rPr>
          <w:rFonts w:ascii="Times New Roman" w:hAnsi="Times New Roman"/>
          <w:sz w:val="24"/>
          <w:szCs w:val="24"/>
        </w:rPr>
        <w:t>за</w:t>
      </w:r>
      <w:r w:rsidR="00535ACD" w:rsidRPr="004122E2">
        <w:rPr>
          <w:rFonts w:ascii="Times New Roman" w:hAnsi="Times New Roman"/>
          <w:sz w:val="24"/>
          <w:szCs w:val="24"/>
        </w:rPr>
        <w:t xml:space="preserve"> </w:t>
      </w:r>
      <w:r w:rsidRPr="004122E2">
        <w:rPr>
          <w:rFonts w:ascii="Times New Roman" w:hAnsi="Times New Roman"/>
          <w:sz w:val="24"/>
          <w:szCs w:val="24"/>
        </w:rPr>
        <w:t>износ</w:t>
      </w:r>
      <w:r w:rsidR="00535ACD" w:rsidRPr="004122E2">
        <w:rPr>
          <w:rFonts w:ascii="Times New Roman" w:hAnsi="Times New Roman"/>
          <w:sz w:val="24"/>
          <w:szCs w:val="24"/>
        </w:rPr>
        <w:t xml:space="preserve"> </w:t>
      </w:r>
      <w:r w:rsidRPr="004122E2">
        <w:rPr>
          <w:rFonts w:ascii="Times New Roman" w:hAnsi="Times New Roman"/>
          <w:sz w:val="24"/>
          <w:szCs w:val="24"/>
        </w:rPr>
        <w:t>од</w:t>
      </w:r>
      <w:r w:rsidR="00535ACD" w:rsidRPr="004122E2">
        <w:rPr>
          <w:rFonts w:ascii="Times New Roman" w:hAnsi="Times New Roman"/>
          <w:sz w:val="24"/>
          <w:szCs w:val="24"/>
        </w:rPr>
        <w:t xml:space="preserve"> 11.000 </w:t>
      </w:r>
      <w:r w:rsidRPr="004122E2">
        <w:rPr>
          <w:rFonts w:ascii="Times New Roman" w:hAnsi="Times New Roman"/>
          <w:sz w:val="24"/>
          <w:szCs w:val="24"/>
        </w:rPr>
        <w:t>динара</w:t>
      </w:r>
      <w:r w:rsidR="00535ACD" w:rsidRPr="004122E2">
        <w:rPr>
          <w:rFonts w:ascii="Times New Roman" w:hAnsi="Times New Roman"/>
          <w:sz w:val="24"/>
          <w:szCs w:val="24"/>
        </w:rPr>
        <w:t xml:space="preserve"> </w:t>
      </w:r>
      <w:r w:rsidRPr="004122E2">
        <w:rPr>
          <w:rFonts w:ascii="Times New Roman" w:hAnsi="Times New Roman"/>
          <w:sz w:val="24"/>
          <w:szCs w:val="24"/>
        </w:rPr>
        <w:t>месечно</w:t>
      </w:r>
      <w:r w:rsidR="00535ACD" w:rsidRPr="004122E2">
        <w:rPr>
          <w:rFonts w:ascii="Times New Roman" w:hAnsi="Times New Roman"/>
          <w:sz w:val="24"/>
          <w:szCs w:val="24"/>
        </w:rPr>
        <w:t xml:space="preserve"> </w:t>
      </w:r>
      <w:r w:rsidRPr="004122E2">
        <w:rPr>
          <w:rFonts w:ascii="Times New Roman" w:hAnsi="Times New Roman"/>
          <w:sz w:val="24"/>
          <w:szCs w:val="24"/>
        </w:rPr>
        <w:t>за</w:t>
      </w:r>
      <w:r w:rsidR="00535ACD" w:rsidRPr="004122E2">
        <w:rPr>
          <w:rFonts w:ascii="Times New Roman" w:hAnsi="Times New Roman"/>
          <w:sz w:val="24"/>
          <w:szCs w:val="24"/>
        </w:rPr>
        <w:t xml:space="preserve"> </w:t>
      </w:r>
      <w:r w:rsidRPr="004122E2">
        <w:rPr>
          <w:rFonts w:ascii="Times New Roman" w:hAnsi="Times New Roman"/>
          <w:sz w:val="24"/>
          <w:szCs w:val="24"/>
        </w:rPr>
        <w:t>лице</w:t>
      </w:r>
      <w:r w:rsidR="00535ACD" w:rsidRPr="004122E2">
        <w:rPr>
          <w:rFonts w:ascii="Times New Roman" w:hAnsi="Times New Roman"/>
          <w:sz w:val="24"/>
          <w:szCs w:val="24"/>
        </w:rPr>
        <w:t xml:space="preserve"> </w:t>
      </w:r>
      <w:r w:rsidRPr="004122E2">
        <w:rPr>
          <w:rFonts w:ascii="Times New Roman" w:hAnsi="Times New Roman"/>
          <w:sz w:val="24"/>
          <w:szCs w:val="24"/>
        </w:rPr>
        <w:t>које</w:t>
      </w:r>
      <w:r w:rsidR="00535ACD" w:rsidRPr="004122E2">
        <w:rPr>
          <w:rFonts w:ascii="Times New Roman" w:hAnsi="Times New Roman"/>
          <w:sz w:val="24"/>
          <w:szCs w:val="24"/>
        </w:rPr>
        <w:t xml:space="preserve"> </w:t>
      </w:r>
      <w:r w:rsidRPr="004122E2">
        <w:rPr>
          <w:rFonts w:ascii="Times New Roman" w:hAnsi="Times New Roman"/>
          <w:sz w:val="24"/>
          <w:szCs w:val="24"/>
        </w:rPr>
        <w:t>ради</w:t>
      </w:r>
      <w:r w:rsidR="00535ACD" w:rsidRPr="004122E2">
        <w:rPr>
          <w:rFonts w:ascii="Times New Roman" w:hAnsi="Times New Roman"/>
          <w:sz w:val="24"/>
          <w:szCs w:val="24"/>
        </w:rPr>
        <w:t xml:space="preserve"> </w:t>
      </w:r>
      <w:r w:rsidRPr="004122E2">
        <w:rPr>
          <w:rFonts w:ascii="Times New Roman" w:hAnsi="Times New Roman"/>
          <w:sz w:val="24"/>
          <w:szCs w:val="24"/>
        </w:rPr>
        <w:t>са</w:t>
      </w:r>
      <w:r w:rsidR="00535ACD" w:rsidRPr="004122E2">
        <w:rPr>
          <w:rFonts w:ascii="Times New Roman" w:hAnsi="Times New Roman"/>
          <w:sz w:val="24"/>
          <w:szCs w:val="24"/>
        </w:rPr>
        <w:t xml:space="preserve"> </w:t>
      </w:r>
      <w:r w:rsidRPr="004122E2">
        <w:rPr>
          <w:rFonts w:ascii="Times New Roman" w:hAnsi="Times New Roman"/>
          <w:sz w:val="24"/>
          <w:szCs w:val="24"/>
        </w:rPr>
        <w:t>пуним</w:t>
      </w:r>
      <w:r w:rsidR="00535ACD" w:rsidRPr="004122E2">
        <w:rPr>
          <w:rFonts w:ascii="Times New Roman" w:hAnsi="Times New Roman"/>
          <w:sz w:val="24"/>
          <w:szCs w:val="24"/>
        </w:rPr>
        <w:t xml:space="preserve"> </w:t>
      </w:r>
      <w:r w:rsidRPr="004122E2">
        <w:rPr>
          <w:rFonts w:ascii="Times New Roman" w:hAnsi="Times New Roman"/>
          <w:sz w:val="24"/>
          <w:szCs w:val="24"/>
        </w:rPr>
        <w:t>радним</w:t>
      </w:r>
      <w:r w:rsidR="00535ACD" w:rsidRPr="004122E2">
        <w:rPr>
          <w:rFonts w:ascii="Times New Roman" w:hAnsi="Times New Roman"/>
          <w:sz w:val="24"/>
          <w:szCs w:val="24"/>
        </w:rPr>
        <w:t xml:space="preserve"> </w:t>
      </w:r>
      <w:r w:rsidRPr="004122E2">
        <w:rPr>
          <w:rFonts w:ascii="Times New Roman" w:hAnsi="Times New Roman"/>
          <w:sz w:val="24"/>
          <w:szCs w:val="24"/>
        </w:rPr>
        <w:t>временом</w:t>
      </w:r>
      <w:r w:rsidR="00535ACD" w:rsidRPr="004122E2">
        <w:rPr>
          <w:rFonts w:ascii="Times New Roman" w:hAnsi="Times New Roman"/>
          <w:sz w:val="24"/>
          <w:szCs w:val="24"/>
        </w:rPr>
        <w:t>.</w:t>
      </w:r>
      <w:r w:rsidRPr="004122E2">
        <w:rPr>
          <w:rFonts w:ascii="Times New Roman" w:hAnsi="Times New Roman"/>
          <w:sz w:val="24"/>
          <w:szCs w:val="24"/>
          <w:lang w:val="sr-Cyrl-CS"/>
        </w:rPr>
        <w:t>, док з</w:t>
      </w:r>
      <w:r w:rsidRPr="004122E2">
        <w:rPr>
          <w:rFonts w:ascii="Times New Roman" w:hAnsi="Times New Roman"/>
          <w:sz w:val="24"/>
          <w:szCs w:val="24"/>
        </w:rPr>
        <w:t>а</w:t>
      </w:r>
      <w:r w:rsidR="00535ACD" w:rsidRPr="004122E2">
        <w:rPr>
          <w:rFonts w:ascii="Times New Roman" w:hAnsi="Times New Roman"/>
          <w:sz w:val="24"/>
          <w:szCs w:val="24"/>
        </w:rPr>
        <w:t xml:space="preserve"> </w:t>
      </w:r>
      <w:r w:rsidRPr="004122E2">
        <w:rPr>
          <w:rFonts w:ascii="Times New Roman" w:hAnsi="Times New Roman"/>
          <w:sz w:val="24"/>
          <w:szCs w:val="24"/>
        </w:rPr>
        <w:t>лице</w:t>
      </w:r>
      <w:r w:rsidR="00535ACD" w:rsidRPr="004122E2">
        <w:rPr>
          <w:rFonts w:ascii="Times New Roman" w:hAnsi="Times New Roman"/>
          <w:sz w:val="24"/>
          <w:szCs w:val="24"/>
        </w:rPr>
        <w:t xml:space="preserve"> </w:t>
      </w:r>
      <w:r w:rsidRPr="004122E2">
        <w:rPr>
          <w:rFonts w:ascii="Times New Roman" w:hAnsi="Times New Roman"/>
          <w:sz w:val="24"/>
          <w:szCs w:val="24"/>
        </w:rPr>
        <w:t>које</w:t>
      </w:r>
      <w:r w:rsidR="00535ACD" w:rsidRPr="004122E2">
        <w:rPr>
          <w:rFonts w:ascii="Times New Roman" w:hAnsi="Times New Roman"/>
          <w:sz w:val="24"/>
          <w:szCs w:val="24"/>
        </w:rPr>
        <w:t xml:space="preserve"> </w:t>
      </w:r>
      <w:r w:rsidRPr="004122E2">
        <w:rPr>
          <w:rFonts w:ascii="Times New Roman" w:hAnsi="Times New Roman"/>
          <w:sz w:val="24"/>
          <w:szCs w:val="24"/>
        </w:rPr>
        <w:t>ради са непуним радним временом</w:t>
      </w:r>
      <w:r w:rsidRPr="004122E2">
        <w:rPr>
          <w:rFonts w:ascii="Times New Roman" w:hAnsi="Times New Roman"/>
          <w:sz w:val="24"/>
          <w:szCs w:val="24"/>
          <w:lang w:val="sr-Cyrl-CS"/>
        </w:rPr>
        <w:t xml:space="preserve"> ово</w:t>
      </w:r>
      <w:r w:rsidR="00535ACD" w:rsidRPr="004122E2">
        <w:rPr>
          <w:rFonts w:ascii="Times New Roman" w:hAnsi="Times New Roman"/>
          <w:sz w:val="24"/>
          <w:szCs w:val="24"/>
        </w:rPr>
        <w:t xml:space="preserve"> </w:t>
      </w:r>
      <w:r w:rsidRPr="004122E2">
        <w:rPr>
          <w:rFonts w:ascii="Times New Roman" w:hAnsi="Times New Roman"/>
          <w:sz w:val="24"/>
          <w:szCs w:val="24"/>
        </w:rPr>
        <w:t>умањење</w:t>
      </w:r>
      <w:r w:rsidR="00535ACD" w:rsidRPr="004122E2">
        <w:rPr>
          <w:rFonts w:ascii="Times New Roman" w:hAnsi="Times New Roman"/>
          <w:sz w:val="24"/>
          <w:szCs w:val="24"/>
        </w:rPr>
        <w:t xml:space="preserve"> </w:t>
      </w:r>
      <w:r w:rsidRPr="004122E2">
        <w:rPr>
          <w:rFonts w:ascii="Times New Roman" w:hAnsi="Times New Roman"/>
          <w:sz w:val="24"/>
          <w:szCs w:val="24"/>
        </w:rPr>
        <w:t>је</w:t>
      </w:r>
      <w:r w:rsidR="00535ACD" w:rsidRPr="004122E2">
        <w:rPr>
          <w:rFonts w:ascii="Times New Roman" w:hAnsi="Times New Roman"/>
          <w:sz w:val="24"/>
          <w:szCs w:val="24"/>
        </w:rPr>
        <w:t xml:space="preserve"> </w:t>
      </w:r>
      <w:r w:rsidRPr="004122E2">
        <w:rPr>
          <w:rFonts w:ascii="Times New Roman" w:hAnsi="Times New Roman"/>
          <w:sz w:val="24"/>
          <w:szCs w:val="24"/>
        </w:rPr>
        <w:t>сразмерно</w:t>
      </w:r>
      <w:r w:rsidR="00535ACD" w:rsidRPr="004122E2">
        <w:rPr>
          <w:rFonts w:ascii="Times New Roman" w:hAnsi="Times New Roman"/>
          <w:sz w:val="24"/>
          <w:szCs w:val="24"/>
        </w:rPr>
        <w:t xml:space="preserve"> </w:t>
      </w:r>
      <w:r w:rsidRPr="004122E2">
        <w:rPr>
          <w:rFonts w:ascii="Times New Roman" w:hAnsi="Times New Roman"/>
          <w:sz w:val="24"/>
          <w:szCs w:val="24"/>
        </w:rPr>
        <w:t>радном</w:t>
      </w:r>
      <w:r w:rsidR="00535ACD" w:rsidRPr="004122E2">
        <w:rPr>
          <w:rFonts w:ascii="Times New Roman" w:hAnsi="Times New Roman"/>
          <w:sz w:val="24"/>
          <w:szCs w:val="24"/>
        </w:rPr>
        <w:t xml:space="preserve"> </w:t>
      </w:r>
      <w:r w:rsidRPr="004122E2">
        <w:rPr>
          <w:rFonts w:ascii="Times New Roman" w:hAnsi="Times New Roman"/>
          <w:sz w:val="24"/>
          <w:szCs w:val="24"/>
        </w:rPr>
        <w:t>времену</w:t>
      </w:r>
      <w:r w:rsidR="00535ACD" w:rsidRPr="004122E2">
        <w:rPr>
          <w:rFonts w:ascii="Times New Roman" w:hAnsi="Times New Roman"/>
          <w:sz w:val="24"/>
          <w:szCs w:val="24"/>
        </w:rPr>
        <w:t xml:space="preserve"> </w:t>
      </w:r>
      <w:r w:rsidRPr="004122E2">
        <w:rPr>
          <w:rFonts w:ascii="Times New Roman" w:hAnsi="Times New Roman"/>
          <w:sz w:val="24"/>
          <w:szCs w:val="24"/>
        </w:rPr>
        <w:t>тог</w:t>
      </w:r>
      <w:r w:rsidR="00535ACD" w:rsidRPr="004122E2">
        <w:rPr>
          <w:rFonts w:ascii="Times New Roman" w:hAnsi="Times New Roman"/>
          <w:sz w:val="24"/>
          <w:szCs w:val="24"/>
        </w:rPr>
        <w:t xml:space="preserve"> </w:t>
      </w:r>
      <w:r w:rsidRPr="004122E2">
        <w:rPr>
          <w:rFonts w:ascii="Times New Roman" w:hAnsi="Times New Roman"/>
          <w:sz w:val="24"/>
          <w:szCs w:val="24"/>
        </w:rPr>
        <w:t>лица</w:t>
      </w:r>
      <w:r w:rsidR="00535ACD" w:rsidRPr="004122E2">
        <w:rPr>
          <w:rFonts w:ascii="Times New Roman" w:hAnsi="Times New Roman"/>
          <w:sz w:val="24"/>
          <w:szCs w:val="24"/>
        </w:rPr>
        <w:t xml:space="preserve"> </w:t>
      </w:r>
      <w:r w:rsidRPr="004122E2">
        <w:rPr>
          <w:rFonts w:ascii="Times New Roman" w:hAnsi="Times New Roman"/>
          <w:sz w:val="24"/>
          <w:szCs w:val="24"/>
        </w:rPr>
        <w:t>у</w:t>
      </w:r>
      <w:r w:rsidR="00535ACD" w:rsidRPr="004122E2">
        <w:rPr>
          <w:rFonts w:ascii="Times New Roman" w:hAnsi="Times New Roman"/>
          <w:sz w:val="24"/>
          <w:szCs w:val="24"/>
        </w:rPr>
        <w:t xml:space="preserve"> </w:t>
      </w:r>
      <w:r w:rsidRPr="004122E2">
        <w:rPr>
          <w:rFonts w:ascii="Times New Roman" w:hAnsi="Times New Roman"/>
          <w:sz w:val="24"/>
          <w:szCs w:val="24"/>
        </w:rPr>
        <w:t>односу</w:t>
      </w:r>
      <w:r w:rsidR="00535ACD" w:rsidRPr="004122E2">
        <w:rPr>
          <w:rFonts w:ascii="Times New Roman" w:hAnsi="Times New Roman"/>
          <w:sz w:val="24"/>
          <w:szCs w:val="24"/>
        </w:rPr>
        <w:t xml:space="preserve"> </w:t>
      </w:r>
      <w:r w:rsidRPr="004122E2">
        <w:rPr>
          <w:rFonts w:ascii="Times New Roman" w:hAnsi="Times New Roman"/>
          <w:sz w:val="24"/>
          <w:szCs w:val="24"/>
        </w:rPr>
        <w:t>на</w:t>
      </w:r>
      <w:r w:rsidR="00535ACD" w:rsidRPr="004122E2">
        <w:rPr>
          <w:rFonts w:ascii="Times New Roman" w:hAnsi="Times New Roman"/>
          <w:sz w:val="24"/>
          <w:szCs w:val="24"/>
        </w:rPr>
        <w:t xml:space="preserve"> </w:t>
      </w:r>
      <w:r w:rsidRPr="004122E2">
        <w:rPr>
          <w:rFonts w:ascii="Times New Roman" w:hAnsi="Times New Roman"/>
          <w:sz w:val="24"/>
          <w:szCs w:val="24"/>
        </w:rPr>
        <w:t>пуно</w:t>
      </w:r>
      <w:r w:rsidR="00535ACD" w:rsidRPr="004122E2">
        <w:rPr>
          <w:rFonts w:ascii="Times New Roman" w:hAnsi="Times New Roman"/>
          <w:sz w:val="24"/>
          <w:szCs w:val="24"/>
        </w:rPr>
        <w:t xml:space="preserve"> </w:t>
      </w:r>
      <w:r w:rsidRPr="004122E2">
        <w:rPr>
          <w:rFonts w:ascii="Times New Roman" w:hAnsi="Times New Roman"/>
          <w:sz w:val="24"/>
          <w:szCs w:val="24"/>
        </w:rPr>
        <w:t>радно</w:t>
      </w:r>
      <w:r w:rsidR="00535ACD" w:rsidRPr="004122E2">
        <w:rPr>
          <w:rFonts w:ascii="Times New Roman" w:hAnsi="Times New Roman"/>
          <w:sz w:val="24"/>
          <w:szCs w:val="24"/>
        </w:rPr>
        <w:t xml:space="preserve"> </w:t>
      </w:r>
      <w:r w:rsidRPr="004122E2">
        <w:rPr>
          <w:rFonts w:ascii="Times New Roman" w:hAnsi="Times New Roman"/>
          <w:sz w:val="24"/>
          <w:szCs w:val="24"/>
        </w:rPr>
        <w:t>време</w:t>
      </w:r>
      <w:r w:rsidR="00535ACD" w:rsidRPr="004122E2">
        <w:rPr>
          <w:rFonts w:ascii="Times New Roman" w:hAnsi="Times New Roman"/>
          <w:sz w:val="24"/>
          <w:szCs w:val="24"/>
        </w:rPr>
        <w:t>.</w:t>
      </w:r>
    </w:p>
    <w:p w:rsidR="004354A1" w:rsidRPr="004122E2" w:rsidRDefault="002A4165" w:rsidP="004122E2">
      <w:pPr>
        <w:ind w:firstLine="708"/>
        <w:jc w:val="both"/>
        <w:rPr>
          <w:rFonts w:ascii="Times New Roman" w:hAnsi="Times New Roman"/>
          <w:sz w:val="24"/>
          <w:szCs w:val="24"/>
          <w:lang w:val="sr-Cyrl-CS"/>
        </w:rPr>
      </w:pPr>
      <w:r w:rsidRPr="004122E2">
        <w:rPr>
          <w:rFonts w:ascii="Times New Roman" w:hAnsi="Times New Roman"/>
          <w:sz w:val="24"/>
          <w:szCs w:val="24"/>
          <w:lang w:val="sr-Cyrl-CS"/>
        </w:rPr>
        <w:t>При том, к</w:t>
      </w:r>
      <w:r w:rsidRPr="004122E2">
        <w:rPr>
          <w:rFonts w:ascii="Times New Roman" w:hAnsi="Times New Roman"/>
          <w:sz w:val="24"/>
          <w:szCs w:val="24"/>
        </w:rPr>
        <w:t>ад</w:t>
      </w:r>
      <w:r w:rsidR="00535ACD" w:rsidRPr="004122E2">
        <w:rPr>
          <w:rFonts w:ascii="Times New Roman" w:hAnsi="Times New Roman"/>
          <w:sz w:val="24"/>
          <w:szCs w:val="24"/>
        </w:rPr>
        <w:t xml:space="preserve"> </w:t>
      </w:r>
      <w:r w:rsidRPr="004122E2">
        <w:rPr>
          <w:rFonts w:ascii="Times New Roman" w:hAnsi="Times New Roman"/>
          <w:sz w:val="24"/>
          <w:szCs w:val="24"/>
        </w:rPr>
        <w:t>лице</w:t>
      </w:r>
      <w:r w:rsidR="00535ACD" w:rsidRPr="004122E2">
        <w:rPr>
          <w:rFonts w:ascii="Times New Roman" w:hAnsi="Times New Roman"/>
          <w:sz w:val="24"/>
          <w:szCs w:val="24"/>
        </w:rPr>
        <w:t xml:space="preserve"> </w:t>
      </w:r>
      <w:r w:rsidRPr="004122E2">
        <w:rPr>
          <w:rFonts w:ascii="Times New Roman" w:hAnsi="Times New Roman"/>
          <w:sz w:val="24"/>
          <w:szCs w:val="24"/>
        </w:rPr>
        <w:t>остварује</w:t>
      </w:r>
      <w:r w:rsidR="00535ACD" w:rsidRPr="004122E2">
        <w:rPr>
          <w:rFonts w:ascii="Times New Roman" w:hAnsi="Times New Roman"/>
          <w:sz w:val="24"/>
          <w:szCs w:val="24"/>
        </w:rPr>
        <w:t xml:space="preserve"> </w:t>
      </w:r>
      <w:r w:rsidRPr="004122E2">
        <w:rPr>
          <w:rFonts w:ascii="Times New Roman" w:hAnsi="Times New Roman"/>
          <w:sz w:val="24"/>
          <w:szCs w:val="24"/>
        </w:rPr>
        <w:t>пуно</w:t>
      </w:r>
      <w:r w:rsidR="00535ACD" w:rsidRPr="004122E2">
        <w:rPr>
          <w:rFonts w:ascii="Times New Roman" w:hAnsi="Times New Roman"/>
          <w:sz w:val="24"/>
          <w:szCs w:val="24"/>
        </w:rPr>
        <w:t xml:space="preserve"> </w:t>
      </w:r>
      <w:r w:rsidRPr="004122E2">
        <w:rPr>
          <w:rFonts w:ascii="Times New Roman" w:hAnsi="Times New Roman"/>
          <w:sz w:val="24"/>
          <w:szCs w:val="24"/>
        </w:rPr>
        <w:t>радно</w:t>
      </w:r>
      <w:r w:rsidR="00535ACD" w:rsidRPr="004122E2">
        <w:rPr>
          <w:rFonts w:ascii="Times New Roman" w:hAnsi="Times New Roman"/>
          <w:sz w:val="24"/>
          <w:szCs w:val="24"/>
        </w:rPr>
        <w:t xml:space="preserve"> </w:t>
      </w:r>
      <w:r w:rsidRPr="004122E2">
        <w:rPr>
          <w:rFonts w:ascii="Times New Roman" w:hAnsi="Times New Roman"/>
          <w:sz w:val="24"/>
          <w:szCs w:val="24"/>
        </w:rPr>
        <w:t>време</w:t>
      </w:r>
      <w:r w:rsidR="00535ACD" w:rsidRPr="004122E2">
        <w:rPr>
          <w:rFonts w:ascii="Times New Roman" w:hAnsi="Times New Roman"/>
          <w:sz w:val="24"/>
          <w:szCs w:val="24"/>
        </w:rPr>
        <w:t xml:space="preserve"> </w:t>
      </w:r>
      <w:r w:rsidRPr="004122E2">
        <w:rPr>
          <w:rFonts w:ascii="Times New Roman" w:hAnsi="Times New Roman"/>
          <w:sz w:val="24"/>
          <w:szCs w:val="24"/>
        </w:rPr>
        <w:t>код</w:t>
      </w:r>
      <w:r w:rsidR="00535ACD" w:rsidRPr="004122E2">
        <w:rPr>
          <w:rFonts w:ascii="Times New Roman" w:hAnsi="Times New Roman"/>
          <w:sz w:val="24"/>
          <w:szCs w:val="24"/>
        </w:rPr>
        <w:t xml:space="preserve"> </w:t>
      </w:r>
      <w:r w:rsidRPr="004122E2">
        <w:rPr>
          <w:rFonts w:ascii="Times New Roman" w:hAnsi="Times New Roman"/>
          <w:sz w:val="24"/>
          <w:szCs w:val="24"/>
        </w:rPr>
        <w:t>два</w:t>
      </w:r>
      <w:r w:rsidR="00535ACD" w:rsidRPr="004122E2">
        <w:rPr>
          <w:rFonts w:ascii="Times New Roman" w:hAnsi="Times New Roman"/>
          <w:sz w:val="24"/>
          <w:szCs w:val="24"/>
        </w:rPr>
        <w:t xml:space="preserve"> </w:t>
      </w:r>
      <w:r w:rsidRPr="004122E2">
        <w:rPr>
          <w:rFonts w:ascii="Times New Roman" w:hAnsi="Times New Roman"/>
          <w:sz w:val="24"/>
          <w:szCs w:val="24"/>
        </w:rPr>
        <w:t>или</w:t>
      </w:r>
      <w:r w:rsidR="00535ACD" w:rsidRPr="004122E2">
        <w:rPr>
          <w:rFonts w:ascii="Times New Roman" w:hAnsi="Times New Roman"/>
          <w:sz w:val="24"/>
          <w:szCs w:val="24"/>
        </w:rPr>
        <w:t xml:space="preserve"> </w:t>
      </w:r>
      <w:r w:rsidRPr="004122E2">
        <w:rPr>
          <w:rFonts w:ascii="Times New Roman" w:hAnsi="Times New Roman"/>
          <w:sz w:val="24"/>
          <w:szCs w:val="24"/>
        </w:rPr>
        <w:t>више</w:t>
      </w:r>
      <w:r w:rsidR="00535ACD" w:rsidRPr="004122E2">
        <w:rPr>
          <w:rFonts w:ascii="Times New Roman" w:hAnsi="Times New Roman"/>
          <w:sz w:val="24"/>
          <w:szCs w:val="24"/>
        </w:rPr>
        <w:t xml:space="preserve"> </w:t>
      </w:r>
      <w:r w:rsidRPr="004122E2">
        <w:rPr>
          <w:rFonts w:ascii="Times New Roman" w:hAnsi="Times New Roman"/>
          <w:sz w:val="24"/>
          <w:szCs w:val="24"/>
        </w:rPr>
        <w:t>послодаваца</w:t>
      </w:r>
      <w:r w:rsidR="00535ACD" w:rsidRPr="004122E2">
        <w:rPr>
          <w:rFonts w:ascii="Times New Roman" w:hAnsi="Times New Roman"/>
          <w:sz w:val="24"/>
          <w:szCs w:val="24"/>
        </w:rPr>
        <w:t xml:space="preserve">, </w:t>
      </w:r>
      <w:r w:rsidRPr="004122E2">
        <w:rPr>
          <w:rFonts w:ascii="Times New Roman" w:hAnsi="Times New Roman"/>
          <w:sz w:val="24"/>
          <w:szCs w:val="24"/>
        </w:rPr>
        <w:t>умањење</w:t>
      </w:r>
      <w:r w:rsidR="00535ACD" w:rsidRPr="004122E2">
        <w:rPr>
          <w:rFonts w:ascii="Times New Roman" w:hAnsi="Times New Roman"/>
          <w:sz w:val="24"/>
          <w:szCs w:val="24"/>
        </w:rPr>
        <w:t xml:space="preserve"> </w:t>
      </w:r>
      <w:r w:rsidRPr="004122E2">
        <w:rPr>
          <w:rFonts w:ascii="Times New Roman" w:hAnsi="Times New Roman"/>
          <w:sz w:val="24"/>
          <w:szCs w:val="24"/>
        </w:rPr>
        <w:t>врши</w:t>
      </w:r>
      <w:r w:rsidR="00535ACD" w:rsidRPr="004122E2">
        <w:rPr>
          <w:rFonts w:ascii="Times New Roman" w:hAnsi="Times New Roman"/>
          <w:sz w:val="24"/>
          <w:szCs w:val="24"/>
        </w:rPr>
        <w:t xml:space="preserve"> </w:t>
      </w:r>
      <w:r w:rsidRPr="004122E2">
        <w:rPr>
          <w:rFonts w:ascii="Times New Roman" w:hAnsi="Times New Roman"/>
          <w:sz w:val="24"/>
          <w:szCs w:val="24"/>
        </w:rPr>
        <w:t>сваки</w:t>
      </w:r>
      <w:r w:rsidR="00535ACD" w:rsidRPr="004122E2">
        <w:rPr>
          <w:rFonts w:ascii="Times New Roman" w:hAnsi="Times New Roman"/>
          <w:sz w:val="24"/>
          <w:szCs w:val="24"/>
        </w:rPr>
        <w:t xml:space="preserve"> </w:t>
      </w:r>
      <w:r w:rsidRPr="004122E2">
        <w:rPr>
          <w:rFonts w:ascii="Times New Roman" w:hAnsi="Times New Roman"/>
          <w:sz w:val="24"/>
          <w:szCs w:val="24"/>
        </w:rPr>
        <w:t>послодавац</w:t>
      </w:r>
      <w:r w:rsidR="00535ACD" w:rsidRPr="004122E2">
        <w:rPr>
          <w:rFonts w:ascii="Times New Roman" w:hAnsi="Times New Roman"/>
          <w:sz w:val="24"/>
          <w:szCs w:val="24"/>
        </w:rPr>
        <w:t xml:space="preserve"> </w:t>
      </w:r>
      <w:r w:rsidRPr="004122E2">
        <w:rPr>
          <w:rFonts w:ascii="Times New Roman" w:hAnsi="Times New Roman"/>
          <w:sz w:val="24"/>
          <w:szCs w:val="24"/>
        </w:rPr>
        <w:t>сразмерно</w:t>
      </w:r>
      <w:r w:rsidR="00535ACD" w:rsidRPr="004122E2">
        <w:rPr>
          <w:rFonts w:ascii="Times New Roman" w:hAnsi="Times New Roman"/>
          <w:sz w:val="24"/>
          <w:szCs w:val="24"/>
        </w:rPr>
        <w:t xml:space="preserve"> </w:t>
      </w:r>
      <w:r w:rsidRPr="004122E2">
        <w:rPr>
          <w:rFonts w:ascii="Times New Roman" w:hAnsi="Times New Roman"/>
          <w:sz w:val="24"/>
          <w:szCs w:val="24"/>
        </w:rPr>
        <w:t>радном</w:t>
      </w:r>
      <w:r w:rsidR="00535ACD" w:rsidRPr="004122E2">
        <w:rPr>
          <w:rFonts w:ascii="Times New Roman" w:hAnsi="Times New Roman"/>
          <w:sz w:val="24"/>
          <w:szCs w:val="24"/>
        </w:rPr>
        <w:t xml:space="preserve"> </w:t>
      </w:r>
      <w:r w:rsidRPr="004122E2">
        <w:rPr>
          <w:rFonts w:ascii="Times New Roman" w:hAnsi="Times New Roman"/>
          <w:sz w:val="24"/>
          <w:szCs w:val="24"/>
        </w:rPr>
        <w:t>времену</w:t>
      </w:r>
      <w:r w:rsidR="00535ACD" w:rsidRPr="004122E2">
        <w:rPr>
          <w:rFonts w:ascii="Times New Roman" w:hAnsi="Times New Roman"/>
          <w:sz w:val="24"/>
          <w:szCs w:val="24"/>
        </w:rPr>
        <w:t xml:space="preserve"> </w:t>
      </w:r>
      <w:r w:rsidRPr="004122E2">
        <w:rPr>
          <w:rFonts w:ascii="Times New Roman" w:hAnsi="Times New Roman"/>
          <w:sz w:val="24"/>
          <w:szCs w:val="24"/>
        </w:rPr>
        <w:t>код</w:t>
      </w:r>
      <w:r w:rsidR="00535ACD" w:rsidRPr="004122E2">
        <w:rPr>
          <w:rFonts w:ascii="Times New Roman" w:hAnsi="Times New Roman"/>
          <w:sz w:val="24"/>
          <w:szCs w:val="24"/>
        </w:rPr>
        <w:t xml:space="preserve"> </w:t>
      </w:r>
      <w:r w:rsidRPr="004122E2">
        <w:rPr>
          <w:rFonts w:ascii="Times New Roman" w:hAnsi="Times New Roman"/>
          <w:sz w:val="24"/>
          <w:szCs w:val="24"/>
        </w:rPr>
        <w:t>послодавца</w:t>
      </w:r>
      <w:r w:rsidR="00535ACD" w:rsidRPr="004122E2">
        <w:rPr>
          <w:rFonts w:ascii="Times New Roman" w:hAnsi="Times New Roman"/>
          <w:sz w:val="24"/>
          <w:szCs w:val="24"/>
        </w:rPr>
        <w:t xml:space="preserve"> </w:t>
      </w:r>
      <w:r w:rsidRPr="004122E2">
        <w:rPr>
          <w:rFonts w:ascii="Times New Roman" w:hAnsi="Times New Roman"/>
          <w:sz w:val="24"/>
          <w:szCs w:val="24"/>
        </w:rPr>
        <w:t>у</w:t>
      </w:r>
      <w:r w:rsidR="00535ACD" w:rsidRPr="004122E2">
        <w:rPr>
          <w:rFonts w:ascii="Times New Roman" w:hAnsi="Times New Roman"/>
          <w:sz w:val="24"/>
          <w:szCs w:val="24"/>
        </w:rPr>
        <w:t xml:space="preserve"> </w:t>
      </w:r>
      <w:r w:rsidRPr="004122E2">
        <w:rPr>
          <w:rFonts w:ascii="Times New Roman" w:hAnsi="Times New Roman"/>
          <w:sz w:val="24"/>
          <w:szCs w:val="24"/>
        </w:rPr>
        <w:t>односу</w:t>
      </w:r>
      <w:r w:rsidR="00535ACD" w:rsidRPr="004122E2">
        <w:rPr>
          <w:rFonts w:ascii="Times New Roman" w:hAnsi="Times New Roman"/>
          <w:sz w:val="24"/>
          <w:szCs w:val="24"/>
        </w:rPr>
        <w:t xml:space="preserve"> </w:t>
      </w:r>
      <w:r w:rsidRPr="004122E2">
        <w:rPr>
          <w:rFonts w:ascii="Times New Roman" w:hAnsi="Times New Roman"/>
          <w:sz w:val="24"/>
          <w:szCs w:val="24"/>
        </w:rPr>
        <w:t>на</w:t>
      </w:r>
      <w:r w:rsidR="00535ACD" w:rsidRPr="004122E2">
        <w:rPr>
          <w:rFonts w:ascii="Times New Roman" w:hAnsi="Times New Roman"/>
          <w:sz w:val="24"/>
          <w:szCs w:val="24"/>
        </w:rPr>
        <w:t xml:space="preserve"> </w:t>
      </w:r>
      <w:r w:rsidRPr="004122E2">
        <w:rPr>
          <w:rFonts w:ascii="Times New Roman" w:hAnsi="Times New Roman"/>
          <w:sz w:val="24"/>
          <w:szCs w:val="24"/>
        </w:rPr>
        <w:t>пуно</w:t>
      </w:r>
      <w:r w:rsidR="00535ACD" w:rsidRPr="004122E2">
        <w:rPr>
          <w:rFonts w:ascii="Times New Roman" w:hAnsi="Times New Roman"/>
          <w:sz w:val="24"/>
          <w:szCs w:val="24"/>
        </w:rPr>
        <w:t xml:space="preserve"> </w:t>
      </w:r>
      <w:r w:rsidRPr="004122E2">
        <w:rPr>
          <w:rFonts w:ascii="Times New Roman" w:hAnsi="Times New Roman"/>
          <w:sz w:val="24"/>
          <w:szCs w:val="24"/>
        </w:rPr>
        <w:t>радно</w:t>
      </w:r>
      <w:r w:rsidR="00535ACD" w:rsidRPr="004122E2">
        <w:rPr>
          <w:rFonts w:ascii="Times New Roman" w:hAnsi="Times New Roman"/>
          <w:sz w:val="24"/>
          <w:szCs w:val="24"/>
        </w:rPr>
        <w:t xml:space="preserve"> </w:t>
      </w:r>
      <w:r w:rsidRPr="004122E2">
        <w:rPr>
          <w:rFonts w:ascii="Times New Roman" w:hAnsi="Times New Roman"/>
          <w:sz w:val="24"/>
          <w:szCs w:val="24"/>
        </w:rPr>
        <w:t>време</w:t>
      </w:r>
      <w:r w:rsidR="00535ACD" w:rsidRPr="004122E2">
        <w:rPr>
          <w:rFonts w:ascii="Times New Roman" w:hAnsi="Times New Roman"/>
          <w:sz w:val="24"/>
          <w:szCs w:val="24"/>
        </w:rPr>
        <w:t xml:space="preserve">, </w:t>
      </w:r>
      <w:r w:rsidRPr="004122E2">
        <w:rPr>
          <w:rFonts w:ascii="Times New Roman" w:hAnsi="Times New Roman"/>
          <w:sz w:val="24"/>
          <w:szCs w:val="24"/>
        </w:rPr>
        <w:t>с</w:t>
      </w:r>
      <w:r w:rsidR="00535ACD" w:rsidRPr="004122E2">
        <w:rPr>
          <w:rFonts w:ascii="Times New Roman" w:hAnsi="Times New Roman"/>
          <w:sz w:val="24"/>
          <w:szCs w:val="24"/>
        </w:rPr>
        <w:t xml:space="preserve"> </w:t>
      </w:r>
      <w:r w:rsidRPr="004122E2">
        <w:rPr>
          <w:rFonts w:ascii="Times New Roman" w:hAnsi="Times New Roman"/>
          <w:sz w:val="24"/>
          <w:szCs w:val="24"/>
        </w:rPr>
        <w:t>тим</w:t>
      </w:r>
      <w:r w:rsidR="00535ACD" w:rsidRPr="004122E2">
        <w:rPr>
          <w:rFonts w:ascii="Times New Roman" w:hAnsi="Times New Roman"/>
          <w:sz w:val="24"/>
          <w:szCs w:val="24"/>
        </w:rPr>
        <w:t xml:space="preserve"> </w:t>
      </w:r>
      <w:r w:rsidRPr="004122E2">
        <w:rPr>
          <w:rFonts w:ascii="Times New Roman" w:hAnsi="Times New Roman"/>
          <w:sz w:val="24"/>
          <w:szCs w:val="24"/>
        </w:rPr>
        <w:t>што</w:t>
      </w:r>
      <w:r w:rsidR="00535ACD" w:rsidRPr="004122E2">
        <w:rPr>
          <w:rFonts w:ascii="Times New Roman" w:hAnsi="Times New Roman"/>
          <w:sz w:val="24"/>
          <w:szCs w:val="24"/>
        </w:rPr>
        <w:t xml:space="preserve"> </w:t>
      </w:r>
      <w:r w:rsidRPr="004122E2">
        <w:rPr>
          <w:rFonts w:ascii="Times New Roman" w:hAnsi="Times New Roman"/>
          <w:sz w:val="24"/>
          <w:szCs w:val="24"/>
        </w:rPr>
        <w:t>укупно</w:t>
      </w:r>
      <w:r w:rsidR="00535ACD" w:rsidRPr="004122E2">
        <w:rPr>
          <w:rFonts w:ascii="Times New Roman" w:hAnsi="Times New Roman"/>
          <w:sz w:val="24"/>
          <w:szCs w:val="24"/>
        </w:rPr>
        <w:t xml:space="preserve"> </w:t>
      </w:r>
      <w:r w:rsidRPr="004122E2">
        <w:rPr>
          <w:rFonts w:ascii="Times New Roman" w:hAnsi="Times New Roman"/>
          <w:sz w:val="24"/>
          <w:szCs w:val="24"/>
        </w:rPr>
        <w:t>умањење</w:t>
      </w:r>
      <w:r w:rsidR="00535ACD" w:rsidRPr="004122E2">
        <w:rPr>
          <w:rFonts w:ascii="Times New Roman" w:hAnsi="Times New Roman"/>
          <w:sz w:val="24"/>
          <w:szCs w:val="24"/>
        </w:rPr>
        <w:t xml:space="preserve"> </w:t>
      </w:r>
      <w:r w:rsidRPr="004122E2">
        <w:rPr>
          <w:rFonts w:ascii="Times New Roman" w:hAnsi="Times New Roman"/>
          <w:sz w:val="24"/>
          <w:szCs w:val="24"/>
        </w:rPr>
        <w:t>износи</w:t>
      </w:r>
      <w:r w:rsidR="00535ACD" w:rsidRPr="004122E2">
        <w:rPr>
          <w:rFonts w:ascii="Times New Roman" w:hAnsi="Times New Roman"/>
          <w:sz w:val="24"/>
          <w:szCs w:val="24"/>
        </w:rPr>
        <w:t xml:space="preserve"> 11.000 </w:t>
      </w:r>
      <w:r w:rsidRPr="004122E2">
        <w:rPr>
          <w:rFonts w:ascii="Times New Roman" w:hAnsi="Times New Roman"/>
          <w:sz w:val="24"/>
          <w:szCs w:val="24"/>
        </w:rPr>
        <w:t>динара</w:t>
      </w:r>
      <w:r w:rsidR="00535ACD" w:rsidRPr="004122E2">
        <w:rPr>
          <w:rFonts w:ascii="Times New Roman" w:hAnsi="Times New Roman"/>
          <w:sz w:val="24"/>
          <w:szCs w:val="24"/>
        </w:rPr>
        <w:t xml:space="preserve"> </w:t>
      </w:r>
      <w:r w:rsidRPr="004122E2">
        <w:rPr>
          <w:rFonts w:ascii="Times New Roman" w:hAnsi="Times New Roman"/>
          <w:sz w:val="24"/>
          <w:szCs w:val="24"/>
        </w:rPr>
        <w:t>месечно</w:t>
      </w:r>
      <w:r w:rsidR="00535ACD" w:rsidRPr="004122E2">
        <w:rPr>
          <w:rFonts w:ascii="Times New Roman" w:hAnsi="Times New Roman"/>
          <w:sz w:val="24"/>
          <w:szCs w:val="24"/>
        </w:rPr>
        <w:t>.</w:t>
      </w:r>
      <w:r w:rsidRPr="004122E2">
        <w:rPr>
          <w:rFonts w:ascii="Times New Roman" w:hAnsi="Times New Roman"/>
          <w:sz w:val="24"/>
          <w:szCs w:val="24"/>
          <w:lang w:val="sr-Cyrl-CS"/>
        </w:rPr>
        <w:t xml:space="preserve"> </w:t>
      </w:r>
      <w:r w:rsidRPr="004122E2">
        <w:rPr>
          <w:rFonts w:ascii="Times New Roman" w:hAnsi="Times New Roman"/>
          <w:sz w:val="24"/>
          <w:szCs w:val="24"/>
        </w:rPr>
        <w:t>Кад</w:t>
      </w:r>
      <w:r w:rsidR="00535ACD" w:rsidRPr="004122E2">
        <w:rPr>
          <w:rFonts w:ascii="Times New Roman" w:hAnsi="Times New Roman"/>
          <w:sz w:val="24"/>
          <w:szCs w:val="24"/>
        </w:rPr>
        <w:t xml:space="preserve"> </w:t>
      </w:r>
      <w:r w:rsidRPr="004122E2">
        <w:rPr>
          <w:rFonts w:ascii="Times New Roman" w:hAnsi="Times New Roman"/>
          <w:sz w:val="24"/>
          <w:szCs w:val="24"/>
        </w:rPr>
        <w:t>лице</w:t>
      </w:r>
      <w:r w:rsidR="00535ACD" w:rsidRPr="004122E2">
        <w:rPr>
          <w:rFonts w:ascii="Times New Roman" w:hAnsi="Times New Roman"/>
          <w:sz w:val="24"/>
          <w:szCs w:val="24"/>
        </w:rPr>
        <w:t xml:space="preserve"> </w:t>
      </w:r>
      <w:r w:rsidRPr="004122E2">
        <w:rPr>
          <w:rFonts w:ascii="Times New Roman" w:hAnsi="Times New Roman"/>
          <w:sz w:val="24"/>
          <w:szCs w:val="24"/>
        </w:rPr>
        <w:t>остварује</w:t>
      </w:r>
      <w:r w:rsidR="00535ACD" w:rsidRPr="004122E2">
        <w:rPr>
          <w:rFonts w:ascii="Times New Roman" w:hAnsi="Times New Roman"/>
          <w:sz w:val="24"/>
          <w:szCs w:val="24"/>
        </w:rPr>
        <w:t xml:space="preserve"> </w:t>
      </w:r>
      <w:r w:rsidRPr="004122E2">
        <w:rPr>
          <w:rFonts w:ascii="Times New Roman" w:hAnsi="Times New Roman"/>
          <w:sz w:val="24"/>
          <w:szCs w:val="24"/>
        </w:rPr>
        <w:t>непуно</w:t>
      </w:r>
      <w:r w:rsidR="00535ACD" w:rsidRPr="004122E2">
        <w:rPr>
          <w:rFonts w:ascii="Times New Roman" w:hAnsi="Times New Roman"/>
          <w:sz w:val="24"/>
          <w:szCs w:val="24"/>
        </w:rPr>
        <w:t xml:space="preserve"> </w:t>
      </w:r>
      <w:r w:rsidRPr="004122E2">
        <w:rPr>
          <w:rFonts w:ascii="Times New Roman" w:hAnsi="Times New Roman"/>
          <w:sz w:val="24"/>
          <w:szCs w:val="24"/>
        </w:rPr>
        <w:t>радно</w:t>
      </w:r>
      <w:r w:rsidR="00535ACD" w:rsidRPr="004122E2">
        <w:rPr>
          <w:rFonts w:ascii="Times New Roman" w:hAnsi="Times New Roman"/>
          <w:sz w:val="24"/>
          <w:szCs w:val="24"/>
        </w:rPr>
        <w:t xml:space="preserve"> </w:t>
      </w:r>
      <w:r w:rsidRPr="004122E2">
        <w:rPr>
          <w:rFonts w:ascii="Times New Roman" w:hAnsi="Times New Roman"/>
          <w:sz w:val="24"/>
          <w:szCs w:val="24"/>
        </w:rPr>
        <w:t>време</w:t>
      </w:r>
      <w:r w:rsidR="00535ACD" w:rsidRPr="004122E2">
        <w:rPr>
          <w:rFonts w:ascii="Times New Roman" w:hAnsi="Times New Roman"/>
          <w:sz w:val="24"/>
          <w:szCs w:val="24"/>
        </w:rPr>
        <w:t xml:space="preserve"> </w:t>
      </w:r>
      <w:r w:rsidRPr="004122E2">
        <w:rPr>
          <w:rFonts w:ascii="Times New Roman" w:hAnsi="Times New Roman"/>
          <w:sz w:val="24"/>
          <w:szCs w:val="24"/>
        </w:rPr>
        <w:t>код</w:t>
      </w:r>
      <w:r w:rsidR="00535ACD" w:rsidRPr="004122E2">
        <w:rPr>
          <w:rFonts w:ascii="Times New Roman" w:hAnsi="Times New Roman"/>
          <w:sz w:val="24"/>
          <w:szCs w:val="24"/>
        </w:rPr>
        <w:t xml:space="preserve"> </w:t>
      </w:r>
      <w:r w:rsidRPr="004122E2">
        <w:rPr>
          <w:rFonts w:ascii="Times New Roman" w:hAnsi="Times New Roman"/>
          <w:sz w:val="24"/>
          <w:szCs w:val="24"/>
        </w:rPr>
        <w:t>два</w:t>
      </w:r>
      <w:r w:rsidR="00535ACD" w:rsidRPr="004122E2">
        <w:rPr>
          <w:rFonts w:ascii="Times New Roman" w:hAnsi="Times New Roman"/>
          <w:sz w:val="24"/>
          <w:szCs w:val="24"/>
        </w:rPr>
        <w:t xml:space="preserve"> </w:t>
      </w:r>
      <w:r w:rsidRPr="004122E2">
        <w:rPr>
          <w:rFonts w:ascii="Times New Roman" w:hAnsi="Times New Roman"/>
          <w:sz w:val="24"/>
          <w:szCs w:val="24"/>
        </w:rPr>
        <w:t>или</w:t>
      </w:r>
      <w:r w:rsidR="00535ACD" w:rsidRPr="004122E2">
        <w:rPr>
          <w:rFonts w:ascii="Times New Roman" w:hAnsi="Times New Roman"/>
          <w:sz w:val="24"/>
          <w:szCs w:val="24"/>
        </w:rPr>
        <w:t xml:space="preserve"> </w:t>
      </w:r>
      <w:r w:rsidRPr="004122E2">
        <w:rPr>
          <w:rFonts w:ascii="Times New Roman" w:hAnsi="Times New Roman"/>
          <w:sz w:val="24"/>
          <w:szCs w:val="24"/>
        </w:rPr>
        <w:t>више</w:t>
      </w:r>
      <w:r w:rsidR="00535ACD" w:rsidRPr="004122E2">
        <w:rPr>
          <w:rFonts w:ascii="Times New Roman" w:hAnsi="Times New Roman"/>
          <w:sz w:val="24"/>
          <w:szCs w:val="24"/>
        </w:rPr>
        <w:t xml:space="preserve"> </w:t>
      </w:r>
      <w:r w:rsidRPr="004122E2">
        <w:rPr>
          <w:rFonts w:ascii="Times New Roman" w:hAnsi="Times New Roman"/>
          <w:sz w:val="24"/>
          <w:szCs w:val="24"/>
        </w:rPr>
        <w:t>послодаваца</w:t>
      </w:r>
      <w:r w:rsidR="00535ACD" w:rsidRPr="004122E2">
        <w:rPr>
          <w:rFonts w:ascii="Times New Roman" w:hAnsi="Times New Roman"/>
          <w:sz w:val="24"/>
          <w:szCs w:val="24"/>
        </w:rPr>
        <w:t xml:space="preserve">, </w:t>
      </w:r>
      <w:r w:rsidRPr="004122E2">
        <w:rPr>
          <w:rFonts w:ascii="Times New Roman" w:hAnsi="Times New Roman"/>
          <w:sz w:val="24"/>
          <w:szCs w:val="24"/>
        </w:rPr>
        <w:t>сваки</w:t>
      </w:r>
      <w:r w:rsidR="00535ACD" w:rsidRPr="004122E2">
        <w:rPr>
          <w:rFonts w:ascii="Times New Roman" w:hAnsi="Times New Roman"/>
          <w:sz w:val="24"/>
          <w:szCs w:val="24"/>
        </w:rPr>
        <w:t xml:space="preserve"> </w:t>
      </w:r>
      <w:r w:rsidRPr="004122E2">
        <w:rPr>
          <w:rFonts w:ascii="Times New Roman" w:hAnsi="Times New Roman"/>
          <w:sz w:val="24"/>
          <w:szCs w:val="24"/>
        </w:rPr>
        <w:t>послодавац</w:t>
      </w:r>
      <w:r w:rsidR="00535ACD" w:rsidRPr="004122E2">
        <w:rPr>
          <w:rFonts w:ascii="Times New Roman" w:hAnsi="Times New Roman"/>
          <w:sz w:val="24"/>
          <w:szCs w:val="24"/>
        </w:rPr>
        <w:t xml:space="preserve"> </w:t>
      </w:r>
      <w:r w:rsidRPr="004122E2">
        <w:rPr>
          <w:rFonts w:ascii="Times New Roman" w:hAnsi="Times New Roman"/>
          <w:sz w:val="24"/>
          <w:szCs w:val="24"/>
        </w:rPr>
        <w:t>врши</w:t>
      </w:r>
      <w:r w:rsidR="00535ACD" w:rsidRPr="004122E2">
        <w:rPr>
          <w:rFonts w:ascii="Times New Roman" w:hAnsi="Times New Roman"/>
          <w:sz w:val="24"/>
          <w:szCs w:val="24"/>
        </w:rPr>
        <w:t xml:space="preserve"> </w:t>
      </w:r>
      <w:r w:rsidRPr="004122E2">
        <w:rPr>
          <w:rFonts w:ascii="Times New Roman" w:hAnsi="Times New Roman"/>
          <w:sz w:val="24"/>
          <w:szCs w:val="24"/>
        </w:rPr>
        <w:t>умањење</w:t>
      </w:r>
      <w:r w:rsidR="00535ACD" w:rsidRPr="004122E2">
        <w:rPr>
          <w:rFonts w:ascii="Times New Roman" w:hAnsi="Times New Roman"/>
          <w:sz w:val="24"/>
          <w:szCs w:val="24"/>
        </w:rPr>
        <w:t xml:space="preserve"> </w:t>
      </w:r>
      <w:r w:rsidRPr="004122E2">
        <w:rPr>
          <w:rFonts w:ascii="Times New Roman" w:hAnsi="Times New Roman"/>
          <w:sz w:val="24"/>
          <w:szCs w:val="24"/>
        </w:rPr>
        <w:t>сразмерно</w:t>
      </w:r>
      <w:r w:rsidR="00535ACD" w:rsidRPr="004122E2">
        <w:rPr>
          <w:rFonts w:ascii="Times New Roman" w:hAnsi="Times New Roman"/>
          <w:sz w:val="24"/>
          <w:szCs w:val="24"/>
        </w:rPr>
        <w:t xml:space="preserve"> </w:t>
      </w:r>
      <w:r w:rsidRPr="004122E2">
        <w:rPr>
          <w:rFonts w:ascii="Times New Roman" w:hAnsi="Times New Roman"/>
          <w:sz w:val="24"/>
          <w:szCs w:val="24"/>
        </w:rPr>
        <w:t>радном</w:t>
      </w:r>
      <w:r w:rsidR="00535ACD" w:rsidRPr="004122E2">
        <w:rPr>
          <w:rFonts w:ascii="Times New Roman" w:hAnsi="Times New Roman"/>
          <w:sz w:val="24"/>
          <w:szCs w:val="24"/>
        </w:rPr>
        <w:t xml:space="preserve"> </w:t>
      </w:r>
      <w:r w:rsidRPr="004122E2">
        <w:rPr>
          <w:rFonts w:ascii="Times New Roman" w:hAnsi="Times New Roman"/>
          <w:sz w:val="24"/>
          <w:szCs w:val="24"/>
        </w:rPr>
        <w:t>времену</w:t>
      </w:r>
      <w:r w:rsidR="00535ACD" w:rsidRPr="004122E2">
        <w:rPr>
          <w:rFonts w:ascii="Times New Roman" w:hAnsi="Times New Roman"/>
          <w:sz w:val="24"/>
          <w:szCs w:val="24"/>
        </w:rPr>
        <w:t xml:space="preserve"> </w:t>
      </w:r>
      <w:r w:rsidRPr="004122E2">
        <w:rPr>
          <w:rFonts w:ascii="Times New Roman" w:hAnsi="Times New Roman"/>
          <w:sz w:val="24"/>
          <w:szCs w:val="24"/>
        </w:rPr>
        <w:t>код</w:t>
      </w:r>
      <w:r w:rsidR="00535ACD" w:rsidRPr="004122E2">
        <w:rPr>
          <w:rFonts w:ascii="Times New Roman" w:hAnsi="Times New Roman"/>
          <w:sz w:val="24"/>
          <w:szCs w:val="24"/>
        </w:rPr>
        <w:t xml:space="preserve"> </w:t>
      </w:r>
      <w:r w:rsidRPr="004122E2">
        <w:rPr>
          <w:rFonts w:ascii="Times New Roman" w:hAnsi="Times New Roman"/>
          <w:sz w:val="24"/>
          <w:szCs w:val="24"/>
        </w:rPr>
        <w:t>послодавца</w:t>
      </w:r>
      <w:r w:rsidR="00535ACD" w:rsidRPr="004122E2">
        <w:rPr>
          <w:rFonts w:ascii="Times New Roman" w:hAnsi="Times New Roman"/>
          <w:sz w:val="24"/>
          <w:szCs w:val="24"/>
        </w:rPr>
        <w:t xml:space="preserve"> </w:t>
      </w:r>
      <w:r w:rsidRPr="004122E2">
        <w:rPr>
          <w:rFonts w:ascii="Times New Roman" w:hAnsi="Times New Roman"/>
          <w:sz w:val="24"/>
          <w:szCs w:val="24"/>
        </w:rPr>
        <w:t>у</w:t>
      </w:r>
      <w:r w:rsidR="00535ACD" w:rsidRPr="004122E2">
        <w:rPr>
          <w:rFonts w:ascii="Times New Roman" w:hAnsi="Times New Roman"/>
          <w:sz w:val="24"/>
          <w:szCs w:val="24"/>
        </w:rPr>
        <w:t xml:space="preserve"> </w:t>
      </w:r>
      <w:r w:rsidRPr="004122E2">
        <w:rPr>
          <w:rFonts w:ascii="Times New Roman" w:hAnsi="Times New Roman"/>
          <w:sz w:val="24"/>
          <w:szCs w:val="24"/>
        </w:rPr>
        <w:t>односу</w:t>
      </w:r>
      <w:r w:rsidR="00535ACD" w:rsidRPr="004122E2">
        <w:rPr>
          <w:rFonts w:ascii="Times New Roman" w:hAnsi="Times New Roman"/>
          <w:sz w:val="24"/>
          <w:szCs w:val="24"/>
        </w:rPr>
        <w:t xml:space="preserve"> </w:t>
      </w:r>
      <w:r w:rsidRPr="004122E2">
        <w:rPr>
          <w:rFonts w:ascii="Times New Roman" w:hAnsi="Times New Roman"/>
          <w:sz w:val="24"/>
          <w:szCs w:val="24"/>
        </w:rPr>
        <w:t>на</w:t>
      </w:r>
      <w:r w:rsidR="00535ACD" w:rsidRPr="004122E2">
        <w:rPr>
          <w:rFonts w:ascii="Times New Roman" w:hAnsi="Times New Roman"/>
          <w:sz w:val="24"/>
          <w:szCs w:val="24"/>
        </w:rPr>
        <w:t xml:space="preserve"> </w:t>
      </w:r>
      <w:r w:rsidRPr="004122E2">
        <w:rPr>
          <w:rFonts w:ascii="Times New Roman" w:hAnsi="Times New Roman"/>
          <w:sz w:val="24"/>
          <w:szCs w:val="24"/>
        </w:rPr>
        <w:t>укупно</w:t>
      </w:r>
      <w:r w:rsidR="00535ACD" w:rsidRPr="004122E2">
        <w:rPr>
          <w:rFonts w:ascii="Times New Roman" w:hAnsi="Times New Roman"/>
          <w:sz w:val="24"/>
          <w:szCs w:val="24"/>
        </w:rPr>
        <w:t xml:space="preserve"> </w:t>
      </w:r>
      <w:r w:rsidRPr="004122E2">
        <w:rPr>
          <w:rFonts w:ascii="Times New Roman" w:hAnsi="Times New Roman"/>
          <w:sz w:val="24"/>
          <w:szCs w:val="24"/>
        </w:rPr>
        <w:t>радно</w:t>
      </w:r>
      <w:r w:rsidR="00535ACD" w:rsidRPr="004122E2">
        <w:rPr>
          <w:rFonts w:ascii="Times New Roman" w:hAnsi="Times New Roman"/>
          <w:sz w:val="24"/>
          <w:szCs w:val="24"/>
        </w:rPr>
        <w:t xml:space="preserve"> </w:t>
      </w:r>
      <w:r w:rsidRPr="004122E2">
        <w:rPr>
          <w:rFonts w:ascii="Times New Roman" w:hAnsi="Times New Roman"/>
          <w:sz w:val="24"/>
          <w:szCs w:val="24"/>
        </w:rPr>
        <w:t>време</w:t>
      </w:r>
      <w:r w:rsidR="00535ACD" w:rsidRPr="004122E2">
        <w:rPr>
          <w:rFonts w:ascii="Times New Roman" w:hAnsi="Times New Roman"/>
          <w:sz w:val="24"/>
          <w:szCs w:val="24"/>
        </w:rPr>
        <w:t xml:space="preserve">, </w:t>
      </w:r>
      <w:r w:rsidRPr="004122E2">
        <w:rPr>
          <w:rFonts w:ascii="Times New Roman" w:hAnsi="Times New Roman"/>
          <w:sz w:val="24"/>
          <w:szCs w:val="24"/>
        </w:rPr>
        <w:t>с</w:t>
      </w:r>
      <w:r w:rsidR="00535ACD" w:rsidRPr="004122E2">
        <w:rPr>
          <w:rFonts w:ascii="Times New Roman" w:hAnsi="Times New Roman"/>
          <w:sz w:val="24"/>
          <w:szCs w:val="24"/>
        </w:rPr>
        <w:t xml:space="preserve"> </w:t>
      </w:r>
      <w:r w:rsidRPr="004122E2">
        <w:rPr>
          <w:rFonts w:ascii="Times New Roman" w:hAnsi="Times New Roman"/>
          <w:sz w:val="24"/>
          <w:szCs w:val="24"/>
        </w:rPr>
        <w:t>тим</w:t>
      </w:r>
      <w:r w:rsidR="00535ACD" w:rsidRPr="004122E2">
        <w:rPr>
          <w:rFonts w:ascii="Times New Roman" w:hAnsi="Times New Roman"/>
          <w:sz w:val="24"/>
          <w:szCs w:val="24"/>
        </w:rPr>
        <w:t xml:space="preserve"> </w:t>
      </w:r>
      <w:r w:rsidRPr="004122E2">
        <w:rPr>
          <w:rFonts w:ascii="Times New Roman" w:hAnsi="Times New Roman"/>
          <w:sz w:val="24"/>
          <w:szCs w:val="24"/>
        </w:rPr>
        <w:t>што</w:t>
      </w:r>
      <w:r w:rsidR="00535ACD" w:rsidRPr="004122E2">
        <w:rPr>
          <w:rFonts w:ascii="Times New Roman" w:hAnsi="Times New Roman"/>
          <w:sz w:val="24"/>
          <w:szCs w:val="24"/>
        </w:rPr>
        <w:t xml:space="preserve"> </w:t>
      </w:r>
      <w:r w:rsidRPr="004122E2">
        <w:rPr>
          <w:rFonts w:ascii="Times New Roman" w:hAnsi="Times New Roman"/>
          <w:sz w:val="24"/>
          <w:szCs w:val="24"/>
        </w:rPr>
        <w:t>збир</w:t>
      </w:r>
      <w:r w:rsidR="00535ACD" w:rsidRPr="004122E2">
        <w:rPr>
          <w:rFonts w:ascii="Times New Roman" w:hAnsi="Times New Roman"/>
          <w:sz w:val="24"/>
          <w:szCs w:val="24"/>
        </w:rPr>
        <w:t xml:space="preserve"> </w:t>
      </w:r>
      <w:r w:rsidRPr="004122E2">
        <w:rPr>
          <w:rFonts w:ascii="Times New Roman" w:hAnsi="Times New Roman"/>
          <w:sz w:val="24"/>
          <w:szCs w:val="24"/>
        </w:rPr>
        <w:t>умањења</w:t>
      </w:r>
      <w:r w:rsidR="00535ACD" w:rsidRPr="004122E2">
        <w:rPr>
          <w:rFonts w:ascii="Times New Roman" w:hAnsi="Times New Roman"/>
          <w:sz w:val="24"/>
          <w:szCs w:val="24"/>
        </w:rPr>
        <w:t xml:space="preserve"> </w:t>
      </w:r>
      <w:r w:rsidRPr="004122E2">
        <w:rPr>
          <w:rFonts w:ascii="Times New Roman" w:hAnsi="Times New Roman"/>
          <w:sz w:val="24"/>
          <w:szCs w:val="24"/>
        </w:rPr>
        <w:t>мора</w:t>
      </w:r>
      <w:r w:rsidR="00535ACD" w:rsidRPr="004122E2">
        <w:rPr>
          <w:rFonts w:ascii="Times New Roman" w:hAnsi="Times New Roman"/>
          <w:sz w:val="24"/>
          <w:szCs w:val="24"/>
        </w:rPr>
        <w:t xml:space="preserve"> </w:t>
      </w:r>
      <w:r w:rsidRPr="004122E2">
        <w:rPr>
          <w:rFonts w:ascii="Times New Roman" w:hAnsi="Times New Roman"/>
          <w:sz w:val="24"/>
          <w:szCs w:val="24"/>
        </w:rPr>
        <w:t>бити</w:t>
      </w:r>
      <w:r w:rsidR="00535ACD" w:rsidRPr="004122E2">
        <w:rPr>
          <w:rFonts w:ascii="Times New Roman" w:hAnsi="Times New Roman"/>
          <w:sz w:val="24"/>
          <w:szCs w:val="24"/>
        </w:rPr>
        <w:t xml:space="preserve"> </w:t>
      </w:r>
      <w:r w:rsidRPr="004122E2">
        <w:rPr>
          <w:rFonts w:ascii="Times New Roman" w:hAnsi="Times New Roman"/>
          <w:sz w:val="24"/>
          <w:szCs w:val="24"/>
        </w:rPr>
        <w:t>мањи</w:t>
      </w:r>
      <w:r w:rsidR="00535ACD" w:rsidRPr="004122E2">
        <w:rPr>
          <w:rFonts w:ascii="Times New Roman" w:hAnsi="Times New Roman"/>
          <w:sz w:val="24"/>
          <w:szCs w:val="24"/>
        </w:rPr>
        <w:t xml:space="preserve"> </w:t>
      </w:r>
      <w:r w:rsidRPr="004122E2">
        <w:rPr>
          <w:rFonts w:ascii="Times New Roman" w:hAnsi="Times New Roman"/>
          <w:sz w:val="24"/>
          <w:szCs w:val="24"/>
        </w:rPr>
        <w:t>од</w:t>
      </w:r>
      <w:r w:rsidR="00535ACD" w:rsidRPr="004122E2">
        <w:rPr>
          <w:rFonts w:ascii="Times New Roman" w:hAnsi="Times New Roman"/>
          <w:sz w:val="24"/>
          <w:szCs w:val="24"/>
        </w:rPr>
        <w:t xml:space="preserve"> 11.000 </w:t>
      </w:r>
      <w:r w:rsidRPr="004122E2">
        <w:rPr>
          <w:rFonts w:ascii="Times New Roman" w:hAnsi="Times New Roman"/>
          <w:sz w:val="24"/>
          <w:szCs w:val="24"/>
        </w:rPr>
        <w:t>динара</w:t>
      </w:r>
      <w:r w:rsidR="00535ACD" w:rsidRPr="004122E2">
        <w:rPr>
          <w:rFonts w:ascii="Times New Roman" w:hAnsi="Times New Roman"/>
          <w:sz w:val="24"/>
          <w:szCs w:val="24"/>
        </w:rPr>
        <w:t xml:space="preserve"> </w:t>
      </w:r>
      <w:r w:rsidRPr="004122E2">
        <w:rPr>
          <w:rFonts w:ascii="Times New Roman" w:hAnsi="Times New Roman"/>
          <w:sz w:val="24"/>
          <w:szCs w:val="24"/>
        </w:rPr>
        <w:t>месечно</w:t>
      </w:r>
      <w:r w:rsidR="00535ACD" w:rsidRPr="004122E2">
        <w:rPr>
          <w:rFonts w:ascii="Times New Roman" w:hAnsi="Times New Roman"/>
          <w:sz w:val="24"/>
          <w:szCs w:val="24"/>
        </w:rPr>
        <w:t xml:space="preserve">, </w:t>
      </w:r>
      <w:r w:rsidRPr="004122E2">
        <w:rPr>
          <w:rFonts w:ascii="Times New Roman" w:hAnsi="Times New Roman"/>
          <w:sz w:val="24"/>
          <w:szCs w:val="24"/>
        </w:rPr>
        <w:t>односно</w:t>
      </w:r>
      <w:r w:rsidR="00535ACD" w:rsidRPr="004122E2">
        <w:rPr>
          <w:rFonts w:ascii="Times New Roman" w:hAnsi="Times New Roman"/>
          <w:sz w:val="24"/>
          <w:szCs w:val="24"/>
        </w:rPr>
        <w:t xml:space="preserve"> </w:t>
      </w:r>
      <w:r w:rsidRPr="004122E2">
        <w:rPr>
          <w:rFonts w:ascii="Times New Roman" w:hAnsi="Times New Roman"/>
          <w:sz w:val="24"/>
          <w:szCs w:val="24"/>
        </w:rPr>
        <w:t>сразмерно</w:t>
      </w:r>
      <w:r w:rsidR="00535ACD" w:rsidRPr="004122E2">
        <w:rPr>
          <w:rFonts w:ascii="Times New Roman" w:hAnsi="Times New Roman"/>
          <w:sz w:val="24"/>
          <w:szCs w:val="24"/>
        </w:rPr>
        <w:t xml:space="preserve"> </w:t>
      </w:r>
      <w:r w:rsidRPr="004122E2">
        <w:rPr>
          <w:rFonts w:ascii="Times New Roman" w:hAnsi="Times New Roman"/>
          <w:sz w:val="24"/>
          <w:szCs w:val="24"/>
        </w:rPr>
        <w:t>укупном</w:t>
      </w:r>
      <w:r w:rsidR="00535ACD" w:rsidRPr="004122E2">
        <w:rPr>
          <w:rFonts w:ascii="Times New Roman" w:hAnsi="Times New Roman"/>
          <w:sz w:val="24"/>
          <w:szCs w:val="24"/>
        </w:rPr>
        <w:t xml:space="preserve"> </w:t>
      </w:r>
      <w:r w:rsidRPr="004122E2">
        <w:rPr>
          <w:rFonts w:ascii="Times New Roman" w:hAnsi="Times New Roman"/>
          <w:sz w:val="24"/>
          <w:szCs w:val="24"/>
        </w:rPr>
        <w:t>радном</w:t>
      </w:r>
      <w:r w:rsidR="00535ACD" w:rsidRPr="004122E2">
        <w:rPr>
          <w:rFonts w:ascii="Times New Roman" w:hAnsi="Times New Roman"/>
          <w:sz w:val="24"/>
          <w:szCs w:val="24"/>
        </w:rPr>
        <w:t xml:space="preserve"> </w:t>
      </w:r>
      <w:r w:rsidRPr="004122E2">
        <w:rPr>
          <w:rFonts w:ascii="Times New Roman" w:hAnsi="Times New Roman"/>
          <w:sz w:val="24"/>
          <w:szCs w:val="24"/>
        </w:rPr>
        <w:t>времену</w:t>
      </w:r>
      <w:r w:rsidR="00535ACD" w:rsidRPr="004122E2">
        <w:rPr>
          <w:rFonts w:ascii="Times New Roman" w:hAnsi="Times New Roman"/>
          <w:sz w:val="24"/>
          <w:szCs w:val="24"/>
        </w:rPr>
        <w:t xml:space="preserve"> </w:t>
      </w:r>
      <w:r w:rsidRPr="004122E2">
        <w:rPr>
          <w:rFonts w:ascii="Times New Roman" w:hAnsi="Times New Roman"/>
          <w:sz w:val="24"/>
          <w:szCs w:val="24"/>
        </w:rPr>
        <w:t>лица</w:t>
      </w:r>
      <w:r w:rsidR="00535ACD" w:rsidRPr="004122E2">
        <w:rPr>
          <w:rFonts w:ascii="Times New Roman" w:hAnsi="Times New Roman"/>
          <w:sz w:val="24"/>
          <w:szCs w:val="24"/>
        </w:rPr>
        <w:t xml:space="preserve"> </w:t>
      </w:r>
      <w:r w:rsidRPr="004122E2">
        <w:rPr>
          <w:rFonts w:ascii="Times New Roman" w:hAnsi="Times New Roman"/>
          <w:sz w:val="24"/>
          <w:szCs w:val="24"/>
        </w:rPr>
        <w:t>у</w:t>
      </w:r>
      <w:r w:rsidR="00535ACD" w:rsidRPr="004122E2">
        <w:rPr>
          <w:rFonts w:ascii="Times New Roman" w:hAnsi="Times New Roman"/>
          <w:sz w:val="24"/>
          <w:szCs w:val="24"/>
        </w:rPr>
        <w:t xml:space="preserve"> </w:t>
      </w:r>
      <w:r w:rsidRPr="004122E2">
        <w:rPr>
          <w:rFonts w:ascii="Times New Roman" w:hAnsi="Times New Roman"/>
          <w:sz w:val="24"/>
          <w:szCs w:val="24"/>
        </w:rPr>
        <w:t>односу</w:t>
      </w:r>
      <w:r w:rsidR="00535ACD" w:rsidRPr="004122E2">
        <w:rPr>
          <w:rFonts w:ascii="Times New Roman" w:hAnsi="Times New Roman"/>
          <w:sz w:val="24"/>
          <w:szCs w:val="24"/>
        </w:rPr>
        <w:t xml:space="preserve"> </w:t>
      </w:r>
      <w:r w:rsidRPr="004122E2">
        <w:rPr>
          <w:rFonts w:ascii="Times New Roman" w:hAnsi="Times New Roman"/>
          <w:sz w:val="24"/>
          <w:szCs w:val="24"/>
        </w:rPr>
        <w:t>на</w:t>
      </w:r>
      <w:r w:rsidR="00535ACD" w:rsidRPr="004122E2">
        <w:rPr>
          <w:rFonts w:ascii="Times New Roman" w:hAnsi="Times New Roman"/>
          <w:sz w:val="24"/>
          <w:szCs w:val="24"/>
        </w:rPr>
        <w:t xml:space="preserve"> </w:t>
      </w:r>
      <w:r w:rsidRPr="004122E2">
        <w:rPr>
          <w:rFonts w:ascii="Times New Roman" w:hAnsi="Times New Roman"/>
          <w:sz w:val="24"/>
          <w:szCs w:val="24"/>
        </w:rPr>
        <w:t>пуно</w:t>
      </w:r>
      <w:r w:rsidR="00535ACD" w:rsidRPr="004122E2">
        <w:rPr>
          <w:rFonts w:ascii="Times New Roman" w:hAnsi="Times New Roman"/>
          <w:sz w:val="24"/>
          <w:szCs w:val="24"/>
        </w:rPr>
        <w:t xml:space="preserve"> </w:t>
      </w:r>
      <w:r w:rsidRPr="004122E2">
        <w:rPr>
          <w:rFonts w:ascii="Times New Roman" w:hAnsi="Times New Roman"/>
          <w:sz w:val="24"/>
          <w:szCs w:val="24"/>
        </w:rPr>
        <w:t>радно</w:t>
      </w:r>
      <w:r w:rsidR="00535ACD" w:rsidRPr="004122E2">
        <w:rPr>
          <w:rFonts w:ascii="Times New Roman" w:hAnsi="Times New Roman"/>
          <w:sz w:val="24"/>
          <w:szCs w:val="24"/>
        </w:rPr>
        <w:t xml:space="preserve"> </w:t>
      </w:r>
      <w:r w:rsidRPr="004122E2">
        <w:rPr>
          <w:rFonts w:ascii="Times New Roman" w:hAnsi="Times New Roman"/>
          <w:sz w:val="24"/>
          <w:szCs w:val="24"/>
        </w:rPr>
        <w:t>време</w:t>
      </w:r>
      <w:r w:rsidR="00535ACD" w:rsidRPr="004122E2">
        <w:rPr>
          <w:rFonts w:ascii="Times New Roman" w:hAnsi="Times New Roman"/>
          <w:sz w:val="24"/>
          <w:szCs w:val="24"/>
        </w:rPr>
        <w:t>.</w:t>
      </w:r>
    </w:p>
    <w:p w:rsidR="00F01F96" w:rsidRPr="004122E2" w:rsidRDefault="00BC7AAF" w:rsidP="004122E2">
      <w:pPr>
        <w:ind w:firstLine="708"/>
        <w:jc w:val="both"/>
        <w:rPr>
          <w:rFonts w:ascii="Times New Roman" w:hAnsi="Times New Roman"/>
          <w:sz w:val="24"/>
          <w:szCs w:val="24"/>
          <w:lang w:val="sr-Cyrl-CS"/>
        </w:rPr>
      </w:pPr>
      <w:r w:rsidRPr="004122E2">
        <w:rPr>
          <w:rFonts w:ascii="Times New Roman" w:hAnsi="Times New Roman"/>
          <w:sz w:val="24"/>
          <w:szCs w:val="24"/>
        </w:rPr>
        <w:t>За</w:t>
      </w:r>
      <w:r w:rsidR="004354A1" w:rsidRPr="004122E2">
        <w:rPr>
          <w:rFonts w:ascii="Times New Roman" w:hAnsi="Times New Roman"/>
          <w:sz w:val="24"/>
          <w:szCs w:val="24"/>
        </w:rPr>
        <w:t xml:space="preserve"> </w:t>
      </w:r>
      <w:r w:rsidRPr="004122E2">
        <w:rPr>
          <w:rFonts w:ascii="Times New Roman" w:hAnsi="Times New Roman"/>
          <w:sz w:val="24"/>
          <w:szCs w:val="24"/>
        </w:rPr>
        <w:t>физичка</w:t>
      </w:r>
      <w:r w:rsidR="004354A1" w:rsidRPr="004122E2">
        <w:rPr>
          <w:rFonts w:ascii="Times New Roman" w:hAnsi="Times New Roman"/>
          <w:sz w:val="24"/>
          <w:szCs w:val="24"/>
        </w:rPr>
        <w:t xml:space="preserve"> </w:t>
      </w:r>
      <w:r w:rsidRPr="004122E2">
        <w:rPr>
          <w:rFonts w:ascii="Times New Roman" w:hAnsi="Times New Roman"/>
          <w:sz w:val="24"/>
          <w:szCs w:val="24"/>
        </w:rPr>
        <w:t>лица</w:t>
      </w:r>
      <w:r w:rsidR="004354A1" w:rsidRPr="004122E2">
        <w:rPr>
          <w:rFonts w:ascii="Times New Roman" w:hAnsi="Times New Roman"/>
          <w:sz w:val="24"/>
          <w:szCs w:val="24"/>
        </w:rPr>
        <w:t xml:space="preserve"> – </w:t>
      </w:r>
      <w:r w:rsidRPr="004122E2">
        <w:rPr>
          <w:rFonts w:ascii="Times New Roman" w:hAnsi="Times New Roman"/>
          <w:sz w:val="24"/>
          <w:szCs w:val="24"/>
        </w:rPr>
        <w:t>резидент</w:t>
      </w:r>
      <w:r w:rsidR="004354A1" w:rsidRPr="004122E2">
        <w:rPr>
          <w:rFonts w:ascii="Times New Roman" w:hAnsi="Times New Roman"/>
          <w:sz w:val="24"/>
          <w:szCs w:val="24"/>
          <w:lang w:val="sr-Cyrl-CS"/>
        </w:rPr>
        <w:t>е Србије</w:t>
      </w:r>
      <w:r w:rsidR="004354A1" w:rsidRPr="004122E2">
        <w:rPr>
          <w:rFonts w:ascii="Times New Roman" w:hAnsi="Times New Roman"/>
          <w:sz w:val="24"/>
          <w:szCs w:val="24"/>
        </w:rPr>
        <w:t xml:space="preserve"> </w:t>
      </w:r>
      <w:r w:rsidRPr="004122E2">
        <w:rPr>
          <w:rFonts w:ascii="Times New Roman" w:hAnsi="Times New Roman"/>
          <w:sz w:val="24"/>
          <w:szCs w:val="24"/>
        </w:rPr>
        <w:t>који</w:t>
      </w:r>
      <w:r w:rsidR="004354A1" w:rsidRPr="004122E2">
        <w:rPr>
          <w:rFonts w:ascii="Times New Roman" w:hAnsi="Times New Roman"/>
          <w:sz w:val="24"/>
          <w:szCs w:val="24"/>
        </w:rPr>
        <w:t xml:space="preserve"> </w:t>
      </w:r>
      <w:r w:rsidRPr="004122E2">
        <w:rPr>
          <w:rFonts w:ascii="Times New Roman" w:hAnsi="Times New Roman"/>
          <w:sz w:val="24"/>
          <w:szCs w:val="24"/>
        </w:rPr>
        <w:t>су</w:t>
      </w:r>
      <w:r w:rsidR="004354A1" w:rsidRPr="004122E2">
        <w:rPr>
          <w:rFonts w:ascii="Times New Roman" w:hAnsi="Times New Roman"/>
          <w:sz w:val="24"/>
          <w:szCs w:val="24"/>
        </w:rPr>
        <w:t xml:space="preserve"> </w:t>
      </w:r>
      <w:r w:rsidRPr="004122E2">
        <w:rPr>
          <w:rFonts w:ascii="Times New Roman" w:hAnsi="Times New Roman"/>
          <w:sz w:val="24"/>
          <w:szCs w:val="24"/>
        </w:rPr>
        <w:t>упућени</w:t>
      </w:r>
      <w:r w:rsidR="004354A1" w:rsidRPr="004122E2">
        <w:rPr>
          <w:rFonts w:ascii="Times New Roman" w:hAnsi="Times New Roman"/>
          <w:sz w:val="24"/>
          <w:szCs w:val="24"/>
        </w:rPr>
        <w:t xml:space="preserve"> </w:t>
      </w:r>
      <w:r w:rsidRPr="004122E2">
        <w:rPr>
          <w:rFonts w:ascii="Times New Roman" w:hAnsi="Times New Roman"/>
          <w:sz w:val="24"/>
          <w:szCs w:val="24"/>
        </w:rPr>
        <w:t>у</w:t>
      </w:r>
      <w:r w:rsidR="004354A1" w:rsidRPr="004122E2">
        <w:rPr>
          <w:rFonts w:ascii="Times New Roman" w:hAnsi="Times New Roman"/>
          <w:sz w:val="24"/>
          <w:szCs w:val="24"/>
        </w:rPr>
        <w:t xml:space="preserve"> </w:t>
      </w:r>
      <w:r w:rsidRPr="004122E2">
        <w:rPr>
          <w:rFonts w:ascii="Times New Roman" w:hAnsi="Times New Roman"/>
          <w:sz w:val="24"/>
          <w:szCs w:val="24"/>
        </w:rPr>
        <w:t>иностранство</w:t>
      </w:r>
      <w:r w:rsidR="004354A1" w:rsidRPr="004122E2">
        <w:rPr>
          <w:rFonts w:ascii="Times New Roman" w:hAnsi="Times New Roman"/>
          <w:sz w:val="24"/>
          <w:szCs w:val="24"/>
        </w:rPr>
        <w:t xml:space="preserve"> </w:t>
      </w:r>
      <w:r w:rsidRPr="004122E2">
        <w:rPr>
          <w:rFonts w:ascii="Times New Roman" w:hAnsi="Times New Roman"/>
          <w:sz w:val="24"/>
          <w:szCs w:val="24"/>
        </w:rPr>
        <w:t>ради</w:t>
      </w:r>
      <w:r w:rsidR="004354A1" w:rsidRPr="004122E2">
        <w:rPr>
          <w:rFonts w:ascii="Times New Roman" w:hAnsi="Times New Roman"/>
          <w:sz w:val="24"/>
          <w:szCs w:val="24"/>
        </w:rPr>
        <w:t xml:space="preserve"> </w:t>
      </w:r>
      <w:r w:rsidRPr="004122E2">
        <w:rPr>
          <w:rFonts w:ascii="Times New Roman" w:hAnsi="Times New Roman"/>
          <w:sz w:val="24"/>
          <w:szCs w:val="24"/>
        </w:rPr>
        <w:t>обављања</w:t>
      </w:r>
      <w:r w:rsidR="004354A1" w:rsidRPr="004122E2">
        <w:rPr>
          <w:rFonts w:ascii="Times New Roman" w:hAnsi="Times New Roman"/>
          <w:sz w:val="24"/>
          <w:szCs w:val="24"/>
        </w:rPr>
        <w:t xml:space="preserve"> </w:t>
      </w:r>
      <w:r w:rsidRPr="004122E2">
        <w:rPr>
          <w:rFonts w:ascii="Times New Roman" w:hAnsi="Times New Roman"/>
          <w:sz w:val="24"/>
          <w:szCs w:val="24"/>
        </w:rPr>
        <w:t>послова</w:t>
      </w:r>
      <w:r w:rsidR="004354A1" w:rsidRPr="004122E2">
        <w:rPr>
          <w:rFonts w:ascii="Times New Roman" w:hAnsi="Times New Roman"/>
          <w:sz w:val="24"/>
          <w:szCs w:val="24"/>
        </w:rPr>
        <w:t xml:space="preserve"> </w:t>
      </w:r>
      <w:r w:rsidRPr="004122E2">
        <w:rPr>
          <w:rFonts w:ascii="Times New Roman" w:hAnsi="Times New Roman"/>
          <w:sz w:val="24"/>
          <w:szCs w:val="24"/>
        </w:rPr>
        <w:t>за</w:t>
      </w:r>
      <w:r w:rsidR="004354A1" w:rsidRPr="004122E2">
        <w:rPr>
          <w:rFonts w:ascii="Times New Roman" w:hAnsi="Times New Roman"/>
          <w:sz w:val="24"/>
          <w:szCs w:val="24"/>
        </w:rPr>
        <w:t xml:space="preserve"> </w:t>
      </w:r>
      <w:r w:rsidRPr="004122E2">
        <w:rPr>
          <w:rFonts w:ascii="Times New Roman" w:hAnsi="Times New Roman"/>
          <w:sz w:val="24"/>
          <w:szCs w:val="24"/>
        </w:rPr>
        <w:t>правна</w:t>
      </w:r>
      <w:r w:rsidR="004354A1" w:rsidRPr="004122E2">
        <w:rPr>
          <w:rFonts w:ascii="Times New Roman" w:hAnsi="Times New Roman"/>
          <w:sz w:val="24"/>
          <w:szCs w:val="24"/>
        </w:rPr>
        <w:t xml:space="preserve"> </w:t>
      </w:r>
      <w:r w:rsidRPr="004122E2">
        <w:rPr>
          <w:rFonts w:ascii="Times New Roman" w:hAnsi="Times New Roman"/>
          <w:sz w:val="24"/>
          <w:szCs w:val="24"/>
        </w:rPr>
        <w:t>лица</w:t>
      </w:r>
      <w:r w:rsidR="004354A1" w:rsidRPr="004122E2">
        <w:rPr>
          <w:rFonts w:ascii="Times New Roman" w:hAnsi="Times New Roman"/>
          <w:sz w:val="24"/>
          <w:szCs w:val="24"/>
        </w:rPr>
        <w:t xml:space="preserve"> - </w:t>
      </w:r>
      <w:r w:rsidRPr="004122E2">
        <w:rPr>
          <w:rFonts w:ascii="Times New Roman" w:hAnsi="Times New Roman"/>
          <w:sz w:val="24"/>
          <w:szCs w:val="24"/>
        </w:rPr>
        <w:t>резиденте</w:t>
      </w:r>
      <w:r w:rsidR="004354A1" w:rsidRPr="004122E2">
        <w:rPr>
          <w:rFonts w:ascii="Times New Roman" w:hAnsi="Times New Roman"/>
          <w:sz w:val="24"/>
          <w:szCs w:val="24"/>
        </w:rPr>
        <w:t xml:space="preserve"> </w:t>
      </w:r>
      <w:r w:rsidR="004354A1" w:rsidRPr="004122E2">
        <w:rPr>
          <w:rFonts w:ascii="Times New Roman" w:hAnsi="Times New Roman"/>
          <w:sz w:val="24"/>
          <w:szCs w:val="24"/>
          <w:lang w:val="sr-Cyrl-CS"/>
        </w:rPr>
        <w:t>Србије</w:t>
      </w:r>
      <w:r w:rsidR="004354A1" w:rsidRPr="004122E2">
        <w:rPr>
          <w:rFonts w:ascii="Times New Roman" w:hAnsi="Times New Roman"/>
          <w:sz w:val="24"/>
          <w:szCs w:val="24"/>
        </w:rPr>
        <w:t xml:space="preserve">, </w:t>
      </w:r>
      <w:r w:rsidRPr="004122E2">
        <w:rPr>
          <w:rFonts w:ascii="Times New Roman" w:hAnsi="Times New Roman"/>
          <w:sz w:val="24"/>
          <w:szCs w:val="24"/>
        </w:rPr>
        <w:t>основицу</w:t>
      </w:r>
      <w:r w:rsidR="004354A1" w:rsidRPr="004122E2">
        <w:rPr>
          <w:rFonts w:ascii="Times New Roman" w:hAnsi="Times New Roman"/>
          <w:sz w:val="24"/>
          <w:szCs w:val="24"/>
        </w:rPr>
        <w:t xml:space="preserve"> </w:t>
      </w:r>
      <w:r w:rsidRPr="004122E2">
        <w:rPr>
          <w:rFonts w:ascii="Times New Roman" w:hAnsi="Times New Roman"/>
          <w:sz w:val="24"/>
          <w:szCs w:val="24"/>
        </w:rPr>
        <w:t>пореза</w:t>
      </w:r>
      <w:r w:rsidR="004354A1" w:rsidRPr="004122E2">
        <w:rPr>
          <w:rFonts w:ascii="Times New Roman" w:hAnsi="Times New Roman"/>
          <w:sz w:val="24"/>
          <w:szCs w:val="24"/>
        </w:rPr>
        <w:t xml:space="preserve"> </w:t>
      </w:r>
      <w:r w:rsidRPr="004122E2">
        <w:rPr>
          <w:rFonts w:ascii="Times New Roman" w:hAnsi="Times New Roman"/>
          <w:sz w:val="24"/>
          <w:szCs w:val="24"/>
        </w:rPr>
        <w:t>на</w:t>
      </w:r>
      <w:r w:rsidR="004354A1" w:rsidRPr="004122E2">
        <w:rPr>
          <w:rFonts w:ascii="Times New Roman" w:hAnsi="Times New Roman"/>
          <w:sz w:val="24"/>
          <w:szCs w:val="24"/>
        </w:rPr>
        <w:t xml:space="preserve"> </w:t>
      </w:r>
      <w:r w:rsidRPr="004122E2">
        <w:rPr>
          <w:rFonts w:ascii="Times New Roman" w:hAnsi="Times New Roman"/>
          <w:sz w:val="24"/>
          <w:szCs w:val="24"/>
        </w:rPr>
        <w:t>зараде</w:t>
      </w:r>
      <w:r w:rsidR="004354A1" w:rsidRPr="004122E2">
        <w:rPr>
          <w:rFonts w:ascii="Times New Roman" w:hAnsi="Times New Roman"/>
          <w:sz w:val="24"/>
          <w:szCs w:val="24"/>
        </w:rPr>
        <w:t xml:space="preserve"> </w:t>
      </w:r>
      <w:r w:rsidRPr="004122E2">
        <w:rPr>
          <w:rFonts w:ascii="Times New Roman" w:hAnsi="Times New Roman"/>
          <w:sz w:val="24"/>
          <w:szCs w:val="24"/>
        </w:rPr>
        <w:t>чини</w:t>
      </w:r>
      <w:r w:rsidR="004354A1" w:rsidRPr="004122E2">
        <w:rPr>
          <w:rFonts w:ascii="Times New Roman" w:hAnsi="Times New Roman"/>
          <w:sz w:val="24"/>
          <w:szCs w:val="24"/>
        </w:rPr>
        <w:t xml:space="preserve"> </w:t>
      </w:r>
      <w:r w:rsidRPr="004122E2">
        <w:rPr>
          <w:rFonts w:ascii="Times New Roman" w:hAnsi="Times New Roman"/>
          <w:sz w:val="24"/>
          <w:szCs w:val="24"/>
        </w:rPr>
        <w:t>исплаћени</w:t>
      </w:r>
      <w:r w:rsidR="004354A1" w:rsidRPr="004122E2">
        <w:rPr>
          <w:rFonts w:ascii="Times New Roman" w:hAnsi="Times New Roman"/>
          <w:sz w:val="24"/>
          <w:szCs w:val="24"/>
        </w:rPr>
        <w:t xml:space="preserve"> </w:t>
      </w:r>
      <w:r w:rsidRPr="004122E2">
        <w:rPr>
          <w:rFonts w:ascii="Times New Roman" w:hAnsi="Times New Roman"/>
          <w:sz w:val="24"/>
          <w:szCs w:val="24"/>
        </w:rPr>
        <w:t>новчани</w:t>
      </w:r>
      <w:r w:rsidR="004354A1" w:rsidRPr="004122E2">
        <w:rPr>
          <w:rFonts w:ascii="Times New Roman" w:hAnsi="Times New Roman"/>
          <w:sz w:val="24"/>
          <w:szCs w:val="24"/>
        </w:rPr>
        <w:t xml:space="preserve"> </w:t>
      </w:r>
      <w:r w:rsidRPr="004122E2">
        <w:rPr>
          <w:rFonts w:ascii="Times New Roman" w:hAnsi="Times New Roman"/>
          <w:sz w:val="24"/>
          <w:szCs w:val="24"/>
        </w:rPr>
        <w:t>износ</w:t>
      </w:r>
      <w:r w:rsidR="004354A1" w:rsidRPr="004122E2">
        <w:rPr>
          <w:rFonts w:ascii="Times New Roman" w:hAnsi="Times New Roman"/>
          <w:sz w:val="24"/>
          <w:szCs w:val="24"/>
        </w:rPr>
        <w:t xml:space="preserve"> </w:t>
      </w:r>
      <w:r w:rsidRPr="004122E2">
        <w:rPr>
          <w:rFonts w:ascii="Times New Roman" w:hAnsi="Times New Roman"/>
          <w:sz w:val="24"/>
          <w:szCs w:val="24"/>
        </w:rPr>
        <w:t>зараде</w:t>
      </w:r>
      <w:r w:rsidR="004354A1" w:rsidRPr="004122E2">
        <w:rPr>
          <w:rFonts w:ascii="Times New Roman" w:hAnsi="Times New Roman"/>
          <w:sz w:val="24"/>
          <w:szCs w:val="24"/>
        </w:rPr>
        <w:t xml:space="preserve"> </w:t>
      </w:r>
      <w:r w:rsidRPr="004122E2">
        <w:rPr>
          <w:rFonts w:ascii="Times New Roman" w:hAnsi="Times New Roman"/>
          <w:sz w:val="24"/>
          <w:szCs w:val="24"/>
        </w:rPr>
        <w:t>за</w:t>
      </w:r>
      <w:r w:rsidR="004354A1" w:rsidRPr="004122E2">
        <w:rPr>
          <w:rFonts w:ascii="Times New Roman" w:hAnsi="Times New Roman"/>
          <w:sz w:val="24"/>
          <w:szCs w:val="24"/>
        </w:rPr>
        <w:t xml:space="preserve"> </w:t>
      </w:r>
      <w:r w:rsidRPr="004122E2">
        <w:rPr>
          <w:rFonts w:ascii="Times New Roman" w:hAnsi="Times New Roman"/>
          <w:sz w:val="24"/>
          <w:szCs w:val="24"/>
        </w:rPr>
        <w:t>извршени</w:t>
      </w:r>
      <w:r w:rsidR="004354A1" w:rsidRPr="004122E2">
        <w:rPr>
          <w:rFonts w:ascii="Times New Roman" w:hAnsi="Times New Roman"/>
          <w:sz w:val="24"/>
          <w:szCs w:val="24"/>
        </w:rPr>
        <w:t xml:space="preserve"> </w:t>
      </w:r>
      <w:r w:rsidRPr="004122E2">
        <w:rPr>
          <w:rFonts w:ascii="Times New Roman" w:hAnsi="Times New Roman"/>
          <w:sz w:val="24"/>
          <w:szCs w:val="24"/>
        </w:rPr>
        <w:t>рад</w:t>
      </w:r>
      <w:r w:rsidR="004354A1" w:rsidRPr="004122E2">
        <w:rPr>
          <w:rFonts w:ascii="Times New Roman" w:hAnsi="Times New Roman"/>
          <w:sz w:val="24"/>
          <w:szCs w:val="24"/>
        </w:rPr>
        <w:t>.</w:t>
      </w:r>
      <w:r w:rsidR="004354A1" w:rsidRPr="004122E2">
        <w:rPr>
          <w:rFonts w:ascii="Times New Roman" w:hAnsi="Times New Roman"/>
          <w:sz w:val="24"/>
          <w:szCs w:val="24"/>
          <w:lang w:val="sr-Cyrl-CS"/>
        </w:rPr>
        <w:t xml:space="preserve"> </w:t>
      </w:r>
    </w:p>
    <w:p w:rsidR="004354A1" w:rsidRPr="004122E2" w:rsidRDefault="004354A1" w:rsidP="004122E2">
      <w:pPr>
        <w:jc w:val="both"/>
        <w:rPr>
          <w:rFonts w:ascii="Times New Roman" w:hAnsi="Times New Roman"/>
          <w:sz w:val="24"/>
          <w:szCs w:val="24"/>
          <w:lang w:val="sr-Cyrl-CS"/>
        </w:rPr>
      </w:pPr>
      <w:r w:rsidRPr="004122E2">
        <w:rPr>
          <w:rFonts w:ascii="Times New Roman" w:hAnsi="Times New Roman"/>
          <w:sz w:val="24"/>
          <w:szCs w:val="24"/>
          <w:lang w:val="sr-Cyrl-CS"/>
        </w:rPr>
        <w:tab/>
        <w:t>Пореска ослобођења према ЗПДГ су бројна. Тако су од пореза на зараде ослобођене</w:t>
      </w:r>
      <w:r w:rsidR="004122E2">
        <w:rPr>
          <w:rFonts w:ascii="Times New Roman" w:hAnsi="Times New Roman"/>
          <w:sz w:val="24"/>
          <w:szCs w:val="24"/>
          <w:lang w:val="sr-Cyrl-CS"/>
        </w:rPr>
        <w:t xml:space="preserve"> </w:t>
      </w:r>
      <w:r w:rsidR="00BC7AAF" w:rsidRPr="004122E2">
        <w:rPr>
          <w:rFonts w:ascii="Times New Roman" w:hAnsi="Times New Roman"/>
          <w:sz w:val="24"/>
          <w:szCs w:val="24"/>
          <w:shd w:val="clear" w:color="auto" w:fill="FFFFFF"/>
        </w:rPr>
        <w:t>зараде</w:t>
      </w:r>
      <w:r w:rsidRPr="004122E2">
        <w:rPr>
          <w:rFonts w:ascii="Times New Roman" w:hAnsi="Times New Roman"/>
          <w:sz w:val="24"/>
          <w:szCs w:val="24"/>
          <w:shd w:val="clear" w:color="auto" w:fill="FFFFFF"/>
        </w:rPr>
        <w:t xml:space="preserve"> </w:t>
      </w:r>
      <w:r w:rsidR="00BC7AAF" w:rsidRPr="004122E2">
        <w:rPr>
          <w:rFonts w:ascii="Times New Roman" w:hAnsi="Times New Roman"/>
          <w:sz w:val="24"/>
          <w:szCs w:val="24"/>
          <w:shd w:val="clear" w:color="auto" w:fill="FFFFFF"/>
        </w:rPr>
        <w:t>остварене</w:t>
      </w:r>
      <w:r w:rsidRPr="004122E2">
        <w:rPr>
          <w:rFonts w:ascii="Times New Roman" w:hAnsi="Times New Roman"/>
          <w:sz w:val="24"/>
          <w:szCs w:val="24"/>
          <w:shd w:val="clear" w:color="auto" w:fill="FFFFFF"/>
        </w:rPr>
        <w:t xml:space="preserve"> </w:t>
      </w:r>
      <w:r w:rsidR="00BC7AAF" w:rsidRPr="004122E2">
        <w:rPr>
          <w:rFonts w:ascii="Times New Roman" w:hAnsi="Times New Roman"/>
          <w:sz w:val="24"/>
          <w:szCs w:val="24"/>
          <w:shd w:val="clear" w:color="auto" w:fill="FFFFFF"/>
        </w:rPr>
        <w:t>за</w:t>
      </w:r>
      <w:r w:rsidRPr="004122E2">
        <w:rPr>
          <w:rFonts w:ascii="Times New Roman" w:hAnsi="Times New Roman"/>
          <w:sz w:val="24"/>
          <w:szCs w:val="24"/>
          <w:shd w:val="clear" w:color="auto" w:fill="FFFFFF"/>
        </w:rPr>
        <w:t xml:space="preserve"> </w:t>
      </w:r>
      <w:r w:rsidR="00BC7AAF" w:rsidRPr="004122E2">
        <w:rPr>
          <w:rFonts w:ascii="Times New Roman" w:hAnsi="Times New Roman"/>
          <w:sz w:val="24"/>
          <w:szCs w:val="24"/>
          <w:shd w:val="clear" w:color="auto" w:fill="FFFFFF"/>
        </w:rPr>
        <w:t>рад</w:t>
      </w:r>
      <w:r w:rsidRPr="004122E2">
        <w:rPr>
          <w:rFonts w:ascii="Times New Roman" w:hAnsi="Times New Roman"/>
          <w:sz w:val="24"/>
          <w:szCs w:val="24"/>
          <w:shd w:val="clear" w:color="auto" w:fill="FFFFFF"/>
        </w:rPr>
        <w:t xml:space="preserve"> </w:t>
      </w:r>
      <w:r w:rsidR="00BC7AAF" w:rsidRPr="004122E2">
        <w:rPr>
          <w:rFonts w:ascii="Times New Roman" w:hAnsi="Times New Roman"/>
          <w:sz w:val="24"/>
          <w:szCs w:val="24"/>
          <w:shd w:val="clear" w:color="auto" w:fill="FFFFFF"/>
        </w:rPr>
        <w:t>у</w:t>
      </w:r>
      <w:r w:rsidRPr="004122E2">
        <w:rPr>
          <w:rFonts w:ascii="Times New Roman" w:hAnsi="Times New Roman"/>
          <w:sz w:val="24"/>
          <w:szCs w:val="24"/>
          <w:shd w:val="clear" w:color="auto" w:fill="FFFFFF"/>
        </w:rPr>
        <w:t xml:space="preserve"> </w:t>
      </w:r>
      <w:r w:rsidR="00BC7AAF" w:rsidRPr="004122E2">
        <w:rPr>
          <w:rFonts w:ascii="Times New Roman" w:hAnsi="Times New Roman"/>
          <w:sz w:val="24"/>
          <w:szCs w:val="24"/>
          <w:shd w:val="clear" w:color="auto" w:fill="FFFFFF"/>
        </w:rPr>
        <w:t>страним</w:t>
      </w:r>
      <w:r w:rsidRPr="004122E2">
        <w:rPr>
          <w:rFonts w:ascii="Times New Roman" w:hAnsi="Times New Roman"/>
          <w:sz w:val="24"/>
          <w:szCs w:val="24"/>
          <w:shd w:val="clear" w:color="auto" w:fill="FFFFFF"/>
        </w:rPr>
        <w:t xml:space="preserve"> </w:t>
      </w:r>
      <w:r w:rsidR="00BC7AAF" w:rsidRPr="004122E2">
        <w:rPr>
          <w:rFonts w:ascii="Times New Roman" w:hAnsi="Times New Roman"/>
          <w:sz w:val="24"/>
          <w:szCs w:val="24"/>
          <w:shd w:val="clear" w:color="auto" w:fill="FFFFFF"/>
        </w:rPr>
        <w:t>дипломатским</w:t>
      </w:r>
      <w:r w:rsidRPr="004122E2">
        <w:rPr>
          <w:rFonts w:ascii="Times New Roman" w:hAnsi="Times New Roman"/>
          <w:sz w:val="24"/>
          <w:szCs w:val="24"/>
          <w:shd w:val="clear" w:color="auto" w:fill="FFFFFF"/>
        </w:rPr>
        <w:t xml:space="preserve"> </w:t>
      </w:r>
      <w:r w:rsidR="00BC7AAF" w:rsidRPr="004122E2">
        <w:rPr>
          <w:rFonts w:ascii="Times New Roman" w:hAnsi="Times New Roman"/>
          <w:sz w:val="24"/>
          <w:szCs w:val="24"/>
          <w:shd w:val="clear" w:color="auto" w:fill="FFFFFF"/>
        </w:rPr>
        <w:t>и</w:t>
      </w:r>
      <w:r w:rsidRPr="004122E2">
        <w:rPr>
          <w:rFonts w:ascii="Times New Roman" w:hAnsi="Times New Roman"/>
          <w:sz w:val="24"/>
          <w:szCs w:val="24"/>
          <w:shd w:val="clear" w:color="auto" w:fill="FFFFFF"/>
        </w:rPr>
        <w:t xml:space="preserve"> </w:t>
      </w:r>
      <w:r w:rsidR="00BC7AAF" w:rsidRPr="004122E2">
        <w:rPr>
          <w:rFonts w:ascii="Times New Roman" w:hAnsi="Times New Roman"/>
          <w:sz w:val="24"/>
          <w:szCs w:val="24"/>
          <w:shd w:val="clear" w:color="auto" w:fill="FFFFFF"/>
        </w:rPr>
        <w:t>конзуларним</w:t>
      </w:r>
      <w:r w:rsidRPr="004122E2">
        <w:rPr>
          <w:rFonts w:ascii="Times New Roman" w:hAnsi="Times New Roman"/>
          <w:sz w:val="24"/>
          <w:szCs w:val="24"/>
          <w:shd w:val="clear" w:color="auto" w:fill="FFFFFF"/>
        </w:rPr>
        <w:t xml:space="preserve"> </w:t>
      </w:r>
      <w:r w:rsidR="00BC7AAF" w:rsidRPr="004122E2">
        <w:rPr>
          <w:rFonts w:ascii="Times New Roman" w:hAnsi="Times New Roman"/>
          <w:sz w:val="24"/>
          <w:szCs w:val="24"/>
          <w:shd w:val="clear" w:color="auto" w:fill="FFFFFF"/>
        </w:rPr>
        <w:t>представништвима</w:t>
      </w:r>
      <w:r w:rsidRPr="004122E2">
        <w:rPr>
          <w:rFonts w:ascii="Times New Roman" w:hAnsi="Times New Roman"/>
          <w:sz w:val="24"/>
          <w:szCs w:val="24"/>
          <w:shd w:val="clear" w:color="auto" w:fill="FFFFFF"/>
        </w:rPr>
        <w:t xml:space="preserve"> </w:t>
      </w:r>
      <w:r w:rsidR="00BC7AAF" w:rsidRPr="004122E2">
        <w:rPr>
          <w:rFonts w:ascii="Times New Roman" w:hAnsi="Times New Roman"/>
          <w:sz w:val="24"/>
          <w:szCs w:val="24"/>
          <w:shd w:val="clear" w:color="auto" w:fill="FFFFFF"/>
        </w:rPr>
        <w:t>или</w:t>
      </w:r>
      <w:r w:rsidRPr="004122E2">
        <w:rPr>
          <w:rFonts w:ascii="Times New Roman" w:hAnsi="Times New Roman"/>
          <w:sz w:val="24"/>
          <w:szCs w:val="24"/>
          <w:shd w:val="clear" w:color="auto" w:fill="FFFFFF"/>
        </w:rPr>
        <w:t xml:space="preserve"> </w:t>
      </w:r>
      <w:r w:rsidR="00BC7AAF" w:rsidRPr="004122E2">
        <w:rPr>
          <w:rFonts w:ascii="Times New Roman" w:hAnsi="Times New Roman"/>
          <w:sz w:val="24"/>
          <w:szCs w:val="24"/>
          <w:shd w:val="clear" w:color="auto" w:fill="FFFFFF"/>
        </w:rPr>
        <w:t>међународним</w:t>
      </w:r>
      <w:r w:rsidRPr="004122E2">
        <w:rPr>
          <w:rFonts w:ascii="Times New Roman" w:hAnsi="Times New Roman"/>
          <w:sz w:val="24"/>
          <w:szCs w:val="24"/>
          <w:shd w:val="clear" w:color="auto" w:fill="FFFFFF"/>
        </w:rPr>
        <w:t xml:space="preserve"> </w:t>
      </w:r>
      <w:r w:rsidR="00BC7AAF" w:rsidRPr="004122E2">
        <w:rPr>
          <w:rFonts w:ascii="Times New Roman" w:hAnsi="Times New Roman"/>
          <w:sz w:val="24"/>
          <w:szCs w:val="24"/>
          <w:shd w:val="clear" w:color="auto" w:fill="FFFFFF"/>
        </w:rPr>
        <w:t>организацијама</w:t>
      </w:r>
      <w:r w:rsidRPr="004122E2">
        <w:rPr>
          <w:rFonts w:ascii="Times New Roman" w:hAnsi="Times New Roman"/>
          <w:sz w:val="24"/>
          <w:szCs w:val="24"/>
          <w:shd w:val="clear" w:color="auto" w:fill="FFFFFF"/>
        </w:rPr>
        <w:t xml:space="preserve">, </w:t>
      </w:r>
      <w:r w:rsidR="00BC7AAF" w:rsidRPr="004122E2">
        <w:rPr>
          <w:rFonts w:ascii="Times New Roman" w:hAnsi="Times New Roman"/>
          <w:sz w:val="24"/>
          <w:szCs w:val="24"/>
          <w:shd w:val="clear" w:color="auto" w:fill="FFFFFF"/>
        </w:rPr>
        <w:t>односно</w:t>
      </w:r>
      <w:r w:rsidRPr="004122E2">
        <w:rPr>
          <w:rFonts w:ascii="Times New Roman" w:hAnsi="Times New Roman"/>
          <w:sz w:val="24"/>
          <w:szCs w:val="24"/>
          <w:shd w:val="clear" w:color="auto" w:fill="FFFFFF"/>
        </w:rPr>
        <w:t xml:space="preserve"> </w:t>
      </w:r>
      <w:r w:rsidR="00BC7AAF" w:rsidRPr="004122E2">
        <w:rPr>
          <w:rFonts w:ascii="Times New Roman" w:hAnsi="Times New Roman"/>
          <w:sz w:val="24"/>
          <w:szCs w:val="24"/>
          <w:shd w:val="clear" w:color="auto" w:fill="FFFFFF"/>
        </w:rPr>
        <w:t>код</w:t>
      </w:r>
      <w:r w:rsidRPr="004122E2">
        <w:rPr>
          <w:rFonts w:ascii="Times New Roman" w:hAnsi="Times New Roman"/>
          <w:sz w:val="24"/>
          <w:szCs w:val="24"/>
          <w:shd w:val="clear" w:color="auto" w:fill="FFFFFF"/>
        </w:rPr>
        <w:t xml:space="preserve"> </w:t>
      </w:r>
      <w:r w:rsidR="00BC7AAF" w:rsidRPr="004122E2">
        <w:rPr>
          <w:rFonts w:ascii="Times New Roman" w:hAnsi="Times New Roman"/>
          <w:sz w:val="24"/>
          <w:szCs w:val="24"/>
          <w:shd w:val="clear" w:color="auto" w:fill="FFFFFF"/>
        </w:rPr>
        <w:t>представника</w:t>
      </w:r>
      <w:r w:rsidRPr="004122E2">
        <w:rPr>
          <w:rFonts w:ascii="Times New Roman" w:hAnsi="Times New Roman"/>
          <w:sz w:val="24"/>
          <w:szCs w:val="24"/>
          <w:shd w:val="clear" w:color="auto" w:fill="FFFFFF"/>
        </w:rPr>
        <w:t xml:space="preserve"> </w:t>
      </w:r>
      <w:r w:rsidR="00BC7AAF" w:rsidRPr="004122E2">
        <w:rPr>
          <w:rFonts w:ascii="Times New Roman" w:hAnsi="Times New Roman"/>
          <w:sz w:val="24"/>
          <w:szCs w:val="24"/>
          <w:shd w:val="clear" w:color="auto" w:fill="FFFFFF"/>
        </w:rPr>
        <w:t>или</w:t>
      </w:r>
      <w:r w:rsidRPr="004122E2">
        <w:rPr>
          <w:rFonts w:ascii="Times New Roman" w:hAnsi="Times New Roman"/>
          <w:sz w:val="24"/>
          <w:szCs w:val="24"/>
          <w:shd w:val="clear" w:color="auto" w:fill="FFFFFF"/>
        </w:rPr>
        <w:t xml:space="preserve"> </w:t>
      </w:r>
      <w:r w:rsidR="00BC7AAF" w:rsidRPr="004122E2">
        <w:rPr>
          <w:rFonts w:ascii="Times New Roman" w:hAnsi="Times New Roman"/>
          <w:sz w:val="24"/>
          <w:szCs w:val="24"/>
          <w:shd w:val="clear" w:color="auto" w:fill="FFFFFF"/>
        </w:rPr>
        <w:t>службеника</w:t>
      </w:r>
      <w:r w:rsidRPr="004122E2">
        <w:rPr>
          <w:rFonts w:ascii="Times New Roman" w:hAnsi="Times New Roman"/>
          <w:sz w:val="24"/>
          <w:szCs w:val="24"/>
          <w:shd w:val="clear" w:color="auto" w:fill="FFFFFF"/>
        </w:rPr>
        <w:t xml:space="preserve"> </w:t>
      </w:r>
      <w:r w:rsidR="00BC7AAF" w:rsidRPr="004122E2">
        <w:rPr>
          <w:rFonts w:ascii="Times New Roman" w:hAnsi="Times New Roman"/>
          <w:sz w:val="24"/>
          <w:szCs w:val="24"/>
          <w:shd w:val="clear" w:color="auto" w:fill="FFFFFF"/>
        </w:rPr>
        <w:t>таквих</w:t>
      </w:r>
      <w:r w:rsidRPr="004122E2">
        <w:rPr>
          <w:rFonts w:ascii="Times New Roman" w:hAnsi="Times New Roman"/>
          <w:sz w:val="24"/>
          <w:szCs w:val="24"/>
          <w:shd w:val="clear" w:color="auto" w:fill="FFFFFF"/>
        </w:rPr>
        <w:t xml:space="preserve"> </w:t>
      </w:r>
      <w:r w:rsidR="00BC7AAF" w:rsidRPr="004122E2">
        <w:rPr>
          <w:rFonts w:ascii="Times New Roman" w:hAnsi="Times New Roman"/>
          <w:sz w:val="24"/>
          <w:szCs w:val="24"/>
          <w:shd w:val="clear" w:color="auto" w:fill="FFFFFF"/>
        </w:rPr>
        <w:t>представништава</w:t>
      </w:r>
      <w:r w:rsidRPr="004122E2">
        <w:rPr>
          <w:rFonts w:ascii="Times New Roman" w:hAnsi="Times New Roman"/>
          <w:sz w:val="24"/>
          <w:szCs w:val="24"/>
          <w:shd w:val="clear" w:color="auto" w:fill="FFFFFF"/>
        </w:rPr>
        <w:t xml:space="preserve"> </w:t>
      </w:r>
      <w:r w:rsidR="00BC7AAF" w:rsidRPr="004122E2">
        <w:rPr>
          <w:rFonts w:ascii="Times New Roman" w:hAnsi="Times New Roman"/>
          <w:sz w:val="24"/>
          <w:szCs w:val="24"/>
          <w:shd w:val="clear" w:color="auto" w:fill="FFFFFF"/>
        </w:rPr>
        <w:t>или</w:t>
      </w:r>
      <w:r w:rsidRPr="004122E2">
        <w:rPr>
          <w:rFonts w:ascii="Times New Roman" w:hAnsi="Times New Roman"/>
          <w:sz w:val="24"/>
          <w:szCs w:val="24"/>
          <w:shd w:val="clear" w:color="auto" w:fill="FFFFFF"/>
        </w:rPr>
        <w:t xml:space="preserve"> </w:t>
      </w:r>
      <w:r w:rsidR="00BC7AAF" w:rsidRPr="004122E2">
        <w:rPr>
          <w:rFonts w:ascii="Times New Roman" w:hAnsi="Times New Roman"/>
          <w:sz w:val="24"/>
          <w:szCs w:val="24"/>
          <w:shd w:val="clear" w:color="auto" w:fill="FFFFFF"/>
        </w:rPr>
        <w:t>организација</w:t>
      </w:r>
      <w:r w:rsidRPr="004122E2">
        <w:rPr>
          <w:rFonts w:ascii="Times New Roman" w:hAnsi="Times New Roman"/>
          <w:sz w:val="24"/>
          <w:szCs w:val="24"/>
          <w:shd w:val="clear" w:color="auto" w:fill="FFFFFF"/>
          <w:lang w:val="sr-Cyrl-CS"/>
        </w:rPr>
        <w:t xml:space="preserve"> и то:</w:t>
      </w:r>
    </w:p>
    <w:p w:rsidR="004354A1" w:rsidRPr="004122E2" w:rsidRDefault="004354A1" w:rsidP="004122E2">
      <w:pPr>
        <w:jc w:val="both"/>
        <w:rPr>
          <w:rFonts w:ascii="Times New Roman" w:hAnsi="Times New Roman"/>
          <w:sz w:val="24"/>
          <w:szCs w:val="24"/>
        </w:rPr>
      </w:pPr>
      <w:r w:rsidRPr="004122E2">
        <w:rPr>
          <w:rFonts w:ascii="Times New Roman" w:hAnsi="Times New Roman"/>
          <w:sz w:val="24"/>
          <w:szCs w:val="24"/>
        </w:rPr>
        <w:t xml:space="preserve">1) </w:t>
      </w:r>
      <w:r w:rsidR="00BC7AAF" w:rsidRPr="004122E2">
        <w:rPr>
          <w:rFonts w:ascii="Times New Roman" w:hAnsi="Times New Roman"/>
          <w:sz w:val="24"/>
          <w:szCs w:val="24"/>
        </w:rPr>
        <w:t>шефови</w:t>
      </w:r>
      <w:r w:rsidRPr="004122E2">
        <w:rPr>
          <w:rFonts w:ascii="Times New Roman" w:hAnsi="Times New Roman"/>
          <w:sz w:val="24"/>
          <w:szCs w:val="24"/>
        </w:rPr>
        <w:t xml:space="preserve"> </w:t>
      </w:r>
      <w:r w:rsidR="00BC7AAF" w:rsidRPr="004122E2">
        <w:rPr>
          <w:rFonts w:ascii="Times New Roman" w:hAnsi="Times New Roman"/>
          <w:sz w:val="24"/>
          <w:szCs w:val="24"/>
        </w:rPr>
        <w:t>страних</w:t>
      </w:r>
      <w:r w:rsidRPr="004122E2">
        <w:rPr>
          <w:rFonts w:ascii="Times New Roman" w:hAnsi="Times New Roman"/>
          <w:sz w:val="24"/>
          <w:szCs w:val="24"/>
        </w:rPr>
        <w:t xml:space="preserve"> </w:t>
      </w:r>
      <w:r w:rsidR="00BC7AAF" w:rsidRPr="004122E2">
        <w:rPr>
          <w:rFonts w:ascii="Times New Roman" w:hAnsi="Times New Roman"/>
          <w:sz w:val="24"/>
          <w:szCs w:val="24"/>
        </w:rPr>
        <w:t>дипломатских</w:t>
      </w:r>
      <w:r w:rsidRPr="004122E2">
        <w:rPr>
          <w:rFonts w:ascii="Times New Roman" w:hAnsi="Times New Roman"/>
          <w:sz w:val="24"/>
          <w:szCs w:val="24"/>
        </w:rPr>
        <w:t xml:space="preserve"> </w:t>
      </w:r>
      <w:r w:rsidR="00BC7AAF" w:rsidRPr="004122E2">
        <w:rPr>
          <w:rFonts w:ascii="Times New Roman" w:hAnsi="Times New Roman"/>
          <w:sz w:val="24"/>
          <w:szCs w:val="24"/>
        </w:rPr>
        <w:t>мисија</w:t>
      </w:r>
      <w:r w:rsidRPr="004122E2">
        <w:rPr>
          <w:rFonts w:ascii="Times New Roman" w:hAnsi="Times New Roman"/>
          <w:sz w:val="24"/>
          <w:szCs w:val="24"/>
        </w:rPr>
        <w:t xml:space="preserve"> </w:t>
      </w:r>
      <w:r w:rsidR="00BC7AAF" w:rsidRPr="004122E2">
        <w:rPr>
          <w:rFonts w:ascii="Times New Roman" w:hAnsi="Times New Roman"/>
          <w:sz w:val="24"/>
          <w:szCs w:val="24"/>
        </w:rPr>
        <w:t>акредитованих</w:t>
      </w:r>
      <w:r w:rsidRPr="004122E2">
        <w:rPr>
          <w:rFonts w:ascii="Times New Roman" w:hAnsi="Times New Roman"/>
          <w:sz w:val="24"/>
          <w:szCs w:val="24"/>
        </w:rPr>
        <w:t xml:space="preserve"> </w:t>
      </w:r>
      <w:r w:rsidR="00BC7AAF" w:rsidRPr="004122E2">
        <w:rPr>
          <w:rFonts w:ascii="Times New Roman" w:hAnsi="Times New Roman"/>
          <w:sz w:val="24"/>
          <w:szCs w:val="24"/>
        </w:rPr>
        <w:t>у</w:t>
      </w:r>
      <w:r w:rsidRPr="004122E2">
        <w:rPr>
          <w:rFonts w:ascii="Times New Roman" w:hAnsi="Times New Roman"/>
          <w:sz w:val="24"/>
          <w:szCs w:val="24"/>
        </w:rPr>
        <w:t xml:space="preserve"> </w:t>
      </w:r>
      <w:r w:rsidR="00BC7AAF" w:rsidRPr="004122E2">
        <w:rPr>
          <w:rFonts w:ascii="Times New Roman" w:hAnsi="Times New Roman"/>
          <w:sz w:val="24"/>
          <w:szCs w:val="24"/>
        </w:rPr>
        <w:t>Србији</w:t>
      </w:r>
      <w:r w:rsidRPr="004122E2">
        <w:rPr>
          <w:rFonts w:ascii="Times New Roman" w:hAnsi="Times New Roman"/>
          <w:sz w:val="24"/>
          <w:szCs w:val="24"/>
        </w:rPr>
        <w:t xml:space="preserve">, </w:t>
      </w:r>
      <w:r w:rsidR="00BC7AAF" w:rsidRPr="004122E2">
        <w:rPr>
          <w:rFonts w:ascii="Times New Roman" w:hAnsi="Times New Roman"/>
          <w:sz w:val="24"/>
          <w:szCs w:val="24"/>
        </w:rPr>
        <w:t>особље</w:t>
      </w:r>
      <w:r w:rsidRPr="004122E2">
        <w:rPr>
          <w:rFonts w:ascii="Times New Roman" w:hAnsi="Times New Roman"/>
          <w:sz w:val="24"/>
          <w:szCs w:val="24"/>
        </w:rPr>
        <w:t xml:space="preserve"> </w:t>
      </w:r>
      <w:r w:rsidR="00BC7AAF" w:rsidRPr="004122E2">
        <w:rPr>
          <w:rFonts w:ascii="Times New Roman" w:hAnsi="Times New Roman"/>
          <w:sz w:val="24"/>
          <w:szCs w:val="24"/>
        </w:rPr>
        <w:t>страних</w:t>
      </w:r>
      <w:r w:rsidRPr="004122E2">
        <w:rPr>
          <w:rFonts w:ascii="Times New Roman" w:hAnsi="Times New Roman"/>
          <w:sz w:val="24"/>
          <w:szCs w:val="24"/>
        </w:rPr>
        <w:t xml:space="preserve"> </w:t>
      </w:r>
      <w:r w:rsidR="00BC7AAF" w:rsidRPr="004122E2">
        <w:rPr>
          <w:rFonts w:ascii="Times New Roman" w:hAnsi="Times New Roman"/>
          <w:sz w:val="24"/>
          <w:szCs w:val="24"/>
        </w:rPr>
        <w:t>дипломатских</w:t>
      </w:r>
      <w:r w:rsidRPr="004122E2">
        <w:rPr>
          <w:rFonts w:ascii="Times New Roman" w:hAnsi="Times New Roman"/>
          <w:sz w:val="24"/>
          <w:szCs w:val="24"/>
        </w:rPr>
        <w:t xml:space="preserve"> </w:t>
      </w:r>
      <w:r w:rsidR="00BC7AAF" w:rsidRPr="004122E2">
        <w:rPr>
          <w:rFonts w:ascii="Times New Roman" w:hAnsi="Times New Roman"/>
          <w:sz w:val="24"/>
          <w:szCs w:val="24"/>
        </w:rPr>
        <w:t>мисија</w:t>
      </w:r>
      <w:r w:rsidRPr="004122E2">
        <w:rPr>
          <w:rFonts w:ascii="Times New Roman" w:hAnsi="Times New Roman"/>
          <w:sz w:val="24"/>
          <w:szCs w:val="24"/>
        </w:rPr>
        <w:t xml:space="preserve"> </w:t>
      </w:r>
      <w:r w:rsidR="00BC7AAF" w:rsidRPr="004122E2">
        <w:rPr>
          <w:rFonts w:ascii="Times New Roman" w:hAnsi="Times New Roman"/>
          <w:sz w:val="24"/>
          <w:szCs w:val="24"/>
        </w:rPr>
        <w:t>у</w:t>
      </w:r>
      <w:r w:rsidRPr="004122E2">
        <w:rPr>
          <w:rFonts w:ascii="Times New Roman" w:hAnsi="Times New Roman"/>
          <w:sz w:val="24"/>
          <w:szCs w:val="24"/>
        </w:rPr>
        <w:t xml:space="preserve"> </w:t>
      </w:r>
      <w:r w:rsidR="00BC7AAF" w:rsidRPr="004122E2">
        <w:rPr>
          <w:rFonts w:ascii="Times New Roman" w:hAnsi="Times New Roman"/>
          <w:sz w:val="24"/>
          <w:szCs w:val="24"/>
        </w:rPr>
        <w:t>Србији</w:t>
      </w:r>
      <w:r w:rsidRPr="004122E2">
        <w:rPr>
          <w:rFonts w:ascii="Times New Roman" w:hAnsi="Times New Roman"/>
          <w:sz w:val="24"/>
          <w:szCs w:val="24"/>
        </w:rPr>
        <w:t xml:space="preserve">, </w:t>
      </w:r>
      <w:r w:rsidR="00BC7AAF" w:rsidRPr="004122E2">
        <w:rPr>
          <w:rFonts w:ascii="Times New Roman" w:hAnsi="Times New Roman"/>
          <w:sz w:val="24"/>
          <w:szCs w:val="24"/>
        </w:rPr>
        <w:t>као</w:t>
      </w:r>
      <w:r w:rsidRPr="004122E2">
        <w:rPr>
          <w:rFonts w:ascii="Times New Roman" w:hAnsi="Times New Roman"/>
          <w:sz w:val="24"/>
          <w:szCs w:val="24"/>
        </w:rPr>
        <w:t xml:space="preserve"> </w:t>
      </w:r>
      <w:r w:rsidR="00BC7AAF" w:rsidRPr="004122E2">
        <w:rPr>
          <w:rFonts w:ascii="Times New Roman" w:hAnsi="Times New Roman"/>
          <w:sz w:val="24"/>
          <w:szCs w:val="24"/>
        </w:rPr>
        <w:t>и</w:t>
      </w:r>
      <w:r w:rsidRPr="004122E2">
        <w:rPr>
          <w:rFonts w:ascii="Times New Roman" w:hAnsi="Times New Roman"/>
          <w:sz w:val="24"/>
          <w:szCs w:val="24"/>
        </w:rPr>
        <w:t xml:space="preserve"> </w:t>
      </w:r>
      <w:r w:rsidR="00BC7AAF" w:rsidRPr="004122E2">
        <w:rPr>
          <w:rFonts w:ascii="Times New Roman" w:hAnsi="Times New Roman"/>
          <w:sz w:val="24"/>
          <w:szCs w:val="24"/>
        </w:rPr>
        <w:t>чланови</w:t>
      </w:r>
      <w:r w:rsidRPr="004122E2">
        <w:rPr>
          <w:rFonts w:ascii="Times New Roman" w:hAnsi="Times New Roman"/>
          <w:sz w:val="24"/>
          <w:szCs w:val="24"/>
        </w:rPr>
        <w:t xml:space="preserve"> </w:t>
      </w:r>
      <w:r w:rsidR="00BC7AAF" w:rsidRPr="004122E2">
        <w:rPr>
          <w:rFonts w:ascii="Times New Roman" w:hAnsi="Times New Roman"/>
          <w:sz w:val="24"/>
          <w:szCs w:val="24"/>
        </w:rPr>
        <w:t>њихових</w:t>
      </w:r>
      <w:r w:rsidRPr="004122E2">
        <w:rPr>
          <w:rFonts w:ascii="Times New Roman" w:hAnsi="Times New Roman"/>
          <w:sz w:val="24"/>
          <w:szCs w:val="24"/>
        </w:rPr>
        <w:t xml:space="preserve"> </w:t>
      </w:r>
      <w:r w:rsidR="00BC7AAF" w:rsidRPr="004122E2">
        <w:rPr>
          <w:rFonts w:ascii="Times New Roman" w:hAnsi="Times New Roman"/>
          <w:sz w:val="24"/>
          <w:szCs w:val="24"/>
        </w:rPr>
        <w:t>домаћинстава</w:t>
      </w:r>
      <w:r w:rsidRPr="004122E2">
        <w:rPr>
          <w:rFonts w:ascii="Times New Roman" w:hAnsi="Times New Roman"/>
          <w:sz w:val="24"/>
          <w:szCs w:val="24"/>
        </w:rPr>
        <w:t xml:space="preserve">, </w:t>
      </w:r>
      <w:r w:rsidR="00BC7AAF" w:rsidRPr="004122E2">
        <w:rPr>
          <w:rFonts w:ascii="Times New Roman" w:hAnsi="Times New Roman"/>
          <w:sz w:val="24"/>
          <w:szCs w:val="24"/>
        </w:rPr>
        <w:t>ако</w:t>
      </w:r>
      <w:r w:rsidRPr="004122E2">
        <w:rPr>
          <w:rFonts w:ascii="Times New Roman" w:hAnsi="Times New Roman"/>
          <w:sz w:val="24"/>
          <w:szCs w:val="24"/>
        </w:rPr>
        <w:t xml:space="preserve"> </w:t>
      </w:r>
      <w:r w:rsidR="00BC7AAF" w:rsidRPr="004122E2">
        <w:rPr>
          <w:rFonts w:ascii="Times New Roman" w:hAnsi="Times New Roman"/>
          <w:sz w:val="24"/>
          <w:szCs w:val="24"/>
        </w:rPr>
        <w:t>ти</w:t>
      </w:r>
      <w:r w:rsidRPr="004122E2">
        <w:rPr>
          <w:rFonts w:ascii="Times New Roman" w:hAnsi="Times New Roman"/>
          <w:sz w:val="24"/>
          <w:szCs w:val="24"/>
        </w:rPr>
        <w:t xml:space="preserve"> </w:t>
      </w:r>
      <w:r w:rsidR="00BC7AAF" w:rsidRPr="004122E2">
        <w:rPr>
          <w:rFonts w:ascii="Times New Roman" w:hAnsi="Times New Roman"/>
          <w:sz w:val="24"/>
          <w:szCs w:val="24"/>
        </w:rPr>
        <w:t>чланови</w:t>
      </w:r>
      <w:r w:rsidRPr="004122E2">
        <w:rPr>
          <w:rFonts w:ascii="Times New Roman" w:hAnsi="Times New Roman"/>
          <w:sz w:val="24"/>
          <w:szCs w:val="24"/>
        </w:rPr>
        <w:t xml:space="preserve"> </w:t>
      </w:r>
      <w:r w:rsidR="00BC7AAF" w:rsidRPr="004122E2">
        <w:rPr>
          <w:rFonts w:ascii="Times New Roman" w:hAnsi="Times New Roman"/>
          <w:sz w:val="24"/>
          <w:szCs w:val="24"/>
        </w:rPr>
        <w:t>домаћинстава</w:t>
      </w:r>
      <w:r w:rsidRPr="004122E2">
        <w:rPr>
          <w:rFonts w:ascii="Times New Roman" w:hAnsi="Times New Roman"/>
          <w:sz w:val="24"/>
          <w:szCs w:val="24"/>
        </w:rPr>
        <w:t xml:space="preserve"> </w:t>
      </w:r>
      <w:r w:rsidR="00BC7AAF" w:rsidRPr="004122E2">
        <w:rPr>
          <w:rFonts w:ascii="Times New Roman" w:hAnsi="Times New Roman"/>
          <w:sz w:val="24"/>
          <w:szCs w:val="24"/>
        </w:rPr>
        <w:t>нису</w:t>
      </w:r>
      <w:r w:rsidRPr="004122E2">
        <w:rPr>
          <w:rFonts w:ascii="Times New Roman" w:hAnsi="Times New Roman"/>
          <w:sz w:val="24"/>
          <w:szCs w:val="24"/>
        </w:rPr>
        <w:t xml:space="preserve"> </w:t>
      </w:r>
      <w:r w:rsidR="00BC7AAF" w:rsidRPr="004122E2">
        <w:rPr>
          <w:rFonts w:ascii="Times New Roman" w:hAnsi="Times New Roman"/>
          <w:sz w:val="24"/>
          <w:szCs w:val="24"/>
        </w:rPr>
        <w:t>држављани</w:t>
      </w:r>
      <w:r w:rsidRPr="004122E2">
        <w:rPr>
          <w:rFonts w:ascii="Times New Roman" w:hAnsi="Times New Roman"/>
          <w:sz w:val="24"/>
          <w:szCs w:val="24"/>
        </w:rPr>
        <w:t xml:space="preserve"> </w:t>
      </w:r>
      <w:r w:rsidR="00BC7AAF" w:rsidRPr="004122E2">
        <w:rPr>
          <w:rFonts w:ascii="Times New Roman" w:hAnsi="Times New Roman"/>
          <w:sz w:val="24"/>
          <w:szCs w:val="24"/>
        </w:rPr>
        <w:t>или</w:t>
      </w:r>
      <w:r w:rsidRPr="004122E2">
        <w:rPr>
          <w:rFonts w:ascii="Times New Roman" w:hAnsi="Times New Roman"/>
          <w:sz w:val="24"/>
          <w:szCs w:val="24"/>
        </w:rPr>
        <w:t xml:space="preserve"> </w:t>
      </w:r>
      <w:r w:rsidR="00BC7AAF" w:rsidRPr="004122E2">
        <w:rPr>
          <w:rFonts w:ascii="Times New Roman" w:hAnsi="Times New Roman"/>
          <w:sz w:val="24"/>
          <w:szCs w:val="24"/>
        </w:rPr>
        <w:t>резиденти</w:t>
      </w:r>
      <w:r w:rsidRPr="004122E2">
        <w:rPr>
          <w:rFonts w:ascii="Times New Roman" w:hAnsi="Times New Roman"/>
          <w:sz w:val="24"/>
          <w:szCs w:val="24"/>
        </w:rPr>
        <w:t xml:space="preserve"> </w:t>
      </w:r>
      <w:r w:rsidR="00BC7AAF" w:rsidRPr="004122E2">
        <w:rPr>
          <w:rFonts w:ascii="Times New Roman" w:hAnsi="Times New Roman"/>
          <w:sz w:val="24"/>
          <w:szCs w:val="24"/>
        </w:rPr>
        <w:t>Републике</w:t>
      </w:r>
      <w:r w:rsidRPr="004122E2">
        <w:rPr>
          <w:rFonts w:ascii="Times New Roman" w:hAnsi="Times New Roman"/>
          <w:sz w:val="24"/>
          <w:szCs w:val="24"/>
        </w:rPr>
        <w:t>;</w:t>
      </w:r>
    </w:p>
    <w:p w:rsidR="004354A1" w:rsidRPr="004122E2" w:rsidRDefault="004354A1" w:rsidP="004122E2">
      <w:pPr>
        <w:jc w:val="both"/>
        <w:rPr>
          <w:rFonts w:ascii="Times New Roman" w:hAnsi="Times New Roman"/>
          <w:sz w:val="24"/>
          <w:szCs w:val="24"/>
        </w:rPr>
      </w:pPr>
      <w:r w:rsidRPr="004122E2">
        <w:rPr>
          <w:rFonts w:ascii="Times New Roman" w:hAnsi="Times New Roman"/>
          <w:sz w:val="24"/>
          <w:szCs w:val="24"/>
        </w:rPr>
        <w:t xml:space="preserve">2) </w:t>
      </w:r>
      <w:r w:rsidR="00BC7AAF" w:rsidRPr="004122E2">
        <w:rPr>
          <w:rFonts w:ascii="Times New Roman" w:hAnsi="Times New Roman"/>
          <w:sz w:val="24"/>
          <w:szCs w:val="24"/>
        </w:rPr>
        <w:t>шефови</w:t>
      </w:r>
      <w:r w:rsidRPr="004122E2">
        <w:rPr>
          <w:rFonts w:ascii="Times New Roman" w:hAnsi="Times New Roman"/>
          <w:sz w:val="24"/>
          <w:szCs w:val="24"/>
        </w:rPr>
        <w:t xml:space="preserve"> </w:t>
      </w:r>
      <w:r w:rsidR="00BC7AAF" w:rsidRPr="004122E2">
        <w:rPr>
          <w:rFonts w:ascii="Times New Roman" w:hAnsi="Times New Roman"/>
          <w:sz w:val="24"/>
          <w:szCs w:val="24"/>
        </w:rPr>
        <w:t>страних</w:t>
      </w:r>
      <w:r w:rsidRPr="004122E2">
        <w:rPr>
          <w:rFonts w:ascii="Times New Roman" w:hAnsi="Times New Roman"/>
          <w:sz w:val="24"/>
          <w:szCs w:val="24"/>
        </w:rPr>
        <w:t xml:space="preserve"> </w:t>
      </w:r>
      <w:r w:rsidR="00BC7AAF" w:rsidRPr="004122E2">
        <w:rPr>
          <w:rFonts w:ascii="Times New Roman" w:hAnsi="Times New Roman"/>
          <w:sz w:val="24"/>
          <w:szCs w:val="24"/>
        </w:rPr>
        <w:t>конзулата</w:t>
      </w:r>
      <w:r w:rsidRPr="004122E2">
        <w:rPr>
          <w:rFonts w:ascii="Times New Roman" w:hAnsi="Times New Roman"/>
          <w:sz w:val="24"/>
          <w:szCs w:val="24"/>
        </w:rPr>
        <w:t xml:space="preserve"> </w:t>
      </w:r>
      <w:r w:rsidR="00BC7AAF" w:rsidRPr="004122E2">
        <w:rPr>
          <w:rFonts w:ascii="Times New Roman" w:hAnsi="Times New Roman"/>
          <w:sz w:val="24"/>
          <w:szCs w:val="24"/>
        </w:rPr>
        <w:t>у</w:t>
      </w:r>
      <w:r w:rsidRPr="004122E2">
        <w:rPr>
          <w:rFonts w:ascii="Times New Roman" w:hAnsi="Times New Roman"/>
          <w:sz w:val="24"/>
          <w:szCs w:val="24"/>
        </w:rPr>
        <w:t xml:space="preserve"> </w:t>
      </w:r>
      <w:r w:rsidR="00BC7AAF" w:rsidRPr="004122E2">
        <w:rPr>
          <w:rFonts w:ascii="Times New Roman" w:hAnsi="Times New Roman"/>
          <w:sz w:val="24"/>
          <w:szCs w:val="24"/>
        </w:rPr>
        <w:t>Србији</w:t>
      </w:r>
      <w:r w:rsidRPr="004122E2">
        <w:rPr>
          <w:rFonts w:ascii="Times New Roman" w:hAnsi="Times New Roman"/>
          <w:sz w:val="24"/>
          <w:szCs w:val="24"/>
        </w:rPr>
        <w:t xml:space="preserve"> </w:t>
      </w:r>
      <w:r w:rsidR="00BC7AAF" w:rsidRPr="004122E2">
        <w:rPr>
          <w:rFonts w:ascii="Times New Roman" w:hAnsi="Times New Roman"/>
          <w:sz w:val="24"/>
          <w:szCs w:val="24"/>
        </w:rPr>
        <w:t>и</w:t>
      </w:r>
      <w:r w:rsidRPr="004122E2">
        <w:rPr>
          <w:rFonts w:ascii="Times New Roman" w:hAnsi="Times New Roman"/>
          <w:sz w:val="24"/>
          <w:szCs w:val="24"/>
        </w:rPr>
        <w:t xml:space="preserve"> </w:t>
      </w:r>
      <w:r w:rsidR="00BC7AAF" w:rsidRPr="004122E2">
        <w:rPr>
          <w:rFonts w:ascii="Times New Roman" w:hAnsi="Times New Roman"/>
          <w:sz w:val="24"/>
          <w:szCs w:val="24"/>
        </w:rPr>
        <w:t>конзуларни</w:t>
      </w:r>
      <w:r w:rsidRPr="004122E2">
        <w:rPr>
          <w:rFonts w:ascii="Times New Roman" w:hAnsi="Times New Roman"/>
          <w:sz w:val="24"/>
          <w:szCs w:val="24"/>
        </w:rPr>
        <w:t xml:space="preserve"> </w:t>
      </w:r>
      <w:r w:rsidR="00BC7AAF" w:rsidRPr="004122E2">
        <w:rPr>
          <w:rFonts w:ascii="Times New Roman" w:hAnsi="Times New Roman"/>
          <w:sz w:val="24"/>
          <w:szCs w:val="24"/>
        </w:rPr>
        <w:t>функционери</w:t>
      </w:r>
      <w:r w:rsidRPr="004122E2">
        <w:rPr>
          <w:rFonts w:ascii="Times New Roman" w:hAnsi="Times New Roman"/>
          <w:sz w:val="24"/>
          <w:szCs w:val="24"/>
        </w:rPr>
        <w:t xml:space="preserve"> </w:t>
      </w:r>
      <w:r w:rsidR="00BC7AAF" w:rsidRPr="004122E2">
        <w:rPr>
          <w:rFonts w:ascii="Times New Roman" w:hAnsi="Times New Roman"/>
          <w:sz w:val="24"/>
          <w:szCs w:val="24"/>
        </w:rPr>
        <w:t>овлашћени</w:t>
      </w:r>
      <w:r w:rsidRPr="004122E2">
        <w:rPr>
          <w:rFonts w:ascii="Times New Roman" w:hAnsi="Times New Roman"/>
          <w:sz w:val="24"/>
          <w:szCs w:val="24"/>
        </w:rPr>
        <w:t xml:space="preserve"> </w:t>
      </w:r>
      <w:r w:rsidR="00BC7AAF" w:rsidRPr="004122E2">
        <w:rPr>
          <w:rFonts w:ascii="Times New Roman" w:hAnsi="Times New Roman"/>
          <w:sz w:val="24"/>
          <w:szCs w:val="24"/>
        </w:rPr>
        <w:t>да</w:t>
      </w:r>
      <w:r w:rsidRPr="004122E2">
        <w:rPr>
          <w:rFonts w:ascii="Times New Roman" w:hAnsi="Times New Roman"/>
          <w:sz w:val="24"/>
          <w:szCs w:val="24"/>
        </w:rPr>
        <w:t xml:space="preserve"> </w:t>
      </w:r>
      <w:r w:rsidR="00BC7AAF" w:rsidRPr="004122E2">
        <w:rPr>
          <w:rFonts w:ascii="Times New Roman" w:hAnsi="Times New Roman"/>
          <w:sz w:val="24"/>
          <w:szCs w:val="24"/>
        </w:rPr>
        <w:t>обављају</w:t>
      </w:r>
      <w:r w:rsidRPr="004122E2">
        <w:rPr>
          <w:rFonts w:ascii="Times New Roman" w:hAnsi="Times New Roman"/>
          <w:sz w:val="24"/>
          <w:szCs w:val="24"/>
        </w:rPr>
        <w:t xml:space="preserve"> </w:t>
      </w:r>
      <w:r w:rsidR="00BC7AAF" w:rsidRPr="004122E2">
        <w:rPr>
          <w:rFonts w:ascii="Times New Roman" w:hAnsi="Times New Roman"/>
          <w:sz w:val="24"/>
          <w:szCs w:val="24"/>
        </w:rPr>
        <w:t>конзуларне</w:t>
      </w:r>
      <w:r w:rsidRPr="004122E2">
        <w:rPr>
          <w:rFonts w:ascii="Times New Roman" w:hAnsi="Times New Roman"/>
          <w:sz w:val="24"/>
          <w:szCs w:val="24"/>
        </w:rPr>
        <w:t xml:space="preserve"> </w:t>
      </w:r>
      <w:r w:rsidR="00BC7AAF" w:rsidRPr="004122E2">
        <w:rPr>
          <w:rFonts w:ascii="Times New Roman" w:hAnsi="Times New Roman"/>
          <w:sz w:val="24"/>
          <w:szCs w:val="24"/>
        </w:rPr>
        <w:t>функције</w:t>
      </w:r>
      <w:r w:rsidRPr="004122E2">
        <w:rPr>
          <w:rFonts w:ascii="Times New Roman" w:hAnsi="Times New Roman"/>
          <w:sz w:val="24"/>
          <w:szCs w:val="24"/>
        </w:rPr>
        <w:t xml:space="preserve">, </w:t>
      </w:r>
      <w:r w:rsidR="00BC7AAF" w:rsidRPr="004122E2">
        <w:rPr>
          <w:rFonts w:ascii="Times New Roman" w:hAnsi="Times New Roman"/>
          <w:sz w:val="24"/>
          <w:szCs w:val="24"/>
        </w:rPr>
        <w:t>као</w:t>
      </w:r>
      <w:r w:rsidRPr="004122E2">
        <w:rPr>
          <w:rFonts w:ascii="Times New Roman" w:hAnsi="Times New Roman"/>
          <w:sz w:val="24"/>
          <w:szCs w:val="24"/>
        </w:rPr>
        <w:t xml:space="preserve"> </w:t>
      </w:r>
      <w:r w:rsidR="00BC7AAF" w:rsidRPr="004122E2">
        <w:rPr>
          <w:rFonts w:ascii="Times New Roman" w:hAnsi="Times New Roman"/>
          <w:sz w:val="24"/>
          <w:szCs w:val="24"/>
        </w:rPr>
        <w:t>и</w:t>
      </w:r>
      <w:r w:rsidRPr="004122E2">
        <w:rPr>
          <w:rFonts w:ascii="Times New Roman" w:hAnsi="Times New Roman"/>
          <w:sz w:val="24"/>
          <w:szCs w:val="24"/>
        </w:rPr>
        <w:t xml:space="preserve"> </w:t>
      </w:r>
      <w:r w:rsidR="00BC7AAF" w:rsidRPr="004122E2">
        <w:rPr>
          <w:rFonts w:ascii="Times New Roman" w:hAnsi="Times New Roman"/>
          <w:sz w:val="24"/>
          <w:szCs w:val="24"/>
        </w:rPr>
        <w:t>чланови</w:t>
      </w:r>
      <w:r w:rsidRPr="004122E2">
        <w:rPr>
          <w:rFonts w:ascii="Times New Roman" w:hAnsi="Times New Roman"/>
          <w:sz w:val="24"/>
          <w:szCs w:val="24"/>
        </w:rPr>
        <w:t xml:space="preserve"> </w:t>
      </w:r>
      <w:r w:rsidR="00BC7AAF" w:rsidRPr="004122E2">
        <w:rPr>
          <w:rFonts w:ascii="Times New Roman" w:hAnsi="Times New Roman"/>
          <w:sz w:val="24"/>
          <w:szCs w:val="24"/>
        </w:rPr>
        <w:t>њихових</w:t>
      </w:r>
      <w:r w:rsidRPr="004122E2">
        <w:rPr>
          <w:rFonts w:ascii="Times New Roman" w:hAnsi="Times New Roman"/>
          <w:sz w:val="24"/>
          <w:szCs w:val="24"/>
        </w:rPr>
        <w:t xml:space="preserve"> </w:t>
      </w:r>
      <w:r w:rsidR="00BC7AAF" w:rsidRPr="004122E2">
        <w:rPr>
          <w:rFonts w:ascii="Times New Roman" w:hAnsi="Times New Roman"/>
          <w:sz w:val="24"/>
          <w:szCs w:val="24"/>
        </w:rPr>
        <w:t>домаћинстава</w:t>
      </w:r>
      <w:r w:rsidRPr="004122E2">
        <w:rPr>
          <w:rFonts w:ascii="Times New Roman" w:hAnsi="Times New Roman"/>
          <w:sz w:val="24"/>
          <w:szCs w:val="24"/>
        </w:rPr>
        <w:t xml:space="preserve">, </w:t>
      </w:r>
      <w:r w:rsidR="00BC7AAF" w:rsidRPr="004122E2">
        <w:rPr>
          <w:rFonts w:ascii="Times New Roman" w:hAnsi="Times New Roman"/>
          <w:sz w:val="24"/>
          <w:szCs w:val="24"/>
        </w:rPr>
        <w:t>ако</w:t>
      </w:r>
      <w:r w:rsidRPr="004122E2">
        <w:rPr>
          <w:rFonts w:ascii="Times New Roman" w:hAnsi="Times New Roman"/>
          <w:sz w:val="24"/>
          <w:szCs w:val="24"/>
        </w:rPr>
        <w:t xml:space="preserve"> </w:t>
      </w:r>
      <w:r w:rsidR="00BC7AAF" w:rsidRPr="004122E2">
        <w:rPr>
          <w:rFonts w:ascii="Times New Roman" w:hAnsi="Times New Roman"/>
          <w:sz w:val="24"/>
          <w:szCs w:val="24"/>
        </w:rPr>
        <w:t>ти</w:t>
      </w:r>
      <w:r w:rsidRPr="004122E2">
        <w:rPr>
          <w:rFonts w:ascii="Times New Roman" w:hAnsi="Times New Roman"/>
          <w:sz w:val="24"/>
          <w:szCs w:val="24"/>
        </w:rPr>
        <w:t xml:space="preserve"> </w:t>
      </w:r>
      <w:r w:rsidR="00BC7AAF" w:rsidRPr="004122E2">
        <w:rPr>
          <w:rFonts w:ascii="Times New Roman" w:hAnsi="Times New Roman"/>
          <w:sz w:val="24"/>
          <w:szCs w:val="24"/>
        </w:rPr>
        <w:t>чланови</w:t>
      </w:r>
      <w:r w:rsidRPr="004122E2">
        <w:rPr>
          <w:rFonts w:ascii="Times New Roman" w:hAnsi="Times New Roman"/>
          <w:sz w:val="24"/>
          <w:szCs w:val="24"/>
        </w:rPr>
        <w:t xml:space="preserve"> </w:t>
      </w:r>
      <w:r w:rsidR="00BC7AAF" w:rsidRPr="004122E2">
        <w:rPr>
          <w:rFonts w:ascii="Times New Roman" w:hAnsi="Times New Roman"/>
          <w:sz w:val="24"/>
          <w:szCs w:val="24"/>
        </w:rPr>
        <w:t>домаћинстава</w:t>
      </w:r>
      <w:r w:rsidRPr="004122E2">
        <w:rPr>
          <w:rFonts w:ascii="Times New Roman" w:hAnsi="Times New Roman"/>
          <w:sz w:val="24"/>
          <w:szCs w:val="24"/>
        </w:rPr>
        <w:t xml:space="preserve"> </w:t>
      </w:r>
      <w:r w:rsidR="00BC7AAF" w:rsidRPr="004122E2">
        <w:rPr>
          <w:rFonts w:ascii="Times New Roman" w:hAnsi="Times New Roman"/>
          <w:sz w:val="24"/>
          <w:szCs w:val="24"/>
        </w:rPr>
        <w:t>нису</w:t>
      </w:r>
      <w:r w:rsidRPr="004122E2">
        <w:rPr>
          <w:rFonts w:ascii="Times New Roman" w:hAnsi="Times New Roman"/>
          <w:sz w:val="24"/>
          <w:szCs w:val="24"/>
        </w:rPr>
        <w:t xml:space="preserve"> </w:t>
      </w:r>
      <w:r w:rsidR="00BC7AAF" w:rsidRPr="004122E2">
        <w:rPr>
          <w:rFonts w:ascii="Times New Roman" w:hAnsi="Times New Roman"/>
          <w:sz w:val="24"/>
          <w:szCs w:val="24"/>
        </w:rPr>
        <w:t>држављани</w:t>
      </w:r>
      <w:r w:rsidRPr="004122E2">
        <w:rPr>
          <w:rFonts w:ascii="Times New Roman" w:hAnsi="Times New Roman"/>
          <w:sz w:val="24"/>
          <w:szCs w:val="24"/>
        </w:rPr>
        <w:t xml:space="preserve"> </w:t>
      </w:r>
      <w:r w:rsidR="00BC7AAF" w:rsidRPr="004122E2">
        <w:rPr>
          <w:rFonts w:ascii="Times New Roman" w:hAnsi="Times New Roman"/>
          <w:sz w:val="24"/>
          <w:szCs w:val="24"/>
        </w:rPr>
        <w:t>или</w:t>
      </w:r>
      <w:r w:rsidRPr="004122E2">
        <w:rPr>
          <w:rFonts w:ascii="Times New Roman" w:hAnsi="Times New Roman"/>
          <w:sz w:val="24"/>
          <w:szCs w:val="24"/>
        </w:rPr>
        <w:t xml:space="preserve"> </w:t>
      </w:r>
      <w:r w:rsidR="00BC7AAF" w:rsidRPr="004122E2">
        <w:rPr>
          <w:rFonts w:ascii="Times New Roman" w:hAnsi="Times New Roman"/>
          <w:sz w:val="24"/>
          <w:szCs w:val="24"/>
        </w:rPr>
        <w:t>резиденти</w:t>
      </w:r>
      <w:r w:rsidRPr="004122E2">
        <w:rPr>
          <w:rFonts w:ascii="Times New Roman" w:hAnsi="Times New Roman"/>
          <w:sz w:val="24"/>
          <w:szCs w:val="24"/>
        </w:rPr>
        <w:t xml:space="preserve"> </w:t>
      </w:r>
      <w:r w:rsidR="00BC7AAF" w:rsidRPr="004122E2">
        <w:rPr>
          <w:rFonts w:ascii="Times New Roman" w:hAnsi="Times New Roman"/>
          <w:sz w:val="24"/>
          <w:szCs w:val="24"/>
        </w:rPr>
        <w:t>Републике</w:t>
      </w:r>
      <w:r w:rsidRPr="004122E2">
        <w:rPr>
          <w:rFonts w:ascii="Times New Roman" w:hAnsi="Times New Roman"/>
          <w:sz w:val="24"/>
          <w:szCs w:val="24"/>
        </w:rPr>
        <w:t>;</w:t>
      </w:r>
    </w:p>
    <w:p w:rsidR="004354A1" w:rsidRPr="004122E2" w:rsidRDefault="004354A1" w:rsidP="004122E2">
      <w:pPr>
        <w:jc w:val="both"/>
        <w:rPr>
          <w:rFonts w:ascii="Times New Roman" w:hAnsi="Times New Roman"/>
          <w:sz w:val="24"/>
          <w:szCs w:val="24"/>
        </w:rPr>
      </w:pPr>
      <w:r w:rsidRPr="004122E2">
        <w:rPr>
          <w:rFonts w:ascii="Times New Roman" w:hAnsi="Times New Roman"/>
          <w:sz w:val="24"/>
          <w:szCs w:val="24"/>
        </w:rPr>
        <w:t xml:space="preserve">3) </w:t>
      </w:r>
      <w:r w:rsidR="00BC7AAF" w:rsidRPr="004122E2">
        <w:rPr>
          <w:rFonts w:ascii="Times New Roman" w:hAnsi="Times New Roman"/>
          <w:sz w:val="24"/>
          <w:szCs w:val="24"/>
        </w:rPr>
        <w:t>функционери</w:t>
      </w:r>
      <w:r w:rsidRPr="004122E2">
        <w:rPr>
          <w:rFonts w:ascii="Times New Roman" w:hAnsi="Times New Roman"/>
          <w:sz w:val="24"/>
          <w:szCs w:val="24"/>
        </w:rPr>
        <w:t xml:space="preserve"> </w:t>
      </w:r>
      <w:r w:rsidR="00BC7AAF" w:rsidRPr="004122E2">
        <w:rPr>
          <w:rFonts w:ascii="Times New Roman" w:hAnsi="Times New Roman"/>
          <w:sz w:val="24"/>
          <w:szCs w:val="24"/>
        </w:rPr>
        <w:t>Организације</w:t>
      </w:r>
      <w:r w:rsidRPr="004122E2">
        <w:rPr>
          <w:rFonts w:ascii="Times New Roman" w:hAnsi="Times New Roman"/>
          <w:sz w:val="24"/>
          <w:szCs w:val="24"/>
        </w:rPr>
        <w:t xml:space="preserve"> </w:t>
      </w:r>
      <w:r w:rsidR="00BC7AAF" w:rsidRPr="004122E2">
        <w:rPr>
          <w:rFonts w:ascii="Times New Roman" w:hAnsi="Times New Roman"/>
          <w:sz w:val="24"/>
          <w:szCs w:val="24"/>
        </w:rPr>
        <w:t>уједињених</w:t>
      </w:r>
      <w:r w:rsidRPr="004122E2">
        <w:rPr>
          <w:rFonts w:ascii="Times New Roman" w:hAnsi="Times New Roman"/>
          <w:sz w:val="24"/>
          <w:szCs w:val="24"/>
        </w:rPr>
        <w:t xml:space="preserve"> </w:t>
      </w:r>
      <w:r w:rsidR="00BC7AAF" w:rsidRPr="004122E2">
        <w:rPr>
          <w:rFonts w:ascii="Times New Roman" w:hAnsi="Times New Roman"/>
          <w:sz w:val="24"/>
          <w:szCs w:val="24"/>
        </w:rPr>
        <w:t>нација</w:t>
      </w:r>
      <w:r w:rsidRPr="004122E2">
        <w:rPr>
          <w:rFonts w:ascii="Times New Roman" w:hAnsi="Times New Roman"/>
          <w:sz w:val="24"/>
          <w:szCs w:val="24"/>
        </w:rPr>
        <w:t xml:space="preserve"> </w:t>
      </w:r>
      <w:r w:rsidR="00BC7AAF" w:rsidRPr="004122E2">
        <w:rPr>
          <w:rFonts w:ascii="Times New Roman" w:hAnsi="Times New Roman"/>
          <w:sz w:val="24"/>
          <w:szCs w:val="24"/>
        </w:rPr>
        <w:t>и</w:t>
      </w:r>
      <w:r w:rsidRPr="004122E2">
        <w:rPr>
          <w:rFonts w:ascii="Times New Roman" w:hAnsi="Times New Roman"/>
          <w:sz w:val="24"/>
          <w:szCs w:val="24"/>
        </w:rPr>
        <w:t xml:space="preserve"> </w:t>
      </w:r>
      <w:r w:rsidR="00BC7AAF" w:rsidRPr="004122E2">
        <w:rPr>
          <w:rFonts w:ascii="Times New Roman" w:hAnsi="Times New Roman"/>
          <w:sz w:val="24"/>
          <w:szCs w:val="24"/>
        </w:rPr>
        <w:t>њених</w:t>
      </w:r>
      <w:r w:rsidRPr="004122E2">
        <w:rPr>
          <w:rFonts w:ascii="Times New Roman" w:hAnsi="Times New Roman"/>
          <w:sz w:val="24"/>
          <w:szCs w:val="24"/>
        </w:rPr>
        <w:t xml:space="preserve"> </w:t>
      </w:r>
      <w:r w:rsidR="00BC7AAF" w:rsidRPr="004122E2">
        <w:rPr>
          <w:rFonts w:ascii="Times New Roman" w:hAnsi="Times New Roman"/>
          <w:sz w:val="24"/>
          <w:szCs w:val="24"/>
        </w:rPr>
        <w:t>специјализованих</w:t>
      </w:r>
      <w:r w:rsidRPr="004122E2">
        <w:rPr>
          <w:rFonts w:ascii="Times New Roman" w:hAnsi="Times New Roman"/>
          <w:sz w:val="24"/>
          <w:szCs w:val="24"/>
        </w:rPr>
        <w:t xml:space="preserve"> </w:t>
      </w:r>
      <w:r w:rsidR="00BC7AAF" w:rsidRPr="004122E2">
        <w:rPr>
          <w:rFonts w:ascii="Times New Roman" w:hAnsi="Times New Roman"/>
          <w:sz w:val="24"/>
          <w:szCs w:val="24"/>
        </w:rPr>
        <w:t>агенција</w:t>
      </w:r>
      <w:r w:rsidRPr="004122E2">
        <w:rPr>
          <w:rFonts w:ascii="Times New Roman" w:hAnsi="Times New Roman"/>
          <w:sz w:val="24"/>
          <w:szCs w:val="24"/>
        </w:rPr>
        <w:t xml:space="preserve">, </w:t>
      </w:r>
      <w:r w:rsidR="00BC7AAF" w:rsidRPr="004122E2">
        <w:rPr>
          <w:rFonts w:ascii="Times New Roman" w:hAnsi="Times New Roman"/>
          <w:sz w:val="24"/>
          <w:szCs w:val="24"/>
        </w:rPr>
        <w:t>стручњаци</w:t>
      </w:r>
      <w:r w:rsidRPr="004122E2">
        <w:rPr>
          <w:rFonts w:ascii="Times New Roman" w:hAnsi="Times New Roman"/>
          <w:sz w:val="24"/>
          <w:szCs w:val="24"/>
        </w:rPr>
        <w:t xml:space="preserve"> </w:t>
      </w:r>
      <w:r w:rsidR="00BC7AAF" w:rsidRPr="004122E2">
        <w:rPr>
          <w:rFonts w:ascii="Times New Roman" w:hAnsi="Times New Roman"/>
          <w:sz w:val="24"/>
          <w:szCs w:val="24"/>
        </w:rPr>
        <w:t>техничке</w:t>
      </w:r>
      <w:r w:rsidRPr="004122E2">
        <w:rPr>
          <w:rFonts w:ascii="Times New Roman" w:hAnsi="Times New Roman"/>
          <w:sz w:val="24"/>
          <w:szCs w:val="24"/>
        </w:rPr>
        <w:t xml:space="preserve"> </w:t>
      </w:r>
      <w:r w:rsidR="00BC7AAF" w:rsidRPr="004122E2">
        <w:rPr>
          <w:rFonts w:ascii="Times New Roman" w:hAnsi="Times New Roman"/>
          <w:sz w:val="24"/>
          <w:szCs w:val="24"/>
        </w:rPr>
        <w:t>помоћи</w:t>
      </w:r>
      <w:r w:rsidRPr="004122E2">
        <w:rPr>
          <w:rFonts w:ascii="Times New Roman" w:hAnsi="Times New Roman"/>
          <w:sz w:val="24"/>
          <w:szCs w:val="24"/>
        </w:rPr>
        <w:t xml:space="preserve"> </w:t>
      </w:r>
      <w:r w:rsidR="00BC7AAF" w:rsidRPr="004122E2">
        <w:rPr>
          <w:rFonts w:ascii="Times New Roman" w:hAnsi="Times New Roman"/>
          <w:sz w:val="24"/>
          <w:szCs w:val="24"/>
        </w:rPr>
        <w:t>Организације</w:t>
      </w:r>
      <w:r w:rsidRPr="004122E2">
        <w:rPr>
          <w:rFonts w:ascii="Times New Roman" w:hAnsi="Times New Roman"/>
          <w:sz w:val="24"/>
          <w:szCs w:val="24"/>
        </w:rPr>
        <w:t xml:space="preserve"> </w:t>
      </w:r>
      <w:r w:rsidR="00BC7AAF" w:rsidRPr="004122E2">
        <w:rPr>
          <w:rFonts w:ascii="Times New Roman" w:hAnsi="Times New Roman"/>
          <w:sz w:val="24"/>
          <w:szCs w:val="24"/>
        </w:rPr>
        <w:t>уједињених</w:t>
      </w:r>
      <w:r w:rsidRPr="004122E2">
        <w:rPr>
          <w:rFonts w:ascii="Times New Roman" w:hAnsi="Times New Roman"/>
          <w:sz w:val="24"/>
          <w:szCs w:val="24"/>
        </w:rPr>
        <w:t xml:space="preserve"> </w:t>
      </w:r>
      <w:r w:rsidR="00BC7AAF" w:rsidRPr="004122E2">
        <w:rPr>
          <w:rFonts w:ascii="Times New Roman" w:hAnsi="Times New Roman"/>
          <w:sz w:val="24"/>
          <w:szCs w:val="24"/>
        </w:rPr>
        <w:t>нација</w:t>
      </w:r>
      <w:r w:rsidRPr="004122E2">
        <w:rPr>
          <w:rFonts w:ascii="Times New Roman" w:hAnsi="Times New Roman"/>
          <w:sz w:val="24"/>
          <w:szCs w:val="24"/>
        </w:rPr>
        <w:t xml:space="preserve"> </w:t>
      </w:r>
      <w:r w:rsidR="00BC7AAF" w:rsidRPr="004122E2">
        <w:rPr>
          <w:rFonts w:ascii="Times New Roman" w:hAnsi="Times New Roman"/>
          <w:sz w:val="24"/>
          <w:szCs w:val="24"/>
        </w:rPr>
        <w:t>и</w:t>
      </w:r>
      <w:r w:rsidRPr="004122E2">
        <w:rPr>
          <w:rFonts w:ascii="Times New Roman" w:hAnsi="Times New Roman"/>
          <w:sz w:val="24"/>
          <w:szCs w:val="24"/>
        </w:rPr>
        <w:t xml:space="preserve"> </w:t>
      </w:r>
      <w:r w:rsidR="00BC7AAF" w:rsidRPr="004122E2">
        <w:rPr>
          <w:rFonts w:ascii="Times New Roman" w:hAnsi="Times New Roman"/>
          <w:sz w:val="24"/>
          <w:szCs w:val="24"/>
        </w:rPr>
        <w:t>њених</w:t>
      </w:r>
      <w:r w:rsidRPr="004122E2">
        <w:rPr>
          <w:rFonts w:ascii="Times New Roman" w:hAnsi="Times New Roman"/>
          <w:sz w:val="24"/>
          <w:szCs w:val="24"/>
        </w:rPr>
        <w:t xml:space="preserve"> </w:t>
      </w:r>
      <w:r w:rsidR="00BC7AAF" w:rsidRPr="004122E2">
        <w:rPr>
          <w:rFonts w:ascii="Times New Roman" w:hAnsi="Times New Roman"/>
          <w:sz w:val="24"/>
          <w:szCs w:val="24"/>
        </w:rPr>
        <w:t>специјализованих</w:t>
      </w:r>
      <w:r w:rsidRPr="004122E2">
        <w:rPr>
          <w:rFonts w:ascii="Times New Roman" w:hAnsi="Times New Roman"/>
          <w:sz w:val="24"/>
          <w:szCs w:val="24"/>
        </w:rPr>
        <w:t xml:space="preserve"> </w:t>
      </w:r>
      <w:r w:rsidR="00BC7AAF" w:rsidRPr="004122E2">
        <w:rPr>
          <w:rFonts w:ascii="Times New Roman" w:hAnsi="Times New Roman"/>
          <w:sz w:val="24"/>
          <w:szCs w:val="24"/>
        </w:rPr>
        <w:t>агенција</w:t>
      </w:r>
      <w:r w:rsidRPr="004122E2">
        <w:rPr>
          <w:rFonts w:ascii="Times New Roman" w:hAnsi="Times New Roman"/>
          <w:sz w:val="24"/>
          <w:szCs w:val="24"/>
        </w:rPr>
        <w:t>;</w:t>
      </w:r>
    </w:p>
    <w:p w:rsidR="004354A1" w:rsidRPr="004122E2" w:rsidRDefault="004354A1" w:rsidP="004122E2">
      <w:pPr>
        <w:jc w:val="both"/>
        <w:rPr>
          <w:rFonts w:ascii="Times New Roman" w:hAnsi="Times New Roman"/>
          <w:sz w:val="24"/>
          <w:szCs w:val="24"/>
        </w:rPr>
      </w:pPr>
      <w:r w:rsidRPr="004122E2">
        <w:rPr>
          <w:rFonts w:ascii="Times New Roman" w:hAnsi="Times New Roman"/>
          <w:sz w:val="24"/>
          <w:szCs w:val="24"/>
        </w:rPr>
        <w:t>3</w:t>
      </w:r>
      <w:r w:rsidR="00BC7AAF" w:rsidRPr="004122E2">
        <w:rPr>
          <w:rFonts w:ascii="Times New Roman" w:hAnsi="Times New Roman"/>
          <w:sz w:val="24"/>
          <w:szCs w:val="24"/>
        </w:rPr>
        <w:t>а</w:t>
      </w:r>
      <w:r w:rsidRPr="004122E2">
        <w:rPr>
          <w:rFonts w:ascii="Times New Roman" w:hAnsi="Times New Roman"/>
          <w:sz w:val="24"/>
          <w:szCs w:val="24"/>
        </w:rPr>
        <w:t xml:space="preserve">) </w:t>
      </w:r>
      <w:r w:rsidR="00BC7AAF" w:rsidRPr="004122E2">
        <w:rPr>
          <w:rFonts w:ascii="Times New Roman" w:hAnsi="Times New Roman"/>
          <w:sz w:val="24"/>
          <w:szCs w:val="24"/>
        </w:rPr>
        <w:t>функционери</w:t>
      </w:r>
      <w:r w:rsidRPr="004122E2">
        <w:rPr>
          <w:rFonts w:ascii="Times New Roman" w:hAnsi="Times New Roman"/>
          <w:sz w:val="24"/>
          <w:szCs w:val="24"/>
        </w:rPr>
        <w:t xml:space="preserve">, </w:t>
      </w:r>
      <w:r w:rsidR="00BC7AAF" w:rsidRPr="004122E2">
        <w:rPr>
          <w:rFonts w:ascii="Times New Roman" w:hAnsi="Times New Roman"/>
          <w:sz w:val="24"/>
          <w:szCs w:val="24"/>
        </w:rPr>
        <w:t>стручњаци</w:t>
      </w:r>
      <w:r w:rsidRPr="004122E2">
        <w:rPr>
          <w:rFonts w:ascii="Times New Roman" w:hAnsi="Times New Roman"/>
          <w:sz w:val="24"/>
          <w:szCs w:val="24"/>
        </w:rPr>
        <w:t xml:space="preserve"> </w:t>
      </w:r>
      <w:r w:rsidR="00BC7AAF" w:rsidRPr="004122E2">
        <w:rPr>
          <w:rFonts w:ascii="Times New Roman" w:hAnsi="Times New Roman"/>
          <w:sz w:val="24"/>
          <w:szCs w:val="24"/>
        </w:rPr>
        <w:t>и</w:t>
      </w:r>
      <w:r w:rsidRPr="004122E2">
        <w:rPr>
          <w:rFonts w:ascii="Times New Roman" w:hAnsi="Times New Roman"/>
          <w:sz w:val="24"/>
          <w:szCs w:val="24"/>
        </w:rPr>
        <w:t xml:space="preserve"> </w:t>
      </w:r>
      <w:r w:rsidR="00BC7AAF" w:rsidRPr="004122E2">
        <w:rPr>
          <w:rFonts w:ascii="Times New Roman" w:hAnsi="Times New Roman"/>
          <w:sz w:val="24"/>
          <w:szCs w:val="24"/>
        </w:rPr>
        <w:t>административно</w:t>
      </w:r>
      <w:r w:rsidRPr="004122E2">
        <w:rPr>
          <w:rFonts w:ascii="Times New Roman" w:hAnsi="Times New Roman"/>
          <w:sz w:val="24"/>
          <w:szCs w:val="24"/>
        </w:rPr>
        <w:t xml:space="preserve"> </w:t>
      </w:r>
      <w:r w:rsidR="00BC7AAF" w:rsidRPr="004122E2">
        <w:rPr>
          <w:rFonts w:ascii="Times New Roman" w:hAnsi="Times New Roman"/>
          <w:sz w:val="24"/>
          <w:szCs w:val="24"/>
        </w:rPr>
        <w:t>особље</w:t>
      </w:r>
      <w:r w:rsidRPr="004122E2">
        <w:rPr>
          <w:rFonts w:ascii="Times New Roman" w:hAnsi="Times New Roman"/>
          <w:sz w:val="24"/>
          <w:szCs w:val="24"/>
        </w:rPr>
        <w:t xml:space="preserve"> </w:t>
      </w:r>
      <w:r w:rsidR="00BC7AAF" w:rsidRPr="004122E2">
        <w:rPr>
          <w:rFonts w:ascii="Times New Roman" w:hAnsi="Times New Roman"/>
          <w:sz w:val="24"/>
          <w:szCs w:val="24"/>
        </w:rPr>
        <w:t>међународних</w:t>
      </w:r>
      <w:r w:rsidRPr="004122E2">
        <w:rPr>
          <w:rFonts w:ascii="Times New Roman" w:hAnsi="Times New Roman"/>
          <w:sz w:val="24"/>
          <w:szCs w:val="24"/>
        </w:rPr>
        <w:t xml:space="preserve"> </w:t>
      </w:r>
      <w:r w:rsidR="00BC7AAF" w:rsidRPr="004122E2">
        <w:rPr>
          <w:rFonts w:ascii="Times New Roman" w:hAnsi="Times New Roman"/>
          <w:sz w:val="24"/>
          <w:szCs w:val="24"/>
        </w:rPr>
        <w:t>организација</w:t>
      </w:r>
      <w:r w:rsidRPr="004122E2">
        <w:rPr>
          <w:rFonts w:ascii="Times New Roman" w:hAnsi="Times New Roman"/>
          <w:sz w:val="24"/>
          <w:szCs w:val="24"/>
        </w:rPr>
        <w:t xml:space="preserve">, </w:t>
      </w:r>
      <w:r w:rsidR="00BC7AAF" w:rsidRPr="004122E2">
        <w:rPr>
          <w:rFonts w:ascii="Times New Roman" w:hAnsi="Times New Roman"/>
          <w:sz w:val="24"/>
          <w:szCs w:val="24"/>
        </w:rPr>
        <w:t>ако</w:t>
      </w:r>
      <w:r w:rsidRPr="004122E2">
        <w:rPr>
          <w:rFonts w:ascii="Times New Roman" w:hAnsi="Times New Roman"/>
          <w:sz w:val="24"/>
          <w:szCs w:val="24"/>
        </w:rPr>
        <w:t xml:space="preserve"> </w:t>
      </w:r>
      <w:r w:rsidR="00BC7AAF" w:rsidRPr="004122E2">
        <w:rPr>
          <w:rFonts w:ascii="Times New Roman" w:hAnsi="Times New Roman"/>
          <w:sz w:val="24"/>
          <w:szCs w:val="24"/>
        </w:rPr>
        <w:t>нису</w:t>
      </w:r>
      <w:r w:rsidRPr="004122E2">
        <w:rPr>
          <w:rFonts w:ascii="Times New Roman" w:hAnsi="Times New Roman"/>
          <w:sz w:val="24"/>
          <w:szCs w:val="24"/>
        </w:rPr>
        <w:t xml:space="preserve"> </w:t>
      </w:r>
      <w:r w:rsidR="00BC7AAF" w:rsidRPr="004122E2">
        <w:rPr>
          <w:rFonts w:ascii="Times New Roman" w:hAnsi="Times New Roman"/>
          <w:sz w:val="24"/>
          <w:szCs w:val="24"/>
        </w:rPr>
        <w:t>држављани</w:t>
      </w:r>
      <w:r w:rsidRPr="004122E2">
        <w:rPr>
          <w:rFonts w:ascii="Times New Roman" w:hAnsi="Times New Roman"/>
          <w:sz w:val="24"/>
          <w:szCs w:val="24"/>
        </w:rPr>
        <w:t xml:space="preserve"> </w:t>
      </w:r>
      <w:r w:rsidR="00BC7AAF" w:rsidRPr="004122E2">
        <w:rPr>
          <w:rFonts w:ascii="Times New Roman" w:hAnsi="Times New Roman"/>
          <w:sz w:val="24"/>
          <w:szCs w:val="24"/>
        </w:rPr>
        <w:t>или</w:t>
      </w:r>
      <w:r w:rsidRPr="004122E2">
        <w:rPr>
          <w:rFonts w:ascii="Times New Roman" w:hAnsi="Times New Roman"/>
          <w:sz w:val="24"/>
          <w:szCs w:val="24"/>
        </w:rPr>
        <w:t xml:space="preserve"> </w:t>
      </w:r>
      <w:r w:rsidR="00BC7AAF" w:rsidRPr="004122E2">
        <w:rPr>
          <w:rFonts w:ascii="Times New Roman" w:hAnsi="Times New Roman"/>
          <w:sz w:val="24"/>
          <w:szCs w:val="24"/>
        </w:rPr>
        <w:t>резиденти</w:t>
      </w:r>
      <w:r w:rsidRPr="004122E2">
        <w:rPr>
          <w:rFonts w:ascii="Times New Roman" w:hAnsi="Times New Roman"/>
          <w:sz w:val="24"/>
          <w:szCs w:val="24"/>
        </w:rPr>
        <w:t xml:space="preserve"> </w:t>
      </w:r>
      <w:r w:rsidR="00BC7AAF" w:rsidRPr="004122E2">
        <w:rPr>
          <w:rFonts w:ascii="Times New Roman" w:hAnsi="Times New Roman"/>
          <w:sz w:val="24"/>
          <w:szCs w:val="24"/>
        </w:rPr>
        <w:t>Републике</w:t>
      </w:r>
      <w:r w:rsidRPr="004122E2">
        <w:rPr>
          <w:rFonts w:ascii="Times New Roman" w:hAnsi="Times New Roman"/>
          <w:sz w:val="24"/>
          <w:szCs w:val="24"/>
        </w:rPr>
        <w:t>;</w:t>
      </w:r>
    </w:p>
    <w:p w:rsidR="004354A1" w:rsidRPr="004122E2" w:rsidRDefault="004354A1" w:rsidP="004122E2">
      <w:pPr>
        <w:jc w:val="both"/>
        <w:rPr>
          <w:rFonts w:ascii="Times New Roman" w:hAnsi="Times New Roman"/>
          <w:sz w:val="24"/>
          <w:szCs w:val="24"/>
        </w:rPr>
      </w:pPr>
      <w:r w:rsidRPr="004122E2">
        <w:rPr>
          <w:rFonts w:ascii="Times New Roman" w:hAnsi="Times New Roman"/>
          <w:sz w:val="24"/>
          <w:szCs w:val="24"/>
        </w:rPr>
        <w:t xml:space="preserve">4) </w:t>
      </w:r>
      <w:r w:rsidR="00BC7AAF" w:rsidRPr="004122E2">
        <w:rPr>
          <w:rFonts w:ascii="Times New Roman" w:hAnsi="Times New Roman"/>
          <w:sz w:val="24"/>
          <w:szCs w:val="24"/>
        </w:rPr>
        <w:t>запослени</w:t>
      </w:r>
      <w:r w:rsidRPr="004122E2">
        <w:rPr>
          <w:rFonts w:ascii="Times New Roman" w:hAnsi="Times New Roman"/>
          <w:sz w:val="24"/>
          <w:szCs w:val="24"/>
        </w:rPr>
        <w:t xml:space="preserve"> </w:t>
      </w:r>
      <w:r w:rsidR="00BC7AAF" w:rsidRPr="004122E2">
        <w:rPr>
          <w:rFonts w:ascii="Times New Roman" w:hAnsi="Times New Roman"/>
          <w:sz w:val="24"/>
          <w:szCs w:val="24"/>
        </w:rPr>
        <w:t>у</w:t>
      </w:r>
      <w:r w:rsidRPr="004122E2">
        <w:rPr>
          <w:rFonts w:ascii="Times New Roman" w:hAnsi="Times New Roman"/>
          <w:sz w:val="24"/>
          <w:szCs w:val="24"/>
        </w:rPr>
        <w:t xml:space="preserve"> </w:t>
      </w:r>
      <w:r w:rsidR="00BC7AAF" w:rsidRPr="004122E2">
        <w:rPr>
          <w:rFonts w:ascii="Times New Roman" w:hAnsi="Times New Roman"/>
          <w:sz w:val="24"/>
          <w:szCs w:val="24"/>
        </w:rPr>
        <w:t>страним</w:t>
      </w:r>
      <w:r w:rsidRPr="004122E2">
        <w:rPr>
          <w:rFonts w:ascii="Times New Roman" w:hAnsi="Times New Roman"/>
          <w:sz w:val="24"/>
          <w:szCs w:val="24"/>
        </w:rPr>
        <w:t xml:space="preserve"> </w:t>
      </w:r>
      <w:r w:rsidR="00BC7AAF" w:rsidRPr="004122E2">
        <w:rPr>
          <w:rFonts w:ascii="Times New Roman" w:hAnsi="Times New Roman"/>
          <w:sz w:val="24"/>
          <w:szCs w:val="24"/>
        </w:rPr>
        <w:t>дипломатским</w:t>
      </w:r>
      <w:r w:rsidRPr="004122E2">
        <w:rPr>
          <w:rFonts w:ascii="Times New Roman" w:hAnsi="Times New Roman"/>
          <w:sz w:val="24"/>
          <w:szCs w:val="24"/>
        </w:rPr>
        <w:t xml:space="preserve"> </w:t>
      </w:r>
      <w:r w:rsidR="00BC7AAF" w:rsidRPr="004122E2">
        <w:rPr>
          <w:rFonts w:ascii="Times New Roman" w:hAnsi="Times New Roman"/>
          <w:sz w:val="24"/>
          <w:szCs w:val="24"/>
        </w:rPr>
        <w:t>или</w:t>
      </w:r>
      <w:r w:rsidRPr="004122E2">
        <w:rPr>
          <w:rFonts w:ascii="Times New Roman" w:hAnsi="Times New Roman"/>
          <w:sz w:val="24"/>
          <w:szCs w:val="24"/>
        </w:rPr>
        <w:t xml:space="preserve"> </w:t>
      </w:r>
      <w:r w:rsidR="00BC7AAF" w:rsidRPr="004122E2">
        <w:rPr>
          <w:rFonts w:ascii="Times New Roman" w:hAnsi="Times New Roman"/>
          <w:sz w:val="24"/>
          <w:szCs w:val="24"/>
        </w:rPr>
        <w:t>конзуларним</w:t>
      </w:r>
      <w:r w:rsidRPr="004122E2">
        <w:rPr>
          <w:rFonts w:ascii="Times New Roman" w:hAnsi="Times New Roman"/>
          <w:sz w:val="24"/>
          <w:szCs w:val="24"/>
        </w:rPr>
        <w:t xml:space="preserve"> </w:t>
      </w:r>
      <w:r w:rsidR="00BC7AAF" w:rsidRPr="004122E2">
        <w:rPr>
          <w:rFonts w:ascii="Times New Roman" w:hAnsi="Times New Roman"/>
          <w:sz w:val="24"/>
          <w:szCs w:val="24"/>
        </w:rPr>
        <w:t>представништвима</w:t>
      </w:r>
      <w:r w:rsidRPr="004122E2">
        <w:rPr>
          <w:rFonts w:ascii="Times New Roman" w:hAnsi="Times New Roman"/>
          <w:sz w:val="24"/>
          <w:szCs w:val="24"/>
        </w:rPr>
        <w:t xml:space="preserve"> </w:t>
      </w:r>
      <w:r w:rsidR="00BC7AAF" w:rsidRPr="004122E2">
        <w:rPr>
          <w:rFonts w:ascii="Times New Roman" w:hAnsi="Times New Roman"/>
          <w:sz w:val="24"/>
          <w:szCs w:val="24"/>
        </w:rPr>
        <w:t>и</w:t>
      </w:r>
      <w:r w:rsidRPr="004122E2">
        <w:rPr>
          <w:rFonts w:ascii="Times New Roman" w:hAnsi="Times New Roman"/>
          <w:sz w:val="24"/>
          <w:szCs w:val="24"/>
        </w:rPr>
        <w:t xml:space="preserve"> </w:t>
      </w:r>
      <w:r w:rsidR="00BC7AAF" w:rsidRPr="004122E2">
        <w:rPr>
          <w:rFonts w:ascii="Times New Roman" w:hAnsi="Times New Roman"/>
          <w:sz w:val="24"/>
          <w:szCs w:val="24"/>
        </w:rPr>
        <w:t>међународним</w:t>
      </w:r>
      <w:r w:rsidRPr="004122E2">
        <w:rPr>
          <w:rFonts w:ascii="Times New Roman" w:hAnsi="Times New Roman"/>
          <w:sz w:val="24"/>
          <w:szCs w:val="24"/>
        </w:rPr>
        <w:t xml:space="preserve"> </w:t>
      </w:r>
      <w:r w:rsidR="00BC7AAF" w:rsidRPr="004122E2">
        <w:rPr>
          <w:rFonts w:ascii="Times New Roman" w:hAnsi="Times New Roman"/>
          <w:sz w:val="24"/>
          <w:szCs w:val="24"/>
        </w:rPr>
        <w:t>организацијама</w:t>
      </w:r>
      <w:r w:rsidRPr="004122E2">
        <w:rPr>
          <w:rFonts w:ascii="Times New Roman" w:hAnsi="Times New Roman"/>
          <w:sz w:val="24"/>
          <w:szCs w:val="24"/>
        </w:rPr>
        <w:t xml:space="preserve">, </w:t>
      </w:r>
      <w:r w:rsidR="00BC7AAF" w:rsidRPr="004122E2">
        <w:rPr>
          <w:rFonts w:ascii="Times New Roman" w:hAnsi="Times New Roman"/>
          <w:sz w:val="24"/>
          <w:szCs w:val="24"/>
        </w:rPr>
        <w:t>ако</w:t>
      </w:r>
      <w:r w:rsidRPr="004122E2">
        <w:rPr>
          <w:rFonts w:ascii="Times New Roman" w:hAnsi="Times New Roman"/>
          <w:sz w:val="24"/>
          <w:szCs w:val="24"/>
        </w:rPr>
        <w:t xml:space="preserve"> </w:t>
      </w:r>
      <w:r w:rsidR="00BC7AAF" w:rsidRPr="004122E2">
        <w:rPr>
          <w:rFonts w:ascii="Times New Roman" w:hAnsi="Times New Roman"/>
          <w:sz w:val="24"/>
          <w:szCs w:val="24"/>
        </w:rPr>
        <w:t>нису</w:t>
      </w:r>
      <w:r w:rsidRPr="004122E2">
        <w:rPr>
          <w:rFonts w:ascii="Times New Roman" w:hAnsi="Times New Roman"/>
          <w:sz w:val="24"/>
          <w:szCs w:val="24"/>
        </w:rPr>
        <w:t xml:space="preserve"> </w:t>
      </w:r>
      <w:r w:rsidR="00BC7AAF" w:rsidRPr="004122E2">
        <w:rPr>
          <w:rFonts w:ascii="Times New Roman" w:hAnsi="Times New Roman"/>
          <w:sz w:val="24"/>
          <w:szCs w:val="24"/>
        </w:rPr>
        <w:t>држављани</w:t>
      </w:r>
      <w:r w:rsidRPr="004122E2">
        <w:rPr>
          <w:rFonts w:ascii="Times New Roman" w:hAnsi="Times New Roman"/>
          <w:sz w:val="24"/>
          <w:szCs w:val="24"/>
        </w:rPr>
        <w:t xml:space="preserve"> </w:t>
      </w:r>
      <w:r w:rsidR="00BC7AAF" w:rsidRPr="004122E2">
        <w:rPr>
          <w:rFonts w:ascii="Times New Roman" w:hAnsi="Times New Roman"/>
          <w:sz w:val="24"/>
          <w:szCs w:val="24"/>
        </w:rPr>
        <w:t>или</w:t>
      </w:r>
      <w:r w:rsidRPr="004122E2">
        <w:rPr>
          <w:rFonts w:ascii="Times New Roman" w:hAnsi="Times New Roman"/>
          <w:sz w:val="24"/>
          <w:szCs w:val="24"/>
        </w:rPr>
        <w:t xml:space="preserve"> </w:t>
      </w:r>
      <w:r w:rsidR="00BC7AAF" w:rsidRPr="004122E2">
        <w:rPr>
          <w:rFonts w:ascii="Times New Roman" w:hAnsi="Times New Roman"/>
          <w:sz w:val="24"/>
          <w:szCs w:val="24"/>
        </w:rPr>
        <w:t>резиденти</w:t>
      </w:r>
      <w:r w:rsidRPr="004122E2">
        <w:rPr>
          <w:rFonts w:ascii="Times New Roman" w:hAnsi="Times New Roman"/>
          <w:sz w:val="24"/>
          <w:szCs w:val="24"/>
        </w:rPr>
        <w:t xml:space="preserve"> </w:t>
      </w:r>
      <w:r w:rsidR="00BC7AAF" w:rsidRPr="004122E2">
        <w:rPr>
          <w:rFonts w:ascii="Times New Roman" w:hAnsi="Times New Roman"/>
          <w:sz w:val="24"/>
          <w:szCs w:val="24"/>
        </w:rPr>
        <w:t>Републике</w:t>
      </w:r>
      <w:r w:rsidRPr="004122E2">
        <w:rPr>
          <w:rFonts w:ascii="Times New Roman" w:hAnsi="Times New Roman"/>
          <w:sz w:val="24"/>
          <w:szCs w:val="24"/>
        </w:rPr>
        <w:t>;</w:t>
      </w:r>
    </w:p>
    <w:p w:rsidR="004354A1" w:rsidRPr="004122E2" w:rsidRDefault="004354A1" w:rsidP="004122E2">
      <w:pPr>
        <w:jc w:val="both"/>
        <w:rPr>
          <w:rFonts w:ascii="Times New Roman" w:hAnsi="Times New Roman"/>
          <w:sz w:val="24"/>
          <w:szCs w:val="24"/>
        </w:rPr>
      </w:pPr>
      <w:r w:rsidRPr="004122E2">
        <w:rPr>
          <w:rFonts w:ascii="Times New Roman" w:hAnsi="Times New Roman"/>
          <w:sz w:val="24"/>
          <w:szCs w:val="24"/>
        </w:rPr>
        <w:t xml:space="preserve">5) </w:t>
      </w:r>
      <w:r w:rsidR="00BC7AAF" w:rsidRPr="004122E2">
        <w:rPr>
          <w:rFonts w:ascii="Times New Roman" w:hAnsi="Times New Roman"/>
          <w:sz w:val="24"/>
          <w:szCs w:val="24"/>
        </w:rPr>
        <w:t>почасни</w:t>
      </w:r>
      <w:r w:rsidRPr="004122E2">
        <w:rPr>
          <w:rFonts w:ascii="Times New Roman" w:hAnsi="Times New Roman"/>
          <w:sz w:val="24"/>
          <w:szCs w:val="24"/>
        </w:rPr>
        <w:t xml:space="preserve"> </w:t>
      </w:r>
      <w:r w:rsidR="00BC7AAF" w:rsidRPr="004122E2">
        <w:rPr>
          <w:rFonts w:ascii="Times New Roman" w:hAnsi="Times New Roman"/>
          <w:sz w:val="24"/>
          <w:szCs w:val="24"/>
        </w:rPr>
        <w:t>конзули</w:t>
      </w:r>
      <w:r w:rsidRPr="004122E2">
        <w:rPr>
          <w:rFonts w:ascii="Times New Roman" w:hAnsi="Times New Roman"/>
          <w:sz w:val="24"/>
          <w:szCs w:val="24"/>
        </w:rPr>
        <w:t xml:space="preserve"> </w:t>
      </w:r>
      <w:r w:rsidR="00BC7AAF" w:rsidRPr="004122E2">
        <w:rPr>
          <w:rFonts w:ascii="Times New Roman" w:hAnsi="Times New Roman"/>
          <w:sz w:val="24"/>
          <w:szCs w:val="24"/>
        </w:rPr>
        <w:t>страних</w:t>
      </w:r>
      <w:r w:rsidRPr="004122E2">
        <w:rPr>
          <w:rFonts w:ascii="Times New Roman" w:hAnsi="Times New Roman"/>
          <w:sz w:val="24"/>
          <w:szCs w:val="24"/>
        </w:rPr>
        <w:t xml:space="preserve"> </w:t>
      </w:r>
      <w:r w:rsidR="00BC7AAF" w:rsidRPr="004122E2">
        <w:rPr>
          <w:rFonts w:ascii="Times New Roman" w:hAnsi="Times New Roman"/>
          <w:sz w:val="24"/>
          <w:szCs w:val="24"/>
        </w:rPr>
        <w:t>држава</w:t>
      </w:r>
      <w:r w:rsidRPr="004122E2">
        <w:rPr>
          <w:rFonts w:ascii="Times New Roman" w:hAnsi="Times New Roman"/>
          <w:sz w:val="24"/>
          <w:szCs w:val="24"/>
        </w:rPr>
        <w:t xml:space="preserve">, </w:t>
      </w:r>
      <w:r w:rsidR="00BC7AAF" w:rsidRPr="004122E2">
        <w:rPr>
          <w:rFonts w:ascii="Times New Roman" w:hAnsi="Times New Roman"/>
          <w:sz w:val="24"/>
          <w:szCs w:val="24"/>
        </w:rPr>
        <w:t>за</w:t>
      </w:r>
      <w:r w:rsidRPr="004122E2">
        <w:rPr>
          <w:rFonts w:ascii="Times New Roman" w:hAnsi="Times New Roman"/>
          <w:sz w:val="24"/>
          <w:szCs w:val="24"/>
        </w:rPr>
        <w:t xml:space="preserve"> </w:t>
      </w:r>
      <w:r w:rsidR="00BC7AAF" w:rsidRPr="004122E2">
        <w:rPr>
          <w:rFonts w:ascii="Times New Roman" w:hAnsi="Times New Roman"/>
          <w:sz w:val="24"/>
          <w:szCs w:val="24"/>
        </w:rPr>
        <w:t>примања</w:t>
      </w:r>
      <w:r w:rsidRPr="004122E2">
        <w:rPr>
          <w:rFonts w:ascii="Times New Roman" w:hAnsi="Times New Roman"/>
          <w:sz w:val="24"/>
          <w:szCs w:val="24"/>
        </w:rPr>
        <w:t xml:space="preserve"> </w:t>
      </w:r>
      <w:r w:rsidR="00BC7AAF" w:rsidRPr="004122E2">
        <w:rPr>
          <w:rFonts w:ascii="Times New Roman" w:hAnsi="Times New Roman"/>
          <w:sz w:val="24"/>
          <w:szCs w:val="24"/>
        </w:rPr>
        <w:t>која</w:t>
      </w:r>
      <w:r w:rsidRPr="004122E2">
        <w:rPr>
          <w:rFonts w:ascii="Times New Roman" w:hAnsi="Times New Roman"/>
          <w:sz w:val="24"/>
          <w:szCs w:val="24"/>
        </w:rPr>
        <w:t xml:space="preserve"> </w:t>
      </w:r>
      <w:r w:rsidR="00BC7AAF" w:rsidRPr="004122E2">
        <w:rPr>
          <w:rFonts w:ascii="Times New Roman" w:hAnsi="Times New Roman"/>
          <w:sz w:val="24"/>
          <w:szCs w:val="24"/>
        </w:rPr>
        <w:t>добијају</w:t>
      </w:r>
      <w:r w:rsidRPr="004122E2">
        <w:rPr>
          <w:rFonts w:ascii="Times New Roman" w:hAnsi="Times New Roman"/>
          <w:sz w:val="24"/>
          <w:szCs w:val="24"/>
        </w:rPr>
        <w:t xml:space="preserve"> </w:t>
      </w:r>
      <w:r w:rsidR="00BC7AAF" w:rsidRPr="004122E2">
        <w:rPr>
          <w:rFonts w:ascii="Times New Roman" w:hAnsi="Times New Roman"/>
          <w:sz w:val="24"/>
          <w:szCs w:val="24"/>
        </w:rPr>
        <w:t>од</w:t>
      </w:r>
      <w:r w:rsidRPr="004122E2">
        <w:rPr>
          <w:rFonts w:ascii="Times New Roman" w:hAnsi="Times New Roman"/>
          <w:sz w:val="24"/>
          <w:szCs w:val="24"/>
        </w:rPr>
        <w:t xml:space="preserve"> </w:t>
      </w:r>
      <w:r w:rsidR="00BC7AAF" w:rsidRPr="004122E2">
        <w:rPr>
          <w:rFonts w:ascii="Times New Roman" w:hAnsi="Times New Roman"/>
          <w:sz w:val="24"/>
          <w:szCs w:val="24"/>
        </w:rPr>
        <w:t>државе</w:t>
      </w:r>
      <w:r w:rsidRPr="004122E2">
        <w:rPr>
          <w:rFonts w:ascii="Times New Roman" w:hAnsi="Times New Roman"/>
          <w:sz w:val="24"/>
          <w:szCs w:val="24"/>
        </w:rPr>
        <w:t xml:space="preserve"> </w:t>
      </w:r>
      <w:r w:rsidR="00BC7AAF" w:rsidRPr="004122E2">
        <w:rPr>
          <w:rFonts w:ascii="Times New Roman" w:hAnsi="Times New Roman"/>
          <w:sz w:val="24"/>
          <w:szCs w:val="24"/>
        </w:rPr>
        <w:t>која</w:t>
      </w:r>
      <w:r w:rsidRPr="004122E2">
        <w:rPr>
          <w:rFonts w:ascii="Times New Roman" w:hAnsi="Times New Roman"/>
          <w:sz w:val="24"/>
          <w:szCs w:val="24"/>
        </w:rPr>
        <w:t xml:space="preserve"> </w:t>
      </w:r>
      <w:r w:rsidR="00BC7AAF" w:rsidRPr="004122E2">
        <w:rPr>
          <w:rFonts w:ascii="Times New Roman" w:hAnsi="Times New Roman"/>
          <w:sz w:val="24"/>
          <w:szCs w:val="24"/>
        </w:rPr>
        <w:t>их</w:t>
      </w:r>
      <w:r w:rsidRPr="004122E2">
        <w:rPr>
          <w:rFonts w:ascii="Times New Roman" w:hAnsi="Times New Roman"/>
          <w:sz w:val="24"/>
          <w:szCs w:val="24"/>
        </w:rPr>
        <w:t xml:space="preserve"> </w:t>
      </w:r>
      <w:r w:rsidR="00BC7AAF" w:rsidRPr="004122E2">
        <w:rPr>
          <w:rFonts w:ascii="Times New Roman" w:hAnsi="Times New Roman"/>
          <w:sz w:val="24"/>
          <w:szCs w:val="24"/>
        </w:rPr>
        <w:t>је</w:t>
      </w:r>
      <w:r w:rsidRPr="004122E2">
        <w:rPr>
          <w:rFonts w:ascii="Times New Roman" w:hAnsi="Times New Roman"/>
          <w:sz w:val="24"/>
          <w:szCs w:val="24"/>
        </w:rPr>
        <w:t xml:space="preserve"> </w:t>
      </w:r>
      <w:r w:rsidR="00BC7AAF" w:rsidRPr="004122E2">
        <w:rPr>
          <w:rFonts w:ascii="Times New Roman" w:hAnsi="Times New Roman"/>
          <w:sz w:val="24"/>
          <w:szCs w:val="24"/>
        </w:rPr>
        <w:t>именовала</w:t>
      </w:r>
      <w:r w:rsidRPr="004122E2">
        <w:rPr>
          <w:rFonts w:ascii="Times New Roman" w:hAnsi="Times New Roman"/>
          <w:sz w:val="24"/>
          <w:szCs w:val="24"/>
        </w:rPr>
        <w:t xml:space="preserve"> </w:t>
      </w:r>
      <w:r w:rsidR="00BC7AAF" w:rsidRPr="004122E2">
        <w:rPr>
          <w:rFonts w:ascii="Times New Roman" w:hAnsi="Times New Roman"/>
          <w:sz w:val="24"/>
          <w:szCs w:val="24"/>
        </w:rPr>
        <w:t>за</w:t>
      </w:r>
      <w:r w:rsidRPr="004122E2">
        <w:rPr>
          <w:rFonts w:ascii="Times New Roman" w:hAnsi="Times New Roman"/>
          <w:sz w:val="24"/>
          <w:szCs w:val="24"/>
        </w:rPr>
        <w:t xml:space="preserve"> </w:t>
      </w:r>
      <w:r w:rsidR="00BC7AAF" w:rsidRPr="004122E2">
        <w:rPr>
          <w:rFonts w:ascii="Times New Roman" w:hAnsi="Times New Roman"/>
          <w:sz w:val="24"/>
          <w:szCs w:val="24"/>
        </w:rPr>
        <w:t>обављање</w:t>
      </w:r>
      <w:r w:rsidRPr="004122E2">
        <w:rPr>
          <w:rFonts w:ascii="Times New Roman" w:hAnsi="Times New Roman"/>
          <w:sz w:val="24"/>
          <w:szCs w:val="24"/>
        </w:rPr>
        <w:t xml:space="preserve"> </w:t>
      </w:r>
      <w:r w:rsidR="00BC7AAF" w:rsidRPr="004122E2">
        <w:rPr>
          <w:rFonts w:ascii="Times New Roman" w:hAnsi="Times New Roman"/>
          <w:sz w:val="24"/>
          <w:szCs w:val="24"/>
        </w:rPr>
        <w:t>конзуларних</w:t>
      </w:r>
      <w:r w:rsidRPr="004122E2">
        <w:rPr>
          <w:rFonts w:ascii="Times New Roman" w:hAnsi="Times New Roman"/>
          <w:sz w:val="24"/>
          <w:szCs w:val="24"/>
        </w:rPr>
        <w:t xml:space="preserve"> </w:t>
      </w:r>
      <w:r w:rsidR="00BC7AAF" w:rsidRPr="004122E2">
        <w:rPr>
          <w:rFonts w:ascii="Times New Roman" w:hAnsi="Times New Roman"/>
          <w:sz w:val="24"/>
          <w:szCs w:val="24"/>
        </w:rPr>
        <w:t>функција</w:t>
      </w:r>
      <w:r w:rsidRPr="004122E2">
        <w:rPr>
          <w:rFonts w:ascii="Times New Roman" w:hAnsi="Times New Roman"/>
          <w:sz w:val="24"/>
          <w:szCs w:val="24"/>
        </w:rPr>
        <w:t>;</w:t>
      </w:r>
    </w:p>
    <w:p w:rsidR="00BF6E72" w:rsidRPr="004122E2" w:rsidRDefault="004354A1" w:rsidP="004122E2">
      <w:pPr>
        <w:jc w:val="both"/>
        <w:rPr>
          <w:rFonts w:ascii="Times New Roman" w:hAnsi="Times New Roman"/>
          <w:sz w:val="24"/>
          <w:szCs w:val="24"/>
          <w:lang w:val="sr-Cyrl-CS"/>
        </w:rPr>
      </w:pPr>
      <w:r w:rsidRPr="004122E2">
        <w:rPr>
          <w:rFonts w:ascii="Times New Roman" w:hAnsi="Times New Roman"/>
          <w:sz w:val="24"/>
          <w:szCs w:val="24"/>
        </w:rPr>
        <w:lastRenderedPageBreak/>
        <w:t xml:space="preserve">6) </w:t>
      </w:r>
      <w:r w:rsidR="00BC7AAF" w:rsidRPr="004122E2">
        <w:rPr>
          <w:rFonts w:ascii="Times New Roman" w:hAnsi="Times New Roman"/>
          <w:sz w:val="24"/>
          <w:szCs w:val="24"/>
        </w:rPr>
        <w:t>запослени</w:t>
      </w:r>
      <w:r w:rsidRPr="004122E2">
        <w:rPr>
          <w:rFonts w:ascii="Times New Roman" w:hAnsi="Times New Roman"/>
          <w:sz w:val="24"/>
          <w:szCs w:val="24"/>
        </w:rPr>
        <w:t xml:space="preserve"> </w:t>
      </w:r>
      <w:r w:rsidR="00BC7AAF" w:rsidRPr="004122E2">
        <w:rPr>
          <w:rFonts w:ascii="Times New Roman" w:hAnsi="Times New Roman"/>
          <w:sz w:val="24"/>
          <w:szCs w:val="24"/>
        </w:rPr>
        <w:t>код</w:t>
      </w:r>
      <w:r w:rsidRPr="004122E2">
        <w:rPr>
          <w:rFonts w:ascii="Times New Roman" w:hAnsi="Times New Roman"/>
          <w:sz w:val="24"/>
          <w:szCs w:val="24"/>
        </w:rPr>
        <w:t xml:space="preserve"> </w:t>
      </w:r>
      <w:r w:rsidR="00BF6E72" w:rsidRPr="004122E2">
        <w:rPr>
          <w:rFonts w:ascii="Times New Roman" w:hAnsi="Times New Roman"/>
          <w:sz w:val="24"/>
          <w:szCs w:val="24"/>
          <w:lang w:val="sr-Cyrl-CS"/>
        </w:rPr>
        <w:t xml:space="preserve"> наведених </w:t>
      </w:r>
      <w:r w:rsidR="00BC7AAF" w:rsidRPr="004122E2">
        <w:rPr>
          <w:rFonts w:ascii="Times New Roman" w:hAnsi="Times New Roman"/>
          <w:sz w:val="24"/>
          <w:szCs w:val="24"/>
        </w:rPr>
        <w:t>лица</w:t>
      </w:r>
      <w:r w:rsidRPr="004122E2">
        <w:rPr>
          <w:rFonts w:ascii="Times New Roman" w:hAnsi="Times New Roman"/>
          <w:sz w:val="24"/>
          <w:szCs w:val="24"/>
        </w:rPr>
        <w:t xml:space="preserve"> </w:t>
      </w:r>
      <w:r w:rsidR="00BC7AAF" w:rsidRPr="004122E2">
        <w:rPr>
          <w:rFonts w:ascii="Times New Roman" w:hAnsi="Times New Roman"/>
          <w:sz w:val="24"/>
          <w:szCs w:val="24"/>
        </w:rPr>
        <w:t>ако</w:t>
      </w:r>
      <w:r w:rsidRPr="004122E2">
        <w:rPr>
          <w:rFonts w:ascii="Times New Roman" w:hAnsi="Times New Roman"/>
          <w:sz w:val="24"/>
          <w:szCs w:val="24"/>
        </w:rPr>
        <w:t xml:space="preserve"> </w:t>
      </w:r>
      <w:r w:rsidR="00BC7AAF" w:rsidRPr="004122E2">
        <w:rPr>
          <w:rFonts w:ascii="Times New Roman" w:hAnsi="Times New Roman"/>
          <w:sz w:val="24"/>
          <w:szCs w:val="24"/>
        </w:rPr>
        <w:t>нису</w:t>
      </w:r>
      <w:r w:rsidRPr="004122E2">
        <w:rPr>
          <w:rFonts w:ascii="Times New Roman" w:hAnsi="Times New Roman"/>
          <w:sz w:val="24"/>
          <w:szCs w:val="24"/>
        </w:rPr>
        <w:t xml:space="preserve"> </w:t>
      </w:r>
      <w:r w:rsidR="00BC7AAF" w:rsidRPr="004122E2">
        <w:rPr>
          <w:rFonts w:ascii="Times New Roman" w:hAnsi="Times New Roman"/>
          <w:sz w:val="24"/>
          <w:szCs w:val="24"/>
        </w:rPr>
        <w:t>држављани</w:t>
      </w:r>
      <w:r w:rsidRPr="004122E2">
        <w:rPr>
          <w:rFonts w:ascii="Times New Roman" w:hAnsi="Times New Roman"/>
          <w:sz w:val="24"/>
          <w:szCs w:val="24"/>
        </w:rPr>
        <w:t xml:space="preserve"> </w:t>
      </w:r>
      <w:r w:rsidR="00BC7AAF" w:rsidRPr="004122E2">
        <w:rPr>
          <w:rFonts w:ascii="Times New Roman" w:hAnsi="Times New Roman"/>
          <w:sz w:val="24"/>
          <w:szCs w:val="24"/>
        </w:rPr>
        <w:t>или</w:t>
      </w:r>
      <w:r w:rsidRPr="004122E2">
        <w:rPr>
          <w:rFonts w:ascii="Times New Roman" w:hAnsi="Times New Roman"/>
          <w:sz w:val="24"/>
          <w:szCs w:val="24"/>
        </w:rPr>
        <w:t xml:space="preserve"> </w:t>
      </w:r>
      <w:r w:rsidR="00BC7AAF" w:rsidRPr="004122E2">
        <w:rPr>
          <w:rFonts w:ascii="Times New Roman" w:hAnsi="Times New Roman"/>
          <w:sz w:val="24"/>
          <w:szCs w:val="24"/>
        </w:rPr>
        <w:t>резиденти</w:t>
      </w:r>
      <w:r w:rsidRPr="004122E2">
        <w:rPr>
          <w:rFonts w:ascii="Times New Roman" w:hAnsi="Times New Roman"/>
          <w:sz w:val="24"/>
          <w:szCs w:val="24"/>
        </w:rPr>
        <w:t xml:space="preserve"> </w:t>
      </w:r>
      <w:r w:rsidR="00BC7AAF" w:rsidRPr="004122E2">
        <w:rPr>
          <w:rFonts w:ascii="Times New Roman" w:hAnsi="Times New Roman"/>
          <w:sz w:val="24"/>
          <w:szCs w:val="24"/>
        </w:rPr>
        <w:t>Републике</w:t>
      </w:r>
      <w:r w:rsidRPr="004122E2">
        <w:rPr>
          <w:rFonts w:ascii="Times New Roman" w:hAnsi="Times New Roman"/>
          <w:sz w:val="24"/>
          <w:szCs w:val="24"/>
        </w:rPr>
        <w:t>.</w:t>
      </w:r>
      <w:r w:rsidR="00BF6E72" w:rsidRPr="004122E2">
        <w:rPr>
          <w:rStyle w:val="FootnoteReference"/>
          <w:rFonts w:ascii="Times New Roman" w:hAnsi="Times New Roman"/>
          <w:color w:val="000000"/>
          <w:sz w:val="24"/>
          <w:szCs w:val="24"/>
        </w:rPr>
        <w:footnoteReference w:id="451"/>
      </w:r>
    </w:p>
    <w:p w:rsidR="00BF6E72" w:rsidRPr="004122E2" w:rsidRDefault="00BF6E72" w:rsidP="004122E2">
      <w:pPr>
        <w:jc w:val="both"/>
        <w:rPr>
          <w:rFonts w:ascii="Times New Roman" w:hAnsi="Times New Roman"/>
          <w:sz w:val="24"/>
          <w:szCs w:val="24"/>
          <w:lang w:val="sr-Cyrl-CS"/>
        </w:rPr>
      </w:pPr>
      <w:r w:rsidRPr="004122E2">
        <w:rPr>
          <w:rFonts w:ascii="Times New Roman" w:hAnsi="Times New Roman"/>
          <w:sz w:val="24"/>
          <w:szCs w:val="24"/>
          <w:shd w:val="clear" w:color="auto" w:fill="FFFFFF"/>
          <w:lang w:val="sr-Cyrl-CS"/>
        </w:rPr>
        <w:t xml:space="preserve">зараде које оствари </w:t>
      </w:r>
      <w:r w:rsidR="00BC7AAF" w:rsidRPr="004122E2">
        <w:rPr>
          <w:rFonts w:ascii="Times New Roman" w:hAnsi="Times New Roman"/>
          <w:sz w:val="24"/>
          <w:szCs w:val="24"/>
          <w:shd w:val="clear" w:color="auto" w:fill="FFFFFF"/>
        </w:rPr>
        <w:t>особа</w:t>
      </w:r>
      <w:r w:rsidRPr="004122E2">
        <w:rPr>
          <w:rFonts w:ascii="Times New Roman" w:hAnsi="Times New Roman"/>
          <w:sz w:val="24"/>
          <w:szCs w:val="24"/>
          <w:shd w:val="clear" w:color="auto" w:fill="FFFFFF"/>
        </w:rPr>
        <w:t xml:space="preserve"> </w:t>
      </w:r>
      <w:r w:rsidR="00BC7AAF" w:rsidRPr="004122E2">
        <w:rPr>
          <w:rFonts w:ascii="Times New Roman" w:hAnsi="Times New Roman"/>
          <w:sz w:val="24"/>
          <w:szCs w:val="24"/>
          <w:shd w:val="clear" w:color="auto" w:fill="FFFFFF"/>
        </w:rPr>
        <w:t>са</w:t>
      </w:r>
      <w:r w:rsidRPr="004122E2">
        <w:rPr>
          <w:rFonts w:ascii="Times New Roman" w:hAnsi="Times New Roman"/>
          <w:sz w:val="24"/>
          <w:szCs w:val="24"/>
          <w:shd w:val="clear" w:color="auto" w:fill="FFFFFF"/>
        </w:rPr>
        <w:t xml:space="preserve"> </w:t>
      </w:r>
      <w:r w:rsidR="00BC7AAF" w:rsidRPr="004122E2">
        <w:rPr>
          <w:rFonts w:ascii="Times New Roman" w:hAnsi="Times New Roman"/>
          <w:sz w:val="24"/>
          <w:szCs w:val="24"/>
          <w:shd w:val="clear" w:color="auto" w:fill="FFFFFF"/>
        </w:rPr>
        <w:t>инвалидитетом</w:t>
      </w:r>
      <w:r w:rsidRPr="004122E2">
        <w:rPr>
          <w:rFonts w:ascii="Times New Roman" w:hAnsi="Times New Roman"/>
          <w:sz w:val="24"/>
          <w:szCs w:val="24"/>
          <w:shd w:val="clear" w:color="auto" w:fill="FFFFFF"/>
        </w:rPr>
        <w:t xml:space="preserve"> </w:t>
      </w:r>
      <w:r w:rsidR="00BC7AAF" w:rsidRPr="004122E2">
        <w:rPr>
          <w:rFonts w:ascii="Times New Roman" w:hAnsi="Times New Roman"/>
          <w:sz w:val="24"/>
          <w:szCs w:val="24"/>
          <w:shd w:val="clear" w:color="auto" w:fill="FFFFFF"/>
        </w:rPr>
        <w:t>запослених</w:t>
      </w:r>
      <w:r w:rsidRPr="004122E2">
        <w:rPr>
          <w:rFonts w:ascii="Times New Roman" w:hAnsi="Times New Roman"/>
          <w:sz w:val="24"/>
          <w:szCs w:val="24"/>
          <w:shd w:val="clear" w:color="auto" w:fill="FFFFFF"/>
        </w:rPr>
        <w:t xml:space="preserve"> </w:t>
      </w:r>
      <w:r w:rsidR="00BC7AAF" w:rsidRPr="004122E2">
        <w:rPr>
          <w:rFonts w:ascii="Times New Roman" w:hAnsi="Times New Roman"/>
          <w:sz w:val="24"/>
          <w:szCs w:val="24"/>
          <w:shd w:val="clear" w:color="auto" w:fill="FFFFFF"/>
        </w:rPr>
        <w:t>у</w:t>
      </w:r>
      <w:r w:rsidRPr="004122E2">
        <w:rPr>
          <w:rFonts w:ascii="Times New Roman" w:hAnsi="Times New Roman"/>
          <w:sz w:val="24"/>
          <w:szCs w:val="24"/>
          <w:shd w:val="clear" w:color="auto" w:fill="FFFFFF"/>
        </w:rPr>
        <w:t xml:space="preserve"> </w:t>
      </w:r>
      <w:r w:rsidR="00BC7AAF" w:rsidRPr="004122E2">
        <w:rPr>
          <w:rFonts w:ascii="Times New Roman" w:hAnsi="Times New Roman"/>
          <w:sz w:val="24"/>
          <w:szCs w:val="24"/>
          <w:shd w:val="clear" w:color="auto" w:fill="FFFFFF"/>
        </w:rPr>
        <w:t>предузећу</w:t>
      </w:r>
      <w:r w:rsidRPr="004122E2">
        <w:rPr>
          <w:rFonts w:ascii="Times New Roman" w:hAnsi="Times New Roman"/>
          <w:sz w:val="24"/>
          <w:szCs w:val="24"/>
          <w:shd w:val="clear" w:color="auto" w:fill="FFFFFF"/>
        </w:rPr>
        <w:t xml:space="preserve"> </w:t>
      </w:r>
      <w:r w:rsidR="00BC7AAF" w:rsidRPr="004122E2">
        <w:rPr>
          <w:rFonts w:ascii="Times New Roman" w:hAnsi="Times New Roman"/>
          <w:sz w:val="24"/>
          <w:szCs w:val="24"/>
          <w:shd w:val="clear" w:color="auto" w:fill="FFFFFF"/>
        </w:rPr>
        <w:t>за</w:t>
      </w:r>
      <w:r w:rsidRPr="004122E2">
        <w:rPr>
          <w:rFonts w:ascii="Times New Roman" w:hAnsi="Times New Roman"/>
          <w:sz w:val="24"/>
          <w:szCs w:val="24"/>
          <w:shd w:val="clear" w:color="auto" w:fill="FFFFFF"/>
        </w:rPr>
        <w:t xml:space="preserve"> </w:t>
      </w:r>
      <w:r w:rsidR="00BC7AAF" w:rsidRPr="004122E2">
        <w:rPr>
          <w:rFonts w:ascii="Times New Roman" w:hAnsi="Times New Roman"/>
          <w:sz w:val="24"/>
          <w:szCs w:val="24"/>
          <w:shd w:val="clear" w:color="auto" w:fill="FFFFFF"/>
        </w:rPr>
        <w:t>радно</w:t>
      </w:r>
      <w:r w:rsidRPr="004122E2">
        <w:rPr>
          <w:rFonts w:ascii="Times New Roman" w:hAnsi="Times New Roman"/>
          <w:sz w:val="24"/>
          <w:szCs w:val="24"/>
          <w:shd w:val="clear" w:color="auto" w:fill="FFFFFF"/>
        </w:rPr>
        <w:t xml:space="preserve"> </w:t>
      </w:r>
      <w:r w:rsidR="00BC7AAF" w:rsidRPr="004122E2">
        <w:rPr>
          <w:rFonts w:ascii="Times New Roman" w:hAnsi="Times New Roman"/>
          <w:sz w:val="24"/>
          <w:szCs w:val="24"/>
          <w:shd w:val="clear" w:color="auto" w:fill="FFFFFF"/>
        </w:rPr>
        <w:t>оспособљавање</w:t>
      </w:r>
      <w:r w:rsidRPr="004122E2">
        <w:rPr>
          <w:rFonts w:ascii="Times New Roman" w:hAnsi="Times New Roman"/>
          <w:sz w:val="24"/>
          <w:szCs w:val="24"/>
          <w:shd w:val="clear" w:color="auto" w:fill="FFFFFF"/>
        </w:rPr>
        <w:t xml:space="preserve"> </w:t>
      </w:r>
      <w:r w:rsidR="00BC7AAF" w:rsidRPr="004122E2">
        <w:rPr>
          <w:rFonts w:ascii="Times New Roman" w:hAnsi="Times New Roman"/>
          <w:sz w:val="24"/>
          <w:szCs w:val="24"/>
          <w:shd w:val="clear" w:color="auto" w:fill="FFFFFF"/>
        </w:rPr>
        <w:t>и</w:t>
      </w:r>
      <w:r w:rsidRPr="004122E2">
        <w:rPr>
          <w:rFonts w:ascii="Times New Roman" w:hAnsi="Times New Roman"/>
          <w:sz w:val="24"/>
          <w:szCs w:val="24"/>
          <w:shd w:val="clear" w:color="auto" w:fill="FFFFFF"/>
        </w:rPr>
        <w:t xml:space="preserve"> </w:t>
      </w:r>
      <w:r w:rsidR="00BC7AAF" w:rsidRPr="004122E2">
        <w:rPr>
          <w:rFonts w:ascii="Times New Roman" w:hAnsi="Times New Roman"/>
          <w:sz w:val="24"/>
          <w:szCs w:val="24"/>
          <w:shd w:val="clear" w:color="auto" w:fill="FFFFFF"/>
        </w:rPr>
        <w:t>запошљавање</w:t>
      </w:r>
      <w:r w:rsidRPr="004122E2">
        <w:rPr>
          <w:rFonts w:ascii="Times New Roman" w:hAnsi="Times New Roman"/>
          <w:sz w:val="24"/>
          <w:szCs w:val="24"/>
          <w:shd w:val="clear" w:color="auto" w:fill="FFFFFF"/>
        </w:rPr>
        <w:t xml:space="preserve"> </w:t>
      </w:r>
      <w:r w:rsidR="00BC7AAF" w:rsidRPr="004122E2">
        <w:rPr>
          <w:rFonts w:ascii="Times New Roman" w:hAnsi="Times New Roman"/>
          <w:sz w:val="24"/>
          <w:szCs w:val="24"/>
          <w:shd w:val="clear" w:color="auto" w:fill="FFFFFF"/>
        </w:rPr>
        <w:t>особа</w:t>
      </w:r>
      <w:r w:rsidRPr="004122E2">
        <w:rPr>
          <w:rFonts w:ascii="Times New Roman" w:hAnsi="Times New Roman"/>
          <w:sz w:val="24"/>
          <w:szCs w:val="24"/>
          <w:shd w:val="clear" w:color="auto" w:fill="FFFFFF"/>
        </w:rPr>
        <w:t xml:space="preserve"> </w:t>
      </w:r>
      <w:r w:rsidR="00BC7AAF" w:rsidRPr="004122E2">
        <w:rPr>
          <w:rFonts w:ascii="Times New Roman" w:hAnsi="Times New Roman"/>
          <w:sz w:val="24"/>
          <w:szCs w:val="24"/>
          <w:shd w:val="clear" w:color="auto" w:fill="FFFFFF"/>
        </w:rPr>
        <w:t>са</w:t>
      </w:r>
      <w:r w:rsidRPr="004122E2">
        <w:rPr>
          <w:rFonts w:ascii="Times New Roman" w:hAnsi="Times New Roman"/>
          <w:sz w:val="24"/>
          <w:szCs w:val="24"/>
          <w:shd w:val="clear" w:color="auto" w:fill="FFFFFF"/>
        </w:rPr>
        <w:t xml:space="preserve"> </w:t>
      </w:r>
      <w:r w:rsidR="00BC7AAF" w:rsidRPr="004122E2">
        <w:rPr>
          <w:rFonts w:ascii="Times New Roman" w:hAnsi="Times New Roman"/>
          <w:sz w:val="24"/>
          <w:szCs w:val="24"/>
          <w:shd w:val="clear" w:color="auto" w:fill="FFFFFF"/>
        </w:rPr>
        <w:t>инвалидитетом</w:t>
      </w:r>
      <w:r w:rsidRPr="004122E2">
        <w:rPr>
          <w:rFonts w:ascii="Times New Roman" w:hAnsi="Times New Roman"/>
          <w:sz w:val="24"/>
          <w:szCs w:val="24"/>
          <w:shd w:val="clear" w:color="auto" w:fill="FFFFFF"/>
        </w:rPr>
        <w:t>.</w:t>
      </w:r>
      <w:r w:rsidRPr="004122E2">
        <w:rPr>
          <w:rStyle w:val="FootnoteReference"/>
          <w:rFonts w:ascii="Times New Roman" w:hAnsi="Times New Roman"/>
          <w:color w:val="000000"/>
          <w:sz w:val="24"/>
          <w:szCs w:val="24"/>
          <w:shd w:val="clear" w:color="auto" w:fill="FFFFFF"/>
        </w:rPr>
        <w:footnoteReference w:id="452"/>
      </w:r>
    </w:p>
    <w:p w:rsidR="00BF6E72" w:rsidRPr="004122E2" w:rsidRDefault="00BF6E72" w:rsidP="004122E2">
      <w:pPr>
        <w:jc w:val="both"/>
        <w:rPr>
          <w:rFonts w:ascii="Times New Roman" w:hAnsi="Times New Roman"/>
          <w:sz w:val="24"/>
          <w:szCs w:val="24"/>
          <w:lang w:val="sr-Cyrl-CS"/>
        </w:rPr>
      </w:pPr>
      <w:r w:rsidRPr="004122E2">
        <w:rPr>
          <w:rFonts w:ascii="Times New Roman" w:hAnsi="Times New Roman"/>
          <w:sz w:val="24"/>
          <w:szCs w:val="24"/>
          <w:lang w:val="sr-Cyrl-CS"/>
        </w:rPr>
        <w:t xml:space="preserve">зараде на </w:t>
      </w:r>
      <w:r w:rsidR="00BC7AAF" w:rsidRPr="004122E2">
        <w:rPr>
          <w:rFonts w:ascii="Times New Roman" w:hAnsi="Times New Roman"/>
          <w:sz w:val="24"/>
          <w:szCs w:val="24"/>
        </w:rPr>
        <w:t>премију</w:t>
      </w:r>
      <w:r w:rsidRPr="004122E2">
        <w:rPr>
          <w:rFonts w:ascii="Times New Roman" w:hAnsi="Times New Roman"/>
          <w:sz w:val="24"/>
          <w:szCs w:val="24"/>
        </w:rPr>
        <w:t xml:space="preserve"> </w:t>
      </w:r>
      <w:r w:rsidR="00BC7AAF" w:rsidRPr="004122E2">
        <w:rPr>
          <w:rFonts w:ascii="Times New Roman" w:hAnsi="Times New Roman"/>
          <w:sz w:val="24"/>
          <w:szCs w:val="24"/>
        </w:rPr>
        <w:t>за</w:t>
      </w:r>
      <w:r w:rsidRPr="004122E2">
        <w:rPr>
          <w:rFonts w:ascii="Times New Roman" w:hAnsi="Times New Roman"/>
          <w:sz w:val="24"/>
          <w:szCs w:val="24"/>
        </w:rPr>
        <w:t xml:space="preserve"> </w:t>
      </w:r>
      <w:r w:rsidR="00BC7AAF" w:rsidRPr="004122E2">
        <w:rPr>
          <w:rFonts w:ascii="Times New Roman" w:hAnsi="Times New Roman"/>
          <w:sz w:val="24"/>
          <w:szCs w:val="24"/>
        </w:rPr>
        <w:t>добровољно</w:t>
      </w:r>
      <w:r w:rsidRPr="004122E2">
        <w:rPr>
          <w:rFonts w:ascii="Times New Roman" w:hAnsi="Times New Roman"/>
          <w:sz w:val="24"/>
          <w:szCs w:val="24"/>
        </w:rPr>
        <w:t xml:space="preserve"> </w:t>
      </w:r>
      <w:r w:rsidR="00BC7AAF" w:rsidRPr="004122E2">
        <w:rPr>
          <w:rFonts w:ascii="Times New Roman" w:hAnsi="Times New Roman"/>
          <w:sz w:val="24"/>
          <w:szCs w:val="24"/>
        </w:rPr>
        <w:t>здравствено</w:t>
      </w:r>
      <w:r w:rsidRPr="004122E2">
        <w:rPr>
          <w:rFonts w:ascii="Times New Roman" w:hAnsi="Times New Roman"/>
          <w:sz w:val="24"/>
          <w:szCs w:val="24"/>
        </w:rPr>
        <w:t xml:space="preserve"> </w:t>
      </w:r>
      <w:r w:rsidR="00BC7AAF" w:rsidRPr="004122E2">
        <w:rPr>
          <w:rFonts w:ascii="Times New Roman" w:hAnsi="Times New Roman"/>
          <w:sz w:val="24"/>
          <w:szCs w:val="24"/>
        </w:rPr>
        <w:t>осигурање</w:t>
      </w:r>
      <w:r w:rsidRPr="004122E2">
        <w:rPr>
          <w:rFonts w:ascii="Times New Roman" w:hAnsi="Times New Roman"/>
          <w:sz w:val="24"/>
          <w:szCs w:val="24"/>
        </w:rPr>
        <w:t xml:space="preserve"> </w:t>
      </w:r>
      <w:r w:rsidR="00BC7AAF" w:rsidRPr="004122E2">
        <w:rPr>
          <w:rFonts w:ascii="Times New Roman" w:hAnsi="Times New Roman"/>
          <w:sz w:val="24"/>
          <w:szCs w:val="24"/>
        </w:rPr>
        <w:t>коју</w:t>
      </w:r>
      <w:r w:rsidRPr="004122E2">
        <w:rPr>
          <w:rFonts w:ascii="Times New Roman" w:hAnsi="Times New Roman"/>
          <w:sz w:val="24"/>
          <w:szCs w:val="24"/>
        </w:rPr>
        <w:t xml:space="preserve"> </w:t>
      </w:r>
      <w:r w:rsidR="00BC7AAF" w:rsidRPr="004122E2">
        <w:rPr>
          <w:rFonts w:ascii="Times New Roman" w:hAnsi="Times New Roman"/>
          <w:sz w:val="24"/>
          <w:szCs w:val="24"/>
        </w:rPr>
        <w:t>послодавац</w:t>
      </w:r>
      <w:r w:rsidRPr="004122E2">
        <w:rPr>
          <w:rFonts w:ascii="Times New Roman" w:hAnsi="Times New Roman"/>
          <w:sz w:val="24"/>
          <w:szCs w:val="24"/>
        </w:rPr>
        <w:t xml:space="preserve"> </w:t>
      </w:r>
      <w:r w:rsidR="00BC7AAF" w:rsidRPr="004122E2">
        <w:rPr>
          <w:rFonts w:ascii="Times New Roman" w:hAnsi="Times New Roman"/>
          <w:sz w:val="24"/>
          <w:szCs w:val="24"/>
        </w:rPr>
        <w:t>обуставља</w:t>
      </w:r>
      <w:r w:rsidRPr="004122E2">
        <w:rPr>
          <w:rFonts w:ascii="Times New Roman" w:hAnsi="Times New Roman"/>
          <w:sz w:val="24"/>
          <w:szCs w:val="24"/>
        </w:rPr>
        <w:t xml:space="preserve"> </w:t>
      </w:r>
      <w:r w:rsidR="00BC7AAF" w:rsidRPr="004122E2">
        <w:rPr>
          <w:rFonts w:ascii="Times New Roman" w:hAnsi="Times New Roman"/>
          <w:sz w:val="24"/>
          <w:szCs w:val="24"/>
        </w:rPr>
        <w:t>и</w:t>
      </w:r>
      <w:r w:rsidRPr="004122E2">
        <w:rPr>
          <w:rFonts w:ascii="Times New Roman" w:hAnsi="Times New Roman"/>
          <w:sz w:val="24"/>
          <w:szCs w:val="24"/>
        </w:rPr>
        <w:t xml:space="preserve"> </w:t>
      </w:r>
      <w:r w:rsidR="00BC7AAF" w:rsidRPr="004122E2">
        <w:rPr>
          <w:rFonts w:ascii="Times New Roman" w:hAnsi="Times New Roman"/>
          <w:sz w:val="24"/>
          <w:szCs w:val="24"/>
        </w:rPr>
        <w:t>плаћа</w:t>
      </w:r>
      <w:r w:rsidRPr="004122E2">
        <w:rPr>
          <w:rFonts w:ascii="Times New Roman" w:hAnsi="Times New Roman"/>
          <w:sz w:val="24"/>
          <w:szCs w:val="24"/>
        </w:rPr>
        <w:t xml:space="preserve"> </w:t>
      </w:r>
      <w:r w:rsidR="00BC7AAF" w:rsidRPr="004122E2">
        <w:rPr>
          <w:rFonts w:ascii="Times New Roman" w:hAnsi="Times New Roman"/>
          <w:sz w:val="24"/>
          <w:szCs w:val="24"/>
        </w:rPr>
        <w:t>из</w:t>
      </w:r>
      <w:r w:rsidRPr="004122E2">
        <w:rPr>
          <w:rFonts w:ascii="Times New Roman" w:hAnsi="Times New Roman"/>
          <w:sz w:val="24"/>
          <w:szCs w:val="24"/>
        </w:rPr>
        <w:t xml:space="preserve"> </w:t>
      </w:r>
      <w:r w:rsidR="00BC7AAF" w:rsidRPr="004122E2">
        <w:rPr>
          <w:rFonts w:ascii="Times New Roman" w:hAnsi="Times New Roman"/>
          <w:sz w:val="24"/>
          <w:szCs w:val="24"/>
        </w:rPr>
        <w:t>зараде</w:t>
      </w:r>
      <w:r w:rsidRPr="004122E2">
        <w:rPr>
          <w:rFonts w:ascii="Times New Roman" w:hAnsi="Times New Roman"/>
          <w:sz w:val="24"/>
          <w:szCs w:val="24"/>
        </w:rPr>
        <w:t xml:space="preserve"> </w:t>
      </w:r>
      <w:r w:rsidR="00BC7AAF" w:rsidRPr="004122E2">
        <w:rPr>
          <w:rFonts w:ascii="Times New Roman" w:hAnsi="Times New Roman"/>
          <w:sz w:val="24"/>
          <w:szCs w:val="24"/>
        </w:rPr>
        <w:t>запосленог</w:t>
      </w:r>
      <w:r w:rsidRPr="004122E2">
        <w:rPr>
          <w:rFonts w:ascii="Times New Roman" w:hAnsi="Times New Roman"/>
          <w:sz w:val="24"/>
          <w:szCs w:val="24"/>
        </w:rPr>
        <w:t xml:space="preserve"> - </w:t>
      </w:r>
      <w:r w:rsidR="00BC7AAF" w:rsidRPr="004122E2">
        <w:rPr>
          <w:rFonts w:ascii="Times New Roman" w:hAnsi="Times New Roman"/>
          <w:sz w:val="24"/>
          <w:szCs w:val="24"/>
        </w:rPr>
        <w:t>осигураника</w:t>
      </w:r>
      <w:r w:rsidRPr="004122E2">
        <w:rPr>
          <w:rFonts w:ascii="Times New Roman" w:hAnsi="Times New Roman"/>
          <w:sz w:val="24"/>
          <w:szCs w:val="24"/>
        </w:rPr>
        <w:t xml:space="preserve"> </w:t>
      </w:r>
      <w:r w:rsidR="00BC7AAF" w:rsidRPr="004122E2">
        <w:rPr>
          <w:rFonts w:ascii="Times New Roman" w:hAnsi="Times New Roman"/>
          <w:sz w:val="24"/>
          <w:szCs w:val="24"/>
        </w:rPr>
        <w:t>укљученог</w:t>
      </w:r>
      <w:r w:rsidRPr="004122E2">
        <w:rPr>
          <w:rFonts w:ascii="Times New Roman" w:hAnsi="Times New Roman"/>
          <w:sz w:val="24"/>
          <w:szCs w:val="24"/>
        </w:rPr>
        <w:t xml:space="preserve"> </w:t>
      </w:r>
      <w:r w:rsidR="00BC7AAF" w:rsidRPr="004122E2">
        <w:rPr>
          <w:rFonts w:ascii="Times New Roman" w:hAnsi="Times New Roman"/>
          <w:sz w:val="24"/>
          <w:szCs w:val="24"/>
        </w:rPr>
        <w:t>у</w:t>
      </w:r>
      <w:r w:rsidRPr="004122E2">
        <w:rPr>
          <w:rFonts w:ascii="Times New Roman" w:hAnsi="Times New Roman"/>
          <w:sz w:val="24"/>
          <w:szCs w:val="24"/>
        </w:rPr>
        <w:t xml:space="preserve"> </w:t>
      </w:r>
      <w:r w:rsidR="00BC7AAF" w:rsidRPr="004122E2">
        <w:rPr>
          <w:rFonts w:ascii="Times New Roman" w:hAnsi="Times New Roman"/>
          <w:sz w:val="24"/>
          <w:szCs w:val="24"/>
        </w:rPr>
        <w:t>добровољно</w:t>
      </w:r>
      <w:r w:rsidRPr="004122E2">
        <w:rPr>
          <w:rFonts w:ascii="Times New Roman" w:hAnsi="Times New Roman"/>
          <w:sz w:val="24"/>
          <w:szCs w:val="24"/>
        </w:rPr>
        <w:t xml:space="preserve"> </w:t>
      </w:r>
      <w:r w:rsidR="00BC7AAF" w:rsidRPr="004122E2">
        <w:rPr>
          <w:rFonts w:ascii="Times New Roman" w:hAnsi="Times New Roman"/>
          <w:sz w:val="24"/>
          <w:szCs w:val="24"/>
        </w:rPr>
        <w:t>здравствено</w:t>
      </w:r>
      <w:r w:rsidRPr="004122E2">
        <w:rPr>
          <w:rFonts w:ascii="Times New Roman" w:hAnsi="Times New Roman"/>
          <w:sz w:val="24"/>
          <w:szCs w:val="24"/>
        </w:rPr>
        <w:t xml:space="preserve"> </w:t>
      </w:r>
      <w:r w:rsidR="00BC7AAF" w:rsidRPr="004122E2">
        <w:rPr>
          <w:rFonts w:ascii="Times New Roman" w:hAnsi="Times New Roman"/>
          <w:sz w:val="24"/>
          <w:szCs w:val="24"/>
        </w:rPr>
        <w:t>осигурање</w:t>
      </w:r>
      <w:r w:rsidRPr="004122E2">
        <w:rPr>
          <w:rFonts w:ascii="Times New Roman" w:hAnsi="Times New Roman"/>
          <w:sz w:val="24"/>
          <w:szCs w:val="24"/>
        </w:rPr>
        <w:t xml:space="preserve"> </w:t>
      </w:r>
      <w:r w:rsidR="00BC7AAF" w:rsidRPr="004122E2">
        <w:rPr>
          <w:rFonts w:ascii="Times New Roman" w:hAnsi="Times New Roman"/>
          <w:sz w:val="24"/>
          <w:szCs w:val="24"/>
        </w:rPr>
        <w:t>у</w:t>
      </w:r>
      <w:r w:rsidRPr="004122E2">
        <w:rPr>
          <w:rFonts w:ascii="Times New Roman" w:hAnsi="Times New Roman"/>
          <w:sz w:val="24"/>
          <w:szCs w:val="24"/>
        </w:rPr>
        <w:t xml:space="preserve"> </w:t>
      </w:r>
      <w:r w:rsidR="00BC7AAF" w:rsidRPr="004122E2">
        <w:rPr>
          <w:rFonts w:ascii="Times New Roman" w:hAnsi="Times New Roman"/>
          <w:sz w:val="24"/>
          <w:szCs w:val="24"/>
        </w:rPr>
        <w:t>земљи</w:t>
      </w:r>
      <w:r w:rsidRPr="004122E2">
        <w:rPr>
          <w:rFonts w:ascii="Times New Roman" w:hAnsi="Times New Roman"/>
          <w:sz w:val="24"/>
          <w:szCs w:val="24"/>
        </w:rPr>
        <w:t xml:space="preserve">, </w:t>
      </w:r>
      <w:r w:rsidR="00BC7AAF" w:rsidRPr="004122E2">
        <w:rPr>
          <w:rFonts w:ascii="Times New Roman" w:hAnsi="Times New Roman"/>
          <w:sz w:val="24"/>
          <w:szCs w:val="24"/>
        </w:rPr>
        <w:t>у</w:t>
      </w:r>
      <w:r w:rsidRPr="004122E2">
        <w:rPr>
          <w:rFonts w:ascii="Times New Roman" w:hAnsi="Times New Roman"/>
          <w:sz w:val="24"/>
          <w:szCs w:val="24"/>
        </w:rPr>
        <w:t xml:space="preserve"> </w:t>
      </w:r>
      <w:r w:rsidR="00BC7AAF" w:rsidRPr="004122E2">
        <w:rPr>
          <w:rFonts w:ascii="Times New Roman" w:hAnsi="Times New Roman"/>
          <w:sz w:val="24"/>
          <w:szCs w:val="24"/>
        </w:rPr>
        <w:t>складу</w:t>
      </w:r>
      <w:r w:rsidRPr="004122E2">
        <w:rPr>
          <w:rFonts w:ascii="Times New Roman" w:hAnsi="Times New Roman"/>
          <w:sz w:val="24"/>
          <w:szCs w:val="24"/>
        </w:rPr>
        <w:t xml:space="preserve"> </w:t>
      </w:r>
      <w:r w:rsidR="00BC7AAF" w:rsidRPr="004122E2">
        <w:rPr>
          <w:rFonts w:ascii="Times New Roman" w:hAnsi="Times New Roman"/>
          <w:sz w:val="24"/>
          <w:szCs w:val="24"/>
        </w:rPr>
        <w:t>са</w:t>
      </w:r>
      <w:r w:rsidRPr="004122E2">
        <w:rPr>
          <w:rFonts w:ascii="Times New Roman" w:hAnsi="Times New Roman"/>
          <w:sz w:val="24"/>
          <w:szCs w:val="24"/>
        </w:rPr>
        <w:t xml:space="preserve"> </w:t>
      </w:r>
      <w:r w:rsidR="00BC7AAF" w:rsidRPr="004122E2">
        <w:rPr>
          <w:rFonts w:ascii="Times New Roman" w:hAnsi="Times New Roman"/>
          <w:sz w:val="24"/>
          <w:szCs w:val="24"/>
        </w:rPr>
        <w:t>законима</w:t>
      </w:r>
      <w:r w:rsidRPr="004122E2">
        <w:rPr>
          <w:rFonts w:ascii="Times New Roman" w:hAnsi="Times New Roman"/>
          <w:sz w:val="24"/>
          <w:szCs w:val="24"/>
        </w:rPr>
        <w:t xml:space="preserve"> </w:t>
      </w:r>
      <w:r w:rsidR="00BC7AAF" w:rsidRPr="004122E2">
        <w:rPr>
          <w:rFonts w:ascii="Times New Roman" w:hAnsi="Times New Roman"/>
          <w:sz w:val="24"/>
          <w:szCs w:val="24"/>
        </w:rPr>
        <w:t>који</w:t>
      </w:r>
      <w:r w:rsidRPr="004122E2">
        <w:rPr>
          <w:rFonts w:ascii="Times New Roman" w:hAnsi="Times New Roman"/>
          <w:sz w:val="24"/>
          <w:szCs w:val="24"/>
        </w:rPr>
        <w:t xml:space="preserve"> </w:t>
      </w:r>
      <w:r w:rsidR="00BC7AAF" w:rsidRPr="004122E2">
        <w:rPr>
          <w:rFonts w:ascii="Times New Roman" w:hAnsi="Times New Roman"/>
          <w:sz w:val="24"/>
          <w:szCs w:val="24"/>
        </w:rPr>
        <w:t>уређују</w:t>
      </w:r>
      <w:r w:rsidRPr="004122E2">
        <w:rPr>
          <w:rFonts w:ascii="Times New Roman" w:hAnsi="Times New Roman"/>
          <w:sz w:val="24"/>
          <w:szCs w:val="24"/>
        </w:rPr>
        <w:t xml:space="preserve"> </w:t>
      </w:r>
      <w:r w:rsidR="00BC7AAF" w:rsidRPr="004122E2">
        <w:rPr>
          <w:rFonts w:ascii="Times New Roman" w:hAnsi="Times New Roman"/>
          <w:sz w:val="24"/>
          <w:szCs w:val="24"/>
        </w:rPr>
        <w:t>добровољно</w:t>
      </w:r>
      <w:r w:rsidRPr="004122E2">
        <w:rPr>
          <w:rFonts w:ascii="Times New Roman" w:hAnsi="Times New Roman"/>
          <w:sz w:val="24"/>
          <w:szCs w:val="24"/>
        </w:rPr>
        <w:t xml:space="preserve"> </w:t>
      </w:r>
      <w:r w:rsidR="00BC7AAF" w:rsidRPr="004122E2">
        <w:rPr>
          <w:rFonts w:ascii="Times New Roman" w:hAnsi="Times New Roman"/>
          <w:sz w:val="24"/>
          <w:szCs w:val="24"/>
        </w:rPr>
        <w:t>здравствено</w:t>
      </w:r>
      <w:r w:rsidRPr="004122E2">
        <w:rPr>
          <w:rFonts w:ascii="Times New Roman" w:hAnsi="Times New Roman"/>
          <w:sz w:val="24"/>
          <w:szCs w:val="24"/>
        </w:rPr>
        <w:t xml:space="preserve"> </w:t>
      </w:r>
      <w:r w:rsidR="00BC7AAF" w:rsidRPr="004122E2">
        <w:rPr>
          <w:rFonts w:ascii="Times New Roman" w:hAnsi="Times New Roman"/>
          <w:sz w:val="24"/>
          <w:szCs w:val="24"/>
        </w:rPr>
        <w:t>осигурање</w:t>
      </w:r>
      <w:r w:rsidRPr="004122E2">
        <w:rPr>
          <w:rFonts w:ascii="Times New Roman" w:hAnsi="Times New Roman"/>
          <w:sz w:val="24"/>
          <w:szCs w:val="24"/>
        </w:rPr>
        <w:t xml:space="preserve"> </w:t>
      </w:r>
      <w:r w:rsidR="00BC7AAF" w:rsidRPr="004122E2">
        <w:rPr>
          <w:rFonts w:ascii="Times New Roman" w:hAnsi="Times New Roman"/>
          <w:sz w:val="24"/>
          <w:szCs w:val="24"/>
        </w:rPr>
        <w:t>и</w:t>
      </w:r>
      <w:r w:rsidRPr="004122E2">
        <w:rPr>
          <w:rFonts w:ascii="Times New Roman" w:hAnsi="Times New Roman"/>
          <w:sz w:val="24"/>
          <w:szCs w:val="24"/>
        </w:rPr>
        <w:t xml:space="preserve"> </w:t>
      </w:r>
      <w:r w:rsidR="00BC7AAF" w:rsidRPr="004122E2">
        <w:rPr>
          <w:rFonts w:ascii="Times New Roman" w:hAnsi="Times New Roman"/>
          <w:sz w:val="24"/>
          <w:szCs w:val="24"/>
        </w:rPr>
        <w:t>актима</w:t>
      </w:r>
      <w:r w:rsidRPr="004122E2">
        <w:rPr>
          <w:rFonts w:ascii="Times New Roman" w:hAnsi="Times New Roman"/>
          <w:sz w:val="24"/>
          <w:szCs w:val="24"/>
        </w:rPr>
        <w:t xml:space="preserve"> </w:t>
      </w:r>
      <w:r w:rsidR="00BC7AAF" w:rsidRPr="004122E2">
        <w:rPr>
          <w:rFonts w:ascii="Times New Roman" w:hAnsi="Times New Roman"/>
          <w:sz w:val="24"/>
          <w:szCs w:val="24"/>
        </w:rPr>
        <w:t>донетим</w:t>
      </w:r>
      <w:r w:rsidRPr="004122E2">
        <w:rPr>
          <w:rFonts w:ascii="Times New Roman" w:hAnsi="Times New Roman"/>
          <w:sz w:val="24"/>
          <w:szCs w:val="24"/>
        </w:rPr>
        <w:t xml:space="preserve"> </w:t>
      </w:r>
      <w:r w:rsidR="00BC7AAF" w:rsidRPr="004122E2">
        <w:rPr>
          <w:rFonts w:ascii="Times New Roman" w:hAnsi="Times New Roman"/>
          <w:sz w:val="24"/>
          <w:szCs w:val="24"/>
        </w:rPr>
        <w:t>за</w:t>
      </w:r>
      <w:r w:rsidRPr="004122E2">
        <w:rPr>
          <w:rFonts w:ascii="Times New Roman" w:hAnsi="Times New Roman"/>
          <w:sz w:val="24"/>
          <w:szCs w:val="24"/>
        </w:rPr>
        <w:t xml:space="preserve"> </w:t>
      </w:r>
      <w:r w:rsidR="00BC7AAF" w:rsidRPr="004122E2">
        <w:rPr>
          <w:rFonts w:ascii="Times New Roman" w:hAnsi="Times New Roman"/>
          <w:sz w:val="24"/>
          <w:szCs w:val="24"/>
        </w:rPr>
        <w:t>спровођење</w:t>
      </w:r>
      <w:r w:rsidRPr="004122E2">
        <w:rPr>
          <w:rFonts w:ascii="Times New Roman" w:hAnsi="Times New Roman"/>
          <w:sz w:val="24"/>
          <w:szCs w:val="24"/>
        </w:rPr>
        <w:t xml:space="preserve"> </w:t>
      </w:r>
      <w:r w:rsidR="00BC7AAF" w:rsidRPr="004122E2">
        <w:rPr>
          <w:rFonts w:ascii="Times New Roman" w:hAnsi="Times New Roman"/>
          <w:sz w:val="24"/>
          <w:szCs w:val="24"/>
        </w:rPr>
        <w:t>закона</w:t>
      </w:r>
      <w:r w:rsidRPr="004122E2">
        <w:rPr>
          <w:rFonts w:ascii="Times New Roman" w:hAnsi="Times New Roman"/>
          <w:sz w:val="24"/>
          <w:szCs w:val="24"/>
        </w:rPr>
        <w:t>;</w:t>
      </w:r>
    </w:p>
    <w:p w:rsidR="00BF6E72" w:rsidRPr="004122E2" w:rsidRDefault="00BF6E72" w:rsidP="004122E2">
      <w:pPr>
        <w:jc w:val="both"/>
        <w:rPr>
          <w:rFonts w:ascii="Times New Roman" w:hAnsi="Times New Roman"/>
          <w:sz w:val="24"/>
          <w:szCs w:val="24"/>
          <w:lang w:val="sr-Cyrl-CS"/>
        </w:rPr>
      </w:pPr>
      <w:r w:rsidRPr="004122E2">
        <w:rPr>
          <w:rFonts w:ascii="Times New Roman" w:hAnsi="Times New Roman"/>
          <w:sz w:val="24"/>
          <w:szCs w:val="24"/>
          <w:lang w:val="sr-Cyrl-CS"/>
        </w:rPr>
        <w:t xml:space="preserve">зараде на </w:t>
      </w:r>
      <w:r w:rsidR="00BC7AAF" w:rsidRPr="004122E2">
        <w:rPr>
          <w:rFonts w:ascii="Times New Roman" w:hAnsi="Times New Roman"/>
          <w:sz w:val="24"/>
          <w:szCs w:val="24"/>
        </w:rPr>
        <w:t>пензијски</w:t>
      </w:r>
      <w:r w:rsidRPr="004122E2">
        <w:rPr>
          <w:rFonts w:ascii="Times New Roman" w:hAnsi="Times New Roman"/>
          <w:sz w:val="24"/>
          <w:szCs w:val="24"/>
        </w:rPr>
        <w:t xml:space="preserve"> </w:t>
      </w:r>
      <w:r w:rsidR="00BC7AAF" w:rsidRPr="004122E2">
        <w:rPr>
          <w:rFonts w:ascii="Times New Roman" w:hAnsi="Times New Roman"/>
          <w:sz w:val="24"/>
          <w:szCs w:val="24"/>
        </w:rPr>
        <w:t>допринос</w:t>
      </w:r>
      <w:r w:rsidRPr="004122E2">
        <w:rPr>
          <w:rFonts w:ascii="Times New Roman" w:hAnsi="Times New Roman"/>
          <w:sz w:val="24"/>
          <w:szCs w:val="24"/>
        </w:rPr>
        <w:t xml:space="preserve"> </w:t>
      </w:r>
      <w:r w:rsidR="00BC7AAF" w:rsidRPr="004122E2">
        <w:rPr>
          <w:rFonts w:ascii="Times New Roman" w:hAnsi="Times New Roman"/>
          <w:sz w:val="24"/>
          <w:szCs w:val="24"/>
        </w:rPr>
        <w:t>у</w:t>
      </w:r>
      <w:r w:rsidRPr="004122E2">
        <w:rPr>
          <w:rFonts w:ascii="Times New Roman" w:hAnsi="Times New Roman"/>
          <w:sz w:val="24"/>
          <w:szCs w:val="24"/>
        </w:rPr>
        <w:t xml:space="preserve"> </w:t>
      </w:r>
      <w:r w:rsidR="00BC7AAF" w:rsidRPr="004122E2">
        <w:rPr>
          <w:rFonts w:ascii="Times New Roman" w:hAnsi="Times New Roman"/>
          <w:sz w:val="24"/>
          <w:szCs w:val="24"/>
        </w:rPr>
        <w:t>добровољни</w:t>
      </w:r>
      <w:r w:rsidRPr="004122E2">
        <w:rPr>
          <w:rFonts w:ascii="Times New Roman" w:hAnsi="Times New Roman"/>
          <w:sz w:val="24"/>
          <w:szCs w:val="24"/>
        </w:rPr>
        <w:t xml:space="preserve"> </w:t>
      </w:r>
      <w:r w:rsidR="00BC7AAF" w:rsidRPr="004122E2">
        <w:rPr>
          <w:rFonts w:ascii="Times New Roman" w:hAnsi="Times New Roman"/>
          <w:sz w:val="24"/>
          <w:szCs w:val="24"/>
        </w:rPr>
        <w:t>пензијски</w:t>
      </w:r>
      <w:r w:rsidRPr="004122E2">
        <w:rPr>
          <w:rFonts w:ascii="Times New Roman" w:hAnsi="Times New Roman"/>
          <w:sz w:val="24"/>
          <w:szCs w:val="24"/>
        </w:rPr>
        <w:t xml:space="preserve"> </w:t>
      </w:r>
      <w:r w:rsidR="00BC7AAF" w:rsidRPr="004122E2">
        <w:rPr>
          <w:rFonts w:ascii="Times New Roman" w:hAnsi="Times New Roman"/>
          <w:sz w:val="24"/>
          <w:szCs w:val="24"/>
        </w:rPr>
        <w:t>фонд</w:t>
      </w:r>
      <w:r w:rsidRPr="004122E2">
        <w:rPr>
          <w:rFonts w:ascii="Times New Roman" w:hAnsi="Times New Roman"/>
          <w:sz w:val="24"/>
          <w:szCs w:val="24"/>
        </w:rPr>
        <w:t xml:space="preserve"> </w:t>
      </w:r>
      <w:r w:rsidR="00BC7AAF" w:rsidRPr="004122E2">
        <w:rPr>
          <w:rFonts w:ascii="Times New Roman" w:hAnsi="Times New Roman"/>
          <w:sz w:val="24"/>
          <w:szCs w:val="24"/>
        </w:rPr>
        <w:t>који</w:t>
      </w:r>
      <w:r w:rsidRPr="004122E2">
        <w:rPr>
          <w:rFonts w:ascii="Times New Roman" w:hAnsi="Times New Roman"/>
          <w:sz w:val="24"/>
          <w:szCs w:val="24"/>
        </w:rPr>
        <w:t xml:space="preserve"> </w:t>
      </w:r>
      <w:r w:rsidR="00BC7AAF" w:rsidRPr="004122E2">
        <w:rPr>
          <w:rFonts w:ascii="Times New Roman" w:hAnsi="Times New Roman"/>
          <w:sz w:val="24"/>
          <w:szCs w:val="24"/>
        </w:rPr>
        <w:t>послодавац</w:t>
      </w:r>
      <w:r w:rsidRPr="004122E2">
        <w:rPr>
          <w:rFonts w:ascii="Times New Roman" w:hAnsi="Times New Roman"/>
          <w:sz w:val="24"/>
          <w:szCs w:val="24"/>
        </w:rPr>
        <w:t xml:space="preserve"> </w:t>
      </w:r>
      <w:r w:rsidR="00BC7AAF" w:rsidRPr="004122E2">
        <w:rPr>
          <w:rFonts w:ascii="Times New Roman" w:hAnsi="Times New Roman"/>
          <w:sz w:val="24"/>
          <w:szCs w:val="24"/>
        </w:rPr>
        <w:t>обуставља</w:t>
      </w:r>
      <w:r w:rsidRPr="004122E2">
        <w:rPr>
          <w:rFonts w:ascii="Times New Roman" w:hAnsi="Times New Roman"/>
          <w:sz w:val="24"/>
          <w:szCs w:val="24"/>
        </w:rPr>
        <w:t xml:space="preserve"> </w:t>
      </w:r>
      <w:r w:rsidR="00BC7AAF" w:rsidRPr="004122E2">
        <w:rPr>
          <w:rFonts w:ascii="Times New Roman" w:hAnsi="Times New Roman"/>
          <w:sz w:val="24"/>
          <w:szCs w:val="24"/>
        </w:rPr>
        <w:t>и</w:t>
      </w:r>
      <w:r w:rsidRPr="004122E2">
        <w:rPr>
          <w:rFonts w:ascii="Times New Roman" w:hAnsi="Times New Roman"/>
          <w:sz w:val="24"/>
          <w:szCs w:val="24"/>
        </w:rPr>
        <w:t xml:space="preserve"> </w:t>
      </w:r>
      <w:r w:rsidR="00BC7AAF" w:rsidRPr="004122E2">
        <w:rPr>
          <w:rFonts w:ascii="Times New Roman" w:hAnsi="Times New Roman"/>
          <w:sz w:val="24"/>
          <w:szCs w:val="24"/>
        </w:rPr>
        <w:t>плаћа</w:t>
      </w:r>
      <w:r w:rsidRPr="004122E2">
        <w:rPr>
          <w:rFonts w:ascii="Times New Roman" w:hAnsi="Times New Roman"/>
          <w:sz w:val="24"/>
          <w:szCs w:val="24"/>
        </w:rPr>
        <w:t xml:space="preserve"> </w:t>
      </w:r>
      <w:r w:rsidR="00BC7AAF" w:rsidRPr="004122E2">
        <w:rPr>
          <w:rFonts w:ascii="Times New Roman" w:hAnsi="Times New Roman"/>
          <w:sz w:val="24"/>
          <w:szCs w:val="24"/>
        </w:rPr>
        <w:t>из</w:t>
      </w:r>
      <w:r w:rsidRPr="004122E2">
        <w:rPr>
          <w:rFonts w:ascii="Times New Roman" w:hAnsi="Times New Roman"/>
          <w:sz w:val="24"/>
          <w:szCs w:val="24"/>
        </w:rPr>
        <w:t xml:space="preserve"> </w:t>
      </w:r>
      <w:r w:rsidR="00BC7AAF" w:rsidRPr="004122E2">
        <w:rPr>
          <w:rFonts w:ascii="Times New Roman" w:hAnsi="Times New Roman"/>
          <w:sz w:val="24"/>
          <w:szCs w:val="24"/>
        </w:rPr>
        <w:t>зараде</w:t>
      </w:r>
      <w:r w:rsidRPr="004122E2">
        <w:rPr>
          <w:rFonts w:ascii="Times New Roman" w:hAnsi="Times New Roman"/>
          <w:sz w:val="24"/>
          <w:szCs w:val="24"/>
        </w:rPr>
        <w:t xml:space="preserve"> </w:t>
      </w:r>
      <w:r w:rsidR="00BC7AAF" w:rsidRPr="004122E2">
        <w:rPr>
          <w:rFonts w:ascii="Times New Roman" w:hAnsi="Times New Roman"/>
          <w:sz w:val="24"/>
          <w:szCs w:val="24"/>
        </w:rPr>
        <w:t>запосленог</w:t>
      </w:r>
      <w:r w:rsidRPr="004122E2">
        <w:rPr>
          <w:rFonts w:ascii="Times New Roman" w:hAnsi="Times New Roman"/>
          <w:sz w:val="24"/>
          <w:szCs w:val="24"/>
        </w:rPr>
        <w:t xml:space="preserve"> - </w:t>
      </w:r>
      <w:r w:rsidR="00BC7AAF" w:rsidRPr="004122E2">
        <w:rPr>
          <w:rFonts w:ascii="Times New Roman" w:hAnsi="Times New Roman"/>
          <w:sz w:val="24"/>
          <w:szCs w:val="24"/>
        </w:rPr>
        <w:t>члана</w:t>
      </w:r>
      <w:r w:rsidRPr="004122E2">
        <w:rPr>
          <w:rFonts w:ascii="Times New Roman" w:hAnsi="Times New Roman"/>
          <w:sz w:val="24"/>
          <w:szCs w:val="24"/>
        </w:rPr>
        <w:t xml:space="preserve"> </w:t>
      </w:r>
      <w:r w:rsidR="00BC7AAF" w:rsidRPr="004122E2">
        <w:rPr>
          <w:rFonts w:ascii="Times New Roman" w:hAnsi="Times New Roman"/>
          <w:sz w:val="24"/>
          <w:szCs w:val="24"/>
        </w:rPr>
        <w:t>добровољног</w:t>
      </w:r>
      <w:r w:rsidRPr="004122E2">
        <w:rPr>
          <w:rFonts w:ascii="Times New Roman" w:hAnsi="Times New Roman"/>
          <w:sz w:val="24"/>
          <w:szCs w:val="24"/>
        </w:rPr>
        <w:t xml:space="preserve"> </w:t>
      </w:r>
      <w:r w:rsidR="00BC7AAF" w:rsidRPr="004122E2">
        <w:rPr>
          <w:rFonts w:ascii="Times New Roman" w:hAnsi="Times New Roman"/>
          <w:sz w:val="24"/>
          <w:szCs w:val="24"/>
        </w:rPr>
        <w:t>пензијског</w:t>
      </w:r>
      <w:r w:rsidRPr="004122E2">
        <w:rPr>
          <w:rFonts w:ascii="Times New Roman" w:hAnsi="Times New Roman"/>
          <w:sz w:val="24"/>
          <w:szCs w:val="24"/>
        </w:rPr>
        <w:t xml:space="preserve"> </w:t>
      </w:r>
      <w:r w:rsidR="00BC7AAF" w:rsidRPr="004122E2">
        <w:rPr>
          <w:rFonts w:ascii="Times New Roman" w:hAnsi="Times New Roman"/>
          <w:sz w:val="24"/>
          <w:szCs w:val="24"/>
        </w:rPr>
        <w:t>фонда</w:t>
      </w:r>
      <w:r w:rsidRPr="004122E2">
        <w:rPr>
          <w:rFonts w:ascii="Times New Roman" w:hAnsi="Times New Roman"/>
          <w:sz w:val="24"/>
          <w:szCs w:val="24"/>
        </w:rPr>
        <w:t xml:space="preserve">, </w:t>
      </w:r>
      <w:r w:rsidR="00BC7AAF" w:rsidRPr="004122E2">
        <w:rPr>
          <w:rFonts w:ascii="Times New Roman" w:hAnsi="Times New Roman"/>
          <w:sz w:val="24"/>
          <w:szCs w:val="24"/>
        </w:rPr>
        <w:t>по</w:t>
      </w:r>
      <w:r w:rsidRPr="004122E2">
        <w:rPr>
          <w:rFonts w:ascii="Times New Roman" w:hAnsi="Times New Roman"/>
          <w:sz w:val="24"/>
          <w:szCs w:val="24"/>
        </w:rPr>
        <w:t xml:space="preserve"> </w:t>
      </w:r>
      <w:r w:rsidR="00BC7AAF" w:rsidRPr="004122E2">
        <w:rPr>
          <w:rFonts w:ascii="Times New Roman" w:hAnsi="Times New Roman"/>
          <w:sz w:val="24"/>
          <w:szCs w:val="24"/>
        </w:rPr>
        <w:t>закону</w:t>
      </w:r>
      <w:r w:rsidRPr="004122E2">
        <w:rPr>
          <w:rFonts w:ascii="Times New Roman" w:hAnsi="Times New Roman"/>
          <w:sz w:val="24"/>
          <w:szCs w:val="24"/>
        </w:rPr>
        <w:t xml:space="preserve"> </w:t>
      </w:r>
      <w:r w:rsidR="00BC7AAF" w:rsidRPr="004122E2">
        <w:rPr>
          <w:rFonts w:ascii="Times New Roman" w:hAnsi="Times New Roman"/>
          <w:sz w:val="24"/>
          <w:szCs w:val="24"/>
        </w:rPr>
        <w:t>који</w:t>
      </w:r>
      <w:r w:rsidRPr="004122E2">
        <w:rPr>
          <w:rFonts w:ascii="Times New Roman" w:hAnsi="Times New Roman"/>
          <w:sz w:val="24"/>
          <w:szCs w:val="24"/>
        </w:rPr>
        <w:t xml:space="preserve"> </w:t>
      </w:r>
      <w:r w:rsidR="00BC7AAF" w:rsidRPr="004122E2">
        <w:rPr>
          <w:rFonts w:ascii="Times New Roman" w:hAnsi="Times New Roman"/>
          <w:sz w:val="24"/>
          <w:szCs w:val="24"/>
        </w:rPr>
        <w:t>уређује</w:t>
      </w:r>
      <w:r w:rsidRPr="004122E2">
        <w:rPr>
          <w:rFonts w:ascii="Times New Roman" w:hAnsi="Times New Roman"/>
          <w:sz w:val="24"/>
          <w:szCs w:val="24"/>
        </w:rPr>
        <w:t xml:space="preserve"> </w:t>
      </w:r>
      <w:r w:rsidR="00BC7AAF" w:rsidRPr="004122E2">
        <w:rPr>
          <w:rFonts w:ascii="Times New Roman" w:hAnsi="Times New Roman"/>
          <w:sz w:val="24"/>
          <w:szCs w:val="24"/>
        </w:rPr>
        <w:t>добровољне</w:t>
      </w:r>
      <w:r w:rsidRPr="004122E2">
        <w:rPr>
          <w:rFonts w:ascii="Times New Roman" w:hAnsi="Times New Roman"/>
          <w:sz w:val="24"/>
          <w:szCs w:val="24"/>
        </w:rPr>
        <w:t xml:space="preserve"> </w:t>
      </w:r>
      <w:r w:rsidR="00BC7AAF" w:rsidRPr="004122E2">
        <w:rPr>
          <w:rFonts w:ascii="Times New Roman" w:hAnsi="Times New Roman"/>
          <w:sz w:val="24"/>
          <w:szCs w:val="24"/>
        </w:rPr>
        <w:t>пензијске</w:t>
      </w:r>
      <w:r w:rsidRPr="004122E2">
        <w:rPr>
          <w:rFonts w:ascii="Times New Roman" w:hAnsi="Times New Roman"/>
          <w:sz w:val="24"/>
          <w:szCs w:val="24"/>
        </w:rPr>
        <w:t xml:space="preserve"> </w:t>
      </w:r>
      <w:r w:rsidR="00BC7AAF" w:rsidRPr="004122E2">
        <w:rPr>
          <w:rFonts w:ascii="Times New Roman" w:hAnsi="Times New Roman"/>
          <w:sz w:val="24"/>
          <w:szCs w:val="24"/>
        </w:rPr>
        <w:t>фондове</w:t>
      </w:r>
      <w:r w:rsidRPr="004122E2">
        <w:rPr>
          <w:rFonts w:ascii="Times New Roman" w:hAnsi="Times New Roman"/>
          <w:sz w:val="24"/>
          <w:szCs w:val="24"/>
        </w:rPr>
        <w:t xml:space="preserve"> </w:t>
      </w:r>
      <w:r w:rsidR="00BC7AAF" w:rsidRPr="004122E2">
        <w:rPr>
          <w:rFonts w:ascii="Times New Roman" w:hAnsi="Times New Roman"/>
          <w:sz w:val="24"/>
          <w:szCs w:val="24"/>
        </w:rPr>
        <w:t>и</w:t>
      </w:r>
      <w:r w:rsidRPr="004122E2">
        <w:rPr>
          <w:rFonts w:ascii="Times New Roman" w:hAnsi="Times New Roman"/>
          <w:sz w:val="24"/>
          <w:szCs w:val="24"/>
        </w:rPr>
        <w:t xml:space="preserve"> </w:t>
      </w:r>
      <w:r w:rsidR="00BC7AAF" w:rsidRPr="004122E2">
        <w:rPr>
          <w:rFonts w:ascii="Times New Roman" w:hAnsi="Times New Roman"/>
          <w:sz w:val="24"/>
          <w:szCs w:val="24"/>
        </w:rPr>
        <w:t>пензијске</w:t>
      </w:r>
      <w:r w:rsidRPr="004122E2">
        <w:rPr>
          <w:rFonts w:ascii="Times New Roman" w:hAnsi="Times New Roman"/>
          <w:sz w:val="24"/>
          <w:szCs w:val="24"/>
        </w:rPr>
        <w:t xml:space="preserve"> </w:t>
      </w:r>
      <w:r w:rsidR="00BC7AAF" w:rsidRPr="004122E2">
        <w:rPr>
          <w:rFonts w:ascii="Times New Roman" w:hAnsi="Times New Roman"/>
          <w:sz w:val="24"/>
          <w:szCs w:val="24"/>
        </w:rPr>
        <w:t>планове</w:t>
      </w:r>
      <w:r w:rsidRPr="004122E2">
        <w:rPr>
          <w:rFonts w:ascii="Times New Roman" w:hAnsi="Times New Roman"/>
          <w:sz w:val="24"/>
          <w:szCs w:val="24"/>
          <w:lang w:val="sr-Cyrl-CS"/>
        </w:rPr>
        <w:t>.</w:t>
      </w:r>
      <w:r w:rsidRPr="004122E2">
        <w:rPr>
          <w:rStyle w:val="FootnoteReference"/>
          <w:rFonts w:ascii="Times New Roman" w:hAnsi="Times New Roman"/>
          <w:color w:val="000000"/>
          <w:sz w:val="24"/>
          <w:szCs w:val="24"/>
          <w:lang w:val="sr-Cyrl-CS"/>
        </w:rPr>
        <w:footnoteReference w:id="453"/>
      </w:r>
    </w:p>
    <w:p w:rsidR="00BF6E72" w:rsidRPr="004122E2" w:rsidRDefault="00BF6E72" w:rsidP="004122E2">
      <w:pPr>
        <w:ind w:firstLine="708"/>
        <w:jc w:val="both"/>
        <w:rPr>
          <w:rFonts w:ascii="Times New Roman" w:hAnsi="Times New Roman"/>
          <w:sz w:val="24"/>
          <w:szCs w:val="24"/>
          <w:lang w:val="sr-Cyrl-CS"/>
        </w:rPr>
      </w:pPr>
      <w:r w:rsidRPr="004122E2">
        <w:rPr>
          <w:rFonts w:ascii="Times New Roman" w:hAnsi="Times New Roman"/>
          <w:sz w:val="24"/>
          <w:szCs w:val="24"/>
          <w:lang w:val="sr-Cyrl-CS"/>
        </w:rPr>
        <w:t>У циљу подстицања запошљавања одређених категорија грађана ЗПДГ прописује одређења ослобођења од обавезе плаћања обрачунатог и обустављеног пореза на зараде у следећим случајевима:</w:t>
      </w:r>
      <w:r w:rsidRPr="004122E2">
        <w:rPr>
          <w:rStyle w:val="FootnoteReference"/>
          <w:rFonts w:ascii="Times New Roman" w:hAnsi="Times New Roman"/>
          <w:color w:val="000000"/>
          <w:sz w:val="24"/>
          <w:szCs w:val="24"/>
          <w:lang w:val="sr-Cyrl-CS"/>
        </w:rPr>
        <w:footnoteReference w:id="454"/>
      </w:r>
    </w:p>
    <w:p w:rsidR="00BF6E72" w:rsidRPr="004122E2" w:rsidRDefault="00BC7AAF" w:rsidP="004122E2">
      <w:pPr>
        <w:ind w:firstLine="708"/>
        <w:jc w:val="both"/>
        <w:rPr>
          <w:rFonts w:ascii="Times New Roman" w:hAnsi="Times New Roman"/>
          <w:sz w:val="24"/>
          <w:szCs w:val="24"/>
          <w:lang w:val="sr-Cyrl-CS"/>
        </w:rPr>
      </w:pPr>
      <w:r w:rsidRPr="004122E2">
        <w:rPr>
          <w:rFonts w:ascii="Times New Roman" w:hAnsi="Times New Roman"/>
          <w:sz w:val="24"/>
          <w:szCs w:val="24"/>
          <w:shd w:val="clear" w:color="auto" w:fill="FFFFFF"/>
        </w:rPr>
        <w:t>Послодавац</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који</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запосли</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лице</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које</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се</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у</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смислу</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закона</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којим</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се</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уређује</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рад</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сматра</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приправником</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које</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је</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на</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дан</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закључења</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уговора</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о</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раду</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млађе</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од</w:t>
      </w:r>
      <w:r w:rsidR="00BF6E72" w:rsidRPr="004122E2">
        <w:rPr>
          <w:rFonts w:ascii="Times New Roman" w:hAnsi="Times New Roman"/>
          <w:sz w:val="24"/>
          <w:szCs w:val="24"/>
          <w:shd w:val="clear" w:color="auto" w:fill="FFFFFF"/>
        </w:rPr>
        <w:t xml:space="preserve"> 30 </w:t>
      </w:r>
      <w:r w:rsidRPr="004122E2">
        <w:rPr>
          <w:rFonts w:ascii="Times New Roman" w:hAnsi="Times New Roman"/>
          <w:sz w:val="24"/>
          <w:szCs w:val="24"/>
          <w:shd w:val="clear" w:color="auto" w:fill="FFFFFF"/>
        </w:rPr>
        <w:t>година</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и</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које</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је</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код</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Националне</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службе</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за</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запошљавање</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пријављено</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као</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незапослено</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лице</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ослобађа</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се</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обавезе</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плаћања</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обрачунатог</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и</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обустављеног</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пореза</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из</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зараде</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новозапосленог</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лица</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за</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период</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од</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три</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године</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од</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дана</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заснивања</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радног</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односа</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тог</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лица</w:t>
      </w:r>
      <w:r w:rsidR="00BF6E72" w:rsidRPr="004122E2">
        <w:rPr>
          <w:rFonts w:ascii="Times New Roman" w:hAnsi="Times New Roman"/>
          <w:sz w:val="24"/>
          <w:szCs w:val="24"/>
          <w:shd w:val="clear" w:color="auto" w:fill="FFFFFF"/>
          <w:lang w:val="sr-Cyrl-CS"/>
        </w:rPr>
        <w:t>.</w:t>
      </w:r>
    </w:p>
    <w:p w:rsidR="00BF6E72" w:rsidRPr="004122E2" w:rsidRDefault="00BC7AAF" w:rsidP="004122E2">
      <w:pPr>
        <w:ind w:firstLine="708"/>
        <w:jc w:val="both"/>
        <w:rPr>
          <w:rFonts w:ascii="Times New Roman" w:hAnsi="Times New Roman"/>
          <w:sz w:val="24"/>
          <w:szCs w:val="24"/>
          <w:lang w:val="sr-Cyrl-CS"/>
        </w:rPr>
      </w:pPr>
      <w:r w:rsidRPr="004122E2">
        <w:rPr>
          <w:rFonts w:ascii="Times New Roman" w:hAnsi="Times New Roman"/>
          <w:sz w:val="24"/>
          <w:szCs w:val="24"/>
          <w:shd w:val="clear" w:color="auto" w:fill="FFFFFF"/>
        </w:rPr>
        <w:t>Послодавац</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који</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на</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неодређено</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време</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запосли</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лице</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са</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инвалидитетом</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у</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складу</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са</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законом</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који</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уређује</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спречавање</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дискриминације</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лица</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са</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инвалидитетом</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за</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које</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одговарајућом</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правно</w:t>
      </w:r>
      <w:r w:rsidR="00BF6E72" w:rsidRPr="004122E2">
        <w:rPr>
          <w:rFonts w:ascii="Times New Roman" w:hAnsi="Times New Roman"/>
          <w:sz w:val="24"/>
          <w:szCs w:val="24"/>
          <w:shd w:val="clear" w:color="auto" w:fill="FFFFFF"/>
        </w:rPr>
        <w:t>-</w:t>
      </w:r>
      <w:r w:rsidRPr="004122E2">
        <w:rPr>
          <w:rFonts w:ascii="Times New Roman" w:hAnsi="Times New Roman"/>
          <w:sz w:val="24"/>
          <w:szCs w:val="24"/>
          <w:shd w:val="clear" w:color="auto" w:fill="FFFFFF"/>
        </w:rPr>
        <w:t>медицински</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валидном</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документацијом</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докаже</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инвалидност</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ослобађа</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се</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обавезе</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плаћања</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обрачунатог</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и</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обустављеног</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пореза</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из</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зараде</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тог</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лица</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за</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период</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од</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три</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године</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од</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дана</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заснивања</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радног</w:t>
      </w:r>
      <w:r w:rsidR="00BF6E72" w:rsidRPr="004122E2">
        <w:rPr>
          <w:rFonts w:ascii="Times New Roman" w:hAnsi="Times New Roman"/>
          <w:sz w:val="24"/>
          <w:szCs w:val="24"/>
          <w:shd w:val="clear" w:color="auto" w:fill="FFFFFF"/>
        </w:rPr>
        <w:t xml:space="preserve"> </w:t>
      </w:r>
      <w:r w:rsidRPr="004122E2">
        <w:rPr>
          <w:rFonts w:ascii="Times New Roman" w:hAnsi="Times New Roman"/>
          <w:sz w:val="24"/>
          <w:szCs w:val="24"/>
          <w:shd w:val="clear" w:color="auto" w:fill="FFFFFF"/>
        </w:rPr>
        <w:t>односа</w:t>
      </w:r>
      <w:r w:rsidR="00BF6E72" w:rsidRPr="004122E2">
        <w:rPr>
          <w:rFonts w:ascii="Times New Roman" w:hAnsi="Times New Roman"/>
          <w:sz w:val="24"/>
          <w:szCs w:val="24"/>
          <w:shd w:val="clear" w:color="auto" w:fill="FFFFFF"/>
        </w:rPr>
        <w:t>.</w:t>
      </w:r>
    </w:p>
    <w:p w:rsidR="00BC7AAF" w:rsidRPr="004122E2" w:rsidRDefault="00BC7AAF" w:rsidP="004122E2">
      <w:pPr>
        <w:ind w:firstLine="708"/>
        <w:jc w:val="both"/>
        <w:rPr>
          <w:rFonts w:ascii="Times New Roman" w:hAnsi="Times New Roman"/>
          <w:sz w:val="24"/>
          <w:szCs w:val="24"/>
          <w:lang w:val="sr-Cyrl-CS"/>
        </w:rPr>
      </w:pPr>
      <w:r w:rsidRPr="004122E2">
        <w:rPr>
          <w:rFonts w:ascii="Times New Roman" w:hAnsi="Times New Roman"/>
          <w:sz w:val="24"/>
          <w:szCs w:val="24"/>
          <w:shd w:val="clear" w:color="auto" w:fill="FFFFFF"/>
        </w:rPr>
        <w:t>Послодавац који запосли лице које је на дан закључивања уговора о раду старије од 45 година и које код Националне службе за запошљавање има статус корисника новчане накнаде за време незапослености или је код те службе пријављено као незапослено лице најмање шест месеци без прекида, ослобађа се обавезе плаћања обрачунатог и обустављеног пореза из зараде тог новозапосленог лица.</w:t>
      </w:r>
    </w:p>
    <w:p w:rsidR="00E77954" w:rsidRPr="00BC7AAF" w:rsidRDefault="00E77954" w:rsidP="00E77954">
      <w:pPr>
        <w:pStyle w:val="normal0"/>
        <w:shd w:val="clear" w:color="auto" w:fill="FFFFFF"/>
        <w:spacing w:before="48" w:beforeAutospacing="0" w:after="48" w:afterAutospacing="0"/>
        <w:ind w:left="720"/>
        <w:jc w:val="both"/>
        <w:rPr>
          <w:color w:val="000000"/>
          <w:lang w:val="sr-Cyrl-CS"/>
        </w:rPr>
      </w:pPr>
    </w:p>
    <w:p w:rsidR="005E086E" w:rsidRDefault="005E086E" w:rsidP="00BC7AAF">
      <w:pPr>
        <w:pStyle w:val="normal0"/>
        <w:shd w:val="clear" w:color="auto" w:fill="FFFFFF"/>
        <w:spacing w:before="48" w:beforeAutospacing="0" w:after="48" w:afterAutospacing="0"/>
        <w:jc w:val="both"/>
        <w:rPr>
          <w:color w:val="000000"/>
          <w:lang w:val="sr-Cyrl-CS"/>
        </w:rPr>
      </w:pPr>
    </w:p>
    <w:p w:rsidR="005E086E" w:rsidRPr="00BC7AAF" w:rsidRDefault="005E086E" w:rsidP="00BC7AAF">
      <w:pPr>
        <w:pStyle w:val="normal0"/>
        <w:shd w:val="clear" w:color="auto" w:fill="FFFFFF"/>
        <w:spacing w:before="48" w:beforeAutospacing="0" w:after="48" w:afterAutospacing="0"/>
        <w:jc w:val="both"/>
        <w:rPr>
          <w:color w:val="000000"/>
          <w:lang w:val="sr-Cyrl-CS"/>
        </w:rPr>
      </w:pPr>
    </w:p>
    <w:p w:rsidR="00535ACD" w:rsidRDefault="00E05E09" w:rsidP="00E05E09">
      <w:pPr>
        <w:jc w:val="center"/>
        <w:rPr>
          <w:rFonts w:ascii="Times New Roman" w:hAnsi="Times New Roman"/>
          <w:b/>
          <w:color w:val="000000"/>
          <w:sz w:val="24"/>
          <w:szCs w:val="24"/>
          <w:shd w:val="clear" w:color="auto" w:fill="FFFFFF"/>
          <w:lang w:val="sr-Cyrl-CS"/>
        </w:rPr>
      </w:pPr>
      <w:r>
        <w:rPr>
          <w:rFonts w:ascii="Times New Roman" w:hAnsi="Times New Roman"/>
          <w:b/>
          <w:color w:val="000000"/>
          <w:sz w:val="24"/>
          <w:szCs w:val="24"/>
          <w:shd w:val="clear" w:color="auto" w:fill="FFFFFF"/>
          <w:lang w:val="sr-Cyrl-CS"/>
        </w:rPr>
        <w:t>5.3.4.2.</w:t>
      </w:r>
      <w:r w:rsidRPr="00E05E09">
        <w:rPr>
          <w:rFonts w:ascii="Times New Roman" w:hAnsi="Times New Roman"/>
          <w:b/>
          <w:color w:val="000000"/>
          <w:sz w:val="24"/>
          <w:szCs w:val="24"/>
          <w:shd w:val="clear" w:color="auto" w:fill="FFFFFF"/>
          <w:lang w:val="sr-Cyrl-CS"/>
        </w:rPr>
        <w:t>Порез на приходе од самосталне делатности</w:t>
      </w:r>
    </w:p>
    <w:p w:rsidR="00E05E09" w:rsidRPr="00E05E09" w:rsidRDefault="00E05E09" w:rsidP="00E05E09">
      <w:pPr>
        <w:jc w:val="center"/>
        <w:rPr>
          <w:rFonts w:ascii="Times New Roman" w:hAnsi="Times New Roman"/>
          <w:b/>
          <w:color w:val="000000"/>
          <w:sz w:val="24"/>
          <w:szCs w:val="24"/>
          <w:shd w:val="clear" w:color="auto" w:fill="FFFFFF"/>
          <w:lang w:val="sr-Cyrl-CS"/>
        </w:rPr>
      </w:pPr>
    </w:p>
    <w:p w:rsidR="00AF5C7D" w:rsidRPr="004122E2" w:rsidRDefault="005D5E4A" w:rsidP="004122E2">
      <w:pPr>
        <w:ind w:firstLine="708"/>
        <w:jc w:val="both"/>
        <w:rPr>
          <w:rFonts w:ascii="Times New Roman" w:hAnsi="Times New Roman"/>
          <w:sz w:val="24"/>
          <w:szCs w:val="24"/>
          <w:lang w:val="sr-Cyrl-CS"/>
        </w:rPr>
      </w:pPr>
      <w:r w:rsidRPr="004122E2">
        <w:rPr>
          <w:rFonts w:ascii="Times New Roman" w:hAnsi="Times New Roman"/>
          <w:sz w:val="24"/>
          <w:szCs w:val="24"/>
        </w:rPr>
        <w:t>Приходом</w:t>
      </w:r>
      <w:r w:rsidR="00535ACD" w:rsidRPr="004122E2">
        <w:rPr>
          <w:rFonts w:ascii="Times New Roman" w:hAnsi="Times New Roman"/>
          <w:sz w:val="24"/>
          <w:szCs w:val="24"/>
        </w:rPr>
        <w:t xml:space="preserve"> </w:t>
      </w:r>
      <w:r w:rsidRPr="004122E2">
        <w:rPr>
          <w:rFonts w:ascii="Times New Roman" w:hAnsi="Times New Roman"/>
          <w:sz w:val="24"/>
          <w:szCs w:val="24"/>
        </w:rPr>
        <w:t>од</w:t>
      </w:r>
      <w:r w:rsidR="00535ACD" w:rsidRPr="004122E2">
        <w:rPr>
          <w:rFonts w:ascii="Times New Roman" w:hAnsi="Times New Roman"/>
          <w:sz w:val="24"/>
          <w:szCs w:val="24"/>
        </w:rPr>
        <w:t xml:space="preserve"> </w:t>
      </w:r>
      <w:r w:rsidRPr="004122E2">
        <w:rPr>
          <w:rFonts w:ascii="Times New Roman" w:hAnsi="Times New Roman"/>
          <w:sz w:val="24"/>
          <w:szCs w:val="24"/>
        </w:rPr>
        <w:t>самосталне</w:t>
      </w:r>
      <w:r w:rsidR="00535ACD" w:rsidRPr="004122E2">
        <w:rPr>
          <w:rFonts w:ascii="Times New Roman" w:hAnsi="Times New Roman"/>
          <w:sz w:val="24"/>
          <w:szCs w:val="24"/>
        </w:rPr>
        <w:t xml:space="preserve"> </w:t>
      </w:r>
      <w:r w:rsidRPr="004122E2">
        <w:rPr>
          <w:rFonts w:ascii="Times New Roman" w:hAnsi="Times New Roman"/>
          <w:sz w:val="24"/>
          <w:szCs w:val="24"/>
        </w:rPr>
        <w:t>делатности</w:t>
      </w:r>
      <w:r w:rsidR="00535ACD" w:rsidRPr="004122E2">
        <w:rPr>
          <w:rFonts w:ascii="Times New Roman" w:hAnsi="Times New Roman"/>
          <w:sz w:val="24"/>
          <w:szCs w:val="24"/>
        </w:rPr>
        <w:t xml:space="preserve"> </w:t>
      </w:r>
      <w:r w:rsidRPr="004122E2">
        <w:rPr>
          <w:rFonts w:ascii="Times New Roman" w:hAnsi="Times New Roman"/>
          <w:sz w:val="24"/>
          <w:szCs w:val="24"/>
        </w:rPr>
        <w:t>сматра</w:t>
      </w:r>
      <w:r w:rsidR="00535ACD" w:rsidRPr="004122E2">
        <w:rPr>
          <w:rFonts w:ascii="Times New Roman" w:hAnsi="Times New Roman"/>
          <w:sz w:val="24"/>
          <w:szCs w:val="24"/>
        </w:rPr>
        <w:t xml:space="preserve"> </w:t>
      </w:r>
      <w:r w:rsidRPr="004122E2">
        <w:rPr>
          <w:rFonts w:ascii="Times New Roman" w:hAnsi="Times New Roman"/>
          <w:sz w:val="24"/>
          <w:szCs w:val="24"/>
        </w:rPr>
        <w:t>се</w:t>
      </w:r>
      <w:r w:rsidR="00535ACD" w:rsidRPr="004122E2">
        <w:rPr>
          <w:rFonts w:ascii="Times New Roman" w:hAnsi="Times New Roman"/>
          <w:sz w:val="24"/>
          <w:szCs w:val="24"/>
        </w:rPr>
        <w:t xml:space="preserve"> </w:t>
      </w:r>
      <w:r w:rsidRPr="004122E2">
        <w:rPr>
          <w:rFonts w:ascii="Times New Roman" w:hAnsi="Times New Roman"/>
          <w:sz w:val="24"/>
          <w:szCs w:val="24"/>
        </w:rPr>
        <w:t>приход</w:t>
      </w:r>
      <w:r w:rsidR="00535ACD" w:rsidRPr="004122E2">
        <w:rPr>
          <w:rFonts w:ascii="Times New Roman" w:hAnsi="Times New Roman"/>
          <w:sz w:val="24"/>
          <w:szCs w:val="24"/>
        </w:rPr>
        <w:t xml:space="preserve"> </w:t>
      </w:r>
      <w:r w:rsidRPr="004122E2">
        <w:rPr>
          <w:rFonts w:ascii="Times New Roman" w:hAnsi="Times New Roman"/>
          <w:sz w:val="24"/>
          <w:szCs w:val="24"/>
        </w:rPr>
        <w:t>остварен</w:t>
      </w:r>
      <w:r w:rsidR="00535ACD" w:rsidRPr="004122E2">
        <w:rPr>
          <w:rFonts w:ascii="Times New Roman" w:hAnsi="Times New Roman"/>
          <w:sz w:val="24"/>
          <w:szCs w:val="24"/>
        </w:rPr>
        <w:t xml:space="preserve"> </w:t>
      </w:r>
      <w:r w:rsidRPr="004122E2">
        <w:rPr>
          <w:rFonts w:ascii="Times New Roman" w:hAnsi="Times New Roman"/>
          <w:sz w:val="24"/>
          <w:szCs w:val="24"/>
        </w:rPr>
        <w:t>од</w:t>
      </w:r>
      <w:r w:rsidR="00535ACD" w:rsidRPr="004122E2">
        <w:rPr>
          <w:rFonts w:ascii="Times New Roman" w:hAnsi="Times New Roman"/>
          <w:sz w:val="24"/>
          <w:szCs w:val="24"/>
        </w:rPr>
        <w:t xml:space="preserve"> </w:t>
      </w:r>
      <w:r w:rsidRPr="004122E2">
        <w:rPr>
          <w:rFonts w:ascii="Times New Roman" w:hAnsi="Times New Roman"/>
          <w:sz w:val="24"/>
          <w:szCs w:val="24"/>
        </w:rPr>
        <w:t>привредних</w:t>
      </w:r>
      <w:r w:rsidR="00535ACD" w:rsidRPr="004122E2">
        <w:rPr>
          <w:rFonts w:ascii="Times New Roman" w:hAnsi="Times New Roman"/>
          <w:sz w:val="24"/>
          <w:szCs w:val="24"/>
        </w:rPr>
        <w:t xml:space="preserve"> </w:t>
      </w:r>
      <w:r w:rsidRPr="004122E2">
        <w:rPr>
          <w:rFonts w:ascii="Times New Roman" w:hAnsi="Times New Roman"/>
          <w:sz w:val="24"/>
          <w:szCs w:val="24"/>
        </w:rPr>
        <w:t>делатности</w:t>
      </w:r>
      <w:r w:rsidR="00A15C70" w:rsidRPr="004122E2">
        <w:rPr>
          <w:rFonts w:ascii="Times New Roman" w:hAnsi="Times New Roman"/>
          <w:sz w:val="24"/>
          <w:szCs w:val="24"/>
        </w:rPr>
        <w:t>,</w:t>
      </w:r>
      <w:r w:rsidR="00A15C70" w:rsidRPr="004122E2">
        <w:rPr>
          <w:rFonts w:ascii="Times New Roman" w:hAnsi="Times New Roman"/>
          <w:sz w:val="24"/>
          <w:szCs w:val="24"/>
          <w:lang w:val="sr-Cyrl-CS"/>
        </w:rPr>
        <w:t xml:space="preserve"> </w:t>
      </w:r>
      <w:r w:rsidRPr="004122E2">
        <w:rPr>
          <w:rFonts w:ascii="Times New Roman" w:hAnsi="Times New Roman"/>
          <w:sz w:val="24"/>
          <w:szCs w:val="24"/>
        </w:rPr>
        <w:t>укључујући</w:t>
      </w:r>
      <w:r w:rsidR="00535ACD" w:rsidRPr="004122E2">
        <w:rPr>
          <w:rFonts w:ascii="Times New Roman" w:hAnsi="Times New Roman"/>
          <w:sz w:val="24"/>
          <w:szCs w:val="24"/>
        </w:rPr>
        <w:t xml:space="preserve"> </w:t>
      </w:r>
      <w:r w:rsidRPr="004122E2">
        <w:rPr>
          <w:rFonts w:ascii="Times New Roman" w:hAnsi="Times New Roman"/>
          <w:sz w:val="24"/>
          <w:szCs w:val="24"/>
        </w:rPr>
        <w:t>и</w:t>
      </w:r>
      <w:r w:rsidR="00535ACD" w:rsidRPr="004122E2">
        <w:rPr>
          <w:rFonts w:ascii="Times New Roman" w:hAnsi="Times New Roman"/>
          <w:sz w:val="24"/>
          <w:szCs w:val="24"/>
        </w:rPr>
        <w:t xml:space="preserve"> </w:t>
      </w:r>
      <w:r w:rsidRPr="004122E2">
        <w:rPr>
          <w:rFonts w:ascii="Times New Roman" w:hAnsi="Times New Roman"/>
          <w:sz w:val="24"/>
          <w:szCs w:val="24"/>
        </w:rPr>
        <w:t>делатности</w:t>
      </w:r>
      <w:r w:rsidR="00535ACD" w:rsidRPr="004122E2">
        <w:rPr>
          <w:rFonts w:ascii="Times New Roman" w:hAnsi="Times New Roman"/>
          <w:sz w:val="24"/>
          <w:szCs w:val="24"/>
        </w:rPr>
        <w:t xml:space="preserve"> </w:t>
      </w:r>
      <w:r w:rsidRPr="004122E2">
        <w:rPr>
          <w:rFonts w:ascii="Times New Roman" w:hAnsi="Times New Roman"/>
          <w:sz w:val="24"/>
          <w:szCs w:val="24"/>
        </w:rPr>
        <w:t>пољопривреде</w:t>
      </w:r>
      <w:r w:rsidR="00535ACD" w:rsidRPr="004122E2">
        <w:rPr>
          <w:rFonts w:ascii="Times New Roman" w:hAnsi="Times New Roman"/>
          <w:sz w:val="24"/>
          <w:szCs w:val="24"/>
        </w:rPr>
        <w:t xml:space="preserve"> </w:t>
      </w:r>
      <w:r w:rsidRPr="004122E2">
        <w:rPr>
          <w:rFonts w:ascii="Times New Roman" w:hAnsi="Times New Roman"/>
          <w:sz w:val="24"/>
          <w:szCs w:val="24"/>
        </w:rPr>
        <w:t>и</w:t>
      </w:r>
      <w:r w:rsidR="00535ACD" w:rsidRPr="004122E2">
        <w:rPr>
          <w:rFonts w:ascii="Times New Roman" w:hAnsi="Times New Roman"/>
          <w:sz w:val="24"/>
          <w:szCs w:val="24"/>
        </w:rPr>
        <w:t xml:space="preserve"> </w:t>
      </w:r>
      <w:r w:rsidRPr="004122E2">
        <w:rPr>
          <w:rFonts w:ascii="Times New Roman" w:hAnsi="Times New Roman"/>
          <w:sz w:val="24"/>
          <w:szCs w:val="24"/>
        </w:rPr>
        <w:t>шумарства</w:t>
      </w:r>
      <w:r w:rsidR="00535ACD" w:rsidRPr="004122E2">
        <w:rPr>
          <w:rFonts w:ascii="Times New Roman" w:hAnsi="Times New Roman"/>
          <w:sz w:val="24"/>
          <w:szCs w:val="24"/>
        </w:rPr>
        <w:t xml:space="preserve">, </w:t>
      </w:r>
      <w:r w:rsidRPr="004122E2">
        <w:rPr>
          <w:rFonts w:ascii="Times New Roman" w:hAnsi="Times New Roman"/>
          <w:sz w:val="24"/>
          <w:szCs w:val="24"/>
        </w:rPr>
        <w:t>пружањем</w:t>
      </w:r>
      <w:r w:rsidR="00535ACD" w:rsidRPr="004122E2">
        <w:rPr>
          <w:rFonts w:ascii="Times New Roman" w:hAnsi="Times New Roman"/>
          <w:sz w:val="24"/>
          <w:szCs w:val="24"/>
        </w:rPr>
        <w:t xml:space="preserve"> </w:t>
      </w:r>
      <w:r w:rsidRPr="004122E2">
        <w:rPr>
          <w:rFonts w:ascii="Times New Roman" w:hAnsi="Times New Roman"/>
          <w:sz w:val="24"/>
          <w:szCs w:val="24"/>
        </w:rPr>
        <w:t>професионалних</w:t>
      </w:r>
      <w:r w:rsidR="00535ACD" w:rsidRPr="004122E2">
        <w:rPr>
          <w:rFonts w:ascii="Times New Roman" w:hAnsi="Times New Roman"/>
          <w:sz w:val="24"/>
          <w:szCs w:val="24"/>
        </w:rPr>
        <w:t xml:space="preserve"> </w:t>
      </w:r>
      <w:r w:rsidRPr="004122E2">
        <w:rPr>
          <w:rFonts w:ascii="Times New Roman" w:hAnsi="Times New Roman"/>
          <w:sz w:val="24"/>
          <w:szCs w:val="24"/>
        </w:rPr>
        <w:t>и</w:t>
      </w:r>
      <w:r w:rsidR="00535ACD" w:rsidRPr="004122E2">
        <w:rPr>
          <w:rFonts w:ascii="Times New Roman" w:hAnsi="Times New Roman"/>
          <w:sz w:val="24"/>
          <w:szCs w:val="24"/>
        </w:rPr>
        <w:t xml:space="preserve"> </w:t>
      </w:r>
      <w:r w:rsidRPr="004122E2">
        <w:rPr>
          <w:rFonts w:ascii="Times New Roman" w:hAnsi="Times New Roman"/>
          <w:sz w:val="24"/>
          <w:szCs w:val="24"/>
        </w:rPr>
        <w:t>других</w:t>
      </w:r>
      <w:r w:rsidR="00535ACD" w:rsidRPr="004122E2">
        <w:rPr>
          <w:rFonts w:ascii="Times New Roman" w:hAnsi="Times New Roman"/>
          <w:sz w:val="24"/>
          <w:szCs w:val="24"/>
        </w:rPr>
        <w:t xml:space="preserve"> </w:t>
      </w:r>
      <w:r w:rsidRPr="004122E2">
        <w:rPr>
          <w:rFonts w:ascii="Times New Roman" w:hAnsi="Times New Roman"/>
          <w:sz w:val="24"/>
          <w:szCs w:val="24"/>
        </w:rPr>
        <w:t>интелектуалних</w:t>
      </w:r>
      <w:r w:rsidR="00535ACD" w:rsidRPr="004122E2">
        <w:rPr>
          <w:rFonts w:ascii="Times New Roman" w:hAnsi="Times New Roman"/>
          <w:sz w:val="24"/>
          <w:szCs w:val="24"/>
        </w:rPr>
        <w:t xml:space="preserve"> </w:t>
      </w:r>
      <w:r w:rsidRPr="004122E2">
        <w:rPr>
          <w:rFonts w:ascii="Times New Roman" w:hAnsi="Times New Roman"/>
          <w:sz w:val="24"/>
          <w:szCs w:val="24"/>
        </w:rPr>
        <w:t>услуга</w:t>
      </w:r>
      <w:r w:rsidR="00535ACD" w:rsidRPr="004122E2">
        <w:rPr>
          <w:rFonts w:ascii="Times New Roman" w:hAnsi="Times New Roman"/>
          <w:sz w:val="24"/>
          <w:szCs w:val="24"/>
        </w:rPr>
        <w:t xml:space="preserve">, </w:t>
      </w:r>
      <w:r w:rsidRPr="004122E2">
        <w:rPr>
          <w:rFonts w:ascii="Times New Roman" w:hAnsi="Times New Roman"/>
          <w:sz w:val="24"/>
          <w:szCs w:val="24"/>
        </w:rPr>
        <w:t>као</w:t>
      </w:r>
      <w:r w:rsidR="00535ACD" w:rsidRPr="004122E2">
        <w:rPr>
          <w:rFonts w:ascii="Times New Roman" w:hAnsi="Times New Roman"/>
          <w:sz w:val="24"/>
          <w:szCs w:val="24"/>
        </w:rPr>
        <w:t xml:space="preserve"> </w:t>
      </w:r>
      <w:r w:rsidRPr="004122E2">
        <w:rPr>
          <w:rFonts w:ascii="Times New Roman" w:hAnsi="Times New Roman"/>
          <w:sz w:val="24"/>
          <w:szCs w:val="24"/>
        </w:rPr>
        <w:t>и</w:t>
      </w:r>
      <w:r w:rsidR="00535ACD" w:rsidRPr="004122E2">
        <w:rPr>
          <w:rFonts w:ascii="Times New Roman" w:hAnsi="Times New Roman"/>
          <w:sz w:val="24"/>
          <w:szCs w:val="24"/>
        </w:rPr>
        <w:t xml:space="preserve"> </w:t>
      </w:r>
      <w:r w:rsidRPr="004122E2">
        <w:rPr>
          <w:rFonts w:ascii="Times New Roman" w:hAnsi="Times New Roman"/>
          <w:sz w:val="24"/>
          <w:szCs w:val="24"/>
        </w:rPr>
        <w:t>приход</w:t>
      </w:r>
      <w:r w:rsidR="00535ACD" w:rsidRPr="004122E2">
        <w:rPr>
          <w:rFonts w:ascii="Times New Roman" w:hAnsi="Times New Roman"/>
          <w:sz w:val="24"/>
          <w:szCs w:val="24"/>
        </w:rPr>
        <w:t xml:space="preserve"> </w:t>
      </w:r>
      <w:r w:rsidRPr="004122E2">
        <w:rPr>
          <w:rFonts w:ascii="Times New Roman" w:hAnsi="Times New Roman"/>
          <w:sz w:val="24"/>
          <w:szCs w:val="24"/>
        </w:rPr>
        <w:t>од</w:t>
      </w:r>
      <w:r w:rsidR="00535ACD" w:rsidRPr="004122E2">
        <w:rPr>
          <w:rFonts w:ascii="Times New Roman" w:hAnsi="Times New Roman"/>
          <w:sz w:val="24"/>
          <w:szCs w:val="24"/>
        </w:rPr>
        <w:t xml:space="preserve"> </w:t>
      </w:r>
      <w:r w:rsidRPr="004122E2">
        <w:rPr>
          <w:rFonts w:ascii="Times New Roman" w:hAnsi="Times New Roman"/>
          <w:sz w:val="24"/>
          <w:szCs w:val="24"/>
        </w:rPr>
        <w:t>других</w:t>
      </w:r>
      <w:r w:rsidR="00535ACD" w:rsidRPr="004122E2">
        <w:rPr>
          <w:rFonts w:ascii="Times New Roman" w:hAnsi="Times New Roman"/>
          <w:sz w:val="24"/>
          <w:szCs w:val="24"/>
        </w:rPr>
        <w:t xml:space="preserve"> </w:t>
      </w:r>
      <w:r w:rsidRPr="004122E2">
        <w:rPr>
          <w:rFonts w:ascii="Times New Roman" w:hAnsi="Times New Roman"/>
          <w:sz w:val="24"/>
          <w:szCs w:val="24"/>
        </w:rPr>
        <w:t>делатности</w:t>
      </w:r>
      <w:r w:rsidR="00AF5C7D" w:rsidRPr="004122E2">
        <w:rPr>
          <w:rFonts w:ascii="Times New Roman" w:hAnsi="Times New Roman"/>
          <w:sz w:val="24"/>
          <w:szCs w:val="24"/>
        </w:rPr>
        <w:t xml:space="preserve">, </w:t>
      </w:r>
      <w:r w:rsidRPr="004122E2">
        <w:rPr>
          <w:rFonts w:ascii="Times New Roman" w:hAnsi="Times New Roman"/>
          <w:sz w:val="24"/>
          <w:szCs w:val="24"/>
        </w:rPr>
        <w:t>уколико</w:t>
      </w:r>
      <w:r w:rsidR="00AF5C7D" w:rsidRPr="004122E2">
        <w:rPr>
          <w:rFonts w:ascii="Times New Roman" w:hAnsi="Times New Roman"/>
          <w:sz w:val="24"/>
          <w:szCs w:val="24"/>
        </w:rPr>
        <w:t xml:space="preserve"> </w:t>
      </w:r>
      <w:r w:rsidRPr="004122E2">
        <w:rPr>
          <w:rFonts w:ascii="Times New Roman" w:hAnsi="Times New Roman"/>
          <w:sz w:val="24"/>
          <w:szCs w:val="24"/>
        </w:rPr>
        <w:t>се</w:t>
      </w:r>
      <w:r w:rsidR="00AF5C7D" w:rsidRPr="004122E2">
        <w:rPr>
          <w:rFonts w:ascii="Times New Roman" w:hAnsi="Times New Roman"/>
          <w:sz w:val="24"/>
          <w:szCs w:val="24"/>
        </w:rPr>
        <w:t xml:space="preserve"> </w:t>
      </w:r>
      <w:r w:rsidRPr="004122E2">
        <w:rPr>
          <w:rFonts w:ascii="Times New Roman" w:hAnsi="Times New Roman"/>
          <w:sz w:val="24"/>
          <w:szCs w:val="24"/>
        </w:rPr>
        <w:t>на</w:t>
      </w:r>
      <w:r w:rsidR="00AF5C7D" w:rsidRPr="004122E2">
        <w:rPr>
          <w:rFonts w:ascii="Times New Roman" w:hAnsi="Times New Roman"/>
          <w:sz w:val="24"/>
          <w:szCs w:val="24"/>
        </w:rPr>
        <w:t xml:space="preserve"> </w:t>
      </w:r>
      <w:r w:rsidRPr="004122E2">
        <w:rPr>
          <w:rFonts w:ascii="Times New Roman" w:hAnsi="Times New Roman"/>
          <w:sz w:val="24"/>
          <w:szCs w:val="24"/>
        </w:rPr>
        <w:t>тај</w:t>
      </w:r>
      <w:r w:rsidR="00AF5C7D" w:rsidRPr="004122E2">
        <w:rPr>
          <w:rFonts w:ascii="Times New Roman" w:hAnsi="Times New Roman"/>
          <w:sz w:val="24"/>
          <w:szCs w:val="24"/>
        </w:rPr>
        <w:t xml:space="preserve"> </w:t>
      </w:r>
      <w:r w:rsidRPr="004122E2">
        <w:rPr>
          <w:rFonts w:ascii="Times New Roman" w:hAnsi="Times New Roman"/>
          <w:sz w:val="24"/>
          <w:szCs w:val="24"/>
        </w:rPr>
        <w:t>приход</w:t>
      </w:r>
      <w:r w:rsidR="00AF5C7D" w:rsidRPr="004122E2">
        <w:rPr>
          <w:rFonts w:ascii="Times New Roman" w:hAnsi="Times New Roman"/>
          <w:sz w:val="24"/>
          <w:szCs w:val="24"/>
        </w:rPr>
        <w:t xml:space="preserve"> </w:t>
      </w:r>
      <w:r w:rsidR="00535ACD" w:rsidRPr="004122E2">
        <w:rPr>
          <w:rFonts w:ascii="Times New Roman" w:hAnsi="Times New Roman"/>
          <w:sz w:val="24"/>
          <w:szCs w:val="24"/>
        </w:rPr>
        <w:t xml:space="preserve"> </w:t>
      </w:r>
      <w:r w:rsidRPr="004122E2">
        <w:rPr>
          <w:rFonts w:ascii="Times New Roman" w:hAnsi="Times New Roman"/>
          <w:sz w:val="24"/>
          <w:szCs w:val="24"/>
        </w:rPr>
        <w:t>порез</w:t>
      </w:r>
      <w:r w:rsidR="00535ACD" w:rsidRPr="004122E2">
        <w:rPr>
          <w:rFonts w:ascii="Times New Roman" w:hAnsi="Times New Roman"/>
          <w:sz w:val="24"/>
          <w:szCs w:val="24"/>
        </w:rPr>
        <w:t xml:space="preserve"> </w:t>
      </w:r>
      <w:r w:rsidRPr="004122E2">
        <w:rPr>
          <w:rFonts w:ascii="Times New Roman" w:hAnsi="Times New Roman"/>
          <w:sz w:val="24"/>
          <w:szCs w:val="24"/>
        </w:rPr>
        <w:t>не</w:t>
      </w:r>
      <w:r w:rsidR="00535ACD" w:rsidRPr="004122E2">
        <w:rPr>
          <w:rFonts w:ascii="Times New Roman" w:hAnsi="Times New Roman"/>
          <w:sz w:val="24"/>
          <w:szCs w:val="24"/>
        </w:rPr>
        <w:t xml:space="preserve"> </w:t>
      </w:r>
      <w:r w:rsidRPr="004122E2">
        <w:rPr>
          <w:rFonts w:ascii="Times New Roman" w:hAnsi="Times New Roman"/>
          <w:sz w:val="24"/>
          <w:szCs w:val="24"/>
        </w:rPr>
        <w:t>плаћа</w:t>
      </w:r>
      <w:r w:rsidR="00535ACD" w:rsidRPr="004122E2">
        <w:rPr>
          <w:rFonts w:ascii="Times New Roman" w:hAnsi="Times New Roman"/>
          <w:sz w:val="24"/>
          <w:szCs w:val="24"/>
        </w:rPr>
        <w:t xml:space="preserve"> </w:t>
      </w:r>
      <w:r w:rsidRPr="004122E2">
        <w:rPr>
          <w:rFonts w:ascii="Times New Roman" w:hAnsi="Times New Roman"/>
          <w:sz w:val="24"/>
          <w:szCs w:val="24"/>
        </w:rPr>
        <w:t>по</w:t>
      </w:r>
      <w:r w:rsidR="00535ACD" w:rsidRPr="004122E2">
        <w:rPr>
          <w:rFonts w:ascii="Times New Roman" w:hAnsi="Times New Roman"/>
          <w:sz w:val="24"/>
          <w:szCs w:val="24"/>
        </w:rPr>
        <w:t xml:space="preserve"> </w:t>
      </w:r>
      <w:r w:rsidRPr="004122E2">
        <w:rPr>
          <w:rFonts w:ascii="Times New Roman" w:hAnsi="Times New Roman"/>
          <w:sz w:val="24"/>
          <w:szCs w:val="24"/>
        </w:rPr>
        <w:t>другом</w:t>
      </w:r>
      <w:r w:rsidR="00535ACD" w:rsidRPr="004122E2">
        <w:rPr>
          <w:rFonts w:ascii="Times New Roman" w:hAnsi="Times New Roman"/>
          <w:sz w:val="24"/>
          <w:szCs w:val="24"/>
        </w:rPr>
        <w:t xml:space="preserve"> </w:t>
      </w:r>
      <w:r w:rsidRPr="004122E2">
        <w:rPr>
          <w:rFonts w:ascii="Times New Roman" w:hAnsi="Times New Roman"/>
          <w:sz w:val="24"/>
          <w:szCs w:val="24"/>
        </w:rPr>
        <w:t>основу</w:t>
      </w:r>
      <w:r w:rsidR="00535ACD" w:rsidRPr="004122E2">
        <w:rPr>
          <w:rFonts w:ascii="Times New Roman" w:hAnsi="Times New Roman"/>
          <w:sz w:val="24"/>
          <w:szCs w:val="24"/>
        </w:rPr>
        <w:t>.</w:t>
      </w:r>
      <w:r w:rsidR="00AF5C7D" w:rsidRPr="004122E2">
        <w:rPr>
          <w:rFonts w:ascii="Times New Roman" w:hAnsi="Times New Roman"/>
          <w:sz w:val="24"/>
          <w:szCs w:val="24"/>
          <w:lang w:val="sr-Cyrl-CS"/>
        </w:rPr>
        <w:t xml:space="preserve"> </w:t>
      </w:r>
      <w:r w:rsidRPr="004122E2">
        <w:rPr>
          <w:rFonts w:ascii="Times New Roman" w:hAnsi="Times New Roman"/>
          <w:sz w:val="24"/>
          <w:szCs w:val="24"/>
        </w:rPr>
        <w:t>Приходом</w:t>
      </w:r>
      <w:r w:rsidR="00535ACD" w:rsidRPr="004122E2">
        <w:rPr>
          <w:rFonts w:ascii="Times New Roman" w:hAnsi="Times New Roman"/>
          <w:sz w:val="24"/>
          <w:szCs w:val="24"/>
        </w:rPr>
        <w:t xml:space="preserve"> </w:t>
      </w:r>
      <w:r w:rsidRPr="004122E2">
        <w:rPr>
          <w:rFonts w:ascii="Times New Roman" w:hAnsi="Times New Roman"/>
          <w:sz w:val="24"/>
          <w:szCs w:val="24"/>
        </w:rPr>
        <w:t>од</w:t>
      </w:r>
      <w:r w:rsidR="00535ACD" w:rsidRPr="004122E2">
        <w:rPr>
          <w:rFonts w:ascii="Times New Roman" w:hAnsi="Times New Roman"/>
          <w:sz w:val="24"/>
          <w:szCs w:val="24"/>
        </w:rPr>
        <w:t xml:space="preserve"> </w:t>
      </w:r>
      <w:r w:rsidRPr="004122E2">
        <w:rPr>
          <w:rFonts w:ascii="Times New Roman" w:hAnsi="Times New Roman"/>
          <w:sz w:val="24"/>
          <w:szCs w:val="24"/>
        </w:rPr>
        <w:t>самосталне</w:t>
      </w:r>
      <w:r w:rsidR="00535ACD" w:rsidRPr="004122E2">
        <w:rPr>
          <w:rFonts w:ascii="Times New Roman" w:hAnsi="Times New Roman"/>
          <w:sz w:val="24"/>
          <w:szCs w:val="24"/>
        </w:rPr>
        <w:t xml:space="preserve"> </w:t>
      </w:r>
      <w:r w:rsidRPr="004122E2">
        <w:rPr>
          <w:rFonts w:ascii="Times New Roman" w:hAnsi="Times New Roman"/>
          <w:sz w:val="24"/>
          <w:szCs w:val="24"/>
        </w:rPr>
        <w:t>делатности</w:t>
      </w:r>
      <w:r w:rsidR="00535ACD" w:rsidRPr="004122E2">
        <w:rPr>
          <w:rFonts w:ascii="Times New Roman" w:hAnsi="Times New Roman"/>
          <w:sz w:val="24"/>
          <w:szCs w:val="24"/>
        </w:rPr>
        <w:t xml:space="preserve"> </w:t>
      </w:r>
      <w:r w:rsidRPr="004122E2">
        <w:rPr>
          <w:rFonts w:ascii="Times New Roman" w:hAnsi="Times New Roman"/>
          <w:sz w:val="24"/>
          <w:szCs w:val="24"/>
        </w:rPr>
        <w:t>сматра</w:t>
      </w:r>
      <w:r w:rsidR="00535ACD" w:rsidRPr="004122E2">
        <w:rPr>
          <w:rFonts w:ascii="Times New Roman" w:hAnsi="Times New Roman"/>
          <w:sz w:val="24"/>
          <w:szCs w:val="24"/>
        </w:rPr>
        <w:t xml:space="preserve"> </w:t>
      </w:r>
      <w:r w:rsidRPr="004122E2">
        <w:rPr>
          <w:rFonts w:ascii="Times New Roman" w:hAnsi="Times New Roman"/>
          <w:sz w:val="24"/>
          <w:szCs w:val="24"/>
        </w:rPr>
        <w:t>се</w:t>
      </w:r>
      <w:r w:rsidR="00535ACD" w:rsidRPr="004122E2">
        <w:rPr>
          <w:rFonts w:ascii="Times New Roman" w:hAnsi="Times New Roman"/>
          <w:sz w:val="24"/>
          <w:szCs w:val="24"/>
        </w:rPr>
        <w:t xml:space="preserve"> </w:t>
      </w:r>
      <w:r w:rsidRPr="004122E2">
        <w:rPr>
          <w:rFonts w:ascii="Times New Roman" w:hAnsi="Times New Roman"/>
          <w:sz w:val="24"/>
          <w:szCs w:val="24"/>
        </w:rPr>
        <w:t>и</w:t>
      </w:r>
      <w:r w:rsidR="00535ACD" w:rsidRPr="004122E2">
        <w:rPr>
          <w:rFonts w:ascii="Times New Roman" w:hAnsi="Times New Roman"/>
          <w:sz w:val="24"/>
          <w:szCs w:val="24"/>
        </w:rPr>
        <w:t xml:space="preserve"> </w:t>
      </w:r>
      <w:r w:rsidRPr="004122E2">
        <w:rPr>
          <w:rFonts w:ascii="Times New Roman" w:hAnsi="Times New Roman"/>
          <w:sz w:val="24"/>
          <w:szCs w:val="24"/>
        </w:rPr>
        <w:t>приход</w:t>
      </w:r>
      <w:r w:rsidR="00535ACD" w:rsidRPr="004122E2">
        <w:rPr>
          <w:rFonts w:ascii="Times New Roman" w:hAnsi="Times New Roman"/>
          <w:sz w:val="24"/>
          <w:szCs w:val="24"/>
        </w:rPr>
        <w:t xml:space="preserve"> </w:t>
      </w:r>
      <w:r w:rsidRPr="004122E2">
        <w:rPr>
          <w:rFonts w:ascii="Times New Roman" w:hAnsi="Times New Roman"/>
          <w:sz w:val="24"/>
          <w:szCs w:val="24"/>
        </w:rPr>
        <w:t>остварен</w:t>
      </w:r>
      <w:r w:rsidR="00535ACD" w:rsidRPr="004122E2">
        <w:rPr>
          <w:rFonts w:ascii="Times New Roman" w:hAnsi="Times New Roman"/>
          <w:sz w:val="24"/>
          <w:szCs w:val="24"/>
        </w:rPr>
        <w:t xml:space="preserve"> </w:t>
      </w:r>
      <w:r w:rsidRPr="004122E2">
        <w:rPr>
          <w:rFonts w:ascii="Times New Roman" w:hAnsi="Times New Roman"/>
          <w:sz w:val="24"/>
          <w:szCs w:val="24"/>
        </w:rPr>
        <w:t>трајним</w:t>
      </w:r>
      <w:r w:rsidR="00535ACD" w:rsidRPr="004122E2">
        <w:rPr>
          <w:rFonts w:ascii="Times New Roman" w:hAnsi="Times New Roman"/>
          <w:sz w:val="24"/>
          <w:szCs w:val="24"/>
        </w:rPr>
        <w:t xml:space="preserve"> </w:t>
      </w:r>
      <w:r w:rsidRPr="004122E2">
        <w:rPr>
          <w:rFonts w:ascii="Times New Roman" w:hAnsi="Times New Roman"/>
          <w:sz w:val="24"/>
          <w:szCs w:val="24"/>
        </w:rPr>
        <w:t>или</w:t>
      </w:r>
      <w:r w:rsidR="00535ACD" w:rsidRPr="004122E2">
        <w:rPr>
          <w:rFonts w:ascii="Times New Roman" w:hAnsi="Times New Roman"/>
          <w:sz w:val="24"/>
          <w:szCs w:val="24"/>
        </w:rPr>
        <w:t xml:space="preserve"> </w:t>
      </w:r>
      <w:r w:rsidRPr="004122E2">
        <w:rPr>
          <w:rFonts w:ascii="Times New Roman" w:hAnsi="Times New Roman"/>
          <w:sz w:val="24"/>
          <w:szCs w:val="24"/>
        </w:rPr>
        <w:t>сезонским</w:t>
      </w:r>
      <w:r w:rsidR="00535ACD" w:rsidRPr="004122E2">
        <w:rPr>
          <w:rFonts w:ascii="Times New Roman" w:hAnsi="Times New Roman"/>
          <w:sz w:val="24"/>
          <w:szCs w:val="24"/>
        </w:rPr>
        <w:t xml:space="preserve"> </w:t>
      </w:r>
      <w:r w:rsidRPr="004122E2">
        <w:rPr>
          <w:rFonts w:ascii="Times New Roman" w:hAnsi="Times New Roman"/>
          <w:sz w:val="24"/>
          <w:szCs w:val="24"/>
        </w:rPr>
        <w:t>искоришћавањем</w:t>
      </w:r>
      <w:r w:rsidR="00535ACD" w:rsidRPr="004122E2">
        <w:rPr>
          <w:rFonts w:ascii="Times New Roman" w:hAnsi="Times New Roman"/>
          <w:sz w:val="24"/>
          <w:szCs w:val="24"/>
        </w:rPr>
        <w:t xml:space="preserve"> </w:t>
      </w:r>
      <w:r w:rsidRPr="004122E2">
        <w:rPr>
          <w:rFonts w:ascii="Times New Roman" w:hAnsi="Times New Roman"/>
          <w:sz w:val="24"/>
          <w:szCs w:val="24"/>
        </w:rPr>
        <w:t>земљишта</w:t>
      </w:r>
      <w:r w:rsidR="00535ACD" w:rsidRPr="004122E2">
        <w:rPr>
          <w:rFonts w:ascii="Times New Roman" w:hAnsi="Times New Roman"/>
          <w:sz w:val="24"/>
          <w:szCs w:val="24"/>
        </w:rPr>
        <w:t xml:space="preserve"> </w:t>
      </w:r>
      <w:r w:rsidRPr="004122E2">
        <w:rPr>
          <w:rFonts w:ascii="Times New Roman" w:hAnsi="Times New Roman"/>
          <w:sz w:val="24"/>
          <w:szCs w:val="24"/>
        </w:rPr>
        <w:t>у</w:t>
      </w:r>
      <w:r w:rsidR="00535ACD" w:rsidRPr="004122E2">
        <w:rPr>
          <w:rFonts w:ascii="Times New Roman" w:hAnsi="Times New Roman"/>
          <w:sz w:val="24"/>
          <w:szCs w:val="24"/>
        </w:rPr>
        <w:t xml:space="preserve"> </w:t>
      </w:r>
      <w:r w:rsidRPr="004122E2">
        <w:rPr>
          <w:rFonts w:ascii="Times New Roman" w:hAnsi="Times New Roman"/>
          <w:sz w:val="24"/>
          <w:szCs w:val="24"/>
        </w:rPr>
        <w:t>непољопривредне</w:t>
      </w:r>
      <w:r w:rsidR="00535ACD" w:rsidRPr="004122E2">
        <w:rPr>
          <w:rFonts w:ascii="Times New Roman" w:hAnsi="Times New Roman"/>
          <w:sz w:val="24"/>
          <w:szCs w:val="24"/>
        </w:rPr>
        <w:t xml:space="preserve"> </w:t>
      </w:r>
      <w:r w:rsidRPr="004122E2">
        <w:rPr>
          <w:rFonts w:ascii="Times New Roman" w:hAnsi="Times New Roman"/>
          <w:sz w:val="24"/>
          <w:szCs w:val="24"/>
        </w:rPr>
        <w:t>сврхе</w:t>
      </w:r>
      <w:r w:rsidR="00535ACD" w:rsidRPr="004122E2">
        <w:rPr>
          <w:rFonts w:ascii="Times New Roman" w:hAnsi="Times New Roman"/>
          <w:sz w:val="24"/>
          <w:szCs w:val="24"/>
        </w:rPr>
        <w:t xml:space="preserve"> (</w:t>
      </w:r>
      <w:r w:rsidRPr="004122E2">
        <w:rPr>
          <w:rFonts w:ascii="Times New Roman" w:hAnsi="Times New Roman"/>
          <w:sz w:val="24"/>
          <w:szCs w:val="24"/>
        </w:rPr>
        <w:t>вађење</w:t>
      </w:r>
      <w:r w:rsidR="00535ACD" w:rsidRPr="004122E2">
        <w:rPr>
          <w:rFonts w:ascii="Times New Roman" w:hAnsi="Times New Roman"/>
          <w:sz w:val="24"/>
          <w:szCs w:val="24"/>
        </w:rPr>
        <w:t xml:space="preserve"> </w:t>
      </w:r>
      <w:r w:rsidRPr="004122E2">
        <w:rPr>
          <w:rFonts w:ascii="Times New Roman" w:hAnsi="Times New Roman"/>
          <w:sz w:val="24"/>
          <w:szCs w:val="24"/>
        </w:rPr>
        <w:t>песка</w:t>
      </w:r>
      <w:r w:rsidR="00535ACD" w:rsidRPr="004122E2">
        <w:rPr>
          <w:rFonts w:ascii="Times New Roman" w:hAnsi="Times New Roman"/>
          <w:sz w:val="24"/>
          <w:szCs w:val="24"/>
        </w:rPr>
        <w:t xml:space="preserve">, </w:t>
      </w:r>
      <w:r w:rsidRPr="004122E2">
        <w:rPr>
          <w:rFonts w:ascii="Times New Roman" w:hAnsi="Times New Roman"/>
          <w:sz w:val="24"/>
          <w:szCs w:val="24"/>
        </w:rPr>
        <w:t>шљунка</w:t>
      </w:r>
      <w:r w:rsidR="00535ACD" w:rsidRPr="004122E2">
        <w:rPr>
          <w:rFonts w:ascii="Times New Roman" w:hAnsi="Times New Roman"/>
          <w:sz w:val="24"/>
          <w:szCs w:val="24"/>
        </w:rPr>
        <w:t xml:space="preserve"> </w:t>
      </w:r>
      <w:r w:rsidRPr="004122E2">
        <w:rPr>
          <w:rFonts w:ascii="Times New Roman" w:hAnsi="Times New Roman"/>
          <w:sz w:val="24"/>
          <w:szCs w:val="24"/>
        </w:rPr>
        <w:t>и</w:t>
      </w:r>
      <w:r w:rsidR="00535ACD" w:rsidRPr="004122E2">
        <w:rPr>
          <w:rFonts w:ascii="Times New Roman" w:hAnsi="Times New Roman"/>
          <w:sz w:val="24"/>
          <w:szCs w:val="24"/>
        </w:rPr>
        <w:t xml:space="preserve"> </w:t>
      </w:r>
      <w:r w:rsidRPr="004122E2">
        <w:rPr>
          <w:rFonts w:ascii="Times New Roman" w:hAnsi="Times New Roman"/>
          <w:sz w:val="24"/>
          <w:szCs w:val="24"/>
        </w:rPr>
        <w:t>камења</w:t>
      </w:r>
      <w:r w:rsidR="00535ACD" w:rsidRPr="004122E2">
        <w:rPr>
          <w:rFonts w:ascii="Times New Roman" w:hAnsi="Times New Roman"/>
          <w:sz w:val="24"/>
          <w:szCs w:val="24"/>
        </w:rPr>
        <w:t xml:space="preserve">, </w:t>
      </w:r>
      <w:r w:rsidRPr="004122E2">
        <w:rPr>
          <w:rFonts w:ascii="Times New Roman" w:hAnsi="Times New Roman"/>
          <w:sz w:val="24"/>
          <w:szCs w:val="24"/>
        </w:rPr>
        <w:t>производња</w:t>
      </w:r>
      <w:r w:rsidR="00535ACD" w:rsidRPr="004122E2">
        <w:rPr>
          <w:rFonts w:ascii="Times New Roman" w:hAnsi="Times New Roman"/>
          <w:sz w:val="24"/>
          <w:szCs w:val="24"/>
        </w:rPr>
        <w:t xml:space="preserve"> </w:t>
      </w:r>
      <w:r w:rsidRPr="004122E2">
        <w:rPr>
          <w:rFonts w:ascii="Times New Roman" w:hAnsi="Times New Roman"/>
          <w:sz w:val="24"/>
          <w:szCs w:val="24"/>
        </w:rPr>
        <w:t>креча</w:t>
      </w:r>
      <w:r w:rsidR="00535ACD" w:rsidRPr="004122E2">
        <w:rPr>
          <w:rFonts w:ascii="Times New Roman" w:hAnsi="Times New Roman"/>
          <w:sz w:val="24"/>
          <w:szCs w:val="24"/>
        </w:rPr>
        <w:t xml:space="preserve">, </w:t>
      </w:r>
      <w:r w:rsidRPr="004122E2">
        <w:rPr>
          <w:rFonts w:ascii="Times New Roman" w:hAnsi="Times New Roman"/>
          <w:sz w:val="24"/>
          <w:szCs w:val="24"/>
        </w:rPr>
        <w:t>цигле</w:t>
      </w:r>
      <w:r w:rsidR="00535ACD" w:rsidRPr="004122E2">
        <w:rPr>
          <w:rFonts w:ascii="Times New Roman" w:hAnsi="Times New Roman"/>
          <w:sz w:val="24"/>
          <w:szCs w:val="24"/>
        </w:rPr>
        <w:t xml:space="preserve">, </w:t>
      </w:r>
      <w:r w:rsidRPr="004122E2">
        <w:rPr>
          <w:rFonts w:ascii="Times New Roman" w:hAnsi="Times New Roman"/>
          <w:sz w:val="24"/>
          <w:szCs w:val="24"/>
        </w:rPr>
        <w:t>црепа</w:t>
      </w:r>
      <w:r w:rsidR="00535ACD" w:rsidRPr="004122E2">
        <w:rPr>
          <w:rFonts w:ascii="Times New Roman" w:hAnsi="Times New Roman"/>
          <w:sz w:val="24"/>
          <w:szCs w:val="24"/>
        </w:rPr>
        <w:t xml:space="preserve">, </w:t>
      </w:r>
      <w:r w:rsidRPr="004122E2">
        <w:rPr>
          <w:rFonts w:ascii="Times New Roman" w:hAnsi="Times New Roman"/>
          <w:sz w:val="24"/>
          <w:szCs w:val="24"/>
        </w:rPr>
        <w:t>ћумура</w:t>
      </w:r>
      <w:r w:rsidR="00535ACD" w:rsidRPr="004122E2">
        <w:rPr>
          <w:rFonts w:ascii="Times New Roman" w:hAnsi="Times New Roman"/>
          <w:sz w:val="24"/>
          <w:szCs w:val="24"/>
        </w:rPr>
        <w:t xml:space="preserve"> </w:t>
      </w:r>
      <w:r w:rsidRPr="004122E2">
        <w:rPr>
          <w:rFonts w:ascii="Times New Roman" w:hAnsi="Times New Roman"/>
          <w:sz w:val="24"/>
          <w:szCs w:val="24"/>
        </w:rPr>
        <w:t>и</w:t>
      </w:r>
      <w:r w:rsidR="00535ACD" w:rsidRPr="004122E2">
        <w:rPr>
          <w:rFonts w:ascii="Times New Roman" w:hAnsi="Times New Roman"/>
          <w:sz w:val="24"/>
          <w:szCs w:val="24"/>
        </w:rPr>
        <w:t xml:space="preserve"> </w:t>
      </w:r>
      <w:r w:rsidRPr="004122E2">
        <w:rPr>
          <w:rFonts w:ascii="Times New Roman" w:hAnsi="Times New Roman"/>
          <w:sz w:val="24"/>
          <w:szCs w:val="24"/>
        </w:rPr>
        <w:t>сл</w:t>
      </w:r>
      <w:r w:rsidR="00535ACD" w:rsidRPr="004122E2">
        <w:rPr>
          <w:rFonts w:ascii="Times New Roman" w:hAnsi="Times New Roman"/>
          <w:sz w:val="24"/>
          <w:szCs w:val="24"/>
        </w:rPr>
        <w:t xml:space="preserve">.), </w:t>
      </w:r>
      <w:r w:rsidRPr="004122E2">
        <w:rPr>
          <w:rFonts w:ascii="Times New Roman" w:hAnsi="Times New Roman"/>
          <w:sz w:val="24"/>
          <w:szCs w:val="24"/>
        </w:rPr>
        <w:t>инкубаторском</w:t>
      </w:r>
      <w:r w:rsidR="00535ACD" w:rsidRPr="004122E2">
        <w:rPr>
          <w:rFonts w:ascii="Times New Roman" w:hAnsi="Times New Roman"/>
          <w:sz w:val="24"/>
          <w:szCs w:val="24"/>
        </w:rPr>
        <w:t xml:space="preserve"> </w:t>
      </w:r>
      <w:r w:rsidRPr="004122E2">
        <w:rPr>
          <w:rFonts w:ascii="Times New Roman" w:hAnsi="Times New Roman"/>
          <w:sz w:val="24"/>
          <w:szCs w:val="24"/>
        </w:rPr>
        <w:t>производњом</w:t>
      </w:r>
      <w:r w:rsidR="00535ACD" w:rsidRPr="004122E2">
        <w:rPr>
          <w:rFonts w:ascii="Times New Roman" w:hAnsi="Times New Roman"/>
          <w:sz w:val="24"/>
          <w:szCs w:val="24"/>
        </w:rPr>
        <w:t xml:space="preserve"> </w:t>
      </w:r>
      <w:r w:rsidRPr="004122E2">
        <w:rPr>
          <w:rFonts w:ascii="Times New Roman" w:hAnsi="Times New Roman"/>
          <w:sz w:val="24"/>
          <w:szCs w:val="24"/>
        </w:rPr>
        <w:t>живине</w:t>
      </w:r>
      <w:r w:rsidR="00535ACD" w:rsidRPr="004122E2">
        <w:rPr>
          <w:rFonts w:ascii="Times New Roman" w:hAnsi="Times New Roman"/>
          <w:sz w:val="24"/>
          <w:szCs w:val="24"/>
        </w:rPr>
        <w:t xml:space="preserve"> </w:t>
      </w:r>
      <w:r w:rsidRPr="004122E2">
        <w:rPr>
          <w:rFonts w:ascii="Times New Roman" w:hAnsi="Times New Roman"/>
          <w:sz w:val="24"/>
          <w:szCs w:val="24"/>
        </w:rPr>
        <w:t>и</w:t>
      </w:r>
      <w:r w:rsidR="00535ACD" w:rsidRPr="004122E2">
        <w:rPr>
          <w:rFonts w:ascii="Times New Roman" w:hAnsi="Times New Roman"/>
          <w:sz w:val="24"/>
          <w:szCs w:val="24"/>
        </w:rPr>
        <w:t xml:space="preserve"> </w:t>
      </w:r>
      <w:r w:rsidRPr="004122E2">
        <w:rPr>
          <w:rFonts w:ascii="Times New Roman" w:hAnsi="Times New Roman"/>
          <w:sz w:val="24"/>
          <w:szCs w:val="24"/>
        </w:rPr>
        <w:t>другим</w:t>
      </w:r>
      <w:r w:rsidR="00535ACD" w:rsidRPr="004122E2">
        <w:rPr>
          <w:rFonts w:ascii="Times New Roman" w:hAnsi="Times New Roman"/>
          <w:sz w:val="24"/>
          <w:szCs w:val="24"/>
        </w:rPr>
        <w:t xml:space="preserve"> </w:t>
      </w:r>
      <w:r w:rsidRPr="004122E2">
        <w:rPr>
          <w:rFonts w:ascii="Times New Roman" w:hAnsi="Times New Roman"/>
          <w:sz w:val="24"/>
          <w:szCs w:val="24"/>
        </w:rPr>
        <w:t>сличним</w:t>
      </w:r>
      <w:r w:rsidR="00535ACD" w:rsidRPr="004122E2">
        <w:rPr>
          <w:rFonts w:ascii="Times New Roman" w:hAnsi="Times New Roman"/>
          <w:sz w:val="24"/>
          <w:szCs w:val="24"/>
        </w:rPr>
        <w:t xml:space="preserve"> </w:t>
      </w:r>
      <w:r w:rsidRPr="004122E2">
        <w:rPr>
          <w:rFonts w:ascii="Times New Roman" w:hAnsi="Times New Roman"/>
          <w:sz w:val="24"/>
          <w:szCs w:val="24"/>
        </w:rPr>
        <w:t>делатностима</w:t>
      </w:r>
      <w:r w:rsidR="00535ACD" w:rsidRPr="004122E2">
        <w:rPr>
          <w:rFonts w:ascii="Times New Roman" w:hAnsi="Times New Roman"/>
          <w:sz w:val="24"/>
          <w:szCs w:val="24"/>
        </w:rPr>
        <w:t xml:space="preserve">, </w:t>
      </w:r>
      <w:r w:rsidRPr="004122E2">
        <w:rPr>
          <w:rFonts w:ascii="Times New Roman" w:hAnsi="Times New Roman"/>
          <w:sz w:val="24"/>
          <w:szCs w:val="24"/>
        </w:rPr>
        <w:t>независно</w:t>
      </w:r>
      <w:r w:rsidR="00535ACD" w:rsidRPr="004122E2">
        <w:rPr>
          <w:rFonts w:ascii="Times New Roman" w:hAnsi="Times New Roman"/>
          <w:sz w:val="24"/>
          <w:szCs w:val="24"/>
        </w:rPr>
        <w:t xml:space="preserve"> </w:t>
      </w:r>
      <w:r w:rsidRPr="004122E2">
        <w:rPr>
          <w:rFonts w:ascii="Times New Roman" w:hAnsi="Times New Roman"/>
          <w:sz w:val="24"/>
          <w:szCs w:val="24"/>
        </w:rPr>
        <w:t>од</w:t>
      </w:r>
      <w:r w:rsidR="00535ACD" w:rsidRPr="004122E2">
        <w:rPr>
          <w:rFonts w:ascii="Times New Roman" w:hAnsi="Times New Roman"/>
          <w:sz w:val="24"/>
          <w:szCs w:val="24"/>
        </w:rPr>
        <w:t xml:space="preserve"> </w:t>
      </w:r>
      <w:r w:rsidRPr="004122E2">
        <w:rPr>
          <w:rFonts w:ascii="Times New Roman" w:hAnsi="Times New Roman"/>
          <w:sz w:val="24"/>
          <w:szCs w:val="24"/>
        </w:rPr>
        <w:t>тога</w:t>
      </w:r>
      <w:r w:rsidR="00535ACD" w:rsidRPr="004122E2">
        <w:rPr>
          <w:rFonts w:ascii="Times New Roman" w:hAnsi="Times New Roman"/>
          <w:sz w:val="24"/>
          <w:szCs w:val="24"/>
        </w:rPr>
        <w:t xml:space="preserve"> </w:t>
      </w:r>
      <w:r w:rsidRPr="004122E2">
        <w:rPr>
          <w:rFonts w:ascii="Times New Roman" w:hAnsi="Times New Roman"/>
          <w:sz w:val="24"/>
          <w:szCs w:val="24"/>
        </w:rPr>
        <w:t>да</w:t>
      </w:r>
      <w:r w:rsidR="00535ACD" w:rsidRPr="004122E2">
        <w:rPr>
          <w:rFonts w:ascii="Times New Roman" w:hAnsi="Times New Roman"/>
          <w:sz w:val="24"/>
          <w:szCs w:val="24"/>
        </w:rPr>
        <w:t xml:space="preserve"> </w:t>
      </w:r>
      <w:r w:rsidRPr="004122E2">
        <w:rPr>
          <w:rFonts w:ascii="Times New Roman" w:hAnsi="Times New Roman"/>
          <w:sz w:val="24"/>
          <w:szCs w:val="24"/>
        </w:rPr>
        <w:t>ли</w:t>
      </w:r>
      <w:r w:rsidR="00535ACD" w:rsidRPr="004122E2">
        <w:rPr>
          <w:rFonts w:ascii="Times New Roman" w:hAnsi="Times New Roman"/>
          <w:sz w:val="24"/>
          <w:szCs w:val="24"/>
        </w:rPr>
        <w:t xml:space="preserve"> </w:t>
      </w:r>
      <w:r w:rsidRPr="004122E2">
        <w:rPr>
          <w:rFonts w:ascii="Times New Roman" w:hAnsi="Times New Roman"/>
          <w:sz w:val="24"/>
          <w:szCs w:val="24"/>
        </w:rPr>
        <w:t>су</w:t>
      </w:r>
      <w:r w:rsidR="00535ACD" w:rsidRPr="004122E2">
        <w:rPr>
          <w:rFonts w:ascii="Times New Roman" w:hAnsi="Times New Roman"/>
          <w:sz w:val="24"/>
          <w:szCs w:val="24"/>
        </w:rPr>
        <w:t xml:space="preserve"> </w:t>
      </w:r>
      <w:r w:rsidRPr="004122E2">
        <w:rPr>
          <w:rFonts w:ascii="Times New Roman" w:hAnsi="Times New Roman"/>
          <w:sz w:val="24"/>
          <w:szCs w:val="24"/>
        </w:rPr>
        <w:t>као</w:t>
      </w:r>
      <w:r w:rsidR="00535ACD" w:rsidRPr="004122E2">
        <w:rPr>
          <w:rFonts w:ascii="Times New Roman" w:hAnsi="Times New Roman"/>
          <w:sz w:val="24"/>
          <w:szCs w:val="24"/>
        </w:rPr>
        <w:t xml:space="preserve"> </w:t>
      </w:r>
      <w:r w:rsidRPr="004122E2">
        <w:rPr>
          <w:rFonts w:ascii="Times New Roman" w:hAnsi="Times New Roman"/>
          <w:sz w:val="24"/>
          <w:szCs w:val="24"/>
        </w:rPr>
        <w:t>самосталне</w:t>
      </w:r>
      <w:r w:rsidR="00535ACD" w:rsidRPr="004122E2">
        <w:rPr>
          <w:rFonts w:ascii="Times New Roman" w:hAnsi="Times New Roman"/>
          <w:sz w:val="24"/>
          <w:szCs w:val="24"/>
        </w:rPr>
        <w:t xml:space="preserve"> </w:t>
      </w:r>
      <w:r w:rsidRPr="004122E2">
        <w:rPr>
          <w:rFonts w:ascii="Times New Roman" w:hAnsi="Times New Roman"/>
          <w:sz w:val="24"/>
          <w:szCs w:val="24"/>
        </w:rPr>
        <w:t>делатности</w:t>
      </w:r>
      <w:r w:rsidR="00535ACD" w:rsidRPr="004122E2">
        <w:rPr>
          <w:rFonts w:ascii="Times New Roman" w:hAnsi="Times New Roman"/>
          <w:sz w:val="24"/>
          <w:szCs w:val="24"/>
        </w:rPr>
        <w:t xml:space="preserve"> </w:t>
      </w:r>
      <w:r w:rsidRPr="004122E2">
        <w:rPr>
          <w:rFonts w:ascii="Times New Roman" w:hAnsi="Times New Roman"/>
          <w:sz w:val="24"/>
          <w:szCs w:val="24"/>
        </w:rPr>
        <w:t>регистроване</w:t>
      </w:r>
      <w:r w:rsidR="00535ACD" w:rsidRPr="004122E2">
        <w:rPr>
          <w:rFonts w:ascii="Times New Roman" w:hAnsi="Times New Roman"/>
          <w:sz w:val="24"/>
          <w:szCs w:val="24"/>
        </w:rPr>
        <w:t xml:space="preserve"> </w:t>
      </w:r>
      <w:r w:rsidRPr="004122E2">
        <w:rPr>
          <w:rFonts w:ascii="Times New Roman" w:hAnsi="Times New Roman"/>
          <w:sz w:val="24"/>
          <w:szCs w:val="24"/>
        </w:rPr>
        <w:t>код</w:t>
      </w:r>
      <w:r w:rsidR="00535ACD" w:rsidRPr="004122E2">
        <w:rPr>
          <w:rFonts w:ascii="Times New Roman" w:hAnsi="Times New Roman"/>
          <w:sz w:val="24"/>
          <w:szCs w:val="24"/>
        </w:rPr>
        <w:t xml:space="preserve"> </w:t>
      </w:r>
      <w:r w:rsidRPr="004122E2">
        <w:rPr>
          <w:rFonts w:ascii="Times New Roman" w:hAnsi="Times New Roman"/>
          <w:sz w:val="24"/>
          <w:szCs w:val="24"/>
        </w:rPr>
        <w:t>надлежног</w:t>
      </w:r>
      <w:r w:rsidR="00535ACD" w:rsidRPr="004122E2">
        <w:rPr>
          <w:rFonts w:ascii="Times New Roman" w:hAnsi="Times New Roman"/>
          <w:sz w:val="24"/>
          <w:szCs w:val="24"/>
        </w:rPr>
        <w:t xml:space="preserve"> </w:t>
      </w:r>
      <w:r w:rsidRPr="004122E2">
        <w:rPr>
          <w:rFonts w:ascii="Times New Roman" w:hAnsi="Times New Roman"/>
          <w:sz w:val="24"/>
          <w:szCs w:val="24"/>
        </w:rPr>
        <w:t>органа</w:t>
      </w:r>
      <w:r w:rsidR="00535ACD" w:rsidRPr="004122E2">
        <w:rPr>
          <w:rFonts w:ascii="Times New Roman" w:hAnsi="Times New Roman"/>
          <w:sz w:val="24"/>
          <w:szCs w:val="24"/>
        </w:rPr>
        <w:t>.</w:t>
      </w:r>
      <w:r w:rsidR="00BC7AAF" w:rsidRPr="004122E2">
        <w:rPr>
          <w:rStyle w:val="FootnoteReference"/>
          <w:rFonts w:ascii="Times New Roman" w:hAnsi="Times New Roman"/>
          <w:color w:val="000000"/>
          <w:sz w:val="24"/>
          <w:szCs w:val="24"/>
        </w:rPr>
        <w:footnoteReference w:id="455"/>
      </w:r>
      <w:r w:rsidR="00AF5C7D" w:rsidRPr="004122E2">
        <w:rPr>
          <w:rFonts w:ascii="Times New Roman" w:hAnsi="Times New Roman"/>
          <w:sz w:val="24"/>
          <w:szCs w:val="24"/>
          <w:lang w:val="sr-Cyrl-CS"/>
        </w:rPr>
        <w:t xml:space="preserve"> </w:t>
      </w:r>
    </w:p>
    <w:p w:rsidR="00535ACD" w:rsidRPr="004122E2" w:rsidRDefault="005D5E4A" w:rsidP="004122E2">
      <w:pPr>
        <w:ind w:firstLine="708"/>
        <w:jc w:val="both"/>
        <w:rPr>
          <w:rFonts w:ascii="Times New Roman" w:hAnsi="Times New Roman"/>
          <w:sz w:val="24"/>
          <w:szCs w:val="24"/>
          <w:lang w:val="sr-Cyrl-CS"/>
        </w:rPr>
      </w:pPr>
      <w:bookmarkStart w:id="29" w:name="str_24"/>
      <w:bookmarkEnd w:id="29"/>
      <w:r w:rsidRPr="004122E2">
        <w:rPr>
          <w:rFonts w:ascii="Times New Roman" w:hAnsi="Times New Roman"/>
          <w:sz w:val="24"/>
          <w:szCs w:val="24"/>
        </w:rPr>
        <w:t>Обвезник</w:t>
      </w:r>
      <w:r w:rsidR="00535ACD" w:rsidRPr="004122E2">
        <w:rPr>
          <w:rFonts w:ascii="Times New Roman" w:hAnsi="Times New Roman"/>
          <w:sz w:val="24"/>
          <w:szCs w:val="24"/>
        </w:rPr>
        <w:t xml:space="preserve"> </w:t>
      </w:r>
      <w:r w:rsidRPr="004122E2">
        <w:rPr>
          <w:rFonts w:ascii="Times New Roman" w:hAnsi="Times New Roman"/>
          <w:sz w:val="24"/>
          <w:szCs w:val="24"/>
        </w:rPr>
        <w:t>пореза</w:t>
      </w:r>
      <w:r w:rsidR="00535ACD" w:rsidRPr="004122E2">
        <w:rPr>
          <w:rFonts w:ascii="Times New Roman" w:hAnsi="Times New Roman"/>
          <w:sz w:val="24"/>
          <w:szCs w:val="24"/>
        </w:rPr>
        <w:t xml:space="preserve"> </w:t>
      </w:r>
      <w:r w:rsidRPr="004122E2">
        <w:rPr>
          <w:rFonts w:ascii="Times New Roman" w:hAnsi="Times New Roman"/>
          <w:sz w:val="24"/>
          <w:szCs w:val="24"/>
        </w:rPr>
        <w:t>на</w:t>
      </w:r>
      <w:r w:rsidR="00535ACD" w:rsidRPr="004122E2">
        <w:rPr>
          <w:rFonts w:ascii="Times New Roman" w:hAnsi="Times New Roman"/>
          <w:sz w:val="24"/>
          <w:szCs w:val="24"/>
        </w:rPr>
        <w:t xml:space="preserve"> </w:t>
      </w:r>
      <w:r w:rsidRPr="004122E2">
        <w:rPr>
          <w:rFonts w:ascii="Times New Roman" w:hAnsi="Times New Roman"/>
          <w:sz w:val="24"/>
          <w:szCs w:val="24"/>
        </w:rPr>
        <w:t>приходе</w:t>
      </w:r>
      <w:r w:rsidR="00535ACD" w:rsidRPr="004122E2">
        <w:rPr>
          <w:rFonts w:ascii="Times New Roman" w:hAnsi="Times New Roman"/>
          <w:sz w:val="24"/>
          <w:szCs w:val="24"/>
        </w:rPr>
        <w:t xml:space="preserve"> </w:t>
      </w:r>
      <w:r w:rsidRPr="004122E2">
        <w:rPr>
          <w:rFonts w:ascii="Times New Roman" w:hAnsi="Times New Roman"/>
          <w:sz w:val="24"/>
          <w:szCs w:val="24"/>
        </w:rPr>
        <w:t>од</w:t>
      </w:r>
      <w:r w:rsidR="00535ACD" w:rsidRPr="004122E2">
        <w:rPr>
          <w:rFonts w:ascii="Times New Roman" w:hAnsi="Times New Roman"/>
          <w:sz w:val="24"/>
          <w:szCs w:val="24"/>
        </w:rPr>
        <w:t xml:space="preserve"> </w:t>
      </w:r>
      <w:r w:rsidRPr="004122E2">
        <w:rPr>
          <w:rFonts w:ascii="Times New Roman" w:hAnsi="Times New Roman"/>
          <w:sz w:val="24"/>
          <w:szCs w:val="24"/>
        </w:rPr>
        <w:t>самосталне</w:t>
      </w:r>
      <w:r w:rsidR="00535ACD" w:rsidRPr="004122E2">
        <w:rPr>
          <w:rFonts w:ascii="Times New Roman" w:hAnsi="Times New Roman"/>
          <w:sz w:val="24"/>
          <w:szCs w:val="24"/>
        </w:rPr>
        <w:t xml:space="preserve"> </w:t>
      </w:r>
      <w:r w:rsidRPr="004122E2">
        <w:rPr>
          <w:rFonts w:ascii="Times New Roman" w:hAnsi="Times New Roman"/>
          <w:sz w:val="24"/>
          <w:szCs w:val="24"/>
        </w:rPr>
        <w:t>делатности</w:t>
      </w:r>
      <w:r w:rsidR="00535ACD" w:rsidRPr="004122E2">
        <w:rPr>
          <w:rFonts w:ascii="Times New Roman" w:hAnsi="Times New Roman"/>
          <w:sz w:val="24"/>
          <w:szCs w:val="24"/>
        </w:rPr>
        <w:t xml:space="preserve"> </w:t>
      </w:r>
      <w:r w:rsidRPr="004122E2">
        <w:rPr>
          <w:rFonts w:ascii="Times New Roman" w:hAnsi="Times New Roman"/>
          <w:sz w:val="24"/>
          <w:szCs w:val="24"/>
        </w:rPr>
        <w:t>је</w:t>
      </w:r>
      <w:r w:rsidR="00535ACD" w:rsidRPr="004122E2">
        <w:rPr>
          <w:rFonts w:ascii="Times New Roman" w:hAnsi="Times New Roman"/>
          <w:sz w:val="24"/>
          <w:szCs w:val="24"/>
        </w:rPr>
        <w:t xml:space="preserve"> </w:t>
      </w:r>
      <w:r w:rsidRPr="004122E2">
        <w:rPr>
          <w:rFonts w:ascii="Times New Roman" w:hAnsi="Times New Roman"/>
          <w:sz w:val="24"/>
          <w:szCs w:val="24"/>
        </w:rPr>
        <w:t>физичко</w:t>
      </w:r>
      <w:r w:rsidR="00535ACD" w:rsidRPr="004122E2">
        <w:rPr>
          <w:rFonts w:ascii="Times New Roman" w:hAnsi="Times New Roman"/>
          <w:sz w:val="24"/>
          <w:szCs w:val="24"/>
        </w:rPr>
        <w:t xml:space="preserve"> </w:t>
      </w:r>
      <w:r w:rsidRPr="004122E2">
        <w:rPr>
          <w:rFonts w:ascii="Times New Roman" w:hAnsi="Times New Roman"/>
          <w:sz w:val="24"/>
          <w:szCs w:val="24"/>
        </w:rPr>
        <w:t>лице</w:t>
      </w:r>
      <w:r w:rsidR="00535ACD" w:rsidRPr="004122E2">
        <w:rPr>
          <w:rFonts w:ascii="Times New Roman" w:hAnsi="Times New Roman"/>
          <w:sz w:val="24"/>
          <w:szCs w:val="24"/>
        </w:rPr>
        <w:t xml:space="preserve"> </w:t>
      </w:r>
      <w:r w:rsidRPr="004122E2">
        <w:rPr>
          <w:rFonts w:ascii="Times New Roman" w:hAnsi="Times New Roman"/>
          <w:sz w:val="24"/>
          <w:szCs w:val="24"/>
        </w:rPr>
        <w:t>које</w:t>
      </w:r>
      <w:r w:rsidR="00535ACD" w:rsidRPr="004122E2">
        <w:rPr>
          <w:rFonts w:ascii="Times New Roman" w:hAnsi="Times New Roman"/>
          <w:sz w:val="24"/>
          <w:szCs w:val="24"/>
        </w:rPr>
        <w:t xml:space="preserve"> </w:t>
      </w:r>
      <w:r w:rsidRPr="004122E2">
        <w:rPr>
          <w:rFonts w:ascii="Times New Roman" w:hAnsi="Times New Roman"/>
          <w:sz w:val="24"/>
          <w:szCs w:val="24"/>
        </w:rPr>
        <w:t>остварује</w:t>
      </w:r>
      <w:r w:rsidR="00535ACD" w:rsidRPr="004122E2">
        <w:rPr>
          <w:rFonts w:ascii="Times New Roman" w:hAnsi="Times New Roman"/>
          <w:sz w:val="24"/>
          <w:szCs w:val="24"/>
        </w:rPr>
        <w:t xml:space="preserve"> </w:t>
      </w:r>
      <w:r w:rsidRPr="004122E2">
        <w:rPr>
          <w:rFonts w:ascii="Times New Roman" w:hAnsi="Times New Roman"/>
          <w:sz w:val="24"/>
          <w:szCs w:val="24"/>
        </w:rPr>
        <w:t>приходе</w:t>
      </w:r>
      <w:r w:rsidR="00535ACD" w:rsidRPr="004122E2">
        <w:rPr>
          <w:rFonts w:ascii="Times New Roman" w:hAnsi="Times New Roman"/>
          <w:sz w:val="24"/>
          <w:szCs w:val="24"/>
        </w:rPr>
        <w:t xml:space="preserve"> </w:t>
      </w:r>
      <w:r w:rsidRPr="004122E2">
        <w:rPr>
          <w:rFonts w:ascii="Times New Roman" w:hAnsi="Times New Roman"/>
          <w:sz w:val="24"/>
          <w:szCs w:val="24"/>
        </w:rPr>
        <w:t>обављањем</w:t>
      </w:r>
      <w:r w:rsidR="00535ACD" w:rsidRPr="004122E2">
        <w:rPr>
          <w:rFonts w:ascii="Times New Roman" w:hAnsi="Times New Roman"/>
          <w:sz w:val="24"/>
          <w:szCs w:val="24"/>
        </w:rPr>
        <w:t xml:space="preserve"> </w:t>
      </w:r>
      <w:r w:rsidR="00AF5C7D" w:rsidRPr="004122E2">
        <w:rPr>
          <w:rFonts w:ascii="Times New Roman" w:hAnsi="Times New Roman"/>
          <w:sz w:val="24"/>
          <w:szCs w:val="24"/>
          <w:lang w:val="sr-Cyrl-CS"/>
        </w:rPr>
        <w:t xml:space="preserve">наведених </w:t>
      </w:r>
      <w:r w:rsidRPr="004122E2">
        <w:rPr>
          <w:rFonts w:ascii="Times New Roman" w:hAnsi="Times New Roman"/>
          <w:sz w:val="24"/>
          <w:szCs w:val="24"/>
        </w:rPr>
        <w:t>делатности</w:t>
      </w:r>
      <w:r w:rsidR="00AF5C7D" w:rsidRPr="004122E2">
        <w:rPr>
          <w:rFonts w:ascii="Times New Roman" w:hAnsi="Times New Roman"/>
          <w:sz w:val="24"/>
          <w:szCs w:val="24"/>
        </w:rPr>
        <w:t xml:space="preserve"> </w:t>
      </w:r>
      <w:r w:rsidR="00535ACD" w:rsidRPr="004122E2">
        <w:rPr>
          <w:rFonts w:ascii="Times New Roman" w:hAnsi="Times New Roman"/>
          <w:sz w:val="24"/>
          <w:szCs w:val="24"/>
        </w:rPr>
        <w:t xml:space="preserve"> </w:t>
      </w:r>
      <w:r w:rsidRPr="004122E2">
        <w:rPr>
          <w:rFonts w:ascii="Times New Roman" w:hAnsi="Times New Roman"/>
          <w:sz w:val="24"/>
          <w:szCs w:val="24"/>
        </w:rPr>
        <w:t>и</w:t>
      </w:r>
      <w:r w:rsidR="00535ACD" w:rsidRPr="004122E2">
        <w:rPr>
          <w:rFonts w:ascii="Times New Roman" w:hAnsi="Times New Roman"/>
          <w:sz w:val="24"/>
          <w:szCs w:val="24"/>
        </w:rPr>
        <w:t xml:space="preserve"> </w:t>
      </w:r>
      <w:r w:rsidRPr="004122E2">
        <w:rPr>
          <w:rFonts w:ascii="Times New Roman" w:hAnsi="Times New Roman"/>
          <w:sz w:val="24"/>
          <w:szCs w:val="24"/>
        </w:rPr>
        <w:t>свако</w:t>
      </w:r>
      <w:r w:rsidR="00535ACD" w:rsidRPr="004122E2">
        <w:rPr>
          <w:rFonts w:ascii="Times New Roman" w:hAnsi="Times New Roman"/>
          <w:sz w:val="24"/>
          <w:szCs w:val="24"/>
        </w:rPr>
        <w:t xml:space="preserve"> </w:t>
      </w:r>
      <w:r w:rsidRPr="004122E2">
        <w:rPr>
          <w:rFonts w:ascii="Times New Roman" w:hAnsi="Times New Roman"/>
          <w:sz w:val="24"/>
          <w:szCs w:val="24"/>
        </w:rPr>
        <w:t>друго</w:t>
      </w:r>
      <w:r w:rsidR="00535ACD" w:rsidRPr="004122E2">
        <w:rPr>
          <w:rFonts w:ascii="Times New Roman" w:hAnsi="Times New Roman"/>
          <w:sz w:val="24"/>
          <w:szCs w:val="24"/>
        </w:rPr>
        <w:t xml:space="preserve"> </w:t>
      </w:r>
      <w:r w:rsidRPr="004122E2">
        <w:rPr>
          <w:rFonts w:ascii="Times New Roman" w:hAnsi="Times New Roman"/>
          <w:sz w:val="24"/>
          <w:szCs w:val="24"/>
        </w:rPr>
        <w:t>физичко</w:t>
      </w:r>
      <w:r w:rsidR="00535ACD" w:rsidRPr="004122E2">
        <w:rPr>
          <w:rFonts w:ascii="Times New Roman" w:hAnsi="Times New Roman"/>
          <w:sz w:val="24"/>
          <w:szCs w:val="24"/>
        </w:rPr>
        <w:t xml:space="preserve"> </w:t>
      </w:r>
      <w:r w:rsidRPr="004122E2">
        <w:rPr>
          <w:rFonts w:ascii="Times New Roman" w:hAnsi="Times New Roman"/>
          <w:sz w:val="24"/>
          <w:szCs w:val="24"/>
        </w:rPr>
        <w:t>лице</w:t>
      </w:r>
      <w:r w:rsidR="00535ACD" w:rsidRPr="004122E2">
        <w:rPr>
          <w:rFonts w:ascii="Times New Roman" w:hAnsi="Times New Roman"/>
          <w:sz w:val="24"/>
          <w:szCs w:val="24"/>
        </w:rPr>
        <w:t xml:space="preserve"> </w:t>
      </w:r>
      <w:r w:rsidRPr="004122E2">
        <w:rPr>
          <w:rFonts w:ascii="Times New Roman" w:hAnsi="Times New Roman"/>
          <w:sz w:val="24"/>
          <w:szCs w:val="24"/>
        </w:rPr>
        <w:t>које</w:t>
      </w:r>
      <w:r w:rsidR="00535ACD" w:rsidRPr="004122E2">
        <w:rPr>
          <w:rFonts w:ascii="Times New Roman" w:hAnsi="Times New Roman"/>
          <w:sz w:val="24"/>
          <w:szCs w:val="24"/>
        </w:rPr>
        <w:t xml:space="preserve"> </w:t>
      </w:r>
      <w:r w:rsidRPr="004122E2">
        <w:rPr>
          <w:rFonts w:ascii="Times New Roman" w:hAnsi="Times New Roman"/>
          <w:sz w:val="24"/>
          <w:szCs w:val="24"/>
        </w:rPr>
        <w:t>је</w:t>
      </w:r>
      <w:r w:rsidR="00535ACD" w:rsidRPr="004122E2">
        <w:rPr>
          <w:rFonts w:ascii="Times New Roman" w:hAnsi="Times New Roman"/>
          <w:sz w:val="24"/>
          <w:szCs w:val="24"/>
        </w:rPr>
        <w:t xml:space="preserve"> </w:t>
      </w:r>
      <w:r w:rsidRPr="004122E2">
        <w:rPr>
          <w:rFonts w:ascii="Times New Roman" w:hAnsi="Times New Roman"/>
          <w:sz w:val="24"/>
          <w:szCs w:val="24"/>
        </w:rPr>
        <w:t>обвезник</w:t>
      </w:r>
      <w:r w:rsidR="00535ACD" w:rsidRPr="004122E2">
        <w:rPr>
          <w:rFonts w:ascii="Times New Roman" w:hAnsi="Times New Roman"/>
          <w:sz w:val="24"/>
          <w:szCs w:val="24"/>
        </w:rPr>
        <w:t xml:space="preserve"> </w:t>
      </w:r>
      <w:r w:rsidRPr="004122E2">
        <w:rPr>
          <w:rFonts w:ascii="Times New Roman" w:hAnsi="Times New Roman"/>
          <w:sz w:val="24"/>
          <w:szCs w:val="24"/>
        </w:rPr>
        <w:t>пореза</w:t>
      </w:r>
      <w:r w:rsidR="00535ACD" w:rsidRPr="004122E2">
        <w:rPr>
          <w:rFonts w:ascii="Times New Roman" w:hAnsi="Times New Roman"/>
          <w:sz w:val="24"/>
          <w:szCs w:val="24"/>
        </w:rPr>
        <w:t xml:space="preserve"> </w:t>
      </w:r>
      <w:r w:rsidRPr="004122E2">
        <w:rPr>
          <w:rFonts w:ascii="Times New Roman" w:hAnsi="Times New Roman"/>
          <w:sz w:val="24"/>
          <w:szCs w:val="24"/>
        </w:rPr>
        <w:t>на</w:t>
      </w:r>
      <w:r w:rsidR="00535ACD" w:rsidRPr="004122E2">
        <w:rPr>
          <w:rFonts w:ascii="Times New Roman" w:hAnsi="Times New Roman"/>
          <w:sz w:val="24"/>
          <w:szCs w:val="24"/>
        </w:rPr>
        <w:t xml:space="preserve"> </w:t>
      </w:r>
      <w:r w:rsidRPr="004122E2">
        <w:rPr>
          <w:rFonts w:ascii="Times New Roman" w:hAnsi="Times New Roman"/>
          <w:sz w:val="24"/>
          <w:szCs w:val="24"/>
        </w:rPr>
        <w:t>додату</w:t>
      </w:r>
      <w:r w:rsidR="00535ACD" w:rsidRPr="004122E2">
        <w:rPr>
          <w:rFonts w:ascii="Times New Roman" w:hAnsi="Times New Roman"/>
          <w:sz w:val="24"/>
          <w:szCs w:val="24"/>
        </w:rPr>
        <w:t xml:space="preserve"> </w:t>
      </w:r>
      <w:r w:rsidRPr="004122E2">
        <w:rPr>
          <w:rFonts w:ascii="Times New Roman" w:hAnsi="Times New Roman"/>
          <w:sz w:val="24"/>
          <w:szCs w:val="24"/>
        </w:rPr>
        <w:t>вредност</w:t>
      </w:r>
      <w:r w:rsidR="00535ACD" w:rsidRPr="004122E2">
        <w:rPr>
          <w:rFonts w:ascii="Times New Roman" w:hAnsi="Times New Roman"/>
          <w:sz w:val="24"/>
          <w:szCs w:val="24"/>
        </w:rPr>
        <w:t xml:space="preserve"> </w:t>
      </w:r>
      <w:r w:rsidRPr="004122E2">
        <w:rPr>
          <w:rFonts w:ascii="Times New Roman" w:hAnsi="Times New Roman"/>
          <w:sz w:val="24"/>
          <w:szCs w:val="24"/>
        </w:rPr>
        <w:t>у</w:t>
      </w:r>
      <w:r w:rsidR="00535ACD" w:rsidRPr="004122E2">
        <w:rPr>
          <w:rFonts w:ascii="Times New Roman" w:hAnsi="Times New Roman"/>
          <w:sz w:val="24"/>
          <w:szCs w:val="24"/>
        </w:rPr>
        <w:t xml:space="preserve"> </w:t>
      </w:r>
      <w:r w:rsidRPr="004122E2">
        <w:rPr>
          <w:rFonts w:ascii="Times New Roman" w:hAnsi="Times New Roman"/>
          <w:sz w:val="24"/>
          <w:szCs w:val="24"/>
        </w:rPr>
        <w:t>складу</w:t>
      </w:r>
      <w:r w:rsidR="00535ACD" w:rsidRPr="004122E2">
        <w:rPr>
          <w:rFonts w:ascii="Times New Roman" w:hAnsi="Times New Roman"/>
          <w:sz w:val="24"/>
          <w:szCs w:val="24"/>
        </w:rPr>
        <w:t xml:space="preserve"> </w:t>
      </w:r>
      <w:r w:rsidRPr="004122E2">
        <w:rPr>
          <w:rFonts w:ascii="Times New Roman" w:hAnsi="Times New Roman"/>
          <w:sz w:val="24"/>
          <w:szCs w:val="24"/>
        </w:rPr>
        <w:t>са</w:t>
      </w:r>
      <w:r w:rsidR="00535ACD" w:rsidRPr="004122E2">
        <w:rPr>
          <w:rFonts w:ascii="Times New Roman" w:hAnsi="Times New Roman"/>
          <w:sz w:val="24"/>
          <w:szCs w:val="24"/>
        </w:rPr>
        <w:t xml:space="preserve"> </w:t>
      </w:r>
      <w:r w:rsidRPr="004122E2">
        <w:rPr>
          <w:rFonts w:ascii="Times New Roman" w:hAnsi="Times New Roman"/>
          <w:sz w:val="24"/>
          <w:szCs w:val="24"/>
        </w:rPr>
        <w:t>законом</w:t>
      </w:r>
      <w:r w:rsidR="00535ACD" w:rsidRPr="004122E2">
        <w:rPr>
          <w:rFonts w:ascii="Times New Roman" w:hAnsi="Times New Roman"/>
          <w:sz w:val="24"/>
          <w:szCs w:val="24"/>
        </w:rPr>
        <w:t xml:space="preserve"> </w:t>
      </w:r>
      <w:r w:rsidRPr="004122E2">
        <w:rPr>
          <w:rFonts w:ascii="Times New Roman" w:hAnsi="Times New Roman"/>
          <w:sz w:val="24"/>
          <w:szCs w:val="24"/>
        </w:rPr>
        <w:t>којим</w:t>
      </w:r>
      <w:r w:rsidR="00535ACD" w:rsidRPr="004122E2">
        <w:rPr>
          <w:rFonts w:ascii="Times New Roman" w:hAnsi="Times New Roman"/>
          <w:sz w:val="24"/>
          <w:szCs w:val="24"/>
        </w:rPr>
        <w:t xml:space="preserve"> </w:t>
      </w:r>
      <w:r w:rsidRPr="004122E2">
        <w:rPr>
          <w:rFonts w:ascii="Times New Roman" w:hAnsi="Times New Roman"/>
          <w:sz w:val="24"/>
          <w:szCs w:val="24"/>
        </w:rPr>
        <w:t>се</w:t>
      </w:r>
      <w:r w:rsidR="00535ACD" w:rsidRPr="004122E2">
        <w:rPr>
          <w:rFonts w:ascii="Times New Roman" w:hAnsi="Times New Roman"/>
          <w:sz w:val="24"/>
          <w:szCs w:val="24"/>
        </w:rPr>
        <w:t xml:space="preserve"> </w:t>
      </w:r>
      <w:r w:rsidRPr="004122E2">
        <w:rPr>
          <w:rFonts w:ascii="Times New Roman" w:hAnsi="Times New Roman"/>
          <w:sz w:val="24"/>
          <w:szCs w:val="24"/>
        </w:rPr>
        <w:t>уређује</w:t>
      </w:r>
      <w:r w:rsidR="00535ACD" w:rsidRPr="004122E2">
        <w:rPr>
          <w:rFonts w:ascii="Times New Roman" w:hAnsi="Times New Roman"/>
          <w:sz w:val="24"/>
          <w:szCs w:val="24"/>
        </w:rPr>
        <w:t xml:space="preserve"> </w:t>
      </w:r>
      <w:r w:rsidRPr="004122E2">
        <w:rPr>
          <w:rFonts w:ascii="Times New Roman" w:hAnsi="Times New Roman"/>
          <w:sz w:val="24"/>
          <w:szCs w:val="24"/>
        </w:rPr>
        <w:t>порез</w:t>
      </w:r>
      <w:r w:rsidR="00535ACD" w:rsidRPr="004122E2">
        <w:rPr>
          <w:rFonts w:ascii="Times New Roman" w:hAnsi="Times New Roman"/>
          <w:sz w:val="24"/>
          <w:szCs w:val="24"/>
        </w:rPr>
        <w:t xml:space="preserve"> </w:t>
      </w:r>
      <w:r w:rsidRPr="004122E2">
        <w:rPr>
          <w:rFonts w:ascii="Times New Roman" w:hAnsi="Times New Roman"/>
          <w:sz w:val="24"/>
          <w:szCs w:val="24"/>
        </w:rPr>
        <w:t>на</w:t>
      </w:r>
      <w:r w:rsidR="00535ACD" w:rsidRPr="004122E2">
        <w:rPr>
          <w:rFonts w:ascii="Times New Roman" w:hAnsi="Times New Roman"/>
          <w:sz w:val="24"/>
          <w:szCs w:val="24"/>
        </w:rPr>
        <w:t xml:space="preserve"> </w:t>
      </w:r>
      <w:r w:rsidRPr="004122E2">
        <w:rPr>
          <w:rFonts w:ascii="Times New Roman" w:hAnsi="Times New Roman"/>
          <w:sz w:val="24"/>
          <w:szCs w:val="24"/>
        </w:rPr>
        <w:t>додату</w:t>
      </w:r>
      <w:r w:rsidR="00AF5C7D" w:rsidRPr="004122E2">
        <w:rPr>
          <w:rFonts w:ascii="Times New Roman" w:hAnsi="Times New Roman"/>
          <w:sz w:val="24"/>
          <w:szCs w:val="24"/>
        </w:rPr>
        <w:t xml:space="preserve"> </w:t>
      </w:r>
      <w:r w:rsidRPr="004122E2">
        <w:rPr>
          <w:rFonts w:ascii="Times New Roman" w:hAnsi="Times New Roman"/>
          <w:sz w:val="24"/>
          <w:szCs w:val="24"/>
        </w:rPr>
        <w:t>вредност</w:t>
      </w:r>
      <w:r w:rsidR="00AF5C7D" w:rsidRPr="004122E2">
        <w:rPr>
          <w:rFonts w:ascii="Times New Roman" w:hAnsi="Times New Roman"/>
          <w:sz w:val="24"/>
          <w:szCs w:val="24"/>
        </w:rPr>
        <w:t xml:space="preserve"> </w:t>
      </w:r>
      <w:r w:rsidR="00AF5C7D" w:rsidRPr="004122E2">
        <w:rPr>
          <w:rFonts w:ascii="Times New Roman" w:hAnsi="Times New Roman"/>
          <w:sz w:val="24"/>
          <w:szCs w:val="24"/>
          <w:lang w:val="sr-Cyrl-CS"/>
        </w:rPr>
        <w:t>(</w:t>
      </w:r>
      <w:r w:rsidRPr="004122E2">
        <w:rPr>
          <w:rFonts w:ascii="Times New Roman" w:hAnsi="Times New Roman"/>
          <w:sz w:val="24"/>
          <w:szCs w:val="24"/>
        </w:rPr>
        <w:t>предузетник</w:t>
      </w:r>
      <w:r w:rsidR="00535ACD" w:rsidRPr="004122E2">
        <w:rPr>
          <w:rFonts w:ascii="Times New Roman" w:hAnsi="Times New Roman"/>
          <w:sz w:val="24"/>
          <w:szCs w:val="24"/>
        </w:rPr>
        <w:t>).</w:t>
      </w:r>
      <w:r w:rsidR="00AF5C7D" w:rsidRPr="004122E2">
        <w:rPr>
          <w:rFonts w:ascii="Times New Roman" w:hAnsi="Times New Roman"/>
          <w:sz w:val="24"/>
          <w:szCs w:val="24"/>
          <w:lang w:val="sr-Cyrl-CS"/>
        </w:rPr>
        <w:t xml:space="preserve"> </w:t>
      </w:r>
      <w:r w:rsidRPr="004122E2">
        <w:rPr>
          <w:rFonts w:ascii="Times New Roman" w:hAnsi="Times New Roman"/>
          <w:sz w:val="24"/>
          <w:szCs w:val="24"/>
        </w:rPr>
        <w:t>Обвезник</w:t>
      </w:r>
      <w:r w:rsidR="00535ACD" w:rsidRPr="004122E2">
        <w:rPr>
          <w:rFonts w:ascii="Times New Roman" w:hAnsi="Times New Roman"/>
          <w:sz w:val="24"/>
          <w:szCs w:val="24"/>
        </w:rPr>
        <w:t xml:space="preserve"> </w:t>
      </w:r>
      <w:r w:rsidR="00AF5C7D" w:rsidRPr="004122E2">
        <w:rPr>
          <w:rFonts w:ascii="Times New Roman" w:hAnsi="Times New Roman"/>
          <w:sz w:val="24"/>
          <w:szCs w:val="24"/>
          <w:lang w:val="sr-Cyrl-CS"/>
        </w:rPr>
        <w:t xml:space="preserve">овог </w:t>
      </w:r>
      <w:r w:rsidRPr="004122E2">
        <w:rPr>
          <w:rFonts w:ascii="Times New Roman" w:hAnsi="Times New Roman"/>
          <w:sz w:val="24"/>
          <w:szCs w:val="24"/>
        </w:rPr>
        <w:t>пореза</w:t>
      </w:r>
      <w:r w:rsidR="00535ACD" w:rsidRPr="004122E2">
        <w:rPr>
          <w:rFonts w:ascii="Times New Roman" w:hAnsi="Times New Roman"/>
          <w:sz w:val="24"/>
          <w:szCs w:val="24"/>
        </w:rPr>
        <w:t xml:space="preserve"> </w:t>
      </w:r>
      <w:r w:rsidRPr="004122E2">
        <w:rPr>
          <w:rFonts w:ascii="Times New Roman" w:hAnsi="Times New Roman"/>
          <w:sz w:val="24"/>
          <w:szCs w:val="24"/>
        </w:rPr>
        <w:t>по</w:t>
      </w:r>
      <w:r w:rsidR="00535ACD" w:rsidRPr="004122E2">
        <w:rPr>
          <w:rFonts w:ascii="Times New Roman" w:hAnsi="Times New Roman"/>
          <w:sz w:val="24"/>
          <w:szCs w:val="24"/>
        </w:rPr>
        <w:t xml:space="preserve"> </w:t>
      </w:r>
      <w:r w:rsidRPr="004122E2">
        <w:rPr>
          <w:rFonts w:ascii="Times New Roman" w:hAnsi="Times New Roman"/>
          <w:sz w:val="24"/>
          <w:szCs w:val="24"/>
        </w:rPr>
        <w:t>основу</w:t>
      </w:r>
      <w:r w:rsidR="00535ACD" w:rsidRPr="004122E2">
        <w:rPr>
          <w:rFonts w:ascii="Times New Roman" w:hAnsi="Times New Roman"/>
          <w:sz w:val="24"/>
          <w:szCs w:val="24"/>
        </w:rPr>
        <w:t xml:space="preserve"> </w:t>
      </w:r>
      <w:r w:rsidRPr="004122E2">
        <w:rPr>
          <w:rFonts w:ascii="Times New Roman" w:hAnsi="Times New Roman"/>
          <w:sz w:val="24"/>
          <w:szCs w:val="24"/>
        </w:rPr>
        <w:t>прихода</w:t>
      </w:r>
      <w:r w:rsidR="00535ACD" w:rsidRPr="004122E2">
        <w:rPr>
          <w:rFonts w:ascii="Times New Roman" w:hAnsi="Times New Roman"/>
          <w:sz w:val="24"/>
          <w:szCs w:val="24"/>
        </w:rPr>
        <w:t xml:space="preserve"> </w:t>
      </w:r>
      <w:r w:rsidRPr="004122E2">
        <w:rPr>
          <w:rFonts w:ascii="Times New Roman" w:hAnsi="Times New Roman"/>
          <w:sz w:val="24"/>
          <w:szCs w:val="24"/>
        </w:rPr>
        <w:t>од</w:t>
      </w:r>
      <w:r w:rsidR="00535ACD" w:rsidRPr="004122E2">
        <w:rPr>
          <w:rFonts w:ascii="Times New Roman" w:hAnsi="Times New Roman"/>
          <w:sz w:val="24"/>
          <w:szCs w:val="24"/>
        </w:rPr>
        <w:t xml:space="preserve"> </w:t>
      </w:r>
      <w:r w:rsidRPr="004122E2">
        <w:rPr>
          <w:rFonts w:ascii="Times New Roman" w:hAnsi="Times New Roman"/>
          <w:sz w:val="24"/>
          <w:szCs w:val="24"/>
        </w:rPr>
        <w:t>пољопривреде</w:t>
      </w:r>
      <w:r w:rsidR="00535ACD" w:rsidRPr="004122E2">
        <w:rPr>
          <w:rFonts w:ascii="Times New Roman" w:hAnsi="Times New Roman"/>
          <w:sz w:val="24"/>
          <w:szCs w:val="24"/>
        </w:rPr>
        <w:t xml:space="preserve"> </w:t>
      </w:r>
      <w:r w:rsidRPr="004122E2">
        <w:rPr>
          <w:rFonts w:ascii="Times New Roman" w:hAnsi="Times New Roman"/>
          <w:sz w:val="24"/>
          <w:szCs w:val="24"/>
        </w:rPr>
        <w:t>и</w:t>
      </w:r>
      <w:r w:rsidR="00535ACD" w:rsidRPr="004122E2">
        <w:rPr>
          <w:rFonts w:ascii="Times New Roman" w:hAnsi="Times New Roman"/>
          <w:sz w:val="24"/>
          <w:szCs w:val="24"/>
        </w:rPr>
        <w:t xml:space="preserve"> </w:t>
      </w:r>
      <w:r w:rsidRPr="004122E2">
        <w:rPr>
          <w:rFonts w:ascii="Times New Roman" w:hAnsi="Times New Roman"/>
          <w:sz w:val="24"/>
          <w:szCs w:val="24"/>
        </w:rPr>
        <w:t>шумарства</w:t>
      </w:r>
      <w:r w:rsidR="00535ACD" w:rsidRPr="004122E2">
        <w:rPr>
          <w:rFonts w:ascii="Times New Roman" w:hAnsi="Times New Roman"/>
          <w:sz w:val="24"/>
          <w:szCs w:val="24"/>
        </w:rPr>
        <w:t xml:space="preserve"> </w:t>
      </w:r>
      <w:r w:rsidRPr="004122E2">
        <w:rPr>
          <w:rFonts w:ascii="Times New Roman" w:hAnsi="Times New Roman"/>
          <w:sz w:val="24"/>
          <w:szCs w:val="24"/>
        </w:rPr>
        <w:t>је</w:t>
      </w:r>
      <w:r w:rsidR="00535ACD" w:rsidRPr="004122E2">
        <w:rPr>
          <w:rFonts w:ascii="Times New Roman" w:hAnsi="Times New Roman"/>
          <w:sz w:val="24"/>
          <w:szCs w:val="24"/>
        </w:rPr>
        <w:t xml:space="preserve"> </w:t>
      </w:r>
      <w:r w:rsidRPr="004122E2">
        <w:rPr>
          <w:rFonts w:ascii="Times New Roman" w:hAnsi="Times New Roman"/>
          <w:sz w:val="24"/>
          <w:szCs w:val="24"/>
        </w:rPr>
        <w:t>физичко</w:t>
      </w:r>
      <w:r w:rsidR="00535ACD" w:rsidRPr="004122E2">
        <w:rPr>
          <w:rFonts w:ascii="Times New Roman" w:hAnsi="Times New Roman"/>
          <w:sz w:val="24"/>
          <w:szCs w:val="24"/>
        </w:rPr>
        <w:t xml:space="preserve"> </w:t>
      </w:r>
      <w:r w:rsidRPr="004122E2">
        <w:rPr>
          <w:rFonts w:ascii="Times New Roman" w:hAnsi="Times New Roman"/>
          <w:sz w:val="24"/>
          <w:szCs w:val="24"/>
        </w:rPr>
        <w:t>лице</w:t>
      </w:r>
      <w:r w:rsidR="00535ACD" w:rsidRPr="004122E2">
        <w:rPr>
          <w:rFonts w:ascii="Times New Roman" w:hAnsi="Times New Roman"/>
          <w:sz w:val="24"/>
          <w:szCs w:val="24"/>
        </w:rPr>
        <w:t xml:space="preserve"> - </w:t>
      </w:r>
      <w:r w:rsidRPr="004122E2">
        <w:rPr>
          <w:rFonts w:ascii="Times New Roman" w:hAnsi="Times New Roman"/>
          <w:sz w:val="24"/>
          <w:szCs w:val="24"/>
        </w:rPr>
        <w:t>носилац</w:t>
      </w:r>
      <w:r w:rsidR="00535ACD" w:rsidRPr="004122E2">
        <w:rPr>
          <w:rFonts w:ascii="Times New Roman" w:hAnsi="Times New Roman"/>
          <w:sz w:val="24"/>
          <w:szCs w:val="24"/>
        </w:rPr>
        <w:t xml:space="preserve"> </w:t>
      </w:r>
      <w:r w:rsidRPr="004122E2">
        <w:rPr>
          <w:rFonts w:ascii="Times New Roman" w:hAnsi="Times New Roman"/>
          <w:sz w:val="24"/>
          <w:szCs w:val="24"/>
        </w:rPr>
        <w:t>породичног</w:t>
      </w:r>
      <w:r w:rsidR="00535ACD" w:rsidRPr="004122E2">
        <w:rPr>
          <w:rFonts w:ascii="Times New Roman" w:hAnsi="Times New Roman"/>
          <w:sz w:val="24"/>
          <w:szCs w:val="24"/>
        </w:rPr>
        <w:t xml:space="preserve"> </w:t>
      </w:r>
      <w:r w:rsidRPr="004122E2">
        <w:rPr>
          <w:rFonts w:ascii="Times New Roman" w:hAnsi="Times New Roman"/>
          <w:sz w:val="24"/>
          <w:szCs w:val="24"/>
        </w:rPr>
        <w:t>пољопривредног</w:t>
      </w:r>
      <w:r w:rsidR="00535ACD" w:rsidRPr="004122E2">
        <w:rPr>
          <w:rFonts w:ascii="Times New Roman" w:hAnsi="Times New Roman"/>
          <w:sz w:val="24"/>
          <w:szCs w:val="24"/>
        </w:rPr>
        <w:t xml:space="preserve"> </w:t>
      </w:r>
      <w:r w:rsidRPr="004122E2">
        <w:rPr>
          <w:rFonts w:ascii="Times New Roman" w:hAnsi="Times New Roman"/>
          <w:sz w:val="24"/>
          <w:szCs w:val="24"/>
        </w:rPr>
        <w:t>газдинства</w:t>
      </w:r>
      <w:r w:rsidR="00535ACD" w:rsidRPr="004122E2">
        <w:rPr>
          <w:rFonts w:ascii="Times New Roman" w:hAnsi="Times New Roman"/>
          <w:sz w:val="24"/>
          <w:szCs w:val="24"/>
        </w:rPr>
        <w:t xml:space="preserve"> </w:t>
      </w:r>
      <w:r w:rsidRPr="004122E2">
        <w:rPr>
          <w:rFonts w:ascii="Times New Roman" w:hAnsi="Times New Roman"/>
          <w:sz w:val="24"/>
          <w:szCs w:val="24"/>
        </w:rPr>
        <w:t>уписано</w:t>
      </w:r>
      <w:r w:rsidR="00535ACD" w:rsidRPr="004122E2">
        <w:rPr>
          <w:rFonts w:ascii="Times New Roman" w:hAnsi="Times New Roman"/>
          <w:sz w:val="24"/>
          <w:szCs w:val="24"/>
        </w:rPr>
        <w:t xml:space="preserve"> </w:t>
      </w:r>
      <w:r w:rsidRPr="004122E2">
        <w:rPr>
          <w:rFonts w:ascii="Times New Roman" w:hAnsi="Times New Roman"/>
          <w:sz w:val="24"/>
          <w:szCs w:val="24"/>
        </w:rPr>
        <w:t>у</w:t>
      </w:r>
      <w:r w:rsidR="00535ACD" w:rsidRPr="004122E2">
        <w:rPr>
          <w:rFonts w:ascii="Times New Roman" w:hAnsi="Times New Roman"/>
          <w:sz w:val="24"/>
          <w:szCs w:val="24"/>
        </w:rPr>
        <w:t xml:space="preserve"> </w:t>
      </w:r>
      <w:r w:rsidRPr="004122E2">
        <w:rPr>
          <w:rFonts w:ascii="Times New Roman" w:hAnsi="Times New Roman"/>
          <w:sz w:val="24"/>
          <w:szCs w:val="24"/>
        </w:rPr>
        <w:t>регистар</w:t>
      </w:r>
      <w:r w:rsidR="00535ACD" w:rsidRPr="004122E2">
        <w:rPr>
          <w:rFonts w:ascii="Times New Roman" w:hAnsi="Times New Roman"/>
          <w:sz w:val="24"/>
          <w:szCs w:val="24"/>
        </w:rPr>
        <w:t xml:space="preserve"> </w:t>
      </w:r>
      <w:r w:rsidRPr="004122E2">
        <w:rPr>
          <w:rFonts w:ascii="Times New Roman" w:hAnsi="Times New Roman"/>
          <w:sz w:val="24"/>
          <w:szCs w:val="24"/>
        </w:rPr>
        <w:t>пољопривредних</w:t>
      </w:r>
      <w:r w:rsidR="00535ACD" w:rsidRPr="004122E2">
        <w:rPr>
          <w:rFonts w:ascii="Times New Roman" w:hAnsi="Times New Roman"/>
          <w:sz w:val="24"/>
          <w:szCs w:val="24"/>
        </w:rPr>
        <w:t xml:space="preserve"> </w:t>
      </w:r>
      <w:r w:rsidRPr="004122E2">
        <w:rPr>
          <w:rFonts w:ascii="Times New Roman" w:hAnsi="Times New Roman"/>
          <w:sz w:val="24"/>
          <w:szCs w:val="24"/>
        </w:rPr>
        <w:t>газдинстава</w:t>
      </w:r>
      <w:r w:rsidR="00AF5C7D" w:rsidRPr="004122E2">
        <w:rPr>
          <w:rFonts w:ascii="Times New Roman" w:hAnsi="Times New Roman"/>
          <w:sz w:val="24"/>
          <w:szCs w:val="24"/>
          <w:lang w:val="sr-Cyrl-CS"/>
        </w:rPr>
        <w:t>.</w:t>
      </w:r>
      <w:r w:rsidR="00535ACD" w:rsidRPr="004122E2">
        <w:rPr>
          <w:rFonts w:ascii="Times New Roman" w:hAnsi="Times New Roman"/>
          <w:sz w:val="24"/>
          <w:szCs w:val="24"/>
        </w:rPr>
        <w:t xml:space="preserve"> </w:t>
      </w:r>
      <w:r w:rsidR="00B2284F" w:rsidRPr="004122E2">
        <w:rPr>
          <w:rFonts w:ascii="Times New Roman" w:hAnsi="Times New Roman"/>
          <w:sz w:val="24"/>
          <w:szCs w:val="24"/>
          <w:lang w:val="sr-Cyrl-CS"/>
        </w:rPr>
        <w:t>Дакле, према одредбама ЗПДГ пољопривредник није предузетник.</w:t>
      </w:r>
    </w:p>
    <w:p w:rsidR="00151D54" w:rsidRPr="004122E2" w:rsidRDefault="00535ACD" w:rsidP="004122E2">
      <w:pPr>
        <w:ind w:firstLine="708"/>
        <w:jc w:val="both"/>
        <w:rPr>
          <w:rFonts w:ascii="Times New Roman" w:hAnsi="Times New Roman"/>
          <w:bCs/>
          <w:sz w:val="24"/>
          <w:szCs w:val="24"/>
          <w:lang w:val="sr-Cyrl-CS"/>
        </w:rPr>
      </w:pPr>
      <w:bookmarkStart w:id="30" w:name="str_25"/>
      <w:bookmarkEnd w:id="30"/>
      <w:r w:rsidRPr="004122E2">
        <w:rPr>
          <w:rFonts w:ascii="Times New Roman" w:hAnsi="Times New Roman"/>
          <w:bCs/>
          <w:sz w:val="24"/>
          <w:szCs w:val="24"/>
          <w:lang w:val="sr-Cyrl-CS"/>
        </w:rPr>
        <w:t xml:space="preserve">Према Закону о порезу на доходак грађана постоји могућност избора за предузетнике да ли ће се определити за систем двојног или простог књиговодства. </w:t>
      </w:r>
      <w:r w:rsidR="00AF5C7D" w:rsidRPr="004122E2">
        <w:rPr>
          <w:rFonts w:ascii="Times New Roman" w:hAnsi="Times New Roman"/>
          <w:bCs/>
          <w:sz w:val="24"/>
          <w:szCs w:val="24"/>
          <w:lang w:val="sr-Cyrl-CS"/>
        </w:rPr>
        <w:t xml:space="preserve">Наиме, </w:t>
      </w:r>
      <w:r w:rsidR="00AF5C7D" w:rsidRPr="004122E2">
        <w:rPr>
          <w:rFonts w:ascii="Times New Roman" w:hAnsi="Times New Roman"/>
          <w:sz w:val="24"/>
          <w:szCs w:val="24"/>
          <w:lang w:val="sr-Cyrl-CS"/>
        </w:rPr>
        <w:t>п</w:t>
      </w:r>
      <w:r w:rsidR="005D5E4A" w:rsidRPr="004122E2">
        <w:rPr>
          <w:rFonts w:ascii="Times New Roman" w:hAnsi="Times New Roman"/>
          <w:sz w:val="24"/>
          <w:szCs w:val="24"/>
        </w:rPr>
        <w:t>редузетници</w:t>
      </w:r>
      <w:r w:rsidR="00151D54" w:rsidRPr="004122E2">
        <w:rPr>
          <w:rFonts w:ascii="Times New Roman" w:hAnsi="Times New Roman"/>
          <w:sz w:val="24"/>
          <w:szCs w:val="24"/>
        </w:rPr>
        <w:t xml:space="preserve"> </w:t>
      </w:r>
      <w:r w:rsidR="005D5E4A" w:rsidRPr="004122E2">
        <w:rPr>
          <w:rFonts w:ascii="Times New Roman" w:hAnsi="Times New Roman"/>
          <w:sz w:val="24"/>
          <w:szCs w:val="24"/>
        </w:rPr>
        <w:t>који</w:t>
      </w:r>
      <w:r w:rsidR="00151D54" w:rsidRPr="004122E2">
        <w:rPr>
          <w:rFonts w:ascii="Times New Roman" w:hAnsi="Times New Roman"/>
          <w:sz w:val="24"/>
          <w:szCs w:val="24"/>
        </w:rPr>
        <w:t xml:space="preserve"> </w:t>
      </w:r>
      <w:r w:rsidR="005D5E4A" w:rsidRPr="004122E2">
        <w:rPr>
          <w:rFonts w:ascii="Times New Roman" w:hAnsi="Times New Roman"/>
          <w:sz w:val="24"/>
          <w:szCs w:val="24"/>
        </w:rPr>
        <w:t>порез</w:t>
      </w:r>
      <w:r w:rsidR="00151D54" w:rsidRPr="004122E2">
        <w:rPr>
          <w:rFonts w:ascii="Times New Roman" w:hAnsi="Times New Roman"/>
          <w:sz w:val="24"/>
          <w:szCs w:val="24"/>
        </w:rPr>
        <w:t xml:space="preserve"> </w:t>
      </w:r>
      <w:r w:rsidR="005D5E4A" w:rsidRPr="004122E2">
        <w:rPr>
          <w:rFonts w:ascii="Times New Roman" w:hAnsi="Times New Roman"/>
          <w:sz w:val="24"/>
          <w:szCs w:val="24"/>
        </w:rPr>
        <w:t>плаћају</w:t>
      </w:r>
      <w:r w:rsidR="00151D54" w:rsidRPr="004122E2">
        <w:rPr>
          <w:rFonts w:ascii="Times New Roman" w:hAnsi="Times New Roman"/>
          <w:sz w:val="24"/>
          <w:szCs w:val="24"/>
        </w:rPr>
        <w:t xml:space="preserve"> </w:t>
      </w:r>
      <w:r w:rsidR="005D5E4A" w:rsidRPr="004122E2">
        <w:rPr>
          <w:rFonts w:ascii="Times New Roman" w:hAnsi="Times New Roman"/>
          <w:sz w:val="24"/>
          <w:szCs w:val="24"/>
        </w:rPr>
        <w:t>на</w:t>
      </w:r>
      <w:r w:rsidR="00151D54" w:rsidRPr="004122E2">
        <w:rPr>
          <w:rFonts w:ascii="Times New Roman" w:hAnsi="Times New Roman"/>
          <w:sz w:val="24"/>
          <w:szCs w:val="24"/>
        </w:rPr>
        <w:t xml:space="preserve"> </w:t>
      </w:r>
      <w:r w:rsidR="005D5E4A" w:rsidRPr="004122E2">
        <w:rPr>
          <w:rFonts w:ascii="Times New Roman" w:hAnsi="Times New Roman"/>
          <w:sz w:val="24"/>
          <w:szCs w:val="24"/>
        </w:rPr>
        <w:t>паушално</w:t>
      </w:r>
      <w:r w:rsidR="00151D54" w:rsidRPr="004122E2">
        <w:rPr>
          <w:rFonts w:ascii="Times New Roman" w:hAnsi="Times New Roman"/>
          <w:sz w:val="24"/>
          <w:szCs w:val="24"/>
        </w:rPr>
        <w:t xml:space="preserve"> </w:t>
      </w:r>
      <w:r w:rsidR="005D5E4A" w:rsidRPr="004122E2">
        <w:rPr>
          <w:rFonts w:ascii="Times New Roman" w:hAnsi="Times New Roman"/>
          <w:sz w:val="24"/>
          <w:szCs w:val="24"/>
        </w:rPr>
        <w:t>утврђен</w:t>
      </w:r>
      <w:r w:rsidR="00151D54" w:rsidRPr="004122E2">
        <w:rPr>
          <w:rFonts w:ascii="Times New Roman" w:hAnsi="Times New Roman"/>
          <w:sz w:val="24"/>
          <w:szCs w:val="24"/>
        </w:rPr>
        <w:t xml:space="preserve"> </w:t>
      </w:r>
      <w:r w:rsidR="005D5E4A" w:rsidRPr="004122E2">
        <w:rPr>
          <w:rFonts w:ascii="Times New Roman" w:hAnsi="Times New Roman"/>
          <w:sz w:val="24"/>
          <w:szCs w:val="24"/>
        </w:rPr>
        <w:t>приход</w:t>
      </w:r>
      <w:r w:rsidR="00151D54" w:rsidRPr="004122E2">
        <w:rPr>
          <w:rFonts w:ascii="Times New Roman" w:hAnsi="Times New Roman"/>
          <w:sz w:val="24"/>
          <w:szCs w:val="24"/>
        </w:rPr>
        <w:t xml:space="preserve"> </w:t>
      </w:r>
      <w:r w:rsidR="005D5E4A" w:rsidRPr="004122E2">
        <w:rPr>
          <w:rFonts w:ascii="Times New Roman" w:hAnsi="Times New Roman"/>
          <w:sz w:val="24"/>
          <w:szCs w:val="24"/>
        </w:rPr>
        <w:t>дужни</w:t>
      </w:r>
      <w:r w:rsidR="00151D54" w:rsidRPr="004122E2">
        <w:rPr>
          <w:rFonts w:ascii="Times New Roman" w:hAnsi="Times New Roman"/>
          <w:sz w:val="24"/>
          <w:szCs w:val="24"/>
        </w:rPr>
        <w:t xml:space="preserve"> </w:t>
      </w:r>
      <w:r w:rsidR="005D5E4A" w:rsidRPr="004122E2">
        <w:rPr>
          <w:rFonts w:ascii="Times New Roman" w:hAnsi="Times New Roman"/>
          <w:sz w:val="24"/>
          <w:szCs w:val="24"/>
        </w:rPr>
        <w:t>су</w:t>
      </w:r>
      <w:r w:rsidR="00151D54" w:rsidRPr="004122E2">
        <w:rPr>
          <w:rFonts w:ascii="Times New Roman" w:hAnsi="Times New Roman"/>
          <w:sz w:val="24"/>
          <w:szCs w:val="24"/>
        </w:rPr>
        <w:t xml:space="preserve"> </w:t>
      </w:r>
      <w:r w:rsidR="005D5E4A" w:rsidRPr="004122E2">
        <w:rPr>
          <w:rFonts w:ascii="Times New Roman" w:hAnsi="Times New Roman"/>
          <w:sz w:val="24"/>
          <w:szCs w:val="24"/>
        </w:rPr>
        <w:t>да</w:t>
      </w:r>
      <w:r w:rsidR="00151D54" w:rsidRPr="004122E2">
        <w:rPr>
          <w:rFonts w:ascii="Times New Roman" w:hAnsi="Times New Roman"/>
          <w:sz w:val="24"/>
          <w:szCs w:val="24"/>
        </w:rPr>
        <w:t xml:space="preserve"> </w:t>
      </w:r>
      <w:r w:rsidR="005D5E4A" w:rsidRPr="004122E2">
        <w:rPr>
          <w:rFonts w:ascii="Times New Roman" w:hAnsi="Times New Roman"/>
          <w:sz w:val="24"/>
          <w:szCs w:val="24"/>
        </w:rPr>
        <w:t>воде</w:t>
      </w:r>
      <w:r w:rsidR="00151D54" w:rsidRPr="004122E2">
        <w:rPr>
          <w:rFonts w:ascii="Times New Roman" w:hAnsi="Times New Roman"/>
          <w:sz w:val="24"/>
          <w:szCs w:val="24"/>
        </w:rPr>
        <w:t xml:space="preserve"> </w:t>
      </w:r>
      <w:r w:rsidR="005D5E4A" w:rsidRPr="004122E2">
        <w:rPr>
          <w:rFonts w:ascii="Times New Roman" w:hAnsi="Times New Roman"/>
          <w:sz w:val="24"/>
          <w:szCs w:val="24"/>
        </w:rPr>
        <w:t>само</w:t>
      </w:r>
      <w:r w:rsidR="00151D54" w:rsidRPr="004122E2">
        <w:rPr>
          <w:rFonts w:ascii="Times New Roman" w:hAnsi="Times New Roman"/>
          <w:sz w:val="24"/>
          <w:szCs w:val="24"/>
        </w:rPr>
        <w:t xml:space="preserve"> </w:t>
      </w:r>
      <w:r w:rsidR="005D5E4A" w:rsidRPr="004122E2">
        <w:rPr>
          <w:rFonts w:ascii="Times New Roman" w:hAnsi="Times New Roman"/>
          <w:sz w:val="24"/>
          <w:szCs w:val="24"/>
        </w:rPr>
        <w:t>пословну</w:t>
      </w:r>
      <w:r w:rsidR="00151D54" w:rsidRPr="004122E2">
        <w:rPr>
          <w:rFonts w:ascii="Times New Roman" w:hAnsi="Times New Roman"/>
          <w:sz w:val="24"/>
          <w:szCs w:val="24"/>
        </w:rPr>
        <w:t xml:space="preserve"> </w:t>
      </w:r>
      <w:r w:rsidR="005D5E4A" w:rsidRPr="004122E2">
        <w:rPr>
          <w:rFonts w:ascii="Times New Roman" w:hAnsi="Times New Roman"/>
          <w:sz w:val="24"/>
          <w:szCs w:val="24"/>
        </w:rPr>
        <w:t>књигу</w:t>
      </w:r>
      <w:r w:rsidR="00151D54" w:rsidRPr="004122E2">
        <w:rPr>
          <w:rFonts w:ascii="Times New Roman" w:hAnsi="Times New Roman"/>
          <w:sz w:val="24"/>
          <w:szCs w:val="24"/>
        </w:rPr>
        <w:t xml:space="preserve"> </w:t>
      </w:r>
      <w:r w:rsidR="005D5E4A" w:rsidRPr="004122E2">
        <w:rPr>
          <w:rFonts w:ascii="Times New Roman" w:hAnsi="Times New Roman"/>
          <w:sz w:val="24"/>
          <w:szCs w:val="24"/>
        </w:rPr>
        <w:t>о</w:t>
      </w:r>
      <w:r w:rsidR="00151D54" w:rsidRPr="004122E2">
        <w:rPr>
          <w:rFonts w:ascii="Times New Roman" w:hAnsi="Times New Roman"/>
          <w:sz w:val="24"/>
          <w:szCs w:val="24"/>
        </w:rPr>
        <w:t xml:space="preserve"> </w:t>
      </w:r>
      <w:r w:rsidR="005D5E4A" w:rsidRPr="004122E2">
        <w:rPr>
          <w:rFonts w:ascii="Times New Roman" w:hAnsi="Times New Roman"/>
          <w:sz w:val="24"/>
          <w:szCs w:val="24"/>
        </w:rPr>
        <w:t>оствареном</w:t>
      </w:r>
      <w:r w:rsidR="00151D54" w:rsidRPr="004122E2">
        <w:rPr>
          <w:rFonts w:ascii="Times New Roman" w:hAnsi="Times New Roman"/>
          <w:sz w:val="24"/>
          <w:szCs w:val="24"/>
        </w:rPr>
        <w:t xml:space="preserve"> </w:t>
      </w:r>
      <w:r w:rsidR="005D5E4A" w:rsidRPr="004122E2">
        <w:rPr>
          <w:rFonts w:ascii="Times New Roman" w:hAnsi="Times New Roman"/>
          <w:sz w:val="24"/>
          <w:szCs w:val="24"/>
        </w:rPr>
        <w:t>промету</w:t>
      </w:r>
      <w:r w:rsidR="00151D54" w:rsidRPr="004122E2">
        <w:rPr>
          <w:rFonts w:ascii="Times New Roman" w:hAnsi="Times New Roman"/>
          <w:sz w:val="24"/>
          <w:szCs w:val="24"/>
        </w:rPr>
        <w:t>.</w:t>
      </w:r>
    </w:p>
    <w:p w:rsidR="0040159E" w:rsidRPr="004122E2" w:rsidRDefault="00B92C2C" w:rsidP="004122E2">
      <w:pPr>
        <w:ind w:firstLine="708"/>
        <w:jc w:val="both"/>
        <w:rPr>
          <w:rFonts w:ascii="Times New Roman" w:hAnsi="Times New Roman"/>
          <w:sz w:val="24"/>
          <w:szCs w:val="24"/>
          <w:lang w:val="sr-Cyrl-CS"/>
        </w:rPr>
      </w:pPr>
      <w:r w:rsidRPr="004122E2">
        <w:rPr>
          <w:rFonts w:ascii="Times New Roman" w:hAnsi="Times New Roman"/>
          <w:sz w:val="24"/>
          <w:szCs w:val="24"/>
          <w:lang w:val="sr-Cyrl-CS"/>
        </w:rPr>
        <w:t>Приходи и расходи из пословног биланса су меродавни за порески биланс, код утврђивања пословне добити, осим ако пореским законом није другачије регулисано, као и код пореза на добит правних лица</w:t>
      </w:r>
      <w:r w:rsidR="008832B3" w:rsidRPr="004122E2">
        <w:rPr>
          <w:rFonts w:ascii="Times New Roman" w:hAnsi="Times New Roman"/>
          <w:sz w:val="24"/>
          <w:szCs w:val="24"/>
          <w:lang w:val="sr-Cyrl-CS"/>
        </w:rPr>
        <w:t>.</w:t>
      </w:r>
      <w:r w:rsidR="00AF5C7D" w:rsidRPr="004122E2">
        <w:rPr>
          <w:rFonts w:ascii="Times New Roman" w:hAnsi="Times New Roman"/>
          <w:sz w:val="24"/>
          <w:szCs w:val="24"/>
          <w:lang w:val="sr-Cyrl-CS"/>
        </w:rPr>
        <w:t xml:space="preserve"> </w:t>
      </w:r>
      <w:r w:rsidR="005D5E4A" w:rsidRPr="004122E2">
        <w:rPr>
          <w:rFonts w:ascii="Times New Roman" w:hAnsi="Times New Roman"/>
          <w:sz w:val="24"/>
          <w:szCs w:val="24"/>
        </w:rPr>
        <w:t>Усклађивање</w:t>
      </w:r>
      <w:r w:rsidR="008832B3" w:rsidRPr="004122E2">
        <w:rPr>
          <w:rFonts w:ascii="Times New Roman" w:hAnsi="Times New Roman"/>
          <w:sz w:val="24"/>
          <w:szCs w:val="24"/>
        </w:rPr>
        <w:t xml:space="preserve"> </w:t>
      </w:r>
      <w:r w:rsidR="005D5E4A" w:rsidRPr="004122E2">
        <w:rPr>
          <w:rFonts w:ascii="Times New Roman" w:hAnsi="Times New Roman"/>
          <w:sz w:val="24"/>
          <w:szCs w:val="24"/>
        </w:rPr>
        <w:t>прихода</w:t>
      </w:r>
      <w:r w:rsidR="008832B3" w:rsidRPr="004122E2">
        <w:rPr>
          <w:rFonts w:ascii="Times New Roman" w:hAnsi="Times New Roman"/>
          <w:sz w:val="24"/>
          <w:szCs w:val="24"/>
        </w:rPr>
        <w:t xml:space="preserve"> </w:t>
      </w:r>
      <w:r w:rsidR="005D5E4A" w:rsidRPr="004122E2">
        <w:rPr>
          <w:rFonts w:ascii="Times New Roman" w:hAnsi="Times New Roman"/>
          <w:sz w:val="24"/>
          <w:szCs w:val="24"/>
        </w:rPr>
        <w:t>и</w:t>
      </w:r>
      <w:r w:rsidR="008832B3" w:rsidRPr="004122E2">
        <w:rPr>
          <w:rFonts w:ascii="Times New Roman" w:hAnsi="Times New Roman"/>
          <w:sz w:val="24"/>
          <w:szCs w:val="24"/>
        </w:rPr>
        <w:t xml:space="preserve"> </w:t>
      </w:r>
      <w:r w:rsidR="005D5E4A" w:rsidRPr="004122E2">
        <w:rPr>
          <w:rFonts w:ascii="Times New Roman" w:hAnsi="Times New Roman"/>
          <w:sz w:val="24"/>
          <w:szCs w:val="24"/>
        </w:rPr>
        <w:t>расхода</w:t>
      </w:r>
      <w:r w:rsidR="008832B3" w:rsidRPr="004122E2">
        <w:rPr>
          <w:rFonts w:ascii="Times New Roman" w:hAnsi="Times New Roman"/>
          <w:sz w:val="24"/>
          <w:szCs w:val="24"/>
        </w:rPr>
        <w:t xml:space="preserve">, </w:t>
      </w:r>
      <w:r w:rsidR="005D5E4A" w:rsidRPr="004122E2">
        <w:rPr>
          <w:rFonts w:ascii="Times New Roman" w:hAnsi="Times New Roman"/>
          <w:sz w:val="24"/>
          <w:szCs w:val="24"/>
        </w:rPr>
        <w:t>утврђивање</w:t>
      </w:r>
      <w:r w:rsidR="008832B3" w:rsidRPr="004122E2">
        <w:rPr>
          <w:rFonts w:ascii="Times New Roman" w:hAnsi="Times New Roman"/>
          <w:sz w:val="24"/>
          <w:szCs w:val="24"/>
        </w:rPr>
        <w:t xml:space="preserve"> </w:t>
      </w:r>
      <w:r w:rsidR="005D5E4A" w:rsidRPr="004122E2">
        <w:rPr>
          <w:rFonts w:ascii="Times New Roman" w:hAnsi="Times New Roman"/>
          <w:sz w:val="24"/>
          <w:szCs w:val="24"/>
        </w:rPr>
        <w:t>капиталних</w:t>
      </w:r>
      <w:r w:rsidR="008832B3" w:rsidRPr="004122E2">
        <w:rPr>
          <w:rFonts w:ascii="Times New Roman" w:hAnsi="Times New Roman"/>
          <w:sz w:val="24"/>
          <w:szCs w:val="24"/>
        </w:rPr>
        <w:t xml:space="preserve"> </w:t>
      </w:r>
      <w:r w:rsidR="005D5E4A" w:rsidRPr="004122E2">
        <w:rPr>
          <w:rFonts w:ascii="Times New Roman" w:hAnsi="Times New Roman"/>
          <w:sz w:val="24"/>
          <w:szCs w:val="24"/>
        </w:rPr>
        <w:t>добитака</w:t>
      </w:r>
      <w:r w:rsidR="008832B3" w:rsidRPr="004122E2">
        <w:rPr>
          <w:rFonts w:ascii="Times New Roman" w:hAnsi="Times New Roman"/>
          <w:sz w:val="24"/>
          <w:szCs w:val="24"/>
        </w:rPr>
        <w:t xml:space="preserve"> </w:t>
      </w:r>
      <w:r w:rsidR="005D5E4A" w:rsidRPr="004122E2">
        <w:rPr>
          <w:rFonts w:ascii="Times New Roman" w:hAnsi="Times New Roman"/>
          <w:sz w:val="24"/>
          <w:szCs w:val="24"/>
        </w:rPr>
        <w:t>и</w:t>
      </w:r>
      <w:r w:rsidR="008832B3" w:rsidRPr="004122E2">
        <w:rPr>
          <w:rFonts w:ascii="Times New Roman" w:hAnsi="Times New Roman"/>
          <w:sz w:val="24"/>
          <w:szCs w:val="24"/>
        </w:rPr>
        <w:t xml:space="preserve"> </w:t>
      </w:r>
      <w:r w:rsidR="005D5E4A" w:rsidRPr="004122E2">
        <w:rPr>
          <w:rFonts w:ascii="Times New Roman" w:hAnsi="Times New Roman"/>
          <w:sz w:val="24"/>
          <w:szCs w:val="24"/>
        </w:rPr>
        <w:t>губитака</w:t>
      </w:r>
      <w:r w:rsidR="008832B3" w:rsidRPr="004122E2">
        <w:rPr>
          <w:rFonts w:ascii="Times New Roman" w:hAnsi="Times New Roman"/>
          <w:sz w:val="24"/>
          <w:szCs w:val="24"/>
        </w:rPr>
        <w:t xml:space="preserve"> </w:t>
      </w:r>
      <w:r w:rsidR="005D5E4A" w:rsidRPr="004122E2">
        <w:rPr>
          <w:rFonts w:ascii="Times New Roman" w:hAnsi="Times New Roman"/>
          <w:sz w:val="24"/>
          <w:szCs w:val="24"/>
        </w:rPr>
        <w:t>и</w:t>
      </w:r>
      <w:r w:rsidR="008832B3" w:rsidRPr="004122E2">
        <w:rPr>
          <w:rFonts w:ascii="Times New Roman" w:hAnsi="Times New Roman"/>
          <w:sz w:val="24"/>
          <w:szCs w:val="24"/>
        </w:rPr>
        <w:t xml:space="preserve"> </w:t>
      </w:r>
      <w:r w:rsidR="005D5E4A" w:rsidRPr="004122E2">
        <w:rPr>
          <w:rFonts w:ascii="Times New Roman" w:hAnsi="Times New Roman"/>
          <w:sz w:val="24"/>
          <w:szCs w:val="24"/>
        </w:rPr>
        <w:t>порески</w:t>
      </w:r>
      <w:r w:rsidR="008832B3" w:rsidRPr="004122E2">
        <w:rPr>
          <w:rFonts w:ascii="Times New Roman" w:hAnsi="Times New Roman"/>
          <w:sz w:val="24"/>
          <w:szCs w:val="24"/>
        </w:rPr>
        <w:t xml:space="preserve"> </w:t>
      </w:r>
      <w:r w:rsidR="005D5E4A" w:rsidRPr="004122E2">
        <w:rPr>
          <w:rFonts w:ascii="Times New Roman" w:hAnsi="Times New Roman"/>
          <w:sz w:val="24"/>
          <w:szCs w:val="24"/>
        </w:rPr>
        <w:t>третман</w:t>
      </w:r>
      <w:r w:rsidR="008832B3" w:rsidRPr="004122E2">
        <w:rPr>
          <w:rFonts w:ascii="Times New Roman" w:hAnsi="Times New Roman"/>
          <w:sz w:val="24"/>
          <w:szCs w:val="24"/>
        </w:rPr>
        <w:t xml:space="preserve"> </w:t>
      </w:r>
      <w:r w:rsidR="005D5E4A" w:rsidRPr="004122E2">
        <w:rPr>
          <w:rFonts w:ascii="Times New Roman" w:hAnsi="Times New Roman"/>
          <w:sz w:val="24"/>
          <w:szCs w:val="24"/>
        </w:rPr>
        <w:t>губитака</w:t>
      </w:r>
      <w:r w:rsidR="008832B3" w:rsidRPr="004122E2">
        <w:rPr>
          <w:rFonts w:ascii="Times New Roman" w:hAnsi="Times New Roman"/>
          <w:sz w:val="24"/>
          <w:szCs w:val="24"/>
        </w:rPr>
        <w:t xml:space="preserve"> </w:t>
      </w:r>
      <w:r w:rsidR="005D5E4A" w:rsidRPr="004122E2">
        <w:rPr>
          <w:rFonts w:ascii="Times New Roman" w:hAnsi="Times New Roman"/>
          <w:sz w:val="24"/>
          <w:szCs w:val="24"/>
        </w:rPr>
        <w:t>из</w:t>
      </w:r>
      <w:r w:rsidR="008832B3" w:rsidRPr="004122E2">
        <w:rPr>
          <w:rFonts w:ascii="Times New Roman" w:hAnsi="Times New Roman"/>
          <w:sz w:val="24"/>
          <w:szCs w:val="24"/>
        </w:rPr>
        <w:t xml:space="preserve"> </w:t>
      </w:r>
      <w:r w:rsidR="005D5E4A" w:rsidRPr="004122E2">
        <w:rPr>
          <w:rFonts w:ascii="Times New Roman" w:hAnsi="Times New Roman"/>
          <w:sz w:val="24"/>
          <w:szCs w:val="24"/>
        </w:rPr>
        <w:t>ранијих</w:t>
      </w:r>
      <w:r w:rsidR="008832B3" w:rsidRPr="004122E2">
        <w:rPr>
          <w:rFonts w:ascii="Times New Roman" w:hAnsi="Times New Roman"/>
          <w:sz w:val="24"/>
          <w:szCs w:val="24"/>
        </w:rPr>
        <w:t xml:space="preserve"> </w:t>
      </w:r>
      <w:r w:rsidR="005D5E4A" w:rsidRPr="004122E2">
        <w:rPr>
          <w:rFonts w:ascii="Times New Roman" w:hAnsi="Times New Roman"/>
          <w:sz w:val="24"/>
          <w:szCs w:val="24"/>
        </w:rPr>
        <w:t>година</w:t>
      </w:r>
      <w:r w:rsidR="008832B3" w:rsidRPr="004122E2">
        <w:rPr>
          <w:rFonts w:ascii="Times New Roman" w:hAnsi="Times New Roman"/>
          <w:sz w:val="24"/>
          <w:szCs w:val="24"/>
        </w:rPr>
        <w:t xml:space="preserve"> </w:t>
      </w:r>
      <w:r w:rsidR="005D5E4A" w:rsidRPr="004122E2">
        <w:rPr>
          <w:rFonts w:ascii="Times New Roman" w:hAnsi="Times New Roman"/>
          <w:sz w:val="24"/>
          <w:szCs w:val="24"/>
        </w:rPr>
        <w:t>исказују</w:t>
      </w:r>
      <w:r w:rsidR="008832B3" w:rsidRPr="004122E2">
        <w:rPr>
          <w:rFonts w:ascii="Times New Roman" w:hAnsi="Times New Roman"/>
          <w:sz w:val="24"/>
          <w:szCs w:val="24"/>
        </w:rPr>
        <w:t xml:space="preserve"> </w:t>
      </w:r>
      <w:r w:rsidR="005D5E4A" w:rsidRPr="004122E2">
        <w:rPr>
          <w:rFonts w:ascii="Times New Roman" w:hAnsi="Times New Roman"/>
          <w:sz w:val="24"/>
          <w:szCs w:val="24"/>
        </w:rPr>
        <w:t>се</w:t>
      </w:r>
      <w:r w:rsidR="008832B3" w:rsidRPr="004122E2">
        <w:rPr>
          <w:rFonts w:ascii="Times New Roman" w:hAnsi="Times New Roman"/>
          <w:sz w:val="24"/>
          <w:szCs w:val="24"/>
        </w:rPr>
        <w:t xml:space="preserve"> </w:t>
      </w:r>
      <w:r w:rsidR="005D5E4A" w:rsidRPr="004122E2">
        <w:rPr>
          <w:rFonts w:ascii="Times New Roman" w:hAnsi="Times New Roman"/>
          <w:sz w:val="24"/>
          <w:szCs w:val="24"/>
        </w:rPr>
        <w:t>у</w:t>
      </w:r>
      <w:r w:rsidR="008832B3" w:rsidRPr="004122E2">
        <w:rPr>
          <w:rFonts w:ascii="Times New Roman" w:hAnsi="Times New Roman"/>
          <w:sz w:val="24"/>
          <w:szCs w:val="24"/>
        </w:rPr>
        <w:t xml:space="preserve"> </w:t>
      </w:r>
      <w:r w:rsidR="005D5E4A" w:rsidRPr="004122E2">
        <w:rPr>
          <w:rFonts w:ascii="Times New Roman" w:hAnsi="Times New Roman"/>
          <w:sz w:val="24"/>
          <w:szCs w:val="24"/>
        </w:rPr>
        <w:t>пореском</w:t>
      </w:r>
      <w:r w:rsidR="008832B3" w:rsidRPr="004122E2">
        <w:rPr>
          <w:rFonts w:ascii="Times New Roman" w:hAnsi="Times New Roman"/>
          <w:sz w:val="24"/>
          <w:szCs w:val="24"/>
        </w:rPr>
        <w:t xml:space="preserve"> </w:t>
      </w:r>
      <w:r w:rsidR="005D5E4A" w:rsidRPr="004122E2">
        <w:rPr>
          <w:rFonts w:ascii="Times New Roman" w:hAnsi="Times New Roman"/>
          <w:sz w:val="24"/>
          <w:szCs w:val="24"/>
        </w:rPr>
        <w:t>билансу</w:t>
      </w:r>
      <w:r w:rsidR="008832B3" w:rsidRPr="004122E2">
        <w:rPr>
          <w:rFonts w:ascii="Times New Roman" w:hAnsi="Times New Roman"/>
          <w:sz w:val="24"/>
          <w:szCs w:val="24"/>
        </w:rPr>
        <w:t xml:space="preserve"> </w:t>
      </w:r>
      <w:r w:rsidR="005D5E4A" w:rsidRPr="004122E2">
        <w:rPr>
          <w:rFonts w:ascii="Times New Roman" w:hAnsi="Times New Roman"/>
          <w:sz w:val="24"/>
          <w:szCs w:val="24"/>
        </w:rPr>
        <w:t>предузетника</w:t>
      </w:r>
      <w:r w:rsidR="008832B3" w:rsidRPr="004122E2">
        <w:rPr>
          <w:rFonts w:ascii="Times New Roman" w:hAnsi="Times New Roman"/>
          <w:sz w:val="24"/>
          <w:szCs w:val="24"/>
        </w:rPr>
        <w:t xml:space="preserve"> </w:t>
      </w:r>
      <w:r w:rsidR="005D5E4A" w:rsidRPr="004122E2">
        <w:rPr>
          <w:rFonts w:ascii="Times New Roman" w:hAnsi="Times New Roman"/>
          <w:sz w:val="24"/>
          <w:szCs w:val="24"/>
        </w:rPr>
        <w:t>у</w:t>
      </w:r>
      <w:r w:rsidR="008832B3" w:rsidRPr="004122E2">
        <w:rPr>
          <w:rFonts w:ascii="Times New Roman" w:hAnsi="Times New Roman"/>
          <w:sz w:val="24"/>
          <w:szCs w:val="24"/>
        </w:rPr>
        <w:t xml:space="preserve"> </w:t>
      </w:r>
      <w:r w:rsidR="005D5E4A" w:rsidRPr="004122E2">
        <w:rPr>
          <w:rFonts w:ascii="Times New Roman" w:hAnsi="Times New Roman"/>
          <w:sz w:val="24"/>
          <w:szCs w:val="24"/>
        </w:rPr>
        <w:t>складу</w:t>
      </w:r>
      <w:r w:rsidR="008832B3" w:rsidRPr="004122E2">
        <w:rPr>
          <w:rFonts w:ascii="Times New Roman" w:hAnsi="Times New Roman"/>
          <w:sz w:val="24"/>
          <w:szCs w:val="24"/>
        </w:rPr>
        <w:t xml:space="preserve"> </w:t>
      </w:r>
      <w:r w:rsidR="005D5E4A" w:rsidRPr="004122E2">
        <w:rPr>
          <w:rFonts w:ascii="Times New Roman" w:hAnsi="Times New Roman"/>
          <w:sz w:val="24"/>
          <w:szCs w:val="24"/>
        </w:rPr>
        <w:t>са</w:t>
      </w:r>
      <w:r w:rsidR="008832B3" w:rsidRPr="004122E2">
        <w:rPr>
          <w:rFonts w:ascii="Times New Roman" w:hAnsi="Times New Roman"/>
          <w:sz w:val="24"/>
          <w:szCs w:val="24"/>
        </w:rPr>
        <w:t xml:space="preserve"> </w:t>
      </w:r>
      <w:r w:rsidR="005D5E4A" w:rsidRPr="004122E2">
        <w:rPr>
          <w:rFonts w:ascii="Times New Roman" w:hAnsi="Times New Roman"/>
          <w:sz w:val="24"/>
          <w:szCs w:val="24"/>
        </w:rPr>
        <w:t>одговарајућим</w:t>
      </w:r>
      <w:r w:rsidR="008832B3" w:rsidRPr="004122E2">
        <w:rPr>
          <w:rFonts w:ascii="Times New Roman" w:hAnsi="Times New Roman"/>
          <w:sz w:val="24"/>
          <w:szCs w:val="24"/>
        </w:rPr>
        <w:t xml:space="preserve"> </w:t>
      </w:r>
      <w:r w:rsidR="005D5E4A" w:rsidRPr="004122E2">
        <w:rPr>
          <w:rFonts w:ascii="Times New Roman" w:hAnsi="Times New Roman"/>
          <w:sz w:val="24"/>
          <w:szCs w:val="24"/>
        </w:rPr>
        <w:t>одредбама</w:t>
      </w:r>
      <w:r w:rsidR="008832B3" w:rsidRPr="004122E2">
        <w:rPr>
          <w:rFonts w:ascii="Times New Roman" w:hAnsi="Times New Roman"/>
          <w:sz w:val="24"/>
          <w:szCs w:val="24"/>
        </w:rPr>
        <w:t xml:space="preserve"> </w:t>
      </w:r>
      <w:r w:rsidR="005D5E4A" w:rsidRPr="004122E2">
        <w:rPr>
          <w:rFonts w:ascii="Times New Roman" w:hAnsi="Times New Roman"/>
          <w:sz w:val="24"/>
          <w:szCs w:val="24"/>
        </w:rPr>
        <w:t>закона</w:t>
      </w:r>
      <w:r w:rsidR="008832B3" w:rsidRPr="004122E2">
        <w:rPr>
          <w:rFonts w:ascii="Times New Roman" w:hAnsi="Times New Roman"/>
          <w:sz w:val="24"/>
          <w:szCs w:val="24"/>
        </w:rPr>
        <w:t xml:space="preserve"> </w:t>
      </w:r>
      <w:r w:rsidR="005D5E4A" w:rsidRPr="004122E2">
        <w:rPr>
          <w:rFonts w:ascii="Times New Roman" w:hAnsi="Times New Roman"/>
          <w:sz w:val="24"/>
          <w:szCs w:val="24"/>
        </w:rPr>
        <w:t>којим</w:t>
      </w:r>
      <w:r w:rsidR="008832B3" w:rsidRPr="004122E2">
        <w:rPr>
          <w:rFonts w:ascii="Times New Roman" w:hAnsi="Times New Roman"/>
          <w:sz w:val="24"/>
          <w:szCs w:val="24"/>
        </w:rPr>
        <w:t xml:space="preserve"> </w:t>
      </w:r>
      <w:r w:rsidR="005D5E4A" w:rsidRPr="004122E2">
        <w:rPr>
          <w:rFonts w:ascii="Times New Roman" w:hAnsi="Times New Roman"/>
          <w:sz w:val="24"/>
          <w:szCs w:val="24"/>
        </w:rPr>
        <w:t>се</w:t>
      </w:r>
      <w:r w:rsidR="008832B3" w:rsidRPr="004122E2">
        <w:rPr>
          <w:rFonts w:ascii="Times New Roman" w:hAnsi="Times New Roman"/>
          <w:sz w:val="24"/>
          <w:szCs w:val="24"/>
        </w:rPr>
        <w:t xml:space="preserve"> </w:t>
      </w:r>
      <w:r w:rsidR="005D5E4A" w:rsidRPr="004122E2">
        <w:rPr>
          <w:rFonts w:ascii="Times New Roman" w:hAnsi="Times New Roman"/>
          <w:sz w:val="24"/>
          <w:szCs w:val="24"/>
        </w:rPr>
        <w:t>уређује</w:t>
      </w:r>
      <w:r w:rsidR="008832B3" w:rsidRPr="004122E2">
        <w:rPr>
          <w:rFonts w:ascii="Times New Roman" w:hAnsi="Times New Roman"/>
          <w:sz w:val="24"/>
          <w:szCs w:val="24"/>
        </w:rPr>
        <w:t xml:space="preserve"> </w:t>
      </w:r>
      <w:r w:rsidR="005D5E4A" w:rsidRPr="004122E2">
        <w:rPr>
          <w:rFonts w:ascii="Times New Roman" w:hAnsi="Times New Roman"/>
          <w:sz w:val="24"/>
          <w:szCs w:val="24"/>
        </w:rPr>
        <w:t>порез</w:t>
      </w:r>
      <w:r w:rsidR="008832B3" w:rsidRPr="004122E2">
        <w:rPr>
          <w:rFonts w:ascii="Times New Roman" w:hAnsi="Times New Roman"/>
          <w:sz w:val="24"/>
          <w:szCs w:val="24"/>
        </w:rPr>
        <w:t xml:space="preserve"> </w:t>
      </w:r>
      <w:r w:rsidR="005D5E4A" w:rsidRPr="004122E2">
        <w:rPr>
          <w:rFonts w:ascii="Times New Roman" w:hAnsi="Times New Roman"/>
          <w:sz w:val="24"/>
          <w:szCs w:val="24"/>
        </w:rPr>
        <w:t>на</w:t>
      </w:r>
      <w:r w:rsidR="008832B3" w:rsidRPr="004122E2">
        <w:rPr>
          <w:rFonts w:ascii="Times New Roman" w:hAnsi="Times New Roman"/>
          <w:sz w:val="24"/>
          <w:szCs w:val="24"/>
        </w:rPr>
        <w:t xml:space="preserve"> </w:t>
      </w:r>
      <w:r w:rsidR="005D5E4A" w:rsidRPr="004122E2">
        <w:rPr>
          <w:rFonts w:ascii="Times New Roman" w:hAnsi="Times New Roman"/>
          <w:sz w:val="24"/>
          <w:szCs w:val="24"/>
        </w:rPr>
        <w:t>добит</w:t>
      </w:r>
      <w:r w:rsidR="008832B3" w:rsidRPr="004122E2">
        <w:rPr>
          <w:rFonts w:ascii="Times New Roman" w:hAnsi="Times New Roman"/>
          <w:sz w:val="24"/>
          <w:szCs w:val="24"/>
        </w:rPr>
        <w:t xml:space="preserve"> </w:t>
      </w:r>
      <w:r w:rsidR="005D5E4A" w:rsidRPr="004122E2">
        <w:rPr>
          <w:rFonts w:ascii="Times New Roman" w:hAnsi="Times New Roman"/>
          <w:sz w:val="24"/>
          <w:szCs w:val="24"/>
        </w:rPr>
        <w:t>правних</w:t>
      </w:r>
      <w:r w:rsidR="008832B3" w:rsidRPr="004122E2">
        <w:rPr>
          <w:rFonts w:ascii="Times New Roman" w:hAnsi="Times New Roman"/>
          <w:sz w:val="24"/>
          <w:szCs w:val="24"/>
        </w:rPr>
        <w:t xml:space="preserve"> </w:t>
      </w:r>
      <w:r w:rsidR="005D5E4A" w:rsidRPr="004122E2">
        <w:rPr>
          <w:rFonts w:ascii="Times New Roman" w:hAnsi="Times New Roman"/>
          <w:sz w:val="24"/>
          <w:szCs w:val="24"/>
        </w:rPr>
        <w:t>лица</w:t>
      </w:r>
      <w:r w:rsidR="008832B3" w:rsidRPr="004122E2">
        <w:rPr>
          <w:rFonts w:ascii="Times New Roman" w:hAnsi="Times New Roman"/>
          <w:sz w:val="24"/>
          <w:szCs w:val="24"/>
        </w:rPr>
        <w:t xml:space="preserve">, </w:t>
      </w:r>
      <w:r w:rsidR="005D5E4A" w:rsidRPr="004122E2">
        <w:rPr>
          <w:rFonts w:ascii="Times New Roman" w:hAnsi="Times New Roman"/>
          <w:sz w:val="24"/>
          <w:szCs w:val="24"/>
        </w:rPr>
        <w:t>ако</w:t>
      </w:r>
      <w:r w:rsidR="008832B3" w:rsidRPr="004122E2">
        <w:rPr>
          <w:rFonts w:ascii="Times New Roman" w:hAnsi="Times New Roman"/>
          <w:sz w:val="24"/>
          <w:szCs w:val="24"/>
        </w:rPr>
        <w:t xml:space="preserve"> </w:t>
      </w:r>
      <w:r w:rsidR="00AF5C7D" w:rsidRPr="004122E2">
        <w:rPr>
          <w:rFonts w:ascii="Times New Roman" w:hAnsi="Times New Roman"/>
          <w:sz w:val="24"/>
          <w:szCs w:val="24"/>
          <w:lang w:val="sr-Cyrl-CS"/>
        </w:rPr>
        <w:t xml:space="preserve">ЗПДГ </w:t>
      </w:r>
      <w:r w:rsidR="005D5E4A" w:rsidRPr="004122E2">
        <w:rPr>
          <w:rFonts w:ascii="Times New Roman" w:hAnsi="Times New Roman"/>
          <w:sz w:val="24"/>
          <w:szCs w:val="24"/>
        </w:rPr>
        <w:t>није</w:t>
      </w:r>
      <w:r w:rsidR="008832B3" w:rsidRPr="004122E2">
        <w:rPr>
          <w:rFonts w:ascii="Times New Roman" w:hAnsi="Times New Roman"/>
          <w:sz w:val="24"/>
          <w:szCs w:val="24"/>
        </w:rPr>
        <w:t xml:space="preserve"> </w:t>
      </w:r>
      <w:r w:rsidR="005D5E4A" w:rsidRPr="004122E2">
        <w:rPr>
          <w:rFonts w:ascii="Times New Roman" w:hAnsi="Times New Roman"/>
          <w:sz w:val="24"/>
          <w:szCs w:val="24"/>
        </w:rPr>
        <w:t>друкчије</w:t>
      </w:r>
      <w:r w:rsidR="008832B3" w:rsidRPr="004122E2">
        <w:rPr>
          <w:rFonts w:ascii="Times New Roman" w:hAnsi="Times New Roman"/>
          <w:sz w:val="24"/>
          <w:szCs w:val="24"/>
        </w:rPr>
        <w:t xml:space="preserve"> </w:t>
      </w:r>
      <w:r w:rsidR="005D5E4A" w:rsidRPr="004122E2">
        <w:rPr>
          <w:rFonts w:ascii="Times New Roman" w:hAnsi="Times New Roman"/>
          <w:sz w:val="24"/>
          <w:szCs w:val="24"/>
        </w:rPr>
        <w:t>одређено</w:t>
      </w:r>
      <w:r w:rsidR="008832B3" w:rsidRPr="004122E2">
        <w:rPr>
          <w:rFonts w:ascii="Times New Roman" w:hAnsi="Times New Roman"/>
          <w:sz w:val="24"/>
          <w:szCs w:val="24"/>
        </w:rPr>
        <w:t>.</w:t>
      </w:r>
      <w:bookmarkStart w:id="31" w:name="clan_35a"/>
      <w:bookmarkEnd w:id="31"/>
      <w:r w:rsidR="00AF5C7D" w:rsidRPr="004122E2">
        <w:rPr>
          <w:rFonts w:ascii="Times New Roman" w:hAnsi="Times New Roman"/>
          <w:sz w:val="24"/>
          <w:szCs w:val="24"/>
          <w:lang w:val="sr-Cyrl-CS"/>
        </w:rPr>
        <w:t xml:space="preserve"> </w:t>
      </w:r>
      <w:r w:rsidR="005D5E4A" w:rsidRPr="004122E2">
        <w:rPr>
          <w:rFonts w:ascii="Times New Roman" w:hAnsi="Times New Roman"/>
          <w:sz w:val="24"/>
          <w:szCs w:val="24"/>
        </w:rPr>
        <w:t>Амортизација</w:t>
      </w:r>
      <w:r w:rsidR="008832B3" w:rsidRPr="004122E2">
        <w:rPr>
          <w:rFonts w:ascii="Times New Roman" w:hAnsi="Times New Roman"/>
          <w:sz w:val="24"/>
          <w:szCs w:val="24"/>
        </w:rPr>
        <w:t xml:space="preserve"> </w:t>
      </w:r>
      <w:r w:rsidR="005D5E4A" w:rsidRPr="004122E2">
        <w:rPr>
          <w:rFonts w:ascii="Times New Roman" w:hAnsi="Times New Roman"/>
          <w:sz w:val="24"/>
          <w:szCs w:val="24"/>
        </w:rPr>
        <w:t>сталних</w:t>
      </w:r>
      <w:r w:rsidR="008832B3" w:rsidRPr="004122E2">
        <w:rPr>
          <w:rFonts w:ascii="Times New Roman" w:hAnsi="Times New Roman"/>
          <w:sz w:val="24"/>
          <w:szCs w:val="24"/>
        </w:rPr>
        <w:t xml:space="preserve"> </w:t>
      </w:r>
      <w:r w:rsidR="005D5E4A" w:rsidRPr="004122E2">
        <w:rPr>
          <w:rFonts w:ascii="Times New Roman" w:hAnsi="Times New Roman"/>
          <w:sz w:val="24"/>
          <w:szCs w:val="24"/>
        </w:rPr>
        <w:t>средстава</w:t>
      </w:r>
      <w:r w:rsidR="008832B3" w:rsidRPr="004122E2">
        <w:rPr>
          <w:rFonts w:ascii="Times New Roman" w:hAnsi="Times New Roman"/>
          <w:sz w:val="24"/>
          <w:szCs w:val="24"/>
        </w:rPr>
        <w:t xml:space="preserve"> </w:t>
      </w:r>
      <w:r w:rsidR="005D5E4A" w:rsidRPr="004122E2">
        <w:rPr>
          <w:rFonts w:ascii="Times New Roman" w:hAnsi="Times New Roman"/>
          <w:sz w:val="24"/>
          <w:szCs w:val="24"/>
        </w:rPr>
        <w:t>које</w:t>
      </w:r>
      <w:r w:rsidR="008832B3" w:rsidRPr="004122E2">
        <w:rPr>
          <w:rFonts w:ascii="Times New Roman" w:hAnsi="Times New Roman"/>
          <w:sz w:val="24"/>
          <w:szCs w:val="24"/>
        </w:rPr>
        <w:t xml:space="preserve"> </w:t>
      </w:r>
      <w:r w:rsidR="005D5E4A" w:rsidRPr="004122E2">
        <w:rPr>
          <w:rFonts w:ascii="Times New Roman" w:hAnsi="Times New Roman"/>
          <w:sz w:val="24"/>
          <w:szCs w:val="24"/>
        </w:rPr>
        <w:t>је</w:t>
      </w:r>
      <w:r w:rsidR="008832B3" w:rsidRPr="004122E2">
        <w:rPr>
          <w:rFonts w:ascii="Times New Roman" w:hAnsi="Times New Roman"/>
          <w:sz w:val="24"/>
          <w:szCs w:val="24"/>
        </w:rPr>
        <w:t xml:space="preserve"> </w:t>
      </w:r>
      <w:r w:rsidR="005D5E4A" w:rsidRPr="004122E2">
        <w:rPr>
          <w:rFonts w:ascii="Times New Roman" w:hAnsi="Times New Roman"/>
          <w:sz w:val="24"/>
          <w:szCs w:val="24"/>
        </w:rPr>
        <w:t>предузетник</w:t>
      </w:r>
      <w:r w:rsidR="008832B3" w:rsidRPr="004122E2">
        <w:rPr>
          <w:rFonts w:ascii="Times New Roman" w:hAnsi="Times New Roman"/>
          <w:sz w:val="24"/>
          <w:szCs w:val="24"/>
        </w:rPr>
        <w:t xml:space="preserve"> </w:t>
      </w:r>
      <w:r w:rsidR="005D5E4A" w:rsidRPr="004122E2">
        <w:rPr>
          <w:rFonts w:ascii="Times New Roman" w:hAnsi="Times New Roman"/>
          <w:sz w:val="24"/>
          <w:szCs w:val="24"/>
        </w:rPr>
        <w:t>исказао</w:t>
      </w:r>
      <w:r w:rsidR="008832B3" w:rsidRPr="004122E2">
        <w:rPr>
          <w:rFonts w:ascii="Times New Roman" w:hAnsi="Times New Roman"/>
          <w:sz w:val="24"/>
          <w:szCs w:val="24"/>
        </w:rPr>
        <w:t xml:space="preserve"> </w:t>
      </w:r>
      <w:r w:rsidR="005D5E4A" w:rsidRPr="004122E2">
        <w:rPr>
          <w:rFonts w:ascii="Times New Roman" w:hAnsi="Times New Roman"/>
          <w:sz w:val="24"/>
          <w:szCs w:val="24"/>
        </w:rPr>
        <w:t>у</w:t>
      </w:r>
      <w:r w:rsidR="008832B3" w:rsidRPr="004122E2">
        <w:rPr>
          <w:rFonts w:ascii="Times New Roman" w:hAnsi="Times New Roman"/>
          <w:sz w:val="24"/>
          <w:szCs w:val="24"/>
        </w:rPr>
        <w:t xml:space="preserve"> </w:t>
      </w:r>
      <w:r w:rsidR="005D5E4A" w:rsidRPr="004122E2">
        <w:rPr>
          <w:rFonts w:ascii="Times New Roman" w:hAnsi="Times New Roman"/>
          <w:sz w:val="24"/>
          <w:szCs w:val="24"/>
        </w:rPr>
        <w:t>својим</w:t>
      </w:r>
      <w:r w:rsidR="008832B3" w:rsidRPr="004122E2">
        <w:rPr>
          <w:rFonts w:ascii="Times New Roman" w:hAnsi="Times New Roman"/>
          <w:sz w:val="24"/>
          <w:szCs w:val="24"/>
        </w:rPr>
        <w:t xml:space="preserve"> </w:t>
      </w:r>
      <w:r w:rsidR="005D5E4A" w:rsidRPr="004122E2">
        <w:rPr>
          <w:rFonts w:ascii="Times New Roman" w:hAnsi="Times New Roman"/>
          <w:sz w:val="24"/>
          <w:szCs w:val="24"/>
        </w:rPr>
        <w:t>пословним</w:t>
      </w:r>
      <w:r w:rsidR="008832B3" w:rsidRPr="004122E2">
        <w:rPr>
          <w:rFonts w:ascii="Times New Roman" w:hAnsi="Times New Roman"/>
          <w:sz w:val="24"/>
          <w:szCs w:val="24"/>
        </w:rPr>
        <w:t xml:space="preserve"> </w:t>
      </w:r>
      <w:r w:rsidR="005D5E4A" w:rsidRPr="004122E2">
        <w:rPr>
          <w:rFonts w:ascii="Times New Roman" w:hAnsi="Times New Roman"/>
          <w:sz w:val="24"/>
          <w:szCs w:val="24"/>
        </w:rPr>
        <w:t>књигама</w:t>
      </w:r>
      <w:r w:rsidR="008832B3" w:rsidRPr="004122E2">
        <w:rPr>
          <w:rFonts w:ascii="Times New Roman" w:hAnsi="Times New Roman"/>
          <w:sz w:val="24"/>
          <w:szCs w:val="24"/>
        </w:rPr>
        <w:t xml:space="preserve"> </w:t>
      </w:r>
      <w:r w:rsidR="005D5E4A" w:rsidRPr="004122E2">
        <w:rPr>
          <w:rFonts w:ascii="Times New Roman" w:hAnsi="Times New Roman"/>
          <w:sz w:val="24"/>
          <w:szCs w:val="24"/>
        </w:rPr>
        <w:t>признаје</w:t>
      </w:r>
      <w:r w:rsidR="008832B3" w:rsidRPr="004122E2">
        <w:rPr>
          <w:rFonts w:ascii="Times New Roman" w:hAnsi="Times New Roman"/>
          <w:sz w:val="24"/>
          <w:szCs w:val="24"/>
        </w:rPr>
        <w:t xml:space="preserve"> </w:t>
      </w:r>
      <w:r w:rsidR="005D5E4A" w:rsidRPr="004122E2">
        <w:rPr>
          <w:rFonts w:ascii="Times New Roman" w:hAnsi="Times New Roman"/>
          <w:sz w:val="24"/>
          <w:szCs w:val="24"/>
        </w:rPr>
        <w:t>се</w:t>
      </w:r>
      <w:r w:rsidR="008832B3" w:rsidRPr="004122E2">
        <w:rPr>
          <w:rFonts w:ascii="Times New Roman" w:hAnsi="Times New Roman"/>
          <w:sz w:val="24"/>
          <w:szCs w:val="24"/>
        </w:rPr>
        <w:t xml:space="preserve"> </w:t>
      </w:r>
      <w:r w:rsidR="005D5E4A" w:rsidRPr="004122E2">
        <w:rPr>
          <w:rFonts w:ascii="Times New Roman" w:hAnsi="Times New Roman"/>
          <w:sz w:val="24"/>
          <w:szCs w:val="24"/>
        </w:rPr>
        <w:t>као</w:t>
      </w:r>
      <w:r w:rsidR="008832B3" w:rsidRPr="004122E2">
        <w:rPr>
          <w:rFonts w:ascii="Times New Roman" w:hAnsi="Times New Roman"/>
          <w:sz w:val="24"/>
          <w:szCs w:val="24"/>
        </w:rPr>
        <w:t xml:space="preserve"> </w:t>
      </w:r>
      <w:r w:rsidR="005D5E4A" w:rsidRPr="004122E2">
        <w:rPr>
          <w:rFonts w:ascii="Times New Roman" w:hAnsi="Times New Roman"/>
          <w:sz w:val="24"/>
          <w:szCs w:val="24"/>
        </w:rPr>
        <w:t>расход</w:t>
      </w:r>
      <w:r w:rsidR="008832B3" w:rsidRPr="004122E2">
        <w:rPr>
          <w:rFonts w:ascii="Times New Roman" w:hAnsi="Times New Roman"/>
          <w:sz w:val="24"/>
          <w:szCs w:val="24"/>
        </w:rPr>
        <w:t xml:space="preserve"> </w:t>
      </w:r>
      <w:r w:rsidR="005D5E4A" w:rsidRPr="004122E2">
        <w:rPr>
          <w:rFonts w:ascii="Times New Roman" w:hAnsi="Times New Roman"/>
          <w:sz w:val="24"/>
          <w:szCs w:val="24"/>
        </w:rPr>
        <w:t>у</w:t>
      </w:r>
      <w:r w:rsidR="008832B3" w:rsidRPr="004122E2">
        <w:rPr>
          <w:rFonts w:ascii="Times New Roman" w:hAnsi="Times New Roman"/>
          <w:sz w:val="24"/>
          <w:szCs w:val="24"/>
        </w:rPr>
        <w:t xml:space="preserve"> </w:t>
      </w:r>
      <w:r w:rsidR="005D5E4A" w:rsidRPr="004122E2">
        <w:rPr>
          <w:rFonts w:ascii="Times New Roman" w:hAnsi="Times New Roman"/>
          <w:sz w:val="24"/>
          <w:szCs w:val="24"/>
        </w:rPr>
        <w:t>износу</w:t>
      </w:r>
      <w:r w:rsidR="008832B3" w:rsidRPr="004122E2">
        <w:rPr>
          <w:rFonts w:ascii="Times New Roman" w:hAnsi="Times New Roman"/>
          <w:sz w:val="24"/>
          <w:szCs w:val="24"/>
        </w:rPr>
        <w:t xml:space="preserve"> </w:t>
      </w:r>
      <w:r w:rsidR="005D5E4A" w:rsidRPr="004122E2">
        <w:rPr>
          <w:rFonts w:ascii="Times New Roman" w:hAnsi="Times New Roman"/>
          <w:sz w:val="24"/>
          <w:szCs w:val="24"/>
        </w:rPr>
        <w:t>и</w:t>
      </w:r>
      <w:r w:rsidR="008832B3" w:rsidRPr="004122E2">
        <w:rPr>
          <w:rFonts w:ascii="Times New Roman" w:hAnsi="Times New Roman"/>
          <w:sz w:val="24"/>
          <w:szCs w:val="24"/>
        </w:rPr>
        <w:t xml:space="preserve"> </w:t>
      </w:r>
      <w:r w:rsidR="005D5E4A" w:rsidRPr="004122E2">
        <w:rPr>
          <w:rFonts w:ascii="Times New Roman" w:hAnsi="Times New Roman"/>
          <w:sz w:val="24"/>
          <w:szCs w:val="24"/>
        </w:rPr>
        <w:t>на</w:t>
      </w:r>
      <w:r w:rsidR="008832B3" w:rsidRPr="004122E2">
        <w:rPr>
          <w:rFonts w:ascii="Times New Roman" w:hAnsi="Times New Roman"/>
          <w:sz w:val="24"/>
          <w:szCs w:val="24"/>
        </w:rPr>
        <w:t xml:space="preserve"> </w:t>
      </w:r>
      <w:r w:rsidR="005D5E4A" w:rsidRPr="004122E2">
        <w:rPr>
          <w:rFonts w:ascii="Times New Roman" w:hAnsi="Times New Roman"/>
          <w:sz w:val="24"/>
          <w:szCs w:val="24"/>
        </w:rPr>
        <w:t>начин</w:t>
      </w:r>
      <w:r w:rsidR="008832B3" w:rsidRPr="004122E2">
        <w:rPr>
          <w:rFonts w:ascii="Times New Roman" w:hAnsi="Times New Roman"/>
          <w:sz w:val="24"/>
          <w:szCs w:val="24"/>
        </w:rPr>
        <w:t xml:space="preserve"> </w:t>
      </w:r>
      <w:r w:rsidR="005D5E4A" w:rsidRPr="004122E2">
        <w:rPr>
          <w:rFonts w:ascii="Times New Roman" w:hAnsi="Times New Roman"/>
          <w:sz w:val="24"/>
          <w:szCs w:val="24"/>
        </w:rPr>
        <w:t>утврђен</w:t>
      </w:r>
      <w:r w:rsidR="008832B3" w:rsidRPr="004122E2">
        <w:rPr>
          <w:rFonts w:ascii="Times New Roman" w:hAnsi="Times New Roman"/>
          <w:sz w:val="24"/>
          <w:szCs w:val="24"/>
        </w:rPr>
        <w:t xml:space="preserve"> </w:t>
      </w:r>
      <w:r w:rsidR="005D5E4A" w:rsidRPr="004122E2">
        <w:rPr>
          <w:rFonts w:ascii="Times New Roman" w:hAnsi="Times New Roman"/>
          <w:sz w:val="24"/>
          <w:szCs w:val="24"/>
        </w:rPr>
        <w:t>законом</w:t>
      </w:r>
      <w:r w:rsidR="008832B3" w:rsidRPr="004122E2">
        <w:rPr>
          <w:rFonts w:ascii="Times New Roman" w:hAnsi="Times New Roman"/>
          <w:sz w:val="24"/>
          <w:szCs w:val="24"/>
        </w:rPr>
        <w:t xml:space="preserve"> </w:t>
      </w:r>
      <w:r w:rsidR="005D5E4A" w:rsidRPr="004122E2">
        <w:rPr>
          <w:rFonts w:ascii="Times New Roman" w:hAnsi="Times New Roman"/>
          <w:sz w:val="24"/>
          <w:szCs w:val="24"/>
        </w:rPr>
        <w:t>којим</w:t>
      </w:r>
      <w:r w:rsidR="008832B3" w:rsidRPr="004122E2">
        <w:rPr>
          <w:rFonts w:ascii="Times New Roman" w:hAnsi="Times New Roman"/>
          <w:sz w:val="24"/>
          <w:szCs w:val="24"/>
        </w:rPr>
        <w:t xml:space="preserve"> </w:t>
      </w:r>
      <w:r w:rsidR="005D5E4A" w:rsidRPr="004122E2">
        <w:rPr>
          <w:rFonts w:ascii="Times New Roman" w:hAnsi="Times New Roman"/>
          <w:sz w:val="24"/>
          <w:szCs w:val="24"/>
        </w:rPr>
        <w:t>се</w:t>
      </w:r>
      <w:r w:rsidR="008832B3" w:rsidRPr="004122E2">
        <w:rPr>
          <w:rFonts w:ascii="Times New Roman" w:hAnsi="Times New Roman"/>
          <w:sz w:val="24"/>
          <w:szCs w:val="24"/>
        </w:rPr>
        <w:t xml:space="preserve"> </w:t>
      </w:r>
      <w:r w:rsidR="005D5E4A" w:rsidRPr="004122E2">
        <w:rPr>
          <w:rFonts w:ascii="Times New Roman" w:hAnsi="Times New Roman"/>
          <w:sz w:val="24"/>
          <w:szCs w:val="24"/>
        </w:rPr>
        <w:t>уређује</w:t>
      </w:r>
      <w:r w:rsidR="008832B3" w:rsidRPr="004122E2">
        <w:rPr>
          <w:rFonts w:ascii="Times New Roman" w:hAnsi="Times New Roman"/>
          <w:sz w:val="24"/>
          <w:szCs w:val="24"/>
        </w:rPr>
        <w:t xml:space="preserve"> </w:t>
      </w:r>
      <w:r w:rsidR="005D5E4A" w:rsidRPr="004122E2">
        <w:rPr>
          <w:rFonts w:ascii="Times New Roman" w:hAnsi="Times New Roman"/>
          <w:sz w:val="24"/>
          <w:szCs w:val="24"/>
        </w:rPr>
        <w:t>порез</w:t>
      </w:r>
      <w:r w:rsidR="008832B3" w:rsidRPr="004122E2">
        <w:rPr>
          <w:rFonts w:ascii="Times New Roman" w:hAnsi="Times New Roman"/>
          <w:sz w:val="24"/>
          <w:szCs w:val="24"/>
        </w:rPr>
        <w:t xml:space="preserve"> </w:t>
      </w:r>
      <w:r w:rsidR="005D5E4A" w:rsidRPr="004122E2">
        <w:rPr>
          <w:rFonts w:ascii="Times New Roman" w:hAnsi="Times New Roman"/>
          <w:sz w:val="24"/>
          <w:szCs w:val="24"/>
        </w:rPr>
        <w:t>на</w:t>
      </w:r>
      <w:r w:rsidR="008832B3" w:rsidRPr="004122E2">
        <w:rPr>
          <w:rFonts w:ascii="Times New Roman" w:hAnsi="Times New Roman"/>
          <w:sz w:val="24"/>
          <w:szCs w:val="24"/>
        </w:rPr>
        <w:t xml:space="preserve"> </w:t>
      </w:r>
      <w:r w:rsidR="005D5E4A" w:rsidRPr="004122E2">
        <w:rPr>
          <w:rFonts w:ascii="Times New Roman" w:hAnsi="Times New Roman"/>
          <w:sz w:val="24"/>
          <w:szCs w:val="24"/>
        </w:rPr>
        <w:t>добит</w:t>
      </w:r>
      <w:r w:rsidR="008832B3" w:rsidRPr="004122E2">
        <w:rPr>
          <w:rFonts w:ascii="Times New Roman" w:hAnsi="Times New Roman"/>
          <w:sz w:val="24"/>
          <w:szCs w:val="24"/>
        </w:rPr>
        <w:t xml:space="preserve"> </w:t>
      </w:r>
      <w:r w:rsidR="005D5E4A" w:rsidRPr="004122E2">
        <w:rPr>
          <w:rFonts w:ascii="Times New Roman" w:hAnsi="Times New Roman"/>
          <w:sz w:val="24"/>
          <w:szCs w:val="24"/>
        </w:rPr>
        <w:t>правних</w:t>
      </w:r>
      <w:r w:rsidR="008832B3" w:rsidRPr="004122E2">
        <w:rPr>
          <w:rFonts w:ascii="Times New Roman" w:hAnsi="Times New Roman"/>
          <w:sz w:val="24"/>
          <w:szCs w:val="24"/>
        </w:rPr>
        <w:t xml:space="preserve"> </w:t>
      </w:r>
      <w:r w:rsidR="005D5E4A" w:rsidRPr="004122E2">
        <w:rPr>
          <w:rFonts w:ascii="Times New Roman" w:hAnsi="Times New Roman"/>
          <w:sz w:val="24"/>
          <w:szCs w:val="24"/>
        </w:rPr>
        <w:t>лица</w:t>
      </w:r>
      <w:r w:rsidR="008832B3" w:rsidRPr="004122E2">
        <w:rPr>
          <w:rFonts w:ascii="Times New Roman" w:hAnsi="Times New Roman"/>
          <w:sz w:val="24"/>
          <w:szCs w:val="24"/>
        </w:rPr>
        <w:t xml:space="preserve"> </w:t>
      </w:r>
      <w:r w:rsidR="005D5E4A" w:rsidRPr="004122E2">
        <w:rPr>
          <w:rFonts w:ascii="Times New Roman" w:hAnsi="Times New Roman"/>
          <w:sz w:val="24"/>
          <w:szCs w:val="24"/>
        </w:rPr>
        <w:t>и</w:t>
      </w:r>
      <w:r w:rsidR="008832B3" w:rsidRPr="004122E2">
        <w:rPr>
          <w:rFonts w:ascii="Times New Roman" w:hAnsi="Times New Roman"/>
          <w:sz w:val="24"/>
          <w:szCs w:val="24"/>
        </w:rPr>
        <w:t xml:space="preserve"> </w:t>
      </w:r>
      <w:r w:rsidR="005D5E4A" w:rsidRPr="004122E2">
        <w:rPr>
          <w:rFonts w:ascii="Times New Roman" w:hAnsi="Times New Roman"/>
          <w:sz w:val="24"/>
          <w:szCs w:val="24"/>
        </w:rPr>
        <w:t>подзаконским</w:t>
      </w:r>
      <w:r w:rsidR="008832B3" w:rsidRPr="004122E2">
        <w:rPr>
          <w:rFonts w:ascii="Times New Roman" w:hAnsi="Times New Roman"/>
          <w:sz w:val="24"/>
          <w:szCs w:val="24"/>
        </w:rPr>
        <w:t xml:space="preserve"> </w:t>
      </w:r>
      <w:r w:rsidR="005D5E4A" w:rsidRPr="004122E2">
        <w:rPr>
          <w:rFonts w:ascii="Times New Roman" w:hAnsi="Times New Roman"/>
          <w:sz w:val="24"/>
          <w:szCs w:val="24"/>
        </w:rPr>
        <w:t>актом</w:t>
      </w:r>
      <w:r w:rsidR="008832B3" w:rsidRPr="004122E2">
        <w:rPr>
          <w:rFonts w:ascii="Times New Roman" w:hAnsi="Times New Roman"/>
          <w:sz w:val="24"/>
          <w:szCs w:val="24"/>
        </w:rPr>
        <w:t xml:space="preserve"> </w:t>
      </w:r>
      <w:r w:rsidR="005D5E4A" w:rsidRPr="004122E2">
        <w:rPr>
          <w:rFonts w:ascii="Times New Roman" w:hAnsi="Times New Roman"/>
          <w:sz w:val="24"/>
          <w:szCs w:val="24"/>
        </w:rPr>
        <w:t>донетим</w:t>
      </w:r>
      <w:r w:rsidR="008832B3" w:rsidRPr="004122E2">
        <w:rPr>
          <w:rFonts w:ascii="Times New Roman" w:hAnsi="Times New Roman"/>
          <w:sz w:val="24"/>
          <w:szCs w:val="24"/>
        </w:rPr>
        <w:t xml:space="preserve"> </w:t>
      </w:r>
      <w:r w:rsidR="005D5E4A" w:rsidRPr="004122E2">
        <w:rPr>
          <w:rFonts w:ascii="Times New Roman" w:hAnsi="Times New Roman"/>
          <w:sz w:val="24"/>
          <w:szCs w:val="24"/>
        </w:rPr>
        <w:t>на</w:t>
      </w:r>
      <w:r w:rsidR="008832B3" w:rsidRPr="004122E2">
        <w:rPr>
          <w:rFonts w:ascii="Times New Roman" w:hAnsi="Times New Roman"/>
          <w:sz w:val="24"/>
          <w:szCs w:val="24"/>
        </w:rPr>
        <w:t xml:space="preserve"> </w:t>
      </w:r>
      <w:r w:rsidR="005D5E4A" w:rsidRPr="004122E2">
        <w:rPr>
          <w:rFonts w:ascii="Times New Roman" w:hAnsi="Times New Roman"/>
          <w:sz w:val="24"/>
          <w:szCs w:val="24"/>
        </w:rPr>
        <w:t>основу</w:t>
      </w:r>
      <w:r w:rsidR="008832B3" w:rsidRPr="004122E2">
        <w:rPr>
          <w:rFonts w:ascii="Times New Roman" w:hAnsi="Times New Roman"/>
          <w:sz w:val="24"/>
          <w:szCs w:val="24"/>
        </w:rPr>
        <w:t xml:space="preserve"> </w:t>
      </w:r>
      <w:r w:rsidR="005D5E4A" w:rsidRPr="004122E2">
        <w:rPr>
          <w:rFonts w:ascii="Times New Roman" w:hAnsi="Times New Roman"/>
          <w:sz w:val="24"/>
          <w:szCs w:val="24"/>
        </w:rPr>
        <w:t>тог</w:t>
      </w:r>
      <w:r w:rsidR="008832B3" w:rsidRPr="004122E2">
        <w:rPr>
          <w:rFonts w:ascii="Times New Roman" w:hAnsi="Times New Roman"/>
          <w:sz w:val="24"/>
          <w:szCs w:val="24"/>
        </w:rPr>
        <w:t xml:space="preserve"> </w:t>
      </w:r>
      <w:r w:rsidR="005D5E4A" w:rsidRPr="004122E2">
        <w:rPr>
          <w:rFonts w:ascii="Times New Roman" w:hAnsi="Times New Roman"/>
          <w:sz w:val="24"/>
          <w:szCs w:val="24"/>
        </w:rPr>
        <w:t>закона</w:t>
      </w:r>
      <w:r w:rsidR="00AF5C7D" w:rsidRPr="004122E2">
        <w:rPr>
          <w:rFonts w:ascii="Times New Roman" w:hAnsi="Times New Roman"/>
          <w:sz w:val="24"/>
          <w:szCs w:val="24"/>
          <w:lang w:val="sr-Cyrl-CS"/>
        </w:rPr>
        <w:t xml:space="preserve">. Према томе, пореску основицу чини опорезива добит која се утврђује у пореском билнсу, при чему важи правило меродавности пословног биланса за порески биланс, па се опорезива добит утврђује </w:t>
      </w:r>
      <w:r w:rsidR="0040159E" w:rsidRPr="004122E2">
        <w:rPr>
          <w:rFonts w:ascii="Times New Roman" w:hAnsi="Times New Roman"/>
          <w:sz w:val="24"/>
          <w:szCs w:val="24"/>
          <w:lang w:val="sr-Cyrl-CS"/>
        </w:rPr>
        <w:t xml:space="preserve">у пореском билансу </w:t>
      </w:r>
      <w:r w:rsidR="00AF5C7D" w:rsidRPr="004122E2">
        <w:rPr>
          <w:rFonts w:ascii="Times New Roman" w:hAnsi="Times New Roman"/>
          <w:sz w:val="24"/>
          <w:szCs w:val="24"/>
          <w:lang w:val="sr-Cyrl-CS"/>
        </w:rPr>
        <w:t xml:space="preserve">усклађивањем </w:t>
      </w:r>
      <w:r w:rsidR="0040159E" w:rsidRPr="004122E2">
        <w:rPr>
          <w:rFonts w:ascii="Times New Roman" w:hAnsi="Times New Roman"/>
          <w:sz w:val="24"/>
          <w:szCs w:val="24"/>
          <w:lang w:val="sr-Cyrl-CS"/>
        </w:rPr>
        <w:t xml:space="preserve">добити исказане у билансу успеха. </w:t>
      </w:r>
      <w:r w:rsidR="005D5E4A" w:rsidRPr="004122E2">
        <w:rPr>
          <w:rFonts w:ascii="Times New Roman" w:hAnsi="Times New Roman"/>
          <w:sz w:val="24"/>
          <w:szCs w:val="24"/>
        </w:rPr>
        <w:t>Опорезиви</w:t>
      </w:r>
      <w:r w:rsidR="0040159E" w:rsidRPr="004122E2">
        <w:rPr>
          <w:rFonts w:ascii="Times New Roman" w:hAnsi="Times New Roman"/>
          <w:sz w:val="24"/>
          <w:szCs w:val="24"/>
        </w:rPr>
        <w:t xml:space="preserve"> </w:t>
      </w:r>
      <w:r w:rsidR="005D5E4A" w:rsidRPr="004122E2">
        <w:rPr>
          <w:rFonts w:ascii="Times New Roman" w:hAnsi="Times New Roman"/>
          <w:sz w:val="24"/>
          <w:szCs w:val="24"/>
        </w:rPr>
        <w:t>приход</w:t>
      </w:r>
      <w:r w:rsidR="0040159E" w:rsidRPr="004122E2">
        <w:rPr>
          <w:rFonts w:ascii="Times New Roman" w:hAnsi="Times New Roman"/>
          <w:sz w:val="24"/>
          <w:szCs w:val="24"/>
        </w:rPr>
        <w:t xml:space="preserve"> </w:t>
      </w:r>
      <w:r w:rsidR="005D5E4A" w:rsidRPr="004122E2">
        <w:rPr>
          <w:rFonts w:ascii="Times New Roman" w:hAnsi="Times New Roman"/>
          <w:sz w:val="24"/>
          <w:szCs w:val="24"/>
        </w:rPr>
        <w:t>од</w:t>
      </w:r>
      <w:r w:rsidR="0040159E" w:rsidRPr="004122E2">
        <w:rPr>
          <w:rFonts w:ascii="Times New Roman" w:hAnsi="Times New Roman"/>
          <w:sz w:val="24"/>
          <w:szCs w:val="24"/>
        </w:rPr>
        <w:t xml:space="preserve"> </w:t>
      </w:r>
      <w:r w:rsidR="005D5E4A" w:rsidRPr="004122E2">
        <w:rPr>
          <w:rFonts w:ascii="Times New Roman" w:hAnsi="Times New Roman"/>
          <w:sz w:val="24"/>
          <w:szCs w:val="24"/>
        </w:rPr>
        <w:t>самосталне</w:t>
      </w:r>
      <w:r w:rsidR="0040159E" w:rsidRPr="004122E2">
        <w:rPr>
          <w:rFonts w:ascii="Times New Roman" w:hAnsi="Times New Roman"/>
          <w:sz w:val="24"/>
          <w:szCs w:val="24"/>
        </w:rPr>
        <w:t xml:space="preserve"> </w:t>
      </w:r>
      <w:r w:rsidR="005D5E4A" w:rsidRPr="004122E2">
        <w:rPr>
          <w:rFonts w:ascii="Times New Roman" w:hAnsi="Times New Roman"/>
          <w:sz w:val="24"/>
          <w:szCs w:val="24"/>
        </w:rPr>
        <w:t>делатности</w:t>
      </w:r>
      <w:r w:rsidR="0040159E" w:rsidRPr="004122E2">
        <w:rPr>
          <w:rFonts w:ascii="Times New Roman" w:hAnsi="Times New Roman"/>
          <w:sz w:val="24"/>
          <w:szCs w:val="24"/>
        </w:rPr>
        <w:t xml:space="preserve"> </w:t>
      </w:r>
      <w:r w:rsidR="005D5E4A" w:rsidRPr="004122E2">
        <w:rPr>
          <w:rFonts w:ascii="Times New Roman" w:hAnsi="Times New Roman"/>
          <w:sz w:val="24"/>
          <w:szCs w:val="24"/>
        </w:rPr>
        <w:t>је</w:t>
      </w:r>
      <w:r w:rsidR="0040159E" w:rsidRPr="004122E2">
        <w:rPr>
          <w:rFonts w:ascii="Times New Roman" w:hAnsi="Times New Roman"/>
          <w:sz w:val="24"/>
          <w:szCs w:val="24"/>
        </w:rPr>
        <w:t xml:space="preserve"> </w:t>
      </w:r>
      <w:r w:rsidR="005D5E4A" w:rsidRPr="004122E2">
        <w:rPr>
          <w:rFonts w:ascii="Times New Roman" w:hAnsi="Times New Roman"/>
          <w:sz w:val="24"/>
          <w:szCs w:val="24"/>
        </w:rPr>
        <w:t>опорезива</w:t>
      </w:r>
      <w:r w:rsidR="0040159E" w:rsidRPr="004122E2">
        <w:rPr>
          <w:rFonts w:ascii="Times New Roman" w:hAnsi="Times New Roman"/>
          <w:sz w:val="24"/>
          <w:szCs w:val="24"/>
        </w:rPr>
        <w:t xml:space="preserve"> </w:t>
      </w:r>
      <w:r w:rsidR="005D5E4A" w:rsidRPr="004122E2">
        <w:rPr>
          <w:rFonts w:ascii="Times New Roman" w:hAnsi="Times New Roman"/>
          <w:sz w:val="24"/>
          <w:szCs w:val="24"/>
        </w:rPr>
        <w:t>добит</w:t>
      </w:r>
      <w:r w:rsidR="0040159E" w:rsidRPr="004122E2">
        <w:rPr>
          <w:rFonts w:ascii="Times New Roman" w:hAnsi="Times New Roman"/>
          <w:sz w:val="24"/>
          <w:szCs w:val="24"/>
        </w:rPr>
        <w:t xml:space="preserve">, </w:t>
      </w:r>
      <w:r w:rsidR="005D5E4A" w:rsidRPr="004122E2">
        <w:rPr>
          <w:rFonts w:ascii="Times New Roman" w:hAnsi="Times New Roman"/>
          <w:sz w:val="24"/>
          <w:szCs w:val="24"/>
        </w:rPr>
        <w:t>ако</w:t>
      </w:r>
      <w:r w:rsidR="0040159E" w:rsidRPr="004122E2">
        <w:rPr>
          <w:rFonts w:ascii="Times New Roman" w:hAnsi="Times New Roman"/>
          <w:sz w:val="24"/>
          <w:szCs w:val="24"/>
        </w:rPr>
        <w:t xml:space="preserve"> </w:t>
      </w:r>
      <w:r w:rsidR="005D5E4A" w:rsidRPr="004122E2">
        <w:rPr>
          <w:rFonts w:ascii="Times New Roman" w:hAnsi="Times New Roman"/>
          <w:sz w:val="24"/>
          <w:szCs w:val="24"/>
        </w:rPr>
        <w:lastRenderedPageBreak/>
        <w:t>овим</w:t>
      </w:r>
      <w:r w:rsidR="0040159E" w:rsidRPr="004122E2">
        <w:rPr>
          <w:rFonts w:ascii="Times New Roman" w:hAnsi="Times New Roman"/>
          <w:sz w:val="24"/>
          <w:szCs w:val="24"/>
        </w:rPr>
        <w:t xml:space="preserve"> </w:t>
      </w:r>
      <w:r w:rsidR="005D5E4A" w:rsidRPr="004122E2">
        <w:rPr>
          <w:rFonts w:ascii="Times New Roman" w:hAnsi="Times New Roman"/>
          <w:sz w:val="24"/>
          <w:szCs w:val="24"/>
        </w:rPr>
        <w:t>законом</w:t>
      </w:r>
      <w:r w:rsidR="0040159E" w:rsidRPr="004122E2">
        <w:rPr>
          <w:rFonts w:ascii="Times New Roman" w:hAnsi="Times New Roman"/>
          <w:sz w:val="24"/>
          <w:szCs w:val="24"/>
        </w:rPr>
        <w:t xml:space="preserve"> </w:t>
      </w:r>
      <w:r w:rsidR="005D5E4A" w:rsidRPr="004122E2">
        <w:rPr>
          <w:rFonts w:ascii="Times New Roman" w:hAnsi="Times New Roman"/>
          <w:sz w:val="24"/>
          <w:szCs w:val="24"/>
        </w:rPr>
        <w:t>није</w:t>
      </w:r>
      <w:r w:rsidR="0040159E" w:rsidRPr="004122E2">
        <w:rPr>
          <w:rFonts w:ascii="Times New Roman" w:hAnsi="Times New Roman"/>
          <w:sz w:val="24"/>
          <w:szCs w:val="24"/>
        </w:rPr>
        <w:t xml:space="preserve"> </w:t>
      </w:r>
      <w:r w:rsidR="005D5E4A" w:rsidRPr="004122E2">
        <w:rPr>
          <w:rFonts w:ascii="Times New Roman" w:hAnsi="Times New Roman"/>
          <w:sz w:val="24"/>
          <w:szCs w:val="24"/>
        </w:rPr>
        <w:t>друкчије</w:t>
      </w:r>
      <w:r w:rsidR="0040159E" w:rsidRPr="004122E2">
        <w:rPr>
          <w:rFonts w:ascii="Times New Roman" w:hAnsi="Times New Roman"/>
          <w:sz w:val="24"/>
          <w:szCs w:val="24"/>
        </w:rPr>
        <w:t xml:space="preserve"> </w:t>
      </w:r>
      <w:r w:rsidR="005D5E4A" w:rsidRPr="004122E2">
        <w:rPr>
          <w:rFonts w:ascii="Times New Roman" w:hAnsi="Times New Roman"/>
          <w:sz w:val="24"/>
          <w:szCs w:val="24"/>
        </w:rPr>
        <w:t>одређено</w:t>
      </w:r>
      <w:r w:rsidR="0040159E" w:rsidRPr="004122E2">
        <w:rPr>
          <w:rFonts w:ascii="Times New Roman" w:hAnsi="Times New Roman"/>
          <w:sz w:val="24"/>
          <w:szCs w:val="24"/>
        </w:rPr>
        <w:t>.</w:t>
      </w:r>
      <w:r w:rsidR="0040159E" w:rsidRPr="004122E2">
        <w:rPr>
          <w:rFonts w:ascii="Times New Roman" w:hAnsi="Times New Roman"/>
          <w:sz w:val="24"/>
          <w:szCs w:val="24"/>
          <w:lang w:val="sr-Cyrl-CS"/>
        </w:rPr>
        <w:t xml:space="preserve"> </w:t>
      </w:r>
      <w:r w:rsidR="005D5E4A" w:rsidRPr="004122E2">
        <w:rPr>
          <w:rFonts w:ascii="Times New Roman" w:hAnsi="Times New Roman"/>
          <w:sz w:val="24"/>
          <w:szCs w:val="24"/>
        </w:rPr>
        <w:t>Опорезива</w:t>
      </w:r>
      <w:r w:rsidR="0040159E" w:rsidRPr="004122E2">
        <w:rPr>
          <w:rFonts w:ascii="Times New Roman" w:hAnsi="Times New Roman"/>
          <w:sz w:val="24"/>
          <w:szCs w:val="24"/>
        </w:rPr>
        <w:t xml:space="preserve"> </w:t>
      </w:r>
      <w:r w:rsidR="005D5E4A" w:rsidRPr="004122E2">
        <w:rPr>
          <w:rFonts w:ascii="Times New Roman" w:hAnsi="Times New Roman"/>
          <w:sz w:val="24"/>
          <w:szCs w:val="24"/>
        </w:rPr>
        <w:t>добит</w:t>
      </w:r>
      <w:r w:rsidR="0040159E" w:rsidRPr="004122E2">
        <w:rPr>
          <w:rFonts w:ascii="Times New Roman" w:hAnsi="Times New Roman"/>
          <w:sz w:val="24"/>
          <w:szCs w:val="24"/>
        </w:rPr>
        <w:t xml:space="preserve"> </w:t>
      </w:r>
      <w:r w:rsidR="005D5E4A" w:rsidRPr="004122E2">
        <w:rPr>
          <w:rFonts w:ascii="Times New Roman" w:hAnsi="Times New Roman"/>
          <w:sz w:val="24"/>
          <w:szCs w:val="24"/>
        </w:rPr>
        <w:t>утврђује</w:t>
      </w:r>
      <w:r w:rsidR="0040159E" w:rsidRPr="004122E2">
        <w:rPr>
          <w:rFonts w:ascii="Times New Roman" w:hAnsi="Times New Roman"/>
          <w:sz w:val="24"/>
          <w:szCs w:val="24"/>
        </w:rPr>
        <w:t xml:space="preserve"> </w:t>
      </w:r>
      <w:r w:rsidR="005D5E4A" w:rsidRPr="004122E2">
        <w:rPr>
          <w:rFonts w:ascii="Times New Roman" w:hAnsi="Times New Roman"/>
          <w:sz w:val="24"/>
          <w:szCs w:val="24"/>
        </w:rPr>
        <w:t>се</w:t>
      </w:r>
      <w:r w:rsidR="0040159E" w:rsidRPr="004122E2">
        <w:rPr>
          <w:rFonts w:ascii="Times New Roman" w:hAnsi="Times New Roman"/>
          <w:sz w:val="24"/>
          <w:szCs w:val="24"/>
        </w:rPr>
        <w:t xml:space="preserve"> </w:t>
      </w:r>
      <w:r w:rsidR="005D5E4A" w:rsidRPr="004122E2">
        <w:rPr>
          <w:rFonts w:ascii="Times New Roman" w:hAnsi="Times New Roman"/>
          <w:sz w:val="24"/>
          <w:szCs w:val="24"/>
        </w:rPr>
        <w:t>у</w:t>
      </w:r>
      <w:r w:rsidR="0040159E" w:rsidRPr="004122E2">
        <w:rPr>
          <w:rFonts w:ascii="Times New Roman" w:hAnsi="Times New Roman"/>
          <w:sz w:val="24"/>
          <w:szCs w:val="24"/>
        </w:rPr>
        <w:t xml:space="preserve"> </w:t>
      </w:r>
      <w:r w:rsidR="005D5E4A" w:rsidRPr="004122E2">
        <w:rPr>
          <w:rFonts w:ascii="Times New Roman" w:hAnsi="Times New Roman"/>
          <w:sz w:val="24"/>
          <w:szCs w:val="24"/>
        </w:rPr>
        <w:t>пореском</w:t>
      </w:r>
      <w:r w:rsidR="0040159E" w:rsidRPr="004122E2">
        <w:rPr>
          <w:rFonts w:ascii="Times New Roman" w:hAnsi="Times New Roman"/>
          <w:sz w:val="24"/>
          <w:szCs w:val="24"/>
        </w:rPr>
        <w:t xml:space="preserve"> </w:t>
      </w:r>
      <w:r w:rsidR="005D5E4A" w:rsidRPr="004122E2">
        <w:rPr>
          <w:rFonts w:ascii="Times New Roman" w:hAnsi="Times New Roman"/>
          <w:sz w:val="24"/>
          <w:szCs w:val="24"/>
        </w:rPr>
        <w:t>билансу</w:t>
      </w:r>
      <w:r w:rsidR="0040159E" w:rsidRPr="004122E2">
        <w:rPr>
          <w:rFonts w:ascii="Times New Roman" w:hAnsi="Times New Roman"/>
          <w:sz w:val="24"/>
          <w:szCs w:val="24"/>
        </w:rPr>
        <w:t xml:space="preserve"> </w:t>
      </w:r>
      <w:r w:rsidR="005D5E4A" w:rsidRPr="004122E2">
        <w:rPr>
          <w:rFonts w:ascii="Times New Roman" w:hAnsi="Times New Roman"/>
          <w:sz w:val="24"/>
          <w:szCs w:val="24"/>
        </w:rPr>
        <w:t>усклађивањем</w:t>
      </w:r>
      <w:r w:rsidR="0040159E" w:rsidRPr="004122E2">
        <w:rPr>
          <w:rFonts w:ascii="Times New Roman" w:hAnsi="Times New Roman"/>
          <w:sz w:val="24"/>
          <w:szCs w:val="24"/>
        </w:rPr>
        <w:t xml:space="preserve"> </w:t>
      </w:r>
      <w:r w:rsidR="005D5E4A" w:rsidRPr="004122E2">
        <w:rPr>
          <w:rFonts w:ascii="Times New Roman" w:hAnsi="Times New Roman"/>
          <w:sz w:val="24"/>
          <w:szCs w:val="24"/>
        </w:rPr>
        <w:t>добити</w:t>
      </w:r>
      <w:r w:rsidR="0040159E" w:rsidRPr="004122E2">
        <w:rPr>
          <w:rFonts w:ascii="Times New Roman" w:hAnsi="Times New Roman"/>
          <w:sz w:val="24"/>
          <w:szCs w:val="24"/>
        </w:rPr>
        <w:t xml:space="preserve"> </w:t>
      </w:r>
      <w:r w:rsidR="005D5E4A" w:rsidRPr="004122E2">
        <w:rPr>
          <w:rFonts w:ascii="Times New Roman" w:hAnsi="Times New Roman"/>
          <w:sz w:val="24"/>
          <w:szCs w:val="24"/>
        </w:rPr>
        <w:t>исказане</w:t>
      </w:r>
      <w:r w:rsidR="0040159E" w:rsidRPr="004122E2">
        <w:rPr>
          <w:rFonts w:ascii="Times New Roman" w:hAnsi="Times New Roman"/>
          <w:sz w:val="24"/>
          <w:szCs w:val="24"/>
        </w:rPr>
        <w:t xml:space="preserve"> </w:t>
      </w:r>
      <w:r w:rsidR="005D5E4A" w:rsidRPr="004122E2">
        <w:rPr>
          <w:rFonts w:ascii="Times New Roman" w:hAnsi="Times New Roman"/>
          <w:sz w:val="24"/>
          <w:szCs w:val="24"/>
        </w:rPr>
        <w:t>у</w:t>
      </w:r>
      <w:r w:rsidR="0040159E" w:rsidRPr="004122E2">
        <w:rPr>
          <w:rFonts w:ascii="Times New Roman" w:hAnsi="Times New Roman"/>
          <w:sz w:val="24"/>
          <w:szCs w:val="24"/>
        </w:rPr>
        <w:t xml:space="preserve"> </w:t>
      </w:r>
      <w:r w:rsidR="005D5E4A" w:rsidRPr="004122E2">
        <w:rPr>
          <w:rFonts w:ascii="Times New Roman" w:hAnsi="Times New Roman"/>
          <w:sz w:val="24"/>
          <w:szCs w:val="24"/>
        </w:rPr>
        <w:t>билансу</w:t>
      </w:r>
      <w:r w:rsidR="0040159E" w:rsidRPr="004122E2">
        <w:rPr>
          <w:rFonts w:ascii="Times New Roman" w:hAnsi="Times New Roman"/>
          <w:sz w:val="24"/>
          <w:szCs w:val="24"/>
        </w:rPr>
        <w:t xml:space="preserve"> </w:t>
      </w:r>
      <w:r w:rsidR="005D5E4A" w:rsidRPr="004122E2">
        <w:rPr>
          <w:rFonts w:ascii="Times New Roman" w:hAnsi="Times New Roman"/>
          <w:sz w:val="24"/>
          <w:szCs w:val="24"/>
        </w:rPr>
        <w:t>успеха</w:t>
      </w:r>
      <w:r w:rsidR="0040159E" w:rsidRPr="004122E2">
        <w:rPr>
          <w:rFonts w:ascii="Times New Roman" w:hAnsi="Times New Roman"/>
          <w:sz w:val="24"/>
          <w:szCs w:val="24"/>
        </w:rPr>
        <w:t xml:space="preserve">, </w:t>
      </w:r>
      <w:r w:rsidR="005D5E4A" w:rsidRPr="004122E2">
        <w:rPr>
          <w:rFonts w:ascii="Times New Roman" w:hAnsi="Times New Roman"/>
          <w:sz w:val="24"/>
          <w:szCs w:val="24"/>
        </w:rPr>
        <w:t>сачињеном</w:t>
      </w:r>
      <w:r w:rsidR="0040159E" w:rsidRPr="004122E2">
        <w:rPr>
          <w:rFonts w:ascii="Times New Roman" w:hAnsi="Times New Roman"/>
          <w:sz w:val="24"/>
          <w:szCs w:val="24"/>
        </w:rPr>
        <w:t xml:space="preserve"> </w:t>
      </w:r>
      <w:r w:rsidR="005D5E4A" w:rsidRPr="004122E2">
        <w:rPr>
          <w:rFonts w:ascii="Times New Roman" w:hAnsi="Times New Roman"/>
          <w:sz w:val="24"/>
          <w:szCs w:val="24"/>
        </w:rPr>
        <w:t>у</w:t>
      </w:r>
      <w:r w:rsidR="0040159E" w:rsidRPr="004122E2">
        <w:rPr>
          <w:rFonts w:ascii="Times New Roman" w:hAnsi="Times New Roman"/>
          <w:sz w:val="24"/>
          <w:szCs w:val="24"/>
        </w:rPr>
        <w:t xml:space="preserve"> </w:t>
      </w:r>
      <w:r w:rsidR="005D5E4A" w:rsidRPr="004122E2">
        <w:rPr>
          <w:rFonts w:ascii="Times New Roman" w:hAnsi="Times New Roman"/>
          <w:sz w:val="24"/>
          <w:szCs w:val="24"/>
        </w:rPr>
        <w:t>складу</w:t>
      </w:r>
      <w:r w:rsidR="0040159E" w:rsidRPr="004122E2">
        <w:rPr>
          <w:rFonts w:ascii="Times New Roman" w:hAnsi="Times New Roman"/>
          <w:sz w:val="24"/>
          <w:szCs w:val="24"/>
        </w:rPr>
        <w:t xml:space="preserve"> </w:t>
      </w:r>
      <w:r w:rsidR="005D5E4A" w:rsidRPr="004122E2">
        <w:rPr>
          <w:rFonts w:ascii="Times New Roman" w:hAnsi="Times New Roman"/>
          <w:sz w:val="24"/>
          <w:szCs w:val="24"/>
        </w:rPr>
        <w:t>са</w:t>
      </w:r>
      <w:r w:rsidR="0040159E" w:rsidRPr="004122E2">
        <w:rPr>
          <w:rFonts w:ascii="Times New Roman" w:hAnsi="Times New Roman"/>
          <w:sz w:val="24"/>
          <w:szCs w:val="24"/>
        </w:rPr>
        <w:t xml:space="preserve"> </w:t>
      </w:r>
      <w:r w:rsidR="005D5E4A" w:rsidRPr="004122E2">
        <w:rPr>
          <w:rFonts w:ascii="Times New Roman" w:hAnsi="Times New Roman"/>
          <w:sz w:val="24"/>
          <w:szCs w:val="24"/>
        </w:rPr>
        <w:t>прописима</w:t>
      </w:r>
      <w:r w:rsidR="0040159E" w:rsidRPr="004122E2">
        <w:rPr>
          <w:rFonts w:ascii="Times New Roman" w:hAnsi="Times New Roman"/>
          <w:sz w:val="24"/>
          <w:szCs w:val="24"/>
        </w:rPr>
        <w:t xml:space="preserve"> </w:t>
      </w:r>
      <w:r w:rsidR="005D5E4A" w:rsidRPr="004122E2">
        <w:rPr>
          <w:rFonts w:ascii="Times New Roman" w:hAnsi="Times New Roman"/>
          <w:sz w:val="24"/>
          <w:szCs w:val="24"/>
        </w:rPr>
        <w:t>којима</w:t>
      </w:r>
      <w:r w:rsidR="0040159E" w:rsidRPr="004122E2">
        <w:rPr>
          <w:rFonts w:ascii="Times New Roman" w:hAnsi="Times New Roman"/>
          <w:sz w:val="24"/>
          <w:szCs w:val="24"/>
        </w:rPr>
        <w:t xml:space="preserve"> </w:t>
      </w:r>
      <w:r w:rsidR="005D5E4A" w:rsidRPr="004122E2">
        <w:rPr>
          <w:rFonts w:ascii="Times New Roman" w:hAnsi="Times New Roman"/>
          <w:sz w:val="24"/>
          <w:szCs w:val="24"/>
        </w:rPr>
        <w:t>се</w:t>
      </w:r>
      <w:r w:rsidR="0040159E" w:rsidRPr="004122E2">
        <w:rPr>
          <w:rFonts w:ascii="Times New Roman" w:hAnsi="Times New Roman"/>
          <w:sz w:val="24"/>
          <w:szCs w:val="24"/>
        </w:rPr>
        <w:t xml:space="preserve"> </w:t>
      </w:r>
      <w:r w:rsidR="005D5E4A" w:rsidRPr="004122E2">
        <w:rPr>
          <w:rFonts w:ascii="Times New Roman" w:hAnsi="Times New Roman"/>
          <w:sz w:val="24"/>
          <w:szCs w:val="24"/>
        </w:rPr>
        <w:t>уређује</w:t>
      </w:r>
      <w:r w:rsidR="0040159E" w:rsidRPr="004122E2">
        <w:rPr>
          <w:rFonts w:ascii="Times New Roman" w:hAnsi="Times New Roman"/>
          <w:sz w:val="24"/>
          <w:szCs w:val="24"/>
        </w:rPr>
        <w:t xml:space="preserve"> </w:t>
      </w:r>
      <w:r w:rsidR="005D5E4A" w:rsidRPr="004122E2">
        <w:rPr>
          <w:rFonts w:ascii="Times New Roman" w:hAnsi="Times New Roman"/>
          <w:sz w:val="24"/>
          <w:szCs w:val="24"/>
        </w:rPr>
        <w:t>рачуноводство</w:t>
      </w:r>
      <w:r w:rsidR="0040159E" w:rsidRPr="004122E2">
        <w:rPr>
          <w:rFonts w:ascii="Times New Roman" w:hAnsi="Times New Roman"/>
          <w:sz w:val="24"/>
          <w:szCs w:val="24"/>
        </w:rPr>
        <w:t xml:space="preserve"> </w:t>
      </w:r>
      <w:r w:rsidR="005D5E4A" w:rsidRPr="004122E2">
        <w:rPr>
          <w:rFonts w:ascii="Times New Roman" w:hAnsi="Times New Roman"/>
          <w:sz w:val="24"/>
          <w:szCs w:val="24"/>
        </w:rPr>
        <w:t>и</w:t>
      </w:r>
      <w:r w:rsidR="0040159E" w:rsidRPr="004122E2">
        <w:rPr>
          <w:rFonts w:ascii="Times New Roman" w:hAnsi="Times New Roman"/>
          <w:sz w:val="24"/>
          <w:szCs w:val="24"/>
        </w:rPr>
        <w:t xml:space="preserve"> </w:t>
      </w:r>
      <w:r w:rsidR="005D5E4A" w:rsidRPr="004122E2">
        <w:rPr>
          <w:rFonts w:ascii="Times New Roman" w:hAnsi="Times New Roman"/>
          <w:sz w:val="24"/>
          <w:szCs w:val="24"/>
        </w:rPr>
        <w:t>ревизија</w:t>
      </w:r>
      <w:r w:rsidR="0040159E" w:rsidRPr="004122E2">
        <w:rPr>
          <w:rFonts w:ascii="Times New Roman" w:hAnsi="Times New Roman"/>
          <w:sz w:val="24"/>
          <w:szCs w:val="24"/>
        </w:rPr>
        <w:t xml:space="preserve"> </w:t>
      </w:r>
      <w:r w:rsidR="005D5E4A" w:rsidRPr="004122E2">
        <w:rPr>
          <w:rFonts w:ascii="Times New Roman" w:hAnsi="Times New Roman"/>
          <w:sz w:val="24"/>
          <w:szCs w:val="24"/>
        </w:rPr>
        <w:t>ако</w:t>
      </w:r>
      <w:r w:rsidR="0040159E" w:rsidRPr="004122E2">
        <w:rPr>
          <w:rFonts w:ascii="Times New Roman" w:hAnsi="Times New Roman"/>
          <w:sz w:val="24"/>
          <w:szCs w:val="24"/>
        </w:rPr>
        <w:t xml:space="preserve"> </w:t>
      </w:r>
      <w:r w:rsidR="005D5E4A" w:rsidRPr="004122E2">
        <w:rPr>
          <w:rFonts w:ascii="Times New Roman" w:hAnsi="Times New Roman"/>
          <w:sz w:val="24"/>
          <w:szCs w:val="24"/>
        </w:rPr>
        <w:t>предузетник</w:t>
      </w:r>
      <w:r w:rsidR="0040159E" w:rsidRPr="004122E2">
        <w:rPr>
          <w:rFonts w:ascii="Times New Roman" w:hAnsi="Times New Roman"/>
          <w:sz w:val="24"/>
          <w:szCs w:val="24"/>
        </w:rPr>
        <w:t xml:space="preserve"> </w:t>
      </w:r>
      <w:r w:rsidR="005D5E4A" w:rsidRPr="004122E2">
        <w:rPr>
          <w:rFonts w:ascii="Times New Roman" w:hAnsi="Times New Roman"/>
          <w:sz w:val="24"/>
          <w:szCs w:val="24"/>
        </w:rPr>
        <w:t>води</w:t>
      </w:r>
      <w:r w:rsidR="0040159E" w:rsidRPr="004122E2">
        <w:rPr>
          <w:rFonts w:ascii="Times New Roman" w:hAnsi="Times New Roman"/>
          <w:sz w:val="24"/>
          <w:szCs w:val="24"/>
        </w:rPr>
        <w:t xml:space="preserve"> </w:t>
      </w:r>
      <w:r w:rsidR="005D5E4A" w:rsidRPr="004122E2">
        <w:rPr>
          <w:rFonts w:ascii="Times New Roman" w:hAnsi="Times New Roman"/>
          <w:sz w:val="24"/>
          <w:szCs w:val="24"/>
        </w:rPr>
        <w:t>двојно</w:t>
      </w:r>
      <w:r w:rsidR="0040159E" w:rsidRPr="004122E2">
        <w:rPr>
          <w:rFonts w:ascii="Times New Roman" w:hAnsi="Times New Roman"/>
          <w:sz w:val="24"/>
          <w:szCs w:val="24"/>
        </w:rPr>
        <w:t xml:space="preserve"> </w:t>
      </w:r>
      <w:r w:rsidR="005D5E4A" w:rsidRPr="004122E2">
        <w:rPr>
          <w:rFonts w:ascii="Times New Roman" w:hAnsi="Times New Roman"/>
          <w:sz w:val="24"/>
          <w:szCs w:val="24"/>
        </w:rPr>
        <w:t>књиговодство</w:t>
      </w:r>
      <w:r w:rsidR="0040159E" w:rsidRPr="004122E2">
        <w:rPr>
          <w:rFonts w:ascii="Times New Roman" w:hAnsi="Times New Roman"/>
          <w:sz w:val="24"/>
          <w:szCs w:val="24"/>
        </w:rPr>
        <w:t xml:space="preserve">, </w:t>
      </w:r>
      <w:r w:rsidR="005D5E4A" w:rsidRPr="004122E2">
        <w:rPr>
          <w:rFonts w:ascii="Times New Roman" w:hAnsi="Times New Roman"/>
          <w:sz w:val="24"/>
          <w:szCs w:val="24"/>
        </w:rPr>
        <w:t>односно</w:t>
      </w:r>
      <w:r w:rsidR="0040159E" w:rsidRPr="004122E2">
        <w:rPr>
          <w:rFonts w:ascii="Times New Roman" w:hAnsi="Times New Roman"/>
          <w:sz w:val="24"/>
          <w:szCs w:val="24"/>
        </w:rPr>
        <w:t xml:space="preserve"> </w:t>
      </w:r>
      <w:r w:rsidR="005D5E4A" w:rsidRPr="004122E2">
        <w:rPr>
          <w:rFonts w:ascii="Times New Roman" w:hAnsi="Times New Roman"/>
          <w:sz w:val="24"/>
          <w:szCs w:val="24"/>
        </w:rPr>
        <w:t>у</w:t>
      </w:r>
      <w:r w:rsidR="0040159E" w:rsidRPr="004122E2">
        <w:rPr>
          <w:rFonts w:ascii="Times New Roman" w:hAnsi="Times New Roman"/>
          <w:sz w:val="24"/>
          <w:szCs w:val="24"/>
        </w:rPr>
        <w:t xml:space="preserve"> </w:t>
      </w:r>
      <w:r w:rsidR="005D5E4A" w:rsidRPr="004122E2">
        <w:rPr>
          <w:rFonts w:ascii="Times New Roman" w:hAnsi="Times New Roman"/>
          <w:sz w:val="24"/>
          <w:szCs w:val="24"/>
        </w:rPr>
        <w:t>складу</w:t>
      </w:r>
      <w:r w:rsidR="0040159E" w:rsidRPr="004122E2">
        <w:rPr>
          <w:rFonts w:ascii="Times New Roman" w:hAnsi="Times New Roman"/>
          <w:sz w:val="24"/>
          <w:szCs w:val="24"/>
        </w:rPr>
        <w:t xml:space="preserve"> </w:t>
      </w:r>
      <w:r w:rsidR="005D5E4A" w:rsidRPr="004122E2">
        <w:rPr>
          <w:rFonts w:ascii="Times New Roman" w:hAnsi="Times New Roman"/>
          <w:sz w:val="24"/>
          <w:szCs w:val="24"/>
        </w:rPr>
        <w:t>са</w:t>
      </w:r>
      <w:r w:rsidR="0040159E" w:rsidRPr="004122E2">
        <w:rPr>
          <w:rFonts w:ascii="Times New Roman" w:hAnsi="Times New Roman"/>
          <w:sz w:val="24"/>
          <w:szCs w:val="24"/>
        </w:rPr>
        <w:t xml:space="preserve"> </w:t>
      </w:r>
      <w:r w:rsidR="0040159E" w:rsidRPr="004122E2">
        <w:rPr>
          <w:rFonts w:ascii="Times New Roman" w:hAnsi="Times New Roman"/>
          <w:sz w:val="24"/>
          <w:szCs w:val="24"/>
          <w:lang w:val="sr-Cyrl-CS"/>
        </w:rPr>
        <w:t xml:space="preserve">Правилником о пословним  књигама и исказивању финсијског резултата по систему простог књиговодства, </w:t>
      </w:r>
      <w:r w:rsidR="005D5E4A" w:rsidRPr="004122E2">
        <w:rPr>
          <w:rFonts w:ascii="Times New Roman" w:hAnsi="Times New Roman"/>
          <w:sz w:val="24"/>
          <w:szCs w:val="24"/>
        </w:rPr>
        <w:t>ако</w:t>
      </w:r>
      <w:r w:rsidR="0040159E" w:rsidRPr="004122E2">
        <w:rPr>
          <w:rFonts w:ascii="Times New Roman" w:hAnsi="Times New Roman"/>
          <w:sz w:val="24"/>
          <w:szCs w:val="24"/>
        </w:rPr>
        <w:t xml:space="preserve"> </w:t>
      </w:r>
      <w:r w:rsidR="005D5E4A" w:rsidRPr="004122E2">
        <w:rPr>
          <w:rFonts w:ascii="Times New Roman" w:hAnsi="Times New Roman"/>
          <w:sz w:val="24"/>
          <w:szCs w:val="24"/>
        </w:rPr>
        <w:t>предузетник</w:t>
      </w:r>
      <w:r w:rsidR="0040159E" w:rsidRPr="004122E2">
        <w:rPr>
          <w:rFonts w:ascii="Times New Roman" w:hAnsi="Times New Roman"/>
          <w:sz w:val="24"/>
          <w:szCs w:val="24"/>
        </w:rPr>
        <w:t xml:space="preserve"> </w:t>
      </w:r>
      <w:r w:rsidR="005D5E4A" w:rsidRPr="004122E2">
        <w:rPr>
          <w:rFonts w:ascii="Times New Roman" w:hAnsi="Times New Roman"/>
          <w:sz w:val="24"/>
          <w:szCs w:val="24"/>
        </w:rPr>
        <w:t>води</w:t>
      </w:r>
      <w:r w:rsidR="0040159E" w:rsidRPr="004122E2">
        <w:rPr>
          <w:rFonts w:ascii="Times New Roman" w:hAnsi="Times New Roman"/>
          <w:sz w:val="24"/>
          <w:szCs w:val="24"/>
        </w:rPr>
        <w:t xml:space="preserve"> </w:t>
      </w:r>
      <w:r w:rsidR="005D5E4A" w:rsidRPr="004122E2">
        <w:rPr>
          <w:rFonts w:ascii="Times New Roman" w:hAnsi="Times New Roman"/>
          <w:sz w:val="24"/>
          <w:szCs w:val="24"/>
        </w:rPr>
        <w:t>просто</w:t>
      </w:r>
      <w:r w:rsidR="0040159E" w:rsidRPr="004122E2">
        <w:rPr>
          <w:rFonts w:ascii="Times New Roman" w:hAnsi="Times New Roman"/>
          <w:sz w:val="24"/>
          <w:szCs w:val="24"/>
        </w:rPr>
        <w:t xml:space="preserve"> </w:t>
      </w:r>
      <w:r w:rsidR="005D5E4A" w:rsidRPr="004122E2">
        <w:rPr>
          <w:rFonts w:ascii="Times New Roman" w:hAnsi="Times New Roman"/>
          <w:sz w:val="24"/>
          <w:szCs w:val="24"/>
        </w:rPr>
        <w:t>књиговодство</w:t>
      </w:r>
      <w:r w:rsidR="0040159E" w:rsidRPr="004122E2">
        <w:rPr>
          <w:rFonts w:ascii="Times New Roman" w:hAnsi="Times New Roman"/>
          <w:sz w:val="24"/>
          <w:szCs w:val="24"/>
        </w:rPr>
        <w:t>.</w:t>
      </w:r>
      <w:r w:rsidR="0040159E" w:rsidRPr="004122E2">
        <w:rPr>
          <w:rFonts w:ascii="Times New Roman" w:hAnsi="Times New Roman"/>
          <w:sz w:val="24"/>
          <w:szCs w:val="24"/>
          <w:lang w:val="sr-Cyrl-CS"/>
        </w:rPr>
        <w:t xml:space="preserve"> </w:t>
      </w:r>
      <w:r w:rsidR="0040159E" w:rsidRPr="004122E2">
        <w:rPr>
          <w:rStyle w:val="FootnoteReference"/>
          <w:rFonts w:ascii="Times New Roman" w:hAnsi="Times New Roman"/>
          <w:color w:val="000000"/>
          <w:sz w:val="24"/>
          <w:szCs w:val="24"/>
          <w:lang w:val="sr-Cyrl-CS"/>
        </w:rPr>
        <w:footnoteReference w:id="456"/>
      </w:r>
    </w:p>
    <w:p w:rsidR="008832B3" w:rsidRPr="004122E2" w:rsidRDefault="005D5E4A" w:rsidP="004122E2">
      <w:pPr>
        <w:ind w:firstLine="708"/>
        <w:jc w:val="both"/>
        <w:rPr>
          <w:rFonts w:ascii="Times New Roman" w:hAnsi="Times New Roman"/>
          <w:sz w:val="24"/>
          <w:szCs w:val="24"/>
          <w:lang w:val="sr-Cyrl-CS"/>
        </w:rPr>
      </w:pPr>
      <w:r w:rsidRPr="004122E2">
        <w:rPr>
          <w:rFonts w:ascii="Times New Roman" w:hAnsi="Times New Roman"/>
          <w:sz w:val="24"/>
          <w:szCs w:val="24"/>
        </w:rPr>
        <w:t>Предузетницима</w:t>
      </w:r>
      <w:r w:rsidR="008832B3" w:rsidRPr="004122E2">
        <w:rPr>
          <w:rFonts w:ascii="Times New Roman" w:hAnsi="Times New Roman"/>
          <w:sz w:val="24"/>
          <w:szCs w:val="24"/>
        </w:rPr>
        <w:t xml:space="preserve"> </w:t>
      </w:r>
      <w:r w:rsidRPr="004122E2">
        <w:rPr>
          <w:rFonts w:ascii="Times New Roman" w:hAnsi="Times New Roman"/>
          <w:sz w:val="24"/>
          <w:szCs w:val="24"/>
        </w:rPr>
        <w:t>се</w:t>
      </w:r>
      <w:r w:rsidR="008832B3" w:rsidRPr="004122E2">
        <w:rPr>
          <w:rFonts w:ascii="Times New Roman" w:hAnsi="Times New Roman"/>
          <w:sz w:val="24"/>
          <w:szCs w:val="24"/>
        </w:rPr>
        <w:t xml:space="preserve"> </w:t>
      </w:r>
      <w:r w:rsidRPr="004122E2">
        <w:rPr>
          <w:rFonts w:ascii="Times New Roman" w:hAnsi="Times New Roman"/>
          <w:sz w:val="24"/>
          <w:szCs w:val="24"/>
        </w:rPr>
        <w:t>у</w:t>
      </w:r>
      <w:r w:rsidR="008832B3" w:rsidRPr="004122E2">
        <w:rPr>
          <w:rFonts w:ascii="Times New Roman" w:hAnsi="Times New Roman"/>
          <w:sz w:val="24"/>
          <w:szCs w:val="24"/>
        </w:rPr>
        <w:t xml:space="preserve"> </w:t>
      </w:r>
      <w:r w:rsidRPr="004122E2">
        <w:rPr>
          <w:rFonts w:ascii="Times New Roman" w:hAnsi="Times New Roman"/>
          <w:sz w:val="24"/>
          <w:szCs w:val="24"/>
        </w:rPr>
        <w:t>расходе</w:t>
      </w:r>
      <w:r w:rsidR="008832B3" w:rsidRPr="004122E2">
        <w:rPr>
          <w:rFonts w:ascii="Times New Roman" w:hAnsi="Times New Roman"/>
          <w:sz w:val="24"/>
          <w:szCs w:val="24"/>
        </w:rPr>
        <w:t xml:space="preserve"> </w:t>
      </w:r>
      <w:r w:rsidRPr="004122E2">
        <w:rPr>
          <w:rFonts w:ascii="Times New Roman" w:hAnsi="Times New Roman"/>
          <w:sz w:val="24"/>
          <w:szCs w:val="24"/>
        </w:rPr>
        <w:t>у</w:t>
      </w:r>
      <w:r w:rsidR="008832B3" w:rsidRPr="004122E2">
        <w:rPr>
          <w:rFonts w:ascii="Times New Roman" w:hAnsi="Times New Roman"/>
          <w:sz w:val="24"/>
          <w:szCs w:val="24"/>
        </w:rPr>
        <w:t xml:space="preserve"> </w:t>
      </w:r>
      <w:r w:rsidRPr="004122E2">
        <w:rPr>
          <w:rFonts w:ascii="Times New Roman" w:hAnsi="Times New Roman"/>
          <w:sz w:val="24"/>
          <w:szCs w:val="24"/>
        </w:rPr>
        <w:t>пореском</w:t>
      </w:r>
      <w:r w:rsidR="008832B3" w:rsidRPr="004122E2">
        <w:rPr>
          <w:rFonts w:ascii="Times New Roman" w:hAnsi="Times New Roman"/>
          <w:sz w:val="24"/>
          <w:szCs w:val="24"/>
        </w:rPr>
        <w:t xml:space="preserve"> </w:t>
      </w:r>
      <w:r w:rsidRPr="004122E2">
        <w:rPr>
          <w:rFonts w:ascii="Times New Roman" w:hAnsi="Times New Roman"/>
          <w:sz w:val="24"/>
          <w:szCs w:val="24"/>
        </w:rPr>
        <w:t>билансу</w:t>
      </w:r>
      <w:r w:rsidR="008832B3" w:rsidRPr="004122E2">
        <w:rPr>
          <w:rFonts w:ascii="Times New Roman" w:hAnsi="Times New Roman"/>
          <w:sz w:val="24"/>
          <w:szCs w:val="24"/>
        </w:rPr>
        <w:t xml:space="preserve"> </w:t>
      </w:r>
      <w:r w:rsidRPr="004122E2">
        <w:rPr>
          <w:rFonts w:ascii="Times New Roman" w:hAnsi="Times New Roman"/>
          <w:sz w:val="24"/>
          <w:szCs w:val="24"/>
        </w:rPr>
        <w:t>признају</w:t>
      </w:r>
      <w:r w:rsidR="008832B3" w:rsidRPr="004122E2">
        <w:rPr>
          <w:rFonts w:ascii="Times New Roman" w:hAnsi="Times New Roman"/>
          <w:sz w:val="24"/>
          <w:szCs w:val="24"/>
        </w:rPr>
        <w:t>:</w:t>
      </w:r>
      <w:r w:rsidR="0040159E" w:rsidRPr="004122E2">
        <w:rPr>
          <w:rFonts w:ascii="Times New Roman" w:hAnsi="Times New Roman"/>
          <w:sz w:val="24"/>
          <w:szCs w:val="24"/>
          <w:lang w:val="sr-Cyrl-CS"/>
        </w:rPr>
        <w:t xml:space="preserve"> </w:t>
      </w:r>
      <w:r w:rsidR="008832B3" w:rsidRPr="004122E2">
        <w:rPr>
          <w:rFonts w:ascii="Times New Roman" w:hAnsi="Times New Roman"/>
          <w:sz w:val="24"/>
          <w:szCs w:val="24"/>
        </w:rPr>
        <w:t xml:space="preserve"> </w:t>
      </w:r>
      <w:r w:rsidRPr="004122E2">
        <w:rPr>
          <w:rFonts w:ascii="Times New Roman" w:hAnsi="Times New Roman"/>
          <w:sz w:val="24"/>
          <w:szCs w:val="24"/>
        </w:rPr>
        <w:t>исплаћена</w:t>
      </w:r>
      <w:r w:rsidR="0040159E" w:rsidRPr="004122E2">
        <w:rPr>
          <w:rFonts w:ascii="Times New Roman" w:hAnsi="Times New Roman"/>
          <w:sz w:val="24"/>
          <w:szCs w:val="24"/>
        </w:rPr>
        <w:t xml:space="preserve"> </w:t>
      </w:r>
      <w:r w:rsidRPr="004122E2">
        <w:rPr>
          <w:rFonts w:ascii="Times New Roman" w:hAnsi="Times New Roman"/>
          <w:sz w:val="24"/>
          <w:szCs w:val="24"/>
        </w:rPr>
        <w:t>лична</w:t>
      </w:r>
      <w:r w:rsidR="0040159E" w:rsidRPr="004122E2">
        <w:rPr>
          <w:rFonts w:ascii="Times New Roman" w:hAnsi="Times New Roman"/>
          <w:sz w:val="24"/>
          <w:szCs w:val="24"/>
        </w:rPr>
        <w:t xml:space="preserve"> </w:t>
      </w:r>
      <w:r w:rsidRPr="004122E2">
        <w:rPr>
          <w:rFonts w:ascii="Times New Roman" w:hAnsi="Times New Roman"/>
          <w:sz w:val="24"/>
          <w:szCs w:val="24"/>
        </w:rPr>
        <w:t>зарада</w:t>
      </w:r>
      <w:r w:rsidR="0040159E" w:rsidRPr="004122E2">
        <w:rPr>
          <w:rFonts w:ascii="Times New Roman" w:hAnsi="Times New Roman"/>
          <w:sz w:val="24"/>
          <w:szCs w:val="24"/>
        </w:rPr>
        <w:t xml:space="preserve"> </w:t>
      </w:r>
      <w:r w:rsidRPr="004122E2">
        <w:rPr>
          <w:rFonts w:ascii="Times New Roman" w:hAnsi="Times New Roman"/>
          <w:sz w:val="24"/>
          <w:szCs w:val="24"/>
        </w:rPr>
        <w:t>предузетника</w:t>
      </w:r>
      <w:r w:rsidR="0040159E" w:rsidRPr="004122E2">
        <w:rPr>
          <w:rFonts w:ascii="Times New Roman" w:hAnsi="Times New Roman"/>
          <w:sz w:val="24"/>
          <w:szCs w:val="24"/>
          <w:lang w:val="sr-Cyrl-CS"/>
        </w:rPr>
        <w:t xml:space="preserve"> и</w:t>
      </w:r>
      <w:r w:rsidR="008832B3" w:rsidRPr="004122E2">
        <w:rPr>
          <w:rFonts w:ascii="Times New Roman" w:hAnsi="Times New Roman"/>
          <w:sz w:val="24"/>
          <w:szCs w:val="24"/>
        </w:rPr>
        <w:t xml:space="preserve"> </w:t>
      </w:r>
      <w:r w:rsidRPr="004122E2">
        <w:rPr>
          <w:rFonts w:ascii="Times New Roman" w:hAnsi="Times New Roman"/>
          <w:sz w:val="24"/>
          <w:szCs w:val="24"/>
        </w:rPr>
        <w:t>трошкови</w:t>
      </w:r>
      <w:r w:rsidR="008832B3" w:rsidRPr="004122E2">
        <w:rPr>
          <w:rFonts w:ascii="Times New Roman" w:hAnsi="Times New Roman"/>
          <w:sz w:val="24"/>
          <w:szCs w:val="24"/>
        </w:rPr>
        <w:t xml:space="preserve"> </w:t>
      </w:r>
      <w:r w:rsidRPr="004122E2">
        <w:rPr>
          <w:rFonts w:ascii="Times New Roman" w:hAnsi="Times New Roman"/>
          <w:sz w:val="24"/>
          <w:szCs w:val="24"/>
        </w:rPr>
        <w:t>службеног</w:t>
      </w:r>
      <w:r w:rsidR="008832B3" w:rsidRPr="004122E2">
        <w:rPr>
          <w:rFonts w:ascii="Times New Roman" w:hAnsi="Times New Roman"/>
          <w:sz w:val="24"/>
          <w:szCs w:val="24"/>
        </w:rPr>
        <w:t xml:space="preserve"> </w:t>
      </w:r>
      <w:r w:rsidRPr="004122E2">
        <w:rPr>
          <w:rFonts w:ascii="Times New Roman" w:hAnsi="Times New Roman"/>
          <w:sz w:val="24"/>
          <w:szCs w:val="24"/>
        </w:rPr>
        <w:t>путовања</w:t>
      </w:r>
      <w:r w:rsidR="008832B3" w:rsidRPr="004122E2">
        <w:rPr>
          <w:rFonts w:ascii="Times New Roman" w:hAnsi="Times New Roman"/>
          <w:sz w:val="24"/>
          <w:szCs w:val="24"/>
        </w:rPr>
        <w:t xml:space="preserve"> </w:t>
      </w:r>
      <w:r w:rsidRPr="004122E2">
        <w:rPr>
          <w:rFonts w:ascii="Times New Roman" w:hAnsi="Times New Roman"/>
          <w:sz w:val="24"/>
          <w:szCs w:val="24"/>
        </w:rPr>
        <w:t>до</w:t>
      </w:r>
      <w:r w:rsidR="008832B3" w:rsidRPr="004122E2">
        <w:rPr>
          <w:rFonts w:ascii="Times New Roman" w:hAnsi="Times New Roman"/>
          <w:sz w:val="24"/>
          <w:szCs w:val="24"/>
        </w:rPr>
        <w:t xml:space="preserve"> </w:t>
      </w:r>
      <w:r w:rsidR="0040159E" w:rsidRPr="004122E2">
        <w:rPr>
          <w:rFonts w:ascii="Times New Roman" w:hAnsi="Times New Roman"/>
          <w:sz w:val="24"/>
          <w:szCs w:val="24"/>
          <w:lang w:val="sr-Cyrl-CS"/>
        </w:rPr>
        <w:t xml:space="preserve">прописаног </w:t>
      </w:r>
      <w:r w:rsidRPr="004122E2">
        <w:rPr>
          <w:rFonts w:ascii="Times New Roman" w:hAnsi="Times New Roman"/>
          <w:sz w:val="24"/>
          <w:szCs w:val="24"/>
        </w:rPr>
        <w:t>износа</w:t>
      </w:r>
      <w:r w:rsidR="0040159E" w:rsidRPr="004122E2">
        <w:rPr>
          <w:rFonts w:ascii="Times New Roman" w:hAnsi="Times New Roman"/>
          <w:sz w:val="24"/>
          <w:szCs w:val="24"/>
        </w:rPr>
        <w:t xml:space="preserve"> </w:t>
      </w:r>
      <w:r w:rsidR="0040159E" w:rsidRPr="004122E2">
        <w:rPr>
          <w:rFonts w:ascii="Times New Roman" w:hAnsi="Times New Roman"/>
          <w:sz w:val="24"/>
          <w:szCs w:val="24"/>
          <w:lang w:val="sr-Cyrl-CS"/>
        </w:rPr>
        <w:t>у ЗПДГ</w:t>
      </w:r>
      <w:r w:rsidR="008832B3" w:rsidRPr="004122E2">
        <w:rPr>
          <w:rFonts w:ascii="Times New Roman" w:hAnsi="Times New Roman"/>
          <w:sz w:val="24"/>
          <w:szCs w:val="24"/>
        </w:rPr>
        <w:t>.</w:t>
      </w:r>
      <w:r w:rsidR="0040159E" w:rsidRPr="004122E2">
        <w:rPr>
          <w:rFonts w:ascii="Times New Roman" w:hAnsi="Times New Roman"/>
          <w:sz w:val="24"/>
          <w:szCs w:val="24"/>
          <w:lang w:val="sr-Cyrl-CS"/>
        </w:rPr>
        <w:t xml:space="preserve"> </w:t>
      </w:r>
      <w:r w:rsidRPr="004122E2">
        <w:rPr>
          <w:rFonts w:ascii="Times New Roman" w:hAnsi="Times New Roman"/>
          <w:sz w:val="24"/>
          <w:szCs w:val="24"/>
        </w:rPr>
        <w:t>Под</w:t>
      </w:r>
      <w:r w:rsidR="008832B3" w:rsidRPr="004122E2">
        <w:rPr>
          <w:rFonts w:ascii="Times New Roman" w:hAnsi="Times New Roman"/>
          <w:sz w:val="24"/>
          <w:szCs w:val="24"/>
        </w:rPr>
        <w:t xml:space="preserve"> </w:t>
      </w:r>
      <w:r w:rsidRPr="004122E2">
        <w:rPr>
          <w:rFonts w:ascii="Times New Roman" w:hAnsi="Times New Roman"/>
          <w:sz w:val="24"/>
          <w:szCs w:val="24"/>
        </w:rPr>
        <w:t>исплаћеном</w:t>
      </w:r>
      <w:r w:rsidR="008832B3" w:rsidRPr="004122E2">
        <w:rPr>
          <w:rFonts w:ascii="Times New Roman" w:hAnsi="Times New Roman"/>
          <w:sz w:val="24"/>
          <w:szCs w:val="24"/>
        </w:rPr>
        <w:t xml:space="preserve"> </w:t>
      </w:r>
      <w:r w:rsidRPr="004122E2">
        <w:rPr>
          <w:rFonts w:ascii="Times New Roman" w:hAnsi="Times New Roman"/>
          <w:sz w:val="24"/>
          <w:szCs w:val="24"/>
        </w:rPr>
        <w:t>личном</w:t>
      </w:r>
      <w:r w:rsidR="008832B3" w:rsidRPr="004122E2">
        <w:rPr>
          <w:rFonts w:ascii="Times New Roman" w:hAnsi="Times New Roman"/>
          <w:sz w:val="24"/>
          <w:szCs w:val="24"/>
        </w:rPr>
        <w:t xml:space="preserve"> </w:t>
      </w:r>
      <w:r w:rsidRPr="004122E2">
        <w:rPr>
          <w:rFonts w:ascii="Times New Roman" w:hAnsi="Times New Roman"/>
          <w:sz w:val="24"/>
          <w:szCs w:val="24"/>
        </w:rPr>
        <w:t>зарадом</w:t>
      </w:r>
      <w:r w:rsidR="008832B3" w:rsidRPr="004122E2">
        <w:rPr>
          <w:rFonts w:ascii="Times New Roman" w:hAnsi="Times New Roman"/>
          <w:sz w:val="24"/>
          <w:szCs w:val="24"/>
        </w:rPr>
        <w:t xml:space="preserve"> </w:t>
      </w:r>
      <w:r w:rsidRPr="004122E2">
        <w:rPr>
          <w:rFonts w:ascii="Times New Roman" w:hAnsi="Times New Roman"/>
          <w:sz w:val="24"/>
          <w:szCs w:val="24"/>
        </w:rPr>
        <w:t>предузетника</w:t>
      </w:r>
      <w:r w:rsidR="008832B3" w:rsidRPr="004122E2">
        <w:rPr>
          <w:rFonts w:ascii="Times New Roman" w:hAnsi="Times New Roman"/>
          <w:sz w:val="24"/>
          <w:szCs w:val="24"/>
        </w:rPr>
        <w:t xml:space="preserve"> </w:t>
      </w:r>
      <w:r w:rsidRPr="004122E2">
        <w:rPr>
          <w:rFonts w:ascii="Times New Roman" w:hAnsi="Times New Roman"/>
          <w:sz w:val="24"/>
          <w:szCs w:val="24"/>
        </w:rPr>
        <w:t>у</w:t>
      </w:r>
      <w:r w:rsidR="008832B3" w:rsidRPr="004122E2">
        <w:rPr>
          <w:rFonts w:ascii="Times New Roman" w:hAnsi="Times New Roman"/>
          <w:sz w:val="24"/>
          <w:szCs w:val="24"/>
        </w:rPr>
        <w:t xml:space="preserve"> </w:t>
      </w:r>
      <w:r w:rsidRPr="004122E2">
        <w:rPr>
          <w:rFonts w:ascii="Times New Roman" w:hAnsi="Times New Roman"/>
          <w:sz w:val="24"/>
          <w:szCs w:val="24"/>
        </w:rPr>
        <w:t>смислу</w:t>
      </w:r>
      <w:r w:rsidR="008832B3" w:rsidRPr="004122E2">
        <w:rPr>
          <w:rFonts w:ascii="Times New Roman" w:hAnsi="Times New Roman"/>
          <w:sz w:val="24"/>
          <w:szCs w:val="24"/>
        </w:rPr>
        <w:t xml:space="preserve"> </w:t>
      </w:r>
      <w:r w:rsidRPr="004122E2">
        <w:rPr>
          <w:rFonts w:ascii="Times New Roman" w:hAnsi="Times New Roman"/>
          <w:sz w:val="24"/>
          <w:szCs w:val="24"/>
        </w:rPr>
        <w:t>овог</w:t>
      </w:r>
      <w:r w:rsidR="008832B3" w:rsidRPr="004122E2">
        <w:rPr>
          <w:rFonts w:ascii="Times New Roman" w:hAnsi="Times New Roman"/>
          <w:sz w:val="24"/>
          <w:szCs w:val="24"/>
        </w:rPr>
        <w:t xml:space="preserve"> </w:t>
      </w:r>
      <w:r w:rsidRPr="004122E2">
        <w:rPr>
          <w:rFonts w:ascii="Times New Roman" w:hAnsi="Times New Roman"/>
          <w:sz w:val="24"/>
          <w:szCs w:val="24"/>
        </w:rPr>
        <w:t>закона</w:t>
      </w:r>
      <w:r w:rsidR="008832B3" w:rsidRPr="004122E2">
        <w:rPr>
          <w:rFonts w:ascii="Times New Roman" w:hAnsi="Times New Roman"/>
          <w:sz w:val="24"/>
          <w:szCs w:val="24"/>
        </w:rPr>
        <w:t xml:space="preserve"> </w:t>
      </w:r>
      <w:r w:rsidRPr="004122E2">
        <w:rPr>
          <w:rFonts w:ascii="Times New Roman" w:hAnsi="Times New Roman"/>
          <w:sz w:val="24"/>
          <w:szCs w:val="24"/>
        </w:rPr>
        <w:t>сматра</w:t>
      </w:r>
      <w:r w:rsidR="008832B3" w:rsidRPr="004122E2">
        <w:rPr>
          <w:rFonts w:ascii="Times New Roman" w:hAnsi="Times New Roman"/>
          <w:sz w:val="24"/>
          <w:szCs w:val="24"/>
        </w:rPr>
        <w:t xml:space="preserve"> </w:t>
      </w:r>
      <w:r w:rsidRPr="004122E2">
        <w:rPr>
          <w:rFonts w:ascii="Times New Roman" w:hAnsi="Times New Roman"/>
          <w:sz w:val="24"/>
          <w:szCs w:val="24"/>
        </w:rPr>
        <w:t>се</w:t>
      </w:r>
      <w:r w:rsidR="008832B3" w:rsidRPr="004122E2">
        <w:rPr>
          <w:rFonts w:ascii="Times New Roman" w:hAnsi="Times New Roman"/>
          <w:sz w:val="24"/>
          <w:szCs w:val="24"/>
        </w:rPr>
        <w:t xml:space="preserve"> </w:t>
      </w:r>
      <w:r w:rsidRPr="004122E2">
        <w:rPr>
          <w:rFonts w:ascii="Times New Roman" w:hAnsi="Times New Roman"/>
          <w:sz w:val="24"/>
          <w:szCs w:val="24"/>
        </w:rPr>
        <w:t>новчани</w:t>
      </w:r>
      <w:r w:rsidR="008832B3" w:rsidRPr="004122E2">
        <w:rPr>
          <w:rFonts w:ascii="Times New Roman" w:hAnsi="Times New Roman"/>
          <w:sz w:val="24"/>
          <w:szCs w:val="24"/>
        </w:rPr>
        <w:t xml:space="preserve"> </w:t>
      </w:r>
      <w:r w:rsidRPr="004122E2">
        <w:rPr>
          <w:rFonts w:ascii="Times New Roman" w:hAnsi="Times New Roman"/>
          <w:sz w:val="24"/>
          <w:szCs w:val="24"/>
        </w:rPr>
        <w:t>износ</w:t>
      </w:r>
      <w:r w:rsidR="008832B3" w:rsidRPr="004122E2">
        <w:rPr>
          <w:rFonts w:ascii="Times New Roman" w:hAnsi="Times New Roman"/>
          <w:sz w:val="24"/>
          <w:szCs w:val="24"/>
        </w:rPr>
        <w:t xml:space="preserve"> </w:t>
      </w:r>
      <w:r w:rsidRPr="004122E2">
        <w:rPr>
          <w:rFonts w:ascii="Times New Roman" w:hAnsi="Times New Roman"/>
          <w:sz w:val="24"/>
          <w:szCs w:val="24"/>
        </w:rPr>
        <w:t>који</w:t>
      </w:r>
      <w:r w:rsidR="008832B3" w:rsidRPr="004122E2">
        <w:rPr>
          <w:rFonts w:ascii="Times New Roman" w:hAnsi="Times New Roman"/>
          <w:sz w:val="24"/>
          <w:szCs w:val="24"/>
        </w:rPr>
        <w:t xml:space="preserve"> </w:t>
      </w:r>
      <w:r w:rsidRPr="004122E2">
        <w:rPr>
          <w:rFonts w:ascii="Times New Roman" w:hAnsi="Times New Roman"/>
          <w:sz w:val="24"/>
          <w:szCs w:val="24"/>
        </w:rPr>
        <w:t>предузетник</w:t>
      </w:r>
      <w:r w:rsidR="008832B3" w:rsidRPr="004122E2">
        <w:rPr>
          <w:rFonts w:ascii="Times New Roman" w:hAnsi="Times New Roman"/>
          <w:sz w:val="24"/>
          <w:szCs w:val="24"/>
        </w:rPr>
        <w:t xml:space="preserve"> </w:t>
      </w:r>
      <w:r w:rsidRPr="004122E2">
        <w:rPr>
          <w:rFonts w:ascii="Times New Roman" w:hAnsi="Times New Roman"/>
          <w:sz w:val="24"/>
          <w:szCs w:val="24"/>
        </w:rPr>
        <w:t>исплати</w:t>
      </w:r>
      <w:r w:rsidR="008832B3" w:rsidRPr="004122E2">
        <w:rPr>
          <w:rFonts w:ascii="Times New Roman" w:hAnsi="Times New Roman"/>
          <w:sz w:val="24"/>
          <w:szCs w:val="24"/>
        </w:rPr>
        <w:t xml:space="preserve"> </w:t>
      </w:r>
      <w:r w:rsidRPr="004122E2">
        <w:rPr>
          <w:rFonts w:ascii="Times New Roman" w:hAnsi="Times New Roman"/>
          <w:sz w:val="24"/>
          <w:szCs w:val="24"/>
        </w:rPr>
        <w:t>и</w:t>
      </w:r>
      <w:r w:rsidR="008832B3" w:rsidRPr="004122E2">
        <w:rPr>
          <w:rFonts w:ascii="Times New Roman" w:hAnsi="Times New Roman"/>
          <w:sz w:val="24"/>
          <w:szCs w:val="24"/>
        </w:rPr>
        <w:t xml:space="preserve"> </w:t>
      </w:r>
      <w:r w:rsidRPr="004122E2">
        <w:rPr>
          <w:rFonts w:ascii="Times New Roman" w:hAnsi="Times New Roman"/>
          <w:sz w:val="24"/>
          <w:szCs w:val="24"/>
        </w:rPr>
        <w:t>евидентира</w:t>
      </w:r>
      <w:r w:rsidR="008832B3" w:rsidRPr="004122E2">
        <w:rPr>
          <w:rFonts w:ascii="Times New Roman" w:hAnsi="Times New Roman"/>
          <w:sz w:val="24"/>
          <w:szCs w:val="24"/>
        </w:rPr>
        <w:t xml:space="preserve"> </w:t>
      </w:r>
      <w:r w:rsidRPr="004122E2">
        <w:rPr>
          <w:rFonts w:ascii="Times New Roman" w:hAnsi="Times New Roman"/>
          <w:sz w:val="24"/>
          <w:szCs w:val="24"/>
        </w:rPr>
        <w:t>у</w:t>
      </w:r>
      <w:r w:rsidR="008832B3" w:rsidRPr="004122E2">
        <w:rPr>
          <w:rFonts w:ascii="Times New Roman" w:hAnsi="Times New Roman"/>
          <w:sz w:val="24"/>
          <w:szCs w:val="24"/>
        </w:rPr>
        <w:t xml:space="preserve"> </w:t>
      </w:r>
      <w:r w:rsidRPr="004122E2">
        <w:rPr>
          <w:rFonts w:ascii="Times New Roman" w:hAnsi="Times New Roman"/>
          <w:sz w:val="24"/>
          <w:szCs w:val="24"/>
        </w:rPr>
        <w:t>пословним</w:t>
      </w:r>
      <w:r w:rsidR="008832B3" w:rsidRPr="004122E2">
        <w:rPr>
          <w:rFonts w:ascii="Times New Roman" w:hAnsi="Times New Roman"/>
          <w:sz w:val="24"/>
          <w:szCs w:val="24"/>
        </w:rPr>
        <w:t xml:space="preserve"> </w:t>
      </w:r>
      <w:r w:rsidRPr="004122E2">
        <w:rPr>
          <w:rFonts w:ascii="Times New Roman" w:hAnsi="Times New Roman"/>
          <w:sz w:val="24"/>
          <w:szCs w:val="24"/>
        </w:rPr>
        <w:t>књигама</w:t>
      </w:r>
      <w:r w:rsidR="008832B3" w:rsidRPr="004122E2">
        <w:rPr>
          <w:rFonts w:ascii="Times New Roman" w:hAnsi="Times New Roman"/>
          <w:sz w:val="24"/>
          <w:szCs w:val="24"/>
        </w:rPr>
        <w:t xml:space="preserve"> </w:t>
      </w:r>
      <w:r w:rsidRPr="004122E2">
        <w:rPr>
          <w:rFonts w:ascii="Times New Roman" w:hAnsi="Times New Roman"/>
          <w:sz w:val="24"/>
          <w:szCs w:val="24"/>
        </w:rPr>
        <w:t>као</w:t>
      </w:r>
      <w:r w:rsidR="008832B3" w:rsidRPr="004122E2">
        <w:rPr>
          <w:rFonts w:ascii="Times New Roman" w:hAnsi="Times New Roman"/>
          <w:sz w:val="24"/>
          <w:szCs w:val="24"/>
        </w:rPr>
        <w:t xml:space="preserve"> </w:t>
      </w:r>
      <w:r w:rsidRPr="004122E2">
        <w:rPr>
          <w:rFonts w:ascii="Times New Roman" w:hAnsi="Times New Roman"/>
          <w:sz w:val="24"/>
          <w:szCs w:val="24"/>
        </w:rPr>
        <w:t>своје</w:t>
      </w:r>
      <w:r w:rsidR="008832B3" w:rsidRPr="004122E2">
        <w:rPr>
          <w:rFonts w:ascii="Times New Roman" w:hAnsi="Times New Roman"/>
          <w:sz w:val="24"/>
          <w:szCs w:val="24"/>
        </w:rPr>
        <w:t xml:space="preserve"> </w:t>
      </w:r>
      <w:r w:rsidRPr="004122E2">
        <w:rPr>
          <w:rFonts w:ascii="Times New Roman" w:hAnsi="Times New Roman"/>
          <w:sz w:val="24"/>
          <w:szCs w:val="24"/>
        </w:rPr>
        <w:t>месечно</w:t>
      </w:r>
      <w:r w:rsidR="008832B3" w:rsidRPr="004122E2">
        <w:rPr>
          <w:rFonts w:ascii="Times New Roman" w:hAnsi="Times New Roman"/>
          <w:sz w:val="24"/>
          <w:szCs w:val="24"/>
        </w:rPr>
        <w:t xml:space="preserve"> </w:t>
      </w:r>
      <w:r w:rsidRPr="004122E2">
        <w:rPr>
          <w:rFonts w:ascii="Times New Roman" w:hAnsi="Times New Roman"/>
          <w:sz w:val="24"/>
          <w:szCs w:val="24"/>
        </w:rPr>
        <w:t>лично</w:t>
      </w:r>
      <w:r w:rsidR="008832B3" w:rsidRPr="004122E2">
        <w:rPr>
          <w:rFonts w:ascii="Times New Roman" w:hAnsi="Times New Roman"/>
          <w:sz w:val="24"/>
          <w:szCs w:val="24"/>
        </w:rPr>
        <w:t xml:space="preserve"> </w:t>
      </w:r>
      <w:r w:rsidRPr="004122E2">
        <w:rPr>
          <w:rFonts w:ascii="Times New Roman" w:hAnsi="Times New Roman"/>
          <w:sz w:val="24"/>
          <w:szCs w:val="24"/>
        </w:rPr>
        <w:t>примање</w:t>
      </w:r>
      <w:r w:rsidR="008832B3" w:rsidRPr="004122E2">
        <w:rPr>
          <w:rFonts w:ascii="Times New Roman" w:hAnsi="Times New Roman"/>
          <w:sz w:val="24"/>
          <w:szCs w:val="24"/>
        </w:rPr>
        <w:t xml:space="preserve"> </w:t>
      </w:r>
      <w:r w:rsidRPr="004122E2">
        <w:rPr>
          <w:rFonts w:ascii="Times New Roman" w:hAnsi="Times New Roman"/>
          <w:sz w:val="24"/>
          <w:szCs w:val="24"/>
        </w:rPr>
        <w:t>увећан</w:t>
      </w:r>
      <w:r w:rsidR="008832B3" w:rsidRPr="004122E2">
        <w:rPr>
          <w:rFonts w:ascii="Times New Roman" w:hAnsi="Times New Roman"/>
          <w:sz w:val="24"/>
          <w:szCs w:val="24"/>
        </w:rPr>
        <w:t xml:space="preserve"> </w:t>
      </w:r>
      <w:r w:rsidRPr="004122E2">
        <w:rPr>
          <w:rFonts w:ascii="Times New Roman" w:hAnsi="Times New Roman"/>
          <w:sz w:val="24"/>
          <w:szCs w:val="24"/>
        </w:rPr>
        <w:t>за</w:t>
      </w:r>
      <w:r w:rsidR="008832B3" w:rsidRPr="004122E2">
        <w:rPr>
          <w:rFonts w:ascii="Times New Roman" w:hAnsi="Times New Roman"/>
          <w:sz w:val="24"/>
          <w:szCs w:val="24"/>
        </w:rPr>
        <w:t xml:space="preserve"> </w:t>
      </w:r>
      <w:r w:rsidRPr="004122E2">
        <w:rPr>
          <w:rFonts w:ascii="Times New Roman" w:hAnsi="Times New Roman"/>
          <w:sz w:val="24"/>
          <w:szCs w:val="24"/>
        </w:rPr>
        <w:t>припадајуће</w:t>
      </w:r>
      <w:r w:rsidR="008832B3" w:rsidRPr="004122E2">
        <w:rPr>
          <w:rFonts w:ascii="Times New Roman" w:hAnsi="Times New Roman"/>
          <w:sz w:val="24"/>
          <w:szCs w:val="24"/>
        </w:rPr>
        <w:t xml:space="preserve"> </w:t>
      </w:r>
      <w:r w:rsidRPr="004122E2">
        <w:rPr>
          <w:rFonts w:ascii="Times New Roman" w:hAnsi="Times New Roman"/>
          <w:sz w:val="24"/>
          <w:szCs w:val="24"/>
        </w:rPr>
        <w:t>обавезе</w:t>
      </w:r>
      <w:r w:rsidR="008832B3" w:rsidRPr="004122E2">
        <w:rPr>
          <w:rFonts w:ascii="Times New Roman" w:hAnsi="Times New Roman"/>
          <w:sz w:val="24"/>
          <w:szCs w:val="24"/>
        </w:rPr>
        <w:t xml:space="preserve"> </w:t>
      </w:r>
      <w:r w:rsidRPr="004122E2">
        <w:rPr>
          <w:rFonts w:ascii="Times New Roman" w:hAnsi="Times New Roman"/>
          <w:sz w:val="24"/>
          <w:szCs w:val="24"/>
        </w:rPr>
        <w:t>из</w:t>
      </w:r>
      <w:r w:rsidR="008832B3" w:rsidRPr="004122E2">
        <w:rPr>
          <w:rFonts w:ascii="Times New Roman" w:hAnsi="Times New Roman"/>
          <w:sz w:val="24"/>
          <w:szCs w:val="24"/>
        </w:rPr>
        <w:t xml:space="preserve"> </w:t>
      </w:r>
      <w:r w:rsidRPr="004122E2">
        <w:rPr>
          <w:rFonts w:ascii="Times New Roman" w:hAnsi="Times New Roman"/>
          <w:sz w:val="24"/>
          <w:szCs w:val="24"/>
        </w:rPr>
        <w:t>зараде</w:t>
      </w:r>
      <w:r w:rsidR="008832B3" w:rsidRPr="004122E2">
        <w:rPr>
          <w:rFonts w:ascii="Times New Roman" w:hAnsi="Times New Roman"/>
          <w:sz w:val="24"/>
          <w:szCs w:val="24"/>
        </w:rPr>
        <w:t>.</w:t>
      </w:r>
      <w:bookmarkStart w:id="32" w:name="clan_37b"/>
      <w:bookmarkEnd w:id="32"/>
      <w:r w:rsidR="0040159E" w:rsidRPr="004122E2">
        <w:rPr>
          <w:rFonts w:ascii="Times New Roman" w:hAnsi="Times New Roman"/>
          <w:sz w:val="24"/>
          <w:szCs w:val="24"/>
          <w:lang w:val="sr-Cyrl-CS"/>
        </w:rPr>
        <w:t xml:space="preserve"> </w:t>
      </w:r>
      <w:r w:rsidRPr="004122E2">
        <w:rPr>
          <w:rFonts w:ascii="Times New Roman" w:hAnsi="Times New Roman"/>
          <w:sz w:val="24"/>
          <w:szCs w:val="24"/>
        </w:rPr>
        <w:t>Узимање</w:t>
      </w:r>
      <w:r w:rsidR="008832B3" w:rsidRPr="004122E2">
        <w:rPr>
          <w:rFonts w:ascii="Times New Roman" w:hAnsi="Times New Roman"/>
          <w:sz w:val="24"/>
          <w:szCs w:val="24"/>
        </w:rPr>
        <w:t xml:space="preserve"> </w:t>
      </w:r>
      <w:r w:rsidRPr="004122E2">
        <w:rPr>
          <w:rFonts w:ascii="Times New Roman" w:hAnsi="Times New Roman"/>
          <w:sz w:val="24"/>
          <w:szCs w:val="24"/>
        </w:rPr>
        <w:t>које</w:t>
      </w:r>
      <w:r w:rsidR="008832B3" w:rsidRPr="004122E2">
        <w:rPr>
          <w:rFonts w:ascii="Times New Roman" w:hAnsi="Times New Roman"/>
          <w:sz w:val="24"/>
          <w:szCs w:val="24"/>
        </w:rPr>
        <w:t xml:space="preserve"> </w:t>
      </w:r>
      <w:r w:rsidRPr="004122E2">
        <w:rPr>
          <w:rFonts w:ascii="Times New Roman" w:hAnsi="Times New Roman"/>
          <w:sz w:val="24"/>
          <w:szCs w:val="24"/>
        </w:rPr>
        <w:t>предузетник</w:t>
      </w:r>
      <w:r w:rsidR="008832B3" w:rsidRPr="004122E2">
        <w:rPr>
          <w:rFonts w:ascii="Times New Roman" w:hAnsi="Times New Roman"/>
          <w:sz w:val="24"/>
          <w:szCs w:val="24"/>
        </w:rPr>
        <w:t xml:space="preserve"> </w:t>
      </w:r>
      <w:r w:rsidRPr="004122E2">
        <w:rPr>
          <w:rFonts w:ascii="Times New Roman" w:hAnsi="Times New Roman"/>
          <w:sz w:val="24"/>
          <w:szCs w:val="24"/>
        </w:rPr>
        <w:t>врши</w:t>
      </w:r>
      <w:r w:rsidR="008832B3" w:rsidRPr="004122E2">
        <w:rPr>
          <w:rFonts w:ascii="Times New Roman" w:hAnsi="Times New Roman"/>
          <w:sz w:val="24"/>
          <w:szCs w:val="24"/>
        </w:rPr>
        <w:t xml:space="preserve"> </w:t>
      </w:r>
      <w:r w:rsidRPr="004122E2">
        <w:rPr>
          <w:rFonts w:ascii="Times New Roman" w:hAnsi="Times New Roman"/>
          <w:sz w:val="24"/>
          <w:szCs w:val="24"/>
        </w:rPr>
        <w:t>из</w:t>
      </w:r>
      <w:r w:rsidR="008832B3" w:rsidRPr="004122E2">
        <w:rPr>
          <w:rFonts w:ascii="Times New Roman" w:hAnsi="Times New Roman"/>
          <w:sz w:val="24"/>
          <w:szCs w:val="24"/>
        </w:rPr>
        <w:t xml:space="preserve"> </w:t>
      </w:r>
      <w:r w:rsidRPr="004122E2">
        <w:rPr>
          <w:rFonts w:ascii="Times New Roman" w:hAnsi="Times New Roman"/>
          <w:sz w:val="24"/>
          <w:szCs w:val="24"/>
        </w:rPr>
        <w:t>пословне</w:t>
      </w:r>
      <w:r w:rsidR="008832B3" w:rsidRPr="004122E2">
        <w:rPr>
          <w:rFonts w:ascii="Times New Roman" w:hAnsi="Times New Roman"/>
          <w:sz w:val="24"/>
          <w:szCs w:val="24"/>
        </w:rPr>
        <w:t xml:space="preserve"> </w:t>
      </w:r>
      <w:r w:rsidRPr="004122E2">
        <w:rPr>
          <w:rFonts w:ascii="Times New Roman" w:hAnsi="Times New Roman"/>
          <w:sz w:val="24"/>
          <w:szCs w:val="24"/>
        </w:rPr>
        <w:t>имовине</w:t>
      </w:r>
      <w:r w:rsidR="008832B3" w:rsidRPr="004122E2">
        <w:rPr>
          <w:rFonts w:ascii="Times New Roman" w:hAnsi="Times New Roman"/>
          <w:sz w:val="24"/>
          <w:szCs w:val="24"/>
        </w:rPr>
        <w:t xml:space="preserve"> </w:t>
      </w:r>
      <w:r w:rsidRPr="004122E2">
        <w:rPr>
          <w:rFonts w:ascii="Times New Roman" w:hAnsi="Times New Roman"/>
          <w:sz w:val="24"/>
          <w:szCs w:val="24"/>
        </w:rPr>
        <w:t>за</w:t>
      </w:r>
      <w:r w:rsidR="008832B3" w:rsidRPr="004122E2">
        <w:rPr>
          <w:rFonts w:ascii="Times New Roman" w:hAnsi="Times New Roman"/>
          <w:sz w:val="24"/>
          <w:szCs w:val="24"/>
        </w:rPr>
        <w:t xml:space="preserve"> </w:t>
      </w:r>
      <w:r w:rsidRPr="004122E2">
        <w:rPr>
          <w:rFonts w:ascii="Times New Roman" w:hAnsi="Times New Roman"/>
          <w:sz w:val="24"/>
          <w:szCs w:val="24"/>
        </w:rPr>
        <w:t>приватне</w:t>
      </w:r>
      <w:r w:rsidR="008832B3" w:rsidRPr="004122E2">
        <w:rPr>
          <w:rFonts w:ascii="Times New Roman" w:hAnsi="Times New Roman"/>
          <w:sz w:val="24"/>
          <w:szCs w:val="24"/>
        </w:rPr>
        <w:t xml:space="preserve"> </w:t>
      </w:r>
      <w:r w:rsidRPr="004122E2">
        <w:rPr>
          <w:rFonts w:ascii="Times New Roman" w:hAnsi="Times New Roman"/>
          <w:sz w:val="24"/>
          <w:szCs w:val="24"/>
        </w:rPr>
        <w:t>потребе</w:t>
      </w:r>
      <w:r w:rsidR="008832B3" w:rsidRPr="004122E2">
        <w:rPr>
          <w:rFonts w:ascii="Times New Roman" w:hAnsi="Times New Roman"/>
          <w:sz w:val="24"/>
          <w:szCs w:val="24"/>
        </w:rPr>
        <w:t xml:space="preserve"> </w:t>
      </w:r>
      <w:r w:rsidRPr="004122E2">
        <w:rPr>
          <w:rFonts w:ascii="Times New Roman" w:hAnsi="Times New Roman"/>
          <w:sz w:val="24"/>
          <w:szCs w:val="24"/>
        </w:rPr>
        <w:t>има</w:t>
      </w:r>
      <w:r w:rsidR="008832B3" w:rsidRPr="004122E2">
        <w:rPr>
          <w:rFonts w:ascii="Times New Roman" w:hAnsi="Times New Roman"/>
          <w:sz w:val="24"/>
          <w:szCs w:val="24"/>
        </w:rPr>
        <w:t xml:space="preserve"> </w:t>
      </w:r>
      <w:r w:rsidRPr="004122E2">
        <w:rPr>
          <w:rFonts w:ascii="Times New Roman" w:hAnsi="Times New Roman"/>
          <w:sz w:val="24"/>
          <w:szCs w:val="24"/>
        </w:rPr>
        <w:t>третман</w:t>
      </w:r>
      <w:r w:rsidR="008832B3" w:rsidRPr="004122E2">
        <w:rPr>
          <w:rFonts w:ascii="Times New Roman" w:hAnsi="Times New Roman"/>
          <w:sz w:val="24"/>
          <w:szCs w:val="24"/>
        </w:rPr>
        <w:t xml:space="preserve"> </w:t>
      </w:r>
      <w:r w:rsidRPr="004122E2">
        <w:rPr>
          <w:rFonts w:ascii="Times New Roman" w:hAnsi="Times New Roman"/>
          <w:sz w:val="24"/>
          <w:szCs w:val="24"/>
        </w:rPr>
        <w:t>пословног</w:t>
      </w:r>
      <w:r w:rsidR="008832B3" w:rsidRPr="004122E2">
        <w:rPr>
          <w:rFonts w:ascii="Times New Roman" w:hAnsi="Times New Roman"/>
          <w:sz w:val="24"/>
          <w:szCs w:val="24"/>
        </w:rPr>
        <w:t xml:space="preserve"> </w:t>
      </w:r>
      <w:r w:rsidRPr="004122E2">
        <w:rPr>
          <w:rFonts w:ascii="Times New Roman" w:hAnsi="Times New Roman"/>
          <w:sz w:val="24"/>
          <w:szCs w:val="24"/>
        </w:rPr>
        <w:t>прихода</w:t>
      </w:r>
      <w:r w:rsidR="008832B3" w:rsidRPr="004122E2">
        <w:rPr>
          <w:rFonts w:ascii="Times New Roman" w:hAnsi="Times New Roman"/>
          <w:sz w:val="24"/>
          <w:szCs w:val="24"/>
        </w:rPr>
        <w:t>.</w:t>
      </w:r>
      <w:r w:rsidR="0040159E" w:rsidRPr="004122E2">
        <w:rPr>
          <w:rFonts w:ascii="Times New Roman" w:hAnsi="Times New Roman"/>
          <w:sz w:val="24"/>
          <w:szCs w:val="24"/>
          <w:lang w:val="sr-Cyrl-CS"/>
        </w:rPr>
        <w:t xml:space="preserve"> </w:t>
      </w:r>
      <w:r w:rsidRPr="004122E2">
        <w:rPr>
          <w:rFonts w:ascii="Times New Roman" w:hAnsi="Times New Roman"/>
          <w:sz w:val="24"/>
          <w:szCs w:val="24"/>
        </w:rPr>
        <w:t>Улагање</w:t>
      </w:r>
      <w:r w:rsidR="008832B3" w:rsidRPr="004122E2">
        <w:rPr>
          <w:rFonts w:ascii="Times New Roman" w:hAnsi="Times New Roman"/>
          <w:sz w:val="24"/>
          <w:szCs w:val="24"/>
        </w:rPr>
        <w:t xml:space="preserve"> </w:t>
      </w:r>
      <w:r w:rsidRPr="004122E2">
        <w:rPr>
          <w:rFonts w:ascii="Times New Roman" w:hAnsi="Times New Roman"/>
          <w:sz w:val="24"/>
          <w:szCs w:val="24"/>
        </w:rPr>
        <w:t>личне</w:t>
      </w:r>
      <w:r w:rsidR="008832B3" w:rsidRPr="004122E2">
        <w:rPr>
          <w:rFonts w:ascii="Times New Roman" w:hAnsi="Times New Roman"/>
          <w:sz w:val="24"/>
          <w:szCs w:val="24"/>
        </w:rPr>
        <w:t xml:space="preserve"> </w:t>
      </w:r>
      <w:r w:rsidRPr="004122E2">
        <w:rPr>
          <w:rFonts w:ascii="Times New Roman" w:hAnsi="Times New Roman"/>
          <w:sz w:val="24"/>
          <w:szCs w:val="24"/>
        </w:rPr>
        <w:t>имовине</w:t>
      </w:r>
      <w:r w:rsidR="008832B3" w:rsidRPr="004122E2">
        <w:rPr>
          <w:rFonts w:ascii="Times New Roman" w:hAnsi="Times New Roman"/>
          <w:sz w:val="24"/>
          <w:szCs w:val="24"/>
        </w:rPr>
        <w:t xml:space="preserve"> </w:t>
      </w:r>
      <w:r w:rsidRPr="004122E2">
        <w:rPr>
          <w:rFonts w:ascii="Times New Roman" w:hAnsi="Times New Roman"/>
          <w:sz w:val="24"/>
          <w:szCs w:val="24"/>
        </w:rPr>
        <w:t>у</w:t>
      </w:r>
      <w:r w:rsidR="008832B3" w:rsidRPr="004122E2">
        <w:rPr>
          <w:rFonts w:ascii="Times New Roman" w:hAnsi="Times New Roman"/>
          <w:sz w:val="24"/>
          <w:szCs w:val="24"/>
        </w:rPr>
        <w:t xml:space="preserve"> </w:t>
      </w:r>
      <w:r w:rsidRPr="004122E2">
        <w:rPr>
          <w:rFonts w:ascii="Times New Roman" w:hAnsi="Times New Roman"/>
          <w:sz w:val="24"/>
          <w:szCs w:val="24"/>
        </w:rPr>
        <w:t>пословну</w:t>
      </w:r>
      <w:r w:rsidR="008832B3" w:rsidRPr="004122E2">
        <w:rPr>
          <w:rFonts w:ascii="Times New Roman" w:hAnsi="Times New Roman"/>
          <w:sz w:val="24"/>
          <w:szCs w:val="24"/>
        </w:rPr>
        <w:t xml:space="preserve"> </w:t>
      </w:r>
      <w:r w:rsidRPr="004122E2">
        <w:rPr>
          <w:rFonts w:ascii="Times New Roman" w:hAnsi="Times New Roman"/>
          <w:sz w:val="24"/>
          <w:szCs w:val="24"/>
        </w:rPr>
        <w:t>имовину</w:t>
      </w:r>
      <w:r w:rsidR="008832B3" w:rsidRPr="004122E2">
        <w:rPr>
          <w:rFonts w:ascii="Times New Roman" w:hAnsi="Times New Roman"/>
          <w:sz w:val="24"/>
          <w:szCs w:val="24"/>
        </w:rPr>
        <w:t xml:space="preserve">, </w:t>
      </w:r>
      <w:r w:rsidRPr="004122E2">
        <w:rPr>
          <w:rFonts w:ascii="Times New Roman" w:hAnsi="Times New Roman"/>
          <w:sz w:val="24"/>
          <w:szCs w:val="24"/>
        </w:rPr>
        <w:t>осим</w:t>
      </w:r>
      <w:r w:rsidR="008832B3" w:rsidRPr="004122E2">
        <w:rPr>
          <w:rFonts w:ascii="Times New Roman" w:hAnsi="Times New Roman"/>
          <w:sz w:val="24"/>
          <w:szCs w:val="24"/>
        </w:rPr>
        <w:t xml:space="preserve"> </w:t>
      </w:r>
      <w:r w:rsidRPr="004122E2">
        <w:rPr>
          <w:rFonts w:ascii="Times New Roman" w:hAnsi="Times New Roman"/>
          <w:sz w:val="24"/>
          <w:szCs w:val="24"/>
        </w:rPr>
        <w:t>улагања</w:t>
      </w:r>
      <w:r w:rsidR="008832B3" w:rsidRPr="004122E2">
        <w:rPr>
          <w:rFonts w:ascii="Times New Roman" w:hAnsi="Times New Roman"/>
          <w:sz w:val="24"/>
          <w:szCs w:val="24"/>
        </w:rPr>
        <w:t xml:space="preserve"> </w:t>
      </w:r>
      <w:r w:rsidRPr="004122E2">
        <w:rPr>
          <w:rFonts w:ascii="Times New Roman" w:hAnsi="Times New Roman"/>
          <w:sz w:val="24"/>
          <w:szCs w:val="24"/>
        </w:rPr>
        <w:t>у</w:t>
      </w:r>
      <w:r w:rsidR="008832B3" w:rsidRPr="004122E2">
        <w:rPr>
          <w:rFonts w:ascii="Times New Roman" w:hAnsi="Times New Roman"/>
          <w:sz w:val="24"/>
          <w:szCs w:val="24"/>
        </w:rPr>
        <w:t xml:space="preserve"> </w:t>
      </w:r>
      <w:r w:rsidRPr="004122E2">
        <w:rPr>
          <w:rFonts w:ascii="Times New Roman" w:hAnsi="Times New Roman"/>
          <w:sz w:val="24"/>
          <w:szCs w:val="24"/>
        </w:rPr>
        <w:t>сталну</w:t>
      </w:r>
      <w:r w:rsidR="008832B3" w:rsidRPr="004122E2">
        <w:rPr>
          <w:rFonts w:ascii="Times New Roman" w:hAnsi="Times New Roman"/>
          <w:sz w:val="24"/>
          <w:szCs w:val="24"/>
        </w:rPr>
        <w:t xml:space="preserve"> </w:t>
      </w:r>
      <w:r w:rsidRPr="004122E2">
        <w:rPr>
          <w:rFonts w:ascii="Times New Roman" w:hAnsi="Times New Roman"/>
          <w:sz w:val="24"/>
          <w:szCs w:val="24"/>
        </w:rPr>
        <w:t>имовину</w:t>
      </w:r>
      <w:r w:rsidR="008832B3" w:rsidRPr="004122E2">
        <w:rPr>
          <w:rFonts w:ascii="Times New Roman" w:hAnsi="Times New Roman"/>
          <w:sz w:val="24"/>
          <w:szCs w:val="24"/>
        </w:rPr>
        <w:t xml:space="preserve">, </w:t>
      </w:r>
      <w:r w:rsidRPr="004122E2">
        <w:rPr>
          <w:rFonts w:ascii="Times New Roman" w:hAnsi="Times New Roman"/>
          <w:sz w:val="24"/>
          <w:szCs w:val="24"/>
        </w:rPr>
        <w:t>има</w:t>
      </w:r>
      <w:r w:rsidR="008832B3" w:rsidRPr="004122E2">
        <w:rPr>
          <w:rFonts w:ascii="Times New Roman" w:hAnsi="Times New Roman"/>
          <w:sz w:val="24"/>
          <w:szCs w:val="24"/>
        </w:rPr>
        <w:t xml:space="preserve"> </w:t>
      </w:r>
      <w:r w:rsidRPr="004122E2">
        <w:rPr>
          <w:rFonts w:ascii="Times New Roman" w:hAnsi="Times New Roman"/>
          <w:sz w:val="24"/>
          <w:szCs w:val="24"/>
        </w:rPr>
        <w:t>третман</w:t>
      </w:r>
      <w:r w:rsidR="008832B3" w:rsidRPr="004122E2">
        <w:rPr>
          <w:rFonts w:ascii="Times New Roman" w:hAnsi="Times New Roman"/>
          <w:sz w:val="24"/>
          <w:szCs w:val="24"/>
        </w:rPr>
        <w:t xml:space="preserve"> </w:t>
      </w:r>
      <w:r w:rsidRPr="004122E2">
        <w:rPr>
          <w:rFonts w:ascii="Times New Roman" w:hAnsi="Times New Roman"/>
          <w:sz w:val="24"/>
          <w:szCs w:val="24"/>
        </w:rPr>
        <w:t>пословног</w:t>
      </w:r>
      <w:r w:rsidR="008832B3" w:rsidRPr="004122E2">
        <w:rPr>
          <w:rFonts w:ascii="Times New Roman" w:hAnsi="Times New Roman"/>
          <w:sz w:val="24"/>
          <w:szCs w:val="24"/>
        </w:rPr>
        <w:t xml:space="preserve"> </w:t>
      </w:r>
      <w:r w:rsidRPr="004122E2">
        <w:rPr>
          <w:rFonts w:ascii="Times New Roman" w:hAnsi="Times New Roman"/>
          <w:sz w:val="24"/>
          <w:szCs w:val="24"/>
        </w:rPr>
        <w:t>расхода</w:t>
      </w:r>
      <w:r w:rsidR="008832B3" w:rsidRPr="004122E2">
        <w:rPr>
          <w:rFonts w:ascii="Times New Roman" w:hAnsi="Times New Roman"/>
          <w:sz w:val="24"/>
          <w:szCs w:val="24"/>
        </w:rPr>
        <w:t xml:space="preserve"> </w:t>
      </w:r>
      <w:r w:rsidRPr="004122E2">
        <w:rPr>
          <w:rFonts w:ascii="Times New Roman" w:hAnsi="Times New Roman"/>
          <w:sz w:val="24"/>
          <w:szCs w:val="24"/>
        </w:rPr>
        <w:t>предузетника</w:t>
      </w:r>
      <w:r w:rsidR="008832B3" w:rsidRPr="004122E2">
        <w:rPr>
          <w:rFonts w:ascii="Times New Roman" w:hAnsi="Times New Roman"/>
          <w:sz w:val="24"/>
          <w:szCs w:val="24"/>
        </w:rPr>
        <w:t>.</w:t>
      </w:r>
      <w:r w:rsidR="0040159E" w:rsidRPr="004122E2">
        <w:rPr>
          <w:rFonts w:ascii="Times New Roman" w:hAnsi="Times New Roman"/>
          <w:sz w:val="24"/>
          <w:szCs w:val="24"/>
          <w:lang w:val="sr-Cyrl-CS"/>
        </w:rPr>
        <w:t xml:space="preserve"> При том,  у</w:t>
      </w:r>
      <w:r w:rsidRPr="004122E2">
        <w:rPr>
          <w:rFonts w:ascii="Times New Roman" w:hAnsi="Times New Roman"/>
          <w:sz w:val="24"/>
          <w:szCs w:val="24"/>
        </w:rPr>
        <w:t>зимање</w:t>
      </w:r>
      <w:r w:rsidR="008832B3" w:rsidRPr="004122E2">
        <w:rPr>
          <w:rFonts w:ascii="Times New Roman" w:hAnsi="Times New Roman"/>
          <w:sz w:val="24"/>
          <w:szCs w:val="24"/>
        </w:rPr>
        <w:t xml:space="preserve">, </w:t>
      </w:r>
      <w:r w:rsidRPr="004122E2">
        <w:rPr>
          <w:rFonts w:ascii="Times New Roman" w:hAnsi="Times New Roman"/>
          <w:sz w:val="24"/>
          <w:szCs w:val="24"/>
        </w:rPr>
        <w:t>односно</w:t>
      </w:r>
      <w:r w:rsidR="008832B3" w:rsidRPr="004122E2">
        <w:rPr>
          <w:rFonts w:ascii="Times New Roman" w:hAnsi="Times New Roman"/>
          <w:sz w:val="24"/>
          <w:szCs w:val="24"/>
        </w:rPr>
        <w:t xml:space="preserve"> </w:t>
      </w:r>
      <w:r w:rsidRPr="004122E2">
        <w:rPr>
          <w:rFonts w:ascii="Times New Roman" w:hAnsi="Times New Roman"/>
          <w:sz w:val="24"/>
          <w:szCs w:val="24"/>
        </w:rPr>
        <w:t>улагање</w:t>
      </w:r>
      <w:r w:rsidR="008832B3" w:rsidRPr="004122E2">
        <w:rPr>
          <w:rFonts w:ascii="Times New Roman" w:hAnsi="Times New Roman"/>
          <w:sz w:val="24"/>
          <w:szCs w:val="24"/>
        </w:rPr>
        <w:t xml:space="preserve"> </w:t>
      </w:r>
      <w:r w:rsidRPr="004122E2">
        <w:rPr>
          <w:rFonts w:ascii="Times New Roman" w:hAnsi="Times New Roman"/>
          <w:sz w:val="24"/>
          <w:szCs w:val="24"/>
        </w:rPr>
        <w:t>имовине</w:t>
      </w:r>
      <w:r w:rsidR="008832B3" w:rsidRPr="004122E2">
        <w:rPr>
          <w:rFonts w:ascii="Times New Roman" w:hAnsi="Times New Roman"/>
          <w:sz w:val="24"/>
          <w:szCs w:val="24"/>
        </w:rPr>
        <w:t xml:space="preserve"> </w:t>
      </w:r>
      <w:r w:rsidRPr="004122E2">
        <w:rPr>
          <w:rFonts w:ascii="Times New Roman" w:hAnsi="Times New Roman"/>
          <w:sz w:val="24"/>
          <w:szCs w:val="24"/>
        </w:rPr>
        <w:t>које</w:t>
      </w:r>
      <w:r w:rsidR="008832B3" w:rsidRPr="004122E2">
        <w:rPr>
          <w:rFonts w:ascii="Times New Roman" w:hAnsi="Times New Roman"/>
          <w:sz w:val="24"/>
          <w:szCs w:val="24"/>
        </w:rPr>
        <w:t xml:space="preserve"> </w:t>
      </w:r>
      <w:r w:rsidRPr="004122E2">
        <w:rPr>
          <w:rFonts w:ascii="Times New Roman" w:hAnsi="Times New Roman"/>
          <w:sz w:val="24"/>
          <w:szCs w:val="24"/>
        </w:rPr>
        <w:t>није</w:t>
      </w:r>
      <w:r w:rsidR="008832B3" w:rsidRPr="004122E2">
        <w:rPr>
          <w:rFonts w:ascii="Times New Roman" w:hAnsi="Times New Roman"/>
          <w:sz w:val="24"/>
          <w:szCs w:val="24"/>
        </w:rPr>
        <w:t xml:space="preserve"> </w:t>
      </w:r>
      <w:r w:rsidRPr="004122E2">
        <w:rPr>
          <w:rFonts w:ascii="Times New Roman" w:hAnsi="Times New Roman"/>
          <w:sz w:val="24"/>
          <w:szCs w:val="24"/>
        </w:rPr>
        <w:t>у</w:t>
      </w:r>
      <w:r w:rsidR="008832B3" w:rsidRPr="004122E2">
        <w:rPr>
          <w:rFonts w:ascii="Times New Roman" w:hAnsi="Times New Roman"/>
          <w:sz w:val="24"/>
          <w:szCs w:val="24"/>
        </w:rPr>
        <w:t xml:space="preserve"> </w:t>
      </w:r>
      <w:r w:rsidRPr="004122E2">
        <w:rPr>
          <w:rFonts w:ascii="Times New Roman" w:hAnsi="Times New Roman"/>
          <w:sz w:val="24"/>
          <w:szCs w:val="24"/>
        </w:rPr>
        <w:t>новчаном</w:t>
      </w:r>
      <w:r w:rsidR="008832B3" w:rsidRPr="004122E2">
        <w:rPr>
          <w:rFonts w:ascii="Times New Roman" w:hAnsi="Times New Roman"/>
          <w:sz w:val="24"/>
          <w:szCs w:val="24"/>
        </w:rPr>
        <w:t xml:space="preserve"> </w:t>
      </w:r>
      <w:r w:rsidRPr="004122E2">
        <w:rPr>
          <w:rFonts w:ascii="Times New Roman" w:hAnsi="Times New Roman"/>
          <w:sz w:val="24"/>
          <w:szCs w:val="24"/>
        </w:rPr>
        <w:t>облику</w:t>
      </w:r>
      <w:r w:rsidR="008832B3" w:rsidRPr="004122E2">
        <w:rPr>
          <w:rFonts w:ascii="Times New Roman" w:hAnsi="Times New Roman"/>
          <w:sz w:val="24"/>
          <w:szCs w:val="24"/>
        </w:rPr>
        <w:t xml:space="preserve">, </w:t>
      </w:r>
      <w:r w:rsidRPr="004122E2">
        <w:rPr>
          <w:rFonts w:ascii="Times New Roman" w:hAnsi="Times New Roman"/>
          <w:sz w:val="24"/>
          <w:szCs w:val="24"/>
        </w:rPr>
        <w:t>процењује</w:t>
      </w:r>
      <w:r w:rsidR="008832B3" w:rsidRPr="004122E2">
        <w:rPr>
          <w:rFonts w:ascii="Times New Roman" w:hAnsi="Times New Roman"/>
          <w:sz w:val="24"/>
          <w:szCs w:val="24"/>
        </w:rPr>
        <w:t xml:space="preserve"> </w:t>
      </w:r>
      <w:r w:rsidRPr="004122E2">
        <w:rPr>
          <w:rFonts w:ascii="Times New Roman" w:hAnsi="Times New Roman"/>
          <w:sz w:val="24"/>
          <w:szCs w:val="24"/>
        </w:rPr>
        <w:t>се</w:t>
      </w:r>
      <w:r w:rsidR="008832B3" w:rsidRPr="004122E2">
        <w:rPr>
          <w:rFonts w:ascii="Times New Roman" w:hAnsi="Times New Roman"/>
          <w:sz w:val="24"/>
          <w:szCs w:val="24"/>
        </w:rPr>
        <w:t xml:space="preserve"> </w:t>
      </w:r>
      <w:r w:rsidRPr="004122E2">
        <w:rPr>
          <w:rFonts w:ascii="Times New Roman" w:hAnsi="Times New Roman"/>
          <w:sz w:val="24"/>
          <w:szCs w:val="24"/>
        </w:rPr>
        <w:t>према</w:t>
      </w:r>
      <w:r w:rsidR="008832B3" w:rsidRPr="004122E2">
        <w:rPr>
          <w:rFonts w:ascii="Times New Roman" w:hAnsi="Times New Roman"/>
          <w:sz w:val="24"/>
          <w:szCs w:val="24"/>
        </w:rPr>
        <w:t xml:space="preserve"> </w:t>
      </w:r>
      <w:r w:rsidRPr="004122E2">
        <w:rPr>
          <w:rFonts w:ascii="Times New Roman" w:hAnsi="Times New Roman"/>
          <w:sz w:val="24"/>
          <w:szCs w:val="24"/>
        </w:rPr>
        <w:t>упоредивој</w:t>
      </w:r>
      <w:r w:rsidR="008832B3" w:rsidRPr="004122E2">
        <w:rPr>
          <w:rFonts w:ascii="Times New Roman" w:hAnsi="Times New Roman"/>
          <w:sz w:val="24"/>
          <w:szCs w:val="24"/>
        </w:rPr>
        <w:t xml:space="preserve"> </w:t>
      </w:r>
      <w:r w:rsidRPr="004122E2">
        <w:rPr>
          <w:rFonts w:ascii="Times New Roman" w:hAnsi="Times New Roman"/>
          <w:sz w:val="24"/>
          <w:szCs w:val="24"/>
        </w:rPr>
        <w:t>тржишној</w:t>
      </w:r>
      <w:r w:rsidR="008832B3" w:rsidRPr="004122E2">
        <w:rPr>
          <w:rFonts w:ascii="Times New Roman" w:hAnsi="Times New Roman"/>
          <w:sz w:val="24"/>
          <w:szCs w:val="24"/>
        </w:rPr>
        <w:t xml:space="preserve"> </w:t>
      </w:r>
      <w:r w:rsidRPr="004122E2">
        <w:rPr>
          <w:rFonts w:ascii="Times New Roman" w:hAnsi="Times New Roman"/>
          <w:sz w:val="24"/>
          <w:szCs w:val="24"/>
        </w:rPr>
        <w:t>вредности</w:t>
      </w:r>
      <w:r w:rsidR="008832B3" w:rsidRPr="004122E2">
        <w:rPr>
          <w:rFonts w:ascii="Times New Roman" w:hAnsi="Times New Roman"/>
          <w:sz w:val="24"/>
          <w:szCs w:val="24"/>
        </w:rPr>
        <w:t xml:space="preserve">, </w:t>
      </w:r>
      <w:r w:rsidRPr="004122E2">
        <w:rPr>
          <w:rFonts w:ascii="Times New Roman" w:hAnsi="Times New Roman"/>
          <w:sz w:val="24"/>
          <w:szCs w:val="24"/>
        </w:rPr>
        <w:t>у</w:t>
      </w:r>
      <w:r w:rsidR="008832B3" w:rsidRPr="004122E2">
        <w:rPr>
          <w:rFonts w:ascii="Times New Roman" w:hAnsi="Times New Roman"/>
          <w:sz w:val="24"/>
          <w:szCs w:val="24"/>
        </w:rPr>
        <w:t xml:space="preserve"> </w:t>
      </w:r>
      <w:r w:rsidRPr="004122E2">
        <w:rPr>
          <w:rFonts w:ascii="Times New Roman" w:hAnsi="Times New Roman"/>
          <w:sz w:val="24"/>
          <w:szCs w:val="24"/>
        </w:rPr>
        <w:t>складу</w:t>
      </w:r>
      <w:r w:rsidR="008832B3" w:rsidRPr="004122E2">
        <w:rPr>
          <w:rFonts w:ascii="Times New Roman" w:hAnsi="Times New Roman"/>
          <w:sz w:val="24"/>
          <w:szCs w:val="24"/>
        </w:rPr>
        <w:t xml:space="preserve"> </w:t>
      </w:r>
      <w:r w:rsidRPr="004122E2">
        <w:rPr>
          <w:rFonts w:ascii="Times New Roman" w:hAnsi="Times New Roman"/>
          <w:sz w:val="24"/>
          <w:szCs w:val="24"/>
        </w:rPr>
        <w:t>са</w:t>
      </w:r>
      <w:r w:rsidR="008832B3" w:rsidRPr="004122E2">
        <w:rPr>
          <w:rFonts w:ascii="Times New Roman" w:hAnsi="Times New Roman"/>
          <w:sz w:val="24"/>
          <w:szCs w:val="24"/>
        </w:rPr>
        <w:t xml:space="preserve"> </w:t>
      </w:r>
      <w:r w:rsidRPr="004122E2">
        <w:rPr>
          <w:rFonts w:ascii="Times New Roman" w:hAnsi="Times New Roman"/>
          <w:sz w:val="24"/>
          <w:szCs w:val="24"/>
        </w:rPr>
        <w:t>начелом</w:t>
      </w:r>
      <w:r w:rsidR="008832B3" w:rsidRPr="004122E2">
        <w:rPr>
          <w:rFonts w:ascii="Times New Roman" w:hAnsi="Times New Roman"/>
          <w:sz w:val="24"/>
          <w:szCs w:val="24"/>
        </w:rPr>
        <w:t xml:space="preserve"> </w:t>
      </w:r>
      <w:r w:rsidRPr="004122E2">
        <w:rPr>
          <w:rFonts w:ascii="Times New Roman" w:hAnsi="Times New Roman"/>
          <w:sz w:val="24"/>
          <w:szCs w:val="24"/>
        </w:rPr>
        <w:t>сталности</w:t>
      </w:r>
      <w:r w:rsidR="008832B3" w:rsidRPr="004122E2">
        <w:rPr>
          <w:rFonts w:ascii="Times New Roman" w:hAnsi="Times New Roman"/>
          <w:sz w:val="24"/>
          <w:szCs w:val="24"/>
        </w:rPr>
        <w:t>.</w:t>
      </w:r>
    </w:p>
    <w:p w:rsidR="004B680F" w:rsidRPr="004122E2" w:rsidRDefault="0040159E" w:rsidP="004122E2">
      <w:pPr>
        <w:jc w:val="both"/>
        <w:rPr>
          <w:rFonts w:ascii="Times New Roman" w:hAnsi="Times New Roman"/>
          <w:bCs/>
          <w:sz w:val="24"/>
          <w:szCs w:val="24"/>
          <w:lang w:val="sr-Cyrl-CS"/>
        </w:rPr>
      </w:pPr>
      <w:r w:rsidRPr="004122E2">
        <w:rPr>
          <w:rFonts w:ascii="Times New Roman" w:hAnsi="Times New Roman"/>
          <w:bCs/>
          <w:sz w:val="24"/>
          <w:szCs w:val="24"/>
          <w:lang w:val="sr-Cyrl-CS"/>
        </w:rPr>
        <w:tab/>
        <w:t xml:space="preserve">Поред наведене фактичке пореске основице, прописана је паушално утврђена пореска основица у случају када </w:t>
      </w:r>
      <w:bookmarkStart w:id="33" w:name="clan_33"/>
      <w:bookmarkStart w:id="34" w:name="clan_40"/>
      <w:bookmarkEnd w:id="33"/>
      <w:bookmarkEnd w:id="34"/>
      <w:r w:rsidRPr="004122E2">
        <w:rPr>
          <w:rFonts w:ascii="Times New Roman" w:hAnsi="Times New Roman"/>
          <w:sz w:val="24"/>
          <w:szCs w:val="24"/>
          <w:lang w:val="sr-Cyrl-CS"/>
        </w:rPr>
        <w:t>п</w:t>
      </w:r>
      <w:r w:rsidR="005D5E4A" w:rsidRPr="004122E2">
        <w:rPr>
          <w:rFonts w:ascii="Times New Roman" w:hAnsi="Times New Roman"/>
          <w:sz w:val="24"/>
          <w:szCs w:val="24"/>
        </w:rPr>
        <w:t>редузетник</w:t>
      </w:r>
      <w:r w:rsidRPr="004122E2">
        <w:rPr>
          <w:rFonts w:ascii="Times New Roman" w:hAnsi="Times New Roman"/>
          <w:sz w:val="24"/>
          <w:szCs w:val="24"/>
          <w:lang w:val="sr-Cyrl-CS"/>
        </w:rPr>
        <w:t xml:space="preserve">, </w:t>
      </w:r>
      <w:r w:rsidRPr="004122E2">
        <w:rPr>
          <w:rFonts w:ascii="Times New Roman" w:hAnsi="Times New Roman"/>
          <w:sz w:val="24"/>
          <w:szCs w:val="24"/>
        </w:rPr>
        <w:t xml:space="preserve"> </w:t>
      </w:r>
      <w:r w:rsidR="005D5E4A" w:rsidRPr="004122E2">
        <w:rPr>
          <w:rFonts w:ascii="Times New Roman" w:hAnsi="Times New Roman"/>
          <w:sz w:val="24"/>
          <w:szCs w:val="24"/>
        </w:rPr>
        <w:t>обзиром</w:t>
      </w:r>
      <w:r w:rsidR="00535ACD" w:rsidRPr="004122E2">
        <w:rPr>
          <w:rFonts w:ascii="Times New Roman" w:hAnsi="Times New Roman"/>
          <w:sz w:val="24"/>
          <w:szCs w:val="24"/>
        </w:rPr>
        <w:t xml:space="preserve"> </w:t>
      </w:r>
      <w:r w:rsidR="005D5E4A" w:rsidRPr="004122E2">
        <w:rPr>
          <w:rFonts w:ascii="Times New Roman" w:hAnsi="Times New Roman"/>
          <w:sz w:val="24"/>
          <w:szCs w:val="24"/>
        </w:rPr>
        <w:t>на</w:t>
      </w:r>
      <w:r w:rsidR="00535ACD" w:rsidRPr="004122E2">
        <w:rPr>
          <w:rFonts w:ascii="Times New Roman" w:hAnsi="Times New Roman"/>
          <w:sz w:val="24"/>
          <w:szCs w:val="24"/>
        </w:rPr>
        <w:t xml:space="preserve"> </w:t>
      </w:r>
      <w:r w:rsidR="005D5E4A" w:rsidRPr="004122E2">
        <w:rPr>
          <w:rFonts w:ascii="Times New Roman" w:hAnsi="Times New Roman"/>
          <w:sz w:val="24"/>
          <w:szCs w:val="24"/>
        </w:rPr>
        <w:t>околности</w:t>
      </w:r>
      <w:r w:rsidRPr="004122E2">
        <w:rPr>
          <w:rFonts w:ascii="Times New Roman" w:hAnsi="Times New Roman"/>
          <w:sz w:val="24"/>
          <w:szCs w:val="24"/>
          <w:lang w:val="sr-Cyrl-CS"/>
        </w:rPr>
        <w:t>,</w:t>
      </w:r>
      <w:r w:rsidR="00535ACD" w:rsidRPr="004122E2">
        <w:rPr>
          <w:rFonts w:ascii="Times New Roman" w:hAnsi="Times New Roman"/>
          <w:sz w:val="24"/>
          <w:szCs w:val="24"/>
        </w:rPr>
        <w:t xml:space="preserve"> </w:t>
      </w:r>
      <w:r w:rsidR="005D5E4A" w:rsidRPr="004122E2">
        <w:rPr>
          <w:rFonts w:ascii="Times New Roman" w:hAnsi="Times New Roman"/>
          <w:sz w:val="24"/>
          <w:szCs w:val="24"/>
        </w:rPr>
        <w:t>није</w:t>
      </w:r>
      <w:r w:rsidR="00535ACD" w:rsidRPr="004122E2">
        <w:rPr>
          <w:rFonts w:ascii="Times New Roman" w:hAnsi="Times New Roman"/>
          <w:sz w:val="24"/>
          <w:szCs w:val="24"/>
        </w:rPr>
        <w:t xml:space="preserve"> </w:t>
      </w:r>
      <w:r w:rsidR="005D5E4A" w:rsidRPr="004122E2">
        <w:rPr>
          <w:rFonts w:ascii="Times New Roman" w:hAnsi="Times New Roman"/>
          <w:sz w:val="24"/>
          <w:szCs w:val="24"/>
        </w:rPr>
        <w:t>у</w:t>
      </w:r>
      <w:r w:rsidR="00535ACD" w:rsidRPr="004122E2">
        <w:rPr>
          <w:rFonts w:ascii="Times New Roman" w:hAnsi="Times New Roman"/>
          <w:sz w:val="24"/>
          <w:szCs w:val="24"/>
        </w:rPr>
        <w:t xml:space="preserve"> </w:t>
      </w:r>
      <w:r w:rsidR="005D5E4A" w:rsidRPr="004122E2">
        <w:rPr>
          <w:rFonts w:ascii="Times New Roman" w:hAnsi="Times New Roman"/>
          <w:sz w:val="24"/>
          <w:szCs w:val="24"/>
        </w:rPr>
        <w:t>стању</w:t>
      </w:r>
      <w:r w:rsidR="00535ACD" w:rsidRPr="004122E2">
        <w:rPr>
          <w:rFonts w:ascii="Times New Roman" w:hAnsi="Times New Roman"/>
          <w:sz w:val="24"/>
          <w:szCs w:val="24"/>
        </w:rPr>
        <w:t xml:space="preserve"> </w:t>
      </w:r>
      <w:r w:rsidR="005D5E4A" w:rsidRPr="004122E2">
        <w:rPr>
          <w:rFonts w:ascii="Times New Roman" w:hAnsi="Times New Roman"/>
          <w:sz w:val="24"/>
          <w:szCs w:val="24"/>
        </w:rPr>
        <w:t>да</w:t>
      </w:r>
      <w:r w:rsidR="00535ACD" w:rsidRPr="004122E2">
        <w:rPr>
          <w:rFonts w:ascii="Times New Roman" w:hAnsi="Times New Roman"/>
          <w:sz w:val="24"/>
          <w:szCs w:val="24"/>
        </w:rPr>
        <w:t xml:space="preserve"> </w:t>
      </w:r>
      <w:r w:rsidR="005D5E4A" w:rsidRPr="004122E2">
        <w:rPr>
          <w:rFonts w:ascii="Times New Roman" w:hAnsi="Times New Roman"/>
          <w:sz w:val="24"/>
          <w:szCs w:val="24"/>
        </w:rPr>
        <w:t>води</w:t>
      </w:r>
      <w:r w:rsidR="00535ACD" w:rsidRPr="004122E2">
        <w:rPr>
          <w:rFonts w:ascii="Times New Roman" w:hAnsi="Times New Roman"/>
          <w:sz w:val="24"/>
          <w:szCs w:val="24"/>
        </w:rPr>
        <w:t xml:space="preserve"> </w:t>
      </w:r>
      <w:r w:rsidR="005D5E4A" w:rsidRPr="004122E2">
        <w:rPr>
          <w:rFonts w:ascii="Times New Roman" w:hAnsi="Times New Roman"/>
          <w:sz w:val="24"/>
          <w:szCs w:val="24"/>
        </w:rPr>
        <w:t>пословне</w:t>
      </w:r>
      <w:r w:rsidR="00535ACD" w:rsidRPr="004122E2">
        <w:rPr>
          <w:rFonts w:ascii="Times New Roman" w:hAnsi="Times New Roman"/>
          <w:sz w:val="24"/>
          <w:szCs w:val="24"/>
        </w:rPr>
        <w:t xml:space="preserve"> </w:t>
      </w:r>
      <w:r w:rsidR="005D5E4A" w:rsidRPr="004122E2">
        <w:rPr>
          <w:rFonts w:ascii="Times New Roman" w:hAnsi="Times New Roman"/>
          <w:sz w:val="24"/>
          <w:szCs w:val="24"/>
        </w:rPr>
        <w:t>књиге</w:t>
      </w:r>
      <w:r w:rsidR="00535ACD" w:rsidRPr="004122E2">
        <w:rPr>
          <w:rFonts w:ascii="Times New Roman" w:hAnsi="Times New Roman"/>
          <w:sz w:val="24"/>
          <w:szCs w:val="24"/>
        </w:rPr>
        <w:t xml:space="preserve">, </w:t>
      </w:r>
      <w:r w:rsidR="005D5E4A" w:rsidRPr="004122E2">
        <w:rPr>
          <w:rFonts w:ascii="Times New Roman" w:hAnsi="Times New Roman"/>
          <w:sz w:val="24"/>
          <w:szCs w:val="24"/>
        </w:rPr>
        <w:t>осим</w:t>
      </w:r>
      <w:r w:rsidR="00535ACD" w:rsidRPr="004122E2">
        <w:rPr>
          <w:rFonts w:ascii="Times New Roman" w:hAnsi="Times New Roman"/>
          <w:sz w:val="24"/>
          <w:szCs w:val="24"/>
        </w:rPr>
        <w:t xml:space="preserve"> </w:t>
      </w:r>
      <w:r w:rsidR="005D5E4A" w:rsidRPr="004122E2">
        <w:rPr>
          <w:rFonts w:ascii="Times New Roman" w:hAnsi="Times New Roman"/>
          <w:sz w:val="24"/>
          <w:szCs w:val="24"/>
        </w:rPr>
        <w:t>пословне</w:t>
      </w:r>
      <w:r w:rsidR="00535ACD" w:rsidRPr="004122E2">
        <w:rPr>
          <w:rFonts w:ascii="Times New Roman" w:hAnsi="Times New Roman"/>
          <w:sz w:val="24"/>
          <w:szCs w:val="24"/>
        </w:rPr>
        <w:t xml:space="preserve"> </w:t>
      </w:r>
      <w:r w:rsidR="005D5E4A" w:rsidRPr="004122E2">
        <w:rPr>
          <w:rFonts w:ascii="Times New Roman" w:hAnsi="Times New Roman"/>
          <w:sz w:val="24"/>
          <w:szCs w:val="24"/>
        </w:rPr>
        <w:t>књиге</w:t>
      </w:r>
      <w:r w:rsidR="00535ACD" w:rsidRPr="004122E2">
        <w:rPr>
          <w:rFonts w:ascii="Times New Roman" w:hAnsi="Times New Roman"/>
          <w:sz w:val="24"/>
          <w:szCs w:val="24"/>
        </w:rPr>
        <w:t xml:space="preserve"> </w:t>
      </w:r>
      <w:r w:rsidR="005D5E4A" w:rsidRPr="004122E2">
        <w:rPr>
          <w:rFonts w:ascii="Times New Roman" w:hAnsi="Times New Roman"/>
          <w:sz w:val="24"/>
          <w:szCs w:val="24"/>
        </w:rPr>
        <w:t>о</w:t>
      </w:r>
      <w:r w:rsidR="00535ACD" w:rsidRPr="004122E2">
        <w:rPr>
          <w:rFonts w:ascii="Times New Roman" w:hAnsi="Times New Roman"/>
          <w:sz w:val="24"/>
          <w:szCs w:val="24"/>
        </w:rPr>
        <w:t xml:space="preserve"> </w:t>
      </w:r>
      <w:r w:rsidR="005D5E4A" w:rsidRPr="004122E2">
        <w:rPr>
          <w:rFonts w:ascii="Times New Roman" w:hAnsi="Times New Roman"/>
          <w:sz w:val="24"/>
          <w:szCs w:val="24"/>
        </w:rPr>
        <w:t>оствареном</w:t>
      </w:r>
      <w:r w:rsidR="00535ACD" w:rsidRPr="004122E2">
        <w:rPr>
          <w:rFonts w:ascii="Times New Roman" w:hAnsi="Times New Roman"/>
          <w:sz w:val="24"/>
          <w:szCs w:val="24"/>
        </w:rPr>
        <w:t xml:space="preserve"> </w:t>
      </w:r>
      <w:r w:rsidR="005D5E4A" w:rsidRPr="004122E2">
        <w:rPr>
          <w:rFonts w:ascii="Times New Roman" w:hAnsi="Times New Roman"/>
          <w:sz w:val="24"/>
          <w:szCs w:val="24"/>
        </w:rPr>
        <w:t>промету</w:t>
      </w:r>
      <w:r w:rsidR="00535ACD" w:rsidRPr="004122E2">
        <w:rPr>
          <w:rFonts w:ascii="Times New Roman" w:hAnsi="Times New Roman"/>
          <w:sz w:val="24"/>
          <w:szCs w:val="24"/>
        </w:rPr>
        <w:t xml:space="preserve">, </w:t>
      </w:r>
      <w:r w:rsidR="005D5E4A" w:rsidRPr="004122E2">
        <w:rPr>
          <w:rFonts w:ascii="Times New Roman" w:hAnsi="Times New Roman"/>
          <w:sz w:val="24"/>
          <w:szCs w:val="24"/>
        </w:rPr>
        <w:t>или</w:t>
      </w:r>
      <w:r w:rsidR="00535ACD" w:rsidRPr="004122E2">
        <w:rPr>
          <w:rFonts w:ascii="Times New Roman" w:hAnsi="Times New Roman"/>
          <w:sz w:val="24"/>
          <w:szCs w:val="24"/>
        </w:rPr>
        <w:t xml:space="preserve"> </w:t>
      </w:r>
      <w:r w:rsidR="005D5E4A" w:rsidRPr="004122E2">
        <w:rPr>
          <w:rFonts w:ascii="Times New Roman" w:hAnsi="Times New Roman"/>
          <w:sz w:val="24"/>
          <w:szCs w:val="24"/>
        </w:rPr>
        <w:t>коме</w:t>
      </w:r>
      <w:r w:rsidR="00535ACD" w:rsidRPr="004122E2">
        <w:rPr>
          <w:rFonts w:ascii="Times New Roman" w:hAnsi="Times New Roman"/>
          <w:sz w:val="24"/>
          <w:szCs w:val="24"/>
        </w:rPr>
        <w:t xml:space="preserve"> </w:t>
      </w:r>
      <w:r w:rsidR="005D5E4A" w:rsidRPr="004122E2">
        <w:rPr>
          <w:rFonts w:ascii="Times New Roman" w:hAnsi="Times New Roman"/>
          <w:sz w:val="24"/>
          <w:szCs w:val="24"/>
        </w:rPr>
        <w:t>њихово</w:t>
      </w:r>
      <w:r w:rsidR="00535ACD" w:rsidRPr="004122E2">
        <w:rPr>
          <w:rFonts w:ascii="Times New Roman" w:hAnsi="Times New Roman"/>
          <w:sz w:val="24"/>
          <w:szCs w:val="24"/>
        </w:rPr>
        <w:t xml:space="preserve"> </w:t>
      </w:r>
      <w:r w:rsidR="005D5E4A" w:rsidRPr="004122E2">
        <w:rPr>
          <w:rFonts w:ascii="Times New Roman" w:hAnsi="Times New Roman"/>
          <w:sz w:val="24"/>
          <w:szCs w:val="24"/>
        </w:rPr>
        <w:t>вођење</w:t>
      </w:r>
      <w:r w:rsidRPr="004122E2">
        <w:rPr>
          <w:rFonts w:ascii="Times New Roman" w:hAnsi="Times New Roman"/>
          <w:sz w:val="24"/>
          <w:szCs w:val="24"/>
        </w:rPr>
        <w:t xml:space="preserve"> </w:t>
      </w:r>
      <w:r w:rsidR="005D5E4A" w:rsidRPr="004122E2">
        <w:rPr>
          <w:rFonts w:ascii="Times New Roman" w:hAnsi="Times New Roman"/>
          <w:sz w:val="24"/>
          <w:szCs w:val="24"/>
        </w:rPr>
        <w:t>отежава</w:t>
      </w:r>
      <w:r w:rsidRPr="004122E2">
        <w:rPr>
          <w:rFonts w:ascii="Times New Roman" w:hAnsi="Times New Roman"/>
          <w:sz w:val="24"/>
          <w:szCs w:val="24"/>
        </w:rPr>
        <w:t xml:space="preserve"> </w:t>
      </w:r>
      <w:r w:rsidR="005D5E4A" w:rsidRPr="004122E2">
        <w:rPr>
          <w:rFonts w:ascii="Times New Roman" w:hAnsi="Times New Roman"/>
          <w:sz w:val="24"/>
          <w:szCs w:val="24"/>
        </w:rPr>
        <w:t>обављање</w:t>
      </w:r>
      <w:r w:rsidRPr="004122E2">
        <w:rPr>
          <w:rFonts w:ascii="Times New Roman" w:hAnsi="Times New Roman"/>
          <w:sz w:val="24"/>
          <w:szCs w:val="24"/>
        </w:rPr>
        <w:t xml:space="preserve"> </w:t>
      </w:r>
      <w:r w:rsidR="005D5E4A" w:rsidRPr="004122E2">
        <w:rPr>
          <w:rFonts w:ascii="Times New Roman" w:hAnsi="Times New Roman"/>
          <w:sz w:val="24"/>
          <w:szCs w:val="24"/>
        </w:rPr>
        <w:t>делатности</w:t>
      </w:r>
      <w:r w:rsidRPr="004122E2">
        <w:rPr>
          <w:rFonts w:ascii="Times New Roman" w:hAnsi="Times New Roman"/>
          <w:sz w:val="24"/>
          <w:szCs w:val="24"/>
          <w:lang w:val="sr-Cyrl-CS"/>
        </w:rPr>
        <w:t>. Тада</w:t>
      </w:r>
      <w:r w:rsidR="00535ACD" w:rsidRPr="004122E2">
        <w:rPr>
          <w:rFonts w:ascii="Times New Roman" w:hAnsi="Times New Roman"/>
          <w:sz w:val="24"/>
          <w:szCs w:val="24"/>
        </w:rPr>
        <w:t xml:space="preserve"> </w:t>
      </w:r>
      <w:r w:rsidR="005D5E4A" w:rsidRPr="004122E2">
        <w:rPr>
          <w:rFonts w:ascii="Times New Roman" w:hAnsi="Times New Roman"/>
          <w:sz w:val="24"/>
          <w:szCs w:val="24"/>
        </w:rPr>
        <w:t>има</w:t>
      </w:r>
      <w:r w:rsidR="00535ACD" w:rsidRPr="004122E2">
        <w:rPr>
          <w:rFonts w:ascii="Times New Roman" w:hAnsi="Times New Roman"/>
          <w:sz w:val="24"/>
          <w:szCs w:val="24"/>
        </w:rPr>
        <w:t xml:space="preserve"> </w:t>
      </w:r>
      <w:r w:rsidR="005D5E4A" w:rsidRPr="004122E2">
        <w:rPr>
          <w:rFonts w:ascii="Times New Roman" w:hAnsi="Times New Roman"/>
          <w:sz w:val="24"/>
          <w:szCs w:val="24"/>
        </w:rPr>
        <w:t>право</w:t>
      </w:r>
      <w:r w:rsidR="00535ACD" w:rsidRPr="004122E2">
        <w:rPr>
          <w:rFonts w:ascii="Times New Roman" w:hAnsi="Times New Roman"/>
          <w:sz w:val="24"/>
          <w:szCs w:val="24"/>
        </w:rPr>
        <w:t xml:space="preserve"> </w:t>
      </w:r>
      <w:r w:rsidR="005D5E4A" w:rsidRPr="004122E2">
        <w:rPr>
          <w:rFonts w:ascii="Times New Roman" w:hAnsi="Times New Roman"/>
          <w:sz w:val="24"/>
          <w:szCs w:val="24"/>
        </w:rPr>
        <w:t>да</w:t>
      </w:r>
      <w:r w:rsidR="00535ACD" w:rsidRPr="004122E2">
        <w:rPr>
          <w:rFonts w:ascii="Times New Roman" w:hAnsi="Times New Roman"/>
          <w:sz w:val="24"/>
          <w:szCs w:val="24"/>
        </w:rPr>
        <w:t xml:space="preserve"> </w:t>
      </w:r>
      <w:r w:rsidR="005D5E4A" w:rsidRPr="004122E2">
        <w:rPr>
          <w:rFonts w:ascii="Times New Roman" w:hAnsi="Times New Roman"/>
          <w:sz w:val="24"/>
          <w:szCs w:val="24"/>
        </w:rPr>
        <w:t>поднесе</w:t>
      </w:r>
      <w:r w:rsidR="00535ACD" w:rsidRPr="004122E2">
        <w:rPr>
          <w:rFonts w:ascii="Times New Roman" w:hAnsi="Times New Roman"/>
          <w:sz w:val="24"/>
          <w:szCs w:val="24"/>
        </w:rPr>
        <w:t xml:space="preserve"> </w:t>
      </w:r>
      <w:r w:rsidR="005D5E4A" w:rsidRPr="004122E2">
        <w:rPr>
          <w:rFonts w:ascii="Times New Roman" w:hAnsi="Times New Roman"/>
          <w:sz w:val="24"/>
          <w:szCs w:val="24"/>
        </w:rPr>
        <w:t>захтев</w:t>
      </w:r>
      <w:r w:rsidR="00535ACD" w:rsidRPr="004122E2">
        <w:rPr>
          <w:rFonts w:ascii="Times New Roman" w:hAnsi="Times New Roman"/>
          <w:sz w:val="24"/>
          <w:szCs w:val="24"/>
        </w:rPr>
        <w:t xml:space="preserve"> </w:t>
      </w:r>
      <w:r w:rsidR="005D5E4A" w:rsidRPr="004122E2">
        <w:rPr>
          <w:rFonts w:ascii="Times New Roman" w:hAnsi="Times New Roman"/>
          <w:sz w:val="24"/>
          <w:szCs w:val="24"/>
        </w:rPr>
        <w:t>да</w:t>
      </w:r>
      <w:r w:rsidR="00535ACD" w:rsidRPr="004122E2">
        <w:rPr>
          <w:rFonts w:ascii="Times New Roman" w:hAnsi="Times New Roman"/>
          <w:sz w:val="24"/>
          <w:szCs w:val="24"/>
        </w:rPr>
        <w:t xml:space="preserve"> </w:t>
      </w:r>
      <w:r w:rsidR="005D5E4A" w:rsidRPr="004122E2">
        <w:rPr>
          <w:rFonts w:ascii="Times New Roman" w:hAnsi="Times New Roman"/>
          <w:sz w:val="24"/>
          <w:szCs w:val="24"/>
        </w:rPr>
        <w:t>порез</w:t>
      </w:r>
      <w:r w:rsidR="00535ACD" w:rsidRPr="004122E2">
        <w:rPr>
          <w:rFonts w:ascii="Times New Roman" w:hAnsi="Times New Roman"/>
          <w:sz w:val="24"/>
          <w:szCs w:val="24"/>
        </w:rPr>
        <w:t xml:space="preserve"> </w:t>
      </w:r>
      <w:r w:rsidR="005D5E4A" w:rsidRPr="004122E2">
        <w:rPr>
          <w:rFonts w:ascii="Times New Roman" w:hAnsi="Times New Roman"/>
          <w:sz w:val="24"/>
          <w:szCs w:val="24"/>
        </w:rPr>
        <w:t>на</w:t>
      </w:r>
      <w:r w:rsidR="00535ACD" w:rsidRPr="004122E2">
        <w:rPr>
          <w:rFonts w:ascii="Times New Roman" w:hAnsi="Times New Roman"/>
          <w:sz w:val="24"/>
          <w:szCs w:val="24"/>
        </w:rPr>
        <w:t xml:space="preserve"> </w:t>
      </w:r>
      <w:r w:rsidR="005D5E4A" w:rsidRPr="004122E2">
        <w:rPr>
          <w:rFonts w:ascii="Times New Roman" w:hAnsi="Times New Roman"/>
          <w:sz w:val="24"/>
          <w:szCs w:val="24"/>
        </w:rPr>
        <w:t>приходе</w:t>
      </w:r>
      <w:r w:rsidR="00535ACD" w:rsidRPr="004122E2">
        <w:rPr>
          <w:rFonts w:ascii="Times New Roman" w:hAnsi="Times New Roman"/>
          <w:sz w:val="24"/>
          <w:szCs w:val="24"/>
        </w:rPr>
        <w:t xml:space="preserve"> </w:t>
      </w:r>
      <w:r w:rsidR="005D5E4A" w:rsidRPr="004122E2">
        <w:rPr>
          <w:rFonts w:ascii="Times New Roman" w:hAnsi="Times New Roman"/>
          <w:sz w:val="24"/>
          <w:szCs w:val="24"/>
        </w:rPr>
        <w:t>од</w:t>
      </w:r>
      <w:r w:rsidR="00535ACD" w:rsidRPr="004122E2">
        <w:rPr>
          <w:rFonts w:ascii="Times New Roman" w:hAnsi="Times New Roman"/>
          <w:sz w:val="24"/>
          <w:szCs w:val="24"/>
        </w:rPr>
        <w:t xml:space="preserve"> </w:t>
      </w:r>
      <w:r w:rsidR="005D5E4A" w:rsidRPr="004122E2">
        <w:rPr>
          <w:rFonts w:ascii="Times New Roman" w:hAnsi="Times New Roman"/>
          <w:sz w:val="24"/>
          <w:szCs w:val="24"/>
        </w:rPr>
        <w:t>самосталне</w:t>
      </w:r>
      <w:r w:rsidR="00535ACD" w:rsidRPr="004122E2">
        <w:rPr>
          <w:rFonts w:ascii="Times New Roman" w:hAnsi="Times New Roman"/>
          <w:sz w:val="24"/>
          <w:szCs w:val="24"/>
        </w:rPr>
        <w:t xml:space="preserve"> </w:t>
      </w:r>
      <w:r w:rsidR="005D5E4A" w:rsidRPr="004122E2">
        <w:rPr>
          <w:rFonts w:ascii="Times New Roman" w:hAnsi="Times New Roman"/>
          <w:sz w:val="24"/>
          <w:szCs w:val="24"/>
        </w:rPr>
        <w:t>делатности</w:t>
      </w:r>
      <w:r w:rsidR="00535ACD" w:rsidRPr="004122E2">
        <w:rPr>
          <w:rFonts w:ascii="Times New Roman" w:hAnsi="Times New Roman"/>
          <w:sz w:val="24"/>
          <w:szCs w:val="24"/>
        </w:rPr>
        <w:t xml:space="preserve"> </w:t>
      </w:r>
      <w:r w:rsidR="005D5E4A" w:rsidRPr="004122E2">
        <w:rPr>
          <w:rFonts w:ascii="Times New Roman" w:hAnsi="Times New Roman"/>
          <w:sz w:val="24"/>
          <w:szCs w:val="24"/>
        </w:rPr>
        <w:t>плаћа</w:t>
      </w:r>
      <w:r w:rsidR="00535ACD" w:rsidRPr="004122E2">
        <w:rPr>
          <w:rFonts w:ascii="Times New Roman" w:hAnsi="Times New Roman"/>
          <w:sz w:val="24"/>
          <w:szCs w:val="24"/>
        </w:rPr>
        <w:t xml:space="preserve"> </w:t>
      </w:r>
      <w:r w:rsidR="005D5E4A" w:rsidRPr="004122E2">
        <w:rPr>
          <w:rFonts w:ascii="Times New Roman" w:hAnsi="Times New Roman"/>
          <w:sz w:val="24"/>
          <w:szCs w:val="24"/>
        </w:rPr>
        <w:t>на</w:t>
      </w:r>
      <w:r w:rsidR="00535ACD" w:rsidRPr="004122E2">
        <w:rPr>
          <w:rFonts w:ascii="Times New Roman" w:hAnsi="Times New Roman"/>
          <w:sz w:val="24"/>
          <w:szCs w:val="24"/>
        </w:rPr>
        <w:t xml:space="preserve"> </w:t>
      </w:r>
      <w:r w:rsidR="005D5E4A" w:rsidRPr="004122E2">
        <w:rPr>
          <w:rFonts w:ascii="Times New Roman" w:hAnsi="Times New Roman"/>
          <w:sz w:val="24"/>
          <w:szCs w:val="24"/>
        </w:rPr>
        <w:t>паушално</w:t>
      </w:r>
      <w:r w:rsidR="00535ACD" w:rsidRPr="004122E2">
        <w:rPr>
          <w:rFonts w:ascii="Times New Roman" w:hAnsi="Times New Roman"/>
          <w:sz w:val="24"/>
          <w:szCs w:val="24"/>
        </w:rPr>
        <w:t xml:space="preserve"> </w:t>
      </w:r>
      <w:r w:rsidR="005D5E4A" w:rsidRPr="004122E2">
        <w:rPr>
          <w:rFonts w:ascii="Times New Roman" w:hAnsi="Times New Roman"/>
          <w:sz w:val="24"/>
          <w:szCs w:val="24"/>
        </w:rPr>
        <w:t>утврђен</w:t>
      </w:r>
      <w:r w:rsidRPr="004122E2">
        <w:rPr>
          <w:rFonts w:ascii="Times New Roman" w:hAnsi="Times New Roman"/>
          <w:sz w:val="24"/>
          <w:szCs w:val="24"/>
        </w:rPr>
        <w:t xml:space="preserve"> </w:t>
      </w:r>
      <w:r w:rsidR="005D5E4A" w:rsidRPr="004122E2">
        <w:rPr>
          <w:rFonts w:ascii="Times New Roman" w:hAnsi="Times New Roman"/>
          <w:sz w:val="24"/>
          <w:szCs w:val="24"/>
        </w:rPr>
        <w:t>приход</w:t>
      </w:r>
      <w:r w:rsidRPr="004122E2">
        <w:rPr>
          <w:rFonts w:ascii="Times New Roman" w:hAnsi="Times New Roman"/>
          <w:sz w:val="24"/>
          <w:szCs w:val="24"/>
        </w:rPr>
        <w:t xml:space="preserve"> </w:t>
      </w:r>
      <w:r w:rsidR="00535ACD" w:rsidRPr="004122E2">
        <w:rPr>
          <w:rFonts w:ascii="Times New Roman" w:hAnsi="Times New Roman"/>
          <w:sz w:val="24"/>
          <w:szCs w:val="24"/>
        </w:rPr>
        <w:t xml:space="preserve"> </w:t>
      </w:r>
      <w:r w:rsidRPr="004122E2">
        <w:rPr>
          <w:rFonts w:ascii="Times New Roman" w:hAnsi="Times New Roman"/>
          <w:sz w:val="24"/>
          <w:szCs w:val="24"/>
          <w:lang w:val="sr-Cyrl-CS"/>
        </w:rPr>
        <w:t>(</w:t>
      </w:r>
      <w:r w:rsidR="005D5E4A" w:rsidRPr="004122E2">
        <w:rPr>
          <w:rFonts w:ascii="Times New Roman" w:hAnsi="Times New Roman"/>
          <w:sz w:val="24"/>
          <w:szCs w:val="24"/>
        </w:rPr>
        <w:t>паушално</w:t>
      </w:r>
      <w:r w:rsidR="00535ACD" w:rsidRPr="004122E2">
        <w:rPr>
          <w:rFonts w:ascii="Times New Roman" w:hAnsi="Times New Roman"/>
          <w:sz w:val="24"/>
          <w:szCs w:val="24"/>
        </w:rPr>
        <w:t xml:space="preserve"> </w:t>
      </w:r>
      <w:r w:rsidR="005D5E4A" w:rsidRPr="004122E2">
        <w:rPr>
          <w:rFonts w:ascii="Times New Roman" w:hAnsi="Times New Roman"/>
          <w:sz w:val="24"/>
          <w:szCs w:val="24"/>
        </w:rPr>
        <w:t>опорезивање</w:t>
      </w:r>
      <w:r w:rsidR="00535ACD" w:rsidRPr="004122E2">
        <w:rPr>
          <w:rFonts w:ascii="Times New Roman" w:hAnsi="Times New Roman"/>
          <w:sz w:val="24"/>
          <w:szCs w:val="24"/>
        </w:rPr>
        <w:t>).</w:t>
      </w:r>
    </w:p>
    <w:p w:rsidR="008832B3" w:rsidRDefault="008832B3" w:rsidP="00683DF2">
      <w:pPr>
        <w:ind w:firstLine="708"/>
        <w:jc w:val="both"/>
        <w:rPr>
          <w:rFonts w:ascii="Times New Roman" w:hAnsi="Times New Roman"/>
          <w:color w:val="000000"/>
          <w:sz w:val="24"/>
          <w:szCs w:val="24"/>
          <w:shd w:val="clear" w:color="auto" w:fill="FFFFFF"/>
          <w:lang w:val="sr-Cyrl-CS"/>
        </w:rPr>
      </w:pPr>
      <w:r w:rsidRPr="00683DF2">
        <w:rPr>
          <w:rFonts w:ascii="Times New Roman" w:hAnsi="Times New Roman"/>
          <w:color w:val="000000"/>
          <w:sz w:val="24"/>
          <w:szCs w:val="24"/>
          <w:shd w:val="clear" w:color="auto" w:fill="FFFFFF"/>
          <w:lang w:val="sr-Cyrl-CS"/>
        </w:rPr>
        <w:t>Пореска обавеза настаје даном регистровања односн</w:t>
      </w:r>
      <w:r w:rsidR="005D5E4A" w:rsidRPr="00683DF2">
        <w:rPr>
          <w:rFonts w:ascii="Times New Roman" w:hAnsi="Times New Roman"/>
          <w:color w:val="000000"/>
          <w:sz w:val="24"/>
          <w:szCs w:val="24"/>
          <w:shd w:val="clear" w:color="auto" w:fill="FFFFFF"/>
          <w:lang w:val="sr-Cyrl-CS"/>
        </w:rPr>
        <w:t>о отпочињања обављања самосталне</w:t>
      </w:r>
      <w:r w:rsidRPr="00683DF2">
        <w:rPr>
          <w:rFonts w:ascii="Times New Roman" w:hAnsi="Times New Roman"/>
          <w:color w:val="000000"/>
          <w:sz w:val="24"/>
          <w:szCs w:val="24"/>
          <w:shd w:val="clear" w:color="auto" w:fill="FFFFFF"/>
          <w:lang w:val="sr-Cyrl-CS"/>
        </w:rPr>
        <w:t xml:space="preserve"> делатности.</w:t>
      </w:r>
      <w:r w:rsidR="005D5E4A" w:rsidRPr="00683DF2">
        <w:rPr>
          <w:rFonts w:ascii="Times New Roman" w:hAnsi="Times New Roman"/>
          <w:color w:val="000000"/>
          <w:sz w:val="24"/>
          <w:szCs w:val="24"/>
          <w:shd w:val="clear" w:color="auto" w:fill="FFFFFF"/>
          <w:lang w:val="sr-Cyrl-CS"/>
        </w:rPr>
        <w:t xml:space="preserve"> Пореске</w:t>
      </w:r>
      <w:r w:rsidRPr="00683DF2">
        <w:rPr>
          <w:rFonts w:ascii="Times New Roman" w:hAnsi="Times New Roman"/>
          <w:color w:val="000000"/>
          <w:sz w:val="24"/>
          <w:szCs w:val="24"/>
          <w:shd w:val="clear" w:color="auto" w:fill="FFFFFF"/>
          <w:lang w:val="sr-Cyrl-CS"/>
        </w:rPr>
        <w:t xml:space="preserve"> олакшице се одобравају на начин </w:t>
      </w:r>
      <w:r w:rsidR="005D5E4A" w:rsidRPr="00683DF2">
        <w:rPr>
          <w:rFonts w:ascii="Times New Roman" w:hAnsi="Times New Roman"/>
          <w:color w:val="000000"/>
          <w:sz w:val="24"/>
          <w:szCs w:val="24"/>
          <w:shd w:val="clear" w:color="auto" w:fill="FFFFFF"/>
          <w:lang w:val="sr-Cyrl-CS"/>
        </w:rPr>
        <w:t xml:space="preserve">прописан </w:t>
      </w:r>
      <w:r w:rsidRPr="00683DF2">
        <w:rPr>
          <w:rFonts w:ascii="Times New Roman" w:hAnsi="Times New Roman"/>
          <w:color w:val="000000"/>
          <w:sz w:val="24"/>
          <w:szCs w:val="24"/>
          <w:shd w:val="clear" w:color="auto" w:fill="FFFFFF"/>
          <w:lang w:val="sr-Cyrl-CS"/>
        </w:rPr>
        <w:t>Законом о порезу на добит правних лица.</w:t>
      </w:r>
    </w:p>
    <w:p w:rsidR="004B680F" w:rsidRDefault="004B680F" w:rsidP="00683DF2">
      <w:pPr>
        <w:ind w:firstLine="708"/>
        <w:jc w:val="both"/>
        <w:rPr>
          <w:rFonts w:ascii="Times New Roman" w:hAnsi="Times New Roman"/>
          <w:bCs/>
          <w:color w:val="000000"/>
          <w:sz w:val="24"/>
          <w:szCs w:val="24"/>
          <w:lang w:val="sr-Cyrl-CS"/>
        </w:rPr>
      </w:pPr>
      <w:r>
        <w:rPr>
          <w:rFonts w:ascii="Times New Roman" w:hAnsi="Times New Roman"/>
          <w:color w:val="000000"/>
          <w:sz w:val="24"/>
          <w:szCs w:val="24"/>
          <w:shd w:val="clear" w:color="auto" w:fill="FFFFFF"/>
          <w:lang w:val="sr-Cyrl-CS"/>
        </w:rPr>
        <w:t>Везано за наведено паушално опорезивање у мишљењу Министарства фина</w:t>
      </w:r>
      <w:r w:rsidR="004122E2">
        <w:rPr>
          <w:rFonts w:ascii="Times New Roman" w:hAnsi="Times New Roman"/>
          <w:color w:val="000000"/>
          <w:sz w:val="24"/>
          <w:szCs w:val="24"/>
          <w:shd w:val="clear" w:color="auto" w:fill="FFFFFF"/>
          <w:lang w:val="sr-Cyrl-CS"/>
        </w:rPr>
        <w:t>н</w:t>
      </w:r>
      <w:r>
        <w:rPr>
          <w:rFonts w:ascii="Times New Roman" w:hAnsi="Times New Roman"/>
          <w:color w:val="000000"/>
          <w:sz w:val="24"/>
          <w:szCs w:val="24"/>
          <w:shd w:val="clear" w:color="auto" w:fill="FFFFFF"/>
          <w:lang w:val="sr-Cyrl-CS"/>
        </w:rPr>
        <w:t xml:space="preserve">сија и привреде </w:t>
      </w:r>
      <w:r w:rsidRPr="004B680F">
        <w:rPr>
          <w:rFonts w:ascii="Times New Roman" w:hAnsi="Times New Roman"/>
          <w:b/>
          <w:color w:val="000000"/>
          <w:sz w:val="24"/>
          <w:szCs w:val="24"/>
          <w:shd w:val="clear" w:color="auto" w:fill="FFFFFF"/>
          <w:lang w:val="sr-Cyrl-CS"/>
        </w:rPr>
        <w:t>бр.</w:t>
      </w:r>
      <w:r w:rsidRPr="004B680F">
        <w:rPr>
          <w:rFonts w:ascii="Times New Roman" w:hAnsi="Times New Roman"/>
          <w:b/>
          <w:bCs/>
          <w:color w:val="000000"/>
          <w:sz w:val="24"/>
          <w:szCs w:val="24"/>
        </w:rPr>
        <w:t xml:space="preserve"> 414-00-10/2012-04 od 15.10.2012. </w:t>
      </w:r>
      <w:r w:rsidRPr="004B680F">
        <w:rPr>
          <w:rFonts w:ascii="Times New Roman" w:hAnsi="Times New Roman"/>
          <w:bCs/>
          <w:color w:val="000000"/>
          <w:sz w:val="24"/>
          <w:szCs w:val="24"/>
          <w:lang w:val="sr-Cyrl-CS"/>
        </w:rPr>
        <w:t>године</w:t>
      </w:r>
      <w:r w:rsidR="00A15C70">
        <w:rPr>
          <w:rFonts w:ascii="Times New Roman" w:hAnsi="Times New Roman"/>
          <w:bCs/>
          <w:color w:val="000000"/>
          <w:sz w:val="24"/>
          <w:szCs w:val="24"/>
          <w:lang w:val="sr-Cyrl-CS"/>
        </w:rPr>
        <w:t xml:space="preserve">, између осталог, </w:t>
      </w:r>
      <w:r w:rsidRPr="004B680F">
        <w:rPr>
          <w:rFonts w:ascii="Times New Roman" w:hAnsi="Times New Roman"/>
          <w:bCs/>
          <w:color w:val="000000"/>
          <w:sz w:val="24"/>
          <w:szCs w:val="24"/>
          <w:lang w:val="sr-Cyrl-CS"/>
        </w:rPr>
        <w:t xml:space="preserve">наводи </w:t>
      </w:r>
      <w:r w:rsidR="00A15C70">
        <w:rPr>
          <w:rFonts w:ascii="Times New Roman" w:hAnsi="Times New Roman"/>
          <w:bCs/>
          <w:color w:val="000000"/>
          <w:sz w:val="24"/>
          <w:szCs w:val="24"/>
          <w:lang w:val="sr-Cyrl-CS"/>
        </w:rPr>
        <w:t xml:space="preserve">се </w:t>
      </w:r>
      <w:r w:rsidRPr="004B680F">
        <w:rPr>
          <w:rFonts w:ascii="Times New Roman" w:hAnsi="Times New Roman"/>
          <w:bCs/>
          <w:color w:val="000000"/>
          <w:sz w:val="24"/>
          <w:szCs w:val="24"/>
          <w:lang w:val="sr-Cyrl-CS"/>
        </w:rPr>
        <w:t>следеће:</w:t>
      </w:r>
    </w:p>
    <w:p w:rsidR="00A15C70" w:rsidRPr="00C9143B" w:rsidRDefault="00A15C70" w:rsidP="005E086E">
      <w:pPr>
        <w:jc w:val="both"/>
        <w:rPr>
          <w:rFonts w:ascii="Times New Roman" w:hAnsi="Times New Roman"/>
          <w:sz w:val="24"/>
          <w:szCs w:val="24"/>
          <w:lang w:val="sr-Cyrl-CS"/>
        </w:rPr>
      </w:pPr>
      <w:r w:rsidRPr="00C9143B">
        <w:rPr>
          <w:rFonts w:ascii="Times New Roman" w:hAnsi="Times New Roman"/>
          <w:sz w:val="24"/>
          <w:szCs w:val="24"/>
          <w:shd w:val="clear" w:color="auto" w:fill="FFFFFF"/>
          <w:lang w:val="sr-Cyrl-CS"/>
        </w:rPr>
        <w:t>„</w:t>
      </w:r>
      <w:r w:rsidRPr="00C9143B">
        <w:rPr>
          <w:rFonts w:ascii="Times New Roman" w:hAnsi="Times New Roman"/>
          <w:sz w:val="24"/>
          <w:szCs w:val="24"/>
          <w:lang w:val="sr-Cyrl-CS"/>
        </w:rPr>
        <w:t>Паушални приход се утврђује у складу са одређеним критеријумима и елементима, као што су: висина просечне месечне зараде по запосленом у Републици, општини, граду и округу остварене у години која претходи години за коју се утврђује паушални приход; место на коме се радња налази; опремљеност радње; број запослених радника и ангажованих чланова породице; тржишни услови у којима се делатност обавља; површина локала; старост обвезника и његова радна способност; висина прихода обвезника, који под истим или сличним условима обавља исту или сличну делатност; остале околности које утичу на остваривање добити.</w:t>
      </w:r>
    </w:p>
    <w:p w:rsidR="00A15C70" w:rsidRPr="004122E2" w:rsidRDefault="00A15C70" w:rsidP="004122E2">
      <w:pPr>
        <w:jc w:val="both"/>
        <w:rPr>
          <w:rFonts w:ascii="Times New Roman" w:hAnsi="Times New Roman"/>
          <w:sz w:val="24"/>
          <w:szCs w:val="24"/>
          <w:lang w:val="sr-Cyrl-CS"/>
        </w:rPr>
      </w:pPr>
      <w:r w:rsidRPr="00C9143B">
        <w:rPr>
          <w:rFonts w:ascii="Times New Roman" w:hAnsi="Times New Roman"/>
          <w:sz w:val="24"/>
          <w:szCs w:val="24"/>
          <w:lang w:val="sr-Cyrl-CS"/>
        </w:rPr>
        <w:lastRenderedPageBreak/>
        <w:t xml:space="preserve">Иначе, критеријуми и елементи за паушално опорезивање ближе су уређени Уредбом о ближим условима, критеријумима и елементима за паушално опорезивање обвезника пореза на приходе од самосталне делатности ("Сл. гласник РС", бр. 65/2001, 45/2002, 47/2002, 91/2002, 23/2003, 16/2004, 76/2004 и 31/2005)." </w:t>
      </w:r>
      <w:r w:rsidR="004122E2">
        <w:rPr>
          <w:rFonts w:ascii="Times New Roman" w:hAnsi="Times New Roman"/>
          <w:sz w:val="24"/>
          <w:szCs w:val="24"/>
          <w:lang w:val="sr-Cyrl-CS"/>
        </w:rPr>
        <w:t xml:space="preserve"> </w:t>
      </w:r>
    </w:p>
    <w:p w:rsidR="00644FCF" w:rsidRDefault="006C0E08" w:rsidP="00644FCF">
      <w:pPr>
        <w:ind w:firstLine="708"/>
        <w:jc w:val="both"/>
        <w:rPr>
          <w:rFonts w:ascii="Times New Roman" w:hAnsi="Times New Roman"/>
          <w:bCs/>
          <w:color w:val="000000"/>
          <w:sz w:val="24"/>
          <w:szCs w:val="24"/>
          <w:shd w:val="clear" w:color="auto" w:fill="FFFFFF"/>
          <w:lang w:val="sr-Cyrl-CS"/>
        </w:rPr>
      </w:pPr>
      <w:r>
        <w:rPr>
          <w:rFonts w:ascii="Times New Roman" w:hAnsi="Times New Roman"/>
          <w:color w:val="000000"/>
          <w:sz w:val="24"/>
          <w:szCs w:val="24"/>
          <w:shd w:val="clear" w:color="auto" w:fill="FFFFFF"/>
          <w:lang w:val="sr-Cyrl-CS"/>
        </w:rPr>
        <w:t>Док се у мишљењу Министарства фин</w:t>
      </w:r>
      <w:r w:rsidR="004122E2">
        <w:rPr>
          <w:rFonts w:ascii="Times New Roman" w:hAnsi="Times New Roman"/>
          <w:color w:val="000000"/>
          <w:sz w:val="24"/>
          <w:szCs w:val="24"/>
          <w:shd w:val="clear" w:color="auto" w:fill="FFFFFF"/>
          <w:lang w:val="sr-Cyrl-CS"/>
        </w:rPr>
        <w:t>анс</w:t>
      </w:r>
      <w:r>
        <w:rPr>
          <w:rFonts w:ascii="Times New Roman" w:hAnsi="Times New Roman"/>
          <w:color w:val="000000"/>
          <w:sz w:val="24"/>
          <w:szCs w:val="24"/>
          <w:shd w:val="clear" w:color="auto" w:fill="FFFFFF"/>
          <w:lang w:val="sr-Cyrl-CS"/>
        </w:rPr>
        <w:t xml:space="preserve">ија Републике Србије </w:t>
      </w:r>
      <w:r w:rsidRPr="00644FCF">
        <w:rPr>
          <w:rFonts w:ascii="Times New Roman" w:hAnsi="Times New Roman"/>
          <w:b/>
          <w:bCs/>
          <w:color w:val="000000"/>
          <w:sz w:val="24"/>
          <w:szCs w:val="24"/>
          <w:shd w:val="clear" w:color="auto" w:fill="FFFFFF"/>
          <w:lang w:val="sr-Cyrl-CS"/>
        </w:rPr>
        <w:t>бр</w:t>
      </w:r>
      <w:r w:rsidRPr="00644FCF">
        <w:rPr>
          <w:rFonts w:ascii="Times New Roman" w:hAnsi="Times New Roman"/>
          <w:b/>
          <w:bCs/>
          <w:color w:val="000000"/>
          <w:sz w:val="24"/>
          <w:szCs w:val="24"/>
          <w:shd w:val="clear" w:color="auto" w:fill="FFFFFF"/>
        </w:rPr>
        <w:t xml:space="preserve">. 07-00-280/2008-04 od 10.6.2008. </w:t>
      </w:r>
      <w:r w:rsidRPr="00644FCF">
        <w:rPr>
          <w:rFonts w:ascii="Times New Roman" w:hAnsi="Times New Roman"/>
          <w:b/>
          <w:bCs/>
          <w:color w:val="000000"/>
          <w:sz w:val="24"/>
          <w:szCs w:val="24"/>
          <w:shd w:val="clear" w:color="auto" w:fill="FFFFFF"/>
          <w:lang w:val="sr-Cyrl-CS"/>
        </w:rPr>
        <w:t>године</w:t>
      </w:r>
      <w:r w:rsidRPr="00644FCF">
        <w:rPr>
          <w:rFonts w:ascii="Times New Roman" w:hAnsi="Times New Roman"/>
          <w:bCs/>
          <w:color w:val="000000"/>
          <w:sz w:val="24"/>
          <w:szCs w:val="24"/>
          <w:shd w:val="clear" w:color="auto" w:fill="FFFFFF"/>
          <w:lang w:val="sr-Cyrl-CS"/>
        </w:rPr>
        <w:t>, имајући у виду прописане услове који се односе на обавезу плаћања пореза на доходак грађана на приходе</w:t>
      </w:r>
      <w:r w:rsidR="00644FCF" w:rsidRPr="00644FCF">
        <w:rPr>
          <w:rFonts w:ascii="Times New Roman" w:hAnsi="Times New Roman"/>
          <w:bCs/>
          <w:color w:val="000000"/>
          <w:sz w:val="24"/>
          <w:szCs w:val="24"/>
          <w:shd w:val="clear" w:color="auto" w:fill="FFFFFF"/>
          <w:lang w:val="sr-Cyrl-CS"/>
        </w:rPr>
        <w:t xml:space="preserve"> по основу обављања самосталне делатности, </w:t>
      </w:r>
      <w:r w:rsidR="004122E2">
        <w:rPr>
          <w:rFonts w:ascii="Times New Roman" w:hAnsi="Times New Roman"/>
          <w:bCs/>
          <w:color w:val="000000"/>
          <w:sz w:val="24"/>
          <w:szCs w:val="24"/>
          <w:shd w:val="clear" w:color="auto" w:fill="FFFFFF"/>
          <w:lang w:val="sr-Cyrl-CS"/>
        </w:rPr>
        <w:t xml:space="preserve">наводи </w:t>
      </w:r>
      <w:r w:rsidR="00644FCF" w:rsidRPr="00644FCF">
        <w:rPr>
          <w:rFonts w:ascii="Times New Roman" w:hAnsi="Times New Roman"/>
          <w:bCs/>
          <w:color w:val="000000"/>
          <w:sz w:val="24"/>
          <w:szCs w:val="24"/>
          <w:shd w:val="clear" w:color="auto" w:fill="FFFFFF"/>
          <w:lang w:val="sr-Cyrl-CS"/>
        </w:rPr>
        <w:t>следеће:</w:t>
      </w:r>
    </w:p>
    <w:p w:rsidR="00644FCF" w:rsidRPr="004122E2" w:rsidRDefault="00644FCF" w:rsidP="004122E2">
      <w:pPr>
        <w:ind w:firstLine="708"/>
        <w:jc w:val="both"/>
        <w:rPr>
          <w:rFonts w:ascii="Times New Roman" w:hAnsi="Times New Roman"/>
          <w:color w:val="000000"/>
          <w:sz w:val="24"/>
          <w:szCs w:val="24"/>
          <w:shd w:val="clear" w:color="auto" w:fill="FFFFFF"/>
          <w:lang w:val="sr-Cyrl-CS"/>
        </w:rPr>
      </w:pPr>
      <w:r w:rsidRPr="00644FCF">
        <w:rPr>
          <w:rFonts w:ascii="Times New Roman" w:hAnsi="Times New Roman"/>
          <w:color w:val="000000"/>
          <w:sz w:val="24"/>
          <w:szCs w:val="24"/>
          <w:lang w:val="sr-Cyrl-CS"/>
        </w:rPr>
        <w:t>„</w:t>
      </w:r>
      <w:r w:rsidRPr="00644FCF">
        <w:rPr>
          <w:rFonts w:ascii="Times New Roman" w:hAnsi="Times New Roman"/>
          <w:color w:val="000000"/>
          <w:sz w:val="24"/>
          <w:szCs w:val="24"/>
        </w:rPr>
        <w:t>Законом</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није</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предвиђена</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могућност</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ослобођења</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од</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момента</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оснивања</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радње</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тј</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почетка</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пословања</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па</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до</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момента</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склапања</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првог</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уговора</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од</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плаћања</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пореза</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на</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доходак</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грађана</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на</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приходе</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по</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основу</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обављања</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самосталне</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делатности</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за</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новооснованог</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субјекта</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у</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случају</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кад</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би</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плаћање</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пореза</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представљало</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велико</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оптерећење</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за</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обвезника</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уколико</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би</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се</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узела</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у</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обзир</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хипотетички</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економска</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штета</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коју</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би</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то</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лице</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могло</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да</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претрпи</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уколико</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не</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би</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у</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одређеном</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периоду</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реализовало</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планиране</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послове</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односно</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уколико</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не</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би</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остварило</w:t>
      </w:r>
      <w:r w:rsidR="006C0E08" w:rsidRPr="00644FCF">
        <w:rPr>
          <w:rFonts w:ascii="Times New Roman" w:hAnsi="Times New Roman"/>
          <w:color w:val="000000"/>
          <w:sz w:val="24"/>
          <w:szCs w:val="24"/>
        </w:rPr>
        <w:t xml:space="preserve"> </w:t>
      </w:r>
      <w:r w:rsidRPr="00644FCF">
        <w:rPr>
          <w:rFonts w:ascii="Times New Roman" w:hAnsi="Times New Roman"/>
          <w:color w:val="000000"/>
          <w:sz w:val="24"/>
          <w:szCs w:val="24"/>
        </w:rPr>
        <w:t>приход</w:t>
      </w:r>
      <w:r w:rsidR="006C0E08" w:rsidRPr="00644FCF">
        <w:rPr>
          <w:rFonts w:ascii="Times New Roman" w:hAnsi="Times New Roman"/>
          <w:color w:val="000000"/>
          <w:sz w:val="24"/>
          <w:szCs w:val="24"/>
        </w:rPr>
        <w:t>.</w:t>
      </w:r>
    </w:p>
    <w:p w:rsidR="006C0E08" w:rsidRPr="00014DFE" w:rsidRDefault="00644FCF" w:rsidP="00644FCF">
      <w:pPr>
        <w:pStyle w:val="normal0"/>
        <w:shd w:val="clear" w:color="auto" w:fill="FFFFFF"/>
        <w:spacing w:before="48" w:beforeAutospacing="0" w:after="48" w:afterAutospacing="0"/>
        <w:jc w:val="both"/>
        <w:rPr>
          <w:color w:val="000000"/>
        </w:rPr>
      </w:pPr>
      <w:r w:rsidRPr="00644FCF">
        <w:rPr>
          <w:color w:val="000000"/>
        </w:rPr>
        <w:t>Пореску</w:t>
      </w:r>
      <w:r w:rsidR="006C0E08" w:rsidRPr="00644FCF">
        <w:rPr>
          <w:color w:val="000000"/>
        </w:rPr>
        <w:t xml:space="preserve"> </w:t>
      </w:r>
      <w:r w:rsidRPr="00644FCF">
        <w:rPr>
          <w:color w:val="000000"/>
        </w:rPr>
        <w:t>обавезу</w:t>
      </w:r>
      <w:r w:rsidR="006C0E08" w:rsidRPr="00644FCF">
        <w:rPr>
          <w:color w:val="000000"/>
        </w:rPr>
        <w:t xml:space="preserve"> </w:t>
      </w:r>
      <w:r w:rsidRPr="00644FCF">
        <w:rPr>
          <w:color w:val="000000"/>
        </w:rPr>
        <w:t>у</w:t>
      </w:r>
      <w:r w:rsidR="006C0E08" w:rsidRPr="00644FCF">
        <w:rPr>
          <w:color w:val="000000"/>
        </w:rPr>
        <w:t xml:space="preserve"> </w:t>
      </w:r>
      <w:r w:rsidRPr="00644FCF">
        <w:rPr>
          <w:color w:val="000000"/>
        </w:rPr>
        <w:t>сваком</w:t>
      </w:r>
      <w:r w:rsidR="006C0E08" w:rsidRPr="00644FCF">
        <w:rPr>
          <w:color w:val="000000"/>
        </w:rPr>
        <w:t xml:space="preserve"> </w:t>
      </w:r>
      <w:r w:rsidRPr="00644FCF">
        <w:rPr>
          <w:color w:val="000000"/>
        </w:rPr>
        <w:t>конкретном</w:t>
      </w:r>
      <w:r w:rsidR="006C0E08" w:rsidRPr="00644FCF">
        <w:rPr>
          <w:color w:val="000000"/>
        </w:rPr>
        <w:t xml:space="preserve"> </w:t>
      </w:r>
      <w:r w:rsidRPr="00644FCF">
        <w:rPr>
          <w:color w:val="000000"/>
        </w:rPr>
        <w:t>случају</w:t>
      </w:r>
      <w:r w:rsidR="006C0E08" w:rsidRPr="00644FCF">
        <w:rPr>
          <w:color w:val="000000"/>
        </w:rPr>
        <w:t xml:space="preserve">, </w:t>
      </w:r>
      <w:r w:rsidRPr="00644FCF">
        <w:rPr>
          <w:color w:val="000000"/>
        </w:rPr>
        <w:t>уз</w:t>
      </w:r>
      <w:r w:rsidR="006C0E08" w:rsidRPr="00644FCF">
        <w:rPr>
          <w:color w:val="000000"/>
        </w:rPr>
        <w:t xml:space="preserve"> </w:t>
      </w:r>
      <w:r w:rsidRPr="00644FCF">
        <w:rPr>
          <w:color w:val="000000"/>
        </w:rPr>
        <w:t>примену</w:t>
      </w:r>
      <w:r w:rsidR="006C0E08" w:rsidRPr="00644FCF">
        <w:rPr>
          <w:color w:val="000000"/>
        </w:rPr>
        <w:t xml:space="preserve"> </w:t>
      </w:r>
      <w:r w:rsidRPr="00644FCF">
        <w:rPr>
          <w:color w:val="000000"/>
        </w:rPr>
        <w:t>критеријума</w:t>
      </w:r>
      <w:r w:rsidR="006C0E08" w:rsidRPr="00644FCF">
        <w:rPr>
          <w:color w:val="000000"/>
        </w:rPr>
        <w:t xml:space="preserve"> </w:t>
      </w:r>
      <w:r w:rsidRPr="00644FCF">
        <w:rPr>
          <w:color w:val="000000"/>
        </w:rPr>
        <w:t>и</w:t>
      </w:r>
      <w:r w:rsidR="006C0E08" w:rsidRPr="00644FCF">
        <w:rPr>
          <w:color w:val="000000"/>
        </w:rPr>
        <w:t xml:space="preserve"> </w:t>
      </w:r>
      <w:r w:rsidRPr="00644FCF">
        <w:rPr>
          <w:color w:val="000000"/>
        </w:rPr>
        <w:t>елемената</w:t>
      </w:r>
      <w:r w:rsidR="006C0E08" w:rsidRPr="00644FCF">
        <w:rPr>
          <w:color w:val="000000"/>
        </w:rPr>
        <w:t xml:space="preserve"> </w:t>
      </w:r>
      <w:r w:rsidRPr="00644FCF">
        <w:rPr>
          <w:color w:val="000000"/>
        </w:rPr>
        <w:t>прописаних</w:t>
      </w:r>
      <w:r w:rsidR="006C0E08" w:rsidRPr="00644FCF">
        <w:rPr>
          <w:color w:val="000000"/>
        </w:rPr>
        <w:t xml:space="preserve"> </w:t>
      </w:r>
      <w:r w:rsidRPr="00644FCF">
        <w:rPr>
          <w:color w:val="000000"/>
        </w:rPr>
        <w:t>Законом</w:t>
      </w:r>
      <w:r w:rsidR="006C0E08" w:rsidRPr="00644FCF">
        <w:rPr>
          <w:color w:val="000000"/>
        </w:rPr>
        <w:t xml:space="preserve"> </w:t>
      </w:r>
      <w:r w:rsidRPr="00644FCF">
        <w:rPr>
          <w:color w:val="000000"/>
        </w:rPr>
        <w:t>и</w:t>
      </w:r>
      <w:r w:rsidR="006C0E08" w:rsidRPr="00644FCF">
        <w:rPr>
          <w:color w:val="000000"/>
        </w:rPr>
        <w:t xml:space="preserve"> </w:t>
      </w:r>
      <w:r w:rsidRPr="00644FCF">
        <w:rPr>
          <w:color w:val="000000"/>
        </w:rPr>
        <w:t>Уредбом</w:t>
      </w:r>
      <w:r w:rsidR="006C0E08" w:rsidRPr="00644FCF">
        <w:rPr>
          <w:color w:val="000000"/>
        </w:rPr>
        <w:t xml:space="preserve">, </w:t>
      </w:r>
      <w:r w:rsidRPr="00644FCF">
        <w:rPr>
          <w:color w:val="000000"/>
        </w:rPr>
        <w:t>решењем</w:t>
      </w:r>
      <w:r w:rsidR="006C0E08" w:rsidRPr="00644FCF">
        <w:rPr>
          <w:color w:val="000000"/>
        </w:rPr>
        <w:t xml:space="preserve"> </w:t>
      </w:r>
      <w:r w:rsidRPr="00644FCF">
        <w:rPr>
          <w:color w:val="000000"/>
        </w:rPr>
        <w:t>утврђује</w:t>
      </w:r>
      <w:r w:rsidR="006C0E08" w:rsidRPr="00644FCF">
        <w:rPr>
          <w:color w:val="000000"/>
        </w:rPr>
        <w:t xml:space="preserve"> </w:t>
      </w:r>
      <w:r w:rsidRPr="00644FCF">
        <w:rPr>
          <w:color w:val="000000"/>
        </w:rPr>
        <w:t>Пореска</w:t>
      </w:r>
      <w:r w:rsidR="006C0E08" w:rsidRPr="00644FCF">
        <w:rPr>
          <w:color w:val="000000"/>
        </w:rPr>
        <w:t xml:space="preserve"> </w:t>
      </w:r>
      <w:r w:rsidRPr="00644FCF">
        <w:rPr>
          <w:color w:val="000000"/>
        </w:rPr>
        <w:t>управа</w:t>
      </w:r>
      <w:r w:rsidR="006C0E08" w:rsidRPr="00644FCF">
        <w:rPr>
          <w:color w:val="000000"/>
        </w:rPr>
        <w:t>.</w:t>
      </w:r>
      <w:r w:rsidR="00014DFE">
        <w:rPr>
          <w:color w:val="000000"/>
        </w:rPr>
        <w:t>“</w:t>
      </w:r>
    </w:p>
    <w:p w:rsidR="00014DFE" w:rsidRPr="00A22DD5" w:rsidRDefault="00014DFE" w:rsidP="00A22DD5">
      <w:pPr>
        <w:jc w:val="both"/>
        <w:rPr>
          <w:rFonts w:ascii="Times New Roman" w:hAnsi="Times New Roman"/>
          <w:color w:val="000000"/>
          <w:sz w:val="24"/>
          <w:szCs w:val="24"/>
          <w:shd w:val="clear" w:color="auto" w:fill="FFFFFF"/>
          <w:lang w:val="sr-Cyrl-CS"/>
        </w:rPr>
      </w:pPr>
    </w:p>
    <w:p w:rsidR="00014DFE" w:rsidRPr="00014DFE" w:rsidRDefault="00014DFE" w:rsidP="00683DF2">
      <w:pPr>
        <w:ind w:firstLine="708"/>
        <w:jc w:val="both"/>
        <w:rPr>
          <w:rFonts w:ascii="Times New Roman" w:hAnsi="Times New Roman"/>
          <w:color w:val="000000"/>
          <w:sz w:val="24"/>
          <w:szCs w:val="24"/>
          <w:shd w:val="clear" w:color="auto" w:fill="FFFFFF"/>
        </w:rPr>
      </w:pPr>
    </w:p>
    <w:p w:rsidR="008832B3" w:rsidRPr="00683DF2" w:rsidRDefault="00E05E09" w:rsidP="00683DF2">
      <w:pPr>
        <w:ind w:firstLine="708"/>
        <w:jc w:val="both"/>
        <w:rPr>
          <w:rFonts w:ascii="Times New Roman" w:hAnsi="Times New Roman"/>
          <w:b/>
          <w:color w:val="000000"/>
          <w:sz w:val="24"/>
          <w:szCs w:val="24"/>
          <w:shd w:val="clear" w:color="auto" w:fill="FFFFFF"/>
          <w:lang w:val="sr-Cyrl-CS"/>
        </w:rPr>
      </w:pPr>
      <w:r w:rsidRPr="00683DF2">
        <w:rPr>
          <w:rFonts w:ascii="Times New Roman" w:hAnsi="Times New Roman"/>
          <w:b/>
          <w:color w:val="000000"/>
          <w:sz w:val="24"/>
          <w:szCs w:val="24"/>
          <w:shd w:val="clear" w:color="auto" w:fill="FFFFFF"/>
          <w:lang w:val="sr-Cyrl-CS"/>
        </w:rPr>
        <w:t>5.3.4.3.Порез на приходе од ауторских права</w:t>
      </w:r>
      <w:r w:rsidR="008832B3" w:rsidRPr="00683DF2">
        <w:rPr>
          <w:rFonts w:ascii="Times New Roman" w:hAnsi="Times New Roman"/>
          <w:b/>
          <w:color w:val="000000"/>
          <w:sz w:val="24"/>
          <w:szCs w:val="24"/>
          <w:shd w:val="clear" w:color="auto" w:fill="FFFFFF"/>
          <w:lang w:val="sr-Cyrl-CS"/>
        </w:rPr>
        <w:t xml:space="preserve">, </w:t>
      </w:r>
      <w:r w:rsidR="001830E1" w:rsidRPr="00683DF2">
        <w:rPr>
          <w:rFonts w:ascii="Times New Roman" w:hAnsi="Times New Roman"/>
          <w:b/>
          <w:color w:val="000000"/>
          <w:sz w:val="24"/>
          <w:szCs w:val="24"/>
          <w:shd w:val="clear" w:color="auto" w:fill="FFFFFF"/>
          <w:lang w:val="sr-Cyrl-CS"/>
        </w:rPr>
        <w:t>права сродних ауторском праву и права индустријске својине</w:t>
      </w:r>
    </w:p>
    <w:p w:rsidR="005D5E4A" w:rsidRPr="00683DF2" w:rsidRDefault="005D5E4A" w:rsidP="00683DF2">
      <w:pPr>
        <w:pStyle w:val="normal0"/>
        <w:shd w:val="clear" w:color="auto" w:fill="FFFFFF"/>
        <w:spacing w:before="48" w:beforeAutospacing="0" w:after="48" w:afterAutospacing="0"/>
        <w:ind w:firstLine="708"/>
        <w:jc w:val="both"/>
        <w:rPr>
          <w:color w:val="000000"/>
          <w:lang w:val="sr-Cyrl-CS"/>
        </w:rPr>
      </w:pPr>
    </w:p>
    <w:p w:rsidR="005D5E4A" w:rsidRPr="00683DF2" w:rsidRDefault="005D5E4A" w:rsidP="00683DF2">
      <w:pPr>
        <w:pStyle w:val="normal0"/>
        <w:shd w:val="clear" w:color="auto" w:fill="FFFFFF"/>
        <w:spacing w:before="48" w:beforeAutospacing="0" w:after="48" w:afterAutospacing="0"/>
        <w:ind w:firstLine="708"/>
        <w:jc w:val="both"/>
        <w:rPr>
          <w:color w:val="000000"/>
          <w:lang w:val="sr-Cyrl-CS"/>
        </w:rPr>
      </w:pPr>
    </w:p>
    <w:p w:rsidR="005D5E4A" w:rsidRPr="00FB5A28" w:rsidRDefault="005D5E4A" w:rsidP="00FB5A28">
      <w:pPr>
        <w:ind w:firstLine="708"/>
        <w:jc w:val="both"/>
        <w:rPr>
          <w:rFonts w:ascii="Times New Roman" w:hAnsi="Times New Roman"/>
          <w:sz w:val="24"/>
          <w:szCs w:val="24"/>
          <w:lang w:val="sr-Cyrl-CS"/>
        </w:rPr>
      </w:pPr>
      <w:r w:rsidRPr="00FB5A28">
        <w:rPr>
          <w:rFonts w:ascii="Times New Roman" w:hAnsi="Times New Roman"/>
          <w:sz w:val="24"/>
          <w:szCs w:val="24"/>
          <w:lang w:val="sr-Cyrl-CS"/>
        </w:rPr>
        <w:t xml:space="preserve">Премет опорезивања пореза </w:t>
      </w:r>
      <w:r w:rsidR="00B07B52" w:rsidRPr="00FB5A28">
        <w:rPr>
          <w:rFonts w:ascii="Times New Roman" w:hAnsi="Times New Roman"/>
          <w:sz w:val="24"/>
          <w:szCs w:val="24"/>
          <w:lang w:val="sr-Cyrl-CS"/>
        </w:rPr>
        <w:t xml:space="preserve">на приходе од ауторских права, права сродних ауторском праву и права индустријске својине </w:t>
      </w:r>
      <w:r w:rsidRPr="00FB5A28">
        <w:rPr>
          <w:rFonts w:ascii="Times New Roman" w:hAnsi="Times New Roman"/>
          <w:sz w:val="24"/>
          <w:szCs w:val="24"/>
          <w:lang w:val="sr-Cyrl-CS"/>
        </w:rPr>
        <w:t xml:space="preserve">је </w:t>
      </w:r>
      <w:r w:rsidR="00A239B8" w:rsidRPr="00FB5A28">
        <w:rPr>
          <w:rFonts w:ascii="Times New Roman" w:hAnsi="Times New Roman"/>
          <w:sz w:val="24"/>
          <w:szCs w:val="24"/>
          <w:lang w:val="sr-Cyrl-CS"/>
        </w:rPr>
        <w:t xml:space="preserve">ауторска накнада по основу </w:t>
      </w:r>
      <w:r w:rsidRPr="00FB5A28">
        <w:rPr>
          <w:rFonts w:ascii="Times New Roman" w:hAnsi="Times New Roman"/>
          <w:sz w:val="24"/>
          <w:szCs w:val="24"/>
          <w:lang w:val="sr-Cyrl-CS"/>
        </w:rPr>
        <w:t>приход</w:t>
      </w:r>
      <w:r w:rsidR="00A239B8" w:rsidRPr="00FB5A28">
        <w:rPr>
          <w:rFonts w:ascii="Times New Roman" w:hAnsi="Times New Roman"/>
          <w:sz w:val="24"/>
          <w:szCs w:val="24"/>
          <w:lang w:val="sr-Cyrl-CS"/>
        </w:rPr>
        <w:t>а</w:t>
      </w:r>
      <w:r w:rsidRPr="00FB5A28">
        <w:rPr>
          <w:rFonts w:ascii="Times New Roman" w:hAnsi="Times New Roman"/>
          <w:sz w:val="24"/>
          <w:szCs w:val="24"/>
          <w:lang w:val="sr-Cyrl-CS"/>
        </w:rPr>
        <w:t xml:space="preserve"> од ауторских права, приход</w:t>
      </w:r>
      <w:r w:rsidR="00A239B8" w:rsidRPr="00FB5A28">
        <w:rPr>
          <w:rFonts w:ascii="Times New Roman" w:hAnsi="Times New Roman"/>
          <w:sz w:val="24"/>
          <w:szCs w:val="24"/>
          <w:lang w:val="sr-Cyrl-CS"/>
        </w:rPr>
        <w:t>а</w:t>
      </w:r>
      <w:r w:rsidRPr="00FB5A28">
        <w:rPr>
          <w:rFonts w:ascii="Times New Roman" w:hAnsi="Times New Roman"/>
          <w:sz w:val="24"/>
          <w:szCs w:val="24"/>
          <w:lang w:val="sr-Cyrl-CS"/>
        </w:rPr>
        <w:t xml:space="preserve"> од права сродних ауторском праву, као и </w:t>
      </w:r>
      <w:r w:rsidR="00A239B8" w:rsidRPr="00FB5A28">
        <w:rPr>
          <w:rFonts w:ascii="Times New Roman" w:hAnsi="Times New Roman"/>
          <w:sz w:val="24"/>
          <w:szCs w:val="24"/>
          <w:lang w:val="sr-Cyrl-CS"/>
        </w:rPr>
        <w:t>прихода од права индустријске својине.</w:t>
      </w:r>
    </w:p>
    <w:p w:rsidR="005D5E4A" w:rsidRPr="00FB5A28" w:rsidRDefault="00683DF2" w:rsidP="00FB5A28">
      <w:pPr>
        <w:ind w:firstLine="708"/>
        <w:jc w:val="both"/>
        <w:rPr>
          <w:rFonts w:ascii="Times New Roman" w:hAnsi="Times New Roman"/>
          <w:sz w:val="24"/>
          <w:szCs w:val="24"/>
          <w:lang w:val="sr-Cyrl-CS"/>
        </w:rPr>
      </w:pPr>
      <w:r w:rsidRPr="00FB5A28">
        <w:rPr>
          <w:rFonts w:ascii="Times New Roman" w:hAnsi="Times New Roman"/>
          <w:sz w:val="24"/>
          <w:szCs w:val="24"/>
        </w:rPr>
        <w:t>Приходом</w:t>
      </w:r>
      <w:r w:rsidR="008832B3" w:rsidRPr="00FB5A28">
        <w:rPr>
          <w:rFonts w:ascii="Times New Roman" w:hAnsi="Times New Roman"/>
          <w:sz w:val="24"/>
          <w:szCs w:val="24"/>
        </w:rPr>
        <w:t xml:space="preserve"> </w:t>
      </w:r>
      <w:r w:rsidRPr="00FB5A28">
        <w:rPr>
          <w:rFonts w:ascii="Times New Roman" w:hAnsi="Times New Roman"/>
          <w:sz w:val="24"/>
          <w:szCs w:val="24"/>
        </w:rPr>
        <w:t>од</w:t>
      </w:r>
      <w:r w:rsidR="008832B3" w:rsidRPr="00FB5A28">
        <w:rPr>
          <w:rFonts w:ascii="Times New Roman" w:hAnsi="Times New Roman"/>
          <w:sz w:val="24"/>
          <w:szCs w:val="24"/>
        </w:rPr>
        <w:t xml:space="preserve"> </w:t>
      </w:r>
      <w:r w:rsidRPr="00FB5A28">
        <w:rPr>
          <w:rFonts w:ascii="Times New Roman" w:hAnsi="Times New Roman"/>
          <w:sz w:val="24"/>
          <w:szCs w:val="24"/>
        </w:rPr>
        <w:t>ауторских</w:t>
      </w:r>
      <w:r w:rsidR="008832B3" w:rsidRPr="00FB5A28">
        <w:rPr>
          <w:rFonts w:ascii="Times New Roman" w:hAnsi="Times New Roman"/>
          <w:sz w:val="24"/>
          <w:szCs w:val="24"/>
        </w:rPr>
        <w:t xml:space="preserve"> </w:t>
      </w:r>
      <w:r w:rsidRPr="00FB5A28">
        <w:rPr>
          <w:rFonts w:ascii="Times New Roman" w:hAnsi="Times New Roman"/>
          <w:sz w:val="24"/>
          <w:szCs w:val="24"/>
        </w:rPr>
        <w:t>права</w:t>
      </w:r>
      <w:r w:rsidR="008832B3" w:rsidRPr="00FB5A28">
        <w:rPr>
          <w:rFonts w:ascii="Times New Roman" w:hAnsi="Times New Roman"/>
          <w:sz w:val="24"/>
          <w:szCs w:val="24"/>
        </w:rPr>
        <w:t xml:space="preserve"> </w:t>
      </w:r>
      <w:r w:rsidRPr="00FB5A28">
        <w:rPr>
          <w:rFonts w:ascii="Times New Roman" w:hAnsi="Times New Roman"/>
          <w:sz w:val="24"/>
          <w:szCs w:val="24"/>
        </w:rPr>
        <w:t>сматра</w:t>
      </w:r>
      <w:r w:rsidR="008832B3" w:rsidRPr="00FB5A28">
        <w:rPr>
          <w:rFonts w:ascii="Times New Roman" w:hAnsi="Times New Roman"/>
          <w:sz w:val="24"/>
          <w:szCs w:val="24"/>
        </w:rPr>
        <w:t xml:space="preserve"> </w:t>
      </w:r>
      <w:r w:rsidRPr="00FB5A28">
        <w:rPr>
          <w:rFonts w:ascii="Times New Roman" w:hAnsi="Times New Roman"/>
          <w:sz w:val="24"/>
          <w:szCs w:val="24"/>
        </w:rPr>
        <w:t>се</w:t>
      </w:r>
      <w:r w:rsidR="008832B3" w:rsidRPr="00FB5A28">
        <w:rPr>
          <w:rFonts w:ascii="Times New Roman" w:hAnsi="Times New Roman"/>
          <w:sz w:val="24"/>
          <w:szCs w:val="24"/>
        </w:rPr>
        <w:t xml:space="preserve"> </w:t>
      </w:r>
      <w:r w:rsidRPr="00FB5A28">
        <w:rPr>
          <w:rFonts w:ascii="Times New Roman" w:hAnsi="Times New Roman"/>
          <w:sz w:val="24"/>
          <w:szCs w:val="24"/>
        </w:rPr>
        <w:t>накнада</w:t>
      </w:r>
      <w:r w:rsidR="008832B3" w:rsidRPr="00FB5A28">
        <w:rPr>
          <w:rFonts w:ascii="Times New Roman" w:hAnsi="Times New Roman"/>
          <w:sz w:val="24"/>
          <w:szCs w:val="24"/>
        </w:rPr>
        <w:t xml:space="preserve"> </w:t>
      </w:r>
      <w:r w:rsidRPr="00FB5A28">
        <w:rPr>
          <w:rFonts w:ascii="Times New Roman" w:hAnsi="Times New Roman"/>
          <w:sz w:val="24"/>
          <w:szCs w:val="24"/>
        </w:rPr>
        <w:t>коју</w:t>
      </w:r>
      <w:r w:rsidR="008832B3" w:rsidRPr="00FB5A28">
        <w:rPr>
          <w:rFonts w:ascii="Times New Roman" w:hAnsi="Times New Roman"/>
          <w:sz w:val="24"/>
          <w:szCs w:val="24"/>
        </w:rPr>
        <w:t xml:space="preserve"> </w:t>
      </w:r>
      <w:r w:rsidRPr="00FB5A28">
        <w:rPr>
          <w:rFonts w:ascii="Times New Roman" w:hAnsi="Times New Roman"/>
          <w:sz w:val="24"/>
          <w:szCs w:val="24"/>
        </w:rPr>
        <w:t>обвезник</w:t>
      </w:r>
      <w:r w:rsidR="008832B3" w:rsidRPr="00FB5A28">
        <w:rPr>
          <w:rFonts w:ascii="Times New Roman" w:hAnsi="Times New Roman"/>
          <w:sz w:val="24"/>
          <w:szCs w:val="24"/>
        </w:rPr>
        <w:t xml:space="preserve"> </w:t>
      </w:r>
      <w:r w:rsidRPr="00FB5A28">
        <w:rPr>
          <w:rFonts w:ascii="Times New Roman" w:hAnsi="Times New Roman"/>
          <w:sz w:val="24"/>
          <w:szCs w:val="24"/>
        </w:rPr>
        <w:t>оствари</w:t>
      </w:r>
      <w:r w:rsidR="008832B3" w:rsidRPr="00FB5A28">
        <w:rPr>
          <w:rFonts w:ascii="Times New Roman" w:hAnsi="Times New Roman"/>
          <w:sz w:val="24"/>
          <w:szCs w:val="24"/>
        </w:rPr>
        <w:t xml:space="preserve"> </w:t>
      </w:r>
      <w:r w:rsidRPr="00FB5A28">
        <w:rPr>
          <w:rFonts w:ascii="Times New Roman" w:hAnsi="Times New Roman"/>
          <w:sz w:val="24"/>
          <w:szCs w:val="24"/>
        </w:rPr>
        <w:t>по</w:t>
      </w:r>
      <w:r w:rsidR="008832B3" w:rsidRPr="00FB5A28">
        <w:rPr>
          <w:rFonts w:ascii="Times New Roman" w:hAnsi="Times New Roman"/>
          <w:sz w:val="24"/>
          <w:szCs w:val="24"/>
        </w:rPr>
        <w:t xml:space="preserve"> </w:t>
      </w:r>
      <w:r w:rsidRPr="00FB5A28">
        <w:rPr>
          <w:rFonts w:ascii="Times New Roman" w:hAnsi="Times New Roman"/>
          <w:sz w:val="24"/>
          <w:szCs w:val="24"/>
        </w:rPr>
        <w:t>основу</w:t>
      </w:r>
      <w:r w:rsidR="008832B3" w:rsidRPr="00FB5A28">
        <w:rPr>
          <w:rFonts w:ascii="Times New Roman" w:hAnsi="Times New Roman"/>
          <w:sz w:val="24"/>
          <w:szCs w:val="24"/>
        </w:rPr>
        <w:t>:</w:t>
      </w:r>
    </w:p>
    <w:p w:rsidR="008832B3" w:rsidRPr="00FB5A28" w:rsidRDefault="008832B3" w:rsidP="00FB5A28">
      <w:pPr>
        <w:jc w:val="both"/>
        <w:rPr>
          <w:rFonts w:ascii="Times New Roman" w:hAnsi="Times New Roman"/>
          <w:sz w:val="24"/>
          <w:szCs w:val="24"/>
        </w:rPr>
      </w:pPr>
      <w:r w:rsidRPr="00FB5A28">
        <w:rPr>
          <w:rFonts w:ascii="Times New Roman" w:hAnsi="Times New Roman"/>
          <w:sz w:val="24"/>
          <w:szCs w:val="24"/>
        </w:rPr>
        <w:t xml:space="preserve">1) </w:t>
      </w:r>
      <w:r w:rsidR="00683DF2" w:rsidRPr="00FB5A28">
        <w:rPr>
          <w:rFonts w:ascii="Times New Roman" w:hAnsi="Times New Roman"/>
          <w:sz w:val="24"/>
          <w:szCs w:val="24"/>
        </w:rPr>
        <w:t>писаних</w:t>
      </w:r>
      <w:r w:rsidRPr="00FB5A28">
        <w:rPr>
          <w:rFonts w:ascii="Times New Roman" w:hAnsi="Times New Roman"/>
          <w:sz w:val="24"/>
          <w:szCs w:val="24"/>
        </w:rPr>
        <w:t xml:space="preserve"> </w:t>
      </w:r>
      <w:r w:rsidR="00683DF2" w:rsidRPr="00FB5A28">
        <w:rPr>
          <w:rFonts w:ascii="Times New Roman" w:hAnsi="Times New Roman"/>
          <w:sz w:val="24"/>
          <w:szCs w:val="24"/>
        </w:rPr>
        <w:t>дела</w:t>
      </w:r>
      <w:r w:rsidRPr="00FB5A28">
        <w:rPr>
          <w:rFonts w:ascii="Times New Roman" w:hAnsi="Times New Roman"/>
          <w:sz w:val="24"/>
          <w:szCs w:val="24"/>
        </w:rPr>
        <w:t xml:space="preserve"> (</w:t>
      </w:r>
      <w:r w:rsidR="00683DF2" w:rsidRPr="00FB5A28">
        <w:rPr>
          <w:rFonts w:ascii="Times New Roman" w:hAnsi="Times New Roman"/>
          <w:sz w:val="24"/>
          <w:szCs w:val="24"/>
        </w:rPr>
        <w:t>књижевна</w:t>
      </w:r>
      <w:r w:rsidRPr="00FB5A28">
        <w:rPr>
          <w:rFonts w:ascii="Times New Roman" w:hAnsi="Times New Roman"/>
          <w:sz w:val="24"/>
          <w:szCs w:val="24"/>
        </w:rPr>
        <w:t xml:space="preserve">, </w:t>
      </w:r>
      <w:r w:rsidR="00683DF2" w:rsidRPr="00FB5A28">
        <w:rPr>
          <w:rFonts w:ascii="Times New Roman" w:hAnsi="Times New Roman"/>
          <w:sz w:val="24"/>
          <w:szCs w:val="24"/>
        </w:rPr>
        <w:t>научна</w:t>
      </w:r>
      <w:r w:rsidRPr="00FB5A28">
        <w:rPr>
          <w:rFonts w:ascii="Times New Roman" w:hAnsi="Times New Roman"/>
          <w:sz w:val="24"/>
          <w:szCs w:val="24"/>
        </w:rPr>
        <w:t xml:space="preserve">, </w:t>
      </w:r>
      <w:r w:rsidR="00683DF2" w:rsidRPr="00FB5A28">
        <w:rPr>
          <w:rFonts w:ascii="Times New Roman" w:hAnsi="Times New Roman"/>
          <w:sz w:val="24"/>
          <w:szCs w:val="24"/>
        </w:rPr>
        <w:t>стручна</w:t>
      </w:r>
      <w:r w:rsidRPr="00FB5A28">
        <w:rPr>
          <w:rFonts w:ascii="Times New Roman" w:hAnsi="Times New Roman"/>
          <w:sz w:val="24"/>
          <w:szCs w:val="24"/>
        </w:rPr>
        <w:t xml:space="preserve">, </w:t>
      </w:r>
      <w:r w:rsidR="00683DF2" w:rsidRPr="00FB5A28">
        <w:rPr>
          <w:rFonts w:ascii="Times New Roman" w:hAnsi="Times New Roman"/>
          <w:sz w:val="24"/>
          <w:szCs w:val="24"/>
        </w:rPr>
        <w:t>публицистичка</w:t>
      </w:r>
      <w:r w:rsidRPr="00FB5A28">
        <w:rPr>
          <w:rFonts w:ascii="Times New Roman" w:hAnsi="Times New Roman"/>
          <w:sz w:val="24"/>
          <w:szCs w:val="24"/>
        </w:rPr>
        <w:t xml:space="preserve"> </w:t>
      </w:r>
      <w:r w:rsidR="00683DF2" w:rsidRPr="00FB5A28">
        <w:rPr>
          <w:rFonts w:ascii="Times New Roman" w:hAnsi="Times New Roman"/>
          <w:sz w:val="24"/>
          <w:szCs w:val="24"/>
        </w:rPr>
        <w:t>и</w:t>
      </w:r>
      <w:r w:rsidRPr="00FB5A28">
        <w:rPr>
          <w:rFonts w:ascii="Times New Roman" w:hAnsi="Times New Roman"/>
          <w:sz w:val="24"/>
          <w:szCs w:val="24"/>
        </w:rPr>
        <w:t xml:space="preserve"> </w:t>
      </w:r>
      <w:r w:rsidR="00683DF2" w:rsidRPr="00FB5A28">
        <w:rPr>
          <w:rFonts w:ascii="Times New Roman" w:hAnsi="Times New Roman"/>
          <w:sz w:val="24"/>
          <w:szCs w:val="24"/>
        </w:rPr>
        <w:t>друга</w:t>
      </w:r>
      <w:r w:rsidRPr="00FB5A28">
        <w:rPr>
          <w:rFonts w:ascii="Times New Roman" w:hAnsi="Times New Roman"/>
          <w:sz w:val="24"/>
          <w:szCs w:val="24"/>
        </w:rPr>
        <w:t xml:space="preserve"> </w:t>
      </w:r>
      <w:r w:rsidR="00683DF2" w:rsidRPr="00FB5A28">
        <w:rPr>
          <w:rFonts w:ascii="Times New Roman" w:hAnsi="Times New Roman"/>
          <w:sz w:val="24"/>
          <w:szCs w:val="24"/>
        </w:rPr>
        <w:t>дела</w:t>
      </w:r>
      <w:r w:rsidRPr="00FB5A28">
        <w:rPr>
          <w:rFonts w:ascii="Times New Roman" w:hAnsi="Times New Roman"/>
          <w:sz w:val="24"/>
          <w:szCs w:val="24"/>
        </w:rPr>
        <w:t xml:space="preserve">, </w:t>
      </w:r>
      <w:r w:rsidR="00683DF2" w:rsidRPr="00FB5A28">
        <w:rPr>
          <w:rFonts w:ascii="Times New Roman" w:hAnsi="Times New Roman"/>
          <w:sz w:val="24"/>
          <w:szCs w:val="24"/>
        </w:rPr>
        <w:t>студије</w:t>
      </w:r>
      <w:r w:rsidRPr="00FB5A28">
        <w:rPr>
          <w:rFonts w:ascii="Times New Roman" w:hAnsi="Times New Roman"/>
          <w:sz w:val="24"/>
          <w:szCs w:val="24"/>
        </w:rPr>
        <w:t xml:space="preserve">, </w:t>
      </w:r>
      <w:r w:rsidR="00683DF2" w:rsidRPr="00FB5A28">
        <w:rPr>
          <w:rFonts w:ascii="Times New Roman" w:hAnsi="Times New Roman"/>
          <w:sz w:val="24"/>
          <w:szCs w:val="24"/>
        </w:rPr>
        <w:t>рецензије</w:t>
      </w:r>
      <w:r w:rsidRPr="00FB5A28">
        <w:rPr>
          <w:rFonts w:ascii="Times New Roman" w:hAnsi="Times New Roman"/>
          <w:sz w:val="24"/>
          <w:szCs w:val="24"/>
        </w:rPr>
        <w:t xml:space="preserve"> </w:t>
      </w:r>
      <w:r w:rsidR="00683DF2" w:rsidRPr="00FB5A28">
        <w:rPr>
          <w:rFonts w:ascii="Times New Roman" w:hAnsi="Times New Roman"/>
          <w:sz w:val="24"/>
          <w:szCs w:val="24"/>
        </w:rPr>
        <w:t>и</w:t>
      </w:r>
      <w:r w:rsidRPr="00FB5A28">
        <w:rPr>
          <w:rFonts w:ascii="Times New Roman" w:hAnsi="Times New Roman"/>
          <w:sz w:val="24"/>
          <w:szCs w:val="24"/>
        </w:rPr>
        <w:t xml:space="preserve"> </w:t>
      </w:r>
      <w:r w:rsidR="00683DF2" w:rsidRPr="00FB5A28">
        <w:rPr>
          <w:rFonts w:ascii="Times New Roman" w:hAnsi="Times New Roman"/>
          <w:sz w:val="24"/>
          <w:szCs w:val="24"/>
        </w:rPr>
        <w:t>слично</w:t>
      </w:r>
      <w:r w:rsidRPr="00FB5A28">
        <w:rPr>
          <w:rFonts w:ascii="Times New Roman" w:hAnsi="Times New Roman"/>
          <w:sz w:val="24"/>
          <w:szCs w:val="24"/>
        </w:rPr>
        <w:t>);</w:t>
      </w:r>
    </w:p>
    <w:p w:rsidR="008832B3" w:rsidRPr="00FB5A28" w:rsidRDefault="008832B3" w:rsidP="00FB5A28">
      <w:pPr>
        <w:jc w:val="both"/>
        <w:rPr>
          <w:rFonts w:ascii="Times New Roman" w:hAnsi="Times New Roman"/>
          <w:sz w:val="24"/>
          <w:szCs w:val="24"/>
        </w:rPr>
      </w:pPr>
      <w:r w:rsidRPr="00FB5A28">
        <w:rPr>
          <w:rFonts w:ascii="Times New Roman" w:hAnsi="Times New Roman"/>
          <w:sz w:val="24"/>
          <w:szCs w:val="24"/>
        </w:rPr>
        <w:t xml:space="preserve">2) </w:t>
      </w:r>
      <w:r w:rsidR="00683DF2" w:rsidRPr="00FB5A28">
        <w:rPr>
          <w:rFonts w:ascii="Times New Roman" w:hAnsi="Times New Roman"/>
          <w:sz w:val="24"/>
          <w:szCs w:val="24"/>
        </w:rPr>
        <w:t>говорних</w:t>
      </w:r>
      <w:r w:rsidRPr="00FB5A28">
        <w:rPr>
          <w:rFonts w:ascii="Times New Roman" w:hAnsi="Times New Roman"/>
          <w:sz w:val="24"/>
          <w:szCs w:val="24"/>
        </w:rPr>
        <w:t xml:space="preserve"> </w:t>
      </w:r>
      <w:r w:rsidR="00683DF2" w:rsidRPr="00FB5A28">
        <w:rPr>
          <w:rFonts w:ascii="Times New Roman" w:hAnsi="Times New Roman"/>
          <w:sz w:val="24"/>
          <w:szCs w:val="24"/>
        </w:rPr>
        <w:t>дела</w:t>
      </w:r>
      <w:r w:rsidRPr="00FB5A28">
        <w:rPr>
          <w:rFonts w:ascii="Times New Roman" w:hAnsi="Times New Roman"/>
          <w:sz w:val="24"/>
          <w:szCs w:val="24"/>
        </w:rPr>
        <w:t>;</w:t>
      </w:r>
    </w:p>
    <w:p w:rsidR="008832B3" w:rsidRPr="00FB5A28" w:rsidRDefault="008832B3" w:rsidP="00FB5A28">
      <w:pPr>
        <w:jc w:val="both"/>
        <w:rPr>
          <w:rFonts w:ascii="Times New Roman" w:hAnsi="Times New Roman"/>
          <w:sz w:val="24"/>
          <w:szCs w:val="24"/>
        </w:rPr>
      </w:pPr>
      <w:r w:rsidRPr="00FB5A28">
        <w:rPr>
          <w:rFonts w:ascii="Times New Roman" w:hAnsi="Times New Roman"/>
          <w:sz w:val="24"/>
          <w:szCs w:val="24"/>
        </w:rPr>
        <w:t xml:space="preserve">3) </w:t>
      </w:r>
      <w:r w:rsidR="00683DF2" w:rsidRPr="00FB5A28">
        <w:rPr>
          <w:rFonts w:ascii="Times New Roman" w:hAnsi="Times New Roman"/>
          <w:sz w:val="24"/>
          <w:szCs w:val="24"/>
        </w:rPr>
        <w:t>драмских</w:t>
      </w:r>
      <w:r w:rsidRPr="00FB5A28">
        <w:rPr>
          <w:rFonts w:ascii="Times New Roman" w:hAnsi="Times New Roman"/>
          <w:sz w:val="24"/>
          <w:szCs w:val="24"/>
        </w:rPr>
        <w:t xml:space="preserve"> </w:t>
      </w:r>
      <w:r w:rsidR="00683DF2" w:rsidRPr="00FB5A28">
        <w:rPr>
          <w:rFonts w:ascii="Times New Roman" w:hAnsi="Times New Roman"/>
          <w:sz w:val="24"/>
          <w:szCs w:val="24"/>
        </w:rPr>
        <w:t>и</w:t>
      </w:r>
      <w:r w:rsidRPr="00FB5A28">
        <w:rPr>
          <w:rFonts w:ascii="Times New Roman" w:hAnsi="Times New Roman"/>
          <w:sz w:val="24"/>
          <w:szCs w:val="24"/>
        </w:rPr>
        <w:t xml:space="preserve"> </w:t>
      </w:r>
      <w:r w:rsidR="00683DF2" w:rsidRPr="00FB5A28">
        <w:rPr>
          <w:rFonts w:ascii="Times New Roman" w:hAnsi="Times New Roman"/>
          <w:sz w:val="24"/>
          <w:szCs w:val="24"/>
        </w:rPr>
        <w:t>драмско</w:t>
      </w:r>
      <w:r w:rsidRPr="00FB5A28">
        <w:rPr>
          <w:rFonts w:ascii="Times New Roman" w:hAnsi="Times New Roman"/>
          <w:sz w:val="24"/>
          <w:szCs w:val="24"/>
        </w:rPr>
        <w:t>-</w:t>
      </w:r>
      <w:r w:rsidR="00683DF2" w:rsidRPr="00FB5A28">
        <w:rPr>
          <w:rFonts w:ascii="Times New Roman" w:hAnsi="Times New Roman"/>
          <w:sz w:val="24"/>
          <w:szCs w:val="24"/>
        </w:rPr>
        <w:t>музичких</w:t>
      </w:r>
      <w:r w:rsidRPr="00FB5A28">
        <w:rPr>
          <w:rFonts w:ascii="Times New Roman" w:hAnsi="Times New Roman"/>
          <w:sz w:val="24"/>
          <w:szCs w:val="24"/>
        </w:rPr>
        <w:t xml:space="preserve"> </w:t>
      </w:r>
      <w:r w:rsidR="00683DF2" w:rsidRPr="00FB5A28">
        <w:rPr>
          <w:rFonts w:ascii="Times New Roman" w:hAnsi="Times New Roman"/>
          <w:sz w:val="24"/>
          <w:szCs w:val="24"/>
        </w:rPr>
        <w:t>дела</w:t>
      </w:r>
      <w:r w:rsidRPr="00FB5A28">
        <w:rPr>
          <w:rFonts w:ascii="Times New Roman" w:hAnsi="Times New Roman"/>
          <w:sz w:val="24"/>
          <w:szCs w:val="24"/>
        </w:rPr>
        <w:t>;</w:t>
      </w:r>
    </w:p>
    <w:p w:rsidR="008832B3" w:rsidRPr="00FB5A28" w:rsidRDefault="008832B3" w:rsidP="00FB5A28">
      <w:pPr>
        <w:jc w:val="both"/>
        <w:rPr>
          <w:rFonts w:ascii="Times New Roman" w:hAnsi="Times New Roman"/>
          <w:sz w:val="24"/>
          <w:szCs w:val="24"/>
        </w:rPr>
      </w:pPr>
      <w:r w:rsidRPr="00FB5A28">
        <w:rPr>
          <w:rFonts w:ascii="Times New Roman" w:hAnsi="Times New Roman"/>
          <w:sz w:val="24"/>
          <w:szCs w:val="24"/>
        </w:rPr>
        <w:t xml:space="preserve">4) </w:t>
      </w:r>
      <w:r w:rsidR="00683DF2" w:rsidRPr="00FB5A28">
        <w:rPr>
          <w:rFonts w:ascii="Times New Roman" w:hAnsi="Times New Roman"/>
          <w:sz w:val="24"/>
          <w:szCs w:val="24"/>
        </w:rPr>
        <w:t>пантомимских</w:t>
      </w:r>
      <w:r w:rsidRPr="00FB5A28">
        <w:rPr>
          <w:rFonts w:ascii="Times New Roman" w:hAnsi="Times New Roman"/>
          <w:sz w:val="24"/>
          <w:szCs w:val="24"/>
        </w:rPr>
        <w:t xml:space="preserve"> </w:t>
      </w:r>
      <w:r w:rsidR="00683DF2" w:rsidRPr="00FB5A28">
        <w:rPr>
          <w:rFonts w:ascii="Times New Roman" w:hAnsi="Times New Roman"/>
          <w:sz w:val="24"/>
          <w:szCs w:val="24"/>
        </w:rPr>
        <w:t>и</w:t>
      </w:r>
      <w:r w:rsidRPr="00FB5A28">
        <w:rPr>
          <w:rFonts w:ascii="Times New Roman" w:hAnsi="Times New Roman"/>
          <w:sz w:val="24"/>
          <w:szCs w:val="24"/>
        </w:rPr>
        <w:t xml:space="preserve"> </w:t>
      </w:r>
      <w:r w:rsidR="00683DF2" w:rsidRPr="00FB5A28">
        <w:rPr>
          <w:rFonts w:ascii="Times New Roman" w:hAnsi="Times New Roman"/>
          <w:sz w:val="24"/>
          <w:szCs w:val="24"/>
        </w:rPr>
        <w:t>кореографских</w:t>
      </w:r>
      <w:r w:rsidRPr="00FB5A28">
        <w:rPr>
          <w:rFonts w:ascii="Times New Roman" w:hAnsi="Times New Roman"/>
          <w:sz w:val="24"/>
          <w:szCs w:val="24"/>
        </w:rPr>
        <w:t xml:space="preserve"> </w:t>
      </w:r>
      <w:r w:rsidR="00683DF2" w:rsidRPr="00FB5A28">
        <w:rPr>
          <w:rFonts w:ascii="Times New Roman" w:hAnsi="Times New Roman"/>
          <w:sz w:val="24"/>
          <w:szCs w:val="24"/>
        </w:rPr>
        <w:t>дела</w:t>
      </w:r>
      <w:r w:rsidRPr="00FB5A28">
        <w:rPr>
          <w:rFonts w:ascii="Times New Roman" w:hAnsi="Times New Roman"/>
          <w:sz w:val="24"/>
          <w:szCs w:val="24"/>
        </w:rPr>
        <w:t xml:space="preserve"> </w:t>
      </w:r>
      <w:r w:rsidR="00683DF2" w:rsidRPr="00FB5A28">
        <w:rPr>
          <w:rFonts w:ascii="Times New Roman" w:hAnsi="Times New Roman"/>
          <w:sz w:val="24"/>
          <w:szCs w:val="24"/>
        </w:rPr>
        <w:t>чије</w:t>
      </w:r>
      <w:r w:rsidRPr="00FB5A28">
        <w:rPr>
          <w:rFonts w:ascii="Times New Roman" w:hAnsi="Times New Roman"/>
          <w:sz w:val="24"/>
          <w:szCs w:val="24"/>
        </w:rPr>
        <w:t xml:space="preserve"> </w:t>
      </w:r>
      <w:r w:rsidR="00683DF2" w:rsidRPr="00FB5A28">
        <w:rPr>
          <w:rFonts w:ascii="Times New Roman" w:hAnsi="Times New Roman"/>
          <w:sz w:val="24"/>
          <w:szCs w:val="24"/>
        </w:rPr>
        <w:t>је</w:t>
      </w:r>
      <w:r w:rsidRPr="00FB5A28">
        <w:rPr>
          <w:rFonts w:ascii="Times New Roman" w:hAnsi="Times New Roman"/>
          <w:sz w:val="24"/>
          <w:szCs w:val="24"/>
        </w:rPr>
        <w:t xml:space="preserve"> </w:t>
      </w:r>
      <w:r w:rsidR="00683DF2" w:rsidRPr="00FB5A28">
        <w:rPr>
          <w:rFonts w:ascii="Times New Roman" w:hAnsi="Times New Roman"/>
          <w:sz w:val="24"/>
          <w:szCs w:val="24"/>
        </w:rPr>
        <w:t>представљање</w:t>
      </w:r>
      <w:r w:rsidRPr="00FB5A28">
        <w:rPr>
          <w:rFonts w:ascii="Times New Roman" w:hAnsi="Times New Roman"/>
          <w:sz w:val="24"/>
          <w:szCs w:val="24"/>
        </w:rPr>
        <w:t xml:space="preserve"> </w:t>
      </w:r>
      <w:r w:rsidR="00683DF2" w:rsidRPr="00FB5A28">
        <w:rPr>
          <w:rFonts w:ascii="Times New Roman" w:hAnsi="Times New Roman"/>
          <w:sz w:val="24"/>
          <w:szCs w:val="24"/>
        </w:rPr>
        <w:t>утврђено</w:t>
      </w:r>
      <w:r w:rsidRPr="00FB5A28">
        <w:rPr>
          <w:rFonts w:ascii="Times New Roman" w:hAnsi="Times New Roman"/>
          <w:sz w:val="24"/>
          <w:szCs w:val="24"/>
        </w:rPr>
        <w:t xml:space="preserve"> </w:t>
      </w:r>
      <w:r w:rsidR="00683DF2" w:rsidRPr="00FB5A28">
        <w:rPr>
          <w:rFonts w:ascii="Times New Roman" w:hAnsi="Times New Roman"/>
          <w:sz w:val="24"/>
          <w:szCs w:val="24"/>
        </w:rPr>
        <w:t>писмено</w:t>
      </w:r>
      <w:r w:rsidRPr="00FB5A28">
        <w:rPr>
          <w:rFonts w:ascii="Times New Roman" w:hAnsi="Times New Roman"/>
          <w:sz w:val="24"/>
          <w:szCs w:val="24"/>
        </w:rPr>
        <w:t xml:space="preserve"> </w:t>
      </w:r>
      <w:r w:rsidR="00683DF2" w:rsidRPr="00FB5A28">
        <w:rPr>
          <w:rFonts w:ascii="Times New Roman" w:hAnsi="Times New Roman"/>
          <w:sz w:val="24"/>
          <w:szCs w:val="24"/>
        </w:rPr>
        <w:t>или</w:t>
      </w:r>
      <w:r w:rsidRPr="00FB5A28">
        <w:rPr>
          <w:rFonts w:ascii="Times New Roman" w:hAnsi="Times New Roman"/>
          <w:sz w:val="24"/>
          <w:szCs w:val="24"/>
        </w:rPr>
        <w:t xml:space="preserve"> </w:t>
      </w:r>
      <w:r w:rsidR="00683DF2" w:rsidRPr="00FB5A28">
        <w:rPr>
          <w:rFonts w:ascii="Times New Roman" w:hAnsi="Times New Roman"/>
          <w:sz w:val="24"/>
          <w:szCs w:val="24"/>
        </w:rPr>
        <w:t>на</w:t>
      </w:r>
      <w:r w:rsidRPr="00FB5A28">
        <w:rPr>
          <w:rFonts w:ascii="Times New Roman" w:hAnsi="Times New Roman"/>
          <w:sz w:val="24"/>
          <w:szCs w:val="24"/>
        </w:rPr>
        <w:t xml:space="preserve"> </w:t>
      </w:r>
      <w:r w:rsidR="00683DF2" w:rsidRPr="00FB5A28">
        <w:rPr>
          <w:rFonts w:ascii="Times New Roman" w:hAnsi="Times New Roman"/>
          <w:sz w:val="24"/>
          <w:szCs w:val="24"/>
        </w:rPr>
        <w:t>неки</w:t>
      </w:r>
      <w:r w:rsidRPr="00FB5A28">
        <w:rPr>
          <w:rFonts w:ascii="Times New Roman" w:hAnsi="Times New Roman"/>
          <w:sz w:val="24"/>
          <w:szCs w:val="24"/>
        </w:rPr>
        <w:t xml:space="preserve"> </w:t>
      </w:r>
      <w:r w:rsidR="00683DF2" w:rsidRPr="00FB5A28">
        <w:rPr>
          <w:rFonts w:ascii="Times New Roman" w:hAnsi="Times New Roman"/>
          <w:sz w:val="24"/>
          <w:szCs w:val="24"/>
        </w:rPr>
        <w:t>други</w:t>
      </w:r>
      <w:r w:rsidRPr="00FB5A28">
        <w:rPr>
          <w:rFonts w:ascii="Times New Roman" w:hAnsi="Times New Roman"/>
          <w:sz w:val="24"/>
          <w:szCs w:val="24"/>
        </w:rPr>
        <w:t xml:space="preserve"> </w:t>
      </w:r>
      <w:r w:rsidR="00683DF2" w:rsidRPr="00FB5A28">
        <w:rPr>
          <w:rFonts w:ascii="Times New Roman" w:hAnsi="Times New Roman"/>
          <w:sz w:val="24"/>
          <w:szCs w:val="24"/>
        </w:rPr>
        <w:t>начин</w:t>
      </w:r>
      <w:r w:rsidRPr="00FB5A28">
        <w:rPr>
          <w:rFonts w:ascii="Times New Roman" w:hAnsi="Times New Roman"/>
          <w:sz w:val="24"/>
          <w:szCs w:val="24"/>
        </w:rPr>
        <w:t>;</w:t>
      </w:r>
    </w:p>
    <w:p w:rsidR="008832B3" w:rsidRPr="00FB5A28" w:rsidRDefault="008832B3" w:rsidP="00FB5A28">
      <w:pPr>
        <w:jc w:val="both"/>
        <w:rPr>
          <w:rFonts w:ascii="Times New Roman" w:hAnsi="Times New Roman"/>
          <w:sz w:val="24"/>
          <w:szCs w:val="24"/>
        </w:rPr>
      </w:pPr>
      <w:r w:rsidRPr="00FB5A28">
        <w:rPr>
          <w:rFonts w:ascii="Times New Roman" w:hAnsi="Times New Roman"/>
          <w:sz w:val="24"/>
          <w:szCs w:val="24"/>
        </w:rPr>
        <w:lastRenderedPageBreak/>
        <w:t xml:space="preserve">5) </w:t>
      </w:r>
      <w:r w:rsidR="00683DF2" w:rsidRPr="00FB5A28">
        <w:rPr>
          <w:rFonts w:ascii="Times New Roman" w:hAnsi="Times New Roman"/>
          <w:sz w:val="24"/>
          <w:szCs w:val="24"/>
        </w:rPr>
        <w:t>музичких</w:t>
      </w:r>
      <w:r w:rsidRPr="00FB5A28">
        <w:rPr>
          <w:rFonts w:ascii="Times New Roman" w:hAnsi="Times New Roman"/>
          <w:sz w:val="24"/>
          <w:szCs w:val="24"/>
        </w:rPr>
        <w:t xml:space="preserve"> </w:t>
      </w:r>
      <w:r w:rsidR="00683DF2" w:rsidRPr="00FB5A28">
        <w:rPr>
          <w:rFonts w:ascii="Times New Roman" w:hAnsi="Times New Roman"/>
          <w:sz w:val="24"/>
          <w:szCs w:val="24"/>
        </w:rPr>
        <w:t>дела</w:t>
      </w:r>
      <w:r w:rsidRPr="00FB5A28">
        <w:rPr>
          <w:rFonts w:ascii="Times New Roman" w:hAnsi="Times New Roman"/>
          <w:sz w:val="24"/>
          <w:szCs w:val="24"/>
        </w:rPr>
        <w:t xml:space="preserve"> </w:t>
      </w:r>
      <w:r w:rsidR="00683DF2" w:rsidRPr="00FB5A28">
        <w:rPr>
          <w:rFonts w:ascii="Times New Roman" w:hAnsi="Times New Roman"/>
          <w:sz w:val="24"/>
          <w:szCs w:val="24"/>
        </w:rPr>
        <w:t>са</w:t>
      </w:r>
      <w:r w:rsidRPr="00FB5A28">
        <w:rPr>
          <w:rFonts w:ascii="Times New Roman" w:hAnsi="Times New Roman"/>
          <w:sz w:val="24"/>
          <w:szCs w:val="24"/>
        </w:rPr>
        <w:t xml:space="preserve"> </w:t>
      </w:r>
      <w:r w:rsidR="00683DF2" w:rsidRPr="00FB5A28">
        <w:rPr>
          <w:rFonts w:ascii="Times New Roman" w:hAnsi="Times New Roman"/>
          <w:sz w:val="24"/>
          <w:szCs w:val="24"/>
        </w:rPr>
        <w:t>речима</w:t>
      </w:r>
      <w:r w:rsidRPr="00FB5A28">
        <w:rPr>
          <w:rFonts w:ascii="Times New Roman" w:hAnsi="Times New Roman"/>
          <w:sz w:val="24"/>
          <w:szCs w:val="24"/>
        </w:rPr>
        <w:t xml:space="preserve"> </w:t>
      </w:r>
      <w:r w:rsidR="00683DF2" w:rsidRPr="00FB5A28">
        <w:rPr>
          <w:rFonts w:ascii="Times New Roman" w:hAnsi="Times New Roman"/>
          <w:sz w:val="24"/>
          <w:szCs w:val="24"/>
        </w:rPr>
        <w:t>или</w:t>
      </w:r>
      <w:r w:rsidRPr="00FB5A28">
        <w:rPr>
          <w:rFonts w:ascii="Times New Roman" w:hAnsi="Times New Roman"/>
          <w:sz w:val="24"/>
          <w:szCs w:val="24"/>
        </w:rPr>
        <w:t xml:space="preserve"> </w:t>
      </w:r>
      <w:r w:rsidR="00683DF2" w:rsidRPr="00FB5A28">
        <w:rPr>
          <w:rFonts w:ascii="Times New Roman" w:hAnsi="Times New Roman"/>
          <w:sz w:val="24"/>
          <w:szCs w:val="24"/>
        </w:rPr>
        <w:t>без</w:t>
      </w:r>
      <w:r w:rsidRPr="00FB5A28">
        <w:rPr>
          <w:rFonts w:ascii="Times New Roman" w:hAnsi="Times New Roman"/>
          <w:sz w:val="24"/>
          <w:szCs w:val="24"/>
        </w:rPr>
        <w:t xml:space="preserve"> </w:t>
      </w:r>
      <w:r w:rsidR="00683DF2" w:rsidRPr="00FB5A28">
        <w:rPr>
          <w:rFonts w:ascii="Times New Roman" w:hAnsi="Times New Roman"/>
          <w:sz w:val="24"/>
          <w:szCs w:val="24"/>
        </w:rPr>
        <w:t>њих</w:t>
      </w:r>
      <w:r w:rsidRPr="00FB5A28">
        <w:rPr>
          <w:rFonts w:ascii="Times New Roman" w:hAnsi="Times New Roman"/>
          <w:sz w:val="24"/>
          <w:szCs w:val="24"/>
        </w:rPr>
        <w:t>;</w:t>
      </w:r>
    </w:p>
    <w:p w:rsidR="008832B3" w:rsidRPr="00FB5A28" w:rsidRDefault="008832B3" w:rsidP="00FB5A28">
      <w:pPr>
        <w:jc w:val="both"/>
        <w:rPr>
          <w:rFonts w:ascii="Times New Roman" w:hAnsi="Times New Roman"/>
          <w:sz w:val="24"/>
          <w:szCs w:val="24"/>
        </w:rPr>
      </w:pPr>
      <w:r w:rsidRPr="00FB5A28">
        <w:rPr>
          <w:rFonts w:ascii="Times New Roman" w:hAnsi="Times New Roman"/>
          <w:sz w:val="24"/>
          <w:szCs w:val="24"/>
        </w:rPr>
        <w:t xml:space="preserve">6) </w:t>
      </w:r>
      <w:r w:rsidR="00683DF2" w:rsidRPr="00FB5A28">
        <w:rPr>
          <w:rFonts w:ascii="Times New Roman" w:hAnsi="Times New Roman"/>
          <w:sz w:val="24"/>
          <w:szCs w:val="24"/>
        </w:rPr>
        <w:t>кинематографских</w:t>
      </w:r>
      <w:r w:rsidRPr="00FB5A28">
        <w:rPr>
          <w:rFonts w:ascii="Times New Roman" w:hAnsi="Times New Roman"/>
          <w:sz w:val="24"/>
          <w:szCs w:val="24"/>
        </w:rPr>
        <w:t xml:space="preserve"> </w:t>
      </w:r>
      <w:r w:rsidR="00683DF2" w:rsidRPr="00FB5A28">
        <w:rPr>
          <w:rFonts w:ascii="Times New Roman" w:hAnsi="Times New Roman"/>
          <w:sz w:val="24"/>
          <w:szCs w:val="24"/>
        </w:rPr>
        <w:t>дела</w:t>
      </w:r>
      <w:r w:rsidRPr="00FB5A28">
        <w:rPr>
          <w:rFonts w:ascii="Times New Roman" w:hAnsi="Times New Roman"/>
          <w:sz w:val="24"/>
          <w:szCs w:val="24"/>
        </w:rPr>
        <w:t xml:space="preserve"> </w:t>
      </w:r>
      <w:r w:rsidR="00683DF2" w:rsidRPr="00FB5A28">
        <w:rPr>
          <w:rFonts w:ascii="Times New Roman" w:hAnsi="Times New Roman"/>
          <w:sz w:val="24"/>
          <w:szCs w:val="24"/>
        </w:rPr>
        <w:t>и</w:t>
      </w:r>
      <w:r w:rsidRPr="00FB5A28">
        <w:rPr>
          <w:rFonts w:ascii="Times New Roman" w:hAnsi="Times New Roman"/>
          <w:sz w:val="24"/>
          <w:szCs w:val="24"/>
        </w:rPr>
        <w:t xml:space="preserve"> </w:t>
      </w:r>
      <w:r w:rsidR="00683DF2" w:rsidRPr="00FB5A28">
        <w:rPr>
          <w:rFonts w:ascii="Times New Roman" w:hAnsi="Times New Roman"/>
          <w:sz w:val="24"/>
          <w:szCs w:val="24"/>
        </w:rPr>
        <w:t>дела</w:t>
      </w:r>
      <w:r w:rsidRPr="00FB5A28">
        <w:rPr>
          <w:rFonts w:ascii="Times New Roman" w:hAnsi="Times New Roman"/>
          <w:sz w:val="24"/>
          <w:szCs w:val="24"/>
        </w:rPr>
        <w:t xml:space="preserve"> </w:t>
      </w:r>
      <w:r w:rsidR="00683DF2" w:rsidRPr="00FB5A28">
        <w:rPr>
          <w:rFonts w:ascii="Times New Roman" w:hAnsi="Times New Roman"/>
          <w:sz w:val="24"/>
          <w:szCs w:val="24"/>
        </w:rPr>
        <w:t>створених</w:t>
      </w:r>
      <w:r w:rsidRPr="00FB5A28">
        <w:rPr>
          <w:rFonts w:ascii="Times New Roman" w:hAnsi="Times New Roman"/>
          <w:sz w:val="24"/>
          <w:szCs w:val="24"/>
        </w:rPr>
        <w:t xml:space="preserve"> </w:t>
      </w:r>
      <w:r w:rsidR="00683DF2" w:rsidRPr="00FB5A28">
        <w:rPr>
          <w:rFonts w:ascii="Times New Roman" w:hAnsi="Times New Roman"/>
          <w:sz w:val="24"/>
          <w:szCs w:val="24"/>
        </w:rPr>
        <w:t>на</w:t>
      </w:r>
      <w:r w:rsidRPr="00FB5A28">
        <w:rPr>
          <w:rFonts w:ascii="Times New Roman" w:hAnsi="Times New Roman"/>
          <w:sz w:val="24"/>
          <w:szCs w:val="24"/>
        </w:rPr>
        <w:t xml:space="preserve"> </w:t>
      </w:r>
      <w:r w:rsidR="00683DF2" w:rsidRPr="00FB5A28">
        <w:rPr>
          <w:rFonts w:ascii="Times New Roman" w:hAnsi="Times New Roman"/>
          <w:sz w:val="24"/>
          <w:szCs w:val="24"/>
        </w:rPr>
        <w:t>начин</w:t>
      </w:r>
      <w:r w:rsidRPr="00FB5A28">
        <w:rPr>
          <w:rFonts w:ascii="Times New Roman" w:hAnsi="Times New Roman"/>
          <w:sz w:val="24"/>
          <w:szCs w:val="24"/>
        </w:rPr>
        <w:t xml:space="preserve"> </w:t>
      </w:r>
      <w:r w:rsidR="00683DF2" w:rsidRPr="00FB5A28">
        <w:rPr>
          <w:rFonts w:ascii="Times New Roman" w:hAnsi="Times New Roman"/>
          <w:sz w:val="24"/>
          <w:szCs w:val="24"/>
        </w:rPr>
        <w:t>сличан</w:t>
      </w:r>
      <w:r w:rsidRPr="00FB5A28">
        <w:rPr>
          <w:rFonts w:ascii="Times New Roman" w:hAnsi="Times New Roman"/>
          <w:sz w:val="24"/>
          <w:szCs w:val="24"/>
        </w:rPr>
        <w:t xml:space="preserve"> </w:t>
      </w:r>
      <w:r w:rsidR="00683DF2" w:rsidRPr="00FB5A28">
        <w:rPr>
          <w:rFonts w:ascii="Times New Roman" w:hAnsi="Times New Roman"/>
          <w:sz w:val="24"/>
          <w:szCs w:val="24"/>
        </w:rPr>
        <w:t>кинематографији</w:t>
      </w:r>
      <w:r w:rsidRPr="00FB5A28">
        <w:rPr>
          <w:rFonts w:ascii="Times New Roman" w:hAnsi="Times New Roman"/>
          <w:sz w:val="24"/>
          <w:szCs w:val="24"/>
        </w:rPr>
        <w:t>;</w:t>
      </w:r>
    </w:p>
    <w:p w:rsidR="008832B3" w:rsidRPr="00FB5A28" w:rsidRDefault="008832B3" w:rsidP="00FB5A28">
      <w:pPr>
        <w:jc w:val="both"/>
        <w:rPr>
          <w:rFonts w:ascii="Times New Roman" w:hAnsi="Times New Roman"/>
          <w:sz w:val="24"/>
          <w:szCs w:val="24"/>
        </w:rPr>
      </w:pPr>
      <w:r w:rsidRPr="00FB5A28">
        <w:rPr>
          <w:rFonts w:ascii="Times New Roman" w:hAnsi="Times New Roman"/>
          <w:sz w:val="24"/>
          <w:szCs w:val="24"/>
        </w:rPr>
        <w:t xml:space="preserve">7) </w:t>
      </w:r>
      <w:r w:rsidR="00683DF2" w:rsidRPr="00FB5A28">
        <w:rPr>
          <w:rFonts w:ascii="Times New Roman" w:hAnsi="Times New Roman"/>
          <w:sz w:val="24"/>
          <w:szCs w:val="24"/>
        </w:rPr>
        <w:t>дела</w:t>
      </w:r>
      <w:r w:rsidRPr="00FB5A28">
        <w:rPr>
          <w:rFonts w:ascii="Times New Roman" w:hAnsi="Times New Roman"/>
          <w:sz w:val="24"/>
          <w:szCs w:val="24"/>
        </w:rPr>
        <w:t xml:space="preserve"> </w:t>
      </w:r>
      <w:r w:rsidR="00683DF2" w:rsidRPr="00FB5A28">
        <w:rPr>
          <w:rFonts w:ascii="Times New Roman" w:hAnsi="Times New Roman"/>
          <w:sz w:val="24"/>
          <w:szCs w:val="24"/>
        </w:rPr>
        <w:t>ликовне</w:t>
      </w:r>
      <w:r w:rsidRPr="00FB5A28">
        <w:rPr>
          <w:rFonts w:ascii="Times New Roman" w:hAnsi="Times New Roman"/>
          <w:sz w:val="24"/>
          <w:szCs w:val="24"/>
        </w:rPr>
        <w:t xml:space="preserve"> </w:t>
      </w:r>
      <w:r w:rsidR="00683DF2" w:rsidRPr="00FB5A28">
        <w:rPr>
          <w:rFonts w:ascii="Times New Roman" w:hAnsi="Times New Roman"/>
          <w:sz w:val="24"/>
          <w:szCs w:val="24"/>
        </w:rPr>
        <w:t>уметности</w:t>
      </w:r>
      <w:r w:rsidRPr="00FB5A28">
        <w:rPr>
          <w:rFonts w:ascii="Times New Roman" w:hAnsi="Times New Roman"/>
          <w:sz w:val="24"/>
          <w:szCs w:val="24"/>
        </w:rPr>
        <w:t>;</w:t>
      </w:r>
    </w:p>
    <w:p w:rsidR="00A239B8" w:rsidRPr="00FB5A28" w:rsidRDefault="00A239B8" w:rsidP="00FB5A28">
      <w:pPr>
        <w:jc w:val="both"/>
        <w:rPr>
          <w:rFonts w:ascii="Times New Roman" w:hAnsi="Times New Roman"/>
          <w:sz w:val="24"/>
          <w:szCs w:val="24"/>
          <w:lang w:val="sr-Cyrl-CS"/>
        </w:rPr>
      </w:pPr>
      <w:r w:rsidRPr="00FB5A28">
        <w:rPr>
          <w:rFonts w:ascii="Times New Roman" w:hAnsi="Times New Roman"/>
          <w:sz w:val="24"/>
          <w:szCs w:val="24"/>
        </w:rPr>
        <w:t xml:space="preserve">8) </w:t>
      </w:r>
      <w:r w:rsidR="00683DF2" w:rsidRPr="00FB5A28">
        <w:rPr>
          <w:rFonts w:ascii="Times New Roman" w:hAnsi="Times New Roman"/>
          <w:sz w:val="24"/>
          <w:szCs w:val="24"/>
        </w:rPr>
        <w:t>картографских</w:t>
      </w:r>
      <w:r w:rsidRPr="00FB5A28">
        <w:rPr>
          <w:rFonts w:ascii="Times New Roman" w:hAnsi="Times New Roman"/>
          <w:sz w:val="24"/>
          <w:szCs w:val="24"/>
        </w:rPr>
        <w:t xml:space="preserve"> </w:t>
      </w:r>
      <w:r w:rsidR="00683DF2" w:rsidRPr="00FB5A28">
        <w:rPr>
          <w:rFonts w:ascii="Times New Roman" w:hAnsi="Times New Roman"/>
          <w:sz w:val="24"/>
          <w:szCs w:val="24"/>
        </w:rPr>
        <w:t>дела</w:t>
      </w:r>
      <w:r w:rsidRPr="00FB5A28">
        <w:rPr>
          <w:rFonts w:ascii="Times New Roman" w:hAnsi="Times New Roman"/>
          <w:sz w:val="24"/>
          <w:szCs w:val="24"/>
          <w:lang w:val="sr-Cyrl-CS"/>
        </w:rPr>
        <w:t xml:space="preserve"> итд.</w:t>
      </w:r>
      <w:r w:rsidRPr="00FB5A28">
        <w:rPr>
          <w:rStyle w:val="FootnoteReference"/>
          <w:rFonts w:ascii="Times New Roman" w:hAnsi="Times New Roman"/>
          <w:color w:val="000000"/>
          <w:sz w:val="24"/>
          <w:szCs w:val="24"/>
          <w:lang w:val="sr-Cyrl-CS"/>
        </w:rPr>
        <w:footnoteReference w:id="457"/>
      </w:r>
    </w:p>
    <w:p w:rsidR="00A239B8" w:rsidRPr="00FB5A28" w:rsidRDefault="00683DF2" w:rsidP="00FB5A28">
      <w:pPr>
        <w:ind w:firstLine="708"/>
        <w:jc w:val="both"/>
        <w:rPr>
          <w:rFonts w:ascii="Times New Roman" w:hAnsi="Times New Roman"/>
          <w:sz w:val="24"/>
          <w:szCs w:val="24"/>
          <w:lang w:val="sr-Cyrl-CS"/>
        </w:rPr>
      </w:pPr>
      <w:bookmarkStart w:id="35" w:name="clan_52a"/>
      <w:bookmarkEnd w:id="35"/>
      <w:r w:rsidRPr="00FB5A28">
        <w:rPr>
          <w:rFonts w:ascii="Times New Roman" w:hAnsi="Times New Roman"/>
          <w:sz w:val="24"/>
          <w:szCs w:val="24"/>
        </w:rPr>
        <w:t>Приходом</w:t>
      </w:r>
      <w:r w:rsidR="008832B3" w:rsidRPr="00FB5A28">
        <w:rPr>
          <w:rFonts w:ascii="Times New Roman" w:hAnsi="Times New Roman"/>
          <w:sz w:val="24"/>
          <w:szCs w:val="24"/>
        </w:rPr>
        <w:t xml:space="preserve"> </w:t>
      </w:r>
      <w:r w:rsidRPr="00FB5A28">
        <w:rPr>
          <w:rFonts w:ascii="Times New Roman" w:hAnsi="Times New Roman"/>
          <w:sz w:val="24"/>
          <w:szCs w:val="24"/>
        </w:rPr>
        <w:t>од</w:t>
      </w:r>
      <w:r w:rsidR="008832B3" w:rsidRPr="00FB5A28">
        <w:rPr>
          <w:rFonts w:ascii="Times New Roman" w:hAnsi="Times New Roman"/>
          <w:sz w:val="24"/>
          <w:szCs w:val="24"/>
        </w:rPr>
        <w:t xml:space="preserve"> </w:t>
      </w:r>
      <w:r w:rsidRPr="00FB5A28">
        <w:rPr>
          <w:rFonts w:ascii="Times New Roman" w:hAnsi="Times New Roman"/>
          <w:sz w:val="24"/>
          <w:szCs w:val="24"/>
        </w:rPr>
        <w:t>права</w:t>
      </w:r>
      <w:r w:rsidR="008832B3" w:rsidRPr="00FB5A28">
        <w:rPr>
          <w:rFonts w:ascii="Times New Roman" w:hAnsi="Times New Roman"/>
          <w:sz w:val="24"/>
          <w:szCs w:val="24"/>
        </w:rPr>
        <w:t xml:space="preserve"> </w:t>
      </w:r>
      <w:r w:rsidRPr="00FB5A28">
        <w:rPr>
          <w:rFonts w:ascii="Times New Roman" w:hAnsi="Times New Roman"/>
          <w:sz w:val="24"/>
          <w:szCs w:val="24"/>
        </w:rPr>
        <w:t>сродних</w:t>
      </w:r>
      <w:r w:rsidR="008832B3" w:rsidRPr="00FB5A28">
        <w:rPr>
          <w:rFonts w:ascii="Times New Roman" w:hAnsi="Times New Roman"/>
          <w:sz w:val="24"/>
          <w:szCs w:val="24"/>
        </w:rPr>
        <w:t xml:space="preserve"> </w:t>
      </w:r>
      <w:r w:rsidRPr="00FB5A28">
        <w:rPr>
          <w:rFonts w:ascii="Times New Roman" w:hAnsi="Times New Roman"/>
          <w:sz w:val="24"/>
          <w:szCs w:val="24"/>
        </w:rPr>
        <w:t>ауторском</w:t>
      </w:r>
      <w:r w:rsidR="008832B3" w:rsidRPr="00FB5A28">
        <w:rPr>
          <w:rFonts w:ascii="Times New Roman" w:hAnsi="Times New Roman"/>
          <w:sz w:val="24"/>
          <w:szCs w:val="24"/>
        </w:rPr>
        <w:t xml:space="preserve"> </w:t>
      </w:r>
      <w:r w:rsidRPr="00FB5A28">
        <w:rPr>
          <w:rFonts w:ascii="Times New Roman" w:hAnsi="Times New Roman"/>
          <w:sz w:val="24"/>
          <w:szCs w:val="24"/>
        </w:rPr>
        <w:t>праву</w:t>
      </w:r>
      <w:r w:rsidR="008832B3" w:rsidRPr="00FB5A28">
        <w:rPr>
          <w:rFonts w:ascii="Times New Roman" w:hAnsi="Times New Roman"/>
          <w:sz w:val="24"/>
          <w:szCs w:val="24"/>
        </w:rPr>
        <w:t xml:space="preserve"> </w:t>
      </w:r>
      <w:r w:rsidRPr="00FB5A28">
        <w:rPr>
          <w:rFonts w:ascii="Times New Roman" w:hAnsi="Times New Roman"/>
          <w:sz w:val="24"/>
          <w:szCs w:val="24"/>
        </w:rPr>
        <w:t>сматра</w:t>
      </w:r>
      <w:r w:rsidR="008832B3" w:rsidRPr="00FB5A28">
        <w:rPr>
          <w:rFonts w:ascii="Times New Roman" w:hAnsi="Times New Roman"/>
          <w:sz w:val="24"/>
          <w:szCs w:val="24"/>
        </w:rPr>
        <w:t xml:space="preserve"> </w:t>
      </w:r>
      <w:r w:rsidRPr="00FB5A28">
        <w:rPr>
          <w:rFonts w:ascii="Times New Roman" w:hAnsi="Times New Roman"/>
          <w:sz w:val="24"/>
          <w:szCs w:val="24"/>
        </w:rPr>
        <w:t>се</w:t>
      </w:r>
      <w:r w:rsidR="008832B3" w:rsidRPr="00FB5A28">
        <w:rPr>
          <w:rFonts w:ascii="Times New Roman" w:hAnsi="Times New Roman"/>
          <w:sz w:val="24"/>
          <w:szCs w:val="24"/>
        </w:rPr>
        <w:t xml:space="preserve"> </w:t>
      </w:r>
      <w:r w:rsidRPr="00FB5A28">
        <w:rPr>
          <w:rFonts w:ascii="Times New Roman" w:hAnsi="Times New Roman"/>
          <w:sz w:val="24"/>
          <w:szCs w:val="24"/>
        </w:rPr>
        <w:t>накнада</w:t>
      </w:r>
      <w:r w:rsidR="008832B3" w:rsidRPr="00FB5A28">
        <w:rPr>
          <w:rFonts w:ascii="Times New Roman" w:hAnsi="Times New Roman"/>
          <w:sz w:val="24"/>
          <w:szCs w:val="24"/>
        </w:rPr>
        <w:t xml:space="preserve"> </w:t>
      </w:r>
      <w:r w:rsidRPr="00FB5A28">
        <w:rPr>
          <w:rFonts w:ascii="Times New Roman" w:hAnsi="Times New Roman"/>
          <w:sz w:val="24"/>
          <w:szCs w:val="24"/>
        </w:rPr>
        <w:t>коју</w:t>
      </w:r>
      <w:r w:rsidR="008832B3" w:rsidRPr="00FB5A28">
        <w:rPr>
          <w:rFonts w:ascii="Times New Roman" w:hAnsi="Times New Roman"/>
          <w:sz w:val="24"/>
          <w:szCs w:val="24"/>
        </w:rPr>
        <w:t xml:space="preserve"> </w:t>
      </w:r>
      <w:r w:rsidRPr="00FB5A28">
        <w:rPr>
          <w:rFonts w:ascii="Times New Roman" w:hAnsi="Times New Roman"/>
          <w:sz w:val="24"/>
          <w:szCs w:val="24"/>
        </w:rPr>
        <w:t>обвезник</w:t>
      </w:r>
      <w:r w:rsidR="008832B3" w:rsidRPr="00FB5A28">
        <w:rPr>
          <w:rFonts w:ascii="Times New Roman" w:hAnsi="Times New Roman"/>
          <w:sz w:val="24"/>
          <w:szCs w:val="24"/>
        </w:rPr>
        <w:t xml:space="preserve"> </w:t>
      </w:r>
      <w:r w:rsidRPr="00FB5A28">
        <w:rPr>
          <w:rFonts w:ascii="Times New Roman" w:hAnsi="Times New Roman"/>
          <w:sz w:val="24"/>
          <w:szCs w:val="24"/>
        </w:rPr>
        <w:t>оствари</w:t>
      </w:r>
      <w:r w:rsidR="008832B3" w:rsidRPr="00FB5A28">
        <w:rPr>
          <w:rFonts w:ascii="Times New Roman" w:hAnsi="Times New Roman"/>
          <w:sz w:val="24"/>
          <w:szCs w:val="24"/>
        </w:rPr>
        <w:t xml:space="preserve"> </w:t>
      </w:r>
      <w:r w:rsidRPr="00FB5A28">
        <w:rPr>
          <w:rFonts w:ascii="Times New Roman" w:hAnsi="Times New Roman"/>
          <w:sz w:val="24"/>
          <w:szCs w:val="24"/>
        </w:rPr>
        <w:t>по</w:t>
      </w:r>
      <w:r w:rsidR="008832B3" w:rsidRPr="00FB5A28">
        <w:rPr>
          <w:rFonts w:ascii="Times New Roman" w:hAnsi="Times New Roman"/>
          <w:sz w:val="24"/>
          <w:szCs w:val="24"/>
        </w:rPr>
        <w:t xml:space="preserve"> </w:t>
      </w:r>
      <w:r w:rsidRPr="00FB5A28">
        <w:rPr>
          <w:rFonts w:ascii="Times New Roman" w:hAnsi="Times New Roman"/>
          <w:sz w:val="24"/>
          <w:szCs w:val="24"/>
        </w:rPr>
        <w:t>основу</w:t>
      </w:r>
      <w:r w:rsidR="008832B3" w:rsidRPr="00FB5A28">
        <w:rPr>
          <w:rFonts w:ascii="Times New Roman" w:hAnsi="Times New Roman"/>
          <w:sz w:val="24"/>
          <w:szCs w:val="24"/>
        </w:rPr>
        <w:t>:</w:t>
      </w:r>
      <w:r w:rsidR="00A239B8" w:rsidRPr="00FB5A28">
        <w:rPr>
          <w:rFonts w:ascii="Times New Roman" w:hAnsi="Times New Roman"/>
          <w:sz w:val="24"/>
          <w:szCs w:val="24"/>
          <w:lang w:val="sr-Cyrl-CS"/>
        </w:rPr>
        <w:t xml:space="preserve"> </w:t>
      </w:r>
    </w:p>
    <w:p w:rsidR="008832B3" w:rsidRPr="00FB5A28" w:rsidRDefault="008832B3" w:rsidP="00FB5A28">
      <w:pPr>
        <w:jc w:val="both"/>
        <w:rPr>
          <w:rFonts w:ascii="Times New Roman" w:hAnsi="Times New Roman"/>
          <w:sz w:val="24"/>
          <w:szCs w:val="24"/>
        </w:rPr>
      </w:pPr>
      <w:r w:rsidRPr="00FB5A28">
        <w:rPr>
          <w:rFonts w:ascii="Times New Roman" w:hAnsi="Times New Roman"/>
          <w:sz w:val="24"/>
          <w:szCs w:val="24"/>
        </w:rPr>
        <w:t xml:space="preserve">1) </w:t>
      </w:r>
      <w:r w:rsidR="00683DF2" w:rsidRPr="00FB5A28">
        <w:rPr>
          <w:rFonts w:ascii="Times New Roman" w:hAnsi="Times New Roman"/>
          <w:sz w:val="24"/>
          <w:szCs w:val="24"/>
        </w:rPr>
        <w:t>права</w:t>
      </w:r>
      <w:r w:rsidRPr="00FB5A28">
        <w:rPr>
          <w:rFonts w:ascii="Times New Roman" w:hAnsi="Times New Roman"/>
          <w:sz w:val="24"/>
          <w:szCs w:val="24"/>
        </w:rPr>
        <w:t xml:space="preserve"> </w:t>
      </w:r>
      <w:r w:rsidR="00683DF2" w:rsidRPr="00FB5A28">
        <w:rPr>
          <w:rFonts w:ascii="Times New Roman" w:hAnsi="Times New Roman"/>
          <w:sz w:val="24"/>
          <w:szCs w:val="24"/>
        </w:rPr>
        <w:t>интерпретатора</w:t>
      </w:r>
      <w:r w:rsidRPr="00FB5A28">
        <w:rPr>
          <w:rFonts w:ascii="Times New Roman" w:hAnsi="Times New Roman"/>
          <w:sz w:val="24"/>
          <w:szCs w:val="24"/>
        </w:rPr>
        <w:t>;</w:t>
      </w:r>
    </w:p>
    <w:p w:rsidR="008832B3" w:rsidRPr="00FB5A28" w:rsidRDefault="008832B3" w:rsidP="00FB5A28">
      <w:pPr>
        <w:jc w:val="both"/>
        <w:rPr>
          <w:rFonts w:ascii="Times New Roman" w:hAnsi="Times New Roman"/>
          <w:sz w:val="24"/>
          <w:szCs w:val="24"/>
        </w:rPr>
      </w:pPr>
      <w:r w:rsidRPr="00FB5A28">
        <w:rPr>
          <w:rFonts w:ascii="Times New Roman" w:hAnsi="Times New Roman"/>
          <w:sz w:val="24"/>
          <w:szCs w:val="24"/>
        </w:rPr>
        <w:t xml:space="preserve">2) </w:t>
      </w:r>
      <w:r w:rsidR="00683DF2" w:rsidRPr="00FB5A28">
        <w:rPr>
          <w:rFonts w:ascii="Times New Roman" w:hAnsi="Times New Roman"/>
          <w:sz w:val="24"/>
          <w:szCs w:val="24"/>
        </w:rPr>
        <w:t>права</w:t>
      </w:r>
      <w:r w:rsidRPr="00FB5A28">
        <w:rPr>
          <w:rFonts w:ascii="Times New Roman" w:hAnsi="Times New Roman"/>
          <w:sz w:val="24"/>
          <w:szCs w:val="24"/>
        </w:rPr>
        <w:t xml:space="preserve"> </w:t>
      </w:r>
      <w:r w:rsidR="00683DF2" w:rsidRPr="00FB5A28">
        <w:rPr>
          <w:rFonts w:ascii="Times New Roman" w:hAnsi="Times New Roman"/>
          <w:sz w:val="24"/>
          <w:szCs w:val="24"/>
        </w:rPr>
        <w:t>произвођача</w:t>
      </w:r>
      <w:r w:rsidRPr="00FB5A28">
        <w:rPr>
          <w:rFonts w:ascii="Times New Roman" w:hAnsi="Times New Roman"/>
          <w:sz w:val="24"/>
          <w:szCs w:val="24"/>
        </w:rPr>
        <w:t xml:space="preserve"> </w:t>
      </w:r>
      <w:r w:rsidR="00683DF2" w:rsidRPr="00FB5A28">
        <w:rPr>
          <w:rFonts w:ascii="Times New Roman" w:hAnsi="Times New Roman"/>
          <w:sz w:val="24"/>
          <w:szCs w:val="24"/>
        </w:rPr>
        <w:t>фонограма</w:t>
      </w:r>
      <w:r w:rsidRPr="00FB5A28">
        <w:rPr>
          <w:rFonts w:ascii="Times New Roman" w:hAnsi="Times New Roman"/>
          <w:sz w:val="24"/>
          <w:szCs w:val="24"/>
        </w:rPr>
        <w:t>;</w:t>
      </w:r>
    </w:p>
    <w:p w:rsidR="008832B3" w:rsidRPr="00FB5A28" w:rsidRDefault="008832B3" w:rsidP="00FB5A28">
      <w:pPr>
        <w:jc w:val="both"/>
        <w:rPr>
          <w:rFonts w:ascii="Times New Roman" w:hAnsi="Times New Roman"/>
          <w:sz w:val="24"/>
          <w:szCs w:val="24"/>
        </w:rPr>
      </w:pPr>
      <w:r w:rsidRPr="00FB5A28">
        <w:rPr>
          <w:rFonts w:ascii="Times New Roman" w:hAnsi="Times New Roman"/>
          <w:sz w:val="24"/>
          <w:szCs w:val="24"/>
        </w:rPr>
        <w:t xml:space="preserve">3) </w:t>
      </w:r>
      <w:r w:rsidR="00683DF2" w:rsidRPr="00FB5A28">
        <w:rPr>
          <w:rFonts w:ascii="Times New Roman" w:hAnsi="Times New Roman"/>
          <w:sz w:val="24"/>
          <w:szCs w:val="24"/>
        </w:rPr>
        <w:t>права</w:t>
      </w:r>
      <w:r w:rsidRPr="00FB5A28">
        <w:rPr>
          <w:rFonts w:ascii="Times New Roman" w:hAnsi="Times New Roman"/>
          <w:sz w:val="24"/>
          <w:szCs w:val="24"/>
        </w:rPr>
        <w:t xml:space="preserve"> </w:t>
      </w:r>
      <w:r w:rsidR="00683DF2" w:rsidRPr="00FB5A28">
        <w:rPr>
          <w:rFonts w:ascii="Times New Roman" w:hAnsi="Times New Roman"/>
          <w:sz w:val="24"/>
          <w:szCs w:val="24"/>
        </w:rPr>
        <w:t>произвођача</w:t>
      </w:r>
      <w:r w:rsidRPr="00FB5A28">
        <w:rPr>
          <w:rFonts w:ascii="Times New Roman" w:hAnsi="Times New Roman"/>
          <w:sz w:val="24"/>
          <w:szCs w:val="24"/>
        </w:rPr>
        <w:t xml:space="preserve"> </w:t>
      </w:r>
      <w:r w:rsidR="00683DF2" w:rsidRPr="00FB5A28">
        <w:rPr>
          <w:rFonts w:ascii="Times New Roman" w:hAnsi="Times New Roman"/>
          <w:sz w:val="24"/>
          <w:szCs w:val="24"/>
        </w:rPr>
        <w:t>видеограма</w:t>
      </w:r>
      <w:r w:rsidRPr="00FB5A28">
        <w:rPr>
          <w:rFonts w:ascii="Times New Roman" w:hAnsi="Times New Roman"/>
          <w:sz w:val="24"/>
          <w:szCs w:val="24"/>
        </w:rPr>
        <w:t>;</w:t>
      </w:r>
    </w:p>
    <w:p w:rsidR="008832B3" w:rsidRPr="00FB5A28" w:rsidRDefault="008832B3" w:rsidP="00FB5A28">
      <w:pPr>
        <w:jc w:val="both"/>
        <w:rPr>
          <w:rFonts w:ascii="Times New Roman" w:hAnsi="Times New Roman"/>
          <w:sz w:val="24"/>
          <w:szCs w:val="24"/>
        </w:rPr>
      </w:pPr>
      <w:r w:rsidRPr="00FB5A28">
        <w:rPr>
          <w:rFonts w:ascii="Times New Roman" w:hAnsi="Times New Roman"/>
          <w:sz w:val="24"/>
          <w:szCs w:val="24"/>
        </w:rPr>
        <w:t xml:space="preserve">4) </w:t>
      </w:r>
      <w:r w:rsidR="00683DF2" w:rsidRPr="00FB5A28">
        <w:rPr>
          <w:rFonts w:ascii="Times New Roman" w:hAnsi="Times New Roman"/>
          <w:sz w:val="24"/>
          <w:szCs w:val="24"/>
        </w:rPr>
        <w:t>права</w:t>
      </w:r>
      <w:r w:rsidRPr="00FB5A28">
        <w:rPr>
          <w:rFonts w:ascii="Times New Roman" w:hAnsi="Times New Roman"/>
          <w:sz w:val="24"/>
          <w:szCs w:val="24"/>
        </w:rPr>
        <w:t xml:space="preserve"> </w:t>
      </w:r>
      <w:r w:rsidR="00683DF2" w:rsidRPr="00FB5A28">
        <w:rPr>
          <w:rFonts w:ascii="Times New Roman" w:hAnsi="Times New Roman"/>
          <w:sz w:val="24"/>
          <w:szCs w:val="24"/>
        </w:rPr>
        <w:t>произвођача</w:t>
      </w:r>
      <w:r w:rsidRPr="00FB5A28">
        <w:rPr>
          <w:rFonts w:ascii="Times New Roman" w:hAnsi="Times New Roman"/>
          <w:sz w:val="24"/>
          <w:szCs w:val="24"/>
        </w:rPr>
        <w:t xml:space="preserve"> </w:t>
      </w:r>
      <w:r w:rsidR="00683DF2" w:rsidRPr="00FB5A28">
        <w:rPr>
          <w:rFonts w:ascii="Times New Roman" w:hAnsi="Times New Roman"/>
          <w:sz w:val="24"/>
          <w:szCs w:val="24"/>
        </w:rPr>
        <w:t>емисије</w:t>
      </w:r>
      <w:r w:rsidRPr="00FB5A28">
        <w:rPr>
          <w:rFonts w:ascii="Times New Roman" w:hAnsi="Times New Roman"/>
          <w:sz w:val="24"/>
          <w:szCs w:val="24"/>
        </w:rPr>
        <w:t>;</w:t>
      </w:r>
    </w:p>
    <w:p w:rsidR="00A239B8" w:rsidRPr="00FB5A28" w:rsidRDefault="008832B3" w:rsidP="00FB5A28">
      <w:pPr>
        <w:jc w:val="both"/>
        <w:rPr>
          <w:rFonts w:ascii="Times New Roman" w:hAnsi="Times New Roman"/>
          <w:sz w:val="24"/>
          <w:szCs w:val="24"/>
          <w:lang w:val="sr-Cyrl-CS"/>
        </w:rPr>
      </w:pPr>
      <w:r w:rsidRPr="00FB5A28">
        <w:rPr>
          <w:rFonts w:ascii="Times New Roman" w:hAnsi="Times New Roman"/>
          <w:sz w:val="24"/>
          <w:szCs w:val="24"/>
        </w:rPr>
        <w:t xml:space="preserve">5) </w:t>
      </w:r>
      <w:r w:rsidR="00683DF2" w:rsidRPr="00FB5A28">
        <w:rPr>
          <w:rFonts w:ascii="Times New Roman" w:hAnsi="Times New Roman"/>
          <w:sz w:val="24"/>
          <w:szCs w:val="24"/>
        </w:rPr>
        <w:t>права</w:t>
      </w:r>
      <w:r w:rsidRPr="00FB5A28">
        <w:rPr>
          <w:rFonts w:ascii="Times New Roman" w:hAnsi="Times New Roman"/>
          <w:sz w:val="24"/>
          <w:szCs w:val="24"/>
        </w:rPr>
        <w:t xml:space="preserve"> </w:t>
      </w:r>
      <w:r w:rsidR="00683DF2" w:rsidRPr="00FB5A28">
        <w:rPr>
          <w:rFonts w:ascii="Times New Roman" w:hAnsi="Times New Roman"/>
          <w:sz w:val="24"/>
          <w:szCs w:val="24"/>
        </w:rPr>
        <w:t>произвођача</w:t>
      </w:r>
      <w:r w:rsidRPr="00FB5A28">
        <w:rPr>
          <w:rFonts w:ascii="Times New Roman" w:hAnsi="Times New Roman"/>
          <w:sz w:val="24"/>
          <w:szCs w:val="24"/>
        </w:rPr>
        <w:t xml:space="preserve"> </w:t>
      </w:r>
      <w:r w:rsidR="00683DF2" w:rsidRPr="00FB5A28">
        <w:rPr>
          <w:rFonts w:ascii="Times New Roman" w:hAnsi="Times New Roman"/>
          <w:sz w:val="24"/>
          <w:szCs w:val="24"/>
        </w:rPr>
        <w:t>базе</w:t>
      </w:r>
      <w:r w:rsidRPr="00FB5A28">
        <w:rPr>
          <w:rFonts w:ascii="Times New Roman" w:hAnsi="Times New Roman"/>
          <w:sz w:val="24"/>
          <w:szCs w:val="24"/>
        </w:rPr>
        <w:t xml:space="preserve"> </w:t>
      </w:r>
      <w:r w:rsidR="00683DF2" w:rsidRPr="00FB5A28">
        <w:rPr>
          <w:rFonts w:ascii="Times New Roman" w:hAnsi="Times New Roman"/>
          <w:sz w:val="24"/>
          <w:szCs w:val="24"/>
        </w:rPr>
        <w:t>података</w:t>
      </w:r>
      <w:r w:rsidRPr="00FB5A28">
        <w:rPr>
          <w:rFonts w:ascii="Times New Roman" w:hAnsi="Times New Roman"/>
          <w:sz w:val="24"/>
          <w:szCs w:val="24"/>
        </w:rPr>
        <w:t>.</w:t>
      </w:r>
      <w:r w:rsidR="00A239B8" w:rsidRPr="00FB5A28">
        <w:rPr>
          <w:rStyle w:val="FootnoteReference"/>
          <w:rFonts w:ascii="Times New Roman" w:hAnsi="Times New Roman"/>
          <w:color w:val="000000"/>
          <w:sz w:val="24"/>
          <w:szCs w:val="24"/>
        </w:rPr>
        <w:footnoteReference w:id="458"/>
      </w:r>
    </w:p>
    <w:p w:rsidR="00A239B8" w:rsidRPr="00FB5A28" w:rsidRDefault="00683DF2" w:rsidP="00FB5A28">
      <w:pPr>
        <w:ind w:firstLine="708"/>
        <w:jc w:val="both"/>
        <w:rPr>
          <w:rFonts w:ascii="Times New Roman" w:hAnsi="Times New Roman"/>
          <w:sz w:val="24"/>
          <w:szCs w:val="24"/>
          <w:lang w:val="sr-Cyrl-CS"/>
        </w:rPr>
      </w:pPr>
      <w:bookmarkStart w:id="36" w:name="clan_53"/>
      <w:bookmarkEnd w:id="36"/>
      <w:r w:rsidRPr="00FB5A28">
        <w:rPr>
          <w:rFonts w:ascii="Times New Roman" w:hAnsi="Times New Roman"/>
          <w:sz w:val="24"/>
          <w:szCs w:val="24"/>
        </w:rPr>
        <w:t>Приходом</w:t>
      </w:r>
      <w:r w:rsidR="008832B3" w:rsidRPr="00FB5A28">
        <w:rPr>
          <w:rFonts w:ascii="Times New Roman" w:hAnsi="Times New Roman"/>
          <w:sz w:val="24"/>
          <w:szCs w:val="24"/>
        </w:rPr>
        <w:t xml:space="preserve"> </w:t>
      </w:r>
      <w:r w:rsidRPr="00FB5A28">
        <w:rPr>
          <w:rFonts w:ascii="Times New Roman" w:hAnsi="Times New Roman"/>
          <w:sz w:val="24"/>
          <w:szCs w:val="24"/>
        </w:rPr>
        <w:t>од</w:t>
      </w:r>
      <w:r w:rsidR="008832B3" w:rsidRPr="00FB5A28">
        <w:rPr>
          <w:rFonts w:ascii="Times New Roman" w:hAnsi="Times New Roman"/>
          <w:sz w:val="24"/>
          <w:szCs w:val="24"/>
        </w:rPr>
        <w:t xml:space="preserve"> </w:t>
      </w:r>
      <w:r w:rsidRPr="00FB5A28">
        <w:rPr>
          <w:rFonts w:ascii="Times New Roman" w:hAnsi="Times New Roman"/>
          <w:sz w:val="24"/>
          <w:szCs w:val="24"/>
        </w:rPr>
        <w:t>права</w:t>
      </w:r>
      <w:r w:rsidR="008832B3" w:rsidRPr="00FB5A28">
        <w:rPr>
          <w:rFonts w:ascii="Times New Roman" w:hAnsi="Times New Roman"/>
          <w:sz w:val="24"/>
          <w:szCs w:val="24"/>
        </w:rPr>
        <w:t xml:space="preserve"> </w:t>
      </w:r>
      <w:r w:rsidRPr="00FB5A28">
        <w:rPr>
          <w:rFonts w:ascii="Times New Roman" w:hAnsi="Times New Roman"/>
          <w:sz w:val="24"/>
          <w:szCs w:val="24"/>
        </w:rPr>
        <w:t>индустријске</w:t>
      </w:r>
      <w:r w:rsidR="008832B3" w:rsidRPr="00FB5A28">
        <w:rPr>
          <w:rFonts w:ascii="Times New Roman" w:hAnsi="Times New Roman"/>
          <w:sz w:val="24"/>
          <w:szCs w:val="24"/>
        </w:rPr>
        <w:t xml:space="preserve"> </w:t>
      </w:r>
      <w:r w:rsidRPr="00FB5A28">
        <w:rPr>
          <w:rFonts w:ascii="Times New Roman" w:hAnsi="Times New Roman"/>
          <w:sz w:val="24"/>
          <w:szCs w:val="24"/>
        </w:rPr>
        <w:t>својине</w:t>
      </w:r>
      <w:r w:rsidR="008832B3" w:rsidRPr="00FB5A28">
        <w:rPr>
          <w:rFonts w:ascii="Times New Roman" w:hAnsi="Times New Roman"/>
          <w:sz w:val="24"/>
          <w:szCs w:val="24"/>
        </w:rPr>
        <w:t xml:space="preserve"> </w:t>
      </w:r>
      <w:r w:rsidRPr="00FB5A28">
        <w:rPr>
          <w:rFonts w:ascii="Times New Roman" w:hAnsi="Times New Roman"/>
          <w:sz w:val="24"/>
          <w:szCs w:val="24"/>
        </w:rPr>
        <w:t>сматра</w:t>
      </w:r>
      <w:r w:rsidR="008832B3" w:rsidRPr="00FB5A28">
        <w:rPr>
          <w:rFonts w:ascii="Times New Roman" w:hAnsi="Times New Roman"/>
          <w:sz w:val="24"/>
          <w:szCs w:val="24"/>
        </w:rPr>
        <w:t xml:space="preserve"> </w:t>
      </w:r>
      <w:r w:rsidRPr="00FB5A28">
        <w:rPr>
          <w:rFonts w:ascii="Times New Roman" w:hAnsi="Times New Roman"/>
          <w:sz w:val="24"/>
          <w:szCs w:val="24"/>
        </w:rPr>
        <w:t>се</w:t>
      </w:r>
      <w:r w:rsidR="008832B3" w:rsidRPr="00FB5A28">
        <w:rPr>
          <w:rFonts w:ascii="Times New Roman" w:hAnsi="Times New Roman"/>
          <w:sz w:val="24"/>
          <w:szCs w:val="24"/>
        </w:rPr>
        <w:t xml:space="preserve"> </w:t>
      </w:r>
      <w:r w:rsidRPr="00FB5A28">
        <w:rPr>
          <w:rFonts w:ascii="Times New Roman" w:hAnsi="Times New Roman"/>
          <w:sz w:val="24"/>
          <w:szCs w:val="24"/>
        </w:rPr>
        <w:t>накнада</w:t>
      </w:r>
      <w:r w:rsidR="008832B3" w:rsidRPr="00FB5A28">
        <w:rPr>
          <w:rFonts w:ascii="Times New Roman" w:hAnsi="Times New Roman"/>
          <w:sz w:val="24"/>
          <w:szCs w:val="24"/>
        </w:rPr>
        <w:t xml:space="preserve"> </w:t>
      </w:r>
      <w:r w:rsidRPr="00FB5A28">
        <w:rPr>
          <w:rFonts w:ascii="Times New Roman" w:hAnsi="Times New Roman"/>
          <w:sz w:val="24"/>
          <w:szCs w:val="24"/>
        </w:rPr>
        <w:t>коју</w:t>
      </w:r>
      <w:r w:rsidR="008832B3" w:rsidRPr="00FB5A28">
        <w:rPr>
          <w:rFonts w:ascii="Times New Roman" w:hAnsi="Times New Roman"/>
          <w:sz w:val="24"/>
          <w:szCs w:val="24"/>
        </w:rPr>
        <w:t xml:space="preserve"> </w:t>
      </w:r>
      <w:r w:rsidRPr="00FB5A28">
        <w:rPr>
          <w:rFonts w:ascii="Times New Roman" w:hAnsi="Times New Roman"/>
          <w:sz w:val="24"/>
          <w:szCs w:val="24"/>
        </w:rPr>
        <w:t>обвезник</w:t>
      </w:r>
      <w:r w:rsidR="008832B3" w:rsidRPr="00FB5A28">
        <w:rPr>
          <w:rFonts w:ascii="Times New Roman" w:hAnsi="Times New Roman"/>
          <w:sz w:val="24"/>
          <w:szCs w:val="24"/>
        </w:rPr>
        <w:t xml:space="preserve"> </w:t>
      </w:r>
      <w:r w:rsidRPr="00FB5A28">
        <w:rPr>
          <w:rFonts w:ascii="Times New Roman" w:hAnsi="Times New Roman"/>
          <w:sz w:val="24"/>
          <w:szCs w:val="24"/>
        </w:rPr>
        <w:t>оствари</w:t>
      </w:r>
      <w:r w:rsidR="008832B3" w:rsidRPr="00FB5A28">
        <w:rPr>
          <w:rFonts w:ascii="Times New Roman" w:hAnsi="Times New Roman"/>
          <w:sz w:val="24"/>
          <w:szCs w:val="24"/>
        </w:rPr>
        <w:t xml:space="preserve"> </w:t>
      </w:r>
      <w:r w:rsidRPr="00FB5A28">
        <w:rPr>
          <w:rFonts w:ascii="Times New Roman" w:hAnsi="Times New Roman"/>
          <w:sz w:val="24"/>
          <w:szCs w:val="24"/>
        </w:rPr>
        <w:t>по</w:t>
      </w:r>
      <w:r w:rsidR="008832B3" w:rsidRPr="00FB5A28">
        <w:rPr>
          <w:rFonts w:ascii="Times New Roman" w:hAnsi="Times New Roman"/>
          <w:sz w:val="24"/>
          <w:szCs w:val="24"/>
        </w:rPr>
        <w:t xml:space="preserve"> </w:t>
      </w:r>
      <w:r w:rsidRPr="00FB5A28">
        <w:rPr>
          <w:rFonts w:ascii="Times New Roman" w:hAnsi="Times New Roman"/>
          <w:sz w:val="24"/>
          <w:szCs w:val="24"/>
        </w:rPr>
        <w:t>основу</w:t>
      </w:r>
      <w:r w:rsidR="008832B3" w:rsidRPr="00FB5A28">
        <w:rPr>
          <w:rFonts w:ascii="Times New Roman" w:hAnsi="Times New Roman"/>
          <w:sz w:val="24"/>
          <w:szCs w:val="24"/>
        </w:rPr>
        <w:t>:</w:t>
      </w:r>
    </w:p>
    <w:p w:rsidR="008832B3" w:rsidRPr="00FB5A28" w:rsidRDefault="008832B3" w:rsidP="00FB5A28">
      <w:pPr>
        <w:jc w:val="both"/>
        <w:rPr>
          <w:rFonts w:ascii="Times New Roman" w:hAnsi="Times New Roman"/>
          <w:sz w:val="24"/>
          <w:szCs w:val="24"/>
        </w:rPr>
      </w:pPr>
      <w:r w:rsidRPr="00FB5A28">
        <w:rPr>
          <w:rFonts w:ascii="Times New Roman" w:hAnsi="Times New Roman"/>
          <w:sz w:val="24"/>
          <w:szCs w:val="24"/>
        </w:rPr>
        <w:t xml:space="preserve">1) </w:t>
      </w:r>
      <w:r w:rsidR="00683DF2" w:rsidRPr="00FB5A28">
        <w:rPr>
          <w:rFonts w:ascii="Times New Roman" w:hAnsi="Times New Roman"/>
          <w:sz w:val="24"/>
          <w:szCs w:val="24"/>
        </w:rPr>
        <w:t>патената</w:t>
      </w:r>
      <w:r w:rsidRPr="00FB5A28">
        <w:rPr>
          <w:rFonts w:ascii="Times New Roman" w:hAnsi="Times New Roman"/>
          <w:sz w:val="24"/>
          <w:szCs w:val="24"/>
        </w:rPr>
        <w:t>;</w:t>
      </w:r>
    </w:p>
    <w:p w:rsidR="008832B3" w:rsidRPr="00FB5A28" w:rsidRDefault="008832B3" w:rsidP="00FB5A28">
      <w:pPr>
        <w:jc w:val="both"/>
        <w:rPr>
          <w:rFonts w:ascii="Times New Roman" w:hAnsi="Times New Roman"/>
          <w:sz w:val="24"/>
          <w:szCs w:val="24"/>
        </w:rPr>
      </w:pPr>
      <w:r w:rsidRPr="00FB5A28">
        <w:rPr>
          <w:rFonts w:ascii="Times New Roman" w:hAnsi="Times New Roman"/>
          <w:sz w:val="24"/>
          <w:szCs w:val="24"/>
        </w:rPr>
        <w:t xml:space="preserve">2) </w:t>
      </w:r>
      <w:r w:rsidR="00683DF2" w:rsidRPr="00FB5A28">
        <w:rPr>
          <w:rFonts w:ascii="Times New Roman" w:hAnsi="Times New Roman"/>
          <w:sz w:val="24"/>
          <w:szCs w:val="24"/>
        </w:rPr>
        <w:t>малих</w:t>
      </w:r>
      <w:r w:rsidRPr="00FB5A28">
        <w:rPr>
          <w:rFonts w:ascii="Times New Roman" w:hAnsi="Times New Roman"/>
          <w:sz w:val="24"/>
          <w:szCs w:val="24"/>
        </w:rPr>
        <w:t xml:space="preserve"> </w:t>
      </w:r>
      <w:r w:rsidR="00683DF2" w:rsidRPr="00FB5A28">
        <w:rPr>
          <w:rFonts w:ascii="Times New Roman" w:hAnsi="Times New Roman"/>
          <w:sz w:val="24"/>
          <w:szCs w:val="24"/>
        </w:rPr>
        <w:t>патената</w:t>
      </w:r>
      <w:r w:rsidRPr="00FB5A28">
        <w:rPr>
          <w:rFonts w:ascii="Times New Roman" w:hAnsi="Times New Roman"/>
          <w:sz w:val="24"/>
          <w:szCs w:val="24"/>
        </w:rPr>
        <w:t>;</w:t>
      </w:r>
    </w:p>
    <w:p w:rsidR="008832B3" w:rsidRPr="00FB5A28" w:rsidRDefault="008832B3" w:rsidP="00FB5A28">
      <w:pPr>
        <w:jc w:val="both"/>
        <w:rPr>
          <w:rFonts w:ascii="Times New Roman" w:hAnsi="Times New Roman"/>
          <w:sz w:val="24"/>
          <w:szCs w:val="24"/>
        </w:rPr>
      </w:pPr>
      <w:r w:rsidRPr="00FB5A28">
        <w:rPr>
          <w:rFonts w:ascii="Times New Roman" w:hAnsi="Times New Roman"/>
          <w:sz w:val="24"/>
          <w:szCs w:val="24"/>
        </w:rPr>
        <w:t xml:space="preserve">3) </w:t>
      </w:r>
      <w:r w:rsidR="00683DF2" w:rsidRPr="00FB5A28">
        <w:rPr>
          <w:rFonts w:ascii="Times New Roman" w:hAnsi="Times New Roman"/>
          <w:sz w:val="24"/>
          <w:szCs w:val="24"/>
        </w:rPr>
        <w:t>жигова</w:t>
      </w:r>
      <w:r w:rsidRPr="00FB5A28">
        <w:rPr>
          <w:rFonts w:ascii="Times New Roman" w:hAnsi="Times New Roman"/>
          <w:sz w:val="24"/>
          <w:szCs w:val="24"/>
        </w:rPr>
        <w:t>;</w:t>
      </w:r>
    </w:p>
    <w:p w:rsidR="008832B3" w:rsidRPr="00FB5A28" w:rsidRDefault="008832B3" w:rsidP="00FB5A28">
      <w:pPr>
        <w:jc w:val="both"/>
        <w:rPr>
          <w:rFonts w:ascii="Times New Roman" w:hAnsi="Times New Roman"/>
          <w:sz w:val="24"/>
          <w:szCs w:val="24"/>
        </w:rPr>
      </w:pPr>
      <w:r w:rsidRPr="00FB5A28">
        <w:rPr>
          <w:rFonts w:ascii="Times New Roman" w:hAnsi="Times New Roman"/>
          <w:sz w:val="24"/>
          <w:szCs w:val="24"/>
        </w:rPr>
        <w:t xml:space="preserve">4) </w:t>
      </w:r>
      <w:r w:rsidR="00683DF2" w:rsidRPr="00FB5A28">
        <w:rPr>
          <w:rFonts w:ascii="Times New Roman" w:hAnsi="Times New Roman"/>
          <w:sz w:val="24"/>
          <w:szCs w:val="24"/>
        </w:rPr>
        <w:t>модела</w:t>
      </w:r>
      <w:r w:rsidRPr="00FB5A28">
        <w:rPr>
          <w:rFonts w:ascii="Times New Roman" w:hAnsi="Times New Roman"/>
          <w:sz w:val="24"/>
          <w:szCs w:val="24"/>
        </w:rPr>
        <w:t xml:space="preserve"> </w:t>
      </w:r>
      <w:r w:rsidR="00683DF2" w:rsidRPr="00FB5A28">
        <w:rPr>
          <w:rFonts w:ascii="Times New Roman" w:hAnsi="Times New Roman"/>
          <w:sz w:val="24"/>
          <w:szCs w:val="24"/>
        </w:rPr>
        <w:t>и</w:t>
      </w:r>
      <w:r w:rsidRPr="00FB5A28">
        <w:rPr>
          <w:rFonts w:ascii="Times New Roman" w:hAnsi="Times New Roman"/>
          <w:sz w:val="24"/>
          <w:szCs w:val="24"/>
        </w:rPr>
        <w:t xml:space="preserve"> </w:t>
      </w:r>
      <w:r w:rsidR="00683DF2" w:rsidRPr="00FB5A28">
        <w:rPr>
          <w:rFonts w:ascii="Times New Roman" w:hAnsi="Times New Roman"/>
          <w:sz w:val="24"/>
          <w:szCs w:val="24"/>
        </w:rPr>
        <w:t>узорака</w:t>
      </w:r>
      <w:r w:rsidRPr="00FB5A28">
        <w:rPr>
          <w:rFonts w:ascii="Times New Roman" w:hAnsi="Times New Roman"/>
          <w:sz w:val="24"/>
          <w:szCs w:val="24"/>
        </w:rPr>
        <w:t>;</w:t>
      </w:r>
    </w:p>
    <w:p w:rsidR="00A239B8" w:rsidRPr="00FB5A28" w:rsidRDefault="008832B3" w:rsidP="00FB5A28">
      <w:pPr>
        <w:jc w:val="both"/>
        <w:rPr>
          <w:rFonts w:ascii="Times New Roman" w:hAnsi="Times New Roman"/>
          <w:sz w:val="24"/>
          <w:szCs w:val="24"/>
          <w:lang w:val="sr-Cyrl-CS"/>
        </w:rPr>
      </w:pPr>
      <w:r w:rsidRPr="00FB5A28">
        <w:rPr>
          <w:rFonts w:ascii="Times New Roman" w:hAnsi="Times New Roman"/>
          <w:sz w:val="24"/>
          <w:szCs w:val="24"/>
        </w:rPr>
        <w:t xml:space="preserve">5) </w:t>
      </w:r>
      <w:r w:rsidR="00683DF2" w:rsidRPr="00FB5A28">
        <w:rPr>
          <w:rFonts w:ascii="Times New Roman" w:hAnsi="Times New Roman"/>
          <w:sz w:val="24"/>
          <w:szCs w:val="24"/>
        </w:rPr>
        <w:t>техничких</w:t>
      </w:r>
      <w:r w:rsidRPr="00FB5A28">
        <w:rPr>
          <w:rFonts w:ascii="Times New Roman" w:hAnsi="Times New Roman"/>
          <w:sz w:val="24"/>
          <w:szCs w:val="24"/>
        </w:rPr>
        <w:t xml:space="preserve"> </w:t>
      </w:r>
      <w:r w:rsidR="00683DF2" w:rsidRPr="00FB5A28">
        <w:rPr>
          <w:rFonts w:ascii="Times New Roman" w:hAnsi="Times New Roman"/>
          <w:sz w:val="24"/>
          <w:szCs w:val="24"/>
        </w:rPr>
        <w:t>унапређења</w:t>
      </w:r>
      <w:r w:rsidRPr="00FB5A28">
        <w:rPr>
          <w:rFonts w:ascii="Times New Roman" w:hAnsi="Times New Roman"/>
          <w:sz w:val="24"/>
          <w:szCs w:val="24"/>
        </w:rPr>
        <w:t>.</w:t>
      </w:r>
      <w:r w:rsidR="00A239B8" w:rsidRPr="00FB5A28">
        <w:rPr>
          <w:rStyle w:val="FootnoteReference"/>
          <w:rFonts w:ascii="Times New Roman" w:hAnsi="Times New Roman"/>
          <w:color w:val="000000"/>
          <w:sz w:val="24"/>
          <w:szCs w:val="24"/>
        </w:rPr>
        <w:footnoteReference w:id="459"/>
      </w:r>
    </w:p>
    <w:p w:rsidR="008832B3" w:rsidRPr="00FB5A28" w:rsidRDefault="00683DF2" w:rsidP="00FB5A28">
      <w:pPr>
        <w:ind w:firstLine="708"/>
        <w:jc w:val="both"/>
        <w:rPr>
          <w:rFonts w:ascii="Times New Roman" w:hAnsi="Times New Roman"/>
          <w:sz w:val="24"/>
          <w:szCs w:val="24"/>
          <w:lang w:val="sr-Cyrl-CS"/>
        </w:rPr>
      </w:pPr>
      <w:r w:rsidRPr="00FB5A28">
        <w:rPr>
          <w:rFonts w:ascii="Times New Roman" w:hAnsi="Times New Roman"/>
          <w:sz w:val="24"/>
          <w:szCs w:val="24"/>
        </w:rPr>
        <w:t>Обвезник</w:t>
      </w:r>
      <w:r w:rsidR="008832B3" w:rsidRPr="00FB5A28">
        <w:rPr>
          <w:rFonts w:ascii="Times New Roman" w:hAnsi="Times New Roman"/>
          <w:sz w:val="24"/>
          <w:szCs w:val="24"/>
        </w:rPr>
        <w:t xml:space="preserve"> </w:t>
      </w:r>
      <w:r w:rsidRPr="00FB5A28">
        <w:rPr>
          <w:rFonts w:ascii="Times New Roman" w:hAnsi="Times New Roman"/>
          <w:sz w:val="24"/>
          <w:szCs w:val="24"/>
        </w:rPr>
        <w:t>пореза</w:t>
      </w:r>
      <w:r w:rsidR="008832B3" w:rsidRPr="00FB5A28">
        <w:rPr>
          <w:rFonts w:ascii="Times New Roman" w:hAnsi="Times New Roman"/>
          <w:sz w:val="24"/>
          <w:szCs w:val="24"/>
        </w:rPr>
        <w:t xml:space="preserve"> </w:t>
      </w:r>
      <w:r w:rsidRPr="00FB5A28">
        <w:rPr>
          <w:rFonts w:ascii="Times New Roman" w:hAnsi="Times New Roman"/>
          <w:sz w:val="24"/>
          <w:szCs w:val="24"/>
        </w:rPr>
        <w:t>на</w:t>
      </w:r>
      <w:r w:rsidR="008832B3" w:rsidRPr="00FB5A28">
        <w:rPr>
          <w:rFonts w:ascii="Times New Roman" w:hAnsi="Times New Roman"/>
          <w:sz w:val="24"/>
          <w:szCs w:val="24"/>
        </w:rPr>
        <w:t xml:space="preserve"> </w:t>
      </w:r>
      <w:r w:rsidRPr="00FB5A28">
        <w:rPr>
          <w:rFonts w:ascii="Times New Roman" w:hAnsi="Times New Roman"/>
          <w:sz w:val="24"/>
          <w:szCs w:val="24"/>
        </w:rPr>
        <w:t>приходе</w:t>
      </w:r>
      <w:r w:rsidR="008832B3" w:rsidRPr="00FB5A28">
        <w:rPr>
          <w:rFonts w:ascii="Times New Roman" w:hAnsi="Times New Roman"/>
          <w:sz w:val="24"/>
          <w:szCs w:val="24"/>
        </w:rPr>
        <w:t xml:space="preserve"> </w:t>
      </w:r>
      <w:r w:rsidRPr="00FB5A28">
        <w:rPr>
          <w:rFonts w:ascii="Times New Roman" w:hAnsi="Times New Roman"/>
          <w:sz w:val="24"/>
          <w:szCs w:val="24"/>
        </w:rPr>
        <w:t>од</w:t>
      </w:r>
      <w:r w:rsidR="008832B3" w:rsidRPr="00FB5A28">
        <w:rPr>
          <w:rFonts w:ascii="Times New Roman" w:hAnsi="Times New Roman"/>
          <w:sz w:val="24"/>
          <w:szCs w:val="24"/>
        </w:rPr>
        <w:t xml:space="preserve"> </w:t>
      </w:r>
      <w:r w:rsidRPr="00FB5A28">
        <w:rPr>
          <w:rFonts w:ascii="Times New Roman" w:hAnsi="Times New Roman"/>
          <w:sz w:val="24"/>
          <w:szCs w:val="24"/>
        </w:rPr>
        <w:t>ауторских</w:t>
      </w:r>
      <w:r w:rsidR="008832B3" w:rsidRPr="00FB5A28">
        <w:rPr>
          <w:rFonts w:ascii="Times New Roman" w:hAnsi="Times New Roman"/>
          <w:sz w:val="24"/>
          <w:szCs w:val="24"/>
        </w:rPr>
        <w:t xml:space="preserve"> </w:t>
      </w:r>
      <w:r w:rsidRPr="00FB5A28">
        <w:rPr>
          <w:rFonts w:ascii="Times New Roman" w:hAnsi="Times New Roman"/>
          <w:sz w:val="24"/>
          <w:szCs w:val="24"/>
        </w:rPr>
        <w:t>и</w:t>
      </w:r>
      <w:r w:rsidR="008832B3" w:rsidRPr="00FB5A28">
        <w:rPr>
          <w:rFonts w:ascii="Times New Roman" w:hAnsi="Times New Roman"/>
          <w:sz w:val="24"/>
          <w:szCs w:val="24"/>
        </w:rPr>
        <w:t xml:space="preserve"> </w:t>
      </w:r>
      <w:r w:rsidRPr="00FB5A28">
        <w:rPr>
          <w:rFonts w:ascii="Times New Roman" w:hAnsi="Times New Roman"/>
          <w:sz w:val="24"/>
          <w:szCs w:val="24"/>
        </w:rPr>
        <w:t>сродних</w:t>
      </w:r>
      <w:r w:rsidR="008832B3" w:rsidRPr="00FB5A28">
        <w:rPr>
          <w:rFonts w:ascii="Times New Roman" w:hAnsi="Times New Roman"/>
          <w:sz w:val="24"/>
          <w:szCs w:val="24"/>
        </w:rPr>
        <w:t xml:space="preserve"> </w:t>
      </w:r>
      <w:r w:rsidRPr="00FB5A28">
        <w:rPr>
          <w:rFonts w:ascii="Times New Roman" w:hAnsi="Times New Roman"/>
          <w:sz w:val="24"/>
          <w:szCs w:val="24"/>
        </w:rPr>
        <w:t>права</w:t>
      </w:r>
      <w:r w:rsidR="008832B3" w:rsidRPr="00FB5A28">
        <w:rPr>
          <w:rFonts w:ascii="Times New Roman" w:hAnsi="Times New Roman"/>
          <w:sz w:val="24"/>
          <w:szCs w:val="24"/>
        </w:rPr>
        <w:t xml:space="preserve"> </w:t>
      </w:r>
      <w:r w:rsidRPr="00FB5A28">
        <w:rPr>
          <w:rFonts w:ascii="Times New Roman" w:hAnsi="Times New Roman"/>
          <w:sz w:val="24"/>
          <w:szCs w:val="24"/>
        </w:rPr>
        <w:t>и</w:t>
      </w:r>
      <w:r w:rsidR="008832B3" w:rsidRPr="00FB5A28">
        <w:rPr>
          <w:rFonts w:ascii="Times New Roman" w:hAnsi="Times New Roman"/>
          <w:sz w:val="24"/>
          <w:szCs w:val="24"/>
        </w:rPr>
        <w:t xml:space="preserve"> </w:t>
      </w:r>
      <w:r w:rsidRPr="00FB5A28">
        <w:rPr>
          <w:rFonts w:ascii="Times New Roman" w:hAnsi="Times New Roman"/>
          <w:sz w:val="24"/>
          <w:szCs w:val="24"/>
        </w:rPr>
        <w:t>права</w:t>
      </w:r>
      <w:r w:rsidR="008832B3" w:rsidRPr="00FB5A28">
        <w:rPr>
          <w:rFonts w:ascii="Times New Roman" w:hAnsi="Times New Roman"/>
          <w:sz w:val="24"/>
          <w:szCs w:val="24"/>
        </w:rPr>
        <w:t xml:space="preserve"> </w:t>
      </w:r>
      <w:r w:rsidRPr="00FB5A28">
        <w:rPr>
          <w:rFonts w:ascii="Times New Roman" w:hAnsi="Times New Roman"/>
          <w:sz w:val="24"/>
          <w:szCs w:val="24"/>
        </w:rPr>
        <w:t>индустријске</w:t>
      </w:r>
      <w:r w:rsidR="008832B3" w:rsidRPr="00FB5A28">
        <w:rPr>
          <w:rFonts w:ascii="Times New Roman" w:hAnsi="Times New Roman"/>
          <w:sz w:val="24"/>
          <w:szCs w:val="24"/>
        </w:rPr>
        <w:t xml:space="preserve"> </w:t>
      </w:r>
      <w:r w:rsidRPr="00FB5A28">
        <w:rPr>
          <w:rFonts w:ascii="Times New Roman" w:hAnsi="Times New Roman"/>
          <w:sz w:val="24"/>
          <w:szCs w:val="24"/>
        </w:rPr>
        <w:t>својине</w:t>
      </w:r>
      <w:r w:rsidR="008832B3" w:rsidRPr="00FB5A28">
        <w:rPr>
          <w:rFonts w:ascii="Times New Roman" w:hAnsi="Times New Roman"/>
          <w:sz w:val="24"/>
          <w:szCs w:val="24"/>
        </w:rPr>
        <w:t xml:space="preserve"> </w:t>
      </w:r>
      <w:r w:rsidRPr="00FB5A28">
        <w:rPr>
          <w:rFonts w:ascii="Times New Roman" w:hAnsi="Times New Roman"/>
          <w:sz w:val="24"/>
          <w:szCs w:val="24"/>
        </w:rPr>
        <w:t>је</w:t>
      </w:r>
      <w:r w:rsidR="008832B3" w:rsidRPr="00FB5A28">
        <w:rPr>
          <w:rFonts w:ascii="Times New Roman" w:hAnsi="Times New Roman"/>
          <w:sz w:val="24"/>
          <w:szCs w:val="24"/>
        </w:rPr>
        <w:t xml:space="preserve"> </w:t>
      </w:r>
      <w:r w:rsidRPr="00FB5A28">
        <w:rPr>
          <w:rFonts w:ascii="Times New Roman" w:hAnsi="Times New Roman"/>
          <w:sz w:val="24"/>
          <w:szCs w:val="24"/>
        </w:rPr>
        <w:t>физичко</w:t>
      </w:r>
      <w:r w:rsidR="008832B3" w:rsidRPr="00FB5A28">
        <w:rPr>
          <w:rFonts w:ascii="Times New Roman" w:hAnsi="Times New Roman"/>
          <w:sz w:val="24"/>
          <w:szCs w:val="24"/>
        </w:rPr>
        <w:t xml:space="preserve"> </w:t>
      </w:r>
      <w:r w:rsidRPr="00FB5A28">
        <w:rPr>
          <w:rFonts w:ascii="Times New Roman" w:hAnsi="Times New Roman"/>
          <w:sz w:val="24"/>
          <w:szCs w:val="24"/>
        </w:rPr>
        <w:t>лице</w:t>
      </w:r>
      <w:r w:rsidR="008832B3" w:rsidRPr="00FB5A28">
        <w:rPr>
          <w:rFonts w:ascii="Times New Roman" w:hAnsi="Times New Roman"/>
          <w:sz w:val="24"/>
          <w:szCs w:val="24"/>
        </w:rPr>
        <w:t xml:space="preserve"> </w:t>
      </w:r>
      <w:r w:rsidRPr="00FB5A28">
        <w:rPr>
          <w:rFonts w:ascii="Times New Roman" w:hAnsi="Times New Roman"/>
          <w:sz w:val="24"/>
          <w:szCs w:val="24"/>
        </w:rPr>
        <w:t>које</w:t>
      </w:r>
      <w:r w:rsidR="008832B3" w:rsidRPr="00FB5A28">
        <w:rPr>
          <w:rFonts w:ascii="Times New Roman" w:hAnsi="Times New Roman"/>
          <w:sz w:val="24"/>
          <w:szCs w:val="24"/>
        </w:rPr>
        <w:t xml:space="preserve"> </w:t>
      </w:r>
      <w:r w:rsidRPr="00FB5A28">
        <w:rPr>
          <w:rFonts w:ascii="Times New Roman" w:hAnsi="Times New Roman"/>
          <w:sz w:val="24"/>
          <w:szCs w:val="24"/>
        </w:rPr>
        <w:t>као</w:t>
      </w:r>
      <w:r w:rsidR="008832B3" w:rsidRPr="00FB5A28">
        <w:rPr>
          <w:rFonts w:ascii="Times New Roman" w:hAnsi="Times New Roman"/>
          <w:sz w:val="24"/>
          <w:szCs w:val="24"/>
        </w:rPr>
        <w:t xml:space="preserve"> </w:t>
      </w:r>
      <w:r w:rsidRPr="00FB5A28">
        <w:rPr>
          <w:rFonts w:ascii="Times New Roman" w:hAnsi="Times New Roman"/>
          <w:sz w:val="24"/>
          <w:szCs w:val="24"/>
        </w:rPr>
        <w:t>аутор</w:t>
      </w:r>
      <w:r w:rsidR="008832B3" w:rsidRPr="00FB5A28">
        <w:rPr>
          <w:rFonts w:ascii="Times New Roman" w:hAnsi="Times New Roman"/>
          <w:sz w:val="24"/>
          <w:szCs w:val="24"/>
        </w:rPr>
        <w:t xml:space="preserve">, </w:t>
      </w:r>
      <w:r w:rsidRPr="00FB5A28">
        <w:rPr>
          <w:rFonts w:ascii="Times New Roman" w:hAnsi="Times New Roman"/>
          <w:sz w:val="24"/>
          <w:szCs w:val="24"/>
        </w:rPr>
        <w:t>носилац</w:t>
      </w:r>
      <w:r w:rsidR="008832B3" w:rsidRPr="00FB5A28">
        <w:rPr>
          <w:rFonts w:ascii="Times New Roman" w:hAnsi="Times New Roman"/>
          <w:sz w:val="24"/>
          <w:szCs w:val="24"/>
        </w:rPr>
        <w:t xml:space="preserve"> </w:t>
      </w:r>
      <w:r w:rsidRPr="00FB5A28">
        <w:rPr>
          <w:rFonts w:ascii="Times New Roman" w:hAnsi="Times New Roman"/>
          <w:sz w:val="24"/>
          <w:szCs w:val="24"/>
        </w:rPr>
        <w:t>сродних</w:t>
      </w:r>
      <w:r w:rsidR="008832B3" w:rsidRPr="00FB5A28">
        <w:rPr>
          <w:rFonts w:ascii="Times New Roman" w:hAnsi="Times New Roman"/>
          <w:sz w:val="24"/>
          <w:szCs w:val="24"/>
        </w:rPr>
        <w:t xml:space="preserve"> </w:t>
      </w:r>
      <w:r w:rsidRPr="00FB5A28">
        <w:rPr>
          <w:rFonts w:ascii="Times New Roman" w:hAnsi="Times New Roman"/>
          <w:sz w:val="24"/>
          <w:szCs w:val="24"/>
        </w:rPr>
        <w:t>права</w:t>
      </w:r>
      <w:r w:rsidR="008832B3" w:rsidRPr="00FB5A28">
        <w:rPr>
          <w:rFonts w:ascii="Times New Roman" w:hAnsi="Times New Roman"/>
          <w:sz w:val="24"/>
          <w:szCs w:val="24"/>
        </w:rPr>
        <w:t xml:space="preserve">, </w:t>
      </w:r>
      <w:r w:rsidRPr="00FB5A28">
        <w:rPr>
          <w:rFonts w:ascii="Times New Roman" w:hAnsi="Times New Roman"/>
          <w:sz w:val="24"/>
          <w:szCs w:val="24"/>
        </w:rPr>
        <w:t>односно</w:t>
      </w:r>
      <w:r w:rsidR="008832B3" w:rsidRPr="00FB5A28">
        <w:rPr>
          <w:rFonts w:ascii="Times New Roman" w:hAnsi="Times New Roman"/>
          <w:sz w:val="24"/>
          <w:szCs w:val="24"/>
        </w:rPr>
        <w:t xml:space="preserve"> </w:t>
      </w:r>
      <w:r w:rsidRPr="00FB5A28">
        <w:rPr>
          <w:rFonts w:ascii="Times New Roman" w:hAnsi="Times New Roman"/>
          <w:sz w:val="24"/>
          <w:szCs w:val="24"/>
        </w:rPr>
        <w:t>власник</w:t>
      </w:r>
      <w:r w:rsidR="008832B3" w:rsidRPr="00FB5A28">
        <w:rPr>
          <w:rFonts w:ascii="Times New Roman" w:hAnsi="Times New Roman"/>
          <w:sz w:val="24"/>
          <w:szCs w:val="24"/>
        </w:rPr>
        <w:t xml:space="preserve"> </w:t>
      </w:r>
      <w:r w:rsidRPr="00FB5A28">
        <w:rPr>
          <w:rFonts w:ascii="Times New Roman" w:hAnsi="Times New Roman"/>
          <w:sz w:val="24"/>
          <w:szCs w:val="24"/>
        </w:rPr>
        <w:t>права</w:t>
      </w:r>
      <w:r w:rsidR="008832B3" w:rsidRPr="00FB5A28">
        <w:rPr>
          <w:rFonts w:ascii="Times New Roman" w:hAnsi="Times New Roman"/>
          <w:sz w:val="24"/>
          <w:szCs w:val="24"/>
        </w:rPr>
        <w:t xml:space="preserve"> </w:t>
      </w:r>
      <w:r w:rsidRPr="00FB5A28">
        <w:rPr>
          <w:rFonts w:ascii="Times New Roman" w:hAnsi="Times New Roman"/>
          <w:sz w:val="24"/>
          <w:szCs w:val="24"/>
        </w:rPr>
        <w:t>индустријске</w:t>
      </w:r>
      <w:r w:rsidR="008832B3" w:rsidRPr="00FB5A28">
        <w:rPr>
          <w:rFonts w:ascii="Times New Roman" w:hAnsi="Times New Roman"/>
          <w:sz w:val="24"/>
          <w:szCs w:val="24"/>
        </w:rPr>
        <w:t xml:space="preserve"> </w:t>
      </w:r>
      <w:r w:rsidRPr="00FB5A28">
        <w:rPr>
          <w:rFonts w:ascii="Times New Roman" w:hAnsi="Times New Roman"/>
          <w:sz w:val="24"/>
          <w:szCs w:val="24"/>
        </w:rPr>
        <w:t>својине</w:t>
      </w:r>
      <w:r w:rsidR="008832B3" w:rsidRPr="00FB5A28">
        <w:rPr>
          <w:rFonts w:ascii="Times New Roman" w:hAnsi="Times New Roman"/>
          <w:sz w:val="24"/>
          <w:szCs w:val="24"/>
        </w:rPr>
        <w:t xml:space="preserve"> </w:t>
      </w:r>
      <w:r w:rsidRPr="00FB5A28">
        <w:rPr>
          <w:rFonts w:ascii="Times New Roman" w:hAnsi="Times New Roman"/>
          <w:sz w:val="24"/>
          <w:szCs w:val="24"/>
        </w:rPr>
        <w:t>остварује</w:t>
      </w:r>
      <w:r w:rsidR="008832B3" w:rsidRPr="00FB5A28">
        <w:rPr>
          <w:rFonts w:ascii="Times New Roman" w:hAnsi="Times New Roman"/>
          <w:sz w:val="24"/>
          <w:szCs w:val="24"/>
        </w:rPr>
        <w:t xml:space="preserve"> </w:t>
      </w:r>
      <w:r w:rsidRPr="00FB5A28">
        <w:rPr>
          <w:rFonts w:ascii="Times New Roman" w:hAnsi="Times New Roman"/>
          <w:sz w:val="24"/>
          <w:szCs w:val="24"/>
        </w:rPr>
        <w:t>накнаду</w:t>
      </w:r>
      <w:r w:rsidR="008832B3" w:rsidRPr="00FB5A28">
        <w:rPr>
          <w:rFonts w:ascii="Times New Roman" w:hAnsi="Times New Roman"/>
          <w:sz w:val="24"/>
          <w:szCs w:val="24"/>
        </w:rPr>
        <w:t xml:space="preserve"> </w:t>
      </w:r>
      <w:r w:rsidRPr="00FB5A28">
        <w:rPr>
          <w:rFonts w:ascii="Times New Roman" w:hAnsi="Times New Roman"/>
          <w:sz w:val="24"/>
          <w:szCs w:val="24"/>
        </w:rPr>
        <w:t>по</w:t>
      </w:r>
      <w:r w:rsidR="008832B3" w:rsidRPr="00FB5A28">
        <w:rPr>
          <w:rFonts w:ascii="Times New Roman" w:hAnsi="Times New Roman"/>
          <w:sz w:val="24"/>
          <w:szCs w:val="24"/>
        </w:rPr>
        <w:t xml:space="preserve"> </w:t>
      </w:r>
      <w:r w:rsidRPr="00FB5A28">
        <w:rPr>
          <w:rFonts w:ascii="Times New Roman" w:hAnsi="Times New Roman"/>
          <w:sz w:val="24"/>
          <w:szCs w:val="24"/>
        </w:rPr>
        <w:t>основу</w:t>
      </w:r>
      <w:r w:rsidR="008832B3" w:rsidRPr="00FB5A28">
        <w:rPr>
          <w:rFonts w:ascii="Times New Roman" w:hAnsi="Times New Roman"/>
          <w:sz w:val="24"/>
          <w:szCs w:val="24"/>
        </w:rPr>
        <w:t xml:space="preserve"> </w:t>
      </w:r>
      <w:r w:rsidRPr="00FB5A28">
        <w:rPr>
          <w:rFonts w:ascii="Times New Roman" w:hAnsi="Times New Roman"/>
          <w:sz w:val="24"/>
          <w:szCs w:val="24"/>
        </w:rPr>
        <w:t>ауторског</w:t>
      </w:r>
      <w:r w:rsidR="008832B3" w:rsidRPr="00FB5A28">
        <w:rPr>
          <w:rFonts w:ascii="Times New Roman" w:hAnsi="Times New Roman"/>
          <w:sz w:val="24"/>
          <w:szCs w:val="24"/>
        </w:rPr>
        <w:t xml:space="preserve"> </w:t>
      </w:r>
      <w:r w:rsidRPr="00FB5A28">
        <w:rPr>
          <w:rFonts w:ascii="Times New Roman" w:hAnsi="Times New Roman"/>
          <w:sz w:val="24"/>
          <w:szCs w:val="24"/>
        </w:rPr>
        <w:t>и</w:t>
      </w:r>
      <w:r w:rsidR="008832B3" w:rsidRPr="00FB5A28">
        <w:rPr>
          <w:rFonts w:ascii="Times New Roman" w:hAnsi="Times New Roman"/>
          <w:sz w:val="24"/>
          <w:szCs w:val="24"/>
        </w:rPr>
        <w:t xml:space="preserve"> </w:t>
      </w:r>
      <w:r w:rsidRPr="00FB5A28">
        <w:rPr>
          <w:rFonts w:ascii="Times New Roman" w:hAnsi="Times New Roman"/>
          <w:sz w:val="24"/>
          <w:szCs w:val="24"/>
        </w:rPr>
        <w:t>сродног</w:t>
      </w:r>
      <w:r w:rsidR="008832B3" w:rsidRPr="00FB5A28">
        <w:rPr>
          <w:rFonts w:ascii="Times New Roman" w:hAnsi="Times New Roman"/>
          <w:sz w:val="24"/>
          <w:szCs w:val="24"/>
        </w:rPr>
        <w:t xml:space="preserve"> </w:t>
      </w:r>
      <w:r w:rsidRPr="00FB5A28">
        <w:rPr>
          <w:rFonts w:ascii="Times New Roman" w:hAnsi="Times New Roman"/>
          <w:sz w:val="24"/>
          <w:szCs w:val="24"/>
        </w:rPr>
        <w:t>права</w:t>
      </w:r>
      <w:r w:rsidR="008832B3" w:rsidRPr="00FB5A28">
        <w:rPr>
          <w:rFonts w:ascii="Times New Roman" w:hAnsi="Times New Roman"/>
          <w:sz w:val="24"/>
          <w:szCs w:val="24"/>
        </w:rPr>
        <w:t xml:space="preserve">, </w:t>
      </w:r>
      <w:r w:rsidRPr="00FB5A28">
        <w:rPr>
          <w:rFonts w:ascii="Times New Roman" w:hAnsi="Times New Roman"/>
          <w:sz w:val="24"/>
          <w:szCs w:val="24"/>
        </w:rPr>
        <w:t>односно</w:t>
      </w:r>
      <w:r w:rsidR="00A239B8" w:rsidRPr="00FB5A28">
        <w:rPr>
          <w:rFonts w:ascii="Times New Roman" w:hAnsi="Times New Roman"/>
          <w:sz w:val="24"/>
          <w:szCs w:val="24"/>
        </w:rPr>
        <w:t xml:space="preserve"> </w:t>
      </w:r>
      <w:r w:rsidRPr="00FB5A28">
        <w:rPr>
          <w:rFonts w:ascii="Times New Roman" w:hAnsi="Times New Roman"/>
          <w:sz w:val="24"/>
          <w:szCs w:val="24"/>
        </w:rPr>
        <w:t>права</w:t>
      </w:r>
      <w:r w:rsidR="00A239B8" w:rsidRPr="00FB5A28">
        <w:rPr>
          <w:rFonts w:ascii="Times New Roman" w:hAnsi="Times New Roman"/>
          <w:sz w:val="24"/>
          <w:szCs w:val="24"/>
        </w:rPr>
        <w:t xml:space="preserve"> </w:t>
      </w:r>
      <w:r w:rsidRPr="00FB5A28">
        <w:rPr>
          <w:rFonts w:ascii="Times New Roman" w:hAnsi="Times New Roman"/>
          <w:sz w:val="24"/>
          <w:szCs w:val="24"/>
        </w:rPr>
        <w:t>индустријске</w:t>
      </w:r>
      <w:r w:rsidR="00A239B8" w:rsidRPr="00FB5A28">
        <w:rPr>
          <w:rFonts w:ascii="Times New Roman" w:hAnsi="Times New Roman"/>
          <w:sz w:val="24"/>
          <w:szCs w:val="24"/>
        </w:rPr>
        <w:t xml:space="preserve"> </w:t>
      </w:r>
      <w:r w:rsidRPr="00FB5A28">
        <w:rPr>
          <w:rFonts w:ascii="Times New Roman" w:hAnsi="Times New Roman"/>
          <w:sz w:val="24"/>
          <w:szCs w:val="24"/>
        </w:rPr>
        <w:t>својине</w:t>
      </w:r>
      <w:r w:rsidR="00A239B8" w:rsidRPr="00FB5A28">
        <w:rPr>
          <w:rFonts w:ascii="Times New Roman" w:hAnsi="Times New Roman"/>
          <w:sz w:val="24"/>
          <w:szCs w:val="24"/>
        </w:rPr>
        <w:t xml:space="preserve">, као и </w:t>
      </w:r>
      <w:r w:rsidR="008832B3" w:rsidRPr="00FB5A28">
        <w:rPr>
          <w:rFonts w:ascii="Times New Roman" w:hAnsi="Times New Roman"/>
          <w:sz w:val="24"/>
          <w:szCs w:val="24"/>
        </w:rPr>
        <w:t xml:space="preserve"> </w:t>
      </w:r>
      <w:r w:rsidRPr="00FB5A28">
        <w:rPr>
          <w:rFonts w:ascii="Times New Roman" w:hAnsi="Times New Roman"/>
          <w:sz w:val="24"/>
          <w:szCs w:val="24"/>
        </w:rPr>
        <w:t>и</w:t>
      </w:r>
      <w:r w:rsidR="008832B3" w:rsidRPr="00FB5A28">
        <w:rPr>
          <w:rFonts w:ascii="Times New Roman" w:hAnsi="Times New Roman"/>
          <w:sz w:val="24"/>
          <w:szCs w:val="24"/>
        </w:rPr>
        <w:t xml:space="preserve"> </w:t>
      </w:r>
      <w:r w:rsidRPr="00FB5A28">
        <w:rPr>
          <w:rFonts w:ascii="Times New Roman" w:hAnsi="Times New Roman"/>
          <w:sz w:val="24"/>
          <w:szCs w:val="24"/>
        </w:rPr>
        <w:t>наследник</w:t>
      </w:r>
      <w:r w:rsidR="008832B3" w:rsidRPr="00FB5A28">
        <w:rPr>
          <w:rFonts w:ascii="Times New Roman" w:hAnsi="Times New Roman"/>
          <w:sz w:val="24"/>
          <w:szCs w:val="24"/>
        </w:rPr>
        <w:t xml:space="preserve"> </w:t>
      </w:r>
      <w:r w:rsidRPr="00FB5A28">
        <w:rPr>
          <w:rFonts w:ascii="Times New Roman" w:hAnsi="Times New Roman"/>
          <w:sz w:val="24"/>
          <w:szCs w:val="24"/>
        </w:rPr>
        <w:t>имовинског</w:t>
      </w:r>
      <w:r w:rsidR="008832B3" w:rsidRPr="00FB5A28">
        <w:rPr>
          <w:rFonts w:ascii="Times New Roman" w:hAnsi="Times New Roman"/>
          <w:sz w:val="24"/>
          <w:szCs w:val="24"/>
        </w:rPr>
        <w:t xml:space="preserve"> </w:t>
      </w:r>
      <w:r w:rsidRPr="00FB5A28">
        <w:rPr>
          <w:rFonts w:ascii="Times New Roman" w:hAnsi="Times New Roman"/>
          <w:sz w:val="24"/>
          <w:szCs w:val="24"/>
        </w:rPr>
        <w:t>ауторског</w:t>
      </w:r>
      <w:r w:rsidR="008832B3" w:rsidRPr="00FB5A28">
        <w:rPr>
          <w:rFonts w:ascii="Times New Roman" w:hAnsi="Times New Roman"/>
          <w:sz w:val="24"/>
          <w:szCs w:val="24"/>
        </w:rPr>
        <w:t xml:space="preserve"> </w:t>
      </w:r>
      <w:r w:rsidRPr="00FB5A28">
        <w:rPr>
          <w:rFonts w:ascii="Times New Roman" w:hAnsi="Times New Roman"/>
          <w:sz w:val="24"/>
          <w:szCs w:val="24"/>
        </w:rPr>
        <w:t>и</w:t>
      </w:r>
      <w:r w:rsidR="008832B3" w:rsidRPr="00FB5A28">
        <w:rPr>
          <w:rFonts w:ascii="Times New Roman" w:hAnsi="Times New Roman"/>
          <w:sz w:val="24"/>
          <w:szCs w:val="24"/>
        </w:rPr>
        <w:t xml:space="preserve"> </w:t>
      </w:r>
      <w:r w:rsidRPr="00FB5A28">
        <w:rPr>
          <w:rFonts w:ascii="Times New Roman" w:hAnsi="Times New Roman"/>
          <w:sz w:val="24"/>
          <w:szCs w:val="24"/>
        </w:rPr>
        <w:t>сродног</w:t>
      </w:r>
      <w:r w:rsidR="008832B3" w:rsidRPr="00FB5A28">
        <w:rPr>
          <w:rFonts w:ascii="Times New Roman" w:hAnsi="Times New Roman"/>
          <w:sz w:val="24"/>
          <w:szCs w:val="24"/>
        </w:rPr>
        <w:t xml:space="preserve"> </w:t>
      </w:r>
      <w:r w:rsidRPr="00FB5A28">
        <w:rPr>
          <w:rFonts w:ascii="Times New Roman" w:hAnsi="Times New Roman"/>
          <w:sz w:val="24"/>
          <w:szCs w:val="24"/>
        </w:rPr>
        <w:t>права</w:t>
      </w:r>
      <w:r w:rsidR="008832B3" w:rsidRPr="00FB5A28">
        <w:rPr>
          <w:rFonts w:ascii="Times New Roman" w:hAnsi="Times New Roman"/>
          <w:sz w:val="24"/>
          <w:szCs w:val="24"/>
        </w:rPr>
        <w:t xml:space="preserve"> </w:t>
      </w:r>
      <w:r w:rsidRPr="00FB5A28">
        <w:rPr>
          <w:rFonts w:ascii="Times New Roman" w:hAnsi="Times New Roman"/>
          <w:sz w:val="24"/>
          <w:szCs w:val="24"/>
        </w:rPr>
        <w:t>и</w:t>
      </w:r>
      <w:r w:rsidR="008832B3" w:rsidRPr="00FB5A28">
        <w:rPr>
          <w:rFonts w:ascii="Times New Roman" w:hAnsi="Times New Roman"/>
          <w:sz w:val="24"/>
          <w:szCs w:val="24"/>
        </w:rPr>
        <w:t xml:space="preserve"> </w:t>
      </w:r>
      <w:r w:rsidRPr="00FB5A28">
        <w:rPr>
          <w:rFonts w:ascii="Times New Roman" w:hAnsi="Times New Roman"/>
          <w:sz w:val="24"/>
          <w:szCs w:val="24"/>
        </w:rPr>
        <w:t>права</w:t>
      </w:r>
      <w:r w:rsidR="008832B3" w:rsidRPr="00FB5A28">
        <w:rPr>
          <w:rFonts w:ascii="Times New Roman" w:hAnsi="Times New Roman"/>
          <w:sz w:val="24"/>
          <w:szCs w:val="24"/>
        </w:rPr>
        <w:t xml:space="preserve"> </w:t>
      </w:r>
      <w:r w:rsidRPr="00FB5A28">
        <w:rPr>
          <w:rFonts w:ascii="Times New Roman" w:hAnsi="Times New Roman"/>
          <w:sz w:val="24"/>
          <w:szCs w:val="24"/>
        </w:rPr>
        <w:t>индустријске</w:t>
      </w:r>
      <w:r w:rsidR="008832B3" w:rsidRPr="00FB5A28">
        <w:rPr>
          <w:rFonts w:ascii="Times New Roman" w:hAnsi="Times New Roman"/>
          <w:sz w:val="24"/>
          <w:szCs w:val="24"/>
        </w:rPr>
        <w:t xml:space="preserve"> </w:t>
      </w:r>
      <w:r w:rsidRPr="00FB5A28">
        <w:rPr>
          <w:rFonts w:ascii="Times New Roman" w:hAnsi="Times New Roman"/>
          <w:sz w:val="24"/>
          <w:szCs w:val="24"/>
        </w:rPr>
        <w:t>својине</w:t>
      </w:r>
      <w:r w:rsidR="008832B3" w:rsidRPr="00FB5A28">
        <w:rPr>
          <w:rFonts w:ascii="Times New Roman" w:hAnsi="Times New Roman"/>
          <w:sz w:val="24"/>
          <w:szCs w:val="24"/>
        </w:rPr>
        <w:t xml:space="preserve"> </w:t>
      </w:r>
      <w:r w:rsidRPr="00FB5A28">
        <w:rPr>
          <w:rFonts w:ascii="Times New Roman" w:hAnsi="Times New Roman"/>
          <w:sz w:val="24"/>
          <w:szCs w:val="24"/>
        </w:rPr>
        <w:t>и</w:t>
      </w:r>
      <w:r w:rsidR="008832B3" w:rsidRPr="00FB5A28">
        <w:rPr>
          <w:rFonts w:ascii="Times New Roman" w:hAnsi="Times New Roman"/>
          <w:sz w:val="24"/>
          <w:szCs w:val="24"/>
        </w:rPr>
        <w:t xml:space="preserve"> </w:t>
      </w:r>
      <w:r w:rsidRPr="00FB5A28">
        <w:rPr>
          <w:rFonts w:ascii="Times New Roman" w:hAnsi="Times New Roman"/>
          <w:sz w:val="24"/>
          <w:szCs w:val="24"/>
        </w:rPr>
        <w:t>свако</w:t>
      </w:r>
      <w:r w:rsidR="008832B3" w:rsidRPr="00FB5A28">
        <w:rPr>
          <w:rFonts w:ascii="Times New Roman" w:hAnsi="Times New Roman"/>
          <w:sz w:val="24"/>
          <w:szCs w:val="24"/>
        </w:rPr>
        <w:t xml:space="preserve"> </w:t>
      </w:r>
      <w:r w:rsidRPr="00FB5A28">
        <w:rPr>
          <w:rFonts w:ascii="Times New Roman" w:hAnsi="Times New Roman"/>
          <w:sz w:val="24"/>
          <w:szCs w:val="24"/>
        </w:rPr>
        <w:t>друго</w:t>
      </w:r>
      <w:r w:rsidR="008832B3" w:rsidRPr="00FB5A28">
        <w:rPr>
          <w:rFonts w:ascii="Times New Roman" w:hAnsi="Times New Roman"/>
          <w:sz w:val="24"/>
          <w:szCs w:val="24"/>
        </w:rPr>
        <w:t xml:space="preserve"> </w:t>
      </w:r>
      <w:r w:rsidRPr="00FB5A28">
        <w:rPr>
          <w:rFonts w:ascii="Times New Roman" w:hAnsi="Times New Roman"/>
          <w:sz w:val="24"/>
          <w:szCs w:val="24"/>
        </w:rPr>
        <w:t>физичко</w:t>
      </w:r>
      <w:r w:rsidR="008832B3" w:rsidRPr="00FB5A28">
        <w:rPr>
          <w:rFonts w:ascii="Times New Roman" w:hAnsi="Times New Roman"/>
          <w:sz w:val="24"/>
          <w:szCs w:val="24"/>
        </w:rPr>
        <w:t xml:space="preserve"> </w:t>
      </w:r>
      <w:r w:rsidRPr="00FB5A28">
        <w:rPr>
          <w:rFonts w:ascii="Times New Roman" w:hAnsi="Times New Roman"/>
          <w:sz w:val="24"/>
          <w:szCs w:val="24"/>
        </w:rPr>
        <w:t>лице</w:t>
      </w:r>
      <w:r w:rsidR="008832B3" w:rsidRPr="00FB5A28">
        <w:rPr>
          <w:rFonts w:ascii="Times New Roman" w:hAnsi="Times New Roman"/>
          <w:sz w:val="24"/>
          <w:szCs w:val="24"/>
        </w:rPr>
        <w:t xml:space="preserve"> </w:t>
      </w:r>
      <w:r w:rsidRPr="00FB5A28">
        <w:rPr>
          <w:rFonts w:ascii="Times New Roman" w:hAnsi="Times New Roman"/>
          <w:sz w:val="24"/>
          <w:szCs w:val="24"/>
        </w:rPr>
        <w:t>које</w:t>
      </w:r>
      <w:r w:rsidR="008832B3" w:rsidRPr="00FB5A28">
        <w:rPr>
          <w:rFonts w:ascii="Times New Roman" w:hAnsi="Times New Roman"/>
          <w:sz w:val="24"/>
          <w:szCs w:val="24"/>
        </w:rPr>
        <w:t xml:space="preserve"> </w:t>
      </w:r>
      <w:r w:rsidRPr="00FB5A28">
        <w:rPr>
          <w:rFonts w:ascii="Times New Roman" w:hAnsi="Times New Roman"/>
          <w:sz w:val="24"/>
          <w:szCs w:val="24"/>
        </w:rPr>
        <w:t>остварује</w:t>
      </w:r>
      <w:r w:rsidR="008832B3" w:rsidRPr="00FB5A28">
        <w:rPr>
          <w:rFonts w:ascii="Times New Roman" w:hAnsi="Times New Roman"/>
          <w:sz w:val="24"/>
          <w:szCs w:val="24"/>
        </w:rPr>
        <w:t xml:space="preserve"> </w:t>
      </w:r>
      <w:r w:rsidRPr="00FB5A28">
        <w:rPr>
          <w:rFonts w:ascii="Times New Roman" w:hAnsi="Times New Roman"/>
          <w:sz w:val="24"/>
          <w:szCs w:val="24"/>
        </w:rPr>
        <w:t>накнаду</w:t>
      </w:r>
      <w:r w:rsidR="008832B3" w:rsidRPr="00FB5A28">
        <w:rPr>
          <w:rFonts w:ascii="Times New Roman" w:hAnsi="Times New Roman"/>
          <w:sz w:val="24"/>
          <w:szCs w:val="24"/>
        </w:rPr>
        <w:t xml:space="preserve"> </w:t>
      </w:r>
      <w:r w:rsidRPr="00FB5A28">
        <w:rPr>
          <w:rFonts w:ascii="Times New Roman" w:hAnsi="Times New Roman"/>
          <w:sz w:val="24"/>
          <w:szCs w:val="24"/>
        </w:rPr>
        <w:t>по</w:t>
      </w:r>
      <w:r w:rsidR="008832B3" w:rsidRPr="00FB5A28">
        <w:rPr>
          <w:rFonts w:ascii="Times New Roman" w:hAnsi="Times New Roman"/>
          <w:sz w:val="24"/>
          <w:szCs w:val="24"/>
        </w:rPr>
        <w:t xml:space="preserve"> </w:t>
      </w:r>
      <w:r w:rsidRPr="00FB5A28">
        <w:rPr>
          <w:rFonts w:ascii="Times New Roman" w:hAnsi="Times New Roman"/>
          <w:sz w:val="24"/>
          <w:szCs w:val="24"/>
        </w:rPr>
        <w:t>тим</w:t>
      </w:r>
      <w:r w:rsidR="008832B3" w:rsidRPr="00FB5A28">
        <w:rPr>
          <w:rFonts w:ascii="Times New Roman" w:hAnsi="Times New Roman"/>
          <w:sz w:val="24"/>
          <w:szCs w:val="24"/>
        </w:rPr>
        <w:t xml:space="preserve"> </w:t>
      </w:r>
      <w:r w:rsidRPr="00FB5A28">
        <w:rPr>
          <w:rFonts w:ascii="Times New Roman" w:hAnsi="Times New Roman"/>
          <w:sz w:val="24"/>
          <w:szCs w:val="24"/>
        </w:rPr>
        <w:t>основама</w:t>
      </w:r>
      <w:r w:rsidR="008832B3" w:rsidRPr="00FB5A28">
        <w:rPr>
          <w:rFonts w:ascii="Times New Roman" w:hAnsi="Times New Roman"/>
          <w:sz w:val="24"/>
          <w:szCs w:val="24"/>
        </w:rPr>
        <w:t>.</w:t>
      </w:r>
    </w:p>
    <w:p w:rsidR="005E086E" w:rsidRPr="00FB5A28" w:rsidRDefault="005E086E" w:rsidP="00FB5A28">
      <w:pPr>
        <w:jc w:val="both"/>
        <w:rPr>
          <w:rFonts w:ascii="Times New Roman" w:hAnsi="Times New Roman"/>
          <w:sz w:val="24"/>
          <w:szCs w:val="24"/>
          <w:lang w:val="sr-Cyrl-CS"/>
        </w:rPr>
      </w:pPr>
    </w:p>
    <w:p w:rsidR="00A22DD5" w:rsidRPr="00FB5A28" w:rsidRDefault="00A239B8" w:rsidP="00FB5A28">
      <w:pPr>
        <w:ind w:firstLine="708"/>
        <w:jc w:val="both"/>
        <w:rPr>
          <w:rFonts w:ascii="Times New Roman" w:hAnsi="Times New Roman"/>
          <w:sz w:val="24"/>
          <w:szCs w:val="24"/>
          <w:shd w:val="clear" w:color="auto" w:fill="FFFFFF"/>
          <w:lang w:val="sr-Cyrl-CS"/>
        </w:rPr>
      </w:pPr>
      <w:bookmarkStart w:id="37" w:name="str_36"/>
      <w:bookmarkEnd w:id="37"/>
      <w:r w:rsidRPr="00FB5A28">
        <w:rPr>
          <w:rFonts w:ascii="Times New Roman" w:hAnsi="Times New Roman"/>
          <w:sz w:val="24"/>
          <w:szCs w:val="24"/>
          <w:lang w:val="sr-Cyrl-CS"/>
        </w:rPr>
        <w:lastRenderedPageBreak/>
        <w:t>Пореску основицу чини о</w:t>
      </w:r>
      <w:r w:rsidR="00683DF2" w:rsidRPr="00FB5A28">
        <w:rPr>
          <w:rFonts w:ascii="Times New Roman" w:hAnsi="Times New Roman"/>
          <w:sz w:val="24"/>
          <w:szCs w:val="24"/>
        </w:rPr>
        <w:t>порезиви</w:t>
      </w:r>
      <w:r w:rsidR="008832B3" w:rsidRPr="00FB5A28">
        <w:rPr>
          <w:rFonts w:ascii="Times New Roman" w:hAnsi="Times New Roman"/>
          <w:sz w:val="24"/>
          <w:szCs w:val="24"/>
        </w:rPr>
        <w:t xml:space="preserve"> </w:t>
      </w:r>
      <w:r w:rsidR="00683DF2" w:rsidRPr="00FB5A28">
        <w:rPr>
          <w:rFonts w:ascii="Times New Roman" w:hAnsi="Times New Roman"/>
          <w:sz w:val="24"/>
          <w:szCs w:val="24"/>
        </w:rPr>
        <w:t>приход</w:t>
      </w:r>
      <w:r w:rsidR="008832B3" w:rsidRPr="00FB5A28">
        <w:rPr>
          <w:rFonts w:ascii="Times New Roman" w:hAnsi="Times New Roman"/>
          <w:sz w:val="24"/>
          <w:szCs w:val="24"/>
        </w:rPr>
        <w:t xml:space="preserve"> </w:t>
      </w:r>
      <w:r w:rsidR="00683DF2" w:rsidRPr="00FB5A28">
        <w:rPr>
          <w:rFonts w:ascii="Times New Roman" w:hAnsi="Times New Roman"/>
          <w:sz w:val="24"/>
          <w:szCs w:val="24"/>
        </w:rPr>
        <w:t>од</w:t>
      </w:r>
      <w:r w:rsidR="008832B3" w:rsidRPr="00FB5A28">
        <w:rPr>
          <w:rFonts w:ascii="Times New Roman" w:hAnsi="Times New Roman"/>
          <w:sz w:val="24"/>
          <w:szCs w:val="24"/>
        </w:rPr>
        <w:t xml:space="preserve"> </w:t>
      </w:r>
      <w:r w:rsidR="00683DF2" w:rsidRPr="00FB5A28">
        <w:rPr>
          <w:rFonts w:ascii="Times New Roman" w:hAnsi="Times New Roman"/>
          <w:sz w:val="24"/>
          <w:szCs w:val="24"/>
        </w:rPr>
        <w:t>ауторских</w:t>
      </w:r>
      <w:r w:rsidR="008832B3" w:rsidRPr="00FB5A28">
        <w:rPr>
          <w:rFonts w:ascii="Times New Roman" w:hAnsi="Times New Roman"/>
          <w:sz w:val="24"/>
          <w:szCs w:val="24"/>
        </w:rPr>
        <w:t xml:space="preserve"> </w:t>
      </w:r>
      <w:r w:rsidR="00683DF2" w:rsidRPr="00FB5A28">
        <w:rPr>
          <w:rFonts w:ascii="Times New Roman" w:hAnsi="Times New Roman"/>
          <w:sz w:val="24"/>
          <w:szCs w:val="24"/>
        </w:rPr>
        <w:t>и</w:t>
      </w:r>
      <w:r w:rsidR="008832B3" w:rsidRPr="00FB5A28">
        <w:rPr>
          <w:rFonts w:ascii="Times New Roman" w:hAnsi="Times New Roman"/>
          <w:sz w:val="24"/>
          <w:szCs w:val="24"/>
        </w:rPr>
        <w:t xml:space="preserve"> </w:t>
      </w:r>
      <w:r w:rsidR="00683DF2" w:rsidRPr="00FB5A28">
        <w:rPr>
          <w:rFonts w:ascii="Times New Roman" w:hAnsi="Times New Roman"/>
          <w:sz w:val="24"/>
          <w:szCs w:val="24"/>
        </w:rPr>
        <w:t>сродних</w:t>
      </w:r>
      <w:r w:rsidR="008832B3" w:rsidRPr="00FB5A28">
        <w:rPr>
          <w:rFonts w:ascii="Times New Roman" w:hAnsi="Times New Roman"/>
          <w:sz w:val="24"/>
          <w:szCs w:val="24"/>
        </w:rPr>
        <w:t xml:space="preserve"> </w:t>
      </w:r>
      <w:r w:rsidR="00683DF2" w:rsidRPr="00FB5A28">
        <w:rPr>
          <w:rFonts w:ascii="Times New Roman" w:hAnsi="Times New Roman"/>
          <w:sz w:val="24"/>
          <w:szCs w:val="24"/>
        </w:rPr>
        <w:t>права</w:t>
      </w:r>
      <w:r w:rsidR="008832B3" w:rsidRPr="00FB5A28">
        <w:rPr>
          <w:rFonts w:ascii="Times New Roman" w:hAnsi="Times New Roman"/>
          <w:sz w:val="24"/>
          <w:szCs w:val="24"/>
        </w:rPr>
        <w:t xml:space="preserve"> </w:t>
      </w:r>
      <w:r w:rsidR="00683DF2" w:rsidRPr="00FB5A28">
        <w:rPr>
          <w:rFonts w:ascii="Times New Roman" w:hAnsi="Times New Roman"/>
          <w:sz w:val="24"/>
          <w:szCs w:val="24"/>
        </w:rPr>
        <w:t>и</w:t>
      </w:r>
      <w:r w:rsidR="008832B3" w:rsidRPr="00FB5A28">
        <w:rPr>
          <w:rFonts w:ascii="Times New Roman" w:hAnsi="Times New Roman"/>
          <w:sz w:val="24"/>
          <w:szCs w:val="24"/>
        </w:rPr>
        <w:t xml:space="preserve"> </w:t>
      </w:r>
      <w:r w:rsidR="00683DF2" w:rsidRPr="00FB5A28">
        <w:rPr>
          <w:rFonts w:ascii="Times New Roman" w:hAnsi="Times New Roman"/>
          <w:sz w:val="24"/>
          <w:szCs w:val="24"/>
        </w:rPr>
        <w:t>права</w:t>
      </w:r>
      <w:r w:rsidR="008832B3" w:rsidRPr="00FB5A28">
        <w:rPr>
          <w:rFonts w:ascii="Times New Roman" w:hAnsi="Times New Roman"/>
          <w:sz w:val="24"/>
          <w:szCs w:val="24"/>
        </w:rPr>
        <w:t xml:space="preserve"> </w:t>
      </w:r>
      <w:r w:rsidR="00683DF2" w:rsidRPr="00FB5A28">
        <w:rPr>
          <w:rFonts w:ascii="Times New Roman" w:hAnsi="Times New Roman"/>
          <w:sz w:val="24"/>
          <w:szCs w:val="24"/>
        </w:rPr>
        <w:t>индустријске</w:t>
      </w:r>
      <w:r w:rsidR="008832B3" w:rsidRPr="00FB5A28">
        <w:rPr>
          <w:rFonts w:ascii="Times New Roman" w:hAnsi="Times New Roman"/>
          <w:sz w:val="24"/>
          <w:szCs w:val="24"/>
        </w:rPr>
        <w:t xml:space="preserve"> </w:t>
      </w:r>
      <w:r w:rsidR="00683DF2" w:rsidRPr="00FB5A28">
        <w:rPr>
          <w:rFonts w:ascii="Times New Roman" w:hAnsi="Times New Roman"/>
          <w:sz w:val="24"/>
          <w:szCs w:val="24"/>
        </w:rPr>
        <w:t>својине</w:t>
      </w:r>
      <w:r w:rsidR="008832B3" w:rsidRPr="00FB5A28">
        <w:rPr>
          <w:rFonts w:ascii="Times New Roman" w:hAnsi="Times New Roman"/>
          <w:sz w:val="24"/>
          <w:szCs w:val="24"/>
        </w:rPr>
        <w:t xml:space="preserve"> </w:t>
      </w:r>
      <w:r w:rsidRPr="00FB5A28">
        <w:rPr>
          <w:rFonts w:ascii="Times New Roman" w:hAnsi="Times New Roman"/>
          <w:sz w:val="24"/>
          <w:szCs w:val="24"/>
          <w:lang w:val="sr-Cyrl-CS"/>
        </w:rPr>
        <w:t xml:space="preserve">који представља </w:t>
      </w:r>
      <w:r w:rsidRPr="00FB5A28">
        <w:rPr>
          <w:rFonts w:ascii="Times New Roman" w:hAnsi="Times New Roman"/>
          <w:sz w:val="24"/>
          <w:szCs w:val="24"/>
        </w:rPr>
        <w:t xml:space="preserve"> </w:t>
      </w:r>
      <w:r w:rsidR="00683DF2" w:rsidRPr="00FB5A28">
        <w:rPr>
          <w:rFonts w:ascii="Times New Roman" w:hAnsi="Times New Roman"/>
          <w:sz w:val="24"/>
          <w:szCs w:val="24"/>
        </w:rPr>
        <w:t>разлик</w:t>
      </w:r>
      <w:r w:rsidRPr="00FB5A28">
        <w:rPr>
          <w:rFonts w:ascii="Times New Roman" w:hAnsi="Times New Roman"/>
          <w:sz w:val="24"/>
          <w:szCs w:val="24"/>
          <w:lang w:val="sr-Cyrl-CS"/>
        </w:rPr>
        <w:t>у</w:t>
      </w:r>
      <w:r w:rsidR="008832B3" w:rsidRPr="00FB5A28">
        <w:rPr>
          <w:rFonts w:ascii="Times New Roman" w:hAnsi="Times New Roman"/>
          <w:sz w:val="24"/>
          <w:szCs w:val="24"/>
        </w:rPr>
        <w:t xml:space="preserve"> </w:t>
      </w:r>
      <w:r w:rsidR="00683DF2" w:rsidRPr="00FB5A28">
        <w:rPr>
          <w:rFonts w:ascii="Times New Roman" w:hAnsi="Times New Roman"/>
          <w:sz w:val="24"/>
          <w:szCs w:val="24"/>
        </w:rPr>
        <w:t>између</w:t>
      </w:r>
      <w:r w:rsidR="008832B3" w:rsidRPr="00FB5A28">
        <w:rPr>
          <w:rFonts w:ascii="Times New Roman" w:hAnsi="Times New Roman"/>
          <w:sz w:val="24"/>
          <w:szCs w:val="24"/>
        </w:rPr>
        <w:t xml:space="preserve"> </w:t>
      </w:r>
      <w:r w:rsidR="00683DF2" w:rsidRPr="00FB5A28">
        <w:rPr>
          <w:rFonts w:ascii="Times New Roman" w:hAnsi="Times New Roman"/>
          <w:sz w:val="24"/>
          <w:szCs w:val="24"/>
        </w:rPr>
        <w:t>бруто</w:t>
      </w:r>
      <w:r w:rsidR="008832B3" w:rsidRPr="00FB5A28">
        <w:rPr>
          <w:rFonts w:ascii="Times New Roman" w:hAnsi="Times New Roman"/>
          <w:sz w:val="24"/>
          <w:szCs w:val="24"/>
        </w:rPr>
        <w:t xml:space="preserve"> </w:t>
      </w:r>
      <w:r w:rsidR="00683DF2" w:rsidRPr="00FB5A28">
        <w:rPr>
          <w:rFonts w:ascii="Times New Roman" w:hAnsi="Times New Roman"/>
          <w:sz w:val="24"/>
          <w:szCs w:val="24"/>
        </w:rPr>
        <w:t>прихода</w:t>
      </w:r>
      <w:r w:rsidR="008832B3" w:rsidRPr="00FB5A28">
        <w:rPr>
          <w:rFonts w:ascii="Times New Roman" w:hAnsi="Times New Roman"/>
          <w:sz w:val="24"/>
          <w:szCs w:val="24"/>
        </w:rPr>
        <w:t xml:space="preserve"> </w:t>
      </w:r>
      <w:r w:rsidR="00683DF2" w:rsidRPr="00FB5A28">
        <w:rPr>
          <w:rFonts w:ascii="Times New Roman" w:hAnsi="Times New Roman"/>
          <w:sz w:val="24"/>
          <w:szCs w:val="24"/>
        </w:rPr>
        <w:t>и</w:t>
      </w:r>
      <w:r w:rsidR="008832B3" w:rsidRPr="00FB5A28">
        <w:rPr>
          <w:rFonts w:ascii="Times New Roman" w:hAnsi="Times New Roman"/>
          <w:sz w:val="24"/>
          <w:szCs w:val="24"/>
        </w:rPr>
        <w:t xml:space="preserve"> </w:t>
      </w:r>
      <w:r w:rsidR="00683DF2" w:rsidRPr="00FB5A28">
        <w:rPr>
          <w:rFonts w:ascii="Times New Roman" w:hAnsi="Times New Roman"/>
          <w:sz w:val="24"/>
          <w:szCs w:val="24"/>
        </w:rPr>
        <w:t>трошкова</w:t>
      </w:r>
      <w:r w:rsidR="008832B3" w:rsidRPr="00FB5A28">
        <w:rPr>
          <w:rFonts w:ascii="Times New Roman" w:hAnsi="Times New Roman"/>
          <w:sz w:val="24"/>
          <w:szCs w:val="24"/>
        </w:rPr>
        <w:t xml:space="preserve"> </w:t>
      </w:r>
      <w:r w:rsidR="00683DF2" w:rsidRPr="00FB5A28">
        <w:rPr>
          <w:rFonts w:ascii="Times New Roman" w:hAnsi="Times New Roman"/>
          <w:sz w:val="24"/>
          <w:szCs w:val="24"/>
        </w:rPr>
        <w:t>које</w:t>
      </w:r>
      <w:r w:rsidR="008832B3" w:rsidRPr="00FB5A28">
        <w:rPr>
          <w:rFonts w:ascii="Times New Roman" w:hAnsi="Times New Roman"/>
          <w:sz w:val="24"/>
          <w:szCs w:val="24"/>
        </w:rPr>
        <w:t xml:space="preserve"> </w:t>
      </w:r>
      <w:r w:rsidR="00683DF2" w:rsidRPr="00FB5A28">
        <w:rPr>
          <w:rFonts w:ascii="Times New Roman" w:hAnsi="Times New Roman"/>
          <w:sz w:val="24"/>
          <w:szCs w:val="24"/>
        </w:rPr>
        <w:t>је</w:t>
      </w:r>
      <w:r w:rsidR="008832B3" w:rsidRPr="00FB5A28">
        <w:rPr>
          <w:rFonts w:ascii="Times New Roman" w:hAnsi="Times New Roman"/>
          <w:sz w:val="24"/>
          <w:szCs w:val="24"/>
        </w:rPr>
        <w:t xml:space="preserve"> </w:t>
      </w:r>
      <w:r w:rsidR="00683DF2" w:rsidRPr="00FB5A28">
        <w:rPr>
          <w:rFonts w:ascii="Times New Roman" w:hAnsi="Times New Roman"/>
          <w:sz w:val="24"/>
          <w:szCs w:val="24"/>
        </w:rPr>
        <w:t>обвезник</w:t>
      </w:r>
      <w:r w:rsidR="008832B3" w:rsidRPr="00FB5A28">
        <w:rPr>
          <w:rFonts w:ascii="Times New Roman" w:hAnsi="Times New Roman"/>
          <w:sz w:val="24"/>
          <w:szCs w:val="24"/>
        </w:rPr>
        <w:t xml:space="preserve"> </w:t>
      </w:r>
      <w:r w:rsidR="00683DF2" w:rsidRPr="00FB5A28">
        <w:rPr>
          <w:rFonts w:ascii="Times New Roman" w:hAnsi="Times New Roman"/>
          <w:sz w:val="24"/>
          <w:szCs w:val="24"/>
        </w:rPr>
        <w:t>имао</w:t>
      </w:r>
      <w:r w:rsidR="008832B3" w:rsidRPr="00FB5A28">
        <w:rPr>
          <w:rFonts w:ascii="Times New Roman" w:hAnsi="Times New Roman"/>
          <w:sz w:val="24"/>
          <w:szCs w:val="24"/>
        </w:rPr>
        <w:t xml:space="preserve"> </w:t>
      </w:r>
      <w:r w:rsidR="00683DF2" w:rsidRPr="00FB5A28">
        <w:rPr>
          <w:rFonts w:ascii="Times New Roman" w:hAnsi="Times New Roman"/>
          <w:sz w:val="24"/>
          <w:szCs w:val="24"/>
        </w:rPr>
        <w:t>при</w:t>
      </w:r>
      <w:r w:rsidR="008832B3" w:rsidRPr="00FB5A28">
        <w:rPr>
          <w:rFonts w:ascii="Times New Roman" w:hAnsi="Times New Roman"/>
          <w:sz w:val="24"/>
          <w:szCs w:val="24"/>
        </w:rPr>
        <w:t xml:space="preserve"> </w:t>
      </w:r>
      <w:r w:rsidR="00683DF2" w:rsidRPr="00FB5A28">
        <w:rPr>
          <w:rFonts w:ascii="Times New Roman" w:hAnsi="Times New Roman"/>
          <w:sz w:val="24"/>
          <w:szCs w:val="24"/>
        </w:rPr>
        <w:t>остваривању</w:t>
      </w:r>
      <w:r w:rsidR="008832B3" w:rsidRPr="00FB5A28">
        <w:rPr>
          <w:rFonts w:ascii="Times New Roman" w:hAnsi="Times New Roman"/>
          <w:sz w:val="24"/>
          <w:szCs w:val="24"/>
        </w:rPr>
        <w:t xml:space="preserve"> </w:t>
      </w:r>
      <w:r w:rsidR="00683DF2" w:rsidRPr="00FB5A28">
        <w:rPr>
          <w:rFonts w:ascii="Times New Roman" w:hAnsi="Times New Roman"/>
          <w:sz w:val="24"/>
          <w:szCs w:val="24"/>
        </w:rPr>
        <w:t>и</w:t>
      </w:r>
      <w:r w:rsidR="008832B3" w:rsidRPr="00FB5A28">
        <w:rPr>
          <w:rFonts w:ascii="Times New Roman" w:hAnsi="Times New Roman"/>
          <w:sz w:val="24"/>
          <w:szCs w:val="24"/>
        </w:rPr>
        <w:t xml:space="preserve"> </w:t>
      </w:r>
      <w:r w:rsidR="00683DF2" w:rsidRPr="00FB5A28">
        <w:rPr>
          <w:rFonts w:ascii="Times New Roman" w:hAnsi="Times New Roman"/>
          <w:sz w:val="24"/>
          <w:szCs w:val="24"/>
        </w:rPr>
        <w:t>очувању</w:t>
      </w:r>
      <w:r w:rsidR="008832B3" w:rsidRPr="00FB5A28">
        <w:rPr>
          <w:rFonts w:ascii="Times New Roman" w:hAnsi="Times New Roman"/>
          <w:sz w:val="24"/>
          <w:szCs w:val="24"/>
        </w:rPr>
        <w:t xml:space="preserve"> </w:t>
      </w:r>
      <w:r w:rsidR="00683DF2" w:rsidRPr="00FB5A28">
        <w:rPr>
          <w:rFonts w:ascii="Times New Roman" w:hAnsi="Times New Roman"/>
          <w:sz w:val="24"/>
          <w:szCs w:val="24"/>
        </w:rPr>
        <w:t>прихода</w:t>
      </w:r>
      <w:r w:rsidR="008832B3" w:rsidRPr="00FB5A28">
        <w:rPr>
          <w:rFonts w:ascii="Times New Roman" w:hAnsi="Times New Roman"/>
          <w:sz w:val="24"/>
          <w:szCs w:val="24"/>
        </w:rPr>
        <w:t xml:space="preserve">, </w:t>
      </w:r>
      <w:r w:rsidR="00683DF2" w:rsidRPr="00FB5A28">
        <w:rPr>
          <w:rFonts w:ascii="Times New Roman" w:hAnsi="Times New Roman"/>
          <w:sz w:val="24"/>
          <w:szCs w:val="24"/>
        </w:rPr>
        <w:t>осим</w:t>
      </w:r>
      <w:r w:rsidR="008832B3" w:rsidRPr="00FB5A28">
        <w:rPr>
          <w:rFonts w:ascii="Times New Roman" w:hAnsi="Times New Roman"/>
          <w:sz w:val="24"/>
          <w:szCs w:val="24"/>
        </w:rPr>
        <w:t xml:space="preserve"> </w:t>
      </w:r>
      <w:r w:rsidR="00683DF2" w:rsidRPr="00FB5A28">
        <w:rPr>
          <w:rFonts w:ascii="Times New Roman" w:hAnsi="Times New Roman"/>
          <w:sz w:val="24"/>
          <w:szCs w:val="24"/>
        </w:rPr>
        <w:t>ако</w:t>
      </w:r>
      <w:r w:rsidR="008832B3" w:rsidRPr="00FB5A28">
        <w:rPr>
          <w:rFonts w:ascii="Times New Roman" w:hAnsi="Times New Roman"/>
          <w:sz w:val="24"/>
          <w:szCs w:val="24"/>
        </w:rPr>
        <w:t xml:space="preserve"> </w:t>
      </w:r>
      <w:r w:rsidR="00683DF2" w:rsidRPr="00FB5A28">
        <w:rPr>
          <w:rFonts w:ascii="Times New Roman" w:hAnsi="Times New Roman"/>
          <w:sz w:val="24"/>
          <w:szCs w:val="24"/>
        </w:rPr>
        <w:t>овим</w:t>
      </w:r>
      <w:r w:rsidR="008832B3" w:rsidRPr="00FB5A28">
        <w:rPr>
          <w:rFonts w:ascii="Times New Roman" w:hAnsi="Times New Roman"/>
          <w:sz w:val="24"/>
          <w:szCs w:val="24"/>
        </w:rPr>
        <w:t xml:space="preserve"> </w:t>
      </w:r>
      <w:r w:rsidR="00683DF2" w:rsidRPr="00FB5A28">
        <w:rPr>
          <w:rFonts w:ascii="Times New Roman" w:hAnsi="Times New Roman"/>
          <w:sz w:val="24"/>
          <w:szCs w:val="24"/>
        </w:rPr>
        <w:t>законом</w:t>
      </w:r>
      <w:r w:rsidR="008832B3" w:rsidRPr="00FB5A28">
        <w:rPr>
          <w:rFonts w:ascii="Times New Roman" w:hAnsi="Times New Roman"/>
          <w:sz w:val="24"/>
          <w:szCs w:val="24"/>
        </w:rPr>
        <w:t xml:space="preserve"> </w:t>
      </w:r>
      <w:r w:rsidR="00683DF2" w:rsidRPr="00FB5A28">
        <w:rPr>
          <w:rFonts w:ascii="Times New Roman" w:hAnsi="Times New Roman"/>
          <w:sz w:val="24"/>
          <w:szCs w:val="24"/>
        </w:rPr>
        <w:t>није</w:t>
      </w:r>
      <w:r w:rsidR="008832B3" w:rsidRPr="00FB5A28">
        <w:rPr>
          <w:rFonts w:ascii="Times New Roman" w:hAnsi="Times New Roman"/>
          <w:sz w:val="24"/>
          <w:szCs w:val="24"/>
        </w:rPr>
        <w:t xml:space="preserve"> </w:t>
      </w:r>
      <w:r w:rsidR="00683DF2" w:rsidRPr="00FB5A28">
        <w:rPr>
          <w:rFonts w:ascii="Times New Roman" w:hAnsi="Times New Roman"/>
          <w:sz w:val="24"/>
          <w:szCs w:val="24"/>
        </w:rPr>
        <w:t>друкчије</w:t>
      </w:r>
      <w:r w:rsidR="008832B3" w:rsidRPr="00FB5A28">
        <w:rPr>
          <w:rFonts w:ascii="Times New Roman" w:hAnsi="Times New Roman"/>
          <w:sz w:val="24"/>
          <w:szCs w:val="24"/>
        </w:rPr>
        <w:t xml:space="preserve"> </w:t>
      </w:r>
      <w:r w:rsidR="00683DF2" w:rsidRPr="00FB5A28">
        <w:rPr>
          <w:rFonts w:ascii="Times New Roman" w:hAnsi="Times New Roman"/>
          <w:sz w:val="24"/>
          <w:szCs w:val="24"/>
        </w:rPr>
        <w:t>прописано</w:t>
      </w:r>
      <w:r w:rsidR="008832B3" w:rsidRPr="00FB5A28">
        <w:rPr>
          <w:rFonts w:ascii="Times New Roman" w:hAnsi="Times New Roman"/>
          <w:sz w:val="24"/>
          <w:szCs w:val="24"/>
        </w:rPr>
        <w:t>.</w:t>
      </w:r>
      <w:r w:rsidRPr="00FB5A28">
        <w:rPr>
          <w:rFonts w:ascii="Times New Roman" w:hAnsi="Times New Roman"/>
          <w:sz w:val="24"/>
          <w:szCs w:val="24"/>
          <w:lang w:val="sr-Cyrl-CS"/>
        </w:rPr>
        <w:t xml:space="preserve">  </w:t>
      </w:r>
    </w:p>
    <w:p w:rsidR="00A22DD5" w:rsidRPr="00683DF2" w:rsidRDefault="00A22DD5" w:rsidP="00683DF2">
      <w:pPr>
        <w:pStyle w:val="wyq110---naslov-clana"/>
        <w:shd w:val="clear" w:color="auto" w:fill="FFFFFF"/>
        <w:spacing w:before="240" w:beforeAutospacing="0" w:after="240" w:afterAutospacing="0" w:line="240" w:lineRule="atLeast"/>
        <w:ind w:firstLine="708"/>
        <w:jc w:val="both"/>
        <w:rPr>
          <w:b/>
          <w:bCs/>
          <w:color w:val="000000"/>
          <w:lang w:val="sr-Cyrl-CS"/>
        </w:rPr>
      </w:pPr>
    </w:p>
    <w:p w:rsidR="004A2DDA" w:rsidRPr="008A7A59" w:rsidRDefault="001830E1" w:rsidP="001830E1">
      <w:pPr>
        <w:ind w:firstLine="708"/>
        <w:jc w:val="center"/>
        <w:rPr>
          <w:rFonts w:ascii="Times New Roman" w:hAnsi="Times New Roman"/>
          <w:b/>
          <w:color w:val="000000"/>
          <w:sz w:val="24"/>
          <w:szCs w:val="24"/>
          <w:shd w:val="clear" w:color="auto" w:fill="FFFFFF"/>
          <w:lang w:val="sr-Cyrl-CS"/>
        </w:rPr>
      </w:pPr>
      <w:r>
        <w:rPr>
          <w:rFonts w:ascii="Times New Roman" w:hAnsi="Times New Roman"/>
          <w:b/>
          <w:color w:val="000000"/>
          <w:sz w:val="24"/>
          <w:szCs w:val="24"/>
          <w:shd w:val="clear" w:color="auto" w:fill="FFFFFF"/>
          <w:lang w:val="sr-Cyrl-CS"/>
        </w:rPr>
        <w:t>5.3.4.4.Порез на приходе од капитала</w:t>
      </w:r>
    </w:p>
    <w:p w:rsidR="00683DF2" w:rsidRDefault="00683DF2" w:rsidP="008D574A">
      <w:pPr>
        <w:pStyle w:val="normal0"/>
        <w:shd w:val="clear" w:color="auto" w:fill="FFFFFF"/>
        <w:spacing w:before="48" w:beforeAutospacing="0" w:after="48" w:afterAutospacing="0"/>
        <w:rPr>
          <w:rFonts w:ascii="Arial" w:hAnsi="Arial" w:cs="Arial"/>
          <w:color w:val="000000"/>
          <w:sz w:val="18"/>
          <w:szCs w:val="18"/>
          <w:lang w:val="sr-Cyrl-CS"/>
        </w:rPr>
      </w:pPr>
    </w:p>
    <w:p w:rsidR="00683DF2" w:rsidRDefault="00683DF2" w:rsidP="008D574A">
      <w:pPr>
        <w:pStyle w:val="normal0"/>
        <w:shd w:val="clear" w:color="auto" w:fill="FFFFFF"/>
        <w:spacing w:before="48" w:beforeAutospacing="0" w:after="48" w:afterAutospacing="0"/>
        <w:rPr>
          <w:rFonts w:ascii="Arial" w:hAnsi="Arial" w:cs="Arial"/>
          <w:color w:val="000000"/>
          <w:sz w:val="18"/>
          <w:szCs w:val="18"/>
          <w:lang w:val="sr-Cyrl-CS"/>
        </w:rPr>
      </w:pPr>
    </w:p>
    <w:p w:rsidR="00683DF2" w:rsidRPr="00FB5A28" w:rsidRDefault="00683DF2" w:rsidP="00FB5A28">
      <w:pPr>
        <w:ind w:firstLine="708"/>
        <w:jc w:val="both"/>
        <w:rPr>
          <w:rFonts w:ascii="Times New Roman" w:hAnsi="Times New Roman"/>
          <w:sz w:val="24"/>
          <w:szCs w:val="24"/>
          <w:lang w:val="sr-Cyrl-CS"/>
        </w:rPr>
      </w:pPr>
      <w:r w:rsidRPr="00FB5A28">
        <w:rPr>
          <w:rFonts w:ascii="Times New Roman" w:hAnsi="Times New Roman"/>
          <w:sz w:val="24"/>
          <w:szCs w:val="24"/>
          <w:lang w:val="sr-Cyrl-CS"/>
        </w:rPr>
        <w:t>Премет опорезивања је према 61. ЗПДГ дефинисан тако што се  п</w:t>
      </w:r>
      <w:r w:rsidR="00785994" w:rsidRPr="00FB5A28">
        <w:rPr>
          <w:rFonts w:ascii="Times New Roman" w:hAnsi="Times New Roman"/>
          <w:sz w:val="24"/>
          <w:szCs w:val="24"/>
        </w:rPr>
        <w:t>риходом</w:t>
      </w:r>
      <w:r w:rsidRPr="00FB5A28">
        <w:rPr>
          <w:rFonts w:ascii="Times New Roman" w:hAnsi="Times New Roman"/>
          <w:sz w:val="24"/>
          <w:szCs w:val="24"/>
        </w:rPr>
        <w:t xml:space="preserve"> </w:t>
      </w:r>
      <w:r w:rsidR="00785994" w:rsidRPr="00FB5A28">
        <w:rPr>
          <w:rFonts w:ascii="Times New Roman" w:hAnsi="Times New Roman"/>
          <w:sz w:val="24"/>
          <w:szCs w:val="24"/>
        </w:rPr>
        <w:t>од</w:t>
      </w:r>
      <w:r w:rsidRPr="00FB5A28">
        <w:rPr>
          <w:rFonts w:ascii="Times New Roman" w:hAnsi="Times New Roman"/>
          <w:sz w:val="24"/>
          <w:szCs w:val="24"/>
        </w:rPr>
        <w:t xml:space="preserve"> </w:t>
      </w:r>
      <w:r w:rsidR="00785994" w:rsidRPr="00FB5A28">
        <w:rPr>
          <w:rFonts w:ascii="Times New Roman" w:hAnsi="Times New Roman"/>
          <w:sz w:val="24"/>
          <w:szCs w:val="24"/>
        </w:rPr>
        <w:t>капитала</w:t>
      </w:r>
      <w:r w:rsidRPr="00FB5A28">
        <w:rPr>
          <w:rFonts w:ascii="Times New Roman" w:hAnsi="Times New Roman"/>
          <w:sz w:val="24"/>
          <w:szCs w:val="24"/>
        </w:rPr>
        <w:t xml:space="preserve"> </w:t>
      </w:r>
      <w:r w:rsidR="00785994" w:rsidRPr="00FB5A28">
        <w:rPr>
          <w:rFonts w:ascii="Times New Roman" w:hAnsi="Times New Roman"/>
          <w:sz w:val="24"/>
          <w:szCs w:val="24"/>
        </w:rPr>
        <w:t>сматрају</w:t>
      </w:r>
      <w:r w:rsidR="008D574A" w:rsidRPr="00FB5A28">
        <w:rPr>
          <w:rFonts w:ascii="Times New Roman" w:hAnsi="Times New Roman"/>
          <w:sz w:val="24"/>
          <w:szCs w:val="24"/>
        </w:rPr>
        <w:t>:</w:t>
      </w:r>
    </w:p>
    <w:p w:rsidR="008D574A" w:rsidRPr="00FB5A28" w:rsidRDefault="008D574A" w:rsidP="00FB5A28">
      <w:pPr>
        <w:jc w:val="both"/>
        <w:rPr>
          <w:rFonts w:ascii="Times New Roman" w:hAnsi="Times New Roman"/>
          <w:sz w:val="24"/>
          <w:szCs w:val="24"/>
        </w:rPr>
      </w:pPr>
      <w:r w:rsidRPr="00FB5A28">
        <w:rPr>
          <w:rFonts w:ascii="Times New Roman" w:hAnsi="Times New Roman"/>
          <w:sz w:val="24"/>
          <w:szCs w:val="24"/>
        </w:rPr>
        <w:t xml:space="preserve">1) </w:t>
      </w:r>
      <w:r w:rsidR="00785994" w:rsidRPr="00FB5A28">
        <w:rPr>
          <w:rFonts w:ascii="Times New Roman" w:hAnsi="Times New Roman"/>
          <w:sz w:val="24"/>
          <w:szCs w:val="24"/>
        </w:rPr>
        <w:t>камата</w:t>
      </w:r>
      <w:r w:rsidRPr="00FB5A28">
        <w:rPr>
          <w:rFonts w:ascii="Times New Roman" w:hAnsi="Times New Roman"/>
          <w:sz w:val="24"/>
          <w:szCs w:val="24"/>
        </w:rPr>
        <w:t xml:space="preserve"> </w:t>
      </w:r>
      <w:r w:rsidR="00785994" w:rsidRPr="00FB5A28">
        <w:rPr>
          <w:rFonts w:ascii="Times New Roman" w:hAnsi="Times New Roman"/>
          <w:sz w:val="24"/>
          <w:szCs w:val="24"/>
        </w:rPr>
        <w:t>по</w:t>
      </w:r>
      <w:r w:rsidRPr="00FB5A28">
        <w:rPr>
          <w:rFonts w:ascii="Times New Roman" w:hAnsi="Times New Roman"/>
          <w:sz w:val="24"/>
          <w:szCs w:val="24"/>
        </w:rPr>
        <w:t xml:space="preserve"> </w:t>
      </w:r>
      <w:r w:rsidR="00785994" w:rsidRPr="00FB5A28">
        <w:rPr>
          <w:rFonts w:ascii="Times New Roman" w:hAnsi="Times New Roman"/>
          <w:sz w:val="24"/>
          <w:szCs w:val="24"/>
        </w:rPr>
        <w:t>основу</w:t>
      </w:r>
      <w:r w:rsidRPr="00FB5A28">
        <w:rPr>
          <w:rFonts w:ascii="Times New Roman" w:hAnsi="Times New Roman"/>
          <w:sz w:val="24"/>
          <w:szCs w:val="24"/>
        </w:rPr>
        <w:t xml:space="preserve"> </w:t>
      </w:r>
      <w:r w:rsidR="00785994" w:rsidRPr="00FB5A28">
        <w:rPr>
          <w:rFonts w:ascii="Times New Roman" w:hAnsi="Times New Roman"/>
          <w:sz w:val="24"/>
          <w:szCs w:val="24"/>
        </w:rPr>
        <w:t>зајма</w:t>
      </w:r>
      <w:r w:rsidRPr="00FB5A28">
        <w:rPr>
          <w:rFonts w:ascii="Times New Roman" w:hAnsi="Times New Roman"/>
          <w:sz w:val="24"/>
          <w:szCs w:val="24"/>
        </w:rPr>
        <w:t xml:space="preserve">, </w:t>
      </w:r>
      <w:r w:rsidR="00785994" w:rsidRPr="00FB5A28">
        <w:rPr>
          <w:rFonts w:ascii="Times New Roman" w:hAnsi="Times New Roman"/>
          <w:sz w:val="24"/>
          <w:szCs w:val="24"/>
        </w:rPr>
        <w:t>штедних</w:t>
      </w:r>
      <w:r w:rsidRPr="00FB5A28">
        <w:rPr>
          <w:rFonts w:ascii="Times New Roman" w:hAnsi="Times New Roman"/>
          <w:sz w:val="24"/>
          <w:szCs w:val="24"/>
        </w:rPr>
        <w:t xml:space="preserve"> </w:t>
      </w:r>
      <w:r w:rsidR="00785994" w:rsidRPr="00FB5A28">
        <w:rPr>
          <w:rFonts w:ascii="Times New Roman" w:hAnsi="Times New Roman"/>
          <w:sz w:val="24"/>
          <w:szCs w:val="24"/>
        </w:rPr>
        <w:t>и</w:t>
      </w:r>
      <w:r w:rsidRPr="00FB5A28">
        <w:rPr>
          <w:rFonts w:ascii="Times New Roman" w:hAnsi="Times New Roman"/>
          <w:sz w:val="24"/>
          <w:szCs w:val="24"/>
        </w:rPr>
        <w:t xml:space="preserve"> </w:t>
      </w:r>
      <w:r w:rsidR="00785994" w:rsidRPr="00FB5A28">
        <w:rPr>
          <w:rFonts w:ascii="Times New Roman" w:hAnsi="Times New Roman"/>
          <w:sz w:val="24"/>
          <w:szCs w:val="24"/>
        </w:rPr>
        <w:t>других</w:t>
      </w:r>
      <w:r w:rsidRPr="00FB5A28">
        <w:rPr>
          <w:rFonts w:ascii="Times New Roman" w:hAnsi="Times New Roman"/>
          <w:sz w:val="24"/>
          <w:szCs w:val="24"/>
        </w:rPr>
        <w:t xml:space="preserve"> </w:t>
      </w:r>
      <w:r w:rsidR="00785994" w:rsidRPr="00FB5A28">
        <w:rPr>
          <w:rFonts w:ascii="Times New Roman" w:hAnsi="Times New Roman"/>
          <w:sz w:val="24"/>
          <w:szCs w:val="24"/>
        </w:rPr>
        <w:t>депозита</w:t>
      </w:r>
      <w:r w:rsidRPr="00FB5A28">
        <w:rPr>
          <w:rFonts w:ascii="Times New Roman" w:hAnsi="Times New Roman"/>
          <w:sz w:val="24"/>
          <w:szCs w:val="24"/>
        </w:rPr>
        <w:t xml:space="preserve"> (</w:t>
      </w:r>
      <w:r w:rsidR="00785994" w:rsidRPr="00FB5A28">
        <w:rPr>
          <w:rFonts w:ascii="Times New Roman" w:hAnsi="Times New Roman"/>
          <w:sz w:val="24"/>
          <w:szCs w:val="24"/>
        </w:rPr>
        <w:t>орочених</w:t>
      </w:r>
      <w:r w:rsidRPr="00FB5A28">
        <w:rPr>
          <w:rFonts w:ascii="Times New Roman" w:hAnsi="Times New Roman"/>
          <w:sz w:val="24"/>
          <w:szCs w:val="24"/>
        </w:rPr>
        <w:t xml:space="preserve"> </w:t>
      </w:r>
      <w:r w:rsidR="00785994" w:rsidRPr="00FB5A28">
        <w:rPr>
          <w:rFonts w:ascii="Times New Roman" w:hAnsi="Times New Roman"/>
          <w:sz w:val="24"/>
          <w:szCs w:val="24"/>
        </w:rPr>
        <w:t>или</w:t>
      </w:r>
      <w:r w:rsidRPr="00FB5A28">
        <w:rPr>
          <w:rFonts w:ascii="Times New Roman" w:hAnsi="Times New Roman"/>
          <w:sz w:val="24"/>
          <w:szCs w:val="24"/>
        </w:rPr>
        <w:t xml:space="preserve"> </w:t>
      </w:r>
      <w:r w:rsidR="00785994" w:rsidRPr="00FB5A28">
        <w:rPr>
          <w:rFonts w:ascii="Times New Roman" w:hAnsi="Times New Roman"/>
          <w:sz w:val="24"/>
          <w:szCs w:val="24"/>
        </w:rPr>
        <w:t>по</w:t>
      </w:r>
      <w:r w:rsidRPr="00FB5A28">
        <w:rPr>
          <w:rFonts w:ascii="Times New Roman" w:hAnsi="Times New Roman"/>
          <w:sz w:val="24"/>
          <w:szCs w:val="24"/>
        </w:rPr>
        <w:t xml:space="preserve"> </w:t>
      </w:r>
      <w:r w:rsidR="00785994" w:rsidRPr="00FB5A28">
        <w:rPr>
          <w:rFonts w:ascii="Times New Roman" w:hAnsi="Times New Roman"/>
          <w:sz w:val="24"/>
          <w:szCs w:val="24"/>
        </w:rPr>
        <w:t>виђењу</w:t>
      </w:r>
      <w:r w:rsidRPr="00FB5A28">
        <w:rPr>
          <w:rFonts w:ascii="Times New Roman" w:hAnsi="Times New Roman"/>
          <w:sz w:val="24"/>
          <w:szCs w:val="24"/>
        </w:rPr>
        <w:t xml:space="preserve">) </w:t>
      </w:r>
      <w:r w:rsidR="00785994" w:rsidRPr="00FB5A28">
        <w:rPr>
          <w:rFonts w:ascii="Times New Roman" w:hAnsi="Times New Roman"/>
          <w:sz w:val="24"/>
          <w:szCs w:val="24"/>
        </w:rPr>
        <w:t>и</w:t>
      </w:r>
      <w:r w:rsidRPr="00FB5A28">
        <w:rPr>
          <w:rFonts w:ascii="Times New Roman" w:hAnsi="Times New Roman"/>
          <w:sz w:val="24"/>
          <w:szCs w:val="24"/>
        </w:rPr>
        <w:t xml:space="preserve"> </w:t>
      </w:r>
      <w:r w:rsidR="00785994" w:rsidRPr="00FB5A28">
        <w:rPr>
          <w:rFonts w:ascii="Times New Roman" w:hAnsi="Times New Roman"/>
          <w:sz w:val="24"/>
          <w:szCs w:val="24"/>
        </w:rPr>
        <w:t>по</w:t>
      </w:r>
      <w:r w:rsidRPr="00FB5A28">
        <w:rPr>
          <w:rFonts w:ascii="Times New Roman" w:hAnsi="Times New Roman"/>
          <w:sz w:val="24"/>
          <w:szCs w:val="24"/>
        </w:rPr>
        <w:t xml:space="preserve"> </w:t>
      </w:r>
      <w:r w:rsidR="00785994" w:rsidRPr="00FB5A28">
        <w:rPr>
          <w:rFonts w:ascii="Times New Roman" w:hAnsi="Times New Roman"/>
          <w:sz w:val="24"/>
          <w:szCs w:val="24"/>
        </w:rPr>
        <w:t>основу</w:t>
      </w:r>
      <w:r w:rsidRPr="00FB5A28">
        <w:rPr>
          <w:rFonts w:ascii="Times New Roman" w:hAnsi="Times New Roman"/>
          <w:sz w:val="24"/>
          <w:szCs w:val="24"/>
        </w:rPr>
        <w:t xml:space="preserve"> </w:t>
      </w:r>
      <w:r w:rsidR="00785994" w:rsidRPr="00FB5A28">
        <w:rPr>
          <w:rFonts w:ascii="Times New Roman" w:hAnsi="Times New Roman"/>
          <w:sz w:val="24"/>
          <w:szCs w:val="24"/>
        </w:rPr>
        <w:t>дужничких</w:t>
      </w:r>
      <w:r w:rsidRPr="00FB5A28">
        <w:rPr>
          <w:rFonts w:ascii="Times New Roman" w:hAnsi="Times New Roman"/>
          <w:sz w:val="24"/>
          <w:szCs w:val="24"/>
        </w:rPr>
        <w:t xml:space="preserve"> </w:t>
      </w:r>
      <w:r w:rsidR="00785994" w:rsidRPr="00FB5A28">
        <w:rPr>
          <w:rFonts w:ascii="Times New Roman" w:hAnsi="Times New Roman"/>
          <w:sz w:val="24"/>
          <w:szCs w:val="24"/>
        </w:rPr>
        <w:t>и</w:t>
      </w:r>
      <w:r w:rsidRPr="00FB5A28">
        <w:rPr>
          <w:rFonts w:ascii="Times New Roman" w:hAnsi="Times New Roman"/>
          <w:sz w:val="24"/>
          <w:szCs w:val="24"/>
        </w:rPr>
        <w:t xml:space="preserve"> </w:t>
      </w:r>
      <w:r w:rsidR="00785994" w:rsidRPr="00FB5A28">
        <w:rPr>
          <w:rFonts w:ascii="Times New Roman" w:hAnsi="Times New Roman"/>
          <w:sz w:val="24"/>
          <w:szCs w:val="24"/>
        </w:rPr>
        <w:t>сличних</w:t>
      </w:r>
      <w:r w:rsidRPr="00FB5A28">
        <w:rPr>
          <w:rFonts w:ascii="Times New Roman" w:hAnsi="Times New Roman"/>
          <w:sz w:val="24"/>
          <w:szCs w:val="24"/>
        </w:rPr>
        <w:t xml:space="preserve"> </w:t>
      </w:r>
      <w:r w:rsidR="00785994" w:rsidRPr="00FB5A28">
        <w:rPr>
          <w:rFonts w:ascii="Times New Roman" w:hAnsi="Times New Roman"/>
          <w:sz w:val="24"/>
          <w:szCs w:val="24"/>
        </w:rPr>
        <w:t>хартија</w:t>
      </w:r>
      <w:r w:rsidRPr="00FB5A28">
        <w:rPr>
          <w:rFonts w:ascii="Times New Roman" w:hAnsi="Times New Roman"/>
          <w:sz w:val="24"/>
          <w:szCs w:val="24"/>
        </w:rPr>
        <w:t xml:space="preserve"> </w:t>
      </w:r>
      <w:r w:rsidR="00785994" w:rsidRPr="00FB5A28">
        <w:rPr>
          <w:rFonts w:ascii="Times New Roman" w:hAnsi="Times New Roman"/>
          <w:sz w:val="24"/>
          <w:szCs w:val="24"/>
        </w:rPr>
        <w:t>од</w:t>
      </w:r>
      <w:r w:rsidRPr="00FB5A28">
        <w:rPr>
          <w:rFonts w:ascii="Times New Roman" w:hAnsi="Times New Roman"/>
          <w:sz w:val="24"/>
          <w:szCs w:val="24"/>
        </w:rPr>
        <w:t xml:space="preserve"> </w:t>
      </w:r>
      <w:r w:rsidR="00785994" w:rsidRPr="00FB5A28">
        <w:rPr>
          <w:rFonts w:ascii="Times New Roman" w:hAnsi="Times New Roman"/>
          <w:sz w:val="24"/>
          <w:szCs w:val="24"/>
        </w:rPr>
        <w:t>вредности</w:t>
      </w:r>
      <w:r w:rsidRPr="00FB5A28">
        <w:rPr>
          <w:rFonts w:ascii="Times New Roman" w:hAnsi="Times New Roman"/>
          <w:sz w:val="24"/>
          <w:szCs w:val="24"/>
        </w:rPr>
        <w:t>;</w:t>
      </w:r>
    </w:p>
    <w:p w:rsidR="008D574A" w:rsidRPr="00FB5A28" w:rsidRDefault="00683DF2" w:rsidP="00FB5A28">
      <w:pPr>
        <w:jc w:val="both"/>
        <w:rPr>
          <w:rFonts w:ascii="Times New Roman" w:hAnsi="Times New Roman"/>
          <w:sz w:val="24"/>
          <w:szCs w:val="24"/>
          <w:lang w:val="sr-Cyrl-CS"/>
        </w:rPr>
      </w:pPr>
      <w:r w:rsidRPr="00FB5A28">
        <w:rPr>
          <w:rFonts w:ascii="Times New Roman" w:hAnsi="Times New Roman"/>
          <w:sz w:val="24"/>
          <w:szCs w:val="24"/>
        </w:rPr>
        <w:t xml:space="preserve">2) </w:t>
      </w:r>
      <w:r w:rsidR="00785994" w:rsidRPr="00FB5A28">
        <w:rPr>
          <w:rFonts w:ascii="Times New Roman" w:hAnsi="Times New Roman"/>
          <w:sz w:val="24"/>
          <w:szCs w:val="24"/>
        </w:rPr>
        <w:t>дивиденда</w:t>
      </w:r>
      <w:r w:rsidRPr="00FB5A28">
        <w:rPr>
          <w:rFonts w:ascii="Times New Roman" w:hAnsi="Times New Roman"/>
          <w:sz w:val="24"/>
          <w:szCs w:val="24"/>
        </w:rPr>
        <w:t xml:space="preserve"> </w:t>
      </w:r>
      <w:r w:rsidR="00785994" w:rsidRPr="00FB5A28">
        <w:rPr>
          <w:rFonts w:ascii="Times New Roman" w:hAnsi="Times New Roman"/>
          <w:sz w:val="24"/>
          <w:szCs w:val="24"/>
        </w:rPr>
        <w:t>и</w:t>
      </w:r>
      <w:r w:rsidRPr="00FB5A28">
        <w:rPr>
          <w:rFonts w:ascii="Times New Roman" w:hAnsi="Times New Roman"/>
          <w:sz w:val="24"/>
          <w:szCs w:val="24"/>
        </w:rPr>
        <w:t xml:space="preserve"> </w:t>
      </w:r>
      <w:r w:rsidR="00785994" w:rsidRPr="00FB5A28">
        <w:rPr>
          <w:rFonts w:ascii="Times New Roman" w:hAnsi="Times New Roman"/>
          <w:sz w:val="24"/>
          <w:szCs w:val="24"/>
        </w:rPr>
        <w:t>учешће</w:t>
      </w:r>
      <w:r w:rsidRPr="00FB5A28">
        <w:rPr>
          <w:rFonts w:ascii="Times New Roman" w:hAnsi="Times New Roman"/>
          <w:sz w:val="24"/>
          <w:szCs w:val="24"/>
        </w:rPr>
        <w:t xml:space="preserve"> </w:t>
      </w:r>
      <w:r w:rsidR="00785994" w:rsidRPr="00FB5A28">
        <w:rPr>
          <w:rFonts w:ascii="Times New Roman" w:hAnsi="Times New Roman"/>
          <w:sz w:val="24"/>
          <w:szCs w:val="24"/>
        </w:rPr>
        <w:t>у</w:t>
      </w:r>
      <w:r w:rsidRPr="00FB5A28">
        <w:rPr>
          <w:rFonts w:ascii="Times New Roman" w:hAnsi="Times New Roman"/>
          <w:sz w:val="24"/>
          <w:szCs w:val="24"/>
        </w:rPr>
        <w:t xml:space="preserve"> </w:t>
      </w:r>
      <w:r w:rsidR="00785994" w:rsidRPr="00FB5A28">
        <w:rPr>
          <w:rFonts w:ascii="Times New Roman" w:hAnsi="Times New Roman"/>
          <w:sz w:val="24"/>
          <w:szCs w:val="24"/>
        </w:rPr>
        <w:t>добити</w:t>
      </w:r>
      <w:r w:rsidRPr="00FB5A28">
        <w:rPr>
          <w:rFonts w:ascii="Times New Roman" w:hAnsi="Times New Roman"/>
          <w:sz w:val="24"/>
          <w:szCs w:val="24"/>
          <w:lang w:val="sr-Cyrl-CS"/>
        </w:rPr>
        <w:t xml:space="preserve"> (д</w:t>
      </w:r>
      <w:r w:rsidR="00785994" w:rsidRPr="00FB5A28">
        <w:rPr>
          <w:rFonts w:ascii="Times New Roman" w:hAnsi="Times New Roman"/>
          <w:sz w:val="24"/>
          <w:szCs w:val="24"/>
        </w:rPr>
        <w:t>ивидендом</w:t>
      </w:r>
      <w:r w:rsidRPr="00FB5A28">
        <w:rPr>
          <w:rFonts w:ascii="Times New Roman" w:hAnsi="Times New Roman"/>
          <w:sz w:val="24"/>
          <w:szCs w:val="24"/>
        </w:rPr>
        <w:t xml:space="preserve"> </w:t>
      </w:r>
      <w:r w:rsidRPr="00FB5A28">
        <w:rPr>
          <w:rFonts w:ascii="Times New Roman" w:hAnsi="Times New Roman"/>
          <w:sz w:val="24"/>
          <w:szCs w:val="24"/>
          <w:lang w:val="sr-Cyrl-CS"/>
        </w:rPr>
        <w:t xml:space="preserve">се </w:t>
      </w:r>
      <w:r w:rsidR="00785994" w:rsidRPr="00FB5A28">
        <w:rPr>
          <w:rFonts w:ascii="Times New Roman" w:hAnsi="Times New Roman"/>
          <w:sz w:val="24"/>
          <w:szCs w:val="24"/>
        </w:rPr>
        <w:t>сматра</w:t>
      </w:r>
      <w:r w:rsidRPr="00FB5A28">
        <w:rPr>
          <w:rFonts w:ascii="Times New Roman" w:hAnsi="Times New Roman"/>
          <w:sz w:val="24"/>
          <w:szCs w:val="24"/>
        </w:rPr>
        <w:t xml:space="preserve">  </w:t>
      </w:r>
      <w:r w:rsidR="00785994" w:rsidRPr="00FB5A28">
        <w:rPr>
          <w:rFonts w:ascii="Times New Roman" w:hAnsi="Times New Roman"/>
          <w:sz w:val="24"/>
          <w:szCs w:val="24"/>
        </w:rPr>
        <w:t>и</w:t>
      </w:r>
      <w:r w:rsidRPr="00FB5A28">
        <w:rPr>
          <w:rFonts w:ascii="Times New Roman" w:hAnsi="Times New Roman"/>
          <w:sz w:val="24"/>
          <w:szCs w:val="24"/>
        </w:rPr>
        <w:t xml:space="preserve"> </w:t>
      </w:r>
      <w:r w:rsidR="00785994" w:rsidRPr="00FB5A28">
        <w:rPr>
          <w:rFonts w:ascii="Times New Roman" w:hAnsi="Times New Roman"/>
          <w:sz w:val="24"/>
          <w:szCs w:val="24"/>
        </w:rPr>
        <w:t>ликвидациони</w:t>
      </w:r>
      <w:r w:rsidRPr="00FB5A28">
        <w:rPr>
          <w:rFonts w:ascii="Times New Roman" w:hAnsi="Times New Roman"/>
          <w:sz w:val="24"/>
          <w:szCs w:val="24"/>
        </w:rPr>
        <w:t xml:space="preserve"> </w:t>
      </w:r>
      <w:r w:rsidR="00785994" w:rsidRPr="00FB5A28">
        <w:rPr>
          <w:rFonts w:ascii="Times New Roman" w:hAnsi="Times New Roman"/>
          <w:sz w:val="24"/>
          <w:szCs w:val="24"/>
        </w:rPr>
        <w:t>остатак</w:t>
      </w:r>
      <w:r w:rsidRPr="00FB5A28">
        <w:rPr>
          <w:rFonts w:ascii="Times New Roman" w:hAnsi="Times New Roman"/>
          <w:sz w:val="24"/>
          <w:szCs w:val="24"/>
        </w:rPr>
        <w:t xml:space="preserve"> </w:t>
      </w:r>
      <w:r w:rsidR="00785994" w:rsidRPr="00FB5A28">
        <w:rPr>
          <w:rFonts w:ascii="Times New Roman" w:hAnsi="Times New Roman"/>
          <w:sz w:val="24"/>
          <w:szCs w:val="24"/>
        </w:rPr>
        <w:t>изнад</w:t>
      </w:r>
      <w:r w:rsidRPr="00FB5A28">
        <w:rPr>
          <w:rFonts w:ascii="Times New Roman" w:hAnsi="Times New Roman"/>
          <w:sz w:val="24"/>
          <w:szCs w:val="24"/>
        </w:rPr>
        <w:t xml:space="preserve"> </w:t>
      </w:r>
      <w:r w:rsidR="00785994" w:rsidRPr="00FB5A28">
        <w:rPr>
          <w:rFonts w:ascii="Times New Roman" w:hAnsi="Times New Roman"/>
          <w:sz w:val="24"/>
          <w:szCs w:val="24"/>
        </w:rPr>
        <w:t>вредности</w:t>
      </w:r>
      <w:r w:rsidRPr="00FB5A28">
        <w:rPr>
          <w:rFonts w:ascii="Times New Roman" w:hAnsi="Times New Roman"/>
          <w:sz w:val="24"/>
          <w:szCs w:val="24"/>
        </w:rPr>
        <w:t xml:space="preserve"> </w:t>
      </w:r>
      <w:r w:rsidR="00785994" w:rsidRPr="00FB5A28">
        <w:rPr>
          <w:rFonts w:ascii="Times New Roman" w:hAnsi="Times New Roman"/>
          <w:sz w:val="24"/>
          <w:szCs w:val="24"/>
        </w:rPr>
        <w:t>уложеног</w:t>
      </w:r>
      <w:r w:rsidRPr="00FB5A28">
        <w:rPr>
          <w:rFonts w:ascii="Times New Roman" w:hAnsi="Times New Roman"/>
          <w:sz w:val="24"/>
          <w:szCs w:val="24"/>
        </w:rPr>
        <w:t xml:space="preserve"> </w:t>
      </w:r>
      <w:r w:rsidR="00785994" w:rsidRPr="00FB5A28">
        <w:rPr>
          <w:rFonts w:ascii="Times New Roman" w:hAnsi="Times New Roman"/>
          <w:sz w:val="24"/>
          <w:szCs w:val="24"/>
        </w:rPr>
        <w:t>капитала</w:t>
      </w:r>
      <w:r w:rsidRPr="00FB5A28">
        <w:rPr>
          <w:rFonts w:ascii="Times New Roman" w:hAnsi="Times New Roman"/>
          <w:sz w:val="24"/>
          <w:szCs w:val="24"/>
        </w:rPr>
        <w:t xml:space="preserve"> </w:t>
      </w:r>
      <w:r w:rsidR="00785994" w:rsidRPr="00FB5A28">
        <w:rPr>
          <w:rFonts w:ascii="Times New Roman" w:hAnsi="Times New Roman"/>
          <w:sz w:val="24"/>
          <w:szCs w:val="24"/>
        </w:rPr>
        <w:t>утврђен</w:t>
      </w:r>
      <w:r w:rsidRPr="00FB5A28">
        <w:rPr>
          <w:rFonts w:ascii="Times New Roman" w:hAnsi="Times New Roman"/>
          <w:sz w:val="24"/>
          <w:szCs w:val="24"/>
        </w:rPr>
        <w:t xml:space="preserve"> </w:t>
      </w:r>
      <w:r w:rsidR="00785994" w:rsidRPr="00FB5A28">
        <w:rPr>
          <w:rFonts w:ascii="Times New Roman" w:hAnsi="Times New Roman"/>
          <w:sz w:val="24"/>
          <w:szCs w:val="24"/>
        </w:rPr>
        <w:t>у</w:t>
      </w:r>
      <w:r w:rsidRPr="00FB5A28">
        <w:rPr>
          <w:rFonts w:ascii="Times New Roman" w:hAnsi="Times New Roman"/>
          <w:sz w:val="24"/>
          <w:szCs w:val="24"/>
        </w:rPr>
        <w:t xml:space="preserve"> </w:t>
      </w:r>
      <w:r w:rsidR="00785994" w:rsidRPr="00FB5A28">
        <w:rPr>
          <w:rFonts w:ascii="Times New Roman" w:hAnsi="Times New Roman"/>
          <w:sz w:val="24"/>
          <w:szCs w:val="24"/>
        </w:rPr>
        <w:t>складу</w:t>
      </w:r>
      <w:r w:rsidRPr="00FB5A28">
        <w:rPr>
          <w:rFonts w:ascii="Times New Roman" w:hAnsi="Times New Roman"/>
          <w:sz w:val="24"/>
          <w:szCs w:val="24"/>
        </w:rPr>
        <w:t xml:space="preserve"> </w:t>
      </w:r>
      <w:r w:rsidR="00785994" w:rsidRPr="00FB5A28">
        <w:rPr>
          <w:rFonts w:ascii="Times New Roman" w:hAnsi="Times New Roman"/>
          <w:sz w:val="24"/>
          <w:szCs w:val="24"/>
        </w:rPr>
        <w:t>са</w:t>
      </w:r>
      <w:r w:rsidRPr="00FB5A28">
        <w:rPr>
          <w:rFonts w:ascii="Times New Roman" w:hAnsi="Times New Roman"/>
          <w:sz w:val="24"/>
          <w:szCs w:val="24"/>
        </w:rPr>
        <w:t xml:space="preserve"> </w:t>
      </w:r>
      <w:r w:rsidR="00785994" w:rsidRPr="00FB5A28">
        <w:rPr>
          <w:rFonts w:ascii="Times New Roman" w:hAnsi="Times New Roman"/>
          <w:sz w:val="24"/>
          <w:szCs w:val="24"/>
        </w:rPr>
        <w:t>законом</w:t>
      </w:r>
      <w:r w:rsidRPr="00FB5A28">
        <w:rPr>
          <w:rFonts w:ascii="Times New Roman" w:hAnsi="Times New Roman"/>
          <w:sz w:val="24"/>
          <w:szCs w:val="24"/>
        </w:rPr>
        <w:t xml:space="preserve"> </w:t>
      </w:r>
      <w:r w:rsidR="00785994" w:rsidRPr="00FB5A28">
        <w:rPr>
          <w:rFonts w:ascii="Times New Roman" w:hAnsi="Times New Roman"/>
          <w:sz w:val="24"/>
          <w:szCs w:val="24"/>
        </w:rPr>
        <w:t>који</w:t>
      </w:r>
      <w:r w:rsidRPr="00FB5A28">
        <w:rPr>
          <w:rFonts w:ascii="Times New Roman" w:hAnsi="Times New Roman"/>
          <w:sz w:val="24"/>
          <w:szCs w:val="24"/>
        </w:rPr>
        <w:t xml:space="preserve"> </w:t>
      </w:r>
      <w:r w:rsidR="00785994" w:rsidRPr="00FB5A28">
        <w:rPr>
          <w:rFonts w:ascii="Times New Roman" w:hAnsi="Times New Roman"/>
          <w:sz w:val="24"/>
          <w:szCs w:val="24"/>
        </w:rPr>
        <w:t>уређује</w:t>
      </w:r>
      <w:r w:rsidRPr="00FB5A28">
        <w:rPr>
          <w:rFonts w:ascii="Times New Roman" w:hAnsi="Times New Roman"/>
          <w:sz w:val="24"/>
          <w:szCs w:val="24"/>
        </w:rPr>
        <w:t xml:space="preserve"> </w:t>
      </w:r>
      <w:r w:rsidR="00785994" w:rsidRPr="00FB5A28">
        <w:rPr>
          <w:rFonts w:ascii="Times New Roman" w:hAnsi="Times New Roman"/>
          <w:sz w:val="24"/>
          <w:szCs w:val="24"/>
        </w:rPr>
        <w:t>опорезивање</w:t>
      </w:r>
      <w:r w:rsidRPr="00FB5A28">
        <w:rPr>
          <w:rFonts w:ascii="Times New Roman" w:hAnsi="Times New Roman"/>
          <w:sz w:val="24"/>
          <w:szCs w:val="24"/>
        </w:rPr>
        <w:t xml:space="preserve"> </w:t>
      </w:r>
      <w:r w:rsidR="00785994" w:rsidRPr="00FB5A28">
        <w:rPr>
          <w:rFonts w:ascii="Times New Roman" w:hAnsi="Times New Roman"/>
          <w:sz w:val="24"/>
          <w:szCs w:val="24"/>
        </w:rPr>
        <w:t>добити</w:t>
      </w:r>
      <w:r w:rsidRPr="00FB5A28">
        <w:rPr>
          <w:rFonts w:ascii="Times New Roman" w:hAnsi="Times New Roman"/>
          <w:sz w:val="24"/>
          <w:szCs w:val="24"/>
        </w:rPr>
        <w:t xml:space="preserve"> </w:t>
      </w:r>
      <w:r w:rsidR="00785994" w:rsidRPr="00FB5A28">
        <w:rPr>
          <w:rFonts w:ascii="Times New Roman" w:hAnsi="Times New Roman"/>
          <w:sz w:val="24"/>
          <w:szCs w:val="24"/>
        </w:rPr>
        <w:t>правних</w:t>
      </w:r>
      <w:r w:rsidRPr="00FB5A28">
        <w:rPr>
          <w:rFonts w:ascii="Times New Roman" w:hAnsi="Times New Roman"/>
          <w:sz w:val="24"/>
          <w:szCs w:val="24"/>
        </w:rPr>
        <w:t xml:space="preserve"> </w:t>
      </w:r>
      <w:r w:rsidR="00785994" w:rsidRPr="00FB5A28">
        <w:rPr>
          <w:rFonts w:ascii="Times New Roman" w:hAnsi="Times New Roman"/>
          <w:sz w:val="24"/>
          <w:szCs w:val="24"/>
        </w:rPr>
        <w:t>лица</w:t>
      </w:r>
      <w:r w:rsidRPr="00FB5A28">
        <w:rPr>
          <w:rFonts w:ascii="Times New Roman" w:hAnsi="Times New Roman"/>
          <w:sz w:val="24"/>
          <w:szCs w:val="24"/>
          <w:lang w:val="sr-Cyrl-CS"/>
        </w:rPr>
        <w:t>);</w:t>
      </w:r>
    </w:p>
    <w:p w:rsidR="008D574A" w:rsidRPr="00FB5A28" w:rsidRDefault="008D574A" w:rsidP="00FB5A28">
      <w:pPr>
        <w:jc w:val="both"/>
        <w:rPr>
          <w:rFonts w:ascii="Times New Roman" w:hAnsi="Times New Roman"/>
          <w:sz w:val="24"/>
          <w:szCs w:val="24"/>
        </w:rPr>
      </w:pPr>
      <w:r w:rsidRPr="00FB5A28">
        <w:rPr>
          <w:rFonts w:ascii="Times New Roman" w:hAnsi="Times New Roman"/>
          <w:sz w:val="24"/>
          <w:szCs w:val="24"/>
        </w:rPr>
        <w:t xml:space="preserve">3) </w:t>
      </w:r>
      <w:r w:rsidR="00785994" w:rsidRPr="00FB5A28">
        <w:rPr>
          <w:rFonts w:ascii="Times New Roman" w:hAnsi="Times New Roman"/>
          <w:sz w:val="24"/>
          <w:szCs w:val="24"/>
        </w:rPr>
        <w:t>принос</w:t>
      </w:r>
      <w:r w:rsidRPr="00FB5A28">
        <w:rPr>
          <w:rFonts w:ascii="Times New Roman" w:hAnsi="Times New Roman"/>
          <w:sz w:val="24"/>
          <w:szCs w:val="24"/>
        </w:rPr>
        <w:t xml:space="preserve"> </w:t>
      </w:r>
      <w:r w:rsidR="00785994" w:rsidRPr="00FB5A28">
        <w:rPr>
          <w:rFonts w:ascii="Times New Roman" w:hAnsi="Times New Roman"/>
          <w:sz w:val="24"/>
          <w:szCs w:val="24"/>
        </w:rPr>
        <w:t>од</w:t>
      </w:r>
      <w:r w:rsidRPr="00FB5A28">
        <w:rPr>
          <w:rFonts w:ascii="Times New Roman" w:hAnsi="Times New Roman"/>
          <w:sz w:val="24"/>
          <w:szCs w:val="24"/>
        </w:rPr>
        <w:t xml:space="preserve"> </w:t>
      </w:r>
      <w:r w:rsidR="00785994" w:rsidRPr="00FB5A28">
        <w:rPr>
          <w:rFonts w:ascii="Times New Roman" w:hAnsi="Times New Roman"/>
          <w:sz w:val="24"/>
          <w:szCs w:val="24"/>
        </w:rPr>
        <w:t>инвестиционе</w:t>
      </w:r>
      <w:r w:rsidRPr="00FB5A28">
        <w:rPr>
          <w:rFonts w:ascii="Times New Roman" w:hAnsi="Times New Roman"/>
          <w:sz w:val="24"/>
          <w:szCs w:val="24"/>
        </w:rPr>
        <w:t xml:space="preserve"> </w:t>
      </w:r>
      <w:r w:rsidR="00785994" w:rsidRPr="00FB5A28">
        <w:rPr>
          <w:rFonts w:ascii="Times New Roman" w:hAnsi="Times New Roman"/>
          <w:sz w:val="24"/>
          <w:szCs w:val="24"/>
        </w:rPr>
        <w:t>јединице</w:t>
      </w:r>
      <w:r w:rsidRPr="00FB5A28">
        <w:rPr>
          <w:rFonts w:ascii="Times New Roman" w:hAnsi="Times New Roman"/>
          <w:sz w:val="24"/>
          <w:szCs w:val="24"/>
        </w:rPr>
        <w:t xml:space="preserve"> </w:t>
      </w:r>
      <w:r w:rsidR="00785994" w:rsidRPr="00FB5A28">
        <w:rPr>
          <w:rFonts w:ascii="Times New Roman" w:hAnsi="Times New Roman"/>
          <w:sz w:val="24"/>
          <w:szCs w:val="24"/>
        </w:rPr>
        <w:t>отвореног</w:t>
      </w:r>
      <w:r w:rsidRPr="00FB5A28">
        <w:rPr>
          <w:rFonts w:ascii="Times New Roman" w:hAnsi="Times New Roman"/>
          <w:sz w:val="24"/>
          <w:szCs w:val="24"/>
        </w:rPr>
        <w:t xml:space="preserve"> </w:t>
      </w:r>
      <w:r w:rsidR="00785994" w:rsidRPr="00FB5A28">
        <w:rPr>
          <w:rFonts w:ascii="Times New Roman" w:hAnsi="Times New Roman"/>
          <w:sz w:val="24"/>
          <w:szCs w:val="24"/>
        </w:rPr>
        <w:t>инвестиционог</w:t>
      </w:r>
      <w:r w:rsidRPr="00FB5A28">
        <w:rPr>
          <w:rFonts w:ascii="Times New Roman" w:hAnsi="Times New Roman"/>
          <w:sz w:val="24"/>
          <w:szCs w:val="24"/>
        </w:rPr>
        <w:t xml:space="preserve"> </w:t>
      </w:r>
      <w:r w:rsidR="00785994" w:rsidRPr="00FB5A28">
        <w:rPr>
          <w:rFonts w:ascii="Times New Roman" w:hAnsi="Times New Roman"/>
          <w:sz w:val="24"/>
          <w:szCs w:val="24"/>
        </w:rPr>
        <w:t>фонда</w:t>
      </w:r>
      <w:r w:rsidRPr="00FB5A28">
        <w:rPr>
          <w:rFonts w:ascii="Times New Roman" w:hAnsi="Times New Roman"/>
          <w:sz w:val="24"/>
          <w:szCs w:val="24"/>
        </w:rPr>
        <w:t>;</w:t>
      </w:r>
    </w:p>
    <w:p w:rsidR="00F36E79" w:rsidRPr="00FB5A28" w:rsidRDefault="008D574A" w:rsidP="00FB5A28">
      <w:pPr>
        <w:jc w:val="both"/>
        <w:rPr>
          <w:rFonts w:ascii="Times New Roman" w:hAnsi="Times New Roman"/>
          <w:sz w:val="24"/>
          <w:szCs w:val="24"/>
          <w:lang w:val="sr-Cyrl-CS"/>
        </w:rPr>
      </w:pPr>
      <w:r w:rsidRPr="00FB5A28">
        <w:rPr>
          <w:rFonts w:ascii="Times New Roman" w:hAnsi="Times New Roman"/>
          <w:sz w:val="24"/>
          <w:szCs w:val="24"/>
        </w:rPr>
        <w:t xml:space="preserve">4) </w:t>
      </w:r>
      <w:r w:rsidR="00785994" w:rsidRPr="00FB5A28">
        <w:rPr>
          <w:rFonts w:ascii="Times New Roman" w:hAnsi="Times New Roman"/>
          <w:sz w:val="24"/>
          <w:szCs w:val="24"/>
        </w:rPr>
        <w:t>приход</w:t>
      </w:r>
      <w:r w:rsidRPr="00FB5A28">
        <w:rPr>
          <w:rFonts w:ascii="Times New Roman" w:hAnsi="Times New Roman"/>
          <w:sz w:val="24"/>
          <w:szCs w:val="24"/>
        </w:rPr>
        <w:t xml:space="preserve"> </w:t>
      </w:r>
      <w:r w:rsidR="00785994" w:rsidRPr="00FB5A28">
        <w:rPr>
          <w:rFonts w:ascii="Times New Roman" w:hAnsi="Times New Roman"/>
          <w:sz w:val="24"/>
          <w:szCs w:val="24"/>
        </w:rPr>
        <w:t>од</w:t>
      </w:r>
      <w:r w:rsidRPr="00FB5A28">
        <w:rPr>
          <w:rFonts w:ascii="Times New Roman" w:hAnsi="Times New Roman"/>
          <w:sz w:val="24"/>
          <w:szCs w:val="24"/>
        </w:rPr>
        <w:t xml:space="preserve"> </w:t>
      </w:r>
      <w:r w:rsidR="00785994" w:rsidRPr="00FB5A28">
        <w:rPr>
          <w:rFonts w:ascii="Times New Roman" w:hAnsi="Times New Roman"/>
          <w:sz w:val="24"/>
          <w:szCs w:val="24"/>
        </w:rPr>
        <w:t>издавања</w:t>
      </w:r>
      <w:r w:rsidRPr="00FB5A28">
        <w:rPr>
          <w:rFonts w:ascii="Times New Roman" w:hAnsi="Times New Roman"/>
          <w:sz w:val="24"/>
          <w:szCs w:val="24"/>
        </w:rPr>
        <w:t xml:space="preserve"> </w:t>
      </w:r>
      <w:r w:rsidR="00785994" w:rsidRPr="00FB5A28">
        <w:rPr>
          <w:rFonts w:ascii="Times New Roman" w:hAnsi="Times New Roman"/>
          <w:sz w:val="24"/>
          <w:szCs w:val="24"/>
        </w:rPr>
        <w:t>сопствених</w:t>
      </w:r>
      <w:r w:rsidRPr="00FB5A28">
        <w:rPr>
          <w:rFonts w:ascii="Times New Roman" w:hAnsi="Times New Roman"/>
          <w:sz w:val="24"/>
          <w:szCs w:val="24"/>
        </w:rPr>
        <w:t xml:space="preserve"> </w:t>
      </w:r>
      <w:r w:rsidR="00785994" w:rsidRPr="00FB5A28">
        <w:rPr>
          <w:rFonts w:ascii="Times New Roman" w:hAnsi="Times New Roman"/>
          <w:sz w:val="24"/>
          <w:szCs w:val="24"/>
        </w:rPr>
        <w:t>непокретности</w:t>
      </w:r>
      <w:r w:rsidR="00683DF2" w:rsidRPr="00FB5A28">
        <w:rPr>
          <w:rFonts w:ascii="Times New Roman" w:hAnsi="Times New Roman"/>
          <w:sz w:val="24"/>
          <w:szCs w:val="24"/>
          <w:lang w:val="sr-Cyrl-CS"/>
        </w:rPr>
        <w:t xml:space="preserve"> (</w:t>
      </w:r>
      <w:r w:rsidR="00785994" w:rsidRPr="00FB5A28">
        <w:rPr>
          <w:rFonts w:ascii="Times New Roman" w:hAnsi="Times New Roman"/>
          <w:sz w:val="24"/>
          <w:szCs w:val="24"/>
        </w:rPr>
        <w:t>закупнина</w:t>
      </w:r>
      <w:r w:rsidRPr="00FB5A28">
        <w:rPr>
          <w:rFonts w:ascii="Times New Roman" w:hAnsi="Times New Roman"/>
          <w:sz w:val="24"/>
          <w:szCs w:val="24"/>
        </w:rPr>
        <w:t xml:space="preserve"> </w:t>
      </w:r>
      <w:r w:rsidR="00785994" w:rsidRPr="00FB5A28">
        <w:rPr>
          <w:rFonts w:ascii="Times New Roman" w:hAnsi="Times New Roman"/>
          <w:sz w:val="24"/>
          <w:szCs w:val="24"/>
        </w:rPr>
        <w:t>у</w:t>
      </w:r>
      <w:r w:rsidRPr="00FB5A28">
        <w:rPr>
          <w:rFonts w:ascii="Times New Roman" w:hAnsi="Times New Roman"/>
          <w:sz w:val="24"/>
          <w:szCs w:val="24"/>
        </w:rPr>
        <w:t xml:space="preserve"> </w:t>
      </w:r>
      <w:r w:rsidR="00785994" w:rsidRPr="00FB5A28">
        <w:rPr>
          <w:rFonts w:ascii="Times New Roman" w:hAnsi="Times New Roman"/>
          <w:sz w:val="24"/>
          <w:szCs w:val="24"/>
        </w:rPr>
        <w:t>коју</w:t>
      </w:r>
      <w:r w:rsidRPr="00FB5A28">
        <w:rPr>
          <w:rFonts w:ascii="Times New Roman" w:hAnsi="Times New Roman"/>
          <w:sz w:val="24"/>
          <w:szCs w:val="24"/>
        </w:rPr>
        <w:t xml:space="preserve"> </w:t>
      </w:r>
      <w:r w:rsidR="00785994" w:rsidRPr="00FB5A28">
        <w:rPr>
          <w:rFonts w:ascii="Times New Roman" w:hAnsi="Times New Roman"/>
          <w:sz w:val="24"/>
          <w:szCs w:val="24"/>
        </w:rPr>
        <w:t>се</w:t>
      </w:r>
      <w:r w:rsidRPr="00FB5A28">
        <w:rPr>
          <w:rFonts w:ascii="Times New Roman" w:hAnsi="Times New Roman"/>
          <w:sz w:val="24"/>
          <w:szCs w:val="24"/>
        </w:rPr>
        <w:t xml:space="preserve"> </w:t>
      </w:r>
      <w:r w:rsidR="00785994" w:rsidRPr="00FB5A28">
        <w:rPr>
          <w:rFonts w:ascii="Times New Roman" w:hAnsi="Times New Roman"/>
          <w:sz w:val="24"/>
          <w:szCs w:val="24"/>
        </w:rPr>
        <w:t>урачунава</w:t>
      </w:r>
      <w:r w:rsidRPr="00FB5A28">
        <w:rPr>
          <w:rFonts w:ascii="Times New Roman" w:hAnsi="Times New Roman"/>
          <w:sz w:val="24"/>
          <w:szCs w:val="24"/>
        </w:rPr>
        <w:t xml:space="preserve"> </w:t>
      </w:r>
      <w:r w:rsidR="00785994" w:rsidRPr="00FB5A28">
        <w:rPr>
          <w:rFonts w:ascii="Times New Roman" w:hAnsi="Times New Roman"/>
          <w:sz w:val="24"/>
          <w:szCs w:val="24"/>
        </w:rPr>
        <w:t>и</w:t>
      </w:r>
      <w:r w:rsidRPr="00FB5A28">
        <w:rPr>
          <w:rFonts w:ascii="Times New Roman" w:hAnsi="Times New Roman"/>
          <w:sz w:val="24"/>
          <w:szCs w:val="24"/>
        </w:rPr>
        <w:t xml:space="preserve"> </w:t>
      </w:r>
      <w:r w:rsidR="00785994" w:rsidRPr="00FB5A28">
        <w:rPr>
          <w:rFonts w:ascii="Times New Roman" w:hAnsi="Times New Roman"/>
          <w:sz w:val="24"/>
          <w:szCs w:val="24"/>
        </w:rPr>
        <w:t>вредност</w:t>
      </w:r>
      <w:r w:rsidRPr="00FB5A28">
        <w:rPr>
          <w:rFonts w:ascii="Times New Roman" w:hAnsi="Times New Roman"/>
          <w:sz w:val="24"/>
          <w:szCs w:val="24"/>
        </w:rPr>
        <w:t xml:space="preserve"> </w:t>
      </w:r>
      <w:r w:rsidR="00785994" w:rsidRPr="00FB5A28">
        <w:rPr>
          <w:rFonts w:ascii="Times New Roman" w:hAnsi="Times New Roman"/>
          <w:sz w:val="24"/>
          <w:szCs w:val="24"/>
        </w:rPr>
        <w:t>свих</w:t>
      </w:r>
      <w:r w:rsidRPr="00FB5A28">
        <w:rPr>
          <w:rFonts w:ascii="Times New Roman" w:hAnsi="Times New Roman"/>
          <w:sz w:val="24"/>
          <w:szCs w:val="24"/>
        </w:rPr>
        <w:t xml:space="preserve"> </w:t>
      </w:r>
      <w:r w:rsidR="00785994" w:rsidRPr="00FB5A28">
        <w:rPr>
          <w:rFonts w:ascii="Times New Roman" w:hAnsi="Times New Roman"/>
          <w:sz w:val="24"/>
          <w:szCs w:val="24"/>
        </w:rPr>
        <w:t>извршених</w:t>
      </w:r>
      <w:r w:rsidRPr="00FB5A28">
        <w:rPr>
          <w:rFonts w:ascii="Times New Roman" w:hAnsi="Times New Roman"/>
          <w:sz w:val="24"/>
          <w:szCs w:val="24"/>
        </w:rPr>
        <w:t xml:space="preserve"> </w:t>
      </w:r>
      <w:r w:rsidR="00785994" w:rsidRPr="00FB5A28">
        <w:rPr>
          <w:rFonts w:ascii="Times New Roman" w:hAnsi="Times New Roman"/>
          <w:sz w:val="24"/>
          <w:szCs w:val="24"/>
        </w:rPr>
        <w:t>обавеза</w:t>
      </w:r>
      <w:r w:rsidRPr="00FB5A28">
        <w:rPr>
          <w:rFonts w:ascii="Times New Roman" w:hAnsi="Times New Roman"/>
          <w:sz w:val="24"/>
          <w:szCs w:val="24"/>
        </w:rPr>
        <w:t xml:space="preserve"> </w:t>
      </w:r>
      <w:r w:rsidR="00785994" w:rsidRPr="00FB5A28">
        <w:rPr>
          <w:rFonts w:ascii="Times New Roman" w:hAnsi="Times New Roman"/>
          <w:sz w:val="24"/>
          <w:szCs w:val="24"/>
        </w:rPr>
        <w:t>и</w:t>
      </w:r>
      <w:r w:rsidRPr="00FB5A28">
        <w:rPr>
          <w:rFonts w:ascii="Times New Roman" w:hAnsi="Times New Roman"/>
          <w:sz w:val="24"/>
          <w:szCs w:val="24"/>
        </w:rPr>
        <w:t xml:space="preserve"> </w:t>
      </w:r>
      <w:r w:rsidR="00785994" w:rsidRPr="00FB5A28">
        <w:rPr>
          <w:rFonts w:ascii="Times New Roman" w:hAnsi="Times New Roman"/>
          <w:sz w:val="24"/>
          <w:szCs w:val="24"/>
        </w:rPr>
        <w:t>услуга</w:t>
      </w:r>
      <w:r w:rsidRPr="00FB5A28">
        <w:rPr>
          <w:rFonts w:ascii="Times New Roman" w:hAnsi="Times New Roman"/>
          <w:sz w:val="24"/>
          <w:szCs w:val="24"/>
        </w:rPr>
        <w:t xml:space="preserve"> </w:t>
      </w:r>
      <w:r w:rsidR="00785994" w:rsidRPr="00FB5A28">
        <w:rPr>
          <w:rFonts w:ascii="Times New Roman" w:hAnsi="Times New Roman"/>
          <w:sz w:val="24"/>
          <w:szCs w:val="24"/>
        </w:rPr>
        <w:t>на</w:t>
      </w:r>
      <w:r w:rsidRPr="00FB5A28">
        <w:rPr>
          <w:rFonts w:ascii="Times New Roman" w:hAnsi="Times New Roman"/>
          <w:sz w:val="24"/>
          <w:szCs w:val="24"/>
        </w:rPr>
        <w:t xml:space="preserve"> </w:t>
      </w:r>
      <w:r w:rsidR="00785994" w:rsidRPr="00FB5A28">
        <w:rPr>
          <w:rFonts w:ascii="Times New Roman" w:hAnsi="Times New Roman"/>
          <w:sz w:val="24"/>
          <w:szCs w:val="24"/>
        </w:rPr>
        <w:t>које</w:t>
      </w:r>
      <w:r w:rsidRPr="00FB5A28">
        <w:rPr>
          <w:rFonts w:ascii="Times New Roman" w:hAnsi="Times New Roman"/>
          <w:sz w:val="24"/>
          <w:szCs w:val="24"/>
        </w:rPr>
        <w:t xml:space="preserve"> </w:t>
      </w:r>
      <w:r w:rsidR="00785994" w:rsidRPr="00FB5A28">
        <w:rPr>
          <w:rFonts w:ascii="Times New Roman" w:hAnsi="Times New Roman"/>
          <w:sz w:val="24"/>
          <w:szCs w:val="24"/>
        </w:rPr>
        <w:t>се</w:t>
      </w:r>
      <w:r w:rsidRPr="00FB5A28">
        <w:rPr>
          <w:rFonts w:ascii="Times New Roman" w:hAnsi="Times New Roman"/>
          <w:sz w:val="24"/>
          <w:szCs w:val="24"/>
        </w:rPr>
        <w:t xml:space="preserve"> </w:t>
      </w:r>
      <w:r w:rsidR="00785994" w:rsidRPr="00FB5A28">
        <w:rPr>
          <w:rFonts w:ascii="Times New Roman" w:hAnsi="Times New Roman"/>
          <w:sz w:val="24"/>
          <w:szCs w:val="24"/>
        </w:rPr>
        <w:t>обавезао</w:t>
      </w:r>
      <w:r w:rsidRPr="00FB5A28">
        <w:rPr>
          <w:rFonts w:ascii="Times New Roman" w:hAnsi="Times New Roman"/>
          <w:sz w:val="24"/>
          <w:szCs w:val="24"/>
        </w:rPr>
        <w:t xml:space="preserve"> </w:t>
      </w:r>
      <w:r w:rsidR="00785994" w:rsidRPr="00FB5A28">
        <w:rPr>
          <w:rFonts w:ascii="Times New Roman" w:hAnsi="Times New Roman"/>
          <w:sz w:val="24"/>
          <w:szCs w:val="24"/>
        </w:rPr>
        <w:t>закупац</w:t>
      </w:r>
      <w:r w:rsidRPr="00FB5A28">
        <w:rPr>
          <w:rFonts w:ascii="Times New Roman" w:hAnsi="Times New Roman"/>
          <w:sz w:val="24"/>
          <w:szCs w:val="24"/>
        </w:rPr>
        <w:t xml:space="preserve">, </w:t>
      </w:r>
      <w:r w:rsidR="00785994" w:rsidRPr="00FB5A28">
        <w:rPr>
          <w:rFonts w:ascii="Times New Roman" w:hAnsi="Times New Roman"/>
          <w:sz w:val="24"/>
          <w:szCs w:val="24"/>
        </w:rPr>
        <w:t>осим</w:t>
      </w:r>
      <w:r w:rsidRPr="00FB5A28">
        <w:rPr>
          <w:rFonts w:ascii="Times New Roman" w:hAnsi="Times New Roman"/>
          <w:sz w:val="24"/>
          <w:szCs w:val="24"/>
        </w:rPr>
        <w:t xml:space="preserve"> </w:t>
      </w:r>
      <w:r w:rsidR="00785994" w:rsidRPr="00FB5A28">
        <w:rPr>
          <w:rFonts w:ascii="Times New Roman" w:hAnsi="Times New Roman"/>
          <w:sz w:val="24"/>
          <w:szCs w:val="24"/>
        </w:rPr>
        <w:t>обавеза</w:t>
      </w:r>
      <w:r w:rsidRPr="00FB5A28">
        <w:rPr>
          <w:rFonts w:ascii="Times New Roman" w:hAnsi="Times New Roman"/>
          <w:sz w:val="24"/>
          <w:szCs w:val="24"/>
        </w:rPr>
        <w:t xml:space="preserve"> </w:t>
      </w:r>
      <w:r w:rsidR="00785994" w:rsidRPr="00FB5A28">
        <w:rPr>
          <w:rFonts w:ascii="Times New Roman" w:hAnsi="Times New Roman"/>
          <w:sz w:val="24"/>
          <w:szCs w:val="24"/>
        </w:rPr>
        <w:t>плаћања</w:t>
      </w:r>
      <w:r w:rsidRPr="00FB5A28">
        <w:rPr>
          <w:rFonts w:ascii="Times New Roman" w:hAnsi="Times New Roman"/>
          <w:sz w:val="24"/>
          <w:szCs w:val="24"/>
        </w:rPr>
        <w:t xml:space="preserve"> </w:t>
      </w:r>
      <w:r w:rsidR="00785994" w:rsidRPr="00FB5A28">
        <w:rPr>
          <w:rFonts w:ascii="Times New Roman" w:hAnsi="Times New Roman"/>
          <w:sz w:val="24"/>
          <w:szCs w:val="24"/>
        </w:rPr>
        <w:t>трошкова</w:t>
      </w:r>
      <w:r w:rsidRPr="00FB5A28">
        <w:rPr>
          <w:rFonts w:ascii="Times New Roman" w:hAnsi="Times New Roman"/>
          <w:sz w:val="24"/>
          <w:szCs w:val="24"/>
        </w:rPr>
        <w:t xml:space="preserve"> </w:t>
      </w:r>
      <w:r w:rsidR="00785994" w:rsidRPr="00FB5A28">
        <w:rPr>
          <w:rFonts w:ascii="Times New Roman" w:hAnsi="Times New Roman"/>
          <w:sz w:val="24"/>
          <w:szCs w:val="24"/>
        </w:rPr>
        <w:t>насталих</w:t>
      </w:r>
      <w:r w:rsidRPr="00FB5A28">
        <w:rPr>
          <w:rFonts w:ascii="Times New Roman" w:hAnsi="Times New Roman"/>
          <w:sz w:val="24"/>
          <w:szCs w:val="24"/>
        </w:rPr>
        <w:t xml:space="preserve"> </w:t>
      </w:r>
      <w:r w:rsidR="00785994" w:rsidRPr="00FB5A28">
        <w:rPr>
          <w:rFonts w:ascii="Times New Roman" w:hAnsi="Times New Roman"/>
          <w:sz w:val="24"/>
          <w:szCs w:val="24"/>
        </w:rPr>
        <w:t>током</w:t>
      </w:r>
      <w:r w:rsidRPr="00FB5A28">
        <w:rPr>
          <w:rFonts w:ascii="Times New Roman" w:hAnsi="Times New Roman"/>
          <w:sz w:val="24"/>
          <w:szCs w:val="24"/>
        </w:rPr>
        <w:t xml:space="preserve"> </w:t>
      </w:r>
      <w:r w:rsidR="00785994" w:rsidRPr="00FB5A28">
        <w:rPr>
          <w:rFonts w:ascii="Times New Roman" w:hAnsi="Times New Roman"/>
          <w:sz w:val="24"/>
          <w:szCs w:val="24"/>
        </w:rPr>
        <w:t>закупа</w:t>
      </w:r>
      <w:r w:rsidRPr="00FB5A28">
        <w:rPr>
          <w:rFonts w:ascii="Times New Roman" w:hAnsi="Times New Roman"/>
          <w:sz w:val="24"/>
          <w:szCs w:val="24"/>
        </w:rPr>
        <w:t xml:space="preserve"> </w:t>
      </w:r>
      <w:r w:rsidR="00785994" w:rsidRPr="00FB5A28">
        <w:rPr>
          <w:rFonts w:ascii="Times New Roman" w:hAnsi="Times New Roman"/>
          <w:sz w:val="24"/>
          <w:szCs w:val="24"/>
        </w:rPr>
        <w:t>а</w:t>
      </w:r>
      <w:r w:rsidRPr="00FB5A28">
        <w:rPr>
          <w:rFonts w:ascii="Times New Roman" w:hAnsi="Times New Roman"/>
          <w:sz w:val="24"/>
          <w:szCs w:val="24"/>
        </w:rPr>
        <w:t xml:space="preserve"> </w:t>
      </w:r>
      <w:r w:rsidR="00785994" w:rsidRPr="00FB5A28">
        <w:rPr>
          <w:rFonts w:ascii="Times New Roman" w:hAnsi="Times New Roman"/>
          <w:sz w:val="24"/>
          <w:szCs w:val="24"/>
        </w:rPr>
        <w:t>који</w:t>
      </w:r>
      <w:r w:rsidRPr="00FB5A28">
        <w:rPr>
          <w:rFonts w:ascii="Times New Roman" w:hAnsi="Times New Roman"/>
          <w:sz w:val="24"/>
          <w:szCs w:val="24"/>
        </w:rPr>
        <w:t xml:space="preserve"> </w:t>
      </w:r>
      <w:r w:rsidR="00785994" w:rsidRPr="00FB5A28">
        <w:rPr>
          <w:rFonts w:ascii="Times New Roman" w:hAnsi="Times New Roman"/>
          <w:sz w:val="24"/>
          <w:szCs w:val="24"/>
        </w:rPr>
        <w:t>зависе</w:t>
      </w:r>
      <w:r w:rsidR="00683DF2" w:rsidRPr="00FB5A28">
        <w:rPr>
          <w:rFonts w:ascii="Times New Roman" w:hAnsi="Times New Roman"/>
          <w:sz w:val="24"/>
          <w:szCs w:val="24"/>
        </w:rPr>
        <w:t xml:space="preserve"> </w:t>
      </w:r>
      <w:r w:rsidR="00785994" w:rsidRPr="00FB5A28">
        <w:rPr>
          <w:rFonts w:ascii="Times New Roman" w:hAnsi="Times New Roman"/>
          <w:sz w:val="24"/>
          <w:szCs w:val="24"/>
        </w:rPr>
        <w:t>од</w:t>
      </w:r>
      <w:r w:rsidR="00683DF2" w:rsidRPr="00FB5A28">
        <w:rPr>
          <w:rFonts w:ascii="Times New Roman" w:hAnsi="Times New Roman"/>
          <w:sz w:val="24"/>
          <w:szCs w:val="24"/>
        </w:rPr>
        <w:t xml:space="preserve"> </w:t>
      </w:r>
      <w:r w:rsidR="00785994" w:rsidRPr="00FB5A28">
        <w:rPr>
          <w:rFonts w:ascii="Times New Roman" w:hAnsi="Times New Roman"/>
          <w:sz w:val="24"/>
          <w:szCs w:val="24"/>
        </w:rPr>
        <w:t>обима</w:t>
      </w:r>
      <w:r w:rsidR="00683DF2" w:rsidRPr="00FB5A28">
        <w:rPr>
          <w:rFonts w:ascii="Times New Roman" w:hAnsi="Times New Roman"/>
          <w:sz w:val="24"/>
          <w:szCs w:val="24"/>
        </w:rPr>
        <w:t xml:space="preserve"> </w:t>
      </w:r>
      <w:r w:rsidR="00785994" w:rsidRPr="00FB5A28">
        <w:rPr>
          <w:rFonts w:ascii="Times New Roman" w:hAnsi="Times New Roman"/>
          <w:sz w:val="24"/>
          <w:szCs w:val="24"/>
        </w:rPr>
        <w:t>потрошње</w:t>
      </w:r>
      <w:r w:rsidR="00683DF2" w:rsidRPr="00FB5A28">
        <w:rPr>
          <w:rFonts w:ascii="Times New Roman" w:hAnsi="Times New Roman"/>
          <w:sz w:val="24"/>
          <w:szCs w:val="24"/>
        </w:rPr>
        <w:t xml:space="preserve"> </w:t>
      </w:r>
      <w:r w:rsidR="00785994" w:rsidRPr="00FB5A28">
        <w:rPr>
          <w:rFonts w:ascii="Times New Roman" w:hAnsi="Times New Roman"/>
          <w:sz w:val="24"/>
          <w:szCs w:val="24"/>
        </w:rPr>
        <w:t>закупца</w:t>
      </w:r>
      <w:r w:rsidR="00683DF2" w:rsidRPr="00FB5A28">
        <w:rPr>
          <w:rFonts w:ascii="Times New Roman" w:hAnsi="Times New Roman"/>
          <w:sz w:val="24"/>
          <w:szCs w:val="24"/>
        </w:rPr>
        <w:t xml:space="preserve"> </w:t>
      </w:r>
      <w:r w:rsidR="00785994" w:rsidRPr="00FB5A28">
        <w:rPr>
          <w:rFonts w:ascii="Times New Roman" w:hAnsi="Times New Roman"/>
          <w:sz w:val="24"/>
          <w:szCs w:val="24"/>
        </w:rPr>
        <w:t>нпр</w:t>
      </w:r>
      <w:r w:rsidRPr="00FB5A28">
        <w:rPr>
          <w:rFonts w:ascii="Times New Roman" w:hAnsi="Times New Roman"/>
          <w:sz w:val="24"/>
          <w:szCs w:val="24"/>
        </w:rPr>
        <w:t xml:space="preserve">. </w:t>
      </w:r>
      <w:r w:rsidR="00785994" w:rsidRPr="00FB5A28">
        <w:rPr>
          <w:rFonts w:ascii="Times New Roman" w:hAnsi="Times New Roman"/>
          <w:sz w:val="24"/>
          <w:szCs w:val="24"/>
        </w:rPr>
        <w:t>електричне</w:t>
      </w:r>
      <w:r w:rsidRPr="00FB5A28">
        <w:rPr>
          <w:rFonts w:ascii="Times New Roman" w:hAnsi="Times New Roman"/>
          <w:sz w:val="24"/>
          <w:szCs w:val="24"/>
        </w:rPr>
        <w:t xml:space="preserve"> </w:t>
      </w:r>
      <w:r w:rsidR="00785994" w:rsidRPr="00FB5A28">
        <w:rPr>
          <w:rFonts w:ascii="Times New Roman" w:hAnsi="Times New Roman"/>
          <w:sz w:val="24"/>
          <w:szCs w:val="24"/>
        </w:rPr>
        <w:t>енергије</w:t>
      </w:r>
      <w:r w:rsidRPr="00FB5A28">
        <w:rPr>
          <w:rFonts w:ascii="Times New Roman" w:hAnsi="Times New Roman"/>
          <w:sz w:val="24"/>
          <w:szCs w:val="24"/>
        </w:rPr>
        <w:t xml:space="preserve">, </w:t>
      </w:r>
      <w:r w:rsidR="00785994" w:rsidRPr="00FB5A28">
        <w:rPr>
          <w:rFonts w:ascii="Times New Roman" w:hAnsi="Times New Roman"/>
          <w:sz w:val="24"/>
          <w:szCs w:val="24"/>
        </w:rPr>
        <w:t>телефона</w:t>
      </w:r>
      <w:r w:rsidRPr="00FB5A28">
        <w:rPr>
          <w:rFonts w:ascii="Times New Roman" w:hAnsi="Times New Roman"/>
          <w:sz w:val="24"/>
          <w:szCs w:val="24"/>
        </w:rPr>
        <w:t xml:space="preserve"> </w:t>
      </w:r>
      <w:r w:rsidR="00785994" w:rsidRPr="00FB5A28">
        <w:rPr>
          <w:rFonts w:ascii="Times New Roman" w:hAnsi="Times New Roman"/>
          <w:sz w:val="24"/>
          <w:szCs w:val="24"/>
        </w:rPr>
        <w:t>и</w:t>
      </w:r>
      <w:r w:rsidRPr="00FB5A28">
        <w:rPr>
          <w:rFonts w:ascii="Times New Roman" w:hAnsi="Times New Roman"/>
          <w:sz w:val="24"/>
          <w:szCs w:val="24"/>
        </w:rPr>
        <w:t xml:space="preserve"> </w:t>
      </w:r>
      <w:r w:rsidR="00785994" w:rsidRPr="00FB5A28">
        <w:rPr>
          <w:rFonts w:ascii="Times New Roman" w:hAnsi="Times New Roman"/>
          <w:sz w:val="24"/>
          <w:szCs w:val="24"/>
        </w:rPr>
        <w:t>слично</w:t>
      </w:r>
      <w:r w:rsidRPr="00FB5A28">
        <w:rPr>
          <w:rFonts w:ascii="Times New Roman" w:hAnsi="Times New Roman"/>
          <w:sz w:val="24"/>
          <w:szCs w:val="24"/>
        </w:rPr>
        <w:t>)</w:t>
      </w:r>
      <w:r w:rsidR="00F36E79" w:rsidRPr="00FB5A28">
        <w:rPr>
          <w:rFonts w:ascii="Times New Roman" w:hAnsi="Times New Roman"/>
          <w:sz w:val="24"/>
          <w:szCs w:val="24"/>
          <w:lang w:val="sr-Cyrl-CS"/>
        </w:rPr>
        <w:t xml:space="preserve">. </w:t>
      </w:r>
      <w:r w:rsidR="00785994" w:rsidRPr="00FB5A28">
        <w:rPr>
          <w:rFonts w:ascii="Times New Roman" w:hAnsi="Times New Roman"/>
          <w:sz w:val="24"/>
          <w:szCs w:val="24"/>
        </w:rPr>
        <w:t>Изузетно</w:t>
      </w:r>
      <w:r w:rsidR="00F36E79" w:rsidRPr="00FB5A28">
        <w:rPr>
          <w:rFonts w:ascii="Times New Roman" w:hAnsi="Times New Roman"/>
          <w:sz w:val="24"/>
          <w:szCs w:val="24"/>
          <w:lang w:val="sr-Cyrl-CS"/>
        </w:rPr>
        <w:t>,</w:t>
      </w:r>
      <w:r w:rsidRPr="00FB5A28">
        <w:rPr>
          <w:rFonts w:ascii="Times New Roman" w:hAnsi="Times New Roman"/>
          <w:sz w:val="24"/>
          <w:szCs w:val="24"/>
        </w:rPr>
        <w:t xml:space="preserve"> </w:t>
      </w:r>
      <w:r w:rsidR="00785994" w:rsidRPr="00FB5A28">
        <w:rPr>
          <w:rFonts w:ascii="Times New Roman" w:hAnsi="Times New Roman"/>
          <w:sz w:val="24"/>
          <w:szCs w:val="24"/>
        </w:rPr>
        <w:t>приходи</w:t>
      </w:r>
      <w:r w:rsidRPr="00FB5A28">
        <w:rPr>
          <w:rFonts w:ascii="Times New Roman" w:hAnsi="Times New Roman"/>
          <w:sz w:val="24"/>
          <w:szCs w:val="24"/>
        </w:rPr>
        <w:t xml:space="preserve"> </w:t>
      </w:r>
      <w:r w:rsidR="00785994" w:rsidRPr="00FB5A28">
        <w:rPr>
          <w:rFonts w:ascii="Times New Roman" w:hAnsi="Times New Roman"/>
          <w:sz w:val="24"/>
          <w:szCs w:val="24"/>
        </w:rPr>
        <w:t>које</w:t>
      </w:r>
      <w:r w:rsidRPr="00FB5A28">
        <w:rPr>
          <w:rFonts w:ascii="Times New Roman" w:hAnsi="Times New Roman"/>
          <w:sz w:val="24"/>
          <w:szCs w:val="24"/>
        </w:rPr>
        <w:t xml:space="preserve"> </w:t>
      </w:r>
      <w:r w:rsidR="00785994" w:rsidRPr="00FB5A28">
        <w:rPr>
          <w:rFonts w:ascii="Times New Roman" w:hAnsi="Times New Roman"/>
          <w:sz w:val="24"/>
          <w:szCs w:val="24"/>
        </w:rPr>
        <w:t>од</w:t>
      </w:r>
      <w:r w:rsidRPr="00FB5A28">
        <w:rPr>
          <w:rFonts w:ascii="Times New Roman" w:hAnsi="Times New Roman"/>
          <w:sz w:val="24"/>
          <w:szCs w:val="24"/>
        </w:rPr>
        <w:t xml:space="preserve"> </w:t>
      </w:r>
      <w:r w:rsidR="00785994" w:rsidRPr="00FB5A28">
        <w:rPr>
          <w:rFonts w:ascii="Times New Roman" w:hAnsi="Times New Roman"/>
          <w:sz w:val="24"/>
          <w:szCs w:val="24"/>
        </w:rPr>
        <w:t>издавања</w:t>
      </w:r>
      <w:r w:rsidRPr="00FB5A28">
        <w:rPr>
          <w:rFonts w:ascii="Times New Roman" w:hAnsi="Times New Roman"/>
          <w:sz w:val="24"/>
          <w:szCs w:val="24"/>
        </w:rPr>
        <w:t xml:space="preserve"> </w:t>
      </w:r>
      <w:r w:rsidR="00785994" w:rsidRPr="00FB5A28">
        <w:rPr>
          <w:rFonts w:ascii="Times New Roman" w:hAnsi="Times New Roman"/>
          <w:sz w:val="24"/>
          <w:szCs w:val="24"/>
        </w:rPr>
        <w:t>непокретности</w:t>
      </w:r>
      <w:r w:rsidRPr="00FB5A28">
        <w:rPr>
          <w:rFonts w:ascii="Times New Roman" w:hAnsi="Times New Roman"/>
          <w:sz w:val="24"/>
          <w:szCs w:val="24"/>
        </w:rPr>
        <w:t xml:space="preserve"> </w:t>
      </w:r>
      <w:r w:rsidR="00785994" w:rsidRPr="00FB5A28">
        <w:rPr>
          <w:rFonts w:ascii="Times New Roman" w:hAnsi="Times New Roman"/>
          <w:sz w:val="24"/>
          <w:szCs w:val="24"/>
        </w:rPr>
        <w:t>оствари</w:t>
      </w:r>
      <w:r w:rsidRPr="00FB5A28">
        <w:rPr>
          <w:rFonts w:ascii="Times New Roman" w:hAnsi="Times New Roman"/>
          <w:sz w:val="24"/>
          <w:szCs w:val="24"/>
        </w:rPr>
        <w:t xml:space="preserve"> </w:t>
      </w:r>
      <w:r w:rsidR="00785994" w:rsidRPr="00FB5A28">
        <w:rPr>
          <w:rFonts w:ascii="Times New Roman" w:hAnsi="Times New Roman"/>
          <w:sz w:val="24"/>
          <w:szCs w:val="24"/>
        </w:rPr>
        <w:t>предузетник</w:t>
      </w:r>
      <w:r w:rsidRPr="00FB5A28">
        <w:rPr>
          <w:rFonts w:ascii="Times New Roman" w:hAnsi="Times New Roman"/>
          <w:sz w:val="24"/>
          <w:szCs w:val="24"/>
        </w:rPr>
        <w:t xml:space="preserve"> </w:t>
      </w:r>
      <w:r w:rsidR="00785994" w:rsidRPr="00FB5A28">
        <w:rPr>
          <w:rFonts w:ascii="Times New Roman" w:hAnsi="Times New Roman"/>
          <w:sz w:val="24"/>
          <w:szCs w:val="24"/>
        </w:rPr>
        <w:t>који</w:t>
      </w:r>
      <w:r w:rsidRPr="00FB5A28">
        <w:rPr>
          <w:rFonts w:ascii="Times New Roman" w:hAnsi="Times New Roman"/>
          <w:sz w:val="24"/>
          <w:szCs w:val="24"/>
        </w:rPr>
        <w:t xml:space="preserve"> </w:t>
      </w:r>
      <w:r w:rsidR="00785994" w:rsidRPr="00FB5A28">
        <w:rPr>
          <w:rFonts w:ascii="Times New Roman" w:hAnsi="Times New Roman"/>
          <w:sz w:val="24"/>
          <w:szCs w:val="24"/>
        </w:rPr>
        <w:t>обавља</w:t>
      </w:r>
      <w:r w:rsidRPr="00FB5A28">
        <w:rPr>
          <w:rFonts w:ascii="Times New Roman" w:hAnsi="Times New Roman"/>
          <w:sz w:val="24"/>
          <w:szCs w:val="24"/>
        </w:rPr>
        <w:t xml:space="preserve"> </w:t>
      </w:r>
      <w:r w:rsidR="00785994" w:rsidRPr="00FB5A28">
        <w:rPr>
          <w:rFonts w:ascii="Times New Roman" w:hAnsi="Times New Roman"/>
          <w:sz w:val="24"/>
          <w:szCs w:val="24"/>
        </w:rPr>
        <w:t>делатност</w:t>
      </w:r>
      <w:r w:rsidRPr="00FB5A28">
        <w:rPr>
          <w:rFonts w:ascii="Times New Roman" w:hAnsi="Times New Roman"/>
          <w:sz w:val="24"/>
          <w:szCs w:val="24"/>
        </w:rPr>
        <w:t xml:space="preserve"> </w:t>
      </w:r>
      <w:r w:rsidR="00785994" w:rsidRPr="00FB5A28">
        <w:rPr>
          <w:rFonts w:ascii="Times New Roman" w:hAnsi="Times New Roman"/>
          <w:sz w:val="24"/>
          <w:szCs w:val="24"/>
        </w:rPr>
        <w:t>издавања</w:t>
      </w:r>
      <w:r w:rsidRPr="00FB5A28">
        <w:rPr>
          <w:rFonts w:ascii="Times New Roman" w:hAnsi="Times New Roman"/>
          <w:sz w:val="24"/>
          <w:szCs w:val="24"/>
        </w:rPr>
        <w:t xml:space="preserve"> </w:t>
      </w:r>
      <w:r w:rsidR="00785994" w:rsidRPr="00FB5A28">
        <w:rPr>
          <w:rFonts w:ascii="Times New Roman" w:hAnsi="Times New Roman"/>
          <w:sz w:val="24"/>
          <w:szCs w:val="24"/>
        </w:rPr>
        <w:t>непокретности</w:t>
      </w:r>
      <w:r w:rsidRPr="00FB5A28">
        <w:rPr>
          <w:rFonts w:ascii="Times New Roman" w:hAnsi="Times New Roman"/>
          <w:sz w:val="24"/>
          <w:szCs w:val="24"/>
        </w:rPr>
        <w:t xml:space="preserve"> </w:t>
      </w:r>
      <w:r w:rsidR="00785994" w:rsidRPr="00FB5A28">
        <w:rPr>
          <w:rFonts w:ascii="Times New Roman" w:hAnsi="Times New Roman"/>
          <w:sz w:val="24"/>
          <w:szCs w:val="24"/>
        </w:rPr>
        <w:t>не</w:t>
      </w:r>
      <w:r w:rsidRPr="00FB5A28">
        <w:rPr>
          <w:rFonts w:ascii="Times New Roman" w:hAnsi="Times New Roman"/>
          <w:sz w:val="24"/>
          <w:szCs w:val="24"/>
        </w:rPr>
        <w:t xml:space="preserve"> </w:t>
      </w:r>
      <w:r w:rsidR="00785994" w:rsidRPr="00FB5A28">
        <w:rPr>
          <w:rFonts w:ascii="Times New Roman" w:hAnsi="Times New Roman"/>
          <w:sz w:val="24"/>
          <w:szCs w:val="24"/>
        </w:rPr>
        <w:t>сматрају</w:t>
      </w:r>
      <w:r w:rsidRPr="00FB5A28">
        <w:rPr>
          <w:rFonts w:ascii="Times New Roman" w:hAnsi="Times New Roman"/>
          <w:sz w:val="24"/>
          <w:szCs w:val="24"/>
        </w:rPr>
        <w:t xml:space="preserve"> </w:t>
      </w:r>
      <w:r w:rsidR="00785994" w:rsidRPr="00FB5A28">
        <w:rPr>
          <w:rFonts w:ascii="Times New Roman" w:hAnsi="Times New Roman"/>
          <w:sz w:val="24"/>
          <w:szCs w:val="24"/>
        </w:rPr>
        <w:t>се</w:t>
      </w:r>
      <w:r w:rsidRPr="00FB5A28">
        <w:rPr>
          <w:rFonts w:ascii="Times New Roman" w:hAnsi="Times New Roman"/>
          <w:sz w:val="24"/>
          <w:szCs w:val="24"/>
        </w:rPr>
        <w:t xml:space="preserve"> </w:t>
      </w:r>
      <w:r w:rsidR="00785994" w:rsidRPr="00FB5A28">
        <w:rPr>
          <w:rFonts w:ascii="Times New Roman" w:hAnsi="Times New Roman"/>
          <w:sz w:val="24"/>
          <w:szCs w:val="24"/>
        </w:rPr>
        <w:t>приходом</w:t>
      </w:r>
      <w:r w:rsidRPr="00FB5A28">
        <w:rPr>
          <w:rFonts w:ascii="Times New Roman" w:hAnsi="Times New Roman"/>
          <w:sz w:val="24"/>
          <w:szCs w:val="24"/>
        </w:rPr>
        <w:t xml:space="preserve"> </w:t>
      </w:r>
      <w:r w:rsidR="00785994" w:rsidRPr="00FB5A28">
        <w:rPr>
          <w:rFonts w:ascii="Times New Roman" w:hAnsi="Times New Roman"/>
          <w:sz w:val="24"/>
          <w:szCs w:val="24"/>
        </w:rPr>
        <w:t>од</w:t>
      </w:r>
      <w:r w:rsidRPr="00FB5A28">
        <w:rPr>
          <w:rFonts w:ascii="Times New Roman" w:hAnsi="Times New Roman"/>
          <w:sz w:val="24"/>
          <w:szCs w:val="24"/>
        </w:rPr>
        <w:t xml:space="preserve"> </w:t>
      </w:r>
      <w:r w:rsidR="00785994" w:rsidRPr="00FB5A28">
        <w:rPr>
          <w:rFonts w:ascii="Times New Roman" w:hAnsi="Times New Roman"/>
          <w:sz w:val="24"/>
          <w:szCs w:val="24"/>
        </w:rPr>
        <w:t>капитала</w:t>
      </w:r>
      <w:r w:rsidRPr="00FB5A28">
        <w:rPr>
          <w:rFonts w:ascii="Times New Roman" w:hAnsi="Times New Roman"/>
          <w:sz w:val="24"/>
          <w:szCs w:val="24"/>
        </w:rPr>
        <w:t>.</w:t>
      </w:r>
      <w:r w:rsidR="00F36E79" w:rsidRPr="00FB5A28">
        <w:rPr>
          <w:rFonts w:ascii="Times New Roman" w:hAnsi="Times New Roman"/>
          <w:sz w:val="24"/>
          <w:szCs w:val="24"/>
          <w:lang w:val="sr-Cyrl-CS"/>
        </w:rPr>
        <w:t xml:space="preserve"> </w:t>
      </w:r>
      <w:r w:rsidR="00785994" w:rsidRPr="00FB5A28">
        <w:rPr>
          <w:rFonts w:ascii="Times New Roman" w:hAnsi="Times New Roman"/>
          <w:sz w:val="24"/>
          <w:szCs w:val="24"/>
        </w:rPr>
        <w:t>Непокретностима</w:t>
      </w:r>
      <w:r w:rsidR="00F36E79" w:rsidRPr="00FB5A28">
        <w:rPr>
          <w:rFonts w:ascii="Times New Roman" w:hAnsi="Times New Roman"/>
          <w:sz w:val="24"/>
          <w:szCs w:val="24"/>
        </w:rPr>
        <w:t xml:space="preserve"> </w:t>
      </w:r>
      <w:r w:rsidR="00F36E79" w:rsidRPr="00FB5A28">
        <w:rPr>
          <w:rFonts w:ascii="Times New Roman" w:hAnsi="Times New Roman"/>
          <w:sz w:val="24"/>
          <w:szCs w:val="24"/>
          <w:lang w:val="sr-Cyrl-CS"/>
        </w:rPr>
        <w:t>се</w:t>
      </w:r>
      <w:r w:rsidR="00F36E79" w:rsidRPr="00FB5A28">
        <w:rPr>
          <w:rFonts w:ascii="Times New Roman" w:hAnsi="Times New Roman"/>
          <w:sz w:val="24"/>
          <w:szCs w:val="24"/>
        </w:rPr>
        <w:t xml:space="preserve"> </w:t>
      </w:r>
      <w:r w:rsidR="00785994" w:rsidRPr="00FB5A28">
        <w:rPr>
          <w:rFonts w:ascii="Times New Roman" w:hAnsi="Times New Roman"/>
          <w:sz w:val="24"/>
          <w:szCs w:val="24"/>
        </w:rPr>
        <w:t>сматрају</w:t>
      </w:r>
      <w:r w:rsidRPr="00FB5A28">
        <w:rPr>
          <w:rFonts w:ascii="Times New Roman" w:hAnsi="Times New Roman"/>
          <w:sz w:val="24"/>
          <w:szCs w:val="24"/>
        </w:rPr>
        <w:t>:</w:t>
      </w:r>
      <w:r w:rsidR="00F36E79" w:rsidRPr="00FB5A28">
        <w:rPr>
          <w:rFonts w:ascii="Times New Roman" w:hAnsi="Times New Roman"/>
          <w:sz w:val="24"/>
          <w:szCs w:val="24"/>
          <w:lang w:val="sr-Cyrl-CS"/>
        </w:rPr>
        <w:t xml:space="preserve"> </w:t>
      </w:r>
      <w:r w:rsidR="00785994" w:rsidRPr="00FB5A28">
        <w:rPr>
          <w:rFonts w:ascii="Times New Roman" w:hAnsi="Times New Roman"/>
          <w:sz w:val="24"/>
          <w:szCs w:val="24"/>
        </w:rPr>
        <w:t>земљиште</w:t>
      </w:r>
      <w:r w:rsidR="00F36E79" w:rsidRPr="00FB5A28">
        <w:rPr>
          <w:rFonts w:ascii="Times New Roman" w:hAnsi="Times New Roman"/>
          <w:sz w:val="24"/>
          <w:szCs w:val="24"/>
          <w:lang w:val="sr-Cyrl-CS"/>
        </w:rPr>
        <w:t>,</w:t>
      </w:r>
      <w:r w:rsidRPr="00FB5A28">
        <w:rPr>
          <w:rFonts w:ascii="Times New Roman" w:hAnsi="Times New Roman"/>
          <w:sz w:val="24"/>
          <w:szCs w:val="24"/>
        </w:rPr>
        <w:t xml:space="preserve"> </w:t>
      </w:r>
      <w:r w:rsidR="00785994" w:rsidRPr="00FB5A28">
        <w:rPr>
          <w:rFonts w:ascii="Times New Roman" w:hAnsi="Times New Roman"/>
          <w:sz w:val="24"/>
          <w:szCs w:val="24"/>
        </w:rPr>
        <w:t>стамбене</w:t>
      </w:r>
      <w:r w:rsidRPr="00FB5A28">
        <w:rPr>
          <w:rFonts w:ascii="Times New Roman" w:hAnsi="Times New Roman"/>
          <w:sz w:val="24"/>
          <w:szCs w:val="24"/>
        </w:rPr>
        <w:t xml:space="preserve">, </w:t>
      </w:r>
      <w:r w:rsidR="00785994" w:rsidRPr="00FB5A28">
        <w:rPr>
          <w:rFonts w:ascii="Times New Roman" w:hAnsi="Times New Roman"/>
          <w:sz w:val="24"/>
          <w:szCs w:val="24"/>
        </w:rPr>
        <w:t>пословне</w:t>
      </w:r>
      <w:r w:rsidRPr="00FB5A28">
        <w:rPr>
          <w:rFonts w:ascii="Times New Roman" w:hAnsi="Times New Roman"/>
          <w:sz w:val="24"/>
          <w:szCs w:val="24"/>
        </w:rPr>
        <w:t xml:space="preserve"> </w:t>
      </w:r>
      <w:r w:rsidR="00785994" w:rsidRPr="00FB5A28">
        <w:rPr>
          <w:rFonts w:ascii="Times New Roman" w:hAnsi="Times New Roman"/>
          <w:sz w:val="24"/>
          <w:szCs w:val="24"/>
        </w:rPr>
        <w:t>и</w:t>
      </w:r>
      <w:r w:rsidRPr="00FB5A28">
        <w:rPr>
          <w:rFonts w:ascii="Times New Roman" w:hAnsi="Times New Roman"/>
          <w:sz w:val="24"/>
          <w:szCs w:val="24"/>
        </w:rPr>
        <w:t xml:space="preserve"> </w:t>
      </w:r>
      <w:r w:rsidR="00785994" w:rsidRPr="00FB5A28">
        <w:rPr>
          <w:rFonts w:ascii="Times New Roman" w:hAnsi="Times New Roman"/>
          <w:sz w:val="24"/>
          <w:szCs w:val="24"/>
        </w:rPr>
        <w:t>друге</w:t>
      </w:r>
      <w:r w:rsidRPr="00FB5A28">
        <w:rPr>
          <w:rFonts w:ascii="Times New Roman" w:hAnsi="Times New Roman"/>
          <w:sz w:val="24"/>
          <w:szCs w:val="24"/>
        </w:rPr>
        <w:t xml:space="preserve"> </w:t>
      </w:r>
      <w:r w:rsidR="00785994" w:rsidRPr="00FB5A28">
        <w:rPr>
          <w:rFonts w:ascii="Times New Roman" w:hAnsi="Times New Roman"/>
          <w:sz w:val="24"/>
          <w:szCs w:val="24"/>
        </w:rPr>
        <w:t>зграде</w:t>
      </w:r>
      <w:r w:rsidRPr="00FB5A28">
        <w:rPr>
          <w:rFonts w:ascii="Times New Roman" w:hAnsi="Times New Roman"/>
          <w:sz w:val="24"/>
          <w:szCs w:val="24"/>
        </w:rPr>
        <w:t xml:space="preserve">, </w:t>
      </w:r>
      <w:r w:rsidR="00785994" w:rsidRPr="00FB5A28">
        <w:rPr>
          <w:rFonts w:ascii="Times New Roman" w:hAnsi="Times New Roman"/>
          <w:sz w:val="24"/>
          <w:szCs w:val="24"/>
        </w:rPr>
        <w:t>станови</w:t>
      </w:r>
      <w:r w:rsidRPr="00FB5A28">
        <w:rPr>
          <w:rFonts w:ascii="Times New Roman" w:hAnsi="Times New Roman"/>
          <w:sz w:val="24"/>
          <w:szCs w:val="24"/>
        </w:rPr>
        <w:t xml:space="preserve">, </w:t>
      </w:r>
      <w:r w:rsidR="00785994" w:rsidRPr="00FB5A28">
        <w:rPr>
          <w:rFonts w:ascii="Times New Roman" w:hAnsi="Times New Roman"/>
          <w:sz w:val="24"/>
          <w:szCs w:val="24"/>
        </w:rPr>
        <w:t>пословне</w:t>
      </w:r>
      <w:r w:rsidRPr="00FB5A28">
        <w:rPr>
          <w:rFonts w:ascii="Times New Roman" w:hAnsi="Times New Roman"/>
          <w:sz w:val="24"/>
          <w:szCs w:val="24"/>
        </w:rPr>
        <w:t xml:space="preserve"> </w:t>
      </w:r>
      <w:r w:rsidR="00785994" w:rsidRPr="00FB5A28">
        <w:rPr>
          <w:rFonts w:ascii="Times New Roman" w:hAnsi="Times New Roman"/>
          <w:sz w:val="24"/>
          <w:szCs w:val="24"/>
        </w:rPr>
        <w:t>просторије</w:t>
      </w:r>
      <w:r w:rsidRPr="00FB5A28">
        <w:rPr>
          <w:rFonts w:ascii="Times New Roman" w:hAnsi="Times New Roman"/>
          <w:sz w:val="24"/>
          <w:szCs w:val="24"/>
        </w:rPr>
        <w:t xml:space="preserve">, </w:t>
      </w:r>
      <w:r w:rsidR="00785994" w:rsidRPr="00FB5A28">
        <w:rPr>
          <w:rFonts w:ascii="Times New Roman" w:hAnsi="Times New Roman"/>
          <w:sz w:val="24"/>
          <w:szCs w:val="24"/>
        </w:rPr>
        <w:t>гараже</w:t>
      </w:r>
      <w:r w:rsidRPr="00FB5A28">
        <w:rPr>
          <w:rFonts w:ascii="Times New Roman" w:hAnsi="Times New Roman"/>
          <w:sz w:val="24"/>
          <w:szCs w:val="24"/>
        </w:rPr>
        <w:t xml:space="preserve"> </w:t>
      </w:r>
      <w:r w:rsidR="00785994" w:rsidRPr="00FB5A28">
        <w:rPr>
          <w:rFonts w:ascii="Times New Roman" w:hAnsi="Times New Roman"/>
          <w:sz w:val="24"/>
          <w:szCs w:val="24"/>
        </w:rPr>
        <w:t>и</w:t>
      </w:r>
      <w:r w:rsidRPr="00FB5A28">
        <w:rPr>
          <w:rFonts w:ascii="Times New Roman" w:hAnsi="Times New Roman"/>
          <w:sz w:val="24"/>
          <w:szCs w:val="24"/>
        </w:rPr>
        <w:t xml:space="preserve"> </w:t>
      </w:r>
      <w:r w:rsidR="00785994" w:rsidRPr="00FB5A28">
        <w:rPr>
          <w:rFonts w:ascii="Times New Roman" w:hAnsi="Times New Roman"/>
          <w:sz w:val="24"/>
          <w:szCs w:val="24"/>
        </w:rPr>
        <w:t>други</w:t>
      </w:r>
      <w:r w:rsidRPr="00FB5A28">
        <w:rPr>
          <w:rFonts w:ascii="Times New Roman" w:hAnsi="Times New Roman"/>
          <w:sz w:val="24"/>
          <w:szCs w:val="24"/>
        </w:rPr>
        <w:t xml:space="preserve"> (</w:t>
      </w:r>
      <w:r w:rsidR="00785994" w:rsidRPr="00FB5A28">
        <w:rPr>
          <w:rFonts w:ascii="Times New Roman" w:hAnsi="Times New Roman"/>
          <w:sz w:val="24"/>
          <w:szCs w:val="24"/>
        </w:rPr>
        <w:t>надземни</w:t>
      </w:r>
      <w:r w:rsidRPr="00FB5A28">
        <w:rPr>
          <w:rFonts w:ascii="Times New Roman" w:hAnsi="Times New Roman"/>
          <w:sz w:val="24"/>
          <w:szCs w:val="24"/>
        </w:rPr>
        <w:t xml:space="preserve"> </w:t>
      </w:r>
      <w:r w:rsidR="00785994" w:rsidRPr="00FB5A28">
        <w:rPr>
          <w:rFonts w:ascii="Times New Roman" w:hAnsi="Times New Roman"/>
          <w:sz w:val="24"/>
          <w:szCs w:val="24"/>
        </w:rPr>
        <w:t>и</w:t>
      </w:r>
      <w:r w:rsidRPr="00FB5A28">
        <w:rPr>
          <w:rFonts w:ascii="Times New Roman" w:hAnsi="Times New Roman"/>
          <w:sz w:val="24"/>
          <w:szCs w:val="24"/>
        </w:rPr>
        <w:t xml:space="preserve"> </w:t>
      </w:r>
      <w:r w:rsidR="00785994" w:rsidRPr="00FB5A28">
        <w:rPr>
          <w:rFonts w:ascii="Times New Roman" w:hAnsi="Times New Roman"/>
          <w:sz w:val="24"/>
          <w:szCs w:val="24"/>
        </w:rPr>
        <w:t>подземни</w:t>
      </w:r>
      <w:r w:rsidRPr="00FB5A28">
        <w:rPr>
          <w:rFonts w:ascii="Times New Roman" w:hAnsi="Times New Roman"/>
          <w:sz w:val="24"/>
          <w:szCs w:val="24"/>
        </w:rPr>
        <w:t xml:space="preserve">) </w:t>
      </w:r>
      <w:r w:rsidR="00785994" w:rsidRPr="00FB5A28">
        <w:rPr>
          <w:rFonts w:ascii="Times New Roman" w:hAnsi="Times New Roman"/>
          <w:sz w:val="24"/>
          <w:szCs w:val="24"/>
        </w:rPr>
        <w:t>грађевински</w:t>
      </w:r>
      <w:r w:rsidRPr="00FB5A28">
        <w:rPr>
          <w:rFonts w:ascii="Times New Roman" w:hAnsi="Times New Roman"/>
          <w:sz w:val="24"/>
          <w:szCs w:val="24"/>
        </w:rPr>
        <w:t xml:space="preserve"> </w:t>
      </w:r>
      <w:r w:rsidR="00785994" w:rsidRPr="00FB5A28">
        <w:rPr>
          <w:rFonts w:ascii="Times New Roman" w:hAnsi="Times New Roman"/>
          <w:sz w:val="24"/>
          <w:szCs w:val="24"/>
        </w:rPr>
        <w:t>објекти</w:t>
      </w:r>
      <w:r w:rsidRPr="00FB5A28">
        <w:rPr>
          <w:rFonts w:ascii="Times New Roman" w:hAnsi="Times New Roman"/>
          <w:sz w:val="24"/>
          <w:szCs w:val="24"/>
        </w:rPr>
        <w:t xml:space="preserve">, </w:t>
      </w:r>
      <w:r w:rsidR="00785994" w:rsidRPr="00FB5A28">
        <w:rPr>
          <w:rFonts w:ascii="Times New Roman" w:hAnsi="Times New Roman"/>
          <w:sz w:val="24"/>
          <w:szCs w:val="24"/>
        </w:rPr>
        <w:t>односно</w:t>
      </w:r>
      <w:r w:rsidRPr="00FB5A28">
        <w:rPr>
          <w:rFonts w:ascii="Times New Roman" w:hAnsi="Times New Roman"/>
          <w:sz w:val="24"/>
          <w:szCs w:val="24"/>
        </w:rPr>
        <w:t xml:space="preserve"> </w:t>
      </w:r>
      <w:r w:rsidR="00785994" w:rsidRPr="00FB5A28">
        <w:rPr>
          <w:rFonts w:ascii="Times New Roman" w:hAnsi="Times New Roman"/>
          <w:sz w:val="24"/>
          <w:szCs w:val="24"/>
        </w:rPr>
        <w:t>њихови</w:t>
      </w:r>
      <w:r w:rsidRPr="00FB5A28">
        <w:rPr>
          <w:rFonts w:ascii="Times New Roman" w:hAnsi="Times New Roman"/>
          <w:sz w:val="24"/>
          <w:szCs w:val="24"/>
        </w:rPr>
        <w:t xml:space="preserve"> </w:t>
      </w:r>
      <w:r w:rsidR="00785994" w:rsidRPr="00FB5A28">
        <w:rPr>
          <w:rFonts w:ascii="Times New Roman" w:hAnsi="Times New Roman"/>
          <w:sz w:val="24"/>
          <w:szCs w:val="24"/>
        </w:rPr>
        <w:t>делови</w:t>
      </w:r>
      <w:r w:rsidR="00F36E79" w:rsidRPr="00FB5A28">
        <w:rPr>
          <w:rFonts w:ascii="Times New Roman" w:hAnsi="Times New Roman"/>
          <w:sz w:val="24"/>
          <w:szCs w:val="24"/>
          <w:lang w:val="sr-Cyrl-CS"/>
        </w:rPr>
        <w:t>.</w:t>
      </w:r>
      <w:r w:rsidRPr="00FB5A28">
        <w:rPr>
          <w:rFonts w:ascii="Times New Roman" w:hAnsi="Times New Roman"/>
          <w:sz w:val="24"/>
          <w:szCs w:val="24"/>
        </w:rPr>
        <w:t xml:space="preserve"> </w:t>
      </w:r>
    </w:p>
    <w:p w:rsidR="00F36E79" w:rsidRPr="00FB5A28" w:rsidRDefault="00785994" w:rsidP="00FB5A28">
      <w:pPr>
        <w:ind w:firstLine="708"/>
        <w:jc w:val="both"/>
        <w:rPr>
          <w:rFonts w:ascii="Times New Roman" w:hAnsi="Times New Roman"/>
          <w:sz w:val="24"/>
          <w:szCs w:val="24"/>
          <w:lang w:val="sr-Cyrl-CS"/>
        </w:rPr>
      </w:pPr>
      <w:bookmarkStart w:id="38" w:name="clan_61a"/>
      <w:bookmarkEnd w:id="38"/>
      <w:r w:rsidRPr="00FB5A28">
        <w:rPr>
          <w:rFonts w:ascii="Times New Roman" w:hAnsi="Times New Roman"/>
          <w:sz w:val="24"/>
          <w:szCs w:val="24"/>
        </w:rPr>
        <w:t>Приход</w:t>
      </w:r>
      <w:r w:rsidR="008D574A" w:rsidRPr="00FB5A28">
        <w:rPr>
          <w:rFonts w:ascii="Times New Roman" w:hAnsi="Times New Roman"/>
          <w:sz w:val="24"/>
          <w:szCs w:val="24"/>
        </w:rPr>
        <w:t xml:space="preserve"> </w:t>
      </w:r>
      <w:r w:rsidRPr="00FB5A28">
        <w:rPr>
          <w:rFonts w:ascii="Times New Roman" w:hAnsi="Times New Roman"/>
          <w:sz w:val="24"/>
          <w:szCs w:val="24"/>
        </w:rPr>
        <w:t>од</w:t>
      </w:r>
      <w:r w:rsidR="008D574A" w:rsidRPr="00FB5A28">
        <w:rPr>
          <w:rFonts w:ascii="Times New Roman" w:hAnsi="Times New Roman"/>
          <w:sz w:val="24"/>
          <w:szCs w:val="24"/>
        </w:rPr>
        <w:t xml:space="preserve"> </w:t>
      </w:r>
      <w:r w:rsidRPr="00FB5A28">
        <w:rPr>
          <w:rFonts w:ascii="Times New Roman" w:hAnsi="Times New Roman"/>
          <w:sz w:val="24"/>
          <w:szCs w:val="24"/>
        </w:rPr>
        <w:t>дивиденде</w:t>
      </w:r>
      <w:r w:rsidR="008D574A" w:rsidRPr="00FB5A28">
        <w:rPr>
          <w:rFonts w:ascii="Times New Roman" w:hAnsi="Times New Roman"/>
          <w:sz w:val="24"/>
          <w:szCs w:val="24"/>
        </w:rPr>
        <w:t xml:space="preserve"> </w:t>
      </w:r>
      <w:r w:rsidRPr="00FB5A28">
        <w:rPr>
          <w:rFonts w:ascii="Times New Roman" w:hAnsi="Times New Roman"/>
          <w:sz w:val="24"/>
          <w:szCs w:val="24"/>
        </w:rPr>
        <w:t>умањује</w:t>
      </w:r>
      <w:r w:rsidR="008D574A" w:rsidRPr="00FB5A28">
        <w:rPr>
          <w:rFonts w:ascii="Times New Roman" w:hAnsi="Times New Roman"/>
          <w:sz w:val="24"/>
          <w:szCs w:val="24"/>
        </w:rPr>
        <w:t xml:space="preserve"> </w:t>
      </w:r>
      <w:r w:rsidRPr="00FB5A28">
        <w:rPr>
          <w:rFonts w:ascii="Times New Roman" w:hAnsi="Times New Roman"/>
          <w:sz w:val="24"/>
          <w:szCs w:val="24"/>
        </w:rPr>
        <w:t>се</w:t>
      </w:r>
      <w:r w:rsidR="008D574A" w:rsidRPr="00FB5A28">
        <w:rPr>
          <w:rFonts w:ascii="Times New Roman" w:hAnsi="Times New Roman"/>
          <w:sz w:val="24"/>
          <w:szCs w:val="24"/>
        </w:rPr>
        <w:t xml:space="preserve">, </w:t>
      </w:r>
      <w:r w:rsidRPr="00FB5A28">
        <w:rPr>
          <w:rFonts w:ascii="Times New Roman" w:hAnsi="Times New Roman"/>
          <w:sz w:val="24"/>
          <w:szCs w:val="24"/>
        </w:rPr>
        <w:t>пре</w:t>
      </w:r>
      <w:r w:rsidR="008D574A" w:rsidRPr="00FB5A28">
        <w:rPr>
          <w:rFonts w:ascii="Times New Roman" w:hAnsi="Times New Roman"/>
          <w:sz w:val="24"/>
          <w:szCs w:val="24"/>
        </w:rPr>
        <w:t xml:space="preserve"> </w:t>
      </w:r>
      <w:r w:rsidRPr="00FB5A28">
        <w:rPr>
          <w:rFonts w:ascii="Times New Roman" w:hAnsi="Times New Roman"/>
          <w:sz w:val="24"/>
          <w:szCs w:val="24"/>
        </w:rPr>
        <w:t>утврђивања</w:t>
      </w:r>
      <w:r w:rsidR="008D574A" w:rsidRPr="00FB5A28">
        <w:rPr>
          <w:rFonts w:ascii="Times New Roman" w:hAnsi="Times New Roman"/>
          <w:sz w:val="24"/>
          <w:szCs w:val="24"/>
        </w:rPr>
        <w:t xml:space="preserve"> </w:t>
      </w:r>
      <w:r w:rsidRPr="00FB5A28">
        <w:rPr>
          <w:rFonts w:ascii="Times New Roman" w:hAnsi="Times New Roman"/>
          <w:sz w:val="24"/>
          <w:szCs w:val="24"/>
        </w:rPr>
        <w:t>пореске</w:t>
      </w:r>
      <w:r w:rsidR="008D574A" w:rsidRPr="00FB5A28">
        <w:rPr>
          <w:rFonts w:ascii="Times New Roman" w:hAnsi="Times New Roman"/>
          <w:sz w:val="24"/>
          <w:szCs w:val="24"/>
        </w:rPr>
        <w:t xml:space="preserve"> </w:t>
      </w:r>
      <w:r w:rsidRPr="00FB5A28">
        <w:rPr>
          <w:rFonts w:ascii="Times New Roman" w:hAnsi="Times New Roman"/>
          <w:sz w:val="24"/>
          <w:szCs w:val="24"/>
        </w:rPr>
        <w:t>основице</w:t>
      </w:r>
      <w:r w:rsidR="008D574A" w:rsidRPr="00FB5A28">
        <w:rPr>
          <w:rFonts w:ascii="Times New Roman" w:hAnsi="Times New Roman"/>
          <w:sz w:val="24"/>
          <w:szCs w:val="24"/>
        </w:rPr>
        <w:t xml:space="preserve">, </w:t>
      </w:r>
      <w:r w:rsidRPr="00FB5A28">
        <w:rPr>
          <w:rFonts w:ascii="Times New Roman" w:hAnsi="Times New Roman"/>
          <w:sz w:val="24"/>
          <w:szCs w:val="24"/>
        </w:rPr>
        <w:t>за</w:t>
      </w:r>
      <w:r w:rsidR="008D574A" w:rsidRPr="00FB5A28">
        <w:rPr>
          <w:rFonts w:ascii="Times New Roman" w:hAnsi="Times New Roman"/>
          <w:sz w:val="24"/>
          <w:szCs w:val="24"/>
        </w:rPr>
        <w:t xml:space="preserve"> </w:t>
      </w:r>
      <w:r w:rsidRPr="00FB5A28">
        <w:rPr>
          <w:rFonts w:ascii="Times New Roman" w:hAnsi="Times New Roman"/>
          <w:sz w:val="24"/>
          <w:szCs w:val="24"/>
        </w:rPr>
        <w:t>износ</w:t>
      </w:r>
      <w:r w:rsidR="008D574A" w:rsidRPr="00FB5A28">
        <w:rPr>
          <w:rFonts w:ascii="Times New Roman" w:hAnsi="Times New Roman"/>
          <w:sz w:val="24"/>
          <w:szCs w:val="24"/>
        </w:rPr>
        <w:t xml:space="preserve"> </w:t>
      </w:r>
      <w:r w:rsidRPr="00FB5A28">
        <w:rPr>
          <w:rFonts w:ascii="Times New Roman" w:hAnsi="Times New Roman"/>
          <w:sz w:val="24"/>
          <w:szCs w:val="24"/>
        </w:rPr>
        <w:t>годишње</w:t>
      </w:r>
      <w:r w:rsidR="008D574A" w:rsidRPr="00FB5A28">
        <w:rPr>
          <w:rFonts w:ascii="Times New Roman" w:hAnsi="Times New Roman"/>
          <w:sz w:val="24"/>
          <w:szCs w:val="24"/>
        </w:rPr>
        <w:t xml:space="preserve"> </w:t>
      </w:r>
      <w:r w:rsidRPr="00FB5A28">
        <w:rPr>
          <w:rFonts w:ascii="Times New Roman" w:hAnsi="Times New Roman"/>
          <w:sz w:val="24"/>
          <w:szCs w:val="24"/>
        </w:rPr>
        <w:t>рате</w:t>
      </w:r>
      <w:r w:rsidR="008D574A" w:rsidRPr="00FB5A28">
        <w:rPr>
          <w:rFonts w:ascii="Times New Roman" w:hAnsi="Times New Roman"/>
          <w:sz w:val="24"/>
          <w:szCs w:val="24"/>
        </w:rPr>
        <w:t xml:space="preserve"> </w:t>
      </w:r>
      <w:r w:rsidRPr="00FB5A28">
        <w:rPr>
          <w:rFonts w:ascii="Times New Roman" w:hAnsi="Times New Roman"/>
          <w:sz w:val="24"/>
          <w:szCs w:val="24"/>
        </w:rPr>
        <w:t>продајне</w:t>
      </w:r>
      <w:r w:rsidR="008D574A" w:rsidRPr="00FB5A28">
        <w:rPr>
          <w:rFonts w:ascii="Times New Roman" w:hAnsi="Times New Roman"/>
          <w:sz w:val="24"/>
          <w:szCs w:val="24"/>
        </w:rPr>
        <w:t xml:space="preserve"> </w:t>
      </w:r>
      <w:r w:rsidRPr="00FB5A28">
        <w:rPr>
          <w:rFonts w:ascii="Times New Roman" w:hAnsi="Times New Roman"/>
          <w:sz w:val="24"/>
          <w:szCs w:val="24"/>
        </w:rPr>
        <w:t>цене</w:t>
      </w:r>
      <w:r w:rsidR="008D574A" w:rsidRPr="00FB5A28">
        <w:rPr>
          <w:rFonts w:ascii="Times New Roman" w:hAnsi="Times New Roman"/>
          <w:sz w:val="24"/>
          <w:szCs w:val="24"/>
        </w:rPr>
        <w:t xml:space="preserve"> </w:t>
      </w:r>
      <w:r w:rsidRPr="00FB5A28">
        <w:rPr>
          <w:rFonts w:ascii="Times New Roman" w:hAnsi="Times New Roman"/>
          <w:sz w:val="24"/>
          <w:szCs w:val="24"/>
        </w:rPr>
        <w:t>по</w:t>
      </w:r>
      <w:r w:rsidR="008D574A" w:rsidRPr="00FB5A28">
        <w:rPr>
          <w:rFonts w:ascii="Times New Roman" w:hAnsi="Times New Roman"/>
          <w:sz w:val="24"/>
          <w:szCs w:val="24"/>
        </w:rPr>
        <w:t xml:space="preserve"> </w:t>
      </w:r>
      <w:r w:rsidRPr="00FB5A28">
        <w:rPr>
          <w:rFonts w:ascii="Times New Roman" w:hAnsi="Times New Roman"/>
          <w:sz w:val="24"/>
          <w:szCs w:val="24"/>
        </w:rPr>
        <w:t>основу</w:t>
      </w:r>
      <w:r w:rsidR="008D574A" w:rsidRPr="00FB5A28">
        <w:rPr>
          <w:rFonts w:ascii="Times New Roman" w:hAnsi="Times New Roman"/>
          <w:sz w:val="24"/>
          <w:szCs w:val="24"/>
        </w:rPr>
        <w:t xml:space="preserve"> </w:t>
      </w:r>
      <w:r w:rsidRPr="00FB5A28">
        <w:rPr>
          <w:rFonts w:ascii="Times New Roman" w:hAnsi="Times New Roman"/>
          <w:sz w:val="24"/>
          <w:szCs w:val="24"/>
        </w:rPr>
        <w:t>куповине</w:t>
      </w:r>
      <w:r w:rsidR="008D574A" w:rsidRPr="00FB5A28">
        <w:rPr>
          <w:rFonts w:ascii="Times New Roman" w:hAnsi="Times New Roman"/>
          <w:sz w:val="24"/>
          <w:szCs w:val="24"/>
        </w:rPr>
        <w:t xml:space="preserve"> </w:t>
      </w:r>
      <w:r w:rsidRPr="00FB5A28">
        <w:rPr>
          <w:rFonts w:ascii="Times New Roman" w:hAnsi="Times New Roman"/>
          <w:sz w:val="24"/>
          <w:szCs w:val="24"/>
        </w:rPr>
        <w:t>друштвеног</w:t>
      </w:r>
      <w:r w:rsidR="008D574A" w:rsidRPr="00FB5A28">
        <w:rPr>
          <w:rFonts w:ascii="Times New Roman" w:hAnsi="Times New Roman"/>
          <w:sz w:val="24"/>
          <w:szCs w:val="24"/>
        </w:rPr>
        <w:t xml:space="preserve"> </w:t>
      </w:r>
      <w:r w:rsidRPr="00FB5A28">
        <w:rPr>
          <w:rFonts w:ascii="Times New Roman" w:hAnsi="Times New Roman"/>
          <w:sz w:val="24"/>
          <w:szCs w:val="24"/>
        </w:rPr>
        <w:t>и</w:t>
      </w:r>
      <w:r w:rsidR="008D574A" w:rsidRPr="00FB5A28">
        <w:rPr>
          <w:rFonts w:ascii="Times New Roman" w:hAnsi="Times New Roman"/>
          <w:sz w:val="24"/>
          <w:szCs w:val="24"/>
        </w:rPr>
        <w:t xml:space="preserve"> </w:t>
      </w:r>
      <w:r w:rsidRPr="00FB5A28">
        <w:rPr>
          <w:rFonts w:ascii="Times New Roman" w:hAnsi="Times New Roman"/>
          <w:sz w:val="24"/>
          <w:szCs w:val="24"/>
        </w:rPr>
        <w:t>државног</w:t>
      </w:r>
      <w:r w:rsidR="008D574A" w:rsidRPr="00FB5A28">
        <w:rPr>
          <w:rFonts w:ascii="Times New Roman" w:hAnsi="Times New Roman"/>
          <w:sz w:val="24"/>
          <w:szCs w:val="24"/>
        </w:rPr>
        <w:t xml:space="preserve"> </w:t>
      </w:r>
      <w:r w:rsidRPr="00FB5A28">
        <w:rPr>
          <w:rFonts w:ascii="Times New Roman" w:hAnsi="Times New Roman"/>
          <w:sz w:val="24"/>
          <w:szCs w:val="24"/>
        </w:rPr>
        <w:t>капитала</w:t>
      </w:r>
      <w:r w:rsidR="008D574A" w:rsidRPr="00FB5A28">
        <w:rPr>
          <w:rFonts w:ascii="Times New Roman" w:hAnsi="Times New Roman"/>
          <w:sz w:val="24"/>
          <w:szCs w:val="24"/>
        </w:rPr>
        <w:t xml:space="preserve">, </w:t>
      </w:r>
      <w:r w:rsidRPr="00FB5A28">
        <w:rPr>
          <w:rFonts w:ascii="Times New Roman" w:hAnsi="Times New Roman"/>
          <w:sz w:val="24"/>
          <w:szCs w:val="24"/>
        </w:rPr>
        <w:t>односно</w:t>
      </w:r>
      <w:r w:rsidR="008D574A" w:rsidRPr="00FB5A28">
        <w:rPr>
          <w:rFonts w:ascii="Times New Roman" w:hAnsi="Times New Roman"/>
          <w:sz w:val="24"/>
          <w:szCs w:val="24"/>
        </w:rPr>
        <w:t xml:space="preserve"> </w:t>
      </w:r>
      <w:r w:rsidRPr="00FB5A28">
        <w:rPr>
          <w:rFonts w:ascii="Times New Roman" w:hAnsi="Times New Roman"/>
          <w:sz w:val="24"/>
          <w:szCs w:val="24"/>
        </w:rPr>
        <w:t>имовине</w:t>
      </w:r>
      <w:r w:rsidR="008D574A" w:rsidRPr="00FB5A28">
        <w:rPr>
          <w:rFonts w:ascii="Times New Roman" w:hAnsi="Times New Roman"/>
          <w:sz w:val="24"/>
          <w:szCs w:val="24"/>
        </w:rPr>
        <w:t xml:space="preserve"> </w:t>
      </w:r>
      <w:r w:rsidRPr="00FB5A28">
        <w:rPr>
          <w:rFonts w:ascii="Times New Roman" w:hAnsi="Times New Roman"/>
          <w:sz w:val="24"/>
          <w:szCs w:val="24"/>
        </w:rPr>
        <w:t>јавном</w:t>
      </w:r>
      <w:r w:rsidR="008D574A" w:rsidRPr="00FB5A28">
        <w:rPr>
          <w:rFonts w:ascii="Times New Roman" w:hAnsi="Times New Roman"/>
          <w:sz w:val="24"/>
          <w:szCs w:val="24"/>
        </w:rPr>
        <w:t xml:space="preserve"> </w:t>
      </w:r>
      <w:r w:rsidRPr="00FB5A28">
        <w:rPr>
          <w:rFonts w:ascii="Times New Roman" w:hAnsi="Times New Roman"/>
          <w:sz w:val="24"/>
          <w:szCs w:val="24"/>
        </w:rPr>
        <w:t>аукцијом</w:t>
      </w:r>
      <w:r w:rsidR="008D574A" w:rsidRPr="00FB5A28">
        <w:rPr>
          <w:rFonts w:ascii="Times New Roman" w:hAnsi="Times New Roman"/>
          <w:sz w:val="24"/>
          <w:szCs w:val="24"/>
        </w:rPr>
        <w:t xml:space="preserve">, </w:t>
      </w:r>
      <w:r w:rsidRPr="00FB5A28">
        <w:rPr>
          <w:rFonts w:ascii="Times New Roman" w:hAnsi="Times New Roman"/>
          <w:sz w:val="24"/>
          <w:szCs w:val="24"/>
        </w:rPr>
        <w:t>у</w:t>
      </w:r>
      <w:r w:rsidR="008D574A" w:rsidRPr="00FB5A28">
        <w:rPr>
          <w:rFonts w:ascii="Times New Roman" w:hAnsi="Times New Roman"/>
          <w:sz w:val="24"/>
          <w:szCs w:val="24"/>
        </w:rPr>
        <w:t xml:space="preserve"> </w:t>
      </w:r>
      <w:r w:rsidRPr="00FB5A28">
        <w:rPr>
          <w:rFonts w:ascii="Times New Roman" w:hAnsi="Times New Roman"/>
          <w:sz w:val="24"/>
          <w:szCs w:val="24"/>
        </w:rPr>
        <w:t>смислу</w:t>
      </w:r>
      <w:r w:rsidR="008D574A" w:rsidRPr="00FB5A28">
        <w:rPr>
          <w:rFonts w:ascii="Times New Roman" w:hAnsi="Times New Roman"/>
          <w:sz w:val="24"/>
          <w:szCs w:val="24"/>
        </w:rPr>
        <w:t xml:space="preserve"> </w:t>
      </w:r>
      <w:r w:rsidRPr="00FB5A28">
        <w:rPr>
          <w:rFonts w:ascii="Times New Roman" w:hAnsi="Times New Roman"/>
          <w:sz w:val="24"/>
          <w:szCs w:val="24"/>
        </w:rPr>
        <w:t>прописа</w:t>
      </w:r>
      <w:r w:rsidR="008D574A" w:rsidRPr="00FB5A28">
        <w:rPr>
          <w:rFonts w:ascii="Times New Roman" w:hAnsi="Times New Roman"/>
          <w:sz w:val="24"/>
          <w:szCs w:val="24"/>
        </w:rPr>
        <w:t xml:space="preserve"> </w:t>
      </w:r>
      <w:r w:rsidRPr="00FB5A28">
        <w:rPr>
          <w:rFonts w:ascii="Times New Roman" w:hAnsi="Times New Roman"/>
          <w:sz w:val="24"/>
          <w:szCs w:val="24"/>
        </w:rPr>
        <w:t>којима</w:t>
      </w:r>
      <w:r w:rsidR="008D574A" w:rsidRPr="00FB5A28">
        <w:rPr>
          <w:rFonts w:ascii="Times New Roman" w:hAnsi="Times New Roman"/>
          <w:sz w:val="24"/>
          <w:szCs w:val="24"/>
        </w:rPr>
        <w:t xml:space="preserve"> </w:t>
      </w:r>
      <w:r w:rsidRPr="00FB5A28">
        <w:rPr>
          <w:rFonts w:ascii="Times New Roman" w:hAnsi="Times New Roman"/>
          <w:sz w:val="24"/>
          <w:szCs w:val="24"/>
        </w:rPr>
        <w:t>се</w:t>
      </w:r>
      <w:r w:rsidR="008D574A" w:rsidRPr="00FB5A28">
        <w:rPr>
          <w:rFonts w:ascii="Times New Roman" w:hAnsi="Times New Roman"/>
          <w:sz w:val="24"/>
          <w:szCs w:val="24"/>
        </w:rPr>
        <w:t xml:space="preserve"> </w:t>
      </w:r>
      <w:r w:rsidRPr="00FB5A28">
        <w:rPr>
          <w:rFonts w:ascii="Times New Roman" w:hAnsi="Times New Roman"/>
          <w:sz w:val="24"/>
          <w:szCs w:val="24"/>
        </w:rPr>
        <w:t>уређују</w:t>
      </w:r>
      <w:r w:rsidR="008D574A" w:rsidRPr="00FB5A28">
        <w:rPr>
          <w:rFonts w:ascii="Times New Roman" w:hAnsi="Times New Roman"/>
          <w:sz w:val="24"/>
          <w:szCs w:val="24"/>
        </w:rPr>
        <w:t xml:space="preserve"> </w:t>
      </w:r>
      <w:r w:rsidRPr="00FB5A28">
        <w:rPr>
          <w:rFonts w:ascii="Times New Roman" w:hAnsi="Times New Roman"/>
          <w:sz w:val="24"/>
          <w:szCs w:val="24"/>
        </w:rPr>
        <w:t>услови</w:t>
      </w:r>
      <w:r w:rsidR="008D574A" w:rsidRPr="00FB5A28">
        <w:rPr>
          <w:rFonts w:ascii="Times New Roman" w:hAnsi="Times New Roman"/>
          <w:sz w:val="24"/>
          <w:szCs w:val="24"/>
        </w:rPr>
        <w:t xml:space="preserve"> </w:t>
      </w:r>
      <w:r w:rsidRPr="00FB5A28">
        <w:rPr>
          <w:rFonts w:ascii="Times New Roman" w:hAnsi="Times New Roman"/>
          <w:sz w:val="24"/>
          <w:szCs w:val="24"/>
        </w:rPr>
        <w:t>и</w:t>
      </w:r>
      <w:r w:rsidR="008D574A" w:rsidRPr="00FB5A28">
        <w:rPr>
          <w:rFonts w:ascii="Times New Roman" w:hAnsi="Times New Roman"/>
          <w:sz w:val="24"/>
          <w:szCs w:val="24"/>
        </w:rPr>
        <w:t xml:space="preserve"> </w:t>
      </w:r>
      <w:r w:rsidRPr="00FB5A28">
        <w:rPr>
          <w:rFonts w:ascii="Times New Roman" w:hAnsi="Times New Roman"/>
          <w:sz w:val="24"/>
          <w:szCs w:val="24"/>
        </w:rPr>
        <w:t>поступак</w:t>
      </w:r>
      <w:r w:rsidR="008D574A" w:rsidRPr="00FB5A28">
        <w:rPr>
          <w:rFonts w:ascii="Times New Roman" w:hAnsi="Times New Roman"/>
          <w:sz w:val="24"/>
          <w:szCs w:val="24"/>
        </w:rPr>
        <w:t xml:space="preserve"> </w:t>
      </w:r>
      <w:r w:rsidRPr="00FB5A28">
        <w:rPr>
          <w:rFonts w:ascii="Times New Roman" w:hAnsi="Times New Roman"/>
          <w:sz w:val="24"/>
          <w:szCs w:val="24"/>
        </w:rPr>
        <w:t>промене</w:t>
      </w:r>
      <w:r w:rsidR="008D574A" w:rsidRPr="00FB5A28">
        <w:rPr>
          <w:rFonts w:ascii="Times New Roman" w:hAnsi="Times New Roman"/>
          <w:sz w:val="24"/>
          <w:szCs w:val="24"/>
        </w:rPr>
        <w:t xml:space="preserve"> </w:t>
      </w:r>
      <w:r w:rsidRPr="00FB5A28">
        <w:rPr>
          <w:rFonts w:ascii="Times New Roman" w:hAnsi="Times New Roman"/>
          <w:sz w:val="24"/>
          <w:szCs w:val="24"/>
        </w:rPr>
        <w:t>власништва</w:t>
      </w:r>
      <w:r w:rsidR="008D574A" w:rsidRPr="00FB5A28">
        <w:rPr>
          <w:rFonts w:ascii="Times New Roman" w:hAnsi="Times New Roman"/>
          <w:sz w:val="24"/>
          <w:szCs w:val="24"/>
        </w:rPr>
        <w:t xml:space="preserve"> </w:t>
      </w:r>
      <w:r w:rsidRPr="00FB5A28">
        <w:rPr>
          <w:rFonts w:ascii="Times New Roman" w:hAnsi="Times New Roman"/>
          <w:sz w:val="24"/>
          <w:szCs w:val="24"/>
        </w:rPr>
        <w:t>друштвеног</w:t>
      </w:r>
      <w:r w:rsidR="008D574A" w:rsidRPr="00FB5A28">
        <w:rPr>
          <w:rFonts w:ascii="Times New Roman" w:hAnsi="Times New Roman"/>
          <w:sz w:val="24"/>
          <w:szCs w:val="24"/>
        </w:rPr>
        <w:t xml:space="preserve">, </w:t>
      </w:r>
      <w:r w:rsidRPr="00FB5A28">
        <w:rPr>
          <w:rFonts w:ascii="Times New Roman" w:hAnsi="Times New Roman"/>
          <w:sz w:val="24"/>
          <w:szCs w:val="24"/>
        </w:rPr>
        <w:t>односно</w:t>
      </w:r>
      <w:r w:rsidR="008D574A" w:rsidRPr="00FB5A28">
        <w:rPr>
          <w:rFonts w:ascii="Times New Roman" w:hAnsi="Times New Roman"/>
          <w:sz w:val="24"/>
          <w:szCs w:val="24"/>
        </w:rPr>
        <w:t xml:space="preserve"> </w:t>
      </w:r>
      <w:r w:rsidRPr="00FB5A28">
        <w:rPr>
          <w:rFonts w:ascii="Times New Roman" w:hAnsi="Times New Roman"/>
          <w:sz w:val="24"/>
          <w:szCs w:val="24"/>
        </w:rPr>
        <w:t>државног</w:t>
      </w:r>
      <w:r w:rsidR="008D574A" w:rsidRPr="00FB5A28">
        <w:rPr>
          <w:rFonts w:ascii="Times New Roman" w:hAnsi="Times New Roman"/>
          <w:sz w:val="24"/>
          <w:szCs w:val="24"/>
        </w:rPr>
        <w:t xml:space="preserve"> </w:t>
      </w:r>
      <w:r w:rsidRPr="00FB5A28">
        <w:rPr>
          <w:rFonts w:ascii="Times New Roman" w:hAnsi="Times New Roman"/>
          <w:sz w:val="24"/>
          <w:szCs w:val="24"/>
        </w:rPr>
        <w:t>капитала</w:t>
      </w:r>
      <w:r w:rsidR="008D574A" w:rsidRPr="00FB5A28">
        <w:rPr>
          <w:rFonts w:ascii="Times New Roman" w:hAnsi="Times New Roman"/>
          <w:sz w:val="24"/>
          <w:szCs w:val="24"/>
        </w:rPr>
        <w:t xml:space="preserve">, </w:t>
      </w:r>
      <w:r w:rsidRPr="00FB5A28">
        <w:rPr>
          <w:rFonts w:ascii="Times New Roman" w:hAnsi="Times New Roman"/>
          <w:sz w:val="24"/>
          <w:szCs w:val="24"/>
        </w:rPr>
        <w:t>уплаћене</w:t>
      </w:r>
      <w:r w:rsidR="008D574A" w:rsidRPr="00FB5A28">
        <w:rPr>
          <w:rFonts w:ascii="Times New Roman" w:hAnsi="Times New Roman"/>
          <w:sz w:val="24"/>
          <w:szCs w:val="24"/>
        </w:rPr>
        <w:t xml:space="preserve"> </w:t>
      </w:r>
      <w:r w:rsidRPr="00FB5A28">
        <w:rPr>
          <w:rFonts w:ascii="Times New Roman" w:hAnsi="Times New Roman"/>
          <w:sz w:val="24"/>
          <w:szCs w:val="24"/>
        </w:rPr>
        <w:t>пре</w:t>
      </w:r>
      <w:r w:rsidR="008D574A" w:rsidRPr="00FB5A28">
        <w:rPr>
          <w:rFonts w:ascii="Times New Roman" w:hAnsi="Times New Roman"/>
          <w:sz w:val="24"/>
          <w:szCs w:val="24"/>
        </w:rPr>
        <w:t xml:space="preserve"> </w:t>
      </w:r>
      <w:r w:rsidRPr="00FB5A28">
        <w:rPr>
          <w:rFonts w:ascii="Times New Roman" w:hAnsi="Times New Roman"/>
          <w:sz w:val="24"/>
          <w:szCs w:val="24"/>
        </w:rPr>
        <w:t>исплате</w:t>
      </w:r>
      <w:r w:rsidR="008D574A" w:rsidRPr="00FB5A28">
        <w:rPr>
          <w:rFonts w:ascii="Times New Roman" w:hAnsi="Times New Roman"/>
          <w:sz w:val="24"/>
          <w:szCs w:val="24"/>
        </w:rPr>
        <w:t xml:space="preserve"> </w:t>
      </w:r>
      <w:r w:rsidRPr="00FB5A28">
        <w:rPr>
          <w:rFonts w:ascii="Times New Roman" w:hAnsi="Times New Roman"/>
          <w:sz w:val="24"/>
          <w:szCs w:val="24"/>
        </w:rPr>
        <w:t>дивиденде</w:t>
      </w:r>
      <w:r w:rsidR="008D574A" w:rsidRPr="00FB5A28">
        <w:rPr>
          <w:rFonts w:ascii="Times New Roman" w:hAnsi="Times New Roman"/>
          <w:sz w:val="24"/>
          <w:szCs w:val="24"/>
        </w:rPr>
        <w:t xml:space="preserve">, </w:t>
      </w:r>
      <w:r w:rsidRPr="00FB5A28">
        <w:rPr>
          <w:rFonts w:ascii="Times New Roman" w:hAnsi="Times New Roman"/>
          <w:sz w:val="24"/>
          <w:szCs w:val="24"/>
        </w:rPr>
        <w:t>а</w:t>
      </w:r>
      <w:r w:rsidR="008D574A" w:rsidRPr="00FB5A28">
        <w:rPr>
          <w:rFonts w:ascii="Times New Roman" w:hAnsi="Times New Roman"/>
          <w:sz w:val="24"/>
          <w:szCs w:val="24"/>
        </w:rPr>
        <w:t xml:space="preserve"> </w:t>
      </w:r>
      <w:r w:rsidRPr="00FB5A28">
        <w:rPr>
          <w:rFonts w:ascii="Times New Roman" w:hAnsi="Times New Roman"/>
          <w:sz w:val="24"/>
          <w:szCs w:val="24"/>
        </w:rPr>
        <w:t>највише</w:t>
      </w:r>
      <w:r w:rsidR="008D574A" w:rsidRPr="00FB5A28">
        <w:rPr>
          <w:rFonts w:ascii="Times New Roman" w:hAnsi="Times New Roman"/>
          <w:sz w:val="24"/>
          <w:szCs w:val="24"/>
        </w:rPr>
        <w:t xml:space="preserve"> </w:t>
      </w:r>
      <w:r w:rsidRPr="00FB5A28">
        <w:rPr>
          <w:rFonts w:ascii="Times New Roman" w:hAnsi="Times New Roman"/>
          <w:sz w:val="24"/>
          <w:szCs w:val="24"/>
        </w:rPr>
        <w:t>до</w:t>
      </w:r>
      <w:r w:rsidR="008D574A" w:rsidRPr="00FB5A28">
        <w:rPr>
          <w:rFonts w:ascii="Times New Roman" w:hAnsi="Times New Roman"/>
          <w:sz w:val="24"/>
          <w:szCs w:val="24"/>
        </w:rPr>
        <w:t xml:space="preserve"> </w:t>
      </w:r>
      <w:r w:rsidRPr="00FB5A28">
        <w:rPr>
          <w:rFonts w:ascii="Times New Roman" w:hAnsi="Times New Roman"/>
          <w:sz w:val="24"/>
          <w:szCs w:val="24"/>
        </w:rPr>
        <w:t>износа</w:t>
      </w:r>
      <w:r w:rsidR="008D574A" w:rsidRPr="00FB5A28">
        <w:rPr>
          <w:rFonts w:ascii="Times New Roman" w:hAnsi="Times New Roman"/>
          <w:sz w:val="24"/>
          <w:szCs w:val="24"/>
        </w:rPr>
        <w:t xml:space="preserve"> </w:t>
      </w:r>
      <w:r w:rsidRPr="00FB5A28">
        <w:rPr>
          <w:rFonts w:ascii="Times New Roman" w:hAnsi="Times New Roman"/>
          <w:sz w:val="24"/>
          <w:szCs w:val="24"/>
        </w:rPr>
        <w:t>исплаћене</w:t>
      </w:r>
      <w:r w:rsidR="008D574A" w:rsidRPr="00FB5A28">
        <w:rPr>
          <w:rFonts w:ascii="Times New Roman" w:hAnsi="Times New Roman"/>
          <w:sz w:val="24"/>
          <w:szCs w:val="24"/>
        </w:rPr>
        <w:t xml:space="preserve"> </w:t>
      </w:r>
      <w:r w:rsidRPr="00FB5A28">
        <w:rPr>
          <w:rFonts w:ascii="Times New Roman" w:hAnsi="Times New Roman"/>
          <w:sz w:val="24"/>
          <w:szCs w:val="24"/>
        </w:rPr>
        <w:t>дивиденде</w:t>
      </w:r>
      <w:r w:rsidR="008D574A" w:rsidRPr="00FB5A28">
        <w:rPr>
          <w:rFonts w:ascii="Times New Roman" w:hAnsi="Times New Roman"/>
          <w:sz w:val="24"/>
          <w:szCs w:val="24"/>
        </w:rPr>
        <w:t>.</w:t>
      </w:r>
      <w:r w:rsidR="00F36E79" w:rsidRPr="00FB5A28">
        <w:rPr>
          <w:rFonts w:ascii="Times New Roman" w:hAnsi="Times New Roman"/>
          <w:sz w:val="24"/>
          <w:szCs w:val="24"/>
          <w:lang w:val="sr-Cyrl-CS"/>
        </w:rPr>
        <w:t xml:space="preserve"> </w:t>
      </w:r>
    </w:p>
    <w:p w:rsidR="008D574A" w:rsidRPr="00FB5A28" w:rsidRDefault="00785994" w:rsidP="00FB5A28">
      <w:pPr>
        <w:ind w:firstLine="708"/>
        <w:jc w:val="both"/>
        <w:rPr>
          <w:rFonts w:ascii="Times New Roman" w:hAnsi="Times New Roman"/>
          <w:sz w:val="24"/>
          <w:szCs w:val="24"/>
          <w:lang w:val="sr-Cyrl-CS"/>
        </w:rPr>
      </w:pPr>
      <w:r w:rsidRPr="00FB5A28">
        <w:rPr>
          <w:rFonts w:ascii="Times New Roman" w:hAnsi="Times New Roman"/>
          <w:sz w:val="24"/>
          <w:szCs w:val="24"/>
        </w:rPr>
        <w:t>Обвезник</w:t>
      </w:r>
      <w:r w:rsidR="008D574A" w:rsidRPr="00FB5A28">
        <w:rPr>
          <w:rFonts w:ascii="Times New Roman" w:hAnsi="Times New Roman"/>
          <w:sz w:val="24"/>
          <w:szCs w:val="24"/>
        </w:rPr>
        <w:t xml:space="preserve"> </w:t>
      </w:r>
      <w:r w:rsidRPr="00FB5A28">
        <w:rPr>
          <w:rFonts w:ascii="Times New Roman" w:hAnsi="Times New Roman"/>
          <w:sz w:val="24"/>
          <w:szCs w:val="24"/>
        </w:rPr>
        <w:t>пореза</w:t>
      </w:r>
      <w:r w:rsidR="008D574A" w:rsidRPr="00FB5A28">
        <w:rPr>
          <w:rFonts w:ascii="Times New Roman" w:hAnsi="Times New Roman"/>
          <w:sz w:val="24"/>
          <w:szCs w:val="24"/>
        </w:rPr>
        <w:t xml:space="preserve"> </w:t>
      </w:r>
      <w:r w:rsidRPr="00FB5A28">
        <w:rPr>
          <w:rFonts w:ascii="Times New Roman" w:hAnsi="Times New Roman"/>
          <w:sz w:val="24"/>
          <w:szCs w:val="24"/>
        </w:rPr>
        <w:t>на</w:t>
      </w:r>
      <w:r w:rsidR="008D574A" w:rsidRPr="00FB5A28">
        <w:rPr>
          <w:rFonts w:ascii="Times New Roman" w:hAnsi="Times New Roman"/>
          <w:sz w:val="24"/>
          <w:szCs w:val="24"/>
        </w:rPr>
        <w:t xml:space="preserve"> </w:t>
      </w:r>
      <w:r w:rsidRPr="00FB5A28">
        <w:rPr>
          <w:rFonts w:ascii="Times New Roman" w:hAnsi="Times New Roman"/>
          <w:sz w:val="24"/>
          <w:szCs w:val="24"/>
        </w:rPr>
        <w:t>приходе</w:t>
      </w:r>
      <w:r w:rsidR="008D574A" w:rsidRPr="00FB5A28">
        <w:rPr>
          <w:rFonts w:ascii="Times New Roman" w:hAnsi="Times New Roman"/>
          <w:sz w:val="24"/>
          <w:szCs w:val="24"/>
        </w:rPr>
        <w:t xml:space="preserve"> </w:t>
      </w:r>
      <w:r w:rsidRPr="00FB5A28">
        <w:rPr>
          <w:rFonts w:ascii="Times New Roman" w:hAnsi="Times New Roman"/>
          <w:sz w:val="24"/>
          <w:szCs w:val="24"/>
        </w:rPr>
        <w:t>од</w:t>
      </w:r>
      <w:r w:rsidR="008D574A" w:rsidRPr="00FB5A28">
        <w:rPr>
          <w:rFonts w:ascii="Times New Roman" w:hAnsi="Times New Roman"/>
          <w:sz w:val="24"/>
          <w:szCs w:val="24"/>
        </w:rPr>
        <w:t xml:space="preserve"> </w:t>
      </w:r>
      <w:r w:rsidRPr="00FB5A28">
        <w:rPr>
          <w:rFonts w:ascii="Times New Roman" w:hAnsi="Times New Roman"/>
          <w:sz w:val="24"/>
          <w:szCs w:val="24"/>
        </w:rPr>
        <w:t>капитала</w:t>
      </w:r>
      <w:r w:rsidR="008D574A" w:rsidRPr="00FB5A28">
        <w:rPr>
          <w:rFonts w:ascii="Times New Roman" w:hAnsi="Times New Roman"/>
          <w:sz w:val="24"/>
          <w:szCs w:val="24"/>
        </w:rPr>
        <w:t xml:space="preserve"> </w:t>
      </w:r>
      <w:r w:rsidRPr="00FB5A28">
        <w:rPr>
          <w:rFonts w:ascii="Times New Roman" w:hAnsi="Times New Roman"/>
          <w:sz w:val="24"/>
          <w:szCs w:val="24"/>
        </w:rPr>
        <w:t>је</w:t>
      </w:r>
      <w:r w:rsidR="008D574A" w:rsidRPr="00FB5A28">
        <w:rPr>
          <w:rFonts w:ascii="Times New Roman" w:hAnsi="Times New Roman"/>
          <w:sz w:val="24"/>
          <w:szCs w:val="24"/>
        </w:rPr>
        <w:t xml:space="preserve"> </w:t>
      </w:r>
      <w:r w:rsidRPr="00FB5A28">
        <w:rPr>
          <w:rFonts w:ascii="Times New Roman" w:hAnsi="Times New Roman"/>
          <w:sz w:val="24"/>
          <w:szCs w:val="24"/>
        </w:rPr>
        <w:t>физичко</w:t>
      </w:r>
      <w:r w:rsidR="008D574A" w:rsidRPr="00FB5A28">
        <w:rPr>
          <w:rFonts w:ascii="Times New Roman" w:hAnsi="Times New Roman"/>
          <w:sz w:val="24"/>
          <w:szCs w:val="24"/>
        </w:rPr>
        <w:t xml:space="preserve"> </w:t>
      </w:r>
      <w:r w:rsidRPr="00FB5A28">
        <w:rPr>
          <w:rFonts w:ascii="Times New Roman" w:hAnsi="Times New Roman"/>
          <w:sz w:val="24"/>
          <w:szCs w:val="24"/>
        </w:rPr>
        <w:t>лице</w:t>
      </w:r>
      <w:r w:rsidR="008D574A" w:rsidRPr="00FB5A28">
        <w:rPr>
          <w:rFonts w:ascii="Times New Roman" w:hAnsi="Times New Roman"/>
          <w:sz w:val="24"/>
          <w:szCs w:val="24"/>
        </w:rPr>
        <w:t xml:space="preserve"> </w:t>
      </w:r>
      <w:r w:rsidRPr="00FB5A28">
        <w:rPr>
          <w:rFonts w:ascii="Times New Roman" w:hAnsi="Times New Roman"/>
          <w:sz w:val="24"/>
          <w:szCs w:val="24"/>
        </w:rPr>
        <w:t>које</w:t>
      </w:r>
      <w:r w:rsidR="008D574A" w:rsidRPr="00FB5A28">
        <w:rPr>
          <w:rFonts w:ascii="Times New Roman" w:hAnsi="Times New Roman"/>
          <w:sz w:val="24"/>
          <w:szCs w:val="24"/>
        </w:rPr>
        <w:t xml:space="preserve"> </w:t>
      </w:r>
      <w:r w:rsidRPr="00FB5A28">
        <w:rPr>
          <w:rFonts w:ascii="Times New Roman" w:hAnsi="Times New Roman"/>
          <w:sz w:val="24"/>
          <w:szCs w:val="24"/>
        </w:rPr>
        <w:t>остварује</w:t>
      </w:r>
      <w:r w:rsidR="008D574A" w:rsidRPr="00FB5A28">
        <w:rPr>
          <w:rFonts w:ascii="Times New Roman" w:hAnsi="Times New Roman"/>
          <w:sz w:val="24"/>
          <w:szCs w:val="24"/>
        </w:rPr>
        <w:t xml:space="preserve"> </w:t>
      </w:r>
      <w:r w:rsidRPr="00FB5A28">
        <w:rPr>
          <w:rFonts w:ascii="Times New Roman" w:hAnsi="Times New Roman"/>
          <w:sz w:val="24"/>
          <w:szCs w:val="24"/>
        </w:rPr>
        <w:t>те</w:t>
      </w:r>
      <w:r w:rsidR="008D574A" w:rsidRPr="00FB5A28">
        <w:rPr>
          <w:rFonts w:ascii="Times New Roman" w:hAnsi="Times New Roman"/>
          <w:sz w:val="24"/>
          <w:szCs w:val="24"/>
        </w:rPr>
        <w:t xml:space="preserve"> </w:t>
      </w:r>
      <w:r w:rsidRPr="00FB5A28">
        <w:rPr>
          <w:rFonts w:ascii="Times New Roman" w:hAnsi="Times New Roman"/>
          <w:sz w:val="24"/>
          <w:szCs w:val="24"/>
        </w:rPr>
        <w:t>приходе</w:t>
      </w:r>
      <w:r w:rsidR="008D574A" w:rsidRPr="00FB5A28">
        <w:rPr>
          <w:rFonts w:ascii="Times New Roman" w:hAnsi="Times New Roman"/>
          <w:sz w:val="24"/>
          <w:szCs w:val="24"/>
        </w:rPr>
        <w:t>.</w:t>
      </w:r>
      <w:r w:rsidR="00F36E79" w:rsidRPr="00FB5A28">
        <w:rPr>
          <w:rStyle w:val="FootnoteReference"/>
          <w:rFonts w:ascii="Times New Roman" w:hAnsi="Times New Roman"/>
          <w:color w:val="000000"/>
          <w:sz w:val="24"/>
          <w:szCs w:val="24"/>
        </w:rPr>
        <w:footnoteReference w:id="460"/>
      </w:r>
    </w:p>
    <w:p w:rsidR="008D574A" w:rsidRPr="00FB5A28" w:rsidRDefault="00F36E79" w:rsidP="00FB5A28">
      <w:pPr>
        <w:ind w:firstLine="708"/>
        <w:jc w:val="both"/>
        <w:rPr>
          <w:rFonts w:ascii="Times New Roman" w:hAnsi="Times New Roman"/>
          <w:sz w:val="24"/>
          <w:szCs w:val="24"/>
        </w:rPr>
      </w:pPr>
      <w:bookmarkStart w:id="39" w:name="str_45"/>
      <w:bookmarkEnd w:id="39"/>
      <w:r w:rsidRPr="00FB5A28">
        <w:rPr>
          <w:rFonts w:ascii="Times New Roman" w:hAnsi="Times New Roman"/>
          <w:sz w:val="24"/>
          <w:szCs w:val="24"/>
          <w:lang w:val="sr-Cyrl-CS"/>
        </w:rPr>
        <w:t>Пореску основицу, односно о</w:t>
      </w:r>
      <w:r w:rsidR="00785994" w:rsidRPr="00FB5A28">
        <w:rPr>
          <w:rFonts w:ascii="Times New Roman" w:hAnsi="Times New Roman"/>
          <w:sz w:val="24"/>
          <w:szCs w:val="24"/>
        </w:rPr>
        <w:t>порезиви</w:t>
      </w:r>
      <w:r w:rsidR="008D574A" w:rsidRPr="00FB5A28">
        <w:rPr>
          <w:rFonts w:ascii="Times New Roman" w:hAnsi="Times New Roman"/>
          <w:sz w:val="24"/>
          <w:szCs w:val="24"/>
        </w:rPr>
        <w:t xml:space="preserve"> </w:t>
      </w:r>
      <w:r w:rsidR="00785994" w:rsidRPr="00FB5A28">
        <w:rPr>
          <w:rFonts w:ascii="Times New Roman" w:hAnsi="Times New Roman"/>
          <w:sz w:val="24"/>
          <w:szCs w:val="24"/>
        </w:rPr>
        <w:t>приход</w:t>
      </w:r>
      <w:r w:rsidR="008D574A" w:rsidRPr="00FB5A28">
        <w:rPr>
          <w:rFonts w:ascii="Times New Roman" w:hAnsi="Times New Roman"/>
          <w:sz w:val="24"/>
          <w:szCs w:val="24"/>
        </w:rPr>
        <w:t xml:space="preserve"> </w:t>
      </w:r>
      <w:r w:rsidR="00785994" w:rsidRPr="00FB5A28">
        <w:rPr>
          <w:rFonts w:ascii="Times New Roman" w:hAnsi="Times New Roman"/>
          <w:sz w:val="24"/>
          <w:szCs w:val="24"/>
        </w:rPr>
        <w:t>од</w:t>
      </w:r>
      <w:r w:rsidR="008D574A" w:rsidRPr="00FB5A28">
        <w:rPr>
          <w:rFonts w:ascii="Times New Roman" w:hAnsi="Times New Roman"/>
          <w:sz w:val="24"/>
          <w:szCs w:val="24"/>
        </w:rPr>
        <w:t xml:space="preserve"> </w:t>
      </w:r>
      <w:r w:rsidR="00785994" w:rsidRPr="00FB5A28">
        <w:rPr>
          <w:rFonts w:ascii="Times New Roman" w:hAnsi="Times New Roman"/>
          <w:sz w:val="24"/>
          <w:szCs w:val="24"/>
        </w:rPr>
        <w:t>капитала</w:t>
      </w:r>
      <w:r w:rsidR="008D574A" w:rsidRPr="00FB5A28">
        <w:rPr>
          <w:rFonts w:ascii="Times New Roman" w:hAnsi="Times New Roman"/>
          <w:sz w:val="24"/>
          <w:szCs w:val="24"/>
        </w:rPr>
        <w:t xml:space="preserve"> </w:t>
      </w:r>
      <w:r w:rsidR="00785994" w:rsidRPr="00FB5A28">
        <w:rPr>
          <w:rFonts w:ascii="Times New Roman" w:hAnsi="Times New Roman"/>
          <w:sz w:val="24"/>
          <w:szCs w:val="24"/>
        </w:rPr>
        <w:t>чини</w:t>
      </w:r>
      <w:r w:rsidR="008D574A" w:rsidRPr="00FB5A28">
        <w:rPr>
          <w:rFonts w:ascii="Times New Roman" w:hAnsi="Times New Roman"/>
          <w:sz w:val="24"/>
          <w:szCs w:val="24"/>
        </w:rPr>
        <w:t xml:space="preserve"> </w:t>
      </w:r>
      <w:r w:rsidR="00785994" w:rsidRPr="00FB5A28">
        <w:rPr>
          <w:rFonts w:ascii="Times New Roman" w:hAnsi="Times New Roman"/>
          <w:sz w:val="24"/>
          <w:szCs w:val="24"/>
        </w:rPr>
        <w:t>новчани</w:t>
      </w:r>
      <w:r w:rsidR="008D574A" w:rsidRPr="00FB5A28">
        <w:rPr>
          <w:rFonts w:ascii="Times New Roman" w:hAnsi="Times New Roman"/>
          <w:sz w:val="24"/>
          <w:szCs w:val="24"/>
        </w:rPr>
        <w:t xml:space="preserve"> </w:t>
      </w:r>
      <w:r w:rsidR="00785994" w:rsidRPr="00FB5A28">
        <w:rPr>
          <w:rFonts w:ascii="Times New Roman" w:hAnsi="Times New Roman"/>
          <w:sz w:val="24"/>
          <w:szCs w:val="24"/>
        </w:rPr>
        <w:t>или</w:t>
      </w:r>
      <w:r w:rsidR="008D574A" w:rsidRPr="00FB5A28">
        <w:rPr>
          <w:rFonts w:ascii="Times New Roman" w:hAnsi="Times New Roman"/>
          <w:sz w:val="24"/>
          <w:szCs w:val="24"/>
        </w:rPr>
        <w:t xml:space="preserve"> </w:t>
      </w:r>
      <w:r w:rsidR="00785994" w:rsidRPr="00FB5A28">
        <w:rPr>
          <w:rFonts w:ascii="Times New Roman" w:hAnsi="Times New Roman"/>
          <w:sz w:val="24"/>
          <w:szCs w:val="24"/>
        </w:rPr>
        <w:t>неновчани</w:t>
      </w:r>
      <w:r w:rsidR="008D574A" w:rsidRPr="00FB5A28">
        <w:rPr>
          <w:rFonts w:ascii="Times New Roman" w:hAnsi="Times New Roman"/>
          <w:sz w:val="24"/>
          <w:szCs w:val="24"/>
        </w:rPr>
        <w:t xml:space="preserve"> </w:t>
      </w:r>
      <w:r w:rsidR="00785994" w:rsidRPr="00FB5A28">
        <w:rPr>
          <w:rFonts w:ascii="Times New Roman" w:hAnsi="Times New Roman"/>
          <w:sz w:val="24"/>
          <w:szCs w:val="24"/>
        </w:rPr>
        <w:t>износ</w:t>
      </w:r>
      <w:r w:rsidR="008D574A" w:rsidRPr="00FB5A28">
        <w:rPr>
          <w:rFonts w:ascii="Times New Roman" w:hAnsi="Times New Roman"/>
          <w:sz w:val="24"/>
          <w:szCs w:val="24"/>
        </w:rPr>
        <w:t xml:space="preserve"> </w:t>
      </w:r>
      <w:r w:rsidR="00785994" w:rsidRPr="00FB5A28">
        <w:rPr>
          <w:rFonts w:ascii="Times New Roman" w:hAnsi="Times New Roman"/>
          <w:sz w:val="24"/>
          <w:szCs w:val="24"/>
        </w:rPr>
        <w:t>оствареног</w:t>
      </w:r>
      <w:r w:rsidR="008D574A" w:rsidRPr="00FB5A28">
        <w:rPr>
          <w:rFonts w:ascii="Times New Roman" w:hAnsi="Times New Roman"/>
          <w:sz w:val="24"/>
          <w:szCs w:val="24"/>
        </w:rPr>
        <w:t xml:space="preserve"> </w:t>
      </w:r>
      <w:r w:rsidR="00785994" w:rsidRPr="00FB5A28">
        <w:rPr>
          <w:rFonts w:ascii="Times New Roman" w:hAnsi="Times New Roman"/>
          <w:sz w:val="24"/>
          <w:szCs w:val="24"/>
        </w:rPr>
        <w:t>прихода</w:t>
      </w:r>
      <w:r w:rsidR="008D574A" w:rsidRPr="00FB5A28">
        <w:rPr>
          <w:rFonts w:ascii="Times New Roman" w:hAnsi="Times New Roman"/>
          <w:sz w:val="24"/>
          <w:szCs w:val="24"/>
        </w:rPr>
        <w:t>.</w:t>
      </w:r>
      <w:r w:rsidR="00785994" w:rsidRPr="00FB5A28">
        <w:rPr>
          <w:rFonts w:ascii="Times New Roman" w:hAnsi="Times New Roman"/>
          <w:sz w:val="24"/>
          <w:szCs w:val="24"/>
          <w:lang w:val="sr-Cyrl-CS"/>
        </w:rPr>
        <w:t xml:space="preserve"> </w:t>
      </w:r>
      <w:r w:rsidR="00785994" w:rsidRPr="00FB5A28">
        <w:rPr>
          <w:rFonts w:ascii="Times New Roman" w:hAnsi="Times New Roman"/>
          <w:sz w:val="24"/>
          <w:szCs w:val="24"/>
        </w:rPr>
        <w:t>Ако</w:t>
      </w:r>
      <w:r w:rsidR="008D574A" w:rsidRPr="00FB5A28">
        <w:rPr>
          <w:rFonts w:ascii="Times New Roman" w:hAnsi="Times New Roman"/>
          <w:sz w:val="24"/>
          <w:szCs w:val="24"/>
        </w:rPr>
        <w:t xml:space="preserve"> </w:t>
      </w:r>
      <w:r w:rsidR="00785994" w:rsidRPr="00FB5A28">
        <w:rPr>
          <w:rFonts w:ascii="Times New Roman" w:hAnsi="Times New Roman"/>
          <w:sz w:val="24"/>
          <w:szCs w:val="24"/>
        </w:rPr>
        <w:t>су</w:t>
      </w:r>
      <w:r w:rsidR="008D574A" w:rsidRPr="00FB5A28">
        <w:rPr>
          <w:rFonts w:ascii="Times New Roman" w:hAnsi="Times New Roman"/>
          <w:sz w:val="24"/>
          <w:szCs w:val="24"/>
        </w:rPr>
        <w:t xml:space="preserve"> </w:t>
      </w:r>
      <w:r w:rsidR="00785994" w:rsidRPr="00FB5A28">
        <w:rPr>
          <w:rFonts w:ascii="Times New Roman" w:hAnsi="Times New Roman"/>
          <w:sz w:val="24"/>
          <w:szCs w:val="24"/>
        </w:rPr>
        <w:t>приходи</w:t>
      </w:r>
      <w:r w:rsidR="008D574A" w:rsidRPr="00FB5A28">
        <w:rPr>
          <w:rFonts w:ascii="Times New Roman" w:hAnsi="Times New Roman"/>
          <w:sz w:val="24"/>
          <w:szCs w:val="24"/>
        </w:rPr>
        <w:t xml:space="preserve"> </w:t>
      </w:r>
      <w:r w:rsidR="00785994" w:rsidRPr="00FB5A28">
        <w:rPr>
          <w:rFonts w:ascii="Times New Roman" w:hAnsi="Times New Roman"/>
          <w:sz w:val="24"/>
          <w:szCs w:val="24"/>
        </w:rPr>
        <w:t>од</w:t>
      </w:r>
      <w:r w:rsidR="008D574A" w:rsidRPr="00FB5A28">
        <w:rPr>
          <w:rFonts w:ascii="Times New Roman" w:hAnsi="Times New Roman"/>
          <w:sz w:val="24"/>
          <w:szCs w:val="24"/>
        </w:rPr>
        <w:t xml:space="preserve"> </w:t>
      </w:r>
      <w:r w:rsidR="00785994" w:rsidRPr="00FB5A28">
        <w:rPr>
          <w:rFonts w:ascii="Times New Roman" w:hAnsi="Times New Roman"/>
          <w:sz w:val="24"/>
          <w:szCs w:val="24"/>
        </w:rPr>
        <w:t>капитала</w:t>
      </w:r>
      <w:r w:rsidR="008D574A" w:rsidRPr="00FB5A28">
        <w:rPr>
          <w:rFonts w:ascii="Times New Roman" w:hAnsi="Times New Roman"/>
          <w:sz w:val="24"/>
          <w:szCs w:val="24"/>
        </w:rPr>
        <w:t xml:space="preserve"> </w:t>
      </w:r>
      <w:r w:rsidR="00785994" w:rsidRPr="00FB5A28">
        <w:rPr>
          <w:rFonts w:ascii="Times New Roman" w:hAnsi="Times New Roman"/>
          <w:sz w:val="24"/>
          <w:szCs w:val="24"/>
        </w:rPr>
        <w:t>остварени</w:t>
      </w:r>
      <w:r w:rsidR="008D574A" w:rsidRPr="00FB5A28">
        <w:rPr>
          <w:rFonts w:ascii="Times New Roman" w:hAnsi="Times New Roman"/>
          <w:sz w:val="24"/>
          <w:szCs w:val="24"/>
        </w:rPr>
        <w:t xml:space="preserve"> </w:t>
      </w:r>
      <w:r w:rsidR="00785994" w:rsidRPr="00FB5A28">
        <w:rPr>
          <w:rFonts w:ascii="Times New Roman" w:hAnsi="Times New Roman"/>
          <w:sz w:val="24"/>
          <w:szCs w:val="24"/>
        </w:rPr>
        <w:t>у</w:t>
      </w:r>
      <w:r w:rsidR="008D574A" w:rsidRPr="00FB5A28">
        <w:rPr>
          <w:rFonts w:ascii="Times New Roman" w:hAnsi="Times New Roman"/>
          <w:sz w:val="24"/>
          <w:szCs w:val="24"/>
        </w:rPr>
        <w:t xml:space="preserve"> </w:t>
      </w:r>
      <w:r w:rsidR="00785994" w:rsidRPr="00FB5A28">
        <w:rPr>
          <w:rFonts w:ascii="Times New Roman" w:hAnsi="Times New Roman"/>
          <w:sz w:val="24"/>
          <w:szCs w:val="24"/>
        </w:rPr>
        <w:t>неновчаном</w:t>
      </w:r>
      <w:r w:rsidR="008D574A" w:rsidRPr="00FB5A28">
        <w:rPr>
          <w:rFonts w:ascii="Times New Roman" w:hAnsi="Times New Roman"/>
          <w:sz w:val="24"/>
          <w:szCs w:val="24"/>
        </w:rPr>
        <w:t xml:space="preserve"> </w:t>
      </w:r>
      <w:r w:rsidR="00785994" w:rsidRPr="00FB5A28">
        <w:rPr>
          <w:rFonts w:ascii="Times New Roman" w:hAnsi="Times New Roman"/>
          <w:sz w:val="24"/>
          <w:szCs w:val="24"/>
        </w:rPr>
        <w:t>облику</w:t>
      </w:r>
      <w:r w:rsidR="008D574A" w:rsidRPr="00FB5A28">
        <w:rPr>
          <w:rFonts w:ascii="Times New Roman" w:hAnsi="Times New Roman"/>
          <w:sz w:val="24"/>
          <w:szCs w:val="24"/>
        </w:rPr>
        <w:t xml:space="preserve">, </w:t>
      </w:r>
      <w:r w:rsidR="00785994" w:rsidRPr="00FB5A28">
        <w:rPr>
          <w:rFonts w:ascii="Times New Roman" w:hAnsi="Times New Roman"/>
          <w:sz w:val="24"/>
          <w:szCs w:val="24"/>
        </w:rPr>
        <w:t>вредност</w:t>
      </w:r>
      <w:r w:rsidR="008D574A" w:rsidRPr="00FB5A28">
        <w:rPr>
          <w:rFonts w:ascii="Times New Roman" w:hAnsi="Times New Roman"/>
          <w:sz w:val="24"/>
          <w:szCs w:val="24"/>
        </w:rPr>
        <w:t xml:space="preserve"> </w:t>
      </w:r>
      <w:r w:rsidR="00785994" w:rsidRPr="00FB5A28">
        <w:rPr>
          <w:rFonts w:ascii="Times New Roman" w:hAnsi="Times New Roman"/>
          <w:sz w:val="24"/>
          <w:szCs w:val="24"/>
        </w:rPr>
        <w:t>тих</w:t>
      </w:r>
      <w:r w:rsidR="008D574A" w:rsidRPr="00FB5A28">
        <w:rPr>
          <w:rFonts w:ascii="Times New Roman" w:hAnsi="Times New Roman"/>
          <w:sz w:val="24"/>
          <w:szCs w:val="24"/>
        </w:rPr>
        <w:t xml:space="preserve"> </w:t>
      </w:r>
      <w:r w:rsidR="00785994" w:rsidRPr="00FB5A28">
        <w:rPr>
          <w:rFonts w:ascii="Times New Roman" w:hAnsi="Times New Roman"/>
          <w:sz w:val="24"/>
          <w:szCs w:val="24"/>
        </w:rPr>
        <w:t>прихода</w:t>
      </w:r>
      <w:r w:rsidR="008D574A" w:rsidRPr="00FB5A28">
        <w:rPr>
          <w:rFonts w:ascii="Times New Roman" w:hAnsi="Times New Roman"/>
          <w:sz w:val="24"/>
          <w:szCs w:val="24"/>
        </w:rPr>
        <w:t xml:space="preserve"> </w:t>
      </w:r>
      <w:r w:rsidR="00785994" w:rsidRPr="00FB5A28">
        <w:rPr>
          <w:rFonts w:ascii="Times New Roman" w:hAnsi="Times New Roman"/>
          <w:sz w:val="24"/>
          <w:szCs w:val="24"/>
        </w:rPr>
        <w:t>се</w:t>
      </w:r>
      <w:r w:rsidR="008D574A" w:rsidRPr="00FB5A28">
        <w:rPr>
          <w:rFonts w:ascii="Times New Roman" w:hAnsi="Times New Roman"/>
          <w:sz w:val="24"/>
          <w:szCs w:val="24"/>
        </w:rPr>
        <w:t xml:space="preserve"> </w:t>
      </w:r>
      <w:r w:rsidR="00785994" w:rsidRPr="00FB5A28">
        <w:rPr>
          <w:rFonts w:ascii="Times New Roman" w:hAnsi="Times New Roman"/>
          <w:sz w:val="24"/>
          <w:szCs w:val="24"/>
        </w:rPr>
        <w:t>утврђује</w:t>
      </w:r>
      <w:r w:rsidR="008D574A" w:rsidRPr="00FB5A28">
        <w:rPr>
          <w:rFonts w:ascii="Times New Roman" w:hAnsi="Times New Roman"/>
          <w:sz w:val="24"/>
          <w:szCs w:val="24"/>
        </w:rPr>
        <w:t xml:space="preserve"> </w:t>
      </w:r>
      <w:r w:rsidR="00785994" w:rsidRPr="00FB5A28">
        <w:rPr>
          <w:rFonts w:ascii="Times New Roman" w:hAnsi="Times New Roman"/>
          <w:sz w:val="24"/>
          <w:szCs w:val="24"/>
        </w:rPr>
        <w:t>према</w:t>
      </w:r>
      <w:r w:rsidR="008D574A" w:rsidRPr="00FB5A28">
        <w:rPr>
          <w:rFonts w:ascii="Times New Roman" w:hAnsi="Times New Roman"/>
          <w:sz w:val="24"/>
          <w:szCs w:val="24"/>
        </w:rPr>
        <w:t xml:space="preserve"> </w:t>
      </w:r>
      <w:r w:rsidR="00785994" w:rsidRPr="00FB5A28">
        <w:rPr>
          <w:rFonts w:ascii="Times New Roman" w:hAnsi="Times New Roman"/>
          <w:sz w:val="24"/>
          <w:szCs w:val="24"/>
        </w:rPr>
        <w:t>тржишној</w:t>
      </w:r>
      <w:r w:rsidR="008D574A" w:rsidRPr="00FB5A28">
        <w:rPr>
          <w:rFonts w:ascii="Times New Roman" w:hAnsi="Times New Roman"/>
          <w:sz w:val="24"/>
          <w:szCs w:val="24"/>
        </w:rPr>
        <w:t xml:space="preserve"> </w:t>
      </w:r>
      <w:r w:rsidR="00785994" w:rsidRPr="00FB5A28">
        <w:rPr>
          <w:rFonts w:ascii="Times New Roman" w:hAnsi="Times New Roman"/>
          <w:sz w:val="24"/>
          <w:szCs w:val="24"/>
        </w:rPr>
        <w:t>вредности</w:t>
      </w:r>
      <w:r w:rsidR="008D574A" w:rsidRPr="00FB5A28">
        <w:rPr>
          <w:rFonts w:ascii="Times New Roman" w:hAnsi="Times New Roman"/>
          <w:sz w:val="24"/>
          <w:szCs w:val="24"/>
        </w:rPr>
        <w:t xml:space="preserve"> </w:t>
      </w:r>
      <w:r w:rsidR="00785994" w:rsidRPr="00FB5A28">
        <w:rPr>
          <w:rFonts w:ascii="Times New Roman" w:hAnsi="Times New Roman"/>
          <w:sz w:val="24"/>
          <w:szCs w:val="24"/>
        </w:rPr>
        <w:lastRenderedPageBreak/>
        <w:t>права</w:t>
      </w:r>
      <w:r w:rsidR="008D574A" w:rsidRPr="00FB5A28">
        <w:rPr>
          <w:rFonts w:ascii="Times New Roman" w:hAnsi="Times New Roman"/>
          <w:sz w:val="24"/>
          <w:szCs w:val="24"/>
        </w:rPr>
        <w:t xml:space="preserve">, </w:t>
      </w:r>
      <w:r w:rsidR="00785994" w:rsidRPr="00FB5A28">
        <w:rPr>
          <w:rFonts w:ascii="Times New Roman" w:hAnsi="Times New Roman"/>
          <w:sz w:val="24"/>
          <w:szCs w:val="24"/>
        </w:rPr>
        <w:t>добара</w:t>
      </w:r>
      <w:r w:rsidR="008D574A" w:rsidRPr="00FB5A28">
        <w:rPr>
          <w:rFonts w:ascii="Times New Roman" w:hAnsi="Times New Roman"/>
          <w:sz w:val="24"/>
          <w:szCs w:val="24"/>
        </w:rPr>
        <w:t xml:space="preserve">, </w:t>
      </w:r>
      <w:r w:rsidR="00785994" w:rsidRPr="00FB5A28">
        <w:rPr>
          <w:rFonts w:ascii="Times New Roman" w:hAnsi="Times New Roman"/>
          <w:sz w:val="24"/>
          <w:szCs w:val="24"/>
        </w:rPr>
        <w:t>односно</w:t>
      </w:r>
      <w:r w:rsidR="008D574A" w:rsidRPr="00FB5A28">
        <w:rPr>
          <w:rFonts w:ascii="Times New Roman" w:hAnsi="Times New Roman"/>
          <w:sz w:val="24"/>
          <w:szCs w:val="24"/>
        </w:rPr>
        <w:t xml:space="preserve"> </w:t>
      </w:r>
      <w:r w:rsidR="00785994" w:rsidRPr="00FB5A28">
        <w:rPr>
          <w:rFonts w:ascii="Times New Roman" w:hAnsi="Times New Roman"/>
          <w:sz w:val="24"/>
          <w:szCs w:val="24"/>
        </w:rPr>
        <w:t>услуга</w:t>
      </w:r>
      <w:r w:rsidR="008D574A" w:rsidRPr="00FB5A28">
        <w:rPr>
          <w:rFonts w:ascii="Times New Roman" w:hAnsi="Times New Roman"/>
          <w:sz w:val="24"/>
          <w:szCs w:val="24"/>
        </w:rPr>
        <w:t xml:space="preserve"> </w:t>
      </w:r>
      <w:r w:rsidR="00785994" w:rsidRPr="00FB5A28">
        <w:rPr>
          <w:rFonts w:ascii="Times New Roman" w:hAnsi="Times New Roman"/>
          <w:sz w:val="24"/>
          <w:szCs w:val="24"/>
        </w:rPr>
        <w:t>на</w:t>
      </w:r>
      <w:r w:rsidR="008D574A" w:rsidRPr="00FB5A28">
        <w:rPr>
          <w:rFonts w:ascii="Times New Roman" w:hAnsi="Times New Roman"/>
          <w:sz w:val="24"/>
          <w:szCs w:val="24"/>
        </w:rPr>
        <w:t xml:space="preserve"> </w:t>
      </w:r>
      <w:r w:rsidR="00785994" w:rsidRPr="00FB5A28">
        <w:rPr>
          <w:rFonts w:ascii="Times New Roman" w:hAnsi="Times New Roman"/>
          <w:sz w:val="24"/>
          <w:szCs w:val="24"/>
        </w:rPr>
        <w:t>дан</w:t>
      </w:r>
      <w:r w:rsidR="008D574A" w:rsidRPr="00FB5A28">
        <w:rPr>
          <w:rFonts w:ascii="Times New Roman" w:hAnsi="Times New Roman"/>
          <w:sz w:val="24"/>
          <w:szCs w:val="24"/>
        </w:rPr>
        <w:t xml:space="preserve"> </w:t>
      </w:r>
      <w:r w:rsidR="00785994" w:rsidRPr="00FB5A28">
        <w:rPr>
          <w:rFonts w:ascii="Times New Roman" w:hAnsi="Times New Roman"/>
          <w:sz w:val="24"/>
          <w:szCs w:val="24"/>
        </w:rPr>
        <w:t>остваривања</w:t>
      </w:r>
      <w:r w:rsidR="008D574A" w:rsidRPr="00FB5A28">
        <w:rPr>
          <w:rFonts w:ascii="Times New Roman" w:hAnsi="Times New Roman"/>
          <w:sz w:val="24"/>
          <w:szCs w:val="24"/>
        </w:rPr>
        <w:t xml:space="preserve"> </w:t>
      </w:r>
      <w:r w:rsidR="00785994" w:rsidRPr="00FB5A28">
        <w:rPr>
          <w:rFonts w:ascii="Times New Roman" w:hAnsi="Times New Roman"/>
          <w:sz w:val="24"/>
          <w:szCs w:val="24"/>
        </w:rPr>
        <w:t>прихода</w:t>
      </w:r>
      <w:r w:rsidR="008D574A" w:rsidRPr="00FB5A28">
        <w:rPr>
          <w:rFonts w:ascii="Times New Roman" w:hAnsi="Times New Roman"/>
          <w:sz w:val="24"/>
          <w:szCs w:val="24"/>
        </w:rPr>
        <w:t>.</w:t>
      </w:r>
      <w:r w:rsidR="00785994" w:rsidRPr="00FB5A28">
        <w:rPr>
          <w:rFonts w:ascii="Times New Roman" w:hAnsi="Times New Roman"/>
          <w:sz w:val="24"/>
          <w:szCs w:val="24"/>
          <w:lang w:val="sr-Cyrl-CS"/>
        </w:rPr>
        <w:t xml:space="preserve"> </w:t>
      </w:r>
      <w:r w:rsidR="00785994" w:rsidRPr="00FB5A28">
        <w:rPr>
          <w:rFonts w:ascii="Times New Roman" w:hAnsi="Times New Roman"/>
          <w:sz w:val="24"/>
          <w:szCs w:val="24"/>
        </w:rPr>
        <w:t>Изузетно</w:t>
      </w:r>
      <w:r w:rsidRPr="00FB5A28">
        <w:rPr>
          <w:rFonts w:ascii="Times New Roman" w:hAnsi="Times New Roman"/>
          <w:sz w:val="24"/>
          <w:szCs w:val="24"/>
          <w:lang w:val="sr-Cyrl-CS"/>
        </w:rPr>
        <w:t xml:space="preserve">, </w:t>
      </w:r>
      <w:r w:rsidR="00785994" w:rsidRPr="00FB5A28">
        <w:rPr>
          <w:rFonts w:ascii="Times New Roman" w:hAnsi="Times New Roman"/>
          <w:sz w:val="24"/>
          <w:szCs w:val="24"/>
        </w:rPr>
        <w:t>опорезиви</w:t>
      </w:r>
      <w:r w:rsidRPr="00FB5A28">
        <w:rPr>
          <w:rFonts w:ascii="Times New Roman" w:hAnsi="Times New Roman"/>
          <w:sz w:val="24"/>
          <w:szCs w:val="24"/>
        </w:rPr>
        <w:t xml:space="preserve"> </w:t>
      </w:r>
      <w:r w:rsidR="00785994" w:rsidRPr="00FB5A28">
        <w:rPr>
          <w:rFonts w:ascii="Times New Roman" w:hAnsi="Times New Roman"/>
          <w:sz w:val="24"/>
          <w:szCs w:val="24"/>
        </w:rPr>
        <w:t>приход</w:t>
      </w:r>
      <w:r w:rsidRPr="00FB5A28">
        <w:rPr>
          <w:rFonts w:ascii="Times New Roman" w:hAnsi="Times New Roman"/>
          <w:sz w:val="24"/>
          <w:szCs w:val="24"/>
        </w:rPr>
        <w:t xml:space="preserve"> </w:t>
      </w:r>
      <w:r w:rsidR="00785994" w:rsidRPr="00FB5A28">
        <w:rPr>
          <w:rFonts w:ascii="Times New Roman" w:hAnsi="Times New Roman"/>
          <w:sz w:val="24"/>
          <w:szCs w:val="24"/>
        </w:rPr>
        <w:t>од</w:t>
      </w:r>
      <w:r w:rsidRPr="00FB5A28">
        <w:rPr>
          <w:rFonts w:ascii="Times New Roman" w:hAnsi="Times New Roman"/>
          <w:sz w:val="24"/>
          <w:szCs w:val="24"/>
        </w:rPr>
        <w:t xml:space="preserve"> </w:t>
      </w:r>
      <w:r w:rsidR="00785994" w:rsidRPr="00FB5A28">
        <w:rPr>
          <w:rFonts w:ascii="Times New Roman" w:hAnsi="Times New Roman"/>
          <w:sz w:val="24"/>
          <w:szCs w:val="24"/>
        </w:rPr>
        <w:t>капитала</w:t>
      </w:r>
      <w:r w:rsidRPr="00FB5A28">
        <w:rPr>
          <w:rFonts w:ascii="Times New Roman" w:hAnsi="Times New Roman"/>
          <w:sz w:val="24"/>
          <w:szCs w:val="24"/>
          <w:shd w:val="clear" w:color="auto" w:fill="FFFFFF"/>
        </w:rPr>
        <w:t xml:space="preserve"> </w:t>
      </w:r>
      <w:r w:rsidR="00785994" w:rsidRPr="00FB5A28">
        <w:rPr>
          <w:rFonts w:ascii="Times New Roman" w:hAnsi="Times New Roman"/>
          <w:sz w:val="24"/>
          <w:szCs w:val="24"/>
          <w:shd w:val="clear" w:color="auto" w:fill="FFFFFF"/>
        </w:rPr>
        <w:t>од</w:t>
      </w:r>
      <w:r w:rsidRPr="00FB5A28">
        <w:rPr>
          <w:rFonts w:ascii="Times New Roman" w:hAnsi="Times New Roman"/>
          <w:sz w:val="24"/>
          <w:szCs w:val="24"/>
          <w:shd w:val="clear" w:color="auto" w:fill="FFFFFF"/>
        </w:rPr>
        <w:t xml:space="preserve"> </w:t>
      </w:r>
      <w:r w:rsidR="00785994" w:rsidRPr="00FB5A28">
        <w:rPr>
          <w:rFonts w:ascii="Times New Roman" w:hAnsi="Times New Roman"/>
          <w:sz w:val="24"/>
          <w:szCs w:val="24"/>
          <w:shd w:val="clear" w:color="auto" w:fill="FFFFFF"/>
        </w:rPr>
        <w:t>издавања</w:t>
      </w:r>
      <w:r w:rsidRPr="00FB5A28">
        <w:rPr>
          <w:rFonts w:ascii="Times New Roman" w:hAnsi="Times New Roman"/>
          <w:sz w:val="24"/>
          <w:szCs w:val="24"/>
          <w:shd w:val="clear" w:color="auto" w:fill="FFFFFF"/>
        </w:rPr>
        <w:t xml:space="preserve"> </w:t>
      </w:r>
      <w:r w:rsidR="00785994" w:rsidRPr="00FB5A28">
        <w:rPr>
          <w:rFonts w:ascii="Times New Roman" w:hAnsi="Times New Roman"/>
          <w:sz w:val="24"/>
          <w:szCs w:val="24"/>
          <w:shd w:val="clear" w:color="auto" w:fill="FFFFFF"/>
        </w:rPr>
        <w:t>сопствених</w:t>
      </w:r>
      <w:r w:rsidRPr="00FB5A28">
        <w:rPr>
          <w:rFonts w:ascii="Times New Roman" w:hAnsi="Times New Roman"/>
          <w:sz w:val="24"/>
          <w:szCs w:val="24"/>
          <w:shd w:val="clear" w:color="auto" w:fill="FFFFFF"/>
        </w:rPr>
        <w:t xml:space="preserve"> </w:t>
      </w:r>
      <w:r w:rsidR="00785994" w:rsidRPr="00FB5A28">
        <w:rPr>
          <w:rFonts w:ascii="Times New Roman" w:hAnsi="Times New Roman"/>
          <w:sz w:val="24"/>
          <w:szCs w:val="24"/>
          <w:shd w:val="clear" w:color="auto" w:fill="FFFFFF"/>
        </w:rPr>
        <w:t>непокретности</w:t>
      </w:r>
      <w:r w:rsidRPr="00FB5A28">
        <w:rPr>
          <w:rFonts w:ascii="Times New Roman" w:hAnsi="Times New Roman"/>
          <w:sz w:val="24"/>
          <w:szCs w:val="24"/>
          <w:shd w:val="clear" w:color="auto" w:fill="FFFFFF"/>
          <w:lang w:val="sr-Cyrl-CS"/>
        </w:rPr>
        <w:t xml:space="preserve"> </w:t>
      </w:r>
      <w:r w:rsidR="00785994" w:rsidRPr="00FB5A28">
        <w:rPr>
          <w:rFonts w:ascii="Times New Roman" w:hAnsi="Times New Roman"/>
          <w:sz w:val="24"/>
          <w:szCs w:val="24"/>
        </w:rPr>
        <w:t>чини</w:t>
      </w:r>
      <w:r w:rsidR="008D574A" w:rsidRPr="00FB5A28">
        <w:rPr>
          <w:rFonts w:ascii="Times New Roman" w:hAnsi="Times New Roman"/>
          <w:sz w:val="24"/>
          <w:szCs w:val="24"/>
        </w:rPr>
        <w:t xml:space="preserve"> </w:t>
      </w:r>
      <w:r w:rsidR="00785994" w:rsidRPr="00FB5A28">
        <w:rPr>
          <w:rFonts w:ascii="Times New Roman" w:hAnsi="Times New Roman"/>
          <w:sz w:val="24"/>
          <w:szCs w:val="24"/>
        </w:rPr>
        <w:t>бруто</w:t>
      </w:r>
      <w:r w:rsidR="008D574A" w:rsidRPr="00FB5A28">
        <w:rPr>
          <w:rFonts w:ascii="Times New Roman" w:hAnsi="Times New Roman"/>
          <w:sz w:val="24"/>
          <w:szCs w:val="24"/>
        </w:rPr>
        <w:t xml:space="preserve"> </w:t>
      </w:r>
      <w:r w:rsidR="00785994" w:rsidRPr="00FB5A28">
        <w:rPr>
          <w:rFonts w:ascii="Times New Roman" w:hAnsi="Times New Roman"/>
          <w:sz w:val="24"/>
          <w:szCs w:val="24"/>
        </w:rPr>
        <w:t>приход</w:t>
      </w:r>
      <w:r w:rsidR="008D574A" w:rsidRPr="00FB5A28">
        <w:rPr>
          <w:rFonts w:ascii="Times New Roman" w:hAnsi="Times New Roman"/>
          <w:sz w:val="24"/>
          <w:szCs w:val="24"/>
        </w:rPr>
        <w:t xml:space="preserve"> </w:t>
      </w:r>
      <w:r w:rsidR="00785994" w:rsidRPr="00FB5A28">
        <w:rPr>
          <w:rFonts w:ascii="Times New Roman" w:hAnsi="Times New Roman"/>
          <w:sz w:val="24"/>
          <w:szCs w:val="24"/>
        </w:rPr>
        <w:t>умањен</w:t>
      </w:r>
      <w:r w:rsidR="008D574A" w:rsidRPr="00FB5A28">
        <w:rPr>
          <w:rFonts w:ascii="Times New Roman" w:hAnsi="Times New Roman"/>
          <w:sz w:val="24"/>
          <w:szCs w:val="24"/>
        </w:rPr>
        <w:t xml:space="preserve"> </w:t>
      </w:r>
      <w:r w:rsidR="00785994" w:rsidRPr="00FB5A28">
        <w:rPr>
          <w:rFonts w:ascii="Times New Roman" w:hAnsi="Times New Roman"/>
          <w:sz w:val="24"/>
          <w:szCs w:val="24"/>
        </w:rPr>
        <w:t>за</w:t>
      </w:r>
      <w:r w:rsidR="008D574A" w:rsidRPr="00FB5A28">
        <w:rPr>
          <w:rFonts w:ascii="Times New Roman" w:hAnsi="Times New Roman"/>
          <w:sz w:val="24"/>
          <w:szCs w:val="24"/>
        </w:rPr>
        <w:t xml:space="preserve"> </w:t>
      </w:r>
      <w:r w:rsidR="00785994" w:rsidRPr="00FB5A28">
        <w:rPr>
          <w:rFonts w:ascii="Times New Roman" w:hAnsi="Times New Roman"/>
          <w:sz w:val="24"/>
          <w:szCs w:val="24"/>
        </w:rPr>
        <w:t>нормиране</w:t>
      </w:r>
      <w:r w:rsidR="008D574A" w:rsidRPr="00FB5A28">
        <w:rPr>
          <w:rFonts w:ascii="Times New Roman" w:hAnsi="Times New Roman"/>
          <w:sz w:val="24"/>
          <w:szCs w:val="24"/>
        </w:rPr>
        <w:t xml:space="preserve"> </w:t>
      </w:r>
      <w:r w:rsidR="00785994" w:rsidRPr="00FB5A28">
        <w:rPr>
          <w:rFonts w:ascii="Times New Roman" w:hAnsi="Times New Roman"/>
          <w:sz w:val="24"/>
          <w:szCs w:val="24"/>
        </w:rPr>
        <w:t>трошкове</w:t>
      </w:r>
      <w:r w:rsidR="008D574A" w:rsidRPr="00FB5A28">
        <w:rPr>
          <w:rFonts w:ascii="Times New Roman" w:hAnsi="Times New Roman"/>
          <w:sz w:val="24"/>
          <w:szCs w:val="24"/>
        </w:rPr>
        <w:t xml:space="preserve"> </w:t>
      </w:r>
      <w:r w:rsidR="00785994" w:rsidRPr="00FB5A28">
        <w:rPr>
          <w:rFonts w:ascii="Times New Roman" w:hAnsi="Times New Roman"/>
          <w:sz w:val="24"/>
          <w:szCs w:val="24"/>
        </w:rPr>
        <w:t>у</w:t>
      </w:r>
      <w:r w:rsidR="008D574A" w:rsidRPr="00FB5A28">
        <w:rPr>
          <w:rFonts w:ascii="Times New Roman" w:hAnsi="Times New Roman"/>
          <w:sz w:val="24"/>
          <w:szCs w:val="24"/>
        </w:rPr>
        <w:t xml:space="preserve"> </w:t>
      </w:r>
      <w:r w:rsidR="00785994" w:rsidRPr="00FB5A28">
        <w:rPr>
          <w:rFonts w:ascii="Times New Roman" w:hAnsi="Times New Roman"/>
          <w:sz w:val="24"/>
          <w:szCs w:val="24"/>
        </w:rPr>
        <w:t>висини</w:t>
      </w:r>
      <w:r w:rsidR="008D574A" w:rsidRPr="00FB5A28">
        <w:rPr>
          <w:rFonts w:ascii="Times New Roman" w:hAnsi="Times New Roman"/>
          <w:sz w:val="24"/>
          <w:szCs w:val="24"/>
        </w:rPr>
        <w:t xml:space="preserve"> </w:t>
      </w:r>
      <w:r w:rsidR="00785994" w:rsidRPr="00FB5A28">
        <w:rPr>
          <w:rFonts w:ascii="Times New Roman" w:hAnsi="Times New Roman"/>
          <w:sz w:val="24"/>
          <w:szCs w:val="24"/>
        </w:rPr>
        <w:t>од</w:t>
      </w:r>
      <w:r w:rsidR="008D574A" w:rsidRPr="00FB5A28">
        <w:rPr>
          <w:rFonts w:ascii="Times New Roman" w:hAnsi="Times New Roman"/>
          <w:sz w:val="24"/>
          <w:szCs w:val="24"/>
        </w:rPr>
        <w:t xml:space="preserve"> 25%, </w:t>
      </w:r>
      <w:r w:rsidR="00785994" w:rsidRPr="00FB5A28">
        <w:rPr>
          <w:rFonts w:ascii="Times New Roman" w:hAnsi="Times New Roman"/>
          <w:sz w:val="24"/>
          <w:szCs w:val="24"/>
        </w:rPr>
        <w:t>а</w:t>
      </w:r>
      <w:r w:rsidR="008D574A" w:rsidRPr="00FB5A28">
        <w:rPr>
          <w:rFonts w:ascii="Times New Roman" w:hAnsi="Times New Roman"/>
          <w:sz w:val="24"/>
          <w:szCs w:val="24"/>
        </w:rPr>
        <w:t xml:space="preserve"> </w:t>
      </w:r>
      <w:r w:rsidR="00785994" w:rsidRPr="00FB5A28">
        <w:rPr>
          <w:rFonts w:ascii="Times New Roman" w:hAnsi="Times New Roman"/>
          <w:sz w:val="24"/>
          <w:szCs w:val="24"/>
        </w:rPr>
        <w:t>ако</w:t>
      </w:r>
      <w:r w:rsidR="008D574A" w:rsidRPr="00FB5A28">
        <w:rPr>
          <w:rFonts w:ascii="Times New Roman" w:hAnsi="Times New Roman"/>
          <w:sz w:val="24"/>
          <w:szCs w:val="24"/>
        </w:rPr>
        <w:t xml:space="preserve"> </w:t>
      </w:r>
      <w:r w:rsidR="00785994" w:rsidRPr="00FB5A28">
        <w:rPr>
          <w:rFonts w:ascii="Times New Roman" w:hAnsi="Times New Roman"/>
          <w:sz w:val="24"/>
          <w:szCs w:val="24"/>
        </w:rPr>
        <w:t>је</w:t>
      </w:r>
      <w:r w:rsidR="008D574A" w:rsidRPr="00FB5A28">
        <w:rPr>
          <w:rFonts w:ascii="Times New Roman" w:hAnsi="Times New Roman"/>
          <w:sz w:val="24"/>
          <w:szCs w:val="24"/>
        </w:rPr>
        <w:t xml:space="preserve"> </w:t>
      </w:r>
      <w:r w:rsidR="00785994" w:rsidRPr="00FB5A28">
        <w:rPr>
          <w:rFonts w:ascii="Times New Roman" w:hAnsi="Times New Roman"/>
          <w:sz w:val="24"/>
          <w:szCs w:val="24"/>
        </w:rPr>
        <w:t>он</w:t>
      </w:r>
      <w:r w:rsidR="008D574A" w:rsidRPr="00FB5A28">
        <w:rPr>
          <w:rFonts w:ascii="Times New Roman" w:hAnsi="Times New Roman"/>
          <w:sz w:val="24"/>
          <w:szCs w:val="24"/>
        </w:rPr>
        <w:t xml:space="preserve"> </w:t>
      </w:r>
      <w:r w:rsidR="00785994" w:rsidRPr="00FB5A28">
        <w:rPr>
          <w:rFonts w:ascii="Times New Roman" w:hAnsi="Times New Roman"/>
          <w:sz w:val="24"/>
          <w:szCs w:val="24"/>
        </w:rPr>
        <w:t>остварен</w:t>
      </w:r>
      <w:r w:rsidR="008D574A" w:rsidRPr="00FB5A28">
        <w:rPr>
          <w:rFonts w:ascii="Times New Roman" w:hAnsi="Times New Roman"/>
          <w:sz w:val="24"/>
          <w:szCs w:val="24"/>
        </w:rPr>
        <w:t xml:space="preserve"> </w:t>
      </w:r>
      <w:r w:rsidR="00785994" w:rsidRPr="00FB5A28">
        <w:rPr>
          <w:rFonts w:ascii="Times New Roman" w:hAnsi="Times New Roman"/>
          <w:sz w:val="24"/>
          <w:szCs w:val="24"/>
        </w:rPr>
        <w:t>изнајмљивањем</w:t>
      </w:r>
      <w:r w:rsidR="008D574A" w:rsidRPr="00FB5A28">
        <w:rPr>
          <w:rFonts w:ascii="Times New Roman" w:hAnsi="Times New Roman"/>
          <w:sz w:val="24"/>
          <w:szCs w:val="24"/>
        </w:rPr>
        <w:t xml:space="preserve"> </w:t>
      </w:r>
      <w:r w:rsidR="00785994" w:rsidRPr="00FB5A28">
        <w:rPr>
          <w:rFonts w:ascii="Times New Roman" w:hAnsi="Times New Roman"/>
          <w:sz w:val="24"/>
          <w:szCs w:val="24"/>
        </w:rPr>
        <w:t>станова</w:t>
      </w:r>
      <w:r w:rsidR="008D574A" w:rsidRPr="00FB5A28">
        <w:rPr>
          <w:rFonts w:ascii="Times New Roman" w:hAnsi="Times New Roman"/>
          <w:sz w:val="24"/>
          <w:szCs w:val="24"/>
        </w:rPr>
        <w:t xml:space="preserve">, </w:t>
      </w:r>
      <w:r w:rsidR="00785994" w:rsidRPr="00FB5A28">
        <w:rPr>
          <w:rFonts w:ascii="Times New Roman" w:hAnsi="Times New Roman"/>
          <w:sz w:val="24"/>
          <w:szCs w:val="24"/>
        </w:rPr>
        <w:t>соба</w:t>
      </w:r>
      <w:r w:rsidR="008D574A" w:rsidRPr="00FB5A28">
        <w:rPr>
          <w:rFonts w:ascii="Times New Roman" w:hAnsi="Times New Roman"/>
          <w:sz w:val="24"/>
          <w:szCs w:val="24"/>
        </w:rPr>
        <w:t xml:space="preserve"> </w:t>
      </w:r>
      <w:r w:rsidR="00785994" w:rsidRPr="00FB5A28">
        <w:rPr>
          <w:rFonts w:ascii="Times New Roman" w:hAnsi="Times New Roman"/>
          <w:sz w:val="24"/>
          <w:szCs w:val="24"/>
        </w:rPr>
        <w:t>и</w:t>
      </w:r>
      <w:r w:rsidR="008D574A" w:rsidRPr="00FB5A28">
        <w:rPr>
          <w:rFonts w:ascii="Times New Roman" w:hAnsi="Times New Roman"/>
          <w:sz w:val="24"/>
          <w:szCs w:val="24"/>
        </w:rPr>
        <w:t xml:space="preserve"> </w:t>
      </w:r>
      <w:r w:rsidR="00785994" w:rsidRPr="00FB5A28">
        <w:rPr>
          <w:rFonts w:ascii="Times New Roman" w:hAnsi="Times New Roman"/>
          <w:sz w:val="24"/>
          <w:szCs w:val="24"/>
        </w:rPr>
        <w:t>постеља</w:t>
      </w:r>
      <w:r w:rsidR="008D574A" w:rsidRPr="00FB5A28">
        <w:rPr>
          <w:rFonts w:ascii="Times New Roman" w:hAnsi="Times New Roman"/>
          <w:sz w:val="24"/>
          <w:szCs w:val="24"/>
        </w:rPr>
        <w:t xml:space="preserve"> </w:t>
      </w:r>
      <w:r w:rsidR="00785994" w:rsidRPr="00FB5A28">
        <w:rPr>
          <w:rFonts w:ascii="Times New Roman" w:hAnsi="Times New Roman"/>
          <w:sz w:val="24"/>
          <w:szCs w:val="24"/>
        </w:rPr>
        <w:t>путницима</w:t>
      </w:r>
      <w:r w:rsidR="008D574A" w:rsidRPr="00FB5A28">
        <w:rPr>
          <w:rFonts w:ascii="Times New Roman" w:hAnsi="Times New Roman"/>
          <w:sz w:val="24"/>
          <w:szCs w:val="24"/>
        </w:rPr>
        <w:t xml:space="preserve"> </w:t>
      </w:r>
      <w:r w:rsidR="00785994" w:rsidRPr="00FB5A28">
        <w:rPr>
          <w:rFonts w:ascii="Times New Roman" w:hAnsi="Times New Roman"/>
          <w:sz w:val="24"/>
          <w:szCs w:val="24"/>
        </w:rPr>
        <w:t>и</w:t>
      </w:r>
      <w:r w:rsidR="008D574A" w:rsidRPr="00FB5A28">
        <w:rPr>
          <w:rFonts w:ascii="Times New Roman" w:hAnsi="Times New Roman"/>
          <w:sz w:val="24"/>
          <w:szCs w:val="24"/>
        </w:rPr>
        <w:t xml:space="preserve"> </w:t>
      </w:r>
      <w:r w:rsidR="00785994" w:rsidRPr="00FB5A28">
        <w:rPr>
          <w:rFonts w:ascii="Times New Roman" w:hAnsi="Times New Roman"/>
          <w:sz w:val="24"/>
          <w:szCs w:val="24"/>
        </w:rPr>
        <w:t>туристима</w:t>
      </w:r>
      <w:r w:rsidR="008D574A" w:rsidRPr="00FB5A28">
        <w:rPr>
          <w:rFonts w:ascii="Times New Roman" w:hAnsi="Times New Roman"/>
          <w:sz w:val="24"/>
          <w:szCs w:val="24"/>
        </w:rPr>
        <w:t xml:space="preserve"> </w:t>
      </w:r>
      <w:r w:rsidR="00785994" w:rsidRPr="00FB5A28">
        <w:rPr>
          <w:rFonts w:ascii="Times New Roman" w:hAnsi="Times New Roman"/>
          <w:sz w:val="24"/>
          <w:szCs w:val="24"/>
        </w:rPr>
        <w:t>за</w:t>
      </w:r>
      <w:r w:rsidR="008D574A" w:rsidRPr="00FB5A28">
        <w:rPr>
          <w:rFonts w:ascii="Times New Roman" w:hAnsi="Times New Roman"/>
          <w:sz w:val="24"/>
          <w:szCs w:val="24"/>
        </w:rPr>
        <w:t xml:space="preserve"> </w:t>
      </w:r>
      <w:r w:rsidR="00785994" w:rsidRPr="00FB5A28">
        <w:rPr>
          <w:rFonts w:ascii="Times New Roman" w:hAnsi="Times New Roman"/>
          <w:sz w:val="24"/>
          <w:szCs w:val="24"/>
        </w:rPr>
        <w:t>које</w:t>
      </w:r>
      <w:r w:rsidR="008D574A" w:rsidRPr="00FB5A28">
        <w:rPr>
          <w:rFonts w:ascii="Times New Roman" w:hAnsi="Times New Roman"/>
          <w:sz w:val="24"/>
          <w:szCs w:val="24"/>
        </w:rPr>
        <w:t xml:space="preserve"> </w:t>
      </w:r>
      <w:r w:rsidR="00785994" w:rsidRPr="00FB5A28">
        <w:rPr>
          <w:rFonts w:ascii="Times New Roman" w:hAnsi="Times New Roman"/>
          <w:sz w:val="24"/>
          <w:szCs w:val="24"/>
        </w:rPr>
        <w:t>је</w:t>
      </w:r>
      <w:r w:rsidR="008D574A" w:rsidRPr="00FB5A28">
        <w:rPr>
          <w:rFonts w:ascii="Times New Roman" w:hAnsi="Times New Roman"/>
          <w:sz w:val="24"/>
          <w:szCs w:val="24"/>
        </w:rPr>
        <w:t xml:space="preserve"> </w:t>
      </w:r>
      <w:r w:rsidR="00785994" w:rsidRPr="00FB5A28">
        <w:rPr>
          <w:rFonts w:ascii="Times New Roman" w:hAnsi="Times New Roman"/>
          <w:sz w:val="24"/>
          <w:szCs w:val="24"/>
        </w:rPr>
        <w:t>плаћена</w:t>
      </w:r>
      <w:r w:rsidR="008D574A" w:rsidRPr="00FB5A28">
        <w:rPr>
          <w:rFonts w:ascii="Times New Roman" w:hAnsi="Times New Roman"/>
          <w:sz w:val="24"/>
          <w:szCs w:val="24"/>
        </w:rPr>
        <w:t xml:space="preserve"> </w:t>
      </w:r>
      <w:r w:rsidR="00785994" w:rsidRPr="00FB5A28">
        <w:rPr>
          <w:rFonts w:ascii="Times New Roman" w:hAnsi="Times New Roman"/>
          <w:sz w:val="24"/>
          <w:szCs w:val="24"/>
        </w:rPr>
        <w:t>боравишна</w:t>
      </w:r>
      <w:r w:rsidR="008D574A" w:rsidRPr="00FB5A28">
        <w:rPr>
          <w:rFonts w:ascii="Times New Roman" w:hAnsi="Times New Roman"/>
          <w:sz w:val="24"/>
          <w:szCs w:val="24"/>
        </w:rPr>
        <w:t xml:space="preserve"> </w:t>
      </w:r>
      <w:r w:rsidR="00785994" w:rsidRPr="00FB5A28">
        <w:rPr>
          <w:rFonts w:ascii="Times New Roman" w:hAnsi="Times New Roman"/>
          <w:sz w:val="24"/>
          <w:szCs w:val="24"/>
        </w:rPr>
        <w:t>такса</w:t>
      </w:r>
      <w:r w:rsidR="008D574A" w:rsidRPr="00FB5A28">
        <w:rPr>
          <w:rFonts w:ascii="Times New Roman" w:hAnsi="Times New Roman"/>
          <w:sz w:val="24"/>
          <w:szCs w:val="24"/>
        </w:rPr>
        <w:t xml:space="preserve"> </w:t>
      </w:r>
      <w:r w:rsidR="00785994" w:rsidRPr="00FB5A28">
        <w:rPr>
          <w:rFonts w:ascii="Times New Roman" w:hAnsi="Times New Roman"/>
          <w:sz w:val="24"/>
          <w:szCs w:val="24"/>
        </w:rPr>
        <w:t>нормирани</w:t>
      </w:r>
      <w:r w:rsidR="008D574A" w:rsidRPr="00FB5A28">
        <w:rPr>
          <w:rFonts w:ascii="Times New Roman" w:hAnsi="Times New Roman"/>
          <w:sz w:val="24"/>
          <w:szCs w:val="24"/>
        </w:rPr>
        <w:t xml:space="preserve"> </w:t>
      </w:r>
      <w:r w:rsidR="00785994" w:rsidRPr="00FB5A28">
        <w:rPr>
          <w:rFonts w:ascii="Times New Roman" w:hAnsi="Times New Roman"/>
          <w:sz w:val="24"/>
          <w:szCs w:val="24"/>
        </w:rPr>
        <w:t>трошкови</w:t>
      </w:r>
      <w:r w:rsidR="008D574A" w:rsidRPr="00FB5A28">
        <w:rPr>
          <w:rFonts w:ascii="Times New Roman" w:hAnsi="Times New Roman"/>
          <w:sz w:val="24"/>
          <w:szCs w:val="24"/>
        </w:rPr>
        <w:t xml:space="preserve"> </w:t>
      </w:r>
      <w:r w:rsidR="00785994" w:rsidRPr="00FB5A28">
        <w:rPr>
          <w:rFonts w:ascii="Times New Roman" w:hAnsi="Times New Roman"/>
          <w:sz w:val="24"/>
          <w:szCs w:val="24"/>
        </w:rPr>
        <w:t>се</w:t>
      </w:r>
      <w:r w:rsidR="008D574A" w:rsidRPr="00FB5A28">
        <w:rPr>
          <w:rFonts w:ascii="Times New Roman" w:hAnsi="Times New Roman"/>
          <w:sz w:val="24"/>
          <w:szCs w:val="24"/>
        </w:rPr>
        <w:t xml:space="preserve"> </w:t>
      </w:r>
      <w:r w:rsidR="00785994" w:rsidRPr="00FB5A28">
        <w:rPr>
          <w:rFonts w:ascii="Times New Roman" w:hAnsi="Times New Roman"/>
          <w:sz w:val="24"/>
          <w:szCs w:val="24"/>
        </w:rPr>
        <w:t>признају</w:t>
      </w:r>
      <w:r w:rsidR="008D574A" w:rsidRPr="00FB5A28">
        <w:rPr>
          <w:rFonts w:ascii="Times New Roman" w:hAnsi="Times New Roman"/>
          <w:sz w:val="24"/>
          <w:szCs w:val="24"/>
        </w:rPr>
        <w:t xml:space="preserve"> </w:t>
      </w:r>
      <w:r w:rsidR="00785994" w:rsidRPr="00FB5A28">
        <w:rPr>
          <w:rFonts w:ascii="Times New Roman" w:hAnsi="Times New Roman"/>
          <w:sz w:val="24"/>
          <w:szCs w:val="24"/>
        </w:rPr>
        <w:t>у</w:t>
      </w:r>
      <w:r w:rsidR="008D574A" w:rsidRPr="00FB5A28">
        <w:rPr>
          <w:rFonts w:ascii="Times New Roman" w:hAnsi="Times New Roman"/>
          <w:sz w:val="24"/>
          <w:szCs w:val="24"/>
        </w:rPr>
        <w:t xml:space="preserve"> </w:t>
      </w:r>
      <w:r w:rsidR="00785994" w:rsidRPr="00FB5A28">
        <w:rPr>
          <w:rFonts w:ascii="Times New Roman" w:hAnsi="Times New Roman"/>
          <w:sz w:val="24"/>
          <w:szCs w:val="24"/>
        </w:rPr>
        <w:t>висини</w:t>
      </w:r>
      <w:r w:rsidR="008D574A" w:rsidRPr="00FB5A28">
        <w:rPr>
          <w:rFonts w:ascii="Times New Roman" w:hAnsi="Times New Roman"/>
          <w:sz w:val="24"/>
          <w:szCs w:val="24"/>
        </w:rPr>
        <w:t xml:space="preserve"> </w:t>
      </w:r>
      <w:r w:rsidR="00785994" w:rsidRPr="00FB5A28">
        <w:rPr>
          <w:rFonts w:ascii="Times New Roman" w:hAnsi="Times New Roman"/>
          <w:sz w:val="24"/>
          <w:szCs w:val="24"/>
        </w:rPr>
        <w:t>од</w:t>
      </w:r>
      <w:r w:rsidR="008D574A" w:rsidRPr="00FB5A28">
        <w:rPr>
          <w:rFonts w:ascii="Times New Roman" w:hAnsi="Times New Roman"/>
          <w:sz w:val="24"/>
          <w:szCs w:val="24"/>
        </w:rPr>
        <w:t xml:space="preserve"> 50% </w:t>
      </w:r>
      <w:r w:rsidR="00785994" w:rsidRPr="00FB5A28">
        <w:rPr>
          <w:rFonts w:ascii="Times New Roman" w:hAnsi="Times New Roman"/>
          <w:sz w:val="24"/>
          <w:szCs w:val="24"/>
        </w:rPr>
        <w:t>бруто</w:t>
      </w:r>
      <w:r w:rsidR="008D574A" w:rsidRPr="00FB5A28">
        <w:rPr>
          <w:rFonts w:ascii="Times New Roman" w:hAnsi="Times New Roman"/>
          <w:sz w:val="24"/>
          <w:szCs w:val="24"/>
        </w:rPr>
        <w:t xml:space="preserve"> </w:t>
      </w:r>
      <w:r w:rsidR="00785994" w:rsidRPr="00FB5A28">
        <w:rPr>
          <w:rFonts w:ascii="Times New Roman" w:hAnsi="Times New Roman"/>
          <w:sz w:val="24"/>
          <w:szCs w:val="24"/>
        </w:rPr>
        <w:t>прихода</w:t>
      </w:r>
      <w:r w:rsidR="008D574A" w:rsidRPr="00FB5A28">
        <w:rPr>
          <w:rFonts w:ascii="Times New Roman" w:hAnsi="Times New Roman"/>
          <w:sz w:val="24"/>
          <w:szCs w:val="24"/>
        </w:rPr>
        <w:t>.</w:t>
      </w:r>
      <w:r w:rsidRPr="00FB5A28">
        <w:rPr>
          <w:rFonts w:ascii="Times New Roman" w:hAnsi="Times New Roman"/>
          <w:sz w:val="24"/>
          <w:szCs w:val="24"/>
          <w:lang w:val="sr-Cyrl-CS"/>
        </w:rPr>
        <w:t xml:space="preserve"> У овом случају се о</w:t>
      </w:r>
      <w:r w:rsidR="00785994" w:rsidRPr="00FB5A28">
        <w:rPr>
          <w:rFonts w:ascii="Times New Roman" w:hAnsi="Times New Roman"/>
          <w:sz w:val="24"/>
          <w:szCs w:val="24"/>
        </w:rPr>
        <w:t>бвезнику</w:t>
      </w:r>
      <w:r w:rsidR="008D574A" w:rsidRPr="00FB5A28">
        <w:rPr>
          <w:rFonts w:ascii="Times New Roman" w:hAnsi="Times New Roman"/>
          <w:sz w:val="24"/>
          <w:szCs w:val="24"/>
        </w:rPr>
        <w:t xml:space="preserve"> </w:t>
      </w:r>
      <w:r w:rsidR="00785994" w:rsidRPr="00FB5A28">
        <w:rPr>
          <w:rFonts w:ascii="Times New Roman" w:hAnsi="Times New Roman"/>
          <w:sz w:val="24"/>
          <w:szCs w:val="24"/>
        </w:rPr>
        <w:t>пореза</w:t>
      </w:r>
      <w:r w:rsidRPr="00FB5A28">
        <w:rPr>
          <w:rFonts w:ascii="Times New Roman" w:hAnsi="Times New Roman"/>
          <w:sz w:val="24"/>
          <w:szCs w:val="24"/>
          <w:lang w:val="sr-Cyrl-CS"/>
        </w:rPr>
        <w:t>,</w:t>
      </w:r>
      <w:r w:rsidR="008D574A" w:rsidRPr="00FB5A28">
        <w:rPr>
          <w:rFonts w:ascii="Times New Roman" w:hAnsi="Times New Roman"/>
          <w:sz w:val="24"/>
          <w:szCs w:val="24"/>
        </w:rPr>
        <w:t xml:space="preserve"> </w:t>
      </w:r>
      <w:r w:rsidR="00785994" w:rsidRPr="00FB5A28">
        <w:rPr>
          <w:rFonts w:ascii="Times New Roman" w:hAnsi="Times New Roman"/>
          <w:sz w:val="24"/>
          <w:szCs w:val="24"/>
        </w:rPr>
        <w:t>на</w:t>
      </w:r>
      <w:r w:rsidR="008D574A" w:rsidRPr="00FB5A28">
        <w:rPr>
          <w:rFonts w:ascii="Times New Roman" w:hAnsi="Times New Roman"/>
          <w:sz w:val="24"/>
          <w:szCs w:val="24"/>
        </w:rPr>
        <w:t xml:space="preserve"> </w:t>
      </w:r>
      <w:r w:rsidR="00785994" w:rsidRPr="00FB5A28">
        <w:rPr>
          <w:rFonts w:ascii="Times New Roman" w:hAnsi="Times New Roman"/>
          <w:sz w:val="24"/>
          <w:szCs w:val="24"/>
        </w:rPr>
        <w:t>његов</w:t>
      </w:r>
      <w:r w:rsidR="008D574A" w:rsidRPr="00FB5A28">
        <w:rPr>
          <w:rFonts w:ascii="Times New Roman" w:hAnsi="Times New Roman"/>
          <w:sz w:val="24"/>
          <w:szCs w:val="24"/>
        </w:rPr>
        <w:t xml:space="preserve"> </w:t>
      </w:r>
      <w:r w:rsidR="00785994" w:rsidRPr="00FB5A28">
        <w:rPr>
          <w:rFonts w:ascii="Times New Roman" w:hAnsi="Times New Roman"/>
          <w:sz w:val="24"/>
          <w:szCs w:val="24"/>
        </w:rPr>
        <w:t>захтев</w:t>
      </w:r>
      <w:r w:rsidR="008D574A" w:rsidRPr="00FB5A28">
        <w:rPr>
          <w:rFonts w:ascii="Times New Roman" w:hAnsi="Times New Roman"/>
          <w:sz w:val="24"/>
          <w:szCs w:val="24"/>
        </w:rPr>
        <w:t xml:space="preserve">, </w:t>
      </w:r>
      <w:r w:rsidR="00785994" w:rsidRPr="00FB5A28">
        <w:rPr>
          <w:rFonts w:ascii="Times New Roman" w:hAnsi="Times New Roman"/>
          <w:sz w:val="24"/>
          <w:szCs w:val="24"/>
        </w:rPr>
        <w:t>уместо</w:t>
      </w:r>
      <w:r w:rsidR="008D574A" w:rsidRPr="00FB5A28">
        <w:rPr>
          <w:rFonts w:ascii="Times New Roman" w:hAnsi="Times New Roman"/>
          <w:sz w:val="24"/>
          <w:szCs w:val="24"/>
        </w:rPr>
        <w:t xml:space="preserve"> </w:t>
      </w:r>
      <w:r w:rsidR="00785994" w:rsidRPr="00FB5A28">
        <w:rPr>
          <w:rFonts w:ascii="Times New Roman" w:hAnsi="Times New Roman"/>
          <w:sz w:val="24"/>
          <w:szCs w:val="24"/>
        </w:rPr>
        <w:t>нормираних</w:t>
      </w:r>
      <w:r w:rsidR="008D574A" w:rsidRPr="00FB5A28">
        <w:rPr>
          <w:rFonts w:ascii="Times New Roman" w:hAnsi="Times New Roman"/>
          <w:sz w:val="24"/>
          <w:szCs w:val="24"/>
        </w:rPr>
        <w:t xml:space="preserve"> </w:t>
      </w:r>
      <w:r w:rsidR="00785994" w:rsidRPr="00FB5A28">
        <w:rPr>
          <w:rFonts w:ascii="Times New Roman" w:hAnsi="Times New Roman"/>
          <w:sz w:val="24"/>
          <w:szCs w:val="24"/>
        </w:rPr>
        <w:t>трошкова</w:t>
      </w:r>
      <w:r w:rsidR="008D574A" w:rsidRPr="00FB5A28">
        <w:rPr>
          <w:rFonts w:ascii="Times New Roman" w:hAnsi="Times New Roman"/>
          <w:sz w:val="24"/>
          <w:szCs w:val="24"/>
        </w:rPr>
        <w:t xml:space="preserve"> </w:t>
      </w:r>
      <w:r w:rsidRPr="00FB5A28">
        <w:rPr>
          <w:rFonts w:ascii="Times New Roman" w:hAnsi="Times New Roman"/>
          <w:sz w:val="24"/>
          <w:szCs w:val="24"/>
          <w:lang w:val="sr-Cyrl-CS"/>
        </w:rPr>
        <w:t xml:space="preserve">могу признати </w:t>
      </w:r>
      <w:r w:rsidR="008D574A" w:rsidRPr="00FB5A28">
        <w:rPr>
          <w:rFonts w:ascii="Times New Roman" w:hAnsi="Times New Roman"/>
          <w:sz w:val="24"/>
          <w:szCs w:val="24"/>
        </w:rPr>
        <w:t xml:space="preserve"> </w:t>
      </w:r>
      <w:r w:rsidR="00785994" w:rsidRPr="00FB5A28">
        <w:rPr>
          <w:rFonts w:ascii="Times New Roman" w:hAnsi="Times New Roman"/>
          <w:sz w:val="24"/>
          <w:szCs w:val="24"/>
        </w:rPr>
        <w:t>стварни</w:t>
      </w:r>
      <w:r w:rsidR="008D574A" w:rsidRPr="00FB5A28">
        <w:rPr>
          <w:rFonts w:ascii="Times New Roman" w:hAnsi="Times New Roman"/>
          <w:sz w:val="24"/>
          <w:szCs w:val="24"/>
        </w:rPr>
        <w:t xml:space="preserve"> </w:t>
      </w:r>
      <w:r w:rsidR="00785994" w:rsidRPr="00FB5A28">
        <w:rPr>
          <w:rFonts w:ascii="Times New Roman" w:hAnsi="Times New Roman"/>
          <w:sz w:val="24"/>
          <w:szCs w:val="24"/>
        </w:rPr>
        <w:t>трошкови</w:t>
      </w:r>
      <w:r w:rsidR="008D574A" w:rsidRPr="00FB5A28">
        <w:rPr>
          <w:rFonts w:ascii="Times New Roman" w:hAnsi="Times New Roman"/>
          <w:sz w:val="24"/>
          <w:szCs w:val="24"/>
        </w:rPr>
        <w:t xml:space="preserve"> </w:t>
      </w:r>
      <w:r w:rsidR="00785994" w:rsidRPr="00FB5A28">
        <w:rPr>
          <w:rFonts w:ascii="Times New Roman" w:hAnsi="Times New Roman"/>
          <w:sz w:val="24"/>
          <w:szCs w:val="24"/>
        </w:rPr>
        <w:t>које</w:t>
      </w:r>
      <w:r w:rsidR="008D574A" w:rsidRPr="00FB5A28">
        <w:rPr>
          <w:rFonts w:ascii="Times New Roman" w:hAnsi="Times New Roman"/>
          <w:sz w:val="24"/>
          <w:szCs w:val="24"/>
        </w:rPr>
        <w:t xml:space="preserve"> </w:t>
      </w:r>
      <w:r w:rsidR="00785994" w:rsidRPr="00FB5A28">
        <w:rPr>
          <w:rFonts w:ascii="Times New Roman" w:hAnsi="Times New Roman"/>
          <w:sz w:val="24"/>
          <w:szCs w:val="24"/>
        </w:rPr>
        <w:t>је</w:t>
      </w:r>
      <w:r w:rsidR="008D574A" w:rsidRPr="00FB5A28">
        <w:rPr>
          <w:rFonts w:ascii="Times New Roman" w:hAnsi="Times New Roman"/>
          <w:sz w:val="24"/>
          <w:szCs w:val="24"/>
        </w:rPr>
        <w:t xml:space="preserve"> </w:t>
      </w:r>
      <w:r w:rsidR="00785994" w:rsidRPr="00FB5A28">
        <w:rPr>
          <w:rFonts w:ascii="Times New Roman" w:hAnsi="Times New Roman"/>
          <w:sz w:val="24"/>
          <w:szCs w:val="24"/>
        </w:rPr>
        <w:t>имао</w:t>
      </w:r>
      <w:r w:rsidR="008D574A" w:rsidRPr="00FB5A28">
        <w:rPr>
          <w:rFonts w:ascii="Times New Roman" w:hAnsi="Times New Roman"/>
          <w:sz w:val="24"/>
          <w:szCs w:val="24"/>
        </w:rPr>
        <w:t xml:space="preserve"> </w:t>
      </w:r>
      <w:r w:rsidR="00785994" w:rsidRPr="00FB5A28">
        <w:rPr>
          <w:rFonts w:ascii="Times New Roman" w:hAnsi="Times New Roman"/>
          <w:sz w:val="24"/>
          <w:szCs w:val="24"/>
        </w:rPr>
        <w:t>при</w:t>
      </w:r>
      <w:r w:rsidR="008D574A" w:rsidRPr="00FB5A28">
        <w:rPr>
          <w:rFonts w:ascii="Times New Roman" w:hAnsi="Times New Roman"/>
          <w:sz w:val="24"/>
          <w:szCs w:val="24"/>
        </w:rPr>
        <w:t xml:space="preserve"> </w:t>
      </w:r>
      <w:r w:rsidR="00785994" w:rsidRPr="00FB5A28">
        <w:rPr>
          <w:rFonts w:ascii="Times New Roman" w:hAnsi="Times New Roman"/>
          <w:sz w:val="24"/>
          <w:szCs w:val="24"/>
        </w:rPr>
        <w:t>остваривању</w:t>
      </w:r>
      <w:r w:rsidR="008D574A" w:rsidRPr="00FB5A28">
        <w:rPr>
          <w:rFonts w:ascii="Times New Roman" w:hAnsi="Times New Roman"/>
          <w:sz w:val="24"/>
          <w:szCs w:val="24"/>
        </w:rPr>
        <w:t xml:space="preserve"> </w:t>
      </w:r>
      <w:r w:rsidR="00785994" w:rsidRPr="00FB5A28">
        <w:rPr>
          <w:rFonts w:ascii="Times New Roman" w:hAnsi="Times New Roman"/>
          <w:sz w:val="24"/>
          <w:szCs w:val="24"/>
        </w:rPr>
        <w:t>и</w:t>
      </w:r>
      <w:r w:rsidR="008D574A" w:rsidRPr="00FB5A28">
        <w:rPr>
          <w:rFonts w:ascii="Times New Roman" w:hAnsi="Times New Roman"/>
          <w:sz w:val="24"/>
          <w:szCs w:val="24"/>
        </w:rPr>
        <w:t xml:space="preserve"> </w:t>
      </w:r>
      <w:r w:rsidR="00785994" w:rsidRPr="00FB5A28">
        <w:rPr>
          <w:rFonts w:ascii="Times New Roman" w:hAnsi="Times New Roman"/>
          <w:sz w:val="24"/>
          <w:szCs w:val="24"/>
        </w:rPr>
        <w:t>очувању</w:t>
      </w:r>
      <w:r w:rsidR="008D574A" w:rsidRPr="00FB5A28">
        <w:rPr>
          <w:rFonts w:ascii="Times New Roman" w:hAnsi="Times New Roman"/>
          <w:sz w:val="24"/>
          <w:szCs w:val="24"/>
        </w:rPr>
        <w:t xml:space="preserve"> </w:t>
      </w:r>
      <w:r w:rsidR="00785994" w:rsidRPr="00FB5A28">
        <w:rPr>
          <w:rFonts w:ascii="Times New Roman" w:hAnsi="Times New Roman"/>
          <w:sz w:val="24"/>
          <w:szCs w:val="24"/>
        </w:rPr>
        <w:t>прихода</w:t>
      </w:r>
      <w:r w:rsidR="008D574A" w:rsidRPr="00FB5A28">
        <w:rPr>
          <w:rFonts w:ascii="Times New Roman" w:hAnsi="Times New Roman"/>
          <w:sz w:val="24"/>
          <w:szCs w:val="24"/>
        </w:rPr>
        <w:t xml:space="preserve">, </w:t>
      </w:r>
      <w:r w:rsidR="00785994" w:rsidRPr="00FB5A28">
        <w:rPr>
          <w:rFonts w:ascii="Times New Roman" w:hAnsi="Times New Roman"/>
          <w:sz w:val="24"/>
          <w:szCs w:val="24"/>
        </w:rPr>
        <w:t>ако</w:t>
      </w:r>
      <w:r w:rsidR="008D574A" w:rsidRPr="00FB5A28">
        <w:rPr>
          <w:rFonts w:ascii="Times New Roman" w:hAnsi="Times New Roman"/>
          <w:sz w:val="24"/>
          <w:szCs w:val="24"/>
        </w:rPr>
        <w:t xml:space="preserve"> </w:t>
      </w:r>
      <w:r w:rsidR="00785994" w:rsidRPr="00FB5A28">
        <w:rPr>
          <w:rFonts w:ascii="Times New Roman" w:hAnsi="Times New Roman"/>
          <w:sz w:val="24"/>
          <w:szCs w:val="24"/>
        </w:rPr>
        <w:t>за</w:t>
      </w:r>
      <w:r w:rsidR="008D574A" w:rsidRPr="00FB5A28">
        <w:rPr>
          <w:rFonts w:ascii="Times New Roman" w:hAnsi="Times New Roman"/>
          <w:sz w:val="24"/>
          <w:szCs w:val="24"/>
        </w:rPr>
        <w:t xml:space="preserve"> </w:t>
      </w:r>
      <w:r w:rsidR="00785994" w:rsidRPr="00FB5A28">
        <w:rPr>
          <w:rFonts w:ascii="Times New Roman" w:hAnsi="Times New Roman"/>
          <w:sz w:val="24"/>
          <w:szCs w:val="24"/>
        </w:rPr>
        <w:t>то</w:t>
      </w:r>
      <w:r w:rsidR="008D574A" w:rsidRPr="00FB5A28">
        <w:rPr>
          <w:rFonts w:ascii="Times New Roman" w:hAnsi="Times New Roman"/>
          <w:sz w:val="24"/>
          <w:szCs w:val="24"/>
        </w:rPr>
        <w:t xml:space="preserve"> </w:t>
      </w:r>
      <w:r w:rsidR="00785994" w:rsidRPr="00FB5A28">
        <w:rPr>
          <w:rFonts w:ascii="Times New Roman" w:hAnsi="Times New Roman"/>
          <w:sz w:val="24"/>
          <w:szCs w:val="24"/>
        </w:rPr>
        <w:t>поднесе</w:t>
      </w:r>
      <w:r w:rsidR="008D574A" w:rsidRPr="00FB5A28">
        <w:rPr>
          <w:rFonts w:ascii="Times New Roman" w:hAnsi="Times New Roman"/>
          <w:sz w:val="24"/>
          <w:szCs w:val="24"/>
        </w:rPr>
        <w:t xml:space="preserve"> </w:t>
      </w:r>
      <w:r w:rsidR="00785994" w:rsidRPr="00FB5A28">
        <w:rPr>
          <w:rFonts w:ascii="Times New Roman" w:hAnsi="Times New Roman"/>
          <w:sz w:val="24"/>
          <w:szCs w:val="24"/>
        </w:rPr>
        <w:t>доказе</w:t>
      </w:r>
      <w:r w:rsidR="008D574A" w:rsidRPr="00FB5A28">
        <w:rPr>
          <w:rFonts w:ascii="Times New Roman" w:hAnsi="Times New Roman"/>
          <w:sz w:val="24"/>
          <w:szCs w:val="24"/>
        </w:rPr>
        <w:t>.</w:t>
      </w:r>
      <w:r w:rsidRPr="00FB5A28">
        <w:rPr>
          <w:rStyle w:val="FootnoteReference"/>
          <w:rFonts w:ascii="Times New Roman" w:hAnsi="Times New Roman"/>
          <w:color w:val="000000"/>
          <w:sz w:val="24"/>
          <w:szCs w:val="24"/>
        </w:rPr>
        <w:footnoteReference w:id="461"/>
      </w:r>
    </w:p>
    <w:p w:rsidR="008D574A" w:rsidRPr="00FB5A28" w:rsidRDefault="00F36E79" w:rsidP="00FB5A28">
      <w:pPr>
        <w:jc w:val="both"/>
        <w:rPr>
          <w:rFonts w:ascii="Times New Roman" w:hAnsi="Times New Roman"/>
          <w:bCs/>
          <w:sz w:val="24"/>
          <w:szCs w:val="24"/>
          <w:lang w:val="sr-Cyrl-CS"/>
        </w:rPr>
      </w:pPr>
      <w:bookmarkStart w:id="40" w:name="str_46"/>
      <w:bookmarkStart w:id="41" w:name="str_47"/>
      <w:bookmarkStart w:id="42" w:name="clan_65"/>
      <w:bookmarkEnd w:id="40"/>
      <w:bookmarkEnd w:id="41"/>
      <w:bookmarkEnd w:id="42"/>
      <w:r w:rsidRPr="00FB5A28">
        <w:rPr>
          <w:rFonts w:ascii="Times New Roman" w:hAnsi="Times New Roman"/>
          <w:b/>
          <w:bCs/>
          <w:sz w:val="24"/>
          <w:szCs w:val="24"/>
          <w:lang w:val="sr-Cyrl-CS"/>
        </w:rPr>
        <w:tab/>
      </w:r>
      <w:r w:rsidRPr="00FB5A28">
        <w:rPr>
          <w:rFonts w:ascii="Times New Roman" w:hAnsi="Times New Roman"/>
          <w:bCs/>
          <w:sz w:val="24"/>
          <w:szCs w:val="24"/>
          <w:lang w:val="sr-Cyrl-CS"/>
        </w:rPr>
        <w:t>Пореска ослобођења су двојака. Наи</w:t>
      </w:r>
      <w:r w:rsidR="00785994" w:rsidRPr="00FB5A28">
        <w:rPr>
          <w:rFonts w:ascii="Times New Roman" w:hAnsi="Times New Roman"/>
          <w:bCs/>
          <w:sz w:val="24"/>
          <w:szCs w:val="24"/>
          <w:lang w:val="sr-Cyrl-CS"/>
        </w:rPr>
        <w:t xml:space="preserve">ме, </w:t>
      </w:r>
      <w:r w:rsidR="00785994" w:rsidRPr="00FB5A28">
        <w:rPr>
          <w:rFonts w:ascii="Times New Roman" w:hAnsi="Times New Roman"/>
          <w:sz w:val="24"/>
          <w:szCs w:val="24"/>
          <w:lang w:val="sr-Cyrl-CS"/>
        </w:rPr>
        <w:t>н</w:t>
      </w:r>
      <w:r w:rsidR="00785994" w:rsidRPr="00FB5A28">
        <w:rPr>
          <w:rFonts w:ascii="Times New Roman" w:hAnsi="Times New Roman"/>
          <w:sz w:val="24"/>
          <w:szCs w:val="24"/>
        </w:rPr>
        <w:t>е</w:t>
      </w:r>
      <w:r w:rsidR="008D574A" w:rsidRPr="00FB5A28">
        <w:rPr>
          <w:rFonts w:ascii="Times New Roman" w:hAnsi="Times New Roman"/>
          <w:sz w:val="24"/>
          <w:szCs w:val="24"/>
        </w:rPr>
        <w:t xml:space="preserve"> </w:t>
      </w:r>
      <w:r w:rsidR="00785994" w:rsidRPr="00FB5A28">
        <w:rPr>
          <w:rFonts w:ascii="Times New Roman" w:hAnsi="Times New Roman"/>
          <w:sz w:val="24"/>
          <w:szCs w:val="24"/>
        </w:rPr>
        <w:t>плаћа</w:t>
      </w:r>
      <w:r w:rsidR="008D574A" w:rsidRPr="00FB5A28">
        <w:rPr>
          <w:rFonts w:ascii="Times New Roman" w:hAnsi="Times New Roman"/>
          <w:sz w:val="24"/>
          <w:szCs w:val="24"/>
        </w:rPr>
        <w:t xml:space="preserve"> </w:t>
      </w:r>
      <w:r w:rsidR="00785994" w:rsidRPr="00FB5A28">
        <w:rPr>
          <w:rFonts w:ascii="Times New Roman" w:hAnsi="Times New Roman"/>
          <w:sz w:val="24"/>
          <w:szCs w:val="24"/>
        </w:rPr>
        <w:t>се</w:t>
      </w:r>
      <w:r w:rsidR="008D574A" w:rsidRPr="00FB5A28">
        <w:rPr>
          <w:rFonts w:ascii="Times New Roman" w:hAnsi="Times New Roman"/>
          <w:sz w:val="24"/>
          <w:szCs w:val="24"/>
        </w:rPr>
        <w:t xml:space="preserve"> </w:t>
      </w:r>
      <w:r w:rsidR="00785994" w:rsidRPr="00FB5A28">
        <w:rPr>
          <w:rFonts w:ascii="Times New Roman" w:hAnsi="Times New Roman"/>
          <w:sz w:val="24"/>
          <w:szCs w:val="24"/>
        </w:rPr>
        <w:t>порез</w:t>
      </w:r>
      <w:r w:rsidR="008D574A" w:rsidRPr="00FB5A28">
        <w:rPr>
          <w:rFonts w:ascii="Times New Roman" w:hAnsi="Times New Roman"/>
          <w:sz w:val="24"/>
          <w:szCs w:val="24"/>
        </w:rPr>
        <w:t xml:space="preserve"> </w:t>
      </w:r>
      <w:r w:rsidR="00785994" w:rsidRPr="00FB5A28">
        <w:rPr>
          <w:rFonts w:ascii="Times New Roman" w:hAnsi="Times New Roman"/>
          <w:sz w:val="24"/>
          <w:szCs w:val="24"/>
        </w:rPr>
        <w:t>на приходе од капитала на камату</w:t>
      </w:r>
      <w:r w:rsidR="008D574A" w:rsidRPr="00FB5A28">
        <w:rPr>
          <w:rFonts w:ascii="Times New Roman" w:hAnsi="Times New Roman"/>
          <w:sz w:val="24"/>
          <w:szCs w:val="24"/>
        </w:rPr>
        <w:t xml:space="preserve"> </w:t>
      </w:r>
      <w:r w:rsidR="00785994" w:rsidRPr="00FB5A28">
        <w:rPr>
          <w:rFonts w:ascii="Times New Roman" w:hAnsi="Times New Roman"/>
          <w:sz w:val="24"/>
          <w:szCs w:val="24"/>
        </w:rPr>
        <w:t>на</w:t>
      </w:r>
      <w:r w:rsidR="008D574A" w:rsidRPr="00FB5A28">
        <w:rPr>
          <w:rFonts w:ascii="Times New Roman" w:hAnsi="Times New Roman"/>
          <w:sz w:val="24"/>
          <w:szCs w:val="24"/>
        </w:rPr>
        <w:t xml:space="preserve"> </w:t>
      </w:r>
      <w:r w:rsidR="00785994" w:rsidRPr="00FB5A28">
        <w:rPr>
          <w:rFonts w:ascii="Times New Roman" w:hAnsi="Times New Roman"/>
          <w:sz w:val="24"/>
          <w:szCs w:val="24"/>
        </w:rPr>
        <w:t>динарска</w:t>
      </w:r>
      <w:r w:rsidR="008D574A" w:rsidRPr="00FB5A28">
        <w:rPr>
          <w:rFonts w:ascii="Times New Roman" w:hAnsi="Times New Roman"/>
          <w:sz w:val="24"/>
          <w:szCs w:val="24"/>
        </w:rPr>
        <w:t xml:space="preserve"> </w:t>
      </w:r>
      <w:r w:rsidR="00785994" w:rsidRPr="00FB5A28">
        <w:rPr>
          <w:rFonts w:ascii="Times New Roman" w:hAnsi="Times New Roman"/>
          <w:sz w:val="24"/>
          <w:szCs w:val="24"/>
        </w:rPr>
        <w:t>средства</w:t>
      </w:r>
      <w:r w:rsidR="008D574A" w:rsidRPr="00FB5A28">
        <w:rPr>
          <w:rFonts w:ascii="Times New Roman" w:hAnsi="Times New Roman"/>
          <w:sz w:val="24"/>
          <w:szCs w:val="24"/>
        </w:rPr>
        <w:t xml:space="preserve"> </w:t>
      </w:r>
      <w:r w:rsidR="00785994" w:rsidRPr="00FB5A28">
        <w:rPr>
          <w:rFonts w:ascii="Times New Roman" w:hAnsi="Times New Roman"/>
          <w:sz w:val="24"/>
          <w:szCs w:val="24"/>
        </w:rPr>
        <w:t>по</w:t>
      </w:r>
      <w:r w:rsidR="008D574A" w:rsidRPr="00FB5A28">
        <w:rPr>
          <w:rFonts w:ascii="Times New Roman" w:hAnsi="Times New Roman"/>
          <w:sz w:val="24"/>
          <w:szCs w:val="24"/>
        </w:rPr>
        <w:t xml:space="preserve"> </w:t>
      </w:r>
      <w:r w:rsidR="00785994" w:rsidRPr="00FB5A28">
        <w:rPr>
          <w:rFonts w:ascii="Times New Roman" w:hAnsi="Times New Roman"/>
          <w:sz w:val="24"/>
          <w:szCs w:val="24"/>
        </w:rPr>
        <w:t>основу</w:t>
      </w:r>
      <w:r w:rsidR="008D574A" w:rsidRPr="00FB5A28">
        <w:rPr>
          <w:rFonts w:ascii="Times New Roman" w:hAnsi="Times New Roman"/>
          <w:sz w:val="24"/>
          <w:szCs w:val="24"/>
        </w:rPr>
        <w:t xml:space="preserve"> </w:t>
      </w:r>
      <w:r w:rsidR="00785994" w:rsidRPr="00FB5A28">
        <w:rPr>
          <w:rFonts w:ascii="Times New Roman" w:hAnsi="Times New Roman"/>
          <w:sz w:val="24"/>
          <w:szCs w:val="24"/>
        </w:rPr>
        <w:t>штедних</w:t>
      </w:r>
      <w:r w:rsidR="008D574A" w:rsidRPr="00FB5A28">
        <w:rPr>
          <w:rFonts w:ascii="Times New Roman" w:hAnsi="Times New Roman"/>
          <w:sz w:val="24"/>
          <w:szCs w:val="24"/>
        </w:rPr>
        <w:t xml:space="preserve"> </w:t>
      </w:r>
      <w:r w:rsidR="00785994" w:rsidRPr="00FB5A28">
        <w:rPr>
          <w:rFonts w:ascii="Times New Roman" w:hAnsi="Times New Roman"/>
          <w:sz w:val="24"/>
          <w:szCs w:val="24"/>
        </w:rPr>
        <w:t>и</w:t>
      </w:r>
      <w:r w:rsidR="008D574A" w:rsidRPr="00FB5A28">
        <w:rPr>
          <w:rFonts w:ascii="Times New Roman" w:hAnsi="Times New Roman"/>
          <w:sz w:val="24"/>
          <w:szCs w:val="24"/>
        </w:rPr>
        <w:t xml:space="preserve"> </w:t>
      </w:r>
      <w:r w:rsidR="00785994" w:rsidRPr="00FB5A28">
        <w:rPr>
          <w:rFonts w:ascii="Times New Roman" w:hAnsi="Times New Roman"/>
          <w:sz w:val="24"/>
          <w:szCs w:val="24"/>
        </w:rPr>
        <w:t>других</w:t>
      </w:r>
      <w:r w:rsidR="008D574A" w:rsidRPr="00FB5A28">
        <w:rPr>
          <w:rFonts w:ascii="Times New Roman" w:hAnsi="Times New Roman"/>
          <w:sz w:val="24"/>
          <w:szCs w:val="24"/>
        </w:rPr>
        <w:t xml:space="preserve"> </w:t>
      </w:r>
      <w:r w:rsidR="00785994" w:rsidRPr="00FB5A28">
        <w:rPr>
          <w:rFonts w:ascii="Times New Roman" w:hAnsi="Times New Roman"/>
          <w:sz w:val="24"/>
          <w:szCs w:val="24"/>
        </w:rPr>
        <w:t>депозита</w:t>
      </w:r>
      <w:r w:rsidR="008D574A" w:rsidRPr="00FB5A28">
        <w:rPr>
          <w:rFonts w:ascii="Times New Roman" w:hAnsi="Times New Roman"/>
          <w:sz w:val="24"/>
          <w:szCs w:val="24"/>
        </w:rPr>
        <w:t xml:space="preserve"> (</w:t>
      </w:r>
      <w:r w:rsidR="00785994" w:rsidRPr="00FB5A28">
        <w:rPr>
          <w:rFonts w:ascii="Times New Roman" w:hAnsi="Times New Roman"/>
          <w:sz w:val="24"/>
          <w:szCs w:val="24"/>
        </w:rPr>
        <w:t>орочених</w:t>
      </w:r>
      <w:r w:rsidR="008D574A" w:rsidRPr="00FB5A28">
        <w:rPr>
          <w:rFonts w:ascii="Times New Roman" w:hAnsi="Times New Roman"/>
          <w:sz w:val="24"/>
          <w:szCs w:val="24"/>
        </w:rPr>
        <w:t xml:space="preserve"> </w:t>
      </w:r>
      <w:r w:rsidR="00785994" w:rsidRPr="00FB5A28">
        <w:rPr>
          <w:rFonts w:ascii="Times New Roman" w:hAnsi="Times New Roman"/>
          <w:sz w:val="24"/>
          <w:szCs w:val="24"/>
        </w:rPr>
        <w:t>или</w:t>
      </w:r>
      <w:r w:rsidR="008D574A" w:rsidRPr="00FB5A28">
        <w:rPr>
          <w:rFonts w:ascii="Times New Roman" w:hAnsi="Times New Roman"/>
          <w:sz w:val="24"/>
          <w:szCs w:val="24"/>
        </w:rPr>
        <w:t xml:space="preserve"> </w:t>
      </w:r>
      <w:r w:rsidR="00785994" w:rsidRPr="00FB5A28">
        <w:rPr>
          <w:rFonts w:ascii="Times New Roman" w:hAnsi="Times New Roman"/>
          <w:sz w:val="24"/>
          <w:szCs w:val="24"/>
        </w:rPr>
        <w:t>по</w:t>
      </w:r>
      <w:r w:rsidR="008D574A" w:rsidRPr="00FB5A28">
        <w:rPr>
          <w:rFonts w:ascii="Times New Roman" w:hAnsi="Times New Roman"/>
          <w:sz w:val="24"/>
          <w:szCs w:val="24"/>
        </w:rPr>
        <w:t xml:space="preserve"> </w:t>
      </w:r>
      <w:r w:rsidR="00785994" w:rsidRPr="00FB5A28">
        <w:rPr>
          <w:rFonts w:ascii="Times New Roman" w:hAnsi="Times New Roman"/>
          <w:sz w:val="24"/>
          <w:szCs w:val="24"/>
        </w:rPr>
        <w:t>виђењу</w:t>
      </w:r>
      <w:r w:rsidR="008D574A" w:rsidRPr="00FB5A28">
        <w:rPr>
          <w:rFonts w:ascii="Times New Roman" w:hAnsi="Times New Roman"/>
          <w:sz w:val="24"/>
          <w:szCs w:val="24"/>
        </w:rPr>
        <w:t>)</w:t>
      </w:r>
      <w:r w:rsidR="00785994" w:rsidRPr="00FB5A28">
        <w:rPr>
          <w:rFonts w:ascii="Times New Roman" w:hAnsi="Times New Roman"/>
          <w:sz w:val="24"/>
          <w:szCs w:val="24"/>
          <w:lang w:val="sr-Cyrl-CS"/>
        </w:rPr>
        <w:t xml:space="preserve"> и </w:t>
      </w:r>
      <w:r w:rsidR="00785994" w:rsidRPr="00FB5A28">
        <w:rPr>
          <w:rFonts w:ascii="Times New Roman" w:hAnsi="Times New Roman"/>
          <w:sz w:val="24"/>
          <w:szCs w:val="24"/>
        </w:rPr>
        <w:t>по</w:t>
      </w:r>
      <w:r w:rsidR="008D574A" w:rsidRPr="00FB5A28">
        <w:rPr>
          <w:rFonts w:ascii="Times New Roman" w:hAnsi="Times New Roman"/>
          <w:sz w:val="24"/>
          <w:szCs w:val="24"/>
        </w:rPr>
        <w:t xml:space="preserve"> </w:t>
      </w:r>
      <w:r w:rsidR="00785994" w:rsidRPr="00FB5A28">
        <w:rPr>
          <w:rFonts w:ascii="Times New Roman" w:hAnsi="Times New Roman"/>
          <w:sz w:val="24"/>
          <w:szCs w:val="24"/>
        </w:rPr>
        <w:t>основу</w:t>
      </w:r>
      <w:r w:rsidR="008D574A" w:rsidRPr="00FB5A28">
        <w:rPr>
          <w:rFonts w:ascii="Times New Roman" w:hAnsi="Times New Roman"/>
          <w:sz w:val="24"/>
          <w:szCs w:val="24"/>
        </w:rPr>
        <w:t xml:space="preserve"> </w:t>
      </w:r>
      <w:r w:rsidR="00785994" w:rsidRPr="00FB5A28">
        <w:rPr>
          <w:rFonts w:ascii="Times New Roman" w:hAnsi="Times New Roman"/>
          <w:sz w:val="24"/>
          <w:szCs w:val="24"/>
        </w:rPr>
        <w:t>дужничких</w:t>
      </w:r>
      <w:r w:rsidR="008D574A" w:rsidRPr="00FB5A28">
        <w:rPr>
          <w:rFonts w:ascii="Times New Roman" w:hAnsi="Times New Roman"/>
          <w:sz w:val="24"/>
          <w:szCs w:val="24"/>
        </w:rPr>
        <w:t xml:space="preserve"> </w:t>
      </w:r>
      <w:r w:rsidR="00785994" w:rsidRPr="00FB5A28">
        <w:rPr>
          <w:rFonts w:ascii="Times New Roman" w:hAnsi="Times New Roman"/>
          <w:sz w:val="24"/>
          <w:szCs w:val="24"/>
        </w:rPr>
        <w:t>хартија</w:t>
      </w:r>
      <w:r w:rsidR="008D574A" w:rsidRPr="00FB5A28">
        <w:rPr>
          <w:rFonts w:ascii="Times New Roman" w:hAnsi="Times New Roman"/>
          <w:sz w:val="24"/>
          <w:szCs w:val="24"/>
        </w:rPr>
        <w:t xml:space="preserve"> </w:t>
      </w:r>
      <w:r w:rsidR="00785994" w:rsidRPr="00FB5A28">
        <w:rPr>
          <w:rFonts w:ascii="Times New Roman" w:hAnsi="Times New Roman"/>
          <w:sz w:val="24"/>
          <w:szCs w:val="24"/>
        </w:rPr>
        <w:t>од</w:t>
      </w:r>
      <w:r w:rsidR="008D574A" w:rsidRPr="00FB5A28">
        <w:rPr>
          <w:rFonts w:ascii="Times New Roman" w:hAnsi="Times New Roman"/>
          <w:sz w:val="24"/>
          <w:szCs w:val="24"/>
        </w:rPr>
        <w:t xml:space="preserve"> </w:t>
      </w:r>
      <w:r w:rsidR="00785994" w:rsidRPr="00FB5A28">
        <w:rPr>
          <w:rFonts w:ascii="Times New Roman" w:hAnsi="Times New Roman"/>
          <w:sz w:val="24"/>
          <w:szCs w:val="24"/>
        </w:rPr>
        <w:t>вредности</w:t>
      </w:r>
      <w:r w:rsidR="008D574A" w:rsidRPr="00FB5A28">
        <w:rPr>
          <w:rFonts w:ascii="Times New Roman" w:hAnsi="Times New Roman"/>
          <w:sz w:val="24"/>
          <w:szCs w:val="24"/>
        </w:rPr>
        <w:t xml:space="preserve"> </w:t>
      </w:r>
      <w:r w:rsidR="00785994" w:rsidRPr="00FB5A28">
        <w:rPr>
          <w:rFonts w:ascii="Times New Roman" w:hAnsi="Times New Roman"/>
          <w:sz w:val="24"/>
          <w:szCs w:val="24"/>
        </w:rPr>
        <w:t>чији</w:t>
      </w:r>
      <w:r w:rsidR="008D574A" w:rsidRPr="00FB5A28">
        <w:rPr>
          <w:rFonts w:ascii="Times New Roman" w:hAnsi="Times New Roman"/>
          <w:sz w:val="24"/>
          <w:szCs w:val="24"/>
        </w:rPr>
        <w:t xml:space="preserve"> </w:t>
      </w:r>
      <w:r w:rsidR="00785994" w:rsidRPr="00FB5A28">
        <w:rPr>
          <w:rFonts w:ascii="Times New Roman" w:hAnsi="Times New Roman"/>
          <w:sz w:val="24"/>
          <w:szCs w:val="24"/>
        </w:rPr>
        <w:t>је</w:t>
      </w:r>
      <w:r w:rsidR="008D574A" w:rsidRPr="00FB5A28">
        <w:rPr>
          <w:rFonts w:ascii="Times New Roman" w:hAnsi="Times New Roman"/>
          <w:sz w:val="24"/>
          <w:szCs w:val="24"/>
        </w:rPr>
        <w:t xml:space="preserve"> </w:t>
      </w:r>
      <w:r w:rsidR="00785994" w:rsidRPr="00FB5A28">
        <w:rPr>
          <w:rFonts w:ascii="Times New Roman" w:hAnsi="Times New Roman"/>
          <w:sz w:val="24"/>
          <w:szCs w:val="24"/>
        </w:rPr>
        <w:t>издавалац</w:t>
      </w:r>
      <w:r w:rsidR="008D574A" w:rsidRPr="00FB5A28">
        <w:rPr>
          <w:rFonts w:ascii="Times New Roman" w:hAnsi="Times New Roman"/>
          <w:sz w:val="24"/>
          <w:szCs w:val="24"/>
        </w:rPr>
        <w:t xml:space="preserve"> </w:t>
      </w:r>
      <w:r w:rsidR="00785994" w:rsidRPr="00FB5A28">
        <w:rPr>
          <w:rFonts w:ascii="Times New Roman" w:hAnsi="Times New Roman"/>
          <w:sz w:val="24"/>
          <w:szCs w:val="24"/>
        </w:rPr>
        <w:t>Република</w:t>
      </w:r>
      <w:r w:rsidR="008D574A" w:rsidRPr="00FB5A28">
        <w:rPr>
          <w:rFonts w:ascii="Times New Roman" w:hAnsi="Times New Roman"/>
          <w:sz w:val="24"/>
          <w:szCs w:val="24"/>
        </w:rPr>
        <w:t xml:space="preserve">, </w:t>
      </w:r>
      <w:r w:rsidR="00785994" w:rsidRPr="00FB5A28">
        <w:rPr>
          <w:rFonts w:ascii="Times New Roman" w:hAnsi="Times New Roman"/>
          <w:sz w:val="24"/>
          <w:szCs w:val="24"/>
        </w:rPr>
        <w:t>Аутономна</w:t>
      </w:r>
      <w:r w:rsidR="008D574A" w:rsidRPr="00FB5A28">
        <w:rPr>
          <w:rFonts w:ascii="Times New Roman" w:hAnsi="Times New Roman"/>
          <w:sz w:val="24"/>
          <w:szCs w:val="24"/>
        </w:rPr>
        <w:t xml:space="preserve"> </w:t>
      </w:r>
      <w:r w:rsidR="00785994" w:rsidRPr="00FB5A28">
        <w:rPr>
          <w:rFonts w:ascii="Times New Roman" w:hAnsi="Times New Roman"/>
          <w:sz w:val="24"/>
          <w:szCs w:val="24"/>
        </w:rPr>
        <w:t>покрајина</w:t>
      </w:r>
      <w:r w:rsidR="008D574A" w:rsidRPr="00FB5A28">
        <w:rPr>
          <w:rFonts w:ascii="Times New Roman" w:hAnsi="Times New Roman"/>
          <w:sz w:val="24"/>
          <w:szCs w:val="24"/>
        </w:rPr>
        <w:t xml:space="preserve">, </w:t>
      </w:r>
      <w:r w:rsidR="00785994" w:rsidRPr="00FB5A28">
        <w:rPr>
          <w:rFonts w:ascii="Times New Roman" w:hAnsi="Times New Roman"/>
          <w:sz w:val="24"/>
          <w:szCs w:val="24"/>
        </w:rPr>
        <w:t>јединица</w:t>
      </w:r>
      <w:r w:rsidR="008D574A" w:rsidRPr="00FB5A28">
        <w:rPr>
          <w:rFonts w:ascii="Times New Roman" w:hAnsi="Times New Roman"/>
          <w:sz w:val="24"/>
          <w:szCs w:val="24"/>
        </w:rPr>
        <w:t xml:space="preserve"> </w:t>
      </w:r>
      <w:r w:rsidR="00785994" w:rsidRPr="00FB5A28">
        <w:rPr>
          <w:rFonts w:ascii="Times New Roman" w:hAnsi="Times New Roman"/>
          <w:sz w:val="24"/>
          <w:szCs w:val="24"/>
        </w:rPr>
        <w:t>локалне</w:t>
      </w:r>
      <w:r w:rsidR="008D574A" w:rsidRPr="00FB5A28">
        <w:rPr>
          <w:rFonts w:ascii="Times New Roman" w:hAnsi="Times New Roman"/>
          <w:sz w:val="24"/>
          <w:szCs w:val="24"/>
        </w:rPr>
        <w:t xml:space="preserve"> </w:t>
      </w:r>
      <w:r w:rsidR="00785994" w:rsidRPr="00FB5A28">
        <w:rPr>
          <w:rFonts w:ascii="Times New Roman" w:hAnsi="Times New Roman"/>
          <w:sz w:val="24"/>
          <w:szCs w:val="24"/>
        </w:rPr>
        <w:t>самоуправе</w:t>
      </w:r>
      <w:r w:rsidR="008D574A" w:rsidRPr="00FB5A28">
        <w:rPr>
          <w:rFonts w:ascii="Times New Roman" w:hAnsi="Times New Roman"/>
          <w:sz w:val="24"/>
          <w:szCs w:val="24"/>
        </w:rPr>
        <w:t xml:space="preserve"> </w:t>
      </w:r>
      <w:r w:rsidR="00785994" w:rsidRPr="00FB5A28">
        <w:rPr>
          <w:rFonts w:ascii="Times New Roman" w:hAnsi="Times New Roman"/>
          <w:sz w:val="24"/>
          <w:szCs w:val="24"/>
        </w:rPr>
        <w:t>или</w:t>
      </w:r>
      <w:r w:rsidR="008D574A" w:rsidRPr="00FB5A28">
        <w:rPr>
          <w:rFonts w:ascii="Times New Roman" w:hAnsi="Times New Roman"/>
          <w:sz w:val="24"/>
          <w:szCs w:val="24"/>
        </w:rPr>
        <w:t xml:space="preserve"> </w:t>
      </w:r>
      <w:r w:rsidR="00785994" w:rsidRPr="00FB5A28">
        <w:rPr>
          <w:rFonts w:ascii="Times New Roman" w:hAnsi="Times New Roman"/>
          <w:sz w:val="24"/>
          <w:szCs w:val="24"/>
        </w:rPr>
        <w:t>Народна</w:t>
      </w:r>
      <w:r w:rsidR="008D574A" w:rsidRPr="00FB5A28">
        <w:rPr>
          <w:rFonts w:ascii="Times New Roman" w:hAnsi="Times New Roman"/>
          <w:sz w:val="24"/>
          <w:szCs w:val="24"/>
        </w:rPr>
        <w:t xml:space="preserve"> </w:t>
      </w:r>
      <w:r w:rsidR="00785994" w:rsidRPr="00FB5A28">
        <w:rPr>
          <w:rFonts w:ascii="Times New Roman" w:hAnsi="Times New Roman"/>
          <w:sz w:val="24"/>
          <w:szCs w:val="24"/>
        </w:rPr>
        <w:t>банка</w:t>
      </w:r>
      <w:r w:rsidR="008D574A" w:rsidRPr="00FB5A28">
        <w:rPr>
          <w:rFonts w:ascii="Times New Roman" w:hAnsi="Times New Roman"/>
          <w:sz w:val="24"/>
          <w:szCs w:val="24"/>
        </w:rPr>
        <w:t xml:space="preserve"> </w:t>
      </w:r>
      <w:r w:rsidR="00785994" w:rsidRPr="00FB5A28">
        <w:rPr>
          <w:rFonts w:ascii="Times New Roman" w:hAnsi="Times New Roman"/>
          <w:sz w:val="24"/>
          <w:szCs w:val="24"/>
        </w:rPr>
        <w:t>Србије</w:t>
      </w:r>
      <w:r w:rsidR="008D574A" w:rsidRPr="00FB5A28">
        <w:rPr>
          <w:rFonts w:ascii="Times New Roman" w:hAnsi="Times New Roman"/>
          <w:sz w:val="24"/>
          <w:szCs w:val="24"/>
        </w:rPr>
        <w:t>.</w:t>
      </w:r>
      <w:r w:rsidRPr="00FB5A28">
        <w:rPr>
          <w:rStyle w:val="FootnoteReference"/>
          <w:rFonts w:ascii="Times New Roman" w:hAnsi="Times New Roman"/>
          <w:color w:val="000000"/>
          <w:sz w:val="24"/>
          <w:szCs w:val="24"/>
        </w:rPr>
        <w:footnoteReference w:id="462"/>
      </w:r>
    </w:p>
    <w:p w:rsidR="00F36E79" w:rsidRPr="00FB5A28" w:rsidRDefault="00F36E79" w:rsidP="00FB5A28">
      <w:pPr>
        <w:jc w:val="both"/>
        <w:rPr>
          <w:rFonts w:ascii="Times New Roman" w:hAnsi="Times New Roman"/>
          <w:sz w:val="24"/>
          <w:szCs w:val="24"/>
          <w:shd w:val="clear" w:color="auto" w:fill="FFFFFF"/>
          <w:lang w:val="sr-Cyrl-CS"/>
        </w:rPr>
      </w:pPr>
    </w:p>
    <w:p w:rsidR="005826C2" w:rsidRDefault="001830E1" w:rsidP="001830E1">
      <w:pPr>
        <w:ind w:firstLine="708"/>
        <w:jc w:val="center"/>
        <w:rPr>
          <w:rFonts w:ascii="Times New Roman" w:hAnsi="Times New Roman"/>
          <w:b/>
          <w:color w:val="000000"/>
          <w:sz w:val="24"/>
          <w:szCs w:val="24"/>
          <w:shd w:val="clear" w:color="auto" w:fill="FFFFFF"/>
          <w:lang w:val="sr-Cyrl-CS"/>
        </w:rPr>
      </w:pPr>
      <w:r>
        <w:rPr>
          <w:rFonts w:ascii="Times New Roman" w:hAnsi="Times New Roman"/>
          <w:b/>
          <w:color w:val="000000"/>
          <w:sz w:val="24"/>
          <w:szCs w:val="24"/>
          <w:shd w:val="clear" w:color="auto" w:fill="FFFFFF"/>
          <w:lang w:val="sr-Cyrl-CS"/>
        </w:rPr>
        <w:t>5.3.4.5.Порез на капиталне добитке</w:t>
      </w:r>
    </w:p>
    <w:p w:rsidR="001830E1" w:rsidRPr="00FB5A28" w:rsidRDefault="001830E1" w:rsidP="00FB5A28">
      <w:pPr>
        <w:jc w:val="both"/>
        <w:rPr>
          <w:rFonts w:ascii="Times New Roman" w:hAnsi="Times New Roman"/>
          <w:sz w:val="24"/>
          <w:szCs w:val="24"/>
          <w:shd w:val="clear" w:color="auto" w:fill="FFFFFF"/>
          <w:lang w:val="sr-Cyrl-CS"/>
        </w:rPr>
      </w:pPr>
    </w:p>
    <w:p w:rsidR="00785994" w:rsidRPr="00FB5A28" w:rsidRDefault="008D45E3" w:rsidP="00FB5A28">
      <w:pPr>
        <w:ind w:firstLine="708"/>
        <w:jc w:val="both"/>
        <w:rPr>
          <w:rFonts w:ascii="Times New Roman" w:hAnsi="Times New Roman"/>
          <w:sz w:val="24"/>
          <w:szCs w:val="24"/>
          <w:lang w:val="sr-Cyrl-CS"/>
        </w:rPr>
      </w:pPr>
      <w:r w:rsidRPr="00FB5A28">
        <w:rPr>
          <w:rFonts w:ascii="Times New Roman" w:hAnsi="Times New Roman"/>
          <w:sz w:val="24"/>
          <w:szCs w:val="24"/>
        </w:rPr>
        <w:t>Капитални</w:t>
      </w:r>
      <w:r w:rsidR="00753FE8" w:rsidRPr="00FB5A28">
        <w:rPr>
          <w:rFonts w:ascii="Times New Roman" w:hAnsi="Times New Roman"/>
          <w:sz w:val="24"/>
          <w:szCs w:val="24"/>
        </w:rPr>
        <w:t xml:space="preserve"> </w:t>
      </w:r>
      <w:r w:rsidRPr="00FB5A28">
        <w:rPr>
          <w:rFonts w:ascii="Times New Roman" w:hAnsi="Times New Roman"/>
          <w:sz w:val="24"/>
          <w:szCs w:val="24"/>
        </w:rPr>
        <w:t>добитак</w:t>
      </w:r>
      <w:r w:rsidR="00753FE8" w:rsidRPr="00FB5A28">
        <w:rPr>
          <w:rFonts w:ascii="Times New Roman" w:hAnsi="Times New Roman"/>
          <w:sz w:val="24"/>
          <w:szCs w:val="24"/>
        </w:rPr>
        <w:t xml:space="preserve">, </w:t>
      </w:r>
      <w:r w:rsidRPr="00FB5A28">
        <w:rPr>
          <w:rFonts w:ascii="Times New Roman" w:hAnsi="Times New Roman"/>
          <w:sz w:val="24"/>
          <w:szCs w:val="24"/>
        </w:rPr>
        <w:t>односно</w:t>
      </w:r>
      <w:r w:rsidR="00753FE8" w:rsidRPr="00FB5A28">
        <w:rPr>
          <w:rFonts w:ascii="Times New Roman" w:hAnsi="Times New Roman"/>
          <w:sz w:val="24"/>
          <w:szCs w:val="24"/>
        </w:rPr>
        <w:t xml:space="preserve"> </w:t>
      </w:r>
      <w:r w:rsidRPr="00FB5A28">
        <w:rPr>
          <w:rFonts w:ascii="Times New Roman" w:hAnsi="Times New Roman"/>
          <w:sz w:val="24"/>
          <w:szCs w:val="24"/>
        </w:rPr>
        <w:t>губитак</w:t>
      </w:r>
      <w:r w:rsidR="00753FE8" w:rsidRPr="00FB5A28">
        <w:rPr>
          <w:rFonts w:ascii="Times New Roman" w:hAnsi="Times New Roman"/>
          <w:sz w:val="24"/>
          <w:szCs w:val="24"/>
        </w:rPr>
        <w:t xml:space="preserve"> </w:t>
      </w:r>
      <w:r w:rsidRPr="00FB5A28">
        <w:rPr>
          <w:rFonts w:ascii="Times New Roman" w:hAnsi="Times New Roman"/>
          <w:sz w:val="24"/>
          <w:szCs w:val="24"/>
        </w:rPr>
        <w:t>у</w:t>
      </w:r>
      <w:r w:rsidR="00753FE8" w:rsidRPr="00FB5A28">
        <w:rPr>
          <w:rFonts w:ascii="Times New Roman" w:hAnsi="Times New Roman"/>
          <w:sz w:val="24"/>
          <w:szCs w:val="24"/>
        </w:rPr>
        <w:t xml:space="preserve"> </w:t>
      </w:r>
      <w:r w:rsidRPr="00FB5A28">
        <w:rPr>
          <w:rFonts w:ascii="Times New Roman" w:hAnsi="Times New Roman"/>
          <w:sz w:val="24"/>
          <w:szCs w:val="24"/>
        </w:rPr>
        <w:t>смислу</w:t>
      </w:r>
      <w:r w:rsidR="00753FE8" w:rsidRPr="00FB5A28">
        <w:rPr>
          <w:rFonts w:ascii="Times New Roman" w:hAnsi="Times New Roman"/>
          <w:sz w:val="24"/>
          <w:szCs w:val="24"/>
        </w:rPr>
        <w:t xml:space="preserve"> </w:t>
      </w:r>
      <w:r w:rsidR="00785994" w:rsidRPr="00FB5A28">
        <w:rPr>
          <w:rFonts w:ascii="Times New Roman" w:hAnsi="Times New Roman"/>
          <w:sz w:val="24"/>
          <w:szCs w:val="24"/>
          <w:lang w:val="sr-Cyrl-CS"/>
        </w:rPr>
        <w:t>чл. 72. ЗПДГ</w:t>
      </w:r>
      <w:r w:rsidR="00753FE8" w:rsidRPr="00FB5A28">
        <w:rPr>
          <w:rFonts w:ascii="Times New Roman" w:hAnsi="Times New Roman"/>
          <w:sz w:val="24"/>
          <w:szCs w:val="24"/>
        </w:rPr>
        <w:t xml:space="preserve"> </w:t>
      </w:r>
      <w:r w:rsidRPr="00FB5A28">
        <w:rPr>
          <w:rFonts w:ascii="Times New Roman" w:hAnsi="Times New Roman"/>
          <w:sz w:val="24"/>
          <w:szCs w:val="24"/>
        </w:rPr>
        <w:t>представља</w:t>
      </w:r>
      <w:r w:rsidR="00753FE8" w:rsidRPr="00FB5A28">
        <w:rPr>
          <w:rFonts w:ascii="Times New Roman" w:hAnsi="Times New Roman"/>
          <w:sz w:val="24"/>
          <w:szCs w:val="24"/>
        </w:rPr>
        <w:t xml:space="preserve"> </w:t>
      </w:r>
      <w:r w:rsidRPr="00FB5A28">
        <w:rPr>
          <w:rFonts w:ascii="Times New Roman" w:hAnsi="Times New Roman"/>
          <w:sz w:val="24"/>
          <w:szCs w:val="24"/>
        </w:rPr>
        <w:t>разлику</w:t>
      </w:r>
      <w:r w:rsidR="00753FE8" w:rsidRPr="00FB5A28">
        <w:rPr>
          <w:rFonts w:ascii="Times New Roman" w:hAnsi="Times New Roman"/>
          <w:sz w:val="24"/>
          <w:szCs w:val="24"/>
        </w:rPr>
        <w:t xml:space="preserve"> </w:t>
      </w:r>
      <w:r w:rsidRPr="00FB5A28">
        <w:rPr>
          <w:rFonts w:ascii="Times New Roman" w:hAnsi="Times New Roman"/>
          <w:sz w:val="24"/>
          <w:szCs w:val="24"/>
        </w:rPr>
        <w:t>између</w:t>
      </w:r>
      <w:r w:rsidR="00753FE8" w:rsidRPr="00FB5A28">
        <w:rPr>
          <w:rFonts w:ascii="Times New Roman" w:hAnsi="Times New Roman"/>
          <w:sz w:val="24"/>
          <w:szCs w:val="24"/>
        </w:rPr>
        <w:t xml:space="preserve"> </w:t>
      </w:r>
      <w:r w:rsidRPr="00FB5A28">
        <w:rPr>
          <w:rFonts w:ascii="Times New Roman" w:hAnsi="Times New Roman"/>
          <w:sz w:val="24"/>
          <w:szCs w:val="24"/>
        </w:rPr>
        <w:t>продајне</w:t>
      </w:r>
      <w:r w:rsidR="00753FE8" w:rsidRPr="00FB5A28">
        <w:rPr>
          <w:rFonts w:ascii="Times New Roman" w:hAnsi="Times New Roman"/>
          <w:sz w:val="24"/>
          <w:szCs w:val="24"/>
        </w:rPr>
        <w:t xml:space="preserve"> </w:t>
      </w:r>
      <w:r w:rsidRPr="00FB5A28">
        <w:rPr>
          <w:rFonts w:ascii="Times New Roman" w:hAnsi="Times New Roman"/>
          <w:sz w:val="24"/>
          <w:szCs w:val="24"/>
        </w:rPr>
        <w:t>цене</w:t>
      </w:r>
      <w:r w:rsidR="00753FE8" w:rsidRPr="00FB5A28">
        <w:rPr>
          <w:rFonts w:ascii="Times New Roman" w:hAnsi="Times New Roman"/>
          <w:sz w:val="24"/>
          <w:szCs w:val="24"/>
        </w:rPr>
        <w:t xml:space="preserve"> </w:t>
      </w:r>
      <w:r w:rsidRPr="00FB5A28">
        <w:rPr>
          <w:rFonts w:ascii="Times New Roman" w:hAnsi="Times New Roman"/>
          <w:sz w:val="24"/>
          <w:szCs w:val="24"/>
        </w:rPr>
        <w:t>права</w:t>
      </w:r>
      <w:r w:rsidR="00753FE8" w:rsidRPr="00FB5A28">
        <w:rPr>
          <w:rFonts w:ascii="Times New Roman" w:hAnsi="Times New Roman"/>
          <w:sz w:val="24"/>
          <w:szCs w:val="24"/>
        </w:rPr>
        <w:t xml:space="preserve">, </w:t>
      </w:r>
      <w:r w:rsidRPr="00FB5A28">
        <w:rPr>
          <w:rFonts w:ascii="Times New Roman" w:hAnsi="Times New Roman"/>
          <w:sz w:val="24"/>
          <w:szCs w:val="24"/>
        </w:rPr>
        <w:t>удела</w:t>
      </w:r>
      <w:r w:rsidR="00753FE8" w:rsidRPr="00FB5A28">
        <w:rPr>
          <w:rFonts w:ascii="Times New Roman" w:hAnsi="Times New Roman"/>
          <w:sz w:val="24"/>
          <w:szCs w:val="24"/>
        </w:rPr>
        <w:t xml:space="preserve"> </w:t>
      </w:r>
      <w:r w:rsidRPr="00FB5A28">
        <w:rPr>
          <w:rFonts w:ascii="Times New Roman" w:hAnsi="Times New Roman"/>
          <w:sz w:val="24"/>
          <w:szCs w:val="24"/>
        </w:rPr>
        <w:t>и</w:t>
      </w:r>
      <w:r w:rsidR="00753FE8" w:rsidRPr="00FB5A28">
        <w:rPr>
          <w:rFonts w:ascii="Times New Roman" w:hAnsi="Times New Roman"/>
          <w:sz w:val="24"/>
          <w:szCs w:val="24"/>
        </w:rPr>
        <w:t xml:space="preserve"> </w:t>
      </w:r>
      <w:r w:rsidRPr="00FB5A28">
        <w:rPr>
          <w:rFonts w:ascii="Times New Roman" w:hAnsi="Times New Roman"/>
          <w:sz w:val="24"/>
          <w:szCs w:val="24"/>
        </w:rPr>
        <w:t>хартија</w:t>
      </w:r>
      <w:r w:rsidR="00753FE8" w:rsidRPr="00FB5A28">
        <w:rPr>
          <w:rFonts w:ascii="Times New Roman" w:hAnsi="Times New Roman"/>
          <w:sz w:val="24"/>
          <w:szCs w:val="24"/>
        </w:rPr>
        <w:t xml:space="preserve"> </w:t>
      </w:r>
      <w:r w:rsidRPr="00FB5A28">
        <w:rPr>
          <w:rFonts w:ascii="Times New Roman" w:hAnsi="Times New Roman"/>
          <w:sz w:val="24"/>
          <w:szCs w:val="24"/>
        </w:rPr>
        <w:t>од</w:t>
      </w:r>
      <w:r w:rsidR="00753FE8" w:rsidRPr="00FB5A28">
        <w:rPr>
          <w:rFonts w:ascii="Times New Roman" w:hAnsi="Times New Roman"/>
          <w:sz w:val="24"/>
          <w:szCs w:val="24"/>
        </w:rPr>
        <w:t xml:space="preserve"> </w:t>
      </w:r>
      <w:r w:rsidRPr="00FB5A28">
        <w:rPr>
          <w:rFonts w:ascii="Times New Roman" w:hAnsi="Times New Roman"/>
          <w:sz w:val="24"/>
          <w:szCs w:val="24"/>
        </w:rPr>
        <w:t>вредности</w:t>
      </w:r>
      <w:r w:rsidR="00753FE8" w:rsidRPr="00FB5A28">
        <w:rPr>
          <w:rFonts w:ascii="Times New Roman" w:hAnsi="Times New Roman"/>
          <w:sz w:val="24"/>
          <w:szCs w:val="24"/>
        </w:rPr>
        <w:t xml:space="preserve"> </w:t>
      </w:r>
      <w:r w:rsidRPr="00FB5A28">
        <w:rPr>
          <w:rFonts w:ascii="Times New Roman" w:hAnsi="Times New Roman"/>
          <w:sz w:val="24"/>
          <w:szCs w:val="24"/>
        </w:rPr>
        <w:t>и</w:t>
      </w:r>
      <w:r w:rsidR="00753FE8" w:rsidRPr="00FB5A28">
        <w:rPr>
          <w:rFonts w:ascii="Times New Roman" w:hAnsi="Times New Roman"/>
          <w:sz w:val="24"/>
          <w:szCs w:val="24"/>
        </w:rPr>
        <w:t xml:space="preserve"> </w:t>
      </w:r>
      <w:r w:rsidRPr="00FB5A28">
        <w:rPr>
          <w:rFonts w:ascii="Times New Roman" w:hAnsi="Times New Roman"/>
          <w:sz w:val="24"/>
          <w:szCs w:val="24"/>
        </w:rPr>
        <w:t>њихове</w:t>
      </w:r>
      <w:r w:rsidR="00753FE8" w:rsidRPr="00FB5A28">
        <w:rPr>
          <w:rFonts w:ascii="Times New Roman" w:hAnsi="Times New Roman"/>
          <w:sz w:val="24"/>
          <w:szCs w:val="24"/>
        </w:rPr>
        <w:t xml:space="preserve"> </w:t>
      </w:r>
      <w:r w:rsidRPr="00FB5A28">
        <w:rPr>
          <w:rFonts w:ascii="Times New Roman" w:hAnsi="Times New Roman"/>
          <w:sz w:val="24"/>
          <w:szCs w:val="24"/>
        </w:rPr>
        <w:t>набавне</w:t>
      </w:r>
      <w:r w:rsidR="00753FE8" w:rsidRPr="00FB5A28">
        <w:rPr>
          <w:rFonts w:ascii="Times New Roman" w:hAnsi="Times New Roman"/>
          <w:sz w:val="24"/>
          <w:szCs w:val="24"/>
        </w:rPr>
        <w:t xml:space="preserve"> </w:t>
      </w:r>
      <w:r w:rsidRPr="00FB5A28">
        <w:rPr>
          <w:rFonts w:ascii="Times New Roman" w:hAnsi="Times New Roman"/>
          <w:sz w:val="24"/>
          <w:szCs w:val="24"/>
        </w:rPr>
        <w:t>цене</w:t>
      </w:r>
      <w:r w:rsidR="00753FE8" w:rsidRPr="00FB5A28">
        <w:rPr>
          <w:rFonts w:ascii="Times New Roman" w:hAnsi="Times New Roman"/>
          <w:sz w:val="24"/>
          <w:szCs w:val="24"/>
        </w:rPr>
        <w:t xml:space="preserve">, </w:t>
      </w:r>
      <w:r w:rsidRPr="00FB5A28">
        <w:rPr>
          <w:rFonts w:ascii="Times New Roman" w:hAnsi="Times New Roman"/>
          <w:sz w:val="24"/>
          <w:szCs w:val="24"/>
        </w:rPr>
        <w:t>остварену</w:t>
      </w:r>
      <w:r w:rsidR="00753FE8" w:rsidRPr="00FB5A28">
        <w:rPr>
          <w:rFonts w:ascii="Times New Roman" w:hAnsi="Times New Roman"/>
          <w:sz w:val="24"/>
          <w:szCs w:val="24"/>
        </w:rPr>
        <w:t xml:space="preserve"> </w:t>
      </w:r>
      <w:r w:rsidRPr="00FB5A28">
        <w:rPr>
          <w:rFonts w:ascii="Times New Roman" w:hAnsi="Times New Roman"/>
          <w:sz w:val="24"/>
          <w:szCs w:val="24"/>
        </w:rPr>
        <w:t>преносом</w:t>
      </w:r>
      <w:r w:rsidR="00753FE8" w:rsidRPr="00FB5A28">
        <w:rPr>
          <w:rFonts w:ascii="Times New Roman" w:hAnsi="Times New Roman"/>
          <w:sz w:val="24"/>
          <w:szCs w:val="24"/>
        </w:rPr>
        <w:t>:</w:t>
      </w:r>
      <w:r w:rsidR="00785994" w:rsidRPr="00FB5A28">
        <w:rPr>
          <w:rFonts w:ascii="Times New Roman" w:hAnsi="Times New Roman"/>
          <w:sz w:val="24"/>
          <w:szCs w:val="24"/>
          <w:lang w:val="sr-Cyrl-CS"/>
        </w:rPr>
        <w:t xml:space="preserve"> </w:t>
      </w:r>
    </w:p>
    <w:p w:rsidR="005E086E" w:rsidRPr="00FB5A28" w:rsidRDefault="00753FE8" w:rsidP="00FB5A28">
      <w:pPr>
        <w:jc w:val="both"/>
        <w:rPr>
          <w:rFonts w:ascii="Times New Roman" w:hAnsi="Times New Roman"/>
          <w:sz w:val="24"/>
          <w:szCs w:val="24"/>
          <w:lang w:val="sr-Cyrl-CS"/>
        </w:rPr>
      </w:pPr>
      <w:r w:rsidRPr="00FB5A28">
        <w:rPr>
          <w:rFonts w:ascii="Times New Roman" w:hAnsi="Times New Roman"/>
          <w:sz w:val="24"/>
          <w:szCs w:val="24"/>
        </w:rPr>
        <w:t xml:space="preserve">1) </w:t>
      </w:r>
      <w:r w:rsidR="008D45E3" w:rsidRPr="00FB5A28">
        <w:rPr>
          <w:rFonts w:ascii="Times New Roman" w:hAnsi="Times New Roman"/>
          <w:sz w:val="24"/>
          <w:szCs w:val="24"/>
        </w:rPr>
        <w:t>стварних</w:t>
      </w:r>
      <w:r w:rsidRPr="00FB5A28">
        <w:rPr>
          <w:rFonts w:ascii="Times New Roman" w:hAnsi="Times New Roman"/>
          <w:sz w:val="24"/>
          <w:szCs w:val="24"/>
        </w:rPr>
        <w:t xml:space="preserve"> </w:t>
      </w:r>
      <w:r w:rsidR="008D45E3" w:rsidRPr="00FB5A28">
        <w:rPr>
          <w:rFonts w:ascii="Times New Roman" w:hAnsi="Times New Roman"/>
          <w:sz w:val="24"/>
          <w:szCs w:val="24"/>
        </w:rPr>
        <w:t>права</w:t>
      </w:r>
      <w:r w:rsidRPr="00FB5A28">
        <w:rPr>
          <w:rFonts w:ascii="Times New Roman" w:hAnsi="Times New Roman"/>
          <w:sz w:val="24"/>
          <w:szCs w:val="24"/>
        </w:rPr>
        <w:t xml:space="preserve"> </w:t>
      </w:r>
      <w:r w:rsidR="008D45E3" w:rsidRPr="00FB5A28">
        <w:rPr>
          <w:rFonts w:ascii="Times New Roman" w:hAnsi="Times New Roman"/>
          <w:sz w:val="24"/>
          <w:szCs w:val="24"/>
        </w:rPr>
        <w:t>на</w:t>
      </w:r>
      <w:r w:rsidRPr="00FB5A28">
        <w:rPr>
          <w:rFonts w:ascii="Times New Roman" w:hAnsi="Times New Roman"/>
          <w:sz w:val="24"/>
          <w:szCs w:val="24"/>
        </w:rPr>
        <w:t xml:space="preserve"> </w:t>
      </w:r>
      <w:r w:rsidR="008D45E3" w:rsidRPr="00FB5A28">
        <w:rPr>
          <w:rFonts w:ascii="Times New Roman" w:hAnsi="Times New Roman"/>
          <w:sz w:val="24"/>
          <w:szCs w:val="24"/>
        </w:rPr>
        <w:t>непокретностима</w:t>
      </w:r>
      <w:r w:rsidRPr="00FB5A28">
        <w:rPr>
          <w:rFonts w:ascii="Times New Roman" w:hAnsi="Times New Roman"/>
          <w:sz w:val="24"/>
          <w:szCs w:val="24"/>
        </w:rPr>
        <w:t>;</w:t>
      </w:r>
    </w:p>
    <w:p w:rsidR="005E086E" w:rsidRPr="00FB5A28" w:rsidRDefault="00753FE8" w:rsidP="00FB5A28">
      <w:pPr>
        <w:jc w:val="both"/>
        <w:rPr>
          <w:rFonts w:ascii="Times New Roman" w:hAnsi="Times New Roman"/>
          <w:sz w:val="24"/>
          <w:szCs w:val="24"/>
          <w:lang w:val="sr-Cyrl-CS"/>
        </w:rPr>
      </w:pPr>
      <w:r w:rsidRPr="00FB5A28">
        <w:rPr>
          <w:rFonts w:ascii="Times New Roman" w:hAnsi="Times New Roman"/>
          <w:sz w:val="24"/>
          <w:szCs w:val="24"/>
        </w:rPr>
        <w:t xml:space="preserve">2) </w:t>
      </w:r>
      <w:r w:rsidR="008D45E3" w:rsidRPr="00FB5A28">
        <w:rPr>
          <w:rFonts w:ascii="Times New Roman" w:hAnsi="Times New Roman"/>
          <w:sz w:val="24"/>
          <w:szCs w:val="24"/>
        </w:rPr>
        <w:t>ауторских</w:t>
      </w:r>
      <w:r w:rsidRPr="00FB5A28">
        <w:rPr>
          <w:rFonts w:ascii="Times New Roman" w:hAnsi="Times New Roman"/>
          <w:sz w:val="24"/>
          <w:szCs w:val="24"/>
        </w:rPr>
        <w:t xml:space="preserve"> </w:t>
      </w:r>
      <w:r w:rsidR="008D45E3" w:rsidRPr="00FB5A28">
        <w:rPr>
          <w:rFonts w:ascii="Times New Roman" w:hAnsi="Times New Roman"/>
          <w:sz w:val="24"/>
          <w:szCs w:val="24"/>
        </w:rPr>
        <w:t>права</w:t>
      </w:r>
      <w:r w:rsidRPr="00FB5A28">
        <w:rPr>
          <w:rFonts w:ascii="Times New Roman" w:hAnsi="Times New Roman"/>
          <w:sz w:val="24"/>
          <w:szCs w:val="24"/>
        </w:rPr>
        <w:t xml:space="preserve">, </w:t>
      </w:r>
      <w:r w:rsidR="008D45E3" w:rsidRPr="00FB5A28">
        <w:rPr>
          <w:rFonts w:ascii="Times New Roman" w:hAnsi="Times New Roman"/>
          <w:sz w:val="24"/>
          <w:szCs w:val="24"/>
        </w:rPr>
        <w:t>права</w:t>
      </w:r>
      <w:r w:rsidRPr="00FB5A28">
        <w:rPr>
          <w:rFonts w:ascii="Times New Roman" w:hAnsi="Times New Roman"/>
          <w:sz w:val="24"/>
          <w:szCs w:val="24"/>
        </w:rPr>
        <w:t xml:space="preserve"> </w:t>
      </w:r>
      <w:r w:rsidR="008D45E3" w:rsidRPr="00FB5A28">
        <w:rPr>
          <w:rFonts w:ascii="Times New Roman" w:hAnsi="Times New Roman"/>
          <w:sz w:val="24"/>
          <w:szCs w:val="24"/>
        </w:rPr>
        <w:t>сродних</w:t>
      </w:r>
      <w:r w:rsidRPr="00FB5A28">
        <w:rPr>
          <w:rFonts w:ascii="Times New Roman" w:hAnsi="Times New Roman"/>
          <w:sz w:val="24"/>
          <w:szCs w:val="24"/>
        </w:rPr>
        <w:t xml:space="preserve"> </w:t>
      </w:r>
      <w:r w:rsidR="008D45E3" w:rsidRPr="00FB5A28">
        <w:rPr>
          <w:rFonts w:ascii="Times New Roman" w:hAnsi="Times New Roman"/>
          <w:sz w:val="24"/>
          <w:szCs w:val="24"/>
        </w:rPr>
        <w:t>ауторском</w:t>
      </w:r>
      <w:r w:rsidRPr="00FB5A28">
        <w:rPr>
          <w:rFonts w:ascii="Times New Roman" w:hAnsi="Times New Roman"/>
          <w:sz w:val="24"/>
          <w:szCs w:val="24"/>
        </w:rPr>
        <w:t xml:space="preserve"> </w:t>
      </w:r>
      <w:r w:rsidR="008D45E3" w:rsidRPr="00FB5A28">
        <w:rPr>
          <w:rFonts w:ascii="Times New Roman" w:hAnsi="Times New Roman"/>
          <w:sz w:val="24"/>
          <w:szCs w:val="24"/>
        </w:rPr>
        <w:t>праву</w:t>
      </w:r>
      <w:r w:rsidRPr="00FB5A28">
        <w:rPr>
          <w:rFonts w:ascii="Times New Roman" w:hAnsi="Times New Roman"/>
          <w:sz w:val="24"/>
          <w:szCs w:val="24"/>
        </w:rPr>
        <w:t xml:space="preserve"> </w:t>
      </w:r>
      <w:r w:rsidR="008D45E3" w:rsidRPr="00FB5A28">
        <w:rPr>
          <w:rFonts w:ascii="Times New Roman" w:hAnsi="Times New Roman"/>
          <w:sz w:val="24"/>
          <w:szCs w:val="24"/>
        </w:rPr>
        <w:t>и</w:t>
      </w:r>
      <w:r w:rsidRPr="00FB5A28">
        <w:rPr>
          <w:rFonts w:ascii="Times New Roman" w:hAnsi="Times New Roman"/>
          <w:sz w:val="24"/>
          <w:szCs w:val="24"/>
        </w:rPr>
        <w:t xml:space="preserve"> </w:t>
      </w:r>
      <w:r w:rsidR="008D45E3" w:rsidRPr="00FB5A28">
        <w:rPr>
          <w:rFonts w:ascii="Times New Roman" w:hAnsi="Times New Roman"/>
          <w:sz w:val="24"/>
          <w:szCs w:val="24"/>
        </w:rPr>
        <w:t>права</w:t>
      </w:r>
      <w:r w:rsidRPr="00FB5A28">
        <w:rPr>
          <w:rFonts w:ascii="Times New Roman" w:hAnsi="Times New Roman"/>
          <w:sz w:val="24"/>
          <w:szCs w:val="24"/>
        </w:rPr>
        <w:t xml:space="preserve"> </w:t>
      </w:r>
      <w:r w:rsidR="008D45E3" w:rsidRPr="00FB5A28">
        <w:rPr>
          <w:rFonts w:ascii="Times New Roman" w:hAnsi="Times New Roman"/>
          <w:sz w:val="24"/>
          <w:szCs w:val="24"/>
        </w:rPr>
        <w:t>индустријске</w:t>
      </w:r>
      <w:r w:rsidRPr="00FB5A28">
        <w:rPr>
          <w:rFonts w:ascii="Times New Roman" w:hAnsi="Times New Roman"/>
          <w:sz w:val="24"/>
          <w:szCs w:val="24"/>
        </w:rPr>
        <w:t xml:space="preserve"> </w:t>
      </w:r>
      <w:r w:rsidR="008D45E3" w:rsidRPr="00FB5A28">
        <w:rPr>
          <w:rFonts w:ascii="Times New Roman" w:hAnsi="Times New Roman"/>
          <w:sz w:val="24"/>
          <w:szCs w:val="24"/>
        </w:rPr>
        <w:t>својине</w:t>
      </w:r>
      <w:r w:rsidRPr="00FB5A28">
        <w:rPr>
          <w:rFonts w:ascii="Times New Roman" w:hAnsi="Times New Roman"/>
          <w:sz w:val="24"/>
          <w:szCs w:val="24"/>
        </w:rPr>
        <w:t>;</w:t>
      </w:r>
    </w:p>
    <w:p w:rsidR="00741D88" w:rsidRPr="00FB5A28" w:rsidRDefault="00753FE8" w:rsidP="00FB5A28">
      <w:pPr>
        <w:jc w:val="both"/>
        <w:rPr>
          <w:rFonts w:ascii="Times New Roman" w:hAnsi="Times New Roman"/>
          <w:sz w:val="24"/>
          <w:szCs w:val="24"/>
          <w:lang w:val="sr-Cyrl-CS"/>
        </w:rPr>
      </w:pPr>
      <w:r w:rsidRPr="00FB5A28">
        <w:rPr>
          <w:rFonts w:ascii="Times New Roman" w:hAnsi="Times New Roman"/>
          <w:sz w:val="24"/>
          <w:szCs w:val="24"/>
        </w:rPr>
        <w:t xml:space="preserve">3) </w:t>
      </w:r>
      <w:r w:rsidR="008D45E3" w:rsidRPr="00FB5A28">
        <w:rPr>
          <w:rFonts w:ascii="Times New Roman" w:hAnsi="Times New Roman"/>
          <w:sz w:val="24"/>
          <w:szCs w:val="24"/>
        </w:rPr>
        <w:t>удела</w:t>
      </w:r>
      <w:r w:rsidRPr="00FB5A28">
        <w:rPr>
          <w:rFonts w:ascii="Times New Roman" w:hAnsi="Times New Roman"/>
          <w:sz w:val="24"/>
          <w:szCs w:val="24"/>
        </w:rPr>
        <w:t xml:space="preserve"> </w:t>
      </w:r>
      <w:r w:rsidR="008D45E3" w:rsidRPr="00FB5A28">
        <w:rPr>
          <w:rFonts w:ascii="Times New Roman" w:hAnsi="Times New Roman"/>
          <w:sz w:val="24"/>
          <w:szCs w:val="24"/>
        </w:rPr>
        <w:t>у</w:t>
      </w:r>
      <w:r w:rsidRPr="00FB5A28">
        <w:rPr>
          <w:rFonts w:ascii="Times New Roman" w:hAnsi="Times New Roman"/>
          <w:sz w:val="24"/>
          <w:szCs w:val="24"/>
        </w:rPr>
        <w:t xml:space="preserve"> </w:t>
      </w:r>
      <w:r w:rsidR="008D45E3" w:rsidRPr="00FB5A28">
        <w:rPr>
          <w:rFonts w:ascii="Times New Roman" w:hAnsi="Times New Roman"/>
          <w:sz w:val="24"/>
          <w:szCs w:val="24"/>
        </w:rPr>
        <w:t>капиталу</w:t>
      </w:r>
      <w:r w:rsidRPr="00FB5A28">
        <w:rPr>
          <w:rFonts w:ascii="Times New Roman" w:hAnsi="Times New Roman"/>
          <w:sz w:val="24"/>
          <w:szCs w:val="24"/>
        </w:rPr>
        <w:t xml:space="preserve"> </w:t>
      </w:r>
      <w:r w:rsidR="008D45E3" w:rsidRPr="00FB5A28">
        <w:rPr>
          <w:rFonts w:ascii="Times New Roman" w:hAnsi="Times New Roman"/>
          <w:sz w:val="24"/>
          <w:szCs w:val="24"/>
        </w:rPr>
        <w:t>правних</w:t>
      </w:r>
      <w:r w:rsidRPr="00FB5A28">
        <w:rPr>
          <w:rFonts w:ascii="Times New Roman" w:hAnsi="Times New Roman"/>
          <w:sz w:val="24"/>
          <w:szCs w:val="24"/>
        </w:rPr>
        <w:t xml:space="preserve"> </w:t>
      </w:r>
      <w:r w:rsidR="008D45E3" w:rsidRPr="00FB5A28">
        <w:rPr>
          <w:rFonts w:ascii="Times New Roman" w:hAnsi="Times New Roman"/>
          <w:sz w:val="24"/>
          <w:szCs w:val="24"/>
        </w:rPr>
        <w:t>лица</w:t>
      </w:r>
      <w:r w:rsidRPr="00FB5A28">
        <w:rPr>
          <w:rFonts w:ascii="Times New Roman" w:hAnsi="Times New Roman"/>
          <w:sz w:val="24"/>
          <w:szCs w:val="24"/>
        </w:rPr>
        <w:t xml:space="preserve">, </w:t>
      </w:r>
      <w:r w:rsidR="008D45E3" w:rsidRPr="00FB5A28">
        <w:rPr>
          <w:rFonts w:ascii="Times New Roman" w:hAnsi="Times New Roman"/>
          <w:sz w:val="24"/>
          <w:szCs w:val="24"/>
        </w:rPr>
        <w:t>акција</w:t>
      </w:r>
      <w:r w:rsidRPr="00FB5A28">
        <w:rPr>
          <w:rFonts w:ascii="Times New Roman" w:hAnsi="Times New Roman"/>
          <w:sz w:val="24"/>
          <w:szCs w:val="24"/>
        </w:rPr>
        <w:t xml:space="preserve"> </w:t>
      </w:r>
      <w:r w:rsidR="008D45E3" w:rsidRPr="00FB5A28">
        <w:rPr>
          <w:rFonts w:ascii="Times New Roman" w:hAnsi="Times New Roman"/>
          <w:sz w:val="24"/>
          <w:szCs w:val="24"/>
        </w:rPr>
        <w:t>и</w:t>
      </w:r>
      <w:r w:rsidRPr="00FB5A28">
        <w:rPr>
          <w:rFonts w:ascii="Times New Roman" w:hAnsi="Times New Roman"/>
          <w:sz w:val="24"/>
          <w:szCs w:val="24"/>
        </w:rPr>
        <w:t xml:space="preserve"> </w:t>
      </w:r>
      <w:r w:rsidR="008D45E3" w:rsidRPr="00FB5A28">
        <w:rPr>
          <w:rFonts w:ascii="Times New Roman" w:hAnsi="Times New Roman"/>
          <w:sz w:val="24"/>
          <w:szCs w:val="24"/>
        </w:rPr>
        <w:t>осталих</w:t>
      </w:r>
      <w:r w:rsidRPr="00FB5A28">
        <w:rPr>
          <w:rFonts w:ascii="Times New Roman" w:hAnsi="Times New Roman"/>
          <w:sz w:val="24"/>
          <w:szCs w:val="24"/>
        </w:rPr>
        <w:t xml:space="preserve"> </w:t>
      </w:r>
      <w:r w:rsidR="008D45E3" w:rsidRPr="00FB5A28">
        <w:rPr>
          <w:rFonts w:ascii="Times New Roman" w:hAnsi="Times New Roman"/>
          <w:sz w:val="24"/>
          <w:szCs w:val="24"/>
        </w:rPr>
        <w:t>хартија</w:t>
      </w:r>
      <w:r w:rsidRPr="00FB5A28">
        <w:rPr>
          <w:rFonts w:ascii="Times New Roman" w:hAnsi="Times New Roman"/>
          <w:sz w:val="24"/>
          <w:szCs w:val="24"/>
        </w:rPr>
        <w:t xml:space="preserve"> </w:t>
      </w:r>
      <w:r w:rsidR="008D45E3" w:rsidRPr="00FB5A28">
        <w:rPr>
          <w:rFonts w:ascii="Times New Roman" w:hAnsi="Times New Roman"/>
          <w:sz w:val="24"/>
          <w:szCs w:val="24"/>
        </w:rPr>
        <w:t>од</w:t>
      </w:r>
      <w:r w:rsidRPr="00FB5A28">
        <w:rPr>
          <w:rFonts w:ascii="Times New Roman" w:hAnsi="Times New Roman"/>
          <w:sz w:val="24"/>
          <w:szCs w:val="24"/>
        </w:rPr>
        <w:t xml:space="preserve"> </w:t>
      </w:r>
      <w:r w:rsidR="008D45E3" w:rsidRPr="00FB5A28">
        <w:rPr>
          <w:rFonts w:ascii="Times New Roman" w:hAnsi="Times New Roman"/>
          <w:sz w:val="24"/>
          <w:szCs w:val="24"/>
        </w:rPr>
        <w:t>вредности</w:t>
      </w:r>
      <w:r w:rsidRPr="00FB5A28">
        <w:rPr>
          <w:rFonts w:ascii="Times New Roman" w:hAnsi="Times New Roman"/>
          <w:sz w:val="24"/>
          <w:szCs w:val="24"/>
        </w:rPr>
        <w:t xml:space="preserve">, </w:t>
      </w:r>
      <w:r w:rsidR="008D45E3" w:rsidRPr="00FB5A28">
        <w:rPr>
          <w:rFonts w:ascii="Times New Roman" w:hAnsi="Times New Roman"/>
          <w:sz w:val="24"/>
          <w:szCs w:val="24"/>
        </w:rPr>
        <w:t>укључујући</w:t>
      </w:r>
      <w:r w:rsidRPr="00FB5A28">
        <w:rPr>
          <w:rFonts w:ascii="Times New Roman" w:hAnsi="Times New Roman"/>
          <w:sz w:val="24"/>
          <w:szCs w:val="24"/>
        </w:rPr>
        <w:t xml:space="preserve"> </w:t>
      </w:r>
      <w:r w:rsidR="008D45E3" w:rsidRPr="00FB5A28">
        <w:rPr>
          <w:rFonts w:ascii="Times New Roman" w:hAnsi="Times New Roman"/>
          <w:sz w:val="24"/>
          <w:szCs w:val="24"/>
        </w:rPr>
        <w:t>и</w:t>
      </w:r>
      <w:r w:rsidRPr="00FB5A28">
        <w:rPr>
          <w:rFonts w:ascii="Times New Roman" w:hAnsi="Times New Roman"/>
          <w:sz w:val="24"/>
          <w:szCs w:val="24"/>
        </w:rPr>
        <w:t xml:space="preserve"> </w:t>
      </w:r>
      <w:r w:rsidR="008D45E3" w:rsidRPr="00FB5A28">
        <w:rPr>
          <w:rFonts w:ascii="Times New Roman" w:hAnsi="Times New Roman"/>
          <w:sz w:val="24"/>
          <w:szCs w:val="24"/>
        </w:rPr>
        <w:t>инвестиционе</w:t>
      </w:r>
      <w:r w:rsidRPr="00FB5A28">
        <w:rPr>
          <w:rFonts w:ascii="Times New Roman" w:hAnsi="Times New Roman"/>
          <w:sz w:val="24"/>
          <w:szCs w:val="24"/>
        </w:rPr>
        <w:t xml:space="preserve"> </w:t>
      </w:r>
      <w:r w:rsidR="008D45E3" w:rsidRPr="00FB5A28">
        <w:rPr>
          <w:rFonts w:ascii="Times New Roman" w:hAnsi="Times New Roman"/>
          <w:sz w:val="24"/>
          <w:szCs w:val="24"/>
        </w:rPr>
        <w:t>јединице</w:t>
      </w:r>
      <w:r w:rsidRPr="00FB5A28">
        <w:rPr>
          <w:rFonts w:ascii="Times New Roman" w:hAnsi="Times New Roman"/>
          <w:sz w:val="24"/>
          <w:szCs w:val="24"/>
        </w:rPr>
        <w:t xml:space="preserve">, </w:t>
      </w:r>
      <w:r w:rsidR="008D45E3" w:rsidRPr="00FB5A28">
        <w:rPr>
          <w:rFonts w:ascii="Times New Roman" w:hAnsi="Times New Roman"/>
          <w:sz w:val="24"/>
          <w:szCs w:val="24"/>
        </w:rPr>
        <w:t>осим</w:t>
      </w:r>
      <w:r w:rsidRPr="00FB5A28">
        <w:rPr>
          <w:rFonts w:ascii="Times New Roman" w:hAnsi="Times New Roman"/>
          <w:sz w:val="24"/>
          <w:szCs w:val="24"/>
        </w:rPr>
        <w:t xml:space="preserve"> </w:t>
      </w:r>
      <w:r w:rsidR="008D45E3" w:rsidRPr="00FB5A28">
        <w:rPr>
          <w:rFonts w:ascii="Times New Roman" w:hAnsi="Times New Roman"/>
          <w:sz w:val="24"/>
          <w:szCs w:val="24"/>
        </w:rPr>
        <w:t>инвестиционих</w:t>
      </w:r>
      <w:r w:rsidRPr="00FB5A28">
        <w:rPr>
          <w:rFonts w:ascii="Times New Roman" w:hAnsi="Times New Roman"/>
          <w:sz w:val="24"/>
          <w:szCs w:val="24"/>
        </w:rPr>
        <w:t xml:space="preserve"> </w:t>
      </w:r>
      <w:r w:rsidR="008D45E3" w:rsidRPr="00FB5A28">
        <w:rPr>
          <w:rFonts w:ascii="Times New Roman" w:hAnsi="Times New Roman"/>
          <w:sz w:val="24"/>
          <w:szCs w:val="24"/>
        </w:rPr>
        <w:t>јединица</w:t>
      </w:r>
      <w:r w:rsidRPr="00FB5A28">
        <w:rPr>
          <w:rFonts w:ascii="Times New Roman" w:hAnsi="Times New Roman"/>
          <w:sz w:val="24"/>
          <w:szCs w:val="24"/>
        </w:rPr>
        <w:t xml:space="preserve"> </w:t>
      </w:r>
      <w:r w:rsidR="008D45E3" w:rsidRPr="00FB5A28">
        <w:rPr>
          <w:rFonts w:ascii="Times New Roman" w:hAnsi="Times New Roman"/>
          <w:sz w:val="24"/>
          <w:szCs w:val="24"/>
        </w:rPr>
        <w:t>добровољних</w:t>
      </w:r>
      <w:r w:rsidRPr="00FB5A28">
        <w:rPr>
          <w:rFonts w:ascii="Times New Roman" w:hAnsi="Times New Roman"/>
          <w:sz w:val="24"/>
          <w:szCs w:val="24"/>
        </w:rPr>
        <w:t xml:space="preserve"> </w:t>
      </w:r>
      <w:r w:rsidR="008D45E3" w:rsidRPr="00FB5A28">
        <w:rPr>
          <w:rFonts w:ascii="Times New Roman" w:hAnsi="Times New Roman"/>
          <w:sz w:val="24"/>
          <w:szCs w:val="24"/>
        </w:rPr>
        <w:t>пензијских</w:t>
      </w:r>
      <w:r w:rsidRPr="00FB5A28">
        <w:rPr>
          <w:rFonts w:ascii="Times New Roman" w:hAnsi="Times New Roman"/>
          <w:sz w:val="24"/>
          <w:szCs w:val="24"/>
        </w:rPr>
        <w:t xml:space="preserve"> </w:t>
      </w:r>
      <w:r w:rsidR="008D45E3" w:rsidRPr="00FB5A28">
        <w:rPr>
          <w:rFonts w:ascii="Times New Roman" w:hAnsi="Times New Roman"/>
          <w:sz w:val="24"/>
          <w:szCs w:val="24"/>
        </w:rPr>
        <w:t>фондова</w:t>
      </w:r>
      <w:r w:rsidRPr="00FB5A28">
        <w:rPr>
          <w:rFonts w:ascii="Times New Roman" w:hAnsi="Times New Roman"/>
          <w:sz w:val="24"/>
          <w:szCs w:val="24"/>
        </w:rPr>
        <w:t>.</w:t>
      </w:r>
    </w:p>
    <w:p w:rsidR="00785994" w:rsidRPr="00FB5A28" w:rsidRDefault="00741D88" w:rsidP="00FB5A28">
      <w:pPr>
        <w:ind w:firstLine="708"/>
        <w:jc w:val="both"/>
        <w:rPr>
          <w:rFonts w:ascii="Times New Roman" w:hAnsi="Times New Roman"/>
          <w:sz w:val="24"/>
          <w:szCs w:val="24"/>
          <w:shd w:val="clear" w:color="auto" w:fill="FFFFFF"/>
          <w:lang w:val="sr-Cyrl-CS"/>
        </w:rPr>
      </w:pPr>
      <w:r w:rsidRPr="00FB5A28">
        <w:rPr>
          <w:rFonts w:ascii="Times New Roman" w:hAnsi="Times New Roman"/>
          <w:sz w:val="24"/>
          <w:szCs w:val="24"/>
          <w:shd w:val="clear" w:color="auto" w:fill="FFFFFF"/>
          <w:lang w:val="sr-Cyrl-CS"/>
        </w:rPr>
        <w:t>Пореска обавеза настаје даном даном продаје удела, акција и осталих хартија од вредности, стварних права на непокретности, ауторских права, права сродних ауторском праву и права индустријске својине.</w:t>
      </w:r>
    </w:p>
    <w:p w:rsidR="00785994" w:rsidRPr="00FB5A28" w:rsidRDefault="00823AD8" w:rsidP="00FB5A28">
      <w:pPr>
        <w:ind w:firstLine="708"/>
        <w:jc w:val="both"/>
        <w:rPr>
          <w:rFonts w:ascii="Times New Roman" w:hAnsi="Times New Roman"/>
          <w:sz w:val="24"/>
          <w:szCs w:val="24"/>
          <w:shd w:val="clear" w:color="auto" w:fill="FFFFFF"/>
          <w:lang w:val="sr-Cyrl-CS"/>
        </w:rPr>
      </w:pPr>
      <w:r w:rsidRPr="00FB5A28">
        <w:rPr>
          <w:rFonts w:ascii="Times New Roman" w:hAnsi="Times New Roman"/>
          <w:sz w:val="24"/>
          <w:szCs w:val="24"/>
          <w:shd w:val="clear" w:color="auto" w:fill="FFFFFF"/>
          <w:lang w:val="sr-Cyrl-CS"/>
        </w:rPr>
        <w:t>Пореску основицу чини разлика између продајне и набавне цене имовине, усклађене према Закону о порезу на доходак грађана.</w:t>
      </w:r>
      <w:r w:rsidR="00785994" w:rsidRPr="00FB5A28">
        <w:rPr>
          <w:rFonts w:ascii="Times New Roman" w:hAnsi="Times New Roman"/>
          <w:sz w:val="24"/>
          <w:szCs w:val="24"/>
          <w:lang w:val="sr-Cyrl-CS"/>
        </w:rPr>
        <w:t xml:space="preserve"> </w:t>
      </w:r>
      <w:r w:rsidR="008D45E3" w:rsidRPr="00FB5A28">
        <w:rPr>
          <w:rFonts w:ascii="Times New Roman" w:hAnsi="Times New Roman"/>
          <w:sz w:val="24"/>
          <w:szCs w:val="24"/>
        </w:rPr>
        <w:t>Под</w:t>
      </w:r>
      <w:r w:rsidR="00753FE8" w:rsidRPr="00FB5A28">
        <w:rPr>
          <w:rFonts w:ascii="Times New Roman" w:hAnsi="Times New Roman"/>
          <w:sz w:val="24"/>
          <w:szCs w:val="24"/>
        </w:rPr>
        <w:t xml:space="preserve"> </w:t>
      </w:r>
      <w:r w:rsidR="008D45E3" w:rsidRPr="00FB5A28">
        <w:rPr>
          <w:rFonts w:ascii="Times New Roman" w:hAnsi="Times New Roman"/>
          <w:sz w:val="24"/>
          <w:szCs w:val="24"/>
        </w:rPr>
        <w:t>преносом</w:t>
      </w:r>
      <w:r w:rsidR="00753FE8" w:rsidRPr="00FB5A28">
        <w:rPr>
          <w:rFonts w:ascii="Times New Roman" w:hAnsi="Times New Roman"/>
          <w:sz w:val="24"/>
          <w:szCs w:val="24"/>
        </w:rPr>
        <w:t xml:space="preserve"> </w:t>
      </w:r>
      <w:r w:rsidR="008D45E3" w:rsidRPr="00FB5A28">
        <w:rPr>
          <w:rFonts w:ascii="Times New Roman" w:hAnsi="Times New Roman"/>
          <w:sz w:val="24"/>
          <w:szCs w:val="24"/>
        </w:rPr>
        <w:t>сматра</w:t>
      </w:r>
      <w:r w:rsidR="00753FE8" w:rsidRPr="00FB5A28">
        <w:rPr>
          <w:rFonts w:ascii="Times New Roman" w:hAnsi="Times New Roman"/>
          <w:sz w:val="24"/>
          <w:szCs w:val="24"/>
        </w:rPr>
        <w:t xml:space="preserve"> </w:t>
      </w:r>
      <w:r w:rsidR="008D45E3" w:rsidRPr="00FB5A28">
        <w:rPr>
          <w:rFonts w:ascii="Times New Roman" w:hAnsi="Times New Roman"/>
          <w:sz w:val="24"/>
          <w:szCs w:val="24"/>
        </w:rPr>
        <w:t>се</w:t>
      </w:r>
      <w:r w:rsidR="00753FE8" w:rsidRPr="00FB5A28">
        <w:rPr>
          <w:rFonts w:ascii="Times New Roman" w:hAnsi="Times New Roman"/>
          <w:sz w:val="24"/>
          <w:szCs w:val="24"/>
        </w:rPr>
        <w:t xml:space="preserve"> </w:t>
      </w:r>
      <w:r w:rsidR="008D45E3" w:rsidRPr="00FB5A28">
        <w:rPr>
          <w:rFonts w:ascii="Times New Roman" w:hAnsi="Times New Roman"/>
          <w:sz w:val="24"/>
          <w:szCs w:val="24"/>
        </w:rPr>
        <w:t>продаја</w:t>
      </w:r>
      <w:r w:rsidR="00753FE8" w:rsidRPr="00FB5A28">
        <w:rPr>
          <w:rFonts w:ascii="Times New Roman" w:hAnsi="Times New Roman"/>
          <w:sz w:val="24"/>
          <w:szCs w:val="24"/>
        </w:rPr>
        <w:t xml:space="preserve"> </w:t>
      </w:r>
      <w:r w:rsidR="008D45E3" w:rsidRPr="00FB5A28">
        <w:rPr>
          <w:rFonts w:ascii="Times New Roman" w:hAnsi="Times New Roman"/>
          <w:sz w:val="24"/>
          <w:szCs w:val="24"/>
        </w:rPr>
        <w:t>или</w:t>
      </w:r>
      <w:r w:rsidR="00753FE8" w:rsidRPr="00FB5A28">
        <w:rPr>
          <w:rFonts w:ascii="Times New Roman" w:hAnsi="Times New Roman"/>
          <w:sz w:val="24"/>
          <w:szCs w:val="24"/>
        </w:rPr>
        <w:t xml:space="preserve"> </w:t>
      </w:r>
      <w:r w:rsidR="008D45E3" w:rsidRPr="00FB5A28">
        <w:rPr>
          <w:rFonts w:ascii="Times New Roman" w:hAnsi="Times New Roman"/>
          <w:sz w:val="24"/>
          <w:szCs w:val="24"/>
        </w:rPr>
        <w:t>други</w:t>
      </w:r>
      <w:r w:rsidR="00753FE8" w:rsidRPr="00FB5A28">
        <w:rPr>
          <w:rFonts w:ascii="Times New Roman" w:hAnsi="Times New Roman"/>
          <w:sz w:val="24"/>
          <w:szCs w:val="24"/>
        </w:rPr>
        <w:t xml:space="preserve"> </w:t>
      </w:r>
      <w:r w:rsidR="008D45E3" w:rsidRPr="00FB5A28">
        <w:rPr>
          <w:rFonts w:ascii="Times New Roman" w:hAnsi="Times New Roman"/>
          <w:sz w:val="24"/>
          <w:szCs w:val="24"/>
        </w:rPr>
        <w:t>пренос</w:t>
      </w:r>
      <w:r w:rsidR="00753FE8" w:rsidRPr="00FB5A28">
        <w:rPr>
          <w:rFonts w:ascii="Times New Roman" w:hAnsi="Times New Roman"/>
          <w:sz w:val="24"/>
          <w:szCs w:val="24"/>
        </w:rPr>
        <w:t xml:space="preserve"> </w:t>
      </w:r>
      <w:r w:rsidR="008D45E3" w:rsidRPr="00FB5A28">
        <w:rPr>
          <w:rFonts w:ascii="Times New Roman" w:hAnsi="Times New Roman"/>
          <w:sz w:val="24"/>
          <w:szCs w:val="24"/>
        </w:rPr>
        <w:t>уз</w:t>
      </w:r>
      <w:r w:rsidR="00753FE8" w:rsidRPr="00FB5A28">
        <w:rPr>
          <w:rFonts w:ascii="Times New Roman" w:hAnsi="Times New Roman"/>
          <w:sz w:val="24"/>
          <w:szCs w:val="24"/>
        </w:rPr>
        <w:t xml:space="preserve"> </w:t>
      </w:r>
      <w:r w:rsidR="008D45E3" w:rsidRPr="00FB5A28">
        <w:rPr>
          <w:rFonts w:ascii="Times New Roman" w:hAnsi="Times New Roman"/>
          <w:sz w:val="24"/>
          <w:szCs w:val="24"/>
        </w:rPr>
        <w:t>новчану</w:t>
      </w:r>
      <w:r w:rsidR="00753FE8" w:rsidRPr="00FB5A28">
        <w:rPr>
          <w:rFonts w:ascii="Times New Roman" w:hAnsi="Times New Roman"/>
          <w:sz w:val="24"/>
          <w:szCs w:val="24"/>
        </w:rPr>
        <w:t xml:space="preserve"> </w:t>
      </w:r>
      <w:r w:rsidR="008D45E3" w:rsidRPr="00FB5A28">
        <w:rPr>
          <w:rFonts w:ascii="Times New Roman" w:hAnsi="Times New Roman"/>
          <w:sz w:val="24"/>
          <w:szCs w:val="24"/>
        </w:rPr>
        <w:t>или</w:t>
      </w:r>
      <w:r w:rsidR="00753FE8" w:rsidRPr="00FB5A28">
        <w:rPr>
          <w:rFonts w:ascii="Times New Roman" w:hAnsi="Times New Roman"/>
          <w:sz w:val="24"/>
          <w:szCs w:val="24"/>
        </w:rPr>
        <w:t xml:space="preserve"> </w:t>
      </w:r>
      <w:r w:rsidR="008D45E3" w:rsidRPr="00FB5A28">
        <w:rPr>
          <w:rFonts w:ascii="Times New Roman" w:hAnsi="Times New Roman"/>
          <w:sz w:val="24"/>
          <w:szCs w:val="24"/>
        </w:rPr>
        <w:t>неновчану</w:t>
      </w:r>
      <w:r w:rsidR="00753FE8" w:rsidRPr="00FB5A28">
        <w:rPr>
          <w:rFonts w:ascii="Times New Roman" w:hAnsi="Times New Roman"/>
          <w:sz w:val="24"/>
          <w:szCs w:val="24"/>
        </w:rPr>
        <w:t xml:space="preserve"> </w:t>
      </w:r>
      <w:r w:rsidR="008D45E3" w:rsidRPr="00FB5A28">
        <w:rPr>
          <w:rFonts w:ascii="Times New Roman" w:hAnsi="Times New Roman"/>
          <w:sz w:val="24"/>
          <w:szCs w:val="24"/>
        </w:rPr>
        <w:t>накнаду</w:t>
      </w:r>
      <w:r w:rsidR="00753FE8" w:rsidRPr="00FB5A28">
        <w:rPr>
          <w:rFonts w:ascii="Times New Roman" w:hAnsi="Times New Roman"/>
          <w:sz w:val="24"/>
          <w:szCs w:val="24"/>
        </w:rPr>
        <w:t>.</w:t>
      </w:r>
      <w:r w:rsidR="00785994" w:rsidRPr="00FB5A28">
        <w:rPr>
          <w:rFonts w:ascii="Times New Roman" w:hAnsi="Times New Roman"/>
          <w:sz w:val="24"/>
          <w:szCs w:val="24"/>
          <w:lang w:val="sr-Cyrl-CS"/>
        </w:rPr>
        <w:t xml:space="preserve"> Када је ова разлика негативна ради се капиталном губитку.</w:t>
      </w:r>
      <w:r w:rsidRPr="00FB5A28">
        <w:rPr>
          <w:rFonts w:ascii="Times New Roman" w:hAnsi="Times New Roman"/>
          <w:sz w:val="24"/>
          <w:szCs w:val="24"/>
          <w:lang w:val="sr-Cyrl-CS"/>
        </w:rPr>
        <w:t xml:space="preserve"> </w:t>
      </w:r>
      <w:bookmarkStart w:id="43" w:name="clan_72a"/>
      <w:bookmarkEnd w:id="43"/>
    </w:p>
    <w:p w:rsidR="00785994" w:rsidRPr="00FB5A28" w:rsidRDefault="008D45E3" w:rsidP="00FB5A28">
      <w:pPr>
        <w:ind w:firstLine="708"/>
        <w:jc w:val="both"/>
        <w:rPr>
          <w:rFonts w:ascii="Times New Roman" w:hAnsi="Times New Roman"/>
          <w:sz w:val="24"/>
          <w:szCs w:val="24"/>
          <w:shd w:val="clear" w:color="auto" w:fill="FFFFFF"/>
          <w:lang w:val="sr-Cyrl-CS"/>
        </w:rPr>
      </w:pPr>
      <w:r w:rsidRPr="00FB5A28">
        <w:rPr>
          <w:rFonts w:ascii="Times New Roman" w:hAnsi="Times New Roman"/>
          <w:sz w:val="24"/>
          <w:szCs w:val="24"/>
        </w:rPr>
        <w:lastRenderedPageBreak/>
        <w:t>Обвезник</w:t>
      </w:r>
      <w:r w:rsidR="00785994" w:rsidRPr="00FB5A28">
        <w:rPr>
          <w:rFonts w:ascii="Times New Roman" w:hAnsi="Times New Roman"/>
          <w:sz w:val="24"/>
          <w:szCs w:val="24"/>
        </w:rPr>
        <w:t xml:space="preserve"> </w:t>
      </w:r>
      <w:r w:rsidRPr="00FB5A28">
        <w:rPr>
          <w:rFonts w:ascii="Times New Roman" w:hAnsi="Times New Roman"/>
          <w:sz w:val="24"/>
          <w:szCs w:val="24"/>
        </w:rPr>
        <w:t>пореза</w:t>
      </w:r>
      <w:r w:rsidR="00785994" w:rsidRPr="00FB5A28">
        <w:rPr>
          <w:rFonts w:ascii="Times New Roman" w:hAnsi="Times New Roman"/>
          <w:sz w:val="24"/>
          <w:szCs w:val="24"/>
        </w:rPr>
        <w:t xml:space="preserve"> </w:t>
      </w:r>
      <w:r w:rsidRPr="00FB5A28">
        <w:rPr>
          <w:rFonts w:ascii="Times New Roman" w:hAnsi="Times New Roman"/>
          <w:sz w:val="24"/>
          <w:szCs w:val="24"/>
        </w:rPr>
        <w:t>на</w:t>
      </w:r>
      <w:r w:rsidR="00785994" w:rsidRPr="00FB5A28">
        <w:rPr>
          <w:rFonts w:ascii="Times New Roman" w:hAnsi="Times New Roman"/>
          <w:sz w:val="24"/>
          <w:szCs w:val="24"/>
        </w:rPr>
        <w:t xml:space="preserve"> </w:t>
      </w:r>
      <w:r w:rsidRPr="00FB5A28">
        <w:rPr>
          <w:rFonts w:ascii="Times New Roman" w:hAnsi="Times New Roman"/>
          <w:sz w:val="24"/>
          <w:szCs w:val="24"/>
        </w:rPr>
        <w:t>капитални</w:t>
      </w:r>
      <w:r w:rsidR="00785994" w:rsidRPr="00FB5A28">
        <w:rPr>
          <w:rFonts w:ascii="Times New Roman" w:hAnsi="Times New Roman"/>
          <w:sz w:val="24"/>
          <w:szCs w:val="24"/>
        </w:rPr>
        <w:t xml:space="preserve"> </w:t>
      </w:r>
      <w:r w:rsidRPr="00FB5A28">
        <w:rPr>
          <w:rFonts w:ascii="Times New Roman" w:hAnsi="Times New Roman"/>
          <w:sz w:val="24"/>
          <w:szCs w:val="24"/>
        </w:rPr>
        <w:t>добитак</w:t>
      </w:r>
      <w:r w:rsidR="00785994" w:rsidRPr="00FB5A28">
        <w:rPr>
          <w:rFonts w:ascii="Times New Roman" w:hAnsi="Times New Roman"/>
          <w:sz w:val="24"/>
          <w:szCs w:val="24"/>
        </w:rPr>
        <w:t xml:space="preserve"> </w:t>
      </w:r>
      <w:r w:rsidRPr="00FB5A28">
        <w:rPr>
          <w:rFonts w:ascii="Times New Roman" w:hAnsi="Times New Roman"/>
          <w:sz w:val="24"/>
          <w:szCs w:val="24"/>
        </w:rPr>
        <w:t>је</w:t>
      </w:r>
      <w:r w:rsidR="00785994" w:rsidRPr="00FB5A28">
        <w:rPr>
          <w:rFonts w:ascii="Times New Roman" w:hAnsi="Times New Roman"/>
          <w:sz w:val="24"/>
          <w:szCs w:val="24"/>
        </w:rPr>
        <w:t xml:space="preserve"> </w:t>
      </w:r>
      <w:r w:rsidRPr="00FB5A28">
        <w:rPr>
          <w:rFonts w:ascii="Times New Roman" w:hAnsi="Times New Roman"/>
          <w:sz w:val="24"/>
          <w:szCs w:val="24"/>
        </w:rPr>
        <w:t>свако</w:t>
      </w:r>
      <w:r w:rsidR="00785994" w:rsidRPr="00FB5A28">
        <w:rPr>
          <w:rFonts w:ascii="Times New Roman" w:hAnsi="Times New Roman"/>
          <w:sz w:val="24"/>
          <w:szCs w:val="24"/>
        </w:rPr>
        <w:t xml:space="preserve"> </w:t>
      </w:r>
      <w:r w:rsidRPr="00FB5A28">
        <w:rPr>
          <w:rFonts w:ascii="Times New Roman" w:hAnsi="Times New Roman"/>
          <w:sz w:val="24"/>
          <w:szCs w:val="24"/>
        </w:rPr>
        <w:t>физичко</w:t>
      </w:r>
      <w:r w:rsidR="00785994" w:rsidRPr="00FB5A28">
        <w:rPr>
          <w:rFonts w:ascii="Times New Roman" w:hAnsi="Times New Roman"/>
          <w:sz w:val="24"/>
          <w:szCs w:val="24"/>
        </w:rPr>
        <w:t xml:space="preserve"> </w:t>
      </w:r>
      <w:r w:rsidRPr="00FB5A28">
        <w:rPr>
          <w:rFonts w:ascii="Times New Roman" w:hAnsi="Times New Roman"/>
          <w:sz w:val="24"/>
          <w:szCs w:val="24"/>
        </w:rPr>
        <w:t>лице</w:t>
      </w:r>
      <w:r w:rsidR="00785994" w:rsidRPr="00FB5A28">
        <w:rPr>
          <w:rFonts w:ascii="Times New Roman" w:hAnsi="Times New Roman"/>
          <w:sz w:val="24"/>
          <w:szCs w:val="24"/>
        </w:rPr>
        <w:t xml:space="preserve">, </w:t>
      </w:r>
      <w:r w:rsidRPr="00FB5A28">
        <w:rPr>
          <w:rFonts w:ascii="Times New Roman" w:hAnsi="Times New Roman"/>
          <w:sz w:val="24"/>
          <w:szCs w:val="24"/>
        </w:rPr>
        <w:t>укључујући</w:t>
      </w:r>
      <w:r w:rsidR="00785994" w:rsidRPr="00FB5A28">
        <w:rPr>
          <w:rFonts w:ascii="Times New Roman" w:hAnsi="Times New Roman"/>
          <w:sz w:val="24"/>
          <w:szCs w:val="24"/>
        </w:rPr>
        <w:t xml:space="preserve"> </w:t>
      </w:r>
      <w:r w:rsidRPr="00FB5A28">
        <w:rPr>
          <w:rFonts w:ascii="Times New Roman" w:hAnsi="Times New Roman"/>
          <w:sz w:val="24"/>
          <w:szCs w:val="24"/>
        </w:rPr>
        <w:t>и</w:t>
      </w:r>
      <w:r w:rsidR="00785994" w:rsidRPr="00FB5A28">
        <w:rPr>
          <w:rFonts w:ascii="Times New Roman" w:hAnsi="Times New Roman"/>
          <w:sz w:val="24"/>
          <w:szCs w:val="24"/>
        </w:rPr>
        <w:t xml:space="preserve"> </w:t>
      </w:r>
      <w:r w:rsidRPr="00FB5A28">
        <w:rPr>
          <w:rFonts w:ascii="Times New Roman" w:hAnsi="Times New Roman"/>
          <w:sz w:val="24"/>
          <w:szCs w:val="24"/>
        </w:rPr>
        <w:t>предузетника</w:t>
      </w:r>
      <w:r w:rsidR="00785994" w:rsidRPr="00FB5A28">
        <w:rPr>
          <w:rFonts w:ascii="Times New Roman" w:hAnsi="Times New Roman"/>
          <w:sz w:val="24"/>
          <w:szCs w:val="24"/>
        </w:rPr>
        <w:t xml:space="preserve">, </w:t>
      </w:r>
      <w:r w:rsidRPr="00FB5A28">
        <w:rPr>
          <w:rFonts w:ascii="Times New Roman" w:hAnsi="Times New Roman"/>
          <w:sz w:val="24"/>
          <w:szCs w:val="24"/>
        </w:rPr>
        <w:t>које</w:t>
      </w:r>
      <w:r w:rsidR="00785994" w:rsidRPr="00FB5A28">
        <w:rPr>
          <w:rFonts w:ascii="Times New Roman" w:hAnsi="Times New Roman"/>
          <w:sz w:val="24"/>
          <w:szCs w:val="24"/>
        </w:rPr>
        <w:t xml:space="preserve"> </w:t>
      </w:r>
      <w:r w:rsidRPr="00FB5A28">
        <w:rPr>
          <w:rFonts w:ascii="Times New Roman" w:hAnsi="Times New Roman"/>
          <w:sz w:val="24"/>
          <w:szCs w:val="24"/>
        </w:rPr>
        <w:t>је</w:t>
      </w:r>
      <w:r w:rsidR="00785994" w:rsidRPr="00FB5A28">
        <w:rPr>
          <w:rFonts w:ascii="Times New Roman" w:hAnsi="Times New Roman"/>
          <w:sz w:val="24"/>
          <w:szCs w:val="24"/>
        </w:rPr>
        <w:t xml:space="preserve"> </w:t>
      </w:r>
      <w:r w:rsidRPr="00FB5A28">
        <w:rPr>
          <w:rFonts w:ascii="Times New Roman" w:hAnsi="Times New Roman"/>
          <w:sz w:val="24"/>
          <w:szCs w:val="24"/>
        </w:rPr>
        <w:t>извршило</w:t>
      </w:r>
      <w:r w:rsidR="00785994" w:rsidRPr="00FB5A28">
        <w:rPr>
          <w:rFonts w:ascii="Times New Roman" w:hAnsi="Times New Roman"/>
          <w:sz w:val="24"/>
          <w:szCs w:val="24"/>
        </w:rPr>
        <w:t xml:space="preserve"> </w:t>
      </w:r>
      <w:r w:rsidRPr="00FB5A28">
        <w:rPr>
          <w:rFonts w:ascii="Times New Roman" w:hAnsi="Times New Roman"/>
          <w:sz w:val="24"/>
          <w:szCs w:val="24"/>
        </w:rPr>
        <w:t>пренос</w:t>
      </w:r>
      <w:r w:rsidR="00785994" w:rsidRPr="00FB5A28">
        <w:rPr>
          <w:rFonts w:ascii="Times New Roman" w:hAnsi="Times New Roman"/>
          <w:sz w:val="24"/>
          <w:szCs w:val="24"/>
        </w:rPr>
        <w:t xml:space="preserve"> </w:t>
      </w:r>
      <w:r w:rsidRPr="00FB5A28">
        <w:rPr>
          <w:rFonts w:ascii="Times New Roman" w:hAnsi="Times New Roman"/>
          <w:sz w:val="24"/>
          <w:szCs w:val="24"/>
        </w:rPr>
        <w:t>права</w:t>
      </w:r>
      <w:r w:rsidR="00785994" w:rsidRPr="00FB5A28">
        <w:rPr>
          <w:rFonts w:ascii="Times New Roman" w:hAnsi="Times New Roman"/>
          <w:sz w:val="24"/>
          <w:szCs w:val="24"/>
        </w:rPr>
        <w:t xml:space="preserve">, </w:t>
      </w:r>
      <w:r w:rsidRPr="00FB5A28">
        <w:rPr>
          <w:rFonts w:ascii="Times New Roman" w:hAnsi="Times New Roman"/>
          <w:sz w:val="24"/>
          <w:szCs w:val="24"/>
        </w:rPr>
        <w:t>удела</w:t>
      </w:r>
      <w:r w:rsidR="00785994" w:rsidRPr="00FB5A28">
        <w:rPr>
          <w:rFonts w:ascii="Times New Roman" w:hAnsi="Times New Roman"/>
          <w:sz w:val="24"/>
          <w:szCs w:val="24"/>
        </w:rPr>
        <w:t xml:space="preserve"> </w:t>
      </w:r>
      <w:r w:rsidRPr="00FB5A28">
        <w:rPr>
          <w:rFonts w:ascii="Times New Roman" w:hAnsi="Times New Roman"/>
          <w:sz w:val="24"/>
          <w:szCs w:val="24"/>
        </w:rPr>
        <w:t>и</w:t>
      </w:r>
      <w:r w:rsidR="00785994" w:rsidRPr="00FB5A28">
        <w:rPr>
          <w:rFonts w:ascii="Times New Roman" w:hAnsi="Times New Roman"/>
          <w:sz w:val="24"/>
          <w:szCs w:val="24"/>
        </w:rPr>
        <w:t xml:space="preserve"> </w:t>
      </w:r>
      <w:r w:rsidRPr="00FB5A28">
        <w:rPr>
          <w:rFonts w:ascii="Times New Roman" w:hAnsi="Times New Roman"/>
          <w:sz w:val="24"/>
          <w:szCs w:val="24"/>
        </w:rPr>
        <w:t>хартија</w:t>
      </w:r>
      <w:r w:rsidR="00785994" w:rsidRPr="00FB5A28">
        <w:rPr>
          <w:rFonts w:ascii="Times New Roman" w:hAnsi="Times New Roman"/>
          <w:sz w:val="24"/>
          <w:szCs w:val="24"/>
        </w:rPr>
        <w:t xml:space="preserve"> </w:t>
      </w:r>
      <w:r w:rsidRPr="00FB5A28">
        <w:rPr>
          <w:rFonts w:ascii="Times New Roman" w:hAnsi="Times New Roman"/>
          <w:sz w:val="24"/>
          <w:szCs w:val="24"/>
        </w:rPr>
        <w:t>од</w:t>
      </w:r>
      <w:r w:rsidR="00785994" w:rsidRPr="00FB5A28">
        <w:rPr>
          <w:rFonts w:ascii="Times New Roman" w:hAnsi="Times New Roman"/>
          <w:sz w:val="24"/>
          <w:szCs w:val="24"/>
        </w:rPr>
        <w:t xml:space="preserve"> </w:t>
      </w:r>
      <w:r w:rsidRPr="00FB5A28">
        <w:rPr>
          <w:rFonts w:ascii="Times New Roman" w:hAnsi="Times New Roman"/>
          <w:sz w:val="24"/>
          <w:szCs w:val="24"/>
        </w:rPr>
        <w:t>вредност</w:t>
      </w:r>
      <w:r w:rsidR="00785994" w:rsidRPr="00FB5A28">
        <w:rPr>
          <w:rFonts w:ascii="Times New Roman" w:hAnsi="Times New Roman"/>
          <w:sz w:val="24"/>
          <w:szCs w:val="24"/>
          <w:lang w:val="sr-Cyrl-CS"/>
        </w:rPr>
        <w:t>и</w:t>
      </w:r>
      <w:r w:rsidR="00823AD8" w:rsidRPr="00FB5A28">
        <w:rPr>
          <w:rFonts w:ascii="Times New Roman" w:hAnsi="Times New Roman"/>
          <w:sz w:val="24"/>
          <w:szCs w:val="24"/>
          <w:lang w:val="sr-Cyrl-CS"/>
        </w:rPr>
        <w:t>,</w:t>
      </w:r>
      <w:r w:rsidR="00823AD8" w:rsidRPr="00FB5A28">
        <w:rPr>
          <w:rFonts w:ascii="Times New Roman" w:hAnsi="Times New Roman"/>
          <w:sz w:val="24"/>
          <w:szCs w:val="24"/>
          <w:shd w:val="clear" w:color="auto" w:fill="FFFFFF"/>
          <w:lang w:val="sr-Cyrl-CS"/>
        </w:rPr>
        <w:t xml:space="preserve"> уз новчану или неновчану накнаду.</w:t>
      </w:r>
      <w:bookmarkStart w:id="44" w:name="clan_72b"/>
      <w:bookmarkEnd w:id="44"/>
    </w:p>
    <w:p w:rsidR="004D4979" w:rsidRPr="00FB5A28" w:rsidRDefault="004D4979" w:rsidP="00FB5A28">
      <w:pPr>
        <w:ind w:firstLine="708"/>
        <w:jc w:val="both"/>
        <w:rPr>
          <w:rFonts w:ascii="Times New Roman" w:hAnsi="Times New Roman"/>
          <w:sz w:val="24"/>
          <w:szCs w:val="24"/>
          <w:lang w:val="sr-Cyrl-CS"/>
        </w:rPr>
      </w:pPr>
      <w:r w:rsidRPr="00FB5A28">
        <w:rPr>
          <w:rFonts w:ascii="Times New Roman" w:hAnsi="Times New Roman"/>
          <w:sz w:val="24"/>
          <w:szCs w:val="24"/>
          <w:lang w:val="sr-Cyrl-CS"/>
        </w:rPr>
        <w:t xml:space="preserve">Закон о порезу на доходак грађана познаје </w:t>
      </w:r>
      <w:r w:rsidR="00823AD8" w:rsidRPr="00FB5A28">
        <w:rPr>
          <w:rFonts w:ascii="Times New Roman" w:hAnsi="Times New Roman"/>
          <w:sz w:val="24"/>
          <w:szCs w:val="24"/>
          <w:lang w:val="sr-Cyrl-CS"/>
        </w:rPr>
        <w:t xml:space="preserve">више </w:t>
      </w:r>
      <w:r w:rsidRPr="00FB5A28">
        <w:rPr>
          <w:rFonts w:ascii="Times New Roman" w:hAnsi="Times New Roman"/>
          <w:sz w:val="24"/>
          <w:szCs w:val="24"/>
          <w:lang w:val="sr-Cyrl-CS"/>
        </w:rPr>
        <w:t xml:space="preserve">врсте олакшица: </w:t>
      </w:r>
      <w:r w:rsidR="00823AD8" w:rsidRPr="00FB5A28">
        <w:rPr>
          <w:rFonts w:ascii="Times New Roman" w:hAnsi="Times New Roman"/>
          <w:sz w:val="24"/>
          <w:szCs w:val="24"/>
          <w:lang w:val="sr-Cyrl-CS"/>
        </w:rPr>
        <w:t xml:space="preserve">изузимања, </w:t>
      </w:r>
      <w:r w:rsidRPr="00FB5A28">
        <w:rPr>
          <w:rFonts w:ascii="Times New Roman" w:hAnsi="Times New Roman"/>
          <w:sz w:val="24"/>
          <w:szCs w:val="24"/>
          <w:lang w:val="sr-Cyrl-CS"/>
        </w:rPr>
        <w:t>пореско ослобођење и порески кредит.</w:t>
      </w:r>
      <w:r w:rsidR="00823AD8" w:rsidRPr="00FB5A28">
        <w:rPr>
          <w:rFonts w:ascii="Times New Roman" w:hAnsi="Times New Roman"/>
          <w:sz w:val="24"/>
          <w:szCs w:val="24"/>
          <w:lang w:val="sr-Cyrl-CS"/>
        </w:rPr>
        <w:t xml:space="preserve"> </w:t>
      </w:r>
    </w:p>
    <w:p w:rsidR="00823AD8" w:rsidRPr="00FB5A28" w:rsidRDefault="00741D88" w:rsidP="00FB5A28">
      <w:pPr>
        <w:jc w:val="both"/>
        <w:rPr>
          <w:rFonts w:ascii="Times New Roman" w:hAnsi="Times New Roman"/>
          <w:sz w:val="24"/>
          <w:szCs w:val="24"/>
          <w:lang w:val="sr-Cyrl-CS"/>
        </w:rPr>
      </w:pPr>
      <w:r w:rsidRPr="00FB5A28">
        <w:rPr>
          <w:rFonts w:ascii="Times New Roman" w:hAnsi="Times New Roman"/>
          <w:sz w:val="24"/>
          <w:szCs w:val="24"/>
          <w:lang w:val="sr-Cyrl-CS"/>
        </w:rPr>
        <w:t>1)</w:t>
      </w:r>
      <w:r w:rsidR="00823AD8" w:rsidRPr="00FB5A28">
        <w:rPr>
          <w:rFonts w:ascii="Times New Roman" w:hAnsi="Times New Roman"/>
          <w:sz w:val="24"/>
          <w:szCs w:val="24"/>
          <w:lang w:val="sr-Cyrl-CS"/>
        </w:rPr>
        <w:t>Први случај је регулисан чл. 72а ЗПДГ. Наиме, к</w:t>
      </w:r>
      <w:r w:rsidR="008D45E3" w:rsidRPr="00FB5A28">
        <w:rPr>
          <w:rFonts w:ascii="Times New Roman" w:hAnsi="Times New Roman"/>
          <w:sz w:val="24"/>
          <w:szCs w:val="24"/>
        </w:rPr>
        <w:t>апиталним</w:t>
      </w:r>
      <w:r w:rsidR="00823AD8" w:rsidRPr="00FB5A28">
        <w:rPr>
          <w:rFonts w:ascii="Times New Roman" w:hAnsi="Times New Roman"/>
          <w:sz w:val="24"/>
          <w:szCs w:val="24"/>
        </w:rPr>
        <w:t xml:space="preserve"> </w:t>
      </w:r>
      <w:r w:rsidR="008D45E3" w:rsidRPr="00FB5A28">
        <w:rPr>
          <w:rFonts w:ascii="Times New Roman" w:hAnsi="Times New Roman"/>
          <w:sz w:val="24"/>
          <w:szCs w:val="24"/>
        </w:rPr>
        <w:t>добитком</w:t>
      </w:r>
      <w:r w:rsidR="00823AD8" w:rsidRPr="00FB5A28">
        <w:rPr>
          <w:rFonts w:ascii="Times New Roman" w:hAnsi="Times New Roman"/>
          <w:sz w:val="24"/>
          <w:szCs w:val="24"/>
        </w:rPr>
        <w:t xml:space="preserve">, </w:t>
      </w:r>
      <w:r w:rsidR="008D45E3" w:rsidRPr="00FB5A28">
        <w:rPr>
          <w:rFonts w:ascii="Times New Roman" w:hAnsi="Times New Roman"/>
          <w:sz w:val="24"/>
          <w:szCs w:val="24"/>
        </w:rPr>
        <w:t>односно</w:t>
      </w:r>
      <w:r w:rsidR="00823AD8" w:rsidRPr="00FB5A28">
        <w:rPr>
          <w:rFonts w:ascii="Times New Roman" w:hAnsi="Times New Roman"/>
          <w:sz w:val="24"/>
          <w:szCs w:val="24"/>
        </w:rPr>
        <w:t xml:space="preserve"> </w:t>
      </w:r>
      <w:r w:rsidR="008D45E3" w:rsidRPr="00FB5A28">
        <w:rPr>
          <w:rFonts w:ascii="Times New Roman" w:hAnsi="Times New Roman"/>
          <w:sz w:val="24"/>
          <w:szCs w:val="24"/>
        </w:rPr>
        <w:t>губитком</w:t>
      </w:r>
      <w:r w:rsidR="00823AD8" w:rsidRPr="00FB5A28">
        <w:rPr>
          <w:rFonts w:ascii="Times New Roman" w:hAnsi="Times New Roman"/>
          <w:sz w:val="24"/>
          <w:szCs w:val="24"/>
        </w:rPr>
        <w:t xml:space="preserve"> </w:t>
      </w:r>
      <w:r w:rsidR="008D45E3" w:rsidRPr="00FB5A28">
        <w:rPr>
          <w:rFonts w:ascii="Times New Roman" w:hAnsi="Times New Roman"/>
          <w:sz w:val="24"/>
          <w:szCs w:val="24"/>
        </w:rPr>
        <w:t>не</w:t>
      </w:r>
      <w:r w:rsidR="00823AD8" w:rsidRPr="00FB5A28">
        <w:rPr>
          <w:rFonts w:ascii="Times New Roman" w:hAnsi="Times New Roman"/>
          <w:sz w:val="24"/>
          <w:szCs w:val="24"/>
        </w:rPr>
        <w:t xml:space="preserve"> </w:t>
      </w:r>
      <w:r w:rsidR="008D45E3" w:rsidRPr="00FB5A28">
        <w:rPr>
          <w:rFonts w:ascii="Times New Roman" w:hAnsi="Times New Roman"/>
          <w:sz w:val="24"/>
          <w:szCs w:val="24"/>
        </w:rPr>
        <w:t>сматра</w:t>
      </w:r>
      <w:r w:rsidR="00823AD8" w:rsidRPr="00FB5A28">
        <w:rPr>
          <w:rFonts w:ascii="Times New Roman" w:hAnsi="Times New Roman"/>
          <w:sz w:val="24"/>
          <w:szCs w:val="24"/>
        </w:rPr>
        <w:t xml:space="preserve"> </w:t>
      </w:r>
      <w:r w:rsidR="008D45E3" w:rsidRPr="00FB5A28">
        <w:rPr>
          <w:rFonts w:ascii="Times New Roman" w:hAnsi="Times New Roman"/>
          <w:sz w:val="24"/>
          <w:szCs w:val="24"/>
        </w:rPr>
        <w:t>се</w:t>
      </w:r>
      <w:r w:rsidR="00823AD8" w:rsidRPr="00FB5A28">
        <w:rPr>
          <w:rFonts w:ascii="Times New Roman" w:hAnsi="Times New Roman"/>
          <w:sz w:val="24"/>
          <w:szCs w:val="24"/>
        </w:rPr>
        <w:t xml:space="preserve"> </w:t>
      </w:r>
      <w:r w:rsidR="008D45E3" w:rsidRPr="00FB5A28">
        <w:rPr>
          <w:rFonts w:ascii="Times New Roman" w:hAnsi="Times New Roman"/>
          <w:sz w:val="24"/>
          <w:szCs w:val="24"/>
        </w:rPr>
        <w:t>разлика</w:t>
      </w:r>
      <w:r w:rsidR="00823AD8" w:rsidRPr="00FB5A28">
        <w:rPr>
          <w:rFonts w:ascii="Times New Roman" w:hAnsi="Times New Roman"/>
          <w:sz w:val="24"/>
          <w:szCs w:val="24"/>
        </w:rPr>
        <w:t xml:space="preserve"> </w:t>
      </w:r>
      <w:r w:rsidR="008D45E3" w:rsidRPr="00FB5A28">
        <w:rPr>
          <w:rFonts w:ascii="Times New Roman" w:hAnsi="Times New Roman"/>
          <w:sz w:val="24"/>
          <w:szCs w:val="24"/>
        </w:rPr>
        <w:t>настала</w:t>
      </w:r>
      <w:r w:rsidR="00823AD8" w:rsidRPr="00FB5A28">
        <w:rPr>
          <w:rFonts w:ascii="Times New Roman" w:hAnsi="Times New Roman"/>
          <w:sz w:val="24"/>
          <w:szCs w:val="24"/>
        </w:rPr>
        <w:t xml:space="preserve"> </w:t>
      </w:r>
      <w:r w:rsidR="008D45E3" w:rsidRPr="00FB5A28">
        <w:rPr>
          <w:rFonts w:ascii="Times New Roman" w:hAnsi="Times New Roman"/>
          <w:sz w:val="24"/>
          <w:szCs w:val="24"/>
        </w:rPr>
        <w:t>преносом</w:t>
      </w:r>
      <w:r w:rsidR="00823AD8" w:rsidRPr="00FB5A28">
        <w:rPr>
          <w:rFonts w:ascii="Times New Roman" w:hAnsi="Times New Roman"/>
          <w:sz w:val="24"/>
          <w:szCs w:val="24"/>
        </w:rPr>
        <w:t xml:space="preserve"> </w:t>
      </w:r>
      <w:r w:rsidR="008D45E3" w:rsidRPr="00FB5A28">
        <w:rPr>
          <w:rFonts w:ascii="Times New Roman" w:hAnsi="Times New Roman"/>
          <w:sz w:val="24"/>
          <w:szCs w:val="24"/>
        </w:rPr>
        <w:t>права</w:t>
      </w:r>
      <w:r w:rsidR="00823AD8" w:rsidRPr="00FB5A28">
        <w:rPr>
          <w:rFonts w:ascii="Times New Roman" w:hAnsi="Times New Roman"/>
          <w:sz w:val="24"/>
          <w:szCs w:val="24"/>
        </w:rPr>
        <w:t xml:space="preserve">, </w:t>
      </w:r>
      <w:r w:rsidR="008D45E3" w:rsidRPr="00FB5A28">
        <w:rPr>
          <w:rFonts w:ascii="Times New Roman" w:hAnsi="Times New Roman"/>
          <w:sz w:val="24"/>
          <w:szCs w:val="24"/>
        </w:rPr>
        <w:t>удела</w:t>
      </w:r>
      <w:r w:rsidR="00823AD8" w:rsidRPr="00FB5A28">
        <w:rPr>
          <w:rFonts w:ascii="Times New Roman" w:hAnsi="Times New Roman"/>
          <w:sz w:val="24"/>
          <w:szCs w:val="24"/>
        </w:rPr>
        <w:t xml:space="preserve"> </w:t>
      </w:r>
      <w:r w:rsidR="008D45E3" w:rsidRPr="00FB5A28">
        <w:rPr>
          <w:rFonts w:ascii="Times New Roman" w:hAnsi="Times New Roman"/>
          <w:sz w:val="24"/>
          <w:szCs w:val="24"/>
        </w:rPr>
        <w:t>или</w:t>
      </w:r>
      <w:r w:rsidR="00823AD8" w:rsidRPr="00FB5A28">
        <w:rPr>
          <w:rFonts w:ascii="Times New Roman" w:hAnsi="Times New Roman"/>
          <w:sz w:val="24"/>
          <w:szCs w:val="24"/>
        </w:rPr>
        <w:t xml:space="preserve"> </w:t>
      </w:r>
      <w:r w:rsidR="008D45E3" w:rsidRPr="00FB5A28">
        <w:rPr>
          <w:rFonts w:ascii="Times New Roman" w:hAnsi="Times New Roman"/>
          <w:sz w:val="24"/>
          <w:szCs w:val="24"/>
        </w:rPr>
        <w:t>хартија</w:t>
      </w:r>
      <w:r w:rsidR="00823AD8" w:rsidRPr="00FB5A28">
        <w:rPr>
          <w:rFonts w:ascii="Times New Roman" w:hAnsi="Times New Roman"/>
          <w:sz w:val="24"/>
          <w:szCs w:val="24"/>
        </w:rPr>
        <w:t xml:space="preserve"> </w:t>
      </w:r>
      <w:r w:rsidR="008D45E3" w:rsidRPr="00FB5A28">
        <w:rPr>
          <w:rFonts w:ascii="Times New Roman" w:hAnsi="Times New Roman"/>
          <w:sz w:val="24"/>
          <w:szCs w:val="24"/>
        </w:rPr>
        <w:t>од</w:t>
      </w:r>
      <w:r w:rsidR="00823AD8" w:rsidRPr="00FB5A28">
        <w:rPr>
          <w:rFonts w:ascii="Times New Roman" w:hAnsi="Times New Roman"/>
          <w:sz w:val="24"/>
          <w:szCs w:val="24"/>
        </w:rPr>
        <w:t xml:space="preserve"> </w:t>
      </w:r>
      <w:r w:rsidR="008D45E3" w:rsidRPr="00FB5A28">
        <w:rPr>
          <w:rFonts w:ascii="Times New Roman" w:hAnsi="Times New Roman"/>
          <w:sz w:val="24"/>
          <w:szCs w:val="24"/>
        </w:rPr>
        <w:t>вредности</w:t>
      </w:r>
      <w:r w:rsidR="00823AD8" w:rsidRPr="00FB5A28">
        <w:rPr>
          <w:rFonts w:ascii="Times New Roman" w:hAnsi="Times New Roman"/>
          <w:sz w:val="24"/>
          <w:szCs w:val="24"/>
        </w:rPr>
        <w:t xml:space="preserve">, </w:t>
      </w:r>
      <w:r w:rsidR="008D45E3" w:rsidRPr="00FB5A28">
        <w:rPr>
          <w:rFonts w:ascii="Times New Roman" w:hAnsi="Times New Roman"/>
          <w:sz w:val="24"/>
          <w:szCs w:val="24"/>
        </w:rPr>
        <w:t>када</w:t>
      </w:r>
      <w:r w:rsidR="00823AD8" w:rsidRPr="00FB5A28">
        <w:rPr>
          <w:rFonts w:ascii="Times New Roman" w:hAnsi="Times New Roman"/>
          <w:sz w:val="24"/>
          <w:szCs w:val="24"/>
        </w:rPr>
        <w:t>:</w:t>
      </w:r>
    </w:p>
    <w:p w:rsidR="00823AD8" w:rsidRPr="00FB5A28" w:rsidRDefault="00823AD8" w:rsidP="00FB5A28">
      <w:pPr>
        <w:jc w:val="both"/>
        <w:rPr>
          <w:rFonts w:ascii="Times New Roman" w:hAnsi="Times New Roman"/>
          <w:sz w:val="24"/>
          <w:szCs w:val="24"/>
        </w:rPr>
      </w:pPr>
      <w:r w:rsidRPr="00FB5A28">
        <w:rPr>
          <w:rFonts w:ascii="Times New Roman" w:hAnsi="Times New Roman"/>
          <w:sz w:val="24"/>
          <w:szCs w:val="24"/>
        </w:rPr>
        <w:t xml:space="preserve">1) </w:t>
      </w:r>
      <w:r w:rsidR="008D45E3" w:rsidRPr="00FB5A28">
        <w:rPr>
          <w:rFonts w:ascii="Times New Roman" w:hAnsi="Times New Roman"/>
          <w:sz w:val="24"/>
          <w:szCs w:val="24"/>
        </w:rPr>
        <w:t>су</w:t>
      </w:r>
      <w:r w:rsidRPr="00FB5A28">
        <w:rPr>
          <w:rFonts w:ascii="Times New Roman" w:hAnsi="Times New Roman"/>
          <w:sz w:val="24"/>
          <w:szCs w:val="24"/>
        </w:rPr>
        <w:t xml:space="preserve"> </w:t>
      </w:r>
      <w:r w:rsidR="008D45E3" w:rsidRPr="00FB5A28">
        <w:rPr>
          <w:rFonts w:ascii="Times New Roman" w:hAnsi="Times New Roman"/>
          <w:sz w:val="24"/>
          <w:szCs w:val="24"/>
        </w:rPr>
        <w:t>стечени</w:t>
      </w:r>
      <w:r w:rsidRPr="00FB5A28">
        <w:rPr>
          <w:rFonts w:ascii="Times New Roman" w:hAnsi="Times New Roman"/>
          <w:sz w:val="24"/>
          <w:szCs w:val="24"/>
        </w:rPr>
        <w:t xml:space="preserve"> </w:t>
      </w:r>
      <w:r w:rsidR="008D45E3" w:rsidRPr="00FB5A28">
        <w:rPr>
          <w:rFonts w:ascii="Times New Roman" w:hAnsi="Times New Roman"/>
          <w:sz w:val="24"/>
          <w:szCs w:val="24"/>
        </w:rPr>
        <w:t>наслеђем</w:t>
      </w:r>
      <w:r w:rsidRPr="00FB5A28">
        <w:rPr>
          <w:rFonts w:ascii="Times New Roman" w:hAnsi="Times New Roman"/>
          <w:sz w:val="24"/>
          <w:szCs w:val="24"/>
        </w:rPr>
        <w:t xml:space="preserve"> </w:t>
      </w:r>
      <w:r w:rsidR="008D45E3" w:rsidRPr="00FB5A28">
        <w:rPr>
          <w:rFonts w:ascii="Times New Roman" w:hAnsi="Times New Roman"/>
          <w:sz w:val="24"/>
          <w:szCs w:val="24"/>
        </w:rPr>
        <w:t>у</w:t>
      </w:r>
      <w:r w:rsidRPr="00FB5A28">
        <w:rPr>
          <w:rFonts w:ascii="Times New Roman" w:hAnsi="Times New Roman"/>
          <w:sz w:val="24"/>
          <w:szCs w:val="24"/>
        </w:rPr>
        <w:t xml:space="preserve"> </w:t>
      </w:r>
      <w:r w:rsidR="008D45E3" w:rsidRPr="00FB5A28">
        <w:rPr>
          <w:rFonts w:ascii="Times New Roman" w:hAnsi="Times New Roman"/>
          <w:sz w:val="24"/>
          <w:szCs w:val="24"/>
        </w:rPr>
        <w:t>првом</w:t>
      </w:r>
      <w:r w:rsidRPr="00FB5A28">
        <w:rPr>
          <w:rFonts w:ascii="Times New Roman" w:hAnsi="Times New Roman"/>
          <w:sz w:val="24"/>
          <w:szCs w:val="24"/>
        </w:rPr>
        <w:t xml:space="preserve"> </w:t>
      </w:r>
      <w:r w:rsidR="008D45E3" w:rsidRPr="00FB5A28">
        <w:rPr>
          <w:rFonts w:ascii="Times New Roman" w:hAnsi="Times New Roman"/>
          <w:sz w:val="24"/>
          <w:szCs w:val="24"/>
        </w:rPr>
        <w:t>наследном</w:t>
      </w:r>
      <w:r w:rsidRPr="00FB5A28">
        <w:rPr>
          <w:rFonts w:ascii="Times New Roman" w:hAnsi="Times New Roman"/>
          <w:sz w:val="24"/>
          <w:szCs w:val="24"/>
        </w:rPr>
        <w:t xml:space="preserve"> </w:t>
      </w:r>
      <w:r w:rsidR="008D45E3" w:rsidRPr="00FB5A28">
        <w:rPr>
          <w:rFonts w:ascii="Times New Roman" w:hAnsi="Times New Roman"/>
          <w:sz w:val="24"/>
          <w:szCs w:val="24"/>
        </w:rPr>
        <w:t>реду</w:t>
      </w:r>
      <w:r w:rsidRPr="00FB5A28">
        <w:rPr>
          <w:rFonts w:ascii="Times New Roman" w:hAnsi="Times New Roman"/>
          <w:sz w:val="24"/>
          <w:szCs w:val="24"/>
        </w:rPr>
        <w:t>;</w:t>
      </w:r>
    </w:p>
    <w:p w:rsidR="00823AD8" w:rsidRPr="00FB5A28" w:rsidRDefault="00823AD8" w:rsidP="00FB5A28">
      <w:pPr>
        <w:jc w:val="both"/>
        <w:rPr>
          <w:rFonts w:ascii="Times New Roman" w:hAnsi="Times New Roman"/>
          <w:sz w:val="24"/>
          <w:szCs w:val="24"/>
        </w:rPr>
      </w:pPr>
      <w:r w:rsidRPr="00FB5A28">
        <w:rPr>
          <w:rFonts w:ascii="Times New Roman" w:hAnsi="Times New Roman"/>
          <w:sz w:val="24"/>
          <w:szCs w:val="24"/>
        </w:rPr>
        <w:t xml:space="preserve">2) </w:t>
      </w:r>
      <w:r w:rsidR="008D45E3" w:rsidRPr="00FB5A28">
        <w:rPr>
          <w:rFonts w:ascii="Times New Roman" w:hAnsi="Times New Roman"/>
          <w:sz w:val="24"/>
          <w:szCs w:val="24"/>
        </w:rPr>
        <w:t>се</w:t>
      </w:r>
      <w:r w:rsidRPr="00FB5A28">
        <w:rPr>
          <w:rFonts w:ascii="Times New Roman" w:hAnsi="Times New Roman"/>
          <w:sz w:val="24"/>
          <w:szCs w:val="24"/>
        </w:rPr>
        <w:t xml:space="preserve"> </w:t>
      </w:r>
      <w:r w:rsidR="008D45E3" w:rsidRPr="00FB5A28">
        <w:rPr>
          <w:rFonts w:ascii="Times New Roman" w:hAnsi="Times New Roman"/>
          <w:sz w:val="24"/>
          <w:szCs w:val="24"/>
        </w:rPr>
        <w:t>пренос</w:t>
      </w:r>
      <w:r w:rsidRPr="00FB5A28">
        <w:rPr>
          <w:rFonts w:ascii="Times New Roman" w:hAnsi="Times New Roman"/>
          <w:sz w:val="24"/>
          <w:szCs w:val="24"/>
        </w:rPr>
        <w:t xml:space="preserve"> </w:t>
      </w:r>
      <w:r w:rsidR="008D45E3" w:rsidRPr="00FB5A28">
        <w:rPr>
          <w:rFonts w:ascii="Times New Roman" w:hAnsi="Times New Roman"/>
          <w:sz w:val="24"/>
          <w:szCs w:val="24"/>
        </w:rPr>
        <w:t>врши</w:t>
      </w:r>
      <w:r w:rsidRPr="00FB5A28">
        <w:rPr>
          <w:rFonts w:ascii="Times New Roman" w:hAnsi="Times New Roman"/>
          <w:sz w:val="24"/>
          <w:szCs w:val="24"/>
        </w:rPr>
        <w:t xml:space="preserve"> </w:t>
      </w:r>
      <w:r w:rsidR="008D45E3" w:rsidRPr="00FB5A28">
        <w:rPr>
          <w:rFonts w:ascii="Times New Roman" w:hAnsi="Times New Roman"/>
          <w:sz w:val="24"/>
          <w:szCs w:val="24"/>
        </w:rPr>
        <w:t>између</w:t>
      </w:r>
      <w:r w:rsidRPr="00FB5A28">
        <w:rPr>
          <w:rFonts w:ascii="Times New Roman" w:hAnsi="Times New Roman"/>
          <w:sz w:val="24"/>
          <w:szCs w:val="24"/>
        </w:rPr>
        <w:t xml:space="preserve"> </w:t>
      </w:r>
      <w:r w:rsidR="008D45E3" w:rsidRPr="00FB5A28">
        <w:rPr>
          <w:rFonts w:ascii="Times New Roman" w:hAnsi="Times New Roman"/>
          <w:sz w:val="24"/>
          <w:szCs w:val="24"/>
        </w:rPr>
        <w:t>брачних</w:t>
      </w:r>
      <w:r w:rsidRPr="00FB5A28">
        <w:rPr>
          <w:rFonts w:ascii="Times New Roman" w:hAnsi="Times New Roman"/>
          <w:sz w:val="24"/>
          <w:szCs w:val="24"/>
        </w:rPr>
        <w:t xml:space="preserve"> </w:t>
      </w:r>
      <w:r w:rsidR="008D45E3" w:rsidRPr="00FB5A28">
        <w:rPr>
          <w:rFonts w:ascii="Times New Roman" w:hAnsi="Times New Roman"/>
          <w:sz w:val="24"/>
          <w:szCs w:val="24"/>
        </w:rPr>
        <w:t>другова</w:t>
      </w:r>
      <w:r w:rsidRPr="00FB5A28">
        <w:rPr>
          <w:rFonts w:ascii="Times New Roman" w:hAnsi="Times New Roman"/>
          <w:sz w:val="24"/>
          <w:szCs w:val="24"/>
        </w:rPr>
        <w:t xml:space="preserve"> </w:t>
      </w:r>
      <w:r w:rsidR="008D45E3" w:rsidRPr="00FB5A28">
        <w:rPr>
          <w:rFonts w:ascii="Times New Roman" w:hAnsi="Times New Roman"/>
          <w:sz w:val="24"/>
          <w:szCs w:val="24"/>
        </w:rPr>
        <w:t>и</w:t>
      </w:r>
      <w:r w:rsidRPr="00FB5A28">
        <w:rPr>
          <w:rFonts w:ascii="Times New Roman" w:hAnsi="Times New Roman"/>
          <w:sz w:val="24"/>
          <w:szCs w:val="24"/>
        </w:rPr>
        <w:t xml:space="preserve"> </w:t>
      </w:r>
      <w:r w:rsidR="008D45E3" w:rsidRPr="00FB5A28">
        <w:rPr>
          <w:rFonts w:ascii="Times New Roman" w:hAnsi="Times New Roman"/>
          <w:sz w:val="24"/>
          <w:szCs w:val="24"/>
        </w:rPr>
        <w:t>крвних</w:t>
      </w:r>
      <w:r w:rsidRPr="00FB5A28">
        <w:rPr>
          <w:rFonts w:ascii="Times New Roman" w:hAnsi="Times New Roman"/>
          <w:sz w:val="24"/>
          <w:szCs w:val="24"/>
        </w:rPr>
        <w:t xml:space="preserve"> </w:t>
      </w:r>
      <w:r w:rsidR="008D45E3" w:rsidRPr="00FB5A28">
        <w:rPr>
          <w:rFonts w:ascii="Times New Roman" w:hAnsi="Times New Roman"/>
          <w:sz w:val="24"/>
          <w:szCs w:val="24"/>
        </w:rPr>
        <w:t>сродника</w:t>
      </w:r>
      <w:r w:rsidRPr="00FB5A28">
        <w:rPr>
          <w:rFonts w:ascii="Times New Roman" w:hAnsi="Times New Roman"/>
          <w:sz w:val="24"/>
          <w:szCs w:val="24"/>
        </w:rPr>
        <w:t xml:space="preserve"> </w:t>
      </w:r>
      <w:r w:rsidR="008D45E3" w:rsidRPr="00FB5A28">
        <w:rPr>
          <w:rFonts w:ascii="Times New Roman" w:hAnsi="Times New Roman"/>
          <w:sz w:val="24"/>
          <w:szCs w:val="24"/>
        </w:rPr>
        <w:t>у</w:t>
      </w:r>
      <w:r w:rsidRPr="00FB5A28">
        <w:rPr>
          <w:rFonts w:ascii="Times New Roman" w:hAnsi="Times New Roman"/>
          <w:sz w:val="24"/>
          <w:szCs w:val="24"/>
        </w:rPr>
        <w:t xml:space="preserve"> </w:t>
      </w:r>
      <w:r w:rsidR="008D45E3" w:rsidRPr="00FB5A28">
        <w:rPr>
          <w:rFonts w:ascii="Times New Roman" w:hAnsi="Times New Roman"/>
          <w:sz w:val="24"/>
          <w:szCs w:val="24"/>
        </w:rPr>
        <w:t>правој</w:t>
      </w:r>
      <w:r w:rsidRPr="00FB5A28">
        <w:rPr>
          <w:rFonts w:ascii="Times New Roman" w:hAnsi="Times New Roman"/>
          <w:sz w:val="24"/>
          <w:szCs w:val="24"/>
        </w:rPr>
        <w:t xml:space="preserve"> </w:t>
      </w:r>
      <w:r w:rsidR="008D45E3" w:rsidRPr="00FB5A28">
        <w:rPr>
          <w:rFonts w:ascii="Times New Roman" w:hAnsi="Times New Roman"/>
          <w:sz w:val="24"/>
          <w:szCs w:val="24"/>
        </w:rPr>
        <w:t>линији</w:t>
      </w:r>
      <w:r w:rsidRPr="00FB5A28">
        <w:rPr>
          <w:rFonts w:ascii="Times New Roman" w:hAnsi="Times New Roman"/>
          <w:sz w:val="24"/>
          <w:szCs w:val="24"/>
        </w:rPr>
        <w:t>;</w:t>
      </w:r>
    </w:p>
    <w:p w:rsidR="00823AD8" w:rsidRPr="00FB5A28" w:rsidRDefault="00823AD8" w:rsidP="00FB5A28">
      <w:pPr>
        <w:jc w:val="both"/>
        <w:rPr>
          <w:rFonts w:ascii="Times New Roman" w:hAnsi="Times New Roman"/>
          <w:sz w:val="24"/>
          <w:szCs w:val="24"/>
        </w:rPr>
      </w:pPr>
      <w:r w:rsidRPr="00FB5A28">
        <w:rPr>
          <w:rFonts w:ascii="Times New Roman" w:hAnsi="Times New Roman"/>
          <w:sz w:val="24"/>
          <w:szCs w:val="24"/>
        </w:rPr>
        <w:t xml:space="preserve">3) </w:t>
      </w:r>
      <w:r w:rsidR="008D45E3" w:rsidRPr="00FB5A28">
        <w:rPr>
          <w:rFonts w:ascii="Times New Roman" w:hAnsi="Times New Roman"/>
          <w:sz w:val="24"/>
          <w:szCs w:val="24"/>
        </w:rPr>
        <w:t>се</w:t>
      </w:r>
      <w:r w:rsidRPr="00FB5A28">
        <w:rPr>
          <w:rFonts w:ascii="Times New Roman" w:hAnsi="Times New Roman"/>
          <w:sz w:val="24"/>
          <w:szCs w:val="24"/>
        </w:rPr>
        <w:t xml:space="preserve"> </w:t>
      </w:r>
      <w:r w:rsidR="008D45E3" w:rsidRPr="00FB5A28">
        <w:rPr>
          <w:rFonts w:ascii="Times New Roman" w:hAnsi="Times New Roman"/>
          <w:sz w:val="24"/>
          <w:szCs w:val="24"/>
        </w:rPr>
        <w:t>пренос</w:t>
      </w:r>
      <w:r w:rsidRPr="00FB5A28">
        <w:rPr>
          <w:rFonts w:ascii="Times New Roman" w:hAnsi="Times New Roman"/>
          <w:sz w:val="24"/>
          <w:szCs w:val="24"/>
        </w:rPr>
        <w:t xml:space="preserve"> </w:t>
      </w:r>
      <w:r w:rsidR="008D45E3" w:rsidRPr="00FB5A28">
        <w:rPr>
          <w:rFonts w:ascii="Times New Roman" w:hAnsi="Times New Roman"/>
          <w:sz w:val="24"/>
          <w:szCs w:val="24"/>
        </w:rPr>
        <w:t>врши</w:t>
      </w:r>
      <w:r w:rsidRPr="00FB5A28">
        <w:rPr>
          <w:rFonts w:ascii="Times New Roman" w:hAnsi="Times New Roman"/>
          <w:sz w:val="24"/>
          <w:szCs w:val="24"/>
        </w:rPr>
        <w:t xml:space="preserve"> </w:t>
      </w:r>
      <w:r w:rsidR="008D45E3" w:rsidRPr="00FB5A28">
        <w:rPr>
          <w:rFonts w:ascii="Times New Roman" w:hAnsi="Times New Roman"/>
          <w:sz w:val="24"/>
          <w:szCs w:val="24"/>
        </w:rPr>
        <w:t>између</w:t>
      </w:r>
      <w:r w:rsidRPr="00FB5A28">
        <w:rPr>
          <w:rFonts w:ascii="Times New Roman" w:hAnsi="Times New Roman"/>
          <w:sz w:val="24"/>
          <w:szCs w:val="24"/>
        </w:rPr>
        <w:t xml:space="preserve"> </w:t>
      </w:r>
      <w:r w:rsidR="008D45E3" w:rsidRPr="00FB5A28">
        <w:rPr>
          <w:rFonts w:ascii="Times New Roman" w:hAnsi="Times New Roman"/>
          <w:sz w:val="24"/>
          <w:szCs w:val="24"/>
        </w:rPr>
        <w:t>разведених</w:t>
      </w:r>
      <w:r w:rsidRPr="00FB5A28">
        <w:rPr>
          <w:rFonts w:ascii="Times New Roman" w:hAnsi="Times New Roman"/>
          <w:sz w:val="24"/>
          <w:szCs w:val="24"/>
        </w:rPr>
        <w:t xml:space="preserve"> </w:t>
      </w:r>
      <w:r w:rsidR="008D45E3" w:rsidRPr="00FB5A28">
        <w:rPr>
          <w:rFonts w:ascii="Times New Roman" w:hAnsi="Times New Roman"/>
          <w:sz w:val="24"/>
          <w:szCs w:val="24"/>
        </w:rPr>
        <w:t>брачних</w:t>
      </w:r>
      <w:r w:rsidRPr="00FB5A28">
        <w:rPr>
          <w:rFonts w:ascii="Times New Roman" w:hAnsi="Times New Roman"/>
          <w:sz w:val="24"/>
          <w:szCs w:val="24"/>
        </w:rPr>
        <w:t xml:space="preserve"> </w:t>
      </w:r>
      <w:r w:rsidR="008D45E3" w:rsidRPr="00FB5A28">
        <w:rPr>
          <w:rFonts w:ascii="Times New Roman" w:hAnsi="Times New Roman"/>
          <w:sz w:val="24"/>
          <w:szCs w:val="24"/>
        </w:rPr>
        <w:t>другова</w:t>
      </w:r>
      <w:r w:rsidRPr="00FB5A28">
        <w:rPr>
          <w:rFonts w:ascii="Times New Roman" w:hAnsi="Times New Roman"/>
          <w:sz w:val="24"/>
          <w:szCs w:val="24"/>
        </w:rPr>
        <w:t xml:space="preserve">, </w:t>
      </w:r>
      <w:r w:rsidR="008D45E3" w:rsidRPr="00FB5A28">
        <w:rPr>
          <w:rFonts w:ascii="Times New Roman" w:hAnsi="Times New Roman"/>
          <w:sz w:val="24"/>
          <w:szCs w:val="24"/>
        </w:rPr>
        <w:t>а</w:t>
      </w:r>
      <w:r w:rsidRPr="00FB5A28">
        <w:rPr>
          <w:rFonts w:ascii="Times New Roman" w:hAnsi="Times New Roman"/>
          <w:sz w:val="24"/>
          <w:szCs w:val="24"/>
        </w:rPr>
        <w:t xml:space="preserve"> </w:t>
      </w:r>
      <w:r w:rsidR="008D45E3" w:rsidRPr="00FB5A28">
        <w:rPr>
          <w:rFonts w:ascii="Times New Roman" w:hAnsi="Times New Roman"/>
          <w:sz w:val="24"/>
          <w:szCs w:val="24"/>
        </w:rPr>
        <w:t>у</w:t>
      </w:r>
      <w:r w:rsidRPr="00FB5A28">
        <w:rPr>
          <w:rFonts w:ascii="Times New Roman" w:hAnsi="Times New Roman"/>
          <w:sz w:val="24"/>
          <w:szCs w:val="24"/>
        </w:rPr>
        <w:t xml:space="preserve"> </w:t>
      </w:r>
      <w:r w:rsidR="008D45E3" w:rsidRPr="00FB5A28">
        <w:rPr>
          <w:rFonts w:ascii="Times New Roman" w:hAnsi="Times New Roman"/>
          <w:sz w:val="24"/>
          <w:szCs w:val="24"/>
        </w:rPr>
        <w:t>непосредној</w:t>
      </w:r>
      <w:r w:rsidRPr="00FB5A28">
        <w:rPr>
          <w:rFonts w:ascii="Times New Roman" w:hAnsi="Times New Roman"/>
          <w:sz w:val="24"/>
          <w:szCs w:val="24"/>
        </w:rPr>
        <w:t xml:space="preserve"> </w:t>
      </w:r>
      <w:r w:rsidR="008D45E3" w:rsidRPr="00FB5A28">
        <w:rPr>
          <w:rFonts w:ascii="Times New Roman" w:hAnsi="Times New Roman"/>
          <w:sz w:val="24"/>
          <w:szCs w:val="24"/>
        </w:rPr>
        <w:t>је</w:t>
      </w:r>
      <w:r w:rsidRPr="00FB5A28">
        <w:rPr>
          <w:rFonts w:ascii="Times New Roman" w:hAnsi="Times New Roman"/>
          <w:sz w:val="24"/>
          <w:szCs w:val="24"/>
        </w:rPr>
        <w:t xml:space="preserve"> </w:t>
      </w:r>
      <w:r w:rsidR="008D45E3" w:rsidRPr="00FB5A28">
        <w:rPr>
          <w:rFonts w:ascii="Times New Roman" w:hAnsi="Times New Roman"/>
          <w:sz w:val="24"/>
          <w:szCs w:val="24"/>
        </w:rPr>
        <w:t>вези</w:t>
      </w:r>
      <w:r w:rsidRPr="00FB5A28">
        <w:rPr>
          <w:rFonts w:ascii="Times New Roman" w:hAnsi="Times New Roman"/>
          <w:sz w:val="24"/>
          <w:szCs w:val="24"/>
        </w:rPr>
        <w:t xml:space="preserve"> </w:t>
      </w:r>
      <w:r w:rsidR="008D45E3" w:rsidRPr="00FB5A28">
        <w:rPr>
          <w:rFonts w:ascii="Times New Roman" w:hAnsi="Times New Roman"/>
          <w:sz w:val="24"/>
          <w:szCs w:val="24"/>
        </w:rPr>
        <w:t>са</w:t>
      </w:r>
      <w:r w:rsidRPr="00FB5A28">
        <w:rPr>
          <w:rFonts w:ascii="Times New Roman" w:hAnsi="Times New Roman"/>
          <w:sz w:val="24"/>
          <w:szCs w:val="24"/>
        </w:rPr>
        <w:t xml:space="preserve"> </w:t>
      </w:r>
      <w:r w:rsidR="008D45E3" w:rsidRPr="00FB5A28">
        <w:rPr>
          <w:rFonts w:ascii="Times New Roman" w:hAnsi="Times New Roman"/>
          <w:sz w:val="24"/>
          <w:szCs w:val="24"/>
        </w:rPr>
        <w:t>разводом</w:t>
      </w:r>
      <w:r w:rsidRPr="00FB5A28">
        <w:rPr>
          <w:rFonts w:ascii="Times New Roman" w:hAnsi="Times New Roman"/>
          <w:sz w:val="24"/>
          <w:szCs w:val="24"/>
        </w:rPr>
        <w:t xml:space="preserve"> </w:t>
      </w:r>
      <w:r w:rsidR="008D45E3" w:rsidRPr="00FB5A28">
        <w:rPr>
          <w:rFonts w:ascii="Times New Roman" w:hAnsi="Times New Roman"/>
          <w:sz w:val="24"/>
          <w:szCs w:val="24"/>
        </w:rPr>
        <w:t>брака</w:t>
      </w:r>
      <w:r w:rsidRPr="00FB5A28">
        <w:rPr>
          <w:rFonts w:ascii="Times New Roman" w:hAnsi="Times New Roman"/>
          <w:sz w:val="24"/>
          <w:szCs w:val="24"/>
        </w:rPr>
        <w:t>;</w:t>
      </w:r>
    </w:p>
    <w:p w:rsidR="00823AD8" w:rsidRPr="00FB5A28" w:rsidRDefault="00823AD8" w:rsidP="00FB5A28">
      <w:pPr>
        <w:jc w:val="both"/>
        <w:rPr>
          <w:rFonts w:ascii="Times New Roman" w:hAnsi="Times New Roman"/>
          <w:sz w:val="24"/>
          <w:szCs w:val="24"/>
        </w:rPr>
      </w:pPr>
      <w:r w:rsidRPr="00FB5A28">
        <w:rPr>
          <w:rFonts w:ascii="Times New Roman" w:hAnsi="Times New Roman"/>
          <w:sz w:val="24"/>
          <w:szCs w:val="24"/>
        </w:rPr>
        <w:t xml:space="preserve">4) </w:t>
      </w:r>
      <w:r w:rsidR="008D45E3" w:rsidRPr="00FB5A28">
        <w:rPr>
          <w:rFonts w:ascii="Times New Roman" w:hAnsi="Times New Roman"/>
          <w:sz w:val="24"/>
          <w:szCs w:val="24"/>
        </w:rPr>
        <w:t>се</w:t>
      </w:r>
      <w:r w:rsidRPr="00FB5A28">
        <w:rPr>
          <w:rFonts w:ascii="Times New Roman" w:hAnsi="Times New Roman"/>
          <w:sz w:val="24"/>
          <w:szCs w:val="24"/>
        </w:rPr>
        <w:t xml:space="preserve"> </w:t>
      </w:r>
      <w:r w:rsidR="008D45E3" w:rsidRPr="00FB5A28">
        <w:rPr>
          <w:rFonts w:ascii="Times New Roman" w:hAnsi="Times New Roman"/>
          <w:sz w:val="24"/>
          <w:szCs w:val="24"/>
        </w:rPr>
        <w:t>врши</w:t>
      </w:r>
      <w:r w:rsidRPr="00FB5A28">
        <w:rPr>
          <w:rFonts w:ascii="Times New Roman" w:hAnsi="Times New Roman"/>
          <w:sz w:val="24"/>
          <w:szCs w:val="24"/>
        </w:rPr>
        <w:t xml:space="preserve"> </w:t>
      </w:r>
      <w:r w:rsidR="008D45E3" w:rsidRPr="00FB5A28">
        <w:rPr>
          <w:rFonts w:ascii="Times New Roman" w:hAnsi="Times New Roman"/>
          <w:sz w:val="24"/>
          <w:szCs w:val="24"/>
        </w:rPr>
        <w:t>пренос</w:t>
      </w:r>
      <w:r w:rsidRPr="00FB5A28">
        <w:rPr>
          <w:rFonts w:ascii="Times New Roman" w:hAnsi="Times New Roman"/>
          <w:sz w:val="24"/>
          <w:szCs w:val="24"/>
        </w:rPr>
        <w:t xml:space="preserve"> </w:t>
      </w:r>
      <w:r w:rsidR="008D45E3" w:rsidRPr="00FB5A28">
        <w:rPr>
          <w:rFonts w:ascii="Times New Roman" w:hAnsi="Times New Roman"/>
          <w:sz w:val="24"/>
          <w:szCs w:val="24"/>
        </w:rPr>
        <w:t>дужничких</w:t>
      </w:r>
      <w:r w:rsidRPr="00FB5A28">
        <w:rPr>
          <w:rFonts w:ascii="Times New Roman" w:hAnsi="Times New Roman"/>
          <w:sz w:val="24"/>
          <w:szCs w:val="24"/>
        </w:rPr>
        <w:t xml:space="preserve"> </w:t>
      </w:r>
      <w:r w:rsidR="008D45E3" w:rsidRPr="00FB5A28">
        <w:rPr>
          <w:rFonts w:ascii="Times New Roman" w:hAnsi="Times New Roman"/>
          <w:sz w:val="24"/>
          <w:szCs w:val="24"/>
        </w:rPr>
        <w:t>хартија</w:t>
      </w:r>
      <w:r w:rsidRPr="00FB5A28">
        <w:rPr>
          <w:rFonts w:ascii="Times New Roman" w:hAnsi="Times New Roman"/>
          <w:sz w:val="24"/>
          <w:szCs w:val="24"/>
        </w:rPr>
        <w:t xml:space="preserve"> </w:t>
      </w:r>
      <w:r w:rsidR="008D45E3" w:rsidRPr="00FB5A28">
        <w:rPr>
          <w:rFonts w:ascii="Times New Roman" w:hAnsi="Times New Roman"/>
          <w:sz w:val="24"/>
          <w:szCs w:val="24"/>
        </w:rPr>
        <w:t>од</w:t>
      </w:r>
      <w:r w:rsidRPr="00FB5A28">
        <w:rPr>
          <w:rFonts w:ascii="Times New Roman" w:hAnsi="Times New Roman"/>
          <w:sz w:val="24"/>
          <w:szCs w:val="24"/>
        </w:rPr>
        <w:t xml:space="preserve"> </w:t>
      </w:r>
      <w:r w:rsidR="008D45E3" w:rsidRPr="00FB5A28">
        <w:rPr>
          <w:rFonts w:ascii="Times New Roman" w:hAnsi="Times New Roman"/>
          <w:sz w:val="24"/>
          <w:szCs w:val="24"/>
        </w:rPr>
        <w:t>вредности</w:t>
      </w:r>
      <w:r w:rsidRPr="00FB5A28">
        <w:rPr>
          <w:rFonts w:ascii="Times New Roman" w:hAnsi="Times New Roman"/>
          <w:sz w:val="24"/>
          <w:szCs w:val="24"/>
        </w:rPr>
        <w:t xml:space="preserve"> </w:t>
      </w:r>
      <w:r w:rsidR="008D45E3" w:rsidRPr="00FB5A28">
        <w:rPr>
          <w:rFonts w:ascii="Times New Roman" w:hAnsi="Times New Roman"/>
          <w:sz w:val="24"/>
          <w:szCs w:val="24"/>
        </w:rPr>
        <w:t>чији</w:t>
      </w:r>
      <w:r w:rsidRPr="00FB5A28">
        <w:rPr>
          <w:rFonts w:ascii="Times New Roman" w:hAnsi="Times New Roman"/>
          <w:sz w:val="24"/>
          <w:szCs w:val="24"/>
        </w:rPr>
        <w:t xml:space="preserve"> </w:t>
      </w:r>
      <w:r w:rsidR="008D45E3" w:rsidRPr="00FB5A28">
        <w:rPr>
          <w:rFonts w:ascii="Times New Roman" w:hAnsi="Times New Roman"/>
          <w:sz w:val="24"/>
          <w:szCs w:val="24"/>
        </w:rPr>
        <w:t>је</w:t>
      </w:r>
      <w:r w:rsidRPr="00FB5A28">
        <w:rPr>
          <w:rFonts w:ascii="Times New Roman" w:hAnsi="Times New Roman"/>
          <w:sz w:val="24"/>
          <w:szCs w:val="24"/>
        </w:rPr>
        <w:t xml:space="preserve"> </w:t>
      </w:r>
      <w:r w:rsidR="008D45E3" w:rsidRPr="00FB5A28">
        <w:rPr>
          <w:rFonts w:ascii="Times New Roman" w:hAnsi="Times New Roman"/>
          <w:sz w:val="24"/>
          <w:szCs w:val="24"/>
        </w:rPr>
        <w:t>издавалац</w:t>
      </w:r>
      <w:r w:rsidRPr="00FB5A28">
        <w:rPr>
          <w:rFonts w:ascii="Times New Roman" w:hAnsi="Times New Roman"/>
          <w:sz w:val="24"/>
          <w:szCs w:val="24"/>
        </w:rPr>
        <w:t xml:space="preserve"> </w:t>
      </w:r>
      <w:r w:rsidR="008D45E3" w:rsidRPr="00FB5A28">
        <w:rPr>
          <w:rFonts w:ascii="Times New Roman" w:hAnsi="Times New Roman"/>
          <w:sz w:val="24"/>
          <w:szCs w:val="24"/>
        </w:rPr>
        <w:t>Република</w:t>
      </w:r>
      <w:r w:rsidRPr="00FB5A28">
        <w:rPr>
          <w:rFonts w:ascii="Times New Roman" w:hAnsi="Times New Roman"/>
          <w:sz w:val="24"/>
          <w:szCs w:val="24"/>
        </w:rPr>
        <w:t xml:space="preserve">, </w:t>
      </w:r>
      <w:r w:rsidR="008D45E3" w:rsidRPr="00FB5A28">
        <w:rPr>
          <w:rFonts w:ascii="Times New Roman" w:hAnsi="Times New Roman"/>
          <w:sz w:val="24"/>
          <w:szCs w:val="24"/>
        </w:rPr>
        <w:t>Аутономна</w:t>
      </w:r>
      <w:r w:rsidRPr="00FB5A28">
        <w:rPr>
          <w:rFonts w:ascii="Times New Roman" w:hAnsi="Times New Roman"/>
          <w:sz w:val="24"/>
          <w:szCs w:val="24"/>
        </w:rPr>
        <w:t xml:space="preserve"> </w:t>
      </w:r>
      <w:r w:rsidR="008D45E3" w:rsidRPr="00FB5A28">
        <w:rPr>
          <w:rFonts w:ascii="Times New Roman" w:hAnsi="Times New Roman"/>
          <w:sz w:val="24"/>
          <w:szCs w:val="24"/>
        </w:rPr>
        <w:t>покрајина</w:t>
      </w:r>
      <w:r w:rsidRPr="00FB5A28">
        <w:rPr>
          <w:rFonts w:ascii="Times New Roman" w:hAnsi="Times New Roman"/>
          <w:sz w:val="24"/>
          <w:szCs w:val="24"/>
        </w:rPr>
        <w:t xml:space="preserve">, </w:t>
      </w:r>
      <w:r w:rsidR="008D45E3" w:rsidRPr="00FB5A28">
        <w:rPr>
          <w:rFonts w:ascii="Times New Roman" w:hAnsi="Times New Roman"/>
          <w:sz w:val="24"/>
          <w:szCs w:val="24"/>
        </w:rPr>
        <w:t>јединица</w:t>
      </w:r>
      <w:r w:rsidRPr="00FB5A28">
        <w:rPr>
          <w:rFonts w:ascii="Times New Roman" w:hAnsi="Times New Roman"/>
          <w:sz w:val="24"/>
          <w:szCs w:val="24"/>
        </w:rPr>
        <w:t xml:space="preserve"> </w:t>
      </w:r>
      <w:r w:rsidR="008D45E3" w:rsidRPr="00FB5A28">
        <w:rPr>
          <w:rFonts w:ascii="Times New Roman" w:hAnsi="Times New Roman"/>
          <w:sz w:val="24"/>
          <w:szCs w:val="24"/>
        </w:rPr>
        <w:t>локалне</w:t>
      </w:r>
      <w:r w:rsidRPr="00FB5A28">
        <w:rPr>
          <w:rFonts w:ascii="Times New Roman" w:hAnsi="Times New Roman"/>
          <w:sz w:val="24"/>
          <w:szCs w:val="24"/>
        </w:rPr>
        <w:t xml:space="preserve"> </w:t>
      </w:r>
      <w:r w:rsidR="008D45E3" w:rsidRPr="00FB5A28">
        <w:rPr>
          <w:rFonts w:ascii="Times New Roman" w:hAnsi="Times New Roman"/>
          <w:sz w:val="24"/>
          <w:szCs w:val="24"/>
        </w:rPr>
        <w:t>самоуправе</w:t>
      </w:r>
      <w:r w:rsidRPr="00FB5A28">
        <w:rPr>
          <w:rFonts w:ascii="Times New Roman" w:hAnsi="Times New Roman"/>
          <w:sz w:val="24"/>
          <w:szCs w:val="24"/>
        </w:rPr>
        <w:t xml:space="preserve"> </w:t>
      </w:r>
      <w:r w:rsidR="008D45E3" w:rsidRPr="00FB5A28">
        <w:rPr>
          <w:rFonts w:ascii="Times New Roman" w:hAnsi="Times New Roman"/>
          <w:sz w:val="24"/>
          <w:szCs w:val="24"/>
        </w:rPr>
        <w:t>или</w:t>
      </w:r>
      <w:r w:rsidRPr="00FB5A28">
        <w:rPr>
          <w:rFonts w:ascii="Times New Roman" w:hAnsi="Times New Roman"/>
          <w:sz w:val="24"/>
          <w:szCs w:val="24"/>
        </w:rPr>
        <w:t xml:space="preserve"> </w:t>
      </w:r>
      <w:r w:rsidR="008D45E3" w:rsidRPr="00FB5A28">
        <w:rPr>
          <w:rFonts w:ascii="Times New Roman" w:hAnsi="Times New Roman"/>
          <w:sz w:val="24"/>
          <w:szCs w:val="24"/>
        </w:rPr>
        <w:t>Народна</w:t>
      </w:r>
      <w:r w:rsidRPr="00FB5A28">
        <w:rPr>
          <w:rFonts w:ascii="Times New Roman" w:hAnsi="Times New Roman"/>
          <w:sz w:val="24"/>
          <w:szCs w:val="24"/>
        </w:rPr>
        <w:t xml:space="preserve"> </w:t>
      </w:r>
      <w:r w:rsidR="008D45E3" w:rsidRPr="00FB5A28">
        <w:rPr>
          <w:rFonts w:ascii="Times New Roman" w:hAnsi="Times New Roman"/>
          <w:sz w:val="24"/>
          <w:szCs w:val="24"/>
        </w:rPr>
        <w:t>банка</w:t>
      </w:r>
      <w:r w:rsidRPr="00FB5A28">
        <w:rPr>
          <w:rFonts w:ascii="Times New Roman" w:hAnsi="Times New Roman"/>
          <w:sz w:val="24"/>
          <w:szCs w:val="24"/>
        </w:rPr>
        <w:t xml:space="preserve"> </w:t>
      </w:r>
      <w:r w:rsidR="008D45E3" w:rsidRPr="00FB5A28">
        <w:rPr>
          <w:rFonts w:ascii="Times New Roman" w:hAnsi="Times New Roman"/>
          <w:sz w:val="24"/>
          <w:szCs w:val="24"/>
        </w:rPr>
        <w:t>Србије</w:t>
      </w:r>
      <w:r w:rsidRPr="00FB5A28">
        <w:rPr>
          <w:rFonts w:ascii="Times New Roman" w:hAnsi="Times New Roman"/>
          <w:sz w:val="24"/>
          <w:szCs w:val="24"/>
        </w:rPr>
        <w:t>;</w:t>
      </w:r>
    </w:p>
    <w:p w:rsidR="00823AD8" w:rsidRPr="00FB5A28" w:rsidRDefault="00823AD8" w:rsidP="00FB5A28">
      <w:pPr>
        <w:jc w:val="both"/>
        <w:rPr>
          <w:rFonts w:ascii="Times New Roman" w:hAnsi="Times New Roman"/>
          <w:sz w:val="24"/>
          <w:szCs w:val="24"/>
          <w:lang w:val="sr-Cyrl-CS"/>
        </w:rPr>
      </w:pPr>
      <w:r w:rsidRPr="00FB5A28">
        <w:rPr>
          <w:rFonts w:ascii="Times New Roman" w:hAnsi="Times New Roman"/>
          <w:sz w:val="24"/>
          <w:szCs w:val="24"/>
        </w:rPr>
        <w:t xml:space="preserve">5) </w:t>
      </w:r>
      <w:r w:rsidR="008D45E3" w:rsidRPr="00FB5A28">
        <w:rPr>
          <w:rFonts w:ascii="Times New Roman" w:hAnsi="Times New Roman"/>
          <w:sz w:val="24"/>
          <w:szCs w:val="24"/>
        </w:rPr>
        <w:t>је</w:t>
      </w:r>
      <w:r w:rsidRPr="00FB5A28">
        <w:rPr>
          <w:rFonts w:ascii="Times New Roman" w:hAnsi="Times New Roman"/>
          <w:sz w:val="24"/>
          <w:szCs w:val="24"/>
        </w:rPr>
        <w:t xml:space="preserve"> </w:t>
      </w:r>
      <w:r w:rsidR="008D45E3" w:rsidRPr="00FB5A28">
        <w:rPr>
          <w:rFonts w:ascii="Times New Roman" w:hAnsi="Times New Roman"/>
          <w:sz w:val="24"/>
          <w:szCs w:val="24"/>
        </w:rPr>
        <w:t>обвезник</w:t>
      </w:r>
      <w:r w:rsidRPr="00FB5A28">
        <w:rPr>
          <w:rFonts w:ascii="Times New Roman" w:hAnsi="Times New Roman"/>
          <w:sz w:val="24"/>
          <w:szCs w:val="24"/>
        </w:rPr>
        <w:t xml:space="preserve"> </w:t>
      </w:r>
      <w:r w:rsidR="008D45E3" w:rsidRPr="00FB5A28">
        <w:rPr>
          <w:rFonts w:ascii="Times New Roman" w:hAnsi="Times New Roman"/>
          <w:sz w:val="24"/>
          <w:szCs w:val="24"/>
        </w:rPr>
        <w:t>извршио</w:t>
      </w:r>
      <w:r w:rsidRPr="00FB5A28">
        <w:rPr>
          <w:rFonts w:ascii="Times New Roman" w:hAnsi="Times New Roman"/>
          <w:sz w:val="24"/>
          <w:szCs w:val="24"/>
        </w:rPr>
        <w:t xml:space="preserve"> </w:t>
      </w:r>
      <w:r w:rsidR="008D45E3" w:rsidRPr="00FB5A28">
        <w:rPr>
          <w:rFonts w:ascii="Times New Roman" w:hAnsi="Times New Roman"/>
          <w:sz w:val="24"/>
          <w:szCs w:val="24"/>
        </w:rPr>
        <w:t>пренос</w:t>
      </w:r>
      <w:r w:rsidRPr="00FB5A28">
        <w:rPr>
          <w:rFonts w:ascii="Times New Roman" w:hAnsi="Times New Roman"/>
          <w:sz w:val="24"/>
          <w:szCs w:val="24"/>
        </w:rPr>
        <w:t xml:space="preserve"> </w:t>
      </w:r>
      <w:r w:rsidR="008D45E3" w:rsidRPr="00FB5A28">
        <w:rPr>
          <w:rFonts w:ascii="Times New Roman" w:hAnsi="Times New Roman"/>
          <w:sz w:val="24"/>
          <w:szCs w:val="24"/>
        </w:rPr>
        <w:t>права</w:t>
      </w:r>
      <w:r w:rsidRPr="00FB5A28">
        <w:rPr>
          <w:rFonts w:ascii="Times New Roman" w:hAnsi="Times New Roman"/>
          <w:sz w:val="24"/>
          <w:szCs w:val="24"/>
        </w:rPr>
        <w:t xml:space="preserve">, </w:t>
      </w:r>
      <w:r w:rsidR="008D45E3" w:rsidRPr="00FB5A28">
        <w:rPr>
          <w:rFonts w:ascii="Times New Roman" w:hAnsi="Times New Roman"/>
          <w:sz w:val="24"/>
          <w:szCs w:val="24"/>
        </w:rPr>
        <w:t>удела</w:t>
      </w:r>
      <w:r w:rsidRPr="00FB5A28">
        <w:rPr>
          <w:rFonts w:ascii="Times New Roman" w:hAnsi="Times New Roman"/>
          <w:sz w:val="24"/>
          <w:szCs w:val="24"/>
        </w:rPr>
        <w:t xml:space="preserve"> </w:t>
      </w:r>
      <w:r w:rsidR="008D45E3" w:rsidRPr="00FB5A28">
        <w:rPr>
          <w:rFonts w:ascii="Times New Roman" w:hAnsi="Times New Roman"/>
          <w:sz w:val="24"/>
          <w:szCs w:val="24"/>
        </w:rPr>
        <w:t>или</w:t>
      </w:r>
      <w:r w:rsidRPr="00FB5A28">
        <w:rPr>
          <w:rFonts w:ascii="Times New Roman" w:hAnsi="Times New Roman"/>
          <w:sz w:val="24"/>
          <w:szCs w:val="24"/>
        </w:rPr>
        <w:t xml:space="preserve"> </w:t>
      </w:r>
      <w:r w:rsidR="008D45E3" w:rsidRPr="00FB5A28">
        <w:rPr>
          <w:rFonts w:ascii="Times New Roman" w:hAnsi="Times New Roman"/>
          <w:sz w:val="24"/>
          <w:szCs w:val="24"/>
        </w:rPr>
        <w:t>хартија</w:t>
      </w:r>
      <w:r w:rsidRPr="00FB5A28">
        <w:rPr>
          <w:rFonts w:ascii="Times New Roman" w:hAnsi="Times New Roman"/>
          <w:sz w:val="24"/>
          <w:szCs w:val="24"/>
        </w:rPr>
        <w:t xml:space="preserve"> </w:t>
      </w:r>
      <w:r w:rsidR="008D45E3" w:rsidRPr="00FB5A28">
        <w:rPr>
          <w:rFonts w:ascii="Times New Roman" w:hAnsi="Times New Roman"/>
          <w:sz w:val="24"/>
          <w:szCs w:val="24"/>
        </w:rPr>
        <w:t>од</w:t>
      </w:r>
      <w:r w:rsidRPr="00FB5A28">
        <w:rPr>
          <w:rFonts w:ascii="Times New Roman" w:hAnsi="Times New Roman"/>
          <w:sz w:val="24"/>
          <w:szCs w:val="24"/>
        </w:rPr>
        <w:t xml:space="preserve"> </w:t>
      </w:r>
      <w:r w:rsidR="008D45E3" w:rsidRPr="00FB5A28">
        <w:rPr>
          <w:rFonts w:ascii="Times New Roman" w:hAnsi="Times New Roman"/>
          <w:sz w:val="24"/>
          <w:szCs w:val="24"/>
        </w:rPr>
        <w:t>вредности</w:t>
      </w:r>
      <w:r w:rsidRPr="00FB5A28">
        <w:rPr>
          <w:rFonts w:ascii="Times New Roman" w:hAnsi="Times New Roman"/>
          <w:sz w:val="24"/>
          <w:szCs w:val="24"/>
        </w:rPr>
        <w:t xml:space="preserve"> </w:t>
      </w:r>
      <w:r w:rsidR="008D45E3" w:rsidRPr="00FB5A28">
        <w:rPr>
          <w:rFonts w:ascii="Times New Roman" w:hAnsi="Times New Roman"/>
          <w:sz w:val="24"/>
          <w:szCs w:val="24"/>
        </w:rPr>
        <w:t>које</w:t>
      </w:r>
      <w:r w:rsidRPr="00FB5A28">
        <w:rPr>
          <w:rFonts w:ascii="Times New Roman" w:hAnsi="Times New Roman"/>
          <w:sz w:val="24"/>
          <w:szCs w:val="24"/>
        </w:rPr>
        <w:t xml:space="preserve"> </w:t>
      </w:r>
      <w:r w:rsidR="008D45E3" w:rsidRPr="00FB5A28">
        <w:rPr>
          <w:rFonts w:ascii="Times New Roman" w:hAnsi="Times New Roman"/>
          <w:sz w:val="24"/>
          <w:szCs w:val="24"/>
        </w:rPr>
        <w:t>је</w:t>
      </w:r>
      <w:r w:rsidRPr="00FB5A28">
        <w:rPr>
          <w:rFonts w:ascii="Times New Roman" w:hAnsi="Times New Roman"/>
          <w:sz w:val="24"/>
          <w:szCs w:val="24"/>
        </w:rPr>
        <w:t xml:space="preserve"> </w:t>
      </w:r>
      <w:r w:rsidR="008D45E3" w:rsidRPr="00FB5A28">
        <w:rPr>
          <w:rFonts w:ascii="Times New Roman" w:hAnsi="Times New Roman"/>
          <w:sz w:val="24"/>
          <w:szCs w:val="24"/>
        </w:rPr>
        <w:t>пре</w:t>
      </w:r>
      <w:r w:rsidRPr="00FB5A28">
        <w:rPr>
          <w:rFonts w:ascii="Times New Roman" w:hAnsi="Times New Roman"/>
          <w:sz w:val="24"/>
          <w:szCs w:val="24"/>
        </w:rPr>
        <w:t xml:space="preserve"> </w:t>
      </w:r>
      <w:r w:rsidR="008D45E3" w:rsidRPr="00FB5A28">
        <w:rPr>
          <w:rFonts w:ascii="Times New Roman" w:hAnsi="Times New Roman"/>
          <w:sz w:val="24"/>
          <w:szCs w:val="24"/>
        </w:rPr>
        <w:t>преноса</w:t>
      </w:r>
      <w:r w:rsidRPr="00FB5A28">
        <w:rPr>
          <w:rFonts w:ascii="Times New Roman" w:hAnsi="Times New Roman"/>
          <w:sz w:val="24"/>
          <w:szCs w:val="24"/>
        </w:rPr>
        <w:t xml:space="preserve"> </w:t>
      </w:r>
      <w:r w:rsidR="008D45E3" w:rsidRPr="00FB5A28">
        <w:rPr>
          <w:rFonts w:ascii="Times New Roman" w:hAnsi="Times New Roman"/>
          <w:sz w:val="24"/>
          <w:szCs w:val="24"/>
        </w:rPr>
        <w:t>имао</w:t>
      </w:r>
      <w:r w:rsidRPr="00FB5A28">
        <w:rPr>
          <w:rFonts w:ascii="Times New Roman" w:hAnsi="Times New Roman"/>
          <w:sz w:val="24"/>
          <w:szCs w:val="24"/>
        </w:rPr>
        <w:t xml:space="preserve"> </w:t>
      </w:r>
      <w:r w:rsidR="008D45E3" w:rsidRPr="00FB5A28">
        <w:rPr>
          <w:rFonts w:ascii="Times New Roman" w:hAnsi="Times New Roman"/>
          <w:sz w:val="24"/>
          <w:szCs w:val="24"/>
        </w:rPr>
        <w:t>у</w:t>
      </w:r>
      <w:r w:rsidRPr="00FB5A28">
        <w:rPr>
          <w:rFonts w:ascii="Times New Roman" w:hAnsi="Times New Roman"/>
          <w:sz w:val="24"/>
          <w:szCs w:val="24"/>
        </w:rPr>
        <w:t xml:space="preserve"> </w:t>
      </w:r>
      <w:r w:rsidR="008D45E3" w:rsidRPr="00FB5A28">
        <w:rPr>
          <w:rFonts w:ascii="Times New Roman" w:hAnsi="Times New Roman"/>
          <w:sz w:val="24"/>
          <w:szCs w:val="24"/>
        </w:rPr>
        <w:t>свом</w:t>
      </w:r>
      <w:r w:rsidRPr="00FB5A28">
        <w:rPr>
          <w:rFonts w:ascii="Times New Roman" w:hAnsi="Times New Roman"/>
          <w:sz w:val="24"/>
          <w:szCs w:val="24"/>
        </w:rPr>
        <w:t xml:space="preserve"> </w:t>
      </w:r>
      <w:r w:rsidR="008D45E3" w:rsidRPr="00FB5A28">
        <w:rPr>
          <w:rFonts w:ascii="Times New Roman" w:hAnsi="Times New Roman"/>
          <w:sz w:val="24"/>
          <w:szCs w:val="24"/>
        </w:rPr>
        <w:t>власништву</w:t>
      </w:r>
      <w:r w:rsidRPr="00FB5A28">
        <w:rPr>
          <w:rFonts w:ascii="Times New Roman" w:hAnsi="Times New Roman"/>
          <w:sz w:val="24"/>
          <w:szCs w:val="24"/>
        </w:rPr>
        <w:t xml:space="preserve"> </w:t>
      </w:r>
      <w:r w:rsidR="008D45E3" w:rsidRPr="00FB5A28">
        <w:rPr>
          <w:rFonts w:ascii="Times New Roman" w:hAnsi="Times New Roman"/>
          <w:sz w:val="24"/>
          <w:szCs w:val="24"/>
        </w:rPr>
        <w:t>непрекидно</w:t>
      </w:r>
      <w:r w:rsidRPr="00FB5A28">
        <w:rPr>
          <w:rFonts w:ascii="Times New Roman" w:hAnsi="Times New Roman"/>
          <w:sz w:val="24"/>
          <w:szCs w:val="24"/>
        </w:rPr>
        <w:t xml:space="preserve"> </w:t>
      </w:r>
      <w:r w:rsidR="008D45E3" w:rsidRPr="00FB5A28">
        <w:rPr>
          <w:rFonts w:ascii="Times New Roman" w:hAnsi="Times New Roman"/>
          <w:sz w:val="24"/>
          <w:szCs w:val="24"/>
        </w:rPr>
        <w:t>најмање</w:t>
      </w:r>
      <w:r w:rsidRPr="00FB5A28">
        <w:rPr>
          <w:rFonts w:ascii="Times New Roman" w:hAnsi="Times New Roman"/>
          <w:sz w:val="24"/>
          <w:szCs w:val="24"/>
        </w:rPr>
        <w:t xml:space="preserve"> </w:t>
      </w:r>
      <w:r w:rsidR="008D45E3" w:rsidRPr="00FB5A28">
        <w:rPr>
          <w:rFonts w:ascii="Times New Roman" w:hAnsi="Times New Roman"/>
          <w:sz w:val="24"/>
          <w:szCs w:val="24"/>
        </w:rPr>
        <w:t>десет</w:t>
      </w:r>
      <w:r w:rsidRPr="00FB5A28">
        <w:rPr>
          <w:rFonts w:ascii="Times New Roman" w:hAnsi="Times New Roman"/>
          <w:sz w:val="24"/>
          <w:szCs w:val="24"/>
        </w:rPr>
        <w:t xml:space="preserve"> </w:t>
      </w:r>
      <w:r w:rsidR="008D45E3" w:rsidRPr="00FB5A28">
        <w:rPr>
          <w:rFonts w:ascii="Times New Roman" w:hAnsi="Times New Roman"/>
          <w:sz w:val="24"/>
          <w:szCs w:val="24"/>
        </w:rPr>
        <w:t>година</w:t>
      </w:r>
      <w:r w:rsidRPr="00FB5A28">
        <w:rPr>
          <w:rFonts w:ascii="Times New Roman" w:hAnsi="Times New Roman"/>
          <w:sz w:val="24"/>
          <w:szCs w:val="24"/>
        </w:rPr>
        <w:t>.</w:t>
      </w:r>
      <w:r w:rsidR="00741D88" w:rsidRPr="00FB5A28">
        <w:rPr>
          <w:rFonts w:ascii="Times New Roman" w:hAnsi="Times New Roman"/>
          <w:sz w:val="24"/>
          <w:szCs w:val="24"/>
          <w:lang w:val="sr-Cyrl-CS"/>
        </w:rPr>
        <w:t xml:space="preserve"> </w:t>
      </w:r>
    </w:p>
    <w:p w:rsidR="00741D88" w:rsidRPr="00FB5A28" w:rsidRDefault="00741D88" w:rsidP="00FB5A28">
      <w:pPr>
        <w:jc w:val="both"/>
        <w:rPr>
          <w:rFonts w:ascii="Times New Roman" w:hAnsi="Times New Roman"/>
          <w:sz w:val="24"/>
          <w:szCs w:val="24"/>
          <w:lang w:val="sr-Cyrl-CS"/>
        </w:rPr>
      </w:pPr>
      <w:r w:rsidRPr="00FB5A28">
        <w:rPr>
          <w:rFonts w:ascii="Times New Roman" w:hAnsi="Times New Roman"/>
          <w:sz w:val="24"/>
          <w:szCs w:val="24"/>
          <w:lang w:val="sr-Cyrl-CS"/>
        </w:rPr>
        <w:t>2)</w:t>
      </w:r>
      <w:r w:rsidR="00823AD8" w:rsidRPr="00FB5A28">
        <w:rPr>
          <w:rFonts w:ascii="Times New Roman" w:hAnsi="Times New Roman"/>
          <w:sz w:val="24"/>
          <w:szCs w:val="24"/>
          <w:lang w:val="sr-Cyrl-CS"/>
        </w:rPr>
        <w:t>Други случај је регулисан чл. 79. ЗПДГ. Наиме, о</w:t>
      </w:r>
      <w:r w:rsidR="008D45E3" w:rsidRPr="00FB5A28">
        <w:rPr>
          <w:rFonts w:ascii="Times New Roman" w:hAnsi="Times New Roman"/>
          <w:sz w:val="24"/>
          <w:szCs w:val="24"/>
        </w:rPr>
        <w:t>бвезник</w:t>
      </w:r>
      <w:r w:rsidR="00823AD8" w:rsidRPr="00FB5A28">
        <w:rPr>
          <w:rFonts w:ascii="Times New Roman" w:hAnsi="Times New Roman"/>
          <w:sz w:val="24"/>
          <w:szCs w:val="24"/>
        </w:rPr>
        <w:t xml:space="preserve">, </w:t>
      </w:r>
      <w:r w:rsidR="008D45E3" w:rsidRPr="00FB5A28">
        <w:rPr>
          <w:rFonts w:ascii="Times New Roman" w:hAnsi="Times New Roman"/>
          <w:sz w:val="24"/>
          <w:szCs w:val="24"/>
        </w:rPr>
        <w:t>који</w:t>
      </w:r>
      <w:r w:rsidR="00823AD8" w:rsidRPr="00FB5A28">
        <w:rPr>
          <w:rFonts w:ascii="Times New Roman" w:hAnsi="Times New Roman"/>
          <w:sz w:val="24"/>
          <w:szCs w:val="24"/>
        </w:rPr>
        <w:t xml:space="preserve"> </w:t>
      </w:r>
      <w:r w:rsidR="008D45E3" w:rsidRPr="00FB5A28">
        <w:rPr>
          <w:rFonts w:ascii="Times New Roman" w:hAnsi="Times New Roman"/>
          <w:sz w:val="24"/>
          <w:szCs w:val="24"/>
        </w:rPr>
        <w:t>средства</w:t>
      </w:r>
      <w:r w:rsidR="00823AD8" w:rsidRPr="00FB5A28">
        <w:rPr>
          <w:rFonts w:ascii="Times New Roman" w:hAnsi="Times New Roman"/>
          <w:sz w:val="24"/>
          <w:szCs w:val="24"/>
        </w:rPr>
        <w:t xml:space="preserve"> </w:t>
      </w:r>
      <w:r w:rsidR="008D45E3" w:rsidRPr="00FB5A28">
        <w:rPr>
          <w:rFonts w:ascii="Times New Roman" w:hAnsi="Times New Roman"/>
          <w:sz w:val="24"/>
          <w:szCs w:val="24"/>
        </w:rPr>
        <w:t>остварена</w:t>
      </w:r>
      <w:r w:rsidR="00823AD8" w:rsidRPr="00FB5A28">
        <w:rPr>
          <w:rFonts w:ascii="Times New Roman" w:hAnsi="Times New Roman"/>
          <w:sz w:val="24"/>
          <w:szCs w:val="24"/>
        </w:rPr>
        <w:t xml:space="preserve"> </w:t>
      </w:r>
      <w:r w:rsidR="008D45E3" w:rsidRPr="00FB5A28">
        <w:rPr>
          <w:rFonts w:ascii="Times New Roman" w:hAnsi="Times New Roman"/>
          <w:sz w:val="24"/>
          <w:szCs w:val="24"/>
        </w:rPr>
        <w:t>продајом</w:t>
      </w:r>
      <w:r w:rsidR="00823AD8" w:rsidRPr="00FB5A28">
        <w:rPr>
          <w:rFonts w:ascii="Times New Roman" w:hAnsi="Times New Roman"/>
          <w:sz w:val="24"/>
          <w:szCs w:val="24"/>
        </w:rPr>
        <w:t xml:space="preserve"> </w:t>
      </w:r>
      <w:r w:rsidR="008D45E3" w:rsidRPr="00FB5A28">
        <w:rPr>
          <w:rFonts w:ascii="Times New Roman" w:hAnsi="Times New Roman"/>
          <w:sz w:val="24"/>
          <w:szCs w:val="24"/>
        </w:rPr>
        <w:t>непокретности</w:t>
      </w:r>
      <w:r w:rsidR="00823AD8" w:rsidRPr="00FB5A28">
        <w:rPr>
          <w:rFonts w:ascii="Times New Roman" w:hAnsi="Times New Roman"/>
          <w:sz w:val="24"/>
          <w:szCs w:val="24"/>
        </w:rPr>
        <w:t xml:space="preserve"> </w:t>
      </w:r>
      <w:r w:rsidR="008D45E3" w:rsidRPr="00FB5A28">
        <w:rPr>
          <w:rFonts w:ascii="Times New Roman" w:hAnsi="Times New Roman"/>
          <w:sz w:val="24"/>
          <w:szCs w:val="24"/>
        </w:rPr>
        <w:t>у</w:t>
      </w:r>
      <w:r w:rsidR="00823AD8" w:rsidRPr="00FB5A28">
        <w:rPr>
          <w:rFonts w:ascii="Times New Roman" w:hAnsi="Times New Roman"/>
          <w:sz w:val="24"/>
          <w:szCs w:val="24"/>
        </w:rPr>
        <w:t xml:space="preserve"> </w:t>
      </w:r>
      <w:r w:rsidR="008D45E3" w:rsidRPr="00FB5A28">
        <w:rPr>
          <w:rFonts w:ascii="Times New Roman" w:hAnsi="Times New Roman"/>
          <w:sz w:val="24"/>
          <w:szCs w:val="24"/>
        </w:rPr>
        <w:t>року</w:t>
      </w:r>
      <w:r w:rsidR="00823AD8" w:rsidRPr="00FB5A28">
        <w:rPr>
          <w:rFonts w:ascii="Times New Roman" w:hAnsi="Times New Roman"/>
          <w:sz w:val="24"/>
          <w:szCs w:val="24"/>
        </w:rPr>
        <w:t xml:space="preserve"> </w:t>
      </w:r>
      <w:r w:rsidR="008D45E3" w:rsidRPr="00FB5A28">
        <w:rPr>
          <w:rFonts w:ascii="Times New Roman" w:hAnsi="Times New Roman"/>
          <w:sz w:val="24"/>
          <w:szCs w:val="24"/>
        </w:rPr>
        <w:t>од</w:t>
      </w:r>
      <w:r w:rsidR="00823AD8" w:rsidRPr="00FB5A28">
        <w:rPr>
          <w:rFonts w:ascii="Times New Roman" w:hAnsi="Times New Roman"/>
          <w:sz w:val="24"/>
          <w:szCs w:val="24"/>
        </w:rPr>
        <w:t xml:space="preserve"> 90 </w:t>
      </w:r>
      <w:r w:rsidR="008D45E3" w:rsidRPr="00FB5A28">
        <w:rPr>
          <w:rFonts w:ascii="Times New Roman" w:hAnsi="Times New Roman"/>
          <w:sz w:val="24"/>
          <w:szCs w:val="24"/>
        </w:rPr>
        <w:t>дана</w:t>
      </w:r>
      <w:r w:rsidR="00823AD8" w:rsidRPr="00FB5A28">
        <w:rPr>
          <w:rFonts w:ascii="Times New Roman" w:hAnsi="Times New Roman"/>
          <w:sz w:val="24"/>
          <w:szCs w:val="24"/>
        </w:rPr>
        <w:t xml:space="preserve"> </w:t>
      </w:r>
      <w:r w:rsidR="008D45E3" w:rsidRPr="00FB5A28">
        <w:rPr>
          <w:rFonts w:ascii="Times New Roman" w:hAnsi="Times New Roman"/>
          <w:sz w:val="24"/>
          <w:szCs w:val="24"/>
        </w:rPr>
        <w:t>од</w:t>
      </w:r>
      <w:r w:rsidR="00823AD8" w:rsidRPr="00FB5A28">
        <w:rPr>
          <w:rFonts w:ascii="Times New Roman" w:hAnsi="Times New Roman"/>
          <w:sz w:val="24"/>
          <w:szCs w:val="24"/>
        </w:rPr>
        <w:t xml:space="preserve"> </w:t>
      </w:r>
      <w:r w:rsidR="008D45E3" w:rsidRPr="00FB5A28">
        <w:rPr>
          <w:rFonts w:ascii="Times New Roman" w:hAnsi="Times New Roman"/>
          <w:sz w:val="24"/>
          <w:szCs w:val="24"/>
        </w:rPr>
        <w:t>дана</w:t>
      </w:r>
      <w:r w:rsidR="00823AD8" w:rsidRPr="00FB5A28">
        <w:rPr>
          <w:rFonts w:ascii="Times New Roman" w:hAnsi="Times New Roman"/>
          <w:sz w:val="24"/>
          <w:szCs w:val="24"/>
        </w:rPr>
        <w:t xml:space="preserve"> </w:t>
      </w:r>
      <w:r w:rsidR="008D45E3" w:rsidRPr="00FB5A28">
        <w:rPr>
          <w:rFonts w:ascii="Times New Roman" w:hAnsi="Times New Roman"/>
          <w:sz w:val="24"/>
          <w:szCs w:val="24"/>
        </w:rPr>
        <w:t>продаје</w:t>
      </w:r>
      <w:r w:rsidR="00823AD8" w:rsidRPr="00FB5A28">
        <w:rPr>
          <w:rFonts w:ascii="Times New Roman" w:hAnsi="Times New Roman"/>
          <w:sz w:val="24"/>
          <w:szCs w:val="24"/>
        </w:rPr>
        <w:t xml:space="preserve"> </w:t>
      </w:r>
      <w:r w:rsidR="008D45E3" w:rsidRPr="00FB5A28">
        <w:rPr>
          <w:rFonts w:ascii="Times New Roman" w:hAnsi="Times New Roman"/>
          <w:sz w:val="24"/>
          <w:szCs w:val="24"/>
        </w:rPr>
        <w:t>уложи</w:t>
      </w:r>
      <w:r w:rsidR="00823AD8" w:rsidRPr="00FB5A28">
        <w:rPr>
          <w:rFonts w:ascii="Times New Roman" w:hAnsi="Times New Roman"/>
          <w:sz w:val="24"/>
          <w:szCs w:val="24"/>
        </w:rPr>
        <w:t xml:space="preserve"> </w:t>
      </w:r>
      <w:r w:rsidR="008D45E3" w:rsidRPr="00FB5A28">
        <w:rPr>
          <w:rFonts w:ascii="Times New Roman" w:hAnsi="Times New Roman"/>
          <w:sz w:val="24"/>
          <w:szCs w:val="24"/>
        </w:rPr>
        <w:t>у</w:t>
      </w:r>
      <w:r w:rsidR="00823AD8" w:rsidRPr="00FB5A28">
        <w:rPr>
          <w:rFonts w:ascii="Times New Roman" w:hAnsi="Times New Roman"/>
          <w:sz w:val="24"/>
          <w:szCs w:val="24"/>
        </w:rPr>
        <w:t xml:space="preserve"> </w:t>
      </w:r>
      <w:r w:rsidR="008D45E3" w:rsidRPr="00FB5A28">
        <w:rPr>
          <w:rFonts w:ascii="Times New Roman" w:hAnsi="Times New Roman"/>
          <w:sz w:val="24"/>
          <w:szCs w:val="24"/>
        </w:rPr>
        <w:t>решавање</w:t>
      </w:r>
      <w:r w:rsidR="00823AD8" w:rsidRPr="00FB5A28">
        <w:rPr>
          <w:rFonts w:ascii="Times New Roman" w:hAnsi="Times New Roman"/>
          <w:sz w:val="24"/>
          <w:szCs w:val="24"/>
        </w:rPr>
        <w:t xml:space="preserve"> </w:t>
      </w:r>
      <w:r w:rsidR="008D45E3" w:rsidRPr="00FB5A28">
        <w:rPr>
          <w:rFonts w:ascii="Times New Roman" w:hAnsi="Times New Roman"/>
          <w:sz w:val="24"/>
          <w:szCs w:val="24"/>
        </w:rPr>
        <w:t>свог</w:t>
      </w:r>
      <w:r w:rsidR="00823AD8" w:rsidRPr="00FB5A28">
        <w:rPr>
          <w:rFonts w:ascii="Times New Roman" w:hAnsi="Times New Roman"/>
          <w:sz w:val="24"/>
          <w:szCs w:val="24"/>
        </w:rPr>
        <w:t xml:space="preserve"> </w:t>
      </w:r>
      <w:r w:rsidR="008D45E3" w:rsidRPr="00FB5A28">
        <w:rPr>
          <w:rFonts w:ascii="Times New Roman" w:hAnsi="Times New Roman"/>
          <w:sz w:val="24"/>
          <w:szCs w:val="24"/>
        </w:rPr>
        <w:t>стамбеног</w:t>
      </w:r>
      <w:r w:rsidR="00823AD8" w:rsidRPr="00FB5A28">
        <w:rPr>
          <w:rFonts w:ascii="Times New Roman" w:hAnsi="Times New Roman"/>
          <w:sz w:val="24"/>
          <w:szCs w:val="24"/>
        </w:rPr>
        <w:t xml:space="preserve"> </w:t>
      </w:r>
      <w:r w:rsidR="008D45E3" w:rsidRPr="00FB5A28">
        <w:rPr>
          <w:rFonts w:ascii="Times New Roman" w:hAnsi="Times New Roman"/>
          <w:sz w:val="24"/>
          <w:szCs w:val="24"/>
        </w:rPr>
        <w:t>питања</w:t>
      </w:r>
      <w:r w:rsidR="00823AD8" w:rsidRPr="00FB5A28">
        <w:rPr>
          <w:rFonts w:ascii="Times New Roman" w:hAnsi="Times New Roman"/>
          <w:sz w:val="24"/>
          <w:szCs w:val="24"/>
        </w:rPr>
        <w:t xml:space="preserve"> </w:t>
      </w:r>
      <w:r w:rsidR="008D45E3" w:rsidRPr="00FB5A28">
        <w:rPr>
          <w:rFonts w:ascii="Times New Roman" w:hAnsi="Times New Roman"/>
          <w:sz w:val="24"/>
          <w:szCs w:val="24"/>
        </w:rPr>
        <w:t>и</w:t>
      </w:r>
      <w:r w:rsidR="00823AD8" w:rsidRPr="00FB5A28">
        <w:rPr>
          <w:rFonts w:ascii="Times New Roman" w:hAnsi="Times New Roman"/>
          <w:sz w:val="24"/>
          <w:szCs w:val="24"/>
        </w:rPr>
        <w:t xml:space="preserve"> </w:t>
      </w:r>
      <w:r w:rsidR="008D45E3" w:rsidRPr="00FB5A28">
        <w:rPr>
          <w:rFonts w:ascii="Times New Roman" w:hAnsi="Times New Roman"/>
          <w:sz w:val="24"/>
          <w:szCs w:val="24"/>
        </w:rPr>
        <w:t>стамбеног</w:t>
      </w:r>
      <w:r w:rsidR="00823AD8" w:rsidRPr="00FB5A28">
        <w:rPr>
          <w:rFonts w:ascii="Times New Roman" w:hAnsi="Times New Roman"/>
          <w:sz w:val="24"/>
          <w:szCs w:val="24"/>
        </w:rPr>
        <w:t xml:space="preserve"> </w:t>
      </w:r>
      <w:r w:rsidR="008D45E3" w:rsidRPr="00FB5A28">
        <w:rPr>
          <w:rFonts w:ascii="Times New Roman" w:hAnsi="Times New Roman"/>
          <w:sz w:val="24"/>
          <w:szCs w:val="24"/>
        </w:rPr>
        <w:t>питања</w:t>
      </w:r>
      <w:r w:rsidR="00823AD8" w:rsidRPr="00FB5A28">
        <w:rPr>
          <w:rFonts w:ascii="Times New Roman" w:hAnsi="Times New Roman"/>
          <w:sz w:val="24"/>
          <w:szCs w:val="24"/>
        </w:rPr>
        <w:t xml:space="preserve"> </w:t>
      </w:r>
      <w:r w:rsidR="008D45E3" w:rsidRPr="00FB5A28">
        <w:rPr>
          <w:rFonts w:ascii="Times New Roman" w:hAnsi="Times New Roman"/>
          <w:sz w:val="24"/>
          <w:szCs w:val="24"/>
        </w:rPr>
        <w:t>чланова</w:t>
      </w:r>
      <w:r w:rsidR="00823AD8" w:rsidRPr="00FB5A28">
        <w:rPr>
          <w:rFonts w:ascii="Times New Roman" w:hAnsi="Times New Roman"/>
          <w:sz w:val="24"/>
          <w:szCs w:val="24"/>
        </w:rPr>
        <w:t xml:space="preserve"> </w:t>
      </w:r>
      <w:r w:rsidR="008D45E3" w:rsidRPr="00FB5A28">
        <w:rPr>
          <w:rFonts w:ascii="Times New Roman" w:hAnsi="Times New Roman"/>
          <w:sz w:val="24"/>
          <w:szCs w:val="24"/>
        </w:rPr>
        <w:t>своје</w:t>
      </w:r>
      <w:r w:rsidR="00823AD8" w:rsidRPr="00FB5A28">
        <w:rPr>
          <w:rFonts w:ascii="Times New Roman" w:hAnsi="Times New Roman"/>
          <w:sz w:val="24"/>
          <w:szCs w:val="24"/>
        </w:rPr>
        <w:t xml:space="preserve"> </w:t>
      </w:r>
      <w:r w:rsidR="008D45E3" w:rsidRPr="00FB5A28">
        <w:rPr>
          <w:rFonts w:ascii="Times New Roman" w:hAnsi="Times New Roman"/>
          <w:sz w:val="24"/>
          <w:szCs w:val="24"/>
        </w:rPr>
        <w:t>породице</w:t>
      </w:r>
      <w:r w:rsidR="00823AD8" w:rsidRPr="00FB5A28">
        <w:rPr>
          <w:rFonts w:ascii="Times New Roman" w:hAnsi="Times New Roman"/>
          <w:sz w:val="24"/>
          <w:szCs w:val="24"/>
        </w:rPr>
        <w:t xml:space="preserve">, </w:t>
      </w:r>
      <w:r w:rsidR="008D45E3" w:rsidRPr="00FB5A28">
        <w:rPr>
          <w:rFonts w:ascii="Times New Roman" w:hAnsi="Times New Roman"/>
          <w:sz w:val="24"/>
          <w:szCs w:val="24"/>
        </w:rPr>
        <w:t>односно</w:t>
      </w:r>
      <w:r w:rsidR="00823AD8" w:rsidRPr="00FB5A28">
        <w:rPr>
          <w:rFonts w:ascii="Times New Roman" w:hAnsi="Times New Roman"/>
          <w:sz w:val="24"/>
          <w:szCs w:val="24"/>
        </w:rPr>
        <w:t xml:space="preserve"> </w:t>
      </w:r>
      <w:r w:rsidR="008D45E3" w:rsidRPr="00FB5A28">
        <w:rPr>
          <w:rFonts w:ascii="Times New Roman" w:hAnsi="Times New Roman"/>
          <w:sz w:val="24"/>
          <w:szCs w:val="24"/>
        </w:rPr>
        <w:t>домаћинства</w:t>
      </w:r>
      <w:r w:rsidR="00823AD8" w:rsidRPr="00FB5A28">
        <w:rPr>
          <w:rFonts w:ascii="Times New Roman" w:hAnsi="Times New Roman"/>
          <w:sz w:val="24"/>
          <w:szCs w:val="24"/>
        </w:rPr>
        <w:t xml:space="preserve">, </w:t>
      </w:r>
      <w:r w:rsidR="008D45E3" w:rsidRPr="00FB5A28">
        <w:rPr>
          <w:rFonts w:ascii="Times New Roman" w:hAnsi="Times New Roman"/>
          <w:sz w:val="24"/>
          <w:szCs w:val="24"/>
        </w:rPr>
        <w:t>ослобађа</w:t>
      </w:r>
      <w:r w:rsidR="00823AD8" w:rsidRPr="00FB5A28">
        <w:rPr>
          <w:rFonts w:ascii="Times New Roman" w:hAnsi="Times New Roman"/>
          <w:sz w:val="24"/>
          <w:szCs w:val="24"/>
        </w:rPr>
        <w:t xml:space="preserve"> </w:t>
      </w:r>
      <w:r w:rsidR="008D45E3" w:rsidRPr="00FB5A28">
        <w:rPr>
          <w:rFonts w:ascii="Times New Roman" w:hAnsi="Times New Roman"/>
          <w:sz w:val="24"/>
          <w:szCs w:val="24"/>
        </w:rPr>
        <w:t>се</w:t>
      </w:r>
      <w:r w:rsidR="00823AD8" w:rsidRPr="00FB5A28">
        <w:rPr>
          <w:rFonts w:ascii="Times New Roman" w:hAnsi="Times New Roman"/>
          <w:sz w:val="24"/>
          <w:szCs w:val="24"/>
        </w:rPr>
        <w:t xml:space="preserve"> </w:t>
      </w:r>
      <w:r w:rsidR="008D45E3" w:rsidRPr="00FB5A28">
        <w:rPr>
          <w:rFonts w:ascii="Times New Roman" w:hAnsi="Times New Roman"/>
          <w:sz w:val="24"/>
          <w:szCs w:val="24"/>
        </w:rPr>
        <w:t>пореза</w:t>
      </w:r>
      <w:r w:rsidR="00823AD8" w:rsidRPr="00FB5A28">
        <w:rPr>
          <w:rFonts w:ascii="Times New Roman" w:hAnsi="Times New Roman"/>
          <w:sz w:val="24"/>
          <w:szCs w:val="24"/>
        </w:rPr>
        <w:t xml:space="preserve"> </w:t>
      </w:r>
      <w:r w:rsidR="008D45E3" w:rsidRPr="00FB5A28">
        <w:rPr>
          <w:rFonts w:ascii="Times New Roman" w:hAnsi="Times New Roman"/>
          <w:sz w:val="24"/>
          <w:szCs w:val="24"/>
        </w:rPr>
        <w:t>на</w:t>
      </w:r>
      <w:r w:rsidR="00823AD8" w:rsidRPr="00FB5A28">
        <w:rPr>
          <w:rFonts w:ascii="Times New Roman" w:hAnsi="Times New Roman"/>
          <w:sz w:val="24"/>
          <w:szCs w:val="24"/>
        </w:rPr>
        <w:t xml:space="preserve"> </w:t>
      </w:r>
      <w:r w:rsidR="008D45E3" w:rsidRPr="00FB5A28">
        <w:rPr>
          <w:rFonts w:ascii="Times New Roman" w:hAnsi="Times New Roman"/>
          <w:sz w:val="24"/>
          <w:szCs w:val="24"/>
        </w:rPr>
        <w:t>остварени</w:t>
      </w:r>
      <w:r w:rsidR="00823AD8" w:rsidRPr="00FB5A28">
        <w:rPr>
          <w:rFonts w:ascii="Times New Roman" w:hAnsi="Times New Roman"/>
          <w:sz w:val="24"/>
          <w:szCs w:val="24"/>
        </w:rPr>
        <w:t xml:space="preserve"> </w:t>
      </w:r>
      <w:r w:rsidR="008D45E3" w:rsidRPr="00FB5A28">
        <w:rPr>
          <w:rFonts w:ascii="Times New Roman" w:hAnsi="Times New Roman"/>
          <w:sz w:val="24"/>
          <w:szCs w:val="24"/>
        </w:rPr>
        <w:t>капитални</w:t>
      </w:r>
      <w:r w:rsidR="00823AD8" w:rsidRPr="00FB5A28">
        <w:rPr>
          <w:rFonts w:ascii="Times New Roman" w:hAnsi="Times New Roman"/>
          <w:sz w:val="24"/>
          <w:szCs w:val="24"/>
        </w:rPr>
        <w:t xml:space="preserve"> </w:t>
      </w:r>
      <w:r w:rsidR="008D45E3" w:rsidRPr="00FB5A28">
        <w:rPr>
          <w:rFonts w:ascii="Times New Roman" w:hAnsi="Times New Roman"/>
          <w:sz w:val="24"/>
          <w:szCs w:val="24"/>
        </w:rPr>
        <w:t>добитак</w:t>
      </w:r>
      <w:r w:rsidR="00823AD8" w:rsidRPr="00FB5A28">
        <w:rPr>
          <w:rFonts w:ascii="Times New Roman" w:hAnsi="Times New Roman"/>
          <w:sz w:val="24"/>
          <w:szCs w:val="24"/>
        </w:rPr>
        <w:t>.</w:t>
      </w:r>
      <w:r w:rsidRPr="00FB5A28">
        <w:rPr>
          <w:rFonts w:ascii="Times New Roman" w:hAnsi="Times New Roman"/>
          <w:sz w:val="24"/>
          <w:szCs w:val="24"/>
          <w:lang w:val="sr-Cyrl-CS"/>
        </w:rPr>
        <w:t xml:space="preserve"> </w:t>
      </w:r>
      <w:r w:rsidR="008D45E3" w:rsidRPr="00FB5A28">
        <w:rPr>
          <w:rFonts w:ascii="Times New Roman" w:hAnsi="Times New Roman"/>
          <w:sz w:val="24"/>
          <w:szCs w:val="24"/>
        </w:rPr>
        <w:t>Обвезнику</w:t>
      </w:r>
      <w:r w:rsidR="00823AD8" w:rsidRPr="00FB5A28">
        <w:rPr>
          <w:rFonts w:ascii="Times New Roman" w:hAnsi="Times New Roman"/>
          <w:sz w:val="24"/>
          <w:szCs w:val="24"/>
        </w:rPr>
        <w:t xml:space="preserve"> </w:t>
      </w:r>
      <w:r w:rsidR="008D45E3" w:rsidRPr="00FB5A28">
        <w:rPr>
          <w:rFonts w:ascii="Times New Roman" w:hAnsi="Times New Roman"/>
          <w:sz w:val="24"/>
          <w:szCs w:val="24"/>
        </w:rPr>
        <w:t>који</w:t>
      </w:r>
      <w:r w:rsidR="00823AD8" w:rsidRPr="00FB5A28">
        <w:rPr>
          <w:rFonts w:ascii="Times New Roman" w:hAnsi="Times New Roman"/>
          <w:sz w:val="24"/>
          <w:szCs w:val="24"/>
        </w:rPr>
        <w:t xml:space="preserve"> </w:t>
      </w:r>
      <w:r w:rsidR="008D45E3" w:rsidRPr="00FB5A28">
        <w:rPr>
          <w:rFonts w:ascii="Times New Roman" w:hAnsi="Times New Roman"/>
          <w:sz w:val="24"/>
          <w:szCs w:val="24"/>
        </w:rPr>
        <w:t>у</w:t>
      </w:r>
      <w:r w:rsidR="00823AD8" w:rsidRPr="00FB5A28">
        <w:rPr>
          <w:rFonts w:ascii="Times New Roman" w:hAnsi="Times New Roman"/>
          <w:sz w:val="24"/>
          <w:szCs w:val="24"/>
        </w:rPr>
        <w:t xml:space="preserve"> </w:t>
      </w:r>
      <w:r w:rsidR="008D45E3" w:rsidRPr="00FB5A28">
        <w:rPr>
          <w:rFonts w:ascii="Times New Roman" w:hAnsi="Times New Roman"/>
          <w:sz w:val="24"/>
          <w:szCs w:val="24"/>
        </w:rPr>
        <w:t>року</w:t>
      </w:r>
      <w:r w:rsidR="00823AD8" w:rsidRPr="00FB5A28">
        <w:rPr>
          <w:rFonts w:ascii="Times New Roman" w:hAnsi="Times New Roman"/>
          <w:sz w:val="24"/>
          <w:szCs w:val="24"/>
        </w:rPr>
        <w:t xml:space="preserve"> </w:t>
      </w:r>
      <w:r w:rsidR="008D45E3" w:rsidRPr="00FB5A28">
        <w:rPr>
          <w:rFonts w:ascii="Times New Roman" w:hAnsi="Times New Roman"/>
          <w:sz w:val="24"/>
          <w:szCs w:val="24"/>
        </w:rPr>
        <w:t>од</w:t>
      </w:r>
      <w:r w:rsidR="00823AD8" w:rsidRPr="00FB5A28">
        <w:rPr>
          <w:rFonts w:ascii="Times New Roman" w:hAnsi="Times New Roman"/>
          <w:sz w:val="24"/>
          <w:szCs w:val="24"/>
        </w:rPr>
        <w:t xml:space="preserve"> 12 </w:t>
      </w:r>
      <w:r w:rsidR="008D45E3" w:rsidRPr="00FB5A28">
        <w:rPr>
          <w:rFonts w:ascii="Times New Roman" w:hAnsi="Times New Roman"/>
          <w:sz w:val="24"/>
          <w:szCs w:val="24"/>
        </w:rPr>
        <w:t>месеци</w:t>
      </w:r>
      <w:r w:rsidR="00823AD8" w:rsidRPr="00FB5A28">
        <w:rPr>
          <w:rFonts w:ascii="Times New Roman" w:hAnsi="Times New Roman"/>
          <w:sz w:val="24"/>
          <w:szCs w:val="24"/>
        </w:rPr>
        <w:t xml:space="preserve"> </w:t>
      </w:r>
      <w:r w:rsidR="008D45E3" w:rsidRPr="00FB5A28">
        <w:rPr>
          <w:rFonts w:ascii="Times New Roman" w:hAnsi="Times New Roman"/>
          <w:sz w:val="24"/>
          <w:szCs w:val="24"/>
        </w:rPr>
        <w:t>од</w:t>
      </w:r>
      <w:r w:rsidR="00823AD8" w:rsidRPr="00FB5A28">
        <w:rPr>
          <w:rFonts w:ascii="Times New Roman" w:hAnsi="Times New Roman"/>
          <w:sz w:val="24"/>
          <w:szCs w:val="24"/>
        </w:rPr>
        <w:t xml:space="preserve"> </w:t>
      </w:r>
      <w:r w:rsidR="008D45E3" w:rsidRPr="00FB5A28">
        <w:rPr>
          <w:rFonts w:ascii="Times New Roman" w:hAnsi="Times New Roman"/>
          <w:sz w:val="24"/>
          <w:szCs w:val="24"/>
        </w:rPr>
        <w:t>дана</w:t>
      </w:r>
      <w:r w:rsidR="00823AD8" w:rsidRPr="00FB5A28">
        <w:rPr>
          <w:rFonts w:ascii="Times New Roman" w:hAnsi="Times New Roman"/>
          <w:sz w:val="24"/>
          <w:szCs w:val="24"/>
        </w:rPr>
        <w:t xml:space="preserve"> </w:t>
      </w:r>
      <w:r w:rsidR="008D45E3" w:rsidRPr="00FB5A28">
        <w:rPr>
          <w:rFonts w:ascii="Times New Roman" w:hAnsi="Times New Roman"/>
          <w:sz w:val="24"/>
          <w:szCs w:val="24"/>
        </w:rPr>
        <w:t>продаје</w:t>
      </w:r>
      <w:r w:rsidR="00823AD8" w:rsidRPr="00FB5A28">
        <w:rPr>
          <w:rFonts w:ascii="Times New Roman" w:hAnsi="Times New Roman"/>
          <w:sz w:val="24"/>
          <w:szCs w:val="24"/>
        </w:rPr>
        <w:t xml:space="preserve"> </w:t>
      </w:r>
      <w:r w:rsidR="008D45E3" w:rsidRPr="00FB5A28">
        <w:rPr>
          <w:rFonts w:ascii="Times New Roman" w:hAnsi="Times New Roman"/>
          <w:sz w:val="24"/>
          <w:szCs w:val="24"/>
        </w:rPr>
        <w:t>непокретности</w:t>
      </w:r>
      <w:r w:rsidR="00823AD8" w:rsidRPr="00FB5A28">
        <w:rPr>
          <w:rFonts w:ascii="Times New Roman" w:hAnsi="Times New Roman"/>
          <w:sz w:val="24"/>
          <w:szCs w:val="24"/>
        </w:rPr>
        <w:t xml:space="preserve">, </w:t>
      </w:r>
      <w:r w:rsidR="008D45E3" w:rsidRPr="00FB5A28">
        <w:rPr>
          <w:rFonts w:ascii="Times New Roman" w:hAnsi="Times New Roman"/>
          <w:sz w:val="24"/>
          <w:szCs w:val="24"/>
        </w:rPr>
        <w:t>средства</w:t>
      </w:r>
      <w:r w:rsidR="00823AD8" w:rsidRPr="00FB5A28">
        <w:rPr>
          <w:rFonts w:ascii="Times New Roman" w:hAnsi="Times New Roman"/>
          <w:sz w:val="24"/>
          <w:szCs w:val="24"/>
        </w:rPr>
        <w:t xml:space="preserve"> </w:t>
      </w:r>
      <w:r w:rsidR="008D45E3" w:rsidRPr="00FB5A28">
        <w:rPr>
          <w:rFonts w:ascii="Times New Roman" w:hAnsi="Times New Roman"/>
          <w:sz w:val="24"/>
          <w:szCs w:val="24"/>
        </w:rPr>
        <w:t>остварена</w:t>
      </w:r>
      <w:r w:rsidR="00823AD8" w:rsidRPr="00FB5A28">
        <w:rPr>
          <w:rFonts w:ascii="Times New Roman" w:hAnsi="Times New Roman"/>
          <w:sz w:val="24"/>
          <w:szCs w:val="24"/>
        </w:rPr>
        <w:t xml:space="preserve"> </w:t>
      </w:r>
      <w:r w:rsidR="008D45E3" w:rsidRPr="00FB5A28">
        <w:rPr>
          <w:rFonts w:ascii="Times New Roman" w:hAnsi="Times New Roman"/>
          <w:sz w:val="24"/>
          <w:szCs w:val="24"/>
        </w:rPr>
        <w:t>продајом</w:t>
      </w:r>
      <w:r w:rsidR="00823AD8" w:rsidRPr="00FB5A28">
        <w:rPr>
          <w:rFonts w:ascii="Times New Roman" w:hAnsi="Times New Roman"/>
          <w:sz w:val="24"/>
          <w:szCs w:val="24"/>
        </w:rPr>
        <w:t xml:space="preserve"> </w:t>
      </w:r>
      <w:r w:rsidR="008D45E3" w:rsidRPr="00FB5A28">
        <w:rPr>
          <w:rFonts w:ascii="Times New Roman" w:hAnsi="Times New Roman"/>
          <w:sz w:val="24"/>
          <w:szCs w:val="24"/>
        </w:rPr>
        <w:t>непокретности</w:t>
      </w:r>
      <w:r w:rsidR="00823AD8" w:rsidRPr="00FB5A28">
        <w:rPr>
          <w:rFonts w:ascii="Times New Roman" w:hAnsi="Times New Roman"/>
          <w:sz w:val="24"/>
          <w:szCs w:val="24"/>
        </w:rPr>
        <w:t xml:space="preserve"> </w:t>
      </w:r>
      <w:r w:rsidR="008D45E3" w:rsidRPr="00FB5A28">
        <w:rPr>
          <w:rFonts w:ascii="Times New Roman" w:hAnsi="Times New Roman"/>
          <w:sz w:val="24"/>
          <w:szCs w:val="24"/>
        </w:rPr>
        <w:t>уложи</w:t>
      </w:r>
      <w:r w:rsidR="00823AD8" w:rsidRPr="00FB5A28">
        <w:rPr>
          <w:rFonts w:ascii="Times New Roman" w:hAnsi="Times New Roman"/>
          <w:sz w:val="24"/>
          <w:szCs w:val="24"/>
        </w:rPr>
        <w:t xml:space="preserve"> </w:t>
      </w:r>
      <w:r w:rsidR="008D45E3" w:rsidRPr="00FB5A28">
        <w:rPr>
          <w:rFonts w:ascii="Times New Roman" w:hAnsi="Times New Roman"/>
          <w:sz w:val="24"/>
          <w:szCs w:val="24"/>
        </w:rPr>
        <w:t>за</w:t>
      </w:r>
      <w:r w:rsidR="00823AD8" w:rsidRPr="00FB5A28">
        <w:rPr>
          <w:rFonts w:ascii="Times New Roman" w:hAnsi="Times New Roman"/>
          <w:sz w:val="24"/>
          <w:szCs w:val="24"/>
        </w:rPr>
        <w:t xml:space="preserve"> </w:t>
      </w:r>
      <w:r w:rsidRPr="00FB5A28">
        <w:rPr>
          <w:rFonts w:ascii="Times New Roman" w:hAnsi="Times New Roman"/>
          <w:sz w:val="24"/>
          <w:szCs w:val="24"/>
          <w:lang w:val="sr-Cyrl-CS"/>
        </w:rPr>
        <w:t xml:space="preserve">ове </w:t>
      </w:r>
      <w:r w:rsidR="008D45E3" w:rsidRPr="00FB5A28">
        <w:rPr>
          <w:rFonts w:ascii="Times New Roman" w:hAnsi="Times New Roman"/>
          <w:sz w:val="24"/>
          <w:szCs w:val="24"/>
        </w:rPr>
        <w:t>намене</w:t>
      </w:r>
      <w:r w:rsidRPr="00FB5A28">
        <w:rPr>
          <w:rFonts w:ascii="Times New Roman" w:hAnsi="Times New Roman"/>
          <w:sz w:val="24"/>
          <w:szCs w:val="24"/>
        </w:rPr>
        <w:t xml:space="preserve"> </w:t>
      </w:r>
      <w:r w:rsidR="00823AD8" w:rsidRPr="00FB5A28">
        <w:rPr>
          <w:rFonts w:ascii="Times New Roman" w:hAnsi="Times New Roman"/>
          <w:sz w:val="24"/>
          <w:szCs w:val="24"/>
        </w:rPr>
        <w:t xml:space="preserve"> </w:t>
      </w:r>
      <w:r w:rsidR="008D45E3" w:rsidRPr="00FB5A28">
        <w:rPr>
          <w:rFonts w:ascii="Times New Roman" w:hAnsi="Times New Roman"/>
          <w:sz w:val="24"/>
          <w:szCs w:val="24"/>
        </w:rPr>
        <w:t>извршиће</w:t>
      </w:r>
      <w:r w:rsidR="00823AD8" w:rsidRPr="00FB5A28">
        <w:rPr>
          <w:rFonts w:ascii="Times New Roman" w:hAnsi="Times New Roman"/>
          <w:sz w:val="24"/>
          <w:szCs w:val="24"/>
        </w:rPr>
        <w:t xml:space="preserve"> </w:t>
      </w:r>
      <w:r w:rsidR="008D45E3" w:rsidRPr="00FB5A28">
        <w:rPr>
          <w:rFonts w:ascii="Times New Roman" w:hAnsi="Times New Roman"/>
          <w:sz w:val="24"/>
          <w:szCs w:val="24"/>
        </w:rPr>
        <w:t>се</w:t>
      </w:r>
      <w:r w:rsidR="00823AD8" w:rsidRPr="00FB5A28">
        <w:rPr>
          <w:rFonts w:ascii="Times New Roman" w:hAnsi="Times New Roman"/>
          <w:sz w:val="24"/>
          <w:szCs w:val="24"/>
        </w:rPr>
        <w:t xml:space="preserve"> </w:t>
      </w:r>
      <w:r w:rsidR="008D45E3" w:rsidRPr="00FB5A28">
        <w:rPr>
          <w:rFonts w:ascii="Times New Roman" w:hAnsi="Times New Roman"/>
          <w:sz w:val="24"/>
          <w:szCs w:val="24"/>
        </w:rPr>
        <w:t>повраћај</w:t>
      </w:r>
      <w:r w:rsidR="00823AD8" w:rsidRPr="00FB5A28">
        <w:rPr>
          <w:rFonts w:ascii="Times New Roman" w:hAnsi="Times New Roman"/>
          <w:sz w:val="24"/>
          <w:szCs w:val="24"/>
        </w:rPr>
        <w:t xml:space="preserve"> </w:t>
      </w:r>
      <w:r w:rsidR="008D45E3" w:rsidRPr="00FB5A28">
        <w:rPr>
          <w:rFonts w:ascii="Times New Roman" w:hAnsi="Times New Roman"/>
          <w:sz w:val="24"/>
          <w:szCs w:val="24"/>
        </w:rPr>
        <w:t>плаћеног</w:t>
      </w:r>
      <w:r w:rsidR="00823AD8" w:rsidRPr="00FB5A28">
        <w:rPr>
          <w:rFonts w:ascii="Times New Roman" w:hAnsi="Times New Roman"/>
          <w:sz w:val="24"/>
          <w:szCs w:val="24"/>
        </w:rPr>
        <w:t xml:space="preserve"> </w:t>
      </w:r>
      <w:r w:rsidR="008D45E3" w:rsidRPr="00FB5A28">
        <w:rPr>
          <w:rFonts w:ascii="Times New Roman" w:hAnsi="Times New Roman"/>
          <w:sz w:val="24"/>
          <w:szCs w:val="24"/>
        </w:rPr>
        <w:t>пореза</w:t>
      </w:r>
      <w:r w:rsidR="00823AD8" w:rsidRPr="00FB5A28">
        <w:rPr>
          <w:rFonts w:ascii="Times New Roman" w:hAnsi="Times New Roman"/>
          <w:sz w:val="24"/>
          <w:szCs w:val="24"/>
        </w:rPr>
        <w:t xml:space="preserve"> </w:t>
      </w:r>
      <w:r w:rsidR="008D45E3" w:rsidRPr="00FB5A28">
        <w:rPr>
          <w:rFonts w:ascii="Times New Roman" w:hAnsi="Times New Roman"/>
          <w:sz w:val="24"/>
          <w:szCs w:val="24"/>
        </w:rPr>
        <w:t>на</w:t>
      </w:r>
      <w:r w:rsidR="00823AD8" w:rsidRPr="00FB5A28">
        <w:rPr>
          <w:rFonts w:ascii="Times New Roman" w:hAnsi="Times New Roman"/>
          <w:sz w:val="24"/>
          <w:szCs w:val="24"/>
        </w:rPr>
        <w:t xml:space="preserve"> </w:t>
      </w:r>
      <w:r w:rsidR="008D45E3" w:rsidRPr="00FB5A28">
        <w:rPr>
          <w:rFonts w:ascii="Times New Roman" w:hAnsi="Times New Roman"/>
          <w:sz w:val="24"/>
          <w:szCs w:val="24"/>
        </w:rPr>
        <w:t>капитални</w:t>
      </w:r>
      <w:r w:rsidR="00823AD8" w:rsidRPr="00FB5A28">
        <w:rPr>
          <w:rFonts w:ascii="Times New Roman" w:hAnsi="Times New Roman"/>
          <w:sz w:val="24"/>
          <w:szCs w:val="24"/>
        </w:rPr>
        <w:t xml:space="preserve"> </w:t>
      </w:r>
      <w:r w:rsidR="008D45E3" w:rsidRPr="00FB5A28">
        <w:rPr>
          <w:rFonts w:ascii="Times New Roman" w:hAnsi="Times New Roman"/>
          <w:sz w:val="24"/>
          <w:szCs w:val="24"/>
        </w:rPr>
        <w:t>добитак</w:t>
      </w:r>
      <w:r w:rsidR="00823AD8" w:rsidRPr="00FB5A28">
        <w:rPr>
          <w:rFonts w:ascii="Times New Roman" w:hAnsi="Times New Roman"/>
          <w:sz w:val="24"/>
          <w:szCs w:val="24"/>
        </w:rPr>
        <w:t>.</w:t>
      </w:r>
    </w:p>
    <w:p w:rsidR="00014DFE" w:rsidRPr="00FB5A28" w:rsidRDefault="00741D88" w:rsidP="00FB5A28">
      <w:pPr>
        <w:jc w:val="both"/>
        <w:rPr>
          <w:rFonts w:ascii="Times New Roman" w:hAnsi="Times New Roman"/>
          <w:sz w:val="24"/>
          <w:szCs w:val="24"/>
          <w:lang w:val="sr-Cyrl-CS"/>
        </w:rPr>
      </w:pPr>
      <w:r w:rsidRPr="00FB5A28">
        <w:rPr>
          <w:rFonts w:ascii="Times New Roman" w:hAnsi="Times New Roman"/>
          <w:sz w:val="24"/>
          <w:szCs w:val="24"/>
          <w:lang w:val="sr-Cyrl-CS"/>
        </w:rPr>
        <w:t>3)Трећи случај пореског кредита регулисан је чл. 80. ЗПДГ. Наиме, а</w:t>
      </w:r>
      <w:r w:rsidR="008D45E3" w:rsidRPr="00FB5A28">
        <w:rPr>
          <w:rFonts w:ascii="Times New Roman" w:hAnsi="Times New Roman"/>
          <w:sz w:val="24"/>
          <w:szCs w:val="24"/>
        </w:rPr>
        <w:t>ко</w:t>
      </w:r>
      <w:r w:rsidRPr="00FB5A28">
        <w:rPr>
          <w:rFonts w:ascii="Times New Roman" w:hAnsi="Times New Roman"/>
          <w:sz w:val="24"/>
          <w:szCs w:val="24"/>
        </w:rPr>
        <w:t xml:space="preserve"> </w:t>
      </w:r>
      <w:r w:rsidR="008D45E3" w:rsidRPr="00FB5A28">
        <w:rPr>
          <w:rFonts w:ascii="Times New Roman" w:hAnsi="Times New Roman"/>
          <w:sz w:val="24"/>
          <w:szCs w:val="24"/>
        </w:rPr>
        <w:t>обвезник</w:t>
      </w:r>
      <w:r w:rsidRPr="00FB5A28">
        <w:rPr>
          <w:rFonts w:ascii="Times New Roman" w:hAnsi="Times New Roman"/>
          <w:sz w:val="24"/>
          <w:szCs w:val="24"/>
        </w:rPr>
        <w:t xml:space="preserve"> </w:t>
      </w:r>
      <w:r w:rsidR="008D45E3" w:rsidRPr="00FB5A28">
        <w:rPr>
          <w:rFonts w:ascii="Times New Roman" w:hAnsi="Times New Roman"/>
          <w:sz w:val="24"/>
          <w:szCs w:val="24"/>
        </w:rPr>
        <w:t>у</w:t>
      </w:r>
      <w:r w:rsidRPr="00FB5A28">
        <w:rPr>
          <w:rFonts w:ascii="Times New Roman" w:hAnsi="Times New Roman"/>
          <w:sz w:val="24"/>
          <w:szCs w:val="24"/>
        </w:rPr>
        <w:t xml:space="preserve"> </w:t>
      </w:r>
      <w:r w:rsidR="008D45E3" w:rsidRPr="00FB5A28">
        <w:rPr>
          <w:rFonts w:ascii="Times New Roman" w:hAnsi="Times New Roman"/>
          <w:sz w:val="24"/>
          <w:szCs w:val="24"/>
        </w:rPr>
        <w:t>решавање</w:t>
      </w:r>
      <w:r w:rsidRPr="00FB5A28">
        <w:rPr>
          <w:rFonts w:ascii="Times New Roman" w:hAnsi="Times New Roman"/>
          <w:sz w:val="24"/>
          <w:szCs w:val="24"/>
        </w:rPr>
        <w:t xml:space="preserve"> </w:t>
      </w:r>
      <w:r w:rsidR="008D45E3" w:rsidRPr="00FB5A28">
        <w:rPr>
          <w:rFonts w:ascii="Times New Roman" w:hAnsi="Times New Roman"/>
          <w:sz w:val="24"/>
          <w:szCs w:val="24"/>
        </w:rPr>
        <w:t>стамбеног</w:t>
      </w:r>
      <w:r w:rsidRPr="00FB5A28">
        <w:rPr>
          <w:rFonts w:ascii="Times New Roman" w:hAnsi="Times New Roman"/>
          <w:sz w:val="24"/>
          <w:szCs w:val="24"/>
        </w:rPr>
        <w:t xml:space="preserve"> </w:t>
      </w:r>
      <w:r w:rsidR="008D45E3" w:rsidRPr="00FB5A28">
        <w:rPr>
          <w:rFonts w:ascii="Times New Roman" w:hAnsi="Times New Roman"/>
          <w:sz w:val="24"/>
          <w:szCs w:val="24"/>
        </w:rPr>
        <w:t>питања</w:t>
      </w:r>
      <w:r w:rsidRPr="00FB5A28">
        <w:rPr>
          <w:rFonts w:ascii="Times New Roman" w:hAnsi="Times New Roman"/>
          <w:sz w:val="24"/>
          <w:szCs w:val="24"/>
        </w:rPr>
        <w:t xml:space="preserve"> </w:t>
      </w:r>
      <w:r w:rsidR="008D45E3" w:rsidRPr="00FB5A28">
        <w:rPr>
          <w:rFonts w:ascii="Times New Roman" w:hAnsi="Times New Roman"/>
          <w:sz w:val="24"/>
          <w:szCs w:val="24"/>
        </w:rPr>
        <w:t>у</w:t>
      </w:r>
      <w:r w:rsidRPr="00FB5A28">
        <w:rPr>
          <w:rFonts w:ascii="Times New Roman" w:hAnsi="Times New Roman"/>
          <w:sz w:val="24"/>
          <w:szCs w:val="24"/>
        </w:rPr>
        <w:t xml:space="preserve"> </w:t>
      </w:r>
      <w:r w:rsidRPr="00FB5A28">
        <w:rPr>
          <w:rFonts w:ascii="Times New Roman" w:hAnsi="Times New Roman"/>
          <w:sz w:val="24"/>
          <w:szCs w:val="24"/>
          <w:lang w:val="sr-Cyrl-CS"/>
        </w:rPr>
        <w:t>претходно наведеном случају</w:t>
      </w:r>
      <w:r w:rsidRPr="00FB5A28">
        <w:rPr>
          <w:rFonts w:ascii="Times New Roman" w:hAnsi="Times New Roman"/>
          <w:sz w:val="24"/>
          <w:szCs w:val="24"/>
        </w:rPr>
        <w:t xml:space="preserve"> </w:t>
      </w:r>
      <w:r w:rsidR="008D45E3" w:rsidRPr="00FB5A28">
        <w:rPr>
          <w:rFonts w:ascii="Times New Roman" w:hAnsi="Times New Roman"/>
          <w:sz w:val="24"/>
          <w:szCs w:val="24"/>
        </w:rPr>
        <w:t>уложи</w:t>
      </w:r>
      <w:r w:rsidRPr="00FB5A28">
        <w:rPr>
          <w:rFonts w:ascii="Times New Roman" w:hAnsi="Times New Roman"/>
          <w:sz w:val="24"/>
          <w:szCs w:val="24"/>
        </w:rPr>
        <w:t xml:space="preserve"> </w:t>
      </w:r>
      <w:r w:rsidR="008D45E3" w:rsidRPr="00FB5A28">
        <w:rPr>
          <w:rFonts w:ascii="Times New Roman" w:hAnsi="Times New Roman"/>
          <w:sz w:val="24"/>
          <w:szCs w:val="24"/>
        </w:rPr>
        <w:t>само</w:t>
      </w:r>
      <w:r w:rsidRPr="00FB5A28">
        <w:rPr>
          <w:rFonts w:ascii="Times New Roman" w:hAnsi="Times New Roman"/>
          <w:sz w:val="24"/>
          <w:szCs w:val="24"/>
        </w:rPr>
        <w:t xml:space="preserve"> </w:t>
      </w:r>
      <w:r w:rsidR="008D45E3" w:rsidRPr="00FB5A28">
        <w:rPr>
          <w:rFonts w:ascii="Times New Roman" w:hAnsi="Times New Roman"/>
          <w:sz w:val="24"/>
          <w:szCs w:val="24"/>
        </w:rPr>
        <w:t>део</w:t>
      </w:r>
      <w:r w:rsidRPr="00FB5A28">
        <w:rPr>
          <w:rFonts w:ascii="Times New Roman" w:hAnsi="Times New Roman"/>
          <w:sz w:val="24"/>
          <w:szCs w:val="24"/>
        </w:rPr>
        <w:t xml:space="preserve"> </w:t>
      </w:r>
      <w:r w:rsidR="008D45E3" w:rsidRPr="00FB5A28">
        <w:rPr>
          <w:rFonts w:ascii="Times New Roman" w:hAnsi="Times New Roman"/>
          <w:sz w:val="24"/>
          <w:szCs w:val="24"/>
        </w:rPr>
        <w:t>средстава</w:t>
      </w:r>
      <w:r w:rsidRPr="00FB5A28">
        <w:rPr>
          <w:rFonts w:ascii="Times New Roman" w:hAnsi="Times New Roman"/>
          <w:sz w:val="24"/>
          <w:szCs w:val="24"/>
        </w:rPr>
        <w:t xml:space="preserve"> </w:t>
      </w:r>
      <w:r w:rsidR="008D45E3" w:rsidRPr="00FB5A28">
        <w:rPr>
          <w:rFonts w:ascii="Times New Roman" w:hAnsi="Times New Roman"/>
          <w:sz w:val="24"/>
          <w:szCs w:val="24"/>
        </w:rPr>
        <w:t>остварених</w:t>
      </w:r>
      <w:r w:rsidRPr="00FB5A28">
        <w:rPr>
          <w:rFonts w:ascii="Times New Roman" w:hAnsi="Times New Roman"/>
          <w:sz w:val="24"/>
          <w:szCs w:val="24"/>
        </w:rPr>
        <w:t xml:space="preserve"> </w:t>
      </w:r>
      <w:r w:rsidR="008D45E3" w:rsidRPr="00FB5A28">
        <w:rPr>
          <w:rFonts w:ascii="Times New Roman" w:hAnsi="Times New Roman"/>
          <w:sz w:val="24"/>
          <w:szCs w:val="24"/>
        </w:rPr>
        <w:t>продајом</w:t>
      </w:r>
      <w:r w:rsidRPr="00FB5A28">
        <w:rPr>
          <w:rFonts w:ascii="Times New Roman" w:hAnsi="Times New Roman"/>
          <w:sz w:val="24"/>
          <w:szCs w:val="24"/>
        </w:rPr>
        <w:t xml:space="preserve"> </w:t>
      </w:r>
      <w:r w:rsidR="008D45E3" w:rsidRPr="00FB5A28">
        <w:rPr>
          <w:rFonts w:ascii="Times New Roman" w:hAnsi="Times New Roman"/>
          <w:sz w:val="24"/>
          <w:szCs w:val="24"/>
        </w:rPr>
        <w:t>непокретности</w:t>
      </w:r>
      <w:r w:rsidRPr="00FB5A28">
        <w:rPr>
          <w:rFonts w:ascii="Times New Roman" w:hAnsi="Times New Roman"/>
          <w:sz w:val="24"/>
          <w:szCs w:val="24"/>
        </w:rPr>
        <w:t xml:space="preserve">, </w:t>
      </w:r>
      <w:r w:rsidR="008D45E3" w:rsidRPr="00FB5A28">
        <w:rPr>
          <w:rFonts w:ascii="Times New Roman" w:hAnsi="Times New Roman"/>
          <w:sz w:val="24"/>
          <w:szCs w:val="24"/>
        </w:rPr>
        <w:t>пореска</w:t>
      </w:r>
      <w:r w:rsidRPr="00FB5A28">
        <w:rPr>
          <w:rFonts w:ascii="Times New Roman" w:hAnsi="Times New Roman"/>
          <w:sz w:val="24"/>
          <w:szCs w:val="24"/>
        </w:rPr>
        <w:t xml:space="preserve"> </w:t>
      </w:r>
      <w:r w:rsidR="008D45E3" w:rsidRPr="00FB5A28">
        <w:rPr>
          <w:rFonts w:ascii="Times New Roman" w:hAnsi="Times New Roman"/>
          <w:sz w:val="24"/>
          <w:szCs w:val="24"/>
        </w:rPr>
        <w:t>обавеза</w:t>
      </w:r>
      <w:r w:rsidRPr="00FB5A28">
        <w:rPr>
          <w:rFonts w:ascii="Times New Roman" w:hAnsi="Times New Roman"/>
          <w:sz w:val="24"/>
          <w:szCs w:val="24"/>
        </w:rPr>
        <w:t xml:space="preserve"> </w:t>
      </w:r>
      <w:r w:rsidR="008D45E3" w:rsidRPr="00FB5A28">
        <w:rPr>
          <w:rFonts w:ascii="Times New Roman" w:hAnsi="Times New Roman"/>
          <w:sz w:val="24"/>
          <w:szCs w:val="24"/>
        </w:rPr>
        <w:t>му</w:t>
      </w:r>
      <w:r w:rsidRPr="00FB5A28">
        <w:rPr>
          <w:rFonts w:ascii="Times New Roman" w:hAnsi="Times New Roman"/>
          <w:sz w:val="24"/>
          <w:szCs w:val="24"/>
        </w:rPr>
        <w:t xml:space="preserve"> </w:t>
      </w:r>
      <w:r w:rsidR="008D45E3" w:rsidRPr="00FB5A28">
        <w:rPr>
          <w:rFonts w:ascii="Times New Roman" w:hAnsi="Times New Roman"/>
          <w:sz w:val="24"/>
          <w:szCs w:val="24"/>
        </w:rPr>
        <w:t>се</w:t>
      </w:r>
      <w:r w:rsidRPr="00FB5A28">
        <w:rPr>
          <w:rFonts w:ascii="Times New Roman" w:hAnsi="Times New Roman"/>
          <w:sz w:val="24"/>
          <w:szCs w:val="24"/>
        </w:rPr>
        <w:t xml:space="preserve"> </w:t>
      </w:r>
      <w:r w:rsidR="008D45E3" w:rsidRPr="00FB5A28">
        <w:rPr>
          <w:rFonts w:ascii="Times New Roman" w:hAnsi="Times New Roman"/>
          <w:sz w:val="24"/>
          <w:szCs w:val="24"/>
        </w:rPr>
        <w:t>сразмерно</w:t>
      </w:r>
      <w:r w:rsidRPr="00FB5A28">
        <w:rPr>
          <w:rFonts w:ascii="Times New Roman" w:hAnsi="Times New Roman"/>
          <w:sz w:val="24"/>
          <w:szCs w:val="24"/>
        </w:rPr>
        <w:t xml:space="preserve"> </w:t>
      </w:r>
      <w:r w:rsidR="008D45E3" w:rsidRPr="00FB5A28">
        <w:rPr>
          <w:rFonts w:ascii="Times New Roman" w:hAnsi="Times New Roman"/>
          <w:sz w:val="24"/>
          <w:szCs w:val="24"/>
        </w:rPr>
        <w:t>умањује</w:t>
      </w:r>
      <w:r w:rsidRPr="00FB5A28">
        <w:rPr>
          <w:rFonts w:ascii="Times New Roman" w:hAnsi="Times New Roman"/>
          <w:sz w:val="24"/>
          <w:szCs w:val="24"/>
          <w:lang w:val="sr-Cyrl-CS"/>
        </w:rPr>
        <w:t>.</w:t>
      </w:r>
      <w:bookmarkStart w:id="45" w:name="str_54"/>
      <w:bookmarkStart w:id="46" w:name="clan_81"/>
      <w:bookmarkEnd w:id="45"/>
      <w:bookmarkEnd w:id="46"/>
    </w:p>
    <w:p w:rsidR="00FB5A28" w:rsidRPr="00014DFE" w:rsidRDefault="00FB5A28" w:rsidP="00014DFE">
      <w:pPr>
        <w:pStyle w:val="normal0"/>
        <w:shd w:val="clear" w:color="auto" w:fill="FFFFFF"/>
        <w:spacing w:before="48" w:beforeAutospacing="0" w:after="48" w:afterAutospacing="0"/>
        <w:jc w:val="both"/>
        <w:rPr>
          <w:color w:val="000000"/>
        </w:rPr>
      </w:pPr>
    </w:p>
    <w:p w:rsidR="00C64C4A" w:rsidRPr="00C64C4A" w:rsidRDefault="00C64C4A" w:rsidP="00FB5A28">
      <w:pPr>
        <w:pStyle w:val="normal0"/>
        <w:shd w:val="clear" w:color="auto" w:fill="FFFFFF"/>
        <w:jc w:val="center"/>
        <w:rPr>
          <w:b/>
          <w:color w:val="000000"/>
          <w:lang w:val="sr-Cyrl-CS"/>
        </w:rPr>
      </w:pPr>
      <w:r>
        <w:rPr>
          <w:b/>
          <w:color w:val="000000"/>
          <w:lang w:val="sr-Cyrl-CS"/>
        </w:rPr>
        <w:t>5.3.4.6</w:t>
      </w:r>
      <w:r w:rsidRPr="00C64C4A">
        <w:rPr>
          <w:b/>
          <w:color w:val="000000"/>
          <w:lang w:val="sr-Cyrl-CS"/>
        </w:rPr>
        <w:t>. Порез на остале приходе</w:t>
      </w:r>
    </w:p>
    <w:p w:rsidR="004D4979" w:rsidRPr="00FB5A28" w:rsidRDefault="008D45E3" w:rsidP="00FB5A28">
      <w:pPr>
        <w:ind w:firstLine="708"/>
        <w:jc w:val="both"/>
        <w:rPr>
          <w:rFonts w:ascii="Times New Roman" w:hAnsi="Times New Roman"/>
          <w:sz w:val="24"/>
          <w:szCs w:val="24"/>
          <w:lang w:val="sr-Cyrl-CS"/>
        </w:rPr>
      </w:pPr>
      <w:r w:rsidRPr="00FB5A28">
        <w:rPr>
          <w:rFonts w:ascii="Times New Roman" w:hAnsi="Times New Roman"/>
          <w:sz w:val="24"/>
          <w:szCs w:val="24"/>
        </w:rPr>
        <w:t>Осталим</w:t>
      </w:r>
      <w:r w:rsidR="004D4979" w:rsidRPr="00FB5A28">
        <w:rPr>
          <w:rFonts w:ascii="Times New Roman" w:hAnsi="Times New Roman"/>
          <w:sz w:val="24"/>
          <w:szCs w:val="24"/>
        </w:rPr>
        <w:t xml:space="preserve"> </w:t>
      </w:r>
      <w:r w:rsidRPr="00FB5A28">
        <w:rPr>
          <w:rFonts w:ascii="Times New Roman" w:hAnsi="Times New Roman"/>
          <w:sz w:val="24"/>
          <w:szCs w:val="24"/>
        </w:rPr>
        <w:t>приходима</w:t>
      </w:r>
      <w:r w:rsidR="004D4979" w:rsidRPr="00FB5A28">
        <w:rPr>
          <w:rFonts w:ascii="Times New Roman" w:hAnsi="Times New Roman"/>
          <w:sz w:val="24"/>
          <w:szCs w:val="24"/>
        </w:rPr>
        <w:t xml:space="preserve"> </w:t>
      </w:r>
      <w:r w:rsidRPr="00FB5A28">
        <w:rPr>
          <w:rFonts w:ascii="Times New Roman" w:hAnsi="Times New Roman"/>
          <w:sz w:val="24"/>
          <w:szCs w:val="24"/>
        </w:rPr>
        <w:t>сматрају</w:t>
      </w:r>
      <w:r w:rsidR="004D4979" w:rsidRPr="00FB5A28">
        <w:rPr>
          <w:rFonts w:ascii="Times New Roman" w:hAnsi="Times New Roman"/>
          <w:sz w:val="24"/>
          <w:szCs w:val="24"/>
        </w:rPr>
        <w:t xml:space="preserve"> </w:t>
      </w:r>
      <w:r w:rsidRPr="00FB5A28">
        <w:rPr>
          <w:rFonts w:ascii="Times New Roman" w:hAnsi="Times New Roman"/>
          <w:sz w:val="24"/>
          <w:szCs w:val="24"/>
        </w:rPr>
        <w:t>се</w:t>
      </w:r>
      <w:r w:rsidR="004D4979" w:rsidRPr="00FB5A28">
        <w:rPr>
          <w:rFonts w:ascii="Times New Roman" w:hAnsi="Times New Roman"/>
          <w:sz w:val="24"/>
          <w:szCs w:val="24"/>
        </w:rPr>
        <w:t xml:space="preserve">: </w:t>
      </w:r>
      <w:r w:rsidRPr="00FB5A28">
        <w:rPr>
          <w:rFonts w:ascii="Times New Roman" w:hAnsi="Times New Roman"/>
          <w:sz w:val="24"/>
          <w:szCs w:val="24"/>
        </w:rPr>
        <w:t>приходи</w:t>
      </w:r>
      <w:r w:rsidR="004D4979" w:rsidRPr="00FB5A28">
        <w:rPr>
          <w:rFonts w:ascii="Times New Roman" w:hAnsi="Times New Roman"/>
          <w:sz w:val="24"/>
          <w:szCs w:val="24"/>
        </w:rPr>
        <w:t xml:space="preserve"> </w:t>
      </w:r>
      <w:r w:rsidRPr="00FB5A28">
        <w:rPr>
          <w:rFonts w:ascii="Times New Roman" w:hAnsi="Times New Roman"/>
          <w:sz w:val="24"/>
          <w:szCs w:val="24"/>
        </w:rPr>
        <w:t>које</w:t>
      </w:r>
      <w:r w:rsidR="004D4979" w:rsidRPr="00FB5A28">
        <w:rPr>
          <w:rFonts w:ascii="Times New Roman" w:hAnsi="Times New Roman"/>
          <w:sz w:val="24"/>
          <w:szCs w:val="24"/>
        </w:rPr>
        <w:t xml:space="preserve"> </w:t>
      </w:r>
      <w:r w:rsidRPr="00FB5A28">
        <w:rPr>
          <w:rFonts w:ascii="Times New Roman" w:hAnsi="Times New Roman"/>
          <w:sz w:val="24"/>
          <w:szCs w:val="24"/>
        </w:rPr>
        <w:t>обвезник</w:t>
      </w:r>
      <w:r w:rsidR="004D4979" w:rsidRPr="00FB5A28">
        <w:rPr>
          <w:rFonts w:ascii="Times New Roman" w:hAnsi="Times New Roman"/>
          <w:sz w:val="24"/>
          <w:szCs w:val="24"/>
        </w:rPr>
        <w:t xml:space="preserve"> </w:t>
      </w:r>
      <w:r w:rsidRPr="00FB5A28">
        <w:rPr>
          <w:rFonts w:ascii="Times New Roman" w:hAnsi="Times New Roman"/>
          <w:sz w:val="24"/>
          <w:szCs w:val="24"/>
        </w:rPr>
        <w:t>оствари</w:t>
      </w:r>
      <w:r w:rsidR="004D4979" w:rsidRPr="00FB5A28">
        <w:rPr>
          <w:rFonts w:ascii="Times New Roman" w:hAnsi="Times New Roman"/>
          <w:sz w:val="24"/>
          <w:szCs w:val="24"/>
        </w:rPr>
        <w:t xml:space="preserve"> </w:t>
      </w:r>
      <w:r w:rsidRPr="00FB5A28">
        <w:rPr>
          <w:rFonts w:ascii="Times New Roman" w:hAnsi="Times New Roman"/>
          <w:sz w:val="24"/>
          <w:szCs w:val="24"/>
        </w:rPr>
        <w:t>давањем</w:t>
      </w:r>
      <w:r w:rsidR="004D4979" w:rsidRPr="00FB5A28">
        <w:rPr>
          <w:rFonts w:ascii="Times New Roman" w:hAnsi="Times New Roman"/>
          <w:sz w:val="24"/>
          <w:szCs w:val="24"/>
        </w:rPr>
        <w:t xml:space="preserve"> </w:t>
      </w:r>
      <w:r w:rsidRPr="00FB5A28">
        <w:rPr>
          <w:rFonts w:ascii="Times New Roman" w:hAnsi="Times New Roman"/>
          <w:sz w:val="24"/>
          <w:szCs w:val="24"/>
        </w:rPr>
        <w:t>у</w:t>
      </w:r>
      <w:r w:rsidR="004D4979" w:rsidRPr="00FB5A28">
        <w:rPr>
          <w:rFonts w:ascii="Times New Roman" w:hAnsi="Times New Roman"/>
          <w:sz w:val="24"/>
          <w:szCs w:val="24"/>
        </w:rPr>
        <w:t xml:space="preserve"> </w:t>
      </w:r>
      <w:r w:rsidRPr="00FB5A28">
        <w:rPr>
          <w:rFonts w:ascii="Times New Roman" w:hAnsi="Times New Roman"/>
          <w:sz w:val="24"/>
          <w:szCs w:val="24"/>
        </w:rPr>
        <w:t>закуп</w:t>
      </w:r>
      <w:r w:rsidR="004D4979" w:rsidRPr="00FB5A28">
        <w:rPr>
          <w:rFonts w:ascii="Times New Roman" w:hAnsi="Times New Roman"/>
          <w:sz w:val="24"/>
          <w:szCs w:val="24"/>
        </w:rPr>
        <w:t xml:space="preserve"> </w:t>
      </w:r>
      <w:r w:rsidRPr="00FB5A28">
        <w:rPr>
          <w:rFonts w:ascii="Times New Roman" w:hAnsi="Times New Roman"/>
          <w:sz w:val="24"/>
          <w:szCs w:val="24"/>
        </w:rPr>
        <w:t>опреме</w:t>
      </w:r>
      <w:r w:rsidR="004D4979" w:rsidRPr="00FB5A28">
        <w:rPr>
          <w:rFonts w:ascii="Times New Roman" w:hAnsi="Times New Roman"/>
          <w:sz w:val="24"/>
          <w:szCs w:val="24"/>
        </w:rPr>
        <w:t xml:space="preserve">, </w:t>
      </w:r>
      <w:r w:rsidRPr="00FB5A28">
        <w:rPr>
          <w:rFonts w:ascii="Times New Roman" w:hAnsi="Times New Roman"/>
          <w:sz w:val="24"/>
          <w:szCs w:val="24"/>
        </w:rPr>
        <w:t>транспортних</w:t>
      </w:r>
      <w:r w:rsidR="004D4979" w:rsidRPr="00FB5A28">
        <w:rPr>
          <w:rFonts w:ascii="Times New Roman" w:hAnsi="Times New Roman"/>
          <w:sz w:val="24"/>
          <w:szCs w:val="24"/>
        </w:rPr>
        <w:t xml:space="preserve"> </w:t>
      </w:r>
      <w:r w:rsidRPr="00FB5A28">
        <w:rPr>
          <w:rFonts w:ascii="Times New Roman" w:hAnsi="Times New Roman"/>
          <w:sz w:val="24"/>
          <w:szCs w:val="24"/>
        </w:rPr>
        <w:t>средстава</w:t>
      </w:r>
      <w:r w:rsidR="004D4979" w:rsidRPr="00FB5A28">
        <w:rPr>
          <w:rFonts w:ascii="Times New Roman" w:hAnsi="Times New Roman"/>
          <w:sz w:val="24"/>
          <w:szCs w:val="24"/>
        </w:rPr>
        <w:t xml:space="preserve"> </w:t>
      </w:r>
      <w:r w:rsidRPr="00FB5A28">
        <w:rPr>
          <w:rFonts w:ascii="Times New Roman" w:hAnsi="Times New Roman"/>
          <w:sz w:val="24"/>
          <w:szCs w:val="24"/>
        </w:rPr>
        <w:t>и</w:t>
      </w:r>
      <w:r w:rsidR="004D4979" w:rsidRPr="00FB5A28">
        <w:rPr>
          <w:rFonts w:ascii="Times New Roman" w:hAnsi="Times New Roman"/>
          <w:sz w:val="24"/>
          <w:szCs w:val="24"/>
        </w:rPr>
        <w:t xml:space="preserve"> </w:t>
      </w:r>
      <w:r w:rsidRPr="00FB5A28">
        <w:rPr>
          <w:rFonts w:ascii="Times New Roman" w:hAnsi="Times New Roman"/>
          <w:sz w:val="24"/>
          <w:szCs w:val="24"/>
        </w:rPr>
        <w:t>других</w:t>
      </w:r>
      <w:r w:rsidR="004D4979" w:rsidRPr="00FB5A28">
        <w:rPr>
          <w:rFonts w:ascii="Times New Roman" w:hAnsi="Times New Roman"/>
          <w:sz w:val="24"/>
          <w:szCs w:val="24"/>
        </w:rPr>
        <w:t xml:space="preserve"> </w:t>
      </w:r>
      <w:r w:rsidRPr="00FB5A28">
        <w:rPr>
          <w:rFonts w:ascii="Times New Roman" w:hAnsi="Times New Roman"/>
          <w:sz w:val="24"/>
          <w:szCs w:val="24"/>
        </w:rPr>
        <w:t>покретних</w:t>
      </w:r>
      <w:r w:rsidR="004D4979" w:rsidRPr="00FB5A28">
        <w:rPr>
          <w:rFonts w:ascii="Times New Roman" w:hAnsi="Times New Roman"/>
          <w:sz w:val="24"/>
          <w:szCs w:val="24"/>
        </w:rPr>
        <w:t xml:space="preserve"> </w:t>
      </w:r>
      <w:r w:rsidRPr="00FB5A28">
        <w:rPr>
          <w:rFonts w:ascii="Times New Roman" w:hAnsi="Times New Roman"/>
          <w:sz w:val="24"/>
          <w:szCs w:val="24"/>
        </w:rPr>
        <w:t>ствари</w:t>
      </w:r>
      <w:r w:rsidR="004D4979" w:rsidRPr="00FB5A28">
        <w:rPr>
          <w:rFonts w:ascii="Times New Roman" w:hAnsi="Times New Roman"/>
          <w:sz w:val="24"/>
          <w:szCs w:val="24"/>
        </w:rPr>
        <w:t xml:space="preserve">, </w:t>
      </w:r>
      <w:r w:rsidRPr="00FB5A28">
        <w:rPr>
          <w:rFonts w:ascii="Times New Roman" w:hAnsi="Times New Roman"/>
          <w:sz w:val="24"/>
          <w:szCs w:val="24"/>
        </w:rPr>
        <w:t>добици</w:t>
      </w:r>
      <w:r w:rsidR="004D4979" w:rsidRPr="00FB5A28">
        <w:rPr>
          <w:rFonts w:ascii="Times New Roman" w:hAnsi="Times New Roman"/>
          <w:sz w:val="24"/>
          <w:szCs w:val="24"/>
        </w:rPr>
        <w:t xml:space="preserve"> </w:t>
      </w:r>
      <w:r w:rsidRPr="00FB5A28">
        <w:rPr>
          <w:rFonts w:ascii="Times New Roman" w:hAnsi="Times New Roman"/>
          <w:sz w:val="24"/>
          <w:szCs w:val="24"/>
        </w:rPr>
        <w:t>од</w:t>
      </w:r>
      <w:r w:rsidR="004D4979" w:rsidRPr="00FB5A28">
        <w:rPr>
          <w:rFonts w:ascii="Times New Roman" w:hAnsi="Times New Roman"/>
          <w:sz w:val="24"/>
          <w:szCs w:val="24"/>
        </w:rPr>
        <w:t xml:space="preserve"> </w:t>
      </w:r>
      <w:r w:rsidRPr="00FB5A28">
        <w:rPr>
          <w:rFonts w:ascii="Times New Roman" w:hAnsi="Times New Roman"/>
          <w:sz w:val="24"/>
          <w:szCs w:val="24"/>
        </w:rPr>
        <w:t>игара</w:t>
      </w:r>
      <w:r w:rsidR="004D4979" w:rsidRPr="00FB5A28">
        <w:rPr>
          <w:rFonts w:ascii="Times New Roman" w:hAnsi="Times New Roman"/>
          <w:sz w:val="24"/>
          <w:szCs w:val="24"/>
        </w:rPr>
        <w:t xml:space="preserve"> </w:t>
      </w:r>
      <w:r w:rsidRPr="00FB5A28">
        <w:rPr>
          <w:rFonts w:ascii="Times New Roman" w:hAnsi="Times New Roman"/>
          <w:sz w:val="24"/>
          <w:szCs w:val="24"/>
        </w:rPr>
        <w:t>на</w:t>
      </w:r>
      <w:r w:rsidR="004D4979" w:rsidRPr="00FB5A28">
        <w:rPr>
          <w:rFonts w:ascii="Times New Roman" w:hAnsi="Times New Roman"/>
          <w:sz w:val="24"/>
          <w:szCs w:val="24"/>
        </w:rPr>
        <w:t xml:space="preserve"> </w:t>
      </w:r>
      <w:r w:rsidRPr="00FB5A28">
        <w:rPr>
          <w:rFonts w:ascii="Times New Roman" w:hAnsi="Times New Roman"/>
          <w:sz w:val="24"/>
          <w:szCs w:val="24"/>
        </w:rPr>
        <w:t>срећу</w:t>
      </w:r>
      <w:r w:rsidR="004D4979" w:rsidRPr="00FB5A28">
        <w:rPr>
          <w:rFonts w:ascii="Times New Roman" w:hAnsi="Times New Roman"/>
          <w:sz w:val="24"/>
          <w:szCs w:val="24"/>
        </w:rPr>
        <w:t xml:space="preserve">, </w:t>
      </w:r>
      <w:r w:rsidRPr="00FB5A28">
        <w:rPr>
          <w:rFonts w:ascii="Times New Roman" w:hAnsi="Times New Roman"/>
          <w:sz w:val="24"/>
          <w:szCs w:val="24"/>
        </w:rPr>
        <w:t>приходи</w:t>
      </w:r>
      <w:r w:rsidR="004D4979" w:rsidRPr="00FB5A28">
        <w:rPr>
          <w:rFonts w:ascii="Times New Roman" w:hAnsi="Times New Roman"/>
          <w:sz w:val="24"/>
          <w:szCs w:val="24"/>
        </w:rPr>
        <w:t xml:space="preserve"> </w:t>
      </w:r>
      <w:r w:rsidRPr="00FB5A28">
        <w:rPr>
          <w:rFonts w:ascii="Times New Roman" w:hAnsi="Times New Roman"/>
          <w:sz w:val="24"/>
          <w:szCs w:val="24"/>
        </w:rPr>
        <w:t>од</w:t>
      </w:r>
      <w:r w:rsidR="004D4979" w:rsidRPr="00FB5A28">
        <w:rPr>
          <w:rFonts w:ascii="Times New Roman" w:hAnsi="Times New Roman"/>
          <w:sz w:val="24"/>
          <w:szCs w:val="24"/>
        </w:rPr>
        <w:t xml:space="preserve"> </w:t>
      </w:r>
      <w:r w:rsidRPr="00FB5A28">
        <w:rPr>
          <w:rFonts w:ascii="Times New Roman" w:hAnsi="Times New Roman"/>
          <w:sz w:val="24"/>
          <w:szCs w:val="24"/>
        </w:rPr>
        <w:t>осигурања</w:t>
      </w:r>
      <w:r w:rsidR="004D4979" w:rsidRPr="00FB5A28">
        <w:rPr>
          <w:rFonts w:ascii="Times New Roman" w:hAnsi="Times New Roman"/>
          <w:sz w:val="24"/>
          <w:szCs w:val="24"/>
        </w:rPr>
        <w:t xml:space="preserve"> </w:t>
      </w:r>
      <w:r w:rsidRPr="00FB5A28">
        <w:rPr>
          <w:rFonts w:ascii="Times New Roman" w:hAnsi="Times New Roman"/>
          <w:sz w:val="24"/>
          <w:szCs w:val="24"/>
        </w:rPr>
        <w:t>лица</w:t>
      </w:r>
      <w:r w:rsidR="004D4979" w:rsidRPr="00FB5A28">
        <w:rPr>
          <w:rFonts w:ascii="Times New Roman" w:hAnsi="Times New Roman"/>
          <w:sz w:val="24"/>
          <w:szCs w:val="24"/>
        </w:rPr>
        <w:t xml:space="preserve">, </w:t>
      </w:r>
      <w:r w:rsidRPr="00FB5A28">
        <w:rPr>
          <w:rFonts w:ascii="Times New Roman" w:hAnsi="Times New Roman"/>
          <w:sz w:val="24"/>
          <w:szCs w:val="24"/>
        </w:rPr>
        <w:t>приходи</w:t>
      </w:r>
      <w:r w:rsidR="004D4979" w:rsidRPr="00FB5A28">
        <w:rPr>
          <w:rFonts w:ascii="Times New Roman" w:hAnsi="Times New Roman"/>
          <w:sz w:val="24"/>
          <w:szCs w:val="24"/>
        </w:rPr>
        <w:t xml:space="preserve"> </w:t>
      </w:r>
      <w:r w:rsidRPr="00FB5A28">
        <w:rPr>
          <w:rFonts w:ascii="Times New Roman" w:hAnsi="Times New Roman"/>
          <w:sz w:val="24"/>
          <w:szCs w:val="24"/>
        </w:rPr>
        <w:t>спортиста</w:t>
      </w:r>
      <w:r w:rsidR="004D4979" w:rsidRPr="00FB5A28">
        <w:rPr>
          <w:rFonts w:ascii="Times New Roman" w:hAnsi="Times New Roman"/>
          <w:sz w:val="24"/>
          <w:szCs w:val="24"/>
        </w:rPr>
        <w:t xml:space="preserve"> </w:t>
      </w:r>
      <w:r w:rsidRPr="00FB5A28">
        <w:rPr>
          <w:rFonts w:ascii="Times New Roman" w:hAnsi="Times New Roman"/>
          <w:sz w:val="24"/>
          <w:szCs w:val="24"/>
        </w:rPr>
        <w:t>и</w:t>
      </w:r>
      <w:r w:rsidR="004D4979" w:rsidRPr="00FB5A28">
        <w:rPr>
          <w:rFonts w:ascii="Times New Roman" w:hAnsi="Times New Roman"/>
          <w:sz w:val="24"/>
          <w:szCs w:val="24"/>
        </w:rPr>
        <w:t xml:space="preserve"> </w:t>
      </w:r>
      <w:r w:rsidRPr="00FB5A28">
        <w:rPr>
          <w:rFonts w:ascii="Times New Roman" w:hAnsi="Times New Roman"/>
          <w:sz w:val="24"/>
          <w:szCs w:val="24"/>
        </w:rPr>
        <w:t>спортских</w:t>
      </w:r>
      <w:r w:rsidR="004D4979" w:rsidRPr="00FB5A28">
        <w:rPr>
          <w:rFonts w:ascii="Times New Roman" w:hAnsi="Times New Roman"/>
          <w:sz w:val="24"/>
          <w:szCs w:val="24"/>
        </w:rPr>
        <w:t xml:space="preserve"> </w:t>
      </w:r>
      <w:r w:rsidRPr="00FB5A28">
        <w:rPr>
          <w:rFonts w:ascii="Times New Roman" w:hAnsi="Times New Roman"/>
          <w:sz w:val="24"/>
          <w:szCs w:val="24"/>
        </w:rPr>
        <w:t>стручњака</w:t>
      </w:r>
      <w:r w:rsidR="004D4979" w:rsidRPr="00FB5A28">
        <w:rPr>
          <w:rFonts w:ascii="Times New Roman" w:hAnsi="Times New Roman"/>
          <w:sz w:val="24"/>
          <w:szCs w:val="24"/>
        </w:rPr>
        <w:t xml:space="preserve"> </w:t>
      </w:r>
      <w:r w:rsidRPr="00FB5A28">
        <w:rPr>
          <w:rFonts w:ascii="Times New Roman" w:hAnsi="Times New Roman"/>
          <w:sz w:val="24"/>
          <w:szCs w:val="24"/>
        </w:rPr>
        <w:t>и</w:t>
      </w:r>
      <w:r w:rsidR="004D4979" w:rsidRPr="00FB5A28">
        <w:rPr>
          <w:rFonts w:ascii="Times New Roman" w:hAnsi="Times New Roman"/>
          <w:sz w:val="24"/>
          <w:szCs w:val="24"/>
        </w:rPr>
        <w:t xml:space="preserve"> </w:t>
      </w:r>
      <w:r w:rsidRPr="00FB5A28">
        <w:rPr>
          <w:rFonts w:ascii="Times New Roman" w:hAnsi="Times New Roman"/>
          <w:sz w:val="24"/>
          <w:szCs w:val="24"/>
        </w:rPr>
        <w:t>други</w:t>
      </w:r>
      <w:r w:rsidR="004D4979" w:rsidRPr="00FB5A28">
        <w:rPr>
          <w:rFonts w:ascii="Times New Roman" w:hAnsi="Times New Roman"/>
          <w:sz w:val="24"/>
          <w:szCs w:val="24"/>
        </w:rPr>
        <w:t xml:space="preserve"> </w:t>
      </w:r>
      <w:r w:rsidRPr="00FB5A28">
        <w:rPr>
          <w:rFonts w:ascii="Times New Roman" w:hAnsi="Times New Roman"/>
          <w:sz w:val="24"/>
          <w:szCs w:val="24"/>
        </w:rPr>
        <w:t>приходи</w:t>
      </w:r>
      <w:r w:rsidR="004D4979" w:rsidRPr="00FB5A28">
        <w:rPr>
          <w:rFonts w:ascii="Times New Roman" w:hAnsi="Times New Roman"/>
          <w:sz w:val="24"/>
          <w:szCs w:val="24"/>
        </w:rPr>
        <w:t xml:space="preserve">, </w:t>
      </w:r>
      <w:r w:rsidRPr="00FB5A28">
        <w:rPr>
          <w:rFonts w:ascii="Times New Roman" w:hAnsi="Times New Roman"/>
          <w:sz w:val="24"/>
          <w:szCs w:val="24"/>
        </w:rPr>
        <w:t>осим</w:t>
      </w:r>
      <w:r w:rsidR="004D4979" w:rsidRPr="00FB5A28">
        <w:rPr>
          <w:rFonts w:ascii="Times New Roman" w:hAnsi="Times New Roman"/>
          <w:sz w:val="24"/>
          <w:szCs w:val="24"/>
        </w:rPr>
        <w:t xml:space="preserve"> </w:t>
      </w:r>
      <w:r w:rsidRPr="00FB5A28">
        <w:rPr>
          <w:rFonts w:ascii="Times New Roman" w:hAnsi="Times New Roman"/>
          <w:sz w:val="24"/>
          <w:szCs w:val="24"/>
        </w:rPr>
        <w:t>оних</w:t>
      </w:r>
      <w:r w:rsidR="004D4979" w:rsidRPr="00FB5A28">
        <w:rPr>
          <w:rFonts w:ascii="Times New Roman" w:hAnsi="Times New Roman"/>
          <w:sz w:val="24"/>
          <w:szCs w:val="24"/>
        </w:rPr>
        <w:t xml:space="preserve"> </w:t>
      </w:r>
      <w:r w:rsidRPr="00FB5A28">
        <w:rPr>
          <w:rFonts w:ascii="Times New Roman" w:hAnsi="Times New Roman"/>
          <w:sz w:val="24"/>
          <w:szCs w:val="24"/>
        </w:rPr>
        <w:t>који</w:t>
      </w:r>
      <w:r w:rsidR="004D4979" w:rsidRPr="00FB5A28">
        <w:rPr>
          <w:rFonts w:ascii="Times New Roman" w:hAnsi="Times New Roman"/>
          <w:sz w:val="24"/>
          <w:szCs w:val="24"/>
        </w:rPr>
        <w:t xml:space="preserve"> </w:t>
      </w:r>
      <w:r w:rsidRPr="00FB5A28">
        <w:rPr>
          <w:rFonts w:ascii="Times New Roman" w:hAnsi="Times New Roman"/>
          <w:sz w:val="24"/>
          <w:szCs w:val="24"/>
        </w:rPr>
        <w:t>су</w:t>
      </w:r>
      <w:r w:rsidR="004D4979" w:rsidRPr="00FB5A28">
        <w:rPr>
          <w:rFonts w:ascii="Times New Roman" w:hAnsi="Times New Roman"/>
          <w:sz w:val="24"/>
          <w:szCs w:val="24"/>
        </w:rPr>
        <w:t xml:space="preserve"> </w:t>
      </w:r>
      <w:r w:rsidRPr="00FB5A28">
        <w:rPr>
          <w:rFonts w:ascii="Times New Roman" w:hAnsi="Times New Roman"/>
          <w:sz w:val="24"/>
          <w:szCs w:val="24"/>
        </w:rPr>
        <w:t>посебно</w:t>
      </w:r>
      <w:r w:rsidR="004D4979" w:rsidRPr="00FB5A28">
        <w:rPr>
          <w:rFonts w:ascii="Times New Roman" w:hAnsi="Times New Roman"/>
          <w:sz w:val="24"/>
          <w:szCs w:val="24"/>
        </w:rPr>
        <w:t xml:space="preserve"> </w:t>
      </w:r>
      <w:r w:rsidRPr="00FB5A28">
        <w:rPr>
          <w:rFonts w:ascii="Times New Roman" w:hAnsi="Times New Roman"/>
          <w:sz w:val="24"/>
          <w:szCs w:val="24"/>
        </w:rPr>
        <w:t>изузети</w:t>
      </w:r>
      <w:r w:rsidR="004D4979" w:rsidRPr="00FB5A28">
        <w:rPr>
          <w:rFonts w:ascii="Times New Roman" w:hAnsi="Times New Roman"/>
          <w:sz w:val="24"/>
          <w:szCs w:val="24"/>
        </w:rPr>
        <w:t xml:space="preserve"> </w:t>
      </w:r>
      <w:r w:rsidRPr="00FB5A28">
        <w:rPr>
          <w:rFonts w:ascii="Times New Roman" w:hAnsi="Times New Roman"/>
          <w:sz w:val="24"/>
          <w:szCs w:val="24"/>
        </w:rPr>
        <w:t>овим</w:t>
      </w:r>
      <w:r w:rsidR="004D4979" w:rsidRPr="00FB5A28">
        <w:rPr>
          <w:rFonts w:ascii="Times New Roman" w:hAnsi="Times New Roman"/>
          <w:sz w:val="24"/>
          <w:szCs w:val="24"/>
        </w:rPr>
        <w:t xml:space="preserve"> </w:t>
      </w:r>
      <w:r w:rsidRPr="00FB5A28">
        <w:rPr>
          <w:rFonts w:ascii="Times New Roman" w:hAnsi="Times New Roman"/>
          <w:sz w:val="24"/>
          <w:szCs w:val="24"/>
        </w:rPr>
        <w:t>законом</w:t>
      </w:r>
      <w:r w:rsidR="004D4979" w:rsidRPr="00FB5A28">
        <w:rPr>
          <w:rFonts w:ascii="Times New Roman" w:hAnsi="Times New Roman"/>
          <w:sz w:val="24"/>
          <w:szCs w:val="24"/>
        </w:rPr>
        <w:t>.</w:t>
      </w:r>
      <w:r w:rsidR="00741D88" w:rsidRPr="00FB5A28">
        <w:rPr>
          <w:rFonts w:ascii="Times New Roman" w:hAnsi="Times New Roman"/>
          <w:sz w:val="24"/>
          <w:szCs w:val="24"/>
          <w:lang w:val="sr-Cyrl-CS"/>
        </w:rPr>
        <w:t xml:space="preserve"> </w:t>
      </w:r>
      <w:r w:rsidR="00741D88" w:rsidRPr="00FB5A28">
        <w:rPr>
          <w:rStyle w:val="FootnoteReference"/>
          <w:rFonts w:ascii="Times New Roman" w:hAnsi="Times New Roman"/>
          <w:color w:val="000000"/>
          <w:sz w:val="24"/>
          <w:szCs w:val="24"/>
          <w:lang w:val="sr-Cyrl-CS"/>
        </w:rPr>
        <w:footnoteReference w:id="463"/>
      </w:r>
    </w:p>
    <w:p w:rsidR="004D4979" w:rsidRPr="00FB5A28" w:rsidRDefault="008D45E3" w:rsidP="00FB5A28">
      <w:pPr>
        <w:ind w:firstLine="708"/>
        <w:jc w:val="both"/>
        <w:rPr>
          <w:rFonts w:ascii="Times New Roman" w:hAnsi="Times New Roman"/>
          <w:sz w:val="24"/>
          <w:szCs w:val="24"/>
          <w:lang w:val="sr-Cyrl-CS"/>
        </w:rPr>
      </w:pPr>
      <w:r w:rsidRPr="00FB5A28">
        <w:rPr>
          <w:rFonts w:ascii="Times New Roman" w:hAnsi="Times New Roman"/>
          <w:sz w:val="24"/>
          <w:szCs w:val="24"/>
        </w:rPr>
        <w:lastRenderedPageBreak/>
        <w:t>Обвезник</w:t>
      </w:r>
      <w:r w:rsidR="004D4979" w:rsidRPr="00FB5A28">
        <w:rPr>
          <w:rFonts w:ascii="Times New Roman" w:hAnsi="Times New Roman"/>
          <w:sz w:val="24"/>
          <w:szCs w:val="24"/>
        </w:rPr>
        <w:t xml:space="preserve"> </w:t>
      </w:r>
      <w:r w:rsidRPr="00FB5A28">
        <w:rPr>
          <w:rFonts w:ascii="Times New Roman" w:hAnsi="Times New Roman"/>
          <w:sz w:val="24"/>
          <w:szCs w:val="24"/>
        </w:rPr>
        <w:t>пореза</w:t>
      </w:r>
      <w:r w:rsidR="004D4979" w:rsidRPr="00FB5A28">
        <w:rPr>
          <w:rFonts w:ascii="Times New Roman" w:hAnsi="Times New Roman"/>
          <w:sz w:val="24"/>
          <w:szCs w:val="24"/>
        </w:rPr>
        <w:t xml:space="preserve"> </w:t>
      </w:r>
      <w:r w:rsidRPr="00FB5A28">
        <w:rPr>
          <w:rFonts w:ascii="Times New Roman" w:hAnsi="Times New Roman"/>
          <w:sz w:val="24"/>
          <w:szCs w:val="24"/>
        </w:rPr>
        <w:t>на</w:t>
      </w:r>
      <w:r w:rsidR="004D4979" w:rsidRPr="00FB5A28">
        <w:rPr>
          <w:rFonts w:ascii="Times New Roman" w:hAnsi="Times New Roman"/>
          <w:sz w:val="24"/>
          <w:szCs w:val="24"/>
        </w:rPr>
        <w:t xml:space="preserve"> </w:t>
      </w:r>
      <w:r w:rsidRPr="00FB5A28">
        <w:rPr>
          <w:rFonts w:ascii="Times New Roman" w:hAnsi="Times New Roman"/>
          <w:sz w:val="24"/>
          <w:szCs w:val="24"/>
        </w:rPr>
        <w:t>приходе</w:t>
      </w:r>
      <w:r w:rsidR="004D4979" w:rsidRPr="00FB5A28">
        <w:rPr>
          <w:rFonts w:ascii="Times New Roman" w:hAnsi="Times New Roman"/>
          <w:sz w:val="24"/>
          <w:szCs w:val="24"/>
        </w:rPr>
        <w:t xml:space="preserve"> </w:t>
      </w:r>
      <w:r w:rsidRPr="00FB5A28">
        <w:rPr>
          <w:rFonts w:ascii="Times New Roman" w:hAnsi="Times New Roman"/>
          <w:sz w:val="24"/>
          <w:szCs w:val="24"/>
        </w:rPr>
        <w:t>од</w:t>
      </w:r>
      <w:r w:rsidR="004D4979" w:rsidRPr="00FB5A28">
        <w:rPr>
          <w:rFonts w:ascii="Times New Roman" w:hAnsi="Times New Roman"/>
          <w:sz w:val="24"/>
          <w:szCs w:val="24"/>
        </w:rPr>
        <w:t xml:space="preserve"> </w:t>
      </w:r>
      <w:r w:rsidRPr="00FB5A28">
        <w:rPr>
          <w:rFonts w:ascii="Times New Roman" w:hAnsi="Times New Roman"/>
          <w:sz w:val="24"/>
          <w:szCs w:val="24"/>
        </w:rPr>
        <w:t>давања</w:t>
      </w:r>
      <w:r w:rsidR="004D4979" w:rsidRPr="00FB5A28">
        <w:rPr>
          <w:rFonts w:ascii="Times New Roman" w:hAnsi="Times New Roman"/>
          <w:sz w:val="24"/>
          <w:szCs w:val="24"/>
        </w:rPr>
        <w:t xml:space="preserve"> </w:t>
      </w:r>
      <w:r w:rsidRPr="00FB5A28">
        <w:rPr>
          <w:rFonts w:ascii="Times New Roman" w:hAnsi="Times New Roman"/>
          <w:sz w:val="24"/>
          <w:szCs w:val="24"/>
        </w:rPr>
        <w:t>у</w:t>
      </w:r>
      <w:r w:rsidR="004D4979" w:rsidRPr="00FB5A28">
        <w:rPr>
          <w:rFonts w:ascii="Times New Roman" w:hAnsi="Times New Roman"/>
          <w:sz w:val="24"/>
          <w:szCs w:val="24"/>
        </w:rPr>
        <w:t xml:space="preserve"> </w:t>
      </w:r>
      <w:r w:rsidRPr="00FB5A28">
        <w:rPr>
          <w:rFonts w:ascii="Times New Roman" w:hAnsi="Times New Roman"/>
          <w:sz w:val="24"/>
          <w:szCs w:val="24"/>
        </w:rPr>
        <w:t>закуп</w:t>
      </w:r>
      <w:r w:rsidR="004D4979" w:rsidRPr="00FB5A28">
        <w:rPr>
          <w:rFonts w:ascii="Times New Roman" w:hAnsi="Times New Roman"/>
          <w:sz w:val="24"/>
          <w:szCs w:val="24"/>
        </w:rPr>
        <w:t xml:space="preserve"> </w:t>
      </w:r>
      <w:r w:rsidRPr="00FB5A28">
        <w:rPr>
          <w:rFonts w:ascii="Times New Roman" w:hAnsi="Times New Roman"/>
          <w:sz w:val="24"/>
          <w:szCs w:val="24"/>
        </w:rPr>
        <w:t>опреме</w:t>
      </w:r>
      <w:r w:rsidR="004D4979" w:rsidRPr="00FB5A28">
        <w:rPr>
          <w:rFonts w:ascii="Times New Roman" w:hAnsi="Times New Roman"/>
          <w:sz w:val="24"/>
          <w:szCs w:val="24"/>
        </w:rPr>
        <w:t xml:space="preserve">, </w:t>
      </w:r>
      <w:r w:rsidRPr="00FB5A28">
        <w:rPr>
          <w:rFonts w:ascii="Times New Roman" w:hAnsi="Times New Roman"/>
          <w:sz w:val="24"/>
          <w:szCs w:val="24"/>
        </w:rPr>
        <w:t>транспортних</w:t>
      </w:r>
      <w:r w:rsidR="004D4979" w:rsidRPr="00FB5A28">
        <w:rPr>
          <w:rFonts w:ascii="Times New Roman" w:hAnsi="Times New Roman"/>
          <w:sz w:val="24"/>
          <w:szCs w:val="24"/>
        </w:rPr>
        <w:t xml:space="preserve"> </w:t>
      </w:r>
      <w:r w:rsidRPr="00FB5A28">
        <w:rPr>
          <w:rFonts w:ascii="Times New Roman" w:hAnsi="Times New Roman"/>
          <w:sz w:val="24"/>
          <w:szCs w:val="24"/>
        </w:rPr>
        <w:t>средстава</w:t>
      </w:r>
      <w:r w:rsidR="004D4979" w:rsidRPr="00FB5A28">
        <w:rPr>
          <w:rFonts w:ascii="Times New Roman" w:hAnsi="Times New Roman"/>
          <w:sz w:val="24"/>
          <w:szCs w:val="24"/>
        </w:rPr>
        <w:t xml:space="preserve"> </w:t>
      </w:r>
      <w:r w:rsidRPr="00FB5A28">
        <w:rPr>
          <w:rFonts w:ascii="Times New Roman" w:hAnsi="Times New Roman"/>
          <w:sz w:val="24"/>
          <w:szCs w:val="24"/>
        </w:rPr>
        <w:t>и</w:t>
      </w:r>
      <w:r w:rsidR="004D4979" w:rsidRPr="00FB5A28">
        <w:rPr>
          <w:rFonts w:ascii="Times New Roman" w:hAnsi="Times New Roman"/>
          <w:sz w:val="24"/>
          <w:szCs w:val="24"/>
        </w:rPr>
        <w:t xml:space="preserve"> </w:t>
      </w:r>
      <w:r w:rsidRPr="00FB5A28">
        <w:rPr>
          <w:rFonts w:ascii="Times New Roman" w:hAnsi="Times New Roman"/>
          <w:sz w:val="24"/>
          <w:szCs w:val="24"/>
        </w:rPr>
        <w:t>других</w:t>
      </w:r>
      <w:r w:rsidR="004D4979" w:rsidRPr="00FB5A28">
        <w:rPr>
          <w:rFonts w:ascii="Times New Roman" w:hAnsi="Times New Roman"/>
          <w:sz w:val="24"/>
          <w:szCs w:val="24"/>
        </w:rPr>
        <w:t xml:space="preserve"> </w:t>
      </w:r>
      <w:r w:rsidRPr="00FB5A28">
        <w:rPr>
          <w:rFonts w:ascii="Times New Roman" w:hAnsi="Times New Roman"/>
          <w:sz w:val="24"/>
          <w:szCs w:val="24"/>
        </w:rPr>
        <w:t>покретних</w:t>
      </w:r>
      <w:r w:rsidR="004D4979" w:rsidRPr="00FB5A28">
        <w:rPr>
          <w:rFonts w:ascii="Times New Roman" w:hAnsi="Times New Roman"/>
          <w:sz w:val="24"/>
          <w:szCs w:val="24"/>
        </w:rPr>
        <w:t xml:space="preserve"> </w:t>
      </w:r>
      <w:r w:rsidRPr="00FB5A28">
        <w:rPr>
          <w:rFonts w:ascii="Times New Roman" w:hAnsi="Times New Roman"/>
          <w:sz w:val="24"/>
          <w:szCs w:val="24"/>
        </w:rPr>
        <w:t>ствари</w:t>
      </w:r>
      <w:r w:rsidR="004D4979" w:rsidRPr="00FB5A28">
        <w:rPr>
          <w:rFonts w:ascii="Times New Roman" w:hAnsi="Times New Roman"/>
          <w:sz w:val="24"/>
          <w:szCs w:val="24"/>
        </w:rPr>
        <w:t xml:space="preserve"> </w:t>
      </w:r>
      <w:r w:rsidRPr="00FB5A28">
        <w:rPr>
          <w:rFonts w:ascii="Times New Roman" w:hAnsi="Times New Roman"/>
          <w:sz w:val="24"/>
          <w:szCs w:val="24"/>
        </w:rPr>
        <w:t>је</w:t>
      </w:r>
      <w:r w:rsidR="004D4979" w:rsidRPr="00FB5A28">
        <w:rPr>
          <w:rFonts w:ascii="Times New Roman" w:hAnsi="Times New Roman"/>
          <w:sz w:val="24"/>
          <w:szCs w:val="24"/>
        </w:rPr>
        <w:t xml:space="preserve"> </w:t>
      </w:r>
      <w:r w:rsidRPr="00FB5A28">
        <w:rPr>
          <w:rFonts w:ascii="Times New Roman" w:hAnsi="Times New Roman"/>
          <w:sz w:val="24"/>
          <w:szCs w:val="24"/>
        </w:rPr>
        <w:t>физичко</w:t>
      </w:r>
      <w:r w:rsidR="004D4979" w:rsidRPr="00FB5A28">
        <w:rPr>
          <w:rFonts w:ascii="Times New Roman" w:hAnsi="Times New Roman"/>
          <w:sz w:val="24"/>
          <w:szCs w:val="24"/>
        </w:rPr>
        <w:t xml:space="preserve"> </w:t>
      </w:r>
      <w:r w:rsidRPr="00FB5A28">
        <w:rPr>
          <w:rFonts w:ascii="Times New Roman" w:hAnsi="Times New Roman"/>
          <w:sz w:val="24"/>
          <w:szCs w:val="24"/>
        </w:rPr>
        <w:t>лице</w:t>
      </w:r>
      <w:r w:rsidR="004D4979" w:rsidRPr="00FB5A28">
        <w:rPr>
          <w:rFonts w:ascii="Times New Roman" w:hAnsi="Times New Roman"/>
          <w:sz w:val="24"/>
          <w:szCs w:val="24"/>
        </w:rPr>
        <w:t xml:space="preserve"> </w:t>
      </w:r>
      <w:r w:rsidRPr="00FB5A28">
        <w:rPr>
          <w:rFonts w:ascii="Times New Roman" w:hAnsi="Times New Roman"/>
          <w:sz w:val="24"/>
          <w:szCs w:val="24"/>
        </w:rPr>
        <w:t>које</w:t>
      </w:r>
      <w:r w:rsidR="004D4979" w:rsidRPr="00FB5A28">
        <w:rPr>
          <w:rFonts w:ascii="Times New Roman" w:hAnsi="Times New Roman"/>
          <w:sz w:val="24"/>
          <w:szCs w:val="24"/>
        </w:rPr>
        <w:t xml:space="preserve"> </w:t>
      </w:r>
      <w:r w:rsidRPr="00FB5A28">
        <w:rPr>
          <w:rFonts w:ascii="Times New Roman" w:hAnsi="Times New Roman"/>
          <w:sz w:val="24"/>
          <w:szCs w:val="24"/>
        </w:rPr>
        <w:t>те</w:t>
      </w:r>
      <w:r w:rsidR="004D4979" w:rsidRPr="00FB5A28">
        <w:rPr>
          <w:rFonts w:ascii="Times New Roman" w:hAnsi="Times New Roman"/>
          <w:sz w:val="24"/>
          <w:szCs w:val="24"/>
        </w:rPr>
        <w:t xml:space="preserve"> </w:t>
      </w:r>
      <w:r w:rsidRPr="00FB5A28">
        <w:rPr>
          <w:rFonts w:ascii="Times New Roman" w:hAnsi="Times New Roman"/>
          <w:sz w:val="24"/>
          <w:szCs w:val="24"/>
        </w:rPr>
        <w:t>ствари</w:t>
      </w:r>
      <w:r w:rsidR="004D4979" w:rsidRPr="00FB5A28">
        <w:rPr>
          <w:rFonts w:ascii="Times New Roman" w:hAnsi="Times New Roman"/>
          <w:sz w:val="24"/>
          <w:szCs w:val="24"/>
        </w:rPr>
        <w:t xml:space="preserve"> </w:t>
      </w:r>
      <w:r w:rsidRPr="00FB5A28">
        <w:rPr>
          <w:rFonts w:ascii="Times New Roman" w:hAnsi="Times New Roman"/>
          <w:sz w:val="24"/>
          <w:szCs w:val="24"/>
        </w:rPr>
        <w:t>даје</w:t>
      </w:r>
      <w:r w:rsidR="004D4979" w:rsidRPr="00FB5A28">
        <w:rPr>
          <w:rFonts w:ascii="Times New Roman" w:hAnsi="Times New Roman"/>
          <w:sz w:val="24"/>
          <w:szCs w:val="24"/>
        </w:rPr>
        <w:t xml:space="preserve"> </w:t>
      </w:r>
      <w:r w:rsidRPr="00FB5A28">
        <w:rPr>
          <w:rFonts w:ascii="Times New Roman" w:hAnsi="Times New Roman"/>
          <w:sz w:val="24"/>
          <w:szCs w:val="24"/>
        </w:rPr>
        <w:t>у</w:t>
      </w:r>
      <w:r w:rsidR="004D4979" w:rsidRPr="00FB5A28">
        <w:rPr>
          <w:rFonts w:ascii="Times New Roman" w:hAnsi="Times New Roman"/>
          <w:sz w:val="24"/>
          <w:szCs w:val="24"/>
        </w:rPr>
        <w:t xml:space="preserve"> </w:t>
      </w:r>
      <w:r w:rsidRPr="00FB5A28">
        <w:rPr>
          <w:rFonts w:ascii="Times New Roman" w:hAnsi="Times New Roman"/>
          <w:sz w:val="24"/>
          <w:szCs w:val="24"/>
        </w:rPr>
        <w:t>закуп</w:t>
      </w:r>
      <w:r w:rsidR="004D4979" w:rsidRPr="00FB5A28">
        <w:rPr>
          <w:rFonts w:ascii="Times New Roman" w:hAnsi="Times New Roman"/>
          <w:sz w:val="24"/>
          <w:szCs w:val="24"/>
        </w:rPr>
        <w:t>.</w:t>
      </w:r>
      <w:r w:rsidRPr="00FB5A28">
        <w:rPr>
          <w:rFonts w:ascii="Times New Roman" w:hAnsi="Times New Roman"/>
          <w:sz w:val="24"/>
          <w:szCs w:val="24"/>
          <w:lang w:val="sr-Cyrl-CS"/>
        </w:rPr>
        <w:t xml:space="preserve"> </w:t>
      </w:r>
      <w:r w:rsidRPr="00FB5A28">
        <w:rPr>
          <w:rFonts w:ascii="Times New Roman" w:hAnsi="Times New Roman"/>
          <w:sz w:val="24"/>
          <w:szCs w:val="24"/>
        </w:rPr>
        <w:t>Опорезиви</w:t>
      </w:r>
      <w:r w:rsidR="004D4979" w:rsidRPr="00FB5A28">
        <w:rPr>
          <w:rFonts w:ascii="Times New Roman" w:hAnsi="Times New Roman"/>
          <w:sz w:val="24"/>
          <w:szCs w:val="24"/>
        </w:rPr>
        <w:t xml:space="preserve"> </w:t>
      </w:r>
      <w:r w:rsidRPr="00FB5A28">
        <w:rPr>
          <w:rFonts w:ascii="Times New Roman" w:hAnsi="Times New Roman"/>
          <w:sz w:val="24"/>
          <w:szCs w:val="24"/>
        </w:rPr>
        <w:t>приход</w:t>
      </w:r>
      <w:r w:rsidR="004D4979" w:rsidRPr="00FB5A28">
        <w:rPr>
          <w:rFonts w:ascii="Times New Roman" w:hAnsi="Times New Roman"/>
          <w:sz w:val="24"/>
          <w:szCs w:val="24"/>
        </w:rPr>
        <w:t xml:space="preserve"> </w:t>
      </w:r>
      <w:r w:rsidRPr="00FB5A28">
        <w:rPr>
          <w:rFonts w:ascii="Times New Roman" w:hAnsi="Times New Roman"/>
          <w:sz w:val="24"/>
          <w:szCs w:val="24"/>
        </w:rPr>
        <w:t>од</w:t>
      </w:r>
      <w:r w:rsidR="004D4979" w:rsidRPr="00FB5A28">
        <w:rPr>
          <w:rFonts w:ascii="Times New Roman" w:hAnsi="Times New Roman"/>
          <w:sz w:val="24"/>
          <w:szCs w:val="24"/>
        </w:rPr>
        <w:t xml:space="preserve"> </w:t>
      </w:r>
      <w:r w:rsidRPr="00FB5A28">
        <w:rPr>
          <w:rFonts w:ascii="Times New Roman" w:hAnsi="Times New Roman"/>
          <w:sz w:val="24"/>
          <w:szCs w:val="24"/>
        </w:rPr>
        <w:t>издавања</w:t>
      </w:r>
      <w:r w:rsidR="004D4979" w:rsidRPr="00FB5A28">
        <w:rPr>
          <w:rFonts w:ascii="Times New Roman" w:hAnsi="Times New Roman"/>
          <w:sz w:val="24"/>
          <w:szCs w:val="24"/>
        </w:rPr>
        <w:t xml:space="preserve"> </w:t>
      </w:r>
      <w:r w:rsidRPr="00FB5A28">
        <w:rPr>
          <w:rFonts w:ascii="Times New Roman" w:hAnsi="Times New Roman"/>
          <w:sz w:val="24"/>
          <w:szCs w:val="24"/>
        </w:rPr>
        <w:t>у</w:t>
      </w:r>
      <w:r w:rsidR="004D4979" w:rsidRPr="00FB5A28">
        <w:rPr>
          <w:rFonts w:ascii="Times New Roman" w:hAnsi="Times New Roman"/>
          <w:sz w:val="24"/>
          <w:szCs w:val="24"/>
        </w:rPr>
        <w:t xml:space="preserve"> </w:t>
      </w:r>
      <w:r w:rsidRPr="00FB5A28">
        <w:rPr>
          <w:rFonts w:ascii="Times New Roman" w:hAnsi="Times New Roman"/>
          <w:sz w:val="24"/>
          <w:szCs w:val="24"/>
        </w:rPr>
        <w:t>закуп</w:t>
      </w:r>
      <w:r w:rsidR="004D4979" w:rsidRPr="00FB5A28">
        <w:rPr>
          <w:rFonts w:ascii="Times New Roman" w:hAnsi="Times New Roman"/>
          <w:sz w:val="24"/>
          <w:szCs w:val="24"/>
        </w:rPr>
        <w:t xml:space="preserve"> </w:t>
      </w:r>
      <w:r w:rsidRPr="00FB5A28">
        <w:rPr>
          <w:rFonts w:ascii="Times New Roman" w:hAnsi="Times New Roman"/>
          <w:sz w:val="24"/>
          <w:szCs w:val="24"/>
        </w:rPr>
        <w:t>покретних</w:t>
      </w:r>
      <w:r w:rsidR="004D4979" w:rsidRPr="00FB5A28">
        <w:rPr>
          <w:rFonts w:ascii="Times New Roman" w:hAnsi="Times New Roman"/>
          <w:sz w:val="24"/>
          <w:szCs w:val="24"/>
        </w:rPr>
        <w:t xml:space="preserve"> </w:t>
      </w:r>
      <w:r w:rsidRPr="00FB5A28">
        <w:rPr>
          <w:rFonts w:ascii="Times New Roman" w:hAnsi="Times New Roman"/>
          <w:sz w:val="24"/>
          <w:szCs w:val="24"/>
        </w:rPr>
        <w:t>ствари</w:t>
      </w:r>
      <w:r w:rsidR="004D4979" w:rsidRPr="00FB5A28">
        <w:rPr>
          <w:rFonts w:ascii="Times New Roman" w:hAnsi="Times New Roman"/>
          <w:sz w:val="24"/>
          <w:szCs w:val="24"/>
        </w:rPr>
        <w:t xml:space="preserve"> </w:t>
      </w:r>
      <w:r w:rsidRPr="00FB5A28">
        <w:rPr>
          <w:rFonts w:ascii="Times New Roman" w:hAnsi="Times New Roman"/>
          <w:sz w:val="24"/>
          <w:szCs w:val="24"/>
        </w:rPr>
        <w:t>утврђује</w:t>
      </w:r>
      <w:r w:rsidR="004D4979" w:rsidRPr="00FB5A28">
        <w:rPr>
          <w:rFonts w:ascii="Times New Roman" w:hAnsi="Times New Roman"/>
          <w:sz w:val="24"/>
          <w:szCs w:val="24"/>
        </w:rPr>
        <w:t xml:space="preserve"> </w:t>
      </w:r>
      <w:r w:rsidRPr="00FB5A28">
        <w:rPr>
          <w:rFonts w:ascii="Times New Roman" w:hAnsi="Times New Roman"/>
          <w:sz w:val="24"/>
          <w:szCs w:val="24"/>
        </w:rPr>
        <w:t>се</w:t>
      </w:r>
      <w:r w:rsidR="004D4979" w:rsidRPr="00FB5A28">
        <w:rPr>
          <w:rFonts w:ascii="Times New Roman" w:hAnsi="Times New Roman"/>
          <w:sz w:val="24"/>
          <w:szCs w:val="24"/>
        </w:rPr>
        <w:t xml:space="preserve"> </w:t>
      </w:r>
      <w:r w:rsidRPr="00FB5A28">
        <w:rPr>
          <w:rFonts w:ascii="Times New Roman" w:hAnsi="Times New Roman"/>
          <w:sz w:val="24"/>
          <w:szCs w:val="24"/>
        </w:rPr>
        <w:t>одбијањем</w:t>
      </w:r>
      <w:r w:rsidR="004D4979" w:rsidRPr="00FB5A28">
        <w:rPr>
          <w:rFonts w:ascii="Times New Roman" w:hAnsi="Times New Roman"/>
          <w:sz w:val="24"/>
          <w:szCs w:val="24"/>
        </w:rPr>
        <w:t xml:space="preserve"> </w:t>
      </w:r>
      <w:r w:rsidRPr="00FB5A28">
        <w:rPr>
          <w:rFonts w:ascii="Times New Roman" w:hAnsi="Times New Roman"/>
          <w:sz w:val="24"/>
          <w:szCs w:val="24"/>
        </w:rPr>
        <w:t>нормираних</w:t>
      </w:r>
      <w:r w:rsidR="004D4979" w:rsidRPr="00FB5A28">
        <w:rPr>
          <w:rFonts w:ascii="Times New Roman" w:hAnsi="Times New Roman"/>
          <w:sz w:val="24"/>
          <w:szCs w:val="24"/>
        </w:rPr>
        <w:t xml:space="preserve"> </w:t>
      </w:r>
      <w:r w:rsidRPr="00FB5A28">
        <w:rPr>
          <w:rFonts w:ascii="Times New Roman" w:hAnsi="Times New Roman"/>
          <w:sz w:val="24"/>
          <w:szCs w:val="24"/>
        </w:rPr>
        <w:t>трошкова</w:t>
      </w:r>
      <w:r w:rsidR="004D4979" w:rsidRPr="00FB5A28">
        <w:rPr>
          <w:rFonts w:ascii="Times New Roman" w:hAnsi="Times New Roman"/>
          <w:sz w:val="24"/>
          <w:szCs w:val="24"/>
        </w:rPr>
        <w:t xml:space="preserve"> </w:t>
      </w:r>
      <w:r w:rsidRPr="00FB5A28">
        <w:rPr>
          <w:rFonts w:ascii="Times New Roman" w:hAnsi="Times New Roman"/>
          <w:sz w:val="24"/>
          <w:szCs w:val="24"/>
        </w:rPr>
        <w:t>од</w:t>
      </w:r>
      <w:r w:rsidR="004D4979" w:rsidRPr="00FB5A28">
        <w:rPr>
          <w:rFonts w:ascii="Times New Roman" w:hAnsi="Times New Roman"/>
          <w:sz w:val="24"/>
          <w:szCs w:val="24"/>
        </w:rPr>
        <w:t xml:space="preserve"> </w:t>
      </w:r>
      <w:r w:rsidRPr="00FB5A28">
        <w:rPr>
          <w:rFonts w:ascii="Times New Roman" w:hAnsi="Times New Roman"/>
          <w:sz w:val="24"/>
          <w:szCs w:val="24"/>
        </w:rPr>
        <w:t>бруто</w:t>
      </w:r>
      <w:r w:rsidR="004D4979" w:rsidRPr="00FB5A28">
        <w:rPr>
          <w:rFonts w:ascii="Times New Roman" w:hAnsi="Times New Roman"/>
          <w:sz w:val="24"/>
          <w:szCs w:val="24"/>
        </w:rPr>
        <w:t xml:space="preserve"> </w:t>
      </w:r>
      <w:r w:rsidRPr="00FB5A28">
        <w:rPr>
          <w:rFonts w:ascii="Times New Roman" w:hAnsi="Times New Roman"/>
          <w:sz w:val="24"/>
          <w:szCs w:val="24"/>
        </w:rPr>
        <w:t>прихода</w:t>
      </w:r>
      <w:r w:rsidR="004D4979" w:rsidRPr="00FB5A28">
        <w:rPr>
          <w:rFonts w:ascii="Times New Roman" w:hAnsi="Times New Roman"/>
          <w:sz w:val="24"/>
          <w:szCs w:val="24"/>
        </w:rPr>
        <w:t xml:space="preserve"> </w:t>
      </w:r>
      <w:r w:rsidRPr="00FB5A28">
        <w:rPr>
          <w:rFonts w:ascii="Times New Roman" w:hAnsi="Times New Roman"/>
          <w:sz w:val="24"/>
          <w:szCs w:val="24"/>
        </w:rPr>
        <w:t>у</w:t>
      </w:r>
      <w:r w:rsidR="004D4979" w:rsidRPr="00FB5A28">
        <w:rPr>
          <w:rFonts w:ascii="Times New Roman" w:hAnsi="Times New Roman"/>
          <w:sz w:val="24"/>
          <w:szCs w:val="24"/>
        </w:rPr>
        <w:t xml:space="preserve"> </w:t>
      </w:r>
      <w:r w:rsidRPr="00FB5A28">
        <w:rPr>
          <w:rFonts w:ascii="Times New Roman" w:hAnsi="Times New Roman"/>
          <w:sz w:val="24"/>
          <w:szCs w:val="24"/>
        </w:rPr>
        <w:t>висини</w:t>
      </w:r>
      <w:r w:rsidR="004D4979" w:rsidRPr="00FB5A28">
        <w:rPr>
          <w:rFonts w:ascii="Times New Roman" w:hAnsi="Times New Roman"/>
          <w:sz w:val="24"/>
          <w:szCs w:val="24"/>
        </w:rPr>
        <w:t xml:space="preserve"> </w:t>
      </w:r>
      <w:r w:rsidRPr="00FB5A28">
        <w:rPr>
          <w:rFonts w:ascii="Times New Roman" w:hAnsi="Times New Roman"/>
          <w:sz w:val="24"/>
          <w:szCs w:val="24"/>
        </w:rPr>
        <w:t>од</w:t>
      </w:r>
      <w:r w:rsidR="004D4979" w:rsidRPr="00FB5A28">
        <w:rPr>
          <w:rFonts w:ascii="Times New Roman" w:hAnsi="Times New Roman"/>
          <w:sz w:val="24"/>
          <w:szCs w:val="24"/>
        </w:rPr>
        <w:t xml:space="preserve"> 20%.</w:t>
      </w:r>
      <w:bookmarkStart w:id="47" w:name="str_59"/>
      <w:bookmarkStart w:id="48" w:name="clan_83"/>
      <w:bookmarkEnd w:id="47"/>
      <w:bookmarkEnd w:id="48"/>
      <w:r w:rsidRPr="00FB5A28">
        <w:rPr>
          <w:rFonts w:ascii="Times New Roman" w:hAnsi="Times New Roman"/>
          <w:sz w:val="24"/>
          <w:szCs w:val="24"/>
          <w:lang w:val="sr-Cyrl-CS"/>
        </w:rPr>
        <w:t xml:space="preserve"> </w:t>
      </w:r>
      <w:r w:rsidRPr="00FB5A28">
        <w:rPr>
          <w:rFonts w:ascii="Times New Roman" w:hAnsi="Times New Roman"/>
          <w:sz w:val="24"/>
          <w:szCs w:val="24"/>
        </w:rPr>
        <w:t>Обвезник</w:t>
      </w:r>
      <w:r w:rsidR="004D4979" w:rsidRPr="00FB5A28">
        <w:rPr>
          <w:rFonts w:ascii="Times New Roman" w:hAnsi="Times New Roman"/>
          <w:sz w:val="24"/>
          <w:szCs w:val="24"/>
        </w:rPr>
        <w:t xml:space="preserve"> </w:t>
      </w:r>
      <w:r w:rsidRPr="00FB5A28">
        <w:rPr>
          <w:rFonts w:ascii="Times New Roman" w:hAnsi="Times New Roman"/>
          <w:sz w:val="24"/>
          <w:szCs w:val="24"/>
        </w:rPr>
        <w:t>пореза</w:t>
      </w:r>
      <w:r w:rsidR="004D4979" w:rsidRPr="00FB5A28">
        <w:rPr>
          <w:rFonts w:ascii="Times New Roman" w:hAnsi="Times New Roman"/>
          <w:sz w:val="24"/>
          <w:szCs w:val="24"/>
        </w:rPr>
        <w:t xml:space="preserve"> </w:t>
      </w:r>
      <w:r w:rsidRPr="00FB5A28">
        <w:rPr>
          <w:rFonts w:ascii="Times New Roman" w:hAnsi="Times New Roman"/>
          <w:sz w:val="24"/>
          <w:szCs w:val="24"/>
        </w:rPr>
        <w:t>на</w:t>
      </w:r>
      <w:r w:rsidR="004D4979" w:rsidRPr="00FB5A28">
        <w:rPr>
          <w:rFonts w:ascii="Times New Roman" w:hAnsi="Times New Roman"/>
          <w:sz w:val="24"/>
          <w:szCs w:val="24"/>
        </w:rPr>
        <w:t xml:space="preserve"> </w:t>
      </w:r>
      <w:r w:rsidRPr="00FB5A28">
        <w:rPr>
          <w:rFonts w:ascii="Times New Roman" w:hAnsi="Times New Roman"/>
          <w:sz w:val="24"/>
          <w:szCs w:val="24"/>
        </w:rPr>
        <w:t>добитке</w:t>
      </w:r>
      <w:r w:rsidR="004D4979" w:rsidRPr="00FB5A28">
        <w:rPr>
          <w:rFonts w:ascii="Times New Roman" w:hAnsi="Times New Roman"/>
          <w:sz w:val="24"/>
          <w:szCs w:val="24"/>
        </w:rPr>
        <w:t xml:space="preserve"> </w:t>
      </w:r>
      <w:r w:rsidRPr="00FB5A28">
        <w:rPr>
          <w:rFonts w:ascii="Times New Roman" w:hAnsi="Times New Roman"/>
          <w:sz w:val="24"/>
          <w:szCs w:val="24"/>
        </w:rPr>
        <w:t>од</w:t>
      </w:r>
      <w:r w:rsidR="004D4979" w:rsidRPr="00FB5A28">
        <w:rPr>
          <w:rFonts w:ascii="Times New Roman" w:hAnsi="Times New Roman"/>
          <w:sz w:val="24"/>
          <w:szCs w:val="24"/>
        </w:rPr>
        <w:t xml:space="preserve"> </w:t>
      </w:r>
      <w:r w:rsidRPr="00FB5A28">
        <w:rPr>
          <w:rFonts w:ascii="Times New Roman" w:hAnsi="Times New Roman"/>
          <w:sz w:val="24"/>
          <w:szCs w:val="24"/>
        </w:rPr>
        <w:t>игара</w:t>
      </w:r>
      <w:r w:rsidR="004D4979" w:rsidRPr="00FB5A28">
        <w:rPr>
          <w:rFonts w:ascii="Times New Roman" w:hAnsi="Times New Roman"/>
          <w:sz w:val="24"/>
          <w:szCs w:val="24"/>
        </w:rPr>
        <w:t xml:space="preserve"> </w:t>
      </w:r>
      <w:r w:rsidRPr="00FB5A28">
        <w:rPr>
          <w:rFonts w:ascii="Times New Roman" w:hAnsi="Times New Roman"/>
          <w:sz w:val="24"/>
          <w:szCs w:val="24"/>
        </w:rPr>
        <w:t>на</w:t>
      </w:r>
      <w:r w:rsidR="004D4979" w:rsidRPr="00FB5A28">
        <w:rPr>
          <w:rFonts w:ascii="Times New Roman" w:hAnsi="Times New Roman"/>
          <w:sz w:val="24"/>
          <w:szCs w:val="24"/>
        </w:rPr>
        <w:t xml:space="preserve"> </w:t>
      </w:r>
      <w:r w:rsidRPr="00FB5A28">
        <w:rPr>
          <w:rFonts w:ascii="Times New Roman" w:hAnsi="Times New Roman"/>
          <w:sz w:val="24"/>
          <w:szCs w:val="24"/>
        </w:rPr>
        <w:t>срећу</w:t>
      </w:r>
      <w:r w:rsidR="004D4979" w:rsidRPr="00FB5A28">
        <w:rPr>
          <w:rFonts w:ascii="Times New Roman" w:hAnsi="Times New Roman"/>
          <w:sz w:val="24"/>
          <w:szCs w:val="24"/>
        </w:rPr>
        <w:t xml:space="preserve"> </w:t>
      </w:r>
      <w:r w:rsidRPr="00FB5A28">
        <w:rPr>
          <w:rFonts w:ascii="Times New Roman" w:hAnsi="Times New Roman"/>
          <w:sz w:val="24"/>
          <w:szCs w:val="24"/>
        </w:rPr>
        <w:t>је</w:t>
      </w:r>
      <w:r w:rsidR="004D4979" w:rsidRPr="00FB5A28">
        <w:rPr>
          <w:rFonts w:ascii="Times New Roman" w:hAnsi="Times New Roman"/>
          <w:sz w:val="24"/>
          <w:szCs w:val="24"/>
        </w:rPr>
        <w:t xml:space="preserve"> </w:t>
      </w:r>
      <w:r w:rsidRPr="00FB5A28">
        <w:rPr>
          <w:rFonts w:ascii="Times New Roman" w:hAnsi="Times New Roman"/>
          <w:sz w:val="24"/>
          <w:szCs w:val="24"/>
        </w:rPr>
        <w:t>физичко</w:t>
      </w:r>
      <w:r w:rsidR="004D4979" w:rsidRPr="00FB5A28">
        <w:rPr>
          <w:rFonts w:ascii="Times New Roman" w:hAnsi="Times New Roman"/>
          <w:sz w:val="24"/>
          <w:szCs w:val="24"/>
        </w:rPr>
        <w:t xml:space="preserve"> </w:t>
      </w:r>
      <w:r w:rsidRPr="00FB5A28">
        <w:rPr>
          <w:rFonts w:ascii="Times New Roman" w:hAnsi="Times New Roman"/>
          <w:sz w:val="24"/>
          <w:szCs w:val="24"/>
        </w:rPr>
        <w:t>лице</w:t>
      </w:r>
      <w:r w:rsidR="004D4979" w:rsidRPr="00FB5A28">
        <w:rPr>
          <w:rFonts w:ascii="Times New Roman" w:hAnsi="Times New Roman"/>
          <w:sz w:val="24"/>
          <w:szCs w:val="24"/>
        </w:rPr>
        <w:t xml:space="preserve"> </w:t>
      </w:r>
      <w:r w:rsidRPr="00FB5A28">
        <w:rPr>
          <w:rFonts w:ascii="Times New Roman" w:hAnsi="Times New Roman"/>
          <w:sz w:val="24"/>
          <w:szCs w:val="24"/>
        </w:rPr>
        <w:t>које</w:t>
      </w:r>
      <w:r w:rsidR="004D4979" w:rsidRPr="00FB5A28">
        <w:rPr>
          <w:rFonts w:ascii="Times New Roman" w:hAnsi="Times New Roman"/>
          <w:sz w:val="24"/>
          <w:szCs w:val="24"/>
        </w:rPr>
        <w:t xml:space="preserve"> </w:t>
      </w:r>
      <w:r w:rsidRPr="00FB5A28">
        <w:rPr>
          <w:rFonts w:ascii="Times New Roman" w:hAnsi="Times New Roman"/>
          <w:sz w:val="24"/>
          <w:szCs w:val="24"/>
        </w:rPr>
        <w:t>оствари</w:t>
      </w:r>
      <w:r w:rsidR="004D4979" w:rsidRPr="00FB5A28">
        <w:rPr>
          <w:rFonts w:ascii="Times New Roman" w:hAnsi="Times New Roman"/>
          <w:sz w:val="24"/>
          <w:szCs w:val="24"/>
        </w:rPr>
        <w:t xml:space="preserve"> </w:t>
      </w:r>
      <w:r w:rsidRPr="00FB5A28">
        <w:rPr>
          <w:rFonts w:ascii="Times New Roman" w:hAnsi="Times New Roman"/>
          <w:sz w:val="24"/>
          <w:szCs w:val="24"/>
        </w:rPr>
        <w:t>добитак</w:t>
      </w:r>
      <w:r w:rsidR="004D4979" w:rsidRPr="00FB5A28">
        <w:rPr>
          <w:rFonts w:ascii="Times New Roman" w:hAnsi="Times New Roman"/>
          <w:sz w:val="24"/>
          <w:szCs w:val="24"/>
        </w:rPr>
        <w:t xml:space="preserve"> </w:t>
      </w:r>
      <w:r w:rsidRPr="00FB5A28">
        <w:rPr>
          <w:rFonts w:ascii="Times New Roman" w:hAnsi="Times New Roman"/>
          <w:sz w:val="24"/>
          <w:szCs w:val="24"/>
        </w:rPr>
        <w:t>од</w:t>
      </w:r>
      <w:r w:rsidR="004D4979" w:rsidRPr="00FB5A28">
        <w:rPr>
          <w:rFonts w:ascii="Times New Roman" w:hAnsi="Times New Roman"/>
          <w:sz w:val="24"/>
          <w:szCs w:val="24"/>
        </w:rPr>
        <w:t xml:space="preserve"> </w:t>
      </w:r>
      <w:r w:rsidRPr="00FB5A28">
        <w:rPr>
          <w:rFonts w:ascii="Times New Roman" w:hAnsi="Times New Roman"/>
          <w:sz w:val="24"/>
          <w:szCs w:val="24"/>
        </w:rPr>
        <w:t>игара</w:t>
      </w:r>
      <w:r w:rsidR="004D4979" w:rsidRPr="00FB5A28">
        <w:rPr>
          <w:rFonts w:ascii="Times New Roman" w:hAnsi="Times New Roman"/>
          <w:sz w:val="24"/>
          <w:szCs w:val="24"/>
        </w:rPr>
        <w:t xml:space="preserve"> </w:t>
      </w:r>
      <w:r w:rsidRPr="00FB5A28">
        <w:rPr>
          <w:rFonts w:ascii="Times New Roman" w:hAnsi="Times New Roman"/>
          <w:sz w:val="24"/>
          <w:szCs w:val="24"/>
        </w:rPr>
        <w:t>које</w:t>
      </w:r>
      <w:r w:rsidR="004D4979" w:rsidRPr="00FB5A28">
        <w:rPr>
          <w:rFonts w:ascii="Times New Roman" w:hAnsi="Times New Roman"/>
          <w:sz w:val="24"/>
          <w:szCs w:val="24"/>
        </w:rPr>
        <w:t xml:space="preserve"> </w:t>
      </w:r>
      <w:r w:rsidRPr="00FB5A28">
        <w:rPr>
          <w:rFonts w:ascii="Times New Roman" w:hAnsi="Times New Roman"/>
          <w:sz w:val="24"/>
          <w:szCs w:val="24"/>
        </w:rPr>
        <w:t>се</w:t>
      </w:r>
      <w:r w:rsidR="004D4979" w:rsidRPr="00FB5A28">
        <w:rPr>
          <w:rFonts w:ascii="Times New Roman" w:hAnsi="Times New Roman"/>
          <w:sz w:val="24"/>
          <w:szCs w:val="24"/>
        </w:rPr>
        <w:t xml:space="preserve"> </w:t>
      </w:r>
      <w:r w:rsidRPr="00FB5A28">
        <w:rPr>
          <w:rFonts w:ascii="Times New Roman" w:hAnsi="Times New Roman"/>
          <w:sz w:val="24"/>
          <w:szCs w:val="24"/>
        </w:rPr>
        <w:t>сматрају</w:t>
      </w:r>
      <w:r w:rsidR="004D4979" w:rsidRPr="00FB5A28">
        <w:rPr>
          <w:rFonts w:ascii="Times New Roman" w:hAnsi="Times New Roman"/>
          <w:sz w:val="24"/>
          <w:szCs w:val="24"/>
        </w:rPr>
        <w:t xml:space="preserve"> </w:t>
      </w:r>
      <w:r w:rsidRPr="00FB5A28">
        <w:rPr>
          <w:rFonts w:ascii="Times New Roman" w:hAnsi="Times New Roman"/>
          <w:sz w:val="24"/>
          <w:szCs w:val="24"/>
        </w:rPr>
        <w:t>играма</w:t>
      </w:r>
      <w:r w:rsidR="004D4979" w:rsidRPr="00FB5A28">
        <w:rPr>
          <w:rFonts w:ascii="Times New Roman" w:hAnsi="Times New Roman"/>
          <w:sz w:val="24"/>
          <w:szCs w:val="24"/>
        </w:rPr>
        <w:t xml:space="preserve"> </w:t>
      </w:r>
      <w:r w:rsidRPr="00FB5A28">
        <w:rPr>
          <w:rFonts w:ascii="Times New Roman" w:hAnsi="Times New Roman"/>
          <w:sz w:val="24"/>
          <w:szCs w:val="24"/>
        </w:rPr>
        <w:t>на</w:t>
      </w:r>
      <w:r w:rsidR="004D4979" w:rsidRPr="00FB5A28">
        <w:rPr>
          <w:rFonts w:ascii="Times New Roman" w:hAnsi="Times New Roman"/>
          <w:sz w:val="24"/>
          <w:szCs w:val="24"/>
        </w:rPr>
        <w:t xml:space="preserve"> </w:t>
      </w:r>
      <w:r w:rsidRPr="00FB5A28">
        <w:rPr>
          <w:rFonts w:ascii="Times New Roman" w:hAnsi="Times New Roman"/>
          <w:sz w:val="24"/>
          <w:szCs w:val="24"/>
        </w:rPr>
        <w:t>срећу</w:t>
      </w:r>
      <w:r w:rsidR="004D4979" w:rsidRPr="00FB5A28">
        <w:rPr>
          <w:rFonts w:ascii="Times New Roman" w:hAnsi="Times New Roman"/>
          <w:sz w:val="24"/>
          <w:szCs w:val="24"/>
        </w:rPr>
        <w:t xml:space="preserve"> </w:t>
      </w:r>
      <w:r w:rsidRPr="00FB5A28">
        <w:rPr>
          <w:rFonts w:ascii="Times New Roman" w:hAnsi="Times New Roman"/>
          <w:sz w:val="24"/>
          <w:szCs w:val="24"/>
        </w:rPr>
        <w:t>у</w:t>
      </w:r>
      <w:r w:rsidR="004D4979" w:rsidRPr="00FB5A28">
        <w:rPr>
          <w:rFonts w:ascii="Times New Roman" w:hAnsi="Times New Roman"/>
          <w:sz w:val="24"/>
          <w:szCs w:val="24"/>
        </w:rPr>
        <w:t xml:space="preserve"> </w:t>
      </w:r>
      <w:r w:rsidRPr="00FB5A28">
        <w:rPr>
          <w:rFonts w:ascii="Times New Roman" w:hAnsi="Times New Roman"/>
          <w:sz w:val="24"/>
          <w:szCs w:val="24"/>
        </w:rPr>
        <w:t>смислу</w:t>
      </w:r>
      <w:r w:rsidR="004D4979" w:rsidRPr="00FB5A28">
        <w:rPr>
          <w:rFonts w:ascii="Times New Roman" w:hAnsi="Times New Roman"/>
          <w:sz w:val="24"/>
          <w:szCs w:val="24"/>
        </w:rPr>
        <w:t xml:space="preserve"> </w:t>
      </w:r>
      <w:r w:rsidRPr="00FB5A28">
        <w:rPr>
          <w:rFonts w:ascii="Times New Roman" w:hAnsi="Times New Roman"/>
          <w:sz w:val="24"/>
          <w:szCs w:val="24"/>
        </w:rPr>
        <w:t>закона</w:t>
      </w:r>
      <w:r w:rsidR="004D4979" w:rsidRPr="00FB5A28">
        <w:rPr>
          <w:rFonts w:ascii="Times New Roman" w:hAnsi="Times New Roman"/>
          <w:sz w:val="24"/>
          <w:szCs w:val="24"/>
        </w:rPr>
        <w:t xml:space="preserve"> </w:t>
      </w:r>
      <w:r w:rsidRPr="00FB5A28">
        <w:rPr>
          <w:rFonts w:ascii="Times New Roman" w:hAnsi="Times New Roman"/>
          <w:sz w:val="24"/>
          <w:szCs w:val="24"/>
        </w:rPr>
        <w:t>којим</w:t>
      </w:r>
      <w:r w:rsidR="004D4979" w:rsidRPr="00FB5A28">
        <w:rPr>
          <w:rFonts w:ascii="Times New Roman" w:hAnsi="Times New Roman"/>
          <w:sz w:val="24"/>
          <w:szCs w:val="24"/>
        </w:rPr>
        <w:t xml:space="preserve"> </w:t>
      </w:r>
      <w:r w:rsidRPr="00FB5A28">
        <w:rPr>
          <w:rFonts w:ascii="Times New Roman" w:hAnsi="Times New Roman"/>
          <w:sz w:val="24"/>
          <w:szCs w:val="24"/>
        </w:rPr>
        <w:t>се</w:t>
      </w:r>
      <w:r w:rsidR="004D4979" w:rsidRPr="00FB5A28">
        <w:rPr>
          <w:rFonts w:ascii="Times New Roman" w:hAnsi="Times New Roman"/>
          <w:sz w:val="24"/>
          <w:szCs w:val="24"/>
        </w:rPr>
        <w:t xml:space="preserve"> </w:t>
      </w:r>
      <w:r w:rsidRPr="00FB5A28">
        <w:rPr>
          <w:rFonts w:ascii="Times New Roman" w:hAnsi="Times New Roman"/>
          <w:sz w:val="24"/>
          <w:szCs w:val="24"/>
        </w:rPr>
        <w:t>уређују</w:t>
      </w:r>
      <w:r w:rsidR="004D4979" w:rsidRPr="00FB5A28">
        <w:rPr>
          <w:rFonts w:ascii="Times New Roman" w:hAnsi="Times New Roman"/>
          <w:sz w:val="24"/>
          <w:szCs w:val="24"/>
        </w:rPr>
        <w:t xml:space="preserve"> </w:t>
      </w:r>
      <w:r w:rsidRPr="00FB5A28">
        <w:rPr>
          <w:rFonts w:ascii="Times New Roman" w:hAnsi="Times New Roman"/>
          <w:sz w:val="24"/>
          <w:szCs w:val="24"/>
        </w:rPr>
        <w:t>игре</w:t>
      </w:r>
      <w:r w:rsidR="004D4979" w:rsidRPr="00FB5A28">
        <w:rPr>
          <w:rFonts w:ascii="Times New Roman" w:hAnsi="Times New Roman"/>
          <w:sz w:val="24"/>
          <w:szCs w:val="24"/>
        </w:rPr>
        <w:t xml:space="preserve"> </w:t>
      </w:r>
      <w:r w:rsidRPr="00FB5A28">
        <w:rPr>
          <w:rFonts w:ascii="Times New Roman" w:hAnsi="Times New Roman"/>
          <w:sz w:val="24"/>
          <w:szCs w:val="24"/>
        </w:rPr>
        <w:t>на</w:t>
      </w:r>
      <w:r w:rsidR="004D4979" w:rsidRPr="00FB5A28">
        <w:rPr>
          <w:rFonts w:ascii="Times New Roman" w:hAnsi="Times New Roman"/>
          <w:sz w:val="24"/>
          <w:szCs w:val="24"/>
        </w:rPr>
        <w:t xml:space="preserve"> </w:t>
      </w:r>
      <w:r w:rsidRPr="00FB5A28">
        <w:rPr>
          <w:rFonts w:ascii="Times New Roman" w:hAnsi="Times New Roman"/>
          <w:sz w:val="24"/>
          <w:szCs w:val="24"/>
        </w:rPr>
        <w:t>срећу</w:t>
      </w:r>
      <w:r w:rsidR="004D4979" w:rsidRPr="00FB5A28">
        <w:rPr>
          <w:rFonts w:ascii="Times New Roman" w:hAnsi="Times New Roman"/>
          <w:sz w:val="24"/>
          <w:szCs w:val="24"/>
        </w:rPr>
        <w:t>.</w:t>
      </w:r>
      <w:r w:rsidRPr="00FB5A28">
        <w:rPr>
          <w:rFonts w:ascii="Times New Roman" w:hAnsi="Times New Roman"/>
          <w:sz w:val="24"/>
          <w:szCs w:val="24"/>
          <w:lang w:val="sr-Cyrl-CS"/>
        </w:rPr>
        <w:t xml:space="preserve"> </w:t>
      </w:r>
      <w:r w:rsidRPr="00FB5A28">
        <w:rPr>
          <w:rFonts w:ascii="Times New Roman" w:hAnsi="Times New Roman"/>
          <w:sz w:val="24"/>
          <w:szCs w:val="24"/>
        </w:rPr>
        <w:t>Опорезиви</w:t>
      </w:r>
      <w:r w:rsidR="004D4979" w:rsidRPr="00FB5A28">
        <w:rPr>
          <w:rFonts w:ascii="Times New Roman" w:hAnsi="Times New Roman"/>
          <w:sz w:val="24"/>
          <w:szCs w:val="24"/>
        </w:rPr>
        <w:t xml:space="preserve"> </w:t>
      </w:r>
      <w:r w:rsidRPr="00FB5A28">
        <w:rPr>
          <w:rFonts w:ascii="Times New Roman" w:hAnsi="Times New Roman"/>
          <w:sz w:val="24"/>
          <w:szCs w:val="24"/>
        </w:rPr>
        <w:t>приход</w:t>
      </w:r>
      <w:r w:rsidR="004D4979" w:rsidRPr="00FB5A28">
        <w:rPr>
          <w:rFonts w:ascii="Times New Roman" w:hAnsi="Times New Roman"/>
          <w:sz w:val="24"/>
          <w:szCs w:val="24"/>
        </w:rPr>
        <w:t xml:space="preserve"> </w:t>
      </w:r>
      <w:r w:rsidRPr="00FB5A28">
        <w:rPr>
          <w:rFonts w:ascii="Times New Roman" w:hAnsi="Times New Roman"/>
          <w:sz w:val="24"/>
          <w:szCs w:val="24"/>
        </w:rPr>
        <w:t>за</w:t>
      </w:r>
      <w:r w:rsidR="004D4979" w:rsidRPr="00FB5A28">
        <w:rPr>
          <w:rFonts w:ascii="Times New Roman" w:hAnsi="Times New Roman"/>
          <w:sz w:val="24"/>
          <w:szCs w:val="24"/>
        </w:rPr>
        <w:t xml:space="preserve"> </w:t>
      </w:r>
      <w:r w:rsidRPr="00FB5A28">
        <w:rPr>
          <w:rFonts w:ascii="Times New Roman" w:hAnsi="Times New Roman"/>
          <w:sz w:val="24"/>
          <w:szCs w:val="24"/>
        </w:rPr>
        <w:t>добитке</w:t>
      </w:r>
      <w:r w:rsidR="004D4979" w:rsidRPr="00FB5A28">
        <w:rPr>
          <w:rFonts w:ascii="Times New Roman" w:hAnsi="Times New Roman"/>
          <w:sz w:val="24"/>
          <w:szCs w:val="24"/>
        </w:rPr>
        <w:t xml:space="preserve"> </w:t>
      </w:r>
      <w:r w:rsidRPr="00FB5A28">
        <w:rPr>
          <w:rFonts w:ascii="Times New Roman" w:hAnsi="Times New Roman"/>
          <w:sz w:val="24"/>
          <w:szCs w:val="24"/>
        </w:rPr>
        <w:t>од</w:t>
      </w:r>
      <w:r w:rsidR="004D4979" w:rsidRPr="00FB5A28">
        <w:rPr>
          <w:rFonts w:ascii="Times New Roman" w:hAnsi="Times New Roman"/>
          <w:sz w:val="24"/>
          <w:szCs w:val="24"/>
        </w:rPr>
        <w:t xml:space="preserve"> </w:t>
      </w:r>
      <w:r w:rsidRPr="00FB5A28">
        <w:rPr>
          <w:rFonts w:ascii="Times New Roman" w:hAnsi="Times New Roman"/>
          <w:sz w:val="24"/>
          <w:szCs w:val="24"/>
        </w:rPr>
        <w:t>игара</w:t>
      </w:r>
      <w:r w:rsidR="004D4979" w:rsidRPr="00FB5A28">
        <w:rPr>
          <w:rFonts w:ascii="Times New Roman" w:hAnsi="Times New Roman"/>
          <w:sz w:val="24"/>
          <w:szCs w:val="24"/>
        </w:rPr>
        <w:t xml:space="preserve"> </w:t>
      </w:r>
      <w:r w:rsidRPr="00FB5A28">
        <w:rPr>
          <w:rFonts w:ascii="Times New Roman" w:hAnsi="Times New Roman"/>
          <w:sz w:val="24"/>
          <w:szCs w:val="24"/>
        </w:rPr>
        <w:t>на</w:t>
      </w:r>
      <w:r w:rsidR="004D4979" w:rsidRPr="00FB5A28">
        <w:rPr>
          <w:rFonts w:ascii="Times New Roman" w:hAnsi="Times New Roman"/>
          <w:sz w:val="24"/>
          <w:szCs w:val="24"/>
        </w:rPr>
        <w:t xml:space="preserve"> </w:t>
      </w:r>
      <w:r w:rsidRPr="00FB5A28">
        <w:rPr>
          <w:rFonts w:ascii="Times New Roman" w:hAnsi="Times New Roman"/>
          <w:sz w:val="24"/>
          <w:szCs w:val="24"/>
        </w:rPr>
        <w:t>срећу</w:t>
      </w:r>
      <w:r w:rsidR="004D4979" w:rsidRPr="00FB5A28">
        <w:rPr>
          <w:rFonts w:ascii="Times New Roman" w:hAnsi="Times New Roman"/>
          <w:sz w:val="24"/>
          <w:szCs w:val="24"/>
        </w:rPr>
        <w:t xml:space="preserve"> </w:t>
      </w:r>
      <w:r w:rsidRPr="00FB5A28">
        <w:rPr>
          <w:rFonts w:ascii="Times New Roman" w:hAnsi="Times New Roman"/>
          <w:sz w:val="24"/>
          <w:szCs w:val="24"/>
        </w:rPr>
        <w:t>представља</w:t>
      </w:r>
      <w:r w:rsidR="004D4979" w:rsidRPr="00FB5A28">
        <w:rPr>
          <w:rFonts w:ascii="Times New Roman" w:hAnsi="Times New Roman"/>
          <w:sz w:val="24"/>
          <w:szCs w:val="24"/>
        </w:rPr>
        <w:t xml:space="preserve"> </w:t>
      </w:r>
      <w:r w:rsidRPr="00FB5A28">
        <w:rPr>
          <w:rFonts w:ascii="Times New Roman" w:hAnsi="Times New Roman"/>
          <w:sz w:val="24"/>
          <w:szCs w:val="24"/>
        </w:rPr>
        <w:t>сваки</w:t>
      </w:r>
      <w:r w:rsidR="004D4979" w:rsidRPr="00FB5A28">
        <w:rPr>
          <w:rFonts w:ascii="Times New Roman" w:hAnsi="Times New Roman"/>
          <w:sz w:val="24"/>
          <w:szCs w:val="24"/>
        </w:rPr>
        <w:t xml:space="preserve"> </w:t>
      </w:r>
      <w:r w:rsidRPr="00FB5A28">
        <w:rPr>
          <w:rFonts w:ascii="Times New Roman" w:hAnsi="Times New Roman"/>
          <w:sz w:val="24"/>
          <w:szCs w:val="24"/>
        </w:rPr>
        <w:t>појединачни</w:t>
      </w:r>
      <w:r w:rsidR="004D4979" w:rsidRPr="00FB5A28">
        <w:rPr>
          <w:rFonts w:ascii="Times New Roman" w:hAnsi="Times New Roman"/>
          <w:sz w:val="24"/>
          <w:szCs w:val="24"/>
        </w:rPr>
        <w:t xml:space="preserve"> </w:t>
      </w:r>
      <w:r w:rsidRPr="00FB5A28">
        <w:rPr>
          <w:rFonts w:ascii="Times New Roman" w:hAnsi="Times New Roman"/>
          <w:sz w:val="24"/>
          <w:szCs w:val="24"/>
        </w:rPr>
        <w:t>добитак</w:t>
      </w:r>
      <w:r w:rsidR="004D4979" w:rsidRPr="00FB5A28">
        <w:rPr>
          <w:rFonts w:ascii="Times New Roman" w:hAnsi="Times New Roman"/>
          <w:sz w:val="24"/>
          <w:szCs w:val="24"/>
        </w:rPr>
        <w:t xml:space="preserve"> </w:t>
      </w:r>
      <w:r w:rsidRPr="00FB5A28">
        <w:rPr>
          <w:rFonts w:ascii="Times New Roman" w:hAnsi="Times New Roman"/>
          <w:sz w:val="24"/>
          <w:szCs w:val="24"/>
        </w:rPr>
        <w:t>од</w:t>
      </w:r>
      <w:r w:rsidR="004D4979" w:rsidRPr="00FB5A28">
        <w:rPr>
          <w:rFonts w:ascii="Times New Roman" w:hAnsi="Times New Roman"/>
          <w:sz w:val="24"/>
          <w:szCs w:val="24"/>
        </w:rPr>
        <w:t xml:space="preserve"> </w:t>
      </w:r>
      <w:r w:rsidRPr="00FB5A28">
        <w:rPr>
          <w:rFonts w:ascii="Times New Roman" w:hAnsi="Times New Roman"/>
          <w:sz w:val="24"/>
          <w:szCs w:val="24"/>
        </w:rPr>
        <w:t>игара</w:t>
      </w:r>
      <w:r w:rsidR="004D4979" w:rsidRPr="00FB5A28">
        <w:rPr>
          <w:rFonts w:ascii="Times New Roman" w:hAnsi="Times New Roman"/>
          <w:sz w:val="24"/>
          <w:szCs w:val="24"/>
        </w:rPr>
        <w:t xml:space="preserve"> </w:t>
      </w:r>
      <w:r w:rsidRPr="00FB5A28">
        <w:rPr>
          <w:rFonts w:ascii="Times New Roman" w:hAnsi="Times New Roman"/>
          <w:sz w:val="24"/>
          <w:szCs w:val="24"/>
        </w:rPr>
        <w:t>на</w:t>
      </w:r>
      <w:r w:rsidR="004D4979" w:rsidRPr="00FB5A28">
        <w:rPr>
          <w:rFonts w:ascii="Times New Roman" w:hAnsi="Times New Roman"/>
          <w:sz w:val="24"/>
          <w:szCs w:val="24"/>
        </w:rPr>
        <w:t xml:space="preserve"> </w:t>
      </w:r>
      <w:r w:rsidRPr="00FB5A28">
        <w:rPr>
          <w:rFonts w:ascii="Times New Roman" w:hAnsi="Times New Roman"/>
          <w:sz w:val="24"/>
          <w:szCs w:val="24"/>
        </w:rPr>
        <w:t>срећу</w:t>
      </w:r>
      <w:r w:rsidR="004D4979" w:rsidRPr="00FB5A28">
        <w:rPr>
          <w:rFonts w:ascii="Times New Roman" w:hAnsi="Times New Roman"/>
          <w:sz w:val="24"/>
          <w:szCs w:val="24"/>
        </w:rPr>
        <w:t xml:space="preserve">, </w:t>
      </w:r>
      <w:r w:rsidRPr="00FB5A28">
        <w:rPr>
          <w:rFonts w:ascii="Times New Roman" w:hAnsi="Times New Roman"/>
          <w:sz w:val="24"/>
          <w:szCs w:val="24"/>
        </w:rPr>
        <w:t>осим</w:t>
      </w:r>
      <w:r w:rsidR="004D4979" w:rsidRPr="00FB5A28">
        <w:rPr>
          <w:rFonts w:ascii="Times New Roman" w:hAnsi="Times New Roman"/>
          <w:sz w:val="24"/>
          <w:szCs w:val="24"/>
        </w:rPr>
        <w:t xml:space="preserve"> </w:t>
      </w:r>
      <w:r w:rsidRPr="00FB5A28">
        <w:rPr>
          <w:rFonts w:ascii="Times New Roman" w:hAnsi="Times New Roman"/>
          <w:sz w:val="24"/>
          <w:szCs w:val="24"/>
        </w:rPr>
        <w:t>оних</w:t>
      </w:r>
      <w:r w:rsidR="004D4979" w:rsidRPr="00FB5A28">
        <w:rPr>
          <w:rFonts w:ascii="Times New Roman" w:hAnsi="Times New Roman"/>
          <w:sz w:val="24"/>
          <w:szCs w:val="24"/>
        </w:rPr>
        <w:t xml:space="preserve"> </w:t>
      </w:r>
      <w:r w:rsidRPr="00FB5A28">
        <w:rPr>
          <w:rFonts w:ascii="Times New Roman" w:hAnsi="Times New Roman"/>
          <w:sz w:val="24"/>
          <w:szCs w:val="24"/>
        </w:rPr>
        <w:t>који</w:t>
      </w:r>
      <w:r w:rsidR="004D4979" w:rsidRPr="00FB5A28">
        <w:rPr>
          <w:rFonts w:ascii="Times New Roman" w:hAnsi="Times New Roman"/>
          <w:sz w:val="24"/>
          <w:szCs w:val="24"/>
        </w:rPr>
        <w:t xml:space="preserve"> </w:t>
      </w:r>
      <w:r w:rsidRPr="00FB5A28">
        <w:rPr>
          <w:rFonts w:ascii="Times New Roman" w:hAnsi="Times New Roman"/>
          <w:sz w:val="24"/>
          <w:szCs w:val="24"/>
        </w:rPr>
        <w:t>су</w:t>
      </w:r>
      <w:r w:rsidR="004D4979" w:rsidRPr="00FB5A28">
        <w:rPr>
          <w:rFonts w:ascii="Times New Roman" w:hAnsi="Times New Roman"/>
          <w:sz w:val="24"/>
          <w:szCs w:val="24"/>
        </w:rPr>
        <w:t xml:space="preserve"> </w:t>
      </w:r>
      <w:r w:rsidRPr="00FB5A28">
        <w:rPr>
          <w:rFonts w:ascii="Times New Roman" w:hAnsi="Times New Roman"/>
          <w:sz w:val="24"/>
          <w:szCs w:val="24"/>
        </w:rPr>
        <w:t>ослобођени</w:t>
      </w:r>
      <w:r w:rsidR="004D4979" w:rsidRPr="00FB5A28">
        <w:rPr>
          <w:rFonts w:ascii="Times New Roman" w:hAnsi="Times New Roman"/>
          <w:sz w:val="24"/>
          <w:szCs w:val="24"/>
        </w:rPr>
        <w:t xml:space="preserve"> </w:t>
      </w:r>
      <w:r w:rsidRPr="00FB5A28">
        <w:rPr>
          <w:rFonts w:ascii="Times New Roman" w:hAnsi="Times New Roman"/>
          <w:sz w:val="24"/>
          <w:szCs w:val="24"/>
        </w:rPr>
        <w:t>овим</w:t>
      </w:r>
      <w:r w:rsidR="004D4979" w:rsidRPr="00FB5A28">
        <w:rPr>
          <w:rFonts w:ascii="Times New Roman" w:hAnsi="Times New Roman"/>
          <w:sz w:val="24"/>
          <w:szCs w:val="24"/>
        </w:rPr>
        <w:t xml:space="preserve"> </w:t>
      </w:r>
      <w:r w:rsidRPr="00FB5A28">
        <w:rPr>
          <w:rFonts w:ascii="Times New Roman" w:hAnsi="Times New Roman"/>
          <w:sz w:val="24"/>
          <w:szCs w:val="24"/>
        </w:rPr>
        <w:t>законом</w:t>
      </w:r>
      <w:r w:rsidR="004D4979" w:rsidRPr="00FB5A28">
        <w:rPr>
          <w:rFonts w:ascii="Times New Roman" w:hAnsi="Times New Roman"/>
          <w:sz w:val="24"/>
          <w:szCs w:val="24"/>
        </w:rPr>
        <w:t>.</w:t>
      </w:r>
      <w:r w:rsidRPr="00FB5A28">
        <w:rPr>
          <w:rFonts w:ascii="Times New Roman" w:hAnsi="Times New Roman"/>
          <w:sz w:val="24"/>
          <w:szCs w:val="24"/>
          <w:lang w:val="sr-Cyrl-CS"/>
        </w:rPr>
        <w:t xml:space="preserve"> </w:t>
      </w:r>
      <w:r w:rsidRPr="00FB5A28">
        <w:rPr>
          <w:rFonts w:ascii="Times New Roman" w:hAnsi="Times New Roman"/>
          <w:sz w:val="24"/>
          <w:szCs w:val="24"/>
        </w:rPr>
        <w:t>Опорезив</w:t>
      </w:r>
      <w:r w:rsidR="004D4979" w:rsidRPr="00FB5A28">
        <w:rPr>
          <w:rFonts w:ascii="Times New Roman" w:hAnsi="Times New Roman"/>
          <w:sz w:val="24"/>
          <w:szCs w:val="24"/>
        </w:rPr>
        <w:t xml:space="preserve"> </w:t>
      </w:r>
      <w:r w:rsidRPr="00FB5A28">
        <w:rPr>
          <w:rFonts w:ascii="Times New Roman" w:hAnsi="Times New Roman"/>
          <w:sz w:val="24"/>
          <w:szCs w:val="24"/>
        </w:rPr>
        <w:t>износ</w:t>
      </w:r>
      <w:r w:rsidR="004D4979" w:rsidRPr="00FB5A28">
        <w:rPr>
          <w:rFonts w:ascii="Times New Roman" w:hAnsi="Times New Roman"/>
          <w:sz w:val="24"/>
          <w:szCs w:val="24"/>
        </w:rPr>
        <w:t xml:space="preserve">, </w:t>
      </w:r>
      <w:r w:rsidRPr="00FB5A28">
        <w:rPr>
          <w:rFonts w:ascii="Times New Roman" w:hAnsi="Times New Roman"/>
          <w:sz w:val="24"/>
          <w:szCs w:val="24"/>
        </w:rPr>
        <w:t>који</w:t>
      </w:r>
      <w:r w:rsidR="004D4979" w:rsidRPr="00FB5A28">
        <w:rPr>
          <w:rFonts w:ascii="Times New Roman" w:hAnsi="Times New Roman"/>
          <w:sz w:val="24"/>
          <w:szCs w:val="24"/>
        </w:rPr>
        <w:t xml:space="preserve"> </w:t>
      </w:r>
      <w:r w:rsidRPr="00FB5A28">
        <w:rPr>
          <w:rFonts w:ascii="Times New Roman" w:hAnsi="Times New Roman"/>
          <w:sz w:val="24"/>
          <w:szCs w:val="24"/>
        </w:rPr>
        <w:t>је</w:t>
      </w:r>
      <w:r w:rsidR="004D4979" w:rsidRPr="00FB5A28">
        <w:rPr>
          <w:rFonts w:ascii="Times New Roman" w:hAnsi="Times New Roman"/>
          <w:sz w:val="24"/>
          <w:szCs w:val="24"/>
        </w:rPr>
        <w:t xml:space="preserve"> </w:t>
      </w:r>
      <w:r w:rsidRPr="00FB5A28">
        <w:rPr>
          <w:rFonts w:ascii="Times New Roman" w:hAnsi="Times New Roman"/>
          <w:sz w:val="24"/>
          <w:szCs w:val="24"/>
        </w:rPr>
        <w:t>већи</w:t>
      </w:r>
      <w:r w:rsidR="004D4979" w:rsidRPr="00FB5A28">
        <w:rPr>
          <w:rFonts w:ascii="Times New Roman" w:hAnsi="Times New Roman"/>
          <w:sz w:val="24"/>
          <w:szCs w:val="24"/>
        </w:rPr>
        <w:t xml:space="preserve"> </w:t>
      </w:r>
      <w:r w:rsidRPr="00FB5A28">
        <w:rPr>
          <w:rFonts w:ascii="Times New Roman" w:hAnsi="Times New Roman"/>
          <w:sz w:val="24"/>
          <w:szCs w:val="24"/>
        </w:rPr>
        <w:t>од</w:t>
      </w:r>
      <w:r w:rsidR="004D4979" w:rsidRPr="00FB5A28">
        <w:rPr>
          <w:rFonts w:ascii="Times New Roman" w:hAnsi="Times New Roman"/>
          <w:sz w:val="24"/>
          <w:szCs w:val="24"/>
        </w:rPr>
        <w:t xml:space="preserve"> 11.000 </w:t>
      </w:r>
      <w:r w:rsidRPr="00FB5A28">
        <w:rPr>
          <w:rFonts w:ascii="Times New Roman" w:hAnsi="Times New Roman"/>
          <w:sz w:val="24"/>
          <w:szCs w:val="24"/>
        </w:rPr>
        <w:t>динара</w:t>
      </w:r>
      <w:r w:rsidR="004D4979" w:rsidRPr="00FB5A28">
        <w:rPr>
          <w:rFonts w:ascii="Times New Roman" w:hAnsi="Times New Roman"/>
          <w:sz w:val="24"/>
          <w:szCs w:val="24"/>
        </w:rPr>
        <w:t xml:space="preserve">, </w:t>
      </w:r>
      <w:r w:rsidRPr="00FB5A28">
        <w:rPr>
          <w:rFonts w:ascii="Times New Roman" w:hAnsi="Times New Roman"/>
          <w:sz w:val="24"/>
          <w:szCs w:val="24"/>
        </w:rPr>
        <w:t>умањује</w:t>
      </w:r>
      <w:r w:rsidR="004D4979" w:rsidRPr="00FB5A28">
        <w:rPr>
          <w:rFonts w:ascii="Times New Roman" w:hAnsi="Times New Roman"/>
          <w:sz w:val="24"/>
          <w:szCs w:val="24"/>
        </w:rPr>
        <w:t xml:space="preserve"> </w:t>
      </w:r>
      <w:r w:rsidRPr="00FB5A28">
        <w:rPr>
          <w:rFonts w:ascii="Times New Roman" w:hAnsi="Times New Roman"/>
          <w:sz w:val="24"/>
          <w:szCs w:val="24"/>
        </w:rPr>
        <w:t>се</w:t>
      </w:r>
      <w:r w:rsidR="004D4979" w:rsidRPr="00FB5A28">
        <w:rPr>
          <w:rFonts w:ascii="Times New Roman" w:hAnsi="Times New Roman"/>
          <w:sz w:val="24"/>
          <w:szCs w:val="24"/>
        </w:rPr>
        <w:t xml:space="preserve"> </w:t>
      </w:r>
      <w:r w:rsidRPr="00FB5A28">
        <w:rPr>
          <w:rFonts w:ascii="Times New Roman" w:hAnsi="Times New Roman"/>
          <w:sz w:val="24"/>
          <w:szCs w:val="24"/>
        </w:rPr>
        <w:t>за</w:t>
      </w:r>
      <w:r w:rsidR="004D4979" w:rsidRPr="00FB5A28">
        <w:rPr>
          <w:rFonts w:ascii="Times New Roman" w:hAnsi="Times New Roman"/>
          <w:sz w:val="24"/>
          <w:szCs w:val="24"/>
        </w:rPr>
        <w:t xml:space="preserve"> </w:t>
      </w:r>
      <w:r w:rsidRPr="00FB5A28">
        <w:rPr>
          <w:rFonts w:ascii="Times New Roman" w:hAnsi="Times New Roman"/>
          <w:sz w:val="24"/>
          <w:szCs w:val="24"/>
        </w:rPr>
        <w:t>износ</w:t>
      </w:r>
      <w:r w:rsidR="004D4979" w:rsidRPr="00FB5A28">
        <w:rPr>
          <w:rFonts w:ascii="Times New Roman" w:hAnsi="Times New Roman"/>
          <w:sz w:val="24"/>
          <w:szCs w:val="24"/>
        </w:rPr>
        <w:t xml:space="preserve"> </w:t>
      </w:r>
      <w:r w:rsidRPr="00FB5A28">
        <w:rPr>
          <w:rFonts w:ascii="Times New Roman" w:hAnsi="Times New Roman"/>
          <w:sz w:val="24"/>
          <w:szCs w:val="24"/>
        </w:rPr>
        <w:t>уплате</w:t>
      </w:r>
      <w:r w:rsidR="004D4979" w:rsidRPr="00FB5A28">
        <w:rPr>
          <w:rFonts w:ascii="Times New Roman" w:hAnsi="Times New Roman"/>
          <w:sz w:val="24"/>
          <w:szCs w:val="24"/>
        </w:rPr>
        <w:t xml:space="preserve"> </w:t>
      </w:r>
      <w:r w:rsidRPr="00FB5A28">
        <w:rPr>
          <w:rFonts w:ascii="Times New Roman" w:hAnsi="Times New Roman"/>
          <w:sz w:val="24"/>
          <w:szCs w:val="24"/>
        </w:rPr>
        <w:t>на</w:t>
      </w:r>
      <w:r w:rsidR="004D4979" w:rsidRPr="00FB5A28">
        <w:rPr>
          <w:rFonts w:ascii="Times New Roman" w:hAnsi="Times New Roman"/>
          <w:sz w:val="24"/>
          <w:szCs w:val="24"/>
        </w:rPr>
        <w:t xml:space="preserve"> </w:t>
      </w:r>
      <w:r w:rsidRPr="00FB5A28">
        <w:rPr>
          <w:rFonts w:ascii="Times New Roman" w:hAnsi="Times New Roman"/>
          <w:sz w:val="24"/>
          <w:szCs w:val="24"/>
        </w:rPr>
        <w:t>основу</w:t>
      </w:r>
      <w:r w:rsidR="004D4979" w:rsidRPr="00FB5A28">
        <w:rPr>
          <w:rFonts w:ascii="Times New Roman" w:hAnsi="Times New Roman"/>
          <w:sz w:val="24"/>
          <w:szCs w:val="24"/>
        </w:rPr>
        <w:t xml:space="preserve"> </w:t>
      </w:r>
      <w:r w:rsidRPr="00FB5A28">
        <w:rPr>
          <w:rFonts w:ascii="Times New Roman" w:hAnsi="Times New Roman"/>
          <w:sz w:val="24"/>
          <w:szCs w:val="24"/>
        </w:rPr>
        <w:t>које</w:t>
      </w:r>
      <w:r w:rsidR="004D4979" w:rsidRPr="00FB5A28">
        <w:rPr>
          <w:rFonts w:ascii="Times New Roman" w:hAnsi="Times New Roman"/>
          <w:sz w:val="24"/>
          <w:szCs w:val="24"/>
        </w:rPr>
        <w:t xml:space="preserve"> </w:t>
      </w:r>
      <w:r w:rsidRPr="00FB5A28">
        <w:rPr>
          <w:rFonts w:ascii="Times New Roman" w:hAnsi="Times New Roman"/>
          <w:sz w:val="24"/>
          <w:szCs w:val="24"/>
        </w:rPr>
        <w:t>је</w:t>
      </w:r>
      <w:r w:rsidR="004D4979" w:rsidRPr="00FB5A28">
        <w:rPr>
          <w:rFonts w:ascii="Times New Roman" w:hAnsi="Times New Roman"/>
          <w:sz w:val="24"/>
          <w:szCs w:val="24"/>
        </w:rPr>
        <w:t xml:space="preserve"> </w:t>
      </w:r>
      <w:r w:rsidRPr="00FB5A28">
        <w:rPr>
          <w:rFonts w:ascii="Times New Roman" w:hAnsi="Times New Roman"/>
          <w:sz w:val="24"/>
          <w:szCs w:val="24"/>
        </w:rPr>
        <w:t>појединачно</w:t>
      </w:r>
      <w:r w:rsidR="004D4979" w:rsidRPr="00FB5A28">
        <w:rPr>
          <w:rFonts w:ascii="Times New Roman" w:hAnsi="Times New Roman"/>
          <w:sz w:val="24"/>
          <w:szCs w:val="24"/>
        </w:rPr>
        <w:t xml:space="preserve"> </w:t>
      </w:r>
      <w:r w:rsidRPr="00FB5A28">
        <w:rPr>
          <w:rFonts w:ascii="Times New Roman" w:hAnsi="Times New Roman"/>
          <w:sz w:val="24"/>
          <w:szCs w:val="24"/>
        </w:rPr>
        <w:t>остварен</w:t>
      </w:r>
      <w:r w:rsidR="004D4979" w:rsidRPr="00FB5A28">
        <w:rPr>
          <w:rFonts w:ascii="Times New Roman" w:hAnsi="Times New Roman"/>
          <w:sz w:val="24"/>
          <w:szCs w:val="24"/>
        </w:rPr>
        <w:t xml:space="preserve"> </w:t>
      </w:r>
      <w:r w:rsidRPr="00FB5A28">
        <w:rPr>
          <w:rFonts w:ascii="Times New Roman" w:hAnsi="Times New Roman"/>
          <w:sz w:val="24"/>
          <w:szCs w:val="24"/>
        </w:rPr>
        <w:t>добитак</w:t>
      </w:r>
      <w:r w:rsidR="004D4979" w:rsidRPr="00FB5A28">
        <w:rPr>
          <w:rFonts w:ascii="Times New Roman" w:hAnsi="Times New Roman"/>
          <w:sz w:val="24"/>
          <w:szCs w:val="24"/>
        </w:rPr>
        <w:t>.</w:t>
      </w:r>
    </w:p>
    <w:p w:rsidR="004D4979" w:rsidRPr="00FB5A28" w:rsidRDefault="008D45E3" w:rsidP="00FB5A28">
      <w:pPr>
        <w:ind w:firstLine="708"/>
        <w:jc w:val="both"/>
        <w:rPr>
          <w:rFonts w:ascii="Times New Roman" w:hAnsi="Times New Roman"/>
          <w:sz w:val="24"/>
          <w:szCs w:val="24"/>
          <w:lang w:val="sr-Cyrl-CS"/>
        </w:rPr>
      </w:pPr>
      <w:bookmarkStart w:id="49" w:name="str_60"/>
      <w:bookmarkEnd w:id="49"/>
      <w:r w:rsidRPr="00FB5A28">
        <w:rPr>
          <w:rFonts w:ascii="Times New Roman" w:hAnsi="Times New Roman"/>
          <w:sz w:val="24"/>
          <w:szCs w:val="24"/>
        </w:rPr>
        <w:t>Обвезник</w:t>
      </w:r>
      <w:r w:rsidR="004D4979" w:rsidRPr="00FB5A28">
        <w:rPr>
          <w:rFonts w:ascii="Times New Roman" w:hAnsi="Times New Roman"/>
          <w:sz w:val="24"/>
          <w:szCs w:val="24"/>
        </w:rPr>
        <w:t xml:space="preserve"> </w:t>
      </w:r>
      <w:r w:rsidRPr="00FB5A28">
        <w:rPr>
          <w:rFonts w:ascii="Times New Roman" w:hAnsi="Times New Roman"/>
          <w:sz w:val="24"/>
          <w:szCs w:val="24"/>
        </w:rPr>
        <w:t>пореза</w:t>
      </w:r>
      <w:r w:rsidR="004D4979" w:rsidRPr="00FB5A28">
        <w:rPr>
          <w:rFonts w:ascii="Times New Roman" w:hAnsi="Times New Roman"/>
          <w:sz w:val="24"/>
          <w:szCs w:val="24"/>
        </w:rPr>
        <w:t xml:space="preserve"> </w:t>
      </w:r>
      <w:r w:rsidRPr="00FB5A28">
        <w:rPr>
          <w:rFonts w:ascii="Times New Roman" w:hAnsi="Times New Roman"/>
          <w:sz w:val="24"/>
          <w:szCs w:val="24"/>
        </w:rPr>
        <w:t>на</w:t>
      </w:r>
      <w:r w:rsidR="004D4979" w:rsidRPr="00FB5A28">
        <w:rPr>
          <w:rFonts w:ascii="Times New Roman" w:hAnsi="Times New Roman"/>
          <w:sz w:val="24"/>
          <w:szCs w:val="24"/>
        </w:rPr>
        <w:t xml:space="preserve"> </w:t>
      </w:r>
      <w:r w:rsidRPr="00FB5A28">
        <w:rPr>
          <w:rFonts w:ascii="Times New Roman" w:hAnsi="Times New Roman"/>
          <w:sz w:val="24"/>
          <w:szCs w:val="24"/>
        </w:rPr>
        <w:t>приходе</w:t>
      </w:r>
      <w:r w:rsidR="004D4979" w:rsidRPr="00FB5A28">
        <w:rPr>
          <w:rFonts w:ascii="Times New Roman" w:hAnsi="Times New Roman"/>
          <w:sz w:val="24"/>
          <w:szCs w:val="24"/>
        </w:rPr>
        <w:t xml:space="preserve"> </w:t>
      </w:r>
      <w:r w:rsidRPr="00FB5A28">
        <w:rPr>
          <w:rFonts w:ascii="Times New Roman" w:hAnsi="Times New Roman"/>
          <w:sz w:val="24"/>
          <w:szCs w:val="24"/>
        </w:rPr>
        <w:t>од</w:t>
      </w:r>
      <w:r w:rsidR="004D4979" w:rsidRPr="00FB5A28">
        <w:rPr>
          <w:rFonts w:ascii="Times New Roman" w:hAnsi="Times New Roman"/>
          <w:sz w:val="24"/>
          <w:szCs w:val="24"/>
        </w:rPr>
        <w:t xml:space="preserve"> </w:t>
      </w:r>
      <w:r w:rsidRPr="00FB5A28">
        <w:rPr>
          <w:rFonts w:ascii="Times New Roman" w:hAnsi="Times New Roman"/>
          <w:sz w:val="24"/>
          <w:szCs w:val="24"/>
        </w:rPr>
        <w:t>осигурања</w:t>
      </w:r>
      <w:r w:rsidR="004D4979" w:rsidRPr="00FB5A28">
        <w:rPr>
          <w:rFonts w:ascii="Times New Roman" w:hAnsi="Times New Roman"/>
          <w:sz w:val="24"/>
          <w:szCs w:val="24"/>
        </w:rPr>
        <w:t xml:space="preserve"> </w:t>
      </w:r>
      <w:r w:rsidRPr="00FB5A28">
        <w:rPr>
          <w:rFonts w:ascii="Times New Roman" w:hAnsi="Times New Roman"/>
          <w:sz w:val="24"/>
          <w:szCs w:val="24"/>
        </w:rPr>
        <w:t>лица</w:t>
      </w:r>
      <w:r w:rsidR="004D4979" w:rsidRPr="00FB5A28">
        <w:rPr>
          <w:rFonts w:ascii="Times New Roman" w:hAnsi="Times New Roman"/>
          <w:sz w:val="24"/>
          <w:szCs w:val="24"/>
        </w:rPr>
        <w:t xml:space="preserve"> </w:t>
      </w:r>
      <w:r w:rsidRPr="00FB5A28">
        <w:rPr>
          <w:rFonts w:ascii="Times New Roman" w:hAnsi="Times New Roman"/>
          <w:sz w:val="24"/>
          <w:szCs w:val="24"/>
        </w:rPr>
        <w:t>је</w:t>
      </w:r>
      <w:r w:rsidR="004D4979" w:rsidRPr="00FB5A28">
        <w:rPr>
          <w:rFonts w:ascii="Times New Roman" w:hAnsi="Times New Roman"/>
          <w:sz w:val="24"/>
          <w:szCs w:val="24"/>
        </w:rPr>
        <w:t xml:space="preserve"> </w:t>
      </w:r>
      <w:r w:rsidRPr="00FB5A28">
        <w:rPr>
          <w:rFonts w:ascii="Times New Roman" w:hAnsi="Times New Roman"/>
          <w:sz w:val="24"/>
          <w:szCs w:val="24"/>
        </w:rPr>
        <w:t>физичко</w:t>
      </w:r>
      <w:r w:rsidR="004D4979" w:rsidRPr="00FB5A28">
        <w:rPr>
          <w:rFonts w:ascii="Times New Roman" w:hAnsi="Times New Roman"/>
          <w:sz w:val="24"/>
          <w:szCs w:val="24"/>
        </w:rPr>
        <w:t xml:space="preserve"> </w:t>
      </w:r>
      <w:r w:rsidRPr="00FB5A28">
        <w:rPr>
          <w:rFonts w:ascii="Times New Roman" w:hAnsi="Times New Roman"/>
          <w:sz w:val="24"/>
          <w:szCs w:val="24"/>
        </w:rPr>
        <w:t>лице</w:t>
      </w:r>
      <w:r w:rsidR="004D4979" w:rsidRPr="00FB5A28">
        <w:rPr>
          <w:rFonts w:ascii="Times New Roman" w:hAnsi="Times New Roman"/>
          <w:sz w:val="24"/>
          <w:szCs w:val="24"/>
        </w:rPr>
        <w:t xml:space="preserve"> </w:t>
      </w:r>
      <w:r w:rsidRPr="00FB5A28">
        <w:rPr>
          <w:rFonts w:ascii="Times New Roman" w:hAnsi="Times New Roman"/>
          <w:sz w:val="24"/>
          <w:szCs w:val="24"/>
        </w:rPr>
        <w:t>које</w:t>
      </w:r>
      <w:r w:rsidR="004D4979" w:rsidRPr="00FB5A28">
        <w:rPr>
          <w:rFonts w:ascii="Times New Roman" w:hAnsi="Times New Roman"/>
          <w:sz w:val="24"/>
          <w:szCs w:val="24"/>
        </w:rPr>
        <w:t xml:space="preserve"> </w:t>
      </w:r>
      <w:r w:rsidRPr="00FB5A28">
        <w:rPr>
          <w:rFonts w:ascii="Times New Roman" w:hAnsi="Times New Roman"/>
          <w:sz w:val="24"/>
          <w:szCs w:val="24"/>
        </w:rPr>
        <w:t>оствари</w:t>
      </w:r>
      <w:r w:rsidR="004D4979" w:rsidRPr="00FB5A28">
        <w:rPr>
          <w:rFonts w:ascii="Times New Roman" w:hAnsi="Times New Roman"/>
          <w:sz w:val="24"/>
          <w:szCs w:val="24"/>
        </w:rPr>
        <w:t xml:space="preserve"> </w:t>
      </w:r>
      <w:r w:rsidRPr="00FB5A28">
        <w:rPr>
          <w:rFonts w:ascii="Times New Roman" w:hAnsi="Times New Roman"/>
          <w:sz w:val="24"/>
          <w:szCs w:val="24"/>
        </w:rPr>
        <w:t>накнаду</w:t>
      </w:r>
      <w:r w:rsidR="004D4979" w:rsidRPr="00FB5A28">
        <w:rPr>
          <w:rFonts w:ascii="Times New Roman" w:hAnsi="Times New Roman"/>
          <w:sz w:val="24"/>
          <w:szCs w:val="24"/>
        </w:rPr>
        <w:t xml:space="preserve"> </w:t>
      </w:r>
      <w:r w:rsidRPr="00FB5A28">
        <w:rPr>
          <w:rFonts w:ascii="Times New Roman" w:hAnsi="Times New Roman"/>
          <w:sz w:val="24"/>
          <w:szCs w:val="24"/>
        </w:rPr>
        <w:t>из</w:t>
      </w:r>
      <w:r w:rsidR="004D4979" w:rsidRPr="00FB5A28">
        <w:rPr>
          <w:rFonts w:ascii="Times New Roman" w:hAnsi="Times New Roman"/>
          <w:sz w:val="24"/>
          <w:szCs w:val="24"/>
        </w:rPr>
        <w:t xml:space="preserve"> </w:t>
      </w:r>
      <w:r w:rsidRPr="00FB5A28">
        <w:rPr>
          <w:rFonts w:ascii="Times New Roman" w:hAnsi="Times New Roman"/>
          <w:sz w:val="24"/>
          <w:szCs w:val="24"/>
        </w:rPr>
        <w:t>осигурања</w:t>
      </w:r>
      <w:r w:rsidR="004D4979" w:rsidRPr="00FB5A28">
        <w:rPr>
          <w:rFonts w:ascii="Times New Roman" w:hAnsi="Times New Roman"/>
          <w:sz w:val="24"/>
          <w:szCs w:val="24"/>
        </w:rPr>
        <w:t xml:space="preserve"> </w:t>
      </w:r>
      <w:r w:rsidRPr="00FB5A28">
        <w:rPr>
          <w:rFonts w:ascii="Times New Roman" w:hAnsi="Times New Roman"/>
          <w:sz w:val="24"/>
          <w:szCs w:val="24"/>
        </w:rPr>
        <w:t>лица</w:t>
      </w:r>
      <w:r w:rsidRPr="00FB5A28">
        <w:rPr>
          <w:rFonts w:ascii="Times New Roman" w:hAnsi="Times New Roman"/>
          <w:sz w:val="24"/>
          <w:szCs w:val="24"/>
          <w:lang w:val="sr-Cyrl-CS"/>
        </w:rPr>
        <w:t xml:space="preserve">. </w:t>
      </w:r>
      <w:r w:rsidRPr="00FB5A28">
        <w:rPr>
          <w:rFonts w:ascii="Times New Roman" w:hAnsi="Times New Roman"/>
          <w:sz w:val="24"/>
          <w:szCs w:val="24"/>
        </w:rPr>
        <w:t>Опорезиви</w:t>
      </w:r>
      <w:r w:rsidR="004D4979" w:rsidRPr="00FB5A28">
        <w:rPr>
          <w:rFonts w:ascii="Times New Roman" w:hAnsi="Times New Roman"/>
          <w:sz w:val="24"/>
          <w:szCs w:val="24"/>
        </w:rPr>
        <w:t xml:space="preserve"> </w:t>
      </w:r>
      <w:r w:rsidRPr="00FB5A28">
        <w:rPr>
          <w:rFonts w:ascii="Times New Roman" w:hAnsi="Times New Roman"/>
          <w:sz w:val="24"/>
          <w:szCs w:val="24"/>
        </w:rPr>
        <w:t>приход</w:t>
      </w:r>
      <w:r w:rsidR="004D4979" w:rsidRPr="00FB5A28">
        <w:rPr>
          <w:rFonts w:ascii="Times New Roman" w:hAnsi="Times New Roman"/>
          <w:sz w:val="24"/>
          <w:szCs w:val="24"/>
        </w:rPr>
        <w:t xml:space="preserve"> </w:t>
      </w:r>
      <w:r w:rsidRPr="00FB5A28">
        <w:rPr>
          <w:rFonts w:ascii="Times New Roman" w:hAnsi="Times New Roman"/>
          <w:sz w:val="24"/>
          <w:szCs w:val="24"/>
        </w:rPr>
        <w:t>од</w:t>
      </w:r>
      <w:r w:rsidR="004D4979" w:rsidRPr="00FB5A28">
        <w:rPr>
          <w:rFonts w:ascii="Times New Roman" w:hAnsi="Times New Roman"/>
          <w:sz w:val="24"/>
          <w:szCs w:val="24"/>
        </w:rPr>
        <w:t xml:space="preserve"> </w:t>
      </w:r>
      <w:r w:rsidRPr="00FB5A28">
        <w:rPr>
          <w:rFonts w:ascii="Times New Roman" w:hAnsi="Times New Roman"/>
          <w:sz w:val="24"/>
          <w:szCs w:val="24"/>
        </w:rPr>
        <w:t>осигурања</w:t>
      </w:r>
      <w:r w:rsidR="004D4979" w:rsidRPr="00FB5A28">
        <w:rPr>
          <w:rFonts w:ascii="Times New Roman" w:hAnsi="Times New Roman"/>
          <w:sz w:val="24"/>
          <w:szCs w:val="24"/>
        </w:rPr>
        <w:t xml:space="preserve"> </w:t>
      </w:r>
      <w:r w:rsidRPr="00FB5A28">
        <w:rPr>
          <w:rFonts w:ascii="Times New Roman" w:hAnsi="Times New Roman"/>
          <w:sz w:val="24"/>
          <w:szCs w:val="24"/>
        </w:rPr>
        <w:t>лица</w:t>
      </w:r>
      <w:r w:rsidR="004D4979" w:rsidRPr="00FB5A28">
        <w:rPr>
          <w:rFonts w:ascii="Times New Roman" w:hAnsi="Times New Roman"/>
          <w:sz w:val="24"/>
          <w:szCs w:val="24"/>
        </w:rPr>
        <w:t xml:space="preserve"> </w:t>
      </w:r>
      <w:r w:rsidRPr="00FB5A28">
        <w:rPr>
          <w:rFonts w:ascii="Times New Roman" w:hAnsi="Times New Roman"/>
          <w:sz w:val="24"/>
          <w:szCs w:val="24"/>
        </w:rPr>
        <w:t>представља</w:t>
      </w:r>
      <w:r w:rsidR="004D4979" w:rsidRPr="00FB5A28">
        <w:rPr>
          <w:rFonts w:ascii="Times New Roman" w:hAnsi="Times New Roman"/>
          <w:sz w:val="24"/>
          <w:szCs w:val="24"/>
        </w:rPr>
        <w:t xml:space="preserve"> </w:t>
      </w:r>
      <w:r w:rsidRPr="00FB5A28">
        <w:rPr>
          <w:rFonts w:ascii="Times New Roman" w:hAnsi="Times New Roman"/>
          <w:sz w:val="24"/>
          <w:szCs w:val="24"/>
        </w:rPr>
        <w:t>вредност</w:t>
      </w:r>
      <w:r w:rsidR="004D4979" w:rsidRPr="00FB5A28">
        <w:rPr>
          <w:rFonts w:ascii="Times New Roman" w:hAnsi="Times New Roman"/>
          <w:sz w:val="24"/>
          <w:szCs w:val="24"/>
        </w:rPr>
        <w:t xml:space="preserve"> </w:t>
      </w:r>
      <w:r w:rsidRPr="00FB5A28">
        <w:rPr>
          <w:rFonts w:ascii="Times New Roman" w:hAnsi="Times New Roman"/>
          <w:sz w:val="24"/>
          <w:szCs w:val="24"/>
        </w:rPr>
        <w:t>исплаћене</w:t>
      </w:r>
      <w:r w:rsidR="004D4979" w:rsidRPr="00FB5A28">
        <w:rPr>
          <w:rFonts w:ascii="Times New Roman" w:hAnsi="Times New Roman"/>
          <w:sz w:val="24"/>
          <w:szCs w:val="24"/>
        </w:rPr>
        <w:t xml:space="preserve"> </w:t>
      </w:r>
      <w:r w:rsidRPr="00FB5A28">
        <w:rPr>
          <w:rFonts w:ascii="Times New Roman" w:hAnsi="Times New Roman"/>
          <w:sz w:val="24"/>
          <w:szCs w:val="24"/>
        </w:rPr>
        <w:t>накнаде</w:t>
      </w:r>
      <w:r w:rsidR="004D4979" w:rsidRPr="00FB5A28">
        <w:rPr>
          <w:rFonts w:ascii="Times New Roman" w:hAnsi="Times New Roman"/>
          <w:sz w:val="24"/>
          <w:szCs w:val="24"/>
        </w:rPr>
        <w:t xml:space="preserve"> </w:t>
      </w:r>
      <w:r w:rsidRPr="00FB5A28">
        <w:rPr>
          <w:rFonts w:ascii="Times New Roman" w:hAnsi="Times New Roman"/>
          <w:sz w:val="24"/>
          <w:szCs w:val="24"/>
        </w:rPr>
        <w:t>из</w:t>
      </w:r>
      <w:r w:rsidR="004D4979" w:rsidRPr="00FB5A28">
        <w:rPr>
          <w:rFonts w:ascii="Times New Roman" w:hAnsi="Times New Roman"/>
          <w:sz w:val="24"/>
          <w:szCs w:val="24"/>
        </w:rPr>
        <w:t xml:space="preserve"> </w:t>
      </w:r>
      <w:r w:rsidRPr="00FB5A28">
        <w:rPr>
          <w:rFonts w:ascii="Times New Roman" w:hAnsi="Times New Roman"/>
          <w:sz w:val="24"/>
          <w:szCs w:val="24"/>
        </w:rPr>
        <w:t>осигурања</w:t>
      </w:r>
      <w:r w:rsidR="004D4979" w:rsidRPr="00FB5A28">
        <w:rPr>
          <w:rFonts w:ascii="Times New Roman" w:hAnsi="Times New Roman"/>
          <w:sz w:val="24"/>
          <w:szCs w:val="24"/>
        </w:rPr>
        <w:t xml:space="preserve"> </w:t>
      </w:r>
      <w:r w:rsidRPr="00FB5A28">
        <w:rPr>
          <w:rFonts w:ascii="Times New Roman" w:hAnsi="Times New Roman"/>
          <w:sz w:val="24"/>
          <w:szCs w:val="24"/>
        </w:rPr>
        <w:t>лица</w:t>
      </w:r>
      <w:r w:rsidR="004D4979" w:rsidRPr="00FB5A28">
        <w:rPr>
          <w:rFonts w:ascii="Times New Roman" w:hAnsi="Times New Roman"/>
          <w:sz w:val="24"/>
          <w:szCs w:val="24"/>
        </w:rPr>
        <w:t xml:space="preserve"> </w:t>
      </w:r>
      <w:r w:rsidRPr="00FB5A28">
        <w:rPr>
          <w:rFonts w:ascii="Times New Roman" w:hAnsi="Times New Roman"/>
          <w:sz w:val="24"/>
          <w:szCs w:val="24"/>
        </w:rPr>
        <w:t>умањену</w:t>
      </w:r>
      <w:r w:rsidR="004D4979" w:rsidRPr="00FB5A28">
        <w:rPr>
          <w:rFonts w:ascii="Times New Roman" w:hAnsi="Times New Roman"/>
          <w:sz w:val="24"/>
          <w:szCs w:val="24"/>
        </w:rPr>
        <w:t xml:space="preserve"> </w:t>
      </w:r>
      <w:r w:rsidRPr="00FB5A28">
        <w:rPr>
          <w:rFonts w:ascii="Times New Roman" w:hAnsi="Times New Roman"/>
          <w:sz w:val="24"/>
          <w:szCs w:val="24"/>
        </w:rPr>
        <w:t>за</w:t>
      </w:r>
      <w:r w:rsidR="004D4979" w:rsidRPr="00FB5A28">
        <w:rPr>
          <w:rFonts w:ascii="Times New Roman" w:hAnsi="Times New Roman"/>
          <w:sz w:val="24"/>
          <w:szCs w:val="24"/>
        </w:rPr>
        <w:t xml:space="preserve"> </w:t>
      </w:r>
      <w:r w:rsidRPr="00FB5A28">
        <w:rPr>
          <w:rFonts w:ascii="Times New Roman" w:hAnsi="Times New Roman"/>
          <w:sz w:val="24"/>
          <w:szCs w:val="24"/>
        </w:rPr>
        <w:t>износ</w:t>
      </w:r>
      <w:r w:rsidR="004D4979" w:rsidRPr="00FB5A28">
        <w:rPr>
          <w:rFonts w:ascii="Times New Roman" w:hAnsi="Times New Roman"/>
          <w:sz w:val="24"/>
          <w:szCs w:val="24"/>
        </w:rPr>
        <w:t xml:space="preserve"> </w:t>
      </w:r>
      <w:r w:rsidRPr="00FB5A28">
        <w:rPr>
          <w:rFonts w:ascii="Times New Roman" w:hAnsi="Times New Roman"/>
          <w:sz w:val="24"/>
          <w:szCs w:val="24"/>
        </w:rPr>
        <w:t>новчаних</w:t>
      </w:r>
      <w:r w:rsidR="004D4979" w:rsidRPr="00FB5A28">
        <w:rPr>
          <w:rFonts w:ascii="Times New Roman" w:hAnsi="Times New Roman"/>
          <w:sz w:val="24"/>
          <w:szCs w:val="24"/>
        </w:rPr>
        <w:t xml:space="preserve"> </w:t>
      </w:r>
      <w:r w:rsidRPr="00FB5A28">
        <w:rPr>
          <w:rFonts w:ascii="Times New Roman" w:hAnsi="Times New Roman"/>
          <w:sz w:val="24"/>
          <w:szCs w:val="24"/>
        </w:rPr>
        <w:t>средстава</w:t>
      </w:r>
      <w:r w:rsidR="004D4979" w:rsidRPr="00FB5A28">
        <w:rPr>
          <w:rFonts w:ascii="Times New Roman" w:hAnsi="Times New Roman"/>
          <w:sz w:val="24"/>
          <w:szCs w:val="24"/>
        </w:rPr>
        <w:t xml:space="preserve"> </w:t>
      </w:r>
      <w:r w:rsidRPr="00FB5A28">
        <w:rPr>
          <w:rFonts w:ascii="Times New Roman" w:hAnsi="Times New Roman"/>
          <w:sz w:val="24"/>
          <w:szCs w:val="24"/>
        </w:rPr>
        <w:t>уплаћених</w:t>
      </w:r>
      <w:r w:rsidR="004D4979" w:rsidRPr="00FB5A28">
        <w:rPr>
          <w:rFonts w:ascii="Times New Roman" w:hAnsi="Times New Roman"/>
          <w:sz w:val="24"/>
          <w:szCs w:val="24"/>
        </w:rPr>
        <w:t xml:space="preserve"> </w:t>
      </w:r>
      <w:r w:rsidRPr="00FB5A28">
        <w:rPr>
          <w:rFonts w:ascii="Times New Roman" w:hAnsi="Times New Roman"/>
          <w:sz w:val="24"/>
          <w:szCs w:val="24"/>
        </w:rPr>
        <w:t>по</w:t>
      </w:r>
      <w:r w:rsidR="004D4979" w:rsidRPr="00FB5A28">
        <w:rPr>
          <w:rFonts w:ascii="Times New Roman" w:hAnsi="Times New Roman"/>
          <w:sz w:val="24"/>
          <w:szCs w:val="24"/>
        </w:rPr>
        <w:t xml:space="preserve"> </w:t>
      </w:r>
      <w:r w:rsidRPr="00FB5A28">
        <w:rPr>
          <w:rFonts w:ascii="Times New Roman" w:hAnsi="Times New Roman"/>
          <w:sz w:val="24"/>
          <w:szCs w:val="24"/>
        </w:rPr>
        <w:t>основу</w:t>
      </w:r>
      <w:r w:rsidR="004D4979" w:rsidRPr="00FB5A28">
        <w:rPr>
          <w:rFonts w:ascii="Times New Roman" w:hAnsi="Times New Roman"/>
          <w:sz w:val="24"/>
          <w:szCs w:val="24"/>
        </w:rPr>
        <w:t xml:space="preserve"> </w:t>
      </w:r>
      <w:r w:rsidRPr="00FB5A28">
        <w:rPr>
          <w:rFonts w:ascii="Times New Roman" w:hAnsi="Times New Roman"/>
          <w:sz w:val="24"/>
          <w:szCs w:val="24"/>
        </w:rPr>
        <w:t>премија осигурања</w:t>
      </w:r>
      <w:r w:rsidRPr="00FB5A28">
        <w:rPr>
          <w:rFonts w:ascii="Times New Roman" w:hAnsi="Times New Roman"/>
          <w:sz w:val="24"/>
          <w:szCs w:val="24"/>
          <w:lang w:val="sr-Cyrl-CS"/>
        </w:rPr>
        <w:t>.</w:t>
      </w:r>
      <w:r w:rsidR="004D4979" w:rsidRPr="00FB5A28">
        <w:rPr>
          <w:rFonts w:ascii="Times New Roman" w:hAnsi="Times New Roman"/>
          <w:sz w:val="24"/>
          <w:szCs w:val="24"/>
        </w:rPr>
        <w:t xml:space="preserve"> </w:t>
      </w:r>
      <w:r w:rsidRPr="00FB5A28">
        <w:rPr>
          <w:rFonts w:ascii="Times New Roman" w:hAnsi="Times New Roman"/>
          <w:sz w:val="24"/>
          <w:szCs w:val="24"/>
        </w:rPr>
        <w:t>Изузетно</w:t>
      </w:r>
      <w:r w:rsidRPr="00FB5A28">
        <w:rPr>
          <w:rFonts w:ascii="Times New Roman" w:hAnsi="Times New Roman"/>
          <w:sz w:val="24"/>
          <w:szCs w:val="24"/>
          <w:lang w:val="sr-Cyrl-CS"/>
        </w:rPr>
        <w:t>,</w:t>
      </w:r>
      <w:r w:rsidR="004D4979" w:rsidRPr="00FB5A28">
        <w:rPr>
          <w:rFonts w:ascii="Times New Roman" w:hAnsi="Times New Roman"/>
          <w:sz w:val="24"/>
          <w:szCs w:val="24"/>
        </w:rPr>
        <w:t xml:space="preserve"> </w:t>
      </w:r>
      <w:r w:rsidRPr="00FB5A28">
        <w:rPr>
          <w:rFonts w:ascii="Times New Roman" w:hAnsi="Times New Roman"/>
          <w:sz w:val="24"/>
          <w:szCs w:val="24"/>
        </w:rPr>
        <w:t>опорезиви</w:t>
      </w:r>
      <w:r w:rsidR="004D4979" w:rsidRPr="00FB5A28">
        <w:rPr>
          <w:rFonts w:ascii="Times New Roman" w:hAnsi="Times New Roman"/>
          <w:sz w:val="24"/>
          <w:szCs w:val="24"/>
        </w:rPr>
        <w:t xml:space="preserve"> </w:t>
      </w:r>
      <w:r w:rsidRPr="00FB5A28">
        <w:rPr>
          <w:rFonts w:ascii="Times New Roman" w:hAnsi="Times New Roman"/>
          <w:sz w:val="24"/>
          <w:szCs w:val="24"/>
        </w:rPr>
        <w:t>приход</w:t>
      </w:r>
      <w:r w:rsidR="004D4979" w:rsidRPr="00FB5A28">
        <w:rPr>
          <w:rFonts w:ascii="Times New Roman" w:hAnsi="Times New Roman"/>
          <w:sz w:val="24"/>
          <w:szCs w:val="24"/>
        </w:rPr>
        <w:t xml:space="preserve"> </w:t>
      </w:r>
      <w:r w:rsidRPr="00FB5A28">
        <w:rPr>
          <w:rFonts w:ascii="Times New Roman" w:hAnsi="Times New Roman"/>
          <w:sz w:val="24"/>
          <w:szCs w:val="24"/>
        </w:rPr>
        <w:t>од</w:t>
      </w:r>
      <w:r w:rsidR="004D4979" w:rsidRPr="00FB5A28">
        <w:rPr>
          <w:rFonts w:ascii="Times New Roman" w:hAnsi="Times New Roman"/>
          <w:sz w:val="24"/>
          <w:szCs w:val="24"/>
        </w:rPr>
        <w:t xml:space="preserve"> </w:t>
      </w:r>
      <w:r w:rsidRPr="00FB5A28">
        <w:rPr>
          <w:rFonts w:ascii="Times New Roman" w:hAnsi="Times New Roman"/>
          <w:sz w:val="24"/>
          <w:szCs w:val="24"/>
        </w:rPr>
        <w:t>осигурања</w:t>
      </w:r>
      <w:r w:rsidR="004D4979" w:rsidRPr="00FB5A28">
        <w:rPr>
          <w:rFonts w:ascii="Times New Roman" w:hAnsi="Times New Roman"/>
          <w:sz w:val="24"/>
          <w:szCs w:val="24"/>
        </w:rPr>
        <w:t xml:space="preserve"> </w:t>
      </w:r>
      <w:r w:rsidRPr="00FB5A28">
        <w:rPr>
          <w:rFonts w:ascii="Times New Roman" w:hAnsi="Times New Roman"/>
          <w:sz w:val="24"/>
          <w:szCs w:val="24"/>
        </w:rPr>
        <w:t>лица</w:t>
      </w:r>
      <w:r w:rsidR="004D4979" w:rsidRPr="00FB5A28">
        <w:rPr>
          <w:rFonts w:ascii="Times New Roman" w:hAnsi="Times New Roman"/>
          <w:sz w:val="24"/>
          <w:szCs w:val="24"/>
        </w:rPr>
        <w:t xml:space="preserve">, </w:t>
      </w:r>
      <w:r w:rsidRPr="00FB5A28">
        <w:rPr>
          <w:rFonts w:ascii="Times New Roman" w:hAnsi="Times New Roman"/>
          <w:sz w:val="24"/>
          <w:szCs w:val="24"/>
        </w:rPr>
        <w:t>у</w:t>
      </w:r>
      <w:r w:rsidR="004D4979" w:rsidRPr="00FB5A28">
        <w:rPr>
          <w:rFonts w:ascii="Times New Roman" w:hAnsi="Times New Roman"/>
          <w:sz w:val="24"/>
          <w:szCs w:val="24"/>
        </w:rPr>
        <w:t xml:space="preserve"> </w:t>
      </w:r>
      <w:r w:rsidRPr="00FB5A28">
        <w:rPr>
          <w:rFonts w:ascii="Times New Roman" w:hAnsi="Times New Roman"/>
          <w:sz w:val="24"/>
          <w:szCs w:val="24"/>
        </w:rPr>
        <w:t>случају</w:t>
      </w:r>
      <w:r w:rsidR="004D4979" w:rsidRPr="00FB5A28">
        <w:rPr>
          <w:rFonts w:ascii="Times New Roman" w:hAnsi="Times New Roman"/>
          <w:sz w:val="24"/>
          <w:szCs w:val="24"/>
        </w:rPr>
        <w:t xml:space="preserve"> </w:t>
      </w:r>
      <w:r w:rsidRPr="00FB5A28">
        <w:rPr>
          <w:rFonts w:ascii="Times New Roman" w:hAnsi="Times New Roman"/>
          <w:sz w:val="24"/>
          <w:szCs w:val="24"/>
        </w:rPr>
        <w:t>кад</w:t>
      </w:r>
      <w:r w:rsidR="004D4979" w:rsidRPr="00FB5A28">
        <w:rPr>
          <w:rFonts w:ascii="Times New Roman" w:hAnsi="Times New Roman"/>
          <w:sz w:val="24"/>
          <w:szCs w:val="24"/>
        </w:rPr>
        <w:t xml:space="preserve"> </w:t>
      </w:r>
      <w:r w:rsidRPr="00FB5A28">
        <w:rPr>
          <w:rFonts w:ascii="Times New Roman" w:hAnsi="Times New Roman"/>
          <w:sz w:val="24"/>
          <w:szCs w:val="24"/>
        </w:rPr>
        <w:t>се</w:t>
      </w:r>
      <w:r w:rsidR="004D4979" w:rsidRPr="00FB5A28">
        <w:rPr>
          <w:rFonts w:ascii="Times New Roman" w:hAnsi="Times New Roman"/>
          <w:sz w:val="24"/>
          <w:szCs w:val="24"/>
        </w:rPr>
        <w:t xml:space="preserve"> </w:t>
      </w:r>
      <w:r w:rsidRPr="00FB5A28">
        <w:rPr>
          <w:rFonts w:ascii="Times New Roman" w:hAnsi="Times New Roman"/>
          <w:sz w:val="24"/>
          <w:szCs w:val="24"/>
        </w:rPr>
        <w:t>повучена</w:t>
      </w:r>
      <w:r w:rsidR="004D4979" w:rsidRPr="00FB5A28">
        <w:rPr>
          <w:rFonts w:ascii="Times New Roman" w:hAnsi="Times New Roman"/>
          <w:sz w:val="24"/>
          <w:szCs w:val="24"/>
        </w:rPr>
        <w:t xml:space="preserve"> </w:t>
      </w:r>
      <w:r w:rsidRPr="00FB5A28">
        <w:rPr>
          <w:rFonts w:ascii="Times New Roman" w:hAnsi="Times New Roman"/>
          <w:sz w:val="24"/>
          <w:szCs w:val="24"/>
        </w:rPr>
        <w:t>акумулирана</w:t>
      </w:r>
      <w:r w:rsidR="004D4979" w:rsidRPr="00FB5A28">
        <w:rPr>
          <w:rFonts w:ascii="Times New Roman" w:hAnsi="Times New Roman"/>
          <w:sz w:val="24"/>
          <w:szCs w:val="24"/>
        </w:rPr>
        <w:t xml:space="preserve"> </w:t>
      </w:r>
      <w:r w:rsidRPr="00FB5A28">
        <w:rPr>
          <w:rFonts w:ascii="Times New Roman" w:hAnsi="Times New Roman"/>
          <w:sz w:val="24"/>
          <w:szCs w:val="24"/>
        </w:rPr>
        <w:t>средства</w:t>
      </w:r>
      <w:r w:rsidR="004D4979" w:rsidRPr="00FB5A28">
        <w:rPr>
          <w:rFonts w:ascii="Times New Roman" w:hAnsi="Times New Roman"/>
          <w:sz w:val="24"/>
          <w:szCs w:val="24"/>
        </w:rPr>
        <w:t xml:space="preserve"> </w:t>
      </w:r>
      <w:r w:rsidRPr="00FB5A28">
        <w:rPr>
          <w:rFonts w:ascii="Times New Roman" w:hAnsi="Times New Roman"/>
          <w:sz w:val="24"/>
          <w:szCs w:val="24"/>
        </w:rPr>
        <w:t>по</w:t>
      </w:r>
      <w:r w:rsidR="004D4979" w:rsidRPr="00FB5A28">
        <w:rPr>
          <w:rFonts w:ascii="Times New Roman" w:hAnsi="Times New Roman"/>
          <w:sz w:val="24"/>
          <w:szCs w:val="24"/>
        </w:rPr>
        <w:t xml:space="preserve"> </w:t>
      </w:r>
      <w:r w:rsidRPr="00FB5A28">
        <w:rPr>
          <w:rFonts w:ascii="Times New Roman" w:hAnsi="Times New Roman"/>
          <w:sz w:val="24"/>
          <w:szCs w:val="24"/>
        </w:rPr>
        <w:t>основу</w:t>
      </w:r>
      <w:r w:rsidR="004D4979" w:rsidRPr="00FB5A28">
        <w:rPr>
          <w:rFonts w:ascii="Times New Roman" w:hAnsi="Times New Roman"/>
          <w:sz w:val="24"/>
          <w:szCs w:val="24"/>
        </w:rPr>
        <w:t xml:space="preserve"> </w:t>
      </w:r>
      <w:r w:rsidRPr="00FB5A28">
        <w:rPr>
          <w:rFonts w:ascii="Times New Roman" w:hAnsi="Times New Roman"/>
          <w:sz w:val="24"/>
          <w:szCs w:val="24"/>
        </w:rPr>
        <w:t>удела</w:t>
      </w:r>
      <w:r w:rsidR="004D4979" w:rsidRPr="00FB5A28">
        <w:rPr>
          <w:rFonts w:ascii="Times New Roman" w:hAnsi="Times New Roman"/>
          <w:sz w:val="24"/>
          <w:szCs w:val="24"/>
        </w:rPr>
        <w:t xml:space="preserve"> </w:t>
      </w:r>
      <w:r w:rsidRPr="00FB5A28">
        <w:rPr>
          <w:rFonts w:ascii="Times New Roman" w:hAnsi="Times New Roman"/>
          <w:sz w:val="24"/>
          <w:szCs w:val="24"/>
        </w:rPr>
        <w:t>члана</w:t>
      </w:r>
      <w:r w:rsidR="004D4979" w:rsidRPr="00FB5A28">
        <w:rPr>
          <w:rFonts w:ascii="Times New Roman" w:hAnsi="Times New Roman"/>
          <w:sz w:val="24"/>
          <w:szCs w:val="24"/>
        </w:rPr>
        <w:t xml:space="preserve"> </w:t>
      </w:r>
      <w:r w:rsidRPr="00FB5A28">
        <w:rPr>
          <w:rFonts w:ascii="Times New Roman" w:hAnsi="Times New Roman"/>
          <w:sz w:val="24"/>
          <w:szCs w:val="24"/>
        </w:rPr>
        <w:t>у</w:t>
      </w:r>
      <w:r w:rsidR="004D4979" w:rsidRPr="00FB5A28">
        <w:rPr>
          <w:rFonts w:ascii="Times New Roman" w:hAnsi="Times New Roman"/>
          <w:sz w:val="24"/>
          <w:szCs w:val="24"/>
        </w:rPr>
        <w:t xml:space="preserve"> </w:t>
      </w:r>
      <w:r w:rsidRPr="00FB5A28">
        <w:rPr>
          <w:rFonts w:ascii="Times New Roman" w:hAnsi="Times New Roman"/>
          <w:sz w:val="24"/>
          <w:szCs w:val="24"/>
        </w:rPr>
        <w:t>нето</w:t>
      </w:r>
      <w:r w:rsidR="004D4979" w:rsidRPr="00FB5A28">
        <w:rPr>
          <w:rFonts w:ascii="Times New Roman" w:hAnsi="Times New Roman"/>
          <w:sz w:val="24"/>
          <w:szCs w:val="24"/>
        </w:rPr>
        <w:t xml:space="preserve"> </w:t>
      </w:r>
      <w:r w:rsidRPr="00FB5A28">
        <w:rPr>
          <w:rFonts w:ascii="Times New Roman" w:hAnsi="Times New Roman"/>
          <w:sz w:val="24"/>
          <w:szCs w:val="24"/>
        </w:rPr>
        <w:t>имовини</w:t>
      </w:r>
      <w:r w:rsidR="004D4979" w:rsidRPr="00FB5A28">
        <w:rPr>
          <w:rFonts w:ascii="Times New Roman" w:hAnsi="Times New Roman"/>
          <w:sz w:val="24"/>
          <w:szCs w:val="24"/>
        </w:rPr>
        <w:t xml:space="preserve"> </w:t>
      </w:r>
      <w:r w:rsidRPr="00FB5A28">
        <w:rPr>
          <w:rFonts w:ascii="Times New Roman" w:hAnsi="Times New Roman"/>
          <w:sz w:val="24"/>
          <w:szCs w:val="24"/>
        </w:rPr>
        <w:t>добровољног</w:t>
      </w:r>
      <w:r w:rsidR="004D4979" w:rsidRPr="00FB5A28">
        <w:rPr>
          <w:rFonts w:ascii="Times New Roman" w:hAnsi="Times New Roman"/>
          <w:sz w:val="24"/>
          <w:szCs w:val="24"/>
        </w:rPr>
        <w:t xml:space="preserve"> </w:t>
      </w:r>
      <w:r w:rsidRPr="00FB5A28">
        <w:rPr>
          <w:rFonts w:ascii="Times New Roman" w:hAnsi="Times New Roman"/>
          <w:sz w:val="24"/>
          <w:szCs w:val="24"/>
        </w:rPr>
        <w:t>пензијског</w:t>
      </w:r>
      <w:r w:rsidR="004D4979" w:rsidRPr="00FB5A28">
        <w:rPr>
          <w:rFonts w:ascii="Times New Roman" w:hAnsi="Times New Roman"/>
          <w:sz w:val="24"/>
          <w:szCs w:val="24"/>
        </w:rPr>
        <w:t xml:space="preserve"> </w:t>
      </w:r>
      <w:r w:rsidRPr="00FB5A28">
        <w:rPr>
          <w:rFonts w:ascii="Times New Roman" w:hAnsi="Times New Roman"/>
          <w:sz w:val="24"/>
          <w:szCs w:val="24"/>
        </w:rPr>
        <w:t>фонда</w:t>
      </w:r>
      <w:r w:rsidR="004D4979" w:rsidRPr="00FB5A28">
        <w:rPr>
          <w:rFonts w:ascii="Times New Roman" w:hAnsi="Times New Roman"/>
          <w:sz w:val="24"/>
          <w:szCs w:val="24"/>
        </w:rPr>
        <w:t xml:space="preserve">, </w:t>
      </w:r>
      <w:r w:rsidRPr="00FB5A28">
        <w:rPr>
          <w:rFonts w:ascii="Times New Roman" w:hAnsi="Times New Roman"/>
          <w:sz w:val="24"/>
          <w:szCs w:val="24"/>
        </w:rPr>
        <w:t>по</w:t>
      </w:r>
      <w:r w:rsidR="004D4979" w:rsidRPr="00FB5A28">
        <w:rPr>
          <w:rFonts w:ascii="Times New Roman" w:hAnsi="Times New Roman"/>
          <w:sz w:val="24"/>
          <w:szCs w:val="24"/>
        </w:rPr>
        <w:t xml:space="preserve"> </w:t>
      </w:r>
      <w:r w:rsidRPr="00FB5A28">
        <w:rPr>
          <w:rFonts w:ascii="Times New Roman" w:hAnsi="Times New Roman"/>
          <w:sz w:val="24"/>
          <w:szCs w:val="24"/>
        </w:rPr>
        <w:t>налогу</w:t>
      </w:r>
      <w:r w:rsidR="004D4979" w:rsidRPr="00FB5A28">
        <w:rPr>
          <w:rFonts w:ascii="Times New Roman" w:hAnsi="Times New Roman"/>
          <w:sz w:val="24"/>
          <w:szCs w:val="24"/>
        </w:rPr>
        <w:t xml:space="preserve"> </w:t>
      </w:r>
      <w:r w:rsidRPr="00FB5A28">
        <w:rPr>
          <w:rFonts w:ascii="Times New Roman" w:hAnsi="Times New Roman"/>
          <w:sz w:val="24"/>
          <w:szCs w:val="24"/>
        </w:rPr>
        <w:t>и</w:t>
      </w:r>
      <w:r w:rsidR="004D4979" w:rsidRPr="00FB5A28">
        <w:rPr>
          <w:rFonts w:ascii="Times New Roman" w:hAnsi="Times New Roman"/>
          <w:sz w:val="24"/>
          <w:szCs w:val="24"/>
        </w:rPr>
        <w:t xml:space="preserve"> </w:t>
      </w:r>
      <w:r w:rsidRPr="00FB5A28">
        <w:rPr>
          <w:rFonts w:ascii="Times New Roman" w:hAnsi="Times New Roman"/>
          <w:sz w:val="24"/>
          <w:szCs w:val="24"/>
        </w:rPr>
        <w:t>за</w:t>
      </w:r>
      <w:r w:rsidR="004D4979" w:rsidRPr="00FB5A28">
        <w:rPr>
          <w:rFonts w:ascii="Times New Roman" w:hAnsi="Times New Roman"/>
          <w:sz w:val="24"/>
          <w:szCs w:val="24"/>
        </w:rPr>
        <w:t xml:space="preserve"> </w:t>
      </w:r>
      <w:r w:rsidRPr="00FB5A28">
        <w:rPr>
          <w:rFonts w:ascii="Times New Roman" w:hAnsi="Times New Roman"/>
          <w:sz w:val="24"/>
          <w:szCs w:val="24"/>
        </w:rPr>
        <w:t>рачун</w:t>
      </w:r>
      <w:r w:rsidR="004D4979" w:rsidRPr="00FB5A28">
        <w:rPr>
          <w:rFonts w:ascii="Times New Roman" w:hAnsi="Times New Roman"/>
          <w:sz w:val="24"/>
          <w:szCs w:val="24"/>
        </w:rPr>
        <w:t xml:space="preserve"> </w:t>
      </w:r>
      <w:r w:rsidRPr="00FB5A28">
        <w:rPr>
          <w:rFonts w:ascii="Times New Roman" w:hAnsi="Times New Roman"/>
          <w:sz w:val="24"/>
          <w:szCs w:val="24"/>
        </w:rPr>
        <w:t>члана</w:t>
      </w:r>
      <w:r w:rsidR="004D4979" w:rsidRPr="00FB5A28">
        <w:rPr>
          <w:rFonts w:ascii="Times New Roman" w:hAnsi="Times New Roman"/>
          <w:sz w:val="24"/>
          <w:szCs w:val="24"/>
        </w:rPr>
        <w:t xml:space="preserve"> </w:t>
      </w:r>
      <w:r w:rsidRPr="00FB5A28">
        <w:rPr>
          <w:rFonts w:ascii="Times New Roman" w:hAnsi="Times New Roman"/>
          <w:sz w:val="24"/>
          <w:szCs w:val="24"/>
        </w:rPr>
        <w:t>фонда</w:t>
      </w:r>
      <w:r w:rsidR="004D4979" w:rsidRPr="00FB5A28">
        <w:rPr>
          <w:rFonts w:ascii="Times New Roman" w:hAnsi="Times New Roman"/>
          <w:sz w:val="24"/>
          <w:szCs w:val="24"/>
        </w:rPr>
        <w:t xml:space="preserve">, </w:t>
      </w:r>
      <w:r w:rsidRPr="00FB5A28">
        <w:rPr>
          <w:rFonts w:ascii="Times New Roman" w:hAnsi="Times New Roman"/>
          <w:sz w:val="24"/>
          <w:szCs w:val="24"/>
        </w:rPr>
        <w:t>уложе</w:t>
      </w:r>
      <w:r w:rsidR="004D4979" w:rsidRPr="00FB5A28">
        <w:rPr>
          <w:rFonts w:ascii="Times New Roman" w:hAnsi="Times New Roman"/>
          <w:sz w:val="24"/>
          <w:szCs w:val="24"/>
        </w:rPr>
        <w:t xml:space="preserve"> </w:t>
      </w:r>
      <w:r w:rsidRPr="00FB5A28">
        <w:rPr>
          <w:rFonts w:ascii="Times New Roman" w:hAnsi="Times New Roman"/>
          <w:sz w:val="24"/>
          <w:szCs w:val="24"/>
        </w:rPr>
        <w:t>у</w:t>
      </w:r>
      <w:r w:rsidR="004D4979" w:rsidRPr="00FB5A28">
        <w:rPr>
          <w:rFonts w:ascii="Times New Roman" w:hAnsi="Times New Roman"/>
          <w:sz w:val="24"/>
          <w:szCs w:val="24"/>
        </w:rPr>
        <w:t xml:space="preserve"> </w:t>
      </w:r>
      <w:r w:rsidRPr="00FB5A28">
        <w:rPr>
          <w:rFonts w:ascii="Times New Roman" w:hAnsi="Times New Roman"/>
          <w:sz w:val="24"/>
          <w:szCs w:val="24"/>
        </w:rPr>
        <w:t>куповину</w:t>
      </w:r>
      <w:r w:rsidR="004D4979" w:rsidRPr="00FB5A28">
        <w:rPr>
          <w:rFonts w:ascii="Times New Roman" w:hAnsi="Times New Roman"/>
          <w:sz w:val="24"/>
          <w:szCs w:val="24"/>
        </w:rPr>
        <w:t xml:space="preserve"> </w:t>
      </w:r>
      <w:r w:rsidRPr="00FB5A28">
        <w:rPr>
          <w:rFonts w:ascii="Times New Roman" w:hAnsi="Times New Roman"/>
          <w:sz w:val="24"/>
          <w:szCs w:val="24"/>
        </w:rPr>
        <w:t>ануитета</w:t>
      </w:r>
      <w:r w:rsidR="004D4979" w:rsidRPr="00FB5A28">
        <w:rPr>
          <w:rFonts w:ascii="Times New Roman" w:hAnsi="Times New Roman"/>
          <w:sz w:val="24"/>
          <w:szCs w:val="24"/>
        </w:rPr>
        <w:t xml:space="preserve"> </w:t>
      </w:r>
      <w:r w:rsidRPr="00FB5A28">
        <w:rPr>
          <w:rFonts w:ascii="Times New Roman" w:hAnsi="Times New Roman"/>
          <w:sz w:val="24"/>
          <w:szCs w:val="24"/>
        </w:rPr>
        <w:t>у</w:t>
      </w:r>
      <w:r w:rsidR="004D4979" w:rsidRPr="00FB5A28">
        <w:rPr>
          <w:rFonts w:ascii="Times New Roman" w:hAnsi="Times New Roman"/>
          <w:sz w:val="24"/>
          <w:szCs w:val="24"/>
        </w:rPr>
        <w:t xml:space="preserve"> </w:t>
      </w:r>
      <w:r w:rsidRPr="00FB5A28">
        <w:rPr>
          <w:rFonts w:ascii="Times New Roman" w:hAnsi="Times New Roman"/>
          <w:sz w:val="24"/>
          <w:szCs w:val="24"/>
        </w:rPr>
        <w:t>друштву</w:t>
      </w:r>
      <w:r w:rsidR="004D4979" w:rsidRPr="00FB5A28">
        <w:rPr>
          <w:rFonts w:ascii="Times New Roman" w:hAnsi="Times New Roman"/>
          <w:sz w:val="24"/>
          <w:szCs w:val="24"/>
        </w:rPr>
        <w:t xml:space="preserve"> </w:t>
      </w:r>
      <w:r w:rsidRPr="00FB5A28">
        <w:rPr>
          <w:rFonts w:ascii="Times New Roman" w:hAnsi="Times New Roman"/>
          <w:sz w:val="24"/>
          <w:szCs w:val="24"/>
        </w:rPr>
        <w:t>за</w:t>
      </w:r>
      <w:r w:rsidR="004D4979" w:rsidRPr="00FB5A28">
        <w:rPr>
          <w:rFonts w:ascii="Times New Roman" w:hAnsi="Times New Roman"/>
          <w:sz w:val="24"/>
          <w:szCs w:val="24"/>
        </w:rPr>
        <w:t xml:space="preserve"> </w:t>
      </w:r>
      <w:r w:rsidRPr="00FB5A28">
        <w:rPr>
          <w:rFonts w:ascii="Times New Roman" w:hAnsi="Times New Roman"/>
          <w:sz w:val="24"/>
          <w:szCs w:val="24"/>
        </w:rPr>
        <w:t>осигурање</w:t>
      </w:r>
      <w:r w:rsidR="004D4979" w:rsidRPr="00FB5A28">
        <w:rPr>
          <w:rFonts w:ascii="Times New Roman" w:hAnsi="Times New Roman"/>
          <w:sz w:val="24"/>
          <w:szCs w:val="24"/>
        </w:rPr>
        <w:t xml:space="preserve"> </w:t>
      </w:r>
      <w:r w:rsidRPr="00FB5A28">
        <w:rPr>
          <w:rFonts w:ascii="Times New Roman" w:hAnsi="Times New Roman"/>
          <w:sz w:val="24"/>
          <w:szCs w:val="24"/>
        </w:rPr>
        <w:t>сагласно</w:t>
      </w:r>
      <w:r w:rsidR="004D4979" w:rsidRPr="00FB5A28">
        <w:rPr>
          <w:rFonts w:ascii="Times New Roman" w:hAnsi="Times New Roman"/>
          <w:sz w:val="24"/>
          <w:szCs w:val="24"/>
        </w:rPr>
        <w:t xml:space="preserve"> </w:t>
      </w:r>
      <w:r w:rsidRPr="00FB5A28">
        <w:rPr>
          <w:rFonts w:ascii="Times New Roman" w:hAnsi="Times New Roman"/>
          <w:sz w:val="24"/>
          <w:szCs w:val="24"/>
        </w:rPr>
        <w:t>закону</w:t>
      </w:r>
      <w:r w:rsidR="004D4979" w:rsidRPr="00FB5A28">
        <w:rPr>
          <w:rFonts w:ascii="Times New Roman" w:hAnsi="Times New Roman"/>
          <w:sz w:val="24"/>
          <w:szCs w:val="24"/>
        </w:rPr>
        <w:t xml:space="preserve"> </w:t>
      </w:r>
      <w:r w:rsidRPr="00FB5A28">
        <w:rPr>
          <w:rFonts w:ascii="Times New Roman" w:hAnsi="Times New Roman"/>
          <w:sz w:val="24"/>
          <w:szCs w:val="24"/>
        </w:rPr>
        <w:t>који</w:t>
      </w:r>
      <w:r w:rsidR="004D4979" w:rsidRPr="00FB5A28">
        <w:rPr>
          <w:rFonts w:ascii="Times New Roman" w:hAnsi="Times New Roman"/>
          <w:sz w:val="24"/>
          <w:szCs w:val="24"/>
        </w:rPr>
        <w:t xml:space="preserve"> </w:t>
      </w:r>
      <w:r w:rsidRPr="00FB5A28">
        <w:rPr>
          <w:rFonts w:ascii="Times New Roman" w:hAnsi="Times New Roman"/>
          <w:sz w:val="24"/>
          <w:szCs w:val="24"/>
        </w:rPr>
        <w:t>уређује</w:t>
      </w:r>
      <w:r w:rsidR="004D4979" w:rsidRPr="00FB5A28">
        <w:rPr>
          <w:rFonts w:ascii="Times New Roman" w:hAnsi="Times New Roman"/>
          <w:sz w:val="24"/>
          <w:szCs w:val="24"/>
        </w:rPr>
        <w:t xml:space="preserve"> </w:t>
      </w:r>
      <w:r w:rsidRPr="00FB5A28">
        <w:rPr>
          <w:rFonts w:ascii="Times New Roman" w:hAnsi="Times New Roman"/>
          <w:sz w:val="24"/>
          <w:szCs w:val="24"/>
        </w:rPr>
        <w:t>добровољне</w:t>
      </w:r>
      <w:r w:rsidR="004D4979" w:rsidRPr="00FB5A28">
        <w:rPr>
          <w:rFonts w:ascii="Times New Roman" w:hAnsi="Times New Roman"/>
          <w:sz w:val="24"/>
          <w:szCs w:val="24"/>
        </w:rPr>
        <w:t xml:space="preserve"> </w:t>
      </w:r>
      <w:r w:rsidRPr="00FB5A28">
        <w:rPr>
          <w:rFonts w:ascii="Times New Roman" w:hAnsi="Times New Roman"/>
          <w:sz w:val="24"/>
          <w:szCs w:val="24"/>
        </w:rPr>
        <w:t>пензијске</w:t>
      </w:r>
      <w:r w:rsidR="004D4979" w:rsidRPr="00FB5A28">
        <w:rPr>
          <w:rFonts w:ascii="Times New Roman" w:hAnsi="Times New Roman"/>
          <w:sz w:val="24"/>
          <w:szCs w:val="24"/>
        </w:rPr>
        <w:t xml:space="preserve"> </w:t>
      </w:r>
      <w:r w:rsidRPr="00FB5A28">
        <w:rPr>
          <w:rFonts w:ascii="Times New Roman" w:hAnsi="Times New Roman"/>
          <w:sz w:val="24"/>
          <w:szCs w:val="24"/>
        </w:rPr>
        <w:t>фондове</w:t>
      </w:r>
      <w:r w:rsidR="004D4979" w:rsidRPr="00FB5A28">
        <w:rPr>
          <w:rFonts w:ascii="Times New Roman" w:hAnsi="Times New Roman"/>
          <w:sz w:val="24"/>
          <w:szCs w:val="24"/>
        </w:rPr>
        <w:t xml:space="preserve"> </w:t>
      </w:r>
      <w:r w:rsidRPr="00FB5A28">
        <w:rPr>
          <w:rFonts w:ascii="Times New Roman" w:hAnsi="Times New Roman"/>
          <w:sz w:val="24"/>
          <w:szCs w:val="24"/>
        </w:rPr>
        <w:t>и</w:t>
      </w:r>
      <w:r w:rsidR="004D4979" w:rsidRPr="00FB5A28">
        <w:rPr>
          <w:rFonts w:ascii="Times New Roman" w:hAnsi="Times New Roman"/>
          <w:sz w:val="24"/>
          <w:szCs w:val="24"/>
        </w:rPr>
        <w:t xml:space="preserve"> </w:t>
      </w:r>
      <w:r w:rsidRPr="00FB5A28">
        <w:rPr>
          <w:rFonts w:ascii="Times New Roman" w:hAnsi="Times New Roman"/>
          <w:sz w:val="24"/>
          <w:szCs w:val="24"/>
        </w:rPr>
        <w:t>пензијске</w:t>
      </w:r>
      <w:r w:rsidR="004D4979" w:rsidRPr="00FB5A28">
        <w:rPr>
          <w:rFonts w:ascii="Times New Roman" w:hAnsi="Times New Roman"/>
          <w:sz w:val="24"/>
          <w:szCs w:val="24"/>
        </w:rPr>
        <w:t xml:space="preserve"> </w:t>
      </w:r>
      <w:r w:rsidRPr="00FB5A28">
        <w:rPr>
          <w:rFonts w:ascii="Times New Roman" w:hAnsi="Times New Roman"/>
          <w:sz w:val="24"/>
          <w:szCs w:val="24"/>
        </w:rPr>
        <w:t>планове</w:t>
      </w:r>
      <w:r w:rsidR="004D4979" w:rsidRPr="00FB5A28">
        <w:rPr>
          <w:rFonts w:ascii="Times New Roman" w:hAnsi="Times New Roman"/>
          <w:sz w:val="24"/>
          <w:szCs w:val="24"/>
        </w:rPr>
        <w:t xml:space="preserve">, </w:t>
      </w:r>
      <w:r w:rsidRPr="00FB5A28">
        <w:rPr>
          <w:rFonts w:ascii="Times New Roman" w:hAnsi="Times New Roman"/>
          <w:sz w:val="24"/>
          <w:szCs w:val="24"/>
        </w:rPr>
        <w:t>представља</w:t>
      </w:r>
      <w:r w:rsidR="004D4979" w:rsidRPr="00FB5A28">
        <w:rPr>
          <w:rFonts w:ascii="Times New Roman" w:hAnsi="Times New Roman"/>
          <w:sz w:val="24"/>
          <w:szCs w:val="24"/>
        </w:rPr>
        <w:t xml:space="preserve"> </w:t>
      </w:r>
      <w:r w:rsidRPr="00FB5A28">
        <w:rPr>
          <w:rFonts w:ascii="Times New Roman" w:hAnsi="Times New Roman"/>
          <w:sz w:val="24"/>
          <w:szCs w:val="24"/>
        </w:rPr>
        <w:t>вредност</w:t>
      </w:r>
      <w:r w:rsidR="004D4979" w:rsidRPr="00FB5A28">
        <w:rPr>
          <w:rFonts w:ascii="Times New Roman" w:hAnsi="Times New Roman"/>
          <w:sz w:val="24"/>
          <w:szCs w:val="24"/>
        </w:rPr>
        <w:t xml:space="preserve"> </w:t>
      </w:r>
      <w:r w:rsidRPr="00FB5A28">
        <w:rPr>
          <w:rFonts w:ascii="Times New Roman" w:hAnsi="Times New Roman"/>
          <w:sz w:val="24"/>
          <w:szCs w:val="24"/>
        </w:rPr>
        <w:t>исплаћене</w:t>
      </w:r>
      <w:r w:rsidR="004D4979" w:rsidRPr="00FB5A28">
        <w:rPr>
          <w:rFonts w:ascii="Times New Roman" w:hAnsi="Times New Roman"/>
          <w:sz w:val="24"/>
          <w:szCs w:val="24"/>
        </w:rPr>
        <w:t xml:space="preserve"> </w:t>
      </w:r>
      <w:r w:rsidRPr="00FB5A28">
        <w:rPr>
          <w:rFonts w:ascii="Times New Roman" w:hAnsi="Times New Roman"/>
          <w:sz w:val="24"/>
          <w:szCs w:val="24"/>
        </w:rPr>
        <w:t>накнаде</w:t>
      </w:r>
      <w:r w:rsidR="004D4979" w:rsidRPr="00FB5A28">
        <w:rPr>
          <w:rFonts w:ascii="Times New Roman" w:hAnsi="Times New Roman"/>
          <w:sz w:val="24"/>
          <w:szCs w:val="24"/>
        </w:rPr>
        <w:t xml:space="preserve"> </w:t>
      </w:r>
      <w:r w:rsidRPr="00FB5A28">
        <w:rPr>
          <w:rFonts w:ascii="Times New Roman" w:hAnsi="Times New Roman"/>
          <w:sz w:val="24"/>
          <w:szCs w:val="24"/>
        </w:rPr>
        <w:t>из</w:t>
      </w:r>
      <w:r w:rsidR="004D4979" w:rsidRPr="00FB5A28">
        <w:rPr>
          <w:rFonts w:ascii="Times New Roman" w:hAnsi="Times New Roman"/>
          <w:sz w:val="24"/>
          <w:szCs w:val="24"/>
        </w:rPr>
        <w:t xml:space="preserve"> </w:t>
      </w:r>
      <w:r w:rsidRPr="00FB5A28">
        <w:rPr>
          <w:rFonts w:ascii="Times New Roman" w:hAnsi="Times New Roman"/>
          <w:sz w:val="24"/>
          <w:szCs w:val="24"/>
        </w:rPr>
        <w:t>осигурања</w:t>
      </w:r>
      <w:r w:rsidR="004D4979" w:rsidRPr="00FB5A28">
        <w:rPr>
          <w:rFonts w:ascii="Times New Roman" w:hAnsi="Times New Roman"/>
          <w:sz w:val="24"/>
          <w:szCs w:val="24"/>
        </w:rPr>
        <w:t xml:space="preserve"> </w:t>
      </w:r>
      <w:r w:rsidRPr="00FB5A28">
        <w:rPr>
          <w:rFonts w:ascii="Times New Roman" w:hAnsi="Times New Roman"/>
          <w:sz w:val="24"/>
          <w:szCs w:val="24"/>
        </w:rPr>
        <w:t>лица</w:t>
      </w:r>
      <w:r w:rsidR="004D4979" w:rsidRPr="00FB5A28">
        <w:rPr>
          <w:rFonts w:ascii="Times New Roman" w:hAnsi="Times New Roman"/>
          <w:sz w:val="24"/>
          <w:szCs w:val="24"/>
        </w:rPr>
        <w:t xml:space="preserve"> </w:t>
      </w:r>
      <w:r w:rsidRPr="00FB5A28">
        <w:rPr>
          <w:rFonts w:ascii="Times New Roman" w:hAnsi="Times New Roman"/>
          <w:sz w:val="24"/>
          <w:szCs w:val="24"/>
        </w:rPr>
        <w:t>умањену</w:t>
      </w:r>
      <w:r w:rsidR="004D4979" w:rsidRPr="00FB5A28">
        <w:rPr>
          <w:rFonts w:ascii="Times New Roman" w:hAnsi="Times New Roman"/>
          <w:sz w:val="24"/>
          <w:szCs w:val="24"/>
        </w:rPr>
        <w:t xml:space="preserve"> </w:t>
      </w:r>
      <w:r w:rsidRPr="00FB5A28">
        <w:rPr>
          <w:rFonts w:ascii="Times New Roman" w:hAnsi="Times New Roman"/>
          <w:sz w:val="24"/>
          <w:szCs w:val="24"/>
        </w:rPr>
        <w:t>за</w:t>
      </w:r>
      <w:r w:rsidR="004D4979" w:rsidRPr="00FB5A28">
        <w:rPr>
          <w:rFonts w:ascii="Times New Roman" w:hAnsi="Times New Roman"/>
          <w:sz w:val="24"/>
          <w:szCs w:val="24"/>
        </w:rPr>
        <w:t xml:space="preserve"> </w:t>
      </w:r>
      <w:r w:rsidRPr="00FB5A28">
        <w:rPr>
          <w:rFonts w:ascii="Times New Roman" w:hAnsi="Times New Roman"/>
          <w:sz w:val="24"/>
          <w:szCs w:val="24"/>
        </w:rPr>
        <w:t>износ</w:t>
      </w:r>
      <w:r w:rsidR="004D4979" w:rsidRPr="00FB5A28">
        <w:rPr>
          <w:rFonts w:ascii="Times New Roman" w:hAnsi="Times New Roman"/>
          <w:sz w:val="24"/>
          <w:szCs w:val="24"/>
        </w:rPr>
        <w:t xml:space="preserve"> </w:t>
      </w:r>
      <w:r w:rsidRPr="00FB5A28">
        <w:rPr>
          <w:rFonts w:ascii="Times New Roman" w:hAnsi="Times New Roman"/>
          <w:sz w:val="24"/>
          <w:szCs w:val="24"/>
        </w:rPr>
        <w:t>повучених</w:t>
      </w:r>
      <w:r w:rsidR="004D4979" w:rsidRPr="00FB5A28">
        <w:rPr>
          <w:rFonts w:ascii="Times New Roman" w:hAnsi="Times New Roman"/>
          <w:sz w:val="24"/>
          <w:szCs w:val="24"/>
        </w:rPr>
        <w:t xml:space="preserve"> </w:t>
      </w:r>
      <w:r w:rsidRPr="00FB5A28">
        <w:rPr>
          <w:rFonts w:ascii="Times New Roman" w:hAnsi="Times New Roman"/>
          <w:sz w:val="24"/>
          <w:szCs w:val="24"/>
        </w:rPr>
        <w:t>акумулираних</w:t>
      </w:r>
      <w:r w:rsidR="004D4979" w:rsidRPr="00FB5A28">
        <w:rPr>
          <w:rFonts w:ascii="Times New Roman" w:hAnsi="Times New Roman"/>
          <w:sz w:val="24"/>
          <w:szCs w:val="24"/>
        </w:rPr>
        <w:t xml:space="preserve"> </w:t>
      </w:r>
      <w:r w:rsidRPr="00FB5A28">
        <w:rPr>
          <w:rFonts w:ascii="Times New Roman" w:hAnsi="Times New Roman"/>
          <w:sz w:val="24"/>
          <w:szCs w:val="24"/>
        </w:rPr>
        <w:t>средстава</w:t>
      </w:r>
      <w:r w:rsidR="004D4979" w:rsidRPr="00FB5A28">
        <w:rPr>
          <w:rFonts w:ascii="Times New Roman" w:hAnsi="Times New Roman"/>
          <w:sz w:val="24"/>
          <w:szCs w:val="24"/>
        </w:rPr>
        <w:t xml:space="preserve"> </w:t>
      </w:r>
      <w:r w:rsidRPr="00FB5A28">
        <w:rPr>
          <w:rFonts w:ascii="Times New Roman" w:hAnsi="Times New Roman"/>
          <w:sz w:val="24"/>
          <w:szCs w:val="24"/>
        </w:rPr>
        <w:t>уложених</w:t>
      </w:r>
      <w:r w:rsidR="004D4979" w:rsidRPr="00FB5A28">
        <w:rPr>
          <w:rFonts w:ascii="Times New Roman" w:hAnsi="Times New Roman"/>
          <w:sz w:val="24"/>
          <w:szCs w:val="24"/>
        </w:rPr>
        <w:t xml:space="preserve"> </w:t>
      </w:r>
      <w:r w:rsidRPr="00FB5A28">
        <w:rPr>
          <w:rFonts w:ascii="Times New Roman" w:hAnsi="Times New Roman"/>
          <w:sz w:val="24"/>
          <w:szCs w:val="24"/>
        </w:rPr>
        <w:t>у</w:t>
      </w:r>
      <w:r w:rsidR="004D4979" w:rsidRPr="00FB5A28">
        <w:rPr>
          <w:rFonts w:ascii="Times New Roman" w:hAnsi="Times New Roman"/>
          <w:sz w:val="24"/>
          <w:szCs w:val="24"/>
        </w:rPr>
        <w:t xml:space="preserve"> </w:t>
      </w:r>
      <w:r w:rsidRPr="00FB5A28">
        <w:rPr>
          <w:rFonts w:ascii="Times New Roman" w:hAnsi="Times New Roman"/>
          <w:sz w:val="24"/>
          <w:szCs w:val="24"/>
        </w:rPr>
        <w:t>куповину</w:t>
      </w:r>
      <w:r w:rsidR="004D4979" w:rsidRPr="00FB5A28">
        <w:rPr>
          <w:rFonts w:ascii="Times New Roman" w:hAnsi="Times New Roman"/>
          <w:sz w:val="24"/>
          <w:szCs w:val="24"/>
        </w:rPr>
        <w:t xml:space="preserve"> </w:t>
      </w:r>
      <w:r w:rsidRPr="00FB5A28">
        <w:rPr>
          <w:rFonts w:ascii="Times New Roman" w:hAnsi="Times New Roman"/>
          <w:sz w:val="24"/>
          <w:szCs w:val="24"/>
        </w:rPr>
        <w:t>ануитета</w:t>
      </w:r>
      <w:r w:rsidR="004D4979" w:rsidRPr="00FB5A28">
        <w:rPr>
          <w:rFonts w:ascii="Times New Roman" w:hAnsi="Times New Roman"/>
          <w:sz w:val="24"/>
          <w:szCs w:val="24"/>
        </w:rPr>
        <w:t>.</w:t>
      </w:r>
      <w:bookmarkStart w:id="50" w:name="str_61"/>
      <w:bookmarkEnd w:id="50"/>
      <w:r w:rsidRPr="00FB5A28">
        <w:rPr>
          <w:rFonts w:ascii="Times New Roman" w:hAnsi="Times New Roman"/>
          <w:sz w:val="24"/>
          <w:szCs w:val="24"/>
          <w:lang w:val="sr-Cyrl-CS"/>
        </w:rPr>
        <w:t xml:space="preserve"> </w:t>
      </w:r>
      <w:r w:rsidRPr="00FB5A28">
        <w:rPr>
          <w:rFonts w:ascii="Times New Roman" w:hAnsi="Times New Roman"/>
          <w:sz w:val="24"/>
          <w:szCs w:val="24"/>
        </w:rPr>
        <w:t>Приходи</w:t>
      </w:r>
      <w:r w:rsidR="004D4979" w:rsidRPr="00FB5A28">
        <w:rPr>
          <w:rFonts w:ascii="Times New Roman" w:hAnsi="Times New Roman"/>
          <w:sz w:val="24"/>
          <w:szCs w:val="24"/>
        </w:rPr>
        <w:t xml:space="preserve"> </w:t>
      </w:r>
      <w:r w:rsidRPr="00FB5A28">
        <w:rPr>
          <w:rFonts w:ascii="Times New Roman" w:hAnsi="Times New Roman"/>
          <w:sz w:val="24"/>
          <w:szCs w:val="24"/>
        </w:rPr>
        <w:t>спортиста</w:t>
      </w:r>
      <w:r w:rsidR="004D4979" w:rsidRPr="00FB5A28">
        <w:rPr>
          <w:rFonts w:ascii="Times New Roman" w:hAnsi="Times New Roman"/>
          <w:sz w:val="24"/>
          <w:szCs w:val="24"/>
        </w:rPr>
        <w:t xml:space="preserve"> </w:t>
      </w:r>
      <w:r w:rsidRPr="00FB5A28">
        <w:rPr>
          <w:rFonts w:ascii="Times New Roman" w:hAnsi="Times New Roman"/>
          <w:sz w:val="24"/>
          <w:szCs w:val="24"/>
        </w:rPr>
        <w:t>и</w:t>
      </w:r>
      <w:r w:rsidR="004D4979" w:rsidRPr="00FB5A28">
        <w:rPr>
          <w:rFonts w:ascii="Times New Roman" w:hAnsi="Times New Roman"/>
          <w:sz w:val="24"/>
          <w:szCs w:val="24"/>
        </w:rPr>
        <w:t xml:space="preserve"> </w:t>
      </w:r>
      <w:r w:rsidRPr="00FB5A28">
        <w:rPr>
          <w:rFonts w:ascii="Times New Roman" w:hAnsi="Times New Roman"/>
          <w:sz w:val="24"/>
          <w:szCs w:val="24"/>
        </w:rPr>
        <w:t>спортских</w:t>
      </w:r>
      <w:r w:rsidR="004D4979" w:rsidRPr="00FB5A28">
        <w:rPr>
          <w:rFonts w:ascii="Times New Roman" w:hAnsi="Times New Roman"/>
          <w:sz w:val="24"/>
          <w:szCs w:val="24"/>
        </w:rPr>
        <w:t xml:space="preserve"> </w:t>
      </w:r>
      <w:r w:rsidRPr="00FB5A28">
        <w:rPr>
          <w:rFonts w:ascii="Times New Roman" w:hAnsi="Times New Roman"/>
          <w:sz w:val="24"/>
          <w:szCs w:val="24"/>
        </w:rPr>
        <w:t>стручњака</w:t>
      </w:r>
      <w:r w:rsidR="004D4979" w:rsidRPr="00FB5A28">
        <w:rPr>
          <w:rFonts w:ascii="Times New Roman" w:hAnsi="Times New Roman"/>
          <w:sz w:val="24"/>
          <w:szCs w:val="24"/>
        </w:rPr>
        <w:t xml:space="preserve"> </w:t>
      </w:r>
      <w:r w:rsidRPr="00FB5A28">
        <w:rPr>
          <w:rFonts w:ascii="Times New Roman" w:hAnsi="Times New Roman"/>
          <w:sz w:val="24"/>
          <w:szCs w:val="24"/>
        </w:rPr>
        <w:t>обухватају</w:t>
      </w:r>
      <w:r w:rsidR="004D4979" w:rsidRPr="00FB5A28">
        <w:rPr>
          <w:rFonts w:ascii="Times New Roman" w:hAnsi="Times New Roman"/>
          <w:sz w:val="24"/>
          <w:szCs w:val="24"/>
        </w:rPr>
        <w:t xml:space="preserve"> </w:t>
      </w:r>
      <w:r w:rsidRPr="00FB5A28">
        <w:rPr>
          <w:rFonts w:ascii="Times New Roman" w:hAnsi="Times New Roman"/>
          <w:sz w:val="24"/>
          <w:szCs w:val="24"/>
        </w:rPr>
        <w:t>примања</w:t>
      </w:r>
      <w:r w:rsidR="004D4979" w:rsidRPr="00FB5A28">
        <w:rPr>
          <w:rFonts w:ascii="Times New Roman" w:hAnsi="Times New Roman"/>
          <w:sz w:val="24"/>
          <w:szCs w:val="24"/>
        </w:rPr>
        <w:t xml:space="preserve"> </w:t>
      </w:r>
      <w:r w:rsidRPr="00FB5A28">
        <w:rPr>
          <w:rFonts w:ascii="Times New Roman" w:hAnsi="Times New Roman"/>
          <w:sz w:val="24"/>
          <w:szCs w:val="24"/>
        </w:rPr>
        <w:t>која</w:t>
      </w:r>
      <w:r w:rsidR="004D4979" w:rsidRPr="00FB5A28">
        <w:rPr>
          <w:rFonts w:ascii="Times New Roman" w:hAnsi="Times New Roman"/>
          <w:sz w:val="24"/>
          <w:szCs w:val="24"/>
        </w:rPr>
        <w:t xml:space="preserve"> </w:t>
      </w:r>
      <w:r w:rsidRPr="00FB5A28">
        <w:rPr>
          <w:rFonts w:ascii="Times New Roman" w:hAnsi="Times New Roman"/>
          <w:sz w:val="24"/>
          <w:szCs w:val="24"/>
        </w:rPr>
        <w:t>остваре</w:t>
      </w:r>
      <w:r w:rsidR="004D4979" w:rsidRPr="00FB5A28">
        <w:rPr>
          <w:rFonts w:ascii="Times New Roman" w:hAnsi="Times New Roman"/>
          <w:sz w:val="24"/>
          <w:szCs w:val="24"/>
        </w:rPr>
        <w:t xml:space="preserve"> </w:t>
      </w:r>
      <w:r w:rsidRPr="00FB5A28">
        <w:rPr>
          <w:rFonts w:ascii="Times New Roman" w:hAnsi="Times New Roman"/>
          <w:sz w:val="24"/>
          <w:szCs w:val="24"/>
        </w:rPr>
        <w:t>професионални</w:t>
      </w:r>
      <w:r w:rsidR="004D4979" w:rsidRPr="00FB5A28">
        <w:rPr>
          <w:rFonts w:ascii="Times New Roman" w:hAnsi="Times New Roman"/>
          <w:sz w:val="24"/>
          <w:szCs w:val="24"/>
        </w:rPr>
        <w:t xml:space="preserve"> </w:t>
      </w:r>
      <w:r w:rsidRPr="00FB5A28">
        <w:rPr>
          <w:rFonts w:ascii="Times New Roman" w:hAnsi="Times New Roman"/>
          <w:sz w:val="24"/>
          <w:szCs w:val="24"/>
        </w:rPr>
        <w:t>спортисти</w:t>
      </w:r>
      <w:r w:rsidR="004D4979" w:rsidRPr="00FB5A28">
        <w:rPr>
          <w:rFonts w:ascii="Times New Roman" w:hAnsi="Times New Roman"/>
          <w:sz w:val="24"/>
          <w:szCs w:val="24"/>
        </w:rPr>
        <w:t xml:space="preserve">, </w:t>
      </w:r>
      <w:r w:rsidRPr="00FB5A28">
        <w:rPr>
          <w:rFonts w:ascii="Times New Roman" w:hAnsi="Times New Roman"/>
          <w:sz w:val="24"/>
          <w:szCs w:val="24"/>
        </w:rPr>
        <w:t>спортисти</w:t>
      </w:r>
      <w:r w:rsidR="004D4979" w:rsidRPr="00FB5A28">
        <w:rPr>
          <w:rFonts w:ascii="Times New Roman" w:hAnsi="Times New Roman"/>
          <w:sz w:val="24"/>
          <w:szCs w:val="24"/>
        </w:rPr>
        <w:t xml:space="preserve"> </w:t>
      </w:r>
      <w:r w:rsidRPr="00FB5A28">
        <w:rPr>
          <w:rFonts w:ascii="Times New Roman" w:hAnsi="Times New Roman"/>
          <w:sz w:val="24"/>
          <w:szCs w:val="24"/>
        </w:rPr>
        <w:t>аматери</w:t>
      </w:r>
      <w:r w:rsidR="004D4979" w:rsidRPr="00FB5A28">
        <w:rPr>
          <w:rFonts w:ascii="Times New Roman" w:hAnsi="Times New Roman"/>
          <w:sz w:val="24"/>
          <w:szCs w:val="24"/>
        </w:rPr>
        <w:t xml:space="preserve">, </w:t>
      </w:r>
      <w:r w:rsidRPr="00FB5A28">
        <w:rPr>
          <w:rFonts w:ascii="Times New Roman" w:hAnsi="Times New Roman"/>
          <w:sz w:val="24"/>
          <w:szCs w:val="24"/>
        </w:rPr>
        <w:t>спортски</w:t>
      </w:r>
      <w:r w:rsidR="004D4979" w:rsidRPr="00FB5A28">
        <w:rPr>
          <w:rFonts w:ascii="Times New Roman" w:hAnsi="Times New Roman"/>
          <w:sz w:val="24"/>
          <w:szCs w:val="24"/>
        </w:rPr>
        <w:t xml:space="preserve"> </w:t>
      </w:r>
      <w:r w:rsidRPr="00FB5A28">
        <w:rPr>
          <w:rFonts w:ascii="Times New Roman" w:hAnsi="Times New Roman"/>
          <w:sz w:val="24"/>
          <w:szCs w:val="24"/>
        </w:rPr>
        <w:t>стручњаци</w:t>
      </w:r>
      <w:r w:rsidR="004D4979" w:rsidRPr="00FB5A28">
        <w:rPr>
          <w:rFonts w:ascii="Times New Roman" w:hAnsi="Times New Roman"/>
          <w:sz w:val="24"/>
          <w:szCs w:val="24"/>
        </w:rPr>
        <w:t xml:space="preserve"> </w:t>
      </w:r>
      <w:r w:rsidRPr="00FB5A28">
        <w:rPr>
          <w:rFonts w:ascii="Times New Roman" w:hAnsi="Times New Roman"/>
          <w:sz w:val="24"/>
          <w:szCs w:val="24"/>
        </w:rPr>
        <w:t>и</w:t>
      </w:r>
      <w:r w:rsidR="004D4979" w:rsidRPr="00FB5A28">
        <w:rPr>
          <w:rFonts w:ascii="Times New Roman" w:hAnsi="Times New Roman"/>
          <w:sz w:val="24"/>
          <w:szCs w:val="24"/>
        </w:rPr>
        <w:t xml:space="preserve"> </w:t>
      </w:r>
      <w:r w:rsidRPr="00FB5A28">
        <w:rPr>
          <w:rFonts w:ascii="Times New Roman" w:hAnsi="Times New Roman"/>
          <w:sz w:val="24"/>
          <w:szCs w:val="24"/>
        </w:rPr>
        <w:t>стручњаци</w:t>
      </w:r>
      <w:r w:rsidR="004D4979" w:rsidRPr="00FB5A28">
        <w:rPr>
          <w:rFonts w:ascii="Times New Roman" w:hAnsi="Times New Roman"/>
          <w:sz w:val="24"/>
          <w:szCs w:val="24"/>
        </w:rPr>
        <w:t xml:space="preserve"> </w:t>
      </w:r>
      <w:r w:rsidRPr="00FB5A28">
        <w:rPr>
          <w:rFonts w:ascii="Times New Roman" w:hAnsi="Times New Roman"/>
          <w:sz w:val="24"/>
          <w:szCs w:val="24"/>
        </w:rPr>
        <w:t>у</w:t>
      </w:r>
      <w:r w:rsidR="004D4979" w:rsidRPr="00FB5A28">
        <w:rPr>
          <w:rFonts w:ascii="Times New Roman" w:hAnsi="Times New Roman"/>
          <w:sz w:val="24"/>
          <w:szCs w:val="24"/>
        </w:rPr>
        <w:t xml:space="preserve"> </w:t>
      </w:r>
      <w:r w:rsidRPr="00FB5A28">
        <w:rPr>
          <w:rFonts w:ascii="Times New Roman" w:hAnsi="Times New Roman"/>
          <w:sz w:val="24"/>
          <w:szCs w:val="24"/>
        </w:rPr>
        <w:t>спорту</w:t>
      </w:r>
      <w:r w:rsidR="004D4979" w:rsidRPr="00FB5A28">
        <w:rPr>
          <w:rFonts w:ascii="Times New Roman" w:hAnsi="Times New Roman"/>
          <w:sz w:val="24"/>
          <w:szCs w:val="24"/>
        </w:rPr>
        <w:t xml:space="preserve"> </w:t>
      </w:r>
      <w:r w:rsidRPr="00FB5A28">
        <w:rPr>
          <w:rFonts w:ascii="Times New Roman" w:hAnsi="Times New Roman"/>
          <w:sz w:val="24"/>
          <w:szCs w:val="24"/>
        </w:rPr>
        <w:t>од</w:t>
      </w:r>
      <w:r w:rsidR="004D4979" w:rsidRPr="00FB5A28">
        <w:rPr>
          <w:rFonts w:ascii="Times New Roman" w:hAnsi="Times New Roman"/>
          <w:sz w:val="24"/>
          <w:szCs w:val="24"/>
        </w:rPr>
        <w:t xml:space="preserve"> </w:t>
      </w:r>
      <w:r w:rsidRPr="00FB5A28">
        <w:rPr>
          <w:rFonts w:ascii="Times New Roman" w:hAnsi="Times New Roman"/>
          <w:sz w:val="24"/>
          <w:szCs w:val="24"/>
        </w:rPr>
        <w:t>спортске</w:t>
      </w:r>
      <w:r w:rsidR="004D4979" w:rsidRPr="00FB5A28">
        <w:rPr>
          <w:rFonts w:ascii="Times New Roman" w:hAnsi="Times New Roman"/>
          <w:sz w:val="24"/>
          <w:szCs w:val="24"/>
        </w:rPr>
        <w:t xml:space="preserve"> </w:t>
      </w:r>
      <w:r w:rsidRPr="00FB5A28">
        <w:rPr>
          <w:rFonts w:ascii="Times New Roman" w:hAnsi="Times New Roman"/>
          <w:sz w:val="24"/>
          <w:szCs w:val="24"/>
        </w:rPr>
        <w:t>организације</w:t>
      </w:r>
      <w:r w:rsidR="004D4979" w:rsidRPr="00FB5A28">
        <w:rPr>
          <w:rFonts w:ascii="Times New Roman" w:hAnsi="Times New Roman"/>
          <w:sz w:val="24"/>
          <w:szCs w:val="24"/>
        </w:rPr>
        <w:t xml:space="preserve">, </w:t>
      </w:r>
      <w:r w:rsidRPr="00FB5A28">
        <w:rPr>
          <w:rFonts w:ascii="Times New Roman" w:hAnsi="Times New Roman"/>
          <w:sz w:val="24"/>
          <w:szCs w:val="24"/>
        </w:rPr>
        <w:t>односно</w:t>
      </w:r>
      <w:r w:rsidR="004D4979" w:rsidRPr="00FB5A28">
        <w:rPr>
          <w:rFonts w:ascii="Times New Roman" w:hAnsi="Times New Roman"/>
          <w:sz w:val="24"/>
          <w:szCs w:val="24"/>
        </w:rPr>
        <w:t xml:space="preserve"> </w:t>
      </w:r>
      <w:r w:rsidRPr="00FB5A28">
        <w:rPr>
          <w:rFonts w:ascii="Times New Roman" w:hAnsi="Times New Roman"/>
          <w:sz w:val="24"/>
          <w:szCs w:val="24"/>
        </w:rPr>
        <w:t>организације</w:t>
      </w:r>
      <w:r w:rsidR="004D4979" w:rsidRPr="00FB5A28">
        <w:rPr>
          <w:rFonts w:ascii="Times New Roman" w:hAnsi="Times New Roman"/>
          <w:sz w:val="24"/>
          <w:szCs w:val="24"/>
        </w:rPr>
        <w:t xml:space="preserve"> </w:t>
      </w:r>
      <w:r w:rsidRPr="00FB5A28">
        <w:rPr>
          <w:rFonts w:ascii="Times New Roman" w:hAnsi="Times New Roman"/>
          <w:sz w:val="24"/>
          <w:szCs w:val="24"/>
        </w:rPr>
        <w:t>за</w:t>
      </w:r>
      <w:r w:rsidR="004D4979" w:rsidRPr="00FB5A28">
        <w:rPr>
          <w:rFonts w:ascii="Times New Roman" w:hAnsi="Times New Roman"/>
          <w:sz w:val="24"/>
          <w:szCs w:val="24"/>
        </w:rPr>
        <w:t xml:space="preserve"> </w:t>
      </w:r>
      <w:r w:rsidRPr="00FB5A28">
        <w:rPr>
          <w:rFonts w:ascii="Times New Roman" w:hAnsi="Times New Roman"/>
          <w:sz w:val="24"/>
          <w:szCs w:val="24"/>
        </w:rPr>
        <w:t>обављање</w:t>
      </w:r>
      <w:r w:rsidR="004D4979" w:rsidRPr="00FB5A28">
        <w:rPr>
          <w:rFonts w:ascii="Times New Roman" w:hAnsi="Times New Roman"/>
          <w:sz w:val="24"/>
          <w:szCs w:val="24"/>
        </w:rPr>
        <w:t xml:space="preserve"> </w:t>
      </w:r>
      <w:r w:rsidRPr="00FB5A28">
        <w:rPr>
          <w:rFonts w:ascii="Times New Roman" w:hAnsi="Times New Roman"/>
          <w:sz w:val="24"/>
          <w:szCs w:val="24"/>
        </w:rPr>
        <w:t>спортске</w:t>
      </w:r>
      <w:r w:rsidR="004D4979" w:rsidRPr="00FB5A28">
        <w:rPr>
          <w:rFonts w:ascii="Times New Roman" w:hAnsi="Times New Roman"/>
          <w:sz w:val="24"/>
          <w:szCs w:val="24"/>
        </w:rPr>
        <w:t xml:space="preserve"> </w:t>
      </w:r>
      <w:r w:rsidRPr="00FB5A28">
        <w:rPr>
          <w:rFonts w:ascii="Times New Roman" w:hAnsi="Times New Roman"/>
          <w:sz w:val="24"/>
          <w:szCs w:val="24"/>
        </w:rPr>
        <w:t>делатности</w:t>
      </w:r>
      <w:r w:rsidR="004D4979" w:rsidRPr="00FB5A28">
        <w:rPr>
          <w:rFonts w:ascii="Times New Roman" w:hAnsi="Times New Roman"/>
          <w:sz w:val="24"/>
          <w:szCs w:val="24"/>
        </w:rPr>
        <w:t xml:space="preserve">, </w:t>
      </w:r>
      <w:r w:rsidRPr="00FB5A28">
        <w:rPr>
          <w:rFonts w:ascii="Times New Roman" w:hAnsi="Times New Roman"/>
          <w:sz w:val="24"/>
          <w:szCs w:val="24"/>
        </w:rPr>
        <w:t>спортских</w:t>
      </w:r>
      <w:r w:rsidR="004D4979" w:rsidRPr="00FB5A28">
        <w:rPr>
          <w:rFonts w:ascii="Times New Roman" w:hAnsi="Times New Roman"/>
          <w:sz w:val="24"/>
          <w:szCs w:val="24"/>
        </w:rPr>
        <w:t xml:space="preserve"> </w:t>
      </w:r>
      <w:r w:rsidRPr="00FB5A28">
        <w:rPr>
          <w:rFonts w:ascii="Times New Roman" w:hAnsi="Times New Roman"/>
          <w:sz w:val="24"/>
          <w:szCs w:val="24"/>
        </w:rPr>
        <w:t>друштава</w:t>
      </w:r>
      <w:r w:rsidR="004D4979" w:rsidRPr="00FB5A28">
        <w:rPr>
          <w:rFonts w:ascii="Times New Roman" w:hAnsi="Times New Roman"/>
          <w:sz w:val="24"/>
          <w:szCs w:val="24"/>
        </w:rPr>
        <w:t xml:space="preserve"> </w:t>
      </w:r>
      <w:r w:rsidRPr="00FB5A28">
        <w:rPr>
          <w:rFonts w:ascii="Times New Roman" w:hAnsi="Times New Roman"/>
          <w:sz w:val="24"/>
          <w:szCs w:val="24"/>
        </w:rPr>
        <w:t>и</w:t>
      </w:r>
      <w:r w:rsidR="004D4979" w:rsidRPr="00FB5A28">
        <w:rPr>
          <w:rFonts w:ascii="Times New Roman" w:hAnsi="Times New Roman"/>
          <w:sz w:val="24"/>
          <w:szCs w:val="24"/>
        </w:rPr>
        <w:t xml:space="preserve"> </w:t>
      </w:r>
      <w:r w:rsidRPr="00FB5A28">
        <w:rPr>
          <w:rFonts w:ascii="Times New Roman" w:hAnsi="Times New Roman"/>
          <w:sz w:val="24"/>
          <w:szCs w:val="24"/>
        </w:rPr>
        <w:t>савеза</w:t>
      </w:r>
      <w:r w:rsidR="004D4979" w:rsidRPr="00FB5A28">
        <w:rPr>
          <w:rFonts w:ascii="Times New Roman" w:hAnsi="Times New Roman"/>
          <w:sz w:val="24"/>
          <w:szCs w:val="24"/>
        </w:rPr>
        <w:t xml:space="preserve">, </w:t>
      </w:r>
      <w:r w:rsidRPr="00FB5A28">
        <w:rPr>
          <w:rFonts w:ascii="Times New Roman" w:hAnsi="Times New Roman"/>
          <w:sz w:val="24"/>
          <w:szCs w:val="24"/>
        </w:rPr>
        <w:t>која</w:t>
      </w:r>
      <w:r w:rsidR="004D4979" w:rsidRPr="00FB5A28">
        <w:rPr>
          <w:rFonts w:ascii="Times New Roman" w:hAnsi="Times New Roman"/>
          <w:sz w:val="24"/>
          <w:szCs w:val="24"/>
        </w:rPr>
        <w:t xml:space="preserve"> </w:t>
      </w:r>
      <w:r w:rsidRPr="00FB5A28">
        <w:rPr>
          <w:rFonts w:ascii="Times New Roman" w:hAnsi="Times New Roman"/>
          <w:sz w:val="24"/>
          <w:szCs w:val="24"/>
        </w:rPr>
        <w:t>немају</w:t>
      </w:r>
      <w:r w:rsidR="004D4979" w:rsidRPr="00FB5A28">
        <w:rPr>
          <w:rFonts w:ascii="Times New Roman" w:hAnsi="Times New Roman"/>
          <w:sz w:val="24"/>
          <w:szCs w:val="24"/>
        </w:rPr>
        <w:t xml:space="preserve"> </w:t>
      </w:r>
      <w:r w:rsidRPr="00FB5A28">
        <w:rPr>
          <w:rFonts w:ascii="Times New Roman" w:hAnsi="Times New Roman"/>
          <w:sz w:val="24"/>
          <w:szCs w:val="24"/>
        </w:rPr>
        <w:t>карактер</w:t>
      </w:r>
      <w:r w:rsidR="004D4979" w:rsidRPr="00FB5A28">
        <w:rPr>
          <w:rFonts w:ascii="Times New Roman" w:hAnsi="Times New Roman"/>
          <w:sz w:val="24"/>
          <w:szCs w:val="24"/>
        </w:rPr>
        <w:t xml:space="preserve"> </w:t>
      </w:r>
      <w:r w:rsidRPr="00FB5A28">
        <w:rPr>
          <w:rFonts w:ascii="Times New Roman" w:hAnsi="Times New Roman"/>
          <w:sz w:val="24"/>
          <w:szCs w:val="24"/>
        </w:rPr>
        <w:t>зараде</w:t>
      </w:r>
      <w:r w:rsidR="004D4979" w:rsidRPr="00FB5A28">
        <w:rPr>
          <w:rFonts w:ascii="Times New Roman" w:hAnsi="Times New Roman"/>
          <w:sz w:val="24"/>
          <w:szCs w:val="24"/>
        </w:rPr>
        <w:t xml:space="preserve"> </w:t>
      </w:r>
      <w:r w:rsidRPr="00FB5A28">
        <w:rPr>
          <w:rFonts w:ascii="Times New Roman" w:hAnsi="Times New Roman"/>
          <w:sz w:val="24"/>
          <w:szCs w:val="24"/>
        </w:rPr>
        <w:t>у</w:t>
      </w:r>
      <w:r w:rsidR="004D4979" w:rsidRPr="00FB5A28">
        <w:rPr>
          <w:rFonts w:ascii="Times New Roman" w:hAnsi="Times New Roman"/>
          <w:sz w:val="24"/>
          <w:szCs w:val="24"/>
        </w:rPr>
        <w:t xml:space="preserve"> </w:t>
      </w:r>
      <w:r w:rsidRPr="00FB5A28">
        <w:rPr>
          <w:rFonts w:ascii="Times New Roman" w:hAnsi="Times New Roman"/>
          <w:sz w:val="24"/>
          <w:szCs w:val="24"/>
        </w:rPr>
        <w:t>смислу</w:t>
      </w:r>
      <w:r w:rsidR="004D4979" w:rsidRPr="00FB5A28">
        <w:rPr>
          <w:rFonts w:ascii="Times New Roman" w:hAnsi="Times New Roman"/>
          <w:sz w:val="24"/>
          <w:szCs w:val="24"/>
        </w:rPr>
        <w:t xml:space="preserve"> </w:t>
      </w:r>
      <w:r w:rsidRPr="00FB5A28">
        <w:rPr>
          <w:rFonts w:ascii="Times New Roman" w:hAnsi="Times New Roman"/>
          <w:sz w:val="24"/>
          <w:szCs w:val="24"/>
        </w:rPr>
        <w:t>прописа</w:t>
      </w:r>
      <w:r w:rsidR="004D4979" w:rsidRPr="00FB5A28">
        <w:rPr>
          <w:rFonts w:ascii="Times New Roman" w:hAnsi="Times New Roman"/>
          <w:sz w:val="24"/>
          <w:szCs w:val="24"/>
        </w:rPr>
        <w:t xml:space="preserve"> </w:t>
      </w:r>
      <w:r w:rsidRPr="00FB5A28">
        <w:rPr>
          <w:rFonts w:ascii="Times New Roman" w:hAnsi="Times New Roman"/>
          <w:sz w:val="24"/>
          <w:szCs w:val="24"/>
        </w:rPr>
        <w:t>којима</w:t>
      </w:r>
      <w:r w:rsidR="004D4979" w:rsidRPr="00FB5A28">
        <w:rPr>
          <w:rFonts w:ascii="Times New Roman" w:hAnsi="Times New Roman"/>
          <w:sz w:val="24"/>
          <w:szCs w:val="24"/>
        </w:rPr>
        <w:t xml:space="preserve"> </w:t>
      </w:r>
      <w:r w:rsidRPr="00FB5A28">
        <w:rPr>
          <w:rFonts w:ascii="Times New Roman" w:hAnsi="Times New Roman"/>
          <w:sz w:val="24"/>
          <w:szCs w:val="24"/>
        </w:rPr>
        <w:t>се</w:t>
      </w:r>
      <w:r w:rsidR="004D4979" w:rsidRPr="00FB5A28">
        <w:rPr>
          <w:rFonts w:ascii="Times New Roman" w:hAnsi="Times New Roman"/>
          <w:sz w:val="24"/>
          <w:szCs w:val="24"/>
        </w:rPr>
        <w:t xml:space="preserve"> </w:t>
      </w:r>
      <w:r w:rsidRPr="00FB5A28">
        <w:rPr>
          <w:rFonts w:ascii="Times New Roman" w:hAnsi="Times New Roman"/>
          <w:sz w:val="24"/>
          <w:szCs w:val="24"/>
        </w:rPr>
        <w:t>уређује</w:t>
      </w:r>
      <w:r w:rsidR="004D4979" w:rsidRPr="00FB5A28">
        <w:rPr>
          <w:rFonts w:ascii="Times New Roman" w:hAnsi="Times New Roman"/>
          <w:sz w:val="24"/>
          <w:szCs w:val="24"/>
        </w:rPr>
        <w:t xml:space="preserve"> </w:t>
      </w:r>
      <w:r w:rsidRPr="00FB5A28">
        <w:rPr>
          <w:rFonts w:ascii="Times New Roman" w:hAnsi="Times New Roman"/>
          <w:sz w:val="24"/>
          <w:szCs w:val="24"/>
        </w:rPr>
        <w:t>спорт</w:t>
      </w:r>
      <w:r w:rsidR="004D4979" w:rsidRPr="00FB5A28">
        <w:rPr>
          <w:rFonts w:ascii="Times New Roman" w:hAnsi="Times New Roman"/>
          <w:sz w:val="24"/>
          <w:szCs w:val="24"/>
        </w:rPr>
        <w:t xml:space="preserve">, </w:t>
      </w:r>
      <w:r w:rsidRPr="00FB5A28">
        <w:rPr>
          <w:rFonts w:ascii="Times New Roman" w:hAnsi="Times New Roman"/>
          <w:sz w:val="24"/>
          <w:szCs w:val="24"/>
        </w:rPr>
        <w:t>односно</w:t>
      </w:r>
      <w:r w:rsidR="004D4979" w:rsidRPr="00FB5A28">
        <w:rPr>
          <w:rFonts w:ascii="Times New Roman" w:hAnsi="Times New Roman"/>
          <w:sz w:val="24"/>
          <w:szCs w:val="24"/>
        </w:rPr>
        <w:t xml:space="preserve"> </w:t>
      </w:r>
      <w:r w:rsidRPr="00FB5A28">
        <w:rPr>
          <w:rFonts w:ascii="Times New Roman" w:hAnsi="Times New Roman"/>
          <w:sz w:val="24"/>
          <w:szCs w:val="24"/>
        </w:rPr>
        <w:t>радни</w:t>
      </w:r>
      <w:r w:rsidR="004D4979" w:rsidRPr="00FB5A28">
        <w:rPr>
          <w:rFonts w:ascii="Times New Roman" w:hAnsi="Times New Roman"/>
          <w:sz w:val="24"/>
          <w:szCs w:val="24"/>
        </w:rPr>
        <w:t xml:space="preserve"> </w:t>
      </w:r>
      <w:r w:rsidRPr="00FB5A28">
        <w:rPr>
          <w:rFonts w:ascii="Times New Roman" w:hAnsi="Times New Roman"/>
          <w:sz w:val="24"/>
          <w:szCs w:val="24"/>
        </w:rPr>
        <w:t>односи</w:t>
      </w:r>
      <w:r w:rsidR="004D4979" w:rsidRPr="00FB5A28">
        <w:rPr>
          <w:rFonts w:ascii="Times New Roman" w:hAnsi="Times New Roman"/>
          <w:sz w:val="24"/>
          <w:szCs w:val="24"/>
        </w:rPr>
        <w:t>.</w:t>
      </w:r>
      <w:r w:rsidRPr="00FB5A28">
        <w:rPr>
          <w:rFonts w:ascii="Times New Roman" w:hAnsi="Times New Roman"/>
          <w:sz w:val="24"/>
          <w:szCs w:val="24"/>
          <w:lang w:val="sr-Cyrl-CS"/>
        </w:rPr>
        <w:t xml:space="preserve"> </w:t>
      </w:r>
      <w:r w:rsidRPr="00FB5A28">
        <w:rPr>
          <w:rFonts w:ascii="Times New Roman" w:hAnsi="Times New Roman"/>
          <w:sz w:val="24"/>
          <w:szCs w:val="24"/>
        </w:rPr>
        <w:t>Опорезиви</w:t>
      </w:r>
      <w:r w:rsidR="004D4979" w:rsidRPr="00FB5A28">
        <w:rPr>
          <w:rFonts w:ascii="Times New Roman" w:hAnsi="Times New Roman"/>
          <w:sz w:val="24"/>
          <w:szCs w:val="24"/>
        </w:rPr>
        <w:t xml:space="preserve"> </w:t>
      </w:r>
      <w:r w:rsidRPr="00FB5A28">
        <w:rPr>
          <w:rFonts w:ascii="Times New Roman" w:hAnsi="Times New Roman"/>
          <w:sz w:val="24"/>
          <w:szCs w:val="24"/>
        </w:rPr>
        <w:t>приход</w:t>
      </w:r>
      <w:r w:rsidR="004D4979" w:rsidRPr="00FB5A28">
        <w:rPr>
          <w:rFonts w:ascii="Times New Roman" w:hAnsi="Times New Roman"/>
          <w:sz w:val="24"/>
          <w:szCs w:val="24"/>
        </w:rPr>
        <w:t xml:space="preserve"> </w:t>
      </w:r>
      <w:r w:rsidRPr="00FB5A28">
        <w:rPr>
          <w:rFonts w:ascii="Times New Roman" w:hAnsi="Times New Roman"/>
          <w:sz w:val="24"/>
          <w:szCs w:val="24"/>
        </w:rPr>
        <w:t>за</w:t>
      </w:r>
      <w:r w:rsidR="004D4979" w:rsidRPr="00FB5A28">
        <w:rPr>
          <w:rFonts w:ascii="Times New Roman" w:hAnsi="Times New Roman"/>
          <w:sz w:val="24"/>
          <w:szCs w:val="24"/>
        </w:rPr>
        <w:t xml:space="preserve"> </w:t>
      </w:r>
      <w:r w:rsidRPr="00FB5A28">
        <w:rPr>
          <w:rFonts w:ascii="Times New Roman" w:hAnsi="Times New Roman"/>
          <w:sz w:val="24"/>
          <w:szCs w:val="24"/>
        </w:rPr>
        <w:t>примања</w:t>
      </w:r>
      <w:r w:rsidR="004D4979" w:rsidRPr="00FB5A28">
        <w:rPr>
          <w:rFonts w:ascii="Times New Roman" w:hAnsi="Times New Roman"/>
          <w:sz w:val="24"/>
          <w:szCs w:val="24"/>
        </w:rPr>
        <w:t xml:space="preserve"> </w:t>
      </w:r>
      <w:r w:rsidRPr="00FB5A28">
        <w:rPr>
          <w:rFonts w:ascii="Times New Roman" w:hAnsi="Times New Roman"/>
          <w:sz w:val="24"/>
          <w:szCs w:val="24"/>
        </w:rPr>
        <w:t>спортиста</w:t>
      </w:r>
      <w:r w:rsidR="004D4979" w:rsidRPr="00FB5A28">
        <w:rPr>
          <w:rFonts w:ascii="Times New Roman" w:hAnsi="Times New Roman"/>
          <w:sz w:val="24"/>
          <w:szCs w:val="24"/>
        </w:rPr>
        <w:t xml:space="preserve"> </w:t>
      </w:r>
      <w:r w:rsidRPr="00FB5A28">
        <w:rPr>
          <w:rFonts w:ascii="Times New Roman" w:hAnsi="Times New Roman"/>
          <w:sz w:val="24"/>
          <w:szCs w:val="24"/>
        </w:rPr>
        <w:t>и</w:t>
      </w:r>
      <w:r w:rsidR="004D4979" w:rsidRPr="00FB5A28">
        <w:rPr>
          <w:rFonts w:ascii="Times New Roman" w:hAnsi="Times New Roman"/>
          <w:sz w:val="24"/>
          <w:szCs w:val="24"/>
        </w:rPr>
        <w:t xml:space="preserve"> </w:t>
      </w:r>
      <w:r w:rsidRPr="00FB5A28">
        <w:rPr>
          <w:rFonts w:ascii="Times New Roman" w:hAnsi="Times New Roman"/>
          <w:sz w:val="24"/>
          <w:szCs w:val="24"/>
        </w:rPr>
        <w:t>спортских</w:t>
      </w:r>
      <w:r w:rsidR="004D4979" w:rsidRPr="00FB5A28">
        <w:rPr>
          <w:rFonts w:ascii="Times New Roman" w:hAnsi="Times New Roman"/>
          <w:sz w:val="24"/>
          <w:szCs w:val="24"/>
        </w:rPr>
        <w:t xml:space="preserve"> </w:t>
      </w:r>
      <w:r w:rsidRPr="00FB5A28">
        <w:rPr>
          <w:rFonts w:ascii="Times New Roman" w:hAnsi="Times New Roman"/>
          <w:sz w:val="24"/>
          <w:szCs w:val="24"/>
        </w:rPr>
        <w:t>стручњака</w:t>
      </w:r>
      <w:r w:rsidR="004D4979" w:rsidRPr="00FB5A28">
        <w:rPr>
          <w:rFonts w:ascii="Times New Roman" w:hAnsi="Times New Roman"/>
          <w:sz w:val="24"/>
          <w:szCs w:val="24"/>
        </w:rPr>
        <w:t xml:space="preserve">  </w:t>
      </w:r>
      <w:r w:rsidRPr="00FB5A28">
        <w:rPr>
          <w:rFonts w:ascii="Times New Roman" w:hAnsi="Times New Roman"/>
          <w:sz w:val="24"/>
          <w:szCs w:val="24"/>
        </w:rPr>
        <w:t>утврђује</w:t>
      </w:r>
      <w:r w:rsidR="004D4979" w:rsidRPr="00FB5A28">
        <w:rPr>
          <w:rFonts w:ascii="Times New Roman" w:hAnsi="Times New Roman"/>
          <w:sz w:val="24"/>
          <w:szCs w:val="24"/>
        </w:rPr>
        <w:t xml:space="preserve"> </w:t>
      </w:r>
      <w:r w:rsidRPr="00FB5A28">
        <w:rPr>
          <w:rFonts w:ascii="Times New Roman" w:hAnsi="Times New Roman"/>
          <w:sz w:val="24"/>
          <w:szCs w:val="24"/>
        </w:rPr>
        <w:t>се</w:t>
      </w:r>
      <w:r w:rsidR="004D4979" w:rsidRPr="00FB5A28">
        <w:rPr>
          <w:rFonts w:ascii="Times New Roman" w:hAnsi="Times New Roman"/>
          <w:sz w:val="24"/>
          <w:szCs w:val="24"/>
        </w:rPr>
        <w:t xml:space="preserve"> </w:t>
      </w:r>
      <w:r w:rsidRPr="00FB5A28">
        <w:rPr>
          <w:rFonts w:ascii="Times New Roman" w:hAnsi="Times New Roman"/>
          <w:sz w:val="24"/>
          <w:szCs w:val="24"/>
        </w:rPr>
        <w:t>одбијањем</w:t>
      </w:r>
      <w:r w:rsidR="004D4979" w:rsidRPr="00FB5A28">
        <w:rPr>
          <w:rFonts w:ascii="Times New Roman" w:hAnsi="Times New Roman"/>
          <w:sz w:val="24"/>
          <w:szCs w:val="24"/>
        </w:rPr>
        <w:t xml:space="preserve"> </w:t>
      </w:r>
      <w:r w:rsidRPr="00FB5A28">
        <w:rPr>
          <w:rFonts w:ascii="Times New Roman" w:hAnsi="Times New Roman"/>
          <w:sz w:val="24"/>
          <w:szCs w:val="24"/>
        </w:rPr>
        <w:t>нормираних</w:t>
      </w:r>
      <w:r w:rsidR="004D4979" w:rsidRPr="00FB5A28">
        <w:rPr>
          <w:rFonts w:ascii="Times New Roman" w:hAnsi="Times New Roman"/>
          <w:sz w:val="24"/>
          <w:szCs w:val="24"/>
        </w:rPr>
        <w:t xml:space="preserve"> </w:t>
      </w:r>
      <w:r w:rsidRPr="00FB5A28">
        <w:rPr>
          <w:rFonts w:ascii="Times New Roman" w:hAnsi="Times New Roman"/>
          <w:sz w:val="24"/>
          <w:szCs w:val="24"/>
        </w:rPr>
        <w:t>трошкова</w:t>
      </w:r>
      <w:r w:rsidR="004D4979" w:rsidRPr="00FB5A28">
        <w:rPr>
          <w:rFonts w:ascii="Times New Roman" w:hAnsi="Times New Roman"/>
          <w:sz w:val="24"/>
          <w:szCs w:val="24"/>
        </w:rPr>
        <w:t xml:space="preserve"> </w:t>
      </w:r>
      <w:r w:rsidRPr="00FB5A28">
        <w:rPr>
          <w:rFonts w:ascii="Times New Roman" w:hAnsi="Times New Roman"/>
          <w:sz w:val="24"/>
          <w:szCs w:val="24"/>
        </w:rPr>
        <w:t>од</w:t>
      </w:r>
      <w:r w:rsidR="004D4979" w:rsidRPr="00FB5A28">
        <w:rPr>
          <w:rFonts w:ascii="Times New Roman" w:hAnsi="Times New Roman"/>
          <w:sz w:val="24"/>
          <w:szCs w:val="24"/>
        </w:rPr>
        <w:t xml:space="preserve"> </w:t>
      </w:r>
      <w:r w:rsidRPr="00FB5A28">
        <w:rPr>
          <w:rFonts w:ascii="Times New Roman" w:hAnsi="Times New Roman"/>
          <w:sz w:val="24"/>
          <w:szCs w:val="24"/>
        </w:rPr>
        <w:t>бруто</w:t>
      </w:r>
      <w:r w:rsidR="004D4979" w:rsidRPr="00FB5A28">
        <w:rPr>
          <w:rFonts w:ascii="Times New Roman" w:hAnsi="Times New Roman"/>
          <w:sz w:val="24"/>
          <w:szCs w:val="24"/>
        </w:rPr>
        <w:t xml:space="preserve"> </w:t>
      </w:r>
      <w:r w:rsidRPr="00FB5A28">
        <w:rPr>
          <w:rFonts w:ascii="Times New Roman" w:hAnsi="Times New Roman"/>
          <w:sz w:val="24"/>
          <w:szCs w:val="24"/>
        </w:rPr>
        <w:t>прихода</w:t>
      </w:r>
      <w:r w:rsidR="004D4979" w:rsidRPr="00FB5A28">
        <w:rPr>
          <w:rFonts w:ascii="Times New Roman" w:hAnsi="Times New Roman"/>
          <w:sz w:val="24"/>
          <w:szCs w:val="24"/>
        </w:rPr>
        <w:t xml:space="preserve"> </w:t>
      </w:r>
      <w:r w:rsidRPr="00FB5A28">
        <w:rPr>
          <w:rFonts w:ascii="Times New Roman" w:hAnsi="Times New Roman"/>
          <w:sz w:val="24"/>
          <w:szCs w:val="24"/>
        </w:rPr>
        <w:t>у</w:t>
      </w:r>
      <w:r w:rsidR="004D4979" w:rsidRPr="00FB5A28">
        <w:rPr>
          <w:rFonts w:ascii="Times New Roman" w:hAnsi="Times New Roman"/>
          <w:sz w:val="24"/>
          <w:szCs w:val="24"/>
        </w:rPr>
        <w:t xml:space="preserve"> </w:t>
      </w:r>
      <w:r w:rsidRPr="00FB5A28">
        <w:rPr>
          <w:rFonts w:ascii="Times New Roman" w:hAnsi="Times New Roman"/>
          <w:sz w:val="24"/>
          <w:szCs w:val="24"/>
        </w:rPr>
        <w:t>висини</w:t>
      </w:r>
      <w:r w:rsidR="004D4979" w:rsidRPr="00FB5A28">
        <w:rPr>
          <w:rFonts w:ascii="Times New Roman" w:hAnsi="Times New Roman"/>
          <w:sz w:val="24"/>
          <w:szCs w:val="24"/>
        </w:rPr>
        <w:t xml:space="preserve"> </w:t>
      </w:r>
      <w:r w:rsidRPr="00FB5A28">
        <w:rPr>
          <w:rFonts w:ascii="Times New Roman" w:hAnsi="Times New Roman"/>
          <w:sz w:val="24"/>
          <w:szCs w:val="24"/>
        </w:rPr>
        <w:t>од</w:t>
      </w:r>
      <w:r w:rsidR="004D4979" w:rsidRPr="00FB5A28">
        <w:rPr>
          <w:rFonts w:ascii="Times New Roman" w:hAnsi="Times New Roman"/>
          <w:sz w:val="24"/>
          <w:szCs w:val="24"/>
        </w:rPr>
        <w:t xml:space="preserve"> 50%.</w:t>
      </w:r>
    </w:p>
    <w:p w:rsidR="003844EB" w:rsidRPr="00FB5A28" w:rsidRDefault="003844EB" w:rsidP="00FB5A28">
      <w:pPr>
        <w:jc w:val="both"/>
        <w:rPr>
          <w:rFonts w:ascii="Times New Roman" w:hAnsi="Times New Roman"/>
          <w:sz w:val="24"/>
          <w:szCs w:val="24"/>
          <w:lang w:val="sr-Cyrl-CS"/>
        </w:rPr>
      </w:pPr>
    </w:p>
    <w:p w:rsidR="001830E1" w:rsidRDefault="001830E1" w:rsidP="003844EB">
      <w:pPr>
        <w:ind w:firstLine="708"/>
        <w:jc w:val="both"/>
        <w:rPr>
          <w:rFonts w:ascii="Times New Roman" w:hAnsi="Times New Roman"/>
          <w:b/>
          <w:color w:val="000000"/>
          <w:sz w:val="24"/>
          <w:szCs w:val="24"/>
          <w:shd w:val="clear" w:color="auto" w:fill="FFFFFF"/>
          <w:lang w:val="sr-Cyrl-CS"/>
        </w:rPr>
      </w:pPr>
      <w:r>
        <w:rPr>
          <w:rFonts w:ascii="Times New Roman" w:hAnsi="Times New Roman"/>
          <w:b/>
          <w:color w:val="000000"/>
          <w:sz w:val="24"/>
          <w:szCs w:val="24"/>
          <w:shd w:val="clear" w:color="auto" w:fill="FFFFFF"/>
          <w:lang w:val="sr-Cyrl-CS"/>
        </w:rPr>
        <w:t>5.3.4.7. Годишњи порез на доходак грађана</w:t>
      </w:r>
    </w:p>
    <w:p w:rsidR="003844EB" w:rsidRPr="008A7A59" w:rsidRDefault="003844EB" w:rsidP="003844EB">
      <w:pPr>
        <w:ind w:firstLine="708"/>
        <w:jc w:val="both"/>
        <w:rPr>
          <w:rFonts w:ascii="Times New Roman" w:hAnsi="Times New Roman"/>
          <w:b/>
          <w:color w:val="000000"/>
          <w:sz w:val="24"/>
          <w:szCs w:val="24"/>
          <w:shd w:val="clear" w:color="auto" w:fill="FFFFFF"/>
          <w:lang w:val="sr-Cyrl-CS"/>
        </w:rPr>
      </w:pPr>
    </w:p>
    <w:p w:rsidR="003844EB" w:rsidRPr="00FB5A28" w:rsidRDefault="00E46902" w:rsidP="00FB5A28">
      <w:pPr>
        <w:ind w:firstLine="708"/>
        <w:jc w:val="both"/>
        <w:rPr>
          <w:rFonts w:ascii="Times New Roman" w:hAnsi="Times New Roman"/>
          <w:sz w:val="24"/>
          <w:szCs w:val="24"/>
          <w:lang w:val="sr-Cyrl-CS"/>
        </w:rPr>
      </w:pPr>
      <w:r w:rsidRPr="00FB5A28">
        <w:rPr>
          <w:rFonts w:ascii="Times New Roman" w:hAnsi="Times New Roman"/>
          <w:sz w:val="24"/>
          <w:szCs w:val="24"/>
          <w:shd w:val="clear" w:color="auto" w:fill="FFFFFF"/>
          <w:lang w:val="sr-Cyrl-CS"/>
        </w:rPr>
        <w:t xml:space="preserve">Годишњи порез на доходак грађана је по природи глобални порез </w:t>
      </w:r>
      <w:r w:rsidR="00E77954" w:rsidRPr="00FB5A28">
        <w:rPr>
          <w:rFonts w:ascii="Times New Roman" w:hAnsi="Times New Roman"/>
          <w:sz w:val="24"/>
          <w:szCs w:val="24"/>
          <w:shd w:val="clear" w:color="auto" w:fill="FFFFFF"/>
          <w:lang w:val="sr-Cyrl-CS"/>
        </w:rPr>
        <w:t>коме</w:t>
      </w:r>
      <w:r w:rsidRPr="00FB5A28">
        <w:rPr>
          <w:rFonts w:ascii="Times New Roman" w:hAnsi="Times New Roman"/>
          <w:sz w:val="24"/>
          <w:szCs w:val="24"/>
          <w:shd w:val="clear" w:color="auto" w:fill="FFFFFF"/>
          <w:lang w:val="sr-Cyrl-CS"/>
        </w:rPr>
        <w:t xml:space="preserve"> је подвргнут мањи број гр</w:t>
      </w:r>
      <w:r w:rsidR="003844EB" w:rsidRPr="00FB5A28">
        <w:rPr>
          <w:rFonts w:ascii="Times New Roman" w:hAnsi="Times New Roman"/>
          <w:sz w:val="24"/>
          <w:szCs w:val="24"/>
          <w:shd w:val="clear" w:color="auto" w:fill="FFFFFF"/>
          <w:lang w:val="sr-Cyrl-CS"/>
        </w:rPr>
        <w:t>ађана, поред тога што су</w:t>
      </w:r>
      <w:r w:rsidRPr="00FB5A28">
        <w:rPr>
          <w:rFonts w:ascii="Times New Roman" w:hAnsi="Times New Roman"/>
          <w:sz w:val="24"/>
          <w:szCs w:val="24"/>
          <w:shd w:val="clear" w:color="auto" w:fill="FFFFFF"/>
          <w:lang w:val="sr-Cyrl-CS"/>
        </w:rPr>
        <w:t xml:space="preserve"> подвргнут</w:t>
      </w:r>
      <w:r w:rsidR="003844EB" w:rsidRPr="00FB5A28">
        <w:rPr>
          <w:rFonts w:ascii="Times New Roman" w:hAnsi="Times New Roman"/>
          <w:sz w:val="24"/>
          <w:szCs w:val="24"/>
          <w:shd w:val="clear" w:color="auto" w:fill="FFFFFF"/>
          <w:lang w:val="sr-Cyrl-CS"/>
        </w:rPr>
        <w:t>и</w:t>
      </w:r>
      <w:r w:rsidRPr="00FB5A28">
        <w:rPr>
          <w:rFonts w:ascii="Times New Roman" w:hAnsi="Times New Roman"/>
          <w:sz w:val="24"/>
          <w:szCs w:val="24"/>
          <w:shd w:val="clear" w:color="auto" w:fill="FFFFFF"/>
          <w:lang w:val="sr-Cyrl-CS"/>
        </w:rPr>
        <w:t xml:space="preserve"> цедуларним порезима, који су нав</w:t>
      </w:r>
      <w:r w:rsidR="00E77954" w:rsidRPr="00FB5A28">
        <w:rPr>
          <w:rFonts w:ascii="Times New Roman" w:hAnsi="Times New Roman"/>
          <w:sz w:val="24"/>
          <w:szCs w:val="24"/>
          <w:shd w:val="clear" w:color="auto" w:fill="FFFFFF"/>
          <w:lang w:val="sr-Cyrl-CS"/>
        </w:rPr>
        <w:t>е</w:t>
      </w:r>
      <w:r w:rsidRPr="00FB5A28">
        <w:rPr>
          <w:rFonts w:ascii="Times New Roman" w:hAnsi="Times New Roman"/>
          <w:sz w:val="24"/>
          <w:szCs w:val="24"/>
          <w:shd w:val="clear" w:color="auto" w:fill="FFFFFF"/>
          <w:lang w:val="sr-Cyrl-CS"/>
        </w:rPr>
        <w:t>дени.</w:t>
      </w:r>
      <w:r w:rsidR="003844EB" w:rsidRPr="00FB5A28">
        <w:rPr>
          <w:rFonts w:ascii="Times New Roman" w:hAnsi="Times New Roman"/>
          <w:sz w:val="24"/>
          <w:szCs w:val="24"/>
          <w:shd w:val="clear" w:color="auto" w:fill="FFFFFF"/>
          <w:lang w:val="sr-Cyrl-CS"/>
        </w:rPr>
        <w:t xml:space="preserve"> </w:t>
      </w:r>
      <w:r w:rsidR="00690453" w:rsidRPr="00FB5A28">
        <w:rPr>
          <w:rFonts w:ascii="Times New Roman" w:hAnsi="Times New Roman"/>
          <w:sz w:val="24"/>
          <w:szCs w:val="24"/>
        </w:rPr>
        <w:t>Годишњи</w:t>
      </w:r>
      <w:r w:rsidR="003844EB" w:rsidRPr="00FB5A28">
        <w:rPr>
          <w:rFonts w:ascii="Times New Roman" w:hAnsi="Times New Roman"/>
          <w:sz w:val="24"/>
          <w:szCs w:val="24"/>
        </w:rPr>
        <w:t xml:space="preserve"> </w:t>
      </w:r>
      <w:r w:rsidR="00690453" w:rsidRPr="00FB5A28">
        <w:rPr>
          <w:rFonts w:ascii="Times New Roman" w:hAnsi="Times New Roman"/>
          <w:sz w:val="24"/>
          <w:szCs w:val="24"/>
        </w:rPr>
        <w:t>порез</w:t>
      </w:r>
      <w:r w:rsidR="003844EB" w:rsidRPr="00FB5A28">
        <w:rPr>
          <w:rFonts w:ascii="Times New Roman" w:hAnsi="Times New Roman"/>
          <w:sz w:val="24"/>
          <w:szCs w:val="24"/>
        </w:rPr>
        <w:t xml:space="preserve"> </w:t>
      </w:r>
      <w:r w:rsidR="00690453" w:rsidRPr="00FB5A28">
        <w:rPr>
          <w:rFonts w:ascii="Times New Roman" w:hAnsi="Times New Roman"/>
          <w:sz w:val="24"/>
          <w:szCs w:val="24"/>
        </w:rPr>
        <w:t>на</w:t>
      </w:r>
      <w:r w:rsidR="003844EB" w:rsidRPr="00FB5A28">
        <w:rPr>
          <w:rFonts w:ascii="Times New Roman" w:hAnsi="Times New Roman"/>
          <w:sz w:val="24"/>
          <w:szCs w:val="24"/>
        </w:rPr>
        <w:t xml:space="preserve"> </w:t>
      </w:r>
      <w:r w:rsidR="00690453" w:rsidRPr="00FB5A28">
        <w:rPr>
          <w:rFonts w:ascii="Times New Roman" w:hAnsi="Times New Roman"/>
          <w:sz w:val="24"/>
          <w:szCs w:val="24"/>
        </w:rPr>
        <w:t>доходак</w:t>
      </w:r>
      <w:r w:rsidR="003844EB" w:rsidRPr="00FB5A28">
        <w:rPr>
          <w:rFonts w:ascii="Times New Roman" w:hAnsi="Times New Roman"/>
          <w:sz w:val="24"/>
          <w:szCs w:val="24"/>
        </w:rPr>
        <w:t xml:space="preserve"> </w:t>
      </w:r>
      <w:r w:rsidR="00690453" w:rsidRPr="00FB5A28">
        <w:rPr>
          <w:rFonts w:ascii="Times New Roman" w:hAnsi="Times New Roman"/>
          <w:sz w:val="24"/>
          <w:szCs w:val="24"/>
        </w:rPr>
        <w:t>грађана</w:t>
      </w:r>
      <w:r w:rsidR="003844EB" w:rsidRPr="00FB5A28">
        <w:rPr>
          <w:rFonts w:ascii="Times New Roman" w:hAnsi="Times New Roman"/>
          <w:sz w:val="24"/>
          <w:szCs w:val="24"/>
        </w:rPr>
        <w:t xml:space="preserve"> </w:t>
      </w:r>
      <w:r w:rsidR="00690453" w:rsidRPr="00FB5A28">
        <w:rPr>
          <w:rFonts w:ascii="Times New Roman" w:hAnsi="Times New Roman"/>
          <w:sz w:val="24"/>
          <w:szCs w:val="24"/>
        </w:rPr>
        <w:t>плаћају</w:t>
      </w:r>
      <w:r w:rsidR="003844EB" w:rsidRPr="00FB5A28">
        <w:rPr>
          <w:rFonts w:ascii="Times New Roman" w:hAnsi="Times New Roman"/>
          <w:sz w:val="24"/>
          <w:szCs w:val="24"/>
        </w:rPr>
        <w:t xml:space="preserve"> </w:t>
      </w:r>
      <w:r w:rsidR="00690453" w:rsidRPr="00FB5A28">
        <w:rPr>
          <w:rFonts w:ascii="Times New Roman" w:hAnsi="Times New Roman"/>
          <w:sz w:val="24"/>
          <w:szCs w:val="24"/>
        </w:rPr>
        <w:t>физичка</w:t>
      </w:r>
      <w:r w:rsidR="003844EB" w:rsidRPr="00FB5A28">
        <w:rPr>
          <w:rFonts w:ascii="Times New Roman" w:hAnsi="Times New Roman"/>
          <w:sz w:val="24"/>
          <w:szCs w:val="24"/>
        </w:rPr>
        <w:t xml:space="preserve"> </w:t>
      </w:r>
      <w:r w:rsidR="00690453" w:rsidRPr="00FB5A28">
        <w:rPr>
          <w:rFonts w:ascii="Times New Roman" w:hAnsi="Times New Roman"/>
          <w:sz w:val="24"/>
          <w:szCs w:val="24"/>
        </w:rPr>
        <w:t>лица</w:t>
      </w:r>
      <w:r w:rsidR="003844EB" w:rsidRPr="00FB5A28">
        <w:rPr>
          <w:rFonts w:ascii="Times New Roman" w:hAnsi="Times New Roman"/>
          <w:sz w:val="24"/>
          <w:szCs w:val="24"/>
        </w:rPr>
        <w:t xml:space="preserve"> </w:t>
      </w:r>
      <w:r w:rsidR="00690453" w:rsidRPr="00FB5A28">
        <w:rPr>
          <w:rFonts w:ascii="Times New Roman" w:hAnsi="Times New Roman"/>
          <w:sz w:val="24"/>
          <w:szCs w:val="24"/>
        </w:rPr>
        <w:t>која</w:t>
      </w:r>
      <w:r w:rsidR="003844EB" w:rsidRPr="00FB5A28">
        <w:rPr>
          <w:rFonts w:ascii="Times New Roman" w:hAnsi="Times New Roman"/>
          <w:sz w:val="24"/>
          <w:szCs w:val="24"/>
        </w:rPr>
        <w:t xml:space="preserve"> </w:t>
      </w:r>
      <w:r w:rsidR="00690453" w:rsidRPr="00FB5A28">
        <w:rPr>
          <w:rFonts w:ascii="Times New Roman" w:hAnsi="Times New Roman"/>
          <w:sz w:val="24"/>
          <w:szCs w:val="24"/>
        </w:rPr>
        <w:t>су</w:t>
      </w:r>
      <w:r w:rsidR="003844EB" w:rsidRPr="00FB5A28">
        <w:rPr>
          <w:rFonts w:ascii="Times New Roman" w:hAnsi="Times New Roman"/>
          <w:sz w:val="24"/>
          <w:szCs w:val="24"/>
        </w:rPr>
        <w:t xml:space="preserve"> </w:t>
      </w:r>
      <w:r w:rsidR="00690453" w:rsidRPr="00FB5A28">
        <w:rPr>
          <w:rFonts w:ascii="Times New Roman" w:hAnsi="Times New Roman"/>
          <w:sz w:val="24"/>
          <w:szCs w:val="24"/>
        </w:rPr>
        <w:t>у</w:t>
      </w:r>
      <w:r w:rsidR="003844EB" w:rsidRPr="00FB5A28">
        <w:rPr>
          <w:rFonts w:ascii="Times New Roman" w:hAnsi="Times New Roman"/>
          <w:sz w:val="24"/>
          <w:szCs w:val="24"/>
        </w:rPr>
        <w:t xml:space="preserve"> </w:t>
      </w:r>
      <w:r w:rsidR="00690453" w:rsidRPr="00FB5A28">
        <w:rPr>
          <w:rFonts w:ascii="Times New Roman" w:hAnsi="Times New Roman"/>
          <w:sz w:val="24"/>
          <w:szCs w:val="24"/>
        </w:rPr>
        <w:t>календарској</w:t>
      </w:r>
      <w:r w:rsidR="003844EB" w:rsidRPr="00FB5A28">
        <w:rPr>
          <w:rFonts w:ascii="Times New Roman" w:hAnsi="Times New Roman"/>
          <w:sz w:val="24"/>
          <w:szCs w:val="24"/>
        </w:rPr>
        <w:t xml:space="preserve"> </w:t>
      </w:r>
      <w:r w:rsidR="00690453" w:rsidRPr="00FB5A28">
        <w:rPr>
          <w:rFonts w:ascii="Times New Roman" w:hAnsi="Times New Roman"/>
          <w:sz w:val="24"/>
          <w:szCs w:val="24"/>
        </w:rPr>
        <w:t>години</w:t>
      </w:r>
      <w:r w:rsidR="003844EB" w:rsidRPr="00FB5A28">
        <w:rPr>
          <w:rFonts w:ascii="Times New Roman" w:hAnsi="Times New Roman"/>
          <w:sz w:val="24"/>
          <w:szCs w:val="24"/>
        </w:rPr>
        <w:t xml:space="preserve"> </w:t>
      </w:r>
      <w:r w:rsidR="00690453" w:rsidRPr="00FB5A28">
        <w:rPr>
          <w:rFonts w:ascii="Times New Roman" w:hAnsi="Times New Roman"/>
          <w:sz w:val="24"/>
          <w:szCs w:val="24"/>
        </w:rPr>
        <w:t>остварила</w:t>
      </w:r>
      <w:r w:rsidR="003844EB" w:rsidRPr="00FB5A28">
        <w:rPr>
          <w:rFonts w:ascii="Times New Roman" w:hAnsi="Times New Roman"/>
          <w:sz w:val="24"/>
          <w:szCs w:val="24"/>
        </w:rPr>
        <w:t xml:space="preserve"> </w:t>
      </w:r>
      <w:r w:rsidR="00690453" w:rsidRPr="00FB5A28">
        <w:rPr>
          <w:rFonts w:ascii="Times New Roman" w:hAnsi="Times New Roman"/>
          <w:sz w:val="24"/>
          <w:szCs w:val="24"/>
        </w:rPr>
        <w:t>доходак</w:t>
      </w:r>
      <w:r w:rsidR="003844EB" w:rsidRPr="00FB5A28">
        <w:rPr>
          <w:rFonts w:ascii="Times New Roman" w:hAnsi="Times New Roman"/>
          <w:sz w:val="24"/>
          <w:szCs w:val="24"/>
        </w:rPr>
        <w:t xml:space="preserve"> </w:t>
      </w:r>
      <w:r w:rsidR="00690453" w:rsidRPr="00FB5A28">
        <w:rPr>
          <w:rFonts w:ascii="Times New Roman" w:hAnsi="Times New Roman"/>
          <w:sz w:val="24"/>
          <w:szCs w:val="24"/>
        </w:rPr>
        <w:t>већи</w:t>
      </w:r>
      <w:r w:rsidR="003844EB" w:rsidRPr="00FB5A28">
        <w:rPr>
          <w:rFonts w:ascii="Times New Roman" w:hAnsi="Times New Roman"/>
          <w:sz w:val="24"/>
          <w:szCs w:val="24"/>
        </w:rPr>
        <w:t xml:space="preserve"> </w:t>
      </w:r>
      <w:r w:rsidR="00690453" w:rsidRPr="00FB5A28">
        <w:rPr>
          <w:rFonts w:ascii="Times New Roman" w:hAnsi="Times New Roman"/>
          <w:sz w:val="24"/>
          <w:szCs w:val="24"/>
        </w:rPr>
        <w:t>од</w:t>
      </w:r>
      <w:r w:rsidR="003844EB" w:rsidRPr="00FB5A28">
        <w:rPr>
          <w:rFonts w:ascii="Times New Roman" w:hAnsi="Times New Roman"/>
          <w:sz w:val="24"/>
          <w:szCs w:val="24"/>
        </w:rPr>
        <w:t xml:space="preserve"> </w:t>
      </w:r>
      <w:r w:rsidR="00690453" w:rsidRPr="00FB5A28">
        <w:rPr>
          <w:rFonts w:ascii="Times New Roman" w:hAnsi="Times New Roman"/>
          <w:sz w:val="24"/>
          <w:szCs w:val="24"/>
        </w:rPr>
        <w:t>троструког</w:t>
      </w:r>
      <w:r w:rsidR="003844EB" w:rsidRPr="00FB5A28">
        <w:rPr>
          <w:rFonts w:ascii="Times New Roman" w:hAnsi="Times New Roman"/>
          <w:sz w:val="24"/>
          <w:szCs w:val="24"/>
        </w:rPr>
        <w:t xml:space="preserve"> </w:t>
      </w:r>
      <w:r w:rsidR="00690453" w:rsidRPr="00FB5A28">
        <w:rPr>
          <w:rFonts w:ascii="Times New Roman" w:hAnsi="Times New Roman"/>
          <w:sz w:val="24"/>
          <w:szCs w:val="24"/>
        </w:rPr>
        <w:t>износа</w:t>
      </w:r>
      <w:r w:rsidR="003844EB" w:rsidRPr="00FB5A28">
        <w:rPr>
          <w:rFonts w:ascii="Times New Roman" w:hAnsi="Times New Roman"/>
          <w:sz w:val="24"/>
          <w:szCs w:val="24"/>
        </w:rPr>
        <w:t xml:space="preserve"> </w:t>
      </w:r>
      <w:r w:rsidR="00690453" w:rsidRPr="00FB5A28">
        <w:rPr>
          <w:rFonts w:ascii="Times New Roman" w:hAnsi="Times New Roman"/>
          <w:sz w:val="24"/>
          <w:szCs w:val="24"/>
        </w:rPr>
        <w:t>просечне</w:t>
      </w:r>
      <w:r w:rsidR="003844EB" w:rsidRPr="00FB5A28">
        <w:rPr>
          <w:rFonts w:ascii="Times New Roman" w:hAnsi="Times New Roman"/>
          <w:sz w:val="24"/>
          <w:szCs w:val="24"/>
        </w:rPr>
        <w:t xml:space="preserve"> </w:t>
      </w:r>
      <w:r w:rsidR="00690453" w:rsidRPr="00FB5A28">
        <w:rPr>
          <w:rFonts w:ascii="Times New Roman" w:hAnsi="Times New Roman"/>
          <w:sz w:val="24"/>
          <w:szCs w:val="24"/>
        </w:rPr>
        <w:t>годишње</w:t>
      </w:r>
      <w:r w:rsidR="003844EB" w:rsidRPr="00FB5A28">
        <w:rPr>
          <w:rFonts w:ascii="Times New Roman" w:hAnsi="Times New Roman"/>
          <w:sz w:val="24"/>
          <w:szCs w:val="24"/>
        </w:rPr>
        <w:t xml:space="preserve"> </w:t>
      </w:r>
      <w:r w:rsidR="00690453" w:rsidRPr="00FB5A28">
        <w:rPr>
          <w:rFonts w:ascii="Times New Roman" w:hAnsi="Times New Roman"/>
          <w:sz w:val="24"/>
          <w:szCs w:val="24"/>
        </w:rPr>
        <w:t>зараде</w:t>
      </w:r>
      <w:r w:rsidR="003844EB" w:rsidRPr="00FB5A28">
        <w:rPr>
          <w:rFonts w:ascii="Times New Roman" w:hAnsi="Times New Roman"/>
          <w:sz w:val="24"/>
          <w:szCs w:val="24"/>
        </w:rPr>
        <w:t xml:space="preserve"> </w:t>
      </w:r>
      <w:r w:rsidR="00690453" w:rsidRPr="00FB5A28">
        <w:rPr>
          <w:rFonts w:ascii="Times New Roman" w:hAnsi="Times New Roman"/>
          <w:sz w:val="24"/>
          <w:szCs w:val="24"/>
        </w:rPr>
        <w:t>по</w:t>
      </w:r>
      <w:r w:rsidR="003844EB" w:rsidRPr="00FB5A28">
        <w:rPr>
          <w:rFonts w:ascii="Times New Roman" w:hAnsi="Times New Roman"/>
          <w:sz w:val="24"/>
          <w:szCs w:val="24"/>
        </w:rPr>
        <w:t xml:space="preserve"> </w:t>
      </w:r>
      <w:r w:rsidR="00690453" w:rsidRPr="00FB5A28">
        <w:rPr>
          <w:rFonts w:ascii="Times New Roman" w:hAnsi="Times New Roman"/>
          <w:sz w:val="24"/>
          <w:szCs w:val="24"/>
        </w:rPr>
        <w:t>запосленом</w:t>
      </w:r>
      <w:r w:rsidR="003844EB" w:rsidRPr="00FB5A28">
        <w:rPr>
          <w:rFonts w:ascii="Times New Roman" w:hAnsi="Times New Roman"/>
          <w:sz w:val="24"/>
          <w:szCs w:val="24"/>
        </w:rPr>
        <w:t xml:space="preserve"> </w:t>
      </w:r>
      <w:r w:rsidR="00690453" w:rsidRPr="00FB5A28">
        <w:rPr>
          <w:rFonts w:ascii="Times New Roman" w:hAnsi="Times New Roman"/>
          <w:sz w:val="24"/>
          <w:szCs w:val="24"/>
        </w:rPr>
        <w:t>исплаћене</w:t>
      </w:r>
      <w:r w:rsidR="003844EB" w:rsidRPr="00FB5A28">
        <w:rPr>
          <w:rFonts w:ascii="Times New Roman" w:hAnsi="Times New Roman"/>
          <w:sz w:val="24"/>
          <w:szCs w:val="24"/>
        </w:rPr>
        <w:t xml:space="preserve"> </w:t>
      </w:r>
      <w:r w:rsidR="00690453" w:rsidRPr="00FB5A28">
        <w:rPr>
          <w:rFonts w:ascii="Times New Roman" w:hAnsi="Times New Roman"/>
          <w:sz w:val="24"/>
          <w:szCs w:val="24"/>
        </w:rPr>
        <w:t>у</w:t>
      </w:r>
      <w:r w:rsidR="003844EB" w:rsidRPr="00FB5A28">
        <w:rPr>
          <w:rFonts w:ascii="Times New Roman" w:hAnsi="Times New Roman"/>
          <w:sz w:val="24"/>
          <w:szCs w:val="24"/>
          <w:lang w:val="sr-Cyrl-CS"/>
        </w:rPr>
        <w:t xml:space="preserve"> Србији </w:t>
      </w:r>
      <w:r w:rsidR="003844EB" w:rsidRPr="00FB5A28">
        <w:rPr>
          <w:rFonts w:ascii="Times New Roman" w:hAnsi="Times New Roman"/>
          <w:sz w:val="24"/>
          <w:szCs w:val="24"/>
        </w:rPr>
        <w:t xml:space="preserve"> </w:t>
      </w:r>
      <w:r w:rsidR="00690453" w:rsidRPr="00FB5A28">
        <w:rPr>
          <w:rFonts w:ascii="Times New Roman" w:hAnsi="Times New Roman"/>
          <w:sz w:val="24"/>
          <w:szCs w:val="24"/>
        </w:rPr>
        <w:t>у</w:t>
      </w:r>
      <w:r w:rsidR="003844EB" w:rsidRPr="00FB5A28">
        <w:rPr>
          <w:rFonts w:ascii="Times New Roman" w:hAnsi="Times New Roman"/>
          <w:sz w:val="24"/>
          <w:szCs w:val="24"/>
        </w:rPr>
        <w:t xml:space="preserve"> </w:t>
      </w:r>
      <w:r w:rsidR="00690453" w:rsidRPr="00FB5A28">
        <w:rPr>
          <w:rFonts w:ascii="Times New Roman" w:hAnsi="Times New Roman"/>
          <w:sz w:val="24"/>
          <w:szCs w:val="24"/>
        </w:rPr>
        <w:t>години</w:t>
      </w:r>
      <w:r w:rsidR="003844EB" w:rsidRPr="00FB5A28">
        <w:rPr>
          <w:rFonts w:ascii="Times New Roman" w:hAnsi="Times New Roman"/>
          <w:sz w:val="24"/>
          <w:szCs w:val="24"/>
        </w:rPr>
        <w:t xml:space="preserve"> </w:t>
      </w:r>
      <w:r w:rsidR="00690453" w:rsidRPr="00FB5A28">
        <w:rPr>
          <w:rFonts w:ascii="Times New Roman" w:hAnsi="Times New Roman"/>
          <w:sz w:val="24"/>
          <w:szCs w:val="24"/>
        </w:rPr>
        <w:t>за</w:t>
      </w:r>
      <w:r w:rsidR="003844EB" w:rsidRPr="00FB5A28">
        <w:rPr>
          <w:rFonts w:ascii="Times New Roman" w:hAnsi="Times New Roman"/>
          <w:sz w:val="24"/>
          <w:szCs w:val="24"/>
        </w:rPr>
        <w:t xml:space="preserve"> </w:t>
      </w:r>
      <w:r w:rsidR="00690453" w:rsidRPr="00FB5A28">
        <w:rPr>
          <w:rFonts w:ascii="Times New Roman" w:hAnsi="Times New Roman"/>
          <w:sz w:val="24"/>
          <w:szCs w:val="24"/>
        </w:rPr>
        <w:t>коју</w:t>
      </w:r>
      <w:r w:rsidR="003844EB" w:rsidRPr="00FB5A28">
        <w:rPr>
          <w:rFonts w:ascii="Times New Roman" w:hAnsi="Times New Roman"/>
          <w:sz w:val="24"/>
          <w:szCs w:val="24"/>
        </w:rPr>
        <w:t xml:space="preserve"> </w:t>
      </w:r>
      <w:r w:rsidR="00690453" w:rsidRPr="00FB5A28">
        <w:rPr>
          <w:rFonts w:ascii="Times New Roman" w:hAnsi="Times New Roman"/>
          <w:sz w:val="24"/>
          <w:szCs w:val="24"/>
        </w:rPr>
        <w:t>се</w:t>
      </w:r>
      <w:r w:rsidR="003844EB" w:rsidRPr="00FB5A28">
        <w:rPr>
          <w:rFonts w:ascii="Times New Roman" w:hAnsi="Times New Roman"/>
          <w:sz w:val="24"/>
          <w:szCs w:val="24"/>
        </w:rPr>
        <w:t xml:space="preserve"> </w:t>
      </w:r>
      <w:r w:rsidR="00690453" w:rsidRPr="00FB5A28">
        <w:rPr>
          <w:rFonts w:ascii="Times New Roman" w:hAnsi="Times New Roman"/>
          <w:sz w:val="24"/>
          <w:szCs w:val="24"/>
        </w:rPr>
        <w:t>утврђује</w:t>
      </w:r>
      <w:r w:rsidR="003844EB" w:rsidRPr="00FB5A28">
        <w:rPr>
          <w:rFonts w:ascii="Times New Roman" w:hAnsi="Times New Roman"/>
          <w:sz w:val="24"/>
          <w:szCs w:val="24"/>
        </w:rPr>
        <w:t xml:space="preserve"> </w:t>
      </w:r>
      <w:r w:rsidR="00690453" w:rsidRPr="00FB5A28">
        <w:rPr>
          <w:rFonts w:ascii="Times New Roman" w:hAnsi="Times New Roman"/>
          <w:sz w:val="24"/>
          <w:szCs w:val="24"/>
        </w:rPr>
        <w:t>порез</w:t>
      </w:r>
      <w:r w:rsidR="003844EB" w:rsidRPr="00FB5A28">
        <w:rPr>
          <w:rFonts w:ascii="Times New Roman" w:hAnsi="Times New Roman"/>
          <w:sz w:val="24"/>
          <w:szCs w:val="24"/>
        </w:rPr>
        <w:t xml:space="preserve">, </w:t>
      </w:r>
      <w:r w:rsidR="00690453" w:rsidRPr="00FB5A28">
        <w:rPr>
          <w:rFonts w:ascii="Times New Roman" w:hAnsi="Times New Roman"/>
          <w:sz w:val="24"/>
          <w:szCs w:val="24"/>
        </w:rPr>
        <w:t>према</w:t>
      </w:r>
      <w:r w:rsidR="003844EB" w:rsidRPr="00FB5A28">
        <w:rPr>
          <w:rFonts w:ascii="Times New Roman" w:hAnsi="Times New Roman"/>
          <w:sz w:val="24"/>
          <w:szCs w:val="24"/>
        </w:rPr>
        <w:t xml:space="preserve"> </w:t>
      </w:r>
      <w:r w:rsidR="00690453" w:rsidRPr="00FB5A28">
        <w:rPr>
          <w:rFonts w:ascii="Times New Roman" w:hAnsi="Times New Roman"/>
          <w:sz w:val="24"/>
          <w:szCs w:val="24"/>
        </w:rPr>
        <w:t>подацима</w:t>
      </w:r>
      <w:r w:rsidR="003844EB" w:rsidRPr="00FB5A28">
        <w:rPr>
          <w:rFonts w:ascii="Times New Roman" w:hAnsi="Times New Roman"/>
          <w:sz w:val="24"/>
          <w:szCs w:val="24"/>
        </w:rPr>
        <w:t xml:space="preserve"> </w:t>
      </w:r>
      <w:r w:rsidR="00690453" w:rsidRPr="00FB5A28">
        <w:rPr>
          <w:rFonts w:ascii="Times New Roman" w:hAnsi="Times New Roman"/>
          <w:sz w:val="24"/>
          <w:szCs w:val="24"/>
        </w:rPr>
        <w:t>републичког</w:t>
      </w:r>
      <w:r w:rsidR="003844EB" w:rsidRPr="00FB5A28">
        <w:rPr>
          <w:rFonts w:ascii="Times New Roman" w:hAnsi="Times New Roman"/>
          <w:sz w:val="24"/>
          <w:szCs w:val="24"/>
        </w:rPr>
        <w:t xml:space="preserve"> </w:t>
      </w:r>
      <w:r w:rsidR="00690453" w:rsidRPr="00FB5A28">
        <w:rPr>
          <w:rFonts w:ascii="Times New Roman" w:hAnsi="Times New Roman"/>
          <w:sz w:val="24"/>
          <w:szCs w:val="24"/>
        </w:rPr>
        <w:t>органа</w:t>
      </w:r>
      <w:r w:rsidR="003844EB" w:rsidRPr="00FB5A28">
        <w:rPr>
          <w:rFonts w:ascii="Times New Roman" w:hAnsi="Times New Roman"/>
          <w:sz w:val="24"/>
          <w:szCs w:val="24"/>
        </w:rPr>
        <w:t xml:space="preserve"> </w:t>
      </w:r>
      <w:r w:rsidR="00690453" w:rsidRPr="00FB5A28">
        <w:rPr>
          <w:rFonts w:ascii="Times New Roman" w:hAnsi="Times New Roman"/>
          <w:sz w:val="24"/>
          <w:szCs w:val="24"/>
        </w:rPr>
        <w:t>надлежног</w:t>
      </w:r>
      <w:r w:rsidR="003844EB" w:rsidRPr="00FB5A28">
        <w:rPr>
          <w:rFonts w:ascii="Times New Roman" w:hAnsi="Times New Roman"/>
          <w:sz w:val="24"/>
          <w:szCs w:val="24"/>
        </w:rPr>
        <w:t xml:space="preserve"> </w:t>
      </w:r>
      <w:r w:rsidR="00690453" w:rsidRPr="00FB5A28">
        <w:rPr>
          <w:rFonts w:ascii="Times New Roman" w:hAnsi="Times New Roman"/>
          <w:sz w:val="24"/>
          <w:szCs w:val="24"/>
        </w:rPr>
        <w:t>за</w:t>
      </w:r>
      <w:r w:rsidR="003844EB" w:rsidRPr="00FB5A28">
        <w:rPr>
          <w:rFonts w:ascii="Times New Roman" w:hAnsi="Times New Roman"/>
          <w:sz w:val="24"/>
          <w:szCs w:val="24"/>
        </w:rPr>
        <w:t xml:space="preserve"> </w:t>
      </w:r>
      <w:r w:rsidR="00690453" w:rsidRPr="00FB5A28">
        <w:rPr>
          <w:rFonts w:ascii="Times New Roman" w:hAnsi="Times New Roman"/>
          <w:sz w:val="24"/>
          <w:szCs w:val="24"/>
        </w:rPr>
        <w:t>послове</w:t>
      </w:r>
      <w:r w:rsidR="003844EB" w:rsidRPr="00FB5A28">
        <w:rPr>
          <w:rFonts w:ascii="Times New Roman" w:hAnsi="Times New Roman"/>
          <w:sz w:val="24"/>
          <w:szCs w:val="24"/>
        </w:rPr>
        <w:t xml:space="preserve"> </w:t>
      </w:r>
      <w:r w:rsidR="00690453" w:rsidRPr="00FB5A28">
        <w:rPr>
          <w:rFonts w:ascii="Times New Roman" w:hAnsi="Times New Roman"/>
          <w:sz w:val="24"/>
          <w:szCs w:val="24"/>
        </w:rPr>
        <w:t>статистике</w:t>
      </w:r>
      <w:r w:rsidR="003844EB" w:rsidRPr="00FB5A28">
        <w:rPr>
          <w:rFonts w:ascii="Times New Roman" w:hAnsi="Times New Roman"/>
          <w:sz w:val="24"/>
          <w:szCs w:val="24"/>
        </w:rPr>
        <w:t xml:space="preserve">, </w:t>
      </w:r>
      <w:r w:rsidR="00690453" w:rsidRPr="00FB5A28">
        <w:rPr>
          <w:rFonts w:ascii="Times New Roman" w:hAnsi="Times New Roman"/>
          <w:sz w:val="24"/>
          <w:szCs w:val="24"/>
        </w:rPr>
        <w:t>и</w:t>
      </w:r>
      <w:r w:rsidR="003844EB" w:rsidRPr="00FB5A28">
        <w:rPr>
          <w:rFonts w:ascii="Times New Roman" w:hAnsi="Times New Roman"/>
          <w:sz w:val="24"/>
          <w:szCs w:val="24"/>
        </w:rPr>
        <w:t xml:space="preserve"> </w:t>
      </w:r>
      <w:r w:rsidR="00690453" w:rsidRPr="00FB5A28">
        <w:rPr>
          <w:rFonts w:ascii="Times New Roman" w:hAnsi="Times New Roman"/>
          <w:sz w:val="24"/>
          <w:szCs w:val="24"/>
        </w:rPr>
        <w:t>то</w:t>
      </w:r>
      <w:r w:rsidR="003844EB" w:rsidRPr="00FB5A28">
        <w:rPr>
          <w:rFonts w:ascii="Times New Roman" w:hAnsi="Times New Roman"/>
          <w:sz w:val="24"/>
          <w:szCs w:val="24"/>
        </w:rPr>
        <w:t>:</w:t>
      </w:r>
    </w:p>
    <w:p w:rsidR="003844EB" w:rsidRPr="00FB5A28" w:rsidRDefault="003844EB" w:rsidP="00FB5A28">
      <w:pPr>
        <w:jc w:val="both"/>
        <w:rPr>
          <w:rFonts w:ascii="Times New Roman" w:hAnsi="Times New Roman"/>
          <w:sz w:val="24"/>
          <w:szCs w:val="24"/>
        </w:rPr>
      </w:pPr>
      <w:r w:rsidRPr="00FB5A28">
        <w:rPr>
          <w:rFonts w:ascii="Times New Roman" w:hAnsi="Times New Roman"/>
          <w:sz w:val="24"/>
          <w:szCs w:val="24"/>
        </w:rPr>
        <w:t xml:space="preserve">1) </w:t>
      </w:r>
      <w:r w:rsidR="00690453" w:rsidRPr="00FB5A28">
        <w:rPr>
          <w:rFonts w:ascii="Times New Roman" w:hAnsi="Times New Roman"/>
          <w:sz w:val="24"/>
          <w:szCs w:val="24"/>
        </w:rPr>
        <w:t>резиденти</w:t>
      </w:r>
      <w:r w:rsidRPr="00FB5A28">
        <w:rPr>
          <w:rFonts w:ascii="Times New Roman" w:hAnsi="Times New Roman"/>
          <w:sz w:val="24"/>
          <w:szCs w:val="24"/>
        </w:rPr>
        <w:t xml:space="preserve"> </w:t>
      </w:r>
      <w:r w:rsidR="00690453" w:rsidRPr="00FB5A28">
        <w:rPr>
          <w:rFonts w:ascii="Times New Roman" w:hAnsi="Times New Roman"/>
          <w:sz w:val="24"/>
          <w:szCs w:val="24"/>
        </w:rPr>
        <w:t>за</w:t>
      </w:r>
      <w:r w:rsidRPr="00FB5A28">
        <w:rPr>
          <w:rFonts w:ascii="Times New Roman" w:hAnsi="Times New Roman"/>
          <w:sz w:val="24"/>
          <w:szCs w:val="24"/>
        </w:rPr>
        <w:t xml:space="preserve"> </w:t>
      </w:r>
      <w:r w:rsidR="00690453" w:rsidRPr="00FB5A28">
        <w:rPr>
          <w:rFonts w:ascii="Times New Roman" w:hAnsi="Times New Roman"/>
          <w:sz w:val="24"/>
          <w:szCs w:val="24"/>
        </w:rPr>
        <w:t>доходак</w:t>
      </w:r>
      <w:r w:rsidRPr="00FB5A28">
        <w:rPr>
          <w:rFonts w:ascii="Times New Roman" w:hAnsi="Times New Roman"/>
          <w:sz w:val="24"/>
          <w:szCs w:val="24"/>
        </w:rPr>
        <w:t xml:space="preserve"> </w:t>
      </w:r>
      <w:r w:rsidR="00690453" w:rsidRPr="00FB5A28">
        <w:rPr>
          <w:rFonts w:ascii="Times New Roman" w:hAnsi="Times New Roman"/>
          <w:sz w:val="24"/>
          <w:szCs w:val="24"/>
        </w:rPr>
        <w:t>остварен</w:t>
      </w:r>
      <w:r w:rsidRPr="00FB5A28">
        <w:rPr>
          <w:rFonts w:ascii="Times New Roman" w:hAnsi="Times New Roman"/>
          <w:sz w:val="24"/>
          <w:szCs w:val="24"/>
        </w:rPr>
        <w:t xml:space="preserve"> </w:t>
      </w:r>
      <w:r w:rsidR="00690453" w:rsidRPr="00FB5A28">
        <w:rPr>
          <w:rFonts w:ascii="Times New Roman" w:hAnsi="Times New Roman"/>
          <w:sz w:val="24"/>
          <w:szCs w:val="24"/>
        </w:rPr>
        <w:t>на</w:t>
      </w:r>
      <w:r w:rsidRPr="00FB5A28">
        <w:rPr>
          <w:rFonts w:ascii="Times New Roman" w:hAnsi="Times New Roman"/>
          <w:sz w:val="24"/>
          <w:szCs w:val="24"/>
        </w:rPr>
        <w:t xml:space="preserve"> </w:t>
      </w:r>
      <w:r w:rsidR="00690453" w:rsidRPr="00FB5A28">
        <w:rPr>
          <w:rFonts w:ascii="Times New Roman" w:hAnsi="Times New Roman"/>
          <w:sz w:val="24"/>
          <w:szCs w:val="24"/>
        </w:rPr>
        <w:t>територији</w:t>
      </w:r>
      <w:r w:rsidRPr="00FB5A28">
        <w:rPr>
          <w:rFonts w:ascii="Times New Roman" w:hAnsi="Times New Roman"/>
          <w:sz w:val="24"/>
          <w:szCs w:val="24"/>
        </w:rPr>
        <w:t xml:space="preserve"> </w:t>
      </w:r>
      <w:r w:rsidR="00690453" w:rsidRPr="00FB5A28">
        <w:rPr>
          <w:rFonts w:ascii="Times New Roman" w:hAnsi="Times New Roman"/>
          <w:sz w:val="24"/>
          <w:szCs w:val="24"/>
        </w:rPr>
        <w:t>Републике</w:t>
      </w:r>
      <w:r w:rsidRPr="00FB5A28">
        <w:rPr>
          <w:rFonts w:ascii="Times New Roman" w:hAnsi="Times New Roman"/>
          <w:sz w:val="24"/>
          <w:szCs w:val="24"/>
        </w:rPr>
        <w:t xml:space="preserve"> </w:t>
      </w:r>
      <w:r w:rsidR="00690453" w:rsidRPr="00FB5A28">
        <w:rPr>
          <w:rFonts w:ascii="Times New Roman" w:hAnsi="Times New Roman"/>
          <w:sz w:val="24"/>
          <w:szCs w:val="24"/>
        </w:rPr>
        <w:t>и</w:t>
      </w:r>
      <w:r w:rsidRPr="00FB5A28">
        <w:rPr>
          <w:rFonts w:ascii="Times New Roman" w:hAnsi="Times New Roman"/>
          <w:sz w:val="24"/>
          <w:szCs w:val="24"/>
        </w:rPr>
        <w:t xml:space="preserve"> </w:t>
      </w:r>
      <w:r w:rsidR="00690453" w:rsidRPr="00FB5A28">
        <w:rPr>
          <w:rFonts w:ascii="Times New Roman" w:hAnsi="Times New Roman"/>
          <w:sz w:val="24"/>
          <w:szCs w:val="24"/>
        </w:rPr>
        <w:t>у</w:t>
      </w:r>
      <w:r w:rsidRPr="00FB5A28">
        <w:rPr>
          <w:rFonts w:ascii="Times New Roman" w:hAnsi="Times New Roman"/>
          <w:sz w:val="24"/>
          <w:szCs w:val="24"/>
        </w:rPr>
        <w:t xml:space="preserve"> </w:t>
      </w:r>
      <w:r w:rsidR="00690453" w:rsidRPr="00FB5A28">
        <w:rPr>
          <w:rFonts w:ascii="Times New Roman" w:hAnsi="Times New Roman"/>
          <w:sz w:val="24"/>
          <w:szCs w:val="24"/>
        </w:rPr>
        <w:t>другој</w:t>
      </w:r>
      <w:r w:rsidRPr="00FB5A28">
        <w:rPr>
          <w:rFonts w:ascii="Times New Roman" w:hAnsi="Times New Roman"/>
          <w:sz w:val="24"/>
          <w:szCs w:val="24"/>
        </w:rPr>
        <w:t xml:space="preserve"> </w:t>
      </w:r>
      <w:r w:rsidR="00690453" w:rsidRPr="00FB5A28">
        <w:rPr>
          <w:rFonts w:ascii="Times New Roman" w:hAnsi="Times New Roman"/>
          <w:sz w:val="24"/>
          <w:szCs w:val="24"/>
        </w:rPr>
        <w:t>држави</w:t>
      </w:r>
      <w:r w:rsidRPr="00FB5A28">
        <w:rPr>
          <w:rFonts w:ascii="Times New Roman" w:hAnsi="Times New Roman"/>
          <w:sz w:val="24"/>
          <w:szCs w:val="24"/>
        </w:rPr>
        <w:t>;</w:t>
      </w:r>
    </w:p>
    <w:p w:rsidR="003844EB" w:rsidRPr="00FB5A28" w:rsidRDefault="003844EB" w:rsidP="00FB5A28">
      <w:pPr>
        <w:jc w:val="both"/>
        <w:rPr>
          <w:rFonts w:ascii="Times New Roman" w:hAnsi="Times New Roman"/>
          <w:sz w:val="24"/>
          <w:szCs w:val="24"/>
        </w:rPr>
      </w:pPr>
      <w:r w:rsidRPr="00FB5A28">
        <w:rPr>
          <w:rFonts w:ascii="Times New Roman" w:hAnsi="Times New Roman"/>
          <w:sz w:val="24"/>
          <w:szCs w:val="24"/>
        </w:rPr>
        <w:t xml:space="preserve">2) </w:t>
      </w:r>
      <w:r w:rsidR="00690453" w:rsidRPr="00FB5A28">
        <w:rPr>
          <w:rFonts w:ascii="Times New Roman" w:hAnsi="Times New Roman"/>
          <w:sz w:val="24"/>
          <w:szCs w:val="24"/>
        </w:rPr>
        <w:t>нерезиденти</w:t>
      </w:r>
      <w:r w:rsidRPr="00FB5A28">
        <w:rPr>
          <w:rFonts w:ascii="Times New Roman" w:hAnsi="Times New Roman"/>
          <w:sz w:val="24"/>
          <w:szCs w:val="24"/>
        </w:rPr>
        <w:t xml:space="preserve"> </w:t>
      </w:r>
      <w:r w:rsidR="00690453" w:rsidRPr="00FB5A28">
        <w:rPr>
          <w:rFonts w:ascii="Times New Roman" w:hAnsi="Times New Roman"/>
          <w:sz w:val="24"/>
          <w:szCs w:val="24"/>
        </w:rPr>
        <w:t>за</w:t>
      </w:r>
      <w:r w:rsidRPr="00FB5A28">
        <w:rPr>
          <w:rFonts w:ascii="Times New Roman" w:hAnsi="Times New Roman"/>
          <w:sz w:val="24"/>
          <w:szCs w:val="24"/>
        </w:rPr>
        <w:t xml:space="preserve"> </w:t>
      </w:r>
      <w:r w:rsidR="00690453" w:rsidRPr="00FB5A28">
        <w:rPr>
          <w:rFonts w:ascii="Times New Roman" w:hAnsi="Times New Roman"/>
          <w:sz w:val="24"/>
          <w:szCs w:val="24"/>
        </w:rPr>
        <w:t>доходак</w:t>
      </w:r>
      <w:r w:rsidRPr="00FB5A28">
        <w:rPr>
          <w:rFonts w:ascii="Times New Roman" w:hAnsi="Times New Roman"/>
          <w:sz w:val="24"/>
          <w:szCs w:val="24"/>
        </w:rPr>
        <w:t xml:space="preserve"> </w:t>
      </w:r>
      <w:r w:rsidR="00690453" w:rsidRPr="00FB5A28">
        <w:rPr>
          <w:rFonts w:ascii="Times New Roman" w:hAnsi="Times New Roman"/>
          <w:sz w:val="24"/>
          <w:szCs w:val="24"/>
        </w:rPr>
        <w:t>остварен</w:t>
      </w:r>
      <w:r w:rsidRPr="00FB5A28">
        <w:rPr>
          <w:rFonts w:ascii="Times New Roman" w:hAnsi="Times New Roman"/>
          <w:sz w:val="24"/>
          <w:szCs w:val="24"/>
        </w:rPr>
        <w:t xml:space="preserve"> </w:t>
      </w:r>
      <w:r w:rsidR="00690453" w:rsidRPr="00FB5A28">
        <w:rPr>
          <w:rFonts w:ascii="Times New Roman" w:hAnsi="Times New Roman"/>
          <w:sz w:val="24"/>
          <w:szCs w:val="24"/>
        </w:rPr>
        <w:t>на</w:t>
      </w:r>
      <w:r w:rsidRPr="00FB5A28">
        <w:rPr>
          <w:rFonts w:ascii="Times New Roman" w:hAnsi="Times New Roman"/>
          <w:sz w:val="24"/>
          <w:szCs w:val="24"/>
        </w:rPr>
        <w:t xml:space="preserve"> </w:t>
      </w:r>
      <w:r w:rsidR="00690453" w:rsidRPr="00FB5A28">
        <w:rPr>
          <w:rFonts w:ascii="Times New Roman" w:hAnsi="Times New Roman"/>
          <w:sz w:val="24"/>
          <w:szCs w:val="24"/>
        </w:rPr>
        <w:t>територији</w:t>
      </w:r>
      <w:r w:rsidRPr="00FB5A28">
        <w:rPr>
          <w:rFonts w:ascii="Times New Roman" w:hAnsi="Times New Roman"/>
          <w:sz w:val="24"/>
          <w:szCs w:val="24"/>
        </w:rPr>
        <w:t xml:space="preserve"> </w:t>
      </w:r>
      <w:r w:rsidR="00690453" w:rsidRPr="00FB5A28">
        <w:rPr>
          <w:rFonts w:ascii="Times New Roman" w:hAnsi="Times New Roman"/>
          <w:sz w:val="24"/>
          <w:szCs w:val="24"/>
        </w:rPr>
        <w:t>Републике</w:t>
      </w:r>
      <w:r w:rsidRPr="00FB5A28">
        <w:rPr>
          <w:rFonts w:ascii="Times New Roman" w:hAnsi="Times New Roman"/>
          <w:sz w:val="24"/>
          <w:szCs w:val="24"/>
        </w:rPr>
        <w:t>.</w:t>
      </w:r>
    </w:p>
    <w:p w:rsidR="00E46902" w:rsidRPr="00FB5A28" w:rsidRDefault="00E46902" w:rsidP="00FB5A28">
      <w:pPr>
        <w:jc w:val="both"/>
        <w:rPr>
          <w:rFonts w:ascii="Times New Roman" w:hAnsi="Times New Roman"/>
          <w:sz w:val="24"/>
          <w:szCs w:val="24"/>
          <w:shd w:val="clear" w:color="auto" w:fill="FFFFFF"/>
          <w:lang w:val="sr-Cyrl-CS"/>
        </w:rPr>
      </w:pPr>
    </w:p>
    <w:p w:rsidR="00E46902" w:rsidRPr="00FB5A28" w:rsidRDefault="00E46902" w:rsidP="00FB5A28">
      <w:pPr>
        <w:ind w:firstLine="708"/>
        <w:jc w:val="both"/>
        <w:rPr>
          <w:rFonts w:ascii="Times New Roman" w:hAnsi="Times New Roman"/>
          <w:sz w:val="24"/>
          <w:szCs w:val="24"/>
          <w:shd w:val="clear" w:color="auto" w:fill="FFFFFF"/>
          <w:lang w:val="sr-Cyrl-CS"/>
        </w:rPr>
      </w:pPr>
      <w:r w:rsidRPr="00FB5A28">
        <w:rPr>
          <w:rFonts w:ascii="Times New Roman" w:hAnsi="Times New Roman"/>
          <w:sz w:val="24"/>
          <w:szCs w:val="24"/>
          <w:shd w:val="clear" w:color="auto" w:fill="FFFFFF"/>
          <w:lang w:val="sr-Cyrl-CS"/>
        </w:rPr>
        <w:lastRenderedPageBreak/>
        <w:t>Порески објекат је доходак, под којим се сматра</w:t>
      </w:r>
      <w:r w:rsidR="003844EB" w:rsidRPr="00FB5A28">
        <w:rPr>
          <w:rFonts w:ascii="Times New Roman" w:hAnsi="Times New Roman"/>
          <w:sz w:val="24"/>
          <w:szCs w:val="24"/>
          <w:shd w:val="clear" w:color="auto" w:fill="FFFFFF"/>
          <w:lang w:val="sr-Cyrl-CS"/>
        </w:rPr>
        <w:t xml:space="preserve"> годишњи збир:</w:t>
      </w:r>
      <w:r w:rsidR="003844EB" w:rsidRPr="00FB5A28">
        <w:rPr>
          <w:rStyle w:val="FootnoteReference"/>
          <w:rFonts w:ascii="Times New Roman" w:hAnsi="Times New Roman"/>
          <w:color w:val="000000"/>
          <w:sz w:val="24"/>
          <w:szCs w:val="24"/>
          <w:shd w:val="clear" w:color="auto" w:fill="FFFFFF"/>
          <w:lang w:val="sr-Cyrl-CS"/>
        </w:rPr>
        <w:footnoteReference w:id="464"/>
      </w:r>
    </w:p>
    <w:p w:rsidR="00E46902" w:rsidRPr="00FB5A28" w:rsidRDefault="00E46902" w:rsidP="00FB5A28">
      <w:pPr>
        <w:jc w:val="both"/>
        <w:rPr>
          <w:rFonts w:ascii="Times New Roman" w:hAnsi="Times New Roman"/>
          <w:sz w:val="24"/>
          <w:szCs w:val="24"/>
        </w:rPr>
      </w:pPr>
      <w:r w:rsidRPr="00FB5A28">
        <w:rPr>
          <w:rFonts w:ascii="Times New Roman" w:hAnsi="Times New Roman"/>
          <w:sz w:val="24"/>
          <w:szCs w:val="24"/>
        </w:rPr>
        <w:t xml:space="preserve">1) </w:t>
      </w:r>
      <w:r w:rsidR="00690453" w:rsidRPr="00FB5A28">
        <w:rPr>
          <w:rFonts w:ascii="Times New Roman" w:hAnsi="Times New Roman"/>
          <w:sz w:val="24"/>
          <w:szCs w:val="24"/>
        </w:rPr>
        <w:t>зарада</w:t>
      </w:r>
      <w:r w:rsidRPr="00FB5A28">
        <w:rPr>
          <w:rFonts w:ascii="Times New Roman" w:hAnsi="Times New Roman"/>
          <w:sz w:val="24"/>
          <w:szCs w:val="24"/>
        </w:rPr>
        <w:t>;</w:t>
      </w:r>
    </w:p>
    <w:p w:rsidR="00E46902" w:rsidRPr="00FB5A28" w:rsidRDefault="00E46902" w:rsidP="00FB5A28">
      <w:pPr>
        <w:jc w:val="both"/>
        <w:rPr>
          <w:rFonts w:ascii="Times New Roman" w:hAnsi="Times New Roman"/>
          <w:sz w:val="24"/>
          <w:szCs w:val="24"/>
        </w:rPr>
      </w:pPr>
      <w:r w:rsidRPr="00FB5A28">
        <w:rPr>
          <w:rFonts w:ascii="Times New Roman" w:hAnsi="Times New Roman"/>
          <w:sz w:val="24"/>
          <w:szCs w:val="24"/>
        </w:rPr>
        <w:t xml:space="preserve">2) </w:t>
      </w:r>
      <w:r w:rsidR="00690453" w:rsidRPr="00FB5A28">
        <w:rPr>
          <w:rFonts w:ascii="Times New Roman" w:hAnsi="Times New Roman"/>
          <w:sz w:val="24"/>
          <w:szCs w:val="24"/>
        </w:rPr>
        <w:t>опорезивог</w:t>
      </w:r>
      <w:r w:rsidRPr="00FB5A28">
        <w:rPr>
          <w:rFonts w:ascii="Times New Roman" w:hAnsi="Times New Roman"/>
          <w:sz w:val="24"/>
          <w:szCs w:val="24"/>
        </w:rPr>
        <w:t xml:space="preserve"> </w:t>
      </w:r>
      <w:r w:rsidR="00690453" w:rsidRPr="00FB5A28">
        <w:rPr>
          <w:rFonts w:ascii="Times New Roman" w:hAnsi="Times New Roman"/>
          <w:sz w:val="24"/>
          <w:szCs w:val="24"/>
        </w:rPr>
        <w:t>прихода</w:t>
      </w:r>
      <w:r w:rsidRPr="00FB5A28">
        <w:rPr>
          <w:rFonts w:ascii="Times New Roman" w:hAnsi="Times New Roman"/>
          <w:sz w:val="24"/>
          <w:szCs w:val="24"/>
        </w:rPr>
        <w:t xml:space="preserve"> </w:t>
      </w:r>
      <w:r w:rsidR="00690453" w:rsidRPr="00FB5A28">
        <w:rPr>
          <w:rFonts w:ascii="Times New Roman" w:hAnsi="Times New Roman"/>
          <w:sz w:val="24"/>
          <w:szCs w:val="24"/>
        </w:rPr>
        <w:t>од</w:t>
      </w:r>
      <w:r w:rsidRPr="00FB5A28">
        <w:rPr>
          <w:rFonts w:ascii="Times New Roman" w:hAnsi="Times New Roman"/>
          <w:sz w:val="24"/>
          <w:szCs w:val="24"/>
        </w:rPr>
        <w:t xml:space="preserve"> </w:t>
      </w:r>
      <w:r w:rsidR="00690453" w:rsidRPr="00FB5A28">
        <w:rPr>
          <w:rFonts w:ascii="Times New Roman" w:hAnsi="Times New Roman"/>
          <w:sz w:val="24"/>
          <w:szCs w:val="24"/>
        </w:rPr>
        <w:t>самосталне</w:t>
      </w:r>
      <w:r w:rsidRPr="00FB5A28">
        <w:rPr>
          <w:rFonts w:ascii="Times New Roman" w:hAnsi="Times New Roman"/>
          <w:sz w:val="24"/>
          <w:szCs w:val="24"/>
        </w:rPr>
        <w:t xml:space="preserve"> </w:t>
      </w:r>
      <w:r w:rsidR="00690453" w:rsidRPr="00FB5A28">
        <w:rPr>
          <w:rFonts w:ascii="Times New Roman" w:hAnsi="Times New Roman"/>
          <w:sz w:val="24"/>
          <w:szCs w:val="24"/>
        </w:rPr>
        <w:t>делатности</w:t>
      </w:r>
      <w:r w:rsidRPr="00FB5A28">
        <w:rPr>
          <w:rFonts w:ascii="Times New Roman" w:hAnsi="Times New Roman"/>
          <w:sz w:val="24"/>
          <w:szCs w:val="24"/>
        </w:rPr>
        <w:t>;</w:t>
      </w:r>
    </w:p>
    <w:p w:rsidR="00E46902" w:rsidRPr="00FB5A28" w:rsidRDefault="00E46902" w:rsidP="00FB5A28">
      <w:pPr>
        <w:jc w:val="both"/>
        <w:rPr>
          <w:rFonts w:ascii="Times New Roman" w:hAnsi="Times New Roman"/>
          <w:sz w:val="24"/>
          <w:szCs w:val="24"/>
        </w:rPr>
      </w:pPr>
      <w:r w:rsidRPr="00FB5A28">
        <w:rPr>
          <w:rFonts w:ascii="Times New Roman" w:hAnsi="Times New Roman"/>
          <w:sz w:val="24"/>
          <w:szCs w:val="24"/>
        </w:rPr>
        <w:t xml:space="preserve">3) </w:t>
      </w:r>
      <w:r w:rsidR="00690453" w:rsidRPr="00FB5A28">
        <w:rPr>
          <w:rFonts w:ascii="Times New Roman" w:hAnsi="Times New Roman"/>
          <w:sz w:val="24"/>
          <w:szCs w:val="24"/>
        </w:rPr>
        <w:t>опорезивог</w:t>
      </w:r>
      <w:r w:rsidRPr="00FB5A28">
        <w:rPr>
          <w:rFonts w:ascii="Times New Roman" w:hAnsi="Times New Roman"/>
          <w:sz w:val="24"/>
          <w:szCs w:val="24"/>
        </w:rPr>
        <w:t xml:space="preserve"> </w:t>
      </w:r>
      <w:r w:rsidR="00690453" w:rsidRPr="00FB5A28">
        <w:rPr>
          <w:rFonts w:ascii="Times New Roman" w:hAnsi="Times New Roman"/>
          <w:sz w:val="24"/>
          <w:szCs w:val="24"/>
        </w:rPr>
        <w:t>прихода</w:t>
      </w:r>
      <w:r w:rsidRPr="00FB5A28">
        <w:rPr>
          <w:rFonts w:ascii="Times New Roman" w:hAnsi="Times New Roman"/>
          <w:sz w:val="24"/>
          <w:szCs w:val="24"/>
        </w:rPr>
        <w:t xml:space="preserve"> </w:t>
      </w:r>
      <w:r w:rsidR="00690453" w:rsidRPr="00FB5A28">
        <w:rPr>
          <w:rFonts w:ascii="Times New Roman" w:hAnsi="Times New Roman"/>
          <w:sz w:val="24"/>
          <w:szCs w:val="24"/>
        </w:rPr>
        <w:t>од</w:t>
      </w:r>
      <w:r w:rsidRPr="00FB5A28">
        <w:rPr>
          <w:rFonts w:ascii="Times New Roman" w:hAnsi="Times New Roman"/>
          <w:sz w:val="24"/>
          <w:szCs w:val="24"/>
        </w:rPr>
        <w:t xml:space="preserve"> </w:t>
      </w:r>
      <w:r w:rsidR="00690453" w:rsidRPr="00FB5A28">
        <w:rPr>
          <w:rFonts w:ascii="Times New Roman" w:hAnsi="Times New Roman"/>
          <w:sz w:val="24"/>
          <w:szCs w:val="24"/>
        </w:rPr>
        <w:t>ауторских</w:t>
      </w:r>
      <w:r w:rsidRPr="00FB5A28">
        <w:rPr>
          <w:rFonts w:ascii="Times New Roman" w:hAnsi="Times New Roman"/>
          <w:sz w:val="24"/>
          <w:szCs w:val="24"/>
        </w:rPr>
        <w:t xml:space="preserve"> </w:t>
      </w:r>
      <w:r w:rsidR="00690453" w:rsidRPr="00FB5A28">
        <w:rPr>
          <w:rFonts w:ascii="Times New Roman" w:hAnsi="Times New Roman"/>
          <w:sz w:val="24"/>
          <w:szCs w:val="24"/>
        </w:rPr>
        <w:t>права</w:t>
      </w:r>
      <w:r w:rsidRPr="00FB5A28">
        <w:rPr>
          <w:rFonts w:ascii="Times New Roman" w:hAnsi="Times New Roman"/>
          <w:sz w:val="24"/>
          <w:szCs w:val="24"/>
        </w:rPr>
        <w:t xml:space="preserve">, </w:t>
      </w:r>
      <w:r w:rsidR="00690453" w:rsidRPr="00FB5A28">
        <w:rPr>
          <w:rFonts w:ascii="Times New Roman" w:hAnsi="Times New Roman"/>
          <w:sz w:val="24"/>
          <w:szCs w:val="24"/>
        </w:rPr>
        <w:t>права</w:t>
      </w:r>
      <w:r w:rsidRPr="00FB5A28">
        <w:rPr>
          <w:rFonts w:ascii="Times New Roman" w:hAnsi="Times New Roman"/>
          <w:sz w:val="24"/>
          <w:szCs w:val="24"/>
        </w:rPr>
        <w:t xml:space="preserve"> </w:t>
      </w:r>
      <w:r w:rsidR="00690453" w:rsidRPr="00FB5A28">
        <w:rPr>
          <w:rFonts w:ascii="Times New Roman" w:hAnsi="Times New Roman"/>
          <w:sz w:val="24"/>
          <w:szCs w:val="24"/>
        </w:rPr>
        <w:t>сродних</w:t>
      </w:r>
      <w:r w:rsidRPr="00FB5A28">
        <w:rPr>
          <w:rFonts w:ascii="Times New Roman" w:hAnsi="Times New Roman"/>
          <w:sz w:val="24"/>
          <w:szCs w:val="24"/>
        </w:rPr>
        <w:t xml:space="preserve"> </w:t>
      </w:r>
      <w:r w:rsidR="00690453" w:rsidRPr="00FB5A28">
        <w:rPr>
          <w:rFonts w:ascii="Times New Roman" w:hAnsi="Times New Roman"/>
          <w:sz w:val="24"/>
          <w:szCs w:val="24"/>
        </w:rPr>
        <w:t>ауторском</w:t>
      </w:r>
      <w:r w:rsidRPr="00FB5A28">
        <w:rPr>
          <w:rFonts w:ascii="Times New Roman" w:hAnsi="Times New Roman"/>
          <w:sz w:val="24"/>
          <w:szCs w:val="24"/>
        </w:rPr>
        <w:t xml:space="preserve"> </w:t>
      </w:r>
      <w:r w:rsidR="00690453" w:rsidRPr="00FB5A28">
        <w:rPr>
          <w:rFonts w:ascii="Times New Roman" w:hAnsi="Times New Roman"/>
          <w:sz w:val="24"/>
          <w:szCs w:val="24"/>
        </w:rPr>
        <w:t>праву</w:t>
      </w:r>
      <w:r w:rsidRPr="00FB5A28">
        <w:rPr>
          <w:rFonts w:ascii="Times New Roman" w:hAnsi="Times New Roman"/>
          <w:sz w:val="24"/>
          <w:szCs w:val="24"/>
        </w:rPr>
        <w:t xml:space="preserve"> </w:t>
      </w:r>
      <w:r w:rsidR="00690453" w:rsidRPr="00FB5A28">
        <w:rPr>
          <w:rFonts w:ascii="Times New Roman" w:hAnsi="Times New Roman"/>
          <w:sz w:val="24"/>
          <w:szCs w:val="24"/>
        </w:rPr>
        <w:t>и</w:t>
      </w:r>
      <w:r w:rsidRPr="00FB5A28">
        <w:rPr>
          <w:rFonts w:ascii="Times New Roman" w:hAnsi="Times New Roman"/>
          <w:sz w:val="24"/>
          <w:szCs w:val="24"/>
        </w:rPr>
        <w:t xml:space="preserve"> </w:t>
      </w:r>
      <w:r w:rsidR="00690453" w:rsidRPr="00FB5A28">
        <w:rPr>
          <w:rFonts w:ascii="Times New Roman" w:hAnsi="Times New Roman"/>
          <w:sz w:val="24"/>
          <w:szCs w:val="24"/>
        </w:rPr>
        <w:t>права</w:t>
      </w:r>
      <w:r w:rsidRPr="00FB5A28">
        <w:rPr>
          <w:rFonts w:ascii="Times New Roman" w:hAnsi="Times New Roman"/>
          <w:sz w:val="24"/>
          <w:szCs w:val="24"/>
        </w:rPr>
        <w:t xml:space="preserve"> </w:t>
      </w:r>
      <w:r w:rsidR="00690453" w:rsidRPr="00FB5A28">
        <w:rPr>
          <w:rFonts w:ascii="Times New Roman" w:hAnsi="Times New Roman"/>
          <w:sz w:val="24"/>
          <w:szCs w:val="24"/>
        </w:rPr>
        <w:t>индустријске</w:t>
      </w:r>
      <w:r w:rsidRPr="00FB5A28">
        <w:rPr>
          <w:rFonts w:ascii="Times New Roman" w:hAnsi="Times New Roman"/>
          <w:sz w:val="24"/>
          <w:szCs w:val="24"/>
        </w:rPr>
        <w:t xml:space="preserve"> </w:t>
      </w:r>
      <w:r w:rsidR="00690453" w:rsidRPr="00FB5A28">
        <w:rPr>
          <w:rFonts w:ascii="Times New Roman" w:hAnsi="Times New Roman"/>
          <w:sz w:val="24"/>
          <w:szCs w:val="24"/>
        </w:rPr>
        <w:t>својине</w:t>
      </w:r>
      <w:r w:rsidRPr="00FB5A28">
        <w:rPr>
          <w:rFonts w:ascii="Times New Roman" w:hAnsi="Times New Roman"/>
          <w:sz w:val="24"/>
          <w:szCs w:val="24"/>
        </w:rPr>
        <w:t>;</w:t>
      </w:r>
    </w:p>
    <w:p w:rsidR="00E46902" w:rsidRPr="00FB5A28" w:rsidRDefault="00E46902" w:rsidP="00FB5A28">
      <w:pPr>
        <w:jc w:val="both"/>
        <w:rPr>
          <w:rFonts w:ascii="Times New Roman" w:hAnsi="Times New Roman"/>
          <w:sz w:val="24"/>
          <w:szCs w:val="24"/>
        </w:rPr>
      </w:pPr>
      <w:r w:rsidRPr="00FB5A28">
        <w:rPr>
          <w:rFonts w:ascii="Times New Roman" w:hAnsi="Times New Roman"/>
          <w:sz w:val="24"/>
          <w:szCs w:val="24"/>
        </w:rPr>
        <w:t xml:space="preserve">4) </w:t>
      </w:r>
      <w:r w:rsidR="00690453" w:rsidRPr="00FB5A28">
        <w:rPr>
          <w:rFonts w:ascii="Times New Roman" w:hAnsi="Times New Roman"/>
          <w:sz w:val="24"/>
          <w:szCs w:val="24"/>
        </w:rPr>
        <w:t>опорезивог</w:t>
      </w:r>
      <w:r w:rsidRPr="00FB5A28">
        <w:rPr>
          <w:rFonts w:ascii="Times New Roman" w:hAnsi="Times New Roman"/>
          <w:sz w:val="24"/>
          <w:szCs w:val="24"/>
        </w:rPr>
        <w:t xml:space="preserve"> </w:t>
      </w:r>
      <w:r w:rsidR="00690453" w:rsidRPr="00FB5A28">
        <w:rPr>
          <w:rFonts w:ascii="Times New Roman" w:hAnsi="Times New Roman"/>
          <w:sz w:val="24"/>
          <w:szCs w:val="24"/>
        </w:rPr>
        <w:t>прихода</w:t>
      </w:r>
      <w:r w:rsidRPr="00FB5A28">
        <w:rPr>
          <w:rFonts w:ascii="Times New Roman" w:hAnsi="Times New Roman"/>
          <w:sz w:val="24"/>
          <w:szCs w:val="24"/>
        </w:rPr>
        <w:t xml:space="preserve"> </w:t>
      </w:r>
      <w:r w:rsidR="00690453" w:rsidRPr="00FB5A28">
        <w:rPr>
          <w:rFonts w:ascii="Times New Roman" w:hAnsi="Times New Roman"/>
          <w:sz w:val="24"/>
          <w:szCs w:val="24"/>
        </w:rPr>
        <w:t>од</w:t>
      </w:r>
      <w:r w:rsidRPr="00FB5A28">
        <w:rPr>
          <w:rFonts w:ascii="Times New Roman" w:hAnsi="Times New Roman"/>
          <w:sz w:val="24"/>
          <w:szCs w:val="24"/>
        </w:rPr>
        <w:t xml:space="preserve"> </w:t>
      </w:r>
      <w:r w:rsidR="00690453" w:rsidRPr="00FB5A28">
        <w:rPr>
          <w:rFonts w:ascii="Times New Roman" w:hAnsi="Times New Roman"/>
          <w:sz w:val="24"/>
          <w:szCs w:val="24"/>
        </w:rPr>
        <w:t>издавања</w:t>
      </w:r>
      <w:r w:rsidRPr="00FB5A28">
        <w:rPr>
          <w:rFonts w:ascii="Times New Roman" w:hAnsi="Times New Roman"/>
          <w:sz w:val="24"/>
          <w:szCs w:val="24"/>
        </w:rPr>
        <w:t xml:space="preserve"> </w:t>
      </w:r>
      <w:r w:rsidR="00690453" w:rsidRPr="00FB5A28">
        <w:rPr>
          <w:rFonts w:ascii="Times New Roman" w:hAnsi="Times New Roman"/>
          <w:sz w:val="24"/>
          <w:szCs w:val="24"/>
        </w:rPr>
        <w:t>непокретности</w:t>
      </w:r>
      <w:r w:rsidRPr="00FB5A28">
        <w:rPr>
          <w:rFonts w:ascii="Times New Roman" w:hAnsi="Times New Roman"/>
          <w:sz w:val="24"/>
          <w:szCs w:val="24"/>
        </w:rPr>
        <w:t>;</w:t>
      </w:r>
    </w:p>
    <w:p w:rsidR="00E46902" w:rsidRPr="00FB5A28" w:rsidRDefault="00E46902" w:rsidP="00FB5A28">
      <w:pPr>
        <w:jc w:val="both"/>
        <w:rPr>
          <w:rFonts w:ascii="Times New Roman" w:hAnsi="Times New Roman"/>
          <w:sz w:val="24"/>
          <w:szCs w:val="24"/>
        </w:rPr>
      </w:pPr>
      <w:r w:rsidRPr="00FB5A28">
        <w:rPr>
          <w:rFonts w:ascii="Times New Roman" w:hAnsi="Times New Roman"/>
          <w:sz w:val="24"/>
          <w:szCs w:val="24"/>
        </w:rPr>
        <w:t xml:space="preserve">5) </w:t>
      </w:r>
      <w:r w:rsidR="00690453" w:rsidRPr="00FB5A28">
        <w:rPr>
          <w:rFonts w:ascii="Times New Roman" w:hAnsi="Times New Roman"/>
          <w:sz w:val="24"/>
          <w:szCs w:val="24"/>
        </w:rPr>
        <w:t>опорезивог</w:t>
      </w:r>
      <w:r w:rsidRPr="00FB5A28">
        <w:rPr>
          <w:rFonts w:ascii="Times New Roman" w:hAnsi="Times New Roman"/>
          <w:sz w:val="24"/>
          <w:szCs w:val="24"/>
        </w:rPr>
        <w:t xml:space="preserve"> </w:t>
      </w:r>
      <w:r w:rsidR="00690453" w:rsidRPr="00FB5A28">
        <w:rPr>
          <w:rFonts w:ascii="Times New Roman" w:hAnsi="Times New Roman"/>
          <w:sz w:val="24"/>
          <w:szCs w:val="24"/>
        </w:rPr>
        <w:t>прихода</w:t>
      </w:r>
      <w:r w:rsidRPr="00FB5A28">
        <w:rPr>
          <w:rFonts w:ascii="Times New Roman" w:hAnsi="Times New Roman"/>
          <w:sz w:val="24"/>
          <w:szCs w:val="24"/>
        </w:rPr>
        <w:t xml:space="preserve"> </w:t>
      </w:r>
      <w:r w:rsidR="00690453" w:rsidRPr="00FB5A28">
        <w:rPr>
          <w:rFonts w:ascii="Times New Roman" w:hAnsi="Times New Roman"/>
          <w:sz w:val="24"/>
          <w:szCs w:val="24"/>
        </w:rPr>
        <w:t>од</w:t>
      </w:r>
      <w:r w:rsidRPr="00FB5A28">
        <w:rPr>
          <w:rFonts w:ascii="Times New Roman" w:hAnsi="Times New Roman"/>
          <w:sz w:val="24"/>
          <w:szCs w:val="24"/>
        </w:rPr>
        <w:t xml:space="preserve"> </w:t>
      </w:r>
      <w:r w:rsidR="00690453" w:rsidRPr="00FB5A28">
        <w:rPr>
          <w:rFonts w:ascii="Times New Roman" w:hAnsi="Times New Roman"/>
          <w:sz w:val="24"/>
          <w:szCs w:val="24"/>
        </w:rPr>
        <w:t>давања</w:t>
      </w:r>
      <w:r w:rsidRPr="00FB5A28">
        <w:rPr>
          <w:rFonts w:ascii="Times New Roman" w:hAnsi="Times New Roman"/>
          <w:sz w:val="24"/>
          <w:szCs w:val="24"/>
        </w:rPr>
        <w:t xml:space="preserve"> </w:t>
      </w:r>
      <w:r w:rsidR="00690453" w:rsidRPr="00FB5A28">
        <w:rPr>
          <w:rFonts w:ascii="Times New Roman" w:hAnsi="Times New Roman"/>
          <w:sz w:val="24"/>
          <w:szCs w:val="24"/>
        </w:rPr>
        <w:t>у</w:t>
      </w:r>
      <w:r w:rsidRPr="00FB5A28">
        <w:rPr>
          <w:rFonts w:ascii="Times New Roman" w:hAnsi="Times New Roman"/>
          <w:sz w:val="24"/>
          <w:szCs w:val="24"/>
        </w:rPr>
        <w:t xml:space="preserve"> </w:t>
      </w:r>
      <w:r w:rsidR="00690453" w:rsidRPr="00FB5A28">
        <w:rPr>
          <w:rFonts w:ascii="Times New Roman" w:hAnsi="Times New Roman"/>
          <w:sz w:val="24"/>
          <w:szCs w:val="24"/>
        </w:rPr>
        <w:t>закуп</w:t>
      </w:r>
      <w:r w:rsidRPr="00FB5A28">
        <w:rPr>
          <w:rFonts w:ascii="Times New Roman" w:hAnsi="Times New Roman"/>
          <w:sz w:val="24"/>
          <w:szCs w:val="24"/>
        </w:rPr>
        <w:t xml:space="preserve"> </w:t>
      </w:r>
      <w:r w:rsidR="00690453" w:rsidRPr="00FB5A28">
        <w:rPr>
          <w:rFonts w:ascii="Times New Roman" w:hAnsi="Times New Roman"/>
          <w:sz w:val="24"/>
          <w:szCs w:val="24"/>
        </w:rPr>
        <w:t>покретних</w:t>
      </w:r>
      <w:r w:rsidRPr="00FB5A28">
        <w:rPr>
          <w:rFonts w:ascii="Times New Roman" w:hAnsi="Times New Roman"/>
          <w:sz w:val="24"/>
          <w:szCs w:val="24"/>
        </w:rPr>
        <w:t xml:space="preserve"> </w:t>
      </w:r>
      <w:r w:rsidR="00690453" w:rsidRPr="00FB5A28">
        <w:rPr>
          <w:rFonts w:ascii="Times New Roman" w:hAnsi="Times New Roman"/>
          <w:sz w:val="24"/>
          <w:szCs w:val="24"/>
        </w:rPr>
        <w:t>ствари</w:t>
      </w:r>
      <w:r w:rsidRPr="00FB5A28">
        <w:rPr>
          <w:rFonts w:ascii="Times New Roman" w:hAnsi="Times New Roman"/>
          <w:sz w:val="24"/>
          <w:szCs w:val="24"/>
        </w:rPr>
        <w:t>;</w:t>
      </w:r>
    </w:p>
    <w:p w:rsidR="00E46902" w:rsidRPr="00FB5A28" w:rsidRDefault="00E46902" w:rsidP="00FB5A28">
      <w:pPr>
        <w:jc w:val="both"/>
        <w:rPr>
          <w:rFonts w:ascii="Times New Roman" w:hAnsi="Times New Roman"/>
          <w:sz w:val="24"/>
          <w:szCs w:val="24"/>
        </w:rPr>
      </w:pPr>
      <w:r w:rsidRPr="00FB5A28">
        <w:rPr>
          <w:rFonts w:ascii="Times New Roman" w:hAnsi="Times New Roman"/>
          <w:sz w:val="24"/>
          <w:szCs w:val="24"/>
        </w:rPr>
        <w:t xml:space="preserve">6) </w:t>
      </w:r>
      <w:r w:rsidR="00690453" w:rsidRPr="00FB5A28">
        <w:rPr>
          <w:rFonts w:ascii="Times New Roman" w:hAnsi="Times New Roman"/>
          <w:sz w:val="24"/>
          <w:szCs w:val="24"/>
        </w:rPr>
        <w:t>опорезивог</w:t>
      </w:r>
      <w:r w:rsidRPr="00FB5A28">
        <w:rPr>
          <w:rFonts w:ascii="Times New Roman" w:hAnsi="Times New Roman"/>
          <w:sz w:val="24"/>
          <w:szCs w:val="24"/>
        </w:rPr>
        <w:t xml:space="preserve"> </w:t>
      </w:r>
      <w:r w:rsidR="00690453" w:rsidRPr="00FB5A28">
        <w:rPr>
          <w:rFonts w:ascii="Times New Roman" w:hAnsi="Times New Roman"/>
          <w:sz w:val="24"/>
          <w:szCs w:val="24"/>
        </w:rPr>
        <w:t>прихода</w:t>
      </w:r>
      <w:r w:rsidRPr="00FB5A28">
        <w:rPr>
          <w:rFonts w:ascii="Times New Roman" w:hAnsi="Times New Roman"/>
          <w:sz w:val="24"/>
          <w:szCs w:val="24"/>
        </w:rPr>
        <w:t xml:space="preserve"> </w:t>
      </w:r>
      <w:r w:rsidR="00690453" w:rsidRPr="00FB5A28">
        <w:rPr>
          <w:rFonts w:ascii="Times New Roman" w:hAnsi="Times New Roman"/>
          <w:sz w:val="24"/>
          <w:szCs w:val="24"/>
        </w:rPr>
        <w:t>спортиста</w:t>
      </w:r>
      <w:r w:rsidRPr="00FB5A28">
        <w:rPr>
          <w:rFonts w:ascii="Times New Roman" w:hAnsi="Times New Roman"/>
          <w:sz w:val="24"/>
          <w:szCs w:val="24"/>
        </w:rPr>
        <w:t xml:space="preserve"> </w:t>
      </w:r>
      <w:r w:rsidR="00690453" w:rsidRPr="00FB5A28">
        <w:rPr>
          <w:rFonts w:ascii="Times New Roman" w:hAnsi="Times New Roman"/>
          <w:sz w:val="24"/>
          <w:szCs w:val="24"/>
        </w:rPr>
        <w:t>и</w:t>
      </w:r>
      <w:r w:rsidRPr="00FB5A28">
        <w:rPr>
          <w:rFonts w:ascii="Times New Roman" w:hAnsi="Times New Roman"/>
          <w:sz w:val="24"/>
          <w:szCs w:val="24"/>
        </w:rPr>
        <w:t xml:space="preserve"> </w:t>
      </w:r>
      <w:r w:rsidR="00690453" w:rsidRPr="00FB5A28">
        <w:rPr>
          <w:rFonts w:ascii="Times New Roman" w:hAnsi="Times New Roman"/>
          <w:sz w:val="24"/>
          <w:szCs w:val="24"/>
        </w:rPr>
        <w:t>спортских</w:t>
      </w:r>
      <w:r w:rsidRPr="00FB5A28">
        <w:rPr>
          <w:rFonts w:ascii="Times New Roman" w:hAnsi="Times New Roman"/>
          <w:sz w:val="24"/>
          <w:szCs w:val="24"/>
        </w:rPr>
        <w:t xml:space="preserve"> </w:t>
      </w:r>
      <w:r w:rsidR="00690453" w:rsidRPr="00FB5A28">
        <w:rPr>
          <w:rFonts w:ascii="Times New Roman" w:hAnsi="Times New Roman"/>
          <w:sz w:val="24"/>
          <w:szCs w:val="24"/>
        </w:rPr>
        <w:t>стручњака</w:t>
      </w:r>
      <w:r w:rsidRPr="00FB5A28">
        <w:rPr>
          <w:rFonts w:ascii="Times New Roman" w:hAnsi="Times New Roman"/>
          <w:sz w:val="24"/>
          <w:szCs w:val="24"/>
        </w:rPr>
        <w:t>;</w:t>
      </w:r>
    </w:p>
    <w:p w:rsidR="00E46902" w:rsidRPr="00FB5A28" w:rsidRDefault="00E46902" w:rsidP="00FB5A28">
      <w:pPr>
        <w:jc w:val="both"/>
        <w:rPr>
          <w:rFonts w:ascii="Times New Roman" w:hAnsi="Times New Roman"/>
          <w:sz w:val="24"/>
          <w:szCs w:val="24"/>
          <w:lang w:val="sr-Cyrl-CS"/>
        </w:rPr>
      </w:pPr>
      <w:r w:rsidRPr="00FB5A28">
        <w:rPr>
          <w:rFonts w:ascii="Times New Roman" w:hAnsi="Times New Roman"/>
          <w:sz w:val="24"/>
          <w:szCs w:val="24"/>
        </w:rPr>
        <w:t xml:space="preserve">7) </w:t>
      </w:r>
      <w:r w:rsidR="00690453" w:rsidRPr="00FB5A28">
        <w:rPr>
          <w:rFonts w:ascii="Times New Roman" w:hAnsi="Times New Roman"/>
          <w:sz w:val="24"/>
          <w:szCs w:val="24"/>
        </w:rPr>
        <w:t>опорезивих</w:t>
      </w:r>
      <w:r w:rsidRPr="00FB5A28">
        <w:rPr>
          <w:rFonts w:ascii="Times New Roman" w:hAnsi="Times New Roman"/>
          <w:sz w:val="24"/>
          <w:szCs w:val="24"/>
        </w:rPr>
        <w:t xml:space="preserve"> </w:t>
      </w:r>
      <w:r w:rsidR="00690453" w:rsidRPr="00FB5A28">
        <w:rPr>
          <w:rFonts w:ascii="Times New Roman" w:hAnsi="Times New Roman"/>
          <w:sz w:val="24"/>
          <w:szCs w:val="24"/>
        </w:rPr>
        <w:t>других</w:t>
      </w:r>
      <w:r w:rsidRPr="00FB5A28">
        <w:rPr>
          <w:rFonts w:ascii="Times New Roman" w:hAnsi="Times New Roman"/>
          <w:sz w:val="24"/>
          <w:szCs w:val="24"/>
        </w:rPr>
        <w:t xml:space="preserve"> </w:t>
      </w:r>
      <w:r w:rsidR="00690453" w:rsidRPr="00FB5A28">
        <w:rPr>
          <w:rFonts w:ascii="Times New Roman" w:hAnsi="Times New Roman"/>
          <w:sz w:val="24"/>
          <w:szCs w:val="24"/>
        </w:rPr>
        <w:t>прихода</w:t>
      </w:r>
      <w:r w:rsidRPr="00FB5A28">
        <w:rPr>
          <w:rFonts w:ascii="Times New Roman" w:hAnsi="Times New Roman"/>
          <w:sz w:val="24"/>
          <w:szCs w:val="24"/>
        </w:rPr>
        <w:t>;</w:t>
      </w:r>
      <w:r w:rsidRPr="00FB5A28">
        <w:rPr>
          <w:rFonts w:ascii="Times New Roman" w:hAnsi="Times New Roman"/>
          <w:sz w:val="24"/>
          <w:szCs w:val="24"/>
          <w:lang w:val="sr-Cyrl-CS"/>
        </w:rPr>
        <w:t xml:space="preserve"> </w:t>
      </w:r>
    </w:p>
    <w:p w:rsidR="00E46902" w:rsidRPr="00FB5A28" w:rsidRDefault="00E46902" w:rsidP="00FB5A28">
      <w:pPr>
        <w:jc w:val="both"/>
        <w:rPr>
          <w:rFonts w:ascii="Times New Roman" w:hAnsi="Times New Roman"/>
          <w:sz w:val="24"/>
          <w:szCs w:val="24"/>
        </w:rPr>
      </w:pPr>
      <w:r w:rsidRPr="00FB5A28">
        <w:rPr>
          <w:rFonts w:ascii="Times New Roman" w:hAnsi="Times New Roman"/>
          <w:sz w:val="24"/>
          <w:szCs w:val="24"/>
        </w:rPr>
        <w:t xml:space="preserve">8) </w:t>
      </w:r>
      <w:r w:rsidR="003844EB" w:rsidRPr="00FB5A28">
        <w:rPr>
          <w:rFonts w:ascii="Times New Roman" w:hAnsi="Times New Roman"/>
          <w:sz w:val="24"/>
          <w:szCs w:val="24"/>
          <w:lang w:val="sr-Cyrl-CS"/>
        </w:rPr>
        <w:t xml:space="preserve">других </w:t>
      </w:r>
      <w:r w:rsidR="00690453" w:rsidRPr="00FB5A28">
        <w:rPr>
          <w:rFonts w:ascii="Times New Roman" w:hAnsi="Times New Roman"/>
          <w:sz w:val="24"/>
          <w:szCs w:val="24"/>
        </w:rPr>
        <w:t>прихода</w:t>
      </w:r>
      <w:r w:rsidR="003844EB" w:rsidRPr="00FB5A28">
        <w:rPr>
          <w:rFonts w:ascii="Times New Roman" w:hAnsi="Times New Roman"/>
          <w:sz w:val="24"/>
          <w:szCs w:val="24"/>
        </w:rPr>
        <w:t xml:space="preserve"> </w:t>
      </w:r>
      <w:r w:rsidRPr="00FB5A28">
        <w:rPr>
          <w:rFonts w:ascii="Times New Roman" w:hAnsi="Times New Roman"/>
          <w:sz w:val="24"/>
          <w:szCs w:val="24"/>
        </w:rPr>
        <w:t xml:space="preserve"> </w:t>
      </w:r>
      <w:r w:rsidR="00690453" w:rsidRPr="00FB5A28">
        <w:rPr>
          <w:rFonts w:ascii="Times New Roman" w:hAnsi="Times New Roman"/>
          <w:sz w:val="24"/>
          <w:szCs w:val="24"/>
        </w:rPr>
        <w:t>остварених</w:t>
      </w:r>
      <w:r w:rsidRPr="00FB5A28">
        <w:rPr>
          <w:rFonts w:ascii="Times New Roman" w:hAnsi="Times New Roman"/>
          <w:sz w:val="24"/>
          <w:szCs w:val="24"/>
        </w:rPr>
        <w:t xml:space="preserve"> </w:t>
      </w:r>
      <w:r w:rsidR="00690453" w:rsidRPr="00FB5A28">
        <w:rPr>
          <w:rFonts w:ascii="Times New Roman" w:hAnsi="Times New Roman"/>
          <w:sz w:val="24"/>
          <w:szCs w:val="24"/>
        </w:rPr>
        <w:t>и</w:t>
      </w:r>
      <w:r w:rsidRPr="00FB5A28">
        <w:rPr>
          <w:rFonts w:ascii="Times New Roman" w:hAnsi="Times New Roman"/>
          <w:sz w:val="24"/>
          <w:szCs w:val="24"/>
        </w:rPr>
        <w:t xml:space="preserve"> </w:t>
      </w:r>
      <w:r w:rsidR="00690453" w:rsidRPr="00FB5A28">
        <w:rPr>
          <w:rFonts w:ascii="Times New Roman" w:hAnsi="Times New Roman"/>
          <w:sz w:val="24"/>
          <w:szCs w:val="24"/>
        </w:rPr>
        <w:t>опорезованих</w:t>
      </w:r>
      <w:r w:rsidRPr="00FB5A28">
        <w:rPr>
          <w:rFonts w:ascii="Times New Roman" w:hAnsi="Times New Roman"/>
          <w:sz w:val="24"/>
          <w:szCs w:val="24"/>
        </w:rPr>
        <w:t xml:space="preserve"> </w:t>
      </w:r>
      <w:r w:rsidR="00690453" w:rsidRPr="00FB5A28">
        <w:rPr>
          <w:rFonts w:ascii="Times New Roman" w:hAnsi="Times New Roman"/>
          <w:sz w:val="24"/>
          <w:szCs w:val="24"/>
        </w:rPr>
        <w:t>у</w:t>
      </w:r>
      <w:r w:rsidRPr="00FB5A28">
        <w:rPr>
          <w:rFonts w:ascii="Times New Roman" w:hAnsi="Times New Roman"/>
          <w:sz w:val="24"/>
          <w:szCs w:val="24"/>
        </w:rPr>
        <w:t xml:space="preserve"> </w:t>
      </w:r>
      <w:r w:rsidR="00690453" w:rsidRPr="00FB5A28">
        <w:rPr>
          <w:rFonts w:ascii="Times New Roman" w:hAnsi="Times New Roman"/>
          <w:sz w:val="24"/>
          <w:szCs w:val="24"/>
        </w:rPr>
        <w:t>другој</w:t>
      </w:r>
      <w:r w:rsidRPr="00FB5A28">
        <w:rPr>
          <w:rFonts w:ascii="Times New Roman" w:hAnsi="Times New Roman"/>
          <w:sz w:val="24"/>
          <w:szCs w:val="24"/>
        </w:rPr>
        <w:t xml:space="preserve"> </w:t>
      </w:r>
      <w:r w:rsidR="00690453" w:rsidRPr="00FB5A28">
        <w:rPr>
          <w:rFonts w:ascii="Times New Roman" w:hAnsi="Times New Roman"/>
          <w:sz w:val="24"/>
          <w:szCs w:val="24"/>
        </w:rPr>
        <w:t>држави</w:t>
      </w:r>
      <w:r w:rsidR="003844EB" w:rsidRPr="00FB5A28">
        <w:rPr>
          <w:rFonts w:ascii="Times New Roman" w:hAnsi="Times New Roman"/>
          <w:sz w:val="24"/>
          <w:szCs w:val="24"/>
          <w:lang w:val="sr-Cyrl-CS"/>
        </w:rPr>
        <w:t>.</w:t>
      </w:r>
      <w:r w:rsidRPr="00FB5A28">
        <w:rPr>
          <w:rFonts w:ascii="Times New Roman" w:hAnsi="Times New Roman"/>
          <w:sz w:val="24"/>
          <w:szCs w:val="24"/>
        </w:rPr>
        <w:t xml:space="preserve"> </w:t>
      </w:r>
    </w:p>
    <w:p w:rsidR="00E46902" w:rsidRPr="00FB5A28" w:rsidRDefault="00690453" w:rsidP="00FB5A28">
      <w:pPr>
        <w:jc w:val="both"/>
        <w:rPr>
          <w:rFonts w:ascii="Times New Roman" w:hAnsi="Times New Roman"/>
          <w:sz w:val="24"/>
          <w:szCs w:val="24"/>
        </w:rPr>
      </w:pPr>
      <w:r w:rsidRPr="00FB5A28">
        <w:rPr>
          <w:rFonts w:ascii="Times New Roman" w:hAnsi="Times New Roman"/>
          <w:sz w:val="24"/>
          <w:szCs w:val="24"/>
        </w:rPr>
        <w:t>Основица</w:t>
      </w:r>
      <w:r w:rsidR="00E46902" w:rsidRPr="00FB5A28">
        <w:rPr>
          <w:rFonts w:ascii="Times New Roman" w:hAnsi="Times New Roman"/>
          <w:sz w:val="24"/>
          <w:szCs w:val="24"/>
        </w:rPr>
        <w:t xml:space="preserve"> </w:t>
      </w:r>
      <w:r w:rsidRPr="00FB5A28">
        <w:rPr>
          <w:rFonts w:ascii="Times New Roman" w:hAnsi="Times New Roman"/>
          <w:sz w:val="24"/>
          <w:szCs w:val="24"/>
        </w:rPr>
        <w:t>годишњег</w:t>
      </w:r>
      <w:r w:rsidR="00E46902" w:rsidRPr="00FB5A28">
        <w:rPr>
          <w:rFonts w:ascii="Times New Roman" w:hAnsi="Times New Roman"/>
          <w:sz w:val="24"/>
          <w:szCs w:val="24"/>
        </w:rPr>
        <w:t xml:space="preserve"> </w:t>
      </w:r>
      <w:r w:rsidRPr="00FB5A28">
        <w:rPr>
          <w:rFonts w:ascii="Times New Roman" w:hAnsi="Times New Roman"/>
          <w:sz w:val="24"/>
          <w:szCs w:val="24"/>
        </w:rPr>
        <w:t>пореза</w:t>
      </w:r>
      <w:r w:rsidR="00E46902" w:rsidRPr="00FB5A28">
        <w:rPr>
          <w:rFonts w:ascii="Times New Roman" w:hAnsi="Times New Roman"/>
          <w:sz w:val="24"/>
          <w:szCs w:val="24"/>
        </w:rPr>
        <w:t xml:space="preserve"> </w:t>
      </w:r>
      <w:r w:rsidRPr="00FB5A28">
        <w:rPr>
          <w:rFonts w:ascii="Times New Roman" w:hAnsi="Times New Roman"/>
          <w:sz w:val="24"/>
          <w:szCs w:val="24"/>
        </w:rPr>
        <w:t>на</w:t>
      </w:r>
      <w:r w:rsidR="00E46902" w:rsidRPr="00FB5A28">
        <w:rPr>
          <w:rFonts w:ascii="Times New Roman" w:hAnsi="Times New Roman"/>
          <w:sz w:val="24"/>
          <w:szCs w:val="24"/>
        </w:rPr>
        <w:t xml:space="preserve"> </w:t>
      </w:r>
      <w:r w:rsidRPr="00FB5A28">
        <w:rPr>
          <w:rFonts w:ascii="Times New Roman" w:hAnsi="Times New Roman"/>
          <w:sz w:val="24"/>
          <w:szCs w:val="24"/>
        </w:rPr>
        <w:t>доходак</w:t>
      </w:r>
      <w:r w:rsidR="00E46902" w:rsidRPr="00FB5A28">
        <w:rPr>
          <w:rFonts w:ascii="Times New Roman" w:hAnsi="Times New Roman"/>
          <w:sz w:val="24"/>
          <w:szCs w:val="24"/>
        </w:rPr>
        <w:t xml:space="preserve"> </w:t>
      </w:r>
      <w:r w:rsidRPr="00FB5A28">
        <w:rPr>
          <w:rFonts w:ascii="Times New Roman" w:hAnsi="Times New Roman"/>
          <w:sz w:val="24"/>
          <w:szCs w:val="24"/>
        </w:rPr>
        <w:t>грађана</w:t>
      </w:r>
      <w:r w:rsidR="00E46902" w:rsidRPr="00FB5A28">
        <w:rPr>
          <w:rFonts w:ascii="Times New Roman" w:hAnsi="Times New Roman"/>
          <w:sz w:val="24"/>
          <w:szCs w:val="24"/>
        </w:rPr>
        <w:t xml:space="preserve"> </w:t>
      </w:r>
      <w:r w:rsidRPr="00FB5A28">
        <w:rPr>
          <w:rFonts w:ascii="Times New Roman" w:hAnsi="Times New Roman"/>
          <w:sz w:val="24"/>
          <w:szCs w:val="24"/>
        </w:rPr>
        <w:t>је</w:t>
      </w:r>
      <w:r w:rsidR="00E46902" w:rsidRPr="00FB5A28">
        <w:rPr>
          <w:rFonts w:ascii="Times New Roman" w:hAnsi="Times New Roman"/>
          <w:sz w:val="24"/>
          <w:szCs w:val="24"/>
        </w:rPr>
        <w:t xml:space="preserve"> </w:t>
      </w:r>
      <w:r w:rsidRPr="00FB5A28">
        <w:rPr>
          <w:rFonts w:ascii="Times New Roman" w:hAnsi="Times New Roman"/>
          <w:sz w:val="24"/>
          <w:szCs w:val="24"/>
        </w:rPr>
        <w:t>опорезиви</w:t>
      </w:r>
      <w:r w:rsidR="00E46902" w:rsidRPr="00FB5A28">
        <w:rPr>
          <w:rFonts w:ascii="Times New Roman" w:hAnsi="Times New Roman"/>
          <w:sz w:val="24"/>
          <w:szCs w:val="24"/>
        </w:rPr>
        <w:t xml:space="preserve"> </w:t>
      </w:r>
      <w:r w:rsidRPr="00FB5A28">
        <w:rPr>
          <w:rFonts w:ascii="Times New Roman" w:hAnsi="Times New Roman"/>
          <w:sz w:val="24"/>
          <w:szCs w:val="24"/>
        </w:rPr>
        <w:t>доходак</w:t>
      </w:r>
      <w:r w:rsidR="00E46902" w:rsidRPr="00FB5A28">
        <w:rPr>
          <w:rFonts w:ascii="Times New Roman" w:hAnsi="Times New Roman"/>
          <w:sz w:val="24"/>
          <w:szCs w:val="24"/>
        </w:rPr>
        <w:t xml:space="preserve">, </w:t>
      </w:r>
      <w:r w:rsidRPr="00FB5A28">
        <w:rPr>
          <w:rFonts w:ascii="Times New Roman" w:hAnsi="Times New Roman"/>
          <w:sz w:val="24"/>
          <w:szCs w:val="24"/>
        </w:rPr>
        <w:t>који</w:t>
      </w:r>
      <w:r w:rsidR="00E46902" w:rsidRPr="00FB5A28">
        <w:rPr>
          <w:rFonts w:ascii="Times New Roman" w:hAnsi="Times New Roman"/>
          <w:sz w:val="24"/>
          <w:szCs w:val="24"/>
        </w:rPr>
        <w:t xml:space="preserve"> </w:t>
      </w:r>
      <w:r w:rsidRPr="00FB5A28">
        <w:rPr>
          <w:rFonts w:ascii="Times New Roman" w:hAnsi="Times New Roman"/>
          <w:sz w:val="24"/>
          <w:szCs w:val="24"/>
        </w:rPr>
        <w:t>чини</w:t>
      </w:r>
      <w:r w:rsidR="00E46902" w:rsidRPr="00FB5A28">
        <w:rPr>
          <w:rFonts w:ascii="Times New Roman" w:hAnsi="Times New Roman"/>
          <w:sz w:val="24"/>
          <w:szCs w:val="24"/>
        </w:rPr>
        <w:t xml:space="preserve"> </w:t>
      </w:r>
      <w:r w:rsidRPr="00FB5A28">
        <w:rPr>
          <w:rFonts w:ascii="Times New Roman" w:hAnsi="Times New Roman"/>
          <w:sz w:val="24"/>
          <w:szCs w:val="24"/>
        </w:rPr>
        <w:t>разлика</w:t>
      </w:r>
      <w:r w:rsidR="00E46902" w:rsidRPr="00FB5A28">
        <w:rPr>
          <w:rFonts w:ascii="Times New Roman" w:hAnsi="Times New Roman"/>
          <w:sz w:val="24"/>
          <w:szCs w:val="24"/>
        </w:rPr>
        <w:t xml:space="preserve"> </w:t>
      </w:r>
      <w:r w:rsidRPr="00FB5A28">
        <w:rPr>
          <w:rFonts w:ascii="Times New Roman" w:hAnsi="Times New Roman"/>
          <w:sz w:val="24"/>
          <w:szCs w:val="24"/>
        </w:rPr>
        <w:t>између</w:t>
      </w:r>
      <w:r w:rsidR="00E46902" w:rsidRPr="00FB5A28">
        <w:rPr>
          <w:rFonts w:ascii="Times New Roman" w:hAnsi="Times New Roman"/>
          <w:sz w:val="24"/>
          <w:szCs w:val="24"/>
        </w:rPr>
        <w:t xml:space="preserve"> </w:t>
      </w:r>
      <w:r w:rsidRPr="00FB5A28">
        <w:rPr>
          <w:rFonts w:ascii="Times New Roman" w:hAnsi="Times New Roman"/>
          <w:sz w:val="24"/>
          <w:szCs w:val="24"/>
        </w:rPr>
        <w:t>дохотка</w:t>
      </w:r>
      <w:r w:rsidR="00E46902" w:rsidRPr="00FB5A28">
        <w:rPr>
          <w:rFonts w:ascii="Times New Roman" w:hAnsi="Times New Roman"/>
          <w:sz w:val="24"/>
          <w:szCs w:val="24"/>
        </w:rPr>
        <w:t xml:space="preserve"> </w:t>
      </w:r>
      <w:r w:rsidRPr="00FB5A28">
        <w:rPr>
          <w:rFonts w:ascii="Times New Roman" w:hAnsi="Times New Roman"/>
          <w:sz w:val="24"/>
          <w:szCs w:val="24"/>
        </w:rPr>
        <w:t>за</w:t>
      </w:r>
      <w:r w:rsidR="00E46902" w:rsidRPr="00FB5A28">
        <w:rPr>
          <w:rFonts w:ascii="Times New Roman" w:hAnsi="Times New Roman"/>
          <w:sz w:val="24"/>
          <w:szCs w:val="24"/>
        </w:rPr>
        <w:t xml:space="preserve"> </w:t>
      </w:r>
      <w:r w:rsidRPr="00FB5A28">
        <w:rPr>
          <w:rFonts w:ascii="Times New Roman" w:hAnsi="Times New Roman"/>
          <w:sz w:val="24"/>
          <w:szCs w:val="24"/>
        </w:rPr>
        <w:t>опорезивање</w:t>
      </w:r>
      <w:r w:rsidR="00E46902" w:rsidRPr="00FB5A28">
        <w:rPr>
          <w:rFonts w:ascii="Times New Roman" w:hAnsi="Times New Roman"/>
          <w:sz w:val="24"/>
          <w:szCs w:val="24"/>
        </w:rPr>
        <w:t xml:space="preserve">  </w:t>
      </w:r>
      <w:r w:rsidRPr="00FB5A28">
        <w:rPr>
          <w:rFonts w:ascii="Times New Roman" w:hAnsi="Times New Roman"/>
          <w:sz w:val="24"/>
          <w:szCs w:val="24"/>
        </w:rPr>
        <w:t>и</w:t>
      </w:r>
      <w:r w:rsidR="00E46902" w:rsidRPr="00FB5A28">
        <w:rPr>
          <w:rFonts w:ascii="Times New Roman" w:hAnsi="Times New Roman"/>
          <w:sz w:val="24"/>
          <w:szCs w:val="24"/>
        </w:rPr>
        <w:t xml:space="preserve"> </w:t>
      </w:r>
      <w:r w:rsidRPr="00FB5A28">
        <w:rPr>
          <w:rFonts w:ascii="Times New Roman" w:hAnsi="Times New Roman"/>
          <w:sz w:val="24"/>
          <w:szCs w:val="24"/>
        </w:rPr>
        <w:t>личних</w:t>
      </w:r>
      <w:r w:rsidR="00E46902" w:rsidRPr="00FB5A28">
        <w:rPr>
          <w:rFonts w:ascii="Times New Roman" w:hAnsi="Times New Roman"/>
          <w:sz w:val="24"/>
          <w:szCs w:val="24"/>
        </w:rPr>
        <w:t xml:space="preserve"> </w:t>
      </w:r>
      <w:r w:rsidRPr="00FB5A28">
        <w:rPr>
          <w:rFonts w:ascii="Times New Roman" w:hAnsi="Times New Roman"/>
          <w:sz w:val="24"/>
          <w:szCs w:val="24"/>
        </w:rPr>
        <w:t>одбитака</w:t>
      </w:r>
      <w:r w:rsidR="00E46902" w:rsidRPr="00FB5A28">
        <w:rPr>
          <w:rFonts w:ascii="Times New Roman" w:hAnsi="Times New Roman"/>
          <w:sz w:val="24"/>
          <w:szCs w:val="24"/>
        </w:rPr>
        <w:t xml:space="preserve"> </w:t>
      </w:r>
      <w:r w:rsidRPr="00FB5A28">
        <w:rPr>
          <w:rFonts w:ascii="Times New Roman" w:hAnsi="Times New Roman"/>
          <w:sz w:val="24"/>
          <w:szCs w:val="24"/>
        </w:rPr>
        <w:t>који</w:t>
      </w:r>
      <w:r w:rsidR="00E46902" w:rsidRPr="00FB5A28">
        <w:rPr>
          <w:rFonts w:ascii="Times New Roman" w:hAnsi="Times New Roman"/>
          <w:sz w:val="24"/>
          <w:szCs w:val="24"/>
        </w:rPr>
        <w:t xml:space="preserve"> </w:t>
      </w:r>
      <w:r w:rsidRPr="00FB5A28">
        <w:rPr>
          <w:rFonts w:ascii="Times New Roman" w:hAnsi="Times New Roman"/>
          <w:sz w:val="24"/>
          <w:szCs w:val="24"/>
        </w:rPr>
        <w:t>износе</w:t>
      </w:r>
      <w:r w:rsidR="00E46902" w:rsidRPr="00FB5A28">
        <w:rPr>
          <w:rFonts w:ascii="Times New Roman" w:hAnsi="Times New Roman"/>
          <w:sz w:val="24"/>
          <w:szCs w:val="24"/>
        </w:rPr>
        <w:t>:</w:t>
      </w:r>
    </w:p>
    <w:p w:rsidR="00E46902" w:rsidRPr="00FB5A28" w:rsidRDefault="00E46902" w:rsidP="00FB5A28">
      <w:pPr>
        <w:jc w:val="both"/>
        <w:rPr>
          <w:rFonts w:ascii="Times New Roman" w:hAnsi="Times New Roman"/>
          <w:sz w:val="24"/>
          <w:szCs w:val="24"/>
        </w:rPr>
      </w:pPr>
      <w:r w:rsidRPr="00FB5A28">
        <w:rPr>
          <w:rFonts w:ascii="Times New Roman" w:hAnsi="Times New Roman"/>
          <w:sz w:val="24"/>
          <w:szCs w:val="24"/>
        </w:rPr>
        <w:t xml:space="preserve">1) </w:t>
      </w:r>
      <w:r w:rsidR="00690453" w:rsidRPr="00FB5A28">
        <w:rPr>
          <w:rFonts w:ascii="Times New Roman" w:hAnsi="Times New Roman"/>
          <w:sz w:val="24"/>
          <w:szCs w:val="24"/>
        </w:rPr>
        <w:t>за</w:t>
      </w:r>
      <w:r w:rsidRPr="00FB5A28">
        <w:rPr>
          <w:rFonts w:ascii="Times New Roman" w:hAnsi="Times New Roman"/>
          <w:sz w:val="24"/>
          <w:szCs w:val="24"/>
        </w:rPr>
        <w:t xml:space="preserve"> </w:t>
      </w:r>
      <w:r w:rsidR="00690453" w:rsidRPr="00FB5A28">
        <w:rPr>
          <w:rFonts w:ascii="Times New Roman" w:hAnsi="Times New Roman"/>
          <w:sz w:val="24"/>
          <w:szCs w:val="24"/>
        </w:rPr>
        <w:t>пореског</w:t>
      </w:r>
      <w:r w:rsidRPr="00FB5A28">
        <w:rPr>
          <w:rFonts w:ascii="Times New Roman" w:hAnsi="Times New Roman"/>
          <w:sz w:val="24"/>
          <w:szCs w:val="24"/>
        </w:rPr>
        <w:t xml:space="preserve"> </w:t>
      </w:r>
      <w:r w:rsidR="00690453" w:rsidRPr="00FB5A28">
        <w:rPr>
          <w:rFonts w:ascii="Times New Roman" w:hAnsi="Times New Roman"/>
          <w:sz w:val="24"/>
          <w:szCs w:val="24"/>
        </w:rPr>
        <w:t>обвезника</w:t>
      </w:r>
      <w:r w:rsidRPr="00FB5A28">
        <w:rPr>
          <w:rFonts w:ascii="Times New Roman" w:hAnsi="Times New Roman"/>
          <w:sz w:val="24"/>
          <w:szCs w:val="24"/>
        </w:rPr>
        <w:t xml:space="preserve"> - 40% </w:t>
      </w:r>
      <w:r w:rsidR="00690453" w:rsidRPr="00FB5A28">
        <w:rPr>
          <w:rFonts w:ascii="Times New Roman" w:hAnsi="Times New Roman"/>
          <w:sz w:val="24"/>
          <w:szCs w:val="24"/>
        </w:rPr>
        <w:t>од</w:t>
      </w:r>
      <w:r w:rsidRPr="00FB5A28">
        <w:rPr>
          <w:rFonts w:ascii="Times New Roman" w:hAnsi="Times New Roman"/>
          <w:sz w:val="24"/>
          <w:szCs w:val="24"/>
        </w:rPr>
        <w:t xml:space="preserve"> </w:t>
      </w:r>
      <w:r w:rsidR="00690453" w:rsidRPr="00FB5A28">
        <w:rPr>
          <w:rFonts w:ascii="Times New Roman" w:hAnsi="Times New Roman"/>
          <w:sz w:val="24"/>
          <w:szCs w:val="24"/>
        </w:rPr>
        <w:t>просечне</w:t>
      </w:r>
      <w:r w:rsidRPr="00FB5A28">
        <w:rPr>
          <w:rFonts w:ascii="Times New Roman" w:hAnsi="Times New Roman"/>
          <w:sz w:val="24"/>
          <w:szCs w:val="24"/>
        </w:rPr>
        <w:t xml:space="preserve"> </w:t>
      </w:r>
      <w:r w:rsidR="00690453" w:rsidRPr="00FB5A28">
        <w:rPr>
          <w:rFonts w:ascii="Times New Roman" w:hAnsi="Times New Roman"/>
          <w:sz w:val="24"/>
          <w:szCs w:val="24"/>
        </w:rPr>
        <w:t>годишње</w:t>
      </w:r>
      <w:r w:rsidRPr="00FB5A28">
        <w:rPr>
          <w:rFonts w:ascii="Times New Roman" w:hAnsi="Times New Roman"/>
          <w:sz w:val="24"/>
          <w:szCs w:val="24"/>
        </w:rPr>
        <w:t xml:space="preserve"> </w:t>
      </w:r>
      <w:r w:rsidR="00690453" w:rsidRPr="00FB5A28">
        <w:rPr>
          <w:rFonts w:ascii="Times New Roman" w:hAnsi="Times New Roman"/>
          <w:sz w:val="24"/>
          <w:szCs w:val="24"/>
        </w:rPr>
        <w:t>зараде</w:t>
      </w:r>
      <w:r w:rsidRPr="00FB5A28">
        <w:rPr>
          <w:rFonts w:ascii="Times New Roman" w:hAnsi="Times New Roman"/>
          <w:sz w:val="24"/>
          <w:szCs w:val="24"/>
        </w:rPr>
        <w:t xml:space="preserve"> </w:t>
      </w:r>
      <w:r w:rsidR="00690453" w:rsidRPr="00FB5A28">
        <w:rPr>
          <w:rFonts w:ascii="Times New Roman" w:hAnsi="Times New Roman"/>
          <w:sz w:val="24"/>
          <w:szCs w:val="24"/>
        </w:rPr>
        <w:t>по</w:t>
      </w:r>
      <w:r w:rsidRPr="00FB5A28">
        <w:rPr>
          <w:rFonts w:ascii="Times New Roman" w:hAnsi="Times New Roman"/>
          <w:sz w:val="24"/>
          <w:szCs w:val="24"/>
        </w:rPr>
        <w:t xml:space="preserve"> </w:t>
      </w:r>
      <w:r w:rsidR="00690453" w:rsidRPr="00FB5A28">
        <w:rPr>
          <w:rFonts w:ascii="Times New Roman" w:hAnsi="Times New Roman"/>
          <w:sz w:val="24"/>
          <w:szCs w:val="24"/>
        </w:rPr>
        <w:t>запосленом</w:t>
      </w:r>
      <w:r w:rsidRPr="00FB5A28">
        <w:rPr>
          <w:rFonts w:ascii="Times New Roman" w:hAnsi="Times New Roman"/>
          <w:sz w:val="24"/>
          <w:szCs w:val="24"/>
        </w:rPr>
        <w:t xml:space="preserve"> </w:t>
      </w:r>
      <w:r w:rsidR="00690453" w:rsidRPr="00FB5A28">
        <w:rPr>
          <w:rFonts w:ascii="Times New Roman" w:hAnsi="Times New Roman"/>
          <w:sz w:val="24"/>
          <w:szCs w:val="24"/>
        </w:rPr>
        <w:t>исплаћене</w:t>
      </w:r>
      <w:r w:rsidRPr="00FB5A28">
        <w:rPr>
          <w:rFonts w:ascii="Times New Roman" w:hAnsi="Times New Roman"/>
          <w:sz w:val="24"/>
          <w:szCs w:val="24"/>
        </w:rPr>
        <w:t xml:space="preserve"> </w:t>
      </w:r>
      <w:r w:rsidR="00690453" w:rsidRPr="00FB5A28">
        <w:rPr>
          <w:rFonts w:ascii="Times New Roman" w:hAnsi="Times New Roman"/>
          <w:sz w:val="24"/>
          <w:szCs w:val="24"/>
        </w:rPr>
        <w:t>у</w:t>
      </w:r>
      <w:r w:rsidRPr="00FB5A28">
        <w:rPr>
          <w:rFonts w:ascii="Times New Roman" w:hAnsi="Times New Roman"/>
          <w:sz w:val="24"/>
          <w:szCs w:val="24"/>
        </w:rPr>
        <w:t xml:space="preserve"> </w:t>
      </w:r>
      <w:r w:rsidR="00690453" w:rsidRPr="00FB5A28">
        <w:rPr>
          <w:rFonts w:ascii="Times New Roman" w:hAnsi="Times New Roman"/>
          <w:sz w:val="24"/>
          <w:szCs w:val="24"/>
        </w:rPr>
        <w:t>Републици</w:t>
      </w:r>
      <w:r w:rsidRPr="00FB5A28">
        <w:rPr>
          <w:rFonts w:ascii="Times New Roman" w:hAnsi="Times New Roman"/>
          <w:sz w:val="24"/>
          <w:szCs w:val="24"/>
        </w:rPr>
        <w:t xml:space="preserve"> </w:t>
      </w:r>
      <w:r w:rsidR="00690453" w:rsidRPr="00FB5A28">
        <w:rPr>
          <w:rFonts w:ascii="Times New Roman" w:hAnsi="Times New Roman"/>
          <w:sz w:val="24"/>
          <w:szCs w:val="24"/>
        </w:rPr>
        <w:t>у</w:t>
      </w:r>
      <w:r w:rsidRPr="00FB5A28">
        <w:rPr>
          <w:rFonts w:ascii="Times New Roman" w:hAnsi="Times New Roman"/>
          <w:sz w:val="24"/>
          <w:szCs w:val="24"/>
        </w:rPr>
        <w:t xml:space="preserve"> </w:t>
      </w:r>
      <w:r w:rsidR="00690453" w:rsidRPr="00FB5A28">
        <w:rPr>
          <w:rFonts w:ascii="Times New Roman" w:hAnsi="Times New Roman"/>
          <w:sz w:val="24"/>
          <w:szCs w:val="24"/>
        </w:rPr>
        <w:t>години</w:t>
      </w:r>
      <w:r w:rsidRPr="00FB5A28">
        <w:rPr>
          <w:rFonts w:ascii="Times New Roman" w:hAnsi="Times New Roman"/>
          <w:sz w:val="24"/>
          <w:szCs w:val="24"/>
        </w:rPr>
        <w:t xml:space="preserve"> </w:t>
      </w:r>
      <w:r w:rsidR="00690453" w:rsidRPr="00FB5A28">
        <w:rPr>
          <w:rFonts w:ascii="Times New Roman" w:hAnsi="Times New Roman"/>
          <w:sz w:val="24"/>
          <w:szCs w:val="24"/>
        </w:rPr>
        <w:t>за</w:t>
      </w:r>
      <w:r w:rsidRPr="00FB5A28">
        <w:rPr>
          <w:rFonts w:ascii="Times New Roman" w:hAnsi="Times New Roman"/>
          <w:sz w:val="24"/>
          <w:szCs w:val="24"/>
        </w:rPr>
        <w:t xml:space="preserve"> </w:t>
      </w:r>
      <w:r w:rsidR="00690453" w:rsidRPr="00FB5A28">
        <w:rPr>
          <w:rFonts w:ascii="Times New Roman" w:hAnsi="Times New Roman"/>
          <w:sz w:val="24"/>
          <w:szCs w:val="24"/>
        </w:rPr>
        <w:t>коју</w:t>
      </w:r>
      <w:r w:rsidRPr="00FB5A28">
        <w:rPr>
          <w:rFonts w:ascii="Times New Roman" w:hAnsi="Times New Roman"/>
          <w:sz w:val="24"/>
          <w:szCs w:val="24"/>
        </w:rPr>
        <w:t xml:space="preserve"> </w:t>
      </w:r>
      <w:r w:rsidR="00690453" w:rsidRPr="00FB5A28">
        <w:rPr>
          <w:rFonts w:ascii="Times New Roman" w:hAnsi="Times New Roman"/>
          <w:sz w:val="24"/>
          <w:szCs w:val="24"/>
        </w:rPr>
        <w:t>се</w:t>
      </w:r>
      <w:r w:rsidRPr="00FB5A28">
        <w:rPr>
          <w:rFonts w:ascii="Times New Roman" w:hAnsi="Times New Roman"/>
          <w:sz w:val="24"/>
          <w:szCs w:val="24"/>
        </w:rPr>
        <w:t xml:space="preserve"> </w:t>
      </w:r>
      <w:r w:rsidR="00690453" w:rsidRPr="00FB5A28">
        <w:rPr>
          <w:rFonts w:ascii="Times New Roman" w:hAnsi="Times New Roman"/>
          <w:sz w:val="24"/>
          <w:szCs w:val="24"/>
        </w:rPr>
        <w:t>утврђује</w:t>
      </w:r>
      <w:r w:rsidRPr="00FB5A28">
        <w:rPr>
          <w:rFonts w:ascii="Times New Roman" w:hAnsi="Times New Roman"/>
          <w:sz w:val="24"/>
          <w:szCs w:val="24"/>
        </w:rPr>
        <w:t xml:space="preserve"> </w:t>
      </w:r>
      <w:r w:rsidR="00690453" w:rsidRPr="00FB5A28">
        <w:rPr>
          <w:rFonts w:ascii="Times New Roman" w:hAnsi="Times New Roman"/>
          <w:sz w:val="24"/>
          <w:szCs w:val="24"/>
        </w:rPr>
        <w:t>порез</w:t>
      </w:r>
      <w:r w:rsidRPr="00FB5A28">
        <w:rPr>
          <w:rFonts w:ascii="Times New Roman" w:hAnsi="Times New Roman"/>
          <w:sz w:val="24"/>
          <w:szCs w:val="24"/>
        </w:rPr>
        <w:t xml:space="preserve">, </w:t>
      </w:r>
      <w:r w:rsidR="00690453" w:rsidRPr="00FB5A28">
        <w:rPr>
          <w:rFonts w:ascii="Times New Roman" w:hAnsi="Times New Roman"/>
          <w:sz w:val="24"/>
          <w:szCs w:val="24"/>
        </w:rPr>
        <w:t>према</w:t>
      </w:r>
      <w:r w:rsidRPr="00FB5A28">
        <w:rPr>
          <w:rFonts w:ascii="Times New Roman" w:hAnsi="Times New Roman"/>
          <w:sz w:val="24"/>
          <w:szCs w:val="24"/>
        </w:rPr>
        <w:t xml:space="preserve"> </w:t>
      </w:r>
      <w:r w:rsidR="00690453" w:rsidRPr="00FB5A28">
        <w:rPr>
          <w:rFonts w:ascii="Times New Roman" w:hAnsi="Times New Roman"/>
          <w:sz w:val="24"/>
          <w:szCs w:val="24"/>
        </w:rPr>
        <w:t>подацима</w:t>
      </w:r>
      <w:r w:rsidRPr="00FB5A28">
        <w:rPr>
          <w:rFonts w:ascii="Times New Roman" w:hAnsi="Times New Roman"/>
          <w:sz w:val="24"/>
          <w:szCs w:val="24"/>
        </w:rPr>
        <w:t xml:space="preserve"> </w:t>
      </w:r>
      <w:r w:rsidR="00690453" w:rsidRPr="00FB5A28">
        <w:rPr>
          <w:rFonts w:ascii="Times New Roman" w:hAnsi="Times New Roman"/>
          <w:sz w:val="24"/>
          <w:szCs w:val="24"/>
        </w:rPr>
        <w:t>републичког</w:t>
      </w:r>
      <w:r w:rsidRPr="00FB5A28">
        <w:rPr>
          <w:rFonts w:ascii="Times New Roman" w:hAnsi="Times New Roman"/>
          <w:sz w:val="24"/>
          <w:szCs w:val="24"/>
        </w:rPr>
        <w:t xml:space="preserve"> </w:t>
      </w:r>
      <w:r w:rsidR="00690453" w:rsidRPr="00FB5A28">
        <w:rPr>
          <w:rFonts w:ascii="Times New Roman" w:hAnsi="Times New Roman"/>
          <w:sz w:val="24"/>
          <w:szCs w:val="24"/>
        </w:rPr>
        <w:t>органа</w:t>
      </w:r>
      <w:r w:rsidRPr="00FB5A28">
        <w:rPr>
          <w:rFonts w:ascii="Times New Roman" w:hAnsi="Times New Roman"/>
          <w:sz w:val="24"/>
          <w:szCs w:val="24"/>
        </w:rPr>
        <w:t xml:space="preserve"> </w:t>
      </w:r>
      <w:r w:rsidR="00690453" w:rsidRPr="00FB5A28">
        <w:rPr>
          <w:rFonts w:ascii="Times New Roman" w:hAnsi="Times New Roman"/>
          <w:sz w:val="24"/>
          <w:szCs w:val="24"/>
        </w:rPr>
        <w:t>надлежног</w:t>
      </w:r>
      <w:r w:rsidRPr="00FB5A28">
        <w:rPr>
          <w:rFonts w:ascii="Times New Roman" w:hAnsi="Times New Roman"/>
          <w:sz w:val="24"/>
          <w:szCs w:val="24"/>
        </w:rPr>
        <w:t xml:space="preserve"> </w:t>
      </w:r>
      <w:r w:rsidR="00690453" w:rsidRPr="00FB5A28">
        <w:rPr>
          <w:rFonts w:ascii="Times New Roman" w:hAnsi="Times New Roman"/>
          <w:sz w:val="24"/>
          <w:szCs w:val="24"/>
        </w:rPr>
        <w:t>за</w:t>
      </w:r>
      <w:r w:rsidRPr="00FB5A28">
        <w:rPr>
          <w:rFonts w:ascii="Times New Roman" w:hAnsi="Times New Roman"/>
          <w:sz w:val="24"/>
          <w:szCs w:val="24"/>
        </w:rPr>
        <w:t xml:space="preserve"> </w:t>
      </w:r>
      <w:r w:rsidR="00690453" w:rsidRPr="00FB5A28">
        <w:rPr>
          <w:rFonts w:ascii="Times New Roman" w:hAnsi="Times New Roman"/>
          <w:sz w:val="24"/>
          <w:szCs w:val="24"/>
        </w:rPr>
        <w:t>послове</w:t>
      </w:r>
      <w:r w:rsidRPr="00FB5A28">
        <w:rPr>
          <w:rFonts w:ascii="Times New Roman" w:hAnsi="Times New Roman"/>
          <w:sz w:val="24"/>
          <w:szCs w:val="24"/>
        </w:rPr>
        <w:t xml:space="preserve"> </w:t>
      </w:r>
      <w:r w:rsidR="00690453" w:rsidRPr="00FB5A28">
        <w:rPr>
          <w:rFonts w:ascii="Times New Roman" w:hAnsi="Times New Roman"/>
          <w:sz w:val="24"/>
          <w:szCs w:val="24"/>
        </w:rPr>
        <w:t>статистике</w:t>
      </w:r>
      <w:r w:rsidRPr="00FB5A28">
        <w:rPr>
          <w:rFonts w:ascii="Times New Roman" w:hAnsi="Times New Roman"/>
          <w:sz w:val="24"/>
          <w:szCs w:val="24"/>
        </w:rPr>
        <w:t>;</w:t>
      </w:r>
    </w:p>
    <w:p w:rsidR="00E46902" w:rsidRPr="00FB5A28" w:rsidRDefault="00E46902" w:rsidP="00FB5A28">
      <w:pPr>
        <w:jc w:val="both"/>
        <w:rPr>
          <w:rFonts w:ascii="Times New Roman" w:hAnsi="Times New Roman"/>
          <w:sz w:val="24"/>
          <w:szCs w:val="24"/>
        </w:rPr>
      </w:pPr>
      <w:r w:rsidRPr="00FB5A28">
        <w:rPr>
          <w:rFonts w:ascii="Times New Roman" w:hAnsi="Times New Roman"/>
          <w:sz w:val="24"/>
          <w:szCs w:val="24"/>
        </w:rPr>
        <w:t xml:space="preserve">2) </w:t>
      </w:r>
      <w:r w:rsidR="00690453" w:rsidRPr="00FB5A28">
        <w:rPr>
          <w:rFonts w:ascii="Times New Roman" w:hAnsi="Times New Roman"/>
          <w:sz w:val="24"/>
          <w:szCs w:val="24"/>
        </w:rPr>
        <w:t>за</w:t>
      </w:r>
      <w:r w:rsidRPr="00FB5A28">
        <w:rPr>
          <w:rFonts w:ascii="Times New Roman" w:hAnsi="Times New Roman"/>
          <w:sz w:val="24"/>
          <w:szCs w:val="24"/>
        </w:rPr>
        <w:t xml:space="preserve"> </w:t>
      </w:r>
      <w:r w:rsidR="00690453" w:rsidRPr="00FB5A28">
        <w:rPr>
          <w:rFonts w:ascii="Times New Roman" w:hAnsi="Times New Roman"/>
          <w:sz w:val="24"/>
          <w:szCs w:val="24"/>
        </w:rPr>
        <w:t>издржаваног</w:t>
      </w:r>
      <w:r w:rsidRPr="00FB5A28">
        <w:rPr>
          <w:rFonts w:ascii="Times New Roman" w:hAnsi="Times New Roman"/>
          <w:sz w:val="24"/>
          <w:szCs w:val="24"/>
        </w:rPr>
        <w:t xml:space="preserve"> </w:t>
      </w:r>
      <w:r w:rsidR="00690453" w:rsidRPr="00FB5A28">
        <w:rPr>
          <w:rFonts w:ascii="Times New Roman" w:hAnsi="Times New Roman"/>
          <w:sz w:val="24"/>
          <w:szCs w:val="24"/>
        </w:rPr>
        <w:t>члана</w:t>
      </w:r>
      <w:r w:rsidRPr="00FB5A28">
        <w:rPr>
          <w:rFonts w:ascii="Times New Roman" w:hAnsi="Times New Roman"/>
          <w:sz w:val="24"/>
          <w:szCs w:val="24"/>
        </w:rPr>
        <w:t xml:space="preserve"> </w:t>
      </w:r>
      <w:r w:rsidR="00690453" w:rsidRPr="00FB5A28">
        <w:rPr>
          <w:rFonts w:ascii="Times New Roman" w:hAnsi="Times New Roman"/>
          <w:sz w:val="24"/>
          <w:szCs w:val="24"/>
        </w:rPr>
        <w:t>породице</w:t>
      </w:r>
      <w:r w:rsidRPr="00FB5A28">
        <w:rPr>
          <w:rFonts w:ascii="Times New Roman" w:hAnsi="Times New Roman"/>
          <w:sz w:val="24"/>
          <w:szCs w:val="24"/>
        </w:rPr>
        <w:t xml:space="preserve"> - 15% </w:t>
      </w:r>
      <w:r w:rsidR="00690453" w:rsidRPr="00FB5A28">
        <w:rPr>
          <w:rFonts w:ascii="Times New Roman" w:hAnsi="Times New Roman"/>
          <w:sz w:val="24"/>
          <w:szCs w:val="24"/>
        </w:rPr>
        <w:t>од</w:t>
      </w:r>
      <w:r w:rsidRPr="00FB5A28">
        <w:rPr>
          <w:rFonts w:ascii="Times New Roman" w:hAnsi="Times New Roman"/>
          <w:sz w:val="24"/>
          <w:szCs w:val="24"/>
        </w:rPr>
        <w:t xml:space="preserve"> </w:t>
      </w:r>
      <w:r w:rsidR="00690453" w:rsidRPr="00FB5A28">
        <w:rPr>
          <w:rFonts w:ascii="Times New Roman" w:hAnsi="Times New Roman"/>
          <w:sz w:val="24"/>
          <w:szCs w:val="24"/>
        </w:rPr>
        <w:t>просечне</w:t>
      </w:r>
      <w:r w:rsidRPr="00FB5A28">
        <w:rPr>
          <w:rFonts w:ascii="Times New Roman" w:hAnsi="Times New Roman"/>
          <w:sz w:val="24"/>
          <w:szCs w:val="24"/>
        </w:rPr>
        <w:t xml:space="preserve"> </w:t>
      </w:r>
      <w:r w:rsidR="00690453" w:rsidRPr="00FB5A28">
        <w:rPr>
          <w:rFonts w:ascii="Times New Roman" w:hAnsi="Times New Roman"/>
          <w:sz w:val="24"/>
          <w:szCs w:val="24"/>
        </w:rPr>
        <w:t>годишње</w:t>
      </w:r>
      <w:r w:rsidRPr="00FB5A28">
        <w:rPr>
          <w:rFonts w:ascii="Times New Roman" w:hAnsi="Times New Roman"/>
          <w:sz w:val="24"/>
          <w:szCs w:val="24"/>
        </w:rPr>
        <w:t xml:space="preserve"> </w:t>
      </w:r>
      <w:r w:rsidR="00690453" w:rsidRPr="00FB5A28">
        <w:rPr>
          <w:rFonts w:ascii="Times New Roman" w:hAnsi="Times New Roman"/>
          <w:sz w:val="24"/>
          <w:szCs w:val="24"/>
        </w:rPr>
        <w:t>зараде</w:t>
      </w:r>
      <w:r w:rsidRPr="00FB5A28">
        <w:rPr>
          <w:rFonts w:ascii="Times New Roman" w:hAnsi="Times New Roman"/>
          <w:sz w:val="24"/>
          <w:szCs w:val="24"/>
        </w:rPr>
        <w:t xml:space="preserve"> </w:t>
      </w:r>
      <w:r w:rsidR="00690453" w:rsidRPr="00FB5A28">
        <w:rPr>
          <w:rFonts w:ascii="Times New Roman" w:hAnsi="Times New Roman"/>
          <w:sz w:val="24"/>
          <w:szCs w:val="24"/>
        </w:rPr>
        <w:t>по</w:t>
      </w:r>
      <w:r w:rsidRPr="00FB5A28">
        <w:rPr>
          <w:rFonts w:ascii="Times New Roman" w:hAnsi="Times New Roman"/>
          <w:sz w:val="24"/>
          <w:szCs w:val="24"/>
        </w:rPr>
        <w:t xml:space="preserve"> </w:t>
      </w:r>
      <w:r w:rsidR="00690453" w:rsidRPr="00FB5A28">
        <w:rPr>
          <w:rFonts w:ascii="Times New Roman" w:hAnsi="Times New Roman"/>
          <w:sz w:val="24"/>
          <w:szCs w:val="24"/>
        </w:rPr>
        <w:t>запосленом</w:t>
      </w:r>
      <w:r w:rsidRPr="00FB5A28">
        <w:rPr>
          <w:rFonts w:ascii="Times New Roman" w:hAnsi="Times New Roman"/>
          <w:sz w:val="24"/>
          <w:szCs w:val="24"/>
        </w:rPr>
        <w:t xml:space="preserve"> </w:t>
      </w:r>
      <w:r w:rsidR="00690453" w:rsidRPr="00FB5A28">
        <w:rPr>
          <w:rFonts w:ascii="Times New Roman" w:hAnsi="Times New Roman"/>
          <w:sz w:val="24"/>
          <w:szCs w:val="24"/>
        </w:rPr>
        <w:t>исплаћене</w:t>
      </w:r>
      <w:r w:rsidRPr="00FB5A28">
        <w:rPr>
          <w:rFonts w:ascii="Times New Roman" w:hAnsi="Times New Roman"/>
          <w:sz w:val="24"/>
          <w:szCs w:val="24"/>
        </w:rPr>
        <w:t xml:space="preserve"> </w:t>
      </w:r>
      <w:r w:rsidR="00690453" w:rsidRPr="00FB5A28">
        <w:rPr>
          <w:rFonts w:ascii="Times New Roman" w:hAnsi="Times New Roman"/>
          <w:sz w:val="24"/>
          <w:szCs w:val="24"/>
        </w:rPr>
        <w:t>у</w:t>
      </w:r>
      <w:r w:rsidRPr="00FB5A28">
        <w:rPr>
          <w:rFonts w:ascii="Times New Roman" w:hAnsi="Times New Roman"/>
          <w:sz w:val="24"/>
          <w:szCs w:val="24"/>
        </w:rPr>
        <w:t xml:space="preserve"> </w:t>
      </w:r>
      <w:r w:rsidR="00690453" w:rsidRPr="00FB5A28">
        <w:rPr>
          <w:rFonts w:ascii="Times New Roman" w:hAnsi="Times New Roman"/>
          <w:sz w:val="24"/>
          <w:szCs w:val="24"/>
        </w:rPr>
        <w:t>Републици</w:t>
      </w:r>
      <w:r w:rsidRPr="00FB5A28">
        <w:rPr>
          <w:rFonts w:ascii="Times New Roman" w:hAnsi="Times New Roman"/>
          <w:sz w:val="24"/>
          <w:szCs w:val="24"/>
        </w:rPr>
        <w:t xml:space="preserve"> </w:t>
      </w:r>
      <w:r w:rsidR="00690453" w:rsidRPr="00FB5A28">
        <w:rPr>
          <w:rFonts w:ascii="Times New Roman" w:hAnsi="Times New Roman"/>
          <w:sz w:val="24"/>
          <w:szCs w:val="24"/>
        </w:rPr>
        <w:t>у</w:t>
      </w:r>
      <w:r w:rsidRPr="00FB5A28">
        <w:rPr>
          <w:rFonts w:ascii="Times New Roman" w:hAnsi="Times New Roman"/>
          <w:sz w:val="24"/>
          <w:szCs w:val="24"/>
        </w:rPr>
        <w:t xml:space="preserve"> </w:t>
      </w:r>
      <w:r w:rsidR="00690453" w:rsidRPr="00FB5A28">
        <w:rPr>
          <w:rFonts w:ascii="Times New Roman" w:hAnsi="Times New Roman"/>
          <w:sz w:val="24"/>
          <w:szCs w:val="24"/>
        </w:rPr>
        <w:t>години</w:t>
      </w:r>
      <w:r w:rsidRPr="00FB5A28">
        <w:rPr>
          <w:rFonts w:ascii="Times New Roman" w:hAnsi="Times New Roman"/>
          <w:sz w:val="24"/>
          <w:szCs w:val="24"/>
        </w:rPr>
        <w:t xml:space="preserve"> </w:t>
      </w:r>
      <w:r w:rsidR="00690453" w:rsidRPr="00FB5A28">
        <w:rPr>
          <w:rFonts w:ascii="Times New Roman" w:hAnsi="Times New Roman"/>
          <w:sz w:val="24"/>
          <w:szCs w:val="24"/>
        </w:rPr>
        <w:t>за</w:t>
      </w:r>
      <w:r w:rsidRPr="00FB5A28">
        <w:rPr>
          <w:rFonts w:ascii="Times New Roman" w:hAnsi="Times New Roman"/>
          <w:sz w:val="24"/>
          <w:szCs w:val="24"/>
        </w:rPr>
        <w:t xml:space="preserve"> </w:t>
      </w:r>
      <w:r w:rsidR="00690453" w:rsidRPr="00FB5A28">
        <w:rPr>
          <w:rFonts w:ascii="Times New Roman" w:hAnsi="Times New Roman"/>
          <w:sz w:val="24"/>
          <w:szCs w:val="24"/>
        </w:rPr>
        <w:t>коју</w:t>
      </w:r>
      <w:r w:rsidRPr="00FB5A28">
        <w:rPr>
          <w:rFonts w:ascii="Times New Roman" w:hAnsi="Times New Roman"/>
          <w:sz w:val="24"/>
          <w:szCs w:val="24"/>
        </w:rPr>
        <w:t xml:space="preserve"> </w:t>
      </w:r>
      <w:r w:rsidR="00690453" w:rsidRPr="00FB5A28">
        <w:rPr>
          <w:rFonts w:ascii="Times New Roman" w:hAnsi="Times New Roman"/>
          <w:sz w:val="24"/>
          <w:szCs w:val="24"/>
        </w:rPr>
        <w:t>се</w:t>
      </w:r>
      <w:r w:rsidRPr="00FB5A28">
        <w:rPr>
          <w:rFonts w:ascii="Times New Roman" w:hAnsi="Times New Roman"/>
          <w:sz w:val="24"/>
          <w:szCs w:val="24"/>
        </w:rPr>
        <w:t xml:space="preserve"> </w:t>
      </w:r>
      <w:r w:rsidR="00690453" w:rsidRPr="00FB5A28">
        <w:rPr>
          <w:rFonts w:ascii="Times New Roman" w:hAnsi="Times New Roman"/>
          <w:sz w:val="24"/>
          <w:szCs w:val="24"/>
        </w:rPr>
        <w:t>утврђује</w:t>
      </w:r>
      <w:r w:rsidRPr="00FB5A28">
        <w:rPr>
          <w:rFonts w:ascii="Times New Roman" w:hAnsi="Times New Roman"/>
          <w:sz w:val="24"/>
          <w:szCs w:val="24"/>
        </w:rPr>
        <w:t xml:space="preserve"> </w:t>
      </w:r>
      <w:r w:rsidR="00690453" w:rsidRPr="00FB5A28">
        <w:rPr>
          <w:rFonts w:ascii="Times New Roman" w:hAnsi="Times New Roman"/>
          <w:sz w:val="24"/>
          <w:szCs w:val="24"/>
        </w:rPr>
        <w:t>порез</w:t>
      </w:r>
      <w:r w:rsidRPr="00FB5A28">
        <w:rPr>
          <w:rFonts w:ascii="Times New Roman" w:hAnsi="Times New Roman"/>
          <w:sz w:val="24"/>
          <w:szCs w:val="24"/>
        </w:rPr>
        <w:t xml:space="preserve">, </w:t>
      </w:r>
      <w:r w:rsidR="00690453" w:rsidRPr="00FB5A28">
        <w:rPr>
          <w:rFonts w:ascii="Times New Roman" w:hAnsi="Times New Roman"/>
          <w:sz w:val="24"/>
          <w:szCs w:val="24"/>
        </w:rPr>
        <w:t>према</w:t>
      </w:r>
      <w:r w:rsidRPr="00FB5A28">
        <w:rPr>
          <w:rFonts w:ascii="Times New Roman" w:hAnsi="Times New Roman"/>
          <w:sz w:val="24"/>
          <w:szCs w:val="24"/>
        </w:rPr>
        <w:t xml:space="preserve"> </w:t>
      </w:r>
      <w:r w:rsidR="00690453" w:rsidRPr="00FB5A28">
        <w:rPr>
          <w:rFonts w:ascii="Times New Roman" w:hAnsi="Times New Roman"/>
          <w:sz w:val="24"/>
          <w:szCs w:val="24"/>
        </w:rPr>
        <w:t>подацима</w:t>
      </w:r>
      <w:r w:rsidRPr="00FB5A28">
        <w:rPr>
          <w:rFonts w:ascii="Times New Roman" w:hAnsi="Times New Roman"/>
          <w:sz w:val="24"/>
          <w:szCs w:val="24"/>
        </w:rPr>
        <w:t xml:space="preserve"> </w:t>
      </w:r>
      <w:r w:rsidR="00690453" w:rsidRPr="00FB5A28">
        <w:rPr>
          <w:rFonts w:ascii="Times New Roman" w:hAnsi="Times New Roman"/>
          <w:sz w:val="24"/>
          <w:szCs w:val="24"/>
        </w:rPr>
        <w:t>републичког</w:t>
      </w:r>
      <w:r w:rsidRPr="00FB5A28">
        <w:rPr>
          <w:rFonts w:ascii="Times New Roman" w:hAnsi="Times New Roman"/>
          <w:sz w:val="24"/>
          <w:szCs w:val="24"/>
        </w:rPr>
        <w:t xml:space="preserve"> </w:t>
      </w:r>
      <w:r w:rsidR="00690453" w:rsidRPr="00FB5A28">
        <w:rPr>
          <w:rFonts w:ascii="Times New Roman" w:hAnsi="Times New Roman"/>
          <w:sz w:val="24"/>
          <w:szCs w:val="24"/>
        </w:rPr>
        <w:t>органа</w:t>
      </w:r>
      <w:r w:rsidRPr="00FB5A28">
        <w:rPr>
          <w:rFonts w:ascii="Times New Roman" w:hAnsi="Times New Roman"/>
          <w:sz w:val="24"/>
          <w:szCs w:val="24"/>
        </w:rPr>
        <w:t xml:space="preserve"> </w:t>
      </w:r>
      <w:r w:rsidR="00690453" w:rsidRPr="00FB5A28">
        <w:rPr>
          <w:rFonts w:ascii="Times New Roman" w:hAnsi="Times New Roman"/>
          <w:sz w:val="24"/>
          <w:szCs w:val="24"/>
        </w:rPr>
        <w:t>надлежног</w:t>
      </w:r>
      <w:r w:rsidRPr="00FB5A28">
        <w:rPr>
          <w:rFonts w:ascii="Times New Roman" w:hAnsi="Times New Roman"/>
          <w:sz w:val="24"/>
          <w:szCs w:val="24"/>
        </w:rPr>
        <w:t xml:space="preserve"> </w:t>
      </w:r>
      <w:r w:rsidR="00690453" w:rsidRPr="00FB5A28">
        <w:rPr>
          <w:rFonts w:ascii="Times New Roman" w:hAnsi="Times New Roman"/>
          <w:sz w:val="24"/>
          <w:szCs w:val="24"/>
        </w:rPr>
        <w:t>за</w:t>
      </w:r>
      <w:r w:rsidRPr="00FB5A28">
        <w:rPr>
          <w:rFonts w:ascii="Times New Roman" w:hAnsi="Times New Roman"/>
          <w:sz w:val="24"/>
          <w:szCs w:val="24"/>
        </w:rPr>
        <w:t xml:space="preserve"> </w:t>
      </w:r>
      <w:r w:rsidR="00690453" w:rsidRPr="00FB5A28">
        <w:rPr>
          <w:rFonts w:ascii="Times New Roman" w:hAnsi="Times New Roman"/>
          <w:sz w:val="24"/>
          <w:szCs w:val="24"/>
        </w:rPr>
        <w:t>послове</w:t>
      </w:r>
      <w:r w:rsidRPr="00FB5A28">
        <w:rPr>
          <w:rFonts w:ascii="Times New Roman" w:hAnsi="Times New Roman"/>
          <w:sz w:val="24"/>
          <w:szCs w:val="24"/>
        </w:rPr>
        <w:t xml:space="preserve"> </w:t>
      </w:r>
      <w:r w:rsidR="00690453" w:rsidRPr="00FB5A28">
        <w:rPr>
          <w:rFonts w:ascii="Times New Roman" w:hAnsi="Times New Roman"/>
          <w:sz w:val="24"/>
          <w:szCs w:val="24"/>
        </w:rPr>
        <w:t>статистике</w:t>
      </w:r>
      <w:r w:rsidRPr="00FB5A28">
        <w:rPr>
          <w:rFonts w:ascii="Times New Roman" w:hAnsi="Times New Roman"/>
          <w:sz w:val="24"/>
          <w:szCs w:val="24"/>
        </w:rPr>
        <w:t xml:space="preserve">, </w:t>
      </w:r>
      <w:r w:rsidR="00690453" w:rsidRPr="00FB5A28">
        <w:rPr>
          <w:rFonts w:ascii="Times New Roman" w:hAnsi="Times New Roman"/>
          <w:sz w:val="24"/>
          <w:szCs w:val="24"/>
        </w:rPr>
        <w:t>по</w:t>
      </w:r>
      <w:r w:rsidRPr="00FB5A28">
        <w:rPr>
          <w:rFonts w:ascii="Times New Roman" w:hAnsi="Times New Roman"/>
          <w:sz w:val="24"/>
          <w:szCs w:val="24"/>
        </w:rPr>
        <w:t xml:space="preserve"> </w:t>
      </w:r>
      <w:r w:rsidR="00690453" w:rsidRPr="00FB5A28">
        <w:rPr>
          <w:rFonts w:ascii="Times New Roman" w:hAnsi="Times New Roman"/>
          <w:sz w:val="24"/>
          <w:szCs w:val="24"/>
        </w:rPr>
        <w:t>члану</w:t>
      </w:r>
      <w:r w:rsidRPr="00FB5A28">
        <w:rPr>
          <w:rFonts w:ascii="Times New Roman" w:hAnsi="Times New Roman"/>
          <w:sz w:val="24"/>
          <w:szCs w:val="24"/>
        </w:rPr>
        <w:t>.</w:t>
      </w:r>
    </w:p>
    <w:p w:rsidR="00E46902" w:rsidRPr="00FB5A28" w:rsidRDefault="00690453" w:rsidP="00FB5A28">
      <w:pPr>
        <w:jc w:val="both"/>
        <w:rPr>
          <w:rFonts w:ascii="Times New Roman" w:hAnsi="Times New Roman"/>
          <w:sz w:val="24"/>
          <w:szCs w:val="24"/>
        </w:rPr>
      </w:pPr>
      <w:r w:rsidRPr="00FB5A28">
        <w:rPr>
          <w:rFonts w:ascii="Times New Roman" w:hAnsi="Times New Roman"/>
          <w:sz w:val="24"/>
          <w:szCs w:val="24"/>
        </w:rPr>
        <w:t>Укупан</w:t>
      </w:r>
      <w:r w:rsidR="00E46902" w:rsidRPr="00FB5A28">
        <w:rPr>
          <w:rFonts w:ascii="Times New Roman" w:hAnsi="Times New Roman"/>
          <w:sz w:val="24"/>
          <w:szCs w:val="24"/>
        </w:rPr>
        <w:t xml:space="preserve"> </w:t>
      </w:r>
      <w:r w:rsidRPr="00FB5A28">
        <w:rPr>
          <w:rFonts w:ascii="Times New Roman" w:hAnsi="Times New Roman"/>
          <w:sz w:val="24"/>
          <w:szCs w:val="24"/>
        </w:rPr>
        <w:t>износ</w:t>
      </w:r>
      <w:r w:rsidR="00E46902" w:rsidRPr="00FB5A28">
        <w:rPr>
          <w:rFonts w:ascii="Times New Roman" w:hAnsi="Times New Roman"/>
          <w:sz w:val="24"/>
          <w:szCs w:val="24"/>
        </w:rPr>
        <w:t xml:space="preserve"> </w:t>
      </w:r>
      <w:r w:rsidRPr="00FB5A28">
        <w:rPr>
          <w:rFonts w:ascii="Times New Roman" w:hAnsi="Times New Roman"/>
          <w:sz w:val="24"/>
          <w:szCs w:val="24"/>
        </w:rPr>
        <w:t>личних</w:t>
      </w:r>
      <w:r w:rsidR="003844EB" w:rsidRPr="00FB5A28">
        <w:rPr>
          <w:rFonts w:ascii="Times New Roman" w:hAnsi="Times New Roman"/>
          <w:sz w:val="24"/>
          <w:szCs w:val="24"/>
        </w:rPr>
        <w:t xml:space="preserve"> </w:t>
      </w:r>
      <w:r w:rsidRPr="00FB5A28">
        <w:rPr>
          <w:rFonts w:ascii="Times New Roman" w:hAnsi="Times New Roman"/>
          <w:sz w:val="24"/>
          <w:szCs w:val="24"/>
        </w:rPr>
        <w:t>одбитак</w:t>
      </w:r>
      <w:r w:rsidR="003844EB" w:rsidRPr="00FB5A28">
        <w:rPr>
          <w:rFonts w:ascii="Times New Roman" w:hAnsi="Times New Roman"/>
          <w:sz w:val="24"/>
          <w:szCs w:val="24"/>
          <w:lang w:val="sr-Cyrl-CS"/>
        </w:rPr>
        <w:t xml:space="preserve">а </w:t>
      </w:r>
      <w:r w:rsidR="00E46902" w:rsidRPr="00FB5A28">
        <w:rPr>
          <w:rFonts w:ascii="Times New Roman" w:hAnsi="Times New Roman"/>
          <w:sz w:val="24"/>
          <w:szCs w:val="24"/>
        </w:rPr>
        <w:t xml:space="preserve"> </w:t>
      </w:r>
      <w:r w:rsidRPr="00FB5A28">
        <w:rPr>
          <w:rFonts w:ascii="Times New Roman" w:hAnsi="Times New Roman"/>
          <w:sz w:val="24"/>
          <w:szCs w:val="24"/>
        </w:rPr>
        <w:t>не</w:t>
      </w:r>
      <w:r w:rsidR="00E46902" w:rsidRPr="00FB5A28">
        <w:rPr>
          <w:rFonts w:ascii="Times New Roman" w:hAnsi="Times New Roman"/>
          <w:sz w:val="24"/>
          <w:szCs w:val="24"/>
        </w:rPr>
        <w:t xml:space="preserve"> </w:t>
      </w:r>
      <w:r w:rsidRPr="00FB5A28">
        <w:rPr>
          <w:rFonts w:ascii="Times New Roman" w:hAnsi="Times New Roman"/>
          <w:sz w:val="24"/>
          <w:szCs w:val="24"/>
        </w:rPr>
        <w:t>може</w:t>
      </w:r>
      <w:r w:rsidR="00E46902" w:rsidRPr="00FB5A28">
        <w:rPr>
          <w:rFonts w:ascii="Times New Roman" w:hAnsi="Times New Roman"/>
          <w:sz w:val="24"/>
          <w:szCs w:val="24"/>
        </w:rPr>
        <w:t xml:space="preserve"> </w:t>
      </w:r>
      <w:r w:rsidRPr="00FB5A28">
        <w:rPr>
          <w:rFonts w:ascii="Times New Roman" w:hAnsi="Times New Roman"/>
          <w:sz w:val="24"/>
          <w:szCs w:val="24"/>
        </w:rPr>
        <w:t>бити</w:t>
      </w:r>
      <w:r w:rsidR="00E46902" w:rsidRPr="00FB5A28">
        <w:rPr>
          <w:rFonts w:ascii="Times New Roman" w:hAnsi="Times New Roman"/>
          <w:sz w:val="24"/>
          <w:szCs w:val="24"/>
        </w:rPr>
        <w:t xml:space="preserve"> </w:t>
      </w:r>
      <w:r w:rsidRPr="00FB5A28">
        <w:rPr>
          <w:rFonts w:ascii="Times New Roman" w:hAnsi="Times New Roman"/>
          <w:sz w:val="24"/>
          <w:szCs w:val="24"/>
        </w:rPr>
        <w:t>већи</w:t>
      </w:r>
      <w:r w:rsidR="00E46902" w:rsidRPr="00FB5A28">
        <w:rPr>
          <w:rFonts w:ascii="Times New Roman" w:hAnsi="Times New Roman"/>
          <w:sz w:val="24"/>
          <w:szCs w:val="24"/>
        </w:rPr>
        <w:t xml:space="preserve"> </w:t>
      </w:r>
      <w:r w:rsidRPr="00FB5A28">
        <w:rPr>
          <w:rFonts w:ascii="Times New Roman" w:hAnsi="Times New Roman"/>
          <w:sz w:val="24"/>
          <w:szCs w:val="24"/>
        </w:rPr>
        <w:t>од</w:t>
      </w:r>
      <w:r w:rsidR="00E46902" w:rsidRPr="00FB5A28">
        <w:rPr>
          <w:rFonts w:ascii="Times New Roman" w:hAnsi="Times New Roman"/>
          <w:sz w:val="24"/>
          <w:szCs w:val="24"/>
        </w:rPr>
        <w:t xml:space="preserve"> 50% </w:t>
      </w:r>
      <w:r w:rsidRPr="00FB5A28">
        <w:rPr>
          <w:rFonts w:ascii="Times New Roman" w:hAnsi="Times New Roman"/>
          <w:sz w:val="24"/>
          <w:szCs w:val="24"/>
        </w:rPr>
        <w:t>дохотка</w:t>
      </w:r>
      <w:r w:rsidR="00E46902" w:rsidRPr="00FB5A28">
        <w:rPr>
          <w:rFonts w:ascii="Times New Roman" w:hAnsi="Times New Roman"/>
          <w:sz w:val="24"/>
          <w:szCs w:val="24"/>
        </w:rPr>
        <w:t xml:space="preserve"> </w:t>
      </w:r>
      <w:r w:rsidRPr="00FB5A28">
        <w:rPr>
          <w:rFonts w:ascii="Times New Roman" w:hAnsi="Times New Roman"/>
          <w:sz w:val="24"/>
          <w:szCs w:val="24"/>
        </w:rPr>
        <w:t>за</w:t>
      </w:r>
      <w:r w:rsidR="00E46902" w:rsidRPr="00FB5A28">
        <w:rPr>
          <w:rFonts w:ascii="Times New Roman" w:hAnsi="Times New Roman"/>
          <w:sz w:val="24"/>
          <w:szCs w:val="24"/>
        </w:rPr>
        <w:t xml:space="preserve"> </w:t>
      </w:r>
      <w:r w:rsidRPr="00FB5A28">
        <w:rPr>
          <w:rFonts w:ascii="Times New Roman" w:hAnsi="Times New Roman"/>
          <w:sz w:val="24"/>
          <w:szCs w:val="24"/>
        </w:rPr>
        <w:t>опорезивање</w:t>
      </w:r>
      <w:r w:rsidR="00E46902" w:rsidRPr="00FB5A28">
        <w:rPr>
          <w:rFonts w:ascii="Times New Roman" w:hAnsi="Times New Roman"/>
          <w:sz w:val="24"/>
          <w:szCs w:val="24"/>
        </w:rPr>
        <w:t>.</w:t>
      </w:r>
      <w:r w:rsidR="003844EB" w:rsidRPr="00FB5A28">
        <w:rPr>
          <w:rFonts w:ascii="Times New Roman" w:hAnsi="Times New Roman"/>
          <w:sz w:val="24"/>
          <w:szCs w:val="24"/>
          <w:lang w:val="sr-Cyrl-CS"/>
        </w:rPr>
        <w:t xml:space="preserve"> </w:t>
      </w:r>
      <w:r w:rsidRPr="00FB5A28">
        <w:rPr>
          <w:rFonts w:ascii="Times New Roman" w:hAnsi="Times New Roman"/>
          <w:sz w:val="24"/>
          <w:szCs w:val="24"/>
        </w:rPr>
        <w:t>Ако</w:t>
      </w:r>
      <w:r w:rsidR="00E46902" w:rsidRPr="00FB5A28">
        <w:rPr>
          <w:rFonts w:ascii="Times New Roman" w:hAnsi="Times New Roman"/>
          <w:sz w:val="24"/>
          <w:szCs w:val="24"/>
        </w:rPr>
        <w:t xml:space="preserve"> </w:t>
      </w:r>
      <w:r w:rsidRPr="00FB5A28">
        <w:rPr>
          <w:rFonts w:ascii="Times New Roman" w:hAnsi="Times New Roman"/>
          <w:sz w:val="24"/>
          <w:szCs w:val="24"/>
        </w:rPr>
        <w:t>су</w:t>
      </w:r>
      <w:r w:rsidR="00E46902" w:rsidRPr="00FB5A28">
        <w:rPr>
          <w:rFonts w:ascii="Times New Roman" w:hAnsi="Times New Roman"/>
          <w:sz w:val="24"/>
          <w:szCs w:val="24"/>
        </w:rPr>
        <w:t xml:space="preserve"> </w:t>
      </w:r>
      <w:r w:rsidRPr="00FB5A28">
        <w:rPr>
          <w:rFonts w:ascii="Times New Roman" w:hAnsi="Times New Roman"/>
          <w:sz w:val="24"/>
          <w:szCs w:val="24"/>
        </w:rPr>
        <w:t>два</w:t>
      </w:r>
      <w:r w:rsidR="00E46902" w:rsidRPr="00FB5A28">
        <w:rPr>
          <w:rFonts w:ascii="Times New Roman" w:hAnsi="Times New Roman"/>
          <w:sz w:val="24"/>
          <w:szCs w:val="24"/>
        </w:rPr>
        <w:t xml:space="preserve"> </w:t>
      </w:r>
      <w:r w:rsidRPr="00FB5A28">
        <w:rPr>
          <w:rFonts w:ascii="Times New Roman" w:hAnsi="Times New Roman"/>
          <w:sz w:val="24"/>
          <w:szCs w:val="24"/>
        </w:rPr>
        <w:t>или</w:t>
      </w:r>
      <w:r w:rsidR="00E46902" w:rsidRPr="00FB5A28">
        <w:rPr>
          <w:rFonts w:ascii="Times New Roman" w:hAnsi="Times New Roman"/>
          <w:sz w:val="24"/>
          <w:szCs w:val="24"/>
        </w:rPr>
        <w:t xml:space="preserve"> </w:t>
      </w:r>
      <w:r w:rsidRPr="00FB5A28">
        <w:rPr>
          <w:rFonts w:ascii="Times New Roman" w:hAnsi="Times New Roman"/>
          <w:sz w:val="24"/>
          <w:szCs w:val="24"/>
        </w:rPr>
        <w:t>више</w:t>
      </w:r>
      <w:r w:rsidR="00E46902" w:rsidRPr="00FB5A28">
        <w:rPr>
          <w:rFonts w:ascii="Times New Roman" w:hAnsi="Times New Roman"/>
          <w:sz w:val="24"/>
          <w:szCs w:val="24"/>
        </w:rPr>
        <w:t xml:space="preserve"> </w:t>
      </w:r>
      <w:r w:rsidRPr="00FB5A28">
        <w:rPr>
          <w:rFonts w:ascii="Times New Roman" w:hAnsi="Times New Roman"/>
          <w:sz w:val="24"/>
          <w:szCs w:val="24"/>
        </w:rPr>
        <w:t>чланова</w:t>
      </w:r>
      <w:r w:rsidR="00E46902" w:rsidRPr="00FB5A28">
        <w:rPr>
          <w:rFonts w:ascii="Times New Roman" w:hAnsi="Times New Roman"/>
          <w:sz w:val="24"/>
          <w:szCs w:val="24"/>
        </w:rPr>
        <w:t xml:space="preserve"> </w:t>
      </w:r>
      <w:r w:rsidRPr="00FB5A28">
        <w:rPr>
          <w:rFonts w:ascii="Times New Roman" w:hAnsi="Times New Roman"/>
          <w:sz w:val="24"/>
          <w:szCs w:val="24"/>
        </w:rPr>
        <w:t>породице</w:t>
      </w:r>
      <w:r w:rsidR="00E46902" w:rsidRPr="00FB5A28">
        <w:rPr>
          <w:rFonts w:ascii="Times New Roman" w:hAnsi="Times New Roman"/>
          <w:sz w:val="24"/>
          <w:szCs w:val="24"/>
        </w:rPr>
        <w:t xml:space="preserve"> </w:t>
      </w:r>
      <w:r w:rsidRPr="00FB5A28">
        <w:rPr>
          <w:rFonts w:ascii="Times New Roman" w:hAnsi="Times New Roman"/>
          <w:sz w:val="24"/>
          <w:szCs w:val="24"/>
        </w:rPr>
        <w:t>обвезници</w:t>
      </w:r>
      <w:r w:rsidR="00E46902" w:rsidRPr="00FB5A28">
        <w:rPr>
          <w:rFonts w:ascii="Times New Roman" w:hAnsi="Times New Roman"/>
          <w:sz w:val="24"/>
          <w:szCs w:val="24"/>
        </w:rPr>
        <w:t xml:space="preserve"> </w:t>
      </w:r>
      <w:r w:rsidRPr="00FB5A28">
        <w:rPr>
          <w:rFonts w:ascii="Times New Roman" w:hAnsi="Times New Roman"/>
          <w:sz w:val="24"/>
          <w:szCs w:val="24"/>
        </w:rPr>
        <w:t>годишњег</w:t>
      </w:r>
      <w:r w:rsidR="00E46902" w:rsidRPr="00FB5A28">
        <w:rPr>
          <w:rFonts w:ascii="Times New Roman" w:hAnsi="Times New Roman"/>
          <w:sz w:val="24"/>
          <w:szCs w:val="24"/>
        </w:rPr>
        <w:t xml:space="preserve"> </w:t>
      </w:r>
      <w:r w:rsidRPr="00FB5A28">
        <w:rPr>
          <w:rFonts w:ascii="Times New Roman" w:hAnsi="Times New Roman"/>
          <w:sz w:val="24"/>
          <w:szCs w:val="24"/>
        </w:rPr>
        <w:t>пореза</w:t>
      </w:r>
      <w:r w:rsidR="00E46902" w:rsidRPr="00FB5A28">
        <w:rPr>
          <w:rFonts w:ascii="Times New Roman" w:hAnsi="Times New Roman"/>
          <w:sz w:val="24"/>
          <w:szCs w:val="24"/>
        </w:rPr>
        <w:t xml:space="preserve"> </w:t>
      </w:r>
      <w:r w:rsidRPr="00FB5A28">
        <w:rPr>
          <w:rFonts w:ascii="Times New Roman" w:hAnsi="Times New Roman"/>
          <w:sz w:val="24"/>
          <w:szCs w:val="24"/>
        </w:rPr>
        <w:t>на</w:t>
      </w:r>
      <w:r w:rsidR="00E46902" w:rsidRPr="00FB5A28">
        <w:rPr>
          <w:rFonts w:ascii="Times New Roman" w:hAnsi="Times New Roman"/>
          <w:sz w:val="24"/>
          <w:szCs w:val="24"/>
        </w:rPr>
        <w:t xml:space="preserve"> </w:t>
      </w:r>
      <w:r w:rsidRPr="00FB5A28">
        <w:rPr>
          <w:rFonts w:ascii="Times New Roman" w:hAnsi="Times New Roman"/>
          <w:sz w:val="24"/>
          <w:szCs w:val="24"/>
        </w:rPr>
        <w:t>доходак</w:t>
      </w:r>
      <w:r w:rsidR="00E46902" w:rsidRPr="00FB5A28">
        <w:rPr>
          <w:rFonts w:ascii="Times New Roman" w:hAnsi="Times New Roman"/>
          <w:sz w:val="24"/>
          <w:szCs w:val="24"/>
        </w:rPr>
        <w:t xml:space="preserve"> </w:t>
      </w:r>
      <w:r w:rsidRPr="00FB5A28">
        <w:rPr>
          <w:rFonts w:ascii="Times New Roman" w:hAnsi="Times New Roman"/>
          <w:sz w:val="24"/>
          <w:szCs w:val="24"/>
        </w:rPr>
        <w:t>грађана</w:t>
      </w:r>
      <w:r w:rsidR="00E46902" w:rsidRPr="00FB5A28">
        <w:rPr>
          <w:rFonts w:ascii="Times New Roman" w:hAnsi="Times New Roman"/>
          <w:sz w:val="24"/>
          <w:szCs w:val="24"/>
        </w:rPr>
        <w:t xml:space="preserve">, </w:t>
      </w:r>
      <w:r w:rsidRPr="00FB5A28">
        <w:rPr>
          <w:rFonts w:ascii="Times New Roman" w:hAnsi="Times New Roman"/>
          <w:sz w:val="24"/>
          <w:szCs w:val="24"/>
        </w:rPr>
        <w:t>одбитак</w:t>
      </w:r>
      <w:r w:rsidR="00E46902" w:rsidRPr="00FB5A28">
        <w:rPr>
          <w:rFonts w:ascii="Times New Roman" w:hAnsi="Times New Roman"/>
          <w:sz w:val="24"/>
          <w:szCs w:val="24"/>
        </w:rPr>
        <w:t xml:space="preserve"> </w:t>
      </w:r>
      <w:r w:rsidRPr="00FB5A28">
        <w:rPr>
          <w:rFonts w:ascii="Times New Roman" w:hAnsi="Times New Roman"/>
          <w:sz w:val="24"/>
          <w:szCs w:val="24"/>
        </w:rPr>
        <w:t>за</w:t>
      </w:r>
      <w:r w:rsidR="00E46902" w:rsidRPr="00FB5A28">
        <w:rPr>
          <w:rFonts w:ascii="Times New Roman" w:hAnsi="Times New Roman"/>
          <w:sz w:val="24"/>
          <w:szCs w:val="24"/>
        </w:rPr>
        <w:t xml:space="preserve"> </w:t>
      </w:r>
      <w:r w:rsidRPr="00FB5A28">
        <w:rPr>
          <w:rFonts w:ascii="Times New Roman" w:hAnsi="Times New Roman"/>
          <w:sz w:val="24"/>
          <w:szCs w:val="24"/>
        </w:rPr>
        <w:t>издржаване</w:t>
      </w:r>
      <w:r w:rsidR="00E46902" w:rsidRPr="00FB5A28">
        <w:rPr>
          <w:rFonts w:ascii="Times New Roman" w:hAnsi="Times New Roman"/>
          <w:sz w:val="24"/>
          <w:szCs w:val="24"/>
        </w:rPr>
        <w:t xml:space="preserve"> </w:t>
      </w:r>
      <w:r w:rsidRPr="00FB5A28">
        <w:rPr>
          <w:rFonts w:ascii="Times New Roman" w:hAnsi="Times New Roman"/>
          <w:sz w:val="24"/>
          <w:szCs w:val="24"/>
        </w:rPr>
        <w:t>чланове</w:t>
      </w:r>
      <w:r w:rsidR="00E46902" w:rsidRPr="00FB5A28">
        <w:rPr>
          <w:rFonts w:ascii="Times New Roman" w:hAnsi="Times New Roman"/>
          <w:sz w:val="24"/>
          <w:szCs w:val="24"/>
        </w:rPr>
        <w:t xml:space="preserve"> </w:t>
      </w:r>
      <w:r w:rsidRPr="00FB5A28">
        <w:rPr>
          <w:rFonts w:ascii="Times New Roman" w:hAnsi="Times New Roman"/>
          <w:sz w:val="24"/>
          <w:szCs w:val="24"/>
        </w:rPr>
        <w:t>породице</w:t>
      </w:r>
      <w:r w:rsidR="00E46902" w:rsidRPr="00FB5A28">
        <w:rPr>
          <w:rFonts w:ascii="Times New Roman" w:hAnsi="Times New Roman"/>
          <w:sz w:val="24"/>
          <w:szCs w:val="24"/>
        </w:rPr>
        <w:t xml:space="preserve"> </w:t>
      </w:r>
      <w:r w:rsidRPr="00FB5A28">
        <w:rPr>
          <w:rFonts w:ascii="Times New Roman" w:hAnsi="Times New Roman"/>
          <w:sz w:val="24"/>
          <w:szCs w:val="24"/>
        </w:rPr>
        <w:t>може</w:t>
      </w:r>
      <w:r w:rsidR="00E46902" w:rsidRPr="00FB5A28">
        <w:rPr>
          <w:rFonts w:ascii="Times New Roman" w:hAnsi="Times New Roman"/>
          <w:sz w:val="24"/>
          <w:szCs w:val="24"/>
        </w:rPr>
        <w:t xml:space="preserve"> </w:t>
      </w:r>
      <w:r w:rsidRPr="00FB5A28">
        <w:rPr>
          <w:rFonts w:ascii="Times New Roman" w:hAnsi="Times New Roman"/>
          <w:sz w:val="24"/>
          <w:szCs w:val="24"/>
        </w:rPr>
        <w:t>остварити</w:t>
      </w:r>
      <w:r w:rsidR="00E46902" w:rsidRPr="00FB5A28">
        <w:rPr>
          <w:rFonts w:ascii="Times New Roman" w:hAnsi="Times New Roman"/>
          <w:sz w:val="24"/>
          <w:szCs w:val="24"/>
        </w:rPr>
        <w:t xml:space="preserve"> </w:t>
      </w:r>
      <w:r w:rsidRPr="00FB5A28">
        <w:rPr>
          <w:rFonts w:ascii="Times New Roman" w:hAnsi="Times New Roman"/>
          <w:sz w:val="24"/>
          <w:szCs w:val="24"/>
        </w:rPr>
        <w:t>само</w:t>
      </w:r>
      <w:r w:rsidR="00E46902" w:rsidRPr="00FB5A28">
        <w:rPr>
          <w:rFonts w:ascii="Times New Roman" w:hAnsi="Times New Roman"/>
          <w:sz w:val="24"/>
          <w:szCs w:val="24"/>
        </w:rPr>
        <w:t xml:space="preserve"> </w:t>
      </w:r>
      <w:r w:rsidRPr="00FB5A28">
        <w:rPr>
          <w:rFonts w:ascii="Times New Roman" w:hAnsi="Times New Roman"/>
          <w:sz w:val="24"/>
          <w:szCs w:val="24"/>
        </w:rPr>
        <w:t>један</w:t>
      </w:r>
      <w:r w:rsidR="00E46902" w:rsidRPr="00FB5A28">
        <w:rPr>
          <w:rFonts w:ascii="Times New Roman" w:hAnsi="Times New Roman"/>
          <w:sz w:val="24"/>
          <w:szCs w:val="24"/>
        </w:rPr>
        <w:t xml:space="preserve"> </w:t>
      </w:r>
      <w:r w:rsidRPr="00FB5A28">
        <w:rPr>
          <w:rFonts w:ascii="Times New Roman" w:hAnsi="Times New Roman"/>
          <w:sz w:val="24"/>
          <w:szCs w:val="24"/>
        </w:rPr>
        <w:t>обвезник</w:t>
      </w:r>
      <w:r w:rsidR="00E46902" w:rsidRPr="00FB5A28">
        <w:rPr>
          <w:rFonts w:ascii="Times New Roman" w:hAnsi="Times New Roman"/>
          <w:sz w:val="24"/>
          <w:szCs w:val="24"/>
        </w:rPr>
        <w:t>.</w:t>
      </w:r>
      <w:r w:rsidR="003844EB" w:rsidRPr="00FB5A28">
        <w:rPr>
          <w:rStyle w:val="FootnoteReference"/>
          <w:rFonts w:ascii="Times New Roman" w:hAnsi="Times New Roman"/>
          <w:color w:val="000000"/>
          <w:sz w:val="24"/>
          <w:szCs w:val="24"/>
        </w:rPr>
        <w:footnoteReference w:id="465"/>
      </w:r>
    </w:p>
    <w:p w:rsidR="00014DFE" w:rsidRDefault="00690453" w:rsidP="00FB5A28">
      <w:pPr>
        <w:jc w:val="both"/>
        <w:rPr>
          <w:rFonts w:ascii="Times New Roman" w:hAnsi="Times New Roman"/>
          <w:sz w:val="24"/>
          <w:szCs w:val="24"/>
          <w:lang w:val="sr-Cyrl-CS"/>
        </w:rPr>
      </w:pPr>
      <w:bookmarkStart w:id="51" w:name="str_67"/>
      <w:bookmarkEnd w:id="51"/>
      <w:r w:rsidRPr="00FB5A28">
        <w:rPr>
          <w:rFonts w:ascii="Times New Roman" w:hAnsi="Times New Roman"/>
          <w:sz w:val="24"/>
          <w:szCs w:val="24"/>
          <w:lang w:val="sr-Cyrl-CS"/>
        </w:rPr>
        <w:tab/>
        <w:t xml:space="preserve">Пореска обавеза настаје истеком календарске године у којој је остварен </w:t>
      </w:r>
      <w:r w:rsidRPr="00FB5A28">
        <w:rPr>
          <w:rFonts w:ascii="Times New Roman" w:hAnsi="Times New Roman"/>
          <w:sz w:val="24"/>
          <w:szCs w:val="24"/>
        </w:rPr>
        <w:t xml:space="preserve">доходак већи од </w:t>
      </w:r>
      <w:r w:rsidRPr="00FB5A28">
        <w:rPr>
          <w:rFonts w:ascii="Times New Roman" w:hAnsi="Times New Roman"/>
          <w:sz w:val="24"/>
          <w:szCs w:val="24"/>
          <w:lang w:val="sr-Cyrl-CS"/>
        </w:rPr>
        <w:t>предвиђеног неопорезованог износа.</w:t>
      </w:r>
    </w:p>
    <w:p w:rsidR="00FB5A28" w:rsidRDefault="00FB5A28" w:rsidP="00FB5A28">
      <w:pPr>
        <w:jc w:val="both"/>
        <w:rPr>
          <w:rFonts w:ascii="Times New Roman" w:hAnsi="Times New Roman"/>
          <w:sz w:val="24"/>
          <w:szCs w:val="24"/>
          <w:lang w:val="sr-Cyrl-CS"/>
        </w:rPr>
      </w:pPr>
    </w:p>
    <w:p w:rsidR="00FB5A28" w:rsidRDefault="00FB5A28" w:rsidP="00FB5A28">
      <w:pPr>
        <w:jc w:val="both"/>
        <w:rPr>
          <w:rFonts w:ascii="Times New Roman" w:hAnsi="Times New Roman"/>
          <w:sz w:val="24"/>
          <w:szCs w:val="24"/>
          <w:lang w:val="sr-Cyrl-CS"/>
        </w:rPr>
      </w:pPr>
    </w:p>
    <w:p w:rsidR="00FB5A28" w:rsidRPr="00FB5A28" w:rsidRDefault="00FB5A28" w:rsidP="00FB5A28">
      <w:pPr>
        <w:jc w:val="both"/>
        <w:rPr>
          <w:rFonts w:ascii="Times New Roman" w:hAnsi="Times New Roman"/>
          <w:sz w:val="24"/>
          <w:szCs w:val="24"/>
          <w:lang w:val="sr-Cyrl-CS"/>
        </w:rPr>
      </w:pPr>
    </w:p>
    <w:p w:rsidR="00014DFE" w:rsidRPr="00FB5A28" w:rsidRDefault="00014DFE" w:rsidP="00FB5A28">
      <w:pPr>
        <w:jc w:val="both"/>
        <w:rPr>
          <w:rFonts w:ascii="Times New Roman" w:hAnsi="Times New Roman"/>
          <w:sz w:val="24"/>
          <w:szCs w:val="24"/>
        </w:rPr>
      </w:pPr>
    </w:p>
    <w:p w:rsidR="00717D0E" w:rsidRPr="005F720D" w:rsidRDefault="001830E1" w:rsidP="008A3795">
      <w:pPr>
        <w:numPr>
          <w:ilvl w:val="2"/>
          <w:numId w:val="55"/>
        </w:numPr>
        <w:rPr>
          <w:rFonts w:ascii="Times New Roman" w:hAnsi="Times New Roman"/>
          <w:b/>
          <w:color w:val="000000"/>
          <w:sz w:val="24"/>
          <w:szCs w:val="24"/>
          <w:shd w:val="clear" w:color="auto" w:fill="FFFFFF"/>
          <w:lang w:val="sr-Cyrl-CS"/>
        </w:rPr>
      </w:pPr>
      <w:r>
        <w:rPr>
          <w:rFonts w:ascii="Times New Roman" w:hAnsi="Times New Roman"/>
          <w:b/>
          <w:color w:val="000000"/>
          <w:sz w:val="24"/>
          <w:szCs w:val="24"/>
          <w:shd w:val="clear" w:color="auto" w:fill="FFFFFF"/>
          <w:lang w:val="sr-Cyrl-CS"/>
        </w:rPr>
        <w:lastRenderedPageBreak/>
        <w:t>Избегавање плаћања пореза на доходак грађ</w:t>
      </w:r>
      <w:r w:rsidR="005F720D">
        <w:rPr>
          <w:rFonts w:ascii="Times New Roman" w:hAnsi="Times New Roman"/>
          <w:b/>
          <w:color w:val="000000"/>
          <w:sz w:val="24"/>
          <w:szCs w:val="24"/>
          <w:shd w:val="clear" w:color="auto" w:fill="FFFFFF"/>
          <w:lang w:val="sr-Cyrl-CS"/>
        </w:rPr>
        <w:t>ана</w:t>
      </w:r>
      <w:r w:rsidR="00717D0E" w:rsidRPr="005F720D">
        <w:rPr>
          <w:rFonts w:ascii="Times New Roman" w:hAnsi="Times New Roman"/>
          <w:b/>
          <w:color w:val="000000"/>
          <w:sz w:val="24"/>
          <w:szCs w:val="24"/>
          <w:shd w:val="clear" w:color="auto" w:fill="FFFFFF"/>
          <w:lang w:val="sr-Cyrl-CS"/>
        </w:rPr>
        <w:t xml:space="preserve"> </w:t>
      </w:r>
    </w:p>
    <w:p w:rsidR="00717D0E" w:rsidRPr="00D86438" w:rsidRDefault="00717D0E" w:rsidP="00717D0E">
      <w:pPr>
        <w:jc w:val="center"/>
        <w:rPr>
          <w:rFonts w:ascii="Times New Roman" w:hAnsi="Times New Roman"/>
          <w:b/>
          <w:color w:val="000000"/>
          <w:sz w:val="24"/>
          <w:szCs w:val="24"/>
          <w:shd w:val="clear" w:color="auto" w:fill="FFFFFF"/>
          <w:lang w:val="sr-Cyrl-CS"/>
        </w:rPr>
      </w:pPr>
    </w:p>
    <w:p w:rsidR="00717D0E" w:rsidRPr="005F720D" w:rsidRDefault="00717D0E" w:rsidP="005F720D">
      <w:pPr>
        <w:ind w:firstLine="360"/>
        <w:jc w:val="both"/>
        <w:rPr>
          <w:rFonts w:ascii="Times New Roman" w:hAnsi="Times New Roman"/>
          <w:sz w:val="24"/>
          <w:szCs w:val="24"/>
          <w:lang w:val="sr-Cyrl-CS"/>
        </w:rPr>
      </w:pPr>
      <w:r w:rsidRPr="005F720D">
        <w:rPr>
          <w:rFonts w:ascii="Times New Roman" w:hAnsi="Times New Roman"/>
          <w:sz w:val="24"/>
          <w:szCs w:val="24"/>
          <w:lang w:val="sr-Cyrl-CS"/>
        </w:rPr>
        <w:t xml:space="preserve">При анализи пробламатике избегавања плаћања пореза на доходак грађана полазиште је разлика између различитих облика </w:t>
      </w:r>
      <w:r w:rsidR="00E77954">
        <w:rPr>
          <w:rFonts w:ascii="Times New Roman" w:hAnsi="Times New Roman"/>
          <w:sz w:val="24"/>
          <w:szCs w:val="24"/>
          <w:lang w:val="sr-Cyrl-CS"/>
        </w:rPr>
        <w:t>пореске евазије</w:t>
      </w:r>
      <w:r w:rsidRPr="005F720D">
        <w:rPr>
          <w:rFonts w:ascii="Times New Roman" w:hAnsi="Times New Roman"/>
          <w:sz w:val="24"/>
          <w:szCs w:val="24"/>
          <w:lang w:val="sr-Cyrl-CS"/>
        </w:rPr>
        <w:t xml:space="preserve"> о којима смо говорили у претходном излагању, односно законите (дозвољене, легалне) евазије и незаконите евазије, као и подела у оквиру законите евазије пореза </w:t>
      </w:r>
      <w:r w:rsidR="00C80A6E">
        <w:rPr>
          <w:rFonts w:ascii="Times New Roman" w:hAnsi="Times New Roman"/>
          <w:sz w:val="24"/>
          <w:szCs w:val="24"/>
          <w:lang w:val="sr-Cyrl-CS"/>
        </w:rPr>
        <w:t>на прихватљиву-легитимну евазију</w:t>
      </w:r>
      <w:r w:rsidRPr="005F720D">
        <w:rPr>
          <w:rFonts w:ascii="Times New Roman" w:hAnsi="Times New Roman"/>
          <w:sz w:val="24"/>
          <w:szCs w:val="24"/>
          <w:lang w:val="sr-Cyrl-CS"/>
        </w:rPr>
        <w:t xml:space="preserve"> пореза и  неприхватљиву-нелегитимну евазију пореза. </w:t>
      </w:r>
    </w:p>
    <w:p w:rsidR="00717D0E" w:rsidRPr="005F720D" w:rsidRDefault="00717D0E" w:rsidP="005F720D">
      <w:pPr>
        <w:ind w:firstLine="360"/>
        <w:jc w:val="both"/>
        <w:rPr>
          <w:rFonts w:ascii="Times New Roman" w:hAnsi="Times New Roman"/>
          <w:sz w:val="24"/>
          <w:szCs w:val="24"/>
          <w:lang w:val="sr-Cyrl-CS"/>
        </w:rPr>
      </w:pPr>
      <w:r w:rsidRPr="005F720D">
        <w:rPr>
          <w:rFonts w:ascii="Times New Roman" w:hAnsi="Times New Roman"/>
          <w:sz w:val="24"/>
          <w:szCs w:val="24"/>
          <w:lang w:val="sr-Cyrl-CS"/>
        </w:rPr>
        <w:t>Код овог пореског облика, као и код претходно наведених, заступљене су различите погодности за поједине случајеве, у циљу реализације бројних ванфиска</w:t>
      </w:r>
      <w:r w:rsidR="00A6675D">
        <w:rPr>
          <w:rFonts w:ascii="Times New Roman" w:hAnsi="Times New Roman"/>
          <w:sz w:val="24"/>
          <w:szCs w:val="24"/>
          <w:lang w:val="sr-Cyrl-CS"/>
        </w:rPr>
        <w:t>лних циљева. Тако је законом регу</w:t>
      </w:r>
      <w:r w:rsidRPr="005F720D">
        <w:rPr>
          <w:rFonts w:ascii="Times New Roman" w:hAnsi="Times New Roman"/>
          <w:sz w:val="24"/>
          <w:szCs w:val="24"/>
          <w:lang w:val="sr-Cyrl-CS"/>
        </w:rPr>
        <w:t>лисано, под одређеним условима, ослобођење од плаћања обрачунатог и обустављеног пореза из зараде уколико послодавац запосли одређене категорије лица, за период од три године и то:</w:t>
      </w:r>
      <w:r w:rsidRPr="005F720D">
        <w:rPr>
          <w:rStyle w:val="FootnoteReference"/>
          <w:rFonts w:ascii="Times New Roman" w:hAnsi="Times New Roman"/>
          <w:sz w:val="24"/>
          <w:szCs w:val="24"/>
          <w:lang w:val="sr-Cyrl-CS"/>
        </w:rPr>
        <w:footnoteReference w:id="466"/>
      </w:r>
      <w:r w:rsidRPr="005F720D">
        <w:rPr>
          <w:rFonts w:ascii="Times New Roman" w:hAnsi="Times New Roman"/>
          <w:sz w:val="24"/>
          <w:szCs w:val="24"/>
          <w:lang w:val="sr-Cyrl-CS"/>
        </w:rPr>
        <w:t xml:space="preserve"> </w:t>
      </w:r>
    </w:p>
    <w:p w:rsidR="00717D0E" w:rsidRPr="00014DFE" w:rsidRDefault="00014DFE" w:rsidP="00014DFE">
      <w:pPr>
        <w:jc w:val="both"/>
        <w:rPr>
          <w:rFonts w:ascii="Times New Roman" w:hAnsi="Times New Roman"/>
          <w:sz w:val="24"/>
          <w:szCs w:val="24"/>
          <w:lang w:val="sr-Cyrl-CS"/>
        </w:rPr>
      </w:pPr>
      <w:r>
        <w:rPr>
          <w:rFonts w:ascii="Times New Roman" w:hAnsi="Times New Roman"/>
          <w:sz w:val="24"/>
          <w:szCs w:val="24"/>
          <w:shd w:val="clear" w:color="auto" w:fill="FFFFFF"/>
        </w:rPr>
        <w:t>-</w:t>
      </w:r>
      <w:r w:rsidR="00717D0E" w:rsidRPr="00014DFE">
        <w:rPr>
          <w:rFonts w:ascii="Times New Roman" w:hAnsi="Times New Roman"/>
          <w:sz w:val="24"/>
          <w:szCs w:val="24"/>
          <w:shd w:val="clear" w:color="auto" w:fill="FFFFFF"/>
        </w:rPr>
        <w:t>Послодавац који запосли лице које се, у смислу закона којим се уређује рад, сматра приправником, које је на дан закључења уговора о раду млађе од 30 година и које је код Националне службе за запошљавање пријављено као незапослено лице, ослобађа се обавезе плаћања обрачунатог и обустављеног пореза из зараде новозапосленог лица, за период од три године од дана заснивања радног односа тог лица</w:t>
      </w:r>
      <w:r w:rsidR="00717D0E" w:rsidRPr="00014DFE">
        <w:rPr>
          <w:rFonts w:ascii="Times New Roman" w:hAnsi="Times New Roman"/>
          <w:sz w:val="24"/>
          <w:szCs w:val="24"/>
          <w:shd w:val="clear" w:color="auto" w:fill="FFFFFF"/>
          <w:lang w:val="sr-Cyrl-CS"/>
        </w:rPr>
        <w:t>.</w:t>
      </w:r>
    </w:p>
    <w:p w:rsidR="00717D0E" w:rsidRPr="00014DFE" w:rsidRDefault="00014DFE" w:rsidP="00014DFE">
      <w:pPr>
        <w:jc w:val="both"/>
        <w:rPr>
          <w:rFonts w:ascii="Times New Roman" w:hAnsi="Times New Roman"/>
          <w:sz w:val="24"/>
          <w:szCs w:val="24"/>
          <w:lang w:val="sr-Cyrl-CS"/>
        </w:rPr>
      </w:pPr>
      <w:r>
        <w:rPr>
          <w:rFonts w:ascii="Times New Roman" w:hAnsi="Times New Roman"/>
          <w:sz w:val="24"/>
          <w:szCs w:val="24"/>
          <w:shd w:val="clear" w:color="auto" w:fill="FFFFFF"/>
        </w:rPr>
        <w:t>-</w:t>
      </w:r>
      <w:r w:rsidR="00717D0E" w:rsidRPr="00014DFE">
        <w:rPr>
          <w:rFonts w:ascii="Times New Roman" w:hAnsi="Times New Roman"/>
          <w:sz w:val="24"/>
          <w:szCs w:val="24"/>
          <w:shd w:val="clear" w:color="auto" w:fill="FFFFFF"/>
        </w:rPr>
        <w:t>Послодавац који на неодређено време запосли лице са инвалидитетом у складу са законом који уређује спречавање дискриминације лица са инвалидитетом, за које одговарајућом правно-медицински валидном документацијом докаже инвалидност, ослобађа се обавезе плаћања обрачунатог и обустављеног пореза из зараде тог лица, за период од три године од дана заснивања радног односа.</w:t>
      </w:r>
    </w:p>
    <w:p w:rsidR="00717D0E" w:rsidRPr="00014DFE" w:rsidRDefault="00014DFE" w:rsidP="00014DFE">
      <w:pPr>
        <w:jc w:val="both"/>
        <w:rPr>
          <w:rFonts w:ascii="Times New Roman" w:hAnsi="Times New Roman"/>
          <w:sz w:val="24"/>
          <w:szCs w:val="24"/>
          <w:lang w:val="sr-Cyrl-CS"/>
        </w:rPr>
      </w:pPr>
      <w:r>
        <w:rPr>
          <w:rFonts w:ascii="Times New Roman" w:hAnsi="Times New Roman"/>
          <w:sz w:val="24"/>
          <w:szCs w:val="24"/>
          <w:shd w:val="clear" w:color="auto" w:fill="FFFFFF"/>
        </w:rPr>
        <w:t>-</w:t>
      </w:r>
      <w:r w:rsidR="00717D0E" w:rsidRPr="00014DFE">
        <w:rPr>
          <w:rFonts w:ascii="Times New Roman" w:hAnsi="Times New Roman"/>
          <w:sz w:val="24"/>
          <w:szCs w:val="24"/>
          <w:shd w:val="clear" w:color="auto" w:fill="FFFFFF"/>
        </w:rPr>
        <w:t>Послодавац који запосли лице које је на дан закључивања уговора о раду старије од 45 година и које код Националне службе за запошљавање има статус корисника новчане накнаде за време незапослености или је код те службе пријављено као незапослено лице најмање шест месеци без прекида, ослобађа се обавезе плаћања обрачунатог и обустављеног пореза из зараде тог новозапосленог лица.</w:t>
      </w:r>
    </w:p>
    <w:p w:rsidR="00717D0E" w:rsidRPr="005F720D" w:rsidRDefault="00717D0E" w:rsidP="005F720D">
      <w:pPr>
        <w:ind w:firstLine="360"/>
        <w:jc w:val="both"/>
        <w:rPr>
          <w:rFonts w:ascii="Times New Roman" w:hAnsi="Times New Roman"/>
          <w:sz w:val="24"/>
          <w:szCs w:val="24"/>
          <w:lang w:val="sr-Cyrl-CS"/>
        </w:rPr>
      </w:pPr>
      <w:r w:rsidRPr="005F720D">
        <w:rPr>
          <w:rFonts w:ascii="Times New Roman" w:hAnsi="Times New Roman"/>
          <w:sz w:val="24"/>
          <w:szCs w:val="24"/>
          <w:lang w:val="sr-Cyrl-CS"/>
        </w:rPr>
        <w:t>Уколико је запошљавање оваквих радника мотивисано потребом обављања одређене делатности, радиће се о легитимној евазији пореза. Уколико је мотив искључиво смањење пореске обавезе коришћењем законских привилегија, односно фискални циљ, радиће се о нелегитимној евазији пореза.</w:t>
      </w:r>
    </w:p>
    <w:p w:rsidR="00717D0E" w:rsidRPr="005F720D" w:rsidRDefault="00717D0E" w:rsidP="005F720D">
      <w:pPr>
        <w:ind w:firstLine="360"/>
        <w:jc w:val="both"/>
        <w:rPr>
          <w:rFonts w:ascii="Times New Roman" w:hAnsi="Times New Roman"/>
          <w:sz w:val="24"/>
          <w:szCs w:val="24"/>
          <w:lang w:val="sr-Cyrl-CS"/>
        </w:rPr>
      </w:pPr>
      <w:r w:rsidRPr="005F720D">
        <w:rPr>
          <w:rFonts w:ascii="Times New Roman" w:hAnsi="Times New Roman"/>
          <w:sz w:val="24"/>
          <w:szCs w:val="24"/>
          <w:lang w:val="sr-Cyrl-CS"/>
        </w:rPr>
        <w:t>Међутим, овде треба нагласити да су могућности избегавања плаћања пореза у овом случају ограничене захваљујући јасно прописаним законским критеријумима ко се може сматрати инвалидним лицем, ко се сматра приправником и сл. као и јасно прописаним условима за остваривање ових олакшица.</w:t>
      </w:r>
    </w:p>
    <w:p w:rsidR="00717D0E" w:rsidRPr="00014DFE" w:rsidRDefault="00A6675D" w:rsidP="00014DFE">
      <w:pPr>
        <w:ind w:firstLine="360"/>
        <w:jc w:val="both"/>
        <w:rPr>
          <w:rFonts w:ascii="Times New Roman" w:hAnsi="Times New Roman"/>
          <w:sz w:val="24"/>
          <w:szCs w:val="24"/>
        </w:rPr>
      </w:pPr>
      <w:r>
        <w:rPr>
          <w:rFonts w:ascii="Times New Roman" w:hAnsi="Times New Roman"/>
          <w:sz w:val="24"/>
          <w:szCs w:val="24"/>
          <w:lang w:val="sr-Cyrl-CS"/>
        </w:rPr>
        <w:lastRenderedPageBreak/>
        <w:t>Приликом излагања</w:t>
      </w:r>
      <w:r w:rsidR="00E77954">
        <w:rPr>
          <w:rFonts w:ascii="Times New Roman" w:hAnsi="Times New Roman"/>
          <w:sz w:val="24"/>
          <w:szCs w:val="24"/>
          <w:lang w:val="sr-Cyrl-CS"/>
        </w:rPr>
        <w:t xml:space="preserve"> пореза</w:t>
      </w:r>
      <w:r w:rsidR="00717D0E" w:rsidRPr="00C80A6E">
        <w:rPr>
          <w:rFonts w:ascii="Times New Roman" w:hAnsi="Times New Roman"/>
          <w:sz w:val="24"/>
          <w:szCs w:val="24"/>
          <w:lang w:val="sr-Cyrl-CS"/>
        </w:rPr>
        <w:t xml:space="preserve"> на зараде наведено је да поред стандардних одбитака ЗПДГ прописује и спецификоване трошкове на које се не плаћа порез</w:t>
      </w:r>
      <w:r w:rsidR="00717D0E" w:rsidRPr="00C80A6E">
        <w:rPr>
          <w:rStyle w:val="FootnoteReference"/>
          <w:rFonts w:ascii="Times New Roman" w:hAnsi="Times New Roman"/>
          <w:color w:val="000000"/>
          <w:sz w:val="24"/>
          <w:szCs w:val="24"/>
          <w:lang w:val="sr-Cyrl-CS"/>
        </w:rPr>
        <w:footnoteReference w:id="467"/>
      </w:r>
      <w:r w:rsidR="00717D0E" w:rsidRPr="00C80A6E">
        <w:rPr>
          <w:rFonts w:ascii="Times New Roman" w:hAnsi="Times New Roman"/>
          <w:sz w:val="24"/>
          <w:szCs w:val="24"/>
          <w:lang w:val="sr-Cyrl-CS"/>
        </w:rPr>
        <w:t xml:space="preserve"> у које, између остало</w:t>
      </w:r>
      <w:r w:rsidR="00C80A6E">
        <w:rPr>
          <w:rFonts w:ascii="Times New Roman" w:hAnsi="Times New Roman"/>
          <w:sz w:val="24"/>
          <w:szCs w:val="24"/>
          <w:lang w:val="sr-Cyrl-CS"/>
        </w:rPr>
        <w:t>г</w:t>
      </w:r>
      <w:r w:rsidR="00717D0E" w:rsidRPr="00C80A6E">
        <w:rPr>
          <w:rFonts w:ascii="Times New Roman" w:hAnsi="Times New Roman"/>
          <w:sz w:val="24"/>
          <w:szCs w:val="24"/>
          <w:lang w:val="sr-Cyrl-CS"/>
        </w:rPr>
        <w:t xml:space="preserve">, спадају </w:t>
      </w:r>
      <w:r w:rsidR="00717D0E" w:rsidRPr="00C80A6E">
        <w:rPr>
          <w:rFonts w:ascii="Times New Roman" w:hAnsi="Times New Roman"/>
          <w:sz w:val="24"/>
          <w:szCs w:val="24"/>
        </w:rPr>
        <w:t>дневнице за службено путовање у земљи до износа од 2.086 динара, односно дневнице за службено путовање у иностранство до износа прописаног од стране надлежног државног органа</w:t>
      </w:r>
      <w:r w:rsidR="00717D0E" w:rsidRPr="00C80A6E">
        <w:rPr>
          <w:rFonts w:ascii="Times New Roman" w:hAnsi="Times New Roman"/>
          <w:sz w:val="24"/>
          <w:szCs w:val="24"/>
          <w:lang w:val="sr-Cyrl-CS"/>
        </w:rPr>
        <w:t xml:space="preserve">, </w:t>
      </w:r>
      <w:r w:rsidR="00717D0E" w:rsidRPr="00C80A6E">
        <w:rPr>
          <w:rFonts w:ascii="Times New Roman" w:hAnsi="Times New Roman"/>
          <w:sz w:val="24"/>
          <w:szCs w:val="24"/>
        </w:rPr>
        <w:t>накнаде трошкова смештаја на службеном путовању, према приложеном рачуну</w:t>
      </w:r>
      <w:r w:rsidR="00717D0E" w:rsidRPr="00C80A6E">
        <w:rPr>
          <w:rFonts w:ascii="Times New Roman" w:hAnsi="Times New Roman"/>
          <w:sz w:val="24"/>
          <w:szCs w:val="24"/>
          <w:lang w:val="sr-Cyrl-CS"/>
        </w:rPr>
        <w:t xml:space="preserve">, </w:t>
      </w:r>
      <w:r w:rsidR="00717D0E" w:rsidRPr="00C80A6E">
        <w:rPr>
          <w:rFonts w:ascii="Times New Roman" w:hAnsi="Times New Roman"/>
          <w:sz w:val="24"/>
          <w:szCs w:val="24"/>
        </w:rPr>
        <w:t>накнаде превоза на службеном путовању, према приложеним рачунима превозника у јавном саобраћају, а када је, сагласно закону и другим прописима, одобрено коришћење сопственог аутомобила за службено путовање или у друге службене сврхе - до износа 30% цене једног литра супер бензина, а највише до 6.082 динара месечно</w:t>
      </w:r>
      <w:r w:rsidR="00717D0E" w:rsidRPr="00C80A6E">
        <w:rPr>
          <w:rFonts w:ascii="Times New Roman" w:hAnsi="Times New Roman"/>
          <w:sz w:val="24"/>
          <w:szCs w:val="24"/>
          <w:lang w:val="sr-Cyrl-CS"/>
        </w:rPr>
        <w:t xml:space="preserve">, </w:t>
      </w:r>
      <w:r w:rsidR="00717D0E" w:rsidRPr="00C80A6E">
        <w:rPr>
          <w:rFonts w:ascii="Times New Roman" w:hAnsi="Times New Roman"/>
          <w:sz w:val="24"/>
          <w:szCs w:val="24"/>
        </w:rPr>
        <w:t>солидарне помоћи за случај болести, здравствене рехабилитације или инвалидности запосленог или члана његове породице - до 34.754 динара</w:t>
      </w:r>
      <w:r w:rsidR="00717D0E" w:rsidRPr="00C80A6E">
        <w:rPr>
          <w:rFonts w:ascii="Times New Roman" w:hAnsi="Times New Roman"/>
          <w:sz w:val="24"/>
          <w:szCs w:val="24"/>
          <w:lang w:val="sr-Cyrl-CS"/>
        </w:rPr>
        <w:t xml:space="preserve"> итд. </w:t>
      </w:r>
    </w:p>
    <w:p w:rsidR="00717D0E" w:rsidRPr="00014DFE" w:rsidRDefault="00717D0E" w:rsidP="00014DFE">
      <w:pPr>
        <w:ind w:firstLine="360"/>
        <w:jc w:val="both"/>
        <w:rPr>
          <w:rFonts w:ascii="Times New Roman" w:hAnsi="Times New Roman"/>
          <w:sz w:val="24"/>
          <w:szCs w:val="24"/>
        </w:rPr>
      </w:pPr>
      <w:r w:rsidRPr="00C80A6E">
        <w:rPr>
          <w:rFonts w:ascii="Times New Roman" w:hAnsi="Times New Roman"/>
          <w:sz w:val="24"/>
          <w:szCs w:val="24"/>
          <w:lang w:val="sr-Cyrl-CS"/>
        </w:rPr>
        <w:t xml:space="preserve">Ово пореско ослобођење се у пракси злоупотребљава у циљу незаконитог избегавања плаћања пореза тако што се путем фиктивне документације лажно приказују, или повећавају на пример износи </w:t>
      </w:r>
      <w:r w:rsidR="005F720D" w:rsidRPr="00C80A6E">
        <w:rPr>
          <w:rFonts w:ascii="Times New Roman" w:hAnsi="Times New Roman"/>
          <w:sz w:val="24"/>
          <w:szCs w:val="24"/>
        </w:rPr>
        <w:t>дневниц</w:t>
      </w:r>
      <w:r w:rsidRPr="00C80A6E">
        <w:rPr>
          <w:rFonts w:ascii="Times New Roman" w:hAnsi="Times New Roman"/>
          <w:sz w:val="24"/>
          <w:szCs w:val="24"/>
          <w:lang w:val="sr-Cyrl-CS"/>
        </w:rPr>
        <w:t>а</w:t>
      </w:r>
      <w:r w:rsidRPr="00C80A6E">
        <w:rPr>
          <w:rFonts w:ascii="Times New Roman" w:hAnsi="Times New Roman"/>
          <w:sz w:val="24"/>
          <w:szCs w:val="24"/>
        </w:rPr>
        <w:t xml:space="preserve"> </w:t>
      </w:r>
      <w:r w:rsidR="005F720D" w:rsidRPr="00C80A6E">
        <w:rPr>
          <w:rFonts w:ascii="Times New Roman" w:hAnsi="Times New Roman"/>
          <w:sz w:val="24"/>
          <w:szCs w:val="24"/>
        </w:rPr>
        <w:t>за</w:t>
      </w:r>
      <w:r w:rsidRPr="00C80A6E">
        <w:rPr>
          <w:rFonts w:ascii="Times New Roman" w:hAnsi="Times New Roman"/>
          <w:sz w:val="24"/>
          <w:szCs w:val="24"/>
        </w:rPr>
        <w:t xml:space="preserve"> </w:t>
      </w:r>
      <w:r w:rsidR="005F720D" w:rsidRPr="00C80A6E">
        <w:rPr>
          <w:rFonts w:ascii="Times New Roman" w:hAnsi="Times New Roman"/>
          <w:sz w:val="24"/>
          <w:szCs w:val="24"/>
        </w:rPr>
        <w:t>службено</w:t>
      </w:r>
      <w:r w:rsidRPr="00C80A6E">
        <w:rPr>
          <w:rFonts w:ascii="Times New Roman" w:hAnsi="Times New Roman"/>
          <w:sz w:val="24"/>
          <w:szCs w:val="24"/>
        </w:rPr>
        <w:t xml:space="preserve"> </w:t>
      </w:r>
      <w:r w:rsidR="005F720D" w:rsidRPr="00C80A6E">
        <w:rPr>
          <w:rFonts w:ascii="Times New Roman" w:hAnsi="Times New Roman"/>
          <w:sz w:val="24"/>
          <w:szCs w:val="24"/>
        </w:rPr>
        <w:t>путовање</w:t>
      </w:r>
      <w:r w:rsidRPr="00C80A6E">
        <w:rPr>
          <w:rFonts w:ascii="Times New Roman" w:hAnsi="Times New Roman"/>
          <w:sz w:val="24"/>
          <w:szCs w:val="24"/>
          <w:lang w:val="sr-Cyrl-CS"/>
        </w:rPr>
        <w:t>,</w:t>
      </w:r>
      <w:r w:rsidRPr="00C80A6E">
        <w:rPr>
          <w:rFonts w:ascii="Times New Roman" w:hAnsi="Times New Roman"/>
          <w:sz w:val="24"/>
          <w:szCs w:val="24"/>
        </w:rPr>
        <w:t xml:space="preserve"> </w:t>
      </w:r>
      <w:r w:rsidRPr="00C80A6E">
        <w:rPr>
          <w:rFonts w:ascii="Times New Roman" w:hAnsi="Times New Roman"/>
          <w:sz w:val="24"/>
          <w:szCs w:val="24"/>
          <w:lang w:val="sr-Cyrl-CS"/>
        </w:rPr>
        <w:t xml:space="preserve">као и </w:t>
      </w:r>
      <w:r w:rsidR="005F720D" w:rsidRPr="00C80A6E">
        <w:rPr>
          <w:rFonts w:ascii="Times New Roman" w:hAnsi="Times New Roman"/>
          <w:sz w:val="24"/>
          <w:szCs w:val="24"/>
        </w:rPr>
        <w:t>накнаде</w:t>
      </w:r>
      <w:r w:rsidRPr="00C80A6E">
        <w:rPr>
          <w:rFonts w:ascii="Times New Roman" w:hAnsi="Times New Roman"/>
          <w:sz w:val="24"/>
          <w:szCs w:val="24"/>
        </w:rPr>
        <w:t xml:space="preserve"> </w:t>
      </w:r>
      <w:r w:rsidR="005F720D" w:rsidRPr="00C80A6E">
        <w:rPr>
          <w:rFonts w:ascii="Times New Roman" w:hAnsi="Times New Roman"/>
          <w:sz w:val="24"/>
          <w:szCs w:val="24"/>
        </w:rPr>
        <w:t>трошкова</w:t>
      </w:r>
      <w:r w:rsidRPr="00C80A6E">
        <w:rPr>
          <w:rFonts w:ascii="Times New Roman" w:hAnsi="Times New Roman"/>
          <w:sz w:val="24"/>
          <w:szCs w:val="24"/>
        </w:rPr>
        <w:t xml:space="preserve"> </w:t>
      </w:r>
      <w:r w:rsidR="005F720D" w:rsidRPr="00C80A6E">
        <w:rPr>
          <w:rFonts w:ascii="Times New Roman" w:hAnsi="Times New Roman"/>
          <w:sz w:val="24"/>
          <w:szCs w:val="24"/>
        </w:rPr>
        <w:t>смештаја</w:t>
      </w:r>
      <w:r w:rsidRPr="00C80A6E">
        <w:rPr>
          <w:rFonts w:ascii="Times New Roman" w:hAnsi="Times New Roman"/>
          <w:sz w:val="24"/>
          <w:szCs w:val="24"/>
        </w:rPr>
        <w:t xml:space="preserve"> </w:t>
      </w:r>
      <w:r w:rsidR="005F720D" w:rsidRPr="00C80A6E">
        <w:rPr>
          <w:rFonts w:ascii="Times New Roman" w:hAnsi="Times New Roman"/>
          <w:sz w:val="24"/>
          <w:szCs w:val="24"/>
        </w:rPr>
        <w:t>на</w:t>
      </w:r>
      <w:r w:rsidRPr="00C80A6E">
        <w:rPr>
          <w:rFonts w:ascii="Times New Roman" w:hAnsi="Times New Roman"/>
          <w:sz w:val="24"/>
          <w:szCs w:val="24"/>
        </w:rPr>
        <w:t xml:space="preserve"> </w:t>
      </w:r>
      <w:r w:rsidR="005F720D" w:rsidRPr="00C80A6E">
        <w:rPr>
          <w:rFonts w:ascii="Times New Roman" w:hAnsi="Times New Roman"/>
          <w:sz w:val="24"/>
          <w:szCs w:val="24"/>
        </w:rPr>
        <w:t>службеном</w:t>
      </w:r>
      <w:r w:rsidRPr="00C80A6E">
        <w:rPr>
          <w:rFonts w:ascii="Times New Roman" w:hAnsi="Times New Roman"/>
          <w:sz w:val="24"/>
          <w:szCs w:val="24"/>
        </w:rPr>
        <w:t xml:space="preserve"> </w:t>
      </w:r>
      <w:r w:rsidR="005F720D" w:rsidRPr="00C80A6E">
        <w:rPr>
          <w:rFonts w:ascii="Times New Roman" w:hAnsi="Times New Roman"/>
          <w:sz w:val="24"/>
          <w:szCs w:val="24"/>
        </w:rPr>
        <w:t>путовању</w:t>
      </w:r>
      <w:r w:rsidRPr="00C80A6E">
        <w:rPr>
          <w:rFonts w:ascii="Times New Roman" w:hAnsi="Times New Roman"/>
          <w:sz w:val="24"/>
          <w:szCs w:val="24"/>
        </w:rPr>
        <w:t xml:space="preserve">, </w:t>
      </w:r>
      <w:r w:rsidR="00C80A6E">
        <w:rPr>
          <w:rFonts w:ascii="Times New Roman" w:hAnsi="Times New Roman"/>
          <w:sz w:val="24"/>
          <w:szCs w:val="24"/>
          <w:lang w:val="sr-Cyrl-CS"/>
        </w:rPr>
        <w:t xml:space="preserve">или пак тих путовања није ни било, </w:t>
      </w:r>
      <w:r w:rsidRPr="00C80A6E">
        <w:rPr>
          <w:rFonts w:ascii="Times New Roman" w:hAnsi="Times New Roman"/>
          <w:sz w:val="24"/>
          <w:szCs w:val="24"/>
          <w:lang w:val="sr-Cyrl-CS"/>
        </w:rPr>
        <w:t>како би се избегла пореска обавеза. Путем</w:t>
      </w:r>
      <w:r w:rsidR="00C80A6E">
        <w:rPr>
          <w:rFonts w:ascii="Times New Roman" w:hAnsi="Times New Roman"/>
          <w:sz w:val="24"/>
          <w:szCs w:val="24"/>
          <w:lang w:val="sr-Cyrl-CS"/>
        </w:rPr>
        <w:t xml:space="preserve"> фиктивне документације се неосн</w:t>
      </w:r>
      <w:r w:rsidRPr="00C80A6E">
        <w:rPr>
          <w:rFonts w:ascii="Times New Roman" w:hAnsi="Times New Roman"/>
          <w:sz w:val="24"/>
          <w:szCs w:val="24"/>
          <w:lang w:val="sr-Cyrl-CS"/>
        </w:rPr>
        <w:t xml:space="preserve">овано користи солидарна помоћ за </w:t>
      </w:r>
      <w:r w:rsidR="005F720D" w:rsidRPr="00C80A6E">
        <w:rPr>
          <w:rFonts w:ascii="Times New Roman" w:hAnsi="Times New Roman"/>
          <w:sz w:val="24"/>
          <w:szCs w:val="24"/>
        </w:rPr>
        <w:t>здравствен</w:t>
      </w:r>
      <w:r w:rsidRPr="00C80A6E">
        <w:rPr>
          <w:rFonts w:ascii="Times New Roman" w:hAnsi="Times New Roman"/>
          <w:sz w:val="24"/>
          <w:szCs w:val="24"/>
          <w:lang w:val="sr-Cyrl-CS"/>
        </w:rPr>
        <w:t>у</w:t>
      </w:r>
      <w:r w:rsidRPr="00C80A6E">
        <w:rPr>
          <w:rFonts w:ascii="Times New Roman" w:hAnsi="Times New Roman"/>
          <w:sz w:val="24"/>
          <w:szCs w:val="24"/>
        </w:rPr>
        <w:t xml:space="preserve"> </w:t>
      </w:r>
      <w:r w:rsidR="005F720D" w:rsidRPr="00C80A6E">
        <w:rPr>
          <w:rFonts w:ascii="Times New Roman" w:hAnsi="Times New Roman"/>
          <w:sz w:val="24"/>
          <w:szCs w:val="24"/>
        </w:rPr>
        <w:t>рехабилитациј</w:t>
      </w:r>
      <w:r w:rsidRPr="00C80A6E">
        <w:rPr>
          <w:rFonts w:ascii="Times New Roman" w:hAnsi="Times New Roman"/>
          <w:sz w:val="24"/>
          <w:szCs w:val="24"/>
          <w:lang w:val="sr-Cyrl-CS"/>
        </w:rPr>
        <w:t>у и слично, тако што се средства искоришће</w:t>
      </w:r>
      <w:r w:rsidR="00C80A6E">
        <w:rPr>
          <w:rFonts w:ascii="Times New Roman" w:hAnsi="Times New Roman"/>
          <w:sz w:val="24"/>
          <w:szCs w:val="24"/>
          <w:lang w:val="sr-Cyrl-CS"/>
        </w:rPr>
        <w:t>на за друге намене лажно приказ</w:t>
      </w:r>
      <w:r w:rsidRPr="00C80A6E">
        <w:rPr>
          <w:rFonts w:ascii="Times New Roman" w:hAnsi="Times New Roman"/>
          <w:sz w:val="24"/>
          <w:szCs w:val="24"/>
          <w:lang w:val="sr-Cyrl-CS"/>
        </w:rPr>
        <w:t>у</w:t>
      </w:r>
      <w:r w:rsidR="00C80A6E">
        <w:rPr>
          <w:rFonts w:ascii="Times New Roman" w:hAnsi="Times New Roman"/>
          <w:sz w:val="24"/>
          <w:szCs w:val="24"/>
          <w:lang w:val="sr-Cyrl-CS"/>
        </w:rPr>
        <w:t>ју</w:t>
      </w:r>
      <w:r w:rsidRPr="00C80A6E">
        <w:rPr>
          <w:rFonts w:ascii="Times New Roman" w:hAnsi="Times New Roman"/>
          <w:sz w:val="24"/>
          <w:szCs w:val="24"/>
          <w:lang w:val="sr-Cyrl-CS"/>
        </w:rPr>
        <w:t xml:space="preserve"> као трошкови солидарне помоћи, како би се избегла или смањила пореска обавеза.</w:t>
      </w:r>
      <w:r w:rsidR="00C80A6E">
        <w:rPr>
          <w:rFonts w:ascii="Times New Roman" w:hAnsi="Times New Roman"/>
          <w:sz w:val="24"/>
          <w:szCs w:val="24"/>
          <w:lang w:val="sr-Cyrl-CS"/>
        </w:rPr>
        <w:t xml:space="preserve">  </w:t>
      </w:r>
    </w:p>
    <w:p w:rsidR="005E086E" w:rsidRPr="00014DFE" w:rsidRDefault="00717D0E" w:rsidP="00014DFE">
      <w:pPr>
        <w:ind w:firstLine="360"/>
        <w:jc w:val="both"/>
        <w:rPr>
          <w:rFonts w:ascii="Times New Roman" w:hAnsi="Times New Roman"/>
          <w:color w:val="000000"/>
          <w:sz w:val="24"/>
          <w:szCs w:val="24"/>
          <w:shd w:val="clear" w:color="auto" w:fill="FFFFFF"/>
        </w:rPr>
      </w:pPr>
      <w:r w:rsidRPr="005F720D">
        <w:rPr>
          <w:rFonts w:ascii="Times New Roman" w:hAnsi="Times New Roman"/>
          <w:color w:val="000000"/>
          <w:sz w:val="24"/>
          <w:szCs w:val="24"/>
          <w:shd w:val="clear" w:color="auto" w:fill="FFFFFF"/>
          <w:lang w:val="sr-Cyrl-CS"/>
        </w:rPr>
        <w:t>У великом броју случајева избегавање плаћања пореза на доходак грађана се врши приликом исплата које имају третман зарада, при чему се крше законски прописи. При том, користе се различити начини који имају за циљ да се дође до готовог новца, без плаћања пореза, а који новац се потом користи у приватне сврхе, за исплату зарада и других примања, за различита п</w:t>
      </w:r>
      <w:r w:rsidR="00734E95">
        <w:rPr>
          <w:rFonts w:ascii="Times New Roman" w:hAnsi="Times New Roman"/>
          <w:color w:val="000000"/>
          <w:sz w:val="24"/>
          <w:szCs w:val="24"/>
          <w:shd w:val="clear" w:color="auto" w:fill="FFFFFF"/>
          <w:lang w:val="sr-Cyrl-CS"/>
        </w:rPr>
        <w:t xml:space="preserve">лаћања трећим лицима и слично. </w:t>
      </w:r>
      <w:r w:rsidRPr="005F720D">
        <w:rPr>
          <w:rFonts w:ascii="Times New Roman" w:hAnsi="Times New Roman"/>
          <w:color w:val="000000"/>
          <w:sz w:val="24"/>
          <w:szCs w:val="24"/>
          <w:shd w:val="clear" w:color="auto" w:fill="FFFFFF"/>
          <w:lang w:val="sr-Cyrl-CS"/>
        </w:rPr>
        <w:t>Зараде се не исплаћују преко рачуна, него у готовом новцу, натури, роби, док се плате приказују као да су обрачунате по најнижој основици. Тако утајена разлика се исплаћује у готовом новцу и на тај начин се избегава плаћање пореза. Избегавање плаћања пореза се врши и непријављивањем радника. Затим, како би се прикрило избегавање пореске обавезе, исплате из благајне се врше без одговарајуће књиговодствене евиденције и без обрачунавања и плаћања пореза и доприноса на зараду.</w:t>
      </w:r>
    </w:p>
    <w:p w:rsidR="00717D0E" w:rsidRPr="005F720D" w:rsidRDefault="00717D0E" w:rsidP="005F720D">
      <w:pPr>
        <w:ind w:firstLine="360"/>
        <w:jc w:val="both"/>
        <w:rPr>
          <w:rFonts w:ascii="Times New Roman" w:hAnsi="Times New Roman"/>
          <w:color w:val="000000"/>
          <w:sz w:val="24"/>
          <w:szCs w:val="24"/>
          <w:lang w:val="sr-Cyrl-CS"/>
        </w:rPr>
      </w:pPr>
      <w:r w:rsidRPr="005F720D">
        <w:rPr>
          <w:rFonts w:ascii="Times New Roman" w:hAnsi="Times New Roman"/>
          <w:color w:val="000000"/>
          <w:sz w:val="24"/>
          <w:szCs w:val="24"/>
          <w:shd w:val="clear" w:color="auto" w:fill="FFFFFF"/>
          <w:lang w:val="sr-Cyrl-CS"/>
        </w:rPr>
        <w:t xml:space="preserve">Како се појам зараде широко дефинише и подразумева не само исплате у новцу, </w:t>
      </w:r>
      <w:r w:rsidRPr="005F720D">
        <w:rPr>
          <w:rFonts w:ascii="Times New Roman" w:hAnsi="Times New Roman"/>
          <w:color w:val="000000"/>
          <w:sz w:val="24"/>
          <w:szCs w:val="24"/>
          <w:lang w:val="sr-Cyrl-CS"/>
        </w:rPr>
        <w:t>него и</w:t>
      </w:r>
      <w:r w:rsidRPr="005F720D">
        <w:rPr>
          <w:rFonts w:ascii="Times New Roman" w:hAnsi="Times New Roman"/>
          <w:color w:val="000000"/>
          <w:sz w:val="24"/>
          <w:szCs w:val="24"/>
        </w:rPr>
        <w:t xml:space="preserve"> </w:t>
      </w:r>
      <w:r w:rsidR="005F720D" w:rsidRPr="005F720D">
        <w:rPr>
          <w:rFonts w:ascii="Times New Roman" w:hAnsi="Times New Roman"/>
          <w:color w:val="000000"/>
          <w:sz w:val="24"/>
          <w:szCs w:val="24"/>
        </w:rPr>
        <w:t>примања</w:t>
      </w:r>
      <w:r w:rsidRPr="005F720D">
        <w:rPr>
          <w:rFonts w:ascii="Times New Roman" w:hAnsi="Times New Roman"/>
          <w:color w:val="000000"/>
          <w:sz w:val="24"/>
          <w:szCs w:val="24"/>
        </w:rPr>
        <w:t xml:space="preserve"> </w:t>
      </w:r>
      <w:r w:rsidR="005F720D" w:rsidRPr="005F720D">
        <w:rPr>
          <w:rFonts w:ascii="Times New Roman" w:hAnsi="Times New Roman"/>
          <w:color w:val="000000"/>
          <w:sz w:val="24"/>
          <w:szCs w:val="24"/>
        </w:rPr>
        <w:t>у</w:t>
      </w:r>
      <w:r w:rsidRPr="005F720D">
        <w:rPr>
          <w:rFonts w:ascii="Times New Roman" w:hAnsi="Times New Roman"/>
          <w:color w:val="000000"/>
          <w:sz w:val="24"/>
          <w:szCs w:val="24"/>
        </w:rPr>
        <w:t xml:space="preserve"> </w:t>
      </w:r>
      <w:r w:rsidR="005F720D" w:rsidRPr="005F720D">
        <w:rPr>
          <w:rFonts w:ascii="Times New Roman" w:hAnsi="Times New Roman"/>
          <w:color w:val="000000"/>
          <w:sz w:val="24"/>
          <w:szCs w:val="24"/>
        </w:rPr>
        <w:t>облику</w:t>
      </w:r>
      <w:r w:rsidRPr="005F720D">
        <w:rPr>
          <w:rFonts w:ascii="Times New Roman" w:hAnsi="Times New Roman"/>
          <w:color w:val="000000"/>
          <w:sz w:val="24"/>
          <w:szCs w:val="24"/>
        </w:rPr>
        <w:t xml:space="preserve"> </w:t>
      </w:r>
      <w:r w:rsidR="005F720D" w:rsidRPr="005F720D">
        <w:rPr>
          <w:rFonts w:ascii="Times New Roman" w:hAnsi="Times New Roman"/>
          <w:color w:val="000000"/>
          <w:sz w:val="24"/>
          <w:szCs w:val="24"/>
        </w:rPr>
        <w:t>бонова</w:t>
      </w:r>
      <w:r w:rsidRPr="005F720D">
        <w:rPr>
          <w:rFonts w:ascii="Times New Roman" w:hAnsi="Times New Roman"/>
          <w:color w:val="000000"/>
          <w:sz w:val="24"/>
          <w:szCs w:val="24"/>
        </w:rPr>
        <w:t xml:space="preserve">, </w:t>
      </w:r>
      <w:r w:rsidR="005F720D" w:rsidRPr="005F720D">
        <w:rPr>
          <w:rFonts w:ascii="Times New Roman" w:hAnsi="Times New Roman"/>
          <w:color w:val="000000"/>
          <w:sz w:val="24"/>
          <w:szCs w:val="24"/>
        </w:rPr>
        <w:t>новчаних</w:t>
      </w:r>
      <w:r w:rsidRPr="005F720D">
        <w:rPr>
          <w:rFonts w:ascii="Times New Roman" w:hAnsi="Times New Roman"/>
          <w:color w:val="000000"/>
          <w:sz w:val="24"/>
          <w:szCs w:val="24"/>
        </w:rPr>
        <w:t xml:space="preserve"> </w:t>
      </w:r>
      <w:r w:rsidR="005F720D" w:rsidRPr="005F720D">
        <w:rPr>
          <w:rFonts w:ascii="Times New Roman" w:hAnsi="Times New Roman"/>
          <w:color w:val="000000"/>
          <w:sz w:val="24"/>
          <w:szCs w:val="24"/>
        </w:rPr>
        <w:t>потврда</w:t>
      </w:r>
      <w:r w:rsidRPr="005F720D">
        <w:rPr>
          <w:rFonts w:ascii="Times New Roman" w:hAnsi="Times New Roman"/>
          <w:color w:val="000000"/>
          <w:sz w:val="24"/>
          <w:szCs w:val="24"/>
        </w:rPr>
        <w:t xml:space="preserve">, </w:t>
      </w:r>
      <w:r w:rsidR="005F720D" w:rsidRPr="005F720D">
        <w:rPr>
          <w:rFonts w:ascii="Times New Roman" w:hAnsi="Times New Roman"/>
          <w:color w:val="000000"/>
          <w:sz w:val="24"/>
          <w:szCs w:val="24"/>
        </w:rPr>
        <w:t>робе</w:t>
      </w:r>
      <w:r w:rsidRPr="005F720D">
        <w:rPr>
          <w:rFonts w:ascii="Times New Roman" w:hAnsi="Times New Roman"/>
          <w:color w:val="000000"/>
          <w:sz w:val="24"/>
          <w:szCs w:val="24"/>
        </w:rPr>
        <w:t xml:space="preserve">, </w:t>
      </w:r>
      <w:r w:rsidR="005F720D" w:rsidRPr="005F720D">
        <w:rPr>
          <w:rFonts w:ascii="Times New Roman" w:hAnsi="Times New Roman"/>
          <w:color w:val="000000"/>
          <w:sz w:val="24"/>
          <w:szCs w:val="24"/>
        </w:rPr>
        <w:t>чињењем</w:t>
      </w:r>
      <w:r w:rsidRPr="005F720D">
        <w:rPr>
          <w:rFonts w:ascii="Times New Roman" w:hAnsi="Times New Roman"/>
          <w:color w:val="000000"/>
          <w:sz w:val="24"/>
          <w:szCs w:val="24"/>
        </w:rPr>
        <w:t xml:space="preserve"> </w:t>
      </w:r>
      <w:r w:rsidR="005F720D" w:rsidRPr="005F720D">
        <w:rPr>
          <w:rFonts w:ascii="Times New Roman" w:hAnsi="Times New Roman"/>
          <w:color w:val="000000"/>
          <w:sz w:val="24"/>
          <w:szCs w:val="24"/>
        </w:rPr>
        <w:t>или</w:t>
      </w:r>
      <w:r w:rsidRPr="005F720D">
        <w:rPr>
          <w:rFonts w:ascii="Times New Roman" w:hAnsi="Times New Roman"/>
          <w:color w:val="000000"/>
          <w:sz w:val="24"/>
          <w:szCs w:val="24"/>
        </w:rPr>
        <w:t xml:space="preserve"> </w:t>
      </w:r>
      <w:r w:rsidR="005F720D" w:rsidRPr="005F720D">
        <w:rPr>
          <w:rFonts w:ascii="Times New Roman" w:hAnsi="Times New Roman"/>
          <w:color w:val="000000"/>
          <w:sz w:val="24"/>
          <w:szCs w:val="24"/>
        </w:rPr>
        <w:t>пружањем</w:t>
      </w:r>
      <w:r w:rsidRPr="005F720D">
        <w:rPr>
          <w:rFonts w:ascii="Times New Roman" w:hAnsi="Times New Roman"/>
          <w:color w:val="000000"/>
          <w:sz w:val="24"/>
          <w:szCs w:val="24"/>
        </w:rPr>
        <w:t xml:space="preserve"> </w:t>
      </w:r>
      <w:r w:rsidR="005F720D" w:rsidRPr="005F720D">
        <w:rPr>
          <w:rFonts w:ascii="Times New Roman" w:hAnsi="Times New Roman"/>
          <w:color w:val="000000"/>
          <w:sz w:val="24"/>
          <w:szCs w:val="24"/>
        </w:rPr>
        <w:t>погодности</w:t>
      </w:r>
      <w:r w:rsidRPr="005F720D">
        <w:rPr>
          <w:rFonts w:ascii="Times New Roman" w:hAnsi="Times New Roman"/>
          <w:color w:val="000000"/>
          <w:sz w:val="24"/>
          <w:szCs w:val="24"/>
        </w:rPr>
        <w:t xml:space="preserve">, </w:t>
      </w:r>
      <w:r w:rsidR="005F720D" w:rsidRPr="005F720D">
        <w:rPr>
          <w:rFonts w:ascii="Times New Roman" w:hAnsi="Times New Roman"/>
          <w:color w:val="000000"/>
          <w:sz w:val="24"/>
          <w:szCs w:val="24"/>
        </w:rPr>
        <w:t>опраштањем</w:t>
      </w:r>
      <w:r w:rsidRPr="005F720D">
        <w:rPr>
          <w:rFonts w:ascii="Times New Roman" w:hAnsi="Times New Roman"/>
          <w:color w:val="000000"/>
          <w:sz w:val="24"/>
          <w:szCs w:val="24"/>
        </w:rPr>
        <w:t xml:space="preserve"> </w:t>
      </w:r>
      <w:r w:rsidR="005F720D" w:rsidRPr="005F720D">
        <w:rPr>
          <w:rFonts w:ascii="Times New Roman" w:hAnsi="Times New Roman"/>
          <w:color w:val="000000"/>
          <w:sz w:val="24"/>
          <w:szCs w:val="24"/>
        </w:rPr>
        <w:t>дуга</w:t>
      </w:r>
      <w:r w:rsidRPr="005F720D">
        <w:rPr>
          <w:rFonts w:ascii="Times New Roman" w:hAnsi="Times New Roman"/>
          <w:color w:val="000000"/>
          <w:sz w:val="24"/>
          <w:szCs w:val="24"/>
        </w:rPr>
        <w:t xml:space="preserve">, </w:t>
      </w:r>
      <w:r w:rsidR="005F720D" w:rsidRPr="005F720D">
        <w:rPr>
          <w:rFonts w:ascii="Times New Roman" w:hAnsi="Times New Roman"/>
          <w:color w:val="000000"/>
          <w:sz w:val="24"/>
          <w:szCs w:val="24"/>
        </w:rPr>
        <w:t>као</w:t>
      </w:r>
      <w:r w:rsidRPr="005F720D">
        <w:rPr>
          <w:rFonts w:ascii="Times New Roman" w:hAnsi="Times New Roman"/>
          <w:color w:val="000000"/>
          <w:sz w:val="24"/>
          <w:szCs w:val="24"/>
        </w:rPr>
        <w:t xml:space="preserve"> </w:t>
      </w:r>
      <w:r w:rsidR="005F720D" w:rsidRPr="005F720D">
        <w:rPr>
          <w:rFonts w:ascii="Times New Roman" w:hAnsi="Times New Roman"/>
          <w:color w:val="000000"/>
          <w:sz w:val="24"/>
          <w:szCs w:val="24"/>
        </w:rPr>
        <w:t>и</w:t>
      </w:r>
      <w:r w:rsidRPr="005F720D">
        <w:rPr>
          <w:rFonts w:ascii="Times New Roman" w:hAnsi="Times New Roman"/>
          <w:color w:val="000000"/>
          <w:sz w:val="24"/>
          <w:szCs w:val="24"/>
        </w:rPr>
        <w:t xml:space="preserve"> </w:t>
      </w:r>
      <w:r w:rsidR="005F720D" w:rsidRPr="005F720D">
        <w:rPr>
          <w:rFonts w:ascii="Times New Roman" w:hAnsi="Times New Roman"/>
          <w:color w:val="000000"/>
          <w:sz w:val="24"/>
          <w:szCs w:val="24"/>
        </w:rPr>
        <w:t>покривањем</w:t>
      </w:r>
      <w:r w:rsidRPr="005F720D">
        <w:rPr>
          <w:rFonts w:ascii="Times New Roman" w:hAnsi="Times New Roman"/>
          <w:color w:val="000000"/>
          <w:sz w:val="24"/>
          <w:szCs w:val="24"/>
        </w:rPr>
        <w:t xml:space="preserve"> </w:t>
      </w:r>
      <w:r w:rsidR="005F720D" w:rsidRPr="005F720D">
        <w:rPr>
          <w:rFonts w:ascii="Times New Roman" w:hAnsi="Times New Roman"/>
          <w:color w:val="000000"/>
          <w:sz w:val="24"/>
          <w:szCs w:val="24"/>
        </w:rPr>
        <w:t>расхода</w:t>
      </w:r>
      <w:r w:rsidRPr="005F720D">
        <w:rPr>
          <w:rFonts w:ascii="Times New Roman" w:hAnsi="Times New Roman"/>
          <w:color w:val="000000"/>
          <w:sz w:val="24"/>
          <w:szCs w:val="24"/>
        </w:rPr>
        <w:t xml:space="preserve"> </w:t>
      </w:r>
      <w:r w:rsidR="005F720D" w:rsidRPr="005F720D">
        <w:rPr>
          <w:rFonts w:ascii="Times New Roman" w:hAnsi="Times New Roman"/>
          <w:color w:val="000000"/>
          <w:sz w:val="24"/>
          <w:szCs w:val="24"/>
        </w:rPr>
        <w:t>обвезника</w:t>
      </w:r>
      <w:r w:rsidRPr="005F720D">
        <w:rPr>
          <w:rFonts w:ascii="Times New Roman" w:hAnsi="Times New Roman"/>
          <w:color w:val="000000"/>
          <w:sz w:val="24"/>
          <w:szCs w:val="24"/>
        </w:rPr>
        <w:t xml:space="preserve"> </w:t>
      </w:r>
      <w:r w:rsidR="005F720D" w:rsidRPr="005F720D">
        <w:rPr>
          <w:rFonts w:ascii="Times New Roman" w:hAnsi="Times New Roman"/>
          <w:color w:val="000000"/>
          <w:sz w:val="24"/>
          <w:szCs w:val="24"/>
        </w:rPr>
        <w:t>новчаном</w:t>
      </w:r>
      <w:r w:rsidRPr="005F720D">
        <w:rPr>
          <w:rFonts w:ascii="Times New Roman" w:hAnsi="Times New Roman"/>
          <w:color w:val="000000"/>
          <w:sz w:val="24"/>
          <w:szCs w:val="24"/>
        </w:rPr>
        <w:t xml:space="preserve"> </w:t>
      </w:r>
      <w:r w:rsidR="005F720D" w:rsidRPr="005F720D">
        <w:rPr>
          <w:rFonts w:ascii="Times New Roman" w:hAnsi="Times New Roman"/>
          <w:color w:val="000000"/>
          <w:sz w:val="24"/>
          <w:szCs w:val="24"/>
        </w:rPr>
        <w:t>надокнадом</w:t>
      </w:r>
      <w:r w:rsidRPr="005F720D">
        <w:rPr>
          <w:rFonts w:ascii="Times New Roman" w:hAnsi="Times New Roman"/>
          <w:color w:val="000000"/>
          <w:sz w:val="24"/>
          <w:szCs w:val="24"/>
        </w:rPr>
        <w:t xml:space="preserve"> </w:t>
      </w:r>
      <w:r w:rsidR="005F720D" w:rsidRPr="005F720D">
        <w:rPr>
          <w:rFonts w:ascii="Times New Roman" w:hAnsi="Times New Roman"/>
          <w:color w:val="000000"/>
          <w:sz w:val="24"/>
          <w:szCs w:val="24"/>
        </w:rPr>
        <w:t>или</w:t>
      </w:r>
      <w:r w:rsidRPr="005F720D">
        <w:rPr>
          <w:rFonts w:ascii="Times New Roman" w:hAnsi="Times New Roman"/>
          <w:color w:val="000000"/>
          <w:sz w:val="24"/>
          <w:szCs w:val="24"/>
        </w:rPr>
        <w:t xml:space="preserve"> </w:t>
      </w:r>
      <w:r w:rsidR="005F720D" w:rsidRPr="005F720D">
        <w:rPr>
          <w:rFonts w:ascii="Times New Roman" w:hAnsi="Times New Roman"/>
          <w:color w:val="000000"/>
          <w:sz w:val="24"/>
          <w:szCs w:val="24"/>
        </w:rPr>
        <w:t>непосредним</w:t>
      </w:r>
      <w:r w:rsidRPr="005F720D">
        <w:rPr>
          <w:rFonts w:ascii="Times New Roman" w:hAnsi="Times New Roman"/>
          <w:color w:val="000000"/>
          <w:sz w:val="24"/>
          <w:szCs w:val="24"/>
        </w:rPr>
        <w:t xml:space="preserve"> </w:t>
      </w:r>
      <w:r w:rsidR="005F720D" w:rsidRPr="005F720D">
        <w:rPr>
          <w:rFonts w:ascii="Times New Roman" w:hAnsi="Times New Roman"/>
          <w:color w:val="000000"/>
          <w:sz w:val="24"/>
          <w:szCs w:val="24"/>
        </w:rPr>
        <w:t>плаћањем</w:t>
      </w:r>
      <w:r w:rsidRPr="005F720D">
        <w:rPr>
          <w:rFonts w:ascii="Times New Roman" w:hAnsi="Times New Roman"/>
          <w:color w:val="000000"/>
          <w:sz w:val="24"/>
          <w:szCs w:val="24"/>
          <w:lang w:val="sr-Cyrl-CS"/>
        </w:rPr>
        <w:t>, то се често у пракси злоупотребљава са циљем избегавања плаћања пореза. Тако се исп</w:t>
      </w:r>
      <w:r w:rsidR="00E77954">
        <w:rPr>
          <w:rFonts w:ascii="Times New Roman" w:hAnsi="Times New Roman"/>
          <w:color w:val="000000"/>
          <w:sz w:val="24"/>
          <w:szCs w:val="24"/>
          <w:lang w:val="sr-Cyrl-CS"/>
        </w:rPr>
        <w:t>л</w:t>
      </w:r>
      <w:r w:rsidRPr="005F720D">
        <w:rPr>
          <w:rFonts w:ascii="Times New Roman" w:hAnsi="Times New Roman"/>
          <w:color w:val="000000"/>
          <w:sz w:val="24"/>
          <w:szCs w:val="24"/>
          <w:lang w:val="sr-Cyrl-CS"/>
        </w:rPr>
        <w:t xml:space="preserve">ате запосленима врше у натури и слично, без евидентирања у пословним књигама како би се избегле пореске обавезе. </w:t>
      </w:r>
    </w:p>
    <w:p w:rsidR="00717D0E" w:rsidRPr="00C80A6E" w:rsidRDefault="00717D0E" w:rsidP="00C80A6E">
      <w:pPr>
        <w:ind w:firstLine="360"/>
        <w:jc w:val="both"/>
        <w:rPr>
          <w:rFonts w:ascii="Times New Roman" w:hAnsi="Times New Roman"/>
          <w:bCs/>
          <w:sz w:val="24"/>
          <w:szCs w:val="24"/>
          <w:lang w:val="sr-Cyrl-CS"/>
        </w:rPr>
      </w:pPr>
      <w:r w:rsidRPr="00C80A6E">
        <w:rPr>
          <w:rFonts w:ascii="Times New Roman" w:hAnsi="Times New Roman"/>
          <w:sz w:val="24"/>
          <w:szCs w:val="24"/>
          <w:lang w:val="sr-Cyrl-CS"/>
        </w:rPr>
        <w:lastRenderedPageBreak/>
        <w:t xml:space="preserve">Везано за порез на приходе од самосталне делатности </w:t>
      </w:r>
      <w:r w:rsidRPr="00C80A6E">
        <w:rPr>
          <w:rFonts w:ascii="Times New Roman" w:hAnsi="Times New Roman"/>
          <w:bCs/>
          <w:sz w:val="24"/>
          <w:szCs w:val="24"/>
          <w:lang w:val="sr-Cyrl-CS"/>
        </w:rPr>
        <w:t>према ЗПДГ прописано је да се</w:t>
      </w:r>
      <w:bookmarkStart w:id="52" w:name="clan_39"/>
      <w:bookmarkEnd w:id="52"/>
      <w:r w:rsidRPr="00C80A6E">
        <w:rPr>
          <w:rFonts w:ascii="Times New Roman" w:hAnsi="Times New Roman"/>
          <w:bCs/>
          <w:sz w:val="24"/>
          <w:szCs w:val="24"/>
          <w:lang w:val="sr-Cyrl-CS"/>
        </w:rPr>
        <w:t xml:space="preserve"> </w:t>
      </w:r>
      <w:r w:rsidRPr="00C80A6E">
        <w:rPr>
          <w:rFonts w:ascii="Times New Roman" w:hAnsi="Times New Roman"/>
          <w:sz w:val="24"/>
          <w:szCs w:val="24"/>
          <w:lang w:val="sr-Cyrl-CS"/>
        </w:rPr>
        <w:t>п</w:t>
      </w:r>
      <w:r w:rsidRPr="00C80A6E">
        <w:rPr>
          <w:rFonts w:ascii="Times New Roman" w:hAnsi="Times New Roman"/>
          <w:sz w:val="24"/>
          <w:szCs w:val="24"/>
        </w:rPr>
        <w:t>орески подстицаји по основу улагања у основна средства у сопствену регистровану делатност и по основу улагања у складу са прописима којима се уређује подстицање улагања у привреду Републике, признају</w:t>
      </w:r>
      <w:r w:rsidRPr="00C80A6E">
        <w:rPr>
          <w:rFonts w:ascii="Times New Roman" w:hAnsi="Times New Roman"/>
          <w:sz w:val="24"/>
          <w:szCs w:val="24"/>
          <w:lang w:val="sr-Cyrl-CS"/>
        </w:rPr>
        <w:t xml:space="preserve"> </w:t>
      </w:r>
      <w:r w:rsidRPr="00C80A6E">
        <w:rPr>
          <w:rFonts w:ascii="Times New Roman" w:hAnsi="Times New Roman"/>
          <w:sz w:val="24"/>
          <w:szCs w:val="24"/>
        </w:rPr>
        <w:t>предузетницима под условима и на начин како се признају правним лицима по закону којим се уређује порез на</w:t>
      </w:r>
      <w:r w:rsidRPr="00C80A6E">
        <w:rPr>
          <w:rFonts w:ascii="Times New Roman" w:hAnsi="Times New Roman"/>
          <w:sz w:val="24"/>
          <w:szCs w:val="24"/>
          <w:lang w:val="sr-Cyrl-CS"/>
        </w:rPr>
        <w:t xml:space="preserve"> </w:t>
      </w:r>
      <w:r w:rsidRPr="00C80A6E">
        <w:rPr>
          <w:rFonts w:ascii="Times New Roman" w:hAnsi="Times New Roman"/>
          <w:sz w:val="24"/>
          <w:szCs w:val="24"/>
        </w:rPr>
        <w:t>добит правних лица.</w:t>
      </w:r>
      <w:r w:rsidRPr="00C80A6E">
        <w:rPr>
          <w:rStyle w:val="FootnoteReference"/>
          <w:rFonts w:ascii="Times New Roman" w:hAnsi="Times New Roman"/>
          <w:color w:val="000000"/>
          <w:sz w:val="24"/>
          <w:szCs w:val="24"/>
        </w:rPr>
        <w:footnoteReference w:id="468"/>
      </w:r>
    </w:p>
    <w:p w:rsidR="00717D0E" w:rsidRPr="00C80A6E" w:rsidRDefault="00717D0E" w:rsidP="00C80A6E">
      <w:pPr>
        <w:ind w:firstLine="360"/>
        <w:jc w:val="both"/>
        <w:rPr>
          <w:rFonts w:ascii="Times New Roman" w:hAnsi="Times New Roman"/>
          <w:sz w:val="24"/>
          <w:szCs w:val="24"/>
          <w:lang w:val="sr-Cyrl-CS"/>
        </w:rPr>
      </w:pPr>
      <w:r w:rsidRPr="00C80A6E">
        <w:rPr>
          <w:rFonts w:ascii="Times New Roman" w:hAnsi="Times New Roman"/>
          <w:sz w:val="24"/>
          <w:szCs w:val="24"/>
          <w:lang w:val="sr-Cyrl-CS"/>
        </w:rPr>
        <w:t>Уколико порески обвезник изврши улагање у основна средства због стварне потребе, радиће се о прихватљивој законитој пореској евазији. Међутим, уколико је искључиви мотив пореског обвезника фискалне природе, односно како би искористио пореску олакшицу, а не због тога што су му та средс</w:t>
      </w:r>
      <w:r w:rsidR="00E77954">
        <w:rPr>
          <w:rFonts w:ascii="Times New Roman" w:hAnsi="Times New Roman"/>
          <w:sz w:val="24"/>
          <w:szCs w:val="24"/>
          <w:lang w:val="sr-Cyrl-CS"/>
        </w:rPr>
        <w:t>тва стварно потребна за обављање</w:t>
      </w:r>
      <w:r w:rsidRPr="00C80A6E">
        <w:rPr>
          <w:rFonts w:ascii="Times New Roman" w:hAnsi="Times New Roman"/>
          <w:sz w:val="24"/>
          <w:szCs w:val="24"/>
          <w:lang w:val="sr-Cyrl-CS"/>
        </w:rPr>
        <w:t xml:space="preserve"> делатности, радиће се о неприхватљивој законској пореској евазији. У првом случају остварује се намера закондоваца и екстрафискални циљеви, док је у другом случају ова пореска олакшица искључиво у циљу умањења пореза. </w:t>
      </w:r>
    </w:p>
    <w:p w:rsidR="00717D0E" w:rsidRPr="00705903" w:rsidRDefault="00717D0E" w:rsidP="00705903">
      <w:pPr>
        <w:ind w:firstLine="360"/>
        <w:jc w:val="both"/>
        <w:rPr>
          <w:rFonts w:ascii="Times New Roman" w:hAnsi="Times New Roman"/>
          <w:sz w:val="24"/>
          <w:szCs w:val="24"/>
          <w:lang w:val="sr-Cyrl-CS"/>
        </w:rPr>
      </w:pPr>
      <w:r w:rsidRPr="00C80A6E">
        <w:rPr>
          <w:rFonts w:ascii="Times New Roman" w:hAnsi="Times New Roman"/>
          <w:sz w:val="24"/>
          <w:szCs w:val="24"/>
          <w:lang w:val="sr-Cyrl-CS"/>
        </w:rPr>
        <w:t xml:space="preserve">Порески подстицаји се и код овог фискалитета често злоупотребљавају, као и код пореза на добит, при чему се крши закон, па се обим улагања може нетачно и лажно приказивати, на пример кроз повећање обима улагања у циљу незаконите евазије пореза. </w:t>
      </w:r>
      <w:r w:rsidR="00E77954">
        <w:rPr>
          <w:rFonts w:ascii="Times New Roman" w:hAnsi="Times New Roman"/>
          <w:sz w:val="24"/>
          <w:szCs w:val="24"/>
          <w:lang w:val="sr-Cyrl-CS"/>
        </w:rPr>
        <w:t>Осим</w:t>
      </w:r>
      <w:r w:rsidRPr="00C80A6E">
        <w:rPr>
          <w:rFonts w:ascii="Times New Roman" w:hAnsi="Times New Roman"/>
          <w:sz w:val="24"/>
          <w:szCs w:val="24"/>
          <w:lang w:val="sr-Cyrl-CS"/>
        </w:rPr>
        <w:t xml:space="preserve"> тога, и код овог фискалитета се код н</w:t>
      </w:r>
      <w:r w:rsidR="00705903">
        <w:rPr>
          <w:rFonts w:ascii="Times New Roman" w:hAnsi="Times New Roman"/>
          <w:sz w:val="24"/>
          <w:szCs w:val="24"/>
          <w:lang w:val="sr-Cyrl-CS"/>
        </w:rPr>
        <w:t xml:space="preserve">езаконите евазије пореза може </w:t>
      </w:r>
      <w:r w:rsidRPr="00C80A6E">
        <w:rPr>
          <w:rFonts w:ascii="Times New Roman" w:hAnsi="Times New Roman"/>
          <w:sz w:val="24"/>
          <w:szCs w:val="24"/>
          <w:lang w:val="sr-Cyrl-CS"/>
        </w:rPr>
        <w:t xml:space="preserve"> радити о потпуном или делимичном избегавању пореске обавезе. Најједноставнији начин за потпуно избегавање пореске обавезе се огледа у обављању делатности од стране предузетника без пријављивања и регистрације код Агенције за привредне регисте.</w:t>
      </w:r>
    </w:p>
    <w:p w:rsidR="00717D0E" w:rsidRPr="005F720D" w:rsidRDefault="00717D0E" w:rsidP="005F720D">
      <w:pPr>
        <w:ind w:firstLine="708"/>
        <w:jc w:val="both"/>
        <w:rPr>
          <w:rFonts w:ascii="Times New Roman" w:hAnsi="Times New Roman"/>
          <w:color w:val="000000"/>
          <w:sz w:val="24"/>
          <w:szCs w:val="24"/>
          <w:lang w:val="sr-Cyrl-CS"/>
        </w:rPr>
      </w:pPr>
      <w:r w:rsidRPr="005F720D">
        <w:rPr>
          <w:rFonts w:ascii="Times New Roman" w:hAnsi="Times New Roman"/>
          <w:color w:val="000000"/>
          <w:sz w:val="24"/>
          <w:szCs w:val="24"/>
          <w:shd w:val="clear" w:color="auto" w:fill="FFFFFF"/>
          <w:lang w:val="sr-Cyrl-CS"/>
        </w:rPr>
        <w:t>Према Уредби о ближим условима, критеријумима и елементима за паушално опорезивање обвезника пореза на приходе од самосталних делатности</w:t>
      </w:r>
      <w:r w:rsidRPr="005F720D">
        <w:rPr>
          <w:rStyle w:val="FootnoteReference"/>
          <w:rFonts w:ascii="Times New Roman" w:hAnsi="Times New Roman"/>
          <w:color w:val="000000"/>
          <w:sz w:val="24"/>
          <w:szCs w:val="24"/>
          <w:shd w:val="clear" w:color="auto" w:fill="FFFFFF"/>
          <w:lang w:val="sr-Cyrl-CS"/>
        </w:rPr>
        <w:footnoteReference w:id="469"/>
      </w:r>
      <w:r w:rsidRPr="005F720D">
        <w:rPr>
          <w:rFonts w:ascii="Times New Roman" w:hAnsi="Times New Roman"/>
          <w:color w:val="000000"/>
          <w:sz w:val="24"/>
          <w:szCs w:val="24"/>
          <w:shd w:val="clear" w:color="auto" w:fill="FFFFFF"/>
          <w:lang w:val="sr-Cyrl-CS"/>
        </w:rPr>
        <w:t xml:space="preserve"> у чл. 2. је прописано да </w:t>
      </w:r>
      <w:r w:rsidRPr="005F720D">
        <w:rPr>
          <w:rFonts w:ascii="Times New Roman" w:hAnsi="Times New Roman"/>
          <w:color w:val="000000"/>
          <w:sz w:val="24"/>
          <w:szCs w:val="24"/>
          <w:lang w:val="sr-Cyrl-CS"/>
        </w:rPr>
        <w:t>п</w:t>
      </w:r>
      <w:r w:rsidRPr="005F720D">
        <w:rPr>
          <w:rFonts w:ascii="Times New Roman" w:hAnsi="Times New Roman"/>
          <w:color w:val="000000"/>
          <w:sz w:val="24"/>
          <w:szCs w:val="24"/>
        </w:rPr>
        <w:t>редузетник</w:t>
      </w:r>
      <w:r w:rsidRPr="005F720D">
        <w:rPr>
          <w:rFonts w:ascii="Times New Roman" w:hAnsi="Times New Roman"/>
          <w:color w:val="000000"/>
          <w:sz w:val="24"/>
          <w:szCs w:val="24"/>
          <w:lang w:val="sr-Cyrl-CS"/>
        </w:rPr>
        <w:t xml:space="preserve"> који </w:t>
      </w:r>
      <w:r w:rsidRPr="005F720D">
        <w:rPr>
          <w:rFonts w:ascii="Times New Roman" w:hAnsi="Times New Roman"/>
          <w:color w:val="000000"/>
          <w:sz w:val="24"/>
          <w:szCs w:val="24"/>
        </w:rPr>
        <w:t xml:space="preserve"> </w:t>
      </w:r>
      <w:r w:rsidR="00E77954">
        <w:rPr>
          <w:rFonts w:ascii="Times New Roman" w:hAnsi="Times New Roman"/>
          <w:color w:val="000000"/>
          <w:sz w:val="24"/>
          <w:szCs w:val="24"/>
          <w:lang w:val="sr-Cyrl-CS"/>
        </w:rPr>
        <w:t xml:space="preserve">с </w:t>
      </w:r>
      <w:r w:rsidRPr="005F720D">
        <w:rPr>
          <w:rFonts w:ascii="Times New Roman" w:hAnsi="Times New Roman"/>
          <w:color w:val="000000"/>
          <w:sz w:val="24"/>
          <w:szCs w:val="24"/>
        </w:rPr>
        <w:t>обзиром на околности</w:t>
      </w:r>
      <w:r w:rsidRPr="005F720D">
        <w:rPr>
          <w:rFonts w:ascii="Times New Roman" w:hAnsi="Times New Roman"/>
          <w:color w:val="000000"/>
          <w:sz w:val="24"/>
          <w:szCs w:val="24"/>
          <w:lang w:val="sr-Cyrl-CS"/>
        </w:rPr>
        <w:t>,</w:t>
      </w:r>
      <w:r w:rsidRPr="005F720D">
        <w:rPr>
          <w:rFonts w:ascii="Times New Roman" w:hAnsi="Times New Roman"/>
          <w:color w:val="000000"/>
          <w:sz w:val="24"/>
          <w:szCs w:val="24"/>
        </w:rPr>
        <w:t xml:space="preserve"> није у стању да води пословне књиге, осим пословне књиге о оствареном промету, или коме њихово вођење отежава обављање делатности</w:t>
      </w:r>
      <w:r w:rsidRPr="005F720D">
        <w:rPr>
          <w:rFonts w:ascii="Times New Roman" w:hAnsi="Times New Roman"/>
          <w:color w:val="000000"/>
          <w:sz w:val="24"/>
          <w:szCs w:val="24"/>
          <w:lang w:val="sr-Cyrl-CS"/>
        </w:rPr>
        <w:t>, може</w:t>
      </w:r>
      <w:r w:rsidRPr="005F720D">
        <w:rPr>
          <w:rFonts w:ascii="Times New Roman" w:hAnsi="Times New Roman"/>
          <w:color w:val="000000"/>
          <w:sz w:val="24"/>
          <w:szCs w:val="24"/>
        </w:rPr>
        <w:t xml:space="preserve"> да поднесе захтев </w:t>
      </w:r>
      <w:r w:rsidRPr="005F720D">
        <w:rPr>
          <w:rFonts w:ascii="Times New Roman" w:hAnsi="Times New Roman"/>
          <w:color w:val="000000"/>
          <w:sz w:val="24"/>
          <w:szCs w:val="24"/>
          <w:lang w:val="sr-Cyrl-CS"/>
        </w:rPr>
        <w:t xml:space="preserve">Пореској управи </w:t>
      </w:r>
      <w:r w:rsidRPr="005F720D">
        <w:rPr>
          <w:rFonts w:ascii="Times New Roman" w:hAnsi="Times New Roman"/>
          <w:color w:val="000000"/>
          <w:sz w:val="24"/>
          <w:szCs w:val="24"/>
        </w:rPr>
        <w:t>да порез на приходе од самосталне делатности плаћа на паушално утврђен приход</w:t>
      </w:r>
      <w:r w:rsidRPr="005F720D">
        <w:rPr>
          <w:rFonts w:ascii="Times New Roman" w:hAnsi="Times New Roman"/>
          <w:color w:val="000000"/>
          <w:sz w:val="24"/>
          <w:szCs w:val="24"/>
          <w:lang w:val="sr-Cyrl-CS"/>
        </w:rPr>
        <w:t>, при чему захтев мора да садржи:</w:t>
      </w:r>
    </w:p>
    <w:p w:rsidR="00717D0E" w:rsidRPr="005F720D" w:rsidRDefault="00717D0E" w:rsidP="005F720D">
      <w:pPr>
        <w:pStyle w:val="NormalWeb"/>
        <w:shd w:val="clear" w:color="auto" w:fill="FFFFFF"/>
        <w:spacing w:before="0" w:beforeAutospacing="0" w:after="300" w:afterAutospacing="0" w:line="315" w:lineRule="atLeast"/>
        <w:jc w:val="both"/>
        <w:rPr>
          <w:color w:val="000000"/>
        </w:rPr>
      </w:pPr>
      <w:r w:rsidRPr="005F720D">
        <w:rPr>
          <w:color w:val="000000"/>
        </w:rPr>
        <w:t>1) разлоге због којих предузетник сматра да није у стању да води пословне књиге, односно разлоге због којих сматра да му њихово вођење отежава обављање делатности;</w:t>
      </w:r>
    </w:p>
    <w:p w:rsidR="00717D0E" w:rsidRPr="005F720D" w:rsidRDefault="00717D0E" w:rsidP="005F720D">
      <w:pPr>
        <w:pStyle w:val="NormalWeb"/>
        <w:shd w:val="clear" w:color="auto" w:fill="FFFFFF"/>
        <w:spacing w:before="0" w:beforeAutospacing="0" w:after="300" w:afterAutospacing="0" w:line="315" w:lineRule="atLeast"/>
        <w:jc w:val="both"/>
        <w:rPr>
          <w:color w:val="000000"/>
        </w:rPr>
      </w:pPr>
      <w:r w:rsidRPr="005F720D">
        <w:rPr>
          <w:color w:val="000000"/>
        </w:rPr>
        <w:t>2) износ укупног промета оствареног у години која претходи години за коју се утврђује порез, односно износ планираног промета када почиње обављање делатности;</w:t>
      </w:r>
    </w:p>
    <w:p w:rsidR="00717D0E" w:rsidRPr="005F720D" w:rsidRDefault="00717D0E" w:rsidP="005F720D">
      <w:pPr>
        <w:pStyle w:val="NormalWeb"/>
        <w:shd w:val="clear" w:color="auto" w:fill="FFFFFF"/>
        <w:spacing w:before="0" w:beforeAutospacing="0" w:after="300" w:afterAutospacing="0" w:line="315" w:lineRule="atLeast"/>
        <w:jc w:val="both"/>
        <w:rPr>
          <w:color w:val="000000"/>
          <w:lang w:val="sr-Cyrl-CS"/>
        </w:rPr>
      </w:pPr>
      <w:r w:rsidRPr="005F720D">
        <w:rPr>
          <w:color w:val="000000"/>
        </w:rPr>
        <w:t xml:space="preserve">3) податке о чињеницама и околностима од значаја за утврђивање висине паушалног прихода: место на коме се радња налази; опремљеност радње; број запослених радника и ангажованих чланова породице; тржишни услови у којима се делатност обавља; </w:t>
      </w:r>
      <w:r w:rsidRPr="005F720D">
        <w:rPr>
          <w:color w:val="000000"/>
        </w:rPr>
        <w:lastRenderedPageBreak/>
        <w:t>површина локала; старост предузетника и његова радна способност и остале околности које утичу на остваривање добити.</w:t>
      </w:r>
    </w:p>
    <w:p w:rsidR="00717D0E" w:rsidRPr="005F720D" w:rsidRDefault="00717D0E" w:rsidP="005F720D">
      <w:pPr>
        <w:pStyle w:val="Heading2"/>
        <w:jc w:val="both"/>
        <w:rPr>
          <w:rFonts w:ascii="Times New Roman" w:hAnsi="Times New Roman"/>
          <w:b w:val="0"/>
          <w:i w:val="0"/>
          <w:sz w:val="24"/>
          <w:szCs w:val="24"/>
          <w:lang w:val="sr-Cyrl-CS"/>
        </w:rPr>
      </w:pPr>
      <w:r w:rsidRPr="005F720D">
        <w:rPr>
          <w:rFonts w:ascii="Times New Roman" w:hAnsi="Times New Roman"/>
          <w:b w:val="0"/>
          <w:sz w:val="24"/>
          <w:szCs w:val="24"/>
          <w:lang w:val="sr-Cyrl-CS"/>
        </w:rPr>
        <w:tab/>
      </w:r>
      <w:r w:rsidRPr="005F720D">
        <w:rPr>
          <w:rFonts w:ascii="Times New Roman" w:hAnsi="Times New Roman"/>
          <w:b w:val="0"/>
          <w:i w:val="0"/>
          <w:sz w:val="24"/>
          <w:szCs w:val="24"/>
          <w:shd w:val="clear" w:color="auto" w:fill="FFFFFF"/>
          <w:lang w:val="sr-Cyrl-CS"/>
        </w:rPr>
        <w:t xml:space="preserve">Након овога Пореска управа утврђује пореску обавезу према прописаним критеријумима и елементима. </w:t>
      </w:r>
      <w:r w:rsidRPr="005F720D">
        <w:rPr>
          <w:rFonts w:ascii="Times New Roman" w:hAnsi="Times New Roman"/>
          <w:b w:val="0"/>
          <w:i w:val="0"/>
          <w:sz w:val="24"/>
          <w:szCs w:val="24"/>
          <w:lang w:val="sr-Cyrl-CS"/>
        </w:rPr>
        <w:t xml:space="preserve">Према одредби чл. 3. поменуте Уредбе </w:t>
      </w:r>
      <w:r w:rsidRPr="005F720D">
        <w:rPr>
          <w:rFonts w:ascii="Times New Roman" w:hAnsi="Times New Roman"/>
          <w:b w:val="0"/>
          <w:i w:val="0"/>
          <w:sz w:val="24"/>
          <w:szCs w:val="24"/>
          <w:shd w:val="clear" w:color="auto" w:fill="FFFFFF"/>
          <w:lang w:val="sr-Cyrl-CS"/>
        </w:rPr>
        <w:t>р</w:t>
      </w:r>
      <w:r w:rsidRPr="005F720D">
        <w:rPr>
          <w:rFonts w:ascii="Times New Roman" w:hAnsi="Times New Roman"/>
          <w:b w:val="0"/>
          <w:i w:val="0"/>
          <w:sz w:val="24"/>
          <w:szCs w:val="24"/>
          <w:shd w:val="clear" w:color="auto" w:fill="FFFFFF"/>
        </w:rPr>
        <w:t>ади утврђивања висине паушалног прихода, као основице пореза на приходе од самосталне делатно</w:t>
      </w:r>
      <w:r w:rsidRPr="005F720D">
        <w:rPr>
          <w:rFonts w:ascii="Times New Roman" w:hAnsi="Times New Roman"/>
          <w:b w:val="0"/>
          <w:i w:val="0"/>
          <w:sz w:val="24"/>
          <w:szCs w:val="24"/>
          <w:shd w:val="clear" w:color="auto" w:fill="FFFFFF"/>
          <w:lang w:val="sr-Cyrl-CS"/>
        </w:rPr>
        <w:t>сти</w:t>
      </w:r>
      <w:r w:rsidRPr="005F720D">
        <w:rPr>
          <w:rFonts w:ascii="Times New Roman" w:hAnsi="Times New Roman"/>
          <w:b w:val="0"/>
          <w:i w:val="0"/>
          <w:sz w:val="24"/>
          <w:szCs w:val="24"/>
          <w:shd w:val="clear" w:color="auto" w:fill="FFFFFF"/>
        </w:rPr>
        <w:t>, предузетници се разврставају по критеријумима профитабилности и обима промета, односно према врстама делатности, у седам група,</w:t>
      </w:r>
      <w:r w:rsidRPr="005F720D">
        <w:rPr>
          <w:rFonts w:ascii="Times New Roman" w:hAnsi="Times New Roman"/>
          <w:b w:val="0"/>
          <w:i w:val="0"/>
          <w:sz w:val="24"/>
          <w:szCs w:val="24"/>
          <w:shd w:val="clear" w:color="auto" w:fill="FFFFFF"/>
          <w:lang w:val="sr-Cyrl-CS"/>
        </w:rPr>
        <w:t xml:space="preserve"> па су тако адвокати разврстани у посебну шесту групу, док су лекари, стоматолози и апотекари разврстани у пету групу.</w:t>
      </w:r>
    </w:p>
    <w:p w:rsidR="00717D0E" w:rsidRPr="005F720D" w:rsidRDefault="00717D0E" w:rsidP="005F720D">
      <w:pPr>
        <w:pStyle w:val="normal0"/>
        <w:shd w:val="clear" w:color="auto" w:fill="FFFFFF"/>
        <w:spacing w:before="48" w:beforeAutospacing="0" w:after="48" w:afterAutospacing="0"/>
        <w:ind w:firstLine="708"/>
        <w:jc w:val="both"/>
        <w:rPr>
          <w:lang w:val="sr-Cyrl-CS"/>
        </w:rPr>
      </w:pPr>
    </w:p>
    <w:p w:rsidR="00717D0E" w:rsidRPr="00705903" w:rsidRDefault="00717D0E" w:rsidP="00705903">
      <w:pPr>
        <w:ind w:firstLine="708"/>
        <w:jc w:val="both"/>
        <w:rPr>
          <w:rFonts w:ascii="Times New Roman" w:hAnsi="Times New Roman"/>
          <w:color w:val="000000"/>
          <w:sz w:val="24"/>
          <w:szCs w:val="24"/>
          <w:lang w:val="sr-Cyrl-CS"/>
        </w:rPr>
      </w:pPr>
      <w:r w:rsidRPr="00705903">
        <w:rPr>
          <w:rFonts w:ascii="Times New Roman" w:hAnsi="Times New Roman"/>
          <w:sz w:val="24"/>
          <w:szCs w:val="24"/>
          <w:lang w:val="sr-Cyrl-CS"/>
        </w:rPr>
        <w:t>Злоупотребе паушалног опорезивања за поједине делатности су велике (као на пример адвокати, лекари, апотекари и сл.) и нема оправдања за паушално плаћање пореза на основицу која је знатно мања од стварно оствареног прихода. Наиме, у појед</w:t>
      </w:r>
      <w:r w:rsidR="00E77954">
        <w:rPr>
          <w:rFonts w:ascii="Times New Roman" w:hAnsi="Times New Roman"/>
          <w:sz w:val="24"/>
          <w:szCs w:val="24"/>
          <w:lang w:val="sr-Cyrl-CS"/>
        </w:rPr>
        <w:t>ини</w:t>
      </w:r>
      <w:r w:rsidRPr="00705903">
        <w:rPr>
          <w:rFonts w:ascii="Times New Roman" w:hAnsi="Times New Roman"/>
          <w:sz w:val="24"/>
          <w:szCs w:val="24"/>
          <w:lang w:val="sr-Cyrl-CS"/>
        </w:rPr>
        <w:t>м делатностима, које су разврстане у поменутих седам група, остварују се велики приходи, који измичу плаћању пореза, према оваквој регулативи. Самим тим</w:t>
      </w:r>
      <w:r w:rsidR="00E77954">
        <w:rPr>
          <w:rFonts w:ascii="Times New Roman" w:hAnsi="Times New Roman"/>
          <w:sz w:val="24"/>
          <w:szCs w:val="24"/>
          <w:lang w:val="sr-Cyrl-CS"/>
        </w:rPr>
        <w:t>,</w:t>
      </w:r>
      <w:r w:rsidRPr="00705903">
        <w:rPr>
          <w:rFonts w:ascii="Times New Roman" w:hAnsi="Times New Roman"/>
          <w:sz w:val="24"/>
          <w:szCs w:val="24"/>
          <w:lang w:val="sr-Cyrl-CS"/>
        </w:rPr>
        <w:t xml:space="preserve"> </w:t>
      </w:r>
      <w:r w:rsidR="00E77954">
        <w:rPr>
          <w:rFonts w:ascii="Times New Roman" w:hAnsi="Times New Roman"/>
          <w:sz w:val="24"/>
          <w:szCs w:val="24"/>
          <w:lang w:val="sr-Cyrl-CS"/>
        </w:rPr>
        <w:t>плаћа се</w:t>
      </w:r>
      <w:r w:rsidRPr="00705903">
        <w:rPr>
          <w:rFonts w:ascii="Times New Roman" w:hAnsi="Times New Roman"/>
          <w:sz w:val="24"/>
          <w:szCs w:val="24"/>
          <w:lang w:val="sr-Cyrl-CS"/>
        </w:rPr>
        <w:t xml:space="preserve"> порез који је знатно мањи од дохотка који </w:t>
      </w:r>
      <w:r w:rsidR="00E77954">
        <w:rPr>
          <w:rFonts w:ascii="Times New Roman" w:hAnsi="Times New Roman"/>
          <w:sz w:val="24"/>
          <w:szCs w:val="24"/>
          <w:lang w:val="sr-Cyrl-CS"/>
        </w:rPr>
        <w:t>се оствари</w:t>
      </w:r>
      <w:r w:rsidRPr="00705903">
        <w:rPr>
          <w:rFonts w:ascii="Times New Roman" w:hAnsi="Times New Roman"/>
          <w:sz w:val="24"/>
          <w:szCs w:val="24"/>
          <w:lang w:val="sr-Cyrl-CS"/>
        </w:rPr>
        <w:t xml:space="preserve">, па се не постиже ни правичност у опорезивању. </w:t>
      </w:r>
      <w:r w:rsidR="00E77954">
        <w:rPr>
          <w:rFonts w:ascii="Times New Roman" w:hAnsi="Times New Roman"/>
          <w:sz w:val="24"/>
          <w:szCs w:val="24"/>
          <w:lang w:val="sr-Cyrl-CS"/>
        </w:rPr>
        <w:t>Према томе, плаћа се</w:t>
      </w:r>
      <w:r w:rsidRPr="00705903">
        <w:rPr>
          <w:rFonts w:ascii="Times New Roman" w:hAnsi="Times New Roman"/>
          <w:sz w:val="24"/>
          <w:szCs w:val="24"/>
          <w:lang w:val="sr-Cyrl-CS"/>
        </w:rPr>
        <w:t xml:space="preserve"> </w:t>
      </w:r>
      <w:r w:rsidR="00E77954">
        <w:rPr>
          <w:rFonts w:ascii="Times New Roman" w:hAnsi="Times New Roman"/>
          <w:sz w:val="24"/>
          <w:szCs w:val="24"/>
          <w:lang w:val="sr-Cyrl-CS"/>
        </w:rPr>
        <w:t>порез на део остварених прихода</w:t>
      </w:r>
      <w:r w:rsidRPr="00705903">
        <w:rPr>
          <w:rFonts w:ascii="Times New Roman" w:hAnsi="Times New Roman"/>
          <w:sz w:val="24"/>
          <w:szCs w:val="24"/>
          <w:lang w:val="sr-Cyrl-CS"/>
        </w:rPr>
        <w:t xml:space="preserve"> који </w:t>
      </w:r>
      <w:r w:rsidR="00E77954">
        <w:rPr>
          <w:rFonts w:ascii="Times New Roman" w:hAnsi="Times New Roman"/>
          <w:sz w:val="24"/>
          <w:szCs w:val="24"/>
          <w:lang w:val="sr-Cyrl-CS"/>
        </w:rPr>
        <w:t xml:space="preserve">је </w:t>
      </w:r>
      <w:r w:rsidRPr="00705903">
        <w:rPr>
          <w:rFonts w:ascii="Times New Roman" w:hAnsi="Times New Roman"/>
          <w:sz w:val="24"/>
          <w:szCs w:val="24"/>
          <w:lang w:val="sr-Cyrl-CS"/>
        </w:rPr>
        <w:t xml:space="preserve">често знатно мањи од стварно оствареног прихода. Тиме су озбиљно дискриминисани обвезници са истим или нижим примањима, који морају да плаћају порез на свој стварно остварен приход. </w:t>
      </w:r>
      <w:r w:rsidR="00705903">
        <w:rPr>
          <w:rFonts w:ascii="Times New Roman" w:hAnsi="Times New Roman"/>
          <w:sz w:val="24"/>
          <w:szCs w:val="24"/>
          <w:lang w:val="sr-Cyrl-CS"/>
        </w:rPr>
        <w:t xml:space="preserve"> </w:t>
      </w:r>
    </w:p>
    <w:p w:rsidR="00717D0E" w:rsidRPr="005F720D" w:rsidRDefault="00717D0E" w:rsidP="005F720D">
      <w:pPr>
        <w:ind w:firstLine="708"/>
        <w:jc w:val="both"/>
        <w:rPr>
          <w:rFonts w:ascii="Times New Roman" w:hAnsi="Times New Roman"/>
          <w:sz w:val="24"/>
          <w:szCs w:val="24"/>
          <w:shd w:val="clear" w:color="auto" w:fill="FFFFFF"/>
          <w:lang w:val="sr-Cyrl-CS"/>
        </w:rPr>
      </w:pPr>
      <w:r w:rsidRPr="005F720D">
        <w:rPr>
          <w:rFonts w:ascii="Times New Roman" w:hAnsi="Times New Roman"/>
          <w:sz w:val="24"/>
          <w:szCs w:val="24"/>
          <w:lang w:val="sr-Cyrl-CS"/>
        </w:rPr>
        <w:t xml:space="preserve">У погледу </w:t>
      </w:r>
      <w:r w:rsidRPr="005F720D">
        <w:rPr>
          <w:rFonts w:ascii="Times New Roman" w:hAnsi="Times New Roman"/>
          <w:sz w:val="24"/>
          <w:szCs w:val="24"/>
          <w:shd w:val="clear" w:color="auto" w:fill="FFFFFF"/>
          <w:lang w:val="sr-Cyrl-CS"/>
        </w:rPr>
        <w:t>пореза на приходе од ауторских права, права сродних ауторском праву и права индустријске својине, активно се предузимају мере у борби против пиратерије и фалсификовања и уопште подизању степена заштите интелектуалне својине, посебно почев од 2002. године, са циљем приближавања европским стандардима. Приближавање Европској унији, наметнуло је испуњавање строгих правила у погледу заштите интелектуалне својине, као и приступање Србије Европској патентној конвенцији,</w:t>
      </w:r>
      <w:r w:rsidRPr="005F720D">
        <w:rPr>
          <w:rStyle w:val="FootnoteReference"/>
          <w:rFonts w:ascii="Times New Roman" w:hAnsi="Times New Roman"/>
          <w:color w:val="000000"/>
          <w:sz w:val="24"/>
          <w:szCs w:val="24"/>
          <w:shd w:val="clear" w:color="auto" w:fill="FFFFFF"/>
          <w:lang w:val="sr-Cyrl-CS"/>
        </w:rPr>
        <w:footnoteReference w:id="470"/>
      </w:r>
      <w:r w:rsidRPr="005F720D">
        <w:rPr>
          <w:rFonts w:ascii="Times New Roman" w:hAnsi="Times New Roman"/>
          <w:sz w:val="24"/>
          <w:szCs w:val="24"/>
          <w:shd w:val="clear" w:color="auto" w:fill="FFFFFF"/>
          <w:lang w:val="sr-Cyrl-CS"/>
        </w:rPr>
        <w:t xml:space="preserve"> што се огледа у потреби обезбеђивања заштите проналазака и учешћу у систему патентних информација. Све наведено је утицало и на одредбе ЗПДГ којима се регулише овај фискалитет,</w:t>
      </w:r>
      <w:r w:rsidRPr="005F720D">
        <w:rPr>
          <w:rStyle w:val="FootnoteReference"/>
          <w:rFonts w:ascii="Times New Roman" w:hAnsi="Times New Roman"/>
          <w:color w:val="000000"/>
          <w:sz w:val="24"/>
          <w:szCs w:val="24"/>
          <w:shd w:val="clear" w:color="auto" w:fill="FFFFFF"/>
          <w:lang w:val="sr-Cyrl-CS"/>
        </w:rPr>
        <w:footnoteReference w:id="471"/>
      </w:r>
      <w:r w:rsidRPr="005F720D">
        <w:rPr>
          <w:rFonts w:ascii="Times New Roman" w:hAnsi="Times New Roman"/>
          <w:sz w:val="24"/>
          <w:szCs w:val="24"/>
          <w:shd w:val="clear" w:color="auto" w:fill="FFFFFF"/>
          <w:lang w:val="sr-Cyrl-CS"/>
        </w:rPr>
        <w:t xml:space="preserve"> којима се веома детаљно и таксативно регулише предмет опорезивања у чак тринаест тачака, што раније није био случај. Пореска стопа износи 20%, али су прописани нормирани трошкови у различитим процентима од бруто прихода, који се признају пореским обвезницима, што је и разумљиво имајући у виду </w:t>
      </w:r>
      <w:r w:rsidR="00705903">
        <w:rPr>
          <w:rFonts w:ascii="Times New Roman" w:hAnsi="Times New Roman"/>
          <w:sz w:val="24"/>
          <w:szCs w:val="24"/>
          <w:shd w:val="clear" w:color="auto" w:fill="FFFFFF"/>
          <w:lang w:val="sr-Cyrl-CS"/>
        </w:rPr>
        <w:t>разноврсност</w:t>
      </w:r>
      <w:r w:rsidRPr="005F720D">
        <w:rPr>
          <w:rFonts w:ascii="Times New Roman" w:hAnsi="Times New Roman"/>
          <w:sz w:val="24"/>
          <w:szCs w:val="24"/>
          <w:shd w:val="clear" w:color="auto" w:fill="FFFFFF"/>
          <w:lang w:val="sr-Cyrl-CS"/>
        </w:rPr>
        <w:t xml:space="preserve"> у предмету опорезивања. Међутим, и поред свих предузетих мера и даље је заступљена пиратерија и други облици злоупотребе, као и други различити начини избегавања или умањења пореза.</w:t>
      </w:r>
    </w:p>
    <w:p w:rsidR="00717D0E" w:rsidRPr="004F668A" w:rsidRDefault="00717D0E" w:rsidP="004F668A">
      <w:pPr>
        <w:ind w:firstLine="708"/>
        <w:jc w:val="both"/>
        <w:rPr>
          <w:rFonts w:ascii="Times New Roman" w:hAnsi="Times New Roman"/>
          <w:sz w:val="24"/>
          <w:szCs w:val="24"/>
          <w:lang w:val="sr-Cyrl-CS"/>
        </w:rPr>
      </w:pPr>
      <w:r w:rsidRPr="004F668A">
        <w:rPr>
          <w:rFonts w:ascii="Times New Roman" w:hAnsi="Times New Roman"/>
          <w:sz w:val="24"/>
          <w:szCs w:val="24"/>
          <w:lang w:val="sr-Cyrl-CS"/>
        </w:rPr>
        <w:t xml:space="preserve">Тако се на пример велики износи пореза не плаћају на сивом тржишту естраде. Интерпретатори и друга ангажована лица често не закључују уговоре са </w:t>
      </w:r>
      <w:r w:rsidRPr="004F668A">
        <w:rPr>
          <w:rFonts w:ascii="Times New Roman" w:hAnsi="Times New Roman"/>
          <w:sz w:val="24"/>
          <w:szCs w:val="24"/>
          <w:lang w:val="sr-Cyrl-CS"/>
        </w:rPr>
        <w:lastRenderedPageBreak/>
        <w:t xml:space="preserve">организаторима естрадног програма, при чему убирају веома </w:t>
      </w:r>
      <w:r w:rsidR="004F668A">
        <w:rPr>
          <w:rFonts w:ascii="Times New Roman" w:hAnsi="Times New Roman"/>
          <w:sz w:val="24"/>
          <w:szCs w:val="24"/>
          <w:lang w:val="sr-Cyrl-CS"/>
        </w:rPr>
        <w:t>високе</w:t>
      </w:r>
      <w:r w:rsidRPr="004F668A">
        <w:rPr>
          <w:rFonts w:ascii="Times New Roman" w:hAnsi="Times New Roman"/>
          <w:sz w:val="24"/>
          <w:szCs w:val="24"/>
          <w:lang w:val="sr-Cyrl-CS"/>
        </w:rPr>
        <w:t xml:space="preserve"> приходе, који измичу пореским обавезама. </w:t>
      </w:r>
    </w:p>
    <w:p w:rsidR="001954C8" w:rsidRPr="004F668A" w:rsidRDefault="00717D0E" w:rsidP="004F668A">
      <w:pPr>
        <w:ind w:firstLine="708"/>
        <w:jc w:val="both"/>
        <w:rPr>
          <w:rFonts w:ascii="Times New Roman" w:hAnsi="Times New Roman"/>
          <w:sz w:val="24"/>
          <w:szCs w:val="24"/>
          <w:lang w:val="sr-Cyrl-CS"/>
        </w:rPr>
      </w:pPr>
      <w:r w:rsidRPr="004F668A">
        <w:rPr>
          <w:rFonts w:ascii="Times New Roman" w:hAnsi="Times New Roman"/>
          <w:sz w:val="24"/>
          <w:szCs w:val="24"/>
          <w:lang w:val="sr-Cyrl-CS"/>
        </w:rPr>
        <w:t>Према одредби чл. 60 ЗПДГ а</w:t>
      </w:r>
      <w:r w:rsidR="005F720D" w:rsidRPr="004F668A">
        <w:rPr>
          <w:rFonts w:ascii="Times New Roman" w:hAnsi="Times New Roman"/>
          <w:sz w:val="24"/>
          <w:szCs w:val="24"/>
        </w:rPr>
        <w:t>ко</w:t>
      </w:r>
      <w:r w:rsidRPr="004F668A">
        <w:rPr>
          <w:rFonts w:ascii="Times New Roman" w:hAnsi="Times New Roman"/>
          <w:sz w:val="24"/>
          <w:szCs w:val="24"/>
        </w:rPr>
        <w:t xml:space="preserve"> </w:t>
      </w:r>
      <w:r w:rsidR="005F720D" w:rsidRPr="004F668A">
        <w:rPr>
          <w:rFonts w:ascii="Times New Roman" w:hAnsi="Times New Roman"/>
          <w:sz w:val="24"/>
          <w:szCs w:val="24"/>
        </w:rPr>
        <w:t>Пореска</w:t>
      </w:r>
      <w:r w:rsidRPr="004F668A">
        <w:rPr>
          <w:rFonts w:ascii="Times New Roman" w:hAnsi="Times New Roman"/>
          <w:sz w:val="24"/>
          <w:szCs w:val="24"/>
        </w:rPr>
        <w:t xml:space="preserve"> </w:t>
      </w:r>
      <w:r w:rsidR="005F720D" w:rsidRPr="004F668A">
        <w:rPr>
          <w:rFonts w:ascii="Times New Roman" w:hAnsi="Times New Roman"/>
          <w:sz w:val="24"/>
          <w:szCs w:val="24"/>
        </w:rPr>
        <w:t>управа</w:t>
      </w:r>
      <w:r w:rsidRPr="004F668A">
        <w:rPr>
          <w:rFonts w:ascii="Times New Roman" w:hAnsi="Times New Roman"/>
          <w:sz w:val="24"/>
          <w:szCs w:val="24"/>
        </w:rPr>
        <w:t xml:space="preserve"> </w:t>
      </w:r>
      <w:r w:rsidR="005F720D" w:rsidRPr="004F668A">
        <w:rPr>
          <w:rFonts w:ascii="Times New Roman" w:hAnsi="Times New Roman"/>
          <w:sz w:val="24"/>
          <w:szCs w:val="24"/>
        </w:rPr>
        <w:t>утврди</w:t>
      </w:r>
      <w:r w:rsidRPr="004F668A">
        <w:rPr>
          <w:rFonts w:ascii="Times New Roman" w:hAnsi="Times New Roman"/>
          <w:sz w:val="24"/>
          <w:szCs w:val="24"/>
        </w:rPr>
        <w:t xml:space="preserve"> </w:t>
      </w:r>
      <w:r w:rsidR="005F720D" w:rsidRPr="004F668A">
        <w:rPr>
          <w:rFonts w:ascii="Times New Roman" w:hAnsi="Times New Roman"/>
          <w:sz w:val="24"/>
          <w:szCs w:val="24"/>
        </w:rPr>
        <w:t>да</w:t>
      </w:r>
      <w:r w:rsidRPr="004F668A">
        <w:rPr>
          <w:rFonts w:ascii="Times New Roman" w:hAnsi="Times New Roman"/>
          <w:sz w:val="24"/>
          <w:szCs w:val="24"/>
        </w:rPr>
        <w:t xml:space="preserve"> </w:t>
      </w:r>
      <w:r w:rsidR="005F720D" w:rsidRPr="004F668A">
        <w:rPr>
          <w:rFonts w:ascii="Times New Roman" w:hAnsi="Times New Roman"/>
          <w:sz w:val="24"/>
          <w:szCs w:val="24"/>
        </w:rPr>
        <w:t>је</w:t>
      </w:r>
      <w:r w:rsidRPr="004F668A">
        <w:rPr>
          <w:rFonts w:ascii="Times New Roman" w:hAnsi="Times New Roman"/>
          <w:sz w:val="24"/>
          <w:szCs w:val="24"/>
        </w:rPr>
        <w:t xml:space="preserve"> </w:t>
      </w:r>
      <w:r w:rsidR="005F720D" w:rsidRPr="004F668A">
        <w:rPr>
          <w:rFonts w:ascii="Times New Roman" w:hAnsi="Times New Roman"/>
          <w:sz w:val="24"/>
          <w:szCs w:val="24"/>
        </w:rPr>
        <w:t>интерпретатор</w:t>
      </w:r>
      <w:r w:rsidRPr="004F668A">
        <w:rPr>
          <w:rFonts w:ascii="Times New Roman" w:hAnsi="Times New Roman"/>
          <w:sz w:val="24"/>
          <w:szCs w:val="24"/>
        </w:rPr>
        <w:t xml:space="preserve">, </w:t>
      </w:r>
      <w:r w:rsidR="005F720D" w:rsidRPr="004F668A">
        <w:rPr>
          <w:rFonts w:ascii="Times New Roman" w:hAnsi="Times New Roman"/>
          <w:sz w:val="24"/>
          <w:szCs w:val="24"/>
        </w:rPr>
        <w:t>менаџер</w:t>
      </w:r>
      <w:r w:rsidRPr="004F668A">
        <w:rPr>
          <w:rFonts w:ascii="Times New Roman" w:hAnsi="Times New Roman"/>
          <w:sz w:val="24"/>
          <w:szCs w:val="24"/>
        </w:rPr>
        <w:t xml:space="preserve"> </w:t>
      </w:r>
      <w:r w:rsidR="005F720D" w:rsidRPr="004F668A">
        <w:rPr>
          <w:rFonts w:ascii="Times New Roman" w:hAnsi="Times New Roman"/>
          <w:sz w:val="24"/>
          <w:szCs w:val="24"/>
        </w:rPr>
        <w:t>или</w:t>
      </w:r>
      <w:r w:rsidRPr="004F668A">
        <w:rPr>
          <w:rFonts w:ascii="Times New Roman" w:hAnsi="Times New Roman"/>
          <w:sz w:val="24"/>
          <w:szCs w:val="24"/>
        </w:rPr>
        <w:t xml:space="preserve"> </w:t>
      </w:r>
      <w:r w:rsidR="005F720D" w:rsidRPr="004F668A">
        <w:rPr>
          <w:rFonts w:ascii="Times New Roman" w:hAnsi="Times New Roman"/>
          <w:sz w:val="24"/>
          <w:szCs w:val="24"/>
        </w:rPr>
        <w:t>друго</w:t>
      </w:r>
      <w:r w:rsidRPr="004F668A">
        <w:rPr>
          <w:rFonts w:ascii="Times New Roman" w:hAnsi="Times New Roman"/>
          <w:sz w:val="24"/>
          <w:szCs w:val="24"/>
        </w:rPr>
        <w:t xml:space="preserve"> </w:t>
      </w:r>
      <w:r w:rsidR="005F720D" w:rsidRPr="004F668A">
        <w:rPr>
          <w:rFonts w:ascii="Times New Roman" w:hAnsi="Times New Roman"/>
          <w:sz w:val="24"/>
          <w:szCs w:val="24"/>
        </w:rPr>
        <w:t>ангажовано</w:t>
      </w:r>
      <w:r w:rsidRPr="004F668A">
        <w:rPr>
          <w:rFonts w:ascii="Times New Roman" w:hAnsi="Times New Roman"/>
          <w:sz w:val="24"/>
          <w:szCs w:val="24"/>
        </w:rPr>
        <w:t xml:space="preserve"> </w:t>
      </w:r>
      <w:r w:rsidR="005F720D" w:rsidRPr="004F668A">
        <w:rPr>
          <w:rFonts w:ascii="Times New Roman" w:hAnsi="Times New Roman"/>
          <w:sz w:val="24"/>
          <w:szCs w:val="24"/>
        </w:rPr>
        <w:t>лице</w:t>
      </w:r>
      <w:r w:rsidRPr="004F668A">
        <w:rPr>
          <w:rFonts w:ascii="Times New Roman" w:hAnsi="Times New Roman"/>
          <w:sz w:val="24"/>
          <w:szCs w:val="24"/>
        </w:rPr>
        <w:t xml:space="preserve"> </w:t>
      </w:r>
      <w:r w:rsidR="005F720D" w:rsidRPr="004F668A">
        <w:rPr>
          <w:rFonts w:ascii="Times New Roman" w:hAnsi="Times New Roman"/>
          <w:sz w:val="24"/>
          <w:szCs w:val="24"/>
        </w:rPr>
        <w:t>по</w:t>
      </w:r>
      <w:r w:rsidRPr="004F668A">
        <w:rPr>
          <w:rFonts w:ascii="Times New Roman" w:hAnsi="Times New Roman"/>
          <w:sz w:val="24"/>
          <w:szCs w:val="24"/>
        </w:rPr>
        <w:t xml:space="preserve"> </w:t>
      </w:r>
      <w:r w:rsidR="005F720D" w:rsidRPr="004F668A">
        <w:rPr>
          <w:rFonts w:ascii="Times New Roman" w:hAnsi="Times New Roman"/>
          <w:sz w:val="24"/>
          <w:szCs w:val="24"/>
        </w:rPr>
        <w:t>основу</w:t>
      </w:r>
      <w:r w:rsidRPr="004F668A">
        <w:rPr>
          <w:rFonts w:ascii="Times New Roman" w:hAnsi="Times New Roman"/>
          <w:sz w:val="24"/>
          <w:szCs w:val="24"/>
        </w:rPr>
        <w:t xml:space="preserve"> </w:t>
      </w:r>
      <w:r w:rsidR="005F720D" w:rsidRPr="004F668A">
        <w:rPr>
          <w:rFonts w:ascii="Times New Roman" w:hAnsi="Times New Roman"/>
          <w:sz w:val="24"/>
          <w:szCs w:val="24"/>
        </w:rPr>
        <w:t>естрадног</w:t>
      </w:r>
      <w:r w:rsidRPr="004F668A">
        <w:rPr>
          <w:rFonts w:ascii="Times New Roman" w:hAnsi="Times New Roman"/>
          <w:sz w:val="24"/>
          <w:szCs w:val="24"/>
        </w:rPr>
        <w:t xml:space="preserve"> </w:t>
      </w:r>
      <w:r w:rsidR="005F720D" w:rsidRPr="004F668A">
        <w:rPr>
          <w:rFonts w:ascii="Times New Roman" w:hAnsi="Times New Roman"/>
          <w:sz w:val="24"/>
          <w:szCs w:val="24"/>
        </w:rPr>
        <w:t>програма</w:t>
      </w:r>
      <w:r w:rsidRPr="004F668A">
        <w:rPr>
          <w:rFonts w:ascii="Times New Roman" w:hAnsi="Times New Roman"/>
          <w:sz w:val="24"/>
          <w:szCs w:val="24"/>
        </w:rPr>
        <w:t xml:space="preserve"> </w:t>
      </w:r>
      <w:r w:rsidR="005F720D" w:rsidRPr="004F668A">
        <w:rPr>
          <w:rFonts w:ascii="Times New Roman" w:hAnsi="Times New Roman"/>
          <w:sz w:val="24"/>
          <w:szCs w:val="24"/>
        </w:rPr>
        <w:t>забавне</w:t>
      </w:r>
      <w:r w:rsidRPr="004F668A">
        <w:rPr>
          <w:rFonts w:ascii="Times New Roman" w:hAnsi="Times New Roman"/>
          <w:sz w:val="24"/>
          <w:szCs w:val="24"/>
        </w:rPr>
        <w:t xml:space="preserve"> </w:t>
      </w:r>
      <w:r w:rsidR="005F720D" w:rsidRPr="004F668A">
        <w:rPr>
          <w:rFonts w:ascii="Times New Roman" w:hAnsi="Times New Roman"/>
          <w:sz w:val="24"/>
          <w:szCs w:val="24"/>
        </w:rPr>
        <w:t>и</w:t>
      </w:r>
      <w:r w:rsidRPr="004F668A">
        <w:rPr>
          <w:rFonts w:ascii="Times New Roman" w:hAnsi="Times New Roman"/>
          <w:sz w:val="24"/>
          <w:szCs w:val="24"/>
        </w:rPr>
        <w:t xml:space="preserve"> </w:t>
      </w:r>
      <w:r w:rsidR="005F720D" w:rsidRPr="004F668A">
        <w:rPr>
          <w:rFonts w:ascii="Times New Roman" w:hAnsi="Times New Roman"/>
          <w:sz w:val="24"/>
          <w:szCs w:val="24"/>
        </w:rPr>
        <w:t>народне</w:t>
      </w:r>
      <w:r w:rsidRPr="004F668A">
        <w:rPr>
          <w:rFonts w:ascii="Times New Roman" w:hAnsi="Times New Roman"/>
          <w:sz w:val="24"/>
          <w:szCs w:val="24"/>
        </w:rPr>
        <w:t xml:space="preserve"> </w:t>
      </w:r>
      <w:r w:rsidR="005F720D" w:rsidRPr="004F668A">
        <w:rPr>
          <w:rFonts w:ascii="Times New Roman" w:hAnsi="Times New Roman"/>
          <w:sz w:val="24"/>
          <w:szCs w:val="24"/>
        </w:rPr>
        <w:t>музике</w:t>
      </w:r>
      <w:r w:rsidRPr="004F668A">
        <w:rPr>
          <w:rFonts w:ascii="Times New Roman" w:hAnsi="Times New Roman"/>
          <w:sz w:val="24"/>
          <w:szCs w:val="24"/>
        </w:rPr>
        <w:t xml:space="preserve"> </w:t>
      </w:r>
      <w:r w:rsidR="005F720D" w:rsidRPr="004F668A">
        <w:rPr>
          <w:rFonts w:ascii="Times New Roman" w:hAnsi="Times New Roman"/>
          <w:sz w:val="24"/>
          <w:szCs w:val="24"/>
        </w:rPr>
        <w:t>или</w:t>
      </w:r>
      <w:r w:rsidRPr="004F668A">
        <w:rPr>
          <w:rFonts w:ascii="Times New Roman" w:hAnsi="Times New Roman"/>
          <w:sz w:val="24"/>
          <w:szCs w:val="24"/>
        </w:rPr>
        <w:t xml:space="preserve"> </w:t>
      </w:r>
      <w:r w:rsidR="005F720D" w:rsidRPr="004F668A">
        <w:rPr>
          <w:rFonts w:ascii="Times New Roman" w:hAnsi="Times New Roman"/>
          <w:sz w:val="24"/>
          <w:szCs w:val="24"/>
        </w:rPr>
        <w:t>другог</w:t>
      </w:r>
      <w:r w:rsidRPr="004F668A">
        <w:rPr>
          <w:rFonts w:ascii="Times New Roman" w:hAnsi="Times New Roman"/>
          <w:sz w:val="24"/>
          <w:szCs w:val="24"/>
        </w:rPr>
        <w:t xml:space="preserve"> </w:t>
      </w:r>
      <w:r w:rsidR="005F720D" w:rsidRPr="004F668A">
        <w:rPr>
          <w:rFonts w:ascii="Times New Roman" w:hAnsi="Times New Roman"/>
          <w:sz w:val="24"/>
          <w:szCs w:val="24"/>
        </w:rPr>
        <w:t>забавног</w:t>
      </w:r>
      <w:r w:rsidRPr="004F668A">
        <w:rPr>
          <w:rFonts w:ascii="Times New Roman" w:hAnsi="Times New Roman"/>
          <w:sz w:val="24"/>
          <w:szCs w:val="24"/>
        </w:rPr>
        <w:t xml:space="preserve"> </w:t>
      </w:r>
      <w:r w:rsidR="005F720D" w:rsidRPr="004F668A">
        <w:rPr>
          <w:rFonts w:ascii="Times New Roman" w:hAnsi="Times New Roman"/>
          <w:sz w:val="24"/>
          <w:szCs w:val="24"/>
        </w:rPr>
        <w:t>програма</w:t>
      </w:r>
      <w:r w:rsidRPr="004F668A">
        <w:rPr>
          <w:rFonts w:ascii="Times New Roman" w:hAnsi="Times New Roman"/>
          <w:sz w:val="24"/>
          <w:szCs w:val="24"/>
        </w:rPr>
        <w:t xml:space="preserve"> </w:t>
      </w:r>
      <w:r w:rsidR="005F720D" w:rsidRPr="004F668A">
        <w:rPr>
          <w:rFonts w:ascii="Times New Roman" w:hAnsi="Times New Roman"/>
          <w:sz w:val="24"/>
          <w:szCs w:val="24"/>
        </w:rPr>
        <w:t>остварило</w:t>
      </w:r>
      <w:r w:rsidRPr="004F668A">
        <w:rPr>
          <w:rFonts w:ascii="Times New Roman" w:hAnsi="Times New Roman"/>
          <w:sz w:val="24"/>
          <w:szCs w:val="24"/>
        </w:rPr>
        <w:t xml:space="preserve"> </w:t>
      </w:r>
      <w:r w:rsidR="005F720D" w:rsidRPr="004F668A">
        <w:rPr>
          <w:rFonts w:ascii="Times New Roman" w:hAnsi="Times New Roman"/>
          <w:sz w:val="24"/>
          <w:szCs w:val="24"/>
        </w:rPr>
        <w:t>приход</w:t>
      </w:r>
      <w:r w:rsidRPr="004F668A">
        <w:rPr>
          <w:rFonts w:ascii="Times New Roman" w:hAnsi="Times New Roman"/>
          <w:sz w:val="24"/>
          <w:szCs w:val="24"/>
        </w:rPr>
        <w:t xml:space="preserve">, </w:t>
      </w:r>
      <w:r w:rsidR="005F720D" w:rsidRPr="004F668A">
        <w:rPr>
          <w:rFonts w:ascii="Times New Roman" w:hAnsi="Times New Roman"/>
          <w:sz w:val="24"/>
          <w:szCs w:val="24"/>
        </w:rPr>
        <w:t>а</w:t>
      </w:r>
      <w:r w:rsidRPr="004F668A">
        <w:rPr>
          <w:rFonts w:ascii="Times New Roman" w:hAnsi="Times New Roman"/>
          <w:sz w:val="24"/>
          <w:szCs w:val="24"/>
        </w:rPr>
        <w:t xml:space="preserve"> </w:t>
      </w:r>
      <w:r w:rsidR="005F720D" w:rsidRPr="004F668A">
        <w:rPr>
          <w:rFonts w:ascii="Times New Roman" w:hAnsi="Times New Roman"/>
          <w:sz w:val="24"/>
          <w:szCs w:val="24"/>
        </w:rPr>
        <w:t>није</w:t>
      </w:r>
      <w:r w:rsidRPr="004F668A">
        <w:rPr>
          <w:rFonts w:ascii="Times New Roman" w:hAnsi="Times New Roman"/>
          <w:sz w:val="24"/>
          <w:szCs w:val="24"/>
        </w:rPr>
        <w:t xml:space="preserve"> </w:t>
      </w:r>
      <w:r w:rsidR="005F720D" w:rsidRPr="004F668A">
        <w:rPr>
          <w:rFonts w:ascii="Times New Roman" w:hAnsi="Times New Roman"/>
          <w:sz w:val="24"/>
          <w:szCs w:val="24"/>
        </w:rPr>
        <w:t>закључило</w:t>
      </w:r>
      <w:r w:rsidRPr="004F668A">
        <w:rPr>
          <w:rFonts w:ascii="Times New Roman" w:hAnsi="Times New Roman"/>
          <w:sz w:val="24"/>
          <w:szCs w:val="24"/>
        </w:rPr>
        <w:t xml:space="preserve"> </w:t>
      </w:r>
      <w:r w:rsidR="005F720D" w:rsidRPr="004F668A">
        <w:rPr>
          <w:rFonts w:ascii="Times New Roman" w:hAnsi="Times New Roman"/>
          <w:sz w:val="24"/>
          <w:szCs w:val="24"/>
        </w:rPr>
        <w:t>уговор</w:t>
      </w:r>
      <w:r w:rsidRPr="004F668A">
        <w:rPr>
          <w:rFonts w:ascii="Times New Roman" w:hAnsi="Times New Roman"/>
          <w:sz w:val="24"/>
          <w:szCs w:val="24"/>
        </w:rPr>
        <w:t xml:space="preserve"> </w:t>
      </w:r>
      <w:r w:rsidR="005F720D" w:rsidRPr="004F668A">
        <w:rPr>
          <w:rFonts w:ascii="Times New Roman" w:hAnsi="Times New Roman"/>
          <w:sz w:val="24"/>
          <w:szCs w:val="24"/>
        </w:rPr>
        <w:t>са</w:t>
      </w:r>
      <w:r w:rsidRPr="004F668A">
        <w:rPr>
          <w:rFonts w:ascii="Times New Roman" w:hAnsi="Times New Roman"/>
          <w:sz w:val="24"/>
          <w:szCs w:val="24"/>
        </w:rPr>
        <w:t xml:space="preserve"> </w:t>
      </w:r>
      <w:r w:rsidR="005F720D" w:rsidRPr="004F668A">
        <w:rPr>
          <w:rFonts w:ascii="Times New Roman" w:hAnsi="Times New Roman"/>
          <w:sz w:val="24"/>
          <w:szCs w:val="24"/>
        </w:rPr>
        <w:t>организатором</w:t>
      </w:r>
      <w:r w:rsidRPr="004F668A">
        <w:rPr>
          <w:rFonts w:ascii="Times New Roman" w:hAnsi="Times New Roman"/>
          <w:sz w:val="24"/>
          <w:szCs w:val="24"/>
        </w:rPr>
        <w:t xml:space="preserve"> </w:t>
      </w:r>
      <w:r w:rsidR="005F720D" w:rsidRPr="004F668A">
        <w:rPr>
          <w:rFonts w:ascii="Times New Roman" w:hAnsi="Times New Roman"/>
          <w:sz w:val="24"/>
          <w:szCs w:val="24"/>
        </w:rPr>
        <w:t>таквог</w:t>
      </w:r>
      <w:r w:rsidRPr="004F668A">
        <w:rPr>
          <w:rFonts w:ascii="Times New Roman" w:hAnsi="Times New Roman"/>
          <w:sz w:val="24"/>
          <w:szCs w:val="24"/>
        </w:rPr>
        <w:t xml:space="preserve"> </w:t>
      </w:r>
      <w:r w:rsidR="005F720D" w:rsidRPr="004F668A">
        <w:rPr>
          <w:rFonts w:ascii="Times New Roman" w:hAnsi="Times New Roman"/>
          <w:sz w:val="24"/>
          <w:szCs w:val="24"/>
        </w:rPr>
        <w:t>програма</w:t>
      </w:r>
      <w:r w:rsidRPr="004F668A">
        <w:rPr>
          <w:rFonts w:ascii="Times New Roman" w:hAnsi="Times New Roman"/>
          <w:sz w:val="24"/>
          <w:szCs w:val="24"/>
        </w:rPr>
        <w:t xml:space="preserve">, </w:t>
      </w:r>
      <w:r w:rsidR="005F720D" w:rsidRPr="004F668A">
        <w:rPr>
          <w:rFonts w:ascii="Times New Roman" w:hAnsi="Times New Roman"/>
          <w:sz w:val="24"/>
          <w:szCs w:val="24"/>
        </w:rPr>
        <w:t>или</w:t>
      </w:r>
      <w:r w:rsidRPr="004F668A">
        <w:rPr>
          <w:rFonts w:ascii="Times New Roman" w:hAnsi="Times New Roman"/>
          <w:sz w:val="24"/>
          <w:szCs w:val="24"/>
        </w:rPr>
        <w:t xml:space="preserve"> </w:t>
      </w:r>
      <w:r w:rsidR="005F720D" w:rsidRPr="004F668A">
        <w:rPr>
          <w:rFonts w:ascii="Times New Roman" w:hAnsi="Times New Roman"/>
          <w:sz w:val="24"/>
          <w:szCs w:val="24"/>
        </w:rPr>
        <w:t>оцени</w:t>
      </w:r>
      <w:r w:rsidRPr="004F668A">
        <w:rPr>
          <w:rFonts w:ascii="Times New Roman" w:hAnsi="Times New Roman"/>
          <w:sz w:val="24"/>
          <w:szCs w:val="24"/>
        </w:rPr>
        <w:t xml:space="preserve"> </w:t>
      </w:r>
      <w:r w:rsidR="005F720D" w:rsidRPr="004F668A">
        <w:rPr>
          <w:rFonts w:ascii="Times New Roman" w:hAnsi="Times New Roman"/>
          <w:sz w:val="24"/>
          <w:szCs w:val="24"/>
        </w:rPr>
        <w:t>да</w:t>
      </w:r>
      <w:r w:rsidRPr="004F668A">
        <w:rPr>
          <w:rFonts w:ascii="Times New Roman" w:hAnsi="Times New Roman"/>
          <w:sz w:val="24"/>
          <w:szCs w:val="24"/>
        </w:rPr>
        <w:t xml:space="preserve"> </w:t>
      </w:r>
      <w:r w:rsidR="005F720D" w:rsidRPr="004F668A">
        <w:rPr>
          <w:rFonts w:ascii="Times New Roman" w:hAnsi="Times New Roman"/>
          <w:sz w:val="24"/>
          <w:szCs w:val="24"/>
        </w:rPr>
        <w:t>је</w:t>
      </w:r>
      <w:r w:rsidRPr="004F668A">
        <w:rPr>
          <w:rFonts w:ascii="Times New Roman" w:hAnsi="Times New Roman"/>
          <w:sz w:val="24"/>
          <w:szCs w:val="24"/>
        </w:rPr>
        <w:t xml:space="preserve"> </w:t>
      </w:r>
      <w:r w:rsidR="005F720D" w:rsidRPr="004F668A">
        <w:rPr>
          <w:rFonts w:ascii="Times New Roman" w:hAnsi="Times New Roman"/>
          <w:sz w:val="24"/>
          <w:szCs w:val="24"/>
        </w:rPr>
        <w:t>остварени</w:t>
      </w:r>
      <w:r w:rsidRPr="004F668A">
        <w:rPr>
          <w:rFonts w:ascii="Times New Roman" w:hAnsi="Times New Roman"/>
          <w:sz w:val="24"/>
          <w:szCs w:val="24"/>
        </w:rPr>
        <w:t xml:space="preserve"> </w:t>
      </w:r>
      <w:r w:rsidR="005F720D" w:rsidRPr="004F668A">
        <w:rPr>
          <w:rFonts w:ascii="Times New Roman" w:hAnsi="Times New Roman"/>
          <w:sz w:val="24"/>
          <w:szCs w:val="24"/>
        </w:rPr>
        <w:t>приход</w:t>
      </w:r>
      <w:r w:rsidRPr="004F668A">
        <w:rPr>
          <w:rFonts w:ascii="Times New Roman" w:hAnsi="Times New Roman"/>
          <w:sz w:val="24"/>
          <w:szCs w:val="24"/>
        </w:rPr>
        <w:t xml:space="preserve"> </w:t>
      </w:r>
      <w:r w:rsidR="005F720D" w:rsidRPr="004F668A">
        <w:rPr>
          <w:rFonts w:ascii="Times New Roman" w:hAnsi="Times New Roman"/>
          <w:sz w:val="24"/>
          <w:szCs w:val="24"/>
        </w:rPr>
        <w:t>већи</w:t>
      </w:r>
      <w:r w:rsidRPr="004F668A">
        <w:rPr>
          <w:rFonts w:ascii="Times New Roman" w:hAnsi="Times New Roman"/>
          <w:sz w:val="24"/>
          <w:szCs w:val="24"/>
        </w:rPr>
        <w:t xml:space="preserve"> </w:t>
      </w:r>
      <w:r w:rsidR="005F720D" w:rsidRPr="004F668A">
        <w:rPr>
          <w:rFonts w:ascii="Times New Roman" w:hAnsi="Times New Roman"/>
          <w:sz w:val="24"/>
          <w:szCs w:val="24"/>
        </w:rPr>
        <w:t>од</w:t>
      </w:r>
      <w:r w:rsidRPr="004F668A">
        <w:rPr>
          <w:rFonts w:ascii="Times New Roman" w:hAnsi="Times New Roman"/>
          <w:sz w:val="24"/>
          <w:szCs w:val="24"/>
        </w:rPr>
        <w:t xml:space="preserve"> </w:t>
      </w:r>
      <w:r w:rsidR="005F720D" w:rsidRPr="004F668A">
        <w:rPr>
          <w:rFonts w:ascii="Times New Roman" w:hAnsi="Times New Roman"/>
          <w:sz w:val="24"/>
          <w:szCs w:val="24"/>
        </w:rPr>
        <w:t>уговореног</w:t>
      </w:r>
      <w:r w:rsidRPr="004F668A">
        <w:rPr>
          <w:rFonts w:ascii="Times New Roman" w:hAnsi="Times New Roman"/>
          <w:sz w:val="24"/>
          <w:szCs w:val="24"/>
        </w:rPr>
        <w:t xml:space="preserve"> </w:t>
      </w:r>
      <w:r w:rsidR="005F720D" w:rsidRPr="004F668A">
        <w:rPr>
          <w:rFonts w:ascii="Times New Roman" w:hAnsi="Times New Roman"/>
          <w:sz w:val="24"/>
          <w:szCs w:val="24"/>
        </w:rPr>
        <w:t>прихода</w:t>
      </w:r>
      <w:r w:rsidRPr="004F668A">
        <w:rPr>
          <w:rFonts w:ascii="Times New Roman" w:hAnsi="Times New Roman"/>
          <w:sz w:val="24"/>
          <w:szCs w:val="24"/>
        </w:rPr>
        <w:t xml:space="preserve">, </w:t>
      </w:r>
      <w:r w:rsidR="005F720D" w:rsidRPr="004F668A">
        <w:rPr>
          <w:rFonts w:ascii="Times New Roman" w:hAnsi="Times New Roman"/>
          <w:sz w:val="24"/>
          <w:szCs w:val="24"/>
        </w:rPr>
        <w:t>бруто</w:t>
      </w:r>
      <w:r w:rsidRPr="004F668A">
        <w:rPr>
          <w:rFonts w:ascii="Times New Roman" w:hAnsi="Times New Roman"/>
          <w:sz w:val="24"/>
          <w:szCs w:val="24"/>
        </w:rPr>
        <w:t xml:space="preserve"> </w:t>
      </w:r>
      <w:r w:rsidR="005F720D" w:rsidRPr="004F668A">
        <w:rPr>
          <w:rFonts w:ascii="Times New Roman" w:hAnsi="Times New Roman"/>
          <w:sz w:val="24"/>
          <w:szCs w:val="24"/>
        </w:rPr>
        <w:t>приход</w:t>
      </w:r>
      <w:r w:rsidRPr="004F668A">
        <w:rPr>
          <w:rFonts w:ascii="Times New Roman" w:hAnsi="Times New Roman"/>
          <w:sz w:val="24"/>
          <w:szCs w:val="24"/>
        </w:rPr>
        <w:t xml:space="preserve"> </w:t>
      </w:r>
      <w:r w:rsidR="005F720D" w:rsidRPr="004F668A">
        <w:rPr>
          <w:rFonts w:ascii="Times New Roman" w:hAnsi="Times New Roman"/>
          <w:sz w:val="24"/>
          <w:szCs w:val="24"/>
        </w:rPr>
        <w:t>се</w:t>
      </w:r>
      <w:r w:rsidRPr="004F668A">
        <w:rPr>
          <w:rFonts w:ascii="Times New Roman" w:hAnsi="Times New Roman"/>
          <w:sz w:val="24"/>
          <w:szCs w:val="24"/>
        </w:rPr>
        <w:t xml:space="preserve"> </w:t>
      </w:r>
      <w:r w:rsidR="005F720D" w:rsidRPr="004F668A">
        <w:rPr>
          <w:rFonts w:ascii="Times New Roman" w:hAnsi="Times New Roman"/>
          <w:sz w:val="24"/>
          <w:szCs w:val="24"/>
        </w:rPr>
        <w:t>утврђује</w:t>
      </w:r>
      <w:r w:rsidRPr="004F668A">
        <w:rPr>
          <w:rFonts w:ascii="Times New Roman" w:hAnsi="Times New Roman"/>
          <w:sz w:val="24"/>
          <w:szCs w:val="24"/>
        </w:rPr>
        <w:t xml:space="preserve"> </w:t>
      </w:r>
      <w:r w:rsidR="005F720D" w:rsidRPr="004F668A">
        <w:rPr>
          <w:rFonts w:ascii="Times New Roman" w:hAnsi="Times New Roman"/>
          <w:sz w:val="24"/>
          <w:szCs w:val="24"/>
        </w:rPr>
        <w:t>проценом</w:t>
      </w:r>
      <w:r w:rsidRPr="004F668A">
        <w:rPr>
          <w:rFonts w:ascii="Times New Roman" w:hAnsi="Times New Roman"/>
          <w:sz w:val="24"/>
          <w:szCs w:val="24"/>
        </w:rPr>
        <w:t xml:space="preserve"> </w:t>
      </w:r>
      <w:r w:rsidR="005F720D" w:rsidRPr="004F668A">
        <w:rPr>
          <w:rFonts w:ascii="Times New Roman" w:hAnsi="Times New Roman"/>
          <w:sz w:val="24"/>
          <w:szCs w:val="24"/>
        </w:rPr>
        <w:t>у</w:t>
      </w:r>
      <w:r w:rsidRPr="004F668A">
        <w:rPr>
          <w:rFonts w:ascii="Times New Roman" w:hAnsi="Times New Roman"/>
          <w:sz w:val="24"/>
          <w:szCs w:val="24"/>
        </w:rPr>
        <w:t xml:space="preserve"> </w:t>
      </w:r>
      <w:r w:rsidR="005F720D" w:rsidRPr="004F668A">
        <w:rPr>
          <w:rFonts w:ascii="Times New Roman" w:hAnsi="Times New Roman"/>
          <w:sz w:val="24"/>
          <w:szCs w:val="24"/>
        </w:rPr>
        <w:t>складу</w:t>
      </w:r>
      <w:r w:rsidRPr="004F668A">
        <w:rPr>
          <w:rFonts w:ascii="Times New Roman" w:hAnsi="Times New Roman"/>
          <w:sz w:val="24"/>
          <w:szCs w:val="24"/>
        </w:rPr>
        <w:t xml:space="preserve"> </w:t>
      </w:r>
      <w:r w:rsidR="005F720D" w:rsidRPr="004F668A">
        <w:rPr>
          <w:rFonts w:ascii="Times New Roman" w:hAnsi="Times New Roman"/>
          <w:sz w:val="24"/>
          <w:szCs w:val="24"/>
        </w:rPr>
        <w:t>са</w:t>
      </w:r>
      <w:r w:rsidRPr="004F668A">
        <w:rPr>
          <w:rFonts w:ascii="Times New Roman" w:hAnsi="Times New Roman"/>
          <w:sz w:val="24"/>
          <w:szCs w:val="24"/>
        </w:rPr>
        <w:t xml:space="preserve"> </w:t>
      </w:r>
      <w:r w:rsidR="005F720D" w:rsidRPr="004F668A">
        <w:rPr>
          <w:rFonts w:ascii="Times New Roman" w:hAnsi="Times New Roman"/>
          <w:sz w:val="24"/>
          <w:szCs w:val="24"/>
        </w:rPr>
        <w:t>законом</w:t>
      </w:r>
      <w:r w:rsidRPr="004F668A">
        <w:rPr>
          <w:rFonts w:ascii="Times New Roman" w:hAnsi="Times New Roman"/>
          <w:sz w:val="24"/>
          <w:szCs w:val="24"/>
        </w:rPr>
        <w:t xml:space="preserve"> </w:t>
      </w:r>
      <w:r w:rsidR="005F720D" w:rsidRPr="004F668A">
        <w:rPr>
          <w:rFonts w:ascii="Times New Roman" w:hAnsi="Times New Roman"/>
          <w:sz w:val="24"/>
          <w:szCs w:val="24"/>
        </w:rPr>
        <w:t>који</w:t>
      </w:r>
      <w:r w:rsidRPr="004F668A">
        <w:rPr>
          <w:rFonts w:ascii="Times New Roman" w:hAnsi="Times New Roman"/>
          <w:sz w:val="24"/>
          <w:szCs w:val="24"/>
        </w:rPr>
        <w:t xml:space="preserve"> </w:t>
      </w:r>
      <w:r w:rsidR="005F720D" w:rsidRPr="004F668A">
        <w:rPr>
          <w:rFonts w:ascii="Times New Roman" w:hAnsi="Times New Roman"/>
          <w:sz w:val="24"/>
          <w:szCs w:val="24"/>
        </w:rPr>
        <w:t>уређује</w:t>
      </w:r>
      <w:r w:rsidRPr="004F668A">
        <w:rPr>
          <w:rFonts w:ascii="Times New Roman" w:hAnsi="Times New Roman"/>
          <w:sz w:val="24"/>
          <w:szCs w:val="24"/>
        </w:rPr>
        <w:t xml:space="preserve"> </w:t>
      </w:r>
      <w:r w:rsidR="005F720D" w:rsidRPr="004F668A">
        <w:rPr>
          <w:rFonts w:ascii="Times New Roman" w:hAnsi="Times New Roman"/>
          <w:sz w:val="24"/>
          <w:szCs w:val="24"/>
        </w:rPr>
        <w:t>порески</w:t>
      </w:r>
      <w:r w:rsidRPr="004F668A">
        <w:rPr>
          <w:rFonts w:ascii="Times New Roman" w:hAnsi="Times New Roman"/>
          <w:sz w:val="24"/>
          <w:szCs w:val="24"/>
        </w:rPr>
        <w:t xml:space="preserve"> </w:t>
      </w:r>
      <w:r w:rsidR="005F720D" w:rsidRPr="004F668A">
        <w:rPr>
          <w:rFonts w:ascii="Times New Roman" w:hAnsi="Times New Roman"/>
          <w:sz w:val="24"/>
          <w:szCs w:val="24"/>
        </w:rPr>
        <w:t>поступак</w:t>
      </w:r>
      <w:r w:rsidRPr="004F668A">
        <w:rPr>
          <w:rFonts w:ascii="Times New Roman" w:hAnsi="Times New Roman"/>
          <w:sz w:val="24"/>
          <w:szCs w:val="24"/>
        </w:rPr>
        <w:t xml:space="preserve"> </w:t>
      </w:r>
      <w:r w:rsidR="005F720D" w:rsidRPr="004F668A">
        <w:rPr>
          <w:rFonts w:ascii="Times New Roman" w:hAnsi="Times New Roman"/>
          <w:sz w:val="24"/>
          <w:szCs w:val="24"/>
        </w:rPr>
        <w:t>и</w:t>
      </w:r>
      <w:r w:rsidRPr="004F668A">
        <w:rPr>
          <w:rFonts w:ascii="Times New Roman" w:hAnsi="Times New Roman"/>
          <w:sz w:val="24"/>
          <w:szCs w:val="24"/>
        </w:rPr>
        <w:t xml:space="preserve"> </w:t>
      </w:r>
      <w:r w:rsidR="005F720D" w:rsidRPr="004F668A">
        <w:rPr>
          <w:rFonts w:ascii="Times New Roman" w:hAnsi="Times New Roman"/>
          <w:sz w:val="24"/>
          <w:szCs w:val="24"/>
        </w:rPr>
        <w:t>пореску</w:t>
      </w:r>
      <w:r w:rsidRPr="004F668A">
        <w:rPr>
          <w:rFonts w:ascii="Times New Roman" w:hAnsi="Times New Roman"/>
          <w:sz w:val="24"/>
          <w:szCs w:val="24"/>
        </w:rPr>
        <w:t xml:space="preserve"> </w:t>
      </w:r>
      <w:r w:rsidR="005F720D" w:rsidRPr="004F668A">
        <w:rPr>
          <w:rFonts w:ascii="Times New Roman" w:hAnsi="Times New Roman"/>
          <w:sz w:val="24"/>
          <w:szCs w:val="24"/>
        </w:rPr>
        <w:t>администрацију</w:t>
      </w:r>
      <w:r w:rsidRPr="004F668A">
        <w:rPr>
          <w:rFonts w:ascii="Times New Roman" w:hAnsi="Times New Roman"/>
          <w:sz w:val="24"/>
          <w:szCs w:val="24"/>
        </w:rPr>
        <w:t xml:space="preserve">, </w:t>
      </w:r>
      <w:r w:rsidR="005F720D" w:rsidRPr="004F668A">
        <w:rPr>
          <w:rFonts w:ascii="Times New Roman" w:hAnsi="Times New Roman"/>
          <w:sz w:val="24"/>
          <w:szCs w:val="24"/>
        </w:rPr>
        <w:t>а</w:t>
      </w:r>
      <w:r w:rsidRPr="004F668A">
        <w:rPr>
          <w:rFonts w:ascii="Times New Roman" w:hAnsi="Times New Roman"/>
          <w:sz w:val="24"/>
          <w:szCs w:val="24"/>
        </w:rPr>
        <w:t xml:space="preserve"> </w:t>
      </w:r>
      <w:r w:rsidR="005F720D" w:rsidRPr="004F668A">
        <w:rPr>
          <w:rFonts w:ascii="Times New Roman" w:hAnsi="Times New Roman"/>
          <w:sz w:val="24"/>
          <w:szCs w:val="24"/>
        </w:rPr>
        <w:t>опорезује</w:t>
      </w:r>
      <w:r w:rsidRPr="004F668A">
        <w:rPr>
          <w:rFonts w:ascii="Times New Roman" w:hAnsi="Times New Roman"/>
          <w:sz w:val="24"/>
          <w:szCs w:val="24"/>
        </w:rPr>
        <w:t xml:space="preserve"> </w:t>
      </w:r>
      <w:r w:rsidR="005F720D" w:rsidRPr="004F668A">
        <w:rPr>
          <w:rFonts w:ascii="Times New Roman" w:hAnsi="Times New Roman"/>
          <w:sz w:val="24"/>
          <w:szCs w:val="24"/>
        </w:rPr>
        <w:t>без</w:t>
      </w:r>
      <w:r w:rsidRPr="004F668A">
        <w:rPr>
          <w:rFonts w:ascii="Times New Roman" w:hAnsi="Times New Roman"/>
          <w:sz w:val="24"/>
          <w:szCs w:val="24"/>
        </w:rPr>
        <w:t xml:space="preserve"> </w:t>
      </w:r>
      <w:r w:rsidR="005F720D" w:rsidRPr="004F668A">
        <w:rPr>
          <w:rFonts w:ascii="Times New Roman" w:hAnsi="Times New Roman"/>
          <w:sz w:val="24"/>
          <w:szCs w:val="24"/>
        </w:rPr>
        <w:t>признавања</w:t>
      </w:r>
      <w:r w:rsidRPr="004F668A">
        <w:rPr>
          <w:rFonts w:ascii="Times New Roman" w:hAnsi="Times New Roman"/>
          <w:sz w:val="24"/>
          <w:szCs w:val="24"/>
        </w:rPr>
        <w:t xml:space="preserve"> </w:t>
      </w:r>
      <w:r w:rsidR="005F720D" w:rsidRPr="004F668A">
        <w:rPr>
          <w:rFonts w:ascii="Times New Roman" w:hAnsi="Times New Roman"/>
          <w:sz w:val="24"/>
          <w:szCs w:val="24"/>
        </w:rPr>
        <w:t>нормираних</w:t>
      </w:r>
      <w:r w:rsidRPr="004F668A">
        <w:rPr>
          <w:rFonts w:ascii="Times New Roman" w:hAnsi="Times New Roman"/>
          <w:sz w:val="24"/>
          <w:szCs w:val="24"/>
        </w:rPr>
        <w:t xml:space="preserve">, </w:t>
      </w:r>
      <w:r w:rsidR="005F720D" w:rsidRPr="004F668A">
        <w:rPr>
          <w:rFonts w:ascii="Times New Roman" w:hAnsi="Times New Roman"/>
          <w:sz w:val="24"/>
          <w:szCs w:val="24"/>
        </w:rPr>
        <w:t>односно</w:t>
      </w:r>
      <w:r w:rsidRPr="004F668A">
        <w:rPr>
          <w:rFonts w:ascii="Times New Roman" w:hAnsi="Times New Roman"/>
          <w:sz w:val="24"/>
          <w:szCs w:val="24"/>
        </w:rPr>
        <w:t xml:space="preserve"> </w:t>
      </w:r>
      <w:r w:rsidR="005F720D" w:rsidRPr="004F668A">
        <w:rPr>
          <w:rFonts w:ascii="Times New Roman" w:hAnsi="Times New Roman"/>
          <w:sz w:val="24"/>
          <w:szCs w:val="24"/>
        </w:rPr>
        <w:t>стварних</w:t>
      </w:r>
      <w:r w:rsidRPr="004F668A">
        <w:rPr>
          <w:rFonts w:ascii="Times New Roman" w:hAnsi="Times New Roman"/>
          <w:sz w:val="24"/>
          <w:szCs w:val="24"/>
        </w:rPr>
        <w:t xml:space="preserve"> </w:t>
      </w:r>
      <w:r w:rsidR="005F720D" w:rsidRPr="004F668A">
        <w:rPr>
          <w:rFonts w:ascii="Times New Roman" w:hAnsi="Times New Roman"/>
          <w:sz w:val="24"/>
          <w:szCs w:val="24"/>
        </w:rPr>
        <w:t>трошкова</w:t>
      </w:r>
      <w:r w:rsidRPr="004F668A">
        <w:rPr>
          <w:rFonts w:ascii="Times New Roman" w:hAnsi="Times New Roman"/>
          <w:sz w:val="24"/>
          <w:szCs w:val="24"/>
        </w:rPr>
        <w:t>.</w:t>
      </w:r>
      <w:r w:rsidRPr="004F668A">
        <w:rPr>
          <w:rFonts w:ascii="Times New Roman" w:hAnsi="Times New Roman"/>
          <w:sz w:val="24"/>
          <w:szCs w:val="24"/>
          <w:lang w:val="sr-Cyrl-CS"/>
        </w:rPr>
        <w:t xml:space="preserve"> Ради прикривања остварених прихода не само што се не закључују уговори, него се приходи, често у великим износима, убирају у готовини и не уплаћују се преко рачуна. </w:t>
      </w:r>
    </w:p>
    <w:p w:rsidR="00717D0E" w:rsidRPr="004F668A" w:rsidRDefault="001954C8" w:rsidP="004F668A">
      <w:pPr>
        <w:ind w:firstLine="708"/>
        <w:jc w:val="both"/>
        <w:rPr>
          <w:lang w:val="sr-Cyrl-CS"/>
        </w:rPr>
      </w:pPr>
      <w:r w:rsidRPr="004F668A">
        <w:rPr>
          <w:rFonts w:ascii="Times New Roman" w:hAnsi="Times New Roman"/>
          <w:sz w:val="24"/>
          <w:szCs w:val="24"/>
          <w:lang w:val="sr-Cyrl-CS"/>
        </w:rPr>
        <w:t>У пракси се често дешава да се прибегава лажном приказивању прихода од ауторских права због процента нормираних трошкова, иако се стварно н</w:t>
      </w:r>
      <w:r w:rsidR="00E77954">
        <w:rPr>
          <w:rFonts w:ascii="Times New Roman" w:hAnsi="Times New Roman"/>
          <w:sz w:val="24"/>
          <w:szCs w:val="24"/>
          <w:lang w:val="sr-Cyrl-CS"/>
        </w:rPr>
        <w:t xml:space="preserve">е ради о таквим приходима. </w:t>
      </w:r>
      <w:r w:rsidR="005B3A96">
        <w:rPr>
          <w:rFonts w:ascii="Times New Roman" w:hAnsi="Times New Roman"/>
          <w:sz w:val="24"/>
          <w:szCs w:val="24"/>
          <w:lang w:val="sr-Cyrl-CS"/>
        </w:rPr>
        <w:t>„</w:t>
      </w:r>
      <w:r w:rsidR="00E77954">
        <w:rPr>
          <w:rFonts w:ascii="Times New Roman" w:hAnsi="Times New Roman"/>
          <w:sz w:val="24"/>
          <w:szCs w:val="24"/>
          <w:lang w:val="sr-Cyrl-CS"/>
        </w:rPr>
        <w:t>Ако П</w:t>
      </w:r>
      <w:r w:rsidRPr="004F668A">
        <w:rPr>
          <w:rFonts w:ascii="Times New Roman" w:hAnsi="Times New Roman"/>
          <w:sz w:val="24"/>
          <w:szCs w:val="24"/>
          <w:lang w:val="sr-Cyrl-CS"/>
        </w:rPr>
        <w:t>ореска управа утврди да је интерпретатор, менаџер или друго ангажовано лице по основу естрадног програма забавне и народне музике или другог забавног програма остварило приход, а није закључило уговор са организатором таквог програма, или оцени да је остварени приход већи од уговореног прихода, бруто приход се утврђује проценом у скалду са ЗПППА и опорезује без признавања нормираних, односно стварних трошкова.</w:t>
      </w:r>
      <w:r w:rsidR="005B3A96">
        <w:rPr>
          <w:rFonts w:ascii="Times New Roman" w:hAnsi="Times New Roman"/>
          <w:sz w:val="24"/>
          <w:szCs w:val="24"/>
          <w:lang w:val="sr-Cyrl-CS"/>
        </w:rPr>
        <w:t>“</w:t>
      </w:r>
      <w:r w:rsidRPr="005F720D">
        <w:rPr>
          <w:rStyle w:val="FootnoteReference"/>
          <w:color w:val="000000"/>
          <w:lang w:val="sr-Cyrl-CS"/>
        </w:rPr>
        <w:footnoteReference w:id="472"/>
      </w:r>
      <w:r w:rsidRPr="005F720D">
        <w:rPr>
          <w:lang w:val="sr-Cyrl-CS"/>
        </w:rPr>
        <w:t xml:space="preserve"> </w:t>
      </w:r>
    </w:p>
    <w:p w:rsidR="00717D0E" w:rsidRPr="005F720D" w:rsidRDefault="005F720D" w:rsidP="004F668A">
      <w:pPr>
        <w:ind w:firstLine="360"/>
        <w:jc w:val="both"/>
        <w:rPr>
          <w:rFonts w:ascii="Times New Roman" w:hAnsi="Times New Roman"/>
          <w:color w:val="000000"/>
          <w:sz w:val="24"/>
          <w:szCs w:val="24"/>
          <w:lang w:val="sr-Cyrl-CS"/>
        </w:rPr>
      </w:pPr>
      <w:r w:rsidRPr="005F720D">
        <w:rPr>
          <w:rFonts w:ascii="Times New Roman" w:hAnsi="Times New Roman"/>
          <w:color w:val="000000"/>
          <w:sz w:val="24"/>
          <w:szCs w:val="24"/>
        </w:rPr>
        <w:t>Још</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један</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од</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начина</w:t>
      </w:r>
      <w:r w:rsidR="00717D0E" w:rsidRPr="005F720D">
        <w:rPr>
          <w:rFonts w:ascii="Times New Roman" w:hAnsi="Times New Roman"/>
          <w:color w:val="000000"/>
          <w:sz w:val="24"/>
          <w:szCs w:val="24"/>
        </w:rPr>
        <w:t xml:space="preserve"> </w:t>
      </w:r>
      <w:r w:rsidR="00717D0E" w:rsidRPr="005F720D">
        <w:rPr>
          <w:rFonts w:ascii="Times New Roman" w:hAnsi="Times New Roman"/>
          <w:color w:val="000000"/>
          <w:sz w:val="24"/>
          <w:szCs w:val="24"/>
          <w:lang w:val="sr-Cyrl-CS"/>
        </w:rPr>
        <w:t>избегавања плаћања пореза на приходе од капитала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огледа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се</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у</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не</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пријављивању</w:t>
      </w:r>
      <w:r w:rsidR="00717D0E" w:rsidRPr="005F720D">
        <w:rPr>
          <w:rFonts w:ascii="Times New Roman" w:hAnsi="Times New Roman"/>
          <w:color w:val="000000"/>
          <w:sz w:val="24"/>
          <w:szCs w:val="24"/>
        </w:rPr>
        <w:t> </w:t>
      </w:r>
      <w:r w:rsidRPr="005F720D">
        <w:rPr>
          <w:rFonts w:ascii="Times New Roman" w:hAnsi="Times New Roman"/>
          <w:color w:val="000000"/>
          <w:sz w:val="24"/>
          <w:szCs w:val="24"/>
        </w:rPr>
        <w:t>прихода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кој</w:t>
      </w:r>
      <w:r w:rsidR="00717D0E" w:rsidRPr="005F720D">
        <w:rPr>
          <w:rFonts w:ascii="Times New Roman" w:hAnsi="Times New Roman"/>
          <w:color w:val="000000"/>
          <w:sz w:val="24"/>
          <w:szCs w:val="24"/>
          <w:lang w:val="sr-Cyrl-CS"/>
        </w:rPr>
        <w:t>и</w:t>
      </w:r>
      <w:r w:rsidR="00717D0E" w:rsidRPr="005F720D">
        <w:rPr>
          <w:rFonts w:ascii="Times New Roman" w:hAnsi="Times New Roman"/>
          <w:color w:val="000000"/>
          <w:sz w:val="24"/>
          <w:szCs w:val="24"/>
        </w:rPr>
        <w:t xml:space="preserve"> </w:t>
      </w:r>
      <w:r w:rsidR="00717D0E" w:rsidRPr="005F720D">
        <w:rPr>
          <w:rFonts w:ascii="Times New Roman" w:hAnsi="Times New Roman"/>
          <w:color w:val="000000"/>
          <w:sz w:val="24"/>
          <w:szCs w:val="24"/>
          <w:lang w:val="sr-Cyrl-CS"/>
        </w:rPr>
        <w:t>се</w:t>
      </w:r>
      <w:r w:rsidR="00717D0E" w:rsidRPr="005F720D">
        <w:rPr>
          <w:rFonts w:ascii="Times New Roman" w:hAnsi="Times New Roman"/>
          <w:color w:val="000000"/>
          <w:sz w:val="24"/>
          <w:szCs w:val="24"/>
        </w:rPr>
        <w:t> </w:t>
      </w:r>
      <w:r w:rsidRPr="005F720D">
        <w:rPr>
          <w:rFonts w:ascii="Times New Roman" w:hAnsi="Times New Roman"/>
          <w:color w:val="000000"/>
          <w:sz w:val="24"/>
          <w:szCs w:val="24"/>
        </w:rPr>
        <w:t>остварују</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издавањем</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станова</w:t>
      </w:r>
      <w:r w:rsidR="00717D0E" w:rsidRPr="005F720D">
        <w:rPr>
          <w:rFonts w:ascii="Times New Roman" w:hAnsi="Times New Roman"/>
          <w:color w:val="000000"/>
          <w:sz w:val="24"/>
          <w:szCs w:val="24"/>
        </w:rPr>
        <w:t>, </w:t>
      </w:r>
      <w:r w:rsidRPr="005F720D">
        <w:rPr>
          <w:rFonts w:ascii="Times New Roman" w:hAnsi="Times New Roman"/>
          <w:color w:val="000000"/>
          <w:sz w:val="24"/>
          <w:szCs w:val="24"/>
        </w:rPr>
        <w:t>пословних</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и</w:t>
      </w:r>
      <w:r w:rsidR="00717D0E" w:rsidRPr="005F720D">
        <w:rPr>
          <w:rFonts w:ascii="Times New Roman" w:hAnsi="Times New Roman"/>
          <w:color w:val="000000"/>
          <w:sz w:val="24"/>
          <w:szCs w:val="24"/>
        </w:rPr>
        <w:t> </w:t>
      </w:r>
      <w:r w:rsidRPr="005F720D">
        <w:rPr>
          <w:rFonts w:ascii="Times New Roman" w:hAnsi="Times New Roman"/>
          <w:color w:val="000000"/>
          <w:sz w:val="24"/>
          <w:szCs w:val="24"/>
        </w:rPr>
        <w:t>других</w:t>
      </w:r>
      <w:r w:rsidR="00717D0E" w:rsidRPr="005F720D">
        <w:rPr>
          <w:rFonts w:ascii="Times New Roman" w:hAnsi="Times New Roman"/>
          <w:color w:val="000000"/>
          <w:sz w:val="24"/>
          <w:szCs w:val="24"/>
          <w:lang w:val="sr-Cyrl-CS"/>
        </w:rPr>
        <w:t xml:space="preserve"> просторија у закуп. </w:t>
      </w:r>
    </w:p>
    <w:p w:rsidR="00717D0E" w:rsidRPr="005F720D" w:rsidRDefault="00717D0E" w:rsidP="005F720D">
      <w:pPr>
        <w:ind w:firstLine="360"/>
        <w:jc w:val="both"/>
        <w:rPr>
          <w:rFonts w:ascii="Times New Roman" w:hAnsi="Times New Roman"/>
          <w:sz w:val="24"/>
          <w:szCs w:val="24"/>
          <w:lang w:val="sr-Cyrl-CS"/>
        </w:rPr>
      </w:pPr>
      <w:r w:rsidRPr="005F720D">
        <w:rPr>
          <w:rFonts w:ascii="Times New Roman" w:hAnsi="Times New Roman"/>
          <w:sz w:val="24"/>
          <w:szCs w:val="24"/>
          <w:lang w:val="sr-Cyrl-CS"/>
        </w:rPr>
        <w:t>На остварен приход од издавања сопствене непокретности се плаћа порез на приход од капитала по стопи од 20%, (чл. 61</w:t>
      </w:r>
      <w:r w:rsidR="004F668A">
        <w:rPr>
          <w:rFonts w:ascii="Times New Roman" w:hAnsi="Times New Roman"/>
          <w:sz w:val="24"/>
          <w:szCs w:val="24"/>
          <w:lang w:val="sr-Cyrl-CS"/>
        </w:rPr>
        <w:t>.</w:t>
      </w:r>
      <w:r w:rsidRPr="005F720D">
        <w:rPr>
          <w:rFonts w:ascii="Times New Roman" w:hAnsi="Times New Roman"/>
          <w:sz w:val="24"/>
          <w:szCs w:val="24"/>
          <w:lang w:val="sr-Cyrl-CS"/>
        </w:rPr>
        <w:t xml:space="preserve"> и 64</w:t>
      </w:r>
      <w:r w:rsidR="004F668A">
        <w:rPr>
          <w:rFonts w:ascii="Times New Roman" w:hAnsi="Times New Roman"/>
          <w:sz w:val="24"/>
          <w:szCs w:val="24"/>
          <w:lang w:val="sr-Cyrl-CS"/>
        </w:rPr>
        <w:t>.</w:t>
      </w:r>
      <w:r w:rsidRPr="005F720D">
        <w:rPr>
          <w:rFonts w:ascii="Times New Roman" w:hAnsi="Times New Roman"/>
          <w:sz w:val="24"/>
          <w:szCs w:val="24"/>
          <w:lang w:val="sr-Cyrl-CS"/>
        </w:rPr>
        <w:t xml:space="preserve"> ЗПДГ) док се на остале приходе од капитала порез плаћа по стопи од 15%. Чињеница је да се од стране великог броја грађана избегава плаћање пореза на овакве приходе, тако што се исти не пријављују, нити се закључују уговори о закупу, већ се ос</w:t>
      </w:r>
      <w:r w:rsidR="004F668A">
        <w:rPr>
          <w:rFonts w:ascii="Times New Roman" w:hAnsi="Times New Roman"/>
          <w:sz w:val="24"/>
          <w:szCs w:val="24"/>
          <w:lang w:val="sr-Cyrl-CS"/>
        </w:rPr>
        <w:t xml:space="preserve">тварен приход убира „на црно“. </w:t>
      </w:r>
      <w:r w:rsidRPr="005F720D">
        <w:rPr>
          <w:rFonts w:ascii="Times New Roman" w:hAnsi="Times New Roman"/>
          <w:sz w:val="24"/>
          <w:szCs w:val="24"/>
          <w:lang w:val="sr-Cyrl-CS"/>
        </w:rPr>
        <w:t>Избегавање плаћања пореза у овом домену је веома високо, а са вишом пореском стопом ситуација може бити још гора. Овакав систем је изузетно хоризонтално неправичан, јер на пример грађани који врше улагања у непокретности, које потом рентирају, при чему то често чине са више непокретности убирајући при томе значајне приходе, су у знатно бољем положају од грађана који врше улагања у штедне и друге депозите и при томе плаћају порез. Пореска управа би требала да контролише издавање станова и њихово оглашавање, те да злоупотребе адекватно кажњава, како би се велики обим избегавања плаћања пореза у овом домену смањио.</w:t>
      </w:r>
    </w:p>
    <w:p w:rsidR="004C3AFA" w:rsidRPr="00014DFE" w:rsidRDefault="001A74C6" w:rsidP="00014DFE">
      <w:pPr>
        <w:ind w:firstLine="360"/>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lang w:val="sr-Cyrl-CS"/>
        </w:rPr>
        <w:t>С</w:t>
      </w:r>
      <w:r w:rsidR="00717D0E" w:rsidRPr="005F720D">
        <w:rPr>
          <w:rFonts w:ascii="Times New Roman" w:hAnsi="Times New Roman"/>
          <w:color w:val="000000"/>
          <w:sz w:val="24"/>
          <w:szCs w:val="24"/>
          <w:shd w:val="clear" w:color="auto" w:fill="FFFFFF"/>
          <w:lang w:val="sr-Cyrl-CS"/>
        </w:rPr>
        <w:t xml:space="preserve">амосталне занатске радње које испуњавају услове за паушално опорезивање се често злоупотребљавају ради избегавања пореза на остале приходе код располагања готовим новцем. </w:t>
      </w:r>
      <w:r w:rsidR="00793AE0">
        <w:rPr>
          <w:rFonts w:ascii="Times New Roman" w:hAnsi="Times New Roman"/>
          <w:color w:val="000000"/>
          <w:sz w:val="24"/>
          <w:szCs w:val="24"/>
          <w:shd w:val="clear" w:color="auto" w:fill="FFFFFF"/>
          <w:lang w:val="sr-Cyrl-CS"/>
        </w:rPr>
        <w:t>Тако се у циљу избегавања плаћања</w:t>
      </w:r>
      <w:r w:rsidR="00717D0E" w:rsidRPr="005F720D">
        <w:rPr>
          <w:rFonts w:ascii="Times New Roman" w:hAnsi="Times New Roman"/>
          <w:color w:val="000000"/>
          <w:sz w:val="24"/>
          <w:szCs w:val="24"/>
          <w:shd w:val="clear" w:color="auto" w:fill="FFFFFF"/>
          <w:lang w:val="sr-Cyrl-CS"/>
        </w:rPr>
        <w:t xml:space="preserve"> пореза на остале приходе </w:t>
      </w:r>
      <w:r w:rsidR="00793AE0">
        <w:rPr>
          <w:rFonts w:ascii="Times New Roman" w:hAnsi="Times New Roman"/>
          <w:color w:val="000000"/>
          <w:sz w:val="24"/>
          <w:szCs w:val="24"/>
          <w:shd w:val="clear" w:color="auto" w:fill="FFFFFF"/>
          <w:lang w:val="sr-Cyrl-CS"/>
        </w:rPr>
        <w:lastRenderedPageBreak/>
        <w:t>приликом</w:t>
      </w:r>
      <w:r w:rsidR="00717D0E" w:rsidRPr="005F720D">
        <w:rPr>
          <w:rFonts w:ascii="Times New Roman" w:hAnsi="Times New Roman"/>
          <w:color w:val="000000"/>
          <w:sz w:val="24"/>
          <w:szCs w:val="24"/>
          <w:shd w:val="clear" w:color="auto" w:fill="FFFFFF"/>
          <w:lang w:val="sr-Cyrl-CS"/>
        </w:rPr>
        <w:t xml:space="preserve"> подизања г</w:t>
      </w:r>
      <w:r w:rsidR="00793AE0">
        <w:rPr>
          <w:rFonts w:ascii="Times New Roman" w:hAnsi="Times New Roman"/>
          <w:color w:val="000000"/>
          <w:sz w:val="24"/>
          <w:szCs w:val="24"/>
          <w:shd w:val="clear" w:color="auto" w:fill="FFFFFF"/>
          <w:lang w:val="sr-Cyrl-CS"/>
        </w:rPr>
        <w:t xml:space="preserve">отовог новца са текућег рачуна од стране пореских обвезника-предузећа </w:t>
      </w:r>
      <w:r w:rsidR="00717D0E" w:rsidRPr="005F720D">
        <w:rPr>
          <w:rFonts w:ascii="Times New Roman" w:hAnsi="Times New Roman"/>
          <w:color w:val="000000"/>
          <w:sz w:val="24"/>
          <w:szCs w:val="24"/>
          <w:shd w:val="clear" w:color="auto" w:fill="FFFFFF"/>
          <w:lang w:val="sr-Cyrl-CS"/>
        </w:rPr>
        <w:t>овим зан</w:t>
      </w:r>
      <w:r w:rsidR="00793AE0">
        <w:rPr>
          <w:rFonts w:ascii="Times New Roman" w:hAnsi="Times New Roman"/>
          <w:color w:val="000000"/>
          <w:sz w:val="24"/>
          <w:szCs w:val="24"/>
          <w:shd w:val="clear" w:color="auto" w:fill="FFFFFF"/>
          <w:lang w:val="sr-Cyrl-CS"/>
        </w:rPr>
        <w:t>атским радњама уплаћују одређени износи</w:t>
      </w:r>
      <w:r w:rsidR="00717D0E" w:rsidRPr="005F720D">
        <w:rPr>
          <w:rFonts w:ascii="Times New Roman" w:hAnsi="Times New Roman"/>
          <w:color w:val="000000"/>
          <w:sz w:val="24"/>
          <w:szCs w:val="24"/>
          <w:shd w:val="clear" w:color="auto" w:fill="FFFFFF"/>
          <w:lang w:val="sr-Cyrl-CS"/>
        </w:rPr>
        <w:t xml:space="preserve"> новца</w:t>
      </w:r>
      <w:r w:rsidR="00793AE0">
        <w:rPr>
          <w:rFonts w:ascii="Times New Roman" w:hAnsi="Times New Roman"/>
          <w:color w:val="000000"/>
          <w:sz w:val="24"/>
          <w:szCs w:val="24"/>
          <w:shd w:val="clear" w:color="auto" w:fill="FFFFFF"/>
          <w:lang w:val="sr-Cyrl-CS"/>
        </w:rPr>
        <w:t>,</w:t>
      </w:r>
      <w:r w:rsidR="00717D0E" w:rsidRPr="005F720D">
        <w:rPr>
          <w:rFonts w:ascii="Times New Roman" w:hAnsi="Times New Roman"/>
          <w:color w:val="000000"/>
          <w:sz w:val="24"/>
          <w:szCs w:val="24"/>
          <w:shd w:val="clear" w:color="auto" w:fill="FFFFFF"/>
          <w:lang w:val="sr-Cyrl-CS"/>
        </w:rPr>
        <w:t xml:space="preserve"> углавном по основу </w:t>
      </w:r>
      <w:r w:rsidR="00793AE0">
        <w:rPr>
          <w:rFonts w:ascii="Times New Roman" w:hAnsi="Times New Roman"/>
          <w:color w:val="000000"/>
          <w:sz w:val="24"/>
          <w:szCs w:val="24"/>
          <w:shd w:val="clear" w:color="auto" w:fill="FFFFFF"/>
          <w:lang w:val="sr-Cyrl-CS"/>
        </w:rPr>
        <w:t xml:space="preserve">фиктивних услуга, односно услуга које </w:t>
      </w:r>
      <w:r w:rsidR="00717D0E" w:rsidRPr="005F720D">
        <w:rPr>
          <w:rFonts w:ascii="Times New Roman" w:hAnsi="Times New Roman"/>
          <w:color w:val="000000"/>
          <w:sz w:val="24"/>
          <w:szCs w:val="24"/>
          <w:shd w:val="clear" w:color="auto" w:fill="FFFFFF"/>
          <w:lang w:val="sr-Cyrl-CS"/>
        </w:rPr>
        <w:t xml:space="preserve">нису пружене, нити је извршен промет </w:t>
      </w:r>
      <w:r w:rsidR="00793AE0">
        <w:rPr>
          <w:rFonts w:ascii="Times New Roman" w:hAnsi="Times New Roman"/>
          <w:color w:val="000000"/>
          <w:sz w:val="24"/>
          <w:szCs w:val="24"/>
          <w:shd w:val="clear" w:color="auto" w:fill="FFFFFF"/>
          <w:lang w:val="sr-Cyrl-CS"/>
        </w:rPr>
        <w:t>добара. В</w:t>
      </w:r>
      <w:r w:rsidR="00717D0E" w:rsidRPr="005F720D">
        <w:rPr>
          <w:rFonts w:ascii="Times New Roman" w:hAnsi="Times New Roman"/>
          <w:color w:val="000000"/>
          <w:sz w:val="24"/>
          <w:szCs w:val="24"/>
          <w:shd w:val="clear" w:color="auto" w:fill="FFFFFF"/>
          <w:lang w:val="sr-Cyrl-CS"/>
        </w:rPr>
        <w:t xml:space="preserve">ласници (најчешће само формални) тих занатских радњи само подижу са свог рачуна </w:t>
      </w:r>
      <w:r w:rsidR="00793AE0">
        <w:rPr>
          <w:rFonts w:ascii="Times New Roman" w:hAnsi="Times New Roman"/>
          <w:color w:val="000000"/>
          <w:sz w:val="24"/>
          <w:szCs w:val="24"/>
          <w:shd w:val="clear" w:color="auto" w:fill="FFFFFF"/>
          <w:lang w:val="sr-Cyrl-CS"/>
        </w:rPr>
        <w:t xml:space="preserve">тако уплаћен новац </w:t>
      </w:r>
      <w:r w:rsidR="00717D0E" w:rsidRPr="005F720D">
        <w:rPr>
          <w:rFonts w:ascii="Times New Roman" w:hAnsi="Times New Roman"/>
          <w:color w:val="000000"/>
          <w:sz w:val="24"/>
          <w:szCs w:val="24"/>
          <w:shd w:val="clear" w:color="auto" w:fill="FFFFFF"/>
          <w:lang w:val="sr-Cyrl-CS"/>
        </w:rPr>
        <w:t xml:space="preserve">без плаћања пореских обавеза, </w:t>
      </w:r>
      <w:r w:rsidR="00793AE0">
        <w:rPr>
          <w:rFonts w:ascii="Times New Roman" w:hAnsi="Times New Roman"/>
          <w:color w:val="000000"/>
          <w:sz w:val="24"/>
          <w:szCs w:val="24"/>
          <w:shd w:val="clear" w:color="auto" w:fill="FFFFFF"/>
          <w:lang w:val="sr-Cyrl-CS"/>
        </w:rPr>
        <w:t>имајући у виду да су паушални порески обвезници, након чега га враћају</w:t>
      </w:r>
      <w:r w:rsidR="00717D0E" w:rsidRPr="005F720D">
        <w:rPr>
          <w:rFonts w:ascii="Times New Roman" w:hAnsi="Times New Roman"/>
          <w:color w:val="000000"/>
          <w:sz w:val="24"/>
          <w:szCs w:val="24"/>
          <w:shd w:val="clear" w:color="auto" w:fill="FFFFFF"/>
          <w:lang w:val="sr-Cyrl-CS"/>
        </w:rPr>
        <w:t xml:space="preserve"> власнику предузећа</w:t>
      </w:r>
      <w:r>
        <w:rPr>
          <w:rFonts w:ascii="Times New Roman" w:hAnsi="Times New Roman"/>
          <w:color w:val="000000"/>
          <w:sz w:val="24"/>
          <w:szCs w:val="24"/>
          <w:shd w:val="clear" w:color="auto" w:fill="FFFFFF"/>
          <w:lang w:val="sr-Cyrl-CS"/>
        </w:rPr>
        <w:t xml:space="preserve"> који им је новац претходно упла</w:t>
      </w:r>
      <w:r w:rsidR="00717D0E" w:rsidRPr="005F720D">
        <w:rPr>
          <w:rFonts w:ascii="Times New Roman" w:hAnsi="Times New Roman"/>
          <w:color w:val="000000"/>
          <w:sz w:val="24"/>
          <w:szCs w:val="24"/>
          <w:shd w:val="clear" w:color="auto" w:fill="FFFFFF"/>
          <w:lang w:val="sr-Cyrl-CS"/>
        </w:rPr>
        <w:t>тио.</w:t>
      </w:r>
      <w:r w:rsidR="00717D0E" w:rsidRPr="005F720D">
        <w:rPr>
          <w:rStyle w:val="FootnoteReference"/>
          <w:rFonts w:ascii="Times New Roman" w:hAnsi="Times New Roman"/>
          <w:color w:val="000000"/>
          <w:sz w:val="24"/>
          <w:szCs w:val="24"/>
          <w:shd w:val="clear" w:color="auto" w:fill="FFFFFF"/>
          <w:lang w:val="sr-Cyrl-CS"/>
        </w:rPr>
        <w:footnoteReference w:id="473"/>
      </w:r>
    </w:p>
    <w:p w:rsidR="004C3AFA" w:rsidRPr="00014DFE" w:rsidRDefault="004C3AFA" w:rsidP="00014DFE">
      <w:pPr>
        <w:ind w:firstLine="360"/>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lang w:val="sr-Cyrl-CS"/>
        </w:rPr>
        <w:t xml:space="preserve">Наиме, самосталне занатске радње које имају укупан годишњи промет до три милиона динара, односно које у складу са чл. 40. Закона о порезу на доходак грађана, порез на приходе од самосталне делатности плаћају на паушално утврђен приход (тзв. „паушалци“) готов новац могу подизати без плаћања пореза на доходак грђана, због чега ове радње често злоупотребљавају предузећа или радње које нису „паушалци“ ради избегавања пореза на доходак грађана, код незаконитог располагања готовим новцем. </w:t>
      </w:r>
      <w:r w:rsidR="00BA51CE">
        <w:rPr>
          <w:rFonts w:ascii="Times New Roman" w:hAnsi="Times New Roman"/>
          <w:color w:val="000000"/>
          <w:sz w:val="24"/>
          <w:szCs w:val="24"/>
          <w:shd w:val="clear" w:color="auto" w:fill="FFFFFF"/>
          <w:lang w:val="sr-Cyrl-CS"/>
        </w:rPr>
        <w:t>Тако је власник самосталне занатске радње „Г“ из Београда, која порез на приходе од самостал</w:t>
      </w:r>
      <w:r w:rsidR="00DB4977">
        <w:rPr>
          <w:rFonts w:ascii="Times New Roman" w:hAnsi="Times New Roman"/>
          <w:color w:val="000000"/>
          <w:sz w:val="24"/>
          <w:szCs w:val="24"/>
          <w:shd w:val="clear" w:color="auto" w:fill="FFFFFF"/>
          <w:lang w:val="sr-Cyrl-CS"/>
        </w:rPr>
        <w:t>н</w:t>
      </w:r>
      <w:r w:rsidR="00BA51CE">
        <w:rPr>
          <w:rFonts w:ascii="Times New Roman" w:hAnsi="Times New Roman"/>
          <w:color w:val="000000"/>
          <w:sz w:val="24"/>
          <w:szCs w:val="24"/>
          <w:shd w:val="clear" w:color="auto" w:fill="FFFFFF"/>
          <w:lang w:val="sr-Cyrl-CS"/>
        </w:rPr>
        <w:t>е делатности плаћа према подацима из пословних књига, с обзиром да остварује велики промет као извођач грађевинских радова на више локација у Београду, подигао 36.474.543,00 динара, избегавши плаћање пореза на доходак грађана у износу од 6.947.478,36 динара. Наиме, власник СЗР „Г“ је на имена чланова своје по</w:t>
      </w:r>
      <w:r w:rsidR="00DB4977">
        <w:rPr>
          <w:rFonts w:ascii="Times New Roman" w:hAnsi="Times New Roman"/>
          <w:color w:val="000000"/>
          <w:sz w:val="24"/>
          <w:szCs w:val="24"/>
          <w:shd w:val="clear" w:color="auto" w:fill="FFFFFF"/>
          <w:lang w:val="sr-Cyrl-CS"/>
        </w:rPr>
        <w:t>ро</w:t>
      </w:r>
      <w:r w:rsidR="00BA51CE">
        <w:rPr>
          <w:rFonts w:ascii="Times New Roman" w:hAnsi="Times New Roman"/>
          <w:color w:val="000000"/>
          <w:sz w:val="24"/>
          <w:szCs w:val="24"/>
          <w:shd w:val="clear" w:color="auto" w:fill="FFFFFF"/>
          <w:lang w:val="sr-Cyrl-CS"/>
        </w:rPr>
        <w:t>дице, пријат</w:t>
      </w:r>
      <w:r w:rsidR="00DB4977">
        <w:rPr>
          <w:rFonts w:ascii="Times New Roman" w:hAnsi="Times New Roman"/>
          <w:color w:val="000000"/>
          <w:sz w:val="24"/>
          <w:szCs w:val="24"/>
          <w:shd w:val="clear" w:color="auto" w:fill="FFFFFF"/>
          <w:lang w:val="sr-Cyrl-CS"/>
        </w:rPr>
        <w:t>е</w:t>
      </w:r>
      <w:r w:rsidR="00BA51CE">
        <w:rPr>
          <w:rFonts w:ascii="Times New Roman" w:hAnsi="Times New Roman"/>
          <w:color w:val="000000"/>
          <w:sz w:val="24"/>
          <w:szCs w:val="24"/>
          <w:shd w:val="clear" w:color="auto" w:fill="FFFFFF"/>
          <w:lang w:val="sr-Cyrl-CS"/>
        </w:rPr>
        <w:t>ља и радника своје радње от</w:t>
      </w:r>
      <w:r w:rsidR="00DB4977">
        <w:rPr>
          <w:rFonts w:ascii="Times New Roman" w:hAnsi="Times New Roman"/>
          <w:color w:val="000000"/>
          <w:sz w:val="24"/>
          <w:szCs w:val="24"/>
          <w:shd w:val="clear" w:color="auto" w:fill="FFFFFF"/>
          <w:lang w:val="sr-Cyrl-CS"/>
        </w:rPr>
        <w:t>во</w:t>
      </w:r>
      <w:r w:rsidR="00BA51CE">
        <w:rPr>
          <w:rFonts w:ascii="Times New Roman" w:hAnsi="Times New Roman"/>
          <w:color w:val="000000"/>
          <w:sz w:val="24"/>
          <w:szCs w:val="24"/>
          <w:shd w:val="clear" w:color="auto" w:fill="FFFFFF"/>
          <w:lang w:val="sr-Cyrl-CS"/>
        </w:rPr>
        <w:t>рио више самосталних занатских радњи у Београд</w:t>
      </w:r>
      <w:r w:rsidR="00DB4977">
        <w:rPr>
          <w:rFonts w:ascii="Times New Roman" w:hAnsi="Times New Roman"/>
          <w:color w:val="000000"/>
          <w:sz w:val="24"/>
          <w:szCs w:val="24"/>
          <w:shd w:val="clear" w:color="auto" w:fill="FFFFFF"/>
          <w:lang w:val="sr-Cyrl-CS"/>
        </w:rPr>
        <w:t>у</w:t>
      </w:r>
      <w:r w:rsidR="00BA51CE">
        <w:rPr>
          <w:rFonts w:ascii="Times New Roman" w:hAnsi="Times New Roman"/>
          <w:color w:val="000000"/>
          <w:sz w:val="24"/>
          <w:szCs w:val="24"/>
          <w:shd w:val="clear" w:color="auto" w:fill="FFFFFF"/>
          <w:lang w:val="sr-Cyrl-CS"/>
        </w:rPr>
        <w:t xml:space="preserve"> које су евидентиране као“паушалци“. На њихове рауне је са текућег рачуна СЗР „Г“ вршио уплате до три милиона динара, које је потом добијао назад у готовини, а новац је користио за плаћање физичким ли</w:t>
      </w:r>
      <w:r w:rsidR="00DB4977">
        <w:rPr>
          <w:rFonts w:ascii="Times New Roman" w:hAnsi="Times New Roman"/>
          <w:color w:val="000000"/>
          <w:sz w:val="24"/>
          <w:szCs w:val="24"/>
          <w:shd w:val="clear" w:color="auto" w:fill="FFFFFF"/>
          <w:lang w:val="sr-Cyrl-CS"/>
        </w:rPr>
        <w:t>ц</w:t>
      </w:r>
      <w:r w:rsidR="00BA51CE">
        <w:rPr>
          <w:rFonts w:ascii="Times New Roman" w:hAnsi="Times New Roman"/>
          <w:color w:val="000000"/>
          <w:sz w:val="24"/>
          <w:szCs w:val="24"/>
          <w:shd w:val="clear" w:color="auto" w:fill="FFFFFF"/>
          <w:lang w:val="sr-Cyrl-CS"/>
        </w:rPr>
        <w:t>има која нису у радном односу и на тај начин избегао плаћање пореза на доходак грађана у наведеном износу.</w:t>
      </w:r>
      <w:r>
        <w:rPr>
          <w:rStyle w:val="FootnoteReference"/>
          <w:rFonts w:ascii="Times New Roman" w:hAnsi="Times New Roman"/>
          <w:color w:val="000000"/>
          <w:sz w:val="24"/>
          <w:szCs w:val="24"/>
          <w:shd w:val="clear" w:color="auto" w:fill="FFFFFF"/>
          <w:lang w:val="sr-Cyrl-CS"/>
        </w:rPr>
        <w:footnoteReference w:id="474"/>
      </w:r>
    </w:p>
    <w:p w:rsidR="00717D0E" w:rsidRPr="005F720D" w:rsidRDefault="00717D0E" w:rsidP="005F720D">
      <w:pPr>
        <w:ind w:firstLine="360"/>
        <w:jc w:val="both"/>
        <w:rPr>
          <w:rFonts w:ascii="Times New Roman" w:hAnsi="Times New Roman"/>
          <w:color w:val="000000"/>
          <w:sz w:val="24"/>
          <w:szCs w:val="24"/>
          <w:shd w:val="clear" w:color="auto" w:fill="FFFFFF"/>
          <w:lang w:val="sr-Cyrl-CS"/>
        </w:rPr>
      </w:pPr>
      <w:r w:rsidRPr="005F720D">
        <w:rPr>
          <w:rFonts w:ascii="Times New Roman" w:hAnsi="Times New Roman"/>
          <w:color w:val="000000"/>
          <w:sz w:val="24"/>
          <w:szCs w:val="24"/>
          <w:shd w:val="clear" w:color="auto" w:fill="FFFFFF"/>
          <w:lang w:val="sr-Cyrl-CS"/>
        </w:rPr>
        <w:t>О лажном финансијском извештавању било је речи у претходном излагању везано за порез на добит правних лица, а чињеница је да велики број предузећа води пословне књиге на готовинској основи, а посебно предузетници, што значајно отежава проверу веродостојности њиховог финансијског извештавања. У оваквим случајевима, због тога, недостаје адекватан доказ о њиховој финансијској способности.</w:t>
      </w:r>
    </w:p>
    <w:p w:rsidR="00717D0E" w:rsidRPr="005F720D" w:rsidRDefault="00793AE0" w:rsidP="005F720D">
      <w:pPr>
        <w:pStyle w:val="normal0"/>
        <w:shd w:val="clear" w:color="auto" w:fill="FFFFFF"/>
        <w:ind w:firstLine="360"/>
        <w:jc w:val="both"/>
        <w:rPr>
          <w:color w:val="000000"/>
          <w:lang w:val="sr-Cyrl-CS"/>
        </w:rPr>
      </w:pPr>
      <w:r>
        <w:rPr>
          <w:color w:val="000000"/>
          <w:lang w:val="sr-Cyrl-CS"/>
        </w:rPr>
        <w:t xml:space="preserve">У смислу одредби </w:t>
      </w:r>
      <w:r w:rsidRPr="005F720D">
        <w:rPr>
          <w:color w:val="000000"/>
          <w:lang w:val="sr-Cyrl-CS"/>
        </w:rPr>
        <w:t>чл. 85. Закона о порезу на доходак грађана</w:t>
      </w:r>
      <w:r>
        <w:rPr>
          <w:color w:val="000000"/>
          <w:lang w:val="sr-Cyrl-CS"/>
        </w:rPr>
        <w:t xml:space="preserve"> с</w:t>
      </w:r>
      <w:r w:rsidR="00717D0E" w:rsidRPr="005F720D">
        <w:rPr>
          <w:color w:val="000000"/>
          <w:lang w:val="sr-Cyrl-CS"/>
        </w:rPr>
        <w:t xml:space="preserve">вака исплата из благајне предузећа коју не прати одговарајућа документације да је извршена у пословне сврхе, а посебно она која је учињена ради намирења личних потреба </w:t>
      </w:r>
      <w:r>
        <w:rPr>
          <w:color w:val="000000"/>
          <w:lang w:val="sr-Cyrl-CS"/>
        </w:rPr>
        <w:t>(</w:t>
      </w:r>
      <w:r w:rsidR="00717D0E" w:rsidRPr="005F720D">
        <w:rPr>
          <w:color w:val="000000"/>
          <w:lang w:val="sr-Cyrl-CS"/>
        </w:rPr>
        <w:t>запосленог, одговорног лица, власника, оснивача или трећих лица ван привредног друштва на чији терет се исплата врши</w:t>
      </w:r>
      <w:r>
        <w:rPr>
          <w:color w:val="000000"/>
          <w:lang w:val="sr-Cyrl-CS"/>
        </w:rPr>
        <w:t>)</w:t>
      </w:r>
      <w:r w:rsidR="00717D0E" w:rsidRPr="005F720D">
        <w:rPr>
          <w:color w:val="000000"/>
          <w:lang w:val="sr-Cyrl-CS"/>
        </w:rPr>
        <w:t>, има карактер зараде, о</w:t>
      </w:r>
      <w:r>
        <w:rPr>
          <w:color w:val="000000"/>
          <w:lang w:val="sr-Cyrl-CS"/>
        </w:rPr>
        <w:t>дносно осталих прихода</w:t>
      </w:r>
      <w:r w:rsidR="00717D0E" w:rsidRPr="005F720D">
        <w:rPr>
          <w:color w:val="000000"/>
          <w:lang w:val="sr-Cyrl-CS"/>
        </w:rPr>
        <w:t xml:space="preserve"> </w:t>
      </w:r>
      <w:r>
        <w:rPr>
          <w:color w:val="000000"/>
          <w:lang w:val="sr-Cyrl-CS"/>
        </w:rPr>
        <w:t>и као таква подлеже</w:t>
      </w:r>
      <w:r w:rsidR="00717D0E" w:rsidRPr="005F720D">
        <w:rPr>
          <w:color w:val="000000"/>
          <w:lang w:val="sr-Cyrl-CS"/>
        </w:rPr>
        <w:t xml:space="preserve"> плаћању прописаних пореских обавеза.</w:t>
      </w:r>
      <w:r w:rsidR="00717D0E" w:rsidRPr="005F720D">
        <w:rPr>
          <w:rStyle w:val="FootnoteReference"/>
          <w:color w:val="000000"/>
          <w:lang w:val="sr-Cyrl-CS"/>
        </w:rPr>
        <w:footnoteReference w:id="475"/>
      </w:r>
      <w:r w:rsidR="00717D0E" w:rsidRPr="005F720D">
        <w:rPr>
          <w:color w:val="000000"/>
          <w:lang w:val="sr-Cyrl-CS"/>
        </w:rPr>
        <w:t xml:space="preserve"> </w:t>
      </w:r>
    </w:p>
    <w:p w:rsidR="00717D0E" w:rsidRPr="004F668A" w:rsidRDefault="00717D0E" w:rsidP="004F668A">
      <w:pPr>
        <w:ind w:firstLine="360"/>
        <w:jc w:val="both"/>
        <w:rPr>
          <w:rFonts w:ascii="Times New Roman" w:hAnsi="Times New Roman"/>
          <w:color w:val="000000"/>
          <w:sz w:val="24"/>
          <w:szCs w:val="24"/>
          <w:shd w:val="clear" w:color="auto" w:fill="FFFFFF"/>
          <w:lang w:val="sr-Cyrl-CS"/>
        </w:rPr>
      </w:pPr>
      <w:r w:rsidRPr="005F720D">
        <w:rPr>
          <w:rFonts w:ascii="Times New Roman" w:hAnsi="Times New Roman"/>
          <w:color w:val="000000"/>
          <w:sz w:val="24"/>
          <w:szCs w:val="24"/>
          <w:shd w:val="clear" w:color="auto" w:fill="FFFFFF"/>
          <w:lang w:val="sr-Cyrl-CS"/>
        </w:rPr>
        <w:t xml:space="preserve">Законом о порезу на доходак грађана прописани су различити основи по основу којих се не плаћа порез на остале приходе или је тај порез умањен, као у случају </w:t>
      </w:r>
      <w:r w:rsidR="005F720D" w:rsidRPr="005F720D">
        <w:rPr>
          <w:rFonts w:ascii="Times New Roman" w:hAnsi="Times New Roman"/>
          <w:color w:val="000000"/>
          <w:sz w:val="24"/>
          <w:szCs w:val="24"/>
          <w:shd w:val="clear" w:color="auto" w:fill="FFFFFF"/>
        </w:rPr>
        <w:t>приход</w:t>
      </w:r>
      <w:r w:rsidRPr="005F720D">
        <w:rPr>
          <w:rFonts w:ascii="Times New Roman" w:hAnsi="Times New Roman"/>
          <w:color w:val="000000"/>
          <w:sz w:val="24"/>
          <w:szCs w:val="24"/>
          <w:shd w:val="clear" w:color="auto" w:fill="FFFFFF"/>
          <w:lang w:val="sr-Cyrl-CS"/>
        </w:rPr>
        <w:t>а</w:t>
      </w:r>
      <w:r w:rsidRPr="005F720D">
        <w:rPr>
          <w:rFonts w:ascii="Times New Roman" w:hAnsi="Times New Roman"/>
          <w:color w:val="000000"/>
          <w:sz w:val="24"/>
          <w:szCs w:val="24"/>
          <w:shd w:val="clear" w:color="auto" w:fill="FFFFFF"/>
        </w:rPr>
        <w:t xml:space="preserve"> </w:t>
      </w:r>
      <w:r w:rsidR="005F720D" w:rsidRPr="005F720D">
        <w:rPr>
          <w:rFonts w:ascii="Times New Roman" w:hAnsi="Times New Roman"/>
          <w:color w:val="000000"/>
          <w:sz w:val="24"/>
          <w:szCs w:val="24"/>
          <w:shd w:val="clear" w:color="auto" w:fill="FFFFFF"/>
        </w:rPr>
        <w:t>кој</w:t>
      </w:r>
      <w:r w:rsidRPr="005F720D">
        <w:rPr>
          <w:rFonts w:ascii="Times New Roman" w:hAnsi="Times New Roman"/>
          <w:color w:val="000000"/>
          <w:sz w:val="24"/>
          <w:szCs w:val="24"/>
          <w:shd w:val="clear" w:color="auto" w:fill="FFFFFF"/>
          <w:lang w:val="sr-Cyrl-CS"/>
        </w:rPr>
        <w:t>е лице</w:t>
      </w:r>
      <w:r w:rsidRPr="005F720D">
        <w:rPr>
          <w:rFonts w:ascii="Times New Roman" w:hAnsi="Times New Roman"/>
          <w:color w:val="000000"/>
          <w:sz w:val="24"/>
          <w:szCs w:val="24"/>
          <w:shd w:val="clear" w:color="auto" w:fill="FFFFFF"/>
        </w:rPr>
        <w:t xml:space="preserve"> </w:t>
      </w:r>
      <w:r w:rsidR="005F720D" w:rsidRPr="005F720D">
        <w:rPr>
          <w:rFonts w:ascii="Times New Roman" w:hAnsi="Times New Roman"/>
          <w:color w:val="000000"/>
          <w:sz w:val="24"/>
          <w:szCs w:val="24"/>
          <w:shd w:val="clear" w:color="auto" w:fill="FFFFFF"/>
        </w:rPr>
        <w:t>оствар</w:t>
      </w:r>
      <w:r w:rsidRPr="005F720D">
        <w:rPr>
          <w:rFonts w:ascii="Times New Roman" w:hAnsi="Times New Roman"/>
          <w:color w:val="000000"/>
          <w:sz w:val="24"/>
          <w:szCs w:val="24"/>
          <w:shd w:val="clear" w:color="auto" w:fill="FFFFFF"/>
          <w:lang w:val="sr-Cyrl-CS"/>
        </w:rPr>
        <w:t xml:space="preserve">и по основу уговора о обављању повремених или привремених </w:t>
      </w:r>
      <w:r w:rsidRPr="005F720D">
        <w:rPr>
          <w:rFonts w:ascii="Times New Roman" w:hAnsi="Times New Roman"/>
          <w:color w:val="000000"/>
          <w:sz w:val="24"/>
          <w:szCs w:val="24"/>
          <w:shd w:val="clear" w:color="auto" w:fill="FFFFFF"/>
          <w:lang w:val="sr-Cyrl-CS"/>
        </w:rPr>
        <w:lastRenderedPageBreak/>
        <w:t>послова преко</w:t>
      </w:r>
      <w:r w:rsidRPr="005F720D">
        <w:rPr>
          <w:rFonts w:ascii="Times New Roman" w:hAnsi="Times New Roman"/>
          <w:color w:val="000000"/>
          <w:sz w:val="24"/>
          <w:szCs w:val="24"/>
          <w:shd w:val="clear" w:color="auto" w:fill="FFFFFF"/>
        </w:rPr>
        <w:t xml:space="preserve"> </w:t>
      </w:r>
      <w:r w:rsidR="005F720D" w:rsidRPr="005F720D">
        <w:rPr>
          <w:rFonts w:ascii="Times New Roman" w:hAnsi="Times New Roman"/>
          <w:color w:val="000000"/>
          <w:sz w:val="24"/>
          <w:szCs w:val="24"/>
          <w:shd w:val="clear" w:color="auto" w:fill="FFFFFF"/>
        </w:rPr>
        <w:t>омладинске</w:t>
      </w:r>
      <w:r w:rsidRPr="005F720D">
        <w:rPr>
          <w:rFonts w:ascii="Times New Roman" w:hAnsi="Times New Roman"/>
          <w:color w:val="000000"/>
          <w:sz w:val="24"/>
          <w:szCs w:val="24"/>
          <w:shd w:val="clear" w:color="auto" w:fill="FFFFFF"/>
        </w:rPr>
        <w:t xml:space="preserve"> </w:t>
      </w:r>
      <w:r w:rsidR="005F720D" w:rsidRPr="005F720D">
        <w:rPr>
          <w:rFonts w:ascii="Times New Roman" w:hAnsi="Times New Roman"/>
          <w:color w:val="000000"/>
          <w:sz w:val="24"/>
          <w:szCs w:val="24"/>
          <w:shd w:val="clear" w:color="auto" w:fill="FFFFFF"/>
        </w:rPr>
        <w:t>или</w:t>
      </w:r>
      <w:r w:rsidRPr="005F720D">
        <w:rPr>
          <w:rFonts w:ascii="Times New Roman" w:hAnsi="Times New Roman"/>
          <w:color w:val="000000"/>
          <w:sz w:val="24"/>
          <w:szCs w:val="24"/>
          <w:shd w:val="clear" w:color="auto" w:fill="FFFFFF"/>
        </w:rPr>
        <w:t xml:space="preserve"> </w:t>
      </w:r>
      <w:r w:rsidR="005F720D" w:rsidRPr="005F720D">
        <w:rPr>
          <w:rFonts w:ascii="Times New Roman" w:hAnsi="Times New Roman"/>
          <w:color w:val="000000"/>
          <w:sz w:val="24"/>
          <w:szCs w:val="24"/>
          <w:shd w:val="clear" w:color="auto" w:fill="FFFFFF"/>
        </w:rPr>
        <w:t>студентске</w:t>
      </w:r>
      <w:r w:rsidRPr="005F720D">
        <w:rPr>
          <w:rFonts w:ascii="Times New Roman" w:hAnsi="Times New Roman"/>
          <w:color w:val="000000"/>
          <w:sz w:val="24"/>
          <w:szCs w:val="24"/>
          <w:shd w:val="clear" w:color="auto" w:fill="FFFFFF"/>
        </w:rPr>
        <w:t xml:space="preserve"> </w:t>
      </w:r>
      <w:r w:rsidR="005F720D" w:rsidRPr="005F720D">
        <w:rPr>
          <w:rFonts w:ascii="Times New Roman" w:hAnsi="Times New Roman"/>
          <w:color w:val="000000"/>
          <w:sz w:val="24"/>
          <w:szCs w:val="24"/>
          <w:shd w:val="clear" w:color="auto" w:fill="FFFFFF"/>
        </w:rPr>
        <w:t>задруге</w:t>
      </w:r>
      <w:r w:rsidRPr="005F720D">
        <w:rPr>
          <w:rFonts w:ascii="Times New Roman" w:hAnsi="Times New Roman"/>
          <w:color w:val="000000"/>
          <w:sz w:val="24"/>
          <w:szCs w:val="24"/>
          <w:shd w:val="clear" w:color="auto" w:fill="FFFFFF"/>
        </w:rPr>
        <w:t xml:space="preserve"> </w:t>
      </w:r>
      <w:r w:rsidR="005F720D" w:rsidRPr="005F720D">
        <w:rPr>
          <w:rFonts w:ascii="Times New Roman" w:hAnsi="Times New Roman"/>
          <w:color w:val="000000"/>
          <w:sz w:val="24"/>
          <w:szCs w:val="24"/>
          <w:shd w:val="clear" w:color="auto" w:fill="FFFFFF"/>
        </w:rPr>
        <w:t>до</w:t>
      </w:r>
      <w:r w:rsidRPr="005F720D">
        <w:rPr>
          <w:rFonts w:ascii="Times New Roman" w:hAnsi="Times New Roman"/>
          <w:color w:val="000000"/>
          <w:sz w:val="24"/>
          <w:szCs w:val="24"/>
          <w:shd w:val="clear" w:color="auto" w:fill="FFFFFF"/>
        </w:rPr>
        <w:t xml:space="preserve"> </w:t>
      </w:r>
      <w:r w:rsidR="005F720D" w:rsidRPr="005F720D">
        <w:rPr>
          <w:rFonts w:ascii="Times New Roman" w:hAnsi="Times New Roman"/>
          <w:color w:val="000000"/>
          <w:sz w:val="24"/>
          <w:szCs w:val="24"/>
          <w:shd w:val="clear" w:color="auto" w:fill="FFFFFF"/>
        </w:rPr>
        <w:t>навршених</w:t>
      </w:r>
      <w:r w:rsidRPr="005F720D">
        <w:rPr>
          <w:rFonts w:ascii="Times New Roman" w:hAnsi="Times New Roman"/>
          <w:color w:val="000000"/>
          <w:sz w:val="24"/>
          <w:szCs w:val="24"/>
          <w:shd w:val="clear" w:color="auto" w:fill="FFFFFF"/>
        </w:rPr>
        <w:t xml:space="preserve"> 26 </w:t>
      </w:r>
      <w:r w:rsidR="005F720D" w:rsidRPr="005F720D">
        <w:rPr>
          <w:rFonts w:ascii="Times New Roman" w:hAnsi="Times New Roman"/>
          <w:color w:val="000000"/>
          <w:sz w:val="24"/>
          <w:szCs w:val="24"/>
          <w:shd w:val="clear" w:color="auto" w:fill="FFFFFF"/>
        </w:rPr>
        <w:t>година</w:t>
      </w:r>
      <w:r w:rsidRPr="005F720D">
        <w:rPr>
          <w:rFonts w:ascii="Times New Roman" w:hAnsi="Times New Roman"/>
          <w:color w:val="000000"/>
          <w:sz w:val="24"/>
          <w:szCs w:val="24"/>
          <w:shd w:val="clear" w:color="auto" w:fill="FFFFFF"/>
        </w:rPr>
        <w:t xml:space="preserve"> </w:t>
      </w:r>
      <w:r w:rsidR="005F720D" w:rsidRPr="005F720D">
        <w:rPr>
          <w:rFonts w:ascii="Times New Roman" w:hAnsi="Times New Roman"/>
          <w:color w:val="000000"/>
          <w:sz w:val="24"/>
          <w:szCs w:val="24"/>
          <w:shd w:val="clear" w:color="auto" w:fill="FFFFFF"/>
        </w:rPr>
        <w:t>живота</w:t>
      </w:r>
      <w:r w:rsidRPr="005F720D">
        <w:rPr>
          <w:rFonts w:ascii="Times New Roman" w:hAnsi="Times New Roman"/>
          <w:color w:val="000000"/>
          <w:sz w:val="24"/>
          <w:szCs w:val="24"/>
          <w:shd w:val="clear" w:color="auto" w:fill="FFFFFF"/>
          <w:lang w:val="sr-Cyrl-CS"/>
        </w:rPr>
        <w:t>,</w:t>
      </w:r>
      <w:r w:rsidRPr="005F720D">
        <w:rPr>
          <w:rFonts w:ascii="Times New Roman" w:hAnsi="Times New Roman"/>
          <w:color w:val="000000"/>
          <w:sz w:val="24"/>
          <w:szCs w:val="24"/>
          <w:shd w:val="clear" w:color="auto" w:fill="FFFFFF"/>
        </w:rPr>
        <w:t xml:space="preserve"> </w:t>
      </w:r>
      <w:r w:rsidR="005F720D" w:rsidRPr="005F720D">
        <w:rPr>
          <w:rFonts w:ascii="Times New Roman" w:hAnsi="Times New Roman"/>
          <w:color w:val="000000"/>
          <w:sz w:val="24"/>
          <w:szCs w:val="24"/>
          <w:shd w:val="clear" w:color="auto" w:fill="FFFFFF"/>
        </w:rPr>
        <w:t>ако</w:t>
      </w:r>
      <w:r w:rsidRPr="005F720D">
        <w:rPr>
          <w:rFonts w:ascii="Times New Roman" w:hAnsi="Times New Roman"/>
          <w:color w:val="000000"/>
          <w:sz w:val="24"/>
          <w:szCs w:val="24"/>
          <w:shd w:val="clear" w:color="auto" w:fill="FFFFFF"/>
        </w:rPr>
        <w:t xml:space="preserve"> </w:t>
      </w:r>
      <w:r w:rsidR="005F720D" w:rsidRPr="005F720D">
        <w:rPr>
          <w:rFonts w:ascii="Times New Roman" w:hAnsi="Times New Roman"/>
          <w:color w:val="000000"/>
          <w:sz w:val="24"/>
          <w:szCs w:val="24"/>
          <w:shd w:val="clear" w:color="auto" w:fill="FFFFFF"/>
        </w:rPr>
        <w:t>је</w:t>
      </w:r>
      <w:r w:rsidRPr="005F720D">
        <w:rPr>
          <w:rFonts w:ascii="Times New Roman" w:hAnsi="Times New Roman"/>
          <w:color w:val="000000"/>
          <w:sz w:val="24"/>
          <w:szCs w:val="24"/>
          <w:shd w:val="clear" w:color="auto" w:fill="FFFFFF"/>
        </w:rPr>
        <w:t xml:space="preserve"> </w:t>
      </w:r>
      <w:r w:rsidR="005F720D" w:rsidRPr="005F720D">
        <w:rPr>
          <w:rFonts w:ascii="Times New Roman" w:hAnsi="Times New Roman"/>
          <w:color w:val="000000"/>
          <w:sz w:val="24"/>
          <w:szCs w:val="24"/>
          <w:shd w:val="clear" w:color="auto" w:fill="FFFFFF"/>
        </w:rPr>
        <w:t>на</w:t>
      </w:r>
      <w:r w:rsidRPr="005F720D">
        <w:rPr>
          <w:rFonts w:ascii="Times New Roman" w:hAnsi="Times New Roman"/>
          <w:color w:val="000000"/>
          <w:sz w:val="24"/>
          <w:szCs w:val="24"/>
          <w:shd w:val="clear" w:color="auto" w:fill="FFFFFF"/>
        </w:rPr>
        <w:t xml:space="preserve"> </w:t>
      </w:r>
      <w:r w:rsidR="005F720D" w:rsidRPr="005F720D">
        <w:rPr>
          <w:rFonts w:ascii="Times New Roman" w:hAnsi="Times New Roman"/>
          <w:color w:val="000000"/>
          <w:sz w:val="24"/>
          <w:szCs w:val="24"/>
          <w:shd w:val="clear" w:color="auto" w:fill="FFFFFF"/>
        </w:rPr>
        <w:t>школовању</w:t>
      </w:r>
      <w:r w:rsidRPr="005F720D">
        <w:rPr>
          <w:rFonts w:ascii="Times New Roman" w:hAnsi="Times New Roman"/>
          <w:color w:val="000000"/>
          <w:sz w:val="24"/>
          <w:szCs w:val="24"/>
          <w:shd w:val="clear" w:color="auto" w:fill="FFFFFF"/>
        </w:rPr>
        <w:t xml:space="preserve"> </w:t>
      </w:r>
      <w:r w:rsidR="005F720D" w:rsidRPr="005F720D">
        <w:rPr>
          <w:rFonts w:ascii="Times New Roman" w:hAnsi="Times New Roman"/>
          <w:color w:val="000000"/>
          <w:sz w:val="24"/>
          <w:szCs w:val="24"/>
          <w:shd w:val="clear" w:color="auto" w:fill="FFFFFF"/>
        </w:rPr>
        <w:t>у</w:t>
      </w:r>
      <w:r w:rsidRPr="005F720D">
        <w:rPr>
          <w:rFonts w:ascii="Times New Roman" w:hAnsi="Times New Roman"/>
          <w:color w:val="000000"/>
          <w:sz w:val="24"/>
          <w:szCs w:val="24"/>
          <w:shd w:val="clear" w:color="auto" w:fill="FFFFFF"/>
        </w:rPr>
        <w:t xml:space="preserve"> </w:t>
      </w:r>
      <w:r w:rsidR="005F720D" w:rsidRPr="005F720D">
        <w:rPr>
          <w:rFonts w:ascii="Times New Roman" w:hAnsi="Times New Roman"/>
          <w:color w:val="000000"/>
          <w:sz w:val="24"/>
          <w:szCs w:val="24"/>
          <w:shd w:val="clear" w:color="auto" w:fill="FFFFFF"/>
        </w:rPr>
        <w:t>институцијама</w:t>
      </w:r>
      <w:r w:rsidRPr="005F720D">
        <w:rPr>
          <w:rFonts w:ascii="Times New Roman" w:hAnsi="Times New Roman"/>
          <w:color w:val="000000"/>
          <w:sz w:val="24"/>
          <w:szCs w:val="24"/>
          <w:shd w:val="clear" w:color="auto" w:fill="FFFFFF"/>
        </w:rPr>
        <w:t xml:space="preserve"> </w:t>
      </w:r>
      <w:r w:rsidR="005F720D" w:rsidRPr="005F720D">
        <w:rPr>
          <w:rFonts w:ascii="Times New Roman" w:hAnsi="Times New Roman"/>
          <w:color w:val="000000"/>
          <w:sz w:val="24"/>
          <w:szCs w:val="24"/>
          <w:shd w:val="clear" w:color="auto" w:fill="FFFFFF"/>
        </w:rPr>
        <w:t>за</w:t>
      </w:r>
      <w:r w:rsidRPr="005F720D">
        <w:rPr>
          <w:rFonts w:ascii="Times New Roman" w:hAnsi="Times New Roman"/>
          <w:color w:val="000000"/>
          <w:sz w:val="24"/>
          <w:szCs w:val="24"/>
          <w:shd w:val="clear" w:color="auto" w:fill="FFFFFF"/>
        </w:rPr>
        <w:t xml:space="preserve"> </w:t>
      </w:r>
      <w:r w:rsidR="005F720D" w:rsidRPr="005F720D">
        <w:rPr>
          <w:rFonts w:ascii="Times New Roman" w:hAnsi="Times New Roman"/>
          <w:color w:val="000000"/>
          <w:sz w:val="24"/>
          <w:szCs w:val="24"/>
          <w:shd w:val="clear" w:color="auto" w:fill="FFFFFF"/>
        </w:rPr>
        <w:t>средње</w:t>
      </w:r>
      <w:r w:rsidRPr="005F720D">
        <w:rPr>
          <w:rFonts w:ascii="Times New Roman" w:hAnsi="Times New Roman"/>
          <w:color w:val="000000"/>
          <w:sz w:val="24"/>
          <w:szCs w:val="24"/>
          <w:shd w:val="clear" w:color="auto" w:fill="FFFFFF"/>
        </w:rPr>
        <w:t xml:space="preserve">, </w:t>
      </w:r>
      <w:r w:rsidR="005F720D" w:rsidRPr="005F720D">
        <w:rPr>
          <w:rFonts w:ascii="Times New Roman" w:hAnsi="Times New Roman"/>
          <w:color w:val="000000"/>
          <w:sz w:val="24"/>
          <w:szCs w:val="24"/>
          <w:shd w:val="clear" w:color="auto" w:fill="FFFFFF"/>
        </w:rPr>
        <w:t>више</w:t>
      </w:r>
      <w:r w:rsidRPr="005F720D">
        <w:rPr>
          <w:rFonts w:ascii="Times New Roman" w:hAnsi="Times New Roman"/>
          <w:color w:val="000000"/>
          <w:sz w:val="24"/>
          <w:szCs w:val="24"/>
          <w:shd w:val="clear" w:color="auto" w:fill="FFFFFF"/>
        </w:rPr>
        <w:t xml:space="preserve"> </w:t>
      </w:r>
      <w:r w:rsidR="005F720D" w:rsidRPr="005F720D">
        <w:rPr>
          <w:rFonts w:ascii="Times New Roman" w:hAnsi="Times New Roman"/>
          <w:color w:val="000000"/>
          <w:sz w:val="24"/>
          <w:szCs w:val="24"/>
          <w:shd w:val="clear" w:color="auto" w:fill="FFFFFF"/>
        </w:rPr>
        <w:t>и</w:t>
      </w:r>
      <w:r w:rsidRPr="005F720D">
        <w:rPr>
          <w:rFonts w:ascii="Times New Roman" w:hAnsi="Times New Roman"/>
          <w:color w:val="000000"/>
          <w:sz w:val="24"/>
          <w:szCs w:val="24"/>
          <w:shd w:val="clear" w:color="auto" w:fill="FFFFFF"/>
        </w:rPr>
        <w:t xml:space="preserve"> </w:t>
      </w:r>
      <w:r w:rsidR="005F720D" w:rsidRPr="005F720D">
        <w:rPr>
          <w:rFonts w:ascii="Times New Roman" w:hAnsi="Times New Roman"/>
          <w:color w:val="000000"/>
          <w:sz w:val="24"/>
          <w:szCs w:val="24"/>
          <w:shd w:val="clear" w:color="auto" w:fill="FFFFFF"/>
        </w:rPr>
        <w:t>високо</w:t>
      </w:r>
      <w:r w:rsidRPr="005F720D">
        <w:rPr>
          <w:rFonts w:ascii="Times New Roman" w:hAnsi="Times New Roman"/>
          <w:color w:val="000000"/>
          <w:sz w:val="24"/>
          <w:szCs w:val="24"/>
          <w:shd w:val="clear" w:color="auto" w:fill="FFFFFF"/>
        </w:rPr>
        <w:t xml:space="preserve"> </w:t>
      </w:r>
      <w:r w:rsidR="005F720D" w:rsidRPr="005F720D">
        <w:rPr>
          <w:rFonts w:ascii="Times New Roman" w:hAnsi="Times New Roman"/>
          <w:color w:val="000000"/>
          <w:sz w:val="24"/>
          <w:szCs w:val="24"/>
          <w:shd w:val="clear" w:color="auto" w:fill="FFFFFF"/>
        </w:rPr>
        <w:t>образовање</w:t>
      </w:r>
      <w:r w:rsidRPr="005F720D">
        <w:rPr>
          <w:rFonts w:ascii="Times New Roman" w:hAnsi="Times New Roman"/>
          <w:color w:val="000000"/>
          <w:sz w:val="24"/>
          <w:szCs w:val="24"/>
          <w:shd w:val="clear" w:color="auto" w:fill="FFFFFF"/>
        </w:rPr>
        <w:t xml:space="preserve">, </w:t>
      </w:r>
      <w:r w:rsidR="005F720D" w:rsidRPr="005F720D">
        <w:rPr>
          <w:rFonts w:ascii="Times New Roman" w:hAnsi="Times New Roman"/>
          <w:color w:val="000000"/>
          <w:sz w:val="24"/>
          <w:szCs w:val="24"/>
          <w:shd w:val="clear" w:color="auto" w:fill="FFFFFF"/>
        </w:rPr>
        <w:t>као</w:t>
      </w:r>
      <w:r w:rsidRPr="005F720D">
        <w:rPr>
          <w:rFonts w:ascii="Times New Roman" w:hAnsi="Times New Roman"/>
          <w:color w:val="000000"/>
          <w:sz w:val="24"/>
          <w:szCs w:val="24"/>
          <w:shd w:val="clear" w:color="auto" w:fill="FFFFFF"/>
        </w:rPr>
        <w:t xml:space="preserve"> </w:t>
      </w:r>
      <w:r w:rsidR="005F720D" w:rsidRPr="005F720D">
        <w:rPr>
          <w:rFonts w:ascii="Times New Roman" w:hAnsi="Times New Roman"/>
          <w:color w:val="000000"/>
          <w:sz w:val="24"/>
          <w:szCs w:val="24"/>
          <w:shd w:val="clear" w:color="auto" w:fill="FFFFFF"/>
        </w:rPr>
        <w:t>и</w:t>
      </w:r>
      <w:r w:rsidRPr="005F720D">
        <w:rPr>
          <w:rFonts w:ascii="Times New Roman" w:hAnsi="Times New Roman"/>
          <w:color w:val="000000"/>
          <w:sz w:val="24"/>
          <w:szCs w:val="24"/>
          <w:shd w:val="clear" w:color="auto" w:fill="FFFFFF"/>
        </w:rPr>
        <w:t xml:space="preserve"> </w:t>
      </w:r>
      <w:r w:rsidR="005F720D" w:rsidRPr="005F720D">
        <w:rPr>
          <w:rFonts w:ascii="Times New Roman" w:hAnsi="Times New Roman"/>
          <w:color w:val="000000"/>
          <w:sz w:val="24"/>
          <w:szCs w:val="24"/>
          <w:shd w:val="clear" w:color="auto" w:fill="FFFFFF"/>
        </w:rPr>
        <w:t>физичко</w:t>
      </w:r>
      <w:r w:rsidRPr="005F720D">
        <w:rPr>
          <w:rFonts w:ascii="Times New Roman" w:hAnsi="Times New Roman"/>
          <w:color w:val="000000"/>
          <w:sz w:val="24"/>
          <w:szCs w:val="24"/>
          <w:shd w:val="clear" w:color="auto" w:fill="FFFFFF"/>
        </w:rPr>
        <w:t xml:space="preserve"> </w:t>
      </w:r>
      <w:r w:rsidR="005F720D" w:rsidRPr="005F720D">
        <w:rPr>
          <w:rFonts w:ascii="Times New Roman" w:hAnsi="Times New Roman"/>
          <w:color w:val="000000"/>
          <w:sz w:val="24"/>
          <w:szCs w:val="24"/>
          <w:shd w:val="clear" w:color="auto" w:fill="FFFFFF"/>
        </w:rPr>
        <w:t>лице</w:t>
      </w:r>
      <w:r w:rsidRPr="005F720D">
        <w:rPr>
          <w:rFonts w:ascii="Times New Roman" w:hAnsi="Times New Roman"/>
          <w:color w:val="000000"/>
          <w:sz w:val="24"/>
          <w:szCs w:val="24"/>
          <w:shd w:val="clear" w:color="auto" w:fill="FFFFFF"/>
        </w:rPr>
        <w:t xml:space="preserve"> </w:t>
      </w:r>
      <w:r w:rsidR="005F720D" w:rsidRPr="005F720D">
        <w:rPr>
          <w:rFonts w:ascii="Times New Roman" w:hAnsi="Times New Roman"/>
          <w:color w:val="000000"/>
          <w:sz w:val="24"/>
          <w:szCs w:val="24"/>
          <w:shd w:val="clear" w:color="auto" w:fill="FFFFFF"/>
        </w:rPr>
        <w:t>по</w:t>
      </w:r>
      <w:r w:rsidRPr="005F720D">
        <w:rPr>
          <w:rFonts w:ascii="Times New Roman" w:hAnsi="Times New Roman"/>
          <w:color w:val="000000"/>
          <w:sz w:val="24"/>
          <w:szCs w:val="24"/>
          <w:shd w:val="clear" w:color="auto" w:fill="FFFFFF"/>
        </w:rPr>
        <w:t xml:space="preserve"> </w:t>
      </w:r>
      <w:r w:rsidR="005F720D" w:rsidRPr="005F720D">
        <w:rPr>
          <w:rFonts w:ascii="Times New Roman" w:hAnsi="Times New Roman"/>
          <w:color w:val="000000"/>
          <w:sz w:val="24"/>
          <w:szCs w:val="24"/>
          <w:shd w:val="clear" w:color="auto" w:fill="FFFFFF"/>
        </w:rPr>
        <w:t>основу</w:t>
      </w:r>
      <w:r w:rsidRPr="005F720D">
        <w:rPr>
          <w:rFonts w:ascii="Times New Roman" w:hAnsi="Times New Roman"/>
          <w:color w:val="000000"/>
          <w:sz w:val="24"/>
          <w:szCs w:val="24"/>
          <w:shd w:val="clear" w:color="auto" w:fill="FFFFFF"/>
        </w:rPr>
        <w:t xml:space="preserve"> </w:t>
      </w:r>
      <w:r w:rsidR="005F720D" w:rsidRPr="005F720D">
        <w:rPr>
          <w:rFonts w:ascii="Times New Roman" w:hAnsi="Times New Roman"/>
          <w:color w:val="000000"/>
          <w:sz w:val="24"/>
          <w:szCs w:val="24"/>
          <w:shd w:val="clear" w:color="auto" w:fill="FFFFFF"/>
        </w:rPr>
        <w:t>прикупљања</w:t>
      </w:r>
      <w:r w:rsidRPr="005F720D">
        <w:rPr>
          <w:rFonts w:ascii="Times New Roman" w:hAnsi="Times New Roman"/>
          <w:color w:val="000000"/>
          <w:sz w:val="24"/>
          <w:szCs w:val="24"/>
          <w:shd w:val="clear" w:color="auto" w:fill="FFFFFF"/>
        </w:rPr>
        <w:t xml:space="preserve"> </w:t>
      </w:r>
      <w:r w:rsidR="005F720D" w:rsidRPr="005F720D">
        <w:rPr>
          <w:rFonts w:ascii="Times New Roman" w:hAnsi="Times New Roman"/>
          <w:color w:val="000000"/>
          <w:sz w:val="24"/>
          <w:szCs w:val="24"/>
          <w:shd w:val="clear" w:color="auto" w:fill="FFFFFF"/>
        </w:rPr>
        <w:t>и</w:t>
      </w:r>
      <w:r w:rsidRPr="005F720D">
        <w:rPr>
          <w:rFonts w:ascii="Times New Roman" w:hAnsi="Times New Roman"/>
          <w:color w:val="000000"/>
          <w:sz w:val="24"/>
          <w:szCs w:val="24"/>
          <w:shd w:val="clear" w:color="auto" w:fill="FFFFFF"/>
        </w:rPr>
        <w:t xml:space="preserve"> </w:t>
      </w:r>
      <w:r w:rsidR="005F720D" w:rsidRPr="005F720D">
        <w:rPr>
          <w:rFonts w:ascii="Times New Roman" w:hAnsi="Times New Roman"/>
          <w:color w:val="000000"/>
          <w:sz w:val="24"/>
          <w:szCs w:val="24"/>
          <w:shd w:val="clear" w:color="auto" w:fill="FFFFFF"/>
        </w:rPr>
        <w:t>продаје</w:t>
      </w:r>
      <w:r w:rsidRPr="005F720D">
        <w:rPr>
          <w:rFonts w:ascii="Times New Roman" w:hAnsi="Times New Roman"/>
          <w:color w:val="000000"/>
          <w:sz w:val="24"/>
          <w:szCs w:val="24"/>
          <w:shd w:val="clear" w:color="auto" w:fill="FFFFFF"/>
        </w:rPr>
        <w:t xml:space="preserve"> </w:t>
      </w:r>
      <w:r w:rsidR="005F720D" w:rsidRPr="005F720D">
        <w:rPr>
          <w:rFonts w:ascii="Times New Roman" w:hAnsi="Times New Roman"/>
          <w:color w:val="000000"/>
          <w:sz w:val="24"/>
          <w:szCs w:val="24"/>
          <w:shd w:val="clear" w:color="auto" w:fill="FFFFFF"/>
        </w:rPr>
        <w:t>секундарних</w:t>
      </w:r>
      <w:r w:rsidRPr="005F720D">
        <w:rPr>
          <w:rFonts w:ascii="Times New Roman" w:hAnsi="Times New Roman"/>
          <w:color w:val="000000"/>
          <w:sz w:val="24"/>
          <w:szCs w:val="24"/>
          <w:shd w:val="clear" w:color="auto" w:fill="FFFFFF"/>
        </w:rPr>
        <w:t xml:space="preserve"> </w:t>
      </w:r>
      <w:r w:rsidR="005F720D" w:rsidRPr="005F720D">
        <w:rPr>
          <w:rFonts w:ascii="Times New Roman" w:hAnsi="Times New Roman"/>
          <w:color w:val="000000"/>
          <w:sz w:val="24"/>
          <w:szCs w:val="24"/>
          <w:shd w:val="clear" w:color="auto" w:fill="FFFFFF"/>
        </w:rPr>
        <w:t>сировина</w:t>
      </w:r>
      <w:r w:rsidRPr="005F720D">
        <w:rPr>
          <w:rFonts w:ascii="Times New Roman" w:hAnsi="Times New Roman"/>
          <w:color w:val="000000"/>
          <w:sz w:val="24"/>
          <w:szCs w:val="24"/>
          <w:shd w:val="clear" w:color="auto" w:fill="FFFFFF"/>
        </w:rPr>
        <w:t xml:space="preserve">, </w:t>
      </w:r>
      <w:r w:rsidRPr="005F720D">
        <w:rPr>
          <w:rFonts w:ascii="Times New Roman" w:hAnsi="Times New Roman"/>
          <w:color w:val="000000"/>
          <w:sz w:val="24"/>
          <w:szCs w:val="24"/>
          <w:shd w:val="clear" w:color="auto" w:fill="FFFFFF"/>
          <w:lang w:val="sr-Cyrl-CS"/>
        </w:rPr>
        <w:t>печурака, пужева и других добара (чл. 85. ст. 1. тач. 9). К</w:t>
      </w:r>
      <w:r w:rsidR="004F668A">
        <w:rPr>
          <w:rFonts w:ascii="Times New Roman" w:hAnsi="Times New Roman"/>
          <w:color w:val="000000"/>
          <w:sz w:val="24"/>
          <w:szCs w:val="24"/>
          <w:shd w:val="clear" w:color="auto" w:fill="FFFFFF"/>
          <w:lang w:val="sr-Cyrl-CS"/>
        </w:rPr>
        <w:t>ако би се неосновано искористили</w:t>
      </w:r>
      <w:r w:rsidRPr="005F720D">
        <w:rPr>
          <w:rFonts w:ascii="Times New Roman" w:hAnsi="Times New Roman"/>
          <w:color w:val="000000"/>
          <w:sz w:val="24"/>
          <w:szCs w:val="24"/>
          <w:shd w:val="clear" w:color="auto" w:fill="FFFFFF"/>
          <w:lang w:val="sr-Cyrl-CS"/>
        </w:rPr>
        <w:t xml:space="preserve"> различити основи који не подразумевају плаћање пореза на остале приходе, или плаћање у умањеном износу, подизање готовог новца се врши путем лажне документације  и приказују по тим основима, а потом се новац користи у приватне сврхе и за разне друге намене.  Приликом подизања готовог новца често се приказује да се то чини ради исплате неопорезованих прихода, а у стварности се подигнути новац користи у сасвим друге сврхе.</w:t>
      </w:r>
    </w:p>
    <w:p w:rsidR="00717D0E" w:rsidRPr="005F720D" w:rsidRDefault="00717D0E" w:rsidP="005F720D">
      <w:pPr>
        <w:ind w:firstLine="708"/>
        <w:jc w:val="both"/>
        <w:rPr>
          <w:rFonts w:ascii="Times New Roman" w:hAnsi="Times New Roman"/>
          <w:sz w:val="24"/>
          <w:szCs w:val="24"/>
          <w:lang w:val="sr-Cyrl-CS"/>
        </w:rPr>
      </w:pPr>
      <w:r w:rsidRPr="005F720D">
        <w:rPr>
          <w:rFonts w:ascii="Times New Roman" w:hAnsi="Times New Roman"/>
          <w:sz w:val="24"/>
          <w:szCs w:val="24"/>
          <w:lang w:val="sr-Cyrl-CS"/>
        </w:rPr>
        <w:t>Специфичност овог пореског облика као и пореза на добит правних лица се огледа у чињеници да се утврђивање овог пореза заснива на принципу меродавности пословног биланса за порески биланс. Самим тим код овог пореског облика је заступљен велики утицај рачуноводственог закона, који са бројним подзаконским актима и рачуноводственим стандардима одређује износ опорезиве добити као основице опорезивања. Законски опис пореског чињеничног стања се, као и код пореза на добит правних лица, заснива не само на нормама пореског права, него и на нормама рачуноводственог законодавства. Према томе, до законског избегавања пореза на доходак грађана може доћи не само коришћењем прописаних пореских олакшица него и применом таквог рачуноводственог сагледавања пословних промена које је најповољније, а које признаје порески закон.</w:t>
      </w:r>
    </w:p>
    <w:p w:rsidR="00717D0E" w:rsidRDefault="00793AE0" w:rsidP="005F720D">
      <w:pPr>
        <w:ind w:firstLine="708"/>
        <w:jc w:val="both"/>
        <w:rPr>
          <w:rFonts w:ascii="Times New Roman" w:hAnsi="Times New Roman"/>
          <w:sz w:val="24"/>
          <w:szCs w:val="24"/>
          <w:lang w:val="sr-Cyrl-CS"/>
        </w:rPr>
      </w:pPr>
      <w:r>
        <w:rPr>
          <w:rFonts w:ascii="Times New Roman" w:hAnsi="Times New Roman"/>
          <w:sz w:val="24"/>
          <w:szCs w:val="24"/>
          <w:lang w:val="sr-Cyrl-CS"/>
        </w:rPr>
        <w:t xml:space="preserve">У циљу избегавања плаћања пореза на остале приходе у пракси се често дешава </w:t>
      </w:r>
      <w:r w:rsidR="00717D0E" w:rsidRPr="005F720D">
        <w:rPr>
          <w:rFonts w:ascii="Times New Roman" w:hAnsi="Times New Roman"/>
          <w:sz w:val="24"/>
          <w:szCs w:val="24"/>
          <w:lang w:val="sr-Cyrl-CS"/>
        </w:rPr>
        <w:t>да одговорна лица у појединим привредним субјектима, или деловима у њиховом састав</w:t>
      </w:r>
      <w:r w:rsidR="00002BC3">
        <w:rPr>
          <w:rFonts w:ascii="Times New Roman" w:hAnsi="Times New Roman"/>
          <w:sz w:val="24"/>
          <w:szCs w:val="24"/>
          <w:lang w:val="sr-Cyrl-CS"/>
        </w:rPr>
        <w:t>у који се баве продајом добара</w:t>
      </w:r>
      <w:r w:rsidR="00717D0E" w:rsidRPr="005F720D">
        <w:rPr>
          <w:rFonts w:ascii="Times New Roman" w:hAnsi="Times New Roman"/>
          <w:sz w:val="24"/>
          <w:szCs w:val="24"/>
          <w:lang w:val="sr-Cyrl-CS"/>
        </w:rPr>
        <w:t xml:space="preserve"> крајњим купцима или пружањем одређ</w:t>
      </w:r>
      <w:r>
        <w:rPr>
          <w:rFonts w:ascii="Times New Roman" w:hAnsi="Times New Roman"/>
          <w:sz w:val="24"/>
          <w:szCs w:val="24"/>
          <w:lang w:val="sr-Cyrl-CS"/>
        </w:rPr>
        <w:t>ених врста услуга, испоручена до</w:t>
      </w:r>
      <w:r w:rsidR="00717D0E" w:rsidRPr="005F720D">
        <w:rPr>
          <w:rFonts w:ascii="Times New Roman" w:hAnsi="Times New Roman"/>
          <w:sz w:val="24"/>
          <w:szCs w:val="24"/>
          <w:lang w:val="sr-Cyrl-CS"/>
        </w:rPr>
        <w:t xml:space="preserve">бра, односно услуге, наплаћују у готовом новцу без евидентирања у пословним књигама. </w:t>
      </w:r>
      <w:r>
        <w:rPr>
          <w:rFonts w:ascii="Times New Roman" w:hAnsi="Times New Roman"/>
          <w:sz w:val="24"/>
          <w:szCs w:val="24"/>
          <w:lang w:val="sr-Cyrl-CS"/>
        </w:rPr>
        <w:t>Након тога се тај новац најчешће задржава</w:t>
      </w:r>
      <w:r w:rsidR="00717D0E" w:rsidRPr="005F720D">
        <w:rPr>
          <w:rFonts w:ascii="Times New Roman" w:hAnsi="Times New Roman"/>
          <w:sz w:val="24"/>
          <w:szCs w:val="24"/>
          <w:lang w:val="sr-Cyrl-CS"/>
        </w:rPr>
        <w:t xml:space="preserve"> за личне потребе </w:t>
      </w:r>
      <w:r>
        <w:rPr>
          <w:rFonts w:ascii="Times New Roman" w:hAnsi="Times New Roman"/>
          <w:sz w:val="24"/>
          <w:szCs w:val="24"/>
          <w:lang w:val="sr-Cyrl-CS"/>
        </w:rPr>
        <w:t>од стране одговорних</w:t>
      </w:r>
      <w:r w:rsidR="00717D0E" w:rsidRPr="005F720D">
        <w:rPr>
          <w:rFonts w:ascii="Times New Roman" w:hAnsi="Times New Roman"/>
          <w:sz w:val="24"/>
          <w:szCs w:val="24"/>
          <w:lang w:val="sr-Cyrl-CS"/>
        </w:rPr>
        <w:t xml:space="preserve"> лица која врше или организују такву наплату, или </w:t>
      </w:r>
      <w:r>
        <w:rPr>
          <w:rFonts w:ascii="Times New Roman" w:hAnsi="Times New Roman"/>
          <w:sz w:val="24"/>
          <w:szCs w:val="24"/>
          <w:lang w:val="sr-Cyrl-CS"/>
        </w:rPr>
        <w:t>се готовина предаје</w:t>
      </w:r>
      <w:r w:rsidR="00717D0E" w:rsidRPr="005F720D">
        <w:rPr>
          <w:rFonts w:ascii="Times New Roman" w:hAnsi="Times New Roman"/>
          <w:sz w:val="24"/>
          <w:szCs w:val="24"/>
          <w:lang w:val="sr-Cyrl-CS"/>
        </w:rPr>
        <w:t xml:space="preserve"> власницима и оснивачима тих привредних субјеката. </w:t>
      </w:r>
      <w:r>
        <w:rPr>
          <w:rFonts w:ascii="Times New Roman" w:hAnsi="Times New Roman"/>
          <w:sz w:val="24"/>
          <w:szCs w:val="24"/>
          <w:lang w:val="sr-Cyrl-CS"/>
        </w:rPr>
        <w:t xml:space="preserve">Обично </w:t>
      </w:r>
      <w:r w:rsidR="00717D0E" w:rsidRPr="005F720D">
        <w:rPr>
          <w:rFonts w:ascii="Times New Roman" w:hAnsi="Times New Roman"/>
          <w:sz w:val="24"/>
          <w:szCs w:val="24"/>
          <w:lang w:val="sr-Cyrl-CS"/>
        </w:rPr>
        <w:t>се из дела тако обезбеђене готовине, без евидентирања у пословним књигама, врше готовинске исплате зарада или других примања запослених или чине одређена плаћања тре</w:t>
      </w:r>
      <w:r>
        <w:rPr>
          <w:rFonts w:ascii="Times New Roman" w:hAnsi="Times New Roman"/>
          <w:sz w:val="24"/>
          <w:szCs w:val="24"/>
          <w:lang w:val="sr-Cyrl-CS"/>
        </w:rPr>
        <w:t>ћим лицима</w:t>
      </w:r>
      <w:r w:rsidR="00717D0E" w:rsidRPr="005F720D">
        <w:rPr>
          <w:rFonts w:ascii="Times New Roman" w:hAnsi="Times New Roman"/>
          <w:sz w:val="24"/>
          <w:szCs w:val="24"/>
          <w:lang w:val="sr-Cyrl-CS"/>
        </w:rPr>
        <w:t>.</w:t>
      </w:r>
      <w:r w:rsidR="00717D0E" w:rsidRPr="005F720D">
        <w:rPr>
          <w:rStyle w:val="FootnoteReference"/>
          <w:rFonts w:ascii="Times New Roman" w:hAnsi="Times New Roman"/>
          <w:sz w:val="24"/>
          <w:szCs w:val="24"/>
          <w:lang w:val="sr-Cyrl-CS"/>
        </w:rPr>
        <w:footnoteReference w:id="476"/>
      </w:r>
      <w:r w:rsidR="00717D0E" w:rsidRPr="005F720D">
        <w:rPr>
          <w:rFonts w:ascii="Times New Roman" w:hAnsi="Times New Roman"/>
          <w:sz w:val="24"/>
          <w:szCs w:val="24"/>
          <w:lang w:val="sr-Cyrl-CS"/>
        </w:rPr>
        <w:t xml:space="preserve"> </w:t>
      </w:r>
    </w:p>
    <w:p w:rsidR="004C3AFA" w:rsidRPr="00014DFE" w:rsidRDefault="00B0042D" w:rsidP="00014DFE">
      <w:pPr>
        <w:ind w:firstLine="708"/>
        <w:jc w:val="both"/>
        <w:rPr>
          <w:rFonts w:ascii="Times New Roman" w:hAnsi="Times New Roman"/>
          <w:sz w:val="24"/>
          <w:szCs w:val="24"/>
        </w:rPr>
      </w:pPr>
      <w:r>
        <w:rPr>
          <w:rFonts w:ascii="Times New Roman" w:hAnsi="Times New Roman"/>
          <w:sz w:val="24"/>
          <w:szCs w:val="24"/>
          <w:lang w:val="sr-Cyrl-CS"/>
        </w:rPr>
        <w:t xml:space="preserve">Тако, одговорна лица предузећа за пружање здравствених услуга „О“ из Београда више од годину дана у пословним књигама нису евидентирала приход наплаћен у готовини извршен за здравствене услуге у износу од 103.706.238,65 динара. Наплаћена готовина је искоришћена за неевидентиране исплате зарада запосленима, надоканада по основу допунског рада, надокнада по основу уговора о заступању и поредовању као и за плаћање других обавеза болнице према трећим лицима У овим случајевима постоји обавеза обрачуна и уплате пореза на доходак грађана у износу од </w:t>
      </w:r>
      <w:r>
        <w:rPr>
          <w:rFonts w:ascii="Times New Roman" w:hAnsi="Times New Roman"/>
          <w:sz w:val="24"/>
          <w:szCs w:val="24"/>
          <w:lang w:val="sr-Cyrl-CS"/>
        </w:rPr>
        <w:lastRenderedPageBreak/>
        <w:t>38.</w:t>
      </w:r>
      <w:r w:rsidR="006C2D6B">
        <w:rPr>
          <w:rFonts w:ascii="Times New Roman" w:hAnsi="Times New Roman"/>
          <w:sz w:val="24"/>
          <w:szCs w:val="24"/>
          <w:lang w:val="sr-Cyrl-CS"/>
        </w:rPr>
        <w:t>010.911,02 динара, које плаћање је избегнуто неевидентирањем промета и наплате услуга.</w:t>
      </w:r>
      <w:r w:rsidR="00C75021">
        <w:rPr>
          <w:rStyle w:val="FootnoteReference"/>
          <w:rFonts w:ascii="Times New Roman" w:hAnsi="Times New Roman"/>
          <w:sz w:val="24"/>
          <w:szCs w:val="24"/>
          <w:lang w:val="sr-Cyrl-CS"/>
        </w:rPr>
        <w:footnoteReference w:id="477"/>
      </w:r>
    </w:p>
    <w:p w:rsidR="00C75021" w:rsidRPr="00014DFE" w:rsidRDefault="00EE7CC9" w:rsidP="00014DFE">
      <w:pPr>
        <w:ind w:firstLine="708"/>
        <w:jc w:val="both"/>
        <w:rPr>
          <w:rFonts w:ascii="Times New Roman" w:hAnsi="Times New Roman"/>
          <w:sz w:val="24"/>
          <w:szCs w:val="24"/>
          <w:shd w:val="clear" w:color="auto" w:fill="FFFFFF"/>
        </w:rPr>
      </w:pPr>
      <w:r>
        <w:rPr>
          <w:rFonts w:ascii="Times New Roman" w:hAnsi="Times New Roman"/>
          <w:sz w:val="24"/>
          <w:szCs w:val="24"/>
          <w:shd w:val="clear" w:color="auto" w:fill="FFFFFF"/>
          <w:lang w:val="sr-Cyrl-CS"/>
        </w:rPr>
        <w:t xml:space="preserve">Област у којој је у великој мери заступљено </w:t>
      </w:r>
      <w:r w:rsidR="00717D0E" w:rsidRPr="005F720D">
        <w:rPr>
          <w:rFonts w:ascii="Times New Roman" w:hAnsi="Times New Roman"/>
          <w:sz w:val="24"/>
          <w:szCs w:val="24"/>
          <w:shd w:val="clear" w:color="auto" w:fill="FFFFFF"/>
          <w:lang w:val="sr-Cyrl-CS"/>
        </w:rPr>
        <w:t>избегава</w:t>
      </w:r>
      <w:r>
        <w:rPr>
          <w:rFonts w:ascii="Times New Roman" w:hAnsi="Times New Roman"/>
          <w:sz w:val="24"/>
          <w:szCs w:val="24"/>
          <w:shd w:val="clear" w:color="auto" w:fill="FFFFFF"/>
          <w:lang w:val="sr-Cyrl-CS"/>
        </w:rPr>
        <w:t>ње плаћања овог пореског облика је грађевинарство</w:t>
      </w:r>
      <w:r w:rsidR="00717D0E" w:rsidRPr="005F720D">
        <w:rPr>
          <w:rFonts w:ascii="Times New Roman" w:hAnsi="Times New Roman"/>
          <w:sz w:val="24"/>
          <w:szCs w:val="24"/>
          <w:shd w:val="clear" w:color="auto" w:fill="FFFFFF"/>
          <w:lang w:val="sr-Cyrl-CS"/>
        </w:rPr>
        <w:t xml:space="preserve">. </w:t>
      </w:r>
      <w:r>
        <w:rPr>
          <w:rFonts w:ascii="Times New Roman" w:hAnsi="Times New Roman"/>
          <w:sz w:val="24"/>
          <w:szCs w:val="24"/>
          <w:shd w:val="clear" w:color="auto" w:fill="FFFFFF"/>
          <w:lang w:val="sr-Cyrl-CS"/>
        </w:rPr>
        <w:t>Тако, на пример,</w:t>
      </w:r>
      <w:r w:rsidR="00717D0E" w:rsidRPr="005F720D">
        <w:rPr>
          <w:rFonts w:ascii="Times New Roman" w:hAnsi="Times New Roman"/>
          <w:sz w:val="24"/>
          <w:szCs w:val="24"/>
          <w:shd w:val="clear" w:color="auto" w:fill="FFFFFF"/>
          <w:lang w:val="sr-Cyrl-CS"/>
        </w:rPr>
        <w:t xml:space="preserve"> постоји пракса д</w:t>
      </w:r>
      <w:r>
        <w:rPr>
          <w:rFonts w:ascii="Times New Roman" w:hAnsi="Times New Roman"/>
          <w:sz w:val="24"/>
          <w:szCs w:val="24"/>
          <w:shd w:val="clear" w:color="auto" w:fill="FFFFFF"/>
          <w:lang w:val="sr-Cyrl-CS"/>
        </w:rPr>
        <w:t xml:space="preserve">а се завршени стамбени објекти </w:t>
      </w:r>
      <w:r w:rsidR="00717D0E" w:rsidRPr="005F720D">
        <w:rPr>
          <w:rFonts w:ascii="Times New Roman" w:hAnsi="Times New Roman"/>
          <w:sz w:val="24"/>
          <w:szCs w:val="24"/>
          <w:shd w:val="clear" w:color="auto" w:fill="FFFFFF"/>
          <w:lang w:val="sr-Cyrl-CS"/>
        </w:rPr>
        <w:t xml:space="preserve">делом или у потпуности наплаћују у готовом новцу који се не евидентира у пословним књигама, при чему се избегава порез на остале приходе. </w:t>
      </w:r>
      <w:r>
        <w:rPr>
          <w:rFonts w:ascii="Times New Roman" w:hAnsi="Times New Roman"/>
          <w:sz w:val="24"/>
          <w:szCs w:val="24"/>
          <w:shd w:val="clear" w:color="auto" w:fill="FFFFFF"/>
          <w:lang w:val="sr-Cyrl-CS"/>
        </w:rPr>
        <w:t xml:space="preserve">На овај </w:t>
      </w:r>
      <w:r w:rsidR="00717D0E" w:rsidRPr="005F720D">
        <w:rPr>
          <w:rFonts w:ascii="Times New Roman" w:hAnsi="Times New Roman"/>
          <w:sz w:val="24"/>
          <w:szCs w:val="24"/>
          <w:shd w:val="clear" w:color="auto" w:fill="FFFFFF"/>
          <w:lang w:val="sr-Cyrl-CS"/>
        </w:rPr>
        <w:t xml:space="preserve">једноставан начин </w:t>
      </w:r>
      <w:r>
        <w:rPr>
          <w:rFonts w:ascii="Times New Roman" w:hAnsi="Times New Roman"/>
          <w:sz w:val="24"/>
          <w:szCs w:val="24"/>
          <w:shd w:val="clear" w:color="auto" w:fill="FFFFFF"/>
          <w:lang w:val="sr-Cyrl-CS"/>
        </w:rPr>
        <w:t>често</w:t>
      </w:r>
      <w:r w:rsidR="00717D0E" w:rsidRPr="005F720D">
        <w:rPr>
          <w:rFonts w:ascii="Times New Roman" w:hAnsi="Times New Roman"/>
          <w:sz w:val="24"/>
          <w:szCs w:val="24"/>
          <w:shd w:val="clear" w:color="auto" w:fill="FFFFFF"/>
          <w:lang w:val="sr-Cyrl-CS"/>
        </w:rPr>
        <w:t xml:space="preserve"> инвеститори у грађевинарству долазе до готовог новца који потом користе за исплату зарада и надница запосленима и привремено ангажованим радницима, али и за плаћање појединих подизвођача и набавку одређених добара и услуга. </w:t>
      </w:r>
      <w:r>
        <w:rPr>
          <w:rFonts w:ascii="Times New Roman" w:hAnsi="Times New Roman"/>
          <w:sz w:val="24"/>
          <w:szCs w:val="24"/>
          <w:shd w:val="clear" w:color="auto" w:fill="FFFFFF"/>
          <w:lang w:val="sr-Cyrl-CS"/>
        </w:rPr>
        <w:t xml:space="preserve">Овакве исплате </w:t>
      </w:r>
      <w:r w:rsidR="00717D0E" w:rsidRPr="005F720D">
        <w:rPr>
          <w:rFonts w:ascii="Times New Roman" w:hAnsi="Times New Roman"/>
          <w:sz w:val="24"/>
          <w:szCs w:val="24"/>
          <w:shd w:val="clear" w:color="auto" w:fill="FFFFFF"/>
          <w:lang w:val="sr-Cyrl-CS"/>
        </w:rPr>
        <w:t xml:space="preserve">се по правилу уопште не евидентирају, </w:t>
      </w:r>
      <w:r>
        <w:rPr>
          <w:rFonts w:ascii="Times New Roman" w:hAnsi="Times New Roman"/>
          <w:sz w:val="24"/>
          <w:szCs w:val="24"/>
          <w:shd w:val="clear" w:color="auto" w:fill="FFFFFF"/>
          <w:lang w:val="sr-Cyrl-CS"/>
        </w:rPr>
        <w:t>нити се обрачунавају</w:t>
      </w:r>
      <w:r w:rsidR="00717D0E" w:rsidRPr="005F720D">
        <w:rPr>
          <w:rFonts w:ascii="Times New Roman" w:hAnsi="Times New Roman"/>
          <w:sz w:val="24"/>
          <w:szCs w:val="24"/>
          <w:shd w:val="clear" w:color="auto" w:fill="FFFFFF"/>
          <w:lang w:val="sr-Cyrl-CS"/>
        </w:rPr>
        <w:t xml:space="preserve"> </w:t>
      </w:r>
      <w:r>
        <w:rPr>
          <w:rFonts w:ascii="Times New Roman" w:hAnsi="Times New Roman"/>
          <w:sz w:val="24"/>
          <w:szCs w:val="24"/>
          <w:shd w:val="clear" w:color="auto" w:fill="FFFFFF"/>
          <w:lang w:val="sr-Cyrl-CS"/>
        </w:rPr>
        <w:t>и</w:t>
      </w:r>
      <w:r w:rsidR="00717D0E" w:rsidRPr="005F720D">
        <w:rPr>
          <w:rFonts w:ascii="Times New Roman" w:hAnsi="Times New Roman"/>
          <w:sz w:val="24"/>
          <w:szCs w:val="24"/>
          <w:shd w:val="clear" w:color="auto" w:fill="FFFFFF"/>
          <w:lang w:val="sr-Cyrl-CS"/>
        </w:rPr>
        <w:t xml:space="preserve"> плаћају било какве пореске обавезе.</w:t>
      </w:r>
      <w:r w:rsidR="00717D0E" w:rsidRPr="005F720D">
        <w:rPr>
          <w:rStyle w:val="FootnoteReference"/>
          <w:rFonts w:ascii="Times New Roman" w:hAnsi="Times New Roman"/>
          <w:sz w:val="24"/>
          <w:szCs w:val="24"/>
          <w:shd w:val="clear" w:color="auto" w:fill="FFFFFF"/>
          <w:lang w:val="sr-Cyrl-CS"/>
        </w:rPr>
        <w:footnoteReference w:id="478"/>
      </w:r>
    </w:p>
    <w:p w:rsidR="00C75021" w:rsidRPr="00014DFE" w:rsidRDefault="00C75021" w:rsidP="00014DFE">
      <w:pPr>
        <w:ind w:firstLine="708"/>
        <w:jc w:val="both"/>
        <w:rPr>
          <w:rFonts w:ascii="Times New Roman" w:hAnsi="Times New Roman"/>
          <w:sz w:val="24"/>
          <w:szCs w:val="24"/>
          <w:shd w:val="clear" w:color="auto" w:fill="FFFFFF"/>
        </w:rPr>
      </w:pPr>
      <w:r>
        <w:rPr>
          <w:rFonts w:ascii="Times New Roman" w:hAnsi="Times New Roman"/>
          <w:sz w:val="24"/>
          <w:szCs w:val="24"/>
          <w:shd w:val="clear" w:color="auto" w:fill="FFFFFF"/>
          <w:lang w:val="sr-Cyrl-CS"/>
        </w:rPr>
        <w:t>Тако је на пример предузеће „Р.М.“ из Београда вршило продају станова физичким лицима за готов новац без евидентирања у пословним књигама. По том основу је наплаћено 17.025.492,00 динара и избегнуто је плаћање 3.223.863,00 динара пореза на остале приходе. Истовремено је на неевидентиран промет наплаћен у готовини избегнуто плаћање ПДВ-а у износу од 1.261.146,00 динара.</w:t>
      </w:r>
      <w:r>
        <w:rPr>
          <w:rStyle w:val="FootnoteReference"/>
          <w:rFonts w:ascii="Times New Roman" w:hAnsi="Times New Roman"/>
          <w:sz w:val="24"/>
          <w:szCs w:val="24"/>
          <w:shd w:val="clear" w:color="auto" w:fill="FFFFFF"/>
          <w:lang w:val="sr-Cyrl-CS"/>
        </w:rPr>
        <w:footnoteReference w:id="479"/>
      </w:r>
    </w:p>
    <w:p w:rsidR="00717D0E" w:rsidRPr="005F720D" w:rsidRDefault="004F668A" w:rsidP="005F720D">
      <w:pPr>
        <w:ind w:firstLine="708"/>
        <w:jc w:val="both"/>
        <w:rPr>
          <w:rFonts w:ascii="Times New Roman" w:hAnsi="Times New Roman"/>
          <w:sz w:val="24"/>
          <w:szCs w:val="24"/>
          <w:shd w:val="clear" w:color="auto" w:fill="FFFFFF"/>
          <w:lang w:val="sr-Cyrl-CS"/>
        </w:rPr>
      </w:pPr>
      <w:r>
        <w:rPr>
          <w:rFonts w:ascii="Times New Roman" w:hAnsi="Times New Roman"/>
          <w:sz w:val="24"/>
          <w:szCs w:val="24"/>
          <w:shd w:val="clear" w:color="auto" w:fill="FFFFFF"/>
          <w:lang w:val="sr-Cyrl-CS"/>
        </w:rPr>
        <w:t>Иначе, у</w:t>
      </w:r>
      <w:r w:rsidR="00717D0E" w:rsidRPr="005F720D">
        <w:rPr>
          <w:rFonts w:ascii="Times New Roman" w:hAnsi="Times New Roman"/>
          <w:sz w:val="24"/>
          <w:szCs w:val="24"/>
          <w:shd w:val="clear" w:color="auto" w:fill="FFFFFF"/>
          <w:lang w:val="sr-Cyrl-CS"/>
        </w:rPr>
        <w:t xml:space="preserve"> грађевинарству су веома заступљени разни облици евазије пореза пре свега због великих могућности за несметано реализовање овог облика злоупотребе, чиме се оштећује буџет у великим износима.</w:t>
      </w:r>
    </w:p>
    <w:p w:rsidR="00C75021" w:rsidRDefault="004F668A" w:rsidP="004F668A">
      <w:pPr>
        <w:ind w:firstLine="708"/>
        <w:jc w:val="both"/>
        <w:rPr>
          <w:rFonts w:ascii="Times New Roman" w:hAnsi="Times New Roman"/>
          <w:sz w:val="24"/>
          <w:szCs w:val="24"/>
          <w:lang w:val="sr-Cyrl-CS"/>
        </w:rPr>
      </w:pPr>
      <w:r w:rsidRPr="004F668A">
        <w:rPr>
          <w:rFonts w:ascii="Times New Roman" w:hAnsi="Times New Roman"/>
          <w:sz w:val="24"/>
          <w:szCs w:val="24"/>
          <w:lang w:val="sr-Cyrl-CS"/>
        </w:rPr>
        <w:t>У погледу годишњег пореза на доходак грађана  и</w:t>
      </w:r>
      <w:r w:rsidR="00717D0E" w:rsidRPr="004F668A">
        <w:rPr>
          <w:rFonts w:ascii="Times New Roman" w:hAnsi="Times New Roman"/>
          <w:sz w:val="24"/>
          <w:szCs w:val="24"/>
          <w:lang w:val="sr-Cyrl-CS"/>
        </w:rPr>
        <w:t xml:space="preserve">збегавање плаћања пореза се углавном врши неподношењем порске пријаве о годишњем порезу на доходак грађана. Наиме, као што је наведено, </w:t>
      </w:r>
      <w:bookmarkStart w:id="53" w:name="clan_92"/>
      <w:bookmarkEnd w:id="53"/>
      <w:r w:rsidR="00717D0E" w:rsidRPr="004F668A">
        <w:rPr>
          <w:rFonts w:ascii="Times New Roman" w:hAnsi="Times New Roman"/>
          <w:sz w:val="24"/>
          <w:szCs w:val="24"/>
          <w:lang w:val="sr-Cyrl-CS"/>
        </w:rPr>
        <w:t>о</w:t>
      </w:r>
      <w:r w:rsidR="005F720D" w:rsidRPr="004F668A">
        <w:rPr>
          <w:rFonts w:ascii="Times New Roman" w:hAnsi="Times New Roman"/>
          <w:sz w:val="24"/>
          <w:szCs w:val="24"/>
        </w:rPr>
        <w:t>бвезник</w:t>
      </w:r>
      <w:r w:rsidR="00717D0E" w:rsidRPr="004F668A">
        <w:rPr>
          <w:rFonts w:ascii="Times New Roman" w:hAnsi="Times New Roman"/>
          <w:sz w:val="24"/>
          <w:szCs w:val="24"/>
        </w:rPr>
        <w:t xml:space="preserve"> </w:t>
      </w:r>
      <w:r w:rsidR="005F720D" w:rsidRPr="004F668A">
        <w:rPr>
          <w:rFonts w:ascii="Times New Roman" w:hAnsi="Times New Roman"/>
          <w:sz w:val="24"/>
          <w:szCs w:val="24"/>
        </w:rPr>
        <w:t>годишњег</w:t>
      </w:r>
      <w:r w:rsidR="00717D0E" w:rsidRPr="004F668A">
        <w:rPr>
          <w:rFonts w:ascii="Times New Roman" w:hAnsi="Times New Roman"/>
          <w:sz w:val="24"/>
          <w:szCs w:val="24"/>
        </w:rPr>
        <w:t xml:space="preserve"> </w:t>
      </w:r>
      <w:r w:rsidR="005F720D" w:rsidRPr="004F668A">
        <w:rPr>
          <w:rFonts w:ascii="Times New Roman" w:hAnsi="Times New Roman"/>
          <w:sz w:val="24"/>
          <w:szCs w:val="24"/>
        </w:rPr>
        <w:t>пореза</w:t>
      </w:r>
      <w:r w:rsidR="00717D0E" w:rsidRPr="004F668A">
        <w:rPr>
          <w:rFonts w:ascii="Times New Roman" w:hAnsi="Times New Roman"/>
          <w:sz w:val="24"/>
          <w:szCs w:val="24"/>
        </w:rPr>
        <w:t xml:space="preserve"> </w:t>
      </w:r>
      <w:r w:rsidR="005F720D" w:rsidRPr="004F668A">
        <w:rPr>
          <w:rFonts w:ascii="Times New Roman" w:hAnsi="Times New Roman"/>
          <w:sz w:val="24"/>
          <w:szCs w:val="24"/>
        </w:rPr>
        <w:t>на</w:t>
      </w:r>
      <w:r w:rsidR="00717D0E" w:rsidRPr="004F668A">
        <w:rPr>
          <w:rFonts w:ascii="Times New Roman" w:hAnsi="Times New Roman"/>
          <w:sz w:val="24"/>
          <w:szCs w:val="24"/>
        </w:rPr>
        <w:t xml:space="preserve"> </w:t>
      </w:r>
      <w:r w:rsidR="005F720D" w:rsidRPr="004F668A">
        <w:rPr>
          <w:rFonts w:ascii="Times New Roman" w:hAnsi="Times New Roman"/>
          <w:sz w:val="24"/>
          <w:szCs w:val="24"/>
        </w:rPr>
        <w:t>доходак</w:t>
      </w:r>
      <w:r w:rsidR="00717D0E" w:rsidRPr="004F668A">
        <w:rPr>
          <w:rFonts w:ascii="Times New Roman" w:hAnsi="Times New Roman"/>
          <w:sz w:val="24"/>
          <w:szCs w:val="24"/>
        </w:rPr>
        <w:t xml:space="preserve"> </w:t>
      </w:r>
      <w:r w:rsidR="005F720D" w:rsidRPr="004F668A">
        <w:rPr>
          <w:rFonts w:ascii="Times New Roman" w:hAnsi="Times New Roman"/>
          <w:sz w:val="24"/>
          <w:szCs w:val="24"/>
        </w:rPr>
        <w:t>грађана</w:t>
      </w:r>
      <w:r w:rsidR="00717D0E" w:rsidRPr="004F668A">
        <w:rPr>
          <w:rFonts w:ascii="Times New Roman" w:hAnsi="Times New Roman"/>
          <w:sz w:val="24"/>
          <w:szCs w:val="24"/>
        </w:rPr>
        <w:t xml:space="preserve"> </w:t>
      </w:r>
      <w:r w:rsidR="005F720D" w:rsidRPr="004F668A">
        <w:rPr>
          <w:rFonts w:ascii="Times New Roman" w:hAnsi="Times New Roman"/>
          <w:sz w:val="24"/>
          <w:szCs w:val="24"/>
        </w:rPr>
        <w:t>дужан</w:t>
      </w:r>
      <w:r w:rsidR="00717D0E" w:rsidRPr="004F668A">
        <w:rPr>
          <w:rFonts w:ascii="Times New Roman" w:hAnsi="Times New Roman"/>
          <w:sz w:val="24"/>
          <w:szCs w:val="24"/>
        </w:rPr>
        <w:t xml:space="preserve"> </w:t>
      </w:r>
      <w:r w:rsidR="005F720D" w:rsidRPr="004F668A">
        <w:rPr>
          <w:rFonts w:ascii="Times New Roman" w:hAnsi="Times New Roman"/>
          <w:sz w:val="24"/>
          <w:szCs w:val="24"/>
        </w:rPr>
        <w:t>је</w:t>
      </w:r>
      <w:r w:rsidR="00717D0E" w:rsidRPr="004F668A">
        <w:rPr>
          <w:rFonts w:ascii="Times New Roman" w:hAnsi="Times New Roman"/>
          <w:sz w:val="24"/>
          <w:szCs w:val="24"/>
        </w:rPr>
        <w:t xml:space="preserve"> </w:t>
      </w:r>
      <w:r w:rsidR="005F720D" w:rsidRPr="004F668A">
        <w:rPr>
          <w:rFonts w:ascii="Times New Roman" w:hAnsi="Times New Roman"/>
          <w:sz w:val="24"/>
          <w:szCs w:val="24"/>
        </w:rPr>
        <w:t>да</w:t>
      </w:r>
      <w:r w:rsidR="00717D0E" w:rsidRPr="004F668A">
        <w:rPr>
          <w:rFonts w:ascii="Times New Roman" w:hAnsi="Times New Roman"/>
          <w:sz w:val="24"/>
          <w:szCs w:val="24"/>
        </w:rPr>
        <w:t xml:space="preserve"> </w:t>
      </w:r>
      <w:r w:rsidR="005F720D" w:rsidRPr="004F668A">
        <w:rPr>
          <w:rFonts w:ascii="Times New Roman" w:hAnsi="Times New Roman"/>
          <w:sz w:val="24"/>
          <w:szCs w:val="24"/>
        </w:rPr>
        <w:t>за</w:t>
      </w:r>
      <w:r w:rsidR="00717D0E" w:rsidRPr="004F668A">
        <w:rPr>
          <w:rFonts w:ascii="Times New Roman" w:hAnsi="Times New Roman"/>
          <w:sz w:val="24"/>
          <w:szCs w:val="24"/>
        </w:rPr>
        <w:t xml:space="preserve"> </w:t>
      </w:r>
      <w:r w:rsidR="005F720D" w:rsidRPr="004F668A">
        <w:rPr>
          <w:rFonts w:ascii="Times New Roman" w:hAnsi="Times New Roman"/>
          <w:sz w:val="24"/>
          <w:szCs w:val="24"/>
        </w:rPr>
        <w:t>остварени</w:t>
      </w:r>
      <w:r w:rsidR="00717D0E" w:rsidRPr="004F668A">
        <w:rPr>
          <w:rFonts w:ascii="Times New Roman" w:hAnsi="Times New Roman"/>
          <w:sz w:val="24"/>
          <w:szCs w:val="24"/>
        </w:rPr>
        <w:t xml:space="preserve"> </w:t>
      </w:r>
      <w:r w:rsidR="005F720D" w:rsidRPr="004F668A">
        <w:rPr>
          <w:rFonts w:ascii="Times New Roman" w:hAnsi="Times New Roman"/>
          <w:sz w:val="24"/>
          <w:szCs w:val="24"/>
        </w:rPr>
        <w:t>доходак</w:t>
      </w:r>
      <w:r w:rsidR="00717D0E" w:rsidRPr="004F668A">
        <w:rPr>
          <w:rFonts w:ascii="Times New Roman" w:hAnsi="Times New Roman"/>
          <w:sz w:val="24"/>
          <w:szCs w:val="24"/>
        </w:rPr>
        <w:t xml:space="preserve"> </w:t>
      </w:r>
      <w:r w:rsidR="005F720D" w:rsidRPr="004F668A">
        <w:rPr>
          <w:rFonts w:ascii="Times New Roman" w:hAnsi="Times New Roman"/>
          <w:sz w:val="24"/>
          <w:szCs w:val="24"/>
        </w:rPr>
        <w:t>у</w:t>
      </w:r>
      <w:r w:rsidR="00717D0E" w:rsidRPr="004F668A">
        <w:rPr>
          <w:rFonts w:ascii="Times New Roman" w:hAnsi="Times New Roman"/>
          <w:sz w:val="24"/>
          <w:szCs w:val="24"/>
        </w:rPr>
        <w:t xml:space="preserve"> </w:t>
      </w:r>
      <w:r w:rsidR="005F720D" w:rsidRPr="004F668A">
        <w:rPr>
          <w:rFonts w:ascii="Times New Roman" w:hAnsi="Times New Roman"/>
          <w:sz w:val="24"/>
          <w:szCs w:val="24"/>
        </w:rPr>
        <w:t>години</w:t>
      </w:r>
      <w:r w:rsidR="00717D0E" w:rsidRPr="004F668A">
        <w:rPr>
          <w:rFonts w:ascii="Times New Roman" w:hAnsi="Times New Roman"/>
          <w:sz w:val="24"/>
          <w:szCs w:val="24"/>
        </w:rPr>
        <w:t xml:space="preserve"> </w:t>
      </w:r>
      <w:r w:rsidR="005F720D" w:rsidRPr="004F668A">
        <w:rPr>
          <w:rFonts w:ascii="Times New Roman" w:hAnsi="Times New Roman"/>
          <w:sz w:val="24"/>
          <w:szCs w:val="24"/>
        </w:rPr>
        <w:t>за</w:t>
      </w:r>
      <w:r w:rsidR="00717D0E" w:rsidRPr="004F668A">
        <w:rPr>
          <w:rFonts w:ascii="Times New Roman" w:hAnsi="Times New Roman"/>
          <w:sz w:val="24"/>
          <w:szCs w:val="24"/>
        </w:rPr>
        <w:t xml:space="preserve"> </w:t>
      </w:r>
      <w:r w:rsidR="005F720D" w:rsidRPr="004F668A">
        <w:rPr>
          <w:rFonts w:ascii="Times New Roman" w:hAnsi="Times New Roman"/>
          <w:sz w:val="24"/>
          <w:szCs w:val="24"/>
        </w:rPr>
        <w:t>коју</w:t>
      </w:r>
      <w:r w:rsidR="00717D0E" w:rsidRPr="004F668A">
        <w:rPr>
          <w:rFonts w:ascii="Times New Roman" w:hAnsi="Times New Roman"/>
          <w:sz w:val="24"/>
          <w:szCs w:val="24"/>
        </w:rPr>
        <w:t xml:space="preserve"> </w:t>
      </w:r>
      <w:r w:rsidR="005F720D" w:rsidRPr="004F668A">
        <w:rPr>
          <w:rFonts w:ascii="Times New Roman" w:hAnsi="Times New Roman"/>
          <w:sz w:val="24"/>
          <w:szCs w:val="24"/>
        </w:rPr>
        <w:t>се</w:t>
      </w:r>
      <w:r w:rsidR="00717D0E" w:rsidRPr="004F668A">
        <w:rPr>
          <w:rFonts w:ascii="Times New Roman" w:hAnsi="Times New Roman"/>
          <w:sz w:val="24"/>
          <w:szCs w:val="24"/>
        </w:rPr>
        <w:t xml:space="preserve"> </w:t>
      </w:r>
      <w:r w:rsidR="005F720D" w:rsidRPr="004F668A">
        <w:rPr>
          <w:rFonts w:ascii="Times New Roman" w:hAnsi="Times New Roman"/>
          <w:sz w:val="24"/>
          <w:szCs w:val="24"/>
        </w:rPr>
        <w:t>врши</w:t>
      </w:r>
      <w:r w:rsidR="00717D0E" w:rsidRPr="004F668A">
        <w:rPr>
          <w:rFonts w:ascii="Times New Roman" w:hAnsi="Times New Roman"/>
          <w:sz w:val="24"/>
          <w:szCs w:val="24"/>
        </w:rPr>
        <w:t xml:space="preserve"> </w:t>
      </w:r>
      <w:r w:rsidR="005F720D" w:rsidRPr="004F668A">
        <w:rPr>
          <w:rFonts w:ascii="Times New Roman" w:hAnsi="Times New Roman"/>
          <w:sz w:val="24"/>
          <w:szCs w:val="24"/>
        </w:rPr>
        <w:t>утврђивање</w:t>
      </w:r>
      <w:r w:rsidR="00717D0E" w:rsidRPr="004F668A">
        <w:rPr>
          <w:rFonts w:ascii="Times New Roman" w:hAnsi="Times New Roman"/>
          <w:sz w:val="24"/>
          <w:szCs w:val="24"/>
        </w:rPr>
        <w:t xml:space="preserve"> </w:t>
      </w:r>
      <w:r w:rsidR="005F720D" w:rsidRPr="004F668A">
        <w:rPr>
          <w:rFonts w:ascii="Times New Roman" w:hAnsi="Times New Roman"/>
          <w:sz w:val="24"/>
          <w:szCs w:val="24"/>
        </w:rPr>
        <w:t>пореза</w:t>
      </w:r>
      <w:r w:rsidR="00717D0E" w:rsidRPr="004F668A">
        <w:rPr>
          <w:rFonts w:ascii="Times New Roman" w:hAnsi="Times New Roman"/>
          <w:sz w:val="24"/>
          <w:szCs w:val="24"/>
        </w:rPr>
        <w:t xml:space="preserve"> </w:t>
      </w:r>
      <w:r w:rsidR="005F720D" w:rsidRPr="004F668A">
        <w:rPr>
          <w:rFonts w:ascii="Times New Roman" w:hAnsi="Times New Roman"/>
          <w:sz w:val="24"/>
          <w:szCs w:val="24"/>
        </w:rPr>
        <w:t>поднесе</w:t>
      </w:r>
      <w:r w:rsidR="00717D0E" w:rsidRPr="004F668A">
        <w:rPr>
          <w:rFonts w:ascii="Times New Roman" w:hAnsi="Times New Roman"/>
          <w:sz w:val="24"/>
          <w:szCs w:val="24"/>
        </w:rPr>
        <w:t xml:space="preserve"> </w:t>
      </w:r>
      <w:r w:rsidR="005F720D" w:rsidRPr="004F668A">
        <w:rPr>
          <w:rFonts w:ascii="Times New Roman" w:hAnsi="Times New Roman"/>
          <w:sz w:val="24"/>
          <w:szCs w:val="24"/>
        </w:rPr>
        <w:t>пореску</w:t>
      </w:r>
      <w:r w:rsidR="00717D0E" w:rsidRPr="004F668A">
        <w:rPr>
          <w:rFonts w:ascii="Times New Roman" w:hAnsi="Times New Roman"/>
          <w:sz w:val="24"/>
          <w:szCs w:val="24"/>
        </w:rPr>
        <w:t xml:space="preserve"> </w:t>
      </w:r>
      <w:r w:rsidR="005F720D" w:rsidRPr="004F668A">
        <w:rPr>
          <w:rFonts w:ascii="Times New Roman" w:hAnsi="Times New Roman"/>
          <w:sz w:val="24"/>
          <w:szCs w:val="24"/>
        </w:rPr>
        <w:t>пријаву</w:t>
      </w:r>
      <w:r w:rsidR="00717D0E" w:rsidRPr="004F668A">
        <w:rPr>
          <w:rFonts w:ascii="Times New Roman" w:hAnsi="Times New Roman"/>
          <w:sz w:val="24"/>
          <w:szCs w:val="24"/>
        </w:rPr>
        <w:t xml:space="preserve"> </w:t>
      </w:r>
      <w:r w:rsidR="005F720D" w:rsidRPr="004F668A">
        <w:rPr>
          <w:rFonts w:ascii="Times New Roman" w:hAnsi="Times New Roman"/>
          <w:sz w:val="24"/>
          <w:szCs w:val="24"/>
        </w:rPr>
        <w:t>са</w:t>
      </w:r>
      <w:r w:rsidR="00717D0E" w:rsidRPr="004F668A">
        <w:rPr>
          <w:rFonts w:ascii="Times New Roman" w:hAnsi="Times New Roman"/>
          <w:sz w:val="24"/>
          <w:szCs w:val="24"/>
        </w:rPr>
        <w:t xml:space="preserve"> </w:t>
      </w:r>
      <w:r w:rsidR="005F720D" w:rsidRPr="004F668A">
        <w:rPr>
          <w:rFonts w:ascii="Times New Roman" w:hAnsi="Times New Roman"/>
          <w:sz w:val="24"/>
          <w:szCs w:val="24"/>
        </w:rPr>
        <w:t>тачним</w:t>
      </w:r>
      <w:r w:rsidR="00717D0E" w:rsidRPr="004F668A">
        <w:rPr>
          <w:rFonts w:ascii="Times New Roman" w:hAnsi="Times New Roman"/>
          <w:sz w:val="24"/>
          <w:szCs w:val="24"/>
        </w:rPr>
        <w:t xml:space="preserve"> </w:t>
      </w:r>
      <w:r w:rsidR="005F720D" w:rsidRPr="004F668A">
        <w:rPr>
          <w:rFonts w:ascii="Times New Roman" w:hAnsi="Times New Roman"/>
          <w:sz w:val="24"/>
          <w:szCs w:val="24"/>
        </w:rPr>
        <w:t>подацима</w:t>
      </w:r>
      <w:r w:rsidR="00717D0E" w:rsidRPr="004F668A">
        <w:rPr>
          <w:rFonts w:ascii="Times New Roman" w:hAnsi="Times New Roman"/>
          <w:sz w:val="24"/>
          <w:szCs w:val="24"/>
        </w:rPr>
        <w:t xml:space="preserve"> </w:t>
      </w:r>
      <w:r w:rsidR="005F720D" w:rsidRPr="004F668A">
        <w:rPr>
          <w:rFonts w:ascii="Times New Roman" w:hAnsi="Times New Roman"/>
          <w:sz w:val="24"/>
          <w:szCs w:val="24"/>
        </w:rPr>
        <w:t>надлежном</w:t>
      </w:r>
      <w:r w:rsidR="00717D0E" w:rsidRPr="004F668A">
        <w:rPr>
          <w:rFonts w:ascii="Times New Roman" w:hAnsi="Times New Roman"/>
          <w:sz w:val="24"/>
          <w:szCs w:val="24"/>
        </w:rPr>
        <w:t xml:space="preserve"> </w:t>
      </w:r>
      <w:r w:rsidR="005F720D" w:rsidRPr="004F668A">
        <w:rPr>
          <w:rFonts w:ascii="Times New Roman" w:hAnsi="Times New Roman"/>
          <w:sz w:val="24"/>
          <w:szCs w:val="24"/>
        </w:rPr>
        <w:t>пореском</w:t>
      </w:r>
      <w:r w:rsidR="00717D0E" w:rsidRPr="004F668A">
        <w:rPr>
          <w:rFonts w:ascii="Times New Roman" w:hAnsi="Times New Roman"/>
          <w:sz w:val="24"/>
          <w:szCs w:val="24"/>
        </w:rPr>
        <w:t xml:space="preserve"> </w:t>
      </w:r>
      <w:r w:rsidR="005F720D" w:rsidRPr="004F668A">
        <w:rPr>
          <w:rFonts w:ascii="Times New Roman" w:hAnsi="Times New Roman"/>
          <w:sz w:val="24"/>
          <w:szCs w:val="24"/>
        </w:rPr>
        <w:t>органу</w:t>
      </w:r>
      <w:r w:rsidR="00717D0E" w:rsidRPr="004F668A">
        <w:rPr>
          <w:rFonts w:ascii="Times New Roman" w:hAnsi="Times New Roman"/>
          <w:sz w:val="24"/>
          <w:szCs w:val="24"/>
        </w:rPr>
        <w:t xml:space="preserve"> </w:t>
      </w:r>
      <w:r w:rsidR="005F720D" w:rsidRPr="004F668A">
        <w:rPr>
          <w:rFonts w:ascii="Times New Roman" w:hAnsi="Times New Roman"/>
          <w:sz w:val="24"/>
          <w:szCs w:val="24"/>
        </w:rPr>
        <w:t>по</w:t>
      </w:r>
      <w:r w:rsidR="00717D0E" w:rsidRPr="004F668A">
        <w:rPr>
          <w:rFonts w:ascii="Times New Roman" w:hAnsi="Times New Roman"/>
          <w:sz w:val="24"/>
          <w:szCs w:val="24"/>
        </w:rPr>
        <w:t xml:space="preserve"> </w:t>
      </w:r>
      <w:r w:rsidR="005F720D" w:rsidRPr="004F668A">
        <w:rPr>
          <w:rFonts w:ascii="Times New Roman" w:hAnsi="Times New Roman"/>
          <w:sz w:val="24"/>
          <w:szCs w:val="24"/>
        </w:rPr>
        <w:t>истеку</w:t>
      </w:r>
      <w:r w:rsidR="00717D0E" w:rsidRPr="004F668A">
        <w:rPr>
          <w:rFonts w:ascii="Times New Roman" w:hAnsi="Times New Roman"/>
          <w:sz w:val="24"/>
          <w:szCs w:val="24"/>
        </w:rPr>
        <w:t xml:space="preserve"> </w:t>
      </w:r>
      <w:r w:rsidR="005F720D" w:rsidRPr="004F668A">
        <w:rPr>
          <w:rFonts w:ascii="Times New Roman" w:hAnsi="Times New Roman"/>
          <w:sz w:val="24"/>
          <w:szCs w:val="24"/>
        </w:rPr>
        <w:t>те</w:t>
      </w:r>
      <w:r w:rsidR="00717D0E" w:rsidRPr="004F668A">
        <w:rPr>
          <w:rFonts w:ascii="Times New Roman" w:hAnsi="Times New Roman"/>
          <w:sz w:val="24"/>
          <w:szCs w:val="24"/>
        </w:rPr>
        <w:t xml:space="preserve"> </w:t>
      </w:r>
      <w:r w:rsidR="005F720D" w:rsidRPr="004F668A">
        <w:rPr>
          <w:rFonts w:ascii="Times New Roman" w:hAnsi="Times New Roman"/>
          <w:sz w:val="24"/>
          <w:szCs w:val="24"/>
        </w:rPr>
        <w:t>године</w:t>
      </w:r>
      <w:r w:rsidR="00717D0E" w:rsidRPr="004F668A">
        <w:rPr>
          <w:rFonts w:ascii="Times New Roman" w:hAnsi="Times New Roman"/>
          <w:sz w:val="24"/>
          <w:szCs w:val="24"/>
        </w:rPr>
        <w:t xml:space="preserve">, </w:t>
      </w:r>
      <w:r w:rsidR="005F720D" w:rsidRPr="004F668A">
        <w:rPr>
          <w:rFonts w:ascii="Times New Roman" w:hAnsi="Times New Roman"/>
          <w:sz w:val="24"/>
          <w:szCs w:val="24"/>
        </w:rPr>
        <w:t>а</w:t>
      </w:r>
      <w:r w:rsidR="00717D0E" w:rsidRPr="004F668A">
        <w:rPr>
          <w:rFonts w:ascii="Times New Roman" w:hAnsi="Times New Roman"/>
          <w:sz w:val="24"/>
          <w:szCs w:val="24"/>
        </w:rPr>
        <w:t xml:space="preserve"> </w:t>
      </w:r>
      <w:r w:rsidR="005F720D" w:rsidRPr="004F668A">
        <w:rPr>
          <w:rFonts w:ascii="Times New Roman" w:hAnsi="Times New Roman"/>
          <w:sz w:val="24"/>
          <w:szCs w:val="24"/>
        </w:rPr>
        <w:t>најкасније</w:t>
      </w:r>
      <w:r w:rsidR="00717D0E" w:rsidRPr="004F668A">
        <w:rPr>
          <w:rFonts w:ascii="Times New Roman" w:hAnsi="Times New Roman"/>
          <w:sz w:val="24"/>
          <w:szCs w:val="24"/>
        </w:rPr>
        <w:t xml:space="preserve"> </w:t>
      </w:r>
      <w:r w:rsidR="005F720D" w:rsidRPr="004F668A">
        <w:rPr>
          <w:rFonts w:ascii="Times New Roman" w:hAnsi="Times New Roman"/>
          <w:sz w:val="24"/>
          <w:szCs w:val="24"/>
        </w:rPr>
        <w:t>до</w:t>
      </w:r>
      <w:r w:rsidR="00717D0E" w:rsidRPr="004F668A">
        <w:rPr>
          <w:rFonts w:ascii="Times New Roman" w:hAnsi="Times New Roman"/>
          <w:sz w:val="24"/>
          <w:szCs w:val="24"/>
        </w:rPr>
        <w:t xml:space="preserve"> 15. </w:t>
      </w:r>
      <w:r w:rsidR="005F720D" w:rsidRPr="004F668A">
        <w:rPr>
          <w:rFonts w:ascii="Times New Roman" w:hAnsi="Times New Roman"/>
          <w:sz w:val="24"/>
          <w:szCs w:val="24"/>
        </w:rPr>
        <w:t>маја</w:t>
      </w:r>
      <w:r w:rsidR="00717D0E" w:rsidRPr="004F668A">
        <w:rPr>
          <w:rFonts w:ascii="Times New Roman" w:hAnsi="Times New Roman"/>
          <w:sz w:val="24"/>
          <w:szCs w:val="24"/>
        </w:rPr>
        <w:t xml:space="preserve"> </w:t>
      </w:r>
      <w:r w:rsidR="005F720D" w:rsidRPr="004F668A">
        <w:rPr>
          <w:rFonts w:ascii="Times New Roman" w:hAnsi="Times New Roman"/>
          <w:sz w:val="24"/>
          <w:szCs w:val="24"/>
        </w:rPr>
        <w:t>наредне</w:t>
      </w:r>
      <w:r w:rsidR="00717D0E" w:rsidRPr="004F668A">
        <w:rPr>
          <w:rFonts w:ascii="Times New Roman" w:hAnsi="Times New Roman"/>
          <w:sz w:val="24"/>
          <w:szCs w:val="24"/>
        </w:rPr>
        <w:t xml:space="preserve"> </w:t>
      </w:r>
      <w:r w:rsidR="005F720D" w:rsidRPr="004F668A">
        <w:rPr>
          <w:rFonts w:ascii="Times New Roman" w:hAnsi="Times New Roman"/>
          <w:sz w:val="24"/>
          <w:szCs w:val="24"/>
        </w:rPr>
        <w:t>године</w:t>
      </w:r>
      <w:r w:rsidR="00717D0E" w:rsidRPr="004F668A">
        <w:rPr>
          <w:rFonts w:ascii="Times New Roman" w:hAnsi="Times New Roman"/>
          <w:sz w:val="24"/>
          <w:szCs w:val="24"/>
        </w:rPr>
        <w:t>.</w:t>
      </w:r>
      <w:r w:rsidR="00717D0E" w:rsidRPr="004F668A">
        <w:rPr>
          <w:rFonts w:ascii="Times New Roman" w:hAnsi="Times New Roman"/>
          <w:sz w:val="24"/>
          <w:szCs w:val="24"/>
          <w:lang w:val="sr-Cyrl-CS"/>
        </w:rPr>
        <w:t xml:space="preserve"> </w:t>
      </w:r>
      <w:r w:rsidR="005F720D" w:rsidRPr="004F668A">
        <w:rPr>
          <w:rFonts w:ascii="Times New Roman" w:hAnsi="Times New Roman"/>
          <w:sz w:val="24"/>
          <w:szCs w:val="24"/>
        </w:rPr>
        <w:t>Сходно</w:t>
      </w:r>
      <w:r w:rsidR="00717D0E" w:rsidRPr="004F668A">
        <w:rPr>
          <w:rFonts w:ascii="Times New Roman" w:hAnsi="Times New Roman"/>
          <w:sz w:val="24"/>
          <w:szCs w:val="24"/>
        </w:rPr>
        <w:t xml:space="preserve"> </w:t>
      </w:r>
      <w:r w:rsidR="005F720D" w:rsidRPr="004F668A">
        <w:rPr>
          <w:rFonts w:ascii="Times New Roman" w:hAnsi="Times New Roman"/>
          <w:sz w:val="24"/>
          <w:szCs w:val="24"/>
        </w:rPr>
        <w:t>томе</w:t>
      </w:r>
      <w:r w:rsidR="00717D0E" w:rsidRPr="004F668A">
        <w:rPr>
          <w:rFonts w:ascii="Times New Roman" w:hAnsi="Times New Roman"/>
          <w:sz w:val="24"/>
          <w:szCs w:val="24"/>
        </w:rPr>
        <w:t>,  </w:t>
      </w:r>
      <w:r w:rsidR="005F720D" w:rsidRPr="004F668A">
        <w:rPr>
          <w:rFonts w:ascii="Times New Roman" w:hAnsi="Times New Roman"/>
          <w:sz w:val="24"/>
          <w:szCs w:val="24"/>
        </w:rPr>
        <w:t>физичко</w:t>
      </w:r>
      <w:r w:rsidR="00717D0E" w:rsidRPr="004F668A">
        <w:rPr>
          <w:rFonts w:ascii="Times New Roman" w:hAnsi="Times New Roman"/>
          <w:sz w:val="24"/>
          <w:szCs w:val="24"/>
        </w:rPr>
        <w:t xml:space="preserve"> </w:t>
      </w:r>
      <w:r w:rsidR="005F720D" w:rsidRPr="004F668A">
        <w:rPr>
          <w:rFonts w:ascii="Times New Roman" w:hAnsi="Times New Roman"/>
          <w:sz w:val="24"/>
          <w:szCs w:val="24"/>
        </w:rPr>
        <w:t>лице</w:t>
      </w:r>
      <w:r w:rsidR="00717D0E" w:rsidRPr="004F668A">
        <w:rPr>
          <w:rFonts w:ascii="Times New Roman" w:hAnsi="Times New Roman"/>
          <w:sz w:val="24"/>
          <w:szCs w:val="24"/>
        </w:rPr>
        <w:t> </w:t>
      </w:r>
      <w:r w:rsidR="00717D0E" w:rsidRPr="004F668A">
        <w:rPr>
          <w:rFonts w:ascii="Times New Roman" w:hAnsi="Times New Roman"/>
          <w:sz w:val="24"/>
          <w:szCs w:val="24"/>
          <w:lang w:val="sr-Cyrl-CS"/>
        </w:rPr>
        <w:t xml:space="preserve">може </w:t>
      </w:r>
      <w:r w:rsidR="005F720D" w:rsidRPr="004F668A">
        <w:rPr>
          <w:rFonts w:ascii="Times New Roman" w:hAnsi="Times New Roman"/>
          <w:sz w:val="24"/>
          <w:szCs w:val="24"/>
        </w:rPr>
        <w:t>до</w:t>
      </w:r>
      <w:r w:rsidR="00717D0E" w:rsidRPr="004F668A">
        <w:rPr>
          <w:rFonts w:ascii="Times New Roman" w:hAnsi="Times New Roman"/>
          <w:sz w:val="24"/>
          <w:szCs w:val="24"/>
        </w:rPr>
        <w:t xml:space="preserve"> </w:t>
      </w:r>
      <w:r w:rsidR="005F720D" w:rsidRPr="004F668A">
        <w:rPr>
          <w:rFonts w:ascii="Times New Roman" w:hAnsi="Times New Roman"/>
          <w:sz w:val="24"/>
          <w:szCs w:val="24"/>
        </w:rPr>
        <w:t>наведеног</w:t>
      </w:r>
      <w:r w:rsidR="00717D0E" w:rsidRPr="004F668A">
        <w:rPr>
          <w:rFonts w:ascii="Times New Roman" w:hAnsi="Times New Roman"/>
          <w:sz w:val="24"/>
          <w:szCs w:val="24"/>
        </w:rPr>
        <w:t xml:space="preserve"> </w:t>
      </w:r>
      <w:r w:rsidR="005F720D" w:rsidRPr="004F668A">
        <w:rPr>
          <w:rFonts w:ascii="Times New Roman" w:hAnsi="Times New Roman"/>
          <w:sz w:val="24"/>
          <w:szCs w:val="24"/>
        </w:rPr>
        <w:t>ро</w:t>
      </w:r>
      <w:r w:rsidR="00717D0E" w:rsidRPr="004F668A">
        <w:rPr>
          <w:rFonts w:ascii="Times New Roman" w:hAnsi="Times New Roman"/>
          <w:sz w:val="24"/>
          <w:szCs w:val="24"/>
          <w:lang w:val="sr-Cyrl-CS"/>
        </w:rPr>
        <w:t>к</w:t>
      </w:r>
      <w:r w:rsidR="005F720D" w:rsidRPr="004F668A">
        <w:rPr>
          <w:rFonts w:ascii="Times New Roman" w:hAnsi="Times New Roman"/>
          <w:sz w:val="24"/>
          <w:szCs w:val="24"/>
        </w:rPr>
        <w:t>а</w:t>
      </w:r>
      <w:r w:rsidR="00717D0E" w:rsidRPr="004F668A">
        <w:rPr>
          <w:rFonts w:ascii="Times New Roman" w:hAnsi="Times New Roman"/>
          <w:sz w:val="24"/>
          <w:szCs w:val="24"/>
          <w:lang w:val="sr-Cyrl-CS"/>
        </w:rPr>
        <w:t xml:space="preserve"> да не поднесе прописано састављену пореску пријаву у циљу избегавања плаћања пореза. </w:t>
      </w:r>
    </w:p>
    <w:p w:rsidR="00C75021" w:rsidRPr="00C75021" w:rsidRDefault="00C75021" w:rsidP="00C75021">
      <w:pPr>
        <w:ind w:firstLine="708"/>
        <w:jc w:val="both"/>
        <w:rPr>
          <w:rFonts w:ascii="Times New Roman" w:hAnsi="Times New Roman"/>
          <w:sz w:val="24"/>
          <w:szCs w:val="24"/>
          <w:lang w:val="sr-Cyrl-CS"/>
        </w:rPr>
      </w:pPr>
      <w:r>
        <w:rPr>
          <w:rFonts w:ascii="Times New Roman" w:hAnsi="Times New Roman"/>
          <w:sz w:val="24"/>
          <w:szCs w:val="24"/>
          <w:lang w:val="sr-Cyrl-CS"/>
        </w:rPr>
        <w:t>Тако је физичко лице К.Б. из Кикинде са свог текућег рачуна подигао 117.042.607,76 динара, уплаћених од стране предузећа „Д.Т“ из Београда и није поднео прописану пореску пријаву за утврђивање годишњег пореза на доходак грађана, чиме је избегао плаћање овог пореза у износу од 17.255.448,56 динара.</w:t>
      </w:r>
      <w:r w:rsidR="004F668A">
        <w:rPr>
          <w:rFonts w:ascii="Times New Roman" w:hAnsi="Times New Roman"/>
          <w:sz w:val="24"/>
          <w:szCs w:val="24"/>
          <w:lang w:val="sr-Cyrl-CS"/>
        </w:rPr>
        <w:t xml:space="preserve"> </w:t>
      </w:r>
      <w:r>
        <w:rPr>
          <w:rStyle w:val="FootnoteReference"/>
          <w:rFonts w:ascii="Times New Roman" w:hAnsi="Times New Roman"/>
          <w:sz w:val="24"/>
          <w:szCs w:val="24"/>
          <w:lang w:val="sr-Cyrl-CS"/>
        </w:rPr>
        <w:footnoteReference w:id="480"/>
      </w:r>
    </w:p>
    <w:p w:rsidR="00717D0E" w:rsidRPr="005F720D" w:rsidRDefault="00BD6062" w:rsidP="005F720D">
      <w:pPr>
        <w:ind w:firstLine="708"/>
        <w:jc w:val="both"/>
        <w:rPr>
          <w:rFonts w:ascii="Times New Roman" w:hAnsi="Times New Roman"/>
          <w:sz w:val="24"/>
          <w:szCs w:val="24"/>
          <w:lang w:val="sr-Cyrl-CS"/>
        </w:rPr>
      </w:pPr>
      <w:r w:rsidRPr="005F720D">
        <w:rPr>
          <w:rFonts w:ascii="Times New Roman" w:hAnsi="Times New Roman"/>
          <w:sz w:val="24"/>
          <w:szCs w:val="24"/>
          <w:lang w:val="sr-Cyrl-CS"/>
        </w:rPr>
        <w:t>Најмање могућности пореске евазије су код опорезивања по одбитку сваког појединачног прихода, у односу на опорезивање по основу решења и самоопорезивања, о чему говоре и статистички подаци, о којима ће бити речи у каснијем излагању.</w:t>
      </w:r>
    </w:p>
    <w:p w:rsidR="00BD6062" w:rsidRPr="00014DFE" w:rsidRDefault="00BD6062" w:rsidP="005F720D">
      <w:pPr>
        <w:pStyle w:val="normal0"/>
        <w:shd w:val="clear" w:color="auto" w:fill="FFFFFF"/>
        <w:spacing w:before="48" w:beforeAutospacing="0" w:after="48" w:afterAutospacing="0"/>
        <w:jc w:val="both"/>
        <w:rPr>
          <w:color w:val="000000"/>
        </w:rPr>
      </w:pPr>
      <w:r w:rsidRPr="005F720D">
        <w:rPr>
          <w:lang w:val="sr-Cyrl-CS"/>
        </w:rPr>
        <w:lastRenderedPageBreak/>
        <w:tab/>
        <w:t xml:space="preserve">Наиме, према чл. 4. ЗПДГ </w:t>
      </w:r>
      <w:r w:rsidRPr="005F720D">
        <w:rPr>
          <w:color w:val="000000"/>
          <w:lang w:val="sr-Cyrl-CS"/>
        </w:rPr>
        <w:t>н</w:t>
      </w:r>
      <w:r w:rsidR="005F720D" w:rsidRPr="005F720D">
        <w:rPr>
          <w:color w:val="000000"/>
        </w:rPr>
        <w:t>а</w:t>
      </w:r>
      <w:r w:rsidRPr="005F720D">
        <w:rPr>
          <w:color w:val="000000"/>
        </w:rPr>
        <w:t xml:space="preserve"> </w:t>
      </w:r>
      <w:r w:rsidR="005F720D" w:rsidRPr="005F720D">
        <w:rPr>
          <w:color w:val="000000"/>
        </w:rPr>
        <w:t>поједине</w:t>
      </w:r>
      <w:r w:rsidRPr="005F720D">
        <w:rPr>
          <w:color w:val="000000"/>
        </w:rPr>
        <w:t xml:space="preserve"> </w:t>
      </w:r>
      <w:r w:rsidR="005F720D" w:rsidRPr="005F720D">
        <w:rPr>
          <w:color w:val="000000"/>
        </w:rPr>
        <w:t>врсте</w:t>
      </w:r>
      <w:r w:rsidRPr="005F720D">
        <w:rPr>
          <w:color w:val="000000"/>
        </w:rPr>
        <w:t xml:space="preserve"> </w:t>
      </w:r>
      <w:r w:rsidR="005F720D" w:rsidRPr="005F720D">
        <w:rPr>
          <w:color w:val="000000"/>
        </w:rPr>
        <w:t>прихода</w:t>
      </w:r>
      <w:r w:rsidRPr="005F720D">
        <w:rPr>
          <w:color w:val="000000"/>
        </w:rPr>
        <w:t xml:space="preserve"> </w:t>
      </w:r>
      <w:r w:rsidR="005F720D" w:rsidRPr="005F720D">
        <w:rPr>
          <w:color w:val="000000"/>
        </w:rPr>
        <w:t>порез</w:t>
      </w:r>
      <w:r w:rsidRPr="005F720D">
        <w:rPr>
          <w:color w:val="000000"/>
        </w:rPr>
        <w:t xml:space="preserve"> </w:t>
      </w:r>
      <w:r w:rsidR="005F720D" w:rsidRPr="005F720D">
        <w:rPr>
          <w:color w:val="000000"/>
        </w:rPr>
        <w:t>на</w:t>
      </w:r>
      <w:r w:rsidRPr="005F720D">
        <w:rPr>
          <w:color w:val="000000"/>
        </w:rPr>
        <w:t xml:space="preserve"> </w:t>
      </w:r>
      <w:r w:rsidR="005F720D" w:rsidRPr="005F720D">
        <w:rPr>
          <w:color w:val="000000"/>
        </w:rPr>
        <w:t>доходак</w:t>
      </w:r>
      <w:r w:rsidRPr="005F720D">
        <w:rPr>
          <w:color w:val="000000"/>
        </w:rPr>
        <w:t xml:space="preserve"> </w:t>
      </w:r>
      <w:r w:rsidR="005F720D" w:rsidRPr="005F720D">
        <w:rPr>
          <w:color w:val="000000"/>
        </w:rPr>
        <w:t>грађана</w:t>
      </w:r>
      <w:r w:rsidRPr="005F720D">
        <w:rPr>
          <w:color w:val="000000"/>
        </w:rPr>
        <w:t xml:space="preserve"> </w:t>
      </w:r>
      <w:r w:rsidR="005F720D" w:rsidRPr="005F720D">
        <w:rPr>
          <w:color w:val="000000"/>
        </w:rPr>
        <w:t>плаћа</w:t>
      </w:r>
      <w:r w:rsidRPr="005F720D">
        <w:rPr>
          <w:color w:val="000000"/>
        </w:rPr>
        <w:t xml:space="preserve"> </w:t>
      </w:r>
      <w:r w:rsidR="005F720D" w:rsidRPr="005F720D">
        <w:rPr>
          <w:color w:val="000000"/>
        </w:rPr>
        <w:t>се</w:t>
      </w:r>
      <w:r w:rsidRPr="005F720D">
        <w:rPr>
          <w:color w:val="000000"/>
        </w:rPr>
        <w:t>:</w:t>
      </w:r>
    </w:p>
    <w:p w:rsidR="00BD6062" w:rsidRPr="005F720D" w:rsidRDefault="00BD6062" w:rsidP="005F720D">
      <w:pPr>
        <w:pStyle w:val="normal0"/>
        <w:shd w:val="clear" w:color="auto" w:fill="FFFFFF"/>
        <w:spacing w:before="48" w:beforeAutospacing="0" w:after="48" w:afterAutospacing="0"/>
        <w:jc w:val="both"/>
        <w:rPr>
          <w:color w:val="000000"/>
        </w:rPr>
      </w:pPr>
      <w:r w:rsidRPr="005F720D">
        <w:rPr>
          <w:color w:val="000000"/>
        </w:rPr>
        <w:t xml:space="preserve">1) </w:t>
      </w:r>
      <w:r w:rsidR="005F720D" w:rsidRPr="005F720D">
        <w:rPr>
          <w:color w:val="000000"/>
        </w:rPr>
        <w:t>по</w:t>
      </w:r>
      <w:r w:rsidRPr="005F720D">
        <w:rPr>
          <w:color w:val="000000"/>
        </w:rPr>
        <w:t xml:space="preserve"> </w:t>
      </w:r>
      <w:r w:rsidR="005F720D" w:rsidRPr="005F720D">
        <w:rPr>
          <w:color w:val="000000"/>
        </w:rPr>
        <w:t>одбитку</w:t>
      </w:r>
      <w:r w:rsidRPr="005F720D">
        <w:rPr>
          <w:color w:val="000000"/>
        </w:rPr>
        <w:t xml:space="preserve"> </w:t>
      </w:r>
      <w:r w:rsidR="005F720D" w:rsidRPr="005F720D">
        <w:rPr>
          <w:color w:val="000000"/>
        </w:rPr>
        <w:t>од</w:t>
      </w:r>
      <w:r w:rsidRPr="005F720D">
        <w:rPr>
          <w:color w:val="000000"/>
        </w:rPr>
        <w:t xml:space="preserve"> </w:t>
      </w:r>
      <w:r w:rsidR="005F720D" w:rsidRPr="005F720D">
        <w:rPr>
          <w:color w:val="000000"/>
        </w:rPr>
        <w:t>сваког</w:t>
      </w:r>
      <w:r w:rsidRPr="005F720D">
        <w:rPr>
          <w:color w:val="000000"/>
        </w:rPr>
        <w:t xml:space="preserve"> </w:t>
      </w:r>
      <w:r w:rsidR="005F720D" w:rsidRPr="005F720D">
        <w:rPr>
          <w:color w:val="000000"/>
        </w:rPr>
        <w:t>појединачног</w:t>
      </w:r>
      <w:r w:rsidRPr="005F720D">
        <w:rPr>
          <w:color w:val="000000"/>
        </w:rPr>
        <w:t xml:space="preserve"> </w:t>
      </w:r>
      <w:r w:rsidR="005F720D" w:rsidRPr="005F720D">
        <w:rPr>
          <w:color w:val="000000"/>
        </w:rPr>
        <w:t>прихода</w:t>
      </w:r>
      <w:r w:rsidRPr="005F720D">
        <w:rPr>
          <w:color w:val="000000"/>
        </w:rPr>
        <w:t>;</w:t>
      </w:r>
    </w:p>
    <w:p w:rsidR="00BD6062" w:rsidRPr="005F720D" w:rsidRDefault="00BD6062" w:rsidP="005F720D">
      <w:pPr>
        <w:pStyle w:val="normal0"/>
        <w:shd w:val="clear" w:color="auto" w:fill="FFFFFF"/>
        <w:spacing w:before="48" w:beforeAutospacing="0" w:after="48" w:afterAutospacing="0"/>
        <w:jc w:val="both"/>
        <w:rPr>
          <w:color w:val="000000"/>
        </w:rPr>
      </w:pPr>
      <w:r w:rsidRPr="005F720D">
        <w:rPr>
          <w:color w:val="000000"/>
        </w:rPr>
        <w:t xml:space="preserve">2) </w:t>
      </w:r>
      <w:r w:rsidR="005F720D" w:rsidRPr="005F720D">
        <w:rPr>
          <w:color w:val="000000"/>
        </w:rPr>
        <w:t>на</w:t>
      </w:r>
      <w:r w:rsidRPr="005F720D">
        <w:rPr>
          <w:color w:val="000000"/>
        </w:rPr>
        <w:t xml:space="preserve"> </w:t>
      </w:r>
      <w:r w:rsidR="005F720D" w:rsidRPr="005F720D">
        <w:rPr>
          <w:color w:val="000000"/>
        </w:rPr>
        <w:t>основу</w:t>
      </w:r>
      <w:r w:rsidRPr="005F720D">
        <w:rPr>
          <w:color w:val="000000"/>
        </w:rPr>
        <w:t xml:space="preserve"> </w:t>
      </w:r>
      <w:r w:rsidR="005F720D" w:rsidRPr="005F720D">
        <w:rPr>
          <w:color w:val="000000"/>
        </w:rPr>
        <w:t>решења</w:t>
      </w:r>
      <w:r w:rsidRPr="005F720D">
        <w:rPr>
          <w:color w:val="000000"/>
        </w:rPr>
        <w:t xml:space="preserve"> </w:t>
      </w:r>
      <w:r w:rsidR="005F720D" w:rsidRPr="005F720D">
        <w:rPr>
          <w:color w:val="000000"/>
        </w:rPr>
        <w:t>надлежног</w:t>
      </w:r>
      <w:r w:rsidRPr="005F720D">
        <w:rPr>
          <w:color w:val="000000"/>
        </w:rPr>
        <w:t xml:space="preserve"> </w:t>
      </w:r>
      <w:r w:rsidR="005F720D" w:rsidRPr="005F720D">
        <w:rPr>
          <w:color w:val="000000"/>
        </w:rPr>
        <w:t>пореског</w:t>
      </w:r>
      <w:r w:rsidRPr="005F720D">
        <w:rPr>
          <w:color w:val="000000"/>
        </w:rPr>
        <w:t xml:space="preserve"> </w:t>
      </w:r>
      <w:r w:rsidR="005F720D" w:rsidRPr="005F720D">
        <w:rPr>
          <w:color w:val="000000"/>
        </w:rPr>
        <w:t>органа</w:t>
      </w:r>
      <w:r w:rsidRPr="005F720D">
        <w:rPr>
          <w:color w:val="000000"/>
        </w:rPr>
        <w:t>;</w:t>
      </w:r>
    </w:p>
    <w:p w:rsidR="00717D0E" w:rsidRPr="005F720D" w:rsidRDefault="00BD6062" w:rsidP="005F720D">
      <w:pPr>
        <w:pStyle w:val="normal0"/>
        <w:shd w:val="clear" w:color="auto" w:fill="FFFFFF"/>
        <w:spacing w:before="48" w:beforeAutospacing="0" w:after="48" w:afterAutospacing="0"/>
        <w:jc w:val="both"/>
        <w:rPr>
          <w:color w:val="000000"/>
          <w:lang w:val="sr-Cyrl-CS"/>
        </w:rPr>
      </w:pPr>
      <w:r w:rsidRPr="005F720D">
        <w:rPr>
          <w:color w:val="000000"/>
        </w:rPr>
        <w:t xml:space="preserve">3) </w:t>
      </w:r>
      <w:r w:rsidR="005F720D" w:rsidRPr="005F720D">
        <w:rPr>
          <w:color w:val="000000"/>
        </w:rPr>
        <w:t>самоопорезивањем</w:t>
      </w:r>
      <w:r w:rsidRPr="005F720D">
        <w:rPr>
          <w:color w:val="000000"/>
        </w:rPr>
        <w:t>.</w:t>
      </w:r>
    </w:p>
    <w:p w:rsidR="00BD6062" w:rsidRPr="005F720D" w:rsidRDefault="00BD6062" w:rsidP="005F720D">
      <w:pPr>
        <w:pStyle w:val="normal0"/>
        <w:shd w:val="clear" w:color="auto" w:fill="FFFFFF"/>
        <w:spacing w:before="48" w:beforeAutospacing="0" w:after="48" w:afterAutospacing="0"/>
        <w:jc w:val="both"/>
        <w:rPr>
          <w:color w:val="000000"/>
          <w:lang w:val="sr-Cyrl-CS"/>
        </w:rPr>
      </w:pPr>
    </w:p>
    <w:p w:rsidR="00BD6062" w:rsidRPr="00014DFE" w:rsidRDefault="00BD6062" w:rsidP="005F720D">
      <w:pPr>
        <w:pStyle w:val="normal0"/>
        <w:shd w:val="clear" w:color="auto" w:fill="FFFFFF"/>
        <w:spacing w:before="48" w:beforeAutospacing="0" w:after="48" w:afterAutospacing="0"/>
        <w:jc w:val="both"/>
        <w:rPr>
          <w:color w:val="000000"/>
        </w:rPr>
      </w:pPr>
      <w:r w:rsidRPr="005F720D">
        <w:rPr>
          <w:lang w:val="sr-Cyrl-CS"/>
        </w:rPr>
        <w:tab/>
      </w:r>
      <w:r w:rsidR="005F720D" w:rsidRPr="005F720D">
        <w:rPr>
          <w:color w:val="000000"/>
        </w:rPr>
        <w:t>По</w:t>
      </w:r>
      <w:r w:rsidRPr="005F720D">
        <w:rPr>
          <w:color w:val="000000"/>
        </w:rPr>
        <w:t xml:space="preserve"> </w:t>
      </w:r>
      <w:r w:rsidR="005F720D" w:rsidRPr="005F720D">
        <w:rPr>
          <w:color w:val="000000"/>
        </w:rPr>
        <w:t>одбитку</w:t>
      </w:r>
      <w:r w:rsidRPr="005F720D">
        <w:rPr>
          <w:color w:val="000000"/>
        </w:rPr>
        <w:t xml:space="preserve"> </w:t>
      </w:r>
      <w:r w:rsidR="005F720D" w:rsidRPr="005F720D">
        <w:rPr>
          <w:color w:val="000000"/>
        </w:rPr>
        <w:t>од</w:t>
      </w:r>
      <w:r w:rsidRPr="005F720D">
        <w:rPr>
          <w:color w:val="000000"/>
        </w:rPr>
        <w:t xml:space="preserve"> </w:t>
      </w:r>
      <w:r w:rsidR="005F720D" w:rsidRPr="005F720D">
        <w:rPr>
          <w:color w:val="000000"/>
        </w:rPr>
        <w:t>сваког</w:t>
      </w:r>
      <w:r w:rsidRPr="005F720D">
        <w:rPr>
          <w:color w:val="000000"/>
        </w:rPr>
        <w:t xml:space="preserve"> </w:t>
      </w:r>
      <w:r w:rsidR="005F720D" w:rsidRPr="005F720D">
        <w:rPr>
          <w:color w:val="000000"/>
        </w:rPr>
        <w:t>појединачно</w:t>
      </w:r>
      <w:r w:rsidRPr="005F720D">
        <w:rPr>
          <w:color w:val="000000"/>
        </w:rPr>
        <w:t xml:space="preserve"> </w:t>
      </w:r>
      <w:r w:rsidR="005F720D" w:rsidRPr="005F720D">
        <w:rPr>
          <w:color w:val="000000"/>
        </w:rPr>
        <w:t>оствареног</w:t>
      </w:r>
      <w:r w:rsidRPr="005F720D">
        <w:rPr>
          <w:color w:val="000000"/>
        </w:rPr>
        <w:t xml:space="preserve"> </w:t>
      </w:r>
      <w:r w:rsidR="005F720D" w:rsidRPr="005F720D">
        <w:rPr>
          <w:color w:val="000000"/>
        </w:rPr>
        <w:t>прихода</w:t>
      </w:r>
      <w:r w:rsidRPr="005F720D">
        <w:rPr>
          <w:color w:val="000000"/>
        </w:rPr>
        <w:t xml:space="preserve"> </w:t>
      </w:r>
      <w:r w:rsidR="005F720D" w:rsidRPr="005F720D">
        <w:rPr>
          <w:color w:val="000000"/>
        </w:rPr>
        <w:t>утврђују</w:t>
      </w:r>
      <w:r w:rsidRPr="005F720D">
        <w:rPr>
          <w:color w:val="000000"/>
        </w:rPr>
        <w:t xml:space="preserve"> </w:t>
      </w:r>
      <w:r w:rsidR="005F720D" w:rsidRPr="005F720D">
        <w:rPr>
          <w:color w:val="000000"/>
        </w:rPr>
        <w:t>се</w:t>
      </w:r>
      <w:r w:rsidRPr="005F720D">
        <w:rPr>
          <w:color w:val="000000"/>
        </w:rPr>
        <w:t xml:space="preserve"> </w:t>
      </w:r>
      <w:r w:rsidR="005F720D" w:rsidRPr="005F720D">
        <w:rPr>
          <w:color w:val="000000"/>
        </w:rPr>
        <w:t>и</w:t>
      </w:r>
      <w:r w:rsidRPr="005F720D">
        <w:rPr>
          <w:color w:val="000000"/>
        </w:rPr>
        <w:t xml:space="preserve"> </w:t>
      </w:r>
      <w:r w:rsidR="005F720D" w:rsidRPr="005F720D">
        <w:rPr>
          <w:color w:val="000000"/>
        </w:rPr>
        <w:t>плаћају</w:t>
      </w:r>
      <w:r w:rsidRPr="005F720D">
        <w:rPr>
          <w:color w:val="000000"/>
        </w:rPr>
        <w:t xml:space="preserve"> </w:t>
      </w:r>
      <w:r w:rsidR="005F720D" w:rsidRPr="005F720D">
        <w:rPr>
          <w:color w:val="000000"/>
        </w:rPr>
        <w:t>порези</w:t>
      </w:r>
      <w:r w:rsidRPr="005F720D">
        <w:rPr>
          <w:color w:val="000000"/>
        </w:rPr>
        <w:t xml:space="preserve"> </w:t>
      </w:r>
      <w:r w:rsidR="005F720D" w:rsidRPr="005F720D">
        <w:rPr>
          <w:color w:val="000000"/>
        </w:rPr>
        <w:t>на</w:t>
      </w:r>
      <w:r w:rsidRPr="005F720D">
        <w:rPr>
          <w:color w:val="000000"/>
        </w:rPr>
        <w:t xml:space="preserve"> </w:t>
      </w:r>
      <w:r w:rsidR="005F720D" w:rsidRPr="005F720D">
        <w:rPr>
          <w:color w:val="000000"/>
        </w:rPr>
        <w:t>следеће</w:t>
      </w:r>
      <w:r w:rsidRPr="005F720D">
        <w:rPr>
          <w:color w:val="000000"/>
        </w:rPr>
        <w:t xml:space="preserve"> </w:t>
      </w:r>
      <w:r w:rsidR="005F720D" w:rsidRPr="005F720D">
        <w:rPr>
          <w:color w:val="000000"/>
        </w:rPr>
        <w:t>приходе</w:t>
      </w:r>
      <w:r w:rsidRPr="005F720D">
        <w:rPr>
          <w:color w:val="000000"/>
        </w:rPr>
        <w:t>:</w:t>
      </w:r>
    </w:p>
    <w:p w:rsidR="00BD6062" w:rsidRPr="005F720D" w:rsidRDefault="00BD6062" w:rsidP="005F720D">
      <w:pPr>
        <w:pStyle w:val="normal0"/>
        <w:shd w:val="clear" w:color="auto" w:fill="FFFFFF"/>
        <w:spacing w:before="48" w:beforeAutospacing="0" w:after="48" w:afterAutospacing="0"/>
        <w:jc w:val="both"/>
        <w:rPr>
          <w:color w:val="000000"/>
        </w:rPr>
      </w:pPr>
      <w:r w:rsidRPr="005F720D">
        <w:rPr>
          <w:color w:val="000000"/>
        </w:rPr>
        <w:t xml:space="preserve">1) </w:t>
      </w:r>
      <w:r w:rsidR="005F720D" w:rsidRPr="005F720D">
        <w:rPr>
          <w:color w:val="000000"/>
        </w:rPr>
        <w:t>зараде</w:t>
      </w:r>
      <w:r w:rsidRPr="005F720D">
        <w:rPr>
          <w:color w:val="000000"/>
        </w:rPr>
        <w:t>;</w:t>
      </w:r>
    </w:p>
    <w:p w:rsidR="00BD6062" w:rsidRPr="005F720D" w:rsidRDefault="00BD6062" w:rsidP="005F720D">
      <w:pPr>
        <w:pStyle w:val="normal0"/>
        <w:shd w:val="clear" w:color="auto" w:fill="FFFFFF"/>
        <w:spacing w:before="48" w:beforeAutospacing="0" w:after="48" w:afterAutospacing="0"/>
        <w:jc w:val="both"/>
        <w:rPr>
          <w:color w:val="000000"/>
        </w:rPr>
      </w:pPr>
      <w:r w:rsidRPr="005F720D">
        <w:rPr>
          <w:color w:val="000000"/>
        </w:rPr>
        <w:t xml:space="preserve">2) </w:t>
      </w:r>
      <w:r w:rsidR="005F720D" w:rsidRPr="005F720D">
        <w:rPr>
          <w:color w:val="000000"/>
        </w:rPr>
        <w:t>приходе</w:t>
      </w:r>
      <w:r w:rsidRPr="005F720D">
        <w:rPr>
          <w:color w:val="000000"/>
        </w:rPr>
        <w:t xml:space="preserve"> </w:t>
      </w:r>
      <w:r w:rsidR="005F720D" w:rsidRPr="005F720D">
        <w:rPr>
          <w:color w:val="000000"/>
        </w:rPr>
        <w:t>од</w:t>
      </w:r>
      <w:r w:rsidRPr="005F720D">
        <w:rPr>
          <w:color w:val="000000"/>
        </w:rPr>
        <w:t xml:space="preserve"> </w:t>
      </w:r>
      <w:r w:rsidR="005F720D" w:rsidRPr="005F720D">
        <w:rPr>
          <w:color w:val="000000"/>
        </w:rPr>
        <w:t>ауторских</w:t>
      </w:r>
      <w:r w:rsidRPr="005F720D">
        <w:rPr>
          <w:color w:val="000000"/>
        </w:rPr>
        <w:t xml:space="preserve"> </w:t>
      </w:r>
      <w:r w:rsidR="005F720D" w:rsidRPr="005F720D">
        <w:rPr>
          <w:color w:val="000000"/>
        </w:rPr>
        <w:t>и</w:t>
      </w:r>
      <w:r w:rsidRPr="005F720D">
        <w:rPr>
          <w:color w:val="000000"/>
        </w:rPr>
        <w:t xml:space="preserve"> </w:t>
      </w:r>
      <w:r w:rsidR="005F720D" w:rsidRPr="005F720D">
        <w:rPr>
          <w:color w:val="000000"/>
        </w:rPr>
        <w:t>сродних</w:t>
      </w:r>
      <w:r w:rsidRPr="005F720D">
        <w:rPr>
          <w:color w:val="000000"/>
        </w:rPr>
        <w:t xml:space="preserve"> </w:t>
      </w:r>
      <w:r w:rsidR="005F720D" w:rsidRPr="005F720D">
        <w:rPr>
          <w:color w:val="000000"/>
        </w:rPr>
        <w:t>права</w:t>
      </w:r>
      <w:r w:rsidRPr="005F720D">
        <w:rPr>
          <w:color w:val="000000"/>
        </w:rPr>
        <w:t xml:space="preserve"> </w:t>
      </w:r>
      <w:r w:rsidR="005F720D" w:rsidRPr="005F720D">
        <w:rPr>
          <w:color w:val="000000"/>
        </w:rPr>
        <w:t>и</w:t>
      </w:r>
      <w:r w:rsidRPr="005F720D">
        <w:rPr>
          <w:color w:val="000000"/>
        </w:rPr>
        <w:t xml:space="preserve"> </w:t>
      </w:r>
      <w:r w:rsidR="005F720D" w:rsidRPr="005F720D">
        <w:rPr>
          <w:color w:val="000000"/>
        </w:rPr>
        <w:t>права</w:t>
      </w:r>
      <w:r w:rsidRPr="005F720D">
        <w:rPr>
          <w:color w:val="000000"/>
        </w:rPr>
        <w:t xml:space="preserve"> </w:t>
      </w:r>
      <w:r w:rsidR="005F720D" w:rsidRPr="005F720D">
        <w:rPr>
          <w:color w:val="000000"/>
        </w:rPr>
        <w:t>индустријске</w:t>
      </w:r>
      <w:r w:rsidRPr="005F720D">
        <w:rPr>
          <w:color w:val="000000"/>
        </w:rPr>
        <w:t xml:space="preserve"> </w:t>
      </w:r>
      <w:r w:rsidR="005F720D" w:rsidRPr="005F720D">
        <w:rPr>
          <w:color w:val="000000"/>
        </w:rPr>
        <w:t>својине</w:t>
      </w:r>
      <w:r w:rsidRPr="005F720D">
        <w:rPr>
          <w:color w:val="000000"/>
        </w:rPr>
        <w:t xml:space="preserve">, </w:t>
      </w:r>
      <w:r w:rsidR="005F720D" w:rsidRPr="005F720D">
        <w:rPr>
          <w:color w:val="000000"/>
        </w:rPr>
        <w:t>ако</w:t>
      </w:r>
      <w:r w:rsidRPr="005F720D">
        <w:rPr>
          <w:color w:val="000000"/>
        </w:rPr>
        <w:t xml:space="preserve"> </w:t>
      </w:r>
      <w:r w:rsidR="005F720D" w:rsidRPr="005F720D">
        <w:rPr>
          <w:color w:val="000000"/>
        </w:rPr>
        <w:t>је</w:t>
      </w:r>
      <w:r w:rsidRPr="005F720D">
        <w:rPr>
          <w:color w:val="000000"/>
        </w:rPr>
        <w:t xml:space="preserve"> </w:t>
      </w:r>
      <w:r w:rsidR="005F720D" w:rsidRPr="005F720D">
        <w:rPr>
          <w:color w:val="000000"/>
        </w:rPr>
        <w:t>исплатилац</w:t>
      </w:r>
      <w:r w:rsidRPr="005F720D">
        <w:rPr>
          <w:color w:val="000000"/>
        </w:rPr>
        <w:t xml:space="preserve"> </w:t>
      </w:r>
      <w:r w:rsidR="005F720D" w:rsidRPr="005F720D">
        <w:rPr>
          <w:color w:val="000000"/>
        </w:rPr>
        <w:t>прихода</w:t>
      </w:r>
      <w:r w:rsidRPr="005F720D">
        <w:rPr>
          <w:color w:val="000000"/>
        </w:rPr>
        <w:t xml:space="preserve"> </w:t>
      </w:r>
      <w:r w:rsidR="005F720D" w:rsidRPr="005F720D">
        <w:rPr>
          <w:color w:val="000000"/>
        </w:rPr>
        <w:t>правно</w:t>
      </w:r>
      <w:r w:rsidRPr="005F720D">
        <w:rPr>
          <w:color w:val="000000"/>
        </w:rPr>
        <w:t xml:space="preserve"> </w:t>
      </w:r>
      <w:r w:rsidR="005F720D" w:rsidRPr="005F720D">
        <w:rPr>
          <w:color w:val="000000"/>
        </w:rPr>
        <w:t>лице</w:t>
      </w:r>
      <w:r w:rsidRPr="005F720D">
        <w:rPr>
          <w:color w:val="000000"/>
        </w:rPr>
        <w:t xml:space="preserve"> </w:t>
      </w:r>
      <w:r w:rsidR="005F720D" w:rsidRPr="005F720D">
        <w:rPr>
          <w:color w:val="000000"/>
        </w:rPr>
        <w:t>или</w:t>
      </w:r>
      <w:r w:rsidRPr="005F720D">
        <w:rPr>
          <w:color w:val="000000"/>
        </w:rPr>
        <w:t xml:space="preserve"> </w:t>
      </w:r>
      <w:r w:rsidR="005F720D" w:rsidRPr="005F720D">
        <w:rPr>
          <w:color w:val="000000"/>
        </w:rPr>
        <w:t>предузетник</w:t>
      </w:r>
      <w:r w:rsidRPr="005F720D">
        <w:rPr>
          <w:color w:val="000000"/>
        </w:rPr>
        <w:t>;</w:t>
      </w:r>
    </w:p>
    <w:p w:rsidR="00BD6062" w:rsidRPr="005F720D" w:rsidRDefault="00BD6062" w:rsidP="005F720D">
      <w:pPr>
        <w:pStyle w:val="normal0"/>
        <w:shd w:val="clear" w:color="auto" w:fill="FFFFFF"/>
        <w:spacing w:before="48" w:beforeAutospacing="0" w:after="48" w:afterAutospacing="0"/>
        <w:jc w:val="both"/>
        <w:rPr>
          <w:color w:val="000000"/>
          <w:lang w:val="sr-Cyrl-CS"/>
        </w:rPr>
      </w:pPr>
      <w:r w:rsidRPr="005F720D">
        <w:rPr>
          <w:color w:val="000000"/>
        </w:rPr>
        <w:t xml:space="preserve">3) </w:t>
      </w:r>
      <w:r w:rsidR="005F720D" w:rsidRPr="005F720D">
        <w:rPr>
          <w:color w:val="000000"/>
        </w:rPr>
        <w:t>приходе</w:t>
      </w:r>
      <w:r w:rsidRPr="005F720D">
        <w:rPr>
          <w:color w:val="000000"/>
        </w:rPr>
        <w:t xml:space="preserve"> </w:t>
      </w:r>
      <w:r w:rsidR="005F720D" w:rsidRPr="005F720D">
        <w:rPr>
          <w:color w:val="000000"/>
        </w:rPr>
        <w:t>од</w:t>
      </w:r>
      <w:r w:rsidRPr="005F720D">
        <w:rPr>
          <w:color w:val="000000"/>
        </w:rPr>
        <w:t xml:space="preserve"> </w:t>
      </w:r>
      <w:r w:rsidR="005F720D" w:rsidRPr="005F720D">
        <w:rPr>
          <w:color w:val="000000"/>
        </w:rPr>
        <w:t>капитала</w:t>
      </w:r>
      <w:r w:rsidRPr="005F720D">
        <w:rPr>
          <w:color w:val="000000"/>
        </w:rPr>
        <w:t xml:space="preserve">, </w:t>
      </w:r>
      <w:r w:rsidR="005F720D" w:rsidRPr="005F720D">
        <w:rPr>
          <w:color w:val="000000"/>
        </w:rPr>
        <w:t>ако</w:t>
      </w:r>
      <w:r w:rsidRPr="005F720D">
        <w:rPr>
          <w:color w:val="000000"/>
        </w:rPr>
        <w:t xml:space="preserve"> </w:t>
      </w:r>
      <w:r w:rsidR="005F720D" w:rsidRPr="005F720D">
        <w:rPr>
          <w:color w:val="000000"/>
        </w:rPr>
        <w:t>је</w:t>
      </w:r>
      <w:r w:rsidRPr="005F720D">
        <w:rPr>
          <w:color w:val="000000"/>
        </w:rPr>
        <w:t xml:space="preserve"> </w:t>
      </w:r>
      <w:r w:rsidR="005F720D" w:rsidRPr="005F720D">
        <w:rPr>
          <w:color w:val="000000"/>
        </w:rPr>
        <w:t>исплатилац</w:t>
      </w:r>
      <w:r w:rsidRPr="005F720D">
        <w:rPr>
          <w:color w:val="000000"/>
        </w:rPr>
        <w:t xml:space="preserve"> </w:t>
      </w:r>
      <w:r w:rsidR="005F720D" w:rsidRPr="005F720D">
        <w:rPr>
          <w:color w:val="000000"/>
        </w:rPr>
        <w:t>прихода</w:t>
      </w:r>
      <w:r w:rsidRPr="005F720D">
        <w:rPr>
          <w:color w:val="000000"/>
        </w:rPr>
        <w:t xml:space="preserve"> </w:t>
      </w:r>
      <w:r w:rsidR="005F720D" w:rsidRPr="005F720D">
        <w:rPr>
          <w:color w:val="000000"/>
        </w:rPr>
        <w:t>правно</w:t>
      </w:r>
      <w:r w:rsidRPr="005F720D">
        <w:rPr>
          <w:color w:val="000000"/>
        </w:rPr>
        <w:t xml:space="preserve"> </w:t>
      </w:r>
      <w:r w:rsidR="005F720D" w:rsidRPr="005F720D">
        <w:rPr>
          <w:color w:val="000000"/>
        </w:rPr>
        <w:t>лице</w:t>
      </w:r>
      <w:r w:rsidRPr="005F720D">
        <w:rPr>
          <w:color w:val="000000"/>
        </w:rPr>
        <w:t xml:space="preserve"> </w:t>
      </w:r>
      <w:r w:rsidR="005F720D" w:rsidRPr="005F720D">
        <w:rPr>
          <w:color w:val="000000"/>
        </w:rPr>
        <w:t>или</w:t>
      </w:r>
      <w:r w:rsidRPr="005F720D">
        <w:rPr>
          <w:color w:val="000000"/>
        </w:rPr>
        <w:t xml:space="preserve"> </w:t>
      </w:r>
      <w:r w:rsidR="005F720D" w:rsidRPr="005F720D">
        <w:rPr>
          <w:color w:val="000000"/>
        </w:rPr>
        <w:t>предузетник</w:t>
      </w:r>
      <w:r w:rsidRPr="005F720D">
        <w:rPr>
          <w:color w:val="000000"/>
        </w:rPr>
        <w:t>;</w:t>
      </w:r>
    </w:p>
    <w:p w:rsidR="00BD6062" w:rsidRPr="005F720D" w:rsidRDefault="00BD6062" w:rsidP="005F720D">
      <w:pPr>
        <w:pStyle w:val="normal0"/>
        <w:shd w:val="clear" w:color="auto" w:fill="FFFFFF"/>
        <w:spacing w:before="48" w:beforeAutospacing="0" w:after="48" w:afterAutospacing="0"/>
        <w:jc w:val="both"/>
        <w:rPr>
          <w:color w:val="000000"/>
        </w:rPr>
      </w:pPr>
      <w:r w:rsidRPr="005F720D">
        <w:rPr>
          <w:color w:val="000000"/>
          <w:lang w:val="sr-Cyrl-CS"/>
        </w:rPr>
        <w:t>4</w:t>
      </w:r>
      <w:r w:rsidRPr="005F720D">
        <w:rPr>
          <w:color w:val="000000"/>
        </w:rPr>
        <w:t xml:space="preserve">) </w:t>
      </w:r>
      <w:r w:rsidR="005F720D" w:rsidRPr="005F720D">
        <w:rPr>
          <w:color w:val="000000"/>
        </w:rPr>
        <w:t>приходе</w:t>
      </w:r>
      <w:r w:rsidRPr="005F720D">
        <w:rPr>
          <w:color w:val="000000"/>
        </w:rPr>
        <w:t xml:space="preserve"> </w:t>
      </w:r>
      <w:r w:rsidR="005F720D" w:rsidRPr="005F720D">
        <w:rPr>
          <w:color w:val="000000"/>
        </w:rPr>
        <w:t>од</w:t>
      </w:r>
      <w:r w:rsidRPr="005F720D">
        <w:rPr>
          <w:color w:val="000000"/>
        </w:rPr>
        <w:t xml:space="preserve"> </w:t>
      </w:r>
      <w:r w:rsidR="005F720D" w:rsidRPr="005F720D">
        <w:rPr>
          <w:color w:val="000000"/>
        </w:rPr>
        <w:t>давања</w:t>
      </w:r>
      <w:r w:rsidRPr="005F720D">
        <w:rPr>
          <w:color w:val="000000"/>
        </w:rPr>
        <w:t xml:space="preserve"> </w:t>
      </w:r>
      <w:r w:rsidR="005F720D" w:rsidRPr="005F720D">
        <w:rPr>
          <w:color w:val="000000"/>
        </w:rPr>
        <w:t>у</w:t>
      </w:r>
      <w:r w:rsidRPr="005F720D">
        <w:rPr>
          <w:color w:val="000000"/>
        </w:rPr>
        <w:t xml:space="preserve"> </w:t>
      </w:r>
      <w:r w:rsidR="005F720D" w:rsidRPr="005F720D">
        <w:rPr>
          <w:color w:val="000000"/>
        </w:rPr>
        <w:t>закуп</w:t>
      </w:r>
      <w:r w:rsidRPr="005F720D">
        <w:rPr>
          <w:color w:val="000000"/>
        </w:rPr>
        <w:t xml:space="preserve"> </w:t>
      </w:r>
      <w:r w:rsidR="005F720D" w:rsidRPr="005F720D">
        <w:rPr>
          <w:color w:val="000000"/>
        </w:rPr>
        <w:t>покретних</w:t>
      </w:r>
      <w:r w:rsidRPr="005F720D">
        <w:rPr>
          <w:color w:val="000000"/>
        </w:rPr>
        <w:t xml:space="preserve"> </w:t>
      </w:r>
      <w:r w:rsidR="005F720D" w:rsidRPr="005F720D">
        <w:rPr>
          <w:color w:val="000000"/>
        </w:rPr>
        <w:t>ствари</w:t>
      </w:r>
      <w:r w:rsidRPr="005F720D">
        <w:rPr>
          <w:color w:val="000000"/>
        </w:rPr>
        <w:t xml:space="preserve">, </w:t>
      </w:r>
      <w:r w:rsidR="005F720D" w:rsidRPr="005F720D">
        <w:rPr>
          <w:color w:val="000000"/>
        </w:rPr>
        <w:t>ако</w:t>
      </w:r>
      <w:r w:rsidRPr="005F720D">
        <w:rPr>
          <w:color w:val="000000"/>
        </w:rPr>
        <w:t xml:space="preserve"> </w:t>
      </w:r>
      <w:r w:rsidR="005F720D" w:rsidRPr="005F720D">
        <w:rPr>
          <w:color w:val="000000"/>
        </w:rPr>
        <w:t>је</w:t>
      </w:r>
      <w:r w:rsidRPr="005F720D">
        <w:rPr>
          <w:color w:val="000000"/>
        </w:rPr>
        <w:t xml:space="preserve"> </w:t>
      </w:r>
      <w:r w:rsidR="005F720D" w:rsidRPr="005F720D">
        <w:rPr>
          <w:color w:val="000000"/>
        </w:rPr>
        <w:t>исплатилац</w:t>
      </w:r>
      <w:r w:rsidRPr="005F720D">
        <w:rPr>
          <w:color w:val="000000"/>
        </w:rPr>
        <w:t xml:space="preserve"> </w:t>
      </w:r>
      <w:r w:rsidR="005F720D" w:rsidRPr="005F720D">
        <w:rPr>
          <w:color w:val="000000"/>
        </w:rPr>
        <w:t>прихода</w:t>
      </w:r>
      <w:r w:rsidRPr="005F720D">
        <w:rPr>
          <w:color w:val="000000"/>
        </w:rPr>
        <w:t xml:space="preserve"> </w:t>
      </w:r>
      <w:r w:rsidR="005F720D" w:rsidRPr="005F720D">
        <w:rPr>
          <w:color w:val="000000"/>
        </w:rPr>
        <w:t>правно</w:t>
      </w:r>
      <w:r w:rsidRPr="005F720D">
        <w:rPr>
          <w:color w:val="000000"/>
        </w:rPr>
        <w:t xml:space="preserve"> </w:t>
      </w:r>
      <w:r w:rsidR="005F720D" w:rsidRPr="005F720D">
        <w:rPr>
          <w:color w:val="000000"/>
        </w:rPr>
        <w:t>лице</w:t>
      </w:r>
      <w:r w:rsidRPr="005F720D">
        <w:rPr>
          <w:color w:val="000000"/>
        </w:rPr>
        <w:t xml:space="preserve"> </w:t>
      </w:r>
      <w:r w:rsidR="005F720D" w:rsidRPr="005F720D">
        <w:rPr>
          <w:color w:val="000000"/>
        </w:rPr>
        <w:t>или</w:t>
      </w:r>
      <w:r w:rsidRPr="005F720D">
        <w:rPr>
          <w:color w:val="000000"/>
        </w:rPr>
        <w:t xml:space="preserve"> </w:t>
      </w:r>
      <w:r w:rsidR="005F720D" w:rsidRPr="005F720D">
        <w:rPr>
          <w:color w:val="000000"/>
        </w:rPr>
        <w:t>предузетник</w:t>
      </w:r>
      <w:r w:rsidRPr="005F720D">
        <w:rPr>
          <w:color w:val="000000"/>
        </w:rPr>
        <w:t>;</w:t>
      </w:r>
    </w:p>
    <w:p w:rsidR="00BD6062" w:rsidRPr="005F720D" w:rsidRDefault="00BD6062" w:rsidP="005F720D">
      <w:pPr>
        <w:pStyle w:val="normal0"/>
        <w:shd w:val="clear" w:color="auto" w:fill="FFFFFF"/>
        <w:spacing w:before="48" w:beforeAutospacing="0" w:after="48" w:afterAutospacing="0"/>
        <w:jc w:val="both"/>
        <w:rPr>
          <w:color w:val="000000"/>
        </w:rPr>
      </w:pPr>
      <w:r w:rsidRPr="005F720D">
        <w:rPr>
          <w:color w:val="000000"/>
          <w:lang w:val="sr-Cyrl-CS"/>
        </w:rPr>
        <w:t>5</w:t>
      </w:r>
      <w:r w:rsidRPr="005F720D">
        <w:rPr>
          <w:color w:val="000000"/>
        </w:rPr>
        <w:t xml:space="preserve">) </w:t>
      </w:r>
      <w:r w:rsidR="005F720D" w:rsidRPr="005F720D">
        <w:rPr>
          <w:color w:val="000000"/>
        </w:rPr>
        <w:t>добитке</w:t>
      </w:r>
      <w:r w:rsidRPr="005F720D">
        <w:rPr>
          <w:color w:val="000000"/>
        </w:rPr>
        <w:t xml:space="preserve"> </w:t>
      </w:r>
      <w:r w:rsidR="005F720D" w:rsidRPr="005F720D">
        <w:rPr>
          <w:color w:val="000000"/>
        </w:rPr>
        <w:t>од</w:t>
      </w:r>
      <w:r w:rsidRPr="005F720D">
        <w:rPr>
          <w:color w:val="000000"/>
        </w:rPr>
        <w:t xml:space="preserve"> </w:t>
      </w:r>
      <w:r w:rsidR="005F720D" w:rsidRPr="005F720D">
        <w:rPr>
          <w:color w:val="000000"/>
        </w:rPr>
        <w:t>игара</w:t>
      </w:r>
      <w:r w:rsidRPr="005F720D">
        <w:rPr>
          <w:color w:val="000000"/>
        </w:rPr>
        <w:t xml:space="preserve"> </w:t>
      </w:r>
      <w:r w:rsidR="005F720D" w:rsidRPr="005F720D">
        <w:rPr>
          <w:color w:val="000000"/>
        </w:rPr>
        <w:t>на</w:t>
      </w:r>
      <w:r w:rsidRPr="005F720D">
        <w:rPr>
          <w:color w:val="000000"/>
        </w:rPr>
        <w:t xml:space="preserve"> </w:t>
      </w:r>
      <w:r w:rsidR="005F720D" w:rsidRPr="005F720D">
        <w:rPr>
          <w:color w:val="000000"/>
        </w:rPr>
        <w:t>срећу</w:t>
      </w:r>
      <w:r w:rsidRPr="005F720D">
        <w:rPr>
          <w:color w:val="000000"/>
        </w:rPr>
        <w:t>;</w:t>
      </w:r>
    </w:p>
    <w:p w:rsidR="00BD6062" w:rsidRPr="005F720D" w:rsidRDefault="00BD6062" w:rsidP="005F720D">
      <w:pPr>
        <w:pStyle w:val="normal0"/>
        <w:shd w:val="clear" w:color="auto" w:fill="FFFFFF"/>
        <w:spacing w:before="48" w:beforeAutospacing="0" w:after="48" w:afterAutospacing="0"/>
        <w:jc w:val="both"/>
        <w:rPr>
          <w:color w:val="000000"/>
        </w:rPr>
      </w:pPr>
      <w:r w:rsidRPr="005F720D">
        <w:rPr>
          <w:color w:val="000000"/>
          <w:lang w:val="sr-Cyrl-CS"/>
        </w:rPr>
        <w:t>6</w:t>
      </w:r>
      <w:r w:rsidRPr="005F720D">
        <w:rPr>
          <w:color w:val="000000"/>
        </w:rPr>
        <w:t xml:space="preserve">) </w:t>
      </w:r>
      <w:r w:rsidR="005F720D" w:rsidRPr="005F720D">
        <w:rPr>
          <w:color w:val="000000"/>
        </w:rPr>
        <w:t>приходе</w:t>
      </w:r>
      <w:r w:rsidRPr="005F720D">
        <w:rPr>
          <w:color w:val="000000"/>
        </w:rPr>
        <w:t xml:space="preserve"> </w:t>
      </w:r>
      <w:r w:rsidR="005F720D" w:rsidRPr="005F720D">
        <w:rPr>
          <w:color w:val="000000"/>
        </w:rPr>
        <w:t>од</w:t>
      </w:r>
      <w:r w:rsidRPr="005F720D">
        <w:rPr>
          <w:color w:val="000000"/>
        </w:rPr>
        <w:t xml:space="preserve"> </w:t>
      </w:r>
      <w:r w:rsidR="005F720D" w:rsidRPr="005F720D">
        <w:rPr>
          <w:color w:val="000000"/>
        </w:rPr>
        <w:t>осигурања</w:t>
      </w:r>
      <w:r w:rsidRPr="005F720D">
        <w:rPr>
          <w:color w:val="000000"/>
        </w:rPr>
        <w:t xml:space="preserve"> </w:t>
      </w:r>
      <w:r w:rsidR="005F720D" w:rsidRPr="005F720D">
        <w:rPr>
          <w:color w:val="000000"/>
        </w:rPr>
        <w:t>лица</w:t>
      </w:r>
      <w:r w:rsidRPr="005F720D">
        <w:rPr>
          <w:color w:val="000000"/>
        </w:rPr>
        <w:t>;</w:t>
      </w:r>
    </w:p>
    <w:p w:rsidR="00BD6062" w:rsidRPr="005F720D" w:rsidRDefault="00BD6062" w:rsidP="005F720D">
      <w:pPr>
        <w:pStyle w:val="normal0"/>
        <w:shd w:val="clear" w:color="auto" w:fill="FFFFFF"/>
        <w:spacing w:before="48" w:beforeAutospacing="0" w:after="48" w:afterAutospacing="0"/>
        <w:jc w:val="both"/>
        <w:rPr>
          <w:color w:val="000000"/>
        </w:rPr>
      </w:pPr>
      <w:r w:rsidRPr="005F720D">
        <w:rPr>
          <w:color w:val="000000"/>
          <w:lang w:val="sr-Cyrl-CS"/>
        </w:rPr>
        <w:t>7</w:t>
      </w:r>
      <w:r w:rsidRPr="005F720D">
        <w:rPr>
          <w:color w:val="000000"/>
        </w:rPr>
        <w:t xml:space="preserve">) </w:t>
      </w:r>
      <w:r w:rsidR="005F720D" w:rsidRPr="005F720D">
        <w:rPr>
          <w:color w:val="000000"/>
        </w:rPr>
        <w:t>приходе</w:t>
      </w:r>
      <w:r w:rsidRPr="005F720D">
        <w:rPr>
          <w:color w:val="000000"/>
        </w:rPr>
        <w:t xml:space="preserve"> </w:t>
      </w:r>
      <w:r w:rsidR="005F720D" w:rsidRPr="005F720D">
        <w:rPr>
          <w:color w:val="000000"/>
        </w:rPr>
        <w:t>спортиста</w:t>
      </w:r>
      <w:r w:rsidRPr="005F720D">
        <w:rPr>
          <w:color w:val="000000"/>
        </w:rPr>
        <w:t xml:space="preserve"> </w:t>
      </w:r>
      <w:r w:rsidR="005F720D" w:rsidRPr="005F720D">
        <w:rPr>
          <w:color w:val="000000"/>
        </w:rPr>
        <w:t>и</w:t>
      </w:r>
      <w:r w:rsidRPr="005F720D">
        <w:rPr>
          <w:color w:val="000000"/>
        </w:rPr>
        <w:t xml:space="preserve"> </w:t>
      </w:r>
      <w:r w:rsidR="005F720D" w:rsidRPr="005F720D">
        <w:rPr>
          <w:color w:val="000000"/>
        </w:rPr>
        <w:t>спортских</w:t>
      </w:r>
      <w:r w:rsidRPr="005F720D">
        <w:rPr>
          <w:color w:val="000000"/>
        </w:rPr>
        <w:t xml:space="preserve"> </w:t>
      </w:r>
      <w:r w:rsidR="005F720D" w:rsidRPr="005F720D">
        <w:rPr>
          <w:color w:val="000000"/>
        </w:rPr>
        <w:t>стручњака</w:t>
      </w:r>
      <w:r w:rsidRPr="005F720D">
        <w:rPr>
          <w:color w:val="000000"/>
        </w:rPr>
        <w:t>;</w:t>
      </w:r>
    </w:p>
    <w:p w:rsidR="00BD6062" w:rsidRPr="005F720D" w:rsidRDefault="00BD6062" w:rsidP="005F720D">
      <w:pPr>
        <w:pStyle w:val="normal0"/>
        <w:shd w:val="clear" w:color="auto" w:fill="FFFFFF"/>
        <w:spacing w:before="48" w:beforeAutospacing="0" w:after="48" w:afterAutospacing="0"/>
        <w:jc w:val="both"/>
        <w:rPr>
          <w:color w:val="000000"/>
          <w:lang w:val="sr-Cyrl-CS"/>
        </w:rPr>
      </w:pPr>
      <w:r w:rsidRPr="005F720D">
        <w:rPr>
          <w:color w:val="000000"/>
        </w:rPr>
        <w:t xml:space="preserve">8) </w:t>
      </w:r>
      <w:r w:rsidR="005F720D" w:rsidRPr="005F720D">
        <w:rPr>
          <w:color w:val="000000"/>
        </w:rPr>
        <w:t>остале</w:t>
      </w:r>
      <w:r w:rsidRPr="005F720D">
        <w:rPr>
          <w:color w:val="000000"/>
        </w:rPr>
        <w:t xml:space="preserve"> </w:t>
      </w:r>
      <w:r w:rsidR="005F720D" w:rsidRPr="005F720D">
        <w:rPr>
          <w:color w:val="000000"/>
        </w:rPr>
        <w:t>приходе</w:t>
      </w:r>
      <w:r w:rsidRPr="005F720D">
        <w:rPr>
          <w:color w:val="000000"/>
        </w:rPr>
        <w:t xml:space="preserve">, </w:t>
      </w:r>
      <w:r w:rsidR="005F720D" w:rsidRPr="005F720D">
        <w:rPr>
          <w:color w:val="000000"/>
        </w:rPr>
        <w:t>ако</w:t>
      </w:r>
      <w:r w:rsidRPr="005F720D">
        <w:rPr>
          <w:color w:val="000000"/>
        </w:rPr>
        <w:t xml:space="preserve"> </w:t>
      </w:r>
      <w:r w:rsidR="005F720D" w:rsidRPr="005F720D">
        <w:rPr>
          <w:color w:val="000000"/>
        </w:rPr>
        <w:t>је</w:t>
      </w:r>
      <w:r w:rsidRPr="005F720D">
        <w:rPr>
          <w:color w:val="000000"/>
        </w:rPr>
        <w:t xml:space="preserve"> </w:t>
      </w:r>
      <w:r w:rsidR="005F720D" w:rsidRPr="005F720D">
        <w:rPr>
          <w:color w:val="000000"/>
        </w:rPr>
        <w:t>исплатилац</w:t>
      </w:r>
      <w:r w:rsidRPr="005F720D">
        <w:rPr>
          <w:color w:val="000000"/>
        </w:rPr>
        <w:t xml:space="preserve"> </w:t>
      </w:r>
      <w:r w:rsidR="005F720D" w:rsidRPr="005F720D">
        <w:rPr>
          <w:color w:val="000000"/>
        </w:rPr>
        <w:t>прихода</w:t>
      </w:r>
      <w:r w:rsidRPr="005F720D">
        <w:rPr>
          <w:color w:val="000000"/>
        </w:rPr>
        <w:t xml:space="preserve"> </w:t>
      </w:r>
      <w:r w:rsidR="005F720D" w:rsidRPr="005F720D">
        <w:rPr>
          <w:color w:val="000000"/>
        </w:rPr>
        <w:t>правно</w:t>
      </w:r>
      <w:r w:rsidRPr="005F720D">
        <w:rPr>
          <w:color w:val="000000"/>
        </w:rPr>
        <w:t xml:space="preserve"> </w:t>
      </w:r>
      <w:r w:rsidR="005F720D" w:rsidRPr="005F720D">
        <w:rPr>
          <w:color w:val="000000"/>
        </w:rPr>
        <w:t>лице</w:t>
      </w:r>
      <w:r w:rsidRPr="005F720D">
        <w:rPr>
          <w:color w:val="000000"/>
        </w:rPr>
        <w:t xml:space="preserve"> </w:t>
      </w:r>
      <w:r w:rsidR="005F720D" w:rsidRPr="005F720D">
        <w:rPr>
          <w:color w:val="000000"/>
        </w:rPr>
        <w:t>или</w:t>
      </w:r>
      <w:r w:rsidRPr="005F720D">
        <w:rPr>
          <w:color w:val="000000"/>
        </w:rPr>
        <w:t xml:space="preserve"> </w:t>
      </w:r>
      <w:r w:rsidR="005F720D" w:rsidRPr="005F720D">
        <w:rPr>
          <w:color w:val="000000"/>
        </w:rPr>
        <w:t>предузетник</w:t>
      </w:r>
      <w:r w:rsidRPr="005F720D">
        <w:rPr>
          <w:color w:val="000000"/>
        </w:rPr>
        <w:t>.</w:t>
      </w:r>
      <w:r w:rsidRPr="005F720D">
        <w:rPr>
          <w:rStyle w:val="FootnoteReference"/>
          <w:color w:val="000000"/>
        </w:rPr>
        <w:footnoteReference w:id="481"/>
      </w:r>
    </w:p>
    <w:p w:rsidR="00BD6062" w:rsidRPr="005F720D" w:rsidRDefault="00BD6062" w:rsidP="005F720D">
      <w:pPr>
        <w:pStyle w:val="normal0"/>
        <w:shd w:val="clear" w:color="auto" w:fill="FFFFFF"/>
        <w:spacing w:before="48" w:beforeAutospacing="0" w:after="48" w:afterAutospacing="0"/>
        <w:jc w:val="both"/>
        <w:rPr>
          <w:color w:val="000000"/>
          <w:lang w:val="sr-Cyrl-CS"/>
        </w:rPr>
      </w:pPr>
    </w:p>
    <w:p w:rsidR="00717D0E" w:rsidRPr="005F720D" w:rsidRDefault="005F720D" w:rsidP="005F720D">
      <w:pPr>
        <w:pStyle w:val="normal0"/>
        <w:shd w:val="clear" w:color="auto" w:fill="FFFFFF"/>
        <w:spacing w:before="48" w:beforeAutospacing="0" w:after="48" w:afterAutospacing="0"/>
        <w:ind w:firstLine="708"/>
        <w:jc w:val="both"/>
        <w:rPr>
          <w:color w:val="000000"/>
          <w:lang w:val="sr-Cyrl-CS"/>
        </w:rPr>
      </w:pPr>
      <w:r w:rsidRPr="005F720D">
        <w:rPr>
          <w:color w:val="000000"/>
        </w:rPr>
        <w:t>Порез</w:t>
      </w:r>
      <w:r w:rsidR="00BD6062" w:rsidRPr="005F720D">
        <w:rPr>
          <w:color w:val="000000"/>
        </w:rPr>
        <w:t xml:space="preserve"> </w:t>
      </w:r>
      <w:r w:rsidRPr="005F720D">
        <w:rPr>
          <w:color w:val="000000"/>
        </w:rPr>
        <w:t>по</w:t>
      </w:r>
      <w:r w:rsidR="00BD6062" w:rsidRPr="005F720D">
        <w:rPr>
          <w:color w:val="000000"/>
        </w:rPr>
        <w:t xml:space="preserve"> </w:t>
      </w:r>
      <w:r w:rsidRPr="005F720D">
        <w:rPr>
          <w:color w:val="000000"/>
        </w:rPr>
        <w:t>одбитку</w:t>
      </w:r>
      <w:r w:rsidR="00BD6062" w:rsidRPr="005F720D">
        <w:rPr>
          <w:color w:val="000000"/>
        </w:rPr>
        <w:t xml:space="preserve">  </w:t>
      </w:r>
      <w:r w:rsidRPr="005F720D">
        <w:rPr>
          <w:color w:val="000000"/>
        </w:rPr>
        <w:t>за</w:t>
      </w:r>
      <w:r w:rsidR="00BD6062" w:rsidRPr="005F720D">
        <w:rPr>
          <w:color w:val="000000"/>
        </w:rPr>
        <w:t xml:space="preserve"> </w:t>
      </w:r>
      <w:r w:rsidRPr="005F720D">
        <w:rPr>
          <w:color w:val="000000"/>
        </w:rPr>
        <w:t>сваког</w:t>
      </w:r>
      <w:r w:rsidR="00BD6062" w:rsidRPr="005F720D">
        <w:rPr>
          <w:color w:val="000000"/>
        </w:rPr>
        <w:t xml:space="preserve"> </w:t>
      </w:r>
      <w:r w:rsidRPr="005F720D">
        <w:rPr>
          <w:color w:val="000000"/>
        </w:rPr>
        <w:t>обвезника</w:t>
      </w:r>
      <w:r w:rsidR="00BD6062" w:rsidRPr="005F720D">
        <w:rPr>
          <w:color w:val="000000"/>
        </w:rPr>
        <w:t xml:space="preserve"> </w:t>
      </w:r>
      <w:r w:rsidRPr="005F720D">
        <w:rPr>
          <w:color w:val="000000"/>
        </w:rPr>
        <w:t>и</w:t>
      </w:r>
      <w:r w:rsidR="00BD6062" w:rsidRPr="005F720D">
        <w:rPr>
          <w:color w:val="000000"/>
        </w:rPr>
        <w:t xml:space="preserve"> </w:t>
      </w:r>
      <w:r w:rsidRPr="005F720D">
        <w:rPr>
          <w:color w:val="000000"/>
        </w:rPr>
        <w:t>за</w:t>
      </w:r>
      <w:r w:rsidR="00BD6062" w:rsidRPr="005F720D">
        <w:rPr>
          <w:color w:val="000000"/>
        </w:rPr>
        <w:t xml:space="preserve"> </w:t>
      </w:r>
      <w:r w:rsidRPr="005F720D">
        <w:rPr>
          <w:color w:val="000000"/>
        </w:rPr>
        <w:t>сваки</w:t>
      </w:r>
      <w:r w:rsidR="00BD6062" w:rsidRPr="005F720D">
        <w:rPr>
          <w:color w:val="000000"/>
        </w:rPr>
        <w:t xml:space="preserve"> </w:t>
      </w:r>
      <w:r w:rsidRPr="005F720D">
        <w:rPr>
          <w:color w:val="000000"/>
        </w:rPr>
        <w:t>појединачно</w:t>
      </w:r>
      <w:r w:rsidR="00BD6062" w:rsidRPr="005F720D">
        <w:rPr>
          <w:color w:val="000000"/>
        </w:rPr>
        <w:t xml:space="preserve"> </w:t>
      </w:r>
      <w:r w:rsidRPr="005F720D">
        <w:rPr>
          <w:color w:val="000000"/>
        </w:rPr>
        <w:t>исплаћени</w:t>
      </w:r>
      <w:r w:rsidR="00BD6062" w:rsidRPr="005F720D">
        <w:rPr>
          <w:color w:val="000000"/>
        </w:rPr>
        <w:t xml:space="preserve"> </w:t>
      </w:r>
      <w:r w:rsidRPr="005F720D">
        <w:rPr>
          <w:color w:val="000000"/>
        </w:rPr>
        <w:t>приход</w:t>
      </w:r>
      <w:r w:rsidR="00BD6062" w:rsidRPr="005F720D">
        <w:rPr>
          <w:color w:val="000000"/>
        </w:rPr>
        <w:t xml:space="preserve">, </w:t>
      </w:r>
      <w:r w:rsidRPr="005F720D">
        <w:rPr>
          <w:color w:val="000000"/>
        </w:rPr>
        <w:t>исплатилац</w:t>
      </w:r>
      <w:r w:rsidR="00BD6062" w:rsidRPr="005F720D">
        <w:rPr>
          <w:color w:val="000000"/>
        </w:rPr>
        <w:t xml:space="preserve"> </w:t>
      </w:r>
      <w:r w:rsidRPr="005F720D">
        <w:rPr>
          <w:color w:val="000000"/>
        </w:rPr>
        <w:t>обрачунава</w:t>
      </w:r>
      <w:r w:rsidR="00BD6062" w:rsidRPr="005F720D">
        <w:rPr>
          <w:color w:val="000000"/>
        </w:rPr>
        <w:t xml:space="preserve">, </w:t>
      </w:r>
      <w:r w:rsidRPr="005F720D">
        <w:rPr>
          <w:color w:val="000000"/>
        </w:rPr>
        <w:t>обуставља</w:t>
      </w:r>
      <w:r w:rsidR="00BD6062" w:rsidRPr="005F720D">
        <w:rPr>
          <w:color w:val="000000"/>
        </w:rPr>
        <w:t xml:space="preserve"> </w:t>
      </w:r>
      <w:r w:rsidRPr="005F720D">
        <w:rPr>
          <w:color w:val="000000"/>
        </w:rPr>
        <w:t>и</w:t>
      </w:r>
      <w:r w:rsidR="00BD6062" w:rsidRPr="005F720D">
        <w:rPr>
          <w:color w:val="000000"/>
        </w:rPr>
        <w:t xml:space="preserve"> </w:t>
      </w:r>
      <w:r w:rsidRPr="005F720D">
        <w:rPr>
          <w:color w:val="000000"/>
        </w:rPr>
        <w:t>уплаћује</w:t>
      </w:r>
      <w:r w:rsidR="00BD6062" w:rsidRPr="005F720D">
        <w:rPr>
          <w:color w:val="000000"/>
        </w:rPr>
        <w:t xml:space="preserve"> </w:t>
      </w:r>
      <w:r w:rsidRPr="005F720D">
        <w:rPr>
          <w:color w:val="000000"/>
        </w:rPr>
        <w:t>на</w:t>
      </w:r>
      <w:r w:rsidR="00BD6062" w:rsidRPr="005F720D">
        <w:rPr>
          <w:color w:val="000000"/>
        </w:rPr>
        <w:t xml:space="preserve"> </w:t>
      </w:r>
      <w:r w:rsidRPr="005F720D">
        <w:rPr>
          <w:color w:val="000000"/>
        </w:rPr>
        <w:t>прописане</w:t>
      </w:r>
      <w:r w:rsidR="00BD6062" w:rsidRPr="005F720D">
        <w:rPr>
          <w:color w:val="000000"/>
        </w:rPr>
        <w:t xml:space="preserve"> </w:t>
      </w:r>
      <w:r w:rsidRPr="005F720D">
        <w:rPr>
          <w:color w:val="000000"/>
        </w:rPr>
        <w:t>рачуне</w:t>
      </w:r>
      <w:r w:rsidR="00BD6062" w:rsidRPr="005F720D">
        <w:rPr>
          <w:color w:val="000000"/>
        </w:rPr>
        <w:t xml:space="preserve"> </w:t>
      </w:r>
      <w:r w:rsidRPr="005F720D">
        <w:rPr>
          <w:color w:val="000000"/>
        </w:rPr>
        <w:t>у</w:t>
      </w:r>
      <w:r w:rsidR="00BD6062" w:rsidRPr="005F720D">
        <w:rPr>
          <w:color w:val="000000"/>
        </w:rPr>
        <w:t xml:space="preserve"> </w:t>
      </w:r>
      <w:r w:rsidRPr="005F720D">
        <w:rPr>
          <w:color w:val="000000"/>
        </w:rPr>
        <w:t>моменту</w:t>
      </w:r>
      <w:r w:rsidR="00BD6062" w:rsidRPr="005F720D">
        <w:rPr>
          <w:color w:val="000000"/>
        </w:rPr>
        <w:t xml:space="preserve"> </w:t>
      </w:r>
      <w:r w:rsidRPr="005F720D">
        <w:rPr>
          <w:color w:val="000000"/>
        </w:rPr>
        <w:t>исплате</w:t>
      </w:r>
      <w:r w:rsidR="00BD6062" w:rsidRPr="005F720D">
        <w:rPr>
          <w:color w:val="000000"/>
        </w:rPr>
        <w:t xml:space="preserve"> </w:t>
      </w:r>
      <w:r w:rsidRPr="005F720D">
        <w:rPr>
          <w:color w:val="000000"/>
        </w:rPr>
        <w:t>прихода</w:t>
      </w:r>
      <w:r w:rsidR="00BD6062" w:rsidRPr="005F720D">
        <w:rPr>
          <w:color w:val="000000"/>
        </w:rPr>
        <w:t xml:space="preserve">, </w:t>
      </w:r>
      <w:r w:rsidRPr="005F720D">
        <w:rPr>
          <w:color w:val="000000"/>
        </w:rPr>
        <w:t>у</w:t>
      </w:r>
      <w:r w:rsidR="00BD6062" w:rsidRPr="005F720D">
        <w:rPr>
          <w:color w:val="000000"/>
        </w:rPr>
        <w:t xml:space="preserve"> </w:t>
      </w:r>
      <w:r w:rsidRPr="005F720D">
        <w:rPr>
          <w:color w:val="000000"/>
        </w:rPr>
        <w:t>складу</w:t>
      </w:r>
      <w:r w:rsidR="00BD6062" w:rsidRPr="005F720D">
        <w:rPr>
          <w:color w:val="000000"/>
        </w:rPr>
        <w:t xml:space="preserve"> </w:t>
      </w:r>
      <w:r w:rsidRPr="005F720D">
        <w:rPr>
          <w:color w:val="000000"/>
        </w:rPr>
        <w:t>са</w:t>
      </w:r>
      <w:r w:rsidR="00BD6062" w:rsidRPr="005F720D">
        <w:rPr>
          <w:color w:val="000000"/>
        </w:rPr>
        <w:t xml:space="preserve"> </w:t>
      </w:r>
      <w:r w:rsidRPr="005F720D">
        <w:rPr>
          <w:color w:val="000000"/>
        </w:rPr>
        <w:t>прописима</w:t>
      </w:r>
      <w:r w:rsidR="00BD6062" w:rsidRPr="005F720D">
        <w:rPr>
          <w:color w:val="000000"/>
        </w:rPr>
        <w:t xml:space="preserve"> </w:t>
      </w:r>
      <w:r w:rsidRPr="005F720D">
        <w:rPr>
          <w:color w:val="000000"/>
        </w:rPr>
        <w:t>који</w:t>
      </w:r>
      <w:r w:rsidR="00BD6062" w:rsidRPr="005F720D">
        <w:rPr>
          <w:color w:val="000000"/>
        </w:rPr>
        <w:t xml:space="preserve"> </w:t>
      </w:r>
      <w:r w:rsidRPr="005F720D">
        <w:rPr>
          <w:color w:val="000000"/>
        </w:rPr>
        <w:t>важе</w:t>
      </w:r>
      <w:r w:rsidR="00BD6062" w:rsidRPr="005F720D">
        <w:rPr>
          <w:color w:val="000000"/>
        </w:rPr>
        <w:t xml:space="preserve"> </w:t>
      </w:r>
      <w:r w:rsidRPr="005F720D">
        <w:rPr>
          <w:color w:val="000000"/>
        </w:rPr>
        <w:t>на</w:t>
      </w:r>
      <w:r w:rsidR="00BD6062" w:rsidRPr="005F720D">
        <w:rPr>
          <w:color w:val="000000"/>
        </w:rPr>
        <w:t xml:space="preserve"> </w:t>
      </w:r>
      <w:r w:rsidRPr="005F720D">
        <w:rPr>
          <w:color w:val="000000"/>
        </w:rPr>
        <w:t>дан</w:t>
      </w:r>
      <w:r w:rsidR="00BD6062" w:rsidRPr="005F720D">
        <w:rPr>
          <w:color w:val="000000"/>
        </w:rPr>
        <w:t xml:space="preserve"> </w:t>
      </w:r>
      <w:r w:rsidRPr="005F720D">
        <w:rPr>
          <w:color w:val="000000"/>
        </w:rPr>
        <w:t>исплате</w:t>
      </w:r>
      <w:r w:rsidR="00BD6062" w:rsidRPr="005F720D">
        <w:rPr>
          <w:color w:val="000000"/>
        </w:rPr>
        <w:t xml:space="preserve"> </w:t>
      </w:r>
      <w:r w:rsidRPr="005F720D">
        <w:rPr>
          <w:color w:val="000000"/>
        </w:rPr>
        <w:t>прихода</w:t>
      </w:r>
      <w:r w:rsidR="00BD6062" w:rsidRPr="005F720D">
        <w:rPr>
          <w:color w:val="000000"/>
        </w:rPr>
        <w:t>.</w:t>
      </w:r>
    </w:p>
    <w:p w:rsidR="00A22225" w:rsidRPr="005F720D" w:rsidRDefault="00A22225" w:rsidP="005F720D">
      <w:pPr>
        <w:pStyle w:val="normal0"/>
        <w:shd w:val="clear" w:color="auto" w:fill="FFFFFF"/>
        <w:spacing w:before="48" w:beforeAutospacing="0" w:after="48" w:afterAutospacing="0"/>
        <w:ind w:firstLine="708"/>
        <w:jc w:val="both"/>
        <w:rPr>
          <w:color w:val="000000"/>
          <w:lang w:val="sr-Cyrl-CS"/>
        </w:rPr>
      </w:pPr>
    </w:p>
    <w:p w:rsidR="00BD6062" w:rsidRPr="00014DFE" w:rsidRDefault="005F720D" w:rsidP="00014DFE">
      <w:pPr>
        <w:pStyle w:val="normal0"/>
        <w:shd w:val="clear" w:color="auto" w:fill="FFFFFF"/>
        <w:spacing w:before="48" w:beforeAutospacing="0" w:after="48" w:afterAutospacing="0"/>
        <w:ind w:firstLine="708"/>
        <w:jc w:val="both"/>
        <w:rPr>
          <w:color w:val="000000"/>
        </w:rPr>
      </w:pPr>
      <w:r w:rsidRPr="005F720D">
        <w:rPr>
          <w:color w:val="000000"/>
        </w:rPr>
        <w:t>По</w:t>
      </w:r>
      <w:r w:rsidR="00BD6062" w:rsidRPr="005F720D">
        <w:rPr>
          <w:color w:val="000000"/>
        </w:rPr>
        <w:t xml:space="preserve"> </w:t>
      </w:r>
      <w:r w:rsidRPr="005F720D">
        <w:rPr>
          <w:color w:val="000000"/>
        </w:rPr>
        <w:t>решењу</w:t>
      </w:r>
      <w:r w:rsidR="00BD6062" w:rsidRPr="005F720D">
        <w:rPr>
          <w:color w:val="000000"/>
        </w:rPr>
        <w:t xml:space="preserve"> </w:t>
      </w:r>
      <w:r w:rsidRPr="005F720D">
        <w:rPr>
          <w:color w:val="000000"/>
        </w:rPr>
        <w:t>надлежног</w:t>
      </w:r>
      <w:r w:rsidR="00BD6062" w:rsidRPr="005F720D">
        <w:rPr>
          <w:color w:val="000000"/>
        </w:rPr>
        <w:t xml:space="preserve"> </w:t>
      </w:r>
      <w:r w:rsidRPr="005F720D">
        <w:rPr>
          <w:color w:val="000000"/>
        </w:rPr>
        <w:t>пореског</w:t>
      </w:r>
      <w:r w:rsidR="00BD6062" w:rsidRPr="005F720D">
        <w:rPr>
          <w:color w:val="000000"/>
        </w:rPr>
        <w:t xml:space="preserve"> </w:t>
      </w:r>
      <w:r w:rsidRPr="005F720D">
        <w:rPr>
          <w:color w:val="000000"/>
        </w:rPr>
        <w:t>органа</w:t>
      </w:r>
      <w:r w:rsidR="00BD6062" w:rsidRPr="005F720D">
        <w:rPr>
          <w:color w:val="000000"/>
        </w:rPr>
        <w:t xml:space="preserve"> </w:t>
      </w:r>
      <w:r w:rsidRPr="005F720D">
        <w:rPr>
          <w:color w:val="000000"/>
        </w:rPr>
        <w:t>утврђује</w:t>
      </w:r>
      <w:r w:rsidR="00BD6062" w:rsidRPr="005F720D">
        <w:rPr>
          <w:color w:val="000000"/>
        </w:rPr>
        <w:t xml:space="preserve"> </w:t>
      </w:r>
      <w:r w:rsidRPr="005F720D">
        <w:rPr>
          <w:color w:val="000000"/>
        </w:rPr>
        <w:t>се</w:t>
      </w:r>
      <w:r w:rsidR="00BD6062" w:rsidRPr="005F720D">
        <w:rPr>
          <w:color w:val="000000"/>
        </w:rPr>
        <w:t xml:space="preserve"> </w:t>
      </w:r>
      <w:r w:rsidRPr="005F720D">
        <w:rPr>
          <w:color w:val="000000"/>
        </w:rPr>
        <w:t>и</w:t>
      </w:r>
      <w:r w:rsidR="00BD6062" w:rsidRPr="005F720D">
        <w:rPr>
          <w:color w:val="000000"/>
        </w:rPr>
        <w:t xml:space="preserve"> </w:t>
      </w:r>
      <w:r w:rsidRPr="005F720D">
        <w:rPr>
          <w:color w:val="000000"/>
        </w:rPr>
        <w:t>плаћа</w:t>
      </w:r>
      <w:r w:rsidR="00BD6062" w:rsidRPr="005F720D">
        <w:rPr>
          <w:color w:val="000000"/>
        </w:rPr>
        <w:t xml:space="preserve"> </w:t>
      </w:r>
      <w:r w:rsidRPr="005F720D">
        <w:rPr>
          <w:color w:val="000000"/>
        </w:rPr>
        <w:t>порез</w:t>
      </w:r>
      <w:r w:rsidR="00BD6062" w:rsidRPr="005F720D">
        <w:rPr>
          <w:color w:val="000000"/>
        </w:rPr>
        <w:t xml:space="preserve"> </w:t>
      </w:r>
      <w:r w:rsidRPr="005F720D">
        <w:rPr>
          <w:color w:val="000000"/>
        </w:rPr>
        <w:t>на</w:t>
      </w:r>
      <w:r w:rsidR="00BD6062" w:rsidRPr="005F720D">
        <w:rPr>
          <w:color w:val="000000"/>
        </w:rPr>
        <w:t>:</w:t>
      </w:r>
    </w:p>
    <w:p w:rsidR="00BD6062" w:rsidRPr="005F720D" w:rsidRDefault="00BD6062" w:rsidP="005F720D">
      <w:pPr>
        <w:pStyle w:val="normal0"/>
        <w:shd w:val="clear" w:color="auto" w:fill="FFFFFF"/>
        <w:spacing w:before="48" w:beforeAutospacing="0" w:after="48" w:afterAutospacing="0"/>
        <w:jc w:val="both"/>
        <w:rPr>
          <w:color w:val="000000"/>
        </w:rPr>
      </w:pPr>
      <w:r w:rsidRPr="005F720D">
        <w:rPr>
          <w:color w:val="000000"/>
        </w:rPr>
        <w:t xml:space="preserve">1) </w:t>
      </w:r>
      <w:r w:rsidR="005F720D" w:rsidRPr="005F720D">
        <w:rPr>
          <w:color w:val="000000"/>
        </w:rPr>
        <w:t>паушални</w:t>
      </w:r>
      <w:r w:rsidRPr="005F720D">
        <w:rPr>
          <w:color w:val="000000"/>
        </w:rPr>
        <w:t xml:space="preserve"> </w:t>
      </w:r>
      <w:r w:rsidR="005F720D" w:rsidRPr="005F720D">
        <w:rPr>
          <w:color w:val="000000"/>
        </w:rPr>
        <w:t>приход</w:t>
      </w:r>
      <w:r w:rsidRPr="005F720D">
        <w:rPr>
          <w:color w:val="000000"/>
        </w:rPr>
        <w:t xml:space="preserve"> </w:t>
      </w:r>
      <w:r w:rsidR="005F720D" w:rsidRPr="005F720D">
        <w:rPr>
          <w:color w:val="000000"/>
        </w:rPr>
        <w:t>од</w:t>
      </w:r>
      <w:r w:rsidRPr="005F720D">
        <w:rPr>
          <w:color w:val="000000"/>
        </w:rPr>
        <w:t xml:space="preserve"> </w:t>
      </w:r>
      <w:r w:rsidR="005F720D" w:rsidRPr="005F720D">
        <w:rPr>
          <w:color w:val="000000"/>
        </w:rPr>
        <w:t>самосталне</w:t>
      </w:r>
      <w:r w:rsidRPr="005F720D">
        <w:rPr>
          <w:color w:val="000000"/>
        </w:rPr>
        <w:t xml:space="preserve"> </w:t>
      </w:r>
      <w:r w:rsidR="005F720D" w:rsidRPr="005F720D">
        <w:rPr>
          <w:color w:val="000000"/>
        </w:rPr>
        <w:t>делатности</w:t>
      </w:r>
      <w:r w:rsidRPr="005F720D">
        <w:rPr>
          <w:color w:val="000000"/>
        </w:rPr>
        <w:t>;</w:t>
      </w:r>
    </w:p>
    <w:p w:rsidR="00BD6062" w:rsidRDefault="00BD6062" w:rsidP="00014DFE">
      <w:pPr>
        <w:pStyle w:val="normal0"/>
        <w:shd w:val="clear" w:color="auto" w:fill="FFFFFF"/>
        <w:spacing w:before="48" w:beforeAutospacing="0" w:after="48" w:afterAutospacing="0"/>
        <w:jc w:val="both"/>
        <w:rPr>
          <w:color w:val="000000"/>
        </w:rPr>
      </w:pPr>
      <w:r w:rsidRPr="005F720D">
        <w:rPr>
          <w:color w:val="000000"/>
        </w:rPr>
        <w:t xml:space="preserve">2) </w:t>
      </w:r>
      <w:r w:rsidR="005F720D" w:rsidRPr="005F720D">
        <w:rPr>
          <w:color w:val="000000"/>
        </w:rPr>
        <w:t>годишњи</w:t>
      </w:r>
      <w:r w:rsidRPr="005F720D">
        <w:rPr>
          <w:color w:val="000000"/>
        </w:rPr>
        <w:t xml:space="preserve"> </w:t>
      </w:r>
      <w:r w:rsidR="005F720D" w:rsidRPr="005F720D">
        <w:rPr>
          <w:color w:val="000000"/>
        </w:rPr>
        <w:t>порез</w:t>
      </w:r>
      <w:r w:rsidRPr="005F720D">
        <w:rPr>
          <w:color w:val="000000"/>
        </w:rPr>
        <w:t xml:space="preserve"> </w:t>
      </w:r>
      <w:r w:rsidR="005F720D" w:rsidRPr="005F720D">
        <w:rPr>
          <w:color w:val="000000"/>
        </w:rPr>
        <w:t>на</w:t>
      </w:r>
      <w:r w:rsidRPr="005F720D">
        <w:rPr>
          <w:color w:val="000000"/>
        </w:rPr>
        <w:t xml:space="preserve"> </w:t>
      </w:r>
      <w:r w:rsidR="005F720D" w:rsidRPr="005F720D">
        <w:rPr>
          <w:color w:val="000000"/>
        </w:rPr>
        <w:t>доходак</w:t>
      </w:r>
      <w:r w:rsidRPr="005F720D">
        <w:rPr>
          <w:color w:val="000000"/>
        </w:rPr>
        <w:t xml:space="preserve"> </w:t>
      </w:r>
      <w:r w:rsidR="005F720D" w:rsidRPr="005F720D">
        <w:rPr>
          <w:color w:val="000000"/>
        </w:rPr>
        <w:t>грађана</w:t>
      </w:r>
      <w:r w:rsidRPr="005F720D">
        <w:rPr>
          <w:color w:val="000000"/>
        </w:rPr>
        <w:t>.</w:t>
      </w:r>
      <w:r w:rsidRPr="005F720D">
        <w:rPr>
          <w:rStyle w:val="FootnoteReference"/>
          <w:color w:val="000000"/>
        </w:rPr>
        <w:footnoteReference w:id="482"/>
      </w:r>
    </w:p>
    <w:p w:rsidR="00014DFE" w:rsidRPr="00014DFE" w:rsidRDefault="00014DFE" w:rsidP="00014DFE">
      <w:pPr>
        <w:pStyle w:val="normal0"/>
        <w:shd w:val="clear" w:color="auto" w:fill="FFFFFF"/>
        <w:spacing w:before="48" w:beforeAutospacing="0" w:after="48" w:afterAutospacing="0"/>
        <w:jc w:val="both"/>
        <w:rPr>
          <w:color w:val="000000"/>
        </w:rPr>
      </w:pPr>
    </w:p>
    <w:p w:rsidR="00BD6062" w:rsidRPr="00014DFE" w:rsidRDefault="005F720D" w:rsidP="00014DFE">
      <w:pPr>
        <w:pStyle w:val="normal0"/>
        <w:shd w:val="clear" w:color="auto" w:fill="FFFFFF"/>
        <w:spacing w:before="48" w:beforeAutospacing="0" w:after="48" w:afterAutospacing="0"/>
        <w:ind w:firstLine="708"/>
        <w:jc w:val="both"/>
        <w:rPr>
          <w:color w:val="000000"/>
        </w:rPr>
      </w:pPr>
      <w:r w:rsidRPr="005F720D">
        <w:rPr>
          <w:color w:val="000000"/>
        </w:rPr>
        <w:t>Самоопорезивањем</w:t>
      </w:r>
      <w:r w:rsidR="00BD6062" w:rsidRPr="005F720D">
        <w:rPr>
          <w:color w:val="000000"/>
        </w:rPr>
        <w:t xml:space="preserve"> </w:t>
      </w:r>
      <w:r w:rsidRPr="005F720D">
        <w:rPr>
          <w:color w:val="000000"/>
        </w:rPr>
        <w:t>утврђују</w:t>
      </w:r>
      <w:r w:rsidR="00BD6062" w:rsidRPr="005F720D">
        <w:rPr>
          <w:color w:val="000000"/>
        </w:rPr>
        <w:t xml:space="preserve"> </w:t>
      </w:r>
      <w:r w:rsidRPr="005F720D">
        <w:rPr>
          <w:color w:val="000000"/>
        </w:rPr>
        <w:t>се</w:t>
      </w:r>
      <w:r w:rsidR="00BD6062" w:rsidRPr="005F720D">
        <w:rPr>
          <w:color w:val="000000"/>
        </w:rPr>
        <w:t xml:space="preserve"> </w:t>
      </w:r>
      <w:r w:rsidRPr="005F720D">
        <w:rPr>
          <w:color w:val="000000"/>
        </w:rPr>
        <w:t>и</w:t>
      </w:r>
      <w:r w:rsidR="00BD6062" w:rsidRPr="005F720D">
        <w:rPr>
          <w:color w:val="000000"/>
        </w:rPr>
        <w:t xml:space="preserve"> </w:t>
      </w:r>
      <w:r w:rsidRPr="005F720D">
        <w:rPr>
          <w:color w:val="000000"/>
        </w:rPr>
        <w:t>плаћају</w:t>
      </w:r>
      <w:r w:rsidR="00BD6062" w:rsidRPr="005F720D">
        <w:rPr>
          <w:color w:val="000000"/>
        </w:rPr>
        <w:t xml:space="preserve"> </w:t>
      </w:r>
      <w:r w:rsidRPr="005F720D">
        <w:rPr>
          <w:color w:val="000000"/>
        </w:rPr>
        <w:t>порези</w:t>
      </w:r>
      <w:r w:rsidR="00BD6062" w:rsidRPr="005F720D">
        <w:rPr>
          <w:color w:val="000000"/>
        </w:rPr>
        <w:t xml:space="preserve"> </w:t>
      </w:r>
      <w:r w:rsidRPr="005F720D">
        <w:rPr>
          <w:color w:val="000000"/>
        </w:rPr>
        <w:t>на</w:t>
      </w:r>
      <w:r w:rsidR="00BD6062" w:rsidRPr="005F720D">
        <w:rPr>
          <w:color w:val="000000"/>
        </w:rPr>
        <w:t xml:space="preserve"> </w:t>
      </w:r>
      <w:r w:rsidRPr="005F720D">
        <w:rPr>
          <w:color w:val="000000"/>
        </w:rPr>
        <w:t>следеће</w:t>
      </w:r>
      <w:r w:rsidR="00BD6062" w:rsidRPr="005F720D">
        <w:rPr>
          <w:color w:val="000000"/>
        </w:rPr>
        <w:t xml:space="preserve"> </w:t>
      </w:r>
      <w:r w:rsidRPr="005F720D">
        <w:rPr>
          <w:color w:val="000000"/>
        </w:rPr>
        <w:t>приходе</w:t>
      </w:r>
      <w:r w:rsidR="00BD6062" w:rsidRPr="005F720D">
        <w:rPr>
          <w:color w:val="000000"/>
        </w:rPr>
        <w:t>:</w:t>
      </w:r>
    </w:p>
    <w:p w:rsidR="00BD6062" w:rsidRPr="005F720D" w:rsidRDefault="00BD6062" w:rsidP="005F720D">
      <w:pPr>
        <w:pStyle w:val="normal0"/>
        <w:shd w:val="clear" w:color="auto" w:fill="FFFFFF"/>
        <w:spacing w:before="48" w:beforeAutospacing="0" w:after="48" w:afterAutospacing="0"/>
        <w:jc w:val="both"/>
        <w:rPr>
          <w:color w:val="000000"/>
          <w:lang w:val="sr-Cyrl-CS"/>
        </w:rPr>
      </w:pPr>
      <w:r w:rsidRPr="005F720D">
        <w:rPr>
          <w:color w:val="000000"/>
        </w:rPr>
        <w:t xml:space="preserve">1) </w:t>
      </w:r>
      <w:r w:rsidR="005F720D" w:rsidRPr="005F720D">
        <w:rPr>
          <w:color w:val="000000"/>
        </w:rPr>
        <w:t>приходе</w:t>
      </w:r>
      <w:r w:rsidRPr="005F720D">
        <w:rPr>
          <w:color w:val="000000"/>
        </w:rPr>
        <w:t xml:space="preserve"> </w:t>
      </w:r>
      <w:r w:rsidR="005F720D" w:rsidRPr="005F720D">
        <w:rPr>
          <w:color w:val="000000"/>
        </w:rPr>
        <w:t>од</w:t>
      </w:r>
      <w:r w:rsidRPr="005F720D">
        <w:rPr>
          <w:color w:val="000000"/>
        </w:rPr>
        <w:t xml:space="preserve"> </w:t>
      </w:r>
      <w:r w:rsidR="005F720D" w:rsidRPr="005F720D">
        <w:rPr>
          <w:color w:val="000000"/>
        </w:rPr>
        <w:t>самосталне</w:t>
      </w:r>
      <w:r w:rsidRPr="005F720D">
        <w:rPr>
          <w:color w:val="000000"/>
        </w:rPr>
        <w:t xml:space="preserve"> </w:t>
      </w:r>
      <w:r w:rsidR="005F720D" w:rsidRPr="005F720D">
        <w:rPr>
          <w:color w:val="000000"/>
        </w:rPr>
        <w:t>делатности</w:t>
      </w:r>
      <w:r w:rsidRPr="005F720D">
        <w:rPr>
          <w:color w:val="000000"/>
        </w:rPr>
        <w:t xml:space="preserve"> </w:t>
      </w:r>
      <w:r w:rsidR="005F720D" w:rsidRPr="005F720D">
        <w:rPr>
          <w:color w:val="000000"/>
        </w:rPr>
        <w:t>предузетника</w:t>
      </w:r>
      <w:r w:rsidRPr="005F720D">
        <w:rPr>
          <w:color w:val="000000"/>
        </w:rPr>
        <w:t xml:space="preserve"> </w:t>
      </w:r>
      <w:r w:rsidR="005F720D" w:rsidRPr="005F720D">
        <w:rPr>
          <w:color w:val="000000"/>
        </w:rPr>
        <w:t>који</w:t>
      </w:r>
      <w:r w:rsidRPr="005F720D">
        <w:rPr>
          <w:color w:val="000000"/>
        </w:rPr>
        <w:t xml:space="preserve"> </w:t>
      </w:r>
      <w:r w:rsidR="005F720D" w:rsidRPr="005F720D">
        <w:rPr>
          <w:color w:val="000000"/>
        </w:rPr>
        <w:t>води</w:t>
      </w:r>
      <w:r w:rsidRPr="005F720D">
        <w:rPr>
          <w:color w:val="000000"/>
        </w:rPr>
        <w:t xml:space="preserve"> </w:t>
      </w:r>
      <w:r w:rsidR="005F720D" w:rsidRPr="005F720D">
        <w:rPr>
          <w:color w:val="000000"/>
        </w:rPr>
        <w:t>пословне</w:t>
      </w:r>
      <w:r w:rsidRPr="005F720D">
        <w:rPr>
          <w:color w:val="000000"/>
        </w:rPr>
        <w:t xml:space="preserve"> </w:t>
      </w:r>
      <w:r w:rsidR="005F720D" w:rsidRPr="005F720D">
        <w:rPr>
          <w:color w:val="000000"/>
        </w:rPr>
        <w:t>књиге</w:t>
      </w:r>
      <w:r w:rsidRPr="005F720D">
        <w:rPr>
          <w:color w:val="000000"/>
          <w:lang w:val="sr-Cyrl-CS"/>
        </w:rPr>
        <w:t>;</w:t>
      </w:r>
    </w:p>
    <w:p w:rsidR="00BD6062" w:rsidRPr="005F720D" w:rsidRDefault="00BD6062" w:rsidP="005F720D">
      <w:pPr>
        <w:pStyle w:val="normal0"/>
        <w:shd w:val="clear" w:color="auto" w:fill="FFFFFF"/>
        <w:spacing w:before="48" w:beforeAutospacing="0" w:after="48" w:afterAutospacing="0"/>
        <w:jc w:val="both"/>
        <w:rPr>
          <w:color w:val="000000"/>
        </w:rPr>
      </w:pPr>
      <w:r w:rsidRPr="005F720D">
        <w:rPr>
          <w:color w:val="000000"/>
        </w:rPr>
        <w:t xml:space="preserve">2) </w:t>
      </w:r>
      <w:r w:rsidR="005F720D" w:rsidRPr="005F720D">
        <w:rPr>
          <w:color w:val="000000"/>
        </w:rPr>
        <w:t>капиталне</w:t>
      </w:r>
      <w:r w:rsidRPr="005F720D">
        <w:rPr>
          <w:color w:val="000000"/>
        </w:rPr>
        <w:t xml:space="preserve"> </w:t>
      </w:r>
      <w:r w:rsidR="005F720D" w:rsidRPr="005F720D">
        <w:rPr>
          <w:color w:val="000000"/>
        </w:rPr>
        <w:t>добитке</w:t>
      </w:r>
      <w:r w:rsidRPr="005F720D">
        <w:rPr>
          <w:color w:val="000000"/>
        </w:rPr>
        <w:t>;</w:t>
      </w:r>
    </w:p>
    <w:p w:rsidR="00BD6062" w:rsidRPr="005F720D" w:rsidRDefault="00BD6062" w:rsidP="005F720D">
      <w:pPr>
        <w:pStyle w:val="normal0"/>
        <w:shd w:val="clear" w:color="auto" w:fill="FFFFFF"/>
        <w:spacing w:before="48" w:beforeAutospacing="0" w:after="48" w:afterAutospacing="0"/>
        <w:jc w:val="both"/>
        <w:rPr>
          <w:color w:val="000000"/>
        </w:rPr>
      </w:pPr>
      <w:r w:rsidRPr="005F720D">
        <w:rPr>
          <w:color w:val="000000"/>
        </w:rPr>
        <w:t xml:space="preserve">3) </w:t>
      </w:r>
      <w:r w:rsidR="005F720D" w:rsidRPr="005F720D">
        <w:rPr>
          <w:color w:val="000000"/>
        </w:rPr>
        <w:t>приходе</w:t>
      </w:r>
      <w:r w:rsidRPr="005F720D">
        <w:rPr>
          <w:color w:val="000000"/>
        </w:rPr>
        <w:t xml:space="preserve"> </w:t>
      </w:r>
      <w:r w:rsidR="005F720D" w:rsidRPr="005F720D">
        <w:rPr>
          <w:color w:val="000000"/>
        </w:rPr>
        <w:t>које</w:t>
      </w:r>
      <w:r w:rsidRPr="005F720D">
        <w:rPr>
          <w:color w:val="000000"/>
        </w:rPr>
        <w:t xml:space="preserve"> </w:t>
      </w:r>
      <w:r w:rsidR="005F720D" w:rsidRPr="005F720D">
        <w:rPr>
          <w:color w:val="000000"/>
        </w:rPr>
        <w:t>исплаћује</w:t>
      </w:r>
      <w:r w:rsidRPr="005F720D">
        <w:rPr>
          <w:color w:val="000000"/>
        </w:rPr>
        <w:t xml:space="preserve"> </w:t>
      </w:r>
      <w:r w:rsidR="005F720D" w:rsidRPr="005F720D">
        <w:rPr>
          <w:color w:val="000000"/>
        </w:rPr>
        <w:t>исплатилац</w:t>
      </w:r>
      <w:r w:rsidRPr="005F720D">
        <w:rPr>
          <w:color w:val="000000"/>
        </w:rPr>
        <w:t xml:space="preserve"> </w:t>
      </w:r>
      <w:r w:rsidR="005F720D" w:rsidRPr="005F720D">
        <w:rPr>
          <w:color w:val="000000"/>
        </w:rPr>
        <w:t>који</w:t>
      </w:r>
      <w:r w:rsidRPr="005F720D">
        <w:rPr>
          <w:color w:val="000000"/>
        </w:rPr>
        <w:t xml:space="preserve"> </w:t>
      </w:r>
      <w:r w:rsidR="005F720D" w:rsidRPr="005F720D">
        <w:rPr>
          <w:color w:val="000000"/>
        </w:rPr>
        <w:t>није</w:t>
      </w:r>
      <w:r w:rsidRPr="005F720D">
        <w:rPr>
          <w:color w:val="000000"/>
        </w:rPr>
        <w:t xml:space="preserve"> </w:t>
      </w:r>
      <w:r w:rsidR="005F720D" w:rsidRPr="005F720D">
        <w:rPr>
          <w:color w:val="000000"/>
        </w:rPr>
        <w:t>правно</w:t>
      </w:r>
      <w:r w:rsidRPr="005F720D">
        <w:rPr>
          <w:color w:val="000000"/>
        </w:rPr>
        <w:t xml:space="preserve"> </w:t>
      </w:r>
      <w:r w:rsidR="005F720D" w:rsidRPr="005F720D">
        <w:rPr>
          <w:color w:val="000000"/>
        </w:rPr>
        <w:t>лице</w:t>
      </w:r>
      <w:r w:rsidRPr="005F720D">
        <w:rPr>
          <w:color w:val="000000"/>
        </w:rPr>
        <w:t xml:space="preserve"> </w:t>
      </w:r>
      <w:r w:rsidR="005F720D" w:rsidRPr="005F720D">
        <w:rPr>
          <w:color w:val="000000"/>
        </w:rPr>
        <w:t>или</w:t>
      </w:r>
      <w:r w:rsidRPr="005F720D">
        <w:rPr>
          <w:color w:val="000000"/>
        </w:rPr>
        <w:t xml:space="preserve"> </w:t>
      </w:r>
      <w:r w:rsidR="005F720D" w:rsidRPr="005F720D">
        <w:rPr>
          <w:color w:val="000000"/>
        </w:rPr>
        <w:t>предузетник</w:t>
      </w:r>
      <w:r w:rsidRPr="005F720D">
        <w:rPr>
          <w:color w:val="000000"/>
        </w:rPr>
        <w:t xml:space="preserve">, </w:t>
      </w:r>
      <w:r w:rsidR="005F720D" w:rsidRPr="005F720D">
        <w:rPr>
          <w:color w:val="000000"/>
        </w:rPr>
        <w:t>и</w:t>
      </w:r>
      <w:r w:rsidRPr="005F720D">
        <w:rPr>
          <w:color w:val="000000"/>
        </w:rPr>
        <w:t xml:space="preserve"> </w:t>
      </w:r>
      <w:r w:rsidR="005F720D" w:rsidRPr="005F720D">
        <w:rPr>
          <w:color w:val="000000"/>
        </w:rPr>
        <w:t>то</w:t>
      </w:r>
      <w:r w:rsidRPr="005F720D">
        <w:rPr>
          <w:color w:val="000000"/>
        </w:rPr>
        <w:t>:</w:t>
      </w:r>
    </w:p>
    <w:p w:rsidR="00BD6062" w:rsidRPr="005F720D" w:rsidRDefault="00BD6062" w:rsidP="005F720D">
      <w:pPr>
        <w:pStyle w:val="normal0"/>
        <w:shd w:val="clear" w:color="auto" w:fill="FFFFFF"/>
        <w:spacing w:before="48" w:beforeAutospacing="0" w:after="48" w:afterAutospacing="0"/>
        <w:jc w:val="both"/>
        <w:rPr>
          <w:color w:val="000000"/>
        </w:rPr>
      </w:pPr>
      <w:r w:rsidRPr="005F720D">
        <w:rPr>
          <w:color w:val="000000"/>
        </w:rPr>
        <w:t xml:space="preserve">(1) </w:t>
      </w:r>
      <w:r w:rsidR="005F720D" w:rsidRPr="005F720D">
        <w:rPr>
          <w:color w:val="000000"/>
        </w:rPr>
        <w:t>приходе</w:t>
      </w:r>
      <w:r w:rsidRPr="005F720D">
        <w:rPr>
          <w:color w:val="000000"/>
        </w:rPr>
        <w:t xml:space="preserve"> </w:t>
      </w:r>
      <w:r w:rsidR="005F720D" w:rsidRPr="005F720D">
        <w:rPr>
          <w:color w:val="000000"/>
        </w:rPr>
        <w:t>од</w:t>
      </w:r>
      <w:r w:rsidRPr="005F720D">
        <w:rPr>
          <w:color w:val="000000"/>
        </w:rPr>
        <w:t xml:space="preserve"> </w:t>
      </w:r>
      <w:r w:rsidR="005F720D" w:rsidRPr="005F720D">
        <w:rPr>
          <w:color w:val="000000"/>
        </w:rPr>
        <w:t>ауторских</w:t>
      </w:r>
      <w:r w:rsidRPr="005F720D">
        <w:rPr>
          <w:color w:val="000000"/>
        </w:rPr>
        <w:t xml:space="preserve"> </w:t>
      </w:r>
      <w:r w:rsidR="005F720D" w:rsidRPr="005F720D">
        <w:rPr>
          <w:color w:val="000000"/>
        </w:rPr>
        <w:t>права</w:t>
      </w:r>
      <w:r w:rsidRPr="005F720D">
        <w:rPr>
          <w:color w:val="000000"/>
        </w:rPr>
        <w:t xml:space="preserve">, </w:t>
      </w:r>
      <w:r w:rsidR="005F720D" w:rsidRPr="005F720D">
        <w:rPr>
          <w:color w:val="000000"/>
        </w:rPr>
        <w:t>права</w:t>
      </w:r>
      <w:r w:rsidRPr="005F720D">
        <w:rPr>
          <w:color w:val="000000"/>
        </w:rPr>
        <w:t xml:space="preserve"> </w:t>
      </w:r>
      <w:r w:rsidR="005F720D" w:rsidRPr="005F720D">
        <w:rPr>
          <w:color w:val="000000"/>
        </w:rPr>
        <w:t>сродних</w:t>
      </w:r>
      <w:r w:rsidRPr="005F720D">
        <w:rPr>
          <w:color w:val="000000"/>
        </w:rPr>
        <w:t xml:space="preserve"> </w:t>
      </w:r>
      <w:r w:rsidR="005F720D" w:rsidRPr="005F720D">
        <w:rPr>
          <w:color w:val="000000"/>
        </w:rPr>
        <w:t>ауторском</w:t>
      </w:r>
      <w:r w:rsidRPr="005F720D">
        <w:rPr>
          <w:color w:val="000000"/>
        </w:rPr>
        <w:t xml:space="preserve"> </w:t>
      </w:r>
      <w:r w:rsidR="005F720D" w:rsidRPr="005F720D">
        <w:rPr>
          <w:color w:val="000000"/>
        </w:rPr>
        <w:t>праву</w:t>
      </w:r>
      <w:r w:rsidRPr="005F720D">
        <w:rPr>
          <w:color w:val="000000"/>
        </w:rPr>
        <w:t xml:space="preserve"> </w:t>
      </w:r>
      <w:r w:rsidR="005F720D" w:rsidRPr="005F720D">
        <w:rPr>
          <w:color w:val="000000"/>
        </w:rPr>
        <w:t>и</w:t>
      </w:r>
      <w:r w:rsidRPr="005F720D">
        <w:rPr>
          <w:color w:val="000000"/>
        </w:rPr>
        <w:t xml:space="preserve"> </w:t>
      </w:r>
      <w:r w:rsidR="005F720D" w:rsidRPr="005F720D">
        <w:rPr>
          <w:color w:val="000000"/>
        </w:rPr>
        <w:t>права</w:t>
      </w:r>
      <w:r w:rsidRPr="005F720D">
        <w:rPr>
          <w:color w:val="000000"/>
        </w:rPr>
        <w:t xml:space="preserve"> </w:t>
      </w:r>
      <w:r w:rsidR="005F720D" w:rsidRPr="005F720D">
        <w:rPr>
          <w:color w:val="000000"/>
        </w:rPr>
        <w:t>индустријске</w:t>
      </w:r>
      <w:r w:rsidRPr="005F720D">
        <w:rPr>
          <w:color w:val="000000"/>
        </w:rPr>
        <w:t xml:space="preserve"> </w:t>
      </w:r>
      <w:r w:rsidR="005F720D" w:rsidRPr="005F720D">
        <w:rPr>
          <w:color w:val="000000"/>
        </w:rPr>
        <w:t>својине</w:t>
      </w:r>
      <w:r w:rsidRPr="005F720D">
        <w:rPr>
          <w:color w:val="000000"/>
        </w:rPr>
        <w:t>;</w:t>
      </w:r>
    </w:p>
    <w:p w:rsidR="00BD6062" w:rsidRPr="005F720D" w:rsidRDefault="00BD6062" w:rsidP="005F720D">
      <w:pPr>
        <w:pStyle w:val="normal0"/>
        <w:shd w:val="clear" w:color="auto" w:fill="FFFFFF"/>
        <w:spacing w:before="48" w:beforeAutospacing="0" w:after="48" w:afterAutospacing="0"/>
        <w:jc w:val="both"/>
        <w:rPr>
          <w:color w:val="000000"/>
        </w:rPr>
      </w:pPr>
      <w:r w:rsidRPr="005F720D">
        <w:rPr>
          <w:color w:val="000000"/>
        </w:rPr>
        <w:t xml:space="preserve">(2) </w:t>
      </w:r>
      <w:r w:rsidR="005F720D" w:rsidRPr="005F720D">
        <w:rPr>
          <w:color w:val="000000"/>
        </w:rPr>
        <w:t>камате</w:t>
      </w:r>
      <w:r w:rsidRPr="005F720D">
        <w:rPr>
          <w:color w:val="000000"/>
        </w:rPr>
        <w:t>;</w:t>
      </w:r>
    </w:p>
    <w:p w:rsidR="00BD6062" w:rsidRPr="005F720D" w:rsidRDefault="00BD6062" w:rsidP="005F720D">
      <w:pPr>
        <w:pStyle w:val="normal0"/>
        <w:shd w:val="clear" w:color="auto" w:fill="FFFFFF"/>
        <w:spacing w:before="48" w:beforeAutospacing="0" w:after="48" w:afterAutospacing="0"/>
        <w:jc w:val="both"/>
        <w:rPr>
          <w:color w:val="000000"/>
        </w:rPr>
      </w:pPr>
      <w:r w:rsidRPr="005F720D">
        <w:rPr>
          <w:color w:val="000000"/>
        </w:rPr>
        <w:t xml:space="preserve">(3) </w:t>
      </w:r>
      <w:r w:rsidR="005F720D" w:rsidRPr="005F720D">
        <w:rPr>
          <w:color w:val="000000"/>
        </w:rPr>
        <w:t>приходе</w:t>
      </w:r>
      <w:r w:rsidRPr="005F720D">
        <w:rPr>
          <w:color w:val="000000"/>
        </w:rPr>
        <w:t xml:space="preserve"> </w:t>
      </w:r>
      <w:r w:rsidR="005F720D" w:rsidRPr="005F720D">
        <w:rPr>
          <w:color w:val="000000"/>
        </w:rPr>
        <w:t>од</w:t>
      </w:r>
      <w:r w:rsidRPr="005F720D">
        <w:rPr>
          <w:color w:val="000000"/>
        </w:rPr>
        <w:t xml:space="preserve"> </w:t>
      </w:r>
      <w:r w:rsidR="005F720D" w:rsidRPr="005F720D">
        <w:rPr>
          <w:color w:val="000000"/>
        </w:rPr>
        <w:t>издавања</w:t>
      </w:r>
      <w:r w:rsidRPr="005F720D">
        <w:rPr>
          <w:color w:val="000000"/>
        </w:rPr>
        <w:t xml:space="preserve"> </w:t>
      </w:r>
      <w:r w:rsidR="005F720D" w:rsidRPr="005F720D">
        <w:rPr>
          <w:color w:val="000000"/>
        </w:rPr>
        <w:t>непокретности</w:t>
      </w:r>
      <w:r w:rsidRPr="005F720D">
        <w:rPr>
          <w:color w:val="000000"/>
        </w:rPr>
        <w:t xml:space="preserve"> </w:t>
      </w:r>
      <w:r w:rsidR="005F720D" w:rsidRPr="005F720D">
        <w:rPr>
          <w:color w:val="000000"/>
        </w:rPr>
        <w:t>и</w:t>
      </w:r>
      <w:r w:rsidRPr="005F720D">
        <w:rPr>
          <w:color w:val="000000"/>
        </w:rPr>
        <w:t xml:space="preserve"> </w:t>
      </w:r>
      <w:r w:rsidR="005F720D" w:rsidRPr="005F720D">
        <w:rPr>
          <w:color w:val="000000"/>
        </w:rPr>
        <w:t>давања</w:t>
      </w:r>
      <w:r w:rsidRPr="005F720D">
        <w:rPr>
          <w:color w:val="000000"/>
        </w:rPr>
        <w:t xml:space="preserve"> </w:t>
      </w:r>
      <w:r w:rsidR="005F720D" w:rsidRPr="005F720D">
        <w:rPr>
          <w:color w:val="000000"/>
        </w:rPr>
        <w:t>у</w:t>
      </w:r>
      <w:r w:rsidRPr="005F720D">
        <w:rPr>
          <w:color w:val="000000"/>
        </w:rPr>
        <w:t xml:space="preserve"> </w:t>
      </w:r>
      <w:r w:rsidR="005F720D" w:rsidRPr="005F720D">
        <w:rPr>
          <w:color w:val="000000"/>
        </w:rPr>
        <w:t>закуп</w:t>
      </w:r>
      <w:r w:rsidRPr="005F720D">
        <w:rPr>
          <w:color w:val="000000"/>
        </w:rPr>
        <w:t xml:space="preserve"> </w:t>
      </w:r>
      <w:r w:rsidR="005F720D" w:rsidRPr="005F720D">
        <w:rPr>
          <w:color w:val="000000"/>
        </w:rPr>
        <w:t>покретних</w:t>
      </w:r>
      <w:r w:rsidRPr="005F720D">
        <w:rPr>
          <w:color w:val="000000"/>
        </w:rPr>
        <w:t xml:space="preserve"> </w:t>
      </w:r>
      <w:r w:rsidR="005F720D" w:rsidRPr="005F720D">
        <w:rPr>
          <w:color w:val="000000"/>
        </w:rPr>
        <w:t>ствари</w:t>
      </w:r>
      <w:r w:rsidRPr="005F720D">
        <w:rPr>
          <w:color w:val="000000"/>
        </w:rPr>
        <w:t>;</w:t>
      </w:r>
    </w:p>
    <w:p w:rsidR="00BD6062" w:rsidRPr="005F720D" w:rsidRDefault="00BD6062" w:rsidP="005F720D">
      <w:pPr>
        <w:pStyle w:val="normal0"/>
        <w:shd w:val="clear" w:color="auto" w:fill="FFFFFF"/>
        <w:spacing w:before="48" w:beforeAutospacing="0" w:after="48" w:afterAutospacing="0"/>
        <w:jc w:val="both"/>
        <w:rPr>
          <w:color w:val="000000"/>
        </w:rPr>
      </w:pPr>
      <w:r w:rsidRPr="005F720D">
        <w:rPr>
          <w:color w:val="000000"/>
        </w:rPr>
        <w:t xml:space="preserve">(4) </w:t>
      </w:r>
      <w:r w:rsidR="005F720D" w:rsidRPr="005F720D">
        <w:rPr>
          <w:color w:val="000000"/>
        </w:rPr>
        <w:t>друге</w:t>
      </w:r>
      <w:r w:rsidRPr="005F720D">
        <w:rPr>
          <w:color w:val="000000"/>
        </w:rPr>
        <w:t xml:space="preserve"> </w:t>
      </w:r>
      <w:r w:rsidR="005F720D" w:rsidRPr="005F720D">
        <w:rPr>
          <w:color w:val="000000"/>
        </w:rPr>
        <w:t>приходе</w:t>
      </w:r>
      <w:r w:rsidRPr="005F720D">
        <w:rPr>
          <w:color w:val="000000"/>
        </w:rPr>
        <w:t>.</w:t>
      </w:r>
      <w:r w:rsidRPr="005F720D">
        <w:rPr>
          <w:rStyle w:val="FootnoteReference"/>
          <w:color w:val="000000"/>
        </w:rPr>
        <w:footnoteReference w:id="483"/>
      </w:r>
    </w:p>
    <w:p w:rsidR="00717D0E" w:rsidRPr="005F720D" w:rsidRDefault="00717D0E" w:rsidP="005F720D">
      <w:pPr>
        <w:ind w:firstLine="708"/>
        <w:jc w:val="both"/>
        <w:rPr>
          <w:rFonts w:ascii="Times New Roman" w:hAnsi="Times New Roman"/>
          <w:sz w:val="24"/>
          <w:szCs w:val="24"/>
          <w:lang w:val="sr-Cyrl-CS"/>
        </w:rPr>
      </w:pPr>
    </w:p>
    <w:p w:rsidR="00A22225" w:rsidRPr="00213488" w:rsidRDefault="005F720D" w:rsidP="00213488">
      <w:pPr>
        <w:ind w:firstLine="708"/>
        <w:jc w:val="both"/>
        <w:rPr>
          <w:rFonts w:ascii="Times New Roman" w:hAnsi="Times New Roman"/>
          <w:sz w:val="24"/>
          <w:szCs w:val="24"/>
          <w:lang w:val="sr-Cyrl-CS"/>
        </w:rPr>
      </w:pPr>
      <w:r w:rsidRPr="004F668A">
        <w:rPr>
          <w:rFonts w:ascii="Times New Roman" w:hAnsi="Times New Roman"/>
          <w:sz w:val="24"/>
          <w:szCs w:val="24"/>
        </w:rPr>
        <w:lastRenderedPageBreak/>
        <w:t>За</w:t>
      </w:r>
      <w:r w:rsidR="00A22225" w:rsidRPr="004F668A">
        <w:rPr>
          <w:rFonts w:ascii="Times New Roman" w:hAnsi="Times New Roman"/>
          <w:sz w:val="24"/>
          <w:szCs w:val="24"/>
        </w:rPr>
        <w:t xml:space="preserve"> </w:t>
      </w:r>
      <w:r w:rsidRPr="004F668A">
        <w:rPr>
          <w:rFonts w:ascii="Times New Roman" w:hAnsi="Times New Roman"/>
          <w:sz w:val="24"/>
          <w:szCs w:val="24"/>
        </w:rPr>
        <w:t>приходе</w:t>
      </w:r>
      <w:r w:rsidR="00A22225" w:rsidRPr="004F668A">
        <w:rPr>
          <w:rFonts w:ascii="Times New Roman" w:hAnsi="Times New Roman"/>
          <w:sz w:val="24"/>
          <w:szCs w:val="24"/>
        </w:rPr>
        <w:t xml:space="preserve"> </w:t>
      </w:r>
      <w:r w:rsidRPr="004F668A">
        <w:rPr>
          <w:rFonts w:ascii="Times New Roman" w:hAnsi="Times New Roman"/>
          <w:sz w:val="24"/>
          <w:szCs w:val="24"/>
        </w:rPr>
        <w:t>од</w:t>
      </w:r>
      <w:r w:rsidR="00A22225" w:rsidRPr="004F668A">
        <w:rPr>
          <w:rFonts w:ascii="Times New Roman" w:hAnsi="Times New Roman"/>
          <w:sz w:val="24"/>
          <w:szCs w:val="24"/>
        </w:rPr>
        <w:t xml:space="preserve"> </w:t>
      </w:r>
      <w:r w:rsidRPr="004F668A">
        <w:rPr>
          <w:rFonts w:ascii="Times New Roman" w:hAnsi="Times New Roman"/>
          <w:sz w:val="24"/>
          <w:szCs w:val="24"/>
        </w:rPr>
        <w:t>капитала</w:t>
      </w:r>
      <w:r w:rsidR="00A22225" w:rsidRPr="004F668A">
        <w:rPr>
          <w:rFonts w:ascii="Times New Roman" w:hAnsi="Times New Roman"/>
          <w:sz w:val="24"/>
          <w:szCs w:val="24"/>
        </w:rPr>
        <w:t xml:space="preserve"> </w:t>
      </w:r>
      <w:r w:rsidRPr="004F668A">
        <w:rPr>
          <w:rFonts w:ascii="Times New Roman" w:hAnsi="Times New Roman"/>
          <w:sz w:val="24"/>
          <w:szCs w:val="24"/>
        </w:rPr>
        <w:t>по</w:t>
      </w:r>
      <w:r w:rsidR="00A22225" w:rsidRPr="004F668A">
        <w:rPr>
          <w:rFonts w:ascii="Times New Roman" w:hAnsi="Times New Roman"/>
          <w:sz w:val="24"/>
          <w:szCs w:val="24"/>
        </w:rPr>
        <w:t xml:space="preserve"> </w:t>
      </w:r>
      <w:r w:rsidRPr="004F668A">
        <w:rPr>
          <w:rFonts w:ascii="Times New Roman" w:hAnsi="Times New Roman"/>
          <w:sz w:val="24"/>
          <w:szCs w:val="24"/>
        </w:rPr>
        <w:t>основу</w:t>
      </w:r>
      <w:r w:rsidR="00A22225" w:rsidRPr="004F668A">
        <w:rPr>
          <w:rFonts w:ascii="Times New Roman" w:hAnsi="Times New Roman"/>
          <w:sz w:val="24"/>
          <w:szCs w:val="24"/>
        </w:rPr>
        <w:t xml:space="preserve"> </w:t>
      </w:r>
      <w:r w:rsidRPr="004F668A">
        <w:rPr>
          <w:rFonts w:ascii="Times New Roman" w:hAnsi="Times New Roman"/>
          <w:sz w:val="24"/>
          <w:szCs w:val="24"/>
        </w:rPr>
        <w:t>камате</w:t>
      </w:r>
      <w:r w:rsidR="00A22225" w:rsidRPr="004F668A">
        <w:rPr>
          <w:rFonts w:ascii="Times New Roman" w:hAnsi="Times New Roman"/>
          <w:sz w:val="24"/>
          <w:szCs w:val="24"/>
        </w:rPr>
        <w:t xml:space="preserve">, </w:t>
      </w:r>
      <w:r w:rsidRPr="004F668A">
        <w:rPr>
          <w:rFonts w:ascii="Times New Roman" w:hAnsi="Times New Roman"/>
          <w:sz w:val="24"/>
          <w:szCs w:val="24"/>
        </w:rPr>
        <w:t>банка</w:t>
      </w:r>
      <w:r w:rsidR="00A22225" w:rsidRPr="004F668A">
        <w:rPr>
          <w:rFonts w:ascii="Times New Roman" w:hAnsi="Times New Roman"/>
          <w:sz w:val="24"/>
          <w:szCs w:val="24"/>
        </w:rPr>
        <w:t xml:space="preserve"> </w:t>
      </w:r>
      <w:r w:rsidRPr="004F668A">
        <w:rPr>
          <w:rFonts w:ascii="Times New Roman" w:hAnsi="Times New Roman"/>
          <w:sz w:val="24"/>
          <w:szCs w:val="24"/>
        </w:rPr>
        <w:t>или</w:t>
      </w:r>
      <w:r w:rsidR="00A22225" w:rsidRPr="004F668A">
        <w:rPr>
          <w:rFonts w:ascii="Times New Roman" w:hAnsi="Times New Roman"/>
          <w:sz w:val="24"/>
          <w:szCs w:val="24"/>
        </w:rPr>
        <w:t xml:space="preserve"> </w:t>
      </w:r>
      <w:r w:rsidRPr="004F668A">
        <w:rPr>
          <w:rFonts w:ascii="Times New Roman" w:hAnsi="Times New Roman"/>
          <w:sz w:val="24"/>
          <w:szCs w:val="24"/>
        </w:rPr>
        <w:t>други</w:t>
      </w:r>
      <w:r w:rsidR="00A22225" w:rsidRPr="004F668A">
        <w:rPr>
          <w:rFonts w:ascii="Times New Roman" w:hAnsi="Times New Roman"/>
          <w:sz w:val="24"/>
          <w:szCs w:val="24"/>
        </w:rPr>
        <w:t xml:space="preserve"> </w:t>
      </w:r>
      <w:r w:rsidRPr="004F668A">
        <w:rPr>
          <w:rFonts w:ascii="Times New Roman" w:hAnsi="Times New Roman"/>
          <w:sz w:val="24"/>
          <w:szCs w:val="24"/>
        </w:rPr>
        <w:t>исплатилац</w:t>
      </w:r>
      <w:r w:rsidR="00A22225" w:rsidRPr="004F668A">
        <w:rPr>
          <w:rFonts w:ascii="Times New Roman" w:hAnsi="Times New Roman"/>
          <w:sz w:val="24"/>
          <w:szCs w:val="24"/>
        </w:rPr>
        <w:t xml:space="preserve"> </w:t>
      </w:r>
      <w:r w:rsidRPr="004F668A">
        <w:rPr>
          <w:rFonts w:ascii="Times New Roman" w:hAnsi="Times New Roman"/>
          <w:sz w:val="24"/>
          <w:szCs w:val="24"/>
        </w:rPr>
        <w:t>прихода</w:t>
      </w:r>
      <w:r w:rsidR="00A22225" w:rsidRPr="004F668A">
        <w:rPr>
          <w:rFonts w:ascii="Times New Roman" w:hAnsi="Times New Roman"/>
          <w:sz w:val="24"/>
          <w:szCs w:val="24"/>
        </w:rPr>
        <w:t xml:space="preserve"> </w:t>
      </w:r>
      <w:r w:rsidRPr="004F668A">
        <w:rPr>
          <w:rFonts w:ascii="Times New Roman" w:hAnsi="Times New Roman"/>
          <w:sz w:val="24"/>
          <w:szCs w:val="24"/>
        </w:rPr>
        <w:t>дужан</w:t>
      </w:r>
      <w:r w:rsidR="00A22225" w:rsidRPr="004F668A">
        <w:rPr>
          <w:rFonts w:ascii="Times New Roman" w:hAnsi="Times New Roman"/>
          <w:sz w:val="24"/>
          <w:szCs w:val="24"/>
        </w:rPr>
        <w:t xml:space="preserve"> </w:t>
      </w:r>
      <w:r w:rsidRPr="004F668A">
        <w:rPr>
          <w:rFonts w:ascii="Times New Roman" w:hAnsi="Times New Roman"/>
          <w:sz w:val="24"/>
          <w:szCs w:val="24"/>
        </w:rPr>
        <w:t>је</w:t>
      </w:r>
      <w:r w:rsidR="00A22225" w:rsidRPr="004F668A">
        <w:rPr>
          <w:rFonts w:ascii="Times New Roman" w:hAnsi="Times New Roman"/>
          <w:sz w:val="24"/>
          <w:szCs w:val="24"/>
        </w:rPr>
        <w:t xml:space="preserve"> </w:t>
      </w:r>
      <w:r w:rsidRPr="004F668A">
        <w:rPr>
          <w:rFonts w:ascii="Times New Roman" w:hAnsi="Times New Roman"/>
          <w:sz w:val="24"/>
          <w:szCs w:val="24"/>
        </w:rPr>
        <w:t>да</w:t>
      </w:r>
      <w:r w:rsidR="00A22225" w:rsidRPr="004F668A">
        <w:rPr>
          <w:rFonts w:ascii="Times New Roman" w:hAnsi="Times New Roman"/>
          <w:sz w:val="24"/>
          <w:szCs w:val="24"/>
        </w:rPr>
        <w:t xml:space="preserve"> </w:t>
      </w:r>
      <w:r w:rsidRPr="004F668A">
        <w:rPr>
          <w:rFonts w:ascii="Times New Roman" w:hAnsi="Times New Roman"/>
          <w:sz w:val="24"/>
          <w:szCs w:val="24"/>
        </w:rPr>
        <w:t>у</w:t>
      </w:r>
      <w:r w:rsidR="00A22225" w:rsidRPr="004F668A">
        <w:rPr>
          <w:rFonts w:ascii="Times New Roman" w:hAnsi="Times New Roman"/>
          <w:sz w:val="24"/>
          <w:szCs w:val="24"/>
        </w:rPr>
        <w:t xml:space="preserve"> </w:t>
      </w:r>
      <w:r w:rsidRPr="004F668A">
        <w:rPr>
          <w:rFonts w:ascii="Times New Roman" w:hAnsi="Times New Roman"/>
          <w:sz w:val="24"/>
          <w:szCs w:val="24"/>
        </w:rPr>
        <w:t>току</w:t>
      </w:r>
      <w:r w:rsidR="00A22225" w:rsidRPr="004F668A">
        <w:rPr>
          <w:rFonts w:ascii="Times New Roman" w:hAnsi="Times New Roman"/>
          <w:sz w:val="24"/>
          <w:szCs w:val="24"/>
        </w:rPr>
        <w:t xml:space="preserve"> </w:t>
      </w:r>
      <w:r w:rsidRPr="004F668A">
        <w:rPr>
          <w:rFonts w:ascii="Times New Roman" w:hAnsi="Times New Roman"/>
          <w:sz w:val="24"/>
          <w:szCs w:val="24"/>
        </w:rPr>
        <w:t>године</w:t>
      </w:r>
      <w:r w:rsidR="00A22225" w:rsidRPr="004F668A">
        <w:rPr>
          <w:rFonts w:ascii="Times New Roman" w:hAnsi="Times New Roman"/>
          <w:sz w:val="24"/>
          <w:szCs w:val="24"/>
        </w:rPr>
        <w:t xml:space="preserve"> </w:t>
      </w:r>
      <w:r w:rsidRPr="004F668A">
        <w:rPr>
          <w:rFonts w:ascii="Times New Roman" w:hAnsi="Times New Roman"/>
          <w:sz w:val="24"/>
          <w:szCs w:val="24"/>
        </w:rPr>
        <w:t>утврди</w:t>
      </w:r>
      <w:r w:rsidR="00A22225" w:rsidRPr="004F668A">
        <w:rPr>
          <w:rFonts w:ascii="Times New Roman" w:hAnsi="Times New Roman"/>
          <w:sz w:val="24"/>
          <w:szCs w:val="24"/>
        </w:rPr>
        <w:t xml:space="preserve"> </w:t>
      </w:r>
      <w:r w:rsidRPr="004F668A">
        <w:rPr>
          <w:rFonts w:ascii="Times New Roman" w:hAnsi="Times New Roman"/>
          <w:sz w:val="24"/>
          <w:szCs w:val="24"/>
        </w:rPr>
        <w:t>порез</w:t>
      </w:r>
      <w:r w:rsidR="00A22225" w:rsidRPr="004F668A">
        <w:rPr>
          <w:rFonts w:ascii="Times New Roman" w:hAnsi="Times New Roman"/>
          <w:sz w:val="24"/>
          <w:szCs w:val="24"/>
        </w:rPr>
        <w:t xml:space="preserve"> </w:t>
      </w:r>
      <w:r w:rsidRPr="004F668A">
        <w:rPr>
          <w:rFonts w:ascii="Times New Roman" w:hAnsi="Times New Roman"/>
          <w:sz w:val="24"/>
          <w:szCs w:val="24"/>
        </w:rPr>
        <w:t>по</w:t>
      </w:r>
      <w:r w:rsidR="00A22225" w:rsidRPr="004F668A">
        <w:rPr>
          <w:rFonts w:ascii="Times New Roman" w:hAnsi="Times New Roman"/>
          <w:sz w:val="24"/>
          <w:szCs w:val="24"/>
        </w:rPr>
        <w:t xml:space="preserve"> </w:t>
      </w:r>
      <w:r w:rsidRPr="004F668A">
        <w:rPr>
          <w:rFonts w:ascii="Times New Roman" w:hAnsi="Times New Roman"/>
          <w:sz w:val="24"/>
          <w:szCs w:val="24"/>
        </w:rPr>
        <w:t>одбитку</w:t>
      </w:r>
      <w:r w:rsidR="00A22225" w:rsidRPr="004F668A">
        <w:rPr>
          <w:rFonts w:ascii="Times New Roman" w:hAnsi="Times New Roman"/>
          <w:sz w:val="24"/>
          <w:szCs w:val="24"/>
        </w:rPr>
        <w:t xml:space="preserve"> </w:t>
      </w:r>
      <w:r w:rsidRPr="004F668A">
        <w:rPr>
          <w:rFonts w:ascii="Times New Roman" w:hAnsi="Times New Roman"/>
          <w:sz w:val="24"/>
          <w:szCs w:val="24"/>
        </w:rPr>
        <w:t>у</w:t>
      </w:r>
      <w:r w:rsidR="00A22225" w:rsidRPr="004F668A">
        <w:rPr>
          <w:rFonts w:ascii="Times New Roman" w:hAnsi="Times New Roman"/>
          <w:sz w:val="24"/>
          <w:szCs w:val="24"/>
        </w:rPr>
        <w:t xml:space="preserve"> </w:t>
      </w:r>
      <w:r w:rsidRPr="004F668A">
        <w:rPr>
          <w:rFonts w:ascii="Times New Roman" w:hAnsi="Times New Roman"/>
          <w:sz w:val="24"/>
          <w:szCs w:val="24"/>
        </w:rPr>
        <w:t>моменту</w:t>
      </w:r>
      <w:r w:rsidR="00A22225" w:rsidRPr="004F668A">
        <w:rPr>
          <w:rFonts w:ascii="Times New Roman" w:hAnsi="Times New Roman"/>
          <w:sz w:val="24"/>
          <w:szCs w:val="24"/>
        </w:rPr>
        <w:t xml:space="preserve"> </w:t>
      </w:r>
      <w:r w:rsidRPr="004F668A">
        <w:rPr>
          <w:rFonts w:ascii="Times New Roman" w:hAnsi="Times New Roman"/>
          <w:sz w:val="24"/>
          <w:szCs w:val="24"/>
        </w:rPr>
        <w:t>исплате</w:t>
      </w:r>
      <w:r w:rsidR="00A22225" w:rsidRPr="004F668A">
        <w:rPr>
          <w:rFonts w:ascii="Times New Roman" w:hAnsi="Times New Roman"/>
          <w:sz w:val="24"/>
          <w:szCs w:val="24"/>
        </w:rPr>
        <w:t xml:space="preserve">, </w:t>
      </w:r>
      <w:r w:rsidRPr="004F668A">
        <w:rPr>
          <w:rFonts w:ascii="Times New Roman" w:hAnsi="Times New Roman"/>
          <w:sz w:val="24"/>
          <w:szCs w:val="24"/>
        </w:rPr>
        <w:t>односно</w:t>
      </w:r>
      <w:r w:rsidR="00A22225" w:rsidRPr="004F668A">
        <w:rPr>
          <w:rFonts w:ascii="Times New Roman" w:hAnsi="Times New Roman"/>
          <w:sz w:val="24"/>
          <w:szCs w:val="24"/>
        </w:rPr>
        <w:t xml:space="preserve"> </w:t>
      </w:r>
      <w:r w:rsidRPr="004F668A">
        <w:rPr>
          <w:rFonts w:ascii="Times New Roman" w:hAnsi="Times New Roman"/>
          <w:sz w:val="24"/>
          <w:szCs w:val="24"/>
        </w:rPr>
        <w:t>приликом</w:t>
      </w:r>
      <w:r w:rsidR="00A22225" w:rsidRPr="004F668A">
        <w:rPr>
          <w:rFonts w:ascii="Times New Roman" w:hAnsi="Times New Roman"/>
          <w:sz w:val="24"/>
          <w:szCs w:val="24"/>
        </w:rPr>
        <w:t xml:space="preserve"> </w:t>
      </w:r>
      <w:r w:rsidRPr="004F668A">
        <w:rPr>
          <w:rFonts w:ascii="Times New Roman" w:hAnsi="Times New Roman"/>
          <w:sz w:val="24"/>
          <w:szCs w:val="24"/>
        </w:rPr>
        <w:t>приписивања</w:t>
      </w:r>
      <w:r w:rsidR="00A22225" w:rsidRPr="004F668A">
        <w:rPr>
          <w:rFonts w:ascii="Times New Roman" w:hAnsi="Times New Roman"/>
          <w:sz w:val="24"/>
          <w:szCs w:val="24"/>
        </w:rPr>
        <w:t xml:space="preserve"> </w:t>
      </w:r>
      <w:r w:rsidRPr="004F668A">
        <w:rPr>
          <w:rFonts w:ascii="Times New Roman" w:hAnsi="Times New Roman"/>
          <w:sz w:val="24"/>
          <w:szCs w:val="24"/>
        </w:rPr>
        <w:t>камате</w:t>
      </w:r>
      <w:r w:rsidR="00A22225" w:rsidRPr="004F668A">
        <w:rPr>
          <w:rFonts w:ascii="Times New Roman" w:hAnsi="Times New Roman"/>
          <w:sz w:val="24"/>
          <w:szCs w:val="24"/>
        </w:rPr>
        <w:t xml:space="preserve">, </w:t>
      </w:r>
      <w:r w:rsidRPr="004F668A">
        <w:rPr>
          <w:rFonts w:ascii="Times New Roman" w:hAnsi="Times New Roman"/>
          <w:sz w:val="24"/>
          <w:szCs w:val="24"/>
        </w:rPr>
        <w:t>а</w:t>
      </w:r>
      <w:r w:rsidR="00A22225" w:rsidRPr="004F668A">
        <w:rPr>
          <w:rFonts w:ascii="Times New Roman" w:hAnsi="Times New Roman"/>
          <w:sz w:val="24"/>
          <w:szCs w:val="24"/>
        </w:rPr>
        <w:t xml:space="preserve"> </w:t>
      </w:r>
      <w:r w:rsidRPr="004F668A">
        <w:rPr>
          <w:rFonts w:ascii="Times New Roman" w:hAnsi="Times New Roman"/>
          <w:sz w:val="24"/>
          <w:szCs w:val="24"/>
        </w:rPr>
        <w:t>најкасније</w:t>
      </w:r>
      <w:r w:rsidR="00A22225" w:rsidRPr="004F668A">
        <w:rPr>
          <w:rFonts w:ascii="Times New Roman" w:hAnsi="Times New Roman"/>
          <w:sz w:val="24"/>
          <w:szCs w:val="24"/>
        </w:rPr>
        <w:t xml:space="preserve"> </w:t>
      </w:r>
      <w:r w:rsidRPr="004F668A">
        <w:rPr>
          <w:rFonts w:ascii="Times New Roman" w:hAnsi="Times New Roman"/>
          <w:sz w:val="24"/>
          <w:szCs w:val="24"/>
        </w:rPr>
        <w:t>код</w:t>
      </w:r>
      <w:r w:rsidR="00A22225" w:rsidRPr="004F668A">
        <w:rPr>
          <w:rFonts w:ascii="Times New Roman" w:hAnsi="Times New Roman"/>
          <w:sz w:val="24"/>
          <w:szCs w:val="24"/>
        </w:rPr>
        <w:t xml:space="preserve"> </w:t>
      </w:r>
      <w:r w:rsidRPr="004F668A">
        <w:rPr>
          <w:rFonts w:ascii="Times New Roman" w:hAnsi="Times New Roman"/>
          <w:sz w:val="24"/>
          <w:szCs w:val="24"/>
        </w:rPr>
        <w:t>годишњег</w:t>
      </w:r>
      <w:r w:rsidR="00A22225" w:rsidRPr="004F668A">
        <w:rPr>
          <w:rFonts w:ascii="Times New Roman" w:hAnsi="Times New Roman"/>
          <w:sz w:val="24"/>
          <w:szCs w:val="24"/>
        </w:rPr>
        <w:t xml:space="preserve"> </w:t>
      </w:r>
      <w:r w:rsidRPr="004F668A">
        <w:rPr>
          <w:rFonts w:ascii="Times New Roman" w:hAnsi="Times New Roman"/>
          <w:sz w:val="24"/>
          <w:szCs w:val="24"/>
        </w:rPr>
        <w:t>обрачуна</w:t>
      </w:r>
      <w:r w:rsidR="00A22225" w:rsidRPr="004F668A">
        <w:rPr>
          <w:rFonts w:ascii="Times New Roman" w:hAnsi="Times New Roman"/>
          <w:sz w:val="24"/>
          <w:szCs w:val="24"/>
        </w:rPr>
        <w:t xml:space="preserve"> </w:t>
      </w:r>
      <w:r w:rsidRPr="004F668A">
        <w:rPr>
          <w:rFonts w:ascii="Times New Roman" w:hAnsi="Times New Roman"/>
          <w:sz w:val="24"/>
          <w:szCs w:val="24"/>
        </w:rPr>
        <w:t>камате</w:t>
      </w:r>
      <w:r w:rsidR="00213488">
        <w:rPr>
          <w:rFonts w:ascii="Times New Roman" w:hAnsi="Times New Roman"/>
          <w:sz w:val="24"/>
          <w:szCs w:val="24"/>
          <w:lang w:val="sr-Cyrl-CS"/>
        </w:rPr>
        <w:t xml:space="preserve"> </w:t>
      </w:r>
      <w:r w:rsidRPr="004F668A">
        <w:rPr>
          <w:rFonts w:ascii="Times New Roman" w:hAnsi="Times New Roman"/>
          <w:sz w:val="24"/>
          <w:szCs w:val="24"/>
        </w:rPr>
        <w:t>Изузетно</w:t>
      </w:r>
      <w:r w:rsidR="00A22225" w:rsidRPr="004F668A">
        <w:rPr>
          <w:rFonts w:ascii="Times New Roman" w:hAnsi="Times New Roman"/>
          <w:sz w:val="24"/>
          <w:szCs w:val="24"/>
        </w:rPr>
        <w:t xml:space="preserve"> </w:t>
      </w:r>
      <w:r w:rsidR="00A22225" w:rsidRPr="004F668A">
        <w:rPr>
          <w:rFonts w:ascii="Times New Roman" w:hAnsi="Times New Roman"/>
          <w:sz w:val="24"/>
          <w:szCs w:val="24"/>
          <w:lang w:val="sr-Cyrl-CS"/>
        </w:rPr>
        <w:t>од овога</w:t>
      </w:r>
      <w:r w:rsidR="00A22225" w:rsidRPr="004F668A">
        <w:rPr>
          <w:rFonts w:ascii="Times New Roman" w:hAnsi="Times New Roman"/>
          <w:sz w:val="24"/>
          <w:szCs w:val="24"/>
        </w:rPr>
        <w:t xml:space="preserve">, </w:t>
      </w:r>
      <w:r w:rsidRPr="004F668A">
        <w:rPr>
          <w:rFonts w:ascii="Times New Roman" w:hAnsi="Times New Roman"/>
          <w:sz w:val="24"/>
          <w:szCs w:val="24"/>
        </w:rPr>
        <w:t>када</w:t>
      </w:r>
      <w:r w:rsidR="00A22225" w:rsidRPr="004F668A">
        <w:rPr>
          <w:rFonts w:ascii="Times New Roman" w:hAnsi="Times New Roman"/>
          <w:sz w:val="24"/>
          <w:szCs w:val="24"/>
        </w:rPr>
        <w:t xml:space="preserve"> </w:t>
      </w:r>
      <w:r w:rsidRPr="004F668A">
        <w:rPr>
          <w:rFonts w:ascii="Times New Roman" w:hAnsi="Times New Roman"/>
          <w:sz w:val="24"/>
          <w:szCs w:val="24"/>
        </w:rPr>
        <w:t>се</w:t>
      </w:r>
      <w:r w:rsidR="00A22225" w:rsidRPr="004F668A">
        <w:rPr>
          <w:rFonts w:ascii="Times New Roman" w:hAnsi="Times New Roman"/>
          <w:sz w:val="24"/>
          <w:szCs w:val="24"/>
        </w:rPr>
        <w:t xml:space="preserve"> </w:t>
      </w:r>
      <w:r w:rsidRPr="004F668A">
        <w:rPr>
          <w:rFonts w:ascii="Times New Roman" w:hAnsi="Times New Roman"/>
          <w:sz w:val="24"/>
          <w:szCs w:val="24"/>
        </w:rPr>
        <w:t>салдирање</w:t>
      </w:r>
      <w:r w:rsidR="00A22225" w:rsidRPr="004F668A">
        <w:rPr>
          <w:rFonts w:ascii="Times New Roman" w:hAnsi="Times New Roman"/>
          <w:sz w:val="24"/>
          <w:szCs w:val="24"/>
        </w:rPr>
        <w:t xml:space="preserve"> </w:t>
      </w:r>
      <w:r w:rsidRPr="004F668A">
        <w:rPr>
          <w:rFonts w:ascii="Times New Roman" w:hAnsi="Times New Roman"/>
          <w:sz w:val="24"/>
          <w:szCs w:val="24"/>
        </w:rPr>
        <w:t>новца</w:t>
      </w:r>
      <w:r w:rsidR="00A22225" w:rsidRPr="004F668A">
        <w:rPr>
          <w:rFonts w:ascii="Times New Roman" w:hAnsi="Times New Roman"/>
          <w:sz w:val="24"/>
          <w:szCs w:val="24"/>
        </w:rPr>
        <w:t xml:space="preserve"> </w:t>
      </w:r>
      <w:r w:rsidRPr="004F668A">
        <w:rPr>
          <w:rFonts w:ascii="Times New Roman" w:hAnsi="Times New Roman"/>
          <w:sz w:val="24"/>
          <w:szCs w:val="24"/>
        </w:rPr>
        <w:t>по</w:t>
      </w:r>
      <w:r w:rsidR="00A22225" w:rsidRPr="004F668A">
        <w:rPr>
          <w:rFonts w:ascii="Times New Roman" w:hAnsi="Times New Roman"/>
          <w:sz w:val="24"/>
          <w:szCs w:val="24"/>
        </w:rPr>
        <w:t xml:space="preserve"> </w:t>
      </w:r>
      <w:r w:rsidRPr="004F668A">
        <w:rPr>
          <w:rFonts w:ascii="Times New Roman" w:hAnsi="Times New Roman"/>
          <w:sz w:val="24"/>
          <w:szCs w:val="24"/>
        </w:rPr>
        <w:t>основу</w:t>
      </w:r>
      <w:r w:rsidR="00A22225" w:rsidRPr="004F668A">
        <w:rPr>
          <w:rFonts w:ascii="Times New Roman" w:hAnsi="Times New Roman"/>
          <w:sz w:val="24"/>
          <w:szCs w:val="24"/>
        </w:rPr>
        <w:t xml:space="preserve"> </w:t>
      </w:r>
      <w:r w:rsidRPr="004F668A">
        <w:rPr>
          <w:rFonts w:ascii="Times New Roman" w:hAnsi="Times New Roman"/>
          <w:sz w:val="24"/>
          <w:szCs w:val="24"/>
        </w:rPr>
        <w:t>отуђења</w:t>
      </w:r>
      <w:r w:rsidR="00A22225" w:rsidRPr="004F668A">
        <w:rPr>
          <w:rFonts w:ascii="Times New Roman" w:hAnsi="Times New Roman"/>
          <w:sz w:val="24"/>
          <w:szCs w:val="24"/>
        </w:rPr>
        <w:t xml:space="preserve"> </w:t>
      </w:r>
      <w:r w:rsidRPr="004F668A">
        <w:rPr>
          <w:rFonts w:ascii="Times New Roman" w:hAnsi="Times New Roman"/>
          <w:sz w:val="24"/>
          <w:szCs w:val="24"/>
        </w:rPr>
        <w:t>или</w:t>
      </w:r>
      <w:r w:rsidR="00A22225" w:rsidRPr="004F668A">
        <w:rPr>
          <w:rFonts w:ascii="Times New Roman" w:hAnsi="Times New Roman"/>
          <w:sz w:val="24"/>
          <w:szCs w:val="24"/>
        </w:rPr>
        <w:t xml:space="preserve"> </w:t>
      </w:r>
      <w:r w:rsidRPr="004F668A">
        <w:rPr>
          <w:rFonts w:ascii="Times New Roman" w:hAnsi="Times New Roman"/>
          <w:sz w:val="24"/>
          <w:szCs w:val="24"/>
        </w:rPr>
        <w:t>откупа</w:t>
      </w:r>
      <w:r w:rsidR="00A22225" w:rsidRPr="004F668A">
        <w:rPr>
          <w:rFonts w:ascii="Times New Roman" w:hAnsi="Times New Roman"/>
          <w:sz w:val="24"/>
          <w:szCs w:val="24"/>
        </w:rPr>
        <w:t xml:space="preserve"> </w:t>
      </w:r>
      <w:r w:rsidRPr="004F668A">
        <w:rPr>
          <w:rFonts w:ascii="Times New Roman" w:hAnsi="Times New Roman"/>
          <w:sz w:val="24"/>
          <w:szCs w:val="24"/>
        </w:rPr>
        <w:t>дужничке</w:t>
      </w:r>
      <w:r w:rsidR="00A22225" w:rsidRPr="004F668A">
        <w:rPr>
          <w:rFonts w:ascii="Times New Roman" w:hAnsi="Times New Roman"/>
          <w:sz w:val="24"/>
          <w:szCs w:val="24"/>
        </w:rPr>
        <w:t xml:space="preserve"> </w:t>
      </w:r>
      <w:r w:rsidRPr="004F668A">
        <w:rPr>
          <w:rFonts w:ascii="Times New Roman" w:hAnsi="Times New Roman"/>
          <w:sz w:val="24"/>
          <w:szCs w:val="24"/>
        </w:rPr>
        <w:t>хартије</w:t>
      </w:r>
      <w:r w:rsidR="00A22225" w:rsidRPr="004F668A">
        <w:rPr>
          <w:rFonts w:ascii="Times New Roman" w:hAnsi="Times New Roman"/>
          <w:sz w:val="24"/>
          <w:szCs w:val="24"/>
        </w:rPr>
        <w:t xml:space="preserve"> </w:t>
      </w:r>
      <w:r w:rsidRPr="004F668A">
        <w:rPr>
          <w:rFonts w:ascii="Times New Roman" w:hAnsi="Times New Roman"/>
          <w:sz w:val="24"/>
          <w:szCs w:val="24"/>
        </w:rPr>
        <w:t>од</w:t>
      </w:r>
      <w:r w:rsidR="00A22225" w:rsidRPr="004F668A">
        <w:rPr>
          <w:rFonts w:ascii="Times New Roman" w:hAnsi="Times New Roman"/>
          <w:sz w:val="24"/>
          <w:szCs w:val="24"/>
        </w:rPr>
        <w:t xml:space="preserve"> </w:t>
      </w:r>
      <w:r w:rsidRPr="004F668A">
        <w:rPr>
          <w:rFonts w:ascii="Times New Roman" w:hAnsi="Times New Roman"/>
          <w:sz w:val="24"/>
          <w:szCs w:val="24"/>
        </w:rPr>
        <w:t>вредности</w:t>
      </w:r>
      <w:r w:rsidR="00A22225" w:rsidRPr="004F668A">
        <w:rPr>
          <w:rFonts w:ascii="Times New Roman" w:hAnsi="Times New Roman"/>
          <w:sz w:val="24"/>
          <w:szCs w:val="24"/>
        </w:rPr>
        <w:t xml:space="preserve"> </w:t>
      </w:r>
      <w:r w:rsidRPr="004F668A">
        <w:rPr>
          <w:rFonts w:ascii="Times New Roman" w:hAnsi="Times New Roman"/>
          <w:sz w:val="24"/>
          <w:szCs w:val="24"/>
        </w:rPr>
        <w:t>врши</w:t>
      </w:r>
      <w:r w:rsidR="00A22225" w:rsidRPr="004F668A">
        <w:rPr>
          <w:rFonts w:ascii="Times New Roman" w:hAnsi="Times New Roman"/>
          <w:sz w:val="24"/>
          <w:szCs w:val="24"/>
        </w:rPr>
        <w:t xml:space="preserve"> </w:t>
      </w:r>
      <w:r w:rsidRPr="004F668A">
        <w:rPr>
          <w:rFonts w:ascii="Times New Roman" w:hAnsi="Times New Roman"/>
          <w:sz w:val="24"/>
          <w:szCs w:val="24"/>
        </w:rPr>
        <w:t>преко</w:t>
      </w:r>
      <w:r w:rsidR="00A22225" w:rsidRPr="004F668A">
        <w:rPr>
          <w:rFonts w:ascii="Times New Roman" w:hAnsi="Times New Roman"/>
          <w:sz w:val="24"/>
          <w:szCs w:val="24"/>
        </w:rPr>
        <w:t xml:space="preserve"> </w:t>
      </w:r>
      <w:r w:rsidRPr="004F668A">
        <w:rPr>
          <w:rFonts w:ascii="Times New Roman" w:hAnsi="Times New Roman"/>
          <w:sz w:val="24"/>
          <w:szCs w:val="24"/>
        </w:rPr>
        <w:t>Централног</w:t>
      </w:r>
      <w:r w:rsidR="00A22225" w:rsidRPr="004F668A">
        <w:rPr>
          <w:rFonts w:ascii="Times New Roman" w:hAnsi="Times New Roman"/>
          <w:sz w:val="24"/>
          <w:szCs w:val="24"/>
        </w:rPr>
        <w:t xml:space="preserve"> </w:t>
      </w:r>
      <w:r w:rsidRPr="004F668A">
        <w:rPr>
          <w:rFonts w:ascii="Times New Roman" w:hAnsi="Times New Roman"/>
          <w:sz w:val="24"/>
          <w:szCs w:val="24"/>
        </w:rPr>
        <w:t>регистра</w:t>
      </w:r>
      <w:r w:rsidR="00A22225" w:rsidRPr="004F668A">
        <w:rPr>
          <w:rFonts w:ascii="Times New Roman" w:hAnsi="Times New Roman"/>
          <w:sz w:val="24"/>
          <w:szCs w:val="24"/>
        </w:rPr>
        <w:t xml:space="preserve">, </w:t>
      </w:r>
      <w:r w:rsidRPr="004F668A">
        <w:rPr>
          <w:rFonts w:ascii="Times New Roman" w:hAnsi="Times New Roman"/>
          <w:sz w:val="24"/>
          <w:szCs w:val="24"/>
        </w:rPr>
        <w:t>депоа</w:t>
      </w:r>
      <w:r w:rsidR="00A22225" w:rsidRPr="004F668A">
        <w:rPr>
          <w:rFonts w:ascii="Times New Roman" w:hAnsi="Times New Roman"/>
          <w:sz w:val="24"/>
          <w:szCs w:val="24"/>
        </w:rPr>
        <w:t xml:space="preserve"> </w:t>
      </w:r>
      <w:r w:rsidRPr="004F668A">
        <w:rPr>
          <w:rFonts w:ascii="Times New Roman" w:hAnsi="Times New Roman"/>
          <w:sz w:val="24"/>
          <w:szCs w:val="24"/>
        </w:rPr>
        <w:t>и</w:t>
      </w:r>
      <w:r w:rsidR="00A22225" w:rsidRPr="004F668A">
        <w:rPr>
          <w:rFonts w:ascii="Times New Roman" w:hAnsi="Times New Roman"/>
          <w:sz w:val="24"/>
          <w:szCs w:val="24"/>
        </w:rPr>
        <w:t xml:space="preserve"> </w:t>
      </w:r>
      <w:r w:rsidRPr="004F668A">
        <w:rPr>
          <w:rFonts w:ascii="Times New Roman" w:hAnsi="Times New Roman"/>
          <w:sz w:val="24"/>
          <w:szCs w:val="24"/>
        </w:rPr>
        <w:t>клиринга</w:t>
      </w:r>
      <w:r w:rsidR="00A22225" w:rsidRPr="004F668A">
        <w:rPr>
          <w:rFonts w:ascii="Times New Roman" w:hAnsi="Times New Roman"/>
          <w:sz w:val="24"/>
          <w:szCs w:val="24"/>
        </w:rPr>
        <w:t xml:space="preserve"> </w:t>
      </w:r>
      <w:r w:rsidRPr="004F668A">
        <w:rPr>
          <w:rFonts w:ascii="Times New Roman" w:hAnsi="Times New Roman"/>
          <w:sz w:val="24"/>
          <w:szCs w:val="24"/>
        </w:rPr>
        <w:t>хартија</w:t>
      </w:r>
      <w:r w:rsidR="00A22225" w:rsidRPr="004F668A">
        <w:rPr>
          <w:rFonts w:ascii="Times New Roman" w:hAnsi="Times New Roman"/>
          <w:sz w:val="24"/>
          <w:szCs w:val="24"/>
        </w:rPr>
        <w:t xml:space="preserve"> </w:t>
      </w:r>
      <w:r w:rsidRPr="004F668A">
        <w:rPr>
          <w:rFonts w:ascii="Times New Roman" w:hAnsi="Times New Roman"/>
          <w:sz w:val="24"/>
          <w:szCs w:val="24"/>
        </w:rPr>
        <w:t>од</w:t>
      </w:r>
      <w:r w:rsidR="00A22225" w:rsidRPr="004F668A">
        <w:rPr>
          <w:rFonts w:ascii="Times New Roman" w:hAnsi="Times New Roman"/>
          <w:sz w:val="24"/>
          <w:szCs w:val="24"/>
        </w:rPr>
        <w:t xml:space="preserve"> </w:t>
      </w:r>
      <w:r w:rsidRPr="004F668A">
        <w:rPr>
          <w:rFonts w:ascii="Times New Roman" w:hAnsi="Times New Roman"/>
          <w:sz w:val="24"/>
          <w:szCs w:val="24"/>
        </w:rPr>
        <w:t>вредности</w:t>
      </w:r>
      <w:r w:rsidR="00A22225" w:rsidRPr="004F668A">
        <w:rPr>
          <w:rFonts w:ascii="Times New Roman" w:hAnsi="Times New Roman"/>
          <w:sz w:val="24"/>
          <w:szCs w:val="24"/>
        </w:rPr>
        <w:t xml:space="preserve"> (</w:t>
      </w:r>
      <w:r w:rsidRPr="004F668A">
        <w:rPr>
          <w:rFonts w:ascii="Times New Roman" w:hAnsi="Times New Roman"/>
          <w:sz w:val="24"/>
          <w:szCs w:val="24"/>
        </w:rPr>
        <w:t>у</w:t>
      </w:r>
      <w:r w:rsidR="00A22225" w:rsidRPr="004F668A">
        <w:rPr>
          <w:rFonts w:ascii="Times New Roman" w:hAnsi="Times New Roman"/>
          <w:sz w:val="24"/>
          <w:szCs w:val="24"/>
        </w:rPr>
        <w:t xml:space="preserve"> </w:t>
      </w:r>
      <w:r w:rsidRPr="004F668A">
        <w:rPr>
          <w:rFonts w:ascii="Times New Roman" w:hAnsi="Times New Roman"/>
          <w:sz w:val="24"/>
          <w:szCs w:val="24"/>
        </w:rPr>
        <w:t>даљем</w:t>
      </w:r>
      <w:r w:rsidR="00A22225" w:rsidRPr="004F668A">
        <w:rPr>
          <w:rFonts w:ascii="Times New Roman" w:hAnsi="Times New Roman"/>
          <w:sz w:val="24"/>
          <w:szCs w:val="24"/>
        </w:rPr>
        <w:t xml:space="preserve"> </w:t>
      </w:r>
      <w:r w:rsidRPr="004F668A">
        <w:rPr>
          <w:rFonts w:ascii="Times New Roman" w:hAnsi="Times New Roman"/>
          <w:sz w:val="24"/>
          <w:szCs w:val="24"/>
        </w:rPr>
        <w:t>тексту</w:t>
      </w:r>
      <w:r w:rsidR="00A22225" w:rsidRPr="004F668A">
        <w:rPr>
          <w:rFonts w:ascii="Times New Roman" w:hAnsi="Times New Roman"/>
          <w:sz w:val="24"/>
          <w:szCs w:val="24"/>
        </w:rPr>
        <w:t xml:space="preserve">: </w:t>
      </w:r>
      <w:r w:rsidRPr="004F668A">
        <w:rPr>
          <w:rFonts w:ascii="Times New Roman" w:hAnsi="Times New Roman"/>
          <w:sz w:val="24"/>
          <w:szCs w:val="24"/>
        </w:rPr>
        <w:t>Централни</w:t>
      </w:r>
      <w:r w:rsidR="00A22225" w:rsidRPr="004F668A">
        <w:rPr>
          <w:rFonts w:ascii="Times New Roman" w:hAnsi="Times New Roman"/>
          <w:sz w:val="24"/>
          <w:szCs w:val="24"/>
        </w:rPr>
        <w:t xml:space="preserve"> </w:t>
      </w:r>
      <w:r w:rsidRPr="004F668A">
        <w:rPr>
          <w:rFonts w:ascii="Times New Roman" w:hAnsi="Times New Roman"/>
          <w:sz w:val="24"/>
          <w:szCs w:val="24"/>
        </w:rPr>
        <w:t>регистар</w:t>
      </w:r>
      <w:r w:rsidR="00A22225" w:rsidRPr="004F668A">
        <w:rPr>
          <w:rFonts w:ascii="Times New Roman" w:hAnsi="Times New Roman"/>
          <w:sz w:val="24"/>
          <w:szCs w:val="24"/>
        </w:rPr>
        <w:t xml:space="preserve">), </w:t>
      </w:r>
      <w:r w:rsidRPr="004F668A">
        <w:rPr>
          <w:rFonts w:ascii="Times New Roman" w:hAnsi="Times New Roman"/>
          <w:sz w:val="24"/>
          <w:szCs w:val="24"/>
        </w:rPr>
        <w:t>Централни</w:t>
      </w:r>
      <w:r w:rsidR="00A22225" w:rsidRPr="004F668A">
        <w:rPr>
          <w:rFonts w:ascii="Times New Roman" w:hAnsi="Times New Roman"/>
          <w:sz w:val="24"/>
          <w:szCs w:val="24"/>
        </w:rPr>
        <w:t xml:space="preserve"> </w:t>
      </w:r>
      <w:r w:rsidRPr="004F668A">
        <w:rPr>
          <w:rFonts w:ascii="Times New Roman" w:hAnsi="Times New Roman"/>
          <w:sz w:val="24"/>
          <w:szCs w:val="24"/>
        </w:rPr>
        <w:t>регистар</w:t>
      </w:r>
      <w:r w:rsidR="00A22225" w:rsidRPr="004F668A">
        <w:rPr>
          <w:rFonts w:ascii="Times New Roman" w:hAnsi="Times New Roman"/>
          <w:sz w:val="24"/>
          <w:szCs w:val="24"/>
        </w:rPr>
        <w:t xml:space="preserve"> </w:t>
      </w:r>
      <w:r w:rsidRPr="004F668A">
        <w:rPr>
          <w:rFonts w:ascii="Times New Roman" w:hAnsi="Times New Roman"/>
          <w:sz w:val="24"/>
          <w:szCs w:val="24"/>
        </w:rPr>
        <w:t>у</w:t>
      </w:r>
      <w:r w:rsidR="00A22225" w:rsidRPr="004F668A">
        <w:rPr>
          <w:rFonts w:ascii="Times New Roman" w:hAnsi="Times New Roman"/>
          <w:sz w:val="24"/>
          <w:szCs w:val="24"/>
        </w:rPr>
        <w:t xml:space="preserve"> </w:t>
      </w:r>
      <w:r w:rsidRPr="004F668A">
        <w:rPr>
          <w:rFonts w:ascii="Times New Roman" w:hAnsi="Times New Roman"/>
          <w:sz w:val="24"/>
          <w:szCs w:val="24"/>
        </w:rPr>
        <w:t>моменту</w:t>
      </w:r>
      <w:r w:rsidR="00A22225" w:rsidRPr="004F668A">
        <w:rPr>
          <w:rFonts w:ascii="Times New Roman" w:hAnsi="Times New Roman"/>
          <w:sz w:val="24"/>
          <w:szCs w:val="24"/>
        </w:rPr>
        <w:t xml:space="preserve"> </w:t>
      </w:r>
      <w:r w:rsidRPr="004F668A">
        <w:rPr>
          <w:rFonts w:ascii="Times New Roman" w:hAnsi="Times New Roman"/>
          <w:sz w:val="24"/>
          <w:szCs w:val="24"/>
        </w:rPr>
        <w:t>салдирања</w:t>
      </w:r>
      <w:r w:rsidR="00A22225" w:rsidRPr="004F668A">
        <w:rPr>
          <w:rFonts w:ascii="Times New Roman" w:hAnsi="Times New Roman"/>
          <w:sz w:val="24"/>
          <w:szCs w:val="24"/>
        </w:rPr>
        <w:t xml:space="preserve"> </w:t>
      </w:r>
      <w:r w:rsidRPr="004F668A">
        <w:rPr>
          <w:rFonts w:ascii="Times New Roman" w:hAnsi="Times New Roman"/>
          <w:sz w:val="24"/>
          <w:szCs w:val="24"/>
        </w:rPr>
        <w:t>новца</w:t>
      </w:r>
      <w:r w:rsidR="00A22225" w:rsidRPr="004F668A">
        <w:rPr>
          <w:rFonts w:ascii="Times New Roman" w:hAnsi="Times New Roman"/>
          <w:sz w:val="24"/>
          <w:szCs w:val="24"/>
        </w:rPr>
        <w:t xml:space="preserve"> </w:t>
      </w:r>
      <w:r w:rsidRPr="004F668A">
        <w:rPr>
          <w:rFonts w:ascii="Times New Roman" w:hAnsi="Times New Roman"/>
          <w:sz w:val="24"/>
          <w:szCs w:val="24"/>
        </w:rPr>
        <w:t>по</w:t>
      </w:r>
      <w:r w:rsidR="00A22225" w:rsidRPr="004F668A">
        <w:rPr>
          <w:rFonts w:ascii="Times New Roman" w:hAnsi="Times New Roman"/>
          <w:sz w:val="24"/>
          <w:szCs w:val="24"/>
        </w:rPr>
        <w:t xml:space="preserve"> </w:t>
      </w:r>
      <w:r w:rsidRPr="004F668A">
        <w:rPr>
          <w:rFonts w:ascii="Times New Roman" w:hAnsi="Times New Roman"/>
          <w:sz w:val="24"/>
          <w:szCs w:val="24"/>
        </w:rPr>
        <w:t>основу</w:t>
      </w:r>
      <w:r w:rsidR="00A22225" w:rsidRPr="004F668A">
        <w:rPr>
          <w:rFonts w:ascii="Times New Roman" w:hAnsi="Times New Roman"/>
          <w:sz w:val="24"/>
          <w:szCs w:val="24"/>
        </w:rPr>
        <w:t xml:space="preserve"> </w:t>
      </w:r>
      <w:r w:rsidRPr="004F668A">
        <w:rPr>
          <w:rFonts w:ascii="Times New Roman" w:hAnsi="Times New Roman"/>
          <w:sz w:val="24"/>
          <w:szCs w:val="24"/>
        </w:rPr>
        <w:t>отуђења</w:t>
      </w:r>
      <w:r w:rsidR="00A22225" w:rsidRPr="004F668A">
        <w:rPr>
          <w:rFonts w:ascii="Times New Roman" w:hAnsi="Times New Roman"/>
          <w:sz w:val="24"/>
          <w:szCs w:val="24"/>
        </w:rPr>
        <w:t xml:space="preserve"> </w:t>
      </w:r>
      <w:r w:rsidRPr="004F668A">
        <w:rPr>
          <w:rFonts w:ascii="Times New Roman" w:hAnsi="Times New Roman"/>
          <w:sz w:val="24"/>
          <w:szCs w:val="24"/>
        </w:rPr>
        <w:t>или</w:t>
      </w:r>
      <w:r w:rsidR="00A22225" w:rsidRPr="004F668A">
        <w:rPr>
          <w:rFonts w:ascii="Times New Roman" w:hAnsi="Times New Roman"/>
          <w:sz w:val="24"/>
          <w:szCs w:val="24"/>
        </w:rPr>
        <w:t xml:space="preserve"> </w:t>
      </w:r>
      <w:r w:rsidRPr="004F668A">
        <w:rPr>
          <w:rFonts w:ascii="Times New Roman" w:hAnsi="Times New Roman"/>
          <w:sz w:val="24"/>
          <w:szCs w:val="24"/>
        </w:rPr>
        <w:t>откупа</w:t>
      </w:r>
      <w:r w:rsidR="00A22225" w:rsidRPr="004F668A">
        <w:rPr>
          <w:rFonts w:ascii="Times New Roman" w:hAnsi="Times New Roman"/>
          <w:sz w:val="24"/>
          <w:szCs w:val="24"/>
        </w:rPr>
        <w:t xml:space="preserve"> </w:t>
      </w:r>
      <w:r w:rsidRPr="004F668A">
        <w:rPr>
          <w:rFonts w:ascii="Times New Roman" w:hAnsi="Times New Roman"/>
          <w:sz w:val="24"/>
          <w:szCs w:val="24"/>
        </w:rPr>
        <w:t>дужничке</w:t>
      </w:r>
      <w:r w:rsidR="00A22225" w:rsidRPr="004F668A">
        <w:rPr>
          <w:rFonts w:ascii="Times New Roman" w:hAnsi="Times New Roman"/>
          <w:sz w:val="24"/>
          <w:szCs w:val="24"/>
        </w:rPr>
        <w:t xml:space="preserve"> </w:t>
      </w:r>
      <w:r w:rsidRPr="004F668A">
        <w:rPr>
          <w:rFonts w:ascii="Times New Roman" w:hAnsi="Times New Roman"/>
          <w:sz w:val="24"/>
          <w:szCs w:val="24"/>
        </w:rPr>
        <w:t>хартије</w:t>
      </w:r>
      <w:r w:rsidR="00A22225" w:rsidRPr="004F668A">
        <w:rPr>
          <w:rFonts w:ascii="Times New Roman" w:hAnsi="Times New Roman"/>
          <w:sz w:val="24"/>
          <w:szCs w:val="24"/>
        </w:rPr>
        <w:t xml:space="preserve"> </w:t>
      </w:r>
      <w:r w:rsidRPr="004F668A">
        <w:rPr>
          <w:rFonts w:ascii="Times New Roman" w:hAnsi="Times New Roman"/>
          <w:sz w:val="24"/>
          <w:szCs w:val="24"/>
        </w:rPr>
        <w:t>од</w:t>
      </w:r>
      <w:r w:rsidR="00A22225" w:rsidRPr="004F668A">
        <w:rPr>
          <w:rFonts w:ascii="Times New Roman" w:hAnsi="Times New Roman"/>
          <w:sz w:val="24"/>
          <w:szCs w:val="24"/>
        </w:rPr>
        <w:t xml:space="preserve"> </w:t>
      </w:r>
      <w:r w:rsidRPr="004F668A">
        <w:rPr>
          <w:rFonts w:ascii="Times New Roman" w:hAnsi="Times New Roman"/>
          <w:sz w:val="24"/>
          <w:szCs w:val="24"/>
        </w:rPr>
        <w:t>вредности</w:t>
      </w:r>
      <w:r w:rsidR="00A22225" w:rsidRPr="004F668A">
        <w:rPr>
          <w:rFonts w:ascii="Times New Roman" w:hAnsi="Times New Roman"/>
          <w:sz w:val="24"/>
          <w:szCs w:val="24"/>
        </w:rPr>
        <w:t xml:space="preserve">, </w:t>
      </w:r>
      <w:r w:rsidRPr="004F668A">
        <w:rPr>
          <w:rFonts w:ascii="Times New Roman" w:hAnsi="Times New Roman"/>
          <w:sz w:val="24"/>
          <w:szCs w:val="24"/>
        </w:rPr>
        <w:t>обрачунава</w:t>
      </w:r>
      <w:r w:rsidR="00A22225" w:rsidRPr="004F668A">
        <w:rPr>
          <w:rFonts w:ascii="Times New Roman" w:hAnsi="Times New Roman"/>
          <w:sz w:val="24"/>
          <w:szCs w:val="24"/>
        </w:rPr>
        <w:t xml:space="preserve">, </w:t>
      </w:r>
      <w:r w:rsidRPr="004F668A">
        <w:rPr>
          <w:rFonts w:ascii="Times New Roman" w:hAnsi="Times New Roman"/>
          <w:sz w:val="24"/>
          <w:szCs w:val="24"/>
        </w:rPr>
        <w:t>обуставља</w:t>
      </w:r>
      <w:r w:rsidR="00A22225" w:rsidRPr="004F668A">
        <w:rPr>
          <w:rFonts w:ascii="Times New Roman" w:hAnsi="Times New Roman"/>
          <w:sz w:val="24"/>
          <w:szCs w:val="24"/>
        </w:rPr>
        <w:t xml:space="preserve"> </w:t>
      </w:r>
      <w:r w:rsidRPr="004F668A">
        <w:rPr>
          <w:rFonts w:ascii="Times New Roman" w:hAnsi="Times New Roman"/>
          <w:sz w:val="24"/>
          <w:szCs w:val="24"/>
        </w:rPr>
        <w:t>и</w:t>
      </w:r>
      <w:r w:rsidR="00A22225" w:rsidRPr="004F668A">
        <w:rPr>
          <w:rFonts w:ascii="Times New Roman" w:hAnsi="Times New Roman"/>
          <w:sz w:val="24"/>
          <w:szCs w:val="24"/>
        </w:rPr>
        <w:t xml:space="preserve"> </w:t>
      </w:r>
      <w:r w:rsidRPr="004F668A">
        <w:rPr>
          <w:rFonts w:ascii="Times New Roman" w:hAnsi="Times New Roman"/>
          <w:sz w:val="24"/>
          <w:szCs w:val="24"/>
        </w:rPr>
        <w:t>уплаћује</w:t>
      </w:r>
      <w:r w:rsidR="00A22225" w:rsidRPr="004F668A">
        <w:rPr>
          <w:rFonts w:ascii="Times New Roman" w:hAnsi="Times New Roman"/>
          <w:sz w:val="24"/>
          <w:szCs w:val="24"/>
        </w:rPr>
        <w:t xml:space="preserve"> </w:t>
      </w:r>
      <w:r w:rsidRPr="004F668A">
        <w:rPr>
          <w:rFonts w:ascii="Times New Roman" w:hAnsi="Times New Roman"/>
          <w:sz w:val="24"/>
          <w:szCs w:val="24"/>
        </w:rPr>
        <w:t>на</w:t>
      </w:r>
      <w:r w:rsidR="00A22225" w:rsidRPr="004F668A">
        <w:rPr>
          <w:rFonts w:ascii="Times New Roman" w:hAnsi="Times New Roman"/>
          <w:sz w:val="24"/>
          <w:szCs w:val="24"/>
        </w:rPr>
        <w:t xml:space="preserve"> </w:t>
      </w:r>
      <w:r w:rsidRPr="004F668A">
        <w:rPr>
          <w:rFonts w:ascii="Times New Roman" w:hAnsi="Times New Roman"/>
          <w:sz w:val="24"/>
          <w:szCs w:val="24"/>
        </w:rPr>
        <w:t>прописани</w:t>
      </w:r>
      <w:r w:rsidR="00A22225" w:rsidRPr="004F668A">
        <w:rPr>
          <w:rFonts w:ascii="Times New Roman" w:hAnsi="Times New Roman"/>
          <w:sz w:val="24"/>
          <w:szCs w:val="24"/>
        </w:rPr>
        <w:t xml:space="preserve"> </w:t>
      </w:r>
      <w:r w:rsidRPr="004F668A">
        <w:rPr>
          <w:rFonts w:ascii="Times New Roman" w:hAnsi="Times New Roman"/>
          <w:sz w:val="24"/>
          <w:szCs w:val="24"/>
        </w:rPr>
        <w:t>уплатни</w:t>
      </w:r>
      <w:r w:rsidR="00A22225" w:rsidRPr="004F668A">
        <w:rPr>
          <w:rFonts w:ascii="Times New Roman" w:hAnsi="Times New Roman"/>
          <w:sz w:val="24"/>
          <w:szCs w:val="24"/>
        </w:rPr>
        <w:t xml:space="preserve"> </w:t>
      </w:r>
      <w:r w:rsidRPr="004F668A">
        <w:rPr>
          <w:rFonts w:ascii="Times New Roman" w:hAnsi="Times New Roman"/>
          <w:sz w:val="24"/>
          <w:szCs w:val="24"/>
        </w:rPr>
        <w:t>рачун</w:t>
      </w:r>
      <w:r w:rsidR="00A22225" w:rsidRPr="004F668A">
        <w:rPr>
          <w:rFonts w:ascii="Times New Roman" w:hAnsi="Times New Roman"/>
          <w:sz w:val="24"/>
          <w:szCs w:val="24"/>
        </w:rPr>
        <w:t xml:space="preserve"> </w:t>
      </w:r>
      <w:r w:rsidRPr="004F668A">
        <w:rPr>
          <w:rFonts w:ascii="Times New Roman" w:hAnsi="Times New Roman"/>
          <w:sz w:val="24"/>
          <w:szCs w:val="24"/>
        </w:rPr>
        <w:t>порез</w:t>
      </w:r>
      <w:r w:rsidR="00A22225" w:rsidRPr="004F668A">
        <w:rPr>
          <w:rFonts w:ascii="Times New Roman" w:hAnsi="Times New Roman"/>
          <w:sz w:val="24"/>
          <w:szCs w:val="24"/>
        </w:rPr>
        <w:t xml:space="preserve"> </w:t>
      </w:r>
      <w:r w:rsidRPr="004F668A">
        <w:rPr>
          <w:rFonts w:ascii="Times New Roman" w:hAnsi="Times New Roman"/>
          <w:sz w:val="24"/>
          <w:szCs w:val="24"/>
        </w:rPr>
        <w:t>на</w:t>
      </w:r>
      <w:r w:rsidR="00A22225" w:rsidRPr="004F668A">
        <w:rPr>
          <w:rFonts w:ascii="Times New Roman" w:hAnsi="Times New Roman"/>
          <w:sz w:val="24"/>
          <w:szCs w:val="24"/>
        </w:rPr>
        <w:t xml:space="preserve"> </w:t>
      </w:r>
      <w:r w:rsidRPr="004F668A">
        <w:rPr>
          <w:rFonts w:ascii="Times New Roman" w:hAnsi="Times New Roman"/>
          <w:sz w:val="24"/>
          <w:szCs w:val="24"/>
        </w:rPr>
        <w:t>приход</w:t>
      </w:r>
      <w:r w:rsidR="00A22225" w:rsidRPr="004F668A">
        <w:rPr>
          <w:rFonts w:ascii="Times New Roman" w:hAnsi="Times New Roman"/>
          <w:sz w:val="24"/>
          <w:szCs w:val="24"/>
        </w:rPr>
        <w:t xml:space="preserve"> </w:t>
      </w:r>
      <w:r w:rsidRPr="004F668A">
        <w:rPr>
          <w:rFonts w:ascii="Times New Roman" w:hAnsi="Times New Roman"/>
          <w:sz w:val="24"/>
          <w:szCs w:val="24"/>
        </w:rPr>
        <w:t>од</w:t>
      </w:r>
      <w:r w:rsidR="00A22225" w:rsidRPr="004F668A">
        <w:rPr>
          <w:rFonts w:ascii="Times New Roman" w:hAnsi="Times New Roman"/>
          <w:sz w:val="24"/>
          <w:szCs w:val="24"/>
        </w:rPr>
        <w:t xml:space="preserve"> </w:t>
      </w:r>
      <w:r w:rsidRPr="004F668A">
        <w:rPr>
          <w:rFonts w:ascii="Times New Roman" w:hAnsi="Times New Roman"/>
          <w:sz w:val="24"/>
          <w:szCs w:val="24"/>
        </w:rPr>
        <w:t>капитала</w:t>
      </w:r>
      <w:r w:rsidR="00A22225" w:rsidRPr="004F668A">
        <w:rPr>
          <w:rFonts w:ascii="Times New Roman" w:hAnsi="Times New Roman"/>
          <w:sz w:val="24"/>
          <w:szCs w:val="24"/>
        </w:rPr>
        <w:t xml:space="preserve"> </w:t>
      </w:r>
      <w:r w:rsidRPr="004F668A">
        <w:rPr>
          <w:rFonts w:ascii="Times New Roman" w:hAnsi="Times New Roman"/>
          <w:sz w:val="24"/>
          <w:szCs w:val="24"/>
        </w:rPr>
        <w:t>на</w:t>
      </w:r>
      <w:r w:rsidR="00A22225" w:rsidRPr="004F668A">
        <w:rPr>
          <w:rFonts w:ascii="Times New Roman" w:hAnsi="Times New Roman"/>
          <w:sz w:val="24"/>
          <w:szCs w:val="24"/>
        </w:rPr>
        <w:t xml:space="preserve"> </w:t>
      </w:r>
      <w:r w:rsidRPr="004F668A">
        <w:rPr>
          <w:rFonts w:ascii="Times New Roman" w:hAnsi="Times New Roman"/>
          <w:sz w:val="24"/>
          <w:szCs w:val="24"/>
        </w:rPr>
        <w:t>остварену</w:t>
      </w:r>
      <w:r w:rsidR="00A22225" w:rsidRPr="004F668A">
        <w:rPr>
          <w:rFonts w:ascii="Times New Roman" w:hAnsi="Times New Roman"/>
          <w:sz w:val="24"/>
          <w:szCs w:val="24"/>
        </w:rPr>
        <w:t xml:space="preserve"> </w:t>
      </w:r>
      <w:r w:rsidRPr="004F668A">
        <w:rPr>
          <w:rFonts w:ascii="Times New Roman" w:hAnsi="Times New Roman"/>
          <w:sz w:val="24"/>
          <w:szCs w:val="24"/>
        </w:rPr>
        <w:t>камату</w:t>
      </w:r>
      <w:r w:rsidR="00A22225" w:rsidRPr="004F668A">
        <w:rPr>
          <w:rFonts w:ascii="Times New Roman" w:hAnsi="Times New Roman"/>
          <w:sz w:val="24"/>
          <w:szCs w:val="24"/>
        </w:rPr>
        <w:t xml:space="preserve"> </w:t>
      </w:r>
      <w:r w:rsidRPr="004F668A">
        <w:rPr>
          <w:rFonts w:ascii="Times New Roman" w:hAnsi="Times New Roman"/>
          <w:sz w:val="24"/>
          <w:szCs w:val="24"/>
        </w:rPr>
        <w:t>за</w:t>
      </w:r>
      <w:r w:rsidR="00A22225" w:rsidRPr="004F668A">
        <w:rPr>
          <w:rFonts w:ascii="Times New Roman" w:hAnsi="Times New Roman"/>
          <w:sz w:val="24"/>
          <w:szCs w:val="24"/>
        </w:rPr>
        <w:t xml:space="preserve"> </w:t>
      </w:r>
      <w:r w:rsidRPr="004F668A">
        <w:rPr>
          <w:rFonts w:ascii="Times New Roman" w:hAnsi="Times New Roman"/>
          <w:sz w:val="24"/>
          <w:szCs w:val="24"/>
        </w:rPr>
        <w:t>период</w:t>
      </w:r>
      <w:r w:rsidR="00A22225" w:rsidRPr="004F668A">
        <w:rPr>
          <w:rFonts w:ascii="Times New Roman" w:hAnsi="Times New Roman"/>
          <w:sz w:val="24"/>
          <w:szCs w:val="24"/>
        </w:rPr>
        <w:t xml:space="preserve"> </w:t>
      </w:r>
      <w:r w:rsidRPr="004F668A">
        <w:rPr>
          <w:rFonts w:ascii="Times New Roman" w:hAnsi="Times New Roman"/>
          <w:sz w:val="24"/>
          <w:szCs w:val="24"/>
        </w:rPr>
        <w:t>од</w:t>
      </w:r>
      <w:r w:rsidR="00A22225" w:rsidRPr="004F668A">
        <w:rPr>
          <w:rFonts w:ascii="Times New Roman" w:hAnsi="Times New Roman"/>
          <w:sz w:val="24"/>
          <w:szCs w:val="24"/>
        </w:rPr>
        <w:t xml:space="preserve"> </w:t>
      </w:r>
      <w:r w:rsidRPr="004F668A">
        <w:rPr>
          <w:rFonts w:ascii="Times New Roman" w:hAnsi="Times New Roman"/>
          <w:sz w:val="24"/>
          <w:szCs w:val="24"/>
        </w:rPr>
        <w:t>дана</w:t>
      </w:r>
      <w:r w:rsidR="00A22225" w:rsidRPr="004F668A">
        <w:rPr>
          <w:rFonts w:ascii="Times New Roman" w:hAnsi="Times New Roman"/>
          <w:sz w:val="24"/>
          <w:szCs w:val="24"/>
        </w:rPr>
        <w:t xml:space="preserve"> </w:t>
      </w:r>
      <w:r w:rsidRPr="004F668A">
        <w:rPr>
          <w:rFonts w:ascii="Times New Roman" w:hAnsi="Times New Roman"/>
          <w:sz w:val="24"/>
          <w:szCs w:val="24"/>
        </w:rPr>
        <w:t>стицања</w:t>
      </w:r>
      <w:r w:rsidR="00A22225" w:rsidRPr="004F668A">
        <w:rPr>
          <w:rFonts w:ascii="Times New Roman" w:hAnsi="Times New Roman"/>
          <w:sz w:val="24"/>
          <w:szCs w:val="24"/>
        </w:rPr>
        <w:t xml:space="preserve"> </w:t>
      </w:r>
      <w:r w:rsidRPr="004F668A">
        <w:rPr>
          <w:rFonts w:ascii="Times New Roman" w:hAnsi="Times New Roman"/>
          <w:sz w:val="24"/>
          <w:szCs w:val="24"/>
        </w:rPr>
        <w:t>до</w:t>
      </w:r>
      <w:r w:rsidR="00A22225" w:rsidRPr="004F668A">
        <w:rPr>
          <w:rFonts w:ascii="Times New Roman" w:hAnsi="Times New Roman"/>
          <w:sz w:val="24"/>
          <w:szCs w:val="24"/>
        </w:rPr>
        <w:t xml:space="preserve"> </w:t>
      </w:r>
      <w:r w:rsidRPr="004F668A">
        <w:rPr>
          <w:rFonts w:ascii="Times New Roman" w:hAnsi="Times New Roman"/>
          <w:sz w:val="24"/>
          <w:szCs w:val="24"/>
        </w:rPr>
        <w:t>дана</w:t>
      </w:r>
      <w:r w:rsidR="00A22225" w:rsidRPr="004F668A">
        <w:rPr>
          <w:rFonts w:ascii="Times New Roman" w:hAnsi="Times New Roman"/>
          <w:sz w:val="24"/>
          <w:szCs w:val="24"/>
        </w:rPr>
        <w:t xml:space="preserve"> </w:t>
      </w:r>
      <w:r w:rsidRPr="004F668A">
        <w:rPr>
          <w:rFonts w:ascii="Times New Roman" w:hAnsi="Times New Roman"/>
          <w:sz w:val="24"/>
          <w:szCs w:val="24"/>
        </w:rPr>
        <w:t>отуђења</w:t>
      </w:r>
      <w:r w:rsidR="00A22225" w:rsidRPr="004F668A">
        <w:rPr>
          <w:rFonts w:ascii="Times New Roman" w:hAnsi="Times New Roman"/>
          <w:sz w:val="24"/>
          <w:szCs w:val="24"/>
        </w:rPr>
        <w:t xml:space="preserve"> </w:t>
      </w:r>
      <w:r w:rsidRPr="004F668A">
        <w:rPr>
          <w:rFonts w:ascii="Times New Roman" w:hAnsi="Times New Roman"/>
          <w:sz w:val="24"/>
          <w:szCs w:val="24"/>
        </w:rPr>
        <w:t>или</w:t>
      </w:r>
      <w:r w:rsidR="00A22225" w:rsidRPr="004F668A">
        <w:rPr>
          <w:rFonts w:ascii="Times New Roman" w:hAnsi="Times New Roman"/>
          <w:sz w:val="24"/>
          <w:szCs w:val="24"/>
        </w:rPr>
        <w:t xml:space="preserve"> </w:t>
      </w:r>
      <w:r w:rsidRPr="004F668A">
        <w:rPr>
          <w:rFonts w:ascii="Times New Roman" w:hAnsi="Times New Roman"/>
          <w:sz w:val="24"/>
          <w:szCs w:val="24"/>
        </w:rPr>
        <w:t>откупа</w:t>
      </w:r>
      <w:r w:rsidR="00A22225" w:rsidRPr="004F668A">
        <w:rPr>
          <w:rFonts w:ascii="Times New Roman" w:hAnsi="Times New Roman"/>
          <w:sz w:val="24"/>
          <w:szCs w:val="24"/>
        </w:rPr>
        <w:t xml:space="preserve"> </w:t>
      </w:r>
      <w:r w:rsidRPr="004F668A">
        <w:rPr>
          <w:rFonts w:ascii="Times New Roman" w:hAnsi="Times New Roman"/>
          <w:sz w:val="24"/>
          <w:szCs w:val="24"/>
        </w:rPr>
        <w:t>дужничке</w:t>
      </w:r>
      <w:r w:rsidR="00A22225" w:rsidRPr="004F668A">
        <w:rPr>
          <w:rFonts w:ascii="Times New Roman" w:hAnsi="Times New Roman"/>
          <w:sz w:val="24"/>
          <w:szCs w:val="24"/>
        </w:rPr>
        <w:t xml:space="preserve"> </w:t>
      </w:r>
      <w:r w:rsidRPr="004F668A">
        <w:rPr>
          <w:rFonts w:ascii="Times New Roman" w:hAnsi="Times New Roman"/>
          <w:sz w:val="24"/>
          <w:szCs w:val="24"/>
        </w:rPr>
        <w:t>хартије</w:t>
      </w:r>
      <w:r w:rsidR="00A22225" w:rsidRPr="004F668A">
        <w:rPr>
          <w:rFonts w:ascii="Times New Roman" w:hAnsi="Times New Roman"/>
          <w:sz w:val="24"/>
          <w:szCs w:val="24"/>
        </w:rPr>
        <w:t xml:space="preserve"> </w:t>
      </w:r>
      <w:r w:rsidRPr="004F668A">
        <w:rPr>
          <w:rFonts w:ascii="Times New Roman" w:hAnsi="Times New Roman"/>
          <w:sz w:val="24"/>
          <w:szCs w:val="24"/>
        </w:rPr>
        <w:t>од</w:t>
      </w:r>
      <w:r w:rsidR="00A22225" w:rsidRPr="004F668A">
        <w:rPr>
          <w:rFonts w:ascii="Times New Roman" w:hAnsi="Times New Roman"/>
          <w:sz w:val="24"/>
          <w:szCs w:val="24"/>
        </w:rPr>
        <w:t xml:space="preserve"> </w:t>
      </w:r>
      <w:r w:rsidRPr="004F668A">
        <w:rPr>
          <w:rFonts w:ascii="Times New Roman" w:hAnsi="Times New Roman"/>
          <w:sz w:val="24"/>
          <w:szCs w:val="24"/>
        </w:rPr>
        <w:t>вредности</w:t>
      </w:r>
      <w:r w:rsidR="00A22225" w:rsidRPr="005F720D">
        <w:t>.</w:t>
      </w:r>
      <w:r w:rsidR="00A22225" w:rsidRPr="005F720D">
        <w:rPr>
          <w:rStyle w:val="FootnoteReference"/>
          <w:color w:val="000000"/>
        </w:rPr>
        <w:footnoteReference w:id="484"/>
      </w:r>
    </w:p>
    <w:p w:rsidR="00717D0E" w:rsidRPr="00FB5A28" w:rsidRDefault="005F720D" w:rsidP="00FB5A28">
      <w:pPr>
        <w:ind w:firstLine="708"/>
        <w:jc w:val="both"/>
        <w:rPr>
          <w:rFonts w:ascii="Times New Roman" w:hAnsi="Times New Roman"/>
          <w:sz w:val="24"/>
          <w:szCs w:val="24"/>
          <w:lang w:val="sr-Cyrl-CS"/>
        </w:rPr>
      </w:pPr>
      <w:r w:rsidRPr="00FB5A28">
        <w:rPr>
          <w:rFonts w:ascii="Times New Roman" w:hAnsi="Times New Roman"/>
          <w:sz w:val="24"/>
          <w:szCs w:val="24"/>
        </w:rPr>
        <w:t>Порез</w:t>
      </w:r>
      <w:r w:rsidR="00A22225" w:rsidRPr="00FB5A28">
        <w:rPr>
          <w:rFonts w:ascii="Times New Roman" w:hAnsi="Times New Roman"/>
          <w:sz w:val="24"/>
          <w:szCs w:val="24"/>
        </w:rPr>
        <w:t xml:space="preserve"> </w:t>
      </w:r>
      <w:r w:rsidRPr="00FB5A28">
        <w:rPr>
          <w:rFonts w:ascii="Times New Roman" w:hAnsi="Times New Roman"/>
          <w:sz w:val="24"/>
          <w:szCs w:val="24"/>
        </w:rPr>
        <w:t>на</w:t>
      </w:r>
      <w:r w:rsidR="00A22225" w:rsidRPr="00FB5A28">
        <w:rPr>
          <w:rFonts w:ascii="Times New Roman" w:hAnsi="Times New Roman"/>
          <w:sz w:val="24"/>
          <w:szCs w:val="24"/>
        </w:rPr>
        <w:t xml:space="preserve"> </w:t>
      </w:r>
      <w:r w:rsidRPr="00FB5A28">
        <w:rPr>
          <w:rFonts w:ascii="Times New Roman" w:hAnsi="Times New Roman"/>
          <w:sz w:val="24"/>
          <w:szCs w:val="24"/>
        </w:rPr>
        <w:t>паушално</w:t>
      </w:r>
      <w:r w:rsidR="00A22225" w:rsidRPr="00FB5A28">
        <w:rPr>
          <w:rFonts w:ascii="Times New Roman" w:hAnsi="Times New Roman"/>
          <w:sz w:val="24"/>
          <w:szCs w:val="24"/>
        </w:rPr>
        <w:t xml:space="preserve"> </w:t>
      </w:r>
      <w:r w:rsidRPr="00FB5A28">
        <w:rPr>
          <w:rFonts w:ascii="Times New Roman" w:hAnsi="Times New Roman"/>
          <w:sz w:val="24"/>
          <w:szCs w:val="24"/>
        </w:rPr>
        <w:t>утврђен</w:t>
      </w:r>
      <w:r w:rsidR="00A22225" w:rsidRPr="00FB5A28">
        <w:rPr>
          <w:rFonts w:ascii="Times New Roman" w:hAnsi="Times New Roman"/>
          <w:sz w:val="24"/>
          <w:szCs w:val="24"/>
        </w:rPr>
        <w:t xml:space="preserve"> </w:t>
      </w:r>
      <w:r w:rsidRPr="00FB5A28">
        <w:rPr>
          <w:rFonts w:ascii="Times New Roman" w:hAnsi="Times New Roman"/>
          <w:sz w:val="24"/>
          <w:szCs w:val="24"/>
        </w:rPr>
        <w:t>приход</w:t>
      </w:r>
      <w:r w:rsidR="00A22225" w:rsidRPr="00FB5A28">
        <w:rPr>
          <w:rFonts w:ascii="Times New Roman" w:hAnsi="Times New Roman"/>
          <w:sz w:val="24"/>
          <w:szCs w:val="24"/>
        </w:rPr>
        <w:t xml:space="preserve"> </w:t>
      </w:r>
      <w:r w:rsidRPr="00FB5A28">
        <w:rPr>
          <w:rFonts w:ascii="Times New Roman" w:hAnsi="Times New Roman"/>
          <w:sz w:val="24"/>
          <w:szCs w:val="24"/>
        </w:rPr>
        <w:t>од</w:t>
      </w:r>
      <w:r w:rsidR="00A22225" w:rsidRPr="00FB5A28">
        <w:rPr>
          <w:rFonts w:ascii="Times New Roman" w:hAnsi="Times New Roman"/>
          <w:sz w:val="24"/>
          <w:szCs w:val="24"/>
        </w:rPr>
        <w:t xml:space="preserve"> </w:t>
      </w:r>
      <w:r w:rsidRPr="00FB5A28">
        <w:rPr>
          <w:rFonts w:ascii="Times New Roman" w:hAnsi="Times New Roman"/>
          <w:sz w:val="24"/>
          <w:szCs w:val="24"/>
        </w:rPr>
        <w:t>самосталне</w:t>
      </w:r>
      <w:r w:rsidR="00A22225" w:rsidRPr="00FB5A28">
        <w:rPr>
          <w:rFonts w:ascii="Times New Roman" w:hAnsi="Times New Roman"/>
          <w:sz w:val="24"/>
          <w:szCs w:val="24"/>
        </w:rPr>
        <w:t xml:space="preserve"> </w:t>
      </w:r>
      <w:r w:rsidRPr="00FB5A28">
        <w:rPr>
          <w:rFonts w:ascii="Times New Roman" w:hAnsi="Times New Roman"/>
          <w:sz w:val="24"/>
          <w:szCs w:val="24"/>
        </w:rPr>
        <w:t>делатности</w:t>
      </w:r>
      <w:r w:rsidR="00A22225" w:rsidRPr="00FB5A28">
        <w:rPr>
          <w:rFonts w:ascii="Times New Roman" w:hAnsi="Times New Roman"/>
          <w:sz w:val="24"/>
          <w:szCs w:val="24"/>
        </w:rPr>
        <w:t xml:space="preserve"> </w:t>
      </w:r>
      <w:r w:rsidRPr="00FB5A28">
        <w:rPr>
          <w:rFonts w:ascii="Times New Roman" w:hAnsi="Times New Roman"/>
          <w:sz w:val="24"/>
          <w:szCs w:val="24"/>
        </w:rPr>
        <w:t>порески</w:t>
      </w:r>
      <w:r w:rsidR="00A22225" w:rsidRPr="00FB5A28">
        <w:rPr>
          <w:rFonts w:ascii="Times New Roman" w:hAnsi="Times New Roman"/>
          <w:sz w:val="24"/>
          <w:szCs w:val="24"/>
        </w:rPr>
        <w:t xml:space="preserve"> </w:t>
      </w:r>
      <w:r w:rsidRPr="00FB5A28">
        <w:rPr>
          <w:rFonts w:ascii="Times New Roman" w:hAnsi="Times New Roman"/>
          <w:sz w:val="24"/>
          <w:szCs w:val="24"/>
        </w:rPr>
        <w:t>орган</w:t>
      </w:r>
      <w:r w:rsidR="00A22225" w:rsidRPr="00FB5A28">
        <w:rPr>
          <w:rFonts w:ascii="Times New Roman" w:hAnsi="Times New Roman"/>
          <w:sz w:val="24"/>
          <w:szCs w:val="24"/>
        </w:rPr>
        <w:t xml:space="preserve"> </w:t>
      </w:r>
      <w:r w:rsidRPr="00FB5A28">
        <w:rPr>
          <w:rFonts w:ascii="Times New Roman" w:hAnsi="Times New Roman"/>
          <w:sz w:val="24"/>
          <w:szCs w:val="24"/>
        </w:rPr>
        <w:t>утврђује</w:t>
      </w:r>
      <w:r w:rsidR="00A22225" w:rsidRPr="00FB5A28">
        <w:rPr>
          <w:rFonts w:ascii="Times New Roman" w:hAnsi="Times New Roman"/>
          <w:sz w:val="24"/>
          <w:szCs w:val="24"/>
        </w:rPr>
        <w:t xml:space="preserve"> </w:t>
      </w:r>
      <w:r w:rsidRPr="00FB5A28">
        <w:rPr>
          <w:rFonts w:ascii="Times New Roman" w:hAnsi="Times New Roman"/>
          <w:sz w:val="24"/>
          <w:szCs w:val="24"/>
        </w:rPr>
        <w:t>на</w:t>
      </w:r>
      <w:r w:rsidR="00A22225" w:rsidRPr="00FB5A28">
        <w:rPr>
          <w:rFonts w:ascii="Times New Roman" w:hAnsi="Times New Roman"/>
          <w:sz w:val="24"/>
          <w:szCs w:val="24"/>
        </w:rPr>
        <w:t xml:space="preserve"> </w:t>
      </w:r>
      <w:r w:rsidRPr="00FB5A28">
        <w:rPr>
          <w:rFonts w:ascii="Times New Roman" w:hAnsi="Times New Roman"/>
          <w:sz w:val="24"/>
          <w:szCs w:val="24"/>
        </w:rPr>
        <w:t>основу</w:t>
      </w:r>
      <w:r w:rsidR="00A22225" w:rsidRPr="00FB5A28">
        <w:rPr>
          <w:rFonts w:ascii="Times New Roman" w:hAnsi="Times New Roman"/>
          <w:sz w:val="24"/>
          <w:szCs w:val="24"/>
        </w:rPr>
        <w:t xml:space="preserve"> </w:t>
      </w:r>
      <w:r w:rsidRPr="00FB5A28">
        <w:rPr>
          <w:rFonts w:ascii="Times New Roman" w:hAnsi="Times New Roman"/>
          <w:sz w:val="24"/>
          <w:szCs w:val="24"/>
        </w:rPr>
        <w:t>података</w:t>
      </w:r>
      <w:r w:rsidR="00A22225" w:rsidRPr="00FB5A28">
        <w:rPr>
          <w:rFonts w:ascii="Times New Roman" w:hAnsi="Times New Roman"/>
          <w:sz w:val="24"/>
          <w:szCs w:val="24"/>
        </w:rPr>
        <w:t xml:space="preserve"> </w:t>
      </w:r>
      <w:r w:rsidRPr="00FB5A28">
        <w:rPr>
          <w:rFonts w:ascii="Times New Roman" w:hAnsi="Times New Roman"/>
          <w:sz w:val="24"/>
          <w:szCs w:val="24"/>
        </w:rPr>
        <w:t>из</w:t>
      </w:r>
      <w:r w:rsidR="00A22225" w:rsidRPr="00FB5A28">
        <w:rPr>
          <w:rFonts w:ascii="Times New Roman" w:hAnsi="Times New Roman"/>
          <w:sz w:val="24"/>
          <w:szCs w:val="24"/>
        </w:rPr>
        <w:t xml:space="preserve"> </w:t>
      </w:r>
      <w:r w:rsidRPr="00FB5A28">
        <w:rPr>
          <w:rFonts w:ascii="Times New Roman" w:hAnsi="Times New Roman"/>
          <w:sz w:val="24"/>
          <w:szCs w:val="24"/>
        </w:rPr>
        <w:t>пореске</w:t>
      </w:r>
      <w:r w:rsidR="00A22225" w:rsidRPr="00FB5A28">
        <w:rPr>
          <w:rFonts w:ascii="Times New Roman" w:hAnsi="Times New Roman"/>
          <w:sz w:val="24"/>
          <w:szCs w:val="24"/>
        </w:rPr>
        <w:t xml:space="preserve"> </w:t>
      </w:r>
      <w:r w:rsidRPr="00FB5A28">
        <w:rPr>
          <w:rFonts w:ascii="Times New Roman" w:hAnsi="Times New Roman"/>
          <w:sz w:val="24"/>
          <w:szCs w:val="24"/>
        </w:rPr>
        <w:t>пријаве</w:t>
      </w:r>
      <w:r w:rsidR="00A22225" w:rsidRPr="00FB5A28">
        <w:rPr>
          <w:rFonts w:ascii="Times New Roman" w:hAnsi="Times New Roman"/>
          <w:sz w:val="24"/>
          <w:szCs w:val="24"/>
          <w:lang w:val="sr-Cyrl-CS"/>
        </w:rPr>
        <w:t xml:space="preserve"> и прописаних</w:t>
      </w:r>
      <w:r w:rsidR="00A22225" w:rsidRPr="00FB5A28">
        <w:rPr>
          <w:rFonts w:ascii="Times New Roman" w:hAnsi="Times New Roman"/>
          <w:sz w:val="24"/>
          <w:szCs w:val="24"/>
        </w:rPr>
        <w:t xml:space="preserve"> </w:t>
      </w:r>
      <w:r w:rsidRPr="00FB5A28">
        <w:rPr>
          <w:rFonts w:ascii="Times New Roman" w:hAnsi="Times New Roman"/>
          <w:sz w:val="24"/>
          <w:szCs w:val="24"/>
        </w:rPr>
        <w:t>критеријума</w:t>
      </w:r>
      <w:r w:rsidR="00A22225" w:rsidRPr="00FB5A28">
        <w:rPr>
          <w:rFonts w:ascii="Times New Roman" w:hAnsi="Times New Roman"/>
          <w:sz w:val="24"/>
          <w:szCs w:val="24"/>
        </w:rPr>
        <w:t xml:space="preserve"> </w:t>
      </w:r>
      <w:r w:rsidRPr="00FB5A28">
        <w:rPr>
          <w:rFonts w:ascii="Times New Roman" w:hAnsi="Times New Roman"/>
          <w:sz w:val="24"/>
          <w:szCs w:val="24"/>
        </w:rPr>
        <w:t>и</w:t>
      </w:r>
      <w:r w:rsidR="00A22225" w:rsidRPr="00FB5A28">
        <w:rPr>
          <w:rFonts w:ascii="Times New Roman" w:hAnsi="Times New Roman"/>
          <w:sz w:val="24"/>
          <w:szCs w:val="24"/>
        </w:rPr>
        <w:t xml:space="preserve"> </w:t>
      </w:r>
      <w:r w:rsidRPr="00FB5A28">
        <w:rPr>
          <w:rFonts w:ascii="Times New Roman" w:hAnsi="Times New Roman"/>
          <w:sz w:val="24"/>
          <w:szCs w:val="24"/>
        </w:rPr>
        <w:t>елемената</w:t>
      </w:r>
      <w:r w:rsidR="00A22225" w:rsidRPr="00FB5A28">
        <w:rPr>
          <w:rFonts w:ascii="Times New Roman" w:hAnsi="Times New Roman"/>
          <w:sz w:val="24"/>
          <w:szCs w:val="24"/>
        </w:rPr>
        <w:t>.</w:t>
      </w:r>
      <w:r w:rsidR="00A22225" w:rsidRPr="00FB5A28">
        <w:rPr>
          <w:rFonts w:ascii="Times New Roman" w:hAnsi="Times New Roman"/>
          <w:sz w:val="24"/>
          <w:szCs w:val="24"/>
          <w:lang w:val="sr-Cyrl-CS"/>
        </w:rPr>
        <w:t xml:space="preserve"> </w:t>
      </w:r>
      <w:r w:rsidRPr="00FB5A28">
        <w:rPr>
          <w:rFonts w:ascii="Times New Roman" w:hAnsi="Times New Roman"/>
          <w:sz w:val="24"/>
          <w:szCs w:val="24"/>
        </w:rPr>
        <w:t>Годишњи</w:t>
      </w:r>
      <w:r w:rsidR="00A22225" w:rsidRPr="00FB5A28">
        <w:rPr>
          <w:rFonts w:ascii="Times New Roman" w:hAnsi="Times New Roman"/>
          <w:sz w:val="24"/>
          <w:szCs w:val="24"/>
        </w:rPr>
        <w:t xml:space="preserve"> </w:t>
      </w:r>
      <w:r w:rsidRPr="00FB5A28">
        <w:rPr>
          <w:rFonts w:ascii="Times New Roman" w:hAnsi="Times New Roman"/>
          <w:sz w:val="24"/>
          <w:szCs w:val="24"/>
        </w:rPr>
        <w:t>порез</w:t>
      </w:r>
      <w:r w:rsidR="00A22225" w:rsidRPr="00FB5A28">
        <w:rPr>
          <w:rFonts w:ascii="Times New Roman" w:hAnsi="Times New Roman"/>
          <w:sz w:val="24"/>
          <w:szCs w:val="24"/>
        </w:rPr>
        <w:t xml:space="preserve"> </w:t>
      </w:r>
      <w:r w:rsidRPr="00FB5A28">
        <w:rPr>
          <w:rFonts w:ascii="Times New Roman" w:hAnsi="Times New Roman"/>
          <w:sz w:val="24"/>
          <w:szCs w:val="24"/>
        </w:rPr>
        <w:t>на</w:t>
      </w:r>
      <w:r w:rsidR="00A22225" w:rsidRPr="00FB5A28">
        <w:rPr>
          <w:rFonts w:ascii="Times New Roman" w:hAnsi="Times New Roman"/>
          <w:sz w:val="24"/>
          <w:szCs w:val="24"/>
        </w:rPr>
        <w:t xml:space="preserve"> </w:t>
      </w:r>
      <w:r w:rsidRPr="00FB5A28">
        <w:rPr>
          <w:rFonts w:ascii="Times New Roman" w:hAnsi="Times New Roman"/>
          <w:sz w:val="24"/>
          <w:szCs w:val="24"/>
        </w:rPr>
        <w:t>доходак</w:t>
      </w:r>
      <w:r w:rsidR="00A22225" w:rsidRPr="00FB5A28">
        <w:rPr>
          <w:rFonts w:ascii="Times New Roman" w:hAnsi="Times New Roman"/>
          <w:sz w:val="24"/>
          <w:szCs w:val="24"/>
        </w:rPr>
        <w:t xml:space="preserve"> </w:t>
      </w:r>
      <w:r w:rsidRPr="00FB5A28">
        <w:rPr>
          <w:rFonts w:ascii="Times New Roman" w:hAnsi="Times New Roman"/>
          <w:sz w:val="24"/>
          <w:szCs w:val="24"/>
        </w:rPr>
        <w:t>грађана</w:t>
      </w:r>
      <w:r w:rsidR="00A22225" w:rsidRPr="00FB5A28">
        <w:rPr>
          <w:rFonts w:ascii="Times New Roman" w:hAnsi="Times New Roman"/>
          <w:sz w:val="24"/>
          <w:szCs w:val="24"/>
        </w:rPr>
        <w:t xml:space="preserve"> </w:t>
      </w:r>
      <w:r w:rsidRPr="00FB5A28">
        <w:rPr>
          <w:rFonts w:ascii="Times New Roman" w:hAnsi="Times New Roman"/>
          <w:sz w:val="24"/>
          <w:szCs w:val="24"/>
        </w:rPr>
        <w:t>порески</w:t>
      </w:r>
      <w:r w:rsidR="00A22225" w:rsidRPr="00FB5A28">
        <w:rPr>
          <w:rFonts w:ascii="Times New Roman" w:hAnsi="Times New Roman"/>
          <w:sz w:val="24"/>
          <w:szCs w:val="24"/>
        </w:rPr>
        <w:t xml:space="preserve"> </w:t>
      </w:r>
      <w:r w:rsidRPr="00FB5A28">
        <w:rPr>
          <w:rFonts w:ascii="Times New Roman" w:hAnsi="Times New Roman"/>
          <w:sz w:val="24"/>
          <w:szCs w:val="24"/>
        </w:rPr>
        <w:t>орган</w:t>
      </w:r>
      <w:r w:rsidR="00A22225" w:rsidRPr="00FB5A28">
        <w:rPr>
          <w:rFonts w:ascii="Times New Roman" w:hAnsi="Times New Roman"/>
          <w:sz w:val="24"/>
          <w:szCs w:val="24"/>
        </w:rPr>
        <w:t xml:space="preserve"> </w:t>
      </w:r>
      <w:r w:rsidRPr="00FB5A28">
        <w:rPr>
          <w:rFonts w:ascii="Times New Roman" w:hAnsi="Times New Roman"/>
          <w:sz w:val="24"/>
          <w:szCs w:val="24"/>
        </w:rPr>
        <w:t>утврђује</w:t>
      </w:r>
      <w:r w:rsidR="00A22225" w:rsidRPr="00FB5A28">
        <w:rPr>
          <w:rFonts w:ascii="Times New Roman" w:hAnsi="Times New Roman"/>
          <w:sz w:val="24"/>
          <w:szCs w:val="24"/>
        </w:rPr>
        <w:t xml:space="preserve"> </w:t>
      </w:r>
      <w:r w:rsidRPr="00FB5A28">
        <w:rPr>
          <w:rFonts w:ascii="Times New Roman" w:hAnsi="Times New Roman"/>
          <w:sz w:val="24"/>
          <w:szCs w:val="24"/>
        </w:rPr>
        <w:t>на</w:t>
      </w:r>
      <w:r w:rsidR="00A22225" w:rsidRPr="00FB5A28">
        <w:rPr>
          <w:rFonts w:ascii="Times New Roman" w:hAnsi="Times New Roman"/>
          <w:sz w:val="24"/>
          <w:szCs w:val="24"/>
        </w:rPr>
        <w:t xml:space="preserve"> </w:t>
      </w:r>
      <w:r w:rsidRPr="00FB5A28">
        <w:rPr>
          <w:rFonts w:ascii="Times New Roman" w:hAnsi="Times New Roman"/>
          <w:sz w:val="24"/>
          <w:szCs w:val="24"/>
        </w:rPr>
        <w:t>основу</w:t>
      </w:r>
      <w:r w:rsidR="00A22225" w:rsidRPr="00FB5A28">
        <w:rPr>
          <w:rFonts w:ascii="Times New Roman" w:hAnsi="Times New Roman"/>
          <w:sz w:val="24"/>
          <w:szCs w:val="24"/>
        </w:rPr>
        <w:t xml:space="preserve"> </w:t>
      </w:r>
      <w:r w:rsidRPr="00FB5A28">
        <w:rPr>
          <w:rFonts w:ascii="Times New Roman" w:hAnsi="Times New Roman"/>
          <w:sz w:val="24"/>
          <w:szCs w:val="24"/>
        </w:rPr>
        <w:t>података</w:t>
      </w:r>
      <w:r w:rsidR="00A22225" w:rsidRPr="00FB5A28">
        <w:rPr>
          <w:rFonts w:ascii="Times New Roman" w:hAnsi="Times New Roman"/>
          <w:sz w:val="24"/>
          <w:szCs w:val="24"/>
        </w:rPr>
        <w:t xml:space="preserve"> </w:t>
      </w:r>
      <w:r w:rsidRPr="00FB5A28">
        <w:rPr>
          <w:rFonts w:ascii="Times New Roman" w:hAnsi="Times New Roman"/>
          <w:sz w:val="24"/>
          <w:szCs w:val="24"/>
        </w:rPr>
        <w:t>из</w:t>
      </w:r>
      <w:r w:rsidR="00A22225" w:rsidRPr="00FB5A28">
        <w:rPr>
          <w:rFonts w:ascii="Times New Roman" w:hAnsi="Times New Roman"/>
          <w:sz w:val="24"/>
          <w:szCs w:val="24"/>
        </w:rPr>
        <w:t xml:space="preserve"> </w:t>
      </w:r>
      <w:r w:rsidRPr="00FB5A28">
        <w:rPr>
          <w:rFonts w:ascii="Times New Roman" w:hAnsi="Times New Roman"/>
          <w:sz w:val="24"/>
          <w:szCs w:val="24"/>
        </w:rPr>
        <w:t>пореске</w:t>
      </w:r>
      <w:r w:rsidR="00A22225" w:rsidRPr="00FB5A28">
        <w:rPr>
          <w:rFonts w:ascii="Times New Roman" w:hAnsi="Times New Roman"/>
          <w:sz w:val="24"/>
          <w:szCs w:val="24"/>
        </w:rPr>
        <w:t xml:space="preserve"> </w:t>
      </w:r>
      <w:r w:rsidRPr="00FB5A28">
        <w:rPr>
          <w:rFonts w:ascii="Times New Roman" w:hAnsi="Times New Roman"/>
          <w:sz w:val="24"/>
          <w:szCs w:val="24"/>
        </w:rPr>
        <w:t>пријаве</w:t>
      </w:r>
      <w:r w:rsidR="00A22225" w:rsidRPr="00FB5A28">
        <w:rPr>
          <w:rFonts w:ascii="Times New Roman" w:hAnsi="Times New Roman"/>
          <w:sz w:val="24"/>
          <w:szCs w:val="24"/>
        </w:rPr>
        <w:t xml:space="preserve">, </w:t>
      </w:r>
      <w:r w:rsidRPr="00FB5A28">
        <w:rPr>
          <w:rFonts w:ascii="Times New Roman" w:hAnsi="Times New Roman"/>
          <w:sz w:val="24"/>
          <w:szCs w:val="24"/>
        </w:rPr>
        <w:t>пословних</w:t>
      </w:r>
      <w:r w:rsidR="00A22225" w:rsidRPr="00FB5A28">
        <w:rPr>
          <w:rFonts w:ascii="Times New Roman" w:hAnsi="Times New Roman"/>
          <w:sz w:val="24"/>
          <w:szCs w:val="24"/>
        </w:rPr>
        <w:t xml:space="preserve"> </w:t>
      </w:r>
      <w:r w:rsidRPr="00FB5A28">
        <w:rPr>
          <w:rFonts w:ascii="Times New Roman" w:hAnsi="Times New Roman"/>
          <w:sz w:val="24"/>
          <w:szCs w:val="24"/>
        </w:rPr>
        <w:t>књига</w:t>
      </w:r>
      <w:r w:rsidR="00A22225" w:rsidRPr="00FB5A28">
        <w:rPr>
          <w:rFonts w:ascii="Times New Roman" w:hAnsi="Times New Roman"/>
          <w:sz w:val="24"/>
          <w:szCs w:val="24"/>
        </w:rPr>
        <w:t xml:space="preserve"> </w:t>
      </w:r>
      <w:r w:rsidRPr="00FB5A28">
        <w:rPr>
          <w:rFonts w:ascii="Times New Roman" w:hAnsi="Times New Roman"/>
          <w:sz w:val="24"/>
          <w:szCs w:val="24"/>
        </w:rPr>
        <w:t>и</w:t>
      </w:r>
      <w:r w:rsidR="00A22225" w:rsidRPr="00FB5A28">
        <w:rPr>
          <w:rFonts w:ascii="Times New Roman" w:hAnsi="Times New Roman"/>
          <w:sz w:val="24"/>
          <w:szCs w:val="24"/>
        </w:rPr>
        <w:t xml:space="preserve"> </w:t>
      </w:r>
      <w:r w:rsidRPr="00FB5A28">
        <w:rPr>
          <w:rFonts w:ascii="Times New Roman" w:hAnsi="Times New Roman"/>
          <w:sz w:val="24"/>
          <w:szCs w:val="24"/>
        </w:rPr>
        <w:t>других</w:t>
      </w:r>
      <w:r w:rsidR="00A22225" w:rsidRPr="00FB5A28">
        <w:rPr>
          <w:rFonts w:ascii="Times New Roman" w:hAnsi="Times New Roman"/>
          <w:sz w:val="24"/>
          <w:szCs w:val="24"/>
        </w:rPr>
        <w:t xml:space="preserve"> </w:t>
      </w:r>
      <w:r w:rsidRPr="00FB5A28">
        <w:rPr>
          <w:rFonts w:ascii="Times New Roman" w:hAnsi="Times New Roman"/>
          <w:sz w:val="24"/>
          <w:szCs w:val="24"/>
        </w:rPr>
        <w:t>података</w:t>
      </w:r>
      <w:r w:rsidR="00A22225" w:rsidRPr="00FB5A28">
        <w:rPr>
          <w:rFonts w:ascii="Times New Roman" w:hAnsi="Times New Roman"/>
          <w:sz w:val="24"/>
          <w:szCs w:val="24"/>
        </w:rPr>
        <w:t xml:space="preserve"> </w:t>
      </w:r>
      <w:r w:rsidRPr="00FB5A28">
        <w:rPr>
          <w:rFonts w:ascii="Times New Roman" w:hAnsi="Times New Roman"/>
          <w:sz w:val="24"/>
          <w:szCs w:val="24"/>
        </w:rPr>
        <w:t>који</w:t>
      </w:r>
      <w:r w:rsidR="00A22225" w:rsidRPr="00FB5A28">
        <w:rPr>
          <w:rFonts w:ascii="Times New Roman" w:hAnsi="Times New Roman"/>
          <w:sz w:val="24"/>
          <w:szCs w:val="24"/>
        </w:rPr>
        <w:t xml:space="preserve"> </w:t>
      </w:r>
      <w:r w:rsidRPr="00FB5A28">
        <w:rPr>
          <w:rFonts w:ascii="Times New Roman" w:hAnsi="Times New Roman"/>
          <w:sz w:val="24"/>
          <w:szCs w:val="24"/>
        </w:rPr>
        <w:t>су</w:t>
      </w:r>
      <w:r w:rsidR="00A22225" w:rsidRPr="00FB5A28">
        <w:rPr>
          <w:rFonts w:ascii="Times New Roman" w:hAnsi="Times New Roman"/>
          <w:sz w:val="24"/>
          <w:szCs w:val="24"/>
        </w:rPr>
        <w:t xml:space="preserve"> </w:t>
      </w:r>
      <w:r w:rsidRPr="00FB5A28">
        <w:rPr>
          <w:rFonts w:ascii="Times New Roman" w:hAnsi="Times New Roman"/>
          <w:sz w:val="24"/>
          <w:szCs w:val="24"/>
        </w:rPr>
        <w:t>од</w:t>
      </w:r>
      <w:r w:rsidR="00A22225" w:rsidRPr="00FB5A28">
        <w:rPr>
          <w:rFonts w:ascii="Times New Roman" w:hAnsi="Times New Roman"/>
          <w:sz w:val="24"/>
          <w:szCs w:val="24"/>
        </w:rPr>
        <w:t xml:space="preserve"> </w:t>
      </w:r>
      <w:r w:rsidRPr="00FB5A28">
        <w:rPr>
          <w:rFonts w:ascii="Times New Roman" w:hAnsi="Times New Roman"/>
          <w:sz w:val="24"/>
          <w:szCs w:val="24"/>
        </w:rPr>
        <w:t>значаја</w:t>
      </w:r>
      <w:r w:rsidR="00A22225" w:rsidRPr="00FB5A28">
        <w:rPr>
          <w:rFonts w:ascii="Times New Roman" w:hAnsi="Times New Roman"/>
          <w:sz w:val="24"/>
          <w:szCs w:val="24"/>
        </w:rPr>
        <w:t xml:space="preserve"> </w:t>
      </w:r>
      <w:r w:rsidRPr="00FB5A28">
        <w:rPr>
          <w:rFonts w:ascii="Times New Roman" w:hAnsi="Times New Roman"/>
          <w:sz w:val="24"/>
          <w:szCs w:val="24"/>
        </w:rPr>
        <w:t>за</w:t>
      </w:r>
      <w:r w:rsidR="00A22225" w:rsidRPr="00FB5A28">
        <w:rPr>
          <w:rFonts w:ascii="Times New Roman" w:hAnsi="Times New Roman"/>
          <w:sz w:val="24"/>
          <w:szCs w:val="24"/>
        </w:rPr>
        <w:t xml:space="preserve"> </w:t>
      </w:r>
      <w:r w:rsidRPr="00FB5A28">
        <w:rPr>
          <w:rFonts w:ascii="Times New Roman" w:hAnsi="Times New Roman"/>
          <w:sz w:val="24"/>
          <w:szCs w:val="24"/>
        </w:rPr>
        <w:t>утврђивање</w:t>
      </w:r>
      <w:r w:rsidR="00A22225" w:rsidRPr="00FB5A28">
        <w:rPr>
          <w:rFonts w:ascii="Times New Roman" w:hAnsi="Times New Roman"/>
          <w:sz w:val="24"/>
          <w:szCs w:val="24"/>
        </w:rPr>
        <w:t xml:space="preserve"> </w:t>
      </w:r>
      <w:r w:rsidRPr="00FB5A28">
        <w:rPr>
          <w:rFonts w:ascii="Times New Roman" w:hAnsi="Times New Roman"/>
          <w:sz w:val="24"/>
          <w:szCs w:val="24"/>
        </w:rPr>
        <w:t>пореске</w:t>
      </w:r>
      <w:r w:rsidR="00A22225" w:rsidRPr="00FB5A28">
        <w:rPr>
          <w:rFonts w:ascii="Times New Roman" w:hAnsi="Times New Roman"/>
          <w:sz w:val="24"/>
          <w:szCs w:val="24"/>
        </w:rPr>
        <w:t xml:space="preserve"> </w:t>
      </w:r>
      <w:r w:rsidRPr="00FB5A28">
        <w:rPr>
          <w:rFonts w:ascii="Times New Roman" w:hAnsi="Times New Roman"/>
          <w:sz w:val="24"/>
          <w:szCs w:val="24"/>
        </w:rPr>
        <w:t>обавезе</w:t>
      </w:r>
      <w:r w:rsidR="00A22225" w:rsidRPr="00FB5A28">
        <w:rPr>
          <w:rFonts w:ascii="Times New Roman" w:hAnsi="Times New Roman"/>
          <w:sz w:val="24"/>
          <w:szCs w:val="24"/>
        </w:rPr>
        <w:t>.</w:t>
      </w:r>
      <w:r w:rsidR="00A22225" w:rsidRPr="00FB5A28">
        <w:rPr>
          <w:rStyle w:val="FootnoteReference"/>
          <w:rFonts w:ascii="Times New Roman" w:hAnsi="Times New Roman"/>
          <w:color w:val="000000"/>
          <w:sz w:val="24"/>
          <w:szCs w:val="24"/>
        </w:rPr>
        <w:footnoteReference w:id="485"/>
      </w:r>
    </w:p>
    <w:p w:rsidR="00717D0E" w:rsidRPr="00FB5A28" w:rsidRDefault="005F720D" w:rsidP="00FB5A28">
      <w:pPr>
        <w:ind w:firstLine="708"/>
        <w:jc w:val="both"/>
        <w:rPr>
          <w:rFonts w:ascii="Times New Roman" w:hAnsi="Times New Roman"/>
          <w:sz w:val="24"/>
          <w:szCs w:val="24"/>
          <w:lang w:val="sr-Cyrl-CS"/>
        </w:rPr>
      </w:pPr>
      <w:r w:rsidRPr="00FB5A28">
        <w:rPr>
          <w:rFonts w:ascii="Times New Roman" w:hAnsi="Times New Roman"/>
          <w:sz w:val="24"/>
          <w:szCs w:val="24"/>
        </w:rPr>
        <w:t>Предузетници</w:t>
      </w:r>
      <w:r w:rsidR="00A22225" w:rsidRPr="00FB5A28">
        <w:rPr>
          <w:rFonts w:ascii="Times New Roman" w:hAnsi="Times New Roman"/>
          <w:sz w:val="24"/>
          <w:szCs w:val="24"/>
        </w:rPr>
        <w:t xml:space="preserve"> </w:t>
      </w:r>
      <w:r w:rsidRPr="00FB5A28">
        <w:rPr>
          <w:rFonts w:ascii="Times New Roman" w:hAnsi="Times New Roman"/>
          <w:sz w:val="24"/>
          <w:szCs w:val="24"/>
        </w:rPr>
        <w:t>су</w:t>
      </w:r>
      <w:r w:rsidR="00A22225" w:rsidRPr="00FB5A28">
        <w:rPr>
          <w:rFonts w:ascii="Times New Roman" w:hAnsi="Times New Roman"/>
          <w:sz w:val="24"/>
          <w:szCs w:val="24"/>
        </w:rPr>
        <w:t xml:space="preserve"> </w:t>
      </w:r>
      <w:r w:rsidRPr="00FB5A28">
        <w:rPr>
          <w:rFonts w:ascii="Times New Roman" w:hAnsi="Times New Roman"/>
          <w:sz w:val="24"/>
          <w:szCs w:val="24"/>
        </w:rPr>
        <w:t>дужни</w:t>
      </w:r>
      <w:r w:rsidR="00A22225" w:rsidRPr="00FB5A28">
        <w:rPr>
          <w:rFonts w:ascii="Times New Roman" w:hAnsi="Times New Roman"/>
          <w:sz w:val="24"/>
          <w:szCs w:val="24"/>
        </w:rPr>
        <w:t xml:space="preserve"> </w:t>
      </w:r>
      <w:r w:rsidRPr="00FB5A28">
        <w:rPr>
          <w:rFonts w:ascii="Times New Roman" w:hAnsi="Times New Roman"/>
          <w:sz w:val="24"/>
          <w:szCs w:val="24"/>
        </w:rPr>
        <w:t>да</w:t>
      </w:r>
      <w:r w:rsidR="00A22225" w:rsidRPr="00FB5A28">
        <w:rPr>
          <w:rFonts w:ascii="Times New Roman" w:hAnsi="Times New Roman"/>
          <w:sz w:val="24"/>
          <w:szCs w:val="24"/>
        </w:rPr>
        <w:t xml:space="preserve"> </w:t>
      </w:r>
      <w:r w:rsidRPr="00FB5A28">
        <w:rPr>
          <w:rFonts w:ascii="Times New Roman" w:hAnsi="Times New Roman"/>
          <w:sz w:val="24"/>
          <w:szCs w:val="24"/>
        </w:rPr>
        <w:t>воде</w:t>
      </w:r>
      <w:r w:rsidR="00A22225" w:rsidRPr="00FB5A28">
        <w:rPr>
          <w:rFonts w:ascii="Times New Roman" w:hAnsi="Times New Roman"/>
          <w:sz w:val="24"/>
          <w:szCs w:val="24"/>
        </w:rPr>
        <w:t xml:space="preserve"> </w:t>
      </w:r>
      <w:r w:rsidRPr="00FB5A28">
        <w:rPr>
          <w:rFonts w:ascii="Times New Roman" w:hAnsi="Times New Roman"/>
          <w:sz w:val="24"/>
          <w:szCs w:val="24"/>
        </w:rPr>
        <w:t>пословне</w:t>
      </w:r>
      <w:r w:rsidR="00A22225" w:rsidRPr="00FB5A28">
        <w:rPr>
          <w:rFonts w:ascii="Times New Roman" w:hAnsi="Times New Roman"/>
          <w:sz w:val="24"/>
          <w:szCs w:val="24"/>
        </w:rPr>
        <w:t xml:space="preserve"> </w:t>
      </w:r>
      <w:r w:rsidRPr="00FB5A28">
        <w:rPr>
          <w:rFonts w:ascii="Times New Roman" w:hAnsi="Times New Roman"/>
          <w:sz w:val="24"/>
          <w:szCs w:val="24"/>
        </w:rPr>
        <w:t>књиге</w:t>
      </w:r>
      <w:r w:rsidR="00A22225" w:rsidRPr="00FB5A28">
        <w:rPr>
          <w:rFonts w:ascii="Times New Roman" w:hAnsi="Times New Roman"/>
          <w:sz w:val="24"/>
          <w:szCs w:val="24"/>
        </w:rPr>
        <w:t xml:space="preserve"> </w:t>
      </w:r>
      <w:r w:rsidRPr="00FB5A28">
        <w:rPr>
          <w:rFonts w:ascii="Times New Roman" w:hAnsi="Times New Roman"/>
          <w:sz w:val="24"/>
          <w:szCs w:val="24"/>
        </w:rPr>
        <w:t>и</w:t>
      </w:r>
      <w:r w:rsidR="00A22225" w:rsidRPr="00FB5A28">
        <w:rPr>
          <w:rFonts w:ascii="Times New Roman" w:hAnsi="Times New Roman"/>
          <w:sz w:val="24"/>
          <w:szCs w:val="24"/>
        </w:rPr>
        <w:t xml:space="preserve"> </w:t>
      </w:r>
      <w:r w:rsidRPr="00FB5A28">
        <w:rPr>
          <w:rFonts w:ascii="Times New Roman" w:hAnsi="Times New Roman"/>
          <w:sz w:val="24"/>
          <w:szCs w:val="24"/>
        </w:rPr>
        <w:t>да</w:t>
      </w:r>
      <w:r w:rsidR="00A22225" w:rsidRPr="00FB5A28">
        <w:rPr>
          <w:rFonts w:ascii="Times New Roman" w:hAnsi="Times New Roman"/>
          <w:sz w:val="24"/>
          <w:szCs w:val="24"/>
        </w:rPr>
        <w:t xml:space="preserve"> </w:t>
      </w:r>
      <w:r w:rsidRPr="00FB5A28">
        <w:rPr>
          <w:rFonts w:ascii="Times New Roman" w:hAnsi="Times New Roman"/>
          <w:sz w:val="24"/>
          <w:szCs w:val="24"/>
        </w:rPr>
        <w:t>у</w:t>
      </w:r>
      <w:r w:rsidR="00A22225" w:rsidRPr="00FB5A28">
        <w:rPr>
          <w:rFonts w:ascii="Times New Roman" w:hAnsi="Times New Roman"/>
          <w:sz w:val="24"/>
          <w:szCs w:val="24"/>
        </w:rPr>
        <w:t xml:space="preserve"> </w:t>
      </w:r>
      <w:r w:rsidRPr="00FB5A28">
        <w:rPr>
          <w:rFonts w:ascii="Times New Roman" w:hAnsi="Times New Roman"/>
          <w:sz w:val="24"/>
          <w:szCs w:val="24"/>
        </w:rPr>
        <w:t>њима</w:t>
      </w:r>
      <w:r w:rsidR="00A22225" w:rsidRPr="00FB5A28">
        <w:rPr>
          <w:rFonts w:ascii="Times New Roman" w:hAnsi="Times New Roman"/>
          <w:sz w:val="24"/>
          <w:szCs w:val="24"/>
        </w:rPr>
        <w:t xml:space="preserve"> </w:t>
      </w:r>
      <w:r w:rsidRPr="00FB5A28">
        <w:rPr>
          <w:rFonts w:ascii="Times New Roman" w:hAnsi="Times New Roman"/>
          <w:sz w:val="24"/>
          <w:szCs w:val="24"/>
        </w:rPr>
        <w:t>исказују</w:t>
      </w:r>
      <w:r w:rsidR="00A22225" w:rsidRPr="00FB5A28">
        <w:rPr>
          <w:rFonts w:ascii="Times New Roman" w:hAnsi="Times New Roman"/>
          <w:sz w:val="24"/>
          <w:szCs w:val="24"/>
        </w:rPr>
        <w:t xml:space="preserve"> </w:t>
      </w:r>
      <w:r w:rsidRPr="00FB5A28">
        <w:rPr>
          <w:rFonts w:ascii="Times New Roman" w:hAnsi="Times New Roman"/>
          <w:sz w:val="24"/>
          <w:szCs w:val="24"/>
        </w:rPr>
        <w:t>пословне</w:t>
      </w:r>
      <w:r w:rsidR="00A22225" w:rsidRPr="00FB5A28">
        <w:rPr>
          <w:rFonts w:ascii="Times New Roman" w:hAnsi="Times New Roman"/>
          <w:sz w:val="24"/>
          <w:szCs w:val="24"/>
        </w:rPr>
        <w:t xml:space="preserve"> </w:t>
      </w:r>
      <w:r w:rsidRPr="00FB5A28">
        <w:rPr>
          <w:rFonts w:ascii="Times New Roman" w:hAnsi="Times New Roman"/>
          <w:sz w:val="24"/>
          <w:szCs w:val="24"/>
        </w:rPr>
        <w:t>промене</w:t>
      </w:r>
      <w:r w:rsidR="00A22225" w:rsidRPr="00FB5A28">
        <w:rPr>
          <w:rFonts w:ascii="Times New Roman" w:hAnsi="Times New Roman"/>
          <w:sz w:val="24"/>
          <w:szCs w:val="24"/>
        </w:rPr>
        <w:t xml:space="preserve"> </w:t>
      </w:r>
      <w:r w:rsidRPr="00FB5A28">
        <w:rPr>
          <w:rFonts w:ascii="Times New Roman" w:hAnsi="Times New Roman"/>
          <w:sz w:val="24"/>
          <w:szCs w:val="24"/>
        </w:rPr>
        <w:t>на</w:t>
      </w:r>
      <w:r w:rsidR="00A22225" w:rsidRPr="00FB5A28">
        <w:rPr>
          <w:rFonts w:ascii="Times New Roman" w:hAnsi="Times New Roman"/>
          <w:sz w:val="24"/>
          <w:szCs w:val="24"/>
        </w:rPr>
        <w:t xml:space="preserve"> </w:t>
      </w:r>
      <w:r w:rsidRPr="00FB5A28">
        <w:rPr>
          <w:rFonts w:ascii="Times New Roman" w:hAnsi="Times New Roman"/>
          <w:sz w:val="24"/>
          <w:szCs w:val="24"/>
        </w:rPr>
        <w:t>начин</w:t>
      </w:r>
      <w:r w:rsidR="00A22225" w:rsidRPr="00FB5A28">
        <w:rPr>
          <w:rFonts w:ascii="Times New Roman" w:hAnsi="Times New Roman"/>
          <w:sz w:val="24"/>
          <w:szCs w:val="24"/>
        </w:rPr>
        <w:t xml:space="preserve"> </w:t>
      </w:r>
      <w:r w:rsidRPr="00FB5A28">
        <w:rPr>
          <w:rFonts w:ascii="Times New Roman" w:hAnsi="Times New Roman"/>
          <w:sz w:val="24"/>
          <w:szCs w:val="24"/>
        </w:rPr>
        <w:t>одређен</w:t>
      </w:r>
      <w:r w:rsidR="00A22225" w:rsidRPr="00FB5A28">
        <w:rPr>
          <w:rFonts w:ascii="Times New Roman" w:hAnsi="Times New Roman"/>
          <w:sz w:val="24"/>
          <w:szCs w:val="24"/>
        </w:rPr>
        <w:t xml:space="preserve"> </w:t>
      </w:r>
      <w:r w:rsidR="00A22225" w:rsidRPr="00FB5A28">
        <w:rPr>
          <w:rFonts w:ascii="Times New Roman" w:hAnsi="Times New Roman"/>
          <w:sz w:val="24"/>
          <w:szCs w:val="24"/>
          <w:lang w:val="sr-Cyrl-CS"/>
        </w:rPr>
        <w:t xml:space="preserve">ЗПДГ. </w:t>
      </w:r>
      <w:r w:rsidRPr="00FB5A28">
        <w:rPr>
          <w:rFonts w:ascii="Times New Roman" w:hAnsi="Times New Roman"/>
          <w:sz w:val="24"/>
          <w:szCs w:val="24"/>
        </w:rPr>
        <w:t>Предузетници</w:t>
      </w:r>
      <w:r w:rsidR="00A22225" w:rsidRPr="00FB5A28">
        <w:rPr>
          <w:rFonts w:ascii="Times New Roman" w:hAnsi="Times New Roman"/>
          <w:sz w:val="24"/>
          <w:szCs w:val="24"/>
        </w:rPr>
        <w:t xml:space="preserve"> </w:t>
      </w:r>
      <w:r w:rsidRPr="00FB5A28">
        <w:rPr>
          <w:rFonts w:ascii="Times New Roman" w:hAnsi="Times New Roman"/>
          <w:sz w:val="24"/>
          <w:szCs w:val="24"/>
        </w:rPr>
        <w:t>воде</w:t>
      </w:r>
      <w:r w:rsidR="00A22225" w:rsidRPr="00FB5A28">
        <w:rPr>
          <w:rFonts w:ascii="Times New Roman" w:hAnsi="Times New Roman"/>
          <w:sz w:val="24"/>
          <w:szCs w:val="24"/>
        </w:rPr>
        <w:t xml:space="preserve"> </w:t>
      </w:r>
      <w:r w:rsidRPr="00FB5A28">
        <w:rPr>
          <w:rFonts w:ascii="Times New Roman" w:hAnsi="Times New Roman"/>
          <w:sz w:val="24"/>
          <w:szCs w:val="24"/>
        </w:rPr>
        <w:t>пословне</w:t>
      </w:r>
      <w:r w:rsidR="00A22225" w:rsidRPr="00FB5A28">
        <w:rPr>
          <w:rFonts w:ascii="Times New Roman" w:hAnsi="Times New Roman"/>
          <w:sz w:val="24"/>
          <w:szCs w:val="24"/>
        </w:rPr>
        <w:t xml:space="preserve"> </w:t>
      </w:r>
      <w:r w:rsidRPr="00FB5A28">
        <w:rPr>
          <w:rFonts w:ascii="Times New Roman" w:hAnsi="Times New Roman"/>
          <w:sz w:val="24"/>
          <w:szCs w:val="24"/>
        </w:rPr>
        <w:t>књиге</w:t>
      </w:r>
      <w:r w:rsidR="00A22225" w:rsidRPr="00FB5A28">
        <w:rPr>
          <w:rFonts w:ascii="Times New Roman" w:hAnsi="Times New Roman"/>
          <w:sz w:val="24"/>
          <w:szCs w:val="24"/>
        </w:rPr>
        <w:t xml:space="preserve"> </w:t>
      </w:r>
      <w:r w:rsidRPr="00FB5A28">
        <w:rPr>
          <w:rFonts w:ascii="Times New Roman" w:hAnsi="Times New Roman"/>
          <w:sz w:val="24"/>
          <w:szCs w:val="24"/>
        </w:rPr>
        <w:t>по</w:t>
      </w:r>
      <w:r w:rsidR="00A22225" w:rsidRPr="00FB5A28">
        <w:rPr>
          <w:rFonts w:ascii="Times New Roman" w:hAnsi="Times New Roman"/>
          <w:sz w:val="24"/>
          <w:szCs w:val="24"/>
        </w:rPr>
        <w:t xml:space="preserve"> </w:t>
      </w:r>
      <w:r w:rsidRPr="00FB5A28">
        <w:rPr>
          <w:rFonts w:ascii="Times New Roman" w:hAnsi="Times New Roman"/>
          <w:sz w:val="24"/>
          <w:szCs w:val="24"/>
        </w:rPr>
        <w:t>систему</w:t>
      </w:r>
      <w:r w:rsidR="00A22225" w:rsidRPr="00FB5A28">
        <w:rPr>
          <w:rFonts w:ascii="Times New Roman" w:hAnsi="Times New Roman"/>
          <w:sz w:val="24"/>
          <w:szCs w:val="24"/>
        </w:rPr>
        <w:t xml:space="preserve"> </w:t>
      </w:r>
      <w:r w:rsidRPr="00FB5A28">
        <w:rPr>
          <w:rFonts w:ascii="Times New Roman" w:hAnsi="Times New Roman"/>
          <w:sz w:val="24"/>
          <w:szCs w:val="24"/>
        </w:rPr>
        <w:t>простог</w:t>
      </w:r>
      <w:r w:rsidR="00A22225" w:rsidRPr="00FB5A28">
        <w:rPr>
          <w:rFonts w:ascii="Times New Roman" w:hAnsi="Times New Roman"/>
          <w:sz w:val="24"/>
          <w:szCs w:val="24"/>
        </w:rPr>
        <w:t xml:space="preserve"> </w:t>
      </w:r>
      <w:r w:rsidRPr="00FB5A28">
        <w:rPr>
          <w:rFonts w:ascii="Times New Roman" w:hAnsi="Times New Roman"/>
          <w:sz w:val="24"/>
          <w:szCs w:val="24"/>
        </w:rPr>
        <w:t>књиговодства</w:t>
      </w:r>
      <w:r w:rsidR="00A22225" w:rsidRPr="00FB5A28">
        <w:rPr>
          <w:rFonts w:ascii="Times New Roman" w:hAnsi="Times New Roman"/>
          <w:sz w:val="24"/>
          <w:szCs w:val="24"/>
        </w:rPr>
        <w:t xml:space="preserve">, </w:t>
      </w:r>
      <w:r w:rsidRPr="00FB5A28">
        <w:rPr>
          <w:rFonts w:ascii="Times New Roman" w:hAnsi="Times New Roman"/>
          <w:sz w:val="24"/>
          <w:szCs w:val="24"/>
        </w:rPr>
        <w:t>у</w:t>
      </w:r>
      <w:r w:rsidR="00A22225" w:rsidRPr="00FB5A28">
        <w:rPr>
          <w:rFonts w:ascii="Times New Roman" w:hAnsi="Times New Roman"/>
          <w:sz w:val="24"/>
          <w:szCs w:val="24"/>
        </w:rPr>
        <w:t xml:space="preserve"> </w:t>
      </w:r>
      <w:r w:rsidRPr="00FB5A28">
        <w:rPr>
          <w:rFonts w:ascii="Times New Roman" w:hAnsi="Times New Roman"/>
          <w:sz w:val="24"/>
          <w:szCs w:val="24"/>
        </w:rPr>
        <w:t>складу</w:t>
      </w:r>
      <w:r w:rsidR="00A22225" w:rsidRPr="00FB5A28">
        <w:rPr>
          <w:rFonts w:ascii="Times New Roman" w:hAnsi="Times New Roman"/>
          <w:sz w:val="24"/>
          <w:szCs w:val="24"/>
        </w:rPr>
        <w:t xml:space="preserve"> </w:t>
      </w:r>
      <w:r w:rsidRPr="00FB5A28">
        <w:rPr>
          <w:rFonts w:ascii="Times New Roman" w:hAnsi="Times New Roman"/>
          <w:sz w:val="24"/>
          <w:szCs w:val="24"/>
        </w:rPr>
        <w:t>са</w:t>
      </w:r>
      <w:r w:rsidR="00A22225" w:rsidRPr="00FB5A28">
        <w:rPr>
          <w:rFonts w:ascii="Times New Roman" w:hAnsi="Times New Roman"/>
          <w:sz w:val="24"/>
          <w:szCs w:val="24"/>
        </w:rPr>
        <w:t xml:space="preserve"> </w:t>
      </w:r>
      <w:r w:rsidRPr="00FB5A28">
        <w:rPr>
          <w:rFonts w:ascii="Times New Roman" w:hAnsi="Times New Roman"/>
          <w:sz w:val="24"/>
          <w:szCs w:val="24"/>
        </w:rPr>
        <w:t>овим</w:t>
      </w:r>
      <w:r w:rsidR="00A22225" w:rsidRPr="00FB5A28">
        <w:rPr>
          <w:rFonts w:ascii="Times New Roman" w:hAnsi="Times New Roman"/>
          <w:sz w:val="24"/>
          <w:szCs w:val="24"/>
        </w:rPr>
        <w:t xml:space="preserve"> </w:t>
      </w:r>
      <w:r w:rsidRPr="00FB5A28">
        <w:rPr>
          <w:rFonts w:ascii="Times New Roman" w:hAnsi="Times New Roman"/>
          <w:sz w:val="24"/>
          <w:szCs w:val="24"/>
        </w:rPr>
        <w:t>законом</w:t>
      </w:r>
      <w:r w:rsidR="00A22225" w:rsidRPr="00FB5A28">
        <w:rPr>
          <w:rFonts w:ascii="Times New Roman" w:hAnsi="Times New Roman"/>
          <w:sz w:val="24"/>
          <w:szCs w:val="24"/>
        </w:rPr>
        <w:t xml:space="preserve"> </w:t>
      </w:r>
      <w:r w:rsidRPr="00FB5A28">
        <w:rPr>
          <w:rFonts w:ascii="Times New Roman" w:hAnsi="Times New Roman"/>
          <w:sz w:val="24"/>
          <w:szCs w:val="24"/>
        </w:rPr>
        <w:t>или</w:t>
      </w:r>
      <w:r w:rsidR="00A22225" w:rsidRPr="00FB5A28">
        <w:rPr>
          <w:rFonts w:ascii="Times New Roman" w:hAnsi="Times New Roman"/>
          <w:sz w:val="24"/>
          <w:szCs w:val="24"/>
        </w:rPr>
        <w:t xml:space="preserve"> </w:t>
      </w:r>
      <w:r w:rsidRPr="00FB5A28">
        <w:rPr>
          <w:rFonts w:ascii="Times New Roman" w:hAnsi="Times New Roman"/>
          <w:sz w:val="24"/>
          <w:szCs w:val="24"/>
        </w:rPr>
        <w:t>по</w:t>
      </w:r>
      <w:r w:rsidR="00A22225" w:rsidRPr="00FB5A28">
        <w:rPr>
          <w:rFonts w:ascii="Times New Roman" w:hAnsi="Times New Roman"/>
          <w:sz w:val="24"/>
          <w:szCs w:val="24"/>
        </w:rPr>
        <w:t xml:space="preserve"> </w:t>
      </w:r>
      <w:r w:rsidRPr="00FB5A28">
        <w:rPr>
          <w:rFonts w:ascii="Times New Roman" w:hAnsi="Times New Roman"/>
          <w:sz w:val="24"/>
          <w:szCs w:val="24"/>
        </w:rPr>
        <w:t>систему</w:t>
      </w:r>
      <w:r w:rsidR="00A22225" w:rsidRPr="00FB5A28">
        <w:rPr>
          <w:rFonts w:ascii="Times New Roman" w:hAnsi="Times New Roman"/>
          <w:sz w:val="24"/>
          <w:szCs w:val="24"/>
        </w:rPr>
        <w:t xml:space="preserve"> </w:t>
      </w:r>
      <w:r w:rsidRPr="00FB5A28">
        <w:rPr>
          <w:rFonts w:ascii="Times New Roman" w:hAnsi="Times New Roman"/>
          <w:sz w:val="24"/>
          <w:szCs w:val="24"/>
        </w:rPr>
        <w:t>двојног</w:t>
      </w:r>
      <w:r w:rsidR="00A22225" w:rsidRPr="00FB5A28">
        <w:rPr>
          <w:rFonts w:ascii="Times New Roman" w:hAnsi="Times New Roman"/>
          <w:sz w:val="24"/>
          <w:szCs w:val="24"/>
        </w:rPr>
        <w:t xml:space="preserve"> </w:t>
      </w:r>
      <w:r w:rsidRPr="00FB5A28">
        <w:rPr>
          <w:rFonts w:ascii="Times New Roman" w:hAnsi="Times New Roman"/>
          <w:sz w:val="24"/>
          <w:szCs w:val="24"/>
        </w:rPr>
        <w:t>књиговодства</w:t>
      </w:r>
      <w:r w:rsidR="00A22225" w:rsidRPr="00FB5A28">
        <w:rPr>
          <w:rFonts w:ascii="Times New Roman" w:hAnsi="Times New Roman"/>
          <w:sz w:val="24"/>
          <w:szCs w:val="24"/>
        </w:rPr>
        <w:t xml:space="preserve"> </w:t>
      </w:r>
      <w:r w:rsidRPr="00FB5A28">
        <w:rPr>
          <w:rFonts w:ascii="Times New Roman" w:hAnsi="Times New Roman"/>
          <w:sz w:val="24"/>
          <w:szCs w:val="24"/>
        </w:rPr>
        <w:t>у</w:t>
      </w:r>
      <w:r w:rsidR="00A22225" w:rsidRPr="00FB5A28">
        <w:rPr>
          <w:rFonts w:ascii="Times New Roman" w:hAnsi="Times New Roman"/>
          <w:sz w:val="24"/>
          <w:szCs w:val="24"/>
        </w:rPr>
        <w:t xml:space="preserve"> </w:t>
      </w:r>
      <w:r w:rsidRPr="00FB5A28">
        <w:rPr>
          <w:rFonts w:ascii="Times New Roman" w:hAnsi="Times New Roman"/>
          <w:sz w:val="24"/>
          <w:szCs w:val="24"/>
        </w:rPr>
        <w:t>складу</w:t>
      </w:r>
      <w:r w:rsidR="00A22225" w:rsidRPr="00FB5A28">
        <w:rPr>
          <w:rFonts w:ascii="Times New Roman" w:hAnsi="Times New Roman"/>
          <w:sz w:val="24"/>
          <w:szCs w:val="24"/>
        </w:rPr>
        <w:t xml:space="preserve"> </w:t>
      </w:r>
      <w:r w:rsidRPr="00FB5A28">
        <w:rPr>
          <w:rFonts w:ascii="Times New Roman" w:hAnsi="Times New Roman"/>
          <w:sz w:val="24"/>
          <w:szCs w:val="24"/>
        </w:rPr>
        <w:t>са</w:t>
      </w:r>
      <w:r w:rsidR="00A22225" w:rsidRPr="00FB5A28">
        <w:rPr>
          <w:rFonts w:ascii="Times New Roman" w:hAnsi="Times New Roman"/>
          <w:sz w:val="24"/>
          <w:szCs w:val="24"/>
        </w:rPr>
        <w:t xml:space="preserve"> </w:t>
      </w:r>
      <w:r w:rsidRPr="00FB5A28">
        <w:rPr>
          <w:rFonts w:ascii="Times New Roman" w:hAnsi="Times New Roman"/>
          <w:sz w:val="24"/>
          <w:szCs w:val="24"/>
        </w:rPr>
        <w:t>законом</w:t>
      </w:r>
      <w:r w:rsidR="00A22225" w:rsidRPr="00FB5A28">
        <w:rPr>
          <w:rFonts w:ascii="Times New Roman" w:hAnsi="Times New Roman"/>
          <w:sz w:val="24"/>
          <w:szCs w:val="24"/>
        </w:rPr>
        <w:t xml:space="preserve"> </w:t>
      </w:r>
      <w:r w:rsidRPr="00FB5A28">
        <w:rPr>
          <w:rFonts w:ascii="Times New Roman" w:hAnsi="Times New Roman"/>
          <w:sz w:val="24"/>
          <w:szCs w:val="24"/>
        </w:rPr>
        <w:t>којим</w:t>
      </w:r>
      <w:r w:rsidR="00A22225" w:rsidRPr="00FB5A28">
        <w:rPr>
          <w:rFonts w:ascii="Times New Roman" w:hAnsi="Times New Roman"/>
          <w:sz w:val="24"/>
          <w:szCs w:val="24"/>
        </w:rPr>
        <w:t xml:space="preserve"> </w:t>
      </w:r>
      <w:r w:rsidRPr="00FB5A28">
        <w:rPr>
          <w:rFonts w:ascii="Times New Roman" w:hAnsi="Times New Roman"/>
          <w:sz w:val="24"/>
          <w:szCs w:val="24"/>
        </w:rPr>
        <w:t>се</w:t>
      </w:r>
      <w:r w:rsidR="00A22225" w:rsidRPr="00FB5A28">
        <w:rPr>
          <w:rFonts w:ascii="Times New Roman" w:hAnsi="Times New Roman"/>
          <w:sz w:val="24"/>
          <w:szCs w:val="24"/>
        </w:rPr>
        <w:t xml:space="preserve"> </w:t>
      </w:r>
      <w:r w:rsidRPr="00FB5A28">
        <w:rPr>
          <w:rFonts w:ascii="Times New Roman" w:hAnsi="Times New Roman"/>
          <w:sz w:val="24"/>
          <w:szCs w:val="24"/>
        </w:rPr>
        <w:t>уређује</w:t>
      </w:r>
      <w:r w:rsidR="00A22225" w:rsidRPr="00FB5A28">
        <w:rPr>
          <w:rFonts w:ascii="Times New Roman" w:hAnsi="Times New Roman"/>
          <w:sz w:val="24"/>
          <w:szCs w:val="24"/>
        </w:rPr>
        <w:t xml:space="preserve"> </w:t>
      </w:r>
      <w:r w:rsidRPr="00FB5A28">
        <w:rPr>
          <w:rFonts w:ascii="Times New Roman" w:hAnsi="Times New Roman"/>
          <w:sz w:val="24"/>
          <w:szCs w:val="24"/>
        </w:rPr>
        <w:t>рачуноводство</w:t>
      </w:r>
      <w:r w:rsidR="00A22225" w:rsidRPr="00FB5A28">
        <w:rPr>
          <w:rFonts w:ascii="Times New Roman" w:hAnsi="Times New Roman"/>
          <w:sz w:val="24"/>
          <w:szCs w:val="24"/>
        </w:rPr>
        <w:t xml:space="preserve"> </w:t>
      </w:r>
      <w:r w:rsidRPr="00FB5A28">
        <w:rPr>
          <w:rFonts w:ascii="Times New Roman" w:hAnsi="Times New Roman"/>
          <w:sz w:val="24"/>
          <w:szCs w:val="24"/>
        </w:rPr>
        <w:t>и</w:t>
      </w:r>
      <w:r w:rsidR="00A22225" w:rsidRPr="00FB5A28">
        <w:rPr>
          <w:rFonts w:ascii="Times New Roman" w:hAnsi="Times New Roman"/>
          <w:sz w:val="24"/>
          <w:szCs w:val="24"/>
        </w:rPr>
        <w:t xml:space="preserve"> </w:t>
      </w:r>
      <w:r w:rsidRPr="00FB5A28">
        <w:rPr>
          <w:rFonts w:ascii="Times New Roman" w:hAnsi="Times New Roman"/>
          <w:sz w:val="24"/>
          <w:szCs w:val="24"/>
        </w:rPr>
        <w:t>ревизија</w:t>
      </w:r>
      <w:r w:rsidR="00A22225" w:rsidRPr="00FB5A28">
        <w:rPr>
          <w:rFonts w:ascii="Times New Roman" w:hAnsi="Times New Roman"/>
          <w:sz w:val="24"/>
          <w:szCs w:val="24"/>
        </w:rPr>
        <w:t>.</w:t>
      </w:r>
      <w:r w:rsidR="00A22225" w:rsidRPr="00FB5A28">
        <w:rPr>
          <w:rFonts w:ascii="Times New Roman" w:hAnsi="Times New Roman"/>
          <w:sz w:val="24"/>
          <w:szCs w:val="24"/>
          <w:lang w:val="sr-Cyrl-CS"/>
        </w:rPr>
        <w:t xml:space="preserve"> </w:t>
      </w:r>
      <w:r w:rsidRPr="00FB5A28">
        <w:rPr>
          <w:rFonts w:ascii="Times New Roman" w:hAnsi="Times New Roman"/>
          <w:sz w:val="24"/>
          <w:szCs w:val="24"/>
        </w:rPr>
        <w:t>Предузетници</w:t>
      </w:r>
      <w:r w:rsidR="00A22225" w:rsidRPr="00FB5A28">
        <w:rPr>
          <w:rFonts w:ascii="Times New Roman" w:hAnsi="Times New Roman"/>
          <w:sz w:val="24"/>
          <w:szCs w:val="24"/>
        </w:rPr>
        <w:t xml:space="preserve"> </w:t>
      </w:r>
      <w:r w:rsidRPr="00FB5A28">
        <w:rPr>
          <w:rFonts w:ascii="Times New Roman" w:hAnsi="Times New Roman"/>
          <w:sz w:val="24"/>
          <w:szCs w:val="24"/>
        </w:rPr>
        <w:t>који</w:t>
      </w:r>
      <w:r w:rsidR="00A22225" w:rsidRPr="00FB5A28">
        <w:rPr>
          <w:rFonts w:ascii="Times New Roman" w:hAnsi="Times New Roman"/>
          <w:sz w:val="24"/>
          <w:szCs w:val="24"/>
        </w:rPr>
        <w:t xml:space="preserve"> </w:t>
      </w:r>
      <w:r w:rsidRPr="00FB5A28">
        <w:rPr>
          <w:rFonts w:ascii="Times New Roman" w:hAnsi="Times New Roman"/>
          <w:sz w:val="24"/>
          <w:szCs w:val="24"/>
        </w:rPr>
        <w:t>порез</w:t>
      </w:r>
      <w:r w:rsidR="00A22225" w:rsidRPr="00FB5A28">
        <w:rPr>
          <w:rFonts w:ascii="Times New Roman" w:hAnsi="Times New Roman"/>
          <w:sz w:val="24"/>
          <w:szCs w:val="24"/>
        </w:rPr>
        <w:t xml:space="preserve"> </w:t>
      </w:r>
      <w:r w:rsidRPr="00FB5A28">
        <w:rPr>
          <w:rFonts w:ascii="Times New Roman" w:hAnsi="Times New Roman"/>
          <w:sz w:val="24"/>
          <w:szCs w:val="24"/>
        </w:rPr>
        <w:t>плаћају</w:t>
      </w:r>
      <w:r w:rsidR="00A22225" w:rsidRPr="00FB5A28">
        <w:rPr>
          <w:rFonts w:ascii="Times New Roman" w:hAnsi="Times New Roman"/>
          <w:sz w:val="24"/>
          <w:szCs w:val="24"/>
        </w:rPr>
        <w:t xml:space="preserve"> </w:t>
      </w:r>
      <w:r w:rsidRPr="00FB5A28">
        <w:rPr>
          <w:rFonts w:ascii="Times New Roman" w:hAnsi="Times New Roman"/>
          <w:sz w:val="24"/>
          <w:szCs w:val="24"/>
        </w:rPr>
        <w:t>на</w:t>
      </w:r>
      <w:r w:rsidR="00A22225" w:rsidRPr="00FB5A28">
        <w:rPr>
          <w:rFonts w:ascii="Times New Roman" w:hAnsi="Times New Roman"/>
          <w:sz w:val="24"/>
          <w:szCs w:val="24"/>
        </w:rPr>
        <w:t xml:space="preserve"> </w:t>
      </w:r>
      <w:r w:rsidRPr="00FB5A28">
        <w:rPr>
          <w:rFonts w:ascii="Times New Roman" w:hAnsi="Times New Roman"/>
          <w:sz w:val="24"/>
          <w:szCs w:val="24"/>
        </w:rPr>
        <w:t>паушално</w:t>
      </w:r>
      <w:r w:rsidR="00A22225" w:rsidRPr="00FB5A28">
        <w:rPr>
          <w:rFonts w:ascii="Times New Roman" w:hAnsi="Times New Roman"/>
          <w:sz w:val="24"/>
          <w:szCs w:val="24"/>
        </w:rPr>
        <w:t xml:space="preserve"> </w:t>
      </w:r>
      <w:r w:rsidRPr="00FB5A28">
        <w:rPr>
          <w:rFonts w:ascii="Times New Roman" w:hAnsi="Times New Roman"/>
          <w:sz w:val="24"/>
          <w:szCs w:val="24"/>
        </w:rPr>
        <w:t>утврђен</w:t>
      </w:r>
      <w:r w:rsidR="00A22225" w:rsidRPr="00FB5A28">
        <w:rPr>
          <w:rFonts w:ascii="Times New Roman" w:hAnsi="Times New Roman"/>
          <w:sz w:val="24"/>
          <w:szCs w:val="24"/>
        </w:rPr>
        <w:t xml:space="preserve"> </w:t>
      </w:r>
      <w:r w:rsidRPr="00FB5A28">
        <w:rPr>
          <w:rFonts w:ascii="Times New Roman" w:hAnsi="Times New Roman"/>
          <w:sz w:val="24"/>
          <w:szCs w:val="24"/>
        </w:rPr>
        <w:t>приход</w:t>
      </w:r>
      <w:r w:rsidR="00A22225" w:rsidRPr="00FB5A28">
        <w:rPr>
          <w:rFonts w:ascii="Times New Roman" w:hAnsi="Times New Roman"/>
          <w:sz w:val="24"/>
          <w:szCs w:val="24"/>
        </w:rPr>
        <w:t xml:space="preserve"> </w:t>
      </w:r>
      <w:r w:rsidRPr="00FB5A28">
        <w:rPr>
          <w:rFonts w:ascii="Times New Roman" w:hAnsi="Times New Roman"/>
          <w:sz w:val="24"/>
          <w:szCs w:val="24"/>
        </w:rPr>
        <w:t>дужни</w:t>
      </w:r>
      <w:r w:rsidR="00A22225" w:rsidRPr="00FB5A28">
        <w:rPr>
          <w:rFonts w:ascii="Times New Roman" w:hAnsi="Times New Roman"/>
          <w:sz w:val="24"/>
          <w:szCs w:val="24"/>
        </w:rPr>
        <w:t xml:space="preserve"> </w:t>
      </w:r>
      <w:r w:rsidRPr="00FB5A28">
        <w:rPr>
          <w:rFonts w:ascii="Times New Roman" w:hAnsi="Times New Roman"/>
          <w:sz w:val="24"/>
          <w:szCs w:val="24"/>
        </w:rPr>
        <w:t>су</w:t>
      </w:r>
      <w:r w:rsidR="00A22225" w:rsidRPr="00FB5A28">
        <w:rPr>
          <w:rFonts w:ascii="Times New Roman" w:hAnsi="Times New Roman"/>
          <w:sz w:val="24"/>
          <w:szCs w:val="24"/>
        </w:rPr>
        <w:t xml:space="preserve"> </w:t>
      </w:r>
      <w:r w:rsidRPr="00FB5A28">
        <w:rPr>
          <w:rFonts w:ascii="Times New Roman" w:hAnsi="Times New Roman"/>
          <w:sz w:val="24"/>
          <w:szCs w:val="24"/>
        </w:rPr>
        <w:t>да</w:t>
      </w:r>
      <w:r w:rsidR="00A22225" w:rsidRPr="00FB5A28">
        <w:rPr>
          <w:rFonts w:ascii="Times New Roman" w:hAnsi="Times New Roman"/>
          <w:sz w:val="24"/>
          <w:szCs w:val="24"/>
        </w:rPr>
        <w:t xml:space="preserve"> </w:t>
      </w:r>
      <w:r w:rsidRPr="00FB5A28">
        <w:rPr>
          <w:rFonts w:ascii="Times New Roman" w:hAnsi="Times New Roman"/>
          <w:sz w:val="24"/>
          <w:szCs w:val="24"/>
        </w:rPr>
        <w:t>воде</w:t>
      </w:r>
      <w:r w:rsidR="00A22225" w:rsidRPr="00FB5A28">
        <w:rPr>
          <w:rFonts w:ascii="Times New Roman" w:hAnsi="Times New Roman"/>
          <w:sz w:val="24"/>
          <w:szCs w:val="24"/>
        </w:rPr>
        <w:t xml:space="preserve"> </w:t>
      </w:r>
      <w:r w:rsidRPr="00FB5A28">
        <w:rPr>
          <w:rFonts w:ascii="Times New Roman" w:hAnsi="Times New Roman"/>
          <w:sz w:val="24"/>
          <w:szCs w:val="24"/>
        </w:rPr>
        <w:t>само</w:t>
      </w:r>
      <w:r w:rsidR="00A22225" w:rsidRPr="00FB5A28">
        <w:rPr>
          <w:rFonts w:ascii="Times New Roman" w:hAnsi="Times New Roman"/>
          <w:sz w:val="24"/>
          <w:szCs w:val="24"/>
        </w:rPr>
        <w:t xml:space="preserve"> </w:t>
      </w:r>
      <w:r w:rsidRPr="00FB5A28">
        <w:rPr>
          <w:rFonts w:ascii="Times New Roman" w:hAnsi="Times New Roman"/>
          <w:sz w:val="24"/>
          <w:szCs w:val="24"/>
        </w:rPr>
        <w:t>пословну</w:t>
      </w:r>
      <w:r w:rsidR="00A22225" w:rsidRPr="00FB5A28">
        <w:rPr>
          <w:rFonts w:ascii="Times New Roman" w:hAnsi="Times New Roman"/>
          <w:sz w:val="24"/>
          <w:szCs w:val="24"/>
        </w:rPr>
        <w:t xml:space="preserve"> </w:t>
      </w:r>
      <w:r w:rsidRPr="00FB5A28">
        <w:rPr>
          <w:rFonts w:ascii="Times New Roman" w:hAnsi="Times New Roman"/>
          <w:sz w:val="24"/>
          <w:szCs w:val="24"/>
        </w:rPr>
        <w:t>књигу</w:t>
      </w:r>
      <w:r w:rsidR="00A22225" w:rsidRPr="00FB5A28">
        <w:rPr>
          <w:rFonts w:ascii="Times New Roman" w:hAnsi="Times New Roman"/>
          <w:sz w:val="24"/>
          <w:szCs w:val="24"/>
        </w:rPr>
        <w:t xml:space="preserve"> </w:t>
      </w:r>
      <w:r w:rsidRPr="00FB5A28">
        <w:rPr>
          <w:rFonts w:ascii="Times New Roman" w:hAnsi="Times New Roman"/>
          <w:sz w:val="24"/>
          <w:szCs w:val="24"/>
        </w:rPr>
        <w:t>о</w:t>
      </w:r>
      <w:r w:rsidR="00A22225" w:rsidRPr="00FB5A28">
        <w:rPr>
          <w:rFonts w:ascii="Times New Roman" w:hAnsi="Times New Roman"/>
          <w:sz w:val="24"/>
          <w:szCs w:val="24"/>
        </w:rPr>
        <w:t xml:space="preserve"> </w:t>
      </w:r>
      <w:r w:rsidRPr="00FB5A28">
        <w:rPr>
          <w:rFonts w:ascii="Times New Roman" w:hAnsi="Times New Roman"/>
          <w:sz w:val="24"/>
          <w:szCs w:val="24"/>
        </w:rPr>
        <w:t>оствареном</w:t>
      </w:r>
      <w:r w:rsidR="00A22225" w:rsidRPr="00FB5A28">
        <w:rPr>
          <w:rFonts w:ascii="Times New Roman" w:hAnsi="Times New Roman"/>
          <w:sz w:val="24"/>
          <w:szCs w:val="24"/>
        </w:rPr>
        <w:t xml:space="preserve"> </w:t>
      </w:r>
      <w:r w:rsidRPr="00FB5A28">
        <w:rPr>
          <w:rFonts w:ascii="Times New Roman" w:hAnsi="Times New Roman"/>
          <w:sz w:val="24"/>
          <w:szCs w:val="24"/>
        </w:rPr>
        <w:t>промету</w:t>
      </w:r>
      <w:r w:rsidR="00A22225" w:rsidRPr="00FB5A28">
        <w:rPr>
          <w:rFonts w:ascii="Times New Roman" w:hAnsi="Times New Roman"/>
          <w:sz w:val="24"/>
          <w:szCs w:val="24"/>
        </w:rPr>
        <w:t>.</w:t>
      </w:r>
      <w:r w:rsidR="00A22225" w:rsidRPr="00FB5A28">
        <w:rPr>
          <w:rStyle w:val="FootnoteReference"/>
          <w:rFonts w:ascii="Times New Roman" w:hAnsi="Times New Roman"/>
          <w:color w:val="000000"/>
          <w:sz w:val="24"/>
          <w:szCs w:val="24"/>
        </w:rPr>
        <w:footnoteReference w:id="486"/>
      </w:r>
      <w:bookmarkStart w:id="54" w:name="clan_103"/>
      <w:bookmarkStart w:id="55" w:name="clan_104"/>
      <w:bookmarkStart w:id="56" w:name="clan_110"/>
      <w:bookmarkEnd w:id="54"/>
      <w:bookmarkEnd w:id="55"/>
      <w:bookmarkEnd w:id="56"/>
    </w:p>
    <w:p w:rsidR="00717D0E" w:rsidRPr="00FB5A28" w:rsidRDefault="00717D0E" w:rsidP="00FB5A28">
      <w:pPr>
        <w:ind w:firstLine="708"/>
        <w:jc w:val="both"/>
        <w:rPr>
          <w:rFonts w:ascii="Times New Roman" w:hAnsi="Times New Roman"/>
          <w:sz w:val="24"/>
          <w:szCs w:val="24"/>
          <w:lang w:val="sr-Cyrl-CS"/>
        </w:rPr>
      </w:pPr>
      <w:r w:rsidRPr="00FB5A28">
        <w:rPr>
          <w:rFonts w:ascii="Times New Roman" w:hAnsi="Times New Roman"/>
          <w:sz w:val="24"/>
          <w:szCs w:val="24"/>
          <w:lang w:val="sr-Cyrl-CS"/>
        </w:rPr>
        <w:t xml:space="preserve">Утврђивање пореза на доходак грађана, дакле,  кроз самоопорезивање врши сам порески дужник, а то може чинити и Пореска управа доношењем пореског решења, као код паушалног опорезивања прихода од самосталне делатности и у случају годишњег пореза на доходак грађана. </w:t>
      </w:r>
    </w:p>
    <w:p w:rsidR="00717D0E" w:rsidRPr="00FB5A28" w:rsidRDefault="005F720D" w:rsidP="00FB5A28">
      <w:pPr>
        <w:ind w:firstLine="708"/>
        <w:jc w:val="both"/>
        <w:rPr>
          <w:rFonts w:ascii="Times New Roman" w:hAnsi="Times New Roman"/>
          <w:sz w:val="24"/>
          <w:szCs w:val="24"/>
        </w:rPr>
      </w:pPr>
      <w:r w:rsidRPr="00FB5A28">
        <w:rPr>
          <w:rFonts w:ascii="Times New Roman" w:hAnsi="Times New Roman"/>
          <w:sz w:val="24"/>
          <w:szCs w:val="24"/>
        </w:rPr>
        <w:t>Утврђивање</w:t>
      </w:r>
      <w:r w:rsidR="00717D0E" w:rsidRPr="00FB5A28">
        <w:rPr>
          <w:rFonts w:ascii="Times New Roman" w:hAnsi="Times New Roman"/>
          <w:sz w:val="24"/>
          <w:szCs w:val="24"/>
        </w:rPr>
        <w:t xml:space="preserve"> </w:t>
      </w:r>
      <w:r w:rsidRPr="00FB5A28">
        <w:rPr>
          <w:rFonts w:ascii="Times New Roman" w:hAnsi="Times New Roman"/>
          <w:sz w:val="24"/>
          <w:szCs w:val="24"/>
        </w:rPr>
        <w:t>пореза</w:t>
      </w:r>
      <w:r w:rsidR="00A22225" w:rsidRPr="00FB5A28">
        <w:rPr>
          <w:rStyle w:val="FootnoteReference"/>
          <w:rFonts w:ascii="Times New Roman" w:hAnsi="Times New Roman"/>
          <w:color w:val="000000"/>
          <w:sz w:val="24"/>
          <w:szCs w:val="24"/>
        </w:rPr>
        <w:footnoteReference w:id="487"/>
      </w:r>
      <w:r w:rsidR="00717D0E" w:rsidRPr="00FB5A28">
        <w:rPr>
          <w:rFonts w:ascii="Times New Roman" w:hAnsi="Times New Roman"/>
          <w:sz w:val="24"/>
          <w:szCs w:val="24"/>
        </w:rPr>
        <w:t xml:space="preserve"> </w:t>
      </w:r>
      <w:r w:rsidRPr="00FB5A28">
        <w:rPr>
          <w:rFonts w:ascii="Times New Roman" w:hAnsi="Times New Roman"/>
          <w:sz w:val="24"/>
          <w:szCs w:val="24"/>
        </w:rPr>
        <w:t>је</w:t>
      </w:r>
      <w:r w:rsidR="00717D0E" w:rsidRPr="00FB5A28">
        <w:rPr>
          <w:rFonts w:ascii="Times New Roman" w:hAnsi="Times New Roman"/>
          <w:sz w:val="24"/>
          <w:szCs w:val="24"/>
        </w:rPr>
        <w:t xml:space="preserve"> </w:t>
      </w:r>
      <w:r w:rsidRPr="00FB5A28">
        <w:rPr>
          <w:rFonts w:ascii="Times New Roman" w:hAnsi="Times New Roman"/>
          <w:sz w:val="24"/>
          <w:szCs w:val="24"/>
        </w:rPr>
        <w:t>делатност</w:t>
      </w:r>
      <w:r w:rsidR="00717D0E" w:rsidRPr="00FB5A28">
        <w:rPr>
          <w:rFonts w:ascii="Times New Roman" w:hAnsi="Times New Roman"/>
          <w:sz w:val="24"/>
          <w:szCs w:val="24"/>
        </w:rPr>
        <w:t xml:space="preserve"> </w:t>
      </w:r>
      <w:r w:rsidRPr="00FB5A28">
        <w:rPr>
          <w:rFonts w:ascii="Times New Roman" w:hAnsi="Times New Roman"/>
          <w:sz w:val="24"/>
          <w:szCs w:val="24"/>
        </w:rPr>
        <w:t>Пореске</w:t>
      </w:r>
      <w:r w:rsidR="00717D0E" w:rsidRPr="00FB5A28">
        <w:rPr>
          <w:rFonts w:ascii="Times New Roman" w:hAnsi="Times New Roman"/>
          <w:sz w:val="24"/>
          <w:szCs w:val="24"/>
        </w:rPr>
        <w:t xml:space="preserve"> </w:t>
      </w:r>
      <w:r w:rsidRPr="00FB5A28">
        <w:rPr>
          <w:rFonts w:ascii="Times New Roman" w:hAnsi="Times New Roman"/>
          <w:sz w:val="24"/>
          <w:szCs w:val="24"/>
        </w:rPr>
        <w:t>управе</w:t>
      </w:r>
      <w:r w:rsidR="00717D0E" w:rsidRPr="00FB5A28">
        <w:rPr>
          <w:rFonts w:ascii="Times New Roman" w:hAnsi="Times New Roman"/>
          <w:sz w:val="24"/>
          <w:szCs w:val="24"/>
        </w:rPr>
        <w:t xml:space="preserve">, </w:t>
      </w:r>
      <w:r w:rsidRPr="00FB5A28">
        <w:rPr>
          <w:rFonts w:ascii="Times New Roman" w:hAnsi="Times New Roman"/>
          <w:sz w:val="24"/>
          <w:szCs w:val="24"/>
        </w:rPr>
        <w:t>односно</w:t>
      </w:r>
      <w:r w:rsidR="00717D0E" w:rsidRPr="00FB5A28">
        <w:rPr>
          <w:rFonts w:ascii="Times New Roman" w:hAnsi="Times New Roman"/>
          <w:sz w:val="24"/>
          <w:szCs w:val="24"/>
        </w:rPr>
        <w:t xml:space="preserve"> </w:t>
      </w:r>
      <w:r w:rsidRPr="00FB5A28">
        <w:rPr>
          <w:rFonts w:ascii="Times New Roman" w:hAnsi="Times New Roman"/>
          <w:sz w:val="24"/>
          <w:szCs w:val="24"/>
        </w:rPr>
        <w:t>пореског</w:t>
      </w:r>
      <w:r w:rsidR="00717D0E" w:rsidRPr="00FB5A28">
        <w:rPr>
          <w:rFonts w:ascii="Times New Roman" w:hAnsi="Times New Roman"/>
          <w:sz w:val="24"/>
          <w:szCs w:val="24"/>
        </w:rPr>
        <w:t xml:space="preserve"> </w:t>
      </w:r>
      <w:r w:rsidRPr="00FB5A28">
        <w:rPr>
          <w:rFonts w:ascii="Times New Roman" w:hAnsi="Times New Roman"/>
          <w:sz w:val="24"/>
          <w:szCs w:val="24"/>
        </w:rPr>
        <w:t>обвезника</w:t>
      </w:r>
      <w:r w:rsidR="00717D0E" w:rsidRPr="00FB5A28">
        <w:rPr>
          <w:rFonts w:ascii="Times New Roman" w:hAnsi="Times New Roman"/>
          <w:sz w:val="24"/>
          <w:szCs w:val="24"/>
        </w:rPr>
        <w:t xml:space="preserve">, </w:t>
      </w:r>
      <w:r w:rsidRPr="00FB5A28">
        <w:rPr>
          <w:rFonts w:ascii="Times New Roman" w:hAnsi="Times New Roman"/>
          <w:sz w:val="24"/>
          <w:szCs w:val="24"/>
        </w:rPr>
        <w:t>која</w:t>
      </w:r>
      <w:r w:rsidR="00717D0E" w:rsidRPr="00FB5A28">
        <w:rPr>
          <w:rFonts w:ascii="Times New Roman" w:hAnsi="Times New Roman"/>
          <w:sz w:val="24"/>
          <w:szCs w:val="24"/>
        </w:rPr>
        <w:t xml:space="preserve"> </w:t>
      </w:r>
      <w:r w:rsidRPr="00FB5A28">
        <w:rPr>
          <w:rFonts w:ascii="Times New Roman" w:hAnsi="Times New Roman"/>
          <w:sz w:val="24"/>
          <w:szCs w:val="24"/>
        </w:rPr>
        <w:t>се</w:t>
      </w:r>
      <w:r w:rsidR="00717D0E" w:rsidRPr="00FB5A28">
        <w:rPr>
          <w:rFonts w:ascii="Times New Roman" w:hAnsi="Times New Roman"/>
          <w:sz w:val="24"/>
          <w:szCs w:val="24"/>
        </w:rPr>
        <w:t xml:space="preserve"> </w:t>
      </w:r>
      <w:r w:rsidRPr="00FB5A28">
        <w:rPr>
          <w:rFonts w:ascii="Times New Roman" w:hAnsi="Times New Roman"/>
          <w:sz w:val="24"/>
          <w:szCs w:val="24"/>
        </w:rPr>
        <w:t>састоји</w:t>
      </w:r>
      <w:r w:rsidR="00717D0E" w:rsidRPr="00FB5A28">
        <w:rPr>
          <w:rFonts w:ascii="Times New Roman" w:hAnsi="Times New Roman"/>
          <w:sz w:val="24"/>
          <w:szCs w:val="24"/>
        </w:rPr>
        <w:t xml:space="preserve"> </w:t>
      </w:r>
      <w:r w:rsidRPr="00FB5A28">
        <w:rPr>
          <w:rFonts w:ascii="Times New Roman" w:hAnsi="Times New Roman"/>
          <w:sz w:val="24"/>
          <w:szCs w:val="24"/>
        </w:rPr>
        <w:t>у</w:t>
      </w:r>
      <w:r w:rsidR="00717D0E" w:rsidRPr="00FB5A28">
        <w:rPr>
          <w:rFonts w:ascii="Times New Roman" w:hAnsi="Times New Roman"/>
          <w:sz w:val="24"/>
          <w:szCs w:val="24"/>
        </w:rPr>
        <w:t xml:space="preserve"> </w:t>
      </w:r>
      <w:r w:rsidRPr="00FB5A28">
        <w:rPr>
          <w:rFonts w:ascii="Times New Roman" w:hAnsi="Times New Roman"/>
          <w:sz w:val="24"/>
          <w:szCs w:val="24"/>
        </w:rPr>
        <w:t>издавању</w:t>
      </w:r>
      <w:r w:rsidR="00717D0E" w:rsidRPr="00FB5A28">
        <w:rPr>
          <w:rFonts w:ascii="Times New Roman" w:hAnsi="Times New Roman"/>
          <w:sz w:val="24"/>
          <w:szCs w:val="24"/>
        </w:rPr>
        <w:t xml:space="preserve"> </w:t>
      </w:r>
      <w:r w:rsidRPr="00FB5A28">
        <w:rPr>
          <w:rFonts w:ascii="Times New Roman" w:hAnsi="Times New Roman"/>
          <w:sz w:val="24"/>
          <w:szCs w:val="24"/>
        </w:rPr>
        <w:t>управних</w:t>
      </w:r>
      <w:r w:rsidR="00717D0E" w:rsidRPr="00FB5A28">
        <w:rPr>
          <w:rFonts w:ascii="Times New Roman" w:hAnsi="Times New Roman"/>
          <w:sz w:val="24"/>
          <w:szCs w:val="24"/>
        </w:rPr>
        <w:t xml:space="preserve"> </w:t>
      </w:r>
      <w:r w:rsidRPr="00FB5A28">
        <w:rPr>
          <w:rFonts w:ascii="Times New Roman" w:hAnsi="Times New Roman"/>
          <w:sz w:val="24"/>
          <w:szCs w:val="24"/>
        </w:rPr>
        <w:t>аката</w:t>
      </w:r>
      <w:r w:rsidR="00717D0E" w:rsidRPr="00FB5A28">
        <w:rPr>
          <w:rFonts w:ascii="Times New Roman" w:hAnsi="Times New Roman"/>
          <w:sz w:val="24"/>
          <w:szCs w:val="24"/>
        </w:rPr>
        <w:t xml:space="preserve">, </w:t>
      </w:r>
      <w:r w:rsidRPr="00FB5A28">
        <w:rPr>
          <w:rFonts w:ascii="Times New Roman" w:hAnsi="Times New Roman"/>
          <w:sz w:val="24"/>
          <w:szCs w:val="24"/>
        </w:rPr>
        <w:t>односно</w:t>
      </w:r>
      <w:r w:rsidR="00717D0E" w:rsidRPr="00FB5A28">
        <w:rPr>
          <w:rFonts w:ascii="Times New Roman" w:hAnsi="Times New Roman"/>
          <w:sz w:val="24"/>
          <w:szCs w:val="24"/>
        </w:rPr>
        <w:t xml:space="preserve"> </w:t>
      </w:r>
      <w:r w:rsidRPr="00FB5A28">
        <w:rPr>
          <w:rFonts w:ascii="Times New Roman" w:hAnsi="Times New Roman"/>
          <w:sz w:val="24"/>
          <w:szCs w:val="24"/>
        </w:rPr>
        <w:t>у</w:t>
      </w:r>
      <w:r w:rsidR="00717D0E" w:rsidRPr="00FB5A28">
        <w:rPr>
          <w:rFonts w:ascii="Times New Roman" w:hAnsi="Times New Roman"/>
          <w:sz w:val="24"/>
          <w:szCs w:val="24"/>
        </w:rPr>
        <w:t xml:space="preserve"> </w:t>
      </w:r>
      <w:r w:rsidRPr="00FB5A28">
        <w:rPr>
          <w:rFonts w:ascii="Times New Roman" w:hAnsi="Times New Roman"/>
          <w:sz w:val="24"/>
          <w:szCs w:val="24"/>
        </w:rPr>
        <w:t>предузимању</w:t>
      </w:r>
      <w:r w:rsidR="00717D0E" w:rsidRPr="00FB5A28">
        <w:rPr>
          <w:rFonts w:ascii="Times New Roman" w:hAnsi="Times New Roman"/>
          <w:sz w:val="24"/>
          <w:szCs w:val="24"/>
        </w:rPr>
        <w:t xml:space="preserve"> </w:t>
      </w:r>
      <w:r w:rsidRPr="00FB5A28">
        <w:rPr>
          <w:rFonts w:ascii="Times New Roman" w:hAnsi="Times New Roman"/>
          <w:sz w:val="24"/>
          <w:szCs w:val="24"/>
        </w:rPr>
        <w:t>законом</w:t>
      </w:r>
      <w:r w:rsidR="00717D0E" w:rsidRPr="00FB5A28">
        <w:rPr>
          <w:rFonts w:ascii="Times New Roman" w:hAnsi="Times New Roman"/>
          <w:sz w:val="24"/>
          <w:szCs w:val="24"/>
        </w:rPr>
        <w:t xml:space="preserve"> </w:t>
      </w:r>
      <w:r w:rsidRPr="00FB5A28">
        <w:rPr>
          <w:rFonts w:ascii="Times New Roman" w:hAnsi="Times New Roman"/>
          <w:sz w:val="24"/>
          <w:szCs w:val="24"/>
        </w:rPr>
        <w:t>прописаних</w:t>
      </w:r>
      <w:r w:rsidR="00717D0E" w:rsidRPr="00FB5A28">
        <w:rPr>
          <w:rFonts w:ascii="Times New Roman" w:hAnsi="Times New Roman"/>
          <w:sz w:val="24"/>
          <w:szCs w:val="24"/>
        </w:rPr>
        <w:t xml:space="preserve"> </w:t>
      </w:r>
      <w:r w:rsidRPr="00FB5A28">
        <w:rPr>
          <w:rFonts w:ascii="Times New Roman" w:hAnsi="Times New Roman"/>
          <w:sz w:val="24"/>
          <w:szCs w:val="24"/>
        </w:rPr>
        <w:t>радњи</w:t>
      </w:r>
      <w:r w:rsidR="00717D0E" w:rsidRPr="00FB5A28">
        <w:rPr>
          <w:rFonts w:ascii="Times New Roman" w:hAnsi="Times New Roman"/>
          <w:sz w:val="24"/>
          <w:szCs w:val="24"/>
        </w:rPr>
        <w:t xml:space="preserve">, </w:t>
      </w:r>
      <w:r w:rsidRPr="00FB5A28">
        <w:rPr>
          <w:rFonts w:ascii="Times New Roman" w:hAnsi="Times New Roman"/>
          <w:sz w:val="24"/>
          <w:szCs w:val="24"/>
        </w:rPr>
        <w:t>којима</w:t>
      </w:r>
      <w:r w:rsidR="00717D0E" w:rsidRPr="00FB5A28">
        <w:rPr>
          <w:rFonts w:ascii="Times New Roman" w:hAnsi="Times New Roman"/>
          <w:sz w:val="24"/>
          <w:szCs w:val="24"/>
        </w:rPr>
        <w:t xml:space="preserve"> </w:t>
      </w:r>
      <w:r w:rsidRPr="00FB5A28">
        <w:rPr>
          <w:rFonts w:ascii="Times New Roman" w:hAnsi="Times New Roman"/>
          <w:sz w:val="24"/>
          <w:szCs w:val="24"/>
        </w:rPr>
        <w:t>се</w:t>
      </w:r>
      <w:r w:rsidR="00717D0E" w:rsidRPr="00FB5A28">
        <w:rPr>
          <w:rFonts w:ascii="Times New Roman" w:hAnsi="Times New Roman"/>
          <w:sz w:val="24"/>
          <w:szCs w:val="24"/>
        </w:rPr>
        <w:t xml:space="preserve"> </w:t>
      </w:r>
      <w:r w:rsidRPr="00FB5A28">
        <w:rPr>
          <w:rFonts w:ascii="Times New Roman" w:hAnsi="Times New Roman"/>
          <w:sz w:val="24"/>
          <w:szCs w:val="24"/>
        </w:rPr>
        <w:t>установљава</w:t>
      </w:r>
      <w:r w:rsidR="00717D0E" w:rsidRPr="00FB5A28">
        <w:rPr>
          <w:rFonts w:ascii="Times New Roman" w:hAnsi="Times New Roman"/>
          <w:sz w:val="24"/>
          <w:szCs w:val="24"/>
        </w:rPr>
        <w:t xml:space="preserve"> </w:t>
      </w:r>
      <w:r w:rsidRPr="00FB5A28">
        <w:rPr>
          <w:rFonts w:ascii="Times New Roman" w:hAnsi="Times New Roman"/>
          <w:sz w:val="24"/>
          <w:szCs w:val="24"/>
        </w:rPr>
        <w:t>постојање</w:t>
      </w:r>
      <w:r w:rsidR="00717D0E" w:rsidRPr="00FB5A28">
        <w:rPr>
          <w:rFonts w:ascii="Times New Roman" w:hAnsi="Times New Roman"/>
          <w:sz w:val="24"/>
          <w:szCs w:val="24"/>
        </w:rPr>
        <w:t xml:space="preserve"> </w:t>
      </w:r>
      <w:r w:rsidRPr="00FB5A28">
        <w:rPr>
          <w:rFonts w:ascii="Times New Roman" w:hAnsi="Times New Roman"/>
          <w:sz w:val="24"/>
          <w:szCs w:val="24"/>
        </w:rPr>
        <w:t>појединачне</w:t>
      </w:r>
      <w:r w:rsidR="00717D0E" w:rsidRPr="00FB5A28">
        <w:rPr>
          <w:rFonts w:ascii="Times New Roman" w:hAnsi="Times New Roman"/>
          <w:sz w:val="24"/>
          <w:szCs w:val="24"/>
        </w:rPr>
        <w:t xml:space="preserve"> </w:t>
      </w:r>
      <w:r w:rsidRPr="00FB5A28">
        <w:rPr>
          <w:rFonts w:ascii="Times New Roman" w:hAnsi="Times New Roman"/>
          <w:sz w:val="24"/>
          <w:szCs w:val="24"/>
        </w:rPr>
        <w:t>пореске</w:t>
      </w:r>
      <w:r w:rsidR="00717D0E" w:rsidRPr="00FB5A28">
        <w:rPr>
          <w:rFonts w:ascii="Times New Roman" w:hAnsi="Times New Roman"/>
          <w:sz w:val="24"/>
          <w:szCs w:val="24"/>
        </w:rPr>
        <w:t xml:space="preserve"> </w:t>
      </w:r>
      <w:r w:rsidRPr="00FB5A28">
        <w:rPr>
          <w:rFonts w:ascii="Times New Roman" w:hAnsi="Times New Roman"/>
          <w:sz w:val="24"/>
          <w:szCs w:val="24"/>
        </w:rPr>
        <w:t>обавезе</w:t>
      </w:r>
      <w:r w:rsidR="00717D0E" w:rsidRPr="00FB5A28">
        <w:rPr>
          <w:rFonts w:ascii="Times New Roman" w:hAnsi="Times New Roman"/>
          <w:sz w:val="24"/>
          <w:szCs w:val="24"/>
        </w:rPr>
        <w:t xml:space="preserve"> </w:t>
      </w:r>
      <w:r w:rsidRPr="00FB5A28">
        <w:rPr>
          <w:rFonts w:ascii="Times New Roman" w:hAnsi="Times New Roman"/>
          <w:sz w:val="24"/>
          <w:szCs w:val="24"/>
        </w:rPr>
        <w:t>и</w:t>
      </w:r>
      <w:r w:rsidR="00717D0E" w:rsidRPr="00FB5A28">
        <w:rPr>
          <w:rFonts w:ascii="Times New Roman" w:hAnsi="Times New Roman"/>
          <w:sz w:val="24"/>
          <w:szCs w:val="24"/>
        </w:rPr>
        <w:t xml:space="preserve"> </w:t>
      </w:r>
      <w:r w:rsidRPr="00FB5A28">
        <w:rPr>
          <w:rFonts w:ascii="Times New Roman" w:hAnsi="Times New Roman"/>
          <w:sz w:val="24"/>
          <w:szCs w:val="24"/>
        </w:rPr>
        <w:t>одређују</w:t>
      </w:r>
      <w:r w:rsidR="00717D0E" w:rsidRPr="00FB5A28">
        <w:rPr>
          <w:rFonts w:ascii="Times New Roman" w:hAnsi="Times New Roman"/>
          <w:sz w:val="24"/>
          <w:szCs w:val="24"/>
        </w:rPr>
        <w:t xml:space="preserve"> </w:t>
      </w:r>
      <w:r w:rsidRPr="00FB5A28">
        <w:rPr>
          <w:rFonts w:ascii="Times New Roman" w:hAnsi="Times New Roman"/>
          <w:sz w:val="24"/>
          <w:szCs w:val="24"/>
        </w:rPr>
        <w:t>порески</w:t>
      </w:r>
      <w:r w:rsidR="00717D0E" w:rsidRPr="00FB5A28">
        <w:rPr>
          <w:rFonts w:ascii="Times New Roman" w:hAnsi="Times New Roman"/>
          <w:sz w:val="24"/>
          <w:szCs w:val="24"/>
        </w:rPr>
        <w:t xml:space="preserve"> </w:t>
      </w:r>
      <w:r w:rsidRPr="00FB5A28">
        <w:rPr>
          <w:rFonts w:ascii="Times New Roman" w:hAnsi="Times New Roman"/>
          <w:sz w:val="24"/>
          <w:szCs w:val="24"/>
        </w:rPr>
        <w:t>обвезник</w:t>
      </w:r>
      <w:r w:rsidR="00717D0E" w:rsidRPr="00FB5A28">
        <w:rPr>
          <w:rFonts w:ascii="Times New Roman" w:hAnsi="Times New Roman"/>
          <w:sz w:val="24"/>
          <w:szCs w:val="24"/>
        </w:rPr>
        <w:t xml:space="preserve">, </w:t>
      </w:r>
      <w:r w:rsidRPr="00FB5A28">
        <w:rPr>
          <w:rFonts w:ascii="Times New Roman" w:hAnsi="Times New Roman"/>
          <w:sz w:val="24"/>
          <w:szCs w:val="24"/>
        </w:rPr>
        <w:t>пореска</w:t>
      </w:r>
      <w:r w:rsidR="00717D0E" w:rsidRPr="00FB5A28">
        <w:rPr>
          <w:rFonts w:ascii="Times New Roman" w:hAnsi="Times New Roman"/>
          <w:sz w:val="24"/>
          <w:szCs w:val="24"/>
        </w:rPr>
        <w:t xml:space="preserve"> </w:t>
      </w:r>
      <w:r w:rsidRPr="00FB5A28">
        <w:rPr>
          <w:rFonts w:ascii="Times New Roman" w:hAnsi="Times New Roman"/>
          <w:sz w:val="24"/>
          <w:szCs w:val="24"/>
        </w:rPr>
        <w:t>основица</w:t>
      </w:r>
      <w:r w:rsidR="00717D0E" w:rsidRPr="00FB5A28">
        <w:rPr>
          <w:rFonts w:ascii="Times New Roman" w:hAnsi="Times New Roman"/>
          <w:sz w:val="24"/>
          <w:szCs w:val="24"/>
        </w:rPr>
        <w:t xml:space="preserve"> </w:t>
      </w:r>
      <w:r w:rsidRPr="00FB5A28">
        <w:rPr>
          <w:rFonts w:ascii="Times New Roman" w:hAnsi="Times New Roman"/>
          <w:sz w:val="24"/>
          <w:szCs w:val="24"/>
        </w:rPr>
        <w:t>и</w:t>
      </w:r>
      <w:r w:rsidR="00717D0E" w:rsidRPr="00FB5A28">
        <w:rPr>
          <w:rFonts w:ascii="Times New Roman" w:hAnsi="Times New Roman"/>
          <w:sz w:val="24"/>
          <w:szCs w:val="24"/>
        </w:rPr>
        <w:t xml:space="preserve"> </w:t>
      </w:r>
      <w:r w:rsidRPr="00FB5A28">
        <w:rPr>
          <w:rFonts w:ascii="Times New Roman" w:hAnsi="Times New Roman"/>
          <w:sz w:val="24"/>
          <w:szCs w:val="24"/>
        </w:rPr>
        <w:t>износ</w:t>
      </w:r>
      <w:r w:rsidR="00717D0E" w:rsidRPr="00FB5A28">
        <w:rPr>
          <w:rFonts w:ascii="Times New Roman" w:hAnsi="Times New Roman"/>
          <w:sz w:val="24"/>
          <w:szCs w:val="24"/>
        </w:rPr>
        <w:t xml:space="preserve"> </w:t>
      </w:r>
      <w:r w:rsidRPr="00FB5A28">
        <w:rPr>
          <w:rFonts w:ascii="Times New Roman" w:hAnsi="Times New Roman"/>
          <w:sz w:val="24"/>
          <w:szCs w:val="24"/>
        </w:rPr>
        <w:t>пореске</w:t>
      </w:r>
      <w:r w:rsidR="00717D0E" w:rsidRPr="00FB5A28">
        <w:rPr>
          <w:rFonts w:ascii="Times New Roman" w:hAnsi="Times New Roman"/>
          <w:sz w:val="24"/>
          <w:szCs w:val="24"/>
        </w:rPr>
        <w:t xml:space="preserve"> </w:t>
      </w:r>
      <w:r w:rsidRPr="00FB5A28">
        <w:rPr>
          <w:rFonts w:ascii="Times New Roman" w:hAnsi="Times New Roman"/>
          <w:sz w:val="24"/>
          <w:szCs w:val="24"/>
        </w:rPr>
        <w:t>обавезе</w:t>
      </w:r>
      <w:r w:rsidR="00717D0E" w:rsidRPr="00FB5A28">
        <w:rPr>
          <w:rFonts w:ascii="Times New Roman" w:hAnsi="Times New Roman"/>
          <w:sz w:val="24"/>
          <w:szCs w:val="24"/>
        </w:rPr>
        <w:t>.</w:t>
      </w:r>
    </w:p>
    <w:p w:rsidR="00717D0E" w:rsidRPr="00FB5A28" w:rsidRDefault="005F720D" w:rsidP="00FB5A28">
      <w:pPr>
        <w:ind w:firstLine="708"/>
        <w:jc w:val="both"/>
        <w:rPr>
          <w:rFonts w:ascii="Times New Roman" w:hAnsi="Times New Roman"/>
          <w:sz w:val="24"/>
          <w:szCs w:val="24"/>
          <w:lang w:val="sr-Cyrl-CS"/>
        </w:rPr>
      </w:pPr>
      <w:r w:rsidRPr="00FB5A28">
        <w:rPr>
          <w:rFonts w:ascii="Times New Roman" w:hAnsi="Times New Roman"/>
          <w:sz w:val="24"/>
          <w:szCs w:val="24"/>
        </w:rPr>
        <w:t>Утврђивање</w:t>
      </w:r>
      <w:r w:rsidR="00717D0E" w:rsidRPr="00FB5A28">
        <w:rPr>
          <w:rFonts w:ascii="Times New Roman" w:hAnsi="Times New Roman"/>
          <w:sz w:val="24"/>
          <w:szCs w:val="24"/>
        </w:rPr>
        <w:t xml:space="preserve"> </w:t>
      </w:r>
      <w:r w:rsidRPr="00FB5A28">
        <w:rPr>
          <w:rFonts w:ascii="Times New Roman" w:hAnsi="Times New Roman"/>
          <w:sz w:val="24"/>
          <w:szCs w:val="24"/>
        </w:rPr>
        <w:t>пореза</w:t>
      </w:r>
      <w:r w:rsidR="00717D0E" w:rsidRPr="00FB5A28">
        <w:rPr>
          <w:rFonts w:ascii="Times New Roman" w:hAnsi="Times New Roman"/>
          <w:sz w:val="24"/>
          <w:szCs w:val="24"/>
        </w:rPr>
        <w:t xml:space="preserve"> </w:t>
      </w:r>
      <w:r w:rsidRPr="00FB5A28">
        <w:rPr>
          <w:rFonts w:ascii="Times New Roman" w:hAnsi="Times New Roman"/>
          <w:sz w:val="24"/>
          <w:szCs w:val="24"/>
        </w:rPr>
        <w:t>обавља</w:t>
      </w:r>
      <w:r w:rsidR="00717D0E" w:rsidRPr="00FB5A28">
        <w:rPr>
          <w:rFonts w:ascii="Times New Roman" w:hAnsi="Times New Roman"/>
          <w:sz w:val="24"/>
          <w:szCs w:val="24"/>
        </w:rPr>
        <w:t>:</w:t>
      </w:r>
      <w:r w:rsidR="00A22225" w:rsidRPr="00FB5A28">
        <w:rPr>
          <w:rFonts w:ascii="Times New Roman" w:hAnsi="Times New Roman"/>
          <w:sz w:val="24"/>
          <w:szCs w:val="24"/>
          <w:lang w:val="sr-Cyrl-CS"/>
        </w:rPr>
        <w:t xml:space="preserve"> </w:t>
      </w:r>
    </w:p>
    <w:p w:rsidR="00A22225" w:rsidRPr="00FB5A28" w:rsidRDefault="00A22225" w:rsidP="00FB5A28">
      <w:pPr>
        <w:jc w:val="both"/>
        <w:rPr>
          <w:rFonts w:ascii="Times New Roman" w:hAnsi="Times New Roman"/>
          <w:sz w:val="24"/>
          <w:szCs w:val="24"/>
          <w:lang w:val="sr-Cyrl-CS"/>
        </w:rPr>
      </w:pPr>
    </w:p>
    <w:p w:rsidR="005E086E" w:rsidRPr="00FB5A28" w:rsidRDefault="00717D0E" w:rsidP="00FB5A28">
      <w:pPr>
        <w:jc w:val="both"/>
        <w:rPr>
          <w:rFonts w:ascii="Times New Roman" w:hAnsi="Times New Roman"/>
          <w:sz w:val="24"/>
          <w:szCs w:val="24"/>
          <w:lang w:val="sr-Cyrl-CS"/>
        </w:rPr>
      </w:pPr>
      <w:r w:rsidRPr="00FB5A28">
        <w:rPr>
          <w:rFonts w:ascii="Times New Roman" w:hAnsi="Times New Roman"/>
          <w:sz w:val="24"/>
          <w:szCs w:val="24"/>
        </w:rPr>
        <w:lastRenderedPageBreak/>
        <w:t xml:space="preserve">1) </w:t>
      </w:r>
      <w:r w:rsidR="005F720D" w:rsidRPr="00FB5A28">
        <w:rPr>
          <w:rFonts w:ascii="Times New Roman" w:hAnsi="Times New Roman"/>
          <w:sz w:val="24"/>
          <w:szCs w:val="24"/>
        </w:rPr>
        <w:t>сам</w:t>
      </w:r>
      <w:r w:rsidRPr="00FB5A28">
        <w:rPr>
          <w:rFonts w:ascii="Times New Roman" w:hAnsi="Times New Roman"/>
          <w:sz w:val="24"/>
          <w:szCs w:val="24"/>
        </w:rPr>
        <w:t xml:space="preserve"> </w:t>
      </w:r>
      <w:r w:rsidR="005F720D" w:rsidRPr="00FB5A28">
        <w:rPr>
          <w:rFonts w:ascii="Times New Roman" w:hAnsi="Times New Roman"/>
          <w:sz w:val="24"/>
          <w:szCs w:val="24"/>
        </w:rPr>
        <w:t>порески</w:t>
      </w:r>
      <w:r w:rsidRPr="00FB5A28">
        <w:rPr>
          <w:rFonts w:ascii="Times New Roman" w:hAnsi="Times New Roman"/>
          <w:sz w:val="24"/>
          <w:szCs w:val="24"/>
        </w:rPr>
        <w:t xml:space="preserve"> </w:t>
      </w:r>
      <w:r w:rsidR="005F720D" w:rsidRPr="00FB5A28">
        <w:rPr>
          <w:rFonts w:ascii="Times New Roman" w:hAnsi="Times New Roman"/>
          <w:sz w:val="24"/>
          <w:szCs w:val="24"/>
        </w:rPr>
        <w:t>обвезник</w:t>
      </w:r>
      <w:r w:rsidRPr="00FB5A28">
        <w:rPr>
          <w:rFonts w:ascii="Times New Roman" w:hAnsi="Times New Roman"/>
          <w:sz w:val="24"/>
          <w:szCs w:val="24"/>
        </w:rPr>
        <w:t xml:space="preserve"> (</w:t>
      </w:r>
      <w:r w:rsidR="005F720D" w:rsidRPr="00FB5A28">
        <w:rPr>
          <w:rFonts w:ascii="Times New Roman" w:hAnsi="Times New Roman"/>
          <w:sz w:val="24"/>
          <w:szCs w:val="24"/>
        </w:rPr>
        <w:t>самоопорезивање</w:t>
      </w:r>
      <w:r w:rsidRPr="00FB5A28">
        <w:rPr>
          <w:rFonts w:ascii="Times New Roman" w:hAnsi="Times New Roman"/>
          <w:sz w:val="24"/>
          <w:szCs w:val="24"/>
        </w:rPr>
        <w:t>);</w:t>
      </w:r>
    </w:p>
    <w:p w:rsidR="005E086E" w:rsidRPr="00FB5A28" w:rsidRDefault="00717D0E" w:rsidP="00FB5A28">
      <w:pPr>
        <w:jc w:val="both"/>
        <w:rPr>
          <w:rFonts w:ascii="Times New Roman" w:hAnsi="Times New Roman"/>
          <w:sz w:val="24"/>
          <w:szCs w:val="24"/>
          <w:lang w:val="sr-Cyrl-CS"/>
        </w:rPr>
      </w:pPr>
      <w:r w:rsidRPr="00FB5A28">
        <w:rPr>
          <w:rFonts w:ascii="Times New Roman" w:hAnsi="Times New Roman"/>
          <w:sz w:val="24"/>
          <w:szCs w:val="24"/>
        </w:rPr>
        <w:t xml:space="preserve">2) </w:t>
      </w:r>
      <w:r w:rsidR="005F720D" w:rsidRPr="00FB5A28">
        <w:rPr>
          <w:rFonts w:ascii="Times New Roman" w:hAnsi="Times New Roman"/>
          <w:sz w:val="24"/>
          <w:szCs w:val="24"/>
        </w:rPr>
        <w:t>Пореска</w:t>
      </w:r>
      <w:r w:rsidRPr="00FB5A28">
        <w:rPr>
          <w:rFonts w:ascii="Times New Roman" w:hAnsi="Times New Roman"/>
          <w:sz w:val="24"/>
          <w:szCs w:val="24"/>
        </w:rPr>
        <w:t xml:space="preserve"> </w:t>
      </w:r>
      <w:r w:rsidR="005F720D" w:rsidRPr="00FB5A28">
        <w:rPr>
          <w:rFonts w:ascii="Times New Roman" w:hAnsi="Times New Roman"/>
          <w:sz w:val="24"/>
          <w:szCs w:val="24"/>
        </w:rPr>
        <w:t>управа</w:t>
      </w:r>
      <w:r w:rsidRPr="00FB5A28">
        <w:rPr>
          <w:rFonts w:ascii="Times New Roman" w:hAnsi="Times New Roman"/>
          <w:sz w:val="24"/>
          <w:szCs w:val="24"/>
        </w:rPr>
        <w:t xml:space="preserve">, </w:t>
      </w:r>
      <w:r w:rsidR="005F720D" w:rsidRPr="00FB5A28">
        <w:rPr>
          <w:rFonts w:ascii="Times New Roman" w:hAnsi="Times New Roman"/>
          <w:sz w:val="24"/>
          <w:szCs w:val="24"/>
        </w:rPr>
        <w:t>доношењем</w:t>
      </w:r>
      <w:r w:rsidRPr="00FB5A28">
        <w:rPr>
          <w:rFonts w:ascii="Times New Roman" w:hAnsi="Times New Roman"/>
          <w:sz w:val="24"/>
          <w:szCs w:val="24"/>
        </w:rPr>
        <w:t xml:space="preserve"> </w:t>
      </w:r>
      <w:r w:rsidR="005F720D" w:rsidRPr="00FB5A28">
        <w:rPr>
          <w:rFonts w:ascii="Times New Roman" w:hAnsi="Times New Roman"/>
          <w:sz w:val="24"/>
          <w:szCs w:val="24"/>
        </w:rPr>
        <w:t>пореског</w:t>
      </w:r>
      <w:r w:rsidRPr="00FB5A28">
        <w:rPr>
          <w:rFonts w:ascii="Times New Roman" w:hAnsi="Times New Roman"/>
          <w:sz w:val="24"/>
          <w:szCs w:val="24"/>
        </w:rPr>
        <w:t xml:space="preserve"> </w:t>
      </w:r>
      <w:r w:rsidR="005F720D" w:rsidRPr="00FB5A28">
        <w:rPr>
          <w:rFonts w:ascii="Times New Roman" w:hAnsi="Times New Roman"/>
          <w:sz w:val="24"/>
          <w:szCs w:val="24"/>
        </w:rPr>
        <w:t>решења</w:t>
      </w:r>
      <w:r w:rsidRPr="00FB5A28">
        <w:rPr>
          <w:rFonts w:ascii="Times New Roman" w:hAnsi="Times New Roman"/>
          <w:sz w:val="24"/>
          <w:szCs w:val="24"/>
        </w:rPr>
        <w:t xml:space="preserve">, </w:t>
      </w:r>
      <w:r w:rsidR="005F720D" w:rsidRPr="00FB5A28">
        <w:rPr>
          <w:rFonts w:ascii="Times New Roman" w:hAnsi="Times New Roman"/>
          <w:sz w:val="24"/>
          <w:szCs w:val="24"/>
        </w:rPr>
        <w:t>и</w:t>
      </w:r>
      <w:r w:rsidRPr="00FB5A28">
        <w:rPr>
          <w:rFonts w:ascii="Times New Roman" w:hAnsi="Times New Roman"/>
          <w:sz w:val="24"/>
          <w:szCs w:val="24"/>
        </w:rPr>
        <w:t xml:space="preserve"> </w:t>
      </w:r>
      <w:r w:rsidR="005F720D" w:rsidRPr="00FB5A28">
        <w:rPr>
          <w:rFonts w:ascii="Times New Roman" w:hAnsi="Times New Roman"/>
          <w:sz w:val="24"/>
          <w:szCs w:val="24"/>
        </w:rPr>
        <w:t>то</w:t>
      </w:r>
      <w:r w:rsidRPr="00FB5A28">
        <w:rPr>
          <w:rFonts w:ascii="Times New Roman" w:hAnsi="Times New Roman"/>
          <w:sz w:val="24"/>
          <w:szCs w:val="24"/>
        </w:rPr>
        <w:t>:</w:t>
      </w:r>
    </w:p>
    <w:p w:rsidR="00717D0E" w:rsidRPr="00FB5A28" w:rsidRDefault="00717D0E" w:rsidP="00FB5A28">
      <w:pPr>
        <w:jc w:val="both"/>
        <w:rPr>
          <w:rFonts w:ascii="Times New Roman" w:hAnsi="Times New Roman"/>
          <w:sz w:val="24"/>
          <w:szCs w:val="24"/>
        </w:rPr>
      </w:pPr>
      <w:r w:rsidRPr="00FB5A28">
        <w:rPr>
          <w:rFonts w:ascii="Times New Roman" w:hAnsi="Times New Roman"/>
          <w:sz w:val="24"/>
          <w:szCs w:val="24"/>
        </w:rPr>
        <w:t xml:space="preserve">(1) </w:t>
      </w:r>
      <w:r w:rsidR="005F720D" w:rsidRPr="00FB5A28">
        <w:rPr>
          <w:rFonts w:ascii="Times New Roman" w:hAnsi="Times New Roman"/>
          <w:sz w:val="24"/>
          <w:szCs w:val="24"/>
        </w:rPr>
        <w:t>у</w:t>
      </w:r>
      <w:r w:rsidRPr="00FB5A28">
        <w:rPr>
          <w:rFonts w:ascii="Times New Roman" w:hAnsi="Times New Roman"/>
          <w:sz w:val="24"/>
          <w:szCs w:val="24"/>
        </w:rPr>
        <w:t xml:space="preserve"> </w:t>
      </w:r>
      <w:r w:rsidR="005F720D" w:rsidRPr="00FB5A28">
        <w:rPr>
          <w:rFonts w:ascii="Times New Roman" w:hAnsi="Times New Roman"/>
          <w:sz w:val="24"/>
          <w:szCs w:val="24"/>
        </w:rPr>
        <w:t>поступку</w:t>
      </w:r>
      <w:r w:rsidRPr="00FB5A28">
        <w:rPr>
          <w:rFonts w:ascii="Times New Roman" w:hAnsi="Times New Roman"/>
          <w:sz w:val="24"/>
          <w:szCs w:val="24"/>
        </w:rPr>
        <w:t xml:space="preserve"> </w:t>
      </w:r>
      <w:r w:rsidR="005F720D" w:rsidRPr="00FB5A28">
        <w:rPr>
          <w:rFonts w:ascii="Times New Roman" w:hAnsi="Times New Roman"/>
          <w:sz w:val="24"/>
          <w:szCs w:val="24"/>
        </w:rPr>
        <w:t>пореске</w:t>
      </w:r>
      <w:r w:rsidRPr="00FB5A28">
        <w:rPr>
          <w:rFonts w:ascii="Times New Roman" w:hAnsi="Times New Roman"/>
          <w:sz w:val="24"/>
          <w:szCs w:val="24"/>
        </w:rPr>
        <w:t xml:space="preserve"> </w:t>
      </w:r>
      <w:r w:rsidR="005F720D" w:rsidRPr="00FB5A28">
        <w:rPr>
          <w:rFonts w:ascii="Times New Roman" w:hAnsi="Times New Roman"/>
          <w:sz w:val="24"/>
          <w:szCs w:val="24"/>
        </w:rPr>
        <w:t>контроле</w:t>
      </w:r>
      <w:r w:rsidRPr="00FB5A28">
        <w:rPr>
          <w:rFonts w:ascii="Times New Roman" w:hAnsi="Times New Roman"/>
          <w:sz w:val="24"/>
          <w:szCs w:val="24"/>
        </w:rPr>
        <w:t xml:space="preserve"> - </w:t>
      </w:r>
      <w:r w:rsidR="005F720D" w:rsidRPr="00FB5A28">
        <w:rPr>
          <w:rFonts w:ascii="Times New Roman" w:hAnsi="Times New Roman"/>
          <w:sz w:val="24"/>
          <w:szCs w:val="24"/>
        </w:rPr>
        <w:t>ако</w:t>
      </w:r>
      <w:r w:rsidRPr="00FB5A28">
        <w:rPr>
          <w:rFonts w:ascii="Times New Roman" w:hAnsi="Times New Roman"/>
          <w:sz w:val="24"/>
          <w:szCs w:val="24"/>
        </w:rPr>
        <w:t xml:space="preserve"> </w:t>
      </w:r>
      <w:r w:rsidR="005F720D" w:rsidRPr="00FB5A28">
        <w:rPr>
          <w:rFonts w:ascii="Times New Roman" w:hAnsi="Times New Roman"/>
          <w:sz w:val="24"/>
          <w:szCs w:val="24"/>
        </w:rPr>
        <w:t>порески</w:t>
      </w:r>
      <w:r w:rsidRPr="00FB5A28">
        <w:rPr>
          <w:rFonts w:ascii="Times New Roman" w:hAnsi="Times New Roman"/>
          <w:sz w:val="24"/>
          <w:szCs w:val="24"/>
        </w:rPr>
        <w:t xml:space="preserve"> </w:t>
      </w:r>
      <w:r w:rsidR="005F720D" w:rsidRPr="00FB5A28">
        <w:rPr>
          <w:rFonts w:ascii="Times New Roman" w:hAnsi="Times New Roman"/>
          <w:sz w:val="24"/>
          <w:szCs w:val="24"/>
        </w:rPr>
        <w:t>обвезник</w:t>
      </w:r>
      <w:r w:rsidRPr="00FB5A28">
        <w:rPr>
          <w:rFonts w:ascii="Times New Roman" w:hAnsi="Times New Roman"/>
          <w:sz w:val="24"/>
          <w:szCs w:val="24"/>
        </w:rPr>
        <w:t xml:space="preserve">, </w:t>
      </w:r>
      <w:r w:rsidR="005F720D" w:rsidRPr="00FB5A28">
        <w:rPr>
          <w:rFonts w:ascii="Times New Roman" w:hAnsi="Times New Roman"/>
          <w:sz w:val="24"/>
          <w:szCs w:val="24"/>
        </w:rPr>
        <w:t>супротно</w:t>
      </w:r>
      <w:r w:rsidRPr="00FB5A28">
        <w:rPr>
          <w:rFonts w:ascii="Times New Roman" w:hAnsi="Times New Roman"/>
          <w:sz w:val="24"/>
          <w:szCs w:val="24"/>
        </w:rPr>
        <w:t xml:space="preserve"> </w:t>
      </w:r>
      <w:r w:rsidR="005F720D" w:rsidRPr="00FB5A28">
        <w:rPr>
          <w:rFonts w:ascii="Times New Roman" w:hAnsi="Times New Roman"/>
          <w:sz w:val="24"/>
          <w:szCs w:val="24"/>
        </w:rPr>
        <w:t>закону</w:t>
      </w:r>
      <w:r w:rsidRPr="00FB5A28">
        <w:rPr>
          <w:rFonts w:ascii="Times New Roman" w:hAnsi="Times New Roman"/>
          <w:sz w:val="24"/>
          <w:szCs w:val="24"/>
        </w:rPr>
        <w:t xml:space="preserve">, </w:t>
      </w:r>
      <w:r w:rsidR="005F720D" w:rsidRPr="00FB5A28">
        <w:rPr>
          <w:rFonts w:ascii="Times New Roman" w:hAnsi="Times New Roman"/>
          <w:sz w:val="24"/>
          <w:szCs w:val="24"/>
        </w:rPr>
        <w:t>не</w:t>
      </w:r>
      <w:r w:rsidRPr="00FB5A28">
        <w:rPr>
          <w:rFonts w:ascii="Times New Roman" w:hAnsi="Times New Roman"/>
          <w:sz w:val="24"/>
          <w:szCs w:val="24"/>
        </w:rPr>
        <w:t xml:space="preserve"> </w:t>
      </w:r>
      <w:r w:rsidR="005F720D" w:rsidRPr="00FB5A28">
        <w:rPr>
          <w:rFonts w:ascii="Times New Roman" w:hAnsi="Times New Roman"/>
          <w:sz w:val="24"/>
          <w:szCs w:val="24"/>
        </w:rPr>
        <w:t>обави</w:t>
      </w:r>
      <w:r w:rsidRPr="00FB5A28">
        <w:rPr>
          <w:rFonts w:ascii="Times New Roman" w:hAnsi="Times New Roman"/>
          <w:sz w:val="24"/>
          <w:szCs w:val="24"/>
        </w:rPr>
        <w:t xml:space="preserve"> </w:t>
      </w:r>
      <w:r w:rsidR="005F720D" w:rsidRPr="00FB5A28">
        <w:rPr>
          <w:rFonts w:ascii="Times New Roman" w:hAnsi="Times New Roman"/>
          <w:sz w:val="24"/>
          <w:szCs w:val="24"/>
        </w:rPr>
        <w:t>утврђивање</w:t>
      </w:r>
      <w:r w:rsidRPr="00FB5A28">
        <w:rPr>
          <w:rFonts w:ascii="Times New Roman" w:hAnsi="Times New Roman"/>
          <w:sz w:val="24"/>
          <w:szCs w:val="24"/>
        </w:rPr>
        <w:t xml:space="preserve"> </w:t>
      </w:r>
      <w:r w:rsidR="005F720D" w:rsidRPr="00FB5A28">
        <w:rPr>
          <w:rFonts w:ascii="Times New Roman" w:hAnsi="Times New Roman"/>
          <w:sz w:val="24"/>
          <w:szCs w:val="24"/>
        </w:rPr>
        <w:t>пореске</w:t>
      </w:r>
      <w:r w:rsidRPr="00FB5A28">
        <w:rPr>
          <w:rFonts w:ascii="Times New Roman" w:hAnsi="Times New Roman"/>
          <w:sz w:val="24"/>
          <w:szCs w:val="24"/>
        </w:rPr>
        <w:t xml:space="preserve"> </w:t>
      </w:r>
      <w:r w:rsidR="005F720D" w:rsidRPr="00FB5A28">
        <w:rPr>
          <w:rFonts w:ascii="Times New Roman" w:hAnsi="Times New Roman"/>
          <w:sz w:val="24"/>
          <w:szCs w:val="24"/>
        </w:rPr>
        <w:t>обавезе</w:t>
      </w:r>
      <w:r w:rsidRPr="00FB5A28">
        <w:rPr>
          <w:rFonts w:ascii="Times New Roman" w:hAnsi="Times New Roman"/>
          <w:sz w:val="24"/>
          <w:szCs w:val="24"/>
        </w:rPr>
        <w:t xml:space="preserve"> </w:t>
      </w:r>
      <w:r w:rsidR="005F720D" w:rsidRPr="00FB5A28">
        <w:rPr>
          <w:rFonts w:ascii="Times New Roman" w:hAnsi="Times New Roman"/>
          <w:sz w:val="24"/>
          <w:szCs w:val="24"/>
        </w:rPr>
        <w:t>или</w:t>
      </w:r>
      <w:r w:rsidRPr="00FB5A28">
        <w:rPr>
          <w:rFonts w:ascii="Times New Roman" w:hAnsi="Times New Roman"/>
          <w:sz w:val="24"/>
          <w:szCs w:val="24"/>
        </w:rPr>
        <w:t xml:space="preserve"> </w:t>
      </w:r>
      <w:r w:rsidR="005F720D" w:rsidRPr="00FB5A28">
        <w:rPr>
          <w:rFonts w:ascii="Times New Roman" w:hAnsi="Times New Roman"/>
          <w:sz w:val="24"/>
          <w:szCs w:val="24"/>
        </w:rPr>
        <w:t>га</w:t>
      </w:r>
      <w:r w:rsidRPr="00FB5A28">
        <w:rPr>
          <w:rFonts w:ascii="Times New Roman" w:hAnsi="Times New Roman"/>
          <w:sz w:val="24"/>
          <w:szCs w:val="24"/>
        </w:rPr>
        <w:t xml:space="preserve"> </w:t>
      </w:r>
      <w:r w:rsidR="005F720D" w:rsidRPr="00FB5A28">
        <w:rPr>
          <w:rFonts w:ascii="Times New Roman" w:hAnsi="Times New Roman"/>
          <w:sz w:val="24"/>
          <w:szCs w:val="24"/>
        </w:rPr>
        <w:t>изврши</w:t>
      </w:r>
      <w:r w:rsidRPr="00FB5A28">
        <w:rPr>
          <w:rFonts w:ascii="Times New Roman" w:hAnsi="Times New Roman"/>
          <w:sz w:val="24"/>
          <w:szCs w:val="24"/>
        </w:rPr>
        <w:t xml:space="preserve"> </w:t>
      </w:r>
      <w:r w:rsidR="005F720D" w:rsidRPr="00FB5A28">
        <w:rPr>
          <w:rFonts w:ascii="Times New Roman" w:hAnsi="Times New Roman"/>
          <w:sz w:val="24"/>
          <w:szCs w:val="24"/>
        </w:rPr>
        <w:t>нетачно</w:t>
      </w:r>
      <w:r w:rsidRPr="00FB5A28">
        <w:rPr>
          <w:rFonts w:ascii="Times New Roman" w:hAnsi="Times New Roman"/>
          <w:sz w:val="24"/>
          <w:szCs w:val="24"/>
        </w:rPr>
        <w:t xml:space="preserve"> </w:t>
      </w:r>
      <w:r w:rsidR="005F720D" w:rsidRPr="00FB5A28">
        <w:rPr>
          <w:rFonts w:ascii="Times New Roman" w:hAnsi="Times New Roman"/>
          <w:sz w:val="24"/>
          <w:szCs w:val="24"/>
        </w:rPr>
        <w:t>или</w:t>
      </w:r>
      <w:r w:rsidRPr="00FB5A28">
        <w:rPr>
          <w:rFonts w:ascii="Times New Roman" w:hAnsi="Times New Roman"/>
          <w:sz w:val="24"/>
          <w:szCs w:val="24"/>
        </w:rPr>
        <w:t xml:space="preserve"> </w:t>
      </w:r>
      <w:r w:rsidR="005F720D" w:rsidRPr="00FB5A28">
        <w:rPr>
          <w:rFonts w:ascii="Times New Roman" w:hAnsi="Times New Roman"/>
          <w:sz w:val="24"/>
          <w:szCs w:val="24"/>
        </w:rPr>
        <w:t>непотпуно</w:t>
      </w:r>
      <w:r w:rsidRPr="00FB5A28">
        <w:rPr>
          <w:rFonts w:ascii="Times New Roman" w:hAnsi="Times New Roman"/>
          <w:sz w:val="24"/>
          <w:szCs w:val="24"/>
        </w:rPr>
        <w:t>;</w:t>
      </w:r>
    </w:p>
    <w:p w:rsidR="00717D0E" w:rsidRPr="00FB5A28" w:rsidRDefault="00717D0E" w:rsidP="00FB5A28">
      <w:pPr>
        <w:jc w:val="both"/>
        <w:rPr>
          <w:rFonts w:ascii="Times New Roman" w:hAnsi="Times New Roman"/>
          <w:sz w:val="24"/>
          <w:szCs w:val="24"/>
          <w:lang w:val="sr-Cyrl-CS"/>
        </w:rPr>
      </w:pPr>
      <w:r w:rsidRPr="00FB5A28">
        <w:rPr>
          <w:rFonts w:ascii="Times New Roman" w:hAnsi="Times New Roman"/>
          <w:sz w:val="24"/>
          <w:szCs w:val="24"/>
        </w:rPr>
        <w:t xml:space="preserve">(2) </w:t>
      </w:r>
      <w:r w:rsidR="005F720D" w:rsidRPr="00FB5A28">
        <w:rPr>
          <w:rFonts w:ascii="Times New Roman" w:hAnsi="Times New Roman"/>
          <w:sz w:val="24"/>
          <w:szCs w:val="24"/>
        </w:rPr>
        <w:t>у</w:t>
      </w:r>
      <w:r w:rsidRPr="00FB5A28">
        <w:rPr>
          <w:rFonts w:ascii="Times New Roman" w:hAnsi="Times New Roman"/>
          <w:sz w:val="24"/>
          <w:szCs w:val="24"/>
        </w:rPr>
        <w:t xml:space="preserve"> </w:t>
      </w:r>
      <w:r w:rsidR="005F720D" w:rsidRPr="00FB5A28">
        <w:rPr>
          <w:rFonts w:ascii="Times New Roman" w:hAnsi="Times New Roman"/>
          <w:sz w:val="24"/>
          <w:szCs w:val="24"/>
        </w:rPr>
        <w:t>случајевима</w:t>
      </w:r>
      <w:r w:rsidRPr="00FB5A28">
        <w:rPr>
          <w:rFonts w:ascii="Times New Roman" w:hAnsi="Times New Roman"/>
          <w:sz w:val="24"/>
          <w:szCs w:val="24"/>
        </w:rPr>
        <w:t xml:space="preserve"> </w:t>
      </w:r>
      <w:r w:rsidR="005F720D" w:rsidRPr="00FB5A28">
        <w:rPr>
          <w:rFonts w:ascii="Times New Roman" w:hAnsi="Times New Roman"/>
          <w:sz w:val="24"/>
          <w:szCs w:val="24"/>
        </w:rPr>
        <w:t>када</w:t>
      </w:r>
      <w:r w:rsidRPr="00FB5A28">
        <w:rPr>
          <w:rFonts w:ascii="Times New Roman" w:hAnsi="Times New Roman"/>
          <w:sz w:val="24"/>
          <w:szCs w:val="24"/>
        </w:rPr>
        <w:t xml:space="preserve"> </w:t>
      </w:r>
      <w:r w:rsidR="005F720D" w:rsidRPr="00FB5A28">
        <w:rPr>
          <w:rFonts w:ascii="Times New Roman" w:hAnsi="Times New Roman"/>
          <w:sz w:val="24"/>
          <w:szCs w:val="24"/>
        </w:rPr>
        <w:t>је</w:t>
      </w:r>
      <w:r w:rsidRPr="00FB5A28">
        <w:rPr>
          <w:rFonts w:ascii="Times New Roman" w:hAnsi="Times New Roman"/>
          <w:sz w:val="24"/>
          <w:szCs w:val="24"/>
        </w:rPr>
        <w:t xml:space="preserve"> </w:t>
      </w:r>
      <w:r w:rsidR="005F720D" w:rsidRPr="00FB5A28">
        <w:rPr>
          <w:rFonts w:ascii="Times New Roman" w:hAnsi="Times New Roman"/>
          <w:sz w:val="24"/>
          <w:szCs w:val="24"/>
        </w:rPr>
        <w:t>законом</w:t>
      </w:r>
      <w:r w:rsidRPr="00FB5A28">
        <w:rPr>
          <w:rFonts w:ascii="Times New Roman" w:hAnsi="Times New Roman"/>
          <w:sz w:val="24"/>
          <w:szCs w:val="24"/>
        </w:rPr>
        <w:t xml:space="preserve"> </w:t>
      </w:r>
      <w:r w:rsidR="005F720D" w:rsidRPr="00FB5A28">
        <w:rPr>
          <w:rFonts w:ascii="Times New Roman" w:hAnsi="Times New Roman"/>
          <w:sz w:val="24"/>
          <w:szCs w:val="24"/>
        </w:rPr>
        <w:t>прописано</w:t>
      </w:r>
      <w:r w:rsidRPr="00FB5A28">
        <w:rPr>
          <w:rFonts w:ascii="Times New Roman" w:hAnsi="Times New Roman"/>
          <w:sz w:val="24"/>
          <w:szCs w:val="24"/>
        </w:rPr>
        <w:t xml:space="preserve"> </w:t>
      </w:r>
      <w:r w:rsidR="005F720D" w:rsidRPr="00FB5A28">
        <w:rPr>
          <w:rFonts w:ascii="Times New Roman" w:hAnsi="Times New Roman"/>
          <w:sz w:val="24"/>
          <w:szCs w:val="24"/>
        </w:rPr>
        <w:t>да</w:t>
      </w:r>
      <w:r w:rsidRPr="00FB5A28">
        <w:rPr>
          <w:rFonts w:ascii="Times New Roman" w:hAnsi="Times New Roman"/>
          <w:sz w:val="24"/>
          <w:szCs w:val="24"/>
        </w:rPr>
        <w:t xml:space="preserve"> </w:t>
      </w:r>
      <w:r w:rsidR="005F720D" w:rsidRPr="00FB5A28">
        <w:rPr>
          <w:rFonts w:ascii="Times New Roman" w:hAnsi="Times New Roman"/>
          <w:sz w:val="24"/>
          <w:szCs w:val="24"/>
        </w:rPr>
        <w:t>се</w:t>
      </w:r>
      <w:r w:rsidRPr="00FB5A28">
        <w:rPr>
          <w:rFonts w:ascii="Times New Roman" w:hAnsi="Times New Roman"/>
          <w:sz w:val="24"/>
          <w:szCs w:val="24"/>
        </w:rPr>
        <w:t xml:space="preserve"> </w:t>
      </w:r>
      <w:r w:rsidR="005F720D" w:rsidRPr="00FB5A28">
        <w:rPr>
          <w:rFonts w:ascii="Times New Roman" w:hAnsi="Times New Roman"/>
          <w:sz w:val="24"/>
          <w:szCs w:val="24"/>
        </w:rPr>
        <w:t>не</w:t>
      </w:r>
      <w:r w:rsidRPr="00FB5A28">
        <w:rPr>
          <w:rFonts w:ascii="Times New Roman" w:hAnsi="Times New Roman"/>
          <w:sz w:val="24"/>
          <w:szCs w:val="24"/>
        </w:rPr>
        <w:t xml:space="preserve"> </w:t>
      </w:r>
      <w:r w:rsidR="005F720D" w:rsidRPr="00FB5A28">
        <w:rPr>
          <w:rFonts w:ascii="Times New Roman" w:hAnsi="Times New Roman"/>
          <w:sz w:val="24"/>
          <w:szCs w:val="24"/>
        </w:rPr>
        <w:t>спроводи</w:t>
      </w:r>
      <w:r w:rsidRPr="00FB5A28">
        <w:rPr>
          <w:rFonts w:ascii="Times New Roman" w:hAnsi="Times New Roman"/>
          <w:sz w:val="24"/>
          <w:szCs w:val="24"/>
        </w:rPr>
        <w:t xml:space="preserve"> </w:t>
      </w:r>
      <w:r w:rsidR="005F720D" w:rsidRPr="00FB5A28">
        <w:rPr>
          <w:rFonts w:ascii="Times New Roman" w:hAnsi="Times New Roman"/>
          <w:sz w:val="24"/>
          <w:szCs w:val="24"/>
        </w:rPr>
        <w:t>самоопорезивање</w:t>
      </w:r>
      <w:r w:rsidRPr="00FB5A28">
        <w:rPr>
          <w:rFonts w:ascii="Times New Roman" w:hAnsi="Times New Roman"/>
          <w:sz w:val="24"/>
          <w:szCs w:val="24"/>
        </w:rPr>
        <w:t xml:space="preserve"> </w:t>
      </w:r>
      <w:r w:rsidR="005F720D" w:rsidRPr="00FB5A28">
        <w:rPr>
          <w:rFonts w:ascii="Times New Roman" w:hAnsi="Times New Roman"/>
          <w:sz w:val="24"/>
          <w:szCs w:val="24"/>
        </w:rPr>
        <w:t>или</w:t>
      </w:r>
      <w:r w:rsidRPr="00FB5A28">
        <w:rPr>
          <w:rFonts w:ascii="Times New Roman" w:hAnsi="Times New Roman"/>
          <w:sz w:val="24"/>
          <w:szCs w:val="24"/>
        </w:rPr>
        <w:t xml:space="preserve"> </w:t>
      </w:r>
      <w:r w:rsidR="005F720D" w:rsidRPr="00FB5A28">
        <w:rPr>
          <w:rFonts w:ascii="Times New Roman" w:hAnsi="Times New Roman"/>
          <w:sz w:val="24"/>
          <w:szCs w:val="24"/>
        </w:rPr>
        <w:t>када</w:t>
      </w:r>
      <w:r w:rsidRPr="00FB5A28">
        <w:rPr>
          <w:rFonts w:ascii="Times New Roman" w:hAnsi="Times New Roman"/>
          <w:sz w:val="24"/>
          <w:szCs w:val="24"/>
        </w:rPr>
        <w:t xml:space="preserve"> </w:t>
      </w:r>
      <w:r w:rsidR="005F720D" w:rsidRPr="00FB5A28">
        <w:rPr>
          <w:rFonts w:ascii="Times New Roman" w:hAnsi="Times New Roman"/>
          <w:sz w:val="24"/>
          <w:szCs w:val="24"/>
        </w:rPr>
        <w:t>је</w:t>
      </w:r>
      <w:r w:rsidRPr="00FB5A28">
        <w:rPr>
          <w:rFonts w:ascii="Times New Roman" w:hAnsi="Times New Roman"/>
          <w:sz w:val="24"/>
          <w:szCs w:val="24"/>
        </w:rPr>
        <w:t xml:space="preserve"> </w:t>
      </w:r>
      <w:r w:rsidR="005F720D" w:rsidRPr="00FB5A28">
        <w:rPr>
          <w:rFonts w:ascii="Times New Roman" w:hAnsi="Times New Roman"/>
          <w:sz w:val="24"/>
          <w:szCs w:val="24"/>
        </w:rPr>
        <w:t>законом</w:t>
      </w:r>
      <w:r w:rsidRPr="00FB5A28">
        <w:rPr>
          <w:rFonts w:ascii="Times New Roman" w:hAnsi="Times New Roman"/>
          <w:sz w:val="24"/>
          <w:szCs w:val="24"/>
        </w:rPr>
        <w:t xml:space="preserve"> </w:t>
      </w:r>
      <w:r w:rsidR="005F720D" w:rsidRPr="00FB5A28">
        <w:rPr>
          <w:rFonts w:ascii="Times New Roman" w:hAnsi="Times New Roman"/>
          <w:sz w:val="24"/>
          <w:szCs w:val="24"/>
        </w:rPr>
        <w:t>прописано</w:t>
      </w:r>
      <w:r w:rsidRPr="00FB5A28">
        <w:rPr>
          <w:rFonts w:ascii="Times New Roman" w:hAnsi="Times New Roman"/>
          <w:sz w:val="24"/>
          <w:szCs w:val="24"/>
        </w:rPr>
        <w:t xml:space="preserve"> </w:t>
      </w:r>
      <w:r w:rsidR="005F720D" w:rsidRPr="00FB5A28">
        <w:rPr>
          <w:rFonts w:ascii="Times New Roman" w:hAnsi="Times New Roman"/>
          <w:sz w:val="24"/>
          <w:szCs w:val="24"/>
        </w:rPr>
        <w:t>да</w:t>
      </w:r>
      <w:r w:rsidRPr="00FB5A28">
        <w:rPr>
          <w:rFonts w:ascii="Times New Roman" w:hAnsi="Times New Roman"/>
          <w:sz w:val="24"/>
          <w:szCs w:val="24"/>
        </w:rPr>
        <w:t xml:space="preserve"> </w:t>
      </w:r>
      <w:r w:rsidR="005F720D" w:rsidRPr="00FB5A28">
        <w:rPr>
          <w:rFonts w:ascii="Times New Roman" w:hAnsi="Times New Roman"/>
          <w:sz w:val="24"/>
          <w:szCs w:val="24"/>
        </w:rPr>
        <w:t>се</w:t>
      </w:r>
      <w:r w:rsidRPr="00FB5A28">
        <w:rPr>
          <w:rFonts w:ascii="Times New Roman" w:hAnsi="Times New Roman"/>
          <w:sz w:val="24"/>
          <w:szCs w:val="24"/>
        </w:rPr>
        <w:t xml:space="preserve">, </w:t>
      </w:r>
      <w:r w:rsidR="005F720D" w:rsidRPr="00FB5A28">
        <w:rPr>
          <w:rFonts w:ascii="Times New Roman" w:hAnsi="Times New Roman"/>
          <w:sz w:val="24"/>
          <w:szCs w:val="24"/>
        </w:rPr>
        <w:t>упркос</w:t>
      </w:r>
      <w:r w:rsidRPr="00FB5A28">
        <w:rPr>
          <w:rFonts w:ascii="Times New Roman" w:hAnsi="Times New Roman"/>
          <w:sz w:val="24"/>
          <w:szCs w:val="24"/>
        </w:rPr>
        <w:t xml:space="preserve"> </w:t>
      </w:r>
      <w:r w:rsidR="005F720D" w:rsidRPr="00FB5A28">
        <w:rPr>
          <w:rFonts w:ascii="Times New Roman" w:hAnsi="Times New Roman"/>
          <w:sz w:val="24"/>
          <w:szCs w:val="24"/>
        </w:rPr>
        <w:t>самоопорезивању</w:t>
      </w:r>
      <w:r w:rsidRPr="00FB5A28">
        <w:rPr>
          <w:rFonts w:ascii="Times New Roman" w:hAnsi="Times New Roman"/>
          <w:sz w:val="24"/>
          <w:szCs w:val="24"/>
        </w:rPr>
        <w:t xml:space="preserve">, </w:t>
      </w:r>
      <w:r w:rsidR="005F720D" w:rsidRPr="00FB5A28">
        <w:rPr>
          <w:rFonts w:ascii="Times New Roman" w:hAnsi="Times New Roman"/>
          <w:sz w:val="24"/>
          <w:szCs w:val="24"/>
        </w:rPr>
        <w:t>пореско</w:t>
      </w:r>
      <w:r w:rsidRPr="00FB5A28">
        <w:rPr>
          <w:rFonts w:ascii="Times New Roman" w:hAnsi="Times New Roman"/>
          <w:sz w:val="24"/>
          <w:szCs w:val="24"/>
        </w:rPr>
        <w:t xml:space="preserve"> </w:t>
      </w:r>
      <w:r w:rsidR="005F720D" w:rsidRPr="00FB5A28">
        <w:rPr>
          <w:rFonts w:ascii="Times New Roman" w:hAnsi="Times New Roman"/>
          <w:sz w:val="24"/>
          <w:szCs w:val="24"/>
        </w:rPr>
        <w:t>решење</w:t>
      </w:r>
      <w:r w:rsidRPr="00FB5A28">
        <w:rPr>
          <w:rFonts w:ascii="Times New Roman" w:hAnsi="Times New Roman"/>
          <w:sz w:val="24"/>
          <w:szCs w:val="24"/>
        </w:rPr>
        <w:t xml:space="preserve"> </w:t>
      </w:r>
      <w:r w:rsidR="005F720D" w:rsidRPr="00FB5A28">
        <w:rPr>
          <w:rFonts w:ascii="Times New Roman" w:hAnsi="Times New Roman"/>
          <w:sz w:val="24"/>
          <w:szCs w:val="24"/>
        </w:rPr>
        <w:t>мора</w:t>
      </w:r>
      <w:r w:rsidRPr="00FB5A28">
        <w:rPr>
          <w:rFonts w:ascii="Times New Roman" w:hAnsi="Times New Roman"/>
          <w:sz w:val="24"/>
          <w:szCs w:val="24"/>
        </w:rPr>
        <w:t xml:space="preserve"> </w:t>
      </w:r>
      <w:r w:rsidR="005F720D" w:rsidRPr="00FB5A28">
        <w:rPr>
          <w:rFonts w:ascii="Times New Roman" w:hAnsi="Times New Roman"/>
          <w:sz w:val="24"/>
          <w:szCs w:val="24"/>
        </w:rPr>
        <w:t>донети</w:t>
      </w:r>
      <w:r w:rsidRPr="00FB5A28">
        <w:rPr>
          <w:rFonts w:ascii="Times New Roman" w:hAnsi="Times New Roman"/>
          <w:sz w:val="24"/>
          <w:szCs w:val="24"/>
        </w:rPr>
        <w:t>.</w:t>
      </w:r>
    </w:p>
    <w:p w:rsidR="001954C8" w:rsidRPr="00FB5A28" w:rsidRDefault="005F720D" w:rsidP="00FB5A28">
      <w:pPr>
        <w:ind w:firstLine="708"/>
        <w:jc w:val="both"/>
        <w:rPr>
          <w:rFonts w:ascii="Times New Roman" w:hAnsi="Times New Roman"/>
          <w:sz w:val="24"/>
          <w:szCs w:val="24"/>
          <w:lang w:val="sr-Cyrl-CS"/>
        </w:rPr>
      </w:pPr>
      <w:bookmarkStart w:id="57" w:name="str_68"/>
      <w:bookmarkEnd w:id="57"/>
      <w:r w:rsidRPr="00FB5A28">
        <w:rPr>
          <w:rFonts w:ascii="Times New Roman" w:hAnsi="Times New Roman"/>
          <w:sz w:val="24"/>
          <w:szCs w:val="24"/>
        </w:rPr>
        <w:t>Пореско</w:t>
      </w:r>
      <w:r w:rsidR="00717D0E" w:rsidRPr="00FB5A28">
        <w:rPr>
          <w:rFonts w:ascii="Times New Roman" w:hAnsi="Times New Roman"/>
          <w:sz w:val="24"/>
          <w:szCs w:val="24"/>
        </w:rPr>
        <w:t xml:space="preserve"> </w:t>
      </w:r>
      <w:r w:rsidRPr="00FB5A28">
        <w:rPr>
          <w:rFonts w:ascii="Times New Roman" w:hAnsi="Times New Roman"/>
          <w:sz w:val="24"/>
          <w:szCs w:val="24"/>
        </w:rPr>
        <w:t>решење</w:t>
      </w:r>
      <w:r w:rsidR="00717D0E" w:rsidRPr="00FB5A28">
        <w:rPr>
          <w:rFonts w:ascii="Times New Roman" w:hAnsi="Times New Roman"/>
          <w:sz w:val="24"/>
          <w:szCs w:val="24"/>
        </w:rPr>
        <w:t xml:space="preserve"> </w:t>
      </w:r>
      <w:r w:rsidRPr="00FB5A28">
        <w:rPr>
          <w:rFonts w:ascii="Times New Roman" w:hAnsi="Times New Roman"/>
          <w:sz w:val="24"/>
          <w:szCs w:val="24"/>
        </w:rPr>
        <w:t>о</w:t>
      </w:r>
      <w:r w:rsidR="00717D0E" w:rsidRPr="00FB5A28">
        <w:rPr>
          <w:rFonts w:ascii="Times New Roman" w:hAnsi="Times New Roman"/>
          <w:sz w:val="24"/>
          <w:szCs w:val="24"/>
        </w:rPr>
        <w:t xml:space="preserve"> </w:t>
      </w:r>
      <w:r w:rsidRPr="00FB5A28">
        <w:rPr>
          <w:rFonts w:ascii="Times New Roman" w:hAnsi="Times New Roman"/>
          <w:sz w:val="24"/>
          <w:szCs w:val="24"/>
        </w:rPr>
        <w:t>утврђивању</w:t>
      </w:r>
      <w:r w:rsidR="00717D0E" w:rsidRPr="00FB5A28">
        <w:rPr>
          <w:rFonts w:ascii="Times New Roman" w:hAnsi="Times New Roman"/>
          <w:sz w:val="24"/>
          <w:szCs w:val="24"/>
        </w:rPr>
        <w:t xml:space="preserve"> </w:t>
      </w:r>
      <w:r w:rsidRPr="00FB5A28">
        <w:rPr>
          <w:rFonts w:ascii="Times New Roman" w:hAnsi="Times New Roman"/>
          <w:sz w:val="24"/>
          <w:szCs w:val="24"/>
        </w:rPr>
        <w:t>пореза</w:t>
      </w:r>
      <w:r w:rsidR="00717D0E" w:rsidRPr="00FB5A28">
        <w:rPr>
          <w:rFonts w:ascii="Times New Roman" w:hAnsi="Times New Roman"/>
          <w:sz w:val="24"/>
          <w:szCs w:val="24"/>
        </w:rPr>
        <w:t xml:space="preserve"> </w:t>
      </w:r>
      <w:r w:rsidR="00A22225" w:rsidRPr="00FB5A28">
        <w:rPr>
          <w:rFonts w:ascii="Times New Roman" w:hAnsi="Times New Roman"/>
          <w:sz w:val="24"/>
          <w:szCs w:val="24"/>
          <w:lang w:val="sr-Cyrl-CS"/>
        </w:rPr>
        <w:t xml:space="preserve">у поступку пореске контроле </w:t>
      </w:r>
      <w:r w:rsidRPr="00FB5A28">
        <w:rPr>
          <w:rFonts w:ascii="Times New Roman" w:hAnsi="Times New Roman"/>
          <w:sz w:val="24"/>
          <w:szCs w:val="24"/>
        </w:rPr>
        <w:t>Пореска</w:t>
      </w:r>
      <w:r w:rsidR="00717D0E" w:rsidRPr="00FB5A28">
        <w:rPr>
          <w:rFonts w:ascii="Times New Roman" w:hAnsi="Times New Roman"/>
          <w:sz w:val="24"/>
          <w:szCs w:val="24"/>
        </w:rPr>
        <w:t xml:space="preserve"> </w:t>
      </w:r>
      <w:r w:rsidRPr="00FB5A28">
        <w:rPr>
          <w:rFonts w:ascii="Times New Roman" w:hAnsi="Times New Roman"/>
          <w:sz w:val="24"/>
          <w:szCs w:val="24"/>
        </w:rPr>
        <w:t>управа</w:t>
      </w:r>
      <w:r w:rsidR="00717D0E" w:rsidRPr="00FB5A28">
        <w:rPr>
          <w:rFonts w:ascii="Times New Roman" w:hAnsi="Times New Roman"/>
          <w:sz w:val="24"/>
          <w:szCs w:val="24"/>
        </w:rPr>
        <w:t xml:space="preserve"> </w:t>
      </w:r>
      <w:r w:rsidRPr="00FB5A28">
        <w:rPr>
          <w:rFonts w:ascii="Times New Roman" w:hAnsi="Times New Roman"/>
          <w:sz w:val="24"/>
          <w:szCs w:val="24"/>
        </w:rPr>
        <w:t>доноси</w:t>
      </w:r>
      <w:r w:rsidR="00717D0E" w:rsidRPr="00FB5A28">
        <w:rPr>
          <w:rFonts w:ascii="Times New Roman" w:hAnsi="Times New Roman"/>
          <w:sz w:val="24"/>
          <w:szCs w:val="24"/>
        </w:rPr>
        <w:t xml:space="preserve"> </w:t>
      </w:r>
      <w:r w:rsidRPr="00FB5A28">
        <w:rPr>
          <w:rFonts w:ascii="Times New Roman" w:hAnsi="Times New Roman"/>
          <w:sz w:val="24"/>
          <w:szCs w:val="24"/>
        </w:rPr>
        <w:t>на</w:t>
      </w:r>
      <w:r w:rsidR="00717D0E" w:rsidRPr="00FB5A28">
        <w:rPr>
          <w:rFonts w:ascii="Times New Roman" w:hAnsi="Times New Roman"/>
          <w:sz w:val="24"/>
          <w:szCs w:val="24"/>
        </w:rPr>
        <w:t xml:space="preserve"> </w:t>
      </w:r>
      <w:r w:rsidRPr="00FB5A28">
        <w:rPr>
          <w:rFonts w:ascii="Times New Roman" w:hAnsi="Times New Roman"/>
          <w:sz w:val="24"/>
          <w:szCs w:val="24"/>
        </w:rPr>
        <w:t>основу</w:t>
      </w:r>
      <w:r w:rsidR="00717D0E" w:rsidRPr="00FB5A28">
        <w:rPr>
          <w:rFonts w:ascii="Times New Roman" w:hAnsi="Times New Roman"/>
          <w:sz w:val="24"/>
          <w:szCs w:val="24"/>
        </w:rPr>
        <w:t xml:space="preserve"> </w:t>
      </w:r>
      <w:r w:rsidRPr="00FB5A28">
        <w:rPr>
          <w:rFonts w:ascii="Times New Roman" w:hAnsi="Times New Roman"/>
          <w:sz w:val="24"/>
          <w:szCs w:val="24"/>
        </w:rPr>
        <w:t>података</w:t>
      </w:r>
      <w:r w:rsidR="00717D0E" w:rsidRPr="00FB5A28">
        <w:rPr>
          <w:rFonts w:ascii="Times New Roman" w:hAnsi="Times New Roman"/>
          <w:sz w:val="24"/>
          <w:szCs w:val="24"/>
        </w:rPr>
        <w:t xml:space="preserve"> </w:t>
      </w:r>
      <w:r w:rsidRPr="00FB5A28">
        <w:rPr>
          <w:rFonts w:ascii="Times New Roman" w:hAnsi="Times New Roman"/>
          <w:sz w:val="24"/>
          <w:szCs w:val="24"/>
        </w:rPr>
        <w:t>из</w:t>
      </w:r>
      <w:r w:rsidR="00717D0E" w:rsidRPr="00FB5A28">
        <w:rPr>
          <w:rFonts w:ascii="Times New Roman" w:hAnsi="Times New Roman"/>
          <w:sz w:val="24"/>
          <w:szCs w:val="24"/>
        </w:rPr>
        <w:t xml:space="preserve"> </w:t>
      </w:r>
      <w:r w:rsidRPr="00FB5A28">
        <w:rPr>
          <w:rFonts w:ascii="Times New Roman" w:hAnsi="Times New Roman"/>
          <w:sz w:val="24"/>
          <w:szCs w:val="24"/>
        </w:rPr>
        <w:t>пословних</w:t>
      </w:r>
      <w:r w:rsidR="00717D0E" w:rsidRPr="00FB5A28">
        <w:rPr>
          <w:rFonts w:ascii="Times New Roman" w:hAnsi="Times New Roman"/>
          <w:sz w:val="24"/>
          <w:szCs w:val="24"/>
        </w:rPr>
        <w:t xml:space="preserve"> </w:t>
      </w:r>
      <w:r w:rsidRPr="00FB5A28">
        <w:rPr>
          <w:rFonts w:ascii="Times New Roman" w:hAnsi="Times New Roman"/>
          <w:sz w:val="24"/>
          <w:szCs w:val="24"/>
        </w:rPr>
        <w:t>књига</w:t>
      </w:r>
      <w:r w:rsidR="00717D0E" w:rsidRPr="00FB5A28">
        <w:rPr>
          <w:rFonts w:ascii="Times New Roman" w:hAnsi="Times New Roman"/>
          <w:sz w:val="24"/>
          <w:szCs w:val="24"/>
        </w:rPr>
        <w:t xml:space="preserve"> </w:t>
      </w:r>
      <w:r w:rsidRPr="00FB5A28">
        <w:rPr>
          <w:rFonts w:ascii="Times New Roman" w:hAnsi="Times New Roman"/>
          <w:sz w:val="24"/>
          <w:szCs w:val="24"/>
        </w:rPr>
        <w:t>и</w:t>
      </w:r>
      <w:r w:rsidR="00717D0E" w:rsidRPr="00FB5A28">
        <w:rPr>
          <w:rFonts w:ascii="Times New Roman" w:hAnsi="Times New Roman"/>
          <w:sz w:val="24"/>
          <w:szCs w:val="24"/>
        </w:rPr>
        <w:t xml:space="preserve"> </w:t>
      </w:r>
      <w:r w:rsidRPr="00FB5A28">
        <w:rPr>
          <w:rFonts w:ascii="Times New Roman" w:hAnsi="Times New Roman"/>
          <w:sz w:val="24"/>
          <w:szCs w:val="24"/>
        </w:rPr>
        <w:t>евиденција</w:t>
      </w:r>
      <w:r w:rsidR="00717D0E" w:rsidRPr="00FB5A28">
        <w:rPr>
          <w:rFonts w:ascii="Times New Roman" w:hAnsi="Times New Roman"/>
          <w:sz w:val="24"/>
          <w:szCs w:val="24"/>
        </w:rPr>
        <w:t xml:space="preserve"> </w:t>
      </w:r>
      <w:r w:rsidRPr="00FB5A28">
        <w:rPr>
          <w:rFonts w:ascii="Times New Roman" w:hAnsi="Times New Roman"/>
          <w:sz w:val="24"/>
          <w:szCs w:val="24"/>
        </w:rPr>
        <w:t>пореског</w:t>
      </w:r>
      <w:r w:rsidR="00717D0E" w:rsidRPr="00FB5A28">
        <w:rPr>
          <w:rFonts w:ascii="Times New Roman" w:hAnsi="Times New Roman"/>
          <w:sz w:val="24"/>
          <w:szCs w:val="24"/>
        </w:rPr>
        <w:t xml:space="preserve"> </w:t>
      </w:r>
      <w:r w:rsidRPr="00FB5A28">
        <w:rPr>
          <w:rFonts w:ascii="Times New Roman" w:hAnsi="Times New Roman"/>
          <w:sz w:val="24"/>
          <w:szCs w:val="24"/>
        </w:rPr>
        <w:t>обвезника</w:t>
      </w:r>
      <w:r w:rsidR="00717D0E" w:rsidRPr="00FB5A28">
        <w:rPr>
          <w:rFonts w:ascii="Times New Roman" w:hAnsi="Times New Roman"/>
          <w:sz w:val="24"/>
          <w:szCs w:val="24"/>
        </w:rPr>
        <w:t xml:space="preserve"> </w:t>
      </w:r>
      <w:r w:rsidRPr="00FB5A28">
        <w:rPr>
          <w:rFonts w:ascii="Times New Roman" w:hAnsi="Times New Roman"/>
          <w:sz w:val="24"/>
          <w:szCs w:val="24"/>
        </w:rPr>
        <w:t>и</w:t>
      </w:r>
      <w:r w:rsidR="00717D0E" w:rsidRPr="00FB5A28">
        <w:rPr>
          <w:rFonts w:ascii="Times New Roman" w:hAnsi="Times New Roman"/>
          <w:sz w:val="24"/>
          <w:szCs w:val="24"/>
        </w:rPr>
        <w:t xml:space="preserve"> </w:t>
      </w:r>
      <w:r w:rsidRPr="00FB5A28">
        <w:rPr>
          <w:rFonts w:ascii="Times New Roman" w:hAnsi="Times New Roman"/>
          <w:sz w:val="24"/>
          <w:szCs w:val="24"/>
        </w:rPr>
        <w:t>чињеничног</w:t>
      </w:r>
      <w:r w:rsidR="00717D0E" w:rsidRPr="00FB5A28">
        <w:rPr>
          <w:rFonts w:ascii="Times New Roman" w:hAnsi="Times New Roman"/>
          <w:sz w:val="24"/>
          <w:szCs w:val="24"/>
        </w:rPr>
        <w:t xml:space="preserve"> </w:t>
      </w:r>
      <w:r w:rsidRPr="00FB5A28">
        <w:rPr>
          <w:rFonts w:ascii="Times New Roman" w:hAnsi="Times New Roman"/>
          <w:sz w:val="24"/>
          <w:szCs w:val="24"/>
        </w:rPr>
        <w:t>стања</w:t>
      </w:r>
      <w:r w:rsidR="00717D0E" w:rsidRPr="00FB5A28">
        <w:rPr>
          <w:rFonts w:ascii="Times New Roman" w:hAnsi="Times New Roman"/>
          <w:sz w:val="24"/>
          <w:szCs w:val="24"/>
        </w:rPr>
        <w:t xml:space="preserve"> </w:t>
      </w:r>
      <w:r w:rsidRPr="00FB5A28">
        <w:rPr>
          <w:rFonts w:ascii="Times New Roman" w:hAnsi="Times New Roman"/>
          <w:sz w:val="24"/>
          <w:szCs w:val="24"/>
        </w:rPr>
        <w:t>утврђеног</w:t>
      </w:r>
      <w:r w:rsidR="00717D0E" w:rsidRPr="00FB5A28">
        <w:rPr>
          <w:rFonts w:ascii="Times New Roman" w:hAnsi="Times New Roman"/>
          <w:sz w:val="24"/>
          <w:szCs w:val="24"/>
        </w:rPr>
        <w:t xml:space="preserve"> </w:t>
      </w:r>
      <w:r w:rsidRPr="00FB5A28">
        <w:rPr>
          <w:rFonts w:ascii="Times New Roman" w:hAnsi="Times New Roman"/>
          <w:sz w:val="24"/>
          <w:szCs w:val="24"/>
        </w:rPr>
        <w:t>у</w:t>
      </w:r>
      <w:r w:rsidR="00717D0E" w:rsidRPr="00FB5A28">
        <w:rPr>
          <w:rFonts w:ascii="Times New Roman" w:hAnsi="Times New Roman"/>
          <w:sz w:val="24"/>
          <w:szCs w:val="24"/>
        </w:rPr>
        <w:t xml:space="preserve"> </w:t>
      </w:r>
      <w:r w:rsidRPr="00FB5A28">
        <w:rPr>
          <w:rFonts w:ascii="Times New Roman" w:hAnsi="Times New Roman"/>
          <w:sz w:val="24"/>
          <w:szCs w:val="24"/>
        </w:rPr>
        <w:t>поступку</w:t>
      </w:r>
      <w:r w:rsidR="00A22225" w:rsidRPr="00FB5A28">
        <w:rPr>
          <w:rFonts w:ascii="Times New Roman" w:hAnsi="Times New Roman"/>
          <w:sz w:val="24"/>
          <w:szCs w:val="24"/>
        </w:rPr>
        <w:t xml:space="preserve"> </w:t>
      </w:r>
      <w:r w:rsidRPr="00FB5A28">
        <w:rPr>
          <w:rFonts w:ascii="Times New Roman" w:hAnsi="Times New Roman"/>
          <w:sz w:val="24"/>
          <w:szCs w:val="24"/>
        </w:rPr>
        <w:t>контроле</w:t>
      </w:r>
      <w:r w:rsidR="00717D0E" w:rsidRPr="00FB5A28">
        <w:rPr>
          <w:rFonts w:ascii="Times New Roman" w:hAnsi="Times New Roman"/>
          <w:sz w:val="24"/>
          <w:szCs w:val="24"/>
        </w:rPr>
        <w:t>.</w:t>
      </w:r>
      <w:r w:rsidR="00213488" w:rsidRPr="00FB5A28">
        <w:rPr>
          <w:rFonts w:ascii="Times New Roman" w:hAnsi="Times New Roman"/>
          <w:sz w:val="24"/>
          <w:szCs w:val="24"/>
          <w:lang w:val="sr-Cyrl-CS"/>
        </w:rPr>
        <w:t xml:space="preserve"> </w:t>
      </w:r>
      <w:r w:rsidRPr="00FB5A28">
        <w:rPr>
          <w:rFonts w:ascii="Times New Roman" w:hAnsi="Times New Roman"/>
          <w:sz w:val="24"/>
          <w:szCs w:val="24"/>
        </w:rPr>
        <w:t>Пореско</w:t>
      </w:r>
      <w:r w:rsidR="00717D0E" w:rsidRPr="00FB5A28">
        <w:rPr>
          <w:rFonts w:ascii="Times New Roman" w:hAnsi="Times New Roman"/>
          <w:sz w:val="24"/>
          <w:szCs w:val="24"/>
        </w:rPr>
        <w:t xml:space="preserve"> </w:t>
      </w:r>
      <w:r w:rsidRPr="00FB5A28">
        <w:rPr>
          <w:rFonts w:ascii="Times New Roman" w:hAnsi="Times New Roman"/>
          <w:sz w:val="24"/>
          <w:szCs w:val="24"/>
        </w:rPr>
        <w:t>решење</w:t>
      </w:r>
      <w:r w:rsidR="00717D0E" w:rsidRPr="00FB5A28">
        <w:rPr>
          <w:rFonts w:ascii="Times New Roman" w:hAnsi="Times New Roman"/>
          <w:sz w:val="24"/>
          <w:szCs w:val="24"/>
        </w:rPr>
        <w:t xml:space="preserve"> </w:t>
      </w:r>
      <w:r w:rsidRPr="00FB5A28">
        <w:rPr>
          <w:rFonts w:ascii="Times New Roman" w:hAnsi="Times New Roman"/>
          <w:sz w:val="24"/>
          <w:szCs w:val="24"/>
        </w:rPr>
        <w:t>о</w:t>
      </w:r>
      <w:r w:rsidR="00717D0E" w:rsidRPr="00FB5A28">
        <w:rPr>
          <w:rFonts w:ascii="Times New Roman" w:hAnsi="Times New Roman"/>
          <w:sz w:val="24"/>
          <w:szCs w:val="24"/>
        </w:rPr>
        <w:t xml:space="preserve"> </w:t>
      </w:r>
      <w:r w:rsidRPr="00FB5A28">
        <w:rPr>
          <w:rFonts w:ascii="Times New Roman" w:hAnsi="Times New Roman"/>
          <w:sz w:val="24"/>
          <w:szCs w:val="24"/>
        </w:rPr>
        <w:t>утврђивању</w:t>
      </w:r>
      <w:r w:rsidR="00717D0E" w:rsidRPr="00FB5A28">
        <w:rPr>
          <w:rFonts w:ascii="Times New Roman" w:hAnsi="Times New Roman"/>
          <w:sz w:val="24"/>
          <w:szCs w:val="24"/>
        </w:rPr>
        <w:t xml:space="preserve"> </w:t>
      </w:r>
      <w:r w:rsidRPr="00FB5A28">
        <w:rPr>
          <w:rFonts w:ascii="Times New Roman" w:hAnsi="Times New Roman"/>
          <w:sz w:val="24"/>
          <w:szCs w:val="24"/>
        </w:rPr>
        <w:t>пореза</w:t>
      </w:r>
      <w:r w:rsidR="00717D0E" w:rsidRPr="00FB5A28">
        <w:rPr>
          <w:rFonts w:ascii="Times New Roman" w:hAnsi="Times New Roman"/>
          <w:sz w:val="24"/>
          <w:szCs w:val="24"/>
        </w:rPr>
        <w:t xml:space="preserve"> </w:t>
      </w:r>
      <w:r w:rsidRPr="00FB5A28">
        <w:rPr>
          <w:rFonts w:ascii="Times New Roman" w:hAnsi="Times New Roman"/>
          <w:sz w:val="24"/>
          <w:szCs w:val="24"/>
        </w:rPr>
        <w:t>у</w:t>
      </w:r>
      <w:r w:rsidR="001954C8" w:rsidRPr="00FB5A28">
        <w:rPr>
          <w:rFonts w:ascii="Times New Roman" w:hAnsi="Times New Roman"/>
          <w:sz w:val="24"/>
          <w:szCs w:val="24"/>
        </w:rPr>
        <w:t xml:space="preserve"> </w:t>
      </w:r>
      <w:r w:rsidRPr="00FB5A28">
        <w:rPr>
          <w:rFonts w:ascii="Times New Roman" w:hAnsi="Times New Roman"/>
          <w:sz w:val="24"/>
          <w:szCs w:val="24"/>
        </w:rPr>
        <w:t>случајевима</w:t>
      </w:r>
      <w:r w:rsidR="001954C8" w:rsidRPr="00FB5A28">
        <w:rPr>
          <w:rFonts w:ascii="Times New Roman" w:hAnsi="Times New Roman"/>
          <w:sz w:val="24"/>
          <w:szCs w:val="24"/>
        </w:rPr>
        <w:t xml:space="preserve"> </w:t>
      </w:r>
      <w:r w:rsidRPr="00FB5A28">
        <w:rPr>
          <w:rFonts w:ascii="Times New Roman" w:hAnsi="Times New Roman"/>
          <w:sz w:val="24"/>
          <w:szCs w:val="24"/>
        </w:rPr>
        <w:t>када</w:t>
      </w:r>
      <w:r w:rsidR="001954C8" w:rsidRPr="00FB5A28">
        <w:rPr>
          <w:rFonts w:ascii="Times New Roman" w:hAnsi="Times New Roman"/>
          <w:sz w:val="24"/>
          <w:szCs w:val="24"/>
        </w:rPr>
        <w:t xml:space="preserve"> </w:t>
      </w:r>
      <w:r w:rsidRPr="00FB5A28">
        <w:rPr>
          <w:rFonts w:ascii="Times New Roman" w:hAnsi="Times New Roman"/>
          <w:sz w:val="24"/>
          <w:szCs w:val="24"/>
        </w:rPr>
        <w:t>је</w:t>
      </w:r>
      <w:r w:rsidR="001954C8" w:rsidRPr="00FB5A28">
        <w:rPr>
          <w:rFonts w:ascii="Times New Roman" w:hAnsi="Times New Roman"/>
          <w:sz w:val="24"/>
          <w:szCs w:val="24"/>
        </w:rPr>
        <w:t xml:space="preserve"> </w:t>
      </w:r>
      <w:r w:rsidRPr="00FB5A28">
        <w:rPr>
          <w:rFonts w:ascii="Times New Roman" w:hAnsi="Times New Roman"/>
          <w:sz w:val="24"/>
          <w:szCs w:val="24"/>
        </w:rPr>
        <w:t>законом</w:t>
      </w:r>
      <w:r w:rsidR="001954C8" w:rsidRPr="00FB5A28">
        <w:rPr>
          <w:rFonts w:ascii="Times New Roman" w:hAnsi="Times New Roman"/>
          <w:sz w:val="24"/>
          <w:szCs w:val="24"/>
        </w:rPr>
        <w:t xml:space="preserve"> </w:t>
      </w:r>
      <w:r w:rsidRPr="00FB5A28">
        <w:rPr>
          <w:rFonts w:ascii="Times New Roman" w:hAnsi="Times New Roman"/>
          <w:sz w:val="24"/>
          <w:szCs w:val="24"/>
        </w:rPr>
        <w:t>прописано</w:t>
      </w:r>
      <w:r w:rsidR="001954C8" w:rsidRPr="00FB5A28">
        <w:rPr>
          <w:rFonts w:ascii="Times New Roman" w:hAnsi="Times New Roman"/>
          <w:sz w:val="24"/>
          <w:szCs w:val="24"/>
        </w:rPr>
        <w:t xml:space="preserve"> </w:t>
      </w:r>
      <w:r w:rsidRPr="00FB5A28">
        <w:rPr>
          <w:rFonts w:ascii="Times New Roman" w:hAnsi="Times New Roman"/>
          <w:sz w:val="24"/>
          <w:szCs w:val="24"/>
        </w:rPr>
        <w:t>да</w:t>
      </w:r>
      <w:r w:rsidR="001954C8" w:rsidRPr="00FB5A28">
        <w:rPr>
          <w:rFonts w:ascii="Times New Roman" w:hAnsi="Times New Roman"/>
          <w:sz w:val="24"/>
          <w:szCs w:val="24"/>
        </w:rPr>
        <w:t xml:space="preserve"> </w:t>
      </w:r>
      <w:r w:rsidRPr="00FB5A28">
        <w:rPr>
          <w:rFonts w:ascii="Times New Roman" w:hAnsi="Times New Roman"/>
          <w:sz w:val="24"/>
          <w:szCs w:val="24"/>
        </w:rPr>
        <w:t>се</w:t>
      </w:r>
      <w:r w:rsidR="001954C8" w:rsidRPr="00FB5A28">
        <w:rPr>
          <w:rFonts w:ascii="Times New Roman" w:hAnsi="Times New Roman"/>
          <w:sz w:val="24"/>
          <w:szCs w:val="24"/>
        </w:rPr>
        <w:t xml:space="preserve"> </w:t>
      </w:r>
      <w:r w:rsidRPr="00FB5A28">
        <w:rPr>
          <w:rFonts w:ascii="Times New Roman" w:hAnsi="Times New Roman"/>
          <w:sz w:val="24"/>
          <w:szCs w:val="24"/>
        </w:rPr>
        <w:t>не</w:t>
      </w:r>
      <w:r w:rsidR="001954C8" w:rsidRPr="00FB5A28">
        <w:rPr>
          <w:rFonts w:ascii="Times New Roman" w:hAnsi="Times New Roman"/>
          <w:sz w:val="24"/>
          <w:szCs w:val="24"/>
        </w:rPr>
        <w:t xml:space="preserve"> </w:t>
      </w:r>
      <w:r w:rsidRPr="00FB5A28">
        <w:rPr>
          <w:rFonts w:ascii="Times New Roman" w:hAnsi="Times New Roman"/>
          <w:sz w:val="24"/>
          <w:szCs w:val="24"/>
        </w:rPr>
        <w:t>спроводи</w:t>
      </w:r>
      <w:r w:rsidR="001954C8" w:rsidRPr="00FB5A28">
        <w:rPr>
          <w:rFonts w:ascii="Times New Roman" w:hAnsi="Times New Roman"/>
          <w:sz w:val="24"/>
          <w:szCs w:val="24"/>
        </w:rPr>
        <w:t xml:space="preserve"> </w:t>
      </w:r>
      <w:r w:rsidRPr="00FB5A28">
        <w:rPr>
          <w:rFonts w:ascii="Times New Roman" w:hAnsi="Times New Roman"/>
          <w:sz w:val="24"/>
          <w:szCs w:val="24"/>
        </w:rPr>
        <w:t>самоопорезивање</w:t>
      </w:r>
      <w:r w:rsidR="001954C8" w:rsidRPr="00FB5A28">
        <w:rPr>
          <w:rFonts w:ascii="Times New Roman" w:hAnsi="Times New Roman"/>
          <w:sz w:val="24"/>
          <w:szCs w:val="24"/>
        </w:rPr>
        <w:t xml:space="preserve"> </w:t>
      </w:r>
      <w:r w:rsidRPr="00FB5A28">
        <w:rPr>
          <w:rFonts w:ascii="Times New Roman" w:hAnsi="Times New Roman"/>
          <w:sz w:val="24"/>
          <w:szCs w:val="24"/>
        </w:rPr>
        <w:t>или</w:t>
      </w:r>
      <w:r w:rsidR="001954C8" w:rsidRPr="00FB5A28">
        <w:rPr>
          <w:rFonts w:ascii="Times New Roman" w:hAnsi="Times New Roman"/>
          <w:sz w:val="24"/>
          <w:szCs w:val="24"/>
        </w:rPr>
        <w:t xml:space="preserve"> </w:t>
      </w:r>
      <w:r w:rsidRPr="00FB5A28">
        <w:rPr>
          <w:rFonts w:ascii="Times New Roman" w:hAnsi="Times New Roman"/>
          <w:sz w:val="24"/>
          <w:szCs w:val="24"/>
        </w:rPr>
        <w:t>када</w:t>
      </w:r>
      <w:r w:rsidR="001954C8" w:rsidRPr="00FB5A28">
        <w:rPr>
          <w:rFonts w:ascii="Times New Roman" w:hAnsi="Times New Roman"/>
          <w:sz w:val="24"/>
          <w:szCs w:val="24"/>
        </w:rPr>
        <w:t xml:space="preserve"> </w:t>
      </w:r>
      <w:r w:rsidRPr="00FB5A28">
        <w:rPr>
          <w:rFonts w:ascii="Times New Roman" w:hAnsi="Times New Roman"/>
          <w:sz w:val="24"/>
          <w:szCs w:val="24"/>
        </w:rPr>
        <w:t>је</w:t>
      </w:r>
      <w:r w:rsidR="001954C8" w:rsidRPr="00FB5A28">
        <w:rPr>
          <w:rFonts w:ascii="Times New Roman" w:hAnsi="Times New Roman"/>
          <w:sz w:val="24"/>
          <w:szCs w:val="24"/>
        </w:rPr>
        <w:t xml:space="preserve"> </w:t>
      </w:r>
      <w:r w:rsidRPr="00FB5A28">
        <w:rPr>
          <w:rFonts w:ascii="Times New Roman" w:hAnsi="Times New Roman"/>
          <w:sz w:val="24"/>
          <w:szCs w:val="24"/>
        </w:rPr>
        <w:t>законом</w:t>
      </w:r>
      <w:r w:rsidR="001954C8" w:rsidRPr="00FB5A28">
        <w:rPr>
          <w:rFonts w:ascii="Times New Roman" w:hAnsi="Times New Roman"/>
          <w:sz w:val="24"/>
          <w:szCs w:val="24"/>
        </w:rPr>
        <w:t xml:space="preserve"> </w:t>
      </w:r>
      <w:r w:rsidRPr="00FB5A28">
        <w:rPr>
          <w:rFonts w:ascii="Times New Roman" w:hAnsi="Times New Roman"/>
          <w:sz w:val="24"/>
          <w:szCs w:val="24"/>
        </w:rPr>
        <w:t>прописано</w:t>
      </w:r>
      <w:r w:rsidR="001954C8" w:rsidRPr="00FB5A28">
        <w:rPr>
          <w:rFonts w:ascii="Times New Roman" w:hAnsi="Times New Roman"/>
          <w:sz w:val="24"/>
          <w:szCs w:val="24"/>
        </w:rPr>
        <w:t xml:space="preserve"> </w:t>
      </w:r>
      <w:r w:rsidRPr="00FB5A28">
        <w:rPr>
          <w:rFonts w:ascii="Times New Roman" w:hAnsi="Times New Roman"/>
          <w:sz w:val="24"/>
          <w:szCs w:val="24"/>
        </w:rPr>
        <w:t>да</w:t>
      </w:r>
      <w:r w:rsidR="001954C8" w:rsidRPr="00FB5A28">
        <w:rPr>
          <w:rFonts w:ascii="Times New Roman" w:hAnsi="Times New Roman"/>
          <w:sz w:val="24"/>
          <w:szCs w:val="24"/>
        </w:rPr>
        <w:t xml:space="preserve"> </w:t>
      </w:r>
      <w:r w:rsidRPr="00FB5A28">
        <w:rPr>
          <w:rFonts w:ascii="Times New Roman" w:hAnsi="Times New Roman"/>
          <w:sz w:val="24"/>
          <w:szCs w:val="24"/>
        </w:rPr>
        <w:t>се</w:t>
      </w:r>
      <w:r w:rsidR="001954C8" w:rsidRPr="00FB5A28">
        <w:rPr>
          <w:rFonts w:ascii="Times New Roman" w:hAnsi="Times New Roman"/>
          <w:sz w:val="24"/>
          <w:szCs w:val="24"/>
        </w:rPr>
        <w:t xml:space="preserve">, </w:t>
      </w:r>
      <w:r w:rsidRPr="00FB5A28">
        <w:rPr>
          <w:rFonts w:ascii="Times New Roman" w:hAnsi="Times New Roman"/>
          <w:sz w:val="24"/>
          <w:szCs w:val="24"/>
        </w:rPr>
        <w:t>упркос</w:t>
      </w:r>
      <w:r w:rsidR="001954C8" w:rsidRPr="00FB5A28">
        <w:rPr>
          <w:rFonts w:ascii="Times New Roman" w:hAnsi="Times New Roman"/>
          <w:sz w:val="24"/>
          <w:szCs w:val="24"/>
        </w:rPr>
        <w:t xml:space="preserve"> </w:t>
      </w:r>
      <w:r w:rsidRPr="00FB5A28">
        <w:rPr>
          <w:rFonts w:ascii="Times New Roman" w:hAnsi="Times New Roman"/>
          <w:sz w:val="24"/>
          <w:szCs w:val="24"/>
        </w:rPr>
        <w:t>самоопорезивању</w:t>
      </w:r>
      <w:r w:rsidR="001954C8" w:rsidRPr="00FB5A28">
        <w:rPr>
          <w:rFonts w:ascii="Times New Roman" w:hAnsi="Times New Roman"/>
          <w:sz w:val="24"/>
          <w:szCs w:val="24"/>
        </w:rPr>
        <w:t xml:space="preserve">, </w:t>
      </w:r>
      <w:r w:rsidRPr="00FB5A28">
        <w:rPr>
          <w:rFonts w:ascii="Times New Roman" w:hAnsi="Times New Roman"/>
          <w:sz w:val="24"/>
          <w:szCs w:val="24"/>
        </w:rPr>
        <w:t>пореско</w:t>
      </w:r>
      <w:r w:rsidR="001954C8" w:rsidRPr="00FB5A28">
        <w:rPr>
          <w:rFonts w:ascii="Times New Roman" w:hAnsi="Times New Roman"/>
          <w:sz w:val="24"/>
          <w:szCs w:val="24"/>
        </w:rPr>
        <w:t xml:space="preserve"> </w:t>
      </w:r>
      <w:r w:rsidRPr="00FB5A28">
        <w:rPr>
          <w:rFonts w:ascii="Times New Roman" w:hAnsi="Times New Roman"/>
          <w:sz w:val="24"/>
          <w:szCs w:val="24"/>
        </w:rPr>
        <w:t>решење</w:t>
      </w:r>
      <w:r w:rsidR="001954C8" w:rsidRPr="00FB5A28">
        <w:rPr>
          <w:rFonts w:ascii="Times New Roman" w:hAnsi="Times New Roman"/>
          <w:sz w:val="24"/>
          <w:szCs w:val="24"/>
        </w:rPr>
        <w:t xml:space="preserve"> </w:t>
      </w:r>
      <w:r w:rsidRPr="00FB5A28">
        <w:rPr>
          <w:rFonts w:ascii="Times New Roman" w:hAnsi="Times New Roman"/>
          <w:sz w:val="24"/>
          <w:szCs w:val="24"/>
        </w:rPr>
        <w:t>мора</w:t>
      </w:r>
      <w:r w:rsidR="001954C8" w:rsidRPr="00FB5A28">
        <w:rPr>
          <w:rFonts w:ascii="Times New Roman" w:hAnsi="Times New Roman"/>
          <w:sz w:val="24"/>
          <w:szCs w:val="24"/>
        </w:rPr>
        <w:t xml:space="preserve"> </w:t>
      </w:r>
      <w:r w:rsidRPr="00FB5A28">
        <w:rPr>
          <w:rFonts w:ascii="Times New Roman" w:hAnsi="Times New Roman"/>
          <w:sz w:val="24"/>
          <w:szCs w:val="24"/>
        </w:rPr>
        <w:t>донет</w:t>
      </w:r>
      <w:r w:rsidR="001954C8" w:rsidRPr="00FB5A28">
        <w:rPr>
          <w:rFonts w:ascii="Times New Roman" w:hAnsi="Times New Roman"/>
          <w:sz w:val="24"/>
          <w:szCs w:val="24"/>
          <w:lang w:val="sr-Cyrl-CS"/>
        </w:rPr>
        <w:t xml:space="preserve">и, </w:t>
      </w:r>
      <w:r w:rsidRPr="00FB5A28">
        <w:rPr>
          <w:rFonts w:ascii="Times New Roman" w:hAnsi="Times New Roman"/>
          <w:sz w:val="24"/>
          <w:szCs w:val="24"/>
        </w:rPr>
        <w:t>Пореска</w:t>
      </w:r>
      <w:r w:rsidR="00717D0E" w:rsidRPr="00FB5A28">
        <w:rPr>
          <w:rFonts w:ascii="Times New Roman" w:hAnsi="Times New Roman"/>
          <w:sz w:val="24"/>
          <w:szCs w:val="24"/>
        </w:rPr>
        <w:t xml:space="preserve"> </w:t>
      </w:r>
      <w:r w:rsidRPr="00FB5A28">
        <w:rPr>
          <w:rFonts w:ascii="Times New Roman" w:hAnsi="Times New Roman"/>
          <w:sz w:val="24"/>
          <w:szCs w:val="24"/>
        </w:rPr>
        <w:t>управа</w:t>
      </w:r>
      <w:r w:rsidR="00717D0E" w:rsidRPr="00FB5A28">
        <w:rPr>
          <w:rFonts w:ascii="Times New Roman" w:hAnsi="Times New Roman"/>
          <w:sz w:val="24"/>
          <w:szCs w:val="24"/>
        </w:rPr>
        <w:t xml:space="preserve"> </w:t>
      </w:r>
      <w:r w:rsidRPr="00FB5A28">
        <w:rPr>
          <w:rFonts w:ascii="Times New Roman" w:hAnsi="Times New Roman"/>
          <w:sz w:val="24"/>
          <w:szCs w:val="24"/>
        </w:rPr>
        <w:t>доноси</w:t>
      </w:r>
      <w:r w:rsidR="00717D0E" w:rsidRPr="00FB5A28">
        <w:rPr>
          <w:rFonts w:ascii="Times New Roman" w:hAnsi="Times New Roman"/>
          <w:sz w:val="24"/>
          <w:szCs w:val="24"/>
        </w:rPr>
        <w:t xml:space="preserve"> </w:t>
      </w:r>
      <w:r w:rsidRPr="00FB5A28">
        <w:rPr>
          <w:rFonts w:ascii="Times New Roman" w:hAnsi="Times New Roman"/>
          <w:sz w:val="24"/>
          <w:szCs w:val="24"/>
        </w:rPr>
        <w:t>на</w:t>
      </w:r>
      <w:r w:rsidR="00717D0E" w:rsidRPr="00FB5A28">
        <w:rPr>
          <w:rFonts w:ascii="Times New Roman" w:hAnsi="Times New Roman"/>
          <w:sz w:val="24"/>
          <w:szCs w:val="24"/>
        </w:rPr>
        <w:t xml:space="preserve"> </w:t>
      </w:r>
      <w:r w:rsidRPr="00FB5A28">
        <w:rPr>
          <w:rFonts w:ascii="Times New Roman" w:hAnsi="Times New Roman"/>
          <w:sz w:val="24"/>
          <w:szCs w:val="24"/>
        </w:rPr>
        <w:t>основу</w:t>
      </w:r>
      <w:r w:rsidR="00717D0E" w:rsidRPr="00FB5A28">
        <w:rPr>
          <w:rFonts w:ascii="Times New Roman" w:hAnsi="Times New Roman"/>
          <w:sz w:val="24"/>
          <w:szCs w:val="24"/>
        </w:rPr>
        <w:t xml:space="preserve"> </w:t>
      </w:r>
      <w:r w:rsidRPr="00FB5A28">
        <w:rPr>
          <w:rFonts w:ascii="Times New Roman" w:hAnsi="Times New Roman"/>
          <w:sz w:val="24"/>
          <w:szCs w:val="24"/>
        </w:rPr>
        <w:t>података</w:t>
      </w:r>
      <w:r w:rsidR="00717D0E" w:rsidRPr="00FB5A28">
        <w:rPr>
          <w:rFonts w:ascii="Times New Roman" w:hAnsi="Times New Roman"/>
          <w:sz w:val="24"/>
          <w:szCs w:val="24"/>
        </w:rPr>
        <w:t xml:space="preserve"> </w:t>
      </w:r>
      <w:r w:rsidRPr="00FB5A28">
        <w:rPr>
          <w:rFonts w:ascii="Times New Roman" w:hAnsi="Times New Roman"/>
          <w:sz w:val="24"/>
          <w:szCs w:val="24"/>
        </w:rPr>
        <w:t>из</w:t>
      </w:r>
      <w:r w:rsidR="00717D0E" w:rsidRPr="00FB5A28">
        <w:rPr>
          <w:rFonts w:ascii="Times New Roman" w:hAnsi="Times New Roman"/>
          <w:sz w:val="24"/>
          <w:szCs w:val="24"/>
        </w:rPr>
        <w:t xml:space="preserve"> </w:t>
      </w:r>
      <w:r w:rsidRPr="00FB5A28">
        <w:rPr>
          <w:rFonts w:ascii="Times New Roman" w:hAnsi="Times New Roman"/>
          <w:sz w:val="24"/>
          <w:szCs w:val="24"/>
        </w:rPr>
        <w:t>евиденција</w:t>
      </w:r>
      <w:r w:rsidR="00717D0E" w:rsidRPr="00FB5A28">
        <w:rPr>
          <w:rFonts w:ascii="Times New Roman" w:hAnsi="Times New Roman"/>
          <w:sz w:val="24"/>
          <w:szCs w:val="24"/>
        </w:rPr>
        <w:t xml:space="preserve"> </w:t>
      </w:r>
      <w:r w:rsidRPr="00FB5A28">
        <w:rPr>
          <w:rFonts w:ascii="Times New Roman" w:hAnsi="Times New Roman"/>
          <w:sz w:val="24"/>
          <w:szCs w:val="24"/>
        </w:rPr>
        <w:t>надлежних</w:t>
      </w:r>
      <w:r w:rsidR="00717D0E" w:rsidRPr="00FB5A28">
        <w:rPr>
          <w:rFonts w:ascii="Times New Roman" w:hAnsi="Times New Roman"/>
          <w:sz w:val="24"/>
          <w:szCs w:val="24"/>
        </w:rPr>
        <w:t xml:space="preserve"> </w:t>
      </w:r>
      <w:r w:rsidRPr="00FB5A28">
        <w:rPr>
          <w:rFonts w:ascii="Times New Roman" w:hAnsi="Times New Roman"/>
          <w:sz w:val="24"/>
          <w:szCs w:val="24"/>
        </w:rPr>
        <w:t>органа</w:t>
      </w:r>
      <w:r w:rsidR="00717D0E" w:rsidRPr="00FB5A28">
        <w:rPr>
          <w:rFonts w:ascii="Times New Roman" w:hAnsi="Times New Roman"/>
          <w:sz w:val="24"/>
          <w:szCs w:val="24"/>
        </w:rPr>
        <w:t xml:space="preserve">, </w:t>
      </w:r>
      <w:r w:rsidRPr="00FB5A28">
        <w:rPr>
          <w:rFonts w:ascii="Times New Roman" w:hAnsi="Times New Roman"/>
          <w:sz w:val="24"/>
          <w:szCs w:val="24"/>
        </w:rPr>
        <w:t>података</w:t>
      </w:r>
      <w:r w:rsidR="00717D0E" w:rsidRPr="00FB5A28">
        <w:rPr>
          <w:rFonts w:ascii="Times New Roman" w:hAnsi="Times New Roman"/>
          <w:sz w:val="24"/>
          <w:szCs w:val="24"/>
        </w:rPr>
        <w:t xml:space="preserve"> </w:t>
      </w:r>
      <w:r w:rsidRPr="00FB5A28">
        <w:rPr>
          <w:rFonts w:ascii="Times New Roman" w:hAnsi="Times New Roman"/>
          <w:sz w:val="24"/>
          <w:szCs w:val="24"/>
        </w:rPr>
        <w:t>из</w:t>
      </w:r>
      <w:r w:rsidR="00717D0E" w:rsidRPr="00FB5A28">
        <w:rPr>
          <w:rFonts w:ascii="Times New Roman" w:hAnsi="Times New Roman"/>
          <w:sz w:val="24"/>
          <w:szCs w:val="24"/>
        </w:rPr>
        <w:t xml:space="preserve"> </w:t>
      </w:r>
      <w:r w:rsidRPr="00FB5A28">
        <w:rPr>
          <w:rFonts w:ascii="Times New Roman" w:hAnsi="Times New Roman"/>
          <w:sz w:val="24"/>
          <w:szCs w:val="24"/>
        </w:rPr>
        <w:t>пореске</w:t>
      </w:r>
      <w:r w:rsidR="00717D0E" w:rsidRPr="00FB5A28">
        <w:rPr>
          <w:rFonts w:ascii="Times New Roman" w:hAnsi="Times New Roman"/>
          <w:sz w:val="24"/>
          <w:szCs w:val="24"/>
        </w:rPr>
        <w:t xml:space="preserve"> </w:t>
      </w:r>
      <w:r w:rsidRPr="00FB5A28">
        <w:rPr>
          <w:rFonts w:ascii="Times New Roman" w:hAnsi="Times New Roman"/>
          <w:sz w:val="24"/>
          <w:szCs w:val="24"/>
        </w:rPr>
        <w:t>пријаве</w:t>
      </w:r>
      <w:r w:rsidR="00717D0E" w:rsidRPr="00FB5A28">
        <w:rPr>
          <w:rFonts w:ascii="Times New Roman" w:hAnsi="Times New Roman"/>
          <w:sz w:val="24"/>
          <w:szCs w:val="24"/>
        </w:rPr>
        <w:t xml:space="preserve">, </w:t>
      </w:r>
      <w:r w:rsidRPr="00FB5A28">
        <w:rPr>
          <w:rFonts w:ascii="Times New Roman" w:hAnsi="Times New Roman"/>
          <w:sz w:val="24"/>
          <w:szCs w:val="24"/>
        </w:rPr>
        <w:t>односно</w:t>
      </w:r>
      <w:r w:rsidR="00717D0E" w:rsidRPr="00FB5A28">
        <w:rPr>
          <w:rFonts w:ascii="Times New Roman" w:hAnsi="Times New Roman"/>
          <w:sz w:val="24"/>
          <w:szCs w:val="24"/>
        </w:rPr>
        <w:t xml:space="preserve"> </w:t>
      </w:r>
      <w:r w:rsidRPr="00FB5A28">
        <w:rPr>
          <w:rFonts w:ascii="Times New Roman" w:hAnsi="Times New Roman"/>
          <w:sz w:val="24"/>
          <w:szCs w:val="24"/>
        </w:rPr>
        <w:t>измењене</w:t>
      </w:r>
      <w:r w:rsidR="00717D0E" w:rsidRPr="00FB5A28">
        <w:rPr>
          <w:rFonts w:ascii="Times New Roman" w:hAnsi="Times New Roman"/>
          <w:sz w:val="24"/>
          <w:szCs w:val="24"/>
        </w:rPr>
        <w:t xml:space="preserve"> </w:t>
      </w:r>
      <w:r w:rsidRPr="00FB5A28">
        <w:rPr>
          <w:rFonts w:ascii="Times New Roman" w:hAnsi="Times New Roman"/>
          <w:sz w:val="24"/>
          <w:szCs w:val="24"/>
        </w:rPr>
        <w:t>пореске</w:t>
      </w:r>
      <w:r w:rsidR="00717D0E" w:rsidRPr="00FB5A28">
        <w:rPr>
          <w:rFonts w:ascii="Times New Roman" w:hAnsi="Times New Roman"/>
          <w:sz w:val="24"/>
          <w:szCs w:val="24"/>
        </w:rPr>
        <w:t xml:space="preserve"> </w:t>
      </w:r>
      <w:r w:rsidRPr="00FB5A28">
        <w:rPr>
          <w:rFonts w:ascii="Times New Roman" w:hAnsi="Times New Roman"/>
          <w:sz w:val="24"/>
          <w:szCs w:val="24"/>
        </w:rPr>
        <w:t>пријаве</w:t>
      </w:r>
      <w:r w:rsidR="00717D0E" w:rsidRPr="00FB5A28">
        <w:rPr>
          <w:rFonts w:ascii="Times New Roman" w:hAnsi="Times New Roman"/>
          <w:sz w:val="24"/>
          <w:szCs w:val="24"/>
        </w:rPr>
        <w:t xml:space="preserve"> </w:t>
      </w:r>
      <w:r w:rsidRPr="00FB5A28">
        <w:rPr>
          <w:rFonts w:ascii="Times New Roman" w:hAnsi="Times New Roman"/>
          <w:sz w:val="24"/>
          <w:szCs w:val="24"/>
        </w:rPr>
        <w:t>а</w:t>
      </w:r>
      <w:r w:rsidR="00717D0E" w:rsidRPr="00FB5A28">
        <w:rPr>
          <w:rFonts w:ascii="Times New Roman" w:hAnsi="Times New Roman"/>
          <w:sz w:val="24"/>
          <w:szCs w:val="24"/>
        </w:rPr>
        <w:t xml:space="preserve">, </w:t>
      </w:r>
      <w:r w:rsidRPr="00FB5A28">
        <w:rPr>
          <w:rFonts w:ascii="Times New Roman" w:hAnsi="Times New Roman"/>
          <w:sz w:val="24"/>
          <w:szCs w:val="24"/>
        </w:rPr>
        <w:t>по</w:t>
      </w:r>
      <w:r w:rsidR="00717D0E" w:rsidRPr="00FB5A28">
        <w:rPr>
          <w:rFonts w:ascii="Times New Roman" w:hAnsi="Times New Roman"/>
          <w:sz w:val="24"/>
          <w:szCs w:val="24"/>
        </w:rPr>
        <w:t xml:space="preserve"> </w:t>
      </w:r>
      <w:r w:rsidRPr="00FB5A28">
        <w:rPr>
          <w:rFonts w:ascii="Times New Roman" w:hAnsi="Times New Roman"/>
          <w:sz w:val="24"/>
          <w:szCs w:val="24"/>
        </w:rPr>
        <w:t>потреби</w:t>
      </w:r>
      <w:r w:rsidR="00717D0E" w:rsidRPr="00FB5A28">
        <w:rPr>
          <w:rFonts w:ascii="Times New Roman" w:hAnsi="Times New Roman"/>
          <w:sz w:val="24"/>
          <w:szCs w:val="24"/>
        </w:rPr>
        <w:t xml:space="preserve">, </w:t>
      </w:r>
      <w:r w:rsidRPr="00FB5A28">
        <w:rPr>
          <w:rFonts w:ascii="Times New Roman" w:hAnsi="Times New Roman"/>
          <w:sz w:val="24"/>
          <w:szCs w:val="24"/>
        </w:rPr>
        <w:t>и</w:t>
      </w:r>
      <w:r w:rsidR="00717D0E" w:rsidRPr="00FB5A28">
        <w:rPr>
          <w:rFonts w:ascii="Times New Roman" w:hAnsi="Times New Roman"/>
          <w:sz w:val="24"/>
          <w:szCs w:val="24"/>
        </w:rPr>
        <w:t xml:space="preserve"> </w:t>
      </w:r>
      <w:r w:rsidRPr="00FB5A28">
        <w:rPr>
          <w:rFonts w:ascii="Times New Roman" w:hAnsi="Times New Roman"/>
          <w:sz w:val="24"/>
          <w:szCs w:val="24"/>
        </w:rPr>
        <w:t>на</w:t>
      </w:r>
      <w:r w:rsidR="00717D0E" w:rsidRPr="00FB5A28">
        <w:rPr>
          <w:rFonts w:ascii="Times New Roman" w:hAnsi="Times New Roman"/>
          <w:sz w:val="24"/>
          <w:szCs w:val="24"/>
        </w:rPr>
        <w:t xml:space="preserve"> </w:t>
      </w:r>
      <w:r w:rsidRPr="00FB5A28">
        <w:rPr>
          <w:rFonts w:ascii="Times New Roman" w:hAnsi="Times New Roman"/>
          <w:sz w:val="24"/>
          <w:szCs w:val="24"/>
        </w:rPr>
        <w:t>основу</w:t>
      </w:r>
      <w:r w:rsidR="00717D0E" w:rsidRPr="00FB5A28">
        <w:rPr>
          <w:rFonts w:ascii="Times New Roman" w:hAnsi="Times New Roman"/>
          <w:sz w:val="24"/>
          <w:szCs w:val="24"/>
        </w:rPr>
        <w:t xml:space="preserve"> </w:t>
      </w:r>
      <w:r w:rsidRPr="00FB5A28">
        <w:rPr>
          <w:rFonts w:ascii="Times New Roman" w:hAnsi="Times New Roman"/>
          <w:sz w:val="24"/>
          <w:szCs w:val="24"/>
        </w:rPr>
        <w:t>података</w:t>
      </w:r>
      <w:r w:rsidR="00717D0E" w:rsidRPr="00FB5A28">
        <w:rPr>
          <w:rFonts w:ascii="Times New Roman" w:hAnsi="Times New Roman"/>
          <w:sz w:val="24"/>
          <w:szCs w:val="24"/>
        </w:rPr>
        <w:t xml:space="preserve"> </w:t>
      </w:r>
      <w:r w:rsidRPr="00FB5A28">
        <w:rPr>
          <w:rFonts w:ascii="Times New Roman" w:hAnsi="Times New Roman"/>
          <w:sz w:val="24"/>
          <w:szCs w:val="24"/>
        </w:rPr>
        <w:t>из</w:t>
      </w:r>
      <w:r w:rsidR="00717D0E" w:rsidRPr="00FB5A28">
        <w:rPr>
          <w:rFonts w:ascii="Times New Roman" w:hAnsi="Times New Roman"/>
          <w:sz w:val="24"/>
          <w:szCs w:val="24"/>
        </w:rPr>
        <w:t xml:space="preserve"> </w:t>
      </w:r>
      <w:r w:rsidRPr="00FB5A28">
        <w:rPr>
          <w:rFonts w:ascii="Times New Roman" w:hAnsi="Times New Roman"/>
          <w:sz w:val="24"/>
          <w:szCs w:val="24"/>
        </w:rPr>
        <w:t>пословних</w:t>
      </w:r>
      <w:r w:rsidR="00717D0E" w:rsidRPr="00FB5A28">
        <w:rPr>
          <w:rFonts w:ascii="Times New Roman" w:hAnsi="Times New Roman"/>
          <w:sz w:val="24"/>
          <w:szCs w:val="24"/>
        </w:rPr>
        <w:t xml:space="preserve"> </w:t>
      </w:r>
      <w:r w:rsidRPr="00FB5A28">
        <w:rPr>
          <w:rFonts w:ascii="Times New Roman" w:hAnsi="Times New Roman"/>
          <w:sz w:val="24"/>
          <w:szCs w:val="24"/>
        </w:rPr>
        <w:t>књига</w:t>
      </w:r>
      <w:r w:rsidR="00717D0E" w:rsidRPr="00FB5A28">
        <w:rPr>
          <w:rFonts w:ascii="Times New Roman" w:hAnsi="Times New Roman"/>
          <w:sz w:val="24"/>
          <w:szCs w:val="24"/>
        </w:rPr>
        <w:t xml:space="preserve"> </w:t>
      </w:r>
      <w:r w:rsidRPr="00FB5A28">
        <w:rPr>
          <w:rFonts w:ascii="Times New Roman" w:hAnsi="Times New Roman"/>
          <w:sz w:val="24"/>
          <w:szCs w:val="24"/>
        </w:rPr>
        <w:t>и</w:t>
      </w:r>
      <w:r w:rsidR="00717D0E" w:rsidRPr="00FB5A28">
        <w:rPr>
          <w:rFonts w:ascii="Times New Roman" w:hAnsi="Times New Roman"/>
          <w:sz w:val="24"/>
          <w:szCs w:val="24"/>
        </w:rPr>
        <w:t xml:space="preserve"> </w:t>
      </w:r>
      <w:r w:rsidRPr="00FB5A28">
        <w:rPr>
          <w:rFonts w:ascii="Times New Roman" w:hAnsi="Times New Roman"/>
          <w:sz w:val="24"/>
          <w:szCs w:val="24"/>
        </w:rPr>
        <w:t>евиденција</w:t>
      </w:r>
      <w:r w:rsidR="00717D0E" w:rsidRPr="00FB5A28">
        <w:rPr>
          <w:rFonts w:ascii="Times New Roman" w:hAnsi="Times New Roman"/>
          <w:sz w:val="24"/>
          <w:szCs w:val="24"/>
        </w:rPr>
        <w:t xml:space="preserve"> </w:t>
      </w:r>
      <w:r w:rsidRPr="00FB5A28">
        <w:rPr>
          <w:rFonts w:ascii="Times New Roman" w:hAnsi="Times New Roman"/>
          <w:sz w:val="24"/>
          <w:szCs w:val="24"/>
        </w:rPr>
        <w:t>пореског</w:t>
      </w:r>
      <w:r w:rsidR="00717D0E" w:rsidRPr="00FB5A28">
        <w:rPr>
          <w:rFonts w:ascii="Times New Roman" w:hAnsi="Times New Roman"/>
          <w:sz w:val="24"/>
          <w:szCs w:val="24"/>
        </w:rPr>
        <w:t xml:space="preserve"> </w:t>
      </w:r>
      <w:r w:rsidRPr="00FB5A28">
        <w:rPr>
          <w:rFonts w:ascii="Times New Roman" w:hAnsi="Times New Roman"/>
          <w:sz w:val="24"/>
          <w:szCs w:val="24"/>
        </w:rPr>
        <w:t>обвезника</w:t>
      </w:r>
      <w:r w:rsidR="00717D0E" w:rsidRPr="00FB5A28">
        <w:rPr>
          <w:rFonts w:ascii="Times New Roman" w:hAnsi="Times New Roman"/>
          <w:sz w:val="24"/>
          <w:szCs w:val="24"/>
        </w:rPr>
        <w:t>.</w:t>
      </w:r>
      <w:r w:rsidR="001954C8" w:rsidRPr="00FB5A28">
        <w:rPr>
          <w:rFonts w:ascii="Times New Roman" w:hAnsi="Times New Roman"/>
          <w:sz w:val="24"/>
          <w:szCs w:val="24"/>
          <w:lang w:val="sr-Cyrl-CS"/>
        </w:rPr>
        <w:t xml:space="preserve"> </w:t>
      </w:r>
      <w:r w:rsidRPr="00FB5A28">
        <w:rPr>
          <w:rFonts w:ascii="Times New Roman" w:hAnsi="Times New Roman"/>
          <w:sz w:val="24"/>
          <w:szCs w:val="24"/>
        </w:rPr>
        <w:t>Ако</w:t>
      </w:r>
      <w:r w:rsidR="00717D0E" w:rsidRPr="00FB5A28">
        <w:rPr>
          <w:rFonts w:ascii="Times New Roman" w:hAnsi="Times New Roman"/>
          <w:sz w:val="24"/>
          <w:szCs w:val="24"/>
        </w:rPr>
        <w:t xml:space="preserve"> </w:t>
      </w:r>
      <w:r w:rsidRPr="00FB5A28">
        <w:rPr>
          <w:rFonts w:ascii="Times New Roman" w:hAnsi="Times New Roman"/>
          <w:sz w:val="24"/>
          <w:szCs w:val="24"/>
        </w:rPr>
        <w:t>порески</w:t>
      </w:r>
      <w:r w:rsidR="00717D0E" w:rsidRPr="00FB5A28">
        <w:rPr>
          <w:rFonts w:ascii="Times New Roman" w:hAnsi="Times New Roman"/>
          <w:sz w:val="24"/>
          <w:szCs w:val="24"/>
        </w:rPr>
        <w:t xml:space="preserve"> </w:t>
      </w:r>
      <w:r w:rsidRPr="00FB5A28">
        <w:rPr>
          <w:rFonts w:ascii="Times New Roman" w:hAnsi="Times New Roman"/>
          <w:sz w:val="24"/>
          <w:szCs w:val="24"/>
        </w:rPr>
        <w:t>обвезник</w:t>
      </w:r>
      <w:r w:rsidR="00717D0E" w:rsidRPr="00FB5A28">
        <w:rPr>
          <w:rFonts w:ascii="Times New Roman" w:hAnsi="Times New Roman"/>
          <w:sz w:val="24"/>
          <w:szCs w:val="24"/>
        </w:rPr>
        <w:t xml:space="preserve"> </w:t>
      </w:r>
      <w:r w:rsidRPr="00FB5A28">
        <w:rPr>
          <w:rFonts w:ascii="Times New Roman" w:hAnsi="Times New Roman"/>
          <w:sz w:val="24"/>
          <w:szCs w:val="24"/>
        </w:rPr>
        <w:t>не</w:t>
      </w:r>
      <w:r w:rsidR="00717D0E" w:rsidRPr="00FB5A28">
        <w:rPr>
          <w:rFonts w:ascii="Times New Roman" w:hAnsi="Times New Roman"/>
          <w:sz w:val="24"/>
          <w:szCs w:val="24"/>
        </w:rPr>
        <w:t xml:space="preserve"> </w:t>
      </w:r>
      <w:r w:rsidRPr="00FB5A28">
        <w:rPr>
          <w:rFonts w:ascii="Times New Roman" w:hAnsi="Times New Roman"/>
          <w:sz w:val="24"/>
          <w:szCs w:val="24"/>
        </w:rPr>
        <w:t>поднесе</w:t>
      </w:r>
      <w:r w:rsidR="00717D0E" w:rsidRPr="00FB5A28">
        <w:rPr>
          <w:rFonts w:ascii="Times New Roman" w:hAnsi="Times New Roman"/>
          <w:sz w:val="24"/>
          <w:szCs w:val="24"/>
        </w:rPr>
        <w:t xml:space="preserve"> </w:t>
      </w:r>
      <w:r w:rsidRPr="00FB5A28">
        <w:rPr>
          <w:rFonts w:ascii="Times New Roman" w:hAnsi="Times New Roman"/>
          <w:sz w:val="24"/>
          <w:szCs w:val="24"/>
        </w:rPr>
        <w:t>пореску</w:t>
      </w:r>
      <w:r w:rsidR="00717D0E" w:rsidRPr="00FB5A28">
        <w:rPr>
          <w:rFonts w:ascii="Times New Roman" w:hAnsi="Times New Roman"/>
          <w:sz w:val="24"/>
          <w:szCs w:val="24"/>
        </w:rPr>
        <w:t xml:space="preserve"> </w:t>
      </w:r>
      <w:r w:rsidRPr="00FB5A28">
        <w:rPr>
          <w:rFonts w:ascii="Times New Roman" w:hAnsi="Times New Roman"/>
          <w:sz w:val="24"/>
          <w:szCs w:val="24"/>
        </w:rPr>
        <w:t>пријаву</w:t>
      </w:r>
      <w:r w:rsidR="00717D0E" w:rsidRPr="00FB5A28">
        <w:rPr>
          <w:rFonts w:ascii="Times New Roman" w:hAnsi="Times New Roman"/>
          <w:sz w:val="24"/>
          <w:szCs w:val="24"/>
        </w:rPr>
        <w:t xml:space="preserve">, </w:t>
      </w:r>
      <w:r w:rsidRPr="00FB5A28">
        <w:rPr>
          <w:rFonts w:ascii="Times New Roman" w:hAnsi="Times New Roman"/>
          <w:sz w:val="24"/>
          <w:szCs w:val="24"/>
        </w:rPr>
        <w:t>пореско</w:t>
      </w:r>
      <w:r w:rsidR="00717D0E" w:rsidRPr="00FB5A28">
        <w:rPr>
          <w:rFonts w:ascii="Times New Roman" w:hAnsi="Times New Roman"/>
          <w:sz w:val="24"/>
          <w:szCs w:val="24"/>
        </w:rPr>
        <w:t xml:space="preserve"> </w:t>
      </w:r>
      <w:r w:rsidRPr="00FB5A28">
        <w:rPr>
          <w:rFonts w:ascii="Times New Roman" w:hAnsi="Times New Roman"/>
          <w:sz w:val="24"/>
          <w:szCs w:val="24"/>
        </w:rPr>
        <w:t>решење</w:t>
      </w:r>
      <w:r w:rsidR="00717D0E" w:rsidRPr="00FB5A28">
        <w:rPr>
          <w:rFonts w:ascii="Times New Roman" w:hAnsi="Times New Roman"/>
          <w:sz w:val="24"/>
          <w:szCs w:val="24"/>
        </w:rPr>
        <w:t xml:space="preserve"> </w:t>
      </w:r>
      <w:r w:rsidRPr="00FB5A28">
        <w:rPr>
          <w:rFonts w:ascii="Times New Roman" w:hAnsi="Times New Roman"/>
          <w:sz w:val="24"/>
          <w:szCs w:val="24"/>
        </w:rPr>
        <w:t>о</w:t>
      </w:r>
      <w:r w:rsidR="00717D0E" w:rsidRPr="00FB5A28">
        <w:rPr>
          <w:rFonts w:ascii="Times New Roman" w:hAnsi="Times New Roman"/>
          <w:sz w:val="24"/>
          <w:szCs w:val="24"/>
        </w:rPr>
        <w:t xml:space="preserve"> </w:t>
      </w:r>
      <w:r w:rsidRPr="00FB5A28">
        <w:rPr>
          <w:rFonts w:ascii="Times New Roman" w:hAnsi="Times New Roman"/>
          <w:sz w:val="24"/>
          <w:szCs w:val="24"/>
        </w:rPr>
        <w:t>утврђивању</w:t>
      </w:r>
      <w:r w:rsidR="00717D0E" w:rsidRPr="00FB5A28">
        <w:rPr>
          <w:rFonts w:ascii="Times New Roman" w:hAnsi="Times New Roman"/>
          <w:sz w:val="24"/>
          <w:szCs w:val="24"/>
        </w:rPr>
        <w:t xml:space="preserve"> </w:t>
      </w:r>
      <w:r w:rsidRPr="00FB5A28">
        <w:rPr>
          <w:rFonts w:ascii="Times New Roman" w:hAnsi="Times New Roman"/>
          <w:sz w:val="24"/>
          <w:szCs w:val="24"/>
        </w:rPr>
        <w:t>пореза</w:t>
      </w:r>
      <w:r w:rsidR="00717D0E" w:rsidRPr="00FB5A28">
        <w:rPr>
          <w:rFonts w:ascii="Times New Roman" w:hAnsi="Times New Roman"/>
          <w:sz w:val="24"/>
          <w:szCs w:val="24"/>
        </w:rPr>
        <w:t xml:space="preserve"> </w:t>
      </w:r>
      <w:r w:rsidRPr="00FB5A28">
        <w:rPr>
          <w:rFonts w:ascii="Times New Roman" w:hAnsi="Times New Roman"/>
          <w:sz w:val="24"/>
          <w:szCs w:val="24"/>
        </w:rPr>
        <w:t>донеће</w:t>
      </w:r>
      <w:r w:rsidR="00717D0E" w:rsidRPr="00FB5A28">
        <w:rPr>
          <w:rFonts w:ascii="Times New Roman" w:hAnsi="Times New Roman"/>
          <w:sz w:val="24"/>
          <w:szCs w:val="24"/>
        </w:rPr>
        <w:t xml:space="preserve"> </w:t>
      </w:r>
      <w:r w:rsidRPr="00FB5A28">
        <w:rPr>
          <w:rFonts w:ascii="Times New Roman" w:hAnsi="Times New Roman"/>
          <w:sz w:val="24"/>
          <w:szCs w:val="24"/>
        </w:rPr>
        <w:t>се</w:t>
      </w:r>
      <w:r w:rsidR="00717D0E" w:rsidRPr="00FB5A28">
        <w:rPr>
          <w:rFonts w:ascii="Times New Roman" w:hAnsi="Times New Roman"/>
          <w:sz w:val="24"/>
          <w:szCs w:val="24"/>
        </w:rPr>
        <w:t xml:space="preserve"> </w:t>
      </w:r>
      <w:r w:rsidRPr="00FB5A28">
        <w:rPr>
          <w:rFonts w:ascii="Times New Roman" w:hAnsi="Times New Roman"/>
          <w:sz w:val="24"/>
          <w:szCs w:val="24"/>
        </w:rPr>
        <w:t>на</w:t>
      </w:r>
      <w:r w:rsidR="00717D0E" w:rsidRPr="00FB5A28">
        <w:rPr>
          <w:rFonts w:ascii="Times New Roman" w:hAnsi="Times New Roman"/>
          <w:sz w:val="24"/>
          <w:szCs w:val="24"/>
        </w:rPr>
        <w:t xml:space="preserve"> </w:t>
      </w:r>
      <w:r w:rsidRPr="00FB5A28">
        <w:rPr>
          <w:rFonts w:ascii="Times New Roman" w:hAnsi="Times New Roman"/>
          <w:sz w:val="24"/>
          <w:szCs w:val="24"/>
        </w:rPr>
        <w:t>основу</w:t>
      </w:r>
      <w:r w:rsidR="00717D0E" w:rsidRPr="00FB5A28">
        <w:rPr>
          <w:rFonts w:ascii="Times New Roman" w:hAnsi="Times New Roman"/>
          <w:sz w:val="24"/>
          <w:szCs w:val="24"/>
        </w:rPr>
        <w:t xml:space="preserve"> </w:t>
      </w:r>
      <w:r w:rsidRPr="00FB5A28">
        <w:rPr>
          <w:rFonts w:ascii="Times New Roman" w:hAnsi="Times New Roman"/>
          <w:sz w:val="24"/>
          <w:szCs w:val="24"/>
        </w:rPr>
        <w:t>података</w:t>
      </w:r>
      <w:r w:rsidR="00717D0E" w:rsidRPr="00FB5A28">
        <w:rPr>
          <w:rFonts w:ascii="Times New Roman" w:hAnsi="Times New Roman"/>
          <w:sz w:val="24"/>
          <w:szCs w:val="24"/>
        </w:rPr>
        <w:t xml:space="preserve"> </w:t>
      </w:r>
      <w:r w:rsidRPr="00FB5A28">
        <w:rPr>
          <w:rFonts w:ascii="Times New Roman" w:hAnsi="Times New Roman"/>
          <w:sz w:val="24"/>
          <w:szCs w:val="24"/>
        </w:rPr>
        <w:t>из</w:t>
      </w:r>
      <w:r w:rsidR="00717D0E" w:rsidRPr="00FB5A28">
        <w:rPr>
          <w:rFonts w:ascii="Times New Roman" w:hAnsi="Times New Roman"/>
          <w:sz w:val="24"/>
          <w:szCs w:val="24"/>
        </w:rPr>
        <w:t xml:space="preserve"> </w:t>
      </w:r>
      <w:r w:rsidRPr="00FB5A28">
        <w:rPr>
          <w:rFonts w:ascii="Times New Roman" w:hAnsi="Times New Roman"/>
          <w:sz w:val="24"/>
          <w:szCs w:val="24"/>
        </w:rPr>
        <w:t>пословних</w:t>
      </w:r>
      <w:r w:rsidR="00717D0E" w:rsidRPr="00FB5A28">
        <w:rPr>
          <w:rFonts w:ascii="Times New Roman" w:hAnsi="Times New Roman"/>
          <w:sz w:val="24"/>
          <w:szCs w:val="24"/>
        </w:rPr>
        <w:t xml:space="preserve"> </w:t>
      </w:r>
      <w:r w:rsidRPr="00FB5A28">
        <w:rPr>
          <w:rFonts w:ascii="Times New Roman" w:hAnsi="Times New Roman"/>
          <w:sz w:val="24"/>
          <w:szCs w:val="24"/>
        </w:rPr>
        <w:t>књига</w:t>
      </w:r>
      <w:r w:rsidR="00717D0E" w:rsidRPr="00FB5A28">
        <w:rPr>
          <w:rFonts w:ascii="Times New Roman" w:hAnsi="Times New Roman"/>
          <w:sz w:val="24"/>
          <w:szCs w:val="24"/>
        </w:rPr>
        <w:t xml:space="preserve"> </w:t>
      </w:r>
      <w:r w:rsidRPr="00FB5A28">
        <w:rPr>
          <w:rFonts w:ascii="Times New Roman" w:hAnsi="Times New Roman"/>
          <w:sz w:val="24"/>
          <w:szCs w:val="24"/>
        </w:rPr>
        <w:t>и</w:t>
      </w:r>
      <w:r w:rsidR="00717D0E" w:rsidRPr="00FB5A28">
        <w:rPr>
          <w:rFonts w:ascii="Times New Roman" w:hAnsi="Times New Roman"/>
          <w:sz w:val="24"/>
          <w:szCs w:val="24"/>
        </w:rPr>
        <w:t xml:space="preserve"> </w:t>
      </w:r>
      <w:r w:rsidRPr="00FB5A28">
        <w:rPr>
          <w:rFonts w:ascii="Times New Roman" w:hAnsi="Times New Roman"/>
          <w:sz w:val="24"/>
          <w:szCs w:val="24"/>
        </w:rPr>
        <w:t>евиденција</w:t>
      </w:r>
      <w:r w:rsidR="00717D0E" w:rsidRPr="00FB5A28">
        <w:rPr>
          <w:rFonts w:ascii="Times New Roman" w:hAnsi="Times New Roman"/>
          <w:sz w:val="24"/>
          <w:szCs w:val="24"/>
        </w:rPr>
        <w:t xml:space="preserve"> </w:t>
      </w:r>
      <w:r w:rsidRPr="00FB5A28">
        <w:rPr>
          <w:rFonts w:ascii="Times New Roman" w:hAnsi="Times New Roman"/>
          <w:sz w:val="24"/>
          <w:szCs w:val="24"/>
        </w:rPr>
        <w:t>пореског</w:t>
      </w:r>
      <w:r w:rsidR="00717D0E" w:rsidRPr="00FB5A28">
        <w:rPr>
          <w:rFonts w:ascii="Times New Roman" w:hAnsi="Times New Roman"/>
          <w:sz w:val="24"/>
          <w:szCs w:val="24"/>
        </w:rPr>
        <w:t xml:space="preserve"> </w:t>
      </w:r>
      <w:r w:rsidRPr="00FB5A28">
        <w:rPr>
          <w:rFonts w:ascii="Times New Roman" w:hAnsi="Times New Roman"/>
          <w:sz w:val="24"/>
          <w:szCs w:val="24"/>
        </w:rPr>
        <w:t>обвезника</w:t>
      </w:r>
      <w:r w:rsidR="00717D0E" w:rsidRPr="00FB5A28">
        <w:rPr>
          <w:rFonts w:ascii="Times New Roman" w:hAnsi="Times New Roman"/>
          <w:sz w:val="24"/>
          <w:szCs w:val="24"/>
        </w:rPr>
        <w:t xml:space="preserve"> </w:t>
      </w:r>
      <w:r w:rsidRPr="00FB5A28">
        <w:rPr>
          <w:rFonts w:ascii="Times New Roman" w:hAnsi="Times New Roman"/>
          <w:sz w:val="24"/>
          <w:szCs w:val="24"/>
        </w:rPr>
        <w:t>и</w:t>
      </w:r>
      <w:r w:rsidR="00717D0E" w:rsidRPr="00FB5A28">
        <w:rPr>
          <w:rFonts w:ascii="Times New Roman" w:hAnsi="Times New Roman"/>
          <w:sz w:val="24"/>
          <w:szCs w:val="24"/>
        </w:rPr>
        <w:t xml:space="preserve"> </w:t>
      </w:r>
      <w:r w:rsidRPr="00FB5A28">
        <w:rPr>
          <w:rFonts w:ascii="Times New Roman" w:hAnsi="Times New Roman"/>
          <w:sz w:val="24"/>
          <w:szCs w:val="24"/>
        </w:rPr>
        <w:t>чињеничног</w:t>
      </w:r>
      <w:r w:rsidR="00717D0E" w:rsidRPr="00FB5A28">
        <w:rPr>
          <w:rFonts w:ascii="Times New Roman" w:hAnsi="Times New Roman"/>
          <w:sz w:val="24"/>
          <w:szCs w:val="24"/>
        </w:rPr>
        <w:t xml:space="preserve"> </w:t>
      </w:r>
      <w:r w:rsidRPr="00FB5A28">
        <w:rPr>
          <w:rFonts w:ascii="Times New Roman" w:hAnsi="Times New Roman"/>
          <w:sz w:val="24"/>
          <w:szCs w:val="24"/>
        </w:rPr>
        <w:t>стања</w:t>
      </w:r>
      <w:r w:rsidR="00717D0E" w:rsidRPr="00FB5A28">
        <w:rPr>
          <w:rFonts w:ascii="Times New Roman" w:hAnsi="Times New Roman"/>
          <w:sz w:val="24"/>
          <w:szCs w:val="24"/>
        </w:rPr>
        <w:t xml:space="preserve"> </w:t>
      </w:r>
      <w:r w:rsidRPr="00FB5A28">
        <w:rPr>
          <w:rFonts w:ascii="Times New Roman" w:hAnsi="Times New Roman"/>
          <w:sz w:val="24"/>
          <w:szCs w:val="24"/>
        </w:rPr>
        <w:t>утврђеног</w:t>
      </w:r>
      <w:r w:rsidR="00717D0E" w:rsidRPr="00FB5A28">
        <w:rPr>
          <w:rFonts w:ascii="Times New Roman" w:hAnsi="Times New Roman"/>
          <w:sz w:val="24"/>
          <w:szCs w:val="24"/>
        </w:rPr>
        <w:t xml:space="preserve"> </w:t>
      </w:r>
      <w:r w:rsidRPr="00FB5A28">
        <w:rPr>
          <w:rFonts w:ascii="Times New Roman" w:hAnsi="Times New Roman"/>
          <w:sz w:val="24"/>
          <w:szCs w:val="24"/>
        </w:rPr>
        <w:t>у</w:t>
      </w:r>
      <w:r w:rsidR="00717D0E" w:rsidRPr="00FB5A28">
        <w:rPr>
          <w:rFonts w:ascii="Times New Roman" w:hAnsi="Times New Roman"/>
          <w:sz w:val="24"/>
          <w:szCs w:val="24"/>
        </w:rPr>
        <w:t xml:space="preserve"> </w:t>
      </w:r>
      <w:r w:rsidRPr="00FB5A28">
        <w:rPr>
          <w:rFonts w:ascii="Times New Roman" w:hAnsi="Times New Roman"/>
          <w:sz w:val="24"/>
          <w:szCs w:val="24"/>
        </w:rPr>
        <w:t>поступку</w:t>
      </w:r>
      <w:r w:rsidR="00717D0E" w:rsidRPr="00FB5A28">
        <w:rPr>
          <w:rFonts w:ascii="Times New Roman" w:hAnsi="Times New Roman"/>
          <w:sz w:val="24"/>
          <w:szCs w:val="24"/>
        </w:rPr>
        <w:t xml:space="preserve"> </w:t>
      </w:r>
      <w:r w:rsidRPr="00FB5A28">
        <w:rPr>
          <w:rFonts w:ascii="Times New Roman" w:hAnsi="Times New Roman"/>
          <w:sz w:val="24"/>
          <w:szCs w:val="24"/>
        </w:rPr>
        <w:t>контроле</w:t>
      </w:r>
      <w:r w:rsidR="00717D0E" w:rsidRPr="00FB5A28">
        <w:rPr>
          <w:rFonts w:ascii="Times New Roman" w:hAnsi="Times New Roman"/>
          <w:sz w:val="24"/>
          <w:szCs w:val="24"/>
        </w:rPr>
        <w:t>.</w:t>
      </w:r>
      <w:r w:rsidR="001954C8" w:rsidRPr="00FB5A28">
        <w:rPr>
          <w:rFonts w:ascii="Times New Roman" w:hAnsi="Times New Roman"/>
          <w:sz w:val="24"/>
          <w:szCs w:val="24"/>
          <w:lang w:val="sr-Cyrl-CS"/>
        </w:rPr>
        <w:t xml:space="preserve"> </w:t>
      </w:r>
      <w:r w:rsidRPr="00FB5A28">
        <w:rPr>
          <w:rFonts w:ascii="Times New Roman" w:hAnsi="Times New Roman"/>
          <w:sz w:val="24"/>
          <w:szCs w:val="24"/>
        </w:rPr>
        <w:t>Ако</w:t>
      </w:r>
      <w:r w:rsidR="00717D0E" w:rsidRPr="00FB5A28">
        <w:rPr>
          <w:rFonts w:ascii="Times New Roman" w:hAnsi="Times New Roman"/>
          <w:sz w:val="24"/>
          <w:szCs w:val="24"/>
        </w:rPr>
        <w:t xml:space="preserve"> </w:t>
      </w:r>
      <w:r w:rsidRPr="00FB5A28">
        <w:rPr>
          <w:rFonts w:ascii="Times New Roman" w:hAnsi="Times New Roman"/>
          <w:sz w:val="24"/>
          <w:szCs w:val="24"/>
        </w:rPr>
        <w:t>се</w:t>
      </w:r>
      <w:r w:rsidR="00717D0E" w:rsidRPr="00FB5A28">
        <w:rPr>
          <w:rFonts w:ascii="Times New Roman" w:hAnsi="Times New Roman"/>
          <w:sz w:val="24"/>
          <w:szCs w:val="24"/>
        </w:rPr>
        <w:t xml:space="preserve"> </w:t>
      </w:r>
      <w:r w:rsidRPr="00FB5A28">
        <w:rPr>
          <w:rFonts w:ascii="Times New Roman" w:hAnsi="Times New Roman"/>
          <w:sz w:val="24"/>
          <w:szCs w:val="24"/>
        </w:rPr>
        <w:t>у</w:t>
      </w:r>
      <w:r w:rsidR="00717D0E" w:rsidRPr="00FB5A28">
        <w:rPr>
          <w:rFonts w:ascii="Times New Roman" w:hAnsi="Times New Roman"/>
          <w:sz w:val="24"/>
          <w:szCs w:val="24"/>
        </w:rPr>
        <w:t xml:space="preserve"> </w:t>
      </w:r>
      <w:r w:rsidRPr="00FB5A28">
        <w:rPr>
          <w:rFonts w:ascii="Times New Roman" w:hAnsi="Times New Roman"/>
          <w:sz w:val="24"/>
          <w:szCs w:val="24"/>
        </w:rPr>
        <w:t>поступку</w:t>
      </w:r>
      <w:r w:rsidR="00717D0E" w:rsidRPr="00FB5A28">
        <w:rPr>
          <w:rFonts w:ascii="Times New Roman" w:hAnsi="Times New Roman"/>
          <w:sz w:val="24"/>
          <w:szCs w:val="24"/>
        </w:rPr>
        <w:t xml:space="preserve"> </w:t>
      </w:r>
      <w:r w:rsidRPr="00FB5A28">
        <w:rPr>
          <w:rFonts w:ascii="Times New Roman" w:hAnsi="Times New Roman"/>
          <w:sz w:val="24"/>
          <w:szCs w:val="24"/>
        </w:rPr>
        <w:t>доношења</w:t>
      </w:r>
      <w:r w:rsidR="00717D0E" w:rsidRPr="00FB5A28">
        <w:rPr>
          <w:rFonts w:ascii="Times New Roman" w:hAnsi="Times New Roman"/>
          <w:sz w:val="24"/>
          <w:szCs w:val="24"/>
        </w:rPr>
        <w:t xml:space="preserve"> </w:t>
      </w:r>
      <w:r w:rsidR="001954C8" w:rsidRPr="00FB5A28">
        <w:rPr>
          <w:rFonts w:ascii="Times New Roman" w:hAnsi="Times New Roman"/>
          <w:sz w:val="24"/>
          <w:szCs w:val="24"/>
          <w:lang w:val="sr-Cyrl-CS"/>
        </w:rPr>
        <w:t xml:space="preserve">наведених </w:t>
      </w:r>
      <w:r w:rsidRPr="00FB5A28">
        <w:rPr>
          <w:rFonts w:ascii="Times New Roman" w:hAnsi="Times New Roman"/>
          <w:sz w:val="24"/>
          <w:szCs w:val="24"/>
        </w:rPr>
        <w:t>решења</w:t>
      </w:r>
      <w:r w:rsidR="00717D0E" w:rsidRPr="00FB5A28">
        <w:rPr>
          <w:rFonts w:ascii="Times New Roman" w:hAnsi="Times New Roman"/>
          <w:sz w:val="24"/>
          <w:szCs w:val="24"/>
        </w:rPr>
        <w:t xml:space="preserve"> </w:t>
      </w:r>
      <w:r w:rsidRPr="00FB5A28">
        <w:rPr>
          <w:rFonts w:ascii="Times New Roman" w:hAnsi="Times New Roman"/>
          <w:sz w:val="24"/>
          <w:szCs w:val="24"/>
        </w:rPr>
        <w:t>утврди</w:t>
      </w:r>
      <w:r w:rsidR="00717D0E" w:rsidRPr="00FB5A28">
        <w:rPr>
          <w:rFonts w:ascii="Times New Roman" w:hAnsi="Times New Roman"/>
          <w:sz w:val="24"/>
          <w:szCs w:val="24"/>
        </w:rPr>
        <w:t xml:space="preserve"> </w:t>
      </w:r>
      <w:r w:rsidRPr="00FB5A28">
        <w:rPr>
          <w:rFonts w:ascii="Times New Roman" w:hAnsi="Times New Roman"/>
          <w:sz w:val="24"/>
          <w:szCs w:val="24"/>
        </w:rPr>
        <w:t>да</w:t>
      </w:r>
      <w:r w:rsidR="00717D0E" w:rsidRPr="00FB5A28">
        <w:rPr>
          <w:rFonts w:ascii="Times New Roman" w:hAnsi="Times New Roman"/>
          <w:sz w:val="24"/>
          <w:szCs w:val="24"/>
        </w:rPr>
        <w:t xml:space="preserve"> </w:t>
      </w:r>
      <w:r w:rsidRPr="00FB5A28">
        <w:rPr>
          <w:rFonts w:ascii="Times New Roman" w:hAnsi="Times New Roman"/>
          <w:sz w:val="24"/>
          <w:szCs w:val="24"/>
        </w:rPr>
        <w:t>подаци</w:t>
      </w:r>
      <w:r w:rsidR="00717D0E" w:rsidRPr="00FB5A28">
        <w:rPr>
          <w:rFonts w:ascii="Times New Roman" w:hAnsi="Times New Roman"/>
          <w:sz w:val="24"/>
          <w:szCs w:val="24"/>
        </w:rPr>
        <w:t xml:space="preserve"> </w:t>
      </w:r>
      <w:r w:rsidRPr="00FB5A28">
        <w:rPr>
          <w:rFonts w:ascii="Times New Roman" w:hAnsi="Times New Roman"/>
          <w:sz w:val="24"/>
          <w:szCs w:val="24"/>
        </w:rPr>
        <w:t>из</w:t>
      </w:r>
      <w:r w:rsidR="00717D0E" w:rsidRPr="00FB5A28">
        <w:rPr>
          <w:rFonts w:ascii="Times New Roman" w:hAnsi="Times New Roman"/>
          <w:sz w:val="24"/>
          <w:szCs w:val="24"/>
        </w:rPr>
        <w:t xml:space="preserve"> </w:t>
      </w:r>
      <w:r w:rsidRPr="00FB5A28">
        <w:rPr>
          <w:rFonts w:ascii="Times New Roman" w:hAnsi="Times New Roman"/>
          <w:sz w:val="24"/>
          <w:szCs w:val="24"/>
        </w:rPr>
        <w:t>пореске</w:t>
      </w:r>
      <w:r w:rsidR="00717D0E" w:rsidRPr="00FB5A28">
        <w:rPr>
          <w:rFonts w:ascii="Times New Roman" w:hAnsi="Times New Roman"/>
          <w:sz w:val="24"/>
          <w:szCs w:val="24"/>
        </w:rPr>
        <w:t xml:space="preserve"> </w:t>
      </w:r>
      <w:r w:rsidRPr="00FB5A28">
        <w:rPr>
          <w:rFonts w:ascii="Times New Roman" w:hAnsi="Times New Roman"/>
          <w:sz w:val="24"/>
          <w:szCs w:val="24"/>
        </w:rPr>
        <w:t>пријаве</w:t>
      </w:r>
      <w:r w:rsidR="00717D0E" w:rsidRPr="00FB5A28">
        <w:rPr>
          <w:rFonts w:ascii="Times New Roman" w:hAnsi="Times New Roman"/>
          <w:sz w:val="24"/>
          <w:szCs w:val="24"/>
        </w:rPr>
        <w:t xml:space="preserve">, </w:t>
      </w:r>
      <w:r w:rsidRPr="00FB5A28">
        <w:rPr>
          <w:rFonts w:ascii="Times New Roman" w:hAnsi="Times New Roman"/>
          <w:sz w:val="24"/>
          <w:szCs w:val="24"/>
        </w:rPr>
        <w:t>пословних</w:t>
      </w:r>
      <w:r w:rsidR="00717D0E" w:rsidRPr="00FB5A28">
        <w:rPr>
          <w:rFonts w:ascii="Times New Roman" w:hAnsi="Times New Roman"/>
          <w:sz w:val="24"/>
          <w:szCs w:val="24"/>
        </w:rPr>
        <w:t xml:space="preserve"> </w:t>
      </w:r>
      <w:r w:rsidRPr="00FB5A28">
        <w:rPr>
          <w:rFonts w:ascii="Times New Roman" w:hAnsi="Times New Roman"/>
          <w:sz w:val="24"/>
          <w:szCs w:val="24"/>
        </w:rPr>
        <w:t>књига</w:t>
      </w:r>
      <w:r w:rsidR="00717D0E" w:rsidRPr="00FB5A28">
        <w:rPr>
          <w:rFonts w:ascii="Times New Roman" w:hAnsi="Times New Roman"/>
          <w:sz w:val="24"/>
          <w:szCs w:val="24"/>
        </w:rPr>
        <w:t xml:space="preserve"> </w:t>
      </w:r>
      <w:r w:rsidRPr="00FB5A28">
        <w:rPr>
          <w:rFonts w:ascii="Times New Roman" w:hAnsi="Times New Roman"/>
          <w:sz w:val="24"/>
          <w:szCs w:val="24"/>
        </w:rPr>
        <w:t>и</w:t>
      </w:r>
      <w:r w:rsidR="00717D0E" w:rsidRPr="00FB5A28">
        <w:rPr>
          <w:rFonts w:ascii="Times New Roman" w:hAnsi="Times New Roman"/>
          <w:sz w:val="24"/>
          <w:szCs w:val="24"/>
        </w:rPr>
        <w:t xml:space="preserve"> </w:t>
      </w:r>
      <w:r w:rsidRPr="00FB5A28">
        <w:rPr>
          <w:rFonts w:ascii="Times New Roman" w:hAnsi="Times New Roman"/>
          <w:sz w:val="24"/>
          <w:szCs w:val="24"/>
        </w:rPr>
        <w:t>евиденција</w:t>
      </w:r>
      <w:r w:rsidR="00717D0E" w:rsidRPr="00FB5A28">
        <w:rPr>
          <w:rFonts w:ascii="Times New Roman" w:hAnsi="Times New Roman"/>
          <w:sz w:val="24"/>
          <w:szCs w:val="24"/>
        </w:rPr>
        <w:t xml:space="preserve"> </w:t>
      </w:r>
      <w:r w:rsidRPr="00FB5A28">
        <w:rPr>
          <w:rFonts w:ascii="Times New Roman" w:hAnsi="Times New Roman"/>
          <w:sz w:val="24"/>
          <w:szCs w:val="24"/>
        </w:rPr>
        <w:t>не</w:t>
      </w:r>
      <w:r w:rsidR="00717D0E" w:rsidRPr="00FB5A28">
        <w:rPr>
          <w:rFonts w:ascii="Times New Roman" w:hAnsi="Times New Roman"/>
          <w:sz w:val="24"/>
          <w:szCs w:val="24"/>
        </w:rPr>
        <w:t xml:space="preserve"> </w:t>
      </w:r>
      <w:r w:rsidRPr="00FB5A28">
        <w:rPr>
          <w:rFonts w:ascii="Times New Roman" w:hAnsi="Times New Roman"/>
          <w:sz w:val="24"/>
          <w:szCs w:val="24"/>
        </w:rPr>
        <w:t>одговарају</w:t>
      </w:r>
      <w:r w:rsidR="00717D0E" w:rsidRPr="00FB5A28">
        <w:rPr>
          <w:rFonts w:ascii="Times New Roman" w:hAnsi="Times New Roman"/>
          <w:sz w:val="24"/>
          <w:szCs w:val="24"/>
        </w:rPr>
        <w:t xml:space="preserve"> </w:t>
      </w:r>
      <w:r w:rsidRPr="00FB5A28">
        <w:rPr>
          <w:rFonts w:ascii="Times New Roman" w:hAnsi="Times New Roman"/>
          <w:sz w:val="24"/>
          <w:szCs w:val="24"/>
        </w:rPr>
        <w:t>стварном</w:t>
      </w:r>
      <w:r w:rsidR="00717D0E" w:rsidRPr="00FB5A28">
        <w:rPr>
          <w:rFonts w:ascii="Times New Roman" w:hAnsi="Times New Roman"/>
          <w:sz w:val="24"/>
          <w:szCs w:val="24"/>
        </w:rPr>
        <w:t xml:space="preserve"> </w:t>
      </w:r>
      <w:r w:rsidRPr="00FB5A28">
        <w:rPr>
          <w:rFonts w:ascii="Times New Roman" w:hAnsi="Times New Roman"/>
          <w:sz w:val="24"/>
          <w:szCs w:val="24"/>
        </w:rPr>
        <w:t>стању</w:t>
      </w:r>
      <w:r w:rsidR="00717D0E" w:rsidRPr="00FB5A28">
        <w:rPr>
          <w:rFonts w:ascii="Times New Roman" w:hAnsi="Times New Roman"/>
          <w:sz w:val="24"/>
          <w:szCs w:val="24"/>
        </w:rPr>
        <w:t xml:space="preserve">, </w:t>
      </w:r>
      <w:r w:rsidRPr="00FB5A28">
        <w:rPr>
          <w:rFonts w:ascii="Times New Roman" w:hAnsi="Times New Roman"/>
          <w:sz w:val="24"/>
          <w:szCs w:val="24"/>
        </w:rPr>
        <w:t>пореско</w:t>
      </w:r>
      <w:r w:rsidR="00717D0E" w:rsidRPr="00FB5A28">
        <w:rPr>
          <w:rFonts w:ascii="Times New Roman" w:hAnsi="Times New Roman"/>
          <w:sz w:val="24"/>
          <w:szCs w:val="24"/>
        </w:rPr>
        <w:t xml:space="preserve"> </w:t>
      </w:r>
      <w:r w:rsidRPr="00FB5A28">
        <w:rPr>
          <w:rFonts w:ascii="Times New Roman" w:hAnsi="Times New Roman"/>
          <w:sz w:val="24"/>
          <w:szCs w:val="24"/>
        </w:rPr>
        <w:t>решење</w:t>
      </w:r>
      <w:r w:rsidR="00717D0E" w:rsidRPr="00FB5A28">
        <w:rPr>
          <w:rFonts w:ascii="Times New Roman" w:hAnsi="Times New Roman"/>
          <w:sz w:val="24"/>
          <w:szCs w:val="24"/>
        </w:rPr>
        <w:t xml:space="preserve"> </w:t>
      </w:r>
      <w:r w:rsidRPr="00FB5A28">
        <w:rPr>
          <w:rFonts w:ascii="Times New Roman" w:hAnsi="Times New Roman"/>
          <w:sz w:val="24"/>
          <w:szCs w:val="24"/>
        </w:rPr>
        <w:t>о</w:t>
      </w:r>
      <w:r w:rsidR="00717D0E" w:rsidRPr="00FB5A28">
        <w:rPr>
          <w:rFonts w:ascii="Times New Roman" w:hAnsi="Times New Roman"/>
          <w:sz w:val="24"/>
          <w:szCs w:val="24"/>
        </w:rPr>
        <w:t xml:space="preserve"> </w:t>
      </w:r>
      <w:r w:rsidRPr="00FB5A28">
        <w:rPr>
          <w:rFonts w:ascii="Times New Roman" w:hAnsi="Times New Roman"/>
          <w:sz w:val="24"/>
          <w:szCs w:val="24"/>
        </w:rPr>
        <w:t>утврђивању</w:t>
      </w:r>
      <w:r w:rsidR="00717D0E" w:rsidRPr="00FB5A28">
        <w:rPr>
          <w:rFonts w:ascii="Times New Roman" w:hAnsi="Times New Roman"/>
          <w:sz w:val="24"/>
          <w:szCs w:val="24"/>
        </w:rPr>
        <w:t xml:space="preserve"> </w:t>
      </w:r>
      <w:r w:rsidRPr="00FB5A28">
        <w:rPr>
          <w:rFonts w:ascii="Times New Roman" w:hAnsi="Times New Roman"/>
          <w:sz w:val="24"/>
          <w:szCs w:val="24"/>
        </w:rPr>
        <w:t>пореза</w:t>
      </w:r>
      <w:r w:rsidR="00717D0E" w:rsidRPr="00FB5A28">
        <w:rPr>
          <w:rFonts w:ascii="Times New Roman" w:hAnsi="Times New Roman"/>
          <w:sz w:val="24"/>
          <w:szCs w:val="24"/>
        </w:rPr>
        <w:t xml:space="preserve"> </w:t>
      </w:r>
      <w:r w:rsidRPr="00FB5A28">
        <w:rPr>
          <w:rFonts w:ascii="Times New Roman" w:hAnsi="Times New Roman"/>
          <w:sz w:val="24"/>
          <w:szCs w:val="24"/>
        </w:rPr>
        <w:t>донеће</w:t>
      </w:r>
      <w:r w:rsidR="00717D0E" w:rsidRPr="00FB5A28">
        <w:rPr>
          <w:rFonts w:ascii="Times New Roman" w:hAnsi="Times New Roman"/>
          <w:sz w:val="24"/>
          <w:szCs w:val="24"/>
        </w:rPr>
        <w:t xml:space="preserve"> </w:t>
      </w:r>
      <w:r w:rsidRPr="00FB5A28">
        <w:rPr>
          <w:rFonts w:ascii="Times New Roman" w:hAnsi="Times New Roman"/>
          <w:sz w:val="24"/>
          <w:szCs w:val="24"/>
        </w:rPr>
        <w:t>се</w:t>
      </w:r>
      <w:r w:rsidR="00717D0E" w:rsidRPr="00FB5A28">
        <w:rPr>
          <w:rFonts w:ascii="Times New Roman" w:hAnsi="Times New Roman"/>
          <w:sz w:val="24"/>
          <w:szCs w:val="24"/>
        </w:rPr>
        <w:t xml:space="preserve"> </w:t>
      </w:r>
      <w:r w:rsidRPr="00FB5A28">
        <w:rPr>
          <w:rFonts w:ascii="Times New Roman" w:hAnsi="Times New Roman"/>
          <w:sz w:val="24"/>
          <w:szCs w:val="24"/>
        </w:rPr>
        <w:t>на</w:t>
      </w:r>
      <w:r w:rsidR="00717D0E" w:rsidRPr="00FB5A28">
        <w:rPr>
          <w:rFonts w:ascii="Times New Roman" w:hAnsi="Times New Roman"/>
          <w:sz w:val="24"/>
          <w:szCs w:val="24"/>
        </w:rPr>
        <w:t xml:space="preserve"> </w:t>
      </w:r>
      <w:r w:rsidRPr="00FB5A28">
        <w:rPr>
          <w:rFonts w:ascii="Times New Roman" w:hAnsi="Times New Roman"/>
          <w:sz w:val="24"/>
          <w:szCs w:val="24"/>
        </w:rPr>
        <w:t>основу</w:t>
      </w:r>
      <w:r w:rsidR="00717D0E" w:rsidRPr="00FB5A28">
        <w:rPr>
          <w:rFonts w:ascii="Times New Roman" w:hAnsi="Times New Roman"/>
          <w:sz w:val="24"/>
          <w:szCs w:val="24"/>
        </w:rPr>
        <w:t xml:space="preserve"> </w:t>
      </w:r>
      <w:r w:rsidRPr="00FB5A28">
        <w:rPr>
          <w:rFonts w:ascii="Times New Roman" w:hAnsi="Times New Roman"/>
          <w:sz w:val="24"/>
          <w:szCs w:val="24"/>
        </w:rPr>
        <w:t>процене</w:t>
      </w:r>
      <w:r w:rsidR="00717D0E" w:rsidRPr="00FB5A28">
        <w:rPr>
          <w:rFonts w:ascii="Times New Roman" w:hAnsi="Times New Roman"/>
          <w:sz w:val="24"/>
          <w:szCs w:val="24"/>
        </w:rPr>
        <w:t xml:space="preserve"> </w:t>
      </w:r>
      <w:r w:rsidRPr="00FB5A28">
        <w:rPr>
          <w:rFonts w:ascii="Times New Roman" w:hAnsi="Times New Roman"/>
          <w:sz w:val="24"/>
          <w:szCs w:val="24"/>
        </w:rPr>
        <w:t>пореске</w:t>
      </w:r>
      <w:r w:rsidR="001954C8" w:rsidRPr="00FB5A28">
        <w:rPr>
          <w:rFonts w:ascii="Times New Roman" w:hAnsi="Times New Roman"/>
          <w:sz w:val="24"/>
          <w:szCs w:val="24"/>
        </w:rPr>
        <w:t xml:space="preserve"> </w:t>
      </w:r>
      <w:r w:rsidRPr="00FB5A28">
        <w:rPr>
          <w:rFonts w:ascii="Times New Roman" w:hAnsi="Times New Roman"/>
          <w:sz w:val="24"/>
          <w:szCs w:val="24"/>
        </w:rPr>
        <w:t>основице</w:t>
      </w:r>
      <w:r w:rsidR="00717D0E" w:rsidRPr="00FB5A28">
        <w:rPr>
          <w:rFonts w:ascii="Times New Roman" w:hAnsi="Times New Roman"/>
          <w:sz w:val="24"/>
          <w:szCs w:val="24"/>
        </w:rPr>
        <w:t>.</w:t>
      </w:r>
    </w:p>
    <w:p w:rsidR="001954C8" w:rsidRPr="00FB5A28" w:rsidRDefault="005F720D" w:rsidP="00FB5A28">
      <w:pPr>
        <w:ind w:firstLine="708"/>
        <w:jc w:val="both"/>
        <w:rPr>
          <w:rFonts w:ascii="Times New Roman" w:hAnsi="Times New Roman"/>
          <w:sz w:val="24"/>
          <w:szCs w:val="24"/>
          <w:lang w:val="sr-Cyrl-CS"/>
        </w:rPr>
      </w:pPr>
      <w:r w:rsidRPr="00FB5A28">
        <w:rPr>
          <w:rFonts w:ascii="Times New Roman" w:hAnsi="Times New Roman"/>
          <w:sz w:val="24"/>
          <w:szCs w:val="24"/>
        </w:rPr>
        <w:t>Процена</w:t>
      </w:r>
      <w:r w:rsidR="00717D0E" w:rsidRPr="00FB5A28">
        <w:rPr>
          <w:rFonts w:ascii="Times New Roman" w:hAnsi="Times New Roman"/>
          <w:sz w:val="24"/>
          <w:szCs w:val="24"/>
        </w:rPr>
        <w:t xml:space="preserve"> </w:t>
      </w:r>
      <w:r w:rsidRPr="00FB5A28">
        <w:rPr>
          <w:rFonts w:ascii="Times New Roman" w:hAnsi="Times New Roman"/>
          <w:sz w:val="24"/>
          <w:szCs w:val="24"/>
        </w:rPr>
        <w:t>пореске</w:t>
      </w:r>
      <w:r w:rsidR="00717D0E" w:rsidRPr="00FB5A28">
        <w:rPr>
          <w:rFonts w:ascii="Times New Roman" w:hAnsi="Times New Roman"/>
          <w:sz w:val="24"/>
          <w:szCs w:val="24"/>
        </w:rPr>
        <w:t xml:space="preserve"> </w:t>
      </w:r>
      <w:r w:rsidRPr="00FB5A28">
        <w:rPr>
          <w:rFonts w:ascii="Times New Roman" w:hAnsi="Times New Roman"/>
          <w:sz w:val="24"/>
          <w:szCs w:val="24"/>
        </w:rPr>
        <w:t>основице</w:t>
      </w:r>
      <w:r w:rsidR="00717D0E" w:rsidRPr="00FB5A28">
        <w:rPr>
          <w:rFonts w:ascii="Times New Roman" w:hAnsi="Times New Roman"/>
          <w:sz w:val="24"/>
          <w:szCs w:val="24"/>
        </w:rPr>
        <w:t xml:space="preserve"> </w:t>
      </w:r>
      <w:r w:rsidRPr="00FB5A28">
        <w:rPr>
          <w:rFonts w:ascii="Times New Roman" w:hAnsi="Times New Roman"/>
          <w:sz w:val="24"/>
          <w:szCs w:val="24"/>
        </w:rPr>
        <w:t>може</w:t>
      </w:r>
      <w:r w:rsidR="00717D0E" w:rsidRPr="00FB5A28">
        <w:rPr>
          <w:rFonts w:ascii="Times New Roman" w:hAnsi="Times New Roman"/>
          <w:sz w:val="24"/>
          <w:szCs w:val="24"/>
        </w:rPr>
        <w:t xml:space="preserve"> </w:t>
      </w:r>
      <w:r w:rsidRPr="00FB5A28">
        <w:rPr>
          <w:rFonts w:ascii="Times New Roman" w:hAnsi="Times New Roman"/>
          <w:sz w:val="24"/>
          <w:szCs w:val="24"/>
        </w:rPr>
        <w:t>се</w:t>
      </w:r>
      <w:r w:rsidR="00717D0E" w:rsidRPr="00FB5A28">
        <w:rPr>
          <w:rFonts w:ascii="Times New Roman" w:hAnsi="Times New Roman"/>
          <w:sz w:val="24"/>
          <w:szCs w:val="24"/>
        </w:rPr>
        <w:t xml:space="preserve"> </w:t>
      </w:r>
      <w:r w:rsidRPr="00FB5A28">
        <w:rPr>
          <w:rFonts w:ascii="Times New Roman" w:hAnsi="Times New Roman"/>
          <w:sz w:val="24"/>
          <w:szCs w:val="24"/>
        </w:rPr>
        <w:t>утврдити</w:t>
      </w:r>
      <w:r w:rsidR="00717D0E" w:rsidRPr="00FB5A28">
        <w:rPr>
          <w:rFonts w:ascii="Times New Roman" w:hAnsi="Times New Roman"/>
          <w:sz w:val="24"/>
          <w:szCs w:val="24"/>
        </w:rPr>
        <w:t xml:space="preserve"> </w:t>
      </w:r>
      <w:r w:rsidRPr="00FB5A28">
        <w:rPr>
          <w:rFonts w:ascii="Times New Roman" w:hAnsi="Times New Roman"/>
          <w:sz w:val="24"/>
          <w:szCs w:val="24"/>
        </w:rPr>
        <w:t>применом</w:t>
      </w:r>
      <w:r w:rsidR="00717D0E" w:rsidRPr="00FB5A28">
        <w:rPr>
          <w:rFonts w:ascii="Times New Roman" w:hAnsi="Times New Roman"/>
          <w:sz w:val="24"/>
          <w:szCs w:val="24"/>
        </w:rPr>
        <w:t xml:space="preserve"> </w:t>
      </w:r>
      <w:r w:rsidRPr="00FB5A28">
        <w:rPr>
          <w:rFonts w:ascii="Times New Roman" w:hAnsi="Times New Roman"/>
          <w:sz w:val="24"/>
          <w:szCs w:val="24"/>
        </w:rPr>
        <w:t>једног</w:t>
      </w:r>
      <w:r w:rsidR="00717D0E" w:rsidRPr="00FB5A28">
        <w:rPr>
          <w:rFonts w:ascii="Times New Roman" w:hAnsi="Times New Roman"/>
          <w:sz w:val="24"/>
          <w:szCs w:val="24"/>
        </w:rPr>
        <w:t xml:space="preserve"> </w:t>
      </w:r>
      <w:r w:rsidRPr="00FB5A28">
        <w:rPr>
          <w:rFonts w:ascii="Times New Roman" w:hAnsi="Times New Roman"/>
          <w:sz w:val="24"/>
          <w:szCs w:val="24"/>
        </w:rPr>
        <w:t>од</w:t>
      </w:r>
      <w:r w:rsidR="00717D0E" w:rsidRPr="00FB5A28">
        <w:rPr>
          <w:rFonts w:ascii="Times New Roman" w:hAnsi="Times New Roman"/>
          <w:sz w:val="24"/>
          <w:szCs w:val="24"/>
        </w:rPr>
        <w:t xml:space="preserve"> </w:t>
      </w:r>
      <w:r w:rsidRPr="00FB5A28">
        <w:rPr>
          <w:rFonts w:ascii="Times New Roman" w:hAnsi="Times New Roman"/>
          <w:sz w:val="24"/>
          <w:szCs w:val="24"/>
        </w:rPr>
        <w:t>следећих</w:t>
      </w:r>
      <w:r w:rsidR="00717D0E" w:rsidRPr="00FB5A28">
        <w:rPr>
          <w:rFonts w:ascii="Times New Roman" w:hAnsi="Times New Roman"/>
          <w:sz w:val="24"/>
          <w:szCs w:val="24"/>
        </w:rPr>
        <w:t xml:space="preserve"> </w:t>
      </w:r>
      <w:r w:rsidRPr="00FB5A28">
        <w:rPr>
          <w:rFonts w:ascii="Times New Roman" w:hAnsi="Times New Roman"/>
          <w:sz w:val="24"/>
          <w:szCs w:val="24"/>
        </w:rPr>
        <w:t>метода</w:t>
      </w:r>
      <w:r w:rsidR="00717D0E" w:rsidRPr="00FB5A28">
        <w:rPr>
          <w:rFonts w:ascii="Times New Roman" w:hAnsi="Times New Roman"/>
          <w:sz w:val="24"/>
          <w:szCs w:val="24"/>
        </w:rPr>
        <w:t>:</w:t>
      </w:r>
    </w:p>
    <w:p w:rsidR="00717D0E" w:rsidRPr="00FB5A28" w:rsidRDefault="00717D0E" w:rsidP="00FB5A28">
      <w:pPr>
        <w:jc w:val="both"/>
        <w:rPr>
          <w:rFonts w:ascii="Times New Roman" w:hAnsi="Times New Roman"/>
          <w:sz w:val="24"/>
          <w:szCs w:val="24"/>
        </w:rPr>
      </w:pPr>
      <w:r w:rsidRPr="00FB5A28">
        <w:rPr>
          <w:rFonts w:ascii="Times New Roman" w:hAnsi="Times New Roman"/>
          <w:sz w:val="24"/>
          <w:szCs w:val="24"/>
        </w:rPr>
        <w:t xml:space="preserve">1) </w:t>
      </w:r>
      <w:r w:rsidR="005F720D" w:rsidRPr="00FB5A28">
        <w:rPr>
          <w:rFonts w:ascii="Times New Roman" w:hAnsi="Times New Roman"/>
          <w:sz w:val="24"/>
          <w:szCs w:val="24"/>
        </w:rPr>
        <w:t>методом</w:t>
      </w:r>
      <w:r w:rsidRPr="00FB5A28">
        <w:rPr>
          <w:rFonts w:ascii="Times New Roman" w:hAnsi="Times New Roman"/>
          <w:sz w:val="24"/>
          <w:szCs w:val="24"/>
        </w:rPr>
        <w:t xml:space="preserve"> </w:t>
      </w:r>
      <w:r w:rsidR="005F720D" w:rsidRPr="00FB5A28">
        <w:rPr>
          <w:rFonts w:ascii="Times New Roman" w:hAnsi="Times New Roman"/>
          <w:sz w:val="24"/>
          <w:szCs w:val="24"/>
        </w:rPr>
        <w:t>парификације</w:t>
      </w:r>
      <w:r w:rsidRPr="00FB5A28">
        <w:rPr>
          <w:rFonts w:ascii="Times New Roman" w:hAnsi="Times New Roman"/>
          <w:sz w:val="24"/>
          <w:szCs w:val="24"/>
        </w:rPr>
        <w:t>;</w:t>
      </w:r>
    </w:p>
    <w:p w:rsidR="001954C8" w:rsidRPr="00FB5A28" w:rsidRDefault="00717D0E" w:rsidP="00FB5A28">
      <w:pPr>
        <w:jc w:val="both"/>
        <w:rPr>
          <w:rFonts w:ascii="Times New Roman" w:hAnsi="Times New Roman"/>
          <w:sz w:val="24"/>
          <w:szCs w:val="24"/>
          <w:lang w:val="sr-Cyrl-CS"/>
        </w:rPr>
      </w:pPr>
      <w:r w:rsidRPr="00FB5A28">
        <w:rPr>
          <w:rFonts w:ascii="Times New Roman" w:hAnsi="Times New Roman"/>
          <w:sz w:val="24"/>
          <w:szCs w:val="24"/>
        </w:rPr>
        <w:t xml:space="preserve">2) </w:t>
      </w:r>
      <w:r w:rsidR="005F720D" w:rsidRPr="00FB5A28">
        <w:rPr>
          <w:rFonts w:ascii="Times New Roman" w:hAnsi="Times New Roman"/>
          <w:sz w:val="24"/>
          <w:szCs w:val="24"/>
        </w:rPr>
        <w:t>методом</w:t>
      </w:r>
      <w:r w:rsidRPr="00FB5A28">
        <w:rPr>
          <w:rFonts w:ascii="Times New Roman" w:hAnsi="Times New Roman"/>
          <w:sz w:val="24"/>
          <w:szCs w:val="24"/>
        </w:rPr>
        <w:t xml:space="preserve"> </w:t>
      </w:r>
      <w:r w:rsidR="005F720D" w:rsidRPr="00FB5A28">
        <w:rPr>
          <w:rFonts w:ascii="Times New Roman" w:hAnsi="Times New Roman"/>
          <w:sz w:val="24"/>
          <w:szCs w:val="24"/>
        </w:rPr>
        <w:t>унакрсне</w:t>
      </w:r>
      <w:r w:rsidRPr="00FB5A28">
        <w:rPr>
          <w:rFonts w:ascii="Times New Roman" w:hAnsi="Times New Roman"/>
          <w:sz w:val="24"/>
          <w:szCs w:val="24"/>
        </w:rPr>
        <w:t xml:space="preserve"> </w:t>
      </w:r>
      <w:r w:rsidR="005F720D" w:rsidRPr="00FB5A28">
        <w:rPr>
          <w:rFonts w:ascii="Times New Roman" w:hAnsi="Times New Roman"/>
          <w:sz w:val="24"/>
          <w:szCs w:val="24"/>
        </w:rPr>
        <w:t>процене</w:t>
      </w:r>
      <w:r w:rsidRPr="00FB5A28">
        <w:rPr>
          <w:rFonts w:ascii="Times New Roman" w:hAnsi="Times New Roman"/>
          <w:sz w:val="24"/>
          <w:szCs w:val="24"/>
        </w:rPr>
        <w:t>.</w:t>
      </w:r>
    </w:p>
    <w:p w:rsidR="001954C8" w:rsidRPr="00FB5A28" w:rsidRDefault="005F720D" w:rsidP="00FB5A28">
      <w:pPr>
        <w:ind w:firstLine="708"/>
        <w:jc w:val="both"/>
        <w:rPr>
          <w:rFonts w:ascii="Times New Roman" w:hAnsi="Times New Roman"/>
          <w:sz w:val="24"/>
          <w:szCs w:val="24"/>
          <w:lang w:val="sr-Cyrl-CS"/>
        </w:rPr>
      </w:pPr>
      <w:bookmarkStart w:id="58" w:name="str_72"/>
      <w:bookmarkEnd w:id="58"/>
      <w:r w:rsidRPr="00FB5A28">
        <w:rPr>
          <w:rFonts w:ascii="Times New Roman" w:hAnsi="Times New Roman"/>
          <w:sz w:val="24"/>
          <w:szCs w:val="24"/>
        </w:rPr>
        <w:t>Процена</w:t>
      </w:r>
      <w:r w:rsidR="00717D0E" w:rsidRPr="00FB5A28">
        <w:rPr>
          <w:rFonts w:ascii="Times New Roman" w:hAnsi="Times New Roman"/>
          <w:sz w:val="24"/>
          <w:szCs w:val="24"/>
        </w:rPr>
        <w:t xml:space="preserve"> </w:t>
      </w:r>
      <w:r w:rsidRPr="00FB5A28">
        <w:rPr>
          <w:rFonts w:ascii="Times New Roman" w:hAnsi="Times New Roman"/>
          <w:sz w:val="24"/>
          <w:szCs w:val="24"/>
        </w:rPr>
        <w:t>пореске</w:t>
      </w:r>
      <w:r w:rsidR="00717D0E" w:rsidRPr="00FB5A28">
        <w:rPr>
          <w:rFonts w:ascii="Times New Roman" w:hAnsi="Times New Roman"/>
          <w:sz w:val="24"/>
          <w:szCs w:val="24"/>
        </w:rPr>
        <w:t xml:space="preserve"> </w:t>
      </w:r>
      <w:r w:rsidRPr="00FB5A28">
        <w:rPr>
          <w:rFonts w:ascii="Times New Roman" w:hAnsi="Times New Roman"/>
          <w:sz w:val="24"/>
          <w:szCs w:val="24"/>
        </w:rPr>
        <w:t>основице</w:t>
      </w:r>
      <w:r w:rsidR="00717D0E" w:rsidRPr="00FB5A28">
        <w:rPr>
          <w:rFonts w:ascii="Times New Roman" w:hAnsi="Times New Roman"/>
          <w:sz w:val="24"/>
          <w:szCs w:val="24"/>
        </w:rPr>
        <w:t xml:space="preserve"> </w:t>
      </w:r>
      <w:r w:rsidRPr="00FB5A28">
        <w:rPr>
          <w:rFonts w:ascii="Times New Roman" w:hAnsi="Times New Roman"/>
          <w:sz w:val="24"/>
          <w:szCs w:val="24"/>
        </w:rPr>
        <w:t>методом</w:t>
      </w:r>
      <w:r w:rsidR="00717D0E" w:rsidRPr="00FB5A28">
        <w:rPr>
          <w:rFonts w:ascii="Times New Roman" w:hAnsi="Times New Roman"/>
          <w:sz w:val="24"/>
          <w:szCs w:val="24"/>
        </w:rPr>
        <w:t xml:space="preserve"> </w:t>
      </w:r>
      <w:r w:rsidRPr="00FB5A28">
        <w:rPr>
          <w:rFonts w:ascii="Times New Roman" w:hAnsi="Times New Roman"/>
          <w:sz w:val="24"/>
          <w:szCs w:val="24"/>
        </w:rPr>
        <w:t>парификације</w:t>
      </w:r>
      <w:r w:rsidR="001954C8" w:rsidRPr="00FB5A28">
        <w:rPr>
          <w:rFonts w:ascii="Times New Roman" w:hAnsi="Times New Roman"/>
          <w:sz w:val="24"/>
          <w:szCs w:val="24"/>
        </w:rPr>
        <w:t xml:space="preserve"> </w:t>
      </w:r>
      <w:r w:rsidRPr="00FB5A28">
        <w:rPr>
          <w:rFonts w:ascii="Times New Roman" w:hAnsi="Times New Roman"/>
          <w:sz w:val="24"/>
          <w:szCs w:val="24"/>
        </w:rPr>
        <w:t>врши</w:t>
      </w:r>
      <w:r w:rsidR="001954C8" w:rsidRPr="00FB5A28">
        <w:rPr>
          <w:rFonts w:ascii="Times New Roman" w:hAnsi="Times New Roman"/>
          <w:sz w:val="24"/>
          <w:szCs w:val="24"/>
        </w:rPr>
        <w:t xml:space="preserve"> </w:t>
      </w:r>
      <w:r w:rsidRPr="00FB5A28">
        <w:rPr>
          <w:rFonts w:ascii="Times New Roman" w:hAnsi="Times New Roman"/>
          <w:sz w:val="24"/>
          <w:szCs w:val="24"/>
        </w:rPr>
        <w:t>се</w:t>
      </w:r>
      <w:r w:rsidR="001954C8" w:rsidRPr="00FB5A28">
        <w:rPr>
          <w:rFonts w:ascii="Times New Roman" w:hAnsi="Times New Roman"/>
          <w:sz w:val="24"/>
          <w:szCs w:val="24"/>
        </w:rPr>
        <w:t xml:space="preserve"> </w:t>
      </w:r>
      <w:r w:rsidRPr="00FB5A28">
        <w:rPr>
          <w:rFonts w:ascii="Times New Roman" w:hAnsi="Times New Roman"/>
          <w:sz w:val="24"/>
          <w:szCs w:val="24"/>
        </w:rPr>
        <w:t>на</w:t>
      </w:r>
      <w:r w:rsidR="001954C8" w:rsidRPr="00FB5A28">
        <w:rPr>
          <w:rFonts w:ascii="Times New Roman" w:hAnsi="Times New Roman"/>
          <w:sz w:val="24"/>
          <w:szCs w:val="24"/>
        </w:rPr>
        <w:t xml:space="preserve"> </w:t>
      </w:r>
      <w:r w:rsidRPr="00FB5A28">
        <w:rPr>
          <w:rFonts w:ascii="Times New Roman" w:hAnsi="Times New Roman"/>
          <w:sz w:val="24"/>
          <w:szCs w:val="24"/>
        </w:rPr>
        <w:t>један</w:t>
      </w:r>
      <w:r w:rsidR="001954C8" w:rsidRPr="00FB5A28">
        <w:rPr>
          <w:rFonts w:ascii="Times New Roman" w:hAnsi="Times New Roman"/>
          <w:sz w:val="24"/>
          <w:szCs w:val="24"/>
        </w:rPr>
        <w:t xml:space="preserve"> </w:t>
      </w:r>
      <w:r w:rsidRPr="00FB5A28">
        <w:rPr>
          <w:rFonts w:ascii="Times New Roman" w:hAnsi="Times New Roman"/>
          <w:sz w:val="24"/>
          <w:szCs w:val="24"/>
        </w:rPr>
        <w:t>од</w:t>
      </w:r>
      <w:r w:rsidR="001954C8" w:rsidRPr="00FB5A28">
        <w:rPr>
          <w:rFonts w:ascii="Times New Roman" w:hAnsi="Times New Roman"/>
          <w:sz w:val="24"/>
          <w:szCs w:val="24"/>
        </w:rPr>
        <w:t xml:space="preserve"> </w:t>
      </w:r>
      <w:r w:rsidRPr="00FB5A28">
        <w:rPr>
          <w:rFonts w:ascii="Times New Roman" w:hAnsi="Times New Roman"/>
          <w:sz w:val="24"/>
          <w:szCs w:val="24"/>
        </w:rPr>
        <w:t>следећ</w:t>
      </w:r>
      <w:r w:rsidR="001954C8" w:rsidRPr="00FB5A28">
        <w:rPr>
          <w:rFonts w:ascii="Times New Roman" w:hAnsi="Times New Roman"/>
          <w:sz w:val="24"/>
          <w:szCs w:val="24"/>
          <w:lang w:val="sr-Cyrl-CS"/>
        </w:rPr>
        <w:t xml:space="preserve">а три </w:t>
      </w:r>
      <w:r w:rsidR="00717D0E" w:rsidRPr="00FB5A28">
        <w:rPr>
          <w:rFonts w:ascii="Times New Roman" w:hAnsi="Times New Roman"/>
          <w:sz w:val="24"/>
          <w:szCs w:val="24"/>
        </w:rPr>
        <w:t xml:space="preserve"> </w:t>
      </w:r>
      <w:r w:rsidRPr="00FB5A28">
        <w:rPr>
          <w:rFonts w:ascii="Times New Roman" w:hAnsi="Times New Roman"/>
          <w:sz w:val="24"/>
          <w:szCs w:val="24"/>
        </w:rPr>
        <w:t>начина</w:t>
      </w:r>
      <w:r w:rsidR="00717D0E" w:rsidRPr="00FB5A28">
        <w:rPr>
          <w:rFonts w:ascii="Times New Roman" w:hAnsi="Times New Roman"/>
          <w:sz w:val="24"/>
          <w:szCs w:val="24"/>
        </w:rPr>
        <w:t>:</w:t>
      </w:r>
    </w:p>
    <w:p w:rsidR="00717D0E" w:rsidRPr="00FB5A28" w:rsidRDefault="00717D0E" w:rsidP="00FB5A28">
      <w:pPr>
        <w:jc w:val="both"/>
        <w:rPr>
          <w:rFonts w:ascii="Times New Roman" w:hAnsi="Times New Roman"/>
          <w:sz w:val="24"/>
          <w:szCs w:val="24"/>
        </w:rPr>
      </w:pPr>
      <w:r w:rsidRPr="00FB5A28">
        <w:rPr>
          <w:rFonts w:ascii="Times New Roman" w:hAnsi="Times New Roman"/>
          <w:sz w:val="24"/>
          <w:szCs w:val="24"/>
        </w:rPr>
        <w:t xml:space="preserve">1) </w:t>
      </w:r>
      <w:r w:rsidR="005F720D" w:rsidRPr="00FB5A28">
        <w:rPr>
          <w:rFonts w:ascii="Times New Roman" w:hAnsi="Times New Roman"/>
          <w:sz w:val="24"/>
          <w:szCs w:val="24"/>
        </w:rPr>
        <w:t>проценом</w:t>
      </w:r>
      <w:r w:rsidRPr="00FB5A28">
        <w:rPr>
          <w:rFonts w:ascii="Times New Roman" w:hAnsi="Times New Roman"/>
          <w:sz w:val="24"/>
          <w:szCs w:val="24"/>
        </w:rPr>
        <w:t xml:space="preserve"> </w:t>
      </w:r>
      <w:r w:rsidR="005F720D" w:rsidRPr="00FB5A28">
        <w:rPr>
          <w:rFonts w:ascii="Times New Roman" w:hAnsi="Times New Roman"/>
          <w:sz w:val="24"/>
          <w:szCs w:val="24"/>
        </w:rPr>
        <w:t>на</w:t>
      </w:r>
      <w:r w:rsidRPr="00FB5A28">
        <w:rPr>
          <w:rFonts w:ascii="Times New Roman" w:hAnsi="Times New Roman"/>
          <w:sz w:val="24"/>
          <w:szCs w:val="24"/>
        </w:rPr>
        <w:t xml:space="preserve"> </w:t>
      </w:r>
      <w:r w:rsidR="005F720D" w:rsidRPr="00FB5A28">
        <w:rPr>
          <w:rFonts w:ascii="Times New Roman" w:hAnsi="Times New Roman"/>
          <w:sz w:val="24"/>
          <w:szCs w:val="24"/>
        </w:rPr>
        <w:t>бази</w:t>
      </w:r>
      <w:r w:rsidRPr="00FB5A28">
        <w:rPr>
          <w:rFonts w:ascii="Times New Roman" w:hAnsi="Times New Roman"/>
          <w:sz w:val="24"/>
          <w:szCs w:val="24"/>
        </w:rPr>
        <w:t xml:space="preserve"> </w:t>
      </w:r>
      <w:r w:rsidR="005F720D" w:rsidRPr="00FB5A28">
        <w:rPr>
          <w:rFonts w:ascii="Times New Roman" w:hAnsi="Times New Roman"/>
          <w:sz w:val="24"/>
          <w:szCs w:val="24"/>
        </w:rPr>
        <w:t>расположиве</w:t>
      </w:r>
      <w:r w:rsidRPr="00FB5A28">
        <w:rPr>
          <w:rFonts w:ascii="Times New Roman" w:hAnsi="Times New Roman"/>
          <w:sz w:val="24"/>
          <w:szCs w:val="24"/>
        </w:rPr>
        <w:t xml:space="preserve"> </w:t>
      </w:r>
      <w:r w:rsidR="005F720D" w:rsidRPr="00FB5A28">
        <w:rPr>
          <w:rFonts w:ascii="Times New Roman" w:hAnsi="Times New Roman"/>
          <w:sz w:val="24"/>
          <w:szCs w:val="24"/>
        </w:rPr>
        <w:t>уредне</w:t>
      </w:r>
      <w:r w:rsidRPr="00FB5A28">
        <w:rPr>
          <w:rFonts w:ascii="Times New Roman" w:hAnsi="Times New Roman"/>
          <w:sz w:val="24"/>
          <w:szCs w:val="24"/>
        </w:rPr>
        <w:t xml:space="preserve"> </w:t>
      </w:r>
      <w:r w:rsidR="005F720D" w:rsidRPr="00FB5A28">
        <w:rPr>
          <w:rFonts w:ascii="Times New Roman" w:hAnsi="Times New Roman"/>
          <w:sz w:val="24"/>
          <w:szCs w:val="24"/>
        </w:rPr>
        <w:t>пословне</w:t>
      </w:r>
      <w:r w:rsidRPr="00FB5A28">
        <w:rPr>
          <w:rFonts w:ascii="Times New Roman" w:hAnsi="Times New Roman"/>
          <w:sz w:val="24"/>
          <w:szCs w:val="24"/>
        </w:rPr>
        <w:t xml:space="preserve"> </w:t>
      </w:r>
      <w:r w:rsidR="005F720D" w:rsidRPr="00FB5A28">
        <w:rPr>
          <w:rFonts w:ascii="Times New Roman" w:hAnsi="Times New Roman"/>
          <w:sz w:val="24"/>
          <w:szCs w:val="24"/>
        </w:rPr>
        <w:t>документације</w:t>
      </w:r>
      <w:r w:rsidRPr="00FB5A28">
        <w:rPr>
          <w:rFonts w:ascii="Times New Roman" w:hAnsi="Times New Roman"/>
          <w:sz w:val="24"/>
          <w:szCs w:val="24"/>
        </w:rPr>
        <w:t xml:space="preserve"> </w:t>
      </w:r>
      <w:r w:rsidR="005F720D" w:rsidRPr="00FB5A28">
        <w:rPr>
          <w:rFonts w:ascii="Times New Roman" w:hAnsi="Times New Roman"/>
          <w:sz w:val="24"/>
          <w:szCs w:val="24"/>
        </w:rPr>
        <w:t>о</w:t>
      </w:r>
      <w:r w:rsidRPr="00FB5A28">
        <w:rPr>
          <w:rFonts w:ascii="Times New Roman" w:hAnsi="Times New Roman"/>
          <w:sz w:val="24"/>
          <w:szCs w:val="24"/>
        </w:rPr>
        <w:t xml:space="preserve"> </w:t>
      </w:r>
      <w:r w:rsidR="005F720D" w:rsidRPr="00FB5A28">
        <w:rPr>
          <w:rFonts w:ascii="Times New Roman" w:hAnsi="Times New Roman"/>
          <w:sz w:val="24"/>
          <w:szCs w:val="24"/>
        </w:rPr>
        <w:t>пословању</w:t>
      </w:r>
      <w:r w:rsidRPr="00FB5A28">
        <w:rPr>
          <w:rFonts w:ascii="Times New Roman" w:hAnsi="Times New Roman"/>
          <w:sz w:val="24"/>
          <w:szCs w:val="24"/>
        </w:rPr>
        <w:t xml:space="preserve"> </w:t>
      </w:r>
      <w:r w:rsidR="005F720D" w:rsidRPr="00FB5A28">
        <w:rPr>
          <w:rFonts w:ascii="Times New Roman" w:hAnsi="Times New Roman"/>
          <w:sz w:val="24"/>
          <w:szCs w:val="24"/>
        </w:rPr>
        <w:t>у</w:t>
      </w:r>
      <w:r w:rsidRPr="00FB5A28">
        <w:rPr>
          <w:rFonts w:ascii="Times New Roman" w:hAnsi="Times New Roman"/>
          <w:sz w:val="24"/>
          <w:szCs w:val="24"/>
        </w:rPr>
        <w:t xml:space="preserve"> </w:t>
      </w:r>
      <w:r w:rsidR="005F720D" w:rsidRPr="00FB5A28">
        <w:rPr>
          <w:rFonts w:ascii="Times New Roman" w:hAnsi="Times New Roman"/>
          <w:sz w:val="24"/>
          <w:szCs w:val="24"/>
        </w:rPr>
        <w:t>одређеном</w:t>
      </w:r>
      <w:r w:rsidRPr="00FB5A28">
        <w:rPr>
          <w:rFonts w:ascii="Times New Roman" w:hAnsi="Times New Roman"/>
          <w:sz w:val="24"/>
          <w:szCs w:val="24"/>
        </w:rPr>
        <w:t xml:space="preserve"> </w:t>
      </w:r>
      <w:r w:rsidR="005F720D" w:rsidRPr="00FB5A28">
        <w:rPr>
          <w:rFonts w:ascii="Times New Roman" w:hAnsi="Times New Roman"/>
          <w:sz w:val="24"/>
          <w:szCs w:val="24"/>
        </w:rPr>
        <w:t>периоду</w:t>
      </w:r>
      <w:r w:rsidRPr="00FB5A28">
        <w:rPr>
          <w:rFonts w:ascii="Times New Roman" w:hAnsi="Times New Roman"/>
          <w:sz w:val="24"/>
          <w:szCs w:val="24"/>
        </w:rPr>
        <w:t xml:space="preserve"> </w:t>
      </w:r>
      <w:r w:rsidR="005F720D" w:rsidRPr="00FB5A28">
        <w:rPr>
          <w:rFonts w:ascii="Times New Roman" w:hAnsi="Times New Roman"/>
          <w:sz w:val="24"/>
          <w:szCs w:val="24"/>
        </w:rPr>
        <w:t>краћем</w:t>
      </w:r>
      <w:r w:rsidRPr="00FB5A28">
        <w:rPr>
          <w:rFonts w:ascii="Times New Roman" w:hAnsi="Times New Roman"/>
          <w:sz w:val="24"/>
          <w:szCs w:val="24"/>
        </w:rPr>
        <w:t xml:space="preserve"> </w:t>
      </w:r>
      <w:r w:rsidR="005F720D" w:rsidRPr="00FB5A28">
        <w:rPr>
          <w:rFonts w:ascii="Times New Roman" w:hAnsi="Times New Roman"/>
          <w:sz w:val="24"/>
          <w:szCs w:val="24"/>
        </w:rPr>
        <w:t>од</w:t>
      </w:r>
      <w:r w:rsidRPr="00FB5A28">
        <w:rPr>
          <w:rFonts w:ascii="Times New Roman" w:hAnsi="Times New Roman"/>
          <w:sz w:val="24"/>
          <w:szCs w:val="24"/>
        </w:rPr>
        <w:t xml:space="preserve"> </w:t>
      </w:r>
      <w:r w:rsidR="005F720D" w:rsidRPr="00FB5A28">
        <w:rPr>
          <w:rFonts w:ascii="Times New Roman" w:hAnsi="Times New Roman"/>
          <w:sz w:val="24"/>
          <w:szCs w:val="24"/>
        </w:rPr>
        <w:t>периода</w:t>
      </w:r>
      <w:r w:rsidRPr="00FB5A28">
        <w:rPr>
          <w:rFonts w:ascii="Times New Roman" w:hAnsi="Times New Roman"/>
          <w:sz w:val="24"/>
          <w:szCs w:val="24"/>
        </w:rPr>
        <w:t xml:space="preserve"> </w:t>
      </w:r>
      <w:r w:rsidR="005F720D" w:rsidRPr="00FB5A28">
        <w:rPr>
          <w:rFonts w:ascii="Times New Roman" w:hAnsi="Times New Roman"/>
          <w:sz w:val="24"/>
          <w:szCs w:val="24"/>
        </w:rPr>
        <w:t>опорезивања</w:t>
      </w:r>
      <w:r w:rsidRPr="00FB5A28">
        <w:rPr>
          <w:rFonts w:ascii="Times New Roman" w:hAnsi="Times New Roman"/>
          <w:sz w:val="24"/>
          <w:szCs w:val="24"/>
        </w:rPr>
        <w:t xml:space="preserve"> (</w:t>
      </w:r>
      <w:r w:rsidR="005F720D" w:rsidRPr="00FB5A28">
        <w:rPr>
          <w:rFonts w:ascii="Times New Roman" w:hAnsi="Times New Roman"/>
          <w:sz w:val="24"/>
          <w:szCs w:val="24"/>
        </w:rPr>
        <w:t>дневном</w:t>
      </w:r>
      <w:r w:rsidRPr="00FB5A28">
        <w:rPr>
          <w:rFonts w:ascii="Times New Roman" w:hAnsi="Times New Roman"/>
          <w:sz w:val="24"/>
          <w:szCs w:val="24"/>
        </w:rPr>
        <w:t xml:space="preserve">, </w:t>
      </w:r>
      <w:r w:rsidR="005F720D" w:rsidRPr="00FB5A28">
        <w:rPr>
          <w:rFonts w:ascii="Times New Roman" w:hAnsi="Times New Roman"/>
          <w:sz w:val="24"/>
          <w:szCs w:val="24"/>
        </w:rPr>
        <w:t>недељном</w:t>
      </w:r>
      <w:r w:rsidRPr="00FB5A28">
        <w:rPr>
          <w:rFonts w:ascii="Times New Roman" w:hAnsi="Times New Roman"/>
          <w:sz w:val="24"/>
          <w:szCs w:val="24"/>
        </w:rPr>
        <w:t xml:space="preserve"> </w:t>
      </w:r>
      <w:r w:rsidR="005F720D" w:rsidRPr="00FB5A28">
        <w:rPr>
          <w:rFonts w:ascii="Times New Roman" w:hAnsi="Times New Roman"/>
          <w:sz w:val="24"/>
          <w:szCs w:val="24"/>
        </w:rPr>
        <w:t>или</w:t>
      </w:r>
      <w:r w:rsidRPr="00FB5A28">
        <w:rPr>
          <w:rFonts w:ascii="Times New Roman" w:hAnsi="Times New Roman"/>
          <w:sz w:val="24"/>
          <w:szCs w:val="24"/>
        </w:rPr>
        <w:t xml:space="preserve"> </w:t>
      </w:r>
      <w:r w:rsidR="005F720D" w:rsidRPr="00FB5A28">
        <w:rPr>
          <w:rFonts w:ascii="Times New Roman" w:hAnsi="Times New Roman"/>
          <w:sz w:val="24"/>
          <w:szCs w:val="24"/>
        </w:rPr>
        <w:t>месечном</w:t>
      </w:r>
      <w:r w:rsidRPr="00FB5A28">
        <w:rPr>
          <w:rFonts w:ascii="Times New Roman" w:hAnsi="Times New Roman"/>
          <w:sz w:val="24"/>
          <w:szCs w:val="24"/>
        </w:rPr>
        <w:t xml:space="preserve">), </w:t>
      </w:r>
      <w:r w:rsidR="005F720D" w:rsidRPr="00FB5A28">
        <w:rPr>
          <w:rFonts w:ascii="Times New Roman" w:hAnsi="Times New Roman"/>
          <w:sz w:val="24"/>
          <w:szCs w:val="24"/>
        </w:rPr>
        <w:t>тако</w:t>
      </w:r>
      <w:r w:rsidRPr="00FB5A28">
        <w:rPr>
          <w:rFonts w:ascii="Times New Roman" w:hAnsi="Times New Roman"/>
          <w:sz w:val="24"/>
          <w:szCs w:val="24"/>
        </w:rPr>
        <w:t xml:space="preserve"> </w:t>
      </w:r>
      <w:r w:rsidR="005F720D" w:rsidRPr="00FB5A28">
        <w:rPr>
          <w:rFonts w:ascii="Times New Roman" w:hAnsi="Times New Roman"/>
          <w:sz w:val="24"/>
          <w:szCs w:val="24"/>
        </w:rPr>
        <w:t>што</w:t>
      </w:r>
      <w:r w:rsidRPr="00FB5A28">
        <w:rPr>
          <w:rFonts w:ascii="Times New Roman" w:hAnsi="Times New Roman"/>
          <w:sz w:val="24"/>
          <w:szCs w:val="24"/>
        </w:rPr>
        <w:t xml:space="preserve"> </w:t>
      </w:r>
      <w:r w:rsidR="005F720D" w:rsidRPr="00FB5A28">
        <w:rPr>
          <w:rFonts w:ascii="Times New Roman" w:hAnsi="Times New Roman"/>
          <w:sz w:val="24"/>
          <w:szCs w:val="24"/>
        </w:rPr>
        <w:t>се</w:t>
      </w:r>
      <w:r w:rsidRPr="00FB5A28">
        <w:rPr>
          <w:rFonts w:ascii="Times New Roman" w:hAnsi="Times New Roman"/>
          <w:sz w:val="24"/>
          <w:szCs w:val="24"/>
        </w:rPr>
        <w:t xml:space="preserve"> </w:t>
      </w:r>
      <w:r w:rsidR="005F720D" w:rsidRPr="00FB5A28">
        <w:rPr>
          <w:rFonts w:ascii="Times New Roman" w:hAnsi="Times New Roman"/>
          <w:sz w:val="24"/>
          <w:szCs w:val="24"/>
        </w:rPr>
        <w:t>на</w:t>
      </w:r>
      <w:r w:rsidRPr="00FB5A28">
        <w:rPr>
          <w:rFonts w:ascii="Times New Roman" w:hAnsi="Times New Roman"/>
          <w:sz w:val="24"/>
          <w:szCs w:val="24"/>
        </w:rPr>
        <w:t xml:space="preserve"> </w:t>
      </w:r>
      <w:r w:rsidR="005F720D" w:rsidRPr="00FB5A28">
        <w:rPr>
          <w:rFonts w:ascii="Times New Roman" w:hAnsi="Times New Roman"/>
          <w:sz w:val="24"/>
          <w:szCs w:val="24"/>
        </w:rPr>
        <w:t>основу</w:t>
      </w:r>
      <w:r w:rsidRPr="00FB5A28">
        <w:rPr>
          <w:rFonts w:ascii="Times New Roman" w:hAnsi="Times New Roman"/>
          <w:sz w:val="24"/>
          <w:szCs w:val="24"/>
        </w:rPr>
        <w:t xml:space="preserve"> </w:t>
      </w:r>
      <w:r w:rsidR="005F720D" w:rsidRPr="00FB5A28">
        <w:rPr>
          <w:rFonts w:ascii="Times New Roman" w:hAnsi="Times New Roman"/>
          <w:sz w:val="24"/>
          <w:szCs w:val="24"/>
        </w:rPr>
        <w:t>података</w:t>
      </w:r>
      <w:r w:rsidRPr="00FB5A28">
        <w:rPr>
          <w:rFonts w:ascii="Times New Roman" w:hAnsi="Times New Roman"/>
          <w:sz w:val="24"/>
          <w:szCs w:val="24"/>
        </w:rPr>
        <w:t xml:space="preserve"> </w:t>
      </w:r>
      <w:r w:rsidR="005F720D" w:rsidRPr="00FB5A28">
        <w:rPr>
          <w:rFonts w:ascii="Times New Roman" w:hAnsi="Times New Roman"/>
          <w:sz w:val="24"/>
          <w:szCs w:val="24"/>
        </w:rPr>
        <w:t>о</w:t>
      </w:r>
      <w:r w:rsidRPr="00FB5A28">
        <w:rPr>
          <w:rFonts w:ascii="Times New Roman" w:hAnsi="Times New Roman"/>
          <w:sz w:val="24"/>
          <w:szCs w:val="24"/>
        </w:rPr>
        <w:t xml:space="preserve"> </w:t>
      </w:r>
      <w:r w:rsidR="005F720D" w:rsidRPr="00FB5A28">
        <w:rPr>
          <w:rFonts w:ascii="Times New Roman" w:hAnsi="Times New Roman"/>
          <w:sz w:val="24"/>
          <w:szCs w:val="24"/>
        </w:rPr>
        <w:t>том</w:t>
      </w:r>
      <w:r w:rsidRPr="00FB5A28">
        <w:rPr>
          <w:rFonts w:ascii="Times New Roman" w:hAnsi="Times New Roman"/>
          <w:sz w:val="24"/>
          <w:szCs w:val="24"/>
        </w:rPr>
        <w:t xml:space="preserve"> </w:t>
      </w:r>
      <w:r w:rsidR="005F720D" w:rsidRPr="00FB5A28">
        <w:rPr>
          <w:rFonts w:ascii="Times New Roman" w:hAnsi="Times New Roman"/>
          <w:sz w:val="24"/>
          <w:szCs w:val="24"/>
        </w:rPr>
        <w:t>делу</w:t>
      </w:r>
      <w:r w:rsidRPr="00FB5A28">
        <w:rPr>
          <w:rFonts w:ascii="Times New Roman" w:hAnsi="Times New Roman"/>
          <w:sz w:val="24"/>
          <w:szCs w:val="24"/>
        </w:rPr>
        <w:t xml:space="preserve"> </w:t>
      </w:r>
      <w:r w:rsidR="005F720D" w:rsidRPr="00FB5A28">
        <w:rPr>
          <w:rFonts w:ascii="Times New Roman" w:hAnsi="Times New Roman"/>
          <w:sz w:val="24"/>
          <w:szCs w:val="24"/>
        </w:rPr>
        <w:t>пословања</w:t>
      </w:r>
      <w:r w:rsidRPr="00FB5A28">
        <w:rPr>
          <w:rFonts w:ascii="Times New Roman" w:hAnsi="Times New Roman"/>
          <w:sz w:val="24"/>
          <w:szCs w:val="24"/>
        </w:rPr>
        <w:t xml:space="preserve"> </w:t>
      </w:r>
      <w:r w:rsidR="005F720D" w:rsidRPr="00FB5A28">
        <w:rPr>
          <w:rFonts w:ascii="Times New Roman" w:hAnsi="Times New Roman"/>
          <w:sz w:val="24"/>
          <w:szCs w:val="24"/>
        </w:rPr>
        <w:t>процењује</w:t>
      </w:r>
      <w:r w:rsidRPr="00FB5A28">
        <w:rPr>
          <w:rFonts w:ascii="Times New Roman" w:hAnsi="Times New Roman"/>
          <w:sz w:val="24"/>
          <w:szCs w:val="24"/>
        </w:rPr>
        <w:t xml:space="preserve"> </w:t>
      </w:r>
      <w:r w:rsidR="005F720D" w:rsidRPr="00FB5A28">
        <w:rPr>
          <w:rFonts w:ascii="Times New Roman" w:hAnsi="Times New Roman"/>
          <w:sz w:val="24"/>
          <w:szCs w:val="24"/>
        </w:rPr>
        <w:t>пореска</w:t>
      </w:r>
      <w:r w:rsidRPr="00FB5A28">
        <w:rPr>
          <w:rFonts w:ascii="Times New Roman" w:hAnsi="Times New Roman"/>
          <w:sz w:val="24"/>
          <w:szCs w:val="24"/>
        </w:rPr>
        <w:t xml:space="preserve"> </w:t>
      </w:r>
      <w:r w:rsidR="005F720D" w:rsidRPr="00FB5A28">
        <w:rPr>
          <w:rFonts w:ascii="Times New Roman" w:hAnsi="Times New Roman"/>
          <w:sz w:val="24"/>
          <w:szCs w:val="24"/>
        </w:rPr>
        <w:t>основица</w:t>
      </w:r>
      <w:r w:rsidRPr="00FB5A28">
        <w:rPr>
          <w:rFonts w:ascii="Times New Roman" w:hAnsi="Times New Roman"/>
          <w:sz w:val="24"/>
          <w:szCs w:val="24"/>
        </w:rPr>
        <w:t xml:space="preserve"> </w:t>
      </w:r>
      <w:r w:rsidR="005F720D" w:rsidRPr="00FB5A28">
        <w:rPr>
          <w:rFonts w:ascii="Times New Roman" w:hAnsi="Times New Roman"/>
          <w:sz w:val="24"/>
          <w:szCs w:val="24"/>
        </w:rPr>
        <w:t>за</w:t>
      </w:r>
      <w:r w:rsidRPr="00FB5A28">
        <w:rPr>
          <w:rFonts w:ascii="Times New Roman" w:hAnsi="Times New Roman"/>
          <w:sz w:val="24"/>
          <w:szCs w:val="24"/>
        </w:rPr>
        <w:t xml:space="preserve"> </w:t>
      </w:r>
      <w:r w:rsidR="005F720D" w:rsidRPr="00FB5A28">
        <w:rPr>
          <w:rFonts w:ascii="Times New Roman" w:hAnsi="Times New Roman"/>
          <w:sz w:val="24"/>
          <w:szCs w:val="24"/>
        </w:rPr>
        <w:t>период</w:t>
      </w:r>
      <w:r w:rsidRPr="00FB5A28">
        <w:rPr>
          <w:rFonts w:ascii="Times New Roman" w:hAnsi="Times New Roman"/>
          <w:sz w:val="24"/>
          <w:szCs w:val="24"/>
        </w:rPr>
        <w:t xml:space="preserve"> </w:t>
      </w:r>
      <w:r w:rsidR="005F720D" w:rsidRPr="00FB5A28">
        <w:rPr>
          <w:rFonts w:ascii="Times New Roman" w:hAnsi="Times New Roman"/>
          <w:sz w:val="24"/>
          <w:szCs w:val="24"/>
        </w:rPr>
        <w:t>за</w:t>
      </w:r>
      <w:r w:rsidRPr="00FB5A28">
        <w:rPr>
          <w:rFonts w:ascii="Times New Roman" w:hAnsi="Times New Roman"/>
          <w:sz w:val="24"/>
          <w:szCs w:val="24"/>
        </w:rPr>
        <w:t xml:space="preserve"> </w:t>
      </w:r>
      <w:r w:rsidR="005F720D" w:rsidRPr="00FB5A28">
        <w:rPr>
          <w:rFonts w:ascii="Times New Roman" w:hAnsi="Times New Roman"/>
          <w:sz w:val="24"/>
          <w:szCs w:val="24"/>
        </w:rPr>
        <w:t>који</w:t>
      </w:r>
      <w:r w:rsidRPr="00FB5A28">
        <w:rPr>
          <w:rFonts w:ascii="Times New Roman" w:hAnsi="Times New Roman"/>
          <w:sz w:val="24"/>
          <w:szCs w:val="24"/>
        </w:rPr>
        <w:t xml:space="preserve"> </w:t>
      </w:r>
      <w:r w:rsidR="005F720D" w:rsidRPr="00FB5A28">
        <w:rPr>
          <w:rFonts w:ascii="Times New Roman" w:hAnsi="Times New Roman"/>
          <w:sz w:val="24"/>
          <w:szCs w:val="24"/>
        </w:rPr>
        <w:t>се</w:t>
      </w:r>
      <w:r w:rsidRPr="00FB5A28">
        <w:rPr>
          <w:rFonts w:ascii="Times New Roman" w:hAnsi="Times New Roman"/>
          <w:sz w:val="24"/>
          <w:szCs w:val="24"/>
        </w:rPr>
        <w:t xml:space="preserve"> </w:t>
      </w:r>
      <w:r w:rsidR="005F720D" w:rsidRPr="00FB5A28">
        <w:rPr>
          <w:rFonts w:ascii="Times New Roman" w:hAnsi="Times New Roman"/>
          <w:sz w:val="24"/>
          <w:szCs w:val="24"/>
        </w:rPr>
        <w:t>утврђује</w:t>
      </w:r>
      <w:r w:rsidRPr="00FB5A28">
        <w:rPr>
          <w:rFonts w:ascii="Times New Roman" w:hAnsi="Times New Roman"/>
          <w:sz w:val="24"/>
          <w:szCs w:val="24"/>
        </w:rPr>
        <w:t xml:space="preserve"> </w:t>
      </w:r>
      <w:r w:rsidR="005F720D" w:rsidRPr="00FB5A28">
        <w:rPr>
          <w:rFonts w:ascii="Times New Roman" w:hAnsi="Times New Roman"/>
          <w:sz w:val="24"/>
          <w:szCs w:val="24"/>
        </w:rPr>
        <w:t>порез</w:t>
      </w:r>
      <w:r w:rsidRPr="00FB5A28">
        <w:rPr>
          <w:rFonts w:ascii="Times New Roman" w:hAnsi="Times New Roman"/>
          <w:sz w:val="24"/>
          <w:szCs w:val="24"/>
        </w:rPr>
        <w:t>;</w:t>
      </w:r>
    </w:p>
    <w:p w:rsidR="00717D0E" w:rsidRPr="00FB5A28" w:rsidRDefault="00717D0E" w:rsidP="00FB5A28">
      <w:pPr>
        <w:jc w:val="both"/>
        <w:rPr>
          <w:rFonts w:ascii="Times New Roman" w:hAnsi="Times New Roman"/>
          <w:sz w:val="24"/>
          <w:szCs w:val="24"/>
        </w:rPr>
      </w:pPr>
      <w:r w:rsidRPr="00FB5A28">
        <w:rPr>
          <w:rFonts w:ascii="Times New Roman" w:hAnsi="Times New Roman"/>
          <w:sz w:val="24"/>
          <w:szCs w:val="24"/>
        </w:rPr>
        <w:t xml:space="preserve">2) </w:t>
      </w:r>
      <w:r w:rsidR="005F720D" w:rsidRPr="00FB5A28">
        <w:rPr>
          <w:rFonts w:ascii="Times New Roman" w:hAnsi="Times New Roman"/>
          <w:sz w:val="24"/>
          <w:szCs w:val="24"/>
        </w:rPr>
        <w:t>проценом</w:t>
      </w:r>
      <w:r w:rsidRPr="00FB5A28">
        <w:rPr>
          <w:rFonts w:ascii="Times New Roman" w:hAnsi="Times New Roman"/>
          <w:sz w:val="24"/>
          <w:szCs w:val="24"/>
        </w:rPr>
        <w:t xml:space="preserve"> </w:t>
      </w:r>
      <w:r w:rsidR="005F720D" w:rsidRPr="00FB5A28">
        <w:rPr>
          <w:rFonts w:ascii="Times New Roman" w:hAnsi="Times New Roman"/>
          <w:sz w:val="24"/>
          <w:szCs w:val="24"/>
        </w:rPr>
        <w:t>на</w:t>
      </w:r>
      <w:r w:rsidRPr="00FB5A28">
        <w:rPr>
          <w:rFonts w:ascii="Times New Roman" w:hAnsi="Times New Roman"/>
          <w:sz w:val="24"/>
          <w:szCs w:val="24"/>
        </w:rPr>
        <w:t xml:space="preserve"> </w:t>
      </w:r>
      <w:r w:rsidR="005F720D" w:rsidRPr="00FB5A28">
        <w:rPr>
          <w:rFonts w:ascii="Times New Roman" w:hAnsi="Times New Roman"/>
          <w:sz w:val="24"/>
          <w:szCs w:val="24"/>
        </w:rPr>
        <w:t>бази</w:t>
      </w:r>
      <w:r w:rsidRPr="00FB5A28">
        <w:rPr>
          <w:rFonts w:ascii="Times New Roman" w:hAnsi="Times New Roman"/>
          <w:sz w:val="24"/>
          <w:szCs w:val="24"/>
        </w:rPr>
        <w:t xml:space="preserve"> </w:t>
      </w:r>
      <w:r w:rsidR="005F720D" w:rsidRPr="00FB5A28">
        <w:rPr>
          <w:rFonts w:ascii="Times New Roman" w:hAnsi="Times New Roman"/>
          <w:sz w:val="24"/>
          <w:szCs w:val="24"/>
        </w:rPr>
        <w:t>података</w:t>
      </w:r>
      <w:r w:rsidRPr="00FB5A28">
        <w:rPr>
          <w:rFonts w:ascii="Times New Roman" w:hAnsi="Times New Roman"/>
          <w:sz w:val="24"/>
          <w:szCs w:val="24"/>
        </w:rPr>
        <w:t xml:space="preserve"> </w:t>
      </w:r>
      <w:r w:rsidR="005F720D" w:rsidRPr="00FB5A28">
        <w:rPr>
          <w:rFonts w:ascii="Times New Roman" w:hAnsi="Times New Roman"/>
          <w:sz w:val="24"/>
          <w:szCs w:val="24"/>
        </w:rPr>
        <w:t>и</w:t>
      </w:r>
      <w:r w:rsidRPr="00FB5A28">
        <w:rPr>
          <w:rFonts w:ascii="Times New Roman" w:hAnsi="Times New Roman"/>
          <w:sz w:val="24"/>
          <w:szCs w:val="24"/>
        </w:rPr>
        <w:t xml:space="preserve"> </w:t>
      </w:r>
      <w:r w:rsidR="005F720D" w:rsidRPr="00FB5A28">
        <w:rPr>
          <w:rFonts w:ascii="Times New Roman" w:hAnsi="Times New Roman"/>
          <w:sz w:val="24"/>
          <w:szCs w:val="24"/>
        </w:rPr>
        <w:t>чињеница</w:t>
      </w:r>
      <w:r w:rsidRPr="00FB5A28">
        <w:rPr>
          <w:rFonts w:ascii="Times New Roman" w:hAnsi="Times New Roman"/>
          <w:sz w:val="24"/>
          <w:szCs w:val="24"/>
        </w:rPr>
        <w:t xml:space="preserve"> </w:t>
      </w:r>
      <w:r w:rsidR="005F720D" w:rsidRPr="00FB5A28">
        <w:rPr>
          <w:rFonts w:ascii="Times New Roman" w:hAnsi="Times New Roman"/>
          <w:sz w:val="24"/>
          <w:szCs w:val="24"/>
        </w:rPr>
        <w:t>о</w:t>
      </w:r>
      <w:r w:rsidRPr="00FB5A28">
        <w:rPr>
          <w:rFonts w:ascii="Times New Roman" w:hAnsi="Times New Roman"/>
          <w:sz w:val="24"/>
          <w:szCs w:val="24"/>
        </w:rPr>
        <w:t xml:space="preserve"> </w:t>
      </w:r>
      <w:r w:rsidR="005F720D" w:rsidRPr="00FB5A28">
        <w:rPr>
          <w:rFonts w:ascii="Times New Roman" w:hAnsi="Times New Roman"/>
          <w:sz w:val="24"/>
          <w:szCs w:val="24"/>
        </w:rPr>
        <w:t>оствареном</w:t>
      </w:r>
      <w:r w:rsidRPr="00FB5A28">
        <w:rPr>
          <w:rFonts w:ascii="Times New Roman" w:hAnsi="Times New Roman"/>
          <w:sz w:val="24"/>
          <w:szCs w:val="24"/>
        </w:rPr>
        <w:t xml:space="preserve"> </w:t>
      </w:r>
      <w:r w:rsidR="005F720D" w:rsidRPr="00FB5A28">
        <w:rPr>
          <w:rFonts w:ascii="Times New Roman" w:hAnsi="Times New Roman"/>
          <w:sz w:val="24"/>
          <w:szCs w:val="24"/>
        </w:rPr>
        <w:t>промету</w:t>
      </w:r>
      <w:r w:rsidRPr="00FB5A28">
        <w:rPr>
          <w:rFonts w:ascii="Times New Roman" w:hAnsi="Times New Roman"/>
          <w:sz w:val="24"/>
          <w:szCs w:val="24"/>
        </w:rPr>
        <w:t xml:space="preserve"> (</w:t>
      </w:r>
      <w:r w:rsidR="005F720D" w:rsidRPr="00FB5A28">
        <w:rPr>
          <w:rFonts w:ascii="Times New Roman" w:hAnsi="Times New Roman"/>
          <w:sz w:val="24"/>
          <w:szCs w:val="24"/>
        </w:rPr>
        <w:t>дневном</w:t>
      </w:r>
      <w:r w:rsidRPr="00FB5A28">
        <w:rPr>
          <w:rFonts w:ascii="Times New Roman" w:hAnsi="Times New Roman"/>
          <w:sz w:val="24"/>
          <w:szCs w:val="24"/>
        </w:rPr>
        <w:t xml:space="preserve">, </w:t>
      </w:r>
      <w:r w:rsidR="005F720D" w:rsidRPr="00FB5A28">
        <w:rPr>
          <w:rFonts w:ascii="Times New Roman" w:hAnsi="Times New Roman"/>
          <w:sz w:val="24"/>
          <w:szCs w:val="24"/>
        </w:rPr>
        <w:t>недељном</w:t>
      </w:r>
      <w:r w:rsidRPr="00FB5A28">
        <w:rPr>
          <w:rFonts w:ascii="Times New Roman" w:hAnsi="Times New Roman"/>
          <w:sz w:val="24"/>
          <w:szCs w:val="24"/>
        </w:rPr>
        <w:t xml:space="preserve"> </w:t>
      </w:r>
      <w:r w:rsidR="005F720D" w:rsidRPr="00FB5A28">
        <w:rPr>
          <w:rFonts w:ascii="Times New Roman" w:hAnsi="Times New Roman"/>
          <w:sz w:val="24"/>
          <w:szCs w:val="24"/>
        </w:rPr>
        <w:t>или</w:t>
      </w:r>
      <w:r w:rsidRPr="00FB5A28">
        <w:rPr>
          <w:rFonts w:ascii="Times New Roman" w:hAnsi="Times New Roman"/>
          <w:sz w:val="24"/>
          <w:szCs w:val="24"/>
        </w:rPr>
        <w:t xml:space="preserve"> </w:t>
      </w:r>
      <w:r w:rsidR="005F720D" w:rsidRPr="00FB5A28">
        <w:rPr>
          <w:rFonts w:ascii="Times New Roman" w:hAnsi="Times New Roman"/>
          <w:sz w:val="24"/>
          <w:szCs w:val="24"/>
        </w:rPr>
        <w:t>месечном</w:t>
      </w:r>
      <w:r w:rsidRPr="00FB5A28">
        <w:rPr>
          <w:rFonts w:ascii="Times New Roman" w:hAnsi="Times New Roman"/>
          <w:sz w:val="24"/>
          <w:szCs w:val="24"/>
        </w:rPr>
        <w:t xml:space="preserve">) </w:t>
      </w:r>
      <w:r w:rsidR="005F720D" w:rsidRPr="00FB5A28">
        <w:rPr>
          <w:rFonts w:ascii="Times New Roman" w:hAnsi="Times New Roman"/>
          <w:sz w:val="24"/>
          <w:szCs w:val="24"/>
        </w:rPr>
        <w:t>утврђеним</w:t>
      </w:r>
      <w:r w:rsidRPr="00FB5A28">
        <w:rPr>
          <w:rFonts w:ascii="Times New Roman" w:hAnsi="Times New Roman"/>
          <w:sz w:val="24"/>
          <w:szCs w:val="24"/>
        </w:rPr>
        <w:t xml:space="preserve"> </w:t>
      </w:r>
      <w:r w:rsidR="005F720D" w:rsidRPr="00FB5A28">
        <w:rPr>
          <w:rFonts w:ascii="Times New Roman" w:hAnsi="Times New Roman"/>
          <w:sz w:val="24"/>
          <w:szCs w:val="24"/>
        </w:rPr>
        <w:t>увиђајем</w:t>
      </w:r>
      <w:r w:rsidRPr="00FB5A28">
        <w:rPr>
          <w:rFonts w:ascii="Times New Roman" w:hAnsi="Times New Roman"/>
          <w:sz w:val="24"/>
          <w:szCs w:val="24"/>
        </w:rPr>
        <w:t xml:space="preserve"> </w:t>
      </w:r>
      <w:r w:rsidR="005F720D" w:rsidRPr="00FB5A28">
        <w:rPr>
          <w:rFonts w:ascii="Times New Roman" w:hAnsi="Times New Roman"/>
          <w:sz w:val="24"/>
          <w:szCs w:val="24"/>
        </w:rPr>
        <w:t>или</w:t>
      </w:r>
      <w:r w:rsidRPr="00FB5A28">
        <w:rPr>
          <w:rFonts w:ascii="Times New Roman" w:hAnsi="Times New Roman"/>
          <w:sz w:val="24"/>
          <w:szCs w:val="24"/>
        </w:rPr>
        <w:t xml:space="preserve"> </w:t>
      </w:r>
      <w:r w:rsidR="005F720D" w:rsidRPr="00FB5A28">
        <w:rPr>
          <w:rFonts w:ascii="Times New Roman" w:hAnsi="Times New Roman"/>
          <w:sz w:val="24"/>
          <w:szCs w:val="24"/>
        </w:rPr>
        <w:t>контролом</w:t>
      </w:r>
      <w:r w:rsidRPr="00FB5A28">
        <w:rPr>
          <w:rFonts w:ascii="Times New Roman" w:hAnsi="Times New Roman"/>
          <w:sz w:val="24"/>
          <w:szCs w:val="24"/>
        </w:rPr>
        <w:t xml:space="preserve">, </w:t>
      </w:r>
      <w:r w:rsidR="005F720D" w:rsidRPr="00FB5A28">
        <w:rPr>
          <w:rFonts w:ascii="Times New Roman" w:hAnsi="Times New Roman"/>
          <w:sz w:val="24"/>
          <w:szCs w:val="24"/>
        </w:rPr>
        <w:t>тако</w:t>
      </w:r>
      <w:r w:rsidRPr="00FB5A28">
        <w:rPr>
          <w:rFonts w:ascii="Times New Roman" w:hAnsi="Times New Roman"/>
          <w:sz w:val="24"/>
          <w:szCs w:val="24"/>
        </w:rPr>
        <w:t xml:space="preserve"> </w:t>
      </w:r>
      <w:r w:rsidR="005F720D" w:rsidRPr="00FB5A28">
        <w:rPr>
          <w:rFonts w:ascii="Times New Roman" w:hAnsi="Times New Roman"/>
          <w:sz w:val="24"/>
          <w:szCs w:val="24"/>
        </w:rPr>
        <w:t>што</w:t>
      </w:r>
      <w:r w:rsidRPr="00FB5A28">
        <w:rPr>
          <w:rFonts w:ascii="Times New Roman" w:hAnsi="Times New Roman"/>
          <w:sz w:val="24"/>
          <w:szCs w:val="24"/>
        </w:rPr>
        <w:t xml:space="preserve"> </w:t>
      </w:r>
      <w:r w:rsidR="005F720D" w:rsidRPr="00FB5A28">
        <w:rPr>
          <w:rFonts w:ascii="Times New Roman" w:hAnsi="Times New Roman"/>
          <w:sz w:val="24"/>
          <w:szCs w:val="24"/>
        </w:rPr>
        <w:t>се</w:t>
      </w:r>
      <w:r w:rsidRPr="00FB5A28">
        <w:rPr>
          <w:rFonts w:ascii="Times New Roman" w:hAnsi="Times New Roman"/>
          <w:sz w:val="24"/>
          <w:szCs w:val="24"/>
        </w:rPr>
        <w:t xml:space="preserve"> </w:t>
      </w:r>
      <w:r w:rsidR="005F720D" w:rsidRPr="00FB5A28">
        <w:rPr>
          <w:rFonts w:ascii="Times New Roman" w:hAnsi="Times New Roman"/>
          <w:sz w:val="24"/>
          <w:szCs w:val="24"/>
        </w:rPr>
        <w:t>на</w:t>
      </w:r>
      <w:r w:rsidRPr="00FB5A28">
        <w:rPr>
          <w:rFonts w:ascii="Times New Roman" w:hAnsi="Times New Roman"/>
          <w:sz w:val="24"/>
          <w:szCs w:val="24"/>
        </w:rPr>
        <w:t xml:space="preserve"> </w:t>
      </w:r>
      <w:r w:rsidR="005F720D" w:rsidRPr="00FB5A28">
        <w:rPr>
          <w:rFonts w:ascii="Times New Roman" w:hAnsi="Times New Roman"/>
          <w:sz w:val="24"/>
          <w:szCs w:val="24"/>
        </w:rPr>
        <w:t>основу</w:t>
      </w:r>
      <w:r w:rsidRPr="00FB5A28">
        <w:rPr>
          <w:rFonts w:ascii="Times New Roman" w:hAnsi="Times New Roman"/>
          <w:sz w:val="24"/>
          <w:szCs w:val="24"/>
        </w:rPr>
        <w:t xml:space="preserve"> </w:t>
      </w:r>
      <w:r w:rsidR="005F720D" w:rsidRPr="00FB5A28">
        <w:rPr>
          <w:rFonts w:ascii="Times New Roman" w:hAnsi="Times New Roman"/>
          <w:sz w:val="24"/>
          <w:szCs w:val="24"/>
        </w:rPr>
        <w:t>тих</w:t>
      </w:r>
      <w:r w:rsidRPr="00FB5A28">
        <w:rPr>
          <w:rFonts w:ascii="Times New Roman" w:hAnsi="Times New Roman"/>
          <w:sz w:val="24"/>
          <w:szCs w:val="24"/>
        </w:rPr>
        <w:t xml:space="preserve"> </w:t>
      </w:r>
      <w:r w:rsidR="005F720D" w:rsidRPr="00FB5A28">
        <w:rPr>
          <w:rFonts w:ascii="Times New Roman" w:hAnsi="Times New Roman"/>
          <w:sz w:val="24"/>
          <w:szCs w:val="24"/>
        </w:rPr>
        <w:t>података</w:t>
      </w:r>
      <w:r w:rsidRPr="00FB5A28">
        <w:rPr>
          <w:rFonts w:ascii="Times New Roman" w:hAnsi="Times New Roman"/>
          <w:sz w:val="24"/>
          <w:szCs w:val="24"/>
        </w:rPr>
        <w:t xml:space="preserve"> </w:t>
      </w:r>
      <w:r w:rsidR="005F720D" w:rsidRPr="00FB5A28">
        <w:rPr>
          <w:rFonts w:ascii="Times New Roman" w:hAnsi="Times New Roman"/>
          <w:sz w:val="24"/>
          <w:szCs w:val="24"/>
        </w:rPr>
        <w:t>и</w:t>
      </w:r>
      <w:r w:rsidRPr="00FB5A28">
        <w:rPr>
          <w:rFonts w:ascii="Times New Roman" w:hAnsi="Times New Roman"/>
          <w:sz w:val="24"/>
          <w:szCs w:val="24"/>
        </w:rPr>
        <w:t xml:space="preserve"> </w:t>
      </w:r>
      <w:r w:rsidR="005F720D" w:rsidRPr="00FB5A28">
        <w:rPr>
          <w:rFonts w:ascii="Times New Roman" w:hAnsi="Times New Roman"/>
          <w:sz w:val="24"/>
          <w:szCs w:val="24"/>
        </w:rPr>
        <w:t>чињеница</w:t>
      </w:r>
      <w:r w:rsidRPr="00FB5A28">
        <w:rPr>
          <w:rFonts w:ascii="Times New Roman" w:hAnsi="Times New Roman"/>
          <w:sz w:val="24"/>
          <w:szCs w:val="24"/>
        </w:rPr>
        <w:t xml:space="preserve"> </w:t>
      </w:r>
      <w:r w:rsidR="005F720D" w:rsidRPr="00FB5A28">
        <w:rPr>
          <w:rFonts w:ascii="Times New Roman" w:hAnsi="Times New Roman"/>
          <w:sz w:val="24"/>
          <w:szCs w:val="24"/>
        </w:rPr>
        <w:t>процењује</w:t>
      </w:r>
      <w:r w:rsidRPr="00FB5A28">
        <w:rPr>
          <w:rFonts w:ascii="Times New Roman" w:hAnsi="Times New Roman"/>
          <w:sz w:val="24"/>
          <w:szCs w:val="24"/>
        </w:rPr>
        <w:t xml:space="preserve"> </w:t>
      </w:r>
      <w:r w:rsidR="005F720D" w:rsidRPr="00FB5A28">
        <w:rPr>
          <w:rFonts w:ascii="Times New Roman" w:hAnsi="Times New Roman"/>
          <w:sz w:val="24"/>
          <w:szCs w:val="24"/>
        </w:rPr>
        <w:t>пореска</w:t>
      </w:r>
      <w:r w:rsidRPr="00FB5A28">
        <w:rPr>
          <w:rFonts w:ascii="Times New Roman" w:hAnsi="Times New Roman"/>
          <w:sz w:val="24"/>
          <w:szCs w:val="24"/>
        </w:rPr>
        <w:t xml:space="preserve"> </w:t>
      </w:r>
      <w:r w:rsidR="005F720D" w:rsidRPr="00FB5A28">
        <w:rPr>
          <w:rFonts w:ascii="Times New Roman" w:hAnsi="Times New Roman"/>
          <w:sz w:val="24"/>
          <w:szCs w:val="24"/>
        </w:rPr>
        <w:t>основица</w:t>
      </w:r>
      <w:r w:rsidRPr="00FB5A28">
        <w:rPr>
          <w:rFonts w:ascii="Times New Roman" w:hAnsi="Times New Roman"/>
          <w:sz w:val="24"/>
          <w:szCs w:val="24"/>
        </w:rPr>
        <w:t xml:space="preserve"> </w:t>
      </w:r>
      <w:r w:rsidR="005F720D" w:rsidRPr="00FB5A28">
        <w:rPr>
          <w:rFonts w:ascii="Times New Roman" w:hAnsi="Times New Roman"/>
          <w:sz w:val="24"/>
          <w:szCs w:val="24"/>
        </w:rPr>
        <w:t>за</w:t>
      </w:r>
      <w:r w:rsidRPr="00FB5A28">
        <w:rPr>
          <w:rFonts w:ascii="Times New Roman" w:hAnsi="Times New Roman"/>
          <w:sz w:val="24"/>
          <w:szCs w:val="24"/>
        </w:rPr>
        <w:t xml:space="preserve"> </w:t>
      </w:r>
      <w:r w:rsidR="005F720D" w:rsidRPr="00FB5A28">
        <w:rPr>
          <w:rFonts w:ascii="Times New Roman" w:hAnsi="Times New Roman"/>
          <w:sz w:val="24"/>
          <w:szCs w:val="24"/>
        </w:rPr>
        <w:t>период</w:t>
      </w:r>
      <w:r w:rsidRPr="00FB5A28">
        <w:rPr>
          <w:rFonts w:ascii="Times New Roman" w:hAnsi="Times New Roman"/>
          <w:sz w:val="24"/>
          <w:szCs w:val="24"/>
        </w:rPr>
        <w:t xml:space="preserve"> </w:t>
      </w:r>
      <w:r w:rsidR="005F720D" w:rsidRPr="00FB5A28">
        <w:rPr>
          <w:rFonts w:ascii="Times New Roman" w:hAnsi="Times New Roman"/>
          <w:sz w:val="24"/>
          <w:szCs w:val="24"/>
        </w:rPr>
        <w:t>за</w:t>
      </w:r>
      <w:r w:rsidRPr="00FB5A28">
        <w:rPr>
          <w:rFonts w:ascii="Times New Roman" w:hAnsi="Times New Roman"/>
          <w:sz w:val="24"/>
          <w:szCs w:val="24"/>
        </w:rPr>
        <w:t xml:space="preserve"> </w:t>
      </w:r>
      <w:r w:rsidR="005F720D" w:rsidRPr="00FB5A28">
        <w:rPr>
          <w:rFonts w:ascii="Times New Roman" w:hAnsi="Times New Roman"/>
          <w:sz w:val="24"/>
          <w:szCs w:val="24"/>
        </w:rPr>
        <w:t>који</w:t>
      </w:r>
      <w:r w:rsidRPr="00FB5A28">
        <w:rPr>
          <w:rFonts w:ascii="Times New Roman" w:hAnsi="Times New Roman"/>
          <w:sz w:val="24"/>
          <w:szCs w:val="24"/>
        </w:rPr>
        <w:t xml:space="preserve"> </w:t>
      </w:r>
      <w:r w:rsidR="005F720D" w:rsidRPr="00FB5A28">
        <w:rPr>
          <w:rFonts w:ascii="Times New Roman" w:hAnsi="Times New Roman"/>
          <w:sz w:val="24"/>
          <w:szCs w:val="24"/>
        </w:rPr>
        <w:t>се</w:t>
      </w:r>
      <w:r w:rsidRPr="00FB5A28">
        <w:rPr>
          <w:rFonts w:ascii="Times New Roman" w:hAnsi="Times New Roman"/>
          <w:sz w:val="24"/>
          <w:szCs w:val="24"/>
        </w:rPr>
        <w:t xml:space="preserve"> </w:t>
      </w:r>
      <w:r w:rsidR="005F720D" w:rsidRPr="00FB5A28">
        <w:rPr>
          <w:rFonts w:ascii="Times New Roman" w:hAnsi="Times New Roman"/>
          <w:sz w:val="24"/>
          <w:szCs w:val="24"/>
        </w:rPr>
        <w:t>утврђује</w:t>
      </w:r>
      <w:r w:rsidRPr="00FB5A28">
        <w:rPr>
          <w:rFonts w:ascii="Times New Roman" w:hAnsi="Times New Roman"/>
          <w:sz w:val="24"/>
          <w:szCs w:val="24"/>
        </w:rPr>
        <w:t xml:space="preserve"> </w:t>
      </w:r>
      <w:r w:rsidR="005F720D" w:rsidRPr="00FB5A28">
        <w:rPr>
          <w:rFonts w:ascii="Times New Roman" w:hAnsi="Times New Roman"/>
          <w:sz w:val="24"/>
          <w:szCs w:val="24"/>
        </w:rPr>
        <w:t>порез</w:t>
      </w:r>
      <w:r w:rsidRPr="00FB5A28">
        <w:rPr>
          <w:rFonts w:ascii="Times New Roman" w:hAnsi="Times New Roman"/>
          <w:sz w:val="24"/>
          <w:szCs w:val="24"/>
        </w:rPr>
        <w:t>;</w:t>
      </w:r>
    </w:p>
    <w:p w:rsidR="00717D0E" w:rsidRPr="00FB5A28" w:rsidRDefault="00717D0E" w:rsidP="00FB5A28">
      <w:pPr>
        <w:jc w:val="both"/>
        <w:rPr>
          <w:rFonts w:ascii="Times New Roman" w:hAnsi="Times New Roman"/>
          <w:sz w:val="24"/>
          <w:szCs w:val="24"/>
          <w:lang w:val="sr-Cyrl-CS"/>
        </w:rPr>
      </w:pPr>
      <w:r w:rsidRPr="00FB5A28">
        <w:rPr>
          <w:rFonts w:ascii="Times New Roman" w:hAnsi="Times New Roman"/>
          <w:sz w:val="24"/>
          <w:szCs w:val="24"/>
        </w:rPr>
        <w:t xml:space="preserve">3) </w:t>
      </w:r>
      <w:r w:rsidR="005F720D" w:rsidRPr="00FB5A28">
        <w:rPr>
          <w:rFonts w:ascii="Times New Roman" w:hAnsi="Times New Roman"/>
          <w:sz w:val="24"/>
          <w:szCs w:val="24"/>
        </w:rPr>
        <w:t>упоређивањем</w:t>
      </w:r>
      <w:r w:rsidRPr="00FB5A28">
        <w:rPr>
          <w:rFonts w:ascii="Times New Roman" w:hAnsi="Times New Roman"/>
          <w:sz w:val="24"/>
          <w:szCs w:val="24"/>
        </w:rPr>
        <w:t xml:space="preserve"> </w:t>
      </w:r>
      <w:r w:rsidR="005F720D" w:rsidRPr="00FB5A28">
        <w:rPr>
          <w:rFonts w:ascii="Times New Roman" w:hAnsi="Times New Roman"/>
          <w:sz w:val="24"/>
          <w:szCs w:val="24"/>
        </w:rPr>
        <w:t>са</w:t>
      </w:r>
      <w:r w:rsidRPr="00FB5A28">
        <w:rPr>
          <w:rFonts w:ascii="Times New Roman" w:hAnsi="Times New Roman"/>
          <w:sz w:val="24"/>
          <w:szCs w:val="24"/>
        </w:rPr>
        <w:t xml:space="preserve"> </w:t>
      </w:r>
      <w:r w:rsidR="005F720D" w:rsidRPr="00FB5A28">
        <w:rPr>
          <w:rFonts w:ascii="Times New Roman" w:hAnsi="Times New Roman"/>
          <w:sz w:val="24"/>
          <w:szCs w:val="24"/>
        </w:rPr>
        <w:t>подацима</w:t>
      </w:r>
      <w:r w:rsidRPr="00FB5A28">
        <w:rPr>
          <w:rFonts w:ascii="Times New Roman" w:hAnsi="Times New Roman"/>
          <w:sz w:val="24"/>
          <w:szCs w:val="24"/>
        </w:rPr>
        <w:t xml:space="preserve"> </w:t>
      </w:r>
      <w:r w:rsidR="005F720D" w:rsidRPr="00FB5A28">
        <w:rPr>
          <w:rFonts w:ascii="Times New Roman" w:hAnsi="Times New Roman"/>
          <w:sz w:val="24"/>
          <w:szCs w:val="24"/>
        </w:rPr>
        <w:t>других</w:t>
      </w:r>
      <w:r w:rsidRPr="00FB5A28">
        <w:rPr>
          <w:rFonts w:ascii="Times New Roman" w:hAnsi="Times New Roman"/>
          <w:sz w:val="24"/>
          <w:szCs w:val="24"/>
        </w:rPr>
        <w:t xml:space="preserve"> </w:t>
      </w:r>
      <w:r w:rsidR="005F720D" w:rsidRPr="00FB5A28">
        <w:rPr>
          <w:rFonts w:ascii="Times New Roman" w:hAnsi="Times New Roman"/>
          <w:sz w:val="24"/>
          <w:szCs w:val="24"/>
        </w:rPr>
        <w:t>пореских</w:t>
      </w:r>
      <w:r w:rsidRPr="00FB5A28">
        <w:rPr>
          <w:rFonts w:ascii="Times New Roman" w:hAnsi="Times New Roman"/>
          <w:sz w:val="24"/>
          <w:szCs w:val="24"/>
        </w:rPr>
        <w:t xml:space="preserve"> </w:t>
      </w:r>
      <w:r w:rsidR="005F720D" w:rsidRPr="00FB5A28">
        <w:rPr>
          <w:rFonts w:ascii="Times New Roman" w:hAnsi="Times New Roman"/>
          <w:sz w:val="24"/>
          <w:szCs w:val="24"/>
        </w:rPr>
        <w:t>обвезника</w:t>
      </w:r>
      <w:r w:rsidRPr="00FB5A28">
        <w:rPr>
          <w:rFonts w:ascii="Times New Roman" w:hAnsi="Times New Roman"/>
          <w:sz w:val="24"/>
          <w:szCs w:val="24"/>
        </w:rPr>
        <w:t xml:space="preserve"> </w:t>
      </w:r>
      <w:r w:rsidR="005F720D" w:rsidRPr="00FB5A28">
        <w:rPr>
          <w:rFonts w:ascii="Times New Roman" w:hAnsi="Times New Roman"/>
          <w:sz w:val="24"/>
          <w:szCs w:val="24"/>
        </w:rPr>
        <w:t>који</w:t>
      </w:r>
      <w:r w:rsidRPr="00FB5A28">
        <w:rPr>
          <w:rFonts w:ascii="Times New Roman" w:hAnsi="Times New Roman"/>
          <w:sz w:val="24"/>
          <w:szCs w:val="24"/>
        </w:rPr>
        <w:t xml:space="preserve"> </w:t>
      </w:r>
      <w:r w:rsidR="005F720D" w:rsidRPr="00FB5A28">
        <w:rPr>
          <w:rFonts w:ascii="Times New Roman" w:hAnsi="Times New Roman"/>
          <w:sz w:val="24"/>
          <w:szCs w:val="24"/>
        </w:rPr>
        <w:t>обављају</w:t>
      </w:r>
      <w:r w:rsidRPr="00FB5A28">
        <w:rPr>
          <w:rFonts w:ascii="Times New Roman" w:hAnsi="Times New Roman"/>
          <w:sz w:val="24"/>
          <w:szCs w:val="24"/>
        </w:rPr>
        <w:t xml:space="preserve"> </w:t>
      </w:r>
      <w:r w:rsidR="005F720D" w:rsidRPr="00FB5A28">
        <w:rPr>
          <w:rFonts w:ascii="Times New Roman" w:hAnsi="Times New Roman"/>
          <w:sz w:val="24"/>
          <w:szCs w:val="24"/>
        </w:rPr>
        <w:t>исту</w:t>
      </w:r>
      <w:r w:rsidRPr="00FB5A28">
        <w:rPr>
          <w:rFonts w:ascii="Times New Roman" w:hAnsi="Times New Roman"/>
          <w:sz w:val="24"/>
          <w:szCs w:val="24"/>
        </w:rPr>
        <w:t xml:space="preserve"> </w:t>
      </w:r>
      <w:r w:rsidR="005F720D" w:rsidRPr="00FB5A28">
        <w:rPr>
          <w:rFonts w:ascii="Times New Roman" w:hAnsi="Times New Roman"/>
          <w:sz w:val="24"/>
          <w:szCs w:val="24"/>
        </w:rPr>
        <w:t>или</w:t>
      </w:r>
      <w:r w:rsidRPr="00FB5A28">
        <w:rPr>
          <w:rFonts w:ascii="Times New Roman" w:hAnsi="Times New Roman"/>
          <w:sz w:val="24"/>
          <w:szCs w:val="24"/>
        </w:rPr>
        <w:t xml:space="preserve"> </w:t>
      </w:r>
      <w:r w:rsidR="005F720D" w:rsidRPr="00FB5A28">
        <w:rPr>
          <w:rFonts w:ascii="Times New Roman" w:hAnsi="Times New Roman"/>
          <w:sz w:val="24"/>
          <w:szCs w:val="24"/>
        </w:rPr>
        <w:t>сличну</w:t>
      </w:r>
      <w:r w:rsidRPr="00FB5A28">
        <w:rPr>
          <w:rFonts w:ascii="Times New Roman" w:hAnsi="Times New Roman"/>
          <w:sz w:val="24"/>
          <w:szCs w:val="24"/>
        </w:rPr>
        <w:t xml:space="preserve"> </w:t>
      </w:r>
      <w:r w:rsidR="005F720D" w:rsidRPr="00FB5A28">
        <w:rPr>
          <w:rFonts w:ascii="Times New Roman" w:hAnsi="Times New Roman"/>
          <w:sz w:val="24"/>
          <w:szCs w:val="24"/>
        </w:rPr>
        <w:t>делатност</w:t>
      </w:r>
      <w:r w:rsidRPr="00FB5A28">
        <w:rPr>
          <w:rFonts w:ascii="Times New Roman" w:hAnsi="Times New Roman"/>
          <w:sz w:val="24"/>
          <w:szCs w:val="24"/>
        </w:rPr>
        <w:t xml:space="preserve"> </w:t>
      </w:r>
      <w:r w:rsidR="005F720D" w:rsidRPr="00FB5A28">
        <w:rPr>
          <w:rFonts w:ascii="Times New Roman" w:hAnsi="Times New Roman"/>
          <w:sz w:val="24"/>
          <w:szCs w:val="24"/>
        </w:rPr>
        <w:t>на</w:t>
      </w:r>
      <w:r w:rsidRPr="00FB5A28">
        <w:rPr>
          <w:rFonts w:ascii="Times New Roman" w:hAnsi="Times New Roman"/>
          <w:sz w:val="24"/>
          <w:szCs w:val="24"/>
        </w:rPr>
        <w:t xml:space="preserve"> </w:t>
      </w:r>
      <w:r w:rsidR="005F720D" w:rsidRPr="00FB5A28">
        <w:rPr>
          <w:rFonts w:ascii="Times New Roman" w:hAnsi="Times New Roman"/>
          <w:sz w:val="24"/>
          <w:szCs w:val="24"/>
        </w:rPr>
        <w:t>истој</w:t>
      </w:r>
      <w:r w:rsidRPr="00FB5A28">
        <w:rPr>
          <w:rFonts w:ascii="Times New Roman" w:hAnsi="Times New Roman"/>
          <w:sz w:val="24"/>
          <w:szCs w:val="24"/>
        </w:rPr>
        <w:t xml:space="preserve"> </w:t>
      </w:r>
      <w:r w:rsidR="005F720D" w:rsidRPr="00FB5A28">
        <w:rPr>
          <w:rFonts w:ascii="Times New Roman" w:hAnsi="Times New Roman"/>
          <w:sz w:val="24"/>
          <w:szCs w:val="24"/>
        </w:rPr>
        <w:t>или</w:t>
      </w:r>
      <w:r w:rsidRPr="00FB5A28">
        <w:rPr>
          <w:rFonts w:ascii="Times New Roman" w:hAnsi="Times New Roman"/>
          <w:sz w:val="24"/>
          <w:szCs w:val="24"/>
        </w:rPr>
        <w:t xml:space="preserve"> </w:t>
      </w:r>
      <w:r w:rsidR="005F720D" w:rsidRPr="00FB5A28">
        <w:rPr>
          <w:rFonts w:ascii="Times New Roman" w:hAnsi="Times New Roman"/>
          <w:sz w:val="24"/>
          <w:szCs w:val="24"/>
        </w:rPr>
        <w:t>сличној</w:t>
      </w:r>
      <w:r w:rsidRPr="00FB5A28">
        <w:rPr>
          <w:rFonts w:ascii="Times New Roman" w:hAnsi="Times New Roman"/>
          <w:sz w:val="24"/>
          <w:szCs w:val="24"/>
        </w:rPr>
        <w:t xml:space="preserve"> </w:t>
      </w:r>
      <w:r w:rsidR="005F720D" w:rsidRPr="00FB5A28">
        <w:rPr>
          <w:rFonts w:ascii="Times New Roman" w:hAnsi="Times New Roman"/>
          <w:sz w:val="24"/>
          <w:szCs w:val="24"/>
        </w:rPr>
        <w:t>локацији</w:t>
      </w:r>
      <w:r w:rsidRPr="00FB5A28">
        <w:rPr>
          <w:rFonts w:ascii="Times New Roman" w:hAnsi="Times New Roman"/>
          <w:sz w:val="24"/>
          <w:szCs w:val="24"/>
        </w:rPr>
        <w:t xml:space="preserve">, </w:t>
      </w:r>
      <w:r w:rsidR="005F720D" w:rsidRPr="00FB5A28">
        <w:rPr>
          <w:rFonts w:ascii="Times New Roman" w:hAnsi="Times New Roman"/>
          <w:sz w:val="24"/>
          <w:szCs w:val="24"/>
        </w:rPr>
        <w:t>под</w:t>
      </w:r>
      <w:r w:rsidRPr="00FB5A28">
        <w:rPr>
          <w:rFonts w:ascii="Times New Roman" w:hAnsi="Times New Roman"/>
          <w:sz w:val="24"/>
          <w:szCs w:val="24"/>
        </w:rPr>
        <w:t xml:space="preserve"> </w:t>
      </w:r>
      <w:r w:rsidR="005F720D" w:rsidRPr="00FB5A28">
        <w:rPr>
          <w:rFonts w:ascii="Times New Roman" w:hAnsi="Times New Roman"/>
          <w:sz w:val="24"/>
          <w:szCs w:val="24"/>
        </w:rPr>
        <w:t>приближно</w:t>
      </w:r>
      <w:r w:rsidRPr="00FB5A28">
        <w:rPr>
          <w:rFonts w:ascii="Times New Roman" w:hAnsi="Times New Roman"/>
          <w:sz w:val="24"/>
          <w:szCs w:val="24"/>
        </w:rPr>
        <w:t xml:space="preserve"> </w:t>
      </w:r>
      <w:r w:rsidR="005F720D" w:rsidRPr="00FB5A28">
        <w:rPr>
          <w:rFonts w:ascii="Times New Roman" w:hAnsi="Times New Roman"/>
          <w:sz w:val="24"/>
          <w:szCs w:val="24"/>
        </w:rPr>
        <w:t>једнаким</w:t>
      </w:r>
      <w:r w:rsidRPr="00FB5A28">
        <w:rPr>
          <w:rFonts w:ascii="Times New Roman" w:hAnsi="Times New Roman"/>
          <w:sz w:val="24"/>
          <w:szCs w:val="24"/>
        </w:rPr>
        <w:t xml:space="preserve"> </w:t>
      </w:r>
      <w:r w:rsidR="005F720D" w:rsidRPr="00FB5A28">
        <w:rPr>
          <w:rFonts w:ascii="Times New Roman" w:hAnsi="Times New Roman"/>
          <w:sz w:val="24"/>
          <w:szCs w:val="24"/>
        </w:rPr>
        <w:t>условима</w:t>
      </w:r>
      <w:r w:rsidRPr="00FB5A28">
        <w:rPr>
          <w:rFonts w:ascii="Times New Roman" w:hAnsi="Times New Roman"/>
          <w:sz w:val="24"/>
          <w:szCs w:val="24"/>
        </w:rPr>
        <w:t>.</w:t>
      </w:r>
    </w:p>
    <w:p w:rsidR="001954C8" w:rsidRPr="00FB5A28" w:rsidRDefault="001954C8" w:rsidP="00FB5A28">
      <w:pPr>
        <w:jc w:val="both"/>
        <w:rPr>
          <w:rFonts w:ascii="Times New Roman" w:hAnsi="Times New Roman"/>
          <w:sz w:val="24"/>
          <w:szCs w:val="24"/>
          <w:lang w:val="sr-Cyrl-CS"/>
        </w:rPr>
      </w:pPr>
    </w:p>
    <w:p w:rsidR="001954C8" w:rsidRPr="00FB5A28" w:rsidRDefault="005F720D" w:rsidP="00FB5A28">
      <w:pPr>
        <w:ind w:firstLine="708"/>
        <w:jc w:val="both"/>
        <w:rPr>
          <w:rFonts w:ascii="Times New Roman" w:hAnsi="Times New Roman"/>
          <w:sz w:val="24"/>
          <w:szCs w:val="24"/>
          <w:lang w:val="sr-Cyrl-CS"/>
        </w:rPr>
      </w:pPr>
      <w:bookmarkStart w:id="59" w:name="str_73"/>
      <w:bookmarkEnd w:id="59"/>
      <w:r w:rsidRPr="00FB5A28">
        <w:rPr>
          <w:rFonts w:ascii="Times New Roman" w:hAnsi="Times New Roman"/>
          <w:sz w:val="24"/>
          <w:szCs w:val="24"/>
        </w:rPr>
        <w:t>Метода</w:t>
      </w:r>
      <w:r w:rsidR="00717D0E" w:rsidRPr="00FB5A28">
        <w:rPr>
          <w:rFonts w:ascii="Times New Roman" w:hAnsi="Times New Roman"/>
          <w:sz w:val="24"/>
          <w:szCs w:val="24"/>
        </w:rPr>
        <w:t xml:space="preserve"> </w:t>
      </w:r>
      <w:r w:rsidRPr="00FB5A28">
        <w:rPr>
          <w:rFonts w:ascii="Times New Roman" w:hAnsi="Times New Roman"/>
          <w:sz w:val="24"/>
          <w:szCs w:val="24"/>
        </w:rPr>
        <w:t>унакрсне</w:t>
      </w:r>
      <w:r w:rsidR="00717D0E" w:rsidRPr="00FB5A28">
        <w:rPr>
          <w:rFonts w:ascii="Times New Roman" w:hAnsi="Times New Roman"/>
          <w:sz w:val="24"/>
          <w:szCs w:val="24"/>
        </w:rPr>
        <w:t xml:space="preserve"> </w:t>
      </w:r>
      <w:r w:rsidRPr="00FB5A28">
        <w:rPr>
          <w:rFonts w:ascii="Times New Roman" w:hAnsi="Times New Roman"/>
          <w:sz w:val="24"/>
          <w:szCs w:val="24"/>
        </w:rPr>
        <w:t>процене</w:t>
      </w:r>
      <w:r w:rsidR="00717D0E" w:rsidRPr="00FB5A28">
        <w:rPr>
          <w:rFonts w:ascii="Times New Roman" w:hAnsi="Times New Roman"/>
          <w:sz w:val="24"/>
          <w:szCs w:val="24"/>
        </w:rPr>
        <w:t xml:space="preserve"> </w:t>
      </w:r>
      <w:r w:rsidRPr="00FB5A28">
        <w:rPr>
          <w:rFonts w:ascii="Times New Roman" w:hAnsi="Times New Roman"/>
          <w:sz w:val="24"/>
          <w:szCs w:val="24"/>
        </w:rPr>
        <w:t>пореске</w:t>
      </w:r>
      <w:r w:rsidR="00717D0E" w:rsidRPr="00FB5A28">
        <w:rPr>
          <w:rFonts w:ascii="Times New Roman" w:hAnsi="Times New Roman"/>
          <w:sz w:val="24"/>
          <w:szCs w:val="24"/>
        </w:rPr>
        <w:t xml:space="preserve"> </w:t>
      </w:r>
      <w:r w:rsidRPr="00FB5A28">
        <w:rPr>
          <w:rFonts w:ascii="Times New Roman" w:hAnsi="Times New Roman"/>
          <w:sz w:val="24"/>
          <w:szCs w:val="24"/>
        </w:rPr>
        <w:t>основице</w:t>
      </w:r>
      <w:r w:rsidR="00717D0E" w:rsidRPr="00FB5A28">
        <w:rPr>
          <w:rFonts w:ascii="Times New Roman" w:hAnsi="Times New Roman"/>
          <w:sz w:val="24"/>
          <w:szCs w:val="24"/>
        </w:rPr>
        <w:t xml:space="preserve"> </w:t>
      </w:r>
      <w:r w:rsidRPr="00FB5A28">
        <w:rPr>
          <w:rFonts w:ascii="Times New Roman" w:hAnsi="Times New Roman"/>
          <w:sz w:val="24"/>
          <w:szCs w:val="24"/>
        </w:rPr>
        <w:t>користи</w:t>
      </w:r>
      <w:r w:rsidR="00717D0E" w:rsidRPr="00FB5A28">
        <w:rPr>
          <w:rFonts w:ascii="Times New Roman" w:hAnsi="Times New Roman"/>
          <w:sz w:val="24"/>
          <w:szCs w:val="24"/>
        </w:rPr>
        <w:t xml:space="preserve"> </w:t>
      </w:r>
      <w:r w:rsidRPr="00FB5A28">
        <w:rPr>
          <w:rFonts w:ascii="Times New Roman" w:hAnsi="Times New Roman"/>
          <w:sz w:val="24"/>
          <w:szCs w:val="24"/>
        </w:rPr>
        <w:t>се</w:t>
      </w:r>
      <w:r w:rsidR="00717D0E" w:rsidRPr="00FB5A28">
        <w:rPr>
          <w:rFonts w:ascii="Times New Roman" w:hAnsi="Times New Roman"/>
          <w:sz w:val="24"/>
          <w:szCs w:val="24"/>
        </w:rPr>
        <w:t xml:space="preserve"> </w:t>
      </w:r>
      <w:r w:rsidRPr="00FB5A28">
        <w:rPr>
          <w:rFonts w:ascii="Times New Roman" w:hAnsi="Times New Roman"/>
          <w:sz w:val="24"/>
          <w:szCs w:val="24"/>
        </w:rPr>
        <w:t>за</w:t>
      </w:r>
      <w:r w:rsidR="00717D0E" w:rsidRPr="00FB5A28">
        <w:rPr>
          <w:rFonts w:ascii="Times New Roman" w:hAnsi="Times New Roman"/>
          <w:sz w:val="24"/>
          <w:szCs w:val="24"/>
        </w:rPr>
        <w:t xml:space="preserve"> </w:t>
      </w:r>
      <w:r w:rsidRPr="00FB5A28">
        <w:rPr>
          <w:rFonts w:ascii="Times New Roman" w:hAnsi="Times New Roman"/>
          <w:sz w:val="24"/>
          <w:szCs w:val="24"/>
        </w:rPr>
        <w:t>утврђивање</w:t>
      </w:r>
      <w:r w:rsidR="00717D0E" w:rsidRPr="00FB5A28">
        <w:rPr>
          <w:rFonts w:ascii="Times New Roman" w:hAnsi="Times New Roman"/>
          <w:sz w:val="24"/>
          <w:szCs w:val="24"/>
        </w:rPr>
        <w:t xml:space="preserve"> </w:t>
      </w:r>
      <w:r w:rsidRPr="00FB5A28">
        <w:rPr>
          <w:rFonts w:ascii="Times New Roman" w:hAnsi="Times New Roman"/>
          <w:sz w:val="24"/>
          <w:szCs w:val="24"/>
        </w:rPr>
        <w:t>основице</w:t>
      </w:r>
      <w:r w:rsidR="00717D0E" w:rsidRPr="00FB5A28">
        <w:rPr>
          <w:rFonts w:ascii="Times New Roman" w:hAnsi="Times New Roman"/>
          <w:sz w:val="24"/>
          <w:szCs w:val="24"/>
        </w:rPr>
        <w:t xml:space="preserve"> </w:t>
      </w:r>
      <w:r w:rsidRPr="00FB5A28">
        <w:rPr>
          <w:rFonts w:ascii="Times New Roman" w:hAnsi="Times New Roman"/>
          <w:sz w:val="24"/>
          <w:szCs w:val="24"/>
        </w:rPr>
        <w:t>пореза</w:t>
      </w:r>
      <w:r w:rsidR="00717D0E" w:rsidRPr="00FB5A28">
        <w:rPr>
          <w:rFonts w:ascii="Times New Roman" w:hAnsi="Times New Roman"/>
          <w:sz w:val="24"/>
          <w:szCs w:val="24"/>
        </w:rPr>
        <w:t xml:space="preserve"> </w:t>
      </w:r>
      <w:r w:rsidRPr="00FB5A28">
        <w:rPr>
          <w:rFonts w:ascii="Times New Roman" w:hAnsi="Times New Roman"/>
          <w:sz w:val="24"/>
          <w:szCs w:val="24"/>
        </w:rPr>
        <w:t>на</w:t>
      </w:r>
      <w:r w:rsidR="00717D0E" w:rsidRPr="00FB5A28">
        <w:rPr>
          <w:rFonts w:ascii="Times New Roman" w:hAnsi="Times New Roman"/>
          <w:sz w:val="24"/>
          <w:szCs w:val="24"/>
        </w:rPr>
        <w:t xml:space="preserve"> </w:t>
      </w:r>
      <w:r w:rsidRPr="00FB5A28">
        <w:rPr>
          <w:rFonts w:ascii="Times New Roman" w:hAnsi="Times New Roman"/>
          <w:sz w:val="24"/>
          <w:szCs w:val="24"/>
        </w:rPr>
        <w:t>доходак</w:t>
      </w:r>
      <w:r w:rsidR="00717D0E" w:rsidRPr="00FB5A28">
        <w:rPr>
          <w:rFonts w:ascii="Times New Roman" w:hAnsi="Times New Roman"/>
          <w:sz w:val="24"/>
          <w:szCs w:val="24"/>
        </w:rPr>
        <w:t xml:space="preserve"> </w:t>
      </w:r>
      <w:r w:rsidRPr="00FB5A28">
        <w:rPr>
          <w:rFonts w:ascii="Times New Roman" w:hAnsi="Times New Roman"/>
          <w:sz w:val="24"/>
          <w:szCs w:val="24"/>
        </w:rPr>
        <w:t>грађана</w:t>
      </w:r>
      <w:r w:rsidR="00717D0E" w:rsidRPr="00FB5A28">
        <w:rPr>
          <w:rFonts w:ascii="Times New Roman" w:hAnsi="Times New Roman"/>
          <w:sz w:val="24"/>
          <w:szCs w:val="24"/>
        </w:rPr>
        <w:t>.</w:t>
      </w:r>
      <w:r w:rsidR="00213488" w:rsidRPr="00FB5A28">
        <w:rPr>
          <w:rFonts w:ascii="Times New Roman" w:hAnsi="Times New Roman"/>
          <w:sz w:val="24"/>
          <w:szCs w:val="24"/>
          <w:lang w:val="sr-Cyrl-CS"/>
        </w:rPr>
        <w:t xml:space="preserve"> </w:t>
      </w:r>
      <w:r w:rsidRPr="00FB5A28">
        <w:rPr>
          <w:rFonts w:ascii="Times New Roman" w:hAnsi="Times New Roman"/>
          <w:sz w:val="24"/>
          <w:szCs w:val="24"/>
        </w:rPr>
        <w:t>Основица</w:t>
      </w:r>
      <w:r w:rsidR="00717D0E" w:rsidRPr="00FB5A28">
        <w:rPr>
          <w:rFonts w:ascii="Times New Roman" w:hAnsi="Times New Roman"/>
          <w:sz w:val="24"/>
          <w:szCs w:val="24"/>
        </w:rPr>
        <w:t xml:space="preserve"> </w:t>
      </w:r>
      <w:r w:rsidR="001954C8" w:rsidRPr="00FB5A28">
        <w:rPr>
          <w:rFonts w:ascii="Times New Roman" w:hAnsi="Times New Roman"/>
          <w:sz w:val="24"/>
          <w:szCs w:val="24"/>
          <w:lang w:val="sr-Cyrl-CS"/>
        </w:rPr>
        <w:t>се</w:t>
      </w:r>
      <w:r w:rsidR="001954C8" w:rsidRPr="00FB5A28">
        <w:rPr>
          <w:rFonts w:ascii="Times New Roman" w:hAnsi="Times New Roman"/>
          <w:sz w:val="24"/>
          <w:szCs w:val="24"/>
        </w:rPr>
        <w:t xml:space="preserve"> </w:t>
      </w:r>
      <w:r w:rsidRPr="00FB5A28">
        <w:rPr>
          <w:rFonts w:ascii="Times New Roman" w:hAnsi="Times New Roman"/>
          <w:sz w:val="24"/>
          <w:szCs w:val="24"/>
        </w:rPr>
        <w:t>утврђује</w:t>
      </w:r>
      <w:r w:rsidR="001954C8" w:rsidRPr="00FB5A28">
        <w:rPr>
          <w:rFonts w:ascii="Times New Roman" w:hAnsi="Times New Roman"/>
          <w:sz w:val="24"/>
          <w:szCs w:val="24"/>
        </w:rPr>
        <w:t xml:space="preserve"> </w:t>
      </w:r>
      <w:r w:rsidR="00717D0E" w:rsidRPr="00FB5A28">
        <w:rPr>
          <w:rFonts w:ascii="Times New Roman" w:hAnsi="Times New Roman"/>
          <w:sz w:val="24"/>
          <w:szCs w:val="24"/>
        </w:rPr>
        <w:t xml:space="preserve"> </w:t>
      </w:r>
      <w:r w:rsidRPr="00FB5A28">
        <w:rPr>
          <w:rFonts w:ascii="Times New Roman" w:hAnsi="Times New Roman"/>
          <w:sz w:val="24"/>
          <w:szCs w:val="24"/>
        </w:rPr>
        <w:t>као</w:t>
      </w:r>
      <w:r w:rsidR="00717D0E" w:rsidRPr="00FB5A28">
        <w:rPr>
          <w:rFonts w:ascii="Times New Roman" w:hAnsi="Times New Roman"/>
          <w:sz w:val="24"/>
          <w:szCs w:val="24"/>
        </w:rPr>
        <w:t xml:space="preserve"> </w:t>
      </w:r>
      <w:r w:rsidRPr="00FB5A28">
        <w:rPr>
          <w:rFonts w:ascii="Times New Roman" w:hAnsi="Times New Roman"/>
          <w:sz w:val="24"/>
          <w:szCs w:val="24"/>
        </w:rPr>
        <w:t>разлика</w:t>
      </w:r>
      <w:r w:rsidR="00717D0E" w:rsidRPr="00FB5A28">
        <w:rPr>
          <w:rFonts w:ascii="Times New Roman" w:hAnsi="Times New Roman"/>
          <w:sz w:val="24"/>
          <w:szCs w:val="24"/>
        </w:rPr>
        <w:t xml:space="preserve"> </w:t>
      </w:r>
      <w:r w:rsidRPr="00FB5A28">
        <w:rPr>
          <w:rFonts w:ascii="Times New Roman" w:hAnsi="Times New Roman"/>
          <w:sz w:val="24"/>
          <w:szCs w:val="24"/>
        </w:rPr>
        <w:t>између</w:t>
      </w:r>
      <w:r w:rsidR="00717D0E" w:rsidRPr="00FB5A28">
        <w:rPr>
          <w:rFonts w:ascii="Times New Roman" w:hAnsi="Times New Roman"/>
          <w:sz w:val="24"/>
          <w:szCs w:val="24"/>
        </w:rPr>
        <w:t xml:space="preserve"> </w:t>
      </w:r>
      <w:r w:rsidRPr="00FB5A28">
        <w:rPr>
          <w:rFonts w:ascii="Times New Roman" w:hAnsi="Times New Roman"/>
          <w:sz w:val="24"/>
          <w:szCs w:val="24"/>
        </w:rPr>
        <w:t>вредности</w:t>
      </w:r>
      <w:r w:rsidR="00717D0E" w:rsidRPr="00FB5A28">
        <w:rPr>
          <w:rFonts w:ascii="Times New Roman" w:hAnsi="Times New Roman"/>
          <w:sz w:val="24"/>
          <w:szCs w:val="24"/>
        </w:rPr>
        <w:t xml:space="preserve"> </w:t>
      </w:r>
      <w:r w:rsidRPr="00FB5A28">
        <w:rPr>
          <w:rFonts w:ascii="Times New Roman" w:hAnsi="Times New Roman"/>
          <w:sz w:val="24"/>
          <w:szCs w:val="24"/>
        </w:rPr>
        <w:t>имовине</w:t>
      </w:r>
      <w:r w:rsidR="00717D0E" w:rsidRPr="00FB5A28">
        <w:rPr>
          <w:rFonts w:ascii="Times New Roman" w:hAnsi="Times New Roman"/>
          <w:sz w:val="24"/>
          <w:szCs w:val="24"/>
        </w:rPr>
        <w:t xml:space="preserve"> </w:t>
      </w:r>
      <w:r w:rsidRPr="00FB5A28">
        <w:rPr>
          <w:rFonts w:ascii="Times New Roman" w:hAnsi="Times New Roman"/>
          <w:sz w:val="24"/>
          <w:szCs w:val="24"/>
        </w:rPr>
        <w:t>на</w:t>
      </w:r>
      <w:r w:rsidR="00717D0E" w:rsidRPr="00FB5A28">
        <w:rPr>
          <w:rFonts w:ascii="Times New Roman" w:hAnsi="Times New Roman"/>
          <w:sz w:val="24"/>
          <w:szCs w:val="24"/>
        </w:rPr>
        <w:t xml:space="preserve"> </w:t>
      </w:r>
      <w:r w:rsidRPr="00FB5A28">
        <w:rPr>
          <w:rFonts w:ascii="Times New Roman" w:hAnsi="Times New Roman"/>
          <w:sz w:val="24"/>
          <w:szCs w:val="24"/>
        </w:rPr>
        <w:t>крају</w:t>
      </w:r>
      <w:r w:rsidR="00717D0E" w:rsidRPr="00FB5A28">
        <w:rPr>
          <w:rFonts w:ascii="Times New Roman" w:hAnsi="Times New Roman"/>
          <w:sz w:val="24"/>
          <w:szCs w:val="24"/>
        </w:rPr>
        <w:t xml:space="preserve"> </w:t>
      </w:r>
      <w:r w:rsidRPr="00FB5A28">
        <w:rPr>
          <w:rFonts w:ascii="Times New Roman" w:hAnsi="Times New Roman"/>
          <w:sz w:val="24"/>
          <w:szCs w:val="24"/>
        </w:rPr>
        <w:t>и</w:t>
      </w:r>
      <w:r w:rsidR="00717D0E" w:rsidRPr="00FB5A28">
        <w:rPr>
          <w:rFonts w:ascii="Times New Roman" w:hAnsi="Times New Roman"/>
          <w:sz w:val="24"/>
          <w:szCs w:val="24"/>
        </w:rPr>
        <w:t xml:space="preserve"> </w:t>
      </w:r>
      <w:r w:rsidRPr="00FB5A28">
        <w:rPr>
          <w:rFonts w:ascii="Times New Roman" w:hAnsi="Times New Roman"/>
          <w:sz w:val="24"/>
          <w:szCs w:val="24"/>
        </w:rPr>
        <w:t>на</w:t>
      </w:r>
      <w:r w:rsidR="00717D0E" w:rsidRPr="00FB5A28">
        <w:rPr>
          <w:rFonts w:ascii="Times New Roman" w:hAnsi="Times New Roman"/>
          <w:sz w:val="24"/>
          <w:szCs w:val="24"/>
        </w:rPr>
        <w:t xml:space="preserve"> </w:t>
      </w:r>
      <w:r w:rsidRPr="00FB5A28">
        <w:rPr>
          <w:rFonts w:ascii="Times New Roman" w:hAnsi="Times New Roman"/>
          <w:sz w:val="24"/>
          <w:szCs w:val="24"/>
        </w:rPr>
        <w:t>почетку</w:t>
      </w:r>
      <w:r w:rsidR="00717D0E" w:rsidRPr="00FB5A28">
        <w:rPr>
          <w:rFonts w:ascii="Times New Roman" w:hAnsi="Times New Roman"/>
          <w:sz w:val="24"/>
          <w:szCs w:val="24"/>
        </w:rPr>
        <w:t xml:space="preserve"> </w:t>
      </w:r>
      <w:r w:rsidRPr="00FB5A28">
        <w:rPr>
          <w:rFonts w:ascii="Times New Roman" w:hAnsi="Times New Roman"/>
          <w:sz w:val="24"/>
          <w:szCs w:val="24"/>
        </w:rPr>
        <w:t>календарске</w:t>
      </w:r>
      <w:r w:rsidR="00717D0E" w:rsidRPr="00FB5A28">
        <w:rPr>
          <w:rFonts w:ascii="Times New Roman" w:hAnsi="Times New Roman"/>
          <w:sz w:val="24"/>
          <w:szCs w:val="24"/>
        </w:rPr>
        <w:t xml:space="preserve"> </w:t>
      </w:r>
      <w:r w:rsidRPr="00FB5A28">
        <w:rPr>
          <w:rFonts w:ascii="Times New Roman" w:hAnsi="Times New Roman"/>
          <w:sz w:val="24"/>
          <w:szCs w:val="24"/>
        </w:rPr>
        <w:t>године</w:t>
      </w:r>
      <w:r w:rsidR="00717D0E" w:rsidRPr="00FB5A28">
        <w:rPr>
          <w:rFonts w:ascii="Times New Roman" w:hAnsi="Times New Roman"/>
          <w:sz w:val="24"/>
          <w:szCs w:val="24"/>
        </w:rPr>
        <w:t xml:space="preserve"> </w:t>
      </w:r>
      <w:r w:rsidRPr="00FB5A28">
        <w:rPr>
          <w:rFonts w:ascii="Times New Roman" w:hAnsi="Times New Roman"/>
          <w:sz w:val="24"/>
          <w:szCs w:val="24"/>
        </w:rPr>
        <w:t>умањена</w:t>
      </w:r>
      <w:r w:rsidR="00717D0E" w:rsidRPr="00FB5A28">
        <w:rPr>
          <w:rFonts w:ascii="Times New Roman" w:hAnsi="Times New Roman"/>
          <w:sz w:val="24"/>
          <w:szCs w:val="24"/>
        </w:rPr>
        <w:t xml:space="preserve"> </w:t>
      </w:r>
      <w:r w:rsidRPr="00FB5A28">
        <w:rPr>
          <w:rFonts w:ascii="Times New Roman" w:hAnsi="Times New Roman"/>
          <w:sz w:val="24"/>
          <w:szCs w:val="24"/>
        </w:rPr>
        <w:t>за</w:t>
      </w:r>
      <w:r w:rsidR="00717D0E" w:rsidRPr="00FB5A28">
        <w:rPr>
          <w:rFonts w:ascii="Times New Roman" w:hAnsi="Times New Roman"/>
          <w:sz w:val="24"/>
          <w:szCs w:val="24"/>
        </w:rPr>
        <w:t xml:space="preserve"> </w:t>
      </w:r>
      <w:r w:rsidRPr="00FB5A28">
        <w:rPr>
          <w:rFonts w:ascii="Times New Roman" w:hAnsi="Times New Roman"/>
          <w:sz w:val="24"/>
          <w:szCs w:val="24"/>
        </w:rPr>
        <w:t>износ</w:t>
      </w:r>
      <w:r w:rsidR="00717D0E" w:rsidRPr="00FB5A28">
        <w:rPr>
          <w:rFonts w:ascii="Times New Roman" w:hAnsi="Times New Roman"/>
          <w:sz w:val="24"/>
          <w:szCs w:val="24"/>
        </w:rPr>
        <w:t xml:space="preserve"> </w:t>
      </w:r>
      <w:r w:rsidRPr="00FB5A28">
        <w:rPr>
          <w:rFonts w:ascii="Times New Roman" w:hAnsi="Times New Roman"/>
          <w:sz w:val="24"/>
          <w:szCs w:val="24"/>
        </w:rPr>
        <w:t>пријављеног</w:t>
      </w:r>
      <w:r w:rsidR="00717D0E" w:rsidRPr="00FB5A28">
        <w:rPr>
          <w:rFonts w:ascii="Times New Roman" w:hAnsi="Times New Roman"/>
          <w:sz w:val="24"/>
          <w:szCs w:val="24"/>
        </w:rPr>
        <w:t xml:space="preserve"> </w:t>
      </w:r>
      <w:r w:rsidRPr="00FB5A28">
        <w:rPr>
          <w:rFonts w:ascii="Times New Roman" w:hAnsi="Times New Roman"/>
          <w:sz w:val="24"/>
          <w:szCs w:val="24"/>
        </w:rPr>
        <w:t>дохотка</w:t>
      </w:r>
      <w:r w:rsidR="00717D0E" w:rsidRPr="00FB5A28">
        <w:rPr>
          <w:rFonts w:ascii="Times New Roman" w:hAnsi="Times New Roman"/>
          <w:sz w:val="24"/>
          <w:szCs w:val="24"/>
        </w:rPr>
        <w:t xml:space="preserve"> </w:t>
      </w:r>
      <w:r w:rsidRPr="00FB5A28">
        <w:rPr>
          <w:rFonts w:ascii="Times New Roman" w:hAnsi="Times New Roman"/>
          <w:sz w:val="24"/>
          <w:szCs w:val="24"/>
        </w:rPr>
        <w:t>и</w:t>
      </w:r>
      <w:r w:rsidR="00717D0E" w:rsidRPr="00FB5A28">
        <w:rPr>
          <w:rFonts w:ascii="Times New Roman" w:hAnsi="Times New Roman"/>
          <w:sz w:val="24"/>
          <w:szCs w:val="24"/>
        </w:rPr>
        <w:t xml:space="preserve"> </w:t>
      </w:r>
      <w:r w:rsidRPr="00FB5A28">
        <w:rPr>
          <w:rFonts w:ascii="Times New Roman" w:hAnsi="Times New Roman"/>
          <w:sz w:val="24"/>
          <w:szCs w:val="24"/>
        </w:rPr>
        <w:t>за</w:t>
      </w:r>
      <w:r w:rsidR="00717D0E" w:rsidRPr="00FB5A28">
        <w:rPr>
          <w:rFonts w:ascii="Times New Roman" w:hAnsi="Times New Roman"/>
          <w:sz w:val="24"/>
          <w:szCs w:val="24"/>
        </w:rPr>
        <w:t xml:space="preserve"> </w:t>
      </w:r>
      <w:r w:rsidRPr="00FB5A28">
        <w:rPr>
          <w:rFonts w:ascii="Times New Roman" w:hAnsi="Times New Roman"/>
          <w:sz w:val="24"/>
          <w:szCs w:val="24"/>
        </w:rPr>
        <w:t>вредност</w:t>
      </w:r>
      <w:r w:rsidR="00717D0E" w:rsidRPr="00FB5A28">
        <w:rPr>
          <w:rFonts w:ascii="Times New Roman" w:hAnsi="Times New Roman"/>
          <w:sz w:val="24"/>
          <w:szCs w:val="24"/>
        </w:rPr>
        <w:t xml:space="preserve"> </w:t>
      </w:r>
      <w:r w:rsidRPr="00FB5A28">
        <w:rPr>
          <w:rFonts w:ascii="Times New Roman" w:hAnsi="Times New Roman"/>
          <w:sz w:val="24"/>
          <w:szCs w:val="24"/>
        </w:rPr>
        <w:t>имовине</w:t>
      </w:r>
      <w:r w:rsidR="00717D0E" w:rsidRPr="00FB5A28">
        <w:rPr>
          <w:rFonts w:ascii="Times New Roman" w:hAnsi="Times New Roman"/>
          <w:sz w:val="24"/>
          <w:szCs w:val="24"/>
        </w:rPr>
        <w:t xml:space="preserve"> </w:t>
      </w:r>
      <w:r w:rsidRPr="00FB5A28">
        <w:rPr>
          <w:rFonts w:ascii="Times New Roman" w:hAnsi="Times New Roman"/>
          <w:sz w:val="24"/>
          <w:szCs w:val="24"/>
        </w:rPr>
        <w:t>прибављене</w:t>
      </w:r>
      <w:r w:rsidR="00717D0E" w:rsidRPr="00FB5A28">
        <w:rPr>
          <w:rFonts w:ascii="Times New Roman" w:hAnsi="Times New Roman"/>
          <w:sz w:val="24"/>
          <w:szCs w:val="24"/>
        </w:rPr>
        <w:t xml:space="preserve"> </w:t>
      </w:r>
      <w:r w:rsidRPr="00FB5A28">
        <w:rPr>
          <w:rFonts w:ascii="Times New Roman" w:hAnsi="Times New Roman"/>
          <w:sz w:val="24"/>
          <w:szCs w:val="24"/>
        </w:rPr>
        <w:t>средствима</w:t>
      </w:r>
      <w:r w:rsidR="00717D0E" w:rsidRPr="00FB5A28">
        <w:rPr>
          <w:rFonts w:ascii="Times New Roman" w:hAnsi="Times New Roman"/>
          <w:sz w:val="24"/>
          <w:szCs w:val="24"/>
        </w:rPr>
        <w:t xml:space="preserve"> </w:t>
      </w:r>
      <w:r w:rsidRPr="00FB5A28">
        <w:rPr>
          <w:rFonts w:ascii="Times New Roman" w:hAnsi="Times New Roman"/>
          <w:sz w:val="24"/>
          <w:szCs w:val="24"/>
        </w:rPr>
        <w:t>стеченим</w:t>
      </w:r>
      <w:r w:rsidR="00717D0E" w:rsidRPr="00FB5A28">
        <w:rPr>
          <w:rFonts w:ascii="Times New Roman" w:hAnsi="Times New Roman"/>
          <w:sz w:val="24"/>
          <w:szCs w:val="24"/>
        </w:rPr>
        <w:t xml:space="preserve"> </w:t>
      </w:r>
      <w:r w:rsidRPr="00FB5A28">
        <w:rPr>
          <w:rFonts w:ascii="Times New Roman" w:hAnsi="Times New Roman"/>
          <w:sz w:val="24"/>
          <w:szCs w:val="24"/>
        </w:rPr>
        <w:t>наслеђем</w:t>
      </w:r>
      <w:r w:rsidR="00717D0E" w:rsidRPr="00FB5A28">
        <w:rPr>
          <w:rFonts w:ascii="Times New Roman" w:hAnsi="Times New Roman"/>
          <w:sz w:val="24"/>
          <w:szCs w:val="24"/>
        </w:rPr>
        <w:t xml:space="preserve">, </w:t>
      </w:r>
      <w:r w:rsidRPr="00FB5A28">
        <w:rPr>
          <w:rFonts w:ascii="Times New Roman" w:hAnsi="Times New Roman"/>
          <w:sz w:val="24"/>
          <w:szCs w:val="24"/>
        </w:rPr>
        <w:t>поклоном</w:t>
      </w:r>
      <w:r w:rsidR="00717D0E" w:rsidRPr="00FB5A28">
        <w:rPr>
          <w:rFonts w:ascii="Times New Roman" w:hAnsi="Times New Roman"/>
          <w:sz w:val="24"/>
          <w:szCs w:val="24"/>
        </w:rPr>
        <w:t xml:space="preserve"> </w:t>
      </w:r>
      <w:r w:rsidRPr="00FB5A28">
        <w:rPr>
          <w:rFonts w:ascii="Times New Roman" w:hAnsi="Times New Roman"/>
          <w:sz w:val="24"/>
          <w:szCs w:val="24"/>
        </w:rPr>
        <w:t>или</w:t>
      </w:r>
      <w:r w:rsidR="00717D0E" w:rsidRPr="00FB5A28">
        <w:rPr>
          <w:rFonts w:ascii="Times New Roman" w:hAnsi="Times New Roman"/>
          <w:sz w:val="24"/>
          <w:szCs w:val="24"/>
        </w:rPr>
        <w:t xml:space="preserve"> </w:t>
      </w:r>
      <w:r w:rsidRPr="00FB5A28">
        <w:rPr>
          <w:rFonts w:ascii="Times New Roman" w:hAnsi="Times New Roman"/>
          <w:sz w:val="24"/>
          <w:szCs w:val="24"/>
        </w:rPr>
        <w:t>на</w:t>
      </w:r>
      <w:r w:rsidR="00717D0E" w:rsidRPr="00FB5A28">
        <w:rPr>
          <w:rFonts w:ascii="Times New Roman" w:hAnsi="Times New Roman"/>
          <w:sz w:val="24"/>
          <w:szCs w:val="24"/>
        </w:rPr>
        <w:t xml:space="preserve"> </w:t>
      </w:r>
      <w:r w:rsidRPr="00FB5A28">
        <w:rPr>
          <w:rFonts w:ascii="Times New Roman" w:hAnsi="Times New Roman"/>
          <w:sz w:val="24"/>
          <w:szCs w:val="24"/>
        </w:rPr>
        <w:t>други</w:t>
      </w:r>
      <w:r w:rsidR="00717D0E" w:rsidRPr="00FB5A28">
        <w:rPr>
          <w:rFonts w:ascii="Times New Roman" w:hAnsi="Times New Roman"/>
          <w:sz w:val="24"/>
          <w:szCs w:val="24"/>
        </w:rPr>
        <w:t xml:space="preserve"> </w:t>
      </w:r>
      <w:r w:rsidRPr="00FB5A28">
        <w:rPr>
          <w:rFonts w:ascii="Times New Roman" w:hAnsi="Times New Roman"/>
          <w:sz w:val="24"/>
          <w:szCs w:val="24"/>
        </w:rPr>
        <w:t>законит</w:t>
      </w:r>
      <w:r w:rsidR="00717D0E" w:rsidRPr="00FB5A28">
        <w:rPr>
          <w:rFonts w:ascii="Times New Roman" w:hAnsi="Times New Roman"/>
          <w:sz w:val="24"/>
          <w:szCs w:val="24"/>
        </w:rPr>
        <w:t xml:space="preserve"> </w:t>
      </w:r>
      <w:r w:rsidRPr="00FB5A28">
        <w:rPr>
          <w:rFonts w:ascii="Times New Roman" w:hAnsi="Times New Roman"/>
          <w:sz w:val="24"/>
          <w:szCs w:val="24"/>
        </w:rPr>
        <w:t>бестеретан</w:t>
      </w:r>
      <w:r w:rsidR="00717D0E" w:rsidRPr="00FB5A28">
        <w:rPr>
          <w:rFonts w:ascii="Times New Roman" w:hAnsi="Times New Roman"/>
          <w:sz w:val="24"/>
          <w:szCs w:val="24"/>
        </w:rPr>
        <w:t xml:space="preserve"> </w:t>
      </w:r>
      <w:r w:rsidRPr="00FB5A28">
        <w:rPr>
          <w:rFonts w:ascii="Times New Roman" w:hAnsi="Times New Roman"/>
          <w:sz w:val="24"/>
          <w:szCs w:val="24"/>
        </w:rPr>
        <w:t>начин</w:t>
      </w:r>
      <w:r w:rsidR="00717D0E" w:rsidRPr="00FB5A28">
        <w:rPr>
          <w:rFonts w:ascii="Times New Roman" w:hAnsi="Times New Roman"/>
          <w:sz w:val="24"/>
          <w:szCs w:val="24"/>
        </w:rPr>
        <w:t xml:space="preserve">, </w:t>
      </w:r>
      <w:r w:rsidRPr="00FB5A28">
        <w:rPr>
          <w:rFonts w:ascii="Times New Roman" w:hAnsi="Times New Roman"/>
          <w:sz w:val="24"/>
          <w:szCs w:val="24"/>
        </w:rPr>
        <w:t>као</w:t>
      </w:r>
      <w:r w:rsidR="00717D0E" w:rsidRPr="00FB5A28">
        <w:rPr>
          <w:rFonts w:ascii="Times New Roman" w:hAnsi="Times New Roman"/>
          <w:sz w:val="24"/>
          <w:szCs w:val="24"/>
        </w:rPr>
        <w:t xml:space="preserve"> </w:t>
      </w:r>
      <w:r w:rsidRPr="00FB5A28">
        <w:rPr>
          <w:rFonts w:ascii="Times New Roman" w:hAnsi="Times New Roman"/>
          <w:sz w:val="24"/>
          <w:szCs w:val="24"/>
        </w:rPr>
        <w:t>и</w:t>
      </w:r>
      <w:r w:rsidR="00717D0E" w:rsidRPr="00FB5A28">
        <w:rPr>
          <w:rFonts w:ascii="Times New Roman" w:hAnsi="Times New Roman"/>
          <w:sz w:val="24"/>
          <w:szCs w:val="24"/>
        </w:rPr>
        <w:t xml:space="preserve"> </w:t>
      </w:r>
      <w:r w:rsidRPr="00FB5A28">
        <w:rPr>
          <w:rFonts w:ascii="Times New Roman" w:hAnsi="Times New Roman"/>
          <w:sz w:val="24"/>
          <w:szCs w:val="24"/>
        </w:rPr>
        <w:t>за</w:t>
      </w:r>
      <w:r w:rsidR="00717D0E" w:rsidRPr="00FB5A28">
        <w:rPr>
          <w:rFonts w:ascii="Times New Roman" w:hAnsi="Times New Roman"/>
          <w:sz w:val="24"/>
          <w:szCs w:val="24"/>
        </w:rPr>
        <w:t xml:space="preserve"> </w:t>
      </w:r>
      <w:r w:rsidRPr="00FB5A28">
        <w:rPr>
          <w:rFonts w:ascii="Times New Roman" w:hAnsi="Times New Roman"/>
          <w:sz w:val="24"/>
          <w:szCs w:val="24"/>
        </w:rPr>
        <w:t>износ</w:t>
      </w:r>
      <w:r w:rsidR="00717D0E" w:rsidRPr="00FB5A28">
        <w:rPr>
          <w:rFonts w:ascii="Times New Roman" w:hAnsi="Times New Roman"/>
          <w:sz w:val="24"/>
          <w:szCs w:val="24"/>
        </w:rPr>
        <w:t xml:space="preserve"> </w:t>
      </w:r>
      <w:r w:rsidRPr="00FB5A28">
        <w:rPr>
          <w:rFonts w:ascii="Times New Roman" w:hAnsi="Times New Roman"/>
          <w:sz w:val="24"/>
          <w:szCs w:val="24"/>
        </w:rPr>
        <w:t>прихода</w:t>
      </w:r>
      <w:r w:rsidR="00717D0E" w:rsidRPr="00FB5A28">
        <w:rPr>
          <w:rFonts w:ascii="Times New Roman" w:hAnsi="Times New Roman"/>
          <w:sz w:val="24"/>
          <w:szCs w:val="24"/>
        </w:rPr>
        <w:t xml:space="preserve"> </w:t>
      </w:r>
      <w:r w:rsidRPr="00FB5A28">
        <w:rPr>
          <w:rFonts w:ascii="Times New Roman" w:hAnsi="Times New Roman"/>
          <w:sz w:val="24"/>
          <w:szCs w:val="24"/>
        </w:rPr>
        <w:t>који</w:t>
      </w:r>
      <w:r w:rsidR="00717D0E" w:rsidRPr="00FB5A28">
        <w:rPr>
          <w:rFonts w:ascii="Times New Roman" w:hAnsi="Times New Roman"/>
          <w:sz w:val="24"/>
          <w:szCs w:val="24"/>
        </w:rPr>
        <w:t xml:space="preserve"> </w:t>
      </w:r>
      <w:r w:rsidRPr="00FB5A28">
        <w:rPr>
          <w:rFonts w:ascii="Times New Roman" w:hAnsi="Times New Roman"/>
          <w:sz w:val="24"/>
          <w:szCs w:val="24"/>
        </w:rPr>
        <w:t>подлежу</w:t>
      </w:r>
      <w:r w:rsidR="00717D0E" w:rsidRPr="00FB5A28">
        <w:rPr>
          <w:rFonts w:ascii="Times New Roman" w:hAnsi="Times New Roman"/>
          <w:sz w:val="24"/>
          <w:szCs w:val="24"/>
        </w:rPr>
        <w:t xml:space="preserve"> </w:t>
      </w:r>
      <w:r w:rsidRPr="00FB5A28">
        <w:rPr>
          <w:rFonts w:ascii="Times New Roman" w:hAnsi="Times New Roman"/>
          <w:sz w:val="24"/>
          <w:szCs w:val="24"/>
        </w:rPr>
        <w:t>опорезивању</w:t>
      </w:r>
      <w:r w:rsidR="00717D0E" w:rsidRPr="00FB5A28">
        <w:rPr>
          <w:rFonts w:ascii="Times New Roman" w:hAnsi="Times New Roman"/>
          <w:sz w:val="24"/>
          <w:szCs w:val="24"/>
        </w:rPr>
        <w:t xml:space="preserve"> </w:t>
      </w:r>
      <w:r w:rsidRPr="00FB5A28">
        <w:rPr>
          <w:rFonts w:ascii="Times New Roman" w:hAnsi="Times New Roman"/>
          <w:sz w:val="24"/>
          <w:szCs w:val="24"/>
        </w:rPr>
        <w:t>порезом</w:t>
      </w:r>
      <w:r w:rsidR="00717D0E" w:rsidRPr="00FB5A28">
        <w:rPr>
          <w:rFonts w:ascii="Times New Roman" w:hAnsi="Times New Roman"/>
          <w:sz w:val="24"/>
          <w:szCs w:val="24"/>
        </w:rPr>
        <w:t xml:space="preserve"> </w:t>
      </w:r>
      <w:r w:rsidRPr="00FB5A28">
        <w:rPr>
          <w:rFonts w:ascii="Times New Roman" w:hAnsi="Times New Roman"/>
          <w:sz w:val="24"/>
          <w:szCs w:val="24"/>
        </w:rPr>
        <w:t>на</w:t>
      </w:r>
      <w:r w:rsidR="00717D0E" w:rsidRPr="00FB5A28">
        <w:rPr>
          <w:rFonts w:ascii="Times New Roman" w:hAnsi="Times New Roman"/>
          <w:sz w:val="24"/>
          <w:szCs w:val="24"/>
        </w:rPr>
        <w:t xml:space="preserve"> </w:t>
      </w:r>
      <w:r w:rsidRPr="00FB5A28">
        <w:rPr>
          <w:rFonts w:ascii="Times New Roman" w:hAnsi="Times New Roman"/>
          <w:sz w:val="24"/>
          <w:szCs w:val="24"/>
        </w:rPr>
        <w:t>доходак</w:t>
      </w:r>
      <w:r w:rsidR="00717D0E" w:rsidRPr="00FB5A28">
        <w:rPr>
          <w:rFonts w:ascii="Times New Roman" w:hAnsi="Times New Roman"/>
          <w:sz w:val="24"/>
          <w:szCs w:val="24"/>
        </w:rPr>
        <w:t xml:space="preserve"> </w:t>
      </w:r>
      <w:r w:rsidRPr="00FB5A28">
        <w:rPr>
          <w:rFonts w:ascii="Times New Roman" w:hAnsi="Times New Roman"/>
          <w:sz w:val="24"/>
          <w:szCs w:val="24"/>
        </w:rPr>
        <w:t>грађана</w:t>
      </w:r>
      <w:r w:rsidR="00717D0E" w:rsidRPr="00FB5A28">
        <w:rPr>
          <w:rFonts w:ascii="Times New Roman" w:hAnsi="Times New Roman"/>
          <w:sz w:val="24"/>
          <w:szCs w:val="24"/>
        </w:rPr>
        <w:t xml:space="preserve"> </w:t>
      </w:r>
      <w:r w:rsidRPr="00FB5A28">
        <w:rPr>
          <w:rFonts w:ascii="Times New Roman" w:hAnsi="Times New Roman"/>
          <w:sz w:val="24"/>
          <w:szCs w:val="24"/>
        </w:rPr>
        <w:t>а</w:t>
      </w:r>
      <w:r w:rsidR="00717D0E" w:rsidRPr="00FB5A28">
        <w:rPr>
          <w:rFonts w:ascii="Times New Roman" w:hAnsi="Times New Roman"/>
          <w:sz w:val="24"/>
          <w:szCs w:val="24"/>
        </w:rPr>
        <w:t xml:space="preserve"> </w:t>
      </w:r>
      <w:r w:rsidRPr="00FB5A28">
        <w:rPr>
          <w:rFonts w:ascii="Times New Roman" w:hAnsi="Times New Roman"/>
          <w:sz w:val="24"/>
          <w:szCs w:val="24"/>
        </w:rPr>
        <w:t>који</w:t>
      </w:r>
      <w:r w:rsidR="00717D0E" w:rsidRPr="00FB5A28">
        <w:rPr>
          <w:rFonts w:ascii="Times New Roman" w:hAnsi="Times New Roman"/>
          <w:sz w:val="24"/>
          <w:szCs w:val="24"/>
        </w:rPr>
        <w:t xml:space="preserve"> </w:t>
      </w:r>
      <w:r w:rsidRPr="00FB5A28">
        <w:rPr>
          <w:rFonts w:ascii="Times New Roman" w:hAnsi="Times New Roman"/>
          <w:sz w:val="24"/>
          <w:szCs w:val="24"/>
        </w:rPr>
        <w:t>не</w:t>
      </w:r>
      <w:r w:rsidR="00717D0E" w:rsidRPr="00FB5A28">
        <w:rPr>
          <w:rFonts w:ascii="Times New Roman" w:hAnsi="Times New Roman"/>
          <w:sz w:val="24"/>
          <w:szCs w:val="24"/>
        </w:rPr>
        <w:t xml:space="preserve"> </w:t>
      </w:r>
      <w:r w:rsidRPr="00FB5A28">
        <w:rPr>
          <w:rFonts w:ascii="Times New Roman" w:hAnsi="Times New Roman"/>
          <w:sz w:val="24"/>
          <w:szCs w:val="24"/>
        </w:rPr>
        <w:t>улазе</w:t>
      </w:r>
      <w:r w:rsidR="00717D0E" w:rsidRPr="00FB5A28">
        <w:rPr>
          <w:rFonts w:ascii="Times New Roman" w:hAnsi="Times New Roman"/>
          <w:sz w:val="24"/>
          <w:szCs w:val="24"/>
        </w:rPr>
        <w:t xml:space="preserve"> </w:t>
      </w:r>
      <w:r w:rsidRPr="00FB5A28">
        <w:rPr>
          <w:rFonts w:ascii="Times New Roman" w:hAnsi="Times New Roman"/>
          <w:sz w:val="24"/>
          <w:szCs w:val="24"/>
        </w:rPr>
        <w:t>у</w:t>
      </w:r>
      <w:r w:rsidR="00717D0E" w:rsidRPr="00FB5A28">
        <w:rPr>
          <w:rFonts w:ascii="Times New Roman" w:hAnsi="Times New Roman"/>
          <w:sz w:val="24"/>
          <w:szCs w:val="24"/>
        </w:rPr>
        <w:t xml:space="preserve"> </w:t>
      </w:r>
      <w:r w:rsidRPr="00FB5A28">
        <w:rPr>
          <w:rFonts w:ascii="Times New Roman" w:hAnsi="Times New Roman"/>
          <w:sz w:val="24"/>
          <w:szCs w:val="24"/>
        </w:rPr>
        <w:t>опорезивање</w:t>
      </w:r>
      <w:r w:rsidR="00717D0E" w:rsidRPr="00FB5A28">
        <w:rPr>
          <w:rFonts w:ascii="Times New Roman" w:hAnsi="Times New Roman"/>
          <w:sz w:val="24"/>
          <w:szCs w:val="24"/>
        </w:rPr>
        <w:t xml:space="preserve"> </w:t>
      </w:r>
      <w:r w:rsidRPr="00FB5A28">
        <w:rPr>
          <w:rFonts w:ascii="Times New Roman" w:hAnsi="Times New Roman"/>
          <w:sz w:val="24"/>
          <w:szCs w:val="24"/>
        </w:rPr>
        <w:t>годишњим</w:t>
      </w:r>
      <w:r w:rsidR="00717D0E" w:rsidRPr="00FB5A28">
        <w:rPr>
          <w:rFonts w:ascii="Times New Roman" w:hAnsi="Times New Roman"/>
          <w:sz w:val="24"/>
          <w:szCs w:val="24"/>
        </w:rPr>
        <w:t xml:space="preserve"> </w:t>
      </w:r>
      <w:r w:rsidRPr="00FB5A28">
        <w:rPr>
          <w:rFonts w:ascii="Times New Roman" w:hAnsi="Times New Roman"/>
          <w:sz w:val="24"/>
          <w:szCs w:val="24"/>
        </w:rPr>
        <w:t>порезом</w:t>
      </w:r>
      <w:r w:rsidR="00717D0E" w:rsidRPr="00FB5A28">
        <w:rPr>
          <w:rFonts w:ascii="Times New Roman" w:hAnsi="Times New Roman"/>
          <w:sz w:val="24"/>
          <w:szCs w:val="24"/>
        </w:rPr>
        <w:t xml:space="preserve"> </w:t>
      </w:r>
      <w:r w:rsidRPr="00FB5A28">
        <w:rPr>
          <w:rFonts w:ascii="Times New Roman" w:hAnsi="Times New Roman"/>
          <w:sz w:val="24"/>
          <w:szCs w:val="24"/>
        </w:rPr>
        <w:t>на</w:t>
      </w:r>
      <w:r w:rsidR="00717D0E" w:rsidRPr="00FB5A28">
        <w:rPr>
          <w:rFonts w:ascii="Times New Roman" w:hAnsi="Times New Roman"/>
          <w:sz w:val="24"/>
          <w:szCs w:val="24"/>
        </w:rPr>
        <w:t xml:space="preserve"> </w:t>
      </w:r>
      <w:r w:rsidRPr="00FB5A28">
        <w:rPr>
          <w:rFonts w:ascii="Times New Roman" w:hAnsi="Times New Roman"/>
          <w:sz w:val="24"/>
          <w:szCs w:val="24"/>
        </w:rPr>
        <w:t>доходак</w:t>
      </w:r>
      <w:r w:rsidR="00717D0E" w:rsidRPr="00FB5A28">
        <w:rPr>
          <w:rFonts w:ascii="Times New Roman" w:hAnsi="Times New Roman"/>
          <w:sz w:val="24"/>
          <w:szCs w:val="24"/>
        </w:rPr>
        <w:t xml:space="preserve"> </w:t>
      </w:r>
      <w:r w:rsidRPr="00FB5A28">
        <w:rPr>
          <w:rFonts w:ascii="Times New Roman" w:hAnsi="Times New Roman"/>
          <w:sz w:val="24"/>
          <w:szCs w:val="24"/>
        </w:rPr>
        <w:t>грађана</w:t>
      </w:r>
      <w:r w:rsidR="00717D0E" w:rsidRPr="00FB5A28">
        <w:rPr>
          <w:rFonts w:ascii="Times New Roman" w:hAnsi="Times New Roman"/>
          <w:sz w:val="24"/>
          <w:szCs w:val="24"/>
        </w:rPr>
        <w:t xml:space="preserve">, </w:t>
      </w:r>
      <w:r w:rsidRPr="00FB5A28">
        <w:rPr>
          <w:rFonts w:ascii="Times New Roman" w:hAnsi="Times New Roman"/>
          <w:sz w:val="24"/>
          <w:szCs w:val="24"/>
        </w:rPr>
        <w:t>за</w:t>
      </w:r>
      <w:r w:rsidR="00717D0E" w:rsidRPr="00FB5A28">
        <w:rPr>
          <w:rFonts w:ascii="Times New Roman" w:hAnsi="Times New Roman"/>
          <w:sz w:val="24"/>
          <w:szCs w:val="24"/>
        </w:rPr>
        <w:t xml:space="preserve"> </w:t>
      </w:r>
      <w:r w:rsidRPr="00FB5A28">
        <w:rPr>
          <w:rFonts w:ascii="Times New Roman" w:hAnsi="Times New Roman"/>
          <w:sz w:val="24"/>
          <w:szCs w:val="24"/>
        </w:rPr>
        <w:t>коју</w:t>
      </w:r>
      <w:r w:rsidR="00717D0E" w:rsidRPr="00FB5A28">
        <w:rPr>
          <w:rFonts w:ascii="Times New Roman" w:hAnsi="Times New Roman"/>
          <w:sz w:val="24"/>
          <w:szCs w:val="24"/>
        </w:rPr>
        <w:t xml:space="preserve"> </w:t>
      </w:r>
      <w:r w:rsidRPr="00FB5A28">
        <w:rPr>
          <w:rFonts w:ascii="Times New Roman" w:hAnsi="Times New Roman"/>
          <w:sz w:val="24"/>
          <w:szCs w:val="24"/>
        </w:rPr>
        <w:t>то</w:t>
      </w:r>
      <w:r w:rsidR="00717D0E" w:rsidRPr="00FB5A28">
        <w:rPr>
          <w:rFonts w:ascii="Times New Roman" w:hAnsi="Times New Roman"/>
          <w:sz w:val="24"/>
          <w:szCs w:val="24"/>
        </w:rPr>
        <w:t xml:space="preserve"> </w:t>
      </w:r>
      <w:r w:rsidRPr="00FB5A28">
        <w:rPr>
          <w:rFonts w:ascii="Times New Roman" w:hAnsi="Times New Roman"/>
          <w:sz w:val="24"/>
          <w:szCs w:val="24"/>
        </w:rPr>
        <w:t>порески</w:t>
      </w:r>
      <w:r w:rsidR="00717D0E" w:rsidRPr="00FB5A28">
        <w:rPr>
          <w:rFonts w:ascii="Times New Roman" w:hAnsi="Times New Roman"/>
          <w:sz w:val="24"/>
          <w:szCs w:val="24"/>
        </w:rPr>
        <w:t xml:space="preserve"> </w:t>
      </w:r>
      <w:r w:rsidRPr="00FB5A28">
        <w:rPr>
          <w:rFonts w:ascii="Times New Roman" w:hAnsi="Times New Roman"/>
          <w:sz w:val="24"/>
          <w:szCs w:val="24"/>
        </w:rPr>
        <w:t>обвезник</w:t>
      </w:r>
      <w:r w:rsidR="00717D0E" w:rsidRPr="00FB5A28">
        <w:rPr>
          <w:rFonts w:ascii="Times New Roman" w:hAnsi="Times New Roman"/>
          <w:sz w:val="24"/>
          <w:szCs w:val="24"/>
        </w:rPr>
        <w:t xml:space="preserve">, </w:t>
      </w:r>
      <w:r w:rsidRPr="00FB5A28">
        <w:rPr>
          <w:rFonts w:ascii="Times New Roman" w:hAnsi="Times New Roman"/>
          <w:sz w:val="24"/>
          <w:szCs w:val="24"/>
        </w:rPr>
        <w:t>односно</w:t>
      </w:r>
      <w:r w:rsidR="00717D0E" w:rsidRPr="00FB5A28">
        <w:rPr>
          <w:rFonts w:ascii="Times New Roman" w:hAnsi="Times New Roman"/>
          <w:sz w:val="24"/>
          <w:szCs w:val="24"/>
        </w:rPr>
        <w:t xml:space="preserve"> </w:t>
      </w:r>
      <w:r w:rsidRPr="00FB5A28">
        <w:rPr>
          <w:rFonts w:ascii="Times New Roman" w:hAnsi="Times New Roman"/>
          <w:sz w:val="24"/>
          <w:szCs w:val="24"/>
        </w:rPr>
        <w:t>друго</w:t>
      </w:r>
      <w:r w:rsidR="00717D0E" w:rsidRPr="00FB5A28">
        <w:rPr>
          <w:rFonts w:ascii="Times New Roman" w:hAnsi="Times New Roman"/>
          <w:sz w:val="24"/>
          <w:szCs w:val="24"/>
        </w:rPr>
        <w:t xml:space="preserve"> </w:t>
      </w:r>
      <w:r w:rsidRPr="00FB5A28">
        <w:rPr>
          <w:rFonts w:ascii="Times New Roman" w:hAnsi="Times New Roman"/>
          <w:sz w:val="24"/>
          <w:szCs w:val="24"/>
        </w:rPr>
        <w:t>лице</w:t>
      </w:r>
      <w:r w:rsidR="00717D0E" w:rsidRPr="00FB5A28">
        <w:rPr>
          <w:rFonts w:ascii="Times New Roman" w:hAnsi="Times New Roman"/>
          <w:sz w:val="24"/>
          <w:szCs w:val="24"/>
        </w:rPr>
        <w:t xml:space="preserve"> </w:t>
      </w:r>
      <w:r w:rsidRPr="00FB5A28">
        <w:rPr>
          <w:rFonts w:ascii="Times New Roman" w:hAnsi="Times New Roman"/>
          <w:sz w:val="24"/>
          <w:szCs w:val="24"/>
        </w:rPr>
        <w:t>истиче</w:t>
      </w:r>
      <w:r w:rsidR="00717D0E" w:rsidRPr="00FB5A28">
        <w:rPr>
          <w:rFonts w:ascii="Times New Roman" w:hAnsi="Times New Roman"/>
          <w:sz w:val="24"/>
          <w:szCs w:val="24"/>
        </w:rPr>
        <w:t xml:space="preserve"> </w:t>
      </w:r>
      <w:r w:rsidRPr="00FB5A28">
        <w:rPr>
          <w:rFonts w:ascii="Times New Roman" w:hAnsi="Times New Roman"/>
          <w:sz w:val="24"/>
          <w:szCs w:val="24"/>
        </w:rPr>
        <w:t>и</w:t>
      </w:r>
      <w:r w:rsidR="00717D0E" w:rsidRPr="00FB5A28">
        <w:rPr>
          <w:rFonts w:ascii="Times New Roman" w:hAnsi="Times New Roman"/>
          <w:sz w:val="24"/>
          <w:szCs w:val="24"/>
        </w:rPr>
        <w:t xml:space="preserve"> </w:t>
      </w:r>
      <w:r w:rsidRPr="00FB5A28">
        <w:rPr>
          <w:rFonts w:ascii="Times New Roman" w:hAnsi="Times New Roman"/>
          <w:sz w:val="24"/>
          <w:szCs w:val="24"/>
        </w:rPr>
        <w:t>о</w:t>
      </w:r>
      <w:r w:rsidR="00717D0E" w:rsidRPr="00FB5A28">
        <w:rPr>
          <w:rFonts w:ascii="Times New Roman" w:hAnsi="Times New Roman"/>
          <w:sz w:val="24"/>
          <w:szCs w:val="24"/>
        </w:rPr>
        <w:t xml:space="preserve"> </w:t>
      </w:r>
      <w:r w:rsidRPr="00FB5A28">
        <w:rPr>
          <w:rFonts w:ascii="Times New Roman" w:hAnsi="Times New Roman"/>
          <w:sz w:val="24"/>
          <w:szCs w:val="24"/>
        </w:rPr>
        <w:t>томе</w:t>
      </w:r>
      <w:r w:rsidR="00717D0E" w:rsidRPr="00FB5A28">
        <w:rPr>
          <w:rFonts w:ascii="Times New Roman" w:hAnsi="Times New Roman"/>
          <w:sz w:val="24"/>
          <w:szCs w:val="24"/>
        </w:rPr>
        <w:t xml:space="preserve"> </w:t>
      </w:r>
      <w:r w:rsidRPr="00FB5A28">
        <w:rPr>
          <w:rFonts w:ascii="Times New Roman" w:hAnsi="Times New Roman"/>
          <w:sz w:val="24"/>
          <w:szCs w:val="24"/>
        </w:rPr>
        <w:t>пружи</w:t>
      </w:r>
      <w:r w:rsidR="00717D0E" w:rsidRPr="00FB5A28">
        <w:rPr>
          <w:rFonts w:ascii="Times New Roman" w:hAnsi="Times New Roman"/>
          <w:sz w:val="24"/>
          <w:szCs w:val="24"/>
        </w:rPr>
        <w:t xml:space="preserve"> </w:t>
      </w:r>
      <w:r w:rsidRPr="00FB5A28">
        <w:rPr>
          <w:rFonts w:ascii="Times New Roman" w:hAnsi="Times New Roman"/>
          <w:sz w:val="24"/>
          <w:szCs w:val="24"/>
        </w:rPr>
        <w:t>одговарајуће</w:t>
      </w:r>
      <w:r w:rsidR="00717D0E" w:rsidRPr="00FB5A28">
        <w:rPr>
          <w:rFonts w:ascii="Times New Roman" w:hAnsi="Times New Roman"/>
          <w:sz w:val="24"/>
          <w:szCs w:val="24"/>
        </w:rPr>
        <w:t xml:space="preserve"> </w:t>
      </w:r>
      <w:r w:rsidRPr="00FB5A28">
        <w:rPr>
          <w:rFonts w:ascii="Times New Roman" w:hAnsi="Times New Roman"/>
          <w:sz w:val="24"/>
          <w:szCs w:val="24"/>
        </w:rPr>
        <w:t>материјалне</w:t>
      </w:r>
      <w:r w:rsidR="00717D0E" w:rsidRPr="00FB5A28">
        <w:rPr>
          <w:rFonts w:ascii="Times New Roman" w:hAnsi="Times New Roman"/>
          <w:sz w:val="24"/>
          <w:szCs w:val="24"/>
        </w:rPr>
        <w:t xml:space="preserve"> </w:t>
      </w:r>
      <w:r w:rsidRPr="00FB5A28">
        <w:rPr>
          <w:rFonts w:ascii="Times New Roman" w:hAnsi="Times New Roman"/>
          <w:sz w:val="24"/>
          <w:szCs w:val="24"/>
        </w:rPr>
        <w:t>доказе</w:t>
      </w:r>
      <w:r w:rsidR="00717D0E" w:rsidRPr="00FB5A28">
        <w:rPr>
          <w:rFonts w:ascii="Times New Roman" w:hAnsi="Times New Roman"/>
          <w:sz w:val="24"/>
          <w:szCs w:val="24"/>
        </w:rPr>
        <w:t>.</w:t>
      </w:r>
      <w:r w:rsidR="001954C8" w:rsidRPr="00FB5A28">
        <w:rPr>
          <w:rFonts w:ascii="Times New Roman" w:hAnsi="Times New Roman"/>
          <w:sz w:val="24"/>
          <w:szCs w:val="24"/>
          <w:lang w:val="sr-Cyrl-CS"/>
        </w:rPr>
        <w:t xml:space="preserve"> При том, и</w:t>
      </w:r>
      <w:r w:rsidRPr="00FB5A28">
        <w:rPr>
          <w:rFonts w:ascii="Times New Roman" w:hAnsi="Times New Roman"/>
          <w:sz w:val="24"/>
          <w:szCs w:val="24"/>
        </w:rPr>
        <w:t>мовину</w:t>
      </w:r>
      <w:r w:rsidR="001954C8" w:rsidRPr="00FB5A28">
        <w:rPr>
          <w:rFonts w:ascii="Times New Roman" w:hAnsi="Times New Roman"/>
          <w:sz w:val="24"/>
          <w:szCs w:val="24"/>
          <w:lang w:val="sr-Cyrl-CS"/>
        </w:rPr>
        <w:t xml:space="preserve"> </w:t>
      </w:r>
      <w:r w:rsidRPr="00FB5A28">
        <w:rPr>
          <w:rFonts w:ascii="Times New Roman" w:hAnsi="Times New Roman"/>
          <w:sz w:val="24"/>
          <w:szCs w:val="24"/>
        </w:rPr>
        <w:t>чине</w:t>
      </w:r>
      <w:r w:rsidR="00717D0E" w:rsidRPr="00FB5A28">
        <w:rPr>
          <w:rFonts w:ascii="Times New Roman" w:hAnsi="Times New Roman"/>
          <w:sz w:val="24"/>
          <w:szCs w:val="24"/>
        </w:rPr>
        <w:t>:</w:t>
      </w:r>
    </w:p>
    <w:p w:rsidR="00717D0E" w:rsidRPr="00FB5A28" w:rsidRDefault="00717D0E" w:rsidP="00FB5A28">
      <w:pPr>
        <w:jc w:val="both"/>
        <w:rPr>
          <w:rFonts w:ascii="Times New Roman" w:hAnsi="Times New Roman"/>
          <w:sz w:val="24"/>
          <w:szCs w:val="24"/>
        </w:rPr>
      </w:pPr>
      <w:r w:rsidRPr="00FB5A28">
        <w:rPr>
          <w:rFonts w:ascii="Times New Roman" w:hAnsi="Times New Roman"/>
          <w:sz w:val="24"/>
          <w:szCs w:val="24"/>
        </w:rPr>
        <w:t xml:space="preserve">1) </w:t>
      </w:r>
      <w:r w:rsidR="005F720D" w:rsidRPr="00FB5A28">
        <w:rPr>
          <w:rFonts w:ascii="Times New Roman" w:hAnsi="Times New Roman"/>
          <w:sz w:val="24"/>
          <w:szCs w:val="24"/>
        </w:rPr>
        <w:t>непокретности</w:t>
      </w:r>
      <w:r w:rsidRPr="00FB5A28">
        <w:rPr>
          <w:rFonts w:ascii="Times New Roman" w:hAnsi="Times New Roman"/>
          <w:sz w:val="24"/>
          <w:szCs w:val="24"/>
        </w:rPr>
        <w:t xml:space="preserve"> (</w:t>
      </w:r>
      <w:r w:rsidR="005F720D" w:rsidRPr="00FB5A28">
        <w:rPr>
          <w:rFonts w:ascii="Times New Roman" w:hAnsi="Times New Roman"/>
          <w:sz w:val="24"/>
          <w:szCs w:val="24"/>
        </w:rPr>
        <w:t>стан</w:t>
      </w:r>
      <w:r w:rsidRPr="00FB5A28">
        <w:rPr>
          <w:rFonts w:ascii="Times New Roman" w:hAnsi="Times New Roman"/>
          <w:sz w:val="24"/>
          <w:szCs w:val="24"/>
        </w:rPr>
        <w:t xml:space="preserve">, </w:t>
      </w:r>
      <w:r w:rsidR="005F720D" w:rsidRPr="00FB5A28">
        <w:rPr>
          <w:rFonts w:ascii="Times New Roman" w:hAnsi="Times New Roman"/>
          <w:sz w:val="24"/>
          <w:szCs w:val="24"/>
        </w:rPr>
        <w:t>кућа</w:t>
      </w:r>
      <w:r w:rsidRPr="00FB5A28">
        <w:rPr>
          <w:rFonts w:ascii="Times New Roman" w:hAnsi="Times New Roman"/>
          <w:sz w:val="24"/>
          <w:szCs w:val="24"/>
        </w:rPr>
        <w:t xml:space="preserve">, </w:t>
      </w:r>
      <w:r w:rsidR="005F720D" w:rsidRPr="00FB5A28">
        <w:rPr>
          <w:rFonts w:ascii="Times New Roman" w:hAnsi="Times New Roman"/>
          <w:sz w:val="24"/>
          <w:szCs w:val="24"/>
        </w:rPr>
        <w:t>пословна</w:t>
      </w:r>
      <w:r w:rsidRPr="00FB5A28">
        <w:rPr>
          <w:rFonts w:ascii="Times New Roman" w:hAnsi="Times New Roman"/>
          <w:sz w:val="24"/>
          <w:szCs w:val="24"/>
        </w:rPr>
        <w:t xml:space="preserve"> </w:t>
      </w:r>
      <w:r w:rsidR="005F720D" w:rsidRPr="00FB5A28">
        <w:rPr>
          <w:rFonts w:ascii="Times New Roman" w:hAnsi="Times New Roman"/>
          <w:sz w:val="24"/>
          <w:szCs w:val="24"/>
        </w:rPr>
        <w:t>зграда</w:t>
      </w:r>
      <w:r w:rsidRPr="00FB5A28">
        <w:rPr>
          <w:rFonts w:ascii="Times New Roman" w:hAnsi="Times New Roman"/>
          <w:sz w:val="24"/>
          <w:szCs w:val="24"/>
        </w:rPr>
        <w:t xml:space="preserve"> </w:t>
      </w:r>
      <w:r w:rsidR="005F720D" w:rsidRPr="00FB5A28">
        <w:rPr>
          <w:rFonts w:ascii="Times New Roman" w:hAnsi="Times New Roman"/>
          <w:sz w:val="24"/>
          <w:szCs w:val="24"/>
        </w:rPr>
        <w:t>и</w:t>
      </w:r>
      <w:r w:rsidRPr="00FB5A28">
        <w:rPr>
          <w:rFonts w:ascii="Times New Roman" w:hAnsi="Times New Roman"/>
          <w:sz w:val="24"/>
          <w:szCs w:val="24"/>
        </w:rPr>
        <w:t xml:space="preserve"> </w:t>
      </w:r>
      <w:r w:rsidR="005F720D" w:rsidRPr="00FB5A28">
        <w:rPr>
          <w:rFonts w:ascii="Times New Roman" w:hAnsi="Times New Roman"/>
          <w:sz w:val="24"/>
          <w:szCs w:val="24"/>
        </w:rPr>
        <w:t>просторије</w:t>
      </w:r>
      <w:r w:rsidRPr="00FB5A28">
        <w:rPr>
          <w:rFonts w:ascii="Times New Roman" w:hAnsi="Times New Roman"/>
          <w:sz w:val="24"/>
          <w:szCs w:val="24"/>
        </w:rPr>
        <w:t xml:space="preserve">, </w:t>
      </w:r>
      <w:r w:rsidR="005F720D" w:rsidRPr="00FB5A28">
        <w:rPr>
          <w:rFonts w:ascii="Times New Roman" w:hAnsi="Times New Roman"/>
          <w:sz w:val="24"/>
          <w:szCs w:val="24"/>
        </w:rPr>
        <w:t>гаража</w:t>
      </w:r>
      <w:r w:rsidRPr="00FB5A28">
        <w:rPr>
          <w:rFonts w:ascii="Times New Roman" w:hAnsi="Times New Roman"/>
          <w:sz w:val="24"/>
          <w:szCs w:val="24"/>
        </w:rPr>
        <w:t xml:space="preserve">, </w:t>
      </w:r>
      <w:r w:rsidR="005F720D" w:rsidRPr="00FB5A28">
        <w:rPr>
          <w:rFonts w:ascii="Times New Roman" w:hAnsi="Times New Roman"/>
          <w:sz w:val="24"/>
          <w:szCs w:val="24"/>
        </w:rPr>
        <w:t>земљиште</w:t>
      </w:r>
      <w:r w:rsidRPr="00FB5A28">
        <w:rPr>
          <w:rFonts w:ascii="Times New Roman" w:hAnsi="Times New Roman"/>
          <w:sz w:val="24"/>
          <w:szCs w:val="24"/>
        </w:rPr>
        <w:t xml:space="preserve"> </w:t>
      </w:r>
      <w:r w:rsidR="005F720D" w:rsidRPr="00FB5A28">
        <w:rPr>
          <w:rFonts w:ascii="Times New Roman" w:hAnsi="Times New Roman"/>
          <w:sz w:val="24"/>
          <w:szCs w:val="24"/>
        </w:rPr>
        <w:t>и</w:t>
      </w:r>
      <w:r w:rsidRPr="00FB5A28">
        <w:rPr>
          <w:rFonts w:ascii="Times New Roman" w:hAnsi="Times New Roman"/>
          <w:sz w:val="24"/>
          <w:szCs w:val="24"/>
        </w:rPr>
        <w:t xml:space="preserve"> </w:t>
      </w:r>
      <w:r w:rsidR="005F720D" w:rsidRPr="00FB5A28">
        <w:rPr>
          <w:rFonts w:ascii="Times New Roman" w:hAnsi="Times New Roman"/>
          <w:sz w:val="24"/>
          <w:szCs w:val="24"/>
        </w:rPr>
        <w:t>др</w:t>
      </w:r>
      <w:r w:rsidRPr="00FB5A28">
        <w:rPr>
          <w:rFonts w:ascii="Times New Roman" w:hAnsi="Times New Roman"/>
          <w:sz w:val="24"/>
          <w:szCs w:val="24"/>
        </w:rPr>
        <w:t>.);</w:t>
      </w:r>
    </w:p>
    <w:p w:rsidR="00717D0E" w:rsidRPr="00FB5A28" w:rsidRDefault="00717D0E" w:rsidP="00FB5A28">
      <w:pPr>
        <w:jc w:val="both"/>
        <w:rPr>
          <w:rFonts w:ascii="Times New Roman" w:hAnsi="Times New Roman"/>
          <w:sz w:val="24"/>
          <w:szCs w:val="24"/>
        </w:rPr>
      </w:pPr>
      <w:r w:rsidRPr="00FB5A28">
        <w:rPr>
          <w:rFonts w:ascii="Times New Roman" w:hAnsi="Times New Roman"/>
          <w:sz w:val="24"/>
          <w:szCs w:val="24"/>
        </w:rPr>
        <w:t xml:space="preserve">2) </w:t>
      </w:r>
      <w:r w:rsidR="005F720D" w:rsidRPr="00FB5A28">
        <w:rPr>
          <w:rFonts w:ascii="Times New Roman" w:hAnsi="Times New Roman"/>
          <w:sz w:val="24"/>
          <w:szCs w:val="24"/>
        </w:rPr>
        <w:t>акције</w:t>
      </w:r>
      <w:r w:rsidRPr="00FB5A28">
        <w:rPr>
          <w:rFonts w:ascii="Times New Roman" w:hAnsi="Times New Roman"/>
          <w:sz w:val="24"/>
          <w:szCs w:val="24"/>
        </w:rPr>
        <w:t xml:space="preserve"> </w:t>
      </w:r>
      <w:r w:rsidR="005F720D" w:rsidRPr="00FB5A28">
        <w:rPr>
          <w:rFonts w:ascii="Times New Roman" w:hAnsi="Times New Roman"/>
          <w:sz w:val="24"/>
          <w:szCs w:val="24"/>
        </w:rPr>
        <w:t>и</w:t>
      </w:r>
      <w:r w:rsidRPr="00FB5A28">
        <w:rPr>
          <w:rFonts w:ascii="Times New Roman" w:hAnsi="Times New Roman"/>
          <w:sz w:val="24"/>
          <w:szCs w:val="24"/>
        </w:rPr>
        <w:t xml:space="preserve"> </w:t>
      </w:r>
      <w:r w:rsidR="005F720D" w:rsidRPr="00FB5A28">
        <w:rPr>
          <w:rFonts w:ascii="Times New Roman" w:hAnsi="Times New Roman"/>
          <w:sz w:val="24"/>
          <w:szCs w:val="24"/>
        </w:rPr>
        <w:t>удели</w:t>
      </w:r>
      <w:r w:rsidRPr="00FB5A28">
        <w:rPr>
          <w:rFonts w:ascii="Times New Roman" w:hAnsi="Times New Roman"/>
          <w:sz w:val="24"/>
          <w:szCs w:val="24"/>
        </w:rPr>
        <w:t xml:space="preserve"> </w:t>
      </w:r>
      <w:r w:rsidR="005F720D" w:rsidRPr="00FB5A28">
        <w:rPr>
          <w:rFonts w:ascii="Times New Roman" w:hAnsi="Times New Roman"/>
          <w:sz w:val="24"/>
          <w:szCs w:val="24"/>
        </w:rPr>
        <w:t>у</w:t>
      </w:r>
      <w:r w:rsidRPr="00FB5A28">
        <w:rPr>
          <w:rFonts w:ascii="Times New Roman" w:hAnsi="Times New Roman"/>
          <w:sz w:val="24"/>
          <w:szCs w:val="24"/>
        </w:rPr>
        <w:t xml:space="preserve"> </w:t>
      </w:r>
      <w:r w:rsidR="005F720D" w:rsidRPr="00FB5A28">
        <w:rPr>
          <w:rFonts w:ascii="Times New Roman" w:hAnsi="Times New Roman"/>
          <w:sz w:val="24"/>
          <w:szCs w:val="24"/>
        </w:rPr>
        <w:t>правном</w:t>
      </w:r>
      <w:r w:rsidRPr="00FB5A28">
        <w:rPr>
          <w:rFonts w:ascii="Times New Roman" w:hAnsi="Times New Roman"/>
          <w:sz w:val="24"/>
          <w:szCs w:val="24"/>
        </w:rPr>
        <w:t xml:space="preserve"> </w:t>
      </w:r>
      <w:r w:rsidR="005F720D" w:rsidRPr="00FB5A28">
        <w:rPr>
          <w:rFonts w:ascii="Times New Roman" w:hAnsi="Times New Roman"/>
          <w:sz w:val="24"/>
          <w:szCs w:val="24"/>
        </w:rPr>
        <w:t>лицу</w:t>
      </w:r>
      <w:r w:rsidRPr="00FB5A28">
        <w:rPr>
          <w:rFonts w:ascii="Times New Roman" w:hAnsi="Times New Roman"/>
          <w:sz w:val="24"/>
          <w:szCs w:val="24"/>
        </w:rPr>
        <w:t>;</w:t>
      </w:r>
    </w:p>
    <w:p w:rsidR="00717D0E" w:rsidRPr="00FB5A28" w:rsidRDefault="00717D0E" w:rsidP="00FB5A28">
      <w:pPr>
        <w:jc w:val="both"/>
        <w:rPr>
          <w:rFonts w:ascii="Times New Roman" w:hAnsi="Times New Roman"/>
          <w:sz w:val="24"/>
          <w:szCs w:val="24"/>
        </w:rPr>
      </w:pPr>
      <w:r w:rsidRPr="00FB5A28">
        <w:rPr>
          <w:rFonts w:ascii="Times New Roman" w:hAnsi="Times New Roman"/>
          <w:sz w:val="24"/>
          <w:szCs w:val="24"/>
        </w:rPr>
        <w:t xml:space="preserve">3) </w:t>
      </w:r>
      <w:r w:rsidR="005F720D" w:rsidRPr="00FB5A28">
        <w:rPr>
          <w:rFonts w:ascii="Times New Roman" w:hAnsi="Times New Roman"/>
          <w:sz w:val="24"/>
          <w:szCs w:val="24"/>
        </w:rPr>
        <w:t>опрема</w:t>
      </w:r>
      <w:r w:rsidRPr="00FB5A28">
        <w:rPr>
          <w:rFonts w:ascii="Times New Roman" w:hAnsi="Times New Roman"/>
          <w:sz w:val="24"/>
          <w:szCs w:val="24"/>
        </w:rPr>
        <w:t xml:space="preserve"> </w:t>
      </w:r>
      <w:r w:rsidR="005F720D" w:rsidRPr="00FB5A28">
        <w:rPr>
          <w:rFonts w:ascii="Times New Roman" w:hAnsi="Times New Roman"/>
          <w:sz w:val="24"/>
          <w:szCs w:val="24"/>
        </w:rPr>
        <w:t>за</w:t>
      </w:r>
      <w:r w:rsidRPr="00FB5A28">
        <w:rPr>
          <w:rFonts w:ascii="Times New Roman" w:hAnsi="Times New Roman"/>
          <w:sz w:val="24"/>
          <w:szCs w:val="24"/>
        </w:rPr>
        <w:t xml:space="preserve"> </w:t>
      </w:r>
      <w:r w:rsidR="005F720D" w:rsidRPr="00FB5A28">
        <w:rPr>
          <w:rFonts w:ascii="Times New Roman" w:hAnsi="Times New Roman"/>
          <w:sz w:val="24"/>
          <w:szCs w:val="24"/>
        </w:rPr>
        <w:t>обављање</w:t>
      </w:r>
      <w:r w:rsidRPr="00FB5A28">
        <w:rPr>
          <w:rFonts w:ascii="Times New Roman" w:hAnsi="Times New Roman"/>
          <w:sz w:val="24"/>
          <w:szCs w:val="24"/>
        </w:rPr>
        <w:t xml:space="preserve"> </w:t>
      </w:r>
      <w:r w:rsidR="005F720D" w:rsidRPr="00FB5A28">
        <w:rPr>
          <w:rFonts w:ascii="Times New Roman" w:hAnsi="Times New Roman"/>
          <w:sz w:val="24"/>
          <w:szCs w:val="24"/>
        </w:rPr>
        <w:t>самосталне</w:t>
      </w:r>
      <w:r w:rsidRPr="00FB5A28">
        <w:rPr>
          <w:rFonts w:ascii="Times New Roman" w:hAnsi="Times New Roman"/>
          <w:sz w:val="24"/>
          <w:szCs w:val="24"/>
        </w:rPr>
        <w:t xml:space="preserve"> </w:t>
      </w:r>
      <w:r w:rsidR="005F720D" w:rsidRPr="00FB5A28">
        <w:rPr>
          <w:rFonts w:ascii="Times New Roman" w:hAnsi="Times New Roman"/>
          <w:sz w:val="24"/>
          <w:szCs w:val="24"/>
        </w:rPr>
        <w:t>делатности</w:t>
      </w:r>
      <w:r w:rsidRPr="00FB5A28">
        <w:rPr>
          <w:rFonts w:ascii="Times New Roman" w:hAnsi="Times New Roman"/>
          <w:sz w:val="24"/>
          <w:szCs w:val="24"/>
        </w:rPr>
        <w:t>;</w:t>
      </w:r>
    </w:p>
    <w:p w:rsidR="00717D0E" w:rsidRPr="00FB5A28" w:rsidRDefault="00717D0E" w:rsidP="00FB5A28">
      <w:pPr>
        <w:jc w:val="both"/>
        <w:rPr>
          <w:rFonts w:ascii="Times New Roman" w:hAnsi="Times New Roman"/>
          <w:sz w:val="24"/>
          <w:szCs w:val="24"/>
        </w:rPr>
      </w:pPr>
      <w:r w:rsidRPr="00FB5A28">
        <w:rPr>
          <w:rFonts w:ascii="Times New Roman" w:hAnsi="Times New Roman"/>
          <w:sz w:val="24"/>
          <w:szCs w:val="24"/>
        </w:rPr>
        <w:t xml:space="preserve">4) </w:t>
      </w:r>
      <w:r w:rsidR="005F720D" w:rsidRPr="00FB5A28">
        <w:rPr>
          <w:rFonts w:ascii="Times New Roman" w:hAnsi="Times New Roman"/>
          <w:sz w:val="24"/>
          <w:szCs w:val="24"/>
        </w:rPr>
        <w:t>моторна</w:t>
      </w:r>
      <w:r w:rsidRPr="00FB5A28">
        <w:rPr>
          <w:rFonts w:ascii="Times New Roman" w:hAnsi="Times New Roman"/>
          <w:sz w:val="24"/>
          <w:szCs w:val="24"/>
        </w:rPr>
        <w:t xml:space="preserve"> </w:t>
      </w:r>
      <w:r w:rsidR="005F720D" w:rsidRPr="00FB5A28">
        <w:rPr>
          <w:rFonts w:ascii="Times New Roman" w:hAnsi="Times New Roman"/>
          <w:sz w:val="24"/>
          <w:szCs w:val="24"/>
        </w:rPr>
        <w:t>возила</w:t>
      </w:r>
      <w:r w:rsidRPr="00FB5A28">
        <w:rPr>
          <w:rFonts w:ascii="Times New Roman" w:hAnsi="Times New Roman"/>
          <w:sz w:val="24"/>
          <w:szCs w:val="24"/>
        </w:rPr>
        <w:t xml:space="preserve">, </w:t>
      </w:r>
      <w:r w:rsidR="005F720D" w:rsidRPr="00FB5A28">
        <w:rPr>
          <w:rFonts w:ascii="Times New Roman" w:hAnsi="Times New Roman"/>
          <w:sz w:val="24"/>
          <w:szCs w:val="24"/>
        </w:rPr>
        <w:t>пловни</w:t>
      </w:r>
      <w:r w:rsidRPr="00FB5A28">
        <w:rPr>
          <w:rFonts w:ascii="Times New Roman" w:hAnsi="Times New Roman"/>
          <w:sz w:val="24"/>
          <w:szCs w:val="24"/>
        </w:rPr>
        <w:t xml:space="preserve"> </w:t>
      </w:r>
      <w:r w:rsidR="005F720D" w:rsidRPr="00FB5A28">
        <w:rPr>
          <w:rFonts w:ascii="Times New Roman" w:hAnsi="Times New Roman"/>
          <w:sz w:val="24"/>
          <w:szCs w:val="24"/>
        </w:rPr>
        <w:t>објекти</w:t>
      </w:r>
      <w:r w:rsidRPr="00FB5A28">
        <w:rPr>
          <w:rFonts w:ascii="Times New Roman" w:hAnsi="Times New Roman"/>
          <w:sz w:val="24"/>
          <w:szCs w:val="24"/>
        </w:rPr>
        <w:t xml:space="preserve"> </w:t>
      </w:r>
      <w:r w:rsidR="005F720D" w:rsidRPr="00FB5A28">
        <w:rPr>
          <w:rFonts w:ascii="Times New Roman" w:hAnsi="Times New Roman"/>
          <w:sz w:val="24"/>
          <w:szCs w:val="24"/>
        </w:rPr>
        <w:t>и</w:t>
      </w:r>
      <w:r w:rsidRPr="00FB5A28">
        <w:rPr>
          <w:rFonts w:ascii="Times New Roman" w:hAnsi="Times New Roman"/>
          <w:sz w:val="24"/>
          <w:szCs w:val="24"/>
        </w:rPr>
        <w:t xml:space="preserve"> </w:t>
      </w:r>
      <w:r w:rsidR="005F720D" w:rsidRPr="00FB5A28">
        <w:rPr>
          <w:rFonts w:ascii="Times New Roman" w:hAnsi="Times New Roman"/>
          <w:sz w:val="24"/>
          <w:szCs w:val="24"/>
        </w:rPr>
        <w:t>ваздухоплови</w:t>
      </w:r>
      <w:r w:rsidRPr="00FB5A28">
        <w:rPr>
          <w:rFonts w:ascii="Times New Roman" w:hAnsi="Times New Roman"/>
          <w:sz w:val="24"/>
          <w:szCs w:val="24"/>
        </w:rPr>
        <w:t>;</w:t>
      </w:r>
    </w:p>
    <w:p w:rsidR="00717D0E" w:rsidRPr="00FB5A28" w:rsidRDefault="00717D0E" w:rsidP="00FB5A28">
      <w:pPr>
        <w:jc w:val="both"/>
        <w:rPr>
          <w:rFonts w:ascii="Times New Roman" w:hAnsi="Times New Roman"/>
          <w:sz w:val="24"/>
          <w:szCs w:val="24"/>
        </w:rPr>
      </w:pPr>
      <w:r w:rsidRPr="00FB5A28">
        <w:rPr>
          <w:rFonts w:ascii="Times New Roman" w:hAnsi="Times New Roman"/>
          <w:sz w:val="24"/>
          <w:szCs w:val="24"/>
        </w:rPr>
        <w:t xml:space="preserve">5) </w:t>
      </w:r>
      <w:r w:rsidR="005F720D" w:rsidRPr="00FB5A28">
        <w:rPr>
          <w:rFonts w:ascii="Times New Roman" w:hAnsi="Times New Roman"/>
          <w:sz w:val="24"/>
          <w:szCs w:val="24"/>
        </w:rPr>
        <w:t>штедни</w:t>
      </w:r>
      <w:r w:rsidRPr="00FB5A28">
        <w:rPr>
          <w:rFonts w:ascii="Times New Roman" w:hAnsi="Times New Roman"/>
          <w:sz w:val="24"/>
          <w:szCs w:val="24"/>
        </w:rPr>
        <w:t xml:space="preserve"> </w:t>
      </w:r>
      <w:r w:rsidR="005F720D" w:rsidRPr="00FB5A28">
        <w:rPr>
          <w:rFonts w:ascii="Times New Roman" w:hAnsi="Times New Roman"/>
          <w:sz w:val="24"/>
          <w:szCs w:val="24"/>
        </w:rPr>
        <w:t>улози</w:t>
      </w:r>
      <w:r w:rsidRPr="00FB5A28">
        <w:rPr>
          <w:rFonts w:ascii="Times New Roman" w:hAnsi="Times New Roman"/>
          <w:sz w:val="24"/>
          <w:szCs w:val="24"/>
        </w:rPr>
        <w:t xml:space="preserve"> </w:t>
      </w:r>
      <w:r w:rsidR="005F720D" w:rsidRPr="00FB5A28">
        <w:rPr>
          <w:rFonts w:ascii="Times New Roman" w:hAnsi="Times New Roman"/>
          <w:sz w:val="24"/>
          <w:szCs w:val="24"/>
        </w:rPr>
        <w:t>и</w:t>
      </w:r>
      <w:r w:rsidRPr="00FB5A28">
        <w:rPr>
          <w:rFonts w:ascii="Times New Roman" w:hAnsi="Times New Roman"/>
          <w:sz w:val="24"/>
          <w:szCs w:val="24"/>
        </w:rPr>
        <w:t xml:space="preserve"> </w:t>
      </w:r>
      <w:r w:rsidR="005F720D" w:rsidRPr="00FB5A28">
        <w:rPr>
          <w:rFonts w:ascii="Times New Roman" w:hAnsi="Times New Roman"/>
          <w:sz w:val="24"/>
          <w:szCs w:val="24"/>
        </w:rPr>
        <w:t>готов</w:t>
      </w:r>
      <w:r w:rsidRPr="00FB5A28">
        <w:rPr>
          <w:rFonts w:ascii="Times New Roman" w:hAnsi="Times New Roman"/>
          <w:sz w:val="24"/>
          <w:szCs w:val="24"/>
        </w:rPr>
        <w:t xml:space="preserve"> </w:t>
      </w:r>
      <w:r w:rsidR="005F720D" w:rsidRPr="00FB5A28">
        <w:rPr>
          <w:rFonts w:ascii="Times New Roman" w:hAnsi="Times New Roman"/>
          <w:sz w:val="24"/>
          <w:szCs w:val="24"/>
        </w:rPr>
        <w:t>новац</w:t>
      </w:r>
      <w:r w:rsidRPr="00FB5A28">
        <w:rPr>
          <w:rFonts w:ascii="Times New Roman" w:hAnsi="Times New Roman"/>
          <w:sz w:val="24"/>
          <w:szCs w:val="24"/>
        </w:rPr>
        <w:t>;</w:t>
      </w:r>
    </w:p>
    <w:p w:rsidR="00717D0E" w:rsidRPr="00FB5A28" w:rsidRDefault="00717D0E" w:rsidP="00FB5A28">
      <w:pPr>
        <w:jc w:val="both"/>
        <w:rPr>
          <w:rFonts w:ascii="Times New Roman" w:hAnsi="Times New Roman"/>
          <w:sz w:val="24"/>
          <w:szCs w:val="24"/>
        </w:rPr>
      </w:pPr>
      <w:r w:rsidRPr="00FB5A28">
        <w:rPr>
          <w:rFonts w:ascii="Times New Roman" w:hAnsi="Times New Roman"/>
          <w:sz w:val="24"/>
          <w:szCs w:val="24"/>
        </w:rPr>
        <w:t xml:space="preserve">6) </w:t>
      </w:r>
      <w:r w:rsidR="005F720D" w:rsidRPr="00FB5A28">
        <w:rPr>
          <w:rFonts w:ascii="Times New Roman" w:hAnsi="Times New Roman"/>
          <w:sz w:val="24"/>
          <w:szCs w:val="24"/>
        </w:rPr>
        <w:t>друга</w:t>
      </w:r>
      <w:r w:rsidRPr="00FB5A28">
        <w:rPr>
          <w:rFonts w:ascii="Times New Roman" w:hAnsi="Times New Roman"/>
          <w:sz w:val="24"/>
          <w:szCs w:val="24"/>
        </w:rPr>
        <w:t xml:space="preserve"> </w:t>
      </w:r>
      <w:r w:rsidR="005F720D" w:rsidRPr="00FB5A28">
        <w:rPr>
          <w:rFonts w:ascii="Times New Roman" w:hAnsi="Times New Roman"/>
          <w:sz w:val="24"/>
          <w:szCs w:val="24"/>
        </w:rPr>
        <w:t>имовинска</w:t>
      </w:r>
      <w:r w:rsidRPr="00FB5A28">
        <w:rPr>
          <w:rFonts w:ascii="Times New Roman" w:hAnsi="Times New Roman"/>
          <w:sz w:val="24"/>
          <w:szCs w:val="24"/>
        </w:rPr>
        <w:t xml:space="preserve"> </w:t>
      </w:r>
      <w:r w:rsidR="005F720D" w:rsidRPr="00FB5A28">
        <w:rPr>
          <w:rFonts w:ascii="Times New Roman" w:hAnsi="Times New Roman"/>
          <w:sz w:val="24"/>
          <w:szCs w:val="24"/>
        </w:rPr>
        <w:t>права</w:t>
      </w:r>
      <w:r w:rsidRPr="00FB5A28">
        <w:rPr>
          <w:rFonts w:ascii="Times New Roman" w:hAnsi="Times New Roman"/>
          <w:sz w:val="24"/>
          <w:szCs w:val="24"/>
        </w:rPr>
        <w:t>.</w:t>
      </w:r>
    </w:p>
    <w:p w:rsidR="00717D0E" w:rsidRPr="00FB5A28" w:rsidRDefault="005F720D" w:rsidP="00FB5A28">
      <w:pPr>
        <w:ind w:firstLine="708"/>
        <w:jc w:val="both"/>
        <w:rPr>
          <w:rFonts w:ascii="Times New Roman" w:hAnsi="Times New Roman"/>
          <w:bCs/>
          <w:sz w:val="24"/>
          <w:szCs w:val="24"/>
          <w:lang w:val="sr-Cyrl-CS"/>
        </w:rPr>
      </w:pPr>
      <w:r w:rsidRPr="00FB5A28">
        <w:rPr>
          <w:rFonts w:ascii="Times New Roman" w:hAnsi="Times New Roman"/>
          <w:bCs/>
          <w:sz w:val="24"/>
          <w:szCs w:val="24"/>
        </w:rPr>
        <w:t>Индицијарна</w:t>
      </w:r>
      <w:r w:rsidR="00717D0E" w:rsidRPr="00FB5A28">
        <w:rPr>
          <w:rFonts w:ascii="Times New Roman" w:hAnsi="Times New Roman"/>
          <w:bCs/>
          <w:sz w:val="24"/>
          <w:szCs w:val="24"/>
        </w:rPr>
        <w:t xml:space="preserve"> </w:t>
      </w:r>
      <w:r w:rsidRPr="00FB5A28">
        <w:rPr>
          <w:rFonts w:ascii="Times New Roman" w:hAnsi="Times New Roman"/>
          <w:bCs/>
          <w:sz w:val="24"/>
          <w:szCs w:val="24"/>
        </w:rPr>
        <w:t>метода</w:t>
      </w:r>
      <w:r w:rsidR="00717D0E" w:rsidRPr="00FB5A28">
        <w:rPr>
          <w:rFonts w:ascii="Times New Roman" w:hAnsi="Times New Roman"/>
          <w:bCs/>
          <w:sz w:val="24"/>
          <w:szCs w:val="24"/>
        </w:rPr>
        <w:t xml:space="preserve"> </w:t>
      </w:r>
      <w:r w:rsidRPr="00FB5A28">
        <w:rPr>
          <w:rFonts w:ascii="Times New Roman" w:hAnsi="Times New Roman"/>
          <w:bCs/>
          <w:sz w:val="24"/>
          <w:szCs w:val="24"/>
        </w:rPr>
        <w:t>за</w:t>
      </w:r>
      <w:r w:rsidR="00717D0E" w:rsidRPr="00FB5A28">
        <w:rPr>
          <w:rFonts w:ascii="Times New Roman" w:hAnsi="Times New Roman"/>
          <w:bCs/>
          <w:sz w:val="24"/>
          <w:szCs w:val="24"/>
        </w:rPr>
        <w:t xml:space="preserve"> </w:t>
      </w:r>
      <w:r w:rsidRPr="00FB5A28">
        <w:rPr>
          <w:rFonts w:ascii="Times New Roman" w:hAnsi="Times New Roman"/>
          <w:bCs/>
          <w:sz w:val="24"/>
          <w:szCs w:val="24"/>
        </w:rPr>
        <w:t>утврђивање</w:t>
      </w:r>
      <w:r w:rsidR="00717D0E" w:rsidRPr="00FB5A28">
        <w:rPr>
          <w:rFonts w:ascii="Times New Roman" w:hAnsi="Times New Roman"/>
          <w:bCs/>
          <w:sz w:val="24"/>
          <w:szCs w:val="24"/>
        </w:rPr>
        <w:t xml:space="preserve"> </w:t>
      </w:r>
      <w:r w:rsidRPr="00FB5A28">
        <w:rPr>
          <w:rFonts w:ascii="Times New Roman" w:hAnsi="Times New Roman"/>
          <w:bCs/>
          <w:sz w:val="24"/>
          <w:szCs w:val="24"/>
        </w:rPr>
        <w:t>минималног</w:t>
      </w:r>
      <w:r w:rsidR="00717D0E" w:rsidRPr="00FB5A28">
        <w:rPr>
          <w:rFonts w:ascii="Times New Roman" w:hAnsi="Times New Roman"/>
          <w:bCs/>
          <w:sz w:val="24"/>
          <w:szCs w:val="24"/>
        </w:rPr>
        <w:t xml:space="preserve"> </w:t>
      </w:r>
      <w:r w:rsidRPr="00FB5A28">
        <w:rPr>
          <w:rFonts w:ascii="Times New Roman" w:hAnsi="Times New Roman"/>
          <w:bCs/>
          <w:sz w:val="24"/>
          <w:szCs w:val="24"/>
        </w:rPr>
        <w:t>пореза</w:t>
      </w:r>
      <w:r w:rsidR="00717D0E" w:rsidRPr="00FB5A28">
        <w:rPr>
          <w:rFonts w:ascii="Times New Roman" w:hAnsi="Times New Roman"/>
          <w:bCs/>
          <w:sz w:val="24"/>
          <w:szCs w:val="24"/>
        </w:rPr>
        <w:t xml:space="preserve"> </w:t>
      </w:r>
      <w:r w:rsidRPr="00FB5A28">
        <w:rPr>
          <w:rFonts w:ascii="Times New Roman" w:hAnsi="Times New Roman"/>
          <w:bCs/>
          <w:sz w:val="24"/>
          <w:szCs w:val="24"/>
        </w:rPr>
        <w:t>на</w:t>
      </w:r>
      <w:r w:rsidR="00717D0E" w:rsidRPr="00FB5A28">
        <w:rPr>
          <w:rFonts w:ascii="Times New Roman" w:hAnsi="Times New Roman"/>
          <w:bCs/>
          <w:sz w:val="24"/>
          <w:szCs w:val="24"/>
        </w:rPr>
        <w:t xml:space="preserve"> </w:t>
      </w:r>
      <w:r w:rsidRPr="00FB5A28">
        <w:rPr>
          <w:rFonts w:ascii="Times New Roman" w:hAnsi="Times New Roman"/>
          <w:bCs/>
          <w:sz w:val="24"/>
          <w:szCs w:val="24"/>
        </w:rPr>
        <w:t>доходак</w:t>
      </w:r>
      <w:r w:rsidR="00717D0E" w:rsidRPr="00FB5A28">
        <w:rPr>
          <w:rFonts w:ascii="Times New Roman" w:hAnsi="Times New Roman"/>
          <w:bCs/>
          <w:sz w:val="24"/>
          <w:szCs w:val="24"/>
        </w:rPr>
        <w:t xml:space="preserve"> </w:t>
      </w:r>
      <w:r w:rsidRPr="00FB5A28">
        <w:rPr>
          <w:rFonts w:ascii="Times New Roman" w:hAnsi="Times New Roman"/>
          <w:bCs/>
          <w:sz w:val="24"/>
          <w:szCs w:val="24"/>
        </w:rPr>
        <w:t>грађана</w:t>
      </w:r>
      <w:r w:rsidR="00213488" w:rsidRPr="00FB5A28">
        <w:rPr>
          <w:rFonts w:ascii="Times New Roman" w:hAnsi="Times New Roman"/>
          <w:bCs/>
          <w:sz w:val="24"/>
          <w:szCs w:val="24"/>
          <w:lang w:val="sr-Cyrl-CS"/>
        </w:rPr>
        <w:t xml:space="preserve"> подразуме</w:t>
      </w:r>
      <w:r w:rsidR="001954C8" w:rsidRPr="00FB5A28">
        <w:rPr>
          <w:rFonts w:ascii="Times New Roman" w:hAnsi="Times New Roman"/>
          <w:bCs/>
          <w:sz w:val="24"/>
          <w:szCs w:val="24"/>
          <w:lang w:val="sr-Cyrl-CS"/>
        </w:rPr>
        <w:t xml:space="preserve">ва да  </w:t>
      </w:r>
      <w:r w:rsidR="001954C8" w:rsidRPr="00FB5A28">
        <w:rPr>
          <w:rFonts w:ascii="Times New Roman" w:hAnsi="Times New Roman"/>
          <w:sz w:val="24"/>
          <w:szCs w:val="24"/>
          <w:lang w:val="sr-Cyrl-CS"/>
        </w:rPr>
        <w:t xml:space="preserve">порез </w:t>
      </w:r>
      <w:r w:rsidRPr="00FB5A28">
        <w:rPr>
          <w:rFonts w:ascii="Times New Roman" w:hAnsi="Times New Roman"/>
          <w:sz w:val="24"/>
          <w:szCs w:val="24"/>
        </w:rPr>
        <w:t>на</w:t>
      </w:r>
      <w:r w:rsidR="00717D0E" w:rsidRPr="00FB5A28">
        <w:rPr>
          <w:rFonts w:ascii="Times New Roman" w:hAnsi="Times New Roman"/>
          <w:sz w:val="24"/>
          <w:szCs w:val="24"/>
        </w:rPr>
        <w:t xml:space="preserve"> </w:t>
      </w:r>
      <w:r w:rsidRPr="00FB5A28">
        <w:rPr>
          <w:rFonts w:ascii="Times New Roman" w:hAnsi="Times New Roman"/>
          <w:sz w:val="24"/>
          <w:szCs w:val="24"/>
        </w:rPr>
        <w:t>доходак</w:t>
      </w:r>
      <w:r w:rsidR="00717D0E" w:rsidRPr="00FB5A28">
        <w:rPr>
          <w:rFonts w:ascii="Times New Roman" w:hAnsi="Times New Roman"/>
          <w:sz w:val="24"/>
          <w:szCs w:val="24"/>
        </w:rPr>
        <w:t xml:space="preserve"> </w:t>
      </w:r>
      <w:r w:rsidRPr="00FB5A28">
        <w:rPr>
          <w:rFonts w:ascii="Times New Roman" w:hAnsi="Times New Roman"/>
          <w:sz w:val="24"/>
          <w:szCs w:val="24"/>
        </w:rPr>
        <w:t>грађана</w:t>
      </w:r>
      <w:r w:rsidR="00717D0E" w:rsidRPr="00FB5A28">
        <w:rPr>
          <w:rFonts w:ascii="Times New Roman" w:hAnsi="Times New Roman"/>
          <w:sz w:val="24"/>
          <w:szCs w:val="24"/>
        </w:rPr>
        <w:t xml:space="preserve"> </w:t>
      </w:r>
      <w:r w:rsidRPr="00FB5A28">
        <w:rPr>
          <w:rFonts w:ascii="Times New Roman" w:hAnsi="Times New Roman"/>
          <w:sz w:val="24"/>
          <w:szCs w:val="24"/>
        </w:rPr>
        <w:t>не</w:t>
      </w:r>
      <w:r w:rsidR="00717D0E" w:rsidRPr="00FB5A28">
        <w:rPr>
          <w:rFonts w:ascii="Times New Roman" w:hAnsi="Times New Roman"/>
          <w:sz w:val="24"/>
          <w:szCs w:val="24"/>
        </w:rPr>
        <w:t xml:space="preserve"> </w:t>
      </w:r>
      <w:r w:rsidRPr="00FB5A28">
        <w:rPr>
          <w:rFonts w:ascii="Times New Roman" w:hAnsi="Times New Roman"/>
          <w:sz w:val="24"/>
          <w:szCs w:val="24"/>
        </w:rPr>
        <w:t>може</w:t>
      </w:r>
      <w:r w:rsidR="00717D0E" w:rsidRPr="00FB5A28">
        <w:rPr>
          <w:rFonts w:ascii="Times New Roman" w:hAnsi="Times New Roman"/>
          <w:sz w:val="24"/>
          <w:szCs w:val="24"/>
        </w:rPr>
        <w:t xml:space="preserve"> </w:t>
      </w:r>
      <w:r w:rsidRPr="00FB5A28">
        <w:rPr>
          <w:rFonts w:ascii="Times New Roman" w:hAnsi="Times New Roman"/>
          <w:sz w:val="24"/>
          <w:szCs w:val="24"/>
        </w:rPr>
        <w:t>бити</w:t>
      </w:r>
      <w:r w:rsidR="00717D0E" w:rsidRPr="00FB5A28">
        <w:rPr>
          <w:rFonts w:ascii="Times New Roman" w:hAnsi="Times New Roman"/>
          <w:sz w:val="24"/>
          <w:szCs w:val="24"/>
        </w:rPr>
        <w:t xml:space="preserve"> </w:t>
      </w:r>
      <w:r w:rsidRPr="00FB5A28">
        <w:rPr>
          <w:rFonts w:ascii="Times New Roman" w:hAnsi="Times New Roman"/>
          <w:sz w:val="24"/>
          <w:szCs w:val="24"/>
        </w:rPr>
        <w:t>мањи</w:t>
      </w:r>
      <w:r w:rsidR="00717D0E" w:rsidRPr="00FB5A28">
        <w:rPr>
          <w:rFonts w:ascii="Times New Roman" w:hAnsi="Times New Roman"/>
          <w:sz w:val="24"/>
          <w:szCs w:val="24"/>
        </w:rPr>
        <w:t xml:space="preserve"> </w:t>
      </w:r>
      <w:r w:rsidRPr="00FB5A28">
        <w:rPr>
          <w:rFonts w:ascii="Times New Roman" w:hAnsi="Times New Roman"/>
          <w:sz w:val="24"/>
          <w:szCs w:val="24"/>
        </w:rPr>
        <w:t>од</w:t>
      </w:r>
      <w:r w:rsidR="00717D0E" w:rsidRPr="00FB5A28">
        <w:rPr>
          <w:rFonts w:ascii="Times New Roman" w:hAnsi="Times New Roman"/>
          <w:sz w:val="24"/>
          <w:szCs w:val="24"/>
        </w:rPr>
        <w:t xml:space="preserve"> </w:t>
      </w:r>
      <w:r w:rsidRPr="00FB5A28">
        <w:rPr>
          <w:rFonts w:ascii="Times New Roman" w:hAnsi="Times New Roman"/>
          <w:sz w:val="24"/>
          <w:szCs w:val="24"/>
        </w:rPr>
        <w:t>износа</w:t>
      </w:r>
      <w:r w:rsidR="00717D0E" w:rsidRPr="00FB5A28">
        <w:rPr>
          <w:rFonts w:ascii="Times New Roman" w:hAnsi="Times New Roman"/>
          <w:sz w:val="24"/>
          <w:szCs w:val="24"/>
        </w:rPr>
        <w:t xml:space="preserve"> </w:t>
      </w:r>
      <w:r w:rsidRPr="00FB5A28">
        <w:rPr>
          <w:rFonts w:ascii="Times New Roman" w:hAnsi="Times New Roman"/>
          <w:sz w:val="24"/>
          <w:szCs w:val="24"/>
        </w:rPr>
        <w:t>израчунатог</w:t>
      </w:r>
      <w:r w:rsidR="00717D0E" w:rsidRPr="00FB5A28">
        <w:rPr>
          <w:rFonts w:ascii="Times New Roman" w:hAnsi="Times New Roman"/>
          <w:sz w:val="24"/>
          <w:szCs w:val="24"/>
        </w:rPr>
        <w:t xml:space="preserve"> </w:t>
      </w:r>
      <w:r w:rsidRPr="00FB5A28">
        <w:rPr>
          <w:rFonts w:ascii="Times New Roman" w:hAnsi="Times New Roman"/>
          <w:sz w:val="24"/>
          <w:szCs w:val="24"/>
        </w:rPr>
        <w:t>на</w:t>
      </w:r>
      <w:r w:rsidR="00717D0E" w:rsidRPr="00FB5A28">
        <w:rPr>
          <w:rFonts w:ascii="Times New Roman" w:hAnsi="Times New Roman"/>
          <w:sz w:val="24"/>
          <w:szCs w:val="24"/>
        </w:rPr>
        <w:t xml:space="preserve"> </w:t>
      </w:r>
      <w:r w:rsidRPr="00FB5A28">
        <w:rPr>
          <w:rFonts w:ascii="Times New Roman" w:hAnsi="Times New Roman"/>
          <w:sz w:val="24"/>
          <w:szCs w:val="24"/>
        </w:rPr>
        <w:t>основу</w:t>
      </w:r>
      <w:r w:rsidR="00717D0E" w:rsidRPr="00FB5A28">
        <w:rPr>
          <w:rFonts w:ascii="Times New Roman" w:hAnsi="Times New Roman"/>
          <w:sz w:val="24"/>
          <w:szCs w:val="24"/>
        </w:rPr>
        <w:t xml:space="preserve"> </w:t>
      </w:r>
      <w:r w:rsidRPr="00FB5A28">
        <w:rPr>
          <w:rFonts w:ascii="Times New Roman" w:hAnsi="Times New Roman"/>
          <w:sz w:val="24"/>
          <w:szCs w:val="24"/>
        </w:rPr>
        <w:t>формуле</w:t>
      </w:r>
      <w:r w:rsidR="00717D0E" w:rsidRPr="00FB5A28">
        <w:rPr>
          <w:rFonts w:ascii="Times New Roman" w:hAnsi="Times New Roman"/>
          <w:sz w:val="24"/>
          <w:szCs w:val="24"/>
        </w:rPr>
        <w:t xml:space="preserve"> </w:t>
      </w:r>
      <w:r w:rsidRPr="00FB5A28">
        <w:rPr>
          <w:rFonts w:ascii="Times New Roman" w:hAnsi="Times New Roman"/>
          <w:sz w:val="24"/>
          <w:szCs w:val="24"/>
        </w:rPr>
        <w:t>по</w:t>
      </w:r>
      <w:r w:rsidR="00717D0E" w:rsidRPr="00FB5A28">
        <w:rPr>
          <w:rFonts w:ascii="Times New Roman" w:hAnsi="Times New Roman"/>
          <w:sz w:val="24"/>
          <w:szCs w:val="24"/>
        </w:rPr>
        <w:t xml:space="preserve"> </w:t>
      </w:r>
      <w:r w:rsidRPr="00FB5A28">
        <w:rPr>
          <w:rFonts w:ascii="Times New Roman" w:hAnsi="Times New Roman"/>
          <w:sz w:val="24"/>
          <w:szCs w:val="24"/>
        </w:rPr>
        <w:t>којој</w:t>
      </w:r>
      <w:r w:rsidR="00717D0E" w:rsidRPr="00FB5A28">
        <w:rPr>
          <w:rFonts w:ascii="Times New Roman" w:hAnsi="Times New Roman"/>
          <w:sz w:val="24"/>
          <w:szCs w:val="24"/>
        </w:rPr>
        <w:t xml:space="preserve"> </w:t>
      </w:r>
      <w:r w:rsidRPr="00FB5A28">
        <w:rPr>
          <w:rFonts w:ascii="Times New Roman" w:hAnsi="Times New Roman"/>
          <w:sz w:val="24"/>
          <w:szCs w:val="24"/>
        </w:rPr>
        <w:t>се</w:t>
      </w:r>
      <w:r w:rsidR="00717D0E" w:rsidRPr="00FB5A28">
        <w:rPr>
          <w:rFonts w:ascii="Times New Roman" w:hAnsi="Times New Roman"/>
          <w:sz w:val="24"/>
          <w:szCs w:val="24"/>
        </w:rPr>
        <w:t xml:space="preserve"> </w:t>
      </w:r>
      <w:r w:rsidRPr="00FB5A28">
        <w:rPr>
          <w:rFonts w:ascii="Times New Roman" w:hAnsi="Times New Roman"/>
          <w:sz w:val="24"/>
          <w:szCs w:val="24"/>
        </w:rPr>
        <w:t>одређени</w:t>
      </w:r>
      <w:r w:rsidR="00717D0E" w:rsidRPr="00FB5A28">
        <w:rPr>
          <w:rFonts w:ascii="Times New Roman" w:hAnsi="Times New Roman"/>
          <w:sz w:val="24"/>
          <w:szCs w:val="24"/>
        </w:rPr>
        <w:t xml:space="preserve"> </w:t>
      </w:r>
      <w:r w:rsidRPr="00FB5A28">
        <w:rPr>
          <w:rFonts w:ascii="Times New Roman" w:hAnsi="Times New Roman"/>
          <w:sz w:val="24"/>
          <w:szCs w:val="24"/>
        </w:rPr>
        <w:t>индекси</w:t>
      </w:r>
      <w:r w:rsidR="00717D0E" w:rsidRPr="00FB5A28">
        <w:rPr>
          <w:rFonts w:ascii="Times New Roman" w:hAnsi="Times New Roman"/>
          <w:sz w:val="24"/>
          <w:szCs w:val="24"/>
        </w:rPr>
        <w:t xml:space="preserve"> </w:t>
      </w:r>
      <w:r w:rsidRPr="00FB5A28">
        <w:rPr>
          <w:rFonts w:ascii="Times New Roman" w:hAnsi="Times New Roman"/>
          <w:sz w:val="24"/>
          <w:szCs w:val="24"/>
        </w:rPr>
        <w:t>примењују</w:t>
      </w:r>
      <w:r w:rsidR="00717D0E" w:rsidRPr="00FB5A28">
        <w:rPr>
          <w:rFonts w:ascii="Times New Roman" w:hAnsi="Times New Roman"/>
          <w:sz w:val="24"/>
          <w:szCs w:val="24"/>
        </w:rPr>
        <w:t xml:space="preserve"> </w:t>
      </w:r>
      <w:r w:rsidRPr="00FB5A28">
        <w:rPr>
          <w:rFonts w:ascii="Times New Roman" w:hAnsi="Times New Roman"/>
          <w:sz w:val="24"/>
          <w:szCs w:val="24"/>
        </w:rPr>
        <w:t>на</w:t>
      </w:r>
      <w:r w:rsidR="00717D0E" w:rsidRPr="00FB5A28">
        <w:rPr>
          <w:rFonts w:ascii="Times New Roman" w:hAnsi="Times New Roman"/>
          <w:sz w:val="24"/>
          <w:szCs w:val="24"/>
        </w:rPr>
        <w:t xml:space="preserve"> </w:t>
      </w:r>
      <w:r w:rsidRPr="00FB5A28">
        <w:rPr>
          <w:rFonts w:ascii="Times New Roman" w:hAnsi="Times New Roman"/>
          <w:sz w:val="24"/>
          <w:szCs w:val="24"/>
        </w:rPr>
        <w:t>факторе</w:t>
      </w:r>
      <w:r w:rsidR="00717D0E" w:rsidRPr="00FB5A28">
        <w:rPr>
          <w:rFonts w:ascii="Times New Roman" w:hAnsi="Times New Roman"/>
          <w:sz w:val="24"/>
          <w:szCs w:val="24"/>
        </w:rPr>
        <w:t xml:space="preserve"> </w:t>
      </w:r>
      <w:r w:rsidRPr="00FB5A28">
        <w:rPr>
          <w:rFonts w:ascii="Times New Roman" w:hAnsi="Times New Roman"/>
          <w:sz w:val="24"/>
          <w:szCs w:val="24"/>
        </w:rPr>
        <w:t>који</w:t>
      </w:r>
      <w:r w:rsidR="00717D0E" w:rsidRPr="00FB5A28">
        <w:rPr>
          <w:rFonts w:ascii="Times New Roman" w:hAnsi="Times New Roman"/>
          <w:sz w:val="24"/>
          <w:szCs w:val="24"/>
        </w:rPr>
        <w:t xml:space="preserve"> </w:t>
      </w:r>
      <w:r w:rsidRPr="00FB5A28">
        <w:rPr>
          <w:rFonts w:ascii="Times New Roman" w:hAnsi="Times New Roman"/>
          <w:sz w:val="24"/>
          <w:szCs w:val="24"/>
        </w:rPr>
        <w:t>представљају</w:t>
      </w:r>
      <w:r w:rsidR="00717D0E" w:rsidRPr="00FB5A28">
        <w:rPr>
          <w:rFonts w:ascii="Times New Roman" w:hAnsi="Times New Roman"/>
          <w:sz w:val="24"/>
          <w:szCs w:val="24"/>
        </w:rPr>
        <w:t xml:space="preserve"> </w:t>
      </w:r>
      <w:r w:rsidRPr="00FB5A28">
        <w:rPr>
          <w:rFonts w:ascii="Times New Roman" w:hAnsi="Times New Roman"/>
          <w:sz w:val="24"/>
          <w:szCs w:val="24"/>
        </w:rPr>
        <w:t>индиције</w:t>
      </w:r>
      <w:r w:rsidR="00717D0E" w:rsidRPr="00FB5A28">
        <w:rPr>
          <w:rFonts w:ascii="Times New Roman" w:hAnsi="Times New Roman"/>
          <w:sz w:val="24"/>
          <w:szCs w:val="24"/>
        </w:rPr>
        <w:t xml:space="preserve"> </w:t>
      </w:r>
      <w:r w:rsidRPr="00FB5A28">
        <w:rPr>
          <w:rFonts w:ascii="Times New Roman" w:hAnsi="Times New Roman"/>
          <w:sz w:val="24"/>
          <w:szCs w:val="24"/>
        </w:rPr>
        <w:t>луксузног</w:t>
      </w:r>
      <w:r w:rsidR="00717D0E" w:rsidRPr="00FB5A28">
        <w:rPr>
          <w:rFonts w:ascii="Times New Roman" w:hAnsi="Times New Roman"/>
          <w:sz w:val="24"/>
          <w:szCs w:val="24"/>
        </w:rPr>
        <w:t xml:space="preserve"> </w:t>
      </w:r>
      <w:r w:rsidRPr="00FB5A28">
        <w:rPr>
          <w:rFonts w:ascii="Times New Roman" w:hAnsi="Times New Roman"/>
          <w:sz w:val="24"/>
          <w:szCs w:val="24"/>
        </w:rPr>
        <w:t>животног</w:t>
      </w:r>
      <w:r w:rsidR="00717D0E" w:rsidRPr="00FB5A28">
        <w:rPr>
          <w:rFonts w:ascii="Times New Roman" w:hAnsi="Times New Roman"/>
          <w:sz w:val="24"/>
          <w:szCs w:val="24"/>
        </w:rPr>
        <w:t xml:space="preserve"> </w:t>
      </w:r>
      <w:r w:rsidRPr="00FB5A28">
        <w:rPr>
          <w:rFonts w:ascii="Times New Roman" w:hAnsi="Times New Roman"/>
          <w:sz w:val="24"/>
          <w:szCs w:val="24"/>
        </w:rPr>
        <w:t>стила</w:t>
      </w:r>
      <w:r w:rsidR="00717D0E" w:rsidRPr="00FB5A28">
        <w:rPr>
          <w:rFonts w:ascii="Times New Roman" w:hAnsi="Times New Roman"/>
          <w:sz w:val="24"/>
          <w:szCs w:val="24"/>
        </w:rPr>
        <w:t xml:space="preserve"> </w:t>
      </w:r>
      <w:r w:rsidRPr="00FB5A28">
        <w:rPr>
          <w:rFonts w:ascii="Times New Roman" w:hAnsi="Times New Roman"/>
          <w:sz w:val="24"/>
          <w:szCs w:val="24"/>
        </w:rPr>
        <w:t>пореског</w:t>
      </w:r>
      <w:r w:rsidR="00717D0E" w:rsidRPr="00FB5A28">
        <w:rPr>
          <w:rFonts w:ascii="Times New Roman" w:hAnsi="Times New Roman"/>
          <w:sz w:val="24"/>
          <w:szCs w:val="24"/>
        </w:rPr>
        <w:t xml:space="preserve"> </w:t>
      </w:r>
      <w:r w:rsidRPr="00FB5A28">
        <w:rPr>
          <w:rFonts w:ascii="Times New Roman" w:hAnsi="Times New Roman"/>
          <w:sz w:val="24"/>
          <w:szCs w:val="24"/>
        </w:rPr>
        <w:t>обвезника</w:t>
      </w:r>
      <w:r w:rsidR="00717D0E" w:rsidRPr="00FB5A28">
        <w:rPr>
          <w:rFonts w:ascii="Times New Roman" w:hAnsi="Times New Roman"/>
          <w:sz w:val="24"/>
          <w:szCs w:val="24"/>
        </w:rPr>
        <w:t>.</w:t>
      </w:r>
      <w:r w:rsidR="00FB5A28">
        <w:rPr>
          <w:rFonts w:ascii="Times New Roman" w:hAnsi="Times New Roman"/>
          <w:sz w:val="24"/>
          <w:szCs w:val="24"/>
          <w:lang w:val="sr-Cyrl-CS"/>
        </w:rPr>
        <w:t xml:space="preserve"> </w:t>
      </w:r>
    </w:p>
    <w:p w:rsidR="00717D0E" w:rsidRPr="005F720D" w:rsidRDefault="00717D0E" w:rsidP="005F720D">
      <w:pPr>
        <w:ind w:firstLine="708"/>
        <w:jc w:val="both"/>
        <w:rPr>
          <w:rFonts w:ascii="Times New Roman" w:hAnsi="Times New Roman"/>
          <w:sz w:val="24"/>
          <w:szCs w:val="24"/>
          <w:lang w:val="sr-Cyrl-CS"/>
        </w:rPr>
      </w:pPr>
      <w:r w:rsidRPr="005F720D">
        <w:rPr>
          <w:rFonts w:ascii="Times New Roman" w:hAnsi="Times New Roman"/>
          <w:sz w:val="24"/>
          <w:szCs w:val="24"/>
          <w:lang w:val="sr-Cyrl-CS"/>
        </w:rPr>
        <w:t xml:space="preserve">Према томе, метода унакрсне процене пореске основице је специфична за порез на доходак грађана и може се извршити само по истеку пореске године, односно након периода за који се врши опорезовање. </w:t>
      </w:r>
    </w:p>
    <w:p w:rsidR="00717D0E" w:rsidRPr="005F720D" w:rsidRDefault="00717D0E" w:rsidP="00C24C24">
      <w:pPr>
        <w:ind w:firstLine="708"/>
        <w:jc w:val="both"/>
        <w:rPr>
          <w:rFonts w:ascii="Times New Roman" w:hAnsi="Times New Roman"/>
          <w:sz w:val="24"/>
          <w:szCs w:val="24"/>
          <w:shd w:val="clear" w:color="auto" w:fill="FFFFFF"/>
          <w:lang w:val="sr-Cyrl-CS"/>
        </w:rPr>
      </w:pPr>
      <w:r w:rsidRPr="005F720D">
        <w:rPr>
          <w:rFonts w:ascii="Times New Roman" w:hAnsi="Times New Roman"/>
          <w:sz w:val="24"/>
          <w:szCs w:val="24"/>
          <w:shd w:val="clear" w:color="auto" w:fill="FFFFFF"/>
          <w:lang w:val="sr-Cyrl-CS"/>
        </w:rPr>
        <w:t xml:space="preserve">Ова метода полази од тзв. </w:t>
      </w:r>
      <w:r w:rsidR="00213488">
        <w:rPr>
          <w:rFonts w:ascii="Times New Roman" w:hAnsi="Times New Roman"/>
          <w:sz w:val="24"/>
          <w:szCs w:val="24"/>
          <w:shd w:val="clear" w:color="auto" w:fill="FFFFFF"/>
        </w:rPr>
        <w:t>S</w:t>
      </w:r>
      <w:r w:rsidRPr="005F720D">
        <w:rPr>
          <w:rFonts w:ascii="Times New Roman" w:hAnsi="Times New Roman"/>
          <w:sz w:val="24"/>
          <w:szCs w:val="24"/>
          <w:shd w:val="clear" w:color="auto" w:fill="FFFFFF"/>
        </w:rPr>
        <w:t>-</w:t>
      </w:r>
      <w:r w:rsidR="00213488">
        <w:rPr>
          <w:rFonts w:ascii="Times New Roman" w:hAnsi="Times New Roman"/>
          <w:sz w:val="24"/>
          <w:szCs w:val="24"/>
          <w:shd w:val="clear" w:color="auto" w:fill="FFFFFF"/>
        </w:rPr>
        <w:t>H</w:t>
      </w:r>
      <w:r w:rsidRPr="005F720D">
        <w:rPr>
          <w:rFonts w:ascii="Times New Roman" w:hAnsi="Times New Roman"/>
          <w:sz w:val="24"/>
          <w:szCs w:val="24"/>
          <w:shd w:val="clear" w:color="auto" w:fill="FFFFFF"/>
        </w:rPr>
        <w:t>-</w:t>
      </w:r>
      <w:r w:rsidR="00213488">
        <w:rPr>
          <w:rFonts w:ascii="Times New Roman" w:hAnsi="Times New Roman"/>
          <w:sz w:val="24"/>
          <w:szCs w:val="24"/>
          <w:shd w:val="clear" w:color="auto" w:fill="FFFFFF"/>
        </w:rPr>
        <w:t>S</w:t>
      </w:r>
      <w:r w:rsidRPr="005F720D">
        <w:rPr>
          <w:rFonts w:ascii="Times New Roman" w:hAnsi="Times New Roman"/>
          <w:sz w:val="24"/>
          <w:szCs w:val="24"/>
          <w:shd w:val="clear" w:color="auto" w:fill="FFFFFF"/>
        </w:rPr>
        <w:t xml:space="preserve"> концепта дохотка</w:t>
      </w:r>
      <w:r w:rsidRPr="005F720D">
        <w:rPr>
          <w:rFonts w:ascii="Times New Roman" w:hAnsi="Times New Roman"/>
          <w:sz w:val="24"/>
          <w:szCs w:val="24"/>
          <w:shd w:val="clear" w:color="auto" w:fill="FFFFFF"/>
          <w:lang w:val="sr-Cyrl-CS"/>
        </w:rPr>
        <w:t xml:space="preserve"> (</w:t>
      </w:r>
      <w:r w:rsidR="00213488">
        <w:rPr>
          <w:rFonts w:ascii="Times New Roman" w:hAnsi="Times New Roman"/>
          <w:sz w:val="24"/>
          <w:szCs w:val="24"/>
          <w:shd w:val="clear" w:color="auto" w:fill="FFFFFF"/>
        </w:rPr>
        <w:t>Schanz</w:t>
      </w:r>
      <w:r w:rsidRPr="005F720D">
        <w:rPr>
          <w:rFonts w:ascii="Times New Roman" w:hAnsi="Times New Roman"/>
          <w:sz w:val="24"/>
          <w:szCs w:val="24"/>
          <w:shd w:val="clear" w:color="auto" w:fill="FFFFFF"/>
        </w:rPr>
        <w:t>-</w:t>
      </w:r>
      <w:r w:rsidR="00213488">
        <w:rPr>
          <w:rFonts w:ascii="Times New Roman" w:hAnsi="Times New Roman"/>
          <w:sz w:val="24"/>
          <w:szCs w:val="24"/>
          <w:shd w:val="clear" w:color="auto" w:fill="FFFFFF"/>
        </w:rPr>
        <w:t>Haig</w:t>
      </w:r>
      <w:r w:rsidR="00C24C24">
        <w:rPr>
          <w:rFonts w:ascii="Times New Roman" w:hAnsi="Times New Roman"/>
          <w:sz w:val="24"/>
          <w:szCs w:val="24"/>
          <w:shd w:val="clear" w:color="auto" w:fill="FFFFFF"/>
        </w:rPr>
        <w:t>h</w:t>
      </w:r>
      <w:r w:rsidRPr="005F720D">
        <w:rPr>
          <w:rFonts w:ascii="Times New Roman" w:hAnsi="Times New Roman"/>
          <w:sz w:val="24"/>
          <w:szCs w:val="24"/>
          <w:shd w:val="clear" w:color="auto" w:fill="FFFFFF"/>
        </w:rPr>
        <w:t>-</w:t>
      </w:r>
      <w:r w:rsidR="00213488">
        <w:rPr>
          <w:rFonts w:ascii="Times New Roman" w:hAnsi="Times New Roman"/>
          <w:sz w:val="24"/>
          <w:szCs w:val="24"/>
          <w:shd w:val="clear" w:color="auto" w:fill="FFFFFF"/>
        </w:rPr>
        <w:t>Simons</w:t>
      </w:r>
      <w:r w:rsidRPr="005F720D">
        <w:rPr>
          <w:rFonts w:ascii="Times New Roman" w:hAnsi="Times New Roman"/>
          <w:sz w:val="24"/>
          <w:szCs w:val="24"/>
          <w:shd w:val="clear" w:color="auto" w:fill="FFFFFF"/>
          <w:lang w:val="sr-Cyrl-CS"/>
        </w:rPr>
        <w:t xml:space="preserve"> теорија чистог приноса) према коме доходак представља принос који је лице остварило у пореској години, односно збир по</w:t>
      </w:r>
      <w:r w:rsidR="00C24C24">
        <w:rPr>
          <w:rFonts w:ascii="Times New Roman" w:hAnsi="Times New Roman"/>
          <w:sz w:val="24"/>
          <w:szCs w:val="24"/>
          <w:shd w:val="clear" w:color="auto" w:fill="FFFFFF"/>
          <w:lang w:val="sr-Cyrl-CS"/>
        </w:rPr>
        <w:t>трошње и акумулације. Доходак,</w:t>
      </w:r>
      <w:r w:rsidR="00C24C24" w:rsidRPr="00C24C24">
        <w:rPr>
          <w:rStyle w:val="FootnoteReference"/>
          <w:rFonts w:ascii="Times New Roman" w:hAnsi="Times New Roman"/>
          <w:sz w:val="24"/>
          <w:szCs w:val="24"/>
          <w:shd w:val="clear" w:color="auto" w:fill="FFFFFF"/>
          <w:lang w:val="sr-Cyrl-CS"/>
        </w:rPr>
        <w:t xml:space="preserve"> </w:t>
      </w:r>
      <w:r w:rsidR="00C24C24" w:rsidRPr="005F720D">
        <w:rPr>
          <w:rStyle w:val="FootnoteReference"/>
          <w:rFonts w:ascii="Times New Roman" w:hAnsi="Times New Roman"/>
          <w:sz w:val="24"/>
          <w:szCs w:val="24"/>
          <w:shd w:val="clear" w:color="auto" w:fill="FFFFFF"/>
          <w:lang w:val="sr-Cyrl-CS"/>
        </w:rPr>
        <w:footnoteReference w:id="488"/>
      </w:r>
      <w:r w:rsidR="00C24C24">
        <w:rPr>
          <w:rFonts w:ascii="Times New Roman" w:hAnsi="Times New Roman"/>
          <w:sz w:val="24"/>
          <w:szCs w:val="24"/>
          <w:shd w:val="clear" w:color="auto" w:fill="FFFFFF"/>
        </w:rPr>
        <w:t xml:space="preserve"> </w:t>
      </w:r>
      <w:r w:rsidRPr="005F720D">
        <w:rPr>
          <w:rFonts w:ascii="Times New Roman" w:hAnsi="Times New Roman"/>
          <w:sz w:val="24"/>
          <w:szCs w:val="24"/>
          <w:shd w:val="clear" w:color="auto" w:fill="FFFFFF"/>
          <w:lang w:val="sr-Cyrl-CS"/>
        </w:rPr>
        <w:t xml:space="preserve">према томе,  </w:t>
      </w:r>
      <w:r w:rsidR="00C24C24">
        <w:rPr>
          <w:rFonts w:ascii="Times New Roman" w:hAnsi="Times New Roman"/>
          <w:sz w:val="24"/>
          <w:szCs w:val="24"/>
          <w:shd w:val="clear" w:color="auto" w:fill="FFFFFF"/>
          <w:lang w:val="sr-Cyrl-CS"/>
        </w:rPr>
        <w:t>одговара новчаној</w:t>
      </w:r>
      <w:r w:rsidRPr="005F720D">
        <w:rPr>
          <w:rFonts w:ascii="Times New Roman" w:hAnsi="Times New Roman"/>
          <w:sz w:val="24"/>
          <w:szCs w:val="24"/>
          <w:shd w:val="clear" w:color="auto" w:fill="FFFFFF"/>
          <w:lang w:val="sr-Cyrl-CS"/>
        </w:rPr>
        <w:t xml:space="preserve"> вредност</w:t>
      </w:r>
      <w:r w:rsidR="00C24C24">
        <w:rPr>
          <w:rFonts w:ascii="Times New Roman" w:hAnsi="Times New Roman"/>
          <w:sz w:val="24"/>
          <w:szCs w:val="24"/>
          <w:shd w:val="clear" w:color="auto" w:fill="FFFFFF"/>
          <w:lang w:val="sr-Cyrl-CS"/>
        </w:rPr>
        <w:t>и</w:t>
      </w:r>
      <w:r w:rsidRPr="005F720D">
        <w:rPr>
          <w:rFonts w:ascii="Times New Roman" w:hAnsi="Times New Roman"/>
          <w:sz w:val="24"/>
          <w:szCs w:val="24"/>
          <w:shd w:val="clear" w:color="auto" w:fill="FFFFFF"/>
          <w:lang w:val="sr-Cyrl-CS"/>
        </w:rPr>
        <w:t xml:space="preserve"> </w:t>
      </w:r>
      <w:r w:rsidR="00C24C24">
        <w:rPr>
          <w:rFonts w:ascii="Times New Roman" w:hAnsi="Times New Roman"/>
          <w:sz w:val="24"/>
          <w:szCs w:val="24"/>
          <w:shd w:val="clear" w:color="auto" w:fill="FFFFFF"/>
          <w:lang w:val="sr-Cyrl-CS"/>
        </w:rPr>
        <w:t>збира потрошње неког лица и увећане вредности његове имовине у току једне године</w:t>
      </w:r>
      <w:r w:rsidR="00014DFE">
        <w:rPr>
          <w:rFonts w:ascii="Times New Roman" w:hAnsi="Times New Roman"/>
          <w:sz w:val="24"/>
          <w:szCs w:val="24"/>
          <w:shd w:val="clear" w:color="auto" w:fill="FFFFFF"/>
        </w:rPr>
        <w:t>.</w:t>
      </w:r>
      <w:r w:rsidR="00C24C24" w:rsidRPr="005F720D">
        <w:rPr>
          <w:rFonts w:ascii="Times New Roman" w:hAnsi="Times New Roman"/>
          <w:sz w:val="24"/>
          <w:szCs w:val="24"/>
          <w:shd w:val="clear" w:color="auto" w:fill="FFFFFF"/>
          <w:lang w:val="sr-Cyrl-CS"/>
        </w:rPr>
        <w:t xml:space="preserve"> </w:t>
      </w:r>
      <w:r w:rsidRPr="005F720D">
        <w:rPr>
          <w:rFonts w:ascii="Times New Roman" w:hAnsi="Times New Roman"/>
          <w:sz w:val="24"/>
          <w:szCs w:val="24"/>
          <w:shd w:val="clear" w:color="auto" w:fill="FFFFFF"/>
          <w:lang w:val="sr-Cyrl-CS"/>
        </w:rPr>
        <w:t>Према наведеној теорији доходак неког лица (</w:t>
      </w:r>
      <w:r w:rsidR="005F720D" w:rsidRPr="005F720D">
        <w:rPr>
          <w:rFonts w:ascii="Times New Roman" w:hAnsi="Times New Roman"/>
          <w:sz w:val="24"/>
          <w:szCs w:val="24"/>
          <w:shd w:val="clear" w:color="auto" w:fill="FFFFFF"/>
        </w:rPr>
        <w:t>Д</w:t>
      </w:r>
      <w:r w:rsidRPr="005F720D">
        <w:rPr>
          <w:rFonts w:ascii="Times New Roman" w:hAnsi="Times New Roman"/>
          <w:sz w:val="24"/>
          <w:szCs w:val="24"/>
          <w:shd w:val="clear" w:color="auto" w:fill="FFFFFF"/>
          <w:lang w:val="sr-Cyrl-CS"/>
        </w:rPr>
        <w:t>) једнак је збиру његове потрошње (</w:t>
      </w:r>
      <w:r w:rsidR="005F720D" w:rsidRPr="005F720D">
        <w:rPr>
          <w:rFonts w:ascii="Times New Roman" w:hAnsi="Times New Roman"/>
          <w:sz w:val="24"/>
          <w:szCs w:val="24"/>
          <w:shd w:val="clear" w:color="auto" w:fill="FFFFFF"/>
        </w:rPr>
        <w:t>Ц</w:t>
      </w:r>
      <w:r w:rsidRPr="005F720D">
        <w:rPr>
          <w:rFonts w:ascii="Times New Roman" w:hAnsi="Times New Roman"/>
          <w:sz w:val="24"/>
          <w:szCs w:val="24"/>
          <w:shd w:val="clear" w:color="auto" w:fill="FFFFFF"/>
          <w:lang w:val="sr-Cyrl-CS"/>
        </w:rPr>
        <w:t>) и увећане вредности имовине (</w:t>
      </w:r>
      <w:r w:rsidR="005F720D" w:rsidRPr="005F720D">
        <w:rPr>
          <w:rFonts w:ascii="Times New Roman" w:hAnsi="Times New Roman"/>
          <w:sz w:val="24"/>
          <w:szCs w:val="24"/>
          <w:shd w:val="clear" w:color="auto" w:fill="FFFFFF"/>
        </w:rPr>
        <w:t>С</w:t>
      </w:r>
      <w:r w:rsidRPr="005F720D">
        <w:rPr>
          <w:rFonts w:ascii="Times New Roman" w:hAnsi="Times New Roman"/>
          <w:sz w:val="24"/>
          <w:szCs w:val="24"/>
          <w:shd w:val="clear" w:color="auto" w:fill="FFFFFF"/>
        </w:rPr>
        <w:t xml:space="preserve">). Односно </w:t>
      </w:r>
      <w:r w:rsidR="005F720D" w:rsidRPr="005F720D">
        <w:rPr>
          <w:rFonts w:ascii="Times New Roman" w:hAnsi="Times New Roman"/>
          <w:sz w:val="24"/>
          <w:szCs w:val="24"/>
          <w:shd w:val="clear" w:color="auto" w:fill="FFFFFF"/>
        </w:rPr>
        <w:t>Д</w:t>
      </w:r>
      <w:r w:rsidRPr="005F720D">
        <w:rPr>
          <w:rFonts w:ascii="Times New Roman" w:hAnsi="Times New Roman"/>
          <w:sz w:val="24"/>
          <w:szCs w:val="24"/>
          <w:shd w:val="clear" w:color="auto" w:fill="FFFFFF"/>
        </w:rPr>
        <w:t>=</w:t>
      </w:r>
      <w:r w:rsidR="005F720D" w:rsidRPr="005F720D">
        <w:rPr>
          <w:rFonts w:ascii="Times New Roman" w:hAnsi="Times New Roman"/>
          <w:sz w:val="24"/>
          <w:szCs w:val="24"/>
          <w:shd w:val="clear" w:color="auto" w:fill="FFFFFF"/>
        </w:rPr>
        <w:t>Ц</w:t>
      </w:r>
      <w:r w:rsidRPr="005F720D">
        <w:rPr>
          <w:rFonts w:ascii="Times New Roman" w:hAnsi="Times New Roman"/>
          <w:sz w:val="24"/>
          <w:szCs w:val="24"/>
          <w:shd w:val="clear" w:color="auto" w:fill="FFFFFF"/>
        </w:rPr>
        <w:t>+</w:t>
      </w:r>
      <w:r w:rsidR="005F720D" w:rsidRPr="005F720D">
        <w:rPr>
          <w:rFonts w:ascii="Times New Roman" w:hAnsi="Times New Roman"/>
          <w:sz w:val="24"/>
          <w:szCs w:val="24"/>
          <w:shd w:val="clear" w:color="auto" w:fill="FFFFFF"/>
        </w:rPr>
        <w:t>С</w:t>
      </w:r>
      <w:r w:rsidRPr="005F720D">
        <w:rPr>
          <w:rFonts w:ascii="Times New Roman" w:hAnsi="Times New Roman"/>
          <w:sz w:val="24"/>
          <w:szCs w:val="24"/>
          <w:shd w:val="clear" w:color="auto" w:fill="FFFFFF"/>
        </w:rPr>
        <w:t xml:space="preserve">. </w:t>
      </w:r>
      <w:r w:rsidR="00992840">
        <w:rPr>
          <w:rFonts w:ascii="Times New Roman" w:hAnsi="Times New Roman"/>
          <w:sz w:val="24"/>
          <w:szCs w:val="24"/>
          <w:shd w:val="clear" w:color="auto" w:fill="FFFFFF"/>
          <w:lang w:val="sr-Cyrl-CS"/>
        </w:rPr>
        <w:t>Д</w:t>
      </w:r>
      <w:r w:rsidRPr="005F720D">
        <w:rPr>
          <w:rFonts w:ascii="Times New Roman" w:hAnsi="Times New Roman"/>
          <w:sz w:val="24"/>
          <w:szCs w:val="24"/>
          <w:shd w:val="clear" w:color="auto" w:fill="FFFFFF"/>
          <w:lang w:val="sr-Cyrl-CS"/>
        </w:rPr>
        <w:t>оходак може бити пријављен</w:t>
      </w:r>
      <w:r w:rsidRPr="005F720D">
        <w:rPr>
          <w:rFonts w:ascii="Times New Roman" w:hAnsi="Times New Roman"/>
          <w:sz w:val="24"/>
          <w:szCs w:val="24"/>
          <w:shd w:val="clear" w:color="auto" w:fill="FFFFFF"/>
        </w:rPr>
        <w:t xml:space="preserve"> (</w:t>
      </w:r>
      <w:r w:rsidR="005F720D" w:rsidRPr="005F720D">
        <w:rPr>
          <w:rFonts w:ascii="Times New Roman" w:hAnsi="Times New Roman"/>
          <w:sz w:val="24"/>
          <w:szCs w:val="24"/>
          <w:shd w:val="clear" w:color="auto" w:fill="FFFFFF"/>
        </w:rPr>
        <w:t>Дп</w:t>
      </w:r>
      <w:r w:rsidRPr="005F720D">
        <w:rPr>
          <w:rFonts w:ascii="Times New Roman" w:hAnsi="Times New Roman"/>
          <w:sz w:val="24"/>
          <w:szCs w:val="24"/>
          <w:shd w:val="clear" w:color="auto" w:fill="FFFFFF"/>
        </w:rPr>
        <w:t>)</w:t>
      </w:r>
      <w:r w:rsidRPr="005F720D">
        <w:rPr>
          <w:rFonts w:ascii="Times New Roman" w:hAnsi="Times New Roman"/>
          <w:sz w:val="24"/>
          <w:szCs w:val="24"/>
          <w:shd w:val="clear" w:color="auto" w:fill="FFFFFF"/>
          <w:lang w:val="sr-Cyrl-CS"/>
        </w:rPr>
        <w:t xml:space="preserve"> и непријављен</w:t>
      </w:r>
      <w:r w:rsidRPr="005F720D">
        <w:rPr>
          <w:rFonts w:ascii="Times New Roman" w:hAnsi="Times New Roman"/>
          <w:sz w:val="24"/>
          <w:szCs w:val="24"/>
          <w:shd w:val="clear" w:color="auto" w:fill="FFFFFF"/>
        </w:rPr>
        <w:t xml:space="preserve"> (</w:t>
      </w:r>
      <w:r w:rsidR="005F720D" w:rsidRPr="005F720D">
        <w:rPr>
          <w:rFonts w:ascii="Times New Roman" w:hAnsi="Times New Roman"/>
          <w:sz w:val="24"/>
          <w:szCs w:val="24"/>
          <w:shd w:val="clear" w:color="auto" w:fill="FFFFFF"/>
        </w:rPr>
        <w:t>Дн</w:t>
      </w:r>
      <w:r w:rsidRPr="005F720D">
        <w:rPr>
          <w:rFonts w:ascii="Times New Roman" w:hAnsi="Times New Roman"/>
          <w:sz w:val="24"/>
          <w:szCs w:val="24"/>
          <w:shd w:val="clear" w:color="auto" w:fill="FFFFFF"/>
        </w:rPr>
        <w:t xml:space="preserve">). Због тога је </w:t>
      </w:r>
      <w:r w:rsidR="005F720D" w:rsidRPr="005F720D">
        <w:rPr>
          <w:rFonts w:ascii="Times New Roman" w:hAnsi="Times New Roman"/>
          <w:sz w:val="24"/>
          <w:szCs w:val="24"/>
          <w:shd w:val="clear" w:color="auto" w:fill="FFFFFF"/>
        </w:rPr>
        <w:t>Д</w:t>
      </w:r>
      <w:r w:rsidRPr="005F720D">
        <w:rPr>
          <w:rFonts w:ascii="Times New Roman" w:hAnsi="Times New Roman"/>
          <w:sz w:val="24"/>
          <w:szCs w:val="24"/>
          <w:shd w:val="clear" w:color="auto" w:fill="FFFFFF"/>
        </w:rPr>
        <w:t>=</w:t>
      </w:r>
      <w:r w:rsidR="005F720D" w:rsidRPr="005F720D">
        <w:rPr>
          <w:rFonts w:ascii="Times New Roman" w:hAnsi="Times New Roman"/>
          <w:sz w:val="24"/>
          <w:szCs w:val="24"/>
          <w:shd w:val="clear" w:color="auto" w:fill="FFFFFF"/>
        </w:rPr>
        <w:t>Дп</w:t>
      </w:r>
      <w:r w:rsidRPr="005F720D">
        <w:rPr>
          <w:rFonts w:ascii="Times New Roman" w:hAnsi="Times New Roman"/>
          <w:sz w:val="24"/>
          <w:szCs w:val="24"/>
          <w:shd w:val="clear" w:color="auto" w:fill="FFFFFF"/>
        </w:rPr>
        <w:t>+</w:t>
      </w:r>
      <w:r w:rsidR="005F720D" w:rsidRPr="005F720D">
        <w:rPr>
          <w:rFonts w:ascii="Times New Roman" w:hAnsi="Times New Roman"/>
          <w:sz w:val="24"/>
          <w:szCs w:val="24"/>
          <w:shd w:val="clear" w:color="auto" w:fill="FFFFFF"/>
        </w:rPr>
        <w:t>Дн</w:t>
      </w:r>
      <w:r w:rsidRPr="005F720D">
        <w:rPr>
          <w:rFonts w:ascii="Times New Roman" w:hAnsi="Times New Roman"/>
          <w:sz w:val="24"/>
          <w:szCs w:val="24"/>
          <w:shd w:val="clear" w:color="auto" w:fill="FFFFFF"/>
        </w:rPr>
        <w:t xml:space="preserve">. Из наведеног произилази да је непријављен доходак </w:t>
      </w:r>
      <w:r w:rsidR="005F720D" w:rsidRPr="005F720D">
        <w:rPr>
          <w:rFonts w:ascii="Times New Roman" w:hAnsi="Times New Roman"/>
          <w:sz w:val="24"/>
          <w:szCs w:val="24"/>
          <w:shd w:val="clear" w:color="auto" w:fill="FFFFFF"/>
        </w:rPr>
        <w:t>Дн</w:t>
      </w:r>
      <w:r w:rsidRPr="005F720D">
        <w:rPr>
          <w:rFonts w:ascii="Times New Roman" w:hAnsi="Times New Roman"/>
          <w:sz w:val="24"/>
          <w:szCs w:val="24"/>
          <w:shd w:val="clear" w:color="auto" w:fill="FFFFFF"/>
        </w:rPr>
        <w:t>=</w:t>
      </w:r>
      <w:r w:rsidR="005F720D" w:rsidRPr="005F720D">
        <w:rPr>
          <w:rFonts w:ascii="Times New Roman" w:hAnsi="Times New Roman"/>
          <w:sz w:val="24"/>
          <w:szCs w:val="24"/>
          <w:shd w:val="clear" w:color="auto" w:fill="FFFFFF"/>
        </w:rPr>
        <w:t>Д</w:t>
      </w:r>
      <w:r w:rsidRPr="005F720D">
        <w:rPr>
          <w:rFonts w:ascii="Times New Roman" w:hAnsi="Times New Roman"/>
          <w:sz w:val="24"/>
          <w:szCs w:val="24"/>
          <w:shd w:val="clear" w:color="auto" w:fill="FFFFFF"/>
        </w:rPr>
        <w:t>-</w:t>
      </w:r>
      <w:r w:rsidR="005F720D" w:rsidRPr="005F720D">
        <w:rPr>
          <w:rFonts w:ascii="Times New Roman" w:hAnsi="Times New Roman"/>
          <w:sz w:val="24"/>
          <w:szCs w:val="24"/>
          <w:shd w:val="clear" w:color="auto" w:fill="FFFFFF"/>
        </w:rPr>
        <w:t>Дп</w:t>
      </w:r>
      <w:r w:rsidRPr="005F720D">
        <w:rPr>
          <w:rFonts w:ascii="Times New Roman" w:hAnsi="Times New Roman"/>
          <w:sz w:val="24"/>
          <w:szCs w:val="24"/>
          <w:shd w:val="clear" w:color="auto" w:fill="FFFFFF"/>
        </w:rPr>
        <w:t>. Применом методе унакрсне проц</w:t>
      </w:r>
      <w:r w:rsidRPr="005F720D">
        <w:rPr>
          <w:rFonts w:ascii="Times New Roman" w:hAnsi="Times New Roman"/>
          <w:sz w:val="24"/>
          <w:szCs w:val="24"/>
          <w:shd w:val="clear" w:color="auto" w:fill="FFFFFF"/>
          <w:lang w:val="sr-Cyrl-CS"/>
        </w:rPr>
        <w:t>е</w:t>
      </w:r>
      <w:r w:rsidRPr="005F720D">
        <w:rPr>
          <w:rFonts w:ascii="Times New Roman" w:hAnsi="Times New Roman"/>
          <w:sz w:val="24"/>
          <w:szCs w:val="24"/>
          <w:shd w:val="clear" w:color="auto" w:fill="FFFFFF"/>
        </w:rPr>
        <w:t xml:space="preserve">не </w:t>
      </w:r>
      <w:r w:rsidRPr="005F720D">
        <w:rPr>
          <w:rFonts w:ascii="Times New Roman" w:hAnsi="Times New Roman"/>
          <w:sz w:val="24"/>
          <w:szCs w:val="24"/>
          <w:shd w:val="clear" w:color="auto" w:fill="FFFFFF"/>
          <w:lang w:val="sr-Cyrl-CS"/>
        </w:rPr>
        <w:t>пореске основице утвђена основица пореза на доходак грађана-непријављени доходак</w:t>
      </w:r>
      <w:r w:rsidRPr="005F720D">
        <w:rPr>
          <w:rFonts w:ascii="Times New Roman" w:hAnsi="Times New Roman"/>
          <w:sz w:val="24"/>
          <w:szCs w:val="24"/>
          <w:shd w:val="clear" w:color="auto" w:fill="FFFFFF"/>
        </w:rPr>
        <w:t xml:space="preserve"> (</w:t>
      </w:r>
      <w:r w:rsidR="005F720D" w:rsidRPr="005F720D">
        <w:rPr>
          <w:rFonts w:ascii="Times New Roman" w:hAnsi="Times New Roman"/>
          <w:sz w:val="24"/>
          <w:szCs w:val="24"/>
          <w:shd w:val="clear" w:color="auto" w:fill="FFFFFF"/>
        </w:rPr>
        <w:t>Дн</w:t>
      </w:r>
      <w:r w:rsidRPr="005F720D">
        <w:rPr>
          <w:rFonts w:ascii="Times New Roman" w:hAnsi="Times New Roman"/>
          <w:sz w:val="24"/>
          <w:szCs w:val="24"/>
          <w:shd w:val="clear" w:color="auto" w:fill="FFFFFF"/>
        </w:rPr>
        <w:t>)</w:t>
      </w:r>
      <w:r w:rsidRPr="005F720D">
        <w:rPr>
          <w:rFonts w:ascii="Times New Roman" w:hAnsi="Times New Roman"/>
          <w:sz w:val="24"/>
          <w:szCs w:val="24"/>
          <w:shd w:val="clear" w:color="auto" w:fill="FFFFFF"/>
          <w:lang w:val="sr-Cyrl-CS"/>
        </w:rPr>
        <w:t xml:space="preserve">-може се у начелу дефинисати као разлика између </w:t>
      </w:r>
      <w:r w:rsidRPr="005F720D">
        <w:rPr>
          <w:rFonts w:ascii="Times New Roman" w:hAnsi="Times New Roman"/>
          <w:sz w:val="24"/>
          <w:szCs w:val="24"/>
          <w:shd w:val="clear" w:color="auto" w:fill="FFFFFF"/>
        </w:rPr>
        <w:t xml:space="preserve">нето </w:t>
      </w:r>
      <w:r w:rsidRPr="005F720D">
        <w:rPr>
          <w:rFonts w:ascii="Times New Roman" w:hAnsi="Times New Roman"/>
          <w:sz w:val="24"/>
          <w:szCs w:val="24"/>
          <w:shd w:val="clear" w:color="auto" w:fill="FFFFFF"/>
          <w:lang w:val="sr-Cyrl-CS"/>
        </w:rPr>
        <w:t>вредности имовине на крају</w:t>
      </w:r>
      <w:r w:rsidRPr="005F720D">
        <w:rPr>
          <w:rFonts w:ascii="Times New Roman" w:hAnsi="Times New Roman"/>
          <w:sz w:val="24"/>
          <w:szCs w:val="24"/>
          <w:shd w:val="clear" w:color="auto" w:fill="FFFFFF"/>
        </w:rPr>
        <w:t xml:space="preserve"> (</w:t>
      </w:r>
      <w:r w:rsidR="005F720D" w:rsidRPr="005F720D">
        <w:rPr>
          <w:rFonts w:ascii="Times New Roman" w:hAnsi="Times New Roman"/>
          <w:sz w:val="24"/>
          <w:szCs w:val="24"/>
          <w:shd w:val="clear" w:color="auto" w:fill="FFFFFF"/>
        </w:rPr>
        <w:t>С</w:t>
      </w:r>
      <w:r w:rsidRPr="005F720D">
        <w:rPr>
          <w:rFonts w:ascii="Times New Roman" w:hAnsi="Times New Roman"/>
          <w:sz w:val="24"/>
          <w:szCs w:val="24"/>
          <w:shd w:val="clear" w:color="auto" w:fill="FFFFFF"/>
        </w:rPr>
        <w:t>2)</w:t>
      </w:r>
      <w:r w:rsidRPr="005F720D">
        <w:rPr>
          <w:rFonts w:ascii="Times New Roman" w:hAnsi="Times New Roman"/>
          <w:sz w:val="24"/>
          <w:szCs w:val="24"/>
          <w:shd w:val="clear" w:color="auto" w:fill="FFFFFF"/>
          <w:lang w:val="sr-Cyrl-CS"/>
        </w:rPr>
        <w:t xml:space="preserve"> и на почетку календарске године</w:t>
      </w:r>
      <w:r w:rsidRPr="005F720D">
        <w:rPr>
          <w:rFonts w:ascii="Times New Roman" w:hAnsi="Times New Roman"/>
          <w:sz w:val="24"/>
          <w:szCs w:val="24"/>
          <w:shd w:val="clear" w:color="auto" w:fill="FFFFFF"/>
        </w:rPr>
        <w:t xml:space="preserve"> (</w:t>
      </w:r>
      <w:r w:rsidR="005F720D" w:rsidRPr="005F720D">
        <w:rPr>
          <w:rFonts w:ascii="Times New Roman" w:hAnsi="Times New Roman"/>
          <w:sz w:val="24"/>
          <w:szCs w:val="24"/>
          <w:shd w:val="clear" w:color="auto" w:fill="FFFFFF"/>
        </w:rPr>
        <w:t>С</w:t>
      </w:r>
      <w:r w:rsidRPr="005F720D">
        <w:rPr>
          <w:rFonts w:ascii="Times New Roman" w:hAnsi="Times New Roman"/>
          <w:sz w:val="24"/>
          <w:szCs w:val="24"/>
          <w:shd w:val="clear" w:color="auto" w:fill="FFFFFF"/>
        </w:rPr>
        <w:t>1)</w:t>
      </w:r>
      <w:r w:rsidRPr="005F720D">
        <w:rPr>
          <w:rFonts w:ascii="Times New Roman" w:hAnsi="Times New Roman"/>
          <w:sz w:val="24"/>
          <w:szCs w:val="24"/>
          <w:shd w:val="clear" w:color="auto" w:fill="FFFFFF"/>
          <w:lang w:val="sr-Cyrl-CS"/>
        </w:rPr>
        <w:t>, увећана за процењене издатке за приватне потребе и умањена за износ пријављеног дохотка (</w:t>
      </w:r>
      <w:r w:rsidR="005F720D" w:rsidRPr="005F720D">
        <w:rPr>
          <w:rFonts w:ascii="Times New Roman" w:hAnsi="Times New Roman"/>
          <w:sz w:val="24"/>
          <w:szCs w:val="24"/>
          <w:shd w:val="clear" w:color="auto" w:fill="FFFFFF"/>
          <w:lang w:val="sr-Cyrl-CS"/>
        </w:rPr>
        <w:t>Дп</w:t>
      </w:r>
      <w:r w:rsidRPr="005F720D">
        <w:rPr>
          <w:rFonts w:ascii="Times New Roman" w:hAnsi="Times New Roman"/>
          <w:sz w:val="24"/>
          <w:szCs w:val="24"/>
          <w:shd w:val="clear" w:color="auto" w:fill="FFFFFF"/>
          <w:lang w:val="sr-Cyrl-CS"/>
        </w:rPr>
        <w:t xml:space="preserve">), па </w:t>
      </w:r>
      <w:r w:rsidR="001954C8" w:rsidRPr="005F720D">
        <w:rPr>
          <w:rFonts w:ascii="Times New Roman" w:hAnsi="Times New Roman"/>
          <w:sz w:val="24"/>
          <w:szCs w:val="24"/>
          <w:shd w:val="clear" w:color="auto" w:fill="FFFFFF"/>
          <w:lang w:val="sr-Cyrl-CS"/>
        </w:rPr>
        <w:t xml:space="preserve">је онда </w:t>
      </w:r>
      <w:r w:rsidR="005F720D" w:rsidRPr="005F720D">
        <w:rPr>
          <w:rFonts w:ascii="Times New Roman" w:hAnsi="Times New Roman"/>
          <w:sz w:val="24"/>
          <w:szCs w:val="24"/>
          <w:shd w:val="clear" w:color="auto" w:fill="FFFFFF"/>
          <w:lang w:val="sr-Cyrl-CS"/>
        </w:rPr>
        <w:t>С</w:t>
      </w:r>
      <w:r w:rsidR="001954C8" w:rsidRPr="005F720D">
        <w:rPr>
          <w:rFonts w:ascii="Times New Roman" w:hAnsi="Times New Roman"/>
          <w:sz w:val="24"/>
          <w:szCs w:val="24"/>
          <w:shd w:val="clear" w:color="auto" w:fill="FFFFFF"/>
          <w:lang w:val="sr-Cyrl-CS"/>
        </w:rPr>
        <w:t>=</w:t>
      </w:r>
      <w:r w:rsidR="005F720D" w:rsidRPr="005F720D">
        <w:rPr>
          <w:rFonts w:ascii="Times New Roman" w:hAnsi="Times New Roman"/>
          <w:sz w:val="24"/>
          <w:szCs w:val="24"/>
          <w:shd w:val="clear" w:color="auto" w:fill="FFFFFF"/>
          <w:lang w:val="sr-Cyrl-CS"/>
        </w:rPr>
        <w:t>С</w:t>
      </w:r>
      <w:r w:rsidR="001954C8" w:rsidRPr="005F720D">
        <w:rPr>
          <w:rFonts w:ascii="Times New Roman" w:hAnsi="Times New Roman"/>
          <w:sz w:val="24"/>
          <w:szCs w:val="24"/>
          <w:shd w:val="clear" w:color="auto" w:fill="FFFFFF"/>
          <w:lang w:val="sr-Cyrl-CS"/>
        </w:rPr>
        <w:t>2-</w:t>
      </w:r>
      <w:r w:rsidR="005F720D" w:rsidRPr="005F720D">
        <w:rPr>
          <w:rFonts w:ascii="Times New Roman" w:hAnsi="Times New Roman"/>
          <w:sz w:val="24"/>
          <w:szCs w:val="24"/>
          <w:shd w:val="clear" w:color="auto" w:fill="FFFFFF"/>
          <w:lang w:val="sr-Cyrl-CS"/>
        </w:rPr>
        <w:t>С</w:t>
      </w:r>
      <w:r w:rsidR="001954C8" w:rsidRPr="005F720D">
        <w:rPr>
          <w:rFonts w:ascii="Times New Roman" w:hAnsi="Times New Roman"/>
          <w:sz w:val="24"/>
          <w:szCs w:val="24"/>
          <w:shd w:val="clear" w:color="auto" w:fill="FFFFFF"/>
          <w:lang w:val="sr-Cyrl-CS"/>
        </w:rPr>
        <w:t xml:space="preserve">1, </w:t>
      </w:r>
      <w:r w:rsidR="005F720D" w:rsidRPr="005F720D">
        <w:rPr>
          <w:rFonts w:ascii="Times New Roman" w:hAnsi="Times New Roman"/>
          <w:sz w:val="24"/>
          <w:szCs w:val="24"/>
          <w:shd w:val="clear" w:color="auto" w:fill="FFFFFF"/>
          <w:lang w:val="sr-Cyrl-CS"/>
        </w:rPr>
        <w:t>Д</w:t>
      </w:r>
      <w:r w:rsidR="001954C8" w:rsidRPr="005F720D">
        <w:rPr>
          <w:rFonts w:ascii="Times New Roman" w:hAnsi="Times New Roman"/>
          <w:sz w:val="24"/>
          <w:szCs w:val="24"/>
          <w:shd w:val="clear" w:color="auto" w:fill="FFFFFF"/>
          <w:lang w:val="sr-Cyrl-CS"/>
        </w:rPr>
        <w:t>=(</w:t>
      </w:r>
      <w:r w:rsidR="005F720D" w:rsidRPr="005F720D">
        <w:rPr>
          <w:rFonts w:ascii="Times New Roman" w:hAnsi="Times New Roman"/>
          <w:sz w:val="24"/>
          <w:szCs w:val="24"/>
          <w:shd w:val="clear" w:color="auto" w:fill="FFFFFF"/>
          <w:lang w:val="sr-Cyrl-CS"/>
        </w:rPr>
        <w:t>С</w:t>
      </w:r>
      <w:r w:rsidR="001954C8" w:rsidRPr="005F720D">
        <w:rPr>
          <w:rFonts w:ascii="Times New Roman" w:hAnsi="Times New Roman"/>
          <w:sz w:val="24"/>
          <w:szCs w:val="24"/>
          <w:shd w:val="clear" w:color="auto" w:fill="FFFFFF"/>
          <w:lang w:val="sr-Cyrl-CS"/>
        </w:rPr>
        <w:t>2-</w:t>
      </w:r>
      <w:r w:rsidR="005F720D" w:rsidRPr="005F720D">
        <w:rPr>
          <w:rFonts w:ascii="Times New Roman" w:hAnsi="Times New Roman"/>
          <w:sz w:val="24"/>
          <w:szCs w:val="24"/>
          <w:shd w:val="clear" w:color="auto" w:fill="FFFFFF"/>
          <w:lang w:val="sr-Cyrl-CS"/>
        </w:rPr>
        <w:t>С</w:t>
      </w:r>
      <w:r w:rsidR="001954C8" w:rsidRPr="005F720D">
        <w:rPr>
          <w:rFonts w:ascii="Times New Roman" w:hAnsi="Times New Roman"/>
          <w:sz w:val="24"/>
          <w:szCs w:val="24"/>
          <w:shd w:val="clear" w:color="auto" w:fill="FFFFFF"/>
          <w:lang w:val="sr-Cyrl-CS"/>
        </w:rPr>
        <w:t>1)+</w:t>
      </w:r>
      <w:r w:rsidR="005F720D" w:rsidRPr="005F720D">
        <w:rPr>
          <w:rFonts w:ascii="Times New Roman" w:hAnsi="Times New Roman"/>
          <w:sz w:val="24"/>
          <w:szCs w:val="24"/>
          <w:shd w:val="clear" w:color="auto" w:fill="FFFFFF"/>
          <w:lang w:val="sr-Cyrl-CS"/>
        </w:rPr>
        <w:t>Ц</w:t>
      </w:r>
      <w:r w:rsidR="001954C8" w:rsidRPr="005F720D">
        <w:rPr>
          <w:rFonts w:ascii="Times New Roman" w:hAnsi="Times New Roman"/>
          <w:sz w:val="24"/>
          <w:szCs w:val="24"/>
          <w:shd w:val="clear" w:color="auto" w:fill="FFFFFF"/>
          <w:lang w:val="sr-Cyrl-CS"/>
        </w:rPr>
        <w:t xml:space="preserve">,  </w:t>
      </w:r>
      <w:r w:rsidRPr="005F720D">
        <w:rPr>
          <w:rFonts w:ascii="Times New Roman" w:hAnsi="Times New Roman"/>
          <w:sz w:val="24"/>
          <w:szCs w:val="24"/>
          <w:shd w:val="clear" w:color="auto" w:fill="FFFFFF"/>
          <w:lang w:val="sr-Cyrl-CS"/>
        </w:rPr>
        <w:t xml:space="preserve">а непријављен доходак износиће </w:t>
      </w:r>
      <w:r w:rsidR="005F720D" w:rsidRPr="005F720D">
        <w:rPr>
          <w:rFonts w:ascii="Times New Roman" w:hAnsi="Times New Roman"/>
          <w:sz w:val="24"/>
          <w:szCs w:val="24"/>
          <w:shd w:val="clear" w:color="auto" w:fill="FFFFFF"/>
          <w:lang w:val="sr-Cyrl-CS"/>
        </w:rPr>
        <w:t>Дн</w:t>
      </w:r>
      <w:r w:rsidRPr="005F720D">
        <w:rPr>
          <w:rFonts w:ascii="Times New Roman" w:hAnsi="Times New Roman"/>
          <w:sz w:val="24"/>
          <w:szCs w:val="24"/>
          <w:shd w:val="clear" w:color="auto" w:fill="FFFFFF"/>
          <w:lang w:val="sr-Cyrl-CS"/>
        </w:rPr>
        <w:t>==(</w:t>
      </w:r>
      <w:r w:rsidR="005F720D" w:rsidRPr="005F720D">
        <w:rPr>
          <w:rFonts w:ascii="Times New Roman" w:hAnsi="Times New Roman"/>
          <w:sz w:val="24"/>
          <w:szCs w:val="24"/>
          <w:shd w:val="clear" w:color="auto" w:fill="FFFFFF"/>
          <w:lang w:val="sr-Cyrl-CS"/>
        </w:rPr>
        <w:t>С</w:t>
      </w:r>
      <w:r w:rsidRPr="005F720D">
        <w:rPr>
          <w:rFonts w:ascii="Times New Roman" w:hAnsi="Times New Roman"/>
          <w:sz w:val="24"/>
          <w:szCs w:val="24"/>
          <w:shd w:val="clear" w:color="auto" w:fill="FFFFFF"/>
          <w:lang w:val="sr-Cyrl-CS"/>
        </w:rPr>
        <w:t>2-</w:t>
      </w:r>
      <w:r w:rsidR="005F720D" w:rsidRPr="005F720D">
        <w:rPr>
          <w:rFonts w:ascii="Times New Roman" w:hAnsi="Times New Roman"/>
          <w:sz w:val="24"/>
          <w:szCs w:val="24"/>
          <w:shd w:val="clear" w:color="auto" w:fill="FFFFFF"/>
          <w:lang w:val="sr-Cyrl-CS"/>
        </w:rPr>
        <w:t>С</w:t>
      </w:r>
      <w:r w:rsidRPr="005F720D">
        <w:rPr>
          <w:rFonts w:ascii="Times New Roman" w:hAnsi="Times New Roman"/>
          <w:sz w:val="24"/>
          <w:szCs w:val="24"/>
          <w:shd w:val="clear" w:color="auto" w:fill="FFFFFF"/>
          <w:lang w:val="sr-Cyrl-CS"/>
        </w:rPr>
        <w:t>1)+</w:t>
      </w:r>
      <w:r w:rsidR="005F720D" w:rsidRPr="005F720D">
        <w:rPr>
          <w:rFonts w:ascii="Times New Roman" w:hAnsi="Times New Roman"/>
          <w:sz w:val="24"/>
          <w:szCs w:val="24"/>
          <w:shd w:val="clear" w:color="auto" w:fill="FFFFFF"/>
          <w:lang w:val="sr-Cyrl-CS"/>
        </w:rPr>
        <w:t>Ц</w:t>
      </w:r>
      <w:r w:rsidRPr="005F720D">
        <w:rPr>
          <w:rFonts w:ascii="Times New Roman" w:hAnsi="Times New Roman"/>
          <w:sz w:val="24"/>
          <w:szCs w:val="24"/>
          <w:shd w:val="clear" w:color="auto" w:fill="FFFFFF"/>
        </w:rPr>
        <w:t>-</w:t>
      </w:r>
      <w:r w:rsidR="005F720D" w:rsidRPr="005F720D">
        <w:rPr>
          <w:rFonts w:ascii="Times New Roman" w:hAnsi="Times New Roman"/>
          <w:sz w:val="24"/>
          <w:szCs w:val="24"/>
          <w:shd w:val="clear" w:color="auto" w:fill="FFFFFF"/>
        </w:rPr>
        <w:t>Дп</w:t>
      </w:r>
      <w:r w:rsidRPr="005F720D">
        <w:rPr>
          <w:rFonts w:ascii="Times New Roman" w:hAnsi="Times New Roman"/>
          <w:sz w:val="24"/>
          <w:szCs w:val="24"/>
          <w:shd w:val="clear" w:color="auto" w:fill="FFFFFF"/>
        </w:rPr>
        <w:t>.</w:t>
      </w:r>
    </w:p>
    <w:p w:rsidR="00717D0E" w:rsidRPr="005F720D" w:rsidRDefault="00992840" w:rsidP="005F720D">
      <w:pPr>
        <w:ind w:firstLine="708"/>
        <w:jc w:val="both"/>
        <w:rPr>
          <w:rFonts w:ascii="Times New Roman" w:hAnsi="Times New Roman"/>
          <w:sz w:val="24"/>
          <w:szCs w:val="24"/>
          <w:shd w:val="clear" w:color="auto" w:fill="FFFFFF"/>
          <w:lang w:val="sr-Cyrl-CS"/>
        </w:rPr>
      </w:pPr>
      <w:r>
        <w:rPr>
          <w:rFonts w:ascii="Times New Roman" w:hAnsi="Times New Roman"/>
          <w:sz w:val="24"/>
          <w:szCs w:val="24"/>
          <w:shd w:val="clear" w:color="auto" w:fill="FFFFFF"/>
          <w:lang w:val="sr-Cyrl-CS"/>
        </w:rPr>
        <w:lastRenderedPageBreak/>
        <w:t>З</w:t>
      </w:r>
      <w:r w:rsidR="00717D0E" w:rsidRPr="005F720D">
        <w:rPr>
          <w:rFonts w:ascii="Times New Roman" w:hAnsi="Times New Roman"/>
          <w:sz w:val="24"/>
          <w:szCs w:val="24"/>
          <w:shd w:val="clear" w:color="auto" w:fill="FFFFFF"/>
          <w:lang w:val="sr-Cyrl-CS"/>
        </w:rPr>
        <w:t>аконодавац узима да је параметар</w:t>
      </w:r>
      <w:r w:rsidR="00717D0E" w:rsidRPr="005F720D">
        <w:rPr>
          <w:rFonts w:ascii="Times New Roman" w:hAnsi="Times New Roman"/>
          <w:sz w:val="24"/>
          <w:szCs w:val="24"/>
          <w:shd w:val="clear" w:color="auto" w:fill="FFFFFF"/>
        </w:rPr>
        <w:t xml:space="preserve"> </w:t>
      </w:r>
      <w:r w:rsidR="005F720D" w:rsidRPr="005F720D">
        <w:rPr>
          <w:rFonts w:ascii="Times New Roman" w:hAnsi="Times New Roman"/>
          <w:sz w:val="24"/>
          <w:szCs w:val="24"/>
          <w:shd w:val="clear" w:color="auto" w:fill="FFFFFF"/>
        </w:rPr>
        <w:t>Ц</w:t>
      </w:r>
      <w:r>
        <w:rPr>
          <w:rFonts w:ascii="Times New Roman" w:hAnsi="Times New Roman"/>
          <w:sz w:val="24"/>
          <w:szCs w:val="24"/>
          <w:shd w:val="clear" w:color="auto" w:fill="FFFFFF"/>
          <w:lang w:val="sr-Cyrl-CS"/>
        </w:rPr>
        <w:t xml:space="preserve"> једнак нули, па</w:t>
      </w:r>
      <w:r w:rsidR="00717D0E" w:rsidRPr="005F720D">
        <w:rPr>
          <w:rFonts w:ascii="Times New Roman" w:hAnsi="Times New Roman"/>
          <w:sz w:val="24"/>
          <w:szCs w:val="24"/>
          <w:shd w:val="clear" w:color="auto" w:fill="FFFFFF"/>
          <w:lang w:val="sr-Cyrl-CS"/>
        </w:rPr>
        <w:t xml:space="preserve"> је:</w:t>
      </w:r>
    </w:p>
    <w:p w:rsidR="00717D0E" w:rsidRPr="005F720D" w:rsidRDefault="005F720D" w:rsidP="005F720D">
      <w:pPr>
        <w:ind w:firstLine="708"/>
        <w:jc w:val="both"/>
        <w:rPr>
          <w:rFonts w:ascii="Times New Roman" w:hAnsi="Times New Roman"/>
          <w:sz w:val="24"/>
          <w:szCs w:val="24"/>
          <w:shd w:val="clear" w:color="auto" w:fill="FFFFFF"/>
          <w:lang w:val="sr-Cyrl-CS"/>
        </w:rPr>
      </w:pPr>
      <w:r w:rsidRPr="005F720D">
        <w:rPr>
          <w:rFonts w:ascii="Times New Roman" w:hAnsi="Times New Roman"/>
          <w:sz w:val="24"/>
          <w:szCs w:val="24"/>
          <w:shd w:val="clear" w:color="auto" w:fill="FFFFFF"/>
        </w:rPr>
        <w:t>Дн</w:t>
      </w:r>
      <w:r w:rsidR="00717D0E" w:rsidRPr="005F720D">
        <w:rPr>
          <w:rFonts w:ascii="Times New Roman" w:hAnsi="Times New Roman"/>
          <w:sz w:val="24"/>
          <w:szCs w:val="24"/>
          <w:shd w:val="clear" w:color="auto" w:fill="FFFFFF"/>
        </w:rPr>
        <w:t>=(</w:t>
      </w:r>
      <w:r w:rsidRPr="005F720D">
        <w:rPr>
          <w:rFonts w:ascii="Times New Roman" w:hAnsi="Times New Roman"/>
          <w:sz w:val="24"/>
          <w:szCs w:val="24"/>
          <w:shd w:val="clear" w:color="auto" w:fill="FFFFFF"/>
        </w:rPr>
        <w:t>С</w:t>
      </w:r>
      <w:r w:rsidR="00717D0E" w:rsidRPr="005F720D">
        <w:rPr>
          <w:rFonts w:ascii="Times New Roman" w:hAnsi="Times New Roman"/>
          <w:sz w:val="24"/>
          <w:szCs w:val="24"/>
          <w:shd w:val="clear" w:color="auto" w:fill="FFFFFF"/>
        </w:rPr>
        <w:t>2-</w:t>
      </w:r>
      <w:r w:rsidRPr="005F720D">
        <w:rPr>
          <w:rFonts w:ascii="Times New Roman" w:hAnsi="Times New Roman"/>
          <w:sz w:val="24"/>
          <w:szCs w:val="24"/>
          <w:shd w:val="clear" w:color="auto" w:fill="FFFFFF"/>
        </w:rPr>
        <w:t>С</w:t>
      </w:r>
      <w:r w:rsidR="00717D0E" w:rsidRPr="005F720D">
        <w:rPr>
          <w:rFonts w:ascii="Times New Roman" w:hAnsi="Times New Roman"/>
          <w:sz w:val="24"/>
          <w:szCs w:val="24"/>
          <w:shd w:val="clear" w:color="auto" w:fill="FFFFFF"/>
        </w:rPr>
        <w:t>1)-</w:t>
      </w:r>
      <w:r w:rsidRPr="005F720D">
        <w:rPr>
          <w:rFonts w:ascii="Times New Roman" w:hAnsi="Times New Roman"/>
          <w:sz w:val="24"/>
          <w:szCs w:val="24"/>
          <w:shd w:val="clear" w:color="auto" w:fill="FFFFFF"/>
        </w:rPr>
        <w:t>Дп</w:t>
      </w:r>
    </w:p>
    <w:p w:rsidR="00717D0E" w:rsidRPr="005F720D" w:rsidRDefault="00717D0E" w:rsidP="005F720D">
      <w:pPr>
        <w:ind w:firstLine="708"/>
        <w:jc w:val="both"/>
        <w:rPr>
          <w:rFonts w:ascii="Times New Roman" w:hAnsi="Times New Roman"/>
          <w:sz w:val="24"/>
          <w:szCs w:val="24"/>
          <w:shd w:val="clear" w:color="auto" w:fill="FFFFFF"/>
        </w:rPr>
      </w:pPr>
      <w:r w:rsidRPr="005F720D">
        <w:rPr>
          <w:rFonts w:ascii="Times New Roman" w:hAnsi="Times New Roman"/>
          <w:sz w:val="24"/>
          <w:szCs w:val="24"/>
          <w:shd w:val="clear" w:color="auto" w:fill="FFFFFF"/>
          <w:lang w:val="sr-Cyrl-CS"/>
        </w:rPr>
        <w:t>Ова разлика се умањује и за вредност имовине прибављене наслеђем, поклоном или на други законит  безтеретан начин</w:t>
      </w:r>
      <w:r w:rsidRPr="005F720D">
        <w:rPr>
          <w:rFonts w:ascii="Times New Roman" w:hAnsi="Times New Roman"/>
          <w:sz w:val="24"/>
          <w:szCs w:val="24"/>
          <w:shd w:val="clear" w:color="auto" w:fill="FFFFFF"/>
        </w:rPr>
        <w:t xml:space="preserve"> (</w:t>
      </w:r>
      <w:r w:rsidR="005F720D" w:rsidRPr="005F720D">
        <w:rPr>
          <w:rFonts w:ascii="Times New Roman" w:hAnsi="Times New Roman"/>
          <w:sz w:val="24"/>
          <w:szCs w:val="24"/>
          <w:shd w:val="clear" w:color="auto" w:fill="FFFFFF"/>
        </w:rPr>
        <w:t>Г</w:t>
      </w:r>
      <w:r w:rsidRPr="005F720D">
        <w:rPr>
          <w:rFonts w:ascii="Times New Roman" w:hAnsi="Times New Roman"/>
          <w:sz w:val="24"/>
          <w:szCs w:val="24"/>
          <w:shd w:val="clear" w:color="auto" w:fill="FFFFFF"/>
        </w:rPr>
        <w:t>)</w:t>
      </w:r>
      <w:r w:rsidRPr="005F720D">
        <w:rPr>
          <w:rFonts w:ascii="Times New Roman" w:hAnsi="Times New Roman"/>
          <w:sz w:val="24"/>
          <w:szCs w:val="24"/>
          <w:shd w:val="clear" w:color="auto" w:fill="FFFFFF"/>
          <w:lang w:val="sr-Cyrl-CS"/>
        </w:rPr>
        <w:t xml:space="preserve"> о чему порески обвезник мора пружити одговарајуће материјалне доказе</w:t>
      </w:r>
      <w:r w:rsidR="00992840">
        <w:rPr>
          <w:rFonts w:ascii="Times New Roman" w:hAnsi="Times New Roman"/>
          <w:sz w:val="24"/>
          <w:szCs w:val="24"/>
          <w:shd w:val="clear" w:color="auto" w:fill="FFFFFF"/>
          <w:lang w:val="sr-Cyrl-CS"/>
        </w:rPr>
        <w:t xml:space="preserve">. Доказе мора пружти </w:t>
      </w:r>
      <w:r w:rsidRPr="005F720D">
        <w:rPr>
          <w:rFonts w:ascii="Times New Roman" w:hAnsi="Times New Roman"/>
          <w:sz w:val="24"/>
          <w:szCs w:val="24"/>
          <w:shd w:val="clear" w:color="auto" w:fill="FFFFFF"/>
          <w:lang w:val="sr-Cyrl-CS"/>
        </w:rPr>
        <w:t>и за камате, дивиденде, капиталне добитке и доби</w:t>
      </w:r>
      <w:r w:rsidR="00992840">
        <w:rPr>
          <w:rFonts w:ascii="Times New Roman" w:hAnsi="Times New Roman"/>
          <w:sz w:val="24"/>
          <w:szCs w:val="24"/>
          <w:shd w:val="clear" w:color="auto" w:fill="FFFFFF"/>
          <w:lang w:val="sr-Cyrl-CS"/>
        </w:rPr>
        <w:t xml:space="preserve">тке од игара на срећу, односно за </w:t>
      </w:r>
      <w:r w:rsidRPr="005F720D">
        <w:rPr>
          <w:rFonts w:ascii="Times New Roman" w:hAnsi="Times New Roman"/>
          <w:sz w:val="24"/>
          <w:szCs w:val="24"/>
          <w:shd w:val="clear" w:color="auto" w:fill="FFFFFF"/>
          <w:lang w:val="sr-Cyrl-CS"/>
        </w:rPr>
        <w:t>приходе који подлежу цедула</w:t>
      </w:r>
      <w:r w:rsidR="00992840">
        <w:rPr>
          <w:rFonts w:ascii="Times New Roman" w:hAnsi="Times New Roman"/>
          <w:sz w:val="24"/>
          <w:szCs w:val="24"/>
          <w:shd w:val="clear" w:color="auto" w:fill="FFFFFF"/>
          <w:lang w:val="sr-Cyrl-CS"/>
        </w:rPr>
        <w:t>рним порезима, а</w:t>
      </w:r>
      <w:r w:rsidR="001A74C6">
        <w:rPr>
          <w:rFonts w:ascii="Times New Roman" w:hAnsi="Times New Roman"/>
          <w:sz w:val="24"/>
          <w:szCs w:val="24"/>
          <w:shd w:val="clear" w:color="auto" w:fill="FFFFFF"/>
          <w:lang w:val="sr-Cyrl-CS"/>
        </w:rPr>
        <w:t xml:space="preserve"> не улазе у ос</w:t>
      </w:r>
      <w:r w:rsidRPr="005F720D">
        <w:rPr>
          <w:rFonts w:ascii="Times New Roman" w:hAnsi="Times New Roman"/>
          <w:sz w:val="24"/>
          <w:szCs w:val="24"/>
          <w:shd w:val="clear" w:color="auto" w:fill="FFFFFF"/>
          <w:lang w:val="sr-Cyrl-CS"/>
        </w:rPr>
        <w:t>новицу годишњег пореза на доходак грађана</w:t>
      </w:r>
      <w:r w:rsidRPr="005F720D">
        <w:rPr>
          <w:rFonts w:ascii="Times New Roman" w:hAnsi="Times New Roman"/>
          <w:sz w:val="24"/>
          <w:szCs w:val="24"/>
          <w:shd w:val="clear" w:color="auto" w:fill="FFFFFF"/>
        </w:rPr>
        <w:t xml:space="preserve"> (</w:t>
      </w:r>
      <w:r w:rsidR="005F720D" w:rsidRPr="005F720D">
        <w:rPr>
          <w:rFonts w:ascii="Times New Roman" w:hAnsi="Times New Roman"/>
          <w:sz w:val="24"/>
          <w:szCs w:val="24"/>
          <w:shd w:val="clear" w:color="auto" w:fill="FFFFFF"/>
        </w:rPr>
        <w:t>К</w:t>
      </w:r>
      <w:r w:rsidRPr="005F720D">
        <w:rPr>
          <w:rFonts w:ascii="Times New Roman" w:hAnsi="Times New Roman"/>
          <w:sz w:val="24"/>
          <w:szCs w:val="24"/>
          <w:shd w:val="clear" w:color="auto" w:fill="FFFFFF"/>
        </w:rPr>
        <w:t>)</w:t>
      </w:r>
      <w:r w:rsidRPr="005F720D">
        <w:rPr>
          <w:rFonts w:ascii="Times New Roman" w:hAnsi="Times New Roman"/>
          <w:sz w:val="24"/>
          <w:szCs w:val="24"/>
          <w:shd w:val="clear" w:color="auto" w:fill="FFFFFF"/>
          <w:lang w:val="sr-Cyrl-CS"/>
        </w:rPr>
        <w:t xml:space="preserve">. </w:t>
      </w:r>
      <w:r w:rsidR="00992840">
        <w:rPr>
          <w:rFonts w:ascii="Times New Roman" w:hAnsi="Times New Roman"/>
          <w:sz w:val="24"/>
          <w:szCs w:val="24"/>
          <w:shd w:val="clear" w:color="auto" w:fill="FFFFFF"/>
          <w:lang w:val="sr-Cyrl-CS"/>
        </w:rPr>
        <w:t>Према томе</w:t>
      </w:r>
      <w:r w:rsidRPr="005F720D">
        <w:rPr>
          <w:rFonts w:ascii="Times New Roman" w:hAnsi="Times New Roman"/>
          <w:sz w:val="24"/>
          <w:szCs w:val="24"/>
          <w:shd w:val="clear" w:color="auto" w:fill="FFFFFF"/>
          <w:lang w:val="sr-Cyrl-CS"/>
        </w:rPr>
        <w:t>:</w:t>
      </w:r>
    </w:p>
    <w:p w:rsidR="00717D0E" w:rsidRPr="005F720D" w:rsidRDefault="005F720D" w:rsidP="005F720D">
      <w:pPr>
        <w:ind w:firstLine="708"/>
        <w:jc w:val="both"/>
        <w:rPr>
          <w:rFonts w:ascii="Times New Roman" w:hAnsi="Times New Roman"/>
          <w:sz w:val="24"/>
          <w:szCs w:val="24"/>
        </w:rPr>
      </w:pPr>
      <w:r w:rsidRPr="005F720D">
        <w:rPr>
          <w:rFonts w:ascii="Times New Roman" w:hAnsi="Times New Roman"/>
          <w:sz w:val="24"/>
          <w:szCs w:val="24"/>
        </w:rPr>
        <w:t>Дн</w:t>
      </w:r>
      <w:r w:rsidR="00717D0E" w:rsidRPr="005F720D">
        <w:rPr>
          <w:rFonts w:ascii="Times New Roman" w:hAnsi="Times New Roman"/>
          <w:sz w:val="24"/>
          <w:szCs w:val="24"/>
        </w:rPr>
        <w:t>=(</w:t>
      </w:r>
      <w:r w:rsidRPr="005F720D">
        <w:rPr>
          <w:rFonts w:ascii="Times New Roman" w:hAnsi="Times New Roman"/>
          <w:sz w:val="24"/>
          <w:szCs w:val="24"/>
        </w:rPr>
        <w:t>С</w:t>
      </w:r>
      <w:r w:rsidR="00717D0E" w:rsidRPr="005F720D">
        <w:rPr>
          <w:rFonts w:ascii="Times New Roman" w:hAnsi="Times New Roman"/>
          <w:sz w:val="24"/>
          <w:szCs w:val="24"/>
        </w:rPr>
        <w:t>2-</w:t>
      </w:r>
      <w:r w:rsidRPr="005F720D">
        <w:rPr>
          <w:rFonts w:ascii="Times New Roman" w:hAnsi="Times New Roman"/>
          <w:sz w:val="24"/>
          <w:szCs w:val="24"/>
        </w:rPr>
        <w:t>С</w:t>
      </w:r>
      <w:r w:rsidR="00717D0E" w:rsidRPr="005F720D">
        <w:rPr>
          <w:rFonts w:ascii="Times New Roman" w:hAnsi="Times New Roman"/>
          <w:sz w:val="24"/>
          <w:szCs w:val="24"/>
        </w:rPr>
        <w:t>1)-</w:t>
      </w:r>
      <w:r w:rsidRPr="005F720D">
        <w:rPr>
          <w:rFonts w:ascii="Times New Roman" w:hAnsi="Times New Roman"/>
          <w:sz w:val="24"/>
          <w:szCs w:val="24"/>
        </w:rPr>
        <w:t>Дп</w:t>
      </w:r>
      <w:r w:rsidR="00717D0E" w:rsidRPr="005F720D">
        <w:rPr>
          <w:rFonts w:ascii="Times New Roman" w:hAnsi="Times New Roman"/>
          <w:sz w:val="24"/>
          <w:szCs w:val="24"/>
        </w:rPr>
        <w:t>-</w:t>
      </w:r>
      <w:r w:rsidRPr="005F720D">
        <w:rPr>
          <w:rFonts w:ascii="Times New Roman" w:hAnsi="Times New Roman"/>
          <w:sz w:val="24"/>
          <w:szCs w:val="24"/>
        </w:rPr>
        <w:t>Г</w:t>
      </w:r>
      <w:r w:rsidR="00717D0E" w:rsidRPr="005F720D">
        <w:rPr>
          <w:rFonts w:ascii="Times New Roman" w:hAnsi="Times New Roman"/>
          <w:sz w:val="24"/>
          <w:szCs w:val="24"/>
        </w:rPr>
        <w:t>-</w:t>
      </w:r>
      <w:r w:rsidRPr="005F720D">
        <w:rPr>
          <w:rFonts w:ascii="Times New Roman" w:hAnsi="Times New Roman"/>
          <w:sz w:val="24"/>
          <w:szCs w:val="24"/>
        </w:rPr>
        <w:t>К</w:t>
      </w:r>
    </w:p>
    <w:p w:rsidR="00717D0E" w:rsidRPr="005F720D" w:rsidRDefault="00717D0E" w:rsidP="005F720D">
      <w:pPr>
        <w:ind w:firstLine="708"/>
        <w:jc w:val="both"/>
        <w:rPr>
          <w:rFonts w:ascii="Times New Roman" w:hAnsi="Times New Roman"/>
          <w:sz w:val="24"/>
          <w:szCs w:val="24"/>
          <w:shd w:val="clear" w:color="auto" w:fill="FFFFFF"/>
          <w:lang w:val="sr-Cyrl-CS"/>
        </w:rPr>
      </w:pPr>
      <w:r w:rsidRPr="005F720D">
        <w:rPr>
          <w:rFonts w:ascii="Times New Roman" w:hAnsi="Times New Roman"/>
          <w:sz w:val="24"/>
          <w:szCs w:val="24"/>
          <w:lang w:val="sr-Cyrl-CS"/>
        </w:rPr>
        <w:t xml:space="preserve">Параметар </w:t>
      </w:r>
      <w:r w:rsidR="005F720D" w:rsidRPr="005F720D">
        <w:rPr>
          <w:rFonts w:ascii="Times New Roman" w:hAnsi="Times New Roman"/>
          <w:sz w:val="24"/>
          <w:szCs w:val="24"/>
          <w:shd w:val="clear" w:color="auto" w:fill="FFFFFF"/>
        </w:rPr>
        <w:t>С</w:t>
      </w:r>
      <w:r w:rsidRPr="005F720D">
        <w:rPr>
          <w:rFonts w:ascii="Times New Roman" w:hAnsi="Times New Roman"/>
          <w:sz w:val="24"/>
          <w:szCs w:val="24"/>
          <w:shd w:val="clear" w:color="auto" w:fill="FFFFFF"/>
        </w:rPr>
        <w:t>1</w:t>
      </w:r>
      <w:r w:rsidRPr="005F720D">
        <w:rPr>
          <w:rFonts w:ascii="Times New Roman" w:hAnsi="Times New Roman"/>
          <w:sz w:val="24"/>
          <w:szCs w:val="24"/>
          <w:shd w:val="clear" w:color="auto" w:fill="FFFFFF"/>
          <w:lang w:val="sr-Cyrl-CS"/>
        </w:rPr>
        <w:t xml:space="preserve"> </w:t>
      </w:r>
      <w:r w:rsidR="00992840">
        <w:rPr>
          <w:rFonts w:ascii="Times New Roman" w:hAnsi="Times New Roman"/>
          <w:sz w:val="24"/>
          <w:szCs w:val="24"/>
          <w:shd w:val="clear" w:color="auto" w:fill="FFFFFF"/>
          <w:lang w:val="sr-Cyrl-CS"/>
        </w:rPr>
        <w:t xml:space="preserve">представља </w:t>
      </w:r>
      <w:r w:rsidRPr="005F720D">
        <w:rPr>
          <w:rFonts w:ascii="Times New Roman" w:hAnsi="Times New Roman"/>
          <w:sz w:val="24"/>
          <w:szCs w:val="24"/>
          <w:shd w:val="clear" w:color="auto" w:fill="FFFFFF"/>
          <w:lang w:val="sr-Cyrl-CS"/>
        </w:rPr>
        <w:t>збир</w:t>
      </w:r>
      <w:r w:rsidR="001954C8" w:rsidRPr="005F720D">
        <w:rPr>
          <w:rFonts w:ascii="Times New Roman" w:hAnsi="Times New Roman"/>
          <w:sz w:val="24"/>
          <w:szCs w:val="24"/>
          <w:shd w:val="clear" w:color="auto" w:fill="FFFFFF"/>
          <w:lang w:val="sr-Cyrl-CS"/>
        </w:rPr>
        <w:t xml:space="preserve"> вредности са стањем на дан 1. ј</w:t>
      </w:r>
      <w:r w:rsidRPr="005F720D">
        <w:rPr>
          <w:rFonts w:ascii="Times New Roman" w:hAnsi="Times New Roman"/>
          <w:sz w:val="24"/>
          <w:szCs w:val="24"/>
          <w:shd w:val="clear" w:color="auto" w:fill="FFFFFF"/>
          <w:lang w:val="sr-Cyrl-CS"/>
        </w:rPr>
        <w:t xml:space="preserve">ануара, </w:t>
      </w:r>
      <w:r w:rsidR="00992840">
        <w:rPr>
          <w:rFonts w:ascii="Times New Roman" w:hAnsi="Times New Roman"/>
          <w:sz w:val="24"/>
          <w:szCs w:val="24"/>
          <w:shd w:val="clear" w:color="auto" w:fill="FFFFFF"/>
          <w:lang w:val="sr-Cyrl-CS"/>
        </w:rPr>
        <w:t>и то</w:t>
      </w:r>
      <w:r w:rsidRPr="005F720D">
        <w:rPr>
          <w:rFonts w:ascii="Times New Roman" w:hAnsi="Times New Roman"/>
          <w:sz w:val="24"/>
          <w:szCs w:val="24"/>
          <w:shd w:val="clear" w:color="auto" w:fill="FFFFFF"/>
          <w:lang w:val="sr-Cyrl-CS"/>
        </w:rPr>
        <w:t>: непокретности, акција и удела у правном лицу, опреме за обављање самосталне делатности, моторних возила, пловних објеката и ваздухоплова, штедних улога и готовог новца и других имовинских права</w:t>
      </w:r>
      <w:r w:rsidR="00992840">
        <w:rPr>
          <w:rFonts w:ascii="Times New Roman" w:hAnsi="Times New Roman"/>
          <w:sz w:val="24"/>
          <w:szCs w:val="24"/>
          <w:shd w:val="clear" w:color="auto" w:fill="FFFFFF"/>
          <w:lang w:val="sr-Cyrl-CS"/>
        </w:rPr>
        <w:t xml:space="preserve"> и </w:t>
      </w:r>
      <w:r w:rsidR="00992840" w:rsidRPr="005F720D">
        <w:rPr>
          <w:rFonts w:ascii="Times New Roman" w:hAnsi="Times New Roman"/>
          <w:sz w:val="24"/>
          <w:szCs w:val="24"/>
          <w:shd w:val="clear" w:color="auto" w:fill="FFFFFF"/>
          <w:lang w:val="sr-Cyrl-CS"/>
        </w:rPr>
        <w:t>утврђује</w:t>
      </w:r>
      <w:r w:rsidR="00992840">
        <w:rPr>
          <w:rFonts w:ascii="Times New Roman" w:hAnsi="Times New Roman"/>
          <w:sz w:val="24"/>
          <w:szCs w:val="24"/>
          <w:shd w:val="clear" w:color="auto" w:fill="FFFFFF"/>
          <w:lang w:val="sr-Cyrl-CS"/>
        </w:rPr>
        <w:t xml:space="preserve"> се</w:t>
      </w:r>
      <w:r w:rsidR="00992840" w:rsidRPr="005F720D">
        <w:rPr>
          <w:rFonts w:ascii="Times New Roman" w:hAnsi="Times New Roman"/>
          <w:sz w:val="24"/>
          <w:szCs w:val="24"/>
          <w:shd w:val="clear" w:color="auto" w:fill="FFFFFF"/>
          <w:lang w:val="sr-Cyrl-CS"/>
        </w:rPr>
        <w:t xml:space="preserve"> у пореској </w:t>
      </w:r>
      <w:r w:rsidR="00992840">
        <w:rPr>
          <w:rFonts w:ascii="Times New Roman" w:hAnsi="Times New Roman"/>
          <w:sz w:val="24"/>
          <w:szCs w:val="24"/>
          <w:shd w:val="clear" w:color="auto" w:fill="FFFFFF"/>
          <w:lang w:val="sr-Cyrl-CS"/>
        </w:rPr>
        <w:t>контроли, док се п</w:t>
      </w:r>
      <w:r w:rsidRPr="005F720D">
        <w:rPr>
          <w:rFonts w:ascii="Times New Roman" w:hAnsi="Times New Roman"/>
          <w:sz w:val="24"/>
          <w:szCs w:val="24"/>
          <w:shd w:val="clear" w:color="auto" w:fill="FFFFFF"/>
          <w:lang w:val="sr-Cyrl-CS"/>
        </w:rPr>
        <w:t xml:space="preserve">араметар </w:t>
      </w:r>
      <w:r w:rsidR="005F720D" w:rsidRPr="005F720D">
        <w:rPr>
          <w:rFonts w:ascii="Times New Roman" w:hAnsi="Times New Roman"/>
          <w:sz w:val="24"/>
          <w:szCs w:val="24"/>
          <w:shd w:val="clear" w:color="auto" w:fill="FFFFFF"/>
        </w:rPr>
        <w:t>Дп</w:t>
      </w:r>
      <w:r w:rsidRPr="005F720D">
        <w:rPr>
          <w:rFonts w:ascii="Times New Roman" w:hAnsi="Times New Roman"/>
          <w:sz w:val="24"/>
          <w:szCs w:val="24"/>
          <w:shd w:val="clear" w:color="auto" w:fill="FFFFFF"/>
        </w:rPr>
        <w:t xml:space="preserve"> </w:t>
      </w:r>
      <w:r w:rsidRPr="005F720D">
        <w:rPr>
          <w:rFonts w:ascii="Times New Roman" w:hAnsi="Times New Roman"/>
          <w:sz w:val="24"/>
          <w:szCs w:val="24"/>
          <w:shd w:val="clear" w:color="auto" w:fill="FFFFFF"/>
          <w:lang w:val="sr-Cyrl-CS"/>
        </w:rPr>
        <w:t xml:space="preserve"> узима из годишње пријаве пореза на доходак грађана. Вредност имовине на крају календарске године</w:t>
      </w:r>
      <w:r w:rsidRPr="005F720D">
        <w:rPr>
          <w:rFonts w:ascii="Times New Roman" w:hAnsi="Times New Roman"/>
          <w:sz w:val="24"/>
          <w:szCs w:val="24"/>
          <w:shd w:val="clear" w:color="auto" w:fill="FFFFFF"/>
        </w:rPr>
        <w:t xml:space="preserve"> (</w:t>
      </w:r>
      <w:r w:rsidR="005F720D" w:rsidRPr="005F720D">
        <w:rPr>
          <w:rFonts w:ascii="Times New Roman" w:hAnsi="Times New Roman"/>
          <w:sz w:val="24"/>
          <w:szCs w:val="24"/>
          <w:shd w:val="clear" w:color="auto" w:fill="FFFFFF"/>
        </w:rPr>
        <w:t>С</w:t>
      </w:r>
      <w:r w:rsidRPr="005F720D">
        <w:rPr>
          <w:rFonts w:ascii="Times New Roman" w:hAnsi="Times New Roman"/>
          <w:sz w:val="24"/>
          <w:szCs w:val="24"/>
          <w:shd w:val="clear" w:color="auto" w:fill="FFFFFF"/>
        </w:rPr>
        <w:t>2)</w:t>
      </w:r>
      <w:r w:rsidRPr="005F720D">
        <w:rPr>
          <w:rFonts w:ascii="Times New Roman" w:hAnsi="Times New Roman"/>
          <w:sz w:val="24"/>
          <w:szCs w:val="24"/>
          <w:shd w:val="clear" w:color="auto" w:fill="FFFFFF"/>
          <w:lang w:val="sr-Cyrl-CS"/>
        </w:rPr>
        <w:t xml:space="preserve"> </w:t>
      </w:r>
      <w:r w:rsidR="00992840">
        <w:rPr>
          <w:rFonts w:ascii="Times New Roman" w:hAnsi="Times New Roman"/>
          <w:sz w:val="24"/>
          <w:szCs w:val="24"/>
          <w:shd w:val="clear" w:color="auto" w:fill="FFFFFF"/>
          <w:lang w:val="sr-Cyrl-CS"/>
        </w:rPr>
        <w:t>се састоји од имовине</w:t>
      </w:r>
      <w:r w:rsidRPr="005F720D">
        <w:rPr>
          <w:rFonts w:ascii="Times New Roman" w:hAnsi="Times New Roman"/>
          <w:sz w:val="24"/>
          <w:szCs w:val="24"/>
          <w:shd w:val="clear" w:color="auto" w:fill="FFFFFF"/>
          <w:lang w:val="sr-Cyrl-CS"/>
        </w:rPr>
        <w:t xml:space="preserve"> из </w:t>
      </w:r>
      <w:r w:rsidR="005F720D" w:rsidRPr="005F720D">
        <w:rPr>
          <w:rFonts w:ascii="Times New Roman" w:hAnsi="Times New Roman"/>
          <w:sz w:val="24"/>
          <w:szCs w:val="24"/>
          <w:shd w:val="clear" w:color="auto" w:fill="FFFFFF"/>
        </w:rPr>
        <w:t>С</w:t>
      </w:r>
      <w:r w:rsidRPr="005F720D">
        <w:rPr>
          <w:rFonts w:ascii="Times New Roman" w:hAnsi="Times New Roman"/>
          <w:sz w:val="24"/>
          <w:szCs w:val="24"/>
          <w:shd w:val="clear" w:color="auto" w:fill="FFFFFF"/>
        </w:rPr>
        <w:t xml:space="preserve">1 </w:t>
      </w:r>
      <w:r w:rsidRPr="005F720D">
        <w:rPr>
          <w:rFonts w:ascii="Times New Roman" w:hAnsi="Times New Roman"/>
          <w:sz w:val="24"/>
          <w:szCs w:val="24"/>
          <w:shd w:val="clear" w:color="auto" w:fill="FFFFFF"/>
          <w:lang w:val="sr-Cyrl-CS"/>
        </w:rPr>
        <w:t xml:space="preserve">са стањем на дан 31. децембра, увећана за вредност имовине која је у календарској години стечена теретним правним послом и отуђена теретним или бестеретним правним послом, као и за средства која је порески обвезник употребио за куповину наведене омовине на име трећих лица у календарској години. </w:t>
      </w:r>
      <w:r w:rsidR="00992840">
        <w:rPr>
          <w:rFonts w:ascii="Times New Roman" w:hAnsi="Times New Roman"/>
          <w:sz w:val="24"/>
          <w:szCs w:val="24"/>
          <w:shd w:val="clear" w:color="auto" w:fill="FFFFFF"/>
          <w:lang w:val="sr-Cyrl-CS"/>
        </w:rPr>
        <w:t>Према Закону</w:t>
      </w:r>
      <w:r w:rsidR="00992840" w:rsidRPr="005F720D">
        <w:rPr>
          <w:rFonts w:ascii="Times New Roman" w:hAnsi="Times New Roman"/>
          <w:sz w:val="24"/>
          <w:szCs w:val="24"/>
          <w:shd w:val="clear" w:color="auto" w:fill="FFFFFF"/>
          <w:lang w:val="sr-Cyrl-CS"/>
        </w:rPr>
        <w:t xml:space="preserve"> о порезу на доходак грађана </w:t>
      </w:r>
      <w:r w:rsidR="00992840">
        <w:rPr>
          <w:rFonts w:ascii="Times New Roman" w:hAnsi="Times New Roman"/>
          <w:sz w:val="24"/>
          <w:szCs w:val="24"/>
          <w:shd w:val="clear" w:color="auto" w:fill="FFFFFF"/>
          <w:lang w:val="sr-Cyrl-CS"/>
        </w:rPr>
        <w:t>н</w:t>
      </w:r>
      <w:r w:rsidRPr="005F720D">
        <w:rPr>
          <w:rFonts w:ascii="Times New Roman" w:hAnsi="Times New Roman"/>
          <w:sz w:val="24"/>
          <w:szCs w:val="24"/>
          <w:shd w:val="clear" w:color="auto" w:fill="FFFFFF"/>
          <w:lang w:val="sr-Cyrl-CS"/>
        </w:rPr>
        <w:t>епријављени доходак се опо</w:t>
      </w:r>
      <w:r w:rsidR="00992840">
        <w:rPr>
          <w:rFonts w:ascii="Times New Roman" w:hAnsi="Times New Roman"/>
          <w:sz w:val="24"/>
          <w:szCs w:val="24"/>
          <w:shd w:val="clear" w:color="auto" w:fill="FFFFFF"/>
          <w:lang w:val="sr-Cyrl-CS"/>
        </w:rPr>
        <w:t>резује као други приход</w:t>
      </w:r>
      <w:r w:rsidRPr="005F720D">
        <w:rPr>
          <w:rFonts w:ascii="Times New Roman" w:hAnsi="Times New Roman"/>
          <w:sz w:val="24"/>
          <w:szCs w:val="24"/>
          <w:shd w:val="clear" w:color="auto" w:fill="FFFFFF"/>
          <w:lang w:val="sr-Cyrl-CS"/>
        </w:rPr>
        <w:t>.</w:t>
      </w:r>
    </w:p>
    <w:p w:rsidR="00014DFE" w:rsidRDefault="00717D0E" w:rsidP="00A22DD5">
      <w:pPr>
        <w:ind w:firstLine="708"/>
        <w:jc w:val="both"/>
        <w:rPr>
          <w:rFonts w:ascii="Times New Roman" w:hAnsi="Times New Roman"/>
          <w:sz w:val="24"/>
          <w:szCs w:val="24"/>
          <w:shd w:val="clear" w:color="auto" w:fill="FFFFFF"/>
          <w:lang w:val="sr-Cyrl-CS"/>
        </w:rPr>
      </w:pPr>
      <w:r w:rsidRPr="005F720D">
        <w:rPr>
          <w:rFonts w:ascii="Times New Roman" w:hAnsi="Times New Roman"/>
          <w:sz w:val="24"/>
          <w:szCs w:val="24"/>
          <w:shd w:val="clear" w:color="auto" w:fill="FFFFFF"/>
          <w:lang w:val="sr-Cyrl-CS"/>
        </w:rPr>
        <w:t>Као што је наведено, код пореза на приходе од ауторских права, права сродних ауторском праву и права индустријске својине прави се разлика између нормираних и стварних трошкова. Различит проценат нормираних трошкова отвара простор за злоупотребу у циљу избегавања плаћања пореза. Наиме, неки приходи се приказују као приходи од ауторских права, иако се ради о приходима по основу уговора о делу, управо због ове разлике у проценту нормираних трошкова који су већи за ауторске хонораре. Ако Пореска управа утврди да је интерпретатор, менаџер или друго ангажовано лице по основу естрадног програма забавне и неродне музике или другог забавног програма остварило приход, а није закључило уговор са организатором таквог програма, или оцени да је остварени приход већи од уговореног прихода, бруто пр</w:t>
      </w:r>
      <w:r w:rsidR="005F720D" w:rsidRPr="005F720D">
        <w:rPr>
          <w:rFonts w:ascii="Times New Roman" w:hAnsi="Times New Roman"/>
          <w:sz w:val="24"/>
          <w:szCs w:val="24"/>
          <w:shd w:val="clear" w:color="auto" w:fill="FFFFFF"/>
          <w:lang w:val="sr-Cyrl-CS"/>
        </w:rPr>
        <w:t>иход се утврђује проценом у скла</w:t>
      </w:r>
      <w:r w:rsidRPr="005F720D">
        <w:rPr>
          <w:rFonts w:ascii="Times New Roman" w:hAnsi="Times New Roman"/>
          <w:sz w:val="24"/>
          <w:szCs w:val="24"/>
          <w:shd w:val="clear" w:color="auto" w:fill="FFFFFF"/>
          <w:lang w:val="sr-Cyrl-CS"/>
        </w:rPr>
        <w:t>ду са Законом о пореском поступку и пореској администрацији и опорезује без призн</w:t>
      </w:r>
      <w:r w:rsidR="005F720D" w:rsidRPr="005F720D">
        <w:rPr>
          <w:rFonts w:ascii="Times New Roman" w:hAnsi="Times New Roman"/>
          <w:sz w:val="24"/>
          <w:szCs w:val="24"/>
          <w:shd w:val="clear" w:color="auto" w:fill="FFFFFF"/>
          <w:lang w:val="sr-Cyrl-CS"/>
        </w:rPr>
        <w:t>а</w:t>
      </w:r>
      <w:r w:rsidRPr="005F720D">
        <w:rPr>
          <w:rFonts w:ascii="Times New Roman" w:hAnsi="Times New Roman"/>
          <w:sz w:val="24"/>
          <w:szCs w:val="24"/>
          <w:shd w:val="clear" w:color="auto" w:fill="FFFFFF"/>
          <w:lang w:val="sr-Cyrl-CS"/>
        </w:rPr>
        <w:t xml:space="preserve">вања нормираних, односно стварних трошкова. </w:t>
      </w:r>
    </w:p>
    <w:p w:rsidR="00014DFE" w:rsidRDefault="00014DFE" w:rsidP="005F720D">
      <w:pPr>
        <w:ind w:firstLine="708"/>
        <w:jc w:val="both"/>
        <w:rPr>
          <w:rFonts w:ascii="Times New Roman" w:hAnsi="Times New Roman"/>
          <w:sz w:val="24"/>
          <w:szCs w:val="24"/>
          <w:shd w:val="clear" w:color="auto" w:fill="FFFFFF"/>
          <w:lang w:val="sr-Cyrl-CS"/>
        </w:rPr>
      </w:pPr>
    </w:p>
    <w:p w:rsidR="00FB5A28" w:rsidRDefault="00FB5A28" w:rsidP="005F720D">
      <w:pPr>
        <w:ind w:firstLine="708"/>
        <w:jc w:val="both"/>
        <w:rPr>
          <w:rFonts w:ascii="Times New Roman" w:hAnsi="Times New Roman"/>
          <w:sz w:val="24"/>
          <w:szCs w:val="24"/>
          <w:shd w:val="clear" w:color="auto" w:fill="FFFFFF"/>
          <w:lang w:val="sr-Cyrl-CS"/>
        </w:rPr>
      </w:pPr>
    </w:p>
    <w:p w:rsidR="00FB5A28" w:rsidRPr="005F720D" w:rsidRDefault="00FB5A28" w:rsidP="005F720D">
      <w:pPr>
        <w:ind w:firstLine="708"/>
        <w:jc w:val="both"/>
        <w:rPr>
          <w:rFonts w:ascii="Times New Roman" w:hAnsi="Times New Roman"/>
          <w:sz w:val="24"/>
          <w:szCs w:val="24"/>
          <w:shd w:val="clear" w:color="auto" w:fill="FFFFFF"/>
          <w:lang w:val="sr-Cyrl-CS"/>
        </w:rPr>
      </w:pPr>
    </w:p>
    <w:p w:rsidR="00717D0E" w:rsidRPr="005F720D" w:rsidRDefault="00001DEB" w:rsidP="005F720D">
      <w:pPr>
        <w:ind w:firstLine="708"/>
        <w:jc w:val="both"/>
        <w:rPr>
          <w:rFonts w:ascii="Times New Roman" w:hAnsi="Times New Roman"/>
          <w:sz w:val="24"/>
          <w:szCs w:val="24"/>
          <w:shd w:val="clear" w:color="auto" w:fill="FFFFFF"/>
          <w:lang w:val="sr-Cyrl-CS"/>
        </w:rPr>
      </w:pPr>
      <w:r>
        <w:rPr>
          <w:rFonts w:ascii="Times New Roman" w:hAnsi="Times New Roman"/>
          <w:b/>
          <w:sz w:val="24"/>
          <w:szCs w:val="24"/>
          <w:shd w:val="clear" w:color="auto" w:fill="FFFFFF"/>
          <w:lang w:val="sr-Cyrl-CS"/>
        </w:rPr>
        <w:lastRenderedPageBreak/>
        <w:t>Табела 24</w:t>
      </w:r>
      <w:r w:rsidR="005E086E">
        <w:rPr>
          <w:rFonts w:ascii="Times New Roman" w:hAnsi="Times New Roman"/>
          <w:b/>
          <w:sz w:val="24"/>
          <w:szCs w:val="24"/>
          <w:shd w:val="clear" w:color="auto" w:fill="FFFFFF"/>
          <w:lang w:val="sr-Cyrl-CS"/>
        </w:rPr>
        <w:t xml:space="preserve">. </w:t>
      </w:r>
      <w:r w:rsidR="00717D0E" w:rsidRPr="00213488">
        <w:rPr>
          <w:rFonts w:ascii="Times New Roman" w:hAnsi="Times New Roman"/>
          <w:b/>
          <w:sz w:val="24"/>
          <w:szCs w:val="24"/>
          <w:shd w:val="clear" w:color="auto" w:fill="FFFFFF"/>
          <w:lang w:val="sr-Cyrl-CS"/>
        </w:rPr>
        <w:t>Основни индикатори нивоа евазије пореза на доходак у Србији</w:t>
      </w:r>
      <w:r w:rsidR="00717D0E" w:rsidRPr="005F720D">
        <w:rPr>
          <w:rStyle w:val="FootnoteReference"/>
          <w:rFonts w:ascii="Times New Roman" w:hAnsi="Times New Roman"/>
          <w:sz w:val="24"/>
          <w:szCs w:val="24"/>
          <w:shd w:val="clear" w:color="auto" w:fill="FFFFFF"/>
          <w:lang w:val="sr-Cyrl-CS"/>
        </w:rPr>
        <w:footnoteReference w:id="489"/>
      </w:r>
    </w:p>
    <w:p w:rsidR="00717D0E" w:rsidRPr="005F720D" w:rsidRDefault="00717D0E" w:rsidP="005F720D">
      <w:pPr>
        <w:pStyle w:val="Pa93"/>
        <w:jc w:val="both"/>
        <w:rPr>
          <w:rFonts w:ascii="Times New Roman" w:hAnsi="Times New Roman"/>
          <w:bCs/>
          <w:color w:val="000000"/>
          <w:lang w:val="sr-Cyrl-CS"/>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18"/>
        <w:gridCol w:w="1842"/>
        <w:gridCol w:w="1918"/>
        <w:gridCol w:w="1842"/>
        <w:gridCol w:w="1843"/>
      </w:tblGrid>
      <w:tr w:rsidR="00717D0E" w:rsidRPr="005F720D" w:rsidTr="00717D0E">
        <w:tc>
          <w:tcPr>
            <w:tcW w:w="2018" w:type="dxa"/>
          </w:tcPr>
          <w:p w:rsidR="00717D0E" w:rsidRPr="005F720D" w:rsidRDefault="00717D0E" w:rsidP="005F720D">
            <w:pPr>
              <w:spacing w:before="100" w:beforeAutospacing="1" w:afterAutospacing="1"/>
              <w:jc w:val="both"/>
              <w:rPr>
                <w:rFonts w:ascii="Times New Roman" w:hAnsi="Times New Roman"/>
                <w:color w:val="000000"/>
                <w:sz w:val="24"/>
                <w:szCs w:val="24"/>
                <w:lang w:val="sr-Cyrl-CS"/>
              </w:rPr>
            </w:pPr>
            <w:r w:rsidRPr="005F720D">
              <w:rPr>
                <w:rFonts w:ascii="Times New Roman" w:hAnsi="Times New Roman"/>
                <w:color w:val="000000"/>
                <w:sz w:val="24"/>
                <w:szCs w:val="24"/>
                <w:lang w:val="sr-Cyrl-CS"/>
              </w:rPr>
              <w:t>Врста дохотка од рада</w:t>
            </w:r>
          </w:p>
        </w:tc>
        <w:tc>
          <w:tcPr>
            <w:tcW w:w="1842" w:type="dxa"/>
          </w:tcPr>
          <w:p w:rsidR="00717D0E" w:rsidRPr="005F720D" w:rsidRDefault="00717D0E" w:rsidP="005F720D">
            <w:pPr>
              <w:spacing w:before="100" w:beforeAutospacing="1" w:afterAutospacing="1"/>
              <w:jc w:val="both"/>
              <w:rPr>
                <w:rFonts w:ascii="Times New Roman" w:hAnsi="Times New Roman"/>
                <w:color w:val="000000"/>
                <w:sz w:val="24"/>
                <w:szCs w:val="24"/>
                <w:lang w:val="sr-Cyrl-CS"/>
              </w:rPr>
            </w:pPr>
            <w:r w:rsidRPr="005F720D">
              <w:rPr>
                <w:rFonts w:ascii="Times New Roman" w:hAnsi="Times New Roman"/>
                <w:color w:val="000000"/>
                <w:sz w:val="24"/>
                <w:szCs w:val="24"/>
                <w:lang w:val="sr-Cyrl-CS"/>
              </w:rPr>
              <w:t>% укупног дохотка од рада</w:t>
            </w:r>
          </w:p>
        </w:tc>
        <w:tc>
          <w:tcPr>
            <w:tcW w:w="1842" w:type="dxa"/>
          </w:tcPr>
          <w:p w:rsidR="00717D0E" w:rsidRPr="005F720D" w:rsidRDefault="00717D0E" w:rsidP="005F720D">
            <w:pPr>
              <w:spacing w:before="100" w:beforeAutospacing="1" w:afterAutospacing="1"/>
              <w:jc w:val="both"/>
              <w:rPr>
                <w:rFonts w:ascii="Times New Roman" w:hAnsi="Times New Roman"/>
                <w:color w:val="000000"/>
                <w:sz w:val="24"/>
                <w:szCs w:val="24"/>
                <w:lang w:val="sr-Cyrl-CS"/>
              </w:rPr>
            </w:pPr>
            <w:r w:rsidRPr="005F720D">
              <w:rPr>
                <w:rFonts w:ascii="Times New Roman" w:hAnsi="Times New Roman"/>
                <w:color w:val="000000"/>
                <w:sz w:val="24"/>
                <w:szCs w:val="24"/>
                <w:lang w:val="sr-Cyrl-CS"/>
              </w:rPr>
              <w:t>Стопа непријављивања дохотка</w:t>
            </w:r>
          </w:p>
        </w:tc>
        <w:tc>
          <w:tcPr>
            <w:tcW w:w="1842" w:type="dxa"/>
          </w:tcPr>
          <w:p w:rsidR="00717D0E" w:rsidRPr="005F720D" w:rsidRDefault="00717D0E" w:rsidP="005F720D">
            <w:pPr>
              <w:spacing w:before="100" w:beforeAutospacing="1" w:afterAutospacing="1"/>
              <w:jc w:val="both"/>
              <w:rPr>
                <w:rFonts w:ascii="Times New Roman" w:hAnsi="Times New Roman"/>
                <w:color w:val="000000"/>
                <w:sz w:val="24"/>
                <w:szCs w:val="24"/>
                <w:lang w:val="sr-Cyrl-CS"/>
              </w:rPr>
            </w:pPr>
            <w:r w:rsidRPr="005F720D">
              <w:rPr>
                <w:rFonts w:ascii="Times New Roman" w:hAnsi="Times New Roman"/>
                <w:color w:val="000000"/>
                <w:sz w:val="24"/>
                <w:szCs w:val="24"/>
                <w:lang w:val="sr-Cyrl-CS"/>
              </w:rPr>
              <w:t>Стопа пореске евазије</w:t>
            </w:r>
          </w:p>
        </w:tc>
        <w:tc>
          <w:tcPr>
            <w:tcW w:w="1843" w:type="dxa"/>
          </w:tcPr>
          <w:p w:rsidR="00717D0E" w:rsidRPr="005F720D" w:rsidRDefault="00717D0E" w:rsidP="005F720D">
            <w:pPr>
              <w:spacing w:before="100" w:beforeAutospacing="1" w:afterAutospacing="1"/>
              <w:jc w:val="both"/>
              <w:rPr>
                <w:rFonts w:ascii="Times New Roman" w:hAnsi="Times New Roman"/>
                <w:color w:val="000000"/>
                <w:sz w:val="24"/>
                <w:szCs w:val="24"/>
                <w:lang w:val="sr-Cyrl-CS"/>
              </w:rPr>
            </w:pPr>
            <w:r w:rsidRPr="005F720D">
              <w:rPr>
                <w:rFonts w:ascii="Times New Roman" w:hAnsi="Times New Roman"/>
                <w:color w:val="000000"/>
                <w:sz w:val="24"/>
                <w:szCs w:val="24"/>
                <w:lang w:val="sr-Cyrl-CS"/>
              </w:rPr>
              <w:t>% укупног броја обвезника</w:t>
            </w:r>
          </w:p>
        </w:tc>
      </w:tr>
      <w:tr w:rsidR="00717D0E" w:rsidRPr="005F720D" w:rsidTr="00717D0E">
        <w:tc>
          <w:tcPr>
            <w:tcW w:w="2018" w:type="dxa"/>
          </w:tcPr>
          <w:p w:rsidR="00717D0E" w:rsidRPr="005F720D" w:rsidRDefault="0073476E" w:rsidP="005F720D">
            <w:pPr>
              <w:spacing w:before="100" w:beforeAutospacing="1" w:afterAutospacing="1"/>
              <w:jc w:val="both"/>
              <w:rPr>
                <w:rFonts w:ascii="Times New Roman" w:hAnsi="Times New Roman"/>
                <w:color w:val="000000"/>
                <w:sz w:val="24"/>
                <w:szCs w:val="24"/>
                <w:lang w:val="sr-Cyrl-CS"/>
              </w:rPr>
            </w:pPr>
            <w:r w:rsidRPr="005F720D">
              <w:rPr>
                <w:rFonts w:ascii="Times New Roman" w:hAnsi="Times New Roman"/>
                <w:color w:val="000000"/>
                <w:sz w:val="24"/>
                <w:szCs w:val="24"/>
                <w:lang w:val="sr-Cyrl-CS"/>
              </w:rPr>
              <w:t>Запослење (зарада)</w:t>
            </w:r>
          </w:p>
        </w:tc>
        <w:tc>
          <w:tcPr>
            <w:tcW w:w="1842" w:type="dxa"/>
          </w:tcPr>
          <w:p w:rsidR="00717D0E" w:rsidRPr="005F720D" w:rsidRDefault="0073476E" w:rsidP="005F720D">
            <w:pPr>
              <w:spacing w:before="100" w:beforeAutospacing="1" w:afterAutospacing="1"/>
              <w:jc w:val="both"/>
              <w:rPr>
                <w:rFonts w:ascii="Times New Roman" w:hAnsi="Times New Roman"/>
                <w:color w:val="000000"/>
                <w:sz w:val="24"/>
                <w:szCs w:val="24"/>
                <w:lang w:val="sr-Cyrl-CS"/>
              </w:rPr>
            </w:pPr>
            <w:r w:rsidRPr="005F720D">
              <w:rPr>
                <w:rFonts w:ascii="Times New Roman" w:hAnsi="Times New Roman"/>
                <w:color w:val="000000"/>
                <w:sz w:val="24"/>
                <w:szCs w:val="24"/>
                <w:lang w:val="sr-Cyrl-CS"/>
              </w:rPr>
              <w:t>75%</w:t>
            </w:r>
          </w:p>
        </w:tc>
        <w:tc>
          <w:tcPr>
            <w:tcW w:w="1842" w:type="dxa"/>
          </w:tcPr>
          <w:p w:rsidR="00717D0E" w:rsidRPr="005F720D" w:rsidRDefault="0073476E" w:rsidP="005F720D">
            <w:pPr>
              <w:spacing w:before="100" w:beforeAutospacing="1" w:afterAutospacing="1"/>
              <w:jc w:val="both"/>
              <w:rPr>
                <w:rFonts w:ascii="Times New Roman" w:hAnsi="Times New Roman"/>
                <w:color w:val="000000"/>
                <w:sz w:val="24"/>
                <w:szCs w:val="24"/>
                <w:lang w:val="sr-Cyrl-CS"/>
              </w:rPr>
            </w:pPr>
            <w:r w:rsidRPr="005F720D">
              <w:rPr>
                <w:rFonts w:ascii="Times New Roman" w:hAnsi="Times New Roman"/>
                <w:color w:val="000000"/>
                <w:sz w:val="24"/>
                <w:szCs w:val="24"/>
                <w:lang w:val="sr-Cyrl-CS"/>
              </w:rPr>
              <w:t>9,8%</w:t>
            </w:r>
          </w:p>
        </w:tc>
        <w:tc>
          <w:tcPr>
            <w:tcW w:w="1842" w:type="dxa"/>
          </w:tcPr>
          <w:p w:rsidR="00717D0E" w:rsidRPr="005F720D" w:rsidRDefault="0073476E" w:rsidP="005F720D">
            <w:pPr>
              <w:spacing w:before="100" w:beforeAutospacing="1" w:afterAutospacing="1"/>
              <w:jc w:val="both"/>
              <w:rPr>
                <w:rFonts w:ascii="Times New Roman" w:hAnsi="Times New Roman"/>
                <w:color w:val="000000"/>
                <w:sz w:val="24"/>
                <w:szCs w:val="24"/>
                <w:lang w:val="sr-Cyrl-CS"/>
              </w:rPr>
            </w:pPr>
            <w:r w:rsidRPr="005F720D">
              <w:rPr>
                <w:rFonts w:ascii="Times New Roman" w:hAnsi="Times New Roman"/>
                <w:color w:val="000000"/>
                <w:sz w:val="24"/>
                <w:szCs w:val="24"/>
                <w:lang w:val="sr-Cyrl-CS"/>
              </w:rPr>
              <w:t>9%</w:t>
            </w:r>
          </w:p>
        </w:tc>
        <w:tc>
          <w:tcPr>
            <w:tcW w:w="1843" w:type="dxa"/>
          </w:tcPr>
          <w:p w:rsidR="00717D0E" w:rsidRPr="005F720D" w:rsidRDefault="0073476E" w:rsidP="005F720D">
            <w:pPr>
              <w:spacing w:before="100" w:beforeAutospacing="1" w:afterAutospacing="1"/>
              <w:jc w:val="both"/>
              <w:rPr>
                <w:rFonts w:ascii="Times New Roman" w:hAnsi="Times New Roman"/>
                <w:color w:val="000000"/>
                <w:sz w:val="24"/>
                <w:szCs w:val="24"/>
                <w:lang w:val="sr-Cyrl-CS"/>
              </w:rPr>
            </w:pPr>
            <w:r w:rsidRPr="005F720D">
              <w:rPr>
                <w:rFonts w:ascii="Times New Roman" w:hAnsi="Times New Roman"/>
                <w:color w:val="000000"/>
                <w:sz w:val="24"/>
                <w:szCs w:val="24"/>
                <w:lang w:val="sr-Cyrl-CS"/>
              </w:rPr>
              <w:t>6%</w:t>
            </w:r>
          </w:p>
        </w:tc>
      </w:tr>
      <w:tr w:rsidR="00717D0E" w:rsidRPr="005F720D" w:rsidTr="00717D0E">
        <w:tc>
          <w:tcPr>
            <w:tcW w:w="2018" w:type="dxa"/>
          </w:tcPr>
          <w:p w:rsidR="00717D0E" w:rsidRPr="005F720D" w:rsidRDefault="0073476E" w:rsidP="005F720D">
            <w:pPr>
              <w:spacing w:before="100" w:beforeAutospacing="1" w:afterAutospacing="1"/>
              <w:jc w:val="both"/>
              <w:rPr>
                <w:rFonts w:ascii="Times New Roman" w:hAnsi="Times New Roman"/>
                <w:color w:val="000000"/>
                <w:sz w:val="24"/>
                <w:szCs w:val="24"/>
                <w:lang w:val="sr-Cyrl-CS"/>
              </w:rPr>
            </w:pPr>
            <w:r w:rsidRPr="005F720D">
              <w:rPr>
                <w:rFonts w:ascii="Times New Roman" w:hAnsi="Times New Roman"/>
                <w:color w:val="000000"/>
                <w:sz w:val="24"/>
                <w:szCs w:val="24"/>
                <w:lang w:val="sr-Cyrl-CS"/>
              </w:rPr>
              <w:t>Самостална делатност</w:t>
            </w:r>
          </w:p>
        </w:tc>
        <w:tc>
          <w:tcPr>
            <w:tcW w:w="1842" w:type="dxa"/>
          </w:tcPr>
          <w:p w:rsidR="00717D0E" w:rsidRPr="005F720D" w:rsidRDefault="0073476E" w:rsidP="005F720D">
            <w:pPr>
              <w:spacing w:before="100" w:beforeAutospacing="1" w:afterAutospacing="1"/>
              <w:jc w:val="both"/>
              <w:rPr>
                <w:rFonts w:ascii="Times New Roman" w:hAnsi="Times New Roman"/>
                <w:color w:val="000000"/>
                <w:sz w:val="24"/>
                <w:szCs w:val="24"/>
                <w:lang w:val="sr-Cyrl-CS"/>
              </w:rPr>
            </w:pPr>
            <w:r w:rsidRPr="005F720D">
              <w:rPr>
                <w:rFonts w:ascii="Times New Roman" w:hAnsi="Times New Roman"/>
                <w:color w:val="000000"/>
                <w:sz w:val="24"/>
                <w:szCs w:val="24"/>
                <w:lang w:val="sr-Cyrl-CS"/>
              </w:rPr>
              <w:t>25%</w:t>
            </w:r>
          </w:p>
        </w:tc>
        <w:tc>
          <w:tcPr>
            <w:tcW w:w="1842" w:type="dxa"/>
          </w:tcPr>
          <w:p w:rsidR="00717D0E" w:rsidRPr="005F720D" w:rsidRDefault="0073476E" w:rsidP="005F720D">
            <w:pPr>
              <w:spacing w:before="100" w:beforeAutospacing="1" w:afterAutospacing="1"/>
              <w:jc w:val="both"/>
              <w:rPr>
                <w:rFonts w:ascii="Times New Roman" w:hAnsi="Times New Roman"/>
                <w:color w:val="000000"/>
                <w:sz w:val="24"/>
                <w:szCs w:val="24"/>
                <w:lang w:val="sr-Cyrl-CS"/>
              </w:rPr>
            </w:pPr>
            <w:r w:rsidRPr="005F720D">
              <w:rPr>
                <w:rFonts w:ascii="Times New Roman" w:hAnsi="Times New Roman"/>
                <w:color w:val="000000"/>
                <w:sz w:val="24"/>
                <w:szCs w:val="24"/>
                <w:lang w:val="sr-Cyrl-CS"/>
              </w:rPr>
              <w:t>78,3%</w:t>
            </w:r>
          </w:p>
        </w:tc>
        <w:tc>
          <w:tcPr>
            <w:tcW w:w="1842" w:type="dxa"/>
          </w:tcPr>
          <w:p w:rsidR="00717D0E" w:rsidRPr="005F720D" w:rsidRDefault="0073476E" w:rsidP="005F720D">
            <w:pPr>
              <w:spacing w:before="100" w:beforeAutospacing="1" w:afterAutospacing="1"/>
              <w:jc w:val="both"/>
              <w:rPr>
                <w:rFonts w:ascii="Times New Roman" w:hAnsi="Times New Roman"/>
                <w:color w:val="000000"/>
                <w:sz w:val="24"/>
                <w:szCs w:val="24"/>
                <w:lang w:val="sr-Cyrl-CS"/>
              </w:rPr>
            </w:pPr>
            <w:r w:rsidRPr="005F720D">
              <w:rPr>
                <w:rFonts w:ascii="Times New Roman" w:hAnsi="Times New Roman"/>
                <w:color w:val="000000"/>
                <w:sz w:val="24"/>
                <w:szCs w:val="24"/>
                <w:lang w:val="sr-Cyrl-CS"/>
              </w:rPr>
              <w:t>43,9%</w:t>
            </w:r>
          </w:p>
        </w:tc>
        <w:tc>
          <w:tcPr>
            <w:tcW w:w="1843" w:type="dxa"/>
          </w:tcPr>
          <w:p w:rsidR="00717D0E" w:rsidRPr="005F720D" w:rsidRDefault="0073476E" w:rsidP="005F720D">
            <w:pPr>
              <w:spacing w:before="100" w:beforeAutospacing="1" w:afterAutospacing="1"/>
              <w:jc w:val="both"/>
              <w:rPr>
                <w:rFonts w:ascii="Times New Roman" w:hAnsi="Times New Roman"/>
                <w:color w:val="000000"/>
                <w:sz w:val="24"/>
                <w:szCs w:val="24"/>
                <w:lang w:val="sr-Cyrl-CS"/>
              </w:rPr>
            </w:pPr>
            <w:r w:rsidRPr="005F720D">
              <w:rPr>
                <w:rFonts w:ascii="Times New Roman" w:hAnsi="Times New Roman"/>
                <w:color w:val="000000"/>
                <w:sz w:val="24"/>
                <w:szCs w:val="24"/>
                <w:lang w:val="sr-Cyrl-CS"/>
              </w:rPr>
              <w:t>64,4%</w:t>
            </w:r>
          </w:p>
        </w:tc>
      </w:tr>
      <w:tr w:rsidR="00717D0E" w:rsidRPr="005F720D" w:rsidTr="00717D0E">
        <w:trPr>
          <w:trHeight w:val="402"/>
        </w:trPr>
        <w:tc>
          <w:tcPr>
            <w:tcW w:w="2018" w:type="dxa"/>
          </w:tcPr>
          <w:p w:rsidR="00717D0E" w:rsidRPr="005F720D" w:rsidRDefault="0073476E" w:rsidP="005F720D">
            <w:pPr>
              <w:spacing w:before="100" w:beforeAutospacing="1" w:afterAutospacing="1"/>
              <w:jc w:val="both"/>
              <w:rPr>
                <w:rFonts w:ascii="Times New Roman" w:hAnsi="Times New Roman"/>
                <w:color w:val="000000"/>
                <w:sz w:val="24"/>
                <w:szCs w:val="24"/>
                <w:lang w:val="sr-Cyrl-CS"/>
              </w:rPr>
            </w:pPr>
            <w:r w:rsidRPr="005F720D">
              <w:rPr>
                <w:rFonts w:ascii="Times New Roman" w:hAnsi="Times New Roman"/>
                <w:color w:val="000000"/>
                <w:sz w:val="24"/>
                <w:szCs w:val="24"/>
                <w:lang w:val="sr-Cyrl-CS"/>
              </w:rPr>
              <w:t>Укупно</w:t>
            </w:r>
          </w:p>
        </w:tc>
        <w:tc>
          <w:tcPr>
            <w:tcW w:w="1842" w:type="dxa"/>
          </w:tcPr>
          <w:p w:rsidR="00717D0E" w:rsidRPr="005F720D" w:rsidRDefault="0073476E" w:rsidP="005F720D">
            <w:pPr>
              <w:spacing w:before="100" w:beforeAutospacing="1" w:afterAutospacing="1"/>
              <w:jc w:val="both"/>
              <w:rPr>
                <w:rFonts w:ascii="Times New Roman" w:hAnsi="Times New Roman"/>
                <w:color w:val="000000"/>
                <w:sz w:val="24"/>
                <w:szCs w:val="24"/>
                <w:lang w:val="sr-Cyrl-CS"/>
              </w:rPr>
            </w:pPr>
            <w:r w:rsidRPr="005F720D">
              <w:rPr>
                <w:rFonts w:ascii="Times New Roman" w:hAnsi="Times New Roman"/>
                <w:color w:val="000000"/>
                <w:sz w:val="24"/>
                <w:szCs w:val="24"/>
                <w:lang w:val="sr-Cyrl-CS"/>
              </w:rPr>
              <w:t>100%</w:t>
            </w:r>
          </w:p>
        </w:tc>
        <w:tc>
          <w:tcPr>
            <w:tcW w:w="1842" w:type="dxa"/>
          </w:tcPr>
          <w:p w:rsidR="00717D0E" w:rsidRPr="005F720D" w:rsidRDefault="0073476E" w:rsidP="005F720D">
            <w:pPr>
              <w:spacing w:before="100" w:beforeAutospacing="1" w:afterAutospacing="1"/>
              <w:jc w:val="both"/>
              <w:rPr>
                <w:rFonts w:ascii="Times New Roman" w:hAnsi="Times New Roman"/>
                <w:color w:val="000000"/>
                <w:sz w:val="24"/>
                <w:szCs w:val="24"/>
                <w:lang w:val="sr-Cyrl-CS"/>
              </w:rPr>
            </w:pPr>
            <w:r w:rsidRPr="005F720D">
              <w:rPr>
                <w:rFonts w:ascii="Times New Roman" w:hAnsi="Times New Roman"/>
                <w:color w:val="000000"/>
                <w:sz w:val="24"/>
                <w:szCs w:val="24"/>
                <w:lang w:val="sr-Cyrl-CS"/>
              </w:rPr>
              <w:t>26,9%</w:t>
            </w:r>
          </w:p>
        </w:tc>
        <w:tc>
          <w:tcPr>
            <w:tcW w:w="1842" w:type="dxa"/>
          </w:tcPr>
          <w:p w:rsidR="00717D0E" w:rsidRPr="005F720D" w:rsidRDefault="0073476E" w:rsidP="005F720D">
            <w:pPr>
              <w:spacing w:before="100" w:beforeAutospacing="1" w:afterAutospacing="1"/>
              <w:jc w:val="both"/>
              <w:rPr>
                <w:rFonts w:ascii="Times New Roman" w:hAnsi="Times New Roman"/>
                <w:color w:val="000000"/>
                <w:sz w:val="24"/>
                <w:szCs w:val="24"/>
                <w:lang w:val="sr-Cyrl-CS"/>
              </w:rPr>
            </w:pPr>
            <w:r w:rsidRPr="005F720D">
              <w:rPr>
                <w:rFonts w:ascii="Times New Roman" w:hAnsi="Times New Roman"/>
                <w:color w:val="000000"/>
                <w:sz w:val="24"/>
                <w:szCs w:val="24"/>
                <w:lang w:val="sr-Cyrl-CS"/>
              </w:rPr>
              <w:t>21,2%</w:t>
            </w:r>
          </w:p>
        </w:tc>
        <w:tc>
          <w:tcPr>
            <w:tcW w:w="1843" w:type="dxa"/>
          </w:tcPr>
          <w:p w:rsidR="00717D0E" w:rsidRPr="005F720D" w:rsidRDefault="00DF440C" w:rsidP="005F720D">
            <w:pPr>
              <w:spacing w:before="100" w:beforeAutospacing="1" w:afterAutospacing="1"/>
              <w:jc w:val="both"/>
              <w:rPr>
                <w:rFonts w:ascii="Times New Roman" w:hAnsi="Times New Roman"/>
                <w:color w:val="000000"/>
                <w:sz w:val="24"/>
                <w:szCs w:val="24"/>
                <w:lang w:val="sr-Cyrl-CS"/>
              </w:rPr>
            </w:pPr>
            <w:r w:rsidRPr="005F720D">
              <w:rPr>
                <w:rFonts w:ascii="Times New Roman" w:hAnsi="Times New Roman"/>
                <w:color w:val="000000"/>
                <w:sz w:val="24"/>
                <w:szCs w:val="24"/>
                <w:lang w:val="sr-Cyrl-CS"/>
              </w:rPr>
              <w:t>25</w:t>
            </w:r>
            <w:r w:rsidR="0073476E" w:rsidRPr="005F720D">
              <w:rPr>
                <w:rFonts w:ascii="Times New Roman" w:hAnsi="Times New Roman"/>
                <w:color w:val="000000"/>
                <w:sz w:val="24"/>
                <w:szCs w:val="24"/>
                <w:lang w:val="sr-Cyrl-CS"/>
              </w:rPr>
              <w:t>,6%</w:t>
            </w:r>
          </w:p>
        </w:tc>
      </w:tr>
    </w:tbl>
    <w:p w:rsidR="00717D0E" w:rsidRPr="005F720D" w:rsidRDefault="00717D0E" w:rsidP="005F720D">
      <w:pPr>
        <w:jc w:val="both"/>
        <w:rPr>
          <w:rFonts w:ascii="Times New Roman" w:hAnsi="Times New Roman"/>
          <w:color w:val="000000"/>
          <w:sz w:val="24"/>
          <w:szCs w:val="24"/>
          <w:lang w:val="sr-Cyrl-CS"/>
        </w:rPr>
      </w:pPr>
    </w:p>
    <w:p w:rsidR="00717D0E" w:rsidRPr="005F720D" w:rsidRDefault="005F720D" w:rsidP="005F720D">
      <w:pPr>
        <w:ind w:firstLine="360"/>
        <w:jc w:val="both"/>
        <w:rPr>
          <w:rFonts w:ascii="Times New Roman" w:hAnsi="Times New Roman"/>
          <w:sz w:val="24"/>
          <w:szCs w:val="24"/>
          <w:lang w:val="sr-Cyrl-CS"/>
        </w:rPr>
      </w:pPr>
      <w:r w:rsidRPr="005F720D">
        <w:rPr>
          <w:rFonts w:ascii="Times New Roman" w:hAnsi="Times New Roman"/>
          <w:sz w:val="24"/>
          <w:szCs w:val="24"/>
        </w:rPr>
        <w:t>Резултати</w:t>
      </w:r>
      <w:r w:rsidR="00DF440C" w:rsidRPr="005F720D">
        <w:rPr>
          <w:rStyle w:val="FootnoteReference"/>
          <w:rFonts w:ascii="Times New Roman" w:hAnsi="Times New Roman"/>
          <w:sz w:val="24"/>
          <w:szCs w:val="24"/>
        </w:rPr>
        <w:footnoteReference w:id="490"/>
      </w:r>
      <w:r w:rsidR="0073476E" w:rsidRPr="005F720D">
        <w:rPr>
          <w:rFonts w:ascii="Times New Roman" w:hAnsi="Times New Roman"/>
          <w:sz w:val="24"/>
          <w:szCs w:val="24"/>
        </w:rPr>
        <w:t xml:space="preserve"> </w:t>
      </w:r>
      <w:r w:rsidRPr="005F720D">
        <w:rPr>
          <w:rFonts w:ascii="Times New Roman" w:hAnsi="Times New Roman"/>
          <w:sz w:val="24"/>
          <w:szCs w:val="24"/>
        </w:rPr>
        <w:t>приказани</w:t>
      </w:r>
      <w:r w:rsidR="0073476E" w:rsidRPr="005F720D">
        <w:rPr>
          <w:rFonts w:ascii="Times New Roman" w:hAnsi="Times New Roman"/>
          <w:sz w:val="24"/>
          <w:szCs w:val="24"/>
        </w:rPr>
        <w:t xml:space="preserve"> </w:t>
      </w:r>
      <w:r w:rsidRPr="005F720D">
        <w:rPr>
          <w:rFonts w:ascii="Times New Roman" w:hAnsi="Times New Roman"/>
          <w:sz w:val="24"/>
          <w:szCs w:val="24"/>
        </w:rPr>
        <w:t>у</w:t>
      </w:r>
      <w:r w:rsidR="0073476E" w:rsidRPr="005F720D">
        <w:rPr>
          <w:rFonts w:ascii="Times New Roman" w:hAnsi="Times New Roman"/>
          <w:sz w:val="24"/>
          <w:szCs w:val="24"/>
        </w:rPr>
        <w:t xml:space="preserve"> </w:t>
      </w:r>
      <w:r w:rsidR="0073476E" w:rsidRPr="005F720D">
        <w:rPr>
          <w:rFonts w:ascii="Times New Roman" w:hAnsi="Times New Roman"/>
          <w:sz w:val="24"/>
          <w:szCs w:val="24"/>
          <w:lang w:val="sr-Cyrl-CS"/>
        </w:rPr>
        <w:t>претходној т</w:t>
      </w:r>
      <w:r w:rsidRPr="005F720D">
        <w:rPr>
          <w:rFonts w:ascii="Times New Roman" w:hAnsi="Times New Roman"/>
          <w:sz w:val="24"/>
          <w:szCs w:val="24"/>
        </w:rPr>
        <w:t>абели</w:t>
      </w:r>
      <w:r w:rsidR="0073476E" w:rsidRPr="005F720D">
        <w:rPr>
          <w:rFonts w:ascii="Times New Roman" w:hAnsi="Times New Roman"/>
          <w:sz w:val="24"/>
          <w:szCs w:val="24"/>
          <w:lang w:val="sr-Cyrl-CS"/>
        </w:rPr>
        <w:t xml:space="preserve"> </w:t>
      </w:r>
      <w:r w:rsidR="00BA22CF">
        <w:rPr>
          <w:rFonts w:ascii="Times New Roman" w:hAnsi="Times New Roman"/>
          <w:sz w:val="24"/>
          <w:szCs w:val="24"/>
          <w:lang w:val="sr-Cyrl-CS"/>
        </w:rPr>
        <w:t>„</w:t>
      </w:r>
      <w:r w:rsidRPr="005F720D">
        <w:rPr>
          <w:rFonts w:ascii="Times New Roman" w:hAnsi="Times New Roman"/>
          <w:sz w:val="24"/>
          <w:szCs w:val="24"/>
        </w:rPr>
        <w:t>показују</w:t>
      </w:r>
      <w:r w:rsidR="00717D0E" w:rsidRPr="005F720D">
        <w:rPr>
          <w:rFonts w:ascii="Times New Roman" w:hAnsi="Times New Roman"/>
          <w:sz w:val="24"/>
          <w:szCs w:val="24"/>
        </w:rPr>
        <w:t xml:space="preserve"> </w:t>
      </w:r>
      <w:r w:rsidRPr="005F720D">
        <w:rPr>
          <w:rFonts w:ascii="Times New Roman" w:hAnsi="Times New Roman"/>
          <w:sz w:val="24"/>
          <w:szCs w:val="24"/>
        </w:rPr>
        <w:t>да</w:t>
      </w:r>
      <w:r w:rsidR="00717D0E" w:rsidRPr="005F720D">
        <w:rPr>
          <w:rFonts w:ascii="Times New Roman" w:hAnsi="Times New Roman"/>
          <w:sz w:val="24"/>
          <w:szCs w:val="24"/>
        </w:rPr>
        <w:t xml:space="preserve"> </w:t>
      </w:r>
      <w:r w:rsidRPr="005F720D">
        <w:rPr>
          <w:rFonts w:ascii="Times New Roman" w:hAnsi="Times New Roman"/>
          <w:sz w:val="24"/>
          <w:szCs w:val="24"/>
        </w:rPr>
        <w:t>просечна</w:t>
      </w:r>
      <w:r w:rsidR="00717D0E" w:rsidRPr="005F720D">
        <w:rPr>
          <w:rFonts w:ascii="Times New Roman" w:hAnsi="Times New Roman"/>
          <w:sz w:val="24"/>
          <w:szCs w:val="24"/>
        </w:rPr>
        <w:t xml:space="preserve"> </w:t>
      </w:r>
      <w:r w:rsidRPr="005F720D">
        <w:rPr>
          <w:rFonts w:ascii="Times New Roman" w:hAnsi="Times New Roman"/>
          <w:sz w:val="24"/>
          <w:szCs w:val="24"/>
        </w:rPr>
        <w:t>стопа</w:t>
      </w:r>
      <w:r w:rsidR="00717D0E" w:rsidRPr="005F720D">
        <w:rPr>
          <w:rFonts w:ascii="Times New Roman" w:hAnsi="Times New Roman"/>
          <w:sz w:val="24"/>
          <w:szCs w:val="24"/>
        </w:rPr>
        <w:t xml:space="preserve"> </w:t>
      </w:r>
      <w:r w:rsidRPr="005F720D">
        <w:rPr>
          <w:rFonts w:ascii="Times New Roman" w:hAnsi="Times New Roman"/>
          <w:sz w:val="24"/>
          <w:szCs w:val="24"/>
        </w:rPr>
        <w:t>непријављивања</w:t>
      </w:r>
      <w:r w:rsidR="00717D0E" w:rsidRPr="005F720D">
        <w:rPr>
          <w:rFonts w:ascii="Times New Roman" w:hAnsi="Times New Roman"/>
          <w:sz w:val="24"/>
          <w:szCs w:val="24"/>
        </w:rPr>
        <w:t xml:space="preserve"> </w:t>
      </w:r>
      <w:r w:rsidRPr="005F720D">
        <w:rPr>
          <w:rFonts w:ascii="Times New Roman" w:hAnsi="Times New Roman"/>
          <w:sz w:val="24"/>
          <w:szCs w:val="24"/>
        </w:rPr>
        <w:t>дохотка</w:t>
      </w:r>
      <w:r w:rsidR="00717D0E" w:rsidRPr="005F720D">
        <w:rPr>
          <w:rFonts w:ascii="Times New Roman" w:hAnsi="Times New Roman"/>
          <w:sz w:val="24"/>
          <w:szCs w:val="24"/>
        </w:rPr>
        <w:t xml:space="preserve"> </w:t>
      </w:r>
      <w:r w:rsidRPr="005F720D">
        <w:rPr>
          <w:rFonts w:ascii="Times New Roman" w:hAnsi="Times New Roman"/>
          <w:sz w:val="24"/>
          <w:szCs w:val="24"/>
        </w:rPr>
        <w:t>у</w:t>
      </w:r>
      <w:r w:rsidR="00717D0E" w:rsidRPr="005F720D">
        <w:rPr>
          <w:rFonts w:ascii="Times New Roman" w:hAnsi="Times New Roman"/>
          <w:sz w:val="24"/>
          <w:szCs w:val="24"/>
        </w:rPr>
        <w:t xml:space="preserve"> </w:t>
      </w:r>
      <w:r w:rsidRPr="005F720D">
        <w:rPr>
          <w:rFonts w:ascii="Times New Roman" w:hAnsi="Times New Roman"/>
          <w:sz w:val="24"/>
          <w:szCs w:val="24"/>
        </w:rPr>
        <w:t>Србији</w:t>
      </w:r>
      <w:r w:rsidR="00717D0E" w:rsidRPr="005F720D">
        <w:rPr>
          <w:rFonts w:ascii="Times New Roman" w:hAnsi="Times New Roman"/>
          <w:sz w:val="24"/>
          <w:szCs w:val="24"/>
        </w:rPr>
        <w:t xml:space="preserve"> </w:t>
      </w:r>
      <w:r w:rsidRPr="005F720D">
        <w:rPr>
          <w:rFonts w:ascii="Times New Roman" w:hAnsi="Times New Roman"/>
          <w:sz w:val="24"/>
          <w:szCs w:val="24"/>
        </w:rPr>
        <w:t>износи</w:t>
      </w:r>
      <w:r w:rsidR="00717D0E" w:rsidRPr="005F720D">
        <w:rPr>
          <w:rFonts w:ascii="Times New Roman" w:hAnsi="Times New Roman"/>
          <w:sz w:val="24"/>
          <w:szCs w:val="24"/>
        </w:rPr>
        <w:t xml:space="preserve"> </w:t>
      </w:r>
      <w:r w:rsidRPr="005F720D">
        <w:rPr>
          <w:rFonts w:ascii="Times New Roman" w:hAnsi="Times New Roman"/>
          <w:sz w:val="24"/>
          <w:szCs w:val="24"/>
        </w:rPr>
        <w:t>око</w:t>
      </w:r>
      <w:r w:rsidR="00BA22CF">
        <w:rPr>
          <w:rFonts w:ascii="Times New Roman" w:hAnsi="Times New Roman"/>
          <w:sz w:val="24"/>
          <w:szCs w:val="24"/>
        </w:rPr>
        <w:t xml:space="preserve"> 26,9%</w:t>
      </w:r>
      <w:r w:rsidR="00717D0E" w:rsidRPr="005F720D">
        <w:rPr>
          <w:rFonts w:ascii="Times New Roman" w:hAnsi="Times New Roman"/>
          <w:sz w:val="24"/>
          <w:szCs w:val="24"/>
        </w:rPr>
        <w:t xml:space="preserve">, </w:t>
      </w:r>
      <w:r w:rsidRPr="005F720D">
        <w:rPr>
          <w:rFonts w:ascii="Times New Roman" w:hAnsi="Times New Roman"/>
          <w:sz w:val="24"/>
          <w:szCs w:val="24"/>
        </w:rPr>
        <w:t>што</w:t>
      </w:r>
      <w:r w:rsidR="00717D0E" w:rsidRPr="005F720D">
        <w:rPr>
          <w:rFonts w:ascii="Times New Roman" w:hAnsi="Times New Roman"/>
          <w:sz w:val="24"/>
          <w:szCs w:val="24"/>
        </w:rPr>
        <w:t xml:space="preserve"> </w:t>
      </w:r>
      <w:r w:rsidRPr="005F720D">
        <w:rPr>
          <w:rFonts w:ascii="Times New Roman" w:hAnsi="Times New Roman"/>
          <w:sz w:val="24"/>
          <w:szCs w:val="24"/>
        </w:rPr>
        <w:t>значи</w:t>
      </w:r>
      <w:r w:rsidR="00717D0E" w:rsidRPr="005F720D">
        <w:rPr>
          <w:rFonts w:ascii="Times New Roman" w:hAnsi="Times New Roman"/>
          <w:sz w:val="24"/>
          <w:szCs w:val="24"/>
        </w:rPr>
        <w:t xml:space="preserve"> </w:t>
      </w:r>
      <w:r w:rsidRPr="005F720D">
        <w:rPr>
          <w:rFonts w:ascii="Times New Roman" w:hAnsi="Times New Roman"/>
          <w:sz w:val="24"/>
          <w:szCs w:val="24"/>
        </w:rPr>
        <w:t>да</w:t>
      </w:r>
      <w:r w:rsidR="00717D0E" w:rsidRPr="005F720D">
        <w:rPr>
          <w:rFonts w:ascii="Times New Roman" w:hAnsi="Times New Roman"/>
          <w:sz w:val="24"/>
          <w:szCs w:val="24"/>
        </w:rPr>
        <w:t xml:space="preserve"> </w:t>
      </w:r>
      <w:r w:rsidRPr="005F720D">
        <w:rPr>
          <w:rFonts w:ascii="Times New Roman" w:hAnsi="Times New Roman"/>
          <w:sz w:val="24"/>
          <w:szCs w:val="24"/>
        </w:rPr>
        <w:t>на</w:t>
      </w:r>
      <w:r w:rsidR="00717D0E" w:rsidRPr="005F720D">
        <w:rPr>
          <w:rFonts w:ascii="Times New Roman" w:hAnsi="Times New Roman"/>
          <w:sz w:val="24"/>
          <w:szCs w:val="24"/>
        </w:rPr>
        <w:t xml:space="preserve"> 100 </w:t>
      </w:r>
      <w:r w:rsidRPr="005F720D">
        <w:rPr>
          <w:rFonts w:ascii="Times New Roman" w:hAnsi="Times New Roman"/>
          <w:sz w:val="24"/>
          <w:szCs w:val="24"/>
        </w:rPr>
        <w:t>динара</w:t>
      </w:r>
      <w:r w:rsidR="00717D0E" w:rsidRPr="005F720D">
        <w:rPr>
          <w:rFonts w:ascii="Times New Roman" w:hAnsi="Times New Roman"/>
          <w:sz w:val="24"/>
          <w:szCs w:val="24"/>
        </w:rPr>
        <w:t xml:space="preserve"> </w:t>
      </w:r>
      <w:r w:rsidRPr="005F720D">
        <w:rPr>
          <w:rFonts w:ascii="Times New Roman" w:hAnsi="Times New Roman"/>
          <w:sz w:val="24"/>
          <w:szCs w:val="24"/>
        </w:rPr>
        <w:t>пријављеног</w:t>
      </w:r>
      <w:r w:rsidR="00717D0E" w:rsidRPr="005F720D">
        <w:rPr>
          <w:rFonts w:ascii="Times New Roman" w:hAnsi="Times New Roman"/>
          <w:sz w:val="24"/>
          <w:szCs w:val="24"/>
        </w:rPr>
        <w:t xml:space="preserve"> </w:t>
      </w:r>
      <w:r w:rsidRPr="005F720D">
        <w:rPr>
          <w:rFonts w:ascii="Times New Roman" w:hAnsi="Times New Roman"/>
          <w:sz w:val="24"/>
          <w:szCs w:val="24"/>
        </w:rPr>
        <w:t>дохотка</w:t>
      </w:r>
      <w:r w:rsidR="00717D0E" w:rsidRPr="005F720D">
        <w:rPr>
          <w:rFonts w:ascii="Times New Roman" w:hAnsi="Times New Roman"/>
          <w:sz w:val="24"/>
          <w:szCs w:val="24"/>
        </w:rPr>
        <w:t xml:space="preserve">, </w:t>
      </w:r>
      <w:r w:rsidRPr="005F720D">
        <w:rPr>
          <w:rFonts w:ascii="Times New Roman" w:hAnsi="Times New Roman"/>
          <w:sz w:val="24"/>
          <w:szCs w:val="24"/>
        </w:rPr>
        <w:t>долази</w:t>
      </w:r>
      <w:r w:rsidR="00717D0E" w:rsidRPr="005F720D">
        <w:rPr>
          <w:rFonts w:ascii="Times New Roman" w:hAnsi="Times New Roman"/>
          <w:sz w:val="24"/>
          <w:szCs w:val="24"/>
        </w:rPr>
        <w:t xml:space="preserve"> 26,9 </w:t>
      </w:r>
      <w:r w:rsidRPr="005F720D">
        <w:rPr>
          <w:rFonts w:ascii="Times New Roman" w:hAnsi="Times New Roman"/>
          <w:sz w:val="24"/>
          <w:szCs w:val="24"/>
        </w:rPr>
        <w:t>динара</w:t>
      </w:r>
      <w:r w:rsidR="00717D0E" w:rsidRPr="005F720D">
        <w:rPr>
          <w:rFonts w:ascii="Times New Roman" w:hAnsi="Times New Roman"/>
          <w:sz w:val="24"/>
          <w:szCs w:val="24"/>
        </w:rPr>
        <w:t xml:space="preserve"> </w:t>
      </w:r>
      <w:r w:rsidRPr="005F720D">
        <w:rPr>
          <w:rFonts w:ascii="Times New Roman" w:hAnsi="Times New Roman"/>
          <w:sz w:val="24"/>
          <w:szCs w:val="24"/>
        </w:rPr>
        <w:t>дохотка</w:t>
      </w:r>
      <w:r w:rsidR="00717D0E" w:rsidRPr="005F720D">
        <w:rPr>
          <w:rFonts w:ascii="Times New Roman" w:hAnsi="Times New Roman"/>
          <w:sz w:val="24"/>
          <w:szCs w:val="24"/>
        </w:rPr>
        <w:t xml:space="preserve"> </w:t>
      </w:r>
      <w:r w:rsidRPr="005F720D">
        <w:rPr>
          <w:rFonts w:ascii="Times New Roman" w:hAnsi="Times New Roman"/>
          <w:sz w:val="24"/>
          <w:szCs w:val="24"/>
        </w:rPr>
        <w:t>на</w:t>
      </w:r>
      <w:r w:rsidR="00717D0E" w:rsidRPr="005F720D">
        <w:rPr>
          <w:rFonts w:ascii="Times New Roman" w:hAnsi="Times New Roman"/>
          <w:sz w:val="24"/>
          <w:szCs w:val="24"/>
        </w:rPr>
        <w:t xml:space="preserve"> </w:t>
      </w:r>
      <w:r w:rsidRPr="005F720D">
        <w:rPr>
          <w:rFonts w:ascii="Times New Roman" w:hAnsi="Times New Roman"/>
          <w:sz w:val="24"/>
          <w:szCs w:val="24"/>
        </w:rPr>
        <w:t>који</w:t>
      </w:r>
      <w:r w:rsidR="00717D0E" w:rsidRPr="005F720D">
        <w:rPr>
          <w:rFonts w:ascii="Times New Roman" w:hAnsi="Times New Roman"/>
          <w:sz w:val="24"/>
          <w:szCs w:val="24"/>
        </w:rPr>
        <w:t xml:space="preserve"> </w:t>
      </w:r>
      <w:r w:rsidRPr="005F720D">
        <w:rPr>
          <w:rFonts w:ascii="Times New Roman" w:hAnsi="Times New Roman"/>
          <w:sz w:val="24"/>
          <w:szCs w:val="24"/>
        </w:rPr>
        <w:t>нису</w:t>
      </w:r>
      <w:r w:rsidR="00717D0E" w:rsidRPr="005F720D">
        <w:rPr>
          <w:rFonts w:ascii="Times New Roman" w:hAnsi="Times New Roman"/>
          <w:sz w:val="24"/>
          <w:szCs w:val="24"/>
        </w:rPr>
        <w:t xml:space="preserve"> </w:t>
      </w:r>
      <w:r w:rsidRPr="005F720D">
        <w:rPr>
          <w:rFonts w:ascii="Times New Roman" w:hAnsi="Times New Roman"/>
          <w:sz w:val="24"/>
          <w:szCs w:val="24"/>
        </w:rPr>
        <w:t>плаћени</w:t>
      </w:r>
      <w:r w:rsidR="00717D0E" w:rsidRPr="005F720D">
        <w:rPr>
          <w:rFonts w:ascii="Times New Roman" w:hAnsi="Times New Roman"/>
          <w:sz w:val="24"/>
          <w:szCs w:val="24"/>
        </w:rPr>
        <w:t xml:space="preserve"> </w:t>
      </w:r>
      <w:r w:rsidRPr="005F720D">
        <w:rPr>
          <w:rFonts w:ascii="Times New Roman" w:hAnsi="Times New Roman"/>
          <w:sz w:val="24"/>
          <w:szCs w:val="24"/>
        </w:rPr>
        <w:t>порези</w:t>
      </w:r>
      <w:r w:rsidR="00717D0E" w:rsidRPr="005F720D">
        <w:rPr>
          <w:rFonts w:ascii="Times New Roman" w:hAnsi="Times New Roman"/>
          <w:sz w:val="24"/>
          <w:szCs w:val="24"/>
        </w:rPr>
        <w:t xml:space="preserve"> </w:t>
      </w:r>
      <w:r w:rsidRPr="005F720D">
        <w:rPr>
          <w:rFonts w:ascii="Times New Roman" w:hAnsi="Times New Roman"/>
          <w:sz w:val="24"/>
          <w:szCs w:val="24"/>
        </w:rPr>
        <w:t>и</w:t>
      </w:r>
      <w:r w:rsidR="00717D0E" w:rsidRPr="005F720D">
        <w:rPr>
          <w:rFonts w:ascii="Times New Roman" w:hAnsi="Times New Roman"/>
          <w:sz w:val="24"/>
          <w:szCs w:val="24"/>
        </w:rPr>
        <w:t xml:space="preserve"> </w:t>
      </w:r>
      <w:r w:rsidRPr="005F720D">
        <w:rPr>
          <w:rFonts w:ascii="Times New Roman" w:hAnsi="Times New Roman"/>
          <w:sz w:val="24"/>
          <w:szCs w:val="24"/>
        </w:rPr>
        <w:t>доприноси</w:t>
      </w:r>
      <w:r w:rsidR="00717D0E" w:rsidRPr="005F720D">
        <w:rPr>
          <w:rFonts w:ascii="Times New Roman" w:hAnsi="Times New Roman"/>
          <w:sz w:val="24"/>
          <w:szCs w:val="24"/>
        </w:rPr>
        <w:t xml:space="preserve">. </w:t>
      </w:r>
      <w:r w:rsidRPr="005F720D">
        <w:rPr>
          <w:rFonts w:ascii="Times New Roman" w:hAnsi="Times New Roman"/>
          <w:sz w:val="24"/>
          <w:szCs w:val="24"/>
        </w:rPr>
        <w:t>Резултати</w:t>
      </w:r>
      <w:r w:rsidR="00717D0E" w:rsidRPr="005F720D">
        <w:rPr>
          <w:rFonts w:ascii="Times New Roman" w:hAnsi="Times New Roman"/>
          <w:sz w:val="24"/>
          <w:szCs w:val="24"/>
        </w:rPr>
        <w:t xml:space="preserve"> </w:t>
      </w:r>
      <w:r w:rsidRPr="005F720D">
        <w:rPr>
          <w:rFonts w:ascii="Times New Roman" w:hAnsi="Times New Roman"/>
          <w:sz w:val="24"/>
          <w:szCs w:val="24"/>
        </w:rPr>
        <w:t>такође</w:t>
      </w:r>
      <w:r w:rsidR="00717D0E" w:rsidRPr="005F720D">
        <w:rPr>
          <w:rFonts w:ascii="Times New Roman" w:hAnsi="Times New Roman"/>
          <w:sz w:val="24"/>
          <w:szCs w:val="24"/>
        </w:rPr>
        <w:t xml:space="preserve"> </w:t>
      </w:r>
      <w:r w:rsidRPr="005F720D">
        <w:rPr>
          <w:rFonts w:ascii="Times New Roman" w:hAnsi="Times New Roman"/>
          <w:sz w:val="24"/>
          <w:szCs w:val="24"/>
        </w:rPr>
        <w:t>показују</w:t>
      </w:r>
      <w:r w:rsidR="00717D0E" w:rsidRPr="005F720D">
        <w:rPr>
          <w:rFonts w:ascii="Times New Roman" w:hAnsi="Times New Roman"/>
          <w:sz w:val="24"/>
          <w:szCs w:val="24"/>
        </w:rPr>
        <w:t xml:space="preserve"> </w:t>
      </w:r>
      <w:r w:rsidRPr="005F720D">
        <w:rPr>
          <w:rFonts w:ascii="Times New Roman" w:hAnsi="Times New Roman"/>
          <w:sz w:val="24"/>
          <w:szCs w:val="24"/>
        </w:rPr>
        <w:t>да</w:t>
      </w:r>
      <w:r w:rsidR="00717D0E" w:rsidRPr="005F720D">
        <w:rPr>
          <w:rFonts w:ascii="Times New Roman" w:hAnsi="Times New Roman"/>
          <w:sz w:val="24"/>
          <w:szCs w:val="24"/>
        </w:rPr>
        <w:t xml:space="preserve"> </w:t>
      </w:r>
      <w:r w:rsidRPr="005F720D">
        <w:rPr>
          <w:rFonts w:ascii="Times New Roman" w:hAnsi="Times New Roman"/>
          <w:sz w:val="24"/>
          <w:szCs w:val="24"/>
        </w:rPr>
        <w:t>око</w:t>
      </w:r>
      <w:r w:rsidR="00717D0E" w:rsidRPr="005F720D">
        <w:rPr>
          <w:rFonts w:ascii="Times New Roman" w:hAnsi="Times New Roman"/>
          <w:sz w:val="24"/>
          <w:szCs w:val="24"/>
        </w:rPr>
        <w:t xml:space="preserve"> 25,6% </w:t>
      </w:r>
      <w:r w:rsidRPr="005F720D">
        <w:rPr>
          <w:rFonts w:ascii="Times New Roman" w:hAnsi="Times New Roman"/>
          <w:sz w:val="24"/>
          <w:szCs w:val="24"/>
        </w:rPr>
        <w:t>укупног</w:t>
      </w:r>
      <w:r w:rsidR="00717D0E" w:rsidRPr="005F720D">
        <w:rPr>
          <w:rFonts w:ascii="Times New Roman" w:hAnsi="Times New Roman"/>
          <w:sz w:val="24"/>
          <w:szCs w:val="24"/>
        </w:rPr>
        <w:t xml:space="preserve"> </w:t>
      </w:r>
      <w:r w:rsidRPr="005F720D">
        <w:rPr>
          <w:rFonts w:ascii="Times New Roman" w:hAnsi="Times New Roman"/>
          <w:sz w:val="24"/>
          <w:szCs w:val="24"/>
        </w:rPr>
        <w:t>броја</w:t>
      </w:r>
      <w:r w:rsidR="00717D0E" w:rsidRPr="005F720D">
        <w:rPr>
          <w:rFonts w:ascii="Times New Roman" w:hAnsi="Times New Roman"/>
          <w:sz w:val="24"/>
          <w:szCs w:val="24"/>
        </w:rPr>
        <w:t xml:space="preserve"> </w:t>
      </w:r>
      <w:r w:rsidRPr="005F720D">
        <w:rPr>
          <w:rFonts w:ascii="Times New Roman" w:hAnsi="Times New Roman"/>
          <w:sz w:val="24"/>
          <w:szCs w:val="24"/>
        </w:rPr>
        <w:t>пореских</w:t>
      </w:r>
      <w:r w:rsidR="00717D0E" w:rsidRPr="005F720D">
        <w:rPr>
          <w:rFonts w:ascii="Times New Roman" w:hAnsi="Times New Roman"/>
          <w:sz w:val="24"/>
          <w:szCs w:val="24"/>
        </w:rPr>
        <w:t xml:space="preserve"> </w:t>
      </w:r>
      <w:r w:rsidRPr="005F720D">
        <w:rPr>
          <w:rFonts w:ascii="Times New Roman" w:hAnsi="Times New Roman"/>
          <w:sz w:val="24"/>
          <w:szCs w:val="24"/>
        </w:rPr>
        <w:t>обвезника</w:t>
      </w:r>
      <w:r w:rsidR="00717D0E" w:rsidRPr="005F720D">
        <w:rPr>
          <w:rFonts w:ascii="Times New Roman" w:hAnsi="Times New Roman"/>
          <w:sz w:val="24"/>
          <w:szCs w:val="24"/>
        </w:rPr>
        <w:t xml:space="preserve"> </w:t>
      </w:r>
      <w:r w:rsidRPr="005F720D">
        <w:rPr>
          <w:rFonts w:ascii="Times New Roman" w:hAnsi="Times New Roman"/>
          <w:sz w:val="24"/>
          <w:szCs w:val="24"/>
        </w:rPr>
        <w:t>остварује</w:t>
      </w:r>
      <w:r w:rsidR="00717D0E" w:rsidRPr="005F720D">
        <w:rPr>
          <w:rFonts w:ascii="Times New Roman" w:hAnsi="Times New Roman"/>
          <w:sz w:val="24"/>
          <w:szCs w:val="24"/>
        </w:rPr>
        <w:t xml:space="preserve"> </w:t>
      </w:r>
      <w:r w:rsidRPr="005F720D">
        <w:rPr>
          <w:rFonts w:ascii="Times New Roman" w:hAnsi="Times New Roman"/>
          <w:sz w:val="24"/>
          <w:szCs w:val="24"/>
        </w:rPr>
        <w:t>доходак</w:t>
      </w:r>
      <w:r w:rsidR="00717D0E" w:rsidRPr="005F720D">
        <w:rPr>
          <w:rFonts w:ascii="Times New Roman" w:hAnsi="Times New Roman"/>
          <w:sz w:val="24"/>
          <w:szCs w:val="24"/>
        </w:rPr>
        <w:t xml:space="preserve"> </w:t>
      </w:r>
      <w:r w:rsidRPr="005F720D">
        <w:rPr>
          <w:rFonts w:ascii="Times New Roman" w:hAnsi="Times New Roman"/>
          <w:sz w:val="24"/>
          <w:szCs w:val="24"/>
        </w:rPr>
        <w:t>који</w:t>
      </w:r>
      <w:r w:rsidR="00717D0E" w:rsidRPr="005F720D">
        <w:rPr>
          <w:rFonts w:ascii="Times New Roman" w:hAnsi="Times New Roman"/>
          <w:sz w:val="24"/>
          <w:szCs w:val="24"/>
        </w:rPr>
        <w:t xml:space="preserve"> </w:t>
      </w:r>
      <w:r w:rsidRPr="005F720D">
        <w:rPr>
          <w:rFonts w:ascii="Times New Roman" w:hAnsi="Times New Roman"/>
          <w:sz w:val="24"/>
          <w:szCs w:val="24"/>
        </w:rPr>
        <w:t>је</w:t>
      </w:r>
      <w:r w:rsidR="00717D0E" w:rsidRPr="005F720D">
        <w:rPr>
          <w:rFonts w:ascii="Times New Roman" w:hAnsi="Times New Roman"/>
          <w:sz w:val="24"/>
          <w:szCs w:val="24"/>
        </w:rPr>
        <w:t xml:space="preserve"> </w:t>
      </w:r>
      <w:r w:rsidRPr="005F720D">
        <w:rPr>
          <w:rFonts w:ascii="Times New Roman" w:hAnsi="Times New Roman"/>
          <w:sz w:val="24"/>
          <w:szCs w:val="24"/>
        </w:rPr>
        <w:t>већи</w:t>
      </w:r>
      <w:r w:rsidR="00717D0E" w:rsidRPr="005F720D">
        <w:rPr>
          <w:rFonts w:ascii="Times New Roman" w:hAnsi="Times New Roman"/>
          <w:sz w:val="24"/>
          <w:szCs w:val="24"/>
        </w:rPr>
        <w:t xml:space="preserve"> </w:t>
      </w:r>
      <w:r w:rsidRPr="005F720D">
        <w:rPr>
          <w:rFonts w:ascii="Times New Roman" w:hAnsi="Times New Roman"/>
          <w:sz w:val="24"/>
          <w:szCs w:val="24"/>
        </w:rPr>
        <w:t>од</w:t>
      </w:r>
      <w:r w:rsidR="00717D0E" w:rsidRPr="005F720D">
        <w:rPr>
          <w:rFonts w:ascii="Times New Roman" w:hAnsi="Times New Roman"/>
          <w:sz w:val="24"/>
          <w:szCs w:val="24"/>
        </w:rPr>
        <w:t xml:space="preserve"> </w:t>
      </w:r>
      <w:r w:rsidRPr="005F720D">
        <w:rPr>
          <w:rFonts w:ascii="Times New Roman" w:hAnsi="Times New Roman"/>
          <w:sz w:val="24"/>
          <w:szCs w:val="24"/>
        </w:rPr>
        <w:t>пријављеног</w:t>
      </w:r>
      <w:r w:rsidR="00717D0E" w:rsidRPr="005F720D">
        <w:rPr>
          <w:rFonts w:ascii="Times New Roman" w:hAnsi="Times New Roman"/>
          <w:sz w:val="24"/>
          <w:szCs w:val="24"/>
        </w:rPr>
        <w:t xml:space="preserve">. </w:t>
      </w:r>
      <w:r w:rsidRPr="005F720D">
        <w:rPr>
          <w:rFonts w:ascii="Times New Roman" w:hAnsi="Times New Roman"/>
          <w:sz w:val="24"/>
          <w:szCs w:val="24"/>
        </w:rPr>
        <w:t>Дате</w:t>
      </w:r>
      <w:r w:rsidR="00717D0E" w:rsidRPr="005F720D">
        <w:rPr>
          <w:rFonts w:ascii="Times New Roman" w:hAnsi="Times New Roman"/>
          <w:sz w:val="24"/>
          <w:szCs w:val="24"/>
        </w:rPr>
        <w:t xml:space="preserve"> </w:t>
      </w:r>
      <w:r w:rsidRPr="005F720D">
        <w:rPr>
          <w:rFonts w:ascii="Times New Roman" w:hAnsi="Times New Roman"/>
          <w:sz w:val="24"/>
          <w:szCs w:val="24"/>
        </w:rPr>
        <w:t>резултате</w:t>
      </w:r>
      <w:r w:rsidR="00717D0E" w:rsidRPr="005F720D">
        <w:rPr>
          <w:rFonts w:ascii="Times New Roman" w:hAnsi="Times New Roman"/>
          <w:sz w:val="24"/>
          <w:szCs w:val="24"/>
        </w:rPr>
        <w:t xml:space="preserve"> </w:t>
      </w:r>
      <w:r w:rsidRPr="005F720D">
        <w:rPr>
          <w:rFonts w:ascii="Times New Roman" w:hAnsi="Times New Roman"/>
          <w:sz w:val="24"/>
          <w:szCs w:val="24"/>
        </w:rPr>
        <w:t>треба</w:t>
      </w:r>
      <w:r w:rsidR="00717D0E" w:rsidRPr="005F720D">
        <w:rPr>
          <w:rFonts w:ascii="Times New Roman" w:hAnsi="Times New Roman"/>
          <w:sz w:val="24"/>
          <w:szCs w:val="24"/>
        </w:rPr>
        <w:t xml:space="preserve"> </w:t>
      </w:r>
      <w:r w:rsidRPr="005F720D">
        <w:rPr>
          <w:rFonts w:ascii="Times New Roman" w:hAnsi="Times New Roman"/>
          <w:sz w:val="24"/>
          <w:szCs w:val="24"/>
        </w:rPr>
        <w:t>тумачити</w:t>
      </w:r>
      <w:r w:rsidR="00717D0E" w:rsidRPr="005F720D">
        <w:rPr>
          <w:rFonts w:ascii="Times New Roman" w:hAnsi="Times New Roman"/>
          <w:sz w:val="24"/>
          <w:szCs w:val="24"/>
        </w:rPr>
        <w:t xml:space="preserve"> </w:t>
      </w:r>
      <w:r w:rsidRPr="005F720D">
        <w:rPr>
          <w:rFonts w:ascii="Times New Roman" w:hAnsi="Times New Roman"/>
          <w:sz w:val="24"/>
          <w:szCs w:val="24"/>
        </w:rPr>
        <w:t>као</w:t>
      </w:r>
      <w:r w:rsidR="00717D0E" w:rsidRPr="005F720D">
        <w:rPr>
          <w:rFonts w:ascii="Times New Roman" w:hAnsi="Times New Roman"/>
          <w:sz w:val="24"/>
          <w:szCs w:val="24"/>
        </w:rPr>
        <w:t xml:space="preserve"> </w:t>
      </w:r>
      <w:r w:rsidRPr="005F720D">
        <w:rPr>
          <w:rFonts w:ascii="Times New Roman" w:hAnsi="Times New Roman"/>
          <w:sz w:val="24"/>
          <w:szCs w:val="24"/>
        </w:rPr>
        <w:t>апроксимацију</w:t>
      </w:r>
      <w:r w:rsidR="00717D0E" w:rsidRPr="005F720D">
        <w:rPr>
          <w:rFonts w:ascii="Times New Roman" w:hAnsi="Times New Roman"/>
          <w:sz w:val="24"/>
          <w:szCs w:val="24"/>
        </w:rPr>
        <w:t xml:space="preserve"> </w:t>
      </w:r>
      <w:r w:rsidRPr="005F720D">
        <w:rPr>
          <w:rFonts w:ascii="Times New Roman" w:hAnsi="Times New Roman"/>
          <w:sz w:val="24"/>
          <w:szCs w:val="24"/>
        </w:rPr>
        <w:t>нивоа</w:t>
      </w:r>
      <w:r w:rsidR="00717D0E" w:rsidRPr="005F720D">
        <w:rPr>
          <w:rFonts w:ascii="Times New Roman" w:hAnsi="Times New Roman"/>
          <w:sz w:val="24"/>
          <w:szCs w:val="24"/>
        </w:rPr>
        <w:t xml:space="preserve"> </w:t>
      </w:r>
      <w:r w:rsidRPr="005F720D">
        <w:rPr>
          <w:rFonts w:ascii="Times New Roman" w:hAnsi="Times New Roman"/>
          <w:sz w:val="24"/>
          <w:szCs w:val="24"/>
        </w:rPr>
        <w:t>евазије</w:t>
      </w:r>
      <w:r w:rsidR="00717D0E" w:rsidRPr="005F720D">
        <w:rPr>
          <w:rFonts w:ascii="Times New Roman" w:hAnsi="Times New Roman"/>
          <w:sz w:val="24"/>
          <w:szCs w:val="24"/>
        </w:rPr>
        <w:t xml:space="preserve"> </w:t>
      </w:r>
      <w:r w:rsidRPr="005F720D">
        <w:rPr>
          <w:rFonts w:ascii="Times New Roman" w:hAnsi="Times New Roman"/>
          <w:sz w:val="24"/>
          <w:szCs w:val="24"/>
        </w:rPr>
        <w:t>пореза</w:t>
      </w:r>
      <w:r w:rsidR="00717D0E" w:rsidRPr="005F720D">
        <w:rPr>
          <w:rFonts w:ascii="Times New Roman" w:hAnsi="Times New Roman"/>
          <w:sz w:val="24"/>
          <w:szCs w:val="24"/>
        </w:rPr>
        <w:t xml:space="preserve">, </w:t>
      </w:r>
      <w:r w:rsidRPr="005F720D">
        <w:rPr>
          <w:rFonts w:ascii="Times New Roman" w:hAnsi="Times New Roman"/>
          <w:sz w:val="24"/>
          <w:szCs w:val="24"/>
        </w:rPr>
        <w:t>због</w:t>
      </w:r>
      <w:r w:rsidR="00717D0E" w:rsidRPr="005F720D">
        <w:rPr>
          <w:rFonts w:ascii="Times New Roman" w:hAnsi="Times New Roman"/>
          <w:sz w:val="24"/>
          <w:szCs w:val="24"/>
        </w:rPr>
        <w:t xml:space="preserve"> </w:t>
      </w:r>
      <w:r w:rsidRPr="005F720D">
        <w:rPr>
          <w:rFonts w:ascii="Times New Roman" w:hAnsi="Times New Roman"/>
          <w:sz w:val="24"/>
          <w:szCs w:val="24"/>
        </w:rPr>
        <w:t>недостатака</w:t>
      </w:r>
      <w:r w:rsidR="00DF440C" w:rsidRPr="005F720D">
        <w:rPr>
          <w:rFonts w:ascii="Times New Roman" w:hAnsi="Times New Roman"/>
          <w:sz w:val="24"/>
          <w:szCs w:val="24"/>
        </w:rPr>
        <w:t xml:space="preserve"> </w:t>
      </w:r>
      <w:r w:rsidRPr="005F720D">
        <w:rPr>
          <w:rFonts w:ascii="Times New Roman" w:hAnsi="Times New Roman"/>
          <w:sz w:val="24"/>
          <w:szCs w:val="24"/>
        </w:rPr>
        <w:t>инхерентних</w:t>
      </w:r>
      <w:r w:rsidR="00DF440C" w:rsidRPr="005F720D">
        <w:rPr>
          <w:rFonts w:ascii="Times New Roman" w:hAnsi="Times New Roman"/>
          <w:sz w:val="24"/>
          <w:szCs w:val="24"/>
        </w:rPr>
        <w:t xml:space="preserve"> </w:t>
      </w:r>
      <w:r w:rsidRPr="005F720D">
        <w:rPr>
          <w:rFonts w:ascii="Times New Roman" w:hAnsi="Times New Roman"/>
          <w:sz w:val="24"/>
          <w:szCs w:val="24"/>
        </w:rPr>
        <w:t>анкета</w:t>
      </w:r>
      <w:r w:rsidR="00717D0E" w:rsidRPr="005F720D">
        <w:rPr>
          <w:rFonts w:ascii="Times New Roman" w:hAnsi="Times New Roman"/>
          <w:sz w:val="24"/>
          <w:szCs w:val="24"/>
        </w:rPr>
        <w:t xml:space="preserve">, </w:t>
      </w:r>
      <w:r w:rsidRPr="005F720D">
        <w:rPr>
          <w:rFonts w:ascii="Times New Roman" w:hAnsi="Times New Roman"/>
          <w:sz w:val="24"/>
          <w:szCs w:val="24"/>
        </w:rPr>
        <w:t>као</w:t>
      </w:r>
      <w:r w:rsidR="00717D0E" w:rsidRPr="005F720D">
        <w:rPr>
          <w:rFonts w:ascii="Times New Roman" w:hAnsi="Times New Roman"/>
          <w:sz w:val="24"/>
          <w:szCs w:val="24"/>
        </w:rPr>
        <w:t xml:space="preserve"> </w:t>
      </w:r>
      <w:r w:rsidRPr="005F720D">
        <w:rPr>
          <w:rFonts w:ascii="Times New Roman" w:hAnsi="Times New Roman"/>
          <w:sz w:val="24"/>
          <w:szCs w:val="24"/>
        </w:rPr>
        <w:t>извору</w:t>
      </w:r>
      <w:r w:rsidR="00717D0E" w:rsidRPr="005F720D">
        <w:rPr>
          <w:rFonts w:ascii="Times New Roman" w:hAnsi="Times New Roman"/>
          <w:sz w:val="24"/>
          <w:szCs w:val="24"/>
        </w:rPr>
        <w:t xml:space="preserve"> </w:t>
      </w:r>
      <w:r w:rsidRPr="005F720D">
        <w:rPr>
          <w:rFonts w:ascii="Times New Roman" w:hAnsi="Times New Roman"/>
          <w:sz w:val="24"/>
          <w:szCs w:val="24"/>
        </w:rPr>
        <w:t>података</w:t>
      </w:r>
      <w:r w:rsidR="00717D0E" w:rsidRPr="005F720D">
        <w:rPr>
          <w:rFonts w:ascii="Times New Roman" w:hAnsi="Times New Roman"/>
          <w:sz w:val="24"/>
          <w:szCs w:val="24"/>
        </w:rPr>
        <w:t xml:space="preserve">, </w:t>
      </w:r>
      <w:r w:rsidRPr="005F720D">
        <w:rPr>
          <w:rFonts w:ascii="Times New Roman" w:hAnsi="Times New Roman"/>
          <w:sz w:val="24"/>
          <w:szCs w:val="24"/>
        </w:rPr>
        <w:t>тј</w:t>
      </w:r>
      <w:r w:rsidR="00717D0E" w:rsidRPr="005F720D">
        <w:rPr>
          <w:rFonts w:ascii="Times New Roman" w:hAnsi="Times New Roman"/>
          <w:sz w:val="24"/>
          <w:szCs w:val="24"/>
        </w:rPr>
        <w:t xml:space="preserve">. </w:t>
      </w:r>
      <w:r w:rsidRPr="005F720D">
        <w:rPr>
          <w:rFonts w:ascii="Times New Roman" w:hAnsi="Times New Roman"/>
          <w:sz w:val="24"/>
          <w:szCs w:val="24"/>
        </w:rPr>
        <w:t>склоности</w:t>
      </w:r>
      <w:r w:rsidR="00717D0E" w:rsidRPr="005F720D">
        <w:rPr>
          <w:rFonts w:ascii="Times New Roman" w:hAnsi="Times New Roman"/>
          <w:sz w:val="24"/>
          <w:szCs w:val="24"/>
        </w:rPr>
        <w:t xml:space="preserve"> </w:t>
      </w:r>
      <w:r w:rsidRPr="005F720D">
        <w:rPr>
          <w:rFonts w:ascii="Times New Roman" w:hAnsi="Times New Roman"/>
          <w:sz w:val="24"/>
          <w:szCs w:val="24"/>
        </w:rPr>
        <w:t>анкетираних</w:t>
      </w:r>
      <w:r w:rsidR="00717D0E" w:rsidRPr="005F720D">
        <w:rPr>
          <w:rFonts w:ascii="Times New Roman" w:hAnsi="Times New Roman"/>
          <w:sz w:val="24"/>
          <w:szCs w:val="24"/>
        </w:rPr>
        <w:t xml:space="preserve"> </w:t>
      </w:r>
      <w:r w:rsidRPr="005F720D">
        <w:rPr>
          <w:rFonts w:ascii="Times New Roman" w:hAnsi="Times New Roman"/>
          <w:sz w:val="24"/>
          <w:szCs w:val="24"/>
        </w:rPr>
        <w:t>да</w:t>
      </w:r>
      <w:r w:rsidR="00717D0E" w:rsidRPr="005F720D">
        <w:rPr>
          <w:rFonts w:ascii="Times New Roman" w:hAnsi="Times New Roman"/>
          <w:sz w:val="24"/>
          <w:szCs w:val="24"/>
        </w:rPr>
        <w:t xml:space="preserve"> </w:t>
      </w:r>
      <w:r w:rsidRPr="005F720D">
        <w:rPr>
          <w:rFonts w:ascii="Times New Roman" w:hAnsi="Times New Roman"/>
          <w:sz w:val="24"/>
          <w:szCs w:val="24"/>
        </w:rPr>
        <w:t>потцене</w:t>
      </w:r>
      <w:r w:rsidR="00717D0E" w:rsidRPr="005F720D">
        <w:rPr>
          <w:rFonts w:ascii="Times New Roman" w:hAnsi="Times New Roman"/>
          <w:sz w:val="24"/>
          <w:szCs w:val="24"/>
        </w:rPr>
        <w:t xml:space="preserve"> </w:t>
      </w:r>
      <w:r w:rsidRPr="005F720D">
        <w:rPr>
          <w:rFonts w:ascii="Times New Roman" w:hAnsi="Times New Roman"/>
          <w:sz w:val="24"/>
          <w:szCs w:val="24"/>
        </w:rPr>
        <w:t>износ</w:t>
      </w:r>
      <w:r w:rsidR="00717D0E" w:rsidRPr="005F720D">
        <w:rPr>
          <w:rFonts w:ascii="Times New Roman" w:hAnsi="Times New Roman"/>
          <w:sz w:val="24"/>
          <w:szCs w:val="24"/>
        </w:rPr>
        <w:t xml:space="preserve"> </w:t>
      </w:r>
      <w:r w:rsidRPr="005F720D">
        <w:rPr>
          <w:rFonts w:ascii="Times New Roman" w:hAnsi="Times New Roman"/>
          <w:sz w:val="24"/>
          <w:szCs w:val="24"/>
        </w:rPr>
        <w:t>свог</w:t>
      </w:r>
      <w:r w:rsidR="00717D0E" w:rsidRPr="005F720D">
        <w:rPr>
          <w:rFonts w:ascii="Times New Roman" w:hAnsi="Times New Roman"/>
          <w:sz w:val="24"/>
          <w:szCs w:val="24"/>
        </w:rPr>
        <w:t xml:space="preserve"> </w:t>
      </w:r>
      <w:r w:rsidRPr="005F720D">
        <w:rPr>
          <w:rFonts w:ascii="Times New Roman" w:hAnsi="Times New Roman"/>
          <w:sz w:val="24"/>
          <w:szCs w:val="24"/>
        </w:rPr>
        <w:t>стварног</w:t>
      </w:r>
      <w:r w:rsidR="00717D0E" w:rsidRPr="005F720D">
        <w:rPr>
          <w:rFonts w:ascii="Times New Roman" w:hAnsi="Times New Roman"/>
          <w:sz w:val="24"/>
          <w:szCs w:val="24"/>
        </w:rPr>
        <w:t xml:space="preserve"> </w:t>
      </w:r>
      <w:r w:rsidRPr="005F720D">
        <w:rPr>
          <w:rFonts w:ascii="Times New Roman" w:hAnsi="Times New Roman"/>
          <w:sz w:val="24"/>
          <w:szCs w:val="24"/>
        </w:rPr>
        <w:t>дохотка</w:t>
      </w:r>
      <w:r w:rsidR="00717D0E" w:rsidRPr="005F720D">
        <w:rPr>
          <w:rFonts w:ascii="Times New Roman" w:hAnsi="Times New Roman"/>
          <w:sz w:val="24"/>
          <w:szCs w:val="24"/>
        </w:rPr>
        <w:t xml:space="preserve">. </w:t>
      </w:r>
      <w:r w:rsidRPr="005F720D">
        <w:rPr>
          <w:rFonts w:ascii="Times New Roman" w:hAnsi="Times New Roman"/>
          <w:sz w:val="24"/>
          <w:szCs w:val="24"/>
        </w:rPr>
        <w:t>Осим</w:t>
      </w:r>
      <w:r w:rsidR="00717D0E" w:rsidRPr="005F720D">
        <w:rPr>
          <w:rFonts w:ascii="Times New Roman" w:hAnsi="Times New Roman"/>
          <w:sz w:val="24"/>
          <w:szCs w:val="24"/>
        </w:rPr>
        <w:t xml:space="preserve"> </w:t>
      </w:r>
      <w:r w:rsidRPr="005F720D">
        <w:rPr>
          <w:rFonts w:ascii="Times New Roman" w:hAnsi="Times New Roman"/>
          <w:sz w:val="24"/>
          <w:szCs w:val="24"/>
        </w:rPr>
        <w:t>тога</w:t>
      </w:r>
      <w:r w:rsidR="00717D0E" w:rsidRPr="005F720D">
        <w:rPr>
          <w:rFonts w:ascii="Times New Roman" w:hAnsi="Times New Roman"/>
          <w:sz w:val="24"/>
          <w:szCs w:val="24"/>
        </w:rPr>
        <w:t xml:space="preserve">, </w:t>
      </w:r>
      <w:r w:rsidRPr="005F720D">
        <w:rPr>
          <w:rFonts w:ascii="Times New Roman" w:hAnsi="Times New Roman"/>
          <w:sz w:val="24"/>
          <w:szCs w:val="24"/>
        </w:rPr>
        <w:t>процењује</w:t>
      </w:r>
      <w:r w:rsidR="00717D0E" w:rsidRPr="005F720D">
        <w:rPr>
          <w:rFonts w:ascii="Times New Roman" w:hAnsi="Times New Roman"/>
          <w:sz w:val="24"/>
          <w:szCs w:val="24"/>
        </w:rPr>
        <w:t xml:space="preserve"> </w:t>
      </w:r>
      <w:r w:rsidRPr="005F720D">
        <w:rPr>
          <w:rFonts w:ascii="Times New Roman" w:hAnsi="Times New Roman"/>
          <w:sz w:val="24"/>
          <w:szCs w:val="24"/>
        </w:rPr>
        <w:t>се</w:t>
      </w:r>
      <w:r w:rsidR="00717D0E" w:rsidRPr="005F720D">
        <w:rPr>
          <w:rFonts w:ascii="Times New Roman" w:hAnsi="Times New Roman"/>
          <w:sz w:val="24"/>
          <w:szCs w:val="24"/>
        </w:rPr>
        <w:t xml:space="preserve"> </w:t>
      </w:r>
      <w:r w:rsidRPr="005F720D">
        <w:rPr>
          <w:rFonts w:ascii="Times New Roman" w:hAnsi="Times New Roman"/>
          <w:sz w:val="24"/>
          <w:szCs w:val="24"/>
        </w:rPr>
        <w:t>да</w:t>
      </w:r>
      <w:r w:rsidR="00717D0E" w:rsidRPr="005F720D">
        <w:rPr>
          <w:rFonts w:ascii="Times New Roman" w:hAnsi="Times New Roman"/>
          <w:sz w:val="24"/>
          <w:szCs w:val="24"/>
        </w:rPr>
        <w:t xml:space="preserve"> </w:t>
      </w:r>
      <w:r w:rsidRPr="005F720D">
        <w:rPr>
          <w:rFonts w:ascii="Times New Roman" w:hAnsi="Times New Roman"/>
          <w:sz w:val="24"/>
          <w:szCs w:val="24"/>
        </w:rPr>
        <w:t>је</w:t>
      </w:r>
      <w:r w:rsidR="00717D0E" w:rsidRPr="005F720D">
        <w:rPr>
          <w:rFonts w:ascii="Times New Roman" w:hAnsi="Times New Roman"/>
          <w:sz w:val="24"/>
          <w:szCs w:val="24"/>
        </w:rPr>
        <w:t xml:space="preserve"> </w:t>
      </w:r>
      <w:r w:rsidRPr="005F720D">
        <w:rPr>
          <w:rFonts w:ascii="Times New Roman" w:hAnsi="Times New Roman"/>
          <w:sz w:val="24"/>
          <w:szCs w:val="24"/>
        </w:rPr>
        <w:t>у</w:t>
      </w:r>
      <w:r w:rsidR="00717D0E" w:rsidRPr="005F720D">
        <w:rPr>
          <w:rFonts w:ascii="Times New Roman" w:hAnsi="Times New Roman"/>
          <w:sz w:val="24"/>
          <w:szCs w:val="24"/>
        </w:rPr>
        <w:t xml:space="preserve"> </w:t>
      </w:r>
      <w:r w:rsidRPr="005F720D">
        <w:rPr>
          <w:rFonts w:ascii="Times New Roman" w:hAnsi="Times New Roman"/>
          <w:sz w:val="24"/>
          <w:szCs w:val="24"/>
        </w:rPr>
        <w:t>условима</w:t>
      </w:r>
      <w:r w:rsidR="00717D0E" w:rsidRPr="005F720D">
        <w:rPr>
          <w:rFonts w:ascii="Times New Roman" w:hAnsi="Times New Roman"/>
          <w:sz w:val="24"/>
          <w:szCs w:val="24"/>
        </w:rPr>
        <w:t xml:space="preserve"> </w:t>
      </w:r>
      <w:r w:rsidRPr="005F720D">
        <w:rPr>
          <w:rFonts w:ascii="Times New Roman" w:hAnsi="Times New Roman"/>
          <w:sz w:val="24"/>
          <w:szCs w:val="24"/>
        </w:rPr>
        <w:t>кризе</w:t>
      </w:r>
      <w:r w:rsidR="00717D0E" w:rsidRPr="005F720D">
        <w:rPr>
          <w:rFonts w:ascii="Times New Roman" w:hAnsi="Times New Roman"/>
          <w:sz w:val="24"/>
          <w:szCs w:val="24"/>
        </w:rPr>
        <w:t xml:space="preserve"> </w:t>
      </w:r>
      <w:r w:rsidRPr="005F720D">
        <w:rPr>
          <w:rFonts w:ascii="Times New Roman" w:hAnsi="Times New Roman"/>
          <w:sz w:val="24"/>
          <w:szCs w:val="24"/>
        </w:rPr>
        <w:t>један</w:t>
      </w:r>
      <w:r w:rsidR="00717D0E" w:rsidRPr="005F720D">
        <w:rPr>
          <w:rFonts w:ascii="Times New Roman" w:hAnsi="Times New Roman"/>
          <w:sz w:val="24"/>
          <w:szCs w:val="24"/>
        </w:rPr>
        <w:t xml:space="preserve"> </w:t>
      </w:r>
      <w:r w:rsidRPr="005F720D">
        <w:rPr>
          <w:rFonts w:ascii="Times New Roman" w:hAnsi="Times New Roman"/>
          <w:sz w:val="24"/>
          <w:szCs w:val="24"/>
        </w:rPr>
        <w:t>део</w:t>
      </w:r>
      <w:r w:rsidR="00717D0E" w:rsidRPr="005F720D">
        <w:rPr>
          <w:rFonts w:ascii="Times New Roman" w:hAnsi="Times New Roman"/>
          <w:sz w:val="24"/>
          <w:szCs w:val="24"/>
        </w:rPr>
        <w:t xml:space="preserve"> </w:t>
      </w:r>
      <w:r w:rsidRPr="005F720D">
        <w:rPr>
          <w:rFonts w:ascii="Times New Roman" w:hAnsi="Times New Roman"/>
          <w:sz w:val="24"/>
          <w:szCs w:val="24"/>
        </w:rPr>
        <w:t>привредне</w:t>
      </w:r>
      <w:r w:rsidR="00717D0E" w:rsidRPr="005F720D">
        <w:rPr>
          <w:rFonts w:ascii="Times New Roman" w:hAnsi="Times New Roman"/>
          <w:sz w:val="24"/>
          <w:szCs w:val="24"/>
        </w:rPr>
        <w:t xml:space="preserve"> </w:t>
      </w:r>
      <w:r w:rsidRPr="005F720D">
        <w:rPr>
          <w:rFonts w:ascii="Times New Roman" w:hAnsi="Times New Roman"/>
          <w:sz w:val="24"/>
          <w:szCs w:val="24"/>
        </w:rPr>
        <w:t>активности</w:t>
      </w:r>
      <w:r w:rsidR="00717D0E" w:rsidRPr="005F720D">
        <w:rPr>
          <w:rFonts w:ascii="Times New Roman" w:hAnsi="Times New Roman"/>
          <w:sz w:val="24"/>
          <w:szCs w:val="24"/>
        </w:rPr>
        <w:t xml:space="preserve"> </w:t>
      </w:r>
      <w:r w:rsidRPr="005F720D">
        <w:rPr>
          <w:rFonts w:ascii="Times New Roman" w:hAnsi="Times New Roman"/>
          <w:sz w:val="24"/>
          <w:szCs w:val="24"/>
        </w:rPr>
        <w:t>пресељен</w:t>
      </w:r>
      <w:r w:rsidR="00717D0E" w:rsidRPr="005F720D">
        <w:rPr>
          <w:rFonts w:ascii="Times New Roman" w:hAnsi="Times New Roman"/>
          <w:sz w:val="24"/>
          <w:szCs w:val="24"/>
        </w:rPr>
        <w:t xml:space="preserve"> </w:t>
      </w:r>
      <w:r w:rsidRPr="005F720D">
        <w:rPr>
          <w:rFonts w:ascii="Times New Roman" w:hAnsi="Times New Roman"/>
          <w:sz w:val="24"/>
          <w:szCs w:val="24"/>
        </w:rPr>
        <w:t>у</w:t>
      </w:r>
      <w:r w:rsidR="00717D0E" w:rsidRPr="005F720D">
        <w:rPr>
          <w:rFonts w:ascii="Times New Roman" w:hAnsi="Times New Roman"/>
          <w:sz w:val="24"/>
          <w:szCs w:val="24"/>
        </w:rPr>
        <w:t xml:space="preserve"> </w:t>
      </w:r>
      <w:r w:rsidRPr="005F720D">
        <w:rPr>
          <w:rFonts w:ascii="Times New Roman" w:hAnsi="Times New Roman"/>
          <w:sz w:val="24"/>
          <w:szCs w:val="24"/>
        </w:rPr>
        <w:t>неформални</w:t>
      </w:r>
      <w:r w:rsidR="00717D0E" w:rsidRPr="005F720D">
        <w:rPr>
          <w:rFonts w:ascii="Times New Roman" w:hAnsi="Times New Roman"/>
          <w:sz w:val="24"/>
          <w:szCs w:val="24"/>
        </w:rPr>
        <w:t xml:space="preserve"> </w:t>
      </w:r>
      <w:r w:rsidRPr="005F720D">
        <w:rPr>
          <w:rFonts w:ascii="Times New Roman" w:hAnsi="Times New Roman"/>
          <w:sz w:val="24"/>
          <w:szCs w:val="24"/>
        </w:rPr>
        <w:t>сектор</w:t>
      </w:r>
      <w:r w:rsidR="00717D0E" w:rsidRPr="005F720D">
        <w:rPr>
          <w:rFonts w:ascii="Times New Roman" w:hAnsi="Times New Roman"/>
          <w:sz w:val="24"/>
          <w:szCs w:val="24"/>
        </w:rPr>
        <w:t xml:space="preserve">, </w:t>
      </w:r>
      <w:r w:rsidRPr="005F720D">
        <w:rPr>
          <w:rFonts w:ascii="Times New Roman" w:hAnsi="Times New Roman"/>
          <w:sz w:val="24"/>
          <w:szCs w:val="24"/>
        </w:rPr>
        <w:t>те</w:t>
      </w:r>
      <w:r w:rsidR="00717D0E" w:rsidRPr="005F720D">
        <w:rPr>
          <w:rFonts w:ascii="Times New Roman" w:hAnsi="Times New Roman"/>
          <w:sz w:val="24"/>
          <w:szCs w:val="24"/>
        </w:rPr>
        <w:t xml:space="preserve"> </w:t>
      </w:r>
      <w:r w:rsidRPr="005F720D">
        <w:rPr>
          <w:rFonts w:ascii="Times New Roman" w:hAnsi="Times New Roman"/>
          <w:sz w:val="24"/>
          <w:szCs w:val="24"/>
        </w:rPr>
        <w:t>да</w:t>
      </w:r>
      <w:r w:rsidR="00717D0E" w:rsidRPr="005F720D">
        <w:rPr>
          <w:rFonts w:ascii="Times New Roman" w:hAnsi="Times New Roman"/>
          <w:sz w:val="24"/>
          <w:szCs w:val="24"/>
        </w:rPr>
        <w:t xml:space="preserve"> </w:t>
      </w:r>
      <w:r w:rsidRPr="005F720D">
        <w:rPr>
          <w:rFonts w:ascii="Times New Roman" w:hAnsi="Times New Roman"/>
          <w:sz w:val="24"/>
          <w:szCs w:val="24"/>
        </w:rPr>
        <w:t>је</w:t>
      </w:r>
      <w:r w:rsidR="00717D0E" w:rsidRPr="005F720D">
        <w:rPr>
          <w:rFonts w:ascii="Times New Roman" w:hAnsi="Times New Roman"/>
          <w:sz w:val="24"/>
          <w:szCs w:val="24"/>
        </w:rPr>
        <w:t xml:space="preserve"> </w:t>
      </w:r>
      <w:r w:rsidRPr="005F720D">
        <w:rPr>
          <w:rFonts w:ascii="Times New Roman" w:hAnsi="Times New Roman"/>
          <w:sz w:val="24"/>
          <w:szCs w:val="24"/>
        </w:rPr>
        <w:t>дошло</w:t>
      </w:r>
      <w:r w:rsidR="00717D0E" w:rsidRPr="005F720D">
        <w:rPr>
          <w:rFonts w:ascii="Times New Roman" w:hAnsi="Times New Roman"/>
          <w:sz w:val="24"/>
          <w:szCs w:val="24"/>
        </w:rPr>
        <w:t xml:space="preserve"> </w:t>
      </w:r>
      <w:r w:rsidRPr="005F720D">
        <w:rPr>
          <w:rFonts w:ascii="Times New Roman" w:hAnsi="Times New Roman"/>
          <w:sz w:val="24"/>
          <w:szCs w:val="24"/>
        </w:rPr>
        <w:t>до</w:t>
      </w:r>
      <w:r w:rsidR="00717D0E" w:rsidRPr="005F720D">
        <w:rPr>
          <w:rFonts w:ascii="Times New Roman" w:hAnsi="Times New Roman"/>
          <w:sz w:val="24"/>
          <w:szCs w:val="24"/>
        </w:rPr>
        <w:t xml:space="preserve"> </w:t>
      </w:r>
      <w:r w:rsidRPr="005F720D">
        <w:rPr>
          <w:rFonts w:ascii="Times New Roman" w:hAnsi="Times New Roman"/>
          <w:sz w:val="24"/>
          <w:szCs w:val="24"/>
        </w:rPr>
        <w:t>погоршања</w:t>
      </w:r>
      <w:r w:rsidR="00717D0E" w:rsidRPr="005F720D">
        <w:rPr>
          <w:rFonts w:ascii="Times New Roman" w:hAnsi="Times New Roman"/>
          <w:sz w:val="24"/>
          <w:szCs w:val="24"/>
        </w:rPr>
        <w:t xml:space="preserve"> </w:t>
      </w:r>
      <w:r w:rsidRPr="005F720D">
        <w:rPr>
          <w:rFonts w:ascii="Times New Roman" w:hAnsi="Times New Roman"/>
          <w:sz w:val="24"/>
          <w:szCs w:val="24"/>
        </w:rPr>
        <w:t>наплате</w:t>
      </w:r>
      <w:r w:rsidR="00717D0E" w:rsidRPr="005F720D">
        <w:rPr>
          <w:rFonts w:ascii="Times New Roman" w:hAnsi="Times New Roman"/>
          <w:sz w:val="24"/>
          <w:szCs w:val="24"/>
        </w:rPr>
        <w:t xml:space="preserve"> </w:t>
      </w:r>
      <w:r w:rsidRPr="005F720D">
        <w:rPr>
          <w:rFonts w:ascii="Times New Roman" w:hAnsi="Times New Roman"/>
          <w:sz w:val="24"/>
          <w:szCs w:val="24"/>
        </w:rPr>
        <w:t>пореза</w:t>
      </w:r>
      <w:r w:rsidR="00717D0E" w:rsidRPr="005F720D">
        <w:rPr>
          <w:rFonts w:ascii="Times New Roman" w:hAnsi="Times New Roman"/>
          <w:sz w:val="24"/>
          <w:szCs w:val="24"/>
        </w:rPr>
        <w:t xml:space="preserve">, </w:t>
      </w:r>
      <w:r w:rsidRPr="005F720D">
        <w:rPr>
          <w:rFonts w:ascii="Times New Roman" w:hAnsi="Times New Roman"/>
          <w:sz w:val="24"/>
          <w:szCs w:val="24"/>
        </w:rPr>
        <w:t>тако</w:t>
      </w:r>
      <w:r w:rsidR="00717D0E" w:rsidRPr="005F720D">
        <w:rPr>
          <w:rFonts w:ascii="Times New Roman" w:hAnsi="Times New Roman"/>
          <w:sz w:val="24"/>
          <w:szCs w:val="24"/>
        </w:rPr>
        <w:t xml:space="preserve"> </w:t>
      </w:r>
      <w:r w:rsidRPr="005F720D">
        <w:rPr>
          <w:rFonts w:ascii="Times New Roman" w:hAnsi="Times New Roman"/>
          <w:sz w:val="24"/>
          <w:szCs w:val="24"/>
        </w:rPr>
        <w:t>да</w:t>
      </w:r>
      <w:r w:rsidR="00717D0E" w:rsidRPr="005F720D">
        <w:rPr>
          <w:rFonts w:ascii="Times New Roman" w:hAnsi="Times New Roman"/>
          <w:sz w:val="24"/>
          <w:szCs w:val="24"/>
        </w:rPr>
        <w:t xml:space="preserve"> </w:t>
      </w:r>
      <w:r w:rsidRPr="005F720D">
        <w:rPr>
          <w:rFonts w:ascii="Times New Roman" w:hAnsi="Times New Roman"/>
          <w:sz w:val="24"/>
          <w:szCs w:val="24"/>
        </w:rPr>
        <w:t>се</w:t>
      </w:r>
      <w:r w:rsidR="00717D0E" w:rsidRPr="005F720D">
        <w:rPr>
          <w:rFonts w:ascii="Times New Roman" w:hAnsi="Times New Roman"/>
          <w:sz w:val="24"/>
          <w:szCs w:val="24"/>
        </w:rPr>
        <w:t xml:space="preserve"> </w:t>
      </w:r>
      <w:r w:rsidRPr="005F720D">
        <w:rPr>
          <w:rFonts w:ascii="Times New Roman" w:hAnsi="Times New Roman"/>
          <w:sz w:val="24"/>
          <w:szCs w:val="24"/>
        </w:rPr>
        <w:t>наведени</w:t>
      </w:r>
      <w:r w:rsidR="00717D0E" w:rsidRPr="005F720D">
        <w:rPr>
          <w:rFonts w:ascii="Times New Roman" w:hAnsi="Times New Roman"/>
          <w:sz w:val="24"/>
          <w:szCs w:val="24"/>
        </w:rPr>
        <w:t xml:space="preserve"> </w:t>
      </w:r>
      <w:r w:rsidRPr="005F720D">
        <w:rPr>
          <w:rFonts w:ascii="Times New Roman" w:hAnsi="Times New Roman"/>
          <w:sz w:val="24"/>
          <w:szCs w:val="24"/>
        </w:rPr>
        <w:t>резултати</w:t>
      </w:r>
      <w:r w:rsidR="00717D0E" w:rsidRPr="005F720D">
        <w:rPr>
          <w:rFonts w:ascii="Times New Roman" w:hAnsi="Times New Roman"/>
          <w:sz w:val="24"/>
          <w:szCs w:val="24"/>
        </w:rPr>
        <w:t xml:space="preserve"> </w:t>
      </w:r>
      <w:r w:rsidRPr="005F720D">
        <w:rPr>
          <w:rFonts w:ascii="Times New Roman" w:hAnsi="Times New Roman"/>
          <w:sz w:val="24"/>
          <w:szCs w:val="24"/>
        </w:rPr>
        <w:t>могу</w:t>
      </w:r>
      <w:r w:rsidR="00717D0E" w:rsidRPr="005F720D">
        <w:rPr>
          <w:rFonts w:ascii="Times New Roman" w:hAnsi="Times New Roman"/>
          <w:sz w:val="24"/>
          <w:szCs w:val="24"/>
        </w:rPr>
        <w:t xml:space="preserve"> </w:t>
      </w:r>
      <w:r w:rsidRPr="005F720D">
        <w:rPr>
          <w:rFonts w:ascii="Times New Roman" w:hAnsi="Times New Roman"/>
          <w:sz w:val="24"/>
          <w:szCs w:val="24"/>
        </w:rPr>
        <w:t>сматрати</w:t>
      </w:r>
      <w:r w:rsidR="00717D0E" w:rsidRPr="005F720D">
        <w:rPr>
          <w:rFonts w:ascii="Times New Roman" w:hAnsi="Times New Roman"/>
          <w:sz w:val="24"/>
          <w:szCs w:val="24"/>
        </w:rPr>
        <w:t xml:space="preserve"> </w:t>
      </w:r>
      <w:r w:rsidRPr="005F720D">
        <w:rPr>
          <w:rFonts w:ascii="Times New Roman" w:hAnsi="Times New Roman"/>
          <w:sz w:val="24"/>
          <w:szCs w:val="24"/>
        </w:rPr>
        <w:t>конзервативном</w:t>
      </w:r>
      <w:r w:rsidR="00717D0E" w:rsidRPr="005F720D">
        <w:rPr>
          <w:rFonts w:ascii="Times New Roman" w:hAnsi="Times New Roman"/>
          <w:sz w:val="24"/>
          <w:szCs w:val="24"/>
        </w:rPr>
        <w:t xml:space="preserve"> </w:t>
      </w:r>
      <w:r w:rsidRPr="005F720D">
        <w:rPr>
          <w:rFonts w:ascii="Times New Roman" w:hAnsi="Times New Roman"/>
          <w:sz w:val="24"/>
          <w:szCs w:val="24"/>
        </w:rPr>
        <w:t>проценом</w:t>
      </w:r>
      <w:r w:rsidR="00717D0E" w:rsidRPr="005F720D">
        <w:rPr>
          <w:rFonts w:ascii="Times New Roman" w:hAnsi="Times New Roman"/>
          <w:sz w:val="24"/>
          <w:szCs w:val="24"/>
        </w:rPr>
        <w:t xml:space="preserve"> </w:t>
      </w:r>
      <w:r w:rsidRPr="005F720D">
        <w:rPr>
          <w:rFonts w:ascii="Times New Roman" w:hAnsi="Times New Roman"/>
          <w:sz w:val="24"/>
          <w:szCs w:val="24"/>
        </w:rPr>
        <w:t>стварног</w:t>
      </w:r>
      <w:r w:rsidR="00717D0E" w:rsidRPr="005F720D">
        <w:rPr>
          <w:rFonts w:ascii="Times New Roman" w:hAnsi="Times New Roman"/>
          <w:sz w:val="24"/>
          <w:szCs w:val="24"/>
        </w:rPr>
        <w:t xml:space="preserve"> </w:t>
      </w:r>
      <w:r w:rsidRPr="005F720D">
        <w:rPr>
          <w:rFonts w:ascii="Times New Roman" w:hAnsi="Times New Roman"/>
          <w:sz w:val="24"/>
          <w:szCs w:val="24"/>
        </w:rPr>
        <w:t>нивоа</w:t>
      </w:r>
      <w:r w:rsidR="00717D0E" w:rsidRPr="005F720D">
        <w:rPr>
          <w:rFonts w:ascii="Times New Roman" w:hAnsi="Times New Roman"/>
          <w:sz w:val="24"/>
          <w:szCs w:val="24"/>
        </w:rPr>
        <w:t xml:space="preserve"> </w:t>
      </w:r>
      <w:r w:rsidRPr="005F720D">
        <w:rPr>
          <w:rFonts w:ascii="Times New Roman" w:hAnsi="Times New Roman"/>
          <w:sz w:val="24"/>
          <w:szCs w:val="24"/>
        </w:rPr>
        <w:t>евазије</w:t>
      </w:r>
      <w:r w:rsidR="00717D0E" w:rsidRPr="005F720D">
        <w:rPr>
          <w:rFonts w:ascii="Times New Roman" w:hAnsi="Times New Roman"/>
          <w:sz w:val="24"/>
          <w:szCs w:val="24"/>
        </w:rPr>
        <w:t xml:space="preserve"> </w:t>
      </w:r>
      <w:r w:rsidRPr="005F720D">
        <w:rPr>
          <w:rFonts w:ascii="Times New Roman" w:hAnsi="Times New Roman"/>
          <w:sz w:val="24"/>
          <w:szCs w:val="24"/>
        </w:rPr>
        <w:t>пореза</w:t>
      </w:r>
      <w:r w:rsidR="00717D0E" w:rsidRPr="005F720D">
        <w:rPr>
          <w:rFonts w:ascii="Times New Roman" w:hAnsi="Times New Roman"/>
          <w:sz w:val="24"/>
          <w:szCs w:val="24"/>
        </w:rPr>
        <w:t xml:space="preserve"> </w:t>
      </w:r>
      <w:r w:rsidRPr="005F720D">
        <w:rPr>
          <w:rFonts w:ascii="Times New Roman" w:hAnsi="Times New Roman"/>
          <w:sz w:val="24"/>
          <w:szCs w:val="24"/>
        </w:rPr>
        <w:t>на</w:t>
      </w:r>
      <w:r w:rsidR="00717D0E" w:rsidRPr="005F720D">
        <w:rPr>
          <w:rFonts w:ascii="Times New Roman" w:hAnsi="Times New Roman"/>
          <w:sz w:val="24"/>
          <w:szCs w:val="24"/>
        </w:rPr>
        <w:t xml:space="preserve"> </w:t>
      </w:r>
      <w:r w:rsidRPr="005F720D">
        <w:rPr>
          <w:rFonts w:ascii="Times New Roman" w:hAnsi="Times New Roman"/>
          <w:sz w:val="24"/>
          <w:szCs w:val="24"/>
        </w:rPr>
        <w:t>рад</w:t>
      </w:r>
      <w:r w:rsidR="00717D0E" w:rsidRPr="005F720D">
        <w:rPr>
          <w:rFonts w:ascii="Times New Roman" w:hAnsi="Times New Roman"/>
          <w:sz w:val="24"/>
          <w:szCs w:val="24"/>
        </w:rPr>
        <w:t xml:space="preserve"> </w:t>
      </w:r>
      <w:r w:rsidRPr="005F720D">
        <w:rPr>
          <w:rFonts w:ascii="Times New Roman" w:hAnsi="Times New Roman"/>
          <w:sz w:val="24"/>
          <w:szCs w:val="24"/>
        </w:rPr>
        <w:t>у</w:t>
      </w:r>
      <w:r w:rsidR="00717D0E" w:rsidRPr="005F720D">
        <w:rPr>
          <w:rFonts w:ascii="Times New Roman" w:hAnsi="Times New Roman"/>
          <w:sz w:val="24"/>
          <w:szCs w:val="24"/>
        </w:rPr>
        <w:t xml:space="preserve"> </w:t>
      </w:r>
      <w:r w:rsidRPr="005F720D">
        <w:rPr>
          <w:rFonts w:ascii="Times New Roman" w:hAnsi="Times New Roman"/>
          <w:sz w:val="24"/>
          <w:szCs w:val="24"/>
        </w:rPr>
        <w:t>Србији</w:t>
      </w:r>
      <w:r w:rsidR="00717D0E" w:rsidRPr="005F720D">
        <w:rPr>
          <w:rFonts w:ascii="Times New Roman" w:hAnsi="Times New Roman"/>
          <w:sz w:val="24"/>
          <w:szCs w:val="24"/>
        </w:rPr>
        <w:t>.</w:t>
      </w:r>
      <w:r w:rsidR="00BA22CF">
        <w:rPr>
          <w:rFonts w:ascii="Times New Roman" w:hAnsi="Times New Roman"/>
          <w:sz w:val="24"/>
          <w:szCs w:val="24"/>
          <w:lang w:val="sr-Cyrl-CS"/>
        </w:rPr>
        <w:t>“</w:t>
      </w:r>
      <w:r w:rsidR="00717D0E" w:rsidRPr="005F720D">
        <w:rPr>
          <w:rFonts w:ascii="Times New Roman" w:hAnsi="Times New Roman"/>
          <w:sz w:val="24"/>
          <w:szCs w:val="24"/>
        </w:rPr>
        <w:t xml:space="preserve"> </w:t>
      </w:r>
      <w:r w:rsidR="00DF440C" w:rsidRPr="005F720D">
        <w:rPr>
          <w:rFonts w:ascii="Times New Roman" w:hAnsi="Times New Roman"/>
          <w:sz w:val="24"/>
          <w:szCs w:val="24"/>
          <w:lang w:val="sr-Cyrl-CS"/>
        </w:rPr>
        <w:t xml:space="preserve"> </w:t>
      </w:r>
    </w:p>
    <w:p w:rsidR="00717D0E" w:rsidRPr="005F720D" w:rsidRDefault="005F720D" w:rsidP="005F720D">
      <w:pPr>
        <w:ind w:firstLine="360"/>
        <w:jc w:val="both"/>
        <w:rPr>
          <w:rFonts w:ascii="Times New Roman" w:hAnsi="Times New Roman"/>
          <w:color w:val="000000"/>
          <w:sz w:val="24"/>
          <w:szCs w:val="24"/>
          <w:lang w:val="sr-Cyrl-CS"/>
        </w:rPr>
      </w:pPr>
      <w:r w:rsidRPr="005F720D">
        <w:rPr>
          <w:rFonts w:ascii="Times New Roman" w:hAnsi="Times New Roman"/>
          <w:color w:val="000000"/>
          <w:sz w:val="24"/>
          <w:szCs w:val="24"/>
        </w:rPr>
        <w:t>Наведени</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показатељи</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такође</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указују</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да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је</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пореска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евазија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знатно</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израженија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код</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дохотка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од</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самосталне</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делатности</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него</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код</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зараде</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Наиме</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од</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укупног</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износа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дохотка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од</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рада</w:t>
      </w:r>
      <w:r w:rsidR="00717D0E" w:rsidRPr="005F720D">
        <w:rPr>
          <w:rFonts w:ascii="Times New Roman" w:hAnsi="Times New Roman"/>
          <w:color w:val="000000"/>
          <w:sz w:val="24"/>
          <w:szCs w:val="24"/>
        </w:rPr>
        <w:t xml:space="preserve">, ¾ </w:t>
      </w:r>
      <w:r w:rsidRPr="005F720D">
        <w:rPr>
          <w:rFonts w:ascii="Times New Roman" w:hAnsi="Times New Roman"/>
          <w:color w:val="000000"/>
          <w:sz w:val="24"/>
          <w:szCs w:val="24"/>
        </w:rPr>
        <w:t>се</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односи</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на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доходак</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који</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лица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остварују</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из</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радног</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односа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док</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се</w:t>
      </w:r>
      <w:r w:rsidR="00717D0E" w:rsidRPr="005F720D">
        <w:rPr>
          <w:rFonts w:ascii="Times New Roman" w:hAnsi="Times New Roman"/>
          <w:color w:val="000000"/>
          <w:sz w:val="24"/>
          <w:szCs w:val="24"/>
        </w:rPr>
        <w:t xml:space="preserve"> ¼ </w:t>
      </w:r>
      <w:r w:rsidRPr="005F720D">
        <w:rPr>
          <w:rFonts w:ascii="Times New Roman" w:hAnsi="Times New Roman"/>
          <w:color w:val="000000"/>
          <w:sz w:val="24"/>
          <w:szCs w:val="24"/>
        </w:rPr>
        <w:t>односи</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на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доходак</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од</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самосталне</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делатности</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Добијени</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резултати</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показују</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да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је</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код</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дохотка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од</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запослења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просечна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стопа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непријављивања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дохотка</w:t>
      </w:r>
      <w:r w:rsidR="00717D0E" w:rsidRPr="005F720D">
        <w:rPr>
          <w:rFonts w:ascii="Times New Roman" w:hAnsi="Times New Roman"/>
          <w:color w:val="000000"/>
          <w:sz w:val="24"/>
          <w:szCs w:val="24"/>
        </w:rPr>
        <w:t xml:space="preserve"> 9,8%, </w:t>
      </w:r>
      <w:r w:rsidRPr="005F720D">
        <w:rPr>
          <w:rFonts w:ascii="Times New Roman" w:hAnsi="Times New Roman"/>
          <w:color w:val="000000"/>
          <w:sz w:val="24"/>
          <w:szCs w:val="24"/>
        </w:rPr>
        <w:t>док</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код</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дохотка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од</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самосталне</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делатности</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она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износи</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чак</w:t>
      </w:r>
      <w:r w:rsidR="00717D0E" w:rsidRPr="005F720D">
        <w:rPr>
          <w:rFonts w:ascii="Times New Roman" w:hAnsi="Times New Roman"/>
          <w:color w:val="000000"/>
          <w:sz w:val="24"/>
          <w:szCs w:val="24"/>
        </w:rPr>
        <w:t xml:space="preserve"> 78,3% (</w:t>
      </w:r>
      <w:r w:rsidRPr="005F720D">
        <w:rPr>
          <w:rFonts w:ascii="Times New Roman" w:hAnsi="Times New Roman"/>
          <w:color w:val="000000"/>
          <w:sz w:val="24"/>
          <w:szCs w:val="24"/>
        </w:rPr>
        <w:t>на</w:t>
      </w:r>
      <w:r w:rsidR="00717D0E" w:rsidRPr="005F720D">
        <w:rPr>
          <w:rFonts w:ascii="Times New Roman" w:hAnsi="Times New Roman"/>
          <w:color w:val="000000"/>
          <w:sz w:val="24"/>
          <w:szCs w:val="24"/>
        </w:rPr>
        <w:t xml:space="preserve"> 100 </w:t>
      </w:r>
      <w:r w:rsidRPr="005F720D">
        <w:rPr>
          <w:rFonts w:ascii="Times New Roman" w:hAnsi="Times New Roman"/>
          <w:color w:val="000000"/>
          <w:sz w:val="24"/>
          <w:szCs w:val="24"/>
        </w:rPr>
        <w:t>динара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пријављеног</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дохотка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од</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самосталне</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делатности</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долази</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у</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просеку</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још</w:t>
      </w:r>
      <w:r w:rsidR="00717D0E" w:rsidRPr="005F720D">
        <w:rPr>
          <w:rFonts w:ascii="Times New Roman" w:hAnsi="Times New Roman"/>
          <w:color w:val="000000"/>
          <w:sz w:val="24"/>
          <w:szCs w:val="24"/>
        </w:rPr>
        <w:t xml:space="preserve"> 78,3 </w:t>
      </w:r>
      <w:r w:rsidRPr="005F720D">
        <w:rPr>
          <w:rFonts w:ascii="Times New Roman" w:hAnsi="Times New Roman"/>
          <w:color w:val="000000"/>
          <w:sz w:val="24"/>
          <w:szCs w:val="24"/>
        </w:rPr>
        <w:t>динара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непријављеног</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дохотка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Овакви</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резултати</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произилазе</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из</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чињенице</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да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се</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доходак</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од</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запослења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опорезује</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на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извору</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по</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одбитку</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да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се</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код</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дохотка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од</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самосталне</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делатности</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овај</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порез</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наплаћује</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по</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принципу</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самоопорезивања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тј</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по</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решењу</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пореског</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органа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Приказани</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резултати</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су</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конзистентни</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са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теоријским</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ставовима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као</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и</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са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резултатима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емпиријских</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истраживања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у</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другим</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земљама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према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којима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је</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систем</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опорезивања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на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извору</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по</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одбитку</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знатно</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ефикаснији</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из</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перспективе</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сузби</w:t>
      </w:r>
      <w:r w:rsidR="00717D0E" w:rsidRPr="005F720D">
        <w:rPr>
          <w:rFonts w:ascii="Times New Roman" w:hAnsi="Times New Roman"/>
          <w:color w:val="000000"/>
          <w:sz w:val="24"/>
          <w:szCs w:val="24"/>
        </w:rPr>
        <w:softHyphen/>
      </w:r>
      <w:r w:rsidRPr="005F720D">
        <w:rPr>
          <w:rFonts w:ascii="Times New Roman" w:hAnsi="Times New Roman"/>
          <w:color w:val="000000"/>
          <w:sz w:val="24"/>
          <w:szCs w:val="24"/>
        </w:rPr>
        <w:t>јања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пореске</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евазије</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у</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односу</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на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систем</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самоопорезивања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или</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опорезивања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по</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решењу</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Осим</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тога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готово</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половина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укупне</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масе</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зарада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исплаћених</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запосленима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у</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Србији</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остварује</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се</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по</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основу</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запослења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у</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lastRenderedPageBreak/>
        <w:t>јавном</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сектору</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где</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се</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овај</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вид</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пореске</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евазије</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од</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стране</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послодавца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и</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запосленог</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веома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ретко</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практикује</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То</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значи</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да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је</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стопа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непријављивања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дохотка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од</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запослења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у</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приватном</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сектору</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вероватно</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дупло</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већа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од</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наведених</w:t>
      </w:r>
      <w:r w:rsidR="00717D0E" w:rsidRPr="005F720D">
        <w:rPr>
          <w:rFonts w:ascii="Times New Roman" w:hAnsi="Times New Roman"/>
          <w:color w:val="000000"/>
          <w:sz w:val="24"/>
          <w:szCs w:val="24"/>
        </w:rPr>
        <w:t xml:space="preserve"> 9,8%.</w:t>
      </w:r>
    </w:p>
    <w:p w:rsidR="00717D0E" w:rsidRPr="005F720D" w:rsidRDefault="005F720D" w:rsidP="005F720D">
      <w:pPr>
        <w:ind w:firstLine="360"/>
        <w:jc w:val="both"/>
        <w:rPr>
          <w:rFonts w:ascii="Times New Roman" w:hAnsi="Times New Roman"/>
          <w:sz w:val="24"/>
          <w:szCs w:val="24"/>
          <w:lang w:val="sr-Cyrl-CS"/>
        </w:rPr>
      </w:pPr>
      <w:r w:rsidRPr="005F720D">
        <w:rPr>
          <w:rFonts w:ascii="Times New Roman" w:hAnsi="Times New Roman"/>
          <w:sz w:val="24"/>
          <w:szCs w:val="24"/>
        </w:rPr>
        <w:t>Резултати</w:t>
      </w:r>
      <w:r w:rsidR="00717D0E" w:rsidRPr="005F720D">
        <w:rPr>
          <w:rFonts w:ascii="Times New Roman" w:hAnsi="Times New Roman"/>
          <w:sz w:val="24"/>
          <w:szCs w:val="24"/>
        </w:rPr>
        <w:t xml:space="preserve"> </w:t>
      </w:r>
      <w:r w:rsidRPr="005F720D">
        <w:rPr>
          <w:rFonts w:ascii="Times New Roman" w:hAnsi="Times New Roman"/>
          <w:sz w:val="24"/>
          <w:szCs w:val="24"/>
        </w:rPr>
        <w:t>емпиријске</w:t>
      </w:r>
      <w:r w:rsidR="00717D0E" w:rsidRPr="005F720D">
        <w:rPr>
          <w:rFonts w:ascii="Times New Roman" w:hAnsi="Times New Roman"/>
          <w:sz w:val="24"/>
          <w:szCs w:val="24"/>
        </w:rPr>
        <w:t xml:space="preserve"> </w:t>
      </w:r>
      <w:r w:rsidRPr="005F720D">
        <w:rPr>
          <w:rFonts w:ascii="Times New Roman" w:hAnsi="Times New Roman"/>
          <w:sz w:val="24"/>
          <w:szCs w:val="24"/>
        </w:rPr>
        <w:t>анализе</w:t>
      </w:r>
      <w:r w:rsidR="00717D0E" w:rsidRPr="005F720D">
        <w:rPr>
          <w:rFonts w:ascii="Times New Roman" w:hAnsi="Times New Roman"/>
          <w:sz w:val="24"/>
          <w:szCs w:val="24"/>
        </w:rPr>
        <w:t xml:space="preserve"> </w:t>
      </w:r>
      <w:r w:rsidRPr="005F720D">
        <w:rPr>
          <w:rFonts w:ascii="Times New Roman" w:hAnsi="Times New Roman"/>
          <w:sz w:val="24"/>
          <w:szCs w:val="24"/>
        </w:rPr>
        <w:t>на</w:t>
      </w:r>
      <w:r w:rsidR="00717D0E" w:rsidRPr="005F720D">
        <w:rPr>
          <w:rFonts w:ascii="Times New Roman" w:hAnsi="Times New Roman"/>
          <w:sz w:val="24"/>
          <w:szCs w:val="24"/>
        </w:rPr>
        <w:t xml:space="preserve"> </w:t>
      </w:r>
      <w:r w:rsidRPr="005F720D">
        <w:rPr>
          <w:rFonts w:ascii="Times New Roman" w:hAnsi="Times New Roman"/>
          <w:sz w:val="24"/>
          <w:szCs w:val="24"/>
        </w:rPr>
        <w:t>одговарајућим</w:t>
      </w:r>
      <w:r w:rsidR="00717D0E" w:rsidRPr="005F720D">
        <w:rPr>
          <w:rFonts w:ascii="Times New Roman" w:hAnsi="Times New Roman"/>
          <w:sz w:val="24"/>
          <w:szCs w:val="24"/>
        </w:rPr>
        <w:t xml:space="preserve"> </w:t>
      </w:r>
      <w:r w:rsidRPr="005F720D">
        <w:rPr>
          <w:rFonts w:ascii="Times New Roman" w:hAnsi="Times New Roman"/>
          <w:sz w:val="24"/>
          <w:szCs w:val="24"/>
        </w:rPr>
        <w:t>микро</w:t>
      </w:r>
      <w:r w:rsidR="00717D0E" w:rsidRPr="005F720D">
        <w:rPr>
          <w:rFonts w:ascii="Times New Roman" w:hAnsi="Times New Roman"/>
          <w:sz w:val="24"/>
          <w:szCs w:val="24"/>
        </w:rPr>
        <w:t xml:space="preserve"> </w:t>
      </w:r>
      <w:r w:rsidRPr="005F720D">
        <w:rPr>
          <w:rFonts w:ascii="Times New Roman" w:hAnsi="Times New Roman"/>
          <w:sz w:val="24"/>
          <w:szCs w:val="24"/>
        </w:rPr>
        <w:t>подацима</w:t>
      </w:r>
      <w:r w:rsidR="00717D0E" w:rsidRPr="005F720D">
        <w:rPr>
          <w:rFonts w:ascii="Times New Roman" w:hAnsi="Times New Roman"/>
          <w:sz w:val="24"/>
          <w:szCs w:val="24"/>
        </w:rPr>
        <w:t xml:space="preserve"> </w:t>
      </w:r>
      <w:r w:rsidRPr="005F720D">
        <w:rPr>
          <w:rFonts w:ascii="Times New Roman" w:hAnsi="Times New Roman"/>
          <w:sz w:val="24"/>
          <w:szCs w:val="24"/>
        </w:rPr>
        <w:t>показују</w:t>
      </w:r>
      <w:r w:rsidR="00717D0E" w:rsidRPr="005F720D">
        <w:rPr>
          <w:rFonts w:ascii="Times New Roman" w:hAnsi="Times New Roman"/>
          <w:sz w:val="24"/>
          <w:szCs w:val="24"/>
        </w:rPr>
        <w:t xml:space="preserve"> </w:t>
      </w:r>
      <w:r w:rsidRPr="005F720D">
        <w:rPr>
          <w:rFonts w:ascii="Times New Roman" w:hAnsi="Times New Roman"/>
          <w:sz w:val="24"/>
          <w:szCs w:val="24"/>
        </w:rPr>
        <w:t>да</w:t>
      </w:r>
      <w:r w:rsidR="00717D0E" w:rsidRPr="005F720D">
        <w:rPr>
          <w:rFonts w:ascii="Times New Roman" w:hAnsi="Times New Roman"/>
          <w:sz w:val="24"/>
          <w:szCs w:val="24"/>
        </w:rPr>
        <w:t xml:space="preserve"> </w:t>
      </w:r>
      <w:r w:rsidRPr="005F720D">
        <w:rPr>
          <w:rFonts w:ascii="Times New Roman" w:hAnsi="Times New Roman"/>
          <w:sz w:val="24"/>
          <w:szCs w:val="24"/>
        </w:rPr>
        <w:t>је</w:t>
      </w:r>
      <w:r w:rsidR="00717D0E" w:rsidRPr="005F720D">
        <w:rPr>
          <w:rFonts w:ascii="Times New Roman" w:hAnsi="Times New Roman"/>
          <w:sz w:val="24"/>
          <w:szCs w:val="24"/>
        </w:rPr>
        <w:t xml:space="preserve"> </w:t>
      </w:r>
      <w:r w:rsidRPr="005F720D">
        <w:rPr>
          <w:rFonts w:ascii="Times New Roman" w:hAnsi="Times New Roman"/>
          <w:sz w:val="24"/>
          <w:szCs w:val="24"/>
        </w:rPr>
        <w:t>стопа</w:t>
      </w:r>
      <w:r w:rsidR="00717D0E" w:rsidRPr="005F720D">
        <w:rPr>
          <w:rFonts w:ascii="Times New Roman" w:hAnsi="Times New Roman"/>
          <w:sz w:val="24"/>
          <w:szCs w:val="24"/>
        </w:rPr>
        <w:t xml:space="preserve"> </w:t>
      </w:r>
      <w:r w:rsidRPr="005F720D">
        <w:rPr>
          <w:rFonts w:ascii="Times New Roman" w:hAnsi="Times New Roman"/>
          <w:sz w:val="24"/>
          <w:szCs w:val="24"/>
        </w:rPr>
        <w:t>евазије</w:t>
      </w:r>
      <w:r w:rsidR="00717D0E" w:rsidRPr="005F720D">
        <w:rPr>
          <w:rFonts w:ascii="Times New Roman" w:hAnsi="Times New Roman"/>
          <w:sz w:val="24"/>
          <w:szCs w:val="24"/>
        </w:rPr>
        <w:t xml:space="preserve"> </w:t>
      </w:r>
      <w:r w:rsidRPr="005F720D">
        <w:rPr>
          <w:rFonts w:ascii="Times New Roman" w:hAnsi="Times New Roman"/>
          <w:sz w:val="24"/>
          <w:szCs w:val="24"/>
        </w:rPr>
        <w:t>пореза</w:t>
      </w:r>
      <w:r w:rsidR="00717D0E" w:rsidRPr="005F720D">
        <w:rPr>
          <w:rFonts w:ascii="Times New Roman" w:hAnsi="Times New Roman"/>
          <w:sz w:val="24"/>
          <w:szCs w:val="24"/>
        </w:rPr>
        <w:t xml:space="preserve"> </w:t>
      </w:r>
      <w:r w:rsidRPr="005F720D">
        <w:rPr>
          <w:rFonts w:ascii="Times New Roman" w:hAnsi="Times New Roman"/>
          <w:sz w:val="24"/>
          <w:szCs w:val="24"/>
        </w:rPr>
        <w:t>на</w:t>
      </w:r>
      <w:r w:rsidR="00717D0E" w:rsidRPr="005F720D">
        <w:rPr>
          <w:rFonts w:ascii="Times New Roman" w:hAnsi="Times New Roman"/>
          <w:sz w:val="24"/>
          <w:szCs w:val="24"/>
        </w:rPr>
        <w:t xml:space="preserve"> </w:t>
      </w:r>
      <w:r w:rsidRPr="005F720D">
        <w:rPr>
          <w:rFonts w:ascii="Times New Roman" w:hAnsi="Times New Roman"/>
          <w:sz w:val="24"/>
          <w:szCs w:val="24"/>
        </w:rPr>
        <w:t>доходак</w:t>
      </w:r>
      <w:r w:rsidR="00717D0E" w:rsidRPr="005F720D">
        <w:rPr>
          <w:rFonts w:ascii="Times New Roman" w:hAnsi="Times New Roman"/>
          <w:sz w:val="24"/>
          <w:szCs w:val="24"/>
        </w:rPr>
        <w:t xml:space="preserve"> </w:t>
      </w:r>
      <w:r w:rsidRPr="005F720D">
        <w:rPr>
          <w:rFonts w:ascii="Times New Roman" w:hAnsi="Times New Roman"/>
          <w:sz w:val="24"/>
          <w:szCs w:val="24"/>
        </w:rPr>
        <w:t>у</w:t>
      </w:r>
      <w:r w:rsidR="00717D0E" w:rsidRPr="005F720D">
        <w:rPr>
          <w:rFonts w:ascii="Times New Roman" w:hAnsi="Times New Roman"/>
          <w:sz w:val="24"/>
          <w:szCs w:val="24"/>
        </w:rPr>
        <w:t xml:space="preserve"> </w:t>
      </w:r>
      <w:r w:rsidRPr="005F720D">
        <w:rPr>
          <w:rFonts w:ascii="Times New Roman" w:hAnsi="Times New Roman"/>
          <w:sz w:val="24"/>
          <w:szCs w:val="24"/>
        </w:rPr>
        <w:t>Србији</w:t>
      </w:r>
      <w:r w:rsidR="00717D0E" w:rsidRPr="005F720D">
        <w:rPr>
          <w:rFonts w:ascii="Times New Roman" w:hAnsi="Times New Roman"/>
          <w:sz w:val="24"/>
          <w:szCs w:val="24"/>
        </w:rPr>
        <w:t xml:space="preserve"> </w:t>
      </w:r>
      <w:r w:rsidRPr="005F720D">
        <w:rPr>
          <w:rFonts w:ascii="Times New Roman" w:hAnsi="Times New Roman"/>
          <w:sz w:val="24"/>
          <w:szCs w:val="24"/>
        </w:rPr>
        <w:t>релативно</w:t>
      </w:r>
      <w:r w:rsidR="00717D0E" w:rsidRPr="005F720D">
        <w:rPr>
          <w:rFonts w:ascii="Times New Roman" w:hAnsi="Times New Roman"/>
          <w:sz w:val="24"/>
          <w:szCs w:val="24"/>
        </w:rPr>
        <w:t xml:space="preserve"> </w:t>
      </w:r>
      <w:r w:rsidRPr="005F720D">
        <w:rPr>
          <w:rFonts w:ascii="Times New Roman" w:hAnsi="Times New Roman"/>
          <w:sz w:val="24"/>
          <w:szCs w:val="24"/>
        </w:rPr>
        <w:t>висока</w:t>
      </w:r>
      <w:r w:rsidR="00717D0E" w:rsidRPr="005F720D">
        <w:rPr>
          <w:rFonts w:ascii="Times New Roman" w:hAnsi="Times New Roman"/>
          <w:sz w:val="24"/>
          <w:szCs w:val="24"/>
        </w:rPr>
        <w:t xml:space="preserve"> </w:t>
      </w:r>
      <w:r w:rsidRPr="005F720D">
        <w:rPr>
          <w:rFonts w:ascii="Times New Roman" w:hAnsi="Times New Roman"/>
          <w:sz w:val="24"/>
          <w:szCs w:val="24"/>
        </w:rPr>
        <w:t>и</w:t>
      </w:r>
      <w:r w:rsidR="00717D0E" w:rsidRPr="005F720D">
        <w:rPr>
          <w:rFonts w:ascii="Times New Roman" w:hAnsi="Times New Roman"/>
          <w:sz w:val="24"/>
          <w:szCs w:val="24"/>
        </w:rPr>
        <w:t xml:space="preserve"> </w:t>
      </w:r>
      <w:r w:rsidRPr="005F720D">
        <w:rPr>
          <w:rFonts w:ascii="Times New Roman" w:hAnsi="Times New Roman"/>
          <w:sz w:val="24"/>
          <w:szCs w:val="24"/>
        </w:rPr>
        <w:t>да</w:t>
      </w:r>
      <w:r w:rsidR="00717D0E" w:rsidRPr="005F720D">
        <w:rPr>
          <w:rFonts w:ascii="Times New Roman" w:hAnsi="Times New Roman"/>
          <w:sz w:val="24"/>
          <w:szCs w:val="24"/>
        </w:rPr>
        <w:t xml:space="preserve"> </w:t>
      </w:r>
      <w:r w:rsidRPr="005F720D">
        <w:rPr>
          <w:rFonts w:ascii="Times New Roman" w:hAnsi="Times New Roman"/>
          <w:sz w:val="24"/>
          <w:szCs w:val="24"/>
        </w:rPr>
        <w:t>износи</w:t>
      </w:r>
      <w:r w:rsidR="00717D0E" w:rsidRPr="005F720D">
        <w:rPr>
          <w:rFonts w:ascii="Times New Roman" w:hAnsi="Times New Roman"/>
          <w:sz w:val="24"/>
          <w:szCs w:val="24"/>
        </w:rPr>
        <w:t xml:space="preserve"> </w:t>
      </w:r>
      <w:r w:rsidRPr="005F720D">
        <w:rPr>
          <w:rFonts w:ascii="Times New Roman" w:hAnsi="Times New Roman"/>
          <w:sz w:val="24"/>
          <w:szCs w:val="24"/>
        </w:rPr>
        <w:t>око</w:t>
      </w:r>
      <w:r w:rsidR="00717D0E" w:rsidRPr="005F720D">
        <w:rPr>
          <w:rFonts w:ascii="Times New Roman" w:hAnsi="Times New Roman"/>
          <w:sz w:val="24"/>
          <w:szCs w:val="24"/>
        </w:rPr>
        <w:t xml:space="preserve"> 21,2%, </w:t>
      </w:r>
      <w:r w:rsidRPr="005F720D">
        <w:rPr>
          <w:rFonts w:ascii="Times New Roman" w:hAnsi="Times New Roman"/>
          <w:sz w:val="24"/>
          <w:szCs w:val="24"/>
        </w:rPr>
        <w:t>што</w:t>
      </w:r>
      <w:r w:rsidR="00717D0E" w:rsidRPr="005F720D">
        <w:rPr>
          <w:rFonts w:ascii="Times New Roman" w:hAnsi="Times New Roman"/>
          <w:sz w:val="24"/>
          <w:szCs w:val="24"/>
        </w:rPr>
        <w:t xml:space="preserve"> </w:t>
      </w:r>
      <w:r w:rsidRPr="005F720D">
        <w:rPr>
          <w:rFonts w:ascii="Times New Roman" w:hAnsi="Times New Roman"/>
          <w:sz w:val="24"/>
          <w:szCs w:val="24"/>
        </w:rPr>
        <w:t>значи</w:t>
      </w:r>
      <w:r w:rsidR="00717D0E" w:rsidRPr="005F720D">
        <w:rPr>
          <w:rFonts w:ascii="Times New Roman" w:hAnsi="Times New Roman"/>
          <w:sz w:val="24"/>
          <w:szCs w:val="24"/>
        </w:rPr>
        <w:t xml:space="preserve"> </w:t>
      </w:r>
      <w:r w:rsidRPr="005F720D">
        <w:rPr>
          <w:rFonts w:ascii="Times New Roman" w:hAnsi="Times New Roman"/>
          <w:sz w:val="24"/>
          <w:szCs w:val="24"/>
        </w:rPr>
        <w:t>да</w:t>
      </w:r>
      <w:r w:rsidR="00717D0E" w:rsidRPr="005F720D">
        <w:rPr>
          <w:rFonts w:ascii="Times New Roman" w:hAnsi="Times New Roman"/>
          <w:sz w:val="24"/>
          <w:szCs w:val="24"/>
        </w:rPr>
        <w:t xml:space="preserve"> </w:t>
      </w:r>
      <w:r w:rsidRPr="005F720D">
        <w:rPr>
          <w:rFonts w:ascii="Times New Roman" w:hAnsi="Times New Roman"/>
          <w:sz w:val="24"/>
          <w:szCs w:val="24"/>
        </w:rPr>
        <w:t>се</w:t>
      </w:r>
      <w:r w:rsidR="00717D0E" w:rsidRPr="005F720D">
        <w:rPr>
          <w:rFonts w:ascii="Times New Roman" w:hAnsi="Times New Roman"/>
          <w:sz w:val="24"/>
          <w:szCs w:val="24"/>
        </w:rPr>
        <w:t xml:space="preserve"> </w:t>
      </w:r>
      <w:r w:rsidRPr="005F720D">
        <w:rPr>
          <w:rFonts w:ascii="Times New Roman" w:hAnsi="Times New Roman"/>
          <w:sz w:val="24"/>
          <w:szCs w:val="24"/>
        </w:rPr>
        <w:t>више</w:t>
      </w:r>
      <w:r w:rsidR="00717D0E" w:rsidRPr="005F720D">
        <w:rPr>
          <w:rFonts w:ascii="Times New Roman" w:hAnsi="Times New Roman"/>
          <w:sz w:val="24"/>
          <w:szCs w:val="24"/>
        </w:rPr>
        <w:t xml:space="preserve"> </w:t>
      </w:r>
      <w:r w:rsidRPr="005F720D">
        <w:rPr>
          <w:rFonts w:ascii="Times New Roman" w:hAnsi="Times New Roman"/>
          <w:sz w:val="24"/>
          <w:szCs w:val="24"/>
        </w:rPr>
        <w:t>од</w:t>
      </w:r>
      <w:r w:rsidR="00717D0E" w:rsidRPr="005F720D">
        <w:rPr>
          <w:rFonts w:ascii="Times New Roman" w:hAnsi="Times New Roman"/>
          <w:sz w:val="24"/>
          <w:szCs w:val="24"/>
        </w:rPr>
        <w:t xml:space="preserve"> 1/5 </w:t>
      </w:r>
      <w:r w:rsidRPr="005F720D">
        <w:rPr>
          <w:rFonts w:ascii="Times New Roman" w:hAnsi="Times New Roman"/>
          <w:sz w:val="24"/>
          <w:szCs w:val="24"/>
        </w:rPr>
        <w:t>укупног</w:t>
      </w:r>
      <w:r w:rsidR="00717D0E" w:rsidRPr="005F720D">
        <w:rPr>
          <w:rFonts w:ascii="Times New Roman" w:hAnsi="Times New Roman"/>
          <w:sz w:val="24"/>
          <w:szCs w:val="24"/>
        </w:rPr>
        <w:t xml:space="preserve"> </w:t>
      </w:r>
      <w:r w:rsidRPr="005F720D">
        <w:rPr>
          <w:rFonts w:ascii="Times New Roman" w:hAnsi="Times New Roman"/>
          <w:sz w:val="24"/>
          <w:szCs w:val="24"/>
        </w:rPr>
        <w:t>дохотка</w:t>
      </w:r>
      <w:r w:rsidR="00717D0E" w:rsidRPr="005F720D">
        <w:rPr>
          <w:rFonts w:ascii="Times New Roman" w:hAnsi="Times New Roman"/>
          <w:sz w:val="24"/>
          <w:szCs w:val="24"/>
        </w:rPr>
        <w:t xml:space="preserve"> </w:t>
      </w:r>
      <w:r w:rsidRPr="005F720D">
        <w:rPr>
          <w:rFonts w:ascii="Times New Roman" w:hAnsi="Times New Roman"/>
          <w:sz w:val="24"/>
          <w:szCs w:val="24"/>
        </w:rPr>
        <w:t>грађана</w:t>
      </w:r>
      <w:r w:rsidR="00717D0E" w:rsidRPr="005F720D">
        <w:rPr>
          <w:rFonts w:ascii="Times New Roman" w:hAnsi="Times New Roman"/>
          <w:sz w:val="24"/>
          <w:szCs w:val="24"/>
        </w:rPr>
        <w:t xml:space="preserve"> </w:t>
      </w:r>
      <w:r w:rsidRPr="005F720D">
        <w:rPr>
          <w:rFonts w:ascii="Times New Roman" w:hAnsi="Times New Roman"/>
          <w:sz w:val="24"/>
          <w:szCs w:val="24"/>
        </w:rPr>
        <w:t>у</w:t>
      </w:r>
      <w:r w:rsidR="00717D0E" w:rsidRPr="005F720D">
        <w:rPr>
          <w:rFonts w:ascii="Times New Roman" w:hAnsi="Times New Roman"/>
          <w:sz w:val="24"/>
          <w:szCs w:val="24"/>
        </w:rPr>
        <w:t xml:space="preserve"> </w:t>
      </w:r>
      <w:r w:rsidRPr="005F720D">
        <w:rPr>
          <w:rFonts w:ascii="Times New Roman" w:hAnsi="Times New Roman"/>
          <w:sz w:val="24"/>
          <w:szCs w:val="24"/>
        </w:rPr>
        <w:t>Србији</w:t>
      </w:r>
      <w:r w:rsidR="00717D0E" w:rsidRPr="005F720D">
        <w:rPr>
          <w:rFonts w:ascii="Times New Roman" w:hAnsi="Times New Roman"/>
          <w:sz w:val="24"/>
          <w:szCs w:val="24"/>
        </w:rPr>
        <w:t xml:space="preserve"> </w:t>
      </w:r>
      <w:r w:rsidRPr="005F720D">
        <w:rPr>
          <w:rFonts w:ascii="Times New Roman" w:hAnsi="Times New Roman"/>
          <w:sz w:val="24"/>
          <w:szCs w:val="24"/>
        </w:rPr>
        <w:t>остварује</w:t>
      </w:r>
      <w:r w:rsidR="00717D0E" w:rsidRPr="005F720D">
        <w:rPr>
          <w:rFonts w:ascii="Times New Roman" w:hAnsi="Times New Roman"/>
          <w:sz w:val="24"/>
          <w:szCs w:val="24"/>
        </w:rPr>
        <w:t xml:space="preserve"> </w:t>
      </w:r>
      <w:r w:rsidRPr="005F720D">
        <w:rPr>
          <w:rFonts w:ascii="Times New Roman" w:hAnsi="Times New Roman"/>
          <w:sz w:val="24"/>
          <w:szCs w:val="24"/>
        </w:rPr>
        <w:t>ван</w:t>
      </w:r>
      <w:r w:rsidR="00717D0E" w:rsidRPr="005F720D">
        <w:rPr>
          <w:rFonts w:ascii="Times New Roman" w:hAnsi="Times New Roman"/>
          <w:sz w:val="24"/>
          <w:szCs w:val="24"/>
        </w:rPr>
        <w:t xml:space="preserve"> </w:t>
      </w:r>
      <w:r w:rsidRPr="005F720D">
        <w:rPr>
          <w:rFonts w:ascii="Times New Roman" w:hAnsi="Times New Roman"/>
          <w:sz w:val="24"/>
          <w:szCs w:val="24"/>
        </w:rPr>
        <w:t>легалних</w:t>
      </w:r>
      <w:r w:rsidR="00717D0E" w:rsidRPr="005F720D">
        <w:rPr>
          <w:rFonts w:ascii="Times New Roman" w:hAnsi="Times New Roman"/>
          <w:sz w:val="24"/>
          <w:szCs w:val="24"/>
        </w:rPr>
        <w:t xml:space="preserve"> </w:t>
      </w:r>
      <w:r w:rsidRPr="005F720D">
        <w:rPr>
          <w:rFonts w:ascii="Times New Roman" w:hAnsi="Times New Roman"/>
          <w:sz w:val="24"/>
          <w:szCs w:val="24"/>
        </w:rPr>
        <w:t>токова</w:t>
      </w:r>
      <w:r w:rsidR="00717D0E" w:rsidRPr="005F720D">
        <w:rPr>
          <w:rFonts w:ascii="Times New Roman" w:hAnsi="Times New Roman"/>
          <w:sz w:val="24"/>
          <w:szCs w:val="24"/>
        </w:rPr>
        <w:t xml:space="preserve">, </w:t>
      </w:r>
      <w:r w:rsidRPr="005F720D">
        <w:rPr>
          <w:rFonts w:ascii="Times New Roman" w:hAnsi="Times New Roman"/>
          <w:sz w:val="24"/>
          <w:szCs w:val="24"/>
        </w:rPr>
        <w:t>те</w:t>
      </w:r>
      <w:r w:rsidR="00717D0E" w:rsidRPr="005F720D">
        <w:rPr>
          <w:rFonts w:ascii="Times New Roman" w:hAnsi="Times New Roman"/>
          <w:sz w:val="24"/>
          <w:szCs w:val="24"/>
        </w:rPr>
        <w:t xml:space="preserve"> </w:t>
      </w:r>
      <w:r w:rsidRPr="005F720D">
        <w:rPr>
          <w:rFonts w:ascii="Times New Roman" w:hAnsi="Times New Roman"/>
          <w:sz w:val="24"/>
          <w:szCs w:val="24"/>
        </w:rPr>
        <w:t>да</w:t>
      </w:r>
      <w:r w:rsidR="00717D0E" w:rsidRPr="005F720D">
        <w:rPr>
          <w:rFonts w:ascii="Times New Roman" w:hAnsi="Times New Roman"/>
          <w:sz w:val="24"/>
          <w:szCs w:val="24"/>
        </w:rPr>
        <w:t xml:space="preserve"> </w:t>
      </w:r>
      <w:r w:rsidRPr="005F720D">
        <w:rPr>
          <w:rFonts w:ascii="Times New Roman" w:hAnsi="Times New Roman"/>
          <w:sz w:val="24"/>
          <w:szCs w:val="24"/>
        </w:rPr>
        <w:t>су</w:t>
      </w:r>
      <w:r w:rsidR="00717D0E" w:rsidRPr="005F720D">
        <w:rPr>
          <w:rFonts w:ascii="Times New Roman" w:hAnsi="Times New Roman"/>
          <w:sz w:val="24"/>
          <w:szCs w:val="24"/>
        </w:rPr>
        <w:t xml:space="preserve"> </w:t>
      </w:r>
      <w:r w:rsidRPr="005F720D">
        <w:rPr>
          <w:rFonts w:ascii="Times New Roman" w:hAnsi="Times New Roman"/>
          <w:sz w:val="24"/>
          <w:szCs w:val="24"/>
        </w:rPr>
        <w:t>губици</w:t>
      </w:r>
      <w:r w:rsidR="00717D0E" w:rsidRPr="005F720D">
        <w:rPr>
          <w:rFonts w:ascii="Times New Roman" w:hAnsi="Times New Roman"/>
          <w:sz w:val="24"/>
          <w:szCs w:val="24"/>
        </w:rPr>
        <w:t xml:space="preserve"> </w:t>
      </w:r>
      <w:r w:rsidRPr="005F720D">
        <w:rPr>
          <w:rFonts w:ascii="Times New Roman" w:hAnsi="Times New Roman"/>
          <w:sz w:val="24"/>
          <w:szCs w:val="24"/>
        </w:rPr>
        <w:t>државе</w:t>
      </w:r>
      <w:r w:rsidR="00717D0E" w:rsidRPr="005F720D">
        <w:rPr>
          <w:rFonts w:ascii="Times New Roman" w:hAnsi="Times New Roman"/>
          <w:sz w:val="24"/>
          <w:szCs w:val="24"/>
        </w:rPr>
        <w:t xml:space="preserve"> </w:t>
      </w:r>
      <w:r w:rsidRPr="005F720D">
        <w:rPr>
          <w:rFonts w:ascii="Times New Roman" w:hAnsi="Times New Roman"/>
          <w:sz w:val="24"/>
          <w:szCs w:val="24"/>
        </w:rPr>
        <w:t>на</w:t>
      </w:r>
      <w:r w:rsidR="00717D0E" w:rsidRPr="005F720D">
        <w:rPr>
          <w:rFonts w:ascii="Times New Roman" w:hAnsi="Times New Roman"/>
          <w:sz w:val="24"/>
          <w:szCs w:val="24"/>
        </w:rPr>
        <w:t xml:space="preserve"> </w:t>
      </w:r>
      <w:r w:rsidRPr="005F720D">
        <w:rPr>
          <w:rFonts w:ascii="Times New Roman" w:hAnsi="Times New Roman"/>
          <w:sz w:val="24"/>
          <w:szCs w:val="24"/>
        </w:rPr>
        <w:t>порезима</w:t>
      </w:r>
      <w:r w:rsidR="00717D0E" w:rsidRPr="005F720D">
        <w:rPr>
          <w:rFonts w:ascii="Times New Roman" w:hAnsi="Times New Roman"/>
          <w:sz w:val="24"/>
          <w:szCs w:val="24"/>
        </w:rPr>
        <w:t xml:space="preserve"> </w:t>
      </w:r>
      <w:r w:rsidRPr="005F720D">
        <w:rPr>
          <w:rFonts w:ascii="Times New Roman" w:hAnsi="Times New Roman"/>
          <w:sz w:val="24"/>
          <w:szCs w:val="24"/>
        </w:rPr>
        <w:t>и</w:t>
      </w:r>
      <w:r w:rsidR="00717D0E" w:rsidRPr="005F720D">
        <w:rPr>
          <w:rFonts w:ascii="Times New Roman" w:hAnsi="Times New Roman"/>
          <w:sz w:val="24"/>
          <w:szCs w:val="24"/>
        </w:rPr>
        <w:t xml:space="preserve"> </w:t>
      </w:r>
      <w:r w:rsidRPr="005F720D">
        <w:rPr>
          <w:rFonts w:ascii="Times New Roman" w:hAnsi="Times New Roman"/>
          <w:sz w:val="24"/>
          <w:szCs w:val="24"/>
        </w:rPr>
        <w:t>доприносима</w:t>
      </w:r>
      <w:r w:rsidR="00717D0E" w:rsidRPr="005F720D">
        <w:rPr>
          <w:rFonts w:ascii="Times New Roman" w:hAnsi="Times New Roman"/>
          <w:sz w:val="24"/>
          <w:szCs w:val="24"/>
        </w:rPr>
        <w:t xml:space="preserve"> </w:t>
      </w:r>
      <w:r w:rsidRPr="005F720D">
        <w:rPr>
          <w:rFonts w:ascii="Times New Roman" w:hAnsi="Times New Roman"/>
          <w:sz w:val="24"/>
          <w:szCs w:val="24"/>
        </w:rPr>
        <w:t>знатни</w:t>
      </w:r>
      <w:r w:rsidR="00717D0E" w:rsidRPr="005F720D">
        <w:rPr>
          <w:rFonts w:ascii="Times New Roman" w:hAnsi="Times New Roman"/>
          <w:sz w:val="24"/>
          <w:szCs w:val="24"/>
        </w:rPr>
        <w:t xml:space="preserve">. </w:t>
      </w:r>
      <w:r w:rsidRPr="005F720D">
        <w:rPr>
          <w:rFonts w:ascii="Times New Roman" w:hAnsi="Times New Roman"/>
          <w:sz w:val="24"/>
          <w:szCs w:val="24"/>
        </w:rPr>
        <w:t>Добијени</w:t>
      </w:r>
      <w:r w:rsidR="00717D0E" w:rsidRPr="005F720D">
        <w:rPr>
          <w:rFonts w:ascii="Times New Roman" w:hAnsi="Times New Roman"/>
          <w:sz w:val="24"/>
          <w:szCs w:val="24"/>
        </w:rPr>
        <w:t xml:space="preserve"> </w:t>
      </w:r>
      <w:r w:rsidRPr="005F720D">
        <w:rPr>
          <w:rFonts w:ascii="Times New Roman" w:hAnsi="Times New Roman"/>
          <w:sz w:val="24"/>
          <w:szCs w:val="24"/>
        </w:rPr>
        <w:t>резултати</w:t>
      </w:r>
      <w:r w:rsidR="00717D0E" w:rsidRPr="005F720D">
        <w:rPr>
          <w:rFonts w:ascii="Times New Roman" w:hAnsi="Times New Roman"/>
          <w:sz w:val="24"/>
          <w:szCs w:val="24"/>
        </w:rPr>
        <w:t xml:space="preserve"> </w:t>
      </w:r>
      <w:r w:rsidRPr="005F720D">
        <w:rPr>
          <w:rFonts w:ascii="Times New Roman" w:hAnsi="Times New Roman"/>
          <w:sz w:val="24"/>
          <w:szCs w:val="24"/>
        </w:rPr>
        <w:t>такође</w:t>
      </w:r>
      <w:r w:rsidR="00717D0E" w:rsidRPr="005F720D">
        <w:rPr>
          <w:rFonts w:ascii="Times New Roman" w:hAnsi="Times New Roman"/>
          <w:sz w:val="24"/>
          <w:szCs w:val="24"/>
        </w:rPr>
        <w:t xml:space="preserve"> </w:t>
      </w:r>
      <w:r w:rsidRPr="005F720D">
        <w:rPr>
          <w:rFonts w:ascii="Times New Roman" w:hAnsi="Times New Roman"/>
          <w:sz w:val="24"/>
          <w:szCs w:val="24"/>
        </w:rPr>
        <w:t>показују</w:t>
      </w:r>
      <w:r w:rsidR="00717D0E" w:rsidRPr="005F720D">
        <w:rPr>
          <w:rFonts w:ascii="Times New Roman" w:hAnsi="Times New Roman"/>
          <w:sz w:val="24"/>
          <w:szCs w:val="24"/>
        </w:rPr>
        <w:t xml:space="preserve"> </w:t>
      </w:r>
      <w:r w:rsidRPr="005F720D">
        <w:rPr>
          <w:rFonts w:ascii="Times New Roman" w:hAnsi="Times New Roman"/>
          <w:sz w:val="24"/>
          <w:szCs w:val="24"/>
        </w:rPr>
        <w:t>да</w:t>
      </w:r>
      <w:r w:rsidR="00717D0E" w:rsidRPr="005F720D">
        <w:rPr>
          <w:rFonts w:ascii="Times New Roman" w:hAnsi="Times New Roman"/>
          <w:sz w:val="24"/>
          <w:szCs w:val="24"/>
        </w:rPr>
        <w:t xml:space="preserve"> </w:t>
      </w:r>
      <w:r w:rsidRPr="005F720D">
        <w:rPr>
          <w:rFonts w:ascii="Times New Roman" w:hAnsi="Times New Roman"/>
          <w:sz w:val="24"/>
          <w:szCs w:val="24"/>
        </w:rPr>
        <w:t>је</w:t>
      </w:r>
      <w:r w:rsidR="00717D0E" w:rsidRPr="005F720D">
        <w:rPr>
          <w:rFonts w:ascii="Times New Roman" w:hAnsi="Times New Roman"/>
          <w:sz w:val="24"/>
          <w:szCs w:val="24"/>
        </w:rPr>
        <w:t xml:space="preserve"> </w:t>
      </w:r>
      <w:r w:rsidRPr="005F720D">
        <w:rPr>
          <w:rFonts w:ascii="Times New Roman" w:hAnsi="Times New Roman"/>
          <w:sz w:val="24"/>
          <w:szCs w:val="24"/>
        </w:rPr>
        <w:t>билансни</w:t>
      </w:r>
      <w:r w:rsidR="00717D0E" w:rsidRPr="005F720D">
        <w:rPr>
          <w:rFonts w:ascii="Times New Roman" w:hAnsi="Times New Roman"/>
          <w:sz w:val="24"/>
          <w:szCs w:val="24"/>
        </w:rPr>
        <w:t xml:space="preserve"> </w:t>
      </w:r>
      <w:r w:rsidRPr="005F720D">
        <w:rPr>
          <w:rFonts w:ascii="Times New Roman" w:hAnsi="Times New Roman"/>
          <w:sz w:val="24"/>
          <w:szCs w:val="24"/>
        </w:rPr>
        <w:t>значај</w:t>
      </w:r>
      <w:r w:rsidR="00717D0E" w:rsidRPr="005F720D">
        <w:rPr>
          <w:rFonts w:ascii="Times New Roman" w:hAnsi="Times New Roman"/>
          <w:sz w:val="24"/>
          <w:szCs w:val="24"/>
        </w:rPr>
        <w:t xml:space="preserve"> </w:t>
      </w:r>
      <w:r w:rsidRPr="005F720D">
        <w:rPr>
          <w:rFonts w:ascii="Times New Roman" w:hAnsi="Times New Roman"/>
          <w:sz w:val="24"/>
          <w:szCs w:val="24"/>
        </w:rPr>
        <w:t>евазије</w:t>
      </w:r>
      <w:r w:rsidR="00717D0E" w:rsidRPr="005F720D">
        <w:rPr>
          <w:rFonts w:ascii="Times New Roman" w:hAnsi="Times New Roman"/>
          <w:sz w:val="24"/>
          <w:szCs w:val="24"/>
        </w:rPr>
        <w:t xml:space="preserve"> </w:t>
      </w:r>
      <w:r w:rsidRPr="005F720D">
        <w:rPr>
          <w:rFonts w:ascii="Times New Roman" w:hAnsi="Times New Roman"/>
          <w:sz w:val="24"/>
          <w:szCs w:val="24"/>
        </w:rPr>
        <w:t>пореза</w:t>
      </w:r>
      <w:r w:rsidR="00717D0E" w:rsidRPr="005F720D">
        <w:rPr>
          <w:rFonts w:ascii="Times New Roman" w:hAnsi="Times New Roman"/>
          <w:sz w:val="24"/>
          <w:szCs w:val="24"/>
        </w:rPr>
        <w:t xml:space="preserve"> </w:t>
      </w:r>
      <w:r w:rsidRPr="005F720D">
        <w:rPr>
          <w:rFonts w:ascii="Times New Roman" w:hAnsi="Times New Roman"/>
          <w:sz w:val="24"/>
          <w:szCs w:val="24"/>
        </w:rPr>
        <w:t>и</w:t>
      </w:r>
      <w:r w:rsidR="00717D0E" w:rsidRPr="005F720D">
        <w:rPr>
          <w:rFonts w:ascii="Times New Roman" w:hAnsi="Times New Roman"/>
          <w:sz w:val="24"/>
          <w:szCs w:val="24"/>
        </w:rPr>
        <w:t xml:space="preserve"> </w:t>
      </w:r>
      <w:r w:rsidRPr="005F720D">
        <w:rPr>
          <w:rFonts w:ascii="Times New Roman" w:hAnsi="Times New Roman"/>
          <w:sz w:val="24"/>
          <w:szCs w:val="24"/>
        </w:rPr>
        <w:t>доприноса</w:t>
      </w:r>
      <w:r w:rsidR="00717D0E" w:rsidRPr="005F720D">
        <w:rPr>
          <w:rFonts w:ascii="Times New Roman" w:hAnsi="Times New Roman"/>
          <w:sz w:val="24"/>
          <w:szCs w:val="24"/>
        </w:rPr>
        <w:t xml:space="preserve"> </w:t>
      </w:r>
      <w:r w:rsidRPr="005F720D">
        <w:rPr>
          <w:rFonts w:ascii="Times New Roman" w:hAnsi="Times New Roman"/>
          <w:sz w:val="24"/>
          <w:szCs w:val="24"/>
        </w:rPr>
        <w:t>на</w:t>
      </w:r>
      <w:r w:rsidR="00717D0E" w:rsidRPr="005F720D">
        <w:rPr>
          <w:rFonts w:ascii="Times New Roman" w:hAnsi="Times New Roman"/>
          <w:sz w:val="24"/>
          <w:szCs w:val="24"/>
        </w:rPr>
        <w:t xml:space="preserve"> </w:t>
      </w:r>
      <w:r w:rsidRPr="005F720D">
        <w:rPr>
          <w:rFonts w:ascii="Times New Roman" w:hAnsi="Times New Roman"/>
          <w:sz w:val="24"/>
          <w:szCs w:val="24"/>
        </w:rPr>
        <w:t>зараде</w:t>
      </w:r>
      <w:r w:rsidR="00717D0E" w:rsidRPr="005F720D">
        <w:rPr>
          <w:rFonts w:ascii="Times New Roman" w:hAnsi="Times New Roman"/>
          <w:sz w:val="24"/>
          <w:szCs w:val="24"/>
        </w:rPr>
        <w:t xml:space="preserve"> </w:t>
      </w:r>
      <w:r w:rsidRPr="005F720D">
        <w:rPr>
          <w:rFonts w:ascii="Times New Roman" w:hAnsi="Times New Roman"/>
          <w:sz w:val="24"/>
          <w:szCs w:val="24"/>
        </w:rPr>
        <w:t>већи</w:t>
      </w:r>
      <w:r w:rsidR="00717D0E" w:rsidRPr="005F720D">
        <w:rPr>
          <w:rFonts w:ascii="Times New Roman" w:hAnsi="Times New Roman"/>
          <w:sz w:val="24"/>
          <w:szCs w:val="24"/>
        </w:rPr>
        <w:t xml:space="preserve"> </w:t>
      </w:r>
      <w:r w:rsidRPr="005F720D">
        <w:rPr>
          <w:rFonts w:ascii="Times New Roman" w:hAnsi="Times New Roman"/>
          <w:sz w:val="24"/>
          <w:szCs w:val="24"/>
        </w:rPr>
        <w:t>него</w:t>
      </w:r>
      <w:r w:rsidR="00717D0E" w:rsidRPr="005F720D">
        <w:rPr>
          <w:rFonts w:ascii="Times New Roman" w:hAnsi="Times New Roman"/>
          <w:sz w:val="24"/>
          <w:szCs w:val="24"/>
        </w:rPr>
        <w:t xml:space="preserve"> </w:t>
      </w:r>
      <w:r w:rsidRPr="005F720D">
        <w:rPr>
          <w:rFonts w:ascii="Times New Roman" w:hAnsi="Times New Roman"/>
          <w:sz w:val="24"/>
          <w:szCs w:val="24"/>
        </w:rPr>
        <w:t>код</w:t>
      </w:r>
      <w:r w:rsidR="00717D0E" w:rsidRPr="005F720D">
        <w:rPr>
          <w:rFonts w:ascii="Times New Roman" w:hAnsi="Times New Roman"/>
          <w:sz w:val="24"/>
          <w:szCs w:val="24"/>
        </w:rPr>
        <w:t xml:space="preserve"> </w:t>
      </w:r>
      <w:r w:rsidRPr="005F720D">
        <w:rPr>
          <w:rFonts w:ascii="Times New Roman" w:hAnsi="Times New Roman"/>
          <w:sz w:val="24"/>
          <w:szCs w:val="24"/>
        </w:rPr>
        <w:t>евазије</w:t>
      </w:r>
      <w:r w:rsidR="00717D0E" w:rsidRPr="005F720D">
        <w:rPr>
          <w:rFonts w:ascii="Times New Roman" w:hAnsi="Times New Roman"/>
          <w:sz w:val="24"/>
          <w:szCs w:val="24"/>
        </w:rPr>
        <w:t xml:space="preserve"> </w:t>
      </w:r>
      <w:r w:rsidRPr="005F720D">
        <w:rPr>
          <w:rFonts w:ascii="Times New Roman" w:hAnsi="Times New Roman"/>
          <w:sz w:val="24"/>
          <w:szCs w:val="24"/>
        </w:rPr>
        <w:t>пореза</w:t>
      </w:r>
      <w:r w:rsidR="00717D0E" w:rsidRPr="005F720D">
        <w:rPr>
          <w:rFonts w:ascii="Times New Roman" w:hAnsi="Times New Roman"/>
          <w:sz w:val="24"/>
          <w:szCs w:val="24"/>
        </w:rPr>
        <w:t xml:space="preserve"> </w:t>
      </w:r>
      <w:r w:rsidRPr="005F720D">
        <w:rPr>
          <w:rFonts w:ascii="Times New Roman" w:hAnsi="Times New Roman"/>
          <w:sz w:val="24"/>
          <w:szCs w:val="24"/>
        </w:rPr>
        <w:t>и</w:t>
      </w:r>
      <w:r w:rsidR="00717D0E" w:rsidRPr="005F720D">
        <w:rPr>
          <w:rFonts w:ascii="Times New Roman" w:hAnsi="Times New Roman"/>
          <w:sz w:val="24"/>
          <w:szCs w:val="24"/>
        </w:rPr>
        <w:t xml:space="preserve"> </w:t>
      </w:r>
      <w:r w:rsidRPr="005F720D">
        <w:rPr>
          <w:rFonts w:ascii="Times New Roman" w:hAnsi="Times New Roman"/>
          <w:sz w:val="24"/>
          <w:szCs w:val="24"/>
        </w:rPr>
        <w:t>доприноса</w:t>
      </w:r>
      <w:r w:rsidR="00717D0E" w:rsidRPr="005F720D">
        <w:rPr>
          <w:rFonts w:ascii="Times New Roman" w:hAnsi="Times New Roman"/>
          <w:sz w:val="24"/>
          <w:szCs w:val="24"/>
        </w:rPr>
        <w:t xml:space="preserve"> </w:t>
      </w:r>
      <w:r w:rsidRPr="005F720D">
        <w:rPr>
          <w:rFonts w:ascii="Times New Roman" w:hAnsi="Times New Roman"/>
          <w:sz w:val="24"/>
          <w:szCs w:val="24"/>
        </w:rPr>
        <w:t>на</w:t>
      </w:r>
      <w:r w:rsidR="00717D0E" w:rsidRPr="005F720D">
        <w:rPr>
          <w:rFonts w:ascii="Times New Roman" w:hAnsi="Times New Roman"/>
          <w:sz w:val="24"/>
          <w:szCs w:val="24"/>
        </w:rPr>
        <w:t xml:space="preserve"> </w:t>
      </w:r>
      <w:r w:rsidRPr="005F720D">
        <w:rPr>
          <w:rFonts w:ascii="Times New Roman" w:hAnsi="Times New Roman"/>
          <w:sz w:val="24"/>
          <w:szCs w:val="24"/>
        </w:rPr>
        <w:t>доходак</w:t>
      </w:r>
      <w:r w:rsidR="00717D0E" w:rsidRPr="005F720D">
        <w:rPr>
          <w:rFonts w:ascii="Times New Roman" w:hAnsi="Times New Roman"/>
          <w:sz w:val="24"/>
          <w:szCs w:val="24"/>
        </w:rPr>
        <w:t xml:space="preserve"> </w:t>
      </w:r>
      <w:r w:rsidRPr="005F720D">
        <w:rPr>
          <w:rFonts w:ascii="Times New Roman" w:hAnsi="Times New Roman"/>
          <w:sz w:val="24"/>
          <w:szCs w:val="24"/>
        </w:rPr>
        <w:t>од</w:t>
      </w:r>
      <w:r w:rsidR="00717D0E" w:rsidRPr="005F720D">
        <w:rPr>
          <w:rFonts w:ascii="Times New Roman" w:hAnsi="Times New Roman"/>
          <w:sz w:val="24"/>
          <w:szCs w:val="24"/>
        </w:rPr>
        <w:t xml:space="preserve"> </w:t>
      </w:r>
      <w:r w:rsidRPr="005F720D">
        <w:rPr>
          <w:rFonts w:ascii="Times New Roman" w:hAnsi="Times New Roman"/>
          <w:sz w:val="24"/>
          <w:szCs w:val="24"/>
        </w:rPr>
        <w:t>самосталне</w:t>
      </w:r>
      <w:r w:rsidR="00717D0E" w:rsidRPr="005F720D">
        <w:rPr>
          <w:rFonts w:ascii="Times New Roman" w:hAnsi="Times New Roman"/>
          <w:sz w:val="24"/>
          <w:szCs w:val="24"/>
        </w:rPr>
        <w:t xml:space="preserve"> </w:t>
      </w:r>
      <w:r w:rsidRPr="005F720D">
        <w:rPr>
          <w:rFonts w:ascii="Times New Roman" w:hAnsi="Times New Roman"/>
          <w:sz w:val="24"/>
          <w:szCs w:val="24"/>
        </w:rPr>
        <w:t>делатности</w:t>
      </w:r>
      <w:r w:rsidR="00717D0E" w:rsidRPr="005F720D">
        <w:rPr>
          <w:rFonts w:ascii="Times New Roman" w:hAnsi="Times New Roman"/>
          <w:sz w:val="24"/>
          <w:szCs w:val="24"/>
        </w:rPr>
        <w:t xml:space="preserve">, </w:t>
      </w:r>
      <w:r w:rsidRPr="005F720D">
        <w:rPr>
          <w:rFonts w:ascii="Times New Roman" w:hAnsi="Times New Roman"/>
          <w:sz w:val="24"/>
          <w:szCs w:val="24"/>
        </w:rPr>
        <w:t>али</w:t>
      </w:r>
      <w:r w:rsidR="00717D0E" w:rsidRPr="005F720D">
        <w:rPr>
          <w:rFonts w:ascii="Times New Roman" w:hAnsi="Times New Roman"/>
          <w:sz w:val="24"/>
          <w:szCs w:val="24"/>
        </w:rPr>
        <w:t xml:space="preserve"> </w:t>
      </w:r>
      <w:r w:rsidRPr="005F720D">
        <w:rPr>
          <w:rFonts w:ascii="Times New Roman" w:hAnsi="Times New Roman"/>
          <w:sz w:val="24"/>
          <w:szCs w:val="24"/>
        </w:rPr>
        <w:t>да</w:t>
      </w:r>
      <w:r w:rsidR="00717D0E" w:rsidRPr="005F720D">
        <w:rPr>
          <w:rFonts w:ascii="Times New Roman" w:hAnsi="Times New Roman"/>
          <w:sz w:val="24"/>
          <w:szCs w:val="24"/>
        </w:rPr>
        <w:t xml:space="preserve"> </w:t>
      </w:r>
      <w:r w:rsidRPr="005F720D">
        <w:rPr>
          <w:rFonts w:ascii="Times New Roman" w:hAnsi="Times New Roman"/>
          <w:sz w:val="24"/>
          <w:szCs w:val="24"/>
        </w:rPr>
        <w:t>је</w:t>
      </w:r>
      <w:r w:rsidR="00717D0E" w:rsidRPr="005F720D">
        <w:rPr>
          <w:rFonts w:ascii="Times New Roman" w:hAnsi="Times New Roman"/>
          <w:sz w:val="24"/>
          <w:szCs w:val="24"/>
        </w:rPr>
        <w:t xml:space="preserve"> </w:t>
      </w:r>
      <w:r w:rsidRPr="005F720D">
        <w:rPr>
          <w:rFonts w:ascii="Times New Roman" w:hAnsi="Times New Roman"/>
          <w:sz w:val="24"/>
          <w:szCs w:val="24"/>
        </w:rPr>
        <w:t>релативна</w:t>
      </w:r>
      <w:r w:rsidR="00717D0E" w:rsidRPr="005F720D">
        <w:rPr>
          <w:rFonts w:ascii="Times New Roman" w:hAnsi="Times New Roman"/>
          <w:sz w:val="24"/>
          <w:szCs w:val="24"/>
        </w:rPr>
        <w:t xml:space="preserve"> </w:t>
      </w:r>
      <w:r w:rsidRPr="005F720D">
        <w:rPr>
          <w:rFonts w:ascii="Times New Roman" w:hAnsi="Times New Roman"/>
          <w:sz w:val="24"/>
          <w:szCs w:val="24"/>
        </w:rPr>
        <w:t>стопа</w:t>
      </w:r>
      <w:r w:rsidR="00717D0E" w:rsidRPr="005F720D">
        <w:rPr>
          <w:rFonts w:ascii="Times New Roman" w:hAnsi="Times New Roman"/>
          <w:sz w:val="24"/>
          <w:szCs w:val="24"/>
        </w:rPr>
        <w:t xml:space="preserve"> </w:t>
      </w:r>
      <w:r w:rsidRPr="005F720D">
        <w:rPr>
          <w:rFonts w:ascii="Times New Roman" w:hAnsi="Times New Roman"/>
          <w:sz w:val="24"/>
          <w:szCs w:val="24"/>
        </w:rPr>
        <w:t>пореске</w:t>
      </w:r>
      <w:r w:rsidR="00717D0E" w:rsidRPr="005F720D">
        <w:rPr>
          <w:rFonts w:ascii="Times New Roman" w:hAnsi="Times New Roman"/>
          <w:sz w:val="24"/>
          <w:szCs w:val="24"/>
        </w:rPr>
        <w:t xml:space="preserve"> </w:t>
      </w:r>
      <w:r w:rsidRPr="005F720D">
        <w:rPr>
          <w:rFonts w:ascii="Times New Roman" w:hAnsi="Times New Roman"/>
          <w:sz w:val="24"/>
          <w:szCs w:val="24"/>
        </w:rPr>
        <w:t>евазије</w:t>
      </w:r>
      <w:r w:rsidR="00717D0E" w:rsidRPr="005F720D">
        <w:rPr>
          <w:rFonts w:ascii="Times New Roman" w:hAnsi="Times New Roman"/>
          <w:sz w:val="24"/>
          <w:szCs w:val="24"/>
        </w:rPr>
        <w:t xml:space="preserve"> </w:t>
      </w:r>
      <w:r w:rsidRPr="005F720D">
        <w:rPr>
          <w:rFonts w:ascii="Times New Roman" w:hAnsi="Times New Roman"/>
          <w:sz w:val="24"/>
          <w:szCs w:val="24"/>
        </w:rPr>
        <w:t>већа</w:t>
      </w:r>
      <w:r w:rsidR="00717D0E" w:rsidRPr="005F720D">
        <w:rPr>
          <w:rFonts w:ascii="Times New Roman" w:hAnsi="Times New Roman"/>
          <w:sz w:val="24"/>
          <w:szCs w:val="24"/>
        </w:rPr>
        <w:t xml:space="preserve"> </w:t>
      </w:r>
      <w:r w:rsidRPr="005F720D">
        <w:rPr>
          <w:rFonts w:ascii="Times New Roman" w:hAnsi="Times New Roman"/>
          <w:sz w:val="24"/>
          <w:szCs w:val="24"/>
        </w:rPr>
        <w:t>код</w:t>
      </w:r>
      <w:r w:rsidR="00717D0E" w:rsidRPr="005F720D">
        <w:rPr>
          <w:rFonts w:ascii="Times New Roman" w:hAnsi="Times New Roman"/>
          <w:sz w:val="24"/>
          <w:szCs w:val="24"/>
        </w:rPr>
        <w:t xml:space="preserve"> </w:t>
      </w:r>
      <w:r w:rsidRPr="005F720D">
        <w:rPr>
          <w:rFonts w:ascii="Times New Roman" w:hAnsi="Times New Roman"/>
          <w:sz w:val="24"/>
          <w:szCs w:val="24"/>
        </w:rPr>
        <w:t>дохотка</w:t>
      </w:r>
      <w:r w:rsidR="00717D0E" w:rsidRPr="005F720D">
        <w:rPr>
          <w:rFonts w:ascii="Times New Roman" w:hAnsi="Times New Roman"/>
          <w:sz w:val="24"/>
          <w:szCs w:val="24"/>
        </w:rPr>
        <w:t xml:space="preserve"> </w:t>
      </w:r>
      <w:r w:rsidRPr="005F720D">
        <w:rPr>
          <w:rFonts w:ascii="Times New Roman" w:hAnsi="Times New Roman"/>
          <w:sz w:val="24"/>
          <w:szCs w:val="24"/>
        </w:rPr>
        <w:t>од</w:t>
      </w:r>
      <w:r w:rsidR="00717D0E" w:rsidRPr="005F720D">
        <w:rPr>
          <w:rFonts w:ascii="Times New Roman" w:hAnsi="Times New Roman"/>
          <w:sz w:val="24"/>
          <w:szCs w:val="24"/>
        </w:rPr>
        <w:t xml:space="preserve"> </w:t>
      </w:r>
      <w:r w:rsidRPr="005F720D">
        <w:rPr>
          <w:rFonts w:ascii="Times New Roman" w:hAnsi="Times New Roman"/>
          <w:sz w:val="24"/>
          <w:szCs w:val="24"/>
        </w:rPr>
        <w:t>самосталне</w:t>
      </w:r>
      <w:r w:rsidR="00717D0E" w:rsidRPr="005F720D">
        <w:rPr>
          <w:rFonts w:ascii="Times New Roman" w:hAnsi="Times New Roman"/>
          <w:sz w:val="24"/>
          <w:szCs w:val="24"/>
        </w:rPr>
        <w:t xml:space="preserve"> </w:t>
      </w:r>
      <w:r w:rsidRPr="005F720D">
        <w:rPr>
          <w:rFonts w:ascii="Times New Roman" w:hAnsi="Times New Roman"/>
          <w:sz w:val="24"/>
          <w:szCs w:val="24"/>
        </w:rPr>
        <w:t>делатности</w:t>
      </w:r>
      <w:r w:rsidR="00717D0E" w:rsidRPr="005F720D">
        <w:rPr>
          <w:rFonts w:ascii="Times New Roman" w:hAnsi="Times New Roman"/>
          <w:sz w:val="24"/>
          <w:szCs w:val="24"/>
        </w:rPr>
        <w:t xml:space="preserve">. </w:t>
      </w:r>
      <w:r w:rsidRPr="005F720D">
        <w:rPr>
          <w:rFonts w:ascii="Times New Roman" w:hAnsi="Times New Roman"/>
          <w:sz w:val="24"/>
          <w:szCs w:val="24"/>
        </w:rPr>
        <w:t>Такође</w:t>
      </w:r>
      <w:r w:rsidR="00717D0E" w:rsidRPr="005F720D">
        <w:rPr>
          <w:rFonts w:ascii="Times New Roman" w:hAnsi="Times New Roman"/>
          <w:sz w:val="24"/>
          <w:szCs w:val="24"/>
        </w:rPr>
        <w:t xml:space="preserve"> </w:t>
      </w:r>
      <w:r w:rsidRPr="005F720D">
        <w:rPr>
          <w:rFonts w:ascii="Times New Roman" w:hAnsi="Times New Roman"/>
          <w:sz w:val="24"/>
          <w:szCs w:val="24"/>
        </w:rPr>
        <w:t>је</w:t>
      </w:r>
      <w:r w:rsidR="00717D0E" w:rsidRPr="005F720D">
        <w:rPr>
          <w:rFonts w:ascii="Times New Roman" w:hAnsi="Times New Roman"/>
          <w:sz w:val="24"/>
          <w:szCs w:val="24"/>
        </w:rPr>
        <w:t xml:space="preserve"> </w:t>
      </w:r>
      <w:r w:rsidRPr="005F720D">
        <w:rPr>
          <w:rFonts w:ascii="Times New Roman" w:hAnsi="Times New Roman"/>
          <w:sz w:val="24"/>
          <w:szCs w:val="24"/>
        </w:rPr>
        <w:t>уочено</w:t>
      </w:r>
      <w:r w:rsidR="00717D0E" w:rsidRPr="005F720D">
        <w:rPr>
          <w:rFonts w:ascii="Times New Roman" w:hAnsi="Times New Roman"/>
          <w:sz w:val="24"/>
          <w:szCs w:val="24"/>
        </w:rPr>
        <w:t xml:space="preserve"> </w:t>
      </w:r>
      <w:r w:rsidRPr="005F720D">
        <w:rPr>
          <w:rFonts w:ascii="Times New Roman" w:hAnsi="Times New Roman"/>
          <w:sz w:val="24"/>
          <w:szCs w:val="24"/>
        </w:rPr>
        <w:t>да</w:t>
      </w:r>
      <w:r w:rsidR="00717D0E" w:rsidRPr="005F720D">
        <w:rPr>
          <w:rFonts w:ascii="Times New Roman" w:hAnsi="Times New Roman"/>
          <w:sz w:val="24"/>
          <w:szCs w:val="24"/>
        </w:rPr>
        <w:t xml:space="preserve"> </w:t>
      </w:r>
      <w:r w:rsidRPr="005F720D">
        <w:rPr>
          <w:rFonts w:ascii="Times New Roman" w:hAnsi="Times New Roman"/>
          <w:sz w:val="24"/>
          <w:szCs w:val="24"/>
        </w:rPr>
        <w:t>гранична</w:t>
      </w:r>
      <w:r w:rsidR="00717D0E" w:rsidRPr="005F720D">
        <w:rPr>
          <w:rFonts w:ascii="Times New Roman" w:hAnsi="Times New Roman"/>
          <w:sz w:val="24"/>
          <w:szCs w:val="24"/>
        </w:rPr>
        <w:t xml:space="preserve"> </w:t>
      </w:r>
      <w:r w:rsidRPr="005F720D">
        <w:rPr>
          <w:rFonts w:ascii="Times New Roman" w:hAnsi="Times New Roman"/>
          <w:sz w:val="24"/>
          <w:szCs w:val="24"/>
        </w:rPr>
        <w:t>склоност</w:t>
      </w:r>
      <w:r w:rsidR="00717D0E" w:rsidRPr="005F720D">
        <w:rPr>
          <w:rFonts w:ascii="Times New Roman" w:hAnsi="Times New Roman"/>
          <w:sz w:val="24"/>
          <w:szCs w:val="24"/>
        </w:rPr>
        <w:t xml:space="preserve"> </w:t>
      </w:r>
      <w:r w:rsidRPr="005F720D">
        <w:rPr>
          <w:rFonts w:ascii="Times New Roman" w:hAnsi="Times New Roman"/>
          <w:sz w:val="24"/>
          <w:szCs w:val="24"/>
        </w:rPr>
        <w:t>ка</w:t>
      </w:r>
      <w:r w:rsidR="00717D0E" w:rsidRPr="005F720D">
        <w:rPr>
          <w:rFonts w:ascii="Times New Roman" w:hAnsi="Times New Roman"/>
          <w:sz w:val="24"/>
          <w:szCs w:val="24"/>
        </w:rPr>
        <w:t xml:space="preserve"> </w:t>
      </w:r>
      <w:r w:rsidRPr="005F720D">
        <w:rPr>
          <w:rFonts w:ascii="Times New Roman" w:hAnsi="Times New Roman"/>
          <w:sz w:val="24"/>
          <w:szCs w:val="24"/>
        </w:rPr>
        <w:t>пореској</w:t>
      </w:r>
      <w:r w:rsidR="00717D0E" w:rsidRPr="005F720D">
        <w:rPr>
          <w:rFonts w:ascii="Times New Roman" w:hAnsi="Times New Roman"/>
          <w:sz w:val="24"/>
          <w:szCs w:val="24"/>
        </w:rPr>
        <w:t xml:space="preserve"> </w:t>
      </w:r>
      <w:r w:rsidRPr="005F720D">
        <w:rPr>
          <w:rFonts w:ascii="Times New Roman" w:hAnsi="Times New Roman"/>
          <w:sz w:val="24"/>
          <w:szCs w:val="24"/>
        </w:rPr>
        <w:t>евазији</w:t>
      </w:r>
      <w:r w:rsidR="00717D0E" w:rsidRPr="005F720D">
        <w:rPr>
          <w:rFonts w:ascii="Times New Roman" w:hAnsi="Times New Roman"/>
          <w:sz w:val="24"/>
          <w:szCs w:val="24"/>
        </w:rPr>
        <w:t xml:space="preserve"> </w:t>
      </w:r>
      <w:r w:rsidRPr="005F720D">
        <w:rPr>
          <w:rFonts w:ascii="Times New Roman" w:hAnsi="Times New Roman"/>
          <w:sz w:val="24"/>
          <w:szCs w:val="24"/>
        </w:rPr>
        <w:t>у</w:t>
      </w:r>
      <w:r w:rsidR="00717D0E" w:rsidRPr="005F720D">
        <w:rPr>
          <w:rFonts w:ascii="Times New Roman" w:hAnsi="Times New Roman"/>
          <w:sz w:val="24"/>
          <w:szCs w:val="24"/>
        </w:rPr>
        <w:t xml:space="preserve"> </w:t>
      </w:r>
      <w:r w:rsidRPr="005F720D">
        <w:rPr>
          <w:rFonts w:ascii="Times New Roman" w:hAnsi="Times New Roman"/>
          <w:sz w:val="24"/>
          <w:szCs w:val="24"/>
        </w:rPr>
        <w:t>Србији</w:t>
      </w:r>
      <w:r w:rsidR="00717D0E" w:rsidRPr="005F720D">
        <w:rPr>
          <w:rFonts w:ascii="Times New Roman" w:hAnsi="Times New Roman"/>
          <w:sz w:val="24"/>
          <w:szCs w:val="24"/>
        </w:rPr>
        <w:t xml:space="preserve"> </w:t>
      </w:r>
      <w:r w:rsidRPr="005F720D">
        <w:rPr>
          <w:rFonts w:ascii="Times New Roman" w:hAnsi="Times New Roman"/>
          <w:sz w:val="24"/>
          <w:szCs w:val="24"/>
        </w:rPr>
        <w:t>опада</w:t>
      </w:r>
      <w:r w:rsidR="00717D0E" w:rsidRPr="005F720D">
        <w:rPr>
          <w:rFonts w:ascii="Times New Roman" w:hAnsi="Times New Roman"/>
          <w:sz w:val="24"/>
          <w:szCs w:val="24"/>
        </w:rPr>
        <w:t xml:space="preserve"> </w:t>
      </w:r>
      <w:r w:rsidRPr="005F720D">
        <w:rPr>
          <w:rFonts w:ascii="Times New Roman" w:hAnsi="Times New Roman"/>
          <w:sz w:val="24"/>
          <w:szCs w:val="24"/>
        </w:rPr>
        <w:t>са</w:t>
      </w:r>
      <w:r w:rsidR="00717D0E" w:rsidRPr="005F720D">
        <w:rPr>
          <w:rFonts w:ascii="Times New Roman" w:hAnsi="Times New Roman"/>
          <w:sz w:val="24"/>
          <w:szCs w:val="24"/>
        </w:rPr>
        <w:t xml:space="preserve"> </w:t>
      </w:r>
      <w:r w:rsidRPr="005F720D">
        <w:rPr>
          <w:rFonts w:ascii="Times New Roman" w:hAnsi="Times New Roman"/>
          <w:sz w:val="24"/>
          <w:szCs w:val="24"/>
        </w:rPr>
        <w:t>растом</w:t>
      </w:r>
      <w:r w:rsidR="00717D0E" w:rsidRPr="005F720D">
        <w:rPr>
          <w:rFonts w:ascii="Times New Roman" w:hAnsi="Times New Roman"/>
          <w:sz w:val="24"/>
          <w:szCs w:val="24"/>
        </w:rPr>
        <w:t xml:space="preserve"> </w:t>
      </w:r>
      <w:r w:rsidRPr="005F720D">
        <w:rPr>
          <w:rFonts w:ascii="Times New Roman" w:hAnsi="Times New Roman"/>
          <w:sz w:val="24"/>
          <w:szCs w:val="24"/>
        </w:rPr>
        <w:t>зарада</w:t>
      </w:r>
      <w:r w:rsidR="00717D0E" w:rsidRPr="005F720D">
        <w:rPr>
          <w:rFonts w:ascii="Times New Roman" w:hAnsi="Times New Roman"/>
          <w:sz w:val="24"/>
          <w:szCs w:val="24"/>
        </w:rPr>
        <w:t xml:space="preserve">, </w:t>
      </w:r>
      <w:r w:rsidRPr="005F720D">
        <w:rPr>
          <w:rFonts w:ascii="Times New Roman" w:hAnsi="Times New Roman"/>
          <w:sz w:val="24"/>
          <w:szCs w:val="24"/>
        </w:rPr>
        <w:t>а</w:t>
      </w:r>
      <w:r w:rsidR="00717D0E" w:rsidRPr="005F720D">
        <w:rPr>
          <w:rFonts w:ascii="Times New Roman" w:hAnsi="Times New Roman"/>
          <w:sz w:val="24"/>
          <w:szCs w:val="24"/>
        </w:rPr>
        <w:t xml:space="preserve"> </w:t>
      </w:r>
      <w:r w:rsidRPr="005F720D">
        <w:rPr>
          <w:rFonts w:ascii="Times New Roman" w:hAnsi="Times New Roman"/>
          <w:sz w:val="24"/>
          <w:szCs w:val="24"/>
        </w:rPr>
        <w:t>да</w:t>
      </w:r>
      <w:r w:rsidR="00717D0E" w:rsidRPr="005F720D">
        <w:rPr>
          <w:rFonts w:ascii="Times New Roman" w:hAnsi="Times New Roman"/>
          <w:sz w:val="24"/>
          <w:szCs w:val="24"/>
        </w:rPr>
        <w:t xml:space="preserve"> </w:t>
      </w:r>
      <w:r w:rsidRPr="005F720D">
        <w:rPr>
          <w:rFonts w:ascii="Times New Roman" w:hAnsi="Times New Roman"/>
          <w:sz w:val="24"/>
          <w:szCs w:val="24"/>
        </w:rPr>
        <w:t>расте</w:t>
      </w:r>
      <w:r w:rsidR="00717D0E" w:rsidRPr="005F720D">
        <w:rPr>
          <w:rFonts w:ascii="Times New Roman" w:hAnsi="Times New Roman"/>
          <w:sz w:val="24"/>
          <w:szCs w:val="24"/>
        </w:rPr>
        <w:t xml:space="preserve"> </w:t>
      </w:r>
      <w:r w:rsidRPr="005F720D">
        <w:rPr>
          <w:rFonts w:ascii="Times New Roman" w:hAnsi="Times New Roman"/>
          <w:sz w:val="24"/>
          <w:szCs w:val="24"/>
        </w:rPr>
        <w:t>са</w:t>
      </w:r>
      <w:r w:rsidR="00717D0E" w:rsidRPr="005F720D">
        <w:rPr>
          <w:rFonts w:ascii="Times New Roman" w:hAnsi="Times New Roman"/>
          <w:sz w:val="24"/>
          <w:szCs w:val="24"/>
        </w:rPr>
        <w:t xml:space="preserve"> </w:t>
      </w:r>
      <w:r w:rsidRPr="005F720D">
        <w:rPr>
          <w:rFonts w:ascii="Times New Roman" w:hAnsi="Times New Roman"/>
          <w:sz w:val="24"/>
          <w:szCs w:val="24"/>
        </w:rPr>
        <w:t>растом</w:t>
      </w:r>
      <w:r w:rsidR="00717D0E" w:rsidRPr="005F720D">
        <w:rPr>
          <w:rFonts w:ascii="Times New Roman" w:hAnsi="Times New Roman"/>
          <w:sz w:val="24"/>
          <w:szCs w:val="24"/>
        </w:rPr>
        <w:t xml:space="preserve"> </w:t>
      </w:r>
      <w:r w:rsidRPr="005F720D">
        <w:rPr>
          <w:rFonts w:ascii="Times New Roman" w:hAnsi="Times New Roman"/>
          <w:sz w:val="24"/>
          <w:szCs w:val="24"/>
        </w:rPr>
        <w:t>дохотка</w:t>
      </w:r>
      <w:r w:rsidR="00717D0E" w:rsidRPr="005F720D">
        <w:rPr>
          <w:rFonts w:ascii="Times New Roman" w:hAnsi="Times New Roman"/>
          <w:sz w:val="24"/>
          <w:szCs w:val="24"/>
        </w:rPr>
        <w:t xml:space="preserve"> </w:t>
      </w:r>
      <w:r w:rsidRPr="005F720D">
        <w:rPr>
          <w:rFonts w:ascii="Times New Roman" w:hAnsi="Times New Roman"/>
          <w:sz w:val="24"/>
          <w:szCs w:val="24"/>
        </w:rPr>
        <w:t>од</w:t>
      </w:r>
      <w:r w:rsidR="00717D0E" w:rsidRPr="005F720D">
        <w:rPr>
          <w:rFonts w:ascii="Times New Roman" w:hAnsi="Times New Roman"/>
          <w:sz w:val="24"/>
          <w:szCs w:val="24"/>
        </w:rPr>
        <w:t xml:space="preserve"> </w:t>
      </w:r>
      <w:r w:rsidRPr="005F720D">
        <w:rPr>
          <w:rFonts w:ascii="Times New Roman" w:hAnsi="Times New Roman"/>
          <w:sz w:val="24"/>
          <w:szCs w:val="24"/>
        </w:rPr>
        <w:t>самосталне</w:t>
      </w:r>
      <w:r w:rsidR="00717D0E" w:rsidRPr="005F720D">
        <w:rPr>
          <w:rFonts w:ascii="Times New Roman" w:hAnsi="Times New Roman"/>
          <w:sz w:val="24"/>
          <w:szCs w:val="24"/>
        </w:rPr>
        <w:t xml:space="preserve"> </w:t>
      </w:r>
      <w:r w:rsidRPr="005F720D">
        <w:rPr>
          <w:rFonts w:ascii="Times New Roman" w:hAnsi="Times New Roman"/>
          <w:sz w:val="24"/>
          <w:szCs w:val="24"/>
        </w:rPr>
        <w:t>делатности</w:t>
      </w:r>
      <w:r w:rsidR="00717D0E" w:rsidRPr="005F720D">
        <w:rPr>
          <w:rFonts w:ascii="Times New Roman" w:hAnsi="Times New Roman"/>
          <w:sz w:val="24"/>
          <w:szCs w:val="24"/>
        </w:rPr>
        <w:t xml:space="preserve">. </w:t>
      </w:r>
      <w:r w:rsidRPr="005F720D">
        <w:rPr>
          <w:rFonts w:ascii="Times New Roman" w:hAnsi="Times New Roman"/>
          <w:sz w:val="24"/>
          <w:szCs w:val="24"/>
        </w:rPr>
        <w:t>То</w:t>
      </w:r>
      <w:r w:rsidR="00717D0E" w:rsidRPr="005F720D">
        <w:rPr>
          <w:rFonts w:ascii="Times New Roman" w:hAnsi="Times New Roman"/>
          <w:sz w:val="24"/>
          <w:szCs w:val="24"/>
        </w:rPr>
        <w:t xml:space="preserve"> </w:t>
      </w:r>
      <w:r w:rsidRPr="005F720D">
        <w:rPr>
          <w:rFonts w:ascii="Times New Roman" w:hAnsi="Times New Roman"/>
          <w:sz w:val="24"/>
          <w:szCs w:val="24"/>
        </w:rPr>
        <w:t>је</w:t>
      </w:r>
      <w:r w:rsidR="00717D0E" w:rsidRPr="005F720D">
        <w:rPr>
          <w:rFonts w:ascii="Times New Roman" w:hAnsi="Times New Roman"/>
          <w:sz w:val="24"/>
          <w:szCs w:val="24"/>
        </w:rPr>
        <w:t xml:space="preserve"> </w:t>
      </w:r>
      <w:r w:rsidRPr="005F720D">
        <w:rPr>
          <w:rFonts w:ascii="Times New Roman" w:hAnsi="Times New Roman"/>
          <w:sz w:val="24"/>
          <w:szCs w:val="24"/>
        </w:rPr>
        <w:t>последица</w:t>
      </w:r>
      <w:r w:rsidR="00717D0E" w:rsidRPr="005F720D">
        <w:rPr>
          <w:rFonts w:ascii="Times New Roman" w:hAnsi="Times New Roman"/>
          <w:sz w:val="24"/>
          <w:szCs w:val="24"/>
        </w:rPr>
        <w:t xml:space="preserve"> </w:t>
      </w:r>
      <w:r w:rsidRPr="005F720D">
        <w:rPr>
          <w:rFonts w:ascii="Times New Roman" w:hAnsi="Times New Roman"/>
          <w:sz w:val="24"/>
          <w:szCs w:val="24"/>
        </w:rPr>
        <w:t>чињенице</w:t>
      </w:r>
      <w:r w:rsidR="00717D0E" w:rsidRPr="005F720D">
        <w:rPr>
          <w:rFonts w:ascii="Times New Roman" w:hAnsi="Times New Roman"/>
          <w:sz w:val="24"/>
          <w:szCs w:val="24"/>
        </w:rPr>
        <w:t xml:space="preserve"> </w:t>
      </w:r>
      <w:r w:rsidRPr="005F720D">
        <w:rPr>
          <w:rFonts w:ascii="Times New Roman" w:hAnsi="Times New Roman"/>
          <w:sz w:val="24"/>
          <w:szCs w:val="24"/>
        </w:rPr>
        <w:t>да</w:t>
      </w:r>
      <w:r w:rsidR="00717D0E" w:rsidRPr="005F720D">
        <w:rPr>
          <w:rFonts w:ascii="Times New Roman" w:hAnsi="Times New Roman"/>
          <w:sz w:val="24"/>
          <w:szCs w:val="24"/>
        </w:rPr>
        <w:t xml:space="preserve"> </w:t>
      </w:r>
      <w:r w:rsidRPr="005F720D">
        <w:rPr>
          <w:rFonts w:ascii="Times New Roman" w:hAnsi="Times New Roman"/>
          <w:sz w:val="24"/>
          <w:szCs w:val="24"/>
        </w:rPr>
        <w:t>је</w:t>
      </w:r>
      <w:r w:rsidR="00717D0E" w:rsidRPr="005F720D">
        <w:rPr>
          <w:rFonts w:ascii="Times New Roman" w:hAnsi="Times New Roman"/>
          <w:sz w:val="24"/>
          <w:szCs w:val="24"/>
        </w:rPr>
        <w:t xml:space="preserve"> </w:t>
      </w:r>
      <w:r w:rsidRPr="005F720D">
        <w:rPr>
          <w:rFonts w:ascii="Times New Roman" w:hAnsi="Times New Roman"/>
          <w:sz w:val="24"/>
          <w:szCs w:val="24"/>
        </w:rPr>
        <w:t>тзв</w:t>
      </w:r>
      <w:r w:rsidR="00717D0E" w:rsidRPr="005F720D">
        <w:rPr>
          <w:rFonts w:ascii="Times New Roman" w:hAnsi="Times New Roman"/>
          <w:sz w:val="24"/>
          <w:szCs w:val="24"/>
        </w:rPr>
        <w:t>. „</w:t>
      </w:r>
      <w:r w:rsidRPr="005F720D">
        <w:rPr>
          <w:rFonts w:ascii="Times New Roman" w:hAnsi="Times New Roman"/>
          <w:sz w:val="24"/>
          <w:szCs w:val="24"/>
        </w:rPr>
        <w:t>рад</w:t>
      </w:r>
      <w:r w:rsidR="00717D0E" w:rsidRPr="005F720D">
        <w:rPr>
          <w:rFonts w:ascii="Times New Roman" w:hAnsi="Times New Roman"/>
          <w:sz w:val="24"/>
          <w:szCs w:val="24"/>
        </w:rPr>
        <w:t xml:space="preserve"> </w:t>
      </w:r>
      <w:r w:rsidRPr="005F720D">
        <w:rPr>
          <w:rFonts w:ascii="Times New Roman" w:hAnsi="Times New Roman"/>
          <w:sz w:val="24"/>
          <w:szCs w:val="24"/>
        </w:rPr>
        <w:t>на</w:t>
      </w:r>
      <w:r w:rsidR="00717D0E" w:rsidRPr="005F720D">
        <w:rPr>
          <w:rFonts w:ascii="Times New Roman" w:hAnsi="Times New Roman"/>
          <w:sz w:val="24"/>
          <w:szCs w:val="24"/>
        </w:rPr>
        <w:t xml:space="preserve"> </w:t>
      </w:r>
      <w:r w:rsidRPr="005F720D">
        <w:rPr>
          <w:rFonts w:ascii="Times New Roman" w:hAnsi="Times New Roman"/>
          <w:sz w:val="24"/>
          <w:szCs w:val="24"/>
        </w:rPr>
        <w:t>црно</w:t>
      </w:r>
      <w:r w:rsidR="00717D0E" w:rsidRPr="005F720D">
        <w:rPr>
          <w:rFonts w:ascii="Times New Roman" w:hAnsi="Times New Roman"/>
          <w:sz w:val="24"/>
          <w:szCs w:val="24"/>
        </w:rPr>
        <w:t xml:space="preserve">“ </w:t>
      </w:r>
      <w:r w:rsidRPr="005F720D">
        <w:rPr>
          <w:rFonts w:ascii="Times New Roman" w:hAnsi="Times New Roman"/>
          <w:sz w:val="24"/>
          <w:szCs w:val="24"/>
        </w:rPr>
        <w:t>за</w:t>
      </w:r>
      <w:r w:rsidR="00717D0E" w:rsidRPr="005F720D">
        <w:rPr>
          <w:rFonts w:ascii="Times New Roman" w:hAnsi="Times New Roman"/>
          <w:sz w:val="24"/>
          <w:szCs w:val="24"/>
        </w:rPr>
        <w:t xml:space="preserve"> </w:t>
      </w:r>
      <w:r w:rsidRPr="005F720D">
        <w:rPr>
          <w:rFonts w:ascii="Times New Roman" w:hAnsi="Times New Roman"/>
          <w:sz w:val="24"/>
          <w:szCs w:val="24"/>
        </w:rPr>
        <w:t>плату</w:t>
      </w:r>
      <w:r w:rsidR="00717D0E" w:rsidRPr="005F720D">
        <w:rPr>
          <w:rFonts w:ascii="Times New Roman" w:hAnsi="Times New Roman"/>
          <w:sz w:val="24"/>
          <w:szCs w:val="24"/>
        </w:rPr>
        <w:t xml:space="preserve"> </w:t>
      </w:r>
      <w:r w:rsidRPr="005F720D">
        <w:rPr>
          <w:rFonts w:ascii="Times New Roman" w:hAnsi="Times New Roman"/>
          <w:sz w:val="24"/>
          <w:szCs w:val="24"/>
        </w:rPr>
        <w:t>најзаступљенији</w:t>
      </w:r>
      <w:r w:rsidR="00717D0E" w:rsidRPr="005F720D">
        <w:rPr>
          <w:rFonts w:ascii="Times New Roman" w:hAnsi="Times New Roman"/>
          <w:sz w:val="24"/>
          <w:szCs w:val="24"/>
        </w:rPr>
        <w:t xml:space="preserve"> </w:t>
      </w:r>
      <w:r w:rsidRPr="005F720D">
        <w:rPr>
          <w:rFonts w:ascii="Times New Roman" w:hAnsi="Times New Roman"/>
          <w:sz w:val="24"/>
          <w:szCs w:val="24"/>
        </w:rPr>
        <w:t>код</w:t>
      </w:r>
      <w:r w:rsidR="00717D0E" w:rsidRPr="005F720D">
        <w:rPr>
          <w:rFonts w:ascii="Times New Roman" w:hAnsi="Times New Roman"/>
          <w:sz w:val="24"/>
          <w:szCs w:val="24"/>
        </w:rPr>
        <w:t xml:space="preserve"> </w:t>
      </w:r>
      <w:r w:rsidRPr="005F720D">
        <w:rPr>
          <w:rFonts w:ascii="Times New Roman" w:hAnsi="Times New Roman"/>
          <w:sz w:val="24"/>
          <w:szCs w:val="24"/>
        </w:rPr>
        <w:t>ниско</w:t>
      </w:r>
      <w:r w:rsidR="00717D0E" w:rsidRPr="005F720D">
        <w:rPr>
          <w:rFonts w:ascii="Times New Roman" w:hAnsi="Times New Roman"/>
          <w:sz w:val="24"/>
          <w:szCs w:val="24"/>
        </w:rPr>
        <w:t xml:space="preserve"> </w:t>
      </w:r>
      <w:r w:rsidRPr="005F720D">
        <w:rPr>
          <w:rFonts w:ascii="Times New Roman" w:hAnsi="Times New Roman"/>
          <w:sz w:val="24"/>
          <w:szCs w:val="24"/>
        </w:rPr>
        <w:t>плаћених</w:t>
      </w:r>
      <w:r w:rsidR="00717D0E" w:rsidRPr="005F720D">
        <w:rPr>
          <w:rFonts w:ascii="Times New Roman" w:hAnsi="Times New Roman"/>
          <w:sz w:val="24"/>
          <w:szCs w:val="24"/>
        </w:rPr>
        <w:t xml:space="preserve"> </w:t>
      </w:r>
      <w:r w:rsidRPr="005F720D">
        <w:rPr>
          <w:rFonts w:ascii="Times New Roman" w:hAnsi="Times New Roman"/>
          <w:sz w:val="24"/>
          <w:szCs w:val="24"/>
        </w:rPr>
        <w:t>занимања</w:t>
      </w:r>
      <w:r w:rsidR="00717D0E" w:rsidRPr="005F720D">
        <w:rPr>
          <w:rFonts w:ascii="Times New Roman" w:hAnsi="Times New Roman"/>
          <w:sz w:val="24"/>
          <w:szCs w:val="24"/>
        </w:rPr>
        <w:t xml:space="preserve">, </w:t>
      </w:r>
      <w:r w:rsidRPr="005F720D">
        <w:rPr>
          <w:rFonts w:ascii="Times New Roman" w:hAnsi="Times New Roman"/>
          <w:sz w:val="24"/>
          <w:szCs w:val="24"/>
        </w:rPr>
        <w:t>те</w:t>
      </w:r>
      <w:r w:rsidR="00717D0E" w:rsidRPr="005F720D">
        <w:rPr>
          <w:rFonts w:ascii="Times New Roman" w:hAnsi="Times New Roman"/>
          <w:sz w:val="24"/>
          <w:szCs w:val="24"/>
        </w:rPr>
        <w:t xml:space="preserve"> </w:t>
      </w:r>
      <w:r w:rsidRPr="005F720D">
        <w:rPr>
          <w:rFonts w:ascii="Times New Roman" w:hAnsi="Times New Roman"/>
          <w:sz w:val="24"/>
          <w:szCs w:val="24"/>
        </w:rPr>
        <w:t>да</w:t>
      </w:r>
      <w:r w:rsidR="00717D0E" w:rsidRPr="005F720D">
        <w:rPr>
          <w:rFonts w:ascii="Times New Roman" w:hAnsi="Times New Roman"/>
          <w:sz w:val="24"/>
          <w:szCs w:val="24"/>
        </w:rPr>
        <w:t xml:space="preserve"> </w:t>
      </w:r>
      <w:r w:rsidRPr="005F720D">
        <w:rPr>
          <w:rFonts w:ascii="Times New Roman" w:hAnsi="Times New Roman"/>
          <w:sz w:val="24"/>
          <w:szCs w:val="24"/>
        </w:rPr>
        <w:t>о</w:t>
      </w:r>
      <w:r w:rsidR="00717D0E" w:rsidRPr="005F720D">
        <w:rPr>
          <w:rFonts w:ascii="Times New Roman" w:hAnsi="Times New Roman"/>
          <w:sz w:val="24"/>
          <w:szCs w:val="24"/>
        </w:rPr>
        <w:t xml:space="preserve"> </w:t>
      </w:r>
      <w:r w:rsidRPr="005F720D">
        <w:rPr>
          <w:rFonts w:ascii="Times New Roman" w:hAnsi="Times New Roman"/>
          <w:sz w:val="24"/>
          <w:szCs w:val="24"/>
        </w:rPr>
        <w:t>томе</w:t>
      </w:r>
      <w:r w:rsidR="00717D0E" w:rsidRPr="005F720D">
        <w:rPr>
          <w:rFonts w:ascii="Times New Roman" w:hAnsi="Times New Roman"/>
          <w:sz w:val="24"/>
          <w:szCs w:val="24"/>
        </w:rPr>
        <w:t xml:space="preserve"> </w:t>
      </w:r>
      <w:r w:rsidRPr="005F720D">
        <w:rPr>
          <w:rFonts w:ascii="Times New Roman" w:hAnsi="Times New Roman"/>
          <w:sz w:val="24"/>
          <w:szCs w:val="24"/>
        </w:rPr>
        <w:t>да</w:t>
      </w:r>
      <w:r w:rsidR="00717D0E" w:rsidRPr="005F720D">
        <w:rPr>
          <w:rFonts w:ascii="Times New Roman" w:hAnsi="Times New Roman"/>
          <w:sz w:val="24"/>
          <w:szCs w:val="24"/>
        </w:rPr>
        <w:t xml:space="preserve"> </w:t>
      </w:r>
      <w:r w:rsidRPr="005F720D">
        <w:rPr>
          <w:rFonts w:ascii="Times New Roman" w:hAnsi="Times New Roman"/>
          <w:sz w:val="24"/>
          <w:szCs w:val="24"/>
        </w:rPr>
        <w:t>ли</w:t>
      </w:r>
      <w:r w:rsidR="00717D0E" w:rsidRPr="005F720D">
        <w:rPr>
          <w:rFonts w:ascii="Times New Roman" w:hAnsi="Times New Roman"/>
          <w:sz w:val="24"/>
          <w:szCs w:val="24"/>
        </w:rPr>
        <w:t xml:space="preserve"> </w:t>
      </w:r>
      <w:r w:rsidRPr="005F720D">
        <w:rPr>
          <w:rFonts w:ascii="Times New Roman" w:hAnsi="Times New Roman"/>
          <w:sz w:val="24"/>
          <w:szCs w:val="24"/>
        </w:rPr>
        <w:t>ће</w:t>
      </w:r>
      <w:r w:rsidR="00717D0E" w:rsidRPr="005F720D">
        <w:rPr>
          <w:rFonts w:ascii="Times New Roman" w:hAnsi="Times New Roman"/>
          <w:sz w:val="24"/>
          <w:szCs w:val="24"/>
        </w:rPr>
        <w:t xml:space="preserve"> </w:t>
      </w:r>
      <w:r w:rsidRPr="005F720D">
        <w:rPr>
          <w:rFonts w:ascii="Times New Roman" w:hAnsi="Times New Roman"/>
          <w:sz w:val="24"/>
          <w:szCs w:val="24"/>
        </w:rPr>
        <w:t>запослење</w:t>
      </w:r>
      <w:r w:rsidR="00717D0E" w:rsidRPr="005F720D">
        <w:rPr>
          <w:rFonts w:ascii="Times New Roman" w:hAnsi="Times New Roman"/>
          <w:sz w:val="24"/>
          <w:szCs w:val="24"/>
        </w:rPr>
        <w:t xml:space="preserve"> </w:t>
      </w:r>
      <w:r w:rsidRPr="005F720D">
        <w:rPr>
          <w:rFonts w:ascii="Times New Roman" w:hAnsi="Times New Roman"/>
          <w:sz w:val="24"/>
          <w:szCs w:val="24"/>
        </w:rPr>
        <w:t>бити</w:t>
      </w:r>
      <w:r w:rsidR="00717D0E" w:rsidRPr="005F720D">
        <w:rPr>
          <w:rFonts w:ascii="Times New Roman" w:hAnsi="Times New Roman"/>
          <w:sz w:val="24"/>
          <w:szCs w:val="24"/>
        </w:rPr>
        <w:t xml:space="preserve"> </w:t>
      </w:r>
      <w:r w:rsidRPr="005F720D">
        <w:rPr>
          <w:rFonts w:ascii="Times New Roman" w:hAnsi="Times New Roman"/>
          <w:sz w:val="24"/>
          <w:szCs w:val="24"/>
        </w:rPr>
        <w:t>у</w:t>
      </w:r>
      <w:r w:rsidR="00717D0E" w:rsidRPr="005F720D">
        <w:rPr>
          <w:rFonts w:ascii="Times New Roman" w:hAnsi="Times New Roman"/>
          <w:sz w:val="24"/>
          <w:szCs w:val="24"/>
        </w:rPr>
        <w:t xml:space="preserve"> </w:t>
      </w:r>
      <w:r w:rsidRPr="005F720D">
        <w:rPr>
          <w:rFonts w:ascii="Times New Roman" w:hAnsi="Times New Roman"/>
          <w:sz w:val="24"/>
          <w:szCs w:val="24"/>
        </w:rPr>
        <w:t>формалном</w:t>
      </w:r>
      <w:r w:rsidR="00717D0E" w:rsidRPr="005F720D">
        <w:rPr>
          <w:rFonts w:ascii="Times New Roman" w:hAnsi="Times New Roman"/>
          <w:sz w:val="24"/>
          <w:szCs w:val="24"/>
        </w:rPr>
        <w:t xml:space="preserve"> </w:t>
      </w:r>
      <w:r w:rsidRPr="005F720D">
        <w:rPr>
          <w:rFonts w:ascii="Times New Roman" w:hAnsi="Times New Roman"/>
          <w:sz w:val="24"/>
          <w:szCs w:val="24"/>
        </w:rPr>
        <w:t>или</w:t>
      </w:r>
      <w:r w:rsidR="00717D0E" w:rsidRPr="005F720D">
        <w:rPr>
          <w:rFonts w:ascii="Times New Roman" w:hAnsi="Times New Roman"/>
          <w:sz w:val="24"/>
          <w:szCs w:val="24"/>
        </w:rPr>
        <w:t xml:space="preserve"> </w:t>
      </w:r>
      <w:r w:rsidRPr="005F720D">
        <w:rPr>
          <w:rFonts w:ascii="Times New Roman" w:hAnsi="Times New Roman"/>
          <w:sz w:val="24"/>
          <w:szCs w:val="24"/>
        </w:rPr>
        <w:t>неформалном</w:t>
      </w:r>
      <w:r w:rsidR="00717D0E" w:rsidRPr="005F720D">
        <w:rPr>
          <w:rFonts w:ascii="Times New Roman" w:hAnsi="Times New Roman"/>
          <w:sz w:val="24"/>
          <w:szCs w:val="24"/>
        </w:rPr>
        <w:t xml:space="preserve"> </w:t>
      </w:r>
      <w:r w:rsidRPr="005F720D">
        <w:rPr>
          <w:rFonts w:ascii="Times New Roman" w:hAnsi="Times New Roman"/>
          <w:sz w:val="24"/>
          <w:szCs w:val="24"/>
        </w:rPr>
        <w:t>сектору</w:t>
      </w:r>
      <w:r w:rsidR="00717D0E" w:rsidRPr="005F720D">
        <w:rPr>
          <w:rFonts w:ascii="Times New Roman" w:hAnsi="Times New Roman"/>
          <w:sz w:val="24"/>
          <w:szCs w:val="24"/>
        </w:rPr>
        <w:t xml:space="preserve"> </w:t>
      </w:r>
      <w:r w:rsidRPr="005F720D">
        <w:rPr>
          <w:rFonts w:ascii="Times New Roman" w:hAnsi="Times New Roman"/>
          <w:sz w:val="24"/>
          <w:szCs w:val="24"/>
        </w:rPr>
        <w:t>најчешће</w:t>
      </w:r>
      <w:r w:rsidR="00717D0E" w:rsidRPr="005F720D">
        <w:rPr>
          <w:rFonts w:ascii="Times New Roman" w:hAnsi="Times New Roman"/>
          <w:sz w:val="24"/>
          <w:szCs w:val="24"/>
        </w:rPr>
        <w:t xml:space="preserve"> </w:t>
      </w:r>
      <w:r w:rsidRPr="005F720D">
        <w:rPr>
          <w:rFonts w:ascii="Times New Roman" w:hAnsi="Times New Roman"/>
          <w:sz w:val="24"/>
          <w:szCs w:val="24"/>
        </w:rPr>
        <w:t>одлучује</w:t>
      </w:r>
      <w:r w:rsidR="00717D0E" w:rsidRPr="005F720D">
        <w:rPr>
          <w:rFonts w:ascii="Times New Roman" w:hAnsi="Times New Roman"/>
          <w:sz w:val="24"/>
          <w:szCs w:val="24"/>
        </w:rPr>
        <w:t xml:space="preserve"> </w:t>
      </w:r>
      <w:r w:rsidRPr="005F720D">
        <w:rPr>
          <w:rFonts w:ascii="Times New Roman" w:hAnsi="Times New Roman"/>
          <w:sz w:val="24"/>
          <w:szCs w:val="24"/>
        </w:rPr>
        <w:t>послодавац</w:t>
      </w:r>
      <w:r w:rsidR="00717D0E" w:rsidRPr="005F720D">
        <w:rPr>
          <w:rFonts w:ascii="Times New Roman" w:hAnsi="Times New Roman"/>
          <w:sz w:val="24"/>
          <w:szCs w:val="24"/>
        </w:rPr>
        <w:t xml:space="preserve">, </w:t>
      </w:r>
      <w:r w:rsidRPr="005F720D">
        <w:rPr>
          <w:rFonts w:ascii="Times New Roman" w:hAnsi="Times New Roman"/>
          <w:sz w:val="24"/>
          <w:szCs w:val="24"/>
        </w:rPr>
        <w:t>а</w:t>
      </w:r>
      <w:r w:rsidR="00717D0E" w:rsidRPr="005F720D">
        <w:rPr>
          <w:rFonts w:ascii="Times New Roman" w:hAnsi="Times New Roman"/>
          <w:sz w:val="24"/>
          <w:szCs w:val="24"/>
        </w:rPr>
        <w:t xml:space="preserve"> </w:t>
      </w:r>
      <w:r w:rsidRPr="005F720D">
        <w:rPr>
          <w:rFonts w:ascii="Times New Roman" w:hAnsi="Times New Roman"/>
          <w:sz w:val="24"/>
          <w:szCs w:val="24"/>
        </w:rPr>
        <w:t>не</w:t>
      </w:r>
      <w:r w:rsidR="00717D0E" w:rsidRPr="005F720D">
        <w:rPr>
          <w:rFonts w:ascii="Times New Roman" w:hAnsi="Times New Roman"/>
          <w:sz w:val="24"/>
          <w:szCs w:val="24"/>
        </w:rPr>
        <w:t xml:space="preserve"> </w:t>
      </w:r>
      <w:r w:rsidRPr="005F720D">
        <w:rPr>
          <w:rFonts w:ascii="Times New Roman" w:hAnsi="Times New Roman"/>
          <w:sz w:val="24"/>
          <w:szCs w:val="24"/>
        </w:rPr>
        <w:t>запослени</w:t>
      </w:r>
      <w:r w:rsidR="00717D0E" w:rsidRPr="005F720D">
        <w:rPr>
          <w:rFonts w:ascii="Times New Roman" w:hAnsi="Times New Roman"/>
          <w:sz w:val="24"/>
          <w:szCs w:val="24"/>
        </w:rPr>
        <w:t xml:space="preserve">. </w:t>
      </w:r>
      <w:r w:rsidRPr="005F720D">
        <w:rPr>
          <w:rFonts w:ascii="Times New Roman" w:hAnsi="Times New Roman"/>
          <w:sz w:val="24"/>
          <w:szCs w:val="24"/>
        </w:rPr>
        <w:t>С</w:t>
      </w:r>
      <w:r w:rsidR="00717D0E" w:rsidRPr="005F720D">
        <w:rPr>
          <w:rFonts w:ascii="Times New Roman" w:hAnsi="Times New Roman"/>
          <w:sz w:val="24"/>
          <w:szCs w:val="24"/>
        </w:rPr>
        <w:t xml:space="preserve"> </w:t>
      </w:r>
      <w:r w:rsidRPr="005F720D">
        <w:rPr>
          <w:rFonts w:ascii="Times New Roman" w:hAnsi="Times New Roman"/>
          <w:sz w:val="24"/>
          <w:szCs w:val="24"/>
        </w:rPr>
        <w:t>друге</w:t>
      </w:r>
      <w:r w:rsidR="00717D0E" w:rsidRPr="005F720D">
        <w:rPr>
          <w:rFonts w:ascii="Times New Roman" w:hAnsi="Times New Roman"/>
          <w:sz w:val="24"/>
          <w:szCs w:val="24"/>
        </w:rPr>
        <w:t xml:space="preserve"> </w:t>
      </w:r>
      <w:r w:rsidRPr="005F720D">
        <w:rPr>
          <w:rFonts w:ascii="Times New Roman" w:hAnsi="Times New Roman"/>
          <w:sz w:val="24"/>
          <w:szCs w:val="24"/>
        </w:rPr>
        <w:t>стране</w:t>
      </w:r>
      <w:r w:rsidR="00717D0E" w:rsidRPr="005F720D">
        <w:rPr>
          <w:rFonts w:ascii="Times New Roman" w:hAnsi="Times New Roman"/>
          <w:sz w:val="24"/>
          <w:szCs w:val="24"/>
        </w:rPr>
        <w:t xml:space="preserve">, </w:t>
      </w:r>
      <w:r w:rsidRPr="005F720D">
        <w:rPr>
          <w:rFonts w:ascii="Times New Roman" w:hAnsi="Times New Roman"/>
          <w:sz w:val="24"/>
          <w:szCs w:val="24"/>
        </w:rPr>
        <w:t>ниво</w:t>
      </w:r>
      <w:r w:rsidR="00717D0E" w:rsidRPr="005F720D">
        <w:rPr>
          <w:rFonts w:ascii="Times New Roman" w:hAnsi="Times New Roman"/>
          <w:sz w:val="24"/>
          <w:szCs w:val="24"/>
        </w:rPr>
        <w:t xml:space="preserve"> </w:t>
      </w:r>
      <w:r w:rsidRPr="005F720D">
        <w:rPr>
          <w:rFonts w:ascii="Times New Roman" w:hAnsi="Times New Roman"/>
          <w:sz w:val="24"/>
          <w:szCs w:val="24"/>
        </w:rPr>
        <w:t>сиве</w:t>
      </w:r>
      <w:r w:rsidR="00717D0E" w:rsidRPr="005F720D">
        <w:rPr>
          <w:rFonts w:ascii="Times New Roman" w:hAnsi="Times New Roman"/>
          <w:sz w:val="24"/>
          <w:szCs w:val="24"/>
        </w:rPr>
        <w:t xml:space="preserve"> </w:t>
      </w:r>
      <w:r w:rsidRPr="005F720D">
        <w:rPr>
          <w:rFonts w:ascii="Times New Roman" w:hAnsi="Times New Roman"/>
          <w:sz w:val="24"/>
          <w:szCs w:val="24"/>
        </w:rPr>
        <w:t>економије</w:t>
      </w:r>
      <w:r w:rsidR="00717D0E" w:rsidRPr="005F720D">
        <w:rPr>
          <w:rFonts w:ascii="Times New Roman" w:hAnsi="Times New Roman"/>
          <w:sz w:val="24"/>
          <w:szCs w:val="24"/>
        </w:rPr>
        <w:t xml:space="preserve"> </w:t>
      </w:r>
      <w:r w:rsidRPr="005F720D">
        <w:rPr>
          <w:rFonts w:ascii="Times New Roman" w:hAnsi="Times New Roman"/>
          <w:sz w:val="24"/>
          <w:szCs w:val="24"/>
        </w:rPr>
        <w:t>код</w:t>
      </w:r>
      <w:r w:rsidR="00717D0E" w:rsidRPr="005F720D">
        <w:rPr>
          <w:rFonts w:ascii="Times New Roman" w:hAnsi="Times New Roman"/>
          <w:sz w:val="24"/>
          <w:szCs w:val="24"/>
        </w:rPr>
        <w:t xml:space="preserve"> </w:t>
      </w:r>
      <w:r w:rsidRPr="005F720D">
        <w:rPr>
          <w:rFonts w:ascii="Times New Roman" w:hAnsi="Times New Roman"/>
          <w:sz w:val="24"/>
          <w:szCs w:val="24"/>
        </w:rPr>
        <w:t>предузетника</w:t>
      </w:r>
      <w:r w:rsidR="00717D0E" w:rsidRPr="005F720D">
        <w:rPr>
          <w:rFonts w:ascii="Times New Roman" w:hAnsi="Times New Roman"/>
          <w:sz w:val="24"/>
          <w:szCs w:val="24"/>
        </w:rPr>
        <w:t xml:space="preserve"> </w:t>
      </w:r>
      <w:r w:rsidRPr="005F720D">
        <w:rPr>
          <w:rFonts w:ascii="Times New Roman" w:hAnsi="Times New Roman"/>
          <w:sz w:val="24"/>
          <w:szCs w:val="24"/>
        </w:rPr>
        <w:t>најизраженији</w:t>
      </w:r>
      <w:r w:rsidR="00717D0E" w:rsidRPr="005F720D">
        <w:rPr>
          <w:rFonts w:ascii="Times New Roman" w:hAnsi="Times New Roman"/>
          <w:sz w:val="24"/>
          <w:szCs w:val="24"/>
        </w:rPr>
        <w:t xml:space="preserve"> </w:t>
      </w:r>
      <w:r w:rsidRPr="005F720D">
        <w:rPr>
          <w:rFonts w:ascii="Times New Roman" w:hAnsi="Times New Roman"/>
          <w:sz w:val="24"/>
          <w:szCs w:val="24"/>
        </w:rPr>
        <w:t>је</w:t>
      </w:r>
      <w:r w:rsidR="00717D0E" w:rsidRPr="005F720D">
        <w:rPr>
          <w:rFonts w:ascii="Times New Roman" w:hAnsi="Times New Roman"/>
          <w:sz w:val="24"/>
          <w:szCs w:val="24"/>
        </w:rPr>
        <w:t xml:space="preserve"> </w:t>
      </w:r>
      <w:r w:rsidRPr="005F720D">
        <w:rPr>
          <w:rFonts w:ascii="Times New Roman" w:hAnsi="Times New Roman"/>
          <w:sz w:val="24"/>
          <w:szCs w:val="24"/>
        </w:rPr>
        <w:t>код</w:t>
      </w:r>
      <w:r w:rsidR="00717D0E" w:rsidRPr="005F720D">
        <w:rPr>
          <w:rFonts w:ascii="Times New Roman" w:hAnsi="Times New Roman"/>
          <w:sz w:val="24"/>
          <w:szCs w:val="24"/>
        </w:rPr>
        <w:t xml:space="preserve"> </w:t>
      </w:r>
      <w:r w:rsidRPr="005F720D">
        <w:rPr>
          <w:rFonts w:ascii="Times New Roman" w:hAnsi="Times New Roman"/>
          <w:sz w:val="24"/>
          <w:szCs w:val="24"/>
        </w:rPr>
        <w:t>високоплаћених</w:t>
      </w:r>
      <w:r w:rsidR="00717D0E" w:rsidRPr="005F720D">
        <w:rPr>
          <w:rFonts w:ascii="Times New Roman" w:hAnsi="Times New Roman"/>
          <w:sz w:val="24"/>
          <w:szCs w:val="24"/>
        </w:rPr>
        <w:t xml:space="preserve"> </w:t>
      </w:r>
      <w:r w:rsidRPr="005F720D">
        <w:rPr>
          <w:rFonts w:ascii="Times New Roman" w:hAnsi="Times New Roman"/>
          <w:sz w:val="24"/>
          <w:szCs w:val="24"/>
        </w:rPr>
        <w:t>делатности</w:t>
      </w:r>
      <w:r w:rsidR="00717D0E" w:rsidRPr="005F720D">
        <w:rPr>
          <w:rFonts w:ascii="Times New Roman" w:hAnsi="Times New Roman"/>
          <w:sz w:val="24"/>
          <w:szCs w:val="24"/>
        </w:rPr>
        <w:t xml:space="preserve"> (</w:t>
      </w:r>
      <w:r w:rsidRPr="005F720D">
        <w:rPr>
          <w:rFonts w:ascii="Times New Roman" w:hAnsi="Times New Roman"/>
          <w:sz w:val="24"/>
          <w:szCs w:val="24"/>
        </w:rPr>
        <w:t>адвокати</w:t>
      </w:r>
      <w:r w:rsidR="00717D0E" w:rsidRPr="005F720D">
        <w:rPr>
          <w:rFonts w:ascii="Times New Roman" w:hAnsi="Times New Roman"/>
          <w:sz w:val="24"/>
          <w:szCs w:val="24"/>
        </w:rPr>
        <w:t xml:space="preserve">, </w:t>
      </w:r>
      <w:r w:rsidRPr="005F720D">
        <w:rPr>
          <w:rFonts w:ascii="Times New Roman" w:hAnsi="Times New Roman"/>
          <w:sz w:val="24"/>
          <w:szCs w:val="24"/>
        </w:rPr>
        <w:t>лекари</w:t>
      </w:r>
      <w:r w:rsidR="00717D0E" w:rsidRPr="005F720D">
        <w:rPr>
          <w:rFonts w:ascii="Times New Roman" w:hAnsi="Times New Roman"/>
          <w:sz w:val="24"/>
          <w:szCs w:val="24"/>
        </w:rPr>
        <w:t xml:space="preserve"> </w:t>
      </w:r>
      <w:r w:rsidRPr="005F720D">
        <w:rPr>
          <w:rFonts w:ascii="Times New Roman" w:hAnsi="Times New Roman"/>
          <w:sz w:val="24"/>
          <w:szCs w:val="24"/>
        </w:rPr>
        <w:t>и</w:t>
      </w:r>
      <w:r w:rsidR="00717D0E" w:rsidRPr="005F720D">
        <w:rPr>
          <w:rFonts w:ascii="Times New Roman" w:hAnsi="Times New Roman"/>
          <w:sz w:val="24"/>
          <w:szCs w:val="24"/>
        </w:rPr>
        <w:t xml:space="preserve"> </w:t>
      </w:r>
      <w:r w:rsidRPr="005F720D">
        <w:rPr>
          <w:rFonts w:ascii="Times New Roman" w:hAnsi="Times New Roman"/>
          <w:sz w:val="24"/>
          <w:szCs w:val="24"/>
        </w:rPr>
        <w:t>сл</w:t>
      </w:r>
      <w:r w:rsidR="00717D0E" w:rsidRPr="005F720D">
        <w:rPr>
          <w:rFonts w:ascii="Times New Roman" w:hAnsi="Times New Roman"/>
          <w:sz w:val="24"/>
          <w:szCs w:val="24"/>
        </w:rPr>
        <w:t xml:space="preserve">.), </w:t>
      </w:r>
      <w:r w:rsidRPr="005F720D">
        <w:rPr>
          <w:rFonts w:ascii="Times New Roman" w:hAnsi="Times New Roman"/>
          <w:sz w:val="24"/>
          <w:szCs w:val="24"/>
        </w:rPr>
        <w:t>о</w:t>
      </w:r>
      <w:r w:rsidR="00717D0E" w:rsidRPr="005F720D">
        <w:rPr>
          <w:rFonts w:ascii="Times New Roman" w:hAnsi="Times New Roman"/>
          <w:sz w:val="24"/>
          <w:szCs w:val="24"/>
        </w:rPr>
        <w:t xml:space="preserve"> </w:t>
      </w:r>
      <w:r w:rsidRPr="005F720D">
        <w:rPr>
          <w:rFonts w:ascii="Times New Roman" w:hAnsi="Times New Roman"/>
          <w:sz w:val="24"/>
          <w:szCs w:val="24"/>
        </w:rPr>
        <w:t>чему</w:t>
      </w:r>
      <w:r w:rsidR="00717D0E" w:rsidRPr="005F720D">
        <w:rPr>
          <w:rFonts w:ascii="Times New Roman" w:hAnsi="Times New Roman"/>
          <w:sz w:val="24"/>
          <w:szCs w:val="24"/>
        </w:rPr>
        <w:t xml:space="preserve"> </w:t>
      </w:r>
      <w:r w:rsidRPr="005F720D">
        <w:rPr>
          <w:rFonts w:ascii="Times New Roman" w:hAnsi="Times New Roman"/>
          <w:sz w:val="24"/>
          <w:szCs w:val="24"/>
        </w:rPr>
        <w:t>сведочи</w:t>
      </w:r>
      <w:r w:rsidR="00717D0E" w:rsidRPr="005F720D">
        <w:rPr>
          <w:rFonts w:ascii="Times New Roman" w:hAnsi="Times New Roman"/>
          <w:sz w:val="24"/>
          <w:szCs w:val="24"/>
        </w:rPr>
        <w:t xml:space="preserve"> </w:t>
      </w:r>
      <w:r w:rsidRPr="005F720D">
        <w:rPr>
          <w:rFonts w:ascii="Times New Roman" w:hAnsi="Times New Roman"/>
          <w:sz w:val="24"/>
          <w:szCs w:val="24"/>
        </w:rPr>
        <w:t>и</w:t>
      </w:r>
      <w:r w:rsidR="00717D0E" w:rsidRPr="005F720D">
        <w:rPr>
          <w:rFonts w:ascii="Times New Roman" w:hAnsi="Times New Roman"/>
          <w:sz w:val="24"/>
          <w:szCs w:val="24"/>
        </w:rPr>
        <w:t xml:space="preserve"> </w:t>
      </w:r>
      <w:r w:rsidRPr="005F720D">
        <w:rPr>
          <w:rFonts w:ascii="Times New Roman" w:hAnsi="Times New Roman"/>
          <w:sz w:val="24"/>
          <w:szCs w:val="24"/>
        </w:rPr>
        <w:t>висок</w:t>
      </w:r>
      <w:r w:rsidR="00717D0E" w:rsidRPr="005F720D">
        <w:rPr>
          <w:rFonts w:ascii="Times New Roman" w:hAnsi="Times New Roman"/>
          <w:sz w:val="24"/>
          <w:szCs w:val="24"/>
        </w:rPr>
        <w:t xml:space="preserve"> </w:t>
      </w:r>
      <w:r w:rsidRPr="005F720D">
        <w:rPr>
          <w:rFonts w:ascii="Times New Roman" w:hAnsi="Times New Roman"/>
          <w:sz w:val="24"/>
          <w:szCs w:val="24"/>
        </w:rPr>
        <w:t>отпор</w:t>
      </w:r>
      <w:r w:rsidR="00717D0E" w:rsidRPr="005F720D">
        <w:rPr>
          <w:rFonts w:ascii="Times New Roman" w:hAnsi="Times New Roman"/>
          <w:sz w:val="24"/>
          <w:szCs w:val="24"/>
        </w:rPr>
        <w:t xml:space="preserve"> </w:t>
      </w:r>
      <w:r w:rsidRPr="005F720D">
        <w:rPr>
          <w:rFonts w:ascii="Times New Roman" w:hAnsi="Times New Roman"/>
          <w:sz w:val="24"/>
          <w:szCs w:val="24"/>
        </w:rPr>
        <w:t>ових</w:t>
      </w:r>
      <w:r w:rsidR="00717D0E" w:rsidRPr="005F720D">
        <w:rPr>
          <w:rFonts w:ascii="Times New Roman" w:hAnsi="Times New Roman"/>
          <w:sz w:val="24"/>
          <w:szCs w:val="24"/>
        </w:rPr>
        <w:t xml:space="preserve"> </w:t>
      </w:r>
      <w:r w:rsidRPr="005F720D">
        <w:rPr>
          <w:rFonts w:ascii="Times New Roman" w:hAnsi="Times New Roman"/>
          <w:sz w:val="24"/>
          <w:szCs w:val="24"/>
        </w:rPr>
        <w:t>категорија</w:t>
      </w:r>
      <w:r w:rsidR="00717D0E" w:rsidRPr="005F720D">
        <w:rPr>
          <w:rFonts w:ascii="Times New Roman" w:hAnsi="Times New Roman"/>
          <w:sz w:val="24"/>
          <w:szCs w:val="24"/>
        </w:rPr>
        <w:t xml:space="preserve"> </w:t>
      </w:r>
      <w:r w:rsidRPr="005F720D">
        <w:rPr>
          <w:rFonts w:ascii="Times New Roman" w:hAnsi="Times New Roman"/>
          <w:sz w:val="24"/>
          <w:szCs w:val="24"/>
        </w:rPr>
        <w:t>обвезника</w:t>
      </w:r>
      <w:r w:rsidR="00717D0E" w:rsidRPr="005F720D">
        <w:rPr>
          <w:rFonts w:ascii="Times New Roman" w:hAnsi="Times New Roman"/>
          <w:sz w:val="24"/>
          <w:szCs w:val="24"/>
        </w:rPr>
        <w:t xml:space="preserve"> </w:t>
      </w:r>
      <w:r w:rsidRPr="005F720D">
        <w:rPr>
          <w:rFonts w:ascii="Times New Roman" w:hAnsi="Times New Roman"/>
          <w:sz w:val="24"/>
          <w:szCs w:val="24"/>
        </w:rPr>
        <w:t>увођењу</w:t>
      </w:r>
      <w:r w:rsidR="00717D0E" w:rsidRPr="005F720D">
        <w:rPr>
          <w:rFonts w:ascii="Times New Roman" w:hAnsi="Times New Roman"/>
          <w:sz w:val="24"/>
          <w:szCs w:val="24"/>
        </w:rPr>
        <w:t xml:space="preserve"> </w:t>
      </w:r>
      <w:r w:rsidRPr="005F720D">
        <w:rPr>
          <w:rFonts w:ascii="Times New Roman" w:hAnsi="Times New Roman"/>
          <w:sz w:val="24"/>
          <w:szCs w:val="24"/>
        </w:rPr>
        <w:t>фискалних</w:t>
      </w:r>
      <w:r w:rsidR="00717D0E" w:rsidRPr="005F720D">
        <w:rPr>
          <w:rFonts w:ascii="Times New Roman" w:hAnsi="Times New Roman"/>
          <w:sz w:val="24"/>
          <w:szCs w:val="24"/>
        </w:rPr>
        <w:t xml:space="preserve"> </w:t>
      </w:r>
      <w:r w:rsidRPr="005F720D">
        <w:rPr>
          <w:rFonts w:ascii="Times New Roman" w:hAnsi="Times New Roman"/>
          <w:sz w:val="24"/>
          <w:szCs w:val="24"/>
        </w:rPr>
        <w:t>каса</w:t>
      </w:r>
      <w:r w:rsidR="00717D0E" w:rsidRPr="005F720D">
        <w:rPr>
          <w:rFonts w:ascii="Times New Roman" w:hAnsi="Times New Roman"/>
          <w:sz w:val="24"/>
          <w:szCs w:val="24"/>
        </w:rPr>
        <w:t xml:space="preserve"> </w:t>
      </w:r>
      <w:r w:rsidRPr="005F720D">
        <w:rPr>
          <w:rFonts w:ascii="Times New Roman" w:hAnsi="Times New Roman"/>
          <w:sz w:val="24"/>
          <w:szCs w:val="24"/>
        </w:rPr>
        <w:t>преко</w:t>
      </w:r>
      <w:r w:rsidR="00717D0E" w:rsidRPr="005F720D">
        <w:rPr>
          <w:rFonts w:ascii="Times New Roman" w:hAnsi="Times New Roman"/>
          <w:sz w:val="24"/>
          <w:szCs w:val="24"/>
        </w:rPr>
        <w:t xml:space="preserve"> </w:t>
      </w:r>
      <w:r w:rsidRPr="005F720D">
        <w:rPr>
          <w:rFonts w:ascii="Times New Roman" w:hAnsi="Times New Roman"/>
          <w:sz w:val="24"/>
          <w:szCs w:val="24"/>
        </w:rPr>
        <w:t>којих</w:t>
      </w:r>
      <w:r w:rsidR="00717D0E" w:rsidRPr="005F720D">
        <w:rPr>
          <w:rFonts w:ascii="Times New Roman" w:hAnsi="Times New Roman"/>
          <w:sz w:val="24"/>
          <w:szCs w:val="24"/>
        </w:rPr>
        <w:t xml:space="preserve"> </w:t>
      </w:r>
      <w:r w:rsidRPr="005F720D">
        <w:rPr>
          <w:rFonts w:ascii="Times New Roman" w:hAnsi="Times New Roman"/>
          <w:sz w:val="24"/>
          <w:szCs w:val="24"/>
        </w:rPr>
        <w:t>би</w:t>
      </w:r>
      <w:r w:rsidR="00717D0E" w:rsidRPr="005F720D">
        <w:rPr>
          <w:rFonts w:ascii="Times New Roman" w:hAnsi="Times New Roman"/>
          <w:sz w:val="24"/>
          <w:szCs w:val="24"/>
        </w:rPr>
        <w:t xml:space="preserve"> </w:t>
      </w:r>
      <w:r w:rsidRPr="005F720D">
        <w:rPr>
          <w:rFonts w:ascii="Times New Roman" w:hAnsi="Times New Roman"/>
          <w:sz w:val="24"/>
          <w:szCs w:val="24"/>
        </w:rPr>
        <w:t>били</w:t>
      </w:r>
      <w:r w:rsidR="00717D0E" w:rsidRPr="005F720D">
        <w:rPr>
          <w:rFonts w:ascii="Times New Roman" w:hAnsi="Times New Roman"/>
          <w:sz w:val="24"/>
          <w:szCs w:val="24"/>
        </w:rPr>
        <w:t xml:space="preserve"> </w:t>
      </w:r>
      <w:r w:rsidRPr="005F720D">
        <w:rPr>
          <w:rFonts w:ascii="Times New Roman" w:hAnsi="Times New Roman"/>
          <w:sz w:val="24"/>
          <w:szCs w:val="24"/>
        </w:rPr>
        <w:t>у</w:t>
      </w:r>
      <w:r w:rsidR="00717D0E" w:rsidRPr="005F720D">
        <w:rPr>
          <w:rFonts w:ascii="Times New Roman" w:hAnsi="Times New Roman"/>
          <w:sz w:val="24"/>
          <w:szCs w:val="24"/>
        </w:rPr>
        <w:t xml:space="preserve"> </w:t>
      </w:r>
      <w:r w:rsidRPr="005F720D">
        <w:rPr>
          <w:rFonts w:ascii="Times New Roman" w:hAnsi="Times New Roman"/>
          <w:sz w:val="24"/>
          <w:szCs w:val="24"/>
        </w:rPr>
        <w:t>обавези</w:t>
      </w:r>
      <w:r w:rsidR="00717D0E" w:rsidRPr="005F720D">
        <w:rPr>
          <w:rFonts w:ascii="Times New Roman" w:hAnsi="Times New Roman"/>
          <w:sz w:val="24"/>
          <w:szCs w:val="24"/>
        </w:rPr>
        <w:t xml:space="preserve"> </w:t>
      </w:r>
      <w:r w:rsidRPr="005F720D">
        <w:rPr>
          <w:rFonts w:ascii="Times New Roman" w:hAnsi="Times New Roman"/>
          <w:sz w:val="24"/>
          <w:szCs w:val="24"/>
        </w:rPr>
        <w:t>да</w:t>
      </w:r>
      <w:r w:rsidR="00717D0E" w:rsidRPr="005F720D">
        <w:rPr>
          <w:rFonts w:ascii="Times New Roman" w:hAnsi="Times New Roman"/>
          <w:sz w:val="24"/>
          <w:szCs w:val="24"/>
        </w:rPr>
        <w:t xml:space="preserve"> </w:t>
      </w:r>
      <w:r w:rsidRPr="005F720D">
        <w:rPr>
          <w:rFonts w:ascii="Times New Roman" w:hAnsi="Times New Roman"/>
          <w:sz w:val="24"/>
          <w:szCs w:val="24"/>
        </w:rPr>
        <w:t>региструју</w:t>
      </w:r>
      <w:r w:rsidR="00717D0E" w:rsidRPr="005F720D">
        <w:rPr>
          <w:rFonts w:ascii="Times New Roman" w:hAnsi="Times New Roman"/>
          <w:sz w:val="24"/>
          <w:szCs w:val="24"/>
        </w:rPr>
        <w:t xml:space="preserve"> </w:t>
      </w:r>
      <w:r w:rsidRPr="005F720D">
        <w:rPr>
          <w:rFonts w:ascii="Times New Roman" w:hAnsi="Times New Roman"/>
          <w:sz w:val="24"/>
          <w:szCs w:val="24"/>
        </w:rPr>
        <w:t>обављени</w:t>
      </w:r>
      <w:r w:rsidR="00717D0E" w:rsidRPr="005F720D">
        <w:rPr>
          <w:rFonts w:ascii="Times New Roman" w:hAnsi="Times New Roman"/>
          <w:sz w:val="24"/>
          <w:szCs w:val="24"/>
        </w:rPr>
        <w:t xml:space="preserve"> </w:t>
      </w:r>
      <w:r w:rsidRPr="005F720D">
        <w:rPr>
          <w:rFonts w:ascii="Times New Roman" w:hAnsi="Times New Roman"/>
          <w:sz w:val="24"/>
          <w:szCs w:val="24"/>
        </w:rPr>
        <w:t>промет</w:t>
      </w:r>
      <w:r w:rsidR="00717D0E" w:rsidRPr="005F720D">
        <w:rPr>
          <w:rFonts w:ascii="Times New Roman" w:hAnsi="Times New Roman"/>
          <w:sz w:val="24"/>
          <w:szCs w:val="24"/>
        </w:rPr>
        <w:t>.</w:t>
      </w:r>
      <w:r w:rsidR="00DF440C" w:rsidRPr="005F720D">
        <w:rPr>
          <w:rFonts w:ascii="Times New Roman" w:hAnsi="Times New Roman"/>
          <w:sz w:val="24"/>
          <w:szCs w:val="24"/>
          <w:lang w:val="sr-Cyrl-CS"/>
        </w:rPr>
        <w:t xml:space="preserve"> </w:t>
      </w:r>
      <w:r w:rsidR="00DF440C" w:rsidRPr="005F720D">
        <w:rPr>
          <w:rFonts w:ascii="Times New Roman" w:hAnsi="Times New Roman"/>
          <w:color w:val="000000"/>
          <w:sz w:val="24"/>
          <w:szCs w:val="24"/>
          <w:lang w:val="sr-Cyrl-CS"/>
        </w:rPr>
        <w:t>С</w:t>
      </w:r>
      <w:r w:rsidRPr="005F720D">
        <w:rPr>
          <w:rFonts w:ascii="Times New Roman" w:hAnsi="Times New Roman"/>
          <w:color w:val="000000"/>
          <w:sz w:val="24"/>
          <w:szCs w:val="24"/>
        </w:rPr>
        <w:t>мањење</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евазије</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пореза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на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приход</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од</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самосталне</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делатности</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могуће</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је</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остварити</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усмеравањем</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ресурса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на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контролу</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доходака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предузетника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који</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остварују</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више</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износе</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дохотка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односно</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који</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послују</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у</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делатностима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за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које</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се</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на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основу</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одговарајућих</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статистичких</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података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процењује</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да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у</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просеку</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остварују</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више</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износе</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доходака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адвокати</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лекари</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рачуновође</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и</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сл</w:t>
      </w:r>
      <w:r w:rsidR="00717D0E" w:rsidRPr="005F720D">
        <w:rPr>
          <w:rFonts w:ascii="Times New Roman" w:hAnsi="Times New Roman"/>
          <w:color w:val="000000"/>
          <w:sz w:val="24"/>
          <w:szCs w:val="24"/>
        </w:rPr>
        <w:t>.).</w:t>
      </w:r>
      <w:r w:rsidRPr="005F720D">
        <w:rPr>
          <w:rFonts w:ascii="Times New Roman" w:hAnsi="Times New Roman"/>
          <w:color w:val="000000"/>
          <w:sz w:val="24"/>
          <w:szCs w:val="24"/>
        </w:rPr>
        <w:t>Пошто</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је</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често</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реч</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о</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об</w:t>
      </w:r>
      <w:r w:rsidR="00717D0E" w:rsidRPr="005F720D">
        <w:rPr>
          <w:rFonts w:ascii="Times New Roman" w:hAnsi="Times New Roman"/>
          <w:color w:val="000000"/>
          <w:sz w:val="24"/>
          <w:szCs w:val="24"/>
        </w:rPr>
        <w:softHyphen/>
      </w:r>
      <w:r w:rsidRPr="005F720D">
        <w:rPr>
          <w:rFonts w:ascii="Times New Roman" w:hAnsi="Times New Roman"/>
          <w:color w:val="000000"/>
          <w:sz w:val="24"/>
          <w:szCs w:val="24"/>
        </w:rPr>
        <w:t>везницима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који</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остварују</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толико</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висок</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доходак</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да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знатан</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део</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штеде</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и</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инвестирају</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у</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различите</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облике</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имовине</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активнија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и</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доследна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примена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метода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унакрсне</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процене</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вредности</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имовине</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и</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пријављеног</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дохотка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би</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такође</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могла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представљати</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инструмент</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за</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сузбијање</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пореске</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евазије</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у</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овом</w:t>
      </w:r>
      <w:r w:rsidR="00717D0E" w:rsidRPr="005F720D">
        <w:rPr>
          <w:rFonts w:ascii="Times New Roman" w:hAnsi="Times New Roman"/>
          <w:color w:val="000000"/>
          <w:sz w:val="24"/>
          <w:szCs w:val="24"/>
        </w:rPr>
        <w:t xml:space="preserve"> </w:t>
      </w:r>
      <w:r w:rsidRPr="005F720D">
        <w:rPr>
          <w:rFonts w:ascii="Times New Roman" w:hAnsi="Times New Roman"/>
          <w:color w:val="000000"/>
          <w:sz w:val="24"/>
          <w:szCs w:val="24"/>
        </w:rPr>
        <w:t>домену</w:t>
      </w:r>
      <w:r w:rsidR="00717D0E" w:rsidRPr="005F720D">
        <w:rPr>
          <w:rFonts w:ascii="Times New Roman" w:hAnsi="Times New Roman"/>
          <w:color w:val="000000"/>
          <w:sz w:val="24"/>
          <w:szCs w:val="24"/>
          <w:lang w:val="sr-Cyrl-CS"/>
        </w:rPr>
        <w:t>.</w:t>
      </w:r>
    </w:p>
    <w:p w:rsidR="00014DFE" w:rsidRDefault="00717D0E" w:rsidP="00A22DD5">
      <w:pPr>
        <w:ind w:firstLine="360"/>
        <w:jc w:val="both"/>
        <w:rPr>
          <w:rFonts w:ascii="Times New Roman" w:hAnsi="Times New Roman"/>
          <w:sz w:val="24"/>
          <w:szCs w:val="24"/>
          <w:lang w:val="sr-Cyrl-CS"/>
        </w:rPr>
      </w:pPr>
      <w:r w:rsidRPr="005F720D">
        <w:rPr>
          <w:rFonts w:ascii="Times New Roman" w:hAnsi="Times New Roman"/>
          <w:sz w:val="24"/>
          <w:szCs w:val="24"/>
          <w:lang w:val="sr-Cyrl-CS"/>
        </w:rPr>
        <w:t>Према томе</w:t>
      </w:r>
      <w:r w:rsidR="00DF440C" w:rsidRPr="005F720D">
        <w:rPr>
          <w:rFonts w:ascii="Times New Roman" w:hAnsi="Times New Roman"/>
          <w:sz w:val="24"/>
          <w:szCs w:val="24"/>
          <w:lang w:val="sr-Cyrl-CS"/>
        </w:rPr>
        <w:t xml:space="preserve"> на основу наведеног може се закључити да је</w:t>
      </w:r>
      <w:r w:rsidRPr="005F720D">
        <w:rPr>
          <w:rFonts w:ascii="Times New Roman" w:hAnsi="Times New Roman"/>
          <w:sz w:val="24"/>
          <w:szCs w:val="24"/>
          <w:lang w:val="sr-Cyrl-CS"/>
        </w:rPr>
        <w:t xml:space="preserve"> битан недостатак постојећег</w:t>
      </w:r>
      <w:r w:rsidR="00DF440C" w:rsidRPr="005F720D">
        <w:rPr>
          <w:rFonts w:ascii="Times New Roman" w:hAnsi="Times New Roman"/>
          <w:sz w:val="24"/>
          <w:szCs w:val="24"/>
          <w:lang w:val="sr-Cyrl-CS"/>
        </w:rPr>
        <w:t xml:space="preserve"> система опорезивања дохотка </w:t>
      </w:r>
      <w:r w:rsidRPr="005F720D">
        <w:rPr>
          <w:rFonts w:ascii="Times New Roman" w:hAnsi="Times New Roman"/>
          <w:sz w:val="24"/>
          <w:szCs w:val="24"/>
          <w:lang w:val="sr-Cyrl-CS"/>
        </w:rPr>
        <w:t>сложеност у опорезивању дохотка, одсуство хоризонталне правичности јер лица са истим дохотком често не плаћају исти порез, као и постојање доста просто</w:t>
      </w:r>
      <w:r w:rsidR="00DF440C" w:rsidRPr="005F720D">
        <w:rPr>
          <w:rFonts w:ascii="Times New Roman" w:hAnsi="Times New Roman"/>
          <w:sz w:val="24"/>
          <w:szCs w:val="24"/>
          <w:lang w:val="sr-Cyrl-CS"/>
        </w:rPr>
        <w:t>ра за избегавање плаћања пореза, те да реформе у овом домену, и поред бројних законских измена до сада, тек предстоје.</w:t>
      </w:r>
    </w:p>
    <w:p w:rsidR="00FB5A28" w:rsidRDefault="00FB5A28" w:rsidP="00A22DD5">
      <w:pPr>
        <w:ind w:firstLine="360"/>
        <w:jc w:val="both"/>
        <w:rPr>
          <w:rFonts w:ascii="Times New Roman" w:hAnsi="Times New Roman"/>
          <w:sz w:val="24"/>
          <w:szCs w:val="24"/>
          <w:lang w:val="sr-Cyrl-CS"/>
        </w:rPr>
      </w:pPr>
    </w:p>
    <w:p w:rsidR="00FB5A28" w:rsidRDefault="00FB5A28" w:rsidP="00A22DD5">
      <w:pPr>
        <w:ind w:firstLine="360"/>
        <w:jc w:val="both"/>
        <w:rPr>
          <w:rFonts w:ascii="Times New Roman" w:hAnsi="Times New Roman"/>
          <w:sz w:val="24"/>
          <w:szCs w:val="24"/>
          <w:lang w:val="sr-Cyrl-CS"/>
        </w:rPr>
      </w:pPr>
    </w:p>
    <w:p w:rsidR="00FB5A28" w:rsidRDefault="00FB5A28" w:rsidP="00A22DD5">
      <w:pPr>
        <w:ind w:firstLine="360"/>
        <w:jc w:val="both"/>
        <w:rPr>
          <w:rFonts w:ascii="Times New Roman" w:hAnsi="Times New Roman"/>
          <w:sz w:val="24"/>
          <w:szCs w:val="24"/>
          <w:lang w:val="sr-Cyrl-CS"/>
        </w:rPr>
      </w:pPr>
    </w:p>
    <w:p w:rsidR="00FB5A28" w:rsidRDefault="00FB5A28" w:rsidP="00A22DD5">
      <w:pPr>
        <w:ind w:firstLine="360"/>
        <w:jc w:val="both"/>
        <w:rPr>
          <w:rFonts w:ascii="Times New Roman" w:hAnsi="Times New Roman"/>
          <w:sz w:val="24"/>
          <w:szCs w:val="24"/>
          <w:lang w:val="sr-Cyrl-CS"/>
        </w:rPr>
      </w:pPr>
    </w:p>
    <w:p w:rsidR="00FB5A28" w:rsidRDefault="00FB5A28" w:rsidP="00A22DD5">
      <w:pPr>
        <w:ind w:firstLine="360"/>
        <w:jc w:val="both"/>
        <w:rPr>
          <w:rFonts w:ascii="Times New Roman" w:hAnsi="Times New Roman"/>
          <w:sz w:val="24"/>
          <w:szCs w:val="24"/>
          <w:lang w:val="sr-Cyrl-CS"/>
        </w:rPr>
      </w:pPr>
    </w:p>
    <w:p w:rsidR="00FB5A28" w:rsidRDefault="00FB5A28" w:rsidP="00A22DD5">
      <w:pPr>
        <w:ind w:firstLine="360"/>
        <w:jc w:val="both"/>
        <w:rPr>
          <w:rFonts w:ascii="Times New Roman" w:hAnsi="Times New Roman"/>
          <w:sz w:val="24"/>
          <w:szCs w:val="24"/>
          <w:lang w:val="sr-Cyrl-CS"/>
        </w:rPr>
      </w:pPr>
    </w:p>
    <w:p w:rsidR="00FB5A28" w:rsidRPr="00A22DD5" w:rsidRDefault="00FB5A28" w:rsidP="00A22DD5">
      <w:pPr>
        <w:ind w:firstLine="360"/>
        <w:jc w:val="both"/>
        <w:rPr>
          <w:rFonts w:ascii="Times New Roman" w:hAnsi="Times New Roman"/>
          <w:sz w:val="24"/>
          <w:szCs w:val="24"/>
          <w:lang w:val="sr-Cyrl-CS"/>
        </w:rPr>
      </w:pPr>
    </w:p>
    <w:p w:rsidR="00CB44CF" w:rsidRPr="00CB44CF" w:rsidRDefault="00CB44CF" w:rsidP="008A3795">
      <w:pPr>
        <w:pStyle w:val="ListParagraph"/>
        <w:numPr>
          <w:ilvl w:val="2"/>
          <w:numId w:val="55"/>
        </w:numPr>
        <w:jc w:val="center"/>
        <w:rPr>
          <w:rFonts w:ascii="Times New Roman" w:hAnsi="Times New Roman"/>
          <w:b/>
          <w:sz w:val="24"/>
          <w:szCs w:val="24"/>
          <w:lang w:val="sr-Cyrl-CS"/>
        </w:rPr>
      </w:pPr>
      <w:r w:rsidRPr="00CB44CF">
        <w:rPr>
          <w:rFonts w:ascii="Times New Roman" w:hAnsi="Times New Roman"/>
          <w:b/>
          <w:sz w:val="24"/>
          <w:szCs w:val="24"/>
          <w:lang w:val="sr-Cyrl-CS"/>
        </w:rPr>
        <w:t>Порески прекршаји према Закону о порезу на додходак грађана</w:t>
      </w:r>
    </w:p>
    <w:p w:rsidR="00CB44CF" w:rsidRDefault="00CB44CF" w:rsidP="00213488">
      <w:pPr>
        <w:ind w:firstLine="360"/>
        <w:jc w:val="both"/>
        <w:rPr>
          <w:rFonts w:ascii="Times New Roman" w:hAnsi="Times New Roman"/>
          <w:sz w:val="24"/>
          <w:szCs w:val="24"/>
          <w:lang w:val="sr-Cyrl-CS"/>
        </w:rPr>
      </w:pPr>
    </w:p>
    <w:p w:rsidR="00CB44CF" w:rsidRPr="00FB5A28" w:rsidRDefault="00CB44CF" w:rsidP="00FB5A28">
      <w:pPr>
        <w:ind w:firstLine="708"/>
        <w:jc w:val="both"/>
        <w:rPr>
          <w:rFonts w:ascii="Times New Roman" w:hAnsi="Times New Roman"/>
          <w:sz w:val="24"/>
          <w:szCs w:val="24"/>
          <w:lang w:val="sr-Cyrl-CS"/>
        </w:rPr>
      </w:pPr>
      <w:r w:rsidRPr="00FB5A28">
        <w:rPr>
          <w:rFonts w:ascii="Times New Roman" w:hAnsi="Times New Roman"/>
          <w:sz w:val="24"/>
          <w:szCs w:val="24"/>
          <w:lang w:val="sr-Cyrl-CS"/>
        </w:rPr>
        <w:t>Према Закону о порезу на доходак грађана</w:t>
      </w:r>
      <w:r w:rsidRPr="00FB5A28">
        <w:rPr>
          <w:rStyle w:val="FootnoteReference"/>
          <w:rFonts w:ascii="Times New Roman" w:hAnsi="Times New Roman"/>
          <w:sz w:val="24"/>
          <w:szCs w:val="24"/>
          <w:lang w:val="sr-Cyrl-CS"/>
        </w:rPr>
        <w:footnoteReference w:id="491"/>
      </w:r>
      <w:r w:rsidRPr="00FB5A28">
        <w:rPr>
          <w:rFonts w:ascii="Times New Roman" w:hAnsi="Times New Roman"/>
          <w:sz w:val="24"/>
          <w:szCs w:val="24"/>
          <w:lang w:val="sr-Cyrl-CS"/>
        </w:rPr>
        <w:t xml:space="preserve"> прописано је више пореских прекршаја, као облика незаконите евазије пореза на доходак грађана. Наиме, </w:t>
      </w:r>
      <w:r w:rsidRPr="00FB5A28">
        <w:rPr>
          <w:rFonts w:ascii="Times New Roman" w:hAnsi="Times New Roman"/>
          <w:color w:val="000000"/>
          <w:sz w:val="24"/>
          <w:szCs w:val="24"/>
          <w:lang w:val="sr-Cyrl-CS"/>
        </w:rPr>
        <w:t>н</w:t>
      </w:r>
      <w:r w:rsidRPr="00FB5A28">
        <w:rPr>
          <w:rFonts w:ascii="Times New Roman" w:hAnsi="Times New Roman"/>
          <w:color w:val="000000"/>
          <w:sz w:val="24"/>
          <w:szCs w:val="24"/>
        </w:rPr>
        <w:t>овчаном казном од 100.000 до 1.000.000 динара казниће се за прекршај правно лице ако:</w:t>
      </w:r>
    </w:p>
    <w:p w:rsidR="00CB44CF" w:rsidRPr="00FB5A28" w:rsidRDefault="00CB44CF" w:rsidP="00FB5A28">
      <w:pPr>
        <w:jc w:val="both"/>
        <w:rPr>
          <w:rFonts w:ascii="Times New Roman" w:hAnsi="Times New Roman"/>
          <w:color w:val="000000"/>
          <w:sz w:val="24"/>
          <w:szCs w:val="24"/>
        </w:rPr>
      </w:pPr>
      <w:r w:rsidRPr="00FB5A28">
        <w:rPr>
          <w:rFonts w:ascii="Times New Roman" w:hAnsi="Times New Roman"/>
          <w:color w:val="000000"/>
          <w:sz w:val="24"/>
          <w:szCs w:val="24"/>
          <w:lang w:val="sr-Cyrl-CS"/>
        </w:rPr>
        <w:t>1</w:t>
      </w:r>
      <w:r w:rsidRPr="00FB5A28">
        <w:rPr>
          <w:rFonts w:ascii="Times New Roman" w:hAnsi="Times New Roman"/>
          <w:color w:val="000000"/>
          <w:sz w:val="24"/>
          <w:szCs w:val="24"/>
        </w:rPr>
        <w:t>) обвезнику не изда обрачун са подацима о исплаћеним приходима на које се порез плаћа по одбитку (члан 106);</w:t>
      </w:r>
    </w:p>
    <w:p w:rsidR="00CB44CF" w:rsidRPr="00FB5A28" w:rsidRDefault="00CB44CF" w:rsidP="00FB5A28">
      <w:pPr>
        <w:jc w:val="both"/>
        <w:rPr>
          <w:rFonts w:ascii="Times New Roman" w:hAnsi="Times New Roman"/>
          <w:color w:val="000000"/>
          <w:sz w:val="24"/>
          <w:szCs w:val="24"/>
        </w:rPr>
      </w:pPr>
      <w:r w:rsidRPr="00FB5A28">
        <w:rPr>
          <w:rFonts w:ascii="Times New Roman" w:hAnsi="Times New Roman"/>
          <w:color w:val="000000"/>
          <w:sz w:val="24"/>
          <w:szCs w:val="24"/>
          <w:lang w:val="sr-Cyrl-CS"/>
        </w:rPr>
        <w:t>2</w:t>
      </w:r>
      <w:r w:rsidRPr="00FB5A28">
        <w:rPr>
          <w:rFonts w:ascii="Times New Roman" w:hAnsi="Times New Roman"/>
          <w:color w:val="000000"/>
          <w:sz w:val="24"/>
          <w:szCs w:val="24"/>
        </w:rPr>
        <w:t>) не достави Пореској управи у прописаном року пријаву за упис у Регистар исплатилаца прихода интерпретаторима, а организује извођење естрадних програма забавне и народне музике или других забавних програма (члан 108а ст. 3, 4. и 5);</w:t>
      </w:r>
    </w:p>
    <w:p w:rsidR="00CB44CF" w:rsidRPr="00FB5A28" w:rsidRDefault="00CB44CF" w:rsidP="00FB5A28">
      <w:pPr>
        <w:jc w:val="both"/>
        <w:rPr>
          <w:rFonts w:ascii="Times New Roman" w:hAnsi="Times New Roman"/>
          <w:color w:val="000000"/>
          <w:sz w:val="24"/>
          <w:szCs w:val="24"/>
        </w:rPr>
      </w:pPr>
      <w:r w:rsidRPr="00FB5A28">
        <w:rPr>
          <w:rFonts w:ascii="Times New Roman" w:hAnsi="Times New Roman"/>
          <w:color w:val="000000"/>
          <w:sz w:val="24"/>
          <w:szCs w:val="24"/>
          <w:lang w:val="sr-Cyrl-CS"/>
        </w:rPr>
        <w:t>3</w:t>
      </w:r>
      <w:r w:rsidRPr="00FB5A28">
        <w:rPr>
          <w:rFonts w:ascii="Times New Roman" w:hAnsi="Times New Roman"/>
          <w:color w:val="000000"/>
          <w:sz w:val="24"/>
          <w:szCs w:val="24"/>
        </w:rPr>
        <w:t>) са интерпретатором, менаџером или другим ангажованим лицем на извођењу естрадног програма забавне и народне музике или другог забавног програма не закључи уговор или ако Пореској управи у прописаном року не достави писмено обавештење о закљученим уговорима (члан 108а став 8);</w:t>
      </w:r>
    </w:p>
    <w:p w:rsidR="00CB44CF" w:rsidRPr="00FB5A28" w:rsidRDefault="00CB44CF" w:rsidP="00FB5A28">
      <w:pPr>
        <w:jc w:val="both"/>
        <w:rPr>
          <w:rFonts w:ascii="Times New Roman" w:hAnsi="Times New Roman"/>
          <w:color w:val="000000"/>
          <w:sz w:val="24"/>
          <w:szCs w:val="24"/>
          <w:lang w:val="sr-Cyrl-CS"/>
        </w:rPr>
      </w:pPr>
      <w:r w:rsidRPr="00FB5A28">
        <w:rPr>
          <w:rFonts w:ascii="Times New Roman" w:hAnsi="Times New Roman"/>
          <w:color w:val="000000"/>
          <w:sz w:val="24"/>
          <w:szCs w:val="24"/>
          <w:lang w:val="sr-Cyrl-CS"/>
        </w:rPr>
        <w:t>4</w:t>
      </w:r>
      <w:r w:rsidRPr="00FB5A28">
        <w:rPr>
          <w:rFonts w:ascii="Times New Roman" w:hAnsi="Times New Roman"/>
          <w:color w:val="000000"/>
          <w:sz w:val="24"/>
          <w:szCs w:val="24"/>
        </w:rPr>
        <w:t>) Пореској управи, према месту свог седишта, не поднесе пријаву за упис у Регистар правних и физичких лица, државних органа и организација, органа и организација јединица територијалне аутономије и локалне самоуправе и других органа и организација у којима се исплаћују зараде, односно плате, у року од осам дана од дана уписа у одговарајући регистар код надлежног органа (члан 108б став 2).</w:t>
      </w:r>
    </w:p>
    <w:p w:rsidR="00CB44CF" w:rsidRPr="00FB5A28" w:rsidRDefault="00CB44CF" w:rsidP="00FB5A28">
      <w:pPr>
        <w:ind w:firstLine="708"/>
        <w:jc w:val="both"/>
        <w:rPr>
          <w:rFonts w:ascii="Times New Roman" w:hAnsi="Times New Roman"/>
          <w:color w:val="000000"/>
          <w:sz w:val="24"/>
          <w:szCs w:val="24"/>
          <w:lang w:val="sr-Cyrl-CS"/>
        </w:rPr>
      </w:pPr>
      <w:r w:rsidRPr="00FB5A28">
        <w:rPr>
          <w:rFonts w:ascii="Times New Roman" w:hAnsi="Times New Roman"/>
          <w:color w:val="000000"/>
          <w:sz w:val="24"/>
          <w:szCs w:val="24"/>
          <w:lang w:val="sr-Cyrl-CS"/>
        </w:rPr>
        <w:t>За наведене прекршајне радње н</w:t>
      </w:r>
      <w:r w:rsidRPr="00FB5A28">
        <w:rPr>
          <w:rFonts w:ascii="Times New Roman" w:hAnsi="Times New Roman"/>
          <w:color w:val="000000"/>
          <w:sz w:val="24"/>
          <w:szCs w:val="24"/>
        </w:rPr>
        <w:t>овчаном казном од двоструког до десетоструког износа пореског дуга, а најмање 100.000 динара, казниће се правно лице код кога је избегнуто плаћање пореза</w:t>
      </w:r>
      <w:r w:rsidRPr="00FB5A28">
        <w:rPr>
          <w:rFonts w:ascii="Times New Roman" w:hAnsi="Times New Roman"/>
          <w:color w:val="000000"/>
          <w:sz w:val="24"/>
          <w:szCs w:val="24"/>
          <w:lang w:val="sr-Cyrl-CS"/>
        </w:rPr>
        <w:t xml:space="preserve">, </w:t>
      </w:r>
      <w:r w:rsidRPr="00FB5A28">
        <w:rPr>
          <w:rFonts w:ascii="Times New Roman" w:hAnsi="Times New Roman"/>
          <w:color w:val="000000"/>
          <w:sz w:val="24"/>
          <w:szCs w:val="24"/>
        </w:rPr>
        <w:t>одговорно лице у правном лицу новчаном казном од 10.000 до 100.000 динара</w:t>
      </w:r>
      <w:r w:rsidRPr="00FB5A28">
        <w:rPr>
          <w:rFonts w:ascii="Times New Roman" w:hAnsi="Times New Roman"/>
          <w:color w:val="000000"/>
          <w:sz w:val="24"/>
          <w:szCs w:val="24"/>
          <w:lang w:val="sr-Cyrl-CS"/>
        </w:rPr>
        <w:t xml:space="preserve">, </w:t>
      </w:r>
      <w:r w:rsidRPr="00FB5A28">
        <w:rPr>
          <w:rFonts w:ascii="Times New Roman" w:hAnsi="Times New Roman"/>
          <w:color w:val="000000"/>
          <w:sz w:val="24"/>
          <w:szCs w:val="24"/>
        </w:rPr>
        <w:t xml:space="preserve">одговорно лице у државном органу и органу локалне самоуправе </w:t>
      </w:r>
      <w:r w:rsidRPr="00FB5A28">
        <w:rPr>
          <w:rFonts w:ascii="Times New Roman" w:hAnsi="Times New Roman"/>
          <w:color w:val="000000"/>
          <w:sz w:val="24"/>
          <w:szCs w:val="24"/>
          <w:lang w:val="sr-Cyrl-CS"/>
        </w:rPr>
        <w:t xml:space="preserve"> </w:t>
      </w:r>
      <w:r w:rsidRPr="00FB5A28">
        <w:rPr>
          <w:rFonts w:ascii="Times New Roman" w:hAnsi="Times New Roman"/>
          <w:color w:val="000000"/>
          <w:sz w:val="24"/>
          <w:szCs w:val="24"/>
        </w:rPr>
        <w:t>новчаном казном од 10.000 до 100.000 динара</w:t>
      </w:r>
      <w:r w:rsidRPr="00FB5A28">
        <w:rPr>
          <w:rFonts w:ascii="Times New Roman" w:hAnsi="Times New Roman"/>
          <w:color w:val="000000"/>
          <w:sz w:val="24"/>
          <w:szCs w:val="24"/>
          <w:lang w:val="sr-Cyrl-CS"/>
        </w:rPr>
        <w:t xml:space="preserve">, док ће се </w:t>
      </w:r>
      <w:r w:rsidRPr="00FB5A28">
        <w:rPr>
          <w:rFonts w:ascii="Times New Roman" w:hAnsi="Times New Roman"/>
          <w:color w:val="000000"/>
          <w:sz w:val="24"/>
          <w:szCs w:val="24"/>
        </w:rPr>
        <w:t xml:space="preserve">предузетник </w:t>
      </w:r>
      <w:r w:rsidRPr="00FB5A28">
        <w:rPr>
          <w:rFonts w:ascii="Times New Roman" w:hAnsi="Times New Roman"/>
          <w:color w:val="000000"/>
          <w:sz w:val="24"/>
          <w:szCs w:val="24"/>
          <w:lang w:val="sr-Cyrl-CS"/>
        </w:rPr>
        <w:t xml:space="preserve">казнити </w:t>
      </w:r>
      <w:r w:rsidRPr="00FB5A28">
        <w:rPr>
          <w:rFonts w:ascii="Times New Roman" w:hAnsi="Times New Roman"/>
          <w:color w:val="000000"/>
          <w:sz w:val="24"/>
          <w:szCs w:val="24"/>
        </w:rPr>
        <w:t>новчаном казном од 50.000 до 500.000 динара.</w:t>
      </w:r>
      <w:r w:rsidRPr="00FB5A28">
        <w:rPr>
          <w:rFonts w:ascii="Times New Roman" w:hAnsi="Times New Roman"/>
          <w:color w:val="000000"/>
          <w:sz w:val="24"/>
          <w:szCs w:val="24"/>
          <w:lang w:val="sr-Cyrl-CS"/>
        </w:rPr>
        <w:t xml:space="preserve"> </w:t>
      </w:r>
      <w:r w:rsidRPr="00FB5A28">
        <w:rPr>
          <w:rFonts w:ascii="Times New Roman" w:hAnsi="Times New Roman"/>
          <w:color w:val="000000"/>
          <w:sz w:val="24"/>
          <w:szCs w:val="24"/>
        </w:rPr>
        <w:t xml:space="preserve">Новчаном казном од двоструког до десетоструког износа пореског дуга, а најмање 50.000 динара, казниће се за прекршај предузетник који </w:t>
      </w:r>
      <w:r w:rsidRPr="00FB5A28">
        <w:rPr>
          <w:rFonts w:ascii="Times New Roman" w:hAnsi="Times New Roman"/>
          <w:color w:val="000000"/>
          <w:sz w:val="24"/>
          <w:szCs w:val="24"/>
          <w:lang w:val="sr-Cyrl-CS"/>
        </w:rPr>
        <w:t xml:space="preserve">поменутом </w:t>
      </w:r>
      <w:r w:rsidRPr="00FB5A28">
        <w:rPr>
          <w:rFonts w:ascii="Times New Roman" w:hAnsi="Times New Roman"/>
          <w:color w:val="000000"/>
          <w:sz w:val="24"/>
          <w:szCs w:val="24"/>
        </w:rPr>
        <w:t>прекршајном радњом избегне плаћање пореза.</w:t>
      </w:r>
    </w:p>
    <w:p w:rsidR="00CB44CF" w:rsidRPr="00FB5A28" w:rsidRDefault="00CB44CF" w:rsidP="00FB5A28">
      <w:pPr>
        <w:ind w:firstLine="708"/>
        <w:jc w:val="both"/>
        <w:rPr>
          <w:rFonts w:ascii="Times New Roman" w:hAnsi="Times New Roman"/>
          <w:color w:val="000000"/>
          <w:sz w:val="24"/>
          <w:szCs w:val="24"/>
          <w:lang w:val="sr-Cyrl-CS"/>
        </w:rPr>
      </w:pPr>
      <w:r w:rsidRPr="00FB5A28">
        <w:rPr>
          <w:rFonts w:ascii="Times New Roman" w:hAnsi="Times New Roman"/>
          <w:color w:val="000000"/>
          <w:sz w:val="24"/>
          <w:szCs w:val="24"/>
        </w:rPr>
        <w:t>Новчаном казном од 50.000 до 500.000 динара, казниће се за прекршај предузетник ако:</w:t>
      </w:r>
      <w:r w:rsidRPr="00FB5A28">
        <w:rPr>
          <w:rFonts w:ascii="Times New Roman" w:hAnsi="Times New Roman"/>
          <w:color w:val="000000"/>
          <w:sz w:val="24"/>
          <w:szCs w:val="24"/>
          <w:lang w:val="sr-Cyrl-CS"/>
        </w:rPr>
        <w:t xml:space="preserve"> </w:t>
      </w:r>
    </w:p>
    <w:p w:rsidR="00CB44CF" w:rsidRPr="00FB5A28" w:rsidRDefault="00CB44CF" w:rsidP="00FB5A28">
      <w:pPr>
        <w:jc w:val="both"/>
        <w:rPr>
          <w:rFonts w:ascii="Times New Roman" w:hAnsi="Times New Roman"/>
          <w:color w:val="000000"/>
          <w:sz w:val="24"/>
          <w:szCs w:val="24"/>
          <w:lang w:val="sr-Cyrl-CS"/>
        </w:rPr>
      </w:pPr>
      <w:r w:rsidRPr="00FB5A28">
        <w:rPr>
          <w:rFonts w:ascii="Times New Roman" w:hAnsi="Times New Roman"/>
          <w:color w:val="000000"/>
          <w:sz w:val="24"/>
          <w:szCs w:val="24"/>
        </w:rPr>
        <w:t>1) пословне књиге не води у складу са чл. 43. до 48. овог закона;</w:t>
      </w:r>
    </w:p>
    <w:p w:rsidR="00CB44CF" w:rsidRPr="00FB5A28" w:rsidRDefault="00CB44CF" w:rsidP="00FB5A28">
      <w:pPr>
        <w:jc w:val="both"/>
        <w:rPr>
          <w:rFonts w:ascii="Times New Roman" w:hAnsi="Times New Roman"/>
          <w:color w:val="000000"/>
          <w:sz w:val="24"/>
          <w:szCs w:val="24"/>
        </w:rPr>
      </w:pPr>
      <w:r w:rsidRPr="00FB5A28">
        <w:rPr>
          <w:rFonts w:ascii="Times New Roman" w:hAnsi="Times New Roman"/>
          <w:color w:val="000000"/>
          <w:sz w:val="24"/>
          <w:szCs w:val="24"/>
          <w:lang w:val="sr-Cyrl-CS"/>
        </w:rPr>
        <w:lastRenderedPageBreak/>
        <w:t>2</w:t>
      </w:r>
      <w:r w:rsidRPr="00FB5A28">
        <w:rPr>
          <w:rFonts w:ascii="Times New Roman" w:hAnsi="Times New Roman"/>
          <w:color w:val="000000"/>
          <w:sz w:val="24"/>
          <w:szCs w:val="24"/>
        </w:rPr>
        <w:t>) у пореском билансу не искаже посебно вредност трансакција са повезаним лицима у складу са принципом "ван дохвата руке" (члан 35);</w:t>
      </w:r>
    </w:p>
    <w:p w:rsidR="00CB44CF" w:rsidRPr="00FB5A28" w:rsidRDefault="00CB44CF" w:rsidP="00FB5A28">
      <w:pPr>
        <w:jc w:val="both"/>
        <w:rPr>
          <w:rFonts w:ascii="Times New Roman" w:hAnsi="Times New Roman"/>
          <w:color w:val="000000"/>
          <w:sz w:val="24"/>
          <w:szCs w:val="24"/>
        </w:rPr>
      </w:pPr>
      <w:r w:rsidRPr="00FB5A28">
        <w:rPr>
          <w:rFonts w:ascii="Times New Roman" w:hAnsi="Times New Roman"/>
          <w:color w:val="000000"/>
          <w:sz w:val="24"/>
          <w:szCs w:val="24"/>
          <w:lang w:val="sr-Cyrl-CS"/>
        </w:rPr>
        <w:t>3</w:t>
      </w:r>
      <w:r w:rsidRPr="00FB5A28">
        <w:rPr>
          <w:rFonts w:ascii="Times New Roman" w:hAnsi="Times New Roman"/>
          <w:color w:val="000000"/>
          <w:sz w:val="24"/>
          <w:szCs w:val="24"/>
        </w:rPr>
        <w:t>) у прописаном року не пријави пореском органу отуђење основних средстава, за која је остварио порески подстицај (члан 39);</w:t>
      </w:r>
    </w:p>
    <w:p w:rsidR="00CB44CF" w:rsidRPr="00FB5A28" w:rsidRDefault="00CB44CF" w:rsidP="00FB5A28">
      <w:pPr>
        <w:jc w:val="both"/>
        <w:rPr>
          <w:rFonts w:ascii="Times New Roman" w:hAnsi="Times New Roman"/>
          <w:color w:val="000000"/>
          <w:sz w:val="24"/>
          <w:szCs w:val="24"/>
        </w:rPr>
      </w:pPr>
      <w:r w:rsidRPr="00FB5A28">
        <w:rPr>
          <w:rFonts w:ascii="Times New Roman" w:hAnsi="Times New Roman"/>
          <w:color w:val="000000"/>
          <w:sz w:val="24"/>
          <w:szCs w:val="24"/>
          <w:lang w:val="sr-Cyrl-CS"/>
        </w:rPr>
        <w:t>4</w:t>
      </w:r>
      <w:r w:rsidRPr="00FB5A28">
        <w:rPr>
          <w:rFonts w:ascii="Times New Roman" w:hAnsi="Times New Roman"/>
          <w:color w:val="000000"/>
          <w:sz w:val="24"/>
          <w:szCs w:val="24"/>
        </w:rPr>
        <w:t>) не састави порески биланс у прописаном року и на прописани начин, односно не поднесе га у прописаном року (члан 50. и члан 93);</w:t>
      </w:r>
    </w:p>
    <w:p w:rsidR="00CB44CF" w:rsidRPr="00FB5A28" w:rsidRDefault="00CB44CF" w:rsidP="00FB5A28">
      <w:pPr>
        <w:jc w:val="both"/>
        <w:rPr>
          <w:rFonts w:ascii="Times New Roman" w:hAnsi="Times New Roman"/>
          <w:color w:val="000000"/>
          <w:sz w:val="24"/>
          <w:szCs w:val="24"/>
        </w:rPr>
      </w:pPr>
      <w:r w:rsidRPr="00FB5A28">
        <w:rPr>
          <w:rFonts w:ascii="Times New Roman" w:hAnsi="Times New Roman"/>
          <w:color w:val="000000"/>
          <w:sz w:val="24"/>
          <w:szCs w:val="24"/>
          <w:lang w:val="sr-Cyrl-CS"/>
        </w:rPr>
        <w:t>5</w:t>
      </w:r>
      <w:r w:rsidRPr="00FB5A28">
        <w:rPr>
          <w:rFonts w:ascii="Times New Roman" w:hAnsi="Times New Roman"/>
          <w:color w:val="000000"/>
          <w:sz w:val="24"/>
          <w:szCs w:val="24"/>
        </w:rPr>
        <w:t>) ако не врши плаћања преко текућег рачуна код банке или не води средства на текућем рачуну или ако примљени готов новац не уплати на текући рачун (члан 51);</w:t>
      </w:r>
      <w:r w:rsidRPr="00FB5A28">
        <w:rPr>
          <w:rFonts w:ascii="Times New Roman" w:hAnsi="Times New Roman"/>
          <w:i/>
          <w:iCs/>
          <w:color w:val="000000"/>
          <w:sz w:val="24"/>
          <w:szCs w:val="24"/>
        </w:rPr>
        <w:t>)</w:t>
      </w:r>
    </w:p>
    <w:p w:rsidR="00CB44CF" w:rsidRPr="00FB5A28" w:rsidRDefault="00CB44CF" w:rsidP="00FB5A28">
      <w:pPr>
        <w:jc w:val="both"/>
        <w:rPr>
          <w:rFonts w:ascii="Times New Roman" w:hAnsi="Times New Roman"/>
          <w:color w:val="000000"/>
          <w:sz w:val="24"/>
          <w:szCs w:val="24"/>
        </w:rPr>
      </w:pPr>
      <w:r w:rsidRPr="00FB5A28">
        <w:rPr>
          <w:rFonts w:ascii="Times New Roman" w:hAnsi="Times New Roman"/>
          <w:color w:val="000000"/>
          <w:sz w:val="24"/>
          <w:szCs w:val="24"/>
          <w:lang w:val="sr-Cyrl-CS"/>
        </w:rPr>
        <w:t>6</w:t>
      </w:r>
      <w:r w:rsidRPr="00FB5A28">
        <w:rPr>
          <w:rFonts w:ascii="Times New Roman" w:hAnsi="Times New Roman"/>
          <w:color w:val="000000"/>
          <w:sz w:val="24"/>
          <w:szCs w:val="24"/>
        </w:rPr>
        <w:t>) не изврши уплату месечне аконтације пореза или не изврши уплату у прописаном року (члан 109. и члан 112);</w:t>
      </w:r>
    </w:p>
    <w:p w:rsidR="00CB44CF" w:rsidRPr="00FB5A28" w:rsidRDefault="00CB44CF" w:rsidP="00FB5A28">
      <w:pPr>
        <w:jc w:val="both"/>
        <w:rPr>
          <w:rFonts w:ascii="Times New Roman" w:hAnsi="Times New Roman"/>
          <w:color w:val="000000"/>
          <w:sz w:val="24"/>
          <w:szCs w:val="24"/>
          <w:lang w:val="sr-Cyrl-CS"/>
        </w:rPr>
      </w:pPr>
      <w:r w:rsidRPr="00FB5A28">
        <w:rPr>
          <w:rFonts w:ascii="Times New Roman" w:hAnsi="Times New Roman"/>
          <w:color w:val="000000"/>
          <w:sz w:val="24"/>
          <w:szCs w:val="24"/>
          <w:lang w:val="sr-Cyrl-CS"/>
        </w:rPr>
        <w:t>7</w:t>
      </w:r>
      <w:r w:rsidRPr="00FB5A28">
        <w:rPr>
          <w:rFonts w:ascii="Times New Roman" w:hAnsi="Times New Roman"/>
          <w:color w:val="000000"/>
          <w:sz w:val="24"/>
          <w:szCs w:val="24"/>
        </w:rPr>
        <w:t>) у прописаном року не изврши уплату пореза на основу пореског биланса или разлику између аконтације коју је платио и пореза који је био дужан да плати по обавези обрачунатој у пореској пријави (члан 94. став 3, чл. 110. и 111. и члан 114);</w:t>
      </w:r>
    </w:p>
    <w:p w:rsidR="00CB44CF" w:rsidRPr="00FB5A28" w:rsidRDefault="00CB44CF" w:rsidP="00FB5A28">
      <w:pPr>
        <w:ind w:firstLine="708"/>
        <w:jc w:val="both"/>
        <w:rPr>
          <w:rFonts w:ascii="Times New Roman" w:hAnsi="Times New Roman"/>
          <w:color w:val="000000"/>
          <w:sz w:val="24"/>
          <w:szCs w:val="24"/>
          <w:lang w:val="sr-Cyrl-CS"/>
        </w:rPr>
      </w:pPr>
      <w:r w:rsidRPr="00FB5A28">
        <w:rPr>
          <w:rFonts w:ascii="Times New Roman" w:hAnsi="Times New Roman"/>
          <w:color w:val="000000"/>
          <w:sz w:val="24"/>
          <w:szCs w:val="24"/>
        </w:rPr>
        <w:t xml:space="preserve">Новчаном казном од двоструког до десетоструког износа пореског дуга, а најмање 50.000 динара, казниће се за прекршај предузетник који </w:t>
      </w:r>
      <w:r w:rsidRPr="00FB5A28">
        <w:rPr>
          <w:rFonts w:ascii="Times New Roman" w:hAnsi="Times New Roman"/>
          <w:color w:val="000000"/>
          <w:sz w:val="24"/>
          <w:szCs w:val="24"/>
          <w:lang w:val="sr-Cyrl-CS"/>
        </w:rPr>
        <w:t xml:space="preserve">наведеном </w:t>
      </w:r>
      <w:r w:rsidRPr="00FB5A28">
        <w:rPr>
          <w:rFonts w:ascii="Times New Roman" w:hAnsi="Times New Roman"/>
          <w:color w:val="000000"/>
          <w:sz w:val="24"/>
          <w:szCs w:val="24"/>
        </w:rPr>
        <w:t>прекршајном радњом избегне плаћање пореза.</w:t>
      </w:r>
      <w:r w:rsidRPr="00FB5A28">
        <w:rPr>
          <w:rFonts w:ascii="Times New Roman" w:hAnsi="Times New Roman"/>
          <w:color w:val="000000"/>
          <w:sz w:val="24"/>
          <w:szCs w:val="24"/>
          <w:lang w:val="sr-Cyrl-CS"/>
        </w:rPr>
        <w:t xml:space="preserve"> </w:t>
      </w:r>
    </w:p>
    <w:p w:rsidR="00CB44CF" w:rsidRPr="00FB5A28" w:rsidRDefault="00CB44CF" w:rsidP="00FB5A28">
      <w:pPr>
        <w:ind w:firstLine="708"/>
        <w:jc w:val="both"/>
        <w:rPr>
          <w:rFonts w:ascii="Times New Roman" w:hAnsi="Times New Roman"/>
          <w:color w:val="000000"/>
          <w:sz w:val="24"/>
          <w:szCs w:val="24"/>
          <w:lang w:val="sr-Cyrl-CS"/>
        </w:rPr>
      </w:pPr>
      <w:r w:rsidRPr="00FB5A28">
        <w:rPr>
          <w:rFonts w:ascii="Times New Roman" w:hAnsi="Times New Roman"/>
          <w:color w:val="000000"/>
          <w:sz w:val="24"/>
          <w:szCs w:val="24"/>
        </w:rPr>
        <w:t>Новчаном казном од 5.000 до 50.000 динара, казниће се за прекршај обвезник физичко лице ако:</w:t>
      </w:r>
    </w:p>
    <w:p w:rsidR="00CB44CF" w:rsidRPr="00FB5A28" w:rsidRDefault="00CB44CF" w:rsidP="00FB5A28">
      <w:pPr>
        <w:jc w:val="both"/>
        <w:rPr>
          <w:rFonts w:ascii="Times New Roman" w:hAnsi="Times New Roman"/>
          <w:color w:val="000000"/>
          <w:sz w:val="24"/>
          <w:szCs w:val="24"/>
        </w:rPr>
      </w:pPr>
      <w:r w:rsidRPr="00FB5A28">
        <w:rPr>
          <w:rFonts w:ascii="Times New Roman" w:hAnsi="Times New Roman"/>
          <w:color w:val="000000"/>
          <w:sz w:val="24"/>
          <w:szCs w:val="24"/>
          <w:lang w:val="sr-Cyrl-CS"/>
        </w:rPr>
        <w:t>1</w:t>
      </w:r>
      <w:r w:rsidRPr="00FB5A28">
        <w:rPr>
          <w:rFonts w:ascii="Times New Roman" w:hAnsi="Times New Roman"/>
          <w:color w:val="000000"/>
          <w:sz w:val="24"/>
          <w:szCs w:val="24"/>
        </w:rPr>
        <w:t>) не обрачуна и не уплати порез самоопорезивањем (члан 100а);</w:t>
      </w:r>
    </w:p>
    <w:p w:rsidR="00CB44CF" w:rsidRPr="00FB5A28" w:rsidRDefault="00CB44CF" w:rsidP="00FB5A28">
      <w:pPr>
        <w:jc w:val="both"/>
        <w:rPr>
          <w:rFonts w:ascii="Times New Roman" w:hAnsi="Times New Roman"/>
          <w:color w:val="000000"/>
          <w:sz w:val="24"/>
          <w:szCs w:val="24"/>
          <w:lang w:val="sr-Cyrl-CS"/>
        </w:rPr>
      </w:pPr>
      <w:r w:rsidRPr="00FB5A28">
        <w:rPr>
          <w:rFonts w:ascii="Times New Roman" w:hAnsi="Times New Roman"/>
          <w:color w:val="000000"/>
          <w:sz w:val="24"/>
          <w:szCs w:val="24"/>
          <w:lang w:val="sr-Cyrl-CS"/>
        </w:rPr>
        <w:t>2</w:t>
      </w:r>
      <w:r w:rsidRPr="00FB5A28">
        <w:rPr>
          <w:rFonts w:ascii="Times New Roman" w:hAnsi="Times New Roman"/>
          <w:color w:val="000000"/>
          <w:sz w:val="24"/>
          <w:szCs w:val="24"/>
        </w:rPr>
        <w:t>) не изврши уплату пореза или не изврши уплату у прописаном року (члан 112.);</w:t>
      </w:r>
    </w:p>
    <w:p w:rsidR="00CB44CF" w:rsidRPr="00FB5A28" w:rsidRDefault="00CB44CF" w:rsidP="00FB5A28">
      <w:pPr>
        <w:ind w:firstLine="708"/>
        <w:jc w:val="both"/>
        <w:rPr>
          <w:rFonts w:ascii="Times New Roman" w:hAnsi="Times New Roman"/>
          <w:color w:val="000000"/>
          <w:sz w:val="24"/>
          <w:szCs w:val="24"/>
          <w:lang w:val="sr-Cyrl-CS"/>
        </w:rPr>
      </w:pPr>
      <w:r w:rsidRPr="00FB5A28">
        <w:rPr>
          <w:rFonts w:ascii="Times New Roman" w:hAnsi="Times New Roman"/>
          <w:color w:val="000000"/>
          <w:sz w:val="24"/>
          <w:szCs w:val="24"/>
        </w:rPr>
        <w:t xml:space="preserve">Новчаном казном од двоструког до десетоструког износа пореског дуга, а најмање 5.000 динара, казниће се за прекршај обвезник физичко лице које </w:t>
      </w:r>
      <w:r w:rsidRPr="00FB5A28">
        <w:rPr>
          <w:rFonts w:ascii="Times New Roman" w:hAnsi="Times New Roman"/>
          <w:color w:val="000000"/>
          <w:sz w:val="24"/>
          <w:szCs w:val="24"/>
          <w:lang w:val="sr-Cyrl-CS"/>
        </w:rPr>
        <w:t xml:space="preserve">наведеном </w:t>
      </w:r>
      <w:r w:rsidRPr="00FB5A28">
        <w:rPr>
          <w:rFonts w:ascii="Times New Roman" w:hAnsi="Times New Roman"/>
          <w:color w:val="000000"/>
          <w:sz w:val="24"/>
          <w:szCs w:val="24"/>
        </w:rPr>
        <w:t>прекршајном радњом избегне плаћање пореза.</w:t>
      </w:r>
      <w:r w:rsidRPr="00FB5A28">
        <w:rPr>
          <w:rFonts w:ascii="Times New Roman" w:hAnsi="Times New Roman"/>
          <w:color w:val="000000"/>
          <w:sz w:val="24"/>
          <w:szCs w:val="24"/>
          <w:lang w:val="sr-Cyrl-CS"/>
        </w:rPr>
        <w:t xml:space="preserve"> </w:t>
      </w:r>
    </w:p>
    <w:p w:rsidR="000726DA" w:rsidRPr="00FB5A28" w:rsidRDefault="000726DA" w:rsidP="00FB5A28">
      <w:pPr>
        <w:jc w:val="both"/>
        <w:rPr>
          <w:rFonts w:ascii="Times New Roman" w:hAnsi="Times New Roman"/>
          <w:color w:val="000000"/>
          <w:sz w:val="24"/>
          <w:szCs w:val="24"/>
        </w:rPr>
      </w:pPr>
    </w:p>
    <w:p w:rsidR="00014DFE" w:rsidRDefault="00014DFE" w:rsidP="00A22DD5">
      <w:pPr>
        <w:pStyle w:val="normal0"/>
        <w:shd w:val="clear" w:color="auto" w:fill="FFFFFF"/>
        <w:spacing w:before="48" w:beforeAutospacing="0" w:after="48" w:afterAutospacing="0"/>
        <w:jc w:val="both"/>
        <w:rPr>
          <w:color w:val="000000"/>
          <w:lang w:val="sr-Cyrl-CS"/>
        </w:rPr>
      </w:pPr>
    </w:p>
    <w:p w:rsidR="00FB5A28" w:rsidRDefault="00FB5A28" w:rsidP="00A22DD5">
      <w:pPr>
        <w:pStyle w:val="normal0"/>
        <w:shd w:val="clear" w:color="auto" w:fill="FFFFFF"/>
        <w:spacing w:before="48" w:beforeAutospacing="0" w:after="48" w:afterAutospacing="0"/>
        <w:jc w:val="both"/>
        <w:rPr>
          <w:color w:val="000000"/>
          <w:lang w:val="sr-Cyrl-CS"/>
        </w:rPr>
      </w:pPr>
    </w:p>
    <w:p w:rsidR="00FB5A28" w:rsidRDefault="00FB5A28" w:rsidP="00A22DD5">
      <w:pPr>
        <w:pStyle w:val="normal0"/>
        <w:shd w:val="clear" w:color="auto" w:fill="FFFFFF"/>
        <w:spacing w:before="48" w:beforeAutospacing="0" w:after="48" w:afterAutospacing="0"/>
        <w:jc w:val="both"/>
        <w:rPr>
          <w:color w:val="000000"/>
          <w:lang w:val="sr-Cyrl-CS"/>
        </w:rPr>
      </w:pPr>
    </w:p>
    <w:p w:rsidR="00FB5A28" w:rsidRDefault="00FB5A28" w:rsidP="00A22DD5">
      <w:pPr>
        <w:pStyle w:val="normal0"/>
        <w:shd w:val="clear" w:color="auto" w:fill="FFFFFF"/>
        <w:spacing w:before="48" w:beforeAutospacing="0" w:after="48" w:afterAutospacing="0"/>
        <w:jc w:val="both"/>
        <w:rPr>
          <w:color w:val="000000"/>
          <w:lang w:val="sr-Cyrl-CS"/>
        </w:rPr>
      </w:pPr>
    </w:p>
    <w:p w:rsidR="00FB5A28" w:rsidRDefault="00FB5A28" w:rsidP="00A22DD5">
      <w:pPr>
        <w:pStyle w:val="normal0"/>
        <w:shd w:val="clear" w:color="auto" w:fill="FFFFFF"/>
        <w:spacing w:before="48" w:beforeAutospacing="0" w:after="48" w:afterAutospacing="0"/>
        <w:jc w:val="both"/>
        <w:rPr>
          <w:color w:val="000000"/>
          <w:lang w:val="sr-Cyrl-CS"/>
        </w:rPr>
      </w:pPr>
    </w:p>
    <w:p w:rsidR="00FB5A28" w:rsidRDefault="00FB5A28" w:rsidP="00A22DD5">
      <w:pPr>
        <w:pStyle w:val="normal0"/>
        <w:shd w:val="clear" w:color="auto" w:fill="FFFFFF"/>
        <w:spacing w:before="48" w:beforeAutospacing="0" w:after="48" w:afterAutospacing="0"/>
        <w:jc w:val="both"/>
        <w:rPr>
          <w:color w:val="000000"/>
          <w:lang w:val="sr-Cyrl-CS"/>
        </w:rPr>
      </w:pPr>
    </w:p>
    <w:p w:rsidR="00FB5A28" w:rsidRDefault="00FB5A28" w:rsidP="00A22DD5">
      <w:pPr>
        <w:pStyle w:val="normal0"/>
        <w:shd w:val="clear" w:color="auto" w:fill="FFFFFF"/>
        <w:spacing w:before="48" w:beforeAutospacing="0" w:after="48" w:afterAutospacing="0"/>
        <w:jc w:val="both"/>
        <w:rPr>
          <w:color w:val="000000"/>
          <w:lang w:val="sr-Cyrl-CS"/>
        </w:rPr>
      </w:pPr>
    </w:p>
    <w:p w:rsidR="00FB5A28" w:rsidRDefault="00FB5A28" w:rsidP="00A22DD5">
      <w:pPr>
        <w:pStyle w:val="normal0"/>
        <w:shd w:val="clear" w:color="auto" w:fill="FFFFFF"/>
        <w:spacing w:before="48" w:beforeAutospacing="0" w:after="48" w:afterAutospacing="0"/>
        <w:jc w:val="both"/>
        <w:rPr>
          <w:color w:val="000000"/>
          <w:lang w:val="sr-Cyrl-CS"/>
        </w:rPr>
      </w:pPr>
    </w:p>
    <w:p w:rsidR="00FB5A28" w:rsidRDefault="00FB5A28" w:rsidP="00A22DD5">
      <w:pPr>
        <w:pStyle w:val="normal0"/>
        <w:shd w:val="clear" w:color="auto" w:fill="FFFFFF"/>
        <w:spacing w:before="48" w:beforeAutospacing="0" w:after="48" w:afterAutospacing="0"/>
        <w:jc w:val="both"/>
        <w:rPr>
          <w:color w:val="000000"/>
          <w:lang w:val="sr-Cyrl-CS"/>
        </w:rPr>
      </w:pPr>
    </w:p>
    <w:p w:rsidR="00FB5A28" w:rsidRDefault="00FB5A28" w:rsidP="00A22DD5">
      <w:pPr>
        <w:pStyle w:val="normal0"/>
        <w:shd w:val="clear" w:color="auto" w:fill="FFFFFF"/>
        <w:spacing w:before="48" w:beforeAutospacing="0" w:after="48" w:afterAutospacing="0"/>
        <w:jc w:val="both"/>
        <w:rPr>
          <w:color w:val="000000"/>
          <w:lang w:val="sr-Cyrl-CS"/>
        </w:rPr>
      </w:pPr>
    </w:p>
    <w:p w:rsidR="00014DFE" w:rsidRPr="00FB5A28" w:rsidRDefault="00014DFE" w:rsidP="00CB44CF">
      <w:pPr>
        <w:pStyle w:val="normal0"/>
        <w:shd w:val="clear" w:color="auto" w:fill="FFFFFF"/>
        <w:spacing w:before="48" w:beforeAutospacing="0" w:after="48" w:afterAutospacing="0"/>
        <w:ind w:firstLine="708"/>
        <w:jc w:val="both"/>
        <w:rPr>
          <w:color w:val="000000"/>
          <w:lang w:val="sr-Cyrl-CS"/>
        </w:rPr>
      </w:pPr>
    </w:p>
    <w:p w:rsidR="000726DA" w:rsidRPr="00541620" w:rsidRDefault="005D64CC" w:rsidP="000726DA">
      <w:pPr>
        <w:jc w:val="center"/>
        <w:rPr>
          <w:rFonts w:ascii="Times New Roman" w:hAnsi="Times New Roman"/>
          <w:b/>
          <w:sz w:val="24"/>
          <w:szCs w:val="24"/>
          <w:lang w:val="sr-Cyrl-CS"/>
        </w:rPr>
      </w:pPr>
      <w:r w:rsidRPr="00541620">
        <w:rPr>
          <w:rFonts w:ascii="Times New Roman" w:hAnsi="Times New Roman"/>
          <w:b/>
          <w:sz w:val="24"/>
          <w:szCs w:val="24"/>
          <w:lang w:val="sr-Cyrl-CS"/>
        </w:rPr>
        <w:lastRenderedPageBreak/>
        <w:t>5.4</w:t>
      </w:r>
      <w:r w:rsidR="000726DA" w:rsidRPr="00541620">
        <w:rPr>
          <w:rFonts w:ascii="Times New Roman" w:hAnsi="Times New Roman"/>
          <w:b/>
          <w:sz w:val="24"/>
          <w:szCs w:val="24"/>
          <w:lang w:val="sr-Cyrl-CS"/>
        </w:rPr>
        <w:t>.</w:t>
      </w:r>
      <w:r w:rsidR="000726DA" w:rsidRPr="00541620">
        <w:rPr>
          <w:rFonts w:ascii="Times New Roman" w:hAnsi="Times New Roman"/>
          <w:sz w:val="24"/>
          <w:szCs w:val="24"/>
          <w:lang w:val="sr-Cyrl-CS"/>
        </w:rPr>
        <w:t xml:space="preserve"> </w:t>
      </w:r>
      <w:r w:rsidR="000726DA" w:rsidRPr="00541620">
        <w:rPr>
          <w:rFonts w:ascii="Times New Roman" w:hAnsi="Times New Roman"/>
          <w:b/>
          <w:sz w:val="24"/>
          <w:szCs w:val="24"/>
          <w:lang w:val="sr-Cyrl-CS"/>
        </w:rPr>
        <w:t>Порез на имовину</w:t>
      </w:r>
    </w:p>
    <w:p w:rsidR="000726DA" w:rsidRDefault="000726DA" w:rsidP="000726DA">
      <w:pPr>
        <w:pStyle w:val="NoSpacing"/>
        <w:jc w:val="both"/>
        <w:rPr>
          <w:rFonts w:ascii="Times New Roman" w:hAnsi="Times New Roman"/>
          <w:sz w:val="24"/>
          <w:szCs w:val="24"/>
          <w:lang w:val="sr-Cyrl-CS"/>
        </w:rPr>
      </w:pPr>
    </w:p>
    <w:p w:rsidR="000726DA" w:rsidRDefault="000726DA" w:rsidP="000726DA">
      <w:pPr>
        <w:ind w:firstLine="708"/>
        <w:jc w:val="both"/>
        <w:rPr>
          <w:rFonts w:ascii="Times New Roman" w:hAnsi="Times New Roman"/>
          <w:sz w:val="24"/>
          <w:szCs w:val="24"/>
          <w:lang w:val="sr-Cyrl-CS"/>
        </w:rPr>
      </w:pPr>
      <w:r w:rsidRPr="00CC2D77">
        <w:rPr>
          <w:rFonts w:ascii="Times New Roman" w:hAnsi="Times New Roman"/>
          <w:sz w:val="24"/>
          <w:szCs w:val="24"/>
          <w:lang w:val="sr-Cyrl-CS"/>
        </w:rPr>
        <w:t xml:space="preserve">Опорезивање имовине је објекат различитих пореских облика који су у финансијској теорији познати као имовински порези. </w:t>
      </w:r>
      <w:r w:rsidR="006E40D2">
        <w:rPr>
          <w:rFonts w:ascii="Times New Roman" w:hAnsi="Times New Roman"/>
          <w:sz w:val="24"/>
          <w:szCs w:val="24"/>
          <w:lang w:val="sr-Cyrl-CS"/>
        </w:rPr>
        <w:t>„</w:t>
      </w:r>
      <w:r w:rsidRPr="00E75E76">
        <w:rPr>
          <w:rFonts w:ascii="Times New Roman" w:hAnsi="Times New Roman"/>
          <w:sz w:val="24"/>
          <w:szCs w:val="24"/>
          <w:lang w:val="sr-Cyrl-CS"/>
        </w:rPr>
        <w:t xml:space="preserve">Имовина </w:t>
      </w:r>
      <w:r>
        <w:rPr>
          <w:rFonts w:ascii="Times New Roman" w:hAnsi="Times New Roman"/>
          <w:sz w:val="24"/>
          <w:szCs w:val="24"/>
          <w:lang w:val="sr-Cyrl-CS"/>
        </w:rPr>
        <w:t xml:space="preserve">као израз економске снаге појављује се у различитим позицијама. Предмет опорезивања може бити само поседовање имовине, али и прелаз имовине са једног лица на друго. У савременим пореским системима порески облици који погађају имовину сврстани су на: </w:t>
      </w:r>
    </w:p>
    <w:p w:rsidR="000726DA" w:rsidRDefault="000726DA" w:rsidP="000726DA">
      <w:pPr>
        <w:jc w:val="both"/>
        <w:rPr>
          <w:rFonts w:ascii="Times New Roman" w:hAnsi="Times New Roman"/>
          <w:sz w:val="24"/>
          <w:szCs w:val="24"/>
          <w:lang w:val="sr-Cyrl-CS"/>
        </w:rPr>
      </w:pPr>
      <w:r>
        <w:rPr>
          <w:rFonts w:ascii="Times New Roman" w:hAnsi="Times New Roman"/>
          <w:sz w:val="24"/>
          <w:szCs w:val="24"/>
          <w:lang w:val="sr-Cyrl-CS"/>
        </w:rPr>
        <w:t>-порез на имовину у статици (периодични порези на непокретности, периодични порези на нето имовину и једнократни реални порези на имовину);</w:t>
      </w:r>
    </w:p>
    <w:p w:rsidR="000726DA" w:rsidRPr="00E75E76" w:rsidRDefault="000726DA" w:rsidP="000726DA">
      <w:pPr>
        <w:jc w:val="both"/>
        <w:rPr>
          <w:rFonts w:ascii="Times New Roman" w:hAnsi="Times New Roman"/>
          <w:sz w:val="24"/>
          <w:szCs w:val="24"/>
          <w:lang w:val="sr-Cyrl-CS"/>
        </w:rPr>
      </w:pPr>
      <w:r>
        <w:rPr>
          <w:rFonts w:ascii="Times New Roman" w:hAnsi="Times New Roman"/>
          <w:sz w:val="24"/>
          <w:szCs w:val="24"/>
          <w:lang w:val="sr-Cyrl-CS"/>
        </w:rPr>
        <w:t>-порез на имовину у динамици (обухватају порезе на пренос имовине уз накнаду, односно порезе на финансијске и капиталне трансакције - порез на пренос апослутних права на непокретностима и хартијама од вредности, као и права интелектуане својине; и порезе на пренос без накнаде - порез на наслеђе, порез на оставину и порез на поклон).</w:t>
      </w:r>
      <w:r w:rsidR="006E40D2">
        <w:rPr>
          <w:rFonts w:ascii="Times New Roman" w:hAnsi="Times New Roman"/>
          <w:sz w:val="24"/>
          <w:szCs w:val="24"/>
          <w:lang w:val="sr-Cyrl-CS"/>
        </w:rPr>
        <w:t>“</w:t>
      </w:r>
      <w:r>
        <w:rPr>
          <w:rStyle w:val="FootnoteReference"/>
          <w:rFonts w:ascii="Times New Roman" w:hAnsi="Times New Roman"/>
          <w:sz w:val="24"/>
          <w:szCs w:val="24"/>
          <w:lang w:val="sr-Cyrl-CS"/>
        </w:rPr>
        <w:footnoteReference w:id="492"/>
      </w:r>
    </w:p>
    <w:p w:rsidR="000726DA" w:rsidRDefault="006E40D2" w:rsidP="000726DA">
      <w:pPr>
        <w:ind w:firstLine="708"/>
        <w:jc w:val="both"/>
        <w:rPr>
          <w:rFonts w:ascii="Times New Roman" w:hAnsi="Times New Roman"/>
          <w:sz w:val="24"/>
          <w:szCs w:val="24"/>
          <w:lang w:val="sr-Cyrl-CS"/>
        </w:rPr>
      </w:pPr>
      <w:r>
        <w:rPr>
          <w:rFonts w:ascii="Times New Roman" w:hAnsi="Times New Roman"/>
          <w:sz w:val="24"/>
          <w:szCs w:val="24"/>
          <w:lang w:val="sr-Cyrl-CS"/>
        </w:rPr>
        <w:t>„</w:t>
      </w:r>
      <w:r w:rsidR="000726DA">
        <w:rPr>
          <w:rFonts w:ascii="Times New Roman" w:hAnsi="Times New Roman"/>
          <w:sz w:val="24"/>
          <w:szCs w:val="24"/>
          <w:lang w:val="sr-Cyrl-CS"/>
        </w:rPr>
        <w:t>Порез на непокретности, који у српском пореском праву носи назив „порез на имовину“ представља непосредан, периодичан, аналитички и, у начелу објектан порез.</w:t>
      </w:r>
      <w:r>
        <w:rPr>
          <w:rFonts w:ascii="Times New Roman" w:hAnsi="Times New Roman"/>
          <w:sz w:val="24"/>
          <w:szCs w:val="24"/>
          <w:lang w:val="sr-Cyrl-CS"/>
        </w:rPr>
        <w:t>“</w:t>
      </w:r>
      <w:r w:rsidR="000726DA">
        <w:rPr>
          <w:rStyle w:val="FootnoteReference"/>
          <w:rFonts w:ascii="Times New Roman" w:hAnsi="Times New Roman"/>
          <w:sz w:val="24"/>
          <w:szCs w:val="24"/>
          <w:lang w:val="sr-Cyrl-CS"/>
        </w:rPr>
        <w:footnoteReference w:id="493"/>
      </w:r>
      <w:r w:rsidR="000726DA" w:rsidRPr="004E1D3B">
        <w:rPr>
          <w:rFonts w:ascii="Times New Roman" w:hAnsi="Times New Roman"/>
          <w:sz w:val="24"/>
          <w:szCs w:val="24"/>
          <w:lang w:val="sr-Cyrl-CS"/>
        </w:rPr>
        <w:t xml:space="preserve"> </w:t>
      </w:r>
      <w:r w:rsidR="000726DA" w:rsidRPr="00A829EC">
        <w:rPr>
          <w:rFonts w:ascii="Times New Roman" w:hAnsi="Times New Roman"/>
          <w:sz w:val="24"/>
          <w:szCs w:val="24"/>
          <w:lang w:val="sr-Cyrl-CS"/>
        </w:rPr>
        <w:t xml:space="preserve">Доминантан је </w:t>
      </w:r>
      <w:r w:rsidR="000726DA">
        <w:rPr>
          <w:rFonts w:ascii="Times New Roman" w:hAnsi="Times New Roman"/>
          <w:sz w:val="24"/>
          <w:szCs w:val="24"/>
          <w:lang w:val="sr-Cyrl-CS"/>
        </w:rPr>
        <w:t>међу пореским облицима који погађају имовину и знатне су могућности његовог избегавања па ће због тога бити предмет даље анализе у овом раду.</w:t>
      </w:r>
    </w:p>
    <w:p w:rsidR="000726DA" w:rsidRDefault="000726DA" w:rsidP="000726DA">
      <w:pPr>
        <w:ind w:firstLine="708"/>
        <w:jc w:val="both"/>
        <w:rPr>
          <w:rFonts w:ascii="Times New Roman" w:hAnsi="Times New Roman"/>
          <w:sz w:val="24"/>
          <w:szCs w:val="24"/>
          <w:lang w:val="sr-Cyrl-CS"/>
        </w:rPr>
      </w:pPr>
      <w:r w:rsidRPr="00750AB7">
        <w:rPr>
          <w:rFonts w:ascii="Times New Roman" w:hAnsi="Times New Roman"/>
          <w:sz w:val="24"/>
          <w:szCs w:val="24"/>
          <w:lang w:val="sr-Cyrl-CS"/>
        </w:rPr>
        <w:t xml:space="preserve">Порези на имовину у статици </w:t>
      </w:r>
      <w:r w:rsidR="006E40D2">
        <w:rPr>
          <w:rFonts w:ascii="Times New Roman" w:hAnsi="Times New Roman"/>
          <w:sz w:val="24"/>
          <w:szCs w:val="24"/>
          <w:lang w:val="sr-Cyrl-CS"/>
        </w:rPr>
        <w:t>су непосредни и субјетни порези</w:t>
      </w:r>
      <w:r w:rsidRPr="00750AB7">
        <w:rPr>
          <w:rFonts w:ascii="Times New Roman" w:hAnsi="Times New Roman"/>
          <w:sz w:val="24"/>
          <w:szCs w:val="24"/>
          <w:lang w:val="sr-Cyrl-CS"/>
        </w:rPr>
        <w:t xml:space="preserve"> јер се њима жели захватити економска снага пореских обвезника која проистиче из имовине</w:t>
      </w:r>
      <w:r w:rsidR="006E40D2">
        <w:rPr>
          <w:rFonts w:ascii="Times New Roman" w:hAnsi="Times New Roman"/>
          <w:sz w:val="24"/>
          <w:szCs w:val="24"/>
          <w:lang w:val="sr-Cyrl-CS"/>
        </w:rPr>
        <w:t xml:space="preserve">, а </w:t>
      </w:r>
      <w:r w:rsidRPr="00750AB7">
        <w:rPr>
          <w:rFonts w:ascii="Times New Roman" w:hAnsi="Times New Roman"/>
          <w:sz w:val="24"/>
          <w:szCs w:val="24"/>
          <w:lang w:val="sr-Cyrl-CS"/>
        </w:rPr>
        <w:t xml:space="preserve">код утврђивања пореског оптерећења </w:t>
      </w:r>
      <w:r w:rsidR="006E40D2">
        <w:rPr>
          <w:rFonts w:ascii="Times New Roman" w:hAnsi="Times New Roman"/>
          <w:sz w:val="24"/>
          <w:szCs w:val="24"/>
          <w:lang w:val="sr-Cyrl-CS"/>
        </w:rPr>
        <w:t>се узимају у обзир обвезникове личне и породичне прилике</w:t>
      </w:r>
      <w:r w:rsidRPr="00750AB7">
        <w:rPr>
          <w:rFonts w:ascii="Times New Roman" w:hAnsi="Times New Roman"/>
          <w:sz w:val="24"/>
          <w:szCs w:val="24"/>
          <w:lang w:val="sr-Cyrl-CS"/>
        </w:rPr>
        <w:t xml:space="preserve">. Порези на финансијске и капиталне трансакције </w:t>
      </w:r>
      <w:r w:rsidR="006E40D2">
        <w:rPr>
          <w:rFonts w:ascii="Times New Roman" w:hAnsi="Times New Roman"/>
          <w:sz w:val="24"/>
          <w:szCs w:val="24"/>
          <w:lang w:val="sr-Cyrl-CS"/>
        </w:rPr>
        <w:t>су непосредни порези</w:t>
      </w:r>
      <w:r w:rsidRPr="00750AB7">
        <w:rPr>
          <w:rFonts w:ascii="Times New Roman" w:hAnsi="Times New Roman"/>
          <w:sz w:val="24"/>
          <w:szCs w:val="24"/>
          <w:lang w:val="sr-Cyrl-CS"/>
        </w:rPr>
        <w:t xml:space="preserve"> </w:t>
      </w:r>
      <w:r w:rsidR="006E40D2">
        <w:rPr>
          <w:rFonts w:ascii="Times New Roman" w:hAnsi="Times New Roman"/>
          <w:sz w:val="24"/>
          <w:szCs w:val="24"/>
          <w:lang w:val="sr-Cyrl-CS"/>
        </w:rPr>
        <w:t>због тога што се могу превалити</w:t>
      </w:r>
      <w:r w:rsidRPr="00750AB7">
        <w:rPr>
          <w:rFonts w:ascii="Times New Roman" w:hAnsi="Times New Roman"/>
          <w:sz w:val="24"/>
          <w:szCs w:val="24"/>
          <w:lang w:val="sr-Cyrl-CS"/>
        </w:rPr>
        <w:t xml:space="preserve"> </w:t>
      </w:r>
      <w:r w:rsidR="006E40D2">
        <w:rPr>
          <w:rFonts w:ascii="Times New Roman" w:hAnsi="Times New Roman"/>
          <w:sz w:val="24"/>
          <w:szCs w:val="24"/>
          <w:lang w:val="sr-Cyrl-CS"/>
        </w:rPr>
        <w:t>и што с</w:t>
      </w:r>
      <w:r w:rsidRPr="00750AB7">
        <w:rPr>
          <w:rFonts w:ascii="Times New Roman" w:hAnsi="Times New Roman"/>
          <w:sz w:val="24"/>
          <w:szCs w:val="24"/>
          <w:lang w:val="sr-Cyrl-CS"/>
        </w:rPr>
        <w:t>у везани за трансфер одређених имовинских права.</w:t>
      </w:r>
      <w:r w:rsidRPr="00750AB7">
        <w:rPr>
          <w:rStyle w:val="FootnoteReference"/>
          <w:rFonts w:ascii="Times New Roman" w:hAnsi="Times New Roman"/>
          <w:sz w:val="24"/>
          <w:szCs w:val="24"/>
          <w:lang w:val="sr-Cyrl-CS"/>
        </w:rPr>
        <w:footnoteReference w:id="494"/>
      </w:r>
      <w:r w:rsidRPr="00750AB7">
        <w:rPr>
          <w:rFonts w:ascii="Times New Roman" w:hAnsi="Times New Roman"/>
          <w:sz w:val="24"/>
          <w:szCs w:val="24"/>
          <w:lang w:val="sr-Cyrl-CS"/>
        </w:rPr>
        <w:t xml:space="preserve"> </w:t>
      </w:r>
    </w:p>
    <w:p w:rsidR="000726DA" w:rsidRDefault="000726DA" w:rsidP="000726DA">
      <w:pPr>
        <w:ind w:firstLine="708"/>
        <w:jc w:val="both"/>
        <w:rPr>
          <w:rFonts w:ascii="Times New Roman" w:hAnsi="Times New Roman"/>
          <w:sz w:val="24"/>
          <w:szCs w:val="24"/>
          <w:lang w:val="sr-Cyrl-CS"/>
        </w:rPr>
      </w:pPr>
      <w:r>
        <w:rPr>
          <w:rFonts w:ascii="Times New Roman" w:hAnsi="Times New Roman"/>
          <w:sz w:val="24"/>
          <w:szCs w:val="24"/>
          <w:lang w:val="sr-Cyrl-CS"/>
        </w:rPr>
        <w:t xml:space="preserve">Порезе на имовину у статици могли бисмо назвати „порезима на имовну у ужем смислу“ и </w:t>
      </w:r>
      <w:r w:rsidR="0082000E">
        <w:rPr>
          <w:rFonts w:ascii="Times New Roman" w:hAnsi="Times New Roman"/>
          <w:sz w:val="24"/>
          <w:szCs w:val="24"/>
          <w:lang w:val="sr-Cyrl-CS"/>
        </w:rPr>
        <w:t xml:space="preserve">историјски посматрано </w:t>
      </w:r>
      <w:r w:rsidR="0082000E">
        <w:rPr>
          <w:rFonts w:ascii="Times New Roman" w:hAnsi="Times New Roman"/>
          <w:sz w:val="24"/>
          <w:szCs w:val="24"/>
        </w:rPr>
        <w:t>спада</w:t>
      </w:r>
      <w:r w:rsidR="0082000E">
        <w:rPr>
          <w:rFonts w:ascii="Times New Roman" w:hAnsi="Times New Roman"/>
          <w:sz w:val="24"/>
          <w:szCs w:val="24"/>
          <w:lang w:val="sr-Cyrl-CS"/>
        </w:rPr>
        <w:t>ју</w:t>
      </w:r>
      <w:r w:rsidR="0082000E">
        <w:rPr>
          <w:rFonts w:ascii="Times New Roman" w:hAnsi="Times New Roman"/>
          <w:sz w:val="24"/>
          <w:szCs w:val="24"/>
        </w:rPr>
        <w:t xml:space="preserve"> међу најс</w:t>
      </w:r>
      <w:r w:rsidR="0082000E">
        <w:rPr>
          <w:rFonts w:ascii="Times New Roman" w:hAnsi="Times New Roman"/>
          <w:sz w:val="24"/>
          <w:szCs w:val="24"/>
          <w:lang w:val="sr-Cyrl-CS"/>
        </w:rPr>
        <w:t>тарије облике опорезивања. То је</w:t>
      </w:r>
      <w:r>
        <w:rPr>
          <w:rFonts w:ascii="Times New Roman" w:hAnsi="Times New Roman"/>
          <w:sz w:val="24"/>
          <w:szCs w:val="24"/>
          <w:lang w:val="sr-Cyrl-CS"/>
        </w:rPr>
        <w:t xml:space="preserve"> поред пореза на личност, најстарији непосредни порез који су државе примењивале ради прибављања средстава. У почетку то је био поједини имовински објекат </w:t>
      </w:r>
      <w:r w:rsidR="0082000E">
        <w:rPr>
          <w:rFonts w:ascii="Times New Roman" w:hAnsi="Times New Roman"/>
          <w:sz w:val="24"/>
          <w:szCs w:val="24"/>
          <w:lang w:val="sr-Cyrl-CS"/>
        </w:rPr>
        <w:t>и то  обрадиво земљиште које</w:t>
      </w:r>
      <w:r>
        <w:rPr>
          <w:rFonts w:ascii="Times New Roman" w:hAnsi="Times New Roman"/>
          <w:sz w:val="24"/>
          <w:szCs w:val="24"/>
          <w:lang w:val="sr-Cyrl-CS"/>
        </w:rPr>
        <w:t xml:space="preserve"> је н</w:t>
      </w:r>
      <w:r w:rsidR="0082000E">
        <w:rPr>
          <w:rFonts w:ascii="Times New Roman" w:hAnsi="Times New Roman"/>
          <w:sz w:val="24"/>
          <w:szCs w:val="24"/>
          <w:lang w:val="sr-Cyrl-CS"/>
        </w:rPr>
        <w:t>а најмаркантнији начин изражавало</w:t>
      </w:r>
      <w:r>
        <w:rPr>
          <w:rFonts w:ascii="Times New Roman" w:hAnsi="Times New Roman"/>
          <w:sz w:val="24"/>
          <w:szCs w:val="24"/>
          <w:lang w:val="sr-Cyrl-CS"/>
        </w:rPr>
        <w:t xml:space="preserve"> економску снагу обвезника</w:t>
      </w:r>
      <w:r w:rsidR="0082000E">
        <w:rPr>
          <w:rFonts w:ascii="Times New Roman" w:hAnsi="Times New Roman"/>
          <w:sz w:val="24"/>
          <w:szCs w:val="24"/>
          <w:lang w:val="sr-Cyrl-CS"/>
        </w:rPr>
        <w:t xml:space="preserve"> у неразвијеној привреди</w:t>
      </w:r>
      <w:r>
        <w:rPr>
          <w:rFonts w:ascii="Times New Roman" w:hAnsi="Times New Roman"/>
          <w:sz w:val="24"/>
          <w:szCs w:val="24"/>
          <w:lang w:val="sr-Cyrl-CS"/>
        </w:rPr>
        <w:t xml:space="preserve">. Много касније, </w:t>
      </w:r>
      <w:r w:rsidR="0082000E">
        <w:rPr>
          <w:rFonts w:ascii="Times New Roman" w:hAnsi="Times New Roman"/>
          <w:sz w:val="24"/>
          <w:szCs w:val="24"/>
          <w:lang w:val="sr-Cyrl-CS"/>
        </w:rPr>
        <w:t>проширена је</w:t>
      </w:r>
      <w:r>
        <w:rPr>
          <w:rFonts w:ascii="Times New Roman" w:hAnsi="Times New Roman"/>
          <w:sz w:val="24"/>
          <w:szCs w:val="24"/>
          <w:lang w:val="sr-Cyrl-CS"/>
        </w:rPr>
        <w:t xml:space="preserve"> врста објеката који се оптерећују – стока за рад, робови итд.</w:t>
      </w:r>
      <w:r>
        <w:rPr>
          <w:rStyle w:val="FootnoteReference"/>
          <w:rFonts w:ascii="Times New Roman" w:hAnsi="Times New Roman"/>
          <w:sz w:val="24"/>
          <w:szCs w:val="24"/>
          <w:lang w:val="sr-Cyrl-CS"/>
        </w:rPr>
        <w:footnoteReference w:id="495"/>
      </w:r>
      <w:r>
        <w:rPr>
          <w:rFonts w:ascii="Times New Roman" w:hAnsi="Times New Roman"/>
          <w:sz w:val="24"/>
          <w:szCs w:val="24"/>
          <w:lang w:val="sr-Cyrl-CS"/>
        </w:rPr>
        <w:t xml:space="preserve"> </w:t>
      </w:r>
    </w:p>
    <w:p w:rsidR="000726DA" w:rsidRDefault="00507C6E" w:rsidP="000726DA">
      <w:pPr>
        <w:ind w:firstLine="708"/>
        <w:jc w:val="both"/>
        <w:rPr>
          <w:rFonts w:ascii="Times New Roman" w:hAnsi="Times New Roman"/>
          <w:sz w:val="24"/>
          <w:szCs w:val="24"/>
          <w:lang w:val="sr-Cyrl-CS"/>
        </w:rPr>
      </w:pPr>
      <w:r>
        <w:rPr>
          <w:rFonts w:ascii="Times New Roman" w:hAnsi="Times New Roman"/>
          <w:sz w:val="24"/>
          <w:szCs w:val="24"/>
          <w:lang w:val="sr-Cyrl-CS"/>
        </w:rPr>
        <w:lastRenderedPageBreak/>
        <w:t>Са све већом концентрацијом богатства  у покретним стварима: злато, хартије од вредности на доносиоца, девизе итд. с</w:t>
      </w:r>
      <w:r w:rsidR="000726DA">
        <w:rPr>
          <w:rFonts w:ascii="Times New Roman" w:hAnsi="Times New Roman"/>
          <w:sz w:val="24"/>
          <w:szCs w:val="24"/>
          <w:lang w:val="sr-Cyrl-CS"/>
        </w:rPr>
        <w:t>редином XIX века, доходак по</w:t>
      </w:r>
      <w:r>
        <w:rPr>
          <w:rFonts w:ascii="Times New Roman" w:hAnsi="Times New Roman"/>
          <w:sz w:val="24"/>
          <w:szCs w:val="24"/>
          <w:lang w:val="sr-Cyrl-CS"/>
        </w:rPr>
        <w:t>стаје најважнији предмет пореза, јер и</w:t>
      </w:r>
      <w:r w:rsidR="000726DA">
        <w:rPr>
          <w:rFonts w:ascii="Times New Roman" w:hAnsi="Times New Roman"/>
          <w:sz w:val="24"/>
          <w:szCs w:val="24"/>
          <w:lang w:val="sr-Cyrl-CS"/>
        </w:rPr>
        <w:t>мовина то више није могла да буд</w:t>
      </w:r>
      <w:r>
        <w:rPr>
          <w:rFonts w:ascii="Times New Roman" w:hAnsi="Times New Roman"/>
          <w:sz w:val="24"/>
          <w:szCs w:val="24"/>
          <w:lang w:val="sr-Cyrl-CS"/>
        </w:rPr>
        <w:t>е. Овакав предмет пореза је пореска власт тешко могла да евидентира, а то је</w:t>
      </w:r>
      <w:r w:rsidR="000726DA">
        <w:rPr>
          <w:rFonts w:ascii="Times New Roman" w:hAnsi="Times New Roman"/>
          <w:sz w:val="24"/>
          <w:szCs w:val="24"/>
          <w:lang w:val="sr-Cyrl-CS"/>
        </w:rPr>
        <w:t xml:space="preserve"> </w:t>
      </w:r>
      <w:r>
        <w:rPr>
          <w:rFonts w:ascii="Times New Roman" w:hAnsi="Times New Roman"/>
          <w:sz w:val="24"/>
          <w:szCs w:val="24"/>
          <w:lang w:val="sr-Cyrl-CS"/>
        </w:rPr>
        <w:t>створило значајне могућности за избегавање плаћања пореза.</w:t>
      </w:r>
      <w:r w:rsidR="000726DA">
        <w:rPr>
          <w:rStyle w:val="FootnoteReference"/>
          <w:rFonts w:ascii="Times New Roman" w:hAnsi="Times New Roman"/>
          <w:sz w:val="24"/>
          <w:szCs w:val="24"/>
          <w:lang w:val="sr-Cyrl-CS"/>
        </w:rPr>
        <w:footnoteReference w:id="496"/>
      </w:r>
      <w:r w:rsidR="000726DA">
        <w:rPr>
          <w:rFonts w:ascii="Times New Roman" w:hAnsi="Times New Roman"/>
          <w:sz w:val="24"/>
          <w:szCs w:val="24"/>
          <w:lang w:val="sr-Cyrl-CS"/>
        </w:rPr>
        <w:t xml:space="preserve"> </w:t>
      </w:r>
    </w:p>
    <w:p w:rsidR="000726DA" w:rsidRDefault="000726DA" w:rsidP="000726DA">
      <w:pPr>
        <w:ind w:firstLine="708"/>
        <w:jc w:val="both"/>
        <w:rPr>
          <w:rFonts w:ascii="Times New Roman" w:hAnsi="Times New Roman"/>
          <w:sz w:val="24"/>
          <w:szCs w:val="24"/>
          <w:lang w:val="sr-Cyrl-CS"/>
        </w:rPr>
      </w:pPr>
      <w:r>
        <w:rPr>
          <w:rFonts w:ascii="Times New Roman" w:hAnsi="Times New Roman"/>
          <w:sz w:val="24"/>
          <w:szCs w:val="24"/>
          <w:lang w:val="sr-Cyrl-CS"/>
        </w:rPr>
        <w:t xml:space="preserve">Иако данас порез на имовину не заузима централно место представља и даље значајан део пореских система савремених држава. </w:t>
      </w:r>
    </w:p>
    <w:p w:rsidR="000726DA" w:rsidRDefault="000726DA" w:rsidP="000726DA">
      <w:pPr>
        <w:ind w:firstLine="708"/>
        <w:jc w:val="both"/>
        <w:rPr>
          <w:rFonts w:ascii="Times New Roman" w:hAnsi="Times New Roman"/>
          <w:sz w:val="24"/>
          <w:szCs w:val="24"/>
          <w:lang w:val="sr-Cyrl-CS"/>
        </w:rPr>
      </w:pPr>
      <w:r w:rsidRPr="004B4F6A">
        <w:rPr>
          <w:rFonts w:ascii="Times New Roman" w:hAnsi="Times New Roman"/>
          <w:sz w:val="24"/>
          <w:szCs w:val="24"/>
          <w:lang w:val="sr-Cyrl-CS"/>
        </w:rPr>
        <w:t xml:space="preserve">Порез на </w:t>
      </w:r>
      <w:r>
        <w:rPr>
          <w:rFonts w:ascii="Times New Roman" w:hAnsi="Times New Roman"/>
          <w:sz w:val="24"/>
          <w:szCs w:val="24"/>
          <w:lang w:val="sr-Cyrl-CS"/>
        </w:rPr>
        <w:t>имовину</w:t>
      </w:r>
      <w:r w:rsidRPr="004B4F6A">
        <w:rPr>
          <w:rFonts w:ascii="Times New Roman" w:hAnsi="Times New Roman"/>
          <w:sz w:val="24"/>
          <w:szCs w:val="24"/>
          <w:lang w:val="sr-Cyrl-CS"/>
        </w:rPr>
        <w:t xml:space="preserve"> широко је распрострањен </w:t>
      </w:r>
      <w:r w:rsidR="003C1BD5">
        <w:rPr>
          <w:rFonts w:ascii="Times New Roman" w:hAnsi="Times New Roman"/>
          <w:sz w:val="24"/>
          <w:szCs w:val="24"/>
          <w:lang w:val="sr-Cyrl-CS"/>
        </w:rPr>
        <w:t>и</w:t>
      </w:r>
      <w:r w:rsidRPr="004B4F6A">
        <w:rPr>
          <w:rFonts w:ascii="Times New Roman" w:hAnsi="Times New Roman"/>
          <w:sz w:val="24"/>
          <w:szCs w:val="24"/>
          <w:lang w:val="sr-Cyrl-CS"/>
        </w:rPr>
        <w:t xml:space="preserve"> у неком облику </w:t>
      </w:r>
      <w:r w:rsidR="003C1BD5">
        <w:rPr>
          <w:rFonts w:ascii="Times New Roman" w:hAnsi="Times New Roman"/>
          <w:sz w:val="24"/>
          <w:szCs w:val="24"/>
          <w:lang w:val="sr-Cyrl-CS"/>
        </w:rPr>
        <w:t>се прим</w:t>
      </w:r>
      <w:r w:rsidRPr="004B4F6A">
        <w:rPr>
          <w:rFonts w:ascii="Times New Roman" w:hAnsi="Times New Roman"/>
          <w:sz w:val="24"/>
          <w:szCs w:val="24"/>
          <w:lang w:val="sr-Cyrl-CS"/>
        </w:rPr>
        <w:t xml:space="preserve">ењује у свим чланицама ЕУ осим у Белгији и Малти. Порез на </w:t>
      </w:r>
      <w:r>
        <w:rPr>
          <w:rFonts w:ascii="Times New Roman" w:hAnsi="Times New Roman"/>
          <w:sz w:val="24"/>
          <w:szCs w:val="24"/>
          <w:lang w:val="sr-Cyrl-CS"/>
        </w:rPr>
        <w:t>имовину</w:t>
      </w:r>
      <w:r w:rsidRPr="004B4F6A">
        <w:rPr>
          <w:rFonts w:ascii="Times New Roman" w:hAnsi="Times New Roman"/>
          <w:sz w:val="24"/>
          <w:szCs w:val="24"/>
          <w:lang w:val="sr-Cyrl-CS"/>
        </w:rPr>
        <w:t xml:space="preserve"> углавном одређују локалне власти, које и прикуп</w:t>
      </w:r>
      <w:r w:rsidR="003C1BD5">
        <w:rPr>
          <w:rFonts w:ascii="Times New Roman" w:hAnsi="Times New Roman"/>
          <w:sz w:val="24"/>
          <w:szCs w:val="24"/>
          <w:lang w:val="sr-Cyrl-CS"/>
        </w:rPr>
        <w:t>љају приходе. У неким државама, као што су Грчка и Шведска,</w:t>
      </w:r>
      <w:r w:rsidRPr="004B4F6A">
        <w:rPr>
          <w:rFonts w:ascii="Times New Roman" w:hAnsi="Times New Roman"/>
          <w:sz w:val="24"/>
          <w:szCs w:val="24"/>
          <w:lang w:val="sr-Cyrl-CS"/>
        </w:rPr>
        <w:t xml:space="preserve"> уз локалне постоје и државни порези на некретнине. Обвезници су правне и физичке особе које су власници - корисници стамбеног простора, пословног простора или земљишта. Основица пореза је углавном вредност некретнине </w:t>
      </w:r>
      <w:r w:rsidR="003C1BD5">
        <w:rPr>
          <w:rFonts w:ascii="Times New Roman" w:hAnsi="Times New Roman"/>
          <w:sz w:val="24"/>
          <w:szCs w:val="24"/>
          <w:lang w:val="sr-Cyrl-CS"/>
        </w:rPr>
        <w:t>и њу</w:t>
      </w:r>
      <w:r w:rsidRPr="004B4F6A">
        <w:rPr>
          <w:rFonts w:ascii="Times New Roman" w:hAnsi="Times New Roman"/>
          <w:sz w:val="24"/>
          <w:szCs w:val="24"/>
          <w:lang w:val="sr-Cyrl-CS"/>
        </w:rPr>
        <w:t xml:space="preserve"> процењује локална пореска управа. Стопе се крећу углавном од 0,1 до 3%, а одређују их локалне власти.</w:t>
      </w:r>
      <w:r w:rsidRPr="004B4F6A">
        <w:rPr>
          <w:rFonts w:ascii="Times New Roman" w:hAnsi="Times New Roman"/>
          <w:sz w:val="24"/>
          <w:szCs w:val="24"/>
        </w:rPr>
        <w:t xml:space="preserve"> </w:t>
      </w:r>
      <w:r w:rsidRPr="004B4F6A">
        <w:rPr>
          <w:rFonts w:ascii="Times New Roman" w:hAnsi="Times New Roman"/>
          <w:sz w:val="24"/>
          <w:szCs w:val="24"/>
          <w:lang w:val="sr-Cyrl-CS"/>
        </w:rPr>
        <w:t xml:space="preserve">Стамбени простор у којем станују власници често има посебан третман, па </w:t>
      </w:r>
      <w:r w:rsidR="003C1BD5">
        <w:rPr>
          <w:rFonts w:ascii="Times New Roman" w:hAnsi="Times New Roman"/>
          <w:sz w:val="24"/>
          <w:szCs w:val="24"/>
          <w:lang w:val="sr-Cyrl-CS"/>
        </w:rPr>
        <w:t>је</w:t>
      </w:r>
      <w:r w:rsidRPr="004B4F6A">
        <w:rPr>
          <w:rFonts w:ascii="Times New Roman" w:hAnsi="Times New Roman"/>
          <w:sz w:val="24"/>
          <w:szCs w:val="24"/>
          <w:lang w:val="sr-Cyrl-CS"/>
        </w:rPr>
        <w:t xml:space="preserve"> у</w:t>
      </w:r>
      <w:r w:rsidR="003C1BD5">
        <w:rPr>
          <w:rFonts w:ascii="Times New Roman" w:hAnsi="Times New Roman"/>
          <w:sz w:val="24"/>
          <w:szCs w:val="24"/>
          <w:lang w:val="sr-Cyrl-CS"/>
        </w:rPr>
        <w:t xml:space="preserve"> неким земљама сасвим ослобођен</w:t>
      </w:r>
      <w:r w:rsidRPr="004B4F6A">
        <w:rPr>
          <w:rFonts w:ascii="Times New Roman" w:hAnsi="Times New Roman"/>
          <w:sz w:val="24"/>
          <w:szCs w:val="24"/>
          <w:lang w:val="sr-Cyrl-CS"/>
        </w:rPr>
        <w:t xml:space="preserve"> (Грчка, Ирска, Италија, Литванија, Португалија) или плаћају нижи порез (Бугарска, Словенија). </w:t>
      </w:r>
      <w:r w:rsidR="003C1BD5">
        <w:rPr>
          <w:rFonts w:ascii="Times New Roman" w:hAnsi="Times New Roman"/>
          <w:sz w:val="24"/>
          <w:szCs w:val="24"/>
          <w:lang w:val="sr-Cyrl-CS"/>
        </w:rPr>
        <w:t>У већини земаља</w:t>
      </w:r>
      <w:r w:rsidRPr="004B4F6A">
        <w:rPr>
          <w:rFonts w:ascii="Times New Roman" w:hAnsi="Times New Roman"/>
          <w:sz w:val="24"/>
          <w:szCs w:val="24"/>
          <w:lang w:val="sr-Cyrl-CS"/>
        </w:rPr>
        <w:t xml:space="preserve"> релативно </w:t>
      </w:r>
      <w:r w:rsidR="003C1BD5">
        <w:rPr>
          <w:rFonts w:ascii="Times New Roman" w:hAnsi="Times New Roman"/>
          <w:sz w:val="24"/>
          <w:szCs w:val="24"/>
          <w:lang w:val="sr-Cyrl-CS"/>
        </w:rPr>
        <w:t xml:space="preserve">се </w:t>
      </w:r>
      <w:r w:rsidRPr="004B4F6A">
        <w:rPr>
          <w:rFonts w:ascii="Times New Roman" w:hAnsi="Times New Roman"/>
          <w:sz w:val="24"/>
          <w:szCs w:val="24"/>
          <w:lang w:val="sr-Cyrl-CS"/>
        </w:rPr>
        <w:t>мало пореза убира од некретнина.</w:t>
      </w:r>
      <w:r w:rsidRPr="004B4F6A">
        <w:rPr>
          <w:rStyle w:val="FootnoteReference"/>
          <w:rFonts w:ascii="Times New Roman" w:hAnsi="Times New Roman"/>
          <w:sz w:val="24"/>
          <w:szCs w:val="24"/>
          <w:lang w:val="sr-Cyrl-CS"/>
        </w:rPr>
        <w:footnoteReference w:id="497"/>
      </w:r>
      <w:r w:rsidRPr="004B4F6A">
        <w:rPr>
          <w:rFonts w:ascii="Times New Roman" w:hAnsi="Times New Roman"/>
          <w:sz w:val="24"/>
          <w:szCs w:val="24"/>
          <w:lang w:val="sr-Cyrl-CS"/>
        </w:rPr>
        <w:t xml:space="preserve"> </w:t>
      </w:r>
    </w:p>
    <w:p w:rsidR="00E10D0E" w:rsidRDefault="000726DA" w:rsidP="00A22DD5">
      <w:pPr>
        <w:ind w:firstLine="708"/>
        <w:jc w:val="both"/>
        <w:rPr>
          <w:rFonts w:ascii="Times New Roman" w:hAnsi="Times New Roman"/>
          <w:sz w:val="24"/>
          <w:szCs w:val="24"/>
          <w:lang w:val="sr-Cyrl-CS"/>
        </w:rPr>
      </w:pPr>
      <w:r>
        <w:rPr>
          <w:rFonts w:ascii="Times New Roman" w:hAnsi="Times New Roman"/>
          <w:sz w:val="24"/>
          <w:szCs w:val="24"/>
          <w:lang w:val="sr-Cyrl-CS"/>
        </w:rPr>
        <w:t xml:space="preserve">У табелама које следе дат је преглед билансног значаја пореза на имовину у појединим земљама ЕУ. </w:t>
      </w:r>
    </w:p>
    <w:p w:rsidR="00D86D09" w:rsidRDefault="00D86D09" w:rsidP="00A22DD5">
      <w:pPr>
        <w:ind w:firstLine="708"/>
        <w:jc w:val="both"/>
        <w:rPr>
          <w:rFonts w:ascii="Times New Roman" w:hAnsi="Times New Roman"/>
          <w:sz w:val="24"/>
          <w:szCs w:val="24"/>
          <w:lang w:val="sr-Cyrl-CS"/>
        </w:rPr>
      </w:pPr>
    </w:p>
    <w:p w:rsidR="00D86D09" w:rsidRDefault="00D86D09" w:rsidP="00A22DD5">
      <w:pPr>
        <w:ind w:firstLine="708"/>
        <w:jc w:val="both"/>
        <w:rPr>
          <w:rFonts w:ascii="Times New Roman" w:hAnsi="Times New Roman"/>
          <w:sz w:val="24"/>
          <w:szCs w:val="24"/>
          <w:lang w:val="sr-Cyrl-CS"/>
        </w:rPr>
      </w:pPr>
    </w:p>
    <w:p w:rsidR="00D86D09" w:rsidRDefault="00D86D09" w:rsidP="00A22DD5">
      <w:pPr>
        <w:ind w:firstLine="708"/>
        <w:jc w:val="both"/>
        <w:rPr>
          <w:rFonts w:ascii="Times New Roman" w:hAnsi="Times New Roman"/>
          <w:sz w:val="24"/>
          <w:szCs w:val="24"/>
          <w:lang w:val="sr-Cyrl-CS"/>
        </w:rPr>
      </w:pPr>
    </w:p>
    <w:p w:rsidR="00D86D09" w:rsidRDefault="00D86D09" w:rsidP="00A22DD5">
      <w:pPr>
        <w:ind w:firstLine="708"/>
        <w:jc w:val="both"/>
        <w:rPr>
          <w:rFonts w:ascii="Times New Roman" w:hAnsi="Times New Roman"/>
          <w:sz w:val="24"/>
          <w:szCs w:val="24"/>
          <w:lang w:val="sr-Cyrl-CS"/>
        </w:rPr>
      </w:pPr>
    </w:p>
    <w:p w:rsidR="00D86D09" w:rsidRDefault="00D86D09" w:rsidP="00A22DD5">
      <w:pPr>
        <w:ind w:firstLine="708"/>
        <w:jc w:val="both"/>
        <w:rPr>
          <w:rFonts w:ascii="Times New Roman" w:hAnsi="Times New Roman"/>
          <w:sz w:val="24"/>
          <w:szCs w:val="24"/>
          <w:lang w:val="sr-Cyrl-CS"/>
        </w:rPr>
      </w:pPr>
    </w:p>
    <w:p w:rsidR="00D86D09" w:rsidRDefault="00D86D09" w:rsidP="00A22DD5">
      <w:pPr>
        <w:ind w:firstLine="708"/>
        <w:jc w:val="both"/>
        <w:rPr>
          <w:rFonts w:ascii="Times New Roman" w:hAnsi="Times New Roman"/>
          <w:sz w:val="24"/>
          <w:szCs w:val="24"/>
          <w:lang w:val="sr-Cyrl-CS"/>
        </w:rPr>
      </w:pPr>
    </w:p>
    <w:p w:rsidR="00D86D09" w:rsidRDefault="00D86D09" w:rsidP="00A22DD5">
      <w:pPr>
        <w:ind w:firstLine="708"/>
        <w:jc w:val="both"/>
        <w:rPr>
          <w:rFonts w:ascii="Times New Roman" w:hAnsi="Times New Roman"/>
          <w:sz w:val="24"/>
          <w:szCs w:val="24"/>
          <w:lang w:val="sr-Cyrl-CS"/>
        </w:rPr>
      </w:pPr>
    </w:p>
    <w:p w:rsidR="00D86D09" w:rsidRDefault="00D86D09" w:rsidP="00A22DD5">
      <w:pPr>
        <w:ind w:firstLine="708"/>
        <w:jc w:val="both"/>
        <w:rPr>
          <w:rFonts w:ascii="Times New Roman" w:hAnsi="Times New Roman"/>
          <w:sz w:val="24"/>
          <w:szCs w:val="24"/>
          <w:lang w:val="sr-Cyrl-CS"/>
        </w:rPr>
      </w:pPr>
    </w:p>
    <w:p w:rsidR="00D86D09" w:rsidRPr="00A22DD5" w:rsidRDefault="00D86D09" w:rsidP="00A22DD5">
      <w:pPr>
        <w:ind w:firstLine="708"/>
        <w:jc w:val="both"/>
        <w:rPr>
          <w:rFonts w:ascii="Times New Roman" w:hAnsi="Times New Roman"/>
          <w:sz w:val="24"/>
          <w:szCs w:val="24"/>
          <w:lang w:val="sr-Cyrl-CS"/>
        </w:rPr>
      </w:pPr>
    </w:p>
    <w:p w:rsidR="000726DA" w:rsidRDefault="00001DEB" w:rsidP="000726DA">
      <w:pPr>
        <w:jc w:val="both"/>
        <w:rPr>
          <w:rFonts w:ascii="Times New Roman" w:hAnsi="Times New Roman"/>
          <w:b/>
          <w:sz w:val="24"/>
          <w:szCs w:val="24"/>
          <w:lang w:val="sr-Cyrl-CS"/>
        </w:rPr>
      </w:pPr>
      <w:r>
        <w:rPr>
          <w:rFonts w:ascii="Times New Roman" w:hAnsi="Times New Roman"/>
          <w:b/>
          <w:sz w:val="24"/>
          <w:szCs w:val="24"/>
          <w:lang w:val="sr-Cyrl-CS"/>
        </w:rPr>
        <w:lastRenderedPageBreak/>
        <w:t>Табела 25</w:t>
      </w:r>
      <w:r w:rsidR="000726DA" w:rsidRPr="00E740F7">
        <w:rPr>
          <w:rFonts w:ascii="Times New Roman" w:hAnsi="Times New Roman"/>
          <w:b/>
          <w:sz w:val="24"/>
          <w:szCs w:val="24"/>
          <w:lang w:val="sr-Cyrl-CS"/>
        </w:rPr>
        <w:t>.</w:t>
      </w:r>
      <w:r w:rsidR="000726DA">
        <w:rPr>
          <w:rFonts w:ascii="Times New Roman" w:hAnsi="Times New Roman"/>
          <w:b/>
          <w:sz w:val="24"/>
          <w:szCs w:val="24"/>
          <w:lang w:val="sr-Cyrl-CS"/>
        </w:rPr>
        <w:t xml:space="preserve"> Приходи годишњег пореза на имовину у односу на БДП</w:t>
      </w:r>
      <w:r w:rsidR="000726DA">
        <w:rPr>
          <w:rFonts w:ascii="Times New Roman" w:hAnsi="Times New Roman"/>
          <w:b/>
          <w:sz w:val="24"/>
          <w:szCs w:val="24"/>
        </w:rPr>
        <w:t>, 2000-2010</w:t>
      </w:r>
      <w:r w:rsidR="00F21FF9">
        <w:rPr>
          <w:rFonts w:ascii="Times New Roman" w:hAnsi="Times New Roman"/>
          <w:b/>
          <w:sz w:val="24"/>
          <w:szCs w:val="24"/>
          <w:lang w:val="sr-Cyrl-CS"/>
        </w:rPr>
        <w:t xml:space="preserve"> (%)</w:t>
      </w:r>
      <w:r w:rsidR="000726DA">
        <w:rPr>
          <w:rStyle w:val="FootnoteReference"/>
          <w:rFonts w:ascii="Times New Roman" w:hAnsi="Times New Roman"/>
          <w:b/>
          <w:sz w:val="24"/>
          <w:szCs w:val="24"/>
          <w:lang w:val="sr-Cyrl-CS"/>
        </w:rPr>
        <w:footnoteReference w:id="498"/>
      </w:r>
      <w:r w:rsidR="000726DA" w:rsidRPr="00E740F7">
        <w:rPr>
          <w:rFonts w:ascii="Times New Roman" w:hAnsi="Times New Roman"/>
          <w:b/>
          <w:sz w:val="24"/>
          <w:szCs w:val="24"/>
          <w:lang w:val="sr-Cyrl-CS"/>
        </w:rPr>
        <w:t xml:space="preserve"> </w:t>
      </w:r>
    </w:p>
    <w:p w:rsidR="00D86D09" w:rsidRPr="00E740F7" w:rsidRDefault="00D86D09" w:rsidP="000726DA">
      <w:pPr>
        <w:jc w:val="both"/>
        <w:rPr>
          <w:rFonts w:ascii="Times New Roman" w:hAnsi="Times New Roman"/>
          <w:b/>
          <w:sz w:val="24"/>
          <w:szCs w:val="24"/>
          <w:lang w:val="sr-Cyrl-CS"/>
        </w:rPr>
      </w:pPr>
    </w:p>
    <w:p w:rsidR="000726DA" w:rsidRDefault="000726DA" w:rsidP="000726DA">
      <w:pPr>
        <w:pStyle w:val="NoSpacing"/>
        <w:rPr>
          <w:lang w:val="sr-Cyrl-CS"/>
        </w:rPr>
      </w:pPr>
      <w:r>
        <w:rPr>
          <w:lang w:val="sr-Cyrl-CS"/>
        </w:rPr>
        <w:t>___________________________________________________________________________</w:t>
      </w:r>
    </w:p>
    <w:p w:rsidR="000726DA" w:rsidRDefault="000726DA" w:rsidP="000726DA">
      <w:pPr>
        <w:pStyle w:val="NoSpacing"/>
        <w:rPr>
          <w:lang w:val="sr-Cyrl-CS"/>
        </w:rPr>
      </w:pPr>
      <w:r>
        <w:t xml:space="preserve">                         </w:t>
      </w:r>
      <w:r w:rsidRPr="007B5915">
        <w:rPr>
          <w:lang w:val="sr-Cyrl-CS"/>
        </w:rPr>
        <w:t>2000</w:t>
      </w:r>
      <w:r>
        <w:rPr>
          <w:lang w:val="sr-Cyrl-CS"/>
        </w:rPr>
        <w:t xml:space="preserve">  </w:t>
      </w:r>
      <w:r w:rsidRPr="007B5915">
        <w:rPr>
          <w:lang w:val="sr-Cyrl-CS"/>
        </w:rPr>
        <w:t xml:space="preserve"> 2001</w:t>
      </w:r>
      <w:r>
        <w:rPr>
          <w:lang w:val="sr-Cyrl-CS"/>
        </w:rPr>
        <w:t xml:space="preserve">  </w:t>
      </w:r>
      <w:r w:rsidRPr="007B5915">
        <w:rPr>
          <w:lang w:val="sr-Cyrl-CS"/>
        </w:rPr>
        <w:t xml:space="preserve"> 2002</w:t>
      </w:r>
      <w:r>
        <w:rPr>
          <w:lang w:val="sr-Cyrl-CS"/>
        </w:rPr>
        <w:t xml:space="preserve">  </w:t>
      </w:r>
      <w:r w:rsidRPr="007B5915">
        <w:rPr>
          <w:lang w:val="sr-Cyrl-CS"/>
        </w:rPr>
        <w:t xml:space="preserve"> 2003 </w:t>
      </w:r>
      <w:r>
        <w:rPr>
          <w:lang w:val="sr-Cyrl-CS"/>
        </w:rPr>
        <w:t xml:space="preserve"> </w:t>
      </w:r>
      <w:r w:rsidRPr="007B5915">
        <w:rPr>
          <w:lang w:val="sr-Cyrl-CS"/>
        </w:rPr>
        <w:t>2004</w:t>
      </w:r>
      <w:r>
        <w:rPr>
          <w:lang w:val="sr-Cyrl-CS"/>
        </w:rPr>
        <w:t xml:space="preserve">  </w:t>
      </w:r>
      <w:r w:rsidRPr="007B5915">
        <w:rPr>
          <w:lang w:val="sr-Cyrl-CS"/>
        </w:rPr>
        <w:t xml:space="preserve"> 2005</w:t>
      </w:r>
      <w:r>
        <w:rPr>
          <w:lang w:val="sr-Cyrl-CS"/>
        </w:rPr>
        <w:t xml:space="preserve">  </w:t>
      </w:r>
      <w:r w:rsidRPr="007B5915">
        <w:rPr>
          <w:lang w:val="sr-Cyrl-CS"/>
        </w:rPr>
        <w:t xml:space="preserve"> 2006</w:t>
      </w:r>
      <w:r>
        <w:rPr>
          <w:lang w:val="sr-Cyrl-CS"/>
        </w:rPr>
        <w:t xml:space="preserve">  </w:t>
      </w:r>
      <w:r w:rsidRPr="007B5915">
        <w:rPr>
          <w:lang w:val="sr-Cyrl-CS"/>
        </w:rPr>
        <w:t xml:space="preserve"> 2007</w:t>
      </w:r>
      <w:r>
        <w:rPr>
          <w:lang w:val="sr-Cyrl-CS"/>
        </w:rPr>
        <w:t xml:space="preserve">  </w:t>
      </w:r>
      <w:r w:rsidRPr="007B5915">
        <w:rPr>
          <w:lang w:val="sr-Cyrl-CS"/>
        </w:rPr>
        <w:t xml:space="preserve"> 2008</w:t>
      </w:r>
      <w:r>
        <w:rPr>
          <w:lang w:val="sr-Cyrl-CS"/>
        </w:rPr>
        <w:t xml:space="preserve">  </w:t>
      </w:r>
      <w:r w:rsidRPr="007B5915">
        <w:rPr>
          <w:lang w:val="sr-Cyrl-CS"/>
        </w:rPr>
        <w:t xml:space="preserve"> 2009</w:t>
      </w:r>
      <w:r>
        <w:rPr>
          <w:lang w:val="sr-Cyrl-CS"/>
        </w:rPr>
        <w:t xml:space="preserve">  </w:t>
      </w:r>
      <w:r w:rsidRPr="007B5915">
        <w:rPr>
          <w:lang w:val="sr-Cyrl-CS"/>
        </w:rPr>
        <w:t xml:space="preserve"> 2010 </w:t>
      </w:r>
    </w:p>
    <w:p w:rsidR="000726DA" w:rsidRPr="007B5915" w:rsidRDefault="000726DA" w:rsidP="000726DA">
      <w:pPr>
        <w:rPr>
          <w:lang w:val="sr-Cyrl-CS"/>
        </w:rPr>
      </w:pPr>
      <w:r>
        <w:rPr>
          <w:lang w:val="sr-Cyrl-CS"/>
        </w:rPr>
        <w:t>___________________________________________________________________________</w:t>
      </w:r>
    </w:p>
    <w:p w:rsidR="000726DA" w:rsidRDefault="000726DA" w:rsidP="000726DA">
      <w:pPr>
        <w:pStyle w:val="NoSpacing"/>
        <w:rPr>
          <w:lang w:val="sr-Cyrl-CS"/>
        </w:rPr>
      </w:pPr>
      <w:r>
        <w:rPr>
          <w:b/>
          <w:lang w:val="sr-Cyrl-CS"/>
        </w:rPr>
        <w:t>БУГАРСКА</w:t>
      </w:r>
      <w:r>
        <w:rPr>
          <w:b/>
        </w:rPr>
        <w:t xml:space="preserve"> </w:t>
      </w:r>
      <w:r w:rsidRPr="007B5915">
        <w:rPr>
          <w:lang w:val="sr-Cyrl-CS"/>
        </w:rPr>
        <w:t xml:space="preserve"> </w:t>
      </w:r>
      <w:r>
        <w:rPr>
          <w:lang w:val="sr-Cyrl-CS"/>
        </w:rPr>
        <w:t xml:space="preserve">     </w:t>
      </w:r>
      <w:r w:rsidRPr="007B5915">
        <w:rPr>
          <w:lang w:val="sr-Cyrl-CS"/>
        </w:rPr>
        <w:t xml:space="preserve">0.2 </w:t>
      </w:r>
      <w:r>
        <w:rPr>
          <w:lang w:val="sr-Cyrl-CS"/>
        </w:rPr>
        <w:t xml:space="preserve">    </w:t>
      </w:r>
      <w:r w:rsidRPr="007B5915">
        <w:rPr>
          <w:lang w:val="sr-Cyrl-CS"/>
        </w:rPr>
        <w:t xml:space="preserve">0.2 </w:t>
      </w:r>
      <w:r>
        <w:rPr>
          <w:lang w:val="sr-Cyrl-CS"/>
        </w:rPr>
        <w:t xml:space="preserve">       </w:t>
      </w:r>
      <w:r w:rsidRPr="007B5915">
        <w:rPr>
          <w:lang w:val="sr-Cyrl-CS"/>
        </w:rPr>
        <w:t xml:space="preserve">0.3 </w:t>
      </w:r>
      <w:r>
        <w:rPr>
          <w:lang w:val="sr-Cyrl-CS"/>
        </w:rPr>
        <w:t xml:space="preserve">     </w:t>
      </w:r>
      <w:r w:rsidRPr="007B5915">
        <w:rPr>
          <w:lang w:val="sr-Cyrl-CS"/>
        </w:rPr>
        <w:t>0.3</w:t>
      </w:r>
      <w:r>
        <w:rPr>
          <w:lang w:val="sr-Cyrl-CS"/>
        </w:rPr>
        <w:t xml:space="preserve">     0.4      0.4      0.6         0.7      0.7      0.5      0.5 </w:t>
      </w:r>
    </w:p>
    <w:p w:rsidR="000726DA" w:rsidRPr="007B5915" w:rsidRDefault="000726DA" w:rsidP="000726DA">
      <w:pPr>
        <w:pStyle w:val="NoSpacing"/>
        <w:rPr>
          <w:lang w:val="sr-Cyrl-CS"/>
        </w:rPr>
      </w:pPr>
      <w:r>
        <w:rPr>
          <w:lang w:val="sr-Cyrl-CS"/>
        </w:rPr>
        <w:t>___________________________________________________________________________</w:t>
      </w:r>
    </w:p>
    <w:p w:rsidR="000726DA" w:rsidRDefault="000726DA" w:rsidP="000726DA">
      <w:pPr>
        <w:pStyle w:val="NoSpacing"/>
        <w:rPr>
          <w:lang w:val="sr-Cyrl-CS"/>
        </w:rPr>
      </w:pPr>
      <w:r>
        <w:rPr>
          <w:b/>
          <w:lang w:val="sr-Cyrl-CS"/>
        </w:rPr>
        <w:t>ЧЕШКА</w:t>
      </w:r>
      <w:r>
        <w:rPr>
          <w:b/>
        </w:rPr>
        <w:t xml:space="preserve"> </w:t>
      </w:r>
      <w:r w:rsidRPr="007B5915">
        <w:rPr>
          <w:lang w:val="sr-Cyrl-CS"/>
        </w:rPr>
        <w:t xml:space="preserve"> </w:t>
      </w:r>
      <w:r>
        <w:rPr>
          <w:lang w:val="sr-Cyrl-CS"/>
        </w:rPr>
        <w:t xml:space="preserve">           </w:t>
      </w:r>
      <w:r w:rsidRPr="007B5915">
        <w:rPr>
          <w:lang w:val="sr-Cyrl-CS"/>
        </w:rPr>
        <w:t xml:space="preserve">0.5 </w:t>
      </w:r>
      <w:r>
        <w:rPr>
          <w:lang w:val="sr-Cyrl-CS"/>
        </w:rPr>
        <w:t xml:space="preserve">    </w:t>
      </w:r>
      <w:r w:rsidRPr="007B5915">
        <w:rPr>
          <w:lang w:val="sr-Cyrl-CS"/>
        </w:rPr>
        <w:t xml:space="preserve">0.5 </w:t>
      </w:r>
      <w:r>
        <w:rPr>
          <w:lang w:val="sr-Cyrl-CS"/>
        </w:rPr>
        <w:t xml:space="preserve">       </w:t>
      </w:r>
      <w:r w:rsidRPr="007B5915">
        <w:rPr>
          <w:lang w:val="sr-Cyrl-CS"/>
        </w:rPr>
        <w:t xml:space="preserve">0.5 </w:t>
      </w:r>
      <w:r>
        <w:rPr>
          <w:lang w:val="sr-Cyrl-CS"/>
        </w:rPr>
        <w:t xml:space="preserve">     </w:t>
      </w:r>
      <w:r w:rsidRPr="007B5915">
        <w:rPr>
          <w:lang w:val="sr-Cyrl-CS"/>
        </w:rPr>
        <w:t>0.5</w:t>
      </w:r>
      <w:r>
        <w:rPr>
          <w:lang w:val="sr-Cyrl-CS"/>
        </w:rPr>
        <w:t xml:space="preserve">    0.4        0.4     0.4         0.4      0.4      0.4      0.4 </w:t>
      </w:r>
    </w:p>
    <w:p w:rsidR="000726DA" w:rsidRPr="007B5915" w:rsidRDefault="000726DA" w:rsidP="000726DA">
      <w:pPr>
        <w:pStyle w:val="NoSpacing"/>
        <w:rPr>
          <w:lang w:val="sr-Cyrl-CS"/>
        </w:rPr>
      </w:pPr>
      <w:r>
        <w:rPr>
          <w:lang w:val="sr-Cyrl-CS"/>
        </w:rPr>
        <w:t>___________________________________________________________________________</w:t>
      </w:r>
    </w:p>
    <w:p w:rsidR="000726DA" w:rsidRDefault="000726DA" w:rsidP="000726DA">
      <w:pPr>
        <w:pStyle w:val="NoSpacing"/>
        <w:rPr>
          <w:lang w:val="sr-Cyrl-CS"/>
        </w:rPr>
      </w:pPr>
      <w:r w:rsidRPr="00E20454">
        <w:rPr>
          <w:b/>
          <w:lang w:val="sr-Cyrl-CS"/>
        </w:rPr>
        <w:t>ЕСТОНИЈА</w:t>
      </w:r>
      <w:r w:rsidRPr="007B5915">
        <w:rPr>
          <w:lang w:val="sr-Cyrl-CS"/>
        </w:rPr>
        <w:t xml:space="preserve"> </w:t>
      </w:r>
      <w:r>
        <w:rPr>
          <w:lang w:val="sr-Cyrl-CS"/>
        </w:rPr>
        <w:t xml:space="preserve">      </w:t>
      </w:r>
      <w:r w:rsidRPr="007B5915">
        <w:rPr>
          <w:lang w:val="sr-Cyrl-CS"/>
        </w:rPr>
        <w:t xml:space="preserve">2.2 </w:t>
      </w:r>
      <w:r>
        <w:rPr>
          <w:lang w:val="sr-Cyrl-CS"/>
        </w:rPr>
        <w:t xml:space="preserve">     </w:t>
      </w:r>
      <w:r w:rsidRPr="007B5915">
        <w:rPr>
          <w:lang w:val="sr-Cyrl-CS"/>
        </w:rPr>
        <w:t xml:space="preserve">2.2 </w:t>
      </w:r>
      <w:r>
        <w:rPr>
          <w:lang w:val="sr-Cyrl-CS"/>
        </w:rPr>
        <w:t xml:space="preserve">       </w:t>
      </w:r>
      <w:r w:rsidRPr="007B5915">
        <w:rPr>
          <w:lang w:val="sr-Cyrl-CS"/>
        </w:rPr>
        <w:t xml:space="preserve">2.3 </w:t>
      </w:r>
      <w:r>
        <w:rPr>
          <w:lang w:val="sr-Cyrl-CS"/>
        </w:rPr>
        <w:t xml:space="preserve">     </w:t>
      </w:r>
      <w:r w:rsidRPr="007B5915">
        <w:rPr>
          <w:lang w:val="sr-Cyrl-CS"/>
        </w:rPr>
        <w:t xml:space="preserve">2.6 </w:t>
      </w:r>
      <w:r>
        <w:rPr>
          <w:lang w:val="sr-Cyrl-CS"/>
        </w:rPr>
        <w:t xml:space="preserve">   </w:t>
      </w:r>
      <w:r w:rsidRPr="007B5915">
        <w:rPr>
          <w:lang w:val="sr-Cyrl-CS"/>
        </w:rPr>
        <w:t>2.</w:t>
      </w:r>
      <w:r>
        <w:rPr>
          <w:lang w:val="sr-Cyrl-CS"/>
        </w:rPr>
        <w:t xml:space="preserve">8         3.1    3.3         3.1      2.4      2.1      2.1 </w:t>
      </w:r>
    </w:p>
    <w:p w:rsidR="000726DA" w:rsidRPr="007B5915" w:rsidRDefault="000726DA" w:rsidP="000726DA">
      <w:pPr>
        <w:pStyle w:val="NoSpacing"/>
        <w:rPr>
          <w:lang w:val="sr-Cyrl-CS"/>
        </w:rPr>
      </w:pPr>
      <w:r>
        <w:rPr>
          <w:lang w:val="sr-Cyrl-CS"/>
        </w:rPr>
        <w:t>___________________________________________________________________________</w:t>
      </w:r>
    </w:p>
    <w:p w:rsidR="000726DA" w:rsidRDefault="000726DA" w:rsidP="000726DA">
      <w:pPr>
        <w:pStyle w:val="NoSpacing"/>
        <w:rPr>
          <w:lang w:val="sr-Cyrl-CS"/>
        </w:rPr>
      </w:pPr>
      <w:r>
        <w:rPr>
          <w:b/>
        </w:rPr>
        <w:t>ФРАНЦУСКА</w:t>
      </w:r>
      <w:r w:rsidRPr="007B5915">
        <w:rPr>
          <w:lang w:val="sr-Cyrl-CS"/>
        </w:rPr>
        <w:t xml:space="preserve"> </w:t>
      </w:r>
      <w:r>
        <w:rPr>
          <w:lang w:val="sr-Cyrl-CS"/>
        </w:rPr>
        <w:t xml:space="preserve">  </w:t>
      </w:r>
      <w:r w:rsidRPr="007B5915">
        <w:rPr>
          <w:lang w:val="sr-Cyrl-CS"/>
        </w:rPr>
        <w:t xml:space="preserve">2.9 </w:t>
      </w:r>
      <w:r>
        <w:rPr>
          <w:lang w:val="sr-Cyrl-CS"/>
        </w:rPr>
        <w:t xml:space="preserve">     </w:t>
      </w:r>
      <w:r w:rsidRPr="007B5915">
        <w:rPr>
          <w:lang w:val="sr-Cyrl-CS"/>
        </w:rPr>
        <w:t xml:space="preserve">2.9 </w:t>
      </w:r>
      <w:r>
        <w:rPr>
          <w:lang w:val="sr-Cyrl-CS"/>
        </w:rPr>
        <w:t xml:space="preserve">        </w:t>
      </w:r>
      <w:r w:rsidRPr="007B5915">
        <w:rPr>
          <w:lang w:val="sr-Cyrl-CS"/>
        </w:rPr>
        <w:t xml:space="preserve">2.9 </w:t>
      </w:r>
      <w:r>
        <w:rPr>
          <w:lang w:val="sr-Cyrl-CS"/>
        </w:rPr>
        <w:t xml:space="preserve">    </w:t>
      </w:r>
      <w:r w:rsidRPr="007B5915">
        <w:rPr>
          <w:lang w:val="sr-Cyrl-CS"/>
        </w:rPr>
        <w:t xml:space="preserve">3.0 </w:t>
      </w:r>
      <w:r>
        <w:rPr>
          <w:lang w:val="sr-Cyrl-CS"/>
        </w:rPr>
        <w:t xml:space="preserve">    </w:t>
      </w:r>
      <w:r w:rsidRPr="007B5915">
        <w:rPr>
          <w:lang w:val="sr-Cyrl-CS"/>
        </w:rPr>
        <w:t>3.</w:t>
      </w:r>
      <w:r w:rsidR="00C02BF4">
        <w:rPr>
          <w:lang w:val="sr-Cyrl-CS"/>
        </w:rPr>
        <w:t xml:space="preserve">2        3.3    3.3         </w:t>
      </w:r>
      <w:r>
        <w:rPr>
          <w:lang w:val="sr-Cyrl-CS"/>
        </w:rPr>
        <w:t xml:space="preserve">3.4     3.3       3.3    </w:t>
      </w:r>
      <w:r w:rsidR="00C02BF4">
        <w:rPr>
          <w:lang w:val="sr-Cyrl-CS"/>
        </w:rPr>
        <w:t xml:space="preserve"> </w:t>
      </w:r>
      <w:r>
        <w:rPr>
          <w:lang w:val="sr-Cyrl-CS"/>
        </w:rPr>
        <w:t xml:space="preserve">3.4 </w:t>
      </w:r>
    </w:p>
    <w:p w:rsidR="000726DA" w:rsidRPr="007B5915" w:rsidRDefault="000726DA" w:rsidP="000726DA">
      <w:pPr>
        <w:pStyle w:val="NoSpacing"/>
        <w:rPr>
          <w:lang w:val="sr-Cyrl-CS"/>
        </w:rPr>
      </w:pPr>
      <w:r>
        <w:rPr>
          <w:lang w:val="sr-Cyrl-CS"/>
        </w:rPr>
        <w:t>___________________________________________________________________________</w:t>
      </w:r>
    </w:p>
    <w:p w:rsidR="000726DA" w:rsidRDefault="000726DA" w:rsidP="000726DA">
      <w:pPr>
        <w:pStyle w:val="NoSpacing"/>
        <w:rPr>
          <w:lang w:val="sr-Cyrl-CS"/>
        </w:rPr>
      </w:pPr>
      <w:r>
        <w:rPr>
          <w:b/>
          <w:lang w:val="sr-Cyrl-CS"/>
        </w:rPr>
        <w:t>ИТАЛИЈА</w:t>
      </w:r>
      <w:r w:rsidRPr="007B5915">
        <w:rPr>
          <w:lang w:val="sr-Cyrl-CS"/>
        </w:rPr>
        <w:t xml:space="preserve"> </w:t>
      </w:r>
      <w:r>
        <w:rPr>
          <w:lang w:val="sr-Cyrl-CS"/>
        </w:rPr>
        <w:t xml:space="preserve">         </w:t>
      </w:r>
      <w:r w:rsidRPr="007B5915">
        <w:rPr>
          <w:lang w:val="sr-Cyrl-CS"/>
        </w:rPr>
        <w:t xml:space="preserve">1.9 </w:t>
      </w:r>
      <w:r>
        <w:rPr>
          <w:lang w:val="sr-Cyrl-CS"/>
        </w:rPr>
        <w:t xml:space="preserve">     </w:t>
      </w:r>
      <w:r w:rsidRPr="007B5915">
        <w:rPr>
          <w:lang w:val="sr-Cyrl-CS"/>
        </w:rPr>
        <w:t xml:space="preserve">1.8 </w:t>
      </w:r>
      <w:r>
        <w:rPr>
          <w:lang w:val="sr-Cyrl-CS"/>
        </w:rPr>
        <w:t xml:space="preserve">        </w:t>
      </w:r>
      <w:r w:rsidRPr="007B5915">
        <w:rPr>
          <w:lang w:val="sr-Cyrl-CS"/>
        </w:rPr>
        <w:t xml:space="preserve">1.9 </w:t>
      </w:r>
      <w:r>
        <w:rPr>
          <w:lang w:val="sr-Cyrl-CS"/>
        </w:rPr>
        <w:t xml:space="preserve">    </w:t>
      </w:r>
      <w:r w:rsidRPr="007B5915">
        <w:rPr>
          <w:lang w:val="sr-Cyrl-CS"/>
        </w:rPr>
        <w:t>1.8</w:t>
      </w:r>
      <w:r>
        <w:rPr>
          <w:lang w:val="sr-Cyrl-CS"/>
        </w:rPr>
        <w:t xml:space="preserve">     </w:t>
      </w:r>
      <w:r w:rsidRPr="007B5915">
        <w:rPr>
          <w:lang w:val="sr-Cyrl-CS"/>
        </w:rPr>
        <w:t xml:space="preserve"> 1.</w:t>
      </w:r>
      <w:r w:rsidR="00C02BF4">
        <w:rPr>
          <w:lang w:val="sr-Cyrl-CS"/>
        </w:rPr>
        <w:t xml:space="preserve">9       1.8   2.0          </w:t>
      </w:r>
      <w:r>
        <w:rPr>
          <w:lang w:val="sr-Cyrl-CS"/>
        </w:rPr>
        <w:t xml:space="preserve">2.0     1.7       2.2    1.9 </w:t>
      </w:r>
    </w:p>
    <w:p w:rsidR="000726DA" w:rsidRPr="007B5915" w:rsidRDefault="000726DA" w:rsidP="000726DA">
      <w:pPr>
        <w:pStyle w:val="NoSpacing"/>
        <w:rPr>
          <w:lang w:val="sr-Cyrl-CS"/>
        </w:rPr>
      </w:pPr>
      <w:r>
        <w:rPr>
          <w:lang w:val="sr-Cyrl-CS"/>
        </w:rPr>
        <w:t>___________________________________________________________________________</w:t>
      </w:r>
    </w:p>
    <w:p w:rsidR="000726DA" w:rsidRDefault="000726DA" w:rsidP="000726DA">
      <w:pPr>
        <w:pStyle w:val="NoSpacing"/>
        <w:rPr>
          <w:lang w:val="sr-Cyrl-CS"/>
        </w:rPr>
      </w:pPr>
      <w:r>
        <w:rPr>
          <w:b/>
          <w:lang w:val="sr-Cyrl-CS"/>
        </w:rPr>
        <w:t>МАЂАРСКА</w:t>
      </w:r>
      <w:r w:rsidRPr="007B5915">
        <w:rPr>
          <w:lang w:val="sr-Cyrl-CS"/>
        </w:rPr>
        <w:t xml:space="preserve"> </w:t>
      </w:r>
      <w:r>
        <w:rPr>
          <w:lang w:val="sr-Cyrl-CS"/>
        </w:rPr>
        <w:t xml:space="preserve">     0.8      0.8         0.8     0.9      0.8       1.1    </w:t>
      </w:r>
      <w:r w:rsidRPr="003820BA">
        <w:rPr>
          <w:lang w:val="sr-Cyrl-CS"/>
        </w:rPr>
        <w:t xml:space="preserve">0.8 </w:t>
      </w:r>
      <w:r w:rsidR="00C02BF4">
        <w:rPr>
          <w:lang w:val="sr-Cyrl-CS"/>
        </w:rPr>
        <w:t xml:space="preserve">        </w:t>
      </w:r>
      <w:r w:rsidRPr="003820BA">
        <w:rPr>
          <w:lang w:val="sr-Cyrl-CS"/>
        </w:rPr>
        <w:t xml:space="preserve">0.8 </w:t>
      </w:r>
      <w:r>
        <w:rPr>
          <w:lang w:val="sr-Cyrl-CS"/>
        </w:rPr>
        <w:t xml:space="preserve">    </w:t>
      </w:r>
      <w:r w:rsidRPr="003820BA">
        <w:rPr>
          <w:lang w:val="sr-Cyrl-CS"/>
        </w:rPr>
        <w:t xml:space="preserve">0.9 </w:t>
      </w:r>
      <w:r>
        <w:rPr>
          <w:lang w:val="sr-Cyrl-CS"/>
        </w:rPr>
        <w:t xml:space="preserve">      </w:t>
      </w:r>
      <w:r w:rsidRPr="003820BA">
        <w:rPr>
          <w:lang w:val="sr-Cyrl-CS"/>
        </w:rPr>
        <w:t>0.8</w:t>
      </w:r>
      <w:r>
        <w:rPr>
          <w:lang w:val="sr-Cyrl-CS"/>
        </w:rPr>
        <w:t xml:space="preserve">   </w:t>
      </w:r>
      <w:r w:rsidRPr="003820BA">
        <w:rPr>
          <w:lang w:val="sr-Cyrl-CS"/>
        </w:rPr>
        <w:t xml:space="preserve"> 1.1</w:t>
      </w:r>
    </w:p>
    <w:p w:rsidR="000726DA" w:rsidRPr="007B5915" w:rsidRDefault="000726DA" w:rsidP="000726DA">
      <w:pPr>
        <w:pStyle w:val="NoSpacing"/>
        <w:rPr>
          <w:lang w:val="sr-Cyrl-CS"/>
        </w:rPr>
      </w:pPr>
      <w:r>
        <w:rPr>
          <w:lang w:val="sr-Cyrl-CS"/>
        </w:rPr>
        <w:t>___________________________________________________________________________</w:t>
      </w:r>
    </w:p>
    <w:p w:rsidR="000726DA" w:rsidRDefault="000726DA" w:rsidP="000726DA">
      <w:pPr>
        <w:pStyle w:val="NoSpacing"/>
        <w:rPr>
          <w:lang w:val="sr-Cyrl-CS"/>
        </w:rPr>
      </w:pPr>
      <w:r>
        <w:rPr>
          <w:b/>
          <w:lang w:val="sr-Cyrl-CS"/>
        </w:rPr>
        <w:t>АУСТРИЈА</w:t>
      </w:r>
      <w:r w:rsidRPr="007B5915">
        <w:rPr>
          <w:lang w:val="sr-Cyrl-CS"/>
        </w:rPr>
        <w:t xml:space="preserve"> </w:t>
      </w:r>
      <w:r>
        <w:rPr>
          <w:lang w:val="sr-Cyrl-CS"/>
        </w:rPr>
        <w:t xml:space="preserve">        </w:t>
      </w:r>
      <w:r w:rsidRPr="007B5915">
        <w:rPr>
          <w:lang w:val="sr-Cyrl-CS"/>
        </w:rPr>
        <w:t xml:space="preserve">0.6 </w:t>
      </w:r>
      <w:r>
        <w:rPr>
          <w:lang w:val="sr-Cyrl-CS"/>
        </w:rPr>
        <w:t xml:space="preserve">     </w:t>
      </w:r>
      <w:r w:rsidRPr="007B5915">
        <w:rPr>
          <w:lang w:val="sr-Cyrl-CS"/>
        </w:rPr>
        <w:t xml:space="preserve">0.6 </w:t>
      </w:r>
      <w:r>
        <w:rPr>
          <w:lang w:val="sr-Cyrl-CS"/>
        </w:rPr>
        <w:t xml:space="preserve">        </w:t>
      </w:r>
      <w:r w:rsidRPr="007B5915">
        <w:rPr>
          <w:lang w:val="sr-Cyrl-CS"/>
        </w:rPr>
        <w:t xml:space="preserve">0.5 </w:t>
      </w:r>
      <w:r>
        <w:rPr>
          <w:lang w:val="sr-Cyrl-CS"/>
        </w:rPr>
        <w:t xml:space="preserve">    </w:t>
      </w:r>
      <w:r w:rsidRPr="007B5915">
        <w:rPr>
          <w:lang w:val="sr-Cyrl-CS"/>
        </w:rPr>
        <w:t xml:space="preserve">0.5 </w:t>
      </w:r>
      <w:r>
        <w:rPr>
          <w:lang w:val="sr-Cyrl-CS"/>
        </w:rPr>
        <w:t xml:space="preserve">     </w:t>
      </w:r>
      <w:r w:rsidRPr="007B5915">
        <w:rPr>
          <w:lang w:val="sr-Cyrl-CS"/>
        </w:rPr>
        <w:t xml:space="preserve">0.5 </w:t>
      </w:r>
      <w:r>
        <w:rPr>
          <w:lang w:val="sr-Cyrl-CS"/>
        </w:rPr>
        <w:t xml:space="preserve">      </w:t>
      </w:r>
      <w:r w:rsidRPr="007B5915">
        <w:rPr>
          <w:lang w:val="sr-Cyrl-CS"/>
        </w:rPr>
        <w:t xml:space="preserve">0.5 </w:t>
      </w:r>
      <w:r>
        <w:rPr>
          <w:lang w:val="sr-Cyrl-CS"/>
        </w:rPr>
        <w:t xml:space="preserve">   </w:t>
      </w:r>
      <w:r w:rsidRPr="007B5915">
        <w:rPr>
          <w:lang w:val="sr-Cyrl-CS"/>
        </w:rPr>
        <w:t>0.6</w:t>
      </w:r>
      <w:r w:rsidR="00C02BF4">
        <w:rPr>
          <w:lang w:val="sr-Cyrl-CS"/>
        </w:rPr>
        <w:t xml:space="preserve">         0.5      0.5      </w:t>
      </w:r>
      <w:r>
        <w:rPr>
          <w:lang w:val="sr-Cyrl-CS"/>
        </w:rPr>
        <w:t xml:space="preserve">0.5    0.5 </w:t>
      </w:r>
    </w:p>
    <w:p w:rsidR="000726DA" w:rsidRPr="007B5915" w:rsidRDefault="000726DA" w:rsidP="000726DA">
      <w:pPr>
        <w:pStyle w:val="NoSpacing"/>
        <w:rPr>
          <w:lang w:val="sr-Cyrl-CS"/>
        </w:rPr>
      </w:pPr>
      <w:r>
        <w:rPr>
          <w:lang w:val="sr-Cyrl-CS"/>
        </w:rPr>
        <w:t>___________________________________________________________________________</w:t>
      </w:r>
    </w:p>
    <w:p w:rsidR="000726DA" w:rsidRDefault="000726DA" w:rsidP="000726DA">
      <w:pPr>
        <w:pStyle w:val="NoSpacing"/>
        <w:rPr>
          <w:lang w:val="sr-Cyrl-CS"/>
        </w:rPr>
      </w:pPr>
      <w:r>
        <w:rPr>
          <w:b/>
          <w:lang w:val="sr-Cyrl-CS"/>
        </w:rPr>
        <w:t>ПОЉСКА</w:t>
      </w:r>
      <w:r w:rsidRPr="007B5915">
        <w:rPr>
          <w:lang w:val="sr-Cyrl-CS"/>
        </w:rPr>
        <w:t xml:space="preserve"> </w:t>
      </w:r>
      <w:r>
        <w:rPr>
          <w:lang w:val="sr-Cyrl-CS"/>
        </w:rPr>
        <w:t xml:space="preserve">         </w:t>
      </w:r>
      <w:r w:rsidRPr="007B5915">
        <w:rPr>
          <w:lang w:val="sr-Cyrl-CS"/>
        </w:rPr>
        <w:t xml:space="preserve">1.1 </w:t>
      </w:r>
      <w:r>
        <w:rPr>
          <w:lang w:val="sr-Cyrl-CS"/>
        </w:rPr>
        <w:t xml:space="preserve">      </w:t>
      </w:r>
      <w:r w:rsidRPr="007B5915">
        <w:rPr>
          <w:lang w:val="sr-Cyrl-CS"/>
        </w:rPr>
        <w:t xml:space="preserve">1.3 </w:t>
      </w:r>
      <w:r>
        <w:rPr>
          <w:lang w:val="sr-Cyrl-CS"/>
        </w:rPr>
        <w:t xml:space="preserve">        </w:t>
      </w:r>
      <w:r w:rsidRPr="007B5915">
        <w:rPr>
          <w:lang w:val="sr-Cyrl-CS"/>
        </w:rPr>
        <w:t xml:space="preserve">1.4 </w:t>
      </w:r>
      <w:r>
        <w:rPr>
          <w:lang w:val="sr-Cyrl-CS"/>
        </w:rPr>
        <w:t xml:space="preserve">    </w:t>
      </w:r>
      <w:r w:rsidRPr="007B5915">
        <w:rPr>
          <w:lang w:val="sr-Cyrl-CS"/>
        </w:rPr>
        <w:t xml:space="preserve">1.4 </w:t>
      </w:r>
      <w:r>
        <w:rPr>
          <w:lang w:val="sr-Cyrl-CS"/>
        </w:rPr>
        <w:t xml:space="preserve">     </w:t>
      </w:r>
      <w:r w:rsidRPr="007B5915">
        <w:rPr>
          <w:lang w:val="sr-Cyrl-CS"/>
        </w:rPr>
        <w:t>1</w:t>
      </w:r>
      <w:r>
        <w:rPr>
          <w:lang w:val="sr-Cyrl-CS"/>
        </w:rPr>
        <w:t xml:space="preserve">.3        1.3  </w:t>
      </w:r>
      <w:r w:rsidR="00C02BF4">
        <w:rPr>
          <w:lang w:val="sr-Cyrl-CS"/>
        </w:rPr>
        <w:t xml:space="preserve"> 1.2         1.2      1.2      </w:t>
      </w:r>
      <w:r>
        <w:rPr>
          <w:lang w:val="sr-Cyrl-CS"/>
        </w:rPr>
        <w:t xml:space="preserve">1.2    1.2 </w:t>
      </w:r>
    </w:p>
    <w:p w:rsidR="000726DA" w:rsidRPr="007B5915" w:rsidRDefault="000726DA" w:rsidP="000726DA">
      <w:pPr>
        <w:pStyle w:val="NoSpacing"/>
        <w:rPr>
          <w:lang w:val="sr-Cyrl-CS"/>
        </w:rPr>
      </w:pPr>
      <w:r>
        <w:rPr>
          <w:lang w:val="sr-Cyrl-CS"/>
        </w:rPr>
        <w:t>___________________________________________________________________________</w:t>
      </w:r>
    </w:p>
    <w:p w:rsidR="000726DA" w:rsidRDefault="000726DA" w:rsidP="000726DA">
      <w:pPr>
        <w:pStyle w:val="NoSpacing"/>
        <w:rPr>
          <w:lang w:val="sr-Cyrl-CS"/>
        </w:rPr>
      </w:pPr>
      <w:r>
        <w:rPr>
          <w:b/>
          <w:lang w:val="sr-Cyrl-CS"/>
        </w:rPr>
        <w:t>РУМУНИЈА</w:t>
      </w:r>
      <w:r w:rsidRPr="007B5915">
        <w:rPr>
          <w:lang w:val="sr-Cyrl-CS"/>
        </w:rPr>
        <w:t xml:space="preserve"> </w:t>
      </w:r>
      <w:r>
        <w:rPr>
          <w:lang w:val="sr-Cyrl-CS"/>
        </w:rPr>
        <w:t xml:space="preserve">      </w:t>
      </w:r>
      <w:r w:rsidRPr="007B5915">
        <w:rPr>
          <w:lang w:val="sr-Cyrl-CS"/>
        </w:rPr>
        <w:t xml:space="preserve">0.7 </w:t>
      </w:r>
      <w:r>
        <w:rPr>
          <w:lang w:val="sr-Cyrl-CS"/>
        </w:rPr>
        <w:t xml:space="preserve">      </w:t>
      </w:r>
      <w:r w:rsidRPr="007B5915">
        <w:rPr>
          <w:lang w:val="sr-Cyrl-CS"/>
        </w:rPr>
        <w:t xml:space="preserve">0.7 </w:t>
      </w:r>
      <w:r>
        <w:rPr>
          <w:lang w:val="sr-Cyrl-CS"/>
        </w:rPr>
        <w:t xml:space="preserve">        </w:t>
      </w:r>
      <w:r w:rsidRPr="007B5915">
        <w:rPr>
          <w:lang w:val="sr-Cyrl-CS"/>
        </w:rPr>
        <w:t xml:space="preserve">0.7 </w:t>
      </w:r>
      <w:r>
        <w:rPr>
          <w:lang w:val="sr-Cyrl-CS"/>
        </w:rPr>
        <w:t xml:space="preserve">    </w:t>
      </w:r>
      <w:r w:rsidRPr="007B5915">
        <w:rPr>
          <w:lang w:val="sr-Cyrl-CS"/>
        </w:rPr>
        <w:t xml:space="preserve">0.7 </w:t>
      </w:r>
      <w:r>
        <w:rPr>
          <w:lang w:val="sr-Cyrl-CS"/>
        </w:rPr>
        <w:t xml:space="preserve">     </w:t>
      </w:r>
      <w:r w:rsidRPr="007B5915">
        <w:rPr>
          <w:lang w:val="sr-Cyrl-CS"/>
        </w:rPr>
        <w:t>0</w:t>
      </w:r>
      <w:r>
        <w:rPr>
          <w:lang w:val="sr-Cyrl-CS"/>
        </w:rPr>
        <w:t xml:space="preserve">.7       0.7   </w:t>
      </w:r>
      <w:r w:rsidR="00C02BF4">
        <w:rPr>
          <w:lang w:val="sr-Cyrl-CS"/>
        </w:rPr>
        <w:t xml:space="preserve">  0.8       1.0       0.8      </w:t>
      </w:r>
      <w:r>
        <w:rPr>
          <w:lang w:val="sr-Cyrl-CS"/>
        </w:rPr>
        <w:t xml:space="preserve">0.8    0.9 </w:t>
      </w:r>
    </w:p>
    <w:p w:rsidR="000726DA" w:rsidRPr="007B5915" w:rsidRDefault="000726DA" w:rsidP="000726DA">
      <w:pPr>
        <w:pStyle w:val="NoSpacing"/>
        <w:rPr>
          <w:lang w:val="sr-Cyrl-CS"/>
        </w:rPr>
      </w:pPr>
      <w:r>
        <w:rPr>
          <w:lang w:val="sr-Cyrl-CS"/>
        </w:rPr>
        <w:t>___________________________________________________________________________</w:t>
      </w:r>
    </w:p>
    <w:p w:rsidR="000726DA" w:rsidRDefault="000726DA" w:rsidP="000726DA">
      <w:pPr>
        <w:pStyle w:val="NoSpacing"/>
        <w:rPr>
          <w:b/>
          <w:lang w:val="sr-Cyrl-CS"/>
        </w:rPr>
      </w:pPr>
      <w:r>
        <w:rPr>
          <w:b/>
          <w:lang w:val="sr-Cyrl-CS"/>
        </w:rPr>
        <w:t xml:space="preserve">ВЕЛИКА </w:t>
      </w:r>
    </w:p>
    <w:p w:rsidR="000726DA" w:rsidRDefault="000726DA" w:rsidP="000726DA">
      <w:pPr>
        <w:pStyle w:val="NoSpacing"/>
        <w:rPr>
          <w:lang w:val="sr-Cyrl-CS"/>
        </w:rPr>
      </w:pPr>
      <w:r>
        <w:rPr>
          <w:b/>
          <w:lang w:val="sr-Cyrl-CS"/>
        </w:rPr>
        <w:t>БРИТАНИЈА</w:t>
      </w:r>
      <w:r w:rsidRPr="007B5915">
        <w:rPr>
          <w:lang w:val="sr-Cyrl-CS"/>
        </w:rPr>
        <w:t xml:space="preserve"> </w:t>
      </w:r>
      <w:r>
        <w:rPr>
          <w:lang w:val="sr-Cyrl-CS"/>
        </w:rPr>
        <w:t xml:space="preserve">     </w:t>
      </w:r>
      <w:r w:rsidRPr="007B5915">
        <w:rPr>
          <w:lang w:val="sr-Cyrl-CS"/>
        </w:rPr>
        <w:t xml:space="preserve">4.2 </w:t>
      </w:r>
      <w:r>
        <w:rPr>
          <w:lang w:val="sr-Cyrl-CS"/>
        </w:rPr>
        <w:t xml:space="preserve">    </w:t>
      </w:r>
      <w:r w:rsidRPr="007B5915">
        <w:rPr>
          <w:lang w:val="sr-Cyrl-CS"/>
        </w:rPr>
        <w:t xml:space="preserve">4.2 </w:t>
      </w:r>
      <w:r>
        <w:rPr>
          <w:lang w:val="sr-Cyrl-CS"/>
        </w:rPr>
        <w:t xml:space="preserve">         </w:t>
      </w:r>
      <w:r w:rsidRPr="007B5915">
        <w:rPr>
          <w:lang w:val="sr-Cyrl-CS"/>
        </w:rPr>
        <w:t xml:space="preserve">4.2 </w:t>
      </w:r>
      <w:r>
        <w:rPr>
          <w:lang w:val="sr-Cyrl-CS"/>
        </w:rPr>
        <w:t xml:space="preserve">     </w:t>
      </w:r>
      <w:r w:rsidRPr="007B5915">
        <w:rPr>
          <w:lang w:val="sr-Cyrl-CS"/>
        </w:rPr>
        <w:t xml:space="preserve">4.1 </w:t>
      </w:r>
      <w:r>
        <w:rPr>
          <w:lang w:val="sr-Cyrl-CS"/>
        </w:rPr>
        <w:t xml:space="preserve">     </w:t>
      </w:r>
      <w:r w:rsidRPr="007B5915">
        <w:rPr>
          <w:lang w:val="sr-Cyrl-CS"/>
        </w:rPr>
        <w:t>4.</w:t>
      </w:r>
      <w:r>
        <w:rPr>
          <w:lang w:val="sr-Cyrl-CS"/>
        </w:rPr>
        <w:t xml:space="preserve">2   </w:t>
      </w:r>
      <w:r w:rsidR="00C02BF4">
        <w:rPr>
          <w:lang w:val="sr-Cyrl-CS"/>
        </w:rPr>
        <w:t xml:space="preserve">    4.3     4.5       4.5      </w:t>
      </w:r>
      <w:r>
        <w:rPr>
          <w:lang w:val="sr-Cyrl-CS"/>
        </w:rPr>
        <w:t>5.7      4.3</w:t>
      </w:r>
      <w:r w:rsidR="00C02BF4">
        <w:rPr>
          <w:lang w:val="sr-Cyrl-CS"/>
        </w:rPr>
        <w:t xml:space="preserve">    </w:t>
      </w:r>
      <w:r>
        <w:rPr>
          <w:lang w:val="sr-Cyrl-CS"/>
        </w:rPr>
        <w:t xml:space="preserve">4.2 </w:t>
      </w:r>
    </w:p>
    <w:p w:rsidR="000726DA" w:rsidRDefault="000726DA" w:rsidP="000726DA">
      <w:pPr>
        <w:pStyle w:val="NoSpacing"/>
        <w:rPr>
          <w:lang w:val="sr-Cyrl-CS"/>
        </w:rPr>
      </w:pPr>
      <w:r>
        <w:rPr>
          <w:lang w:val="sr-Cyrl-CS"/>
        </w:rPr>
        <w:t>___________________________________________________________________________</w:t>
      </w:r>
    </w:p>
    <w:p w:rsidR="000726DA" w:rsidRDefault="000726DA" w:rsidP="000726DA">
      <w:pPr>
        <w:pStyle w:val="NoSpacing"/>
        <w:rPr>
          <w:rFonts w:ascii="Times New Roman" w:hAnsi="Times New Roman"/>
          <w:sz w:val="24"/>
          <w:szCs w:val="24"/>
          <w:lang w:val="sr-Cyrl-CS"/>
        </w:rPr>
      </w:pPr>
    </w:p>
    <w:p w:rsidR="000726DA" w:rsidRDefault="000726DA" w:rsidP="000726DA">
      <w:pPr>
        <w:pStyle w:val="NoSpacing"/>
        <w:ind w:firstLine="708"/>
        <w:rPr>
          <w:rFonts w:ascii="Times New Roman" w:hAnsi="Times New Roman"/>
          <w:sz w:val="24"/>
          <w:szCs w:val="24"/>
          <w:lang w:val="sr-Cyrl-CS"/>
        </w:rPr>
      </w:pPr>
    </w:p>
    <w:p w:rsidR="000726DA" w:rsidRDefault="000726DA" w:rsidP="000726DA">
      <w:pPr>
        <w:ind w:firstLine="708"/>
        <w:jc w:val="both"/>
        <w:rPr>
          <w:rFonts w:ascii="Times New Roman" w:hAnsi="Times New Roman"/>
          <w:sz w:val="24"/>
          <w:szCs w:val="24"/>
          <w:lang w:val="sr-Cyrl-CS"/>
        </w:rPr>
      </w:pPr>
      <w:r w:rsidRPr="007C40F7">
        <w:rPr>
          <w:rFonts w:ascii="Times New Roman" w:hAnsi="Times New Roman"/>
          <w:sz w:val="24"/>
          <w:szCs w:val="24"/>
          <w:lang w:val="sr-Cyrl-CS"/>
        </w:rPr>
        <w:t>У земљама чланицама Европске уније две су значајне карактеристике пореза на имовину. Најпре, нивои прихода по овом основу значајно варирају. Приходи у државама са најнижим порезима ове врсте (Чешка 0,4% БДП</w:t>
      </w:r>
      <w:r w:rsidR="00E10D0E">
        <w:rPr>
          <w:rFonts w:ascii="Times New Roman" w:hAnsi="Times New Roman"/>
          <w:sz w:val="24"/>
          <w:szCs w:val="24"/>
        </w:rPr>
        <w:t xml:space="preserve">, </w:t>
      </w:r>
      <w:r w:rsidR="00E10D0E">
        <w:rPr>
          <w:rFonts w:ascii="Times New Roman" w:hAnsi="Times New Roman"/>
          <w:sz w:val="24"/>
          <w:szCs w:val="24"/>
          <w:lang w:val="sr-Cyrl-CS"/>
        </w:rPr>
        <w:t>Румунија 0,9% БДП, Бугарска 0,5% БДП</w:t>
      </w:r>
      <w:r w:rsidRPr="007C40F7">
        <w:rPr>
          <w:rFonts w:ascii="Times New Roman" w:hAnsi="Times New Roman"/>
          <w:sz w:val="24"/>
          <w:szCs w:val="24"/>
          <w:lang w:val="sr-Cyrl-CS"/>
        </w:rPr>
        <w:t>) значајно су мањи него у држава са највишим нивоом ових прихода (Велика Британија 4,2% БДП</w:t>
      </w:r>
      <w:r w:rsidR="00E10D0E">
        <w:rPr>
          <w:rFonts w:ascii="Times New Roman" w:hAnsi="Times New Roman"/>
          <w:sz w:val="24"/>
          <w:szCs w:val="24"/>
          <w:lang w:val="sr-Cyrl-CS"/>
        </w:rPr>
        <w:t>, Француска 3,4% БДП</w:t>
      </w:r>
      <w:r w:rsidRPr="007C40F7">
        <w:rPr>
          <w:rFonts w:ascii="Times New Roman" w:hAnsi="Times New Roman"/>
          <w:sz w:val="24"/>
          <w:szCs w:val="24"/>
          <w:lang w:val="sr-Cyrl-CS"/>
        </w:rPr>
        <w:t xml:space="preserve">). </w:t>
      </w:r>
      <w:r>
        <w:rPr>
          <w:rFonts w:ascii="Times New Roman" w:hAnsi="Times New Roman"/>
          <w:sz w:val="24"/>
          <w:szCs w:val="24"/>
          <w:lang w:val="sr-Cyrl-CS"/>
        </w:rPr>
        <w:t xml:space="preserve"> </w:t>
      </w:r>
    </w:p>
    <w:p w:rsidR="00E10D0E" w:rsidRDefault="00E10D0E" w:rsidP="00E10D0E">
      <w:pPr>
        <w:pStyle w:val="NoSpacing"/>
        <w:ind w:firstLine="708"/>
        <w:rPr>
          <w:rFonts w:ascii="Times New Roman" w:hAnsi="Times New Roman"/>
          <w:sz w:val="24"/>
          <w:szCs w:val="24"/>
          <w:lang w:val="sr-Cyrl-CS"/>
        </w:rPr>
      </w:pPr>
      <w:r>
        <w:rPr>
          <w:rFonts w:ascii="Times New Roman" w:hAnsi="Times New Roman"/>
          <w:sz w:val="24"/>
          <w:szCs w:val="24"/>
          <w:lang w:val="sr-Cyrl-CS"/>
        </w:rPr>
        <w:t>Учешће прихода од овог пореза у укупним пореским приходима такође варира од 1% до 11,9%.</w:t>
      </w:r>
      <w:r>
        <w:rPr>
          <w:rStyle w:val="FootnoteReference"/>
          <w:rFonts w:ascii="Times New Roman" w:hAnsi="Times New Roman"/>
          <w:sz w:val="24"/>
          <w:szCs w:val="24"/>
          <w:lang w:val="sr-Cyrl-CS"/>
        </w:rPr>
        <w:footnoteReference w:id="499"/>
      </w:r>
      <w:r>
        <w:rPr>
          <w:rFonts w:ascii="Times New Roman" w:hAnsi="Times New Roman"/>
          <w:sz w:val="24"/>
          <w:szCs w:val="24"/>
          <w:lang w:val="sr-Cyrl-CS"/>
        </w:rPr>
        <w:t xml:space="preserve"> </w:t>
      </w:r>
      <w:r w:rsidR="00A16A6A">
        <w:rPr>
          <w:rFonts w:ascii="Times New Roman" w:hAnsi="Times New Roman"/>
          <w:sz w:val="24"/>
          <w:szCs w:val="24"/>
          <w:lang w:val="sr-Cyrl-CS"/>
        </w:rPr>
        <w:t xml:space="preserve"> </w:t>
      </w:r>
    </w:p>
    <w:p w:rsidR="005D64CC" w:rsidRDefault="005D64CC" w:rsidP="000726DA">
      <w:pPr>
        <w:jc w:val="both"/>
        <w:rPr>
          <w:rFonts w:ascii="Times New Roman" w:hAnsi="Times New Roman"/>
          <w:sz w:val="24"/>
          <w:szCs w:val="24"/>
          <w:lang w:val="sr-Cyrl-CS"/>
        </w:rPr>
      </w:pPr>
    </w:p>
    <w:p w:rsidR="005D64CC" w:rsidRDefault="005D64CC" w:rsidP="000726DA">
      <w:pPr>
        <w:jc w:val="both"/>
        <w:rPr>
          <w:rFonts w:ascii="Times New Roman" w:hAnsi="Times New Roman"/>
          <w:sz w:val="24"/>
          <w:szCs w:val="24"/>
          <w:lang w:val="sr-Cyrl-CS"/>
        </w:rPr>
      </w:pPr>
    </w:p>
    <w:p w:rsidR="00D86D09" w:rsidRDefault="00D86D09" w:rsidP="000726DA">
      <w:pPr>
        <w:jc w:val="both"/>
        <w:rPr>
          <w:rFonts w:ascii="Times New Roman" w:hAnsi="Times New Roman"/>
          <w:sz w:val="24"/>
          <w:szCs w:val="24"/>
          <w:lang w:val="sr-Cyrl-CS"/>
        </w:rPr>
      </w:pPr>
    </w:p>
    <w:p w:rsidR="00D86D09" w:rsidRPr="007C40F7" w:rsidRDefault="00D86D09" w:rsidP="000726DA">
      <w:pPr>
        <w:jc w:val="both"/>
        <w:rPr>
          <w:rFonts w:ascii="Times New Roman" w:hAnsi="Times New Roman"/>
          <w:sz w:val="24"/>
          <w:szCs w:val="24"/>
          <w:lang w:val="sr-Cyrl-CS"/>
        </w:rPr>
      </w:pPr>
    </w:p>
    <w:p w:rsidR="00D86D09" w:rsidRDefault="00D86D09" w:rsidP="000726DA">
      <w:pPr>
        <w:pStyle w:val="NoSpacing"/>
        <w:jc w:val="both"/>
        <w:rPr>
          <w:rFonts w:ascii="Times New Roman" w:hAnsi="Times New Roman"/>
          <w:b/>
          <w:sz w:val="24"/>
          <w:szCs w:val="24"/>
          <w:lang w:val="sr-Cyrl-CS"/>
        </w:rPr>
      </w:pPr>
    </w:p>
    <w:p w:rsidR="000726DA" w:rsidRDefault="00001DEB" w:rsidP="000726DA">
      <w:pPr>
        <w:pStyle w:val="NoSpacing"/>
        <w:jc w:val="both"/>
        <w:rPr>
          <w:rFonts w:ascii="Times New Roman" w:hAnsi="Times New Roman"/>
          <w:b/>
          <w:sz w:val="24"/>
          <w:szCs w:val="24"/>
          <w:lang w:val="sr-Cyrl-CS"/>
        </w:rPr>
      </w:pPr>
      <w:r>
        <w:rPr>
          <w:rFonts w:ascii="Times New Roman" w:hAnsi="Times New Roman"/>
          <w:b/>
          <w:sz w:val="24"/>
          <w:szCs w:val="24"/>
          <w:lang w:val="sr-Cyrl-CS"/>
        </w:rPr>
        <w:t>Табела 26</w:t>
      </w:r>
      <w:r w:rsidR="000726DA" w:rsidRPr="00217C5E">
        <w:rPr>
          <w:rFonts w:ascii="Times New Roman" w:hAnsi="Times New Roman"/>
          <w:b/>
          <w:sz w:val="24"/>
          <w:szCs w:val="24"/>
          <w:lang w:val="sr-Cyrl-CS"/>
        </w:rPr>
        <w:t>. Приходи од свих облика пореза на имовину у односу на укупне порске приходе 2000-2010</w:t>
      </w:r>
      <w:r w:rsidR="000726DA">
        <w:rPr>
          <w:rStyle w:val="FootnoteReference"/>
          <w:rFonts w:ascii="Times New Roman" w:hAnsi="Times New Roman"/>
          <w:b/>
          <w:sz w:val="24"/>
          <w:szCs w:val="24"/>
          <w:lang w:val="sr-Cyrl-CS"/>
        </w:rPr>
        <w:footnoteReference w:id="500"/>
      </w:r>
    </w:p>
    <w:p w:rsidR="00D86D09" w:rsidRDefault="00D86D09" w:rsidP="000726DA">
      <w:pPr>
        <w:pStyle w:val="NoSpacing"/>
        <w:jc w:val="both"/>
        <w:rPr>
          <w:rFonts w:ascii="Times New Roman" w:hAnsi="Times New Roman"/>
          <w:b/>
          <w:sz w:val="24"/>
          <w:szCs w:val="24"/>
          <w:lang w:val="sr-Cyrl-CS"/>
        </w:rPr>
      </w:pPr>
    </w:p>
    <w:p w:rsidR="000726DA" w:rsidRDefault="000726DA" w:rsidP="000726DA">
      <w:pPr>
        <w:pStyle w:val="NoSpacing"/>
        <w:jc w:val="both"/>
        <w:rPr>
          <w:rFonts w:ascii="Times New Roman" w:hAnsi="Times New Roman"/>
          <w:b/>
          <w:sz w:val="24"/>
          <w:szCs w:val="24"/>
          <w:lang w:val="sr-Cyrl-CS"/>
        </w:rPr>
      </w:pPr>
    </w:p>
    <w:p w:rsidR="000726DA" w:rsidRDefault="000726DA" w:rsidP="000726DA">
      <w:pPr>
        <w:pStyle w:val="NoSpacing"/>
        <w:jc w:val="both"/>
        <w:rPr>
          <w:rFonts w:ascii="Times New Roman" w:hAnsi="Times New Roman"/>
          <w:b/>
          <w:sz w:val="24"/>
          <w:szCs w:val="24"/>
          <w:lang w:val="sr-Cyrl-CS"/>
        </w:rPr>
      </w:pPr>
    </w:p>
    <w:p w:rsidR="000726DA" w:rsidRDefault="000726DA" w:rsidP="000726DA">
      <w:pPr>
        <w:pStyle w:val="NoSpacing"/>
        <w:jc w:val="both"/>
        <w:rPr>
          <w:rFonts w:ascii="Times New Roman" w:hAnsi="Times New Roman"/>
          <w:b/>
          <w:sz w:val="24"/>
          <w:szCs w:val="24"/>
          <w:lang w:val="sr-Cyrl-CS"/>
        </w:rPr>
      </w:pPr>
      <w:r>
        <w:rPr>
          <w:rFonts w:ascii="Times New Roman" w:hAnsi="Times New Roman"/>
          <w:b/>
          <w:sz w:val="24"/>
          <w:szCs w:val="24"/>
          <w:lang w:val="sr-Cyrl-CS"/>
        </w:rPr>
        <w:t>___________________________________________________________________________</w:t>
      </w:r>
    </w:p>
    <w:p w:rsidR="000726DA" w:rsidRDefault="000726DA" w:rsidP="000726DA">
      <w:pPr>
        <w:pStyle w:val="NoSpacing"/>
        <w:jc w:val="both"/>
        <w:rPr>
          <w:rFonts w:ascii="Times New Roman" w:hAnsi="Times New Roman"/>
          <w:b/>
          <w:sz w:val="24"/>
          <w:szCs w:val="24"/>
          <w:lang w:val="sr-Cyrl-CS"/>
        </w:rPr>
      </w:pPr>
    </w:p>
    <w:p w:rsidR="000726DA" w:rsidRDefault="000726DA" w:rsidP="000726DA">
      <w:pPr>
        <w:pStyle w:val="NoSpacing"/>
        <w:jc w:val="both"/>
        <w:rPr>
          <w:rFonts w:ascii="Times New Roman" w:hAnsi="Times New Roman"/>
          <w:b/>
          <w:sz w:val="24"/>
          <w:szCs w:val="24"/>
          <w:lang w:val="sr-Cyrl-CS"/>
        </w:rPr>
      </w:pPr>
      <w:r>
        <w:rPr>
          <w:rFonts w:ascii="Times New Roman" w:hAnsi="Times New Roman"/>
          <w:b/>
          <w:sz w:val="24"/>
          <w:szCs w:val="24"/>
          <w:lang w:val="sr-Cyrl-CS"/>
        </w:rPr>
        <w:t xml:space="preserve">                         </w:t>
      </w:r>
      <w:r w:rsidRPr="00EE2073">
        <w:rPr>
          <w:rFonts w:ascii="Times New Roman" w:hAnsi="Times New Roman"/>
          <w:b/>
          <w:sz w:val="24"/>
          <w:szCs w:val="24"/>
          <w:lang w:val="sr-Cyrl-CS"/>
        </w:rPr>
        <w:t xml:space="preserve">2000 </w:t>
      </w:r>
      <w:r>
        <w:rPr>
          <w:rFonts w:ascii="Times New Roman" w:hAnsi="Times New Roman"/>
          <w:b/>
          <w:sz w:val="24"/>
          <w:szCs w:val="24"/>
          <w:lang w:val="sr-Cyrl-CS"/>
        </w:rPr>
        <w:t xml:space="preserve">  </w:t>
      </w:r>
      <w:r w:rsidRPr="00EE2073">
        <w:rPr>
          <w:rFonts w:ascii="Times New Roman" w:hAnsi="Times New Roman"/>
          <w:b/>
          <w:sz w:val="24"/>
          <w:szCs w:val="24"/>
          <w:lang w:val="sr-Cyrl-CS"/>
        </w:rPr>
        <w:t xml:space="preserve">2001 </w:t>
      </w:r>
      <w:r>
        <w:rPr>
          <w:rFonts w:ascii="Times New Roman" w:hAnsi="Times New Roman"/>
          <w:b/>
          <w:sz w:val="24"/>
          <w:szCs w:val="24"/>
          <w:lang w:val="sr-Cyrl-CS"/>
        </w:rPr>
        <w:t xml:space="preserve">  </w:t>
      </w:r>
      <w:r w:rsidRPr="00EE2073">
        <w:rPr>
          <w:rFonts w:ascii="Times New Roman" w:hAnsi="Times New Roman"/>
          <w:b/>
          <w:sz w:val="24"/>
          <w:szCs w:val="24"/>
          <w:lang w:val="sr-Cyrl-CS"/>
        </w:rPr>
        <w:t xml:space="preserve">2002 </w:t>
      </w:r>
      <w:r>
        <w:rPr>
          <w:rFonts w:ascii="Times New Roman" w:hAnsi="Times New Roman"/>
          <w:b/>
          <w:sz w:val="24"/>
          <w:szCs w:val="24"/>
          <w:lang w:val="sr-Cyrl-CS"/>
        </w:rPr>
        <w:t xml:space="preserve">  </w:t>
      </w:r>
      <w:r w:rsidRPr="00EE2073">
        <w:rPr>
          <w:rFonts w:ascii="Times New Roman" w:hAnsi="Times New Roman"/>
          <w:b/>
          <w:sz w:val="24"/>
          <w:szCs w:val="24"/>
          <w:lang w:val="sr-Cyrl-CS"/>
        </w:rPr>
        <w:t xml:space="preserve">2003 </w:t>
      </w:r>
      <w:r>
        <w:rPr>
          <w:rFonts w:ascii="Times New Roman" w:hAnsi="Times New Roman"/>
          <w:b/>
          <w:sz w:val="24"/>
          <w:szCs w:val="24"/>
          <w:lang w:val="sr-Cyrl-CS"/>
        </w:rPr>
        <w:t xml:space="preserve">  </w:t>
      </w:r>
      <w:r w:rsidRPr="00EE2073">
        <w:rPr>
          <w:rFonts w:ascii="Times New Roman" w:hAnsi="Times New Roman"/>
          <w:b/>
          <w:sz w:val="24"/>
          <w:szCs w:val="24"/>
          <w:lang w:val="sr-Cyrl-CS"/>
        </w:rPr>
        <w:t xml:space="preserve">2004 </w:t>
      </w:r>
      <w:r>
        <w:rPr>
          <w:rFonts w:ascii="Times New Roman" w:hAnsi="Times New Roman"/>
          <w:b/>
          <w:sz w:val="24"/>
          <w:szCs w:val="24"/>
          <w:lang w:val="sr-Cyrl-CS"/>
        </w:rPr>
        <w:t xml:space="preserve">  </w:t>
      </w:r>
      <w:r w:rsidRPr="00EE2073">
        <w:rPr>
          <w:rFonts w:ascii="Times New Roman" w:hAnsi="Times New Roman"/>
          <w:b/>
          <w:sz w:val="24"/>
          <w:szCs w:val="24"/>
          <w:lang w:val="sr-Cyrl-CS"/>
        </w:rPr>
        <w:t xml:space="preserve">2005 </w:t>
      </w:r>
      <w:r>
        <w:rPr>
          <w:rFonts w:ascii="Times New Roman" w:hAnsi="Times New Roman"/>
          <w:b/>
          <w:sz w:val="24"/>
          <w:szCs w:val="24"/>
          <w:lang w:val="sr-Cyrl-CS"/>
        </w:rPr>
        <w:t xml:space="preserve">  </w:t>
      </w:r>
      <w:r w:rsidRPr="00EE2073">
        <w:rPr>
          <w:rFonts w:ascii="Times New Roman" w:hAnsi="Times New Roman"/>
          <w:b/>
          <w:sz w:val="24"/>
          <w:szCs w:val="24"/>
          <w:lang w:val="sr-Cyrl-CS"/>
        </w:rPr>
        <w:t xml:space="preserve">2006 </w:t>
      </w:r>
      <w:r>
        <w:rPr>
          <w:rFonts w:ascii="Times New Roman" w:hAnsi="Times New Roman"/>
          <w:b/>
          <w:sz w:val="24"/>
          <w:szCs w:val="24"/>
          <w:lang w:val="sr-Cyrl-CS"/>
        </w:rPr>
        <w:t xml:space="preserve">  </w:t>
      </w:r>
      <w:r w:rsidRPr="00EE2073">
        <w:rPr>
          <w:rFonts w:ascii="Times New Roman" w:hAnsi="Times New Roman"/>
          <w:b/>
          <w:sz w:val="24"/>
          <w:szCs w:val="24"/>
          <w:lang w:val="sr-Cyrl-CS"/>
        </w:rPr>
        <w:t xml:space="preserve">2007 </w:t>
      </w:r>
      <w:r>
        <w:rPr>
          <w:rFonts w:ascii="Times New Roman" w:hAnsi="Times New Roman"/>
          <w:b/>
          <w:sz w:val="24"/>
          <w:szCs w:val="24"/>
          <w:lang w:val="sr-Cyrl-CS"/>
        </w:rPr>
        <w:t xml:space="preserve">  </w:t>
      </w:r>
      <w:r w:rsidRPr="00EE2073">
        <w:rPr>
          <w:rFonts w:ascii="Times New Roman" w:hAnsi="Times New Roman"/>
          <w:b/>
          <w:sz w:val="24"/>
          <w:szCs w:val="24"/>
          <w:lang w:val="sr-Cyrl-CS"/>
        </w:rPr>
        <w:t xml:space="preserve">2008 </w:t>
      </w:r>
      <w:r>
        <w:rPr>
          <w:rFonts w:ascii="Times New Roman" w:hAnsi="Times New Roman"/>
          <w:b/>
          <w:sz w:val="24"/>
          <w:szCs w:val="24"/>
          <w:lang w:val="sr-Cyrl-CS"/>
        </w:rPr>
        <w:t xml:space="preserve">  </w:t>
      </w:r>
      <w:r w:rsidRPr="00EE2073">
        <w:rPr>
          <w:rFonts w:ascii="Times New Roman" w:hAnsi="Times New Roman"/>
          <w:b/>
          <w:sz w:val="24"/>
          <w:szCs w:val="24"/>
          <w:lang w:val="sr-Cyrl-CS"/>
        </w:rPr>
        <w:t xml:space="preserve">2009 </w:t>
      </w:r>
      <w:r>
        <w:rPr>
          <w:rFonts w:ascii="Times New Roman" w:hAnsi="Times New Roman"/>
          <w:b/>
          <w:sz w:val="24"/>
          <w:szCs w:val="24"/>
          <w:lang w:val="sr-Cyrl-CS"/>
        </w:rPr>
        <w:t xml:space="preserve">  </w:t>
      </w:r>
      <w:r w:rsidRPr="00EE2073">
        <w:rPr>
          <w:rFonts w:ascii="Times New Roman" w:hAnsi="Times New Roman"/>
          <w:b/>
          <w:sz w:val="24"/>
          <w:szCs w:val="24"/>
          <w:lang w:val="sr-Cyrl-CS"/>
        </w:rPr>
        <w:t>2010</w:t>
      </w:r>
    </w:p>
    <w:p w:rsidR="000726DA" w:rsidRPr="00EE2073" w:rsidRDefault="000726DA" w:rsidP="000726DA">
      <w:pPr>
        <w:pStyle w:val="NoSpacing"/>
        <w:jc w:val="both"/>
        <w:rPr>
          <w:rFonts w:ascii="Times New Roman" w:hAnsi="Times New Roman"/>
          <w:b/>
          <w:sz w:val="24"/>
          <w:szCs w:val="24"/>
          <w:lang w:val="sr-Cyrl-CS"/>
        </w:rPr>
      </w:pPr>
      <w:r>
        <w:rPr>
          <w:rFonts w:ascii="Times New Roman" w:hAnsi="Times New Roman"/>
          <w:b/>
          <w:sz w:val="24"/>
          <w:szCs w:val="24"/>
          <w:lang w:val="sr-Cyrl-CS"/>
        </w:rPr>
        <w:t>___________________________________________________________________________</w:t>
      </w:r>
    </w:p>
    <w:p w:rsidR="000726DA" w:rsidRDefault="000726DA" w:rsidP="000726DA">
      <w:pPr>
        <w:pStyle w:val="NoSpacing"/>
        <w:jc w:val="both"/>
        <w:rPr>
          <w:rFonts w:ascii="Times New Roman" w:hAnsi="Times New Roman"/>
          <w:sz w:val="24"/>
          <w:szCs w:val="24"/>
          <w:lang w:val="sr-Cyrl-CS"/>
        </w:rPr>
      </w:pPr>
      <w:r w:rsidRPr="00353FD6">
        <w:rPr>
          <w:rFonts w:ascii="Times New Roman" w:hAnsi="Times New Roman"/>
          <w:b/>
          <w:sz w:val="24"/>
          <w:szCs w:val="24"/>
          <w:lang w:val="sr-Cyrl-CS"/>
        </w:rPr>
        <w:t>БУГАРСКА</w:t>
      </w:r>
      <w:r>
        <w:rPr>
          <w:rFonts w:ascii="Times New Roman" w:hAnsi="Times New Roman"/>
          <w:b/>
          <w:sz w:val="24"/>
          <w:szCs w:val="24"/>
          <w:lang w:val="sr-Cyrl-CS"/>
        </w:rPr>
        <w:t xml:space="preserve">   </w:t>
      </w:r>
      <w:r w:rsidRPr="00353FD6">
        <w:rPr>
          <w:rFonts w:ascii="Times New Roman" w:hAnsi="Times New Roman"/>
          <w:sz w:val="24"/>
          <w:szCs w:val="24"/>
          <w:lang w:val="sr-Cyrl-CS"/>
        </w:rPr>
        <w:t xml:space="preserve">0.8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0.8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1.0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1.1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1.1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1.3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1.9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2.1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2.2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1.9 </w:t>
      </w:r>
      <w:r>
        <w:rPr>
          <w:rFonts w:ascii="Times New Roman" w:hAnsi="Times New Roman"/>
          <w:sz w:val="24"/>
          <w:szCs w:val="24"/>
          <w:lang w:val="sr-Cyrl-CS"/>
        </w:rPr>
        <w:t xml:space="preserve">     </w:t>
      </w:r>
      <w:r w:rsidRPr="00353FD6">
        <w:rPr>
          <w:rFonts w:ascii="Times New Roman" w:hAnsi="Times New Roman"/>
          <w:sz w:val="24"/>
          <w:szCs w:val="24"/>
          <w:lang w:val="sr-Cyrl-CS"/>
        </w:rPr>
        <w:t>1.9</w:t>
      </w:r>
    </w:p>
    <w:p w:rsidR="000726DA" w:rsidRPr="00353FD6" w:rsidRDefault="000726DA" w:rsidP="000726DA">
      <w:pPr>
        <w:pStyle w:val="NoSpacing"/>
        <w:jc w:val="both"/>
        <w:rPr>
          <w:rFonts w:ascii="Times New Roman" w:hAnsi="Times New Roman"/>
          <w:sz w:val="24"/>
          <w:szCs w:val="24"/>
          <w:lang w:val="sr-Cyrl-CS"/>
        </w:rPr>
      </w:pPr>
      <w:r>
        <w:rPr>
          <w:rFonts w:ascii="Times New Roman" w:hAnsi="Times New Roman"/>
          <w:sz w:val="24"/>
          <w:szCs w:val="24"/>
          <w:lang w:val="sr-Cyrl-CS"/>
        </w:rPr>
        <w:t>___________________________________________________________________________</w:t>
      </w:r>
    </w:p>
    <w:p w:rsidR="000726DA" w:rsidRDefault="000726DA" w:rsidP="000726DA">
      <w:pPr>
        <w:pStyle w:val="NoSpacing"/>
        <w:jc w:val="both"/>
        <w:rPr>
          <w:rFonts w:ascii="Times New Roman" w:hAnsi="Times New Roman"/>
          <w:sz w:val="24"/>
          <w:szCs w:val="24"/>
          <w:lang w:val="sr-Cyrl-CS"/>
        </w:rPr>
      </w:pPr>
      <w:r w:rsidRPr="00436A0B">
        <w:rPr>
          <w:rFonts w:ascii="Times New Roman" w:hAnsi="Times New Roman"/>
          <w:b/>
          <w:sz w:val="24"/>
          <w:szCs w:val="24"/>
          <w:lang w:val="sr-Cyrl-CS"/>
        </w:rPr>
        <w:t>ЧЕШКА</w:t>
      </w:r>
      <w:r w:rsidRPr="00353FD6">
        <w:rPr>
          <w:rFonts w:ascii="Times New Roman" w:hAnsi="Times New Roman"/>
          <w:sz w:val="24"/>
          <w:szCs w:val="24"/>
          <w:lang w:val="sr-Cyrl-CS"/>
        </w:rPr>
        <w:t xml:space="preserve">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1.5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1.5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1.5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1.5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1.1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1.2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1.2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1.2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1.2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1.2 </w:t>
      </w:r>
      <w:r>
        <w:rPr>
          <w:rFonts w:ascii="Times New Roman" w:hAnsi="Times New Roman"/>
          <w:sz w:val="24"/>
          <w:szCs w:val="24"/>
          <w:lang w:val="sr-Cyrl-CS"/>
        </w:rPr>
        <w:t xml:space="preserve">     </w:t>
      </w:r>
      <w:r w:rsidRPr="00353FD6">
        <w:rPr>
          <w:rFonts w:ascii="Times New Roman" w:hAnsi="Times New Roman"/>
          <w:sz w:val="24"/>
          <w:szCs w:val="24"/>
          <w:lang w:val="sr-Cyrl-CS"/>
        </w:rPr>
        <w:t>1.3</w:t>
      </w:r>
    </w:p>
    <w:p w:rsidR="000726DA" w:rsidRDefault="000726DA" w:rsidP="000726DA">
      <w:pPr>
        <w:pStyle w:val="NoSpacing"/>
        <w:jc w:val="both"/>
        <w:rPr>
          <w:rFonts w:ascii="Times New Roman" w:hAnsi="Times New Roman"/>
          <w:sz w:val="24"/>
          <w:szCs w:val="24"/>
          <w:lang w:val="sr-Cyrl-CS"/>
        </w:rPr>
      </w:pPr>
      <w:r>
        <w:rPr>
          <w:rFonts w:ascii="Times New Roman" w:hAnsi="Times New Roman"/>
          <w:sz w:val="24"/>
          <w:szCs w:val="24"/>
          <w:lang w:val="sr-Cyrl-CS"/>
        </w:rPr>
        <w:t>___________________________________________________________________________</w:t>
      </w:r>
    </w:p>
    <w:p w:rsidR="000726DA" w:rsidRPr="00353FD6" w:rsidRDefault="000726DA" w:rsidP="000726DA">
      <w:pPr>
        <w:pStyle w:val="NoSpacing"/>
        <w:jc w:val="both"/>
        <w:rPr>
          <w:rFonts w:ascii="Times New Roman" w:hAnsi="Times New Roman"/>
          <w:sz w:val="24"/>
          <w:szCs w:val="24"/>
          <w:lang w:val="sr-Cyrl-CS"/>
        </w:rPr>
      </w:pPr>
    </w:p>
    <w:p w:rsidR="000726DA" w:rsidRDefault="000726DA" w:rsidP="000726DA">
      <w:pPr>
        <w:pStyle w:val="NoSpacing"/>
        <w:jc w:val="both"/>
        <w:rPr>
          <w:rFonts w:ascii="Times New Roman" w:hAnsi="Times New Roman"/>
          <w:sz w:val="24"/>
          <w:szCs w:val="24"/>
          <w:lang w:val="sr-Cyrl-CS"/>
        </w:rPr>
      </w:pPr>
      <w:r w:rsidRPr="00436A0B">
        <w:rPr>
          <w:rFonts w:ascii="Times New Roman" w:hAnsi="Times New Roman"/>
          <w:b/>
          <w:sz w:val="24"/>
          <w:szCs w:val="24"/>
          <w:lang w:val="sr-Cyrl-CS"/>
        </w:rPr>
        <w:t>ФРАНЦУСКА</w:t>
      </w:r>
      <w:r w:rsidRPr="00353FD6">
        <w:rPr>
          <w:rFonts w:ascii="Times New Roman" w:hAnsi="Times New Roman"/>
          <w:sz w:val="24"/>
          <w:szCs w:val="24"/>
          <w:lang w:val="sr-Cyrl-CS"/>
        </w:rPr>
        <w:t xml:space="preserve"> 6.6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6.6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6.8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7.0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7.3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7.5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7.5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7.7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7.5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7.9 </w:t>
      </w:r>
      <w:r>
        <w:rPr>
          <w:rFonts w:ascii="Times New Roman" w:hAnsi="Times New Roman"/>
          <w:sz w:val="24"/>
          <w:szCs w:val="24"/>
          <w:lang w:val="sr-Cyrl-CS"/>
        </w:rPr>
        <w:t xml:space="preserve">     </w:t>
      </w:r>
      <w:r w:rsidRPr="00353FD6">
        <w:rPr>
          <w:rFonts w:ascii="Times New Roman" w:hAnsi="Times New Roman"/>
          <w:sz w:val="24"/>
          <w:szCs w:val="24"/>
          <w:lang w:val="sr-Cyrl-CS"/>
        </w:rPr>
        <w:t>8.1</w:t>
      </w:r>
    </w:p>
    <w:p w:rsidR="000726DA" w:rsidRDefault="000726DA" w:rsidP="000726DA">
      <w:pPr>
        <w:pStyle w:val="NoSpacing"/>
        <w:jc w:val="both"/>
        <w:rPr>
          <w:rFonts w:ascii="Times New Roman" w:hAnsi="Times New Roman"/>
          <w:sz w:val="24"/>
          <w:szCs w:val="24"/>
          <w:lang w:val="sr-Cyrl-CS"/>
        </w:rPr>
      </w:pPr>
      <w:r>
        <w:rPr>
          <w:rFonts w:ascii="Times New Roman" w:hAnsi="Times New Roman"/>
          <w:sz w:val="24"/>
          <w:szCs w:val="24"/>
          <w:lang w:val="sr-Cyrl-CS"/>
        </w:rPr>
        <w:t>___________________________________________________________________________</w:t>
      </w:r>
    </w:p>
    <w:p w:rsidR="000726DA" w:rsidRPr="00353FD6" w:rsidRDefault="000726DA" w:rsidP="000726DA">
      <w:pPr>
        <w:pStyle w:val="NoSpacing"/>
        <w:jc w:val="both"/>
        <w:rPr>
          <w:rFonts w:ascii="Times New Roman" w:hAnsi="Times New Roman"/>
          <w:sz w:val="24"/>
          <w:szCs w:val="24"/>
          <w:lang w:val="sr-Cyrl-CS"/>
        </w:rPr>
      </w:pPr>
    </w:p>
    <w:p w:rsidR="000726DA" w:rsidRDefault="000726DA" w:rsidP="000726DA">
      <w:pPr>
        <w:pStyle w:val="NoSpacing"/>
        <w:jc w:val="both"/>
        <w:rPr>
          <w:rFonts w:ascii="Times New Roman" w:hAnsi="Times New Roman"/>
          <w:sz w:val="24"/>
          <w:szCs w:val="24"/>
          <w:lang w:val="sr-Cyrl-CS"/>
        </w:rPr>
      </w:pPr>
      <w:r w:rsidRPr="00436A0B">
        <w:rPr>
          <w:rFonts w:ascii="Times New Roman" w:hAnsi="Times New Roman"/>
          <w:b/>
          <w:sz w:val="24"/>
          <w:szCs w:val="24"/>
          <w:lang w:val="sr-Cyrl-CS"/>
        </w:rPr>
        <w:t>ИТАЛИЈА</w:t>
      </w:r>
      <w:r w:rsidRPr="00353FD6">
        <w:rPr>
          <w:rFonts w:ascii="Times New Roman" w:hAnsi="Times New Roman"/>
          <w:sz w:val="24"/>
          <w:szCs w:val="24"/>
          <w:lang w:val="sr-Cyrl-CS"/>
        </w:rPr>
        <w:t xml:space="preserve">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4.6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4.3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4.6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4.4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4.6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4.6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4.8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4.7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4.1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5.2 </w:t>
      </w:r>
      <w:r>
        <w:rPr>
          <w:rFonts w:ascii="Times New Roman" w:hAnsi="Times New Roman"/>
          <w:sz w:val="24"/>
          <w:szCs w:val="24"/>
          <w:lang w:val="sr-Cyrl-CS"/>
        </w:rPr>
        <w:t xml:space="preserve">    </w:t>
      </w:r>
      <w:r w:rsidRPr="00353FD6">
        <w:rPr>
          <w:rFonts w:ascii="Times New Roman" w:hAnsi="Times New Roman"/>
          <w:sz w:val="24"/>
          <w:szCs w:val="24"/>
          <w:lang w:val="sr-Cyrl-CS"/>
        </w:rPr>
        <w:t>4.4</w:t>
      </w:r>
    </w:p>
    <w:p w:rsidR="000726DA" w:rsidRPr="00353FD6" w:rsidRDefault="000726DA" w:rsidP="000726DA">
      <w:pPr>
        <w:pStyle w:val="NoSpacing"/>
        <w:jc w:val="both"/>
        <w:rPr>
          <w:rFonts w:ascii="Times New Roman" w:hAnsi="Times New Roman"/>
          <w:sz w:val="24"/>
          <w:szCs w:val="24"/>
          <w:lang w:val="sr-Cyrl-CS"/>
        </w:rPr>
      </w:pPr>
      <w:r>
        <w:rPr>
          <w:rFonts w:ascii="Times New Roman" w:hAnsi="Times New Roman"/>
          <w:sz w:val="24"/>
          <w:szCs w:val="24"/>
          <w:lang w:val="sr-Cyrl-CS"/>
        </w:rPr>
        <w:t>___________________________________________________________________________</w:t>
      </w:r>
    </w:p>
    <w:p w:rsidR="000726DA" w:rsidRDefault="000726DA" w:rsidP="000726DA">
      <w:pPr>
        <w:pStyle w:val="NoSpacing"/>
        <w:jc w:val="both"/>
        <w:rPr>
          <w:rFonts w:ascii="Times New Roman" w:hAnsi="Times New Roman"/>
          <w:sz w:val="24"/>
          <w:szCs w:val="24"/>
          <w:lang w:val="sr-Cyrl-CS"/>
        </w:rPr>
      </w:pPr>
      <w:r w:rsidRPr="00436A0B">
        <w:rPr>
          <w:rFonts w:ascii="Times New Roman" w:hAnsi="Times New Roman"/>
          <w:b/>
          <w:sz w:val="24"/>
          <w:szCs w:val="24"/>
          <w:lang w:val="sr-Cyrl-CS"/>
        </w:rPr>
        <w:t>МАЂАРСКА</w:t>
      </w:r>
      <w:r w:rsidRPr="00353FD6">
        <w:rPr>
          <w:rFonts w:ascii="Times New Roman" w:hAnsi="Times New Roman"/>
          <w:sz w:val="24"/>
          <w:szCs w:val="24"/>
          <w:lang w:val="sr-Cyrl-CS"/>
        </w:rPr>
        <w:t xml:space="preserve"> 1.7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1.8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1.8 </w:t>
      </w:r>
      <w:r>
        <w:rPr>
          <w:rFonts w:ascii="Times New Roman" w:hAnsi="Times New Roman"/>
          <w:sz w:val="24"/>
          <w:szCs w:val="24"/>
          <w:lang w:val="sr-Cyrl-CS"/>
        </w:rPr>
        <w:t xml:space="preserve">     </w:t>
      </w:r>
      <w:r w:rsidRPr="00353FD6">
        <w:rPr>
          <w:rFonts w:ascii="Times New Roman" w:hAnsi="Times New Roman"/>
          <w:sz w:val="24"/>
          <w:szCs w:val="24"/>
          <w:lang w:val="sr-Cyrl-CS"/>
        </w:rPr>
        <w:t>2.1</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 2.2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2.2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2.2 </w:t>
      </w:r>
      <w:r>
        <w:rPr>
          <w:rFonts w:ascii="Times New Roman" w:hAnsi="Times New Roman"/>
          <w:sz w:val="24"/>
          <w:szCs w:val="24"/>
          <w:lang w:val="sr-Cyrl-CS"/>
        </w:rPr>
        <w:t xml:space="preserve">     </w:t>
      </w:r>
      <w:r w:rsidRPr="00353FD6">
        <w:rPr>
          <w:rFonts w:ascii="Times New Roman" w:hAnsi="Times New Roman"/>
          <w:sz w:val="24"/>
          <w:szCs w:val="24"/>
          <w:lang w:val="sr-Cyrl-CS"/>
        </w:rPr>
        <w:t>2.0</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 2.1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2.0 </w:t>
      </w:r>
      <w:r>
        <w:rPr>
          <w:rFonts w:ascii="Times New Roman" w:hAnsi="Times New Roman"/>
          <w:sz w:val="24"/>
          <w:szCs w:val="24"/>
          <w:lang w:val="sr-Cyrl-CS"/>
        </w:rPr>
        <w:t xml:space="preserve">    </w:t>
      </w:r>
      <w:r w:rsidRPr="00353FD6">
        <w:rPr>
          <w:rFonts w:ascii="Times New Roman" w:hAnsi="Times New Roman"/>
          <w:sz w:val="24"/>
          <w:szCs w:val="24"/>
          <w:lang w:val="sr-Cyrl-CS"/>
        </w:rPr>
        <w:t>3.0</w:t>
      </w:r>
    </w:p>
    <w:p w:rsidR="000726DA" w:rsidRDefault="000726DA" w:rsidP="000726DA">
      <w:pPr>
        <w:pStyle w:val="NoSpacing"/>
        <w:jc w:val="both"/>
        <w:rPr>
          <w:rFonts w:ascii="Times New Roman" w:hAnsi="Times New Roman"/>
          <w:sz w:val="24"/>
          <w:szCs w:val="24"/>
          <w:lang w:val="sr-Cyrl-CS"/>
        </w:rPr>
      </w:pPr>
      <w:r>
        <w:rPr>
          <w:rFonts w:ascii="Times New Roman" w:hAnsi="Times New Roman"/>
          <w:sz w:val="24"/>
          <w:szCs w:val="24"/>
          <w:lang w:val="sr-Cyrl-CS"/>
        </w:rPr>
        <w:t>___________________________________________________________________________</w:t>
      </w:r>
    </w:p>
    <w:p w:rsidR="000726DA" w:rsidRPr="00353FD6" w:rsidRDefault="000726DA" w:rsidP="000726DA">
      <w:pPr>
        <w:pStyle w:val="NoSpacing"/>
        <w:jc w:val="both"/>
        <w:rPr>
          <w:rFonts w:ascii="Times New Roman" w:hAnsi="Times New Roman"/>
          <w:sz w:val="24"/>
          <w:szCs w:val="24"/>
          <w:lang w:val="sr-Cyrl-CS"/>
        </w:rPr>
      </w:pPr>
    </w:p>
    <w:p w:rsidR="000726DA" w:rsidRDefault="000726DA" w:rsidP="000726DA">
      <w:pPr>
        <w:pStyle w:val="NoSpacing"/>
        <w:jc w:val="both"/>
        <w:rPr>
          <w:rFonts w:ascii="Times New Roman" w:hAnsi="Times New Roman"/>
          <w:sz w:val="24"/>
          <w:szCs w:val="24"/>
          <w:lang w:val="sr-Cyrl-CS"/>
        </w:rPr>
      </w:pPr>
      <w:r w:rsidRPr="00436A0B">
        <w:rPr>
          <w:rFonts w:ascii="Times New Roman" w:hAnsi="Times New Roman"/>
          <w:b/>
          <w:sz w:val="24"/>
          <w:szCs w:val="24"/>
          <w:lang w:val="sr-Cyrl-CS"/>
        </w:rPr>
        <w:t>АУСТРИЈА</w:t>
      </w:r>
      <w:r w:rsidRPr="00353FD6">
        <w:rPr>
          <w:rFonts w:ascii="Times New Roman" w:hAnsi="Times New Roman"/>
          <w:sz w:val="24"/>
          <w:szCs w:val="24"/>
          <w:lang w:val="sr-Cyrl-CS"/>
        </w:rPr>
        <w:t xml:space="preserve">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1.3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1.2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1.2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1.2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1.2 </w:t>
      </w:r>
      <w:r>
        <w:rPr>
          <w:rFonts w:ascii="Times New Roman" w:hAnsi="Times New Roman"/>
          <w:sz w:val="24"/>
          <w:szCs w:val="24"/>
          <w:lang w:val="sr-Cyrl-CS"/>
        </w:rPr>
        <w:t xml:space="preserve">     </w:t>
      </w:r>
      <w:r w:rsidRPr="00353FD6">
        <w:rPr>
          <w:rFonts w:ascii="Times New Roman" w:hAnsi="Times New Roman"/>
          <w:sz w:val="24"/>
          <w:szCs w:val="24"/>
          <w:lang w:val="sr-Cyrl-CS"/>
        </w:rPr>
        <w:t>1.3</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 1.3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1.3 </w:t>
      </w:r>
      <w:r>
        <w:rPr>
          <w:rFonts w:ascii="Times New Roman" w:hAnsi="Times New Roman"/>
          <w:sz w:val="24"/>
          <w:szCs w:val="24"/>
          <w:lang w:val="sr-Cyrl-CS"/>
        </w:rPr>
        <w:t xml:space="preserve">     </w:t>
      </w:r>
      <w:r w:rsidRPr="00353FD6">
        <w:rPr>
          <w:rFonts w:ascii="Times New Roman" w:hAnsi="Times New Roman"/>
          <w:sz w:val="24"/>
          <w:szCs w:val="24"/>
          <w:lang w:val="sr-Cyrl-CS"/>
        </w:rPr>
        <w:t>1.2</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 </w:t>
      </w:r>
      <w:r>
        <w:rPr>
          <w:rFonts w:ascii="Times New Roman" w:hAnsi="Times New Roman"/>
          <w:sz w:val="24"/>
          <w:szCs w:val="24"/>
          <w:lang w:val="sr-Cyrl-CS"/>
        </w:rPr>
        <w:t xml:space="preserve"> </w:t>
      </w:r>
      <w:r w:rsidRPr="00353FD6">
        <w:rPr>
          <w:rFonts w:ascii="Times New Roman" w:hAnsi="Times New Roman"/>
          <w:sz w:val="24"/>
          <w:szCs w:val="24"/>
          <w:lang w:val="sr-Cyrl-CS"/>
        </w:rPr>
        <w:t>1.2</w:t>
      </w:r>
      <w:r>
        <w:rPr>
          <w:rFonts w:ascii="Times New Roman" w:hAnsi="Times New Roman"/>
          <w:sz w:val="24"/>
          <w:szCs w:val="24"/>
          <w:lang w:val="sr-Cyrl-CS"/>
        </w:rPr>
        <w:t xml:space="preserve">     </w:t>
      </w:r>
      <w:r w:rsidRPr="00353FD6">
        <w:rPr>
          <w:rFonts w:ascii="Times New Roman" w:hAnsi="Times New Roman"/>
          <w:sz w:val="24"/>
          <w:szCs w:val="24"/>
          <w:lang w:val="sr-Cyrl-CS"/>
        </w:rPr>
        <w:t>1.2</w:t>
      </w:r>
    </w:p>
    <w:p w:rsidR="000726DA" w:rsidRPr="00353FD6" w:rsidRDefault="000726DA" w:rsidP="000726DA">
      <w:pPr>
        <w:pStyle w:val="NoSpacing"/>
        <w:jc w:val="both"/>
        <w:rPr>
          <w:rFonts w:ascii="Times New Roman" w:hAnsi="Times New Roman"/>
          <w:sz w:val="24"/>
          <w:szCs w:val="24"/>
          <w:lang w:val="sr-Cyrl-CS"/>
        </w:rPr>
      </w:pPr>
      <w:r>
        <w:rPr>
          <w:rFonts w:ascii="Times New Roman" w:hAnsi="Times New Roman"/>
          <w:sz w:val="24"/>
          <w:szCs w:val="24"/>
          <w:lang w:val="sr-Cyrl-CS"/>
        </w:rPr>
        <w:t>___________________________________________________________________________</w:t>
      </w:r>
    </w:p>
    <w:p w:rsidR="000726DA" w:rsidRDefault="000726DA" w:rsidP="000726DA">
      <w:pPr>
        <w:pStyle w:val="NoSpacing"/>
        <w:jc w:val="both"/>
        <w:rPr>
          <w:rFonts w:ascii="Times New Roman" w:hAnsi="Times New Roman"/>
          <w:sz w:val="24"/>
          <w:szCs w:val="24"/>
          <w:lang w:val="sr-Cyrl-CS"/>
        </w:rPr>
      </w:pPr>
      <w:r w:rsidRPr="00436A0B">
        <w:rPr>
          <w:rFonts w:ascii="Times New Roman" w:hAnsi="Times New Roman"/>
          <w:b/>
          <w:sz w:val="24"/>
          <w:szCs w:val="24"/>
          <w:lang w:val="sr-Cyrl-CS"/>
        </w:rPr>
        <w:t>ПОЉСКА</w:t>
      </w:r>
      <w:r w:rsidRPr="00353FD6">
        <w:rPr>
          <w:rFonts w:ascii="Times New Roman" w:hAnsi="Times New Roman"/>
          <w:sz w:val="24"/>
          <w:szCs w:val="24"/>
          <w:lang w:val="sr-Cyrl-CS"/>
        </w:rPr>
        <w:t xml:space="preserve">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3.5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4.0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4.4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4.2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4.2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4.0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3.7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3.4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3.5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3.8 </w:t>
      </w:r>
      <w:r>
        <w:rPr>
          <w:rFonts w:ascii="Times New Roman" w:hAnsi="Times New Roman"/>
          <w:sz w:val="24"/>
          <w:szCs w:val="24"/>
          <w:lang w:val="sr-Cyrl-CS"/>
        </w:rPr>
        <w:t xml:space="preserve">   </w:t>
      </w:r>
      <w:r w:rsidRPr="00353FD6">
        <w:rPr>
          <w:rFonts w:ascii="Times New Roman" w:hAnsi="Times New Roman"/>
          <w:sz w:val="24"/>
          <w:szCs w:val="24"/>
          <w:lang w:val="sr-Cyrl-CS"/>
        </w:rPr>
        <w:t>3.7</w:t>
      </w:r>
    </w:p>
    <w:p w:rsidR="000726DA" w:rsidRPr="00353FD6" w:rsidRDefault="000726DA" w:rsidP="000726DA">
      <w:pPr>
        <w:pStyle w:val="NoSpacing"/>
        <w:jc w:val="both"/>
        <w:rPr>
          <w:rFonts w:ascii="Times New Roman" w:hAnsi="Times New Roman"/>
          <w:sz w:val="24"/>
          <w:szCs w:val="24"/>
          <w:lang w:val="sr-Cyrl-CS"/>
        </w:rPr>
      </w:pPr>
      <w:r>
        <w:rPr>
          <w:rFonts w:ascii="Times New Roman" w:hAnsi="Times New Roman"/>
          <w:sz w:val="24"/>
          <w:szCs w:val="24"/>
          <w:lang w:val="sr-Cyrl-CS"/>
        </w:rPr>
        <w:t>___________________________________________________________________________</w:t>
      </w:r>
    </w:p>
    <w:p w:rsidR="000726DA" w:rsidRDefault="000726DA" w:rsidP="000726DA">
      <w:pPr>
        <w:pStyle w:val="NoSpacing"/>
        <w:jc w:val="both"/>
        <w:rPr>
          <w:rFonts w:ascii="Times New Roman" w:hAnsi="Times New Roman"/>
          <w:sz w:val="24"/>
          <w:szCs w:val="24"/>
          <w:lang w:val="sr-Cyrl-CS"/>
        </w:rPr>
      </w:pPr>
      <w:r w:rsidRPr="00436A0B">
        <w:rPr>
          <w:rFonts w:ascii="Times New Roman" w:hAnsi="Times New Roman"/>
          <w:b/>
          <w:sz w:val="24"/>
          <w:szCs w:val="24"/>
          <w:lang w:val="sr-Cyrl-CS"/>
        </w:rPr>
        <w:t>РУМУНИЈА</w:t>
      </w:r>
      <w:r w:rsidRPr="00353FD6">
        <w:rPr>
          <w:rFonts w:ascii="Times New Roman" w:hAnsi="Times New Roman"/>
          <w:sz w:val="24"/>
          <w:szCs w:val="24"/>
          <w:lang w:val="sr-Cyrl-CS"/>
        </w:rPr>
        <w:t xml:space="preserve">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2.2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2.5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2.4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2.7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2.6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2.5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2.9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3.3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3.0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2.9 </w:t>
      </w:r>
      <w:r>
        <w:rPr>
          <w:rFonts w:ascii="Times New Roman" w:hAnsi="Times New Roman"/>
          <w:sz w:val="24"/>
          <w:szCs w:val="24"/>
          <w:lang w:val="sr-Cyrl-CS"/>
        </w:rPr>
        <w:t xml:space="preserve">    </w:t>
      </w:r>
      <w:r w:rsidRPr="00353FD6">
        <w:rPr>
          <w:rFonts w:ascii="Times New Roman" w:hAnsi="Times New Roman"/>
          <w:sz w:val="24"/>
          <w:szCs w:val="24"/>
          <w:lang w:val="sr-Cyrl-CS"/>
        </w:rPr>
        <w:t>3.1</w:t>
      </w:r>
    </w:p>
    <w:p w:rsidR="000726DA" w:rsidRPr="00353FD6" w:rsidRDefault="000726DA" w:rsidP="000726DA">
      <w:pPr>
        <w:pStyle w:val="NoSpacing"/>
        <w:jc w:val="both"/>
        <w:rPr>
          <w:rFonts w:ascii="Times New Roman" w:hAnsi="Times New Roman"/>
          <w:sz w:val="24"/>
          <w:szCs w:val="24"/>
          <w:lang w:val="sr-Cyrl-CS"/>
        </w:rPr>
      </w:pPr>
      <w:r>
        <w:rPr>
          <w:rFonts w:ascii="Times New Roman" w:hAnsi="Times New Roman"/>
          <w:sz w:val="24"/>
          <w:szCs w:val="24"/>
          <w:lang w:val="sr-Cyrl-CS"/>
        </w:rPr>
        <w:t>___________________________________________________________________________</w:t>
      </w:r>
    </w:p>
    <w:p w:rsidR="000726DA" w:rsidRPr="00436A0B" w:rsidRDefault="000726DA" w:rsidP="000726DA">
      <w:pPr>
        <w:pStyle w:val="NoSpacing"/>
        <w:jc w:val="both"/>
        <w:rPr>
          <w:rFonts w:ascii="Times New Roman" w:hAnsi="Times New Roman"/>
          <w:b/>
          <w:sz w:val="24"/>
          <w:szCs w:val="24"/>
          <w:lang w:val="sr-Cyrl-CS"/>
        </w:rPr>
      </w:pPr>
      <w:r w:rsidRPr="00436A0B">
        <w:rPr>
          <w:rFonts w:ascii="Times New Roman" w:hAnsi="Times New Roman"/>
          <w:b/>
          <w:sz w:val="24"/>
          <w:szCs w:val="24"/>
          <w:lang w:val="sr-Cyrl-CS"/>
        </w:rPr>
        <w:t xml:space="preserve">ВЕЛИКА </w:t>
      </w:r>
    </w:p>
    <w:p w:rsidR="000726DA" w:rsidRDefault="000726DA" w:rsidP="000726DA">
      <w:pPr>
        <w:pStyle w:val="NoSpacing"/>
        <w:jc w:val="both"/>
        <w:rPr>
          <w:rFonts w:ascii="Times New Roman" w:hAnsi="Times New Roman"/>
          <w:sz w:val="24"/>
          <w:szCs w:val="24"/>
          <w:lang w:val="sr-Cyrl-CS"/>
        </w:rPr>
      </w:pPr>
      <w:r w:rsidRPr="00436A0B">
        <w:rPr>
          <w:rFonts w:ascii="Times New Roman" w:hAnsi="Times New Roman"/>
          <w:b/>
          <w:sz w:val="24"/>
          <w:szCs w:val="24"/>
          <w:lang w:val="sr-Cyrl-CS"/>
        </w:rPr>
        <w:t>БРИТАНИЈА</w:t>
      </w:r>
      <w:r w:rsidRPr="00353FD6">
        <w:rPr>
          <w:rFonts w:ascii="Times New Roman" w:hAnsi="Times New Roman"/>
          <w:sz w:val="24"/>
          <w:szCs w:val="24"/>
          <w:lang w:val="sr-Cyrl-CS"/>
        </w:rPr>
        <w:t xml:space="preserve"> 11.5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11.4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11.9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11.8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11.9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11.9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12.2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12.4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15.1 </w:t>
      </w:r>
      <w:r>
        <w:rPr>
          <w:rFonts w:ascii="Times New Roman" w:hAnsi="Times New Roman"/>
          <w:sz w:val="24"/>
          <w:szCs w:val="24"/>
          <w:lang w:val="sr-Cyrl-CS"/>
        </w:rPr>
        <w:t xml:space="preserve">  </w:t>
      </w:r>
      <w:r w:rsidRPr="00353FD6">
        <w:rPr>
          <w:rFonts w:ascii="Times New Roman" w:hAnsi="Times New Roman"/>
          <w:sz w:val="24"/>
          <w:szCs w:val="24"/>
          <w:lang w:val="sr-Cyrl-CS"/>
        </w:rPr>
        <w:t xml:space="preserve">12.5 </w:t>
      </w:r>
      <w:r>
        <w:rPr>
          <w:rFonts w:ascii="Times New Roman" w:hAnsi="Times New Roman"/>
          <w:sz w:val="24"/>
          <w:szCs w:val="24"/>
          <w:lang w:val="sr-Cyrl-CS"/>
        </w:rPr>
        <w:t xml:space="preserve"> </w:t>
      </w:r>
      <w:r w:rsidRPr="00353FD6">
        <w:rPr>
          <w:rFonts w:ascii="Times New Roman" w:hAnsi="Times New Roman"/>
          <w:sz w:val="24"/>
          <w:szCs w:val="24"/>
          <w:lang w:val="sr-Cyrl-CS"/>
        </w:rPr>
        <w:t>11.9</w:t>
      </w:r>
    </w:p>
    <w:p w:rsidR="000726DA" w:rsidRPr="00353FD6" w:rsidRDefault="000726DA" w:rsidP="000726DA">
      <w:pPr>
        <w:pStyle w:val="NoSpacing"/>
        <w:jc w:val="both"/>
        <w:rPr>
          <w:rFonts w:ascii="Times New Roman" w:hAnsi="Times New Roman"/>
          <w:sz w:val="24"/>
          <w:szCs w:val="24"/>
          <w:lang w:val="sr-Cyrl-CS"/>
        </w:rPr>
      </w:pPr>
      <w:r>
        <w:rPr>
          <w:rFonts w:ascii="Times New Roman" w:hAnsi="Times New Roman"/>
          <w:sz w:val="24"/>
          <w:szCs w:val="24"/>
          <w:lang w:val="sr-Cyrl-CS"/>
        </w:rPr>
        <w:t>___________________________________________________________________________</w:t>
      </w:r>
    </w:p>
    <w:p w:rsidR="000726DA" w:rsidRDefault="000726DA" w:rsidP="000726DA">
      <w:pPr>
        <w:pStyle w:val="NoSpacing"/>
        <w:jc w:val="both"/>
        <w:rPr>
          <w:rFonts w:ascii="Times New Roman" w:hAnsi="Times New Roman"/>
          <w:b/>
          <w:sz w:val="24"/>
          <w:szCs w:val="24"/>
          <w:lang w:val="sr-Cyrl-CS"/>
        </w:rPr>
      </w:pPr>
    </w:p>
    <w:p w:rsidR="000726DA" w:rsidRDefault="000726DA" w:rsidP="000726DA">
      <w:pPr>
        <w:pStyle w:val="NoSpacing"/>
        <w:ind w:firstLine="708"/>
        <w:rPr>
          <w:rFonts w:ascii="Times New Roman" w:hAnsi="Times New Roman"/>
          <w:sz w:val="24"/>
          <w:szCs w:val="24"/>
          <w:lang w:val="sr-Cyrl-CS"/>
        </w:rPr>
      </w:pPr>
    </w:p>
    <w:p w:rsidR="000726DA" w:rsidRPr="007C40F7" w:rsidRDefault="000726DA" w:rsidP="000726DA">
      <w:pPr>
        <w:pStyle w:val="NoSpacing"/>
        <w:ind w:firstLine="708"/>
        <w:rPr>
          <w:lang w:val="sr-Cyrl-CS"/>
        </w:rPr>
      </w:pPr>
    </w:p>
    <w:p w:rsidR="000726DA" w:rsidRDefault="000726DA" w:rsidP="000726DA">
      <w:pPr>
        <w:pStyle w:val="NoSpacing"/>
        <w:ind w:firstLine="708"/>
        <w:jc w:val="both"/>
        <w:rPr>
          <w:rFonts w:ascii="Times New Roman" w:hAnsi="Times New Roman"/>
          <w:sz w:val="24"/>
          <w:szCs w:val="24"/>
          <w:lang w:val="sr-Cyrl-CS"/>
        </w:rPr>
      </w:pPr>
      <w:r>
        <w:rPr>
          <w:rFonts w:ascii="Times New Roman" w:hAnsi="Times New Roman"/>
          <w:sz w:val="24"/>
          <w:szCs w:val="24"/>
          <w:lang w:val="sr-Cyrl-CS"/>
        </w:rPr>
        <w:t xml:space="preserve">У табели која следи приказано је учешће пореза на имовину у укупним пореским приходима у одабраним земљама чланицама ОЕЦД из које произилази постојање значајних разлика у погледу учешћа пореза на имовину у укупним пореским приходима, као и њихово смањивање или повећање. </w:t>
      </w:r>
    </w:p>
    <w:p w:rsidR="005D64CC" w:rsidRDefault="005D64CC" w:rsidP="000726DA">
      <w:pPr>
        <w:pStyle w:val="NoSpacing"/>
        <w:ind w:firstLine="708"/>
        <w:jc w:val="both"/>
        <w:rPr>
          <w:rFonts w:ascii="Times New Roman" w:hAnsi="Times New Roman"/>
          <w:sz w:val="24"/>
          <w:szCs w:val="24"/>
          <w:lang w:val="sr-Cyrl-CS"/>
        </w:rPr>
      </w:pPr>
    </w:p>
    <w:p w:rsidR="005D64CC" w:rsidRDefault="005D64CC" w:rsidP="000726DA">
      <w:pPr>
        <w:pStyle w:val="NoSpacing"/>
        <w:ind w:firstLine="708"/>
        <w:jc w:val="both"/>
        <w:rPr>
          <w:rFonts w:ascii="Times New Roman" w:hAnsi="Times New Roman"/>
          <w:sz w:val="24"/>
          <w:szCs w:val="24"/>
          <w:lang w:val="sr-Cyrl-CS"/>
        </w:rPr>
      </w:pPr>
    </w:p>
    <w:p w:rsidR="005D64CC" w:rsidRDefault="005D64CC" w:rsidP="000726DA">
      <w:pPr>
        <w:pStyle w:val="NoSpacing"/>
        <w:ind w:firstLine="708"/>
        <w:jc w:val="both"/>
        <w:rPr>
          <w:rFonts w:ascii="Times New Roman" w:hAnsi="Times New Roman"/>
          <w:sz w:val="24"/>
          <w:szCs w:val="24"/>
          <w:lang w:val="sr-Cyrl-CS"/>
        </w:rPr>
      </w:pPr>
    </w:p>
    <w:p w:rsidR="005D64CC" w:rsidRDefault="005D64CC" w:rsidP="000726DA">
      <w:pPr>
        <w:pStyle w:val="NoSpacing"/>
        <w:ind w:firstLine="708"/>
        <w:jc w:val="both"/>
        <w:rPr>
          <w:rFonts w:ascii="Times New Roman" w:hAnsi="Times New Roman"/>
          <w:sz w:val="24"/>
          <w:szCs w:val="24"/>
          <w:lang w:val="sr-Cyrl-CS"/>
        </w:rPr>
      </w:pPr>
    </w:p>
    <w:p w:rsidR="005D64CC" w:rsidRDefault="005D64CC" w:rsidP="000726DA">
      <w:pPr>
        <w:pStyle w:val="NoSpacing"/>
        <w:ind w:firstLine="708"/>
        <w:jc w:val="both"/>
        <w:rPr>
          <w:rFonts w:ascii="Times New Roman" w:hAnsi="Times New Roman"/>
          <w:sz w:val="24"/>
          <w:szCs w:val="24"/>
        </w:rPr>
      </w:pPr>
    </w:p>
    <w:p w:rsidR="00703F20" w:rsidRDefault="00703F20" w:rsidP="000726DA">
      <w:pPr>
        <w:pStyle w:val="NoSpacing"/>
        <w:ind w:firstLine="708"/>
        <w:jc w:val="both"/>
        <w:rPr>
          <w:rFonts w:ascii="Times New Roman" w:hAnsi="Times New Roman"/>
          <w:sz w:val="24"/>
          <w:szCs w:val="24"/>
        </w:rPr>
      </w:pPr>
    </w:p>
    <w:p w:rsidR="00703F20" w:rsidRPr="00703F20" w:rsidRDefault="00703F20" w:rsidP="000726DA">
      <w:pPr>
        <w:pStyle w:val="NoSpacing"/>
        <w:ind w:firstLine="708"/>
        <w:jc w:val="both"/>
        <w:rPr>
          <w:rFonts w:ascii="Times New Roman" w:hAnsi="Times New Roman"/>
          <w:sz w:val="24"/>
          <w:szCs w:val="24"/>
        </w:rPr>
      </w:pPr>
    </w:p>
    <w:p w:rsidR="000726DA" w:rsidRDefault="000726DA" w:rsidP="000726DA">
      <w:pPr>
        <w:pStyle w:val="NoSpacing"/>
        <w:jc w:val="both"/>
        <w:rPr>
          <w:rFonts w:ascii="Times New Roman" w:hAnsi="Times New Roman"/>
          <w:sz w:val="24"/>
          <w:szCs w:val="24"/>
          <w:lang w:val="sr-Cyrl-CS"/>
        </w:rPr>
      </w:pPr>
    </w:p>
    <w:p w:rsidR="00D86D09" w:rsidRDefault="00D86D09" w:rsidP="000726DA">
      <w:pPr>
        <w:pStyle w:val="NoSpacing"/>
        <w:jc w:val="both"/>
        <w:rPr>
          <w:rFonts w:ascii="Times New Roman" w:hAnsi="Times New Roman"/>
          <w:sz w:val="24"/>
          <w:szCs w:val="24"/>
          <w:lang w:val="sr-Cyrl-CS"/>
        </w:rPr>
      </w:pPr>
    </w:p>
    <w:p w:rsidR="00D86D09" w:rsidRDefault="00D86D09" w:rsidP="000726DA">
      <w:pPr>
        <w:pStyle w:val="NoSpacing"/>
        <w:jc w:val="both"/>
        <w:rPr>
          <w:rFonts w:ascii="Times New Roman" w:hAnsi="Times New Roman"/>
          <w:sz w:val="24"/>
          <w:szCs w:val="24"/>
          <w:lang w:val="sr-Cyrl-CS"/>
        </w:rPr>
      </w:pPr>
    </w:p>
    <w:p w:rsidR="000726DA" w:rsidRPr="00F831BF" w:rsidRDefault="00001DEB" w:rsidP="000726DA">
      <w:pPr>
        <w:pStyle w:val="NoSpacing"/>
        <w:jc w:val="both"/>
        <w:rPr>
          <w:rFonts w:ascii="Times New Roman" w:hAnsi="Times New Roman"/>
          <w:b/>
          <w:sz w:val="24"/>
          <w:szCs w:val="24"/>
          <w:lang w:val="sr-Cyrl-CS"/>
        </w:rPr>
      </w:pPr>
      <w:r>
        <w:rPr>
          <w:rFonts w:ascii="Times New Roman" w:hAnsi="Times New Roman"/>
          <w:b/>
          <w:sz w:val="24"/>
          <w:szCs w:val="24"/>
          <w:lang w:val="sr-Cyrl-CS"/>
        </w:rPr>
        <w:t>Табела бр. 27</w:t>
      </w:r>
      <w:r w:rsidR="000726DA" w:rsidRPr="00F831BF">
        <w:rPr>
          <w:rFonts w:ascii="Times New Roman" w:hAnsi="Times New Roman"/>
          <w:b/>
          <w:sz w:val="24"/>
          <w:szCs w:val="24"/>
          <w:lang w:val="sr-Cyrl-CS"/>
        </w:rPr>
        <w:t>. Учешће пореза на имовину у укупним пореским приходима у одабраним земљама чланицама ОЕЦД</w:t>
      </w:r>
      <w:r w:rsidR="000726DA">
        <w:rPr>
          <w:rStyle w:val="FootnoteReference"/>
          <w:rFonts w:ascii="Times New Roman" w:hAnsi="Times New Roman"/>
          <w:b/>
          <w:sz w:val="24"/>
          <w:szCs w:val="24"/>
          <w:lang w:val="sr-Cyrl-CS"/>
        </w:rPr>
        <w:footnoteReference w:id="501"/>
      </w:r>
      <w:r w:rsidR="000726DA">
        <w:rPr>
          <w:rFonts w:ascii="Times New Roman" w:hAnsi="Times New Roman"/>
          <w:b/>
          <w:sz w:val="24"/>
          <w:szCs w:val="24"/>
          <w:lang w:val="sr-Cyrl-CS"/>
        </w:rPr>
        <w:t xml:space="preserve">  </w:t>
      </w:r>
    </w:p>
    <w:p w:rsidR="000726DA" w:rsidRDefault="000726DA" w:rsidP="000726DA">
      <w:pPr>
        <w:pStyle w:val="NoSpacing"/>
        <w:jc w:val="both"/>
        <w:rPr>
          <w:rFonts w:ascii="Times New Roman" w:hAnsi="Times New Roman"/>
          <w:sz w:val="24"/>
          <w:szCs w:val="24"/>
          <w:lang w:val="sr-Cyrl-CS"/>
        </w:rPr>
      </w:pPr>
      <w:r>
        <w:rPr>
          <w:rFonts w:ascii="Times New Roman" w:hAnsi="Times New Roman"/>
          <w:sz w:val="24"/>
          <w:szCs w:val="24"/>
          <w:lang w:val="sr-Cyrl-CS"/>
        </w:rPr>
        <w:t xml:space="preserve">                               </w:t>
      </w:r>
    </w:p>
    <w:tbl>
      <w:tblPr>
        <w:tblStyle w:val="TableGrid"/>
        <w:tblW w:w="0" w:type="auto"/>
        <w:tblLook w:val="04A0"/>
      </w:tblPr>
      <w:tblGrid>
        <w:gridCol w:w="1629"/>
        <w:gridCol w:w="8"/>
        <w:gridCol w:w="13"/>
        <w:gridCol w:w="819"/>
        <w:gridCol w:w="838"/>
        <w:gridCol w:w="14"/>
        <w:gridCol w:w="840"/>
        <w:gridCol w:w="840"/>
        <w:gridCol w:w="6"/>
        <w:gridCol w:w="851"/>
        <w:gridCol w:w="855"/>
        <w:gridCol w:w="848"/>
        <w:gridCol w:w="7"/>
        <w:gridCol w:w="842"/>
        <w:gridCol w:w="877"/>
      </w:tblGrid>
      <w:tr w:rsidR="000726DA" w:rsidTr="00C208AF">
        <w:trPr>
          <w:trHeight w:val="470"/>
        </w:trPr>
        <w:tc>
          <w:tcPr>
            <w:tcW w:w="1629"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ЗЕМЉА</w:t>
            </w:r>
          </w:p>
        </w:tc>
        <w:tc>
          <w:tcPr>
            <w:tcW w:w="842" w:type="dxa"/>
            <w:gridSpan w:val="3"/>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1975</w:t>
            </w:r>
          </w:p>
        </w:tc>
        <w:tc>
          <w:tcPr>
            <w:tcW w:w="838"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1985</w:t>
            </w:r>
          </w:p>
        </w:tc>
        <w:tc>
          <w:tcPr>
            <w:tcW w:w="854" w:type="dxa"/>
            <w:gridSpan w:val="2"/>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1995</w:t>
            </w:r>
          </w:p>
        </w:tc>
        <w:tc>
          <w:tcPr>
            <w:tcW w:w="846" w:type="dxa"/>
            <w:gridSpan w:val="2"/>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2000</w:t>
            </w:r>
          </w:p>
        </w:tc>
        <w:tc>
          <w:tcPr>
            <w:tcW w:w="851"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2007</w:t>
            </w:r>
          </w:p>
        </w:tc>
        <w:tc>
          <w:tcPr>
            <w:tcW w:w="855"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2008</w:t>
            </w:r>
          </w:p>
        </w:tc>
        <w:tc>
          <w:tcPr>
            <w:tcW w:w="848"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2009</w:t>
            </w:r>
          </w:p>
        </w:tc>
        <w:tc>
          <w:tcPr>
            <w:tcW w:w="849" w:type="dxa"/>
            <w:gridSpan w:val="2"/>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2010</w:t>
            </w:r>
          </w:p>
        </w:tc>
        <w:tc>
          <w:tcPr>
            <w:tcW w:w="875"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2011</w:t>
            </w:r>
          </w:p>
        </w:tc>
      </w:tr>
      <w:tr w:rsidR="000726DA" w:rsidTr="00C208AF">
        <w:trPr>
          <w:trHeight w:val="420"/>
        </w:trPr>
        <w:tc>
          <w:tcPr>
            <w:tcW w:w="1629"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Аустралија</w:t>
            </w:r>
          </w:p>
        </w:tc>
        <w:tc>
          <w:tcPr>
            <w:tcW w:w="842" w:type="dxa"/>
            <w:gridSpan w:val="3"/>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8,8</w:t>
            </w:r>
          </w:p>
        </w:tc>
        <w:tc>
          <w:tcPr>
            <w:tcW w:w="838"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7,8</w:t>
            </w:r>
          </w:p>
        </w:tc>
        <w:tc>
          <w:tcPr>
            <w:tcW w:w="854" w:type="dxa"/>
            <w:gridSpan w:val="2"/>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8,8</w:t>
            </w:r>
          </w:p>
        </w:tc>
        <w:tc>
          <w:tcPr>
            <w:tcW w:w="846" w:type="dxa"/>
            <w:gridSpan w:val="2"/>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8,8</w:t>
            </w:r>
          </w:p>
        </w:tc>
        <w:tc>
          <w:tcPr>
            <w:tcW w:w="851"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8,9</w:t>
            </w:r>
          </w:p>
        </w:tc>
        <w:tc>
          <w:tcPr>
            <w:tcW w:w="855"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8,2</w:t>
            </w:r>
          </w:p>
        </w:tc>
        <w:tc>
          <w:tcPr>
            <w:tcW w:w="848"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9,6</w:t>
            </w:r>
          </w:p>
        </w:tc>
        <w:tc>
          <w:tcPr>
            <w:tcW w:w="849" w:type="dxa"/>
            <w:gridSpan w:val="2"/>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9,2</w:t>
            </w:r>
          </w:p>
        </w:tc>
        <w:tc>
          <w:tcPr>
            <w:tcW w:w="875"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8,6</w:t>
            </w:r>
          </w:p>
        </w:tc>
      </w:tr>
      <w:tr w:rsidR="000726DA" w:rsidTr="00C208AF">
        <w:trPr>
          <w:trHeight w:val="422"/>
        </w:trPr>
        <w:tc>
          <w:tcPr>
            <w:tcW w:w="1629"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Аустрија</w:t>
            </w:r>
          </w:p>
        </w:tc>
        <w:tc>
          <w:tcPr>
            <w:tcW w:w="842" w:type="dxa"/>
            <w:gridSpan w:val="3"/>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3,1</w:t>
            </w:r>
          </w:p>
        </w:tc>
        <w:tc>
          <w:tcPr>
            <w:tcW w:w="838"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2,4</w:t>
            </w:r>
          </w:p>
        </w:tc>
        <w:tc>
          <w:tcPr>
            <w:tcW w:w="854" w:type="dxa"/>
            <w:gridSpan w:val="2"/>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1,5</w:t>
            </w:r>
          </w:p>
        </w:tc>
        <w:tc>
          <w:tcPr>
            <w:tcW w:w="846" w:type="dxa"/>
            <w:gridSpan w:val="2"/>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1,3</w:t>
            </w:r>
          </w:p>
        </w:tc>
        <w:tc>
          <w:tcPr>
            <w:tcW w:w="851"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1,4</w:t>
            </w:r>
          </w:p>
        </w:tc>
        <w:tc>
          <w:tcPr>
            <w:tcW w:w="855"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1,3</w:t>
            </w:r>
          </w:p>
        </w:tc>
        <w:tc>
          <w:tcPr>
            <w:tcW w:w="848"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1,3</w:t>
            </w:r>
          </w:p>
        </w:tc>
        <w:tc>
          <w:tcPr>
            <w:tcW w:w="849" w:type="dxa"/>
            <w:gridSpan w:val="2"/>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1,3</w:t>
            </w:r>
          </w:p>
        </w:tc>
        <w:tc>
          <w:tcPr>
            <w:tcW w:w="875"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1,2</w:t>
            </w:r>
          </w:p>
        </w:tc>
      </w:tr>
      <w:tr w:rsidR="000726DA" w:rsidTr="00C208AF">
        <w:trPr>
          <w:trHeight w:val="414"/>
        </w:trPr>
        <w:tc>
          <w:tcPr>
            <w:tcW w:w="1629"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Белгија</w:t>
            </w:r>
          </w:p>
        </w:tc>
        <w:tc>
          <w:tcPr>
            <w:tcW w:w="842" w:type="dxa"/>
            <w:gridSpan w:val="3"/>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3,2</w:t>
            </w:r>
          </w:p>
        </w:tc>
        <w:tc>
          <w:tcPr>
            <w:tcW w:w="838"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2,8</w:t>
            </w:r>
          </w:p>
        </w:tc>
        <w:tc>
          <w:tcPr>
            <w:tcW w:w="854" w:type="dxa"/>
            <w:gridSpan w:val="2"/>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3,8</w:t>
            </w:r>
          </w:p>
        </w:tc>
        <w:tc>
          <w:tcPr>
            <w:tcW w:w="846" w:type="dxa"/>
            <w:gridSpan w:val="2"/>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4,7</w:t>
            </w:r>
          </w:p>
        </w:tc>
        <w:tc>
          <w:tcPr>
            <w:tcW w:w="851"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2,2</w:t>
            </w:r>
          </w:p>
        </w:tc>
        <w:tc>
          <w:tcPr>
            <w:tcW w:w="855"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7,1</w:t>
            </w:r>
          </w:p>
        </w:tc>
        <w:tc>
          <w:tcPr>
            <w:tcW w:w="848"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7,0</w:t>
            </w:r>
          </w:p>
        </w:tc>
        <w:tc>
          <w:tcPr>
            <w:tcW w:w="849" w:type="dxa"/>
            <w:gridSpan w:val="2"/>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7,2</w:t>
            </w:r>
          </w:p>
        </w:tc>
        <w:tc>
          <w:tcPr>
            <w:tcW w:w="875"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7,3</w:t>
            </w:r>
          </w:p>
        </w:tc>
      </w:tr>
      <w:tr w:rsidR="000726DA" w:rsidTr="00C208AF">
        <w:trPr>
          <w:trHeight w:val="406"/>
        </w:trPr>
        <w:tc>
          <w:tcPr>
            <w:tcW w:w="1629"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Канада</w:t>
            </w:r>
          </w:p>
        </w:tc>
        <w:tc>
          <w:tcPr>
            <w:tcW w:w="842" w:type="dxa"/>
            <w:gridSpan w:val="3"/>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9,5</w:t>
            </w:r>
          </w:p>
        </w:tc>
        <w:tc>
          <w:tcPr>
            <w:tcW w:w="838"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9,3</w:t>
            </w:r>
          </w:p>
        </w:tc>
        <w:tc>
          <w:tcPr>
            <w:tcW w:w="854" w:type="dxa"/>
            <w:gridSpan w:val="2"/>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10,7</w:t>
            </w:r>
          </w:p>
        </w:tc>
        <w:tc>
          <w:tcPr>
            <w:tcW w:w="846" w:type="dxa"/>
            <w:gridSpan w:val="2"/>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9,5</w:t>
            </w:r>
          </w:p>
        </w:tc>
        <w:tc>
          <w:tcPr>
            <w:tcW w:w="851"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10,6</w:t>
            </w:r>
          </w:p>
        </w:tc>
        <w:tc>
          <w:tcPr>
            <w:tcW w:w="855"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10,9</w:t>
            </w:r>
          </w:p>
        </w:tc>
        <w:tc>
          <w:tcPr>
            <w:tcW w:w="848"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11,3</w:t>
            </w:r>
          </w:p>
        </w:tc>
        <w:tc>
          <w:tcPr>
            <w:tcW w:w="849" w:type="dxa"/>
            <w:gridSpan w:val="2"/>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11,5</w:t>
            </w:r>
          </w:p>
        </w:tc>
        <w:tc>
          <w:tcPr>
            <w:tcW w:w="875"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10,9</w:t>
            </w:r>
          </w:p>
        </w:tc>
      </w:tr>
      <w:tr w:rsidR="000726DA" w:rsidTr="00C208AF">
        <w:trPr>
          <w:trHeight w:val="425"/>
        </w:trPr>
        <w:tc>
          <w:tcPr>
            <w:tcW w:w="1629"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Чехословачка</w:t>
            </w:r>
          </w:p>
        </w:tc>
        <w:tc>
          <w:tcPr>
            <w:tcW w:w="842" w:type="dxa"/>
            <w:gridSpan w:val="3"/>
          </w:tcPr>
          <w:p w:rsidR="000726DA" w:rsidRDefault="000726DA" w:rsidP="00C208AF">
            <w:pPr>
              <w:pStyle w:val="NoSpacing"/>
              <w:jc w:val="both"/>
              <w:rPr>
                <w:rFonts w:ascii="Times New Roman" w:hAnsi="Times New Roman"/>
                <w:sz w:val="24"/>
                <w:szCs w:val="24"/>
                <w:lang w:val="sr-Cyrl-CS"/>
              </w:rPr>
            </w:pPr>
          </w:p>
        </w:tc>
        <w:tc>
          <w:tcPr>
            <w:tcW w:w="838" w:type="dxa"/>
          </w:tcPr>
          <w:p w:rsidR="000726DA" w:rsidRDefault="000726DA" w:rsidP="00C208AF">
            <w:pPr>
              <w:pStyle w:val="NoSpacing"/>
              <w:jc w:val="both"/>
              <w:rPr>
                <w:rFonts w:ascii="Times New Roman" w:hAnsi="Times New Roman"/>
                <w:sz w:val="24"/>
                <w:szCs w:val="24"/>
                <w:lang w:val="sr-Cyrl-CS"/>
              </w:rPr>
            </w:pPr>
          </w:p>
        </w:tc>
        <w:tc>
          <w:tcPr>
            <w:tcW w:w="854" w:type="dxa"/>
            <w:gridSpan w:val="2"/>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1,4</w:t>
            </w:r>
          </w:p>
        </w:tc>
        <w:tc>
          <w:tcPr>
            <w:tcW w:w="846" w:type="dxa"/>
            <w:gridSpan w:val="2"/>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1,4</w:t>
            </w:r>
          </w:p>
        </w:tc>
        <w:tc>
          <w:tcPr>
            <w:tcW w:w="851"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1,2</w:t>
            </w:r>
          </w:p>
        </w:tc>
        <w:tc>
          <w:tcPr>
            <w:tcW w:w="855"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1,1</w:t>
            </w:r>
          </w:p>
        </w:tc>
        <w:tc>
          <w:tcPr>
            <w:tcW w:w="848"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1,1</w:t>
            </w:r>
          </w:p>
        </w:tc>
        <w:tc>
          <w:tcPr>
            <w:tcW w:w="849" w:type="dxa"/>
            <w:gridSpan w:val="2"/>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1,3</w:t>
            </w:r>
          </w:p>
        </w:tc>
        <w:tc>
          <w:tcPr>
            <w:tcW w:w="875"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1,5</w:t>
            </w:r>
          </w:p>
        </w:tc>
      </w:tr>
      <w:tr w:rsidR="000726DA" w:rsidTr="00C208AF">
        <w:trPr>
          <w:trHeight w:val="418"/>
        </w:trPr>
        <w:tc>
          <w:tcPr>
            <w:tcW w:w="1629"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 xml:space="preserve">Француска </w:t>
            </w:r>
          </w:p>
        </w:tc>
        <w:tc>
          <w:tcPr>
            <w:tcW w:w="842" w:type="dxa"/>
            <w:gridSpan w:val="3"/>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5,1</w:t>
            </w:r>
          </w:p>
        </w:tc>
        <w:tc>
          <w:tcPr>
            <w:tcW w:w="838"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5,8</w:t>
            </w:r>
          </w:p>
        </w:tc>
        <w:tc>
          <w:tcPr>
            <w:tcW w:w="854" w:type="dxa"/>
            <w:gridSpan w:val="2"/>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6,6</w:t>
            </w:r>
          </w:p>
        </w:tc>
        <w:tc>
          <w:tcPr>
            <w:tcW w:w="846" w:type="dxa"/>
            <w:gridSpan w:val="2"/>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6,9</w:t>
            </w:r>
          </w:p>
        </w:tc>
        <w:tc>
          <w:tcPr>
            <w:tcW w:w="851"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7,9</w:t>
            </w:r>
          </w:p>
        </w:tc>
        <w:tc>
          <w:tcPr>
            <w:tcW w:w="855"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7,7</w:t>
            </w:r>
          </w:p>
        </w:tc>
        <w:tc>
          <w:tcPr>
            <w:tcW w:w="848"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8,0</w:t>
            </w:r>
          </w:p>
        </w:tc>
        <w:tc>
          <w:tcPr>
            <w:tcW w:w="849" w:type="dxa"/>
            <w:gridSpan w:val="2"/>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8,5</w:t>
            </w:r>
          </w:p>
        </w:tc>
        <w:tc>
          <w:tcPr>
            <w:tcW w:w="875"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8,5</w:t>
            </w:r>
          </w:p>
        </w:tc>
      </w:tr>
      <w:tr w:rsidR="000726DA" w:rsidTr="00C208AF">
        <w:trPr>
          <w:trHeight w:val="410"/>
        </w:trPr>
        <w:tc>
          <w:tcPr>
            <w:tcW w:w="1629"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Немачка</w:t>
            </w:r>
          </w:p>
        </w:tc>
        <w:tc>
          <w:tcPr>
            <w:tcW w:w="842" w:type="dxa"/>
            <w:gridSpan w:val="3"/>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3,9</w:t>
            </w:r>
          </w:p>
        </w:tc>
        <w:tc>
          <w:tcPr>
            <w:tcW w:w="838"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3,0</w:t>
            </w:r>
          </w:p>
        </w:tc>
        <w:tc>
          <w:tcPr>
            <w:tcW w:w="854" w:type="dxa"/>
            <w:gridSpan w:val="2"/>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2,8</w:t>
            </w:r>
          </w:p>
        </w:tc>
        <w:tc>
          <w:tcPr>
            <w:tcW w:w="846" w:type="dxa"/>
            <w:gridSpan w:val="2"/>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2,3</w:t>
            </w:r>
          </w:p>
        </w:tc>
        <w:tc>
          <w:tcPr>
            <w:tcW w:w="851"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2,5</w:t>
            </w:r>
          </w:p>
        </w:tc>
        <w:tc>
          <w:tcPr>
            <w:tcW w:w="855"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2,4</w:t>
            </w:r>
          </w:p>
        </w:tc>
        <w:tc>
          <w:tcPr>
            <w:tcW w:w="848"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2,3</w:t>
            </w:r>
          </w:p>
        </w:tc>
        <w:tc>
          <w:tcPr>
            <w:tcW w:w="849" w:type="dxa"/>
            <w:gridSpan w:val="2"/>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2,3</w:t>
            </w:r>
          </w:p>
        </w:tc>
        <w:tc>
          <w:tcPr>
            <w:tcW w:w="875"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2,4</w:t>
            </w:r>
          </w:p>
        </w:tc>
      </w:tr>
      <w:tr w:rsidR="000726DA" w:rsidTr="00C208AF">
        <w:trPr>
          <w:trHeight w:val="402"/>
        </w:trPr>
        <w:tc>
          <w:tcPr>
            <w:tcW w:w="1629"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Грчка</w:t>
            </w:r>
          </w:p>
        </w:tc>
        <w:tc>
          <w:tcPr>
            <w:tcW w:w="842" w:type="dxa"/>
            <w:gridSpan w:val="3"/>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9,7</w:t>
            </w:r>
          </w:p>
        </w:tc>
        <w:tc>
          <w:tcPr>
            <w:tcW w:w="838"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2,7</w:t>
            </w:r>
          </w:p>
        </w:tc>
        <w:tc>
          <w:tcPr>
            <w:tcW w:w="854" w:type="dxa"/>
            <w:gridSpan w:val="2"/>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4,1</w:t>
            </w:r>
          </w:p>
        </w:tc>
        <w:tc>
          <w:tcPr>
            <w:tcW w:w="846" w:type="dxa"/>
            <w:gridSpan w:val="2"/>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6,2</w:t>
            </w:r>
          </w:p>
        </w:tc>
        <w:tc>
          <w:tcPr>
            <w:tcW w:w="851"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5,3</w:t>
            </w:r>
          </w:p>
        </w:tc>
        <w:tc>
          <w:tcPr>
            <w:tcW w:w="855"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5,5</w:t>
            </w:r>
          </w:p>
        </w:tc>
        <w:tc>
          <w:tcPr>
            <w:tcW w:w="848"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4,8</w:t>
            </w:r>
          </w:p>
        </w:tc>
        <w:tc>
          <w:tcPr>
            <w:tcW w:w="849" w:type="dxa"/>
            <w:gridSpan w:val="2"/>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3,3</w:t>
            </w:r>
          </w:p>
        </w:tc>
        <w:tc>
          <w:tcPr>
            <w:tcW w:w="875"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5,5</w:t>
            </w:r>
          </w:p>
        </w:tc>
      </w:tr>
      <w:tr w:rsidR="000726DA" w:rsidTr="00C208AF">
        <w:trPr>
          <w:trHeight w:val="436"/>
        </w:trPr>
        <w:tc>
          <w:tcPr>
            <w:tcW w:w="1629"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Мађарска</w:t>
            </w:r>
          </w:p>
        </w:tc>
        <w:tc>
          <w:tcPr>
            <w:tcW w:w="842" w:type="dxa"/>
            <w:gridSpan w:val="3"/>
          </w:tcPr>
          <w:p w:rsidR="000726DA" w:rsidRDefault="000726DA" w:rsidP="00C208AF">
            <w:pPr>
              <w:pStyle w:val="NoSpacing"/>
              <w:jc w:val="both"/>
              <w:rPr>
                <w:rFonts w:ascii="Times New Roman" w:hAnsi="Times New Roman"/>
                <w:sz w:val="24"/>
                <w:szCs w:val="24"/>
                <w:lang w:val="sr-Cyrl-CS"/>
              </w:rPr>
            </w:pPr>
          </w:p>
        </w:tc>
        <w:tc>
          <w:tcPr>
            <w:tcW w:w="838" w:type="dxa"/>
          </w:tcPr>
          <w:p w:rsidR="000726DA" w:rsidRDefault="000726DA" w:rsidP="00C208AF">
            <w:pPr>
              <w:pStyle w:val="NoSpacing"/>
              <w:jc w:val="both"/>
              <w:rPr>
                <w:rFonts w:ascii="Times New Roman" w:hAnsi="Times New Roman"/>
                <w:sz w:val="24"/>
                <w:szCs w:val="24"/>
                <w:lang w:val="sr-Cyrl-CS"/>
              </w:rPr>
            </w:pPr>
          </w:p>
        </w:tc>
        <w:tc>
          <w:tcPr>
            <w:tcW w:w="854" w:type="dxa"/>
            <w:gridSpan w:val="2"/>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1,2</w:t>
            </w:r>
          </w:p>
        </w:tc>
        <w:tc>
          <w:tcPr>
            <w:tcW w:w="846" w:type="dxa"/>
            <w:gridSpan w:val="2"/>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1,7</w:t>
            </w:r>
          </w:p>
        </w:tc>
        <w:tc>
          <w:tcPr>
            <w:tcW w:w="851"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2,0</w:t>
            </w:r>
          </w:p>
        </w:tc>
        <w:tc>
          <w:tcPr>
            <w:tcW w:w="855"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2,2</w:t>
            </w:r>
          </w:p>
        </w:tc>
        <w:tc>
          <w:tcPr>
            <w:tcW w:w="848"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2,1</w:t>
            </w:r>
          </w:p>
        </w:tc>
        <w:tc>
          <w:tcPr>
            <w:tcW w:w="849" w:type="dxa"/>
            <w:gridSpan w:val="2"/>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3,1</w:t>
            </w:r>
          </w:p>
        </w:tc>
        <w:tc>
          <w:tcPr>
            <w:tcW w:w="875"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3,1</w:t>
            </w:r>
          </w:p>
        </w:tc>
      </w:tr>
      <w:tr w:rsidR="000726DA" w:rsidTr="00C208AF">
        <w:trPr>
          <w:trHeight w:val="400"/>
        </w:trPr>
        <w:tc>
          <w:tcPr>
            <w:tcW w:w="1629"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Италија</w:t>
            </w:r>
          </w:p>
        </w:tc>
        <w:tc>
          <w:tcPr>
            <w:tcW w:w="842" w:type="dxa"/>
            <w:gridSpan w:val="3"/>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3,3</w:t>
            </w:r>
          </w:p>
        </w:tc>
        <w:tc>
          <w:tcPr>
            <w:tcW w:w="838"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2,5</w:t>
            </w:r>
          </w:p>
        </w:tc>
        <w:tc>
          <w:tcPr>
            <w:tcW w:w="854" w:type="dxa"/>
            <w:gridSpan w:val="2"/>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5,6</w:t>
            </w:r>
          </w:p>
        </w:tc>
        <w:tc>
          <w:tcPr>
            <w:tcW w:w="846" w:type="dxa"/>
            <w:gridSpan w:val="2"/>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4,6</w:t>
            </w:r>
          </w:p>
        </w:tc>
        <w:tc>
          <w:tcPr>
            <w:tcW w:w="851"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4,9</w:t>
            </w:r>
          </w:p>
        </w:tc>
        <w:tc>
          <w:tcPr>
            <w:tcW w:w="855"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4,3</w:t>
            </w:r>
          </w:p>
        </w:tc>
        <w:tc>
          <w:tcPr>
            <w:tcW w:w="848"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6,2</w:t>
            </w:r>
          </w:p>
        </w:tc>
        <w:tc>
          <w:tcPr>
            <w:tcW w:w="849" w:type="dxa"/>
            <w:gridSpan w:val="2"/>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4,8</w:t>
            </w:r>
          </w:p>
        </w:tc>
        <w:tc>
          <w:tcPr>
            <w:tcW w:w="875"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5,2</w:t>
            </w:r>
          </w:p>
        </w:tc>
      </w:tr>
      <w:tr w:rsidR="000726DA" w:rsidTr="00C208AF">
        <w:trPr>
          <w:trHeight w:val="420"/>
        </w:trPr>
        <w:tc>
          <w:tcPr>
            <w:tcW w:w="1629"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Јапан</w:t>
            </w:r>
          </w:p>
        </w:tc>
        <w:tc>
          <w:tcPr>
            <w:tcW w:w="842" w:type="dxa"/>
            <w:gridSpan w:val="3"/>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9,1</w:t>
            </w:r>
          </w:p>
        </w:tc>
        <w:tc>
          <w:tcPr>
            <w:tcW w:w="838"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9,7</w:t>
            </w:r>
          </w:p>
        </w:tc>
        <w:tc>
          <w:tcPr>
            <w:tcW w:w="854" w:type="dxa"/>
            <w:gridSpan w:val="2"/>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12,2</w:t>
            </w:r>
          </w:p>
        </w:tc>
        <w:tc>
          <w:tcPr>
            <w:tcW w:w="846" w:type="dxa"/>
            <w:gridSpan w:val="2"/>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10,5</w:t>
            </w:r>
          </w:p>
        </w:tc>
        <w:tc>
          <w:tcPr>
            <w:tcW w:w="851"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9,0</w:t>
            </w:r>
          </w:p>
        </w:tc>
        <w:tc>
          <w:tcPr>
            <w:tcW w:w="855"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9,4</w:t>
            </w:r>
          </w:p>
        </w:tc>
        <w:tc>
          <w:tcPr>
            <w:tcW w:w="848"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10,1</w:t>
            </w:r>
          </w:p>
        </w:tc>
        <w:tc>
          <w:tcPr>
            <w:tcW w:w="849" w:type="dxa"/>
            <w:gridSpan w:val="2"/>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9,7</w:t>
            </w:r>
          </w:p>
        </w:tc>
        <w:tc>
          <w:tcPr>
            <w:tcW w:w="875"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9,7</w:t>
            </w:r>
          </w:p>
        </w:tc>
      </w:tr>
      <w:tr w:rsidR="000726DA" w:rsidTr="00C208AF">
        <w:trPr>
          <w:trHeight w:val="412"/>
        </w:trPr>
        <w:tc>
          <w:tcPr>
            <w:tcW w:w="1629"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Турска</w:t>
            </w:r>
          </w:p>
        </w:tc>
        <w:tc>
          <w:tcPr>
            <w:tcW w:w="842" w:type="dxa"/>
            <w:gridSpan w:val="3"/>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6,9</w:t>
            </w:r>
          </w:p>
        </w:tc>
        <w:tc>
          <w:tcPr>
            <w:tcW w:w="838"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4,6</w:t>
            </w:r>
          </w:p>
        </w:tc>
        <w:tc>
          <w:tcPr>
            <w:tcW w:w="854" w:type="dxa"/>
            <w:gridSpan w:val="2"/>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3,0</w:t>
            </w:r>
          </w:p>
        </w:tc>
        <w:tc>
          <w:tcPr>
            <w:tcW w:w="846" w:type="dxa"/>
            <w:gridSpan w:val="2"/>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3,2</w:t>
            </w:r>
          </w:p>
        </w:tc>
        <w:tc>
          <w:tcPr>
            <w:tcW w:w="851"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3,8</w:t>
            </w:r>
          </w:p>
        </w:tc>
        <w:tc>
          <w:tcPr>
            <w:tcW w:w="855"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3,6</w:t>
            </w:r>
          </w:p>
        </w:tc>
        <w:tc>
          <w:tcPr>
            <w:tcW w:w="848"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3,6</w:t>
            </w:r>
          </w:p>
        </w:tc>
        <w:tc>
          <w:tcPr>
            <w:tcW w:w="849" w:type="dxa"/>
            <w:gridSpan w:val="2"/>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4,1</w:t>
            </w:r>
          </w:p>
        </w:tc>
        <w:tc>
          <w:tcPr>
            <w:tcW w:w="875"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4,1</w:t>
            </w:r>
          </w:p>
        </w:tc>
      </w:tr>
      <w:tr w:rsidR="000726DA" w:rsidTr="00C208AF">
        <w:trPr>
          <w:trHeight w:val="417"/>
        </w:trPr>
        <w:tc>
          <w:tcPr>
            <w:tcW w:w="1629"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Ирска</w:t>
            </w:r>
          </w:p>
        </w:tc>
        <w:tc>
          <w:tcPr>
            <w:tcW w:w="842" w:type="dxa"/>
            <w:gridSpan w:val="3"/>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9,7</w:t>
            </w:r>
          </w:p>
        </w:tc>
        <w:tc>
          <w:tcPr>
            <w:tcW w:w="838"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4,0</w:t>
            </w:r>
          </w:p>
        </w:tc>
        <w:tc>
          <w:tcPr>
            <w:tcW w:w="854" w:type="dxa"/>
            <w:gridSpan w:val="2"/>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4,5</w:t>
            </w:r>
          </w:p>
        </w:tc>
        <w:tc>
          <w:tcPr>
            <w:tcW w:w="846" w:type="dxa"/>
            <w:gridSpan w:val="2"/>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3,6</w:t>
            </w:r>
          </w:p>
        </w:tc>
        <w:tc>
          <w:tcPr>
            <w:tcW w:w="851"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8,2</w:t>
            </w:r>
          </w:p>
        </w:tc>
        <w:tc>
          <w:tcPr>
            <w:tcW w:w="855"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6,4</w:t>
            </w:r>
          </w:p>
        </w:tc>
        <w:tc>
          <w:tcPr>
            <w:tcW w:w="848"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5,9</w:t>
            </w:r>
          </w:p>
        </w:tc>
        <w:tc>
          <w:tcPr>
            <w:tcW w:w="849" w:type="dxa"/>
            <w:gridSpan w:val="2"/>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6,0</w:t>
            </w:r>
          </w:p>
        </w:tc>
        <w:tc>
          <w:tcPr>
            <w:tcW w:w="875" w:type="dxa"/>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6,8</w:t>
            </w:r>
          </w:p>
        </w:tc>
      </w:tr>
      <w:tr w:rsidR="000726DA" w:rsidTr="00C208AF">
        <w:trPr>
          <w:trHeight w:val="552"/>
        </w:trPr>
        <w:tc>
          <w:tcPr>
            <w:tcW w:w="1629" w:type="dxa"/>
            <w:tcBorders>
              <w:top w:val="single" w:sz="4" w:space="0" w:color="auto"/>
              <w:right w:val="single" w:sz="4" w:space="0" w:color="auto"/>
            </w:tcBorders>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Естонија</w:t>
            </w:r>
          </w:p>
        </w:tc>
        <w:tc>
          <w:tcPr>
            <w:tcW w:w="842" w:type="dxa"/>
            <w:gridSpan w:val="3"/>
            <w:tcBorders>
              <w:top w:val="single" w:sz="4" w:space="0" w:color="auto"/>
              <w:left w:val="single" w:sz="4" w:space="0" w:color="auto"/>
              <w:right w:val="single" w:sz="4" w:space="0" w:color="auto"/>
            </w:tcBorders>
          </w:tcPr>
          <w:p w:rsidR="000726DA" w:rsidRDefault="000726DA" w:rsidP="00C208AF">
            <w:pPr>
              <w:pStyle w:val="NoSpacing"/>
              <w:jc w:val="both"/>
              <w:rPr>
                <w:rFonts w:ascii="Times New Roman" w:hAnsi="Times New Roman"/>
                <w:sz w:val="24"/>
                <w:szCs w:val="24"/>
                <w:lang w:val="sr-Cyrl-CS"/>
              </w:rPr>
            </w:pPr>
          </w:p>
        </w:tc>
        <w:tc>
          <w:tcPr>
            <w:tcW w:w="838" w:type="dxa"/>
            <w:tcBorders>
              <w:top w:val="single" w:sz="4" w:space="0" w:color="auto"/>
              <w:left w:val="single" w:sz="4" w:space="0" w:color="auto"/>
            </w:tcBorders>
          </w:tcPr>
          <w:p w:rsidR="000726DA" w:rsidRDefault="000726DA" w:rsidP="00C208AF">
            <w:pPr>
              <w:pStyle w:val="NoSpacing"/>
              <w:jc w:val="both"/>
              <w:rPr>
                <w:rFonts w:ascii="Times New Roman" w:hAnsi="Times New Roman"/>
                <w:sz w:val="24"/>
                <w:szCs w:val="24"/>
                <w:lang w:val="sr-Cyrl-CS"/>
              </w:rPr>
            </w:pPr>
          </w:p>
        </w:tc>
        <w:tc>
          <w:tcPr>
            <w:tcW w:w="854" w:type="dxa"/>
            <w:gridSpan w:val="2"/>
            <w:tcBorders>
              <w:top w:val="single" w:sz="4" w:space="0" w:color="auto"/>
            </w:tcBorders>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1,0</w:t>
            </w:r>
          </w:p>
        </w:tc>
        <w:tc>
          <w:tcPr>
            <w:tcW w:w="846" w:type="dxa"/>
            <w:gridSpan w:val="2"/>
            <w:tcBorders>
              <w:top w:val="single" w:sz="4" w:space="0" w:color="auto"/>
            </w:tcBorders>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1,3</w:t>
            </w:r>
          </w:p>
        </w:tc>
        <w:tc>
          <w:tcPr>
            <w:tcW w:w="851" w:type="dxa"/>
            <w:tcBorders>
              <w:top w:val="single" w:sz="4" w:space="0" w:color="auto"/>
            </w:tcBorders>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0,7</w:t>
            </w:r>
          </w:p>
        </w:tc>
        <w:tc>
          <w:tcPr>
            <w:tcW w:w="855" w:type="dxa"/>
            <w:tcBorders>
              <w:top w:val="single" w:sz="4" w:space="0" w:color="auto"/>
            </w:tcBorders>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0,3</w:t>
            </w:r>
          </w:p>
        </w:tc>
        <w:tc>
          <w:tcPr>
            <w:tcW w:w="848" w:type="dxa"/>
            <w:tcBorders>
              <w:top w:val="single" w:sz="4" w:space="0" w:color="auto"/>
            </w:tcBorders>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1,0</w:t>
            </w:r>
          </w:p>
        </w:tc>
        <w:tc>
          <w:tcPr>
            <w:tcW w:w="849" w:type="dxa"/>
            <w:gridSpan w:val="2"/>
            <w:tcBorders>
              <w:top w:val="single" w:sz="4" w:space="0" w:color="auto"/>
              <w:right w:val="single" w:sz="4" w:space="0" w:color="auto"/>
            </w:tcBorders>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1,1</w:t>
            </w:r>
          </w:p>
        </w:tc>
        <w:tc>
          <w:tcPr>
            <w:tcW w:w="875" w:type="dxa"/>
            <w:tcBorders>
              <w:top w:val="single" w:sz="4" w:space="0" w:color="auto"/>
              <w:left w:val="single" w:sz="4" w:space="0" w:color="auto"/>
            </w:tcBorders>
          </w:tcPr>
          <w:p w:rsidR="000726DA" w:rsidRDefault="000726DA" w:rsidP="00C208AF">
            <w:pPr>
              <w:pStyle w:val="NoSpacing"/>
              <w:jc w:val="both"/>
              <w:rPr>
                <w:rFonts w:ascii="Times New Roman" w:hAnsi="Times New Roman"/>
                <w:sz w:val="24"/>
                <w:szCs w:val="24"/>
                <w:lang w:val="sr-Cyrl-CS"/>
              </w:rPr>
            </w:pPr>
            <w:r>
              <w:rPr>
                <w:rFonts w:ascii="Times New Roman" w:hAnsi="Times New Roman"/>
                <w:sz w:val="24"/>
                <w:szCs w:val="24"/>
                <w:lang w:val="sr-Cyrl-CS"/>
              </w:rPr>
              <w:t>1,0</w:t>
            </w:r>
          </w:p>
        </w:tc>
      </w:tr>
      <w:tr w:rsidR="000726DA" w:rsidTr="00C208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418"/>
        </w:trPr>
        <w:tc>
          <w:tcPr>
            <w:tcW w:w="1638" w:type="dxa"/>
            <w:gridSpan w:val="2"/>
          </w:tcPr>
          <w:p w:rsidR="000726DA" w:rsidRDefault="000726DA" w:rsidP="00C208AF">
            <w:pPr>
              <w:pStyle w:val="NoSpacing"/>
              <w:ind w:left="108"/>
              <w:jc w:val="both"/>
              <w:rPr>
                <w:rFonts w:ascii="Times New Roman" w:hAnsi="Times New Roman"/>
                <w:sz w:val="24"/>
                <w:szCs w:val="24"/>
                <w:lang w:val="sr-Cyrl-CS"/>
              </w:rPr>
            </w:pPr>
            <w:r>
              <w:rPr>
                <w:rFonts w:ascii="Times New Roman" w:hAnsi="Times New Roman"/>
                <w:sz w:val="24"/>
                <w:szCs w:val="24"/>
                <w:lang w:val="sr-Cyrl-CS"/>
              </w:rPr>
              <w:t>Мексико</w:t>
            </w:r>
          </w:p>
        </w:tc>
        <w:tc>
          <w:tcPr>
            <w:tcW w:w="833" w:type="dxa"/>
            <w:gridSpan w:val="2"/>
          </w:tcPr>
          <w:p w:rsidR="000726DA" w:rsidRDefault="000726DA" w:rsidP="00C208AF">
            <w:pPr>
              <w:pStyle w:val="NoSpacing"/>
              <w:ind w:left="108"/>
              <w:jc w:val="both"/>
              <w:rPr>
                <w:rFonts w:ascii="Times New Roman" w:hAnsi="Times New Roman"/>
                <w:sz w:val="24"/>
                <w:szCs w:val="24"/>
                <w:lang w:val="sr-Cyrl-CS"/>
              </w:rPr>
            </w:pPr>
          </w:p>
        </w:tc>
        <w:tc>
          <w:tcPr>
            <w:tcW w:w="852" w:type="dxa"/>
            <w:gridSpan w:val="2"/>
          </w:tcPr>
          <w:p w:rsidR="000726DA" w:rsidRDefault="000726DA" w:rsidP="00C208AF">
            <w:pPr>
              <w:pStyle w:val="NoSpacing"/>
              <w:ind w:left="108"/>
              <w:jc w:val="both"/>
              <w:rPr>
                <w:rFonts w:ascii="Times New Roman" w:hAnsi="Times New Roman"/>
                <w:sz w:val="24"/>
                <w:szCs w:val="24"/>
                <w:lang w:val="sr-Cyrl-CS"/>
              </w:rPr>
            </w:pPr>
            <w:r>
              <w:rPr>
                <w:rFonts w:ascii="Times New Roman" w:hAnsi="Times New Roman"/>
                <w:sz w:val="24"/>
                <w:szCs w:val="24"/>
                <w:lang w:val="sr-Cyrl-CS"/>
              </w:rPr>
              <w:t>0,5</w:t>
            </w:r>
          </w:p>
        </w:tc>
        <w:tc>
          <w:tcPr>
            <w:tcW w:w="840" w:type="dxa"/>
          </w:tcPr>
          <w:p w:rsidR="000726DA" w:rsidRDefault="000726DA" w:rsidP="00C208AF">
            <w:pPr>
              <w:pStyle w:val="NoSpacing"/>
              <w:ind w:left="108"/>
              <w:jc w:val="both"/>
              <w:rPr>
                <w:rFonts w:ascii="Times New Roman" w:hAnsi="Times New Roman"/>
                <w:sz w:val="24"/>
                <w:szCs w:val="24"/>
                <w:lang w:val="sr-Cyrl-CS"/>
              </w:rPr>
            </w:pPr>
            <w:r>
              <w:rPr>
                <w:rFonts w:ascii="Times New Roman" w:hAnsi="Times New Roman"/>
                <w:sz w:val="24"/>
                <w:szCs w:val="24"/>
                <w:lang w:val="sr-Cyrl-CS"/>
              </w:rPr>
              <w:t>1,8</w:t>
            </w:r>
          </w:p>
        </w:tc>
        <w:tc>
          <w:tcPr>
            <w:tcW w:w="840" w:type="dxa"/>
          </w:tcPr>
          <w:p w:rsidR="000726DA" w:rsidRDefault="000726DA" w:rsidP="00C208AF">
            <w:pPr>
              <w:pStyle w:val="NoSpacing"/>
              <w:ind w:left="108"/>
              <w:jc w:val="both"/>
              <w:rPr>
                <w:rFonts w:ascii="Times New Roman" w:hAnsi="Times New Roman"/>
                <w:sz w:val="24"/>
                <w:szCs w:val="24"/>
                <w:lang w:val="sr-Cyrl-CS"/>
              </w:rPr>
            </w:pPr>
            <w:r>
              <w:rPr>
                <w:rFonts w:ascii="Times New Roman" w:hAnsi="Times New Roman"/>
                <w:sz w:val="24"/>
                <w:szCs w:val="24"/>
                <w:lang w:val="sr-Cyrl-CS"/>
              </w:rPr>
              <w:t>1,4</w:t>
            </w:r>
          </w:p>
        </w:tc>
        <w:tc>
          <w:tcPr>
            <w:tcW w:w="857" w:type="dxa"/>
            <w:gridSpan w:val="2"/>
          </w:tcPr>
          <w:p w:rsidR="000726DA" w:rsidRDefault="000726DA" w:rsidP="00C208AF">
            <w:pPr>
              <w:pStyle w:val="NoSpacing"/>
              <w:ind w:left="108"/>
              <w:jc w:val="both"/>
              <w:rPr>
                <w:rFonts w:ascii="Times New Roman" w:hAnsi="Times New Roman"/>
                <w:sz w:val="24"/>
                <w:szCs w:val="24"/>
                <w:lang w:val="sr-Cyrl-CS"/>
              </w:rPr>
            </w:pPr>
            <w:r>
              <w:rPr>
                <w:rFonts w:ascii="Times New Roman" w:hAnsi="Times New Roman"/>
                <w:sz w:val="24"/>
                <w:szCs w:val="24"/>
                <w:lang w:val="sr-Cyrl-CS"/>
              </w:rPr>
              <w:t>1,7</w:t>
            </w:r>
          </w:p>
        </w:tc>
        <w:tc>
          <w:tcPr>
            <w:tcW w:w="855" w:type="dxa"/>
          </w:tcPr>
          <w:p w:rsidR="000726DA" w:rsidRDefault="000726DA" w:rsidP="00C208AF">
            <w:pPr>
              <w:pStyle w:val="NoSpacing"/>
              <w:ind w:left="108"/>
              <w:jc w:val="both"/>
              <w:rPr>
                <w:rFonts w:ascii="Times New Roman" w:hAnsi="Times New Roman"/>
                <w:sz w:val="24"/>
                <w:szCs w:val="24"/>
                <w:lang w:val="sr-Cyrl-CS"/>
              </w:rPr>
            </w:pPr>
            <w:r>
              <w:rPr>
                <w:rFonts w:ascii="Times New Roman" w:hAnsi="Times New Roman"/>
                <w:sz w:val="24"/>
                <w:szCs w:val="24"/>
                <w:lang w:val="sr-Cyrl-CS"/>
              </w:rPr>
              <w:t>1,4</w:t>
            </w:r>
          </w:p>
        </w:tc>
        <w:tc>
          <w:tcPr>
            <w:tcW w:w="855" w:type="dxa"/>
            <w:gridSpan w:val="2"/>
          </w:tcPr>
          <w:p w:rsidR="000726DA" w:rsidRDefault="000726DA" w:rsidP="00C208AF">
            <w:pPr>
              <w:pStyle w:val="NoSpacing"/>
              <w:ind w:left="108"/>
              <w:jc w:val="both"/>
              <w:rPr>
                <w:rFonts w:ascii="Times New Roman" w:hAnsi="Times New Roman"/>
                <w:sz w:val="24"/>
                <w:szCs w:val="24"/>
                <w:lang w:val="sr-Cyrl-CS"/>
              </w:rPr>
            </w:pPr>
            <w:r>
              <w:rPr>
                <w:rFonts w:ascii="Times New Roman" w:hAnsi="Times New Roman"/>
                <w:sz w:val="24"/>
                <w:szCs w:val="24"/>
                <w:lang w:val="sr-Cyrl-CS"/>
              </w:rPr>
              <w:t>1,7</w:t>
            </w:r>
          </w:p>
        </w:tc>
        <w:tc>
          <w:tcPr>
            <w:tcW w:w="842" w:type="dxa"/>
          </w:tcPr>
          <w:p w:rsidR="000726DA" w:rsidRDefault="000726DA" w:rsidP="00C208AF">
            <w:pPr>
              <w:pStyle w:val="NoSpacing"/>
              <w:ind w:left="108"/>
              <w:jc w:val="both"/>
              <w:rPr>
                <w:rFonts w:ascii="Times New Roman" w:hAnsi="Times New Roman"/>
                <w:sz w:val="24"/>
                <w:szCs w:val="24"/>
                <w:lang w:val="sr-Cyrl-CS"/>
              </w:rPr>
            </w:pPr>
            <w:r>
              <w:rPr>
                <w:rFonts w:ascii="Times New Roman" w:hAnsi="Times New Roman"/>
                <w:sz w:val="24"/>
                <w:szCs w:val="24"/>
                <w:lang w:val="sr-Cyrl-CS"/>
              </w:rPr>
              <w:t>1,6</w:t>
            </w:r>
          </w:p>
        </w:tc>
        <w:tc>
          <w:tcPr>
            <w:tcW w:w="875" w:type="dxa"/>
          </w:tcPr>
          <w:p w:rsidR="000726DA" w:rsidRDefault="000726DA" w:rsidP="00C208AF">
            <w:pPr>
              <w:pStyle w:val="NoSpacing"/>
              <w:ind w:left="108"/>
              <w:jc w:val="both"/>
              <w:rPr>
                <w:rFonts w:ascii="Times New Roman" w:hAnsi="Times New Roman"/>
                <w:sz w:val="24"/>
                <w:szCs w:val="24"/>
                <w:lang w:val="sr-Cyrl-CS"/>
              </w:rPr>
            </w:pPr>
            <w:r>
              <w:rPr>
                <w:rFonts w:ascii="Times New Roman" w:hAnsi="Times New Roman"/>
                <w:sz w:val="24"/>
                <w:szCs w:val="24"/>
                <w:lang w:val="sr-Cyrl-CS"/>
              </w:rPr>
              <w:t>1,5</w:t>
            </w:r>
          </w:p>
        </w:tc>
      </w:tr>
      <w:tr w:rsidR="000726DA" w:rsidTr="00C208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405"/>
        </w:trPr>
        <w:tc>
          <w:tcPr>
            <w:tcW w:w="1652" w:type="dxa"/>
            <w:gridSpan w:val="3"/>
          </w:tcPr>
          <w:p w:rsidR="000726DA" w:rsidRDefault="000726DA" w:rsidP="00C208AF">
            <w:pPr>
              <w:pStyle w:val="NoSpacing"/>
              <w:ind w:left="108"/>
              <w:jc w:val="both"/>
              <w:rPr>
                <w:rFonts w:ascii="Times New Roman" w:hAnsi="Times New Roman"/>
                <w:sz w:val="24"/>
                <w:szCs w:val="24"/>
                <w:lang w:val="sr-Cyrl-CS"/>
              </w:rPr>
            </w:pPr>
            <w:r>
              <w:rPr>
                <w:rFonts w:ascii="Times New Roman" w:hAnsi="Times New Roman"/>
                <w:sz w:val="24"/>
                <w:szCs w:val="24"/>
                <w:lang w:val="sr-Cyrl-CS"/>
              </w:rPr>
              <w:t>Пољска</w:t>
            </w:r>
          </w:p>
        </w:tc>
        <w:tc>
          <w:tcPr>
            <w:tcW w:w="819" w:type="dxa"/>
          </w:tcPr>
          <w:p w:rsidR="000726DA" w:rsidRDefault="000726DA" w:rsidP="00C208AF">
            <w:pPr>
              <w:pStyle w:val="NoSpacing"/>
              <w:ind w:left="108"/>
              <w:jc w:val="both"/>
              <w:rPr>
                <w:rFonts w:ascii="Times New Roman" w:hAnsi="Times New Roman"/>
                <w:sz w:val="24"/>
                <w:szCs w:val="24"/>
                <w:lang w:val="sr-Cyrl-CS"/>
              </w:rPr>
            </w:pPr>
          </w:p>
        </w:tc>
        <w:tc>
          <w:tcPr>
            <w:tcW w:w="852" w:type="dxa"/>
            <w:gridSpan w:val="2"/>
          </w:tcPr>
          <w:p w:rsidR="000726DA" w:rsidRDefault="000726DA" w:rsidP="00C208AF">
            <w:pPr>
              <w:pStyle w:val="NoSpacing"/>
              <w:ind w:left="108"/>
              <w:jc w:val="both"/>
              <w:rPr>
                <w:rFonts w:ascii="Times New Roman" w:hAnsi="Times New Roman"/>
                <w:sz w:val="24"/>
                <w:szCs w:val="24"/>
                <w:lang w:val="sr-Cyrl-CS"/>
              </w:rPr>
            </w:pPr>
          </w:p>
        </w:tc>
        <w:tc>
          <w:tcPr>
            <w:tcW w:w="840" w:type="dxa"/>
          </w:tcPr>
          <w:p w:rsidR="000726DA" w:rsidRDefault="000726DA" w:rsidP="00C208AF">
            <w:pPr>
              <w:pStyle w:val="NoSpacing"/>
              <w:ind w:left="108"/>
              <w:jc w:val="both"/>
              <w:rPr>
                <w:rFonts w:ascii="Times New Roman" w:hAnsi="Times New Roman"/>
                <w:sz w:val="24"/>
                <w:szCs w:val="24"/>
                <w:lang w:val="sr-Cyrl-CS"/>
              </w:rPr>
            </w:pPr>
            <w:r>
              <w:rPr>
                <w:rFonts w:ascii="Times New Roman" w:hAnsi="Times New Roman"/>
                <w:sz w:val="24"/>
                <w:szCs w:val="24"/>
                <w:lang w:val="sr-Cyrl-CS"/>
              </w:rPr>
              <w:t>2,8</w:t>
            </w:r>
          </w:p>
        </w:tc>
        <w:tc>
          <w:tcPr>
            <w:tcW w:w="840" w:type="dxa"/>
          </w:tcPr>
          <w:p w:rsidR="000726DA" w:rsidRDefault="000726DA" w:rsidP="00C208AF">
            <w:pPr>
              <w:pStyle w:val="NoSpacing"/>
              <w:ind w:left="108"/>
              <w:jc w:val="both"/>
              <w:rPr>
                <w:rFonts w:ascii="Times New Roman" w:hAnsi="Times New Roman"/>
                <w:sz w:val="24"/>
                <w:szCs w:val="24"/>
                <w:lang w:val="sr-Cyrl-CS"/>
              </w:rPr>
            </w:pPr>
            <w:r>
              <w:rPr>
                <w:rFonts w:ascii="Times New Roman" w:hAnsi="Times New Roman"/>
                <w:sz w:val="24"/>
                <w:szCs w:val="24"/>
                <w:lang w:val="sr-Cyrl-CS"/>
              </w:rPr>
              <w:t>3,5</w:t>
            </w:r>
          </w:p>
        </w:tc>
        <w:tc>
          <w:tcPr>
            <w:tcW w:w="857" w:type="dxa"/>
            <w:gridSpan w:val="2"/>
          </w:tcPr>
          <w:p w:rsidR="000726DA" w:rsidRDefault="000726DA" w:rsidP="00C208AF">
            <w:pPr>
              <w:pStyle w:val="NoSpacing"/>
              <w:ind w:left="108"/>
              <w:jc w:val="both"/>
              <w:rPr>
                <w:rFonts w:ascii="Times New Roman" w:hAnsi="Times New Roman"/>
                <w:sz w:val="24"/>
                <w:szCs w:val="24"/>
                <w:lang w:val="sr-Cyrl-CS"/>
              </w:rPr>
            </w:pPr>
            <w:r>
              <w:rPr>
                <w:rFonts w:ascii="Times New Roman" w:hAnsi="Times New Roman"/>
                <w:sz w:val="24"/>
                <w:szCs w:val="24"/>
                <w:lang w:val="sr-Cyrl-CS"/>
              </w:rPr>
              <w:t>3,4</w:t>
            </w:r>
          </w:p>
        </w:tc>
        <w:tc>
          <w:tcPr>
            <w:tcW w:w="855" w:type="dxa"/>
          </w:tcPr>
          <w:p w:rsidR="000726DA" w:rsidRDefault="000726DA" w:rsidP="00C208AF">
            <w:pPr>
              <w:pStyle w:val="NoSpacing"/>
              <w:ind w:left="108"/>
              <w:jc w:val="both"/>
              <w:rPr>
                <w:rFonts w:ascii="Times New Roman" w:hAnsi="Times New Roman"/>
                <w:sz w:val="24"/>
                <w:szCs w:val="24"/>
                <w:lang w:val="sr-Cyrl-CS"/>
              </w:rPr>
            </w:pPr>
            <w:r>
              <w:rPr>
                <w:rFonts w:ascii="Times New Roman" w:hAnsi="Times New Roman"/>
                <w:sz w:val="24"/>
                <w:szCs w:val="24"/>
                <w:lang w:val="sr-Cyrl-CS"/>
              </w:rPr>
              <w:t>3,6</w:t>
            </w:r>
          </w:p>
        </w:tc>
        <w:tc>
          <w:tcPr>
            <w:tcW w:w="855" w:type="dxa"/>
            <w:gridSpan w:val="2"/>
          </w:tcPr>
          <w:p w:rsidR="000726DA" w:rsidRDefault="000726DA" w:rsidP="00C208AF">
            <w:pPr>
              <w:pStyle w:val="NoSpacing"/>
              <w:ind w:left="108"/>
              <w:jc w:val="both"/>
              <w:rPr>
                <w:rFonts w:ascii="Times New Roman" w:hAnsi="Times New Roman"/>
                <w:sz w:val="24"/>
                <w:szCs w:val="24"/>
                <w:lang w:val="sr-Cyrl-CS"/>
              </w:rPr>
            </w:pPr>
            <w:r>
              <w:rPr>
                <w:rFonts w:ascii="Times New Roman" w:hAnsi="Times New Roman"/>
                <w:sz w:val="24"/>
                <w:szCs w:val="24"/>
                <w:lang w:val="sr-Cyrl-CS"/>
              </w:rPr>
              <w:t>3,9</w:t>
            </w:r>
          </w:p>
        </w:tc>
        <w:tc>
          <w:tcPr>
            <w:tcW w:w="842" w:type="dxa"/>
          </w:tcPr>
          <w:p w:rsidR="000726DA" w:rsidRDefault="000726DA" w:rsidP="00C208AF">
            <w:pPr>
              <w:pStyle w:val="NoSpacing"/>
              <w:ind w:left="108"/>
              <w:jc w:val="both"/>
              <w:rPr>
                <w:rFonts w:ascii="Times New Roman" w:hAnsi="Times New Roman"/>
                <w:sz w:val="24"/>
                <w:szCs w:val="24"/>
                <w:lang w:val="sr-Cyrl-CS"/>
              </w:rPr>
            </w:pPr>
            <w:r>
              <w:rPr>
                <w:rFonts w:ascii="Times New Roman" w:hAnsi="Times New Roman"/>
                <w:sz w:val="24"/>
                <w:szCs w:val="24"/>
                <w:lang w:val="sr-Cyrl-CS"/>
              </w:rPr>
              <w:t>3,8</w:t>
            </w:r>
          </w:p>
        </w:tc>
        <w:tc>
          <w:tcPr>
            <w:tcW w:w="875" w:type="dxa"/>
          </w:tcPr>
          <w:p w:rsidR="000726DA" w:rsidRDefault="000726DA" w:rsidP="00C208AF">
            <w:pPr>
              <w:pStyle w:val="NoSpacing"/>
              <w:ind w:left="108"/>
              <w:jc w:val="both"/>
              <w:rPr>
                <w:rFonts w:ascii="Times New Roman" w:hAnsi="Times New Roman"/>
                <w:sz w:val="24"/>
                <w:szCs w:val="24"/>
                <w:lang w:val="sr-Cyrl-CS"/>
              </w:rPr>
            </w:pPr>
            <w:r>
              <w:rPr>
                <w:rFonts w:ascii="Times New Roman" w:hAnsi="Times New Roman"/>
                <w:sz w:val="24"/>
                <w:szCs w:val="24"/>
                <w:lang w:val="sr-Cyrl-CS"/>
              </w:rPr>
              <w:t>3,7</w:t>
            </w:r>
          </w:p>
        </w:tc>
      </w:tr>
      <w:tr w:rsidR="000726DA" w:rsidTr="00C208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386"/>
        </w:trPr>
        <w:tc>
          <w:tcPr>
            <w:tcW w:w="1652" w:type="dxa"/>
            <w:gridSpan w:val="3"/>
          </w:tcPr>
          <w:p w:rsidR="000726DA" w:rsidRPr="005C2E7C" w:rsidRDefault="000726DA" w:rsidP="00C208AF">
            <w:pPr>
              <w:pStyle w:val="NoSpacing"/>
              <w:ind w:left="108"/>
              <w:jc w:val="both"/>
              <w:rPr>
                <w:rFonts w:ascii="Times New Roman" w:hAnsi="Times New Roman"/>
                <w:sz w:val="24"/>
                <w:szCs w:val="24"/>
                <w:lang w:val="sr-Cyrl-CS"/>
              </w:rPr>
            </w:pPr>
            <w:r w:rsidRPr="005C2E7C">
              <w:rPr>
                <w:rFonts w:ascii="Times New Roman" w:hAnsi="Times New Roman"/>
                <w:sz w:val="24"/>
                <w:szCs w:val="24"/>
                <w:lang w:val="sr-Cyrl-CS"/>
              </w:rPr>
              <w:t>Вели</w:t>
            </w:r>
            <w:r>
              <w:rPr>
                <w:rFonts w:ascii="Times New Roman" w:hAnsi="Times New Roman"/>
                <w:sz w:val="24"/>
                <w:szCs w:val="24"/>
                <w:lang w:val="sr-Cyrl-CS"/>
              </w:rPr>
              <w:t>ка</w:t>
            </w:r>
          </w:p>
          <w:p w:rsidR="000726DA" w:rsidRPr="005C2E7C" w:rsidRDefault="000726DA" w:rsidP="00C208AF">
            <w:pPr>
              <w:pStyle w:val="NoSpacing"/>
              <w:ind w:left="108"/>
              <w:jc w:val="both"/>
              <w:rPr>
                <w:rFonts w:ascii="Times New Roman" w:hAnsi="Times New Roman"/>
                <w:sz w:val="24"/>
                <w:szCs w:val="24"/>
                <w:lang w:val="sr-Cyrl-CS"/>
              </w:rPr>
            </w:pPr>
            <w:r w:rsidRPr="005C2E7C">
              <w:rPr>
                <w:rFonts w:ascii="Times New Roman" w:hAnsi="Times New Roman"/>
                <w:sz w:val="24"/>
                <w:szCs w:val="24"/>
                <w:lang w:val="sr-Cyrl-CS"/>
              </w:rPr>
              <w:t>Британија</w:t>
            </w:r>
          </w:p>
        </w:tc>
        <w:tc>
          <w:tcPr>
            <w:tcW w:w="819" w:type="dxa"/>
          </w:tcPr>
          <w:p w:rsidR="000726DA" w:rsidRPr="00B86A11" w:rsidRDefault="000726DA" w:rsidP="00C208AF">
            <w:pPr>
              <w:rPr>
                <w:rFonts w:ascii="Times New Roman" w:hAnsi="Times New Roman"/>
                <w:sz w:val="24"/>
                <w:szCs w:val="24"/>
                <w:lang w:val="sr-Cyrl-CS"/>
              </w:rPr>
            </w:pPr>
            <w:r>
              <w:rPr>
                <w:rFonts w:ascii="Times New Roman" w:hAnsi="Times New Roman"/>
                <w:sz w:val="24"/>
                <w:szCs w:val="24"/>
                <w:lang w:val="sr-Cyrl-CS"/>
              </w:rPr>
              <w:t>13,9</w:t>
            </w:r>
          </w:p>
          <w:p w:rsidR="000726DA" w:rsidRDefault="000726DA" w:rsidP="00C208AF">
            <w:pPr>
              <w:pStyle w:val="NoSpacing"/>
              <w:jc w:val="both"/>
              <w:rPr>
                <w:rFonts w:ascii="Times New Roman" w:hAnsi="Times New Roman"/>
                <w:b/>
                <w:sz w:val="24"/>
                <w:szCs w:val="24"/>
                <w:lang w:val="sr-Cyrl-CS"/>
              </w:rPr>
            </w:pPr>
          </w:p>
        </w:tc>
        <w:tc>
          <w:tcPr>
            <w:tcW w:w="852" w:type="dxa"/>
            <w:gridSpan w:val="2"/>
          </w:tcPr>
          <w:p w:rsidR="000726DA" w:rsidRPr="00B86A11" w:rsidRDefault="000726DA" w:rsidP="00C208AF">
            <w:pPr>
              <w:rPr>
                <w:rFonts w:ascii="Times New Roman" w:hAnsi="Times New Roman"/>
                <w:sz w:val="24"/>
                <w:szCs w:val="24"/>
                <w:lang w:val="sr-Cyrl-CS"/>
              </w:rPr>
            </w:pPr>
            <w:r>
              <w:rPr>
                <w:rFonts w:ascii="Times New Roman" w:hAnsi="Times New Roman"/>
                <w:sz w:val="24"/>
                <w:szCs w:val="24"/>
                <w:lang w:val="sr-Cyrl-CS"/>
              </w:rPr>
              <w:t>10,7</w:t>
            </w:r>
          </w:p>
          <w:p w:rsidR="000726DA" w:rsidRDefault="000726DA" w:rsidP="00C208AF">
            <w:pPr>
              <w:pStyle w:val="NoSpacing"/>
              <w:jc w:val="both"/>
              <w:rPr>
                <w:rFonts w:ascii="Times New Roman" w:hAnsi="Times New Roman"/>
                <w:b/>
                <w:sz w:val="24"/>
                <w:szCs w:val="24"/>
                <w:lang w:val="sr-Cyrl-CS"/>
              </w:rPr>
            </w:pPr>
          </w:p>
        </w:tc>
        <w:tc>
          <w:tcPr>
            <w:tcW w:w="840" w:type="dxa"/>
          </w:tcPr>
          <w:p w:rsidR="000726DA" w:rsidRPr="00B86A11" w:rsidRDefault="000726DA" w:rsidP="00C208AF">
            <w:pPr>
              <w:rPr>
                <w:rFonts w:ascii="Times New Roman" w:hAnsi="Times New Roman"/>
                <w:sz w:val="24"/>
                <w:szCs w:val="24"/>
                <w:lang w:val="sr-Cyrl-CS"/>
              </w:rPr>
            </w:pPr>
            <w:r>
              <w:rPr>
                <w:rFonts w:ascii="Times New Roman" w:hAnsi="Times New Roman"/>
                <w:sz w:val="24"/>
                <w:szCs w:val="24"/>
                <w:lang w:val="sr-Cyrl-CS"/>
              </w:rPr>
              <w:t>11,1</w:t>
            </w:r>
          </w:p>
          <w:p w:rsidR="000726DA" w:rsidRDefault="000726DA" w:rsidP="00C208AF">
            <w:pPr>
              <w:pStyle w:val="NoSpacing"/>
              <w:jc w:val="both"/>
              <w:rPr>
                <w:rFonts w:ascii="Times New Roman" w:hAnsi="Times New Roman"/>
                <w:b/>
                <w:sz w:val="24"/>
                <w:szCs w:val="24"/>
                <w:lang w:val="sr-Cyrl-CS"/>
              </w:rPr>
            </w:pPr>
          </w:p>
        </w:tc>
        <w:tc>
          <w:tcPr>
            <w:tcW w:w="840" w:type="dxa"/>
          </w:tcPr>
          <w:p w:rsidR="000726DA" w:rsidRPr="00B86A11" w:rsidRDefault="000726DA" w:rsidP="00C208AF">
            <w:pPr>
              <w:rPr>
                <w:rFonts w:ascii="Times New Roman" w:hAnsi="Times New Roman"/>
                <w:sz w:val="24"/>
                <w:szCs w:val="24"/>
                <w:lang w:val="sr-Cyrl-CS"/>
              </w:rPr>
            </w:pPr>
            <w:r>
              <w:rPr>
                <w:rFonts w:ascii="Times New Roman" w:hAnsi="Times New Roman"/>
                <w:sz w:val="24"/>
                <w:szCs w:val="24"/>
                <w:lang w:val="sr-Cyrl-CS"/>
              </w:rPr>
              <w:t>10,1</w:t>
            </w:r>
          </w:p>
          <w:p w:rsidR="000726DA" w:rsidRDefault="000726DA" w:rsidP="00C208AF">
            <w:pPr>
              <w:pStyle w:val="NoSpacing"/>
              <w:jc w:val="both"/>
              <w:rPr>
                <w:rFonts w:ascii="Times New Roman" w:hAnsi="Times New Roman"/>
                <w:b/>
                <w:sz w:val="24"/>
                <w:szCs w:val="24"/>
                <w:lang w:val="sr-Cyrl-CS"/>
              </w:rPr>
            </w:pPr>
          </w:p>
        </w:tc>
        <w:tc>
          <w:tcPr>
            <w:tcW w:w="857" w:type="dxa"/>
            <w:gridSpan w:val="2"/>
          </w:tcPr>
          <w:p w:rsidR="000726DA" w:rsidRPr="00B86A11" w:rsidRDefault="000726DA" w:rsidP="00C208AF">
            <w:pPr>
              <w:rPr>
                <w:rFonts w:ascii="Times New Roman" w:hAnsi="Times New Roman"/>
                <w:sz w:val="24"/>
                <w:szCs w:val="24"/>
                <w:lang w:val="sr-Cyrl-CS"/>
              </w:rPr>
            </w:pPr>
            <w:r>
              <w:rPr>
                <w:rFonts w:ascii="Times New Roman" w:hAnsi="Times New Roman"/>
                <w:sz w:val="24"/>
                <w:szCs w:val="24"/>
                <w:lang w:val="sr-Cyrl-CS"/>
              </w:rPr>
              <w:t>11,2</w:t>
            </w:r>
          </w:p>
          <w:p w:rsidR="000726DA" w:rsidRPr="00B86A11" w:rsidRDefault="000726DA" w:rsidP="00C208AF">
            <w:pPr>
              <w:pStyle w:val="NoSpacing"/>
              <w:jc w:val="both"/>
              <w:rPr>
                <w:rFonts w:ascii="Times New Roman" w:hAnsi="Times New Roman"/>
                <w:sz w:val="24"/>
                <w:szCs w:val="24"/>
                <w:lang w:val="sr-Cyrl-CS"/>
              </w:rPr>
            </w:pPr>
          </w:p>
        </w:tc>
        <w:tc>
          <w:tcPr>
            <w:tcW w:w="855" w:type="dxa"/>
          </w:tcPr>
          <w:p w:rsidR="000726DA" w:rsidRPr="00B86A11" w:rsidRDefault="000726DA" w:rsidP="00C208AF">
            <w:pPr>
              <w:rPr>
                <w:rFonts w:ascii="Times New Roman" w:hAnsi="Times New Roman"/>
                <w:sz w:val="24"/>
                <w:szCs w:val="24"/>
                <w:lang w:val="sr-Cyrl-CS"/>
              </w:rPr>
            </w:pPr>
            <w:r>
              <w:rPr>
                <w:rFonts w:ascii="Times New Roman" w:hAnsi="Times New Roman"/>
                <w:sz w:val="24"/>
                <w:szCs w:val="24"/>
                <w:lang w:val="sr-Cyrl-CS"/>
              </w:rPr>
              <w:t>12,0</w:t>
            </w:r>
          </w:p>
          <w:p w:rsidR="000726DA" w:rsidRPr="00B86A11" w:rsidRDefault="000726DA" w:rsidP="00C208AF">
            <w:pPr>
              <w:pStyle w:val="NoSpacing"/>
              <w:jc w:val="both"/>
              <w:rPr>
                <w:rFonts w:ascii="Times New Roman" w:hAnsi="Times New Roman"/>
                <w:sz w:val="24"/>
                <w:szCs w:val="24"/>
                <w:lang w:val="sr-Cyrl-CS"/>
              </w:rPr>
            </w:pPr>
          </w:p>
        </w:tc>
        <w:tc>
          <w:tcPr>
            <w:tcW w:w="855" w:type="dxa"/>
            <w:gridSpan w:val="2"/>
          </w:tcPr>
          <w:p w:rsidR="000726DA" w:rsidRPr="00B86A11" w:rsidRDefault="000726DA" w:rsidP="00C208AF">
            <w:pPr>
              <w:rPr>
                <w:rFonts w:ascii="Times New Roman" w:hAnsi="Times New Roman"/>
                <w:sz w:val="24"/>
                <w:szCs w:val="24"/>
                <w:lang w:val="sr-Cyrl-CS"/>
              </w:rPr>
            </w:pPr>
            <w:r>
              <w:rPr>
                <w:rFonts w:ascii="Times New Roman" w:hAnsi="Times New Roman"/>
                <w:sz w:val="24"/>
                <w:szCs w:val="24"/>
                <w:lang w:val="sr-Cyrl-CS"/>
              </w:rPr>
              <w:t>13,8</w:t>
            </w:r>
          </w:p>
          <w:p w:rsidR="000726DA" w:rsidRPr="00B86A11" w:rsidRDefault="000726DA" w:rsidP="00C208AF">
            <w:pPr>
              <w:pStyle w:val="NoSpacing"/>
              <w:jc w:val="both"/>
              <w:rPr>
                <w:rFonts w:ascii="Times New Roman" w:hAnsi="Times New Roman"/>
                <w:sz w:val="24"/>
                <w:szCs w:val="24"/>
                <w:lang w:val="sr-Cyrl-CS"/>
              </w:rPr>
            </w:pPr>
          </w:p>
        </w:tc>
        <w:tc>
          <w:tcPr>
            <w:tcW w:w="842" w:type="dxa"/>
          </w:tcPr>
          <w:p w:rsidR="000726DA" w:rsidRPr="00B86A11" w:rsidRDefault="000726DA" w:rsidP="00C208AF">
            <w:pPr>
              <w:rPr>
                <w:rFonts w:ascii="Times New Roman" w:hAnsi="Times New Roman"/>
                <w:sz w:val="24"/>
                <w:szCs w:val="24"/>
                <w:lang w:val="sr-Cyrl-CS"/>
              </w:rPr>
            </w:pPr>
            <w:r w:rsidRPr="00B86A11">
              <w:rPr>
                <w:rFonts w:ascii="Times New Roman" w:hAnsi="Times New Roman"/>
                <w:sz w:val="24"/>
                <w:szCs w:val="24"/>
                <w:lang w:val="sr-Cyrl-CS"/>
              </w:rPr>
              <w:t>13</w:t>
            </w:r>
            <w:r>
              <w:rPr>
                <w:rFonts w:ascii="Times New Roman" w:hAnsi="Times New Roman"/>
                <w:sz w:val="24"/>
                <w:szCs w:val="24"/>
                <w:lang w:val="sr-Cyrl-CS"/>
              </w:rPr>
              <w:t>,</w:t>
            </w:r>
            <w:r w:rsidRPr="00B86A11">
              <w:rPr>
                <w:rFonts w:ascii="Times New Roman" w:hAnsi="Times New Roman"/>
                <w:sz w:val="24"/>
                <w:szCs w:val="24"/>
                <w:lang w:val="sr-Cyrl-CS"/>
              </w:rPr>
              <w:t>0</w:t>
            </w:r>
          </w:p>
          <w:p w:rsidR="000726DA" w:rsidRPr="00B86A11" w:rsidRDefault="000726DA" w:rsidP="00C208AF">
            <w:pPr>
              <w:pStyle w:val="NoSpacing"/>
              <w:jc w:val="both"/>
              <w:rPr>
                <w:rFonts w:ascii="Times New Roman" w:hAnsi="Times New Roman"/>
                <w:sz w:val="24"/>
                <w:szCs w:val="24"/>
                <w:lang w:val="sr-Cyrl-CS"/>
              </w:rPr>
            </w:pPr>
          </w:p>
        </w:tc>
        <w:tc>
          <w:tcPr>
            <w:tcW w:w="875" w:type="dxa"/>
          </w:tcPr>
          <w:p w:rsidR="000726DA" w:rsidRPr="00B86A11" w:rsidRDefault="000726DA" w:rsidP="00C208AF">
            <w:pPr>
              <w:rPr>
                <w:rFonts w:ascii="Times New Roman" w:hAnsi="Times New Roman"/>
                <w:sz w:val="24"/>
                <w:szCs w:val="24"/>
                <w:lang w:val="sr-Cyrl-CS"/>
              </w:rPr>
            </w:pPr>
            <w:r w:rsidRPr="00B86A11">
              <w:rPr>
                <w:rFonts w:ascii="Times New Roman" w:hAnsi="Times New Roman"/>
                <w:sz w:val="24"/>
                <w:szCs w:val="24"/>
                <w:lang w:val="sr-Cyrl-CS"/>
              </w:rPr>
              <w:t>12</w:t>
            </w:r>
            <w:r>
              <w:rPr>
                <w:rFonts w:ascii="Times New Roman" w:hAnsi="Times New Roman"/>
                <w:sz w:val="24"/>
                <w:szCs w:val="24"/>
                <w:lang w:val="sr-Cyrl-CS"/>
              </w:rPr>
              <w:t>,</w:t>
            </w:r>
            <w:r w:rsidRPr="00B86A11">
              <w:rPr>
                <w:rFonts w:ascii="Times New Roman" w:hAnsi="Times New Roman"/>
                <w:sz w:val="24"/>
                <w:szCs w:val="24"/>
                <w:lang w:val="sr-Cyrl-CS"/>
              </w:rPr>
              <w:t>4</w:t>
            </w:r>
          </w:p>
          <w:p w:rsidR="000726DA" w:rsidRPr="00B86A11" w:rsidRDefault="000726DA" w:rsidP="00C208AF">
            <w:pPr>
              <w:pStyle w:val="NoSpacing"/>
              <w:jc w:val="both"/>
              <w:rPr>
                <w:rFonts w:ascii="Times New Roman" w:hAnsi="Times New Roman"/>
                <w:sz w:val="24"/>
                <w:szCs w:val="24"/>
                <w:lang w:val="sr-Cyrl-CS"/>
              </w:rPr>
            </w:pPr>
          </w:p>
        </w:tc>
      </w:tr>
      <w:tr w:rsidR="000726DA" w:rsidTr="00C208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565"/>
        </w:trPr>
        <w:tc>
          <w:tcPr>
            <w:tcW w:w="1652" w:type="dxa"/>
            <w:gridSpan w:val="3"/>
          </w:tcPr>
          <w:p w:rsidR="000726DA" w:rsidRPr="005C2E7C" w:rsidRDefault="000726DA" w:rsidP="00C208AF">
            <w:pPr>
              <w:pStyle w:val="NoSpacing"/>
              <w:ind w:left="108"/>
              <w:jc w:val="both"/>
              <w:rPr>
                <w:rFonts w:ascii="Times New Roman" w:hAnsi="Times New Roman"/>
                <w:sz w:val="24"/>
                <w:szCs w:val="24"/>
                <w:lang w:val="sr-Cyrl-CS"/>
              </w:rPr>
            </w:pPr>
            <w:r w:rsidRPr="005C2E7C">
              <w:rPr>
                <w:rFonts w:ascii="Times New Roman" w:hAnsi="Times New Roman"/>
                <w:sz w:val="24"/>
                <w:szCs w:val="24"/>
                <w:lang w:val="sr-Cyrl-CS"/>
              </w:rPr>
              <w:t>Швајцарска</w:t>
            </w:r>
          </w:p>
        </w:tc>
        <w:tc>
          <w:tcPr>
            <w:tcW w:w="819" w:type="dxa"/>
          </w:tcPr>
          <w:p w:rsidR="000726DA" w:rsidRPr="00B86A11" w:rsidRDefault="000726DA" w:rsidP="00C208AF">
            <w:pPr>
              <w:pStyle w:val="NoSpacing"/>
              <w:ind w:left="108"/>
              <w:jc w:val="both"/>
              <w:rPr>
                <w:rFonts w:ascii="Times New Roman" w:hAnsi="Times New Roman"/>
                <w:sz w:val="24"/>
                <w:szCs w:val="24"/>
                <w:lang w:val="sr-Cyrl-CS"/>
              </w:rPr>
            </w:pPr>
            <w:r w:rsidRPr="00B86A11">
              <w:rPr>
                <w:rFonts w:ascii="Times New Roman" w:hAnsi="Times New Roman"/>
                <w:sz w:val="24"/>
                <w:szCs w:val="24"/>
                <w:lang w:val="sr-Cyrl-CS"/>
              </w:rPr>
              <w:t>8</w:t>
            </w:r>
            <w:r>
              <w:rPr>
                <w:rFonts w:ascii="Times New Roman" w:hAnsi="Times New Roman"/>
                <w:sz w:val="24"/>
                <w:szCs w:val="24"/>
                <w:lang w:val="sr-Cyrl-CS"/>
              </w:rPr>
              <w:t>,</w:t>
            </w:r>
            <w:r w:rsidRPr="00B86A11">
              <w:rPr>
                <w:rFonts w:ascii="Times New Roman" w:hAnsi="Times New Roman"/>
                <w:sz w:val="24"/>
                <w:szCs w:val="24"/>
                <w:lang w:val="sr-Cyrl-CS"/>
              </w:rPr>
              <w:t>0</w:t>
            </w:r>
          </w:p>
        </w:tc>
        <w:tc>
          <w:tcPr>
            <w:tcW w:w="852" w:type="dxa"/>
            <w:gridSpan w:val="2"/>
          </w:tcPr>
          <w:p w:rsidR="000726DA" w:rsidRPr="00B86A11" w:rsidRDefault="000726DA" w:rsidP="00C208AF">
            <w:pPr>
              <w:pStyle w:val="NoSpacing"/>
              <w:ind w:left="108"/>
              <w:jc w:val="both"/>
              <w:rPr>
                <w:rFonts w:ascii="Times New Roman" w:hAnsi="Times New Roman"/>
                <w:sz w:val="24"/>
                <w:szCs w:val="24"/>
                <w:lang w:val="sr-Cyrl-CS"/>
              </w:rPr>
            </w:pPr>
            <w:r w:rsidRPr="00B86A11">
              <w:rPr>
                <w:rFonts w:ascii="Times New Roman" w:hAnsi="Times New Roman"/>
                <w:sz w:val="24"/>
                <w:szCs w:val="24"/>
                <w:lang w:val="sr-Cyrl-CS"/>
              </w:rPr>
              <w:t>9</w:t>
            </w:r>
            <w:r>
              <w:rPr>
                <w:rFonts w:ascii="Times New Roman" w:hAnsi="Times New Roman"/>
                <w:sz w:val="24"/>
                <w:szCs w:val="24"/>
                <w:lang w:val="sr-Cyrl-CS"/>
              </w:rPr>
              <w:t>,</w:t>
            </w:r>
            <w:r w:rsidRPr="00B86A11">
              <w:rPr>
                <w:rFonts w:ascii="Times New Roman" w:hAnsi="Times New Roman"/>
                <w:sz w:val="24"/>
                <w:szCs w:val="24"/>
                <w:lang w:val="sr-Cyrl-CS"/>
              </w:rPr>
              <w:t>3</w:t>
            </w:r>
          </w:p>
        </w:tc>
        <w:tc>
          <w:tcPr>
            <w:tcW w:w="840" w:type="dxa"/>
          </w:tcPr>
          <w:p w:rsidR="000726DA" w:rsidRPr="00B86A11" w:rsidRDefault="000726DA" w:rsidP="00C208AF">
            <w:pPr>
              <w:pStyle w:val="NoSpacing"/>
              <w:ind w:left="108"/>
              <w:jc w:val="both"/>
              <w:rPr>
                <w:rFonts w:ascii="Times New Roman" w:hAnsi="Times New Roman"/>
                <w:sz w:val="24"/>
                <w:szCs w:val="24"/>
                <w:lang w:val="sr-Cyrl-CS"/>
              </w:rPr>
            </w:pPr>
            <w:r w:rsidRPr="00B86A11">
              <w:rPr>
                <w:rFonts w:ascii="Times New Roman" w:hAnsi="Times New Roman"/>
                <w:sz w:val="24"/>
                <w:szCs w:val="24"/>
                <w:lang w:val="sr-Cyrl-CS"/>
              </w:rPr>
              <w:t>7</w:t>
            </w:r>
            <w:r>
              <w:rPr>
                <w:rFonts w:ascii="Times New Roman" w:hAnsi="Times New Roman"/>
                <w:sz w:val="24"/>
                <w:szCs w:val="24"/>
                <w:lang w:val="sr-Cyrl-CS"/>
              </w:rPr>
              <w:t>,</w:t>
            </w:r>
            <w:r w:rsidRPr="00B86A11">
              <w:rPr>
                <w:rFonts w:ascii="Times New Roman" w:hAnsi="Times New Roman"/>
                <w:sz w:val="24"/>
                <w:szCs w:val="24"/>
                <w:lang w:val="sr-Cyrl-CS"/>
              </w:rPr>
              <w:t>8</w:t>
            </w:r>
          </w:p>
        </w:tc>
        <w:tc>
          <w:tcPr>
            <w:tcW w:w="840" w:type="dxa"/>
          </w:tcPr>
          <w:p w:rsidR="000726DA" w:rsidRPr="00B86A11" w:rsidRDefault="000726DA" w:rsidP="00C208AF">
            <w:pPr>
              <w:pStyle w:val="NoSpacing"/>
              <w:ind w:left="108"/>
              <w:jc w:val="both"/>
              <w:rPr>
                <w:rFonts w:ascii="Times New Roman" w:hAnsi="Times New Roman"/>
                <w:sz w:val="24"/>
                <w:szCs w:val="24"/>
                <w:lang w:val="sr-Cyrl-CS"/>
              </w:rPr>
            </w:pPr>
            <w:r w:rsidRPr="00B86A11">
              <w:rPr>
                <w:rFonts w:ascii="Times New Roman" w:hAnsi="Times New Roman"/>
                <w:sz w:val="24"/>
                <w:szCs w:val="24"/>
                <w:lang w:val="sr-Cyrl-CS"/>
              </w:rPr>
              <w:t>9</w:t>
            </w:r>
            <w:r>
              <w:rPr>
                <w:rFonts w:ascii="Times New Roman" w:hAnsi="Times New Roman"/>
                <w:sz w:val="24"/>
                <w:szCs w:val="24"/>
                <w:lang w:val="sr-Cyrl-CS"/>
              </w:rPr>
              <w:t>,</w:t>
            </w:r>
            <w:r w:rsidRPr="00B86A11">
              <w:rPr>
                <w:rFonts w:ascii="Times New Roman" w:hAnsi="Times New Roman"/>
                <w:sz w:val="24"/>
                <w:szCs w:val="24"/>
                <w:lang w:val="sr-Cyrl-CS"/>
              </w:rPr>
              <w:t>0</w:t>
            </w:r>
          </w:p>
        </w:tc>
        <w:tc>
          <w:tcPr>
            <w:tcW w:w="857" w:type="dxa"/>
            <w:gridSpan w:val="2"/>
          </w:tcPr>
          <w:p w:rsidR="000726DA" w:rsidRPr="00B86A11" w:rsidRDefault="000726DA" w:rsidP="00C208AF">
            <w:pPr>
              <w:pStyle w:val="NoSpacing"/>
              <w:ind w:left="108"/>
              <w:jc w:val="both"/>
              <w:rPr>
                <w:rFonts w:ascii="Times New Roman" w:hAnsi="Times New Roman"/>
                <w:sz w:val="24"/>
                <w:szCs w:val="24"/>
                <w:lang w:val="sr-Cyrl-CS"/>
              </w:rPr>
            </w:pPr>
            <w:r w:rsidRPr="00B86A11">
              <w:rPr>
                <w:rFonts w:ascii="Times New Roman" w:hAnsi="Times New Roman"/>
                <w:sz w:val="24"/>
                <w:szCs w:val="24"/>
                <w:lang w:val="sr-Cyrl-CS"/>
              </w:rPr>
              <w:t>7</w:t>
            </w:r>
            <w:r>
              <w:rPr>
                <w:rFonts w:ascii="Times New Roman" w:hAnsi="Times New Roman"/>
                <w:sz w:val="24"/>
                <w:szCs w:val="24"/>
                <w:lang w:val="sr-Cyrl-CS"/>
              </w:rPr>
              <w:t>,</w:t>
            </w:r>
            <w:r w:rsidRPr="00B86A11">
              <w:rPr>
                <w:rFonts w:ascii="Times New Roman" w:hAnsi="Times New Roman"/>
                <w:sz w:val="24"/>
                <w:szCs w:val="24"/>
                <w:lang w:val="sr-Cyrl-CS"/>
              </w:rPr>
              <w:t>9</w:t>
            </w:r>
          </w:p>
        </w:tc>
        <w:tc>
          <w:tcPr>
            <w:tcW w:w="855" w:type="dxa"/>
          </w:tcPr>
          <w:p w:rsidR="000726DA" w:rsidRPr="00B86A11" w:rsidRDefault="000726DA" w:rsidP="00C208AF">
            <w:pPr>
              <w:pStyle w:val="NoSpacing"/>
              <w:ind w:left="108"/>
              <w:jc w:val="both"/>
              <w:rPr>
                <w:rFonts w:ascii="Times New Roman" w:hAnsi="Times New Roman"/>
                <w:sz w:val="24"/>
                <w:szCs w:val="24"/>
                <w:lang w:val="sr-Cyrl-CS"/>
              </w:rPr>
            </w:pPr>
            <w:r w:rsidRPr="00B86A11">
              <w:rPr>
                <w:rFonts w:ascii="Times New Roman" w:hAnsi="Times New Roman"/>
                <w:sz w:val="24"/>
                <w:szCs w:val="24"/>
                <w:lang w:val="sr-Cyrl-CS"/>
              </w:rPr>
              <w:t>7</w:t>
            </w:r>
            <w:r>
              <w:rPr>
                <w:rFonts w:ascii="Times New Roman" w:hAnsi="Times New Roman"/>
                <w:sz w:val="24"/>
                <w:szCs w:val="24"/>
                <w:lang w:val="sr-Cyrl-CS"/>
              </w:rPr>
              <w:t>,</w:t>
            </w:r>
            <w:r w:rsidRPr="00B86A11">
              <w:rPr>
                <w:rFonts w:ascii="Times New Roman" w:hAnsi="Times New Roman"/>
                <w:sz w:val="24"/>
                <w:szCs w:val="24"/>
                <w:lang w:val="sr-Cyrl-CS"/>
              </w:rPr>
              <w:t>4</w:t>
            </w:r>
          </w:p>
        </w:tc>
        <w:tc>
          <w:tcPr>
            <w:tcW w:w="855" w:type="dxa"/>
            <w:gridSpan w:val="2"/>
          </w:tcPr>
          <w:p w:rsidR="000726DA" w:rsidRPr="00B86A11" w:rsidRDefault="000726DA" w:rsidP="00C208AF">
            <w:pPr>
              <w:pStyle w:val="NoSpacing"/>
              <w:ind w:left="108"/>
              <w:jc w:val="both"/>
              <w:rPr>
                <w:rFonts w:ascii="Times New Roman" w:hAnsi="Times New Roman"/>
                <w:sz w:val="24"/>
                <w:szCs w:val="24"/>
                <w:lang w:val="sr-Cyrl-CS"/>
              </w:rPr>
            </w:pPr>
            <w:r w:rsidRPr="00B86A11">
              <w:rPr>
                <w:rFonts w:ascii="Times New Roman" w:hAnsi="Times New Roman"/>
                <w:sz w:val="24"/>
                <w:szCs w:val="24"/>
                <w:lang w:val="sr-Cyrl-CS"/>
              </w:rPr>
              <w:t>7</w:t>
            </w:r>
            <w:r>
              <w:rPr>
                <w:rFonts w:ascii="Times New Roman" w:hAnsi="Times New Roman"/>
                <w:sz w:val="24"/>
                <w:szCs w:val="24"/>
                <w:lang w:val="sr-Cyrl-CS"/>
              </w:rPr>
              <w:t>,</w:t>
            </w:r>
            <w:r w:rsidRPr="00B86A11">
              <w:rPr>
                <w:rFonts w:ascii="Times New Roman" w:hAnsi="Times New Roman"/>
                <w:sz w:val="24"/>
                <w:szCs w:val="24"/>
                <w:lang w:val="sr-Cyrl-CS"/>
              </w:rPr>
              <w:t>4</w:t>
            </w:r>
          </w:p>
        </w:tc>
        <w:tc>
          <w:tcPr>
            <w:tcW w:w="842" w:type="dxa"/>
          </w:tcPr>
          <w:p w:rsidR="000726DA" w:rsidRPr="00B86A11" w:rsidRDefault="000726DA" w:rsidP="00C208AF">
            <w:pPr>
              <w:pStyle w:val="NoSpacing"/>
              <w:ind w:left="108"/>
              <w:jc w:val="both"/>
              <w:rPr>
                <w:rFonts w:ascii="Times New Roman" w:hAnsi="Times New Roman"/>
                <w:sz w:val="24"/>
                <w:szCs w:val="24"/>
                <w:lang w:val="sr-Cyrl-CS"/>
              </w:rPr>
            </w:pPr>
            <w:r w:rsidRPr="00B86A11">
              <w:rPr>
                <w:rFonts w:ascii="Times New Roman" w:hAnsi="Times New Roman"/>
                <w:sz w:val="24"/>
                <w:szCs w:val="24"/>
                <w:lang w:val="sr-Cyrl-CS"/>
              </w:rPr>
              <w:t>7</w:t>
            </w:r>
            <w:r>
              <w:rPr>
                <w:rFonts w:ascii="Times New Roman" w:hAnsi="Times New Roman"/>
                <w:sz w:val="24"/>
                <w:szCs w:val="24"/>
                <w:lang w:val="sr-Cyrl-CS"/>
              </w:rPr>
              <w:t>,</w:t>
            </w:r>
            <w:r w:rsidRPr="00B86A11">
              <w:rPr>
                <w:rFonts w:ascii="Times New Roman" w:hAnsi="Times New Roman"/>
                <w:sz w:val="24"/>
                <w:szCs w:val="24"/>
                <w:lang w:val="sr-Cyrl-CS"/>
              </w:rPr>
              <w:t>4</w:t>
            </w:r>
          </w:p>
        </w:tc>
        <w:tc>
          <w:tcPr>
            <w:tcW w:w="875" w:type="dxa"/>
          </w:tcPr>
          <w:p w:rsidR="000726DA" w:rsidRPr="00B86A11" w:rsidRDefault="000726DA" w:rsidP="00C208AF">
            <w:pPr>
              <w:pStyle w:val="NoSpacing"/>
              <w:ind w:left="108"/>
              <w:jc w:val="both"/>
              <w:rPr>
                <w:rFonts w:ascii="Times New Roman" w:hAnsi="Times New Roman"/>
                <w:sz w:val="24"/>
                <w:szCs w:val="24"/>
                <w:lang w:val="sr-Cyrl-CS"/>
              </w:rPr>
            </w:pPr>
            <w:r w:rsidRPr="00B86A11">
              <w:rPr>
                <w:rFonts w:ascii="Times New Roman" w:hAnsi="Times New Roman"/>
                <w:sz w:val="24"/>
                <w:szCs w:val="24"/>
                <w:lang w:val="sr-Cyrl-CS"/>
              </w:rPr>
              <w:t>7</w:t>
            </w:r>
            <w:r>
              <w:rPr>
                <w:rFonts w:ascii="Times New Roman" w:hAnsi="Times New Roman"/>
                <w:sz w:val="24"/>
                <w:szCs w:val="24"/>
                <w:lang w:val="sr-Cyrl-CS"/>
              </w:rPr>
              <w:t>,</w:t>
            </w:r>
            <w:r w:rsidRPr="00B86A11">
              <w:rPr>
                <w:rFonts w:ascii="Times New Roman" w:hAnsi="Times New Roman"/>
                <w:sz w:val="24"/>
                <w:szCs w:val="24"/>
                <w:lang w:val="sr-Cyrl-CS"/>
              </w:rPr>
              <w:t>1</w:t>
            </w:r>
          </w:p>
        </w:tc>
      </w:tr>
      <w:tr w:rsidR="000726DA" w:rsidTr="00C208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573"/>
        </w:trPr>
        <w:tc>
          <w:tcPr>
            <w:tcW w:w="1652" w:type="dxa"/>
            <w:gridSpan w:val="3"/>
          </w:tcPr>
          <w:p w:rsidR="000726DA" w:rsidRPr="005C2E7C" w:rsidRDefault="000726DA" w:rsidP="00C208AF">
            <w:pPr>
              <w:pStyle w:val="NoSpacing"/>
              <w:ind w:left="108"/>
              <w:jc w:val="both"/>
              <w:rPr>
                <w:rFonts w:ascii="Times New Roman" w:hAnsi="Times New Roman"/>
                <w:sz w:val="24"/>
                <w:szCs w:val="24"/>
                <w:lang w:val="sr-Cyrl-CS"/>
              </w:rPr>
            </w:pPr>
            <w:r w:rsidRPr="005C2E7C">
              <w:rPr>
                <w:rFonts w:ascii="Times New Roman" w:hAnsi="Times New Roman"/>
                <w:sz w:val="24"/>
                <w:szCs w:val="24"/>
                <w:lang w:val="sr-Cyrl-CS"/>
              </w:rPr>
              <w:t>Шведска</w:t>
            </w:r>
          </w:p>
        </w:tc>
        <w:tc>
          <w:tcPr>
            <w:tcW w:w="819" w:type="dxa"/>
          </w:tcPr>
          <w:p w:rsidR="000726DA" w:rsidRPr="00A3504C" w:rsidRDefault="000726DA" w:rsidP="00C208AF">
            <w:pPr>
              <w:pStyle w:val="NoSpacing"/>
              <w:ind w:left="108"/>
              <w:jc w:val="both"/>
              <w:rPr>
                <w:rFonts w:ascii="Times New Roman" w:hAnsi="Times New Roman"/>
                <w:sz w:val="24"/>
                <w:szCs w:val="24"/>
                <w:lang w:val="sr-Cyrl-CS"/>
              </w:rPr>
            </w:pPr>
            <w:r w:rsidRPr="00A3504C">
              <w:rPr>
                <w:rFonts w:ascii="Times New Roman" w:hAnsi="Times New Roman"/>
                <w:sz w:val="24"/>
                <w:szCs w:val="24"/>
                <w:lang w:val="sr-Cyrl-CS"/>
              </w:rPr>
              <w:t>1,1</w:t>
            </w:r>
          </w:p>
        </w:tc>
        <w:tc>
          <w:tcPr>
            <w:tcW w:w="852" w:type="dxa"/>
            <w:gridSpan w:val="2"/>
          </w:tcPr>
          <w:p w:rsidR="000726DA" w:rsidRPr="00A3504C" w:rsidRDefault="000726DA" w:rsidP="00C208AF">
            <w:pPr>
              <w:pStyle w:val="NoSpacing"/>
              <w:ind w:left="108"/>
              <w:jc w:val="both"/>
              <w:rPr>
                <w:rFonts w:ascii="Times New Roman" w:hAnsi="Times New Roman"/>
                <w:sz w:val="24"/>
                <w:szCs w:val="24"/>
                <w:lang w:val="sr-Cyrl-CS"/>
              </w:rPr>
            </w:pPr>
            <w:r w:rsidRPr="00A3504C">
              <w:rPr>
                <w:rFonts w:ascii="Times New Roman" w:hAnsi="Times New Roman"/>
                <w:sz w:val="24"/>
                <w:szCs w:val="24"/>
                <w:lang w:val="sr-Cyrl-CS"/>
              </w:rPr>
              <w:t>2,3</w:t>
            </w:r>
          </w:p>
        </w:tc>
        <w:tc>
          <w:tcPr>
            <w:tcW w:w="840" w:type="dxa"/>
          </w:tcPr>
          <w:p w:rsidR="000726DA" w:rsidRPr="00A3504C" w:rsidRDefault="000726DA" w:rsidP="00C208AF">
            <w:pPr>
              <w:pStyle w:val="NoSpacing"/>
              <w:ind w:left="108"/>
              <w:jc w:val="both"/>
              <w:rPr>
                <w:rFonts w:ascii="Times New Roman" w:hAnsi="Times New Roman"/>
                <w:sz w:val="24"/>
                <w:szCs w:val="24"/>
                <w:lang w:val="sr-Cyrl-CS"/>
              </w:rPr>
            </w:pPr>
            <w:r w:rsidRPr="00A3504C">
              <w:rPr>
                <w:rFonts w:ascii="Times New Roman" w:hAnsi="Times New Roman"/>
                <w:sz w:val="24"/>
                <w:szCs w:val="24"/>
                <w:lang w:val="sr-Cyrl-CS"/>
              </w:rPr>
              <w:t>2,7</w:t>
            </w:r>
          </w:p>
        </w:tc>
        <w:tc>
          <w:tcPr>
            <w:tcW w:w="840" w:type="dxa"/>
          </w:tcPr>
          <w:p w:rsidR="000726DA" w:rsidRPr="00A3504C" w:rsidRDefault="000726DA" w:rsidP="00C208AF">
            <w:pPr>
              <w:pStyle w:val="NoSpacing"/>
              <w:ind w:left="108"/>
              <w:jc w:val="both"/>
              <w:rPr>
                <w:rFonts w:ascii="Times New Roman" w:hAnsi="Times New Roman"/>
                <w:sz w:val="24"/>
                <w:szCs w:val="24"/>
                <w:lang w:val="sr-Cyrl-CS"/>
              </w:rPr>
            </w:pPr>
            <w:r w:rsidRPr="00A3504C">
              <w:rPr>
                <w:rFonts w:ascii="Times New Roman" w:hAnsi="Times New Roman"/>
                <w:sz w:val="24"/>
                <w:szCs w:val="24"/>
                <w:lang w:val="sr-Cyrl-CS"/>
              </w:rPr>
              <w:t>3,4</w:t>
            </w:r>
          </w:p>
        </w:tc>
        <w:tc>
          <w:tcPr>
            <w:tcW w:w="857" w:type="dxa"/>
            <w:gridSpan w:val="2"/>
          </w:tcPr>
          <w:p w:rsidR="000726DA" w:rsidRPr="00A3504C" w:rsidRDefault="000726DA" w:rsidP="00C208AF">
            <w:pPr>
              <w:pStyle w:val="NoSpacing"/>
              <w:ind w:left="108"/>
              <w:jc w:val="both"/>
              <w:rPr>
                <w:rFonts w:ascii="Times New Roman" w:hAnsi="Times New Roman"/>
                <w:sz w:val="24"/>
                <w:szCs w:val="24"/>
                <w:lang w:val="sr-Cyrl-CS"/>
              </w:rPr>
            </w:pPr>
            <w:r w:rsidRPr="00A3504C">
              <w:rPr>
                <w:rFonts w:ascii="Times New Roman" w:hAnsi="Times New Roman"/>
                <w:sz w:val="24"/>
                <w:szCs w:val="24"/>
                <w:lang w:val="sr-Cyrl-CS"/>
              </w:rPr>
              <w:t>2,4</w:t>
            </w:r>
          </w:p>
        </w:tc>
        <w:tc>
          <w:tcPr>
            <w:tcW w:w="855" w:type="dxa"/>
          </w:tcPr>
          <w:p w:rsidR="000726DA" w:rsidRPr="00A3504C" w:rsidRDefault="000726DA" w:rsidP="00C208AF">
            <w:pPr>
              <w:pStyle w:val="NoSpacing"/>
              <w:ind w:left="108"/>
              <w:jc w:val="both"/>
              <w:rPr>
                <w:rFonts w:ascii="Times New Roman" w:hAnsi="Times New Roman"/>
                <w:sz w:val="24"/>
                <w:szCs w:val="24"/>
                <w:lang w:val="sr-Cyrl-CS"/>
              </w:rPr>
            </w:pPr>
            <w:r w:rsidRPr="00A3504C">
              <w:rPr>
                <w:rFonts w:ascii="Times New Roman" w:hAnsi="Times New Roman"/>
                <w:sz w:val="24"/>
                <w:szCs w:val="24"/>
                <w:lang w:val="sr-Cyrl-CS"/>
              </w:rPr>
              <w:t>2,3</w:t>
            </w:r>
          </w:p>
        </w:tc>
        <w:tc>
          <w:tcPr>
            <w:tcW w:w="855" w:type="dxa"/>
            <w:gridSpan w:val="2"/>
          </w:tcPr>
          <w:p w:rsidR="000726DA" w:rsidRPr="00A3504C" w:rsidRDefault="000726DA" w:rsidP="00C208AF">
            <w:pPr>
              <w:pStyle w:val="NoSpacing"/>
              <w:ind w:left="108"/>
              <w:jc w:val="both"/>
              <w:rPr>
                <w:rFonts w:ascii="Times New Roman" w:hAnsi="Times New Roman"/>
                <w:sz w:val="24"/>
                <w:szCs w:val="24"/>
                <w:lang w:val="sr-Cyrl-CS"/>
              </w:rPr>
            </w:pPr>
            <w:r w:rsidRPr="00A3504C">
              <w:rPr>
                <w:rFonts w:ascii="Times New Roman" w:hAnsi="Times New Roman"/>
                <w:sz w:val="24"/>
                <w:szCs w:val="24"/>
                <w:lang w:val="sr-Cyrl-CS"/>
              </w:rPr>
              <w:t>2,4</w:t>
            </w:r>
          </w:p>
        </w:tc>
        <w:tc>
          <w:tcPr>
            <w:tcW w:w="842" w:type="dxa"/>
          </w:tcPr>
          <w:p w:rsidR="000726DA" w:rsidRPr="00A3504C" w:rsidRDefault="000726DA" w:rsidP="00C208AF">
            <w:pPr>
              <w:pStyle w:val="NoSpacing"/>
              <w:ind w:left="108"/>
              <w:jc w:val="both"/>
              <w:rPr>
                <w:rFonts w:ascii="Times New Roman" w:hAnsi="Times New Roman"/>
                <w:sz w:val="24"/>
                <w:szCs w:val="24"/>
                <w:lang w:val="sr-Cyrl-CS"/>
              </w:rPr>
            </w:pPr>
            <w:r w:rsidRPr="00A3504C">
              <w:rPr>
                <w:rFonts w:ascii="Times New Roman" w:hAnsi="Times New Roman"/>
                <w:sz w:val="24"/>
                <w:szCs w:val="24"/>
                <w:lang w:val="sr-Cyrl-CS"/>
              </w:rPr>
              <w:t>2,4</w:t>
            </w:r>
          </w:p>
        </w:tc>
        <w:tc>
          <w:tcPr>
            <w:tcW w:w="875" w:type="dxa"/>
          </w:tcPr>
          <w:p w:rsidR="000726DA" w:rsidRPr="00A3504C" w:rsidRDefault="000726DA" w:rsidP="00C208AF">
            <w:pPr>
              <w:pStyle w:val="NoSpacing"/>
              <w:ind w:left="108"/>
              <w:jc w:val="both"/>
              <w:rPr>
                <w:rFonts w:ascii="Times New Roman" w:hAnsi="Times New Roman"/>
                <w:sz w:val="24"/>
                <w:szCs w:val="24"/>
                <w:lang w:val="sr-Cyrl-CS"/>
              </w:rPr>
            </w:pPr>
            <w:r w:rsidRPr="00A3504C">
              <w:rPr>
                <w:rFonts w:ascii="Times New Roman" w:hAnsi="Times New Roman"/>
                <w:sz w:val="24"/>
                <w:szCs w:val="24"/>
                <w:lang w:val="sr-Cyrl-CS"/>
              </w:rPr>
              <w:t>2,4</w:t>
            </w:r>
          </w:p>
        </w:tc>
      </w:tr>
      <w:tr w:rsidR="000726DA" w:rsidTr="00C208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554"/>
        </w:trPr>
        <w:tc>
          <w:tcPr>
            <w:tcW w:w="1652" w:type="dxa"/>
            <w:gridSpan w:val="3"/>
          </w:tcPr>
          <w:p w:rsidR="000726DA" w:rsidRPr="005C2E7C" w:rsidRDefault="000726DA" w:rsidP="00C208AF">
            <w:pPr>
              <w:pStyle w:val="NoSpacing"/>
              <w:ind w:left="108"/>
              <w:jc w:val="both"/>
              <w:rPr>
                <w:rFonts w:ascii="Times New Roman" w:hAnsi="Times New Roman"/>
                <w:sz w:val="24"/>
                <w:szCs w:val="24"/>
                <w:lang w:val="sr-Cyrl-CS"/>
              </w:rPr>
            </w:pPr>
            <w:r w:rsidRPr="005C2E7C">
              <w:rPr>
                <w:rFonts w:ascii="Times New Roman" w:hAnsi="Times New Roman"/>
                <w:sz w:val="24"/>
                <w:szCs w:val="24"/>
                <w:lang w:val="sr-Cyrl-CS"/>
              </w:rPr>
              <w:t>САД</w:t>
            </w:r>
          </w:p>
        </w:tc>
        <w:tc>
          <w:tcPr>
            <w:tcW w:w="819" w:type="dxa"/>
          </w:tcPr>
          <w:p w:rsidR="000726DA" w:rsidRPr="00A3504C" w:rsidRDefault="000726DA" w:rsidP="00C208AF">
            <w:pPr>
              <w:pStyle w:val="NoSpacing"/>
              <w:ind w:left="108"/>
              <w:jc w:val="both"/>
              <w:rPr>
                <w:rFonts w:ascii="Times New Roman" w:hAnsi="Times New Roman"/>
                <w:sz w:val="24"/>
                <w:szCs w:val="24"/>
                <w:lang w:val="sr-Cyrl-CS"/>
              </w:rPr>
            </w:pPr>
            <w:r w:rsidRPr="00A3504C">
              <w:rPr>
                <w:rFonts w:ascii="Times New Roman" w:hAnsi="Times New Roman"/>
                <w:sz w:val="24"/>
                <w:szCs w:val="24"/>
                <w:lang w:val="sr-Cyrl-CS"/>
              </w:rPr>
              <w:t>13,9</w:t>
            </w:r>
          </w:p>
        </w:tc>
        <w:tc>
          <w:tcPr>
            <w:tcW w:w="852" w:type="dxa"/>
            <w:gridSpan w:val="2"/>
          </w:tcPr>
          <w:p w:rsidR="000726DA" w:rsidRPr="00A3504C" w:rsidRDefault="000726DA" w:rsidP="00C208AF">
            <w:pPr>
              <w:pStyle w:val="NoSpacing"/>
              <w:ind w:left="108"/>
              <w:jc w:val="both"/>
              <w:rPr>
                <w:rFonts w:ascii="Times New Roman" w:hAnsi="Times New Roman"/>
                <w:sz w:val="24"/>
                <w:szCs w:val="24"/>
                <w:lang w:val="sr-Cyrl-CS"/>
              </w:rPr>
            </w:pPr>
            <w:r w:rsidRPr="00A3504C">
              <w:rPr>
                <w:rFonts w:ascii="Times New Roman" w:hAnsi="Times New Roman"/>
                <w:sz w:val="24"/>
                <w:szCs w:val="24"/>
                <w:lang w:val="sr-Cyrl-CS"/>
              </w:rPr>
              <w:t>10,7</w:t>
            </w:r>
          </w:p>
        </w:tc>
        <w:tc>
          <w:tcPr>
            <w:tcW w:w="840" w:type="dxa"/>
          </w:tcPr>
          <w:p w:rsidR="000726DA" w:rsidRPr="00A3504C" w:rsidRDefault="000726DA" w:rsidP="00C208AF">
            <w:pPr>
              <w:pStyle w:val="NoSpacing"/>
              <w:ind w:left="108"/>
              <w:jc w:val="both"/>
              <w:rPr>
                <w:rFonts w:ascii="Times New Roman" w:hAnsi="Times New Roman"/>
                <w:sz w:val="24"/>
                <w:szCs w:val="24"/>
                <w:lang w:val="sr-Cyrl-CS"/>
              </w:rPr>
            </w:pPr>
            <w:r w:rsidRPr="00A3504C">
              <w:rPr>
                <w:rFonts w:ascii="Times New Roman" w:hAnsi="Times New Roman"/>
                <w:sz w:val="24"/>
                <w:szCs w:val="24"/>
                <w:lang w:val="sr-Cyrl-CS"/>
              </w:rPr>
              <w:t>11,1</w:t>
            </w:r>
          </w:p>
        </w:tc>
        <w:tc>
          <w:tcPr>
            <w:tcW w:w="840" w:type="dxa"/>
          </w:tcPr>
          <w:p w:rsidR="000726DA" w:rsidRPr="00A3504C" w:rsidRDefault="000726DA" w:rsidP="00C208AF">
            <w:pPr>
              <w:pStyle w:val="NoSpacing"/>
              <w:ind w:left="108"/>
              <w:jc w:val="both"/>
              <w:rPr>
                <w:rFonts w:ascii="Times New Roman" w:hAnsi="Times New Roman"/>
                <w:sz w:val="24"/>
                <w:szCs w:val="24"/>
                <w:lang w:val="sr-Cyrl-CS"/>
              </w:rPr>
            </w:pPr>
            <w:r w:rsidRPr="00A3504C">
              <w:rPr>
                <w:rFonts w:ascii="Times New Roman" w:hAnsi="Times New Roman"/>
                <w:sz w:val="24"/>
                <w:szCs w:val="24"/>
                <w:lang w:val="sr-Cyrl-CS"/>
              </w:rPr>
              <w:t>10,1</w:t>
            </w:r>
          </w:p>
        </w:tc>
        <w:tc>
          <w:tcPr>
            <w:tcW w:w="857" w:type="dxa"/>
            <w:gridSpan w:val="2"/>
          </w:tcPr>
          <w:p w:rsidR="000726DA" w:rsidRPr="00A3504C" w:rsidRDefault="000726DA" w:rsidP="00C208AF">
            <w:pPr>
              <w:pStyle w:val="NoSpacing"/>
              <w:ind w:left="108"/>
              <w:jc w:val="both"/>
              <w:rPr>
                <w:rFonts w:ascii="Times New Roman" w:hAnsi="Times New Roman"/>
                <w:sz w:val="24"/>
                <w:szCs w:val="24"/>
                <w:lang w:val="sr-Cyrl-CS"/>
              </w:rPr>
            </w:pPr>
            <w:r w:rsidRPr="00A3504C">
              <w:rPr>
                <w:rFonts w:ascii="Times New Roman" w:hAnsi="Times New Roman"/>
                <w:sz w:val="24"/>
                <w:szCs w:val="24"/>
                <w:lang w:val="sr-Cyrl-CS"/>
              </w:rPr>
              <w:t>11,2</w:t>
            </w:r>
          </w:p>
        </w:tc>
        <w:tc>
          <w:tcPr>
            <w:tcW w:w="855" w:type="dxa"/>
          </w:tcPr>
          <w:p w:rsidR="000726DA" w:rsidRPr="00A3504C" w:rsidRDefault="000726DA" w:rsidP="00C208AF">
            <w:pPr>
              <w:pStyle w:val="NoSpacing"/>
              <w:ind w:left="108"/>
              <w:jc w:val="both"/>
              <w:rPr>
                <w:rFonts w:ascii="Times New Roman" w:hAnsi="Times New Roman"/>
                <w:sz w:val="24"/>
                <w:szCs w:val="24"/>
                <w:lang w:val="sr-Cyrl-CS"/>
              </w:rPr>
            </w:pPr>
            <w:r w:rsidRPr="00A3504C">
              <w:rPr>
                <w:rFonts w:ascii="Times New Roman" w:hAnsi="Times New Roman"/>
                <w:sz w:val="24"/>
                <w:szCs w:val="24"/>
                <w:lang w:val="sr-Cyrl-CS"/>
              </w:rPr>
              <w:t>12,0</w:t>
            </w:r>
          </w:p>
        </w:tc>
        <w:tc>
          <w:tcPr>
            <w:tcW w:w="855" w:type="dxa"/>
            <w:gridSpan w:val="2"/>
          </w:tcPr>
          <w:p w:rsidR="000726DA" w:rsidRPr="00A3504C" w:rsidRDefault="000726DA" w:rsidP="00C208AF">
            <w:pPr>
              <w:pStyle w:val="NoSpacing"/>
              <w:ind w:left="108"/>
              <w:jc w:val="both"/>
              <w:rPr>
                <w:rFonts w:ascii="Times New Roman" w:hAnsi="Times New Roman"/>
                <w:sz w:val="24"/>
                <w:szCs w:val="24"/>
                <w:lang w:val="sr-Cyrl-CS"/>
              </w:rPr>
            </w:pPr>
            <w:r w:rsidRPr="00A3504C">
              <w:rPr>
                <w:rFonts w:ascii="Times New Roman" w:hAnsi="Times New Roman"/>
                <w:sz w:val="24"/>
                <w:szCs w:val="24"/>
                <w:lang w:val="sr-Cyrl-CS"/>
              </w:rPr>
              <w:t>13,8</w:t>
            </w:r>
          </w:p>
        </w:tc>
        <w:tc>
          <w:tcPr>
            <w:tcW w:w="842" w:type="dxa"/>
          </w:tcPr>
          <w:p w:rsidR="000726DA" w:rsidRPr="00A3504C" w:rsidRDefault="000726DA" w:rsidP="00C208AF">
            <w:pPr>
              <w:pStyle w:val="NoSpacing"/>
              <w:ind w:left="108"/>
              <w:jc w:val="both"/>
              <w:rPr>
                <w:rFonts w:ascii="Times New Roman" w:hAnsi="Times New Roman"/>
                <w:sz w:val="24"/>
                <w:szCs w:val="24"/>
                <w:lang w:val="sr-Cyrl-CS"/>
              </w:rPr>
            </w:pPr>
            <w:r w:rsidRPr="00A3504C">
              <w:rPr>
                <w:rFonts w:ascii="Times New Roman" w:hAnsi="Times New Roman"/>
                <w:sz w:val="24"/>
                <w:szCs w:val="24"/>
                <w:lang w:val="sr-Cyrl-CS"/>
              </w:rPr>
              <w:t>13,0</w:t>
            </w:r>
          </w:p>
        </w:tc>
        <w:tc>
          <w:tcPr>
            <w:tcW w:w="875" w:type="dxa"/>
          </w:tcPr>
          <w:p w:rsidR="000726DA" w:rsidRPr="00A3504C" w:rsidRDefault="000726DA" w:rsidP="00C208AF">
            <w:pPr>
              <w:pStyle w:val="NoSpacing"/>
              <w:ind w:left="108"/>
              <w:jc w:val="both"/>
              <w:rPr>
                <w:rFonts w:ascii="Times New Roman" w:hAnsi="Times New Roman"/>
                <w:sz w:val="24"/>
                <w:szCs w:val="24"/>
                <w:lang w:val="sr-Cyrl-CS"/>
              </w:rPr>
            </w:pPr>
            <w:r w:rsidRPr="00A3504C">
              <w:rPr>
                <w:rFonts w:ascii="Times New Roman" w:hAnsi="Times New Roman"/>
                <w:sz w:val="24"/>
                <w:szCs w:val="24"/>
                <w:lang w:val="sr-Cyrl-CS"/>
              </w:rPr>
              <w:t>12,4</w:t>
            </w:r>
          </w:p>
        </w:tc>
      </w:tr>
      <w:tr w:rsidR="000726DA" w:rsidTr="00C208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405"/>
        </w:trPr>
        <w:tc>
          <w:tcPr>
            <w:tcW w:w="1652" w:type="dxa"/>
            <w:gridSpan w:val="3"/>
          </w:tcPr>
          <w:p w:rsidR="000726DA" w:rsidRPr="00DD2D31" w:rsidRDefault="000726DA" w:rsidP="00C208AF">
            <w:pPr>
              <w:pStyle w:val="NoSpacing"/>
              <w:ind w:left="108"/>
              <w:jc w:val="both"/>
              <w:rPr>
                <w:rFonts w:ascii="Times New Roman" w:hAnsi="Times New Roman"/>
                <w:sz w:val="24"/>
                <w:szCs w:val="24"/>
                <w:lang w:val="sr-Cyrl-CS"/>
              </w:rPr>
            </w:pPr>
            <w:r w:rsidRPr="00DD2D31">
              <w:rPr>
                <w:rFonts w:ascii="Times New Roman" w:hAnsi="Times New Roman"/>
                <w:sz w:val="24"/>
                <w:szCs w:val="24"/>
                <w:lang w:val="sr-Cyrl-CS"/>
              </w:rPr>
              <w:t>ОЕЦД-просек</w:t>
            </w:r>
          </w:p>
        </w:tc>
        <w:tc>
          <w:tcPr>
            <w:tcW w:w="819" w:type="dxa"/>
          </w:tcPr>
          <w:p w:rsidR="000726DA" w:rsidRPr="00A3504C" w:rsidRDefault="000726DA" w:rsidP="00C208AF">
            <w:pPr>
              <w:pStyle w:val="NoSpacing"/>
              <w:ind w:left="108"/>
              <w:jc w:val="both"/>
              <w:rPr>
                <w:rFonts w:ascii="Times New Roman" w:hAnsi="Times New Roman"/>
                <w:sz w:val="24"/>
                <w:szCs w:val="24"/>
                <w:lang w:val="sr-Cyrl-CS"/>
              </w:rPr>
            </w:pPr>
            <w:r w:rsidRPr="00A3504C">
              <w:rPr>
                <w:rFonts w:ascii="Times New Roman" w:hAnsi="Times New Roman"/>
                <w:sz w:val="24"/>
                <w:szCs w:val="24"/>
                <w:lang w:val="sr-Cyrl-CS"/>
              </w:rPr>
              <w:t>6,3</w:t>
            </w:r>
          </w:p>
        </w:tc>
        <w:tc>
          <w:tcPr>
            <w:tcW w:w="852" w:type="dxa"/>
            <w:gridSpan w:val="2"/>
          </w:tcPr>
          <w:p w:rsidR="000726DA" w:rsidRPr="00A3504C" w:rsidRDefault="000726DA" w:rsidP="00C208AF">
            <w:pPr>
              <w:pStyle w:val="NoSpacing"/>
              <w:ind w:left="108"/>
              <w:jc w:val="both"/>
              <w:rPr>
                <w:rFonts w:ascii="Times New Roman" w:hAnsi="Times New Roman"/>
                <w:sz w:val="24"/>
                <w:szCs w:val="24"/>
                <w:lang w:val="sr-Cyrl-CS"/>
              </w:rPr>
            </w:pPr>
            <w:r w:rsidRPr="00A3504C">
              <w:rPr>
                <w:rFonts w:ascii="Times New Roman" w:hAnsi="Times New Roman"/>
                <w:sz w:val="24"/>
                <w:szCs w:val="24"/>
                <w:lang w:val="sr-Cyrl-CS"/>
              </w:rPr>
              <w:t>5,4</w:t>
            </w:r>
          </w:p>
        </w:tc>
        <w:tc>
          <w:tcPr>
            <w:tcW w:w="840" w:type="dxa"/>
          </w:tcPr>
          <w:p w:rsidR="000726DA" w:rsidRPr="00A3504C" w:rsidRDefault="000726DA" w:rsidP="00C208AF">
            <w:pPr>
              <w:pStyle w:val="NoSpacing"/>
              <w:ind w:left="108"/>
              <w:jc w:val="both"/>
              <w:rPr>
                <w:rFonts w:ascii="Times New Roman" w:hAnsi="Times New Roman"/>
                <w:sz w:val="24"/>
                <w:szCs w:val="24"/>
                <w:lang w:val="sr-Cyrl-CS"/>
              </w:rPr>
            </w:pPr>
            <w:r w:rsidRPr="00A3504C">
              <w:rPr>
                <w:rFonts w:ascii="Times New Roman" w:hAnsi="Times New Roman"/>
                <w:sz w:val="24"/>
                <w:szCs w:val="24"/>
                <w:lang w:val="sr-Cyrl-CS"/>
              </w:rPr>
              <w:t>5,3</w:t>
            </w:r>
          </w:p>
        </w:tc>
        <w:tc>
          <w:tcPr>
            <w:tcW w:w="840" w:type="dxa"/>
          </w:tcPr>
          <w:p w:rsidR="000726DA" w:rsidRPr="00A3504C" w:rsidRDefault="000726DA" w:rsidP="00C208AF">
            <w:pPr>
              <w:pStyle w:val="NoSpacing"/>
              <w:ind w:left="108"/>
              <w:jc w:val="both"/>
              <w:rPr>
                <w:rFonts w:ascii="Times New Roman" w:hAnsi="Times New Roman"/>
                <w:sz w:val="24"/>
                <w:szCs w:val="24"/>
                <w:lang w:val="sr-Cyrl-CS"/>
              </w:rPr>
            </w:pPr>
            <w:r w:rsidRPr="00A3504C">
              <w:rPr>
                <w:rFonts w:ascii="Times New Roman" w:hAnsi="Times New Roman"/>
                <w:sz w:val="24"/>
                <w:szCs w:val="24"/>
                <w:lang w:val="sr-Cyrl-CS"/>
              </w:rPr>
              <w:t>5,5</w:t>
            </w:r>
          </w:p>
        </w:tc>
        <w:tc>
          <w:tcPr>
            <w:tcW w:w="857" w:type="dxa"/>
            <w:gridSpan w:val="2"/>
          </w:tcPr>
          <w:p w:rsidR="000726DA" w:rsidRPr="00A3504C" w:rsidRDefault="000726DA" w:rsidP="00C208AF">
            <w:pPr>
              <w:pStyle w:val="NoSpacing"/>
              <w:ind w:left="108"/>
              <w:jc w:val="both"/>
              <w:rPr>
                <w:rFonts w:ascii="Times New Roman" w:hAnsi="Times New Roman"/>
                <w:sz w:val="24"/>
                <w:szCs w:val="24"/>
                <w:lang w:val="sr-Cyrl-CS"/>
              </w:rPr>
            </w:pPr>
            <w:r w:rsidRPr="00A3504C">
              <w:rPr>
                <w:rFonts w:ascii="Times New Roman" w:hAnsi="Times New Roman"/>
                <w:sz w:val="24"/>
                <w:szCs w:val="24"/>
                <w:lang w:val="sr-Cyrl-CS"/>
              </w:rPr>
              <w:t>5,6</w:t>
            </w:r>
          </w:p>
        </w:tc>
        <w:tc>
          <w:tcPr>
            <w:tcW w:w="855" w:type="dxa"/>
          </w:tcPr>
          <w:p w:rsidR="000726DA" w:rsidRPr="00A3504C" w:rsidRDefault="000726DA" w:rsidP="00C208AF">
            <w:pPr>
              <w:pStyle w:val="NoSpacing"/>
              <w:ind w:left="108"/>
              <w:jc w:val="both"/>
              <w:rPr>
                <w:rFonts w:ascii="Times New Roman" w:hAnsi="Times New Roman"/>
                <w:sz w:val="24"/>
                <w:szCs w:val="24"/>
                <w:lang w:val="sr-Cyrl-CS"/>
              </w:rPr>
            </w:pPr>
            <w:r w:rsidRPr="00A3504C">
              <w:rPr>
                <w:rFonts w:ascii="Times New Roman" w:hAnsi="Times New Roman"/>
                <w:sz w:val="24"/>
                <w:szCs w:val="24"/>
                <w:lang w:val="sr-Cyrl-CS"/>
              </w:rPr>
              <w:t>5,4</w:t>
            </w:r>
          </w:p>
        </w:tc>
        <w:tc>
          <w:tcPr>
            <w:tcW w:w="855" w:type="dxa"/>
            <w:gridSpan w:val="2"/>
          </w:tcPr>
          <w:p w:rsidR="000726DA" w:rsidRPr="00A3504C" w:rsidRDefault="000726DA" w:rsidP="00C208AF">
            <w:pPr>
              <w:pStyle w:val="NoSpacing"/>
              <w:ind w:left="108"/>
              <w:jc w:val="both"/>
              <w:rPr>
                <w:rFonts w:ascii="Times New Roman" w:hAnsi="Times New Roman"/>
                <w:sz w:val="24"/>
                <w:szCs w:val="24"/>
                <w:lang w:val="sr-Cyrl-CS"/>
              </w:rPr>
            </w:pPr>
            <w:r w:rsidRPr="00A3504C">
              <w:rPr>
                <w:rFonts w:ascii="Times New Roman" w:hAnsi="Times New Roman"/>
                <w:sz w:val="24"/>
                <w:szCs w:val="24"/>
                <w:lang w:val="sr-Cyrl-CS"/>
              </w:rPr>
              <w:t>5,5</w:t>
            </w:r>
          </w:p>
        </w:tc>
        <w:tc>
          <w:tcPr>
            <w:tcW w:w="840" w:type="dxa"/>
          </w:tcPr>
          <w:p w:rsidR="000726DA" w:rsidRPr="00A3504C" w:rsidRDefault="000726DA" w:rsidP="00C208AF">
            <w:pPr>
              <w:pStyle w:val="NoSpacing"/>
              <w:ind w:left="108"/>
              <w:jc w:val="both"/>
              <w:rPr>
                <w:rFonts w:ascii="Times New Roman" w:hAnsi="Times New Roman"/>
                <w:sz w:val="24"/>
                <w:szCs w:val="24"/>
                <w:lang w:val="sr-Cyrl-CS"/>
              </w:rPr>
            </w:pPr>
            <w:r w:rsidRPr="00A3504C">
              <w:rPr>
                <w:rFonts w:ascii="Times New Roman" w:hAnsi="Times New Roman"/>
                <w:sz w:val="24"/>
                <w:szCs w:val="24"/>
                <w:lang w:val="sr-Cyrl-CS"/>
              </w:rPr>
              <w:t>5,5</w:t>
            </w:r>
          </w:p>
        </w:tc>
        <w:tc>
          <w:tcPr>
            <w:tcW w:w="877" w:type="dxa"/>
          </w:tcPr>
          <w:p w:rsidR="000726DA" w:rsidRPr="00A3504C" w:rsidRDefault="000726DA" w:rsidP="00C208AF">
            <w:pPr>
              <w:pStyle w:val="NoSpacing"/>
              <w:ind w:left="108"/>
              <w:jc w:val="both"/>
              <w:rPr>
                <w:rFonts w:ascii="Times New Roman" w:hAnsi="Times New Roman"/>
                <w:sz w:val="24"/>
                <w:szCs w:val="24"/>
                <w:lang w:val="sr-Cyrl-CS"/>
              </w:rPr>
            </w:pPr>
            <w:r w:rsidRPr="00A3504C">
              <w:rPr>
                <w:rFonts w:ascii="Times New Roman" w:hAnsi="Times New Roman"/>
                <w:sz w:val="24"/>
                <w:szCs w:val="24"/>
                <w:lang w:val="sr-Cyrl-CS"/>
              </w:rPr>
              <w:t>5,4</w:t>
            </w:r>
          </w:p>
        </w:tc>
      </w:tr>
    </w:tbl>
    <w:p w:rsidR="000726DA" w:rsidRDefault="000726DA" w:rsidP="000726DA">
      <w:pPr>
        <w:pStyle w:val="NoSpacing"/>
        <w:jc w:val="both"/>
        <w:rPr>
          <w:rFonts w:ascii="Times New Roman" w:hAnsi="Times New Roman"/>
          <w:b/>
          <w:sz w:val="24"/>
          <w:szCs w:val="24"/>
          <w:lang w:val="sr-Cyrl-CS"/>
        </w:rPr>
      </w:pPr>
    </w:p>
    <w:p w:rsidR="000726DA" w:rsidRDefault="000726DA" w:rsidP="000726DA">
      <w:pPr>
        <w:pStyle w:val="NoSpacing"/>
        <w:jc w:val="both"/>
        <w:rPr>
          <w:rFonts w:ascii="Times New Roman" w:hAnsi="Times New Roman"/>
          <w:b/>
          <w:sz w:val="24"/>
          <w:szCs w:val="24"/>
          <w:lang w:val="sr-Cyrl-CS"/>
        </w:rPr>
      </w:pPr>
    </w:p>
    <w:p w:rsidR="000726DA" w:rsidRDefault="000726DA" w:rsidP="000726DA">
      <w:pPr>
        <w:ind w:firstLine="708"/>
        <w:jc w:val="both"/>
        <w:rPr>
          <w:rFonts w:ascii="Times New Roman" w:hAnsi="Times New Roman"/>
          <w:sz w:val="24"/>
          <w:szCs w:val="24"/>
          <w:lang w:val="sr-Cyrl-CS"/>
        </w:rPr>
      </w:pPr>
      <w:r w:rsidRPr="00E6138E">
        <w:rPr>
          <w:rFonts w:ascii="Times New Roman" w:hAnsi="Times New Roman"/>
          <w:sz w:val="24"/>
          <w:szCs w:val="24"/>
          <w:lang w:val="sr-Cyrl-CS"/>
        </w:rPr>
        <w:t xml:space="preserve">Анализом учешћа прихода од пореза на имовину у укупним пореским приходима може се закључити да највећи проценат учешћа током целог посматраног </w:t>
      </w:r>
      <w:r w:rsidRPr="00E6138E">
        <w:rPr>
          <w:rFonts w:ascii="Times New Roman" w:hAnsi="Times New Roman"/>
          <w:sz w:val="24"/>
          <w:szCs w:val="24"/>
          <w:lang w:val="sr-Cyrl-CS"/>
        </w:rPr>
        <w:lastRenderedPageBreak/>
        <w:t>периода имају САД и Велика Британија. Наиме, у овим државама проценат учешћа прелази 10%. Са друге стране најмањи проценат учеша пореза на имовину у укупним пореским приходима се креће око 1,0% у Естонији, али је мали број земаља код којих је проценат учешћа мањи од 3,0%. Просечно учешће прихода од пореза на имовину у укупним пореским приходима се смањује од 6,3% колико је износило 1975. године до 5,4%, колико је износило 2011. године.</w:t>
      </w:r>
      <w:r>
        <w:rPr>
          <w:rFonts w:ascii="Times New Roman" w:hAnsi="Times New Roman"/>
          <w:sz w:val="24"/>
          <w:szCs w:val="24"/>
          <w:lang w:val="sr-Cyrl-CS"/>
        </w:rPr>
        <w:t xml:space="preserve"> </w:t>
      </w:r>
    </w:p>
    <w:p w:rsidR="000726DA" w:rsidRPr="00636F31" w:rsidRDefault="00824A94" w:rsidP="000726DA">
      <w:pPr>
        <w:autoSpaceDE w:val="0"/>
        <w:autoSpaceDN w:val="0"/>
        <w:adjustRightInd w:val="0"/>
        <w:spacing w:after="0" w:line="240" w:lineRule="auto"/>
        <w:ind w:firstLine="708"/>
        <w:jc w:val="both"/>
        <w:rPr>
          <w:rFonts w:ascii="Times New Roman" w:hAnsi="Times New Roman"/>
          <w:sz w:val="24"/>
          <w:szCs w:val="24"/>
          <w:lang w:val="sr-Cyrl-CS"/>
        </w:rPr>
      </w:pPr>
      <w:r w:rsidRPr="00636F31">
        <w:rPr>
          <w:rFonts w:ascii="Times New Roman" w:hAnsi="Times New Roman"/>
          <w:sz w:val="24"/>
          <w:szCs w:val="24"/>
          <w:lang w:val="sr-Cyrl-CS"/>
        </w:rPr>
        <w:t>„</w:t>
      </w:r>
      <w:r w:rsidR="000726DA" w:rsidRPr="00636F31">
        <w:rPr>
          <w:rFonts w:ascii="Times New Roman" w:hAnsi="Times New Roman"/>
          <w:sz w:val="24"/>
          <w:szCs w:val="24"/>
        </w:rPr>
        <w:t>Порез на имовину</w:t>
      </w:r>
      <w:r w:rsidR="000726DA" w:rsidRPr="00636F31">
        <w:rPr>
          <w:rFonts w:ascii="Times New Roman" w:hAnsi="Times New Roman"/>
          <w:sz w:val="24"/>
          <w:szCs w:val="24"/>
          <w:lang w:val="sr-Cyrl-CS"/>
        </w:rPr>
        <w:t xml:space="preserve"> у Републици Србији</w:t>
      </w:r>
      <w:r w:rsidR="000726DA" w:rsidRPr="00636F31">
        <w:rPr>
          <w:rFonts w:ascii="Times New Roman" w:hAnsi="Times New Roman"/>
          <w:sz w:val="24"/>
          <w:szCs w:val="24"/>
        </w:rPr>
        <w:t xml:space="preserve"> је један од прихода локалне самоуправе који је бележио</w:t>
      </w:r>
      <w:r w:rsidR="000726DA" w:rsidRPr="00636F31">
        <w:rPr>
          <w:rFonts w:ascii="Times New Roman" w:hAnsi="Times New Roman"/>
          <w:sz w:val="24"/>
          <w:szCs w:val="24"/>
          <w:lang w:val="sr-Cyrl-CS"/>
        </w:rPr>
        <w:t xml:space="preserve"> </w:t>
      </w:r>
      <w:r w:rsidR="000726DA" w:rsidRPr="00636F31">
        <w:rPr>
          <w:rFonts w:ascii="Times New Roman" w:hAnsi="Times New Roman"/>
          <w:sz w:val="24"/>
          <w:szCs w:val="24"/>
        </w:rPr>
        <w:t xml:space="preserve">сталан реалан раст од 2006. до 2011. године. </w:t>
      </w:r>
      <w:r w:rsidR="000726DA" w:rsidRPr="00636F31">
        <w:rPr>
          <w:rFonts w:ascii="Times New Roman" w:hAnsi="Times New Roman"/>
          <w:sz w:val="24"/>
          <w:szCs w:val="24"/>
          <w:lang w:val="sr-Cyrl-CS"/>
        </w:rPr>
        <w:t>Р</w:t>
      </w:r>
      <w:r w:rsidR="000726DA" w:rsidRPr="00636F31">
        <w:rPr>
          <w:rFonts w:ascii="Times New Roman" w:hAnsi="Times New Roman"/>
          <w:sz w:val="24"/>
          <w:szCs w:val="24"/>
        </w:rPr>
        <w:t>еални раст прихода од пореза на имовину између 2006. и 2011.</w:t>
      </w:r>
      <w:r w:rsidR="000726DA" w:rsidRPr="00636F31">
        <w:rPr>
          <w:rFonts w:ascii="Times New Roman" w:hAnsi="Times New Roman"/>
          <w:sz w:val="24"/>
          <w:szCs w:val="24"/>
          <w:lang w:val="sr-Cyrl-CS"/>
        </w:rPr>
        <w:t xml:space="preserve"> је </w:t>
      </w:r>
      <w:r w:rsidR="000726DA" w:rsidRPr="00636F31">
        <w:rPr>
          <w:rFonts w:ascii="Times New Roman" w:hAnsi="Times New Roman"/>
          <w:sz w:val="24"/>
          <w:szCs w:val="24"/>
        </w:rPr>
        <w:t>износио 46%, што значи да је просечна годишња стопа раста реалних прихода</w:t>
      </w:r>
      <w:r w:rsidR="000726DA" w:rsidRPr="00636F31">
        <w:rPr>
          <w:rFonts w:ascii="Times New Roman" w:hAnsi="Times New Roman"/>
          <w:sz w:val="24"/>
          <w:szCs w:val="24"/>
          <w:lang w:val="sr-Cyrl-CS"/>
        </w:rPr>
        <w:t xml:space="preserve"> </w:t>
      </w:r>
      <w:r w:rsidR="000726DA" w:rsidRPr="00636F31">
        <w:rPr>
          <w:rFonts w:ascii="Times New Roman" w:hAnsi="Times New Roman"/>
          <w:sz w:val="24"/>
          <w:szCs w:val="24"/>
        </w:rPr>
        <w:t>од пореза на</w:t>
      </w:r>
      <w:r w:rsidR="000726DA" w:rsidRPr="00636F31">
        <w:rPr>
          <w:rFonts w:ascii="Times New Roman" w:hAnsi="Times New Roman"/>
          <w:sz w:val="24"/>
          <w:szCs w:val="24"/>
          <w:lang w:val="sr-Cyrl-CS"/>
        </w:rPr>
        <w:t xml:space="preserve"> </w:t>
      </w:r>
      <w:r w:rsidR="000726DA" w:rsidRPr="00636F31">
        <w:rPr>
          <w:rFonts w:ascii="Times New Roman" w:hAnsi="Times New Roman"/>
          <w:sz w:val="24"/>
          <w:szCs w:val="24"/>
        </w:rPr>
        <w:t>имовину износила близу 8%. Раст реалних прихода у наведеном</w:t>
      </w:r>
      <w:r w:rsidR="000726DA" w:rsidRPr="00636F31">
        <w:rPr>
          <w:rFonts w:ascii="Times New Roman" w:hAnsi="Times New Roman"/>
          <w:sz w:val="24"/>
          <w:szCs w:val="24"/>
          <w:lang w:val="sr-Cyrl-CS"/>
        </w:rPr>
        <w:t xml:space="preserve"> </w:t>
      </w:r>
      <w:r w:rsidR="000726DA" w:rsidRPr="00636F31">
        <w:rPr>
          <w:rFonts w:ascii="Times New Roman" w:hAnsi="Times New Roman"/>
          <w:sz w:val="24"/>
          <w:szCs w:val="24"/>
        </w:rPr>
        <w:t>периоду са великом сигурношћу</w:t>
      </w:r>
      <w:r w:rsidR="000726DA" w:rsidRPr="00636F31">
        <w:rPr>
          <w:rFonts w:ascii="Times New Roman" w:hAnsi="Times New Roman"/>
          <w:sz w:val="24"/>
          <w:szCs w:val="24"/>
          <w:lang w:val="sr-Cyrl-CS"/>
        </w:rPr>
        <w:t xml:space="preserve"> </w:t>
      </w:r>
      <w:r w:rsidR="000726DA" w:rsidRPr="00636F31">
        <w:rPr>
          <w:rFonts w:ascii="Times New Roman" w:hAnsi="Times New Roman"/>
          <w:sz w:val="24"/>
          <w:szCs w:val="24"/>
        </w:rPr>
        <w:t>могао би да се</w:t>
      </w:r>
      <w:r w:rsidR="000726DA" w:rsidRPr="00636F31">
        <w:rPr>
          <w:rFonts w:ascii="Times New Roman" w:hAnsi="Times New Roman"/>
          <w:sz w:val="24"/>
          <w:szCs w:val="24"/>
          <w:lang w:val="sr-Cyrl-CS"/>
        </w:rPr>
        <w:t xml:space="preserve"> </w:t>
      </w:r>
      <w:r w:rsidR="000726DA" w:rsidRPr="00636F31">
        <w:rPr>
          <w:rFonts w:ascii="Times New Roman" w:hAnsi="Times New Roman"/>
          <w:sz w:val="24"/>
          <w:szCs w:val="24"/>
        </w:rPr>
        <w:t>припише побољшању ефикасности</w:t>
      </w:r>
      <w:r w:rsidR="000726DA" w:rsidRPr="00636F31">
        <w:rPr>
          <w:rFonts w:ascii="Times New Roman" w:hAnsi="Times New Roman"/>
          <w:sz w:val="24"/>
          <w:szCs w:val="24"/>
          <w:lang w:val="sr-Cyrl-CS"/>
        </w:rPr>
        <w:t xml:space="preserve"> </w:t>
      </w:r>
      <w:r w:rsidR="000726DA" w:rsidRPr="00636F31">
        <w:rPr>
          <w:rFonts w:ascii="Times New Roman" w:hAnsi="Times New Roman"/>
          <w:sz w:val="24"/>
          <w:szCs w:val="24"/>
        </w:rPr>
        <w:t>наплате пореза.</w:t>
      </w:r>
      <w:r w:rsidRPr="00636F31">
        <w:rPr>
          <w:rFonts w:ascii="Times New Roman" w:hAnsi="Times New Roman"/>
          <w:sz w:val="24"/>
          <w:szCs w:val="24"/>
          <w:lang w:val="sr-Cyrl-CS"/>
        </w:rPr>
        <w:t>..</w:t>
      </w:r>
      <w:r w:rsidR="000726DA" w:rsidRPr="00636F31">
        <w:rPr>
          <w:rFonts w:ascii="Times New Roman" w:hAnsi="Times New Roman"/>
          <w:sz w:val="24"/>
          <w:szCs w:val="24"/>
          <w:lang w:val="sr-Cyrl-CS"/>
        </w:rPr>
        <w:t xml:space="preserve"> </w:t>
      </w:r>
      <w:r w:rsidR="000726DA" w:rsidRPr="00636F31">
        <w:rPr>
          <w:rFonts w:ascii="Times New Roman" w:hAnsi="Times New Roman"/>
          <w:sz w:val="24"/>
          <w:szCs w:val="24"/>
        </w:rPr>
        <w:t>Значајан номинални и реални</w:t>
      </w:r>
      <w:r w:rsidR="000726DA" w:rsidRPr="00636F31">
        <w:rPr>
          <w:rFonts w:ascii="Times New Roman" w:hAnsi="Times New Roman"/>
          <w:sz w:val="24"/>
          <w:szCs w:val="24"/>
          <w:lang w:val="sr-Cyrl-CS"/>
        </w:rPr>
        <w:t xml:space="preserve"> </w:t>
      </w:r>
      <w:r w:rsidR="000726DA" w:rsidRPr="00636F31">
        <w:rPr>
          <w:rFonts w:ascii="Times New Roman" w:hAnsi="Times New Roman"/>
          <w:sz w:val="24"/>
          <w:szCs w:val="24"/>
        </w:rPr>
        <w:t>раст прихода од пореза</w:t>
      </w:r>
      <w:r w:rsidR="000726DA" w:rsidRPr="00636F31">
        <w:rPr>
          <w:rFonts w:ascii="Times New Roman" w:hAnsi="Times New Roman"/>
          <w:sz w:val="24"/>
          <w:szCs w:val="24"/>
          <w:lang w:val="sr-Cyrl-CS"/>
        </w:rPr>
        <w:t xml:space="preserve"> </w:t>
      </w:r>
      <w:r w:rsidR="000726DA" w:rsidRPr="00636F31">
        <w:rPr>
          <w:rFonts w:ascii="Times New Roman" w:hAnsi="Times New Roman"/>
          <w:sz w:val="24"/>
          <w:szCs w:val="24"/>
        </w:rPr>
        <w:t xml:space="preserve">на имовину од 2006. </w:t>
      </w:r>
      <w:r w:rsidR="000726DA" w:rsidRPr="00636F31">
        <w:rPr>
          <w:rFonts w:ascii="Times New Roman" w:hAnsi="Times New Roman"/>
          <w:sz w:val="24"/>
          <w:szCs w:val="24"/>
          <w:lang w:val="sr-Cyrl-CS"/>
        </w:rPr>
        <w:t>д</w:t>
      </w:r>
      <w:r w:rsidR="000726DA" w:rsidRPr="00636F31">
        <w:rPr>
          <w:rFonts w:ascii="Times New Roman" w:hAnsi="Times New Roman"/>
          <w:sz w:val="24"/>
          <w:szCs w:val="24"/>
        </w:rPr>
        <w:t>о</w:t>
      </w:r>
      <w:r w:rsidR="000726DA" w:rsidRPr="00636F31">
        <w:rPr>
          <w:rFonts w:ascii="Times New Roman" w:hAnsi="Times New Roman"/>
          <w:sz w:val="24"/>
          <w:szCs w:val="24"/>
          <w:lang w:val="sr-Cyrl-CS"/>
        </w:rPr>
        <w:t xml:space="preserve"> </w:t>
      </w:r>
      <w:r w:rsidR="000726DA" w:rsidRPr="00636F31">
        <w:rPr>
          <w:rFonts w:ascii="Times New Roman" w:hAnsi="Times New Roman"/>
          <w:sz w:val="24"/>
          <w:szCs w:val="24"/>
        </w:rPr>
        <w:t>2011. године довео је и</w:t>
      </w:r>
      <w:r w:rsidR="000726DA" w:rsidRPr="00636F31">
        <w:rPr>
          <w:rFonts w:ascii="Times New Roman" w:hAnsi="Times New Roman"/>
          <w:sz w:val="24"/>
          <w:szCs w:val="24"/>
          <w:lang w:val="sr-Cyrl-CS"/>
        </w:rPr>
        <w:t xml:space="preserve"> </w:t>
      </w:r>
      <w:r w:rsidR="000726DA" w:rsidRPr="00636F31">
        <w:rPr>
          <w:rFonts w:ascii="Times New Roman" w:hAnsi="Times New Roman"/>
          <w:sz w:val="24"/>
          <w:szCs w:val="24"/>
        </w:rPr>
        <w:t>до раста његовог</w:t>
      </w:r>
      <w:r w:rsidR="000726DA" w:rsidRPr="00636F31">
        <w:rPr>
          <w:rFonts w:ascii="Times New Roman" w:hAnsi="Times New Roman"/>
          <w:sz w:val="24"/>
          <w:szCs w:val="24"/>
          <w:lang w:val="sr-Cyrl-CS"/>
        </w:rPr>
        <w:t xml:space="preserve"> </w:t>
      </w:r>
      <w:r w:rsidR="000726DA" w:rsidRPr="00636F31">
        <w:rPr>
          <w:rFonts w:ascii="Times New Roman" w:hAnsi="Times New Roman"/>
          <w:sz w:val="24"/>
          <w:szCs w:val="24"/>
        </w:rPr>
        <w:t>релативног</w:t>
      </w:r>
      <w:r w:rsidR="000726DA" w:rsidRPr="00636F31">
        <w:rPr>
          <w:rFonts w:ascii="Times New Roman" w:hAnsi="Times New Roman"/>
          <w:sz w:val="24"/>
          <w:szCs w:val="24"/>
          <w:lang w:val="sr-Cyrl-CS"/>
        </w:rPr>
        <w:t xml:space="preserve"> </w:t>
      </w:r>
      <w:r w:rsidR="000726DA" w:rsidRPr="00636F31">
        <w:rPr>
          <w:rFonts w:ascii="Times New Roman" w:hAnsi="Times New Roman"/>
          <w:sz w:val="24"/>
          <w:szCs w:val="24"/>
        </w:rPr>
        <w:t>значаја, као извора</w:t>
      </w:r>
      <w:r w:rsidR="000726DA" w:rsidRPr="00636F31">
        <w:rPr>
          <w:rFonts w:ascii="Times New Roman" w:hAnsi="Times New Roman"/>
          <w:sz w:val="24"/>
          <w:szCs w:val="24"/>
          <w:lang w:val="sr-Cyrl-CS"/>
        </w:rPr>
        <w:t xml:space="preserve"> </w:t>
      </w:r>
      <w:r w:rsidR="000726DA" w:rsidRPr="00636F31">
        <w:rPr>
          <w:rFonts w:ascii="Times New Roman" w:hAnsi="Times New Roman"/>
          <w:sz w:val="24"/>
          <w:szCs w:val="24"/>
        </w:rPr>
        <w:t>финансирања локалних самоуправа,</w:t>
      </w:r>
      <w:r w:rsidR="000726DA" w:rsidRPr="00636F31">
        <w:rPr>
          <w:rFonts w:ascii="Times New Roman" w:hAnsi="Times New Roman"/>
          <w:sz w:val="24"/>
          <w:szCs w:val="24"/>
          <w:lang w:val="sr-Cyrl-CS"/>
        </w:rPr>
        <w:t xml:space="preserve"> </w:t>
      </w:r>
      <w:r w:rsidR="000726DA" w:rsidRPr="00636F31">
        <w:rPr>
          <w:rFonts w:ascii="Times New Roman" w:hAnsi="Times New Roman"/>
          <w:sz w:val="24"/>
          <w:szCs w:val="24"/>
        </w:rPr>
        <w:t>будући да је</w:t>
      </w:r>
      <w:r w:rsidR="000726DA" w:rsidRPr="00636F31">
        <w:rPr>
          <w:rFonts w:ascii="Times New Roman" w:hAnsi="Times New Roman"/>
          <w:sz w:val="24"/>
          <w:szCs w:val="24"/>
          <w:lang w:val="sr-Cyrl-CS"/>
        </w:rPr>
        <w:t xml:space="preserve"> </w:t>
      </w:r>
      <w:r w:rsidR="000726DA" w:rsidRPr="00636F31">
        <w:rPr>
          <w:rFonts w:ascii="Times New Roman" w:hAnsi="Times New Roman"/>
          <w:sz w:val="24"/>
          <w:szCs w:val="24"/>
        </w:rPr>
        <w:t>забележен раст учешћа прихода</w:t>
      </w:r>
      <w:r w:rsidR="000726DA" w:rsidRPr="00636F31">
        <w:rPr>
          <w:rFonts w:ascii="Times New Roman" w:hAnsi="Times New Roman"/>
          <w:sz w:val="24"/>
          <w:szCs w:val="24"/>
          <w:lang w:val="sr-Cyrl-CS"/>
        </w:rPr>
        <w:t xml:space="preserve"> </w:t>
      </w:r>
      <w:r w:rsidR="000726DA" w:rsidRPr="00636F31">
        <w:rPr>
          <w:rFonts w:ascii="Times New Roman" w:hAnsi="Times New Roman"/>
          <w:sz w:val="24"/>
          <w:szCs w:val="24"/>
        </w:rPr>
        <w:t>по овом основу у укупним приходима локалних самоуправа (то учешће је повећано са 4,8% у</w:t>
      </w:r>
      <w:r w:rsidR="000726DA" w:rsidRPr="00636F31">
        <w:rPr>
          <w:rFonts w:ascii="Times New Roman" w:hAnsi="Times New Roman"/>
          <w:sz w:val="24"/>
          <w:szCs w:val="24"/>
          <w:lang w:val="sr-Cyrl-CS"/>
        </w:rPr>
        <w:t xml:space="preserve"> </w:t>
      </w:r>
      <w:r w:rsidR="000726DA" w:rsidRPr="00636F31">
        <w:rPr>
          <w:rFonts w:ascii="Times New Roman" w:hAnsi="Times New Roman"/>
          <w:sz w:val="24"/>
          <w:szCs w:val="24"/>
        </w:rPr>
        <w:t>2006. на 7,4% у 2011. години). На основу наведеног, закључује се да је од</w:t>
      </w:r>
      <w:r w:rsidR="000726DA" w:rsidRPr="00636F31">
        <w:rPr>
          <w:rFonts w:ascii="Times New Roman" w:hAnsi="Times New Roman"/>
          <w:sz w:val="24"/>
          <w:szCs w:val="24"/>
          <w:lang w:val="sr-Cyrl-CS"/>
        </w:rPr>
        <w:t xml:space="preserve"> </w:t>
      </w:r>
      <w:r w:rsidR="000726DA" w:rsidRPr="00636F31">
        <w:rPr>
          <w:rFonts w:ascii="Times New Roman" w:hAnsi="Times New Roman"/>
          <w:sz w:val="24"/>
          <w:szCs w:val="24"/>
        </w:rPr>
        <w:t>2006. до 2011. забележен значајан раст билансног значаја пореза на имовину</w:t>
      </w:r>
      <w:r w:rsidR="000726DA" w:rsidRPr="00636F31">
        <w:rPr>
          <w:rFonts w:ascii="Times New Roman" w:hAnsi="Times New Roman"/>
          <w:sz w:val="24"/>
          <w:szCs w:val="24"/>
          <w:lang w:val="sr-Cyrl-CS"/>
        </w:rPr>
        <w:t xml:space="preserve"> </w:t>
      </w:r>
      <w:r w:rsidR="000726DA" w:rsidRPr="00636F31">
        <w:rPr>
          <w:rFonts w:ascii="Times New Roman" w:hAnsi="Times New Roman"/>
          <w:sz w:val="24"/>
          <w:szCs w:val="24"/>
        </w:rPr>
        <w:t>и да је тај раст последица измена у прописима за обрачун пореске обавезе и политици</w:t>
      </w:r>
      <w:r w:rsidR="000726DA" w:rsidRPr="00636F31">
        <w:rPr>
          <w:rFonts w:ascii="Times New Roman" w:hAnsi="Times New Roman"/>
          <w:sz w:val="24"/>
          <w:szCs w:val="24"/>
          <w:lang w:val="sr-Cyrl-CS"/>
        </w:rPr>
        <w:t xml:space="preserve"> </w:t>
      </w:r>
      <w:r w:rsidR="000726DA" w:rsidRPr="00636F31">
        <w:rPr>
          <w:rFonts w:ascii="Times New Roman" w:hAnsi="Times New Roman"/>
          <w:sz w:val="24"/>
          <w:szCs w:val="24"/>
        </w:rPr>
        <w:t>утврђивања основице, а с</w:t>
      </w:r>
      <w:r w:rsidR="000726DA" w:rsidRPr="00636F31">
        <w:rPr>
          <w:rFonts w:ascii="Times New Roman" w:hAnsi="Times New Roman"/>
          <w:sz w:val="24"/>
          <w:szCs w:val="24"/>
          <w:lang w:val="sr-Cyrl-CS"/>
        </w:rPr>
        <w:t xml:space="preserve"> </w:t>
      </w:r>
      <w:r w:rsidR="000726DA" w:rsidRPr="00636F31">
        <w:rPr>
          <w:rFonts w:ascii="Times New Roman" w:hAnsi="Times New Roman"/>
          <w:sz w:val="24"/>
          <w:szCs w:val="24"/>
        </w:rPr>
        <w:t>друге стране и настојања градова и општина да</w:t>
      </w:r>
      <w:r w:rsidR="000726DA" w:rsidRPr="00636F31">
        <w:rPr>
          <w:rFonts w:ascii="Times New Roman" w:hAnsi="Times New Roman"/>
          <w:sz w:val="24"/>
          <w:szCs w:val="24"/>
          <w:lang w:val="sr-Cyrl-CS"/>
        </w:rPr>
        <w:t xml:space="preserve"> </w:t>
      </w:r>
      <w:r w:rsidR="000726DA" w:rsidRPr="00636F31">
        <w:rPr>
          <w:rFonts w:ascii="Times New Roman" w:hAnsi="Times New Roman"/>
          <w:sz w:val="24"/>
          <w:szCs w:val="24"/>
        </w:rPr>
        <w:t>део губитака насталих по основу смањења</w:t>
      </w:r>
      <w:r w:rsidR="000726DA" w:rsidRPr="00636F31">
        <w:rPr>
          <w:rFonts w:ascii="Times New Roman" w:hAnsi="Times New Roman"/>
          <w:sz w:val="24"/>
          <w:szCs w:val="24"/>
          <w:lang w:val="sr-Cyrl-CS"/>
        </w:rPr>
        <w:t xml:space="preserve"> </w:t>
      </w:r>
      <w:r w:rsidR="000726DA" w:rsidRPr="00636F31">
        <w:rPr>
          <w:rFonts w:ascii="Times New Roman" w:hAnsi="Times New Roman"/>
          <w:sz w:val="24"/>
          <w:szCs w:val="24"/>
        </w:rPr>
        <w:t>неких других прихода надоместе</w:t>
      </w:r>
      <w:r w:rsidR="000726DA" w:rsidRPr="00636F31">
        <w:rPr>
          <w:rFonts w:ascii="Times New Roman" w:hAnsi="Times New Roman"/>
          <w:sz w:val="24"/>
          <w:szCs w:val="24"/>
          <w:lang w:val="sr-Cyrl-CS"/>
        </w:rPr>
        <w:t xml:space="preserve"> </w:t>
      </w:r>
      <w:r w:rsidR="000726DA" w:rsidRPr="00636F31">
        <w:rPr>
          <w:rFonts w:ascii="Times New Roman" w:hAnsi="Times New Roman"/>
          <w:sz w:val="24"/>
          <w:szCs w:val="24"/>
        </w:rPr>
        <w:t>ефикаснијим управљањем својим изворним приходима.</w:t>
      </w:r>
      <w:r w:rsidRPr="00636F31">
        <w:rPr>
          <w:rFonts w:ascii="Times New Roman" w:hAnsi="Times New Roman"/>
          <w:sz w:val="24"/>
          <w:szCs w:val="24"/>
          <w:lang w:val="sr-Cyrl-CS"/>
        </w:rPr>
        <w:t>“</w:t>
      </w:r>
      <w:r w:rsidR="000726DA" w:rsidRPr="00636F31">
        <w:rPr>
          <w:rStyle w:val="FootnoteReference"/>
          <w:rFonts w:ascii="Times New Roman" w:hAnsi="Times New Roman"/>
          <w:sz w:val="24"/>
          <w:szCs w:val="24"/>
        </w:rPr>
        <w:footnoteReference w:id="502"/>
      </w:r>
      <w:r w:rsidR="000726DA" w:rsidRPr="00636F31">
        <w:rPr>
          <w:rFonts w:ascii="Times New Roman" w:hAnsi="Times New Roman"/>
          <w:sz w:val="24"/>
          <w:szCs w:val="24"/>
        </w:rPr>
        <w:t xml:space="preserve"> </w:t>
      </w:r>
    </w:p>
    <w:p w:rsidR="000726DA" w:rsidRPr="003853DA" w:rsidRDefault="000726DA" w:rsidP="000726DA">
      <w:pPr>
        <w:autoSpaceDE w:val="0"/>
        <w:autoSpaceDN w:val="0"/>
        <w:adjustRightInd w:val="0"/>
        <w:spacing w:after="0" w:line="240" w:lineRule="auto"/>
        <w:ind w:firstLine="708"/>
        <w:jc w:val="both"/>
        <w:rPr>
          <w:rFonts w:ascii="TimesNewRomanPSMT" w:hAnsi="TimesNewRomanPSMT" w:cs="TimesNewRomanPSMT"/>
          <w:sz w:val="24"/>
          <w:szCs w:val="24"/>
          <w:lang w:val="sr-Cyrl-CS"/>
        </w:rPr>
      </w:pPr>
    </w:p>
    <w:p w:rsidR="000726DA" w:rsidRDefault="000726DA" w:rsidP="000726DA">
      <w:pPr>
        <w:ind w:firstLine="708"/>
        <w:jc w:val="both"/>
        <w:rPr>
          <w:rFonts w:ascii="Times New Roman" w:hAnsi="Times New Roman"/>
          <w:sz w:val="24"/>
          <w:szCs w:val="24"/>
          <w:lang w:val="sr-Cyrl-CS"/>
        </w:rPr>
      </w:pPr>
      <w:r w:rsidRPr="00A829EC">
        <w:rPr>
          <w:rFonts w:ascii="Times New Roman" w:hAnsi="Times New Roman"/>
          <w:sz w:val="24"/>
          <w:szCs w:val="24"/>
          <w:lang w:val="sr-Cyrl-CS"/>
        </w:rPr>
        <w:t>Порез на имовину је трајног карактера, његова висина се утврђује на годишњем нивоу</w:t>
      </w:r>
      <w:r w:rsidR="0074176D">
        <w:rPr>
          <w:rFonts w:ascii="Times New Roman" w:hAnsi="Times New Roman"/>
          <w:sz w:val="24"/>
          <w:szCs w:val="24"/>
          <w:lang w:val="sr-Cyrl-CS"/>
        </w:rPr>
        <w:t>.</w:t>
      </w:r>
      <w:r>
        <w:rPr>
          <w:rFonts w:ascii="Times New Roman" w:hAnsi="Times New Roman"/>
          <w:sz w:val="24"/>
          <w:szCs w:val="24"/>
          <w:lang w:val="sr-Cyrl-CS"/>
        </w:rPr>
        <w:t xml:space="preserve"> </w:t>
      </w:r>
      <w:r w:rsidRPr="00A829EC">
        <w:rPr>
          <w:rFonts w:ascii="Times New Roman" w:hAnsi="Times New Roman"/>
          <w:sz w:val="24"/>
          <w:szCs w:val="24"/>
          <w:lang w:val="sr-Cyrl-CS"/>
        </w:rPr>
        <w:t>Овај порез је везан за саму непокретност и плаћа се све док непокретност постоји.</w:t>
      </w:r>
      <w:r w:rsidRPr="00A829EC">
        <w:rPr>
          <w:rStyle w:val="FootnoteReference"/>
          <w:rFonts w:ascii="Times New Roman" w:hAnsi="Times New Roman"/>
          <w:sz w:val="24"/>
          <w:szCs w:val="24"/>
          <w:lang w:val="sr-Cyrl-CS"/>
        </w:rPr>
        <w:footnoteReference w:id="503"/>
      </w:r>
      <w:r w:rsidRPr="00A829EC">
        <w:rPr>
          <w:rFonts w:ascii="Times New Roman" w:hAnsi="Times New Roman"/>
          <w:sz w:val="24"/>
          <w:szCs w:val="24"/>
          <w:lang w:val="sr-Cyrl-CS"/>
        </w:rPr>
        <w:t xml:space="preserve"> Због тога ствара снажан отпор код пореских обвезника и у том смислу се разликује од других пореских пореских облика, као што је на пример ПДВ, који се плаћа у мањим износима приликом куповине робе или услуга. Са друге стране, овај порез се тешко може избећи јер се непокретности не могу сакрити нити однети. </w:t>
      </w:r>
      <w:r>
        <w:rPr>
          <w:rFonts w:ascii="Times New Roman" w:hAnsi="Times New Roman"/>
          <w:sz w:val="24"/>
          <w:szCs w:val="24"/>
          <w:lang w:val="sr-Cyrl-CS"/>
        </w:rPr>
        <w:t xml:space="preserve"> </w:t>
      </w:r>
      <w:r w:rsidRPr="00A829EC">
        <w:rPr>
          <w:rFonts w:ascii="Times New Roman" w:hAnsi="Times New Roman"/>
          <w:sz w:val="24"/>
          <w:szCs w:val="24"/>
          <w:lang w:val="sr-Cyrl-CS"/>
        </w:rPr>
        <w:t xml:space="preserve"> </w:t>
      </w:r>
    </w:p>
    <w:p w:rsidR="000726DA" w:rsidRPr="003E2528" w:rsidRDefault="000726DA" w:rsidP="000726DA">
      <w:pPr>
        <w:ind w:firstLine="708"/>
        <w:jc w:val="both"/>
        <w:rPr>
          <w:rFonts w:ascii="Times New Roman" w:hAnsi="Times New Roman"/>
          <w:sz w:val="24"/>
          <w:szCs w:val="24"/>
          <w:lang w:val="sr-Cyrl-CS"/>
        </w:rPr>
      </w:pPr>
      <w:r w:rsidRPr="0061138E">
        <w:rPr>
          <w:rFonts w:ascii="Times New Roman" w:hAnsi="Times New Roman"/>
          <w:sz w:val="24"/>
          <w:szCs w:val="24"/>
          <w:lang w:val="sr-Cyrl-CS"/>
        </w:rPr>
        <w:t xml:space="preserve">То је </w:t>
      </w:r>
      <w:r>
        <w:rPr>
          <w:rFonts w:ascii="Times New Roman" w:hAnsi="Times New Roman"/>
          <w:sz w:val="24"/>
          <w:szCs w:val="24"/>
          <w:lang w:val="sr-Cyrl-CS"/>
        </w:rPr>
        <w:t xml:space="preserve">непосредни </w:t>
      </w:r>
      <w:r w:rsidRPr="0061138E">
        <w:rPr>
          <w:rFonts w:ascii="Times New Roman" w:hAnsi="Times New Roman"/>
          <w:sz w:val="24"/>
          <w:szCs w:val="24"/>
          <w:lang w:val="sr-Cyrl-CS"/>
        </w:rPr>
        <w:t>реалан порез, код кога су одређена добра која обвезник има његова имовина, као манифестација његове економске снаге, ос</w:t>
      </w:r>
      <w:r w:rsidR="00EC2EF4">
        <w:rPr>
          <w:rFonts w:ascii="Times New Roman" w:hAnsi="Times New Roman"/>
          <w:sz w:val="24"/>
          <w:szCs w:val="24"/>
          <w:lang w:val="sr-Cyrl-CS"/>
        </w:rPr>
        <w:t>нов по коме се врши опорезивање, односно о</w:t>
      </w:r>
      <w:r>
        <w:rPr>
          <w:rFonts w:ascii="Times New Roman" w:hAnsi="Times New Roman"/>
          <w:sz w:val="24"/>
          <w:szCs w:val="24"/>
          <w:lang w:val="sr-Cyrl-CS"/>
        </w:rPr>
        <w:t>порезује се сам чин поседовања имовине.</w:t>
      </w:r>
      <w:r>
        <w:rPr>
          <w:rStyle w:val="FootnoteReference"/>
          <w:rFonts w:ascii="Times New Roman" w:hAnsi="Times New Roman"/>
          <w:sz w:val="24"/>
          <w:szCs w:val="24"/>
          <w:lang w:val="sr-Cyrl-CS"/>
        </w:rPr>
        <w:footnoteReference w:id="504"/>
      </w:r>
      <w:r>
        <w:rPr>
          <w:rFonts w:ascii="Times New Roman" w:hAnsi="Times New Roman"/>
          <w:sz w:val="24"/>
          <w:szCs w:val="24"/>
          <w:lang w:val="sr-Cyrl-CS"/>
        </w:rPr>
        <w:t xml:space="preserve"> Овај порез се плаћа из прихода које обвезник остварује, а не из саме имовине која се опорезује. </w:t>
      </w:r>
    </w:p>
    <w:p w:rsidR="000726DA" w:rsidRDefault="000726DA" w:rsidP="000726DA">
      <w:pPr>
        <w:ind w:firstLine="708"/>
        <w:jc w:val="both"/>
        <w:rPr>
          <w:rFonts w:ascii="Times New Roman" w:hAnsi="Times New Roman"/>
          <w:sz w:val="24"/>
          <w:szCs w:val="24"/>
          <w:lang w:val="sr-Cyrl-CS"/>
        </w:rPr>
      </w:pPr>
      <w:r w:rsidRPr="00312427">
        <w:rPr>
          <w:rFonts w:ascii="Times New Roman" w:hAnsi="Times New Roman"/>
          <w:sz w:val="24"/>
          <w:szCs w:val="24"/>
          <w:lang w:val="sr-Cyrl-CS"/>
        </w:rPr>
        <w:t xml:space="preserve">Порез на </w:t>
      </w:r>
      <w:r>
        <w:rPr>
          <w:rFonts w:ascii="Times New Roman" w:hAnsi="Times New Roman"/>
          <w:sz w:val="24"/>
          <w:szCs w:val="24"/>
          <w:lang w:val="sr-Cyrl-CS"/>
        </w:rPr>
        <w:t>непокретнос</w:t>
      </w:r>
      <w:r w:rsidR="005D4B27">
        <w:rPr>
          <w:rFonts w:ascii="Times New Roman" w:hAnsi="Times New Roman"/>
          <w:sz w:val="24"/>
          <w:szCs w:val="24"/>
          <w:lang w:val="sr-Cyrl-CS"/>
        </w:rPr>
        <w:t>ти је по правилу објектан порез.</w:t>
      </w:r>
      <w:r>
        <w:rPr>
          <w:rFonts w:ascii="Times New Roman" w:hAnsi="Times New Roman"/>
          <w:sz w:val="24"/>
          <w:szCs w:val="24"/>
          <w:lang w:val="sr-Cyrl-CS"/>
        </w:rPr>
        <w:t xml:space="preserve"> </w:t>
      </w:r>
      <w:r w:rsidR="005D4B27">
        <w:rPr>
          <w:rFonts w:ascii="Times New Roman" w:hAnsi="Times New Roman"/>
          <w:sz w:val="24"/>
          <w:szCs w:val="24"/>
          <w:lang w:val="sr-Cyrl-CS"/>
        </w:rPr>
        <w:t>У чешћој је</w:t>
      </w:r>
      <w:r>
        <w:rPr>
          <w:rFonts w:ascii="Times New Roman" w:hAnsi="Times New Roman"/>
          <w:sz w:val="24"/>
          <w:szCs w:val="24"/>
          <w:lang w:val="sr-Cyrl-CS"/>
        </w:rPr>
        <w:t xml:space="preserve"> примени у савременим државама од пореза на </w:t>
      </w:r>
      <w:r w:rsidR="005D4B27">
        <w:rPr>
          <w:rFonts w:ascii="Times New Roman" w:hAnsi="Times New Roman"/>
          <w:sz w:val="24"/>
          <w:szCs w:val="24"/>
          <w:lang w:val="sr-Cyrl-CS"/>
        </w:rPr>
        <w:t xml:space="preserve">нето имовину. </w:t>
      </w:r>
      <w:r>
        <w:rPr>
          <w:rFonts w:ascii="Times New Roman" w:hAnsi="Times New Roman"/>
          <w:sz w:val="24"/>
          <w:szCs w:val="24"/>
          <w:lang w:val="sr-Cyrl-CS"/>
        </w:rPr>
        <w:t xml:space="preserve">Главни разлог </w:t>
      </w:r>
      <w:r w:rsidR="005D4B27">
        <w:rPr>
          <w:rFonts w:ascii="Times New Roman" w:hAnsi="Times New Roman"/>
          <w:sz w:val="24"/>
          <w:szCs w:val="24"/>
          <w:lang w:val="sr-Cyrl-CS"/>
        </w:rPr>
        <w:t>за то</w:t>
      </w:r>
      <w:r>
        <w:rPr>
          <w:rFonts w:ascii="Times New Roman" w:hAnsi="Times New Roman"/>
          <w:sz w:val="24"/>
          <w:szCs w:val="24"/>
          <w:lang w:val="sr-Cyrl-CS"/>
        </w:rPr>
        <w:t xml:space="preserve"> је а</w:t>
      </w:r>
      <w:r w:rsidR="005D4B27">
        <w:rPr>
          <w:rFonts w:ascii="Times New Roman" w:hAnsi="Times New Roman"/>
          <w:sz w:val="24"/>
          <w:szCs w:val="24"/>
          <w:lang w:val="sr-Cyrl-CS"/>
        </w:rPr>
        <w:t xml:space="preserve">дминистративно-техничке природе, јер се непокретност </w:t>
      </w:r>
      <w:r>
        <w:rPr>
          <w:rFonts w:ascii="Times New Roman" w:hAnsi="Times New Roman"/>
          <w:sz w:val="24"/>
          <w:szCs w:val="24"/>
          <w:lang w:val="sr-Cyrl-CS"/>
        </w:rPr>
        <w:t xml:space="preserve">не може сакрити, а </w:t>
      </w:r>
      <w:r w:rsidR="005D4B27">
        <w:rPr>
          <w:rFonts w:ascii="Times New Roman" w:hAnsi="Times New Roman"/>
          <w:sz w:val="24"/>
          <w:szCs w:val="24"/>
          <w:lang w:val="sr-Cyrl-CS"/>
        </w:rPr>
        <w:t xml:space="preserve">значајан је показатељ </w:t>
      </w:r>
      <w:r>
        <w:rPr>
          <w:rFonts w:ascii="Times New Roman" w:hAnsi="Times New Roman"/>
          <w:sz w:val="24"/>
          <w:szCs w:val="24"/>
          <w:lang w:val="sr-Cyrl-CS"/>
        </w:rPr>
        <w:t xml:space="preserve">јаке економске снаге поресог обвезника. </w:t>
      </w:r>
      <w:r w:rsidR="005D4B27">
        <w:rPr>
          <w:rFonts w:ascii="Times New Roman" w:hAnsi="Times New Roman"/>
          <w:sz w:val="24"/>
          <w:szCs w:val="24"/>
          <w:lang w:val="sr-Cyrl-CS"/>
        </w:rPr>
        <w:t xml:space="preserve">Тако на пример ако неки порески </w:t>
      </w:r>
      <w:r w:rsidR="005D4B27">
        <w:rPr>
          <w:rFonts w:ascii="Times New Roman" w:hAnsi="Times New Roman"/>
          <w:sz w:val="24"/>
          <w:szCs w:val="24"/>
          <w:lang w:val="sr-Cyrl-CS"/>
        </w:rPr>
        <w:lastRenderedPageBreak/>
        <w:t>обвезник</w:t>
      </w:r>
      <w:r>
        <w:rPr>
          <w:rFonts w:ascii="Times New Roman" w:hAnsi="Times New Roman"/>
          <w:sz w:val="24"/>
          <w:szCs w:val="24"/>
          <w:lang w:val="sr-Cyrl-CS"/>
        </w:rPr>
        <w:t xml:space="preserve"> има већи број луксузних кућа, вила и викендица, а пријавио је симболично остварене дохотке, тешко ће доказати пореским властима одакле та имовина потиче.</w:t>
      </w:r>
      <w:r>
        <w:rPr>
          <w:rStyle w:val="FootnoteReference"/>
          <w:rFonts w:ascii="Times New Roman" w:hAnsi="Times New Roman"/>
          <w:sz w:val="24"/>
          <w:szCs w:val="24"/>
          <w:lang w:val="sr-Cyrl-CS"/>
        </w:rPr>
        <w:footnoteReference w:id="505"/>
      </w:r>
      <w:r>
        <w:rPr>
          <w:rFonts w:ascii="Times New Roman" w:hAnsi="Times New Roman"/>
          <w:sz w:val="24"/>
          <w:szCs w:val="24"/>
          <w:lang w:val="sr-Cyrl-CS"/>
        </w:rPr>
        <w:t xml:space="preserve"> </w:t>
      </w:r>
    </w:p>
    <w:p w:rsidR="000726DA" w:rsidRDefault="00343640" w:rsidP="000726DA">
      <w:pPr>
        <w:ind w:firstLine="708"/>
        <w:jc w:val="both"/>
        <w:rPr>
          <w:rFonts w:ascii="Times New Roman" w:hAnsi="Times New Roman"/>
          <w:sz w:val="24"/>
          <w:szCs w:val="24"/>
          <w:lang w:val="sr-Cyrl-CS"/>
        </w:rPr>
      </w:pPr>
      <w:r>
        <w:rPr>
          <w:rFonts w:ascii="Times New Roman" w:hAnsi="Times New Roman"/>
          <w:sz w:val="24"/>
          <w:szCs w:val="24"/>
          <w:lang w:val="sr-Cyrl-CS"/>
        </w:rPr>
        <w:t>Многобројни су р</w:t>
      </w:r>
      <w:r w:rsidR="000726DA" w:rsidRPr="00C54EF1">
        <w:rPr>
          <w:rFonts w:ascii="Times New Roman" w:hAnsi="Times New Roman"/>
          <w:sz w:val="24"/>
          <w:szCs w:val="24"/>
          <w:lang w:val="sr-Cyrl-CS"/>
        </w:rPr>
        <w:t>азлози</w:t>
      </w:r>
      <w:r w:rsidR="000726DA">
        <w:rPr>
          <w:rFonts w:ascii="Times New Roman" w:hAnsi="Times New Roman"/>
          <w:b/>
          <w:sz w:val="24"/>
          <w:szCs w:val="24"/>
          <w:lang w:val="sr-Cyrl-CS"/>
        </w:rPr>
        <w:t xml:space="preserve"> </w:t>
      </w:r>
      <w:r w:rsidR="000726DA" w:rsidRPr="00C54EF1">
        <w:rPr>
          <w:rFonts w:ascii="Times New Roman" w:hAnsi="Times New Roman"/>
          <w:sz w:val="24"/>
          <w:szCs w:val="24"/>
          <w:lang w:val="sr-Cyrl-CS"/>
        </w:rPr>
        <w:t xml:space="preserve">за задржавање </w:t>
      </w:r>
      <w:r w:rsidR="000726DA">
        <w:rPr>
          <w:rFonts w:ascii="Times New Roman" w:hAnsi="Times New Roman"/>
          <w:sz w:val="24"/>
          <w:szCs w:val="24"/>
          <w:lang w:val="sr-Cyrl-CS"/>
        </w:rPr>
        <w:t>и постојање пореза на имовину</w:t>
      </w:r>
      <w:r>
        <w:rPr>
          <w:rFonts w:ascii="Times New Roman" w:hAnsi="Times New Roman"/>
          <w:sz w:val="24"/>
          <w:szCs w:val="24"/>
          <w:lang w:val="sr-Cyrl-CS"/>
        </w:rPr>
        <w:t>. То су разлози</w:t>
      </w:r>
      <w:r w:rsidR="000726DA">
        <w:rPr>
          <w:rFonts w:ascii="Times New Roman" w:hAnsi="Times New Roman"/>
          <w:sz w:val="24"/>
          <w:szCs w:val="24"/>
          <w:lang w:val="sr-Cyrl-CS"/>
        </w:rPr>
        <w:t xml:space="preserve"> фискалне природе  (порези на имовину представљају допунски извор прикупљања јавних прихода), социјално-политичке (порезом на имовину могу се остваривати циљеви социјалне политике попут равномерније расподеле пореског терета те остварити захтеви за већим пореским оптерећењем фундираних извора тј. извора остварених без рада пореског обвезника попут земљишта, зграда), политичке (као што је осигурање средстава за финансирање потреба јединица локалне управе те остварења веће финасијске аутономије, али и већа могућност остварења повезаности средстава која се издвајају за плаћање пореза и трошења тих средстава) и пореско-техничке природе (мале су могућности утаје пореза).</w:t>
      </w:r>
      <w:r w:rsidR="000726DA">
        <w:rPr>
          <w:rStyle w:val="FootnoteReference"/>
          <w:rFonts w:ascii="Times New Roman" w:hAnsi="Times New Roman"/>
          <w:sz w:val="24"/>
          <w:szCs w:val="24"/>
          <w:lang w:val="sr-Cyrl-CS"/>
        </w:rPr>
        <w:footnoteReference w:id="506"/>
      </w:r>
      <w:r w:rsidR="000726DA">
        <w:rPr>
          <w:rFonts w:ascii="Times New Roman" w:hAnsi="Times New Roman"/>
          <w:sz w:val="24"/>
          <w:szCs w:val="24"/>
          <w:lang w:val="sr-Cyrl-CS"/>
        </w:rPr>
        <w:t xml:space="preserve">  </w:t>
      </w:r>
    </w:p>
    <w:p w:rsidR="000726DA" w:rsidRDefault="00427488" w:rsidP="000726DA">
      <w:pPr>
        <w:ind w:firstLine="708"/>
        <w:jc w:val="both"/>
        <w:rPr>
          <w:rFonts w:ascii="Times New Roman" w:hAnsi="Times New Roman"/>
          <w:sz w:val="24"/>
          <w:szCs w:val="24"/>
          <w:lang w:val="sr-Cyrl-CS"/>
        </w:rPr>
      </w:pPr>
      <w:r>
        <w:rPr>
          <w:rFonts w:ascii="Times New Roman" w:hAnsi="Times New Roman"/>
          <w:sz w:val="24"/>
          <w:szCs w:val="24"/>
          <w:lang w:val="sr-Cyrl-CS"/>
        </w:rPr>
        <w:t>Разлог је и економске</w:t>
      </w:r>
      <w:r w:rsidR="000726DA">
        <w:rPr>
          <w:rFonts w:ascii="Times New Roman" w:hAnsi="Times New Roman"/>
          <w:sz w:val="24"/>
          <w:szCs w:val="24"/>
          <w:lang w:val="sr-Cyrl-CS"/>
        </w:rPr>
        <w:t xml:space="preserve"> </w:t>
      </w:r>
      <w:r>
        <w:rPr>
          <w:rFonts w:ascii="Times New Roman" w:hAnsi="Times New Roman"/>
          <w:sz w:val="24"/>
          <w:szCs w:val="24"/>
          <w:lang w:val="sr-Cyrl-CS"/>
        </w:rPr>
        <w:t>природе</w:t>
      </w:r>
      <w:r w:rsidR="0074176D">
        <w:rPr>
          <w:rFonts w:ascii="Times New Roman" w:hAnsi="Times New Roman"/>
          <w:sz w:val="24"/>
          <w:szCs w:val="24"/>
          <w:lang w:val="sr-Cyrl-CS"/>
        </w:rPr>
        <w:t xml:space="preserve"> који се </w:t>
      </w:r>
      <w:r>
        <w:rPr>
          <w:rFonts w:ascii="Times New Roman" w:hAnsi="Times New Roman"/>
          <w:sz w:val="24"/>
          <w:szCs w:val="24"/>
          <w:lang w:val="sr-Cyrl-CS"/>
        </w:rPr>
        <w:t xml:space="preserve">са једне стране </w:t>
      </w:r>
      <w:r w:rsidR="0074176D">
        <w:rPr>
          <w:rFonts w:ascii="Times New Roman" w:hAnsi="Times New Roman"/>
          <w:sz w:val="24"/>
          <w:szCs w:val="24"/>
          <w:lang w:val="sr-Cyrl-CS"/>
        </w:rPr>
        <w:t xml:space="preserve">огледа у томе што се </w:t>
      </w:r>
      <w:r w:rsidR="000726DA">
        <w:rPr>
          <w:rFonts w:ascii="Times New Roman" w:hAnsi="Times New Roman"/>
          <w:sz w:val="24"/>
          <w:szCs w:val="24"/>
          <w:lang w:val="sr-Cyrl-CS"/>
        </w:rPr>
        <w:t xml:space="preserve">путем јачег опорезивања одређених имовинских добара, дестимулише улагање у тзв. „мртав капитал“ (нпр. изградња велелепних викендица које се </w:t>
      </w:r>
      <w:r>
        <w:rPr>
          <w:rFonts w:ascii="Times New Roman" w:hAnsi="Times New Roman"/>
          <w:sz w:val="24"/>
          <w:szCs w:val="24"/>
          <w:lang w:val="sr-Cyrl-CS"/>
        </w:rPr>
        <w:t>ретко користе</w:t>
      </w:r>
      <w:r w:rsidR="000726DA">
        <w:rPr>
          <w:rFonts w:ascii="Times New Roman" w:hAnsi="Times New Roman"/>
          <w:sz w:val="24"/>
          <w:szCs w:val="24"/>
          <w:lang w:val="sr-Cyrl-CS"/>
        </w:rPr>
        <w:t xml:space="preserve">), </w:t>
      </w:r>
      <w:r>
        <w:rPr>
          <w:rFonts w:ascii="Times New Roman" w:hAnsi="Times New Roman"/>
          <w:sz w:val="24"/>
          <w:szCs w:val="24"/>
          <w:lang w:val="sr-Cyrl-CS"/>
        </w:rPr>
        <w:t xml:space="preserve">а са друге стране се </w:t>
      </w:r>
      <w:r w:rsidR="000726DA">
        <w:rPr>
          <w:rFonts w:ascii="Times New Roman" w:hAnsi="Times New Roman"/>
          <w:sz w:val="24"/>
          <w:szCs w:val="24"/>
          <w:lang w:val="sr-Cyrl-CS"/>
        </w:rPr>
        <w:t>стимулативно делује на улагање у капитал који ће омогућити повећану производњу.</w:t>
      </w:r>
      <w:r w:rsidR="000726DA">
        <w:rPr>
          <w:rStyle w:val="FootnoteReference"/>
          <w:rFonts w:ascii="Times New Roman" w:hAnsi="Times New Roman"/>
          <w:sz w:val="24"/>
          <w:szCs w:val="24"/>
          <w:lang w:val="sr-Cyrl-CS"/>
        </w:rPr>
        <w:footnoteReference w:id="507"/>
      </w:r>
      <w:r w:rsidR="000726DA">
        <w:rPr>
          <w:rFonts w:ascii="Times New Roman" w:hAnsi="Times New Roman"/>
          <w:sz w:val="24"/>
          <w:szCs w:val="24"/>
          <w:lang w:val="sr-Cyrl-CS"/>
        </w:rPr>
        <w:t xml:space="preserve">  </w:t>
      </w:r>
      <w:r w:rsidR="0074176D">
        <w:rPr>
          <w:rFonts w:ascii="Times New Roman" w:hAnsi="Times New Roman"/>
          <w:sz w:val="24"/>
          <w:szCs w:val="24"/>
          <w:lang w:val="sr-Cyrl-CS"/>
        </w:rPr>
        <w:t xml:space="preserve"> </w:t>
      </w:r>
    </w:p>
    <w:p w:rsidR="000726DA" w:rsidRDefault="000726DA" w:rsidP="004454A3">
      <w:pPr>
        <w:ind w:firstLine="708"/>
        <w:jc w:val="both"/>
        <w:rPr>
          <w:rFonts w:ascii="Times New Roman" w:hAnsi="Times New Roman"/>
          <w:sz w:val="24"/>
          <w:szCs w:val="24"/>
          <w:lang w:val="sr-Cyrl-CS"/>
        </w:rPr>
      </w:pPr>
      <w:r w:rsidRPr="004B4F6A">
        <w:rPr>
          <w:rFonts w:ascii="Times New Roman" w:hAnsi="Times New Roman"/>
          <w:sz w:val="24"/>
          <w:szCs w:val="24"/>
          <w:lang w:val="sr-Cyrl-CS"/>
        </w:rPr>
        <w:t>Осим тога,</w:t>
      </w:r>
      <w:r w:rsidRPr="004B4F6A">
        <w:rPr>
          <w:rFonts w:ascii="Times New Roman" w:hAnsi="Times New Roman"/>
          <w:b/>
          <w:sz w:val="24"/>
          <w:szCs w:val="24"/>
          <w:lang w:val="sr-Cyrl-CS"/>
        </w:rPr>
        <w:t xml:space="preserve"> </w:t>
      </w:r>
      <w:r w:rsidRPr="004B4F6A">
        <w:rPr>
          <w:rFonts w:ascii="Times New Roman" w:hAnsi="Times New Roman"/>
          <w:sz w:val="24"/>
          <w:szCs w:val="24"/>
          <w:lang w:val="sr-Cyrl-CS"/>
        </w:rPr>
        <w:t>разлози</w:t>
      </w:r>
      <w:r w:rsidRPr="004B4F6A">
        <w:rPr>
          <w:rFonts w:ascii="Times New Roman" w:hAnsi="Times New Roman"/>
          <w:b/>
          <w:sz w:val="24"/>
          <w:szCs w:val="24"/>
          <w:lang w:val="sr-Cyrl-CS"/>
        </w:rPr>
        <w:t xml:space="preserve"> </w:t>
      </w:r>
      <w:r w:rsidRPr="004B4F6A">
        <w:rPr>
          <w:rFonts w:ascii="Times New Roman" w:hAnsi="Times New Roman"/>
          <w:sz w:val="24"/>
          <w:szCs w:val="24"/>
          <w:lang w:val="sr-Cyrl-CS"/>
        </w:rPr>
        <w:t>увођења пореза на непокретности се у финансијској теорији своде се на разматрање према критеријумима користи и могућности плаћања.</w:t>
      </w:r>
      <w:r w:rsidRPr="004B4F6A">
        <w:rPr>
          <w:rStyle w:val="FootnoteReference"/>
          <w:rFonts w:ascii="Times New Roman" w:hAnsi="Times New Roman"/>
          <w:sz w:val="24"/>
          <w:szCs w:val="24"/>
          <w:lang w:val="sr-Cyrl-CS"/>
        </w:rPr>
        <w:footnoteReference w:id="508"/>
      </w:r>
      <w:r w:rsidRPr="004B4F6A">
        <w:rPr>
          <w:rFonts w:ascii="Times New Roman" w:hAnsi="Times New Roman"/>
          <w:sz w:val="24"/>
          <w:szCs w:val="24"/>
          <w:lang w:val="sr-Cyrl-CS"/>
        </w:rPr>
        <w:t xml:space="preserve"> Први критеријум полази од тога да власници некретнина имају користи од државе, па морају платити јавне услуге држави (здравство, школство, комуналне службе) и трошкове заштите и бриге за некретнине (полицију, судство, државну администрацију и др.).  Други критеријум полази од тога да поседовање некретнина значи да је њен власник платежно способнији, те да доходак не означава могућност плаћања у целости нити одражава порески капацитет појединца у целини, јер поседовање непокретности повећава тај капацитет изнад нивоа дохотка. Опорезивањем имовине се врши посредно опорезивање прихода и дохотка.</w:t>
      </w:r>
      <w:r>
        <w:rPr>
          <w:rFonts w:ascii="Times New Roman" w:hAnsi="Times New Roman"/>
          <w:sz w:val="24"/>
          <w:szCs w:val="24"/>
          <w:lang w:val="sr-Cyrl-CS"/>
        </w:rPr>
        <w:t xml:space="preserve"> </w:t>
      </w:r>
      <w:r w:rsidRPr="004B4F6A">
        <w:rPr>
          <w:rFonts w:ascii="Times New Roman" w:hAnsi="Times New Roman"/>
          <w:sz w:val="24"/>
          <w:szCs w:val="24"/>
          <w:lang w:val="sr-Cyrl-CS"/>
        </w:rPr>
        <w:t xml:space="preserve">Мада је порез био плаћен у </w:t>
      </w:r>
      <w:r w:rsidR="004454A3">
        <w:rPr>
          <w:rFonts w:ascii="Times New Roman" w:hAnsi="Times New Roman"/>
          <w:sz w:val="24"/>
          <w:szCs w:val="24"/>
          <w:lang w:val="sr-Cyrl-CS"/>
        </w:rPr>
        <w:t>два наврата,</w:t>
      </w:r>
      <w:r w:rsidRPr="004B4F6A">
        <w:rPr>
          <w:rFonts w:ascii="Times New Roman" w:hAnsi="Times New Roman"/>
          <w:sz w:val="24"/>
          <w:szCs w:val="24"/>
          <w:lang w:val="sr-Cyrl-CS"/>
        </w:rPr>
        <w:t xml:space="preserve"> први пут када је тај износ прихода употребљен за куповину одређеног предмета високог стандарда или ликсузне потрошње, сматра се правично, праведно и допустиво да се и сама чињеница поседовања одређене имовине употреби као довољан разлог за додатно пореско оптерећење.</w:t>
      </w:r>
      <w:r w:rsidRPr="004B4F6A">
        <w:rPr>
          <w:rStyle w:val="FootnoteReference"/>
          <w:rFonts w:ascii="Times New Roman" w:hAnsi="Times New Roman"/>
          <w:sz w:val="24"/>
          <w:szCs w:val="24"/>
          <w:lang w:val="sr-Cyrl-CS"/>
        </w:rPr>
        <w:footnoteReference w:id="509"/>
      </w:r>
      <w:r>
        <w:rPr>
          <w:rFonts w:ascii="Times New Roman" w:hAnsi="Times New Roman"/>
          <w:sz w:val="24"/>
          <w:szCs w:val="24"/>
          <w:lang w:val="sr-Cyrl-CS"/>
        </w:rPr>
        <w:t xml:space="preserve"> </w:t>
      </w:r>
    </w:p>
    <w:p w:rsidR="000726DA" w:rsidRDefault="000726DA" w:rsidP="000726DA">
      <w:pPr>
        <w:ind w:firstLine="708"/>
        <w:jc w:val="both"/>
        <w:rPr>
          <w:rFonts w:ascii="Times New Roman" w:hAnsi="Times New Roman"/>
          <w:sz w:val="24"/>
          <w:szCs w:val="24"/>
        </w:rPr>
      </w:pPr>
      <w:r w:rsidRPr="00C317BA">
        <w:rPr>
          <w:rFonts w:ascii="Times New Roman" w:hAnsi="Times New Roman"/>
          <w:sz w:val="24"/>
          <w:szCs w:val="24"/>
          <w:lang w:val="sr-Cyrl-CS"/>
        </w:rPr>
        <w:lastRenderedPageBreak/>
        <w:t>Законом о порезима на имовину</w:t>
      </w:r>
      <w:r>
        <w:rPr>
          <w:rStyle w:val="FootnoteReference"/>
          <w:rFonts w:ascii="Times New Roman" w:hAnsi="Times New Roman"/>
          <w:sz w:val="24"/>
          <w:szCs w:val="24"/>
          <w:lang w:val="sr-Cyrl-CS"/>
        </w:rPr>
        <w:footnoteReference w:id="510"/>
      </w:r>
      <w:r w:rsidRPr="00C317BA">
        <w:rPr>
          <w:rFonts w:ascii="Times New Roman" w:hAnsi="Times New Roman"/>
          <w:sz w:val="24"/>
          <w:szCs w:val="24"/>
          <w:lang w:val="sr-Cyrl-CS"/>
        </w:rPr>
        <w:t xml:space="preserve"> у Републици Србији </w:t>
      </w:r>
      <w:r>
        <w:rPr>
          <w:rFonts w:ascii="Times New Roman" w:hAnsi="Times New Roman"/>
          <w:sz w:val="24"/>
          <w:szCs w:val="24"/>
          <w:lang w:val="sr-Cyrl-CS"/>
        </w:rPr>
        <w:t xml:space="preserve">уређују се три пореска облика: порез на имовину, порез на наслеђе и поклон и порез на пренос апсолутних права. </w:t>
      </w:r>
      <w:r w:rsidR="00642F7E">
        <w:rPr>
          <w:rFonts w:ascii="Times New Roman" w:hAnsi="Times New Roman"/>
          <w:sz w:val="24"/>
          <w:szCs w:val="24"/>
          <w:lang w:val="sr-Cyrl-CS"/>
        </w:rPr>
        <w:t>Иако се не ради о</w:t>
      </w:r>
      <w:r>
        <w:rPr>
          <w:rFonts w:ascii="Times New Roman" w:hAnsi="Times New Roman"/>
          <w:sz w:val="24"/>
          <w:szCs w:val="24"/>
          <w:lang w:val="sr-Cyrl-CS"/>
        </w:rPr>
        <w:t xml:space="preserve"> издашни</w:t>
      </w:r>
      <w:r w:rsidR="00642F7E">
        <w:rPr>
          <w:rFonts w:ascii="Times New Roman" w:hAnsi="Times New Roman"/>
          <w:sz w:val="24"/>
          <w:szCs w:val="24"/>
          <w:lang w:val="sr-Cyrl-CS"/>
        </w:rPr>
        <w:t>м</w:t>
      </w:r>
      <w:r>
        <w:rPr>
          <w:rFonts w:ascii="Times New Roman" w:hAnsi="Times New Roman"/>
          <w:sz w:val="24"/>
          <w:szCs w:val="24"/>
          <w:lang w:val="sr-Cyrl-CS"/>
        </w:rPr>
        <w:t xml:space="preserve"> облици</w:t>
      </w:r>
      <w:r w:rsidR="00642F7E">
        <w:rPr>
          <w:rFonts w:ascii="Times New Roman" w:hAnsi="Times New Roman"/>
          <w:sz w:val="24"/>
          <w:szCs w:val="24"/>
          <w:lang w:val="sr-Cyrl-CS"/>
        </w:rPr>
        <w:t xml:space="preserve">ма опорезивања  закондавац их </w:t>
      </w:r>
      <w:r>
        <w:rPr>
          <w:rFonts w:ascii="Times New Roman" w:hAnsi="Times New Roman"/>
          <w:sz w:val="24"/>
          <w:szCs w:val="24"/>
          <w:lang w:val="sr-Cyrl-CS"/>
        </w:rPr>
        <w:t>користи ради захватања повећане пореске способности оних лица која поседују имовину или је стављају у промет, чак и у случа</w:t>
      </w:r>
      <w:r w:rsidR="00642F7E">
        <w:rPr>
          <w:rFonts w:ascii="Times New Roman" w:hAnsi="Times New Roman"/>
          <w:sz w:val="24"/>
          <w:szCs w:val="24"/>
          <w:lang w:val="sr-Cyrl-CS"/>
        </w:rPr>
        <w:t>ју када имовина не даје приходе, јер се</w:t>
      </w:r>
      <w:r>
        <w:rPr>
          <w:rFonts w:ascii="Times New Roman" w:hAnsi="Times New Roman"/>
          <w:sz w:val="24"/>
          <w:szCs w:val="24"/>
          <w:lang w:val="sr-Cyrl-CS"/>
        </w:rPr>
        <w:t xml:space="preserve"> </w:t>
      </w:r>
      <w:r w:rsidR="00642F7E">
        <w:rPr>
          <w:rFonts w:ascii="Times New Roman" w:hAnsi="Times New Roman"/>
          <w:sz w:val="24"/>
          <w:szCs w:val="24"/>
          <w:lang w:val="sr-Cyrl-CS"/>
        </w:rPr>
        <w:t xml:space="preserve">приходи од имовине опорезују </w:t>
      </w:r>
      <w:r>
        <w:rPr>
          <w:rFonts w:ascii="Times New Roman" w:hAnsi="Times New Roman"/>
          <w:sz w:val="24"/>
          <w:szCs w:val="24"/>
          <w:lang w:val="sr-Cyrl-CS"/>
        </w:rPr>
        <w:t>порезом на доходак грађана.</w:t>
      </w:r>
      <w:r>
        <w:rPr>
          <w:rStyle w:val="FootnoteReference"/>
          <w:rFonts w:ascii="Times New Roman" w:hAnsi="Times New Roman"/>
          <w:sz w:val="24"/>
          <w:szCs w:val="24"/>
          <w:lang w:val="sr-Cyrl-CS"/>
        </w:rPr>
        <w:footnoteReference w:id="511"/>
      </w:r>
    </w:p>
    <w:p w:rsidR="00E10D0E" w:rsidRPr="00E10D0E" w:rsidRDefault="00E10D0E" w:rsidP="00E10D0E">
      <w:pPr>
        <w:ind w:firstLine="708"/>
        <w:jc w:val="both"/>
        <w:rPr>
          <w:rFonts w:ascii="Times New Roman" w:hAnsi="Times New Roman"/>
          <w:sz w:val="24"/>
          <w:szCs w:val="24"/>
        </w:rPr>
      </w:pPr>
      <w:r w:rsidRPr="00750AB7">
        <w:rPr>
          <w:rFonts w:ascii="Times New Roman" w:hAnsi="Times New Roman"/>
          <w:sz w:val="24"/>
          <w:szCs w:val="24"/>
          <w:lang w:val="sr-Cyrl-CS"/>
        </w:rPr>
        <w:t xml:space="preserve">Порез на имовину се плаћа на </w:t>
      </w:r>
      <w:r w:rsidR="00C75EE2" w:rsidRPr="00750AB7">
        <w:rPr>
          <w:rFonts w:ascii="Times New Roman" w:hAnsi="Times New Roman"/>
          <w:sz w:val="24"/>
          <w:szCs w:val="24"/>
          <w:lang w:val="sr-Cyrl-CS"/>
        </w:rPr>
        <w:t>поседовање или коришћење непокретности</w:t>
      </w:r>
      <w:r w:rsidR="00C75EE2">
        <w:rPr>
          <w:rFonts w:ascii="Times New Roman" w:hAnsi="Times New Roman"/>
          <w:sz w:val="24"/>
          <w:szCs w:val="24"/>
          <w:lang w:val="sr-Cyrl-CS"/>
        </w:rPr>
        <w:t>, дакле на</w:t>
      </w:r>
      <w:r w:rsidR="00C75EE2" w:rsidRPr="00750AB7">
        <w:rPr>
          <w:rFonts w:ascii="Times New Roman" w:hAnsi="Times New Roman"/>
          <w:sz w:val="24"/>
          <w:szCs w:val="24"/>
          <w:lang w:val="sr-Cyrl-CS"/>
        </w:rPr>
        <w:t xml:space="preserve"> </w:t>
      </w:r>
      <w:r w:rsidR="00C75EE2">
        <w:rPr>
          <w:rFonts w:ascii="Times New Roman" w:hAnsi="Times New Roman"/>
          <w:sz w:val="24"/>
          <w:szCs w:val="24"/>
          <w:lang w:val="sr-Cyrl-CS"/>
        </w:rPr>
        <w:t xml:space="preserve">имовину у статици, за разлику од </w:t>
      </w:r>
      <w:r w:rsidRPr="00750AB7">
        <w:rPr>
          <w:rFonts w:ascii="Times New Roman" w:hAnsi="Times New Roman"/>
          <w:sz w:val="24"/>
          <w:szCs w:val="24"/>
          <w:lang w:val="sr-Cyrl-CS"/>
        </w:rPr>
        <w:t>порез</w:t>
      </w:r>
      <w:r w:rsidR="00C75EE2">
        <w:rPr>
          <w:rFonts w:ascii="Times New Roman" w:hAnsi="Times New Roman"/>
          <w:sz w:val="24"/>
          <w:szCs w:val="24"/>
          <w:lang w:val="sr-Cyrl-CS"/>
        </w:rPr>
        <w:t>а</w:t>
      </w:r>
      <w:r w:rsidRPr="00750AB7">
        <w:rPr>
          <w:rFonts w:ascii="Times New Roman" w:hAnsi="Times New Roman"/>
          <w:sz w:val="24"/>
          <w:szCs w:val="24"/>
          <w:lang w:val="sr-Cyrl-CS"/>
        </w:rPr>
        <w:t xml:space="preserve"> на пренос апсолутних права и порез</w:t>
      </w:r>
      <w:r w:rsidR="00C75EE2">
        <w:rPr>
          <w:rFonts w:ascii="Times New Roman" w:hAnsi="Times New Roman"/>
          <w:sz w:val="24"/>
          <w:szCs w:val="24"/>
          <w:lang w:val="sr-Cyrl-CS"/>
        </w:rPr>
        <w:t>а</w:t>
      </w:r>
      <w:r w:rsidRPr="00750AB7">
        <w:rPr>
          <w:rFonts w:ascii="Times New Roman" w:hAnsi="Times New Roman"/>
          <w:sz w:val="24"/>
          <w:szCs w:val="24"/>
          <w:lang w:val="sr-Cyrl-CS"/>
        </w:rPr>
        <w:t xml:space="preserve"> на наслеђе и поклон </w:t>
      </w:r>
      <w:r w:rsidR="00C75EE2">
        <w:rPr>
          <w:rFonts w:ascii="Times New Roman" w:hAnsi="Times New Roman"/>
          <w:sz w:val="24"/>
          <w:szCs w:val="24"/>
          <w:lang w:val="sr-Cyrl-CS"/>
        </w:rPr>
        <w:t xml:space="preserve">који </w:t>
      </w:r>
      <w:r w:rsidRPr="00750AB7">
        <w:rPr>
          <w:rFonts w:ascii="Times New Roman" w:hAnsi="Times New Roman"/>
          <w:sz w:val="24"/>
          <w:szCs w:val="24"/>
          <w:lang w:val="sr-Cyrl-CS"/>
        </w:rPr>
        <w:t>погађају имовину у динамици (када се налази у промету).</w:t>
      </w:r>
      <w:r w:rsidRPr="00750AB7">
        <w:rPr>
          <w:rStyle w:val="FootnoteReference"/>
          <w:rFonts w:ascii="Times New Roman" w:hAnsi="Times New Roman"/>
          <w:sz w:val="24"/>
          <w:szCs w:val="24"/>
          <w:lang w:val="sr-Cyrl-CS"/>
        </w:rPr>
        <w:footnoteReference w:id="512"/>
      </w:r>
      <w:r w:rsidRPr="00750AB7">
        <w:rPr>
          <w:rFonts w:ascii="Times New Roman" w:hAnsi="Times New Roman"/>
          <w:sz w:val="24"/>
          <w:szCs w:val="24"/>
          <w:lang w:val="sr-Cyrl-CS"/>
        </w:rPr>
        <w:t xml:space="preserve"> </w:t>
      </w:r>
    </w:p>
    <w:p w:rsidR="000726DA" w:rsidRDefault="000726DA" w:rsidP="000726DA">
      <w:pPr>
        <w:ind w:firstLine="708"/>
        <w:jc w:val="both"/>
        <w:rPr>
          <w:rFonts w:ascii="Times New Roman" w:hAnsi="Times New Roman"/>
          <w:sz w:val="24"/>
          <w:szCs w:val="24"/>
          <w:lang w:val="sr-Cyrl-CS"/>
        </w:rPr>
      </w:pPr>
      <w:r>
        <w:rPr>
          <w:rFonts w:ascii="Times New Roman" w:hAnsi="Times New Roman"/>
          <w:sz w:val="24"/>
          <w:szCs w:val="24"/>
          <w:lang w:val="sr-Cyrl-CS"/>
        </w:rPr>
        <w:t>Порез на имовину представља сопствени приход локалних власти. Утврђивање, наплата и контрола овог пореза, као и утврђивање износа пореске основице и стопе (у границама које су прописане) је од 2006. године  прешло у надлежност локалне самоуправе према Закону о финансирању локалне самоуправе.</w:t>
      </w:r>
      <w:r>
        <w:rPr>
          <w:rStyle w:val="FootnoteReference"/>
          <w:rFonts w:ascii="Times New Roman" w:hAnsi="Times New Roman"/>
          <w:sz w:val="24"/>
          <w:szCs w:val="24"/>
          <w:lang w:val="sr-Cyrl-CS"/>
        </w:rPr>
        <w:footnoteReference w:id="513"/>
      </w:r>
      <w:r>
        <w:rPr>
          <w:rFonts w:ascii="Times New Roman" w:hAnsi="Times New Roman"/>
          <w:sz w:val="24"/>
          <w:szCs w:val="24"/>
          <w:lang w:val="sr-Cyrl-CS"/>
        </w:rPr>
        <w:t xml:space="preserve"> </w:t>
      </w:r>
      <w:r w:rsidRPr="00E53F5F">
        <w:rPr>
          <w:rFonts w:ascii="Times New Roman" w:hAnsi="Times New Roman"/>
          <w:sz w:val="24"/>
          <w:szCs w:val="24"/>
          <w:lang w:val="sr-Cyrl-CS"/>
        </w:rPr>
        <w:t xml:space="preserve">Локалне </w:t>
      </w:r>
      <w:r>
        <w:rPr>
          <w:rFonts w:ascii="Times New Roman" w:hAnsi="Times New Roman"/>
          <w:sz w:val="24"/>
          <w:szCs w:val="24"/>
          <w:lang w:val="sr-Cyrl-CS"/>
        </w:rPr>
        <w:t xml:space="preserve">самоуправе саме утврђују стопу пореза на имовину али оне не смеју бити веће од законом прописане. </w:t>
      </w:r>
    </w:p>
    <w:p w:rsidR="005D64CC" w:rsidRDefault="005D64CC" w:rsidP="005849D1">
      <w:pPr>
        <w:autoSpaceDE w:val="0"/>
        <w:autoSpaceDN w:val="0"/>
        <w:adjustRightInd w:val="0"/>
        <w:spacing w:after="0" w:line="240" w:lineRule="auto"/>
        <w:jc w:val="both"/>
        <w:rPr>
          <w:rFonts w:ascii="Times New Roman" w:hAnsi="Times New Roman"/>
          <w:sz w:val="24"/>
          <w:szCs w:val="24"/>
          <w:lang w:val="sr-Cyrl-CS"/>
        </w:rPr>
      </w:pPr>
    </w:p>
    <w:p w:rsidR="000726DA" w:rsidRDefault="000726DA" w:rsidP="00FF286A">
      <w:pPr>
        <w:pStyle w:val="normal0"/>
        <w:shd w:val="clear" w:color="auto" w:fill="FFFFFF"/>
        <w:spacing w:before="48" w:beforeAutospacing="0" w:after="48" w:afterAutospacing="0"/>
        <w:jc w:val="both"/>
        <w:rPr>
          <w:color w:val="000000"/>
          <w:lang w:val="sr-Cyrl-CS"/>
        </w:rPr>
      </w:pPr>
    </w:p>
    <w:p w:rsidR="000726DA" w:rsidRPr="00541620" w:rsidRDefault="005D64CC" w:rsidP="000726DA">
      <w:pPr>
        <w:pStyle w:val="NoSpacing"/>
        <w:jc w:val="both"/>
        <w:rPr>
          <w:rFonts w:ascii="Times New Roman" w:hAnsi="Times New Roman"/>
          <w:b/>
          <w:sz w:val="24"/>
          <w:szCs w:val="24"/>
          <w:lang w:val="sr-Cyrl-CS"/>
        </w:rPr>
      </w:pPr>
      <w:r w:rsidRPr="00541620">
        <w:rPr>
          <w:rFonts w:ascii="Times New Roman" w:hAnsi="Times New Roman"/>
          <w:b/>
          <w:sz w:val="24"/>
          <w:szCs w:val="24"/>
          <w:lang w:val="sr-Cyrl-CS"/>
        </w:rPr>
        <w:t>5.4</w:t>
      </w:r>
      <w:r w:rsidR="000726DA" w:rsidRPr="00541620">
        <w:rPr>
          <w:rFonts w:ascii="Times New Roman" w:hAnsi="Times New Roman"/>
          <w:b/>
          <w:sz w:val="24"/>
          <w:szCs w:val="24"/>
          <w:lang w:val="sr-Cyrl-CS"/>
        </w:rPr>
        <w:t>.</w:t>
      </w:r>
      <w:r w:rsidR="00001DEB">
        <w:rPr>
          <w:rFonts w:ascii="Times New Roman" w:hAnsi="Times New Roman"/>
          <w:b/>
          <w:sz w:val="24"/>
          <w:szCs w:val="24"/>
          <w:lang w:val="sr-Cyrl-CS"/>
        </w:rPr>
        <w:t>1</w:t>
      </w:r>
      <w:r w:rsidR="000726DA" w:rsidRPr="00541620">
        <w:rPr>
          <w:rFonts w:ascii="Times New Roman" w:hAnsi="Times New Roman"/>
          <w:b/>
          <w:sz w:val="24"/>
          <w:szCs w:val="24"/>
          <w:lang w:val="sr-Cyrl-CS"/>
        </w:rPr>
        <w:t xml:space="preserve">.Предмет опорезивања </w:t>
      </w:r>
    </w:p>
    <w:p w:rsidR="005849D1" w:rsidRDefault="005849D1" w:rsidP="000726DA">
      <w:pPr>
        <w:pStyle w:val="NoSpacing"/>
        <w:jc w:val="both"/>
        <w:rPr>
          <w:rFonts w:ascii="Times New Roman" w:hAnsi="Times New Roman"/>
          <w:b/>
          <w:sz w:val="28"/>
          <w:szCs w:val="28"/>
          <w:lang w:val="sr-Cyrl-CS"/>
        </w:rPr>
      </w:pPr>
    </w:p>
    <w:p w:rsidR="000726DA" w:rsidRDefault="000726DA" w:rsidP="000726DA">
      <w:pPr>
        <w:pStyle w:val="NoSpacing"/>
        <w:jc w:val="both"/>
        <w:rPr>
          <w:rFonts w:ascii="Times New Roman" w:hAnsi="Times New Roman"/>
          <w:b/>
          <w:sz w:val="28"/>
          <w:szCs w:val="28"/>
          <w:lang w:val="sr-Cyrl-CS"/>
        </w:rPr>
      </w:pPr>
    </w:p>
    <w:p w:rsidR="000726DA" w:rsidRPr="00D86D09" w:rsidRDefault="000726DA" w:rsidP="00D86D09">
      <w:pPr>
        <w:ind w:firstLine="708"/>
        <w:jc w:val="both"/>
        <w:rPr>
          <w:rFonts w:ascii="Times New Roman" w:hAnsi="Times New Roman"/>
          <w:sz w:val="24"/>
          <w:szCs w:val="24"/>
          <w:lang w:val="sr-Cyrl-CS"/>
        </w:rPr>
      </w:pPr>
      <w:r w:rsidRPr="00D86D09">
        <w:rPr>
          <w:rFonts w:ascii="Times New Roman" w:hAnsi="Times New Roman"/>
          <w:sz w:val="24"/>
          <w:szCs w:val="24"/>
          <w:lang w:val="sr-Cyrl-CS"/>
        </w:rPr>
        <w:t xml:space="preserve">Порез на имовину се плаћа на непокретности које се налазе на територији Републике Србије и то на: </w:t>
      </w:r>
    </w:p>
    <w:p w:rsidR="000726DA" w:rsidRPr="00D86D09" w:rsidRDefault="000726DA" w:rsidP="00D86D09">
      <w:pPr>
        <w:jc w:val="both"/>
        <w:rPr>
          <w:rFonts w:ascii="Times New Roman" w:hAnsi="Times New Roman"/>
          <w:color w:val="000000"/>
          <w:sz w:val="24"/>
          <w:szCs w:val="24"/>
        </w:rPr>
      </w:pPr>
      <w:r w:rsidRPr="00D86D09">
        <w:rPr>
          <w:rFonts w:ascii="Times New Roman" w:hAnsi="Times New Roman"/>
          <w:color w:val="000000"/>
          <w:sz w:val="24"/>
          <w:szCs w:val="24"/>
        </w:rPr>
        <w:t>1) право својине, односно на право својине на земљишту површине преко 10 ари;</w:t>
      </w:r>
    </w:p>
    <w:p w:rsidR="000726DA" w:rsidRPr="00D86D09" w:rsidRDefault="000726DA" w:rsidP="00D86D09">
      <w:pPr>
        <w:jc w:val="both"/>
        <w:rPr>
          <w:rFonts w:ascii="Times New Roman" w:hAnsi="Times New Roman"/>
          <w:color w:val="000000"/>
          <w:sz w:val="24"/>
          <w:szCs w:val="24"/>
        </w:rPr>
      </w:pPr>
      <w:r w:rsidRPr="00D86D09">
        <w:rPr>
          <w:rFonts w:ascii="Times New Roman" w:hAnsi="Times New Roman"/>
          <w:color w:val="000000"/>
          <w:sz w:val="24"/>
          <w:szCs w:val="24"/>
        </w:rPr>
        <w:t>2) право закупа стана или стамбене зграде конституисано у корист физичких лица, у складу са законом којим је уређено становање, односно социјално становање, односно законом којим су уређене избеглице, за период дужи од једне године или на неодређено време;</w:t>
      </w:r>
    </w:p>
    <w:p w:rsidR="000726DA" w:rsidRPr="00D86D09" w:rsidRDefault="000726DA" w:rsidP="00D86D09">
      <w:pPr>
        <w:jc w:val="both"/>
        <w:rPr>
          <w:rFonts w:ascii="Times New Roman" w:hAnsi="Times New Roman"/>
          <w:color w:val="000000"/>
          <w:sz w:val="24"/>
          <w:szCs w:val="24"/>
        </w:rPr>
      </w:pPr>
      <w:r w:rsidRPr="00D86D09">
        <w:rPr>
          <w:rFonts w:ascii="Times New Roman" w:hAnsi="Times New Roman"/>
          <w:color w:val="000000"/>
          <w:sz w:val="24"/>
          <w:szCs w:val="24"/>
        </w:rPr>
        <w:t>3) право коришћења грађевинског земљишта површине преко 10 ари, у складу са законом којим се уређује правни режим грађевинског земљишта;</w:t>
      </w:r>
    </w:p>
    <w:p w:rsidR="000726DA" w:rsidRPr="00D86D09" w:rsidRDefault="000726DA" w:rsidP="00D86D09">
      <w:pPr>
        <w:jc w:val="both"/>
        <w:rPr>
          <w:rFonts w:ascii="Times New Roman" w:hAnsi="Times New Roman"/>
          <w:color w:val="000000"/>
          <w:sz w:val="24"/>
          <w:szCs w:val="24"/>
        </w:rPr>
      </w:pPr>
      <w:r w:rsidRPr="00D86D09">
        <w:rPr>
          <w:rFonts w:ascii="Times New Roman" w:hAnsi="Times New Roman"/>
          <w:color w:val="000000"/>
          <w:sz w:val="24"/>
          <w:szCs w:val="24"/>
        </w:rPr>
        <w:t>4) право коришћења непокретности у јавној својини од стране имаоца права коришћења, у складу са законом којим се уређује јавна својина;</w:t>
      </w:r>
    </w:p>
    <w:p w:rsidR="000726DA" w:rsidRPr="00D86D09" w:rsidRDefault="000726DA" w:rsidP="00D86D09">
      <w:pPr>
        <w:jc w:val="both"/>
        <w:rPr>
          <w:rFonts w:ascii="Times New Roman" w:hAnsi="Times New Roman"/>
          <w:color w:val="000000"/>
          <w:sz w:val="24"/>
          <w:szCs w:val="24"/>
        </w:rPr>
      </w:pPr>
      <w:r w:rsidRPr="00D86D09">
        <w:rPr>
          <w:rFonts w:ascii="Times New Roman" w:hAnsi="Times New Roman"/>
          <w:color w:val="000000"/>
          <w:sz w:val="24"/>
          <w:szCs w:val="24"/>
        </w:rPr>
        <w:t>5) коришћење непокретности у јавној својини од стране корисника непокретности, у складу са законом којим се уређује јавна својина;</w:t>
      </w:r>
    </w:p>
    <w:p w:rsidR="000726DA" w:rsidRPr="00D86D09" w:rsidRDefault="000726DA" w:rsidP="00D86D09">
      <w:pPr>
        <w:jc w:val="both"/>
        <w:rPr>
          <w:rFonts w:ascii="Times New Roman" w:hAnsi="Times New Roman"/>
          <w:color w:val="000000"/>
          <w:sz w:val="24"/>
          <w:szCs w:val="24"/>
        </w:rPr>
      </w:pPr>
      <w:r w:rsidRPr="00D86D09">
        <w:rPr>
          <w:rFonts w:ascii="Times New Roman" w:hAnsi="Times New Roman"/>
          <w:color w:val="000000"/>
          <w:sz w:val="24"/>
          <w:szCs w:val="24"/>
        </w:rPr>
        <w:lastRenderedPageBreak/>
        <w:t>6) државину непокретности на којој ималац права својине није познат или није одређен;</w:t>
      </w:r>
    </w:p>
    <w:p w:rsidR="000726DA" w:rsidRPr="00D86D09" w:rsidRDefault="000726DA" w:rsidP="00D86D09">
      <w:pPr>
        <w:jc w:val="both"/>
        <w:rPr>
          <w:rFonts w:ascii="Times New Roman" w:hAnsi="Times New Roman"/>
          <w:color w:val="000000"/>
          <w:sz w:val="24"/>
          <w:szCs w:val="24"/>
        </w:rPr>
      </w:pPr>
      <w:r w:rsidRPr="00D86D09">
        <w:rPr>
          <w:rFonts w:ascii="Times New Roman" w:hAnsi="Times New Roman"/>
          <w:color w:val="000000"/>
          <w:sz w:val="24"/>
          <w:szCs w:val="24"/>
        </w:rPr>
        <w:t>7) државину непокретности у јавној својини, без правног основа;</w:t>
      </w:r>
    </w:p>
    <w:p w:rsidR="005849D1" w:rsidRPr="00D86D09" w:rsidRDefault="000726DA" w:rsidP="00D86D09">
      <w:pPr>
        <w:jc w:val="both"/>
        <w:rPr>
          <w:rFonts w:ascii="Times New Roman" w:hAnsi="Times New Roman"/>
          <w:color w:val="000000"/>
          <w:sz w:val="24"/>
          <w:szCs w:val="24"/>
          <w:lang w:val="sr-Cyrl-CS"/>
        </w:rPr>
      </w:pPr>
      <w:r w:rsidRPr="00D86D09">
        <w:rPr>
          <w:rFonts w:ascii="Times New Roman" w:hAnsi="Times New Roman"/>
          <w:color w:val="000000"/>
          <w:sz w:val="24"/>
          <w:szCs w:val="24"/>
        </w:rPr>
        <w:t>8) државину и коришћење непокретности по основу уговора о финансијском лизингу.</w:t>
      </w:r>
      <w:r w:rsidRPr="00D86D09">
        <w:rPr>
          <w:rFonts w:ascii="Times New Roman" w:hAnsi="Times New Roman"/>
          <w:color w:val="000000"/>
          <w:sz w:val="24"/>
          <w:szCs w:val="24"/>
          <w:lang w:val="sr-Cyrl-CS"/>
        </w:rPr>
        <w:t xml:space="preserve"> </w:t>
      </w:r>
    </w:p>
    <w:p w:rsidR="000726DA" w:rsidRPr="00D86D09" w:rsidRDefault="000726DA" w:rsidP="00D86D09">
      <w:pPr>
        <w:ind w:firstLine="708"/>
        <w:jc w:val="both"/>
        <w:rPr>
          <w:rFonts w:ascii="Times New Roman" w:hAnsi="Times New Roman"/>
          <w:color w:val="000000"/>
          <w:sz w:val="24"/>
          <w:szCs w:val="24"/>
          <w:lang w:val="sr-Cyrl-CS"/>
        </w:rPr>
      </w:pPr>
      <w:r w:rsidRPr="00D86D09">
        <w:rPr>
          <w:rFonts w:ascii="Times New Roman" w:hAnsi="Times New Roman"/>
          <w:color w:val="000000"/>
          <w:sz w:val="24"/>
          <w:szCs w:val="24"/>
        </w:rPr>
        <w:t>Непокретностима</w:t>
      </w:r>
      <w:r w:rsidRPr="00D86D09">
        <w:rPr>
          <w:rFonts w:ascii="Times New Roman" w:hAnsi="Times New Roman"/>
          <w:color w:val="000000"/>
          <w:sz w:val="24"/>
          <w:szCs w:val="24"/>
          <w:lang w:val="sr-Cyrl-CS"/>
        </w:rPr>
        <w:t xml:space="preserve"> се сматрају</w:t>
      </w:r>
      <w:r w:rsidRPr="00D86D09">
        <w:rPr>
          <w:rFonts w:ascii="Times New Roman" w:hAnsi="Times New Roman"/>
          <w:color w:val="000000"/>
          <w:sz w:val="24"/>
          <w:szCs w:val="24"/>
        </w:rPr>
        <w:t>:</w:t>
      </w:r>
    </w:p>
    <w:p w:rsidR="000726DA" w:rsidRPr="00D86D09" w:rsidRDefault="000726DA" w:rsidP="00D86D09">
      <w:pPr>
        <w:jc w:val="both"/>
        <w:rPr>
          <w:rFonts w:ascii="Times New Roman" w:hAnsi="Times New Roman"/>
          <w:color w:val="000000"/>
          <w:sz w:val="24"/>
          <w:szCs w:val="24"/>
        </w:rPr>
      </w:pPr>
      <w:r w:rsidRPr="00D86D09">
        <w:rPr>
          <w:rFonts w:ascii="Times New Roman" w:hAnsi="Times New Roman"/>
          <w:color w:val="000000"/>
          <w:sz w:val="24"/>
          <w:szCs w:val="24"/>
        </w:rPr>
        <w:t>1) земљиште, и то: грађевинско, пољопривредно, шумско и друго;</w:t>
      </w:r>
    </w:p>
    <w:p w:rsidR="000726DA" w:rsidRPr="00D86D09" w:rsidRDefault="000726DA" w:rsidP="00D86D09">
      <w:pPr>
        <w:jc w:val="both"/>
        <w:rPr>
          <w:rFonts w:ascii="Times New Roman" w:hAnsi="Times New Roman"/>
          <w:color w:val="000000"/>
          <w:sz w:val="24"/>
          <w:szCs w:val="24"/>
          <w:lang w:val="sr-Cyrl-CS"/>
        </w:rPr>
      </w:pPr>
      <w:r w:rsidRPr="00D86D09">
        <w:rPr>
          <w:rFonts w:ascii="Times New Roman" w:hAnsi="Times New Roman"/>
          <w:color w:val="000000"/>
          <w:sz w:val="24"/>
          <w:szCs w:val="24"/>
        </w:rPr>
        <w:t>2) стамбене, пословне и друге зграде, станови, пословне просторије, гараже и други (надземни и подземни) грађевински објекти, односно њихови делови.</w:t>
      </w:r>
    </w:p>
    <w:p w:rsidR="000726DA" w:rsidRPr="00D86D09" w:rsidRDefault="000726DA" w:rsidP="00D86D09">
      <w:pPr>
        <w:ind w:firstLine="708"/>
        <w:jc w:val="both"/>
        <w:rPr>
          <w:rFonts w:ascii="Times New Roman" w:hAnsi="Times New Roman"/>
          <w:color w:val="000000"/>
          <w:sz w:val="24"/>
          <w:szCs w:val="24"/>
          <w:lang w:val="sr-Cyrl-CS"/>
        </w:rPr>
      </w:pPr>
      <w:r w:rsidRPr="00D86D09">
        <w:rPr>
          <w:rFonts w:ascii="Times New Roman" w:hAnsi="Times New Roman"/>
          <w:color w:val="000000"/>
          <w:sz w:val="24"/>
          <w:szCs w:val="24"/>
        </w:rPr>
        <w:t xml:space="preserve">Кад на непокретности постоји неко од </w:t>
      </w:r>
      <w:r w:rsidRPr="00D86D09">
        <w:rPr>
          <w:rFonts w:ascii="Times New Roman" w:hAnsi="Times New Roman"/>
          <w:color w:val="000000"/>
          <w:sz w:val="24"/>
          <w:szCs w:val="24"/>
          <w:lang w:val="sr-Cyrl-CS"/>
        </w:rPr>
        <w:t xml:space="preserve">наведених </w:t>
      </w:r>
      <w:r w:rsidRPr="00D86D09">
        <w:rPr>
          <w:rFonts w:ascii="Times New Roman" w:hAnsi="Times New Roman"/>
          <w:color w:val="000000"/>
          <w:sz w:val="24"/>
          <w:szCs w:val="24"/>
        </w:rPr>
        <w:t xml:space="preserve">права, односно коришћење или државина, порез на имовину </w:t>
      </w:r>
      <w:r w:rsidRPr="00D86D09">
        <w:rPr>
          <w:rFonts w:ascii="Times New Roman" w:hAnsi="Times New Roman"/>
          <w:color w:val="000000"/>
          <w:sz w:val="24"/>
          <w:szCs w:val="24"/>
          <w:lang w:val="sr-Cyrl-CS"/>
        </w:rPr>
        <w:t xml:space="preserve">се </w:t>
      </w:r>
      <w:r w:rsidRPr="00D86D09">
        <w:rPr>
          <w:rFonts w:ascii="Times New Roman" w:hAnsi="Times New Roman"/>
          <w:color w:val="000000"/>
          <w:sz w:val="24"/>
          <w:szCs w:val="24"/>
        </w:rPr>
        <w:t>плаћа  на то право, односно на коришћење или државину, а не на право својине.</w:t>
      </w:r>
      <w:r w:rsidRPr="00D86D09">
        <w:rPr>
          <w:rStyle w:val="FootnoteReference"/>
          <w:rFonts w:ascii="Times New Roman" w:hAnsi="Times New Roman"/>
          <w:sz w:val="24"/>
          <w:szCs w:val="24"/>
          <w:lang w:val="sr-Cyrl-CS"/>
        </w:rPr>
        <w:t xml:space="preserve"> </w:t>
      </w:r>
      <w:r w:rsidRPr="00D86D09">
        <w:rPr>
          <w:rStyle w:val="FootnoteReference"/>
          <w:rFonts w:ascii="Times New Roman" w:hAnsi="Times New Roman"/>
          <w:sz w:val="24"/>
          <w:szCs w:val="24"/>
          <w:lang w:val="sr-Cyrl-CS"/>
        </w:rPr>
        <w:footnoteReference w:id="514"/>
      </w:r>
      <w:r w:rsidRPr="00D86D09">
        <w:rPr>
          <w:rFonts w:ascii="Times New Roman" w:hAnsi="Times New Roman"/>
          <w:color w:val="000000"/>
          <w:sz w:val="24"/>
          <w:szCs w:val="24"/>
          <w:lang w:val="sr-Cyrl-CS"/>
        </w:rPr>
        <w:t xml:space="preserve"> </w:t>
      </w:r>
    </w:p>
    <w:p w:rsidR="000726DA" w:rsidRPr="007704BE" w:rsidRDefault="000726DA" w:rsidP="000726DA">
      <w:pPr>
        <w:pStyle w:val="normal0"/>
        <w:shd w:val="clear" w:color="auto" w:fill="FFFFFF"/>
        <w:spacing w:before="48" w:beforeAutospacing="0" w:after="48" w:afterAutospacing="0"/>
        <w:rPr>
          <w:rFonts w:ascii="Arial" w:hAnsi="Arial" w:cs="Arial"/>
          <w:color w:val="000000"/>
          <w:sz w:val="18"/>
          <w:szCs w:val="18"/>
          <w:lang w:val="sr-Cyrl-CS"/>
        </w:rPr>
      </w:pPr>
    </w:p>
    <w:p w:rsidR="000726DA" w:rsidRPr="00CD3364" w:rsidRDefault="000726DA" w:rsidP="000726DA">
      <w:pPr>
        <w:pStyle w:val="FootnoteText"/>
        <w:rPr>
          <w:b/>
          <w:u w:val="single"/>
          <w:lang w:val="sr-Cyrl-CS"/>
        </w:rPr>
      </w:pPr>
    </w:p>
    <w:p w:rsidR="000726DA" w:rsidRDefault="000726DA" w:rsidP="000726DA">
      <w:pPr>
        <w:pStyle w:val="NoSpacing"/>
        <w:jc w:val="both"/>
        <w:rPr>
          <w:rFonts w:ascii="Times New Roman" w:hAnsi="Times New Roman"/>
          <w:sz w:val="24"/>
          <w:szCs w:val="24"/>
          <w:lang w:val="sr-Cyrl-CS"/>
        </w:rPr>
      </w:pPr>
    </w:p>
    <w:p w:rsidR="000726DA" w:rsidRPr="00541620" w:rsidRDefault="005D64CC" w:rsidP="000726DA">
      <w:pPr>
        <w:pStyle w:val="NoSpacing"/>
        <w:jc w:val="both"/>
        <w:rPr>
          <w:rFonts w:ascii="Times New Roman" w:hAnsi="Times New Roman"/>
          <w:b/>
          <w:sz w:val="24"/>
          <w:szCs w:val="24"/>
          <w:lang w:val="sr-Cyrl-CS"/>
        </w:rPr>
      </w:pPr>
      <w:r w:rsidRPr="00541620">
        <w:rPr>
          <w:rFonts w:ascii="Times New Roman" w:hAnsi="Times New Roman"/>
          <w:b/>
          <w:sz w:val="24"/>
          <w:szCs w:val="24"/>
          <w:lang w:val="sr-Cyrl-CS"/>
        </w:rPr>
        <w:t>5.4</w:t>
      </w:r>
      <w:r w:rsidR="001503E6">
        <w:rPr>
          <w:rFonts w:ascii="Times New Roman" w:hAnsi="Times New Roman"/>
          <w:b/>
          <w:sz w:val="24"/>
          <w:szCs w:val="24"/>
          <w:lang w:val="sr-Cyrl-CS"/>
        </w:rPr>
        <w:t>.2</w:t>
      </w:r>
      <w:r w:rsidR="000726DA" w:rsidRPr="00541620">
        <w:rPr>
          <w:rFonts w:ascii="Times New Roman" w:hAnsi="Times New Roman"/>
          <w:b/>
          <w:sz w:val="24"/>
          <w:szCs w:val="24"/>
          <w:lang w:val="sr-Cyrl-CS"/>
        </w:rPr>
        <w:t>.Порески обвезник</w:t>
      </w:r>
    </w:p>
    <w:p w:rsidR="000726DA" w:rsidRDefault="000726DA" w:rsidP="000726DA">
      <w:pPr>
        <w:pStyle w:val="NoSpacing"/>
        <w:jc w:val="both"/>
        <w:rPr>
          <w:rFonts w:ascii="Times New Roman" w:hAnsi="Times New Roman"/>
          <w:b/>
          <w:sz w:val="28"/>
          <w:szCs w:val="28"/>
          <w:lang w:val="sr-Cyrl-CS"/>
        </w:rPr>
      </w:pPr>
    </w:p>
    <w:p w:rsidR="000726DA" w:rsidRPr="00D86D09" w:rsidRDefault="000726DA" w:rsidP="00D86D09">
      <w:pPr>
        <w:ind w:firstLine="708"/>
        <w:jc w:val="both"/>
        <w:rPr>
          <w:rFonts w:ascii="Times New Roman" w:hAnsi="Times New Roman"/>
          <w:sz w:val="24"/>
          <w:szCs w:val="24"/>
          <w:lang w:val="sr-Cyrl-CS"/>
        </w:rPr>
      </w:pPr>
      <w:r w:rsidRPr="00D86D09">
        <w:rPr>
          <w:rFonts w:ascii="Times New Roman" w:hAnsi="Times New Roman"/>
          <w:sz w:val="24"/>
          <w:szCs w:val="24"/>
          <w:lang w:val="sr-Cyrl-CS"/>
        </w:rPr>
        <w:t>Обвезник пореза на имовину</w:t>
      </w:r>
      <w:r w:rsidRPr="00D86D09">
        <w:rPr>
          <w:rStyle w:val="FootnoteReference"/>
          <w:rFonts w:ascii="Times New Roman" w:hAnsi="Times New Roman"/>
          <w:sz w:val="24"/>
          <w:szCs w:val="24"/>
          <w:lang w:val="sr-Cyrl-CS"/>
        </w:rPr>
        <w:footnoteReference w:id="515"/>
      </w:r>
      <w:r w:rsidRPr="00D86D09">
        <w:rPr>
          <w:rFonts w:ascii="Times New Roman" w:hAnsi="Times New Roman"/>
          <w:sz w:val="24"/>
          <w:szCs w:val="24"/>
          <w:lang w:val="sr-Cyrl-CS"/>
        </w:rPr>
        <w:t xml:space="preserve"> је</w:t>
      </w:r>
      <w:r w:rsidRPr="00D86D09">
        <w:rPr>
          <w:rFonts w:ascii="Times New Roman" w:hAnsi="Times New Roman"/>
          <w:sz w:val="24"/>
          <w:szCs w:val="24"/>
        </w:rPr>
        <w:t xml:space="preserve"> правно и физичко лице које је на непокретности на територији Републике Србије ималац </w:t>
      </w:r>
      <w:r w:rsidRPr="00D86D09">
        <w:rPr>
          <w:rFonts w:ascii="Times New Roman" w:hAnsi="Times New Roman"/>
          <w:sz w:val="24"/>
          <w:szCs w:val="24"/>
          <w:lang w:val="sr-Cyrl-CS"/>
        </w:rPr>
        <w:t xml:space="preserve">наведених стварних </w:t>
      </w:r>
      <w:r w:rsidRPr="00D86D09">
        <w:rPr>
          <w:rFonts w:ascii="Times New Roman" w:hAnsi="Times New Roman"/>
          <w:sz w:val="24"/>
          <w:szCs w:val="24"/>
        </w:rPr>
        <w:t>права</w:t>
      </w:r>
      <w:r w:rsidRPr="00D86D09">
        <w:rPr>
          <w:rFonts w:ascii="Times New Roman" w:hAnsi="Times New Roman"/>
          <w:sz w:val="24"/>
          <w:szCs w:val="24"/>
          <w:lang w:val="sr-Cyrl-CS"/>
        </w:rPr>
        <w:t xml:space="preserve">. Према томе обвезник овог пореза су резиденти и нерезиденти јер важи територијални принцип.   </w:t>
      </w:r>
    </w:p>
    <w:p w:rsidR="000726DA" w:rsidRPr="00D86D09" w:rsidRDefault="000726DA" w:rsidP="00D86D09">
      <w:pPr>
        <w:ind w:firstLine="708"/>
        <w:jc w:val="both"/>
        <w:rPr>
          <w:rFonts w:ascii="Times New Roman" w:hAnsi="Times New Roman"/>
          <w:sz w:val="24"/>
          <w:szCs w:val="24"/>
          <w:lang w:val="sr-Cyrl-CS"/>
        </w:rPr>
      </w:pPr>
      <w:r w:rsidRPr="00D86D09">
        <w:rPr>
          <w:rFonts w:ascii="Times New Roman" w:hAnsi="Times New Roman"/>
          <w:sz w:val="24"/>
          <w:szCs w:val="24"/>
        </w:rPr>
        <w:t>Када су на истој непокретности више лица обвезници, обвезник је свако од тих лица сразмерно свом уделу у односу на целу непокретност.</w:t>
      </w:r>
      <w:r w:rsidRPr="00D86D09">
        <w:rPr>
          <w:rFonts w:ascii="Times New Roman" w:hAnsi="Times New Roman"/>
          <w:sz w:val="24"/>
          <w:szCs w:val="24"/>
          <w:lang w:val="sr-Cyrl-CS"/>
        </w:rPr>
        <w:t xml:space="preserve"> </w:t>
      </w:r>
      <w:r w:rsidRPr="00D86D09">
        <w:rPr>
          <w:rFonts w:ascii="Times New Roman" w:hAnsi="Times New Roman"/>
          <w:sz w:val="24"/>
          <w:szCs w:val="24"/>
        </w:rPr>
        <w:t>Када удели обвезника на истој непокретности нису одређени, за сврху опорезивања порезом на имовину сматраће се да су једнаки.</w:t>
      </w:r>
      <w:r w:rsidRPr="00D86D09">
        <w:rPr>
          <w:rFonts w:ascii="Times New Roman" w:hAnsi="Times New Roman"/>
          <w:sz w:val="24"/>
          <w:szCs w:val="24"/>
          <w:lang w:val="sr-Cyrl-CS"/>
        </w:rPr>
        <w:t xml:space="preserve"> </w:t>
      </w:r>
    </w:p>
    <w:p w:rsidR="000726DA" w:rsidRPr="00D86D09" w:rsidRDefault="000726DA" w:rsidP="00D86D09">
      <w:pPr>
        <w:ind w:firstLine="708"/>
        <w:jc w:val="both"/>
        <w:rPr>
          <w:rFonts w:ascii="Times New Roman" w:hAnsi="Times New Roman"/>
          <w:sz w:val="24"/>
          <w:szCs w:val="24"/>
          <w:lang w:val="sr-Cyrl-CS"/>
        </w:rPr>
      </w:pPr>
      <w:r w:rsidRPr="00D86D09">
        <w:rPr>
          <w:rFonts w:ascii="Times New Roman" w:hAnsi="Times New Roman"/>
          <w:sz w:val="24"/>
          <w:szCs w:val="24"/>
        </w:rPr>
        <w:t>Обвезник пореза на имовину који не води пословне књиге у смислу опорезивања порезом на имовину, јесте:</w:t>
      </w:r>
      <w:r w:rsidRPr="00D86D09">
        <w:rPr>
          <w:rFonts w:ascii="Times New Roman" w:hAnsi="Times New Roman"/>
          <w:sz w:val="24"/>
          <w:szCs w:val="24"/>
          <w:lang w:val="sr-Cyrl-CS"/>
        </w:rPr>
        <w:t xml:space="preserve"> </w:t>
      </w:r>
    </w:p>
    <w:p w:rsidR="000726DA" w:rsidRPr="00D86D09" w:rsidRDefault="000726DA" w:rsidP="00D86D09">
      <w:pPr>
        <w:jc w:val="both"/>
        <w:rPr>
          <w:rFonts w:ascii="Times New Roman" w:hAnsi="Times New Roman"/>
          <w:sz w:val="24"/>
          <w:szCs w:val="24"/>
        </w:rPr>
      </w:pPr>
      <w:r w:rsidRPr="00D86D09">
        <w:rPr>
          <w:rFonts w:ascii="Times New Roman" w:hAnsi="Times New Roman"/>
          <w:sz w:val="24"/>
          <w:szCs w:val="24"/>
        </w:rPr>
        <w:t>1) физичко лице које остварује приходе од самосталне делатности у складу са законом којим се уређује опорезивање дохотка грађана (предузетник) који порез на доходак грађана на приходе од самосталне делатности плаћа на паушално утврђен приход;</w:t>
      </w:r>
    </w:p>
    <w:p w:rsidR="000726DA" w:rsidRPr="00D86D09" w:rsidRDefault="000726DA" w:rsidP="00D86D09">
      <w:pPr>
        <w:jc w:val="both"/>
        <w:rPr>
          <w:rFonts w:ascii="Times New Roman" w:hAnsi="Times New Roman"/>
          <w:sz w:val="24"/>
          <w:szCs w:val="24"/>
        </w:rPr>
      </w:pPr>
      <w:r w:rsidRPr="00D86D09">
        <w:rPr>
          <w:rFonts w:ascii="Times New Roman" w:hAnsi="Times New Roman"/>
          <w:sz w:val="24"/>
          <w:szCs w:val="24"/>
        </w:rPr>
        <w:t>2) друго лице које не води пословне књиге у складу са прописима Републике Србије;</w:t>
      </w:r>
    </w:p>
    <w:p w:rsidR="000726DA" w:rsidRPr="00D86D09" w:rsidRDefault="000726DA" w:rsidP="00D86D09">
      <w:pPr>
        <w:jc w:val="both"/>
        <w:rPr>
          <w:rFonts w:ascii="Times New Roman" w:hAnsi="Times New Roman"/>
          <w:sz w:val="24"/>
          <w:szCs w:val="24"/>
          <w:lang w:val="sr-Cyrl-CS"/>
        </w:rPr>
      </w:pPr>
      <w:r w:rsidRPr="00D86D09">
        <w:rPr>
          <w:rFonts w:ascii="Times New Roman" w:hAnsi="Times New Roman"/>
          <w:sz w:val="24"/>
          <w:szCs w:val="24"/>
        </w:rPr>
        <w:lastRenderedPageBreak/>
        <w:t>3) предузетник који води пословне књиге - за имовину која није евидентирана у његовим пословним књигама.</w:t>
      </w:r>
    </w:p>
    <w:p w:rsidR="000726DA" w:rsidRPr="00D86D09" w:rsidRDefault="000726DA" w:rsidP="00D86D09">
      <w:pPr>
        <w:ind w:firstLine="708"/>
        <w:jc w:val="both"/>
        <w:rPr>
          <w:rFonts w:ascii="Times New Roman" w:hAnsi="Times New Roman"/>
          <w:sz w:val="24"/>
          <w:szCs w:val="24"/>
          <w:lang w:val="sr-Cyrl-CS"/>
        </w:rPr>
      </w:pPr>
      <w:r w:rsidRPr="00D86D09">
        <w:rPr>
          <w:rFonts w:ascii="Times New Roman" w:hAnsi="Times New Roman"/>
          <w:sz w:val="24"/>
          <w:szCs w:val="24"/>
        </w:rPr>
        <w:t>Обвезник пореза на имовину који води пословне књиге</w:t>
      </w:r>
      <w:r w:rsidRPr="00D86D09">
        <w:rPr>
          <w:rFonts w:ascii="Times New Roman" w:hAnsi="Times New Roman"/>
          <w:sz w:val="24"/>
          <w:szCs w:val="24"/>
          <w:lang w:val="sr-Cyrl-CS"/>
        </w:rPr>
        <w:t>,</w:t>
      </w:r>
      <w:r w:rsidRPr="00D86D09">
        <w:rPr>
          <w:rFonts w:ascii="Times New Roman" w:hAnsi="Times New Roman"/>
          <w:sz w:val="24"/>
          <w:szCs w:val="24"/>
        </w:rPr>
        <w:t xml:space="preserve"> у смислу опорезивања порезом на имовину, јесте:</w:t>
      </w:r>
    </w:p>
    <w:p w:rsidR="000726DA" w:rsidRPr="00D86D09" w:rsidRDefault="000726DA" w:rsidP="00D86D09">
      <w:pPr>
        <w:jc w:val="both"/>
        <w:rPr>
          <w:rFonts w:ascii="Times New Roman" w:hAnsi="Times New Roman"/>
          <w:sz w:val="24"/>
          <w:szCs w:val="24"/>
        </w:rPr>
      </w:pPr>
      <w:r w:rsidRPr="00D86D09">
        <w:rPr>
          <w:rFonts w:ascii="Times New Roman" w:hAnsi="Times New Roman"/>
          <w:sz w:val="24"/>
          <w:szCs w:val="24"/>
        </w:rPr>
        <w:t>1) правно лице које води пословне књиге у складу са прописима Републике Србије;</w:t>
      </w:r>
    </w:p>
    <w:p w:rsidR="000726DA" w:rsidRPr="00D86D09" w:rsidRDefault="000726DA" w:rsidP="00D86D09">
      <w:pPr>
        <w:jc w:val="both"/>
        <w:rPr>
          <w:rFonts w:ascii="Times New Roman" w:hAnsi="Times New Roman"/>
          <w:sz w:val="24"/>
          <w:szCs w:val="24"/>
        </w:rPr>
      </w:pPr>
      <w:r w:rsidRPr="00D86D09">
        <w:rPr>
          <w:rFonts w:ascii="Times New Roman" w:hAnsi="Times New Roman"/>
          <w:sz w:val="24"/>
          <w:szCs w:val="24"/>
        </w:rPr>
        <w:t>2) огранак и други организациони део страног правног лица који обавља привредну делатност у Републици Србији и који пословне књиге води у складу са прописима Републике Србије;</w:t>
      </w:r>
    </w:p>
    <w:p w:rsidR="000726DA" w:rsidRPr="00D86D09" w:rsidRDefault="000726DA" w:rsidP="00D86D09">
      <w:pPr>
        <w:jc w:val="both"/>
        <w:rPr>
          <w:rFonts w:ascii="Times New Roman" w:hAnsi="Times New Roman"/>
          <w:sz w:val="24"/>
          <w:szCs w:val="24"/>
          <w:lang w:val="sr-Cyrl-CS"/>
        </w:rPr>
      </w:pPr>
      <w:r w:rsidRPr="00D86D09">
        <w:rPr>
          <w:rFonts w:ascii="Times New Roman" w:hAnsi="Times New Roman"/>
          <w:sz w:val="24"/>
          <w:szCs w:val="24"/>
        </w:rPr>
        <w:t xml:space="preserve">3) предузетник који води пословне књиге - за имовину коју је евидентирао у својим пословним књигама (осим </w:t>
      </w:r>
      <w:r w:rsidRPr="00D86D09">
        <w:rPr>
          <w:rFonts w:ascii="Times New Roman" w:hAnsi="Times New Roman"/>
          <w:sz w:val="24"/>
          <w:szCs w:val="24"/>
          <w:lang w:val="sr-Cyrl-CS"/>
        </w:rPr>
        <w:t>физичког лица које остварује приходе од самосталне делатности);</w:t>
      </w:r>
    </w:p>
    <w:p w:rsidR="000726DA" w:rsidRPr="00D86D09" w:rsidRDefault="000726DA" w:rsidP="00D86D09">
      <w:pPr>
        <w:jc w:val="both"/>
        <w:rPr>
          <w:rFonts w:ascii="Times New Roman" w:hAnsi="Times New Roman"/>
          <w:sz w:val="24"/>
          <w:szCs w:val="24"/>
          <w:lang w:val="sr-Cyrl-CS"/>
        </w:rPr>
      </w:pPr>
      <w:r w:rsidRPr="00D86D09">
        <w:rPr>
          <w:rFonts w:ascii="Times New Roman" w:hAnsi="Times New Roman"/>
          <w:sz w:val="24"/>
          <w:szCs w:val="24"/>
        </w:rPr>
        <w:t>4) друго лице које води пословне књиге у складу са прописима Републике Србије, осим предузетника</w:t>
      </w:r>
      <w:r w:rsidRPr="00D86D09">
        <w:rPr>
          <w:rFonts w:ascii="Times New Roman" w:hAnsi="Times New Roman"/>
          <w:sz w:val="24"/>
          <w:szCs w:val="24"/>
          <w:shd w:val="clear" w:color="auto" w:fill="FFFFFF"/>
        </w:rPr>
        <w:t xml:space="preserve"> који води пословне књиге - за имовину која није евидентирана у његовим пословним књигама.</w:t>
      </w:r>
    </w:p>
    <w:p w:rsidR="000726DA" w:rsidRPr="00D86D09" w:rsidRDefault="000726DA" w:rsidP="00D86D09">
      <w:pPr>
        <w:ind w:firstLine="708"/>
        <w:jc w:val="both"/>
        <w:rPr>
          <w:rFonts w:ascii="Times New Roman" w:hAnsi="Times New Roman"/>
          <w:sz w:val="24"/>
          <w:szCs w:val="24"/>
        </w:rPr>
      </w:pPr>
      <w:r w:rsidRPr="00D86D09">
        <w:rPr>
          <w:rFonts w:ascii="Times New Roman" w:hAnsi="Times New Roman"/>
          <w:sz w:val="24"/>
          <w:szCs w:val="24"/>
        </w:rPr>
        <w:t>Статус обвезника пореза на имовину не може бити основ за стицање било ког права на непокретности.</w:t>
      </w:r>
    </w:p>
    <w:p w:rsidR="000726DA" w:rsidRPr="008D096B" w:rsidRDefault="000726DA" w:rsidP="000726DA">
      <w:pPr>
        <w:pStyle w:val="NoSpacing"/>
        <w:jc w:val="both"/>
        <w:rPr>
          <w:rFonts w:ascii="Times New Roman" w:hAnsi="Times New Roman"/>
          <w:b/>
          <w:sz w:val="28"/>
          <w:szCs w:val="28"/>
          <w:lang w:val="sr-Cyrl-CS"/>
        </w:rPr>
      </w:pPr>
    </w:p>
    <w:p w:rsidR="000726DA" w:rsidRPr="00541620" w:rsidRDefault="005D64CC" w:rsidP="000726DA">
      <w:pPr>
        <w:pStyle w:val="NoSpacing"/>
        <w:jc w:val="both"/>
        <w:rPr>
          <w:rFonts w:ascii="Times New Roman" w:hAnsi="Times New Roman"/>
          <w:b/>
          <w:sz w:val="24"/>
          <w:szCs w:val="24"/>
          <w:lang w:val="sr-Cyrl-CS"/>
        </w:rPr>
      </w:pPr>
      <w:r w:rsidRPr="00541620">
        <w:rPr>
          <w:rFonts w:ascii="Times New Roman" w:hAnsi="Times New Roman"/>
          <w:b/>
          <w:sz w:val="24"/>
          <w:szCs w:val="24"/>
          <w:lang w:val="sr-Cyrl-CS"/>
        </w:rPr>
        <w:t>5.4</w:t>
      </w:r>
      <w:r w:rsidR="001503E6">
        <w:rPr>
          <w:rFonts w:ascii="Times New Roman" w:hAnsi="Times New Roman"/>
          <w:b/>
          <w:sz w:val="24"/>
          <w:szCs w:val="24"/>
          <w:lang w:val="sr-Cyrl-CS"/>
        </w:rPr>
        <w:t>.3</w:t>
      </w:r>
      <w:r w:rsidR="000726DA" w:rsidRPr="00541620">
        <w:rPr>
          <w:rFonts w:ascii="Times New Roman" w:hAnsi="Times New Roman"/>
          <w:b/>
          <w:sz w:val="24"/>
          <w:szCs w:val="24"/>
          <w:lang w:val="sr-Cyrl-CS"/>
        </w:rPr>
        <w:t>.Пореска основица</w:t>
      </w:r>
    </w:p>
    <w:p w:rsidR="000726DA" w:rsidRDefault="000726DA" w:rsidP="000726DA">
      <w:pPr>
        <w:pStyle w:val="NoSpacing"/>
        <w:jc w:val="both"/>
        <w:rPr>
          <w:rFonts w:ascii="Times New Roman" w:hAnsi="Times New Roman"/>
          <w:b/>
          <w:sz w:val="28"/>
          <w:szCs w:val="28"/>
          <w:lang w:val="sr-Cyrl-CS"/>
        </w:rPr>
      </w:pPr>
    </w:p>
    <w:p w:rsidR="00D86D09" w:rsidRDefault="00D86D09" w:rsidP="000726DA">
      <w:pPr>
        <w:pStyle w:val="NoSpacing"/>
        <w:jc w:val="both"/>
        <w:rPr>
          <w:rFonts w:ascii="Times New Roman" w:hAnsi="Times New Roman"/>
          <w:b/>
          <w:sz w:val="28"/>
          <w:szCs w:val="28"/>
          <w:lang w:val="sr-Cyrl-CS"/>
        </w:rPr>
      </w:pPr>
    </w:p>
    <w:p w:rsidR="000726DA" w:rsidRPr="00D86D09" w:rsidRDefault="000726DA" w:rsidP="00D86D09">
      <w:pPr>
        <w:ind w:firstLine="708"/>
        <w:jc w:val="both"/>
        <w:rPr>
          <w:rFonts w:ascii="Times New Roman" w:hAnsi="Times New Roman"/>
          <w:sz w:val="24"/>
          <w:szCs w:val="24"/>
          <w:lang w:val="sr-Cyrl-CS"/>
        </w:rPr>
      </w:pPr>
      <w:r w:rsidRPr="00D86D09">
        <w:rPr>
          <w:rFonts w:ascii="Times New Roman" w:hAnsi="Times New Roman"/>
          <w:sz w:val="24"/>
          <w:szCs w:val="24"/>
          <w:lang w:val="sr-Cyrl-CS"/>
        </w:rPr>
        <w:t>Пореска основица</w:t>
      </w:r>
      <w:r w:rsidRPr="00D86D09">
        <w:rPr>
          <w:rStyle w:val="FootnoteReference"/>
          <w:rFonts w:ascii="Times New Roman" w:hAnsi="Times New Roman"/>
          <w:color w:val="000000"/>
          <w:sz w:val="24"/>
          <w:szCs w:val="24"/>
        </w:rPr>
        <w:footnoteReference w:id="516"/>
      </w:r>
      <w:r w:rsidRPr="00D86D09">
        <w:rPr>
          <w:rFonts w:ascii="Times New Roman" w:hAnsi="Times New Roman"/>
          <w:sz w:val="24"/>
          <w:szCs w:val="24"/>
        </w:rPr>
        <w:t xml:space="preserve"> </w:t>
      </w:r>
      <w:r w:rsidRPr="00D86D09">
        <w:rPr>
          <w:rFonts w:ascii="Times New Roman" w:hAnsi="Times New Roman"/>
          <w:sz w:val="24"/>
          <w:szCs w:val="24"/>
          <w:lang w:val="sr-Cyrl-CS"/>
        </w:rPr>
        <w:t>зависи од тилтулара права и предмета опорезивања.З</w:t>
      </w:r>
      <w:r w:rsidRPr="00D86D09">
        <w:rPr>
          <w:rFonts w:ascii="Times New Roman" w:hAnsi="Times New Roman"/>
          <w:sz w:val="24"/>
          <w:szCs w:val="24"/>
        </w:rPr>
        <w:t>а непокретности пореског обвезника који не води пословне књиге је вредност непокретности.</w:t>
      </w:r>
      <w:r w:rsidRPr="00D86D09">
        <w:rPr>
          <w:rFonts w:ascii="Times New Roman" w:hAnsi="Times New Roman"/>
          <w:sz w:val="24"/>
          <w:szCs w:val="24"/>
          <w:lang w:val="sr-Cyrl-CS"/>
        </w:rPr>
        <w:t xml:space="preserve"> </w:t>
      </w:r>
      <w:r w:rsidRPr="00D86D09">
        <w:rPr>
          <w:rFonts w:ascii="Times New Roman" w:hAnsi="Times New Roman"/>
          <w:sz w:val="24"/>
          <w:szCs w:val="24"/>
        </w:rPr>
        <w:t>Вредност непокретности утврђује орган јединице локалне самоуправе надлежан за утврђивање, наплату и контролу изворних прихода јединице локалне самоуправе</w:t>
      </w:r>
      <w:r w:rsidRPr="00D86D09">
        <w:rPr>
          <w:rFonts w:ascii="Times New Roman" w:hAnsi="Times New Roman"/>
          <w:sz w:val="24"/>
          <w:szCs w:val="24"/>
          <w:lang w:val="sr-Cyrl-CS"/>
        </w:rPr>
        <w:t>.</w:t>
      </w:r>
      <w:r w:rsidRPr="00D86D09">
        <w:rPr>
          <w:rFonts w:ascii="Times New Roman" w:hAnsi="Times New Roman"/>
          <w:sz w:val="24"/>
          <w:szCs w:val="24"/>
        </w:rPr>
        <w:t xml:space="preserve"> </w:t>
      </w:r>
      <w:r w:rsidRPr="00D86D09">
        <w:rPr>
          <w:rFonts w:ascii="Times New Roman" w:hAnsi="Times New Roman"/>
          <w:sz w:val="24"/>
          <w:szCs w:val="24"/>
          <w:lang w:val="sr-Cyrl-CS"/>
        </w:rPr>
        <w:t xml:space="preserve"> </w:t>
      </w:r>
    </w:p>
    <w:p w:rsidR="000726DA" w:rsidRPr="00D86D09" w:rsidRDefault="000726DA" w:rsidP="00D86D09">
      <w:pPr>
        <w:ind w:firstLine="708"/>
        <w:jc w:val="both"/>
        <w:rPr>
          <w:rFonts w:ascii="Times New Roman" w:hAnsi="Times New Roman"/>
          <w:sz w:val="24"/>
          <w:szCs w:val="24"/>
          <w:lang w:val="sr-Cyrl-CS"/>
        </w:rPr>
      </w:pPr>
      <w:r w:rsidRPr="00D86D09">
        <w:rPr>
          <w:rFonts w:ascii="Times New Roman" w:hAnsi="Times New Roman"/>
          <w:sz w:val="24"/>
          <w:szCs w:val="24"/>
          <w:lang w:val="sr-Cyrl-CS"/>
        </w:rPr>
        <w:t>Осим земљишта, вредност непокретности</w:t>
      </w:r>
      <w:r w:rsidRPr="00D86D09">
        <w:rPr>
          <w:rFonts w:ascii="Times New Roman" w:hAnsi="Times New Roman"/>
          <w:sz w:val="24"/>
          <w:szCs w:val="24"/>
        </w:rPr>
        <w:t>, може се умањити за амортизацију по стопи до 1% годишње применом пропорционалне методе, а највише до 40%, почев од истека сваке календарске године у односу на годину у којој је извршена изградња, односно последња реконструкција објекта, а на основу одлуке скупштине јединице локалне самоуправе о висини стопе амортизације која важи на дан 15. децембра године која претходи години за коју се утврђује порез на имовину и која је објављена у складу са овим законом.</w:t>
      </w:r>
    </w:p>
    <w:p w:rsidR="000726DA" w:rsidRPr="00D86D09" w:rsidRDefault="000726DA" w:rsidP="00D86D09">
      <w:pPr>
        <w:jc w:val="both"/>
        <w:rPr>
          <w:rFonts w:ascii="Times New Roman" w:hAnsi="Times New Roman"/>
          <w:sz w:val="24"/>
          <w:szCs w:val="24"/>
          <w:lang w:val="sr-Cyrl-CS"/>
        </w:rPr>
      </w:pPr>
    </w:p>
    <w:p w:rsidR="000726DA" w:rsidRPr="00D86D09" w:rsidRDefault="000726DA" w:rsidP="00D86D09">
      <w:pPr>
        <w:ind w:firstLine="708"/>
        <w:jc w:val="both"/>
        <w:rPr>
          <w:rFonts w:ascii="Times New Roman" w:hAnsi="Times New Roman"/>
          <w:sz w:val="24"/>
          <w:szCs w:val="24"/>
          <w:lang w:val="sr-Cyrl-CS"/>
        </w:rPr>
      </w:pPr>
      <w:r w:rsidRPr="00D86D09">
        <w:rPr>
          <w:rFonts w:ascii="Times New Roman" w:hAnsi="Times New Roman"/>
          <w:sz w:val="24"/>
          <w:szCs w:val="24"/>
        </w:rPr>
        <w:lastRenderedPageBreak/>
        <w:t xml:space="preserve">Ако скупштина јединице локалне самоуправе не утврди висину стопе амортизације, или је не утврди у складу са </w:t>
      </w:r>
      <w:r w:rsidRPr="00D86D09">
        <w:rPr>
          <w:rFonts w:ascii="Times New Roman" w:hAnsi="Times New Roman"/>
          <w:sz w:val="24"/>
          <w:szCs w:val="24"/>
          <w:lang w:val="sr-Cyrl-CS"/>
        </w:rPr>
        <w:t>Законом о порезима на имовину</w:t>
      </w:r>
      <w:r w:rsidRPr="00D86D09">
        <w:rPr>
          <w:rFonts w:ascii="Times New Roman" w:hAnsi="Times New Roman"/>
          <w:sz w:val="24"/>
          <w:szCs w:val="24"/>
        </w:rPr>
        <w:t xml:space="preserve">, или је утврди а не објави у складу са </w:t>
      </w:r>
      <w:r w:rsidRPr="00D86D09">
        <w:rPr>
          <w:rFonts w:ascii="Times New Roman" w:hAnsi="Times New Roman"/>
          <w:sz w:val="24"/>
          <w:szCs w:val="24"/>
          <w:lang w:val="sr-Cyrl-CS"/>
        </w:rPr>
        <w:t>поменутим Законом</w:t>
      </w:r>
      <w:r w:rsidRPr="00D86D09">
        <w:rPr>
          <w:rFonts w:ascii="Times New Roman" w:hAnsi="Times New Roman"/>
          <w:sz w:val="24"/>
          <w:szCs w:val="24"/>
        </w:rPr>
        <w:t>, код утврђивања пореза на имовину вредност непокретности не умањује се за амортизацију.</w:t>
      </w:r>
    </w:p>
    <w:p w:rsidR="00D86D09" w:rsidRPr="00D86D09" w:rsidRDefault="000726DA" w:rsidP="00D86D09">
      <w:pPr>
        <w:ind w:firstLine="708"/>
        <w:jc w:val="both"/>
        <w:rPr>
          <w:rFonts w:ascii="Times New Roman" w:hAnsi="Times New Roman"/>
          <w:sz w:val="24"/>
          <w:szCs w:val="24"/>
          <w:lang w:val="sr-Cyrl-CS"/>
        </w:rPr>
      </w:pPr>
      <w:r w:rsidRPr="00D86D09">
        <w:rPr>
          <w:rFonts w:ascii="Times New Roman" w:hAnsi="Times New Roman"/>
          <w:sz w:val="24"/>
          <w:szCs w:val="24"/>
        </w:rPr>
        <w:t xml:space="preserve">Вредност непокретности </w:t>
      </w:r>
      <w:r w:rsidRPr="00D86D09">
        <w:rPr>
          <w:rFonts w:ascii="Times New Roman" w:hAnsi="Times New Roman"/>
          <w:sz w:val="24"/>
          <w:szCs w:val="24"/>
          <w:lang w:val="sr-Cyrl-CS"/>
        </w:rPr>
        <w:t xml:space="preserve">се </w:t>
      </w:r>
      <w:r w:rsidRPr="00D86D09">
        <w:rPr>
          <w:rFonts w:ascii="Times New Roman" w:hAnsi="Times New Roman"/>
          <w:sz w:val="24"/>
          <w:szCs w:val="24"/>
        </w:rPr>
        <w:t>утврђује применом следећих елемената:</w:t>
      </w:r>
    </w:p>
    <w:p w:rsidR="000726DA" w:rsidRPr="00D86D09" w:rsidRDefault="000726DA" w:rsidP="00D86D09">
      <w:pPr>
        <w:jc w:val="both"/>
        <w:rPr>
          <w:rFonts w:ascii="Times New Roman" w:hAnsi="Times New Roman"/>
          <w:sz w:val="24"/>
          <w:szCs w:val="24"/>
          <w:lang w:val="sr-Cyrl-CS"/>
        </w:rPr>
      </w:pPr>
      <w:r w:rsidRPr="00D86D09">
        <w:rPr>
          <w:rFonts w:ascii="Times New Roman" w:hAnsi="Times New Roman"/>
          <w:sz w:val="24"/>
          <w:szCs w:val="24"/>
        </w:rPr>
        <w:t>1) корисна површина</w:t>
      </w:r>
      <w:r w:rsidRPr="00D86D09">
        <w:rPr>
          <w:rFonts w:ascii="Times New Roman" w:hAnsi="Times New Roman"/>
          <w:sz w:val="24"/>
          <w:szCs w:val="24"/>
          <w:lang w:val="sr-Cyrl-CS"/>
        </w:rPr>
        <w:t xml:space="preserve"> (к</w:t>
      </w:r>
      <w:r w:rsidRPr="00D86D09">
        <w:rPr>
          <w:rFonts w:ascii="Times New Roman" w:hAnsi="Times New Roman"/>
          <w:sz w:val="24"/>
          <w:szCs w:val="24"/>
        </w:rPr>
        <w:t>орисна површина земљишта је његова укупна површина, а корисна површина објекта је збир подних површина између унутрашњих страна спољних зидова објекта, искључујући површине балкона, тераса, лођа, неадаптираних таванских простора и простора у заједничкој недељивој својини свих власника економски дељивих целина у оквиру истог објекта</w:t>
      </w:r>
      <w:r w:rsidRPr="00D86D09">
        <w:rPr>
          <w:rFonts w:ascii="Times New Roman" w:hAnsi="Times New Roman"/>
          <w:sz w:val="24"/>
          <w:szCs w:val="24"/>
          <w:lang w:val="sr-Cyrl-CS"/>
        </w:rPr>
        <w:t>);</w:t>
      </w:r>
    </w:p>
    <w:p w:rsidR="000726DA" w:rsidRPr="00D86D09" w:rsidRDefault="000726DA" w:rsidP="00D86D09">
      <w:pPr>
        <w:jc w:val="both"/>
        <w:rPr>
          <w:rFonts w:ascii="Times New Roman" w:hAnsi="Times New Roman"/>
          <w:sz w:val="24"/>
          <w:szCs w:val="24"/>
          <w:lang w:val="sr-Cyrl-CS"/>
        </w:rPr>
      </w:pPr>
      <w:r w:rsidRPr="00D86D09">
        <w:rPr>
          <w:rFonts w:ascii="Times New Roman" w:hAnsi="Times New Roman"/>
          <w:sz w:val="24"/>
          <w:szCs w:val="24"/>
        </w:rPr>
        <w:t>2) просечна цена квадратног метра одговарајућих непокретности у зони у којој се налази непокретност</w:t>
      </w:r>
      <w:r w:rsidRPr="00D86D09">
        <w:rPr>
          <w:rFonts w:ascii="Times New Roman" w:hAnsi="Times New Roman"/>
          <w:sz w:val="24"/>
          <w:szCs w:val="24"/>
          <w:lang w:val="sr-Cyrl-CS"/>
        </w:rPr>
        <w:t>-</w:t>
      </w:r>
      <w:r w:rsidRPr="00D86D09">
        <w:rPr>
          <w:rFonts w:ascii="Times New Roman" w:hAnsi="Times New Roman"/>
          <w:sz w:val="24"/>
          <w:szCs w:val="24"/>
        </w:rPr>
        <w:t>представљају делове територије јединице локалне самоуправе које надлежни орган јединице локалне самоуправе одлуком може одредити одвојено за насеља према врсти насеља (село, град) и изван насеља или јединствено за насеља и изван насеља, према комуналној опремљености и опремљености јавним објектима, саобраћајној повезаности са централним деловима јединице локалне самоуправе, односно са радним зонама и другим садржајима у насељу</w:t>
      </w:r>
      <w:r w:rsidRPr="00D86D09">
        <w:rPr>
          <w:rFonts w:ascii="Times New Roman" w:hAnsi="Times New Roman"/>
          <w:sz w:val="24"/>
          <w:szCs w:val="24"/>
          <w:lang w:val="sr-Cyrl-CS"/>
        </w:rPr>
        <w:t xml:space="preserve">). </w:t>
      </w:r>
      <w:r w:rsidRPr="00D86D09">
        <w:rPr>
          <w:rFonts w:ascii="Times New Roman" w:hAnsi="Times New Roman"/>
          <w:sz w:val="24"/>
          <w:szCs w:val="24"/>
        </w:rPr>
        <w:t>Јединица локалне самоуправе дужна је да на својој територији одреди најмање две зоне.</w:t>
      </w:r>
    </w:p>
    <w:p w:rsidR="000726DA" w:rsidRPr="00D86D09" w:rsidRDefault="000726DA" w:rsidP="00D86D09">
      <w:pPr>
        <w:ind w:firstLine="708"/>
        <w:jc w:val="both"/>
        <w:rPr>
          <w:rFonts w:ascii="Times New Roman" w:hAnsi="Times New Roman"/>
          <w:sz w:val="24"/>
          <w:szCs w:val="24"/>
          <w:lang w:val="sr-Cyrl-CS"/>
        </w:rPr>
      </w:pPr>
      <w:r w:rsidRPr="00D86D09">
        <w:rPr>
          <w:rFonts w:ascii="Times New Roman" w:hAnsi="Times New Roman"/>
          <w:sz w:val="24"/>
          <w:szCs w:val="24"/>
        </w:rPr>
        <w:t>Просечну цену одговарајућих непокретности по зонама на територији јединице локалне самоуправе, утврђује свака јединица локалне самоуправе актом надлежног органа, на основу цена остварених у промету одговарајућих непокретности по зонама у периоду од 1. јануара до 30. септембра године која претходи години за коју се утврђује порез на имовину.</w:t>
      </w:r>
    </w:p>
    <w:p w:rsidR="000726DA" w:rsidRPr="00D86D09" w:rsidRDefault="000726DA" w:rsidP="00D86D09">
      <w:pPr>
        <w:ind w:firstLine="708"/>
        <w:jc w:val="both"/>
        <w:rPr>
          <w:rFonts w:ascii="Times New Roman" w:hAnsi="Times New Roman"/>
          <w:sz w:val="24"/>
          <w:szCs w:val="24"/>
          <w:lang w:val="sr-Cyrl-CS"/>
        </w:rPr>
      </w:pPr>
      <w:r w:rsidRPr="00D86D09">
        <w:rPr>
          <w:rFonts w:ascii="Times New Roman" w:hAnsi="Times New Roman"/>
          <w:sz w:val="24"/>
          <w:szCs w:val="24"/>
        </w:rPr>
        <w:t xml:space="preserve">Просечна цена у зони у којој није било најмање три промета одговарајућих непокретности у </w:t>
      </w:r>
      <w:r w:rsidRPr="00D86D09">
        <w:rPr>
          <w:rFonts w:ascii="Times New Roman" w:hAnsi="Times New Roman"/>
          <w:sz w:val="24"/>
          <w:szCs w:val="24"/>
          <w:lang w:val="sr-Cyrl-CS"/>
        </w:rPr>
        <w:t xml:space="preserve">наведеном </w:t>
      </w:r>
      <w:r w:rsidRPr="00D86D09">
        <w:rPr>
          <w:rFonts w:ascii="Times New Roman" w:hAnsi="Times New Roman"/>
          <w:sz w:val="24"/>
          <w:szCs w:val="24"/>
        </w:rPr>
        <w:t>периоду за те непокретности утврђује се на основу просека просечних цена остварених у граничним зонама у којима је у том периоду било најмање три промета одговарајућих непокретности.</w:t>
      </w:r>
      <w:r w:rsidRPr="00D86D09">
        <w:rPr>
          <w:rFonts w:ascii="Times New Roman" w:hAnsi="Times New Roman"/>
          <w:sz w:val="24"/>
          <w:szCs w:val="24"/>
          <w:lang w:val="sr-Cyrl-CS"/>
        </w:rPr>
        <w:t xml:space="preserve"> </w:t>
      </w:r>
      <w:r w:rsidRPr="00D86D09">
        <w:rPr>
          <w:rFonts w:ascii="Times New Roman" w:hAnsi="Times New Roman"/>
          <w:sz w:val="24"/>
          <w:szCs w:val="24"/>
        </w:rPr>
        <w:t>Граничне зоне су зоне чије се територије граниче са зоном у којој није било промета, независно од тога којој јединици локалне самоуправе припадају.</w:t>
      </w:r>
    </w:p>
    <w:p w:rsidR="000726DA" w:rsidRPr="00D86D09" w:rsidRDefault="000726DA" w:rsidP="00D86D09">
      <w:pPr>
        <w:ind w:firstLine="708"/>
        <w:jc w:val="both"/>
        <w:rPr>
          <w:rFonts w:ascii="Times New Roman" w:hAnsi="Times New Roman"/>
          <w:sz w:val="24"/>
          <w:szCs w:val="24"/>
          <w:lang w:val="sr-Cyrl-CS"/>
        </w:rPr>
      </w:pPr>
      <w:r w:rsidRPr="00D86D09">
        <w:rPr>
          <w:rFonts w:ascii="Times New Roman" w:hAnsi="Times New Roman"/>
          <w:sz w:val="24"/>
          <w:szCs w:val="24"/>
        </w:rPr>
        <w:t xml:space="preserve">Ако ни у граничним зонама није било промета одговарајућих непокретности у </w:t>
      </w:r>
      <w:r w:rsidRPr="00D86D09">
        <w:rPr>
          <w:rFonts w:ascii="Times New Roman" w:hAnsi="Times New Roman"/>
          <w:sz w:val="24"/>
          <w:szCs w:val="24"/>
          <w:lang w:val="sr-Cyrl-CS"/>
        </w:rPr>
        <w:t xml:space="preserve">наведеном </w:t>
      </w:r>
      <w:r w:rsidRPr="00D86D09">
        <w:rPr>
          <w:rFonts w:ascii="Times New Roman" w:hAnsi="Times New Roman"/>
          <w:sz w:val="24"/>
          <w:szCs w:val="24"/>
        </w:rPr>
        <w:t>периоду основица пореза на имовину за те непокретности у зони у којој није било промета једнака је основици пореза на имовину те, односно одговарајуће непокретности у тој зони обвезника који не води пословне књиге за текућу годину.</w:t>
      </w:r>
    </w:p>
    <w:p w:rsidR="000726DA" w:rsidRPr="00D86D09" w:rsidRDefault="000726DA" w:rsidP="00D86D09">
      <w:pPr>
        <w:ind w:firstLine="708"/>
        <w:jc w:val="both"/>
        <w:rPr>
          <w:rFonts w:ascii="Times New Roman" w:hAnsi="Times New Roman"/>
          <w:sz w:val="24"/>
          <w:szCs w:val="24"/>
          <w:lang w:val="sr-Cyrl-CS"/>
        </w:rPr>
      </w:pPr>
      <w:r w:rsidRPr="00D86D09">
        <w:rPr>
          <w:rFonts w:ascii="Times New Roman" w:hAnsi="Times New Roman"/>
          <w:sz w:val="24"/>
          <w:szCs w:val="24"/>
          <w:shd w:val="clear" w:color="auto" w:fill="FFFFFF"/>
        </w:rPr>
        <w:t>Основица пореза на имовину за непокретност обвезника који не води пословне књиге у јединици локалне самоуправе која у складу са овим законом није одредила зоне једнака је основици пореза на имовину за текућу годину те, односно друге одговарајуће непокретности обвезника који не води пословне књиге, за одговарајућу површину.</w:t>
      </w:r>
    </w:p>
    <w:p w:rsidR="000726DA" w:rsidRPr="00D86D09" w:rsidRDefault="000726DA" w:rsidP="00D86D09">
      <w:pPr>
        <w:ind w:firstLine="708"/>
        <w:jc w:val="both"/>
        <w:rPr>
          <w:rFonts w:ascii="Times New Roman" w:hAnsi="Times New Roman"/>
          <w:sz w:val="24"/>
          <w:szCs w:val="24"/>
          <w:lang w:val="sr-Cyrl-CS"/>
        </w:rPr>
      </w:pPr>
      <w:r w:rsidRPr="00D86D09">
        <w:rPr>
          <w:rFonts w:ascii="Times New Roman" w:hAnsi="Times New Roman"/>
          <w:sz w:val="24"/>
          <w:szCs w:val="24"/>
        </w:rPr>
        <w:lastRenderedPageBreak/>
        <w:t>Основица пореза на имовину за непокретност обвезника који не води пословне књиге у јединици локалне самоуправе која у складу са овим законом није одредила зоне једнака је основици пореза на имовину за текућу годину те, односно друге одговарајуће непокретности обвезника који не води пословне књиге, за одговарајућу површину.</w:t>
      </w:r>
    </w:p>
    <w:p w:rsidR="000726DA" w:rsidRPr="00D86D09" w:rsidRDefault="000726DA" w:rsidP="00D86D09">
      <w:pPr>
        <w:ind w:firstLine="708"/>
        <w:jc w:val="both"/>
        <w:rPr>
          <w:rFonts w:ascii="Times New Roman" w:hAnsi="Times New Roman"/>
          <w:sz w:val="24"/>
          <w:szCs w:val="24"/>
          <w:lang w:val="sr-Cyrl-CS"/>
        </w:rPr>
      </w:pPr>
      <w:r w:rsidRPr="00D86D09">
        <w:rPr>
          <w:rFonts w:ascii="Times New Roman" w:hAnsi="Times New Roman"/>
          <w:sz w:val="24"/>
          <w:szCs w:val="24"/>
        </w:rPr>
        <w:t>Основица пореза на имовину за непокретности обвезника који води пословне књиге и чију вредност у пословним књигама исказује по методу фер вредности у складу са међународним рачуноводственим стандардима (МРС), односно међународним стандардима финансијског извештавања (МСФИ) и усвојеним рачуноводственим политикама је фер вредност исказана на последњи дан пословне године обвезника у текућој години.</w:t>
      </w:r>
    </w:p>
    <w:p w:rsidR="000726DA" w:rsidRPr="00D86D09" w:rsidRDefault="000726DA" w:rsidP="00D86D09">
      <w:pPr>
        <w:ind w:firstLine="708"/>
        <w:jc w:val="both"/>
        <w:rPr>
          <w:rFonts w:ascii="Times New Roman" w:hAnsi="Times New Roman"/>
          <w:sz w:val="24"/>
          <w:szCs w:val="24"/>
          <w:lang w:val="sr-Cyrl-CS"/>
        </w:rPr>
      </w:pPr>
      <w:r w:rsidRPr="00D86D09">
        <w:rPr>
          <w:rFonts w:ascii="Times New Roman" w:hAnsi="Times New Roman"/>
          <w:sz w:val="24"/>
          <w:szCs w:val="24"/>
        </w:rPr>
        <w:t xml:space="preserve">Основицу пореза на имовину пореског обвезника који непокретности у својим пословним књигама не исказује у складу са </w:t>
      </w:r>
      <w:r w:rsidRPr="00D86D09">
        <w:rPr>
          <w:rFonts w:ascii="Times New Roman" w:hAnsi="Times New Roman"/>
          <w:sz w:val="24"/>
          <w:szCs w:val="24"/>
          <w:lang w:val="sr-Cyrl-CS"/>
        </w:rPr>
        <w:t>наведим</w:t>
      </w:r>
      <w:r w:rsidRPr="00D86D09">
        <w:rPr>
          <w:rFonts w:ascii="Times New Roman" w:hAnsi="Times New Roman"/>
          <w:sz w:val="24"/>
          <w:szCs w:val="24"/>
        </w:rPr>
        <w:t xml:space="preserve"> чини:</w:t>
      </w:r>
      <w:r w:rsidRPr="00D86D09">
        <w:rPr>
          <w:rFonts w:ascii="Times New Roman" w:hAnsi="Times New Roman"/>
          <w:sz w:val="24"/>
          <w:szCs w:val="24"/>
          <w:lang w:val="sr-Cyrl-CS"/>
        </w:rPr>
        <w:t xml:space="preserve"> </w:t>
      </w:r>
    </w:p>
    <w:p w:rsidR="000726DA" w:rsidRPr="00D86D09" w:rsidRDefault="000726DA" w:rsidP="00D86D09">
      <w:pPr>
        <w:jc w:val="both"/>
        <w:rPr>
          <w:rFonts w:ascii="Times New Roman" w:hAnsi="Times New Roman"/>
          <w:sz w:val="24"/>
          <w:szCs w:val="24"/>
        </w:rPr>
      </w:pPr>
      <w:r w:rsidRPr="00D86D09">
        <w:rPr>
          <w:rFonts w:ascii="Times New Roman" w:hAnsi="Times New Roman"/>
          <w:sz w:val="24"/>
          <w:szCs w:val="24"/>
        </w:rPr>
        <w:t>1) за неизграђено земљиште - вредност земљишта;</w:t>
      </w:r>
    </w:p>
    <w:p w:rsidR="000726DA" w:rsidRPr="00D86D09" w:rsidRDefault="000726DA" w:rsidP="00D86D09">
      <w:pPr>
        <w:jc w:val="both"/>
        <w:rPr>
          <w:rFonts w:ascii="Times New Roman" w:hAnsi="Times New Roman"/>
          <w:sz w:val="24"/>
          <w:szCs w:val="24"/>
          <w:lang w:val="sr-Cyrl-CS"/>
        </w:rPr>
      </w:pPr>
      <w:r w:rsidRPr="00D86D09">
        <w:rPr>
          <w:rFonts w:ascii="Times New Roman" w:hAnsi="Times New Roman"/>
          <w:sz w:val="24"/>
          <w:szCs w:val="24"/>
        </w:rPr>
        <w:t>2) за остале непокретности - вредност објеката увећана за вредност припадајућег земљишта.</w:t>
      </w:r>
    </w:p>
    <w:p w:rsidR="000726DA" w:rsidRDefault="005D64CC" w:rsidP="000726DA">
      <w:pPr>
        <w:pStyle w:val="NoSpacing"/>
        <w:jc w:val="both"/>
        <w:rPr>
          <w:rFonts w:ascii="Times New Roman" w:hAnsi="Times New Roman"/>
          <w:b/>
          <w:sz w:val="24"/>
          <w:szCs w:val="24"/>
          <w:lang w:val="sr-Cyrl-CS"/>
        </w:rPr>
      </w:pPr>
      <w:r w:rsidRPr="00541620">
        <w:rPr>
          <w:rFonts w:ascii="Times New Roman" w:hAnsi="Times New Roman"/>
          <w:b/>
          <w:sz w:val="24"/>
          <w:szCs w:val="24"/>
          <w:lang w:val="sr-Cyrl-CS"/>
        </w:rPr>
        <w:t>5.4</w:t>
      </w:r>
      <w:r w:rsidR="001503E6">
        <w:rPr>
          <w:rFonts w:ascii="Times New Roman" w:hAnsi="Times New Roman"/>
          <w:b/>
          <w:sz w:val="24"/>
          <w:szCs w:val="24"/>
          <w:lang w:val="sr-Cyrl-CS"/>
        </w:rPr>
        <w:t>.4</w:t>
      </w:r>
      <w:r w:rsidR="000726DA" w:rsidRPr="00541620">
        <w:rPr>
          <w:rFonts w:ascii="Times New Roman" w:hAnsi="Times New Roman"/>
          <w:b/>
          <w:sz w:val="24"/>
          <w:szCs w:val="24"/>
          <w:lang w:val="sr-Cyrl-CS"/>
        </w:rPr>
        <w:t>.Пореска стопа</w:t>
      </w:r>
    </w:p>
    <w:p w:rsidR="00D86D09" w:rsidRPr="00541620" w:rsidRDefault="00D86D09" w:rsidP="000726DA">
      <w:pPr>
        <w:pStyle w:val="NoSpacing"/>
        <w:jc w:val="both"/>
        <w:rPr>
          <w:rFonts w:ascii="Times New Roman" w:hAnsi="Times New Roman"/>
          <w:b/>
          <w:sz w:val="24"/>
          <w:szCs w:val="24"/>
          <w:lang w:val="sr-Cyrl-CS"/>
        </w:rPr>
      </w:pPr>
    </w:p>
    <w:p w:rsidR="000726DA" w:rsidRDefault="000726DA" w:rsidP="000726DA">
      <w:pPr>
        <w:pStyle w:val="NoSpacing"/>
        <w:jc w:val="both"/>
        <w:rPr>
          <w:rFonts w:ascii="Times New Roman" w:hAnsi="Times New Roman"/>
          <w:b/>
          <w:sz w:val="28"/>
          <w:szCs w:val="28"/>
          <w:lang w:val="sr-Cyrl-CS"/>
        </w:rPr>
      </w:pPr>
    </w:p>
    <w:p w:rsidR="000726DA" w:rsidRPr="005F1CE9" w:rsidRDefault="000726DA" w:rsidP="000726DA">
      <w:pPr>
        <w:shd w:val="clear" w:color="auto" w:fill="FFFFFF"/>
        <w:spacing w:before="48" w:after="48" w:line="240" w:lineRule="auto"/>
        <w:ind w:firstLine="708"/>
        <w:jc w:val="both"/>
        <w:rPr>
          <w:rFonts w:ascii="Times New Roman" w:hAnsi="Times New Roman"/>
          <w:color w:val="000000"/>
          <w:sz w:val="24"/>
          <w:szCs w:val="24"/>
          <w:lang w:val="sr-Cyrl-CS"/>
        </w:rPr>
      </w:pPr>
      <w:r w:rsidRPr="005F1CE9">
        <w:rPr>
          <w:rFonts w:ascii="Times New Roman" w:hAnsi="Times New Roman"/>
          <w:color w:val="000000"/>
          <w:sz w:val="24"/>
          <w:szCs w:val="24"/>
          <w:lang w:val="sr-Cyrl-CS"/>
        </w:rPr>
        <w:t>Стопе пореза на имовину</w:t>
      </w:r>
      <w:r w:rsidRPr="005F1CE9">
        <w:rPr>
          <w:rStyle w:val="FootnoteReference"/>
          <w:rFonts w:ascii="Times New Roman" w:hAnsi="Times New Roman"/>
          <w:color w:val="000000"/>
          <w:sz w:val="24"/>
          <w:szCs w:val="24"/>
          <w:lang w:val="sr-Cyrl-CS"/>
        </w:rPr>
        <w:footnoteReference w:id="517"/>
      </w:r>
      <w:r w:rsidRPr="005F1CE9">
        <w:rPr>
          <w:rFonts w:ascii="Times New Roman" w:hAnsi="Times New Roman"/>
          <w:color w:val="000000"/>
          <w:sz w:val="24"/>
          <w:szCs w:val="24"/>
          <w:lang w:val="sr-Cyrl-CS"/>
        </w:rPr>
        <w:t xml:space="preserve">  износе:</w:t>
      </w:r>
      <w:r>
        <w:rPr>
          <w:rFonts w:ascii="Times New Roman" w:hAnsi="Times New Roman"/>
          <w:color w:val="000000"/>
          <w:sz w:val="24"/>
          <w:szCs w:val="24"/>
          <w:lang w:val="sr-Cyrl-CS"/>
        </w:rPr>
        <w:t xml:space="preserve"> </w:t>
      </w:r>
    </w:p>
    <w:p w:rsidR="000726DA" w:rsidRPr="005F1CE9" w:rsidRDefault="000726DA" w:rsidP="000726DA">
      <w:pPr>
        <w:shd w:val="clear" w:color="auto" w:fill="FFFFFF"/>
        <w:spacing w:before="48" w:after="48" w:line="240" w:lineRule="auto"/>
        <w:jc w:val="both"/>
        <w:rPr>
          <w:rFonts w:ascii="Times New Roman" w:hAnsi="Times New Roman"/>
          <w:color w:val="000000"/>
          <w:sz w:val="24"/>
          <w:szCs w:val="24"/>
          <w:lang w:val="sr-Cyrl-CS"/>
        </w:rPr>
      </w:pPr>
      <w:r w:rsidRPr="005F1CE9">
        <w:rPr>
          <w:rFonts w:ascii="Times New Roman" w:hAnsi="Times New Roman"/>
          <w:color w:val="000000"/>
          <w:sz w:val="24"/>
          <w:szCs w:val="24"/>
          <w:lang w:val="sr-Cyrl-CS"/>
        </w:rPr>
        <w:t>1) на права на непокретности пореског обвезника који води пословне књиге - до 0,4%</w:t>
      </w:r>
    </w:p>
    <w:p w:rsidR="000726DA" w:rsidRPr="005F1CE9" w:rsidRDefault="000726DA" w:rsidP="000726DA">
      <w:pPr>
        <w:shd w:val="clear" w:color="auto" w:fill="FFFFFF"/>
        <w:spacing w:before="48" w:after="48" w:line="240" w:lineRule="auto"/>
        <w:jc w:val="both"/>
        <w:rPr>
          <w:rFonts w:ascii="Times New Roman" w:hAnsi="Times New Roman"/>
          <w:color w:val="000000"/>
          <w:sz w:val="24"/>
          <w:szCs w:val="24"/>
          <w:lang w:val="sr-Cyrl-CS"/>
        </w:rPr>
      </w:pPr>
      <w:r w:rsidRPr="005F1CE9">
        <w:rPr>
          <w:rFonts w:ascii="Times New Roman" w:hAnsi="Times New Roman"/>
          <w:color w:val="000000"/>
          <w:sz w:val="24"/>
          <w:szCs w:val="24"/>
          <w:lang w:val="sr-Cyrl-CS"/>
        </w:rPr>
        <w:t>2) на права на земљишту код обвезника који не води пословне књиге - до 0,30%</w:t>
      </w:r>
    </w:p>
    <w:p w:rsidR="00D86D09" w:rsidRDefault="000726DA" w:rsidP="000726DA">
      <w:pPr>
        <w:shd w:val="clear" w:color="auto" w:fill="FFFFFF"/>
        <w:spacing w:before="48" w:after="48" w:line="240" w:lineRule="auto"/>
        <w:jc w:val="both"/>
        <w:rPr>
          <w:rFonts w:ascii="Times New Roman" w:hAnsi="Times New Roman"/>
          <w:color w:val="000000"/>
          <w:sz w:val="24"/>
          <w:szCs w:val="24"/>
          <w:lang w:val="sr-Cyrl-CS"/>
        </w:rPr>
      </w:pPr>
      <w:r w:rsidRPr="005F1CE9">
        <w:rPr>
          <w:rFonts w:ascii="Times New Roman" w:hAnsi="Times New Roman"/>
          <w:color w:val="000000"/>
          <w:sz w:val="24"/>
          <w:szCs w:val="24"/>
          <w:lang w:val="sr-Cyrl-CS"/>
        </w:rPr>
        <w:t>3) на права на непокретности пореског обвезника који не води пословне књиге, осим на земљишту:</w:t>
      </w:r>
    </w:p>
    <w:p w:rsidR="00D86D09" w:rsidRDefault="00D86D09" w:rsidP="000726DA">
      <w:pPr>
        <w:shd w:val="clear" w:color="auto" w:fill="FFFFFF"/>
        <w:spacing w:before="48" w:after="48" w:line="240" w:lineRule="auto"/>
        <w:jc w:val="both"/>
        <w:rPr>
          <w:rFonts w:ascii="Times New Roman" w:hAnsi="Times New Roman"/>
          <w:color w:val="000000"/>
          <w:sz w:val="24"/>
          <w:szCs w:val="24"/>
          <w:lang w:val="sr-Cyrl-CS"/>
        </w:rPr>
      </w:pPr>
    </w:p>
    <w:p w:rsidR="001503E6" w:rsidRDefault="001503E6" w:rsidP="000726DA">
      <w:pPr>
        <w:shd w:val="clear" w:color="auto" w:fill="FFFFFF"/>
        <w:spacing w:before="48" w:after="48" w:line="240" w:lineRule="auto"/>
        <w:jc w:val="both"/>
        <w:rPr>
          <w:rFonts w:ascii="Times New Roman" w:hAnsi="Times New Roman"/>
          <w:b/>
          <w:color w:val="000000"/>
          <w:sz w:val="24"/>
          <w:szCs w:val="24"/>
          <w:lang w:val="sr-Cyrl-CS"/>
        </w:rPr>
      </w:pPr>
      <w:r w:rsidRPr="001503E6">
        <w:rPr>
          <w:rFonts w:ascii="Times New Roman" w:hAnsi="Times New Roman"/>
          <w:b/>
          <w:color w:val="000000"/>
          <w:sz w:val="24"/>
          <w:szCs w:val="24"/>
          <w:lang w:val="sr-Cyrl-CS"/>
        </w:rPr>
        <w:t>Табела 28.</w:t>
      </w:r>
    </w:p>
    <w:p w:rsidR="001503E6" w:rsidRPr="005F1CE9" w:rsidRDefault="001503E6" w:rsidP="000726DA">
      <w:pPr>
        <w:shd w:val="clear" w:color="auto" w:fill="FFFFFF"/>
        <w:spacing w:before="48" w:after="48" w:line="240" w:lineRule="auto"/>
        <w:jc w:val="both"/>
        <w:rPr>
          <w:rFonts w:ascii="Times New Roman" w:hAnsi="Times New Roman"/>
          <w:color w:val="000000"/>
          <w:sz w:val="24"/>
          <w:szCs w:val="24"/>
          <w:lang w:val="sr-Cyrl-CS"/>
        </w:rPr>
      </w:pPr>
    </w:p>
    <w:tbl>
      <w:tblPr>
        <w:tblW w:w="0" w:type="auto"/>
        <w:tblCellSpacing w:w="0" w:type="dxa"/>
        <w:tblBorders>
          <w:top w:val="single" w:sz="6" w:space="0" w:color="000000"/>
          <w:left w:val="single" w:sz="2" w:space="0" w:color="000000"/>
          <w:bottom w:val="single" w:sz="6" w:space="0" w:color="000000"/>
          <w:right w:val="single" w:sz="2" w:space="0" w:color="000000"/>
        </w:tblBorders>
        <w:shd w:val="clear" w:color="auto" w:fill="FFFFFF"/>
        <w:tblCellMar>
          <w:top w:w="15" w:type="dxa"/>
          <w:left w:w="15" w:type="dxa"/>
          <w:bottom w:w="15" w:type="dxa"/>
          <w:right w:w="15" w:type="dxa"/>
        </w:tblCellMar>
        <w:tblLook w:val="04A0"/>
      </w:tblPr>
      <w:tblGrid>
        <w:gridCol w:w="4097"/>
        <w:gridCol w:w="5014"/>
      </w:tblGrid>
      <w:tr w:rsidR="000726DA" w:rsidRPr="005F1CE9" w:rsidTr="00C208AF">
        <w:trPr>
          <w:tblCellSpacing w:w="0" w:type="dxa"/>
        </w:trPr>
        <w:tc>
          <w:tcPr>
            <w:tcW w:w="1550" w:type="pct"/>
            <w:tcBorders>
              <w:top w:val="single" w:sz="2" w:space="0" w:color="000000"/>
              <w:left w:val="single" w:sz="2" w:space="0" w:color="000000"/>
              <w:bottom w:val="single" w:sz="6" w:space="0" w:color="000000"/>
              <w:right w:val="single" w:sz="2" w:space="0" w:color="000000"/>
            </w:tcBorders>
            <w:shd w:val="clear" w:color="auto" w:fill="FFFFFF"/>
            <w:vAlign w:val="center"/>
            <w:hideMark/>
          </w:tcPr>
          <w:p w:rsidR="000726DA" w:rsidRPr="005F1CE9" w:rsidRDefault="000726DA" w:rsidP="00C208AF">
            <w:pPr>
              <w:spacing w:before="48" w:after="48" w:line="240" w:lineRule="atLeast"/>
              <w:jc w:val="both"/>
              <w:rPr>
                <w:rFonts w:ascii="Times New Roman" w:hAnsi="Times New Roman"/>
                <w:color w:val="000000"/>
                <w:sz w:val="24"/>
                <w:szCs w:val="24"/>
                <w:lang w:val="sr-Cyrl-CS"/>
              </w:rPr>
            </w:pPr>
            <w:r w:rsidRPr="005F1CE9">
              <w:rPr>
                <w:rFonts w:ascii="Times New Roman" w:hAnsi="Times New Roman"/>
                <w:color w:val="000000"/>
                <w:sz w:val="24"/>
                <w:szCs w:val="24"/>
                <w:lang w:val="sr-Cyrl-CS"/>
              </w:rPr>
              <w:t>На пореску основицу</w:t>
            </w:r>
          </w:p>
        </w:tc>
        <w:tc>
          <w:tcPr>
            <w:tcW w:w="3450" w:type="pct"/>
            <w:tcBorders>
              <w:top w:val="single" w:sz="2" w:space="0" w:color="000000"/>
              <w:left w:val="single" w:sz="2" w:space="0" w:color="000000"/>
              <w:bottom w:val="single" w:sz="6" w:space="0" w:color="000000"/>
              <w:right w:val="single" w:sz="2" w:space="0" w:color="000000"/>
            </w:tcBorders>
            <w:shd w:val="clear" w:color="auto" w:fill="FFFFFF"/>
            <w:vAlign w:val="center"/>
            <w:hideMark/>
          </w:tcPr>
          <w:p w:rsidR="000726DA" w:rsidRPr="005F1CE9" w:rsidRDefault="000726DA" w:rsidP="00C208AF">
            <w:pPr>
              <w:spacing w:before="48" w:after="48" w:line="240" w:lineRule="atLeast"/>
              <w:jc w:val="both"/>
              <w:rPr>
                <w:rFonts w:ascii="Times New Roman" w:hAnsi="Times New Roman"/>
                <w:color w:val="000000"/>
                <w:sz w:val="24"/>
                <w:szCs w:val="24"/>
                <w:lang w:val="sr-Cyrl-CS"/>
              </w:rPr>
            </w:pPr>
            <w:r w:rsidRPr="005F1CE9">
              <w:rPr>
                <w:rFonts w:ascii="Times New Roman" w:hAnsi="Times New Roman"/>
                <w:color w:val="000000"/>
                <w:sz w:val="24"/>
                <w:szCs w:val="24"/>
                <w:lang w:val="sr-Cyrl-CS"/>
              </w:rPr>
              <w:t>Плаћа се на име пореза</w:t>
            </w:r>
          </w:p>
        </w:tc>
      </w:tr>
      <w:tr w:rsidR="000726DA" w:rsidRPr="005F1CE9" w:rsidTr="00C208AF">
        <w:trPr>
          <w:tblCellSpacing w:w="0" w:type="dxa"/>
        </w:trPr>
        <w:tc>
          <w:tcPr>
            <w:tcW w:w="0" w:type="auto"/>
            <w:tcBorders>
              <w:top w:val="single" w:sz="2" w:space="0" w:color="000000"/>
              <w:left w:val="single" w:sz="2" w:space="0" w:color="000000"/>
              <w:bottom w:val="single" w:sz="6" w:space="0" w:color="000000"/>
              <w:right w:val="single" w:sz="2" w:space="0" w:color="000000"/>
            </w:tcBorders>
            <w:shd w:val="clear" w:color="auto" w:fill="FFFFFF"/>
            <w:vAlign w:val="center"/>
            <w:hideMark/>
          </w:tcPr>
          <w:p w:rsidR="000726DA" w:rsidRPr="005F1CE9" w:rsidRDefault="000726DA" w:rsidP="00C208AF">
            <w:pPr>
              <w:spacing w:before="48" w:after="48" w:line="240" w:lineRule="atLeast"/>
              <w:jc w:val="both"/>
              <w:rPr>
                <w:rFonts w:ascii="Times New Roman" w:hAnsi="Times New Roman"/>
                <w:color w:val="000000"/>
                <w:sz w:val="24"/>
                <w:szCs w:val="24"/>
                <w:lang w:val="sr-Cyrl-CS"/>
              </w:rPr>
            </w:pPr>
            <w:r w:rsidRPr="005F1CE9">
              <w:rPr>
                <w:rFonts w:ascii="Times New Roman" w:hAnsi="Times New Roman"/>
                <w:color w:val="000000"/>
                <w:sz w:val="24"/>
                <w:szCs w:val="24"/>
                <w:lang w:val="sr-Cyrl-CS"/>
              </w:rPr>
              <w:t>(1) до 10.000.000 динара</w:t>
            </w:r>
          </w:p>
        </w:tc>
        <w:tc>
          <w:tcPr>
            <w:tcW w:w="0" w:type="auto"/>
            <w:tcBorders>
              <w:top w:val="single" w:sz="2" w:space="0" w:color="000000"/>
              <w:left w:val="single" w:sz="2" w:space="0" w:color="000000"/>
              <w:bottom w:val="single" w:sz="6" w:space="0" w:color="000000"/>
              <w:right w:val="single" w:sz="2" w:space="0" w:color="000000"/>
            </w:tcBorders>
            <w:shd w:val="clear" w:color="auto" w:fill="FFFFFF"/>
            <w:vAlign w:val="center"/>
            <w:hideMark/>
          </w:tcPr>
          <w:p w:rsidR="000726DA" w:rsidRPr="005F1CE9" w:rsidRDefault="000726DA" w:rsidP="00C208AF">
            <w:pPr>
              <w:spacing w:before="48" w:after="48" w:line="240" w:lineRule="atLeast"/>
              <w:jc w:val="both"/>
              <w:rPr>
                <w:rFonts w:ascii="Times New Roman" w:hAnsi="Times New Roman"/>
                <w:color w:val="000000"/>
                <w:sz w:val="24"/>
                <w:szCs w:val="24"/>
                <w:lang w:val="sr-Cyrl-CS"/>
              </w:rPr>
            </w:pPr>
            <w:r w:rsidRPr="005F1CE9">
              <w:rPr>
                <w:rFonts w:ascii="Times New Roman" w:hAnsi="Times New Roman"/>
                <w:color w:val="000000"/>
                <w:sz w:val="24"/>
                <w:szCs w:val="24"/>
                <w:lang w:val="sr-Cyrl-CS"/>
              </w:rPr>
              <w:t>До 0,40%</w:t>
            </w:r>
          </w:p>
        </w:tc>
      </w:tr>
      <w:tr w:rsidR="000726DA" w:rsidRPr="005F1CE9" w:rsidTr="00C208AF">
        <w:trPr>
          <w:tblCellSpacing w:w="0" w:type="dxa"/>
        </w:trPr>
        <w:tc>
          <w:tcPr>
            <w:tcW w:w="0" w:type="auto"/>
            <w:tcBorders>
              <w:top w:val="single" w:sz="2" w:space="0" w:color="000000"/>
              <w:left w:val="single" w:sz="2" w:space="0" w:color="000000"/>
              <w:bottom w:val="single" w:sz="6" w:space="0" w:color="000000"/>
              <w:right w:val="single" w:sz="2" w:space="0" w:color="000000"/>
            </w:tcBorders>
            <w:shd w:val="clear" w:color="auto" w:fill="FFFFFF"/>
            <w:noWrap/>
            <w:vAlign w:val="center"/>
            <w:hideMark/>
          </w:tcPr>
          <w:p w:rsidR="000726DA" w:rsidRPr="005F1CE9" w:rsidRDefault="000726DA" w:rsidP="00C208AF">
            <w:pPr>
              <w:spacing w:before="48" w:after="48" w:line="240" w:lineRule="atLeast"/>
              <w:jc w:val="both"/>
              <w:rPr>
                <w:rFonts w:ascii="Times New Roman" w:hAnsi="Times New Roman"/>
                <w:color w:val="000000"/>
                <w:sz w:val="24"/>
                <w:szCs w:val="24"/>
                <w:lang w:val="sr-Cyrl-CS"/>
              </w:rPr>
            </w:pPr>
            <w:r w:rsidRPr="005F1CE9">
              <w:rPr>
                <w:rFonts w:ascii="Times New Roman" w:hAnsi="Times New Roman"/>
                <w:color w:val="000000"/>
                <w:sz w:val="24"/>
                <w:szCs w:val="24"/>
                <w:lang w:val="sr-Cyrl-CS"/>
              </w:rPr>
              <w:t>(2) од 10.000.000 до 25.000.000 динара  </w:t>
            </w:r>
          </w:p>
        </w:tc>
        <w:tc>
          <w:tcPr>
            <w:tcW w:w="0" w:type="auto"/>
            <w:tcBorders>
              <w:top w:val="single" w:sz="2" w:space="0" w:color="000000"/>
              <w:left w:val="single" w:sz="2" w:space="0" w:color="000000"/>
              <w:bottom w:val="single" w:sz="6" w:space="0" w:color="000000"/>
              <w:right w:val="single" w:sz="2" w:space="0" w:color="000000"/>
            </w:tcBorders>
            <w:shd w:val="clear" w:color="auto" w:fill="FFFFFF"/>
            <w:vAlign w:val="center"/>
            <w:hideMark/>
          </w:tcPr>
          <w:p w:rsidR="000726DA" w:rsidRPr="005F1CE9" w:rsidRDefault="000726DA" w:rsidP="00C208AF">
            <w:pPr>
              <w:spacing w:before="48" w:after="48" w:line="240" w:lineRule="atLeast"/>
              <w:jc w:val="both"/>
              <w:rPr>
                <w:rFonts w:ascii="Times New Roman" w:hAnsi="Times New Roman"/>
                <w:color w:val="000000"/>
                <w:sz w:val="24"/>
                <w:szCs w:val="24"/>
                <w:lang w:val="sr-Cyrl-CS"/>
              </w:rPr>
            </w:pPr>
            <w:r w:rsidRPr="005F1CE9">
              <w:rPr>
                <w:rFonts w:ascii="Times New Roman" w:hAnsi="Times New Roman"/>
                <w:color w:val="000000"/>
                <w:sz w:val="24"/>
                <w:szCs w:val="24"/>
                <w:lang w:val="sr-Cyrl-CS"/>
              </w:rPr>
              <w:t>порез из подтачке (1) + до 0,6% на износ преко 10.000.000 динара</w:t>
            </w:r>
          </w:p>
        </w:tc>
      </w:tr>
      <w:tr w:rsidR="000726DA" w:rsidRPr="005F1CE9" w:rsidTr="00C208AF">
        <w:trPr>
          <w:tblCellSpacing w:w="0" w:type="dxa"/>
        </w:trPr>
        <w:tc>
          <w:tcPr>
            <w:tcW w:w="0" w:type="auto"/>
            <w:tcBorders>
              <w:top w:val="single" w:sz="2" w:space="0" w:color="000000"/>
              <w:left w:val="single" w:sz="2" w:space="0" w:color="000000"/>
              <w:bottom w:val="single" w:sz="6" w:space="0" w:color="000000"/>
              <w:right w:val="single" w:sz="2" w:space="0" w:color="000000"/>
            </w:tcBorders>
            <w:shd w:val="clear" w:color="auto" w:fill="FFFFFF"/>
            <w:noWrap/>
            <w:vAlign w:val="center"/>
            <w:hideMark/>
          </w:tcPr>
          <w:p w:rsidR="000726DA" w:rsidRPr="005F1CE9" w:rsidRDefault="000726DA" w:rsidP="00C208AF">
            <w:pPr>
              <w:spacing w:before="48" w:after="48" w:line="240" w:lineRule="atLeast"/>
              <w:jc w:val="both"/>
              <w:rPr>
                <w:rFonts w:ascii="Times New Roman" w:hAnsi="Times New Roman"/>
                <w:color w:val="000000"/>
                <w:sz w:val="24"/>
                <w:szCs w:val="24"/>
                <w:lang w:val="sr-Cyrl-CS"/>
              </w:rPr>
            </w:pPr>
            <w:r w:rsidRPr="005F1CE9">
              <w:rPr>
                <w:rFonts w:ascii="Times New Roman" w:hAnsi="Times New Roman"/>
                <w:color w:val="000000"/>
                <w:sz w:val="24"/>
                <w:szCs w:val="24"/>
                <w:lang w:val="sr-Cyrl-CS"/>
              </w:rPr>
              <w:t>(3) од 25.000.000 до 50.000.000 динара</w:t>
            </w:r>
          </w:p>
        </w:tc>
        <w:tc>
          <w:tcPr>
            <w:tcW w:w="0" w:type="auto"/>
            <w:tcBorders>
              <w:top w:val="single" w:sz="2" w:space="0" w:color="000000"/>
              <w:left w:val="single" w:sz="2" w:space="0" w:color="000000"/>
              <w:bottom w:val="single" w:sz="6" w:space="0" w:color="000000"/>
              <w:right w:val="single" w:sz="2" w:space="0" w:color="000000"/>
            </w:tcBorders>
            <w:shd w:val="clear" w:color="auto" w:fill="FFFFFF"/>
            <w:vAlign w:val="center"/>
            <w:hideMark/>
          </w:tcPr>
          <w:p w:rsidR="000726DA" w:rsidRPr="005F1CE9" w:rsidRDefault="000726DA" w:rsidP="00C208AF">
            <w:pPr>
              <w:spacing w:before="48" w:after="48" w:line="240" w:lineRule="atLeast"/>
              <w:jc w:val="both"/>
              <w:rPr>
                <w:rFonts w:ascii="Times New Roman" w:hAnsi="Times New Roman"/>
                <w:color w:val="000000"/>
                <w:sz w:val="24"/>
                <w:szCs w:val="24"/>
                <w:lang w:val="sr-Cyrl-CS"/>
              </w:rPr>
            </w:pPr>
            <w:r w:rsidRPr="005F1CE9">
              <w:rPr>
                <w:rFonts w:ascii="Times New Roman" w:hAnsi="Times New Roman"/>
                <w:color w:val="000000"/>
                <w:sz w:val="24"/>
                <w:szCs w:val="24"/>
                <w:lang w:val="sr-Cyrl-CS"/>
              </w:rPr>
              <w:t>порез из подтачке (2) + до 1,0% на износ преко 25.000.000 динара</w:t>
            </w:r>
          </w:p>
        </w:tc>
      </w:tr>
      <w:tr w:rsidR="000726DA" w:rsidRPr="005F1CE9" w:rsidTr="00C208AF">
        <w:trPr>
          <w:tblCellSpacing w:w="0" w:type="dxa"/>
        </w:trPr>
        <w:tc>
          <w:tcPr>
            <w:tcW w:w="0" w:type="auto"/>
            <w:shd w:val="clear" w:color="auto" w:fill="FFFFFF"/>
            <w:hideMark/>
          </w:tcPr>
          <w:p w:rsidR="000726DA" w:rsidRPr="005F1CE9" w:rsidRDefault="000726DA" w:rsidP="00C208AF">
            <w:pPr>
              <w:spacing w:before="48" w:after="48" w:line="240" w:lineRule="atLeast"/>
              <w:jc w:val="both"/>
              <w:rPr>
                <w:rFonts w:ascii="Times New Roman" w:hAnsi="Times New Roman"/>
                <w:color w:val="000000"/>
                <w:sz w:val="24"/>
                <w:szCs w:val="24"/>
                <w:lang w:val="sr-Cyrl-CS"/>
              </w:rPr>
            </w:pPr>
            <w:r w:rsidRPr="005F1CE9">
              <w:rPr>
                <w:rFonts w:ascii="Times New Roman" w:hAnsi="Times New Roman"/>
                <w:color w:val="000000"/>
                <w:sz w:val="24"/>
                <w:szCs w:val="24"/>
                <w:lang w:val="sr-Cyrl-CS"/>
              </w:rPr>
              <w:t>(4) преко 50.000.000 динара</w:t>
            </w:r>
          </w:p>
        </w:tc>
        <w:tc>
          <w:tcPr>
            <w:tcW w:w="0" w:type="auto"/>
            <w:shd w:val="clear" w:color="auto" w:fill="FFFFFF"/>
            <w:vAlign w:val="center"/>
            <w:hideMark/>
          </w:tcPr>
          <w:p w:rsidR="000726DA" w:rsidRPr="005F1CE9" w:rsidRDefault="000726DA" w:rsidP="00C208AF">
            <w:pPr>
              <w:spacing w:before="48" w:after="48" w:line="240" w:lineRule="atLeast"/>
              <w:jc w:val="both"/>
              <w:rPr>
                <w:rFonts w:ascii="Times New Roman" w:hAnsi="Times New Roman"/>
                <w:color w:val="000000"/>
                <w:sz w:val="24"/>
                <w:szCs w:val="24"/>
                <w:lang w:val="sr-Cyrl-CS"/>
              </w:rPr>
            </w:pPr>
            <w:r w:rsidRPr="005F1CE9">
              <w:rPr>
                <w:rFonts w:ascii="Times New Roman" w:hAnsi="Times New Roman"/>
                <w:color w:val="000000"/>
                <w:sz w:val="24"/>
                <w:szCs w:val="24"/>
                <w:lang w:val="sr-Cyrl-CS"/>
              </w:rPr>
              <w:t>порез из подтачке (3) + до 2,0% на износ преко 50.000.000 динара</w:t>
            </w:r>
          </w:p>
        </w:tc>
      </w:tr>
    </w:tbl>
    <w:p w:rsidR="001503E6" w:rsidRDefault="001503E6" w:rsidP="000726DA">
      <w:pPr>
        <w:shd w:val="clear" w:color="auto" w:fill="FFFFFF"/>
        <w:spacing w:before="48" w:after="48" w:line="240" w:lineRule="auto"/>
        <w:ind w:firstLine="708"/>
        <w:jc w:val="both"/>
        <w:rPr>
          <w:rFonts w:ascii="Times New Roman" w:hAnsi="Times New Roman"/>
          <w:color w:val="000000"/>
          <w:sz w:val="24"/>
          <w:szCs w:val="24"/>
          <w:lang w:val="sr-Cyrl-CS"/>
        </w:rPr>
      </w:pPr>
    </w:p>
    <w:p w:rsidR="001503E6" w:rsidRDefault="001503E6" w:rsidP="000726DA">
      <w:pPr>
        <w:shd w:val="clear" w:color="auto" w:fill="FFFFFF"/>
        <w:spacing w:before="48" w:after="48" w:line="240" w:lineRule="auto"/>
        <w:ind w:firstLine="708"/>
        <w:jc w:val="both"/>
        <w:rPr>
          <w:rFonts w:ascii="Times New Roman" w:hAnsi="Times New Roman"/>
          <w:color w:val="000000"/>
          <w:sz w:val="24"/>
          <w:szCs w:val="24"/>
          <w:lang w:val="sr-Cyrl-CS"/>
        </w:rPr>
      </w:pPr>
    </w:p>
    <w:p w:rsidR="000726DA" w:rsidRDefault="000726DA" w:rsidP="000726DA">
      <w:pPr>
        <w:shd w:val="clear" w:color="auto" w:fill="FFFFFF"/>
        <w:spacing w:before="48" w:after="48" w:line="240" w:lineRule="auto"/>
        <w:ind w:firstLine="708"/>
        <w:jc w:val="both"/>
        <w:rPr>
          <w:rFonts w:ascii="Times New Roman" w:hAnsi="Times New Roman"/>
          <w:color w:val="000000"/>
          <w:sz w:val="24"/>
          <w:szCs w:val="24"/>
          <w:lang w:val="sr-Cyrl-CS"/>
        </w:rPr>
      </w:pPr>
      <w:r w:rsidRPr="005F1CE9">
        <w:rPr>
          <w:rFonts w:ascii="Times New Roman" w:hAnsi="Times New Roman"/>
          <w:color w:val="000000"/>
          <w:sz w:val="24"/>
          <w:szCs w:val="24"/>
          <w:lang w:val="sr-Cyrl-CS"/>
        </w:rPr>
        <w:t>У случају да скупштина јединице локалне самоуправе не утврди висину пореске стопе, или је утврди преко максималног износа, порез на имовину утврдиће применом највише одговарајуће пореске стопе на права на непокретности обвезника који води пословне књиге, односно обвезника који не води пословне књиге.</w:t>
      </w:r>
      <w:r>
        <w:rPr>
          <w:rFonts w:ascii="Times New Roman" w:hAnsi="Times New Roman"/>
          <w:color w:val="000000"/>
          <w:sz w:val="24"/>
          <w:szCs w:val="24"/>
          <w:lang w:val="sr-Cyrl-CS"/>
        </w:rPr>
        <w:t xml:space="preserve">  </w:t>
      </w:r>
    </w:p>
    <w:p w:rsidR="005849D1" w:rsidRDefault="005849D1" w:rsidP="000726DA">
      <w:pPr>
        <w:shd w:val="clear" w:color="auto" w:fill="FFFFFF"/>
        <w:spacing w:before="48" w:after="48" w:line="240" w:lineRule="auto"/>
        <w:ind w:firstLine="708"/>
        <w:jc w:val="both"/>
        <w:rPr>
          <w:rFonts w:ascii="Times New Roman" w:hAnsi="Times New Roman"/>
          <w:color w:val="000000"/>
          <w:sz w:val="24"/>
          <w:szCs w:val="24"/>
          <w:lang w:val="sr-Cyrl-CS"/>
        </w:rPr>
      </w:pPr>
    </w:p>
    <w:p w:rsidR="005849D1" w:rsidRDefault="005849D1" w:rsidP="000726DA">
      <w:pPr>
        <w:shd w:val="clear" w:color="auto" w:fill="FFFFFF"/>
        <w:spacing w:before="48" w:after="48" w:line="240" w:lineRule="auto"/>
        <w:ind w:firstLine="708"/>
        <w:jc w:val="both"/>
        <w:rPr>
          <w:rFonts w:ascii="Times New Roman" w:hAnsi="Times New Roman"/>
          <w:color w:val="000000"/>
          <w:sz w:val="24"/>
          <w:szCs w:val="24"/>
          <w:lang w:val="sr-Cyrl-CS"/>
        </w:rPr>
      </w:pPr>
    </w:p>
    <w:p w:rsidR="005849D1" w:rsidRDefault="005849D1" w:rsidP="006474A9">
      <w:pPr>
        <w:shd w:val="clear" w:color="auto" w:fill="FFFFFF"/>
        <w:spacing w:before="48" w:after="48" w:line="240" w:lineRule="auto"/>
        <w:jc w:val="both"/>
        <w:rPr>
          <w:rFonts w:ascii="Times New Roman" w:hAnsi="Times New Roman"/>
          <w:color w:val="000000"/>
          <w:sz w:val="24"/>
          <w:szCs w:val="24"/>
          <w:lang w:val="sr-Cyrl-CS"/>
        </w:rPr>
      </w:pPr>
    </w:p>
    <w:p w:rsidR="000726DA" w:rsidRPr="00743164" w:rsidRDefault="000726DA" w:rsidP="000726DA">
      <w:pPr>
        <w:pStyle w:val="NoSpacing"/>
        <w:jc w:val="both"/>
        <w:rPr>
          <w:rFonts w:ascii="Times New Roman" w:hAnsi="Times New Roman"/>
          <w:b/>
          <w:sz w:val="24"/>
          <w:szCs w:val="24"/>
          <w:lang w:val="sr-Cyrl-CS"/>
        </w:rPr>
      </w:pPr>
    </w:p>
    <w:p w:rsidR="000726DA" w:rsidRPr="00541620" w:rsidRDefault="005D64CC" w:rsidP="000726DA">
      <w:pPr>
        <w:pStyle w:val="NoSpacing"/>
        <w:jc w:val="both"/>
        <w:rPr>
          <w:rFonts w:ascii="Times New Roman" w:hAnsi="Times New Roman"/>
          <w:b/>
          <w:sz w:val="24"/>
          <w:szCs w:val="24"/>
          <w:lang w:val="sr-Cyrl-CS"/>
        </w:rPr>
      </w:pPr>
      <w:r w:rsidRPr="00541620">
        <w:rPr>
          <w:rFonts w:ascii="Times New Roman" w:hAnsi="Times New Roman"/>
          <w:b/>
          <w:sz w:val="24"/>
          <w:szCs w:val="24"/>
          <w:lang w:val="sr-Cyrl-CS"/>
        </w:rPr>
        <w:t>5.4</w:t>
      </w:r>
      <w:r w:rsidR="001503E6">
        <w:rPr>
          <w:rFonts w:ascii="Times New Roman" w:hAnsi="Times New Roman"/>
          <w:b/>
          <w:sz w:val="24"/>
          <w:szCs w:val="24"/>
          <w:lang w:val="sr-Cyrl-CS"/>
        </w:rPr>
        <w:t>.5</w:t>
      </w:r>
      <w:r w:rsidR="000726DA" w:rsidRPr="00541620">
        <w:rPr>
          <w:rFonts w:ascii="Times New Roman" w:hAnsi="Times New Roman"/>
          <w:b/>
          <w:sz w:val="24"/>
          <w:szCs w:val="24"/>
          <w:lang w:val="sr-Cyrl-CS"/>
        </w:rPr>
        <w:t>.Избегавање плаћања пореза са становишта пореза на имовину</w:t>
      </w:r>
    </w:p>
    <w:p w:rsidR="00A44F2D" w:rsidRDefault="00A44F2D" w:rsidP="000726DA">
      <w:pPr>
        <w:pStyle w:val="NoSpacing"/>
        <w:jc w:val="both"/>
        <w:rPr>
          <w:rFonts w:ascii="Times New Roman" w:hAnsi="Times New Roman"/>
          <w:b/>
          <w:sz w:val="28"/>
          <w:szCs w:val="28"/>
          <w:lang w:val="sr-Cyrl-CS"/>
        </w:rPr>
      </w:pPr>
    </w:p>
    <w:p w:rsidR="000726DA" w:rsidRDefault="000726DA" w:rsidP="000726DA">
      <w:pPr>
        <w:pStyle w:val="NoSpacing"/>
        <w:jc w:val="both"/>
        <w:rPr>
          <w:rFonts w:ascii="Times New Roman" w:hAnsi="Times New Roman"/>
          <w:b/>
          <w:sz w:val="28"/>
          <w:szCs w:val="28"/>
          <w:lang w:val="sr-Cyrl-CS"/>
        </w:rPr>
      </w:pPr>
    </w:p>
    <w:p w:rsidR="000726DA" w:rsidRDefault="000726DA" w:rsidP="000726DA">
      <w:pPr>
        <w:ind w:firstLine="708"/>
        <w:jc w:val="both"/>
        <w:rPr>
          <w:rFonts w:ascii="Times New Roman" w:hAnsi="Times New Roman"/>
          <w:sz w:val="24"/>
          <w:szCs w:val="24"/>
          <w:lang w:val="sr-Cyrl-CS"/>
        </w:rPr>
      </w:pPr>
      <w:r w:rsidRPr="00DC514F">
        <w:rPr>
          <w:rFonts w:ascii="Times New Roman" w:hAnsi="Times New Roman"/>
          <w:sz w:val="24"/>
          <w:szCs w:val="24"/>
          <w:lang w:val="sr-Cyrl-CS"/>
        </w:rPr>
        <w:t xml:space="preserve">Поред бројних предности </w:t>
      </w:r>
      <w:r>
        <w:rPr>
          <w:rFonts w:ascii="Times New Roman" w:hAnsi="Times New Roman"/>
          <w:sz w:val="24"/>
          <w:szCs w:val="24"/>
          <w:lang w:val="sr-Cyrl-CS"/>
        </w:rPr>
        <w:t xml:space="preserve">које смањују могућност пореске евазије ни овај порески облик није имун на ову негативну појаву. </w:t>
      </w:r>
      <w:r w:rsidRPr="008F33DD">
        <w:rPr>
          <w:rFonts w:ascii="Times New Roman" w:hAnsi="Times New Roman"/>
          <w:sz w:val="24"/>
          <w:szCs w:val="24"/>
          <w:lang w:val="sr-Cyrl-CS"/>
        </w:rPr>
        <w:t xml:space="preserve">Недостатак овог пореза је што доводи до поремећаја у кућном буџету јер се </w:t>
      </w:r>
      <w:r>
        <w:rPr>
          <w:rFonts w:ascii="Times New Roman" w:hAnsi="Times New Roman"/>
          <w:sz w:val="24"/>
          <w:szCs w:val="24"/>
          <w:lang w:val="sr-Cyrl-CS"/>
        </w:rPr>
        <w:t>одређује на годишњем нивоу</w:t>
      </w:r>
      <w:r w:rsidRPr="008F33DD">
        <w:rPr>
          <w:rFonts w:ascii="Times New Roman" w:hAnsi="Times New Roman"/>
          <w:sz w:val="24"/>
          <w:szCs w:val="24"/>
          <w:lang w:val="sr-Cyrl-CS"/>
        </w:rPr>
        <w:t xml:space="preserve"> и плаћа тромесечно и  за разлику од пореза на доходак по одбитку или ПДВ-а, који су унапред обрачунати и плаћају се у мањим износима, представља далеко већи намет сваком грађанину.</w:t>
      </w:r>
      <w:r>
        <w:rPr>
          <w:rFonts w:ascii="Times New Roman" w:hAnsi="Times New Roman"/>
          <w:sz w:val="24"/>
          <w:szCs w:val="24"/>
          <w:lang w:val="sr-Cyrl-CS"/>
        </w:rPr>
        <w:t xml:space="preserve"> </w:t>
      </w:r>
      <w:r w:rsidRPr="008F33DD">
        <w:rPr>
          <w:rFonts w:ascii="Times New Roman" w:hAnsi="Times New Roman"/>
          <w:sz w:val="24"/>
          <w:szCs w:val="24"/>
          <w:lang w:val="sr-Cyrl-CS"/>
        </w:rPr>
        <w:t>Збо</w:t>
      </w:r>
      <w:r>
        <w:rPr>
          <w:rFonts w:ascii="Times New Roman" w:hAnsi="Times New Roman"/>
          <w:sz w:val="24"/>
          <w:szCs w:val="24"/>
          <w:lang w:val="sr-Cyrl-CS"/>
        </w:rPr>
        <w:t>г тога је највећи отпор оваквим пореским наметима</w:t>
      </w:r>
      <w:r w:rsidRPr="008F33DD">
        <w:rPr>
          <w:rFonts w:ascii="Times New Roman" w:hAnsi="Times New Roman"/>
          <w:sz w:val="24"/>
          <w:szCs w:val="24"/>
          <w:lang w:val="sr-Cyrl-CS"/>
        </w:rPr>
        <w:t>.</w:t>
      </w:r>
      <w:r>
        <w:rPr>
          <w:rFonts w:ascii="Times New Roman" w:hAnsi="Times New Roman"/>
          <w:sz w:val="24"/>
          <w:szCs w:val="24"/>
          <w:lang w:val="sr-Cyrl-CS"/>
        </w:rPr>
        <w:t xml:space="preserve"> </w:t>
      </w:r>
    </w:p>
    <w:p w:rsidR="000726DA" w:rsidRPr="00FA27DF" w:rsidRDefault="00C75EE2" w:rsidP="000726DA">
      <w:pPr>
        <w:ind w:firstLine="708"/>
        <w:jc w:val="both"/>
        <w:rPr>
          <w:rFonts w:ascii="Times New Roman" w:hAnsi="Times New Roman"/>
          <w:sz w:val="24"/>
          <w:szCs w:val="24"/>
          <w:lang w:val="sr-Cyrl-CS"/>
        </w:rPr>
      </w:pPr>
      <w:r>
        <w:rPr>
          <w:rFonts w:ascii="Times New Roman" w:hAnsi="Times New Roman"/>
          <w:sz w:val="24"/>
          <w:szCs w:val="24"/>
          <w:lang w:val="sr-Cyrl-CS"/>
        </w:rPr>
        <w:t>Битно је рећи</w:t>
      </w:r>
      <w:r w:rsidR="000726DA">
        <w:rPr>
          <w:rFonts w:ascii="Times New Roman" w:hAnsi="Times New Roman"/>
          <w:sz w:val="24"/>
          <w:szCs w:val="24"/>
          <w:lang w:val="sr-Cyrl-CS"/>
        </w:rPr>
        <w:t xml:space="preserve"> да је могућност евазије пореза на имовину у случају некретнина </w:t>
      </w:r>
      <w:r>
        <w:rPr>
          <w:rFonts w:ascii="Times New Roman" w:hAnsi="Times New Roman"/>
          <w:sz w:val="24"/>
          <w:szCs w:val="24"/>
          <w:lang w:val="sr-Cyrl-CS"/>
        </w:rPr>
        <w:t>велика</w:t>
      </w:r>
      <w:r w:rsidR="000726DA">
        <w:rPr>
          <w:rFonts w:ascii="Times New Roman" w:hAnsi="Times New Roman"/>
          <w:sz w:val="24"/>
          <w:szCs w:val="24"/>
          <w:lang w:val="sr-Cyrl-CS"/>
        </w:rPr>
        <w:t xml:space="preserve"> и последица</w:t>
      </w:r>
      <w:r>
        <w:rPr>
          <w:rFonts w:ascii="Times New Roman" w:hAnsi="Times New Roman"/>
          <w:sz w:val="24"/>
          <w:szCs w:val="24"/>
          <w:lang w:val="sr-Cyrl-CS"/>
        </w:rPr>
        <w:t xml:space="preserve"> је</w:t>
      </w:r>
      <w:r w:rsidR="000726DA">
        <w:rPr>
          <w:rFonts w:ascii="Times New Roman" w:hAnsi="Times New Roman"/>
          <w:sz w:val="24"/>
          <w:szCs w:val="24"/>
          <w:lang w:val="sr-Cyrl-CS"/>
        </w:rPr>
        <w:t xml:space="preserve"> система добровољног пријављивања пореских обвезника</w:t>
      </w:r>
      <w:r>
        <w:rPr>
          <w:rFonts w:ascii="Times New Roman" w:hAnsi="Times New Roman"/>
          <w:sz w:val="24"/>
          <w:szCs w:val="24"/>
          <w:lang w:val="sr-Cyrl-CS"/>
        </w:rPr>
        <w:t xml:space="preserve">. Овај проблем је везан </w:t>
      </w:r>
      <w:r w:rsidR="000726DA">
        <w:rPr>
          <w:rFonts w:ascii="Times New Roman" w:hAnsi="Times New Roman"/>
          <w:sz w:val="24"/>
          <w:szCs w:val="24"/>
          <w:lang w:val="sr-Cyrl-CS"/>
        </w:rPr>
        <w:t xml:space="preserve">за два феномена. Један је неажурност земљишних књига, односно катастара а други је </w:t>
      </w:r>
      <w:r>
        <w:rPr>
          <w:rFonts w:ascii="Times New Roman" w:hAnsi="Times New Roman"/>
          <w:sz w:val="24"/>
          <w:szCs w:val="24"/>
          <w:lang w:val="sr-Cyrl-CS"/>
        </w:rPr>
        <w:t>бесправна градња</w:t>
      </w:r>
      <w:r w:rsidR="000726DA">
        <w:rPr>
          <w:rFonts w:ascii="Times New Roman" w:hAnsi="Times New Roman"/>
          <w:sz w:val="24"/>
          <w:szCs w:val="24"/>
          <w:lang w:val="sr-Cyrl-CS"/>
        </w:rPr>
        <w:t xml:space="preserve"> у Србији, </w:t>
      </w:r>
      <w:r>
        <w:rPr>
          <w:rFonts w:ascii="Times New Roman" w:hAnsi="Times New Roman"/>
          <w:sz w:val="24"/>
          <w:szCs w:val="24"/>
          <w:lang w:val="sr-Cyrl-CS"/>
        </w:rPr>
        <w:t>односно</w:t>
      </w:r>
      <w:r w:rsidR="000726DA">
        <w:rPr>
          <w:rFonts w:ascii="Times New Roman" w:hAnsi="Times New Roman"/>
          <w:sz w:val="24"/>
          <w:szCs w:val="24"/>
          <w:lang w:val="sr-Cyrl-CS"/>
        </w:rPr>
        <w:t xml:space="preserve"> велики број нелегалних објеката о којима не постоји солидна евиденција.</w:t>
      </w:r>
      <w:r w:rsidR="000726DA">
        <w:rPr>
          <w:rStyle w:val="FootnoteReference"/>
          <w:rFonts w:ascii="Times New Roman" w:hAnsi="Times New Roman"/>
          <w:sz w:val="24"/>
          <w:szCs w:val="24"/>
          <w:lang w:val="sr-Cyrl-CS"/>
        </w:rPr>
        <w:footnoteReference w:id="518"/>
      </w:r>
      <w:r w:rsidR="000726DA">
        <w:rPr>
          <w:rFonts w:ascii="Times New Roman" w:hAnsi="Times New Roman"/>
          <w:sz w:val="24"/>
          <w:szCs w:val="24"/>
          <w:lang w:val="sr-Cyrl-CS"/>
        </w:rPr>
        <w:t xml:space="preserve"> </w:t>
      </w:r>
    </w:p>
    <w:p w:rsidR="000726DA" w:rsidRDefault="000726DA" w:rsidP="000726DA">
      <w:pPr>
        <w:shd w:val="clear" w:color="auto" w:fill="FFFFFF"/>
        <w:spacing w:after="0" w:line="240" w:lineRule="auto"/>
        <w:ind w:firstLine="708"/>
        <w:jc w:val="both"/>
        <w:rPr>
          <w:rFonts w:ascii="Times New Roman" w:hAnsi="Times New Roman"/>
          <w:color w:val="333333"/>
          <w:sz w:val="24"/>
          <w:szCs w:val="24"/>
          <w:lang w:val="sr-Cyrl-CS"/>
        </w:rPr>
      </w:pPr>
      <w:r w:rsidRPr="00135651">
        <w:rPr>
          <w:rFonts w:ascii="Times New Roman" w:hAnsi="Times New Roman"/>
          <w:bCs/>
          <w:color w:val="333333"/>
          <w:sz w:val="24"/>
          <w:szCs w:val="24"/>
          <w:lang w:val="sr-Cyrl-CS"/>
        </w:rPr>
        <w:t>У</w:t>
      </w:r>
      <w:r w:rsidRPr="004570E6">
        <w:rPr>
          <w:rFonts w:ascii="Times New Roman" w:hAnsi="Times New Roman"/>
          <w:bCs/>
          <w:color w:val="333333"/>
          <w:sz w:val="24"/>
          <w:szCs w:val="24"/>
          <w:lang w:val="sr-Cyrl-CS"/>
        </w:rPr>
        <w:t xml:space="preserve"> </w:t>
      </w:r>
      <w:r w:rsidRPr="00135651">
        <w:rPr>
          <w:rFonts w:ascii="Times New Roman" w:hAnsi="Times New Roman"/>
          <w:bCs/>
          <w:color w:val="333333"/>
          <w:sz w:val="24"/>
          <w:szCs w:val="24"/>
          <w:lang w:val="sr-Cyrl-CS"/>
        </w:rPr>
        <w:t>Србији</w:t>
      </w:r>
      <w:r w:rsidRPr="004570E6">
        <w:rPr>
          <w:rFonts w:ascii="Times New Roman" w:hAnsi="Times New Roman"/>
          <w:bCs/>
          <w:color w:val="333333"/>
          <w:sz w:val="24"/>
          <w:szCs w:val="24"/>
          <w:lang w:val="sr-Cyrl-CS"/>
        </w:rPr>
        <w:t xml:space="preserve"> </w:t>
      </w:r>
      <w:r w:rsidRPr="00135651">
        <w:rPr>
          <w:rFonts w:ascii="Times New Roman" w:hAnsi="Times New Roman"/>
          <w:bCs/>
          <w:color w:val="333333"/>
          <w:sz w:val="24"/>
          <w:szCs w:val="24"/>
          <w:lang w:val="sr-Cyrl-CS"/>
        </w:rPr>
        <w:t>има</w:t>
      </w:r>
      <w:r w:rsidRPr="004570E6">
        <w:rPr>
          <w:rFonts w:ascii="Times New Roman" w:hAnsi="Times New Roman"/>
          <w:bCs/>
          <w:color w:val="333333"/>
          <w:sz w:val="24"/>
          <w:szCs w:val="24"/>
          <w:lang w:val="sr-Cyrl-CS"/>
        </w:rPr>
        <w:t xml:space="preserve"> </w:t>
      </w:r>
      <w:r w:rsidRPr="00135651">
        <w:rPr>
          <w:rFonts w:ascii="Times New Roman" w:hAnsi="Times New Roman"/>
          <w:bCs/>
          <w:color w:val="333333"/>
          <w:sz w:val="24"/>
          <w:szCs w:val="24"/>
          <w:lang w:val="sr-Cyrl-CS"/>
        </w:rPr>
        <w:t>око</w:t>
      </w:r>
      <w:r w:rsidRPr="004570E6">
        <w:rPr>
          <w:rFonts w:ascii="Times New Roman" w:hAnsi="Times New Roman"/>
          <w:bCs/>
          <w:color w:val="333333"/>
          <w:sz w:val="24"/>
          <w:szCs w:val="24"/>
          <w:lang w:val="sr-Cyrl-CS"/>
        </w:rPr>
        <w:t xml:space="preserve"> </w:t>
      </w:r>
      <w:r w:rsidRPr="00135651">
        <w:rPr>
          <w:rFonts w:ascii="Times New Roman" w:hAnsi="Times New Roman"/>
          <w:bCs/>
          <w:color w:val="333333"/>
          <w:sz w:val="24"/>
          <w:szCs w:val="24"/>
          <w:lang w:val="sr-Cyrl-CS"/>
        </w:rPr>
        <w:t>милион</w:t>
      </w:r>
      <w:r w:rsidRPr="004570E6">
        <w:rPr>
          <w:rFonts w:ascii="Times New Roman" w:hAnsi="Times New Roman"/>
          <w:bCs/>
          <w:color w:val="333333"/>
          <w:sz w:val="24"/>
          <w:szCs w:val="24"/>
          <w:lang w:val="sr-Cyrl-CS"/>
        </w:rPr>
        <w:t xml:space="preserve"> </w:t>
      </w:r>
      <w:r w:rsidRPr="00135651">
        <w:rPr>
          <w:rFonts w:ascii="Times New Roman" w:hAnsi="Times New Roman"/>
          <w:bCs/>
          <w:color w:val="333333"/>
          <w:sz w:val="24"/>
          <w:szCs w:val="24"/>
          <w:lang w:val="sr-Cyrl-CS"/>
        </w:rPr>
        <w:t>и</w:t>
      </w:r>
      <w:r w:rsidRPr="004570E6">
        <w:rPr>
          <w:rFonts w:ascii="Times New Roman" w:hAnsi="Times New Roman"/>
          <w:bCs/>
          <w:color w:val="333333"/>
          <w:sz w:val="24"/>
          <w:szCs w:val="24"/>
          <w:lang w:val="sr-Cyrl-CS"/>
        </w:rPr>
        <w:t xml:space="preserve"> </w:t>
      </w:r>
      <w:r w:rsidRPr="00135651">
        <w:rPr>
          <w:rFonts w:ascii="Times New Roman" w:hAnsi="Times New Roman"/>
          <w:bCs/>
          <w:color w:val="333333"/>
          <w:sz w:val="24"/>
          <w:szCs w:val="24"/>
          <w:lang w:val="sr-Cyrl-CS"/>
        </w:rPr>
        <w:t>по</w:t>
      </w:r>
      <w:r w:rsidRPr="004570E6">
        <w:rPr>
          <w:rFonts w:ascii="Times New Roman" w:hAnsi="Times New Roman"/>
          <w:bCs/>
          <w:color w:val="333333"/>
          <w:sz w:val="24"/>
          <w:szCs w:val="24"/>
          <w:lang w:val="sr-Cyrl-CS"/>
        </w:rPr>
        <w:t xml:space="preserve"> </w:t>
      </w:r>
      <w:r w:rsidRPr="00135651">
        <w:rPr>
          <w:rFonts w:ascii="Times New Roman" w:hAnsi="Times New Roman"/>
          <w:bCs/>
          <w:color w:val="333333"/>
          <w:sz w:val="24"/>
          <w:szCs w:val="24"/>
          <w:lang w:val="sr-Cyrl-CS"/>
        </w:rPr>
        <w:t>нелегалних</w:t>
      </w:r>
      <w:r w:rsidRPr="004570E6">
        <w:rPr>
          <w:rFonts w:ascii="Times New Roman" w:hAnsi="Times New Roman"/>
          <w:bCs/>
          <w:color w:val="333333"/>
          <w:sz w:val="24"/>
          <w:szCs w:val="24"/>
          <w:lang w:val="sr-Cyrl-CS"/>
        </w:rPr>
        <w:t xml:space="preserve"> </w:t>
      </w:r>
      <w:r w:rsidRPr="00135651">
        <w:rPr>
          <w:rFonts w:ascii="Times New Roman" w:hAnsi="Times New Roman"/>
          <w:bCs/>
          <w:color w:val="333333"/>
          <w:sz w:val="24"/>
          <w:szCs w:val="24"/>
          <w:lang w:val="sr-Cyrl-CS"/>
        </w:rPr>
        <w:t>објеката</w:t>
      </w:r>
      <w:r w:rsidRPr="004570E6">
        <w:rPr>
          <w:rFonts w:ascii="Times New Roman" w:hAnsi="Times New Roman"/>
          <w:bCs/>
          <w:color w:val="333333"/>
          <w:sz w:val="24"/>
          <w:szCs w:val="24"/>
          <w:lang w:val="sr-Cyrl-CS"/>
        </w:rPr>
        <w:t xml:space="preserve"> </w:t>
      </w:r>
      <w:r w:rsidRPr="00135651">
        <w:rPr>
          <w:rFonts w:ascii="Times New Roman" w:hAnsi="Times New Roman"/>
          <w:bCs/>
          <w:color w:val="333333"/>
          <w:sz w:val="24"/>
          <w:szCs w:val="24"/>
          <w:lang w:val="sr-Cyrl-CS"/>
        </w:rPr>
        <w:t>и</w:t>
      </w:r>
      <w:r w:rsidRPr="004570E6">
        <w:rPr>
          <w:rFonts w:ascii="Times New Roman" w:hAnsi="Times New Roman"/>
          <w:bCs/>
          <w:color w:val="333333"/>
          <w:sz w:val="24"/>
          <w:szCs w:val="24"/>
          <w:lang w:val="sr-Cyrl-CS"/>
        </w:rPr>
        <w:t xml:space="preserve"> </w:t>
      </w:r>
      <w:r w:rsidRPr="00135651">
        <w:rPr>
          <w:rFonts w:ascii="Times New Roman" w:hAnsi="Times New Roman"/>
          <w:bCs/>
          <w:color w:val="333333"/>
          <w:sz w:val="24"/>
          <w:szCs w:val="24"/>
          <w:lang w:val="sr-Cyrl-CS"/>
        </w:rPr>
        <w:t>поред</w:t>
      </w:r>
      <w:r w:rsidRPr="004570E6">
        <w:rPr>
          <w:rFonts w:ascii="Times New Roman" w:hAnsi="Times New Roman"/>
          <w:bCs/>
          <w:color w:val="333333"/>
          <w:sz w:val="24"/>
          <w:szCs w:val="24"/>
          <w:lang w:val="sr-Cyrl-CS"/>
        </w:rPr>
        <w:t xml:space="preserve"> </w:t>
      </w:r>
      <w:r w:rsidRPr="00135651">
        <w:rPr>
          <w:rFonts w:ascii="Times New Roman" w:hAnsi="Times New Roman"/>
          <w:bCs/>
          <w:color w:val="333333"/>
          <w:sz w:val="24"/>
          <w:szCs w:val="24"/>
          <w:lang w:val="sr-Cyrl-CS"/>
        </w:rPr>
        <w:t>доношења</w:t>
      </w:r>
      <w:r w:rsidRPr="004570E6">
        <w:rPr>
          <w:rFonts w:ascii="Times New Roman" w:hAnsi="Times New Roman"/>
          <w:bCs/>
          <w:color w:val="333333"/>
          <w:sz w:val="24"/>
          <w:szCs w:val="24"/>
          <w:lang w:val="sr-Cyrl-CS"/>
        </w:rPr>
        <w:t xml:space="preserve"> </w:t>
      </w:r>
      <w:r w:rsidRPr="00135651">
        <w:rPr>
          <w:rFonts w:ascii="Times New Roman" w:hAnsi="Times New Roman"/>
          <w:bCs/>
          <w:color w:val="333333"/>
          <w:sz w:val="24"/>
          <w:szCs w:val="24"/>
          <w:lang w:val="sr-Cyrl-CS"/>
        </w:rPr>
        <w:t>више</w:t>
      </w:r>
      <w:r w:rsidRPr="004570E6">
        <w:rPr>
          <w:rFonts w:ascii="Times New Roman" w:hAnsi="Times New Roman"/>
          <w:bCs/>
          <w:color w:val="333333"/>
          <w:sz w:val="24"/>
          <w:szCs w:val="24"/>
          <w:lang w:val="sr-Cyrl-CS"/>
        </w:rPr>
        <w:t xml:space="preserve"> </w:t>
      </w:r>
      <w:r w:rsidRPr="00135651">
        <w:rPr>
          <w:rFonts w:ascii="Times New Roman" w:hAnsi="Times New Roman"/>
          <w:bCs/>
          <w:color w:val="333333"/>
          <w:sz w:val="24"/>
          <w:szCs w:val="24"/>
          <w:lang w:val="sr-Cyrl-CS"/>
        </w:rPr>
        <w:t>закона</w:t>
      </w:r>
      <w:r w:rsidRPr="004570E6">
        <w:rPr>
          <w:rFonts w:ascii="Times New Roman" w:hAnsi="Times New Roman"/>
          <w:bCs/>
          <w:color w:val="333333"/>
          <w:sz w:val="24"/>
          <w:szCs w:val="24"/>
          <w:lang w:val="sr-Cyrl-CS"/>
        </w:rPr>
        <w:t xml:space="preserve"> </w:t>
      </w:r>
      <w:r w:rsidRPr="00135651">
        <w:rPr>
          <w:rFonts w:ascii="Times New Roman" w:hAnsi="Times New Roman"/>
          <w:bCs/>
          <w:color w:val="333333"/>
          <w:sz w:val="24"/>
          <w:szCs w:val="24"/>
          <w:lang w:val="sr-Cyrl-CS"/>
        </w:rPr>
        <w:t>о</w:t>
      </w:r>
      <w:r w:rsidRPr="004570E6">
        <w:rPr>
          <w:rFonts w:ascii="Times New Roman" w:hAnsi="Times New Roman"/>
          <w:bCs/>
          <w:color w:val="333333"/>
          <w:sz w:val="24"/>
          <w:szCs w:val="24"/>
          <w:lang w:val="sr-Cyrl-CS"/>
        </w:rPr>
        <w:t xml:space="preserve"> </w:t>
      </w:r>
      <w:r w:rsidRPr="00135651">
        <w:rPr>
          <w:rFonts w:ascii="Times New Roman" w:hAnsi="Times New Roman"/>
          <w:bCs/>
          <w:color w:val="333333"/>
          <w:sz w:val="24"/>
          <w:szCs w:val="24"/>
          <w:lang w:val="sr-Cyrl-CS"/>
        </w:rPr>
        <w:t>легализацији</w:t>
      </w:r>
      <w:r w:rsidRPr="004570E6">
        <w:rPr>
          <w:rFonts w:ascii="Times New Roman" w:hAnsi="Times New Roman"/>
          <w:bCs/>
          <w:color w:val="333333"/>
          <w:sz w:val="24"/>
          <w:szCs w:val="24"/>
          <w:lang w:val="sr-Cyrl-CS"/>
        </w:rPr>
        <w:t>.</w:t>
      </w:r>
      <w:r w:rsidRPr="00135651">
        <w:rPr>
          <w:rFonts w:ascii="Times New Roman" w:hAnsi="Times New Roman"/>
          <w:bCs/>
          <w:color w:val="333333"/>
          <w:sz w:val="24"/>
          <w:szCs w:val="24"/>
          <w:lang w:val="sr-Cyrl-CS"/>
        </w:rPr>
        <w:t xml:space="preserve"> </w:t>
      </w:r>
      <w:r w:rsidRPr="00135651">
        <w:rPr>
          <w:rFonts w:ascii="Times New Roman" w:hAnsi="Times New Roman"/>
          <w:color w:val="333333"/>
          <w:sz w:val="24"/>
          <w:szCs w:val="24"/>
          <w:lang w:val="sr-Cyrl-CS"/>
        </w:rPr>
        <w:t>Без</w:t>
      </w:r>
      <w:r w:rsidRPr="004570E6">
        <w:rPr>
          <w:rFonts w:ascii="Times New Roman" w:hAnsi="Times New Roman"/>
          <w:color w:val="333333"/>
          <w:sz w:val="24"/>
          <w:szCs w:val="24"/>
          <w:lang w:val="sr-Cyrl-CS"/>
        </w:rPr>
        <w:t xml:space="preserve"> </w:t>
      </w:r>
      <w:r w:rsidRPr="00135651">
        <w:rPr>
          <w:rFonts w:ascii="Times New Roman" w:hAnsi="Times New Roman"/>
          <w:color w:val="333333"/>
          <w:sz w:val="24"/>
          <w:szCs w:val="24"/>
          <w:lang w:val="sr-Cyrl-CS"/>
        </w:rPr>
        <w:t>дозволе</w:t>
      </w:r>
      <w:r w:rsidRPr="004570E6">
        <w:rPr>
          <w:rFonts w:ascii="Times New Roman" w:hAnsi="Times New Roman"/>
          <w:color w:val="333333"/>
          <w:sz w:val="24"/>
          <w:szCs w:val="24"/>
          <w:lang w:val="sr-Cyrl-CS"/>
        </w:rPr>
        <w:t xml:space="preserve"> </w:t>
      </w:r>
      <w:r w:rsidRPr="00135651">
        <w:rPr>
          <w:rFonts w:ascii="Times New Roman" w:hAnsi="Times New Roman"/>
          <w:color w:val="333333"/>
          <w:sz w:val="24"/>
          <w:szCs w:val="24"/>
          <w:lang w:val="sr-Cyrl-CS"/>
        </w:rPr>
        <w:t>се</w:t>
      </w:r>
      <w:r w:rsidRPr="004570E6">
        <w:rPr>
          <w:rFonts w:ascii="Times New Roman" w:hAnsi="Times New Roman"/>
          <w:color w:val="333333"/>
          <w:sz w:val="24"/>
          <w:szCs w:val="24"/>
          <w:lang w:val="sr-Cyrl-CS"/>
        </w:rPr>
        <w:t xml:space="preserve"> </w:t>
      </w:r>
      <w:r w:rsidRPr="00135651">
        <w:rPr>
          <w:rFonts w:ascii="Times New Roman" w:hAnsi="Times New Roman"/>
          <w:color w:val="333333"/>
          <w:sz w:val="24"/>
          <w:szCs w:val="24"/>
          <w:lang w:val="sr-Cyrl-CS"/>
        </w:rPr>
        <w:t>највише</w:t>
      </w:r>
      <w:r w:rsidRPr="004570E6">
        <w:rPr>
          <w:rFonts w:ascii="Times New Roman" w:hAnsi="Times New Roman"/>
          <w:color w:val="333333"/>
          <w:sz w:val="24"/>
          <w:szCs w:val="24"/>
          <w:lang w:val="sr-Cyrl-CS"/>
        </w:rPr>
        <w:t xml:space="preserve"> </w:t>
      </w:r>
      <w:r w:rsidRPr="00135651">
        <w:rPr>
          <w:rFonts w:ascii="Times New Roman" w:hAnsi="Times New Roman"/>
          <w:color w:val="333333"/>
          <w:sz w:val="24"/>
          <w:szCs w:val="24"/>
          <w:lang w:val="sr-Cyrl-CS"/>
        </w:rPr>
        <w:t>градило</w:t>
      </w:r>
      <w:r w:rsidRPr="004570E6">
        <w:rPr>
          <w:rFonts w:ascii="Times New Roman" w:hAnsi="Times New Roman"/>
          <w:color w:val="333333"/>
          <w:sz w:val="24"/>
          <w:szCs w:val="24"/>
          <w:lang w:val="sr-Cyrl-CS"/>
        </w:rPr>
        <w:t xml:space="preserve"> </w:t>
      </w:r>
      <w:r w:rsidRPr="00135651">
        <w:rPr>
          <w:rFonts w:ascii="Times New Roman" w:hAnsi="Times New Roman"/>
          <w:color w:val="333333"/>
          <w:sz w:val="24"/>
          <w:szCs w:val="24"/>
          <w:lang w:val="sr-Cyrl-CS"/>
        </w:rPr>
        <w:t>у</w:t>
      </w:r>
      <w:r w:rsidRPr="004570E6">
        <w:rPr>
          <w:rFonts w:ascii="Times New Roman" w:hAnsi="Times New Roman"/>
          <w:color w:val="333333"/>
          <w:sz w:val="24"/>
          <w:szCs w:val="24"/>
          <w:lang w:val="sr-Cyrl-CS"/>
        </w:rPr>
        <w:t xml:space="preserve"> </w:t>
      </w:r>
      <w:r w:rsidRPr="00135651">
        <w:rPr>
          <w:rFonts w:ascii="Times New Roman" w:hAnsi="Times New Roman"/>
          <w:color w:val="333333"/>
          <w:sz w:val="24"/>
          <w:szCs w:val="24"/>
          <w:lang w:val="sr-Cyrl-CS"/>
        </w:rPr>
        <w:t>Београду</w:t>
      </w:r>
      <w:r w:rsidRPr="004570E6">
        <w:rPr>
          <w:rFonts w:ascii="Times New Roman" w:hAnsi="Times New Roman"/>
          <w:color w:val="333333"/>
          <w:sz w:val="24"/>
          <w:szCs w:val="24"/>
          <w:lang w:val="sr-Cyrl-CS"/>
        </w:rPr>
        <w:t xml:space="preserve">, </w:t>
      </w:r>
      <w:r w:rsidRPr="00135651">
        <w:rPr>
          <w:rFonts w:ascii="Times New Roman" w:hAnsi="Times New Roman"/>
          <w:color w:val="333333"/>
          <w:sz w:val="24"/>
          <w:szCs w:val="24"/>
          <w:lang w:val="sr-Cyrl-CS"/>
        </w:rPr>
        <w:t>где</w:t>
      </w:r>
      <w:r w:rsidRPr="004570E6">
        <w:rPr>
          <w:rFonts w:ascii="Times New Roman" w:hAnsi="Times New Roman"/>
          <w:color w:val="333333"/>
          <w:sz w:val="24"/>
          <w:szCs w:val="24"/>
          <w:lang w:val="sr-Cyrl-CS"/>
        </w:rPr>
        <w:t xml:space="preserve"> </w:t>
      </w:r>
      <w:r w:rsidRPr="00135651">
        <w:rPr>
          <w:rFonts w:ascii="Times New Roman" w:hAnsi="Times New Roman"/>
          <w:color w:val="333333"/>
          <w:sz w:val="24"/>
          <w:szCs w:val="24"/>
          <w:lang w:val="sr-Cyrl-CS"/>
        </w:rPr>
        <w:t>је</w:t>
      </w:r>
      <w:r w:rsidRPr="004570E6">
        <w:rPr>
          <w:rFonts w:ascii="Times New Roman" w:hAnsi="Times New Roman"/>
          <w:color w:val="333333"/>
          <w:sz w:val="24"/>
          <w:szCs w:val="24"/>
          <w:lang w:val="sr-Cyrl-CS"/>
        </w:rPr>
        <w:t xml:space="preserve"> </w:t>
      </w:r>
      <w:r w:rsidRPr="00135651">
        <w:rPr>
          <w:rFonts w:ascii="Times New Roman" w:hAnsi="Times New Roman"/>
          <w:color w:val="333333"/>
          <w:sz w:val="24"/>
          <w:szCs w:val="24"/>
          <w:lang w:val="sr-Cyrl-CS"/>
        </w:rPr>
        <w:t>предато</w:t>
      </w:r>
      <w:r w:rsidRPr="004570E6">
        <w:rPr>
          <w:rFonts w:ascii="Times New Roman" w:hAnsi="Times New Roman"/>
          <w:color w:val="333333"/>
          <w:sz w:val="24"/>
          <w:szCs w:val="24"/>
          <w:lang w:val="sr-Cyrl-CS"/>
        </w:rPr>
        <w:t xml:space="preserve"> 240.000 </w:t>
      </w:r>
      <w:r w:rsidRPr="00135651">
        <w:rPr>
          <w:rFonts w:ascii="Times New Roman" w:hAnsi="Times New Roman"/>
          <w:color w:val="333333"/>
          <w:sz w:val="24"/>
          <w:szCs w:val="24"/>
          <w:lang w:val="sr-Cyrl-CS"/>
        </w:rPr>
        <w:t>захтева</w:t>
      </w:r>
      <w:r w:rsidRPr="004570E6">
        <w:rPr>
          <w:rFonts w:ascii="Times New Roman" w:hAnsi="Times New Roman"/>
          <w:color w:val="333333"/>
          <w:sz w:val="24"/>
          <w:szCs w:val="24"/>
          <w:lang w:val="sr-Cyrl-CS"/>
        </w:rPr>
        <w:t xml:space="preserve"> </w:t>
      </w:r>
      <w:r w:rsidRPr="00135651">
        <w:rPr>
          <w:rFonts w:ascii="Times New Roman" w:hAnsi="Times New Roman"/>
          <w:color w:val="333333"/>
          <w:sz w:val="24"/>
          <w:szCs w:val="24"/>
          <w:lang w:val="sr-Cyrl-CS"/>
        </w:rPr>
        <w:t>за</w:t>
      </w:r>
      <w:r w:rsidRPr="004570E6">
        <w:rPr>
          <w:rFonts w:ascii="Times New Roman" w:hAnsi="Times New Roman"/>
          <w:color w:val="333333"/>
          <w:sz w:val="24"/>
          <w:szCs w:val="24"/>
          <w:lang w:val="sr-Cyrl-CS"/>
        </w:rPr>
        <w:t xml:space="preserve"> </w:t>
      </w:r>
      <w:r w:rsidRPr="00135651">
        <w:rPr>
          <w:rFonts w:ascii="Times New Roman" w:hAnsi="Times New Roman"/>
          <w:color w:val="333333"/>
          <w:sz w:val="24"/>
          <w:szCs w:val="24"/>
          <w:lang w:val="sr-Cyrl-CS"/>
        </w:rPr>
        <w:t>легализацију</w:t>
      </w:r>
      <w:r w:rsidRPr="004570E6">
        <w:rPr>
          <w:rFonts w:ascii="Times New Roman" w:hAnsi="Times New Roman"/>
          <w:color w:val="333333"/>
          <w:sz w:val="24"/>
          <w:szCs w:val="24"/>
          <w:lang w:val="sr-Cyrl-CS"/>
        </w:rPr>
        <w:t xml:space="preserve">. </w:t>
      </w:r>
      <w:r w:rsidRPr="00135651">
        <w:rPr>
          <w:rFonts w:ascii="Times New Roman" w:hAnsi="Times New Roman"/>
          <w:color w:val="333333"/>
          <w:sz w:val="24"/>
          <w:szCs w:val="24"/>
          <w:lang w:val="sr-Cyrl-CS"/>
        </w:rPr>
        <w:t>Рачунајући</w:t>
      </w:r>
      <w:r w:rsidRPr="004570E6">
        <w:rPr>
          <w:rFonts w:ascii="Times New Roman" w:hAnsi="Times New Roman"/>
          <w:color w:val="333333"/>
          <w:sz w:val="24"/>
          <w:szCs w:val="24"/>
          <w:lang w:val="sr-Cyrl-CS"/>
        </w:rPr>
        <w:t xml:space="preserve"> </w:t>
      </w:r>
      <w:r w:rsidRPr="00135651">
        <w:rPr>
          <w:rFonts w:ascii="Times New Roman" w:hAnsi="Times New Roman"/>
          <w:color w:val="333333"/>
          <w:sz w:val="24"/>
          <w:szCs w:val="24"/>
          <w:lang w:val="sr-Cyrl-CS"/>
        </w:rPr>
        <w:t>и</w:t>
      </w:r>
      <w:r w:rsidRPr="004570E6">
        <w:rPr>
          <w:rFonts w:ascii="Times New Roman" w:hAnsi="Times New Roman"/>
          <w:color w:val="333333"/>
          <w:sz w:val="24"/>
          <w:szCs w:val="24"/>
          <w:lang w:val="sr-Cyrl-CS"/>
        </w:rPr>
        <w:t xml:space="preserve"> </w:t>
      </w:r>
      <w:r w:rsidRPr="00135651">
        <w:rPr>
          <w:rFonts w:ascii="Times New Roman" w:hAnsi="Times New Roman"/>
          <w:color w:val="333333"/>
          <w:sz w:val="24"/>
          <w:szCs w:val="24"/>
          <w:lang w:val="sr-Cyrl-CS"/>
        </w:rPr>
        <w:t>приградске</w:t>
      </w:r>
      <w:r w:rsidRPr="004570E6">
        <w:rPr>
          <w:rFonts w:ascii="Times New Roman" w:hAnsi="Times New Roman"/>
          <w:color w:val="333333"/>
          <w:sz w:val="24"/>
          <w:szCs w:val="24"/>
          <w:lang w:val="sr-Cyrl-CS"/>
        </w:rPr>
        <w:t xml:space="preserve"> </w:t>
      </w:r>
      <w:r w:rsidRPr="00135651">
        <w:rPr>
          <w:rFonts w:ascii="Times New Roman" w:hAnsi="Times New Roman"/>
          <w:color w:val="333333"/>
          <w:sz w:val="24"/>
          <w:szCs w:val="24"/>
          <w:lang w:val="sr-Cyrl-CS"/>
        </w:rPr>
        <w:t>општине</w:t>
      </w:r>
      <w:r w:rsidRPr="004570E6">
        <w:rPr>
          <w:rFonts w:ascii="Times New Roman" w:hAnsi="Times New Roman"/>
          <w:color w:val="333333"/>
          <w:sz w:val="24"/>
          <w:szCs w:val="24"/>
          <w:lang w:val="sr-Cyrl-CS"/>
        </w:rPr>
        <w:t xml:space="preserve">, </w:t>
      </w:r>
      <w:r w:rsidRPr="00135651">
        <w:rPr>
          <w:rFonts w:ascii="Times New Roman" w:hAnsi="Times New Roman"/>
          <w:color w:val="333333"/>
          <w:sz w:val="24"/>
          <w:szCs w:val="24"/>
          <w:lang w:val="sr-Cyrl-CS"/>
        </w:rPr>
        <w:t>број</w:t>
      </w:r>
      <w:r w:rsidRPr="004570E6">
        <w:rPr>
          <w:rFonts w:ascii="Times New Roman" w:hAnsi="Times New Roman"/>
          <w:color w:val="333333"/>
          <w:sz w:val="24"/>
          <w:szCs w:val="24"/>
          <w:lang w:val="sr-Cyrl-CS"/>
        </w:rPr>
        <w:t xml:space="preserve"> </w:t>
      </w:r>
      <w:r w:rsidRPr="00135651">
        <w:rPr>
          <w:rFonts w:ascii="Times New Roman" w:hAnsi="Times New Roman"/>
          <w:color w:val="333333"/>
          <w:sz w:val="24"/>
          <w:szCs w:val="24"/>
          <w:lang w:val="sr-Cyrl-CS"/>
        </w:rPr>
        <w:t>је</w:t>
      </w:r>
      <w:r w:rsidRPr="004570E6">
        <w:rPr>
          <w:rFonts w:ascii="Times New Roman" w:hAnsi="Times New Roman"/>
          <w:color w:val="333333"/>
          <w:sz w:val="24"/>
          <w:szCs w:val="24"/>
          <w:lang w:val="sr-Cyrl-CS"/>
        </w:rPr>
        <w:t xml:space="preserve"> </w:t>
      </w:r>
      <w:r w:rsidRPr="00135651">
        <w:rPr>
          <w:rFonts w:ascii="Times New Roman" w:hAnsi="Times New Roman"/>
          <w:color w:val="333333"/>
          <w:sz w:val="24"/>
          <w:szCs w:val="24"/>
          <w:lang w:val="sr-Cyrl-CS"/>
        </w:rPr>
        <w:t>већи</w:t>
      </w:r>
      <w:r w:rsidRPr="004570E6">
        <w:rPr>
          <w:rFonts w:ascii="Times New Roman" w:hAnsi="Times New Roman"/>
          <w:color w:val="333333"/>
          <w:sz w:val="24"/>
          <w:szCs w:val="24"/>
          <w:lang w:val="sr-Cyrl-CS"/>
        </w:rPr>
        <w:t xml:space="preserve"> </w:t>
      </w:r>
      <w:r w:rsidRPr="00135651">
        <w:rPr>
          <w:rFonts w:ascii="Times New Roman" w:hAnsi="Times New Roman"/>
          <w:color w:val="333333"/>
          <w:sz w:val="24"/>
          <w:szCs w:val="24"/>
          <w:lang w:val="sr-Cyrl-CS"/>
        </w:rPr>
        <w:t>од</w:t>
      </w:r>
      <w:r w:rsidRPr="004570E6">
        <w:rPr>
          <w:rFonts w:ascii="Times New Roman" w:hAnsi="Times New Roman"/>
          <w:color w:val="333333"/>
          <w:sz w:val="24"/>
          <w:szCs w:val="24"/>
          <w:lang w:val="sr-Cyrl-CS"/>
        </w:rPr>
        <w:t xml:space="preserve"> 300.000. </w:t>
      </w:r>
      <w:r w:rsidRPr="00135651">
        <w:rPr>
          <w:rFonts w:ascii="Times New Roman" w:hAnsi="Times New Roman"/>
          <w:color w:val="333333"/>
          <w:sz w:val="24"/>
          <w:szCs w:val="24"/>
          <w:lang w:val="sr-Cyrl-CS"/>
        </w:rPr>
        <w:t>Од</w:t>
      </w:r>
      <w:r w:rsidRPr="004570E6">
        <w:rPr>
          <w:rFonts w:ascii="Times New Roman" w:hAnsi="Times New Roman"/>
          <w:color w:val="333333"/>
          <w:sz w:val="24"/>
          <w:szCs w:val="24"/>
          <w:lang w:val="sr-Cyrl-CS"/>
        </w:rPr>
        <w:t xml:space="preserve"> </w:t>
      </w:r>
      <w:r w:rsidRPr="00135651">
        <w:rPr>
          <w:rFonts w:ascii="Times New Roman" w:hAnsi="Times New Roman"/>
          <w:color w:val="333333"/>
          <w:sz w:val="24"/>
          <w:szCs w:val="24"/>
          <w:lang w:val="sr-Cyrl-CS"/>
        </w:rPr>
        <w:t>тога</w:t>
      </w:r>
      <w:r w:rsidRPr="004570E6">
        <w:rPr>
          <w:rFonts w:ascii="Times New Roman" w:hAnsi="Times New Roman"/>
          <w:color w:val="333333"/>
          <w:sz w:val="24"/>
          <w:szCs w:val="24"/>
          <w:lang w:val="sr-Cyrl-CS"/>
        </w:rPr>
        <w:t xml:space="preserve"> </w:t>
      </w:r>
      <w:r w:rsidRPr="00135651">
        <w:rPr>
          <w:rFonts w:ascii="Times New Roman" w:hAnsi="Times New Roman"/>
          <w:color w:val="333333"/>
          <w:sz w:val="24"/>
          <w:szCs w:val="24"/>
          <w:lang w:val="sr-Cyrl-CS"/>
        </w:rPr>
        <w:t xml:space="preserve">је решено свега 15.000 предмета. </w:t>
      </w:r>
      <w:r>
        <w:rPr>
          <w:rFonts w:ascii="Times New Roman" w:hAnsi="Times New Roman"/>
          <w:color w:val="333333"/>
          <w:sz w:val="24"/>
          <w:szCs w:val="24"/>
          <w:lang w:val="sr-Cyrl-CS"/>
        </w:rPr>
        <w:t>Укупно је на територији Србије</w:t>
      </w:r>
      <w:r w:rsidRPr="004570E6">
        <w:rPr>
          <w:rFonts w:ascii="Times New Roman" w:hAnsi="Times New Roman"/>
          <w:color w:val="333333"/>
          <w:sz w:val="24"/>
          <w:szCs w:val="24"/>
          <w:lang w:val="sr-Cyrl-CS"/>
        </w:rPr>
        <w:t xml:space="preserve">  </w:t>
      </w:r>
      <w:r w:rsidRPr="00135651">
        <w:rPr>
          <w:rFonts w:ascii="Times New Roman" w:hAnsi="Times New Roman"/>
          <w:color w:val="333333"/>
          <w:sz w:val="24"/>
          <w:szCs w:val="24"/>
          <w:lang w:val="sr-Cyrl-CS"/>
        </w:rPr>
        <w:t>предато</w:t>
      </w:r>
      <w:r w:rsidRPr="004570E6">
        <w:rPr>
          <w:rFonts w:ascii="Times New Roman" w:hAnsi="Times New Roman"/>
          <w:color w:val="333333"/>
          <w:sz w:val="24"/>
          <w:szCs w:val="24"/>
          <w:lang w:val="sr-Cyrl-CS"/>
        </w:rPr>
        <w:t xml:space="preserve"> </w:t>
      </w:r>
      <w:r w:rsidRPr="00135651">
        <w:rPr>
          <w:rFonts w:ascii="Times New Roman" w:hAnsi="Times New Roman"/>
          <w:color w:val="333333"/>
          <w:sz w:val="24"/>
          <w:szCs w:val="24"/>
          <w:lang w:val="sr-Cyrl-CS"/>
        </w:rPr>
        <w:t>око</w:t>
      </w:r>
      <w:r w:rsidRPr="004570E6">
        <w:rPr>
          <w:rFonts w:ascii="Times New Roman" w:hAnsi="Times New Roman"/>
          <w:color w:val="333333"/>
          <w:sz w:val="24"/>
          <w:szCs w:val="24"/>
          <w:lang w:val="sr-Cyrl-CS"/>
        </w:rPr>
        <w:t xml:space="preserve"> 800.000 </w:t>
      </w:r>
      <w:r w:rsidRPr="00135651">
        <w:rPr>
          <w:rFonts w:ascii="Times New Roman" w:hAnsi="Times New Roman"/>
          <w:color w:val="333333"/>
          <w:sz w:val="24"/>
          <w:szCs w:val="24"/>
          <w:lang w:val="sr-Cyrl-CS"/>
        </w:rPr>
        <w:t>захтева</w:t>
      </w:r>
      <w:r w:rsidRPr="004570E6">
        <w:rPr>
          <w:rFonts w:ascii="Times New Roman" w:hAnsi="Times New Roman"/>
          <w:color w:val="333333"/>
          <w:sz w:val="24"/>
          <w:szCs w:val="24"/>
          <w:lang w:val="sr-Cyrl-CS"/>
        </w:rPr>
        <w:t xml:space="preserve">, </w:t>
      </w:r>
      <w:r w:rsidRPr="00135651">
        <w:rPr>
          <w:rFonts w:ascii="Times New Roman" w:hAnsi="Times New Roman"/>
          <w:color w:val="333333"/>
          <w:sz w:val="24"/>
          <w:szCs w:val="24"/>
          <w:lang w:val="sr-Cyrl-CS"/>
        </w:rPr>
        <w:t>а</w:t>
      </w:r>
      <w:r w:rsidRPr="004570E6">
        <w:rPr>
          <w:rFonts w:ascii="Times New Roman" w:hAnsi="Times New Roman"/>
          <w:color w:val="333333"/>
          <w:sz w:val="24"/>
          <w:szCs w:val="24"/>
          <w:lang w:val="sr-Cyrl-CS"/>
        </w:rPr>
        <w:t xml:space="preserve"> </w:t>
      </w:r>
      <w:r w:rsidRPr="00135651">
        <w:rPr>
          <w:rFonts w:ascii="Times New Roman" w:hAnsi="Times New Roman"/>
          <w:color w:val="333333"/>
          <w:sz w:val="24"/>
          <w:szCs w:val="24"/>
          <w:lang w:val="sr-Cyrl-CS"/>
        </w:rPr>
        <w:t>решено</w:t>
      </w:r>
      <w:r w:rsidRPr="004570E6">
        <w:rPr>
          <w:rFonts w:ascii="Times New Roman" w:hAnsi="Times New Roman"/>
          <w:color w:val="333333"/>
          <w:sz w:val="24"/>
          <w:szCs w:val="24"/>
          <w:lang w:val="sr-Cyrl-CS"/>
        </w:rPr>
        <w:t xml:space="preserve"> </w:t>
      </w:r>
      <w:r w:rsidRPr="00135651">
        <w:rPr>
          <w:rFonts w:ascii="Times New Roman" w:hAnsi="Times New Roman"/>
          <w:color w:val="333333"/>
          <w:sz w:val="24"/>
          <w:szCs w:val="24"/>
          <w:lang w:val="sr-Cyrl-CS"/>
        </w:rPr>
        <w:t>је</w:t>
      </w:r>
      <w:r w:rsidRPr="004570E6">
        <w:rPr>
          <w:rFonts w:ascii="Times New Roman" w:hAnsi="Times New Roman"/>
          <w:color w:val="333333"/>
          <w:sz w:val="24"/>
          <w:szCs w:val="24"/>
          <w:lang w:val="sr-Cyrl-CS"/>
        </w:rPr>
        <w:t xml:space="preserve"> </w:t>
      </w:r>
      <w:r w:rsidRPr="00135651">
        <w:rPr>
          <w:rFonts w:ascii="Times New Roman" w:hAnsi="Times New Roman"/>
          <w:color w:val="333333"/>
          <w:sz w:val="24"/>
          <w:szCs w:val="24"/>
          <w:lang w:val="sr-Cyrl-CS"/>
        </w:rPr>
        <w:t>око</w:t>
      </w:r>
      <w:r w:rsidRPr="004570E6">
        <w:rPr>
          <w:rFonts w:ascii="Times New Roman" w:hAnsi="Times New Roman"/>
          <w:color w:val="333333"/>
          <w:sz w:val="24"/>
          <w:szCs w:val="24"/>
          <w:lang w:val="sr-Cyrl-CS"/>
        </w:rPr>
        <w:t xml:space="preserve"> 10 </w:t>
      </w:r>
      <w:r w:rsidRPr="00135651">
        <w:rPr>
          <w:rFonts w:ascii="Times New Roman" w:hAnsi="Times New Roman"/>
          <w:color w:val="333333"/>
          <w:sz w:val="24"/>
          <w:szCs w:val="24"/>
          <w:lang w:val="sr-Cyrl-CS"/>
        </w:rPr>
        <w:t>одсто</w:t>
      </w:r>
      <w:r w:rsidRPr="004570E6">
        <w:rPr>
          <w:rFonts w:ascii="Times New Roman" w:hAnsi="Times New Roman"/>
          <w:color w:val="333333"/>
          <w:sz w:val="24"/>
          <w:szCs w:val="24"/>
          <w:lang w:val="sr-Cyrl-CS"/>
        </w:rPr>
        <w:t>.</w:t>
      </w:r>
      <w:r w:rsidRPr="00135651">
        <w:rPr>
          <w:rFonts w:ascii="Times New Roman" w:hAnsi="Times New Roman"/>
          <w:color w:val="333333"/>
          <w:sz w:val="24"/>
          <w:szCs w:val="24"/>
          <w:lang w:val="sr-Cyrl-CS"/>
        </w:rPr>
        <w:t xml:space="preserve"> Према</w:t>
      </w:r>
      <w:r w:rsidRPr="004570E6">
        <w:rPr>
          <w:rFonts w:ascii="Times New Roman" w:hAnsi="Times New Roman"/>
          <w:color w:val="333333"/>
          <w:sz w:val="24"/>
          <w:szCs w:val="24"/>
          <w:lang w:val="sr-Cyrl-CS"/>
        </w:rPr>
        <w:t xml:space="preserve"> </w:t>
      </w:r>
      <w:r w:rsidRPr="00135651">
        <w:rPr>
          <w:rFonts w:ascii="Times New Roman" w:hAnsi="Times New Roman"/>
          <w:color w:val="333333"/>
          <w:sz w:val="24"/>
          <w:szCs w:val="24"/>
          <w:lang w:val="sr-Cyrl-CS"/>
        </w:rPr>
        <w:t>неким</w:t>
      </w:r>
      <w:r w:rsidRPr="004570E6">
        <w:rPr>
          <w:rFonts w:ascii="Times New Roman" w:hAnsi="Times New Roman"/>
          <w:color w:val="333333"/>
          <w:sz w:val="24"/>
          <w:szCs w:val="24"/>
          <w:lang w:val="sr-Cyrl-CS"/>
        </w:rPr>
        <w:t xml:space="preserve"> </w:t>
      </w:r>
      <w:r w:rsidRPr="00135651">
        <w:rPr>
          <w:rFonts w:ascii="Times New Roman" w:hAnsi="Times New Roman"/>
          <w:color w:val="333333"/>
          <w:sz w:val="24"/>
          <w:szCs w:val="24"/>
          <w:lang w:val="sr-Cyrl-CS"/>
        </w:rPr>
        <w:t>проценама</w:t>
      </w:r>
      <w:r w:rsidRPr="004570E6">
        <w:rPr>
          <w:rFonts w:ascii="Times New Roman" w:hAnsi="Times New Roman"/>
          <w:color w:val="333333"/>
          <w:sz w:val="24"/>
          <w:szCs w:val="24"/>
          <w:lang w:val="sr-Cyrl-CS"/>
        </w:rPr>
        <w:t xml:space="preserve">, </w:t>
      </w:r>
      <w:r w:rsidRPr="00135651">
        <w:rPr>
          <w:rFonts w:ascii="Times New Roman" w:hAnsi="Times New Roman"/>
          <w:color w:val="333333"/>
          <w:sz w:val="24"/>
          <w:szCs w:val="24"/>
          <w:lang w:val="sr-Cyrl-CS"/>
        </w:rPr>
        <w:t>легализацијом</w:t>
      </w:r>
      <w:r w:rsidRPr="004570E6">
        <w:rPr>
          <w:rFonts w:ascii="Times New Roman" w:hAnsi="Times New Roman"/>
          <w:color w:val="333333"/>
          <w:sz w:val="24"/>
          <w:szCs w:val="24"/>
          <w:lang w:val="sr-Cyrl-CS"/>
        </w:rPr>
        <w:t xml:space="preserve"> </w:t>
      </w:r>
      <w:r w:rsidRPr="00135651">
        <w:rPr>
          <w:rFonts w:ascii="Times New Roman" w:hAnsi="Times New Roman"/>
          <w:color w:val="333333"/>
          <w:sz w:val="24"/>
          <w:szCs w:val="24"/>
          <w:lang w:val="sr-Cyrl-CS"/>
        </w:rPr>
        <w:t>бесправно</w:t>
      </w:r>
      <w:r w:rsidRPr="004570E6">
        <w:rPr>
          <w:rFonts w:ascii="Times New Roman" w:hAnsi="Times New Roman"/>
          <w:color w:val="333333"/>
          <w:sz w:val="24"/>
          <w:szCs w:val="24"/>
          <w:lang w:val="sr-Cyrl-CS"/>
        </w:rPr>
        <w:t xml:space="preserve"> </w:t>
      </w:r>
      <w:r w:rsidRPr="00135651">
        <w:rPr>
          <w:rFonts w:ascii="Times New Roman" w:hAnsi="Times New Roman"/>
          <w:color w:val="333333"/>
          <w:sz w:val="24"/>
          <w:szCs w:val="24"/>
          <w:lang w:val="sr-Cyrl-CS"/>
        </w:rPr>
        <w:t>подигнутих</w:t>
      </w:r>
      <w:r w:rsidRPr="004570E6">
        <w:rPr>
          <w:rFonts w:ascii="Times New Roman" w:hAnsi="Times New Roman"/>
          <w:color w:val="333333"/>
          <w:sz w:val="24"/>
          <w:szCs w:val="24"/>
          <w:lang w:val="sr-Cyrl-CS"/>
        </w:rPr>
        <w:t xml:space="preserve"> </w:t>
      </w:r>
      <w:r w:rsidRPr="00135651">
        <w:rPr>
          <w:rFonts w:ascii="Times New Roman" w:hAnsi="Times New Roman"/>
          <w:color w:val="333333"/>
          <w:sz w:val="24"/>
          <w:szCs w:val="24"/>
          <w:lang w:val="sr-Cyrl-CS"/>
        </w:rPr>
        <w:t>објеката</w:t>
      </w:r>
      <w:r w:rsidRPr="004570E6">
        <w:rPr>
          <w:rFonts w:ascii="Times New Roman" w:hAnsi="Times New Roman"/>
          <w:color w:val="333333"/>
          <w:sz w:val="24"/>
          <w:szCs w:val="24"/>
          <w:lang w:val="sr-Cyrl-CS"/>
        </w:rPr>
        <w:t xml:space="preserve"> </w:t>
      </w:r>
      <w:r w:rsidRPr="00135651">
        <w:rPr>
          <w:rFonts w:ascii="Times New Roman" w:hAnsi="Times New Roman"/>
          <w:color w:val="333333"/>
          <w:sz w:val="24"/>
          <w:szCs w:val="24"/>
          <w:lang w:val="sr-Cyrl-CS"/>
        </w:rPr>
        <w:t>могла</w:t>
      </w:r>
      <w:r w:rsidRPr="004570E6">
        <w:rPr>
          <w:rFonts w:ascii="Times New Roman" w:hAnsi="Times New Roman"/>
          <w:color w:val="333333"/>
          <w:sz w:val="24"/>
          <w:szCs w:val="24"/>
          <w:lang w:val="sr-Cyrl-CS"/>
        </w:rPr>
        <w:t xml:space="preserve"> </w:t>
      </w:r>
      <w:r w:rsidRPr="00135651">
        <w:rPr>
          <w:rFonts w:ascii="Times New Roman" w:hAnsi="Times New Roman"/>
          <w:color w:val="333333"/>
          <w:sz w:val="24"/>
          <w:szCs w:val="24"/>
          <w:lang w:val="sr-Cyrl-CS"/>
        </w:rPr>
        <w:t>би</w:t>
      </w:r>
      <w:r w:rsidRPr="004570E6">
        <w:rPr>
          <w:rFonts w:ascii="Times New Roman" w:hAnsi="Times New Roman"/>
          <w:color w:val="333333"/>
          <w:sz w:val="24"/>
          <w:szCs w:val="24"/>
          <w:lang w:val="sr-Cyrl-CS"/>
        </w:rPr>
        <w:t xml:space="preserve"> </w:t>
      </w:r>
      <w:r w:rsidRPr="00135651">
        <w:rPr>
          <w:rFonts w:ascii="Times New Roman" w:hAnsi="Times New Roman"/>
          <w:color w:val="333333"/>
          <w:sz w:val="24"/>
          <w:szCs w:val="24"/>
          <w:lang w:val="sr-Cyrl-CS"/>
        </w:rPr>
        <w:t>да</w:t>
      </w:r>
      <w:r w:rsidRPr="004570E6">
        <w:rPr>
          <w:rFonts w:ascii="Times New Roman" w:hAnsi="Times New Roman"/>
          <w:color w:val="333333"/>
          <w:sz w:val="24"/>
          <w:szCs w:val="24"/>
          <w:lang w:val="sr-Cyrl-CS"/>
        </w:rPr>
        <w:t xml:space="preserve"> </w:t>
      </w:r>
      <w:r w:rsidRPr="00135651">
        <w:rPr>
          <w:rFonts w:ascii="Times New Roman" w:hAnsi="Times New Roman"/>
          <w:color w:val="333333"/>
          <w:sz w:val="24"/>
          <w:szCs w:val="24"/>
          <w:lang w:val="sr-Cyrl-CS"/>
        </w:rPr>
        <w:t>се</w:t>
      </w:r>
      <w:r w:rsidRPr="004570E6">
        <w:rPr>
          <w:rFonts w:ascii="Times New Roman" w:hAnsi="Times New Roman"/>
          <w:color w:val="333333"/>
          <w:sz w:val="24"/>
          <w:szCs w:val="24"/>
          <w:lang w:val="sr-Cyrl-CS"/>
        </w:rPr>
        <w:t xml:space="preserve"> </w:t>
      </w:r>
      <w:r w:rsidRPr="00135651">
        <w:rPr>
          <w:rFonts w:ascii="Times New Roman" w:hAnsi="Times New Roman"/>
          <w:color w:val="333333"/>
          <w:sz w:val="24"/>
          <w:szCs w:val="24"/>
          <w:lang w:val="sr-Cyrl-CS"/>
        </w:rPr>
        <w:t>стави</w:t>
      </w:r>
      <w:r w:rsidRPr="004570E6">
        <w:rPr>
          <w:rFonts w:ascii="Times New Roman" w:hAnsi="Times New Roman"/>
          <w:color w:val="333333"/>
          <w:sz w:val="24"/>
          <w:szCs w:val="24"/>
          <w:lang w:val="sr-Cyrl-CS"/>
        </w:rPr>
        <w:t xml:space="preserve"> </w:t>
      </w:r>
      <w:r w:rsidRPr="00135651">
        <w:rPr>
          <w:rFonts w:ascii="Times New Roman" w:hAnsi="Times New Roman"/>
          <w:color w:val="333333"/>
          <w:sz w:val="24"/>
          <w:szCs w:val="24"/>
          <w:lang w:val="sr-Cyrl-CS"/>
        </w:rPr>
        <w:t>у</w:t>
      </w:r>
      <w:r w:rsidRPr="004570E6">
        <w:rPr>
          <w:rFonts w:ascii="Times New Roman" w:hAnsi="Times New Roman"/>
          <w:color w:val="333333"/>
          <w:sz w:val="24"/>
          <w:szCs w:val="24"/>
          <w:lang w:val="sr-Cyrl-CS"/>
        </w:rPr>
        <w:t xml:space="preserve"> </w:t>
      </w:r>
      <w:r w:rsidRPr="00135651">
        <w:rPr>
          <w:rFonts w:ascii="Times New Roman" w:hAnsi="Times New Roman"/>
          <w:color w:val="333333"/>
          <w:sz w:val="24"/>
          <w:szCs w:val="24"/>
          <w:lang w:val="sr-Cyrl-CS"/>
        </w:rPr>
        <w:t>промет</w:t>
      </w:r>
      <w:r w:rsidRPr="004570E6">
        <w:rPr>
          <w:rFonts w:ascii="Times New Roman" w:hAnsi="Times New Roman"/>
          <w:color w:val="333333"/>
          <w:sz w:val="24"/>
          <w:szCs w:val="24"/>
          <w:lang w:val="sr-Cyrl-CS"/>
        </w:rPr>
        <w:t xml:space="preserve"> </w:t>
      </w:r>
      <w:r w:rsidRPr="00135651">
        <w:rPr>
          <w:rFonts w:ascii="Times New Roman" w:hAnsi="Times New Roman"/>
          <w:color w:val="333333"/>
          <w:sz w:val="24"/>
          <w:szCs w:val="24"/>
          <w:lang w:val="sr-Cyrl-CS"/>
        </w:rPr>
        <w:t>имовина</w:t>
      </w:r>
      <w:r w:rsidRPr="004570E6">
        <w:rPr>
          <w:rFonts w:ascii="Times New Roman" w:hAnsi="Times New Roman"/>
          <w:color w:val="333333"/>
          <w:sz w:val="24"/>
          <w:szCs w:val="24"/>
          <w:lang w:val="sr-Cyrl-CS"/>
        </w:rPr>
        <w:t xml:space="preserve"> </w:t>
      </w:r>
      <w:r w:rsidRPr="00135651">
        <w:rPr>
          <w:rFonts w:ascii="Times New Roman" w:hAnsi="Times New Roman"/>
          <w:color w:val="333333"/>
          <w:sz w:val="24"/>
          <w:szCs w:val="24"/>
          <w:lang w:val="sr-Cyrl-CS"/>
        </w:rPr>
        <w:t>вредна</w:t>
      </w:r>
      <w:r w:rsidRPr="004570E6">
        <w:rPr>
          <w:rFonts w:ascii="Times New Roman" w:hAnsi="Times New Roman"/>
          <w:color w:val="333333"/>
          <w:sz w:val="24"/>
          <w:szCs w:val="24"/>
          <w:lang w:val="sr-Cyrl-CS"/>
        </w:rPr>
        <w:t xml:space="preserve"> </w:t>
      </w:r>
      <w:r w:rsidRPr="00135651">
        <w:rPr>
          <w:rFonts w:ascii="Times New Roman" w:hAnsi="Times New Roman"/>
          <w:color w:val="333333"/>
          <w:sz w:val="24"/>
          <w:szCs w:val="24"/>
          <w:lang w:val="sr-Cyrl-CS"/>
        </w:rPr>
        <w:t>више</w:t>
      </w:r>
      <w:r w:rsidRPr="004570E6">
        <w:rPr>
          <w:rFonts w:ascii="Times New Roman" w:hAnsi="Times New Roman"/>
          <w:color w:val="333333"/>
          <w:sz w:val="24"/>
          <w:szCs w:val="24"/>
          <w:lang w:val="sr-Cyrl-CS"/>
        </w:rPr>
        <w:t xml:space="preserve"> </w:t>
      </w:r>
      <w:r w:rsidRPr="00135651">
        <w:rPr>
          <w:rFonts w:ascii="Times New Roman" w:hAnsi="Times New Roman"/>
          <w:color w:val="333333"/>
          <w:sz w:val="24"/>
          <w:szCs w:val="24"/>
          <w:lang w:val="sr-Cyrl-CS"/>
        </w:rPr>
        <w:t>милијарди</w:t>
      </w:r>
      <w:r w:rsidRPr="004570E6">
        <w:rPr>
          <w:rFonts w:ascii="Times New Roman" w:hAnsi="Times New Roman"/>
          <w:color w:val="333333"/>
          <w:sz w:val="24"/>
          <w:szCs w:val="24"/>
          <w:lang w:val="sr-Cyrl-CS"/>
        </w:rPr>
        <w:t xml:space="preserve"> </w:t>
      </w:r>
      <w:r w:rsidRPr="00135651">
        <w:rPr>
          <w:rFonts w:ascii="Times New Roman" w:hAnsi="Times New Roman"/>
          <w:color w:val="333333"/>
          <w:sz w:val="24"/>
          <w:szCs w:val="24"/>
          <w:lang w:val="sr-Cyrl-CS"/>
        </w:rPr>
        <w:t>евра.</w:t>
      </w:r>
      <w:r w:rsidRPr="00135651">
        <w:rPr>
          <w:rStyle w:val="FootnoteReference"/>
          <w:rFonts w:ascii="Times New Roman" w:hAnsi="Times New Roman"/>
          <w:color w:val="333333"/>
          <w:sz w:val="24"/>
          <w:szCs w:val="24"/>
          <w:lang w:val="sr-Cyrl-CS"/>
        </w:rPr>
        <w:footnoteReference w:id="519"/>
      </w:r>
      <w:r w:rsidRPr="00135651">
        <w:rPr>
          <w:rFonts w:ascii="Times New Roman" w:hAnsi="Times New Roman"/>
          <w:color w:val="333333"/>
          <w:sz w:val="24"/>
          <w:szCs w:val="24"/>
          <w:lang w:val="sr-Cyrl-CS"/>
        </w:rPr>
        <w:t xml:space="preserve"> </w:t>
      </w:r>
    </w:p>
    <w:p w:rsidR="000726DA" w:rsidRDefault="000726DA" w:rsidP="000726DA">
      <w:pPr>
        <w:shd w:val="clear" w:color="auto" w:fill="FFFFFF"/>
        <w:spacing w:after="0" w:line="240" w:lineRule="auto"/>
        <w:ind w:firstLine="708"/>
        <w:jc w:val="both"/>
        <w:rPr>
          <w:rFonts w:ascii="Times New Roman" w:hAnsi="Times New Roman"/>
          <w:color w:val="333333"/>
          <w:sz w:val="24"/>
          <w:szCs w:val="24"/>
          <w:lang w:val="sr-Cyrl-CS"/>
        </w:rPr>
      </w:pPr>
    </w:p>
    <w:p w:rsidR="000726DA" w:rsidRPr="00A32148" w:rsidRDefault="000726DA" w:rsidP="000726DA">
      <w:pPr>
        <w:ind w:firstLine="708"/>
        <w:jc w:val="both"/>
        <w:rPr>
          <w:rFonts w:ascii="Times New Roman" w:hAnsi="Times New Roman"/>
          <w:sz w:val="24"/>
          <w:szCs w:val="24"/>
          <w:lang w:val="sr-Cyrl-CS"/>
        </w:rPr>
      </w:pPr>
      <w:r>
        <w:rPr>
          <w:rFonts w:ascii="Times New Roman" w:hAnsi="Times New Roman"/>
          <w:sz w:val="24"/>
          <w:szCs w:val="24"/>
        </w:rPr>
        <w:t>Осим тога</w:t>
      </w:r>
      <w:r>
        <w:rPr>
          <w:rFonts w:ascii="Times New Roman" w:hAnsi="Times New Roman"/>
          <w:sz w:val="24"/>
          <w:szCs w:val="24"/>
          <w:lang w:val="sr-Cyrl-CS"/>
        </w:rPr>
        <w:t>, према</w:t>
      </w:r>
      <w:r w:rsidRPr="000D3232">
        <w:rPr>
          <w:rFonts w:ascii="Times New Roman" w:hAnsi="Times New Roman"/>
          <w:sz w:val="24"/>
          <w:szCs w:val="24"/>
          <w:lang w:val="sr-Cyrl-CS"/>
        </w:rPr>
        <w:t xml:space="preserve"> </w:t>
      </w:r>
      <w:r>
        <w:rPr>
          <w:rFonts w:ascii="Times New Roman" w:hAnsi="Times New Roman"/>
          <w:sz w:val="24"/>
          <w:szCs w:val="24"/>
          <w:lang w:val="sr-Cyrl-CS"/>
        </w:rPr>
        <w:t>студији</w:t>
      </w:r>
      <w:r w:rsidRPr="000D3232">
        <w:rPr>
          <w:rFonts w:ascii="Times New Roman" w:hAnsi="Times New Roman"/>
          <w:sz w:val="24"/>
          <w:szCs w:val="24"/>
          <w:lang w:val="sr-Cyrl-CS"/>
        </w:rPr>
        <w:t xml:space="preserve"> </w:t>
      </w:r>
      <w:r>
        <w:rPr>
          <w:rFonts w:ascii="Times New Roman" w:hAnsi="Times New Roman"/>
          <w:sz w:val="24"/>
          <w:szCs w:val="24"/>
        </w:rPr>
        <w:t>SB</w:t>
      </w:r>
      <w:r w:rsidRPr="000D3232">
        <w:rPr>
          <w:rFonts w:ascii="Times New Roman" w:hAnsi="Times New Roman"/>
          <w:sz w:val="24"/>
          <w:szCs w:val="24"/>
          <w:lang w:val="sr-Cyrl-CS"/>
        </w:rPr>
        <w:t xml:space="preserve"> „</w:t>
      </w:r>
      <w:r>
        <w:rPr>
          <w:rFonts w:ascii="Times New Roman" w:hAnsi="Times New Roman"/>
          <w:sz w:val="24"/>
          <w:szCs w:val="24"/>
        </w:rPr>
        <w:t>Doing business</w:t>
      </w:r>
      <w:r w:rsidRPr="000D3232">
        <w:rPr>
          <w:rFonts w:ascii="Times New Roman" w:hAnsi="Times New Roman"/>
          <w:sz w:val="24"/>
          <w:szCs w:val="24"/>
          <w:lang w:val="sr-Cyrl-CS"/>
        </w:rPr>
        <w:t xml:space="preserve"> 2013” </w:t>
      </w:r>
      <w:r>
        <w:rPr>
          <w:rFonts w:ascii="Times New Roman" w:hAnsi="Times New Roman"/>
          <w:sz w:val="24"/>
          <w:szCs w:val="24"/>
          <w:lang w:val="sr-Cyrl-CS"/>
        </w:rPr>
        <w:t>Србија</w:t>
      </w:r>
      <w:r w:rsidRPr="000D3232">
        <w:rPr>
          <w:rFonts w:ascii="Times New Roman" w:hAnsi="Times New Roman"/>
          <w:sz w:val="24"/>
          <w:szCs w:val="24"/>
          <w:lang w:val="sr-Cyrl-CS"/>
        </w:rPr>
        <w:t xml:space="preserve"> </w:t>
      </w:r>
      <w:r>
        <w:rPr>
          <w:rFonts w:ascii="Times New Roman" w:hAnsi="Times New Roman"/>
          <w:sz w:val="24"/>
          <w:szCs w:val="24"/>
          <w:lang w:val="sr-Cyrl-CS"/>
        </w:rPr>
        <w:t>се</w:t>
      </w:r>
      <w:r w:rsidRPr="000D3232">
        <w:rPr>
          <w:rFonts w:ascii="Times New Roman" w:hAnsi="Times New Roman"/>
          <w:sz w:val="24"/>
          <w:szCs w:val="24"/>
          <w:lang w:val="sr-Cyrl-CS"/>
        </w:rPr>
        <w:t xml:space="preserve"> </w:t>
      </w:r>
      <w:r>
        <w:rPr>
          <w:rFonts w:ascii="Times New Roman" w:hAnsi="Times New Roman"/>
          <w:sz w:val="24"/>
          <w:szCs w:val="24"/>
          <w:lang w:val="sr-Cyrl-CS"/>
        </w:rPr>
        <w:t>налази</w:t>
      </w:r>
      <w:r w:rsidRPr="000D3232">
        <w:rPr>
          <w:rFonts w:ascii="Times New Roman" w:hAnsi="Times New Roman"/>
          <w:sz w:val="24"/>
          <w:szCs w:val="24"/>
          <w:lang w:val="sr-Cyrl-CS"/>
        </w:rPr>
        <w:t xml:space="preserve"> </w:t>
      </w:r>
      <w:r>
        <w:rPr>
          <w:rFonts w:ascii="Times New Roman" w:hAnsi="Times New Roman"/>
          <w:sz w:val="24"/>
          <w:szCs w:val="24"/>
          <w:lang w:val="sr-Cyrl-CS"/>
        </w:rPr>
        <w:t>на</w:t>
      </w:r>
      <w:r w:rsidRPr="000D3232">
        <w:rPr>
          <w:rFonts w:ascii="Times New Roman" w:hAnsi="Times New Roman"/>
          <w:sz w:val="24"/>
          <w:szCs w:val="24"/>
          <w:lang w:val="sr-Cyrl-CS"/>
        </w:rPr>
        <w:t xml:space="preserve"> 179. </w:t>
      </w:r>
      <w:r>
        <w:rPr>
          <w:rFonts w:ascii="Times New Roman" w:hAnsi="Times New Roman"/>
          <w:sz w:val="24"/>
          <w:szCs w:val="24"/>
          <w:lang w:val="sr-Cyrl-CS"/>
        </w:rPr>
        <w:t>месту</w:t>
      </w:r>
      <w:r w:rsidRPr="000D3232">
        <w:rPr>
          <w:rFonts w:ascii="Times New Roman" w:hAnsi="Times New Roman"/>
          <w:sz w:val="24"/>
          <w:szCs w:val="24"/>
          <w:lang w:val="sr-Cyrl-CS"/>
        </w:rPr>
        <w:t xml:space="preserve"> </w:t>
      </w:r>
      <w:r>
        <w:rPr>
          <w:rFonts w:ascii="Times New Roman" w:hAnsi="Times New Roman"/>
          <w:sz w:val="24"/>
          <w:szCs w:val="24"/>
          <w:lang w:val="sr-Cyrl-CS"/>
        </w:rPr>
        <w:t>од</w:t>
      </w:r>
      <w:r w:rsidRPr="000D3232">
        <w:rPr>
          <w:rFonts w:ascii="Times New Roman" w:hAnsi="Times New Roman"/>
          <w:sz w:val="24"/>
          <w:szCs w:val="24"/>
          <w:lang w:val="sr-Cyrl-CS"/>
        </w:rPr>
        <w:t xml:space="preserve"> </w:t>
      </w:r>
      <w:r>
        <w:rPr>
          <w:rFonts w:ascii="Times New Roman" w:hAnsi="Times New Roman"/>
          <w:sz w:val="24"/>
          <w:szCs w:val="24"/>
          <w:lang w:val="sr-Cyrl-CS"/>
        </w:rPr>
        <w:t>укупно</w:t>
      </w:r>
      <w:r w:rsidRPr="000D3232">
        <w:rPr>
          <w:rFonts w:ascii="Times New Roman" w:hAnsi="Times New Roman"/>
          <w:sz w:val="24"/>
          <w:szCs w:val="24"/>
          <w:lang w:val="sr-Cyrl-CS"/>
        </w:rPr>
        <w:t xml:space="preserve"> 183 </w:t>
      </w:r>
      <w:r>
        <w:rPr>
          <w:rFonts w:ascii="Times New Roman" w:hAnsi="Times New Roman"/>
          <w:sz w:val="24"/>
          <w:szCs w:val="24"/>
          <w:lang w:val="sr-Cyrl-CS"/>
        </w:rPr>
        <w:t>земље</w:t>
      </w:r>
      <w:r w:rsidRPr="000D3232">
        <w:rPr>
          <w:rFonts w:ascii="Times New Roman" w:hAnsi="Times New Roman"/>
          <w:sz w:val="24"/>
          <w:szCs w:val="24"/>
          <w:lang w:val="sr-Cyrl-CS"/>
        </w:rPr>
        <w:t xml:space="preserve"> </w:t>
      </w:r>
      <w:r>
        <w:rPr>
          <w:rFonts w:ascii="Times New Roman" w:hAnsi="Times New Roman"/>
          <w:sz w:val="24"/>
          <w:szCs w:val="24"/>
          <w:lang w:val="sr-Cyrl-CS"/>
        </w:rPr>
        <w:t>везано</w:t>
      </w:r>
      <w:r w:rsidRPr="000D3232">
        <w:rPr>
          <w:rFonts w:ascii="Times New Roman" w:hAnsi="Times New Roman"/>
          <w:sz w:val="24"/>
          <w:szCs w:val="24"/>
          <w:lang w:val="sr-Cyrl-CS"/>
        </w:rPr>
        <w:t xml:space="preserve"> </w:t>
      </w:r>
      <w:r>
        <w:rPr>
          <w:rFonts w:ascii="Times New Roman" w:hAnsi="Times New Roman"/>
          <w:sz w:val="24"/>
          <w:szCs w:val="24"/>
          <w:lang w:val="sr-Cyrl-CS"/>
        </w:rPr>
        <w:t>за</w:t>
      </w:r>
      <w:r w:rsidRPr="000D3232">
        <w:rPr>
          <w:rFonts w:ascii="Times New Roman" w:hAnsi="Times New Roman"/>
          <w:sz w:val="24"/>
          <w:szCs w:val="24"/>
          <w:lang w:val="sr-Cyrl-CS"/>
        </w:rPr>
        <w:t xml:space="preserve"> </w:t>
      </w:r>
      <w:r>
        <w:rPr>
          <w:rFonts w:ascii="Times New Roman" w:hAnsi="Times New Roman"/>
          <w:sz w:val="24"/>
          <w:szCs w:val="24"/>
          <w:lang w:val="sr-Cyrl-CS"/>
        </w:rPr>
        <w:t>поступак</w:t>
      </w:r>
      <w:r w:rsidRPr="000D3232">
        <w:rPr>
          <w:rFonts w:ascii="Times New Roman" w:hAnsi="Times New Roman"/>
          <w:sz w:val="24"/>
          <w:szCs w:val="24"/>
          <w:lang w:val="sr-Cyrl-CS"/>
        </w:rPr>
        <w:t xml:space="preserve"> </w:t>
      </w:r>
      <w:r>
        <w:rPr>
          <w:rFonts w:ascii="Times New Roman" w:hAnsi="Times New Roman"/>
          <w:sz w:val="24"/>
          <w:szCs w:val="24"/>
          <w:lang w:val="sr-Cyrl-CS"/>
        </w:rPr>
        <w:t>издавања</w:t>
      </w:r>
      <w:r w:rsidRPr="000D3232">
        <w:rPr>
          <w:rFonts w:ascii="Times New Roman" w:hAnsi="Times New Roman"/>
          <w:sz w:val="24"/>
          <w:szCs w:val="24"/>
          <w:lang w:val="sr-Cyrl-CS"/>
        </w:rPr>
        <w:t xml:space="preserve"> </w:t>
      </w:r>
      <w:r>
        <w:rPr>
          <w:rFonts w:ascii="Times New Roman" w:hAnsi="Times New Roman"/>
          <w:sz w:val="24"/>
          <w:szCs w:val="24"/>
          <w:lang w:val="sr-Cyrl-CS"/>
        </w:rPr>
        <w:t>грађевинских</w:t>
      </w:r>
      <w:r w:rsidRPr="000D3232">
        <w:rPr>
          <w:rFonts w:ascii="Times New Roman" w:hAnsi="Times New Roman"/>
          <w:sz w:val="24"/>
          <w:szCs w:val="24"/>
          <w:lang w:val="sr-Cyrl-CS"/>
        </w:rPr>
        <w:t xml:space="preserve"> </w:t>
      </w:r>
      <w:r>
        <w:rPr>
          <w:rFonts w:ascii="Times New Roman" w:hAnsi="Times New Roman"/>
          <w:sz w:val="24"/>
          <w:szCs w:val="24"/>
          <w:lang w:val="sr-Cyrl-CS"/>
        </w:rPr>
        <w:t>дозвола</w:t>
      </w:r>
      <w:r w:rsidRPr="000D3232">
        <w:rPr>
          <w:rFonts w:ascii="Times New Roman" w:hAnsi="Times New Roman"/>
          <w:sz w:val="24"/>
          <w:szCs w:val="24"/>
          <w:lang w:val="sr-Cyrl-CS"/>
        </w:rPr>
        <w:t xml:space="preserve"> </w:t>
      </w:r>
      <w:r>
        <w:rPr>
          <w:rFonts w:ascii="Times New Roman" w:hAnsi="Times New Roman"/>
          <w:sz w:val="24"/>
          <w:szCs w:val="24"/>
          <w:lang w:val="sr-Cyrl-CS"/>
        </w:rPr>
        <w:t>који</w:t>
      </w:r>
      <w:r w:rsidRPr="000D3232">
        <w:rPr>
          <w:rFonts w:ascii="Times New Roman" w:hAnsi="Times New Roman"/>
          <w:sz w:val="24"/>
          <w:szCs w:val="24"/>
          <w:lang w:val="sr-Cyrl-CS"/>
        </w:rPr>
        <w:t xml:space="preserve"> </w:t>
      </w:r>
      <w:r>
        <w:rPr>
          <w:rFonts w:ascii="Times New Roman" w:hAnsi="Times New Roman"/>
          <w:sz w:val="24"/>
          <w:szCs w:val="24"/>
          <w:lang w:val="sr-Cyrl-CS"/>
        </w:rPr>
        <w:t>траје</w:t>
      </w:r>
      <w:r w:rsidRPr="000D3232">
        <w:rPr>
          <w:rFonts w:ascii="Times New Roman" w:hAnsi="Times New Roman"/>
          <w:sz w:val="24"/>
          <w:szCs w:val="24"/>
          <w:lang w:val="sr-Cyrl-CS"/>
        </w:rPr>
        <w:t xml:space="preserve"> 269 </w:t>
      </w:r>
      <w:r>
        <w:rPr>
          <w:rFonts w:ascii="Times New Roman" w:hAnsi="Times New Roman"/>
          <w:sz w:val="24"/>
          <w:szCs w:val="24"/>
          <w:lang w:val="sr-Cyrl-CS"/>
        </w:rPr>
        <w:t>дана</w:t>
      </w:r>
      <w:r w:rsidRPr="000D3232">
        <w:rPr>
          <w:rFonts w:ascii="Times New Roman" w:hAnsi="Times New Roman"/>
          <w:sz w:val="24"/>
          <w:szCs w:val="24"/>
          <w:lang w:val="sr-Cyrl-CS"/>
        </w:rPr>
        <w:t xml:space="preserve"> </w:t>
      </w:r>
      <w:r>
        <w:rPr>
          <w:rFonts w:ascii="Times New Roman" w:hAnsi="Times New Roman"/>
          <w:sz w:val="24"/>
          <w:szCs w:val="24"/>
          <w:lang w:val="sr-Cyrl-CS"/>
        </w:rPr>
        <w:t>и</w:t>
      </w:r>
      <w:r w:rsidRPr="000D3232">
        <w:rPr>
          <w:rFonts w:ascii="Times New Roman" w:hAnsi="Times New Roman"/>
          <w:sz w:val="24"/>
          <w:szCs w:val="24"/>
          <w:lang w:val="sr-Cyrl-CS"/>
        </w:rPr>
        <w:t xml:space="preserve"> </w:t>
      </w:r>
      <w:r>
        <w:rPr>
          <w:rFonts w:ascii="Times New Roman" w:hAnsi="Times New Roman"/>
          <w:sz w:val="24"/>
          <w:szCs w:val="24"/>
          <w:lang w:val="sr-Cyrl-CS"/>
        </w:rPr>
        <w:t>подразумева</w:t>
      </w:r>
      <w:r w:rsidRPr="000D3232">
        <w:rPr>
          <w:rFonts w:ascii="Times New Roman" w:hAnsi="Times New Roman"/>
          <w:sz w:val="24"/>
          <w:szCs w:val="24"/>
          <w:lang w:val="sr-Cyrl-CS"/>
        </w:rPr>
        <w:t xml:space="preserve"> 18 </w:t>
      </w:r>
      <w:r>
        <w:rPr>
          <w:rFonts w:ascii="Times New Roman" w:hAnsi="Times New Roman"/>
          <w:sz w:val="24"/>
          <w:szCs w:val="24"/>
          <w:lang w:val="sr-Cyrl-CS"/>
        </w:rPr>
        <w:t>процедура</w:t>
      </w:r>
      <w:r w:rsidRPr="000D3232">
        <w:rPr>
          <w:rFonts w:ascii="Times New Roman" w:hAnsi="Times New Roman"/>
          <w:sz w:val="24"/>
          <w:szCs w:val="24"/>
          <w:lang w:val="sr-Cyrl-CS"/>
        </w:rPr>
        <w:t>.</w:t>
      </w:r>
      <w:r w:rsidRPr="008B6D01">
        <w:rPr>
          <w:rFonts w:ascii="Times New Roman" w:hAnsi="Times New Roman"/>
          <w:sz w:val="24"/>
          <w:szCs w:val="24"/>
          <w:lang w:val="sr-Cyrl-CS"/>
        </w:rPr>
        <w:t xml:space="preserve"> </w:t>
      </w:r>
      <w:r w:rsidR="00FF286A">
        <w:rPr>
          <w:rFonts w:ascii="Times New Roman" w:hAnsi="Times New Roman"/>
          <w:sz w:val="24"/>
          <w:szCs w:val="24"/>
          <w:lang w:val="sr-Cyrl-CS"/>
        </w:rPr>
        <w:t>Процес</w:t>
      </w:r>
      <w:r w:rsidRPr="000D3232">
        <w:rPr>
          <w:rFonts w:ascii="Times New Roman" w:hAnsi="Times New Roman"/>
          <w:sz w:val="24"/>
          <w:szCs w:val="24"/>
          <w:lang w:val="sr-Cyrl-CS"/>
        </w:rPr>
        <w:t xml:space="preserve"> </w:t>
      </w:r>
      <w:r w:rsidR="00FF286A">
        <w:rPr>
          <w:rFonts w:ascii="Times New Roman" w:hAnsi="Times New Roman"/>
          <w:sz w:val="24"/>
          <w:szCs w:val="24"/>
          <w:lang w:val="sr-Cyrl-CS"/>
        </w:rPr>
        <w:t>прибављања</w:t>
      </w:r>
      <w:r w:rsidRPr="000D3232">
        <w:rPr>
          <w:rFonts w:ascii="Times New Roman" w:hAnsi="Times New Roman"/>
          <w:sz w:val="24"/>
          <w:szCs w:val="24"/>
          <w:lang w:val="sr-Cyrl-CS"/>
        </w:rPr>
        <w:t xml:space="preserve"> </w:t>
      </w:r>
      <w:r w:rsidR="00FF286A">
        <w:rPr>
          <w:rFonts w:ascii="Times New Roman" w:hAnsi="Times New Roman"/>
          <w:sz w:val="24"/>
          <w:szCs w:val="24"/>
          <w:lang w:val="sr-Cyrl-CS"/>
        </w:rPr>
        <w:t>дозвола</w:t>
      </w:r>
      <w:r w:rsidRPr="000D3232">
        <w:rPr>
          <w:rFonts w:ascii="Times New Roman" w:hAnsi="Times New Roman"/>
          <w:sz w:val="24"/>
          <w:szCs w:val="24"/>
          <w:lang w:val="sr-Cyrl-CS"/>
        </w:rPr>
        <w:t xml:space="preserve"> </w:t>
      </w:r>
      <w:r w:rsidR="00FF286A">
        <w:rPr>
          <w:rFonts w:ascii="Times New Roman" w:hAnsi="Times New Roman"/>
          <w:sz w:val="24"/>
          <w:szCs w:val="24"/>
          <w:lang w:val="sr-Cyrl-CS"/>
        </w:rPr>
        <w:t>је</w:t>
      </w:r>
      <w:r w:rsidRPr="000D3232">
        <w:rPr>
          <w:rFonts w:ascii="Times New Roman" w:hAnsi="Times New Roman"/>
          <w:sz w:val="24"/>
          <w:szCs w:val="24"/>
          <w:lang w:val="sr-Cyrl-CS"/>
        </w:rPr>
        <w:t xml:space="preserve"> </w:t>
      </w:r>
      <w:r w:rsidR="00FF286A">
        <w:rPr>
          <w:rFonts w:ascii="Times New Roman" w:hAnsi="Times New Roman"/>
          <w:sz w:val="24"/>
          <w:szCs w:val="24"/>
          <w:lang w:val="sr-Cyrl-CS"/>
        </w:rPr>
        <w:t>остао</w:t>
      </w:r>
      <w:r w:rsidRPr="000D3232">
        <w:rPr>
          <w:rFonts w:ascii="Times New Roman" w:hAnsi="Times New Roman"/>
          <w:sz w:val="24"/>
          <w:szCs w:val="24"/>
          <w:lang w:val="sr-Cyrl-CS"/>
        </w:rPr>
        <w:t xml:space="preserve"> </w:t>
      </w:r>
      <w:r w:rsidR="00FF286A">
        <w:rPr>
          <w:rFonts w:ascii="Times New Roman" w:hAnsi="Times New Roman"/>
          <w:sz w:val="24"/>
          <w:szCs w:val="24"/>
          <w:lang w:val="sr-Cyrl-CS"/>
        </w:rPr>
        <w:t>нетранспарентан</w:t>
      </w:r>
      <w:r w:rsidRPr="000D3232">
        <w:rPr>
          <w:rFonts w:ascii="Times New Roman" w:hAnsi="Times New Roman"/>
          <w:sz w:val="24"/>
          <w:szCs w:val="24"/>
          <w:lang w:val="sr-Cyrl-CS"/>
        </w:rPr>
        <w:t xml:space="preserve">, </w:t>
      </w:r>
      <w:r w:rsidR="00FF286A">
        <w:rPr>
          <w:rFonts w:ascii="Times New Roman" w:hAnsi="Times New Roman"/>
          <w:sz w:val="24"/>
          <w:szCs w:val="24"/>
          <w:lang w:val="sr-Cyrl-CS"/>
        </w:rPr>
        <w:t>дугачак</w:t>
      </w:r>
      <w:r w:rsidRPr="000D3232">
        <w:rPr>
          <w:rFonts w:ascii="Times New Roman" w:hAnsi="Times New Roman"/>
          <w:sz w:val="24"/>
          <w:szCs w:val="24"/>
          <w:lang w:val="sr-Cyrl-CS"/>
        </w:rPr>
        <w:t xml:space="preserve"> </w:t>
      </w:r>
      <w:r w:rsidR="00FF286A">
        <w:rPr>
          <w:rFonts w:ascii="Times New Roman" w:hAnsi="Times New Roman"/>
          <w:sz w:val="24"/>
          <w:szCs w:val="24"/>
          <w:lang w:val="sr-Cyrl-CS"/>
        </w:rPr>
        <w:t>и</w:t>
      </w:r>
      <w:r w:rsidRPr="000D3232">
        <w:rPr>
          <w:rFonts w:ascii="Times New Roman" w:hAnsi="Times New Roman"/>
          <w:sz w:val="24"/>
          <w:szCs w:val="24"/>
          <w:lang w:val="sr-Cyrl-CS"/>
        </w:rPr>
        <w:t xml:space="preserve"> </w:t>
      </w:r>
      <w:r w:rsidR="00FF286A">
        <w:rPr>
          <w:rFonts w:ascii="Times New Roman" w:hAnsi="Times New Roman"/>
          <w:sz w:val="24"/>
          <w:szCs w:val="24"/>
          <w:lang w:val="sr-Cyrl-CS"/>
        </w:rPr>
        <w:t>оптерећен</w:t>
      </w:r>
      <w:r w:rsidRPr="000D3232">
        <w:rPr>
          <w:rFonts w:ascii="Times New Roman" w:hAnsi="Times New Roman"/>
          <w:sz w:val="24"/>
          <w:szCs w:val="24"/>
          <w:lang w:val="sr-Cyrl-CS"/>
        </w:rPr>
        <w:t xml:space="preserve"> </w:t>
      </w:r>
      <w:r w:rsidR="00FF286A">
        <w:rPr>
          <w:rFonts w:ascii="Times New Roman" w:hAnsi="Times New Roman"/>
          <w:sz w:val="24"/>
          <w:szCs w:val="24"/>
          <w:lang w:val="sr-Cyrl-CS"/>
        </w:rPr>
        <w:t>бирократским</w:t>
      </w:r>
      <w:r w:rsidRPr="000D3232">
        <w:rPr>
          <w:rFonts w:ascii="Times New Roman" w:hAnsi="Times New Roman"/>
          <w:sz w:val="24"/>
          <w:szCs w:val="24"/>
          <w:lang w:val="sr-Cyrl-CS"/>
        </w:rPr>
        <w:t xml:space="preserve"> </w:t>
      </w:r>
      <w:r w:rsidR="00FF286A">
        <w:rPr>
          <w:rFonts w:ascii="Times New Roman" w:hAnsi="Times New Roman"/>
          <w:sz w:val="24"/>
          <w:szCs w:val="24"/>
          <w:lang w:val="sr-Cyrl-CS"/>
        </w:rPr>
        <w:t>процедурама</w:t>
      </w:r>
      <w:r w:rsidRPr="000D3232">
        <w:rPr>
          <w:rFonts w:ascii="Times New Roman" w:hAnsi="Times New Roman"/>
          <w:sz w:val="24"/>
          <w:szCs w:val="24"/>
          <w:lang w:val="sr-Cyrl-CS"/>
        </w:rPr>
        <w:t xml:space="preserve"> </w:t>
      </w:r>
      <w:r w:rsidR="00FF286A">
        <w:rPr>
          <w:rFonts w:ascii="Times New Roman" w:hAnsi="Times New Roman"/>
          <w:sz w:val="24"/>
          <w:szCs w:val="24"/>
          <w:lang w:val="sr-Cyrl-CS"/>
        </w:rPr>
        <w:t>и</w:t>
      </w:r>
      <w:r w:rsidRPr="000D3232">
        <w:rPr>
          <w:rFonts w:ascii="Times New Roman" w:hAnsi="Times New Roman"/>
          <w:sz w:val="24"/>
          <w:szCs w:val="24"/>
          <w:lang w:val="sr-Cyrl-CS"/>
        </w:rPr>
        <w:t xml:space="preserve"> </w:t>
      </w:r>
      <w:r w:rsidR="00FF286A">
        <w:rPr>
          <w:rFonts w:ascii="Times New Roman" w:hAnsi="Times New Roman"/>
          <w:sz w:val="24"/>
          <w:szCs w:val="24"/>
          <w:lang w:val="sr-Cyrl-CS"/>
        </w:rPr>
        <w:t>често</w:t>
      </w:r>
      <w:r w:rsidRPr="000D3232">
        <w:rPr>
          <w:rFonts w:ascii="Times New Roman" w:hAnsi="Times New Roman"/>
          <w:sz w:val="24"/>
          <w:szCs w:val="24"/>
          <w:lang w:val="sr-Cyrl-CS"/>
        </w:rPr>
        <w:t xml:space="preserve"> </w:t>
      </w:r>
      <w:r w:rsidR="00FF286A">
        <w:rPr>
          <w:rFonts w:ascii="Times New Roman" w:hAnsi="Times New Roman"/>
          <w:sz w:val="24"/>
          <w:szCs w:val="24"/>
          <w:lang w:val="sr-Cyrl-CS"/>
        </w:rPr>
        <w:t>је</w:t>
      </w:r>
      <w:r w:rsidRPr="000D3232">
        <w:rPr>
          <w:rFonts w:ascii="Times New Roman" w:hAnsi="Times New Roman"/>
          <w:sz w:val="24"/>
          <w:szCs w:val="24"/>
          <w:lang w:val="sr-Cyrl-CS"/>
        </w:rPr>
        <w:t xml:space="preserve"> </w:t>
      </w:r>
      <w:r w:rsidR="00FF286A">
        <w:rPr>
          <w:rFonts w:ascii="Times New Roman" w:hAnsi="Times New Roman"/>
          <w:sz w:val="24"/>
          <w:szCs w:val="24"/>
          <w:lang w:val="sr-Cyrl-CS"/>
        </w:rPr>
        <w:t>извор</w:t>
      </w:r>
      <w:r w:rsidRPr="000D3232">
        <w:rPr>
          <w:rFonts w:ascii="Times New Roman" w:hAnsi="Times New Roman"/>
          <w:sz w:val="24"/>
          <w:szCs w:val="24"/>
          <w:lang w:val="sr-Cyrl-CS"/>
        </w:rPr>
        <w:t xml:space="preserve"> </w:t>
      </w:r>
      <w:r w:rsidR="00FF286A">
        <w:rPr>
          <w:rFonts w:ascii="Times New Roman" w:hAnsi="Times New Roman"/>
          <w:sz w:val="24"/>
          <w:szCs w:val="24"/>
          <w:lang w:val="sr-Cyrl-CS"/>
        </w:rPr>
        <w:t>корупције</w:t>
      </w:r>
      <w:r w:rsidRPr="000D3232">
        <w:rPr>
          <w:rFonts w:ascii="Times New Roman" w:hAnsi="Times New Roman"/>
          <w:sz w:val="24"/>
          <w:szCs w:val="24"/>
          <w:lang w:val="sr-Cyrl-CS"/>
        </w:rPr>
        <w:t xml:space="preserve">, </w:t>
      </w:r>
      <w:r w:rsidR="00FF286A">
        <w:rPr>
          <w:rFonts w:ascii="Times New Roman" w:hAnsi="Times New Roman"/>
          <w:sz w:val="24"/>
          <w:szCs w:val="24"/>
          <w:lang w:val="sr-Cyrl-CS"/>
        </w:rPr>
        <w:t>пре</w:t>
      </w:r>
      <w:r w:rsidRPr="000D3232">
        <w:rPr>
          <w:rFonts w:ascii="Times New Roman" w:hAnsi="Times New Roman"/>
          <w:sz w:val="24"/>
          <w:szCs w:val="24"/>
          <w:lang w:val="sr-Cyrl-CS"/>
        </w:rPr>
        <w:t xml:space="preserve"> </w:t>
      </w:r>
      <w:r w:rsidR="00FF286A">
        <w:rPr>
          <w:rFonts w:ascii="Times New Roman" w:hAnsi="Times New Roman"/>
          <w:sz w:val="24"/>
          <w:szCs w:val="24"/>
          <w:lang w:val="sr-Cyrl-CS"/>
        </w:rPr>
        <w:t>свега</w:t>
      </w:r>
      <w:r w:rsidRPr="000D3232">
        <w:rPr>
          <w:rFonts w:ascii="Times New Roman" w:hAnsi="Times New Roman"/>
          <w:sz w:val="24"/>
          <w:szCs w:val="24"/>
          <w:lang w:val="sr-Cyrl-CS"/>
        </w:rPr>
        <w:t xml:space="preserve">, </w:t>
      </w:r>
      <w:r w:rsidR="00FF286A">
        <w:rPr>
          <w:rFonts w:ascii="Times New Roman" w:hAnsi="Times New Roman"/>
          <w:sz w:val="24"/>
          <w:szCs w:val="24"/>
          <w:lang w:val="sr-Cyrl-CS"/>
        </w:rPr>
        <w:t>као</w:t>
      </w:r>
      <w:r w:rsidRPr="000D3232">
        <w:rPr>
          <w:rFonts w:ascii="Times New Roman" w:hAnsi="Times New Roman"/>
          <w:sz w:val="24"/>
          <w:szCs w:val="24"/>
          <w:lang w:val="sr-Cyrl-CS"/>
        </w:rPr>
        <w:t xml:space="preserve"> </w:t>
      </w:r>
      <w:r w:rsidR="00FF286A">
        <w:rPr>
          <w:rFonts w:ascii="Times New Roman" w:hAnsi="Times New Roman"/>
          <w:sz w:val="24"/>
          <w:szCs w:val="24"/>
          <w:lang w:val="sr-Cyrl-CS"/>
        </w:rPr>
        <w:t>последица</w:t>
      </w:r>
      <w:r w:rsidRPr="000D3232">
        <w:rPr>
          <w:rFonts w:ascii="Times New Roman" w:hAnsi="Times New Roman"/>
          <w:sz w:val="24"/>
          <w:szCs w:val="24"/>
          <w:lang w:val="sr-Cyrl-CS"/>
        </w:rPr>
        <w:t xml:space="preserve"> </w:t>
      </w:r>
      <w:r w:rsidR="00FF286A">
        <w:rPr>
          <w:rFonts w:ascii="Times New Roman" w:hAnsi="Times New Roman"/>
          <w:sz w:val="24"/>
          <w:szCs w:val="24"/>
          <w:lang w:val="sr-Cyrl-CS"/>
        </w:rPr>
        <w:t>прикупљања</w:t>
      </w:r>
      <w:r w:rsidRPr="000D3232">
        <w:rPr>
          <w:rFonts w:ascii="Times New Roman" w:hAnsi="Times New Roman"/>
          <w:sz w:val="24"/>
          <w:szCs w:val="24"/>
          <w:lang w:val="sr-Cyrl-CS"/>
        </w:rPr>
        <w:t xml:space="preserve"> </w:t>
      </w:r>
      <w:r w:rsidR="00FF286A">
        <w:rPr>
          <w:rFonts w:ascii="Times New Roman" w:hAnsi="Times New Roman"/>
          <w:sz w:val="24"/>
          <w:szCs w:val="24"/>
          <w:lang w:val="sr-Cyrl-CS"/>
        </w:rPr>
        <w:t>бројне</w:t>
      </w:r>
      <w:r w:rsidRPr="000D3232">
        <w:rPr>
          <w:rFonts w:ascii="Times New Roman" w:hAnsi="Times New Roman"/>
          <w:sz w:val="24"/>
          <w:szCs w:val="24"/>
          <w:lang w:val="sr-Cyrl-CS"/>
        </w:rPr>
        <w:t xml:space="preserve"> </w:t>
      </w:r>
      <w:r w:rsidR="00FF286A">
        <w:rPr>
          <w:rFonts w:ascii="Times New Roman" w:hAnsi="Times New Roman"/>
          <w:sz w:val="24"/>
          <w:szCs w:val="24"/>
          <w:lang w:val="sr-Cyrl-CS"/>
        </w:rPr>
        <w:t>документације</w:t>
      </w:r>
      <w:r w:rsidRPr="000D3232">
        <w:rPr>
          <w:rFonts w:ascii="Times New Roman" w:hAnsi="Times New Roman"/>
          <w:sz w:val="24"/>
          <w:szCs w:val="24"/>
          <w:lang w:val="sr-Cyrl-CS"/>
        </w:rPr>
        <w:t xml:space="preserve"> </w:t>
      </w:r>
      <w:r w:rsidR="00FF286A">
        <w:rPr>
          <w:rFonts w:ascii="Times New Roman" w:hAnsi="Times New Roman"/>
          <w:sz w:val="24"/>
          <w:szCs w:val="24"/>
          <w:lang w:val="sr-Cyrl-CS"/>
        </w:rPr>
        <w:t>која</w:t>
      </w:r>
      <w:r w:rsidRPr="000D3232">
        <w:rPr>
          <w:rFonts w:ascii="Times New Roman" w:hAnsi="Times New Roman"/>
          <w:sz w:val="24"/>
          <w:szCs w:val="24"/>
          <w:lang w:val="sr-Cyrl-CS"/>
        </w:rPr>
        <w:t xml:space="preserve"> </w:t>
      </w:r>
      <w:r w:rsidR="00FF286A">
        <w:rPr>
          <w:rFonts w:ascii="Times New Roman" w:hAnsi="Times New Roman"/>
          <w:sz w:val="24"/>
          <w:szCs w:val="24"/>
          <w:lang w:val="sr-Cyrl-CS"/>
        </w:rPr>
        <w:t>је</w:t>
      </w:r>
      <w:r>
        <w:rPr>
          <w:rFonts w:ascii="Times New Roman" w:hAnsi="Times New Roman"/>
          <w:sz w:val="24"/>
          <w:szCs w:val="24"/>
          <w:lang w:val="sr-Cyrl-CS"/>
        </w:rPr>
        <w:t xml:space="preserve"> </w:t>
      </w:r>
      <w:r w:rsidR="00FF286A">
        <w:rPr>
          <w:rFonts w:ascii="Times New Roman" w:hAnsi="Times New Roman"/>
          <w:sz w:val="24"/>
          <w:szCs w:val="24"/>
          <w:lang w:val="sr-Cyrl-CS"/>
        </w:rPr>
        <w:t>потребна</w:t>
      </w:r>
      <w:r>
        <w:rPr>
          <w:rFonts w:ascii="Times New Roman" w:hAnsi="Times New Roman"/>
          <w:sz w:val="24"/>
          <w:szCs w:val="24"/>
          <w:lang w:val="sr-Cyrl-CS"/>
        </w:rPr>
        <w:t xml:space="preserve"> </w:t>
      </w:r>
      <w:r w:rsidR="00FF286A">
        <w:rPr>
          <w:rFonts w:ascii="Times New Roman" w:hAnsi="Times New Roman"/>
          <w:sz w:val="24"/>
          <w:szCs w:val="24"/>
          <w:lang w:val="sr-Cyrl-CS"/>
        </w:rPr>
        <w:lastRenderedPageBreak/>
        <w:t>за</w:t>
      </w:r>
      <w:r>
        <w:rPr>
          <w:rFonts w:ascii="Times New Roman" w:hAnsi="Times New Roman"/>
          <w:sz w:val="24"/>
          <w:szCs w:val="24"/>
          <w:lang w:val="sr-Cyrl-CS"/>
        </w:rPr>
        <w:t xml:space="preserve"> </w:t>
      </w:r>
      <w:r w:rsidR="00FF286A">
        <w:rPr>
          <w:rFonts w:ascii="Times New Roman" w:hAnsi="Times New Roman"/>
          <w:sz w:val="24"/>
          <w:szCs w:val="24"/>
          <w:lang w:val="sr-Cyrl-CS"/>
        </w:rPr>
        <w:t>подношење</w:t>
      </w:r>
      <w:r>
        <w:rPr>
          <w:rFonts w:ascii="Times New Roman" w:hAnsi="Times New Roman"/>
          <w:sz w:val="24"/>
          <w:szCs w:val="24"/>
          <w:lang w:val="sr-Cyrl-CS"/>
        </w:rPr>
        <w:t xml:space="preserve"> </w:t>
      </w:r>
      <w:r w:rsidR="00FF286A">
        <w:rPr>
          <w:rFonts w:ascii="Times New Roman" w:hAnsi="Times New Roman"/>
          <w:sz w:val="24"/>
          <w:szCs w:val="24"/>
          <w:lang w:val="sr-Cyrl-CS"/>
        </w:rPr>
        <w:t>захтева</w:t>
      </w:r>
      <w:r w:rsidRPr="000D3232">
        <w:rPr>
          <w:rFonts w:ascii="Times New Roman" w:hAnsi="Times New Roman"/>
          <w:sz w:val="24"/>
          <w:szCs w:val="24"/>
          <w:lang w:val="sr-Cyrl-CS"/>
        </w:rPr>
        <w:t>.</w:t>
      </w:r>
      <w:r>
        <w:rPr>
          <w:rStyle w:val="FootnoteReference"/>
          <w:rFonts w:ascii="Times New Roman" w:hAnsi="Times New Roman"/>
          <w:sz w:val="24"/>
          <w:szCs w:val="24"/>
          <w:lang w:val="sr-Cyrl-CS"/>
        </w:rPr>
        <w:footnoteReference w:id="520"/>
      </w:r>
      <w:r w:rsidRPr="000D3232">
        <w:rPr>
          <w:rFonts w:ascii="Times New Roman" w:hAnsi="Times New Roman"/>
          <w:sz w:val="24"/>
          <w:szCs w:val="24"/>
          <w:lang w:val="sr-Cyrl-CS"/>
        </w:rPr>
        <w:t xml:space="preserve"> </w:t>
      </w:r>
      <w:r w:rsidRPr="00A32148">
        <w:rPr>
          <w:rFonts w:ascii="Times New Roman" w:hAnsi="Times New Roman"/>
          <w:color w:val="333333"/>
          <w:sz w:val="24"/>
          <w:szCs w:val="24"/>
          <w:lang w:val="sr-Cyrl-CS"/>
        </w:rPr>
        <w:t>Због свега наведеног потребно је поједноставити процедуру, смањити број институција којима се подносе захтеви и смањити трошкове.</w:t>
      </w:r>
    </w:p>
    <w:p w:rsidR="000726DA" w:rsidRDefault="000726DA" w:rsidP="000726DA">
      <w:pPr>
        <w:shd w:val="clear" w:color="auto" w:fill="FFFFFF"/>
        <w:spacing w:after="0" w:line="240" w:lineRule="auto"/>
        <w:ind w:firstLine="708"/>
        <w:jc w:val="both"/>
        <w:rPr>
          <w:rFonts w:ascii="Times New Roman" w:hAnsi="Times New Roman"/>
          <w:color w:val="333333"/>
          <w:sz w:val="24"/>
          <w:szCs w:val="24"/>
          <w:lang w:val="sr-Cyrl-CS"/>
        </w:rPr>
      </w:pPr>
    </w:p>
    <w:p w:rsidR="00A44F2D" w:rsidRPr="00EE3785" w:rsidRDefault="00A32148" w:rsidP="008B02FB">
      <w:pPr>
        <w:ind w:firstLine="708"/>
        <w:jc w:val="both"/>
        <w:rPr>
          <w:rFonts w:ascii="Times New Roman" w:hAnsi="Times New Roman"/>
          <w:sz w:val="24"/>
          <w:szCs w:val="24"/>
          <w:lang w:val="sr-Cyrl-CS"/>
        </w:rPr>
      </w:pPr>
      <w:r>
        <w:rPr>
          <w:rFonts w:ascii="Times New Roman" w:hAnsi="Times New Roman"/>
          <w:sz w:val="24"/>
          <w:szCs w:val="24"/>
          <w:lang w:val="sr-Cyrl-CS"/>
        </w:rPr>
        <w:t xml:space="preserve">Порез на имовину се </w:t>
      </w:r>
      <w:r w:rsidR="000726DA">
        <w:rPr>
          <w:rFonts w:ascii="Times New Roman" w:hAnsi="Times New Roman"/>
          <w:sz w:val="24"/>
          <w:szCs w:val="24"/>
          <w:lang w:val="sr-Cyrl-CS"/>
        </w:rPr>
        <w:t xml:space="preserve">у пракси </w:t>
      </w:r>
      <w:r>
        <w:rPr>
          <w:rFonts w:ascii="Times New Roman" w:hAnsi="Times New Roman"/>
          <w:sz w:val="24"/>
          <w:szCs w:val="24"/>
          <w:lang w:val="sr-Cyrl-CS"/>
        </w:rPr>
        <w:t>најчешће</w:t>
      </w:r>
      <w:r w:rsidR="000726DA">
        <w:rPr>
          <w:rFonts w:ascii="Times New Roman" w:hAnsi="Times New Roman"/>
          <w:sz w:val="24"/>
          <w:szCs w:val="24"/>
          <w:lang w:val="sr-Cyrl-CS"/>
        </w:rPr>
        <w:t xml:space="preserve"> плаћа на право својине. Због значаја својине и других стварних права на непокретностима, она се стичу формално, уписом у земљишне књиге односно д</w:t>
      </w:r>
      <w:r>
        <w:rPr>
          <w:rFonts w:ascii="Times New Roman" w:hAnsi="Times New Roman"/>
          <w:sz w:val="24"/>
          <w:szCs w:val="24"/>
          <w:lang w:val="sr-Cyrl-CS"/>
        </w:rPr>
        <w:t>руге прописане јавне евиденције. И</w:t>
      </w:r>
      <w:r w:rsidR="000726DA">
        <w:rPr>
          <w:rFonts w:ascii="Times New Roman" w:hAnsi="Times New Roman"/>
          <w:sz w:val="24"/>
          <w:szCs w:val="24"/>
          <w:lang w:val="sr-Cyrl-CS"/>
        </w:rPr>
        <w:t>зложена идентификација власника односно другог титулара стварног права</w:t>
      </w:r>
      <w:r>
        <w:rPr>
          <w:rFonts w:ascii="Times New Roman" w:hAnsi="Times New Roman"/>
          <w:sz w:val="24"/>
          <w:szCs w:val="24"/>
          <w:lang w:val="sr-Cyrl-CS"/>
        </w:rPr>
        <w:t xml:space="preserve"> </w:t>
      </w:r>
      <w:r w:rsidR="000726DA">
        <w:rPr>
          <w:rFonts w:ascii="Times New Roman" w:hAnsi="Times New Roman"/>
          <w:sz w:val="24"/>
          <w:szCs w:val="24"/>
          <w:lang w:val="sr-Cyrl-CS"/>
        </w:rPr>
        <w:t>није довољна</w:t>
      </w:r>
      <w:r>
        <w:rPr>
          <w:rFonts w:ascii="Times New Roman" w:hAnsi="Times New Roman"/>
          <w:sz w:val="24"/>
          <w:szCs w:val="24"/>
          <w:lang w:val="sr-Cyrl-CS"/>
        </w:rPr>
        <w:t xml:space="preserve"> за пореске сврхе</w:t>
      </w:r>
      <w:r w:rsidR="000726DA">
        <w:rPr>
          <w:rFonts w:ascii="Times New Roman" w:hAnsi="Times New Roman"/>
          <w:sz w:val="24"/>
          <w:szCs w:val="24"/>
          <w:lang w:val="sr-Cyrl-CS"/>
        </w:rPr>
        <w:t xml:space="preserve">. </w:t>
      </w:r>
      <w:r>
        <w:rPr>
          <w:rFonts w:ascii="Times New Roman" w:hAnsi="Times New Roman"/>
          <w:sz w:val="24"/>
          <w:szCs w:val="24"/>
          <w:lang w:val="sr-Cyrl-CS"/>
        </w:rPr>
        <w:t>Наиме, у</w:t>
      </w:r>
      <w:r w:rsidR="000726DA">
        <w:rPr>
          <w:rFonts w:ascii="Times New Roman" w:hAnsi="Times New Roman"/>
          <w:sz w:val="24"/>
          <w:szCs w:val="24"/>
          <w:lang w:val="sr-Cyrl-CS"/>
        </w:rPr>
        <w:t xml:space="preserve"> циљу што потпуније пореске обухватности економске снаге сваког субјекта, а због непоклапања правног и фактичког стања, примат има </w:t>
      </w:r>
      <w:r>
        <w:rPr>
          <w:rFonts w:ascii="Times New Roman" w:hAnsi="Times New Roman"/>
          <w:sz w:val="24"/>
          <w:szCs w:val="24"/>
          <w:lang w:val="sr-Cyrl-CS"/>
        </w:rPr>
        <w:t>фактичко стање</w:t>
      </w:r>
      <w:r w:rsidR="000726DA">
        <w:rPr>
          <w:rFonts w:ascii="Times New Roman" w:hAnsi="Times New Roman"/>
          <w:sz w:val="24"/>
          <w:szCs w:val="24"/>
          <w:lang w:val="sr-Cyrl-CS"/>
        </w:rPr>
        <w:t xml:space="preserve">. </w:t>
      </w:r>
      <w:r>
        <w:rPr>
          <w:rFonts w:ascii="Times New Roman" w:hAnsi="Times New Roman"/>
          <w:sz w:val="24"/>
          <w:szCs w:val="24"/>
          <w:lang w:val="sr-Cyrl-CS"/>
        </w:rPr>
        <w:t>Према Закону</w:t>
      </w:r>
      <w:r w:rsidR="000726DA">
        <w:rPr>
          <w:rFonts w:ascii="Times New Roman" w:hAnsi="Times New Roman"/>
          <w:sz w:val="24"/>
          <w:szCs w:val="24"/>
          <w:lang w:val="sr-Cyrl-CS"/>
        </w:rPr>
        <w:t xml:space="preserve"> о порезима на имовину, право својине као предмет опорезивања постоји увек када правно или физичко лице има правни основ (уговор, правоснажну судску одлуку, решење државног органа и сл.), и када се према одређеној имо</w:t>
      </w:r>
      <w:r>
        <w:rPr>
          <w:rFonts w:ascii="Times New Roman" w:hAnsi="Times New Roman"/>
          <w:sz w:val="24"/>
          <w:szCs w:val="24"/>
          <w:lang w:val="sr-Cyrl-CS"/>
        </w:rPr>
        <w:t>вини понаша као власник (</w:t>
      </w:r>
      <w:r w:rsidR="000726DA">
        <w:rPr>
          <w:rFonts w:ascii="Times New Roman" w:hAnsi="Times New Roman"/>
          <w:sz w:val="24"/>
          <w:szCs w:val="24"/>
          <w:lang w:val="sr-Cyrl-CS"/>
        </w:rPr>
        <w:t>није од утицаја да ли на територији на којој се непокретност налази постоје земљишне или катастарске књиге, да ли је извршен упис права својине у њих, односно да ли објекат уопште испуњава прописане услове да право својине над њим буде уписано у тим књигама.</w:t>
      </w:r>
      <w:r w:rsidR="008B02FB">
        <w:rPr>
          <w:rFonts w:ascii="Times New Roman" w:hAnsi="Times New Roman"/>
          <w:sz w:val="24"/>
          <w:szCs w:val="24"/>
          <w:lang w:val="sr-Cyrl-CS"/>
        </w:rPr>
        <w:t>)</w:t>
      </w:r>
      <w:r w:rsidR="000726DA">
        <w:rPr>
          <w:rStyle w:val="FootnoteReference"/>
          <w:rFonts w:ascii="Times New Roman" w:hAnsi="Times New Roman"/>
          <w:sz w:val="24"/>
          <w:szCs w:val="24"/>
          <w:lang w:val="sr-Cyrl-CS"/>
        </w:rPr>
        <w:footnoteReference w:id="521"/>
      </w:r>
      <w:r w:rsidR="008B02FB">
        <w:rPr>
          <w:rFonts w:ascii="Times New Roman" w:hAnsi="Times New Roman"/>
          <w:sz w:val="24"/>
          <w:szCs w:val="24"/>
          <w:lang w:val="sr-Cyrl-CS"/>
        </w:rPr>
        <w:t xml:space="preserve"> </w:t>
      </w:r>
      <w:r w:rsidR="00A44F2D">
        <w:rPr>
          <w:rFonts w:ascii="Times New Roman" w:hAnsi="Times New Roman"/>
          <w:sz w:val="24"/>
          <w:szCs w:val="24"/>
          <w:lang w:val="sr-Cyrl-CS"/>
        </w:rPr>
        <w:t>Према начелу фактицитета у пореском праву пореске чињенице се утврђују према њиховој економској суштини јер би скривање економске суштине иза правне форме могло да наруши начело правичности у опорезивању.</w:t>
      </w:r>
      <w:r w:rsidR="008B02FB">
        <w:rPr>
          <w:rFonts w:ascii="Times New Roman" w:hAnsi="Times New Roman"/>
          <w:sz w:val="24"/>
          <w:szCs w:val="24"/>
          <w:lang w:val="sr-Cyrl-CS"/>
        </w:rPr>
        <w:t xml:space="preserve"> Уколико би се захтевало испуњавање правне форме порески орган не би могао да изврши наплату пореза у складу са фактичким стањем.</w:t>
      </w:r>
    </w:p>
    <w:p w:rsidR="000726DA" w:rsidRDefault="000726DA" w:rsidP="000726DA">
      <w:pPr>
        <w:shd w:val="clear" w:color="auto" w:fill="FFFFFF"/>
        <w:spacing w:after="0" w:line="240" w:lineRule="auto"/>
        <w:ind w:firstLine="708"/>
        <w:jc w:val="both"/>
        <w:rPr>
          <w:rFonts w:ascii="Times New Roman" w:hAnsi="Times New Roman"/>
          <w:sz w:val="24"/>
          <w:szCs w:val="24"/>
          <w:lang w:val="sr-Cyrl-CS"/>
        </w:rPr>
      </w:pPr>
      <w:r>
        <w:rPr>
          <w:rFonts w:ascii="Times New Roman" w:hAnsi="Times New Roman"/>
          <w:color w:val="333333"/>
          <w:sz w:val="24"/>
          <w:szCs w:val="24"/>
          <w:lang w:val="sr-Cyrl-CS"/>
        </w:rPr>
        <w:t>Према томе, значајна ставка у борби против пореске евазије је то што је законодавац веома фл</w:t>
      </w:r>
      <w:r w:rsidR="00A44F2D">
        <w:rPr>
          <w:rFonts w:ascii="Times New Roman" w:hAnsi="Times New Roman"/>
          <w:color w:val="333333"/>
          <w:sz w:val="24"/>
          <w:szCs w:val="24"/>
          <w:lang w:val="sr-Cyrl-CS"/>
        </w:rPr>
        <w:t>е</w:t>
      </w:r>
      <w:r>
        <w:rPr>
          <w:rFonts w:ascii="Times New Roman" w:hAnsi="Times New Roman"/>
          <w:color w:val="333333"/>
          <w:sz w:val="24"/>
          <w:szCs w:val="24"/>
          <w:lang w:val="sr-Cyrl-CS"/>
        </w:rPr>
        <w:t xml:space="preserve">ксибилно утврдио настанак пореске обавезе. Наиме, </w:t>
      </w:r>
      <w:r w:rsidRPr="00EE3785">
        <w:rPr>
          <w:rFonts w:ascii="Times New Roman" w:hAnsi="Times New Roman"/>
          <w:color w:val="000000"/>
          <w:sz w:val="24"/>
          <w:szCs w:val="24"/>
          <w:shd w:val="clear" w:color="auto" w:fill="FFFFFF"/>
          <w:lang w:val="sr-Cyrl-CS"/>
        </w:rPr>
        <w:t>о</w:t>
      </w:r>
      <w:r w:rsidRPr="00EE3785">
        <w:rPr>
          <w:rFonts w:ascii="Times New Roman" w:hAnsi="Times New Roman"/>
          <w:color w:val="000000"/>
          <w:sz w:val="24"/>
          <w:szCs w:val="24"/>
          <w:shd w:val="clear" w:color="auto" w:fill="FFFFFF"/>
        </w:rPr>
        <w:t>бавеза по основу пореза на имовину настаје најранијим од следећих дана: даном стицања права, даном почетка коришћења, даном оспособљавања, даном издавања употребне дозволе, односно даном омогућавања коришћења имовине на други начин</w:t>
      </w:r>
      <w:r>
        <w:rPr>
          <w:rFonts w:ascii="Arial" w:hAnsi="Arial" w:cs="Arial"/>
          <w:color w:val="000000"/>
          <w:sz w:val="18"/>
          <w:szCs w:val="18"/>
          <w:shd w:val="clear" w:color="auto" w:fill="FFFFFF"/>
        </w:rPr>
        <w:t>.</w:t>
      </w:r>
      <w:r>
        <w:rPr>
          <w:rStyle w:val="FootnoteReference"/>
          <w:rFonts w:ascii="Arial" w:hAnsi="Arial" w:cs="Arial"/>
          <w:color w:val="000000"/>
          <w:sz w:val="18"/>
          <w:szCs w:val="18"/>
          <w:shd w:val="clear" w:color="auto" w:fill="FFFFFF"/>
        </w:rPr>
        <w:footnoteReference w:id="522"/>
      </w:r>
      <w:r>
        <w:rPr>
          <w:rFonts w:ascii="Arial" w:hAnsi="Arial" w:cs="Arial"/>
          <w:color w:val="000000"/>
          <w:sz w:val="18"/>
          <w:szCs w:val="18"/>
          <w:shd w:val="clear" w:color="auto" w:fill="FFFFFF"/>
          <w:lang w:val="sr-Cyrl-CS"/>
        </w:rPr>
        <w:t xml:space="preserve"> </w:t>
      </w:r>
      <w:r w:rsidRPr="004859CA">
        <w:rPr>
          <w:rFonts w:ascii="Times New Roman" w:hAnsi="Times New Roman"/>
          <w:color w:val="000000"/>
          <w:sz w:val="24"/>
          <w:szCs w:val="24"/>
          <w:shd w:val="clear" w:color="auto" w:fill="FFFFFF"/>
          <w:lang w:val="sr-Cyrl-CS"/>
        </w:rPr>
        <w:t xml:space="preserve">Предмет пореза на имовину су дакле и нелегални објекти </w:t>
      </w:r>
      <w:r>
        <w:rPr>
          <w:rFonts w:ascii="Times New Roman" w:hAnsi="Times New Roman"/>
          <w:color w:val="000000"/>
          <w:sz w:val="24"/>
          <w:szCs w:val="24"/>
          <w:shd w:val="clear" w:color="auto" w:fill="FFFFFF"/>
          <w:lang w:val="sr-Cyrl-CS"/>
        </w:rPr>
        <w:t>(објекти изграђени без грађевинс</w:t>
      </w:r>
      <w:r w:rsidRPr="004859CA">
        <w:rPr>
          <w:rFonts w:ascii="Times New Roman" w:hAnsi="Times New Roman"/>
          <w:color w:val="000000"/>
          <w:sz w:val="24"/>
          <w:szCs w:val="24"/>
          <w:shd w:val="clear" w:color="auto" w:fill="FFFFFF"/>
          <w:lang w:val="sr-Cyrl-CS"/>
        </w:rPr>
        <w:t xml:space="preserve">ке дозволе) и довољно је да се исти користе, односно да су оспособљени за коришћење. Наравно, да би се то могло остварити потребно је да ти објекти буду у евиденцији пореске управе. Међутим, </w:t>
      </w:r>
      <w:r>
        <w:rPr>
          <w:rFonts w:ascii="Times New Roman" w:hAnsi="Times New Roman"/>
          <w:sz w:val="24"/>
          <w:szCs w:val="24"/>
          <w:lang w:val="sr-Cyrl-CS"/>
        </w:rPr>
        <w:t>годинама уназад, све док порез на имовину није постао локални приход, теренска контрола уопште није функционисала, прирудна наплата је била неадекватна  и Пореска управа се ослањала на добровољно подношење пореских пријава, а уколико порески обвезници нису пријавили пореску обавезу није било наплате пореза.</w:t>
      </w:r>
    </w:p>
    <w:p w:rsidR="000726DA" w:rsidRDefault="000726DA" w:rsidP="007C3C74">
      <w:pPr>
        <w:autoSpaceDE w:val="0"/>
        <w:autoSpaceDN w:val="0"/>
        <w:adjustRightInd w:val="0"/>
        <w:spacing w:after="0" w:line="240" w:lineRule="auto"/>
        <w:jc w:val="both"/>
        <w:rPr>
          <w:rFonts w:ascii="Times New Roman" w:hAnsi="Times New Roman"/>
          <w:sz w:val="24"/>
          <w:szCs w:val="24"/>
          <w:lang w:val="sr-Cyrl-CS"/>
        </w:rPr>
      </w:pPr>
    </w:p>
    <w:p w:rsidR="000726DA" w:rsidRDefault="000726DA" w:rsidP="000726DA">
      <w:pPr>
        <w:autoSpaceDE w:val="0"/>
        <w:autoSpaceDN w:val="0"/>
        <w:adjustRightInd w:val="0"/>
        <w:spacing w:after="0" w:line="240" w:lineRule="auto"/>
        <w:ind w:firstLine="708"/>
        <w:jc w:val="both"/>
        <w:rPr>
          <w:rFonts w:ascii="Times New Roman" w:hAnsi="Times New Roman"/>
          <w:sz w:val="24"/>
          <w:szCs w:val="24"/>
          <w:lang w:val="sr-Cyrl-CS"/>
        </w:rPr>
      </w:pPr>
      <w:r>
        <w:rPr>
          <w:rFonts w:ascii="Times New Roman" w:hAnsi="Times New Roman"/>
          <w:sz w:val="24"/>
          <w:szCs w:val="24"/>
          <w:lang w:val="sr-Cyrl-CS"/>
        </w:rPr>
        <w:t>Међутим, постојећа законска решења различито третирају физичка и правна лица, без јасног оправдања за такав различити третман и примењуј</w:t>
      </w:r>
      <w:r>
        <w:rPr>
          <w:rFonts w:ascii="Times New Roman" w:hAnsi="Times New Roman"/>
          <w:sz w:val="24"/>
          <w:szCs w:val="24"/>
        </w:rPr>
        <w:t>e</w:t>
      </w:r>
      <w:r>
        <w:rPr>
          <w:rFonts w:ascii="Times New Roman" w:hAnsi="Times New Roman"/>
          <w:sz w:val="24"/>
          <w:szCs w:val="24"/>
          <w:lang w:val="sr-Cyrl-CS"/>
        </w:rPr>
        <w:t xml:space="preserve"> се прогресивна пореска стопа од 0,4 до 2,0%. Наиме, стопа пореза на имовину на права на непокретности пореског обвезника који води пословне књиге као и на права непокретности пореског обвезника који не води пословне књиге на пореску основицу до 10.000.000,00 динара износи до 0,4%, док се на права на непокретности пореског </w:t>
      </w:r>
      <w:r>
        <w:rPr>
          <w:rFonts w:ascii="Times New Roman" w:hAnsi="Times New Roman"/>
          <w:sz w:val="24"/>
          <w:szCs w:val="24"/>
          <w:lang w:val="sr-Cyrl-CS"/>
        </w:rPr>
        <w:lastRenderedPageBreak/>
        <w:t>обвезника који не води пословне књиге на пореску основицу од 10.000.000,00 до 25.000.000,00 динара порез плаћа по стопи до 0,6%, на пореску основицу од 25.000.000,00 до 50.000.000,00 динара порез се плаћа по стопи до 1,0%, а на пореску основицу пеко 50.000.000,00 динара порез се плаћа по стопи до 2,0%. Према томе, за лица која не воде пословне књиге стопе се крећу од 0,4% до 2,0%. Ради се о законском максимуму, а  скупштине јединице  локалне самоуправе утврђују стопу овог прихода.</w:t>
      </w:r>
    </w:p>
    <w:p w:rsidR="000726DA" w:rsidRDefault="000726DA" w:rsidP="000726DA">
      <w:pPr>
        <w:autoSpaceDE w:val="0"/>
        <w:autoSpaceDN w:val="0"/>
        <w:adjustRightInd w:val="0"/>
        <w:spacing w:after="0" w:line="240" w:lineRule="auto"/>
        <w:ind w:firstLine="708"/>
        <w:jc w:val="both"/>
        <w:rPr>
          <w:rFonts w:ascii="Times New Roman" w:hAnsi="Times New Roman"/>
          <w:sz w:val="24"/>
          <w:szCs w:val="24"/>
          <w:lang w:val="sr-Cyrl-CS"/>
        </w:rPr>
      </w:pPr>
    </w:p>
    <w:p w:rsidR="000726DA" w:rsidRDefault="000726DA" w:rsidP="000726DA">
      <w:pPr>
        <w:autoSpaceDE w:val="0"/>
        <w:autoSpaceDN w:val="0"/>
        <w:adjustRightInd w:val="0"/>
        <w:spacing w:after="0" w:line="240" w:lineRule="auto"/>
        <w:ind w:firstLine="708"/>
        <w:jc w:val="both"/>
        <w:rPr>
          <w:rFonts w:ascii="Times New Roman" w:hAnsi="Times New Roman"/>
          <w:sz w:val="24"/>
          <w:szCs w:val="24"/>
          <w:lang w:val="sr-Cyrl-CS"/>
        </w:rPr>
      </w:pPr>
      <w:r>
        <w:rPr>
          <w:rFonts w:ascii="Times New Roman" w:hAnsi="Times New Roman"/>
          <w:sz w:val="24"/>
          <w:szCs w:val="24"/>
          <w:lang w:val="sr-Cyrl-CS"/>
        </w:rPr>
        <w:t xml:space="preserve">Пореску основицу за </w:t>
      </w:r>
      <w:r w:rsidRPr="00D16EF0">
        <w:rPr>
          <w:rFonts w:ascii="Times New Roman" w:hAnsi="Times New Roman"/>
          <w:sz w:val="24"/>
          <w:szCs w:val="24"/>
          <w:lang w:val="sr-Cyrl-CS"/>
        </w:rPr>
        <w:t>правна лица</w:t>
      </w:r>
      <w:r>
        <w:rPr>
          <w:rFonts w:ascii="Times New Roman" w:hAnsi="Times New Roman"/>
          <w:sz w:val="24"/>
          <w:szCs w:val="24"/>
          <w:lang w:val="sr-Cyrl-CS"/>
        </w:rPr>
        <w:t xml:space="preserve"> представља књиговодствена вредност имовине која је по правилу значајно нижа од тржишне вредности. Постојање различитих пореских стопа за правна и физичка лица отвара простор за избегавање плаћања пореза кроз пребацивање непокретности из својине физичких лица у својину правних лица која су основала та физичка лица. Овакво законско решење пружа могућност пореским обвезницима да порез плате по знатно нижој стопи у случају када се непокретности преведу на фирме, па ће уместо да на пример плате порез по стопи од 2,0%, за исту некретнину платити порез по стопи од 0,4%. При том неће им бити обрачунавана тржишна већ књиговодствена вредност некретнина. Са друге стране, физичко лице које има вредну некретнину мора да плати порез по стопи 2,0%, уколико не испуњава услове за порески кредит. При том, порески обвезници који имају мала примања а вредне некретнине често ће имати на располагању само једну опцију да продају некретнину и купе другу која је мање вредна, односно мање квадратуре.</w:t>
      </w:r>
    </w:p>
    <w:p w:rsidR="000726DA" w:rsidRDefault="000726DA" w:rsidP="000726DA">
      <w:pPr>
        <w:autoSpaceDE w:val="0"/>
        <w:autoSpaceDN w:val="0"/>
        <w:adjustRightInd w:val="0"/>
        <w:spacing w:after="0" w:line="240" w:lineRule="auto"/>
        <w:ind w:firstLine="708"/>
        <w:jc w:val="both"/>
        <w:rPr>
          <w:rFonts w:ascii="Times New Roman" w:hAnsi="Times New Roman"/>
          <w:sz w:val="24"/>
          <w:szCs w:val="24"/>
          <w:lang w:val="sr-Cyrl-CS"/>
        </w:rPr>
      </w:pPr>
    </w:p>
    <w:p w:rsidR="007C3C74" w:rsidRDefault="000726DA" w:rsidP="0037284B">
      <w:pPr>
        <w:ind w:firstLine="708"/>
        <w:jc w:val="both"/>
        <w:rPr>
          <w:rFonts w:ascii="Times New Roman" w:hAnsi="Times New Roman"/>
          <w:sz w:val="24"/>
          <w:szCs w:val="24"/>
          <w:lang w:val="sr-Cyrl-CS"/>
        </w:rPr>
      </w:pPr>
      <w:r>
        <w:rPr>
          <w:rFonts w:ascii="Times New Roman" w:hAnsi="Times New Roman"/>
          <w:sz w:val="24"/>
          <w:szCs w:val="24"/>
          <w:lang w:val="sr-Cyrl-CS"/>
        </w:rPr>
        <w:t xml:space="preserve">Пореске стопе за физичка лица су високо прогресивне, што доприноси избегавњу плаћања пореза, док је пореска стопа за правна лица пропорционална.  Поменуто решење је, према томе,  непотребно компликовано и подстиче пореске обвезнике да изналазе начине за умањење исказане вредности своје имовине, те да имовину чак и поклањају првом наследном реду, како би умањили своју пореску обавезу, чиме се умањује фискални ефекат овог пореског прихода, као и фискални ефекат прогресивне пореске основице. </w:t>
      </w:r>
      <w:r w:rsidR="007C3C74">
        <w:rPr>
          <w:rFonts w:ascii="Times New Roman" w:hAnsi="Times New Roman"/>
          <w:sz w:val="24"/>
          <w:szCs w:val="24"/>
          <w:lang w:val="sr-Cyrl-CS"/>
        </w:rPr>
        <w:t xml:space="preserve">Према томе, значајан утицај за наплату овог пореског облика има пореска стопа. </w:t>
      </w:r>
      <w:r w:rsidR="0037284B">
        <w:rPr>
          <w:rFonts w:ascii="Times New Roman" w:hAnsi="Times New Roman"/>
          <w:sz w:val="24"/>
          <w:szCs w:val="24"/>
          <w:lang w:val="sr-Cyrl-CS"/>
        </w:rPr>
        <w:t>Како би плаћање овог пореза било редовније потребно је увески такво законско решење по коме би пореска стопа била ниска и пропорционална. Осим</w:t>
      </w:r>
      <w:r>
        <w:rPr>
          <w:rFonts w:ascii="Times New Roman" w:hAnsi="Times New Roman"/>
          <w:sz w:val="24"/>
          <w:szCs w:val="24"/>
          <w:lang w:val="sr-Cyrl-CS"/>
        </w:rPr>
        <w:t xml:space="preserve"> тога, </w:t>
      </w:r>
      <w:r w:rsidR="0037284B">
        <w:rPr>
          <w:rFonts w:ascii="Times New Roman" w:hAnsi="Times New Roman"/>
          <w:sz w:val="24"/>
          <w:szCs w:val="24"/>
          <w:lang w:val="sr-Cyrl-CS"/>
        </w:rPr>
        <w:t>постојеће законско</w:t>
      </w:r>
      <w:r>
        <w:rPr>
          <w:rFonts w:ascii="Times New Roman" w:hAnsi="Times New Roman"/>
          <w:sz w:val="24"/>
          <w:szCs w:val="24"/>
          <w:lang w:val="sr-Cyrl-CS"/>
        </w:rPr>
        <w:t xml:space="preserve"> решење пореске обвезнике, односно правна и физичка лица, ставља у неравноправан положај и озбиљно доводи у питање правичност оваквог система.</w:t>
      </w:r>
      <w:r w:rsidR="007C3C74">
        <w:rPr>
          <w:rFonts w:ascii="Times New Roman" w:hAnsi="Times New Roman"/>
          <w:sz w:val="24"/>
          <w:szCs w:val="24"/>
          <w:lang w:val="sr-Cyrl-CS"/>
        </w:rPr>
        <w:t xml:space="preserve"> </w:t>
      </w:r>
    </w:p>
    <w:p w:rsidR="000726DA" w:rsidRDefault="00DE4FA5" w:rsidP="000726DA">
      <w:pPr>
        <w:ind w:firstLine="708"/>
        <w:jc w:val="both"/>
        <w:rPr>
          <w:rFonts w:ascii="Times New Roman" w:hAnsi="Times New Roman"/>
          <w:sz w:val="24"/>
          <w:szCs w:val="24"/>
          <w:lang w:val="sr-Cyrl-CS"/>
        </w:rPr>
      </w:pPr>
      <w:r>
        <w:rPr>
          <w:rFonts w:ascii="Times New Roman" w:hAnsi="Times New Roman"/>
          <w:sz w:val="24"/>
          <w:szCs w:val="24"/>
          <w:lang w:val="sr-Cyrl-CS"/>
        </w:rPr>
        <w:t>Државе у овим врстама пореза виде предност у виду лаког администрирања јер је имовина видљива и и о њој се води званична документација (земљишне књиге, катастри и сл.), док се п</w:t>
      </w:r>
      <w:r w:rsidR="000726DA">
        <w:rPr>
          <w:rFonts w:ascii="Times New Roman" w:hAnsi="Times New Roman"/>
          <w:sz w:val="24"/>
          <w:szCs w:val="24"/>
          <w:lang w:val="sr-Cyrl-CS"/>
        </w:rPr>
        <w:t>римарни економски разлог за увођ</w:t>
      </w:r>
      <w:r>
        <w:rPr>
          <w:rFonts w:ascii="Times New Roman" w:hAnsi="Times New Roman"/>
          <w:sz w:val="24"/>
          <w:szCs w:val="24"/>
          <w:lang w:val="sr-Cyrl-CS"/>
        </w:rPr>
        <w:t xml:space="preserve">ење ове врсте пореза састоји </w:t>
      </w:r>
      <w:r w:rsidR="000726DA">
        <w:rPr>
          <w:rFonts w:ascii="Times New Roman" w:hAnsi="Times New Roman"/>
          <w:sz w:val="24"/>
          <w:szCs w:val="24"/>
          <w:lang w:val="sr-Cyrl-CS"/>
        </w:rPr>
        <w:t xml:space="preserve">у чињеници да он подстиче имаоце богатства да се ослобађају добара чији су приходи мањи или их уопште нема. </w:t>
      </w:r>
      <w:r>
        <w:rPr>
          <w:rFonts w:ascii="Times New Roman" w:hAnsi="Times New Roman"/>
          <w:sz w:val="24"/>
          <w:szCs w:val="24"/>
          <w:lang w:val="sr-Cyrl-CS"/>
        </w:rPr>
        <w:t xml:space="preserve">Са друге стране </w:t>
      </w:r>
      <w:r w:rsidR="000726DA">
        <w:rPr>
          <w:rFonts w:ascii="Times New Roman" w:hAnsi="Times New Roman"/>
          <w:sz w:val="24"/>
          <w:szCs w:val="24"/>
          <w:lang w:val="sr-Cyrl-CS"/>
        </w:rPr>
        <w:t>као проблем може да се појави питање начина утврђивања основице за обрачун пореза.</w:t>
      </w:r>
      <w:r w:rsidR="000726DA">
        <w:rPr>
          <w:rStyle w:val="FootnoteReference"/>
          <w:rFonts w:ascii="Times New Roman" w:hAnsi="Times New Roman"/>
          <w:sz w:val="24"/>
          <w:szCs w:val="24"/>
          <w:lang w:val="sr-Cyrl-CS"/>
        </w:rPr>
        <w:footnoteReference w:id="523"/>
      </w:r>
      <w:r w:rsidR="000726DA">
        <w:rPr>
          <w:rFonts w:ascii="Times New Roman" w:hAnsi="Times New Roman"/>
          <w:sz w:val="24"/>
          <w:szCs w:val="24"/>
          <w:lang w:val="sr-Cyrl-CS"/>
        </w:rPr>
        <w:t xml:space="preserve"> </w:t>
      </w:r>
    </w:p>
    <w:p w:rsidR="000726DA" w:rsidRDefault="000726DA" w:rsidP="000726DA">
      <w:pPr>
        <w:ind w:firstLine="708"/>
        <w:jc w:val="both"/>
        <w:rPr>
          <w:rFonts w:ascii="Times New Roman" w:hAnsi="Times New Roman"/>
          <w:sz w:val="24"/>
          <w:szCs w:val="24"/>
          <w:lang w:val="sr-Cyrl-CS"/>
        </w:rPr>
      </w:pPr>
      <w:r>
        <w:rPr>
          <w:rFonts w:ascii="Times New Roman" w:hAnsi="Times New Roman"/>
          <w:sz w:val="24"/>
          <w:szCs w:val="24"/>
          <w:lang w:val="sr-Cyrl-CS"/>
        </w:rPr>
        <w:t xml:space="preserve">Поред недостатака у законским решењима која се тичу пореских стопа и одређивање пореске основице је лоше регулисано, што све доприноси избегавању плаћања пореза. Компликован систем утврђивања пореске основице заснива се на томе да вредност непокретности утврђује орган јединице локалне самоуправе применом </w:t>
      </w:r>
      <w:r>
        <w:rPr>
          <w:rFonts w:ascii="Times New Roman" w:hAnsi="Times New Roman"/>
          <w:sz w:val="24"/>
          <w:szCs w:val="24"/>
          <w:lang w:val="sr-Cyrl-CS"/>
        </w:rPr>
        <w:lastRenderedPageBreak/>
        <w:t xml:space="preserve">елемената корисне површине и просечне цене квадратног метра у зони у којој се налази непокретност. Зоне се одређују према комуналној опремељености, саобраћајној повезаности са централним деловима јединице локалне самоуправе и другим садржајима. Просечна цена одговарајућих непокретности по зонама на територији јединице локалне самопуправе утврђују се на основу цена остварених у промету одговрајућих непокретности. Просечна цена се формира на основу пријављених промета за нове објекте која често не обухвата трошкове припремања грађевинског земљишта, него само трошкове градње, па све то уз примењене стопе амортизације умањује пореску основицу.  </w:t>
      </w:r>
    </w:p>
    <w:p w:rsidR="000726DA" w:rsidRDefault="00193041" w:rsidP="000726DA">
      <w:pPr>
        <w:ind w:firstLine="708"/>
        <w:jc w:val="both"/>
        <w:rPr>
          <w:rFonts w:ascii="Times New Roman" w:hAnsi="Times New Roman"/>
          <w:sz w:val="24"/>
          <w:szCs w:val="24"/>
          <w:lang w:val="sr-Cyrl-CS"/>
        </w:rPr>
      </w:pPr>
      <w:r>
        <w:rPr>
          <w:rFonts w:ascii="Times New Roman" w:hAnsi="Times New Roman"/>
          <w:sz w:val="24"/>
          <w:szCs w:val="24"/>
          <w:lang w:val="sr-Cyrl-CS"/>
        </w:rPr>
        <w:t>Осим</w:t>
      </w:r>
      <w:r w:rsidR="000726DA">
        <w:rPr>
          <w:rFonts w:ascii="Times New Roman" w:hAnsi="Times New Roman"/>
          <w:sz w:val="24"/>
          <w:szCs w:val="24"/>
          <w:lang w:val="sr-Cyrl-CS"/>
        </w:rPr>
        <w:t xml:space="preserve"> тога, законско решење да је предмет опорезивања право својине на земљишту површине преко 10 ари, односно право коришћења на грађевинском земљишту преко 10 ари занемарује чињеницу да земљиште и испод ове површине од 10 ари може бити веома вредно, посебно уколико се налази у градском подручју, а при том се порез на имовину не плаћа на земљиште за површину под објектом на који се плаћа порез, осим на земљиште под складиштима или стоваришним објектом,</w:t>
      </w:r>
      <w:r w:rsidR="000726DA">
        <w:rPr>
          <w:rStyle w:val="FootnoteReference"/>
          <w:rFonts w:ascii="Times New Roman" w:hAnsi="Times New Roman"/>
          <w:sz w:val="24"/>
          <w:szCs w:val="24"/>
          <w:lang w:val="sr-Cyrl-CS"/>
        </w:rPr>
        <w:footnoteReference w:id="524"/>
      </w:r>
      <w:r w:rsidR="000726DA">
        <w:rPr>
          <w:rFonts w:ascii="Times New Roman" w:hAnsi="Times New Roman"/>
          <w:sz w:val="24"/>
          <w:szCs w:val="24"/>
          <w:lang w:val="sr-Cyrl-CS"/>
        </w:rPr>
        <w:t xml:space="preserve"> што све отавља могућности за разне злоупотребе у циљу избегавања или умањења пореске обавезе. Наиме, имајући у виду навдено, власницима се исплати да држе парцеле неизграђеним, чекајући повољнију цену, или да на земљишту држе кућице и шупе, које су далеко испод вредности земљишта на коме су изграђене. На земљиште испод 10 ари у елитним градским зонама, неће се плаћати порез, а за кућицу на пример у општини Стари град у Београду, вредност основице објекта, а самим тим и порез, биће много нижа од стварне тржишне вредности земљишта.</w:t>
      </w:r>
    </w:p>
    <w:p w:rsidR="000726DA" w:rsidRDefault="000726DA" w:rsidP="000726DA">
      <w:pPr>
        <w:ind w:firstLine="708"/>
        <w:jc w:val="both"/>
        <w:rPr>
          <w:rFonts w:ascii="Times New Roman" w:hAnsi="Times New Roman"/>
          <w:sz w:val="24"/>
          <w:szCs w:val="24"/>
          <w:lang w:val="sr-Cyrl-CS"/>
        </w:rPr>
      </w:pPr>
      <w:r>
        <w:rPr>
          <w:rFonts w:ascii="Times New Roman" w:hAnsi="Times New Roman"/>
          <w:sz w:val="24"/>
          <w:szCs w:val="24"/>
          <w:lang w:val="sr-Cyrl-CS"/>
        </w:rPr>
        <w:t>Према томе, разлике између основице пореза на имовину и стварне тржишне вредности су често веома велике. У случају када порески обвезници воде пословне књиге основица пореза на имовину је вредност непокретности утврђена у пословним књигама које је често нижа од тржишне вредности, што све доводи до нереалних умањења пореске основице. Овако постављен систем утврђивања вредности пореске основице награђује оне који своју имовину нетачно приказују или пак земљишт</w:t>
      </w:r>
      <w:r w:rsidR="00AD2528">
        <w:rPr>
          <w:rFonts w:ascii="Times New Roman" w:hAnsi="Times New Roman"/>
          <w:sz w:val="24"/>
          <w:szCs w:val="24"/>
          <w:lang w:val="sr-Cyrl-CS"/>
        </w:rPr>
        <w:t>е користе у шпекулативне сврхе.</w:t>
      </w:r>
    </w:p>
    <w:p w:rsidR="000726DA" w:rsidRPr="00A03E87" w:rsidRDefault="000503FF" w:rsidP="000726DA">
      <w:pPr>
        <w:ind w:firstLine="708"/>
        <w:jc w:val="both"/>
        <w:rPr>
          <w:rFonts w:ascii="Times New Roman" w:hAnsi="Times New Roman"/>
          <w:sz w:val="24"/>
          <w:szCs w:val="24"/>
          <w:lang w:val="sr-Cyrl-CS"/>
        </w:rPr>
      </w:pPr>
      <w:r>
        <w:rPr>
          <w:rFonts w:ascii="Times New Roman" w:hAnsi="Times New Roman"/>
          <w:sz w:val="24"/>
          <w:szCs w:val="24"/>
          <w:lang w:val="sr-Cyrl-CS"/>
        </w:rPr>
        <w:t>У погледу</w:t>
      </w:r>
      <w:r w:rsidR="000726DA" w:rsidRPr="00380BB6">
        <w:rPr>
          <w:rFonts w:ascii="Times New Roman" w:hAnsi="Times New Roman"/>
          <w:sz w:val="24"/>
          <w:szCs w:val="24"/>
          <w:lang w:val="sr-Cyrl-CS"/>
        </w:rPr>
        <w:t xml:space="preserve"> садр</w:t>
      </w:r>
      <w:r w:rsidR="000726DA" w:rsidRPr="00380BB6">
        <w:rPr>
          <w:rFonts w:ascii="Times New Roman" w:hAnsi="Times New Roman"/>
          <w:sz w:val="24"/>
          <w:szCs w:val="24"/>
        </w:rPr>
        <w:t>ж</w:t>
      </w:r>
      <w:r w:rsidR="000726DA" w:rsidRPr="00380BB6">
        <w:rPr>
          <w:rFonts w:ascii="Times New Roman" w:hAnsi="Times New Roman"/>
          <w:sz w:val="24"/>
          <w:szCs w:val="24"/>
          <w:lang w:val="sr-Cyrl-CS"/>
        </w:rPr>
        <w:t>аја и процедуре вредновања некретнина, као једино прихватљиво издваја се ре</w:t>
      </w:r>
      <w:r w:rsidR="000726DA" w:rsidRPr="00380BB6">
        <w:rPr>
          <w:rFonts w:ascii="Times New Roman" w:hAnsi="Times New Roman"/>
          <w:sz w:val="24"/>
          <w:szCs w:val="24"/>
        </w:rPr>
        <w:t>ш</w:t>
      </w:r>
      <w:r w:rsidR="000726DA" w:rsidRPr="00380BB6">
        <w:rPr>
          <w:rFonts w:ascii="Times New Roman" w:hAnsi="Times New Roman"/>
          <w:sz w:val="24"/>
          <w:szCs w:val="24"/>
          <w:lang w:val="sr-Cyrl-CS"/>
        </w:rPr>
        <w:t>ење које се</w:t>
      </w:r>
      <w:r w:rsidR="000726DA" w:rsidRPr="00380BB6">
        <w:rPr>
          <w:rFonts w:ascii="Times New Roman" w:hAnsi="Times New Roman"/>
          <w:sz w:val="24"/>
          <w:szCs w:val="24"/>
        </w:rPr>
        <w:t xml:space="preserve"> </w:t>
      </w:r>
      <w:r w:rsidR="000726DA" w:rsidRPr="00380BB6">
        <w:rPr>
          <w:rFonts w:ascii="Times New Roman" w:hAnsi="Times New Roman"/>
          <w:sz w:val="24"/>
          <w:szCs w:val="24"/>
          <w:lang w:val="sr-Cyrl-CS"/>
        </w:rPr>
        <w:t>заснива на кори</w:t>
      </w:r>
      <w:r w:rsidR="000726DA" w:rsidRPr="00380BB6">
        <w:rPr>
          <w:rFonts w:ascii="Times New Roman" w:hAnsi="Times New Roman"/>
          <w:sz w:val="24"/>
          <w:szCs w:val="24"/>
        </w:rPr>
        <w:t>шћ</w:t>
      </w:r>
      <w:r w:rsidR="000726DA" w:rsidRPr="00380BB6">
        <w:rPr>
          <w:rFonts w:ascii="Times New Roman" w:hAnsi="Times New Roman"/>
          <w:sz w:val="24"/>
          <w:szCs w:val="24"/>
          <w:lang w:val="sr-Cyrl-CS"/>
        </w:rPr>
        <w:t>ењу ве</w:t>
      </w:r>
      <w:r w:rsidR="000726DA" w:rsidRPr="00380BB6">
        <w:rPr>
          <w:rFonts w:ascii="Times New Roman" w:hAnsi="Times New Roman"/>
          <w:sz w:val="24"/>
          <w:szCs w:val="24"/>
        </w:rPr>
        <w:t>ћ</w:t>
      </w:r>
      <w:r w:rsidR="000726DA" w:rsidRPr="00380BB6">
        <w:rPr>
          <w:rFonts w:ascii="Times New Roman" w:hAnsi="Times New Roman"/>
          <w:sz w:val="24"/>
          <w:szCs w:val="24"/>
          <w:lang w:val="sr-Cyrl-CS"/>
        </w:rPr>
        <w:t xml:space="preserve"> установ</w:t>
      </w:r>
      <w:r w:rsidR="000726DA" w:rsidRPr="00380BB6">
        <w:rPr>
          <w:rFonts w:ascii="Times New Roman" w:hAnsi="Times New Roman"/>
          <w:sz w:val="24"/>
          <w:szCs w:val="24"/>
        </w:rPr>
        <w:t>љ</w:t>
      </w:r>
      <w:r w:rsidR="000726DA" w:rsidRPr="00380BB6">
        <w:rPr>
          <w:rFonts w:ascii="Times New Roman" w:hAnsi="Times New Roman"/>
          <w:sz w:val="24"/>
          <w:szCs w:val="24"/>
          <w:lang w:val="sr-Cyrl-CS"/>
        </w:rPr>
        <w:t>ених процена вредности некретнина</w:t>
      </w:r>
      <w:r w:rsidR="000726DA" w:rsidRPr="00380BB6">
        <w:rPr>
          <w:rFonts w:ascii="Times New Roman" w:hAnsi="Times New Roman"/>
          <w:sz w:val="24"/>
          <w:szCs w:val="24"/>
        </w:rPr>
        <w:t xml:space="preserve"> </w:t>
      </w:r>
      <w:r w:rsidR="000726DA" w:rsidRPr="00380BB6">
        <w:rPr>
          <w:rFonts w:ascii="Times New Roman" w:hAnsi="Times New Roman"/>
          <w:sz w:val="24"/>
          <w:szCs w:val="24"/>
          <w:lang w:val="sr-Cyrl-CS"/>
        </w:rPr>
        <w:t>које су употребљене као основица у</w:t>
      </w:r>
      <w:r w:rsidR="000726DA" w:rsidRPr="00380BB6">
        <w:rPr>
          <w:rFonts w:ascii="Times New Roman" w:hAnsi="Times New Roman"/>
          <w:sz w:val="24"/>
          <w:szCs w:val="24"/>
        </w:rPr>
        <w:t xml:space="preserve"> случају пореза на пренос апсолутних права, постојећим вредностима основице пореза на имовину, као и свим физичким особинама некретнине (локација, квалитет и опремљеност објекта итд.). </w:t>
      </w:r>
      <w:r>
        <w:rPr>
          <w:rFonts w:ascii="Times New Roman" w:hAnsi="Times New Roman"/>
          <w:sz w:val="24"/>
          <w:szCs w:val="24"/>
          <w:lang w:val="sr-Cyrl-CS"/>
        </w:rPr>
        <w:t>Ови елеметни представљају</w:t>
      </w:r>
      <w:r>
        <w:rPr>
          <w:rFonts w:ascii="Times New Roman" w:hAnsi="Times New Roman"/>
          <w:sz w:val="24"/>
          <w:szCs w:val="24"/>
        </w:rPr>
        <w:t xml:space="preserve"> улазн</w:t>
      </w:r>
      <w:r>
        <w:rPr>
          <w:rFonts w:ascii="Times New Roman" w:hAnsi="Times New Roman"/>
          <w:sz w:val="24"/>
          <w:szCs w:val="24"/>
          <w:lang w:val="sr-Cyrl-CS"/>
        </w:rPr>
        <w:t>е</w:t>
      </w:r>
      <w:r>
        <w:rPr>
          <w:rFonts w:ascii="Times New Roman" w:hAnsi="Times New Roman"/>
          <w:sz w:val="24"/>
          <w:szCs w:val="24"/>
        </w:rPr>
        <w:t xml:space="preserve"> подат</w:t>
      </w:r>
      <w:r>
        <w:rPr>
          <w:rFonts w:ascii="Times New Roman" w:hAnsi="Times New Roman"/>
          <w:sz w:val="24"/>
          <w:szCs w:val="24"/>
          <w:lang w:val="sr-Cyrl-CS"/>
        </w:rPr>
        <w:t>ке на основу којих</w:t>
      </w:r>
      <w:r w:rsidR="000726DA" w:rsidRPr="00380BB6">
        <w:rPr>
          <w:rFonts w:ascii="Times New Roman" w:hAnsi="Times New Roman"/>
          <w:sz w:val="24"/>
          <w:szCs w:val="24"/>
        </w:rPr>
        <w:t xml:space="preserve"> модел компјутерски заснованог масовног вредновања некретнина, односно основице пореза на имовину (Computer Assisted Mass Appraisal – CAMA), израчунава вредност сваке појединачне </w:t>
      </w:r>
      <w:r w:rsidR="000726DA" w:rsidRPr="00380BB6">
        <w:rPr>
          <w:rFonts w:ascii="Times New Roman" w:hAnsi="Times New Roman"/>
          <w:sz w:val="24"/>
          <w:szCs w:val="24"/>
        </w:rPr>
        <w:lastRenderedPageBreak/>
        <w:t xml:space="preserve">некретнине, </w:t>
      </w:r>
      <w:r>
        <w:rPr>
          <w:rFonts w:ascii="Times New Roman" w:hAnsi="Times New Roman"/>
          <w:sz w:val="24"/>
          <w:szCs w:val="24"/>
          <w:lang w:val="sr-Cyrl-CS"/>
        </w:rPr>
        <w:t>без обзира</w:t>
      </w:r>
      <w:r w:rsidR="000726DA" w:rsidRPr="00380BB6">
        <w:rPr>
          <w:rFonts w:ascii="Times New Roman" w:hAnsi="Times New Roman"/>
          <w:sz w:val="24"/>
          <w:szCs w:val="24"/>
        </w:rPr>
        <w:t xml:space="preserve"> да ли је та некретнина била у промету или не.  </w:t>
      </w:r>
      <w:r>
        <w:rPr>
          <w:rFonts w:ascii="Times New Roman" w:hAnsi="Times New Roman"/>
          <w:sz w:val="24"/>
          <w:szCs w:val="24"/>
          <w:lang w:val="sr-Cyrl-CS"/>
        </w:rPr>
        <w:t>Н</w:t>
      </w:r>
      <w:r w:rsidRPr="00380BB6">
        <w:rPr>
          <w:rFonts w:ascii="Times New Roman" w:hAnsi="Times New Roman"/>
          <w:sz w:val="24"/>
          <w:szCs w:val="24"/>
        </w:rPr>
        <w:t xml:space="preserve">а нивоу сваке појединачне некретнине </w:t>
      </w:r>
      <w:r>
        <w:rPr>
          <w:rFonts w:ascii="Times New Roman" w:hAnsi="Times New Roman"/>
          <w:sz w:val="24"/>
          <w:szCs w:val="24"/>
          <w:lang w:val="sr-Cyrl-CS"/>
        </w:rPr>
        <w:t>м</w:t>
      </w:r>
      <w:r w:rsidR="000726DA" w:rsidRPr="00380BB6">
        <w:rPr>
          <w:rFonts w:ascii="Times New Roman" w:hAnsi="Times New Roman"/>
          <w:sz w:val="24"/>
          <w:szCs w:val="24"/>
        </w:rPr>
        <w:t>одел користи различите специфичне инпуте</w:t>
      </w:r>
      <w:r>
        <w:rPr>
          <w:rFonts w:ascii="Times New Roman" w:hAnsi="Times New Roman"/>
          <w:sz w:val="24"/>
          <w:szCs w:val="24"/>
          <w:lang w:val="sr-Cyrl-CS"/>
        </w:rPr>
        <w:t xml:space="preserve"> и то:</w:t>
      </w:r>
      <w:r w:rsidR="000726DA" w:rsidRPr="00380BB6">
        <w:rPr>
          <w:rFonts w:ascii="Times New Roman" w:hAnsi="Times New Roman"/>
          <w:sz w:val="24"/>
          <w:szCs w:val="24"/>
        </w:rPr>
        <w:t xml:space="preserve"> цену некретнине у промету (уколико је била у промету),</w:t>
      </w:r>
      <w:r w:rsidR="00AD2528">
        <w:rPr>
          <w:rFonts w:ascii="Times New Roman" w:hAnsi="Times New Roman"/>
          <w:sz w:val="24"/>
          <w:szCs w:val="24"/>
          <w:lang w:val="sr-Cyrl-CS"/>
        </w:rPr>
        <w:t xml:space="preserve"> </w:t>
      </w:r>
      <w:r w:rsidR="000726DA" w:rsidRPr="00380BB6">
        <w:rPr>
          <w:rFonts w:ascii="Times New Roman" w:hAnsi="Times New Roman"/>
          <w:sz w:val="24"/>
          <w:szCs w:val="24"/>
        </w:rPr>
        <w:t>односно пореск</w:t>
      </w:r>
      <w:r w:rsidR="000726DA" w:rsidRPr="00380BB6">
        <w:rPr>
          <w:rFonts w:ascii="Times New Roman" w:hAnsi="Times New Roman"/>
          <w:sz w:val="24"/>
          <w:szCs w:val="24"/>
          <w:lang w:val="sr-Cyrl-CS"/>
        </w:rPr>
        <w:t>у</w:t>
      </w:r>
      <w:r w:rsidR="000726DA" w:rsidRPr="00380BB6">
        <w:rPr>
          <w:rFonts w:ascii="Times New Roman" w:hAnsi="Times New Roman"/>
          <w:sz w:val="24"/>
          <w:szCs w:val="24"/>
        </w:rPr>
        <w:t xml:space="preserve"> основицу која је коришћена за одре</w:t>
      </w:r>
      <w:r w:rsidR="000726DA" w:rsidRPr="00380BB6">
        <w:rPr>
          <w:rFonts w:ascii="Times New Roman" w:hAnsi="Times New Roman"/>
          <w:sz w:val="24"/>
          <w:szCs w:val="24"/>
          <w:lang w:val="sr-Cyrl-CS"/>
        </w:rPr>
        <w:t>ђ</w:t>
      </w:r>
      <w:r w:rsidR="000726DA" w:rsidRPr="00380BB6">
        <w:rPr>
          <w:rFonts w:ascii="Times New Roman" w:hAnsi="Times New Roman"/>
          <w:sz w:val="24"/>
          <w:szCs w:val="24"/>
        </w:rPr>
        <w:t xml:space="preserve">ивање пореза на пренос апсолутних права (пореска основица у динамици), постојећу основицу пореза на имовину (пореска основица у статици), као и све локационе и физичке карактеристике сваке појединачне некретнине, укључујући све оне карактеристике према важећем списку елемената за утврђивање квалитета објекта. </w:t>
      </w:r>
      <w:r>
        <w:rPr>
          <w:rFonts w:ascii="Times New Roman" w:hAnsi="Times New Roman"/>
          <w:sz w:val="24"/>
          <w:szCs w:val="24"/>
          <w:lang w:val="sr-Cyrl-CS"/>
        </w:rPr>
        <w:t>Потом се полазећи од</w:t>
      </w:r>
      <w:r>
        <w:rPr>
          <w:rFonts w:ascii="Times New Roman" w:hAnsi="Times New Roman"/>
          <w:sz w:val="24"/>
          <w:szCs w:val="24"/>
        </w:rPr>
        <w:t xml:space="preserve"> наведених података оцењује </w:t>
      </w:r>
      <w:r w:rsidR="000726DA" w:rsidRPr="00380BB6">
        <w:rPr>
          <w:rFonts w:ascii="Times New Roman" w:hAnsi="Times New Roman"/>
          <w:sz w:val="24"/>
          <w:szCs w:val="24"/>
        </w:rPr>
        <w:t xml:space="preserve"> низ регресионих једначина са свим доступним факторима који утичу на варијацију разлике између пореске основице у статици и основице у динамици, чиме се оцењује утицај тих фактора на наведену варијацију. </w:t>
      </w:r>
      <w:r>
        <w:rPr>
          <w:rFonts w:ascii="Times New Roman" w:hAnsi="Times New Roman"/>
          <w:sz w:val="24"/>
          <w:szCs w:val="24"/>
          <w:lang w:val="sr-Cyrl-CS"/>
        </w:rPr>
        <w:t>Полазећи од</w:t>
      </w:r>
      <w:r w:rsidR="000726DA" w:rsidRPr="00380BB6">
        <w:rPr>
          <w:rFonts w:ascii="Times New Roman" w:hAnsi="Times New Roman"/>
          <w:sz w:val="24"/>
          <w:szCs w:val="24"/>
        </w:rPr>
        <w:t xml:space="preserve"> оцењених параметара регресионих једначина, формулише се прогноза, односно пројекција одступања основице у статици од основице у динамици (која се узима као репер тржишне вредности некретнине, односно њеног квадратног метра). </w:t>
      </w:r>
      <w:r w:rsidR="006474A9">
        <w:rPr>
          <w:rFonts w:ascii="Times New Roman" w:hAnsi="Times New Roman"/>
          <w:sz w:val="24"/>
          <w:szCs w:val="24"/>
          <w:lang w:val="sr-Cyrl-CS"/>
        </w:rPr>
        <w:t>Применом</w:t>
      </w:r>
      <w:r>
        <w:rPr>
          <w:rFonts w:ascii="Times New Roman" w:hAnsi="Times New Roman"/>
          <w:sz w:val="24"/>
          <w:szCs w:val="24"/>
          <w:lang w:val="sr-Cyrl-CS"/>
        </w:rPr>
        <w:t xml:space="preserve"> овог поступка</w:t>
      </w:r>
      <w:r w:rsidR="000726DA" w:rsidRPr="00380BB6">
        <w:rPr>
          <w:rFonts w:ascii="Times New Roman" w:hAnsi="Times New Roman"/>
          <w:sz w:val="24"/>
          <w:szCs w:val="24"/>
        </w:rPr>
        <w:t xml:space="preserve"> се долази до нове вредности пореске основице у статици, односно изједначавања пореске основице у статици са пореском основицом у динамици, односно тржишном ценом.</w:t>
      </w:r>
      <w:r w:rsidR="000726DA" w:rsidRPr="00380BB6">
        <w:rPr>
          <w:rStyle w:val="FootnoteReference"/>
          <w:rFonts w:ascii="Times New Roman" w:hAnsi="Times New Roman"/>
          <w:sz w:val="24"/>
          <w:szCs w:val="24"/>
        </w:rPr>
        <w:footnoteReference w:id="525"/>
      </w:r>
      <w:r w:rsidR="000726DA">
        <w:rPr>
          <w:rFonts w:ascii="Times New Roman" w:hAnsi="Times New Roman"/>
          <w:sz w:val="24"/>
          <w:szCs w:val="24"/>
          <w:lang w:val="sr-Cyrl-CS"/>
        </w:rPr>
        <w:t xml:space="preserve"> </w:t>
      </w:r>
    </w:p>
    <w:p w:rsidR="000726DA" w:rsidRPr="00380BB6" w:rsidRDefault="00AD2528" w:rsidP="000726DA">
      <w:pPr>
        <w:ind w:firstLine="708"/>
        <w:jc w:val="both"/>
        <w:rPr>
          <w:rFonts w:ascii="Times New Roman" w:hAnsi="Times New Roman"/>
          <w:sz w:val="24"/>
          <w:szCs w:val="24"/>
        </w:rPr>
      </w:pPr>
      <w:r>
        <w:rPr>
          <w:rFonts w:ascii="Times New Roman" w:hAnsi="Times New Roman"/>
          <w:sz w:val="24"/>
          <w:szCs w:val="24"/>
          <w:lang w:val="sr-Cyrl-CS"/>
        </w:rPr>
        <w:t>А</w:t>
      </w:r>
      <w:r w:rsidR="000726DA" w:rsidRPr="00380BB6">
        <w:rPr>
          <w:rFonts w:ascii="Times New Roman" w:hAnsi="Times New Roman"/>
          <w:sz w:val="24"/>
          <w:szCs w:val="24"/>
          <w:lang w:val="sr-Cyrl-CS"/>
        </w:rPr>
        <w:t xml:space="preserve">дминистрирање пореза на имовину је далеко сложеније и теже него што се чини на први поглед. Вредност имовине за потребе опорезивања ретко се подудара са тржишном ценом која се за ту имовину може постићи. Ово додатно компликује чињеница да не постоје две исте некретнине, те да две сличне некретнине у истом делу града могу постићи значајно различите тржишне цене. </w:t>
      </w:r>
      <w:r>
        <w:rPr>
          <w:rFonts w:ascii="Times New Roman" w:hAnsi="Times New Roman"/>
          <w:sz w:val="24"/>
          <w:szCs w:val="24"/>
          <w:lang w:val="sr-Cyrl-CS"/>
        </w:rPr>
        <w:t xml:space="preserve"> </w:t>
      </w:r>
    </w:p>
    <w:p w:rsidR="000726DA" w:rsidRPr="00380BB6" w:rsidRDefault="000726DA" w:rsidP="000726DA">
      <w:pPr>
        <w:ind w:firstLine="708"/>
        <w:jc w:val="both"/>
        <w:rPr>
          <w:rFonts w:ascii="Times New Roman" w:hAnsi="Times New Roman"/>
          <w:sz w:val="24"/>
          <w:szCs w:val="24"/>
        </w:rPr>
      </w:pPr>
      <w:r w:rsidRPr="00380BB6">
        <w:rPr>
          <w:rFonts w:ascii="Times New Roman" w:hAnsi="Times New Roman"/>
          <w:sz w:val="24"/>
          <w:szCs w:val="24"/>
          <w:lang w:val="sr-Cyrl-CS"/>
        </w:rPr>
        <w:t>При том, не  треба занемарити ни разлоге политичке природе, јер се не сме превидети ризик претераног оптерећења пореских обвезника-гласача. На обим прикупљања овог пореза значајно утиче и пад животног стандарда, економска криза итд.</w:t>
      </w:r>
    </w:p>
    <w:p w:rsidR="000726DA" w:rsidRDefault="000726DA" w:rsidP="000726DA">
      <w:pPr>
        <w:autoSpaceDE w:val="0"/>
        <w:autoSpaceDN w:val="0"/>
        <w:adjustRightInd w:val="0"/>
        <w:spacing w:after="0" w:line="240" w:lineRule="auto"/>
        <w:ind w:firstLine="708"/>
        <w:jc w:val="both"/>
        <w:rPr>
          <w:rFonts w:ascii="Times New Roman" w:hAnsi="Times New Roman"/>
          <w:sz w:val="24"/>
          <w:szCs w:val="24"/>
          <w:lang w:val="sr-Cyrl-CS"/>
        </w:rPr>
      </w:pPr>
      <w:r>
        <w:rPr>
          <w:rFonts w:ascii="Times New Roman" w:hAnsi="Times New Roman"/>
          <w:sz w:val="24"/>
          <w:szCs w:val="24"/>
          <w:lang w:val="sr-Cyrl-CS"/>
        </w:rPr>
        <w:t>Осим тога, б</w:t>
      </w:r>
      <w:r w:rsidRPr="009F2676">
        <w:rPr>
          <w:rFonts w:ascii="Times New Roman" w:hAnsi="Times New Roman"/>
          <w:sz w:val="24"/>
          <w:szCs w:val="24"/>
          <w:lang w:val="sr-Cyrl-CS"/>
        </w:rPr>
        <w:t>ројна су пореска особођења код ове врсте пореза, за која се може поставити питање њихове оправданости. Као што су објекти, односно делови објекта који непосредно служе з</w:t>
      </w:r>
      <w:r>
        <w:rPr>
          <w:rFonts w:ascii="Times New Roman" w:hAnsi="Times New Roman"/>
          <w:sz w:val="24"/>
          <w:szCs w:val="24"/>
          <w:lang w:val="sr-Cyrl-CS"/>
        </w:rPr>
        <w:t>а обављање комуналне делатности и</w:t>
      </w:r>
      <w:r w:rsidRPr="009F2676">
        <w:rPr>
          <w:rFonts w:ascii="Times New Roman" w:hAnsi="Times New Roman"/>
          <w:sz w:val="24"/>
          <w:szCs w:val="24"/>
          <w:lang w:val="sr-Cyrl-CS"/>
        </w:rPr>
        <w:t xml:space="preserve"> објекти намењени за пољопривредну примарну производњу, чиме се фаворизују неке од привредних делатности, као што су комуналне делатности и пољопривреда. Мимо тога,  ослобођење имовине која је у пословним књигама намењена даљој продаји отвара простор за злоупотребе и тиме  простор за избегавање плаћања пореза.</w:t>
      </w:r>
    </w:p>
    <w:p w:rsidR="0036476A" w:rsidRDefault="0036476A" w:rsidP="000726DA">
      <w:pPr>
        <w:autoSpaceDE w:val="0"/>
        <w:autoSpaceDN w:val="0"/>
        <w:adjustRightInd w:val="0"/>
        <w:spacing w:after="0" w:line="240" w:lineRule="auto"/>
        <w:ind w:firstLine="708"/>
        <w:jc w:val="both"/>
        <w:rPr>
          <w:rFonts w:ascii="Times New Roman" w:hAnsi="Times New Roman"/>
          <w:sz w:val="24"/>
          <w:szCs w:val="24"/>
          <w:lang w:val="sr-Cyrl-CS"/>
        </w:rPr>
      </w:pPr>
    </w:p>
    <w:p w:rsidR="0036476A" w:rsidRDefault="0036476A" w:rsidP="000726DA">
      <w:pPr>
        <w:autoSpaceDE w:val="0"/>
        <w:autoSpaceDN w:val="0"/>
        <w:adjustRightInd w:val="0"/>
        <w:spacing w:after="0" w:line="240" w:lineRule="auto"/>
        <w:ind w:firstLine="708"/>
        <w:jc w:val="both"/>
        <w:rPr>
          <w:rFonts w:ascii="Times New Roman" w:hAnsi="Times New Roman"/>
          <w:sz w:val="24"/>
          <w:szCs w:val="24"/>
          <w:lang w:val="sr-Cyrl-CS"/>
        </w:rPr>
      </w:pPr>
      <w:r>
        <w:rPr>
          <w:rFonts w:ascii="Times New Roman" w:hAnsi="Times New Roman"/>
          <w:sz w:val="24"/>
          <w:szCs w:val="24"/>
          <w:lang w:val="sr-Cyrl-CS"/>
        </w:rPr>
        <w:t xml:space="preserve">Недостатак законских решења, а посебно компликовано одређивање пореске основице, као и бројне олакшице, отварају простор за корупцију. Тако корумпиран порески службеник може да помогне у прикривању непријављене имовине обвезника или других чињеница које су од значаја за пореску обавезу, да намерно превиди неке чињенице или пак да основицу за опорезивање процени што ниже. </w:t>
      </w:r>
      <w:r w:rsidR="00E27CB5">
        <w:rPr>
          <w:rFonts w:ascii="Times New Roman" w:hAnsi="Times New Roman"/>
          <w:sz w:val="24"/>
          <w:szCs w:val="24"/>
          <w:lang w:val="sr-Cyrl-CS"/>
        </w:rPr>
        <w:t>Зараде пореских службеника су обично ниске, посебно када се посматрају у односу на пореске обвезнике који имају веома вредну имовину у вишемилионским износима.</w:t>
      </w:r>
      <w:r w:rsidR="00A0096B">
        <w:rPr>
          <w:rFonts w:ascii="Times New Roman" w:hAnsi="Times New Roman"/>
          <w:sz w:val="24"/>
          <w:szCs w:val="24"/>
          <w:lang w:val="sr-Cyrl-CS"/>
        </w:rPr>
        <w:t xml:space="preserve"> </w:t>
      </w:r>
    </w:p>
    <w:p w:rsidR="0036476A" w:rsidRDefault="0036476A" w:rsidP="000726DA">
      <w:pPr>
        <w:autoSpaceDE w:val="0"/>
        <w:autoSpaceDN w:val="0"/>
        <w:adjustRightInd w:val="0"/>
        <w:spacing w:after="0" w:line="240" w:lineRule="auto"/>
        <w:ind w:firstLine="708"/>
        <w:jc w:val="both"/>
        <w:rPr>
          <w:rFonts w:ascii="Times New Roman" w:hAnsi="Times New Roman"/>
          <w:sz w:val="24"/>
          <w:szCs w:val="24"/>
          <w:lang w:val="sr-Cyrl-CS"/>
        </w:rPr>
      </w:pPr>
    </w:p>
    <w:p w:rsidR="000726DA" w:rsidRDefault="000726DA" w:rsidP="000726DA">
      <w:pPr>
        <w:ind w:firstLine="708"/>
        <w:jc w:val="both"/>
        <w:rPr>
          <w:rFonts w:ascii="Times New Roman" w:hAnsi="Times New Roman"/>
          <w:sz w:val="24"/>
          <w:szCs w:val="24"/>
          <w:lang w:val="sr-Cyrl-CS"/>
        </w:rPr>
      </w:pPr>
      <w:r>
        <w:rPr>
          <w:rFonts w:ascii="Times New Roman" w:hAnsi="Times New Roman"/>
          <w:sz w:val="24"/>
          <w:szCs w:val="24"/>
          <w:lang w:val="sr-Cyrl-CS"/>
        </w:rPr>
        <w:t xml:space="preserve">Ефикасну наплату овог пореза је могуће постићи само уз системски приступ у прикупљању информација за ефикасну контролу посебно имајући у виду да порески обвезници не пријављују тачно своју имовину. Подаци о имовини се </w:t>
      </w:r>
      <w:r w:rsidRPr="00850A8C">
        <w:rPr>
          <w:rFonts w:ascii="Times New Roman" w:hAnsi="Times New Roman"/>
          <w:sz w:val="24"/>
          <w:szCs w:val="24"/>
          <w:lang w:val="sr-Cyrl-CS"/>
        </w:rPr>
        <w:t>морају прикупљати</w:t>
      </w:r>
      <w:r>
        <w:rPr>
          <w:rFonts w:ascii="Times New Roman" w:hAnsi="Times New Roman"/>
          <w:sz w:val="24"/>
          <w:szCs w:val="24"/>
          <w:lang w:val="sr-Cyrl-CS"/>
        </w:rPr>
        <w:t xml:space="preserve"> из свих расположивих извора и то је веома комплексан посао. </w:t>
      </w:r>
      <w:r w:rsidRPr="00850A8C">
        <w:rPr>
          <w:rFonts w:ascii="Times New Roman" w:hAnsi="Times New Roman"/>
          <w:sz w:val="24"/>
          <w:szCs w:val="24"/>
          <w:lang w:val="sr-Cyrl-CS"/>
        </w:rPr>
        <w:t xml:space="preserve">Системске активности локалне самопураве су веома значајне у </w:t>
      </w:r>
      <w:r>
        <w:rPr>
          <w:rFonts w:ascii="Times New Roman" w:hAnsi="Times New Roman"/>
          <w:sz w:val="24"/>
          <w:szCs w:val="24"/>
          <w:lang w:val="sr-Cyrl-CS"/>
        </w:rPr>
        <w:t xml:space="preserve">борби </w:t>
      </w:r>
      <w:r w:rsidRPr="00850A8C">
        <w:rPr>
          <w:rFonts w:ascii="Times New Roman" w:hAnsi="Times New Roman"/>
          <w:sz w:val="24"/>
          <w:szCs w:val="24"/>
          <w:lang w:val="sr-Cyrl-CS"/>
        </w:rPr>
        <w:t xml:space="preserve">против избегавања плаћања пореза на имовину. Ове активности обухватају уређивање евиденције пореских обвезника коришћењем различитих база података и теренске контроле, јачање капацитета локалних пореских администрација, ажурније слање опомена за неплаћени порез и покретање поступака принудне наплате. Значајно је и прилагођавање пореске стопе приликама на локалном нивоу. </w:t>
      </w:r>
    </w:p>
    <w:p w:rsidR="000726DA" w:rsidRDefault="000726DA" w:rsidP="000726DA">
      <w:pPr>
        <w:ind w:firstLine="708"/>
        <w:jc w:val="both"/>
        <w:rPr>
          <w:rFonts w:ascii="Times New Roman" w:hAnsi="Times New Roman"/>
          <w:sz w:val="24"/>
          <w:szCs w:val="24"/>
          <w:lang w:val="sr-Cyrl-CS"/>
        </w:rPr>
      </w:pPr>
      <w:r>
        <w:rPr>
          <w:rFonts w:ascii="Times New Roman" w:hAnsi="Times New Roman"/>
          <w:sz w:val="24"/>
          <w:szCs w:val="24"/>
          <w:lang w:val="sr-Cyrl-CS"/>
        </w:rPr>
        <w:t>Свеобухватнији подаци о непокретностима могу се добити уз укрштање база података којима располажу јединце локалне самоуправе као шт</w:t>
      </w:r>
      <w:r w:rsidR="00AD2528">
        <w:rPr>
          <w:rFonts w:ascii="Times New Roman" w:hAnsi="Times New Roman"/>
          <w:sz w:val="24"/>
          <w:szCs w:val="24"/>
          <w:lang w:val="sr-Cyrl-CS"/>
        </w:rPr>
        <w:t>о су бирачки спискови, грађевинс</w:t>
      </w:r>
      <w:r>
        <w:rPr>
          <w:rFonts w:ascii="Times New Roman" w:hAnsi="Times New Roman"/>
          <w:sz w:val="24"/>
          <w:szCs w:val="24"/>
          <w:lang w:val="sr-Cyrl-CS"/>
        </w:rPr>
        <w:t>ке дозволе и сл., као и уз бољу</w:t>
      </w:r>
      <w:r w:rsidRPr="00850A8C">
        <w:rPr>
          <w:rFonts w:ascii="Times New Roman" w:hAnsi="Times New Roman"/>
          <w:sz w:val="24"/>
          <w:szCs w:val="24"/>
          <w:lang w:val="sr-Cyrl-CS"/>
        </w:rPr>
        <w:t xml:space="preserve"> сарадњу локалних</w:t>
      </w:r>
      <w:r>
        <w:rPr>
          <w:rFonts w:ascii="Times New Roman" w:hAnsi="Times New Roman"/>
          <w:sz w:val="24"/>
          <w:szCs w:val="24"/>
          <w:lang w:val="sr-Cyrl-CS"/>
        </w:rPr>
        <w:t xml:space="preserve"> самоуправа са другим органима као што су Електродистрибуција, Републички геодетски завод и сл. и коришћење података са којима располажу. </w:t>
      </w:r>
      <w:r w:rsidRPr="00850A8C">
        <w:rPr>
          <w:rFonts w:ascii="Times New Roman" w:hAnsi="Times New Roman"/>
          <w:sz w:val="24"/>
          <w:szCs w:val="24"/>
          <w:lang w:val="sr-Cyrl-CS"/>
        </w:rPr>
        <w:t xml:space="preserve">Међутим, и поред </w:t>
      </w:r>
      <w:r>
        <w:rPr>
          <w:rFonts w:ascii="Times New Roman" w:hAnsi="Times New Roman"/>
          <w:sz w:val="24"/>
          <w:szCs w:val="24"/>
          <w:lang w:val="sr-Cyrl-CS"/>
        </w:rPr>
        <w:t xml:space="preserve">до сада </w:t>
      </w:r>
      <w:r w:rsidRPr="00850A8C">
        <w:rPr>
          <w:rFonts w:ascii="Times New Roman" w:hAnsi="Times New Roman"/>
          <w:sz w:val="24"/>
          <w:szCs w:val="24"/>
          <w:lang w:val="sr-Cyrl-CS"/>
        </w:rPr>
        <w:t xml:space="preserve">уложених напора значајан број непокретности је </w:t>
      </w:r>
      <w:r>
        <w:rPr>
          <w:rFonts w:ascii="Times New Roman" w:hAnsi="Times New Roman"/>
          <w:sz w:val="24"/>
          <w:szCs w:val="24"/>
          <w:lang w:val="sr-Cyrl-CS"/>
        </w:rPr>
        <w:t xml:space="preserve">и даље </w:t>
      </w:r>
      <w:r w:rsidRPr="00850A8C">
        <w:rPr>
          <w:rFonts w:ascii="Times New Roman" w:hAnsi="Times New Roman"/>
          <w:sz w:val="24"/>
          <w:szCs w:val="24"/>
          <w:lang w:val="sr-Cyrl-CS"/>
        </w:rPr>
        <w:t>ван евиденције.</w:t>
      </w:r>
    </w:p>
    <w:p w:rsidR="000726DA" w:rsidRPr="00C51AA1" w:rsidRDefault="000726DA" w:rsidP="000726DA">
      <w:pPr>
        <w:ind w:firstLine="708"/>
        <w:jc w:val="both"/>
        <w:rPr>
          <w:rFonts w:ascii="Times New Roman" w:hAnsi="Times New Roman"/>
          <w:sz w:val="24"/>
          <w:szCs w:val="24"/>
          <w:lang w:val="sr-Cyrl-CS"/>
        </w:rPr>
      </w:pPr>
      <w:r w:rsidRPr="00C51AA1">
        <w:rPr>
          <w:rFonts w:ascii="Times New Roman" w:hAnsi="Times New Roman"/>
          <w:sz w:val="24"/>
          <w:szCs w:val="24"/>
          <w:lang w:val="sr-Cyrl-CS"/>
        </w:rPr>
        <w:t>Значајан проблем представља и чињеница да грађани не станују на адре</w:t>
      </w:r>
      <w:r>
        <w:rPr>
          <w:rFonts w:ascii="Times New Roman" w:hAnsi="Times New Roman"/>
          <w:sz w:val="24"/>
          <w:szCs w:val="24"/>
          <w:lang w:val="sr-Cyrl-CS"/>
        </w:rPr>
        <w:t xml:space="preserve">си на којој су пријављени па </w:t>
      </w:r>
      <w:r w:rsidRPr="00C51AA1">
        <w:rPr>
          <w:rFonts w:ascii="Times New Roman" w:hAnsi="Times New Roman"/>
          <w:sz w:val="24"/>
          <w:szCs w:val="24"/>
          <w:lang w:val="sr-Cyrl-CS"/>
        </w:rPr>
        <w:t xml:space="preserve">самим то отежава уручивање пореских решења. Мимо тога, у пракси се дешава да купац не поднесе пријаву пореза на имовину, па се као порески обвезник и даље води претходни власник. Уколико нови власник не плаћа порез, ранији  власник може да дође у ситуацију да га пореска управа терети за неплаћени порез и затезну камату, а док он докаже да није више у поседу непокретности, може да дође до принудне наплате. У том случају мора тражити надокнаду од новог власника, а то у пракси увек доводи до проблема и још више компликује постојећу ситуацију. Такође, није ретка појава, нарочито када је пољопривредно земљиште у питању, да нови власник не пријави промену, а да претходни и даље уредно плаћа порез на имовину која није више у његовом поседу. Због тога је увек неопходно да се изврши провера  да ли је нови власник поднео пореску пријаву, а ако није, промену може да пријави и претходни власник уз доставу уговора или другог доказа. Такође, приликом куповине непокретности од великог значаја је да се извши провера да ли је претходник исплатио </w:t>
      </w:r>
      <w:r>
        <w:rPr>
          <w:rFonts w:ascii="Times New Roman" w:hAnsi="Times New Roman"/>
          <w:sz w:val="24"/>
          <w:szCs w:val="24"/>
          <w:lang w:val="sr-Cyrl-CS"/>
        </w:rPr>
        <w:t xml:space="preserve"> </w:t>
      </w:r>
      <w:r w:rsidRPr="00C51AA1">
        <w:rPr>
          <w:rFonts w:ascii="Times New Roman" w:hAnsi="Times New Roman"/>
          <w:sz w:val="24"/>
          <w:szCs w:val="24"/>
          <w:lang w:val="sr-Cyrl-CS"/>
        </w:rPr>
        <w:t>све доспеле рате пореза на имовину.</w:t>
      </w:r>
      <w:r w:rsidRPr="00C51AA1">
        <w:rPr>
          <w:rStyle w:val="FootnoteReference"/>
          <w:rFonts w:ascii="Times New Roman" w:hAnsi="Times New Roman"/>
          <w:sz w:val="24"/>
          <w:szCs w:val="24"/>
          <w:lang w:val="sr-Cyrl-CS"/>
        </w:rPr>
        <w:footnoteReference w:id="526"/>
      </w:r>
      <w:r>
        <w:rPr>
          <w:rFonts w:ascii="Times New Roman" w:hAnsi="Times New Roman"/>
          <w:sz w:val="24"/>
          <w:szCs w:val="24"/>
          <w:lang w:val="sr-Cyrl-CS"/>
        </w:rPr>
        <w:t xml:space="preserve"> </w:t>
      </w:r>
    </w:p>
    <w:p w:rsidR="000726DA" w:rsidRPr="00D36DAF" w:rsidRDefault="000726DA" w:rsidP="000726DA">
      <w:pPr>
        <w:ind w:firstLine="708"/>
        <w:jc w:val="both"/>
        <w:rPr>
          <w:rFonts w:ascii="Times New Roman" w:hAnsi="Times New Roman"/>
          <w:color w:val="000000"/>
          <w:sz w:val="24"/>
          <w:szCs w:val="24"/>
          <w:shd w:val="clear" w:color="auto" w:fill="FFFFFF"/>
          <w:lang w:val="sr-Cyrl-CS"/>
        </w:rPr>
      </w:pPr>
      <w:r w:rsidRPr="00D36DAF">
        <w:rPr>
          <w:rFonts w:ascii="Times New Roman" w:hAnsi="Times New Roman"/>
          <w:sz w:val="24"/>
          <w:szCs w:val="24"/>
          <w:lang w:val="sr-Cyrl-CS"/>
        </w:rPr>
        <w:t xml:space="preserve">Не треба занемарити чињеницу да је велики број непокретности оптерећен кредитама, те да многи грађани због постојеће економске ситуације и нивоа стандарда на други начин не би ни могли да купе непокретности. При том, </w:t>
      </w:r>
      <w:r w:rsidRPr="00D36DAF">
        <w:rPr>
          <w:rFonts w:ascii="Times New Roman" w:hAnsi="Times New Roman"/>
          <w:color w:val="000000"/>
          <w:sz w:val="24"/>
          <w:szCs w:val="24"/>
          <w:shd w:val="clear" w:color="auto" w:fill="FFFFFF"/>
          <w:lang w:val="sr-Cyrl-CS"/>
        </w:rPr>
        <w:t>п</w:t>
      </w:r>
      <w:r w:rsidRPr="00D36DAF">
        <w:rPr>
          <w:rFonts w:ascii="Times New Roman" w:hAnsi="Times New Roman"/>
          <w:color w:val="000000"/>
          <w:sz w:val="24"/>
          <w:szCs w:val="24"/>
          <w:shd w:val="clear" w:color="auto" w:fill="FFFFFF"/>
        </w:rPr>
        <w:t>роценат грађана који не могу више да отплаћују стамбене зајмове сада износи 1,6 одсто</w:t>
      </w:r>
      <w:r w:rsidRPr="00D36DAF">
        <w:rPr>
          <w:rFonts w:ascii="Times New Roman" w:hAnsi="Times New Roman"/>
          <w:color w:val="000000"/>
          <w:sz w:val="24"/>
          <w:szCs w:val="24"/>
          <w:shd w:val="clear" w:color="auto" w:fill="FFFFFF"/>
          <w:lang w:val="sr-Cyrl-CS"/>
        </w:rPr>
        <w:t xml:space="preserve"> и </w:t>
      </w:r>
      <w:r w:rsidRPr="00D36DAF">
        <w:rPr>
          <w:rFonts w:ascii="Times New Roman" w:hAnsi="Times New Roman"/>
          <w:color w:val="000000"/>
          <w:sz w:val="24"/>
          <w:szCs w:val="24"/>
          <w:shd w:val="clear" w:color="auto" w:fill="FFFFFF"/>
        </w:rPr>
        <w:t xml:space="preserve">3.938 породица дугује више од 5,6 милијарди </w:t>
      </w:r>
      <w:r w:rsidRPr="00D36DAF">
        <w:rPr>
          <w:rFonts w:ascii="Times New Roman" w:hAnsi="Times New Roman"/>
          <w:color w:val="000000"/>
          <w:sz w:val="24"/>
          <w:szCs w:val="24"/>
          <w:shd w:val="clear" w:color="auto" w:fill="FFFFFF"/>
          <w:lang w:val="sr-Cyrl-CS"/>
        </w:rPr>
        <w:t xml:space="preserve">динара па ће морати </w:t>
      </w:r>
      <w:r>
        <w:rPr>
          <w:rFonts w:ascii="Times New Roman" w:hAnsi="Times New Roman"/>
          <w:color w:val="000000"/>
          <w:sz w:val="24"/>
          <w:szCs w:val="24"/>
          <w:shd w:val="clear" w:color="auto" w:fill="FFFFFF"/>
          <w:lang w:val="sr-Cyrl-CS"/>
        </w:rPr>
        <w:t xml:space="preserve">да се исели из купљених станова, </w:t>
      </w:r>
      <w:r>
        <w:rPr>
          <w:rFonts w:ascii="Times New Roman" w:hAnsi="Times New Roman"/>
          <w:color w:val="000000"/>
          <w:sz w:val="24"/>
          <w:szCs w:val="24"/>
          <w:shd w:val="clear" w:color="auto" w:fill="FFFFFF"/>
          <w:lang w:val="sr-Cyrl-CS"/>
        </w:rPr>
        <w:lastRenderedPageBreak/>
        <w:t>што све још више компликује постојећу ситуацију администрирања пореза на имовину</w:t>
      </w:r>
      <w:r w:rsidRPr="00D36DAF">
        <w:rPr>
          <w:rFonts w:ascii="Times New Roman" w:hAnsi="Times New Roman"/>
          <w:color w:val="000000"/>
          <w:sz w:val="24"/>
          <w:szCs w:val="24"/>
          <w:shd w:val="clear" w:color="auto" w:fill="FFFFFF"/>
          <w:lang w:val="sr-Cyrl-CS"/>
        </w:rPr>
        <w:t>.</w:t>
      </w:r>
      <w:r w:rsidRPr="00D36DAF">
        <w:rPr>
          <w:rStyle w:val="FootnoteReference"/>
          <w:rFonts w:ascii="Times New Roman" w:hAnsi="Times New Roman"/>
          <w:color w:val="000000"/>
          <w:sz w:val="24"/>
          <w:szCs w:val="24"/>
          <w:shd w:val="clear" w:color="auto" w:fill="FFFFFF"/>
          <w:lang w:val="sr-Cyrl-CS"/>
        </w:rPr>
        <w:footnoteReference w:id="527"/>
      </w:r>
      <w:r w:rsidRPr="00D36DAF">
        <w:rPr>
          <w:rFonts w:ascii="Times New Roman" w:hAnsi="Times New Roman"/>
          <w:color w:val="000000"/>
          <w:sz w:val="24"/>
          <w:szCs w:val="24"/>
          <w:shd w:val="clear" w:color="auto" w:fill="FFFFFF"/>
          <w:lang w:val="sr-Cyrl-CS"/>
        </w:rPr>
        <w:t xml:space="preserve"> </w:t>
      </w:r>
      <w:r>
        <w:rPr>
          <w:rFonts w:ascii="Times New Roman" w:hAnsi="Times New Roman"/>
          <w:color w:val="000000"/>
          <w:sz w:val="24"/>
          <w:szCs w:val="24"/>
          <w:shd w:val="clear" w:color="auto" w:fill="FFFFFF"/>
          <w:lang w:val="sr-Cyrl-CS"/>
        </w:rPr>
        <w:t xml:space="preserve"> </w:t>
      </w:r>
    </w:p>
    <w:p w:rsidR="000726DA" w:rsidRDefault="000726DA" w:rsidP="000726DA">
      <w:pPr>
        <w:ind w:firstLine="708"/>
        <w:jc w:val="both"/>
        <w:rPr>
          <w:rFonts w:ascii="Times New Roman" w:hAnsi="Times New Roman"/>
          <w:sz w:val="24"/>
          <w:szCs w:val="24"/>
          <w:lang w:val="sr-Cyrl-CS"/>
        </w:rPr>
      </w:pPr>
      <w:r>
        <w:rPr>
          <w:rFonts w:ascii="Times New Roman" w:hAnsi="Times New Roman"/>
          <w:sz w:val="24"/>
          <w:szCs w:val="24"/>
          <w:lang w:val="sr-Cyrl-CS"/>
        </w:rPr>
        <w:t>Значај унапређења земљишне политике за инвестициону активн</w:t>
      </w:r>
      <w:r w:rsidR="00AD2528">
        <w:rPr>
          <w:rFonts w:ascii="Times New Roman" w:hAnsi="Times New Roman"/>
          <w:sz w:val="24"/>
          <w:szCs w:val="24"/>
          <w:lang w:val="sr-Cyrl-CS"/>
        </w:rPr>
        <w:t xml:space="preserve">ост земље се посебно наглашава </w:t>
      </w:r>
      <w:r>
        <w:rPr>
          <w:rFonts w:ascii="Times New Roman" w:hAnsi="Times New Roman"/>
          <w:sz w:val="24"/>
          <w:szCs w:val="24"/>
          <w:lang w:val="sr-Cyrl-CS"/>
        </w:rPr>
        <w:t xml:space="preserve"> у Фискалној стратегији.</w:t>
      </w:r>
      <w:r>
        <w:rPr>
          <w:rStyle w:val="FootnoteReference"/>
          <w:rFonts w:ascii="Times New Roman" w:hAnsi="Times New Roman"/>
          <w:sz w:val="24"/>
          <w:szCs w:val="24"/>
          <w:lang w:val="sr-Cyrl-CS"/>
        </w:rPr>
        <w:footnoteReference w:id="528"/>
      </w:r>
      <w:r>
        <w:rPr>
          <w:rFonts w:ascii="Times New Roman" w:hAnsi="Times New Roman"/>
          <w:sz w:val="24"/>
          <w:szCs w:val="24"/>
          <w:lang w:val="sr-Cyrl-CS"/>
        </w:rPr>
        <w:t xml:space="preserve"> Као основни правци се наводе: повећање сигурности имовинских права, побољшање</w:t>
      </w:r>
      <w:r w:rsidRPr="000D3232">
        <w:rPr>
          <w:rFonts w:ascii="Times New Roman" w:hAnsi="Times New Roman"/>
          <w:sz w:val="24"/>
          <w:szCs w:val="24"/>
          <w:lang w:val="sr-Cyrl-CS"/>
        </w:rPr>
        <w:t xml:space="preserve"> </w:t>
      </w:r>
      <w:r>
        <w:rPr>
          <w:rFonts w:ascii="Times New Roman" w:hAnsi="Times New Roman"/>
          <w:sz w:val="24"/>
          <w:szCs w:val="24"/>
          <w:lang w:val="sr-Cyrl-CS"/>
        </w:rPr>
        <w:t>управљања</w:t>
      </w:r>
      <w:r w:rsidRPr="000D3232">
        <w:rPr>
          <w:rFonts w:ascii="Times New Roman" w:hAnsi="Times New Roman"/>
          <w:sz w:val="24"/>
          <w:szCs w:val="24"/>
          <w:lang w:val="sr-Cyrl-CS"/>
        </w:rPr>
        <w:t xml:space="preserve"> </w:t>
      </w:r>
      <w:r>
        <w:rPr>
          <w:rFonts w:ascii="Times New Roman" w:hAnsi="Times New Roman"/>
          <w:sz w:val="24"/>
          <w:szCs w:val="24"/>
          <w:lang w:val="sr-Cyrl-CS"/>
        </w:rPr>
        <w:t>земљиштем</w:t>
      </w:r>
      <w:r w:rsidRPr="000D3232">
        <w:rPr>
          <w:rFonts w:ascii="Times New Roman" w:hAnsi="Times New Roman"/>
          <w:sz w:val="24"/>
          <w:szCs w:val="24"/>
          <w:lang w:val="sr-Cyrl-CS"/>
        </w:rPr>
        <w:t xml:space="preserve"> </w:t>
      </w:r>
      <w:r>
        <w:rPr>
          <w:rFonts w:ascii="Times New Roman" w:hAnsi="Times New Roman"/>
          <w:sz w:val="24"/>
          <w:szCs w:val="24"/>
          <w:lang w:val="sr-Cyrl-CS"/>
        </w:rPr>
        <w:t>кроз поједностављење и скраћење поступка</w:t>
      </w:r>
      <w:r w:rsidRPr="000D3232">
        <w:rPr>
          <w:rFonts w:ascii="Times New Roman" w:hAnsi="Times New Roman"/>
          <w:sz w:val="24"/>
          <w:szCs w:val="24"/>
          <w:lang w:val="sr-Cyrl-CS"/>
        </w:rPr>
        <w:t xml:space="preserve"> </w:t>
      </w:r>
      <w:r>
        <w:rPr>
          <w:rFonts w:ascii="Times New Roman" w:hAnsi="Times New Roman"/>
          <w:sz w:val="24"/>
          <w:szCs w:val="24"/>
          <w:lang w:val="sr-Cyrl-CS"/>
        </w:rPr>
        <w:t>издавања</w:t>
      </w:r>
      <w:r w:rsidRPr="000D3232">
        <w:rPr>
          <w:rFonts w:ascii="Times New Roman" w:hAnsi="Times New Roman"/>
          <w:sz w:val="24"/>
          <w:szCs w:val="24"/>
          <w:lang w:val="sr-Cyrl-CS"/>
        </w:rPr>
        <w:t xml:space="preserve"> </w:t>
      </w:r>
      <w:r>
        <w:rPr>
          <w:rFonts w:ascii="Times New Roman" w:hAnsi="Times New Roman"/>
          <w:sz w:val="24"/>
          <w:szCs w:val="24"/>
          <w:lang w:val="sr-Cyrl-CS"/>
        </w:rPr>
        <w:t>дозвола</w:t>
      </w:r>
      <w:r w:rsidRPr="000D3232">
        <w:rPr>
          <w:rFonts w:ascii="Times New Roman" w:hAnsi="Times New Roman"/>
          <w:sz w:val="24"/>
          <w:szCs w:val="24"/>
          <w:lang w:val="sr-Cyrl-CS"/>
        </w:rPr>
        <w:t xml:space="preserve">, </w:t>
      </w:r>
      <w:r>
        <w:rPr>
          <w:rFonts w:ascii="Times New Roman" w:hAnsi="Times New Roman"/>
          <w:sz w:val="24"/>
          <w:szCs w:val="24"/>
          <w:lang w:val="sr-Cyrl-CS"/>
        </w:rPr>
        <w:t>легализацију</w:t>
      </w:r>
      <w:r w:rsidRPr="000D3232">
        <w:rPr>
          <w:rFonts w:ascii="Times New Roman" w:hAnsi="Times New Roman"/>
          <w:sz w:val="24"/>
          <w:szCs w:val="24"/>
          <w:lang w:val="sr-Cyrl-CS"/>
        </w:rPr>
        <w:t xml:space="preserve"> </w:t>
      </w:r>
      <w:r>
        <w:rPr>
          <w:rFonts w:ascii="Times New Roman" w:hAnsi="Times New Roman"/>
          <w:sz w:val="24"/>
          <w:szCs w:val="24"/>
          <w:lang w:val="sr-Cyrl-CS"/>
        </w:rPr>
        <w:t>објеката</w:t>
      </w:r>
      <w:r w:rsidRPr="000D3232">
        <w:rPr>
          <w:rFonts w:ascii="Times New Roman" w:hAnsi="Times New Roman"/>
          <w:sz w:val="24"/>
          <w:szCs w:val="24"/>
          <w:lang w:val="sr-Cyrl-CS"/>
        </w:rPr>
        <w:t xml:space="preserve"> </w:t>
      </w:r>
      <w:r>
        <w:rPr>
          <w:rFonts w:ascii="Times New Roman" w:hAnsi="Times New Roman"/>
          <w:sz w:val="24"/>
          <w:szCs w:val="24"/>
          <w:lang w:val="sr-Cyrl-CS"/>
        </w:rPr>
        <w:t>и</w:t>
      </w:r>
      <w:r w:rsidRPr="000D3232">
        <w:rPr>
          <w:rFonts w:ascii="Times New Roman" w:hAnsi="Times New Roman"/>
          <w:sz w:val="24"/>
          <w:szCs w:val="24"/>
          <w:lang w:val="sr-Cyrl-CS"/>
        </w:rPr>
        <w:t xml:space="preserve"> </w:t>
      </w:r>
      <w:r>
        <w:rPr>
          <w:rFonts w:ascii="Times New Roman" w:hAnsi="Times New Roman"/>
          <w:sz w:val="24"/>
          <w:szCs w:val="24"/>
          <w:lang w:val="sr-Cyrl-CS"/>
        </w:rPr>
        <w:t>насеља</w:t>
      </w:r>
      <w:r w:rsidRPr="000D3232">
        <w:rPr>
          <w:rFonts w:ascii="Times New Roman" w:hAnsi="Times New Roman"/>
          <w:sz w:val="24"/>
          <w:szCs w:val="24"/>
          <w:lang w:val="sr-Cyrl-CS"/>
        </w:rPr>
        <w:t xml:space="preserve"> </w:t>
      </w:r>
      <w:r>
        <w:rPr>
          <w:rFonts w:ascii="Times New Roman" w:hAnsi="Times New Roman"/>
          <w:sz w:val="24"/>
          <w:szCs w:val="24"/>
          <w:lang w:val="sr-Cyrl-CS"/>
        </w:rPr>
        <w:t>и</w:t>
      </w:r>
      <w:r w:rsidRPr="000D3232">
        <w:rPr>
          <w:rFonts w:ascii="Times New Roman" w:hAnsi="Times New Roman"/>
          <w:sz w:val="24"/>
          <w:szCs w:val="24"/>
          <w:lang w:val="sr-Cyrl-CS"/>
        </w:rPr>
        <w:t xml:space="preserve"> </w:t>
      </w:r>
      <w:r>
        <w:rPr>
          <w:rFonts w:ascii="Times New Roman" w:hAnsi="Times New Roman"/>
          <w:sz w:val="24"/>
          <w:szCs w:val="24"/>
          <w:lang w:val="sr-Cyrl-CS"/>
        </w:rPr>
        <w:t>укрупњавање</w:t>
      </w:r>
      <w:r w:rsidRPr="000D3232">
        <w:rPr>
          <w:rFonts w:ascii="Times New Roman" w:hAnsi="Times New Roman"/>
          <w:sz w:val="24"/>
          <w:szCs w:val="24"/>
          <w:lang w:val="sr-Cyrl-CS"/>
        </w:rPr>
        <w:t xml:space="preserve"> </w:t>
      </w:r>
      <w:r>
        <w:rPr>
          <w:rFonts w:ascii="Times New Roman" w:hAnsi="Times New Roman"/>
          <w:sz w:val="24"/>
          <w:szCs w:val="24"/>
          <w:lang w:val="sr-Cyrl-CS"/>
        </w:rPr>
        <w:t>пољопривредног</w:t>
      </w:r>
      <w:r w:rsidRPr="000D3232">
        <w:rPr>
          <w:rFonts w:ascii="Times New Roman" w:hAnsi="Times New Roman"/>
          <w:sz w:val="24"/>
          <w:szCs w:val="24"/>
          <w:lang w:val="sr-Cyrl-CS"/>
        </w:rPr>
        <w:t xml:space="preserve"> </w:t>
      </w:r>
      <w:r>
        <w:rPr>
          <w:rFonts w:ascii="Times New Roman" w:hAnsi="Times New Roman"/>
          <w:sz w:val="24"/>
          <w:szCs w:val="24"/>
          <w:lang w:val="sr-Cyrl-CS"/>
        </w:rPr>
        <w:t>земљишта</w:t>
      </w:r>
      <w:r w:rsidRPr="000D3232">
        <w:rPr>
          <w:rFonts w:ascii="Times New Roman" w:hAnsi="Times New Roman"/>
          <w:sz w:val="24"/>
          <w:szCs w:val="24"/>
          <w:lang w:val="sr-Cyrl-CS"/>
        </w:rPr>
        <w:t xml:space="preserve"> </w:t>
      </w:r>
      <w:r>
        <w:rPr>
          <w:rFonts w:ascii="Times New Roman" w:hAnsi="Times New Roman"/>
          <w:sz w:val="24"/>
          <w:szCs w:val="24"/>
          <w:lang w:val="sr-Cyrl-CS"/>
        </w:rPr>
        <w:t>(које</w:t>
      </w:r>
      <w:r w:rsidRPr="000D3232">
        <w:rPr>
          <w:rFonts w:ascii="Times New Roman" w:hAnsi="Times New Roman"/>
          <w:sz w:val="24"/>
          <w:szCs w:val="24"/>
          <w:lang w:val="sr-Cyrl-CS"/>
        </w:rPr>
        <w:t xml:space="preserve"> </w:t>
      </w:r>
      <w:r>
        <w:rPr>
          <w:rFonts w:ascii="Times New Roman" w:hAnsi="Times New Roman"/>
          <w:sz w:val="24"/>
          <w:szCs w:val="24"/>
          <w:lang w:val="sr-Cyrl-CS"/>
        </w:rPr>
        <w:t>је</w:t>
      </w:r>
      <w:r w:rsidRPr="000D3232">
        <w:rPr>
          <w:rFonts w:ascii="Times New Roman" w:hAnsi="Times New Roman"/>
          <w:sz w:val="24"/>
          <w:szCs w:val="24"/>
          <w:lang w:val="sr-Cyrl-CS"/>
        </w:rPr>
        <w:t xml:space="preserve"> </w:t>
      </w:r>
      <w:r>
        <w:rPr>
          <w:rFonts w:ascii="Times New Roman" w:hAnsi="Times New Roman"/>
          <w:sz w:val="24"/>
          <w:szCs w:val="24"/>
          <w:lang w:val="sr-Cyrl-CS"/>
        </w:rPr>
        <w:t>у</w:t>
      </w:r>
      <w:r w:rsidRPr="000D3232">
        <w:rPr>
          <w:rFonts w:ascii="Times New Roman" w:hAnsi="Times New Roman"/>
          <w:sz w:val="24"/>
          <w:szCs w:val="24"/>
          <w:lang w:val="sr-Cyrl-CS"/>
        </w:rPr>
        <w:t xml:space="preserve"> </w:t>
      </w:r>
      <w:r>
        <w:rPr>
          <w:rFonts w:ascii="Times New Roman" w:hAnsi="Times New Roman"/>
          <w:sz w:val="24"/>
          <w:szCs w:val="24"/>
          <w:lang w:val="sr-Cyrl-CS"/>
        </w:rPr>
        <w:t>Србији</w:t>
      </w:r>
      <w:r w:rsidRPr="000D3232">
        <w:rPr>
          <w:rFonts w:ascii="Times New Roman" w:hAnsi="Times New Roman"/>
          <w:sz w:val="24"/>
          <w:szCs w:val="24"/>
          <w:lang w:val="sr-Cyrl-CS"/>
        </w:rPr>
        <w:t xml:space="preserve">, </w:t>
      </w:r>
      <w:r>
        <w:rPr>
          <w:rFonts w:ascii="Times New Roman" w:hAnsi="Times New Roman"/>
          <w:sz w:val="24"/>
          <w:szCs w:val="24"/>
          <w:lang w:val="sr-Cyrl-CS"/>
        </w:rPr>
        <w:t>према</w:t>
      </w:r>
      <w:r w:rsidRPr="000D3232">
        <w:rPr>
          <w:rFonts w:ascii="Times New Roman" w:hAnsi="Times New Roman"/>
          <w:sz w:val="24"/>
          <w:szCs w:val="24"/>
          <w:lang w:val="sr-Cyrl-CS"/>
        </w:rPr>
        <w:t xml:space="preserve"> </w:t>
      </w:r>
      <w:r>
        <w:rPr>
          <w:rFonts w:ascii="Times New Roman" w:hAnsi="Times New Roman"/>
          <w:sz w:val="24"/>
          <w:szCs w:val="24"/>
          <w:lang w:val="sr-Cyrl-CS"/>
        </w:rPr>
        <w:t>стандардима</w:t>
      </w:r>
      <w:r w:rsidRPr="000D3232">
        <w:rPr>
          <w:rFonts w:ascii="Times New Roman" w:hAnsi="Times New Roman"/>
          <w:sz w:val="24"/>
          <w:szCs w:val="24"/>
          <w:lang w:val="sr-Cyrl-CS"/>
        </w:rPr>
        <w:t xml:space="preserve"> </w:t>
      </w:r>
      <w:r>
        <w:rPr>
          <w:rFonts w:ascii="Times New Roman" w:hAnsi="Times New Roman"/>
          <w:sz w:val="24"/>
          <w:szCs w:val="24"/>
          <w:lang w:val="sr-Cyrl-CS"/>
        </w:rPr>
        <w:t>ЕУ</w:t>
      </w:r>
      <w:r w:rsidRPr="000D3232">
        <w:rPr>
          <w:rFonts w:ascii="Times New Roman" w:hAnsi="Times New Roman"/>
          <w:sz w:val="24"/>
          <w:szCs w:val="24"/>
          <w:lang w:val="sr-Cyrl-CS"/>
        </w:rPr>
        <w:t xml:space="preserve">, </w:t>
      </w:r>
      <w:r>
        <w:rPr>
          <w:rFonts w:ascii="Times New Roman" w:hAnsi="Times New Roman"/>
          <w:sz w:val="24"/>
          <w:szCs w:val="24"/>
          <w:lang w:val="sr-Cyrl-CS"/>
        </w:rPr>
        <w:t>уситњено</w:t>
      </w:r>
      <w:r w:rsidRPr="000D3232">
        <w:rPr>
          <w:rFonts w:ascii="Times New Roman" w:hAnsi="Times New Roman"/>
          <w:sz w:val="24"/>
          <w:szCs w:val="24"/>
          <w:lang w:val="sr-Cyrl-CS"/>
        </w:rPr>
        <w:t xml:space="preserve">, </w:t>
      </w:r>
      <w:r>
        <w:rPr>
          <w:rFonts w:ascii="Times New Roman" w:hAnsi="Times New Roman"/>
          <w:sz w:val="24"/>
          <w:szCs w:val="24"/>
          <w:lang w:val="sr-Cyrl-CS"/>
        </w:rPr>
        <w:t>поскупљује</w:t>
      </w:r>
      <w:r w:rsidRPr="000D3232">
        <w:rPr>
          <w:rFonts w:ascii="Times New Roman" w:hAnsi="Times New Roman"/>
          <w:sz w:val="24"/>
          <w:szCs w:val="24"/>
          <w:lang w:val="sr-Cyrl-CS"/>
        </w:rPr>
        <w:t xml:space="preserve"> </w:t>
      </w:r>
      <w:r>
        <w:rPr>
          <w:rFonts w:ascii="Times New Roman" w:hAnsi="Times New Roman"/>
          <w:sz w:val="24"/>
          <w:szCs w:val="24"/>
          <w:lang w:val="sr-Cyrl-CS"/>
        </w:rPr>
        <w:t>производњу</w:t>
      </w:r>
      <w:r w:rsidRPr="000D3232">
        <w:rPr>
          <w:rFonts w:ascii="Times New Roman" w:hAnsi="Times New Roman"/>
          <w:sz w:val="24"/>
          <w:szCs w:val="24"/>
          <w:lang w:val="sr-Cyrl-CS"/>
        </w:rPr>
        <w:t xml:space="preserve"> </w:t>
      </w:r>
      <w:r>
        <w:rPr>
          <w:rFonts w:ascii="Times New Roman" w:hAnsi="Times New Roman"/>
          <w:sz w:val="24"/>
          <w:szCs w:val="24"/>
          <w:lang w:val="sr-Cyrl-CS"/>
        </w:rPr>
        <w:t>и</w:t>
      </w:r>
      <w:r w:rsidRPr="000D3232">
        <w:rPr>
          <w:rFonts w:ascii="Times New Roman" w:hAnsi="Times New Roman"/>
          <w:sz w:val="24"/>
          <w:szCs w:val="24"/>
          <w:lang w:val="sr-Cyrl-CS"/>
        </w:rPr>
        <w:t xml:space="preserve"> </w:t>
      </w:r>
      <w:r>
        <w:rPr>
          <w:rFonts w:ascii="Times New Roman" w:hAnsi="Times New Roman"/>
          <w:sz w:val="24"/>
          <w:szCs w:val="24"/>
          <w:lang w:val="sr-Cyrl-CS"/>
        </w:rPr>
        <w:t>обесхрабрује</w:t>
      </w:r>
      <w:r w:rsidRPr="000D3232">
        <w:rPr>
          <w:rFonts w:ascii="Times New Roman" w:hAnsi="Times New Roman"/>
          <w:sz w:val="24"/>
          <w:szCs w:val="24"/>
          <w:lang w:val="sr-Cyrl-CS"/>
        </w:rPr>
        <w:t xml:space="preserve"> </w:t>
      </w:r>
      <w:r>
        <w:rPr>
          <w:rFonts w:ascii="Times New Roman" w:hAnsi="Times New Roman"/>
          <w:sz w:val="24"/>
          <w:szCs w:val="24"/>
          <w:lang w:val="sr-Cyrl-CS"/>
        </w:rPr>
        <w:t>инвеститоре)</w:t>
      </w:r>
      <w:r w:rsidRPr="000D3232">
        <w:rPr>
          <w:rFonts w:ascii="Times New Roman" w:hAnsi="Times New Roman"/>
          <w:sz w:val="24"/>
          <w:szCs w:val="24"/>
          <w:lang w:val="sr-Cyrl-CS"/>
        </w:rPr>
        <w:t>;</w:t>
      </w:r>
      <w:r>
        <w:rPr>
          <w:rFonts w:ascii="Times New Roman" w:hAnsi="Times New Roman"/>
          <w:sz w:val="24"/>
          <w:szCs w:val="24"/>
          <w:lang w:val="sr-Cyrl-CS"/>
        </w:rPr>
        <w:t xml:space="preserve"> јачање</w:t>
      </w:r>
      <w:r w:rsidRPr="000D3232">
        <w:rPr>
          <w:rFonts w:ascii="Times New Roman" w:hAnsi="Times New Roman"/>
          <w:sz w:val="24"/>
          <w:szCs w:val="24"/>
          <w:lang w:val="sr-Cyrl-CS"/>
        </w:rPr>
        <w:t xml:space="preserve"> </w:t>
      </w:r>
      <w:r>
        <w:rPr>
          <w:rFonts w:ascii="Times New Roman" w:hAnsi="Times New Roman"/>
          <w:sz w:val="24"/>
          <w:szCs w:val="24"/>
          <w:lang w:val="sr-Cyrl-CS"/>
        </w:rPr>
        <w:t>капацитета</w:t>
      </w:r>
      <w:r w:rsidRPr="000D3232">
        <w:rPr>
          <w:rFonts w:ascii="Times New Roman" w:hAnsi="Times New Roman"/>
          <w:sz w:val="24"/>
          <w:szCs w:val="24"/>
          <w:lang w:val="sr-Cyrl-CS"/>
        </w:rPr>
        <w:t xml:space="preserve"> </w:t>
      </w:r>
      <w:r>
        <w:rPr>
          <w:rFonts w:ascii="Times New Roman" w:hAnsi="Times New Roman"/>
          <w:sz w:val="24"/>
          <w:szCs w:val="24"/>
          <w:lang w:val="sr-Cyrl-CS"/>
        </w:rPr>
        <w:t>и</w:t>
      </w:r>
      <w:r w:rsidRPr="000D3232">
        <w:rPr>
          <w:rFonts w:ascii="Times New Roman" w:hAnsi="Times New Roman"/>
          <w:sz w:val="24"/>
          <w:szCs w:val="24"/>
          <w:lang w:val="sr-Cyrl-CS"/>
        </w:rPr>
        <w:t xml:space="preserve"> </w:t>
      </w:r>
      <w:r>
        <w:rPr>
          <w:rFonts w:ascii="Times New Roman" w:hAnsi="Times New Roman"/>
          <w:sz w:val="24"/>
          <w:szCs w:val="24"/>
          <w:lang w:val="sr-Cyrl-CS"/>
        </w:rPr>
        <w:t>система</w:t>
      </w:r>
      <w:r w:rsidRPr="000D3232">
        <w:rPr>
          <w:rFonts w:ascii="Times New Roman" w:hAnsi="Times New Roman"/>
          <w:sz w:val="24"/>
          <w:szCs w:val="24"/>
          <w:lang w:val="sr-Cyrl-CS"/>
        </w:rPr>
        <w:t xml:space="preserve"> </w:t>
      </w:r>
      <w:r>
        <w:rPr>
          <w:rFonts w:ascii="Times New Roman" w:hAnsi="Times New Roman"/>
          <w:sz w:val="24"/>
          <w:szCs w:val="24"/>
          <w:lang w:val="sr-Cyrl-CS"/>
        </w:rPr>
        <w:t>за</w:t>
      </w:r>
      <w:r w:rsidRPr="000D3232">
        <w:rPr>
          <w:rFonts w:ascii="Times New Roman" w:hAnsi="Times New Roman"/>
          <w:sz w:val="24"/>
          <w:szCs w:val="24"/>
          <w:lang w:val="sr-Cyrl-CS"/>
        </w:rPr>
        <w:t xml:space="preserve"> </w:t>
      </w:r>
      <w:r>
        <w:rPr>
          <w:rFonts w:ascii="Times New Roman" w:hAnsi="Times New Roman"/>
          <w:sz w:val="24"/>
          <w:szCs w:val="24"/>
          <w:lang w:val="sr-Cyrl-CS"/>
        </w:rPr>
        <w:t>управљање</w:t>
      </w:r>
      <w:r w:rsidRPr="000D3232">
        <w:rPr>
          <w:rFonts w:ascii="Times New Roman" w:hAnsi="Times New Roman"/>
          <w:sz w:val="24"/>
          <w:szCs w:val="24"/>
          <w:lang w:val="sr-Cyrl-CS"/>
        </w:rPr>
        <w:t xml:space="preserve"> </w:t>
      </w:r>
      <w:r>
        <w:rPr>
          <w:rFonts w:ascii="Times New Roman" w:hAnsi="Times New Roman"/>
          <w:sz w:val="24"/>
          <w:szCs w:val="24"/>
          <w:lang w:val="sr-Cyrl-CS"/>
        </w:rPr>
        <w:t>државним</w:t>
      </w:r>
      <w:r w:rsidRPr="000D3232">
        <w:rPr>
          <w:rFonts w:ascii="Times New Roman" w:hAnsi="Times New Roman"/>
          <w:sz w:val="24"/>
          <w:szCs w:val="24"/>
          <w:lang w:val="sr-Cyrl-CS"/>
        </w:rPr>
        <w:t xml:space="preserve"> </w:t>
      </w:r>
      <w:r>
        <w:rPr>
          <w:rFonts w:ascii="Times New Roman" w:hAnsi="Times New Roman"/>
          <w:sz w:val="24"/>
          <w:szCs w:val="24"/>
          <w:lang w:val="sr-Cyrl-CS"/>
        </w:rPr>
        <w:t>земљиштем</w:t>
      </w:r>
      <w:r w:rsidRPr="000D3232">
        <w:rPr>
          <w:rFonts w:ascii="Times New Roman" w:hAnsi="Times New Roman"/>
          <w:sz w:val="24"/>
          <w:szCs w:val="24"/>
          <w:lang w:val="sr-Cyrl-CS"/>
        </w:rPr>
        <w:t xml:space="preserve">, </w:t>
      </w:r>
      <w:r>
        <w:rPr>
          <w:rFonts w:ascii="Times New Roman" w:hAnsi="Times New Roman"/>
          <w:sz w:val="24"/>
          <w:szCs w:val="24"/>
          <w:lang w:val="sr-Cyrl-CS"/>
        </w:rPr>
        <w:t>оспособљавање</w:t>
      </w:r>
      <w:r w:rsidRPr="000D3232">
        <w:rPr>
          <w:rFonts w:ascii="Times New Roman" w:hAnsi="Times New Roman"/>
          <w:sz w:val="24"/>
          <w:szCs w:val="24"/>
          <w:lang w:val="sr-Cyrl-CS"/>
        </w:rPr>
        <w:t xml:space="preserve"> </w:t>
      </w:r>
      <w:r>
        <w:rPr>
          <w:rFonts w:ascii="Times New Roman" w:hAnsi="Times New Roman"/>
          <w:sz w:val="24"/>
          <w:szCs w:val="24"/>
          <w:lang w:val="sr-Cyrl-CS"/>
        </w:rPr>
        <w:t>земљишне</w:t>
      </w:r>
      <w:r w:rsidRPr="000D3232">
        <w:rPr>
          <w:rFonts w:ascii="Times New Roman" w:hAnsi="Times New Roman"/>
          <w:sz w:val="24"/>
          <w:szCs w:val="24"/>
          <w:lang w:val="sr-Cyrl-CS"/>
        </w:rPr>
        <w:t xml:space="preserve"> </w:t>
      </w:r>
      <w:r>
        <w:rPr>
          <w:rFonts w:ascii="Times New Roman" w:hAnsi="Times New Roman"/>
          <w:sz w:val="24"/>
          <w:szCs w:val="24"/>
          <w:lang w:val="sr-Cyrl-CS"/>
        </w:rPr>
        <w:t>администрације</w:t>
      </w:r>
      <w:r w:rsidRPr="000D3232">
        <w:rPr>
          <w:rFonts w:ascii="Times New Roman" w:hAnsi="Times New Roman"/>
          <w:sz w:val="24"/>
          <w:szCs w:val="24"/>
          <w:lang w:val="sr-Cyrl-CS"/>
        </w:rPr>
        <w:t xml:space="preserve"> </w:t>
      </w:r>
      <w:r>
        <w:rPr>
          <w:rFonts w:ascii="Times New Roman" w:hAnsi="Times New Roman"/>
          <w:sz w:val="24"/>
          <w:szCs w:val="24"/>
          <w:lang w:val="sr-Cyrl-CS"/>
        </w:rPr>
        <w:t>на</w:t>
      </w:r>
      <w:r w:rsidRPr="000D3232">
        <w:rPr>
          <w:rFonts w:ascii="Times New Roman" w:hAnsi="Times New Roman"/>
          <w:sz w:val="24"/>
          <w:szCs w:val="24"/>
          <w:lang w:val="sr-Cyrl-CS"/>
        </w:rPr>
        <w:t xml:space="preserve"> </w:t>
      </w:r>
      <w:r>
        <w:rPr>
          <w:rFonts w:ascii="Times New Roman" w:hAnsi="Times New Roman"/>
          <w:sz w:val="24"/>
          <w:szCs w:val="24"/>
          <w:lang w:val="sr-Cyrl-CS"/>
        </w:rPr>
        <w:t>републичком</w:t>
      </w:r>
      <w:r w:rsidRPr="000D3232">
        <w:rPr>
          <w:rFonts w:ascii="Times New Roman" w:hAnsi="Times New Roman"/>
          <w:sz w:val="24"/>
          <w:szCs w:val="24"/>
          <w:lang w:val="sr-Cyrl-CS"/>
        </w:rPr>
        <w:t xml:space="preserve"> </w:t>
      </w:r>
      <w:r>
        <w:rPr>
          <w:rFonts w:ascii="Times New Roman" w:hAnsi="Times New Roman"/>
          <w:sz w:val="24"/>
          <w:szCs w:val="24"/>
          <w:lang w:val="sr-Cyrl-CS"/>
        </w:rPr>
        <w:t>и</w:t>
      </w:r>
      <w:r w:rsidRPr="000D3232">
        <w:rPr>
          <w:rFonts w:ascii="Times New Roman" w:hAnsi="Times New Roman"/>
          <w:sz w:val="24"/>
          <w:szCs w:val="24"/>
          <w:lang w:val="sr-Cyrl-CS"/>
        </w:rPr>
        <w:t xml:space="preserve"> </w:t>
      </w:r>
      <w:r>
        <w:rPr>
          <w:rFonts w:ascii="Times New Roman" w:hAnsi="Times New Roman"/>
          <w:sz w:val="24"/>
          <w:szCs w:val="24"/>
          <w:lang w:val="sr-Cyrl-CS"/>
        </w:rPr>
        <w:t>локалним</w:t>
      </w:r>
      <w:r w:rsidRPr="000D3232">
        <w:rPr>
          <w:rFonts w:ascii="Times New Roman" w:hAnsi="Times New Roman"/>
          <w:sz w:val="24"/>
          <w:szCs w:val="24"/>
          <w:lang w:val="sr-Cyrl-CS"/>
        </w:rPr>
        <w:t xml:space="preserve"> </w:t>
      </w:r>
      <w:r>
        <w:rPr>
          <w:rFonts w:ascii="Times New Roman" w:hAnsi="Times New Roman"/>
          <w:sz w:val="24"/>
          <w:szCs w:val="24"/>
          <w:lang w:val="sr-Cyrl-CS"/>
        </w:rPr>
        <w:t>нивоима</w:t>
      </w:r>
      <w:r w:rsidRPr="000D3232">
        <w:rPr>
          <w:rFonts w:ascii="Times New Roman" w:hAnsi="Times New Roman"/>
          <w:sz w:val="24"/>
          <w:szCs w:val="24"/>
          <w:lang w:val="sr-Cyrl-CS"/>
        </w:rPr>
        <w:t xml:space="preserve">, </w:t>
      </w:r>
      <w:r>
        <w:rPr>
          <w:rFonts w:ascii="Times New Roman" w:hAnsi="Times New Roman"/>
          <w:sz w:val="24"/>
          <w:szCs w:val="24"/>
          <w:lang w:val="sr-Cyrl-CS"/>
        </w:rPr>
        <w:t>побољшање</w:t>
      </w:r>
      <w:r w:rsidRPr="000D3232">
        <w:rPr>
          <w:rFonts w:ascii="Times New Roman" w:hAnsi="Times New Roman"/>
          <w:sz w:val="24"/>
          <w:szCs w:val="24"/>
          <w:lang w:val="sr-Cyrl-CS"/>
        </w:rPr>
        <w:t xml:space="preserve"> </w:t>
      </w:r>
      <w:r>
        <w:rPr>
          <w:rFonts w:ascii="Times New Roman" w:hAnsi="Times New Roman"/>
          <w:sz w:val="24"/>
          <w:szCs w:val="24"/>
          <w:lang w:val="sr-Cyrl-CS"/>
        </w:rPr>
        <w:t>процене</w:t>
      </w:r>
      <w:r w:rsidRPr="000D3232">
        <w:rPr>
          <w:rFonts w:ascii="Times New Roman" w:hAnsi="Times New Roman"/>
          <w:sz w:val="24"/>
          <w:szCs w:val="24"/>
          <w:lang w:val="sr-Cyrl-CS"/>
        </w:rPr>
        <w:t xml:space="preserve"> </w:t>
      </w:r>
      <w:r>
        <w:rPr>
          <w:rFonts w:ascii="Times New Roman" w:hAnsi="Times New Roman"/>
          <w:sz w:val="24"/>
          <w:szCs w:val="24"/>
          <w:lang w:val="sr-Cyrl-CS"/>
        </w:rPr>
        <w:t>вредности</w:t>
      </w:r>
      <w:r w:rsidRPr="000D3232">
        <w:rPr>
          <w:rFonts w:ascii="Times New Roman" w:hAnsi="Times New Roman"/>
          <w:sz w:val="24"/>
          <w:szCs w:val="24"/>
          <w:lang w:val="sr-Cyrl-CS"/>
        </w:rPr>
        <w:t xml:space="preserve"> </w:t>
      </w:r>
      <w:r>
        <w:rPr>
          <w:rFonts w:ascii="Times New Roman" w:hAnsi="Times New Roman"/>
          <w:sz w:val="24"/>
          <w:szCs w:val="24"/>
          <w:lang w:val="sr-Cyrl-CS"/>
        </w:rPr>
        <w:t>земљишта</w:t>
      </w:r>
      <w:r w:rsidRPr="000D3232">
        <w:rPr>
          <w:rFonts w:ascii="Times New Roman" w:hAnsi="Times New Roman"/>
          <w:sz w:val="24"/>
          <w:szCs w:val="24"/>
          <w:lang w:val="sr-Cyrl-CS"/>
        </w:rPr>
        <w:t xml:space="preserve"> </w:t>
      </w:r>
      <w:r>
        <w:rPr>
          <w:rFonts w:ascii="Times New Roman" w:hAnsi="Times New Roman"/>
          <w:sz w:val="24"/>
          <w:szCs w:val="24"/>
          <w:lang w:val="sr-Cyrl-CS"/>
        </w:rPr>
        <w:t>и</w:t>
      </w:r>
      <w:r w:rsidRPr="000D3232">
        <w:rPr>
          <w:rFonts w:ascii="Times New Roman" w:hAnsi="Times New Roman"/>
          <w:sz w:val="24"/>
          <w:szCs w:val="24"/>
          <w:lang w:val="sr-Cyrl-CS"/>
        </w:rPr>
        <w:t xml:space="preserve"> </w:t>
      </w:r>
      <w:r>
        <w:rPr>
          <w:rFonts w:ascii="Times New Roman" w:hAnsi="Times New Roman"/>
          <w:sz w:val="24"/>
          <w:szCs w:val="24"/>
          <w:lang w:val="sr-Cyrl-CS"/>
        </w:rPr>
        <w:t>повећање</w:t>
      </w:r>
      <w:r w:rsidRPr="000D3232">
        <w:rPr>
          <w:rFonts w:ascii="Times New Roman" w:hAnsi="Times New Roman"/>
          <w:sz w:val="24"/>
          <w:szCs w:val="24"/>
          <w:lang w:val="sr-Cyrl-CS"/>
        </w:rPr>
        <w:t xml:space="preserve"> </w:t>
      </w:r>
      <w:r>
        <w:rPr>
          <w:rFonts w:ascii="Times New Roman" w:hAnsi="Times New Roman"/>
          <w:sz w:val="24"/>
          <w:szCs w:val="24"/>
          <w:lang w:val="sr-Cyrl-CS"/>
        </w:rPr>
        <w:t>транспарентности</w:t>
      </w:r>
      <w:r w:rsidRPr="000D3232">
        <w:rPr>
          <w:rFonts w:ascii="Times New Roman" w:hAnsi="Times New Roman"/>
          <w:sz w:val="24"/>
          <w:szCs w:val="24"/>
          <w:lang w:val="sr-Cyrl-CS"/>
        </w:rPr>
        <w:t xml:space="preserve"> </w:t>
      </w:r>
      <w:r>
        <w:rPr>
          <w:rFonts w:ascii="Times New Roman" w:hAnsi="Times New Roman"/>
          <w:sz w:val="24"/>
          <w:szCs w:val="24"/>
          <w:lang w:val="sr-Cyrl-CS"/>
        </w:rPr>
        <w:t>управљања</w:t>
      </w:r>
      <w:r w:rsidRPr="000D3232">
        <w:rPr>
          <w:rFonts w:ascii="Times New Roman" w:hAnsi="Times New Roman"/>
          <w:sz w:val="24"/>
          <w:szCs w:val="24"/>
          <w:lang w:val="sr-Cyrl-CS"/>
        </w:rPr>
        <w:t xml:space="preserve"> </w:t>
      </w:r>
      <w:r>
        <w:rPr>
          <w:rFonts w:ascii="Times New Roman" w:hAnsi="Times New Roman"/>
          <w:sz w:val="24"/>
          <w:szCs w:val="24"/>
          <w:lang w:val="sr-Cyrl-CS"/>
        </w:rPr>
        <w:t>у</w:t>
      </w:r>
      <w:r w:rsidRPr="000D3232">
        <w:rPr>
          <w:rFonts w:ascii="Times New Roman" w:hAnsi="Times New Roman"/>
          <w:sz w:val="24"/>
          <w:szCs w:val="24"/>
          <w:lang w:val="sr-Cyrl-CS"/>
        </w:rPr>
        <w:t xml:space="preserve"> </w:t>
      </w:r>
      <w:r>
        <w:rPr>
          <w:rFonts w:ascii="Times New Roman" w:hAnsi="Times New Roman"/>
          <w:sz w:val="24"/>
          <w:szCs w:val="24"/>
          <w:lang w:val="sr-Cyrl-CS"/>
        </w:rPr>
        <w:t>земљишном</w:t>
      </w:r>
      <w:r w:rsidRPr="000D3232">
        <w:rPr>
          <w:rFonts w:ascii="Times New Roman" w:hAnsi="Times New Roman"/>
          <w:sz w:val="24"/>
          <w:szCs w:val="24"/>
          <w:lang w:val="sr-Cyrl-CS"/>
        </w:rPr>
        <w:t xml:space="preserve"> </w:t>
      </w:r>
      <w:r>
        <w:rPr>
          <w:rFonts w:ascii="Times New Roman" w:hAnsi="Times New Roman"/>
          <w:sz w:val="24"/>
          <w:szCs w:val="24"/>
          <w:lang w:val="sr-Cyrl-CS"/>
        </w:rPr>
        <w:t>сектору</w:t>
      </w:r>
      <w:r w:rsidRPr="000D3232">
        <w:rPr>
          <w:rFonts w:ascii="Times New Roman" w:hAnsi="Times New Roman"/>
          <w:sz w:val="24"/>
          <w:szCs w:val="24"/>
          <w:lang w:val="sr-Cyrl-CS"/>
        </w:rPr>
        <w:t xml:space="preserve">. </w:t>
      </w:r>
      <w:r>
        <w:rPr>
          <w:rFonts w:ascii="Times New Roman" w:hAnsi="Times New Roman"/>
          <w:sz w:val="24"/>
          <w:szCs w:val="24"/>
          <w:lang w:val="sr-Cyrl-CS"/>
        </w:rPr>
        <w:t>Посебна</w:t>
      </w:r>
      <w:r w:rsidRPr="000D3232">
        <w:rPr>
          <w:rFonts w:ascii="Times New Roman" w:hAnsi="Times New Roman"/>
          <w:sz w:val="24"/>
          <w:szCs w:val="24"/>
          <w:lang w:val="sr-Cyrl-CS"/>
        </w:rPr>
        <w:t xml:space="preserve"> </w:t>
      </w:r>
      <w:r>
        <w:rPr>
          <w:rFonts w:ascii="Times New Roman" w:hAnsi="Times New Roman"/>
          <w:sz w:val="24"/>
          <w:szCs w:val="24"/>
          <w:lang w:val="sr-Cyrl-CS"/>
        </w:rPr>
        <w:t>пажња</w:t>
      </w:r>
      <w:r w:rsidRPr="000D3232">
        <w:rPr>
          <w:rFonts w:ascii="Times New Roman" w:hAnsi="Times New Roman"/>
          <w:sz w:val="24"/>
          <w:szCs w:val="24"/>
          <w:lang w:val="sr-Cyrl-CS"/>
        </w:rPr>
        <w:t xml:space="preserve"> </w:t>
      </w:r>
      <w:r>
        <w:rPr>
          <w:rFonts w:ascii="Times New Roman" w:hAnsi="Times New Roman"/>
          <w:sz w:val="24"/>
          <w:szCs w:val="24"/>
          <w:lang w:val="sr-Cyrl-CS"/>
        </w:rPr>
        <w:t>посветиће</w:t>
      </w:r>
      <w:r w:rsidRPr="000D3232">
        <w:rPr>
          <w:rFonts w:ascii="Times New Roman" w:hAnsi="Times New Roman"/>
          <w:sz w:val="24"/>
          <w:szCs w:val="24"/>
          <w:lang w:val="sr-Cyrl-CS"/>
        </w:rPr>
        <w:t xml:space="preserve"> </w:t>
      </w:r>
      <w:r>
        <w:rPr>
          <w:rFonts w:ascii="Times New Roman" w:hAnsi="Times New Roman"/>
          <w:sz w:val="24"/>
          <w:szCs w:val="24"/>
          <w:lang w:val="sr-Cyrl-CS"/>
        </w:rPr>
        <w:t>се</w:t>
      </w:r>
      <w:r w:rsidRPr="000D3232">
        <w:rPr>
          <w:rFonts w:ascii="Times New Roman" w:hAnsi="Times New Roman"/>
          <w:sz w:val="24"/>
          <w:szCs w:val="24"/>
          <w:lang w:val="sr-Cyrl-CS"/>
        </w:rPr>
        <w:t xml:space="preserve"> </w:t>
      </w:r>
      <w:r>
        <w:rPr>
          <w:rFonts w:ascii="Times New Roman" w:hAnsi="Times New Roman"/>
          <w:sz w:val="24"/>
          <w:szCs w:val="24"/>
          <w:lang w:val="sr-Cyrl-CS"/>
        </w:rPr>
        <w:t>поједностављивању</w:t>
      </w:r>
      <w:r w:rsidRPr="000D3232">
        <w:rPr>
          <w:rFonts w:ascii="Times New Roman" w:hAnsi="Times New Roman"/>
          <w:sz w:val="24"/>
          <w:szCs w:val="24"/>
          <w:lang w:val="sr-Cyrl-CS"/>
        </w:rPr>
        <w:t xml:space="preserve"> </w:t>
      </w:r>
      <w:r>
        <w:rPr>
          <w:rFonts w:ascii="Times New Roman" w:hAnsi="Times New Roman"/>
          <w:sz w:val="24"/>
          <w:szCs w:val="24"/>
          <w:lang w:val="sr-Cyrl-CS"/>
        </w:rPr>
        <w:t>процедура</w:t>
      </w:r>
      <w:r w:rsidRPr="000D3232">
        <w:rPr>
          <w:rFonts w:ascii="Times New Roman" w:hAnsi="Times New Roman"/>
          <w:sz w:val="24"/>
          <w:szCs w:val="24"/>
          <w:lang w:val="sr-Cyrl-CS"/>
        </w:rPr>
        <w:t xml:space="preserve"> </w:t>
      </w:r>
      <w:r>
        <w:rPr>
          <w:rFonts w:ascii="Times New Roman" w:hAnsi="Times New Roman"/>
          <w:sz w:val="24"/>
          <w:szCs w:val="24"/>
          <w:lang w:val="sr-Cyrl-CS"/>
        </w:rPr>
        <w:t>за</w:t>
      </w:r>
      <w:r w:rsidRPr="000D3232">
        <w:rPr>
          <w:rFonts w:ascii="Times New Roman" w:hAnsi="Times New Roman"/>
          <w:sz w:val="24"/>
          <w:szCs w:val="24"/>
          <w:lang w:val="sr-Cyrl-CS"/>
        </w:rPr>
        <w:t xml:space="preserve"> </w:t>
      </w:r>
      <w:r>
        <w:rPr>
          <w:rFonts w:ascii="Times New Roman" w:hAnsi="Times New Roman"/>
          <w:sz w:val="24"/>
          <w:szCs w:val="24"/>
          <w:lang w:val="sr-Cyrl-CS"/>
        </w:rPr>
        <w:t>лакше</w:t>
      </w:r>
      <w:r w:rsidRPr="000D3232">
        <w:rPr>
          <w:rFonts w:ascii="Times New Roman" w:hAnsi="Times New Roman"/>
          <w:sz w:val="24"/>
          <w:szCs w:val="24"/>
          <w:lang w:val="sr-Cyrl-CS"/>
        </w:rPr>
        <w:t xml:space="preserve"> </w:t>
      </w:r>
      <w:r>
        <w:rPr>
          <w:rFonts w:ascii="Times New Roman" w:hAnsi="Times New Roman"/>
          <w:sz w:val="24"/>
          <w:szCs w:val="24"/>
          <w:lang w:val="sr-Cyrl-CS"/>
        </w:rPr>
        <w:t>и</w:t>
      </w:r>
      <w:r w:rsidRPr="000D3232">
        <w:rPr>
          <w:rFonts w:ascii="Times New Roman" w:hAnsi="Times New Roman"/>
          <w:sz w:val="24"/>
          <w:szCs w:val="24"/>
          <w:lang w:val="sr-Cyrl-CS"/>
        </w:rPr>
        <w:t xml:space="preserve"> </w:t>
      </w:r>
      <w:r>
        <w:rPr>
          <w:rFonts w:ascii="Times New Roman" w:hAnsi="Times New Roman"/>
          <w:sz w:val="24"/>
          <w:szCs w:val="24"/>
          <w:lang w:val="sr-Cyrl-CS"/>
        </w:rPr>
        <w:t>јефтиније</w:t>
      </w:r>
      <w:r w:rsidRPr="000D3232">
        <w:rPr>
          <w:rFonts w:ascii="Times New Roman" w:hAnsi="Times New Roman"/>
          <w:sz w:val="24"/>
          <w:szCs w:val="24"/>
          <w:lang w:val="sr-Cyrl-CS"/>
        </w:rPr>
        <w:t xml:space="preserve"> </w:t>
      </w:r>
      <w:r>
        <w:rPr>
          <w:rFonts w:ascii="Times New Roman" w:hAnsi="Times New Roman"/>
          <w:sz w:val="24"/>
          <w:szCs w:val="24"/>
          <w:lang w:val="sr-Cyrl-CS"/>
        </w:rPr>
        <w:t>добијање</w:t>
      </w:r>
      <w:r w:rsidRPr="000D3232">
        <w:rPr>
          <w:rFonts w:ascii="Times New Roman" w:hAnsi="Times New Roman"/>
          <w:sz w:val="24"/>
          <w:szCs w:val="24"/>
          <w:lang w:val="sr-Cyrl-CS"/>
        </w:rPr>
        <w:t xml:space="preserve"> </w:t>
      </w:r>
      <w:r>
        <w:rPr>
          <w:rFonts w:ascii="Times New Roman" w:hAnsi="Times New Roman"/>
          <w:sz w:val="24"/>
          <w:szCs w:val="24"/>
          <w:lang w:val="sr-Cyrl-CS"/>
        </w:rPr>
        <w:t>грађевинских</w:t>
      </w:r>
      <w:r w:rsidRPr="000D3232">
        <w:rPr>
          <w:rFonts w:ascii="Times New Roman" w:hAnsi="Times New Roman"/>
          <w:sz w:val="24"/>
          <w:szCs w:val="24"/>
          <w:lang w:val="sr-Cyrl-CS"/>
        </w:rPr>
        <w:t xml:space="preserve"> </w:t>
      </w:r>
      <w:r>
        <w:rPr>
          <w:rFonts w:ascii="Times New Roman" w:hAnsi="Times New Roman"/>
          <w:sz w:val="24"/>
          <w:szCs w:val="24"/>
          <w:lang w:val="sr-Cyrl-CS"/>
        </w:rPr>
        <w:t>дозвола</w:t>
      </w:r>
      <w:r w:rsidRPr="000D3232">
        <w:rPr>
          <w:rFonts w:ascii="Times New Roman" w:hAnsi="Times New Roman"/>
          <w:sz w:val="24"/>
          <w:szCs w:val="24"/>
          <w:lang w:val="sr-Cyrl-CS"/>
        </w:rPr>
        <w:t xml:space="preserve">, </w:t>
      </w:r>
      <w:r>
        <w:rPr>
          <w:rFonts w:ascii="Times New Roman" w:hAnsi="Times New Roman"/>
          <w:sz w:val="24"/>
          <w:szCs w:val="24"/>
          <w:lang w:val="sr-Cyrl-CS"/>
        </w:rPr>
        <w:t>ефикаснијој</w:t>
      </w:r>
      <w:r w:rsidRPr="000D3232">
        <w:rPr>
          <w:rFonts w:ascii="Times New Roman" w:hAnsi="Times New Roman"/>
          <w:sz w:val="24"/>
          <w:szCs w:val="24"/>
          <w:lang w:val="sr-Cyrl-CS"/>
        </w:rPr>
        <w:t xml:space="preserve"> </w:t>
      </w:r>
      <w:r>
        <w:rPr>
          <w:rFonts w:ascii="Times New Roman" w:hAnsi="Times New Roman"/>
          <w:sz w:val="24"/>
          <w:szCs w:val="24"/>
          <w:lang w:val="sr-Cyrl-CS"/>
        </w:rPr>
        <w:t>примени</w:t>
      </w:r>
      <w:r w:rsidRPr="000D3232">
        <w:rPr>
          <w:rFonts w:ascii="Times New Roman" w:hAnsi="Times New Roman"/>
          <w:sz w:val="24"/>
          <w:szCs w:val="24"/>
          <w:lang w:val="sr-Cyrl-CS"/>
        </w:rPr>
        <w:t xml:space="preserve"> </w:t>
      </w:r>
      <w:r>
        <w:rPr>
          <w:rFonts w:ascii="Times New Roman" w:hAnsi="Times New Roman"/>
          <w:sz w:val="24"/>
          <w:szCs w:val="24"/>
          <w:lang w:val="sr-Cyrl-CS"/>
        </w:rPr>
        <w:t>успостављеног</w:t>
      </w:r>
      <w:r w:rsidRPr="000D3232">
        <w:rPr>
          <w:rFonts w:ascii="Times New Roman" w:hAnsi="Times New Roman"/>
          <w:sz w:val="24"/>
          <w:szCs w:val="24"/>
          <w:lang w:val="sr-Cyrl-CS"/>
        </w:rPr>
        <w:t xml:space="preserve"> </w:t>
      </w:r>
      <w:r>
        <w:rPr>
          <w:rFonts w:ascii="Times New Roman" w:hAnsi="Times New Roman"/>
          <w:sz w:val="24"/>
          <w:szCs w:val="24"/>
          <w:lang w:val="sr-Cyrl-CS"/>
        </w:rPr>
        <w:t>катастра</w:t>
      </w:r>
      <w:r w:rsidRPr="000D3232">
        <w:rPr>
          <w:rFonts w:ascii="Times New Roman" w:hAnsi="Times New Roman"/>
          <w:sz w:val="24"/>
          <w:szCs w:val="24"/>
          <w:lang w:val="sr-Cyrl-CS"/>
        </w:rPr>
        <w:t xml:space="preserve"> </w:t>
      </w:r>
      <w:r>
        <w:rPr>
          <w:rFonts w:ascii="Times New Roman" w:hAnsi="Times New Roman"/>
          <w:sz w:val="24"/>
          <w:szCs w:val="24"/>
          <w:lang w:val="sr-Cyrl-CS"/>
        </w:rPr>
        <w:t>земљишта</w:t>
      </w:r>
      <w:r w:rsidRPr="000D3232">
        <w:rPr>
          <w:rFonts w:ascii="Times New Roman" w:hAnsi="Times New Roman"/>
          <w:sz w:val="24"/>
          <w:szCs w:val="24"/>
          <w:lang w:val="sr-Cyrl-CS"/>
        </w:rPr>
        <w:t xml:space="preserve"> </w:t>
      </w:r>
      <w:r>
        <w:rPr>
          <w:rFonts w:ascii="Times New Roman" w:hAnsi="Times New Roman"/>
          <w:sz w:val="24"/>
          <w:szCs w:val="24"/>
          <w:lang w:val="sr-Cyrl-CS"/>
        </w:rPr>
        <w:t>и</w:t>
      </w:r>
      <w:r w:rsidRPr="000D3232">
        <w:rPr>
          <w:rFonts w:ascii="Times New Roman" w:hAnsi="Times New Roman"/>
          <w:sz w:val="24"/>
          <w:szCs w:val="24"/>
          <w:lang w:val="sr-Cyrl-CS"/>
        </w:rPr>
        <w:t xml:space="preserve"> </w:t>
      </w:r>
      <w:r>
        <w:rPr>
          <w:rFonts w:ascii="Times New Roman" w:hAnsi="Times New Roman"/>
          <w:sz w:val="24"/>
          <w:szCs w:val="24"/>
          <w:lang w:val="sr-Cyrl-CS"/>
        </w:rPr>
        <w:t>других</w:t>
      </w:r>
      <w:r w:rsidRPr="000D3232">
        <w:rPr>
          <w:rFonts w:ascii="Times New Roman" w:hAnsi="Times New Roman"/>
          <w:sz w:val="24"/>
          <w:szCs w:val="24"/>
          <w:lang w:val="sr-Cyrl-CS"/>
        </w:rPr>
        <w:t xml:space="preserve"> </w:t>
      </w:r>
      <w:r>
        <w:rPr>
          <w:rFonts w:ascii="Times New Roman" w:hAnsi="Times New Roman"/>
          <w:sz w:val="24"/>
          <w:szCs w:val="24"/>
          <w:lang w:val="sr-Cyrl-CS"/>
        </w:rPr>
        <w:t>некретнина</w:t>
      </w:r>
      <w:r w:rsidRPr="000D3232">
        <w:rPr>
          <w:rFonts w:ascii="Times New Roman" w:hAnsi="Times New Roman"/>
          <w:sz w:val="24"/>
          <w:szCs w:val="24"/>
          <w:lang w:val="sr-Cyrl-CS"/>
        </w:rPr>
        <w:t xml:space="preserve"> </w:t>
      </w:r>
      <w:r>
        <w:rPr>
          <w:rFonts w:ascii="Times New Roman" w:hAnsi="Times New Roman"/>
          <w:sz w:val="24"/>
          <w:szCs w:val="24"/>
          <w:lang w:val="sr-Cyrl-CS"/>
        </w:rPr>
        <w:t>укључујући</w:t>
      </w:r>
      <w:r w:rsidRPr="000D3232">
        <w:rPr>
          <w:rFonts w:ascii="Times New Roman" w:hAnsi="Times New Roman"/>
          <w:sz w:val="24"/>
          <w:szCs w:val="24"/>
          <w:lang w:val="sr-Cyrl-CS"/>
        </w:rPr>
        <w:t xml:space="preserve"> </w:t>
      </w:r>
      <w:r>
        <w:rPr>
          <w:rFonts w:ascii="Times New Roman" w:hAnsi="Times New Roman"/>
          <w:sz w:val="24"/>
          <w:szCs w:val="24"/>
          <w:lang w:val="sr-Cyrl-CS"/>
        </w:rPr>
        <w:t>некретнине</w:t>
      </w:r>
      <w:r w:rsidRPr="000D3232">
        <w:rPr>
          <w:rFonts w:ascii="Times New Roman" w:hAnsi="Times New Roman"/>
          <w:sz w:val="24"/>
          <w:szCs w:val="24"/>
          <w:lang w:val="sr-Cyrl-CS"/>
        </w:rPr>
        <w:t xml:space="preserve"> </w:t>
      </w:r>
      <w:r>
        <w:rPr>
          <w:rFonts w:ascii="Times New Roman" w:hAnsi="Times New Roman"/>
          <w:sz w:val="24"/>
          <w:szCs w:val="24"/>
          <w:lang w:val="sr-Cyrl-CS"/>
        </w:rPr>
        <w:t>у</w:t>
      </w:r>
      <w:r w:rsidRPr="000D3232">
        <w:rPr>
          <w:rFonts w:ascii="Times New Roman" w:hAnsi="Times New Roman"/>
          <w:sz w:val="24"/>
          <w:szCs w:val="24"/>
          <w:lang w:val="sr-Cyrl-CS"/>
        </w:rPr>
        <w:t xml:space="preserve"> </w:t>
      </w:r>
      <w:r>
        <w:rPr>
          <w:rFonts w:ascii="Times New Roman" w:hAnsi="Times New Roman"/>
          <w:sz w:val="24"/>
          <w:szCs w:val="24"/>
          <w:lang w:val="sr-Cyrl-CS"/>
        </w:rPr>
        <w:t>државном</w:t>
      </w:r>
      <w:r w:rsidRPr="000D3232">
        <w:rPr>
          <w:rFonts w:ascii="Times New Roman" w:hAnsi="Times New Roman"/>
          <w:sz w:val="24"/>
          <w:szCs w:val="24"/>
          <w:lang w:val="sr-Cyrl-CS"/>
        </w:rPr>
        <w:t xml:space="preserve"> </w:t>
      </w:r>
      <w:r>
        <w:rPr>
          <w:rFonts w:ascii="Times New Roman" w:hAnsi="Times New Roman"/>
          <w:sz w:val="24"/>
          <w:szCs w:val="24"/>
          <w:lang w:val="sr-Cyrl-CS"/>
        </w:rPr>
        <w:t>власништву</w:t>
      </w:r>
      <w:r w:rsidRPr="000D3232">
        <w:rPr>
          <w:rFonts w:ascii="Times New Roman" w:hAnsi="Times New Roman"/>
          <w:sz w:val="24"/>
          <w:szCs w:val="24"/>
          <w:lang w:val="sr-Cyrl-CS"/>
        </w:rPr>
        <w:t xml:space="preserve"> </w:t>
      </w:r>
      <w:r>
        <w:rPr>
          <w:rFonts w:ascii="Times New Roman" w:hAnsi="Times New Roman"/>
          <w:sz w:val="24"/>
          <w:szCs w:val="24"/>
          <w:lang w:val="sr-Cyrl-CS"/>
        </w:rPr>
        <w:t>и</w:t>
      </w:r>
      <w:r w:rsidRPr="000D3232">
        <w:rPr>
          <w:rFonts w:ascii="Times New Roman" w:hAnsi="Times New Roman"/>
          <w:sz w:val="24"/>
          <w:szCs w:val="24"/>
          <w:lang w:val="sr-Cyrl-CS"/>
        </w:rPr>
        <w:t xml:space="preserve"> </w:t>
      </w:r>
      <w:r>
        <w:rPr>
          <w:rFonts w:ascii="Times New Roman" w:hAnsi="Times New Roman"/>
          <w:sz w:val="24"/>
          <w:szCs w:val="24"/>
          <w:lang w:val="sr-Cyrl-CS"/>
        </w:rPr>
        <w:t>успостављању националног</w:t>
      </w:r>
      <w:r w:rsidRPr="000D3232">
        <w:rPr>
          <w:rFonts w:ascii="Times New Roman" w:hAnsi="Times New Roman"/>
          <w:sz w:val="24"/>
          <w:szCs w:val="24"/>
          <w:lang w:val="sr-Cyrl-CS"/>
        </w:rPr>
        <w:t xml:space="preserve"> </w:t>
      </w:r>
      <w:r>
        <w:rPr>
          <w:rFonts w:ascii="Times New Roman" w:hAnsi="Times New Roman"/>
          <w:sz w:val="24"/>
          <w:szCs w:val="24"/>
          <w:lang w:val="sr-Cyrl-CS"/>
        </w:rPr>
        <w:t>програма</w:t>
      </w:r>
      <w:r w:rsidRPr="000D3232">
        <w:rPr>
          <w:rFonts w:ascii="Times New Roman" w:hAnsi="Times New Roman"/>
          <w:sz w:val="24"/>
          <w:szCs w:val="24"/>
          <w:lang w:val="sr-Cyrl-CS"/>
        </w:rPr>
        <w:t xml:space="preserve"> </w:t>
      </w:r>
      <w:r>
        <w:rPr>
          <w:rFonts w:ascii="Times New Roman" w:hAnsi="Times New Roman"/>
          <w:sz w:val="24"/>
          <w:szCs w:val="24"/>
          <w:lang w:val="sr-Cyrl-CS"/>
        </w:rPr>
        <w:t>управљања</w:t>
      </w:r>
      <w:r w:rsidRPr="000D3232">
        <w:rPr>
          <w:rFonts w:ascii="Times New Roman" w:hAnsi="Times New Roman"/>
          <w:sz w:val="24"/>
          <w:szCs w:val="24"/>
          <w:lang w:val="sr-Cyrl-CS"/>
        </w:rPr>
        <w:t xml:space="preserve"> </w:t>
      </w:r>
      <w:r>
        <w:rPr>
          <w:rFonts w:ascii="Times New Roman" w:hAnsi="Times New Roman"/>
          <w:sz w:val="24"/>
          <w:szCs w:val="24"/>
          <w:lang w:val="sr-Cyrl-CS"/>
        </w:rPr>
        <w:t>земљиштем</w:t>
      </w:r>
      <w:r w:rsidRPr="000D3232">
        <w:rPr>
          <w:rFonts w:ascii="Times New Roman" w:hAnsi="Times New Roman"/>
          <w:sz w:val="24"/>
          <w:szCs w:val="24"/>
          <w:lang w:val="sr-Cyrl-CS"/>
        </w:rPr>
        <w:t xml:space="preserve"> </w:t>
      </w:r>
      <w:r>
        <w:rPr>
          <w:rFonts w:ascii="Times New Roman" w:hAnsi="Times New Roman"/>
          <w:sz w:val="24"/>
          <w:szCs w:val="24"/>
          <w:lang w:val="sr-Cyrl-CS"/>
        </w:rPr>
        <w:t>ради</w:t>
      </w:r>
      <w:r w:rsidRPr="000D3232">
        <w:rPr>
          <w:rFonts w:ascii="Times New Roman" w:hAnsi="Times New Roman"/>
          <w:sz w:val="24"/>
          <w:szCs w:val="24"/>
          <w:lang w:val="sr-Cyrl-CS"/>
        </w:rPr>
        <w:t xml:space="preserve"> </w:t>
      </w:r>
      <w:r>
        <w:rPr>
          <w:rFonts w:ascii="Times New Roman" w:hAnsi="Times New Roman"/>
          <w:sz w:val="24"/>
          <w:szCs w:val="24"/>
          <w:lang w:val="sr-Cyrl-CS"/>
        </w:rPr>
        <w:t>укрупњавања</w:t>
      </w:r>
      <w:r w:rsidRPr="000D3232">
        <w:rPr>
          <w:rFonts w:ascii="Times New Roman" w:hAnsi="Times New Roman"/>
          <w:sz w:val="24"/>
          <w:szCs w:val="24"/>
          <w:lang w:val="sr-Cyrl-CS"/>
        </w:rPr>
        <w:t xml:space="preserve"> </w:t>
      </w:r>
      <w:r>
        <w:rPr>
          <w:rFonts w:ascii="Times New Roman" w:hAnsi="Times New Roman"/>
          <w:sz w:val="24"/>
          <w:szCs w:val="24"/>
          <w:lang w:val="sr-Cyrl-CS"/>
        </w:rPr>
        <w:t>уситњених</w:t>
      </w:r>
      <w:r w:rsidRPr="000D3232">
        <w:rPr>
          <w:rFonts w:ascii="Times New Roman" w:hAnsi="Times New Roman"/>
          <w:sz w:val="24"/>
          <w:szCs w:val="24"/>
          <w:lang w:val="sr-Cyrl-CS"/>
        </w:rPr>
        <w:t xml:space="preserve"> </w:t>
      </w:r>
      <w:r>
        <w:rPr>
          <w:rFonts w:ascii="Times New Roman" w:hAnsi="Times New Roman"/>
          <w:sz w:val="24"/>
          <w:szCs w:val="24"/>
          <w:lang w:val="sr-Cyrl-CS"/>
        </w:rPr>
        <w:t>површина</w:t>
      </w:r>
      <w:r w:rsidRPr="000D3232">
        <w:rPr>
          <w:rFonts w:ascii="Times New Roman" w:hAnsi="Times New Roman"/>
          <w:sz w:val="24"/>
          <w:szCs w:val="24"/>
          <w:lang w:val="sr-Cyrl-CS"/>
        </w:rPr>
        <w:t xml:space="preserve"> </w:t>
      </w:r>
      <w:r>
        <w:rPr>
          <w:rFonts w:ascii="Times New Roman" w:hAnsi="Times New Roman"/>
          <w:sz w:val="24"/>
          <w:szCs w:val="24"/>
          <w:lang w:val="sr-Cyrl-CS"/>
        </w:rPr>
        <w:t>пољопривредног</w:t>
      </w:r>
      <w:r w:rsidRPr="000D3232">
        <w:rPr>
          <w:rFonts w:ascii="Times New Roman" w:hAnsi="Times New Roman"/>
          <w:sz w:val="24"/>
          <w:szCs w:val="24"/>
          <w:lang w:val="sr-Cyrl-CS"/>
        </w:rPr>
        <w:t xml:space="preserve"> </w:t>
      </w:r>
      <w:r>
        <w:rPr>
          <w:rFonts w:ascii="Times New Roman" w:hAnsi="Times New Roman"/>
          <w:sz w:val="24"/>
          <w:szCs w:val="24"/>
          <w:lang w:val="sr-Cyrl-CS"/>
        </w:rPr>
        <w:t>земљишта</w:t>
      </w:r>
      <w:r w:rsidRPr="000D3232">
        <w:rPr>
          <w:rFonts w:ascii="Times New Roman" w:hAnsi="Times New Roman"/>
          <w:sz w:val="24"/>
          <w:szCs w:val="24"/>
          <w:lang w:val="sr-Cyrl-CS"/>
        </w:rPr>
        <w:t>.</w:t>
      </w:r>
      <w:r>
        <w:rPr>
          <w:rFonts w:ascii="Times New Roman" w:hAnsi="Times New Roman"/>
          <w:sz w:val="24"/>
          <w:szCs w:val="24"/>
          <w:lang w:val="sr-Cyrl-CS"/>
        </w:rPr>
        <w:t xml:space="preserve">  </w:t>
      </w:r>
    </w:p>
    <w:p w:rsidR="001503E6" w:rsidRDefault="00AD2528" w:rsidP="00A22DD5">
      <w:pPr>
        <w:ind w:firstLine="708"/>
        <w:jc w:val="both"/>
        <w:rPr>
          <w:rFonts w:ascii="Times New Roman" w:hAnsi="Times New Roman"/>
          <w:sz w:val="24"/>
          <w:szCs w:val="24"/>
          <w:lang w:val="sr-Cyrl-CS"/>
        </w:rPr>
      </w:pPr>
      <w:r w:rsidRPr="00D36DAF">
        <w:rPr>
          <w:rFonts w:ascii="Times New Roman" w:hAnsi="Times New Roman"/>
          <w:color w:val="000000"/>
          <w:sz w:val="24"/>
          <w:szCs w:val="24"/>
          <w:shd w:val="clear" w:color="auto" w:fill="FFFFFF"/>
          <w:lang w:val="sr-Cyrl-CS"/>
        </w:rPr>
        <w:t xml:space="preserve">Према томе,  </w:t>
      </w:r>
      <w:r w:rsidRPr="00D36DAF">
        <w:rPr>
          <w:rFonts w:ascii="Times New Roman" w:hAnsi="Times New Roman"/>
          <w:sz w:val="24"/>
          <w:szCs w:val="24"/>
          <w:lang w:val="sr-Cyrl-CS"/>
        </w:rPr>
        <w:t xml:space="preserve">ради побољшања наплате овог пореза, а самим тим и повећања његовог билансног значаја, потребно је поједностављење опорезивања имовине, приближавање пореске основице тржишној вредности некретнина, ефикаснија сарадња локалних самоуправа, као и свих државних органа и институција, повећање капацитета локалне самоуправе, систематски приступ и праћење наплате овог пореза. Повећање броја пореских обвезника, повећање пореских стопа до законом прописаног лимита, повећање вредности и броја некретнина свакако ће допринети већим приходима од овог пореза. </w:t>
      </w:r>
    </w:p>
    <w:p w:rsidR="00D86D09" w:rsidRDefault="00D86D09" w:rsidP="00A22DD5">
      <w:pPr>
        <w:ind w:firstLine="708"/>
        <w:jc w:val="both"/>
        <w:rPr>
          <w:rFonts w:ascii="Times New Roman" w:hAnsi="Times New Roman"/>
          <w:sz w:val="24"/>
          <w:szCs w:val="24"/>
          <w:lang w:val="sr-Cyrl-CS"/>
        </w:rPr>
      </w:pPr>
    </w:p>
    <w:p w:rsidR="00D86D09" w:rsidRDefault="00D86D09" w:rsidP="00A22DD5">
      <w:pPr>
        <w:ind w:firstLine="708"/>
        <w:jc w:val="both"/>
        <w:rPr>
          <w:rFonts w:ascii="Times New Roman" w:hAnsi="Times New Roman"/>
          <w:sz w:val="24"/>
          <w:szCs w:val="24"/>
          <w:lang w:val="sr-Cyrl-CS"/>
        </w:rPr>
      </w:pPr>
    </w:p>
    <w:p w:rsidR="00D86D09" w:rsidRDefault="00D86D09" w:rsidP="00A22DD5">
      <w:pPr>
        <w:ind w:firstLine="708"/>
        <w:jc w:val="both"/>
        <w:rPr>
          <w:rFonts w:ascii="Times New Roman" w:hAnsi="Times New Roman"/>
          <w:sz w:val="24"/>
          <w:szCs w:val="24"/>
          <w:lang w:val="sr-Cyrl-CS"/>
        </w:rPr>
      </w:pPr>
    </w:p>
    <w:p w:rsidR="00D86D09" w:rsidRDefault="00D86D09" w:rsidP="00A22DD5">
      <w:pPr>
        <w:ind w:firstLine="708"/>
        <w:jc w:val="both"/>
        <w:rPr>
          <w:rFonts w:ascii="Times New Roman" w:hAnsi="Times New Roman"/>
          <w:sz w:val="24"/>
          <w:szCs w:val="24"/>
          <w:lang w:val="sr-Cyrl-CS"/>
        </w:rPr>
      </w:pPr>
    </w:p>
    <w:p w:rsidR="00D86D09" w:rsidRDefault="00D86D09" w:rsidP="00A22DD5">
      <w:pPr>
        <w:ind w:firstLine="708"/>
        <w:jc w:val="both"/>
        <w:rPr>
          <w:rFonts w:ascii="Times New Roman" w:hAnsi="Times New Roman"/>
          <w:sz w:val="24"/>
          <w:szCs w:val="24"/>
          <w:lang w:val="sr-Cyrl-CS"/>
        </w:rPr>
      </w:pPr>
    </w:p>
    <w:p w:rsidR="00D86D09" w:rsidRDefault="00D86D09" w:rsidP="00A22DD5">
      <w:pPr>
        <w:ind w:firstLine="708"/>
        <w:jc w:val="both"/>
        <w:rPr>
          <w:rFonts w:ascii="Times New Roman" w:hAnsi="Times New Roman"/>
          <w:sz w:val="24"/>
          <w:szCs w:val="24"/>
          <w:lang w:val="sr-Cyrl-CS"/>
        </w:rPr>
      </w:pPr>
    </w:p>
    <w:p w:rsidR="00D86D09" w:rsidRDefault="00D86D09" w:rsidP="00A22DD5">
      <w:pPr>
        <w:ind w:firstLine="708"/>
        <w:jc w:val="both"/>
        <w:rPr>
          <w:rFonts w:ascii="Times New Roman" w:hAnsi="Times New Roman"/>
          <w:sz w:val="24"/>
          <w:szCs w:val="24"/>
          <w:lang w:val="sr-Cyrl-CS"/>
        </w:rPr>
      </w:pPr>
    </w:p>
    <w:p w:rsidR="00D86D09" w:rsidRDefault="00D86D09" w:rsidP="00A22DD5">
      <w:pPr>
        <w:ind w:firstLine="708"/>
        <w:jc w:val="both"/>
        <w:rPr>
          <w:rFonts w:ascii="Times New Roman" w:hAnsi="Times New Roman"/>
          <w:sz w:val="24"/>
          <w:szCs w:val="24"/>
          <w:lang w:val="sr-Cyrl-CS"/>
        </w:rPr>
      </w:pPr>
    </w:p>
    <w:p w:rsidR="00D86D09" w:rsidRPr="00C73790" w:rsidRDefault="00D86D09" w:rsidP="00A22DD5">
      <w:pPr>
        <w:ind w:firstLine="708"/>
        <w:jc w:val="both"/>
        <w:rPr>
          <w:rFonts w:ascii="Times New Roman" w:hAnsi="Times New Roman"/>
          <w:sz w:val="24"/>
          <w:szCs w:val="24"/>
          <w:lang w:val="sr-Cyrl-CS"/>
        </w:rPr>
      </w:pPr>
    </w:p>
    <w:p w:rsidR="00C73790" w:rsidRPr="00C208AF" w:rsidRDefault="00C208AF" w:rsidP="00C208AF">
      <w:pPr>
        <w:ind w:left="714"/>
        <w:jc w:val="center"/>
        <w:rPr>
          <w:rFonts w:ascii="Times New Roman" w:hAnsi="Times New Roman"/>
          <w:b/>
          <w:sz w:val="24"/>
          <w:szCs w:val="24"/>
          <w:lang w:val="sr-Cyrl-CS"/>
        </w:rPr>
      </w:pPr>
      <w:r>
        <w:rPr>
          <w:rFonts w:ascii="Times New Roman" w:hAnsi="Times New Roman"/>
          <w:b/>
          <w:sz w:val="24"/>
          <w:szCs w:val="24"/>
          <w:lang w:val="sr-Cyrl-CS"/>
        </w:rPr>
        <w:lastRenderedPageBreak/>
        <w:t>5.5.</w:t>
      </w:r>
      <w:r w:rsidR="001830E1" w:rsidRPr="00C208AF">
        <w:rPr>
          <w:rFonts w:ascii="Times New Roman" w:hAnsi="Times New Roman"/>
          <w:b/>
          <w:sz w:val="24"/>
          <w:szCs w:val="24"/>
          <w:lang w:val="sr-Cyrl-CS"/>
        </w:rPr>
        <w:t>Акцизе</w:t>
      </w:r>
      <w:r w:rsidR="005F720D" w:rsidRPr="00C208AF">
        <w:rPr>
          <w:rFonts w:ascii="Times New Roman" w:hAnsi="Times New Roman"/>
          <w:b/>
          <w:sz w:val="24"/>
          <w:szCs w:val="24"/>
          <w:lang w:val="sr-Cyrl-CS"/>
        </w:rPr>
        <w:t xml:space="preserve"> </w:t>
      </w:r>
    </w:p>
    <w:p w:rsidR="005F720D" w:rsidRPr="005F720D" w:rsidRDefault="005F720D" w:rsidP="005F720D">
      <w:pPr>
        <w:pStyle w:val="ListParagraph"/>
        <w:ind w:left="1254"/>
        <w:rPr>
          <w:rFonts w:ascii="Times New Roman" w:hAnsi="Times New Roman"/>
          <w:sz w:val="24"/>
          <w:szCs w:val="24"/>
          <w:lang w:val="sr-Cyrl-CS"/>
        </w:rPr>
      </w:pPr>
    </w:p>
    <w:p w:rsidR="007371AB" w:rsidRDefault="00E10636" w:rsidP="00E10636">
      <w:pPr>
        <w:ind w:firstLine="708"/>
        <w:jc w:val="both"/>
        <w:rPr>
          <w:rFonts w:ascii="Times New Roman" w:hAnsi="Times New Roman"/>
          <w:sz w:val="24"/>
          <w:szCs w:val="24"/>
          <w:lang w:val="sr-Cyrl-CS"/>
        </w:rPr>
      </w:pPr>
      <w:r>
        <w:rPr>
          <w:rFonts w:ascii="Times New Roman" w:hAnsi="Times New Roman"/>
          <w:sz w:val="24"/>
          <w:szCs w:val="24"/>
          <w:lang w:val="sr-Cyrl-CS"/>
        </w:rPr>
        <w:t>Акцизе (у ранијим временима познате као трошарине)  као и порез на промет спадају у посредне порезе. Овим пореским обликом се погађају само одређени производи</w:t>
      </w:r>
      <w:r w:rsidR="002319FB">
        <w:rPr>
          <w:rFonts w:ascii="Times New Roman" w:hAnsi="Times New Roman"/>
          <w:sz w:val="24"/>
          <w:szCs w:val="24"/>
          <w:lang w:val="sr-Cyrl-CS"/>
        </w:rPr>
        <w:t xml:space="preserve"> и услуге, како према OECD кла</w:t>
      </w:r>
      <w:r w:rsidR="00AC5D32">
        <w:rPr>
          <w:rFonts w:ascii="Times New Roman" w:hAnsi="Times New Roman"/>
          <w:sz w:val="24"/>
          <w:szCs w:val="24"/>
          <w:lang w:val="sr-Cyrl-CS"/>
        </w:rPr>
        <w:t>сификацији, тако и према GFS класификацији. В</w:t>
      </w:r>
      <w:r>
        <w:rPr>
          <w:rFonts w:ascii="Times New Roman" w:hAnsi="Times New Roman"/>
          <w:sz w:val="24"/>
          <w:szCs w:val="24"/>
          <w:lang w:val="sr-Cyrl-CS"/>
        </w:rPr>
        <w:t>езују се за сам тај производ чија се потрошња</w:t>
      </w:r>
      <w:r w:rsidR="00F07F8A">
        <w:rPr>
          <w:rFonts w:ascii="Times New Roman" w:hAnsi="Times New Roman"/>
          <w:sz w:val="24"/>
          <w:szCs w:val="24"/>
          <w:lang w:val="sr-Cyrl-CS"/>
        </w:rPr>
        <w:t>, односно употреба</w:t>
      </w:r>
      <w:r>
        <w:rPr>
          <w:rFonts w:ascii="Times New Roman" w:hAnsi="Times New Roman"/>
          <w:sz w:val="24"/>
          <w:szCs w:val="24"/>
          <w:lang w:val="sr-Cyrl-CS"/>
        </w:rPr>
        <w:t xml:space="preserve"> жели погодити, а не за  </w:t>
      </w:r>
      <w:r w:rsidR="00F07F8A">
        <w:rPr>
          <w:rFonts w:ascii="Times New Roman" w:hAnsi="Times New Roman"/>
          <w:sz w:val="24"/>
          <w:szCs w:val="24"/>
          <w:lang w:val="sr-Cyrl-CS"/>
        </w:rPr>
        <w:t xml:space="preserve">сам </w:t>
      </w:r>
      <w:r>
        <w:rPr>
          <w:rFonts w:ascii="Times New Roman" w:hAnsi="Times New Roman"/>
          <w:sz w:val="24"/>
          <w:szCs w:val="24"/>
          <w:lang w:val="sr-Cyrl-CS"/>
        </w:rPr>
        <w:t xml:space="preserve">чин промета. Због тога </w:t>
      </w:r>
      <w:r w:rsidR="00F07F8A">
        <w:rPr>
          <w:rFonts w:ascii="Times New Roman" w:hAnsi="Times New Roman"/>
          <w:sz w:val="24"/>
          <w:szCs w:val="24"/>
          <w:lang w:val="sr-Cyrl-CS"/>
        </w:rPr>
        <w:t>су акцизе специјални потрошни порези</w:t>
      </w:r>
      <w:r>
        <w:rPr>
          <w:rFonts w:ascii="Times New Roman" w:hAnsi="Times New Roman"/>
          <w:sz w:val="24"/>
          <w:szCs w:val="24"/>
          <w:lang w:val="sr-Cyrl-CS"/>
        </w:rPr>
        <w:t xml:space="preserve">, за разлику од пореза на промет који је општи потрошни порез и погађа </w:t>
      </w:r>
      <w:r w:rsidR="00F07F8A">
        <w:rPr>
          <w:rFonts w:ascii="Times New Roman" w:hAnsi="Times New Roman"/>
          <w:sz w:val="24"/>
          <w:szCs w:val="24"/>
          <w:lang w:val="sr-Cyrl-CS"/>
        </w:rPr>
        <w:t xml:space="preserve">начелно </w:t>
      </w:r>
      <w:r>
        <w:rPr>
          <w:rFonts w:ascii="Times New Roman" w:hAnsi="Times New Roman"/>
          <w:sz w:val="24"/>
          <w:szCs w:val="24"/>
          <w:lang w:val="sr-Cyrl-CS"/>
        </w:rPr>
        <w:t xml:space="preserve">потрошњу </w:t>
      </w:r>
      <w:r w:rsidR="00F07F8A">
        <w:rPr>
          <w:rFonts w:ascii="Times New Roman" w:hAnsi="Times New Roman"/>
          <w:sz w:val="24"/>
          <w:szCs w:val="24"/>
          <w:lang w:val="sr-Cyrl-CS"/>
        </w:rPr>
        <w:t xml:space="preserve">свих производа, осим посебно изузетих. Пошто се ради о посредном порезу и код акциза долази до раздвајања између пореског обвезника (произвођача или увозника) од пореског дестинатара (крајњег потрошача). </w:t>
      </w:r>
    </w:p>
    <w:p w:rsidR="00F07F8A" w:rsidRDefault="00A37EE0" w:rsidP="00E10636">
      <w:pPr>
        <w:ind w:firstLine="708"/>
        <w:jc w:val="both"/>
        <w:rPr>
          <w:rFonts w:ascii="Times New Roman" w:hAnsi="Times New Roman"/>
          <w:sz w:val="24"/>
          <w:szCs w:val="24"/>
          <w:lang w:val="sr-Cyrl-CS"/>
        </w:rPr>
      </w:pPr>
      <w:r>
        <w:rPr>
          <w:rFonts w:ascii="Times New Roman" w:hAnsi="Times New Roman"/>
          <w:sz w:val="24"/>
          <w:szCs w:val="24"/>
          <w:lang w:val="sr-Cyrl-CS"/>
        </w:rPr>
        <w:t>„</w:t>
      </w:r>
      <w:r w:rsidR="007371AB">
        <w:rPr>
          <w:rFonts w:ascii="Times New Roman" w:hAnsi="Times New Roman"/>
          <w:sz w:val="24"/>
          <w:szCs w:val="24"/>
          <w:lang w:val="sr-Cyrl-CS"/>
        </w:rPr>
        <w:t>Акцизе имају све особине посредних пореза: реалне су, издашне, неосетно се плаћају јер су садржане у цени која је</w:t>
      </w:r>
      <w:r w:rsidR="00B83EA7">
        <w:rPr>
          <w:rFonts w:ascii="Times New Roman" w:hAnsi="Times New Roman"/>
          <w:sz w:val="24"/>
          <w:szCs w:val="24"/>
          <w:lang w:val="sr-Cyrl-CS"/>
        </w:rPr>
        <w:t xml:space="preserve"> преваљива, њихово плаћање завис</w:t>
      </w:r>
      <w:r w:rsidR="007371AB">
        <w:rPr>
          <w:rFonts w:ascii="Times New Roman" w:hAnsi="Times New Roman"/>
          <w:sz w:val="24"/>
          <w:szCs w:val="24"/>
          <w:lang w:val="sr-Cyrl-CS"/>
        </w:rPr>
        <w:t xml:space="preserve">и од потрошача хоће ли и у којој мери </w:t>
      </w:r>
      <w:r w:rsidR="00184689">
        <w:rPr>
          <w:rFonts w:ascii="Times New Roman" w:hAnsi="Times New Roman"/>
          <w:sz w:val="24"/>
          <w:szCs w:val="24"/>
          <w:lang w:val="sr-Cyrl-CS"/>
        </w:rPr>
        <w:t>трошити опорезовани производ или неће. Али су, с друге стране, регресивне јер опорезују масовну потрошњу у којој претежно учествују лица са скромнијим примањима, односно дохотком</w:t>
      </w:r>
      <w:r w:rsidR="00FA325A">
        <w:rPr>
          <w:rFonts w:ascii="Times New Roman" w:hAnsi="Times New Roman"/>
          <w:sz w:val="24"/>
          <w:szCs w:val="24"/>
          <w:lang w:val="sr-Cyrl-CS"/>
        </w:rPr>
        <w:t>.</w:t>
      </w:r>
      <w:r>
        <w:rPr>
          <w:rFonts w:ascii="Times New Roman" w:hAnsi="Times New Roman"/>
          <w:sz w:val="24"/>
          <w:szCs w:val="24"/>
          <w:lang w:val="sr-Cyrl-CS"/>
        </w:rPr>
        <w:t>“</w:t>
      </w:r>
      <w:r w:rsidR="00184689">
        <w:rPr>
          <w:rStyle w:val="FootnoteReference"/>
          <w:rFonts w:ascii="Times New Roman" w:hAnsi="Times New Roman"/>
          <w:sz w:val="24"/>
          <w:szCs w:val="24"/>
          <w:lang w:val="sr-Cyrl-CS"/>
        </w:rPr>
        <w:footnoteReference w:id="529"/>
      </w:r>
      <w:r w:rsidR="007371AB">
        <w:rPr>
          <w:rFonts w:ascii="Times New Roman" w:hAnsi="Times New Roman"/>
          <w:sz w:val="24"/>
          <w:szCs w:val="24"/>
          <w:lang w:val="sr-Cyrl-CS"/>
        </w:rPr>
        <w:t xml:space="preserve"> </w:t>
      </w:r>
      <w:r w:rsidR="00B83EA7">
        <w:rPr>
          <w:rFonts w:ascii="Times New Roman" w:hAnsi="Times New Roman"/>
          <w:sz w:val="24"/>
          <w:szCs w:val="24"/>
          <w:lang w:val="sr-Cyrl-CS"/>
        </w:rPr>
        <w:t>Регресиван ефекат ак</w:t>
      </w:r>
      <w:r w:rsidR="00184689">
        <w:rPr>
          <w:rFonts w:ascii="Times New Roman" w:hAnsi="Times New Roman"/>
          <w:sz w:val="24"/>
          <w:szCs w:val="24"/>
          <w:lang w:val="sr-Cyrl-CS"/>
        </w:rPr>
        <w:t xml:space="preserve">циза се никада не може до краја отклонити. </w:t>
      </w:r>
      <w:r w:rsidR="00AC5D32">
        <w:rPr>
          <w:rFonts w:ascii="Times New Roman" w:hAnsi="Times New Roman"/>
          <w:sz w:val="24"/>
          <w:szCs w:val="24"/>
          <w:lang w:val="sr-Cyrl-CS"/>
        </w:rPr>
        <w:t>Међутим, и</w:t>
      </w:r>
      <w:r w:rsidR="00F07F8A">
        <w:rPr>
          <w:rFonts w:ascii="Times New Roman" w:hAnsi="Times New Roman"/>
          <w:sz w:val="24"/>
          <w:szCs w:val="24"/>
          <w:lang w:val="sr-Cyrl-CS"/>
        </w:rPr>
        <w:t>ако има</w:t>
      </w:r>
      <w:r w:rsidR="00184689">
        <w:rPr>
          <w:rFonts w:ascii="Times New Roman" w:hAnsi="Times New Roman"/>
          <w:sz w:val="24"/>
          <w:szCs w:val="24"/>
          <w:lang w:val="sr-Cyrl-CS"/>
        </w:rPr>
        <w:t>ју</w:t>
      </w:r>
      <w:r w:rsidR="00F07F8A">
        <w:rPr>
          <w:rFonts w:ascii="Times New Roman" w:hAnsi="Times New Roman"/>
          <w:sz w:val="24"/>
          <w:szCs w:val="24"/>
          <w:lang w:val="sr-Cyrl-CS"/>
        </w:rPr>
        <w:t xml:space="preserve"> неке сличности са порезом на промет </w:t>
      </w:r>
      <w:r w:rsidR="00184689">
        <w:rPr>
          <w:rFonts w:ascii="Times New Roman" w:hAnsi="Times New Roman"/>
          <w:sz w:val="24"/>
          <w:szCs w:val="24"/>
          <w:lang w:val="sr-Cyrl-CS"/>
        </w:rPr>
        <w:t>а</w:t>
      </w:r>
      <w:r w:rsidR="00B83EA7">
        <w:rPr>
          <w:rFonts w:ascii="Times New Roman" w:hAnsi="Times New Roman"/>
          <w:sz w:val="24"/>
          <w:szCs w:val="24"/>
          <w:lang w:val="sr-Cyrl-CS"/>
        </w:rPr>
        <w:t>к</w:t>
      </w:r>
      <w:r w:rsidR="00184689">
        <w:rPr>
          <w:rFonts w:ascii="Times New Roman" w:hAnsi="Times New Roman"/>
          <w:sz w:val="24"/>
          <w:szCs w:val="24"/>
          <w:lang w:val="sr-Cyrl-CS"/>
        </w:rPr>
        <w:t xml:space="preserve">цизе </w:t>
      </w:r>
      <w:r w:rsidR="00F07F8A">
        <w:rPr>
          <w:rFonts w:ascii="Times New Roman" w:hAnsi="Times New Roman"/>
          <w:sz w:val="24"/>
          <w:szCs w:val="24"/>
          <w:lang w:val="sr-Cyrl-CS"/>
        </w:rPr>
        <w:t>не представља</w:t>
      </w:r>
      <w:r w:rsidR="00184689">
        <w:rPr>
          <w:rFonts w:ascii="Times New Roman" w:hAnsi="Times New Roman"/>
          <w:sz w:val="24"/>
          <w:szCs w:val="24"/>
          <w:lang w:val="sr-Cyrl-CS"/>
        </w:rPr>
        <w:t>ју</w:t>
      </w:r>
      <w:r w:rsidR="00F07F8A">
        <w:rPr>
          <w:rFonts w:ascii="Times New Roman" w:hAnsi="Times New Roman"/>
          <w:sz w:val="24"/>
          <w:szCs w:val="24"/>
          <w:lang w:val="sr-Cyrl-CS"/>
        </w:rPr>
        <w:t xml:space="preserve"> његову посебну врсту. </w:t>
      </w:r>
    </w:p>
    <w:p w:rsidR="00E10636" w:rsidRDefault="00B83EA7" w:rsidP="00E10636">
      <w:pPr>
        <w:ind w:firstLine="708"/>
        <w:jc w:val="both"/>
        <w:rPr>
          <w:rFonts w:ascii="Times New Roman" w:hAnsi="Times New Roman"/>
          <w:sz w:val="24"/>
          <w:szCs w:val="24"/>
          <w:lang w:val="sr-Cyrl-CS"/>
        </w:rPr>
      </w:pPr>
      <w:r>
        <w:rPr>
          <w:rFonts w:ascii="Times New Roman" w:hAnsi="Times New Roman"/>
          <w:sz w:val="24"/>
          <w:szCs w:val="24"/>
          <w:lang w:val="sr-Cyrl-CS"/>
        </w:rPr>
        <w:t>Према томе, а</w:t>
      </w:r>
      <w:r w:rsidR="00AC5D32">
        <w:rPr>
          <w:rFonts w:ascii="Times New Roman" w:hAnsi="Times New Roman"/>
          <w:sz w:val="24"/>
          <w:szCs w:val="24"/>
          <w:lang w:val="sr-Cyrl-CS"/>
        </w:rPr>
        <w:t>кцизама се погађа потрошња тачно одређених добара, али се к</w:t>
      </w:r>
      <w:r w:rsidR="00F07F8A">
        <w:rPr>
          <w:rFonts w:ascii="Times New Roman" w:hAnsi="Times New Roman"/>
          <w:sz w:val="24"/>
          <w:szCs w:val="24"/>
          <w:lang w:val="sr-Cyrl-CS"/>
        </w:rPr>
        <w:t>руг опорезованих производа акцизама</w:t>
      </w:r>
      <w:r w:rsidR="00AC5D32">
        <w:rPr>
          <w:rFonts w:ascii="Times New Roman" w:hAnsi="Times New Roman"/>
          <w:sz w:val="24"/>
          <w:szCs w:val="24"/>
          <w:lang w:val="sr-Cyrl-CS"/>
        </w:rPr>
        <w:t xml:space="preserve"> </w:t>
      </w:r>
      <w:r w:rsidR="00F07F8A">
        <w:rPr>
          <w:rFonts w:ascii="Times New Roman" w:hAnsi="Times New Roman"/>
          <w:sz w:val="24"/>
          <w:szCs w:val="24"/>
          <w:lang w:val="sr-Cyrl-CS"/>
        </w:rPr>
        <w:t>разликује од земље до земље</w:t>
      </w:r>
      <w:r w:rsidR="00AC5D32">
        <w:rPr>
          <w:rFonts w:ascii="Times New Roman" w:hAnsi="Times New Roman"/>
          <w:sz w:val="24"/>
          <w:szCs w:val="24"/>
          <w:lang w:val="sr-Cyrl-CS"/>
        </w:rPr>
        <w:t xml:space="preserve"> мада</w:t>
      </w:r>
      <w:r w:rsidR="00F07F8A">
        <w:rPr>
          <w:rFonts w:ascii="Times New Roman" w:hAnsi="Times New Roman"/>
          <w:sz w:val="24"/>
          <w:szCs w:val="24"/>
          <w:lang w:val="sr-Cyrl-CS"/>
        </w:rPr>
        <w:t xml:space="preserve"> се, због фискалног карактера акциза, њима превасходно опорезују производи масовне потрошње који се тешко могу супституисати, па отуда представљају издашан извор прихода. </w:t>
      </w:r>
    </w:p>
    <w:p w:rsidR="00F07F8A" w:rsidRDefault="00F07F8A" w:rsidP="00E10636">
      <w:pPr>
        <w:ind w:firstLine="708"/>
        <w:jc w:val="both"/>
        <w:rPr>
          <w:rFonts w:ascii="Times New Roman" w:hAnsi="Times New Roman"/>
          <w:sz w:val="24"/>
          <w:szCs w:val="24"/>
          <w:lang w:val="sr-Cyrl-CS"/>
        </w:rPr>
      </w:pPr>
      <w:r>
        <w:rPr>
          <w:rFonts w:ascii="Times New Roman" w:hAnsi="Times New Roman"/>
          <w:sz w:val="24"/>
          <w:szCs w:val="24"/>
          <w:lang w:val="sr-Cyrl-CS"/>
        </w:rPr>
        <w:t xml:space="preserve">Историјски посматрано, акцизе представљају најстарији </w:t>
      </w:r>
      <w:r w:rsidR="00AC5D32">
        <w:rPr>
          <w:rFonts w:ascii="Times New Roman" w:hAnsi="Times New Roman"/>
          <w:sz w:val="24"/>
          <w:szCs w:val="24"/>
          <w:lang w:val="sr-Cyrl-CS"/>
        </w:rPr>
        <w:t>облик потрошног пореза и са њиховим увођем први пут је реализована идеја опорезивања потрошње.  Иако су биле оспораване</w:t>
      </w:r>
      <w:r w:rsidR="00AC5D32">
        <w:rPr>
          <w:rStyle w:val="FootnoteReference"/>
          <w:rFonts w:ascii="Times New Roman" w:hAnsi="Times New Roman"/>
          <w:sz w:val="24"/>
          <w:szCs w:val="24"/>
          <w:lang w:val="sr-Cyrl-CS"/>
        </w:rPr>
        <w:footnoteReference w:id="530"/>
      </w:r>
      <w:r w:rsidR="00AC5D32">
        <w:rPr>
          <w:rFonts w:ascii="Times New Roman" w:hAnsi="Times New Roman"/>
          <w:sz w:val="24"/>
          <w:szCs w:val="24"/>
          <w:lang w:val="sr-Cyrl-CS"/>
        </w:rPr>
        <w:t xml:space="preserve"> (тзв. акцизни спор током XVII и</w:t>
      </w:r>
      <w:r w:rsidR="00AC5D32">
        <w:rPr>
          <w:rFonts w:ascii="Times New Roman" w:hAnsi="Times New Roman"/>
          <w:sz w:val="24"/>
          <w:szCs w:val="24"/>
        </w:rPr>
        <w:t xml:space="preserve"> XVIII века)</w:t>
      </w:r>
      <w:r w:rsidR="00AC5D32">
        <w:rPr>
          <w:rFonts w:ascii="Times New Roman" w:hAnsi="Times New Roman"/>
          <w:sz w:val="24"/>
          <w:szCs w:val="24"/>
          <w:lang w:val="sr-Cyrl-CS"/>
        </w:rPr>
        <w:t xml:space="preserve">, задржане су до данас као значајан порез на потрошњу посебно у земљама у развоју. </w:t>
      </w:r>
      <w:r w:rsidR="00184689">
        <w:rPr>
          <w:rFonts w:ascii="Times New Roman" w:hAnsi="Times New Roman"/>
          <w:sz w:val="24"/>
          <w:szCs w:val="24"/>
          <w:lang w:val="sr-Cyrl-CS"/>
        </w:rPr>
        <w:t>Увођење и задржавање акциза у савременим пореским системима има бројне разлоге, а посебно:</w:t>
      </w:r>
    </w:p>
    <w:p w:rsidR="00184689" w:rsidRDefault="00184689" w:rsidP="008A3795">
      <w:pPr>
        <w:numPr>
          <w:ilvl w:val="0"/>
          <w:numId w:val="23"/>
        </w:numPr>
        <w:jc w:val="both"/>
        <w:rPr>
          <w:rFonts w:ascii="Times New Roman" w:hAnsi="Times New Roman"/>
          <w:sz w:val="24"/>
          <w:szCs w:val="24"/>
          <w:lang w:val="sr-Cyrl-CS"/>
        </w:rPr>
      </w:pPr>
      <w:r>
        <w:rPr>
          <w:rFonts w:ascii="Times New Roman" w:hAnsi="Times New Roman"/>
          <w:sz w:val="24"/>
          <w:szCs w:val="24"/>
          <w:lang w:val="sr-Cyrl-CS"/>
        </w:rPr>
        <w:t>успостављање што непосредније везе између износа плаћеног пореза и користи коју порески обвезник има од трошења опорезивањем убраних средстава;</w:t>
      </w:r>
    </w:p>
    <w:p w:rsidR="00184689" w:rsidRDefault="00184689" w:rsidP="008A3795">
      <w:pPr>
        <w:numPr>
          <w:ilvl w:val="0"/>
          <w:numId w:val="23"/>
        </w:numPr>
        <w:jc w:val="both"/>
        <w:rPr>
          <w:rFonts w:ascii="Times New Roman" w:hAnsi="Times New Roman"/>
          <w:sz w:val="24"/>
          <w:szCs w:val="24"/>
          <w:lang w:val="sr-Cyrl-CS"/>
        </w:rPr>
      </w:pPr>
      <w:r>
        <w:rPr>
          <w:rFonts w:ascii="Times New Roman" w:hAnsi="Times New Roman"/>
          <w:sz w:val="24"/>
          <w:szCs w:val="24"/>
          <w:lang w:val="sr-Cyrl-CS"/>
        </w:rPr>
        <w:t>настојање да се купци-потрошачи обесхрабре од коришћења неких производа који су штетни за здравље људи (на пример опорезивање цигарета, алкохолних пића и слично);</w:t>
      </w:r>
    </w:p>
    <w:p w:rsidR="001E137D" w:rsidRDefault="00184689" w:rsidP="008A3795">
      <w:pPr>
        <w:numPr>
          <w:ilvl w:val="0"/>
          <w:numId w:val="23"/>
        </w:numPr>
        <w:jc w:val="both"/>
        <w:rPr>
          <w:rFonts w:ascii="Times New Roman" w:hAnsi="Times New Roman"/>
          <w:sz w:val="24"/>
          <w:szCs w:val="24"/>
          <w:lang w:val="sr-Cyrl-CS"/>
        </w:rPr>
      </w:pPr>
      <w:r>
        <w:rPr>
          <w:rFonts w:ascii="Times New Roman" w:hAnsi="Times New Roman"/>
          <w:sz w:val="24"/>
          <w:szCs w:val="24"/>
          <w:lang w:val="sr-Cyrl-CS"/>
        </w:rPr>
        <w:t>пенализација конзумената неких производа због могућих негативних последица за појединаца и друштво у целини (на пример конзумирање алкохол</w:t>
      </w:r>
      <w:r w:rsidR="001E137D">
        <w:rPr>
          <w:rFonts w:ascii="Times New Roman" w:hAnsi="Times New Roman"/>
          <w:sz w:val="24"/>
          <w:szCs w:val="24"/>
          <w:lang w:val="sr-Cyrl-CS"/>
        </w:rPr>
        <w:t xml:space="preserve">них пића и </w:t>
      </w:r>
      <w:r w:rsidR="001E137D">
        <w:rPr>
          <w:rFonts w:ascii="Times New Roman" w:hAnsi="Times New Roman"/>
          <w:sz w:val="24"/>
          <w:szCs w:val="24"/>
          <w:lang w:val="sr-Cyrl-CS"/>
        </w:rPr>
        <w:lastRenderedPageBreak/>
        <w:t>са тим повезане штет</w:t>
      </w:r>
      <w:r>
        <w:rPr>
          <w:rFonts w:ascii="Times New Roman" w:hAnsi="Times New Roman"/>
          <w:sz w:val="24"/>
          <w:szCs w:val="24"/>
          <w:lang w:val="sr-Cyrl-CS"/>
        </w:rPr>
        <w:t xml:space="preserve">е </w:t>
      </w:r>
      <w:r w:rsidR="001E137D">
        <w:rPr>
          <w:rFonts w:ascii="Times New Roman" w:hAnsi="Times New Roman"/>
          <w:sz w:val="24"/>
          <w:szCs w:val="24"/>
          <w:lang w:val="sr-Cyrl-CS"/>
        </w:rPr>
        <w:t>изазване у пијаном стању: материјалне штете, трошкови болничког лечења и слично);</w:t>
      </w:r>
    </w:p>
    <w:p w:rsidR="00184689" w:rsidRDefault="00184689" w:rsidP="008A3795">
      <w:pPr>
        <w:numPr>
          <w:ilvl w:val="0"/>
          <w:numId w:val="23"/>
        </w:numPr>
        <w:jc w:val="both"/>
        <w:rPr>
          <w:rFonts w:ascii="Times New Roman" w:hAnsi="Times New Roman"/>
          <w:sz w:val="24"/>
          <w:szCs w:val="24"/>
          <w:lang w:val="sr-Cyrl-CS"/>
        </w:rPr>
      </w:pPr>
      <w:r>
        <w:rPr>
          <w:rFonts w:ascii="Times New Roman" w:hAnsi="Times New Roman"/>
          <w:sz w:val="24"/>
          <w:szCs w:val="24"/>
          <w:lang w:val="sr-Cyrl-CS"/>
        </w:rPr>
        <w:t xml:space="preserve"> </w:t>
      </w:r>
      <w:r w:rsidR="001E137D">
        <w:rPr>
          <w:rFonts w:ascii="Times New Roman" w:hAnsi="Times New Roman"/>
          <w:sz w:val="24"/>
          <w:szCs w:val="24"/>
          <w:lang w:val="sr-Cyrl-CS"/>
        </w:rPr>
        <w:t>дестимулација неких понашања, односно стицања штетних навика које се оцењују непожељним (на пример коцкање);</w:t>
      </w:r>
    </w:p>
    <w:p w:rsidR="001E137D" w:rsidRDefault="001E137D" w:rsidP="008A3795">
      <w:pPr>
        <w:numPr>
          <w:ilvl w:val="0"/>
          <w:numId w:val="23"/>
        </w:numPr>
        <w:jc w:val="both"/>
        <w:rPr>
          <w:rFonts w:ascii="Times New Roman" w:hAnsi="Times New Roman"/>
          <w:sz w:val="24"/>
          <w:szCs w:val="24"/>
          <w:lang w:val="sr-Cyrl-CS"/>
        </w:rPr>
      </w:pPr>
      <w:r>
        <w:rPr>
          <w:rFonts w:ascii="Times New Roman" w:hAnsi="Times New Roman"/>
          <w:sz w:val="24"/>
          <w:szCs w:val="24"/>
          <w:lang w:val="sr-Cyrl-CS"/>
        </w:rPr>
        <w:t>отежава увоз појединих производа који се не производе у земљи како би се ограничила потрошња страних средстава плаћања (на пример увоз јужног воћа);</w:t>
      </w:r>
    </w:p>
    <w:p w:rsidR="001E137D" w:rsidRDefault="001E137D" w:rsidP="008A3795">
      <w:pPr>
        <w:numPr>
          <w:ilvl w:val="0"/>
          <w:numId w:val="23"/>
        </w:numPr>
        <w:jc w:val="both"/>
        <w:rPr>
          <w:rFonts w:ascii="Times New Roman" w:hAnsi="Times New Roman"/>
          <w:sz w:val="24"/>
          <w:szCs w:val="24"/>
          <w:lang w:val="sr-Cyrl-CS"/>
        </w:rPr>
      </w:pPr>
      <w:r>
        <w:rPr>
          <w:rFonts w:ascii="Times New Roman" w:hAnsi="Times New Roman"/>
          <w:sz w:val="24"/>
          <w:szCs w:val="24"/>
          <w:lang w:val="sr-Cyrl-CS"/>
        </w:rPr>
        <w:t>опорезивање промета неких производа како бе се деловало на смањење загађивања човекове околине (разних хербицида, инсектицида, пестицида и</w:t>
      </w:r>
      <w:r w:rsidR="00691927">
        <w:rPr>
          <w:rFonts w:ascii="Times New Roman" w:hAnsi="Times New Roman"/>
          <w:sz w:val="24"/>
          <w:szCs w:val="24"/>
          <w:lang w:val="sr-Cyrl-CS"/>
        </w:rPr>
        <w:t xml:space="preserve"> д</w:t>
      </w:r>
      <w:r>
        <w:rPr>
          <w:rFonts w:ascii="Times New Roman" w:hAnsi="Times New Roman"/>
          <w:sz w:val="24"/>
          <w:szCs w:val="24"/>
          <w:lang w:val="sr-Cyrl-CS"/>
        </w:rPr>
        <w:t>ругих препарата чија потрошња доприноси загађивању земље, ваздуха, воде);</w:t>
      </w:r>
    </w:p>
    <w:p w:rsidR="001E137D" w:rsidRDefault="001E137D" w:rsidP="008A3795">
      <w:pPr>
        <w:numPr>
          <w:ilvl w:val="0"/>
          <w:numId w:val="23"/>
        </w:numPr>
        <w:jc w:val="both"/>
        <w:rPr>
          <w:rFonts w:ascii="Times New Roman" w:hAnsi="Times New Roman"/>
          <w:sz w:val="24"/>
          <w:szCs w:val="24"/>
          <w:lang w:val="sr-Cyrl-CS"/>
        </w:rPr>
      </w:pPr>
      <w:r>
        <w:rPr>
          <w:rFonts w:ascii="Times New Roman" w:hAnsi="Times New Roman"/>
          <w:sz w:val="24"/>
          <w:szCs w:val="24"/>
          <w:lang w:val="sr-Cyrl-CS"/>
        </w:rPr>
        <w:t>остваривање неких редистрибутивних циљева у опорезивању, како би се кориговали неки социјално неповољни учинци који се манифестују применом других пореза (на пример опорезивање луксузних производа као што су златни накит, драго камење, парфеми, крзно);</w:t>
      </w:r>
    </w:p>
    <w:p w:rsidR="001E137D" w:rsidRDefault="001E137D" w:rsidP="008A3795">
      <w:pPr>
        <w:numPr>
          <w:ilvl w:val="0"/>
          <w:numId w:val="23"/>
        </w:numPr>
        <w:jc w:val="both"/>
        <w:rPr>
          <w:rFonts w:ascii="Times New Roman" w:hAnsi="Times New Roman"/>
          <w:sz w:val="24"/>
          <w:szCs w:val="24"/>
          <w:lang w:val="sr-Cyrl-CS"/>
        </w:rPr>
      </w:pPr>
      <w:r>
        <w:rPr>
          <w:rFonts w:ascii="Times New Roman" w:hAnsi="Times New Roman"/>
          <w:sz w:val="24"/>
          <w:szCs w:val="24"/>
          <w:lang w:val="sr-Cyrl-CS"/>
        </w:rPr>
        <w:t>обезбеђење потребних средстава за финансирање јавних потреба, посебно потреба јединица локалне самоуправе</w:t>
      </w:r>
      <w:r w:rsidR="00FA325A">
        <w:rPr>
          <w:rFonts w:ascii="Times New Roman" w:hAnsi="Times New Roman"/>
          <w:sz w:val="24"/>
          <w:szCs w:val="24"/>
          <w:lang w:val="sr-Cyrl-CS"/>
        </w:rPr>
        <w:t>.</w:t>
      </w:r>
      <w:r>
        <w:rPr>
          <w:rStyle w:val="FootnoteReference"/>
          <w:rFonts w:ascii="Times New Roman" w:hAnsi="Times New Roman"/>
          <w:sz w:val="24"/>
          <w:szCs w:val="24"/>
          <w:lang w:val="sr-Cyrl-CS"/>
        </w:rPr>
        <w:footnoteReference w:id="531"/>
      </w:r>
    </w:p>
    <w:p w:rsidR="007371AB" w:rsidRDefault="00B369DA" w:rsidP="00E10636">
      <w:pPr>
        <w:ind w:firstLine="708"/>
        <w:jc w:val="both"/>
        <w:rPr>
          <w:rFonts w:ascii="Times New Roman" w:hAnsi="Times New Roman"/>
          <w:sz w:val="24"/>
          <w:szCs w:val="24"/>
          <w:lang w:val="sr-Cyrl-CS"/>
        </w:rPr>
      </w:pPr>
      <w:r>
        <w:rPr>
          <w:rFonts w:ascii="Times New Roman" w:hAnsi="Times New Roman"/>
          <w:sz w:val="24"/>
          <w:szCs w:val="24"/>
          <w:lang w:val="sr-Cyrl-CS"/>
        </w:rPr>
        <w:t>Како је механизам убирања акциза једноставан и држави обезбеђује сигурне и стабилне приходе м</w:t>
      </w:r>
      <w:r w:rsidR="007371AB">
        <w:rPr>
          <w:rFonts w:ascii="Times New Roman" w:hAnsi="Times New Roman"/>
          <w:sz w:val="24"/>
          <w:szCs w:val="24"/>
          <w:lang w:val="sr-Cyrl-CS"/>
        </w:rPr>
        <w:t xml:space="preserve">ноге земље у свету (претежно у Африци и Азији) задржале су </w:t>
      </w:r>
      <w:r>
        <w:rPr>
          <w:rFonts w:ascii="Times New Roman" w:hAnsi="Times New Roman"/>
          <w:sz w:val="24"/>
          <w:szCs w:val="24"/>
          <w:lang w:val="sr-Cyrl-CS"/>
        </w:rPr>
        <w:t>их као једини порез на потрошњу, а у</w:t>
      </w:r>
      <w:r w:rsidR="007371AB">
        <w:rPr>
          <w:rFonts w:ascii="Times New Roman" w:hAnsi="Times New Roman"/>
          <w:sz w:val="24"/>
          <w:szCs w:val="24"/>
          <w:lang w:val="sr-Cyrl-CS"/>
        </w:rPr>
        <w:t xml:space="preserve"> већини других земаља, акцизе се јављају уз порез на промет. У земљама</w:t>
      </w:r>
      <w:r>
        <w:rPr>
          <w:rFonts w:ascii="Times New Roman" w:hAnsi="Times New Roman"/>
          <w:sz w:val="24"/>
          <w:szCs w:val="24"/>
          <w:lang w:val="sr-Cyrl-CS"/>
        </w:rPr>
        <w:t xml:space="preserve"> где се акцизе јављају уз порез на промет</w:t>
      </w:r>
      <w:r w:rsidR="007371AB">
        <w:rPr>
          <w:rFonts w:ascii="Times New Roman" w:hAnsi="Times New Roman"/>
          <w:sz w:val="24"/>
          <w:szCs w:val="24"/>
          <w:lang w:val="sr-Cyrl-CS"/>
        </w:rPr>
        <w:t xml:space="preserve">, </w:t>
      </w:r>
      <w:r>
        <w:rPr>
          <w:rFonts w:ascii="Times New Roman" w:hAnsi="Times New Roman"/>
          <w:sz w:val="24"/>
          <w:szCs w:val="24"/>
          <w:lang w:val="sr-Cyrl-CS"/>
        </w:rPr>
        <w:t>промет</w:t>
      </w:r>
      <w:r w:rsidR="007371AB">
        <w:rPr>
          <w:rFonts w:ascii="Times New Roman" w:hAnsi="Times New Roman"/>
          <w:sz w:val="24"/>
          <w:szCs w:val="24"/>
          <w:lang w:val="sr-Cyrl-CS"/>
        </w:rPr>
        <w:t xml:space="preserve"> одређених пр</w:t>
      </w:r>
      <w:r w:rsidR="006474A9">
        <w:rPr>
          <w:rFonts w:ascii="Times New Roman" w:hAnsi="Times New Roman"/>
          <w:sz w:val="24"/>
          <w:szCs w:val="24"/>
          <w:lang w:val="sr-Cyrl-CS"/>
        </w:rPr>
        <w:t>оизвода је двоструко опорезован</w:t>
      </w:r>
      <w:r w:rsidR="007371AB">
        <w:rPr>
          <w:rFonts w:ascii="Times New Roman" w:hAnsi="Times New Roman"/>
          <w:sz w:val="24"/>
          <w:szCs w:val="24"/>
          <w:lang w:val="sr-Cyrl-CS"/>
        </w:rPr>
        <w:t>, једном акцизама и дру</w:t>
      </w:r>
      <w:r w:rsidR="00691927">
        <w:rPr>
          <w:rFonts w:ascii="Times New Roman" w:hAnsi="Times New Roman"/>
          <w:sz w:val="24"/>
          <w:szCs w:val="24"/>
          <w:lang w:val="sr-Cyrl-CS"/>
        </w:rPr>
        <w:t xml:space="preserve">ги пут порезом на промет. </w:t>
      </w:r>
      <w:r>
        <w:rPr>
          <w:rFonts w:ascii="Times New Roman" w:hAnsi="Times New Roman"/>
          <w:sz w:val="24"/>
          <w:szCs w:val="24"/>
          <w:lang w:val="sr-Cyrl-CS"/>
        </w:rPr>
        <w:t>На тај начин потрошња (промет) се најпре</w:t>
      </w:r>
      <w:r w:rsidR="007371AB">
        <w:rPr>
          <w:rFonts w:ascii="Times New Roman" w:hAnsi="Times New Roman"/>
          <w:sz w:val="24"/>
          <w:szCs w:val="24"/>
          <w:lang w:val="sr-Cyrl-CS"/>
        </w:rPr>
        <w:t xml:space="preserve"> </w:t>
      </w:r>
      <w:r w:rsidR="00A42046">
        <w:rPr>
          <w:rFonts w:ascii="Times New Roman" w:hAnsi="Times New Roman"/>
          <w:sz w:val="24"/>
          <w:szCs w:val="24"/>
          <w:lang w:val="sr-Cyrl-CS"/>
        </w:rPr>
        <w:t xml:space="preserve">опорезује </w:t>
      </w:r>
      <w:r w:rsidR="007371AB">
        <w:rPr>
          <w:rFonts w:ascii="Times New Roman" w:hAnsi="Times New Roman"/>
          <w:sz w:val="24"/>
          <w:szCs w:val="24"/>
          <w:lang w:val="sr-Cyrl-CS"/>
        </w:rPr>
        <w:t xml:space="preserve">порезом на промет свих производа </w:t>
      </w:r>
      <w:r w:rsidR="00FA325A">
        <w:rPr>
          <w:rFonts w:ascii="Times New Roman" w:hAnsi="Times New Roman"/>
          <w:sz w:val="24"/>
          <w:szCs w:val="24"/>
          <w:lang w:val="sr-Cyrl-CS"/>
        </w:rPr>
        <w:t>(</w:t>
      </w:r>
      <w:r>
        <w:rPr>
          <w:rFonts w:ascii="Times New Roman" w:hAnsi="Times New Roman"/>
          <w:sz w:val="24"/>
          <w:szCs w:val="24"/>
          <w:lang w:val="sr-Cyrl-CS"/>
        </w:rPr>
        <w:t>сем изузетих</w:t>
      </w:r>
      <w:r w:rsidR="00FA325A">
        <w:rPr>
          <w:rFonts w:ascii="Times New Roman" w:hAnsi="Times New Roman"/>
          <w:sz w:val="24"/>
          <w:szCs w:val="24"/>
          <w:lang w:val="sr-Cyrl-CS"/>
        </w:rPr>
        <w:t xml:space="preserve">), а </w:t>
      </w:r>
      <w:r w:rsidR="007371AB">
        <w:rPr>
          <w:rFonts w:ascii="Times New Roman" w:hAnsi="Times New Roman"/>
          <w:sz w:val="24"/>
          <w:szCs w:val="24"/>
          <w:lang w:val="sr-Cyrl-CS"/>
        </w:rPr>
        <w:t>акцизама се додатно опорезује потрошња само једног, релативно малог броја тачно одређених производа</w:t>
      </w:r>
      <w:r w:rsidR="00FA325A">
        <w:rPr>
          <w:rFonts w:ascii="Times New Roman" w:hAnsi="Times New Roman"/>
          <w:sz w:val="24"/>
          <w:szCs w:val="24"/>
          <w:lang w:val="sr-Cyrl-CS"/>
        </w:rPr>
        <w:t>.</w:t>
      </w:r>
      <w:r w:rsidR="007371AB">
        <w:rPr>
          <w:rStyle w:val="FootnoteReference"/>
          <w:rFonts w:ascii="Times New Roman" w:hAnsi="Times New Roman"/>
          <w:sz w:val="24"/>
          <w:szCs w:val="24"/>
          <w:lang w:val="sr-Cyrl-CS"/>
        </w:rPr>
        <w:footnoteReference w:id="532"/>
      </w:r>
    </w:p>
    <w:p w:rsidR="00FA325A" w:rsidRDefault="004553A7" w:rsidP="00E10636">
      <w:pPr>
        <w:ind w:firstLine="708"/>
        <w:jc w:val="both"/>
        <w:rPr>
          <w:rFonts w:ascii="Times New Roman" w:hAnsi="Times New Roman"/>
          <w:sz w:val="24"/>
          <w:szCs w:val="24"/>
          <w:lang w:val="sr-Cyrl-CS"/>
        </w:rPr>
      </w:pPr>
      <w:r>
        <w:rPr>
          <w:rFonts w:ascii="Times New Roman" w:hAnsi="Times New Roman"/>
          <w:sz w:val="24"/>
          <w:szCs w:val="24"/>
          <w:lang w:val="sr-Cyrl-CS"/>
        </w:rPr>
        <w:t>„</w:t>
      </w:r>
      <w:r w:rsidR="00FA325A">
        <w:rPr>
          <w:rFonts w:ascii="Times New Roman" w:hAnsi="Times New Roman"/>
          <w:sz w:val="24"/>
          <w:szCs w:val="24"/>
          <w:lang w:val="sr-Cyrl-CS"/>
        </w:rPr>
        <w:t>И код акциза се, као и код ПДВ, појавила потреба да се установи зајенички систем опорезивања у земљама-чланицама Европске уније; у одсуству таквог заједничког (усклађеног) система, биле би нарушене слободе кретања добара, па и услуга, људи и капитала, што би онемогућило функционисање јединственог унутрашњег тржишта Европске заједнице. Зато је у домену акциза донет сет од три врсте директива: (1) Хоризонтална директива (која обезбеђује јединствено уређивање времена настанка пореске обавезе и допушта одлагање настанка обавезе до напуштања акцизног складишта); (2) сет ст</w:t>
      </w:r>
      <w:r w:rsidR="000C5A92">
        <w:rPr>
          <w:rFonts w:ascii="Times New Roman" w:hAnsi="Times New Roman"/>
          <w:sz w:val="24"/>
          <w:szCs w:val="24"/>
          <w:lang w:val="sr-Cyrl-CS"/>
        </w:rPr>
        <w:t>руктурних директива</w:t>
      </w:r>
      <w:r w:rsidR="00FA325A">
        <w:rPr>
          <w:rFonts w:ascii="Times New Roman" w:hAnsi="Times New Roman"/>
          <w:sz w:val="24"/>
          <w:szCs w:val="24"/>
          <w:lang w:val="sr-Cyrl-CS"/>
        </w:rPr>
        <w:t xml:space="preserve"> у којима су дате јединствен</w:t>
      </w:r>
      <w:r w:rsidR="000C5A92">
        <w:rPr>
          <w:rFonts w:ascii="Times New Roman" w:hAnsi="Times New Roman"/>
          <w:sz w:val="24"/>
          <w:szCs w:val="24"/>
          <w:lang w:val="sr-Cyrl-CS"/>
        </w:rPr>
        <w:t>е дефиниције акцизних производа</w:t>
      </w:r>
      <w:r w:rsidR="00FA325A">
        <w:rPr>
          <w:rFonts w:ascii="Times New Roman" w:hAnsi="Times New Roman"/>
          <w:sz w:val="24"/>
          <w:szCs w:val="24"/>
          <w:lang w:val="sr-Cyrl-CS"/>
        </w:rPr>
        <w:t xml:space="preserve"> и (3) сет директива о апроксимацији стопа акциза.</w:t>
      </w:r>
      <w:r>
        <w:rPr>
          <w:rFonts w:ascii="Times New Roman" w:hAnsi="Times New Roman"/>
          <w:sz w:val="24"/>
          <w:szCs w:val="24"/>
          <w:lang w:val="sr-Cyrl-CS"/>
        </w:rPr>
        <w:t>“</w:t>
      </w:r>
      <w:r w:rsidR="00FA325A">
        <w:rPr>
          <w:rStyle w:val="FootnoteReference"/>
          <w:rFonts w:ascii="Times New Roman" w:hAnsi="Times New Roman"/>
          <w:sz w:val="24"/>
          <w:szCs w:val="24"/>
          <w:lang w:val="sr-Cyrl-CS"/>
        </w:rPr>
        <w:footnoteReference w:id="533"/>
      </w:r>
    </w:p>
    <w:p w:rsidR="00184689" w:rsidRDefault="00A23E35" w:rsidP="00E10636">
      <w:pPr>
        <w:ind w:firstLine="708"/>
        <w:jc w:val="both"/>
        <w:rPr>
          <w:rFonts w:ascii="Times New Roman" w:hAnsi="Times New Roman"/>
          <w:sz w:val="24"/>
          <w:szCs w:val="24"/>
          <w:lang w:val="sr-Cyrl-CS"/>
        </w:rPr>
      </w:pPr>
      <w:r>
        <w:rPr>
          <w:rFonts w:ascii="Times New Roman" w:hAnsi="Times New Roman"/>
          <w:sz w:val="24"/>
          <w:szCs w:val="24"/>
          <w:lang w:val="sr-Cyrl-CS"/>
        </w:rPr>
        <w:lastRenderedPageBreak/>
        <w:t xml:space="preserve">У порески систем Србије акцизе су уведене 1994. </w:t>
      </w:r>
      <w:r w:rsidR="00DA3BDA">
        <w:rPr>
          <w:rFonts w:ascii="Times New Roman" w:hAnsi="Times New Roman"/>
          <w:sz w:val="24"/>
          <w:szCs w:val="24"/>
          <w:lang w:val="sr-Cyrl-CS"/>
        </w:rPr>
        <w:t>г</w:t>
      </w:r>
      <w:r>
        <w:rPr>
          <w:rFonts w:ascii="Times New Roman" w:hAnsi="Times New Roman"/>
          <w:sz w:val="24"/>
          <w:szCs w:val="24"/>
          <w:lang w:val="sr-Cyrl-CS"/>
        </w:rPr>
        <w:t>одине</w:t>
      </w:r>
      <w:r w:rsidR="00DA3BDA">
        <w:rPr>
          <w:rFonts w:ascii="Times New Roman" w:hAnsi="Times New Roman"/>
          <w:sz w:val="24"/>
          <w:szCs w:val="24"/>
          <w:lang w:val="sr-Cyrl-CS"/>
        </w:rPr>
        <w:t>,</w:t>
      </w:r>
      <w:r>
        <w:rPr>
          <w:rStyle w:val="FootnoteReference"/>
          <w:rFonts w:ascii="Times New Roman" w:hAnsi="Times New Roman"/>
          <w:sz w:val="24"/>
          <w:szCs w:val="24"/>
          <w:lang w:val="sr-Cyrl-CS"/>
        </w:rPr>
        <w:footnoteReference w:id="534"/>
      </w:r>
      <w:r w:rsidR="00DA3BDA">
        <w:rPr>
          <w:rFonts w:ascii="Times New Roman" w:hAnsi="Times New Roman"/>
          <w:sz w:val="24"/>
          <w:szCs w:val="24"/>
          <w:lang w:val="sr-Cyrl-CS"/>
        </w:rPr>
        <w:t xml:space="preserve"> док су посебним законом уређене 2001. </w:t>
      </w:r>
      <w:r w:rsidR="00FA325A">
        <w:rPr>
          <w:rFonts w:ascii="Times New Roman" w:hAnsi="Times New Roman"/>
          <w:sz w:val="24"/>
          <w:szCs w:val="24"/>
          <w:lang w:val="sr-Cyrl-CS"/>
        </w:rPr>
        <w:t>г</w:t>
      </w:r>
      <w:r w:rsidR="00DA3BDA">
        <w:rPr>
          <w:rFonts w:ascii="Times New Roman" w:hAnsi="Times New Roman"/>
          <w:sz w:val="24"/>
          <w:szCs w:val="24"/>
          <w:lang w:val="sr-Cyrl-CS"/>
        </w:rPr>
        <w:t>одине</w:t>
      </w:r>
      <w:r w:rsidR="00FA325A">
        <w:rPr>
          <w:rFonts w:ascii="Times New Roman" w:hAnsi="Times New Roman"/>
          <w:sz w:val="24"/>
          <w:szCs w:val="24"/>
          <w:lang w:val="sr-Cyrl-CS"/>
        </w:rPr>
        <w:t>.</w:t>
      </w:r>
      <w:r w:rsidR="001474CC">
        <w:rPr>
          <w:rStyle w:val="FootnoteReference"/>
          <w:rFonts w:ascii="Times New Roman" w:hAnsi="Times New Roman"/>
          <w:sz w:val="24"/>
          <w:szCs w:val="24"/>
          <w:lang w:val="sr-Cyrl-CS"/>
        </w:rPr>
        <w:footnoteReference w:id="535"/>
      </w:r>
      <w:r w:rsidR="00FA325A">
        <w:rPr>
          <w:rFonts w:ascii="Times New Roman" w:hAnsi="Times New Roman"/>
          <w:sz w:val="24"/>
          <w:szCs w:val="24"/>
          <w:lang w:val="sr-Cyrl-CS"/>
        </w:rPr>
        <w:t xml:space="preserve"> </w:t>
      </w:r>
    </w:p>
    <w:p w:rsidR="007371AB" w:rsidRDefault="00FA325A" w:rsidP="00E10636">
      <w:pPr>
        <w:ind w:firstLine="708"/>
        <w:jc w:val="both"/>
        <w:rPr>
          <w:rFonts w:ascii="Times New Roman" w:hAnsi="Times New Roman"/>
          <w:sz w:val="24"/>
          <w:szCs w:val="24"/>
          <w:lang w:val="sr-Cyrl-CS"/>
        </w:rPr>
      </w:pPr>
      <w:r>
        <w:rPr>
          <w:rFonts w:ascii="Times New Roman" w:hAnsi="Times New Roman"/>
          <w:sz w:val="24"/>
          <w:szCs w:val="24"/>
          <w:lang w:val="sr-Cyrl-CS"/>
        </w:rPr>
        <w:t>Са закључивањем Споразума о стабилизацији и придруживању ЕУ отвара се потреба даљег усаглашавања акцизног закона с</w:t>
      </w:r>
      <w:r w:rsidR="007571CE">
        <w:rPr>
          <w:rFonts w:ascii="Times New Roman" w:hAnsi="Times New Roman"/>
          <w:sz w:val="24"/>
          <w:szCs w:val="24"/>
          <w:lang w:val="sr-Cyrl-CS"/>
        </w:rPr>
        <w:t>а</w:t>
      </w:r>
      <w:r>
        <w:rPr>
          <w:rFonts w:ascii="Times New Roman" w:hAnsi="Times New Roman"/>
          <w:sz w:val="24"/>
          <w:szCs w:val="24"/>
          <w:lang w:val="sr-Cyrl-CS"/>
        </w:rPr>
        <w:t xml:space="preserve"> од</w:t>
      </w:r>
      <w:r w:rsidR="007571CE">
        <w:rPr>
          <w:rFonts w:ascii="Times New Roman" w:hAnsi="Times New Roman"/>
          <w:sz w:val="24"/>
          <w:szCs w:val="24"/>
          <w:lang w:val="sr-Cyrl-CS"/>
        </w:rPr>
        <w:t xml:space="preserve">говарајућим европским прописима  у погледу </w:t>
      </w:r>
      <w:r>
        <w:rPr>
          <w:rFonts w:ascii="Times New Roman" w:hAnsi="Times New Roman"/>
          <w:sz w:val="24"/>
          <w:szCs w:val="24"/>
          <w:lang w:val="sr-Cyrl-CS"/>
        </w:rPr>
        <w:t>висине акцизног оптерећења и уређивања система акцизних складишта.</w:t>
      </w:r>
      <w:r>
        <w:rPr>
          <w:rStyle w:val="FootnoteReference"/>
          <w:rFonts w:ascii="Times New Roman" w:hAnsi="Times New Roman"/>
          <w:sz w:val="24"/>
          <w:szCs w:val="24"/>
          <w:lang w:val="sr-Cyrl-CS"/>
        </w:rPr>
        <w:footnoteReference w:id="536"/>
      </w:r>
    </w:p>
    <w:p w:rsidR="00CB6483" w:rsidRPr="00D86D09" w:rsidRDefault="004949B5" w:rsidP="00D86D09">
      <w:pPr>
        <w:ind w:firstLine="708"/>
        <w:jc w:val="both"/>
        <w:rPr>
          <w:rFonts w:ascii="Times New Roman" w:hAnsi="Times New Roman"/>
          <w:sz w:val="24"/>
          <w:szCs w:val="24"/>
          <w:lang w:val="sr-Cyrl-CS"/>
        </w:rPr>
      </w:pPr>
      <w:r w:rsidRPr="00D86D09">
        <w:rPr>
          <w:rFonts w:ascii="Times New Roman" w:hAnsi="Times New Roman"/>
          <w:sz w:val="24"/>
          <w:szCs w:val="24"/>
        </w:rPr>
        <w:t>Обавеза</w:t>
      </w:r>
      <w:r w:rsidR="002D7718" w:rsidRPr="00D86D09">
        <w:rPr>
          <w:rFonts w:ascii="Times New Roman" w:hAnsi="Times New Roman"/>
          <w:sz w:val="24"/>
          <w:szCs w:val="24"/>
        </w:rPr>
        <w:t xml:space="preserve"> </w:t>
      </w:r>
      <w:r w:rsidRPr="00D86D09">
        <w:rPr>
          <w:rFonts w:ascii="Times New Roman" w:hAnsi="Times New Roman"/>
          <w:sz w:val="24"/>
          <w:szCs w:val="24"/>
        </w:rPr>
        <w:t>по</w:t>
      </w:r>
      <w:r w:rsidR="002D7718" w:rsidRPr="00D86D09">
        <w:rPr>
          <w:rFonts w:ascii="Times New Roman" w:hAnsi="Times New Roman"/>
          <w:sz w:val="24"/>
          <w:szCs w:val="24"/>
        </w:rPr>
        <w:t xml:space="preserve"> </w:t>
      </w:r>
      <w:r w:rsidRPr="00D86D09">
        <w:rPr>
          <w:rFonts w:ascii="Times New Roman" w:hAnsi="Times New Roman"/>
          <w:sz w:val="24"/>
          <w:szCs w:val="24"/>
        </w:rPr>
        <w:t>основу</w:t>
      </w:r>
      <w:r w:rsidR="002D7718" w:rsidRPr="00D86D09">
        <w:rPr>
          <w:rFonts w:ascii="Times New Roman" w:hAnsi="Times New Roman"/>
          <w:sz w:val="24"/>
          <w:szCs w:val="24"/>
        </w:rPr>
        <w:t xml:space="preserve"> </w:t>
      </w:r>
      <w:r w:rsidRPr="00D86D09">
        <w:rPr>
          <w:rFonts w:ascii="Times New Roman" w:hAnsi="Times New Roman"/>
          <w:sz w:val="24"/>
          <w:szCs w:val="24"/>
        </w:rPr>
        <w:t>акцизе</w:t>
      </w:r>
      <w:r w:rsidR="002D7718" w:rsidRPr="00D86D09">
        <w:rPr>
          <w:rFonts w:ascii="Times New Roman" w:hAnsi="Times New Roman"/>
          <w:sz w:val="24"/>
          <w:szCs w:val="24"/>
        </w:rPr>
        <w:t xml:space="preserve"> </w:t>
      </w:r>
      <w:r w:rsidR="00CB6483" w:rsidRPr="00D86D09">
        <w:rPr>
          <w:rFonts w:ascii="Times New Roman" w:hAnsi="Times New Roman"/>
          <w:sz w:val="24"/>
          <w:szCs w:val="24"/>
          <w:lang w:val="sr-Cyrl-CS"/>
        </w:rPr>
        <w:t>према Закону о акцизама</w:t>
      </w:r>
      <w:r w:rsidR="00CB6483" w:rsidRPr="00D86D09">
        <w:rPr>
          <w:rStyle w:val="FootnoteReference"/>
          <w:rFonts w:ascii="Times New Roman" w:hAnsi="Times New Roman"/>
          <w:color w:val="000000"/>
          <w:sz w:val="24"/>
          <w:szCs w:val="24"/>
          <w:lang w:val="sr-Cyrl-CS"/>
        </w:rPr>
        <w:footnoteReference w:id="537"/>
      </w:r>
      <w:r w:rsidR="00CB6483" w:rsidRPr="00D86D09">
        <w:rPr>
          <w:rFonts w:ascii="Times New Roman" w:hAnsi="Times New Roman"/>
          <w:sz w:val="24"/>
          <w:szCs w:val="24"/>
          <w:lang w:val="sr-Cyrl-CS"/>
        </w:rPr>
        <w:t xml:space="preserve"> </w:t>
      </w:r>
      <w:r w:rsidRPr="00D86D09">
        <w:rPr>
          <w:rFonts w:ascii="Times New Roman" w:hAnsi="Times New Roman"/>
          <w:sz w:val="24"/>
          <w:szCs w:val="24"/>
        </w:rPr>
        <w:t>настаје</w:t>
      </w:r>
      <w:r w:rsidR="00CB6483" w:rsidRPr="00D86D09">
        <w:rPr>
          <w:rFonts w:ascii="Times New Roman" w:hAnsi="Times New Roman"/>
          <w:sz w:val="24"/>
          <w:szCs w:val="24"/>
        </w:rPr>
        <w:t xml:space="preserve"> </w:t>
      </w:r>
      <w:r w:rsidRPr="00D86D09">
        <w:rPr>
          <w:rFonts w:ascii="Times New Roman" w:hAnsi="Times New Roman"/>
          <w:sz w:val="24"/>
          <w:szCs w:val="24"/>
        </w:rPr>
        <w:t>када</w:t>
      </w:r>
      <w:r w:rsidR="00CB6483" w:rsidRPr="00D86D09">
        <w:rPr>
          <w:rFonts w:ascii="Times New Roman" w:hAnsi="Times New Roman"/>
          <w:sz w:val="24"/>
          <w:szCs w:val="24"/>
        </w:rPr>
        <w:t xml:space="preserve"> </w:t>
      </w:r>
      <w:r w:rsidRPr="00D86D09">
        <w:rPr>
          <w:rFonts w:ascii="Times New Roman" w:hAnsi="Times New Roman"/>
          <w:sz w:val="24"/>
          <w:szCs w:val="24"/>
        </w:rPr>
        <w:t>су</w:t>
      </w:r>
      <w:r w:rsidR="00CB6483" w:rsidRPr="00D86D09">
        <w:rPr>
          <w:rFonts w:ascii="Times New Roman" w:hAnsi="Times New Roman"/>
          <w:sz w:val="24"/>
          <w:szCs w:val="24"/>
          <w:lang w:val="sr-Cyrl-CS"/>
        </w:rPr>
        <w:t xml:space="preserve"> </w:t>
      </w:r>
      <w:r w:rsidRPr="00D86D09">
        <w:rPr>
          <w:rFonts w:ascii="Times New Roman" w:hAnsi="Times New Roman"/>
          <w:sz w:val="24"/>
          <w:szCs w:val="24"/>
        </w:rPr>
        <w:t>акцизни</w:t>
      </w:r>
      <w:r w:rsidR="00CB6483" w:rsidRPr="00D86D09">
        <w:rPr>
          <w:rFonts w:ascii="Times New Roman" w:hAnsi="Times New Roman"/>
          <w:sz w:val="24"/>
          <w:szCs w:val="24"/>
        </w:rPr>
        <w:t xml:space="preserve"> </w:t>
      </w:r>
      <w:r w:rsidRPr="00D86D09">
        <w:rPr>
          <w:rFonts w:ascii="Times New Roman" w:hAnsi="Times New Roman"/>
          <w:sz w:val="24"/>
          <w:szCs w:val="24"/>
        </w:rPr>
        <w:t>производи</w:t>
      </w:r>
      <w:r w:rsidR="002D7718" w:rsidRPr="00D86D09">
        <w:rPr>
          <w:rFonts w:ascii="Times New Roman" w:hAnsi="Times New Roman"/>
          <w:sz w:val="24"/>
          <w:szCs w:val="24"/>
        </w:rPr>
        <w:t>:</w:t>
      </w:r>
      <w:r w:rsidR="00CB6483" w:rsidRPr="00D86D09">
        <w:rPr>
          <w:rFonts w:ascii="Times New Roman" w:hAnsi="Times New Roman"/>
          <w:sz w:val="24"/>
          <w:szCs w:val="24"/>
          <w:lang w:val="sr-Cyrl-CS"/>
        </w:rPr>
        <w:t xml:space="preserve"> </w:t>
      </w:r>
    </w:p>
    <w:p w:rsidR="002D7718" w:rsidRPr="00D86D09" w:rsidRDefault="002D7718" w:rsidP="00D86D09">
      <w:pPr>
        <w:jc w:val="both"/>
        <w:rPr>
          <w:rFonts w:ascii="Times New Roman" w:hAnsi="Times New Roman"/>
          <w:sz w:val="24"/>
          <w:szCs w:val="24"/>
        </w:rPr>
      </w:pPr>
      <w:r w:rsidRPr="00D86D09">
        <w:rPr>
          <w:rFonts w:ascii="Times New Roman" w:hAnsi="Times New Roman"/>
          <w:sz w:val="24"/>
          <w:szCs w:val="24"/>
        </w:rPr>
        <w:t xml:space="preserve">1) </w:t>
      </w:r>
      <w:r w:rsidR="004949B5" w:rsidRPr="00D86D09">
        <w:rPr>
          <w:rFonts w:ascii="Times New Roman" w:hAnsi="Times New Roman"/>
          <w:sz w:val="24"/>
          <w:szCs w:val="24"/>
        </w:rPr>
        <w:t>произведени</w:t>
      </w:r>
      <w:r w:rsidRPr="00D86D09">
        <w:rPr>
          <w:rFonts w:ascii="Times New Roman" w:hAnsi="Times New Roman"/>
          <w:sz w:val="24"/>
          <w:szCs w:val="24"/>
        </w:rPr>
        <w:t xml:space="preserve"> </w:t>
      </w:r>
      <w:r w:rsidR="004949B5" w:rsidRPr="00D86D09">
        <w:rPr>
          <w:rFonts w:ascii="Times New Roman" w:hAnsi="Times New Roman"/>
          <w:sz w:val="24"/>
          <w:szCs w:val="24"/>
        </w:rPr>
        <w:t>у</w:t>
      </w:r>
      <w:r w:rsidRPr="00D86D09">
        <w:rPr>
          <w:rFonts w:ascii="Times New Roman" w:hAnsi="Times New Roman"/>
          <w:sz w:val="24"/>
          <w:szCs w:val="24"/>
        </w:rPr>
        <w:t xml:space="preserve"> </w:t>
      </w:r>
      <w:r w:rsidR="004949B5" w:rsidRPr="00D86D09">
        <w:rPr>
          <w:rFonts w:ascii="Times New Roman" w:hAnsi="Times New Roman"/>
          <w:sz w:val="24"/>
          <w:szCs w:val="24"/>
        </w:rPr>
        <w:t>Републици</w:t>
      </w:r>
      <w:r w:rsidRPr="00D86D09">
        <w:rPr>
          <w:rFonts w:ascii="Times New Roman" w:hAnsi="Times New Roman"/>
          <w:sz w:val="24"/>
          <w:szCs w:val="24"/>
        </w:rPr>
        <w:t xml:space="preserve"> </w:t>
      </w:r>
      <w:r w:rsidR="004949B5" w:rsidRPr="00D86D09">
        <w:rPr>
          <w:rFonts w:ascii="Times New Roman" w:hAnsi="Times New Roman"/>
          <w:sz w:val="24"/>
          <w:szCs w:val="24"/>
        </w:rPr>
        <w:t>Србији</w:t>
      </w:r>
      <w:r w:rsidRPr="00D86D09">
        <w:rPr>
          <w:rFonts w:ascii="Times New Roman" w:hAnsi="Times New Roman"/>
          <w:sz w:val="24"/>
          <w:szCs w:val="24"/>
        </w:rPr>
        <w:t>;</w:t>
      </w:r>
    </w:p>
    <w:p w:rsidR="00CB6483" w:rsidRPr="00D86D09" w:rsidRDefault="002D7718" w:rsidP="00D86D09">
      <w:pPr>
        <w:jc w:val="both"/>
        <w:rPr>
          <w:rFonts w:ascii="Times New Roman" w:hAnsi="Times New Roman"/>
          <w:sz w:val="24"/>
          <w:szCs w:val="24"/>
          <w:lang w:val="sr-Cyrl-CS"/>
        </w:rPr>
      </w:pPr>
      <w:r w:rsidRPr="00D86D09">
        <w:rPr>
          <w:rFonts w:ascii="Times New Roman" w:hAnsi="Times New Roman"/>
          <w:sz w:val="24"/>
          <w:szCs w:val="24"/>
        </w:rPr>
        <w:t xml:space="preserve">2) </w:t>
      </w:r>
      <w:r w:rsidR="004949B5" w:rsidRPr="00D86D09">
        <w:rPr>
          <w:rFonts w:ascii="Times New Roman" w:hAnsi="Times New Roman"/>
          <w:sz w:val="24"/>
          <w:szCs w:val="24"/>
        </w:rPr>
        <w:t>увезени</w:t>
      </w:r>
      <w:r w:rsidRPr="00D86D09">
        <w:rPr>
          <w:rFonts w:ascii="Times New Roman" w:hAnsi="Times New Roman"/>
          <w:sz w:val="24"/>
          <w:szCs w:val="24"/>
        </w:rPr>
        <w:t xml:space="preserve"> </w:t>
      </w:r>
      <w:r w:rsidR="004949B5" w:rsidRPr="00D86D09">
        <w:rPr>
          <w:rFonts w:ascii="Times New Roman" w:hAnsi="Times New Roman"/>
          <w:sz w:val="24"/>
          <w:szCs w:val="24"/>
        </w:rPr>
        <w:t>у</w:t>
      </w:r>
      <w:r w:rsidRPr="00D86D09">
        <w:rPr>
          <w:rFonts w:ascii="Times New Roman" w:hAnsi="Times New Roman"/>
          <w:sz w:val="24"/>
          <w:szCs w:val="24"/>
        </w:rPr>
        <w:t xml:space="preserve"> </w:t>
      </w:r>
      <w:r w:rsidR="004949B5" w:rsidRPr="00D86D09">
        <w:rPr>
          <w:rFonts w:ascii="Times New Roman" w:hAnsi="Times New Roman"/>
          <w:sz w:val="24"/>
          <w:szCs w:val="24"/>
        </w:rPr>
        <w:t>Републику</w:t>
      </w:r>
      <w:r w:rsidRPr="00D86D09">
        <w:rPr>
          <w:rFonts w:ascii="Times New Roman" w:hAnsi="Times New Roman"/>
          <w:sz w:val="24"/>
          <w:szCs w:val="24"/>
        </w:rPr>
        <w:t xml:space="preserve"> </w:t>
      </w:r>
      <w:r w:rsidR="004949B5" w:rsidRPr="00D86D09">
        <w:rPr>
          <w:rFonts w:ascii="Times New Roman" w:hAnsi="Times New Roman"/>
          <w:sz w:val="24"/>
          <w:szCs w:val="24"/>
        </w:rPr>
        <w:t>Србију</w:t>
      </w:r>
      <w:r w:rsidRPr="00D86D09">
        <w:rPr>
          <w:rFonts w:ascii="Times New Roman" w:hAnsi="Times New Roman"/>
          <w:sz w:val="24"/>
          <w:szCs w:val="24"/>
        </w:rPr>
        <w:t>.</w:t>
      </w:r>
    </w:p>
    <w:p w:rsidR="00CB6483" w:rsidRPr="00D86D09" w:rsidRDefault="004949B5" w:rsidP="00D86D09">
      <w:pPr>
        <w:ind w:firstLine="708"/>
        <w:jc w:val="both"/>
        <w:rPr>
          <w:rFonts w:ascii="Times New Roman" w:hAnsi="Times New Roman"/>
          <w:sz w:val="24"/>
          <w:szCs w:val="24"/>
          <w:lang w:val="sr-Cyrl-CS"/>
        </w:rPr>
      </w:pPr>
      <w:r w:rsidRPr="00D86D09">
        <w:rPr>
          <w:rFonts w:ascii="Times New Roman" w:hAnsi="Times New Roman"/>
          <w:sz w:val="24"/>
          <w:szCs w:val="24"/>
        </w:rPr>
        <w:t>Увезеним</w:t>
      </w:r>
      <w:r w:rsidR="002D7718" w:rsidRPr="00D86D09">
        <w:rPr>
          <w:rFonts w:ascii="Times New Roman" w:hAnsi="Times New Roman"/>
          <w:sz w:val="24"/>
          <w:szCs w:val="24"/>
        </w:rPr>
        <w:t xml:space="preserve"> </w:t>
      </w:r>
      <w:r w:rsidRPr="00D86D09">
        <w:rPr>
          <w:rFonts w:ascii="Times New Roman" w:hAnsi="Times New Roman"/>
          <w:sz w:val="24"/>
          <w:szCs w:val="24"/>
        </w:rPr>
        <w:t>акцизним</w:t>
      </w:r>
      <w:r w:rsidR="002D7718" w:rsidRPr="00D86D09">
        <w:rPr>
          <w:rFonts w:ascii="Times New Roman" w:hAnsi="Times New Roman"/>
          <w:sz w:val="24"/>
          <w:szCs w:val="24"/>
        </w:rPr>
        <w:t xml:space="preserve"> </w:t>
      </w:r>
      <w:r w:rsidRPr="00D86D09">
        <w:rPr>
          <w:rFonts w:ascii="Times New Roman" w:hAnsi="Times New Roman"/>
          <w:sz w:val="24"/>
          <w:szCs w:val="24"/>
        </w:rPr>
        <w:t>производима</w:t>
      </w:r>
      <w:r w:rsidR="00CB6483" w:rsidRPr="00D86D09">
        <w:rPr>
          <w:rFonts w:ascii="Times New Roman" w:hAnsi="Times New Roman"/>
          <w:sz w:val="24"/>
          <w:szCs w:val="24"/>
          <w:lang w:val="sr-Cyrl-CS"/>
        </w:rPr>
        <w:t xml:space="preserve"> </w:t>
      </w:r>
      <w:r w:rsidRPr="00D86D09">
        <w:rPr>
          <w:rFonts w:ascii="Times New Roman" w:hAnsi="Times New Roman"/>
          <w:sz w:val="24"/>
          <w:szCs w:val="24"/>
        </w:rPr>
        <w:t>сматрају</w:t>
      </w:r>
      <w:r w:rsidR="002D7718" w:rsidRPr="00D86D09">
        <w:rPr>
          <w:rFonts w:ascii="Times New Roman" w:hAnsi="Times New Roman"/>
          <w:sz w:val="24"/>
          <w:szCs w:val="24"/>
        </w:rPr>
        <w:t xml:space="preserve"> </w:t>
      </w:r>
      <w:r w:rsidRPr="00D86D09">
        <w:rPr>
          <w:rFonts w:ascii="Times New Roman" w:hAnsi="Times New Roman"/>
          <w:sz w:val="24"/>
          <w:szCs w:val="24"/>
        </w:rPr>
        <w:t>се</w:t>
      </w:r>
      <w:r w:rsidR="002D7718" w:rsidRPr="00D86D09">
        <w:rPr>
          <w:rFonts w:ascii="Times New Roman" w:hAnsi="Times New Roman"/>
          <w:sz w:val="24"/>
          <w:szCs w:val="24"/>
        </w:rPr>
        <w:t xml:space="preserve"> </w:t>
      </w:r>
      <w:r w:rsidRPr="00D86D09">
        <w:rPr>
          <w:rFonts w:ascii="Times New Roman" w:hAnsi="Times New Roman"/>
          <w:sz w:val="24"/>
          <w:szCs w:val="24"/>
        </w:rPr>
        <w:t>акцизни</w:t>
      </w:r>
      <w:r w:rsidR="002D7718" w:rsidRPr="00D86D09">
        <w:rPr>
          <w:rFonts w:ascii="Times New Roman" w:hAnsi="Times New Roman"/>
          <w:sz w:val="24"/>
          <w:szCs w:val="24"/>
        </w:rPr>
        <w:t xml:space="preserve"> </w:t>
      </w:r>
      <w:r w:rsidRPr="00D86D09">
        <w:rPr>
          <w:rFonts w:ascii="Times New Roman" w:hAnsi="Times New Roman"/>
          <w:sz w:val="24"/>
          <w:szCs w:val="24"/>
        </w:rPr>
        <w:t>производи</w:t>
      </w:r>
      <w:r w:rsidR="002D7718" w:rsidRPr="00D86D09">
        <w:rPr>
          <w:rFonts w:ascii="Times New Roman" w:hAnsi="Times New Roman"/>
          <w:sz w:val="24"/>
          <w:szCs w:val="24"/>
        </w:rPr>
        <w:t xml:space="preserve"> </w:t>
      </w:r>
      <w:r w:rsidRPr="00D86D09">
        <w:rPr>
          <w:rFonts w:ascii="Times New Roman" w:hAnsi="Times New Roman"/>
          <w:sz w:val="24"/>
          <w:szCs w:val="24"/>
        </w:rPr>
        <w:t>који</w:t>
      </w:r>
      <w:r w:rsidR="002D7718" w:rsidRPr="00D86D09">
        <w:rPr>
          <w:rFonts w:ascii="Times New Roman" w:hAnsi="Times New Roman"/>
          <w:sz w:val="24"/>
          <w:szCs w:val="24"/>
        </w:rPr>
        <w:t xml:space="preserve"> </w:t>
      </w:r>
      <w:r w:rsidRPr="00D86D09">
        <w:rPr>
          <w:rFonts w:ascii="Times New Roman" w:hAnsi="Times New Roman"/>
          <w:sz w:val="24"/>
          <w:szCs w:val="24"/>
        </w:rPr>
        <w:t>су</w:t>
      </w:r>
      <w:r w:rsidR="002D7718" w:rsidRPr="00D86D09">
        <w:rPr>
          <w:rFonts w:ascii="Times New Roman" w:hAnsi="Times New Roman"/>
          <w:sz w:val="24"/>
          <w:szCs w:val="24"/>
        </w:rPr>
        <w:t xml:space="preserve"> </w:t>
      </w:r>
      <w:r w:rsidRPr="00D86D09">
        <w:rPr>
          <w:rFonts w:ascii="Times New Roman" w:hAnsi="Times New Roman"/>
          <w:sz w:val="24"/>
          <w:szCs w:val="24"/>
        </w:rPr>
        <w:t>увезени</w:t>
      </w:r>
      <w:r w:rsidR="002D7718" w:rsidRPr="00D86D09">
        <w:rPr>
          <w:rFonts w:ascii="Times New Roman" w:hAnsi="Times New Roman"/>
          <w:sz w:val="24"/>
          <w:szCs w:val="24"/>
        </w:rPr>
        <w:t xml:space="preserve"> </w:t>
      </w:r>
      <w:r w:rsidRPr="00D86D09">
        <w:rPr>
          <w:rFonts w:ascii="Times New Roman" w:hAnsi="Times New Roman"/>
          <w:sz w:val="24"/>
          <w:szCs w:val="24"/>
        </w:rPr>
        <w:t>у</w:t>
      </w:r>
      <w:r w:rsidR="002D7718" w:rsidRPr="00D86D09">
        <w:rPr>
          <w:rFonts w:ascii="Times New Roman" w:hAnsi="Times New Roman"/>
          <w:sz w:val="24"/>
          <w:szCs w:val="24"/>
        </w:rPr>
        <w:t xml:space="preserve"> </w:t>
      </w:r>
      <w:r w:rsidRPr="00D86D09">
        <w:rPr>
          <w:rFonts w:ascii="Times New Roman" w:hAnsi="Times New Roman"/>
          <w:sz w:val="24"/>
          <w:szCs w:val="24"/>
        </w:rPr>
        <w:t>складу</w:t>
      </w:r>
      <w:r w:rsidR="002D7718" w:rsidRPr="00D86D09">
        <w:rPr>
          <w:rFonts w:ascii="Times New Roman" w:hAnsi="Times New Roman"/>
          <w:sz w:val="24"/>
          <w:szCs w:val="24"/>
        </w:rPr>
        <w:t xml:space="preserve"> </w:t>
      </w:r>
      <w:r w:rsidRPr="00D86D09">
        <w:rPr>
          <w:rFonts w:ascii="Times New Roman" w:hAnsi="Times New Roman"/>
          <w:sz w:val="24"/>
          <w:szCs w:val="24"/>
        </w:rPr>
        <w:t>са</w:t>
      </w:r>
      <w:r w:rsidR="002D7718" w:rsidRPr="00D86D09">
        <w:rPr>
          <w:rFonts w:ascii="Times New Roman" w:hAnsi="Times New Roman"/>
          <w:sz w:val="24"/>
          <w:szCs w:val="24"/>
        </w:rPr>
        <w:t xml:space="preserve"> </w:t>
      </w:r>
      <w:r w:rsidRPr="00D86D09">
        <w:rPr>
          <w:rFonts w:ascii="Times New Roman" w:hAnsi="Times New Roman"/>
          <w:sz w:val="24"/>
          <w:szCs w:val="24"/>
        </w:rPr>
        <w:t>царинским</w:t>
      </w:r>
      <w:r w:rsidR="002D7718" w:rsidRPr="00D86D09">
        <w:rPr>
          <w:rFonts w:ascii="Times New Roman" w:hAnsi="Times New Roman"/>
          <w:sz w:val="24"/>
          <w:szCs w:val="24"/>
        </w:rPr>
        <w:t xml:space="preserve">, </w:t>
      </w:r>
      <w:r w:rsidRPr="00D86D09">
        <w:rPr>
          <w:rFonts w:ascii="Times New Roman" w:hAnsi="Times New Roman"/>
          <w:sz w:val="24"/>
          <w:szCs w:val="24"/>
        </w:rPr>
        <w:t>односно</w:t>
      </w:r>
      <w:r w:rsidR="002D7718" w:rsidRPr="00D86D09">
        <w:rPr>
          <w:rFonts w:ascii="Times New Roman" w:hAnsi="Times New Roman"/>
          <w:sz w:val="24"/>
          <w:szCs w:val="24"/>
        </w:rPr>
        <w:t xml:space="preserve"> </w:t>
      </w:r>
      <w:r w:rsidRPr="00D86D09">
        <w:rPr>
          <w:rFonts w:ascii="Times New Roman" w:hAnsi="Times New Roman"/>
          <w:sz w:val="24"/>
          <w:szCs w:val="24"/>
        </w:rPr>
        <w:t>спољнотрговинским</w:t>
      </w:r>
      <w:r w:rsidR="002D7718" w:rsidRPr="00D86D09">
        <w:rPr>
          <w:rFonts w:ascii="Times New Roman" w:hAnsi="Times New Roman"/>
          <w:sz w:val="24"/>
          <w:szCs w:val="24"/>
        </w:rPr>
        <w:t xml:space="preserve"> </w:t>
      </w:r>
      <w:r w:rsidRPr="00D86D09">
        <w:rPr>
          <w:rFonts w:ascii="Times New Roman" w:hAnsi="Times New Roman"/>
          <w:sz w:val="24"/>
          <w:szCs w:val="24"/>
        </w:rPr>
        <w:t>прописима</w:t>
      </w:r>
      <w:r w:rsidR="002D7718" w:rsidRPr="00D86D09">
        <w:rPr>
          <w:rFonts w:ascii="Times New Roman" w:hAnsi="Times New Roman"/>
          <w:sz w:val="24"/>
          <w:szCs w:val="24"/>
        </w:rPr>
        <w:t>.</w:t>
      </w:r>
    </w:p>
    <w:p w:rsidR="00B251D1" w:rsidRPr="00D86D09" w:rsidRDefault="004949B5" w:rsidP="00D86D09">
      <w:pPr>
        <w:ind w:firstLine="708"/>
        <w:jc w:val="both"/>
        <w:rPr>
          <w:rFonts w:ascii="Times New Roman" w:hAnsi="Times New Roman"/>
          <w:sz w:val="24"/>
          <w:szCs w:val="24"/>
        </w:rPr>
      </w:pPr>
      <w:r w:rsidRPr="00D86D09">
        <w:rPr>
          <w:rFonts w:ascii="Times New Roman" w:hAnsi="Times New Roman"/>
          <w:sz w:val="24"/>
          <w:szCs w:val="24"/>
        </w:rPr>
        <w:t>Обвезник</w:t>
      </w:r>
      <w:r w:rsidR="00B251D1" w:rsidRPr="00D86D09">
        <w:rPr>
          <w:rFonts w:ascii="Times New Roman" w:hAnsi="Times New Roman"/>
          <w:sz w:val="24"/>
          <w:szCs w:val="24"/>
        </w:rPr>
        <w:t xml:space="preserve"> </w:t>
      </w:r>
      <w:r w:rsidRPr="00D86D09">
        <w:rPr>
          <w:rFonts w:ascii="Times New Roman" w:hAnsi="Times New Roman"/>
          <w:sz w:val="24"/>
          <w:szCs w:val="24"/>
        </w:rPr>
        <w:t>акцизе</w:t>
      </w:r>
      <w:r w:rsidR="00B251D1" w:rsidRPr="00D86D09">
        <w:rPr>
          <w:rFonts w:ascii="Times New Roman" w:hAnsi="Times New Roman"/>
          <w:sz w:val="24"/>
          <w:szCs w:val="24"/>
        </w:rPr>
        <w:t xml:space="preserve"> </w:t>
      </w:r>
      <w:r w:rsidRPr="00D86D09">
        <w:rPr>
          <w:rFonts w:ascii="Times New Roman" w:hAnsi="Times New Roman"/>
          <w:sz w:val="24"/>
          <w:szCs w:val="24"/>
        </w:rPr>
        <w:t>је</w:t>
      </w:r>
      <w:r w:rsidR="00B251D1" w:rsidRPr="00D86D09">
        <w:rPr>
          <w:rFonts w:ascii="Times New Roman" w:hAnsi="Times New Roman"/>
          <w:sz w:val="24"/>
          <w:szCs w:val="24"/>
        </w:rPr>
        <w:t xml:space="preserve"> </w:t>
      </w:r>
      <w:r w:rsidRPr="00D86D09">
        <w:rPr>
          <w:rFonts w:ascii="Times New Roman" w:hAnsi="Times New Roman"/>
          <w:sz w:val="24"/>
          <w:szCs w:val="24"/>
        </w:rPr>
        <w:t>дужан</w:t>
      </w:r>
      <w:r w:rsidR="00B251D1" w:rsidRPr="00D86D09">
        <w:rPr>
          <w:rFonts w:ascii="Times New Roman" w:hAnsi="Times New Roman"/>
          <w:sz w:val="24"/>
          <w:szCs w:val="24"/>
        </w:rPr>
        <w:t xml:space="preserve"> </w:t>
      </w:r>
      <w:r w:rsidRPr="00D86D09">
        <w:rPr>
          <w:rFonts w:ascii="Times New Roman" w:hAnsi="Times New Roman"/>
          <w:sz w:val="24"/>
          <w:szCs w:val="24"/>
        </w:rPr>
        <w:t>да</w:t>
      </w:r>
      <w:r w:rsidR="00B251D1" w:rsidRPr="00D86D09">
        <w:rPr>
          <w:rFonts w:ascii="Times New Roman" w:hAnsi="Times New Roman"/>
          <w:sz w:val="24"/>
          <w:szCs w:val="24"/>
        </w:rPr>
        <w:t xml:space="preserve"> </w:t>
      </w:r>
      <w:r w:rsidRPr="00D86D09">
        <w:rPr>
          <w:rFonts w:ascii="Times New Roman" w:hAnsi="Times New Roman"/>
          <w:sz w:val="24"/>
          <w:szCs w:val="24"/>
        </w:rPr>
        <w:t>обрачуна</w:t>
      </w:r>
      <w:r w:rsidR="00B251D1" w:rsidRPr="00D86D09">
        <w:rPr>
          <w:rFonts w:ascii="Times New Roman" w:hAnsi="Times New Roman"/>
          <w:sz w:val="24"/>
          <w:szCs w:val="24"/>
        </w:rPr>
        <w:t xml:space="preserve"> </w:t>
      </w:r>
      <w:r w:rsidRPr="00D86D09">
        <w:rPr>
          <w:rFonts w:ascii="Times New Roman" w:hAnsi="Times New Roman"/>
          <w:sz w:val="24"/>
          <w:szCs w:val="24"/>
        </w:rPr>
        <w:t>акцизу</w:t>
      </w:r>
      <w:r w:rsidR="00B251D1" w:rsidRPr="00D86D09">
        <w:rPr>
          <w:rFonts w:ascii="Times New Roman" w:hAnsi="Times New Roman"/>
          <w:sz w:val="24"/>
          <w:szCs w:val="24"/>
        </w:rPr>
        <w:t xml:space="preserve"> </w:t>
      </w:r>
      <w:r w:rsidRPr="00D86D09">
        <w:rPr>
          <w:rFonts w:ascii="Times New Roman" w:hAnsi="Times New Roman"/>
          <w:sz w:val="24"/>
          <w:szCs w:val="24"/>
        </w:rPr>
        <w:t>у</w:t>
      </w:r>
      <w:r w:rsidR="00B251D1" w:rsidRPr="00D86D09">
        <w:rPr>
          <w:rFonts w:ascii="Times New Roman" w:hAnsi="Times New Roman"/>
          <w:sz w:val="24"/>
          <w:szCs w:val="24"/>
        </w:rPr>
        <w:t xml:space="preserve"> </w:t>
      </w:r>
      <w:r w:rsidRPr="00D86D09">
        <w:rPr>
          <w:rFonts w:ascii="Times New Roman" w:hAnsi="Times New Roman"/>
          <w:sz w:val="24"/>
          <w:szCs w:val="24"/>
        </w:rPr>
        <w:t>моменту</w:t>
      </w:r>
      <w:r w:rsidR="00B251D1" w:rsidRPr="00D86D09">
        <w:rPr>
          <w:rFonts w:ascii="Times New Roman" w:hAnsi="Times New Roman"/>
          <w:sz w:val="24"/>
          <w:szCs w:val="24"/>
        </w:rPr>
        <w:t xml:space="preserve"> </w:t>
      </w:r>
      <w:r w:rsidRPr="00D86D09">
        <w:rPr>
          <w:rFonts w:ascii="Times New Roman" w:hAnsi="Times New Roman"/>
          <w:sz w:val="24"/>
          <w:szCs w:val="24"/>
        </w:rPr>
        <w:t>стављања</w:t>
      </w:r>
      <w:r w:rsidR="00B251D1" w:rsidRPr="00D86D09">
        <w:rPr>
          <w:rFonts w:ascii="Times New Roman" w:hAnsi="Times New Roman"/>
          <w:sz w:val="24"/>
          <w:szCs w:val="24"/>
        </w:rPr>
        <w:t xml:space="preserve"> </w:t>
      </w:r>
      <w:r w:rsidRPr="00D86D09">
        <w:rPr>
          <w:rFonts w:ascii="Times New Roman" w:hAnsi="Times New Roman"/>
          <w:sz w:val="24"/>
          <w:szCs w:val="24"/>
        </w:rPr>
        <w:t>акцизних</w:t>
      </w:r>
      <w:r w:rsidR="00B251D1" w:rsidRPr="00D86D09">
        <w:rPr>
          <w:rFonts w:ascii="Times New Roman" w:hAnsi="Times New Roman"/>
          <w:sz w:val="24"/>
          <w:szCs w:val="24"/>
        </w:rPr>
        <w:t xml:space="preserve"> </w:t>
      </w:r>
      <w:r w:rsidRPr="00D86D09">
        <w:rPr>
          <w:rFonts w:ascii="Times New Roman" w:hAnsi="Times New Roman"/>
          <w:sz w:val="24"/>
          <w:szCs w:val="24"/>
        </w:rPr>
        <w:t>производа</w:t>
      </w:r>
      <w:r w:rsidR="00B251D1" w:rsidRPr="00D86D09">
        <w:rPr>
          <w:rFonts w:ascii="Times New Roman" w:hAnsi="Times New Roman"/>
          <w:sz w:val="24"/>
          <w:szCs w:val="24"/>
        </w:rPr>
        <w:t xml:space="preserve"> </w:t>
      </w:r>
      <w:r w:rsidRPr="00D86D09">
        <w:rPr>
          <w:rFonts w:ascii="Times New Roman" w:hAnsi="Times New Roman"/>
          <w:sz w:val="24"/>
          <w:szCs w:val="24"/>
        </w:rPr>
        <w:t>у</w:t>
      </w:r>
      <w:r w:rsidR="00B251D1" w:rsidRPr="00D86D09">
        <w:rPr>
          <w:rFonts w:ascii="Times New Roman" w:hAnsi="Times New Roman"/>
          <w:sz w:val="24"/>
          <w:szCs w:val="24"/>
        </w:rPr>
        <w:t xml:space="preserve"> </w:t>
      </w:r>
      <w:r w:rsidRPr="00D86D09">
        <w:rPr>
          <w:rFonts w:ascii="Times New Roman" w:hAnsi="Times New Roman"/>
          <w:sz w:val="24"/>
          <w:szCs w:val="24"/>
        </w:rPr>
        <w:t>промет</w:t>
      </w:r>
      <w:r w:rsidR="00B251D1" w:rsidRPr="00D86D09">
        <w:rPr>
          <w:rFonts w:ascii="Times New Roman" w:hAnsi="Times New Roman"/>
          <w:sz w:val="24"/>
          <w:szCs w:val="24"/>
        </w:rPr>
        <w:t>.</w:t>
      </w:r>
    </w:p>
    <w:p w:rsidR="00CB6483" w:rsidRPr="00D86D09" w:rsidRDefault="004949B5" w:rsidP="00D86D09">
      <w:pPr>
        <w:ind w:firstLine="708"/>
        <w:jc w:val="both"/>
        <w:rPr>
          <w:rFonts w:ascii="Times New Roman" w:hAnsi="Times New Roman"/>
          <w:sz w:val="24"/>
          <w:szCs w:val="24"/>
          <w:lang w:val="sr-Cyrl-CS"/>
        </w:rPr>
      </w:pPr>
      <w:r w:rsidRPr="00D86D09">
        <w:rPr>
          <w:rFonts w:ascii="Times New Roman" w:hAnsi="Times New Roman"/>
          <w:sz w:val="24"/>
          <w:szCs w:val="24"/>
        </w:rPr>
        <w:t>Стављањем</w:t>
      </w:r>
      <w:r w:rsidR="00B251D1" w:rsidRPr="00D86D09">
        <w:rPr>
          <w:rFonts w:ascii="Times New Roman" w:hAnsi="Times New Roman"/>
          <w:sz w:val="24"/>
          <w:szCs w:val="24"/>
        </w:rPr>
        <w:t xml:space="preserve"> </w:t>
      </w:r>
      <w:r w:rsidRPr="00D86D09">
        <w:rPr>
          <w:rFonts w:ascii="Times New Roman" w:hAnsi="Times New Roman"/>
          <w:sz w:val="24"/>
          <w:szCs w:val="24"/>
        </w:rPr>
        <w:t>у</w:t>
      </w:r>
      <w:r w:rsidR="00B251D1" w:rsidRPr="00D86D09">
        <w:rPr>
          <w:rFonts w:ascii="Times New Roman" w:hAnsi="Times New Roman"/>
          <w:sz w:val="24"/>
          <w:szCs w:val="24"/>
        </w:rPr>
        <w:t xml:space="preserve"> </w:t>
      </w:r>
      <w:r w:rsidRPr="00D86D09">
        <w:rPr>
          <w:rFonts w:ascii="Times New Roman" w:hAnsi="Times New Roman"/>
          <w:sz w:val="24"/>
          <w:szCs w:val="24"/>
        </w:rPr>
        <w:t>промет</w:t>
      </w:r>
      <w:r w:rsidR="00B251D1" w:rsidRPr="00D86D09">
        <w:rPr>
          <w:rFonts w:ascii="Times New Roman" w:hAnsi="Times New Roman"/>
          <w:sz w:val="24"/>
          <w:szCs w:val="24"/>
        </w:rPr>
        <w:t xml:space="preserve"> </w:t>
      </w:r>
      <w:r w:rsidRPr="00D86D09">
        <w:rPr>
          <w:rFonts w:ascii="Times New Roman" w:hAnsi="Times New Roman"/>
          <w:sz w:val="24"/>
          <w:szCs w:val="24"/>
        </w:rPr>
        <w:t>акцизних</w:t>
      </w:r>
      <w:r w:rsidR="00B251D1" w:rsidRPr="00D86D09">
        <w:rPr>
          <w:rFonts w:ascii="Times New Roman" w:hAnsi="Times New Roman"/>
          <w:sz w:val="24"/>
          <w:szCs w:val="24"/>
        </w:rPr>
        <w:t xml:space="preserve"> </w:t>
      </w:r>
      <w:r w:rsidRPr="00D86D09">
        <w:rPr>
          <w:rFonts w:ascii="Times New Roman" w:hAnsi="Times New Roman"/>
          <w:sz w:val="24"/>
          <w:szCs w:val="24"/>
        </w:rPr>
        <w:t>производа</w:t>
      </w:r>
      <w:r w:rsidR="00B251D1" w:rsidRPr="00D86D09">
        <w:rPr>
          <w:rFonts w:ascii="Times New Roman" w:hAnsi="Times New Roman"/>
          <w:sz w:val="24"/>
          <w:szCs w:val="24"/>
        </w:rPr>
        <w:t xml:space="preserve"> </w:t>
      </w:r>
      <w:r w:rsidRPr="00D86D09">
        <w:rPr>
          <w:rFonts w:ascii="Times New Roman" w:hAnsi="Times New Roman"/>
          <w:sz w:val="24"/>
          <w:szCs w:val="24"/>
        </w:rPr>
        <w:t>сматра</w:t>
      </w:r>
      <w:r w:rsidR="00B251D1" w:rsidRPr="00D86D09">
        <w:rPr>
          <w:rFonts w:ascii="Times New Roman" w:hAnsi="Times New Roman"/>
          <w:sz w:val="24"/>
          <w:szCs w:val="24"/>
        </w:rPr>
        <w:t xml:space="preserve"> </w:t>
      </w:r>
      <w:r w:rsidRPr="00D86D09">
        <w:rPr>
          <w:rFonts w:ascii="Times New Roman" w:hAnsi="Times New Roman"/>
          <w:sz w:val="24"/>
          <w:szCs w:val="24"/>
        </w:rPr>
        <w:t>се</w:t>
      </w:r>
      <w:r w:rsidR="00B251D1" w:rsidRPr="00D86D09">
        <w:rPr>
          <w:rFonts w:ascii="Times New Roman" w:hAnsi="Times New Roman"/>
          <w:sz w:val="24"/>
          <w:szCs w:val="24"/>
        </w:rPr>
        <w:t>:</w:t>
      </w:r>
      <w:r w:rsidR="00CB6483" w:rsidRPr="00D86D09">
        <w:rPr>
          <w:rFonts w:ascii="Times New Roman" w:hAnsi="Times New Roman"/>
          <w:sz w:val="24"/>
          <w:szCs w:val="24"/>
          <w:lang w:val="sr-Cyrl-CS"/>
        </w:rPr>
        <w:t xml:space="preserve"> </w:t>
      </w:r>
    </w:p>
    <w:p w:rsidR="00B251D1" w:rsidRPr="00D86D09" w:rsidRDefault="00B251D1" w:rsidP="00D86D09">
      <w:pPr>
        <w:jc w:val="both"/>
        <w:rPr>
          <w:rFonts w:ascii="Times New Roman" w:hAnsi="Times New Roman"/>
          <w:sz w:val="24"/>
          <w:szCs w:val="24"/>
        </w:rPr>
      </w:pPr>
      <w:r w:rsidRPr="00D86D09">
        <w:rPr>
          <w:rFonts w:ascii="Times New Roman" w:hAnsi="Times New Roman"/>
          <w:sz w:val="24"/>
          <w:szCs w:val="24"/>
        </w:rPr>
        <w:t xml:space="preserve">1) </w:t>
      </w:r>
      <w:r w:rsidR="004949B5" w:rsidRPr="00D86D09">
        <w:rPr>
          <w:rFonts w:ascii="Times New Roman" w:hAnsi="Times New Roman"/>
          <w:sz w:val="24"/>
          <w:szCs w:val="24"/>
        </w:rPr>
        <w:t>свако</w:t>
      </w:r>
      <w:r w:rsidRPr="00D86D09">
        <w:rPr>
          <w:rFonts w:ascii="Times New Roman" w:hAnsi="Times New Roman"/>
          <w:sz w:val="24"/>
          <w:szCs w:val="24"/>
        </w:rPr>
        <w:t xml:space="preserve"> </w:t>
      </w:r>
      <w:r w:rsidR="004949B5" w:rsidRPr="00D86D09">
        <w:rPr>
          <w:rFonts w:ascii="Times New Roman" w:hAnsi="Times New Roman"/>
          <w:sz w:val="24"/>
          <w:szCs w:val="24"/>
        </w:rPr>
        <w:t>отпремање</w:t>
      </w:r>
      <w:r w:rsidRPr="00D86D09">
        <w:rPr>
          <w:rFonts w:ascii="Times New Roman" w:hAnsi="Times New Roman"/>
          <w:sz w:val="24"/>
          <w:szCs w:val="24"/>
        </w:rPr>
        <w:t xml:space="preserve"> </w:t>
      </w:r>
      <w:r w:rsidR="004949B5" w:rsidRPr="00D86D09">
        <w:rPr>
          <w:rFonts w:ascii="Times New Roman" w:hAnsi="Times New Roman"/>
          <w:sz w:val="24"/>
          <w:szCs w:val="24"/>
        </w:rPr>
        <w:t>акцизних</w:t>
      </w:r>
      <w:r w:rsidRPr="00D86D09">
        <w:rPr>
          <w:rFonts w:ascii="Times New Roman" w:hAnsi="Times New Roman"/>
          <w:sz w:val="24"/>
          <w:szCs w:val="24"/>
        </w:rPr>
        <w:t xml:space="preserve"> </w:t>
      </w:r>
      <w:r w:rsidR="004949B5" w:rsidRPr="00D86D09">
        <w:rPr>
          <w:rFonts w:ascii="Times New Roman" w:hAnsi="Times New Roman"/>
          <w:sz w:val="24"/>
          <w:szCs w:val="24"/>
        </w:rPr>
        <w:t>производа</w:t>
      </w:r>
      <w:r w:rsidRPr="00D86D09">
        <w:rPr>
          <w:rFonts w:ascii="Times New Roman" w:hAnsi="Times New Roman"/>
          <w:sz w:val="24"/>
          <w:szCs w:val="24"/>
        </w:rPr>
        <w:t xml:space="preserve"> </w:t>
      </w:r>
      <w:r w:rsidR="004949B5" w:rsidRPr="00D86D09">
        <w:rPr>
          <w:rFonts w:ascii="Times New Roman" w:hAnsi="Times New Roman"/>
          <w:sz w:val="24"/>
          <w:szCs w:val="24"/>
        </w:rPr>
        <w:t>из</w:t>
      </w:r>
      <w:r w:rsidRPr="00D86D09">
        <w:rPr>
          <w:rFonts w:ascii="Times New Roman" w:hAnsi="Times New Roman"/>
          <w:sz w:val="24"/>
          <w:szCs w:val="24"/>
        </w:rPr>
        <w:t xml:space="preserve"> </w:t>
      </w:r>
      <w:r w:rsidR="004949B5" w:rsidRPr="00D86D09">
        <w:rPr>
          <w:rFonts w:ascii="Times New Roman" w:hAnsi="Times New Roman"/>
          <w:sz w:val="24"/>
          <w:szCs w:val="24"/>
        </w:rPr>
        <w:t>производног</w:t>
      </w:r>
      <w:r w:rsidRPr="00D86D09">
        <w:rPr>
          <w:rFonts w:ascii="Times New Roman" w:hAnsi="Times New Roman"/>
          <w:sz w:val="24"/>
          <w:szCs w:val="24"/>
        </w:rPr>
        <w:t xml:space="preserve"> </w:t>
      </w:r>
      <w:r w:rsidR="004949B5" w:rsidRPr="00D86D09">
        <w:rPr>
          <w:rFonts w:ascii="Times New Roman" w:hAnsi="Times New Roman"/>
          <w:sz w:val="24"/>
          <w:szCs w:val="24"/>
        </w:rPr>
        <w:t>погона</w:t>
      </w:r>
      <w:r w:rsidRPr="00D86D09">
        <w:rPr>
          <w:rFonts w:ascii="Times New Roman" w:hAnsi="Times New Roman"/>
          <w:sz w:val="24"/>
          <w:szCs w:val="24"/>
        </w:rPr>
        <w:t xml:space="preserve"> </w:t>
      </w:r>
      <w:r w:rsidR="004949B5" w:rsidRPr="00D86D09">
        <w:rPr>
          <w:rFonts w:ascii="Times New Roman" w:hAnsi="Times New Roman"/>
          <w:sz w:val="24"/>
          <w:szCs w:val="24"/>
        </w:rPr>
        <w:t>од</w:t>
      </w:r>
      <w:r w:rsidRPr="00D86D09">
        <w:rPr>
          <w:rFonts w:ascii="Times New Roman" w:hAnsi="Times New Roman"/>
          <w:sz w:val="24"/>
          <w:szCs w:val="24"/>
        </w:rPr>
        <w:t xml:space="preserve"> </w:t>
      </w:r>
      <w:r w:rsidR="004949B5" w:rsidRPr="00D86D09">
        <w:rPr>
          <w:rFonts w:ascii="Times New Roman" w:hAnsi="Times New Roman"/>
          <w:sz w:val="24"/>
          <w:szCs w:val="24"/>
        </w:rPr>
        <w:t>стране</w:t>
      </w:r>
      <w:r w:rsidRPr="00D86D09">
        <w:rPr>
          <w:rFonts w:ascii="Times New Roman" w:hAnsi="Times New Roman"/>
          <w:sz w:val="24"/>
          <w:szCs w:val="24"/>
        </w:rPr>
        <w:t xml:space="preserve"> </w:t>
      </w:r>
      <w:r w:rsidR="004949B5" w:rsidRPr="00D86D09">
        <w:rPr>
          <w:rFonts w:ascii="Times New Roman" w:hAnsi="Times New Roman"/>
          <w:sz w:val="24"/>
          <w:szCs w:val="24"/>
        </w:rPr>
        <w:t>произвођача</w:t>
      </w:r>
      <w:r w:rsidRPr="00D86D09">
        <w:rPr>
          <w:rFonts w:ascii="Times New Roman" w:hAnsi="Times New Roman"/>
          <w:sz w:val="24"/>
          <w:szCs w:val="24"/>
        </w:rPr>
        <w:t xml:space="preserve"> </w:t>
      </w:r>
      <w:r w:rsidR="004949B5" w:rsidRPr="00D86D09">
        <w:rPr>
          <w:rFonts w:ascii="Times New Roman" w:hAnsi="Times New Roman"/>
          <w:sz w:val="24"/>
          <w:szCs w:val="24"/>
        </w:rPr>
        <w:t>акцизних</w:t>
      </w:r>
      <w:r w:rsidRPr="00D86D09">
        <w:rPr>
          <w:rFonts w:ascii="Times New Roman" w:hAnsi="Times New Roman"/>
          <w:sz w:val="24"/>
          <w:szCs w:val="24"/>
        </w:rPr>
        <w:t xml:space="preserve"> </w:t>
      </w:r>
      <w:r w:rsidR="004949B5" w:rsidRPr="00D86D09">
        <w:rPr>
          <w:rFonts w:ascii="Times New Roman" w:hAnsi="Times New Roman"/>
          <w:sz w:val="24"/>
          <w:szCs w:val="24"/>
        </w:rPr>
        <w:t>производа</w:t>
      </w:r>
      <w:r w:rsidRPr="00D86D09">
        <w:rPr>
          <w:rFonts w:ascii="Times New Roman" w:hAnsi="Times New Roman"/>
          <w:sz w:val="24"/>
          <w:szCs w:val="24"/>
        </w:rPr>
        <w:t xml:space="preserve"> </w:t>
      </w:r>
      <w:r w:rsidR="004949B5" w:rsidRPr="00D86D09">
        <w:rPr>
          <w:rFonts w:ascii="Times New Roman" w:hAnsi="Times New Roman"/>
          <w:sz w:val="24"/>
          <w:szCs w:val="24"/>
        </w:rPr>
        <w:t>за</w:t>
      </w:r>
      <w:r w:rsidRPr="00D86D09">
        <w:rPr>
          <w:rFonts w:ascii="Times New Roman" w:hAnsi="Times New Roman"/>
          <w:sz w:val="24"/>
          <w:szCs w:val="24"/>
        </w:rPr>
        <w:t xml:space="preserve"> </w:t>
      </w:r>
      <w:r w:rsidR="004949B5" w:rsidRPr="00D86D09">
        <w:rPr>
          <w:rFonts w:ascii="Times New Roman" w:hAnsi="Times New Roman"/>
          <w:sz w:val="24"/>
          <w:szCs w:val="24"/>
        </w:rPr>
        <w:t>које</w:t>
      </w:r>
      <w:r w:rsidRPr="00D86D09">
        <w:rPr>
          <w:rFonts w:ascii="Times New Roman" w:hAnsi="Times New Roman"/>
          <w:sz w:val="24"/>
          <w:szCs w:val="24"/>
        </w:rPr>
        <w:t xml:space="preserve"> </w:t>
      </w:r>
      <w:r w:rsidR="004949B5" w:rsidRPr="00D86D09">
        <w:rPr>
          <w:rFonts w:ascii="Times New Roman" w:hAnsi="Times New Roman"/>
          <w:sz w:val="24"/>
          <w:szCs w:val="24"/>
        </w:rPr>
        <w:t>нема</w:t>
      </w:r>
      <w:r w:rsidRPr="00D86D09">
        <w:rPr>
          <w:rFonts w:ascii="Times New Roman" w:hAnsi="Times New Roman"/>
          <w:sz w:val="24"/>
          <w:szCs w:val="24"/>
        </w:rPr>
        <w:t xml:space="preserve"> </w:t>
      </w:r>
      <w:r w:rsidR="004949B5" w:rsidRPr="00D86D09">
        <w:rPr>
          <w:rFonts w:ascii="Times New Roman" w:hAnsi="Times New Roman"/>
          <w:sz w:val="24"/>
          <w:szCs w:val="24"/>
        </w:rPr>
        <w:t>акцизну</w:t>
      </w:r>
      <w:r w:rsidRPr="00D86D09">
        <w:rPr>
          <w:rFonts w:ascii="Times New Roman" w:hAnsi="Times New Roman"/>
          <w:sz w:val="24"/>
          <w:szCs w:val="24"/>
        </w:rPr>
        <w:t xml:space="preserve"> </w:t>
      </w:r>
      <w:r w:rsidR="004949B5" w:rsidRPr="00D86D09">
        <w:rPr>
          <w:rFonts w:ascii="Times New Roman" w:hAnsi="Times New Roman"/>
          <w:sz w:val="24"/>
          <w:szCs w:val="24"/>
        </w:rPr>
        <w:t>дозволу</w:t>
      </w:r>
      <w:r w:rsidRPr="00D86D09">
        <w:rPr>
          <w:rFonts w:ascii="Times New Roman" w:hAnsi="Times New Roman"/>
          <w:sz w:val="24"/>
          <w:szCs w:val="24"/>
        </w:rPr>
        <w:t xml:space="preserve">, </w:t>
      </w:r>
      <w:r w:rsidR="004949B5" w:rsidRPr="00D86D09">
        <w:rPr>
          <w:rFonts w:ascii="Times New Roman" w:hAnsi="Times New Roman"/>
          <w:sz w:val="24"/>
          <w:szCs w:val="24"/>
        </w:rPr>
        <w:t>осим</w:t>
      </w:r>
      <w:r w:rsidRPr="00D86D09">
        <w:rPr>
          <w:rFonts w:ascii="Times New Roman" w:hAnsi="Times New Roman"/>
          <w:sz w:val="24"/>
          <w:szCs w:val="24"/>
        </w:rPr>
        <w:t xml:space="preserve"> </w:t>
      </w:r>
      <w:r w:rsidR="004949B5" w:rsidRPr="00D86D09">
        <w:rPr>
          <w:rFonts w:ascii="Times New Roman" w:hAnsi="Times New Roman"/>
          <w:sz w:val="24"/>
          <w:szCs w:val="24"/>
        </w:rPr>
        <w:t>отпремања</w:t>
      </w:r>
      <w:r w:rsidRPr="00D86D09">
        <w:rPr>
          <w:rFonts w:ascii="Times New Roman" w:hAnsi="Times New Roman"/>
          <w:sz w:val="24"/>
          <w:szCs w:val="24"/>
        </w:rPr>
        <w:t xml:space="preserve"> </w:t>
      </w:r>
      <w:r w:rsidR="004949B5" w:rsidRPr="00D86D09">
        <w:rPr>
          <w:rFonts w:ascii="Times New Roman" w:hAnsi="Times New Roman"/>
          <w:sz w:val="24"/>
          <w:szCs w:val="24"/>
        </w:rPr>
        <w:t>акцизних</w:t>
      </w:r>
      <w:r w:rsidRPr="00D86D09">
        <w:rPr>
          <w:rFonts w:ascii="Times New Roman" w:hAnsi="Times New Roman"/>
          <w:sz w:val="24"/>
          <w:szCs w:val="24"/>
        </w:rPr>
        <w:t xml:space="preserve"> </w:t>
      </w:r>
      <w:r w:rsidR="004949B5" w:rsidRPr="00D86D09">
        <w:rPr>
          <w:rFonts w:ascii="Times New Roman" w:hAnsi="Times New Roman"/>
          <w:sz w:val="24"/>
          <w:szCs w:val="24"/>
        </w:rPr>
        <w:t>производа</w:t>
      </w:r>
      <w:r w:rsidRPr="00D86D09">
        <w:rPr>
          <w:rFonts w:ascii="Times New Roman" w:hAnsi="Times New Roman"/>
          <w:sz w:val="24"/>
          <w:szCs w:val="24"/>
        </w:rPr>
        <w:t xml:space="preserve"> </w:t>
      </w:r>
      <w:r w:rsidR="004949B5" w:rsidRPr="00D86D09">
        <w:rPr>
          <w:rFonts w:ascii="Times New Roman" w:hAnsi="Times New Roman"/>
          <w:sz w:val="24"/>
          <w:szCs w:val="24"/>
        </w:rPr>
        <w:t>из</w:t>
      </w:r>
      <w:r w:rsidRPr="00D86D09">
        <w:rPr>
          <w:rFonts w:ascii="Times New Roman" w:hAnsi="Times New Roman"/>
          <w:sz w:val="24"/>
          <w:szCs w:val="24"/>
        </w:rPr>
        <w:t xml:space="preserve"> </w:t>
      </w:r>
      <w:r w:rsidR="004949B5" w:rsidRPr="00D86D09">
        <w:rPr>
          <w:rFonts w:ascii="Times New Roman" w:hAnsi="Times New Roman"/>
          <w:sz w:val="24"/>
          <w:szCs w:val="24"/>
        </w:rPr>
        <w:t>производног</w:t>
      </w:r>
      <w:r w:rsidRPr="00D86D09">
        <w:rPr>
          <w:rFonts w:ascii="Times New Roman" w:hAnsi="Times New Roman"/>
          <w:sz w:val="24"/>
          <w:szCs w:val="24"/>
        </w:rPr>
        <w:t xml:space="preserve"> </w:t>
      </w:r>
      <w:r w:rsidR="004949B5" w:rsidRPr="00D86D09">
        <w:rPr>
          <w:rFonts w:ascii="Times New Roman" w:hAnsi="Times New Roman"/>
          <w:sz w:val="24"/>
          <w:szCs w:val="24"/>
        </w:rPr>
        <w:t>погона</w:t>
      </w:r>
      <w:r w:rsidRPr="00D86D09">
        <w:rPr>
          <w:rFonts w:ascii="Times New Roman" w:hAnsi="Times New Roman"/>
          <w:sz w:val="24"/>
          <w:szCs w:val="24"/>
        </w:rPr>
        <w:t xml:space="preserve"> </w:t>
      </w:r>
      <w:r w:rsidR="004949B5" w:rsidRPr="00D86D09">
        <w:rPr>
          <w:rFonts w:ascii="Times New Roman" w:hAnsi="Times New Roman"/>
          <w:sz w:val="24"/>
          <w:szCs w:val="24"/>
        </w:rPr>
        <w:t>у</w:t>
      </w:r>
      <w:r w:rsidRPr="00D86D09">
        <w:rPr>
          <w:rFonts w:ascii="Times New Roman" w:hAnsi="Times New Roman"/>
          <w:sz w:val="24"/>
          <w:szCs w:val="24"/>
        </w:rPr>
        <w:t xml:space="preserve"> </w:t>
      </w:r>
      <w:r w:rsidR="004949B5" w:rsidRPr="00D86D09">
        <w:rPr>
          <w:rFonts w:ascii="Times New Roman" w:hAnsi="Times New Roman"/>
          <w:sz w:val="24"/>
          <w:szCs w:val="24"/>
        </w:rPr>
        <w:t>царинско</w:t>
      </w:r>
      <w:r w:rsidRPr="00D86D09">
        <w:rPr>
          <w:rFonts w:ascii="Times New Roman" w:hAnsi="Times New Roman"/>
          <w:sz w:val="24"/>
          <w:szCs w:val="24"/>
        </w:rPr>
        <w:t xml:space="preserve"> </w:t>
      </w:r>
      <w:r w:rsidR="004949B5" w:rsidRPr="00D86D09">
        <w:rPr>
          <w:rFonts w:ascii="Times New Roman" w:hAnsi="Times New Roman"/>
          <w:sz w:val="24"/>
          <w:szCs w:val="24"/>
        </w:rPr>
        <w:t>складиште</w:t>
      </w:r>
      <w:r w:rsidRPr="00D86D09">
        <w:rPr>
          <w:rFonts w:ascii="Times New Roman" w:hAnsi="Times New Roman"/>
          <w:sz w:val="24"/>
          <w:szCs w:val="24"/>
        </w:rPr>
        <w:t xml:space="preserve"> </w:t>
      </w:r>
      <w:r w:rsidR="004949B5" w:rsidRPr="00D86D09">
        <w:rPr>
          <w:rFonts w:ascii="Times New Roman" w:hAnsi="Times New Roman"/>
          <w:sz w:val="24"/>
          <w:szCs w:val="24"/>
        </w:rPr>
        <w:t>за</w:t>
      </w:r>
      <w:r w:rsidRPr="00D86D09">
        <w:rPr>
          <w:rFonts w:ascii="Times New Roman" w:hAnsi="Times New Roman"/>
          <w:sz w:val="24"/>
          <w:szCs w:val="24"/>
        </w:rPr>
        <w:t xml:space="preserve"> </w:t>
      </w:r>
      <w:r w:rsidR="004949B5" w:rsidRPr="00D86D09">
        <w:rPr>
          <w:rFonts w:ascii="Times New Roman" w:hAnsi="Times New Roman"/>
          <w:sz w:val="24"/>
          <w:szCs w:val="24"/>
        </w:rPr>
        <w:t>које</w:t>
      </w:r>
      <w:r w:rsidRPr="00D86D09">
        <w:rPr>
          <w:rFonts w:ascii="Times New Roman" w:hAnsi="Times New Roman"/>
          <w:sz w:val="24"/>
          <w:szCs w:val="24"/>
        </w:rPr>
        <w:t xml:space="preserve"> </w:t>
      </w:r>
      <w:r w:rsidR="004949B5" w:rsidRPr="00D86D09">
        <w:rPr>
          <w:rFonts w:ascii="Times New Roman" w:hAnsi="Times New Roman"/>
          <w:sz w:val="24"/>
          <w:szCs w:val="24"/>
        </w:rPr>
        <w:t>је</w:t>
      </w:r>
      <w:r w:rsidRPr="00D86D09">
        <w:rPr>
          <w:rFonts w:ascii="Times New Roman" w:hAnsi="Times New Roman"/>
          <w:sz w:val="24"/>
          <w:szCs w:val="24"/>
        </w:rPr>
        <w:t xml:space="preserve"> </w:t>
      </w:r>
      <w:r w:rsidR="004949B5" w:rsidRPr="00D86D09">
        <w:rPr>
          <w:rFonts w:ascii="Times New Roman" w:hAnsi="Times New Roman"/>
          <w:sz w:val="24"/>
          <w:szCs w:val="24"/>
        </w:rPr>
        <w:t>надлежни</w:t>
      </w:r>
      <w:r w:rsidRPr="00D86D09">
        <w:rPr>
          <w:rFonts w:ascii="Times New Roman" w:hAnsi="Times New Roman"/>
          <w:sz w:val="24"/>
          <w:szCs w:val="24"/>
        </w:rPr>
        <w:t xml:space="preserve"> </w:t>
      </w:r>
      <w:r w:rsidR="004949B5" w:rsidRPr="00D86D09">
        <w:rPr>
          <w:rFonts w:ascii="Times New Roman" w:hAnsi="Times New Roman"/>
          <w:sz w:val="24"/>
          <w:szCs w:val="24"/>
        </w:rPr>
        <w:t>орган</w:t>
      </w:r>
      <w:r w:rsidRPr="00D86D09">
        <w:rPr>
          <w:rFonts w:ascii="Times New Roman" w:hAnsi="Times New Roman"/>
          <w:sz w:val="24"/>
          <w:szCs w:val="24"/>
        </w:rPr>
        <w:t xml:space="preserve"> </w:t>
      </w:r>
      <w:r w:rsidR="004949B5" w:rsidRPr="00D86D09">
        <w:rPr>
          <w:rFonts w:ascii="Times New Roman" w:hAnsi="Times New Roman"/>
          <w:sz w:val="24"/>
          <w:szCs w:val="24"/>
        </w:rPr>
        <w:t>дао</w:t>
      </w:r>
      <w:r w:rsidRPr="00D86D09">
        <w:rPr>
          <w:rFonts w:ascii="Times New Roman" w:hAnsi="Times New Roman"/>
          <w:sz w:val="24"/>
          <w:szCs w:val="24"/>
        </w:rPr>
        <w:t xml:space="preserve"> </w:t>
      </w:r>
      <w:r w:rsidR="004949B5" w:rsidRPr="00D86D09">
        <w:rPr>
          <w:rFonts w:ascii="Times New Roman" w:hAnsi="Times New Roman"/>
          <w:sz w:val="24"/>
          <w:szCs w:val="24"/>
        </w:rPr>
        <w:t>акцизну</w:t>
      </w:r>
      <w:r w:rsidRPr="00D86D09">
        <w:rPr>
          <w:rFonts w:ascii="Times New Roman" w:hAnsi="Times New Roman"/>
          <w:sz w:val="24"/>
          <w:szCs w:val="24"/>
        </w:rPr>
        <w:t xml:space="preserve"> </w:t>
      </w:r>
      <w:r w:rsidR="004949B5" w:rsidRPr="00D86D09">
        <w:rPr>
          <w:rFonts w:ascii="Times New Roman" w:hAnsi="Times New Roman"/>
          <w:sz w:val="24"/>
          <w:szCs w:val="24"/>
        </w:rPr>
        <w:t>дозволу</w:t>
      </w:r>
      <w:r w:rsidRPr="00D86D09">
        <w:rPr>
          <w:rFonts w:ascii="Times New Roman" w:hAnsi="Times New Roman"/>
          <w:sz w:val="24"/>
          <w:szCs w:val="24"/>
        </w:rPr>
        <w:t xml:space="preserve">, </w:t>
      </w:r>
      <w:r w:rsidR="004949B5" w:rsidRPr="00D86D09">
        <w:rPr>
          <w:rFonts w:ascii="Times New Roman" w:hAnsi="Times New Roman"/>
          <w:sz w:val="24"/>
          <w:szCs w:val="24"/>
        </w:rPr>
        <w:t>отворено</w:t>
      </w:r>
      <w:r w:rsidRPr="00D86D09">
        <w:rPr>
          <w:rFonts w:ascii="Times New Roman" w:hAnsi="Times New Roman"/>
          <w:sz w:val="24"/>
          <w:szCs w:val="24"/>
        </w:rPr>
        <w:t xml:space="preserve"> </w:t>
      </w:r>
      <w:r w:rsidR="004949B5" w:rsidRPr="00D86D09">
        <w:rPr>
          <w:rFonts w:ascii="Times New Roman" w:hAnsi="Times New Roman"/>
          <w:sz w:val="24"/>
          <w:szCs w:val="24"/>
        </w:rPr>
        <w:t>у</w:t>
      </w:r>
      <w:r w:rsidRPr="00D86D09">
        <w:rPr>
          <w:rFonts w:ascii="Times New Roman" w:hAnsi="Times New Roman"/>
          <w:sz w:val="24"/>
          <w:szCs w:val="24"/>
        </w:rPr>
        <w:t xml:space="preserve"> </w:t>
      </w:r>
      <w:r w:rsidR="004949B5" w:rsidRPr="00D86D09">
        <w:rPr>
          <w:rFonts w:ascii="Times New Roman" w:hAnsi="Times New Roman"/>
          <w:sz w:val="24"/>
          <w:szCs w:val="24"/>
        </w:rPr>
        <w:t>складу</w:t>
      </w:r>
      <w:r w:rsidRPr="00D86D09">
        <w:rPr>
          <w:rFonts w:ascii="Times New Roman" w:hAnsi="Times New Roman"/>
          <w:sz w:val="24"/>
          <w:szCs w:val="24"/>
        </w:rPr>
        <w:t xml:space="preserve"> </w:t>
      </w:r>
      <w:r w:rsidR="004949B5" w:rsidRPr="00D86D09">
        <w:rPr>
          <w:rFonts w:ascii="Times New Roman" w:hAnsi="Times New Roman"/>
          <w:sz w:val="24"/>
          <w:szCs w:val="24"/>
        </w:rPr>
        <w:t>са</w:t>
      </w:r>
      <w:r w:rsidRPr="00D86D09">
        <w:rPr>
          <w:rFonts w:ascii="Times New Roman" w:hAnsi="Times New Roman"/>
          <w:sz w:val="24"/>
          <w:szCs w:val="24"/>
        </w:rPr>
        <w:t xml:space="preserve"> </w:t>
      </w:r>
      <w:r w:rsidR="004949B5" w:rsidRPr="00D86D09">
        <w:rPr>
          <w:rFonts w:ascii="Times New Roman" w:hAnsi="Times New Roman"/>
          <w:sz w:val="24"/>
          <w:szCs w:val="24"/>
        </w:rPr>
        <w:t>царинским</w:t>
      </w:r>
      <w:r w:rsidRPr="00D86D09">
        <w:rPr>
          <w:rFonts w:ascii="Times New Roman" w:hAnsi="Times New Roman"/>
          <w:sz w:val="24"/>
          <w:szCs w:val="24"/>
        </w:rPr>
        <w:t xml:space="preserve"> </w:t>
      </w:r>
      <w:r w:rsidR="004949B5" w:rsidRPr="00D86D09">
        <w:rPr>
          <w:rFonts w:ascii="Times New Roman" w:hAnsi="Times New Roman"/>
          <w:sz w:val="24"/>
          <w:szCs w:val="24"/>
        </w:rPr>
        <w:t>прописима</w:t>
      </w:r>
      <w:r w:rsidRPr="00D86D09">
        <w:rPr>
          <w:rFonts w:ascii="Times New Roman" w:hAnsi="Times New Roman"/>
          <w:sz w:val="24"/>
          <w:szCs w:val="24"/>
        </w:rPr>
        <w:t>;</w:t>
      </w:r>
    </w:p>
    <w:p w:rsidR="00B251D1" w:rsidRPr="00D86D09" w:rsidRDefault="00B251D1" w:rsidP="00D86D09">
      <w:pPr>
        <w:jc w:val="both"/>
        <w:rPr>
          <w:rFonts w:ascii="Times New Roman" w:hAnsi="Times New Roman"/>
          <w:sz w:val="24"/>
          <w:szCs w:val="24"/>
        </w:rPr>
      </w:pPr>
      <w:r w:rsidRPr="00D86D09">
        <w:rPr>
          <w:rFonts w:ascii="Times New Roman" w:hAnsi="Times New Roman"/>
          <w:sz w:val="24"/>
          <w:szCs w:val="24"/>
        </w:rPr>
        <w:t xml:space="preserve">2) </w:t>
      </w:r>
      <w:r w:rsidR="004949B5" w:rsidRPr="00D86D09">
        <w:rPr>
          <w:rFonts w:ascii="Times New Roman" w:hAnsi="Times New Roman"/>
          <w:sz w:val="24"/>
          <w:szCs w:val="24"/>
        </w:rPr>
        <w:t>свако</w:t>
      </w:r>
      <w:r w:rsidRPr="00D86D09">
        <w:rPr>
          <w:rFonts w:ascii="Times New Roman" w:hAnsi="Times New Roman"/>
          <w:sz w:val="24"/>
          <w:szCs w:val="24"/>
        </w:rPr>
        <w:t xml:space="preserve"> </w:t>
      </w:r>
      <w:r w:rsidR="004949B5" w:rsidRPr="00D86D09">
        <w:rPr>
          <w:rFonts w:ascii="Times New Roman" w:hAnsi="Times New Roman"/>
          <w:sz w:val="24"/>
          <w:szCs w:val="24"/>
        </w:rPr>
        <w:t>отпремање</w:t>
      </w:r>
      <w:r w:rsidRPr="00D86D09">
        <w:rPr>
          <w:rFonts w:ascii="Times New Roman" w:hAnsi="Times New Roman"/>
          <w:sz w:val="24"/>
          <w:szCs w:val="24"/>
        </w:rPr>
        <w:t xml:space="preserve"> </w:t>
      </w:r>
      <w:r w:rsidR="004949B5" w:rsidRPr="00D86D09">
        <w:rPr>
          <w:rFonts w:ascii="Times New Roman" w:hAnsi="Times New Roman"/>
          <w:sz w:val="24"/>
          <w:szCs w:val="24"/>
        </w:rPr>
        <w:t>акцизних</w:t>
      </w:r>
      <w:r w:rsidRPr="00D86D09">
        <w:rPr>
          <w:rFonts w:ascii="Times New Roman" w:hAnsi="Times New Roman"/>
          <w:sz w:val="24"/>
          <w:szCs w:val="24"/>
        </w:rPr>
        <w:t xml:space="preserve"> </w:t>
      </w:r>
      <w:r w:rsidR="004949B5" w:rsidRPr="00D86D09">
        <w:rPr>
          <w:rFonts w:ascii="Times New Roman" w:hAnsi="Times New Roman"/>
          <w:sz w:val="24"/>
          <w:szCs w:val="24"/>
        </w:rPr>
        <w:t>производа</w:t>
      </w:r>
      <w:r w:rsidRPr="00D86D09">
        <w:rPr>
          <w:rFonts w:ascii="Times New Roman" w:hAnsi="Times New Roman"/>
          <w:sz w:val="24"/>
          <w:szCs w:val="24"/>
        </w:rPr>
        <w:t xml:space="preserve"> </w:t>
      </w:r>
      <w:r w:rsidR="004949B5" w:rsidRPr="00D86D09">
        <w:rPr>
          <w:rFonts w:ascii="Times New Roman" w:hAnsi="Times New Roman"/>
          <w:sz w:val="24"/>
          <w:szCs w:val="24"/>
        </w:rPr>
        <w:t>из</w:t>
      </w:r>
      <w:r w:rsidRPr="00D86D09">
        <w:rPr>
          <w:rFonts w:ascii="Times New Roman" w:hAnsi="Times New Roman"/>
          <w:sz w:val="24"/>
          <w:szCs w:val="24"/>
        </w:rPr>
        <w:t xml:space="preserve"> </w:t>
      </w:r>
      <w:r w:rsidR="004949B5" w:rsidRPr="00D86D09">
        <w:rPr>
          <w:rFonts w:ascii="Times New Roman" w:hAnsi="Times New Roman"/>
          <w:sz w:val="24"/>
          <w:szCs w:val="24"/>
        </w:rPr>
        <w:t>акцизног</w:t>
      </w:r>
      <w:r w:rsidRPr="00D86D09">
        <w:rPr>
          <w:rFonts w:ascii="Times New Roman" w:hAnsi="Times New Roman"/>
          <w:sz w:val="24"/>
          <w:szCs w:val="24"/>
        </w:rPr>
        <w:t xml:space="preserve"> </w:t>
      </w:r>
      <w:r w:rsidR="004949B5" w:rsidRPr="00D86D09">
        <w:rPr>
          <w:rFonts w:ascii="Times New Roman" w:hAnsi="Times New Roman"/>
          <w:sz w:val="24"/>
          <w:szCs w:val="24"/>
        </w:rPr>
        <w:t>складишта</w:t>
      </w:r>
      <w:r w:rsidRPr="00D86D09">
        <w:rPr>
          <w:rFonts w:ascii="Times New Roman" w:hAnsi="Times New Roman"/>
          <w:sz w:val="24"/>
          <w:szCs w:val="24"/>
        </w:rPr>
        <w:t xml:space="preserve">, </w:t>
      </w:r>
      <w:r w:rsidR="004949B5" w:rsidRPr="00D86D09">
        <w:rPr>
          <w:rFonts w:ascii="Times New Roman" w:hAnsi="Times New Roman"/>
          <w:sz w:val="24"/>
          <w:szCs w:val="24"/>
        </w:rPr>
        <w:t>осим</w:t>
      </w:r>
      <w:r w:rsidRPr="00D86D09">
        <w:rPr>
          <w:rFonts w:ascii="Times New Roman" w:hAnsi="Times New Roman"/>
          <w:sz w:val="24"/>
          <w:szCs w:val="24"/>
        </w:rPr>
        <w:t xml:space="preserve"> </w:t>
      </w:r>
      <w:r w:rsidR="004949B5" w:rsidRPr="00D86D09">
        <w:rPr>
          <w:rFonts w:ascii="Times New Roman" w:hAnsi="Times New Roman"/>
          <w:sz w:val="24"/>
          <w:szCs w:val="24"/>
        </w:rPr>
        <w:t>отпремања</w:t>
      </w:r>
      <w:r w:rsidRPr="00D86D09">
        <w:rPr>
          <w:rFonts w:ascii="Times New Roman" w:hAnsi="Times New Roman"/>
          <w:sz w:val="24"/>
          <w:szCs w:val="24"/>
        </w:rPr>
        <w:t xml:space="preserve"> </w:t>
      </w:r>
      <w:r w:rsidR="004949B5" w:rsidRPr="00D86D09">
        <w:rPr>
          <w:rFonts w:ascii="Times New Roman" w:hAnsi="Times New Roman"/>
          <w:sz w:val="24"/>
          <w:szCs w:val="24"/>
        </w:rPr>
        <w:t>у</w:t>
      </w:r>
      <w:r w:rsidRPr="00D86D09">
        <w:rPr>
          <w:rFonts w:ascii="Times New Roman" w:hAnsi="Times New Roman"/>
          <w:sz w:val="24"/>
          <w:szCs w:val="24"/>
        </w:rPr>
        <w:t xml:space="preserve"> </w:t>
      </w:r>
      <w:r w:rsidR="004949B5" w:rsidRPr="00D86D09">
        <w:rPr>
          <w:rFonts w:ascii="Times New Roman" w:hAnsi="Times New Roman"/>
          <w:sz w:val="24"/>
          <w:szCs w:val="24"/>
        </w:rPr>
        <w:t>сопствено</w:t>
      </w:r>
      <w:r w:rsidRPr="00D86D09">
        <w:rPr>
          <w:rFonts w:ascii="Times New Roman" w:hAnsi="Times New Roman"/>
          <w:sz w:val="24"/>
          <w:szCs w:val="24"/>
        </w:rPr>
        <w:t xml:space="preserve"> </w:t>
      </w:r>
      <w:r w:rsidR="004949B5" w:rsidRPr="00D86D09">
        <w:rPr>
          <w:rFonts w:ascii="Times New Roman" w:hAnsi="Times New Roman"/>
          <w:sz w:val="24"/>
          <w:szCs w:val="24"/>
        </w:rPr>
        <w:t>друго</w:t>
      </w:r>
      <w:r w:rsidRPr="00D86D09">
        <w:rPr>
          <w:rFonts w:ascii="Times New Roman" w:hAnsi="Times New Roman"/>
          <w:sz w:val="24"/>
          <w:szCs w:val="24"/>
        </w:rPr>
        <w:t xml:space="preserve"> </w:t>
      </w:r>
      <w:r w:rsidR="004949B5" w:rsidRPr="00D86D09">
        <w:rPr>
          <w:rFonts w:ascii="Times New Roman" w:hAnsi="Times New Roman"/>
          <w:sz w:val="24"/>
          <w:szCs w:val="24"/>
        </w:rPr>
        <w:t>акцизно</w:t>
      </w:r>
      <w:r w:rsidRPr="00D86D09">
        <w:rPr>
          <w:rFonts w:ascii="Times New Roman" w:hAnsi="Times New Roman"/>
          <w:sz w:val="24"/>
          <w:szCs w:val="24"/>
        </w:rPr>
        <w:t xml:space="preserve"> </w:t>
      </w:r>
      <w:r w:rsidR="004949B5" w:rsidRPr="00D86D09">
        <w:rPr>
          <w:rFonts w:ascii="Times New Roman" w:hAnsi="Times New Roman"/>
          <w:sz w:val="24"/>
          <w:szCs w:val="24"/>
        </w:rPr>
        <w:t>складиште</w:t>
      </w:r>
      <w:r w:rsidRPr="00D86D09">
        <w:rPr>
          <w:rFonts w:ascii="Times New Roman" w:hAnsi="Times New Roman"/>
          <w:sz w:val="24"/>
          <w:szCs w:val="24"/>
        </w:rPr>
        <w:t xml:space="preserve">, </w:t>
      </w:r>
      <w:r w:rsidR="004949B5" w:rsidRPr="00D86D09">
        <w:rPr>
          <w:rFonts w:ascii="Times New Roman" w:hAnsi="Times New Roman"/>
          <w:sz w:val="24"/>
          <w:szCs w:val="24"/>
        </w:rPr>
        <w:t>односно</w:t>
      </w:r>
      <w:r w:rsidRPr="00D86D09">
        <w:rPr>
          <w:rFonts w:ascii="Times New Roman" w:hAnsi="Times New Roman"/>
          <w:sz w:val="24"/>
          <w:szCs w:val="24"/>
        </w:rPr>
        <w:t xml:space="preserve"> </w:t>
      </w:r>
      <w:r w:rsidR="004949B5" w:rsidRPr="00D86D09">
        <w:rPr>
          <w:rFonts w:ascii="Times New Roman" w:hAnsi="Times New Roman"/>
          <w:sz w:val="24"/>
          <w:szCs w:val="24"/>
        </w:rPr>
        <w:t>у</w:t>
      </w:r>
      <w:r w:rsidRPr="00D86D09">
        <w:rPr>
          <w:rFonts w:ascii="Times New Roman" w:hAnsi="Times New Roman"/>
          <w:sz w:val="24"/>
          <w:szCs w:val="24"/>
        </w:rPr>
        <w:t xml:space="preserve"> </w:t>
      </w:r>
      <w:r w:rsidR="004949B5" w:rsidRPr="00D86D09">
        <w:rPr>
          <w:rFonts w:ascii="Times New Roman" w:hAnsi="Times New Roman"/>
          <w:sz w:val="24"/>
          <w:szCs w:val="24"/>
        </w:rPr>
        <w:t>царинско</w:t>
      </w:r>
      <w:r w:rsidRPr="00D86D09">
        <w:rPr>
          <w:rFonts w:ascii="Times New Roman" w:hAnsi="Times New Roman"/>
          <w:sz w:val="24"/>
          <w:szCs w:val="24"/>
        </w:rPr>
        <w:t xml:space="preserve"> </w:t>
      </w:r>
      <w:r w:rsidR="004949B5" w:rsidRPr="00D86D09">
        <w:rPr>
          <w:rFonts w:ascii="Times New Roman" w:hAnsi="Times New Roman"/>
          <w:sz w:val="24"/>
          <w:szCs w:val="24"/>
        </w:rPr>
        <w:t>складиште</w:t>
      </w:r>
      <w:r w:rsidRPr="00D86D09">
        <w:rPr>
          <w:rFonts w:ascii="Times New Roman" w:hAnsi="Times New Roman"/>
          <w:sz w:val="24"/>
          <w:szCs w:val="24"/>
        </w:rPr>
        <w:t xml:space="preserve"> </w:t>
      </w:r>
      <w:r w:rsidR="004949B5" w:rsidRPr="00D86D09">
        <w:rPr>
          <w:rFonts w:ascii="Times New Roman" w:hAnsi="Times New Roman"/>
          <w:sz w:val="24"/>
          <w:szCs w:val="24"/>
        </w:rPr>
        <w:t>за</w:t>
      </w:r>
      <w:r w:rsidRPr="00D86D09">
        <w:rPr>
          <w:rFonts w:ascii="Times New Roman" w:hAnsi="Times New Roman"/>
          <w:sz w:val="24"/>
          <w:szCs w:val="24"/>
        </w:rPr>
        <w:t xml:space="preserve"> </w:t>
      </w:r>
      <w:r w:rsidR="004949B5" w:rsidRPr="00D86D09">
        <w:rPr>
          <w:rFonts w:ascii="Times New Roman" w:hAnsi="Times New Roman"/>
          <w:sz w:val="24"/>
          <w:szCs w:val="24"/>
        </w:rPr>
        <w:t>које</w:t>
      </w:r>
      <w:r w:rsidRPr="00D86D09">
        <w:rPr>
          <w:rFonts w:ascii="Times New Roman" w:hAnsi="Times New Roman"/>
          <w:sz w:val="24"/>
          <w:szCs w:val="24"/>
        </w:rPr>
        <w:t xml:space="preserve"> </w:t>
      </w:r>
      <w:r w:rsidR="004949B5" w:rsidRPr="00D86D09">
        <w:rPr>
          <w:rFonts w:ascii="Times New Roman" w:hAnsi="Times New Roman"/>
          <w:sz w:val="24"/>
          <w:szCs w:val="24"/>
        </w:rPr>
        <w:t>је</w:t>
      </w:r>
      <w:r w:rsidRPr="00D86D09">
        <w:rPr>
          <w:rFonts w:ascii="Times New Roman" w:hAnsi="Times New Roman"/>
          <w:sz w:val="24"/>
          <w:szCs w:val="24"/>
        </w:rPr>
        <w:t xml:space="preserve"> </w:t>
      </w:r>
      <w:r w:rsidR="004949B5" w:rsidRPr="00D86D09">
        <w:rPr>
          <w:rFonts w:ascii="Times New Roman" w:hAnsi="Times New Roman"/>
          <w:sz w:val="24"/>
          <w:szCs w:val="24"/>
        </w:rPr>
        <w:t>надлежни</w:t>
      </w:r>
      <w:r w:rsidRPr="00D86D09">
        <w:rPr>
          <w:rFonts w:ascii="Times New Roman" w:hAnsi="Times New Roman"/>
          <w:sz w:val="24"/>
          <w:szCs w:val="24"/>
        </w:rPr>
        <w:t xml:space="preserve"> </w:t>
      </w:r>
      <w:r w:rsidR="004949B5" w:rsidRPr="00D86D09">
        <w:rPr>
          <w:rFonts w:ascii="Times New Roman" w:hAnsi="Times New Roman"/>
          <w:sz w:val="24"/>
          <w:szCs w:val="24"/>
        </w:rPr>
        <w:t>орган</w:t>
      </w:r>
      <w:r w:rsidRPr="00D86D09">
        <w:rPr>
          <w:rFonts w:ascii="Times New Roman" w:hAnsi="Times New Roman"/>
          <w:sz w:val="24"/>
          <w:szCs w:val="24"/>
        </w:rPr>
        <w:t xml:space="preserve"> </w:t>
      </w:r>
      <w:r w:rsidR="004949B5" w:rsidRPr="00D86D09">
        <w:rPr>
          <w:rFonts w:ascii="Times New Roman" w:hAnsi="Times New Roman"/>
          <w:sz w:val="24"/>
          <w:szCs w:val="24"/>
        </w:rPr>
        <w:t>дао</w:t>
      </w:r>
      <w:r w:rsidRPr="00D86D09">
        <w:rPr>
          <w:rFonts w:ascii="Times New Roman" w:hAnsi="Times New Roman"/>
          <w:sz w:val="24"/>
          <w:szCs w:val="24"/>
        </w:rPr>
        <w:t xml:space="preserve"> </w:t>
      </w:r>
      <w:r w:rsidR="004949B5" w:rsidRPr="00D86D09">
        <w:rPr>
          <w:rFonts w:ascii="Times New Roman" w:hAnsi="Times New Roman"/>
          <w:sz w:val="24"/>
          <w:szCs w:val="24"/>
        </w:rPr>
        <w:t>акцизну</w:t>
      </w:r>
      <w:r w:rsidRPr="00D86D09">
        <w:rPr>
          <w:rFonts w:ascii="Times New Roman" w:hAnsi="Times New Roman"/>
          <w:sz w:val="24"/>
          <w:szCs w:val="24"/>
        </w:rPr>
        <w:t xml:space="preserve"> </w:t>
      </w:r>
      <w:r w:rsidR="004949B5" w:rsidRPr="00D86D09">
        <w:rPr>
          <w:rFonts w:ascii="Times New Roman" w:hAnsi="Times New Roman"/>
          <w:sz w:val="24"/>
          <w:szCs w:val="24"/>
        </w:rPr>
        <w:t>дозволу</w:t>
      </w:r>
      <w:r w:rsidRPr="00D86D09">
        <w:rPr>
          <w:rFonts w:ascii="Times New Roman" w:hAnsi="Times New Roman"/>
          <w:sz w:val="24"/>
          <w:szCs w:val="24"/>
        </w:rPr>
        <w:t xml:space="preserve">, </w:t>
      </w:r>
      <w:r w:rsidR="004949B5" w:rsidRPr="00D86D09">
        <w:rPr>
          <w:rFonts w:ascii="Times New Roman" w:hAnsi="Times New Roman"/>
          <w:sz w:val="24"/>
          <w:szCs w:val="24"/>
        </w:rPr>
        <w:t>отворено</w:t>
      </w:r>
      <w:r w:rsidRPr="00D86D09">
        <w:rPr>
          <w:rFonts w:ascii="Times New Roman" w:hAnsi="Times New Roman"/>
          <w:sz w:val="24"/>
          <w:szCs w:val="24"/>
        </w:rPr>
        <w:t xml:space="preserve"> </w:t>
      </w:r>
      <w:r w:rsidR="004949B5" w:rsidRPr="00D86D09">
        <w:rPr>
          <w:rFonts w:ascii="Times New Roman" w:hAnsi="Times New Roman"/>
          <w:sz w:val="24"/>
          <w:szCs w:val="24"/>
        </w:rPr>
        <w:t>у</w:t>
      </w:r>
      <w:r w:rsidRPr="00D86D09">
        <w:rPr>
          <w:rFonts w:ascii="Times New Roman" w:hAnsi="Times New Roman"/>
          <w:sz w:val="24"/>
          <w:szCs w:val="24"/>
        </w:rPr>
        <w:t xml:space="preserve"> </w:t>
      </w:r>
      <w:r w:rsidR="004949B5" w:rsidRPr="00D86D09">
        <w:rPr>
          <w:rFonts w:ascii="Times New Roman" w:hAnsi="Times New Roman"/>
          <w:sz w:val="24"/>
          <w:szCs w:val="24"/>
        </w:rPr>
        <w:t>складу</w:t>
      </w:r>
      <w:r w:rsidRPr="00D86D09">
        <w:rPr>
          <w:rFonts w:ascii="Times New Roman" w:hAnsi="Times New Roman"/>
          <w:sz w:val="24"/>
          <w:szCs w:val="24"/>
        </w:rPr>
        <w:t xml:space="preserve"> </w:t>
      </w:r>
      <w:r w:rsidR="004949B5" w:rsidRPr="00D86D09">
        <w:rPr>
          <w:rFonts w:ascii="Times New Roman" w:hAnsi="Times New Roman"/>
          <w:sz w:val="24"/>
          <w:szCs w:val="24"/>
        </w:rPr>
        <w:t>са</w:t>
      </w:r>
      <w:r w:rsidRPr="00D86D09">
        <w:rPr>
          <w:rFonts w:ascii="Times New Roman" w:hAnsi="Times New Roman"/>
          <w:sz w:val="24"/>
          <w:szCs w:val="24"/>
        </w:rPr>
        <w:t xml:space="preserve"> </w:t>
      </w:r>
      <w:r w:rsidR="004949B5" w:rsidRPr="00D86D09">
        <w:rPr>
          <w:rFonts w:ascii="Times New Roman" w:hAnsi="Times New Roman"/>
          <w:sz w:val="24"/>
          <w:szCs w:val="24"/>
        </w:rPr>
        <w:t>царинским</w:t>
      </w:r>
      <w:r w:rsidRPr="00D86D09">
        <w:rPr>
          <w:rFonts w:ascii="Times New Roman" w:hAnsi="Times New Roman"/>
          <w:sz w:val="24"/>
          <w:szCs w:val="24"/>
        </w:rPr>
        <w:t xml:space="preserve"> </w:t>
      </w:r>
      <w:r w:rsidR="004949B5" w:rsidRPr="00D86D09">
        <w:rPr>
          <w:rFonts w:ascii="Times New Roman" w:hAnsi="Times New Roman"/>
          <w:sz w:val="24"/>
          <w:szCs w:val="24"/>
        </w:rPr>
        <w:t>прописима</w:t>
      </w:r>
      <w:r w:rsidRPr="00D86D09">
        <w:rPr>
          <w:rFonts w:ascii="Times New Roman" w:hAnsi="Times New Roman"/>
          <w:sz w:val="24"/>
          <w:szCs w:val="24"/>
        </w:rPr>
        <w:t>;</w:t>
      </w:r>
    </w:p>
    <w:p w:rsidR="00B251D1" w:rsidRPr="00D86D09" w:rsidRDefault="00B251D1" w:rsidP="00D86D09">
      <w:pPr>
        <w:jc w:val="both"/>
        <w:rPr>
          <w:rFonts w:ascii="Times New Roman" w:hAnsi="Times New Roman"/>
          <w:sz w:val="24"/>
          <w:szCs w:val="24"/>
          <w:lang w:val="sr-Cyrl-CS"/>
        </w:rPr>
      </w:pPr>
      <w:r w:rsidRPr="00D86D09">
        <w:rPr>
          <w:rFonts w:ascii="Times New Roman" w:hAnsi="Times New Roman"/>
          <w:sz w:val="24"/>
          <w:szCs w:val="24"/>
        </w:rPr>
        <w:t xml:space="preserve">3) </w:t>
      </w:r>
      <w:r w:rsidR="004949B5" w:rsidRPr="00D86D09">
        <w:rPr>
          <w:rFonts w:ascii="Times New Roman" w:hAnsi="Times New Roman"/>
          <w:sz w:val="24"/>
          <w:szCs w:val="24"/>
        </w:rPr>
        <w:t>исказивање</w:t>
      </w:r>
      <w:r w:rsidRPr="00D86D09">
        <w:rPr>
          <w:rFonts w:ascii="Times New Roman" w:hAnsi="Times New Roman"/>
          <w:sz w:val="24"/>
          <w:szCs w:val="24"/>
        </w:rPr>
        <w:t xml:space="preserve"> </w:t>
      </w:r>
      <w:r w:rsidR="004949B5" w:rsidRPr="00D86D09">
        <w:rPr>
          <w:rFonts w:ascii="Times New Roman" w:hAnsi="Times New Roman"/>
          <w:sz w:val="24"/>
          <w:szCs w:val="24"/>
        </w:rPr>
        <w:t>мањка</w:t>
      </w:r>
      <w:r w:rsidRPr="00D86D09">
        <w:rPr>
          <w:rFonts w:ascii="Times New Roman" w:hAnsi="Times New Roman"/>
          <w:sz w:val="24"/>
          <w:szCs w:val="24"/>
        </w:rPr>
        <w:t xml:space="preserve"> </w:t>
      </w:r>
      <w:r w:rsidR="004949B5" w:rsidRPr="00D86D09">
        <w:rPr>
          <w:rFonts w:ascii="Times New Roman" w:hAnsi="Times New Roman"/>
          <w:sz w:val="24"/>
          <w:szCs w:val="24"/>
        </w:rPr>
        <w:t>производа</w:t>
      </w:r>
      <w:r w:rsidRPr="00D86D09">
        <w:rPr>
          <w:rFonts w:ascii="Times New Roman" w:hAnsi="Times New Roman"/>
          <w:sz w:val="24"/>
          <w:szCs w:val="24"/>
        </w:rPr>
        <w:t xml:space="preserve"> </w:t>
      </w:r>
      <w:r w:rsidR="004949B5" w:rsidRPr="00D86D09">
        <w:rPr>
          <w:rFonts w:ascii="Times New Roman" w:hAnsi="Times New Roman"/>
          <w:sz w:val="24"/>
          <w:szCs w:val="24"/>
        </w:rPr>
        <w:t>у</w:t>
      </w:r>
      <w:r w:rsidRPr="00D86D09">
        <w:rPr>
          <w:rFonts w:ascii="Times New Roman" w:hAnsi="Times New Roman"/>
          <w:sz w:val="24"/>
          <w:szCs w:val="24"/>
        </w:rPr>
        <w:t xml:space="preserve"> </w:t>
      </w:r>
      <w:r w:rsidR="004949B5" w:rsidRPr="00D86D09">
        <w:rPr>
          <w:rFonts w:ascii="Times New Roman" w:hAnsi="Times New Roman"/>
          <w:sz w:val="24"/>
          <w:szCs w:val="24"/>
        </w:rPr>
        <w:t>акцизном</w:t>
      </w:r>
      <w:r w:rsidRPr="00D86D09">
        <w:rPr>
          <w:rFonts w:ascii="Times New Roman" w:hAnsi="Times New Roman"/>
          <w:sz w:val="24"/>
          <w:szCs w:val="24"/>
        </w:rPr>
        <w:t xml:space="preserve"> </w:t>
      </w:r>
      <w:r w:rsidR="004949B5" w:rsidRPr="00D86D09">
        <w:rPr>
          <w:rFonts w:ascii="Times New Roman" w:hAnsi="Times New Roman"/>
          <w:sz w:val="24"/>
          <w:szCs w:val="24"/>
        </w:rPr>
        <w:t>складишту</w:t>
      </w:r>
      <w:r w:rsidRPr="00D86D09">
        <w:rPr>
          <w:rFonts w:ascii="Times New Roman" w:hAnsi="Times New Roman"/>
          <w:sz w:val="24"/>
          <w:szCs w:val="24"/>
        </w:rPr>
        <w:t xml:space="preserve">, </w:t>
      </w:r>
      <w:r w:rsidR="004949B5" w:rsidRPr="00D86D09">
        <w:rPr>
          <w:rFonts w:ascii="Times New Roman" w:hAnsi="Times New Roman"/>
          <w:sz w:val="24"/>
          <w:szCs w:val="24"/>
        </w:rPr>
        <w:t>осим</w:t>
      </w:r>
      <w:r w:rsidRPr="00D86D09">
        <w:rPr>
          <w:rFonts w:ascii="Times New Roman" w:hAnsi="Times New Roman"/>
          <w:sz w:val="24"/>
          <w:szCs w:val="24"/>
        </w:rPr>
        <w:t xml:space="preserve"> </w:t>
      </w:r>
      <w:r w:rsidR="004949B5" w:rsidRPr="00D86D09">
        <w:rPr>
          <w:rFonts w:ascii="Times New Roman" w:hAnsi="Times New Roman"/>
          <w:sz w:val="24"/>
          <w:szCs w:val="24"/>
        </w:rPr>
        <w:t>мањка</w:t>
      </w:r>
      <w:r w:rsidRPr="00D86D09">
        <w:rPr>
          <w:rFonts w:ascii="Times New Roman" w:hAnsi="Times New Roman"/>
          <w:sz w:val="24"/>
          <w:szCs w:val="24"/>
        </w:rPr>
        <w:t xml:space="preserve"> </w:t>
      </w:r>
      <w:r w:rsidR="004949B5" w:rsidRPr="00D86D09">
        <w:rPr>
          <w:rFonts w:ascii="Times New Roman" w:hAnsi="Times New Roman"/>
          <w:sz w:val="24"/>
          <w:szCs w:val="24"/>
        </w:rPr>
        <w:t>који</w:t>
      </w:r>
      <w:r w:rsidRPr="00D86D09">
        <w:rPr>
          <w:rFonts w:ascii="Times New Roman" w:hAnsi="Times New Roman"/>
          <w:sz w:val="24"/>
          <w:szCs w:val="24"/>
        </w:rPr>
        <w:t xml:space="preserve"> </w:t>
      </w:r>
      <w:r w:rsidR="004949B5" w:rsidRPr="00D86D09">
        <w:rPr>
          <w:rFonts w:ascii="Times New Roman" w:hAnsi="Times New Roman"/>
          <w:sz w:val="24"/>
          <w:szCs w:val="24"/>
        </w:rPr>
        <w:t>се</w:t>
      </w:r>
      <w:r w:rsidRPr="00D86D09">
        <w:rPr>
          <w:rFonts w:ascii="Times New Roman" w:hAnsi="Times New Roman"/>
          <w:sz w:val="24"/>
          <w:szCs w:val="24"/>
        </w:rPr>
        <w:t xml:space="preserve"> </w:t>
      </w:r>
      <w:r w:rsidR="004949B5" w:rsidRPr="00D86D09">
        <w:rPr>
          <w:rFonts w:ascii="Times New Roman" w:hAnsi="Times New Roman"/>
          <w:sz w:val="24"/>
          <w:szCs w:val="24"/>
        </w:rPr>
        <w:t>може</w:t>
      </w:r>
      <w:r w:rsidRPr="00D86D09">
        <w:rPr>
          <w:rFonts w:ascii="Times New Roman" w:hAnsi="Times New Roman"/>
          <w:sz w:val="24"/>
          <w:szCs w:val="24"/>
        </w:rPr>
        <w:t xml:space="preserve"> </w:t>
      </w:r>
      <w:r w:rsidR="004949B5" w:rsidRPr="00D86D09">
        <w:rPr>
          <w:rFonts w:ascii="Times New Roman" w:hAnsi="Times New Roman"/>
          <w:sz w:val="24"/>
          <w:szCs w:val="24"/>
        </w:rPr>
        <w:t>правдати</w:t>
      </w:r>
      <w:r w:rsidRPr="00D86D09">
        <w:rPr>
          <w:rFonts w:ascii="Times New Roman" w:hAnsi="Times New Roman"/>
          <w:sz w:val="24"/>
          <w:szCs w:val="24"/>
        </w:rPr>
        <w:t xml:space="preserve"> </w:t>
      </w:r>
      <w:r w:rsidR="004949B5" w:rsidRPr="00D86D09">
        <w:rPr>
          <w:rFonts w:ascii="Times New Roman" w:hAnsi="Times New Roman"/>
          <w:sz w:val="24"/>
          <w:szCs w:val="24"/>
        </w:rPr>
        <w:t>вишом</w:t>
      </w:r>
      <w:r w:rsidRPr="00D86D09">
        <w:rPr>
          <w:rFonts w:ascii="Times New Roman" w:hAnsi="Times New Roman"/>
          <w:sz w:val="24"/>
          <w:szCs w:val="24"/>
        </w:rPr>
        <w:t xml:space="preserve"> </w:t>
      </w:r>
      <w:r w:rsidR="004949B5" w:rsidRPr="00D86D09">
        <w:rPr>
          <w:rFonts w:ascii="Times New Roman" w:hAnsi="Times New Roman"/>
          <w:sz w:val="24"/>
          <w:szCs w:val="24"/>
        </w:rPr>
        <w:t>силом</w:t>
      </w:r>
      <w:r w:rsidRPr="00D86D09">
        <w:rPr>
          <w:rFonts w:ascii="Times New Roman" w:hAnsi="Times New Roman"/>
          <w:sz w:val="24"/>
          <w:szCs w:val="24"/>
        </w:rPr>
        <w:t>;</w:t>
      </w:r>
    </w:p>
    <w:p w:rsidR="00B251D1" w:rsidRPr="00D86D09" w:rsidRDefault="00B251D1" w:rsidP="00D86D09">
      <w:pPr>
        <w:jc w:val="both"/>
        <w:rPr>
          <w:rFonts w:ascii="Times New Roman" w:hAnsi="Times New Roman"/>
          <w:sz w:val="24"/>
          <w:szCs w:val="24"/>
          <w:lang w:val="sr-Cyrl-CS"/>
        </w:rPr>
      </w:pPr>
      <w:r w:rsidRPr="00D86D09">
        <w:rPr>
          <w:rFonts w:ascii="Times New Roman" w:hAnsi="Times New Roman"/>
          <w:sz w:val="24"/>
          <w:szCs w:val="24"/>
        </w:rPr>
        <w:t xml:space="preserve">4) </w:t>
      </w:r>
      <w:r w:rsidR="004949B5" w:rsidRPr="00D86D09">
        <w:rPr>
          <w:rFonts w:ascii="Times New Roman" w:hAnsi="Times New Roman"/>
          <w:sz w:val="24"/>
          <w:szCs w:val="24"/>
        </w:rPr>
        <w:t>исказивање</w:t>
      </w:r>
      <w:r w:rsidRPr="00D86D09">
        <w:rPr>
          <w:rFonts w:ascii="Times New Roman" w:hAnsi="Times New Roman"/>
          <w:sz w:val="24"/>
          <w:szCs w:val="24"/>
        </w:rPr>
        <w:t xml:space="preserve"> </w:t>
      </w:r>
      <w:r w:rsidR="004949B5" w:rsidRPr="00D86D09">
        <w:rPr>
          <w:rFonts w:ascii="Times New Roman" w:hAnsi="Times New Roman"/>
          <w:sz w:val="24"/>
          <w:szCs w:val="24"/>
        </w:rPr>
        <w:t>расхода</w:t>
      </w:r>
      <w:r w:rsidRPr="00D86D09">
        <w:rPr>
          <w:rFonts w:ascii="Times New Roman" w:hAnsi="Times New Roman"/>
          <w:sz w:val="24"/>
          <w:szCs w:val="24"/>
        </w:rPr>
        <w:t xml:space="preserve"> (</w:t>
      </w:r>
      <w:r w:rsidR="004949B5" w:rsidRPr="00D86D09">
        <w:rPr>
          <w:rFonts w:ascii="Times New Roman" w:hAnsi="Times New Roman"/>
          <w:sz w:val="24"/>
          <w:szCs w:val="24"/>
        </w:rPr>
        <w:t>кало</w:t>
      </w:r>
      <w:r w:rsidRPr="00D86D09">
        <w:rPr>
          <w:rFonts w:ascii="Times New Roman" w:hAnsi="Times New Roman"/>
          <w:sz w:val="24"/>
          <w:szCs w:val="24"/>
        </w:rPr>
        <w:t xml:space="preserve">, </w:t>
      </w:r>
      <w:r w:rsidR="004949B5" w:rsidRPr="00D86D09">
        <w:rPr>
          <w:rFonts w:ascii="Times New Roman" w:hAnsi="Times New Roman"/>
          <w:sz w:val="24"/>
          <w:szCs w:val="24"/>
        </w:rPr>
        <w:t>растур</w:t>
      </w:r>
      <w:r w:rsidRPr="00D86D09">
        <w:rPr>
          <w:rFonts w:ascii="Times New Roman" w:hAnsi="Times New Roman"/>
          <w:sz w:val="24"/>
          <w:szCs w:val="24"/>
        </w:rPr>
        <w:t xml:space="preserve">, </w:t>
      </w:r>
      <w:r w:rsidR="004949B5" w:rsidRPr="00D86D09">
        <w:rPr>
          <w:rFonts w:ascii="Times New Roman" w:hAnsi="Times New Roman"/>
          <w:sz w:val="24"/>
          <w:szCs w:val="24"/>
        </w:rPr>
        <w:t>квар</w:t>
      </w:r>
      <w:r w:rsidRPr="00D86D09">
        <w:rPr>
          <w:rFonts w:ascii="Times New Roman" w:hAnsi="Times New Roman"/>
          <w:sz w:val="24"/>
          <w:szCs w:val="24"/>
        </w:rPr>
        <w:t xml:space="preserve"> </w:t>
      </w:r>
      <w:r w:rsidR="004949B5" w:rsidRPr="00D86D09">
        <w:rPr>
          <w:rFonts w:ascii="Times New Roman" w:hAnsi="Times New Roman"/>
          <w:sz w:val="24"/>
          <w:szCs w:val="24"/>
        </w:rPr>
        <w:t>и</w:t>
      </w:r>
      <w:r w:rsidRPr="00D86D09">
        <w:rPr>
          <w:rFonts w:ascii="Times New Roman" w:hAnsi="Times New Roman"/>
          <w:sz w:val="24"/>
          <w:szCs w:val="24"/>
        </w:rPr>
        <w:t xml:space="preserve"> </w:t>
      </w:r>
      <w:r w:rsidR="004949B5" w:rsidRPr="00D86D09">
        <w:rPr>
          <w:rFonts w:ascii="Times New Roman" w:hAnsi="Times New Roman"/>
          <w:sz w:val="24"/>
          <w:szCs w:val="24"/>
        </w:rPr>
        <w:t>лом</w:t>
      </w:r>
      <w:r w:rsidRPr="00D86D09">
        <w:rPr>
          <w:rFonts w:ascii="Times New Roman" w:hAnsi="Times New Roman"/>
          <w:sz w:val="24"/>
          <w:szCs w:val="24"/>
        </w:rPr>
        <w:t xml:space="preserve">) </w:t>
      </w:r>
      <w:r w:rsidR="004949B5" w:rsidRPr="00D86D09">
        <w:rPr>
          <w:rFonts w:ascii="Times New Roman" w:hAnsi="Times New Roman"/>
          <w:sz w:val="24"/>
          <w:szCs w:val="24"/>
        </w:rPr>
        <w:t>у</w:t>
      </w:r>
      <w:r w:rsidRPr="00D86D09">
        <w:rPr>
          <w:rFonts w:ascii="Times New Roman" w:hAnsi="Times New Roman"/>
          <w:sz w:val="24"/>
          <w:szCs w:val="24"/>
        </w:rPr>
        <w:t xml:space="preserve"> </w:t>
      </w:r>
      <w:r w:rsidR="004949B5" w:rsidRPr="00D86D09">
        <w:rPr>
          <w:rFonts w:ascii="Times New Roman" w:hAnsi="Times New Roman"/>
          <w:sz w:val="24"/>
          <w:szCs w:val="24"/>
        </w:rPr>
        <w:t>акцизном</w:t>
      </w:r>
      <w:r w:rsidRPr="00D86D09">
        <w:rPr>
          <w:rFonts w:ascii="Times New Roman" w:hAnsi="Times New Roman"/>
          <w:sz w:val="24"/>
          <w:szCs w:val="24"/>
        </w:rPr>
        <w:t xml:space="preserve"> </w:t>
      </w:r>
      <w:r w:rsidR="004949B5" w:rsidRPr="00D86D09">
        <w:rPr>
          <w:rFonts w:ascii="Times New Roman" w:hAnsi="Times New Roman"/>
          <w:sz w:val="24"/>
          <w:szCs w:val="24"/>
        </w:rPr>
        <w:t>складишту</w:t>
      </w:r>
      <w:r w:rsidRPr="00D86D09">
        <w:rPr>
          <w:rFonts w:ascii="Times New Roman" w:hAnsi="Times New Roman"/>
          <w:sz w:val="24"/>
          <w:szCs w:val="24"/>
        </w:rPr>
        <w:t xml:space="preserve"> </w:t>
      </w:r>
      <w:r w:rsidR="004949B5" w:rsidRPr="00D86D09">
        <w:rPr>
          <w:rFonts w:ascii="Times New Roman" w:hAnsi="Times New Roman"/>
          <w:sz w:val="24"/>
          <w:szCs w:val="24"/>
        </w:rPr>
        <w:t>изнад</w:t>
      </w:r>
      <w:r w:rsidRPr="00D86D09">
        <w:rPr>
          <w:rFonts w:ascii="Times New Roman" w:hAnsi="Times New Roman"/>
          <w:sz w:val="24"/>
          <w:szCs w:val="24"/>
        </w:rPr>
        <w:t xml:space="preserve"> </w:t>
      </w:r>
      <w:r w:rsidR="00CB6483" w:rsidRPr="00D86D09">
        <w:rPr>
          <w:rFonts w:ascii="Times New Roman" w:hAnsi="Times New Roman"/>
          <w:sz w:val="24"/>
          <w:szCs w:val="24"/>
          <w:lang w:val="sr-Cyrl-CS"/>
        </w:rPr>
        <w:t xml:space="preserve">одређене </w:t>
      </w:r>
      <w:r w:rsidR="004949B5" w:rsidRPr="00D86D09">
        <w:rPr>
          <w:rFonts w:ascii="Times New Roman" w:hAnsi="Times New Roman"/>
          <w:sz w:val="24"/>
          <w:szCs w:val="24"/>
        </w:rPr>
        <w:t>количине</w:t>
      </w:r>
      <w:r w:rsidR="00CB6483" w:rsidRPr="00D86D09">
        <w:rPr>
          <w:rFonts w:ascii="Times New Roman" w:hAnsi="Times New Roman"/>
          <w:sz w:val="24"/>
          <w:szCs w:val="24"/>
          <w:lang w:val="sr-Cyrl-CS"/>
        </w:rPr>
        <w:t>.</w:t>
      </w:r>
      <w:r w:rsidR="00CB6483" w:rsidRPr="00D86D09">
        <w:rPr>
          <w:rStyle w:val="FootnoteReference"/>
          <w:rFonts w:ascii="Times New Roman" w:hAnsi="Times New Roman"/>
          <w:color w:val="000000"/>
          <w:sz w:val="24"/>
          <w:szCs w:val="24"/>
          <w:lang w:val="sr-Cyrl-CS"/>
        </w:rPr>
        <w:footnoteReference w:id="538"/>
      </w:r>
    </w:p>
    <w:p w:rsidR="00CB6483" w:rsidRPr="00D86D09" w:rsidRDefault="00CB6483" w:rsidP="00D86D09">
      <w:pPr>
        <w:jc w:val="both"/>
        <w:rPr>
          <w:rFonts w:ascii="Times New Roman" w:hAnsi="Times New Roman"/>
          <w:sz w:val="24"/>
          <w:szCs w:val="24"/>
          <w:lang w:val="sr-Cyrl-CS"/>
        </w:rPr>
      </w:pPr>
      <w:r w:rsidRPr="00D86D09">
        <w:rPr>
          <w:rFonts w:ascii="Times New Roman" w:hAnsi="Times New Roman"/>
          <w:sz w:val="24"/>
          <w:szCs w:val="24"/>
          <w:lang w:val="sr-Cyrl-CS"/>
        </w:rPr>
        <w:tab/>
      </w:r>
    </w:p>
    <w:p w:rsidR="00CB6483" w:rsidRPr="00D86D09" w:rsidRDefault="004949B5" w:rsidP="00D86D09">
      <w:pPr>
        <w:jc w:val="both"/>
        <w:rPr>
          <w:rFonts w:ascii="Times New Roman" w:hAnsi="Times New Roman"/>
          <w:sz w:val="24"/>
          <w:szCs w:val="24"/>
          <w:lang w:val="sr-Cyrl-CS"/>
        </w:rPr>
      </w:pPr>
      <w:r w:rsidRPr="00D86D09">
        <w:rPr>
          <w:rFonts w:ascii="Times New Roman" w:hAnsi="Times New Roman"/>
          <w:sz w:val="24"/>
          <w:szCs w:val="24"/>
        </w:rPr>
        <w:lastRenderedPageBreak/>
        <w:t>Обавеза</w:t>
      </w:r>
      <w:r w:rsidR="00B251D1" w:rsidRPr="00D86D09">
        <w:rPr>
          <w:rFonts w:ascii="Times New Roman" w:hAnsi="Times New Roman"/>
          <w:sz w:val="24"/>
          <w:szCs w:val="24"/>
        </w:rPr>
        <w:t xml:space="preserve"> </w:t>
      </w:r>
      <w:r w:rsidRPr="00D86D09">
        <w:rPr>
          <w:rFonts w:ascii="Times New Roman" w:hAnsi="Times New Roman"/>
          <w:sz w:val="24"/>
          <w:szCs w:val="24"/>
        </w:rPr>
        <w:t>обрачунавања</w:t>
      </w:r>
      <w:r w:rsidR="00B251D1" w:rsidRPr="00D86D09">
        <w:rPr>
          <w:rFonts w:ascii="Times New Roman" w:hAnsi="Times New Roman"/>
          <w:sz w:val="24"/>
          <w:szCs w:val="24"/>
        </w:rPr>
        <w:t xml:space="preserve"> </w:t>
      </w:r>
      <w:r w:rsidRPr="00D86D09">
        <w:rPr>
          <w:rFonts w:ascii="Times New Roman" w:hAnsi="Times New Roman"/>
          <w:sz w:val="24"/>
          <w:szCs w:val="24"/>
        </w:rPr>
        <w:t>акцизе</w:t>
      </w:r>
      <w:r w:rsidR="00B251D1" w:rsidRPr="00D86D09">
        <w:rPr>
          <w:rFonts w:ascii="Times New Roman" w:hAnsi="Times New Roman"/>
          <w:sz w:val="24"/>
          <w:szCs w:val="24"/>
        </w:rPr>
        <w:t xml:space="preserve"> </w:t>
      </w:r>
      <w:r w:rsidRPr="00D86D09">
        <w:rPr>
          <w:rFonts w:ascii="Times New Roman" w:hAnsi="Times New Roman"/>
          <w:sz w:val="24"/>
          <w:szCs w:val="24"/>
        </w:rPr>
        <w:t>при</w:t>
      </w:r>
      <w:r w:rsidR="00B251D1" w:rsidRPr="00D86D09">
        <w:rPr>
          <w:rFonts w:ascii="Times New Roman" w:hAnsi="Times New Roman"/>
          <w:sz w:val="24"/>
          <w:szCs w:val="24"/>
        </w:rPr>
        <w:t xml:space="preserve"> </w:t>
      </w:r>
      <w:r w:rsidRPr="00D86D09">
        <w:rPr>
          <w:rFonts w:ascii="Times New Roman" w:hAnsi="Times New Roman"/>
          <w:sz w:val="24"/>
          <w:szCs w:val="24"/>
        </w:rPr>
        <w:t>увозу</w:t>
      </w:r>
      <w:r w:rsidR="00B251D1" w:rsidRPr="00D86D09">
        <w:rPr>
          <w:rFonts w:ascii="Times New Roman" w:hAnsi="Times New Roman"/>
          <w:sz w:val="24"/>
          <w:szCs w:val="24"/>
        </w:rPr>
        <w:t xml:space="preserve"> </w:t>
      </w:r>
      <w:r w:rsidRPr="00D86D09">
        <w:rPr>
          <w:rFonts w:ascii="Times New Roman" w:hAnsi="Times New Roman"/>
          <w:sz w:val="24"/>
          <w:szCs w:val="24"/>
        </w:rPr>
        <w:t>акцизних</w:t>
      </w:r>
      <w:r w:rsidR="00B251D1" w:rsidRPr="00D86D09">
        <w:rPr>
          <w:rFonts w:ascii="Times New Roman" w:hAnsi="Times New Roman"/>
          <w:sz w:val="24"/>
          <w:szCs w:val="24"/>
        </w:rPr>
        <w:t xml:space="preserve"> </w:t>
      </w:r>
      <w:r w:rsidRPr="00D86D09">
        <w:rPr>
          <w:rFonts w:ascii="Times New Roman" w:hAnsi="Times New Roman"/>
          <w:sz w:val="24"/>
          <w:szCs w:val="24"/>
        </w:rPr>
        <w:t>производа</w:t>
      </w:r>
      <w:r w:rsidR="00B251D1" w:rsidRPr="00D86D09">
        <w:rPr>
          <w:rFonts w:ascii="Times New Roman" w:hAnsi="Times New Roman"/>
          <w:sz w:val="24"/>
          <w:szCs w:val="24"/>
        </w:rPr>
        <w:t xml:space="preserve"> </w:t>
      </w:r>
      <w:r w:rsidRPr="00D86D09">
        <w:rPr>
          <w:rFonts w:ascii="Times New Roman" w:hAnsi="Times New Roman"/>
          <w:sz w:val="24"/>
          <w:szCs w:val="24"/>
        </w:rPr>
        <w:t>настаје</w:t>
      </w:r>
      <w:r w:rsidR="00B251D1" w:rsidRPr="00D86D09">
        <w:rPr>
          <w:rFonts w:ascii="Times New Roman" w:hAnsi="Times New Roman"/>
          <w:sz w:val="24"/>
          <w:szCs w:val="24"/>
        </w:rPr>
        <w:t xml:space="preserve"> </w:t>
      </w:r>
      <w:r w:rsidRPr="00D86D09">
        <w:rPr>
          <w:rFonts w:ascii="Times New Roman" w:hAnsi="Times New Roman"/>
          <w:sz w:val="24"/>
          <w:szCs w:val="24"/>
        </w:rPr>
        <w:t>даном</w:t>
      </w:r>
      <w:r w:rsidR="00B251D1" w:rsidRPr="00D86D09">
        <w:rPr>
          <w:rFonts w:ascii="Times New Roman" w:hAnsi="Times New Roman"/>
          <w:sz w:val="24"/>
          <w:szCs w:val="24"/>
        </w:rPr>
        <w:t xml:space="preserve"> </w:t>
      </w:r>
      <w:r w:rsidRPr="00D86D09">
        <w:rPr>
          <w:rFonts w:ascii="Times New Roman" w:hAnsi="Times New Roman"/>
          <w:sz w:val="24"/>
          <w:szCs w:val="24"/>
        </w:rPr>
        <w:t>настанка</w:t>
      </w:r>
      <w:r w:rsidR="00B251D1" w:rsidRPr="00D86D09">
        <w:rPr>
          <w:rFonts w:ascii="Times New Roman" w:hAnsi="Times New Roman"/>
          <w:sz w:val="24"/>
          <w:szCs w:val="24"/>
        </w:rPr>
        <w:t xml:space="preserve"> </w:t>
      </w:r>
      <w:r w:rsidRPr="00D86D09">
        <w:rPr>
          <w:rFonts w:ascii="Times New Roman" w:hAnsi="Times New Roman"/>
          <w:sz w:val="24"/>
          <w:szCs w:val="24"/>
        </w:rPr>
        <w:t>обавезе</w:t>
      </w:r>
      <w:r w:rsidR="00B251D1" w:rsidRPr="00D86D09">
        <w:rPr>
          <w:rFonts w:ascii="Times New Roman" w:hAnsi="Times New Roman"/>
          <w:sz w:val="24"/>
          <w:szCs w:val="24"/>
        </w:rPr>
        <w:t xml:space="preserve"> </w:t>
      </w:r>
      <w:r w:rsidRPr="00D86D09">
        <w:rPr>
          <w:rFonts w:ascii="Times New Roman" w:hAnsi="Times New Roman"/>
          <w:sz w:val="24"/>
          <w:szCs w:val="24"/>
        </w:rPr>
        <w:t>обрачунавања</w:t>
      </w:r>
      <w:r w:rsidR="00B251D1" w:rsidRPr="00D86D09">
        <w:rPr>
          <w:rFonts w:ascii="Times New Roman" w:hAnsi="Times New Roman"/>
          <w:sz w:val="24"/>
          <w:szCs w:val="24"/>
        </w:rPr>
        <w:t xml:space="preserve"> </w:t>
      </w:r>
      <w:r w:rsidRPr="00D86D09">
        <w:rPr>
          <w:rFonts w:ascii="Times New Roman" w:hAnsi="Times New Roman"/>
          <w:sz w:val="24"/>
          <w:szCs w:val="24"/>
        </w:rPr>
        <w:t>увозних</w:t>
      </w:r>
      <w:r w:rsidR="00B251D1" w:rsidRPr="00D86D09">
        <w:rPr>
          <w:rFonts w:ascii="Times New Roman" w:hAnsi="Times New Roman"/>
          <w:sz w:val="24"/>
          <w:szCs w:val="24"/>
        </w:rPr>
        <w:t xml:space="preserve"> </w:t>
      </w:r>
      <w:r w:rsidRPr="00D86D09">
        <w:rPr>
          <w:rFonts w:ascii="Times New Roman" w:hAnsi="Times New Roman"/>
          <w:sz w:val="24"/>
          <w:szCs w:val="24"/>
        </w:rPr>
        <w:t>дажбина</w:t>
      </w:r>
      <w:r w:rsidR="00B251D1" w:rsidRPr="00D86D09">
        <w:rPr>
          <w:rFonts w:ascii="Times New Roman" w:hAnsi="Times New Roman"/>
          <w:sz w:val="24"/>
          <w:szCs w:val="24"/>
        </w:rPr>
        <w:t>.</w:t>
      </w:r>
      <w:r w:rsidR="00CB6483" w:rsidRPr="00D86D09">
        <w:rPr>
          <w:rFonts w:ascii="Times New Roman" w:hAnsi="Times New Roman"/>
          <w:sz w:val="24"/>
          <w:szCs w:val="24"/>
          <w:lang w:val="sr-Cyrl-CS"/>
        </w:rPr>
        <w:t xml:space="preserve"> </w:t>
      </w:r>
      <w:r w:rsidRPr="00D86D09">
        <w:rPr>
          <w:rFonts w:ascii="Times New Roman" w:hAnsi="Times New Roman"/>
          <w:sz w:val="24"/>
          <w:szCs w:val="24"/>
        </w:rPr>
        <w:t>Обрачунавање</w:t>
      </w:r>
      <w:r w:rsidR="00B251D1" w:rsidRPr="00D86D09">
        <w:rPr>
          <w:rFonts w:ascii="Times New Roman" w:hAnsi="Times New Roman"/>
          <w:sz w:val="24"/>
          <w:szCs w:val="24"/>
        </w:rPr>
        <w:t xml:space="preserve"> </w:t>
      </w:r>
      <w:r w:rsidRPr="00D86D09">
        <w:rPr>
          <w:rFonts w:ascii="Times New Roman" w:hAnsi="Times New Roman"/>
          <w:sz w:val="24"/>
          <w:szCs w:val="24"/>
        </w:rPr>
        <w:t>акцизе</w:t>
      </w:r>
      <w:r w:rsidR="00B251D1" w:rsidRPr="00D86D09">
        <w:rPr>
          <w:rFonts w:ascii="Times New Roman" w:hAnsi="Times New Roman"/>
          <w:sz w:val="24"/>
          <w:szCs w:val="24"/>
        </w:rPr>
        <w:t xml:space="preserve"> </w:t>
      </w:r>
      <w:r w:rsidRPr="00D86D09">
        <w:rPr>
          <w:rFonts w:ascii="Times New Roman" w:hAnsi="Times New Roman"/>
          <w:sz w:val="24"/>
          <w:szCs w:val="24"/>
        </w:rPr>
        <w:t>на</w:t>
      </w:r>
      <w:r w:rsidR="00B251D1" w:rsidRPr="00D86D09">
        <w:rPr>
          <w:rFonts w:ascii="Times New Roman" w:hAnsi="Times New Roman"/>
          <w:sz w:val="24"/>
          <w:szCs w:val="24"/>
        </w:rPr>
        <w:t xml:space="preserve"> </w:t>
      </w:r>
      <w:r w:rsidRPr="00D86D09">
        <w:rPr>
          <w:rFonts w:ascii="Times New Roman" w:hAnsi="Times New Roman"/>
          <w:sz w:val="24"/>
          <w:szCs w:val="24"/>
        </w:rPr>
        <w:t>кафу</w:t>
      </w:r>
      <w:r w:rsidR="00B251D1" w:rsidRPr="00D86D09">
        <w:rPr>
          <w:rFonts w:ascii="Times New Roman" w:hAnsi="Times New Roman"/>
          <w:sz w:val="24"/>
          <w:szCs w:val="24"/>
        </w:rPr>
        <w:t xml:space="preserve"> </w:t>
      </w:r>
      <w:r w:rsidRPr="00D86D09">
        <w:rPr>
          <w:rFonts w:ascii="Times New Roman" w:hAnsi="Times New Roman"/>
          <w:sz w:val="24"/>
          <w:szCs w:val="24"/>
        </w:rPr>
        <w:t>врши</w:t>
      </w:r>
      <w:r w:rsidR="00B251D1" w:rsidRPr="00D86D09">
        <w:rPr>
          <w:rFonts w:ascii="Times New Roman" w:hAnsi="Times New Roman"/>
          <w:sz w:val="24"/>
          <w:szCs w:val="24"/>
        </w:rPr>
        <w:t xml:space="preserve"> </w:t>
      </w:r>
      <w:r w:rsidRPr="00D86D09">
        <w:rPr>
          <w:rFonts w:ascii="Times New Roman" w:hAnsi="Times New Roman"/>
          <w:sz w:val="24"/>
          <w:szCs w:val="24"/>
        </w:rPr>
        <w:t>се</w:t>
      </w:r>
      <w:r w:rsidR="00B251D1" w:rsidRPr="00D86D09">
        <w:rPr>
          <w:rFonts w:ascii="Times New Roman" w:hAnsi="Times New Roman"/>
          <w:sz w:val="24"/>
          <w:szCs w:val="24"/>
        </w:rPr>
        <w:t xml:space="preserve"> </w:t>
      </w:r>
      <w:r w:rsidRPr="00D86D09">
        <w:rPr>
          <w:rFonts w:ascii="Times New Roman" w:hAnsi="Times New Roman"/>
          <w:sz w:val="24"/>
          <w:szCs w:val="24"/>
        </w:rPr>
        <w:t>приликом</w:t>
      </w:r>
      <w:r w:rsidR="00B251D1" w:rsidRPr="00D86D09">
        <w:rPr>
          <w:rFonts w:ascii="Times New Roman" w:hAnsi="Times New Roman"/>
          <w:sz w:val="24"/>
          <w:szCs w:val="24"/>
        </w:rPr>
        <w:t xml:space="preserve"> </w:t>
      </w:r>
      <w:r w:rsidRPr="00D86D09">
        <w:rPr>
          <w:rFonts w:ascii="Times New Roman" w:hAnsi="Times New Roman"/>
          <w:sz w:val="24"/>
          <w:szCs w:val="24"/>
        </w:rPr>
        <w:t>увоза</w:t>
      </w:r>
      <w:r w:rsidR="00B251D1" w:rsidRPr="00D86D09">
        <w:rPr>
          <w:rFonts w:ascii="Times New Roman" w:hAnsi="Times New Roman"/>
          <w:sz w:val="24"/>
          <w:szCs w:val="24"/>
        </w:rPr>
        <w:t>.</w:t>
      </w:r>
      <w:r w:rsidR="00CB6483" w:rsidRPr="00D86D09">
        <w:rPr>
          <w:rFonts w:ascii="Times New Roman" w:hAnsi="Times New Roman"/>
          <w:sz w:val="24"/>
          <w:szCs w:val="24"/>
          <w:lang w:val="sr-Cyrl-CS"/>
        </w:rPr>
        <w:t xml:space="preserve"> </w:t>
      </w:r>
      <w:r w:rsidRPr="00D86D09">
        <w:rPr>
          <w:rFonts w:ascii="Times New Roman" w:hAnsi="Times New Roman"/>
          <w:sz w:val="24"/>
          <w:szCs w:val="24"/>
        </w:rPr>
        <w:t>Акцизу</w:t>
      </w:r>
      <w:r w:rsidR="00B251D1" w:rsidRPr="00D86D09">
        <w:rPr>
          <w:rFonts w:ascii="Times New Roman" w:hAnsi="Times New Roman"/>
          <w:sz w:val="24"/>
          <w:szCs w:val="24"/>
        </w:rPr>
        <w:t xml:space="preserve"> </w:t>
      </w:r>
      <w:r w:rsidRPr="00D86D09">
        <w:rPr>
          <w:rFonts w:ascii="Times New Roman" w:hAnsi="Times New Roman"/>
          <w:sz w:val="24"/>
          <w:szCs w:val="24"/>
        </w:rPr>
        <w:t>обрачунава</w:t>
      </w:r>
      <w:r w:rsidR="00B251D1" w:rsidRPr="00D86D09">
        <w:rPr>
          <w:rFonts w:ascii="Times New Roman" w:hAnsi="Times New Roman"/>
          <w:sz w:val="24"/>
          <w:szCs w:val="24"/>
        </w:rPr>
        <w:t xml:space="preserve"> </w:t>
      </w:r>
      <w:r w:rsidRPr="00D86D09">
        <w:rPr>
          <w:rFonts w:ascii="Times New Roman" w:hAnsi="Times New Roman"/>
          <w:sz w:val="24"/>
          <w:szCs w:val="24"/>
        </w:rPr>
        <w:t>надлежни</w:t>
      </w:r>
      <w:r w:rsidR="00B251D1" w:rsidRPr="00D86D09">
        <w:rPr>
          <w:rFonts w:ascii="Times New Roman" w:hAnsi="Times New Roman"/>
          <w:sz w:val="24"/>
          <w:szCs w:val="24"/>
        </w:rPr>
        <w:t xml:space="preserve"> </w:t>
      </w:r>
      <w:r w:rsidRPr="00D86D09">
        <w:rPr>
          <w:rFonts w:ascii="Times New Roman" w:hAnsi="Times New Roman"/>
          <w:sz w:val="24"/>
          <w:szCs w:val="24"/>
        </w:rPr>
        <w:t>царински</w:t>
      </w:r>
      <w:r w:rsidR="00B251D1" w:rsidRPr="00D86D09">
        <w:rPr>
          <w:rFonts w:ascii="Times New Roman" w:hAnsi="Times New Roman"/>
          <w:sz w:val="24"/>
          <w:szCs w:val="24"/>
        </w:rPr>
        <w:t xml:space="preserve"> </w:t>
      </w:r>
      <w:r w:rsidRPr="00D86D09">
        <w:rPr>
          <w:rFonts w:ascii="Times New Roman" w:hAnsi="Times New Roman"/>
          <w:sz w:val="24"/>
          <w:szCs w:val="24"/>
        </w:rPr>
        <w:t>орган</w:t>
      </w:r>
      <w:r w:rsidR="00B251D1" w:rsidRPr="00D86D09">
        <w:rPr>
          <w:rFonts w:ascii="Times New Roman" w:hAnsi="Times New Roman"/>
          <w:sz w:val="24"/>
          <w:szCs w:val="24"/>
        </w:rPr>
        <w:t>.</w:t>
      </w:r>
      <w:r w:rsidR="00CB6483" w:rsidRPr="00D86D09">
        <w:rPr>
          <w:rStyle w:val="FootnoteReference"/>
          <w:rFonts w:ascii="Times New Roman" w:hAnsi="Times New Roman"/>
          <w:color w:val="000000"/>
          <w:sz w:val="24"/>
          <w:szCs w:val="24"/>
        </w:rPr>
        <w:footnoteReference w:id="539"/>
      </w:r>
      <w:bookmarkStart w:id="60" w:name="clan_21b"/>
      <w:bookmarkStart w:id="61" w:name="str_26"/>
      <w:bookmarkEnd w:id="60"/>
      <w:bookmarkEnd w:id="61"/>
    </w:p>
    <w:p w:rsidR="00CB6483" w:rsidRPr="00D86D09" w:rsidRDefault="004949B5" w:rsidP="00D86D09">
      <w:pPr>
        <w:ind w:firstLine="708"/>
        <w:jc w:val="both"/>
        <w:rPr>
          <w:rFonts w:ascii="Times New Roman" w:hAnsi="Times New Roman"/>
          <w:sz w:val="24"/>
          <w:szCs w:val="24"/>
          <w:lang w:val="sr-Cyrl-CS"/>
        </w:rPr>
      </w:pPr>
      <w:r w:rsidRPr="00D86D09">
        <w:rPr>
          <w:rFonts w:ascii="Times New Roman" w:hAnsi="Times New Roman"/>
          <w:sz w:val="24"/>
          <w:szCs w:val="24"/>
        </w:rPr>
        <w:t>Обавеза</w:t>
      </w:r>
      <w:r w:rsidR="00B251D1" w:rsidRPr="00D86D09">
        <w:rPr>
          <w:rFonts w:ascii="Times New Roman" w:hAnsi="Times New Roman"/>
          <w:sz w:val="24"/>
          <w:szCs w:val="24"/>
        </w:rPr>
        <w:t xml:space="preserve"> </w:t>
      </w:r>
      <w:r w:rsidRPr="00D86D09">
        <w:rPr>
          <w:rFonts w:ascii="Times New Roman" w:hAnsi="Times New Roman"/>
          <w:sz w:val="24"/>
          <w:szCs w:val="24"/>
        </w:rPr>
        <w:t>обрачунавања</w:t>
      </w:r>
      <w:r w:rsidR="00B251D1" w:rsidRPr="00D86D09">
        <w:rPr>
          <w:rFonts w:ascii="Times New Roman" w:hAnsi="Times New Roman"/>
          <w:sz w:val="24"/>
          <w:szCs w:val="24"/>
        </w:rPr>
        <w:t xml:space="preserve"> </w:t>
      </w:r>
      <w:r w:rsidRPr="00D86D09">
        <w:rPr>
          <w:rFonts w:ascii="Times New Roman" w:hAnsi="Times New Roman"/>
          <w:sz w:val="24"/>
          <w:szCs w:val="24"/>
        </w:rPr>
        <w:t>акцизе</w:t>
      </w:r>
      <w:r w:rsidR="00B251D1" w:rsidRPr="00D86D09">
        <w:rPr>
          <w:rFonts w:ascii="Times New Roman" w:hAnsi="Times New Roman"/>
          <w:sz w:val="24"/>
          <w:szCs w:val="24"/>
        </w:rPr>
        <w:t xml:space="preserve"> </w:t>
      </w:r>
      <w:r w:rsidRPr="00D86D09">
        <w:rPr>
          <w:rFonts w:ascii="Times New Roman" w:hAnsi="Times New Roman"/>
          <w:sz w:val="24"/>
          <w:szCs w:val="24"/>
        </w:rPr>
        <w:t>настаје</w:t>
      </w:r>
      <w:r w:rsidR="00B251D1" w:rsidRPr="00D86D09">
        <w:rPr>
          <w:rFonts w:ascii="Times New Roman" w:hAnsi="Times New Roman"/>
          <w:sz w:val="24"/>
          <w:szCs w:val="24"/>
        </w:rPr>
        <w:t xml:space="preserve"> </w:t>
      </w:r>
      <w:r w:rsidRPr="00D86D09">
        <w:rPr>
          <w:rFonts w:ascii="Times New Roman" w:hAnsi="Times New Roman"/>
          <w:sz w:val="24"/>
          <w:szCs w:val="24"/>
        </w:rPr>
        <w:t>и</w:t>
      </w:r>
      <w:r w:rsidR="00B251D1" w:rsidRPr="00D86D09">
        <w:rPr>
          <w:rFonts w:ascii="Times New Roman" w:hAnsi="Times New Roman"/>
          <w:sz w:val="24"/>
          <w:szCs w:val="24"/>
        </w:rPr>
        <w:t>:</w:t>
      </w:r>
    </w:p>
    <w:p w:rsidR="00B251D1" w:rsidRPr="00D86D09" w:rsidRDefault="00B251D1" w:rsidP="00D86D09">
      <w:pPr>
        <w:jc w:val="both"/>
        <w:rPr>
          <w:rFonts w:ascii="Times New Roman" w:hAnsi="Times New Roman"/>
          <w:sz w:val="24"/>
          <w:szCs w:val="24"/>
        </w:rPr>
      </w:pPr>
      <w:r w:rsidRPr="00D86D09">
        <w:rPr>
          <w:rFonts w:ascii="Times New Roman" w:hAnsi="Times New Roman"/>
          <w:sz w:val="24"/>
          <w:szCs w:val="24"/>
        </w:rPr>
        <w:t xml:space="preserve">1) </w:t>
      </w:r>
      <w:r w:rsidR="004949B5" w:rsidRPr="00D86D09">
        <w:rPr>
          <w:rFonts w:ascii="Times New Roman" w:hAnsi="Times New Roman"/>
          <w:sz w:val="24"/>
          <w:szCs w:val="24"/>
        </w:rPr>
        <w:t>продајом</w:t>
      </w:r>
      <w:r w:rsidRPr="00D86D09">
        <w:rPr>
          <w:rFonts w:ascii="Times New Roman" w:hAnsi="Times New Roman"/>
          <w:sz w:val="24"/>
          <w:szCs w:val="24"/>
        </w:rPr>
        <w:t xml:space="preserve"> </w:t>
      </w:r>
      <w:r w:rsidR="004949B5" w:rsidRPr="00D86D09">
        <w:rPr>
          <w:rFonts w:ascii="Times New Roman" w:hAnsi="Times New Roman"/>
          <w:sz w:val="24"/>
          <w:szCs w:val="24"/>
        </w:rPr>
        <w:t>заплењених</w:t>
      </w:r>
      <w:r w:rsidRPr="00D86D09">
        <w:rPr>
          <w:rFonts w:ascii="Times New Roman" w:hAnsi="Times New Roman"/>
          <w:sz w:val="24"/>
          <w:szCs w:val="24"/>
        </w:rPr>
        <w:t xml:space="preserve"> </w:t>
      </w:r>
      <w:r w:rsidR="004949B5" w:rsidRPr="00D86D09">
        <w:rPr>
          <w:rFonts w:ascii="Times New Roman" w:hAnsi="Times New Roman"/>
          <w:sz w:val="24"/>
          <w:szCs w:val="24"/>
        </w:rPr>
        <w:t>акцизних</w:t>
      </w:r>
      <w:r w:rsidRPr="00D86D09">
        <w:rPr>
          <w:rFonts w:ascii="Times New Roman" w:hAnsi="Times New Roman"/>
          <w:sz w:val="24"/>
          <w:szCs w:val="24"/>
        </w:rPr>
        <w:t xml:space="preserve"> </w:t>
      </w:r>
      <w:r w:rsidR="004949B5" w:rsidRPr="00D86D09">
        <w:rPr>
          <w:rFonts w:ascii="Times New Roman" w:hAnsi="Times New Roman"/>
          <w:sz w:val="24"/>
          <w:szCs w:val="24"/>
        </w:rPr>
        <w:t>производа</w:t>
      </w:r>
      <w:r w:rsidRPr="00D86D09">
        <w:rPr>
          <w:rFonts w:ascii="Times New Roman" w:hAnsi="Times New Roman"/>
          <w:sz w:val="24"/>
          <w:szCs w:val="24"/>
        </w:rPr>
        <w:t xml:space="preserve"> </w:t>
      </w:r>
      <w:r w:rsidR="004949B5" w:rsidRPr="00D86D09">
        <w:rPr>
          <w:rFonts w:ascii="Times New Roman" w:hAnsi="Times New Roman"/>
          <w:sz w:val="24"/>
          <w:szCs w:val="24"/>
        </w:rPr>
        <w:t>преко</w:t>
      </w:r>
      <w:r w:rsidRPr="00D86D09">
        <w:rPr>
          <w:rFonts w:ascii="Times New Roman" w:hAnsi="Times New Roman"/>
          <w:sz w:val="24"/>
          <w:szCs w:val="24"/>
        </w:rPr>
        <w:t xml:space="preserve"> </w:t>
      </w:r>
      <w:r w:rsidR="004949B5" w:rsidRPr="00D86D09">
        <w:rPr>
          <w:rFonts w:ascii="Times New Roman" w:hAnsi="Times New Roman"/>
          <w:sz w:val="24"/>
          <w:szCs w:val="24"/>
        </w:rPr>
        <w:t>правног</w:t>
      </w:r>
      <w:r w:rsidRPr="00D86D09">
        <w:rPr>
          <w:rFonts w:ascii="Times New Roman" w:hAnsi="Times New Roman"/>
          <w:sz w:val="24"/>
          <w:szCs w:val="24"/>
        </w:rPr>
        <w:t xml:space="preserve"> </w:t>
      </w:r>
      <w:r w:rsidR="004949B5" w:rsidRPr="00D86D09">
        <w:rPr>
          <w:rFonts w:ascii="Times New Roman" w:hAnsi="Times New Roman"/>
          <w:sz w:val="24"/>
          <w:szCs w:val="24"/>
        </w:rPr>
        <w:t>лица</w:t>
      </w:r>
      <w:r w:rsidRPr="00D86D09">
        <w:rPr>
          <w:rFonts w:ascii="Times New Roman" w:hAnsi="Times New Roman"/>
          <w:sz w:val="24"/>
          <w:szCs w:val="24"/>
        </w:rPr>
        <w:t xml:space="preserve">, </w:t>
      </w:r>
      <w:r w:rsidR="004949B5" w:rsidRPr="00D86D09">
        <w:rPr>
          <w:rFonts w:ascii="Times New Roman" w:hAnsi="Times New Roman"/>
          <w:sz w:val="24"/>
          <w:szCs w:val="24"/>
        </w:rPr>
        <w:t>овлашћеног</w:t>
      </w:r>
      <w:r w:rsidRPr="00D86D09">
        <w:rPr>
          <w:rFonts w:ascii="Times New Roman" w:hAnsi="Times New Roman"/>
          <w:sz w:val="24"/>
          <w:szCs w:val="24"/>
        </w:rPr>
        <w:t xml:space="preserve"> </w:t>
      </w:r>
      <w:r w:rsidR="004949B5" w:rsidRPr="00D86D09">
        <w:rPr>
          <w:rFonts w:ascii="Times New Roman" w:hAnsi="Times New Roman"/>
          <w:sz w:val="24"/>
          <w:szCs w:val="24"/>
        </w:rPr>
        <w:t>од</w:t>
      </w:r>
      <w:r w:rsidRPr="00D86D09">
        <w:rPr>
          <w:rFonts w:ascii="Times New Roman" w:hAnsi="Times New Roman"/>
          <w:sz w:val="24"/>
          <w:szCs w:val="24"/>
        </w:rPr>
        <w:t xml:space="preserve"> </w:t>
      </w:r>
      <w:r w:rsidR="004949B5" w:rsidRPr="00D86D09">
        <w:rPr>
          <w:rFonts w:ascii="Times New Roman" w:hAnsi="Times New Roman"/>
          <w:sz w:val="24"/>
          <w:szCs w:val="24"/>
        </w:rPr>
        <w:t>стране</w:t>
      </w:r>
      <w:r w:rsidRPr="00D86D09">
        <w:rPr>
          <w:rFonts w:ascii="Times New Roman" w:hAnsi="Times New Roman"/>
          <w:sz w:val="24"/>
          <w:szCs w:val="24"/>
        </w:rPr>
        <w:t xml:space="preserve"> </w:t>
      </w:r>
      <w:r w:rsidR="004949B5" w:rsidRPr="00D86D09">
        <w:rPr>
          <w:rFonts w:ascii="Times New Roman" w:hAnsi="Times New Roman"/>
          <w:sz w:val="24"/>
          <w:szCs w:val="24"/>
        </w:rPr>
        <w:t>државног</w:t>
      </w:r>
      <w:r w:rsidRPr="00D86D09">
        <w:rPr>
          <w:rFonts w:ascii="Times New Roman" w:hAnsi="Times New Roman"/>
          <w:sz w:val="24"/>
          <w:szCs w:val="24"/>
        </w:rPr>
        <w:t xml:space="preserve"> </w:t>
      </w:r>
      <w:r w:rsidR="004949B5" w:rsidRPr="00D86D09">
        <w:rPr>
          <w:rFonts w:ascii="Times New Roman" w:hAnsi="Times New Roman"/>
          <w:sz w:val="24"/>
          <w:szCs w:val="24"/>
        </w:rPr>
        <w:t>органа</w:t>
      </w:r>
      <w:r w:rsidRPr="00D86D09">
        <w:rPr>
          <w:rFonts w:ascii="Times New Roman" w:hAnsi="Times New Roman"/>
          <w:sz w:val="24"/>
          <w:szCs w:val="24"/>
        </w:rPr>
        <w:t xml:space="preserve"> </w:t>
      </w:r>
      <w:r w:rsidR="004949B5" w:rsidRPr="00D86D09">
        <w:rPr>
          <w:rFonts w:ascii="Times New Roman" w:hAnsi="Times New Roman"/>
          <w:sz w:val="24"/>
          <w:szCs w:val="24"/>
        </w:rPr>
        <w:t>за</w:t>
      </w:r>
      <w:r w:rsidRPr="00D86D09">
        <w:rPr>
          <w:rFonts w:ascii="Times New Roman" w:hAnsi="Times New Roman"/>
          <w:sz w:val="24"/>
          <w:szCs w:val="24"/>
        </w:rPr>
        <w:t xml:space="preserve"> </w:t>
      </w:r>
      <w:r w:rsidR="004949B5" w:rsidRPr="00D86D09">
        <w:rPr>
          <w:rFonts w:ascii="Times New Roman" w:hAnsi="Times New Roman"/>
          <w:sz w:val="24"/>
          <w:szCs w:val="24"/>
        </w:rPr>
        <w:t>продају</w:t>
      </w:r>
      <w:r w:rsidRPr="00D86D09">
        <w:rPr>
          <w:rFonts w:ascii="Times New Roman" w:hAnsi="Times New Roman"/>
          <w:sz w:val="24"/>
          <w:szCs w:val="24"/>
        </w:rPr>
        <w:t xml:space="preserve"> </w:t>
      </w:r>
      <w:r w:rsidR="004949B5" w:rsidRPr="00D86D09">
        <w:rPr>
          <w:rFonts w:ascii="Times New Roman" w:hAnsi="Times New Roman"/>
          <w:sz w:val="24"/>
          <w:szCs w:val="24"/>
        </w:rPr>
        <w:t>тих</w:t>
      </w:r>
      <w:r w:rsidRPr="00D86D09">
        <w:rPr>
          <w:rFonts w:ascii="Times New Roman" w:hAnsi="Times New Roman"/>
          <w:sz w:val="24"/>
          <w:szCs w:val="24"/>
        </w:rPr>
        <w:t xml:space="preserve"> </w:t>
      </w:r>
      <w:r w:rsidR="004949B5" w:rsidRPr="00D86D09">
        <w:rPr>
          <w:rFonts w:ascii="Times New Roman" w:hAnsi="Times New Roman"/>
          <w:sz w:val="24"/>
          <w:szCs w:val="24"/>
        </w:rPr>
        <w:t>производа</w:t>
      </w:r>
      <w:r w:rsidRPr="00D86D09">
        <w:rPr>
          <w:rFonts w:ascii="Times New Roman" w:hAnsi="Times New Roman"/>
          <w:sz w:val="24"/>
          <w:szCs w:val="24"/>
        </w:rPr>
        <w:t>;</w:t>
      </w:r>
    </w:p>
    <w:p w:rsidR="00B251D1" w:rsidRPr="00D86D09" w:rsidRDefault="00B251D1" w:rsidP="00D86D09">
      <w:pPr>
        <w:jc w:val="both"/>
        <w:rPr>
          <w:rFonts w:ascii="Times New Roman" w:hAnsi="Times New Roman"/>
          <w:sz w:val="24"/>
          <w:szCs w:val="24"/>
        </w:rPr>
      </w:pPr>
      <w:r w:rsidRPr="00D86D09">
        <w:rPr>
          <w:rFonts w:ascii="Times New Roman" w:hAnsi="Times New Roman"/>
          <w:sz w:val="24"/>
          <w:szCs w:val="24"/>
        </w:rPr>
        <w:t xml:space="preserve">2) </w:t>
      </w:r>
      <w:r w:rsidR="004949B5" w:rsidRPr="00D86D09">
        <w:rPr>
          <w:rFonts w:ascii="Times New Roman" w:hAnsi="Times New Roman"/>
          <w:sz w:val="24"/>
          <w:szCs w:val="24"/>
        </w:rPr>
        <w:t>продајом</w:t>
      </w:r>
      <w:r w:rsidRPr="00D86D09">
        <w:rPr>
          <w:rFonts w:ascii="Times New Roman" w:hAnsi="Times New Roman"/>
          <w:sz w:val="24"/>
          <w:szCs w:val="24"/>
        </w:rPr>
        <w:t xml:space="preserve"> </w:t>
      </w:r>
      <w:r w:rsidR="004949B5" w:rsidRPr="00D86D09">
        <w:rPr>
          <w:rFonts w:ascii="Times New Roman" w:hAnsi="Times New Roman"/>
          <w:sz w:val="24"/>
          <w:szCs w:val="24"/>
        </w:rPr>
        <w:t>преко</w:t>
      </w:r>
      <w:r w:rsidRPr="00D86D09">
        <w:rPr>
          <w:rFonts w:ascii="Times New Roman" w:hAnsi="Times New Roman"/>
          <w:sz w:val="24"/>
          <w:szCs w:val="24"/>
        </w:rPr>
        <w:t xml:space="preserve"> </w:t>
      </w:r>
      <w:r w:rsidR="004949B5" w:rsidRPr="00D86D09">
        <w:rPr>
          <w:rFonts w:ascii="Times New Roman" w:hAnsi="Times New Roman"/>
          <w:sz w:val="24"/>
          <w:szCs w:val="24"/>
        </w:rPr>
        <w:t>царинског</w:t>
      </w:r>
      <w:r w:rsidRPr="00D86D09">
        <w:rPr>
          <w:rFonts w:ascii="Times New Roman" w:hAnsi="Times New Roman"/>
          <w:sz w:val="24"/>
          <w:szCs w:val="24"/>
        </w:rPr>
        <w:t xml:space="preserve">, </w:t>
      </w:r>
      <w:r w:rsidR="004949B5" w:rsidRPr="00D86D09">
        <w:rPr>
          <w:rFonts w:ascii="Times New Roman" w:hAnsi="Times New Roman"/>
          <w:sz w:val="24"/>
          <w:szCs w:val="24"/>
        </w:rPr>
        <w:t>односно</w:t>
      </w:r>
      <w:r w:rsidRPr="00D86D09">
        <w:rPr>
          <w:rFonts w:ascii="Times New Roman" w:hAnsi="Times New Roman"/>
          <w:sz w:val="24"/>
          <w:szCs w:val="24"/>
        </w:rPr>
        <w:t xml:space="preserve"> </w:t>
      </w:r>
      <w:r w:rsidR="004949B5" w:rsidRPr="00D86D09">
        <w:rPr>
          <w:rFonts w:ascii="Times New Roman" w:hAnsi="Times New Roman"/>
          <w:sz w:val="24"/>
          <w:szCs w:val="24"/>
        </w:rPr>
        <w:t>пореског</w:t>
      </w:r>
      <w:r w:rsidRPr="00D86D09">
        <w:rPr>
          <w:rFonts w:ascii="Times New Roman" w:hAnsi="Times New Roman"/>
          <w:sz w:val="24"/>
          <w:szCs w:val="24"/>
        </w:rPr>
        <w:t xml:space="preserve"> </w:t>
      </w:r>
      <w:r w:rsidR="004949B5" w:rsidRPr="00D86D09">
        <w:rPr>
          <w:rFonts w:ascii="Times New Roman" w:hAnsi="Times New Roman"/>
          <w:sz w:val="24"/>
          <w:szCs w:val="24"/>
        </w:rPr>
        <w:t>органа</w:t>
      </w:r>
      <w:r w:rsidRPr="00D86D09">
        <w:rPr>
          <w:rFonts w:ascii="Times New Roman" w:hAnsi="Times New Roman"/>
          <w:sz w:val="24"/>
          <w:szCs w:val="24"/>
        </w:rPr>
        <w:t xml:space="preserve"> </w:t>
      </w:r>
      <w:r w:rsidR="004949B5" w:rsidRPr="00D86D09">
        <w:rPr>
          <w:rFonts w:ascii="Times New Roman" w:hAnsi="Times New Roman"/>
          <w:sz w:val="24"/>
          <w:szCs w:val="24"/>
        </w:rPr>
        <w:t>акцизних</w:t>
      </w:r>
      <w:r w:rsidRPr="00D86D09">
        <w:rPr>
          <w:rFonts w:ascii="Times New Roman" w:hAnsi="Times New Roman"/>
          <w:sz w:val="24"/>
          <w:szCs w:val="24"/>
        </w:rPr>
        <w:t xml:space="preserve"> </w:t>
      </w:r>
      <w:r w:rsidR="004949B5" w:rsidRPr="00D86D09">
        <w:rPr>
          <w:rFonts w:ascii="Times New Roman" w:hAnsi="Times New Roman"/>
          <w:sz w:val="24"/>
          <w:szCs w:val="24"/>
        </w:rPr>
        <w:t>производа</w:t>
      </w:r>
      <w:r w:rsidRPr="00D86D09">
        <w:rPr>
          <w:rFonts w:ascii="Times New Roman" w:hAnsi="Times New Roman"/>
          <w:sz w:val="24"/>
          <w:szCs w:val="24"/>
        </w:rPr>
        <w:t xml:space="preserve"> </w:t>
      </w:r>
      <w:r w:rsidR="004949B5" w:rsidRPr="00D86D09">
        <w:rPr>
          <w:rFonts w:ascii="Times New Roman" w:hAnsi="Times New Roman"/>
          <w:sz w:val="24"/>
          <w:szCs w:val="24"/>
        </w:rPr>
        <w:t>који</w:t>
      </w:r>
      <w:r w:rsidRPr="00D86D09">
        <w:rPr>
          <w:rFonts w:ascii="Times New Roman" w:hAnsi="Times New Roman"/>
          <w:sz w:val="24"/>
          <w:szCs w:val="24"/>
        </w:rPr>
        <w:t xml:space="preserve"> </w:t>
      </w:r>
      <w:r w:rsidR="004949B5" w:rsidRPr="00D86D09">
        <w:rPr>
          <w:rFonts w:ascii="Times New Roman" w:hAnsi="Times New Roman"/>
          <w:sz w:val="24"/>
          <w:szCs w:val="24"/>
        </w:rPr>
        <w:t>су</w:t>
      </w:r>
      <w:r w:rsidRPr="00D86D09">
        <w:rPr>
          <w:rFonts w:ascii="Times New Roman" w:hAnsi="Times New Roman"/>
          <w:sz w:val="24"/>
          <w:szCs w:val="24"/>
        </w:rPr>
        <w:t xml:space="preserve"> </w:t>
      </w:r>
      <w:r w:rsidR="004949B5" w:rsidRPr="00D86D09">
        <w:rPr>
          <w:rFonts w:ascii="Times New Roman" w:hAnsi="Times New Roman"/>
          <w:sz w:val="24"/>
          <w:szCs w:val="24"/>
        </w:rPr>
        <w:t>одузети</w:t>
      </w:r>
      <w:r w:rsidRPr="00D86D09">
        <w:rPr>
          <w:rFonts w:ascii="Times New Roman" w:hAnsi="Times New Roman"/>
          <w:sz w:val="24"/>
          <w:szCs w:val="24"/>
        </w:rPr>
        <w:t xml:space="preserve"> </w:t>
      </w:r>
      <w:r w:rsidR="004949B5" w:rsidRPr="00D86D09">
        <w:rPr>
          <w:rFonts w:ascii="Times New Roman" w:hAnsi="Times New Roman"/>
          <w:sz w:val="24"/>
          <w:szCs w:val="24"/>
        </w:rPr>
        <w:t>у</w:t>
      </w:r>
      <w:r w:rsidRPr="00D86D09">
        <w:rPr>
          <w:rFonts w:ascii="Times New Roman" w:hAnsi="Times New Roman"/>
          <w:sz w:val="24"/>
          <w:szCs w:val="24"/>
        </w:rPr>
        <w:t xml:space="preserve"> </w:t>
      </w:r>
      <w:r w:rsidR="004949B5" w:rsidRPr="00D86D09">
        <w:rPr>
          <w:rFonts w:ascii="Times New Roman" w:hAnsi="Times New Roman"/>
          <w:sz w:val="24"/>
          <w:szCs w:val="24"/>
        </w:rPr>
        <w:t>поступку</w:t>
      </w:r>
      <w:r w:rsidRPr="00D86D09">
        <w:rPr>
          <w:rFonts w:ascii="Times New Roman" w:hAnsi="Times New Roman"/>
          <w:sz w:val="24"/>
          <w:szCs w:val="24"/>
        </w:rPr>
        <w:t xml:space="preserve"> </w:t>
      </w:r>
      <w:r w:rsidR="004949B5" w:rsidRPr="00D86D09">
        <w:rPr>
          <w:rFonts w:ascii="Times New Roman" w:hAnsi="Times New Roman"/>
          <w:sz w:val="24"/>
          <w:szCs w:val="24"/>
        </w:rPr>
        <w:t>контроле</w:t>
      </w:r>
      <w:r w:rsidRPr="00D86D09">
        <w:rPr>
          <w:rFonts w:ascii="Times New Roman" w:hAnsi="Times New Roman"/>
          <w:sz w:val="24"/>
          <w:szCs w:val="24"/>
        </w:rPr>
        <w:t xml:space="preserve">, </w:t>
      </w:r>
      <w:r w:rsidR="004949B5" w:rsidRPr="00D86D09">
        <w:rPr>
          <w:rFonts w:ascii="Times New Roman" w:hAnsi="Times New Roman"/>
          <w:sz w:val="24"/>
          <w:szCs w:val="24"/>
        </w:rPr>
        <w:t>односно</w:t>
      </w:r>
      <w:r w:rsidRPr="00D86D09">
        <w:rPr>
          <w:rFonts w:ascii="Times New Roman" w:hAnsi="Times New Roman"/>
          <w:sz w:val="24"/>
          <w:szCs w:val="24"/>
        </w:rPr>
        <w:t xml:space="preserve"> </w:t>
      </w:r>
      <w:r w:rsidR="004949B5" w:rsidRPr="00D86D09">
        <w:rPr>
          <w:rFonts w:ascii="Times New Roman" w:hAnsi="Times New Roman"/>
          <w:sz w:val="24"/>
          <w:szCs w:val="24"/>
        </w:rPr>
        <w:t>у</w:t>
      </w:r>
      <w:r w:rsidRPr="00D86D09">
        <w:rPr>
          <w:rFonts w:ascii="Times New Roman" w:hAnsi="Times New Roman"/>
          <w:sz w:val="24"/>
          <w:szCs w:val="24"/>
        </w:rPr>
        <w:t xml:space="preserve"> </w:t>
      </w:r>
      <w:r w:rsidR="004949B5" w:rsidRPr="00D86D09">
        <w:rPr>
          <w:rFonts w:ascii="Times New Roman" w:hAnsi="Times New Roman"/>
          <w:sz w:val="24"/>
          <w:szCs w:val="24"/>
        </w:rPr>
        <w:t>поступку</w:t>
      </w:r>
      <w:r w:rsidRPr="00D86D09">
        <w:rPr>
          <w:rFonts w:ascii="Times New Roman" w:hAnsi="Times New Roman"/>
          <w:sz w:val="24"/>
          <w:szCs w:val="24"/>
        </w:rPr>
        <w:t xml:space="preserve"> </w:t>
      </w:r>
      <w:r w:rsidR="004949B5" w:rsidRPr="00D86D09">
        <w:rPr>
          <w:rFonts w:ascii="Times New Roman" w:hAnsi="Times New Roman"/>
          <w:sz w:val="24"/>
          <w:szCs w:val="24"/>
        </w:rPr>
        <w:t>принудне</w:t>
      </w:r>
      <w:r w:rsidRPr="00D86D09">
        <w:rPr>
          <w:rFonts w:ascii="Times New Roman" w:hAnsi="Times New Roman"/>
          <w:sz w:val="24"/>
          <w:szCs w:val="24"/>
        </w:rPr>
        <w:t xml:space="preserve"> </w:t>
      </w:r>
      <w:r w:rsidR="004949B5" w:rsidRPr="00D86D09">
        <w:rPr>
          <w:rFonts w:ascii="Times New Roman" w:hAnsi="Times New Roman"/>
          <w:sz w:val="24"/>
          <w:szCs w:val="24"/>
        </w:rPr>
        <w:t>наплате</w:t>
      </w:r>
      <w:r w:rsidRPr="00D86D09">
        <w:rPr>
          <w:rFonts w:ascii="Times New Roman" w:hAnsi="Times New Roman"/>
          <w:sz w:val="24"/>
          <w:szCs w:val="24"/>
        </w:rPr>
        <w:t>.</w:t>
      </w:r>
      <w:r w:rsidR="00CB6483" w:rsidRPr="00D86D09">
        <w:rPr>
          <w:rStyle w:val="FootnoteReference"/>
          <w:rFonts w:ascii="Times New Roman" w:hAnsi="Times New Roman"/>
          <w:color w:val="000000"/>
          <w:sz w:val="24"/>
          <w:szCs w:val="24"/>
        </w:rPr>
        <w:footnoteReference w:id="540"/>
      </w:r>
    </w:p>
    <w:p w:rsidR="003431D7" w:rsidRPr="00541620" w:rsidRDefault="003431D7" w:rsidP="004949B5">
      <w:pPr>
        <w:pStyle w:val="normal0"/>
        <w:shd w:val="clear" w:color="auto" w:fill="FFFFFF"/>
        <w:spacing w:before="48" w:beforeAutospacing="0" w:after="48" w:afterAutospacing="0"/>
        <w:jc w:val="both"/>
        <w:rPr>
          <w:i/>
          <w:iCs/>
          <w:color w:val="000000"/>
        </w:rPr>
      </w:pPr>
    </w:p>
    <w:p w:rsidR="003400FD" w:rsidRPr="004949B5" w:rsidRDefault="00C208AF" w:rsidP="004949B5">
      <w:pPr>
        <w:ind w:firstLine="708"/>
        <w:jc w:val="center"/>
        <w:rPr>
          <w:rFonts w:ascii="Times New Roman" w:hAnsi="Times New Roman"/>
          <w:b/>
          <w:sz w:val="24"/>
          <w:szCs w:val="24"/>
          <w:lang w:val="sr-Cyrl-CS"/>
        </w:rPr>
      </w:pPr>
      <w:r>
        <w:rPr>
          <w:rFonts w:ascii="Times New Roman" w:hAnsi="Times New Roman"/>
          <w:b/>
          <w:sz w:val="24"/>
          <w:szCs w:val="24"/>
          <w:lang w:val="sr-Cyrl-CS"/>
        </w:rPr>
        <w:t>5.5</w:t>
      </w:r>
      <w:r w:rsidR="001830E1" w:rsidRPr="004949B5">
        <w:rPr>
          <w:rFonts w:ascii="Times New Roman" w:hAnsi="Times New Roman"/>
          <w:b/>
          <w:sz w:val="24"/>
          <w:szCs w:val="24"/>
          <w:lang w:val="sr-Cyrl-CS"/>
        </w:rPr>
        <w:t>.1.Предмет плаћања акциза</w:t>
      </w:r>
    </w:p>
    <w:p w:rsidR="006026E1" w:rsidRPr="004949B5" w:rsidRDefault="006026E1" w:rsidP="004949B5">
      <w:pPr>
        <w:ind w:firstLine="708"/>
        <w:jc w:val="both"/>
        <w:rPr>
          <w:rFonts w:ascii="Times New Roman" w:hAnsi="Times New Roman"/>
          <w:sz w:val="24"/>
          <w:szCs w:val="24"/>
          <w:lang w:val="sr-Cyrl-CS"/>
        </w:rPr>
      </w:pPr>
    </w:p>
    <w:p w:rsidR="003400FD" w:rsidRPr="004949B5" w:rsidRDefault="00635427" w:rsidP="004949B5">
      <w:pPr>
        <w:ind w:firstLine="708"/>
        <w:jc w:val="both"/>
        <w:rPr>
          <w:rFonts w:ascii="Times New Roman" w:hAnsi="Times New Roman"/>
          <w:sz w:val="24"/>
          <w:szCs w:val="24"/>
          <w:lang w:val="sr-Cyrl-CS"/>
        </w:rPr>
      </w:pPr>
      <w:r w:rsidRPr="004949B5">
        <w:rPr>
          <w:rFonts w:ascii="Times New Roman" w:hAnsi="Times New Roman"/>
          <w:sz w:val="24"/>
          <w:szCs w:val="24"/>
          <w:lang w:val="sr-Cyrl-CS"/>
        </w:rPr>
        <w:t>Према Закону о акцизама</w:t>
      </w:r>
      <w:r w:rsidRPr="004949B5">
        <w:rPr>
          <w:rStyle w:val="FootnoteReference"/>
          <w:rFonts w:ascii="Times New Roman" w:hAnsi="Times New Roman"/>
          <w:sz w:val="24"/>
          <w:szCs w:val="24"/>
          <w:lang w:val="sr-Cyrl-CS"/>
        </w:rPr>
        <w:footnoteReference w:id="541"/>
      </w:r>
      <w:r w:rsidRPr="004949B5">
        <w:rPr>
          <w:rFonts w:ascii="Times New Roman" w:hAnsi="Times New Roman"/>
          <w:sz w:val="24"/>
          <w:szCs w:val="24"/>
          <w:lang w:val="sr-Cyrl-CS"/>
        </w:rPr>
        <w:t xml:space="preserve"> </w:t>
      </w:r>
      <w:r w:rsidR="00CB6483" w:rsidRPr="004949B5">
        <w:rPr>
          <w:rFonts w:ascii="Times New Roman" w:hAnsi="Times New Roman"/>
          <w:sz w:val="24"/>
          <w:szCs w:val="24"/>
          <w:lang w:val="sr-Cyrl-CS"/>
        </w:rPr>
        <w:t xml:space="preserve">као предмет плаћања акциза </w:t>
      </w:r>
      <w:r w:rsidRPr="004949B5">
        <w:rPr>
          <w:rFonts w:ascii="Times New Roman" w:hAnsi="Times New Roman"/>
          <w:sz w:val="24"/>
          <w:szCs w:val="24"/>
          <w:lang w:val="sr-Cyrl-CS"/>
        </w:rPr>
        <w:t>опорезује се релитивно узак круг производа и то:</w:t>
      </w:r>
    </w:p>
    <w:p w:rsidR="00902178" w:rsidRPr="004949B5" w:rsidRDefault="00902178" w:rsidP="004949B5">
      <w:pPr>
        <w:pStyle w:val="normal0"/>
        <w:shd w:val="clear" w:color="auto" w:fill="FFFFFF"/>
        <w:spacing w:before="48" w:beforeAutospacing="0" w:after="48" w:afterAutospacing="0"/>
        <w:jc w:val="both"/>
        <w:rPr>
          <w:color w:val="000000"/>
        </w:rPr>
      </w:pPr>
      <w:r w:rsidRPr="004949B5">
        <w:rPr>
          <w:color w:val="000000"/>
        </w:rPr>
        <w:t xml:space="preserve">1) </w:t>
      </w:r>
      <w:r w:rsidR="004949B5" w:rsidRPr="004949B5">
        <w:rPr>
          <w:color w:val="000000"/>
        </w:rPr>
        <w:t>деривати</w:t>
      </w:r>
      <w:r w:rsidRPr="004949B5">
        <w:rPr>
          <w:color w:val="000000"/>
        </w:rPr>
        <w:t xml:space="preserve"> </w:t>
      </w:r>
      <w:r w:rsidR="004949B5" w:rsidRPr="004949B5">
        <w:rPr>
          <w:color w:val="000000"/>
        </w:rPr>
        <w:t>нафте</w:t>
      </w:r>
      <w:r w:rsidRPr="004949B5">
        <w:rPr>
          <w:color w:val="000000"/>
        </w:rPr>
        <w:t>;</w:t>
      </w:r>
    </w:p>
    <w:p w:rsidR="00902178" w:rsidRPr="004949B5" w:rsidRDefault="00902178" w:rsidP="004949B5">
      <w:pPr>
        <w:pStyle w:val="normal0"/>
        <w:shd w:val="clear" w:color="auto" w:fill="FFFFFF"/>
        <w:spacing w:before="48" w:beforeAutospacing="0" w:after="48" w:afterAutospacing="0"/>
        <w:jc w:val="both"/>
        <w:rPr>
          <w:color w:val="000000"/>
        </w:rPr>
      </w:pPr>
      <w:r w:rsidRPr="004949B5">
        <w:rPr>
          <w:color w:val="000000"/>
        </w:rPr>
        <w:t>1</w:t>
      </w:r>
      <w:r w:rsidR="004949B5" w:rsidRPr="004949B5">
        <w:rPr>
          <w:color w:val="000000"/>
        </w:rPr>
        <w:t>а</w:t>
      </w:r>
      <w:r w:rsidRPr="004949B5">
        <w:rPr>
          <w:color w:val="000000"/>
        </w:rPr>
        <w:t xml:space="preserve">) </w:t>
      </w:r>
      <w:r w:rsidR="004949B5" w:rsidRPr="004949B5">
        <w:rPr>
          <w:color w:val="000000"/>
        </w:rPr>
        <w:t>биогорива</w:t>
      </w:r>
      <w:r w:rsidRPr="004949B5">
        <w:rPr>
          <w:color w:val="000000"/>
        </w:rPr>
        <w:t xml:space="preserve"> </w:t>
      </w:r>
      <w:r w:rsidR="004949B5" w:rsidRPr="004949B5">
        <w:rPr>
          <w:color w:val="000000"/>
        </w:rPr>
        <w:t>и</w:t>
      </w:r>
      <w:r w:rsidRPr="004949B5">
        <w:rPr>
          <w:color w:val="000000"/>
        </w:rPr>
        <w:t xml:space="preserve"> </w:t>
      </w:r>
      <w:r w:rsidR="004949B5" w:rsidRPr="004949B5">
        <w:rPr>
          <w:color w:val="000000"/>
        </w:rPr>
        <w:t>биотечности</w:t>
      </w:r>
      <w:r w:rsidRPr="004949B5">
        <w:rPr>
          <w:color w:val="000000"/>
        </w:rPr>
        <w:t>;</w:t>
      </w:r>
    </w:p>
    <w:p w:rsidR="00902178" w:rsidRPr="004949B5" w:rsidRDefault="00902178" w:rsidP="004949B5">
      <w:pPr>
        <w:pStyle w:val="normal0"/>
        <w:shd w:val="clear" w:color="auto" w:fill="FFFFFF"/>
        <w:spacing w:before="48" w:beforeAutospacing="0" w:after="48" w:afterAutospacing="0"/>
        <w:jc w:val="both"/>
        <w:rPr>
          <w:color w:val="000000"/>
          <w:lang w:val="sr-Cyrl-CS"/>
        </w:rPr>
      </w:pPr>
      <w:r w:rsidRPr="004949B5">
        <w:rPr>
          <w:color w:val="000000"/>
        </w:rPr>
        <w:t xml:space="preserve">2) </w:t>
      </w:r>
      <w:r w:rsidR="004949B5" w:rsidRPr="004949B5">
        <w:rPr>
          <w:color w:val="000000"/>
        </w:rPr>
        <w:t>дуванске</w:t>
      </w:r>
      <w:r w:rsidRPr="004949B5">
        <w:rPr>
          <w:color w:val="000000"/>
        </w:rPr>
        <w:t xml:space="preserve"> </w:t>
      </w:r>
      <w:r w:rsidR="004949B5" w:rsidRPr="004949B5">
        <w:rPr>
          <w:color w:val="000000"/>
        </w:rPr>
        <w:t>прерађевине</w:t>
      </w:r>
      <w:r w:rsidRPr="004949B5">
        <w:rPr>
          <w:color w:val="000000"/>
        </w:rPr>
        <w:t>;</w:t>
      </w:r>
    </w:p>
    <w:p w:rsidR="00902178" w:rsidRPr="004949B5" w:rsidRDefault="00902178" w:rsidP="004949B5">
      <w:pPr>
        <w:pStyle w:val="normal0"/>
        <w:shd w:val="clear" w:color="auto" w:fill="FFFFFF"/>
        <w:spacing w:before="48" w:beforeAutospacing="0" w:after="48" w:afterAutospacing="0"/>
        <w:jc w:val="both"/>
        <w:rPr>
          <w:color w:val="000000"/>
          <w:lang w:val="sr-Cyrl-CS"/>
        </w:rPr>
      </w:pPr>
      <w:r w:rsidRPr="004949B5">
        <w:rPr>
          <w:color w:val="000000"/>
        </w:rPr>
        <w:t xml:space="preserve">4) </w:t>
      </w:r>
      <w:r w:rsidR="004949B5" w:rsidRPr="004949B5">
        <w:rPr>
          <w:color w:val="000000"/>
        </w:rPr>
        <w:t>алкохолна</w:t>
      </w:r>
      <w:r w:rsidRPr="004949B5">
        <w:rPr>
          <w:color w:val="000000"/>
        </w:rPr>
        <w:t xml:space="preserve"> </w:t>
      </w:r>
      <w:r w:rsidR="004949B5" w:rsidRPr="004949B5">
        <w:rPr>
          <w:color w:val="000000"/>
        </w:rPr>
        <w:t>пића</w:t>
      </w:r>
      <w:r w:rsidRPr="004949B5">
        <w:rPr>
          <w:color w:val="000000"/>
        </w:rPr>
        <w:t>;</w:t>
      </w:r>
    </w:p>
    <w:p w:rsidR="00902178" w:rsidRPr="004949B5" w:rsidRDefault="00902178" w:rsidP="004949B5">
      <w:pPr>
        <w:pStyle w:val="normal0"/>
        <w:shd w:val="clear" w:color="auto" w:fill="FFFFFF"/>
        <w:spacing w:before="48" w:beforeAutospacing="0" w:after="48" w:afterAutospacing="0"/>
        <w:jc w:val="both"/>
        <w:rPr>
          <w:color w:val="000000"/>
        </w:rPr>
      </w:pPr>
      <w:r w:rsidRPr="004949B5">
        <w:rPr>
          <w:color w:val="000000"/>
        </w:rPr>
        <w:t xml:space="preserve">6) </w:t>
      </w:r>
      <w:r w:rsidR="004949B5" w:rsidRPr="004949B5">
        <w:rPr>
          <w:color w:val="000000"/>
        </w:rPr>
        <w:t>кафа</w:t>
      </w:r>
      <w:r w:rsidRPr="004949B5">
        <w:rPr>
          <w:color w:val="000000"/>
        </w:rPr>
        <w:t>.</w:t>
      </w:r>
    </w:p>
    <w:p w:rsidR="0000795D" w:rsidRPr="004949B5" w:rsidRDefault="0000795D" w:rsidP="004949B5">
      <w:pPr>
        <w:pStyle w:val="normal0"/>
        <w:shd w:val="clear" w:color="auto" w:fill="FFFFFF"/>
        <w:spacing w:before="48" w:beforeAutospacing="0" w:after="48" w:afterAutospacing="0"/>
        <w:jc w:val="both"/>
        <w:rPr>
          <w:color w:val="000000"/>
          <w:lang w:val="sr-Cyrl-CS"/>
        </w:rPr>
      </w:pPr>
    </w:p>
    <w:p w:rsidR="00902178" w:rsidRPr="004949B5" w:rsidRDefault="00861C78" w:rsidP="004949B5">
      <w:pPr>
        <w:ind w:firstLine="708"/>
        <w:jc w:val="both"/>
        <w:rPr>
          <w:rFonts w:ascii="Times New Roman" w:hAnsi="Times New Roman"/>
          <w:sz w:val="24"/>
          <w:szCs w:val="24"/>
          <w:lang w:val="sr-Cyrl-CS"/>
        </w:rPr>
      </w:pPr>
      <w:r w:rsidRPr="004949B5">
        <w:rPr>
          <w:rFonts w:ascii="Times New Roman" w:hAnsi="Times New Roman"/>
          <w:sz w:val="24"/>
          <w:szCs w:val="24"/>
          <w:lang w:val="sr-Cyrl-CS"/>
        </w:rPr>
        <w:t xml:space="preserve"> Са</w:t>
      </w:r>
      <w:r w:rsidR="00902178" w:rsidRPr="004949B5">
        <w:rPr>
          <w:rFonts w:ascii="Times New Roman" w:hAnsi="Times New Roman"/>
          <w:sz w:val="24"/>
          <w:szCs w:val="24"/>
          <w:lang w:val="sr-Cyrl-CS"/>
        </w:rPr>
        <w:t xml:space="preserve"> изменама з</w:t>
      </w:r>
      <w:r w:rsidRPr="004949B5">
        <w:rPr>
          <w:rFonts w:ascii="Times New Roman" w:hAnsi="Times New Roman"/>
          <w:sz w:val="24"/>
          <w:szCs w:val="24"/>
          <w:lang w:val="sr-Cyrl-CS"/>
        </w:rPr>
        <w:t xml:space="preserve">акона овај круг производа је сужаван јер су </w:t>
      </w:r>
      <w:r w:rsidR="00902178" w:rsidRPr="004949B5">
        <w:rPr>
          <w:rFonts w:ascii="Times New Roman" w:hAnsi="Times New Roman"/>
          <w:sz w:val="24"/>
          <w:szCs w:val="24"/>
          <w:lang w:val="sr-Cyrl-CS"/>
        </w:rPr>
        <w:t xml:space="preserve">се акцизама </w:t>
      </w:r>
      <w:r w:rsidRPr="004949B5">
        <w:rPr>
          <w:rFonts w:ascii="Times New Roman" w:hAnsi="Times New Roman"/>
          <w:sz w:val="24"/>
          <w:szCs w:val="24"/>
          <w:lang w:val="sr-Cyrl-CS"/>
        </w:rPr>
        <w:t>раније опорезивали етил-алкохохол (етанол), освежавајућа безалкохолна пића,</w:t>
      </w:r>
      <w:r w:rsidRPr="004949B5">
        <w:rPr>
          <w:rStyle w:val="FootnoteReference"/>
          <w:rFonts w:ascii="Times New Roman" w:hAnsi="Times New Roman"/>
          <w:sz w:val="24"/>
          <w:szCs w:val="24"/>
          <w:lang w:val="sr-Cyrl-CS"/>
        </w:rPr>
        <w:footnoteReference w:id="542"/>
      </w:r>
      <w:r w:rsidRPr="004949B5">
        <w:rPr>
          <w:rFonts w:ascii="Times New Roman" w:hAnsi="Times New Roman"/>
          <w:sz w:val="24"/>
          <w:szCs w:val="24"/>
          <w:lang w:val="sr-Cyrl-CS"/>
        </w:rPr>
        <w:t xml:space="preserve"> со за исхрану и луксузни производи.</w:t>
      </w:r>
      <w:r w:rsidRPr="004949B5">
        <w:rPr>
          <w:rStyle w:val="FootnoteReference"/>
          <w:rFonts w:ascii="Times New Roman" w:hAnsi="Times New Roman"/>
          <w:sz w:val="24"/>
          <w:szCs w:val="24"/>
          <w:lang w:val="sr-Cyrl-CS"/>
        </w:rPr>
        <w:footnoteReference w:id="543"/>
      </w:r>
      <w:r w:rsidR="002C4D6F" w:rsidRPr="004949B5">
        <w:rPr>
          <w:rFonts w:ascii="Times New Roman" w:hAnsi="Times New Roman"/>
          <w:sz w:val="24"/>
          <w:szCs w:val="24"/>
          <w:lang w:val="sr-Cyrl-CS"/>
        </w:rPr>
        <w:t xml:space="preserve"> Према најновијим законским изменама акцизама се опорезују биогорива и биотечности, што раније није био случај. </w:t>
      </w:r>
      <w:r w:rsidR="00983CC3" w:rsidRPr="004949B5">
        <w:rPr>
          <w:rFonts w:ascii="Times New Roman" w:hAnsi="Times New Roman"/>
          <w:sz w:val="24"/>
          <w:szCs w:val="24"/>
          <w:lang w:val="sr-Cyrl-CS"/>
        </w:rPr>
        <w:t>Према томе, оно што је карактеристично за производе који се опорезују у домицилним условима јесте да се не ради о производима који су од значаја за животни стандард грађана.</w:t>
      </w:r>
    </w:p>
    <w:p w:rsidR="005E086E" w:rsidRPr="002319FB" w:rsidRDefault="00030814" w:rsidP="002319FB">
      <w:pPr>
        <w:ind w:firstLine="708"/>
        <w:jc w:val="both"/>
        <w:rPr>
          <w:rFonts w:ascii="Times New Roman" w:hAnsi="Times New Roman"/>
          <w:sz w:val="24"/>
          <w:szCs w:val="24"/>
          <w:lang w:val="sr-Cyrl-CS"/>
        </w:rPr>
      </w:pPr>
      <w:r>
        <w:rPr>
          <w:rFonts w:ascii="Times New Roman" w:hAnsi="Times New Roman"/>
          <w:sz w:val="24"/>
          <w:szCs w:val="24"/>
          <w:lang w:val="sr-Cyrl-CS"/>
        </w:rPr>
        <w:t>Акцизни производи</w:t>
      </w:r>
      <w:r w:rsidR="00983CC3" w:rsidRPr="004949B5">
        <w:rPr>
          <w:rFonts w:ascii="Times New Roman" w:hAnsi="Times New Roman"/>
          <w:sz w:val="24"/>
          <w:szCs w:val="24"/>
          <w:lang w:val="sr-Cyrl-CS"/>
        </w:rPr>
        <w:t xml:space="preserve"> два пута </w:t>
      </w:r>
      <w:r>
        <w:rPr>
          <w:rFonts w:ascii="Times New Roman" w:hAnsi="Times New Roman"/>
          <w:sz w:val="24"/>
          <w:szCs w:val="24"/>
          <w:lang w:val="sr-Cyrl-CS"/>
        </w:rPr>
        <w:t>подлежу опорезивању</w:t>
      </w:r>
      <w:r w:rsidR="00983CC3" w:rsidRPr="004949B5">
        <w:rPr>
          <w:rFonts w:ascii="Times New Roman" w:hAnsi="Times New Roman"/>
          <w:sz w:val="24"/>
          <w:szCs w:val="24"/>
          <w:lang w:val="sr-Cyrl-CS"/>
        </w:rPr>
        <w:t>, једном акцизом а други</w:t>
      </w:r>
      <w:r>
        <w:rPr>
          <w:rFonts w:ascii="Times New Roman" w:hAnsi="Times New Roman"/>
          <w:sz w:val="24"/>
          <w:szCs w:val="24"/>
          <w:lang w:val="sr-Cyrl-CS"/>
        </w:rPr>
        <w:t xml:space="preserve"> пут порезом на додату вредност. То је карактеристика акцизних производа који самим тим</w:t>
      </w:r>
      <w:r w:rsidR="00983CC3" w:rsidRPr="004949B5">
        <w:rPr>
          <w:rFonts w:ascii="Times New Roman" w:hAnsi="Times New Roman"/>
          <w:sz w:val="24"/>
          <w:szCs w:val="24"/>
          <w:lang w:val="sr-Cyrl-CS"/>
        </w:rPr>
        <w:t xml:space="preserve"> </w:t>
      </w:r>
      <w:r>
        <w:rPr>
          <w:rFonts w:ascii="Times New Roman" w:hAnsi="Times New Roman"/>
          <w:sz w:val="24"/>
          <w:szCs w:val="24"/>
          <w:lang w:val="sr-Cyrl-CS"/>
        </w:rPr>
        <w:t xml:space="preserve">имају значајан фискални потенцијал. Примарни циљ њиховог увођења и јесте </w:t>
      </w:r>
      <w:r w:rsidR="006026E1" w:rsidRPr="004949B5">
        <w:rPr>
          <w:rFonts w:ascii="Times New Roman" w:hAnsi="Times New Roman"/>
          <w:sz w:val="24"/>
          <w:szCs w:val="24"/>
          <w:lang w:val="sr-Cyrl-CS"/>
        </w:rPr>
        <w:t xml:space="preserve"> </w:t>
      </w:r>
      <w:r w:rsidRPr="004949B5">
        <w:rPr>
          <w:rFonts w:ascii="Times New Roman" w:hAnsi="Times New Roman"/>
          <w:sz w:val="24"/>
          <w:szCs w:val="24"/>
          <w:lang w:val="sr-Cyrl-CS"/>
        </w:rPr>
        <w:lastRenderedPageBreak/>
        <w:t>обезбеђивање издашних пореских прихода</w:t>
      </w:r>
      <w:r>
        <w:rPr>
          <w:rFonts w:ascii="Times New Roman" w:hAnsi="Times New Roman"/>
          <w:sz w:val="24"/>
          <w:szCs w:val="24"/>
          <w:lang w:val="sr-Cyrl-CS"/>
        </w:rPr>
        <w:t>. По својој природи акцизе су, дакле,  додатни порез на потрошњу</w:t>
      </w:r>
      <w:r w:rsidR="00983CC3" w:rsidRPr="004949B5">
        <w:rPr>
          <w:rFonts w:ascii="Times New Roman" w:hAnsi="Times New Roman"/>
          <w:sz w:val="24"/>
          <w:szCs w:val="24"/>
          <w:lang w:val="sr-Cyrl-CS"/>
        </w:rPr>
        <w:t>.</w:t>
      </w:r>
      <w:r w:rsidR="00983CC3" w:rsidRPr="004949B5">
        <w:rPr>
          <w:rStyle w:val="FootnoteReference"/>
          <w:rFonts w:ascii="Times New Roman" w:hAnsi="Times New Roman"/>
          <w:sz w:val="24"/>
          <w:szCs w:val="24"/>
          <w:lang w:val="sr-Cyrl-CS"/>
        </w:rPr>
        <w:footnoteReference w:id="544"/>
      </w:r>
    </w:p>
    <w:p w:rsidR="005E086E" w:rsidRDefault="005E086E" w:rsidP="004949B5">
      <w:pPr>
        <w:ind w:firstLine="708"/>
        <w:jc w:val="center"/>
        <w:rPr>
          <w:rFonts w:ascii="Times New Roman" w:hAnsi="Times New Roman"/>
          <w:b/>
          <w:sz w:val="24"/>
          <w:szCs w:val="24"/>
          <w:lang w:val="sr-Cyrl-CS"/>
        </w:rPr>
      </w:pPr>
    </w:p>
    <w:p w:rsidR="002D7718" w:rsidRPr="004949B5" w:rsidRDefault="00C208AF" w:rsidP="004949B5">
      <w:pPr>
        <w:ind w:firstLine="708"/>
        <w:jc w:val="center"/>
        <w:rPr>
          <w:rFonts w:ascii="Times New Roman" w:hAnsi="Times New Roman"/>
          <w:b/>
          <w:sz w:val="24"/>
          <w:szCs w:val="24"/>
          <w:lang w:val="sr-Cyrl-CS"/>
        </w:rPr>
      </w:pPr>
      <w:r>
        <w:rPr>
          <w:rFonts w:ascii="Times New Roman" w:hAnsi="Times New Roman"/>
          <w:b/>
          <w:sz w:val="24"/>
          <w:szCs w:val="24"/>
          <w:lang w:val="sr-Cyrl-CS"/>
        </w:rPr>
        <w:t>5.5</w:t>
      </w:r>
      <w:r w:rsidR="001830E1" w:rsidRPr="004949B5">
        <w:rPr>
          <w:rFonts w:ascii="Times New Roman" w:hAnsi="Times New Roman"/>
          <w:b/>
          <w:sz w:val="24"/>
          <w:szCs w:val="24"/>
          <w:lang w:val="sr-Cyrl-CS"/>
        </w:rPr>
        <w:t>.2.Порески обвезник</w:t>
      </w:r>
    </w:p>
    <w:p w:rsidR="006026E1" w:rsidRPr="004949B5" w:rsidRDefault="006026E1" w:rsidP="004949B5">
      <w:pPr>
        <w:pStyle w:val="normal0"/>
        <w:shd w:val="clear" w:color="auto" w:fill="FFFFFF"/>
        <w:spacing w:before="48" w:beforeAutospacing="0" w:after="48" w:afterAutospacing="0"/>
        <w:ind w:firstLine="708"/>
        <w:jc w:val="both"/>
        <w:rPr>
          <w:color w:val="000000"/>
          <w:lang w:val="sr-Cyrl-CS"/>
        </w:rPr>
      </w:pPr>
    </w:p>
    <w:p w:rsidR="002D7718" w:rsidRPr="00D86D09" w:rsidRDefault="004949B5" w:rsidP="00D86D09">
      <w:pPr>
        <w:ind w:firstLine="708"/>
        <w:jc w:val="both"/>
        <w:rPr>
          <w:rFonts w:ascii="Times New Roman" w:hAnsi="Times New Roman"/>
          <w:sz w:val="24"/>
          <w:szCs w:val="24"/>
          <w:lang w:val="sr-Cyrl-CS"/>
        </w:rPr>
      </w:pPr>
      <w:r w:rsidRPr="00D86D09">
        <w:rPr>
          <w:rFonts w:ascii="Times New Roman" w:hAnsi="Times New Roman"/>
          <w:sz w:val="24"/>
          <w:szCs w:val="24"/>
        </w:rPr>
        <w:t>Обвезник</w:t>
      </w:r>
      <w:r w:rsidR="002D7718" w:rsidRPr="00D86D09">
        <w:rPr>
          <w:rFonts w:ascii="Times New Roman" w:hAnsi="Times New Roman"/>
          <w:sz w:val="24"/>
          <w:szCs w:val="24"/>
        </w:rPr>
        <w:t xml:space="preserve"> </w:t>
      </w:r>
      <w:r w:rsidRPr="00D86D09">
        <w:rPr>
          <w:rFonts w:ascii="Times New Roman" w:hAnsi="Times New Roman"/>
          <w:sz w:val="24"/>
          <w:szCs w:val="24"/>
        </w:rPr>
        <w:t>акцизе</w:t>
      </w:r>
      <w:r w:rsidR="002D7718" w:rsidRPr="00D86D09">
        <w:rPr>
          <w:rFonts w:ascii="Times New Roman" w:hAnsi="Times New Roman"/>
          <w:sz w:val="24"/>
          <w:szCs w:val="24"/>
        </w:rPr>
        <w:t xml:space="preserve"> </w:t>
      </w:r>
      <w:r w:rsidRPr="00D86D09">
        <w:rPr>
          <w:rFonts w:ascii="Times New Roman" w:hAnsi="Times New Roman"/>
          <w:sz w:val="24"/>
          <w:szCs w:val="24"/>
        </w:rPr>
        <w:t>је</w:t>
      </w:r>
      <w:r w:rsidR="002D7718" w:rsidRPr="00D86D09">
        <w:rPr>
          <w:rFonts w:ascii="Times New Roman" w:hAnsi="Times New Roman"/>
          <w:sz w:val="24"/>
          <w:szCs w:val="24"/>
        </w:rPr>
        <w:t xml:space="preserve"> </w:t>
      </w:r>
      <w:r w:rsidRPr="00D86D09">
        <w:rPr>
          <w:rFonts w:ascii="Times New Roman" w:hAnsi="Times New Roman"/>
          <w:sz w:val="24"/>
          <w:szCs w:val="24"/>
        </w:rPr>
        <w:t>произвођач</w:t>
      </w:r>
      <w:r w:rsidR="002D7718" w:rsidRPr="00D86D09">
        <w:rPr>
          <w:rFonts w:ascii="Times New Roman" w:hAnsi="Times New Roman"/>
          <w:sz w:val="24"/>
          <w:szCs w:val="24"/>
        </w:rPr>
        <w:t xml:space="preserve">, </w:t>
      </w:r>
      <w:r w:rsidRPr="00D86D09">
        <w:rPr>
          <w:rFonts w:ascii="Times New Roman" w:hAnsi="Times New Roman"/>
          <w:sz w:val="24"/>
          <w:szCs w:val="24"/>
        </w:rPr>
        <w:t>односно</w:t>
      </w:r>
      <w:r w:rsidR="002D7718" w:rsidRPr="00D86D09">
        <w:rPr>
          <w:rFonts w:ascii="Times New Roman" w:hAnsi="Times New Roman"/>
          <w:sz w:val="24"/>
          <w:szCs w:val="24"/>
        </w:rPr>
        <w:t xml:space="preserve"> </w:t>
      </w:r>
      <w:r w:rsidRPr="00D86D09">
        <w:rPr>
          <w:rFonts w:ascii="Times New Roman" w:hAnsi="Times New Roman"/>
          <w:sz w:val="24"/>
          <w:szCs w:val="24"/>
        </w:rPr>
        <w:t>увозник</w:t>
      </w:r>
      <w:r w:rsidR="002D7718" w:rsidRPr="00D86D09">
        <w:rPr>
          <w:rFonts w:ascii="Times New Roman" w:hAnsi="Times New Roman"/>
          <w:sz w:val="24"/>
          <w:szCs w:val="24"/>
        </w:rPr>
        <w:t xml:space="preserve"> </w:t>
      </w:r>
      <w:r w:rsidRPr="00D86D09">
        <w:rPr>
          <w:rFonts w:ascii="Times New Roman" w:hAnsi="Times New Roman"/>
          <w:sz w:val="24"/>
          <w:szCs w:val="24"/>
        </w:rPr>
        <w:t>акцизних</w:t>
      </w:r>
      <w:r w:rsidR="002D7718" w:rsidRPr="00D86D09">
        <w:rPr>
          <w:rFonts w:ascii="Times New Roman" w:hAnsi="Times New Roman"/>
          <w:sz w:val="24"/>
          <w:szCs w:val="24"/>
        </w:rPr>
        <w:t xml:space="preserve"> </w:t>
      </w:r>
      <w:r w:rsidRPr="00D86D09">
        <w:rPr>
          <w:rFonts w:ascii="Times New Roman" w:hAnsi="Times New Roman"/>
          <w:sz w:val="24"/>
          <w:szCs w:val="24"/>
        </w:rPr>
        <w:t>производа</w:t>
      </w:r>
      <w:r w:rsidR="002D7718" w:rsidRPr="00D86D09">
        <w:rPr>
          <w:rFonts w:ascii="Times New Roman" w:hAnsi="Times New Roman"/>
          <w:sz w:val="24"/>
          <w:szCs w:val="24"/>
        </w:rPr>
        <w:t>.</w:t>
      </w:r>
      <w:r w:rsidR="006026E1" w:rsidRPr="00D86D09">
        <w:rPr>
          <w:rFonts w:ascii="Times New Roman" w:hAnsi="Times New Roman"/>
          <w:sz w:val="24"/>
          <w:szCs w:val="24"/>
          <w:lang w:val="sr-Cyrl-CS"/>
        </w:rPr>
        <w:t xml:space="preserve"> </w:t>
      </w:r>
      <w:r w:rsidRPr="00D86D09">
        <w:rPr>
          <w:rFonts w:ascii="Times New Roman" w:hAnsi="Times New Roman"/>
          <w:sz w:val="24"/>
          <w:szCs w:val="24"/>
        </w:rPr>
        <w:t>Обвезник</w:t>
      </w:r>
      <w:r w:rsidR="002D7718" w:rsidRPr="00D86D09">
        <w:rPr>
          <w:rFonts w:ascii="Times New Roman" w:hAnsi="Times New Roman"/>
          <w:sz w:val="24"/>
          <w:szCs w:val="24"/>
        </w:rPr>
        <w:t xml:space="preserve"> </w:t>
      </w:r>
      <w:r w:rsidRPr="00D86D09">
        <w:rPr>
          <w:rFonts w:ascii="Times New Roman" w:hAnsi="Times New Roman"/>
          <w:sz w:val="24"/>
          <w:szCs w:val="24"/>
        </w:rPr>
        <w:t>акцизе</w:t>
      </w:r>
      <w:r w:rsidR="002D7718" w:rsidRPr="00D86D09">
        <w:rPr>
          <w:rFonts w:ascii="Times New Roman" w:hAnsi="Times New Roman"/>
          <w:sz w:val="24"/>
          <w:szCs w:val="24"/>
        </w:rPr>
        <w:t xml:space="preserve"> </w:t>
      </w:r>
      <w:r w:rsidRPr="00D86D09">
        <w:rPr>
          <w:rFonts w:ascii="Times New Roman" w:hAnsi="Times New Roman"/>
          <w:sz w:val="24"/>
          <w:szCs w:val="24"/>
        </w:rPr>
        <w:t>је</w:t>
      </w:r>
      <w:r w:rsidR="002D7718" w:rsidRPr="00D86D09">
        <w:rPr>
          <w:rFonts w:ascii="Times New Roman" w:hAnsi="Times New Roman"/>
          <w:sz w:val="24"/>
          <w:szCs w:val="24"/>
        </w:rPr>
        <w:t xml:space="preserve"> </w:t>
      </w:r>
      <w:r w:rsidRPr="00D86D09">
        <w:rPr>
          <w:rFonts w:ascii="Times New Roman" w:hAnsi="Times New Roman"/>
          <w:sz w:val="24"/>
          <w:szCs w:val="24"/>
        </w:rPr>
        <w:t>и</w:t>
      </w:r>
      <w:r w:rsidR="002D7718" w:rsidRPr="00D86D09">
        <w:rPr>
          <w:rFonts w:ascii="Times New Roman" w:hAnsi="Times New Roman"/>
          <w:sz w:val="24"/>
          <w:szCs w:val="24"/>
        </w:rPr>
        <w:t>:</w:t>
      </w:r>
    </w:p>
    <w:p w:rsidR="002D7718" w:rsidRPr="00D86D09" w:rsidRDefault="006026E1" w:rsidP="00D86D09">
      <w:pPr>
        <w:jc w:val="both"/>
        <w:rPr>
          <w:rFonts w:ascii="Times New Roman" w:hAnsi="Times New Roman"/>
          <w:sz w:val="24"/>
          <w:szCs w:val="24"/>
        </w:rPr>
      </w:pPr>
      <w:r w:rsidRPr="00D86D09">
        <w:rPr>
          <w:rFonts w:ascii="Times New Roman" w:hAnsi="Times New Roman"/>
          <w:sz w:val="24"/>
          <w:szCs w:val="24"/>
          <w:lang w:val="sr-Cyrl-CS"/>
        </w:rPr>
        <w:t>-</w:t>
      </w:r>
      <w:r w:rsidR="004949B5" w:rsidRPr="00D86D09">
        <w:rPr>
          <w:rFonts w:ascii="Times New Roman" w:hAnsi="Times New Roman"/>
          <w:sz w:val="24"/>
          <w:szCs w:val="24"/>
        </w:rPr>
        <w:t>правно</w:t>
      </w:r>
      <w:r w:rsidR="002D7718" w:rsidRPr="00D86D09">
        <w:rPr>
          <w:rFonts w:ascii="Times New Roman" w:hAnsi="Times New Roman"/>
          <w:sz w:val="24"/>
          <w:szCs w:val="24"/>
        </w:rPr>
        <w:t xml:space="preserve"> </w:t>
      </w:r>
      <w:r w:rsidR="004949B5" w:rsidRPr="00D86D09">
        <w:rPr>
          <w:rFonts w:ascii="Times New Roman" w:hAnsi="Times New Roman"/>
          <w:sz w:val="24"/>
          <w:szCs w:val="24"/>
        </w:rPr>
        <w:t>лице</w:t>
      </w:r>
      <w:r w:rsidR="002D7718" w:rsidRPr="00D86D09">
        <w:rPr>
          <w:rFonts w:ascii="Times New Roman" w:hAnsi="Times New Roman"/>
          <w:sz w:val="24"/>
          <w:szCs w:val="24"/>
        </w:rPr>
        <w:t xml:space="preserve"> </w:t>
      </w:r>
      <w:r w:rsidR="004949B5" w:rsidRPr="00D86D09">
        <w:rPr>
          <w:rFonts w:ascii="Times New Roman" w:hAnsi="Times New Roman"/>
          <w:sz w:val="24"/>
          <w:szCs w:val="24"/>
        </w:rPr>
        <w:t>које</w:t>
      </w:r>
      <w:r w:rsidR="002D7718" w:rsidRPr="00D86D09">
        <w:rPr>
          <w:rFonts w:ascii="Times New Roman" w:hAnsi="Times New Roman"/>
          <w:sz w:val="24"/>
          <w:szCs w:val="24"/>
        </w:rPr>
        <w:t xml:space="preserve"> </w:t>
      </w:r>
      <w:r w:rsidR="004949B5" w:rsidRPr="00D86D09">
        <w:rPr>
          <w:rFonts w:ascii="Times New Roman" w:hAnsi="Times New Roman"/>
          <w:sz w:val="24"/>
          <w:szCs w:val="24"/>
        </w:rPr>
        <w:t>је</w:t>
      </w:r>
      <w:r w:rsidR="002D7718" w:rsidRPr="00D86D09">
        <w:rPr>
          <w:rFonts w:ascii="Times New Roman" w:hAnsi="Times New Roman"/>
          <w:sz w:val="24"/>
          <w:szCs w:val="24"/>
        </w:rPr>
        <w:t xml:space="preserve"> </w:t>
      </w:r>
      <w:r w:rsidR="004949B5" w:rsidRPr="00D86D09">
        <w:rPr>
          <w:rFonts w:ascii="Times New Roman" w:hAnsi="Times New Roman"/>
          <w:sz w:val="24"/>
          <w:szCs w:val="24"/>
        </w:rPr>
        <w:t>овлашћено</w:t>
      </w:r>
      <w:r w:rsidR="002D7718" w:rsidRPr="00D86D09">
        <w:rPr>
          <w:rFonts w:ascii="Times New Roman" w:hAnsi="Times New Roman"/>
          <w:sz w:val="24"/>
          <w:szCs w:val="24"/>
        </w:rPr>
        <w:t xml:space="preserve"> </w:t>
      </w:r>
      <w:r w:rsidR="004949B5" w:rsidRPr="00D86D09">
        <w:rPr>
          <w:rFonts w:ascii="Times New Roman" w:hAnsi="Times New Roman"/>
          <w:sz w:val="24"/>
          <w:szCs w:val="24"/>
        </w:rPr>
        <w:t>од</w:t>
      </w:r>
      <w:r w:rsidR="002D7718" w:rsidRPr="00D86D09">
        <w:rPr>
          <w:rFonts w:ascii="Times New Roman" w:hAnsi="Times New Roman"/>
          <w:sz w:val="24"/>
          <w:szCs w:val="24"/>
        </w:rPr>
        <w:t xml:space="preserve"> </w:t>
      </w:r>
      <w:r w:rsidR="004949B5" w:rsidRPr="00D86D09">
        <w:rPr>
          <w:rFonts w:ascii="Times New Roman" w:hAnsi="Times New Roman"/>
          <w:sz w:val="24"/>
          <w:szCs w:val="24"/>
        </w:rPr>
        <w:t>стране</w:t>
      </w:r>
      <w:r w:rsidR="002D7718" w:rsidRPr="00D86D09">
        <w:rPr>
          <w:rFonts w:ascii="Times New Roman" w:hAnsi="Times New Roman"/>
          <w:sz w:val="24"/>
          <w:szCs w:val="24"/>
        </w:rPr>
        <w:t xml:space="preserve"> </w:t>
      </w:r>
      <w:r w:rsidR="004949B5" w:rsidRPr="00D86D09">
        <w:rPr>
          <w:rFonts w:ascii="Times New Roman" w:hAnsi="Times New Roman"/>
          <w:sz w:val="24"/>
          <w:szCs w:val="24"/>
        </w:rPr>
        <w:t>државног</w:t>
      </w:r>
      <w:r w:rsidR="002D7718" w:rsidRPr="00D86D09">
        <w:rPr>
          <w:rFonts w:ascii="Times New Roman" w:hAnsi="Times New Roman"/>
          <w:sz w:val="24"/>
          <w:szCs w:val="24"/>
        </w:rPr>
        <w:t xml:space="preserve"> </w:t>
      </w:r>
      <w:r w:rsidR="004949B5" w:rsidRPr="00D86D09">
        <w:rPr>
          <w:rFonts w:ascii="Times New Roman" w:hAnsi="Times New Roman"/>
          <w:sz w:val="24"/>
          <w:szCs w:val="24"/>
        </w:rPr>
        <w:t>органа</w:t>
      </w:r>
      <w:r w:rsidR="002D7718" w:rsidRPr="00D86D09">
        <w:rPr>
          <w:rFonts w:ascii="Times New Roman" w:hAnsi="Times New Roman"/>
          <w:sz w:val="24"/>
          <w:szCs w:val="24"/>
        </w:rPr>
        <w:t xml:space="preserve"> </w:t>
      </w:r>
      <w:r w:rsidR="004949B5" w:rsidRPr="00D86D09">
        <w:rPr>
          <w:rFonts w:ascii="Times New Roman" w:hAnsi="Times New Roman"/>
          <w:sz w:val="24"/>
          <w:szCs w:val="24"/>
        </w:rPr>
        <w:t>за</w:t>
      </w:r>
      <w:r w:rsidR="002D7718" w:rsidRPr="00D86D09">
        <w:rPr>
          <w:rFonts w:ascii="Times New Roman" w:hAnsi="Times New Roman"/>
          <w:sz w:val="24"/>
          <w:szCs w:val="24"/>
        </w:rPr>
        <w:t xml:space="preserve"> </w:t>
      </w:r>
      <w:r w:rsidR="004949B5" w:rsidRPr="00D86D09">
        <w:rPr>
          <w:rFonts w:ascii="Times New Roman" w:hAnsi="Times New Roman"/>
          <w:sz w:val="24"/>
          <w:szCs w:val="24"/>
        </w:rPr>
        <w:t>продају</w:t>
      </w:r>
      <w:r w:rsidR="002D7718" w:rsidRPr="00D86D09">
        <w:rPr>
          <w:rFonts w:ascii="Times New Roman" w:hAnsi="Times New Roman"/>
          <w:sz w:val="24"/>
          <w:szCs w:val="24"/>
        </w:rPr>
        <w:t xml:space="preserve"> </w:t>
      </w:r>
      <w:r w:rsidR="004949B5" w:rsidRPr="00D86D09">
        <w:rPr>
          <w:rFonts w:ascii="Times New Roman" w:hAnsi="Times New Roman"/>
          <w:sz w:val="24"/>
          <w:szCs w:val="24"/>
        </w:rPr>
        <w:t>заплењених</w:t>
      </w:r>
      <w:r w:rsidR="002D7718" w:rsidRPr="00D86D09">
        <w:rPr>
          <w:rFonts w:ascii="Times New Roman" w:hAnsi="Times New Roman"/>
          <w:sz w:val="24"/>
          <w:szCs w:val="24"/>
        </w:rPr>
        <w:t xml:space="preserve"> </w:t>
      </w:r>
      <w:r w:rsidR="004949B5" w:rsidRPr="00D86D09">
        <w:rPr>
          <w:rFonts w:ascii="Times New Roman" w:hAnsi="Times New Roman"/>
          <w:sz w:val="24"/>
          <w:szCs w:val="24"/>
        </w:rPr>
        <w:t>акцизних</w:t>
      </w:r>
      <w:r w:rsidR="002D7718" w:rsidRPr="00D86D09">
        <w:rPr>
          <w:rFonts w:ascii="Times New Roman" w:hAnsi="Times New Roman"/>
          <w:sz w:val="24"/>
          <w:szCs w:val="24"/>
        </w:rPr>
        <w:t xml:space="preserve"> </w:t>
      </w:r>
      <w:r w:rsidR="004949B5" w:rsidRPr="00D86D09">
        <w:rPr>
          <w:rFonts w:ascii="Times New Roman" w:hAnsi="Times New Roman"/>
          <w:sz w:val="24"/>
          <w:szCs w:val="24"/>
        </w:rPr>
        <w:t>производа</w:t>
      </w:r>
      <w:r w:rsidR="002D7718" w:rsidRPr="00D86D09">
        <w:rPr>
          <w:rFonts w:ascii="Times New Roman" w:hAnsi="Times New Roman"/>
          <w:sz w:val="24"/>
          <w:szCs w:val="24"/>
        </w:rPr>
        <w:t>;</w:t>
      </w:r>
    </w:p>
    <w:p w:rsidR="002D7718" w:rsidRPr="00D86D09" w:rsidRDefault="006026E1" w:rsidP="00D86D09">
      <w:pPr>
        <w:jc w:val="both"/>
        <w:rPr>
          <w:rFonts w:ascii="Times New Roman" w:hAnsi="Times New Roman"/>
          <w:sz w:val="24"/>
          <w:szCs w:val="24"/>
        </w:rPr>
      </w:pPr>
      <w:r w:rsidRPr="00D86D09">
        <w:rPr>
          <w:rFonts w:ascii="Times New Roman" w:hAnsi="Times New Roman"/>
          <w:sz w:val="24"/>
          <w:szCs w:val="24"/>
          <w:lang w:val="sr-Cyrl-CS"/>
        </w:rPr>
        <w:t>-</w:t>
      </w:r>
      <w:r w:rsidR="004949B5" w:rsidRPr="00D86D09">
        <w:rPr>
          <w:rFonts w:ascii="Times New Roman" w:hAnsi="Times New Roman"/>
          <w:sz w:val="24"/>
          <w:szCs w:val="24"/>
        </w:rPr>
        <w:t>купац</w:t>
      </w:r>
      <w:r w:rsidR="002D7718" w:rsidRPr="00D86D09">
        <w:rPr>
          <w:rFonts w:ascii="Times New Roman" w:hAnsi="Times New Roman"/>
          <w:sz w:val="24"/>
          <w:szCs w:val="24"/>
        </w:rPr>
        <w:t xml:space="preserve"> </w:t>
      </w:r>
      <w:r w:rsidR="004949B5" w:rsidRPr="00D86D09">
        <w:rPr>
          <w:rFonts w:ascii="Times New Roman" w:hAnsi="Times New Roman"/>
          <w:sz w:val="24"/>
          <w:szCs w:val="24"/>
        </w:rPr>
        <w:t>акцизних</w:t>
      </w:r>
      <w:r w:rsidR="002D7718" w:rsidRPr="00D86D09">
        <w:rPr>
          <w:rFonts w:ascii="Times New Roman" w:hAnsi="Times New Roman"/>
          <w:sz w:val="24"/>
          <w:szCs w:val="24"/>
        </w:rPr>
        <w:t xml:space="preserve"> </w:t>
      </w:r>
      <w:r w:rsidR="004949B5" w:rsidRPr="00D86D09">
        <w:rPr>
          <w:rFonts w:ascii="Times New Roman" w:hAnsi="Times New Roman"/>
          <w:sz w:val="24"/>
          <w:szCs w:val="24"/>
        </w:rPr>
        <w:t>производа</w:t>
      </w:r>
      <w:r w:rsidR="002D7718" w:rsidRPr="00D86D09">
        <w:rPr>
          <w:rFonts w:ascii="Times New Roman" w:hAnsi="Times New Roman"/>
          <w:sz w:val="24"/>
          <w:szCs w:val="24"/>
        </w:rPr>
        <w:t xml:space="preserve"> </w:t>
      </w:r>
      <w:r w:rsidR="004949B5" w:rsidRPr="00D86D09">
        <w:rPr>
          <w:rFonts w:ascii="Times New Roman" w:hAnsi="Times New Roman"/>
          <w:sz w:val="24"/>
          <w:szCs w:val="24"/>
        </w:rPr>
        <w:t>одузетих</w:t>
      </w:r>
      <w:r w:rsidR="002D7718" w:rsidRPr="00D86D09">
        <w:rPr>
          <w:rFonts w:ascii="Times New Roman" w:hAnsi="Times New Roman"/>
          <w:sz w:val="24"/>
          <w:szCs w:val="24"/>
        </w:rPr>
        <w:t xml:space="preserve"> </w:t>
      </w:r>
      <w:r w:rsidR="004949B5" w:rsidRPr="00D86D09">
        <w:rPr>
          <w:rFonts w:ascii="Times New Roman" w:hAnsi="Times New Roman"/>
          <w:sz w:val="24"/>
          <w:szCs w:val="24"/>
        </w:rPr>
        <w:t>у</w:t>
      </w:r>
      <w:r w:rsidR="002D7718" w:rsidRPr="00D86D09">
        <w:rPr>
          <w:rFonts w:ascii="Times New Roman" w:hAnsi="Times New Roman"/>
          <w:sz w:val="24"/>
          <w:szCs w:val="24"/>
        </w:rPr>
        <w:t xml:space="preserve"> </w:t>
      </w:r>
      <w:r w:rsidR="004949B5" w:rsidRPr="00D86D09">
        <w:rPr>
          <w:rFonts w:ascii="Times New Roman" w:hAnsi="Times New Roman"/>
          <w:sz w:val="24"/>
          <w:szCs w:val="24"/>
        </w:rPr>
        <w:t>поступку</w:t>
      </w:r>
      <w:r w:rsidR="002D7718" w:rsidRPr="00D86D09">
        <w:rPr>
          <w:rFonts w:ascii="Times New Roman" w:hAnsi="Times New Roman"/>
          <w:sz w:val="24"/>
          <w:szCs w:val="24"/>
        </w:rPr>
        <w:t xml:space="preserve"> </w:t>
      </w:r>
      <w:r w:rsidR="004949B5" w:rsidRPr="00D86D09">
        <w:rPr>
          <w:rFonts w:ascii="Times New Roman" w:hAnsi="Times New Roman"/>
          <w:sz w:val="24"/>
          <w:szCs w:val="24"/>
        </w:rPr>
        <w:t>контроле</w:t>
      </w:r>
      <w:r w:rsidR="002D7718" w:rsidRPr="00D86D09">
        <w:rPr>
          <w:rFonts w:ascii="Times New Roman" w:hAnsi="Times New Roman"/>
          <w:sz w:val="24"/>
          <w:szCs w:val="24"/>
        </w:rPr>
        <w:t xml:space="preserve">, </w:t>
      </w:r>
      <w:r w:rsidR="004949B5" w:rsidRPr="00D86D09">
        <w:rPr>
          <w:rFonts w:ascii="Times New Roman" w:hAnsi="Times New Roman"/>
          <w:sz w:val="24"/>
          <w:szCs w:val="24"/>
        </w:rPr>
        <w:t>односно</w:t>
      </w:r>
      <w:r w:rsidR="002D7718" w:rsidRPr="00D86D09">
        <w:rPr>
          <w:rFonts w:ascii="Times New Roman" w:hAnsi="Times New Roman"/>
          <w:sz w:val="24"/>
          <w:szCs w:val="24"/>
        </w:rPr>
        <w:t xml:space="preserve"> </w:t>
      </w:r>
      <w:r w:rsidR="004949B5" w:rsidRPr="00D86D09">
        <w:rPr>
          <w:rFonts w:ascii="Times New Roman" w:hAnsi="Times New Roman"/>
          <w:sz w:val="24"/>
          <w:szCs w:val="24"/>
        </w:rPr>
        <w:t>у</w:t>
      </w:r>
      <w:r w:rsidR="002D7718" w:rsidRPr="00D86D09">
        <w:rPr>
          <w:rFonts w:ascii="Times New Roman" w:hAnsi="Times New Roman"/>
          <w:sz w:val="24"/>
          <w:szCs w:val="24"/>
        </w:rPr>
        <w:t xml:space="preserve"> </w:t>
      </w:r>
      <w:r w:rsidR="004949B5" w:rsidRPr="00D86D09">
        <w:rPr>
          <w:rFonts w:ascii="Times New Roman" w:hAnsi="Times New Roman"/>
          <w:sz w:val="24"/>
          <w:szCs w:val="24"/>
        </w:rPr>
        <w:t>поступку</w:t>
      </w:r>
      <w:r w:rsidR="002D7718" w:rsidRPr="00D86D09">
        <w:rPr>
          <w:rFonts w:ascii="Times New Roman" w:hAnsi="Times New Roman"/>
          <w:sz w:val="24"/>
          <w:szCs w:val="24"/>
        </w:rPr>
        <w:t xml:space="preserve"> </w:t>
      </w:r>
      <w:r w:rsidR="004949B5" w:rsidRPr="00D86D09">
        <w:rPr>
          <w:rFonts w:ascii="Times New Roman" w:hAnsi="Times New Roman"/>
          <w:sz w:val="24"/>
          <w:szCs w:val="24"/>
        </w:rPr>
        <w:t>принудне</w:t>
      </w:r>
      <w:r w:rsidR="002D7718" w:rsidRPr="00D86D09">
        <w:rPr>
          <w:rFonts w:ascii="Times New Roman" w:hAnsi="Times New Roman"/>
          <w:sz w:val="24"/>
          <w:szCs w:val="24"/>
        </w:rPr>
        <w:t xml:space="preserve"> </w:t>
      </w:r>
      <w:r w:rsidR="004949B5" w:rsidRPr="00D86D09">
        <w:rPr>
          <w:rFonts w:ascii="Times New Roman" w:hAnsi="Times New Roman"/>
          <w:sz w:val="24"/>
          <w:szCs w:val="24"/>
        </w:rPr>
        <w:t>наплате</w:t>
      </w:r>
      <w:r w:rsidR="002D7718" w:rsidRPr="00D86D09">
        <w:rPr>
          <w:rFonts w:ascii="Times New Roman" w:hAnsi="Times New Roman"/>
          <w:sz w:val="24"/>
          <w:szCs w:val="24"/>
        </w:rPr>
        <w:t xml:space="preserve">, </w:t>
      </w:r>
      <w:r w:rsidR="004949B5" w:rsidRPr="00D86D09">
        <w:rPr>
          <w:rFonts w:ascii="Times New Roman" w:hAnsi="Times New Roman"/>
          <w:sz w:val="24"/>
          <w:szCs w:val="24"/>
        </w:rPr>
        <w:t>а</w:t>
      </w:r>
      <w:r w:rsidR="002D7718" w:rsidRPr="00D86D09">
        <w:rPr>
          <w:rFonts w:ascii="Times New Roman" w:hAnsi="Times New Roman"/>
          <w:sz w:val="24"/>
          <w:szCs w:val="24"/>
        </w:rPr>
        <w:t xml:space="preserve"> </w:t>
      </w:r>
      <w:r w:rsidR="004949B5" w:rsidRPr="00D86D09">
        <w:rPr>
          <w:rFonts w:ascii="Times New Roman" w:hAnsi="Times New Roman"/>
          <w:sz w:val="24"/>
          <w:szCs w:val="24"/>
        </w:rPr>
        <w:t>које</w:t>
      </w:r>
      <w:r w:rsidR="002D7718" w:rsidRPr="00D86D09">
        <w:rPr>
          <w:rFonts w:ascii="Times New Roman" w:hAnsi="Times New Roman"/>
          <w:sz w:val="24"/>
          <w:szCs w:val="24"/>
        </w:rPr>
        <w:t xml:space="preserve"> </w:t>
      </w:r>
      <w:r w:rsidR="004949B5" w:rsidRPr="00D86D09">
        <w:rPr>
          <w:rFonts w:ascii="Times New Roman" w:hAnsi="Times New Roman"/>
          <w:sz w:val="24"/>
          <w:szCs w:val="24"/>
        </w:rPr>
        <w:t>продаје</w:t>
      </w:r>
      <w:r w:rsidR="002D7718" w:rsidRPr="00D86D09">
        <w:rPr>
          <w:rFonts w:ascii="Times New Roman" w:hAnsi="Times New Roman"/>
          <w:sz w:val="24"/>
          <w:szCs w:val="24"/>
        </w:rPr>
        <w:t xml:space="preserve"> </w:t>
      </w:r>
      <w:r w:rsidR="004949B5" w:rsidRPr="00D86D09">
        <w:rPr>
          <w:rFonts w:ascii="Times New Roman" w:hAnsi="Times New Roman"/>
          <w:sz w:val="24"/>
          <w:szCs w:val="24"/>
        </w:rPr>
        <w:t>државни</w:t>
      </w:r>
      <w:r w:rsidR="002D7718" w:rsidRPr="00D86D09">
        <w:rPr>
          <w:rFonts w:ascii="Times New Roman" w:hAnsi="Times New Roman"/>
          <w:sz w:val="24"/>
          <w:szCs w:val="24"/>
        </w:rPr>
        <w:t xml:space="preserve"> </w:t>
      </w:r>
      <w:r w:rsidR="004949B5" w:rsidRPr="00D86D09">
        <w:rPr>
          <w:rFonts w:ascii="Times New Roman" w:hAnsi="Times New Roman"/>
          <w:sz w:val="24"/>
          <w:szCs w:val="24"/>
        </w:rPr>
        <w:t>орган</w:t>
      </w:r>
      <w:r w:rsidR="002D7718" w:rsidRPr="00D86D09">
        <w:rPr>
          <w:rFonts w:ascii="Times New Roman" w:hAnsi="Times New Roman"/>
          <w:sz w:val="24"/>
          <w:szCs w:val="24"/>
        </w:rPr>
        <w:t>.</w:t>
      </w:r>
      <w:r w:rsidRPr="00D86D09">
        <w:rPr>
          <w:rStyle w:val="FootnoteReference"/>
          <w:rFonts w:ascii="Times New Roman" w:hAnsi="Times New Roman"/>
          <w:color w:val="000000"/>
          <w:sz w:val="24"/>
          <w:szCs w:val="24"/>
        </w:rPr>
        <w:footnoteReference w:id="545"/>
      </w:r>
    </w:p>
    <w:p w:rsidR="00541620" w:rsidRPr="001503E6" w:rsidRDefault="00541620" w:rsidP="004949B5">
      <w:pPr>
        <w:pStyle w:val="normal0"/>
        <w:shd w:val="clear" w:color="auto" w:fill="FFFFFF"/>
        <w:spacing w:before="48" w:beforeAutospacing="0" w:after="48" w:afterAutospacing="0"/>
        <w:jc w:val="both"/>
        <w:rPr>
          <w:color w:val="000000"/>
          <w:lang w:val="sr-Cyrl-CS"/>
        </w:rPr>
      </w:pPr>
    </w:p>
    <w:p w:rsidR="00B251D1" w:rsidRPr="004949B5" w:rsidRDefault="00B251D1" w:rsidP="004949B5">
      <w:pPr>
        <w:jc w:val="both"/>
        <w:rPr>
          <w:rFonts w:ascii="Times New Roman" w:hAnsi="Times New Roman"/>
          <w:sz w:val="24"/>
          <w:szCs w:val="24"/>
          <w:lang w:val="sr-Cyrl-CS"/>
        </w:rPr>
      </w:pPr>
    </w:p>
    <w:p w:rsidR="00B251D1" w:rsidRDefault="00C208AF" w:rsidP="004949B5">
      <w:pPr>
        <w:ind w:firstLine="708"/>
        <w:jc w:val="center"/>
        <w:rPr>
          <w:rFonts w:ascii="Times New Roman" w:hAnsi="Times New Roman"/>
          <w:b/>
          <w:sz w:val="24"/>
          <w:szCs w:val="24"/>
          <w:lang w:val="sr-Cyrl-CS"/>
        </w:rPr>
      </w:pPr>
      <w:r>
        <w:rPr>
          <w:rFonts w:ascii="Times New Roman" w:hAnsi="Times New Roman"/>
          <w:b/>
          <w:sz w:val="24"/>
          <w:szCs w:val="24"/>
          <w:lang w:val="sr-Cyrl-CS"/>
        </w:rPr>
        <w:t>5.5</w:t>
      </w:r>
      <w:r w:rsidR="001830E1" w:rsidRPr="004949B5">
        <w:rPr>
          <w:rFonts w:ascii="Times New Roman" w:hAnsi="Times New Roman"/>
          <w:b/>
          <w:sz w:val="24"/>
          <w:szCs w:val="24"/>
          <w:lang w:val="sr-Cyrl-CS"/>
        </w:rPr>
        <w:t>.3.Пореска основица</w:t>
      </w:r>
    </w:p>
    <w:p w:rsidR="005E086E" w:rsidRPr="004949B5" w:rsidRDefault="005E086E" w:rsidP="004949B5">
      <w:pPr>
        <w:ind w:firstLine="708"/>
        <w:jc w:val="center"/>
        <w:rPr>
          <w:rFonts w:ascii="Times New Roman" w:hAnsi="Times New Roman"/>
          <w:b/>
          <w:sz w:val="24"/>
          <w:szCs w:val="24"/>
          <w:lang w:val="sr-Cyrl-CS"/>
        </w:rPr>
      </w:pPr>
    </w:p>
    <w:p w:rsidR="00B251D1" w:rsidRPr="00D86D09" w:rsidRDefault="004949B5" w:rsidP="00D86D09">
      <w:pPr>
        <w:ind w:firstLine="708"/>
        <w:jc w:val="both"/>
        <w:rPr>
          <w:rFonts w:ascii="Times New Roman" w:hAnsi="Times New Roman"/>
          <w:sz w:val="24"/>
          <w:szCs w:val="24"/>
          <w:lang w:val="sr-Cyrl-CS"/>
        </w:rPr>
      </w:pPr>
      <w:r w:rsidRPr="00D86D09">
        <w:rPr>
          <w:rFonts w:ascii="Times New Roman" w:hAnsi="Times New Roman"/>
          <w:sz w:val="24"/>
          <w:szCs w:val="24"/>
        </w:rPr>
        <w:t>Основицу</w:t>
      </w:r>
      <w:r w:rsidR="00B251D1" w:rsidRPr="00D86D09">
        <w:rPr>
          <w:rFonts w:ascii="Times New Roman" w:hAnsi="Times New Roman"/>
          <w:sz w:val="24"/>
          <w:szCs w:val="24"/>
        </w:rPr>
        <w:t xml:space="preserve"> </w:t>
      </w:r>
      <w:r w:rsidRPr="00D86D09">
        <w:rPr>
          <w:rFonts w:ascii="Times New Roman" w:hAnsi="Times New Roman"/>
          <w:sz w:val="24"/>
          <w:szCs w:val="24"/>
        </w:rPr>
        <w:t>за</w:t>
      </w:r>
      <w:r w:rsidR="00B251D1" w:rsidRPr="00D86D09">
        <w:rPr>
          <w:rFonts w:ascii="Times New Roman" w:hAnsi="Times New Roman"/>
          <w:sz w:val="24"/>
          <w:szCs w:val="24"/>
        </w:rPr>
        <w:t xml:space="preserve"> </w:t>
      </w:r>
      <w:r w:rsidRPr="00D86D09">
        <w:rPr>
          <w:rFonts w:ascii="Times New Roman" w:hAnsi="Times New Roman"/>
          <w:sz w:val="24"/>
          <w:szCs w:val="24"/>
        </w:rPr>
        <w:t>обрачун</w:t>
      </w:r>
      <w:r w:rsidR="00DE2ED9" w:rsidRPr="00D86D09">
        <w:rPr>
          <w:rFonts w:ascii="Times New Roman" w:hAnsi="Times New Roman"/>
          <w:sz w:val="24"/>
          <w:szCs w:val="24"/>
        </w:rPr>
        <w:t xml:space="preserve"> </w:t>
      </w:r>
      <w:r w:rsidRPr="00D86D09">
        <w:rPr>
          <w:rFonts w:ascii="Times New Roman" w:hAnsi="Times New Roman"/>
          <w:sz w:val="24"/>
          <w:szCs w:val="24"/>
        </w:rPr>
        <w:t>акцизе</w:t>
      </w:r>
      <w:r w:rsidR="00DE2ED9" w:rsidRPr="00D86D09">
        <w:rPr>
          <w:rFonts w:ascii="Times New Roman" w:hAnsi="Times New Roman"/>
          <w:sz w:val="24"/>
          <w:szCs w:val="24"/>
        </w:rPr>
        <w:t xml:space="preserve"> </w:t>
      </w:r>
      <w:r w:rsidRPr="00D86D09">
        <w:rPr>
          <w:rFonts w:ascii="Times New Roman" w:hAnsi="Times New Roman"/>
          <w:sz w:val="24"/>
          <w:szCs w:val="24"/>
        </w:rPr>
        <w:t>чини</w:t>
      </w:r>
      <w:r w:rsidR="00DE2ED9" w:rsidRPr="00D86D09">
        <w:rPr>
          <w:rFonts w:ascii="Times New Roman" w:hAnsi="Times New Roman"/>
          <w:sz w:val="24"/>
          <w:szCs w:val="24"/>
        </w:rPr>
        <w:t xml:space="preserve"> </w:t>
      </w:r>
      <w:r w:rsidRPr="00D86D09">
        <w:rPr>
          <w:rFonts w:ascii="Times New Roman" w:hAnsi="Times New Roman"/>
          <w:sz w:val="24"/>
          <w:szCs w:val="24"/>
        </w:rPr>
        <w:t>јединица</w:t>
      </w:r>
      <w:r w:rsidR="00DE2ED9" w:rsidRPr="00D86D09">
        <w:rPr>
          <w:rFonts w:ascii="Times New Roman" w:hAnsi="Times New Roman"/>
          <w:sz w:val="24"/>
          <w:szCs w:val="24"/>
        </w:rPr>
        <w:t xml:space="preserve"> </w:t>
      </w:r>
      <w:r w:rsidRPr="00D86D09">
        <w:rPr>
          <w:rFonts w:ascii="Times New Roman" w:hAnsi="Times New Roman"/>
          <w:sz w:val="24"/>
          <w:szCs w:val="24"/>
        </w:rPr>
        <w:t>мере</w:t>
      </w:r>
      <w:r w:rsidR="00DE2ED9" w:rsidRPr="00D86D09">
        <w:rPr>
          <w:rFonts w:ascii="Times New Roman" w:hAnsi="Times New Roman"/>
          <w:sz w:val="24"/>
          <w:szCs w:val="24"/>
          <w:lang w:val="sr-Cyrl-CS"/>
        </w:rPr>
        <w:t xml:space="preserve"> (литар, килограм), па се ради о специфичној основици. На циг</w:t>
      </w:r>
      <w:r w:rsidR="006026E1" w:rsidRPr="00D86D09">
        <w:rPr>
          <w:rFonts w:ascii="Times New Roman" w:hAnsi="Times New Roman"/>
          <w:sz w:val="24"/>
          <w:szCs w:val="24"/>
          <w:lang w:val="sr-Cyrl-CS"/>
        </w:rPr>
        <w:t>арете се упоредо са специфичном</w:t>
      </w:r>
      <w:r w:rsidR="00DE2ED9" w:rsidRPr="00D86D09">
        <w:rPr>
          <w:rFonts w:ascii="Times New Roman" w:hAnsi="Times New Roman"/>
          <w:sz w:val="24"/>
          <w:szCs w:val="24"/>
          <w:lang w:val="sr-Cyrl-CS"/>
        </w:rPr>
        <w:t xml:space="preserve">, плаћа и </w:t>
      </w:r>
      <w:r w:rsidRPr="00D86D09">
        <w:rPr>
          <w:rFonts w:ascii="Times New Roman" w:hAnsi="Times New Roman"/>
          <w:sz w:val="24"/>
          <w:szCs w:val="24"/>
          <w:lang w:val="sr-Cyrl-CS"/>
        </w:rPr>
        <w:t>ад</w:t>
      </w:r>
      <w:r w:rsidR="00DE2ED9" w:rsidRPr="00D86D09">
        <w:rPr>
          <w:rFonts w:ascii="Times New Roman" w:hAnsi="Times New Roman"/>
          <w:sz w:val="24"/>
          <w:szCs w:val="24"/>
          <w:lang w:val="sr-Cyrl-CS"/>
        </w:rPr>
        <w:t xml:space="preserve"> </w:t>
      </w:r>
      <w:r w:rsidRPr="00D86D09">
        <w:rPr>
          <w:rFonts w:ascii="Times New Roman" w:hAnsi="Times New Roman"/>
          <w:sz w:val="24"/>
          <w:szCs w:val="24"/>
          <w:lang w:val="sr-Cyrl-CS"/>
        </w:rPr>
        <w:t>валорем</w:t>
      </w:r>
      <w:r w:rsidR="00DE2ED9" w:rsidRPr="00D86D09">
        <w:rPr>
          <w:rFonts w:ascii="Times New Roman" w:hAnsi="Times New Roman"/>
          <w:sz w:val="24"/>
          <w:szCs w:val="24"/>
          <w:lang w:val="sr-Cyrl-CS"/>
        </w:rPr>
        <w:t xml:space="preserve"> акциза, чија је основица </w:t>
      </w:r>
      <w:r w:rsidR="00DC41D2" w:rsidRPr="00D86D09">
        <w:rPr>
          <w:rFonts w:ascii="Times New Roman" w:hAnsi="Times New Roman"/>
          <w:sz w:val="24"/>
          <w:szCs w:val="24"/>
          <w:lang w:val="sr-Cyrl-CS"/>
        </w:rPr>
        <w:t>малопродајн</w:t>
      </w:r>
      <w:r w:rsidR="003F0E8C" w:rsidRPr="00D86D09">
        <w:rPr>
          <w:rFonts w:ascii="Times New Roman" w:hAnsi="Times New Roman"/>
          <w:sz w:val="24"/>
          <w:szCs w:val="24"/>
          <w:lang w:val="sr-Cyrl-CS"/>
        </w:rPr>
        <w:t>а цена</w:t>
      </w:r>
      <w:r w:rsidR="00DC41D2" w:rsidRPr="00D86D09">
        <w:rPr>
          <w:rFonts w:ascii="Times New Roman" w:hAnsi="Times New Roman"/>
          <w:sz w:val="24"/>
          <w:szCs w:val="24"/>
          <w:lang w:val="sr-Cyrl-CS"/>
        </w:rPr>
        <w:t>, коју утврђује произвођач, односно увозник цигарета.</w:t>
      </w:r>
      <w:r w:rsidR="00DC41D2" w:rsidRPr="00D86D09">
        <w:rPr>
          <w:rStyle w:val="FootnoteReference"/>
          <w:rFonts w:ascii="Times New Roman" w:hAnsi="Times New Roman"/>
          <w:color w:val="000000"/>
          <w:sz w:val="24"/>
          <w:szCs w:val="24"/>
          <w:lang w:val="sr-Cyrl-CS"/>
        </w:rPr>
        <w:footnoteReference w:id="546"/>
      </w:r>
    </w:p>
    <w:p w:rsidR="003F0E8C" w:rsidRPr="00D86D09" w:rsidRDefault="003F0E8C" w:rsidP="00D86D09">
      <w:pPr>
        <w:jc w:val="both"/>
        <w:rPr>
          <w:rFonts w:ascii="Times New Roman" w:hAnsi="Times New Roman"/>
          <w:sz w:val="24"/>
          <w:szCs w:val="24"/>
          <w:lang w:val="sr-Cyrl-CS"/>
        </w:rPr>
      </w:pPr>
    </w:p>
    <w:p w:rsidR="00A22DD5" w:rsidRDefault="00A22DD5" w:rsidP="004949B5">
      <w:pPr>
        <w:pStyle w:val="normal0"/>
        <w:shd w:val="clear" w:color="auto" w:fill="FFFFFF"/>
        <w:spacing w:before="48" w:beforeAutospacing="0" w:after="48" w:afterAutospacing="0"/>
        <w:jc w:val="both"/>
        <w:rPr>
          <w:color w:val="000000"/>
          <w:lang w:val="sr-Cyrl-CS"/>
        </w:rPr>
      </w:pPr>
    </w:p>
    <w:p w:rsidR="00A22DD5" w:rsidRPr="004949B5" w:rsidRDefault="00A22DD5" w:rsidP="004949B5">
      <w:pPr>
        <w:pStyle w:val="normal0"/>
        <w:shd w:val="clear" w:color="auto" w:fill="FFFFFF"/>
        <w:spacing w:before="48" w:beforeAutospacing="0" w:after="48" w:afterAutospacing="0"/>
        <w:jc w:val="both"/>
        <w:rPr>
          <w:color w:val="000000"/>
          <w:lang w:val="sr-Cyrl-CS"/>
        </w:rPr>
      </w:pPr>
    </w:p>
    <w:p w:rsidR="003F0E8C" w:rsidRDefault="00C208AF" w:rsidP="004D5D9D">
      <w:pPr>
        <w:pStyle w:val="normal0"/>
        <w:shd w:val="clear" w:color="auto" w:fill="FFFFFF"/>
        <w:spacing w:before="48" w:beforeAutospacing="0" w:after="48" w:afterAutospacing="0"/>
        <w:jc w:val="center"/>
        <w:rPr>
          <w:b/>
          <w:color w:val="000000"/>
          <w:lang w:val="sr-Cyrl-CS"/>
        </w:rPr>
      </w:pPr>
      <w:r>
        <w:rPr>
          <w:b/>
          <w:color w:val="000000"/>
          <w:lang w:val="sr-Cyrl-CS"/>
        </w:rPr>
        <w:t>5.5</w:t>
      </w:r>
      <w:r w:rsidR="001830E1" w:rsidRPr="004949B5">
        <w:rPr>
          <w:b/>
          <w:color w:val="000000"/>
          <w:lang w:val="sr-Cyrl-CS"/>
        </w:rPr>
        <w:t>.4.Пореске стопе</w:t>
      </w:r>
    </w:p>
    <w:p w:rsidR="005E086E" w:rsidRPr="004949B5" w:rsidRDefault="005E086E" w:rsidP="004949B5">
      <w:pPr>
        <w:pStyle w:val="normal0"/>
        <w:shd w:val="clear" w:color="auto" w:fill="FFFFFF"/>
        <w:spacing w:before="48" w:beforeAutospacing="0" w:after="48" w:afterAutospacing="0"/>
        <w:jc w:val="center"/>
        <w:rPr>
          <w:b/>
          <w:color w:val="000000"/>
          <w:lang w:val="sr-Cyrl-CS"/>
        </w:rPr>
      </w:pPr>
    </w:p>
    <w:p w:rsidR="003F0E8C" w:rsidRPr="00D86D09" w:rsidRDefault="003F0E8C" w:rsidP="00D86D09">
      <w:pPr>
        <w:jc w:val="both"/>
        <w:rPr>
          <w:rFonts w:ascii="Times New Roman" w:hAnsi="Times New Roman"/>
          <w:sz w:val="24"/>
          <w:szCs w:val="24"/>
          <w:lang w:val="sr-Cyrl-CS"/>
        </w:rPr>
      </w:pPr>
    </w:p>
    <w:p w:rsidR="003F0E8C" w:rsidRPr="00D86D09" w:rsidRDefault="00965F08" w:rsidP="00D86D09">
      <w:pPr>
        <w:ind w:firstLine="708"/>
        <w:jc w:val="both"/>
        <w:rPr>
          <w:rFonts w:ascii="Times New Roman" w:hAnsi="Times New Roman"/>
          <w:sz w:val="24"/>
          <w:szCs w:val="24"/>
          <w:lang w:val="sr-Cyrl-CS"/>
        </w:rPr>
      </w:pPr>
      <w:r w:rsidRPr="00D86D09">
        <w:rPr>
          <w:rFonts w:ascii="Times New Roman" w:hAnsi="Times New Roman"/>
          <w:sz w:val="24"/>
          <w:szCs w:val="24"/>
          <w:lang w:val="sr-Cyrl-CS"/>
        </w:rPr>
        <w:t>Пореске стопе су специфичне у апсолутном износу у динарим</w:t>
      </w:r>
      <w:r w:rsidR="006026E1" w:rsidRPr="00D86D09">
        <w:rPr>
          <w:rFonts w:ascii="Times New Roman" w:hAnsi="Times New Roman"/>
          <w:sz w:val="24"/>
          <w:szCs w:val="24"/>
          <w:lang w:val="sr-Cyrl-CS"/>
        </w:rPr>
        <w:t xml:space="preserve">а и </w:t>
      </w:r>
      <w:r w:rsidR="004949B5" w:rsidRPr="00D86D09">
        <w:rPr>
          <w:rFonts w:ascii="Times New Roman" w:hAnsi="Times New Roman"/>
          <w:sz w:val="24"/>
          <w:szCs w:val="24"/>
          <w:lang w:val="sr-Cyrl-CS"/>
        </w:rPr>
        <w:t>ад</w:t>
      </w:r>
      <w:r w:rsidR="006026E1" w:rsidRPr="00D86D09">
        <w:rPr>
          <w:rFonts w:ascii="Times New Roman" w:hAnsi="Times New Roman"/>
          <w:sz w:val="24"/>
          <w:szCs w:val="24"/>
          <w:lang w:val="sr-Cyrl-CS"/>
        </w:rPr>
        <w:t xml:space="preserve"> </w:t>
      </w:r>
      <w:r w:rsidR="004949B5" w:rsidRPr="00D86D09">
        <w:rPr>
          <w:rFonts w:ascii="Times New Roman" w:hAnsi="Times New Roman"/>
          <w:sz w:val="24"/>
          <w:szCs w:val="24"/>
          <w:lang w:val="sr-Cyrl-CS"/>
        </w:rPr>
        <w:t>валорем</w:t>
      </w:r>
      <w:r w:rsidR="006026E1" w:rsidRPr="00D86D09">
        <w:rPr>
          <w:rFonts w:ascii="Times New Roman" w:hAnsi="Times New Roman"/>
          <w:sz w:val="24"/>
          <w:szCs w:val="24"/>
          <w:lang w:val="sr-Cyrl-CS"/>
        </w:rPr>
        <w:t>, односно примењују се стопе изражене</w:t>
      </w:r>
      <w:r w:rsidRPr="00D86D09">
        <w:rPr>
          <w:rFonts w:ascii="Times New Roman" w:hAnsi="Times New Roman"/>
          <w:sz w:val="24"/>
          <w:szCs w:val="24"/>
          <w:lang w:val="sr-Cyrl-CS"/>
        </w:rPr>
        <w:t xml:space="preserve"> у процентима на пореску основицу-пропорционалне пореске стопе. </w:t>
      </w:r>
      <w:r w:rsidR="006026E1" w:rsidRPr="00D86D09">
        <w:rPr>
          <w:rFonts w:ascii="Times New Roman" w:hAnsi="Times New Roman"/>
          <w:sz w:val="24"/>
          <w:szCs w:val="24"/>
          <w:lang w:val="sr-Cyrl-CS"/>
        </w:rPr>
        <w:t xml:space="preserve"> </w:t>
      </w:r>
    </w:p>
    <w:p w:rsidR="00E24274" w:rsidRPr="004949B5" w:rsidRDefault="00E24274" w:rsidP="004949B5">
      <w:pPr>
        <w:pStyle w:val="normal0"/>
        <w:shd w:val="clear" w:color="auto" w:fill="FFFFFF"/>
        <w:spacing w:before="48" w:beforeAutospacing="0" w:after="48" w:afterAutospacing="0"/>
        <w:jc w:val="both"/>
        <w:rPr>
          <w:color w:val="000000"/>
          <w:lang w:val="sr-Cyrl-CS"/>
        </w:rPr>
      </w:pPr>
    </w:p>
    <w:p w:rsidR="004D5D9D" w:rsidRPr="00D86D09" w:rsidRDefault="00E24274" w:rsidP="00D86D09">
      <w:pPr>
        <w:ind w:firstLine="708"/>
        <w:jc w:val="both"/>
        <w:rPr>
          <w:rFonts w:ascii="Times New Roman" w:hAnsi="Times New Roman"/>
          <w:sz w:val="24"/>
          <w:szCs w:val="24"/>
          <w:shd w:val="clear" w:color="auto" w:fill="FFFFFF"/>
          <w:lang w:val="sr-Cyrl-CS"/>
        </w:rPr>
      </w:pPr>
      <w:r w:rsidRPr="00D86D09">
        <w:rPr>
          <w:rFonts w:ascii="Times New Roman" w:hAnsi="Times New Roman"/>
          <w:sz w:val="24"/>
          <w:szCs w:val="24"/>
          <w:lang w:val="sr-Cyrl-CS"/>
        </w:rPr>
        <w:t xml:space="preserve">Динарски износи акциза по јединици мере индексирају се годишње стопом раста цена на мало у календарској години </w:t>
      </w:r>
      <w:r w:rsidR="004949B5" w:rsidRPr="00D86D09">
        <w:rPr>
          <w:rFonts w:ascii="Times New Roman" w:hAnsi="Times New Roman"/>
          <w:sz w:val="24"/>
          <w:szCs w:val="24"/>
          <w:shd w:val="clear" w:color="auto" w:fill="FFFFFF"/>
        </w:rPr>
        <w:t>која</w:t>
      </w:r>
      <w:r w:rsidRPr="00D86D09">
        <w:rPr>
          <w:rFonts w:ascii="Times New Roman" w:hAnsi="Times New Roman"/>
          <w:sz w:val="24"/>
          <w:szCs w:val="24"/>
          <w:shd w:val="clear" w:color="auto" w:fill="FFFFFF"/>
        </w:rPr>
        <w:t xml:space="preserve"> </w:t>
      </w:r>
      <w:r w:rsidR="004949B5" w:rsidRPr="00D86D09">
        <w:rPr>
          <w:rFonts w:ascii="Times New Roman" w:hAnsi="Times New Roman"/>
          <w:sz w:val="24"/>
          <w:szCs w:val="24"/>
          <w:shd w:val="clear" w:color="auto" w:fill="FFFFFF"/>
        </w:rPr>
        <w:t>претходи</w:t>
      </w:r>
      <w:r w:rsidRPr="00D86D09">
        <w:rPr>
          <w:rFonts w:ascii="Times New Roman" w:hAnsi="Times New Roman"/>
          <w:sz w:val="24"/>
          <w:szCs w:val="24"/>
          <w:shd w:val="clear" w:color="auto" w:fill="FFFFFF"/>
        </w:rPr>
        <w:t xml:space="preserve"> </w:t>
      </w:r>
      <w:r w:rsidR="004949B5" w:rsidRPr="00D86D09">
        <w:rPr>
          <w:rFonts w:ascii="Times New Roman" w:hAnsi="Times New Roman"/>
          <w:sz w:val="24"/>
          <w:szCs w:val="24"/>
          <w:shd w:val="clear" w:color="auto" w:fill="FFFFFF"/>
        </w:rPr>
        <w:t>години</w:t>
      </w:r>
      <w:r w:rsidRPr="00D86D09">
        <w:rPr>
          <w:rFonts w:ascii="Times New Roman" w:hAnsi="Times New Roman"/>
          <w:sz w:val="24"/>
          <w:szCs w:val="24"/>
          <w:shd w:val="clear" w:color="auto" w:fill="FFFFFF"/>
        </w:rPr>
        <w:t xml:space="preserve"> </w:t>
      </w:r>
      <w:r w:rsidR="004949B5" w:rsidRPr="00D86D09">
        <w:rPr>
          <w:rFonts w:ascii="Times New Roman" w:hAnsi="Times New Roman"/>
          <w:sz w:val="24"/>
          <w:szCs w:val="24"/>
          <w:shd w:val="clear" w:color="auto" w:fill="FFFFFF"/>
        </w:rPr>
        <w:t>у</w:t>
      </w:r>
      <w:r w:rsidRPr="00D86D09">
        <w:rPr>
          <w:rFonts w:ascii="Times New Roman" w:hAnsi="Times New Roman"/>
          <w:sz w:val="24"/>
          <w:szCs w:val="24"/>
          <w:shd w:val="clear" w:color="auto" w:fill="FFFFFF"/>
        </w:rPr>
        <w:t xml:space="preserve"> </w:t>
      </w:r>
      <w:r w:rsidR="004949B5" w:rsidRPr="00D86D09">
        <w:rPr>
          <w:rFonts w:ascii="Times New Roman" w:hAnsi="Times New Roman"/>
          <w:sz w:val="24"/>
          <w:szCs w:val="24"/>
          <w:shd w:val="clear" w:color="auto" w:fill="FFFFFF"/>
        </w:rPr>
        <w:t>којој</w:t>
      </w:r>
      <w:r w:rsidRPr="00D86D09">
        <w:rPr>
          <w:rFonts w:ascii="Times New Roman" w:hAnsi="Times New Roman"/>
          <w:sz w:val="24"/>
          <w:szCs w:val="24"/>
          <w:shd w:val="clear" w:color="auto" w:fill="FFFFFF"/>
        </w:rPr>
        <w:t xml:space="preserve"> </w:t>
      </w:r>
      <w:r w:rsidR="004949B5" w:rsidRPr="00D86D09">
        <w:rPr>
          <w:rFonts w:ascii="Times New Roman" w:hAnsi="Times New Roman"/>
          <w:sz w:val="24"/>
          <w:szCs w:val="24"/>
          <w:shd w:val="clear" w:color="auto" w:fill="FFFFFF"/>
        </w:rPr>
        <w:t>се</w:t>
      </w:r>
      <w:r w:rsidRPr="00D86D09">
        <w:rPr>
          <w:rFonts w:ascii="Times New Roman" w:hAnsi="Times New Roman"/>
          <w:sz w:val="24"/>
          <w:szCs w:val="24"/>
          <w:shd w:val="clear" w:color="auto" w:fill="FFFFFF"/>
        </w:rPr>
        <w:t xml:space="preserve"> </w:t>
      </w:r>
      <w:r w:rsidR="004949B5" w:rsidRPr="00D86D09">
        <w:rPr>
          <w:rFonts w:ascii="Times New Roman" w:hAnsi="Times New Roman"/>
          <w:sz w:val="24"/>
          <w:szCs w:val="24"/>
          <w:shd w:val="clear" w:color="auto" w:fill="FFFFFF"/>
        </w:rPr>
        <w:t>усклађивање</w:t>
      </w:r>
      <w:r w:rsidRPr="00D86D09">
        <w:rPr>
          <w:rFonts w:ascii="Times New Roman" w:hAnsi="Times New Roman"/>
          <w:sz w:val="24"/>
          <w:szCs w:val="24"/>
          <w:shd w:val="clear" w:color="auto" w:fill="FFFFFF"/>
        </w:rPr>
        <w:t xml:space="preserve"> </w:t>
      </w:r>
      <w:r w:rsidR="004949B5" w:rsidRPr="00D86D09">
        <w:rPr>
          <w:rFonts w:ascii="Times New Roman" w:hAnsi="Times New Roman"/>
          <w:sz w:val="24"/>
          <w:szCs w:val="24"/>
          <w:shd w:val="clear" w:color="auto" w:fill="FFFFFF"/>
        </w:rPr>
        <w:t>врши</w:t>
      </w:r>
      <w:r w:rsidRPr="00D86D09">
        <w:rPr>
          <w:rFonts w:ascii="Times New Roman" w:hAnsi="Times New Roman"/>
          <w:sz w:val="24"/>
          <w:szCs w:val="24"/>
          <w:shd w:val="clear" w:color="auto" w:fill="FFFFFF"/>
        </w:rPr>
        <w:t xml:space="preserve">, </w:t>
      </w:r>
      <w:r w:rsidR="004949B5" w:rsidRPr="00D86D09">
        <w:rPr>
          <w:rFonts w:ascii="Times New Roman" w:hAnsi="Times New Roman"/>
          <w:sz w:val="24"/>
          <w:szCs w:val="24"/>
          <w:shd w:val="clear" w:color="auto" w:fill="FFFFFF"/>
        </w:rPr>
        <w:t>према</w:t>
      </w:r>
      <w:r w:rsidRPr="00D86D09">
        <w:rPr>
          <w:rFonts w:ascii="Times New Roman" w:hAnsi="Times New Roman"/>
          <w:sz w:val="24"/>
          <w:szCs w:val="24"/>
          <w:shd w:val="clear" w:color="auto" w:fill="FFFFFF"/>
        </w:rPr>
        <w:t xml:space="preserve"> </w:t>
      </w:r>
      <w:r w:rsidR="004949B5" w:rsidRPr="00D86D09">
        <w:rPr>
          <w:rFonts w:ascii="Times New Roman" w:hAnsi="Times New Roman"/>
          <w:sz w:val="24"/>
          <w:szCs w:val="24"/>
          <w:shd w:val="clear" w:color="auto" w:fill="FFFFFF"/>
        </w:rPr>
        <w:t>подацима</w:t>
      </w:r>
      <w:r w:rsidRPr="00D86D09">
        <w:rPr>
          <w:rFonts w:ascii="Times New Roman" w:hAnsi="Times New Roman"/>
          <w:sz w:val="24"/>
          <w:szCs w:val="24"/>
          <w:shd w:val="clear" w:color="auto" w:fill="FFFFFF"/>
        </w:rPr>
        <w:t xml:space="preserve"> </w:t>
      </w:r>
      <w:r w:rsidR="004949B5" w:rsidRPr="00D86D09">
        <w:rPr>
          <w:rFonts w:ascii="Times New Roman" w:hAnsi="Times New Roman"/>
          <w:sz w:val="24"/>
          <w:szCs w:val="24"/>
          <w:shd w:val="clear" w:color="auto" w:fill="FFFFFF"/>
        </w:rPr>
        <w:t>републичког</w:t>
      </w:r>
      <w:r w:rsidRPr="00D86D09">
        <w:rPr>
          <w:rFonts w:ascii="Times New Roman" w:hAnsi="Times New Roman"/>
          <w:sz w:val="24"/>
          <w:szCs w:val="24"/>
          <w:shd w:val="clear" w:color="auto" w:fill="FFFFFF"/>
        </w:rPr>
        <w:t xml:space="preserve"> </w:t>
      </w:r>
      <w:r w:rsidR="004949B5" w:rsidRPr="00D86D09">
        <w:rPr>
          <w:rFonts w:ascii="Times New Roman" w:hAnsi="Times New Roman"/>
          <w:sz w:val="24"/>
          <w:szCs w:val="24"/>
          <w:shd w:val="clear" w:color="auto" w:fill="FFFFFF"/>
        </w:rPr>
        <w:t>органа</w:t>
      </w:r>
      <w:r w:rsidRPr="00D86D09">
        <w:rPr>
          <w:rFonts w:ascii="Times New Roman" w:hAnsi="Times New Roman"/>
          <w:sz w:val="24"/>
          <w:szCs w:val="24"/>
          <w:shd w:val="clear" w:color="auto" w:fill="FFFFFF"/>
        </w:rPr>
        <w:t xml:space="preserve"> </w:t>
      </w:r>
      <w:r w:rsidR="004949B5" w:rsidRPr="00D86D09">
        <w:rPr>
          <w:rFonts w:ascii="Times New Roman" w:hAnsi="Times New Roman"/>
          <w:sz w:val="24"/>
          <w:szCs w:val="24"/>
          <w:shd w:val="clear" w:color="auto" w:fill="FFFFFF"/>
        </w:rPr>
        <w:t>надлежног</w:t>
      </w:r>
      <w:r w:rsidRPr="00D86D09">
        <w:rPr>
          <w:rFonts w:ascii="Times New Roman" w:hAnsi="Times New Roman"/>
          <w:sz w:val="24"/>
          <w:szCs w:val="24"/>
          <w:shd w:val="clear" w:color="auto" w:fill="FFFFFF"/>
        </w:rPr>
        <w:t xml:space="preserve"> </w:t>
      </w:r>
      <w:r w:rsidR="004949B5" w:rsidRPr="00D86D09">
        <w:rPr>
          <w:rFonts w:ascii="Times New Roman" w:hAnsi="Times New Roman"/>
          <w:sz w:val="24"/>
          <w:szCs w:val="24"/>
          <w:shd w:val="clear" w:color="auto" w:fill="FFFFFF"/>
        </w:rPr>
        <w:t>за</w:t>
      </w:r>
      <w:r w:rsidRPr="00D86D09">
        <w:rPr>
          <w:rFonts w:ascii="Times New Roman" w:hAnsi="Times New Roman"/>
          <w:sz w:val="24"/>
          <w:szCs w:val="24"/>
          <w:shd w:val="clear" w:color="auto" w:fill="FFFFFF"/>
        </w:rPr>
        <w:t xml:space="preserve"> </w:t>
      </w:r>
      <w:r w:rsidR="004949B5" w:rsidRPr="00D86D09">
        <w:rPr>
          <w:rFonts w:ascii="Times New Roman" w:hAnsi="Times New Roman"/>
          <w:sz w:val="24"/>
          <w:szCs w:val="24"/>
          <w:shd w:val="clear" w:color="auto" w:fill="FFFFFF"/>
        </w:rPr>
        <w:t>послове</w:t>
      </w:r>
      <w:r w:rsidRPr="00D86D09">
        <w:rPr>
          <w:rFonts w:ascii="Times New Roman" w:hAnsi="Times New Roman"/>
          <w:sz w:val="24"/>
          <w:szCs w:val="24"/>
          <w:shd w:val="clear" w:color="auto" w:fill="FFFFFF"/>
        </w:rPr>
        <w:t xml:space="preserve"> </w:t>
      </w:r>
      <w:r w:rsidR="004949B5" w:rsidRPr="00D86D09">
        <w:rPr>
          <w:rFonts w:ascii="Times New Roman" w:hAnsi="Times New Roman"/>
          <w:sz w:val="24"/>
          <w:szCs w:val="24"/>
          <w:shd w:val="clear" w:color="auto" w:fill="FFFFFF"/>
        </w:rPr>
        <w:t>статистике</w:t>
      </w:r>
      <w:r w:rsidRPr="00D86D09">
        <w:rPr>
          <w:rFonts w:ascii="Times New Roman" w:hAnsi="Times New Roman"/>
          <w:sz w:val="24"/>
          <w:szCs w:val="24"/>
          <w:shd w:val="clear" w:color="auto" w:fill="FFFFFF"/>
          <w:lang w:val="sr-Cyrl-CS"/>
        </w:rPr>
        <w:t>. Поред тог начина усклађивања специфичних акциза Влади је дато овлашћење да може у случају повећања произвођачких цена деривата нафте на светском тржишту привремено смањити или увећати износе акциза.</w:t>
      </w:r>
      <w:r w:rsidR="006026E1" w:rsidRPr="00D86D09">
        <w:rPr>
          <w:rStyle w:val="FootnoteReference"/>
          <w:rFonts w:ascii="Times New Roman" w:hAnsi="Times New Roman"/>
          <w:color w:val="000000"/>
          <w:sz w:val="24"/>
          <w:szCs w:val="24"/>
          <w:shd w:val="clear" w:color="auto" w:fill="FFFFFF"/>
          <w:lang w:val="sr-Cyrl-CS"/>
        </w:rPr>
        <w:footnoteReference w:id="547"/>
      </w:r>
      <w:r w:rsidR="006026E1" w:rsidRPr="00D86D09">
        <w:rPr>
          <w:rFonts w:ascii="Times New Roman" w:hAnsi="Times New Roman"/>
          <w:sz w:val="24"/>
          <w:szCs w:val="24"/>
          <w:shd w:val="clear" w:color="auto" w:fill="FFFFFF"/>
          <w:lang w:val="sr-Cyrl-CS"/>
        </w:rPr>
        <w:t xml:space="preserve"> </w:t>
      </w:r>
    </w:p>
    <w:p w:rsidR="00E24274" w:rsidRPr="00D86D09" w:rsidRDefault="00E24274" w:rsidP="00D86D09">
      <w:pPr>
        <w:ind w:firstLine="708"/>
        <w:jc w:val="both"/>
        <w:rPr>
          <w:rFonts w:ascii="Times New Roman" w:hAnsi="Times New Roman"/>
          <w:sz w:val="24"/>
          <w:szCs w:val="24"/>
          <w:shd w:val="clear" w:color="auto" w:fill="FFFFFF"/>
          <w:lang w:val="sr-Cyrl-CS"/>
        </w:rPr>
      </w:pPr>
      <w:r w:rsidRPr="00D86D09">
        <w:rPr>
          <w:rFonts w:ascii="Times New Roman" w:hAnsi="Times New Roman"/>
          <w:sz w:val="24"/>
          <w:szCs w:val="24"/>
          <w:shd w:val="clear" w:color="auto" w:fill="FFFFFF"/>
          <w:lang w:val="sr-Cyrl-CS"/>
        </w:rPr>
        <w:t>Обвезник акцизе (произвођач односно увозник) дужан је да при производњи цигарета и алкохолних пића, осим пива, контролном акцизном маркицом по</w:t>
      </w:r>
      <w:r w:rsidR="0080481C" w:rsidRPr="00D86D09">
        <w:rPr>
          <w:rFonts w:ascii="Times New Roman" w:hAnsi="Times New Roman"/>
          <w:sz w:val="24"/>
          <w:szCs w:val="24"/>
          <w:shd w:val="clear" w:color="auto" w:fill="FFFFFF"/>
          <w:lang w:val="sr-Cyrl-CS"/>
        </w:rPr>
        <w:t>себно обележи сваки од тих произ</w:t>
      </w:r>
      <w:r w:rsidRPr="00D86D09">
        <w:rPr>
          <w:rFonts w:ascii="Times New Roman" w:hAnsi="Times New Roman"/>
          <w:sz w:val="24"/>
          <w:szCs w:val="24"/>
          <w:shd w:val="clear" w:color="auto" w:fill="FFFFFF"/>
          <w:lang w:val="sr-Cyrl-CS"/>
        </w:rPr>
        <w:t>вода. Акцизне маркице штампа и издаје Народна банка Србије и о њима води евиденцију.</w:t>
      </w:r>
      <w:r w:rsidR="0080481C" w:rsidRPr="00D86D09">
        <w:rPr>
          <w:rFonts w:ascii="Times New Roman" w:hAnsi="Times New Roman"/>
          <w:sz w:val="24"/>
          <w:szCs w:val="24"/>
          <w:shd w:val="clear" w:color="auto" w:fill="FFFFFF"/>
          <w:lang w:val="sr-Cyrl-CS"/>
        </w:rPr>
        <w:t xml:space="preserve"> </w:t>
      </w:r>
      <w:r w:rsidR="00D86D09">
        <w:rPr>
          <w:rFonts w:ascii="Times New Roman" w:hAnsi="Times New Roman"/>
          <w:sz w:val="24"/>
          <w:szCs w:val="24"/>
          <w:shd w:val="clear" w:color="auto" w:fill="FFFFFF"/>
          <w:lang w:val="sr-Cyrl-CS"/>
        </w:rPr>
        <w:t xml:space="preserve"> </w:t>
      </w:r>
    </w:p>
    <w:p w:rsidR="00965F08" w:rsidRPr="004949B5" w:rsidRDefault="00965F08" w:rsidP="004949B5">
      <w:pPr>
        <w:pStyle w:val="normal0"/>
        <w:shd w:val="clear" w:color="auto" w:fill="FFFFFF"/>
        <w:spacing w:before="48" w:beforeAutospacing="0" w:after="48" w:afterAutospacing="0"/>
        <w:jc w:val="both"/>
        <w:rPr>
          <w:color w:val="000000"/>
          <w:lang w:val="sr-Cyrl-CS"/>
        </w:rPr>
      </w:pPr>
    </w:p>
    <w:p w:rsidR="00965F08" w:rsidRPr="004949B5" w:rsidRDefault="001830E1" w:rsidP="004949B5">
      <w:pPr>
        <w:pStyle w:val="normal0"/>
        <w:shd w:val="clear" w:color="auto" w:fill="FFFFFF"/>
        <w:spacing w:before="48" w:beforeAutospacing="0" w:after="48" w:afterAutospacing="0"/>
        <w:jc w:val="center"/>
        <w:rPr>
          <w:b/>
          <w:color w:val="000000"/>
          <w:lang w:val="sr-Cyrl-CS"/>
        </w:rPr>
      </w:pPr>
      <w:r w:rsidRPr="004949B5">
        <w:rPr>
          <w:b/>
          <w:color w:val="000000"/>
          <w:lang w:val="sr-Cyrl-CS"/>
        </w:rPr>
        <w:t>5.</w:t>
      </w:r>
      <w:r w:rsidR="00C208AF">
        <w:rPr>
          <w:b/>
          <w:color w:val="000000"/>
          <w:lang w:val="sr-Cyrl-CS"/>
        </w:rPr>
        <w:t>5</w:t>
      </w:r>
      <w:r w:rsidRPr="004949B5">
        <w:rPr>
          <w:b/>
          <w:color w:val="000000"/>
          <w:lang w:val="sr-Cyrl-CS"/>
        </w:rPr>
        <w:t>.5.Пореске олакшице</w:t>
      </w:r>
    </w:p>
    <w:p w:rsidR="00965F08" w:rsidRPr="004949B5" w:rsidRDefault="00965F08" w:rsidP="004949B5">
      <w:pPr>
        <w:pStyle w:val="normal0"/>
        <w:shd w:val="clear" w:color="auto" w:fill="FFFFFF"/>
        <w:spacing w:before="48" w:beforeAutospacing="0" w:after="48" w:afterAutospacing="0"/>
        <w:jc w:val="center"/>
        <w:rPr>
          <w:b/>
          <w:color w:val="000000"/>
          <w:lang w:val="sr-Cyrl-CS"/>
        </w:rPr>
      </w:pPr>
    </w:p>
    <w:p w:rsidR="0080481C" w:rsidRPr="004949B5" w:rsidRDefault="0080481C" w:rsidP="004949B5">
      <w:pPr>
        <w:pStyle w:val="normal0"/>
        <w:shd w:val="clear" w:color="auto" w:fill="FFFFFF"/>
        <w:spacing w:before="48" w:beforeAutospacing="0" w:after="48" w:afterAutospacing="0"/>
        <w:jc w:val="both"/>
        <w:rPr>
          <w:color w:val="000000"/>
          <w:lang w:val="sr-Cyrl-CS"/>
        </w:rPr>
      </w:pPr>
    </w:p>
    <w:p w:rsidR="0080481C" w:rsidRPr="0007021A" w:rsidRDefault="00E24274" w:rsidP="0007021A">
      <w:pPr>
        <w:ind w:firstLine="708"/>
        <w:jc w:val="both"/>
        <w:rPr>
          <w:rFonts w:ascii="Times New Roman" w:hAnsi="Times New Roman"/>
          <w:sz w:val="24"/>
          <w:szCs w:val="24"/>
          <w:lang w:val="sr-Cyrl-CS"/>
        </w:rPr>
      </w:pPr>
      <w:r w:rsidRPr="0007021A">
        <w:rPr>
          <w:rFonts w:ascii="Times New Roman" w:hAnsi="Times New Roman"/>
          <w:sz w:val="24"/>
          <w:szCs w:val="24"/>
          <w:lang w:val="sr-Cyrl-CS"/>
        </w:rPr>
        <w:t>Према Закону о акцизама прописане су две врсте пореских окалкшица: пореска ослобођења и порески кредит.</w:t>
      </w:r>
      <w:r w:rsidR="0080481C" w:rsidRPr="0007021A">
        <w:rPr>
          <w:rStyle w:val="FootnoteReference"/>
          <w:rFonts w:ascii="Times New Roman" w:hAnsi="Times New Roman"/>
          <w:color w:val="000000"/>
          <w:sz w:val="24"/>
          <w:szCs w:val="24"/>
          <w:lang w:val="sr-Cyrl-CS"/>
        </w:rPr>
        <w:footnoteReference w:id="548"/>
      </w:r>
      <w:r w:rsidR="0080481C" w:rsidRPr="0007021A">
        <w:rPr>
          <w:rFonts w:ascii="Times New Roman" w:hAnsi="Times New Roman"/>
          <w:sz w:val="24"/>
          <w:szCs w:val="24"/>
          <w:lang w:val="sr-Cyrl-CS"/>
        </w:rPr>
        <w:t xml:space="preserve"> </w:t>
      </w:r>
    </w:p>
    <w:p w:rsidR="0080481C" w:rsidRPr="0007021A" w:rsidRDefault="004949B5" w:rsidP="0007021A">
      <w:pPr>
        <w:ind w:firstLine="708"/>
        <w:jc w:val="both"/>
        <w:rPr>
          <w:rFonts w:ascii="Times New Roman" w:hAnsi="Times New Roman"/>
          <w:sz w:val="24"/>
          <w:szCs w:val="24"/>
          <w:lang w:val="sr-Cyrl-CS"/>
        </w:rPr>
      </w:pPr>
      <w:r w:rsidRPr="0007021A">
        <w:rPr>
          <w:rFonts w:ascii="Times New Roman" w:hAnsi="Times New Roman"/>
          <w:sz w:val="24"/>
          <w:szCs w:val="24"/>
        </w:rPr>
        <w:t>Акциза</w:t>
      </w:r>
      <w:r w:rsidR="00F057B8" w:rsidRPr="0007021A">
        <w:rPr>
          <w:rFonts w:ascii="Times New Roman" w:hAnsi="Times New Roman"/>
          <w:sz w:val="24"/>
          <w:szCs w:val="24"/>
        </w:rPr>
        <w:t xml:space="preserve"> </w:t>
      </w:r>
      <w:r w:rsidRPr="0007021A">
        <w:rPr>
          <w:rFonts w:ascii="Times New Roman" w:hAnsi="Times New Roman"/>
          <w:sz w:val="24"/>
          <w:szCs w:val="24"/>
        </w:rPr>
        <w:t>се</w:t>
      </w:r>
      <w:r w:rsidR="00F057B8" w:rsidRPr="0007021A">
        <w:rPr>
          <w:rFonts w:ascii="Times New Roman" w:hAnsi="Times New Roman"/>
          <w:sz w:val="24"/>
          <w:szCs w:val="24"/>
        </w:rPr>
        <w:t xml:space="preserve"> </w:t>
      </w:r>
      <w:r w:rsidRPr="0007021A">
        <w:rPr>
          <w:rFonts w:ascii="Times New Roman" w:hAnsi="Times New Roman"/>
          <w:sz w:val="24"/>
          <w:szCs w:val="24"/>
        </w:rPr>
        <w:t>не</w:t>
      </w:r>
      <w:r w:rsidR="00F057B8" w:rsidRPr="0007021A">
        <w:rPr>
          <w:rFonts w:ascii="Times New Roman" w:hAnsi="Times New Roman"/>
          <w:sz w:val="24"/>
          <w:szCs w:val="24"/>
        </w:rPr>
        <w:t xml:space="preserve"> </w:t>
      </w:r>
      <w:r w:rsidRPr="0007021A">
        <w:rPr>
          <w:rFonts w:ascii="Times New Roman" w:hAnsi="Times New Roman"/>
          <w:sz w:val="24"/>
          <w:szCs w:val="24"/>
        </w:rPr>
        <w:t>плаћа</w:t>
      </w:r>
      <w:r w:rsidR="00F057B8" w:rsidRPr="0007021A">
        <w:rPr>
          <w:rFonts w:ascii="Times New Roman" w:hAnsi="Times New Roman"/>
          <w:sz w:val="24"/>
          <w:szCs w:val="24"/>
        </w:rPr>
        <w:t xml:space="preserve"> </w:t>
      </w:r>
      <w:r w:rsidRPr="0007021A">
        <w:rPr>
          <w:rFonts w:ascii="Times New Roman" w:hAnsi="Times New Roman"/>
          <w:sz w:val="24"/>
          <w:szCs w:val="24"/>
        </w:rPr>
        <w:t>на</w:t>
      </w:r>
      <w:r w:rsidR="00F057B8" w:rsidRPr="0007021A">
        <w:rPr>
          <w:rFonts w:ascii="Times New Roman" w:hAnsi="Times New Roman"/>
          <w:sz w:val="24"/>
          <w:szCs w:val="24"/>
        </w:rPr>
        <w:t xml:space="preserve"> </w:t>
      </w:r>
      <w:r w:rsidRPr="0007021A">
        <w:rPr>
          <w:rFonts w:ascii="Times New Roman" w:hAnsi="Times New Roman"/>
          <w:sz w:val="24"/>
          <w:szCs w:val="24"/>
        </w:rPr>
        <w:t>акцизне</w:t>
      </w:r>
      <w:r w:rsidR="00F057B8" w:rsidRPr="0007021A">
        <w:rPr>
          <w:rFonts w:ascii="Times New Roman" w:hAnsi="Times New Roman"/>
          <w:sz w:val="24"/>
          <w:szCs w:val="24"/>
        </w:rPr>
        <w:t xml:space="preserve"> </w:t>
      </w:r>
      <w:r w:rsidRPr="0007021A">
        <w:rPr>
          <w:rFonts w:ascii="Times New Roman" w:hAnsi="Times New Roman"/>
          <w:sz w:val="24"/>
          <w:szCs w:val="24"/>
        </w:rPr>
        <w:t>производе</w:t>
      </w:r>
      <w:r w:rsidR="00F057B8" w:rsidRPr="0007021A">
        <w:rPr>
          <w:rFonts w:ascii="Times New Roman" w:hAnsi="Times New Roman"/>
          <w:sz w:val="24"/>
          <w:szCs w:val="24"/>
        </w:rPr>
        <w:t>:</w:t>
      </w:r>
      <w:r w:rsidR="0080481C" w:rsidRPr="0007021A">
        <w:rPr>
          <w:rFonts w:ascii="Times New Roman" w:hAnsi="Times New Roman"/>
          <w:sz w:val="24"/>
          <w:szCs w:val="24"/>
          <w:lang w:val="sr-Cyrl-CS"/>
        </w:rPr>
        <w:t xml:space="preserve"> </w:t>
      </w:r>
    </w:p>
    <w:p w:rsidR="00F057B8" w:rsidRPr="0007021A" w:rsidRDefault="00F057B8" w:rsidP="0007021A">
      <w:pPr>
        <w:jc w:val="both"/>
        <w:rPr>
          <w:rFonts w:ascii="Times New Roman" w:hAnsi="Times New Roman"/>
          <w:sz w:val="24"/>
          <w:szCs w:val="24"/>
        </w:rPr>
      </w:pPr>
      <w:r w:rsidRPr="0007021A">
        <w:rPr>
          <w:rFonts w:ascii="Times New Roman" w:hAnsi="Times New Roman"/>
          <w:sz w:val="24"/>
          <w:szCs w:val="24"/>
        </w:rPr>
        <w:t xml:space="preserve">1) </w:t>
      </w:r>
      <w:r w:rsidR="004949B5" w:rsidRPr="0007021A">
        <w:rPr>
          <w:rFonts w:ascii="Times New Roman" w:hAnsi="Times New Roman"/>
          <w:sz w:val="24"/>
          <w:szCs w:val="24"/>
        </w:rPr>
        <w:t>које</w:t>
      </w:r>
      <w:r w:rsidRPr="0007021A">
        <w:rPr>
          <w:rFonts w:ascii="Times New Roman" w:hAnsi="Times New Roman"/>
          <w:sz w:val="24"/>
          <w:szCs w:val="24"/>
        </w:rPr>
        <w:t xml:space="preserve"> </w:t>
      </w:r>
      <w:r w:rsidR="004949B5" w:rsidRPr="0007021A">
        <w:rPr>
          <w:rFonts w:ascii="Times New Roman" w:hAnsi="Times New Roman"/>
          <w:sz w:val="24"/>
          <w:szCs w:val="24"/>
        </w:rPr>
        <w:t>извози</w:t>
      </w:r>
      <w:r w:rsidRPr="0007021A">
        <w:rPr>
          <w:rFonts w:ascii="Times New Roman" w:hAnsi="Times New Roman"/>
          <w:sz w:val="24"/>
          <w:szCs w:val="24"/>
        </w:rPr>
        <w:t xml:space="preserve"> </w:t>
      </w:r>
      <w:r w:rsidR="004949B5" w:rsidRPr="0007021A">
        <w:rPr>
          <w:rFonts w:ascii="Times New Roman" w:hAnsi="Times New Roman"/>
          <w:sz w:val="24"/>
          <w:szCs w:val="24"/>
        </w:rPr>
        <w:t>произвођач</w:t>
      </w:r>
      <w:r w:rsidRPr="0007021A">
        <w:rPr>
          <w:rFonts w:ascii="Times New Roman" w:hAnsi="Times New Roman"/>
          <w:sz w:val="24"/>
          <w:szCs w:val="24"/>
        </w:rPr>
        <w:t>;</w:t>
      </w:r>
    </w:p>
    <w:p w:rsidR="00F057B8" w:rsidRPr="0007021A" w:rsidRDefault="00F057B8" w:rsidP="0007021A">
      <w:pPr>
        <w:jc w:val="both"/>
        <w:rPr>
          <w:rFonts w:ascii="Times New Roman" w:hAnsi="Times New Roman"/>
          <w:sz w:val="24"/>
          <w:szCs w:val="24"/>
        </w:rPr>
      </w:pPr>
      <w:r w:rsidRPr="0007021A">
        <w:rPr>
          <w:rFonts w:ascii="Times New Roman" w:hAnsi="Times New Roman"/>
          <w:sz w:val="24"/>
          <w:szCs w:val="24"/>
        </w:rPr>
        <w:t xml:space="preserve">2) </w:t>
      </w:r>
      <w:r w:rsidR="004949B5" w:rsidRPr="0007021A">
        <w:rPr>
          <w:rFonts w:ascii="Times New Roman" w:hAnsi="Times New Roman"/>
          <w:sz w:val="24"/>
          <w:szCs w:val="24"/>
        </w:rPr>
        <w:t>које</w:t>
      </w:r>
      <w:r w:rsidRPr="0007021A">
        <w:rPr>
          <w:rFonts w:ascii="Times New Roman" w:hAnsi="Times New Roman"/>
          <w:sz w:val="24"/>
          <w:szCs w:val="24"/>
        </w:rPr>
        <w:t xml:space="preserve"> </w:t>
      </w:r>
      <w:r w:rsidR="004949B5" w:rsidRPr="0007021A">
        <w:rPr>
          <w:rFonts w:ascii="Times New Roman" w:hAnsi="Times New Roman"/>
          <w:sz w:val="24"/>
          <w:szCs w:val="24"/>
        </w:rPr>
        <w:t>произвођач</w:t>
      </w:r>
      <w:r w:rsidRPr="0007021A">
        <w:rPr>
          <w:rFonts w:ascii="Times New Roman" w:hAnsi="Times New Roman"/>
          <w:sz w:val="24"/>
          <w:szCs w:val="24"/>
        </w:rPr>
        <w:t xml:space="preserve">, </w:t>
      </w:r>
      <w:r w:rsidR="004949B5" w:rsidRPr="0007021A">
        <w:rPr>
          <w:rFonts w:ascii="Times New Roman" w:hAnsi="Times New Roman"/>
          <w:sz w:val="24"/>
          <w:szCs w:val="24"/>
        </w:rPr>
        <w:t>односно</w:t>
      </w:r>
      <w:r w:rsidRPr="0007021A">
        <w:rPr>
          <w:rFonts w:ascii="Times New Roman" w:hAnsi="Times New Roman"/>
          <w:sz w:val="24"/>
          <w:szCs w:val="24"/>
        </w:rPr>
        <w:t xml:space="preserve"> </w:t>
      </w:r>
      <w:r w:rsidR="004949B5" w:rsidRPr="0007021A">
        <w:rPr>
          <w:rFonts w:ascii="Times New Roman" w:hAnsi="Times New Roman"/>
          <w:sz w:val="24"/>
          <w:szCs w:val="24"/>
        </w:rPr>
        <w:t>увозник</w:t>
      </w:r>
      <w:r w:rsidRPr="0007021A">
        <w:rPr>
          <w:rFonts w:ascii="Times New Roman" w:hAnsi="Times New Roman"/>
          <w:sz w:val="24"/>
          <w:szCs w:val="24"/>
        </w:rPr>
        <w:t xml:space="preserve"> </w:t>
      </w:r>
      <w:r w:rsidR="004949B5" w:rsidRPr="0007021A">
        <w:rPr>
          <w:rFonts w:ascii="Times New Roman" w:hAnsi="Times New Roman"/>
          <w:sz w:val="24"/>
          <w:szCs w:val="24"/>
        </w:rPr>
        <w:t>продаје</w:t>
      </w:r>
      <w:r w:rsidRPr="0007021A">
        <w:rPr>
          <w:rFonts w:ascii="Times New Roman" w:hAnsi="Times New Roman"/>
          <w:sz w:val="24"/>
          <w:szCs w:val="24"/>
        </w:rPr>
        <w:t xml:space="preserve"> </w:t>
      </w:r>
      <w:r w:rsidR="004949B5" w:rsidRPr="0007021A">
        <w:rPr>
          <w:rFonts w:ascii="Times New Roman" w:hAnsi="Times New Roman"/>
          <w:sz w:val="24"/>
          <w:szCs w:val="24"/>
        </w:rPr>
        <w:t>за</w:t>
      </w:r>
      <w:r w:rsidRPr="0007021A">
        <w:rPr>
          <w:rFonts w:ascii="Times New Roman" w:hAnsi="Times New Roman"/>
          <w:sz w:val="24"/>
          <w:szCs w:val="24"/>
        </w:rPr>
        <w:t>:</w:t>
      </w:r>
    </w:p>
    <w:p w:rsidR="00F057B8" w:rsidRPr="0007021A" w:rsidRDefault="00F057B8" w:rsidP="0007021A">
      <w:pPr>
        <w:jc w:val="both"/>
        <w:rPr>
          <w:rFonts w:ascii="Times New Roman" w:hAnsi="Times New Roman"/>
          <w:sz w:val="24"/>
          <w:szCs w:val="24"/>
        </w:rPr>
      </w:pPr>
      <w:r w:rsidRPr="0007021A">
        <w:rPr>
          <w:rFonts w:ascii="Times New Roman" w:hAnsi="Times New Roman"/>
          <w:sz w:val="24"/>
          <w:szCs w:val="24"/>
        </w:rPr>
        <w:t xml:space="preserve">(1) </w:t>
      </w:r>
      <w:r w:rsidR="004949B5" w:rsidRPr="0007021A">
        <w:rPr>
          <w:rFonts w:ascii="Times New Roman" w:hAnsi="Times New Roman"/>
          <w:sz w:val="24"/>
          <w:szCs w:val="24"/>
        </w:rPr>
        <w:t>службене</w:t>
      </w:r>
      <w:r w:rsidRPr="0007021A">
        <w:rPr>
          <w:rFonts w:ascii="Times New Roman" w:hAnsi="Times New Roman"/>
          <w:sz w:val="24"/>
          <w:szCs w:val="24"/>
        </w:rPr>
        <w:t xml:space="preserve"> </w:t>
      </w:r>
      <w:r w:rsidR="004949B5" w:rsidRPr="0007021A">
        <w:rPr>
          <w:rFonts w:ascii="Times New Roman" w:hAnsi="Times New Roman"/>
          <w:sz w:val="24"/>
          <w:szCs w:val="24"/>
        </w:rPr>
        <w:t>потребе</w:t>
      </w:r>
      <w:r w:rsidRPr="0007021A">
        <w:rPr>
          <w:rFonts w:ascii="Times New Roman" w:hAnsi="Times New Roman"/>
          <w:sz w:val="24"/>
          <w:szCs w:val="24"/>
        </w:rPr>
        <w:t xml:space="preserve"> </w:t>
      </w:r>
      <w:r w:rsidR="004949B5" w:rsidRPr="0007021A">
        <w:rPr>
          <w:rFonts w:ascii="Times New Roman" w:hAnsi="Times New Roman"/>
          <w:sz w:val="24"/>
          <w:szCs w:val="24"/>
        </w:rPr>
        <w:t>дипломатских</w:t>
      </w:r>
      <w:r w:rsidRPr="0007021A">
        <w:rPr>
          <w:rFonts w:ascii="Times New Roman" w:hAnsi="Times New Roman"/>
          <w:sz w:val="24"/>
          <w:szCs w:val="24"/>
        </w:rPr>
        <w:t xml:space="preserve"> </w:t>
      </w:r>
      <w:r w:rsidR="004949B5" w:rsidRPr="0007021A">
        <w:rPr>
          <w:rFonts w:ascii="Times New Roman" w:hAnsi="Times New Roman"/>
          <w:sz w:val="24"/>
          <w:szCs w:val="24"/>
        </w:rPr>
        <w:t>и</w:t>
      </w:r>
      <w:r w:rsidRPr="0007021A">
        <w:rPr>
          <w:rFonts w:ascii="Times New Roman" w:hAnsi="Times New Roman"/>
          <w:sz w:val="24"/>
          <w:szCs w:val="24"/>
        </w:rPr>
        <w:t xml:space="preserve"> </w:t>
      </w:r>
      <w:r w:rsidR="004949B5" w:rsidRPr="0007021A">
        <w:rPr>
          <w:rFonts w:ascii="Times New Roman" w:hAnsi="Times New Roman"/>
          <w:sz w:val="24"/>
          <w:szCs w:val="24"/>
        </w:rPr>
        <w:t>конзуларних</w:t>
      </w:r>
      <w:r w:rsidRPr="0007021A">
        <w:rPr>
          <w:rFonts w:ascii="Times New Roman" w:hAnsi="Times New Roman"/>
          <w:sz w:val="24"/>
          <w:szCs w:val="24"/>
        </w:rPr>
        <w:t xml:space="preserve"> </w:t>
      </w:r>
      <w:r w:rsidR="004949B5" w:rsidRPr="0007021A">
        <w:rPr>
          <w:rFonts w:ascii="Times New Roman" w:hAnsi="Times New Roman"/>
          <w:sz w:val="24"/>
          <w:szCs w:val="24"/>
        </w:rPr>
        <w:t>представништава</w:t>
      </w:r>
      <w:r w:rsidRPr="0007021A">
        <w:rPr>
          <w:rFonts w:ascii="Times New Roman" w:hAnsi="Times New Roman"/>
          <w:sz w:val="24"/>
          <w:szCs w:val="24"/>
        </w:rPr>
        <w:t>;</w:t>
      </w:r>
    </w:p>
    <w:p w:rsidR="00F057B8" w:rsidRPr="0007021A" w:rsidRDefault="00F057B8" w:rsidP="0007021A">
      <w:pPr>
        <w:jc w:val="both"/>
        <w:rPr>
          <w:rFonts w:ascii="Times New Roman" w:hAnsi="Times New Roman"/>
          <w:sz w:val="24"/>
          <w:szCs w:val="24"/>
        </w:rPr>
      </w:pPr>
      <w:r w:rsidRPr="0007021A">
        <w:rPr>
          <w:rFonts w:ascii="Times New Roman" w:hAnsi="Times New Roman"/>
          <w:sz w:val="24"/>
          <w:szCs w:val="24"/>
        </w:rPr>
        <w:t xml:space="preserve">(2) </w:t>
      </w:r>
      <w:r w:rsidR="004949B5" w:rsidRPr="0007021A">
        <w:rPr>
          <w:rFonts w:ascii="Times New Roman" w:hAnsi="Times New Roman"/>
          <w:sz w:val="24"/>
          <w:szCs w:val="24"/>
        </w:rPr>
        <w:t>службене</w:t>
      </w:r>
      <w:r w:rsidRPr="0007021A">
        <w:rPr>
          <w:rFonts w:ascii="Times New Roman" w:hAnsi="Times New Roman"/>
          <w:sz w:val="24"/>
          <w:szCs w:val="24"/>
        </w:rPr>
        <w:t xml:space="preserve"> </w:t>
      </w:r>
      <w:r w:rsidR="004949B5" w:rsidRPr="0007021A">
        <w:rPr>
          <w:rFonts w:ascii="Times New Roman" w:hAnsi="Times New Roman"/>
          <w:sz w:val="24"/>
          <w:szCs w:val="24"/>
        </w:rPr>
        <w:t>потребе</w:t>
      </w:r>
      <w:r w:rsidRPr="0007021A">
        <w:rPr>
          <w:rFonts w:ascii="Times New Roman" w:hAnsi="Times New Roman"/>
          <w:sz w:val="24"/>
          <w:szCs w:val="24"/>
        </w:rPr>
        <w:t xml:space="preserve"> </w:t>
      </w:r>
      <w:r w:rsidR="004949B5" w:rsidRPr="0007021A">
        <w:rPr>
          <w:rFonts w:ascii="Times New Roman" w:hAnsi="Times New Roman"/>
          <w:sz w:val="24"/>
          <w:szCs w:val="24"/>
        </w:rPr>
        <w:t>међународних</w:t>
      </w:r>
      <w:r w:rsidRPr="0007021A">
        <w:rPr>
          <w:rFonts w:ascii="Times New Roman" w:hAnsi="Times New Roman"/>
          <w:sz w:val="24"/>
          <w:szCs w:val="24"/>
        </w:rPr>
        <w:t xml:space="preserve"> </w:t>
      </w:r>
      <w:r w:rsidR="004949B5" w:rsidRPr="0007021A">
        <w:rPr>
          <w:rFonts w:ascii="Times New Roman" w:hAnsi="Times New Roman"/>
          <w:sz w:val="24"/>
          <w:szCs w:val="24"/>
        </w:rPr>
        <w:t>организација</w:t>
      </w:r>
      <w:r w:rsidRPr="0007021A">
        <w:rPr>
          <w:rFonts w:ascii="Times New Roman" w:hAnsi="Times New Roman"/>
          <w:sz w:val="24"/>
          <w:szCs w:val="24"/>
        </w:rPr>
        <w:t xml:space="preserve">, </w:t>
      </w:r>
      <w:r w:rsidR="004949B5" w:rsidRPr="0007021A">
        <w:rPr>
          <w:rFonts w:ascii="Times New Roman" w:hAnsi="Times New Roman"/>
          <w:sz w:val="24"/>
          <w:szCs w:val="24"/>
        </w:rPr>
        <w:t>ако</w:t>
      </w:r>
      <w:r w:rsidRPr="0007021A">
        <w:rPr>
          <w:rFonts w:ascii="Times New Roman" w:hAnsi="Times New Roman"/>
          <w:sz w:val="24"/>
          <w:szCs w:val="24"/>
        </w:rPr>
        <w:t xml:space="preserve"> </w:t>
      </w:r>
      <w:r w:rsidR="004949B5" w:rsidRPr="0007021A">
        <w:rPr>
          <w:rFonts w:ascii="Times New Roman" w:hAnsi="Times New Roman"/>
          <w:sz w:val="24"/>
          <w:szCs w:val="24"/>
        </w:rPr>
        <w:t>је</w:t>
      </w:r>
      <w:r w:rsidRPr="0007021A">
        <w:rPr>
          <w:rFonts w:ascii="Times New Roman" w:hAnsi="Times New Roman"/>
          <w:sz w:val="24"/>
          <w:szCs w:val="24"/>
        </w:rPr>
        <w:t xml:space="preserve"> </w:t>
      </w:r>
      <w:r w:rsidR="004949B5" w:rsidRPr="0007021A">
        <w:rPr>
          <w:rFonts w:ascii="Times New Roman" w:hAnsi="Times New Roman"/>
          <w:sz w:val="24"/>
          <w:szCs w:val="24"/>
        </w:rPr>
        <w:t>то</w:t>
      </w:r>
      <w:r w:rsidRPr="0007021A">
        <w:rPr>
          <w:rFonts w:ascii="Times New Roman" w:hAnsi="Times New Roman"/>
          <w:sz w:val="24"/>
          <w:szCs w:val="24"/>
        </w:rPr>
        <w:t xml:space="preserve"> </w:t>
      </w:r>
      <w:r w:rsidR="004949B5" w:rsidRPr="0007021A">
        <w:rPr>
          <w:rFonts w:ascii="Times New Roman" w:hAnsi="Times New Roman"/>
          <w:sz w:val="24"/>
          <w:szCs w:val="24"/>
        </w:rPr>
        <w:t>предвиђено</w:t>
      </w:r>
      <w:r w:rsidRPr="0007021A">
        <w:rPr>
          <w:rFonts w:ascii="Times New Roman" w:hAnsi="Times New Roman"/>
          <w:sz w:val="24"/>
          <w:szCs w:val="24"/>
        </w:rPr>
        <w:t xml:space="preserve"> </w:t>
      </w:r>
      <w:r w:rsidR="004949B5" w:rsidRPr="0007021A">
        <w:rPr>
          <w:rFonts w:ascii="Times New Roman" w:hAnsi="Times New Roman"/>
          <w:sz w:val="24"/>
          <w:szCs w:val="24"/>
        </w:rPr>
        <w:t>међународним</w:t>
      </w:r>
      <w:r w:rsidRPr="0007021A">
        <w:rPr>
          <w:rFonts w:ascii="Times New Roman" w:hAnsi="Times New Roman"/>
          <w:sz w:val="24"/>
          <w:szCs w:val="24"/>
        </w:rPr>
        <w:t xml:space="preserve"> </w:t>
      </w:r>
      <w:r w:rsidR="004949B5" w:rsidRPr="0007021A">
        <w:rPr>
          <w:rFonts w:ascii="Times New Roman" w:hAnsi="Times New Roman"/>
          <w:sz w:val="24"/>
          <w:szCs w:val="24"/>
        </w:rPr>
        <w:t>уговорима</w:t>
      </w:r>
      <w:r w:rsidRPr="0007021A">
        <w:rPr>
          <w:rFonts w:ascii="Times New Roman" w:hAnsi="Times New Roman"/>
          <w:sz w:val="24"/>
          <w:szCs w:val="24"/>
        </w:rPr>
        <w:t>;</w:t>
      </w:r>
    </w:p>
    <w:p w:rsidR="00F057B8" w:rsidRPr="0007021A" w:rsidRDefault="00F057B8" w:rsidP="0007021A">
      <w:pPr>
        <w:jc w:val="both"/>
        <w:rPr>
          <w:rFonts w:ascii="Times New Roman" w:hAnsi="Times New Roman"/>
          <w:sz w:val="24"/>
          <w:szCs w:val="24"/>
        </w:rPr>
      </w:pPr>
      <w:r w:rsidRPr="0007021A">
        <w:rPr>
          <w:rFonts w:ascii="Times New Roman" w:hAnsi="Times New Roman"/>
          <w:sz w:val="24"/>
          <w:szCs w:val="24"/>
        </w:rPr>
        <w:t xml:space="preserve">(3) </w:t>
      </w:r>
      <w:r w:rsidR="004949B5" w:rsidRPr="0007021A">
        <w:rPr>
          <w:rFonts w:ascii="Times New Roman" w:hAnsi="Times New Roman"/>
          <w:sz w:val="24"/>
          <w:szCs w:val="24"/>
        </w:rPr>
        <w:t>личне</w:t>
      </w:r>
      <w:r w:rsidRPr="0007021A">
        <w:rPr>
          <w:rFonts w:ascii="Times New Roman" w:hAnsi="Times New Roman"/>
          <w:sz w:val="24"/>
          <w:szCs w:val="24"/>
        </w:rPr>
        <w:t xml:space="preserve"> </w:t>
      </w:r>
      <w:r w:rsidR="004949B5" w:rsidRPr="0007021A">
        <w:rPr>
          <w:rFonts w:ascii="Times New Roman" w:hAnsi="Times New Roman"/>
          <w:sz w:val="24"/>
          <w:szCs w:val="24"/>
        </w:rPr>
        <w:t>потребе</w:t>
      </w:r>
      <w:r w:rsidRPr="0007021A">
        <w:rPr>
          <w:rFonts w:ascii="Times New Roman" w:hAnsi="Times New Roman"/>
          <w:sz w:val="24"/>
          <w:szCs w:val="24"/>
        </w:rPr>
        <w:t xml:space="preserve"> </w:t>
      </w:r>
      <w:r w:rsidR="004949B5" w:rsidRPr="0007021A">
        <w:rPr>
          <w:rFonts w:ascii="Times New Roman" w:hAnsi="Times New Roman"/>
          <w:sz w:val="24"/>
          <w:szCs w:val="24"/>
        </w:rPr>
        <w:t>страног</w:t>
      </w:r>
      <w:r w:rsidRPr="0007021A">
        <w:rPr>
          <w:rFonts w:ascii="Times New Roman" w:hAnsi="Times New Roman"/>
          <w:sz w:val="24"/>
          <w:szCs w:val="24"/>
        </w:rPr>
        <w:t xml:space="preserve"> </w:t>
      </w:r>
      <w:r w:rsidR="004949B5" w:rsidRPr="0007021A">
        <w:rPr>
          <w:rFonts w:ascii="Times New Roman" w:hAnsi="Times New Roman"/>
          <w:sz w:val="24"/>
          <w:szCs w:val="24"/>
        </w:rPr>
        <w:t>особља</w:t>
      </w:r>
      <w:r w:rsidRPr="0007021A">
        <w:rPr>
          <w:rFonts w:ascii="Times New Roman" w:hAnsi="Times New Roman"/>
          <w:sz w:val="24"/>
          <w:szCs w:val="24"/>
        </w:rPr>
        <w:t xml:space="preserve"> </w:t>
      </w:r>
      <w:r w:rsidR="004949B5" w:rsidRPr="0007021A">
        <w:rPr>
          <w:rFonts w:ascii="Times New Roman" w:hAnsi="Times New Roman"/>
          <w:sz w:val="24"/>
          <w:szCs w:val="24"/>
        </w:rPr>
        <w:t>дипломатских</w:t>
      </w:r>
      <w:r w:rsidRPr="0007021A">
        <w:rPr>
          <w:rFonts w:ascii="Times New Roman" w:hAnsi="Times New Roman"/>
          <w:sz w:val="24"/>
          <w:szCs w:val="24"/>
        </w:rPr>
        <w:t xml:space="preserve"> </w:t>
      </w:r>
      <w:r w:rsidR="004949B5" w:rsidRPr="0007021A">
        <w:rPr>
          <w:rFonts w:ascii="Times New Roman" w:hAnsi="Times New Roman"/>
          <w:sz w:val="24"/>
          <w:szCs w:val="24"/>
        </w:rPr>
        <w:t>и</w:t>
      </w:r>
      <w:r w:rsidRPr="0007021A">
        <w:rPr>
          <w:rFonts w:ascii="Times New Roman" w:hAnsi="Times New Roman"/>
          <w:sz w:val="24"/>
          <w:szCs w:val="24"/>
        </w:rPr>
        <w:t xml:space="preserve"> </w:t>
      </w:r>
      <w:r w:rsidR="004949B5" w:rsidRPr="0007021A">
        <w:rPr>
          <w:rFonts w:ascii="Times New Roman" w:hAnsi="Times New Roman"/>
          <w:sz w:val="24"/>
          <w:szCs w:val="24"/>
        </w:rPr>
        <w:t>конзуларних</w:t>
      </w:r>
      <w:r w:rsidRPr="0007021A">
        <w:rPr>
          <w:rFonts w:ascii="Times New Roman" w:hAnsi="Times New Roman"/>
          <w:sz w:val="24"/>
          <w:szCs w:val="24"/>
        </w:rPr>
        <w:t xml:space="preserve"> </w:t>
      </w:r>
      <w:r w:rsidR="004949B5" w:rsidRPr="0007021A">
        <w:rPr>
          <w:rFonts w:ascii="Times New Roman" w:hAnsi="Times New Roman"/>
          <w:sz w:val="24"/>
          <w:szCs w:val="24"/>
        </w:rPr>
        <w:t>представништава</w:t>
      </w:r>
      <w:r w:rsidRPr="0007021A">
        <w:rPr>
          <w:rFonts w:ascii="Times New Roman" w:hAnsi="Times New Roman"/>
          <w:sz w:val="24"/>
          <w:szCs w:val="24"/>
        </w:rPr>
        <w:t xml:space="preserve">, </w:t>
      </w:r>
      <w:r w:rsidR="004949B5" w:rsidRPr="0007021A">
        <w:rPr>
          <w:rFonts w:ascii="Times New Roman" w:hAnsi="Times New Roman"/>
          <w:sz w:val="24"/>
          <w:szCs w:val="24"/>
        </w:rPr>
        <w:t>укључујући</w:t>
      </w:r>
      <w:r w:rsidRPr="0007021A">
        <w:rPr>
          <w:rFonts w:ascii="Times New Roman" w:hAnsi="Times New Roman"/>
          <w:sz w:val="24"/>
          <w:szCs w:val="24"/>
        </w:rPr>
        <w:t xml:space="preserve"> </w:t>
      </w:r>
      <w:r w:rsidR="004949B5" w:rsidRPr="0007021A">
        <w:rPr>
          <w:rFonts w:ascii="Times New Roman" w:hAnsi="Times New Roman"/>
          <w:sz w:val="24"/>
          <w:szCs w:val="24"/>
        </w:rPr>
        <w:t>и</w:t>
      </w:r>
      <w:r w:rsidRPr="0007021A">
        <w:rPr>
          <w:rFonts w:ascii="Times New Roman" w:hAnsi="Times New Roman"/>
          <w:sz w:val="24"/>
          <w:szCs w:val="24"/>
        </w:rPr>
        <w:t xml:space="preserve"> </w:t>
      </w:r>
      <w:r w:rsidR="004949B5" w:rsidRPr="0007021A">
        <w:rPr>
          <w:rFonts w:ascii="Times New Roman" w:hAnsi="Times New Roman"/>
          <w:sz w:val="24"/>
          <w:szCs w:val="24"/>
        </w:rPr>
        <w:t>чланове</w:t>
      </w:r>
      <w:r w:rsidRPr="0007021A">
        <w:rPr>
          <w:rFonts w:ascii="Times New Roman" w:hAnsi="Times New Roman"/>
          <w:sz w:val="24"/>
          <w:szCs w:val="24"/>
        </w:rPr>
        <w:t xml:space="preserve"> </w:t>
      </w:r>
      <w:r w:rsidR="004949B5" w:rsidRPr="0007021A">
        <w:rPr>
          <w:rFonts w:ascii="Times New Roman" w:hAnsi="Times New Roman"/>
          <w:sz w:val="24"/>
          <w:szCs w:val="24"/>
        </w:rPr>
        <w:t>њихових</w:t>
      </w:r>
      <w:r w:rsidRPr="0007021A">
        <w:rPr>
          <w:rFonts w:ascii="Times New Roman" w:hAnsi="Times New Roman"/>
          <w:sz w:val="24"/>
          <w:szCs w:val="24"/>
        </w:rPr>
        <w:t xml:space="preserve"> </w:t>
      </w:r>
      <w:r w:rsidR="004949B5" w:rsidRPr="0007021A">
        <w:rPr>
          <w:rFonts w:ascii="Times New Roman" w:hAnsi="Times New Roman"/>
          <w:sz w:val="24"/>
          <w:szCs w:val="24"/>
        </w:rPr>
        <w:t>породица</w:t>
      </w:r>
      <w:r w:rsidRPr="0007021A">
        <w:rPr>
          <w:rFonts w:ascii="Times New Roman" w:hAnsi="Times New Roman"/>
          <w:sz w:val="24"/>
          <w:szCs w:val="24"/>
        </w:rPr>
        <w:t>;</w:t>
      </w:r>
    </w:p>
    <w:p w:rsidR="00F057B8" w:rsidRPr="0007021A" w:rsidRDefault="00F057B8" w:rsidP="0007021A">
      <w:pPr>
        <w:jc w:val="both"/>
        <w:rPr>
          <w:rFonts w:ascii="Times New Roman" w:hAnsi="Times New Roman"/>
          <w:sz w:val="24"/>
          <w:szCs w:val="24"/>
        </w:rPr>
      </w:pPr>
      <w:r w:rsidRPr="0007021A">
        <w:rPr>
          <w:rFonts w:ascii="Times New Roman" w:hAnsi="Times New Roman"/>
          <w:sz w:val="24"/>
          <w:szCs w:val="24"/>
        </w:rPr>
        <w:t xml:space="preserve">(4) </w:t>
      </w:r>
      <w:r w:rsidR="004949B5" w:rsidRPr="0007021A">
        <w:rPr>
          <w:rFonts w:ascii="Times New Roman" w:hAnsi="Times New Roman"/>
          <w:sz w:val="24"/>
          <w:szCs w:val="24"/>
        </w:rPr>
        <w:t>личне</w:t>
      </w:r>
      <w:r w:rsidRPr="0007021A">
        <w:rPr>
          <w:rFonts w:ascii="Times New Roman" w:hAnsi="Times New Roman"/>
          <w:sz w:val="24"/>
          <w:szCs w:val="24"/>
        </w:rPr>
        <w:t xml:space="preserve"> </w:t>
      </w:r>
      <w:r w:rsidR="004949B5" w:rsidRPr="0007021A">
        <w:rPr>
          <w:rFonts w:ascii="Times New Roman" w:hAnsi="Times New Roman"/>
          <w:sz w:val="24"/>
          <w:szCs w:val="24"/>
        </w:rPr>
        <w:t>потребе</w:t>
      </w:r>
      <w:r w:rsidRPr="0007021A">
        <w:rPr>
          <w:rFonts w:ascii="Times New Roman" w:hAnsi="Times New Roman"/>
          <w:sz w:val="24"/>
          <w:szCs w:val="24"/>
        </w:rPr>
        <w:t xml:space="preserve"> </w:t>
      </w:r>
      <w:r w:rsidR="004949B5" w:rsidRPr="0007021A">
        <w:rPr>
          <w:rFonts w:ascii="Times New Roman" w:hAnsi="Times New Roman"/>
          <w:sz w:val="24"/>
          <w:szCs w:val="24"/>
        </w:rPr>
        <w:t>страног</w:t>
      </w:r>
      <w:r w:rsidRPr="0007021A">
        <w:rPr>
          <w:rFonts w:ascii="Times New Roman" w:hAnsi="Times New Roman"/>
          <w:sz w:val="24"/>
          <w:szCs w:val="24"/>
        </w:rPr>
        <w:t xml:space="preserve"> </w:t>
      </w:r>
      <w:r w:rsidR="004949B5" w:rsidRPr="0007021A">
        <w:rPr>
          <w:rFonts w:ascii="Times New Roman" w:hAnsi="Times New Roman"/>
          <w:sz w:val="24"/>
          <w:szCs w:val="24"/>
        </w:rPr>
        <w:t>особља</w:t>
      </w:r>
      <w:r w:rsidRPr="0007021A">
        <w:rPr>
          <w:rFonts w:ascii="Times New Roman" w:hAnsi="Times New Roman"/>
          <w:sz w:val="24"/>
          <w:szCs w:val="24"/>
        </w:rPr>
        <w:t xml:space="preserve"> </w:t>
      </w:r>
      <w:r w:rsidR="004949B5" w:rsidRPr="0007021A">
        <w:rPr>
          <w:rFonts w:ascii="Times New Roman" w:hAnsi="Times New Roman"/>
          <w:sz w:val="24"/>
          <w:szCs w:val="24"/>
        </w:rPr>
        <w:t>међународних</w:t>
      </w:r>
      <w:r w:rsidRPr="0007021A">
        <w:rPr>
          <w:rFonts w:ascii="Times New Roman" w:hAnsi="Times New Roman"/>
          <w:sz w:val="24"/>
          <w:szCs w:val="24"/>
        </w:rPr>
        <w:t xml:space="preserve"> </w:t>
      </w:r>
      <w:r w:rsidR="004949B5" w:rsidRPr="0007021A">
        <w:rPr>
          <w:rFonts w:ascii="Times New Roman" w:hAnsi="Times New Roman"/>
          <w:sz w:val="24"/>
          <w:szCs w:val="24"/>
        </w:rPr>
        <w:t>организација</w:t>
      </w:r>
      <w:r w:rsidRPr="0007021A">
        <w:rPr>
          <w:rFonts w:ascii="Times New Roman" w:hAnsi="Times New Roman"/>
          <w:sz w:val="24"/>
          <w:szCs w:val="24"/>
        </w:rPr>
        <w:t xml:space="preserve">, </w:t>
      </w:r>
      <w:r w:rsidR="004949B5" w:rsidRPr="0007021A">
        <w:rPr>
          <w:rFonts w:ascii="Times New Roman" w:hAnsi="Times New Roman"/>
          <w:sz w:val="24"/>
          <w:szCs w:val="24"/>
        </w:rPr>
        <w:t>укључујући</w:t>
      </w:r>
      <w:r w:rsidRPr="0007021A">
        <w:rPr>
          <w:rFonts w:ascii="Times New Roman" w:hAnsi="Times New Roman"/>
          <w:sz w:val="24"/>
          <w:szCs w:val="24"/>
        </w:rPr>
        <w:t xml:space="preserve"> </w:t>
      </w:r>
      <w:r w:rsidR="004949B5" w:rsidRPr="0007021A">
        <w:rPr>
          <w:rFonts w:ascii="Times New Roman" w:hAnsi="Times New Roman"/>
          <w:sz w:val="24"/>
          <w:szCs w:val="24"/>
        </w:rPr>
        <w:t>и</w:t>
      </w:r>
      <w:r w:rsidRPr="0007021A">
        <w:rPr>
          <w:rFonts w:ascii="Times New Roman" w:hAnsi="Times New Roman"/>
          <w:sz w:val="24"/>
          <w:szCs w:val="24"/>
        </w:rPr>
        <w:t xml:space="preserve"> </w:t>
      </w:r>
      <w:r w:rsidR="004949B5" w:rsidRPr="0007021A">
        <w:rPr>
          <w:rFonts w:ascii="Times New Roman" w:hAnsi="Times New Roman"/>
          <w:sz w:val="24"/>
          <w:szCs w:val="24"/>
        </w:rPr>
        <w:t>чланове</w:t>
      </w:r>
      <w:r w:rsidRPr="0007021A">
        <w:rPr>
          <w:rFonts w:ascii="Times New Roman" w:hAnsi="Times New Roman"/>
          <w:sz w:val="24"/>
          <w:szCs w:val="24"/>
        </w:rPr>
        <w:t xml:space="preserve"> </w:t>
      </w:r>
      <w:r w:rsidR="004949B5" w:rsidRPr="0007021A">
        <w:rPr>
          <w:rFonts w:ascii="Times New Roman" w:hAnsi="Times New Roman"/>
          <w:sz w:val="24"/>
          <w:szCs w:val="24"/>
        </w:rPr>
        <w:t>њихових</w:t>
      </w:r>
      <w:r w:rsidRPr="0007021A">
        <w:rPr>
          <w:rFonts w:ascii="Times New Roman" w:hAnsi="Times New Roman"/>
          <w:sz w:val="24"/>
          <w:szCs w:val="24"/>
        </w:rPr>
        <w:t xml:space="preserve"> </w:t>
      </w:r>
      <w:r w:rsidR="004949B5" w:rsidRPr="0007021A">
        <w:rPr>
          <w:rFonts w:ascii="Times New Roman" w:hAnsi="Times New Roman"/>
          <w:sz w:val="24"/>
          <w:szCs w:val="24"/>
        </w:rPr>
        <w:t>породица</w:t>
      </w:r>
      <w:r w:rsidRPr="0007021A">
        <w:rPr>
          <w:rFonts w:ascii="Times New Roman" w:hAnsi="Times New Roman"/>
          <w:sz w:val="24"/>
          <w:szCs w:val="24"/>
        </w:rPr>
        <w:t xml:space="preserve">, </w:t>
      </w:r>
      <w:r w:rsidR="004949B5" w:rsidRPr="0007021A">
        <w:rPr>
          <w:rFonts w:ascii="Times New Roman" w:hAnsi="Times New Roman"/>
          <w:sz w:val="24"/>
          <w:szCs w:val="24"/>
        </w:rPr>
        <w:t>ако</w:t>
      </w:r>
      <w:r w:rsidRPr="0007021A">
        <w:rPr>
          <w:rFonts w:ascii="Times New Roman" w:hAnsi="Times New Roman"/>
          <w:sz w:val="24"/>
          <w:szCs w:val="24"/>
        </w:rPr>
        <w:t xml:space="preserve"> </w:t>
      </w:r>
      <w:r w:rsidR="004949B5" w:rsidRPr="0007021A">
        <w:rPr>
          <w:rFonts w:ascii="Times New Roman" w:hAnsi="Times New Roman"/>
          <w:sz w:val="24"/>
          <w:szCs w:val="24"/>
        </w:rPr>
        <w:t>је</w:t>
      </w:r>
      <w:r w:rsidRPr="0007021A">
        <w:rPr>
          <w:rFonts w:ascii="Times New Roman" w:hAnsi="Times New Roman"/>
          <w:sz w:val="24"/>
          <w:szCs w:val="24"/>
        </w:rPr>
        <w:t xml:space="preserve"> </w:t>
      </w:r>
      <w:r w:rsidR="004949B5" w:rsidRPr="0007021A">
        <w:rPr>
          <w:rFonts w:ascii="Times New Roman" w:hAnsi="Times New Roman"/>
          <w:sz w:val="24"/>
          <w:szCs w:val="24"/>
        </w:rPr>
        <w:t>то</w:t>
      </w:r>
      <w:r w:rsidRPr="0007021A">
        <w:rPr>
          <w:rFonts w:ascii="Times New Roman" w:hAnsi="Times New Roman"/>
          <w:sz w:val="24"/>
          <w:szCs w:val="24"/>
        </w:rPr>
        <w:t xml:space="preserve"> </w:t>
      </w:r>
      <w:r w:rsidR="004949B5" w:rsidRPr="0007021A">
        <w:rPr>
          <w:rFonts w:ascii="Times New Roman" w:hAnsi="Times New Roman"/>
          <w:sz w:val="24"/>
          <w:szCs w:val="24"/>
        </w:rPr>
        <w:t>предвиђено</w:t>
      </w:r>
      <w:r w:rsidRPr="0007021A">
        <w:rPr>
          <w:rFonts w:ascii="Times New Roman" w:hAnsi="Times New Roman"/>
          <w:sz w:val="24"/>
          <w:szCs w:val="24"/>
        </w:rPr>
        <w:t xml:space="preserve"> </w:t>
      </w:r>
      <w:r w:rsidR="004949B5" w:rsidRPr="0007021A">
        <w:rPr>
          <w:rFonts w:ascii="Times New Roman" w:hAnsi="Times New Roman"/>
          <w:sz w:val="24"/>
          <w:szCs w:val="24"/>
        </w:rPr>
        <w:t>међународним</w:t>
      </w:r>
      <w:r w:rsidRPr="0007021A">
        <w:rPr>
          <w:rFonts w:ascii="Times New Roman" w:hAnsi="Times New Roman"/>
          <w:sz w:val="24"/>
          <w:szCs w:val="24"/>
        </w:rPr>
        <w:t xml:space="preserve"> </w:t>
      </w:r>
      <w:r w:rsidR="004949B5" w:rsidRPr="0007021A">
        <w:rPr>
          <w:rFonts w:ascii="Times New Roman" w:hAnsi="Times New Roman"/>
          <w:sz w:val="24"/>
          <w:szCs w:val="24"/>
        </w:rPr>
        <w:t>уговорима</w:t>
      </w:r>
      <w:r w:rsidRPr="0007021A">
        <w:rPr>
          <w:rFonts w:ascii="Times New Roman" w:hAnsi="Times New Roman"/>
          <w:sz w:val="24"/>
          <w:szCs w:val="24"/>
        </w:rPr>
        <w:t>;</w:t>
      </w:r>
    </w:p>
    <w:p w:rsidR="00F057B8" w:rsidRPr="0007021A" w:rsidRDefault="00F057B8" w:rsidP="0007021A">
      <w:pPr>
        <w:jc w:val="both"/>
        <w:rPr>
          <w:rFonts w:ascii="Times New Roman" w:hAnsi="Times New Roman"/>
          <w:sz w:val="24"/>
          <w:szCs w:val="24"/>
        </w:rPr>
      </w:pPr>
      <w:r w:rsidRPr="0007021A">
        <w:rPr>
          <w:rFonts w:ascii="Times New Roman" w:hAnsi="Times New Roman"/>
          <w:sz w:val="24"/>
          <w:szCs w:val="24"/>
        </w:rPr>
        <w:t xml:space="preserve">3) </w:t>
      </w:r>
      <w:r w:rsidR="004949B5" w:rsidRPr="0007021A">
        <w:rPr>
          <w:rFonts w:ascii="Times New Roman" w:hAnsi="Times New Roman"/>
          <w:sz w:val="24"/>
          <w:szCs w:val="24"/>
        </w:rPr>
        <w:t>деривате</w:t>
      </w:r>
      <w:r w:rsidRPr="0007021A">
        <w:rPr>
          <w:rFonts w:ascii="Times New Roman" w:hAnsi="Times New Roman"/>
          <w:sz w:val="24"/>
          <w:szCs w:val="24"/>
        </w:rPr>
        <w:t xml:space="preserve"> </w:t>
      </w:r>
      <w:r w:rsidR="004949B5" w:rsidRPr="0007021A">
        <w:rPr>
          <w:rFonts w:ascii="Times New Roman" w:hAnsi="Times New Roman"/>
          <w:sz w:val="24"/>
          <w:szCs w:val="24"/>
        </w:rPr>
        <w:t>нафте</w:t>
      </w:r>
      <w:r w:rsidRPr="0007021A">
        <w:rPr>
          <w:rFonts w:ascii="Times New Roman" w:hAnsi="Times New Roman"/>
          <w:sz w:val="24"/>
          <w:szCs w:val="24"/>
        </w:rPr>
        <w:t xml:space="preserve">, </w:t>
      </w:r>
      <w:r w:rsidR="004949B5" w:rsidRPr="0007021A">
        <w:rPr>
          <w:rFonts w:ascii="Times New Roman" w:hAnsi="Times New Roman"/>
          <w:sz w:val="24"/>
          <w:szCs w:val="24"/>
        </w:rPr>
        <w:t>биогорива</w:t>
      </w:r>
      <w:r w:rsidRPr="0007021A">
        <w:rPr>
          <w:rFonts w:ascii="Times New Roman" w:hAnsi="Times New Roman"/>
          <w:sz w:val="24"/>
          <w:szCs w:val="24"/>
        </w:rPr>
        <w:t xml:space="preserve"> </w:t>
      </w:r>
      <w:r w:rsidR="004949B5" w:rsidRPr="0007021A">
        <w:rPr>
          <w:rFonts w:ascii="Times New Roman" w:hAnsi="Times New Roman"/>
          <w:sz w:val="24"/>
          <w:szCs w:val="24"/>
        </w:rPr>
        <w:t>и</w:t>
      </w:r>
      <w:r w:rsidRPr="0007021A">
        <w:rPr>
          <w:rFonts w:ascii="Times New Roman" w:hAnsi="Times New Roman"/>
          <w:sz w:val="24"/>
          <w:szCs w:val="24"/>
        </w:rPr>
        <w:t xml:space="preserve"> </w:t>
      </w:r>
      <w:r w:rsidR="004949B5" w:rsidRPr="0007021A">
        <w:rPr>
          <w:rFonts w:ascii="Times New Roman" w:hAnsi="Times New Roman"/>
          <w:sz w:val="24"/>
          <w:szCs w:val="24"/>
        </w:rPr>
        <w:t>биотечности</w:t>
      </w:r>
      <w:r w:rsidRPr="0007021A">
        <w:rPr>
          <w:rFonts w:ascii="Times New Roman" w:hAnsi="Times New Roman"/>
          <w:sz w:val="24"/>
          <w:szCs w:val="24"/>
        </w:rPr>
        <w:t xml:space="preserve"> </w:t>
      </w:r>
      <w:r w:rsidR="004949B5" w:rsidRPr="0007021A">
        <w:rPr>
          <w:rFonts w:ascii="Times New Roman" w:hAnsi="Times New Roman"/>
          <w:sz w:val="24"/>
          <w:szCs w:val="24"/>
        </w:rPr>
        <w:t>које</w:t>
      </w:r>
      <w:r w:rsidRPr="0007021A">
        <w:rPr>
          <w:rFonts w:ascii="Times New Roman" w:hAnsi="Times New Roman"/>
          <w:sz w:val="24"/>
          <w:szCs w:val="24"/>
        </w:rPr>
        <w:t xml:space="preserve"> </w:t>
      </w:r>
      <w:r w:rsidR="004949B5" w:rsidRPr="0007021A">
        <w:rPr>
          <w:rFonts w:ascii="Times New Roman" w:hAnsi="Times New Roman"/>
          <w:sz w:val="24"/>
          <w:szCs w:val="24"/>
        </w:rPr>
        <w:t>продаје</w:t>
      </w:r>
      <w:r w:rsidRPr="0007021A">
        <w:rPr>
          <w:rFonts w:ascii="Times New Roman" w:hAnsi="Times New Roman"/>
          <w:sz w:val="24"/>
          <w:szCs w:val="24"/>
        </w:rPr>
        <w:t xml:space="preserve"> </w:t>
      </w:r>
      <w:r w:rsidR="004949B5" w:rsidRPr="0007021A">
        <w:rPr>
          <w:rFonts w:ascii="Times New Roman" w:hAnsi="Times New Roman"/>
          <w:sz w:val="24"/>
          <w:szCs w:val="24"/>
        </w:rPr>
        <w:t>произвођач</w:t>
      </w:r>
      <w:r w:rsidRPr="0007021A">
        <w:rPr>
          <w:rFonts w:ascii="Times New Roman" w:hAnsi="Times New Roman"/>
          <w:sz w:val="24"/>
          <w:szCs w:val="24"/>
        </w:rPr>
        <w:t xml:space="preserve">, </w:t>
      </w:r>
      <w:r w:rsidR="004949B5" w:rsidRPr="0007021A">
        <w:rPr>
          <w:rFonts w:ascii="Times New Roman" w:hAnsi="Times New Roman"/>
          <w:sz w:val="24"/>
          <w:szCs w:val="24"/>
        </w:rPr>
        <w:t>односно</w:t>
      </w:r>
      <w:r w:rsidRPr="0007021A">
        <w:rPr>
          <w:rFonts w:ascii="Times New Roman" w:hAnsi="Times New Roman"/>
          <w:sz w:val="24"/>
          <w:szCs w:val="24"/>
        </w:rPr>
        <w:t xml:space="preserve"> </w:t>
      </w:r>
      <w:r w:rsidR="004949B5" w:rsidRPr="0007021A">
        <w:rPr>
          <w:rFonts w:ascii="Times New Roman" w:hAnsi="Times New Roman"/>
          <w:sz w:val="24"/>
          <w:szCs w:val="24"/>
        </w:rPr>
        <w:t>увозник</w:t>
      </w:r>
      <w:r w:rsidRPr="0007021A">
        <w:rPr>
          <w:rFonts w:ascii="Times New Roman" w:hAnsi="Times New Roman"/>
          <w:sz w:val="24"/>
          <w:szCs w:val="24"/>
        </w:rPr>
        <w:t xml:space="preserve">, </w:t>
      </w:r>
      <w:r w:rsidR="004949B5" w:rsidRPr="0007021A">
        <w:rPr>
          <w:rFonts w:ascii="Times New Roman" w:hAnsi="Times New Roman"/>
          <w:sz w:val="24"/>
          <w:szCs w:val="24"/>
        </w:rPr>
        <w:t>а</w:t>
      </w:r>
      <w:r w:rsidRPr="0007021A">
        <w:rPr>
          <w:rFonts w:ascii="Times New Roman" w:hAnsi="Times New Roman"/>
          <w:sz w:val="24"/>
          <w:szCs w:val="24"/>
        </w:rPr>
        <w:t xml:space="preserve"> </w:t>
      </w:r>
      <w:r w:rsidR="004949B5" w:rsidRPr="0007021A">
        <w:rPr>
          <w:rFonts w:ascii="Times New Roman" w:hAnsi="Times New Roman"/>
          <w:sz w:val="24"/>
          <w:szCs w:val="24"/>
        </w:rPr>
        <w:t>чији</w:t>
      </w:r>
      <w:r w:rsidRPr="0007021A">
        <w:rPr>
          <w:rFonts w:ascii="Times New Roman" w:hAnsi="Times New Roman"/>
          <w:sz w:val="24"/>
          <w:szCs w:val="24"/>
        </w:rPr>
        <w:t xml:space="preserve"> </w:t>
      </w:r>
      <w:r w:rsidR="004949B5" w:rsidRPr="0007021A">
        <w:rPr>
          <w:rFonts w:ascii="Times New Roman" w:hAnsi="Times New Roman"/>
          <w:sz w:val="24"/>
          <w:szCs w:val="24"/>
        </w:rPr>
        <w:t>се</w:t>
      </w:r>
      <w:r w:rsidRPr="0007021A">
        <w:rPr>
          <w:rFonts w:ascii="Times New Roman" w:hAnsi="Times New Roman"/>
          <w:sz w:val="24"/>
          <w:szCs w:val="24"/>
        </w:rPr>
        <w:t xml:space="preserve"> </w:t>
      </w:r>
      <w:r w:rsidR="004949B5" w:rsidRPr="0007021A">
        <w:rPr>
          <w:rFonts w:ascii="Times New Roman" w:hAnsi="Times New Roman"/>
          <w:sz w:val="24"/>
          <w:szCs w:val="24"/>
        </w:rPr>
        <w:t>промет</w:t>
      </w:r>
      <w:r w:rsidRPr="0007021A">
        <w:rPr>
          <w:rFonts w:ascii="Times New Roman" w:hAnsi="Times New Roman"/>
          <w:sz w:val="24"/>
          <w:szCs w:val="24"/>
        </w:rPr>
        <w:t xml:space="preserve"> </w:t>
      </w:r>
      <w:r w:rsidR="004949B5" w:rsidRPr="0007021A">
        <w:rPr>
          <w:rFonts w:ascii="Times New Roman" w:hAnsi="Times New Roman"/>
          <w:sz w:val="24"/>
          <w:szCs w:val="24"/>
        </w:rPr>
        <w:t>врши</w:t>
      </w:r>
      <w:r w:rsidRPr="0007021A">
        <w:rPr>
          <w:rFonts w:ascii="Times New Roman" w:hAnsi="Times New Roman"/>
          <w:sz w:val="24"/>
          <w:szCs w:val="24"/>
        </w:rPr>
        <w:t xml:space="preserve"> </w:t>
      </w:r>
      <w:r w:rsidR="004949B5" w:rsidRPr="0007021A">
        <w:rPr>
          <w:rFonts w:ascii="Times New Roman" w:hAnsi="Times New Roman"/>
          <w:sz w:val="24"/>
          <w:szCs w:val="24"/>
        </w:rPr>
        <w:t>на</w:t>
      </w:r>
      <w:r w:rsidRPr="0007021A">
        <w:rPr>
          <w:rFonts w:ascii="Times New Roman" w:hAnsi="Times New Roman"/>
          <w:sz w:val="24"/>
          <w:szCs w:val="24"/>
        </w:rPr>
        <w:t xml:space="preserve"> </w:t>
      </w:r>
      <w:r w:rsidR="004949B5" w:rsidRPr="0007021A">
        <w:rPr>
          <w:rFonts w:ascii="Times New Roman" w:hAnsi="Times New Roman"/>
          <w:sz w:val="24"/>
          <w:szCs w:val="24"/>
        </w:rPr>
        <w:t>основу</w:t>
      </w:r>
      <w:r w:rsidRPr="0007021A">
        <w:rPr>
          <w:rFonts w:ascii="Times New Roman" w:hAnsi="Times New Roman"/>
          <w:sz w:val="24"/>
          <w:szCs w:val="24"/>
        </w:rPr>
        <w:t xml:space="preserve"> </w:t>
      </w:r>
      <w:r w:rsidR="004949B5" w:rsidRPr="0007021A">
        <w:rPr>
          <w:rFonts w:ascii="Times New Roman" w:hAnsi="Times New Roman"/>
          <w:sz w:val="24"/>
          <w:szCs w:val="24"/>
        </w:rPr>
        <w:t>међународног</w:t>
      </w:r>
      <w:r w:rsidRPr="0007021A">
        <w:rPr>
          <w:rFonts w:ascii="Times New Roman" w:hAnsi="Times New Roman"/>
          <w:sz w:val="24"/>
          <w:szCs w:val="24"/>
        </w:rPr>
        <w:t xml:space="preserve"> </w:t>
      </w:r>
      <w:r w:rsidR="004949B5" w:rsidRPr="0007021A">
        <w:rPr>
          <w:rFonts w:ascii="Times New Roman" w:hAnsi="Times New Roman"/>
          <w:sz w:val="24"/>
          <w:szCs w:val="24"/>
        </w:rPr>
        <w:t>уговора</w:t>
      </w:r>
      <w:r w:rsidRPr="0007021A">
        <w:rPr>
          <w:rFonts w:ascii="Times New Roman" w:hAnsi="Times New Roman"/>
          <w:sz w:val="24"/>
          <w:szCs w:val="24"/>
        </w:rPr>
        <w:t xml:space="preserve">, </w:t>
      </w:r>
      <w:r w:rsidR="004949B5" w:rsidRPr="0007021A">
        <w:rPr>
          <w:rFonts w:ascii="Times New Roman" w:hAnsi="Times New Roman"/>
          <w:sz w:val="24"/>
          <w:szCs w:val="24"/>
        </w:rPr>
        <w:t>ако</w:t>
      </w:r>
      <w:r w:rsidRPr="0007021A">
        <w:rPr>
          <w:rFonts w:ascii="Times New Roman" w:hAnsi="Times New Roman"/>
          <w:sz w:val="24"/>
          <w:szCs w:val="24"/>
        </w:rPr>
        <w:t xml:space="preserve"> </w:t>
      </w:r>
      <w:r w:rsidR="004949B5" w:rsidRPr="0007021A">
        <w:rPr>
          <w:rFonts w:ascii="Times New Roman" w:hAnsi="Times New Roman"/>
          <w:sz w:val="24"/>
          <w:szCs w:val="24"/>
        </w:rPr>
        <w:t>је</w:t>
      </w:r>
      <w:r w:rsidRPr="0007021A">
        <w:rPr>
          <w:rFonts w:ascii="Times New Roman" w:hAnsi="Times New Roman"/>
          <w:sz w:val="24"/>
          <w:szCs w:val="24"/>
        </w:rPr>
        <w:t xml:space="preserve"> </w:t>
      </w:r>
      <w:r w:rsidR="004949B5" w:rsidRPr="0007021A">
        <w:rPr>
          <w:rFonts w:ascii="Times New Roman" w:hAnsi="Times New Roman"/>
          <w:sz w:val="24"/>
          <w:szCs w:val="24"/>
        </w:rPr>
        <w:t>тим</w:t>
      </w:r>
      <w:r w:rsidRPr="0007021A">
        <w:rPr>
          <w:rFonts w:ascii="Times New Roman" w:hAnsi="Times New Roman"/>
          <w:sz w:val="24"/>
          <w:szCs w:val="24"/>
        </w:rPr>
        <w:t xml:space="preserve"> </w:t>
      </w:r>
      <w:r w:rsidR="004949B5" w:rsidRPr="0007021A">
        <w:rPr>
          <w:rFonts w:ascii="Times New Roman" w:hAnsi="Times New Roman"/>
          <w:sz w:val="24"/>
          <w:szCs w:val="24"/>
        </w:rPr>
        <w:t>уговором</w:t>
      </w:r>
      <w:r w:rsidRPr="0007021A">
        <w:rPr>
          <w:rFonts w:ascii="Times New Roman" w:hAnsi="Times New Roman"/>
          <w:sz w:val="24"/>
          <w:szCs w:val="24"/>
        </w:rPr>
        <w:t xml:space="preserve"> </w:t>
      </w:r>
      <w:r w:rsidR="004949B5" w:rsidRPr="0007021A">
        <w:rPr>
          <w:rFonts w:ascii="Times New Roman" w:hAnsi="Times New Roman"/>
          <w:sz w:val="24"/>
          <w:szCs w:val="24"/>
        </w:rPr>
        <w:t>предвиђено</w:t>
      </w:r>
      <w:r w:rsidRPr="0007021A">
        <w:rPr>
          <w:rFonts w:ascii="Times New Roman" w:hAnsi="Times New Roman"/>
          <w:sz w:val="24"/>
          <w:szCs w:val="24"/>
        </w:rPr>
        <w:t xml:space="preserve"> </w:t>
      </w:r>
      <w:r w:rsidR="004949B5" w:rsidRPr="0007021A">
        <w:rPr>
          <w:rFonts w:ascii="Times New Roman" w:hAnsi="Times New Roman"/>
          <w:sz w:val="24"/>
          <w:szCs w:val="24"/>
        </w:rPr>
        <w:t>ослобођење</w:t>
      </w:r>
      <w:r w:rsidRPr="0007021A">
        <w:rPr>
          <w:rFonts w:ascii="Times New Roman" w:hAnsi="Times New Roman"/>
          <w:sz w:val="24"/>
          <w:szCs w:val="24"/>
        </w:rPr>
        <w:t xml:space="preserve"> </w:t>
      </w:r>
      <w:r w:rsidR="004949B5" w:rsidRPr="0007021A">
        <w:rPr>
          <w:rFonts w:ascii="Times New Roman" w:hAnsi="Times New Roman"/>
          <w:sz w:val="24"/>
          <w:szCs w:val="24"/>
        </w:rPr>
        <w:t>од</w:t>
      </w:r>
      <w:r w:rsidRPr="0007021A">
        <w:rPr>
          <w:rFonts w:ascii="Times New Roman" w:hAnsi="Times New Roman"/>
          <w:sz w:val="24"/>
          <w:szCs w:val="24"/>
        </w:rPr>
        <w:t xml:space="preserve"> </w:t>
      </w:r>
      <w:r w:rsidR="004949B5" w:rsidRPr="0007021A">
        <w:rPr>
          <w:rFonts w:ascii="Times New Roman" w:hAnsi="Times New Roman"/>
          <w:sz w:val="24"/>
          <w:szCs w:val="24"/>
        </w:rPr>
        <w:t>плаћања</w:t>
      </w:r>
      <w:r w:rsidRPr="0007021A">
        <w:rPr>
          <w:rFonts w:ascii="Times New Roman" w:hAnsi="Times New Roman"/>
          <w:sz w:val="24"/>
          <w:szCs w:val="24"/>
        </w:rPr>
        <w:t xml:space="preserve"> </w:t>
      </w:r>
      <w:r w:rsidR="004949B5" w:rsidRPr="0007021A">
        <w:rPr>
          <w:rFonts w:ascii="Times New Roman" w:hAnsi="Times New Roman"/>
          <w:sz w:val="24"/>
          <w:szCs w:val="24"/>
        </w:rPr>
        <w:t>акцизе</w:t>
      </w:r>
      <w:r w:rsidRPr="0007021A">
        <w:rPr>
          <w:rFonts w:ascii="Times New Roman" w:hAnsi="Times New Roman"/>
          <w:sz w:val="24"/>
          <w:szCs w:val="24"/>
        </w:rPr>
        <w:t>;</w:t>
      </w:r>
    </w:p>
    <w:p w:rsidR="00F057B8" w:rsidRPr="0007021A" w:rsidRDefault="00F057B8" w:rsidP="0007021A">
      <w:pPr>
        <w:jc w:val="both"/>
        <w:rPr>
          <w:rFonts w:ascii="Times New Roman" w:hAnsi="Times New Roman"/>
          <w:sz w:val="24"/>
          <w:szCs w:val="24"/>
          <w:lang w:val="sr-Cyrl-CS"/>
        </w:rPr>
      </w:pPr>
      <w:r w:rsidRPr="0007021A">
        <w:rPr>
          <w:rFonts w:ascii="Times New Roman" w:hAnsi="Times New Roman"/>
          <w:sz w:val="24"/>
          <w:szCs w:val="24"/>
        </w:rPr>
        <w:lastRenderedPageBreak/>
        <w:t xml:space="preserve">4) </w:t>
      </w:r>
      <w:r w:rsidR="004949B5" w:rsidRPr="0007021A">
        <w:rPr>
          <w:rFonts w:ascii="Times New Roman" w:hAnsi="Times New Roman"/>
          <w:sz w:val="24"/>
          <w:szCs w:val="24"/>
        </w:rPr>
        <w:t>које</w:t>
      </w:r>
      <w:r w:rsidRPr="0007021A">
        <w:rPr>
          <w:rFonts w:ascii="Times New Roman" w:hAnsi="Times New Roman"/>
          <w:sz w:val="24"/>
          <w:szCs w:val="24"/>
        </w:rPr>
        <w:t xml:space="preserve"> </w:t>
      </w:r>
      <w:r w:rsidR="004949B5" w:rsidRPr="0007021A">
        <w:rPr>
          <w:rFonts w:ascii="Times New Roman" w:hAnsi="Times New Roman"/>
          <w:sz w:val="24"/>
          <w:szCs w:val="24"/>
        </w:rPr>
        <w:t>произвођач</w:t>
      </w:r>
      <w:r w:rsidRPr="0007021A">
        <w:rPr>
          <w:rFonts w:ascii="Times New Roman" w:hAnsi="Times New Roman"/>
          <w:sz w:val="24"/>
          <w:szCs w:val="24"/>
        </w:rPr>
        <w:t xml:space="preserve">, </w:t>
      </w:r>
      <w:r w:rsidR="004949B5" w:rsidRPr="0007021A">
        <w:rPr>
          <w:rFonts w:ascii="Times New Roman" w:hAnsi="Times New Roman"/>
          <w:sz w:val="24"/>
          <w:szCs w:val="24"/>
        </w:rPr>
        <w:t>односно</w:t>
      </w:r>
      <w:r w:rsidRPr="0007021A">
        <w:rPr>
          <w:rFonts w:ascii="Times New Roman" w:hAnsi="Times New Roman"/>
          <w:sz w:val="24"/>
          <w:szCs w:val="24"/>
        </w:rPr>
        <w:t xml:space="preserve"> </w:t>
      </w:r>
      <w:r w:rsidR="004949B5" w:rsidRPr="0007021A">
        <w:rPr>
          <w:rFonts w:ascii="Times New Roman" w:hAnsi="Times New Roman"/>
          <w:sz w:val="24"/>
          <w:szCs w:val="24"/>
        </w:rPr>
        <w:t>увозник</w:t>
      </w:r>
      <w:r w:rsidRPr="0007021A">
        <w:rPr>
          <w:rFonts w:ascii="Times New Roman" w:hAnsi="Times New Roman"/>
          <w:sz w:val="24"/>
          <w:szCs w:val="24"/>
        </w:rPr>
        <w:t xml:space="preserve"> </w:t>
      </w:r>
      <w:r w:rsidR="004949B5" w:rsidRPr="0007021A">
        <w:rPr>
          <w:rFonts w:ascii="Times New Roman" w:hAnsi="Times New Roman"/>
          <w:sz w:val="24"/>
          <w:szCs w:val="24"/>
        </w:rPr>
        <w:t>отпрема</w:t>
      </w:r>
      <w:r w:rsidRPr="0007021A">
        <w:rPr>
          <w:rFonts w:ascii="Times New Roman" w:hAnsi="Times New Roman"/>
          <w:sz w:val="24"/>
          <w:szCs w:val="24"/>
        </w:rPr>
        <w:t xml:space="preserve"> </w:t>
      </w:r>
      <w:r w:rsidR="004949B5" w:rsidRPr="0007021A">
        <w:rPr>
          <w:rFonts w:ascii="Times New Roman" w:hAnsi="Times New Roman"/>
          <w:sz w:val="24"/>
          <w:szCs w:val="24"/>
        </w:rPr>
        <w:t>ради</w:t>
      </w:r>
      <w:r w:rsidRPr="0007021A">
        <w:rPr>
          <w:rFonts w:ascii="Times New Roman" w:hAnsi="Times New Roman"/>
          <w:sz w:val="24"/>
          <w:szCs w:val="24"/>
        </w:rPr>
        <w:t xml:space="preserve"> </w:t>
      </w:r>
      <w:r w:rsidR="004949B5" w:rsidRPr="0007021A">
        <w:rPr>
          <w:rFonts w:ascii="Times New Roman" w:hAnsi="Times New Roman"/>
          <w:sz w:val="24"/>
          <w:szCs w:val="24"/>
        </w:rPr>
        <w:t>продаје</w:t>
      </w:r>
      <w:r w:rsidRPr="0007021A">
        <w:rPr>
          <w:rFonts w:ascii="Times New Roman" w:hAnsi="Times New Roman"/>
          <w:sz w:val="24"/>
          <w:szCs w:val="24"/>
        </w:rPr>
        <w:t xml:space="preserve"> </w:t>
      </w:r>
      <w:r w:rsidR="004949B5" w:rsidRPr="0007021A">
        <w:rPr>
          <w:rFonts w:ascii="Times New Roman" w:hAnsi="Times New Roman"/>
          <w:sz w:val="24"/>
          <w:szCs w:val="24"/>
        </w:rPr>
        <w:t>у</w:t>
      </w:r>
      <w:r w:rsidRPr="0007021A">
        <w:rPr>
          <w:rFonts w:ascii="Times New Roman" w:hAnsi="Times New Roman"/>
          <w:sz w:val="24"/>
          <w:szCs w:val="24"/>
        </w:rPr>
        <w:t xml:space="preserve"> </w:t>
      </w:r>
      <w:r w:rsidR="004949B5" w:rsidRPr="0007021A">
        <w:rPr>
          <w:rFonts w:ascii="Times New Roman" w:hAnsi="Times New Roman"/>
          <w:sz w:val="24"/>
          <w:szCs w:val="24"/>
        </w:rPr>
        <w:t>авионима</w:t>
      </w:r>
      <w:r w:rsidRPr="0007021A">
        <w:rPr>
          <w:rFonts w:ascii="Times New Roman" w:hAnsi="Times New Roman"/>
          <w:sz w:val="24"/>
          <w:szCs w:val="24"/>
        </w:rPr>
        <w:t xml:space="preserve"> </w:t>
      </w:r>
      <w:r w:rsidR="004949B5" w:rsidRPr="0007021A">
        <w:rPr>
          <w:rFonts w:ascii="Times New Roman" w:hAnsi="Times New Roman"/>
          <w:sz w:val="24"/>
          <w:szCs w:val="24"/>
        </w:rPr>
        <w:t>и</w:t>
      </w:r>
      <w:r w:rsidRPr="0007021A">
        <w:rPr>
          <w:rFonts w:ascii="Times New Roman" w:hAnsi="Times New Roman"/>
          <w:sz w:val="24"/>
          <w:szCs w:val="24"/>
        </w:rPr>
        <w:t xml:space="preserve"> </w:t>
      </w:r>
      <w:r w:rsidR="004949B5" w:rsidRPr="0007021A">
        <w:rPr>
          <w:rFonts w:ascii="Times New Roman" w:hAnsi="Times New Roman"/>
          <w:sz w:val="24"/>
          <w:szCs w:val="24"/>
        </w:rPr>
        <w:t>бродовима</w:t>
      </w:r>
      <w:r w:rsidRPr="0007021A">
        <w:rPr>
          <w:rFonts w:ascii="Times New Roman" w:hAnsi="Times New Roman"/>
          <w:sz w:val="24"/>
          <w:szCs w:val="24"/>
        </w:rPr>
        <w:t xml:space="preserve"> </w:t>
      </w:r>
      <w:r w:rsidR="004949B5" w:rsidRPr="0007021A">
        <w:rPr>
          <w:rFonts w:ascii="Times New Roman" w:hAnsi="Times New Roman"/>
          <w:sz w:val="24"/>
          <w:szCs w:val="24"/>
        </w:rPr>
        <w:t>који</w:t>
      </w:r>
      <w:r w:rsidRPr="0007021A">
        <w:rPr>
          <w:rFonts w:ascii="Times New Roman" w:hAnsi="Times New Roman"/>
          <w:sz w:val="24"/>
          <w:szCs w:val="24"/>
        </w:rPr>
        <w:t xml:space="preserve"> </w:t>
      </w:r>
      <w:r w:rsidR="004949B5" w:rsidRPr="0007021A">
        <w:rPr>
          <w:rFonts w:ascii="Times New Roman" w:hAnsi="Times New Roman"/>
          <w:sz w:val="24"/>
          <w:szCs w:val="24"/>
        </w:rPr>
        <w:t>саобраћају</w:t>
      </w:r>
      <w:r w:rsidRPr="0007021A">
        <w:rPr>
          <w:rFonts w:ascii="Times New Roman" w:hAnsi="Times New Roman"/>
          <w:sz w:val="24"/>
          <w:szCs w:val="24"/>
        </w:rPr>
        <w:t xml:space="preserve"> </w:t>
      </w:r>
      <w:r w:rsidR="004949B5" w:rsidRPr="0007021A">
        <w:rPr>
          <w:rFonts w:ascii="Times New Roman" w:hAnsi="Times New Roman"/>
          <w:sz w:val="24"/>
          <w:szCs w:val="24"/>
        </w:rPr>
        <w:t>на</w:t>
      </w:r>
      <w:r w:rsidRPr="0007021A">
        <w:rPr>
          <w:rFonts w:ascii="Times New Roman" w:hAnsi="Times New Roman"/>
          <w:sz w:val="24"/>
          <w:szCs w:val="24"/>
        </w:rPr>
        <w:t xml:space="preserve"> </w:t>
      </w:r>
      <w:r w:rsidR="004949B5" w:rsidRPr="0007021A">
        <w:rPr>
          <w:rFonts w:ascii="Times New Roman" w:hAnsi="Times New Roman"/>
          <w:sz w:val="24"/>
          <w:szCs w:val="24"/>
        </w:rPr>
        <w:t>међународним</w:t>
      </w:r>
      <w:r w:rsidRPr="0007021A">
        <w:rPr>
          <w:rFonts w:ascii="Times New Roman" w:hAnsi="Times New Roman"/>
          <w:sz w:val="24"/>
          <w:szCs w:val="24"/>
        </w:rPr>
        <w:t xml:space="preserve"> </w:t>
      </w:r>
      <w:r w:rsidR="004949B5" w:rsidRPr="0007021A">
        <w:rPr>
          <w:rFonts w:ascii="Times New Roman" w:hAnsi="Times New Roman"/>
          <w:sz w:val="24"/>
          <w:szCs w:val="24"/>
        </w:rPr>
        <w:t>линијама</w:t>
      </w:r>
      <w:r w:rsidRPr="0007021A">
        <w:rPr>
          <w:rFonts w:ascii="Times New Roman" w:hAnsi="Times New Roman"/>
          <w:sz w:val="24"/>
          <w:szCs w:val="24"/>
        </w:rPr>
        <w:t xml:space="preserve">, </w:t>
      </w:r>
      <w:r w:rsidR="004949B5" w:rsidRPr="0007021A">
        <w:rPr>
          <w:rFonts w:ascii="Times New Roman" w:hAnsi="Times New Roman"/>
          <w:sz w:val="24"/>
          <w:szCs w:val="24"/>
        </w:rPr>
        <w:t>као</w:t>
      </w:r>
      <w:r w:rsidRPr="0007021A">
        <w:rPr>
          <w:rFonts w:ascii="Times New Roman" w:hAnsi="Times New Roman"/>
          <w:sz w:val="24"/>
          <w:szCs w:val="24"/>
        </w:rPr>
        <w:t xml:space="preserve"> </w:t>
      </w:r>
      <w:r w:rsidR="004949B5" w:rsidRPr="0007021A">
        <w:rPr>
          <w:rFonts w:ascii="Times New Roman" w:hAnsi="Times New Roman"/>
          <w:sz w:val="24"/>
          <w:szCs w:val="24"/>
        </w:rPr>
        <w:t>и</w:t>
      </w:r>
      <w:r w:rsidRPr="0007021A">
        <w:rPr>
          <w:rFonts w:ascii="Times New Roman" w:hAnsi="Times New Roman"/>
          <w:sz w:val="24"/>
          <w:szCs w:val="24"/>
        </w:rPr>
        <w:t xml:space="preserve"> </w:t>
      </w:r>
      <w:r w:rsidR="004949B5" w:rsidRPr="0007021A">
        <w:rPr>
          <w:rFonts w:ascii="Times New Roman" w:hAnsi="Times New Roman"/>
          <w:sz w:val="24"/>
          <w:szCs w:val="24"/>
        </w:rPr>
        <w:t>на</w:t>
      </w:r>
      <w:r w:rsidRPr="0007021A">
        <w:rPr>
          <w:rFonts w:ascii="Times New Roman" w:hAnsi="Times New Roman"/>
          <w:sz w:val="24"/>
          <w:szCs w:val="24"/>
        </w:rPr>
        <w:t xml:space="preserve"> </w:t>
      </w:r>
      <w:r w:rsidR="004949B5" w:rsidRPr="0007021A">
        <w:rPr>
          <w:rFonts w:ascii="Times New Roman" w:hAnsi="Times New Roman"/>
          <w:sz w:val="24"/>
          <w:szCs w:val="24"/>
        </w:rPr>
        <w:t>производе</w:t>
      </w:r>
      <w:r w:rsidRPr="0007021A">
        <w:rPr>
          <w:rFonts w:ascii="Times New Roman" w:hAnsi="Times New Roman"/>
          <w:sz w:val="24"/>
          <w:szCs w:val="24"/>
        </w:rPr>
        <w:t xml:space="preserve"> </w:t>
      </w:r>
      <w:r w:rsidR="004949B5" w:rsidRPr="0007021A">
        <w:rPr>
          <w:rFonts w:ascii="Times New Roman" w:hAnsi="Times New Roman"/>
          <w:sz w:val="24"/>
          <w:szCs w:val="24"/>
        </w:rPr>
        <w:t>који</w:t>
      </w:r>
      <w:r w:rsidRPr="0007021A">
        <w:rPr>
          <w:rFonts w:ascii="Times New Roman" w:hAnsi="Times New Roman"/>
          <w:sz w:val="24"/>
          <w:szCs w:val="24"/>
        </w:rPr>
        <w:t xml:space="preserve"> </w:t>
      </w:r>
      <w:r w:rsidR="004949B5" w:rsidRPr="0007021A">
        <w:rPr>
          <w:rFonts w:ascii="Times New Roman" w:hAnsi="Times New Roman"/>
          <w:sz w:val="24"/>
          <w:szCs w:val="24"/>
        </w:rPr>
        <w:t>се</w:t>
      </w:r>
      <w:r w:rsidRPr="0007021A">
        <w:rPr>
          <w:rFonts w:ascii="Times New Roman" w:hAnsi="Times New Roman"/>
          <w:sz w:val="24"/>
          <w:szCs w:val="24"/>
        </w:rPr>
        <w:t xml:space="preserve"> </w:t>
      </w:r>
      <w:r w:rsidR="004949B5" w:rsidRPr="0007021A">
        <w:rPr>
          <w:rFonts w:ascii="Times New Roman" w:hAnsi="Times New Roman"/>
          <w:sz w:val="24"/>
          <w:szCs w:val="24"/>
        </w:rPr>
        <w:t>отпремају</w:t>
      </w:r>
      <w:r w:rsidRPr="0007021A">
        <w:rPr>
          <w:rFonts w:ascii="Times New Roman" w:hAnsi="Times New Roman"/>
          <w:sz w:val="24"/>
          <w:szCs w:val="24"/>
        </w:rPr>
        <w:t xml:space="preserve"> </w:t>
      </w:r>
      <w:r w:rsidR="004949B5" w:rsidRPr="0007021A">
        <w:rPr>
          <w:rFonts w:ascii="Times New Roman" w:hAnsi="Times New Roman"/>
          <w:sz w:val="24"/>
          <w:szCs w:val="24"/>
        </w:rPr>
        <w:t>у</w:t>
      </w:r>
      <w:r w:rsidRPr="0007021A">
        <w:rPr>
          <w:rFonts w:ascii="Times New Roman" w:hAnsi="Times New Roman"/>
          <w:sz w:val="24"/>
          <w:szCs w:val="24"/>
        </w:rPr>
        <w:t xml:space="preserve"> </w:t>
      </w:r>
      <w:r w:rsidR="004949B5" w:rsidRPr="0007021A">
        <w:rPr>
          <w:rFonts w:ascii="Times New Roman" w:hAnsi="Times New Roman"/>
          <w:sz w:val="24"/>
          <w:szCs w:val="24"/>
        </w:rPr>
        <w:t>слободне</w:t>
      </w:r>
      <w:r w:rsidRPr="0007021A">
        <w:rPr>
          <w:rFonts w:ascii="Times New Roman" w:hAnsi="Times New Roman"/>
          <w:sz w:val="24"/>
          <w:szCs w:val="24"/>
        </w:rPr>
        <w:t xml:space="preserve"> </w:t>
      </w:r>
      <w:r w:rsidR="004949B5" w:rsidRPr="0007021A">
        <w:rPr>
          <w:rFonts w:ascii="Times New Roman" w:hAnsi="Times New Roman"/>
          <w:sz w:val="24"/>
          <w:szCs w:val="24"/>
        </w:rPr>
        <w:t>царинске</w:t>
      </w:r>
      <w:r w:rsidRPr="0007021A">
        <w:rPr>
          <w:rFonts w:ascii="Times New Roman" w:hAnsi="Times New Roman"/>
          <w:sz w:val="24"/>
          <w:szCs w:val="24"/>
        </w:rPr>
        <w:t xml:space="preserve"> </w:t>
      </w:r>
      <w:r w:rsidR="004949B5" w:rsidRPr="0007021A">
        <w:rPr>
          <w:rFonts w:ascii="Times New Roman" w:hAnsi="Times New Roman"/>
          <w:sz w:val="24"/>
          <w:szCs w:val="24"/>
        </w:rPr>
        <w:t>продавнице</w:t>
      </w:r>
      <w:r w:rsidRPr="0007021A">
        <w:rPr>
          <w:rFonts w:ascii="Times New Roman" w:hAnsi="Times New Roman"/>
          <w:sz w:val="24"/>
          <w:szCs w:val="24"/>
        </w:rPr>
        <w:t xml:space="preserve"> </w:t>
      </w:r>
      <w:r w:rsidR="004949B5" w:rsidRPr="0007021A">
        <w:rPr>
          <w:rFonts w:ascii="Times New Roman" w:hAnsi="Times New Roman"/>
          <w:sz w:val="24"/>
          <w:szCs w:val="24"/>
        </w:rPr>
        <w:t>отворене</w:t>
      </w:r>
      <w:r w:rsidRPr="0007021A">
        <w:rPr>
          <w:rFonts w:ascii="Times New Roman" w:hAnsi="Times New Roman"/>
          <w:sz w:val="24"/>
          <w:szCs w:val="24"/>
        </w:rPr>
        <w:t xml:space="preserve"> </w:t>
      </w:r>
      <w:r w:rsidR="004949B5" w:rsidRPr="0007021A">
        <w:rPr>
          <w:rFonts w:ascii="Times New Roman" w:hAnsi="Times New Roman"/>
          <w:sz w:val="24"/>
          <w:szCs w:val="24"/>
        </w:rPr>
        <w:t>на</w:t>
      </w:r>
      <w:r w:rsidRPr="0007021A">
        <w:rPr>
          <w:rFonts w:ascii="Times New Roman" w:hAnsi="Times New Roman"/>
          <w:sz w:val="24"/>
          <w:szCs w:val="24"/>
        </w:rPr>
        <w:t xml:space="preserve"> </w:t>
      </w:r>
      <w:r w:rsidR="004949B5" w:rsidRPr="0007021A">
        <w:rPr>
          <w:rFonts w:ascii="Times New Roman" w:hAnsi="Times New Roman"/>
          <w:sz w:val="24"/>
          <w:szCs w:val="24"/>
        </w:rPr>
        <w:t>ваздухопловним</w:t>
      </w:r>
      <w:r w:rsidRPr="0007021A">
        <w:rPr>
          <w:rFonts w:ascii="Times New Roman" w:hAnsi="Times New Roman"/>
          <w:sz w:val="24"/>
          <w:szCs w:val="24"/>
        </w:rPr>
        <w:t xml:space="preserve"> </w:t>
      </w:r>
      <w:r w:rsidR="004949B5" w:rsidRPr="0007021A">
        <w:rPr>
          <w:rFonts w:ascii="Times New Roman" w:hAnsi="Times New Roman"/>
          <w:sz w:val="24"/>
          <w:szCs w:val="24"/>
        </w:rPr>
        <w:t>пристаништима</w:t>
      </w:r>
      <w:r w:rsidRPr="0007021A">
        <w:rPr>
          <w:rFonts w:ascii="Times New Roman" w:hAnsi="Times New Roman"/>
          <w:sz w:val="24"/>
          <w:szCs w:val="24"/>
        </w:rPr>
        <w:t xml:space="preserve"> </w:t>
      </w:r>
      <w:r w:rsidR="004949B5" w:rsidRPr="0007021A">
        <w:rPr>
          <w:rFonts w:ascii="Times New Roman" w:hAnsi="Times New Roman"/>
          <w:sz w:val="24"/>
          <w:szCs w:val="24"/>
        </w:rPr>
        <w:t>отвореним</w:t>
      </w:r>
      <w:r w:rsidRPr="0007021A">
        <w:rPr>
          <w:rFonts w:ascii="Times New Roman" w:hAnsi="Times New Roman"/>
          <w:sz w:val="24"/>
          <w:szCs w:val="24"/>
        </w:rPr>
        <w:t xml:space="preserve"> </w:t>
      </w:r>
      <w:r w:rsidR="004949B5" w:rsidRPr="0007021A">
        <w:rPr>
          <w:rFonts w:ascii="Times New Roman" w:hAnsi="Times New Roman"/>
          <w:sz w:val="24"/>
          <w:szCs w:val="24"/>
        </w:rPr>
        <w:t>за</w:t>
      </w:r>
      <w:r w:rsidRPr="0007021A">
        <w:rPr>
          <w:rFonts w:ascii="Times New Roman" w:hAnsi="Times New Roman"/>
          <w:sz w:val="24"/>
          <w:szCs w:val="24"/>
        </w:rPr>
        <w:t xml:space="preserve"> </w:t>
      </w:r>
      <w:r w:rsidR="004949B5" w:rsidRPr="0007021A">
        <w:rPr>
          <w:rFonts w:ascii="Times New Roman" w:hAnsi="Times New Roman"/>
          <w:sz w:val="24"/>
          <w:szCs w:val="24"/>
        </w:rPr>
        <w:t>међународни</w:t>
      </w:r>
      <w:r w:rsidRPr="0007021A">
        <w:rPr>
          <w:rFonts w:ascii="Times New Roman" w:hAnsi="Times New Roman"/>
          <w:sz w:val="24"/>
          <w:szCs w:val="24"/>
        </w:rPr>
        <w:t xml:space="preserve"> </w:t>
      </w:r>
      <w:r w:rsidR="004949B5" w:rsidRPr="0007021A">
        <w:rPr>
          <w:rFonts w:ascii="Times New Roman" w:hAnsi="Times New Roman"/>
          <w:sz w:val="24"/>
          <w:szCs w:val="24"/>
        </w:rPr>
        <w:t>саобраћај</w:t>
      </w:r>
      <w:r w:rsidRPr="0007021A">
        <w:rPr>
          <w:rFonts w:ascii="Times New Roman" w:hAnsi="Times New Roman"/>
          <w:sz w:val="24"/>
          <w:szCs w:val="24"/>
        </w:rPr>
        <w:t xml:space="preserve"> </w:t>
      </w:r>
      <w:r w:rsidR="004949B5" w:rsidRPr="0007021A">
        <w:rPr>
          <w:rFonts w:ascii="Times New Roman" w:hAnsi="Times New Roman"/>
          <w:sz w:val="24"/>
          <w:szCs w:val="24"/>
        </w:rPr>
        <w:t>на</w:t>
      </w:r>
      <w:r w:rsidRPr="0007021A">
        <w:rPr>
          <w:rFonts w:ascii="Times New Roman" w:hAnsi="Times New Roman"/>
          <w:sz w:val="24"/>
          <w:szCs w:val="24"/>
        </w:rPr>
        <w:t xml:space="preserve"> </w:t>
      </w:r>
      <w:r w:rsidR="004949B5" w:rsidRPr="0007021A">
        <w:rPr>
          <w:rFonts w:ascii="Times New Roman" w:hAnsi="Times New Roman"/>
          <w:sz w:val="24"/>
          <w:szCs w:val="24"/>
        </w:rPr>
        <w:t>којима</w:t>
      </w:r>
      <w:r w:rsidRPr="0007021A">
        <w:rPr>
          <w:rFonts w:ascii="Times New Roman" w:hAnsi="Times New Roman"/>
          <w:sz w:val="24"/>
          <w:szCs w:val="24"/>
        </w:rPr>
        <w:t xml:space="preserve"> </w:t>
      </w:r>
      <w:r w:rsidR="004949B5" w:rsidRPr="0007021A">
        <w:rPr>
          <w:rFonts w:ascii="Times New Roman" w:hAnsi="Times New Roman"/>
          <w:sz w:val="24"/>
          <w:szCs w:val="24"/>
        </w:rPr>
        <w:t>је</w:t>
      </w:r>
      <w:r w:rsidRPr="0007021A">
        <w:rPr>
          <w:rFonts w:ascii="Times New Roman" w:hAnsi="Times New Roman"/>
          <w:sz w:val="24"/>
          <w:szCs w:val="24"/>
        </w:rPr>
        <w:t xml:space="preserve"> </w:t>
      </w:r>
      <w:r w:rsidR="004949B5" w:rsidRPr="0007021A">
        <w:rPr>
          <w:rFonts w:ascii="Times New Roman" w:hAnsi="Times New Roman"/>
          <w:sz w:val="24"/>
          <w:szCs w:val="24"/>
        </w:rPr>
        <w:t>организована</w:t>
      </w:r>
      <w:r w:rsidRPr="0007021A">
        <w:rPr>
          <w:rFonts w:ascii="Times New Roman" w:hAnsi="Times New Roman"/>
          <w:sz w:val="24"/>
          <w:szCs w:val="24"/>
        </w:rPr>
        <w:t xml:space="preserve"> </w:t>
      </w:r>
      <w:r w:rsidR="004949B5" w:rsidRPr="0007021A">
        <w:rPr>
          <w:rFonts w:ascii="Times New Roman" w:hAnsi="Times New Roman"/>
          <w:sz w:val="24"/>
          <w:szCs w:val="24"/>
        </w:rPr>
        <w:t>пасошка</w:t>
      </w:r>
      <w:r w:rsidRPr="0007021A">
        <w:rPr>
          <w:rFonts w:ascii="Times New Roman" w:hAnsi="Times New Roman"/>
          <w:sz w:val="24"/>
          <w:szCs w:val="24"/>
        </w:rPr>
        <w:t xml:space="preserve"> </w:t>
      </w:r>
      <w:r w:rsidR="004949B5" w:rsidRPr="0007021A">
        <w:rPr>
          <w:rFonts w:ascii="Times New Roman" w:hAnsi="Times New Roman"/>
          <w:sz w:val="24"/>
          <w:szCs w:val="24"/>
        </w:rPr>
        <w:t>и</w:t>
      </w:r>
      <w:r w:rsidRPr="0007021A">
        <w:rPr>
          <w:rFonts w:ascii="Times New Roman" w:hAnsi="Times New Roman"/>
          <w:sz w:val="24"/>
          <w:szCs w:val="24"/>
        </w:rPr>
        <w:t xml:space="preserve"> </w:t>
      </w:r>
      <w:r w:rsidR="004949B5" w:rsidRPr="0007021A">
        <w:rPr>
          <w:rFonts w:ascii="Times New Roman" w:hAnsi="Times New Roman"/>
          <w:sz w:val="24"/>
          <w:szCs w:val="24"/>
        </w:rPr>
        <w:t>царинска</w:t>
      </w:r>
      <w:r w:rsidRPr="0007021A">
        <w:rPr>
          <w:rFonts w:ascii="Times New Roman" w:hAnsi="Times New Roman"/>
          <w:sz w:val="24"/>
          <w:szCs w:val="24"/>
        </w:rPr>
        <w:t xml:space="preserve"> </w:t>
      </w:r>
      <w:r w:rsidR="004949B5" w:rsidRPr="0007021A">
        <w:rPr>
          <w:rFonts w:ascii="Times New Roman" w:hAnsi="Times New Roman"/>
          <w:sz w:val="24"/>
          <w:szCs w:val="24"/>
        </w:rPr>
        <w:t>контрола</w:t>
      </w:r>
      <w:r w:rsidRPr="0007021A">
        <w:rPr>
          <w:rFonts w:ascii="Times New Roman" w:hAnsi="Times New Roman"/>
          <w:sz w:val="24"/>
          <w:szCs w:val="24"/>
        </w:rPr>
        <w:t xml:space="preserve"> </w:t>
      </w:r>
      <w:r w:rsidR="004949B5" w:rsidRPr="0007021A">
        <w:rPr>
          <w:rFonts w:ascii="Times New Roman" w:hAnsi="Times New Roman"/>
          <w:sz w:val="24"/>
          <w:szCs w:val="24"/>
        </w:rPr>
        <w:t>ради</w:t>
      </w:r>
      <w:r w:rsidRPr="0007021A">
        <w:rPr>
          <w:rFonts w:ascii="Times New Roman" w:hAnsi="Times New Roman"/>
          <w:sz w:val="24"/>
          <w:szCs w:val="24"/>
        </w:rPr>
        <w:t xml:space="preserve"> </w:t>
      </w:r>
      <w:r w:rsidR="004949B5" w:rsidRPr="0007021A">
        <w:rPr>
          <w:rFonts w:ascii="Times New Roman" w:hAnsi="Times New Roman"/>
          <w:sz w:val="24"/>
          <w:szCs w:val="24"/>
        </w:rPr>
        <w:t>продаје</w:t>
      </w:r>
      <w:r w:rsidRPr="0007021A">
        <w:rPr>
          <w:rFonts w:ascii="Times New Roman" w:hAnsi="Times New Roman"/>
          <w:sz w:val="24"/>
          <w:szCs w:val="24"/>
        </w:rPr>
        <w:t xml:space="preserve"> </w:t>
      </w:r>
      <w:r w:rsidR="004949B5" w:rsidRPr="0007021A">
        <w:rPr>
          <w:rFonts w:ascii="Times New Roman" w:hAnsi="Times New Roman"/>
          <w:sz w:val="24"/>
          <w:szCs w:val="24"/>
        </w:rPr>
        <w:t>путницима</w:t>
      </w:r>
      <w:r w:rsidRPr="0007021A">
        <w:rPr>
          <w:rFonts w:ascii="Times New Roman" w:hAnsi="Times New Roman"/>
          <w:sz w:val="24"/>
          <w:szCs w:val="24"/>
        </w:rPr>
        <w:t xml:space="preserve"> </w:t>
      </w:r>
      <w:r w:rsidR="004949B5" w:rsidRPr="0007021A">
        <w:rPr>
          <w:rFonts w:ascii="Times New Roman" w:hAnsi="Times New Roman"/>
          <w:sz w:val="24"/>
          <w:szCs w:val="24"/>
        </w:rPr>
        <w:t>у</w:t>
      </w:r>
      <w:r w:rsidRPr="0007021A">
        <w:rPr>
          <w:rFonts w:ascii="Times New Roman" w:hAnsi="Times New Roman"/>
          <w:sz w:val="24"/>
          <w:szCs w:val="24"/>
        </w:rPr>
        <w:t xml:space="preserve"> </w:t>
      </w:r>
      <w:r w:rsidR="004949B5" w:rsidRPr="0007021A">
        <w:rPr>
          <w:rFonts w:ascii="Times New Roman" w:hAnsi="Times New Roman"/>
          <w:sz w:val="24"/>
          <w:szCs w:val="24"/>
        </w:rPr>
        <w:t>складу</w:t>
      </w:r>
      <w:r w:rsidRPr="0007021A">
        <w:rPr>
          <w:rFonts w:ascii="Times New Roman" w:hAnsi="Times New Roman"/>
          <w:sz w:val="24"/>
          <w:szCs w:val="24"/>
        </w:rPr>
        <w:t xml:space="preserve"> </w:t>
      </w:r>
      <w:r w:rsidR="004949B5" w:rsidRPr="0007021A">
        <w:rPr>
          <w:rFonts w:ascii="Times New Roman" w:hAnsi="Times New Roman"/>
          <w:sz w:val="24"/>
          <w:szCs w:val="24"/>
        </w:rPr>
        <w:t>са</w:t>
      </w:r>
      <w:r w:rsidRPr="0007021A">
        <w:rPr>
          <w:rFonts w:ascii="Times New Roman" w:hAnsi="Times New Roman"/>
          <w:sz w:val="24"/>
          <w:szCs w:val="24"/>
        </w:rPr>
        <w:t xml:space="preserve"> </w:t>
      </w:r>
      <w:r w:rsidR="004949B5" w:rsidRPr="0007021A">
        <w:rPr>
          <w:rFonts w:ascii="Times New Roman" w:hAnsi="Times New Roman"/>
          <w:sz w:val="24"/>
          <w:szCs w:val="24"/>
        </w:rPr>
        <w:t>царинским</w:t>
      </w:r>
      <w:r w:rsidRPr="0007021A">
        <w:rPr>
          <w:rFonts w:ascii="Times New Roman" w:hAnsi="Times New Roman"/>
          <w:sz w:val="24"/>
          <w:szCs w:val="24"/>
        </w:rPr>
        <w:t xml:space="preserve"> </w:t>
      </w:r>
      <w:r w:rsidR="004949B5" w:rsidRPr="0007021A">
        <w:rPr>
          <w:rFonts w:ascii="Times New Roman" w:hAnsi="Times New Roman"/>
          <w:sz w:val="24"/>
          <w:szCs w:val="24"/>
        </w:rPr>
        <w:t>прописима</w:t>
      </w:r>
      <w:r w:rsidRPr="0007021A">
        <w:rPr>
          <w:rFonts w:ascii="Times New Roman" w:hAnsi="Times New Roman"/>
          <w:sz w:val="24"/>
          <w:szCs w:val="24"/>
        </w:rPr>
        <w:t>;</w:t>
      </w:r>
    </w:p>
    <w:p w:rsidR="00F057B8" w:rsidRPr="0007021A" w:rsidRDefault="0080481C" w:rsidP="0007021A">
      <w:pPr>
        <w:jc w:val="both"/>
        <w:rPr>
          <w:rFonts w:ascii="Times New Roman" w:hAnsi="Times New Roman"/>
          <w:sz w:val="24"/>
          <w:szCs w:val="24"/>
        </w:rPr>
      </w:pPr>
      <w:r w:rsidRPr="0007021A">
        <w:rPr>
          <w:rFonts w:ascii="Times New Roman" w:hAnsi="Times New Roman"/>
          <w:sz w:val="24"/>
          <w:szCs w:val="24"/>
          <w:lang w:val="sr-Cyrl-CS"/>
        </w:rPr>
        <w:t>5</w:t>
      </w:r>
      <w:r w:rsidR="00F057B8" w:rsidRPr="0007021A">
        <w:rPr>
          <w:rFonts w:ascii="Times New Roman" w:hAnsi="Times New Roman"/>
          <w:sz w:val="24"/>
          <w:szCs w:val="24"/>
        </w:rPr>
        <w:t xml:space="preserve">) </w:t>
      </w:r>
      <w:r w:rsidR="004949B5" w:rsidRPr="0007021A">
        <w:rPr>
          <w:rFonts w:ascii="Times New Roman" w:hAnsi="Times New Roman"/>
          <w:sz w:val="24"/>
          <w:szCs w:val="24"/>
        </w:rPr>
        <w:t>гориво</w:t>
      </w:r>
      <w:r w:rsidR="00F057B8" w:rsidRPr="0007021A">
        <w:rPr>
          <w:rFonts w:ascii="Times New Roman" w:hAnsi="Times New Roman"/>
          <w:sz w:val="24"/>
          <w:szCs w:val="24"/>
        </w:rPr>
        <w:t xml:space="preserve"> </w:t>
      </w:r>
      <w:r w:rsidR="004949B5" w:rsidRPr="0007021A">
        <w:rPr>
          <w:rFonts w:ascii="Times New Roman" w:hAnsi="Times New Roman"/>
          <w:sz w:val="24"/>
          <w:szCs w:val="24"/>
        </w:rPr>
        <w:t>за</w:t>
      </w:r>
      <w:r w:rsidR="00F057B8" w:rsidRPr="0007021A">
        <w:rPr>
          <w:rFonts w:ascii="Times New Roman" w:hAnsi="Times New Roman"/>
          <w:sz w:val="24"/>
          <w:szCs w:val="24"/>
        </w:rPr>
        <w:t xml:space="preserve"> </w:t>
      </w:r>
      <w:r w:rsidR="004949B5" w:rsidRPr="0007021A">
        <w:rPr>
          <w:rFonts w:ascii="Times New Roman" w:hAnsi="Times New Roman"/>
          <w:sz w:val="24"/>
          <w:szCs w:val="24"/>
        </w:rPr>
        <w:t>млазне</w:t>
      </w:r>
      <w:r w:rsidR="00F057B8" w:rsidRPr="0007021A">
        <w:rPr>
          <w:rFonts w:ascii="Times New Roman" w:hAnsi="Times New Roman"/>
          <w:sz w:val="24"/>
          <w:szCs w:val="24"/>
        </w:rPr>
        <w:t xml:space="preserve"> </w:t>
      </w:r>
      <w:r w:rsidR="004949B5" w:rsidRPr="0007021A">
        <w:rPr>
          <w:rFonts w:ascii="Times New Roman" w:hAnsi="Times New Roman"/>
          <w:sz w:val="24"/>
          <w:szCs w:val="24"/>
        </w:rPr>
        <w:t>моторе</w:t>
      </w:r>
      <w:r w:rsidR="00F057B8" w:rsidRPr="0007021A">
        <w:rPr>
          <w:rFonts w:ascii="Times New Roman" w:hAnsi="Times New Roman"/>
          <w:sz w:val="24"/>
          <w:szCs w:val="24"/>
        </w:rPr>
        <w:t xml:space="preserve"> - </w:t>
      </w:r>
      <w:r w:rsidR="004949B5" w:rsidRPr="0007021A">
        <w:rPr>
          <w:rFonts w:ascii="Times New Roman" w:hAnsi="Times New Roman"/>
          <w:sz w:val="24"/>
          <w:szCs w:val="24"/>
        </w:rPr>
        <w:t>керозин</w:t>
      </w:r>
      <w:r w:rsidR="00F057B8" w:rsidRPr="0007021A">
        <w:rPr>
          <w:rFonts w:ascii="Times New Roman" w:hAnsi="Times New Roman"/>
          <w:sz w:val="24"/>
          <w:szCs w:val="24"/>
        </w:rPr>
        <w:t xml:space="preserve"> (</w:t>
      </w:r>
      <w:r w:rsidR="004949B5" w:rsidRPr="0007021A">
        <w:rPr>
          <w:rFonts w:ascii="Times New Roman" w:hAnsi="Times New Roman"/>
          <w:sz w:val="24"/>
          <w:szCs w:val="24"/>
        </w:rPr>
        <w:t>петролеј</w:t>
      </w:r>
      <w:r w:rsidR="00F057B8" w:rsidRPr="0007021A">
        <w:rPr>
          <w:rFonts w:ascii="Times New Roman" w:hAnsi="Times New Roman"/>
          <w:sz w:val="24"/>
          <w:szCs w:val="24"/>
        </w:rPr>
        <w:t xml:space="preserve">) </w:t>
      </w:r>
      <w:r w:rsidR="004949B5" w:rsidRPr="0007021A">
        <w:rPr>
          <w:rFonts w:ascii="Times New Roman" w:hAnsi="Times New Roman"/>
          <w:sz w:val="24"/>
          <w:szCs w:val="24"/>
        </w:rPr>
        <w:t>које</w:t>
      </w:r>
      <w:r w:rsidR="00F057B8" w:rsidRPr="0007021A">
        <w:rPr>
          <w:rFonts w:ascii="Times New Roman" w:hAnsi="Times New Roman"/>
          <w:sz w:val="24"/>
          <w:szCs w:val="24"/>
        </w:rPr>
        <w:t xml:space="preserve"> </w:t>
      </w:r>
      <w:r w:rsidR="004949B5" w:rsidRPr="0007021A">
        <w:rPr>
          <w:rFonts w:ascii="Times New Roman" w:hAnsi="Times New Roman"/>
          <w:sz w:val="24"/>
          <w:szCs w:val="24"/>
        </w:rPr>
        <w:t>произвођач</w:t>
      </w:r>
      <w:r w:rsidR="00F057B8" w:rsidRPr="0007021A">
        <w:rPr>
          <w:rFonts w:ascii="Times New Roman" w:hAnsi="Times New Roman"/>
          <w:sz w:val="24"/>
          <w:szCs w:val="24"/>
        </w:rPr>
        <w:t xml:space="preserve"> </w:t>
      </w:r>
      <w:r w:rsidR="004949B5" w:rsidRPr="0007021A">
        <w:rPr>
          <w:rFonts w:ascii="Times New Roman" w:hAnsi="Times New Roman"/>
          <w:sz w:val="24"/>
          <w:szCs w:val="24"/>
        </w:rPr>
        <w:t>продаје</w:t>
      </w:r>
      <w:r w:rsidR="00F057B8" w:rsidRPr="0007021A">
        <w:rPr>
          <w:rFonts w:ascii="Times New Roman" w:hAnsi="Times New Roman"/>
          <w:sz w:val="24"/>
          <w:szCs w:val="24"/>
        </w:rPr>
        <w:t xml:space="preserve"> </w:t>
      </w:r>
      <w:r w:rsidR="004949B5" w:rsidRPr="0007021A">
        <w:rPr>
          <w:rFonts w:ascii="Times New Roman" w:hAnsi="Times New Roman"/>
          <w:sz w:val="24"/>
          <w:szCs w:val="24"/>
        </w:rPr>
        <w:t>непосредно</w:t>
      </w:r>
      <w:r w:rsidR="00F057B8" w:rsidRPr="0007021A">
        <w:rPr>
          <w:rFonts w:ascii="Times New Roman" w:hAnsi="Times New Roman"/>
          <w:sz w:val="24"/>
          <w:szCs w:val="24"/>
        </w:rPr>
        <w:t xml:space="preserve"> </w:t>
      </w:r>
      <w:r w:rsidR="004949B5" w:rsidRPr="0007021A">
        <w:rPr>
          <w:rFonts w:ascii="Times New Roman" w:hAnsi="Times New Roman"/>
          <w:sz w:val="24"/>
          <w:szCs w:val="24"/>
        </w:rPr>
        <w:t>крајњем</w:t>
      </w:r>
      <w:r w:rsidR="00F057B8" w:rsidRPr="0007021A">
        <w:rPr>
          <w:rFonts w:ascii="Times New Roman" w:hAnsi="Times New Roman"/>
          <w:sz w:val="24"/>
          <w:szCs w:val="24"/>
        </w:rPr>
        <w:t xml:space="preserve"> </w:t>
      </w:r>
      <w:r w:rsidR="004949B5" w:rsidRPr="0007021A">
        <w:rPr>
          <w:rFonts w:ascii="Times New Roman" w:hAnsi="Times New Roman"/>
          <w:sz w:val="24"/>
          <w:szCs w:val="24"/>
        </w:rPr>
        <w:t>кориснику</w:t>
      </w:r>
      <w:r w:rsidR="00F057B8" w:rsidRPr="0007021A">
        <w:rPr>
          <w:rFonts w:ascii="Times New Roman" w:hAnsi="Times New Roman"/>
          <w:sz w:val="24"/>
          <w:szCs w:val="24"/>
        </w:rPr>
        <w:t xml:space="preserve"> (</w:t>
      </w:r>
      <w:r w:rsidR="004949B5" w:rsidRPr="0007021A">
        <w:rPr>
          <w:rFonts w:ascii="Times New Roman" w:hAnsi="Times New Roman"/>
          <w:sz w:val="24"/>
          <w:szCs w:val="24"/>
        </w:rPr>
        <w:t>власнику</w:t>
      </w:r>
      <w:r w:rsidR="00F057B8" w:rsidRPr="0007021A">
        <w:rPr>
          <w:rFonts w:ascii="Times New Roman" w:hAnsi="Times New Roman"/>
          <w:sz w:val="24"/>
          <w:szCs w:val="24"/>
        </w:rPr>
        <w:t xml:space="preserve">) </w:t>
      </w:r>
      <w:r w:rsidR="004949B5" w:rsidRPr="0007021A">
        <w:rPr>
          <w:rFonts w:ascii="Times New Roman" w:hAnsi="Times New Roman"/>
          <w:sz w:val="24"/>
          <w:szCs w:val="24"/>
        </w:rPr>
        <w:t>за</w:t>
      </w:r>
      <w:r w:rsidR="00F057B8" w:rsidRPr="0007021A">
        <w:rPr>
          <w:rFonts w:ascii="Times New Roman" w:hAnsi="Times New Roman"/>
          <w:sz w:val="24"/>
          <w:szCs w:val="24"/>
        </w:rPr>
        <w:t xml:space="preserve"> </w:t>
      </w:r>
      <w:r w:rsidR="004949B5" w:rsidRPr="0007021A">
        <w:rPr>
          <w:rFonts w:ascii="Times New Roman" w:hAnsi="Times New Roman"/>
          <w:sz w:val="24"/>
          <w:szCs w:val="24"/>
        </w:rPr>
        <w:t>авио</w:t>
      </w:r>
      <w:r w:rsidR="00F057B8" w:rsidRPr="0007021A">
        <w:rPr>
          <w:rFonts w:ascii="Times New Roman" w:hAnsi="Times New Roman"/>
          <w:sz w:val="24"/>
          <w:szCs w:val="24"/>
        </w:rPr>
        <w:t xml:space="preserve"> </w:t>
      </w:r>
      <w:r w:rsidR="004949B5" w:rsidRPr="0007021A">
        <w:rPr>
          <w:rFonts w:ascii="Times New Roman" w:hAnsi="Times New Roman"/>
          <w:sz w:val="24"/>
          <w:szCs w:val="24"/>
        </w:rPr>
        <w:t>сврхе</w:t>
      </w:r>
      <w:r w:rsidR="00F057B8" w:rsidRPr="0007021A">
        <w:rPr>
          <w:rFonts w:ascii="Times New Roman" w:hAnsi="Times New Roman"/>
          <w:sz w:val="24"/>
          <w:szCs w:val="24"/>
        </w:rPr>
        <w:t xml:space="preserve">, </w:t>
      </w:r>
      <w:r w:rsidR="004949B5" w:rsidRPr="0007021A">
        <w:rPr>
          <w:rFonts w:ascii="Times New Roman" w:hAnsi="Times New Roman"/>
          <w:sz w:val="24"/>
          <w:szCs w:val="24"/>
        </w:rPr>
        <w:t>односно</w:t>
      </w:r>
      <w:r w:rsidR="00F057B8" w:rsidRPr="0007021A">
        <w:rPr>
          <w:rFonts w:ascii="Times New Roman" w:hAnsi="Times New Roman"/>
          <w:sz w:val="24"/>
          <w:szCs w:val="24"/>
        </w:rPr>
        <w:t xml:space="preserve"> </w:t>
      </w:r>
      <w:r w:rsidR="004949B5" w:rsidRPr="0007021A">
        <w:rPr>
          <w:rFonts w:ascii="Times New Roman" w:hAnsi="Times New Roman"/>
          <w:sz w:val="24"/>
          <w:szCs w:val="24"/>
        </w:rPr>
        <w:t>увозник</w:t>
      </w:r>
      <w:r w:rsidR="00F057B8" w:rsidRPr="0007021A">
        <w:rPr>
          <w:rFonts w:ascii="Times New Roman" w:hAnsi="Times New Roman"/>
          <w:sz w:val="24"/>
          <w:szCs w:val="24"/>
        </w:rPr>
        <w:t xml:space="preserve"> </w:t>
      </w:r>
      <w:r w:rsidR="004949B5" w:rsidRPr="0007021A">
        <w:rPr>
          <w:rFonts w:ascii="Times New Roman" w:hAnsi="Times New Roman"/>
          <w:sz w:val="24"/>
          <w:szCs w:val="24"/>
        </w:rPr>
        <w:t>увози</w:t>
      </w:r>
      <w:r w:rsidR="00F057B8" w:rsidRPr="0007021A">
        <w:rPr>
          <w:rFonts w:ascii="Times New Roman" w:hAnsi="Times New Roman"/>
          <w:sz w:val="24"/>
          <w:szCs w:val="24"/>
        </w:rPr>
        <w:t xml:space="preserve"> </w:t>
      </w:r>
      <w:r w:rsidR="004949B5" w:rsidRPr="0007021A">
        <w:rPr>
          <w:rFonts w:ascii="Times New Roman" w:hAnsi="Times New Roman"/>
          <w:sz w:val="24"/>
          <w:szCs w:val="24"/>
        </w:rPr>
        <w:t>за</w:t>
      </w:r>
      <w:r w:rsidR="00F057B8" w:rsidRPr="0007021A">
        <w:rPr>
          <w:rFonts w:ascii="Times New Roman" w:hAnsi="Times New Roman"/>
          <w:sz w:val="24"/>
          <w:szCs w:val="24"/>
        </w:rPr>
        <w:t xml:space="preserve"> </w:t>
      </w:r>
      <w:r w:rsidR="004949B5" w:rsidRPr="0007021A">
        <w:rPr>
          <w:rFonts w:ascii="Times New Roman" w:hAnsi="Times New Roman"/>
          <w:sz w:val="24"/>
          <w:szCs w:val="24"/>
        </w:rPr>
        <w:t>себе</w:t>
      </w:r>
      <w:r w:rsidR="00F057B8" w:rsidRPr="0007021A">
        <w:rPr>
          <w:rFonts w:ascii="Times New Roman" w:hAnsi="Times New Roman"/>
          <w:sz w:val="24"/>
          <w:szCs w:val="24"/>
        </w:rPr>
        <w:t xml:space="preserve"> </w:t>
      </w:r>
      <w:r w:rsidR="004949B5" w:rsidRPr="0007021A">
        <w:rPr>
          <w:rFonts w:ascii="Times New Roman" w:hAnsi="Times New Roman"/>
          <w:sz w:val="24"/>
          <w:szCs w:val="24"/>
        </w:rPr>
        <w:t>ради</w:t>
      </w:r>
      <w:r w:rsidR="00F057B8" w:rsidRPr="0007021A">
        <w:rPr>
          <w:rFonts w:ascii="Times New Roman" w:hAnsi="Times New Roman"/>
          <w:sz w:val="24"/>
          <w:szCs w:val="24"/>
        </w:rPr>
        <w:t xml:space="preserve"> </w:t>
      </w:r>
      <w:r w:rsidR="004949B5" w:rsidRPr="0007021A">
        <w:rPr>
          <w:rFonts w:ascii="Times New Roman" w:hAnsi="Times New Roman"/>
          <w:sz w:val="24"/>
          <w:szCs w:val="24"/>
        </w:rPr>
        <w:t>непосредног</w:t>
      </w:r>
      <w:r w:rsidR="00F057B8" w:rsidRPr="0007021A">
        <w:rPr>
          <w:rFonts w:ascii="Times New Roman" w:hAnsi="Times New Roman"/>
          <w:sz w:val="24"/>
          <w:szCs w:val="24"/>
        </w:rPr>
        <w:t xml:space="preserve"> </w:t>
      </w:r>
      <w:r w:rsidR="004949B5" w:rsidRPr="0007021A">
        <w:rPr>
          <w:rFonts w:ascii="Times New Roman" w:hAnsi="Times New Roman"/>
          <w:sz w:val="24"/>
          <w:szCs w:val="24"/>
        </w:rPr>
        <w:t>коришћења</w:t>
      </w:r>
      <w:r w:rsidR="00F057B8" w:rsidRPr="0007021A">
        <w:rPr>
          <w:rFonts w:ascii="Times New Roman" w:hAnsi="Times New Roman"/>
          <w:sz w:val="24"/>
          <w:szCs w:val="24"/>
        </w:rPr>
        <w:t xml:space="preserve"> </w:t>
      </w:r>
      <w:r w:rsidR="004949B5" w:rsidRPr="0007021A">
        <w:rPr>
          <w:rFonts w:ascii="Times New Roman" w:hAnsi="Times New Roman"/>
          <w:sz w:val="24"/>
          <w:szCs w:val="24"/>
        </w:rPr>
        <w:t>у</w:t>
      </w:r>
      <w:r w:rsidR="00F057B8" w:rsidRPr="0007021A">
        <w:rPr>
          <w:rFonts w:ascii="Times New Roman" w:hAnsi="Times New Roman"/>
          <w:sz w:val="24"/>
          <w:szCs w:val="24"/>
        </w:rPr>
        <w:t xml:space="preserve"> </w:t>
      </w:r>
      <w:r w:rsidR="004949B5" w:rsidRPr="0007021A">
        <w:rPr>
          <w:rFonts w:ascii="Times New Roman" w:hAnsi="Times New Roman"/>
          <w:sz w:val="24"/>
          <w:szCs w:val="24"/>
        </w:rPr>
        <w:t>авио</w:t>
      </w:r>
      <w:r w:rsidR="00F057B8" w:rsidRPr="0007021A">
        <w:rPr>
          <w:rFonts w:ascii="Times New Roman" w:hAnsi="Times New Roman"/>
          <w:sz w:val="24"/>
          <w:szCs w:val="24"/>
        </w:rPr>
        <w:t xml:space="preserve"> </w:t>
      </w:r>
      <w:r w:rsidR="004949B5" w:rsidRPr="0007021A">
        <w:rPr>
          <w:rFonts w:ascii="Times New Roman" w:hAnsi="Times New Roman"/>
          <w:sz w:val="24"/>
          <w:szCs w:val="24"/>
        </w:rPr>
        <w:t>сврхе</w:t>
      </w:r>
      <w:r w:rsidR="00F057B8" w:rsidRPr="0007021A">
        <w:rPr>
          <w:rFonts w:ascii="Times New Roman" w:hAnsi="Times New Roman"/>
          <w:sz w:val="24"/>
          <w:szCs w:val="24"/>
        </w:rPr>
        <w:t xml:space="preserve"> </w:t>
      </w:r>
      <w:r w:rsidR="004949B5" w:rsidRPr="0007021A">
        <w:rPr>
          <w:rFonts w:ascii="Times New Roman" w:hAnsi="Times New Roman"/>
          <w:sz w:val="24"/>
          <w:szCs w:val="24"/>
        </w:rPr>
        <w:t>или</w:t>
      </w:r>
      <w:r w:rsidR="00F057B8" w:rsidRPr="0007021A">
        <w:rPr>
          <w:rFonts w:ascii="Times New Roman" w:hAnsi="Times New Roman"/>
          <w:sz w:val="24"/>
          <w:szCs w:val="24"/>
        </w:rPr>
        <w:t xml:space="preserve"> </w:t>
      </w:r>
      <w:r w:rsidR="004949B5" w:rsidRPr="0007021A">
        <w:rPr>
          <w:rFonts w:ascii="Times New Roman" w:hAnsi="Times New Roman"/>
          <w:sz w:val="24"/>
          <w:szCs w:val="24"/>
        </w:rPr>
        <w:t>за</w:t>
      </w:r>
      <w:r w:rsidR="00F057B8" w:rsidRPr="0007021A">
        <w:rPr>
          <w:rFonts w:ascii="Times New Roman" w:hAnsi="Times New Roman"/>
          <w:sz w:val="24"/>
          <w:szCs w:val="24"/>
        </w:rPr>
        <w:t xml:space="preserve"> </w:t>
      </w:r>
      <w:r w:rsidR="004949B5" w:rsidRPr="0007021A">
        <w:rPr>
          <w:rFonts w:ascii="Times New Roman" w:hAnsi="Times New Roman"/>
          <w:sz w:val="24"/>
          <w:szCs w:val="24"/>
        </w:rPr>
        <w:t>корисника</w:t>
      </w:r>
      <w:r w:rsidR="00F057B8" w:rsidRPr="0007021A">
        <w:rPr>
          <w:rFonts w:ascii="Times New Roman" w:hAnsi="Times New Roman"/>
          <w:sz w:val="24"/>
          <w:szCs w:val="24"/>
        </w:rPr>
        <w:t xml:space="preserve"> (</w:t>
      </w:r>
      <w:r w:rsidR="004949B5" w:rsidRPr="0007021A">
        <w:rPr>
          <w:rFonts w:ascii="Times New Roman" w:hAnsi="Times New Roman"/>
          <w:sz w:val="24"/>
          <w:szCs w:val="24"/>
        </w:rPr>
        <w:t>власника</w:t>
      </w:r>
      <w:r w:rsidR="00F057B8" w:rsidRPr="0007021A">
        <w:rPr>
          <w:rFonts w:ascii="Times New Roman" w:hAnsi="Times New Roman"/>
          <w:sz w:val="24"/>
          <w:szCs w:val="24"/>
        </w:rPr>
        <w:t xml:space="preserve">) </w:t>
      </w:r>
      <w:r w:rsidR="004949B5" w:rsidRPr="0007021A">
        <w:rPr>
          <w:rFonts w:ascii="Times New Roman" w:hAnsi="Times New Roman"/>
          <w:sz w:val="24"/>
          <w:szCs w:val="24"/>
        </w:rPr>
        <w:t>који</w:t>
      </w:r>
      <w:r w:rsidR="00F057B8" w:rsidRPr="0007021A">
        <w:rPr>
          <w:rFonts w:ascii="Times New Roman" w:hAnsi="Times New Roman"/>
          <w:sz w:val="24"/>
          <w:szCs w:val="24"/>
        </w:rPr>
        <w:t xml:space="preserve"> </w:t>
      </w:r>
      <w:r w:rsidR="004949B5" w:rsidRPr="0007021A">
        <w:rPr>
          <w:rFonts w:ascii="Times New Roman" w:hAnsi="Times New Roman"/>
          <w:sz w:val="24"/>
          <w:szCs w:val="24"/>
        </w:rPr>
        <w:t>то</w:t>
      </w:r>
      <w:r w:rsidR="00F057B8" w:rsidRPr="0007021A">
        <w:rPr>
          <w:rFonts w:ascii="Times New Roman" w:hAnsi="Times New Roman"/>
          <w:sz w:val="24"/>
          <w:szCs w:val="24"/>
        </w:rPr>
        <w:t xml:space="preserve"> </w:t>
      </w:r>
      <w:r w:rsidR="004949B5" w:rsidRPr="0007021A">
        <w:rPr>
          <w:rFonts w:ascii="Times New Roman" w:hAnsi="Times New Roman"/>
          <w:sz w:val="24"/>
          <w:szCs w:val="24"/>
        </w:rPr>
        <w:t>гориво</w:t>
      </w:r>
      <w:r w:rsidR="00F057B8" w:rsidRPr="0007021A">
        <w:rPr>
          <w:rFonts w:ascii="Times New Roman" w:hAnsi="Times New Roman"/>
          <w:sz w:val="24"/>
          <w:szCs w:val="24"/>
        </w:rPr>
        <w:t xml:space="preserve"> </w:t>
      </w:r>
      <w:r w:rsidR="004949B5" w:rsidRPr="0007021A">
        <w:rPr>
          <w:rFonts w:ascii="Times New Roman" w:hAnsi="Times New Roman"/>
          <w:sz w:val="24"/>
          <w:szCs w:val="24"/>
        </w:rPr>
        <w:t>непосредно</w:t>
      </w:r>
      <w:r w:rsidR="00F057B8" w:rsidRPr="0007021A">
        <w:rPr>
          <w:rFonts w:ascii="Times New Roman" w:hAnsi="Times New Roman"/>
          <w:sz w:val="24"/>
          <w:szCs w:val="24"/>
        </w:rPr>
        <w:t xml:space="preserve"> </w:t>
      </w:r>
      <w:r w:rsidR="004949B5" w:rsidRPr="0007021A">
        <w:rPr>
          <w:rFonts w:ascii="Times New Roman" w:hAnsi="Times New Roman"/>
          <w:sz w:val="24"/>
          <w:szCs w:val="24"/>
        </w:rPr>
        <w:t>користи</w:t>
      </w:r>
      <w:r w:rsidR="00F057B8" w:rsidRPr="0007021A">
        <w:rPr>
          <w:rFonts w:ascii="Times New Roman" w:hAnsi="Times New Roman"/>
          <w:sz w:val="24"/>
          <w:szCs w:val="24"/>
        </w:rPr>
        <w:t xml:space="preserve"> </w:t>
      </w:r>
      <w:r w:rsidR="004949B5" w:rsidRPr="0007021A">
        <w:rPr>
          <w:rFonts w:ascii="Times New Roman" w:hAnsi="Times New Roman"/>
          <w:sz w:val="24"/>
          <w:szCs w:val="24"/>
        </w:rPr>
        <w:t>у</w:t>
      </w:r>
      <w:r w:rsidR="00F057B8" w:rsidRPr="0007021A">
        <w:rPr>
          <w:rFonts w:ascii="Times New Roman" w:hAnsi="Times New Roman"/>
          <w:sz w:val="24"/>
          <w:szCs w:val="24"/>
        </w:rPr>
        <w:t xml:space="preserve"> </w:t>
      </w:r>
      <w:r w:rsidR="004949B5" w:rsidRPr="0007021A">
        <w:rPr>
          <w:rFonts w:ascii="Times New Roman" w:hAnsi="Times New Roman"/>
          <w:sz w:val="24"/>
          <w:szCs w:val="24"/>
        </w:rPr>
        <w:t>авио</w:t>
      </w:r>
      <w:r w:rsidR="00F057B8" w:rsidRPr="0007021A">
        <w:rPr>
          <w:rFonts w:ascii="Times New Roman" w:hAnsi="Times New Roman"/>
          <w:sz w:val="24"/>
          <w:szCs w:val="24"/>
        </w:rPr>
        <w:t xml:space="preserve"> </w:t>
      </w:r>
      <w:r w:rsidR="004949B5" w:rsidRPr="0007021A">
        <w:rPr>
          <w:rFonts w:ascii="Times New Roman" w:hAnsi="Times New Roman"/>
          <w:sz w:val="24"/>
          <w:szCs w:val="24"/>
        </w:rPr>
        <w:t>сврхе</w:t>
      </w:r>
      <w:r w:rsidR="00F057B8" w:rsidRPr="0007021A">
        <w:rPr>
          <w:rFonts w:ascii="Times New Roman" w:hAnsi="Times New Roman"/>
          <w:sz w:val="24"/>
          <w:szCs w:val="24"/>
        </w:rPr>
        <w:t>;</w:t>
      </w:r>
    </w:p>
    <w:p w:rsidR="003431D7" w:rsidRPr="0007021A" w:rsidRDefault="0080481C" w:rsidP="0007021A">
      <w:pPr>
        <w:jc w:val="both"/>
        <w:rPr>
          <w:rFonts w:ascii="Times New Roman" w:hAnsi="Times New Roman"/>
          <w:sz w:val="24"/>
          <w:szCs w:val="24"/>
          <w:lang w:val="sr-Cyrl-CS"/>
        </w:rPr>
      </w:pPr>
      <w:r w:rsidRPr="0007021A">
        <w:rPr>
          <w:rFonts w:ascii="Times New Roman" w:hAnsi="Times New Roman"/>
          <w:sz w:val="24"/>
          <w:szCs w:val="24"/>
          <w:lang w:val="sr-Cyrl-CS"/>
        </w:rPr>
        <w:t>5</w:t>
      </w:r>
      <w:r w:rsidR="004949B5" w:rsidRPr="0007021A">
        <w:rPr>
          <w:rFonts w:ascii="Times New Roman" w:hAnsi="Times New Roman"/>
          <w:sz w:val="24"/>
          <w:szCs w:val="24"/>
        </w:rPr>
        <w:t>а</w:t>
      </w:r>
      <w:r w:rsidR="00F057B8" w:rsidRPr="0007021A">
        <w:rPr>
          <w:rFonts w:ascii="Times New Roman" w:hAnsi="Times New Roman"/>
          <w:sz w:val="24"/>
          <w:szCs w:val="24"/>
        </w:rPr>
        <w:t xml:space="preserve">) </w:t>
      </w:r>
      <w:r w:rsidR="004949B5" w:rsidRPr="0007021A">
        <w:rPr>
          <w:rFonts w:ascii="Times New Roman" w:hAnsi="Times New Roman"/>
          <w:sz w:val="24"/>
          <w:szCs w:val="24"/>
        </w:rPr>
        <w:t>цигарете</w:t>
      </w:r>
      <w:r w:rsidR="00F057B8" w:rsidRPr="0007021A">
        <w:rPr>
          <w:rFonts w:ascii="Times New Roman" w:hAnsi="Times New Roman"/>
          <w:sz w:val="24"/>
          <w:szCs w:val="24"/>
        </w:rPr>
        <w:t xml:space="preserve">, </w:t>
      </w:r>
      <w:r w:rsidR="004949B5" w:rsidRPr="0007021A">
        <w:rPr>
          <w:rFonts w:ascii="Times New Roman" w:hAnsi="Times New Roman"/>
          <w:sz w:val="24"/>
          <w:szCs w:val="24"/>
        </w:rPr>
        <w:t>односно</w:t>
      </w:r>
      <w:r w:rsidR="00F057B8" w:rsidRPr="0007021A">
        <w:rPr>
          <w:rFonts w:ascii="Times New Roman" w:hAnsi="Times New Roman"/>
          <w:sz w:val="24"/>
          <w:szCs w:val="24"/>
        </w:rPr>
        <w:t xml:space="preserve"> </w:t>
      </w:r>
      <w:r w:rsidR="004949B5" w:rsidRPr="0007021A">
        <w:rPr>
          <w:rFonts w:ascii="Times New Roman" w:hAnsi="Times New Roman"/>
          <w:sz w:val="24"/>
          <w:szCs w:val="24"/>
        </w:rPr>
        <w:t>алкохолна</w:t>
      </w:r>
      <w:r w:rsidR="00F057B8" w:rsidRPr="0007021A">
        <w:rPr>
          <w:rFonts w:ascii="Times New Roman" w:hAnsi="Times New Roman"/>
          <w:sz w:val="24"/>
          <w:szCs w:val="24"/>
        </w:rPr>
        <w:t xml:space="preserve"> </w:t>
      </w:r>
      <w:r w:rsidR="004949B5" w:rsidRPr="0007021A">
        <w:rPr>
          <w:rFonts w:ascii="Times New Roman" w:hAnsi="Times New Roman"/>
          <w:sz w:val="24"/>
          <w:szCs w:val="24"/>
        </w:rPr>
        <w:t>пића</w:t>
      </w:r>
      <w:r w:rsidR="00F057B8" w:rsidRPr="0007021A">
        <w:rPr>
          <w:rFonts w:ascii="Times New Roman" w:hAnsi="Times New Roman"/>
          <w:sz w:val="24"/>
          <w:szCs w:val="24"/>
        </w:rPr>
        <w:t xml:space="preserve"> </w:t>
      </w:r>
      <w:r w:rsidR="004949B5" w:rsidRPr="0007021A">
        <w:rPr>
          <w:rFonts w:ascii="Times New Roman" w:hAnsi="Times New Roman"/>
          <w:sz w:val="24"/>
          <w:szCs w:val="24"/>
        </w:rPr>
        <w:t>које</w:t>
      </w:r>
      <w:r w:rsidR="00F057B8" w:rsidRPr="0007021A">
        <w:rPr>
          <w:rFonts w:ascii="Times New Roman" w:hAnsi="Times New Roman"/>
          <w:sz w:val="24"/>
          <w:szCs w:val="24"/>
        </w:rPr>
        <w:t xml:space="preserve"> </w:t>
      </w:r>
      <w:r w:rsidR="004949B5" w:rsidRPr="0007021A">
        <w:rPr>
          <w:rFonts w:ascii="Times New Roman" w:hAnsi="Times New Roman"/>
          <w:sz w:val="24"/>
          <w:szCs w:val="24"/>
        </w:rPr>
        <w:t>је</w:t>
      </w:r>
      <w:r w:rsidR="00F057B8" w:rsidRPr="0007021A">
        <w:rPr>
          <w:rFonts w:ascii="Times New Roman" w:hAnsi="Times New Roman"/>
          <w:sz w:val="24"/>
          <w:szCs w:val="24"/>
        </w:rPr>
        <w:t xml:space="preserve"> </w:t>
      </w:r>
      <w:r w:rsidR="004949B5" w:rsidRPr="0007021A">
        <w:rPr>
          <w:rFonts w:ascii="Times New Roman" w:hAnsi="Times New Roman"/>
          <w:sz w:val="24"/>
          <w:szCs w:val="24"/>
        </w:rPr>
        <w:t>произвођач</w:t>
      </w:r>
      <w:r w:rsidR="00F057B8" w:rsidRPr="0007021A">
        <w:rPr>
          <w:rFonts w:ascii="Times New Roman" w:hAnsi="Times New Roman"/>
          <w:sz w:val="24"/>
          <w:szCs w:val="24"/>
        </w:rPr>
        <w:t xml:space="preserve"> </w:t>
      </w:r>
      <w:r w:rsidR="004949B5" w:rsidRPr="0007021A">
        <w:rPr>
          <w:rFonts w:ascii="Times New Roman" w:hAnsi="Times New Roman"/>
          <w:sz w:val="24"/>
          <w:szCs w:val="24"/>
        </w:rPr>
        <w:t>по</w:t>
      </w:r>
      <w:r w:rsidR="00F057B8" w:rsidRPr="0007021A">
        <w:rPr>
          <w:rFonts w:ascii="Times New Roman" w:hAnsi="Times New Roman"/>
          <w:sz w:val="24"/>
          <w:szCs w:val="24"/>
        </w:rPr>
        <w:t xml:space="preserve"> </w:t>
      </w:r>
      <w:r w:rsidR="004949B5" w:rsidRPr="0007021A">
        <w:rPr>
          <w:rFonts w:ascii="Times New Roman" w:hAnsi="Times New Roman"/>
          <w:sz w:val="24"/>
          <w:szCs w:val="24"/>
        </w:rPr>
        <w:t>одобрењу</w:t>
      </w:r>
      <w:r w:rsidR="00F057B8" w:rsidRPr="0007021A">
        <w:rPr>
          <w:rFonts w:ascii="Times New Roman" w:hAnsi="Times New Roman"/>
          <w:sz w:val="24"/>
          <w:szCs w:val="24"/>
        </w:rPr>
        <w:t xml:space="preserve"> </w:t>
      </w:r>
      <w:r w:rsidR="004949B5" w:rsidRPr="0007021A">
        <w:rPr>
          <w:rFonts w:ascii="Times New Roman" w:hAnsi="Times New Roman"/>
          <w:sz w:val="24"/>
          <w:szCs w:val="24"/>
        </w:rPr>
        <w:t>или</w:t>
      </w:r>
      <w:r w:rsidR="00F057B8" w:rsidRPr="0007021A">
        <w:rPr>
          <w:rFonts w:ascii="Times New Roman" w:hAnsi="Times New Roman"/>
          <w:sz w:val="24"/>
          <w:szCs w:val="24"/>
        </w:rPr>
        <w:t xml:space="preserve"> </w:t>
      </w:r>
      <w:r w:rsidR="004949B5" w:rsidRPr="0007021A">
        <w:rPr>
          <w:rFonts w:ascii="Times New Roman" w:hAnsi="Times New Roman"/>
          <w:sz w:val="24"/>
          <w:szCs w:val="24"/>
        </w:rPr>
        <w:t>на</w:t>
      </w:r>
      <w:r w:rsidR="00F057B8" w:rsidRPr="0007021A">
        <w:rPr>
          <w:rFonts w:ascii="Times New Roman" w:hAnsi="Times New Roman"/>
          <w:sz w:val="24"/>
          <w:szCs w:val="24"/>
        </w:rPr>
        <w:t xml:space="preserve"> </w:t>
      </w:r>
      <w:r w:rsidR="004949B5" w:rsidRPr="0007021A">
        <w:rPr>
          <w:rFonts w:ascii="Times New Roman" w:hAnsi="Times New Roman"/>
          <w:sz w:val="24"/>
          <w:szCs w:val="24"/>
        </w:rPr>
        <w:t>основу</w:t>
      </w:r>
      <w:r w:rsidR="00F057B8" w:rsidRPr="0007021A">
        <w:rPr>
          <w:rFonts w:ascii="Times New Roman" w:hAnsi="Times New Roman"/>
          <w:sz w:val="24"/>
          <w:szCs w:val="24"/>
        </w:rPr>
        <w:t xml:space="preserve"> </w:t>
      </w:r>
      <w:r w:rsidR="004949B5" w:rsidRPr="0007021A">
        <w:rPr>
          <w:rFonts w:ascii="Times New Roman" w:hAnsi="Times New Roman"/>
          <w:sz w:val="24"/>
          <w:szCs w:val="24"/>
        </w:rPr>
        <w:t>налога</w:t>
      </w:r>
      <w:r w:rsidR="00F057B8" w:rsidRPr="0007021A">
        <w:rPr>
          <w:rFonts w:ascii="Times New Roman" w:hAnsi="Times New Roman"/>
          <w:sz w:val="24"/>
          <w:szCs w:val="24"/>
        </w:rPr>
        <w:t xml:space="preserve"> </w:t>
      </w:r>
      <w:r w:rsidR="004949B5" w:rsidRPr="0007021A">
        <w:rPr>
          <w:rFonts w:ascii="Times New Roman" w:hAnsi="Times New Roman"/>
          <w:sz w:val="24"/>
          <w:szCs w:val="24"/>
        </w:rPr>
        <w:t>надлежног</w:t>
      </w:r>
      <w:r w:rsidR="00F057B8" w:rsidRPr="0007021A">
        <w:rPr>
          <w:rFonts w:ascii="Times New Roman" w:hAnsi="Times New Roman"/>
          <w:sz w:val="24"/>
          <w:szCs w:val="24"/>
        </w:rPr>
        <w:t xml:space="preserve"> </w:t>
      </w:r>
      <w:r w:rsidR="004949B5" w:rsidRPr="0007021A">
        <w:rPr>
          <w:rFonts w:ascii="Times New Roman" w:hAnsi="Times New Roman"/>
          <w:sz w:val="24"/>
          <w:szCs w:val="24"/>
        </w:rPr>
        <w:t>органа</w:t>
      </w:r>
      <w:r w:rsidR="00F057B8" w:rsidRPr="0007021A">
        <w:rPr>
          <w:rFonts w:ascii="Times New Roman" w:hAnsi="Times New Roman"/>
          <w:sz w:val="24"/>
          <w:szCs w:val="24"/>
        </w:rPr>
        <w:t xml:space="preserve"> </w:t>
      </w:r>
      <w:r w:rsidR="004949B5" w:rsidRPr="0007021A">
        <w:rPr>
          <w:rFonts w:ascii="Times New Roman" w:hAnsi="Times New Roman"/>
          <w:sz w:val="24"/>
          <w:szCs w:val="24"/>
        </w:rPr>
        <w:t>уништио</w:t>
      </w:r>
      <w:r w:rsidR="00F057B8" w:rsidRPr="0007021A">
        <w:rPr>
          <w:rFonts w:ascii="Times New Roman" w:hAnsi="Times New Roman"/>
          <w:sz w:val="24"/>
          <w:szCs w:val="24"/>
        </w:rPr>
        <w:t xml:space="preserve">, </w:t>
      </w:r>
      <w:r w:rsidR="004949B5" w:rsidRPr="0007021A">
        <w:rPr>
          <w:rFonts w:ascii="Times New Roman" w:hAnsi="Times New Roman"/>
          <w:sz w:val="24"/>
          <w:szCs w:val="24"/>
        </w:rPr>
        <w:t>а</w:t>
      </w:r>
      <w:r w:rsidR="00F057B8" w:rsidRPr="0007021A">
        <w:rPr>
          <w:rFonts w:ascii="Times New Roman" w:hAnsi="Times New Roman"/>
          <w:sz w:val="24"/>
          <w:szCs w:val="24"/>
        </w:rPr>
        <w:t xml:space="preserve"> </w:t>
      </w:r>
      <w:r w:rsidR="004949B5" w:rsidRPr="0007021A">
        <w:rPr>
          <w:rFonts w:ascii="Times New Roman" w:hAnsi="Times New Roman"/>
          <w:sz w:val="24"/>
          <w:szCs w:val="24"/>
        </w:rPr>
        <w:t>обележене</w:t>
      </w:r>
      <w:r w:rsidR="00F057B8" w:rsidRPr="0007021A">
        <w:rPr>
          <w:rFonts w:ascii="Times New Roman" w:hAnsi="Times New Roman"/>
          <w:sz w:val="24"/>
          <w:szCs w:val="24"/>
        </w:rPr>
        <w:t xml:space="preserve"> </w:t>
      </w:r>
      <w:r w:rsidR="004949B5" w:rsidRPr="0007021A">
        <w:rPr>
          <w:rFonts w:ascii="Times New Roman" w:hAnsi="Times New Roman"/>
          <w:sz w:val="24"/>
          <w:szCs w:val="24"/>
        </w:rPr>
        <w:t>су</w:t>
      </w:r>
      <w:r w:rsidR="00F057B8" w:rsidRPr="0007021A">
        <w:rPr>
          <w:rFonts w:ascii="Times New Roman" w:hAnsi="Times New Roman"/>
          <w:sz w:val="24"/>
          <w:szCs w:val="24"/>
        </w:rPr>
        <w:t xml:space="preserve"> </w:t>
      </w:r>
      <w:r w:rsidR="004949B5" w:rsidRPr="0007021A">
        <w:rPr>
          <w:rFonts w:ascii="Times New Roman" w:hAnsi="Times New Roman"/>
          <w:sz w:val="24"/>
          <w:szCs w:val="24"/>
        </w:rPr>
        <w:t>контролним</w:t>
      </w:r>
      <w:r w:rsidR="00F057B8" w:rsidRPr="0007021A">
        <w:rPr>
          <w:rFonts w:ascii="Times New Roman" w:hAnsi="Times New Roman"/>
          <w:sz w:val="24"/>
          <w:szCs w:val="24"/>
        </w:rPr>
        <w:t xml:space="preserve"> </w:t>
      </w:r>
      <w:r w:rsidR="004949B5" w:rsidRPr="0007021A">
        <w:rPr>
          <w:rFonts w:ascii="Times New Roman" w:hAnsi="Times New Roman"/>
          <w:sz w:val="24"/>
          <w:szCs w:val="24"/>
        </w:rPr>
        <w:t>акцизним</w:t>
      </w:r>
      <w:r w:rsidR="00F057B8" w:rsidRPr="0007021A">
        <w:rPr>
          <w:rFonts w:ascii="Times New Roman" w:hAnsi="Times New Roman"/>
          <w:sz w:val="24"/>
          <w:szCs w:val="24"/>
        </w:rPr>
        <w:t xml:space="preserve"> </w:t>
      </w:r>
      <w:r w:rsidR="004949B5" w:rsidRPr="0007021A">
        <w:rPr>
          <w:rFonts w:ascii="Times New Roman" w:hAnsi="Times New Roman"/>
          <w:sz w:val="24"/>
          <w:szCs w:val="24"/>
        </w:rPr>
        <w:t>маркицама</w:t>
      </w:r>
      <w:r w:rsidR="00F057B8" w:rsidRPr="0007021A">
        <w:rPr>
          <w:rFonts w:ascii="Times New Roman" w:hAnsi="Times New Roman"/>
          <w:sz w:val="24"/>
          <w:szCs w:val="24"/>
        </w:rPr>
        <w:t>.</w:t>
      </w:r>
    </w:p>
    <w:p w:rsidR="00F057B8" w:rsidRPr="0007021A" w:rsidRDefault="003431D7" w:rsidP="0007021A">
      <w:pPr>
        <w:ind w:firstLine="708"/>
        <w:jc w:val="both"/>
        <w:rPr>
          <w:rFonts w:ascii="Times New Roman" w:hAnsi="Times New Roman"/>
          <w:sz w:val="24"/>
          <w:szCs w:val="24"/>
          <w:lang w:val="sr-Cyrl-CS"/>
        </w:rPr>
      </w:pPr>
      <w:r w:rsidRPr="0007021A">
        <w:rPr>
          <w:rFonts w:ascii="Times New Roman" w:hAnsi="Times New Roman"/>
          <w:sz w:val="24"/>
          <w:szCs w:val="24"/>
          <w:lang w:val="sr-Cyrl-CS"/>
        </w:rPr>
        <w:t>Порески обвезник има право на порески кредит у висини износа плаћене акцизе</w:t>
      </w:r>
      <w:bookmarkStart w:id="62" w:name="str_21"/>
      <w:bookmarkEnd w:id="62"/>
      <w:r w:rsidR="0080481C" w:rsidRPr="0007021A">
        <w:rPr>
          <w:rFonts w:ascii="Times New Roman" w:hAnsi="Times New Roman"/>
          <w:sz w:val="24"/>
          <w:szCs w:val="24"/>
          <w:lang w:val="sr-Cyrl-CS"/>
        </w:rPr>
        <w:t xml:space="preserve">. </w:t>
      </w:r>
      <w:r w:rsidR="004949B5" w:rsidRPr="0007021A">
        <w:rPr>
          <w:rFonts w:ascii="Times New Roman" w:hAnsi="Times New Roman"/>
          <w:sz w:val="24"/>
          <w:szCs w:val="24"/>
        </w:rPr>
        <w:t>Обвезник</w:t>
      </w:r>
      <w:r w:rsidR="00F057B8" w:rsidRPr="0007021A">
        <w:rPr>
          <w:rFonts w:ascii="Times New Roman" w:hAnsi="Times New Roman"/>
          <w:sz w:val="24"/>
          <w:szCs w:val="24"/>
        </w:rPr>
        <w:t xml:space="preserve"> </w:t>
      </w:r>
      <w:r w:rsidR="004949B5" w:rsidRPr="0007021A">
        <w:rPr>
          <w:rFonts w:ascii="Times New Roman" w:hAnsi="Times New Roman"/>
          <w:sz w:val="24"/>
          <w:szCs w:val="24"/>
        </w:rPr>
        <w:t>има</w:t>
      </w:r>
      <w:r w:rsidR="00F057B8" w:rsidRPr="0007021A">
        <w:rPr>
          <w:rFonts w:ascii="Times New Roman" w:hAnsi="Times New Roman"/>
          <w:sz w:val="24"/>
          <w:szCs w:val="24"/>
        </w:rPr>
        <w:t xml:space="preserve"> </w:t>
      </w:r>
      <w:r w:rsidR="004949B5" w:rsidRPr="0007021A">
        <w:rPr>
          <w:rFonts w:ascii="Times New Roman" w:hAnsi="Times New Roman"/>
          <w:sz w:val="24"/>
          <w:szCs w:val="24"/>
        </w:rPr>
        <w:t>право</w:t>
      </w:r>
      <w:r w:rsidR="00F057B8" w:rsidRPr="0007021A">
        <w:rPr>
          <w:rFonts w:ascii="Times New Roman" w:hAnsi="Times New Roman"/>
          <w:sz w:val="24"/>
          <w:szCs w:val="24"/>
        </w:rPr>
        <w:t xml:space="preserve"> </w:t>
      </w:r>
      <w:r w:rsidR="004949B5" w:rsidRPr="0007021A">
        <w:rPr>
          <w:rFonts w:ascii="Times New Roman" w:hAnsi="Times New Roman"/>
          <w:sz w:val="24"/>
          <w:szCs w:val="24"/>
        </w:rPr>
        <w:t>на</w:t>
      </w:r>
      <w:r w:rsidR="00F057B8" w:rsidRPr="0007021A">
        <w:rPr>
          <w:rFonts w:ascii="Times New Roman" w:hAnsi="Times New Roman"/>
          <w:sz w:val="24"/>
          <w:szCs w:val="24"/>
        </w:rPr>
        <w:t xml:space="preserve"> </w:t>
      </w:r>
      <w:r w:rsidR="004949B5" w:rsidRPr="0007021A">
        <w:rPr>
          <w:rFonts w:ascii="Times New Roman" w:hAnsi="Times New Roman"/>
          <w:sz w:val="24"/>
          <w:szCs w:val="24"/>
        </w:rPr>
        <w:t>умањење</w:t>
      </w:r>
      <w:r w:rsidR="00F057B8" w:rsidRPr="0007021A">
        <w:rPr>
          <w:rFonts w:ascii="Times New Roman" w:hAnsi="Times New Roman"/>
          <w:sz w:val="24"/>
          <w:szCs w:val="24"/>
        </w:rPr>
        <w:t xml:space="preserve"> </w:t>
      </w:r>
      <w:r w:rsidR="004949B5" w:rsidRPr="0007021A">
        <w:rPr>
          <w:rFonts w:ascii="Times New Roman" w:hAnsi="Times New Roman"/>
          <w:sz w:val="24"/>
          <w:szCs w:val="24"/>
        </w:rPr>
        <w:t>обрачунате</w:t>
      </w:r>
      <w:r w:rsidR="00F057B8" w:rsidRPr="0007021A">
        <w:rPr>
          <w:rFonts w:ascii="Times New Roman" w:hAnsi="Times New Roman"/>
          <w:sz w:val="24"/>
          <w:szCs w:val="24"/>
        </w:rPr>
        <w:t xml:space="preserve"> </w:t>
      </w:r>
      <w:r w:rsidR="004949B5" w:rsidRPr="0007021A">
        <w:rPr>
          <w:rFonts w:ascii="Times New Roman" w:hAnsi="Times New Roman"/>
          <w:sz w:val="24"/>
          <w:szCs w:val="24"/>
        </w:rPr>
        <w:t>акцизе</w:t>
      </w:r>
      <w:r w:rsidR="00F057B8" w:rsidRPr="0007021A">
        <w:rPr>
          <w:rFonts w:ascii="Times New Roman" w:hAnsi="Times New Roman"/>
          <w:sz w:val="24"/>
          <w:szCs w:val="24"/>
        </w:rPr>
        <w:t xml:space="preserve"> </w:t>
      </w:r>
      <w:r w:rsidR="004949B5" w:rsidRPr="0007021A">
        <w:rPr>
          <w:rFonts w:ascii="Times New Roman" w:hAnsi="Times New Roman"/>
          <w:sz w:val="24"/>
          <w:szCs w:val="24"/>
        </w:rPr>
        <w:t>у</w:t>
      </w:r>
      <w:r w:rsidR="00F057B8" w:rsidRPr="0007021A">
        <w:rPr>
          <w:rFonts w:ascii="Times New Roman" w:hAnsi="Times New Roman"/>
          <w:sz w:val="24"/>
          <w:szCs w:val="24"/>
        </w:rPr>
        <w:t xml:space="preserve"> </w:t>
      </w:r>
      <w:r w:rsidR="004949B5" w:rsidRPr="0007021A">
        <w:rPr>
          <w:rFonts w:ascii="Times New Roman" w:hAnsi="Times New Roman"/>
          <w:sz w:val="24"/>
          <w:szCs w:val="24"/>
        </w:rPr>
        <w:t>висини</w:t>
      </w:r>
      <w:r w:rsidR="00F057B8" w:rsidRPr="0007021A">
        <w:rPr>
          <w:rFonts w:ascii="Times New Roman" w:hAnsi="Times New Roman"/>
          <w:sz w:val="24"/>
          <w:szCs w:val="24"/>
        </w:rPr>
        <w:t xml:space="preserve"> </w:t>
      </w:r>
      <w:r w:rsidR="004949B5" w:rsidRPr="0007021A">
        <w:rPr>
          <w:rFonts w:ascii="Times New Roman" w:hAnsi="Times New Roman"/>
          <w:sz w:val="24"/>
          <w:szCs w:val="24"/>
        </w:rPr>
        <w:t>износа</w:t>
      </w:r>
      <w:r w:rsidR="00F057B8" w:rsidRPr="0007021A">
        <w:rPr>
          <w:rFonts w:ascii="Times New Roman" w:hAnsi="Times New Roman"/>
          <w:sz w:val="24"/>
          <w:szCs w:val="24"/>
        </w:rPr>
        <w:t xml:space="preserve"> </w:t>
      </w:r>
      <w:r w:rsidR="004949B5" w:rsidRPr="0007021A">
        <w:rPr>
          <w:rFonts w:ascii="Times New Roman" w:hAnsi="Times New Roman"/>
          <w:sz w:val="24"/>
          <w:szCs w:val="24"/>
        </w:rPr>
        <w:t>плаћене</w:t>
      </w:r>
      <w:r w:rsidR="00F057B8" w:rsidRPr="0007021A">
        <w:rPr>
          <w:rFonts w:ascii="Times New Roman" w:hAnsi="Times New Roman"/>
          <w:sz w:val="24"/>
          <w:szCs w:val="24"/>
        </w:rPr>
        <w:t xml:space="preserve"> </w:t>
      </w:r>
      <w:r w:rsidR="004949B5" w:rsidRPr="0007021A">
        <w:rPr>
          <w:rFonts w:ascii="Times New Roman" w:hAnsi="Times New Roman"/>
          <w:sz w:val="24"/>
          <w:szCs w:val="24"/>
        </w:rPr>
        <w:t>акцизе</w:t>
      </w:r>
      <w:r w:rsidR="00F057B8" w:rsidRPr="0007021A">
        <w:rPr>
          <w:rFonts w:ascii="Times New Roman" w:hAnsi="Times New Roman"/>
          <w:sz w:val="24"/>
          <w:szCs w:val="24"/>
        </w:rPr>
        <w:t xml:space="preserve"> </w:t>
      </w:r>
      <w:r w:rsidR="004949B5" w:rsidRPr="0007021A">
        <w:rPr>
          <w:rFonts w:ascii="Times New Roman" w:hAnsi="Times New Roman"/>
          <w:sz w:val="24"/>
          <w:szCs w:val="24"/>
        </w:rPr>
        <w:t>на</w:t>
      </w:r>
      <w:r w:rsidR="00F057B8" w:rsidRPr="0007021A">
        <w:rPr>
          <w:rFonts w:ascii="Times New Roman" w:hAnsi="Times New Roman"/>
          <w:sz w:val="24"/>
          <w:szCs w:val="24"/>
        </w:rPr>
        <w:t xml:space="preserve"> </w:t>
      </w:r>
      <w:r w:rsidR="004949B5" w:rsidRPr="0007021A">
        <w:rPr>
          <w:rFonts w:ascii="Times New Roman" w:hAnsi="Times New Roman"/>
          <w:sz w:val="24"/>
          <w:szCs w:val="24"/>
        </w:rPr>
        <w:t>производе</w:t>
      </w:r>
      <w:r w:rsidR="00F057B8" w:rsidRPr="0007021A">
        <w:rPr>
          <w:rFonts w:ascii="Times New Roman" w:hAnsi="Times New Roman"/>
          <w:sz w:val="24"/>
          <w:szCs w:val="24"/>
        </w:rPr>
        <w:t xml:space="preserve"> </w:t>
      </w:r>
      <w:r w:rsidR="004949B5" w:rsidRPr="0007021A">
        <w:rPr>
          <w:rFonts w:ascii="Times New Roman" w:hAnsi="Times New Roman"/>
          <w:sz w:val="24"/>
          <w:szCs w:val="24"/>
        </w:rPr>
        <w:t>који</w:t>
      </w:r>
      <w:r w:rsidR="00F057B8" w:rsidRPr="0007021A">
        <w:rPr>
          <w:rFonts w:ascii="Times New Roman" w:hAnsi="Times New Roman"/>
          <w:sz w:val="24"/>
          <w:szCs w:val="24"/>
        </w:rPr>
        <w:t xml:space="preserve"> </w:t>
      </w:r>
      <w:r w:rsidR="004949B5" w:rsidRPr="0007021A">
        <w:rPr>
          <w:rFonts w:ascii="Times New Roman" w:hAnsi="Times New Roman"/>
          <w:sz w:val="24"/>
          <w:szCs w:val="24"/>
        </w:rPr>
        <w:t>су</w:t>
      </w:r>
      <w:r w:rsidR="00F057B8" w:rsidRPr="0007021A">
        <w:rPr>
          <w:rFonts w:ascii="Times New Roman" w:hAnsi="Times New Roman"/>
          <w:sz w:val="24"/>
          <w:szCs w:val="24"/>
        </w:rPr>
        <w:t xml:space="preserve"> </w:t>
      </w:r>
      <w:r w:rsidR="004949B5" w:rsidRPr="0007021A">
        <w:rPr>
          <w:rFonts w:ascii="Times New Roman" w:hAnsi="Times New Roman"/>
          <w:sz w:val="24"/>
          <w:szCs w:val="24"/>
        </w:rPr>
        <w:t>набављени</w:t>
      </w:r>
      <w:r w:rsidR="00F057B8" w:rsidRPr="0007021A">
        <w:rPr>
          <w:rFonts w:ascii="Times New Roman" w:hAnsi="Times New Roman"/>
          <w:sz w:val="24"/>
          <w:szCs w:val="24"/>
        </w:rPr>
        <w:t xml:space="preserve"> </w:t>
      </w:r>
      <w:r w:rsidR="004949B5" w:rsidRPr="0007021A">
        <w:rPr>
          <w:rFonts w:ascii="Times New Roman" w:hAnsi="Times New Roman"/>
          <w:sz w:val="24"/>
          <w:szCs w:val="24"/>
        </w:rPr>
        <w:t>од</w:t>
      </w:r>
      <w:r w:rsidR="00F057B8" w:rsidRPr="0007021A">
        <w:rPr>
          <w:rFonts w:ascii="Times New Roman" w:hAnsi="Times New Roman"/>
          <w:sz w:val="24"/>
          <w:szCs w:val="24"/>
        </w:rPr>
        <w:t xml:space="preserve"> </w:t>
      </w:r>
      <w:r w:rsidR="004949B5" w:rsidRPr="0007021A">
        <w:rPr>
          <w:rFonts w:ascii="Times New Roman" w:hAnsi="Times New Roman"/>
          <w:sz w:val="24"/>
          <w:szCs w:val="24"/>
        </w:rPr>
        <w:t>произвођача</w:t>
      </w:r>
      <w:r w:rsidR="00F057B8" w:rsidRPr="0007021A">
        <w:rPr>
          <w:rFonts w:ascii="Times New Roman" w:hAnsi="Times New Roman"/>
          <w:sz w:val="24"/>
          <w:szCs w:val="24"/>
        </w:rPr>
        <w:t xml:space="preserve">, </w:t>
      </w:r>
      <w:r w:rsidR="004949B5" w:rsidRPr="0007021A">
        <w:rPr>
          <w:rFonts w:ascii="Times New Roman" w:hAnsi="Times New Roman"/>
          <w:sz w:val="24"/>
          <w:szCs w:val="24"/>
        </w:rPr>
        <w:t>односно</w:t>
      </w:r>
      <w:r w:rsidR="00F057B8" w:rsidRPr="0007021A">
        <w:rPr>
          <w:rFonts w:ascii="Times New Roman" w:hAnsi="Times New Roman"/>
          <w:sz w:val="24"/>
          <w:szCs w:val="24"/>
        </w:rPr>
        <w:t xml:space="preserve"> </w:t>
      </w:r>
      <w:r w:rsidR="004949B5" w:rsidRPr="0007021A">
        <w:rPr>
          <w:rFonts w:ascii="Times New Roman" w:hAnsi="Times New Roman"/>
          <w:sz w:val="24"/>
          <w:szCs w:val="24"/>
        </w:rPr>
        <w:t>увозника</w:t>
      </w:r>
      <w:r w:rsidR="00F057B8" w:rsidRPr="0007021A">
        <w:rPr>
          <w:rFonts w:ascii="Times New Roman" w:hAnsi="Times New Roman"/>
          <w:sz w:val="24"/>
          <w:szCs w:val="24"/>
        </w:rPr>
        <w:t xml:space="preserve"> </w:t>
      </w:r>
      <w:r w:rsidR="004949B5" w:rsidRPr="0007021A">
        <w:rPr>
          <w:rFonts w:ascii="Times New Roman" w:hAnsi="Times New Roman"/>
          <w:sz w:val="24"/>
          <w:szCs w:val="24"/>
        </w:rPr>
        <w:t>акцизних</w:t>
      </w:r>
      <w:r w:rsidR="00F057B8" w:rsidRPr="0007021A">
        <w:rPr>
          <w:rFonts w:ascii="Times New Roman" w:hAnsi="Times New Roman"/>
          <w:sz w:val="24"/>
          <w:szCs w:val="24"/>
        </w:rPr>
        <w:t xml:space="preserve"> </w:t>
      </w:r>
      <w:r w:rsidR="004949B5" w:rsidRPr="0007021A">
        <w:rPr>
          <w:rFonts w:ascii="Times New Roman" w:hAnsi="Times New Roman"/>
          <w:sz w:val="24"/>
          <w:szCs w:val="24"/>
        </w:rPr>
        <w:t>производа</w:t>
      </w:r>
      <w:r w:rsidR="00F057B8" w:rsidRPr="0007021A">
        <w:rPr>
          <w:rFonts w:ascii="Times New Roman" w:hAnsi="Times New Roman"/>
          <w:sz w:val="24"/>
          <w:szCs w:val="24"/>
        </w:rPr>
        <w:t xml:space="preserve"> </w:t>
      </w:r>
      <w:r w:rsidR="004949B5" w:rsidRPr="0007021A">
        <w:rPr>
          <w:rFonts w:ascii="Times New Roman" w:hAnsi="Times New Roman"/>
          <w:sz w:val="24"/>
          <w:szCs w:val="24"/>
        </w:rPr>
        <w:t>или</w:t>
      </w:r>
      <w:r w:rsidR="00F057B8" w:rsidRPr="0007021A">
        <w:rPr>
          <w:rFonts w:ascii="Times New Roman" w:hAnsi="Times New Roman"/>
          <w:sz w:val="24"/>
          <w:szCs w:val="24"/>
        </w:rPr>
        <w:t xml:space="preserve"> </w:t>
      </w:r>
      <w:r w:rsidR="004949B5" w:rsidRPr="0007021A">
        <w:rPr>
          <w:rFonts w:ascii="Times New Roman" w:hAnsi="Times New Roman"/>
          <w:sz w:val="24"/>
          <w:szCs w:val="24"/>
        </w:rPr>
        <w:t>их</w:t>
      </w:r>
      <w:r w:rsidR="00F057B8" w:rsidRPr="0007021A">
        <w:rPr>
          <w:rFonts w:ascii="Times New Roman" w:hAnsi="Times New Roman"/>
          <w:sz w:val="24"/>
          <w:szCs w:val="24"/>
        </w:rPr>
        <w:t xml:space="preserve"> </w:t>
      </w:r>
      <w:r w:rsidR="004949B5" w:rsidRPr="0007021A">
        <w:rPr>
          <w:rFonts w:ascii="Times New Roman" w:hAnsi="Times New Roman"/>
          <w:sz w:val="24"/>
          <w:szCs w:val="24"/>
        </w:rPr>
        <w:t>произвођач</w:t>
      </w:r>
      <w:r w:rsidR="00F057B8" w:rsidRPr="0007021A">
        <w:rPr>
          <w:rFonts w:ascii="Times New Roman" w:hAnsi="Times New Roman"/>
          <w:sz w:val="24"/>
          <w:szCs w:val="24"/>
        </w:rPr>
        <w:t xml:space="preserve"> </w:t>
      </w:r>
      <w:r w:rsidR="004949B5" w:rsidRPr="0007021A">
        <w:rPr>
          <w:rFonts w:ascii="Times New Roman" w:hAnsi="Times New Roman"/>
          <w:sz w:val="24"/>
          <w:szCs w:val="24"/>
        </w:rPr>
        <w:t>сам</w:t>
      </w:r>
      <w:r w:rsidR="00F057B8" w:rsidRPr="0007021A">
        <w:rPr>
          <w:rFonts w:ascii="Times New Roman" w:hAnsi="Times New Roman"/>
          <w:sz w:val="24"/>
          <w:szCs w:val="24"/>
        </w:rPr>
        <w:t xml:space="preserve"> </w:t>
      </w:r>
      <w:r w:rsidR="004949B5" w:rsidRPr="0007021A">
        <w:rPr>
          <w:rFonts w:ascii="Times New Roman" w:hAnsi="Times New Roman"/>
          <w:sz w:val="24"/>
          <w:szCs w:val="24"/>
        </w:rPr>
        <w:t>производи</w:t>
      </w:r>
      <w:r w:rsidR="00F057B8" w:rsidRPr="0007021A">
        <w:rPr>
          <w:rFonts w:ascii="Times New Roman" w:hAnsi="Times New Roman"/>
          <w:sz w:val="24"/>
          <w:szCs w:val="24"/>
        </w:rPr>
        <w:t xml:space="preserve">, </w:t>
      </w:r>
      <w:r w:rsidR="004949B5" w:rsidRPr="0007021A">
        <w:rPr>
          <w:rFonts w:ascii="Times New Roman" w:hAnsi="Times New Roman"/>
          <w:sz w:val="24"/>
          <w:szCs w:val="24"/>
        </w:rPr>
        <w:t>односно</w:t>
      </w:r>
      <w:r w:rsidR="00F057B8" w:rsidRPr="0007021A">
        <w:rPr>
          <w:rFonts w:ascii="Times New Roman" w:hAnsi="Times New Roman"/>
          <w:sz w:val="24"/>
          <w:szCs w:val="24"/>
        </w:rPr>
        <w:t xml:space="preserve"> </w:t>
      </w:r>
      <w:r w:rsidR="004949B5" w:rsidRPr="0007021A">
        <w:rPr>
          <w:rFonts w:ascii="Times New Roman" w:hAnsi="Times New Roman"/>
          <w:sz w:val="24"/>
          <w:szCs w:val="24"/>
        </w:rPr>
        <w:t>увози</w:t>
      </w:r>
      <w:r w:rsidR="00F057B8" w:rsidRPr="0007021A">
        <w:rPr>
          <w:rFonts w:ascii="Times New Roman" w:hAnsi="Times New Roman"/>
          <w:sz w:val="24"/>
          <w:szCs w:val="24"/>
        </w:rPr>
        <w:t xml:space="preserve">, </w:t>
      </w:r>
      <w:r w:rsidR="004949B5" w:rsidRPr="0007021A">
        <w:rPr>
          <w:rFonts w:ascii="Times New Roman" w:hAnsi="Times New Roman"/>
          <w:sz w:val="24"/>
          <w:szCs w:val="24"/>
        </w:rPr>
        <w:t>а</w:t>
      </w:r>
      <w:r w:rsidR="00F057B8" w:rsidRPr="0007021A">
        <w:rPr>
          <w:rFonts w:ascii="Times New Roman" w:hAnsi="Times New Roman"/>
          <w:sz w:val="24"/>
          <w:szCs w:val="24"/>
        </w:rPr>
        <w:t xml:space="preserve"> </w:t>
      </w:r>
      <w:r w:rsidR="004949B5" w:rsidRPr="0007021A">
        <w:rPr>
          <w:rFonts w:ascii="Times New Roman" w:hAnsi="Times New Roman"/>
          <w:sz w:val="24"/>
          <w:szCs w:val="24"/>
        </w:rPr>
        <w:t>који</w:t>
      </w:r>
      <w:r w:rsidR="00F057B8" w:rsidRPr="0007021A">
        <w:rPr>
          <w:rFonts w:ascii="Times New Roman" w:hAnsi="Times New Roman"/>
          <w:sz w:val="24"/>
          <w:szCs w:val="24"/>
        </w:rPr>
        <w:t xml:space="preserve"> </w:t>
      </w:r>
      <w:r w:rsidR="004949B5" w:rsidRPr="0007021A">
        <w:rPr>
          <w:rFonts w:ascii="Times New Roman" w:hAnsi="Times New Roman"/>
          <w:sz w:val="24"/>
          <w:szCs w:val="24"/>
        </w:rPr>
        <w:t>се</w:t>
      </w:r>
      <w:r w:rsidR="00F057B8" w:rsidRPr="0007021A">
        <w:rPr>
          <w:rFonts w:ascii="Times New Roman" w:hAnsi="Times New Roman"/>
          <w:sz w:val="24"/>
          <w:szCs w:val="24"/>
        </w:rPr>
        <w:t xml:space="preserve"> </w:t>
      </w:r>
      <w:r w:rsidR="004949B5" w:rsidRPr="0007021A">
        <w:rPr>
          <w:rFonts w:ascii="Times New Roman" w:hAnsi="Times New Roman"/>
          <w:sz w:val="24"/>
          <w:szCs w:val="24"/>
        </w:rPr>
        <w:t>као</w:t>
      </w:r>
      <w:r w:rsidR="00F057B8" w:rsidRPr="0007021A">
        <w:rPr>
          <w:rFonts w:ascii="Times New Roman" w:hAnsi="Times New Roman"/>
          <w:sz w:val="24"/>
          <w:szCs w:val="24"/>
        </w:rPr>
        <w:t xml:space="preserve"> </w:t>
      </w:r>
      <w:r w:rsidR="004949B5" w:rsidRPr="0007021A">
        <w:rPr>
          <w:rFonts w:ascii="Times New Roman" w:hAnsi="Times New Roman"/>
          <w:sz w:val="24"/>
          <w:szCs w:val="24"/>
        </w:rPr>
        <w:t>репродукциони</w:t>
      </w:r>
      <w:r w:rsidR="00F057B8" w:rsidRPr="0007021A">
        <w:rPr>
          <w:rFonts w:ascii="Times New Roman" w:hAnsi="Times New Roman"/>
          <w:sz w:val="24"/>
          <w:szCs w:val="24"/>
        </w:rPr>
        <w:t xml:space="preserve"> </w:t>
      </w:r>
      <w:r w:rsidR="004949B5" w:rsidRPr="0007021A">
        <w:rPr>
          <w:rFonts w:ascii="Times New Roman" w:hAnsi="Times New Roman"/>
          <w:sz w:val="24"/>
          <w:szCs w:val="24"/>
        </w:rPr>
        <w:t>материјал</w:t>
      </w:r>
      <w:r w:rsidR="00F057B8" w:rsidRPr="0007021A">
        <w:rPr>
          <w:rFonts w:ascii="Times New Roman" w:hAnsi="Times New Roman"/>
          <w:sz w:val="24"/>
          <w:szCs w:val="24"/>
        </w:rPr>
        <w:t xml:space="preserve"> </w:t>
      </w:r>
      <w:r w:rsidR="004949B5" w:rsidRPr="0007021A">
        <w:rPr>
          <w:rFonts w:ascii="Times New Roman" w:hAnsi="Times New Roman"/>
          <w:sz w:val="24"/>
          <w:szCs w:val="24"/>
        </w:rPr>
        <w:t>употребљавају</w:t>
      </w:r>
      <w:r w:rsidR="00F057B8" w:rsidRPr="0007021A">
        <w:rPr>
          <w:rFonts w:ascii="Times New Roman" w:hAnsi="Times New Roman"/>
          <w:sz w:val="24"/>
          <w:szCs w:val="24"/>
        </w:rPr>
        <w:t xml:space="preserve"> </w:t>
      </w:r>
      <w:r w:rsidR="004949B5" w:rsidRPr="0007021A">
        <w:rPr>
          <w:rFonts w:ascii="Times New Roman" w:hAnsi="Times New Roman"/>
          <w:sz w:val="24"/>
          <w:szCs w:val="24"/>
        </w:rPr>
        <w:t>у</w:t>
      </w:r>
      <w:r w:rsidR="00F057B8" w:rsidRPr="0007021A">
        <w:rPr>
          <w:rFonts w:ascii="Times New Roman" w:hAnsi="Times New Roman"/>
          <w:sz w:val="24"/>
          <w:szCs w:val="24"/>
        </w:rPr>
        <w:t xml:space="preserve"> </w:t>
      </w:r>
      <w:r w:rsidR="004949B5" w:rsidRPr="0007021A">
        <w:rPr>
          <w:rFonts w:ascii="Times New Roman" w:hAnsi="Times New Roman"/>
          <w:sz w:val="24"/>
          <w:szCs w:val="24"/>
        </w:rPr>
        <w:t>производњи</w:t>
      </w:r>
      <w:r w:rsidR="00F057B8" w:rsidRPr="0007021A">
        <w:rPr>
          <w:rFonts w:ascii="Times New Roman" w:hAnsi="Times New Roman"/>
          <w:sz w:val="24"/>
          <w:szCs w:val="24"/>
        </w:rPr>
        <w:t xml:space="preserve"> </w:t>
      </w:r>
      <w:r w:rsidR="004949B5" w:rsidRPr="0007021A">
        <w:rPr>
          <w:rFonts w:ascii="Times New Roman" w:hAnsi="Times New Roman"/>
          <w:sz w:val="24"/>
          <w:szCs w:val="24"/>
        </w:rPr>
        <w:t>производа</w:t>
      </w:r>
      <w:r w:rsidR="00F057B8" w:rsidRPr="0007021A">
        <w:rPr>
          <w:rFonts w:ascii="Times New Roman" w:hAnsi="Times New Roman"/>
          <w:sz w:val="24"/>
          <w:szCs w:val="24"/>
        </w:rPr>
        <w:t xml:space="preserve"> </w:t>
      </w:r>
      <w:r w:rsidR="004949B5" w:rsidRPr="0007021A">
        <w:rPr>
          <w:rFonts w:ascii="Times New Roman" w:hAnsi="Times New Roman"/>
          <w:sz w:val="24"/>
          <w:szCs w:val="24"/>
        </w:rPr>
        <w:t>на</w:t>
      </w:r>
      <w:r w:rsidR="00F057B8" w:rsidRPr="0007021A">
        <w:rPr>
          <w:rFonts w:ascii="Times New Roman" w:hAnsi="Times New Roman"/>
          <w:sz w:val="24"/>
          <w:szCs w:val="24"/>
        </w:rPr>
        <w:t xml:space="preserve"> </w:t>
      </w:r>
      <w:r w:rsidR="004949B5" w:rsidRPr="0007021A">
        <w:rPr>
          <w:rFonts w:ascii="Times New Roman" w:hAnsi="Times New Roman"/>
          <w:sz w:val="24"/>
          <w:szCs w:val="24"/>
        </w:rPr>
        <w:t>које</w:t>
      </w:r>
      <w:r w:rsidR="00F057B8" w:rsidRPr="0007021A">
        <w:rPr>
          <w:rFonts w:ascii="Times New Roman" w:hAnsi="Times New Roman"/>
          <w:sz w:val="24"/>
          <w:szCs w:val="24"/>
        </w:rPr>
        <w:t xml:space="preserve"> </w:t>
      </w:r>
      <w:r w:rsidR="004949B5" w:rsidRPr="0007021A">
        <w:rPr>
          <w:rFonts w:ascii="Times New Roman" w:hAnsi="Times New Roman"/>
          <w:sz w:val="24"/>
          <w:szCs w:val="24"/>
        </w:rPr>
        <w:t>се</w:t>
      </w:r>
      <w:r w:rsidR="00F057B8" w:rsidRPr="0007021A">
        <w:rPr>
          <w:rFonts w:ascii="Times New Roman" w:hAnsi="Times New Roman"/>
          <w:sz w:val="24"/>
          <w:szCs w:val="24"/>
        </w:rPr>
        <w:t xml:space="preserve"> </w:t>
      </w:r>
      <w:r w:rsidR="004949B5" w:rsidRPr="0007021A">
        <w:rPr>
          <w:rFonts w:ascii="Times New Roman" w:hAnsi="Times New Roman"/>
          <w:sz w:val="24"/>
          <w:szCs w:val="24"/>
        </w:rPr>
        <w:t>плаћа</w:t>
      </w:r>
      <w:r w:rsidR="00F057B8" w:rsidRPr="0007021A">
        <w:rPr>
          <w:rFonts w:ascii="Times New Roman" w:hAnsi="Times New Roman"/>
          <w:sz w:val="24"/>
          <w:szCs w:val="24"/>
        </w:rPr>
        <w:t xml:space="preserve"> </w:t>
      </w:r>
      <w:r w:rsidR="004949B5" w:rsidRPr="0007021A">
        <w:rPr>
          <w:rFonts w:ascii="Times New Roman" w:hAnsi="Times New Roman"/>
          <w:sz w:val="24"/>
          <w:szCs w:val="24"/>
        </w:rPr>
        <w:t>акциза</w:t>
      </w:r>
      <w:r w:rsidR="00F057B8" w:rsidRPr="0007021A">
        <w:rPr>
          <w:rFonts w:ascii="Times New Roman" w:hAnsi="Times New Roman"/>
          <w:sz w:val="24"/>
          <w:szCs w:val="24"/>
        </w:rPr>
        <w:t>.</w:t>
      </w:r>
      <w:r w:rsidR="0080481C" w:rsidRPr="0007021A">
        <w:rPr>
          <w:rFonts w:ascii="Times New Roman" w:hAnsi="Times New Roman"/>
          <w:sz w:val="24"/>
          <w:szCs w:val="24"/>
          <w:lang w:val="sr-Cyrl-CS"/>
        </w:rPr>
        <w:t xml:space="preserve"> </w:t>
      </w:r>
      <w:r w:rsidR="004949B5" w:rsidRPr="0007021A">
        <w:rPr>
          <w:rFonts w:ascii="Times New Roman" w:hAnsi="Times New Roman"/>
          <w:sz w:val="24"/>
          <w:szCs w:val="24"/>
        </w:rPr>
        <w:t>Репродукционим</w:t>
      </w:r>
      <w:r w:rsidR="00F057B8" w:rsidRPr="0007021A">
        <w:rPr>
          <w:rFonts w:ascii="Times New Roman" w:hAnsi="Times New Roman"/>
          <w:sz w:val="24"/>
          <w:szCs w:val="24"/>
        </w:rPr>
        <w:t xml:space="preserve"> </w:t>
      </w:r>
      <w:r w:rsidR="004949B5" w:rsidRPr="0007021A">
        <w:rPr>
          <w:rFonts w:ascii="Times New Roman" w:hAnsi="Times New Roman"/>
          <w:sz w:val="24"/>
          <w:szCs w:val="24"/>
        </w:rPr>
        <w:t>материјалом</w:t>
      </w:r>
      <w:r w:rsidR="00F057B8" w:rsidRPr="0007021A">
        <w:rPr>
          <w:rFonts w:ascii="Times New Roman" w:hAnsi="Times New Roman"/>
          <w:sz w:val="24"/>
          <w:szCs w:val="24"/>
        </w:rPr>
        <w:t xml:space="preserve"> </w:t>
      </w:r>
      <w:r w:rsidR="004949B5" w:rsidRPr="0007021A">
        <w:rPr>
          <w:rFonts w:ascii="Times New Roman" w:hAnsi="Times New Roman"/>
          <w:sz w:val="24"/>
          <w:szCs w:val="24"/>
        </w:rPr>
        <w:t>у</w:t>
      </w:r>
      <w:r w:rsidR="00F057B8" w:rsidRPr="0007021A">
        <w:rPr>
          <w:rFonts w:ascii="Times New Roman" w:hAnsi="Times New Roman"/>
          <w:sz w:val="24"/>
          <w:szCs w:val="24"/>
        </w:rPr>
        <w:t xml:space="preserve"> </w:t>
      </w:r>
      <w:r w:rsidR="004949B5" w:rsidRPr="0007021A">
        <w:rPr>
          <w:rFonts w:ascii="Times New Roman" w:hAnsi="Times New Roman"/>
          <w:sz w:val="24"/>
          <w:szCs w:val="24"/>
        </w:rPr>
        <w:t>сматрају</w:t>
      </w:r>
      <w:r w:rsidR="00F057B8" w:rsidRPr="0007021A">
        <w:rPr>
          <w:rFonts w:ascii="Times New Roman" w:hAnsi="Times New Roman"/>
          <w:sz w:val="24"/>
          <w:szCs w:val="24"/>
        </w:rPr>
        <w:t xml:space="preserve"> </w:t>
      </w:r>
      <w:r w:rsidR="004949B5" w:rsidRPr="0007021A">
        <w:rPr>
          <w:rFonts w:ascii="Times New Roman" w:hAnsi="Times New Roman"/>
          <w:sz w:val="24"/>
          <w:szCs w:val="24"/>
        </w:rPr>
        <w:t>се</w:t>
      </w:r>
      <w:r w:rsidR="00F057B8" w:rsidRPr="0007021A">
        <w:rPr>
          <w:rFonts w:ascii="Times New Roman" w:hAnsi="Times New Roman"/>
          <w:sz w:val="24"/>
          <w:szCs w:val="24"/>
        </w:rPr>
        <w:t xml:space="preserve"> </w:t>
      </w:r>
      <w:r w:rsidR="004949B5" w:rsidRPr="0007021A">
        <w:rPr>
          <w:rFonts w:ascii="Times New Roman" w:hAnsi="Times New Roman"/>
          <w:sz w:val="24"/>
          <w:szCs w:val="24"/>
        </w:rPr>
        <w:t>производи</w:t>
      </w:r>
      <w:r w:rsidR="00F057B8" w:rsidRPr="0007021A">
        <w:rPr>
          <w:rFonts w:ascii="Times New Roman" w:hAnsi="Times New Roman"/>
          <w:sz w:val="24"/>
          <w:szCs w:val="24"/>
        </w:rPr>
        <w:t xml:space="preserve"> </w:t>
      </w:r>
      <w:r w:rsidR="004949B5" w:rsidRPr="0007021A">
        <w:rPr>
          <w:rFonts w:ascii="Times New Roman" w:hAnsi="Times New Roman"/>
          <w:sz w:val="24"/>
          <w:szCs w:val="24"/>
        </w:rPr>
        <w:t>који</w:t>
      </w:r>
      <w:r w:rsidR="00F057B8" w:rsidRPr="0007021A">
        <w:rPr>
          <w:rFonts w:ascii="Times New Roman" w:hAnsi="Times New Roman"/>
          <w:sz w:val="24"/>
          <w:szCs w:val="24"/>
        </w:rPr>
        <w:t xml:space="preserve"> </w:t>
      </w:r>
      <w:r w:rsidR="004949B5" w:rsidRPr="0007021A">
        <w:rPr>
          <w:rFonts w:ascii="Times New Roman" w:hAnsi="Times New Roman"/>
          <w:sz w:val="24"/>
          <w:szCs w:val="24"/>
        </w:rPr>
        <w:t>у</w:t>
      </w:r>
      <w:r w:rsidR="00F057B8" w:rsidRPr="0007021A">
        <w:rPr>
          <w:rFonts w:ascii="Times New Roman" w:hAnsi="Times New Roman"/>
          <w:sz w:val="24"/>
          <w:szCs w:val="24"/>
        </w:rPr>
        <w:t xml:space="preserve"> </w:t>
      </w:r>
      <w:r w:rsidR="004949B5" w:rsidRPr="0007021A">
        <w:rPr>
          <w:rFonts w:ascii="Times New Roman" w:hAnsi="Times New Roman"/>
          <w:sz w:val="24"/>
          <w:szCs w:val="24"/>
        </w:rPr>
        <w:t>процесу</w:t>
      </w:r>
      <w:r w:rsidR="00F057B8" w:rsidRPr="0007021A">
        <w:rPr>
          <w:rFonts w:ascii="Times New Roman" w:hAnsi="Times New Roman"/>
          <w:sz w:val="24"/>
          <w:szCs w:val="24"/>
        </w:rPr>
        <w:t xml:space="preserve"> </w:t>
      </w:r>
      <w:r w:rsidR="004949B5" w:rsidRPr="0007021A">
        <w:rPr>
          <w:rFonts w:ascii="Times New Roman" w:hAnsi="Times New Roman"/>
          <w:sz w:val="24"/>
          <w:szCs w:val="24"/>
        </w:rPr>
        <w:t>даље</w:t>
      </w:r>
      <w:r w:rsidR="00F057B8" w:rsidRPr="0007021A">
        <w:rPr>
          <w:rFonts w:ascii="Times New Roman" w:hAnsi="Times New Roman"/>
          <w:sz w:val="24"/>
          <w:szCs w:val="24"/>
        </w:rPr>
        <w:t xml:space="preserve"> </w:t>
      </w:r>
      <w:r w:rsidR="004949B5" w:rsidRPr="0007021A">
        <w:rPr>
          <w:rFonts w:ascii="Times New Roman" w:hAnsi="Times New Roman"/>
          <w:sz w:val="24"/>
          <w:szCs w:val="24"/>
        </w:rPr>
        <w:t>производње</w:t>
      </w:r>
      <w:r w:rsidR="00F057B8" w:rsidRPr="0007021A">
        <w:rPr>
          <w:rFonts w:ascii="Times New Roman" w:hAnsi="Times New Roman"/>
          <w:sz w:val="24"/>
          <w:szCs w:val="24"/>
        </w:rPr>
        <w:t xml:space="preserve"> </w:t>
      </w:r>
      <w:r w:rsidR="004949B5" w:rsidRPr="0007021A">
        <w:rPr>
          <w:rFonts w:ascii="Times New Roman" w:hAnsi="Times New Roman"/>
          <w:sz w:val="24"/>
          <w:szCs w:val="24"/>
        </w:rPr>
        <w:t>улазе</w:t>
      </w:r>
      <w:r w:rsidR="00F057B8" w:rsidRPr="0007021A">
        <w:rPr>
          <w:rFonts w:ascii="Times New Roman" w:hAnsi="Times New Roman"/>
          <w:sz w:val="24"/>
          <w:szCs w:val="24"/>
        </w:rPr>
        <w:t xml:space="preserve"> </w:t>
      </w:r>
      <w:r w:rsidR="004949B5" w:rsidRPr="0007021A">
        <w:rPr>
          <w:rFonts w:ascii="Times New Roman" w:hAnsi="Times New Roman"/>
          <w:sz w:val="24"/>
          <w:szCs w:val="24"/>
        </w:rPr>
        <w:t>у</w:t>
      </w:r>
      <w:r w:rsidR="00F057B8" w:rsidRPr="0007021A">
        <w:rPr>
          <w:rFonts w:ascii="Times New Roman" w:hAnsi="Times New Roman"/>
          <w:sz w:val="24"/>
          <w:szCs w:val="24"/>
        </w:rPr>
        <w:t xml:space="preserve"> </w:t>
      </w:r>
      <w:r w:rsidR="004949B5" w:rsidRPr="0007021A">
        <w:rPr>
          <w:rFonts w:ascii="Times New Roman" w:hAnsi="Times New Roman"/>
          <w:sz w:val="24"/>
          <w:szCs w:val="24"/>
        </w:rPr>
        <w:t>супстанцу</w:t>
      </w:r>
      <w:r w:rsidR="00F057B8" w:rsidRPr="0007021A">
        <w:rPr>
          <w:rFonts w:ascii="Times New Roman" w:hAnsi="Times New Roman"/>
          <w:sz w:val="24"/>
          <w:szCs w:val="24"/>
        </w:rPr>
        <w:t xml:space="preserve"> </w:t>
      </w:r>
      <w:r w:rsidR="004949B5" w:rsidRPr="0007021A">
        <w:rPr>
          <w:rFonts w:ascii="Times New Roman" w:hAnsi="Times New Roman"/>
          <w:sz w:val="24"/>
          <w:szCs w:val="24"/>
        </w:rPr>
        <w:t>другог</w:t>
      </w:r>
      <w:r w:rsidR="00F057B8" w:rsidRPr="0007021A">
        <w:rPr>
          <w:rFonts w:ascii="Times New Roman" w:hAnsi="Times New Roman"/>
          <w:sz w:val="24"/>
          <w:szCs w:val="24"/>
        </w:rPr>
        <w:t xml:space="preserve"> </w:t>
      </w:r>
      <w:r w:rsidR="004949B5" w:rsidRPr="0007021A">
        <w:rPr>
          <w:rFonts w:ascii="Times New Roman" w:hAnsi="Times New Roman"/>
          <w:sz w:val="24"/>
          <w:szCs w:val="24"/>
        </w:rPr>
        <w:t>производа</w:t>
      </w:r>
      <w:r w:rsidR="00F057B8" w:rsidRPr="0007021A">
        <w:rPr>
          <w:rFonts w:ascii="Times New Roman" w:hAnsi="Times New Roman"/>
          <w:sz w:val="24"/>
          <w:szCs w:val="24"/>
        </w:rPr>
        <w:t xml:space="preserve">, </w:t>
      </w:r>
      <w:r w:rsidR="004949B5" w:rsidRPr="0007021A">
        <w:rPr>
          <w:rFonts w:ascii="Times New Roman" w:hAnsi="Times New Roman"/>
          <w:sz w:val="24"/>
          <w:szCs w:val="24"/>
        </w:rPr>
        <w:t>у</w:t>
      </w:r>
      <w:r w:rsidR="00F057B8" w:rsidRPr="0007021A">
        <w:rPr>
          <w:rFonts w:ascii="Times New Roman" w:hAnsi="Times New Roman"/>
          <w:sz w:val="24"/>
          <w:szCs w:val="24"/>
        </w:rPr>
        <w:t xml:space="preserve"> </w:t>
      </w:r>
      <w:r w:rsidR="004949B5" w:rsidRPr="0007021A">
        <w:rPr>
          <w:rFonts w:ascii="Times New Roman" w:hAnsi="Times New Roman"/>
          <w:sz w:val="24"/>
          <w:szCs w:val="24"/>
        </w:rPr>
        <w:t>складу</w:t>
      </w:r>
      <w:r w:rsidR="00F057B8" w:rsidRPr="0007021A">
        <w:rPr>
          <w:rFonts w:ascii="Times New Roman" w:hAnsi="Times New Roman"/>
          <w:sz w:val="24"/>
          <w:szCs w:val="24"/>
        </w:rPr>
        <w:t xml:space="preserve"> </w:t>
      </w:r>
      <w:r w:rsidR="004949B5" w:rsidRPr="0007021A">
        <w:rPr>
          <w:rFonts w:ascii="Times New Roman" w:hAnsi="Times New Roman"/>
          <w:sz w:val="24"/>
          <w:szCs w:val="24"/>
        </w:rPr>
        <w:t>са</w:t>
      </w:r>
      <w:r w:rsidR="00F057B8" w:rsidRPr="0007021A">
        <w:rPr>
          <w:rFonts w:ascii="Times New Roman" w:hAnsi="Times New Roman"/>
          <w:sz w:val="24"/>
          <w:szCs w:val="24"/>
        </w:rPr>
        <w:t xml:space="preserve"> </w:t>
      </w:r>
      <w:r w:rsidR="004949B5" w:rsidRPr="0007021A">
        <w:rPr>
          <w:rFonts w:ascii="Times New Roman" w:hAnsi="Times New Roman"/>
          <w:sz w:val="24"/>
          <w:szCs w:val="24"/>
        </w:rPr>
        <w:t>овим</w:t>
      </w:r>
      <w:r w:rsidR="00F057B8" w:rsidRPr="0007021A">
        <w:rPr>
          <w:rFonts w:ascii="Times New Roman" w:hAnsi="Times New Roman"/>
          <w:sz w:val="24"/>
          <w:szCs w:val="24"/>
        </w:rPr>
        <w:t xml:space="preserve"> </w:t>
      </w:r>
      <w:r w:rsidR="004949B5" w:rsidRPr="0007021A">
        <w:rPr>
          <w:rFonts w:ascii="Times New Roman" w:hAnsi="Times New Roman"/>
          <w:sz w:val="24"/>
          <w:szCs w:val="24"/>
        </w:rPr>
        <w:t>законом</w:t>
      </w:r>
      <w:r w:rsidR="00F057B8" w:rsidRPr="0007021A">
        <w:rPr>
          <w:rFonts w:ascii="Times New Roman" w:hAnsi="Times New Roman"/>
          <w:sz w:val="24"/>
          <w:szCs w:val="24"/>
        </w:rPr>
        <w:t>.</w:t>
      </w:r>
    </w:p>
    <w:p w:rsidR="00A07072" w:rsidRPr="004949B5" w:rsidRDefault="00A07072" w:rsidP="004949B5">
      <w:pPr>
        <w:pStyle w:val="normal0"/>
        <w:shd w:val="clear" w:color="auto" w:fill="FFFFFF"/>
        <w:spacing w:before="48" w:beforeAutospacing="0" w:after="48" w:afterAutospacing="0"/>
        <w:jc w:val="both"/>
        <w:rPr>
          <w:color w:val="000000"/>
          <w:lang w:val="sr-Cyrl-CS"/>
        </w:rPr>
      </w:pPr>
    </w:p>
    <w:p w:rsidR="00541620" w:rsidRDefault="00541620" w:rsidP="004949B5">
      <w:pPr>
        <w:pStyle w:val="normal0"/>
        <w:shd w:val="clear" w:color="auto" w:fill="FFFFFF"/>
        <w:spacing w:before="48" w:beforeAutospacing="0" w:after="48" w:afterAutospacing="0"/>
        <w:jc w:val="both"/>
        <w:rPr>
          <w:color w:val="000000"/>
          <w:lang w:val="sr-Cyrl-CS"/>
        </w:rPr>
      </w:pPr>
    </w:p>
    <w:p w:rsidR="0007021A" w:rsidRDefault="0007021A" w:rsidP="004949B5">
      <w:pPr>
        <w:pStyle w:val="normal0"/>
        <w:shd w:val="clear" w:color="auto" w:fill="FFFFFF"/>
        <w:spacing w:before="48" w:beforeAutospacing="0" w:after="48" w:afterAutospacing="0"/>
        <w:jc w:val="both"/>
        <w:rPr>
          <w:color w:val="000000"/>
          <w:lang w:val="sr-Cyrl-CS"/>
        </w:rPr>
      </w:pPr>
    </w:p>
    <w:p w:rsidR="0007021A" w:rsidRDefault="0007021A" w:rsidP="004949B5">
      <w:pPr>
        <w:pStyle w:val="normal0"/>
        <w:shd w:val="clear" w:color="auto" w:fill="FFFFFF"/>
        <w:spacing w:before="48" w:beforeAutospacing="0" w:after="48" w:afterAutospacing="0"/>
        <w:jc w:val="both"/>
        <w:rPr>
          <w:color w:val="000000"/>
          <w:lang w:val="sr-Cyrl-CS"/>
        </w:rPr>
      </w:pPr>
    </w:p>
    <w:p w:rsidR="0007021A" w:rsidRDefault="0007021A" w:rsidP="004949B5">
      <w:pPr>
        <w:pStyle w:val="normal0"/>
        <w:shd w:val="clear" w:color="auto" w:fill="FFFFFF"/>
        <w:spacing w:before="48" w:beforeAutospacing="0" w:after="48" w:afterAutospacing="0"/>
        <w:jc w:val="both"/>
        <w:rPr>
          <w:color w:val="000000"/>
          <w:lang w:val="sr-Cyrl-CS"/>
        </w:rPr>
      </w:pPr>
    </w:p>
    <w:p w:rsidR="0007021A" w:rsidRDefault="0007021A" w:rsidP="004949B5">
      <w:pPr>
        <w:pStyle w:val="normal0"/>
        <w:shd w:val="clear" w:color="auto" w:fill="FFFFFF"/>
        <w:spacing w:before="48" w:beforeAutospacing="0" w:after="48" w:afterAutospacing="0"/>
        <w:jc w:val="both"/>
        <w:rPr>
          <w:color w:val="000000"/>
          <w:lang w:val="sr-Cyrl-CS"/>
        </w:rPr>
      </w:pPr>
    </w:p>
    <w:p w:rsidR="0007021A" w:rsidRDefault="0007021A" w:rsidP="004949B5">
      <w:pPr>
        <w:pStyle w:val="normal0"/>
        <w:shd w:val="clear" w:color="auto" w:fill="FFFFFF"/>
        <w:spacing w:before="48" w:beforeAutospacing="0" w:after="48" w:afterAutospacing="0"/>
        <w:jc w:val="both"/>
        <w:rPr>
          <w:color w:val="000000"/>
          <w:lang w:val="sr-Cyrl-CS"/>
        </w:rPr>
      </w:pPr>
    </w:p>
    <w:p w:rsidR="0007021A" w:rsidRDefault="0007021A" w:rsidP="004949B5">
      <w:pPr>
        <w:pStyle w:val="normal0"/>
        <w:shd w:val="clear" w:color="auto" w:fill="FFFFFF"/>
        <w:spacing w:before="48" w:beforeAutospacing="0" w:after="48" w:afterAutospacing="0"/>
        <w:jc w:val="both"/>
        <w:rPr>
          <w:color w:val="000000"/>
          <w:lang w:val="sr-Cyrl-CS"/>
        </w:rPr>
      </w:pPr>
    </w:p>
    <w:p w:rsidR="0007021A" w:rsidRDefault="0007021A" w:rsidP="004949B5">
      <w:pPr>
        <w:pStyle w:val="normal0"/>
        <w:shd w:val="clear" w:color="auto" w:fill="FFFFFF"/>
        <w:spacing w:before="48" w:beforeAutospacing="0" w:after="48" w:afterAutospacing="0"/>
        <w:jc w:val="both"/>
        <w:rPr>
          <w:color w:val="000000"/>
          <w:lang w:val="sr-Cyrl-CS"/>
        </w:rPr>
      </w:pPr>
    </w:p>
    <w:p w:rsidR="0007021A" w:rsidRDefault="0007021A" w:rsidP="004949B5">
      <w:pPr>
        <w:pStyle w:val="normal0"/>
        <w:shd w:val="clear" w:color="auto" w:fill="FFFFFF"/>
        <w:spacing w:before="48" w:beforeAutospacing="0" w:after="48" w:afterAutospacing="0"/>
        <w:jc w:val="both"/>
        <w:rPr>
          <w:color w:val="000000"/>
          <w:lang w:val="sr-Cyrl-CS"/>
        </w:rPr>
      </w:pPr>
    </w:p>
    <w:p w:rsidR="0007021A" w:rsidRDefault="0007021A" w:rsidP="004949B5">
      <w:pPr>
        <w:pStyle w:val="normal0"/>
        <w:shd w:val="clear" w:color="auto" w:fill="FFFFFF"/>
        <w:spacing w:before="48" w:beforeAutospacing="0" w:after="48" w:afterAutospacing="0"/>
        <w:jc w:val="both"/>
        <w:rPr>
          <w:color w:val="000000"/>
          <w:lang w:val="sr-Cyrl-CS"/>
        </w:rPr>
      </w:pPr>
    </w:p>
    <w:p w:rsidR="0007021A" w:rsidRDefault="0007021A" w:rsidP="004949B5">
      <w:pPr>
        <w:pStyle w:val="normal0"/>
        <w:shd w:val="clear" w:color="auto" w:fill="FFFFFF"/>
        <w:spacing w:before="48" w:beforeAutospacing="0" w:after="48" w:afterAutospacing="0"/>
        <w:jc w:val="both"/>
        <w:rPr>
          <w:color w:val="000000"/>
          <w:lang w:val="sr-Cyrl-CS"/>
        </w:rPr>
      </w:pPr>
    </w:p>
    <w:p w:rsidR="0007021A" w:rsidRDefault="0007021A" w:rsidP="004949B5">
      <w:pPr>
        <w:pStyle w:val="normal0"/>
        <w:shd w:val="clear" w:color="auto" w:fill="FFFFFF"/>
        <w:spacing w:before="48" w:beforeAutospacing="0" w:after="48" w:afterAutospacing="0"/>
        <w:jc w:val="both"/>
        <w:rPr>
          <w:color w:val="000000"/>
          <w:lang w:val="sr-Cyrl-CS"/>
        </w:rPr>
      </w:pPr>
    </w:p>
    <w:p w:rsidR="0007021A" w:rsidRDefault="0007021A" w:rsidP="004949B5">
      <w:pPr>
        <w:pStyle w:val="normal0"/>
        <w:shd w:val="clear" w:color="auto" w:fill="FFFFFF"/>
        <w:spacing w:before="48" w:beforeAutospacing="0" w:after="48" w:afterAutospacing="0"/>
        <w:jc w:val="both"/>
        <w:rPr>
          <w:color w:val="000000"/>
          <w:lang w:val="sr-Cyrl-CS"/>
        </w:rPr>
      </w:pPr>
    </w:p>
    <w:p w:rsidR="0007021A" w:rsidRDefault="0007021A" w:rsidP="004949B5">
      <w:pPr>
        <w:pStyle w:val="normal0"/>
        <w:shd w:val="clear" w:color="auto" w:fill="FFFFFF"/>
        <w:spacing w:before="48" w:beforeAutospacing="0" w:after="48" w:afterAutospacing="0"/>
        <w:jc w:val="both"/>
        <w:rPr>
          <w:color w:val="000000"/>
          <w:lang w:val="sr-Cyrl-CS"/>
        </w:rPr>
      </w:pPr>
    </w:p>
    <w:p w:rsidR="0007021A" w:rsidRDefault="0007021A" w:rsidP="004949B5">
      <w:pPr>
        <w:pStyle w:val="normal0"/>
        <w:shd w:val="clear" w:color="auto" w:fill="FFFFFF"/>
        <w:spacing w:before="48" w:beforeAutospacing="0" w:after="48" w:afterAutospacing="0"/>
        <w:jc w:val="both"/>
        <w:rPr>
          <w:color w:val="000000"/>
          <w:lang w:val="sr-Cyrl-CS"/>
        </w:rPr>
      </w:pPr>
    </w:p>
    <w:p w:rsidR="0007021A" w:rsidRDefault="0007021A" w:rsidP="004949B5">
      <w:pPr>
        <w:pStyle w:val="normal0"/>
        <w:shd w:val="clear" w:color="auto" w:fill="FFFFFF"/>
        <w:spacing w:before="48" w:beforeAutospacing="0" w:after="48" w:afterAutospacing="0"/>
        <w:jc w:val="both"/>
        <w:rPr>
          <w:color w:val="000000"/>
          <w:lang w:val="sr-Cyrl-CS"/>
        </w:rPr>
      </w:pPr>
    </w:p>
    <w:p w:rsidR="0007021A" w:rsidRDefault="0007021A" w:rsidP="004949B5">
      <w:pPr>
        <w:pStyle w:val="normal0"/>
        <w:shd w:val="clear" w:color="auto" w:fill="FFFFFF"/>
        <w:spacing w:before="48" w:beforeAutospacing="0" w:after="48" w:afterAutospacing="0"/>
        <w:jc w:val="both"/>
        <w:rPr>
          <w:color w:val="000000"/>
          <w:lang w:val="sr-Cyrl-CS"/>
        </w:rPr>
      </w:pPr>
    </w:p>
    <w:p w:rsidR="0007021A" w:rsidRDefault="0007021A" w:rsidP="004949B5">
      <w:pPr>
        <w:pStyle w:val="normal0"/>
        <w:shd w:val="clear" w:color="auto" w:fill="FFFFFF"/>
        <w:spacing w:before="48" w:beforeAutospacing="0" w:after="48" w:afterAutospacing="0"/>
        <w:jc w:val="both"/>
        <w:rPr>
          <w:color w:val="000000"/>
          <w:lang w:val="sr-Cyrl-CS"/>
        </w:rPr>
      </w:pPr>
    </w:p>
    <w:p w:rsidR="0007021A" w:rsidRDefault="0007021A" w:rsidP="004949B5">
      <w:pPr>
        <w:pStyle w:val="normal0"/>
        <w:shd w:val="clear" w:color="auto" w:fill="FFFFFF"/>
        <w:spacing w:before="48" w:beforeAutospacing="0" w:after="48" w:afterAutospacing="0"/>
        <w:jc w:val="both"/>
        <w:rPr>
          <w:color w:val="000000"/>
          <w:lang w:val="sr-Cyrl-CS"/>
        </w:rPr>
      </w:pPr>
    </w:p>
    <w:p w:rsidR="0007021A" w:rsidRDefault="0007021A" w:rsidP="004949B5">
      <w:pPr>
        <w:pStyle w:val="normal0"/>
        <w:shd w:val="clear" w:color="auto" w:fill="FFFFFF"/>
        <w:spacing w:before="48" w:beforeAutospacing="0" w:after="48" w:afterAutospacing="0"/>
        <w:jc w:val="both"/>
        <w:rPr>
          <w:color w:val="000000"/>
          <w:lang w:val="sr-Cyrl-CS"/>
        </w:rPr>
      </w:pPr>
    </w:p>
    <w:p w:rsidR="0007021A" w:rsidRDefault="0007021A" w:rsidP="004949B5">
      <w:pPr>
        <w:pStyle w:val="normal0"/>
        <w:shd w:val="clear" w:color="auto" w:fill="FFFFFF"/>
        <w:spacing w:before="48" w:beforeAutospacing="0" w:after="48" w:afterAutospacing="0"/>
        <w:jc w:val="both"/>
        <w:rPr>
          <w:color w:val="000000"/>
          <w:lang w:val="sr-Cyrl-CS"/>
        </w:rPr>
      </w:pPr>
    </w:p>
    <w:p w:rsidR="0007021A" w:rsidRPr="0007021A" w:rsidRDefault="0007021A" w:rsidP="004949B5">
      <w:pPr>
        <w:pStyle w:val="normal0"/>
        <w:shd w:val="clear" w:color="auto" w:fill="FFFFFF"/>
        <w:spacing w:before="48" w:beforeAutospacing="0" w:after="48" w:afterAutospacing="0"/>
        <w:jc w:val="both"/>
        <w:rPr>
          <w:color w:val="000000"/>
          <w:lang w:val="sr-Cyrl-CS"/>
        </w:rPr>
      </w:pPr>
    </w:p>
    <w:p w:rsidR="00A07072" w:rsidRPr="004949B5" w:rsidRDefault="00C208AF" w:rsidP="004949B5">
      <w:pPr>
        <w:pStyle w:val="normal0"/>
        <w:shd w:val="clear" w:color="auto" w:fill="FFFFFF"/>
        <w:spacing w:before="48" w:beforeAutospacing="0" w:after="48" w:afterAutospacing="0"/>
        <w:jc w:val="center"/>
        <w:rPr>
          <w:b/>
          <w:color w:val="000000"/>
          <w:lang w:val="sr-Cyrl-CS"/>
        </w:rPr>
      </w:pPr>
      <w:r>
        <w:rPr>
          <w:b/>
          <w:color w:val="000000"/>
          <w:lang w:val="sr-Cyrl-CS"/>
        </w:rPr>
        <w:t>5.5</w:t>
      </w:r>
      <w:r w:rsidR="00EC1BA4" w:rsidRPr="004949B5">
        <w:rPr>
          <w:b/>
          <w:color w:val="000000"/>
          <w:lang w:val="sr-Cyrl-CS"/>
        </w:rPr>
        <w:t>.6. Избегавање плаћања акциза</w:t>
      </w:r>
    </w:p>
    <w:p w:rsidR="0080481C" w:rsidRPr="004949B5" w:rsidRDefault="0080481C" w:rsidP="004949B5">
      <w:pPr>
        <w:pStyle w:val="normal0"/>
        <w:shd w:val="clear" w:color="auto" w:fill="FFFFFF"/>
        <w:spacing w:before="48" w:beforeAutospacing="0" w:after="48" w:afterAutospacing="0"/>
        <w:jc w:val="both"/>
        <w:rPr>
          <w:color w:val="000000"/>
          <w:lang w:val="sr-Cyrl-CS"/>
        </w:rPr>
      </w:pPr>
    </w:p>
    <w:p w:rsidR="00EC1BA4" w:rsidRPr="004949B5" w:rsidRDefault="00EC1BA4" w:rsidP="004949B5">
      <w:pPr>
        <w:pStyle w:val="normal0"/>
        <w:shd w:val="clear" w:color="auto" w:fill="FFFFFF"/>
        <w:spacing w:before="48" w:beforeAutospacing="0" w:after="48" w:afterAutospacing="0"/>
        <w:jc w:val="both"/>
        <w:rPr>
          <w:color w:val="000000"/>
          <w:lang w:val="sr-Cyrl-CS"/>
        </w:rPr>
      </w:pPr>
    </w:p>
    <w:p w:rsidR="00965F08" w:rsidRPr="0007021A" w:rsidRDefault="00A07072" w:rsidP="0007021A">
      <w:pPr>
        <w:ind w:firstLine="708"/>
        <w:jc w:val="both"/>
        <w:rPr>
          <w:rFonts w:ascii="Times New Roman" w:hAnsi="Times New Roman"/>
          <w:sz w:val="24"/>
          <w:szCs w:val="24"/>
          <w:lang w:val="sr-Cyrl-CS"/>
        </w:rPr>
      </w:pPr>
      <w:r w:rsidRPr="0007021A">
        <w:rPr>
          <w:rFonts w:ascii="Times New Roman" w:hAnsi="Times New Roman"/>
          <w:sz w:val="24"/>
          <w:szCs w:val="24"/>
          <w:lang w:val="sr-Cyrl-CS"/>
        </w:rPr>
        <w:t>У пракси се срећу различити начини избегавања плаћања акцизе. Такви начини се користе и код избегавања плаћања пореза на додату вредност, о којима ј</w:t>
      </w:r>
      <w:r w:rsidR="0066291A" w:rsidRPr="0007021A">
        <w:rPr>
          <w:rFonts w:ascii="Times New Roman" w:hAnsi="Times New Roman"/>
          <w:sz w:val="24"/>
          <w:szCs w:val="24"/>
          <w:lang w:val="sr-Cyrl-CS"/>
        </w:rPr>
        <w:t>е било речи у ранијем излагању,</w:t>
      </w:r>
      <w:r w:rsidRPr="0007021A">
        <w:rPr>
          <w:rFonts w:ascii="Times New Roman" w:hAnsi="Times New Roman"/>
          <w:sz w:val="24"/>
          <w:szCs w:val="24"/>
          <w:lang w:val="sr-Cyrl-CS"/>
        </w:rPr>
        <w:t xml:space="preserve"> као и других обавеза. Међутим, акцизе носе одређене специфичности, па то утиче и на начине избегавања њиховог плаћања.</w:t>
      </w:r>
    </w:p>
    <w:p w:rsidR="00075124" w:rsidRPr="0007021A" w:rsidRDefault="005E2201" w:rsidP="0007021A">
      <w:pPr>
        <w:ind w:firstLine="708"/>
        <w:jc w:val="both"/>
        <w:rPr>
          <w:rFonts w:ascii="Times New Roman" w:hAnsi="Times New Roman"/>
          <w:sz w:val="24"/>
          <w:szCs w:val="24"/>
          <w:lang w:val="sr-Cyrl-CS"/>
        </w:rPr>
      </w:pPr>
      <w:r w:rsidRPr="0007021A">
        <w:rPr>
          <w:rFonts w:ascii="Times New Roman" w:hAnsi="Times New Roman"/>
          <w:sz w:val="24"/>
          <w:szCs w:val="24"/>
          <w:lang w:val="sr-Cyrl-CS"/>
        </w:rPr>
        <w:t>Акцизе се најчешће избегавају код промета нафних деривата. Нафтни д</w:t>
      </w:r>
      <w:r w:rsidR="002319FB" w:rsidRPr="0007021A">
        <w:rPr>
          <w:rFonts w:ascii="Times New Roman" w:hAnsi="Times New Roman"/>
          <w:sz w:val="24"/>
          <w:szCs w:val="24"/>
          <w:lang w:val="sr-Cyrl-CS"/>
        </w:rPr>
        <w:t>е</w:t>
      </w:r>
      <w:r w:rsidRPr="0007021A">
        <w:rPr>
          <w:rFonts w:ascii="Times New Roman" w:hAnsi="Times New Roman"/>
          <w:sz w:val="24"/>
          <w:szCs w:val="24"/>
          <w:lang w:val="sr-Cyrl-CS"/>
        </w:rPr>
        <w:t xml:space="preserve">ривати </w:t>
      </w:r>
      <w:r w:rsidR="002319FB" w:rsidRPr="0007021A">
        <w:rPr>
          <w:rFonts w:ascii="Times New Roman" w:hAnsi="Times New Roman"/>
          <w:sz w:val="24"/>
          <w:szCs w:val="24"/>
          <w:lang w:val="sr-Cyrl-CS"/>
        </w:rPr>
        <w:t>се набављај</w:t>
      </w:r>
      <w:r w:rsidR="0066291A" w:rsidRPr="0007021A">
        <w:rPr>
          <w:rFonts w:ascii="Times New Roman" w:hAnsi="Times New Roman"/>
          <w:sz w:val="24"/>
          <w:szCs w:val="24"/>
          <w:lang w:val="sr-Cyrl-CS"/>
        </w:rPr>
        <w:t>у на илегалном тржишту, а потом се</w:t>
      </w:r>
      <w:r w:rsidR="00452CF3" w:rsidRPr="0007021A">
        <w:rPr>
          <w:rFonts w:ascii="Times New Roman" w:hAnsi="Times New Roman"/>
          <w:sz w:val="24"/>
          <w:szCs w:val="24"/>
          <w:lang w:val="sr-Cyrl-CS"/>
        </w:rPr>
        <w:t>, како би се то прикрило,</w:t>
      </w:r>
      <w:r w:rsidR="0066291A" w:rsidRPr="0007021A">
        <w:rPr>
          <w:rFonts w:ascii="Times New Roman" w:hAnsi="Times New Roman"/>
          <w:sz w:val="24"/>
          <w:szCs w:val="24"/>
          <w:lang w:val="sr-Cyrl-CS"/>
        </w:rPr>
        <w:t xml:space="preserve"> праве лажне фактуре фантом предузећа</w:t>
      </w:r>
      <w:r w:rsidR="00452CF3" w:rsidRPr="0007021A">
        <w:rPr>
          <w:rFonts w:ascii="Times New Roman" w:hAnsi="Times New Roman"/>
          <w:sz w:val="24"/>
          <w:szCs w:val="24"/>
          <w:lang w:val="sr-Cyrl-CS"/>
        </w:rPr>
        <w:t xml:space="preserve"> као лажних добављача</w:t>
      </w:r>
      <w:r w:rsidR="0066291A" w:rsidRPr="0007021A">
        <w:rPr>
          <w:rFonts w:ascii="Times New Roman" w:hAnsi="Times New Roman"/>
          <w:sz w:val="24"/>
          <w:szCs w:val="24"/>
          <w:lang w:val="sr-Cyrl-CS"/>
        </w:rPr>
        <w:t>, након чега се нафтни деривати продају на</w:t>
      </w:r>
      <w:r w:rsidR="00452CF3" w:rsidRPr="0007021A">
        <w:rPr>
          <w:rFonts w:ascii="Times New Roman" w:hAnsi="Times New Roman"/>
          <w:sz w:val="24"/>
          <w:szCs w:val="24"/>
          <w:lang w:val="sr-Cyrl-CS"/>
        </w:rPr>
        <w:t xml:space="preserve"> </w:t>
      </w:r>
      <w:r w:rsidR="0066291A" w:rsidRPr="0007021A">
        <w:rPr>
          <w:rFonts w:ascii="Times New Roman" w:hAnsi="Times New Roman"/>
          <w:sz w:val="24"/>
          <w:szCs w:val="24"/>
          <w:lang w:val="sr-Cyrl-CS"/>
        </w:rPr>
        <w:t>легалном тржишту.</w:t>
      </w:r>
    </w:p>
    <w:p w:rsidR="00E75116" w:rsidRPr="0007021A" w:rsidRDefault="002A18DF" w:rsidP="0007021A">
      <w:pPr>
        <w:ind w:firstLine="708"/>
        <w:jc w:val="both"/>
        <w:rPr>
          <w:rFonts w:ascii="Times New Roman" w:hAnsi="Times New Roman"/>
          <w:sz w:val="24"/>
          <w:szCs w:val="24"/>
          <w:lang w:val="sr-Cyrl-CS"/>
        </w:rPr>
      </w:pPr>
      <w:r w:rsidRPr="0007021A">
        <w:rPr>
          <w:rFonts w:ascii="Times New Roman" w:hAnsi="Times New Roman"/>
          <w:sz w:val="24"/>
          <w:szCs w:val="24"/>
          <w:lang w:val="sr-Cyrl-CS"/>
        </w:rPr>
        <w:t xml:space="preserve">Лажна </w:t>
      </w:r>
      <w:r w:rsidR="00075124" w:rsidRPr="0007021A">
        <w:rPr>
          <w:rFonts w:ascii="Times New Roman" w:hAnsi="Times New Roman"/>
          <w:sz w:val="24"/>
          <w:szCs w:val="24"/>
          <w:lang w:val="sr-Cyrl-CS"/>
        </w:rPr>
        <w:t>фактура</w:t>
      </w:r>
      <w:r w:rsidRPr="0007021A">
        <w:rPr>
          <w:rFonts w:ascii="Times New Roman" w:hAnsi="Times New Roman"/>
          <w:sz w:val="24"/>
          <w:szCs w:val="24"/>
          <w:lang w:val="sr-Cyrl-CS"/>
        </w:rPr>
        <w:t>, на којој је исказана акциза и ПДВ,  се по правилу</w:t>
      </w:r>
      <w:r w:rsidR="00075124" w:rsidRPr="0007021A">
        <w:rPr>
          <w:rFonts w:ascii="Times New Roman" w:hAnsi="Times New Roman"/>
          <w:sz w:val="24"/>
          <w:szCs w:val="24"/>
          <w:lang w:val="sr-Cyrl-CS"/>
        </w:rPr>
        <w:t xml:space="preserve"> не плаћа, </w:t>
      </w:r>
      <w:r w:rsidRPr="0007021A">
        <w:rPr>
          <w:rFonts w:ascii="Times New Roman" w:hAnsi="Times New Roman"/>
          <w:sz w:val="24"/>
          <w:szCs w:val="24"/>
          <w:lang w:val="sr-Cyrl-CS"/>
        </w:rPr>
        <w:t>а самим тим се не плаћају дажбине</w:t>
      </w:r>
      <w:r w:rsidR="00075124" w:rsidRPr="0007021A">
        <w:rPr>
          <w:rFonts w:ascii="Times New Roman" w:hAnsi="Times New Roman"/>
          <w:sz w:val="24"/>
          <w:szCs w:val="24"/>
          <w:lang w:val="sr-Cyrl-CS"/>
        </w:rPr>
        <w:t xml:space="preserve"> које су на њој исказане. </w:t>
      </w:r>
      <w:r w:rsidRPr="0007021A">
        <w:rPr>
          <w:rFonts w:ascii="Times New Roman" w:hAnsi="Times New Roman"/>
          <w:sz w:val="24"/>
          <w:szCs w:val="24"/>
          <w:lang w:val="sr-Cyrl-CS"/>
        </w:rPr>
        <w:t xml:space="preserve">У циљу прикривања пореске обавезе на овај начин је </w:t>
      </w:r>
      <w:r w:rsidR="00075124" w:rsidRPr="0007021A">
        <w:rPr>
          <w:rFonts w:ascii="Times New Roman" w:hAnsi="Times New Roman"/>
          <w:sz w:val="24"/>
          <w:szCs w:val="24"/>
          <w:lang w:val="sr-Cyrl-CS"/>
        </w:rPr>
        <w:t>обезбеђен улазни документ о набавци робе у пословној документацији продавца нафтних деривата</w:t>
      </w:r>
      <w:r w:rsidRPr="0007021A">
        <w:rPr>
          <w:rFonts w:ascii="Times New Roman" w:hAnsi="Times New Roman"/>
          <w:sz w:val="24"/>
          <w:szCs w:val="24"/>
          <w:lang w:val="sr-Cyrl-CS"/>
        </w:rPr>
        <w:t>, који</w:t>
      </w:r>
      <w:r w:rsidR="00075124" w:rsidRPr="0007021A">
        <w:rPr>
          <w:rFonts w:ascii="Times New Roman" w:hAnsi="Times New Roman"/>
          <w:sz w:val="24"/>
          <w:szCs w:val="24"/>
          <w:lang w:val="sr-Cyrl-CS"/>
        </w:rPr>
        <w:t xml:space="preserve"> сада наведене деривате слободно продаје легалним купцима, попут власника бензиских пумпи, приватних ауто-превозника и других предузећа. </w:t>
      </w:r>
      <w:r w:rsidRPr="0007021A">
        <w:rPr>
          <w:rFonts w:ascii="Times New Roman" w:hAnsi="Times New Roman"/>
          <w:sz w:val="24"/>
          <w:szCs w:val="24"/>
          <w:lang w:val="sr-Cyrl-CS"/>
        </w:rPr>
        <w:t>На овај начин р</w:t>
      </w:r>
      <w:r w:rsidR="00075124" w:rsidRPr="0007021A">
        <w:rPr>
          <w:rFonts w:ascii="Times New Roman" w:hAnsi="Times New Roman"/>
          <w:sz w:val="24"/>
          <w:szCs w:val="24"/>
          <w:lang w:val="sr-Cyrl-CS"/>
        </w:rPr>
        <w:t>егуларно предузеће</w:t>
      </w:r>
      <w:r w:rsidRPr="0007021A">
        <w:rPr>
          <w:rFonts w:ascii="Times New Roman" w:hAnsi="Times New Roman"/>
          <w:sz w:val="24"/>
          <w:szCs w:val="24"/>
          <w:lang w:val="sr-Cyrl-CS"/>
        </w:rPr>
        <w:t xml:space="preserve"> -</w:t>
      </w:r>
      <w:r w:rsidR="00075124" w:rsidRPr="0007021A">
        <w:rPr>
          <w:rFonts w:ascii="Times New Roman" w:hAnsi="Times New Roman"/>
          <w:sz w:val="24"/>
          <w:szCs w:val="24"/>
          <w:lang w:val="sr-Cyrl-CS"/>
        </w:rPr>
        <w:t xml:space="preserve"> </w:t>
      </w:r>
      <w:r w:rsidRPr="0007021A">
        <w:rPr>
          <w:rFonts w:ascii="Times New Roman" w:hAnsi="Times New Roman"/>
          <w:sz w:val="24"/>
          <w:szCs w:val="24"/>
          <w:lang w:val="sr-Cyrl-CS"/>
        </w:rPr>
        <w:t xml:space="preserve">продавац нафтних деривата </w:t>
      </w:r>
      <w:r w:rsidR="00075124" w:rsidRPr="0007021A">
        <w:rPr>
          <w:rFonts w:ascii="Times New Roman" w:hAnsi="Times New Roman"/>
          <w:sz w:val="24"/>
          <w:szCs w:val="24"/>
          <w:lang w:val="sr-Cyrl-CS"/>
        </w:rPr>
        <w:t xml:space="preserve">у потпуности избегава плаћање дажбина, </w:t>
      </w:r>
      <w:r w:rsidRPr="0007021A">
        <w:rPr>
          <w:rFonts w:ascii="Times New Roman" w:hAnsi="Times New Roman"/>
          <w:sz w:val="24"/>
          <w:szCs w:val="24"/>
          <w:lang w:val="sr-Cyrl-CS"/>
        </w:rPr>
        <w:t>имајући у виду да</w:t>
      </w:r>
      <w:r w:rsidR="00075124" w:rsidRPr="0007021A">
        <w:rPr>
          <w:rFonts w:ascii="Times New Roman" w:hAnsi="Times New Roman"/>
          <w:sz w:val="24"/>
          <w:szCs w:val="24"/>
          <w:lang w:val="sr-Cyrl-CS"/>
        </w:rPr>
        <w:t xml:space="preserve"> </w:t>
      </w:r>
      <w:r w:rsidRPr="0007021A">
        <w:rPr>
          <w:rFonts w:ascii="Times New Roman" w:hAnsi="Times New Roman"/>
          <w:sz w:val="24"/>
          <w:szCs w:val="24"/>
          <w:lang w:val="sr-Cyrl-CS"/>
        </w:rPr>
        <w:t xml:space="preserve">се </w:t>
      </w:r>
      <w:r w:rsidR="00075124" w:rsidRPr="0007021A">
        <w:rPr>
          <w:rFonts w:ascii="Times New Roman" w:hAnsi="Times New Roman"/>
          <w:sz w:val="24"/>
          <w:szCs w:val="24"/>
          <w:lang w:val="sr-Cyrl-CS"/>
        </w:rPr>
        <w:t xml:space="preserve">на </w:t>
      </w:r>
      <w:r w:rsidRPr="0007021A">
        <w:rPr>
          <w:rFonts w:ascii="Times New Roman" w:hAnsi="Times New Roman"/>
          <w:sz w:val="24"/>
          <w:szCs w:val="24"/>
          <w:lang w:val="sr-Cyrl-CS"/>
        </w:rPr>
        <w:t>основу фактуре фантом предузећа</w:t>
      </w:r>
      <w:r w:rsidR="00075124" w:rsidRPr="0007021A">
        <w:rPr>
          <w:rFonts w:ascii="Times New Roman" w:hAnsi="Times New Roman"/>
          <w:sz w:val="24"/>
          <w:szCs w:val="24"/>
          <w:lang w:val="sr-Cyrl-CS"/>
        </w:rPr>
        <w:t xml:space="preserve"> неосновано користи и</w:t>
      </w:r>
      <w:r w:rsidRPr="0007021A">
        <w:rPr>
          <w:rFonts w:ascii="Times New Roman" w:hAnsi="Times New Roman"/>
          <w:sz w:val="24"/>
          <w:szCs w:val="24"/>
          <w:lang w:val="sr-Cyrl-CS"/>
        </w:rPr>
        <w:t>сказани ПДВ као претходни порез.  А</w:t>
      </w:r>
      <w:r w:rsidR="00075124" w:rsidRPr="0007021A">
        <w:rPr>
          <w:rFonts w:ascii="Times New Roman" w:hAnsi="Times New Roman"/>
          <w:sz w:val="24"/>
          <w:szCs w:val="24"/>
          <w:lang w:val="sr-Cyrl-CS"/>
        </w:rPr>
        <w:t>кциза</w:t>
      </w:r>
      <w:r w:rsidRPr="0007021A">
        <w:rPr>
          <w:rFonts w:ascii="Times New Roman" w:hAnsi="Times New Roman"/>
          <w:sz w:val="24"/>
          <w:szCs w:val="24"/>
          <w:lang w:val="sr-Cyrl-CS"/>
        </w:rPr>
        <w:t xml:space="preserve"> такође није плаћена</w:t>
      </w:r>
      <w:r w:rsidR="00075124" w:rsidRPr="0007021A">
        <w:rPr>
          <w:rFonts w:ascii="Times New Roman" w:hAnsi="Times New Roman"/>
          <w:sz w:val="24"/>
          <w:szCs w:val="24"/>
          <w:lang w:val="sr-Cyrl-CS"/>
        </w:rPr>
        <w:t xml:space="preserve"> имајући у  виду да је</w:t>
      </w:r>
      <w:r w:rsidRPr="0007021A">
        <w:rPr>
          <w:rFonts w:ascii="Times New Roman" w:hAnsi="Times New Roman"/>
          <w:sz w:val="24"/>
          <w:szCs w:val="24"/>
          <w:lang w:val="sr-Cyrl-CS"/>
        </w:rPr>
        <w:t xml:space="preserve"> у питању роба из кријумчарења</w:t>
      </w:r>
      <w:r w:rsidR="00075124" w:rsidRPr="0007021A">
        <w:rPr>
          <w:rFonts w:ascii="Times New Roman" w:hAnsi="Times New Roman"/>
          <w:sz w:val="24"/>
          <w:szCs w:val="24"/>
          <w:lang w:val="sr-Cyrl-CS"/>
        </w:rPr>
        <w:t xml:space="preserve">. </w:t>
      </w:r>
      <w:r w:rsidRPr="0007021A">
        <w:rPr>
          <w:rFonts w:ascii="Times New Roman" w:hAnsi="Times New Roman"/>
          <w:sz w:val="24"/>
          <w:szCs w:val="24"/>
          <w:lang w:val="sr-Cyrl-CS"/>
        </w:rPr>
        <w:t>Исти модел</w:t>
      </w:r>
      <w:r w:rsidR="00075124" w:rsidRPr="0007021A">
        <w:rPr>
          <w:rFonts w:ascii="Times New Roman" w:hAnsi="Times New Roman"/>
          <w:sz w:val="24"/>
          <w:szCs w:val="24"/>
          <w:lang w:val="sr-Cyrl-CS"/>
        </w:rPr>
        <w:t xml:space="preserve"> избегава</w:t>
      </w:r>
      <w:r w:rsidRPr="0007021A">
        <w:rPr>
          <w:rFonts w:ascii="Times New Roman" w:hAnsi="Times New Roman"/>
          <w:sz w:val="24"/>
          <w:szCs w:val="24"/>
          <w:lang w:val="sr-Cyrl-CS"/>
        </w:rPr>
        <w:t>ња плаћања</w:t>
      </w:r>
      <w:r w:rsidR="00075124" w:rsidRPr="0007021A">
        <w:rPr>
          <w:rFonts w:ascii="Times New Roman" w:hAnsi="Times New Roman"/>
          <w:sz w:val="24"/>
          <w:szCs w:val="24"/>
          <w:lang w:val="sr-Cyrl-CS"/>
        </w:rPr>
        <w:t xml:space="preserve"> акциза </w:t>
      </w:r>
      <w:r w:rsidRPr="0007021A">
        <w:rPr>
          <w:rFonts w:ascii="Times New Roman" w:hAnsi="Times New Roman"/>
          <w:sz w:val="24"/>
          <w:szCs w:val="24"/>
          <w:lang w:val="sr-Cyrl-CS"/>
        </w:rPr>
        <w:t xml:space="preserve">се примењује </w:t>
      </w:r>
      <w:r w:rsidR="00075124" w:rsidRPr="0007021A">
        <w:rPr>
          <w:rFonts w:ascii="Times New Roman" w:hAnsi="Times New Roman"/>
          <w:sz w:val="24"/>
          <w:szCs w:val="24"/>
          <w:lang w:val="sr-Cyrl-CS"/>
        </w:rPr>
        <w:t>и код друге врсте робе која на тржиште долази кријумчарењем или која потиче из производње илегално организоване у земљи.</w:t>
      </w:r>
      <w:r w:rsidR="00075124" w:rsidRPr="0007021A">
        <w:rPr>
          <w:rStyle w:val="FootnoteReference"/>
          <w:rFonts w:ascii="Times New Roman" w:hAnsi="Times New Roman"/>
          <w:color w:val="000000"/>
          <w:sz w:val="24"/>
          <w:szCs w:val="24"/>
          <w:lang w:val="sr-Cyrl-CS"/>
        </w:rPr>
        <w:footnoteReference w:id="549"/>
      </w:r>
      <w:r w:rsidR="00075124" w:rsidRPr="0007021A">
        <w:rPr>
          <w:rFonts w:ascii="Times New Roman" w:hAnsi="Times New Roman"/>
          <w:sz w:val="24"/>
          <w:szCs w:val="24"/>
          <w:lang w:val="sr-Cyrl-CS"/>
        </w:rPr>
        <w:t xml:space="preserve"> </w:t>
      </w:r>
    </w:p>
    <w:p w:rsidR="00E75116" w:rsidRPr="0007021A" w:rsidRDefault="00E75116" w:rsidP="0007021A">
      <w:pPr>
        <w:ind w:firstLine="708"/>
        <w:jc w:val="both"/>
        <w:rPr>
          <w:rFonts w:ascii="Times New Roman" w:hAnsi="Times New Roman"/>
          <w:sz w:val="24"/>
          <w:szCs w:val="24"/>
          <w:lang w:val="sr-Cyrl-CS"/>
        </w:rPr>
      </w:pPr>
      <w:r w:rsidRPr="0007021A">
        <w:rPr>
          <w:rFonts w:ascii="Times New Roman" w:hAnsi="Times New Roman"/>
          <w:sz w:val="24"/>
          <w:szCs w:val="24"/>
          <w:lang w:val="sr-Cyrl-CS"/>
        </w:rPr>
        <w:t xml:space="preserve">Продавац нафтних дривата на описани начин у потпуности избегава плаћање пореза с обзиром да на основу фактуре „фантом“ предузећа неосновано користи исказани ПДВ као претходни порез и да акциза није плаћена, имајући у виду да је у питању роба са илегалног тржишта. Овај </w:t>
      </w:r>
      <w:r w:rsidR="00F326EB" w:rsidRPr="0007021A">
        <w:rPr>
          <w:rFonts w:ascii="Times New Roman" w:hAnsi="Times New Roman"/>
          <w:sz w:val="24"/>
          <w:szCs w:val="24"/>
          <w:lang w:val="sr-Cyrl-CS"/>
        </w:rPr>
        <w:t>модалитет</w:t>
      </w:r>
      <w:r w:rsidRPr="0007021A">
        <w:rPr>
          <w:rFonts w:ascii="Times New Roman" w:hAnsi="Times New Roman"/>
          <w:sz w:val="24"/>
          <w:szCs w:val="24"/>
          <w:lang w:val="sr-Cyrl-CS"/>
        </w:rPr>
        <w:t xml:space="preserve"> се шематски може приказати на следећи начин:</w:t>
      </w:r>
      <w:r w:rsidR="00F326EB" w:rsidRPr="0007021A">
        <w:rPr>
          <w:rStyle w:val="FootnoteReference"/>
          <w:rFonts w:ascii="Times New Roman" w:hAnsi="Times New Roman"/>
          <w:color w:val="000000"/>
          <w:sz w:val="24"/>
          <w:szCs w:val="24"/>
          <w:lang w:val="sr-Cyrl-CS"/>
        </w:rPr>
        <w:footnoteReference w:id="550"/>
      </w:r>
      <w:r w:rsidR="0007021A">
        <w:rPr>
          <w:rFonts w:ascii="Times New Roman" w:hAnsi="Times New Roman"/>
          <w:sz w:val="24"/>
          <w:szCs w:val="24"/>
          <w:lang w:val="sr-Cyrl-CS"/>
        </w:rPr>
        <w:t xml:space="preserve"> </w:t>
      </w:r>
    </w:p>
    <w:p w:rsidR="00541620" w:rsidRPr="0007021A" w:rsidRDefault="00541620" w:rsidP="0007021A">
      <w:pPr>
        <w:jc w:val="both"/>
        <w:rPr>
          <w:rFonts w:ascii="Times New Roman" w:hAnsi="Times New Roman"/>
          <w:sz w:val="24"/>
          <w:szCs w:val="24"/>
          <w:lang w:val="sr-Cyrl-CS"/>
        </w:rPr>
      </w:pPr>
    </w:p>
    <w:p w:rsidR="00A22DD5" w:rsidRPr="0007021A" w:rsidRDefault="00A22DD5" w:rsidP="0007021A">
      <w:pPr>
        <w:jc w:val="both"/>
        <w:rPr>
          <w:rFonts w:ascii="Times New Roman" w:hAnsi="Times New Roman"/>
          <w:sz w:val="24"/>
          <w:szCs w:val="24"/>
          <w:lang w:val="sr-Cyrl-CS"/>
        </w:rPr>
      </w:pPr>
    </w:p>
    <w:p w:rsidR="00A22DD5" w:rsidRPr="0007021A" w:rsidRDefault="00A22DD5" w:rsidP="0007021A">
      <w:pPr>
        <w:jc w:val="both"/>
        <w:rPr>
          <w:rFonts w:ascii="Times New Roman" w:hAnsi="Times New Roman"/>
          <w:sz w:val="24"/>
          <w:szCs w:val="24"/>
          <w:lang w:val="sr-Cyrl-CS"/>
        </w:rPr>
      </w:pPr>
    </w:p>
    <w:p w:rsidR="00A22DD5" w:rsidRPr="0007021A" w:rsidRDefault="00A22DD5" w:rsidP="0007021A">
      <w:pPr>
        <w:rPr>
          <w:rFonts w:ascii="Times New Roman" w:hAnsi="Times New Roman"/>
          <w:sz w:val="24"/>
          <w:szCs w:val="24"/>
          <w:lang w:val="sr-Cyrl-CS"/>
        </w:rPr>
      </w:pPr>
    </w:p>
    <w:p w:rsidR="00A22DD5" w:rsidRPr="0007021A" w:rsidRDefault="00A22DD5" w:rsidP="0007021A">
      <w:pPr>
        <w:rPr>
          <w:rFonts w:ascii="Times New Roman" w:hAnsi="Times New Roman"/>
          <w:sz w:val="24"/>
          <w:szCs w:val="24"/>
          <w:lang w:val="sr-Cyrl-CS"/>
        </w:rPr>
      </w:pPr>
    </w:p>
    <w:p w:rsidR="00A22DD5" w:rsidRPr="0007021A" w:rsidRDefault="00A22DD5" w:rsidP="0007021A">
      <w:pPr>
        <w:rPr>
          <w:rFonts w:ascii="Times New Roman" w:hAnsi="Times New Roman"/>
          <w:sz w:val="24"/>
          <w:szCs w:val="24"/>
          <w:lang w:val="sr-Cyrl-CS"/>
        </w:rPr>
      </w:pPr>
    </w:p>
    <w:p w:rsidR="00A22DD5" w:rsidRPr="0007021A" w:rsidRDefault="00A22DD5" w:rsidP="0007021A">
      <w:pPr>
        <w:rPr>
          <w:rFonts w:ascii="Times New Roman" w:hAnsi="Times New Roman"/>
          <w:sz w:val="24"/>
          <w:szCs w:val="24"/>
          <w:lang w:val="sr-Cyrl-CS"/>
        </w:rPr>
      </w:pPr>
    </w:p>
    <w:p w:rsidR="0007021A" w:rsidRDefault="0007021A" w:rsidP="0007021A">
      <w:pPr>
        <w:pStyle w:val="normal0"/>
        <w:shd w:val="clear" w:color="auto" w:fill="FFFFFF"/>
        <w:spacing w:before="48" w:beforeAutospacing="0" w:after="48" w:afterAutospacing="0"/>
        <w:jc w:val="both"/>
        <w:rPr>
          <w:color w:val="000000"/>
          <w:lang w:val="sr-Cyrl-CS"/>
        </w:rPr>
      </w:pPr>
    </w:p>
    <w:p w:rsidR="00A22DD5" w:rsidRPr="00A22DD5" w:rsidRDefault="00A22DD5" w:rsidP="004949B5">
      <w:pPr>
        <w:pStyle w:val="normal0"/>
        <w:shd w:val="clear" w:color="auto" w:fill="FFFFFF"/>
        <w:spacing w:before="48" w:beforeAutospacing="0" w:after="48" w:afterAutospacing="0"/>
        <w:ind w:firstLine="708"/>
        <w:jc w:val="both"/>
        <w:rPr>
          <w:b/>
          <w:color w:val="000000"/>
          <w:lang w:val="sr-Cyrl-CS"/>
        </w:rPr>
      </w:pPr>
    </w:p>
    <w:p w:rsidR="00F326EB" w:rsidRPr="00F326EB" w:rsidRDefault="001503E6" w:rsidP="004949B5">
      <w:pPr>
        <w:pStyle w:val="normal0"/>
        <w:shd w:val="clear" w:color="auto" w:fill="FFFFFF"/>
        <w:spacing w:before="48" w:beforeAutospacing="0" w:after="48" w:afterAutospacing="0"/>
        <w:ind w:firstLine="708"/>
        <w:jc w:val="both"/>
        <w:rPr>
          <w:b/>
          <w:color w:val="000000"/>
          <w:lang w:val="sr-Cyrl-CS"/>
        </w:rPr>
      </w:pPr>
      <w:r>
        <w:rPr>
          <w:b/>
          <w:color w:val="000000"/>
          <w:lang w:val="sr-Cyrl-CS"/>
        </w:rPr>
        <w:t>Слика 21</w:t>
      </w:r>
      <w:r w:rsidR="00F326EB" w:rsidRPr="00F326EB">
        <w:rPr>
          <w:b/>
          <w:color w:val="000000"/>
          <w:lang w:val="sr-Cyrl-CS"/>
        </w:rPr>
        <w:t>.</w:t>
      </w:r>
    </w:p>
    <w:p w:rsidR="00F326EB" w:rsidRDefault="00F326EB" w:rsidP="004949B5">
      <w:pPr>
        <w:pStyle w:val="normal0"/>
        <w:shd w:val="clear" w:color="auto" w:fill="FFFFFF"/>
        <w:spacing w:before="48" w:beforeAutospacing="0" w:after="48" w:afterAutospacing="0"/>
        <w:ind w:firstLine="708"/>
        <w:jc w:val="both"/>
        <w:rPr>
          <w:color w:val="000000"/>
          <w:lang w:val="sr-Cyrl-CS"/>
        </w:rPr>
      </w:pPr>
    </w:p>
    <w:p w:rsidR="00F326EB" w:rsidRDefault="00F326EB" w:rsidP="00F326EB">
      <w:pPr>
        <w:pStyle w:val="normal0"/>
        <w:shd w:val="clear" w:color="auto" w:fill="FFFFFF"/>
        <w:spacing w:before="48" w:beforeAutospacing="0" w:after="48" w:afterAutospacing="0"/>
        <w:jc w:val="both"/>
        <w:rPr>
          <w:color w:val="000000"/>
          <w:lang w:val="sr-Cyrl-CS"/>
        </w:rPr>
      </w:pPr>
      <w:r>
        <w:rPr>
          <w:noProof/>
          <w:color w:val="000000"/>
        </w:rPr>
        <w:drawing>
          <wp:inline distT="0" distB="0" distL="0" distR="0">
            <wp:extent cx="5760085" cy="6160559"/>
            <wp:effectExtent l="19050" t="0" r="0" b="0"/>
            <wp:docPr id="19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a:srcRect/>
                    <a:stretch>
                      <a:fillRect/>
                    </a:stretch>
                  </pic:blipFill>
                  <pic:spPr bwMode="auto">
                    <a:xfrm>
                      <a:off x="0" y="0"/>
                      <a:ext cx="5760085" cy="6160559"/>
                    </a:xfrm>
                    <a:prstGeom prst="rect">
                      <a:avLst/>
                    </a:prstGeom>
                    <a:noFill/>
                    <a:ln w="9525">
                      <a:noFill/>
                      <a:miter lim="800000"/>
                      <a:headEnd/>
                      <a:tailEnd/>
                    </a:ln>
                  </pic:spPr>
                </pic:pic>
              </a:graphicData>
            </a:graphic>
          </wp:inline>
        </w:drawing>
      </w:r>
    </w:p>
    <w:p w:rsidR="00E75116" w:rsidRPr="004949B5" w:rsidRDefault="00E75116" w:rsidP="004949B5">
      <w:pPr>
        <w:pStyle w:val="normal0"/>
        <w:shd w:val="clear" w:color="auto" w:fill="FFFFFF"/>
        <w:spacing w:before="48" w:beforeAutospacing="0" w:after="48" w:afterAutospacing="0"/>
        <w:ind w:firstLine="708"/>
        <w:jc w:val="both"/>
        <w:rPr>
          <w:color w:val="000000"/>
          <w:lang w:val="sr-Cyrl-CS"/>
        </w:rPr>
      </w:pPr>
    </w:p>
    <w:p w:rsidR="00004AE2" w:rsidRPr="004949B5" w:rsidRDefault="00004AE2" w:rsidP="004949B5">
      <w:pPr>
        <w:pStyle w:val="normal0"/>
        <w:shd w:val="clear" w:color="auto" w:fill="FFFFFF"/>
        <w:spacing w:before="48" w:beforeAutospacing="0" w:after="48" w:afterAutospacing="0"/>
        <w:jc w:val="both"/>
        <w:rPr>
          <w:color w:val="000000"/>
          <w:lang w:val="sr-Cyrl-CS"/>
        </w:rPr>
      </w:pPr>
    </w:p>
    <w:p w:rsidR="007C08D2" w:rsidRDefault="007C08D2" w:rsidP="004949B5">
      <w:pPr>
        <w:pStyle w:val="normal0"/>
        <w:shd w:val="clear" w:color="auto" w:fill="FFFFFF"/>
        <w:spacing w:before="48" w:beforeAutospacing="0" w:after="48" w:afterAutospacing="0"/>
        <w:ind w:firstLine="708"/>
        <w:jc w:val="both"/>
        <w:rPr>
          <w:color w:val="000000"/>
          <w:lang w:val="sr-Cyrl-CS"/>
        </w:rPr>
      </w:pPr>
    </w:p>
    <w:p w:rsidR="007C08D2" w:rsidRDefault="007C08D2" w:rsidP="004949B5">
      <w:pPr>
        <w:pStyle w:val="normal0"/>
        <w:shd w:val="clear" w:color="auto" w:fill="FFFFFF"/>
        <w:spacing w:before="48" w:beforeAutospacing="0" w:after="48" w:afterAutospacing="0"/>
        <w:ind w:firstLine="708"/>
        <w:jc w:val="both"/>
        <w:rPr>
          <w:color w:val="000000"/>
          <w:lang w:val="sr-Cyrl-CS"/>
        </w:rPr>
      </w:pPr>
    </w:p>
    <w:p w:rsidR="001503E6" w:rsidRDefault="001503E6" w:rsidP="004949B5">
      <w:pPr>
        <w:pStyle w:val="normal0"/>
        <w:shd w:val="clear" w:color="auto" w:fill="FFFFFF"/>
        <w:spacing w:before="48" w:beforeAutospacing="0" w:after="48" w:afterAutospacing="0"/>
        <w:ind w:firstLine="708"/>
        <w:jc w:val="both"/>
        <w:rPr>
          <w:color w:val="000000"/>
          <w:lang w:val="sr-Cyrl-CS"/>
        </w:rPr>
      </w:pPr>
    </w:p>
    <w:p w:rsidR="007C08D2" w:rsidRDefault="007C08D2" w:rsidP="0007021A">
      <w:pPr>
        <w:pStyle w:val="normal0"/>
        <w:shd w:val="clear" w:color="auto" w:fill="FFFFFF"/>
        <w:spacing w:before="48" w:beforeAutospacing="0" w:after="48" w:afterAutospacing="0"/>
        <w:jc w:val="both"/>
        <w:rPr>
          <w:color w:val="000000"/>
          <w:lang w:val="sr-Cyrl-CS"/>
        </w:rPr>
      </w:pPr>
    </w:p>
    <w:p w:rsidR="0080481C" w:rsidRPr="0007021A" w:rsidRDefault="00004AE2" w:rsidP="0007021A">
      <w:pPr>
        <w:ind w:firstLine="708"/>
        <w:jc w:val="both"/>
        <w:rPr>
          <w:rFonts w:ascii="Times New Roman" w:hAnsi="Times New Roman"/>
          <w:sz w:val="24"/>
          <w:szCs w:val="24"/>
          <w:lang w:val="sr-Cyrl-CS"/>
        </w:rPr>
      </w:pPr>
      <w:r w:rsidRPr="0007021A">
        <w:rPr>
          <w:rFonts w:ascii="Times New Roman" w:hAnsi="Times New Roman"/>
          <w:sz w:val="24"/>
          <w:szCs w:val="24"/>
          <w:lang w:val="sr-Cyrl-CS"/>
        </w:rPr>
        <w:lastRenderedPageBreak/>
        <w:t>Нафтни деривати кој</w:t>
      </w:r>
      <w:r w:rsidR="0080481C" w:rsidRPr="0007021A">
        <w:rPr>
          <w:rFonts w:ascii="Times New Roman" w:hAnsi="Times New Roman"/>
          <w:sz w:val="24"/>
          <w:szCs w:val="24"/>
          <w:lang w:val="sr-Cyrl-CS"/>
        </w:rPr>
        <w:t>и се опорезују су следећи:</w:t>
      </w:r>
    </w:p>
    <w:p w:rsidR="00004AE2" w:rsidRPr="0007021A" w:rsidRDefault="00004AE2" w:rsidP="0007021A">
      <w:pPr>
        <w:jc w:val="both"/>
        <w:rPr>
          <w:rFonts w:ascii="Times New Roman" w:hAnsi="Times New Roman"/>
          <w:sz w:val="24"/>
          <w:szCs w:val="24"/>
          <w:lang w:val="sr-Cyrl-CS"/>
        </w:rPr>
      </w:pPr>
      <w:r w:rsidRPr="0007021A">
        <w:rPr>
          <w:rFonts w:ascii="Times New Roman" w:hAnsi="Times New Roman"/>
          <w:sz w:val="24"/>
          <w:szCs w:val="24"/>
          <w:lang w:val="sr-Cyrl-CS"/>
        </w:rPr>
        <w:t>-  оловни бензин;</w:t>
      </w:r>
    </w:p>
    <w:p w:rsidR="00004AE2" w:rsidRPr="0007021A" w:rsidRDefault="00004AE2" w:rsidP="0007021A">
      <w:pPr>
        <w:jc w:val="both"/>
        <w:rPr>
          <w:rFonts w:ascii="Times New Roman" w:hAnsi="Times New Roman"/>
          <w:sz w:val="24"/>
          <w:szCs w:val="24"/>
          <w:lang w:val="sr-Cyrl-CS"/>
        </w:rPr>
      </w:pPr>
      <w:r w:rsidRPr="0007021A">
        <w:rPr>
          <w:rFonts w:ascii="Times New Roman" w:hAnsi="Times New Roman"/>
          <w:sz w:val="24"/>
          <w:szCs w:val="24"/>
          <w:lang w:val="sr-Cyrl-CS"/>
        </w:rPr>
        <w:t>- безоловни бензин;</w:t>
      </w:r>
    </w:p>
    <w:p w:rsidR="00004AE2" w:rsidRPr="0007021A" w:rsidRDefault="00004AE2" w:rsidP="0007021A">
      <w:pPr>
        <w:jc w:val="both"/>
        <w:rPr>
          <w:rFonts w:ascii="Times New Roman" w:hAnsi="Times New Roman"/>
          <w:sz w:val="24"/>
          <w:szCs w:val="24"/>
          <w:lang w:val="sr-Cyrl-CS"/>
        </w:rPr>
      </w:pPr>
      <w:r w:rsidRPr="0007021A">
        <w:rPr>
          <w:rFonts w:ascii="Times New Roman" w:hAnsi="Times New Roman"/>
          <w:sz w:val="24"/>
          <w:szCs w:val="24"/>
          <w:lang w:val="sr-Cyrl-CS"/>
        </w:rPr>
        <w:t>- гасна уља;</w:t>
      </w:r>
    </w:p>
    <w:p w:rsidR="00004AE2" w:rsidRPr="0007021A" w:rsidRDefault="00004AE2" w:rsidP="0007021A">
      <w:pPr>
        <w:jc w:val="both"/>
        <w:rPr>
          <w:rFonts w:ascii="Times New Roman" w:hAnsi="Times New Roman"/>
          <w:sz w:val="24"/>
          <w:szCs w:val="24"/>
          <w:lang w:val="sr-Cyrl-CS"/>
        </w:rPr>
      </w:pPr>
      <w:r w:rsidRPr="0007021A">
        <w:rPr>
          <w:rFonts w:ascii="Times New Roman" w:hAnsi="Times New Roman"/>
          <w:sz w:val="24"/>
          <w:szCs w:val="24"/>
          <w:lang w:val="sr-Cyrl-CS"/>
        </w:rPr>
        <w:t>- керозин;</w:t>
      </w:r>
    </w:p>
    <w:p w:rsidR="00004AE2" w:rsidRPr="0007021A" w:rsidRDefault="00004AE2" w:rsidP="0007021A">
      <w:pPr>
        <w:jc w:val="both"/>
        <w:rPr>
          <w:rFonts w:ascii="Times New Roman" w:hAnsi="Times New Roman"/>
          <w:sz w:val="24"/>
          <w:szCs w:val="24"/>
          <w:lang w:val="sr-Cyrl-CS"/>
        </w:rPr>
      </w:pPr>
      <w:r w:rsidRPr="0007021A">
        <w:rPr>
          <w:rFonts w:ascii="Times New Roman" w:hAnsi="Times New Roman"/>
          <w:sz w:val="24"/>
          <w:szCs w:val="24"/>
          <w:lang w:val="sr-Cyrl-CS"/>
        </w:rPr>
        <w:t>- течни нафтни гас</w:t>
      </w:r>
    </w:p>
    <w:p w:rsidR="0080481C" w:rsidRPr="0007021A" w:rsidRDefault="00004AE2" w:rsidP="0007021A">
      <w:pPr>
        <w:jc w:val="both"/>
        <w:rPr>
          <w:rFonts w:ascii="Times New Roman" w:hAnsi="Times New Roman"/>
          <w:sz w:val="24"/>
          <w:szCs w:val="24"/>
          <w:lang w:val="sr-Cyrl-CS"/>
        </w:rPr>
      </w:pPr>
      <w:r w:rsidRPr="0007021A">
        <w:rPr>
          <w:rFonts w:ascii="Times New Roman" w:hAnsi="Times New Roman"/>
          <w:sz w:val="24"/>
          <w:szCs w:val="24"/>
          <w:lang w:val="sr-Cyrl-CS"/>
        </w:rPr>
        <w:t xml:space="preserve">- </w:t>
      </w:r>
      <w:r w:rsidR="004949B5" w:rsidRPr="0007021A">
        <w:rPr>
          <w:rFonts w:ascii="Times New Roman" w:hAnsi="Times New Roman"/>
          <w:sz w:val="24"/>
          <w:szCs w:val="24"/>
        </w:rPr>
        <w:t>остал</w:t>
      </w:r>
      <w:r w:rsidR="0080481C" w:rsidRPr="0007021A">
        <w:rPr>
          <w:rFonts w:ascii="Times New Roman" w:hAnsi="Times New Roman"/>
          <w:sz w:val="24"/>
          <w:szCs w:val="24"/>
          <w:lang w:val="sr-Cyrl-CS"/>
        </w:rPr>
        <w:t>и</w:t>
      </w:r>
      <w:r w:rsidRPr="0007021A">
        <w:rPr>
          <w:rFonts w:ascii="Times New Roman" w:hAnsi="Times New Roman"/>
          <w:sz w:val="24"/>
          <w:szCs w:val="24"/>
        </w:rPr>
        <w:t xml:space="preserve"> </w:t>
      </w:r>
      <w:r w:rsidR="004949B5" w:rsidRPr="0007021A">
        <w:rPr>
          <w:rFonts w:ascii="Times New Roman" w:hAnsi="Times New Roman"/>
          <w:sz w:val="24"/>
          <w:szCs w:val="24"/>
        </w:rPr>
        <w:t>дериват</w:t>
      </w:r>
      <w:r w:rsidR="0080481C" w:rsidRPr="0007021A">
        <w:rPr>
          <w:rFonts w:ascii="Times New Roman" w:hAnsi="Times New Roman"/>
          <w:sz w:val="24"/>
          <w:szCs w:val="24"/>
          <w:lang w:val="sr-Cyrl-CS"/>
        </w:rPr>
        <w:t>и</w:t>
      </w:r>
      <w:r w:rsidRPr="0007021A">
        <w:rPr>
          <w:rFonts w:ascii="Times New Roman" w:hAnsi="Times New Roman"/>
          <w:sz w:val="24"/>
          <w:szCs w:val="24"/>
        </w:rPr>
        <w:t xml:space="preserve"> </w:t>
      </w:r>
      <w:r w:rsidR="004949B5" w:rsidRPr="0007021A">
        <w:rPr>
          <w:rFonts w:ascii="Times New Roman" w:hAnsi="Times New Roman"/>
          <w:sz w:val="24"/>
          <w:szCs w:val="24"/>
        </w:rPr>
        <w:t>нафте</w:t>
      </w:r>
      <w:r w:rsidRPr="0007021A">
        <w:rPr>
          <w:rFonts w:ascii="Times New Roman" w:hAnsi="Times New Roman"/>
          <w:sz w:val="24"/>
          <w:szCs w:val="24"/>
        </w:rPr>
        <w:t xml:space="preserve"> </w:t>
      </w:r>
      <w:r w:rsidR="004949B5" w:rsidRPr="0007021A">
        <w:rPr>
          <w:rFonts w:ascii="Times New Roman" w:hAnsi="Times New Roman"/>
          <w:sz w:val="24"/>
          <w:szCs w:val="24"/>
        </w:rPr>
        <w:t>који</w:t>
      </w:r>
      <w:r w:rsidRPr="0007021A">
        <w:rPr>
          <w:rFonts w:ascii="Times New Roman" w:hAnsi="Times New Roman"/>
          <w:sz w:val="24"/>
          <w:szCs w:val="24"/>
        </w:rPr>
        <w:t xml:space="preserve"> </w:t>
      </w:r>
      <w:r w:rsidR="004949B5" w:rsidRPr="0007021A">
        <w:rPr>
          <w:rFonts w:ascii="Times New Roman" w:hAnsi="Times New Roman"/>
          <w:sz w:val="24"/>
          <w:szCs w:val="24"/>
        </w:rPr>
        <w:t>се</w:t>
      </w:r>
      <w:r w:rsidRPr="0007021A">
        <w:rPr>
          <w:rFonts w:ascii="Times New Roman" w:hAnsi="Times New Roman"/>
          <w:sz w:val="24"/>
          <w:szCs w:val="24"/>
        </w:rPr>
        <w:t xml:space="preserve"> </w:t>
      </w:r>
      <w:r w:rsidR="004949B5" w:rsidRPr="0007021A">
        <w:rPr>
          <w:rFonts w:ascii="Times New Roman" w:hAnsi="Times New Roman"/>
          <w:sz w:val="24"/>
          <w:szCs w:val="24"/>
        </w:rPr>
        <w:t>добијају</w:t>
      </w:r>
      <w:r w:rsidRPr="0007021A">
        <w:rPr>
          <w:rFonts w:ascii="Times New Roman" w:hAnsi="Times New Roman"/>
          <w:sz w:val="24"/>
          <w:szCs w:val="24"/>
        </w:rPr>
        <w:t xml:space="preserve"> </w:t>
      </w:r>
      <w:r w:rsidR="004949B5" w:rsidRPr="0007021A">
        <w:rPr>
          <w:rFonts w:ascii="Times New Roman" w:hAnsi="Times New Roman"/>
          <w:sz w:val="24"/>
          <w:szCs w:val="24"/>
        </w:rPr>
        <w:t>од</w:t>
      </w:r>
      <w:r w:rsidRPr="0007021A">
        <w:rPr>
          <w:rFonts w:ascii="Times New Roman" w:hAnsi="Times New Roman"/>
          <w:sz w:val="24"/>
          <w:szCs w:val="24"/>
        </w:rPr>
        <w:t xml:space="preserve"> </w:t>
      </w:r>
      <w:r w:rsidR="004949B5" w:rsidRPr="0007021A">
        <w:rPr>
          <w:rFonts w:ascii="Times New Roman" w:hAnsi="Times New Roman"/>
          <w:sz w:val="24"/>
          <w:szCs w:val="24"/>
        </w:rPr>
        <w:t>фракција</w:t>
      </w:r>
      <w:r w:rsidRPr="0007021A">
        <w:rPr>
          <w:rFonts w:ascii="Times New Roman" w:hAnsi="Times New Roman"/>
          <w:sz w:val="24"/>
          <w:szCs w:val="24"/>
        </w:rPr>
        <w:t xml:space="preserve"> </w:t>
      </w:r>
      <w:r w:rsidR="004949B5" w:rsidRPr="0007021A">
        <w:rPr>
          <w:rFonts w:ascii="Times New Roman" w:hAnsi="Times New Roman"/>
          <w:sz w:val="24"/>
          <w:szCs w:val="24"/>
        </w:rPr>
        <w:t>нафте</w:t>
      </w:r>
      <w:r w:rsidRPr="0007021A">
        <w:rPr>
          <w:rFonts w:ascii="Times New Roman" w:hAnsi="Times New Roman"/>
          <w:sz w:val="24"/>
          <w:szCs w:val="24"/>
        </w:rPr>
        <w:t xml:space="preserve"> </w:t>
      </w:r>
      <w:r w:rsidR="004949B5" w:rsidRPr="0007021A">
        <w:rPr>
          <w:rFonts w:ascii="Times New Roman" w:hAnsi="Times New Roman"/>
          <w:sz w:val="24"/>
          <w:szCs w:val="24"/>
        </w:rPr>
        <w:t>које</w:t>
      </w:r>
      <w:r w:rsidRPr="0007021A">
        <w:rPr>
          <w:rFonts w:ascii="Times New Roman" w:hAnsi="Times New Roman"/>
          <w:sz w:val="24"/>
          <w:szCs w:val="24"/>
        </w:rPr>
        <w:t xml:space="preserve"> </w:t>
      </w:r>
      <w:r w:rsidR="004949B5" w:rsidRPr="0007021A">
        <w:rPr>
          <w:rFonts w:ascii="Times New Roman" w:hAnsi="Times New Roman"/>
          <w:sz w:val="24"/>
          <w:szCs w:val="24"/>
        </w:rPr>
        <w:t>имају</w:t>
      </w:r>
      <w:r w:rsidRPr="0007021A">
        <w:rPr>
          <w:rFonts w:ascii="Times New Roman" w:hAnsi="Times New Roman"/>
          <w:sz w:val="24"/>
          <w:szCs w:val="24"/>
        </w:rPr>
        <w:t xml:space="preserve"> </w:t>
      </w:r>
      <w:r w:rsidR="004949B5" w:rsidRPr="0007021A">
        <w:rPr>
          <w:rFonts w:ascii="Times New Roman" w:hAnsi="Times New Roman"/>
          <w:sz w:val="24"/>
          <w:szCs w:val="24"/>
        </w:rPr>
        <w:t>распон</w:t>
      </w:r>
      <w:r w:rsidRPr="0007021A">
        <w:rPr>
          <w:rFonts w:ascii="Times New Roman" w:hAnsi="Times New Roman"/>
          <w:sz w:val="24"/>
          <w:szCs w:val="24"/>
        </w:rPr>
        <w:t xml:space="preserve"> </w:t>
      </w:r>
      <w:r w:rsidR="004949B5" w:rsidRPr="0007021A">
        <w:rPr>
          <w:rFonts w:ascii="Times New Roman" w:hAnsi="Times New Roman"/>
          <w:sz w:val="24"/>
          <w:szCs w:val="24"/>
        </w:rPr>
        <w:t>дестилације</w:t>
      </w:r>
      <w:r w:rsidRPr="0007021A">
        <w:rPr>
          <w:rFonts w:ascii="Times New Roman" w:hAnsi="Times New Roman"/>
          <w:sz w:val="24"/>
          <w:szCs w:val="24"/>
        </w:rPr>
        <w:t xml:space="preserve"> </w:t>
      </w:r>
      <w:r w:rsidR="004949B5" w:rsidRPr="0007021A">
        <w:rPr>
          <w:rFonts w:ascii="Times New Roman" w:hAnsi="Times New Roman"/>
          <w:sz w:val="24"/>
          <w:szCs w:val="24"/>
        </w:rPr>
        <w:t>до</w:t>
      </w:r>
      <w:r w:rsidRPr="0007021A">
        <w:rPr>
          <w:rFonts w:ascii="Times New Roman" w:hAnsi="Times New Roman"/>
          <w:sz w:val="24"/>
          <w:szCs w:val="24"/>
        </w:rPr>
        <w:t xml:space="preserve"> 380°</w:t>
      </w:r>
      <w:r w:rsidR="004949B5" w:rsidRPr="0007021A">
        <w:rPr>
          <w:rFonts w:ascii="Times New Roman" w:hAnsi="Times New Roman"/>
          <w:sz w:val="24"/>
          <w:szCs w:val="24"/>
        </w:rPr>
        <w:t>С</w:t>
      </w:r>
      <w:r w:rsidRPr="0007021A">
        <w:rPr>
          <w:rFonts w:ascii="Times New Roman" w:hAnsi="Times New Roman"/>
          <w:sz w:val="24"/>
          <w:szCs w:val="24"/>
          <w:lang w:val="sr-Cyrl-CS"/>
        </w:rPr>
        <w:t>.</w:t>
      </w:r>
    </w:p>
    <w:p w:rsidR="0080481C" w:rsidRPr="0007021A" w:rsidRDefault="004949B5" w:rsidP="0007021A">
      <w:pPr>
        <w:ind w:firstLine="708"/>
        <w:jc w:val="both"/>
        <w:rPr>
          <w:rFonts w:ascii="Times New Roman" w:hAnsi="Times New Roman"/>
          <w:sz w:val="24"/>
          <w:szCs w:val="24"/>
          <w:lang w:val="sr-Cyrl-CS"/>
        </w:rPr>
      </w:pPr>
      <w:r w:rsidRPr="0007021A">
        <w:rPr>
          <w:rFonts w:ascii="Times New Roman" w:hAnsi="Times New Roman"/>
          <w:sz w:val="24"/>
          <w:szCs w:val="24"/>
        </w:rPr>
        <w:t>Дериватима</w:t>
      </w:r>
      <w:r w:rsidR="00004AE2" w:rsidRPr="0007021A">
        <w:rPr>
          <w:rFonts w:ascii="Times New Roman" w:hAnsi="Times New Roman"/>
          <w:sz w:val="24"/>
          <w:szCs w:val="24"/>
        </w:rPr>
        <w:t xml:space="preserve"> </w:t>
      </w:r>
      <w:r w:rsidRPr="0007021A">
        <w:rPr>
          <w:rFonts w:ascii="Times New Roman" w:hAnsi="Times New Roman"/>
          <w:sz w:val="24"/>
          <w:szCs w:val="24"/>
        </w:rPr>
        <w:t>нафте</w:t>
      </w:r>
      <w:r w:rsidR="00004AE2" w:rsidRPr="0007021A">
        <w:rPr>
          <w:rFonts w:ascii="Times New Roman" w:hAnsi="Times New Roman"/>
          <w:sz w:val="24"/>
          <w:szCs w:val="24"/>
        </w:rPr>
        <w:t xml:space="preserve">, </w:t>
      </w:r>
      <w:r w:rsidRPr="0007021A">
        <w:rPr>
          <w:rFonts w:ascii="Times New Roman" w:hAnsi="Times New Roman"/>
          <w:sz w:val="24"/>
          <w:szCs w:val="24"/>
        </w:rPr>
        <w:t>у</w:t>
      </w:r>
      <w:r w:rsidR="00004AE2" w:rsidRPr="0007021A">
        <w:rPr>
          <w:rFonts w:ascii="Times New Roman" w:hAnsi="Times New Roman"/>
          <w:sz w:val="24"/>
          <w:szCs w:val="24"/>
        </w:rPr>
        <w:t xml:space="preserve"> </w:t>
      </w:r>
      <w:r w:rsidRPr="0007021A">
        <w:rPr>
          <w:rFonts w:ascii="Times New Roman" w:hAnsi="Times New Roman"/>
          <w:sz w:val="24"/>
          <w:szCs w:val="24"/>
        </w:rPr>
        <w:t>смислу</w:t>
      </w:r>
      <w:r w:rsidR="00004AE2" w:rsidRPr="0007021A">
        <w:rPr>
          <w:rFonts w:ascii="Times New Roman" w:hAnsi="Times New Roman"/>
          <w:sz w:val="24"/>
          <w:szCs w:val="24"/>
        </w:rPr>
        <w:t xml:space="preserve"> </w:t>
      </w:r>
      <w:r w:rsidR="0080481C" w:rsidRPr="0007021A">
        <w:rPr>
          <w:rFonts w:ascii="Times New Roman" w:hAnsi="Times New Roman"/>
          <w:sz w:val="24"/>
          <w:szCs w:val="24"/>
          <w:lang w:val="sr-Cyrl-CS"/>
        </w:rPr>
        <w:t>Закона о акцизама</w:t>
      </w:r>
      <w:r w:rsidR="00004AE2" w:rsidRPr="0007021A">
        <w:rPr>
          <w:rFonts w:ascii="Times New Roman" w:hAnsi="Times New Roman"/>
          <w:sz w:val="24"/>
          <w:szCs w:val="24"/>
        </w:rPr>
        <w:t xml:space="preserve">, </w:t>
      </w:r>
      <w:r w:rsidRPr="0007021A">
        <w:rPr>
          <w:rFonts w:ascii="Times New Roman" w:hAnsi="Times New Roman"/>
          <w:sz w:val="24"/>
          <w:szCs w:val="24"/>
        </w:rPr>
        <w:t>сматрају</w:t>
      </w:r>
      <w:r w:rsidR="00004AE2" w:rsidRPr="0007021A">
        <w:rPr>
          <w:rFonts w:ascii="Times New Roman" w:hAnsi="Times New Roman"/>
          <w:sz w:val="24"/>
          <w:szCs w:val="24"/>
        </w:rPr>
        <w:t xml:space="preserve"> </w:t>
      </w:r>
      <w:r w:rsidRPr="0007021A">
        <w:rPr>
          <w:rFonts w:ascii="Times New Roman" w:hAnsi="Times New Roman"/>
          <w:sz w:val="24"/>
          <w:szCs w:val="24"/>
        </w:rPr>
        <w:t>се</w:t>
      </w:r>
      <w:r w:rsidR="00004AE2" w:rsidRPr="0007021A">
        <w:rPr>
          <w:rFonts w:ascii="Times New Roman" w:hAnsi="Times New Roman"/>
          <w:sz w:val="24"/>
          <w:szCs w:val="24"/>
        </w:rPr>
        <w:t xml:space="preserve"> </w:t>
      </w:r>
      <w:r w:rsidRPr="0007021A">
        <w:rPr>
          <w:rFonts w:ascii="Times New Roman" w:hAnsi="Times New Roman"/>
          <w:sz w:val="24"/>
          <w:szCs w:val="24"/>
        </w:rPr>
        <w:t>и</w:t>
      </w:r>
      <w:r w:rsidR="00004AE2" w:rsidRPr="0007021A">
        <w:rPr>
          <w:rFonts w:ascii="Times New Roman" w:hAnsi="Times New Roman"/>
          <w:sz w:val="24"/>
          <w:szCs w:val="24"/>
        </w:rPr>
        <w:t>:</w:t>
      </w:r>
    </w:p>
    <w:p w:rsidR="00004AE2" w:rsidRPr="0007021A" w:rsidRDefault="00004AE2" w:rsidP="0007021A">
      <w:pPr>
        <w:jc w:val="both"/>
        <w:rPr>
          <w:rFonts w:ascii="Times New Roman" w:hAnsi="Times New Roman"/>
          <w:sz w:val="24"/>
          <w:szCs w:val="24"/>
        </w:rPr>
      </w:pPr>
      <w:r w:rsidRPr="0007021A">
        <w:rPr>
          <w:rFonts w:ascii="Times New Roman" w:hAnsi="Times New Roman"/>
          <w:sz w:val="24"/>
          <w:szCs w:val="24"/>
        </w:rPr>
        <w:t xml:space="preserve">1) </w:t>
      </w:r>
      <w:r w:rsidR="004949B5" w:rsidRPr="0007021A">
        <w:rPr>
          <w:rFonts w:ascii="Times New Roman" w:hAnsi="Times New Roman"/>
          <w:sz w:val="24"/>
          <w:szCs w:val="24"/>
        </w:rPr>
        <w:t>сваки</w:t>
      </w:r>
      <w:r w:rsidRPr="0007021A">
        <w:rPr>
          <w:rFonts w:ascii="Times New Roman" w:hAnsi="Times New Roman"/>
          <w:sz w:val="24"/>
          <w:szCs w:val="24"/>
        </w:rPr>
        <w:t xml:space="preserve"> </w:t>
      </w:r>
      <w:r w:rsidR="004949B5" w:rsidRPr="0007021A">
        <w:rPr>
          <w:rFonts w:ascii="Times New Roman" w:hAnsi="Times New Roman"/>
          <w:sz w:val="24"/>
          <w:szCs w:val="24"/>
        </w:rPr>
        <w:t>производ</w:t>
      </w:r>
      <w:r w:rsidRPr="0007021A">
        <w:rPr>
          <w:rFonts w:ascii="Times New Roman" w:hAnsi="Times New Roman"/>
          <w:sz w:val="24"/>
          <w:szCs w:val="24"/>
        </w:rPr>
        <w:t xml:space="preserve"> </w:t>
      </w:r>
      <w:r w:rsidR="004949B5" w:rsidRPr="0007021A">
        <w:rPr>
          <w:rFonts w:ascii="Times New Roman" w:hAnsi="Times New Roman"/>
          <w:sz w:val="24"/>
          <w:szCs w:val="24"/>
        </w:rPr>
        <w:t>који</w:t>
      </w:r>
      <w:r w:rsidRPr="0007021A">
        <w:rPr>
          <w:rFonts w:ascii="Times New Roman" w:hAnsi="Times New Roman"/>
          <w:sz w:val="24"/>
          <w:szCs w:val="24"/>
        </w:rPr>
        <w:t xml:space="preserve"> </w:t>
      </w:r>
      <w:r w:rsidR="004949B5" w:rsidRPr="0007021A">
        <w:rPr>
          <w:rFonts w:ascii="Times New Roman" w:hAnsi="Times New Roman"/>
          <w:sz w:val="24"/>
          <w:szCs w:val="24"/>
        </w:rPr>
        <w:t>се</w:t>
      </w:r>
      <w:r w:rsidRPr="0007021A">
        <w:rPr>
          <w:rFonts w:ascii="Times New Roman" w:hAnsi="Times New Roman"/>
          <w:sz w:val="24"/>
          <w:szCs w:val="24"/>
        </w:rPr>
        <w:t xml:space="preserve"> </w:t>
      </w:r>
      <w:r w:rsidR="004949B5" w:rsidRPr="0007021A">
        <w:rPr>
          <w:rFonts w:ascii="Times New Roman" w:hAnsi="Times New Roman"/>
          <w:sz w:val="24"/>
          <w:szCs w:val="24"/>
        </w:rPr>
        <w:t>продаје</w:t>
      </w:r>
      <w:r w:rsidRPr="0007021A">
        <w:rPr>
          <w:rFonts w:ascii="Times New Roman" w:hAnsi="Times New Roman"/>
          <w:sz w:val="24"/>
          <w:szCs w:val="24"/>
        </w:rPr>
        <w:t xml:space="preserve"> </w:t>
      </w:r>
      <w:r w:rsidR="004949B5" w:rsidRPr="0007021A">
        <w:rPr>
          <w:rFonts w:ascii="Times New Roman" w:hAnsi="Times New Roman"/>
          <w:sz w:val="24"/>
          <w:szCs w:val="24"/>
        </w:rPr>
        <w:t>и</w:t>
      </w:r>
      <w:r w:rsidRPr="0007021A">
        <w:rPr>
          <w:rFonts w:ascii="Times New Roman" w:hAnsi="Times New Roman"/>
          <w:sz w:val="24"/>
          <w:szCs w:val="24"/>
        </w:rPr>
        <w:t xml:space="preserve"> </w:t>
      </w:r>
      <w:r w:rsidR="004949B5" w:rsidRPr="0007021A">
        <w:rPr>
          <w:rFonts w:ascii="Times New Roman" w:hAnsi="Times New Roman"/>
          <w:sz w:val="24"/>
          <w:szCs w:val="24"/>
        </w:rPr>
        <w:t>употребљава</w:t>
      </w:r>
      <w:r w:rsidRPr="0007021A">
        <w:rPr>
          <w:rFonts w:ascii="Times New Roman" w:hAnsi="Times New Roman"/>
          <w:sz w:val="24"/>
          <w:szCs w:val="24"/>
        </w:rPr>
        <w:t xml:space="preserve"> </w:t>
      </w:r>
      <w:r w:rsidR="004949B5" w:rsidRPr="0007021A">
        <w:rPr>
          <w:rFonts w:ascii="Times New Roman" w:hAnsi="Times New Roman"/>
          <w:sz w:val="24"/>
          <w:szCs w:val="24"/>
        </w:rPr>
        <w:t>као</w:t>
      </w:r>
      <w:r w:rsidRPr="0007021A">
        <w:rPr>
          <w:rFonts w:ascii="Times New Roman" w:hAnsi="Times New Roman"/>
          <w:sz w:val="24"/>
          <w:szCs w:val="24"/>
        </w:rPr>
        <w:t xml:space="preserve"> </w:t>
      </w:r>
      <w:r w:rsidR="004949B5" w:rsidRPr="0007021A">
        <w:rPr>
          <w:rFonts w:ascii="Times New Roman" w:hAnsi="Times New Roman"/>
          <w:sz w:val="24"/>
          <w:szCs w:val="24"/>
        </w:rPr>
        <w:t>погонско</w:t>
      </w:r>
      <w:r w:rsidRPr="0007021A">
        <w:rPr>
          <w:rFonts w:ascii="Times New Roman" w:hAnsi="Times New Roman"/>
          <w:sz w:val="24"/>
          <w:szCs w:val="24"/>
        </w:rPr>
        <w:t xml:space="preserve"> </w:t>
      </w:r>
      <w:r w:rsidR="004949B5" w:rsidRPr="0007021A">
        <w:rPr>
          <w:rFonts w:ascii="Times New Roman" w:hAnsi="Times New Roman"/>
          <w:sz w:val="24"/>
          <w:szCs w:val="24"/>
        </w:rPr>
        <w:t>гориво</w:t>
      </w:r>
      <w:r w:rsidRPr="0007021A">
        <w:rPr>
          <w:rFonts w:ascii="Times New Roman" w:hAnsi="Times New Roman"/>
          <w:sz w:val="24"/>
          <w:szCs w:val="24"/>
        </w:rPr>
        <w:t>;</w:t>
      </w:r>
    </w:p>
    <w:p w:rsidR="00004AE2" w:rsidRPr="0007021A" w:rsidRDefault="00004AE2" w:rsidP="0007021A">
      <w:pPr>
        <w:jc w:val="both"/>
        <w:rPr>
          <w:rFonts w:ascii="Times New Roman" w:hAnsi="Times New Roman"/>
          <w:sz w:val="24"/>
          <w:szCs w:val="24"/>
          <w:lang w:val="sr-Cyrl-CS"/>
        </w:rPr>
      </w:pPr>
      <w:r w:rsidRPr="0007021A">
        <w:rPr>
          <w:rFonts w:ascii="Times New Roman" w:hAnsi="Times New Roman"/>
          <w:sz w:val="24"/>
          <w:szCs w:val="24"/>
        </w:rPr>
        <w:t xml:space="preserve">2) </w:t>
      </w:r>
      <w:r w:rsidR="004949B5" w:rsidRPr="0007021A">
        <w:rPr>
          <w:rFonts w:ascii="Times New Roman" w:hAnsi="Times New Roman"/>
          <w:sz w:val="24"/>
          <w:szCs w:val="24"/>
        </w:rPr>
        <w:t>адитиви</w:t>
      </w:r>
      <w:r w:rsidRPr="0007021A">
        <w:rPr>
          <w:rFonts w:ascii="Times New Roman" w:hAnsi="Times New Roman"/>
          <w:sz w:val="24"/>
          <w:szCs w:val="24"/>
        </w:rPr>
        <w:t xml:space="preserve">, </w:t>
      </w:r>
      <w:r w:rsidR="004949B5" w:rsidRPr="0007021A">
        <w:rPr>
          <w:rFonts w:ascii="Times New Roman" w:hAnsi="Times New Roman"/>
          <w:sz w:val="24"/>
          <w:szCs w:val="24"/>
        </w:rPr>
        <w:t>односно</w:t>
      </w:r>
      <w:r w:rsidRPr="0007021A">
        <w:rPr>
          <w:rFonts w:ascii="Times New Roman" w:hAnsi="Times New Roman"/>
          <w:sz w:val="24"/>
          <w:szCs w:val="24"/>
        </w:rPr>
        <w:t xml:space="preserve"> </w:t>
      </w:r>
      <w:r w:rsidR="004949B5" w:rsidRPr="0007021A">
        <w:rPr>
          <w:rFonts w:ascii="Times New Roman" w:hAnsi="Times New Roman"/>
          <w:sz w:val="24"/>
          <w:szCs w:val="24"/>
        </w:rPr>
        <w:t>екстендери</w:t>
      </w:r>
      <w:r w:rsidRPr="0007021A">
        <w:rPr>
          <w:rFonts w:ascii="Times New Roman" w:hAnsi="Times New Roman"/>
          <w:sz w:val="24"/>
          <w:szCs w:val="24"/>
        </w:rPr>
        <w:t xml:space="preserve"> </w:t>
      </w:r>
      <w:r w:rsidR="004949B5" w:rsidRPr="0007021A">
        <w:rPr>
          <w:rFonts w:ascii="Times New Roman" w:hAnsi="Times New Roman"/>
          <w:sz w:val="24"/>
          <w:szCs w:val="24"/>
        </w:rPr>
        <w:t>који</w:t>
      </w:r>
      <w:r w:rsidRPr="0007021A">
        <w:rPr>
          <w:rFonts w:ascii="Times New Roman" w:hAnsi="Times New Roman"/>
          <w:sz w:val="24"/>
          <w:szCs w:val="24"/>
        </w:rPr>
        <w:t xml:space="preserve"> </w:t>
      </w:r>
      <w:r w:rsidR="004949B5" w:rsidRPr="0007021A">
        <w:rPr>
          <w:rFonts w:ascii="Times New Roman" w:hAnsi="Times New Roman"/>
          <w:sz w:val="24"/>
          <w:szCs w:val="24"/>
        </w:rPr>
        <w:t>су</w:t>
      </w:r>
      <w:r w:rsidRPr="0007021A">
        <w:rPr>
          <w:rFonts w:ascii="Times New Roman" w:hAnsi="Times New Roman"/>
          <w:sz w:val="24"/>
          <w:szCs w:val="24"/>
        </w:rPr>
        <w:t xml:space="preserve"> </w:t>
      </w:r>
      <w:r w:rsidR="004949B5" w:rsidRPr="0007021A">
        <w:rPr>
          <w:rFonts w:ascii="Times New Roman" w:hAnsi="Times New Roman"/>
          <w:sz w:val="24"/>
          <w:szCs w:val="24"/>
        </w:rPr>
        <w:t>као</w:t>
      </w:r>
      <w:r w:rsidRPr="0007021A">
        <w:rPr>
          <w:rFonts w:ascii="Times New Roman" w:hAnsi="Times New Roman"/>
          <w:sz w:val="24"/>
          <w:szCs w:val="24"/>
        </w:rPr>
        <w:t xml:space="preserve"> </w:t>
      </w:r>
      <w:r w:rsidR="004949B5" w:rsidRPr="0007021A">
        <w:rPr>
          <w:rFonts w:ascii="Times New Roman" w:hAnsi="Times New Roman"/>
          <w:sz w:val="24"/>
          <w:szCs w:val="24"/>
        </w:rPr>
        <w:t>такви</w:t>
      </w:r>
      <w:r w:rsidRPr="0007021A">
        <w:rPr>
          <w:rFonts w:ascii="Times New Roman" w:hAnsi="Times New Roman"/>
          <w:sz w:val="24"/>
          <w:szCs w:val="24"/>
        </w:rPr>
        <w:t xml:space="preserve"> </w:t>
      </w:r>
      <w:r w:rsidR="004949B5" w:rsidRPr="0007021A">
        <w:rPr>
          <w:rFonts w:ascii="Times New Roman" w:hAnsi="Times New Roman"/>
          <w:sz w:val="24"/>
          <w:szCs w:val="24"/>
        </w:rPr>
        <w:t>декларисани</w:t>
      </w:r>
      <w:r w:rsidRPr="0007021A">
        <w:rPr>
          <w:rFonts w:ascii="Times New Roman" w:hAnsi="Times New Roman"/>
          <w:sz w:val="24"/>
          <w:szCs w:val="24"/>
        </w:rPr>
        <w:t xml:space="preserve"> </w:t>
      </w:r>
      <w:r w:rsidR="004949B5" w:rsidRPr="0007021A">
        <w:rPr>
          <w:rFonts w:ascii="Times New Roman" w:hAnsi="Times New Roman"/>
          <w:sz w:val="24"/>
          <w:szCs w:val="24"/>
        </w:rPr>
        <w:t>за</w:t>
      </w:r>
      <w:r w:rsidRPr="0007021A">
        <w:rPr>
          <w:rFonts w:ascii="Times New Roman" w:hAnsi="Times New Roman"/>
          <w:sz w:val="24"/>
          <w:szCs w:val="24"/>
        </w:rPr>
        <w:t xml:space="preserve"> </w:t>
      </w:r>
      <w:r w:rsidR="004949B5" w:rsidRPr="0007021A">
        <w:rPr>
          <w:rFonts w:ascii="Times New Roman" w:hAnsi="Times New Roman"/>
          <w:sz w:val="24"/>
          <w:szCs w:val="24"/>
        </w:rPr>
        <w:t>додавање</w:t>
      </w:r>
      <w:r w:rsidRPr="0007021A">
        <w:rPr>
          <w:rFonts w:ascii="Times New Roman" w:hAnsi="Times New Roman"/>
          <w:sz w:val="24"/>
          <w:szCs w:val="24"/>
        </w:rPr>
        <w:t xml:space="preserve"> </w:t>
      </w:r>
      <w:r w:rsidR="004949B5" w:rsidRPr="0007021A">
        <w:rPr>
          <w:rFonts w:ascii="Times New Roman" w:hAnsi="Times New Roman"/>
          <w:sz w:val="24"/>
          <w:szCs w:val="24"/>
        </w:rPr>
        <w:t>у</w:t>
      </w:r>
      <w:r w:rsidRPr="0007021A">
        <w:rPr>
          <w:rFonts w:ascii="Times New Roman" w:hAnsi="Times New Roman"/>
          <w:sz w:val="24"/>
          <w:szCs w:val="24"/>
        </w:rPr>
        <w:t xml:space="preserve"> </w:t>
      </w:r>
      <w:r w:rsidR="004949B5" w:rsidRPr="0007021A">
        <w:rPr>
          <w:rFonts w:ascii="Times New Roman" w:hAnsi="Times New Roman"/>
          <w:sz w:val="24"/>
          <w:szCs w:val="24"/>
        </w:rPr>
        <w:t>погонска</w:t>
      </w:r>
      <w:r w:rsidRPr="0007021A">
        <w:rPr>
          <w:rFonts w:ascii="Times New Roman" w:hAnsi="Times New Roman"/>
          <w:sz w:val="24"/>
          <w:szCs w:val="24"/>
        </w:rPr>
        <w:t xml:space="preserve"> </w:t>
      </w:r>
      <w:r w:rsidR="004949B5" w:rsidRPr="0007021A">
        <w:rPr>
          <w:rFonts w:ascii="Times New Roman" w:hAnsi="Times New Roman"/>
          <w:sz w:val="24"/>
          <w:szCs w:val="24"/>
        </w:rPr>
        <w:t>горива</w:t>
      </w:r>
      <w:r w:rsidRPr="0007021A">
        <w:rPr>
          <w:rFonts w:ascii="Times New Roman" w:hAnsi="Times New Roman"/>
          <w:sz w:val="24"/>
          <w:szCs w:val="24"/>
        </w:rPr>
        <w:t>.</w:t>
      </w:r>
    </w:p>
    <w:p w:rsidR="00004AE2" w:rsidRPr="0007021A" w:rsidRDefault="00004AE2" w:rsidP="0007021A">
      <w:pPr>
        <w:ind w:firstLine="708"/>
        <w:jc w:val="both"/>
        <w:rPr>
          <w:rFonts w:ascii="Times New Roman" w:hAnsi="Times New Roman"/>
          <w:sz w:val="24"/>
          <w:szCs w:val="24"/>
          <w:lang w:val="sr-Cyrl-CS"/>
        </w:rPr>
      </w:pPr>
      <w:r w:rsidRPr="0007021A">
        <w:rPr>
          <w:rFonts w:ascii="Times New Roman" w:hAnsi="Times New Roman"/>
          <w:sz w:val="24"/>
          <w:szCs w:val="24"/>
          <w:lang w:val="sr-Cyrl-CS"/>
        </w:rPr>
        <w:t>Према Правилнику о листи осталих деривата нафте који се добијају од фракција нафте које имају распон дестилације до 380</w:t>
      </w:r>
      <w:r w:rsidR="001032FF" w:rsidRPr="0007021A">
        <w:rPr>
          <w:rFonts w:ascii="Times New Roman" w:hAnsi="Times New Roman"/>
          <w:bCs/>
          <w:sz w:val="24"/>
          <w:szCs w:val="24"/>
          <w:shd w:val="clear" w:color="auto" w:fill="FFFFFF"/>
        </w:rPr>
        <w:t xml:space="preserve"> °</w:t>
      </w:r>
      <w:r w:rsidR="0080481C" w:rsidRPr="0007021A">
        <w:rPr>
          <w:rFonts w:ascii="Times New Roman" w:hAnsi="Times New Roman"/>
          <w:bCs/>
          <w:sz w:val="24"/>
          <w:szCs w:val="24"/>
          <w:shd w:val="clear" w:color="auto" w:fill="FFFFFF"/>
          <w:lang w:val="sr-Cyrl-CS"/>
        </w:rPr>
        <w:t xml:space="preserve"> </w:t>
      </w:r>
      <w:r w:rsidR="004949B5" w:rsidRPr="0007021A">
        <w:rPr>
          <w:rFonts w:ascii="Times New Roman" w:hAnsi="Times New Roman"/>
          <w:bCs/>
          <w:sz w:val="24"/>
          <w:szCs w:val="24"/>
          <w:shd w:val="clear" w:color="auto" w:fill="FFFFFF"/>
          <w:lang w:val="sr-Cyrl-CS"/>
        </w:rPr>
        <w:t>Ц</w:t>
      </w:r>
      <w:r w:rsidR="001032FF" w:rsidRPr="0007021A">
        <w:rPr>
          <w:rStyle w:val="FootnoteReference"/>
          <w:rFonts w:ascii="Times New Roman" w:hAnsi="Times New Roman"/>
          <w:bCs/>
          <w:color w:val="000000"/>
          <w:sz w:val="24"/>
          <w:szCs w:val="24"/>
          <w:shd w:val="clear" w:color="auto" w:fill="FFFFFF"/>
          <w:lang w:val="sr-Cyrl-CS"/>
        </w:rPr>
        <w:footnoteReference w:id="551"/>
      </w:r>
      <w:r w:rsidR="001032FF" w:rsidRPr="0007021A">
        <w:rPr>
          <w:rFonts w:ascii="Times New Roman" w:hAnsi="Times New Roman"/>
          <w:sz w:val="24"/>
          <w:szCs w:val="24"/>
          <w:lang w:val="sr-Cyrl-CS"/>
        </w:rPr>
        <w:t xml:space="preserve">  </w:t>
      </w:r>
      <w:r w:rsidR="00A42990" w:rsidRPr="0007021A">
        <w:rPr>
          <w:rFonts w:ascii="Times New Roman" w:hAnsi="Times New Roman"/>
          <w:sz w:val="24"/>
          <w:szCs w:val="24"/>
          <w:lang w:val="sr-Cyrl-CS"/>
        </w:rPr>
        <w:t xml:space="preserve">опорезују се </w:t>
      </w:r>
      <w:r w:rsidR="0080481C" w:rsidRPr="0007021A">
        <w:rPr>
          <w:rFonts w:ascii="Times New Roman" w:hAnsi="Times New Roman"/>
          <w:sz w:val="24"/>
          <w:szCs w:val="24"/>
          <w:shd w:val="clear" w:color="auto" w:fill="FFFFFF"/>
          <w:lang w:val="sr-Cyrl-CS"/>
        </w:rPr>
        <w:t>у</w:t>
      </w:r>
      <w:r w:rsidR="004949B5" w:rsidRPr="0007021A">
        <w:rPr>
          <w:rFonts w:ascii="Times New Roman" w:hAnsi="Times New Roman"/>
          <w:sz w:val="24"/>
          <w:szCs w:val="24"/>
          <w:shd w:val="clear" w:color="auto" w:fill="FFFFFF"/>
        </w:rPr>
        <w:t>ља</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добијена</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од</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нафте</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и</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уља</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добијена</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од</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битуменозних</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минерала</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осим</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сирових</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као</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и</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производи</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на</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другом</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месту</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непоменути</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или</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укључени</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који</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садрже</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по</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маси</w:t>
      </w:r>
      <w:r w:rsidRPr="0007021A">
        <w:rPr>
          <w:rFonts w:ascii="Times New Roman" w:hAnsi="Times New Roman"/>
          <w:sz w:val="24"/>
          <w:szCs w:val="24"/>
          <w:shd w:val="clear" w:color="auto" w:fill="FFFFFF"/>
        </w:rPr>
        <w:t xml:space="preserve"> 70% </w:t>
      </w:r>
      <w:r w:rsidR="004949B5" w:rsidRPr="0007021A">
        <w:rPr>
          <w:rFonts w:ascii="Times New Roman" w:hAnsi="Times New Roman"/>
          <w:sz w:val="24"/>
          <w:szCs w:val="24"/>
          <w:shd w:val="clear" w:color="auto" w:fill="FFFFFF"/>
        </w:rPr>
        <w:t>или</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више</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уља</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од</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нафте</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или</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уља</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добијених</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од</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битуменозних</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минерала</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и</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ако</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чине</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основне</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састојке</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тих</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производа</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под</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условом</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да</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се</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не</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користе</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за</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производњу</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пластичних</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маса</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гума</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и</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гумарских</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производа</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боја</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и</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лакова</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производа</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фармацеутске</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и</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козметичке</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индустрије</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од</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стране</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правних</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лица</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и</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предузетника</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регистрованих</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за</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обављање</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ових</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делатности</w:t>
      </w:r>
    </w:p>
    <w:p w:rsidR="002B0A8A" w:rsidRPr="0007021A" w:rsidRDefault="00216C78" w:rsidP="0007021A">
      <w:pPr>
        <w:ind w:firstLine="708"/>
        <w:jc w:val="both"/>
        <w:rPr>
          <w:rFonts w:ascii="Times New Roman" w:hAnsi="Times New Roman"/>
          <w:sz w:val="24"/>
          <w:szCs w:val="24"/>
          <w:shd w:val="clear" w:color="auto" w:fill="FFFFFF"/>
          <w:lang w:val="sr-Cyrl-CS"/>
        </w:rPr>
      </w:pPr>
      <w:r w:rsidRPr="0007021A">
        <w:rPr>
          <w:rFonts w:ascii="Times New Roman" w:hAnsi="Times New Roman"/>
          <w:sz w:val="24"/>
          <w:szCs w:val="24"/>
          <w:shd w:val="clear" w:color="auto" w:fill="FFFFFF"/>
          <w:lang w:val="sr-Cyrl-CS"/>
        </w:rPr>
        <w:t xml:space="preserve">Ова одредба је измењена </w:t>
      </w:r>
      <w:r w:rsidR="0080481C" w:rsidRPr="0007021A">
        <w:rPr>
          <w:rFonts w:ascii="Times New Roman" w:hAnsi="Times New Roman"/>
          <w:sz w:val="24"/>
          <w:szCs w:val="24"/>
          <w:shd w:val="clear" w:color="auto" w:fill="FFFFFF"/>
          <w:lang w:val="sr-Cyrl-CS"/>
        </w:rPr>
        <w:t xml:space="preserve">Правилником о листи осталих деривата нафте који се добијају од фракција нафте које имају распон дестилације до </w:t>
      </w:r>
      <w:r w:rsidRPr="0007021A">
        <w:rPr>
          <w:rFonts w:ascii="Times New Roman" w:hAnsi="Times New Roman"/>
          <w:sz w:val="24"/>
          <w:szCs w:val="24"/>
          <w:shd w:val="clear" w:color="auto" w:fill="FFFFFF"/>
        </w:rPr>
        <w:t>380°</w:t>
      </w:r>
      <w:r w:rsidR="004949B5" w:rsidRPr="0007021A">
        <w:rPr>
          <w:rFonts w:ascii="Times New Roman" w:hAnsi="Times New Roman"/>
          <w:sz w:val="24"/>
          <w:szCs w:val="24"/>
          <w:shd w:val="clear" w:color="auto" w:fill="FFFFFF"/>
        </w:rPr>
        <w:t>Ц</w:t>
      </w:r>
      <w:r w:rsidR="0080481C" w:rsidRPr="0007021A">
        <w:rPr>
          <w:rFonts w:ascii="Times New Roman" w:hAnsi="Times New Roman"/>
          <w:sz w:val="24"/>
          <w:szCs w:val="24"/>
          <w:shd w:val="clear" w:color="auto" w:fill="FFFFFF"/>
          <w:lang w:val="sr-Cyrl-CS"/>
        </w:rPr>
        <w:t>.</w:t>
      </w:r>
      <w:r w:rsidR="0080481C" w:rsidRPr="0007021A">
        <w:rPr>
          <w:rStyle w:val="FootnoteReference"/>
          <w:rFonts w:ascii="Times New Roman" w:hAnsi="Times New Roman"/>
          <w:color w:val="000000"/>
          <w:sz w:val="24"/>
          <w:szCs w:val="24"/>
          <w:shd w:val="clear" w:color="auto" w:fill="FFFFFF"/>
        </w:rPr>
        <w:footnoteReference w:id="552"/>
      </w:r>
      <w:r w:rsidR="0080481C" w:rsidRPr="0007021A">
        <w:rPr>
          <w:rFonts w:ascii="Times New Roman" w:hAnsi="Times New Roman"/>
          <w:sz w:val="24"/>
          <w:szCs w:val="24"/>
          <w:shd w:val="clear" w:color="auto" w:fill="FFFFFF"/>
          <w:lang w:val="sr-Cyrl-CS"/>
        </w:rPr>
        <w:t xml:space="preserve">  М</w:t>
      </w:r>
      <w:r w:rsidRPr="0007021A">
        <w:rPr>
          <w:rFonts w:ascii="Times New Roman" w:hAnsi="Times New Roman"/>
          <w:sz w:val="24"/>
          <w:szCs w:val="24"/>
          <w:shd w:val="clear" w:color="auto" w:fill="FFFFFF"/>
          <w:lang w:val="sr-Cyrl-CS"/>
        </w:rPr>
        <w:t xml:space="preserve">еђутим, у међувремену је омогућила бројне злоупотребе, тако што су увозници ових деривата лажно приказивали да ће се деривати користи за наведену намену, која је ослобођена плаћања акциза. Наводно </w:t>
      </w:r>
      <w:r w:rsidR="00D14DBF" w:rsidRPr="0007021A">
        <w:rPr>
          <w:rFonts w:ascii="Times New Roman" w:hAnsi="Times New Roman"/>
          <w:sz w:val="24"/>
          <w:szCs w:val="24"/>
          <w:shd w:val="clear" w:color="auto" w:fill="FFFFFF"/>
          <w:lang w:val="sr-Cyrl-CS"/>
        </w:rPr>
        <w:t>прерађени деривати за сврхе које се не опорезују су наводно про</w:t>
      </w:r>
      <w:r w:rsidR="00A42990" w:rsidRPr="0007021A">
        <w:rPr>
          <w:rFonts w:ascii="Times New Roman" w:hAnsi="Times New Roman"/>
          <w:sz w:val="24"/>
          <w:szCs w:val="24"/>
          <w:shd w:val="clear" w:color="auto" w:fill="FFFFFF"/>
          <w:lang w:val="sr-Cyrl-CS"/>
        </w:rPr>
        <w:t>давани</w:t>
      </w:r>
      <w:r w:rsidR="00D14DBF" w:rsidRPr="0007021A">
        <w:rPr>
          <w:rFonts w:ascii="Times New Roman" w:hAnsi="Times New Roman"/>
          <w:sz w:val="24"/>
          <w:szCs w:val="24"/>
          <w:shd w:val="clear" w:color="auto" w:fill="FFFFFF"/>
          <w:lang w:val="sr-Cyrl-CS"/>
        </w:rPr>
        <w:t xml:space="preserve"> уз сач</w:t>
      </w:r>
      <w:r w:rsidR="00A42990" w:rsidRPr="0007021A">
        <w:rPr>
          <w:rFonts w:ascii="Times New Roman" w:hAnsi="Times New Roman"/>
          <w:sz w:val="24"/>
          <w:szCs w:val="24"/>
          <w:shd w:val="clear" w:color="auto" w:fill="FFFFFF"/>
          <w:lang w:val="sr-Cyrl-CS"/>
        </w:rPr>
        <w:t>ињавање лажне документације фан</w:t>
      </w:r>
      <w:r w:rsidR="00D14DBF" w:rsidRPr="0007021A">
        <w:rPr>
          <w:rFonts w:ascii="Times New Roman" w:hAnsi="Times New Roman"/>
          <w:sz w:val="24"/>
          <w:szCs w:val="24"/>
          <w:shd w:val="clear" w:color="auto" w:fill="FFFFFF"/>
          <w:lang w:val="sr-Cyrl-CS"/>
        </w:rPr>
        <w:t>томским предузећима</w:t>
      </w:r>
      <w:r w:rsidR="00A42990" w:rsidRPr="0007021A">
        <w:rPr>
          <w:rFonts w:ascii="Times New Roman" w:hAnsi="Times New Roman"/>
          <w:sz w:val="24"/>
          <w:szCs w:val="24"/>
          <w:shd w:val="clear" w:color="auto" w:fill="FFFFFF"/>
          <w:lang w:val="sr-Cyrl-CS"/>
        </w:rPr>
        <w:t xml:space="preserve"> и на тај начин је избегавано плаћање акциза.</w:t>
      </w:r>
    </w:p>
    <w:p w:rsidR="00075124" w:rsidRPr="0007021A" w:rsidRDefault="002B0A8A" w:rsidP="0007021A">
      <w:pPr>
        <w:ind w:firstLine="708"/>
        <w:jc w:val="both"/>
        <w:rPr>
          <w:rFonts w:ascii="Times New Roman" w:hAnsi="Times New Roman"/>
          <w:sz w:val="24"/>
          <w:szCs w:val="24"/>
          <w:shd w:val="clear" w:color="auto" w:fill="FFFFFF"/>
          <w:lang w:val="sr-Cyrl-CS"/>
        </w:rPr>
      </w:pPr>
      <w:r w:rsidRPr="0007021A">
        <w:rPr>
          <w:rFonts w:ascii="Times New Roman" w:hAnsi="Times New Roman"/>
          <w:sz w:val="24"/>
          <w:szCs w:val="24"/>
          <w:shd w:val="clear" w:color="auto" w:fill="FFFFFF"/>
          <w:lang w:val="sr-Cyrl-CS"/>
        </w:rPr>
        <w:t>Тако су предузећа „А“ и „Е“ из Шапца, чије пословање је контролисало исто лице, са произвођачима боја и лакова, предузећима „Х“ из Шида и „С</w:t>
      </w:r>
      <w:r w:rsidR="00FB7EE5" w:rsidRPr="0007021A">
        <w:rPr>
          <w:rFonts w:ascii="Times New Roman" w:hAnsi="Times New Roman"/>
          <w:sz w:val="24"/>
          <w:szCs w:val="24"/>
          <w:shd w:val="clear" w:color="auto" w:fill="FFFFFF"/>
          <w:lang w:val="sr-Cyrl-CS"/>
        </w:rPr>
        <w:t>“</w:t>
      </w:r>
      <w:r w:rsidRPr="0007021A">
        <w:rPr>
          <w:rFonts w:ascii="Times New Roman" w:hAnsi="Times New Roman"/>
          <w:sz w:val="24"/>
          <w:szCs w:val="24"/>
          <w:shd w:val="clear" w:color="auto" w:fill="FFFFFF"/>
          <w:lang w:val="sr-Cyrl-CS"/>
        </w:rPr>
        <w:t xml:space="preserve"> из Пирота, сачинили уговор о закупу производних капацитета, где су наводно увежене количине од око три милиона килограма нафтних деривата прерађене у разређиваче и растравараче.</w:t>
      </w:r>
      <w:r w:rsidR="00FB7EE5" w:rsidRPr="0007021A">
        <w:rPr>
          <w:rFonts w:ascii="Times New Roman" w:hAnsi="Times New Roman"/>
          <w:sz w:val="24"/>
          <w:szCs w:val="24"/>
          <w:shd w:val="clear" w:color="auto" w:fill="FFFFFF"/>
          <w:lang w:val="sr-Cyrl-CS"/>
        </w:rPr>
        <w:t xml:space="preserve"> Разређивачи и растварачи продати су предузећима „Д.М.Г.“ из Шида и „</w:t>
      </w:r>
      <w:r w:rsidR="00FB7EE5" w:rsidRPr="0007021A">
        <w:rPr>
          <w:rFonts w:ascii="Times New Roman" w:hAnsi="Times New Roman"/>
          <w:sz w:val="24"/>
          <w:szCs w:val="24"/>
          <w:shd w:val="clear" w:color="auto" w:fill="FFFFFF"/>
        </w:rPr>
        <w:t>W</w:t>
      </w:r>
      <w:r w:rsidR="00FB7EE5" w:rsidRPr="0007021A">
        <w:rPr>
          <w:rFonts w:ascii="Times New Roman" w:hAnsi="Times New Roman"/>
          <w:sz w:val="24"/>
          <w:szCs w:val="24"/>
          <w:shd w:val="clear" w:color="auto" w:fill="FFFFFF"/>
          <w:lang w:val="sr-Cyrl-CS"/>
        </w:rPr>
        <w:t xml:space="preserve">“ из Коцељеве, која су такође под контролом истог лица. Ова предузећа целокупну </w:t>
      </w:r>
      <w:r w:rsidR="00FB7EE5" w:rsidRPr="0007021A">
        <w:rPr>
          <w:rFonts w:ascii="Times New Roman" w:hAnsi="Times New Roman"/>
          <w:sz w:val="24"/>
          <w:szCs w:val="24"/>
          <w:shd w:val="clear" w:color="auto" w:fill="FFFFFF"/>
          <w:lang w:val="sr-Cyrl-CS"/>
        </w:rPr>
        <w:lastRenderedPageBreak/>
        <w:t xml:space="preserve">количину разређивача и растварача продали су „фантом“ предузећима из Врања, Крушевца, Параћина и Новог Сада, од којих су у истој вредности набавили моторни бензин и дизел гориво које су потом пласирали регуларним предузећима. Како је утврђено да увежени деривати нису прерађивани у производним погонима предузећа „Х“ из Шида и „С“ из Пирота, као и да није постојао пословни однос са „фантом“ предузећима, избегнуто је плаћање акцизе и пореза на додату вредност у укупном износу близу 200 милиона динара. Такође, предузеће „Б.С.“ из Шида је за нешто више од четири месеца реализовало 244 увоза нафтних деривата који се добијају од фракција до </w:t>
      </w:r>
      <w:r w:rsidR="00FB7EE5" w:rsidRPr="0007021A">
        <w:rPr>
          <w:rFonts w:ascii="Times New Roman" w:hAnsi="Times New Roman"/>
          <w:sz w:val="24"/>
          <w:szCs w:val="24"/>
          <w:shd w:val="clear" w:color="auto" w:fill="FFFFFF"/>
        </w:rPr>
        <w:t>380°Ц</w:t>
      </w:r>
      <w:r w:rsidR="00FB7EE5" w:rsidRPr="0007021A">
        <w:rPr>
          <w:rFonts w:ascii="Times New Roman" w:hAnsi="Times New Roman"/>
          <w:sz w:val="24"/>
          <w:szCs w:val="24"/>
          <w:shd w:val="clear" w:color="auto" w:fill="FFFFFF"/>
          <w:lang w:val="sr-Cyrl-CS"/>
        </w:rPr>
        <w:t>.</w:t>
      </w:r>
      <w:r w:rsidR="000926BE" w:rsidRPr="0007021A">
        <w:rPr>
          <w:rFonts w:ascii="Times New Roman" w:hAnsi="Times New Roman"/>
          <w:sz w:val="24"/>
          <w:szCs w:val="24"/>
          <w:shd w:val="clear" w:color="auto" w:fill="FFFFFF"/>
          <w:lang w:val="sr-Cyrl-CS"/>
        </w:rPr>
        <w:t xml:space="preserve"> </w:t>
      </w:r>
      <w:r w:rsidR="00FB7EE5" w:rsidRPr="0007021A">
        <w:rPr>
          <w:rFonts w:ascii="Times New Roman" w:hAnsi="Times New Roman"/>
          <w:sz w:val="24"/>
          <w:szCs w:val="24"/>
          <w:shd w:val="clear" w:color="auto" w:fill="FFFFFF"/>
          <w:lang w:val="sr-Cyrl-CS"/>
        </w:rPr>
        <w:t>За целокупну увежену количину приказано је да је прерађена у разређиваче и раствараче у сопственом погону у Адашевцима. Целокупна количина разређивача и растварача је продата „фантом“ предузећима од којих је, у компензацији, купљено дизел гориво и моторни бензин. Ови деривати су потом продавани легалним купцима попут пр</w:t>
      </w:r>
      <w:r w:rsidR="000926BE" w:rsidRPr="0007021A">
        <w:rPr>
          <w:rFonts w:ascii="Times New Roman" w:hAnsi="Times New Roman"/>
          <w:sz w:val="24"/>
          <w:szCs w:val="24"/>
          <w:shd w:val="clear" w:color="auto" w:fill="FFFFFF"/>
          <w:lang w:val="sr-Cyrl-CS"/>
        </w:rPr>
        <w:t>едузећа која имају у свом саставу бензинске пумпе, разним превозницима и</w:t>
      </w:r>
      <w:r w:rsidR="00FB7EE5" w:rsidRPr="0007021A">
        <w:rPr>
          <w:rFonts w:ascii="Times New Roman" w:hAnsi="Times New Roman"/>
          <w:sz w:val="24"/>
          <w:szCs w:val="24"/>
          <w:shd w:val="clear" w:color="auto" w:fill="FFFFFF"/>
          <w:lang w:val="sr-Cyrl-CS"/>
        </w:rPr>
        <w:t xml:space="preserve"> др. Проверама је утврђено да количина од десет милиона литара лаких уља, која је наводно увежен</w:t>
      </w:r>
      <w:r w:rsidR="000926BE" w:rsidRPr="0007021A">
        <w:rPr>
          <w:rFonts w:ascii="Times New Roman" w:hAnsi="Times New Roman"/>
          <w:sz w:val="24"/>
          <w:szCs w:val="24"/>
          <w:shd w:val="clear" w:color="auto" w:fill="FFFFFF"/>
          <w:lang w:val="sr-Cyrl-CS"/>
        </w:rPr>
        <w:t>а</w:t>
      </w:r>
      <w:r w:rsidR="00FB7EE5" w:rsidRPr="0007021A">
        <w:rPr>
          <w:rFonts w:ascii="Times New Roman" w:hAnsi="Times New Roman"/>
          <w:sz w:val="24"/>
          <w:szCs w:val="24"/>
          <w:shd w:val="clear" w:color="auto" w:fill="FFFFFF"/>
          <w:lang w:val="sr-Cyrl-CS"/>
        </w:rPr>
        <w:t xml:space="preserve"> ради прераде, није и прерађена у погону у Адашевцима, нити је такву пр</w:t>
      </w:r>
      <w:r w:rsidR="000926BE" w:rsidRPr="0007021A">
        <w:rPr>
          <w:rFonts w:ascii="Times New Roman" w:hAnsi="Times New Roman"/>
          <w:sz w:val="24"/>
          <w:szCs w:val="24"/>
          <w:shd w:val="clear" w:color="auto" w:fill="FFFFFF"/>
          <w:lang w:val="sr-Cyrl-CS"/>
        </w:rPr>
        <w:t>ераду тамо било могуће организов</w:t>
      </w:r>
      <w:r w:rsidR="00FB7EE5" w:rsidRPr="0007021A">
        <w:rPr>
          <w:rFonts w:ascii="Times New Roman" w:hAnsi="Times New Roman"/>
          <w:sz w:val="24"/>
          <w:szCs w:val="24"/>
          <w:shd w:val="clear" w:color="auto" w:fill="FFFFFF"/>
          <w:lang w:val="sr-Cyrl-CS"/>
        </w:rPr>
        <w:t>ати. Такође</w:t>
      </w:r>
      <w:r w:rsidR="000926BE" w:rsidRPr="0007021A">
        <w:rPr>
          <w:rFonts w:ascii="Times New Roman" w:hAnsi="Times New Roman"/>
          <w:sz w:val="24"/>
          <w:szCs w:val="24"/>
          <w:shd w:val="clear" w:color="auto" w:fill="FFFFFF"/>
          <w:lang w:val="sr-Cyrl-CS"/>
        </w:rPr>
        <w:t>,</w:t>
      </w:r>
      <w:r w:rsidR="00FB7EE5" w:rsidRPr="0007021A">
        <w:rPr>
          <w:rFonts w:ascii="Times New Roman" w:hAnsi="Times New Roman"/>
          <w:sz w:val="24"/>
          <w:szCs w:val="24"/>
          <w:shd w:val="clear" w:color="auto" w:fill="FFFFFF"/>
          <w:lang w:val="sr-Cyrl-CS"/>
        </w:rPr>
        <w:t xml:space="preserve"> утврђено је да није било пословног односа са „фантом“ предузећима, на који начин је избегнуто плаћање акцизе у износу од 146.999.946,00 динара</w:t>
      </w:r>
      <w:r w:rsidR="000926BE" w:rsidRPr="0007021A">
        <w:rPr>
          <w:rFonts w:ascii="Times New Roman" w:hAnsi="Times New Roman"/>
          <w:sz w:val="24"/>
          <w:szCs w:val="24"/>
          <w:shd w:val="clear" w:color="auto" w:fill="FFFFFF"/>
          <w:lang w:val="sr-Cyrl-CS"/>
        </w:rPr>
        <w:t xml:space="preserve"> </w:t>
      </w:r>
      <w:r w:rsidR="00FB7EE5" w:rsidRPr="0007021A">
        <w:rPr>
          <w:rFonts w:ascii="Times New Roman" w:hAnsi="Times New Roman"/>
          <w:sz w:val="24"/>
          <w:szCs w:val="24"/>
          <w:shd w:val="clear" w:color="auto" w:fill="FFFFFF"/>
          <w:lang w:val="sr-Cyrl-CS"/>
        </w:rPr>
        <w:t>и пореза на додату вредност у износу од 101.630.681,00 динара.</w:t>
      </w:r>
      <w:r w:rsidR="000926BE" w:rsidRPr="0007021A">
        <w:rPr>
          <w:rStyle w:val="FootnoteReference"/>
          <w:rFonts w:ascii="Times New Roman" w:hAnsi="Times New Roman"/>
          <w:color w:val="000000"/>
          <w:sz w:val="24"/>
          <w:szCs w:val="24"/>
          <w:shd w:val="clear" w:color="auto" w:fill="FFFFFF"/>
          <w:lang w:val="sr-Cyrl-CS"/>
        </w:rPr>
        <w:footnoteReference w:id="553"/>
      </w:r>
    </w:p>
    <w:p w:rsidR="00C97F34" w:rsidRPr="0007021A" w:rsidRDefault="0066291A" w:rsidP="0007021A">
      <w:pPr>
        <w:ind w:firstLine="708"/>
        <w:jc w:val="both"/>
        <w:rPr>
          <w:rFonts w:ascii="Times New Roman" w:hAnsi="Times New Roman"/>
          <w:sz w:val="24"/>
          <w:szCs w:val="24"/>
          <w:lang w:val="sr-Cyrl-CS"/>
        </w:rPr>
      </w:pPr>
      <w:r w:rsidRPr="0007021A">
        <w:rPr>
          <w:rFonts w:ascii="Times New Roman" w:hAnsi="Times New Roman"/>
          <w:sz w:val="24"/>
          <w:szCs w:val="24"/>
          <w:lang w:val="sr-Cyrl-CS"/>
        </w:rPr>
        <w:t xml:space="preserve">Избегавање плаћања акциза се постиже кроз прикривање стварне количине </w:t>
      </w:r>
      <w:r w:rsidR="00452CF3" w:rsidRPr="0007021A">
        <w:rPr>
          <w:rFonts w:ascii="Times New Roman" w:hAnsi="Times New Roman"/>
          <w:sz w:val="24"/>
          <w:szCs w:val="24"/>
          <w:lang w:val="sr-Cyrl-CS"/>
        </w:rPr>
        <w:t>п</w:t>
      </w:r>
      <w:r w:rsidRPr="0007021A">
        <w:rPr>
          <w:rFonts w:ascii="Times New Roman" w:hAnsi="Times New Roman"/>
          <w:sz w:val="24"/>
          <w:szCs w:val="24"/>
          <w:lang w:val="sr-Cyrl-CS"/>
        </w:rPr>
        <w:t>роизведене и продате робе.</w:t>
      </w:r>
      <w:r w:rsidR="00075124" w:rsidRPr="0007021A">
        <w:rPr>
          <w:rFonts w:ascii="Times New Roman" w:hAnsi="Times New Roman"/>
          <w:sz w:val="24"/>
          <w:szCs w:val="24"/>
          <w:lang w:val="sr-Cyrl-CS"/>
        </w:rPr>
        <w:t xml:space="preserve"> </w:t>
      </w:r>
      <w:r w:rsidR="00823027" w:rsidRPr="0007021A">
        <w:rPr>
          <w:rFonts w:ascii="Times New Roman" w:hAnsi="Times New Roman"/>
          <w:sz w:val="24"/>
          <w:szCs w:val="24"/>
          <w:lang w:val="sr-Cyrl-CS"/>
        </w:rPr>
        <w:t xml:space="preserve">У циљу спречавања кријумчарења акцизних производа, обавеза је </w:t>
      </w:r>
      <w:r w:rsidR="006474A9" w:rsidRPr="0007021A">
        <w:rPr>
          <w:rFonts w:ascii="Times New Roman" w:hAnsi="Times New Roman"/>
          <w:sz w:val="24"/>
          <w:szCs w:val="24"/>
          <w:lang w:val="sr-Cyrl-CS"/>
        </w:rPr>
        <w:t>п</w:t>
      </w:r>
      <w:r w:rsidR="004949B5" w:rsidRPr="0007021A">
        <w:rPr>
          <w:rFonts w:ascii="Times New Roman" w:hAnsi="Times New Roman"/>
          <w:sz w:val="24"/>
          <w:szCs w:val="24"/>
        </w:rPr>
        <w:t>роизвођач</w:t>
      </w:r>
      <w:r w:rsidR="006474A9" w:rsidRPr="0007021A">
        <w:rPr>
          <w:rFonts w:ascii="Times New Roman" w:hAnsi="Times New Roman"/>
          <w:sz w:val="24"/>
          <w:szCs w:val="24"/>
          <w:lang w:val="sr-Cyrl-CS"/>
        </w:rPr>
        <w:t>а</w:t>
      </w:r>
      <w:r w:rsidR="00823027" w:rsidRPr="0007021A">
        <w:rPr>
          <w:rFonts w:ascii="Times New Roman" w:hAnsi="Times New Roman"/>
          <w:sz w:val="24"/>
          <w:szCs w:val="24"/>
        </w:rPr>
        <w:t xml:space="preserve">, </w:t>
      </w:r>
      <w:r w:rsidR="004949B5" w:rsidRPr="0007021A">
        <w:rPr>
          <w:rFonts w:ascii="Times New Roman" w:hAnsi="Times New Roman"/>
          <w:sz w:val="24"/>
          <w:szCs w:val="24"/>
        </w:rPr>
        <w:t>односно</w:t>
      </w:r>
      <w:r w:rsidR="00823027" w:rsidRPr="0007021A">
        <w:rPr>
          <w:rFonts w:ascii="Times New Roman" w:hAnsi="Times New Roman"/>
          <w:sz w:val="24"/>
          <w:szCs w:val="24"/>
        </w:rPr>
        <w:t xml:space="preserve"> </w:t>
      </w:r>
      <w:r w:rsidR="004949B5" w:rsidRPr="0007021A">
        <w:rPr>
          <w:rFonts w:ascii="Times New Roman" w:hAnsi="Times New Roman"/>
          <w:sz w:val="24"/>
          <w:szCs w:val="24"/>
        </w:rPr>
        <w:t>увозник</w:t>
      </w:r>
      <w:r w:rsidR="006474A9" w:rsidRPr="0007021A">
        <w:rPr>
          <w:rFonts w:ascii="Times New Roman" w:hAnsi="Times New Roman"/>
          <w:sz w:val="24"/>
          <w:szCs w:val="24"/>
          <w:lang w:val="sr-Cyrl-CS"/>
        </w:rPr>
        <w:t>а</w:t>
      </w:r>
      <w:r w:rsidR="00823027" w:rsidRPr="0007021A">
        <w:rPr>
          <w:rFonts w:ascii="Times New Roman" w:hAnsi="Times New Roman"/>
          <w:sz w:val="24"/>
          <w:szCs w:val="24"/>
        </w:rPr>
        <w:t xml:space="preserve"> </w:t>
      </w:r>
      <w:r w:rsidR="004949B5" w:rsidRPr="0007021A">
        <w:rPr>
          <w:rFonts w:ascii="Times New Roman" w:hAnsi="Times New Roman"/>
          <w:sz w:val="24"/>
          <w:szCs w:val="24"/>
        </w:rPr>
        <w:t>да</w:t>
      </w:r>
      <w:r w:rsidR="00823027" w:rsidRPr="0007021A">
        <w:rPr>
          <w:rFonts w:ascii="Times New Roman" w:hAnsi="Times New Roman"/>
          <w:sz w:val="24"/>
          <w:szCs w:val="24"/>
        </w:rPr>
        <w:t xml:space="preserve"> </w:t>
      </w:r>
      <w:r w:rsidR="004949B5" w:rsidRPr="0007021A">
        <w:rPr>
          <w:rFonts w:ascii="Times New Roman" w:hAnsi="Times New Roman"/>
          <w:sz w:val="24"/>
          <w:szCs w:val="24"/>
        </w:rPr>
        <w:t>при</w:t>
      </w:r>
      <w:r w:rsidR="00823027" w:rsidRPr="0007021A">
        <w:rPr>
          <w:rFonts w:ascii="Times New Roman" w:hAnsi="Times New Roman"/>
          <w:sz w:val="24"/>
          <w:szCs w:val="24"/>
        </w:rPr>
        <w:t xml:space="preserve"> </w:t>
      </w:r>
      <w:r w:rsidR="004949B5" w:rsidRPr="0007021A">
        <w:rPr>
          <w:rFonts w:ascii="Times New Roman" w:hAnsi="Times New Roman"/>
          <w:sz w:val="24"/>
          <w:szCs w:val="24"/>
        </w:rPr>
        <w:t>производњи</w:t>
      </w:r>
      <w:r w:rsidR="00823027" w:rsidRPr="0007021A">
        <w:rPr>
          <w:rFonts w:ascii="Times New Roman" w:hAnsi="Times New Roman"/>
          <w:sz w:val="24"/>
          <w:szCs w:val="24"/>
        </w:rPr>
        <w:t xml:space="preserve">, </w:t>
      </w:r>
      <w:r w:rsidR="004949B5" w:rsidRPr="0007021A">
        <w:rPr>
          <w:rFonts w:ascii="Times New Roman" w:hAnsi="Times New Roman"/>
          <w:sz w:val="24"/>
          <w:szCs w:val="24"/>
        </w:rPr>
        <w:t>односно</w:t>
      </w:r>
      <w:r w:rsidR="00823027" w:rsidRPr="0007021A">
        <w:rPr>
          <w:rFonts w:ascii="Times New Roman" w:hAnsi="Times New Roman"/>
          <w:sz w:val="24"/>
          <w:szCs w:val="24"/>
        </w:rPr>
        <w:t xml:space="preserve"> </w:t>
      </w:r>
      <w:r w:rsidR="004949B5" w:rsidRPr="0007021A">
        <w:rPr>
          <w:rFonts w:ascii="Times New Roman" w:hAnsi="Times New Roman"/>
          <w:sz w:val="24"/>
          <w:szCs w:val="24"/>
        </w:rPr>
        <w:t>пре</w:t>
      </w:r>
      <w:r w:rsidR="00823027" w:rsidRPr="0007021A">
        <w:rPr>
          <w:rFonts w:ascii="Times New Roman" w:hAnsi="Times New Roman"/>
          <w:sz w:val="24"/>
          <w:szCs w:val="24"/>
        </w:rPr>
        <w:t xml:space="preserve"> </w:t>
      </w:r>
      <w:r w:rsidR="004949B5" w:rsidRPr="0007021A">
        <w:rPr>
          <w:rFonts w:ascii="Times New Roman" w:hAnsi="Times New Roman"/>
          <w:sz w:val="24"/>
          <w:szCs w:val="24"/>
        </w:rPr>
        <w:t>увоза</w:t>
      </w:r>
      <w:r w:rsidR="00823027" w:rsidRPr="0007021A">
        <w:rPr>
          <w:rFonts w:ascii="Times New Roman" w:hAnsi="Times New Roman"/>
          <w:sz w:val="24"/>
          <w:szCs w:val="24"/>
        </w:rPr>
        <w:t xml:space="preserve"> </w:t>
      </w:r>
      <w:r w:rsidR="004949B5" w:rsidRPr="0007021A">
        <w:rPr>
          <w:rFonts w:ascii="Times New Roman" w:hAnsi="Times New Roman"/>
          <w:sz w:val="24"/>
          <w:szCs w:val="24"/>
        </w:rPr>
        <w:t>цигарета</w:t>
      </w:r>
      <w:r w:rsidR="00823027" w:rsidRPr="0007021A">
        <w:rPr>
          <w:rFonts w:ascii="Times New Roman" w:hAnsi="Times New Roman"/>
          <w:sz w:val="24"/>
          <w:szCs w:val="24"/>
        </w:rPr>
        <w:t xml:space="preserve"> </w:t>
      </w:r>
      <w:r w:rsidR="004949B5" w:rsidRPr="0007021A">
        <w:rPr>
          <w:rFonts w:ascii="Times New Roman" w:hAnsi="Times New Roman"/>
          <w:sz w:val="24"/>
          <w:szCs w:val="24"/>
        </w:rPr>
        <w:t>и</w:t>
      </w:r>
      <w:r w:rsidR="00823027" w:rsidRPr="0007021A">
        <w:rPr>
          <w:rFonts w:ascii="Times New Roman" w:hAnsi="Times New Roman"/>
          <w:sz w:val="24"/>
          <w:szCs w:val="24"/>
        </w:rPr>
        <w:t xml:space="preserve"> </w:t>
      </w:r>
      <w:r w:rsidR="004949B5" w:rsidRPr="0007021A">
        <w:rPr>
          <w:rFonts w:ascii="Times New Roman" w:hAnsi="Times New Roman"/>
          <w:sz w:val="24"/>
          <w:szCs w:val="24"/>
        </w:rPr>
        <w:t>алкохолних</w:t>
      </w:r>
      <w:r w:rsidR="00823027" w:rsidRPr="0007021A">
        <w:rPr>
          <w:rFonts w:ascii="Times New Roman" w:hAnsi="Times New Roman"/>
          <w:sz w:val="24"/>
          <w:szCs w:val="24"/>
        </w:rPr>
        <w:t xml:space="preserve"> </w:t>
      </w:r>
      <w:r w:rsidR="004949B5" w:rsidRPr="0007021A">
        <w:rPr>
          <w:rFonts w:ascii="Times New Roman" w:hAnsi="Times New Roman"/>
          <w:sz w:val="24"/>
          <w:szCs w:val="24"/>
        </w:rPr>
        <w:t>пића</w:t>
      </w:r>
      <w:r w:rsidR="00823027" w:rsidRPr="0007021A">
        <w:rPr>
          <w:rFonts w:ascii="Times New Roman" w:hAnsi="Times New Roman"/>
          <w:sz w:val="24"/>
          <w:szCs w:val="24"/>
        </w:rPr>
        <w:t xml:space="preserve">, </w:t>
      </w:r>
      <w:r w:rsidR="004949B5" w:rsidRPr="0007021A">
        <w:rPr>
          <w:rFonts w:ascii="Times New Roman" w:hAnsi="Times New Roman"/>
          <w:sz w:val="24"/>
          <w:szCs w:val="24"/>
        </w:rPr>
        <w:t>осим</w:t>
      </w:r>
      <w:r w:rsidR="00823027" w:rsidRPr="0007021A">
        <w:rPr>
          <w:rFonts w:ascii="Times New Roman" w:hAnsi="Times New Roman"/>
          <w:sz w:val="24"/>
          <w:szCs w:val="24"/>
        </w:rPr>
        <w:t xml:space="preserve"> </w:t>
      </w:r>
      <w:r w:rsidR="004949B5" w:rsidRPr="0007021A">
        <w:rPr>
          <w:rFonts w:ascii="Times New Roman" w:hAnsi="Times New Roman"/>
          <w:sz w:val="24"/>
          <w:szCs w:val="24"/>
        </w:rPr>
        <w:t>пива</w:t>
      </w:r>
      <w:r w:rsidR="00823027" w:rsidRPr="0007021A">
        <w:rPr>
          <w:rFonts w:ascii="Times New Roman" w:hAnsi="Times New Roman"/>
          <w:sz w:val="24"/>
          <w:szCs w:val="24"/>
        </w:rPr>
        <w:t xml:space="preserve"> </w:t>
      </w:r>
      <w:r w:rsidR="004949B5" w:rsidRPr="0007021A">
        <w:rPr>
          <w:rFonts w:ascii="Times New Roman" w:hAnsi="Times New Roman"/>
          <w:sz w:val="24"/>
          <w:szCs w:val="24"/>
        </w:rPr>
        <w:t>и</w:t>
      </w:r>
      <w:r w:rsidR="00823027" w:rsidRPr="0007021A">
        <w:rPr>
          <w:rFonts w:ascii="Times New Roman" w:hAnsi="Times New Roman"/>
          <w:sz w:val="24"/>
          <w:szCs w:val="24"/>
        </w:rPr>
        <w:t xml:space="preserve"> </w:t>
      </w:r>
      <w:r w:rsidR="004949B5" w:rsidRPr="0007021A">
        <w:rPr>
          <w:rFonts w:ascii="Times New Roman" w:hAnsi="Times New Roman"/>
          <w:sz w:val="24"/>
          <w:szCs w:val="24"/>
        </w:rPr>
        <w:t>цигарета</w:t>
      </w:r>
      <w:r w:rsidR="00823027" w:rsidRPr="0007021A">
        <w:rPr>
          <w:rFonts w:ascii="Times New Roman" w:hAnsi="Times New Roman"/>
          <w:sz w:val="24"/>
          <w:szCs w:val="24"/>
        </w:rPr>
        <w:t xml:space="preserve"> </w:t>
      </w:r>
      <w:r w:rsidR="004949B5" w:rsidRPr="0007021A">
        <w:rPr>
          <w:rFonts w:ascii="Times New Roman" w:hAnsi="Times New Roman"/>
          <w:sz w:val="24"/>
          <w:szCs w:val="24"/>
        </w:rPr>
        <w:t>које</w:t>
      </w:r>
      <w:r w:rsidR="00823027" w:rsidRPr="0007021A">
        <w:rPr>
          <w:rFonts w:ascii="Times New Roman" w:hAnsi="Times New Roman"/>
          <w:sz w:val="24"/>
          <w:szCs w:val="24"/>
        </w:rPr>
        <w:t xml:space="preserve"> </w:t>
      </w:r>
      <w:r w:rsidR="004949B5" w:rsidRPr="0007021A">
        <w:rPr>
          <w:rFonts w:ascii="Times New Roman" w:hAnsi="Times New Roman"/>
          <w:sz w:val="24"/>
          <w:szCs w:val="24"/>
        </w:rPr>
        <w:t>се</w:t>
      </w:r>
      <w:r w:rsidR="00823027" w:rsidRPr="0007021A">
        <w:rPr>
          <w:rFonts w:ascii="Times New Roman" w:hAnsi="Times New Roman"/>
          <w:sz w:val="24"/>
          <w:szCs w:val="24"/>
        </w:rPr>
        <w:t xml:space="preserve"> </w:t>
      </w:r>
      <w:r w:rsidR="004949B5" w:rsidRPr="0007021A">
        <w:rPr>
          <w:rFonts w:ascii="Times New Roman" w:hAnsi="Times New Roman"/>
          <w:sz w:val="24"/>
          <w:szCs w:val="24"/>
        </w:rPr>
        <w:t>користе</w:t>
      </w:r>
      <w:r w:rsidR="00823027" w:rsidRPr="0007021A">
        <w:rPr>
          <w:rFonts w:ascii="Times New Roman" w:hAnsi="Times New Roman"/>
          <w:sz w:val="24"/>
          <w:szCs w:val="24"/>
        </w:rPr>
        <w:t xml:space="preserve"> </w:t>
      </w:r>
      <w:r w:rsidR="004949B5" w:rsidRPr="0007021A">
        <w:rPr>
          <w:rFonts w:ascii="Times New Roman" w:hAnsi="Times New Roman"/>
          <w:sz w:val="24"/>
          <w:szCs w:val="24"/>
        </w:rPr>
        <w:t>за</w:t>
      </w:r>
      <w:r w:rsidR="00823027" w:rsidRPr="0007021A">
        <w:rPr>
          <w:rFonts w:ascii="Times New Roman" w:hAnsi="Times New Roman"/>
          <w:sz w:val="24"/>
          <w:szCs w:val="24"/>
        </w:rPr>
        <w:t xml:space="preserve"> </w:t>
      </w:r>
      <w:r w:rsidR="004949B5" w:rsidRPr="0007021A">
        <w:rPr>
          <w:rFonts w:ascii="Times New Roman" w:hAnsi="Times New Roman"/>
          <w:sz w:val="24"/>
          <w:szCs w:val="24"/>
        </w:rPr>
        <w:t>тестирање</w:t>
      </w:r>
      <w:r w:rsidR="00823027" w:rsidRPr="0007021A">
        <w:rPr>
          <w:rFonts w:ascii="Times New Roman" w:hAnsi="Times New Roman"/>
          <w:sz w:val="24"/>
          <w:szCs w:val="24"/>
        </w:rPr>
        <w:t xml:space="preserve"> </w:t>
      </w:r>
      <w:r w:rsidR="004949B5" w:rsidRPr="0007021A">
        <w:rPr>
          <w:rFonts w:ascii="Times New Roman" w:hAnsi="Times New Roman"/>
          <w:sz w:val="24"/>
          <w:szCs w:val="24"/>
        </w:rPr>
        <w:t>квалитета</w:t>
      </w:r>
      <w:r w:rsidR="00823027" w:rsidRPr="0007021A">
        <w:rPr>
          <w:rFonts w:ascii="Times New Roman" w:hAnsi="Times New Roman"/>
          <w:sz w:val="24"/>
          <w:szCs w:val="24"/>
        </w:rPr>
        <w:t xml:space="preserve"> </w:t>
      </w:r>
      <w:r w:rsidR="004949B5" w:rsidRPr="0007021A">
        <w:rPr>
          <w:rFonts w:ascii="Times New Roman" w:hAnsi="Times New Roman"/>
          <w:sz w:val="24"/>
          <w:szCs w:val="24"/>
        </w:rPr>
        <w:t>производа</w:t>
      </w:r>
      <w:r w:rsidR="00823027" w:rsidRPr="0007021A">
        <w:rPr>
          <w:rFonts w:ascii="Times New Roman" w:hAnsi="Times New Roman"/>
          <w:sz w:val="24"/>
          <w:szCs w:val="24"/>
        </w:rPr>
        <w:t xml:space="preserve">, </w:t>
      </w:r>
      <w:r w:rsidR="004949B5" w:rsidRPr="0007021A">
        <w:rPr>
          <w:rFonts w:ascii="Times New Roman" w:hAnsi="Times New Roman"/>
          <w:sz w:val="24"/>
          <w:szCs w:val="24"/>
        </w:rPr>
        <w:t>обележи</w:t>
      </w:r>
      <w:r w:rsidR="00823027" w:rsidRPr="0007021A">
        <w:rPr>
          <w:rFonts w:ascii="Times New Roman" w:hAnsi="Times New Roman"/>
          <w:sz w:val="24"/>
          <w:szCs w:val="24"/>
        </w:rPr>
        <w:t xml:space="preserve"> </w:t>
      </w:r>
      <w:r w:rsidR="004949B5" w:rsidRPr="0007021A">
        <w:rPr>
          <w:rFonts w:ascii="Times New Roman" w:hAnsi="Times New Roman"/>
          <w:sz w:val="24"/>
          <w:szCs w:val="24"/>
        </w:rPr>
        <w:t>контролном</w:t>
      </w:r>
      <w:r w:rsidR="00823027" w:rsidRPr="0007021A">
        <w:rPr>
          <w:rFonts w:ascii="Times New Roman" w:hAnsi="Times New Roman"/>
          <w:sz w:val="24"/>
          <w:szCs w:val="24"/>
        </w:rPr>
        <w:t xml:space="preserve"> </w:t>
      </w:r>
      <w:r w:rsidR="004949B5" w:rsidRPr="0007021A">
        <w:rPr>
          <w:rFonts w:ascii="Times New Roman" w:hAnsi="Times New Roman"/>
          <w:sz w:val="24"/>
          <w:szCs w:val="24"/>
        </w:rPr>
        <w:t>акцизном</w:t>
      </w:r>
      <w:r w:rsidR="00823027" w:rsidRPr="0007021A">
        <w:rPr>
          <w:rFonts w:ascii="Times New Roman" w:hAnsi="Times New Roman"/>
          <w:sz w:val="24"/>
          <w:szCs w:val="24"/>
        </w:rPr>
        <w:t xml:space="preserve"> </w:t>
      </w:r>
      <w:r w:rsidR="004949B5" w:rsidRPr="0007021A">
        <w:rPr>
          <w:rFonts w:ascii="Times New Roman" w:hAnsi="Times New Roman"/>
          <w:sz w:val="24"/>
          <w:szCs w:val="24"/>
        </w:rPr>
        <w:t>маркицом</w:t>
      </w:r>
      <w:r w:rsidR="00823027" w:rsidRPr="0007021A">
        <w:rPr>
          <w:rFonts w:ascii="Times New Roman" w:hAnsi="Times New Roman"/>
          <w:sz w:val="24"/>
          <w:szCs w:val="24"/>
        </w:rPr>
        <w:t xml:space="preserve"> </w:t>
      </w:r>
      <w:r w:rsidR="004949B5" w:rsidRPr="0007021A">
        <w:rPr>
          <w:rFonts w:ascii="Times New Roman" w:hAnsi="Times New Roman"/>
          <w:sz w:val="24"/>
          <w:szCs w:val="24"/>
        </w:rPr>
        <w:t>сваки</w:t>
      </w:r>
      <w:r w:rsidR="00823027" w:rsidRPr="0007021A">
        <w:rPr>
          <w:rFonts w:ascii="Times New Roman" w:hAnsi="Times New Roman"/>
          <w:sz w:val="24"/>
          <w:szCs w:val="24"/>
        </w:rPr>
        <w:t xml:space="preserve"> </w:t>
      </w:r>
      <w:r w:rsidR="004949B5" w:rsidRPr="0007021A">
        <w:rPr>
          <w:rFonts w:ascii="Times New Roman" w:hAnsi="Times New Roman"/>
          <w:sz w:val="24"/>
          <w:szCs w:val="24"/>
        </w:rPr>
        <w:t>од</w:t>
      </w:r>
      <w:r w:rsidR="00823027" w:rsidRPr="0007021A">
        <w:rPr>
          <w:rFonts w:ascii="Times New Roman" w:hAnsi="Times New Roman"/>
          <w:sz w:val="24"/>
          <w:szCs w:val="24"/>
        </w:rPr>
        <w:t xml:space="preserve"> </w:t>
      </w:r>
      <w:r w:rsidR="004949B5" w:rsidRPr="0007021A">
        <w:rPr>
          <w:rFonts w:ascii="Times New Roman" w:hAnsi="Times New Roman"/>
          <w:sz w:val="24"/>
          <w:szCs w:val="24"/>
        </w:rPr>
        <w:t>тих</w:t>
      </w:r>
      <w:r w:rsidR="00823027" w:rsidRPr="0007021A">
        <w:rPr>
          <w:rFonts w:ascii="Times New Roman" w:hAnsi="Times New Roman"/>
          <w:sz w:val="24"/>
          <w:szCs w:val="24"/>
        </w:rPr>
        <w:t xml:space="preserve"> </w:t>
      </w:r>
      <w:r w:rsidR="004949B5" w:rsidRPr="0007021A">
        <w:rPr>
          <w:rFonts w:ascii="Times New Roman" w:hAnsi="Times New Roman"/>
          <w:sz w:val="24"/>
          <w:szCs w:val="24"/>
        </w:rPr>
        <w:t>производа</w:t>
      </w:r>
      <w:r w:rsidR="00823027" w:rsidRPr="0007021A">
        <w:rPr>
          <w:rFonts w:ascii="Times New Roman" w:hAnsi="Times New Roman"/>
          <w:sz w:val="24"/>
          <w:szCs w:val="24"/>
        </w:rPr>
        <w:t xml:space="preserve"> </w:t>
      </w:r>
      <w:r w:rsidR="004949B5" w:rsidRPr="0007021A">
        <w:rPr>
          <w:rFonts w:ascii="Times New Roman" w:hAnsi="Times New Roman"/>
          <w:sz w:val="24"/>
          <w:szCs w:val="24"/>
        </w:rPr>
        <w:t>посебно</w:t>
      </w:r>
      <w:r w:rsidR="00823027" w:rsidRPr="0007021A">
        <w:rPr>
          <w:rFonts w:ascii="Times New Roman" w:hAnsi="Times New Roman"/>
          <w:sz w:val="24"/>
          <w:szCs w:val="24"/>
        </w:rPr>
        <w:t>.</w:t>
      </w:r>
      <w:r w:rsidR="00453BC3" w:rsidRPr="0007021A">
        <w:rPr>
          <w:rFonts w:ascii="Times New Roman" w:hAnsi="Times New Roman"/>
          <w:sz w:val="24"/>
          <w:szCs w:val="24"/>
          <w:lang w:val="sr-Cyrl-CS"/>
        </w:rPr>
        <w:t xml:space="preserve"> </w:t>
      </w:r>
      <w:r w:rsidR="004949B5" w:rsidRPr="0007021A">
        <w:rPr>
          <w:rFonts w:ascii="Times New Roman" w:hAnsi="Times New Roman"/>
          <w:sz w:val="24"/>
          <w:szCs w:val="24"/>
        </w:rPr>
        <w:t>Министарство</w:t>
      </w:r>
      <w:r w:rsidR="00823027" w:rsidRPr="0007021A">
        <w:rPr>
          <w:rFonts w:ascii="Times New Roman" w:hAnsi="Times New Roman"/>
          <w:sz w:val="24"/>
          <w:szCs w:val="24"/>
        </w:rPr>
        <w:t xml:space="preserve"> </w:t>
      </w:r>
      <w:r w:rsidR="004949B5" w:rsidRPr="0007021A">
        <w:rPr>
          <w:rFonts w:ascii="Times New Roman" w:hAnsi="Times New Roman"/>
          <w:sz w:val="24"/>
          <w:szCs w:val="24"/>
        </w:rPr>
        <w:t>одобрава</w:t>
      </w:r>
      <w:r w:rsidR="00823027" w:rsidRPr="0007021A">
        <w:rPr>
          <w:rFonts w:ascii="Times New Roman" w:hAnsi="Times New Roman"/>
          <w:sz w:val="24"/>
          <w:szCs w:val="24"/>
        </w:rPr>
        <w:t xml:space="preserve"> </w:t>
      </w:r>
      <w:r w:rsidR="004949B5" w:rsidRPr="0007021A">
        <w:rPr>
          <w:rFonts w:ascii="Times New Roman" w:hAnsi="Times New Roman"/>
          <w:sz w:val="24"/>
          <w:szCs w:val="24"/>
        </w:rPr>
        <w:t>издавање</w:t>
      </w:r>
      <w:r w:rsidR="00823027" w:rsidRPr="0007021A">
        <w:rPr>
          <w:rFonts w:ascii="Times New Roman" w:hAnsi="Times New Roman"/>
          <w:sz w:val="24"/>
          <w:szCs w:val="24"/>
        </w:rPr>
        <w:t xml:space="preserve"> </w:t>
      </w:r>
      <w:r w:rsidR="004949B5" w:rsidRPr="0007021A">
        <w:rPr>
          <w:rFonts w:ascii="Times New Roman" w:hAnsi="Times New Roman"/>
          <w:sz w:val="24"/>
          <w:szCs w:val="24"/>
        </w:rPr>
        <w:t>контролних</w:t>
      </w:r>
      <w:r w:rsidR="00823027" w:rsidRPr="0007021A">
        <w:rPr>
          <w:rFonts w:ascii="Times New Roman" w:hAnsi="Times New Roman"/>
          <w:sz w:val="24"/>
          <w:szCs w:val="24"/>
        </w:rPr>
        <w:t xml:space="preserve"> </w:t>
      </w:r>
      <w:r w:rsidR="004949B5" w:rsidRPr="0007021A">
        <w:rPr>
          <w:rFonts w:ascii="Times New Roman" w:hAnsi="Times New Roman"/>
          <w:sz w:val="24"/>
          <w:szCs w:val="24"/>
        </w:rPr>
        <w:t>акцизних</w:t>
      </w:r>
      <w:r w:rsidR="00823027" w:rsidRPr="0007021A">
        <w:rPr>
          <w:rFonts w:ascii="Times New Roman" w:hAnsi="Times New Roman"/>
          <w:sz w:val="24"/>
          <w:szCs w:val="24"/>
        </w:rPr>
        <w:t xml:space="preserve"> </w:t>
      </w:r>
      <w:r w:rsidR="004949B5" w:rsidRPr="0007021A">
        <w:rPr>
          <w:rFonts w:ascii="Times New Roman" w:hAnsi="Times New Roman"/>
          <w:sz w:val="24"/>
          <w:szCs w:val="24"/>
        </w:rPr>
        <w:t>маркица</w:t>
      </w:r>
      <w:r w:rsidR="00823027" w:rsidRPr="0007021A">
        <w:rPr>
          <w:rFonts w:ascii="Times New Roman" w:hAnsi="Times New Roman"/>
          <w:sz w:val="24"/>
          <w:szCs w:val="24"/>
        </w:rPr>
        <w:t xml:space="preserve"> </w:t>
      </w:r>
      <w:r w:rsidR="004949B5" w:rsidRPr="0007021A">
        <w:rPr>
          <w:rFonts w:ascii="Times New Roman" w:hAnsi="Times New Roman"/>
          <w:sz w:val="24"/>
          <w:szCs w:val="24"/>
        </w:rPr>
        <w:t>и</w:t>
      </w:r>
      <w:r w:rsidR="00823027" w:rsidRPr="0007021A">
        <w:rPr>
          <w:rFonts w:ascii="Times New Roman" w:hAnsi="Times New Roman"/>
          <w:sz w:val="24"/>
          <w:szCs w:val="24"/>
        </w:rPr>
        <w:t xml:space="preserve"> </w:t>
      </w:r>
      <w:r w:rsidR="004949B5" w:rsidRPr="0007021A">
        <w:rPr>
          <w:rFonts w:ascii="Times New Roman" w:hAnsi="Times New Roman"/>
          <w:sz w:val="24"/>
          <w:szCs w:val="24"/>
        </w:rPr>
        <w:t>води</w:t>
      </w:r>
      <w:r w:rsidR="00823027" w:rsidRPr="0007021A">
        <w:rPr>
          <w:rFonts w:ascii="Times New Roman" w:hAnsi="Times New Roman"/>
          <w:sz w:val="24"/>
          <w:szCs w:val="24"/>
        </w:rPr>
        <w:t xml:space="preserve"> </w:t>
      </w:r>
      <w:r w:rsidR="004949B5" w:rsidRPr="0007021A">
        <w:rPr>
          <w:rFonts w:ascii="Times New Roman" w:hAnsi="Times New Roman"/>
          <w:sz w:val="24"/>
          <w:szCs w:val="24"/>
        </w:rPr>
        <w:t>евиденцију</w:t>
      </w:r>
      <w:r w:rsidR="00823027" w:rsidRPr="0007021A">
        <w:rPr>
          <w:rFonts w:ascii="Times New Roman" w:hAnsi="Times New Roman"/>
          <w:sz w:val="24"/>
          <w:szCs w:val="24"/>
        </w:rPr>
        <w:t xml:space="preserve"> </w:t>
      </w:r>
      <w:r w:rsidR="004949B5" w:rsidRPr="0007021A">
        <w:rPr>
          <w:rFonts w:ascii="Times New Roman" w:hAnsi="Times New Roman"/>
          <w:sz w:val="24"/>
          <w:szCs w:val="24"/>
        </w:rPr>
        <w:t>о</w:t>
      </w:r>
      <w:r w:rsidR="00823027" w:rsidRPr="0007021A">
        <w:rPr>
          <w:rFonts w:ascii="Times New Roman" w:hAnsi="Times New Roman"/>
          <w:sz w:val="24"/>
          <w:szCs w:val="24"/>
        </w:rPr>
        <w:t xml:space="preserve"> </w:t>
      </w:r>
      <w:r w:rsidR="004949B5" w:rsidRPr="0007021A">
        <w:rPr>
          <w:rFonts w:ascii="Times New Roman" w:hAnsi="Times New Roman"/>
          <w:sz w:val="24"/>
          <w:szCs w:val="24"/>
        </w:rPr>
        <w:t>издатим</w:t>
      </w:r>
      <w:r w:rsidR="00823027" w:rsidRPr="0007021A">
        <w:rPr>
          <w:rFonts w:ascii="Times New Roman" w:hAnsi="Times New Roman"/>
          <w:sz w:val="24"/>
          <w:szCs w:val="24"/>
        </w:rPr>
        <w:t xml:space="preserve"> </w:t>
      </w:r>
      <w:r w:rsidR="004949B5" w:rsidRPr="0007021A">
        <w:rPr>
          <w:rFonts w:ascii="Times New Roman" w:hAnsi="Times New Roman"/>
          <w:sz w:val="24"/>
          <w:szCs w:val="24"/>
        </w:rPr>
        <w:t>контролним</w:t>
      </w:r>
      <w:r w:rsidR="00823027" w:rsidRPr="0007021A">
        <w:rPr>
          <w:rFonts w:ascii="Times New Roman" w:hAnsi="Times New Roman"/>
          <w:sz w:val="24"/>
          <w:szCs w:val="24"/>
        </w:rPr>
        <w:t xml:space="preserve"> </w:t>
      </w:r>
      <w:r w:rsidR="004949B5" w:rsidRPr="0007021A">
        <w:rPr>
          <w:rFonts w:ascii="Times New Roman" w:hAnsi="Times New Roman"/>
          <w:sz w:val="24"/>
          <w:szCs w:val="24"/>
        </w:rPr>
        <w:t>акцизним</w:t>
      </w:r>
      <w:r w:rsidR="00823027" w:rsidRPr="0007021A">
        <w:rPr>
          <w:rFonts w:ascii="Times New Roman" w:hAnsi="Times New Roman"/>
          <w:sz w:val="24"/>
          <w:szCs w:val="24"/>
        </w:rPr>
        <w:t xml:space="preserve"> </w:t>
      </w:r>
      <w:r w:rsidR="004949B5" w:rsidRPr="0007021A">
        <w:rPr>
          <w:rFonts w:ascii="Times New Roman" w:hAnsi="Times New Roman"/>
          <w:sz w:val="24"/>
          <w:szCs w:val="24"/>
        </w:rPr>
        <w:t>маркицама</w:t>
      </w:r>
      <w:r w:rsidR="00823027" w:rsidRPr="0007021A">
        <w:rPr>
          <w:rFonts w:ascii="Times New Roman" w:hAnsi="Times New Roman"/>
          <w:sz w:val="24"/>
          <w:szCs w:val="24"/>
        </w:rPr>
        <w:t>.</w:t>
      </w:r>
      <w:r w:rsidR="00453BC3" w:rsidRPr="0007021A">
        <w:rPr>
          <w:rFonts w:ascii="Times New Roman" w:hAnsi="Times New Roman"/>
          <w:sz w:val="24"/>
          <w:szCs w:val="24"/>
          <w:lang w:val="sr-Cyrl-CS"/>
        </w:rPr>
        <w:t xml:space="preserve"> </w:t>
      </w:r>
      <w:r w:rsidR="004949B5" w:rsidRPr="0007021A">
        <w:rPr>
          <w:rFonts w:ascii="Times New Roman" w:hAnsi="Times New Roman"/>
          <w:sz w:val="24"/>
          <w:szCs w:val="24"/>
        </w:rPr>
        <w:t>Народна</w:t>
      </w:r>
      <w:r w:rsidR="00823027" w:rsidRPr="0007021A">
        <w:rPr>
          <w:rFonts w:ascii="Times New Roman" w:hAnsi="Times New Roman"/>
          <w:sz w:val="24"/>
          <w:szCs w:val="24"/>
        </w:rPr>
        <w:t xml:space="preserve"> </w:t>
      </w:r>
      <w:r w:rsidR="004949B5" w:rsidRPr="0007021A">
        <w:rPr>
          <w:rFonts w:ascii="Times New Roman" w:hAnsi="Times New Roman"/>
          <w:sz w:val="24"/>
          <w:szCs w:val="24"/>
        </w:rPr>
        <w:t>банка</w:t>
      </w:r>
      <w:r w:rsidR="00823027" w:rsidRPr="0007021A">
        <w:rPr>
          <w:rFonts w:ascii="Times New Roman" w:hAnsi="Times New Roman"/>
          <w:sz w:val="24"/>
          <w:szCs w:val="24"/>
        </w:rPr>
        <w:t xml:space="preserve"> </w:t>
      </w:r>
      <w:r w:rsidR="004949B5" w:rsidRPr="0007021A">
        <w:rPr>
          <w:rFonts w:ascii="Times New Roman" w:hAnsi="Times New Roman"/>
          <w:sz w:val="24"/>
          <w:szCs w:val="24"/>
        </w:rPr>
        <w:t>Србије</w:t>
      </w:r>
      <w:r w:rsidR="00823027" w:rsidRPr="0007021A">
        <w:rPr>
          <w:rFonts w:ascii="Times New Roman" w:hAnsi="Times New Roman"/>
          <w:sz w:val="24"/>
          <w:szCs w:val="24"/>
        </w:rPr>
        <w:t xml:space="preserve"> - </w:t>
      </w:r>
      <w:r w:rsidR="004949B5" w:rsidRPr="0007021A">
        <w:rPr>
          <w:rFonts w:ascii="Times New Roman" w:hAnsi="Times New Roman"/>
          <w:sz w:val="24"/>
          <w:szCs w:val="24"/>
        </w:rPr>
        <w:t>Завод</w:t>
      </w:r>
      <w:r w:rsidR="00823027" w:rsidRPr="0007021A">
        <w:rPr>
          <w:rFonts w:ascii="Times New Roman" w:hAnsi="Times New Roman"/>
          <w:sz w:val="24"/>
          <w:szCs w:val="24"/>
        </w:rPr>
        <w:t xml:space="preserve"> </w:t>
      </w:r>
      <w:r w:rsidR="004949B5" w:rsidRPr="0007021A">
        <w:rPr>
          <w:rFonts w:ascii="Times New Roman" w:hAnsi="Times New Roman"/>
          <w:sz w:val="24"/>
          <w:szCs w:val="24"/>
        </w:rPr>
        <w:t>за</w:t>
      </w:r>
      <w:r w:rsidR="00823027" w:rsidRPr="0007021A">
        <w:rPr>
          <w:rFonts w:ascii="Times New Roman" w:hAnsi="Times New Roman"/>
          <w:sz w:val="24"/>
          <w:szCs w:val="24"/>
        </w:rPr>
        <w:t xml:space="preserve"> </w:t>
      </w:r>
      <w:r w:rsidR="004949B5" w:rsidRPr="0007021A">
        <w:rPr>
          <w:rFonts w:ascii="Times New Roman" w:hAnsi="Times New Roman"/>
          <w:sz w:val="24"/>
          <w:szCs w:val="24"/>
        </w:rPr>
        <w:t>израду</w:t>
      </w:r>
      <w:r w:rsidR="00823027" w:rsidRPr="0007021A">
        <w:rPr>
          <w:rFonts w:ascii="Times New Roman" w:hAnsi="Times New Roman"/>
          <w:sz w:val="24"/>
          <w:szCs w:val="24"/>
        </w:rPr>
        <w:t xml:space="preserve"> </w:t>
      </w:r>
      <w:r w:rsidR="004949B5" w:rsidRPr="0007021A">
        <w:rPr>
          <w:rFonts w:ascii="Times New Roman" w:hAnsi="Times New Roman"/>
          <w:sz w:val="24"/>
          <w:szCs w:val="24"/>
        </w:rPr>
        <w:t>новчаница</w:t>
      </w:r>
      <w:r w:rsidR="00823027" w:rsidRPr="0007021A">
        <w:rPr>
          <w:rFonts w:ascii="Times New Roman" w:hAnsi="Times New Roman"/>
          <w:sz w:val="24"/>
          <w:szCs w:val="24"/>
        </w:rPr>
        <w:t xml:space="preserve"> </w:t>
      </w:r>
      <w:r w:rsidR="004949B5" w:rsidRPr="0007021A">
        <w:rPr>
          <w:rFonts w:ascii="Times New Roman" w:hAnsi="Times New Roman"/>
          <w:sz w:val="24"/>
          <w:szCs w:val="24"/>
        </w:rPr>
        <w:t>и</w:t>
      </w:r>
      <w:r w:rsidR="00823027" w:rsidRPr="0007021A">
        <w:rPr>
          <w:rFonts w:ascii="Times New Roman" w:hAnsi="Times New Roman"/>
          <w:sz w:val="24"/>
          <w:szCs w:val="24"/>
        </w:rPr>
        <w:t xml:space="preserve"> </w:t>
      </w:r>
      <w:r w:rsidR="004949B5" w:rsidRPr="0007021A">
        <w:rPr>
          <w:rFonts w:ascii="Times New Roman" w:hAnsi="Times New Roman"/>
          <w:sz w:val="24"/>
          <w:szCs w:val="24"/>
        </w:rPr>
        <w:t>кованог</w:t>
      </w:r>
      <w:r w:rsidR="00823027" w:rsidRPr="0007021A">
        <w:rPr>
          <w:rFonts w:ascii="Times New Roman" w:hAnsi="Times New Roman"/>
          <w:sz w:val="24"/>
          <w:szCs w:val="24"/>
        </w:rPr>
        <w:t xml:space="preserve"> </w:t>
      </w:r>
      <w:r w:rsidR="004949B5" w:rsidRPr="0007021A">
        <w:rPr>
          <w:rFonts w:ascii="Times New Roman" w:hAnsi="Times New Roman"/>
          <w:sz w:val="24"/>
          <w:szCs w:val="24"/>
        </w:rPr>
        <w:t>новца</w:t>
      </w:r>
      <w:r w:rsidR="00823027" w:rsidRPr="0007021A">
        <w:rPr>
          <w:rFonts w:ascii="Times New Roman" w:hAnsi="Times New Roman"/>
          <w:sz w:val="24"/>
          <w:szCs w:val="24"/>
        </w:rPr>
        <w:t xml:space="preserve"> </w:t>
      </w:r>
      <w:r w:rsidR="004949B5" w:rsidRPr="0007021A">
        <w:rPr>
          <w:rFonts w:ascii="Times New Roman" w:hAnsi="Times New Roman"/>
          <w:sz w:val="24"/>
          <w:szCs w:val="24"/>
        </w:rPr>
        <w:t>штампа</w:t>
      </w:r>
      <w:r w:rsidR="00823027" w:rsidRPr="0007021A">
        <w:rPr>
          <w:rFonts w:ascii="Times New Roman" w:hAnsi="Times New Roman"/>
          <w:sz w:val="24"/>
          <w:szCs w:val="24"/>
        </w:rPr>
        <w:t xml:space="preserve"> </w:t>
      </w:r>
      <w:r w:rsidR="004949B5" w:rsidRPr="0007021A">
        <w:rPr>
          <w:rFonts w:ascii="Times New Roman" w:hAnsi="Times New Roman"/>
          <w:sz w:val="24"/>
          <w:szCs w:val="24"/>
        </w:rPr>
        <w:t>и</w:t>
      </w:r>
      <w:r w:rsidR="00823027" w:rsidRPr="0007021A">
        <w:rPr>
          <w:rFonts w:ascii="Times New Roman" w:hAnsi="Times New Roman"/>
          <w:sz w:val="24"/>
          <w:szCs w:val="24"/>
        </w:rPr>
        <w:t xml:space="preserve"> </w:t>
      </w:r>
      <w:r w:rsidR="004949B5" w:rsidRPr="0007021A">
        <w:rPr>
          <w:rFonts w:ascii="Times New Roman" w:hAnsi="Times New Roman"/>
          <w:sz w:val="24"/>
          <w:szCs w:val="24"/>
        </w:rPr>
        <w:t>издаје</w:t>
      </w:r>
      <w:r w:rsidR="00823027" w:rsidRPr="0007021A">
        <w:rPr>
          <w:rFonts w:ascii="Times New Roman" w:hAnsi="Times New Roman"/>
          <w:sz w:val="24"/>
          <w:szCs w:val="24"/>
        </w:rPr>
        <w:t xml:space="preserve"> </w:t>
      </w:r>
      <w:r w:rsidR="004949B5" w:rsidRPr="0007021A">
        <w:rPr>
          <w:rFonts w:ascii="Times New Roman" w:hAnsi="Times New Roman"/>
          <w:sz w:val="24"/>
          <w:szCs w:val="24"/>
        </w:rPr>
        <w:t>контролне</w:t>
      </w:r>
      <w:r w:rsidR="00823027" w:rsidRPr="0007021A">
        <w:rPr>
          <w:rFonts w:ascii="Times New Roman" w:hAnsi="Times New Roman"/>
          <w:sz w:val="24"/>
          <w:szCs w:val="24"/>
        </w:rPr>
        <w:t xml:space="preserve"> </w:t>
      </w:r>
      <w:r w:rsidR="004949B5" w:rsidRPr="0007021A">
        <w:rPr>
          <w:rFonts w:ascii="Times New Roman" w:hAnsi="Times New Roman"/>
          <w:sz w:val="24"/>
          <w:szCs w:val="24"/>
        </w:rPr>
        <w:t>акцизне</w:t>
      </w:r>
      <w:r w:rsidR="00823027" w:rsidRPr="0007021A">
        <w:rPr>
          <w:rFonts w:ascii="Times New Roman" w:hAnsi="Times New Roman"/>
          <w:sz w:val="24"/>
          <w:szCs w:val="24"/>
        </w:rPr>
        <w:t xml:space="preserve"> </w:t>
      </w:r>
      <w:r w:rsidR="004949B5" w:rsidRPr="0007021A">
        <w:rPr>
          <w:rFonts w:ascii="Times New Roman" w:hAnsi="Times New Roman"/>
          <w:sz w:val="24"/>
          <w:szCs w:val="24"/>
        </w:rPr>
        <w:t>маркице</w:t>
      </w:r>
      <w:r w:rsidR="00823027" w:rsidRPr="0007021A">
        <w:rPr>
          <w:rFonts w:ascii="Times New Roman" w:hAnsi="Times New Roman"/>
          <w:sz w:val="24"/>
          <w:szCs w:val="24"/>
        </w:rPr>
        <w:t xml:space="preserve"> </w:t>
      </w:r>
      <w:r w:rsidR="004949B5" w:rsidRPr="0007021A">
        <w:rPr>
          <w:rFonts w:ascii="Times New Roman" w:hAnsi="Times New Roman"/>
          <w:sz w:val="24"/>
          <w:szCs w:val="24"/>
        </w:rPr>
        <w:t>и</w:t>
      </w:r>
      <w:r w:rsidR="00823027" w:rsidRPr="0007021A">
        <w:rPr>
          <w:rFonts w:ascii="Times New Roman" w:hAnsi="Times New Roman"/>
          <w:sz w:val="24"/>
          <w:szCs w:val="24"/>
        </w:rPr>
        <w:t xml:space="preserve"> </w:t>
      </w:r>
      <w:r w:rsidR="004949B5" w:rsidRPr="0007021A">
        <w:rPr>
          <w:rFonts w:ascii="Times New Roman" w:hAnsi="Times New Roman"/>
          <w:sz w:val="24"/>
          <w:szCs w:val="24"/>
        </w:rPr>
        <w:t>води</w:t>
      </w:r>
      <w:r w:rsidR="00823027" w:rsidRPr="0007021A">
        <w:rPr>
          <w:rFonts w:ascii="Times New Roman" w:hAnsi="Times New Roman"/>
          <w:sz w:val="24"/>
          <w:szCs w:val="24"/>
        </w:rPr>
        <w:t xml:space="preserve"> </w:t>
      </w:r>
      <w:r w:rsidR="004949B5" w:rsidRPr="0007021A">
        <w:rPr>
          <w:rFonts w:ascii="Times New Roman" w:hAnsi="Times New Roman"/>
          <w:sz w:val="24"/>
          <w:szCs w:val="24"/>
        </w:rPr>
        <w:t>евиденције</w:t>
      </w:r>
      <w:r w:rsidR="00823027" w:rsidRPr="0007021A">
        <w:rPr>
          <w:rFonts w:ascii="Times New Roman" w:hAnsi="Times New Roman"/>
          <w:sz w:val="24"/>
          <w:szCs w:val="24"/>
        </w:rPr>
        <w:t xml:space="preserve"> </w:t>
      </w:r>
      <w:r w:rsidR="004949B5" w:rsidRPr="0007021A">
        <w:rPr>
          <w:rFonts w:ascii="Times New Roman" w:hAnsi="Times New Roman"/>
          <w:sz w:val="24"/>
          <w:szCs w:val="24"/>
        </w:rPr>
        <w:t>о</w:t>
      </w:r>
      <w:r w:rsidR="00823027" w:rsidRPr="0007021A">
        <w:rPr>
          <w:rFonts w:ascii="Times New Roman" w:hAnsi="Times New Roman"/>
          <w:sz w:val="24"/>
          <w:szCs w:val="24"/>
        </w:rPr>
        <w:t xml:space="preserve"> </w:t>
      </w:r>
      <w:r w:rsidR="004949B5" w:rsidRPr="0007021A">
        <w:rPr>
          <w:rFonts w:ascii="Times New Roman" w:hAnsi="Times New Roman"/>
          <w:sz w:val="24"/>
          <w:szCs w:val="24"/>
        </w:rPr>
        <w:t>издатим</w:t>
      </w:r>
      <w:r w:rsidR="00823027" w:rsidRPr="0007021A">
        <w:rPr>
          <w:rFonts w:ascii="Times New Roman" w:hAnsi="Times New Roman"/>
          <w:sz w:val="24"/>
          <w:szCs w:val="24"/>
        </w:rPr>
        <w:t xml:space="preserve"> </w:t>
      </w:r>
      <w:r w:rsidR="004949B5" w:rsidRPr="0007021A">
        <w:rPr>
          <w:rFonts w:ascii="Times New Roman" w:hAnsi="Times New Roman"/>
          <w:sz w:val="24"/>
          <w:szCs w:val="24"/>
        </w:rPr>
        <w:t>контролним</w:t>
      </w:r>
      <w:r w:rsidR="00823027" w:rsidRPr="0007021A">
        <w:rPr>
          <w:rFonts w:ascii="Times New Roman" w:hAnsi="Times New Roman"/>
          <w:sz w:val="24"/>
          <w:szCs w:val="24"/>
        </w:rPr>
        <w:t xml:space="preserve"> </w:t>
      </w:r>
      <w:r w:rsidR="004949B5" w:rsidRPr="0007021A">
        <w:rPr>
          <w:rFonts w:ascii="Times New Roman" w:hAnsi="Times New Roman"/>
          <w:sz w:val="24"/>
          <w:szCs w:val="24"/>
        </w:rPr>
        <w:t>акцизним</w:t>
      </w:r>
      <w:r w:rsidR="00823027" w:rsidRPr="0007021A">
        <w:rPr>
          <w:rFonts w:ascii="Times New Roman" w:hAnsi="Times New Roman"/>
          <w:sz w:val="24"/>
          <w:szCs w:val="24"/>
        </w:rPr>
        <w:t xml:space="preserve"> </w:t>
      </w:r>
      <w:r w:rsidR="004949B5" w:rsidRPr="0007021A">
        <w:rPr>
          <w:rFonts w:ascii="Times New Roman" w:hAnsi="Times New Roman"/>
          <w:sz w:val="24"/>
          <w:szCs w:val="24"/>
        </w:rPr>
        <w:t>маркицама</w:t>
      </w:r>
      <w:r w:rsidR="00823027" w:rsidRPr="0007021A">
        <w:rPr>
          <w:rFonts w:ascii="Times New Roman" w:hAnsi="Times New Roman"/>
          <w:sz w:val="24"/>
          <w:szCs w:val="24"/>
        </w:rPr>
        <w:t>.</w:t>
      </w:r>
      <w:r w:rsidR="00453BC3" w:rsidRPr="0007021A">
        <w:rPr>
          <w:rStyle w:val="FootnoteReference"/>
          <w:rFonts w:ascii="Times New Roman" w:hAnsi="Times New Roman"/>
          <w:color w:val="000000"/>
          <w:sz w:val="24"/>
          <w:szCs w:val="24"/>
        </w:rPr>
        <w:footnoteReference w:id="554"/>
      </w:r>
    </w:p>
    <w:p w:rsidR="00C857DC" w:rsidRPr="0007021A" w:rsidRDefault="007C08D2" w:rsidP="0007021A">
      <w:pPr>
        <w:ind w:firstLine="708"/>
        <w:jc w:val="both"/>
        <w:rPr>
          <w:rFonts w:ascii="Times New Roman" w:hAnsi="Times New Roman"/>
          <w:sz w:val="24"/>
          <w:szCs w:val="24"/>
          <w:lang w:val="sr-Cyrl-CS"/>
        </w:rPr>
      </w:pPr>
      <w:r w:rsidRPr="0007021A">
        <w:rPr>
          <w:rFonts w:ascii="Times New Roman" w:hAnsi="Times New Roman"/>
          <w:sz w:val="24"/>
          <w:szCs w:val="24"/>
          <w:lang w:val="sr-Cyrl-CS"/>
        </w:rPr>
        <w:t xml:space="preserve">Тако су власник и директор Р.М. и Д.М. привредног друштва „П“ из Суботице које се бави производњом алкохолних пића у пословним књигама приказали непостојећу производњу </w:t>
      </w:r>
      <w:r w:rsidR="00C97F34" w:rsidRPr="0007021A">
        <w:rPr>
          <w:rFonts w:ascii="Times New Roman" w:hAnsi="Times New Roman"/>
          <w:sz w:val="24"/>
          <w:szCs w:val="24"/>
          <w:lang w:val="sr-Cyrl-CS"/>
        </w:rPr>
        <w:t>алкохолних пића у количини од 173.076,15 литара, за коју количину су раздужили акцизне маркице и на коју је обрачуната акциза и ПДВ. Целокупну фиктивну продају ов</w:t>
      </w:r>
      <w:r w:rsidR="00A26446" w:rsidRPr="0007021A">
        <w:rPr>
          <w:rFonts w:ascii="Times New Roman" w:hAnsi="Times New Roman"/>
          <w:sz w:val="24"/>
          <w:szCs w:val="24"/>
          <w:lang w:val="sr-Cyrl-CS"/>
        </w:rPr>
        <w:t>о</w:t>
      </w:r>
      <w:r w:rsidR="00C97F34" w:rsidRPr="0007021A">
        <w:rPr>
          <w:rFonts w:ascii="Times New Roman" w:hAnsi="Times New Roman"/>
          <w:sz w:val="24"/>
          <w:szCs w:val="24"/>
          <w:lang w:val="sr-Cyrl-CS"/>
        </w:rPr>
        <w:t xml:space="preserve">г пића врше предузећа „К.Т.“ и „Г.“, а ова организованом ланцу „перача“ и „фантома“. Преко истог овог организованог ланца „фантома“ и „перача“ и предузећа „Н.Т.“ и „Г.“ </w:t>
      </w:r>
      <w:r w:rsidR="009F7354" w:rsidRPr="0007021A">
        <w:rPr>
          <w:rFonts w:ascii="Times New Roman" w:hAnsi="Times New Roman"/>
          <w:sz w:val="24"/>
          <w:szCs w:val="24"/>
          <w:lang w:val="sr-Cyrl-CS"/>
        </w:rPr>
        <w:t>с</w:t>
      </w:r>
      <w:r w:rsidR="00C97F34" w:rsidRPr="0007021A">
        <w:rPr>
          <w:rFonts w:ascii="Times New Roman" w:hAnsi="Times New Roman"/>
          <w:sz w:val="24"/>
          <w:szCs w:val="24"/>
          <w:lang w:val="sr-Cyrl-CS"/>
        </w:rPr>
        <w:t>у вршила набавку амбалаже и репроматеријала за неевидентирану производњу и реализовали неевидентирану производњу прадузећа „П“ из Суботице</w:t>
      </w:r>
      <w:r w:rsidR="009F7354" w:rsidRPr="0007021A">
        <w:rPr>
          <w:rFonts w:ascii="Times New Roman" w:hAnsi="Times New Roman"/>
          <w:sz w:val="24"/>
          <w:szCs w:val="24"/>
          <w:lang w:val="sr-Cyrl-CS"/>
        </w:rPr>
        <w:t xml:space="preserve"> </w:t>
      </w:r>
      <w:r w:rsidR="00C97F34" w:rsidRPr="0007021A">
        <w:rPr>
          <w:rFonts w:ascii="Times New Roman" w:hAnsi="Times New Roman"/>
          <w:sz w:val="24"/>
          <w:szCs w:val="24"/>
          <w:lang w:val="sr-Cyrl-CS"/>
        </w:rPr>
        <w:t>-</w:t>
      </w:r>
      <w:r w:rsidR="00A6675D" w:rsidRPr="0007021A">
        <w:rPr>
          <w:rFonts w:ascii="Times New Roman" w:hAnsi="Times New Roman"/>
          <w:sz w:val="24"/>
          <w:szCs w:val="24"/>
          <w:lang w:val="sr-Cyrl-CS"/>
        </w:rPr>
        <w:t xml:space="preserve"> </w:t>
      </w:r>
      <w:r w:rsidR="00C97F34" w:rsidRPr="0007021A">
        <w:rPr>
          <w:rFonts w:ascii="Times New Roman" w:hAnsi="Times New Roman"/>
          <w:sz w:val="24"/>
          <w:szCs w:val="24"/>
          <w:lang w:val="sr-Cyrl-CS"/>
        </w:rPr>
        <w:t xml:space="preserve">930.647 литара лкохолног пића до крајњих потрошача у малопродаји, за коју количину су искористили акцизне маркице и </w:t>
      </w:r>
      <w:r w:rsidR="00A26446" w:rsidRPr="0007021A">
        <w:rPr>
          <w:rFonts w:ascii="Times New Roman" w:hAnsi="Times New Roman"/>
          <w:sz w:val="24"/>
          <w:szCs w:val="24"/>
          <w:lang w:val="sr-Cyrl-CS"/>
        </w:rPr>
        <w:t xml:space="preserve">тиме је </w:t>
      </w:r>
      <w:r w:rsidR="00A26446" w:rsidRPr="0007021A">
        <w:rPr>
          <w:rFonts w:ascii="Times New Roman" w:hAnsi="Times New Roman"/>
          <w:sz w:val="24"/>
          <w:szCs w:val="24"/>
          <w:lang w:val="sr-Cyrl-CS"/>
        </w:rPr>
        <w:lastRenderedPageBreak/>
        <w:t>пиће у малопродаји на законит начин обележено акцизним маркицама.Тако су обезбеђене акцизне маркице за знатно већу количину алкохолних пића од количине која је евидентирана у пословним књигама и на коју је обрачуната и плаћена акциза и ПДВ и на тај начин је избегнуто плаћање акцизе и ПДВ у износу од 102.275.370,00 динара.</w:t>
      </w:r>
      <w:r w:rsidR="00A6675D" w:rsidRPr="0007021A">
        <w:rPr>
          <w:rFonts w:ascii="Times New Roman" w:hAnsi="Times New Roman"/>
          <w:sz w:val="24"/>
          <w:szCs w:val="24"/>
          <w:lang w:val="sr-Cyrl-CS"/>
        </w:rPr>
        <w:t xml:space="preserve"> Роба која се продаје у малопродаји наплаћује се преко рачуна, а сва новчана средства се усмеравају предузећу „К.Т.“ као плаћање за робу, док се роба „добијена“ од фантома и перача затвара компензацијом и нема протока новца на рачуну.</w:t>
      </w:r>
      <w:r w:rsidR="00A6675D" w:rsidRPr="0007021A">
        <w:rPr>
          <w:rStyle w:val="FootnoteReference"/>
          <w:rFonts w:ascii="Times New Roman" w:hAnsi="Times New Roman"/>
          <w:color w:val="000000"/>
          <w:sz w:val="24"/>
          <w:szCs w:val="24"/>
          <w:lang w:val="sr-Cyrl-CS"/>
        </w:rPr>
        <w:footnoteReference w:id="555"/>
      </w:r>
    </w:p>
    <w:p w:rsidR="00C857DC" w:rsidRPr="0007021A" w:rsidRDefault="00C857DC" w:rsidP="0007021A">
      <w:pPr>
        <w:ind w:firstLine="708"/>
        <w:jc w:val="both"/>
        <w:rPr>
          <w:rFonts w:ascii="Times New Roman" w:hAnsi="Times New Roman"/>
          <w:bCs/>
          <w:sz w:val="24"/>
          <w:szCs w:val="24"/>
          <w:lang w:val="sr-Cyrl-CS"/>
        </w:rPr>
      </w:pPr>
      <w:r w:rsidRPr="0007021A">
        <w:rPr>
          <w:rFonts w:ascii="Times New Roman" w:hAnsi="Times New Roman"/>
          <w:sz w:val="24"/>
          <w:szCs w:val="24"/>
          <w:lang w:val="sr-Cyrl-CS"/>
        </w:rPr>
        <w:t xml:space="preserve">Према </w:t>
      </w:r>
      <w:r w:rsidR="004D5D9D" w:rsidRPr="0007021A">
        <w:rPr>
          <w:rFonts w:ascii="Times New Roman" w:hAnsi="Times New Roman"/>
          <w:bCs/>
          <w:sz w:val="24"/>
          <w:szCs w:val="24"/>
          <w:lang w:val="sr-Cyrl-CS"/>
        </w:rPr>
        <w:t>мишљењу Министарства финан</w:t>
      </w:r>
      <w:r w:rsidRPr="0007021A">
        <w:rPr>
          <w:rFonts w:ascii="Times New Roman" w:hAnsi="Times New Roman"/>
          <w:bCs/>
          <w:sz w:val="24"/>
          <w:szCs w:val="24"/>
          <w:lang w:val="sr-Cyrl-CS"/>
        </w:rPr>
        <w:t>сија бр.</w:t>
      </w:r>
      <w:r w:rsidRPr="0007021A">
        <w:rPr>
          <w:rFonts w:ascii="Times New Roman" w:hAnsi="Times New Roman"/>
          <w:bCs/>
          <w:sz w:val="24"/>
          <w:szCs w:val="24"/>
        </w:rPr>
        <w:t xml:space="preserve"> 43-00-018/2010-04 </w:t>
      </w:r>
      <w:r w:rsidR="004949B5" w:rsidRPr="0007021A">
        <w:rPr>
          <w:rFonts w:ascii="Times New Roman" w:hAnsi="Times New Roman"/>
          <w:bCs/>
          <w:sz w:val="24"/>
          <w:szCs w:val="24"/>
        </w:rPr>
        <w:t>од</w:t>
      </w:r>
      <w:r w:rsidRPr="0007021A">
        <w:rPr>
          <w:rFonts w:ascii="Times New Roman" w:hAnsi="Times New Roman"/>
          <w:bCs/>
          <w:sz w:val="24"/>
          <w:szCs w:val="24"/>
        </w:rPr>
        <w:t xml:space="preserve"> 19.5.2010. </w:t>
      </w:r>
      <w:r w:rsidR="004949B5" w:rsidRPr="0007021A">
        <w:rPr>
          <w:rFonts w:ascii="Times New Roman" w:hAnsi="Times New Roman"/>
          <w:bCs/>
          <w:sz w:val="24"/>
          <w:szCs w:val="24"/>
        </w:rPr>
        <w:t>године</w:t>
      </w:r>
      <w:r w:rsidRPr="0007021A">
        <w:rPr>
          <w:rFonts w:ascii="Times New Roman" w:hAnsi="Times New Roman"/>
          <w:bCs/>
          <w:sz w:val="24"/>
          <w:szCs w:val="24"/>
          <w:lang w:val="sr-Cyrl-CS"/>
        </w:rPr>
        <w:t xml:space="preserve"> се наводи следеће:</w:t>
      </w:r>
    </w:p>
    <w:p w:rsidR="004D5D9D" w:rsidRPr="0007021A" w:rsidRDefault="00C857DC" w:rsidP="0007021A">
      <w:pPr>
        <w:jc w:val="both"/>
        <w:rPr>
          <w:rFonts w:ascii="Times New Roman" w:hAnsi="Times New Roman"/>
          <w:bCs/>
          <w:sz w:val="24"/>
          <w:szCs w:val="24"/>
          <w:lang w:val="sr-Cyrl-CS"/>
        </w:rPr>
      </w:pPr>
      <w:r w:rsidRPr="0007021A">
        <w:rPr>
          <w:rFonts w:ascii="Times New Roman" w:hAnsi="Times New Roman"/>
          <w:bCs/>
          <w:sz w:val="24"/>
          <w:szCs w:val="24"/>
          <w:lang w:val="sr-Cyrl-CS"/>
        </w:rPr>
        <w:t>„</w:t>
      </w:r>
      <w:r w:rsidR="004949B5" w:rsidRPr="0007021A">
        <w:rPr>
          <w:rFonts w:ascii="Times New Roman" w:hAnsi="Times New Roman"/>
          <w:bCs/>
          <w:sz w:val="24"/>
          <w:szCs w:val="24"/>
        </w:rPr>
        <w:t>Када</w:t>
      </w:r>
      <w:r w:rsidRPr="0007021A">
        <w:rPr>
          <w:rFonts w:ascii="Times New Roman" w:hAnsi="Times New Roman"/>
          <w:bCs/>
          <w:sz w:val="24"/>
          <w:szCs w:val="24"/>
        </w:rPr>
        <w:t xml:space="preserve"> </w:t>
      </w:r>
      <w:r w:rsidR="004949B5" w:rsidRPr="0007021A">
        <w:rPr>
          <w:rFonts w:ascii="Times New Roman" w:hAnsi="Times New Roman"/>
          <w:bCs/>
          <w:sz w:val="24"/>
          <w:szCs w:val="24"/>
        </w:rPr>
        <w:t>се</w:t>
      </w:r>
      <w:r w:rsidRPr="0007021A">
        <w:rPr>
          <w:rFonts w:ascii="Times New Roman" w:hAnsi="Times New Roman"/>
          <w:bCs/>
          <w:sz w:val="24"/>
          <w:szCs w:val="24"/>
        </w:rPr>
        <w:t xml:space="preserve"> </w:t>
      </w:r>
      <w:r w:rsidR="004949B5" w:rsidRPr="0007021A">
        <w:rPr>
          <w:rFonts w:ascii="Times New Roman" w:hAnsi="Times New Roman"/>
          <w:bCs/>
          <w:sz w:val="24"/>
          <w:szCs w:val="24"/>
        </w:rPr>
        <w:t>спроводи</w:t>
      </w:r>
      <w:r w:rsidRPr="0007021A">
        <w:rPr>
          <w:rFonts w:ascii="Times New Roman" w:hAnsi="Times New Roman"/>
          <w:bCs/>
          <w:sz w:val="24"/>
          <w:szCs w:val="24"/>
        </w:rPr>
        <w:t xml:space="preserve"> </w:t>
      </w:r>
      <w:r w:rsidR="004949B5" w:rsidRPr="0007021A">
        <w:rPr>
          <w:rFonts w:ascii="Times New Roman" w:hAnsi="Times New Roman"/>
          <w:bCs/>
          <w:sz w:val="24"/>
          <w:szCs w:val="24"/>
        </w:rPr>
        <w:t>поступак</w:t>
      </w:r>
      <w:r w:rsidRPr="0007021A">
        <w:rPr>
          <w:rFonts w:ascii="Times New Roman" w:hAnsi="Times New Roman"/>
          <w:bCs/>
          <w:sz w:val="24"/>
          <w:szCs w:val="24"/>
        </w:rPr>
        <w:t xml:space="preserve"> </w:t>
      </w:r>
      <w:r w:rsidR="004949B5" w:rsidRPr="0007021A">
        <w:rPr>
          <w:rFonts w:ascii="Times New Roman" w:hAnsi="Times New Roman"/>
          <w:bCs/>
          <w:sz w:val="24"/>
          <w:szCs w:val="24"/>
        </w:rPr>
        <w:t>пасивног</w:t>
      </w:r>
      <w:r w:rsidRPr="0007021A">
        <w:rPr>
          <w:rFonts w:ascii="Times New Roman" w:hAnsi="Times New Roman"/>
          <w:bCs/>
          <w:sz w:val="24"/>
          <w:szCs w:val="24"/>
        </w:rPr>
        <w:t xml:space="preserve"> </w:t>
      </w:r>
      <w:r w:rsidR="004949B5" w:rsidRPr="0007021A">
        <w:rPr>
          <w:rFonts w:ascii="Times New Roman" w:hAnsi="Times New Roman"/>
          <w:bCs/>
          <w:sz w:val="24"/>
          <w:szCs w:val="24"/>
        </w:rPr>
        <w:t>оплемењивања</w:t>
      </w:r>
      <w:r w:rsidRPr="0007021A">
        <w:rPr>
          <w:rFonts w:ascii="Times New Roman" w:hAnsi="Times New Roman"/>
          <w:bCs/>
          <w:sz w:val="24"/>
          <w:szCs w:val="24"/>
        </w:rPr>
        <w:t xml:space="preserve"> </w:t>
      </w:r>
      <w:r w:rsidR="004949B5" w:rsidRPr="0007021A">
        <w:rPr>
          <w:rFonts w:ascii="Times New Roman" w:hAnsi="Times New Roman"/>
          <w:bCs/>
          <w:sz w:val="24"/>
          <w:szCs w:val="24"/>
        </w:rPr>
        <w:t>цигарета</w:t>
      </w:r>
      <w:r w:rsidRPr="0007021A">
        <w:rPr>
          <w:rFonts w:ascii="Times New Roman" w:hAnsi="Times New Roman"/>
          <w:bCs/>
          <w:sz w:val="24"/>
          <w:szCs w:val="24"/>
        </w:rPr>
        <w:t xml:space="preserve"> </w:t>
      </w:r>
      <w:r w:rsidR="004949B5" w:rsidRPr="0007021A">
        <w:rPr>
          <w:rFonts w:ascii="Times New Roman" w:hAnsi="Times New Roman"/>
          <w:bCs/>
          <w:sz w:val="24"/>
          <w:szCs w:val="24"/>
        </w:rPr>
        <w:t>одобрен</w:t>
      </w:r>
      <w:r w:rsidRPr="0007021A">
        <w:rPr>
          <w:rFonts w:ascii="Times New Roman" w:hAnsi="Times New Roman"/>
          <w:bCs/>
          <w:sz w:val="24"/>
          <w:szCs w:val="24"/>
        </w:rPr>
        <w:t xml:space="preserve"> </w:t>
      </w:r>
      <w:r w:rsidR="004949B5" w:rsidRPr="0007021A">
        <w:rPr>
          <w:rFonts w:ascii="Times New Roman" w:hAnsi="Times New Roman"/>
          <w:bCs/>
          <w:sz w:val="24"/>
          <w:szCs w:val="24"/>
        </w:rPr>
        <w:t>ради</w:t>
      </w:r>
      <w:r w:rsidRPr="0007021A">
        <w:rPr>
          <w:rFonts w:ascii="Times New Roman" w:hAnsi="Times New Roman"/>
          <w:bCs/>
          <w:sz w:val="24"/>
          <w:szCs w:val="24"/>
        </w:rPr>
        <w:t xml:space="preserve"> </w:t>
      </w:r>
      <w:r w:rsidR="004949B5" w:rsidRPr="0007021A">
        <w:rPr>
          <w:rFonts w:ascii="Times New Roman" w:hAnsi="Times New Roman"/>
          <w:bCs/>
          <w:sz w:val="24"/>
          <w:szCs w:val="24"/>
        </w:rPr>
        <w:t>поправке</w:t>
      </w:r>
      <w:r w:rsidRPr="0007021A">
        <w:rPr>
          <w:rFonts w:ascii="Times New Roman" w:hAnsi="Times New Roman"/>
          <w:bCs/>
          <w:sz w:val="24"/>
          <w:szCs w:val="24"/>
        </w:rPr>
        <w:t xml:space="preserve"> </w:t>
      </w:r>
      <w:r w:rsidR="004949B5" w:rsidRPr="0007021A">
        <w:rPr>
          <w:rFonts w:ascii="Times New Roman" w:hAnsi="Times New Roman"/>
          <w:bCs/>
          <w:sz w:val="24"/>
          <w:szCs w:val="24"/>
        </w:rPr>
        <w:t>привремено</w:t>
      </w:r>
      <w:r w:rsidRPr="0007021A">
        <w:rPr>
          <w:rFonts w:ascii="Times New Roman" w:hAnsi="Times New Roman"/>
          <w:bCs/>
          <w:sz w:val="24"/>
          <w:szCs w:val="24"/>
        </w:rPr>
        <w:t xml:space="preserve"> </w:t>
      </w:r>
      <w:r w:rsidR="004949B5" w:rsidRPr="0007021A">
        <w:rPr>
          <w:rFonts w:ascii="Times New Roman" w:hAnsi="Times New Roman"/>
          <w:bCs/>
          <w:sz w:val="24"/>
          <w:szCs w:val="24"/>
        </w:rPr>
        <w:t>извезене</w:t>
      </w:r>
      <w:r w:rsidRPr="0007021A">
        <w:rPr>
          <w:rFonts w:ascii="Times New Roman" w:hAnsi="Times New Roman"/>
          <w:bCs/>
          <w:sz w:val="24"/>
          <w:szCs w:val="24"/>
        </w:rPr>
        <w:t xml:space="preserve"> </w:t>
      </w:r>
      <w:r w:rsidR="004949B5" w:rsidRPr="0007021A">
        <w:rPr>
          <w:rFonts w:ascii="Times New Roman" w:hAnsi="Times New Roman"/>
          <w:bCs/>
          <w:sz w:val="24"/>
          <w:szCs w:val="24"/>
        </w:rPr>
        <w:t>робе</w:t>
      </w:r>
      <w:r w:rsidRPr="0007021A">
        <w:rPr>
          <w:rFonts w:ascii="Times New Roman" w:hAnsi="Times New Roman"/>
          <w:bCs/>
          <w:sz w:val="24"/>
          <w:szCs w:val="24"/>
        </w:rPr>
        <w:t xml:space="preserve"> (</w:t>
      </w:r>
      <w:r w:rsidR="004949B5" w:rsidRPr="0007021A">
        <w:rPr>
          <w:rFonts w:ascii="Times New Roman" w:hAnsi="Times New Roman"/>
          <w:bCs/>
          <w:sz w:val="24"/>
          <w:szCs w:val="24"/>
        </w:rPr>
        <w:t>бесплатна</w:t>
      </w:r>
      <w:r w:rsidRPr="0007021A">
        <w:rPr>
          <w:rFonts w:ascii="Times New Roman" w:hAnsi="Times New Roman"/>
          <w:bCs/>
          <w:sz w:val="24"/>
          <w:szCs w:val="24"/>
        </w:rPr>
        <w:t xml:space="preserve"> </w:t>
      </w:r>
      <w:r w:rsidR="004949B5" w:rsidRPr="0007021A">
        <w:rPr>
          <w:rFonts w:ascii="Times New Roman" w:hAnsi="Times New Roman"/>
          <w:bCs/>
          <w:sz w:val="24"/>
          <w:szCs w:val="24"/>
        </w:rPr>
        <w:t>поправка</w:t>
      </w:r>
      <w:r w:rsidRPr="0007021A">
        <w:rPr>
          <w:rFonts w:ascii="Times New Roman" w:hAnsi="Times New Roman"/>
          <w:bCs/>
          <w:sz w:val="24"/>
          <w:szCs w:val="24"/>
        </w:rPr>
        <w:t xml:space="preserve"> </w:t>
      </w:r>
      <w:r w:rsidR="004949B5" w:rsidRPr="0007021A">
        <w:rPr>
          <w:rFonts w:ascii="Times New Roman" w:hAnsi="Times New Roman"/>
          <w:bCs/>
          <w:sz w:val="24"/>
          <w:szCs w:val="24"/>
        </w:rPr>
        <w:t>целофана</w:t>
      </w:r>
      <w:r w:rsidRPr="0007021A">
        <w:rPr>
          <w:rFonts w:ascii="Times New Roman" w:hAnsi="Times New Roman"/>
          <w:bCs/>
          <w:sz w:val="24"/>
          <w:szCs w:val="24"/>
        </w:rPr>
        <w:t xml:space="preserve"> </w:t>
      </w:r>
      <w:r w:rsidR="004949B5" w:rsidRPr="0007021A">
        <w:rPr>
          <w:rFonts w:ascii="Times New Roman" w:hAnsi="Times New Roman"/>
          <w:bCs/>
          <w:sz w:val="24"/>
          <w:szCs w:val="24"/>
        </w:rPr>
        <w:t>на</w:t>
      </w:r>
      <w:r w:rsidRPr="0007021A">
        <w:rPr>
          <w:rFonts w:ascii="Times New Roman" w:hAnsi="Times New Roman"/>
          <w:bCs/>
          <w:sz w:val="24"/>
          <w:szCs w:val="24"/>
        </w:rPr>
        <w:t xml:space="preserve"> </w:t>
      </w:r>
      <w:r w:rsidR="004949B5" w:rsidRPr="0007021A">
        <w:rPr>
          <w:rFonts w:ascii="Times New Roman" w:hAnsi="Times New Roman"/>
          <w:bCs/>
          <w:sz w:val="24"/>
          <w:szCs w:val="24"/>
        </w:rPr>
        <w:t>цигаретама</w:t>
      </w:r>
      <w:r w:rsidRPr="0007021A">
        <w:rPr>
          <w:rFonts w:ascii="Times New Roman" w:hAnsi="Times New Roman"/>
          <w:bCs/>
          <w:sz w:val="24"/>
          <w:szCs w:val="24"/>
        </w:rPr>
        <w:t xml:space="preserve">, </w:t>
      </w:r>
      <w:r w:rsidR="004949B5" w:rsidRPr="0007021A">
        <w:rPr>
          <w:rFonts w:ascii="Times New Roman" w:hAnsi="Times New Roman"/>
          <w:bCs/>
          <w:sz w:val="24"/>
          <w:szCs w:val="24"/>
        </w:rPr>
        <w:t>при</w:t>
      </w:r>
      <w:r w:rsidRPr="0007021A">
        <w:rPr>
          <w:rFonts w:ascii="Times New Roman" w:hAnsi="Times New Roman"/>
          <w:bCs/>
          <w:sz w:val="24"/>
          <w:szCs w:val="24"/>
        </w:rPr>
        <w:t xml:space="preserve"> </w:t>
      </w:r>
      <w:r w:rsidR="004949B5" w:rsidRPr="0007021A">
        <w:rPr>
          <w:rFonts w:ascii="Times New Roman" w:hAnsi="Times New Roman"/>
          <w:bCs/>
          <w:sz w:val="24"/>
          <w:szCs w:val="24"/>
        </w:rPr>
        <w:t>чему</w:t>
      </w:r>
      <w:r w:rsidRPr="0007021A">
        <w:rPr>
          <w:rFonts w:ascii="Times New Roman" w:hAnsi="Times New Roman"/>
          <w:bCs/>
          <w:sz w:val="24"/>
          <w:szCs w:val="24"/>
        </w:rPr>
        <w:t xml:space="preserve"> </w:t>
      </w:r>
      <w:r w:rsidR="004949B5" w:rsidRPr="0007021A">
        <w:rPr>
          <w:rFonts w:ascii="Times New Roman" w:hAnsi="Times New Roman"/>
          <w:bCs/>
          <w:sz w:val="24"/>
          <w:szCs w:val="24"/>
        </w:rPr>
        <w:t>се</w:t>
      </w:r>
      <w:r w:rsidRPr="0007021A">
        <w:rPr>
          <w:rFonts w:ascii="Times New Roman" w:hAnsi="Times New Roman"/>
          <w:bCs/>
          <w:sz w:val="24"/>
          <w:szCs w:val="24"/>
        </w:rPr>
        <w:t xml:space="preserve"> </w:t>
      </w:r>
      <w:r w:rsidR="004949B5" w:rsidRPr="0007021A">
        <w:rPr>
          <w:rFonts w:ascii="Times New Roman" w:hAnsi="Times New Roman"/>
          <w:bCs/>
          <w:sz w:val="24"/>
          <w:szCs w:val="24"/>
        </w:rPr>
        <w:t>не</w:t>
      </w:r>
      <w:r w:rsidRPr="0007021A">
        <w:rPr>
          <w:rFonts w:ascii="Times New Roman" w:hAnsi="Times New Roman"/>
          <w:bCs/>
          <w:sz w:val="24"/>
          <w:szCs w:val="24"/>
        </w:rPr>
        <w:t xml:space="preserve"> </w:t>
      </w:r>
      <w:r w:rsidR="004949B5" w:rsidRPr="0007021A">
        <w:rPr>
          <w:rFonts w:ascii="Times New Roman" w:hAnsi="Times New Roman"/>
          <w:bCs/>
          <w:sz w:val="24"/>
          <w:szCs w:val="24"/>
        </w:rPr>
        <w:t>одлепљују</w:t>
      </w:r>
      <w:r w:rsidRPr="0007021A">
        <w:rPr>
          <w:rFonts w:ascii="Times New Roman" w:hAnsi="Times New Roman"/>
          <w:bCs/>
          <w:sz w:val="24"/>
          <w:szCs w:val="24"/>
        </w:rPr>
        <w:t xml:space="preserve"> </w:t>
      </w:r>
      <w:r w:rsidR="004949B5" w:rsidRPr="0007021A">
        <w:rPr>
          <w:rFonts w:ascii="Times New Roman" w:hAnsi="Times New Roman"/>
          <w:bCs/>
          <w:sz w:val="24"/>
          <w:szCs w:val="24"/>
        </w:rPr>
        <w:t>претходно</w:t>
      </w:r>
      <w:r w:rsidRPr="0007021A">
        <w:rPr>
          <w:rFonts w:ascii="Times New Roman" w:hAnsi="Times New Roman"/>
          <w:bCs/>
          <w:sz w:val="24"/>
          <w:szCs w:val="24"/>
        </w:rPr>
        <w:t xml:space="preserve"> </w:t>
      </w:r>
      <w:r w:rsidR="004949B5" w:rsidRPr="0007021A">
        <w:rPr>
          <w:rFonts w:ascii="Times New Roman" w:hAnsi="Times New Roman"/>
          <w:bCs/>
          <w:sz w:val="24"/>
          <w:szCs w:val="24"/>
        </w:rPr>
        <w:t>обележене</w:t>
      </w:r>
      <w:r w:rsidRPr="0007021A">
        <w:rPr>
          <w:rFonts w:ascii="Times New Roman" w:hAnsi="Times New Roman"/>
          <w:bCs/>
          <w:sz w:val="24"/>
          <w:szCs w:val="24"/>
        </w:rPr>
        <w:t xml:space="preserve"> </w:t>
      </w:r>
      <w:r w:rsidR="004949B5" w:rsidRPr="0007021A">
        <w:rPr>
          <w:rFonts w:ascii="Times New Roman" w:hAnsi="Times New Roman"/>
          <w:bCs/>
          <w:sz w:val="24"/>
          <w:szCs w:val="24"/>
        </w:rPr>
        <w:t>контролне</w:t>
      </w:r>
      <w:r w:rsidRPr="0007021A">
        <w:rPr>
          <w:rFonts w:ascii="Times New Roman" w:hAnsi="Times New Roman"/>
          <w:bCs/>
          <w:sz w:val="24"/>
          <w:szCs w:val="24"/>
        </w:rPr>
        <w:t xml:space="preserve"> </w:t>
      </w:r>
      <w:r w:rsidR="004949B5" w:rsidRPr="0007021A">
        <w:rPr>
          <w:rFonts w:ascii="Times New Roman" w:hAnsi="Times New Roman"/>
          <w:bCs/>
          <w:sz w:val="24"/>
          <w:szCs w:val="24"/>
        </w:rPr>
        <w:t>акцизне</w:t>
      </w:r>
      <w:r w:rsidRPr="0007021A">
        <w:rPr>
          <w:rFonts w:ascii="Times New Roman" w:hAnsi="Times New Roman"/>
          <w:bCs/>
          <w:sz w:val="24"/>
          <w:szCs w:val="24"/>
        </w:rPr>
        <w:t xml:space="preserve"> </w:t>
      </w:r>
      <w:r w:rsidR="004949B5" w:rsidRPr="0007021A">
        <w:rPr>
          <w:rFonts w:ascii="Times New Roman" w:hAnsi="Times New Roman"/>
          <w:bCs/>
          <w:sz w:val="24"/>
          <w:szCs w:val="24"/>
        </w:rPr>
        <w:t>маркице</w:t>
      </w:r>
      <w:r w:rsidRPr="0007021A">
        <w:rPr>
          <w:rFonts w:ascii="Times New Roman" w:hAnsi="Times New Roman"/>
          <w:bCs/>
          <w:sz w:val="24"/>
          <w:szCs w:val="24"/>
        </w:rPr>
        <w:t xml:space="preserve">), </w:t>
      </w:r>
      <w:r w:rsidR="004949B5" w:rsidRPr="0007021A">
        <w:rPr>
          <w:rFonts w:ascii="Times New Roman" w:hAnsi="Times New Roman"/>
          <w:bCs/>
          <w:sz w:val="24"/>
          <w:szCs w:val="24"/>
        </w:rPr>
        <w:t>приликом</w:t>
      </w:r>
      <w:r w:rsidRPr="0007021A">
        <w:rPr>
          <w:rFonts w:ascii="Times New Roman" w:hAnsi="Times New Roman"/>
          <w:bCs/>
          <w:sz w:val="24"/>
          <w:szCs w:val="24"/>
        </w:rPr>
        <w:t xml:space="preserve"> </w:t>
      </w:r>
      <w:r w:rsidR="004949B5" w:rsidRPr="0007021A">
        <w:rPr>
          <w:rFonts w:ascii="Times New Roman" w:hAnsi="Times New Roman"/>
          <w:bCs/>
          <w:sz w:val="24"/>
          <w:szCs w:val="24"/>
        </w:rPr>
        <w:t>поновног</w:t>
      </w:r>
      <w:r w:rsidRPr="0007021A">
        <w:rPr>
          <w:rFonts w:ascii="Times New Roman" w:hAnsi="Times New Roman"/>
          <w:bCs/>
          <w:sz w:val="24"/>
          <w:szCs w:val="24"/>
        </w:rPr>
        <w:t xml:space="preserve"> </w:t>
      </w:r>
      <w:r w:rsidR="004949B5" w:rsidRPr="0007021A">
        <w:rPr>
          <w:rFonts w:ascii="Times New Roman" w:hAnsi="Times New Roman"/>
          <w:bCs/>
          <w:sz w:val="24"/>
          <w:szCs w:val="24"/>
        </w:rPr>
        <w:t>увоза</w:t>
      </w:r>
      <w:r w:rsidRPr="0007021A">
        <w:rPr>
          <w:rFonts w:ascii="Times New Roman" w:hAnsi="Times New Roman"/>
          <w:bCs/>
          <w:sz w:val="24"/>
          <w:szCs w:val="24"/>
        </w:rPr>
        <w:t xml:space="preserve"> </w:t>
      </w:r>
      <w:r w:rsidR="004949B5" w:rsidRPr="0007021A">
        <w:rPr>
          <w:rFonts w:ascii="Times New Roman" w:hAnsi="Times New Roman"/>
          <w:bCs/>
          <w:sz w:val="24"/>
          <w:szCs w:val="24"/>
        </w:rPr>
        <w:t>тих</w:t>
      </w:r>
      <w:r w:rsidRPr="0007021A">
        <w:rPr>
          <w:rFonts w:ascii="Times New Roman" w:hAnsi="Times New Roman"/>
          <w:bCs/>
          <w:sz w:val="24"/>
          <w:szCs w:val="24"/>
        </w:rPr>
        <w:t xml:space="preserve"> </w:t>
      </w:r>
      <w:r w:rsidR="004949B5" w:rsidRPr="0007021A">
        <w:rPr>
          <w:rFonts w:ascii="Times New Roman" w:hAnsi="Times New Roman"/>
          <w:bCs/>
          <w:sz w:val="24"/>
          <w:szCs w:val="24"/>
        </w:rPr>
        <w:t>цигарета</w:t>
      </w:r>
      <w:r w:rsidRPr="0007021A">
        <w:rPr>
          <w:rFonts w:ascii="Times New Roman" w:hAnsi="Times New Roman"/>
          <w:bCs/>
          <w:sz w:val="24"/>
          <w:szCs w:val="24"/>
        </w:rPr>
        <w:t xml:space="preserve">, </w:t>
      </w:r>
      <w:r w:rsidR="004949B5" w:rsidRPr="0007021A">
        <w:rPr>
          <w:rFonts w:ascii="Times New Roman" w:hAnsi="Times New Roman"/>
          <w:bCs/>
          <w:sz w:val="24"/>
          <w:szCs w:val="24"/>
        </w:rPr>
        <w:t>не</w:t>
      </w:r>
      <w:r w:rsidRPr="0007021A">
        <w:rPr>
          <w:rFonts w:ascii="Times New Roman" w:hAnsi="Times New Roman"/>
          <w:bCs/>
          <w:sz w:val="24"/>
          <w:szCs w:val="24"/>
        </w:rPr>
        <w:t xml:space="preserve"> </w:t>
      </w:r>
      <w:r w:rsidR="004949B5" w:rsidRPr="0007021A">
        <w:rPr>
          <w:rFonts w:ascii="Times New Roman" w:hAnsi="Times New Roman"/>
          <w:bCs/>
          <w:sz w:val="24"/>
          <w:szCs w:val="24"/>
        </w:rPr>
        <w:t>обрачунава</w:t>
      </w:r>
      <w:r w:rsidRPr="0007021A">
        <w:rPr>
          <w:rFonts w:ascii="Times New Roman" w:hAnsi="Times New Roman"/>
          <w:bCs/>
          <w:sz w:val="24"/>
          <w:szCs w:val="24"/>
        </w:rPr>
        <w:t xml:space="preserve"> </w:t>
      </w:r>
      <w:r w:rsidR="004949B5" w:rsidRPr="0007021A">
        <w:rPr>
          <w:rFonts w:ascii="Times New Roman" w:hAnsi="Times New Roman"/>
          <w:bCs/>
          <w:sz w:val="24"/>
          <w:szCs w:val="24"/>
        </w:rPr>
        <w:t>се</w:t>
      </w:r>
      <w:r w:rsidRPr="0007021A">
        <w:rPr>
          <w:rFonts w:ascii="Times New Roman" w:hAnsi="Times New Roman"/>
          <w:bCs/>
          <w:sz w:val="24"/>
          <w:szCs w:val="24"/>
        </w:rPr>
        <w:t xml:space="preserve"> </w:t>
      </w:r>
      <w:r w:rsidR="004949B5" w:rsidRPr="0007021A">
        <w:rPr>
          <w:rFonts w:ascii="Times New Roman" w:hAnsi="Times New Roman"/>
          <w:bCs/>
          <w:sz w:val="24"/>
          <w:szCs w:val="24"/>
        </w:rPr>
        <w:t>и</w:t>
      </w:r>
      <w:r w:rsidRPr="0007021A">
        <w:rPr>
          <w:rFonts w:ascii="Times New Roman" w:hAnsi="Times New Roman"/>
          <w:bCs/>
          <w:sz w:val="24"/>
          <w:szCs w:val="24"/>
        </w:rPr>
        <w:t xml:space="preserve"> </w:t>
      </w:r>
      <w:r w:rsidR="004949B5" w:rsidRPr="0007021A">
        <w:rPr>
          <w:rFonts w:ascii="Times New Roman" w:hAnsi="Times New Roman"/>
          <w:bCs/>
          <w:sz w:val="24"/>
          <w:szCs w:val="24"/>
        </w:rPr>
        <w:t>не</w:t>
      </w:r>
      <w:r w:rsidRPr="0007021A">
        <w:rPr>
          <w:rFonts w:ascii="Times New Roman" w:hAnsi="Times New Roman"/>
          <w:bCs/>
          <w:sz w:val="24"/>
          <w:szCs w:val="24"/>
        </w:rPr>
        <w:t xml:space="preserve"> </w:t>
      </w:r>
      <w:r w:rsidR="004949B5" w:rsidRPr="0007021A">
        <w:rPr>
          <w:rFonts w:ascii="Times New Roman" w:hAnsi="Times New Roman"/>
          <w:bCs/>
          <w:sz w:val="24"/>
          <w:szCs w:val="24"/>
        </w:rPr>
        <w:t>плаћа</w:t>
      </w:r>
      <w:r w:rsidRPr="0007021A">
        <w:rPr>
          <w:rFonts w:ascii="Times New Roman" w:hAnsi="Times New Roman"/>
          <w:bCs/>
          <w:sz w:val="24"/>
          <w:szCs w:val="24"/>
        </w:rPr>
        <w:t xml:space="preserve"> </w:t>
      </w:r>
      <w:r w:rsidR="004949B5" w:rsidRPr="0007021A">
        <w:rPr>
          <w:rFonts w:ascii="Times New Roman" w:hAnsi="Times New Roman"/>
          <w:bCs/>
          <w:sz w:val="24"/>
          <w:szCs w:val="24"/>
        </w:rPr>
        <w:t>акциза</w:t>
      </w:r>
      <w:r w:rsidRPr="0007021A">
        <w:rPr>
          <w:rFonts w:ascii="Times New Roman" w:hAnsi="Times New Roman"/>
          <w:bCs/>
          <w:sz w:val="24"/>
          <w:szCs w:val="24"/>
        </w:rPr>
        <w:t xml:space="preserve">, </w:t>
      </w:r>
      <w:r w:rsidR="004949B5" w:rsidRPr="0007021A">
        <w:rPr>
          <w:rFonts w:ascii="Times New Roman" w:hAnsi="Times New Roman"/>
          <w:bCs/>
          <w:sz w:val="24"/>
          <w:szCs w:val="24"/>
        </w:rPr>
        <w:t>с</w:t>
      </w:r>
      <w:r w:rsidRPr="0007021A">
        <w:rPr>
          <w:rFonts w:ascii="Times New Roman" w:hAnsi="Times New Roman"/>
          <w:bCs/>
          <w:sz w:val="24"/>
          <w:szCs w:val="24"/>
        </w:rPr>
        <w:t xml:space="preserve"> </w:t>
      </w:r>
      <w:r w:rsidR="004949B5" w:rsidRPr="0007021A">
        <w:rPr>
          <w:rFonts w:ascii="Times New Roman" w:hAnsi="Times New Roman"/>
          <w:bCs/>
          <w:sz w:val="24"/>
          <w:szCs w:val="24"/>
        </w:rPr>
        <w:t>обзиром</w:t>
      </w:r>
      <w:r w:rsidRPr="0007021A">
        <w:rPr>
          <w:rFonts w:ascii="Times New Roman" w:hAnsi="Times New Roman"/>
          <w:bCs/>
          <w:sz w:val="24"/>
          <w:szCs w:val="24"/>
        </w:rPr>
        <w:t xml:space="preserve"> </w:t>
      </w:r>
      <w:r w:rsidR="004949B5" w:rsidRPr="0007021A">
        <w:rPr>
          <w:rFonts w:ascii="Times New Roman" w:hAnsi="Times New Roman"/>
          <w:bCs/>
          <w:sz w:val="24"/>
          <w:szCs w:val="24"/>
        </w:rPr>
        <w:t>да</w:t>
      </w:r>
      <w:r w:rsidRPr="0007021A">
        <w:rPr>
          <w:rFonts w:ascii="Times New Roman" w:hAnsi="Times New Roman"/>
          <w:bCs/>
          <w:sz w:val="24"/>
          <w:szCs w:val="24"/>
        </w:rPr>
        <w:t xml:space="preserve"> </w:t>
      </w:r>
      <w:r w:rsidR="004949B5" w:rsidRPr="0007021A">
        <w:rPr>
          <w:rFonts w:ascii="Times New Roman" w:hAnsi="Times New Roman"/>
          <w:bCs/>
          <w:sz w:val="24"/>
          <w:szCs w:val="24"/>
        </w:rPr>
        <w:t>је</w:t>
      </w:r>
      <w:r w:rsidRPr="0007021A">
        <w:rPr>
          <w:rFonts w:ascii="Times New Roman" w:hAnsi="Times New Roman"/>
          <w:bCs/>
          <w:sz w:val="24"/>
          <w:szCs w:val="24"/>
        </w:rPr>
        <w:t xml:space="preserve"> </w:t>
      </w:r>
      <w:r w:rsidR="004949B5" w:rsidRPr="0007021A">
        <w:rPr>
          <w:rFonts w:ascii="Times New Roman" w:hAnsi="Times New Roman"/>
          <w:bCs/>
          <w:sz w:val="24"/>
          <w:szCs w:val="24"/>
        </w:rPr>
        <w:t>на</w:t>
      </w:r>
      <w:r w:rsidRPr="0007021A">
        <w:rPr>
          <w:rFonts w:ascii="Times New Roman" w:hAnsi="Times New Roman"/>
          <w:bCs/>
          <w:sz w:val="24"/>
          <w:szCs w:val="24"/>
        </w:rPr>
        <w:t xml:space="preserve"> </w:t>
      </w:r>
      <w:r w:rsidR="004949B5" w:rsidRPr="0007021A">
        <w:rPr>
          <w:rFonts w:ascii="Times New Roman" w:hAnsi="Times New Roman"/>
          <w:bCs/>
          <w:sz w:val="24"/>
          <w:szCs w:val="24"/>
        </w:rPr>
        <w:t>исте</w:t>
      </w:r>
      <w:r w:rsidRPr="0007021A">
        <w:rPr>
          <w:rFonts w:ascii="Times New Roman" w:hAnsi="Times New Roman"/>
          <w:bCs/>
          <w:sz w:val="24"/>
          <w:szCs w:val="24"/>
        </w:rPr>
        <w:t xml:space="preserve"> </w:t>
      </w:r>
      <w:r w:rsidR="004949B5" w:rsidRPr="0007021A">
        <w:rPr>
          <w:rFonts w:ascii="Times New Roman" w:hAnsi="Times New Roman"/>
          <w:bCs/>
          <w:sz w:val="24"/>
          <w:szCs w:val="24"/>
        </w:rPr>
        <w:t>већ</w:t>
      </w:r>
      <w:r w:rsidRPr="0007021A">
        <w:rPr>
          <w:rFonts w:ascii="Times New Roman" w:hAnsi="Times New Roman"/>
          <w:bCs/>
          <w:sz w:val="24"/>
          <w:szCs w:val="24"/>
        </w:rPr>
        <w:t xml:space="preserve"> </w:t>
      </w:r>
      <w:r w:rsidR="004949B5" w:rsidRPr="0007021A">
        <w:rPr>
          <w:rFonts w:ascii="Times New Roman" w:hAnsi="Times New Roman"/>
          <w:bCs/>
          <w:sz w:val="24"/>
          <w:szCs w:val="24"/>
        </w:rPr>
        <w:t>обрачуната</w:t>
      </w:r>
      <w:r w:rsidRPr="0007021A">
        <w:rPr>
          <w:rFonts w:ascii="Times New Roman" w:hAnsi="Times New Roman"/>
          <w:bCs/>
          <w:sz w:val="24"/>
          <w:szCs w:val="24"/>
        </w:rPr>
        <w:t xml:space="preserve"> </w:t>
      </w:r>
      <w:r w:rsidR="004949B5" w:rsidRPr="0007021A">
        <w:rPr>
          <w:rFonts w:ascii="Times New Roman" w:hAnsi="Times New Roman"/>
          <w:bCs/>
          <w:sz w:val="24"/>
          <w:szCs w:val="24"/>
        </w:rPr>
        <w:t>и</w:t>
      </w:r>
      <w:r w:rsidRPr="0007021A">
        <w:rPr>
          <w:rFonts w:ascii="Times New Roman" w:hAnsi="Times New Roman"/>
          <w:bCs/>
          <w:sz w:val="24"/>
          <w:szCs w:val="24"/>
        </w:rPr>
        <w:t xml:space="preserve"> </w:t>
      </w:r>
      <w:r w:rsidR="004949B5" w:rsidRPr="0007021A">
        <w:rPr>
          <w:rFonts w:ascii="Times New Roman" w:hAnsi="Times New Roman"/>
          <w:bCs/>
          <w:sz w:val="24"/>
          <w:szCs w:val="24"/>
        </w:rPr>
        <w:t>плаћена</w:t>
      </w:r>
      <w:r w:rsidRPr="0007021A">
        <w:rPr>
          <w:rFonts w:ascii="Times New Roman" w:hAnsi="Times New Roman"/>
          <w:bCs/>
          <w:sz w:val="24"/>
          <w:szCs w:val="24"/>
        </w:rPr>
        <w:t xml:space="preserve">. </w:t>
      </w:r>
      <w:r w:rsidR="004949B5" w:rsidRPr="0007021A">
        <w:rPr>
          <w:rFonts w:ascii="Times New Roman" w:hAnsi="Times New Roman"/>
          <w:bCs/>
          <w:sz w:val="24"/>
          <w:szCs w:val="24"/>
        </w:rPr>
        <w:t>У</w:t>
      </w:r>
      <w:r w:rsidRPr="0007021A">
        <w:rPr>
          <w:rFonts w:ascii="Times New Roman" w:hAnsi="Times New Roman"/>
          <w:bCs/>
          <w:sz w:val="24"/>
          <w:szCs w:val="24"/>
        </w:rPr>
        <w:t xml:space="preserve"> </w:t>
      </w:r>
      <w:r w:rsidR="004949B5" w:rsidRPr="0007021A">
        <w:rPr>
          <w:rFonts w:ascii="Times New Roman" w:hAnsi="Times New Roman"/>
          <w:bCs/>
          <w:sz w:val="24"/>
          <w:szCs w:val="24"/>
        </w:rPr>
        <w:t>случају</w:t>
      </w:r>
      <w:r w:rsidRPr="0007021A">
        <w:rPr>
          <w:rFonts w:ascii="Times New Roman" w:hAnsi="Times New Roman"/>
          <w:bCs/>
          <w:sz w:val="24"/>
          <w:szCs w:val="24"/>
        </w:rPr>
        <w:t xml:space="preserve"> </w:t>
      </w:r>
      <w:r w:rsidR="004949B5" w:rsidRPr="0007021A">
        <w:rPr>
          <w:rFonts w:ascii="Times New Roman" w:hAnsi="Times New Roman"/>
          <w:bCs/>
          <w:sz w:val="24"/>
          <w:szCs w:val="24"/>
        </w:rPr>
        <w:t>када</w:t>
      </w:r>
      <w:r w:rsidRPr="0007021A">
        <w:rPr>
          <w:rFonts w:ascii="Times New Roman" w:hAnsi="Times New Roman"/>
          <w:bCs/>
          <w:sz w:val="24"/>
          <w:szCs w:val="24"/>
        </w:rPr>
        <w:t xml:space="preserve"> </w:t>
      </w:r>
      <w:r w:rsidR="004949B5" w:rsidRPr="0007021A">
        <w:rPr>
          <w:rFonts w:ascii="Times New Roman" w:hAnsi="Times New Roman"/>
          <w:bCs/>
          <w:sz w:val="24"/>
          <w:szCs w:val="24"/>
        </w:rPr>
        <w:t>се</w:t>
      </w:r>
      <w:r w:rsidRPr="0007021A">
        <w:rPr>
          <w:rFonts w:ascii="Times New Roman" w:hAnsi="Times New Roman"/>
          <w:bCs/>
          <w:sz w:val="24"/>
          <w:szCs w:val="24"/>
        </w:rPr>
        <w:t xml:space="preserve"> </w:t>
      </w:r>
      <w:r w:rsidR="004949B5" w:rsidRPr="0007021A">
        <w:rPr>
          <w:rFonts w:ascii="Times New Roman" w:hAnsi="Times New Roman"/>
          <w:bCs/>
          <w:sz w:val="24"/>
          <w:szCs w:val="24"/>
        </w:rPr>
        <w:t>спроводи</w:t>
      </w:r>
      <w:r w:rsidRPr="0007021A">
        <w:rPr>
          <w:rFonts w:ascii="Times New Roman" w:hAnsi="Times New Roman"/>
          <w:bCs/>
          <w:sz w:val="24"/>
          <w:szCs w:val="24"/>
        </w:rPr>
        <w:t xml:space="preserve"> </w:t>
      </w:r>
      <w:r w:rsidR="004949B5" w:rsidRPr="0007021A">
        <w:rPr>
          <w:rFonts w:ascii="Times New Roman" w:hAnsi="Times New Roman"/>
          <w:bCs/>
          <w:sz w:val="24"/>
          <w:szCs w:val="24"/>
        </w:rPr>
        <w:t>поступак</w:t>
      </w:r>
      <w:r w:rsidRPr="0007021A">
        <w:rPr>
          <w:rFonts w:ascii="Times New Roman" w:hAnsi="Times New Roman"/>
          <w:bCs/>
          <w:sz w:val="24"/>
          <w:szCs w:val="24"/>
        </w:rPr>
        <w:t xml:space="preserve"> </w:t>
      </w:r>
      <w:r w:rsidR="004949B5" w:rsidRPr="0007021A">
        <w:rPr>
          <w:rFonts w:ascii="Times New Roman" w:hAnsi="Times New Roman"/>
          <w:bCs/>
          <w:sz w:val="24"/>
          <w:szCs w:val="24"/>
        </w:rPr>
        <w:t>активног</w:t>
      </w:r>
      <w:r w:rsidRPr="0007021A">
        <w:rPr>
          <w:rFonts w:ascii="Times New Roman" w:hAnsi="Times New Roman"/>
          <w:bCs/>
          <w:sz w:val="24"/>
          <w:szCs w:val="24"/>
        </w:rPr>
        <w:t xml:space="preserve"> </w:t>
      </w:r>
      <w:r w:rsidR="004949B5" w:rsidRPr="0007021A">
        <w:rPr>
          <w:rFonts w:ascii="Times New Roman" w:hAnsi="Times New Roman"/>
          <w:bCs/>
          <w:sz w:val="24"/>
          <w:szCs w:val="24"/>
        </w:rPr>
        <w:t>оплемењивања</w:t>
      </w:r>
      <w:r w:rsidRPr="0007021A">
        <w:rPr>
          <w:rFonts w:ascii="Times New Roman" w:hAnsi="Times New Roman"/>
          <w:bCs/>
          <w:sz w:val="24"/>
          <w:szCs w:val="24"/>
        </w:rPr>
        <w:t xml:space="preserve"> </w:t>
      </w:r>
      <w:r w:rsidR="004949B5" w:rsidRPr="0007021A">
        <w:rPr>
          <w:rFonts w:ascii="Times New Roman" w:hAnsi="Times New Roman"/>
          <w:bCs/>
          <w:sz w:val="24"/>
          <w:szCs w:val="24"/>
        </w:rPr>
        <w:t>осталих</w:t>
      </w:r>
      <w:r w:rsidRPr="0007021A">
        <w:rPr>
          <w:rFonts w:ascii="Times New Roman" w:hAnsi="Times New Roman"/>
          <w:bCs/>
          <w:sz w:val="24"/>
          <w:szCs w:val="24"/>
        </w:rPr>
        <w:t xml:space="preserve"> </w:t>
      </w:r>
      <w:r w:rsidR="004949B5" w:rsidRPr="0007021A">
        <w:rPr>
          <w:rFonts w:ascii="Times New Roman" w:hAnsi="Times New Roman"/>
          <w:bCs/>
          <w:sz w:val="24"/>
          <w:szCs w:val="24"/>
        </w:rPr>
        <w:t>деривата</w:t>
      </w:r>
      <w:r w:rsidRPr="0007021A">
        <w:rPr>
          <w:rFonts w:ascii="Times New Roman" w:hAnsi="Times New Roman"/>
          <w:bCs/>
          <w:sz w:val="24"/>
          <w:szCs w:val="24"/>
        </w:rPr>
        <w:t xml:space="preserve"> </w:t>
      </w:r>
      <w:r w:rsidR="004949B5" w:rsidRPr="0007021A">
        <w:rPr>
          <w:rFonts w:ascii="Times New Roman" w:hAnsi="Times New Roman"/>
          <w:bCs/>
          <w:sz w:val="24"/>
          <w:szCs w:val="24"/>
        </w:rPr>
        <w:t>нафте</w:t>
      </w:r>
      <w:r w:rsidRPr="0007021A">
        <w:rPr>
          <w:rFonts w:ascii="Times New Roman" w:hAnsi="Times New Roman"/>
          <w:bCs/>
          <w:sz w:val="24"/>
          <w:szCs w:val="24"/>
        </w:rPr>
        <w:t xml:space="preserve"> </w:t>
      </w:r>
      <w:r w:rsidR="004949B5" w:rsidRPr="0007021A">
        <w:rPr>
          <w:rFonts w:ascii="Times New Roman" w:hAnsi="Times New Roman"/>
          <w:bCs/>
          <w:sz w:val="24"/>
          <w:szCs w:val="24"/>
        </w:rPr>
        <w:t>који</w:t>
      </w:r>
      <w:r w:rsidRPr="0007021A">
        <w:rPr>
          <w:rFonts w:ascii="Times New Roman" w:hAnsi="Times New Roman"/>
          <w:bCs/>
          <w:sz w:val="24"/>
          <w:szCs w:val="24"/>
        </w:rPr>
        <w:t xml:space="preserve"> </w:t>
      </w:r>
      <w:r w:rsidR="004949B5" w:rsidRPr="0007021A">
        <w:rPr>
          <w:rFonts w:ascii="Times New Roman" w:hAnsi="Times New Roman"/>
          <w:bCs/>
          <w:sz w:val="24"/>
          <w:szCs w:val="24"/>
        </w:rPr>
        <w:t>се</w:t>
      </w:r>
      <w:r w:rsidRPr="0007021A">
        <w:rPr>
          <w:rFonts w:ascii="Times New Roman" w:hAnsi="Times New Roman"/>
          <w:bCs/>
          <w:sz w:val="24"/>
          <w:szCs w:val="24"/>
        </w:rPr>
        <w:t xml:space="preserve"> </w:t>
      </w:r>
      <w:r w:rsidR="004949B5" w:rsidRPr="0007021A">
        <w:rPr>
          <w:rFonts w:ascii="Times New Roman" w:hAnsi="Times New Roman"/>
          <w:bCs/>
          <w:sz w:val="24"/>
          <w:szCs w:val="24"/>
        </w:rPr>
        <w:t>добијају</w:t>
      </w:r>
      <w:r w:rsidRPr="0007021A">
        <w:rPr>
          <w:rFonts w:ascii="Times New Roman" w:hAnsi="Times New Roman"/>
          <w:bCs/>
          <w:sz w:val="24"/>
          <w:szCs w:val="24"/>
        </w:rPr>
        <w:t xml:space="preserve"> </w:t>
      </w:r>
      <w:r w:rsidR="004949B5" w:rsidRPr="0007021A">
        <w:rPr>
          <w:rFonts w:ascii="Times New Roman" w:hAnsi="Times New Roman"/>
          <w:bCs/>
          <w:sz w:val="24"/>
          <w:szCs w:val="24"/>
        </w:rPr>
        <w:t>од</w:t>
      </w:r>
      <w:r w:rsidRPr="0007021A">
        <w:rPr>
          <w:rFonts w:ascii="Times New Roman" w:hAnsi="Times New Roman"/>
          <w:bCs/>
          <w:sz w:val="24"/>
          <w:szCs w:val="24"/>
        </w:rPr>
        <w:t xml:space="preserve"> </w:t>
      </w:r>
      <w:r w:rsidR="004949B5" w:rsidRPr="0007021A">
        <w:rPr>
          <w:rFonts w:ascii="Times New Roman" w:hAnsi="Times New Roman"/>
          <w:bCs/>
          <w:sz w:val="24"/>
          <w:szCs w:val="24"/>
        </w:rPr>
        <w:t>фракција</w:t>
      </w:r>
      <w:r w:rsidRPr="0007021A">
        <w:rPr>
          <w:rFonts w:ascii="Times New Roman" w:hAnsi="Times New Roman"/>
          <w:bCs/>
          <w:sz w:val="24"/>
          <w:szCs w:val="24"/>
        </w:rPr>
        <w:t xml:space="preserve"> </w:t>
      </w:r>
      <w:r w:rsidR="004949B5" w:rsidRPr="0007021A">
        <w:rPr>
          <w:rFonts w:ascii="Times New Roman" w:hAnsi="Times New Roman"/>
          <w:bCs/>
          <w:sz w:val="24"/>
          <w:szCs w:val="24"/>
        </w:rPr>
        <w:t>нафте</w:t>
      </w:r>
      <w:r w:rsidRPr="0007021A">
        <w:rPr>
          <w:rFonts w:ascii="Times New Roman" w:hAnsi="Times New Roman"/>
          <w:bCs/>
          <w:sz w:val="24"/>
          <w:szCs w:val="24"/>
        </w:rPr>
        <w:t xml:space="preserve"> </w:t>
      </w:r>
      <w:r w:rsidR="004949B5" w:rsidRPr="0007021A">
        <w:rPr>
          <w:rFonts w:ascii="Times New Roman" w:hAnsi="Times New Roman"/>
          <w:bCs/>
          <w:sz w:val="24"/>
          <w:szCs w:val="24"/>
        </w:rPr>
        <w:t>које</w:t>
      </w:r>
      <w:r w:rsidRPr="0007021A">
        <w:rPr>
          <w:rFonts w:ascii="Times New Roman" w:hAnsi="Times New Roman"/>
          <w:bCs/>
          <w:sz w:val="24"/>
          <w:szCs w:val="24"/>
        </w:rPr>
        <w:t xml:space="preserve"> </w:t>
      </w:r>
      <w:r w:rsidR="004949B5" w:rsidRPr="0007021A">
        <w:rPr>
          <w:rFonts w:ascii="Times New Roman" w:hAnsi="Times New Roman"/>
          <w:bCs/>
          <w:sz w:val="24"/>
          <w:szCs w:val="24"/>
        </w:rPr>
        <w:t>имају</w:t>
      </w:r>
      <w:r w:rsidRPr="0007021A">
        <w:rPr>
          <w:rFonts w:ascii="Times New Roman" w:hAnsi="Times New Roman"/>
          <w:bCs/>
          <w:sz w:val="24"/>
          <w:szCs w:val="24"/>
        </w:rPr>
        <w:t xml:space="preserve"> </w:t>
      </w:r>
      <w:r w:rsidR="004949B5" w:rsidRPr="0007021A">
        <w:rPr>
          <w:rFonts w:ascii="Times New Roman" w:hAnsi="Times New Roman"/>
          <w:bCs/>
          <w:sz w:val="24"/>
          <w:szCs w:val="24"/>
        </w:rPr>
        <w:t>распон</w:t>
      </w:r>
      <w:r w:rsidRPr="0007021A">
        <w:rPr>
          <w:rFonts w:ascii="Times New Roman" w:hAnsi="Times New Roman"/>
          <w:bCs/>
          <w:sz w:val="24"/>
          <w:szCs w:val="24"/>
        </w:rPr>
        <w:t xml:space="preserve"> </w:t>
      </w:r>
      <w:r w:rsidR="004949B5" w:rsidRPr="0007021A">
        <w:rPr>
          <w:rFonts w:ascii="Times New Roman" w:hAnsi="Times New Roman"/>
          <w:bCs/>
          <w:sz w:val="24"/>
          <w:szCs w:val="24"/>
        </w:rPr>
        <w:t>дестилације</w:t>
      </w:r>
      <w:r w:rsidRPr="0007021A">
        <w:rPr>
          <w:rFonts w:ascii="Times New Roman" w:hAnsi="Times New Roman"/>
          <w:bCs/>
          <w:sz w:val="24"/>
          <w:szCs w:val="24"/>
        </w:rPr>
        <w:t xml:space="preserve"> </w:t>
      </w:r>
      <w:r w:rsidR="004949B5" w:rsidRPr="0007021A">
        <w:rPr>
          <w:rFonts w:ascii="Times New Roman" w:hAnsi="Times New Roman"/>
          <w:bCs/>
          <w:sz w:val="24"/>
          <w:szCs w:val="24"/>
        </w:rPr>
        <w:t>до</w:t>
      </w:r>
      <w:r w:rsidRPr="0007021A">
        <w:rPr>
          <w:rFonts w:ascii="Times New Roman" w:hAnsi="Times New Roman"/>
          <w:bCs/>
          <w:sz w:val="24"/>
          <w:szCs w:val="24"/>
        </w:rPr>
        <w:t xml:space="preserve"> 380°</w:t>
      </w:r>
      <w:r w:rsidR="004949B5" w:rsidRPr="0007021A">
        <w:rPr>
          <w:rFonts w:ascii="Times New Roman" w:hAnsi="Times New Roman"/>
          <w:bCs/>
          <w:sz w:val="24"/>
          <w:szCs w:val="24"/>
        </w:rPr>
        <w:t>Ц</w:t>
      </w:r>
      <w:r w:rsidRPr="0007021A">
        <w:rPr>
          <w:rFonts w:ascii="Times New Roman" w:hAnsi="Times New Roman"/>
          <w:bCs/>
          <w:sz w:val="24"/>
          <w:szCs w:val="24"/>
        </w:rPr>
        <w:t xml:space="preserve">, </w:t>
      </w:r>
      <w:r w:rsidR="004949B5" w:rsidRPr="0007021A">
        <w:rPr>
          <w:rFonts w:ascii="Times New Roman" w:hAnsi="Times New Roman"/>
          <w:bCs/>
          <w:sz w:val="24"/>
          <w:szCs w:val="24"/>
        </w:rPr>
        <w:t>у</w:t>
      </w:r>
      <w:r w:rsidRPr="0007021A">
        <w:rPr>
          <w:rFonts w:ascii="Times New Roman" w:hAnsi="Times New Roman"/>
          <w:bCs/>
          <w:sz w:val="24"/>
          <w:szCs w:val="24"/>
        </w:rPr>
        <w:t xml:space="preserve"> </w:t>
      </w:r>
      <w:r w:rsidR="004949B5" w:rsidRPr="0007021A">
        <w:rPr>
          <w:rFonts w:ascii="Times New Roman" w:hAnsi="Times New Roman"/>
          <w:bCs/>
          <w:sz w:val="24"/>
          <w:szCs w:val="24"/>
        </w:rPr>
        <w:t>систему</w:t>
      </w:r>
      <w:r w:rsidRPr="0007021A">
        <w:rPr>
          <w:rFonts w:ascii="Times New Roman" w:hAnsi="Times New Roman"/>
          <w:bCs/>
          <w:sz w:val="24"/>
          <w:szCs w:val="24"/>
        </w:rPr>
        <w:t xml:space="preserve"> </w:t>
      </w:r>
      <w:r w:rsidR="004949B5" w:rsidRPr="0007021A">
        <w:rPr>
          <w:rFonts w:ascii="Times New Roman" w:hAnsi="Times New Roman"/>
          <w:bCs/>
          <w:sz w:val="24"/>
          <w:szCs w:val="24"/>
        </w:rPr>
        <w:t>одлагања</w:t>
      </w:r>
      <w:r w:rsidRPr="0007021A">
        <w:rPr>
          <w:rFonts w:ascii="Times New Roman" w:hAnsi="Times New Roman"/>
          <w:bCs/>
          <w:sz w:val="24"/>
          <w:szCs w:val="24"/>
        </w:rPr>
        <w:t xml:space="preserve"> </w:t>
      </w:r>
      <w:r w:rsidR="004949B5" w:rsidRPr="0007021A">
        <w:rPr>
          <w:rFonts w:ascii="Times New Roman" w:hAnsi="Times New Roman"/>
          <w:bCs/>
          <w:sz w:val="24"/>
          <w:szCs w:val="24"/>
        </w:rPr>
        <w:t>и</w:t>
      </w:r>
      <w:r w:rsidRPr="0007021A">
        <w:rPr>
          <w:rFonts w:ascii="Times New Roman" w:hAnsi="Times New Roman"/>
          <w:bCs/>
          <w:sz w:val="24"/>
          <w:szCs w:val="24"/>
        </w:rPr>
        <w:t xml:space="preserve"> </w:t>
      </w:r>
      <w:r w:rsidR="004949B5" w:rsidRPr="0007021A">
        <w:rPr>
          <w:rFonts w:ascii="Times New Roman" w:hAnsi="Times New Roman"/>
          <w:bCs/>
          <w:sz w:val="24"/>
          <w:szCs w:val="24"/>
        </w:rPr>
        <w:t>отпремања</w:t>
      </w:r>
      <w:r w:rsidRPr="0007021A">
        <w:rPr>
          <w:rFonts w:ascii="Times New Roman" w:hAnsi="Times New Roman"/>
          <w:bCs/>
          <w:sz w:val="24"/>
          <w:szCs w:val="24"/>
        </w:rPr>
        <w:t xml:space="preserve"> </w:t>
      </w:r>
      <w:r w:rsidR="004949B5" w:rsidRPr="0007021A">
        <w:rPr>
          <w:rFonts w:ascii="Times New Roman" w:hAnsi="Times New Roman"/>
          <w:bCs/>
          <w:sz w:val="24"/>
          <w:szCs w:val="24"/>
        </w:rPr>
        <w:t>ради</w:t>
      </w:r>
      <w:r w:rsidRPr="0007021A">
        <w:rPr>
          <w:rFonts w:ascii="Times New Roman" w:hAnsi="Times New Roman"/>
          <w:bCs/>
          <w:sz w:val="24"/>
          <w:szCs w:val="24"/>
        </w:rPr>
        <w:t xml:space="preserve"> </w:t>
      </w:r>
      <w:r w:rsidR="004949B5" w:rsidRPr="0007021A">
        <w:rPr>
          <w:rFonts w:ascii="Times New Roman" w:hAnsi="Times New Roman"/>
          <w:bCs/>
          <w:sz w:val="24"/>
          <w:szCs w:val="24"/>
        </w:rPr>
        <w:t>производње</w:t>
      </w:r>
      <w:r w:rsidRPr="0007021A">
        <w:rPr>
          <w:rFonts w:ascii="Times New Roman" w:hAnsi="Times New Roman"/>
          <w:bCs/>
          <w:sz w:val="24"/>
          <w:szCs w:val="24"/>
        </w:rPr>
        <w:t xml:space="preserve"> </w:t>
      </w:r>
      <w:r w:rsidR="004949B5" w:rsidRPr="0007021A">
        <w:rPr>
          <w:rFonts w:ascii="Times New Roman" w:hAnsi="Times New Roman"/>
          <w:bCs/>
          <w:sz w:val="24"/>
          <w:szCs w:val="24"/>
        </w:rPr>
        <w:t>уљаног</w:t>
      </w:r>
      <w:r w:rsidRPr="0007021A">
        <w:rPr>
          <w:rFonts w:ascii="Times New Roman" w:hAnsi="Times New Roman"/>
          <w:bCs/>
          <w:sz w:val="24"/>
          <w:szCs w:val="24"/>
        </w:rPr>
        <w:t xml:space="preserve"> </w:t>
      </w:r>
      <w:r w:rsidR="004949B5" w:rsidRPr="0007021A">
        <w:rPr>
          <w:rFonts w:ascii="Times New Roman" w:hAnsi="Times New Roman"/>
          <w:bCs/>
          <w:sz w:val="24"/>
          <w:szCs w:val="24"/>
        </w:rPr>
        <w:t>разређивача</w:t>
      </w:r>
      <w:r w:rsidRPr="0007021A">
        <w:rPr>
          <w:rFonts w:ascii="Times New Roman" w:hAnsi="Times New Roman"/>
          <w:bCs/>
          <w:sz w:val="24"/>
          <w:szCs w:val="24"/>
        </w:rPr>
        <w:t xml:space="preserve">, </w:t>
      </w:r>
      <w:r w:rsidR="004949B5" w:rsidRPr="0007021A">
        <w:rPr>
          <w:rFonts w:ascii="Times New Roman" w:hAnsi="Times New Roman"/>
          <w:bCs/>
          <w:sz w:val="24"/>
          <w:szCs w:val="24"/>
        </w:rPr>
        <w:t>који</w:t>
      </w:r>
      <w:r w:rsidRPr="0007021A">
        <w:rPr>
          <w:rFonts w:ascii="Times New Roman" w:hAnsi="Times New Roman"/>
          <w:bCs/>
          <w:sz w:val="24"/>
          <w:szCs w:val="24"/>
        </w:rPr>
        <w:t xml:space="preserve"> </w:t>
      </w:r>
      <w:r w:rsidR="004949B5" w:rsidRPr="0007021A">
        <w:rPr>
          <w:rFonts w:ascii="Times New Roman" w:hAnsi="Times New Roman"/>
          <w:bCs/>
          <w:sz w:val="24"/>
          <w:szCs w:val="24"/>
        </w:rPr>
        <w:t>се</w:t>
      </w:r>
      <w:r w:rsidRPr="0007021A">
        <w:rPr>
          <w:rFonts w:ascii="Times New Roman" w:hAnsi="Times New Roman"/>
          <w:bCs/>
          <w:sz w:val="24"/>
          <w:szCs w:val="24"/>
        </w:rPr>
        <w:t xml:space="preserve"> </w:t>
      </w:r>
      <w:r w:rsidR="004949B5" w:rsidRPr="0007021A">
        <w:rPr>
          <w:rFonts w:ascii="Times New Roman" w:hAnsi="Times New Roman"/>
          <w:bCs/>
          <w:sz w:val="24"/>
          <w:szCs w:val="24"/>
        </w:rPr>
        <w:t>извози</w:t>
      </w:r>
      <w:r w:rsidRPr="0007021A">
        <w:rPr>
          <w:rFonts w:ascii="Times New Roman" w:hAnsi="Times New Roman"/>
          <w:bCs/>
          <w:sz w:val="24"/>
          <w:szCs w:val="24"/>
        </w:rPr>
        <w:t xml:space="preserve"> </w:t>
      </w:r>
      <w:r w:rsidR="004949B5" w:rsidRPr="0007021A">
        <w:rPr>
          <w:rFonts w:ascii="Times New Roman" w:hAnsi="Times New Roman"/>
          <w:bCs/>
          <w:sz w:val="24"/>
          <w:szCs w:val="24"/>
        </w:rPr>
        <w:t>не</w:t>
      </w:r>
      <w:r w:rsidRPr="0007021A">
        <w:rPr>
          <w:rFonts w:ascii="Times New Roman" w:hAnsi="Times New Roman"/>
          <w:bCs/>
          <w:sz w:val="24"/>
          <w:szCs w:val="24"/>
        </w:rPr>
        <w:t xml:space="preserve"> </w:t>
      </w:r>
      <w:r w:rsidR="004949B5" w:rsidRPr="0007021A">
        <w:rPr>
          <w:rFonts w:ascii="Times New Roman" w:hAnsi="Times New Roman"/>
          <w:bCs/>
          <w:sz w:val="24"/>
          <w:szCs w:val="24"/>
        </w:rPr>
        <w:t>обрачунава</w:t>
      </w:r>
      <w:r w:rsidRPr="0007021A">
        <w:rPr>
          <w:rFonts w:ascii="Times New Roman" w:hAnsi="Times New Roman"/>
          <w:bCs/>
          <w:sz w:val="24"/>
          <w:szCs w:val="24"/>
        </w:rPr>
        <w:t xml:space="preserve"> </w:t>
      </w:r>
      <w:r w:rsidR="004949B5" w:rsidRPr="0007021A">
        <w:rPr>
          <w:rFonts w:ascii="Times New Roman" w:hAnsi="Times New Roman"/>
          <w:bCs/>
          <w:sz w:val="24"/>
          <w:szCs w:val="24"/>
        </w:rPr>
        <w:t>се</w:t>
      </w:r>
      <w:r w:rsidRPr="0007021A">
        <w:rPr>
          <w:rFonts w:ascii="Times New Roman" w:hAnsi="Times New Roman"/>
          <w:bCs/>
          <w:sz w:val="24"/>
          <w:szCs w:val="24"/>
        </w:rPr>
        <w:t xml:space="preserve"> </w:t>
      </w:r>
      <w:r w:rsidR="004949B5" w:rsidRPr="0007021A">
        <w:rPr>
          <w:rFonts w:ascii="Times New Roman" w:hAnsi="Times New Roman"/>
          <w:bCs/>
          <w:sz w:val="24"/>
          <w:szCs w:val="24"/>
        </w:rPr>
        <w:t>и</w:t>
      </w:r>
      <w:r w:rsidRPr="0007021A">
        <w:rPr>
          <w:rFonts w:ascii="Times New Roman" w:hAnsi="Times New Roman"/>
          <w:bCs/>
          <w:sz w:val="24"/>
          <w:szCs w:val="24"/>
        </w:rPr>
        <w:t xml:space="preserve"> </w:t>
      </w:r>
      <w:r w:rsidR="004949B5" w:rsidRPr="0007021A">
        <w:rPr>
          <w:rFonts w:ascii="Times New Roman" w:hAnsi="Times New Roman"/>
          <w:bCs/>
          <w:sz w:val="24"/>
          <w:szCs w:val="24"/>
        </w:rPr>
        <w:t>не</w:t>
      </w:r>
      <w:r w:rsidRPr="0007021A">
        <w:rPr>
          <w:rFonts w:ascii="Times New Roman" w:hAnsi="Times New Roman"/>
          <w:bCs/>
          <w:sz w:val="24"/>
          <w:szCs w:val="24"/>
        </w:rPr>
        <w:t xml:space="preserve"> </w:t>
      </w:r>
      <w:r w:rsidR="004949B5" w:rsidRPr="0007021A">
        <w:rPr>
          <w:rFonts w:ascii="Times New Roman" w:hAnsi="Times New Roman"/>
          <w:bCs/>
          <w:sz w:val="24"/>
          <w:szCs w:val="24"/>
        </w:rPr>
        <w:t>плаћа</w:t>
      </w:r>
      <w:r w:rsidRPr="0007021A">
        <w:rPr>
          <w:rFonts w:ascii="Times New Roman" w:hAnsi="Times New Roman"/>
          <w:bCs/>
          <w:sz w:val="24"/>
          <w:szCs w:val="24"/>
        </w:rPr>
        <w:t xml:space="preserve"> </w:t>
      </w:r>
      <w:r w:rsidR="004949B5" w:rsidRPr="0007021A">
        <w:rPr>
          <w:rFonts w:ascii="Times New Roman" w:hAnsi="Times New Roman"/>
          <w:bCs/>
          <w:sz w:val="24"/>
          <w:szCs w:val="24"/>
        </w:rPr>
        <w:t>акциза</w:t>
      </w:r>
      <w:r w:rsidR="004D5D9D" w:rsidRPr="0007021A">
        <w:rPr>
          <w:rFonts w:ascii="Times New Roman" w:hAnsi="Times New Roman"/>
          <w:bCs/>
          <w:sz w:val="24"/>
          <w:szCs w:val="24"/>
          <w:lang w:val="sr-Cyrl-CS"/>
        </w:rPr>
        <w:t>.</w:t>
      </w:r>
    </w:p>
    <w:p w:rsidR="004D5D9D" w:rsidRPr="0007021A" w:rsidRDefault="004949B5" w:rsidP="0007021A">
      <w:pPr>
        <w:ind w:firstLine="708"/>
        <w:jc w:val="both"/>
        <w:rPr>
          <w:rFonts w:ascii="Times New Roman" w:hAnsi="Times New Roman"/>
          <w:sz w:val="24"/>
          <w:szCs w:val="24"/>
          <w:lang w:val="sr-Cyrl-CS"/>
        </w:rPr>
      </w:pPr>
      <w:r w:rsidRPr="0007021A">
        <w:rPr>
          <w:rFonts w:ascii="Times New Roman" w:hAnsi="Times New Roman"/>
          <w:sz w:val="24"/>
          <w:szCs w:val="24"/>
        </w:rPr>
        <w:t>Одредбом</w:t>
      </w:r>
      <w:r w:rsidR="00C857DC" w:rsidRPr="0007021A">
        <w:rPr>
          <w:rFonts w:ascii="Times New Roman" w:hAnsi="Times New Roman"/>
          <w:sz w:val="24"/>
          <w:szCs w:val="24"/>
        </w:rPr>
        <w:t xml:space="preserve"> </w:t>
      </w:r>
      <w:r w:rsidRPr="0007021A">
        <w:rPr>
          <w:rFonts w:ascii="Times New Roman" w:hAnsi="Times New Roman"/>
          <w:sz w:val="24"/>
          <w:szCs w:val="24"/>
        </w:rPr>
        <w:t>члана</w:t>
      </w:r>
      <w:r w:rsidR="00C857DC" w:rsidRPr="0007021A">
        <w:rPr>
          <w:rFonts w:ascii="Times New Roman" w:hAnsi="Times New Roman"/>
          <w:sz w:val="24"/>
          <w:szCs w:val="24"/>
        </w:rPr>
        <w:t xml:space="preserve"> 3. </w:t>
      </w:r>
      <w:r w:rsidRPr="0007021A">
        <w:rPr>
          <w:rFonts w:ascii="Times New Roman" w:hAnsi="Times New Roman"/>
          <w:sz w:val="24"/>
          <w:szCs w:val="24"/>
        </w:rPr>
        <w:t>став</w:t>
      </w:r>
      <w:r w:rsidR="00C857DC" w:rsidRPr="0007021A">
        <w:rPr>
          <w:rFonts w:ascii="Times New Roman" w:hAnsi="Times New Roman"/>
          <w:sz w:val="24"/>
          <w:szCs w:val="24"/>
        </w:rPr>
        <w:t xml:space="preserve"> 1. </w:t>
      </w:r>
      <w:r w:rsidRPr="0007021A">
        <w:rPr>
          <w:rFonts w:ascii="Times New Roman" w:hAnsi="Times New Roman"/>
          <w:sz w:val="24"/>
          <w:szCs w:val="24"/>
        </w:rPr>
        <w:t>тачка</w:t>
      </w:r>
      <w:r w:rsidR="00C857DC" w:rsidRPr="0007021A">
        <w:rPr>
          <w:rFonts w:ascii="Times New Roman" w:hAnsi="Times New Roman"/>
          <w:sz w:val="24"/>
          <w:szCs w:val="24"/>
        </w:rPr>
        <w:t xml:space="preserve"> 2) </w:t>
      </w:r>
      <w:r w:rsidRPr="0007021A">
        <w:rPr>
          <w:rFonts w:ascii="Times New Roman" w:hAnsi="Times New Roman"/>
          <w:sz w:val="24"/>
          <w:szCs w:val="24"/>
        </w:rPr>
        <w:t>Закона</w:t>
      </w:r>
      <w:r w:rsidR="00C857DC" w:rsidRPr="0007021A">
        <w:rPr>
          <w:rFonts w:ascii="Times New Roman" w:hAnsi="Times New Roman"/>
          <w:sz w:val="24"/>
          <w:szCs w:val="24"/>
        </w:rPr>
        <w:t xml:space="preserve"> </w:t>
      </w:r>
      <w:r w:rsidRPr="0007021A">
        <w:rPr>
          <w:rFonts w:ascii="Times New Roman" w:hAnsi="Times New Roman"/>
          <w:sz w:val="24"/>
          <w:szCs w:val="24"/>
        </w:rPr>
        <w:t>о</w:t>
      </w:r>
      <w:r w:rsidR="00C857DC" w:rsidRPr="0007021A">
        <w:rPr>
          <w:rFonts w:ascii="Times New Roman" w:hAnsi="Times New Roman"/>
          <w:sz w:val="24"/>
          <w:szCs w:val="24"/>
        </w:rPr>
        <w:t xml:space="preserve"> </w:t>
      </w:r>
      <w:r w:rsidRPr="0007021A">
        <w:rPr>
          <w:rFonts w:ascii="Times New Roman" w:hAnsi="Times New Roman"/>
          <w:sz w:val="24"/>
          <w:szCs w:val="24"/>
        </w:rPr>
        <w:t>акцизама</w:t>
      </w:r>
      <w:r w:rsidR="00C857DC" w:rsidRPr="0007021A">
        <w:rPr>
          <w:rFonts w:ascii="Times New Roman" w:hAnsi="Times New Roman"/>
          <w:sz w:val="24"/>
          <w:szCs w:val="24"/>
        </w:rPr>
        <w:t xml:space="preserve"> ("</w:t>
      </w:r>
      <w:r w:rsidRPr="0007021A">
        <w:rPr>
          <w:rFonts w:ascii="Times New Roman" w:hAnsi="Times New Roman"/>
          <w:sz w:val="24"/>
          <w:szCs w:val="24"/>
        </w:rPr>
        <w:t>Сл</w:t>
      </w:r>
      <w:r w:rsidR="00C857DC" w:rsidRPr="0007021A">
        <w:rPr>
          <w:rFonts w:ascii="Times New Roman" w:hAnsi="Times New Roman"/>
          <w:sz w:val="24"/>
          <w:szCs w:val="24"/>
        </w:rPr>
        <w:t xml:space="preserve">. </w:t>
      </w:r>
      <w:r w:rsidRPr="0007021A">
        <w:rPr>
          <w:rFonts w:ascii="Times New Roman" w:hAnsi="Times New Roman"/>
          <w:sz w:val="24"/>
          <w:szCs w:val="24"/>
        </w:rPr>
        <w:t>гласник</w:t>
      </w:r>
      <w:r w:rsidR="00C857DC" w:rsidRPr="0007021A">
        <w:rPr>
          <w:rFonts w:ascii="Times New Roman" w:hAnsi="Times New Roman"/>
          <w:sz w:val="24"/>
          <w:szCs w:val="24"/>
        </w:rPr>
        <w:t xml:space="preserve"> </w:t>
      </w:r>
      <w:r w:rsidRPr="0007021A">
        <w:rPr>
          <w:rFonts w:ascii="Times New Roman" w:hAnsi="Times New Roman"/>
          <w:sz w:val="24"/>
          <w:szCs w:val="24"/>
        </w:rPr>
        <w:t>РС</w:t>
      </w:r>
      <w:r w:rsidR="00C857DC" w:rsidRPr="0007021A">
        <w:rPr>
          <w:rFonts w:ascii="Times New Roman" w:hAnsi="Times New Roman"/>
          <w:sz w:val="24"/>
          <w:szCs w:val="24"/>
        </w:rPr>
        <w:t xml:space="preserve">", </w:t>
      </w:r>
      <w:r w:rsidRPr="0007021A">
        <w:rPr>
          <w:rFonts w:ascii="Times New Roman" w:hAnsi="Times New Roman"/>
          <w:sz w:val="24"/>
          <w:szCs w:val="24"/>
        </w:rPr>
        <w:t>бр</w:t>
      </w:r>
      <w:r w:rsidR="00C857DC" w:rsidRPr="0007021A">
        <w:rPr>
          <w:rFonts w:ascii="Times New Roman" w:hAnsi="Times New Roman"/>
          <w:sz w:val="24"/>
          <w:szCs w:val="24"/>
        </w:rPr>
        <w:t xml:space="preserve">. 22/2001, 73/2001, 80/2002, 43/2003, 72/2003, 43/2004, 55/2004, 135/2004, 46/2005, 101/2005 - </w:t>
      </w:r>
      <w:r w:rsidRPr="0007021A">
        <w:rPr>
          <w:rFonts w:ascii="Times New Roman" w:hAnsi="Times New Roman"/>
          <w:sz w:val="24"/>
          <w:szCs w:val="24"/>
        </w:rPr>
        <w:t>др</w:t>
      </w:r>
      <w:r w:rsidR="00C857DC" w:rsidRPr="0007021A">
        <w:rPr>
          <w:rFonts w:ascii="Times New Roman" w:hAnsi="Times New Roman"/>
          <w:sz w:val="24"/>
          <w:szCs w:val="24"/>
        </w:rPr>
        <w:t xml:space="preserve">. </w:t>
      </w:r>
      <w:r w:rsidRPr="0007021A">
        <w:rPr>
          <w:rFonts w:ascii="Times New Roman" w:hAnsi="Times New Roman"/>
          <w:sz w:val="24"/>
          <w:szCs w:val="24"/>
        </w:rPr>
        <w:t>закон</w:t>
      </w:r>
      <w:r w:rsidR="00C857DC" w:rsidRPr="0007021A">
        <w:rPr>
          <w:rFonts w:ascii="Times New Roman" w:hAnsi="Times New Roman"/>
          <w:sz w:val="24"/>
          <w:szCs w:val="24"/>
        </w:rPr>
        <w:t xml:space="preserve">, 61/2007, 5/2009 </w:t>
      </w:r>
      <w:r w:rsidRPr="0007021A">
        <w:rPr>
          <w:rFonts w:ascii="Times New Roman" w:hAnsi="Times New Roman"/>
          <w:sz w:val="24"/>
          <w:szCs w:val="24"/>
        </w:rPr>
        <w:t>и</w:t>
      </w:r>
      <w:r w:rsidR="00C857DC" w:rsidRPr="0007021A">
        <w:rPr>
          <w:rFonts w:ascii="Times New Roman" w:hAnsi="Times New Roman"/>
          <w:sz w:val="24"/>
          <w:szCs w:val="24"/>
        </w:rPr>
        <w:t xml:space="preserve"> 31/2009) </w:t>
      </w:r>
      <w:r w:rsidRPr="0007021A">
        <w:rPr>
          <w:rFonts w:ascii="Times New Roman" w:hAnsi="Times New Roman"/>
          <w:sz w:val="24"/>
          <w:szCs w:val="24"/>
        </w:rPr>
        <w:t>прописано</w:t>
      </w:r>
      <w:r w:rsidR="00C857DC" w:rsidRPr="0007021A">
        <w:rPr>
          <w:rFonts w:ascii="Times New Roman" w:hAnsi="Times New Roman"/>
          <w:sz w:val="24"/>
          <w:szCs w:val="24"/>
        </w:rPr>
        <w:t xml:space="preserve"> </w:t>
      </w:r>
      <w:r w:rsidRPr="0007021A">
        <w:rPr>
          <w:rFonts w:ascii="Times New Roman" w:hAnsi="Times New Roman"/>
          <w:sz w:val="24"/>
          <w:szCs w:val="24"/>
        </w:rPr>
        <w:t>је</w:t>
      </w:r>
      <w:r w:rsidR="00C857DC" w:rsidRPr="0007021A">
        <w:rPr>
          <w:rFonts w:ascii="Times New Roman" w:hAnsi="Times New Roman"/>
          <w:sz w:val="24"/>
          <w:szCs w:val="24"/>
        </w:rPr>
        <w:t xml:space="preserve"> </w:t>
      </w:r>
      <w:r w:rsidRPr="0007021A">
        <w:rPr>
          <w:rFonts w:ascii="Times New Roman" w:hAnsi="Times New Roman"/>
          <w:sz w:val="24"/>
          <w:szCs w:val="24"/>
        </w:rPr>
        <w:t>да</w:t>
      </w:r>
      <w:r w:rsidR="00C857DC" w:rsidRPr="0007021A">
        <w:rPr>
          <w:rFonts w:ascii="Times New Roman" w:hAnsi="Times New Roman"/>
          <w:sz w:val="24"/>
          <w:szCs w:val="24"/>
        </w:rPr>
        <w:t xml:space="preserve"> </w:t>
      </w:r>
      <w:r w:rsidRPr="0007021A">
        <w:rPr>
          <w:rFonts w:ascii="Times New Roman" w:hAnsi="Times New Roman"/>
          <w:sz w:val="24"/>
          <w:szCs w:val="24"/>
        </w:rPr>
        <w:t>обавеза</w:t>
      </w:r>
      <w:r w:rsidR="00C857DC" w:rsidRPr="0007021A">
        <w:rPr>
          <w:rFonts w:ascii="Times New Roman" w:hAnsi="Times New Roman"/>
          <w:sz w:val="24"/>
          <w:szCs w:val="24"/>
        </w:rPr>
        <w:t xml:space="preserve"> </w:t>
      </w:r>
      <w:r w:rsidRPr="0007021A">
        <w:rPr>
          <w:rFonts w:ascii="Times New Roman" w:hAnsi="Times New Roman"/>
          <w:sz w:val="24"/>
          <w:szCs w:val="24"/>
        </w:rPr>
        <w:t>по</w:t>
      </w:r>
      <w:r w:rsidR="00C857DC" w:rsidRPr="0007021A">
        <w:rPr>
          <w:rFonts w:ascii="Times New Roman" w:hAnsi="Times New Roman"/>
          <w:sz w:val="24"/>
          <w:szCs w:val="24"/>
        </w:rPr>
        <w:t xml:space="preserve"> </w:t>
      </w:r>
      <w:r w:rsidRPr="0007021A">
        <w:rPr>
          <w:rFonts w:ascii="Times New Roman" w:hAnsi="Times New Roman"/>
          <w:sz w:val="24"/>
          <w:szCs w:val="24"/>
        </w:rPr>
        <w:t>основу</w:t>
      </w:r>
      <w:r w:rsidR="00C857DC" w:rsidRPr="0007021A">
        <w:rPr>
          <w:rFonts w:ascii="Times New Roman" w:hAnsi="Times New Roman"/>
          <w:sz w:val="24"/>
          <w:szCs w:val="24"/>
        </w:rPr>
        <w:t xml:space="preserve"> </w:t>
      </w:r>
      <w:r w:rsidRPr="0007021A">
        <w:rPr>
          <w:rFonts w:ascii="Times New Roman" w:hAnsi="Times New Roman"/>
          <w:sz w:val="24"/>
          <w:szCs w:val="24"/>
        </w:rPr>
        <w:t>акцизе</w:t>
      </w:r>
      <w:r w:rsidR="00C857DC" w:rsidRPr="0007021A">
        <w:rPr>
          <w:rFonts w:ascii="Times New Roman" w:hAnsi="Times New Roman"/>
          <w:sz w:val="24"/>
          <w:szCs w:val="24"/>
        </w:rPr>
        <w:t xml:space="preserve"> </w:t>
      </w:r>
      <w:r w:rsidRPr="0007021A">
        <w:rPr>
          <w:rFonts w:ascii="Times New Roman" w:hAnsi="Times New Roman"/>
          <w:sz w:val="24"/>
          <w:szCs w:val="24"/>
        </w:rPr>
        <w:t>настаје</w:t>
      </w:r>
      <w:r w:rsidR="00C857DC" w:rsidRPr="0007021A">
        <w:rPr>
          <w:rFonts w:ascii="Times New Roman" w:hAnsi="Times New Roman"/>
          <w:sz w:val="24"/>
          <w:szCs w:val="24"/>
        </w:rPr>
        <w:t xml:space="preserve"> </w:t>
      </w:r>
      <w:r w:rsidRPr="0007021A">
        <w:rPr>
          <w:rFonts w:ascii="Times New Roman" w:hAnsi="Times New Roman"/>
          <w:sz w:val="24"/>
          <w:szCs w:val="24"/>
        </w:rPr>
        <w:t>када</w:t>
      </w:r>
      <w:r w:rsidR="00C857DC" w:rsidRPr="0007021A">
        <w:rPr>
          <w:rFonts w:ascii="Times New Roman" w:hAnsi="Times New Roman"/>
          <w:sz w:val="24"/>
          <w:szCs w:val="24"/>
        </w:rPr>
        <w:t xml:space="preserve"> </w:t>
      </w:r>
      <w:r w:rsidRPr="0007021A">
        <w:rPr>
          <w:rFonts w:ascii="Times New Roman" w:hAnsi="Times New Roman"/>
          <w:sz w:val="24"/>
          <w:szCs w:val="24"/>
        </w:rPr>
        <w:t>су</w:t>
      </w:r>
      <w:r w:rsidR="00C857DC" w:rsidRPr="0007021A">
        <w:rPr>
          <w:rFonts w:ascii="Times New Roman" w:hAnsi="Times New Roman"/>
          <w:sz w:val="24"/>
          <w:szCs w:val="24"/>
        </w:rPr>
        <w:t xml:space="preserve"> </w:t>
      </w:r>
      <w:r w:rsidRPr="0007021A">
        <w:rPr>
          <w:rFonts w:ascii="Times New Roman" w:hAnsi="Times New Roman"/>
          <w:sz w:val="24"/>
          <w:szCs w:val="24"/>
        </w:rPr>
        <w:t>акцизни</w:t>
      </w:r>
      <w:r w:rsidR="00C857DC" w:rsidRPr="0007021A">
        <w:rPr>
          <w:rFonts w:ascii="Times New Roman" w:hAnsi="Times New Roman"/>
          <w:sz w:val="24"/>
          <w:szCs w:val="24"/>
        </w:rPr>
        <w:t xml:space="preserve"> </w:t>
      </w:r>
      <w:r w:rsidRPr="0007021A">
        <w:rPr>
          <w:rFonts w:ascii="Times New Roman" w:hAnsi="Times New Roman"/>
          <w:sz w:val="24"/>
          <w:szCs w:val="24"/>
        </w:rPr>
        <w:t>производи</w:t>
      </w:r>
      <w:r w:rsidR="00C857DC" w:rsidRPr="0007021A">
        <w:rPr>
          <w:rFonts w:ascii="Times New Roman" w:hAnsi="Times New Roman"/>
          <w:sz w:val="24"/>
          <w:szCs w:val="24"/>
        </w:rPr>
        <w:t xml:space="preserve"> </w:t>
      </w:r>
      <w:r w:rsidRPr="0007021A">
        <w:rPr>
          <w:rFonts w:ascii="Times New Roman" w:hAnsi="Times New Roman"/>
          <w:sz w:val="24"/>
          <w:szCs w:val="24"/>
        </w:rPr>
        <w:t>увезени</w:t>
      </w:r>
      <w:r w:rsidR="00C857DC" w:rsidRPr="0007021A">
        <w:rPr>
          <w:rFonts w:ascii="Times New Roman" w:hAnsi="Times New Roman"/>
          <w:sz w:val="24"/>
          <w:szCs w:val="24"/>
        </w:rPr>
        <w:t xml:space="preserve"> </w:t>
      </w:r>
      <w:r w:rsidRPr="0007021A">
        <w:rPr>
          <w:rFonts w:ascii="Times New Roman" w:hAnsi="Times New Roman"/>
          <w:sz w:val="24"/>
          <w:szCs w:val="24"/>
        </w:rPr>
        <w:t>у</w:t>
      </w:r>
      <w:r w:rsidR="00C857DC" w:rsidRPr="0007021A">
        <w:rPr>
          <w:rFonts w:ascii="Times New Roman" w:hAnsi="Times New Roman"/>
          <w:sz w:val="24"/>
          <w:szCs w:val="24"/>
        </w:rPr>
        <w:t xml:space="preserve"> </w:t>
      </w:r>
      <w:r w:rsidRPr="0007021A">
        <w:rPr>
          <w:rFonts w:ascii="Times New Roman" w:hAnsi="Times New Roman"/>
          <w:sz w:val="24"/>
          <w:szCs w:val="24"/>
        </w:rPr>
        <w:t>Републику</w:t>
      </w:r>
      <w:r w:rsidR="00C857DC" w:rsidRPr="0007021A">
        <w:rPr>
          <w:rFonts w:ascii="Times New Roman" w:hAnsi="Times New Roman"/>
          <w:sz w:val="24"/>
          <w:szCs w:val="24"/>
        </w:rPr>
        <w:t xml:space="preserve"> </w:t>
      </w:r>
      <w:r w:rsidRPr="0007021A">
        <w:rPr>
          <w:rFonts w:ascii="Times New Roman" w:hAnsi="Times New Roman"/>
          <w:sz w:val="24"/>
          <w:szCs w:val="24"/>
        </w:rPr>
        <w:t>Србију</w:t>
      </w:r>
      <w:r w:rsidR="00C857DC" w:rsidRPr="0007021A">
        <w:rPr>
          <w:rFonts w:ascii="Times New Roman" w:hAnsi="Times New Roman"/>
          <w:sz w:val="24"/>
          <w:szCs w:val="24"/>
        </w:rPr>
        <w:t xml:space="preserve">. </w:t>
      </w:r>
      <w:r w:rsidRPr="0007021A">
        <w:rPr>
          <w:rFonts w:ascii="Times New Roman" w:hAnsi="Times New Roman"/>
          <w:sz w:val="24"/>
          <w:szCs w:val="24"/>
        </w:rPr>
        <w:t>Према</w:t>
      </w:r>
      <w:r w:rsidR="00C857DC" w:rsidRPr="0007021A">
        <w:rPr>
          <w:rFonts w:ascii="Times New Roman" w:hAnsi="Times New Roman"/>
          <w:sz w:val="24"/>
          <w:szCs w:val="24"/>
        </w:rPr>
        <w:t xml:space="preserve"> </w:t>
      </w:r>
      <w:r w:rsidRPr="0007021A">
        <w:rPr>
          <w:rFonts w:ascii="Times New Roman" w:hAnsi="Times New Roman"/>
          <w:sz w:val="24"/>
          <w:szCs w:val="24"/>
        </w:rPr>
        <w:t>ставу</w:t>
      </w:r>
      <w:r w:rsidR="00C857DC" w:rsidRPr="0007021A">
        <w:rPr>
          <w:rFonts w:ascii="Times New Roman" w:hAnsi="Times New Roman"/>
          <w:sz w:val="24"/>
          <w:szCs w:val="24"/>
        </w:rPr>
        <w:t xml:space="preserve"> 2. </w:t>
      </w:r>
      <w:r w:rsidRPr="0007021A">
        <w:rPr>
          <w:rFonts w:ascii="Times New Roman" w:hAnsi="Times New Roman"/>
          <w:sz w:val="24"/>
          <w:szCs w:val="24"/>
        </w:rPr>
        <w:t>наведеног</w:t>
      </w:r>
      <w:r w:rsidR="00C857DC" w:rsidRPr="0007021A">
        <w:rPr>
          <w:rFonts w:ascii="Times New Roman" w:hAnsi="Times New Roman"/>
          <w:sz w:val="24"/>
          <w:szCs w:val="24"/>
        </w:rPr>
        <w:t xml:space="preserve"> </w:t>
      </w:r>
      <w:r w:rsidRPr="0007021A">
        <w:rPr>
          <w:rFonts w:ascii="Times New Roman" w:hAnsi="Times New Roman"/>
          <w:sz w:val="24"/>
          <w:szCs w:val="24"/>
        </w:rPr>
        <w:t>члана</w:t>
      </w:r>
      <w:r w:rsidR="00C857DC" w:rsidRPr="0007021A">
        <w:rPr>
          <w:rFonts w:ascii="Times New Roman" w:hAnsi="Times New Roman"/>
          <w:sz w:val="24"/>
          <w:szCs w:val="24"/>
        </w:rPr>
        <w:t xml:space="preserve"> </w:t>
      </w:r>
      <w:r w:rsidRPr="0007021A">
        <w:rPr>
          <w:rFonts w:ascii="Times New Roman" w:hAnsi="Times New Roman"/>
          <w:sz w:val="24"/>
          <w:szCs w:val="24"/>
        </w:rPr>
        <w:t>Закона</w:t>
      </w:r>
      <w:r w:rsidR="00C857DC" w:rsidRPr="0007021A">
        <w:rPr>
          <w:rFonts w:ascii="Times New Roman" w:hAnsi="Times New Roman"/>
          <w:sz w:val="24"/>
          <w:szCs w:val="24"/>
        </w:rPr>
        <w:t xml:space="preserve">, </w:t>
      </w:r>
      <w:r w:rsidRPr="0007021A">
        <w:rPr>
          <w:rFonts w:ascii="Times New Roman" w:hAnsi="Times New Roman"/>
          <w:sz w:val="24"/>
          <w:szCs w:val="24"/>
        </w:rPr>
        <w:t>прописано</w:t>
      </w:r>
      <w:r w:rsidR="00C857DC" w:rsidRPr="0007021A">
        <w:rPr>
          <w:rFonts w:ascii="Times New Roman" w:hAnsi="Times New Roman"/>
          <w:sz w:val="24"/>
          <w:szCs w:val="24"/>
        </w:rPr>
        <w:t xml:space="preserve"> </w:t>
      </w:r>
      <w:r w:rsidRPr="0007021A">
        <w:rPr>
          <w:rFonts w:ascii="Times New Roman" w:hAnsi="Times New Roman"/>
          <w:sz w:val="24"/>
          <w:szCs w:val="24"/>
        </w:rPr>
        <w:t>је</w:t>
      </w:r>
      <w:r w:rsidR="00C857DC" w:rsidRPr="0007021A">
        <w:rPr>
          <w:rFonts w:ascii="Times New Roman" w:hAnsi="Times New Roman"/>
          <w:sz w:val="24"/>
          <w:szCs w:val="24"/>
        </w:rPr>
        <w:t xml:space="preserve"> </w:t>
      </w:r>
      <w:r w:rsidRPr="0007021A">
        <w:rPr>
          <w:rFonts w:ascii="Times New Roman" w:hAnsi="Times New Roman"/>
          <w:sz w:val="24"/>
          <w:szCs w:val="24"/>
        </w:rPr>
        <w:t>да</w:t>
      </w:r>
      <w:r w:rsidR="00C857DC" w:rsidRPr="0007021A">
        <w:rPr>
          <w:rFonts w:ascii="Times New Roman" w:hAnsi="Times New Roman"/>
          <w:sz w:val="24"/>
          <w:szCs w:val="24"/>
        </w:rPr>
        <w:t xml:space="preserve"> </w:t>
      </w:r>
      <w:r w:rsidRPr="0007021A">
        <w:rPr>
          <w:rFonts w:ascii="Times New Roman" w:hAnsi="Times New Roman"/>
          <w:sz w:val="24"/>
          <w:szCs w:val="24"/>
        </w:rPr>
        <w:t>се</w:t>
      </w:r>
      <w:r w:rsidR="00C857DC" w:rsidRPr="0007021A">
        <w:rPr>
          <w:rFonts w:ascii="Times New Roman" w:hAnsi="Times New Roman"/>
          <w:sz w:val="24"/>
          <w:szCs w:val="24"/>
        </w:rPr>
        <w:t xml:space="preserve"> </w:t>
      </w:r>
      <w:r w:rsidRPr="0007021A">
        <w:rPr>
          <w:rFonts w:ascii="Times New Roman" w:hAnsi="Times New Roman"/>
          <w:sz w:val="24"/>
          <w:szCs w:val="24"/>
        </w:rPr>
        <w:t>увезеним</w:t>
      </w:r>
      <w:r w:rsidR="00C857DC" w:rsidRPr="0007021A">
        <w:rPr>
          <w:rFonts w:ascii="Times New Roman" w:hAnsi="Times New Roman"/>
          <w:sz w:val="24"/>
          <w:szCs w:val="24"/>
        </w:rPr>
        <w:t xml:space="preserve"> </w:t>
      </w:r>
      <w:r w:rsidRPr="0007021A">
        <w:rPr>
          <w:rFonts w:ascii="Times New Roman" w:hAnsi="Times New Roman"/>
          <w:sz w:val="24"/>
          <w:szCs w:val="24"/>
        </w:rPr>
        <w:t>акцизним</w:t>
      </w:r>
      <w:r w:rsidR="00C857DC" w:rsidRPr="0007021A">
        <w:rPr>
          <w:rFonts w:ascii="Times New Roman" w:hAnsi="Times New Roman"/>
          <w:sz w:val="24"/>
          <w:szCs w:val="24"/>
        </w:rPr>
        <w:t xml:space="preserve"> </w:t>
      </w:r>
      <w:r w:rsidRPr="0007021A">
        <w:rPr>
          <w:rFonts w:ascii="Times New Roman" w:hAnsi="Times New Roman"/>
          <w:sz w:val="24"/>
          <w:szCs w:val="24"/>
        </w:rPr>
        <w:t>производима</w:t>
      </w:r>
      <w:r w:rsidR="00C857DC" w:rsidRPr="0007021A">
        <w:rPr>
          <w:rFonts w:ascii="Times New Roman" w:hAnsi="Times New Roman"/>
          <w:sz w:val="24"/>
          <w:szCs w:val="24"/>
        </w:rPr>
        <w:t xml:space="preserve"> </w:t>
      </w:r>
      <w:r w:rsidRPr="0007021A">
        <w:rPr>
          <w:rFonts w:ascii="Times New Roman" w:hAnsi="Times New Roman"/>
          <w:sz w:val="24"/>
          <w:szCs w:val="24"/>
        </w:rPr>
        <w:t>сматрају</w:t>
      </w:r>
      <w:r w:rsidR="00C857DC" w:rsidRPr="0007021A">
        <w:rPr>
          <w:rFonts w:ascii="Times New Roman" w:hAnsi="Times New Roman"/>
          <w:sz w:val="24"/>
          <w:szCs w:val="24"/>
        </w:rPr>
        <w:t xml:space="preserve"> </w:t>
      </w:r>
      <w:r w:rsidRPr="0007021A">
        <w:rPr>
          <w:rFonts w:ascii="Times New Roman" w:hAnsi="Times New Roman"/>
          <w:sz w:val="24"/>
          <w:szCs w:val="24"/>
        </w:rPr>
        <w:t>акцизни</w:t>
      </w:r>
      <w:r w:rsidR="00C857DC" w:rsidRPr="0007021A">
        <w:rPr>
          <w:rFonts w:ascii="Times New Roman" w:hAnsi="Times New Roman"/>
          <w:sz w:val="24"/>
          <w:szCs w:val="24"/>
        </w:rPr>
        <w:t xml:space="preserve"> </w:t>
      </w:r>
      <w:r w:rsidRPr="0007021A">
        <w:rPr>
          <w:rFonts w:ascii="Times New Roman" w:hAnsi="Times New Roman"/>
          <w:sz w:val="24"/>
          <w:szCs w:val="24"/>
        </w:rPr>
        <w:t>производи</w:t>
      </w:r>
      <w:r w:rsidR="00C857DC" w:rsidRPr="0007021A">
        <w:rPr>
          <w:rFonts w:ascii="Times New Roman" w:hAnsi="Times New Roman"/>
          <w:sz w:val="24"/>
          <w:szCs w:val="24"/>
        </w:rPr>
        <w:t xml:space="preserve"> </w:t>
      </w:r>
      <w:r w:rsidRPr="0007021A">
        <w:rPr>
          <w:rFonts w:ascii="Times New Roman" w:hAnsi="Times New Roman"/>
          <w:sz w:val="24"/>
          <w:szCs w:val="24"/>
        </w:rPr>
        <w:t>који</w:t>
      </w:r>
      <w:r w:rsidR="00C857DC" w:rsidRPr="0007021A">
        <w:rPr>
          <w:rFonts w:ascii="Times New Roman" w:hAnsi="Times New Roman"/>
          <w:sz w:val="24"/>
          <w:szCs w:val="24"/>
        </w:rPr>
        <w:t xml:space="preserve"> </w:t>
      </w:r>
      <w:r w:rsidRPr="0007021A">
        <w:rPr>
          <w:rFonts w:ascii="Times New Roman" w:hAnsi="Times New Roman"/>
          <w:sz w:val="24"/>
          <w:szCs w:val="24"/>
        </w:rPr>
        <w:t>су</w:t>
      </w:r>
      <w:r w:rsidR="00C857DC" w:rsidRPr="0007021A">
        <w:rPr>
          <w:rFonts w:ascii="Times New Roman" w:hAnsi="Times New Roman"/>
          <w:sz w:val="24"/>
          <w:szCs w:val="24"/>
        </w:rPr>
        <w:t xml:space="preserve"> </w:t>
      </w:r>
      <w:r w:rsidRPr="0007021A">
        <w:rPr>
          <w:rFonts w:ascii="Times New Roman" w:hAnsi="Times New Roman"/>
          <w:sz w:val="24"/>
          <w:szCs w:val="24"/>
        </w:rPr>
        <w:t>увезени</w:t>
      </w:r>
      <w:r w:rsidR="00C857DC" w:rsidRPr="0007021A">
        <w:rPr>
          <w:rFonts w:ascii="Times New Roman" w:hAnsi="Times New Roman"/>
          <w:sz w:val="24"/>
          <w:szCs w:val="24"/>
        </w:rPr>
        <w:t xml:space="preserve"> </w:t>
      </w:r>
      <w:r w:rsidRPr="0007021A">
        <w:rPr>
          <w:rFonts w:ascii="Times New Roman" w:hAnsi="Times New Roman"/>
          <w:sz w:val="24"/>
          <w:szCs w:val="24"/>
        </w:rPr>
        <w:t>у</w:t>
      </w:r>
      <w:r w:rsidR="00C857DC" w:rsidRPr="0007021A">
        <w:rPr>
          <w:rFonts w:ascii="Times New Roman" w:hAnsi="Times New Roman"/>
          <w:sz w:val="24"/>
          <w:szCs w:val="24"/>
        </w:rPr>
        <w:t xml:space="preserve"> </w:t>
      </w:r>
      <w:r w:rsidRPr="0007021A">
        <w:rPr>
          <w:rFonts w:ascii="Times New Roman" w:hAnsi="Times New Roman"/>
          <w:sz w:val="24"/>
          <w:szCs w:val="24"/>
        </w:rPr>
        <w:t>складу</w:t>
      </w:r>
      <w:r w:rsidR="00C857DC" w:rsidRPr="0007021A">
        <w:rPr>
          <w:rFonts w:ascii="Times New Roman" w:hAnsi="Times New Roman"/>
          <w:sz w:val="24"/>
          <w:szCs w:val="24"/>
        </w:rPr>
        <w:t xml:space="preserve"> </w:t>
      </w:r>
      <w:r w:rsidRPr="0007021A">
        <w:rPr>
          <w:rFonts w:ascii="Times New Roman" w:hAnsi="Times New Roman"/>
          <w:sz w:val="24"/>
          <w:szCs w:val="24"/>
        </w:rPr>
        <w:t>са</w:t>
      </w:r>
      <w:r w:rsidR="00C857DC" w:rsidRPr="0007021A">
        <w:rPr>
          <w:rFonts w:ascii="Times New Roman" w:hAnsi="Times New Roman"/>
          <w:sz w:val="24"/>
          <w:szCs w:val="24"/>
        </w:rPr>
        <w:t xml:space="preserve"> </w:t>
      </w:r>
      <w:r w:rsidRPr="0007021A">
        <w:rPr>
          <w:rFonts w:ascii="Times New Roman" w:hAnsi="Times New Roman"/>
          <w:sz w:val="24"/>
          <w:szCs w:val="24"/>
        </w:rPr>
        <w:t>царинским</w:t>
      </w:r>
      <w:r w:rsidR="00C857DC" w:rsidRPr="0007021A">
        <w:rPr>
          <w:rFonts w:ascii="Times New Roman" w:hAnsi="Times New Roman"/>
          <w:sz w:val="24"/>
          <w:szCs w:val="24"/>
        </w:rPr>
        <w:t xml:space="preserve">, </w:t>
      </w:r>
      <w:r w:rsidRPr="0007021A">
        <w:rPr>
          <w:rFonts w:ascii="Times New Roman" w:hAnsi="Times New Roman"/>
          <w:sz w:val="24"/>
          <w:szCs w:val="24"/>
        </w:rPr>
        <w:t>односно</w:t>
      </w:r>
      <w:r w:rsidR="00C857DC" w:rsidRPr="0007021A">
        <w:rPr>
          <w:rFonts w:ascii="Times New Roman" w:hAnsi="Times New Roman"/>
          <w:sz w:val="24"/>
          <w:szCs w:val="24"/>
        </w:rPr>
        <w:t xml:space="preserve"> </w:t>
      </w:r>
      <w:r w:rsidRPr="0007021A">
        <w:rPr>
          <w:rFonts w:ascii="Times New Roman" w:hAnsi="Times New Roman"/>
          <w:sz w:val="24"/>
          <w:szCs w:val="24"/>
        </w:rPr>
        <w:t>спољнотрговинским</w:t>
      </w:r>
      <w:r w:rsidR="00C857DC" w:rsidRPr="0007021A">
        <w:rPr>
          <w:rFonts w:ascii="Times New Roman" w:hAnsi="Times New Roman"/>
          <w:sz w:val="24"/>
          <w:szCs w:val="24"/>
        </w:rPr>
        <w:t xml:space="preserve"> </w:t>
      </w:r>
      <w:r w:rsidRPr="0007021A">
        <w:rPr>
          <w:rFonts w:ascii="Times New Roman" w:hAnsi="Times New Roman"/>
          <w:sz w:val="24"/>
          <w:szCs w:val="24"/>
        </w:rPr>
        <w:t>прописима</w:t>
      </w:r>
      <w:r w:rsidR="00C857DC" w:rsidRPr="0007021A">
        <w:rPr>
          <w:rFonts w:ascii="Times New Roman" w:hAnsi="Times New Roman"/>
          <w:sz w:val="24"/>
          <w:szCs w:val="24"/>
        </w:rPr>
        <w:t>.</w:t>
      </w:r>
    </w:p>
    <w:p w:rsidR="004D5D9D" w:rsidRPr="0007021A" w:rsidRDefault="004949B5" w:rsidP="0007021A">
      <w:pPr>
        <w:ind w:firstLine="708"/>
        <w:jc w:val="both"/>
        <w:rPr>
          <w:rFonts w:ascii="Times New Roman" w:hAnsi="Times New Roman"/>
          <w:sz w:val="24"/>
          <w:szCs w:val="24"/>
          <w:lang w:val="sr-Cyrl-CS"/>
        </w:rPr>
      </w:pPr>
      <w:r w:rsidRPr="0007021A">
        <w:rPr>
          <w:rFonts w:ascii="Times New Roman" w:hAnsi="Times New Roman"/>
          <w:sz w:val="24"/>
          <w:szCs w:val="24"/>
        </w:rPr>
        <w:t>Према</w:t>
      </w:r>
      <w:r w:rsidR="00C857DC" w:rsidRPr="0007021A">
        <w:rPr>
          <w:rFonts w:ascii="Times New Roman" w:hAnsi="Times New Roman"/>
          <w:sz w:val="24"/>
          <w:szCs w:val="24"/>
        </w:rPr>
        <w:t xml:space="preserve"> </w:t>
      </w:r>
      <w:r w:rsidRPr="0007021A">
        <w:rPr>
          <w:rFonts w:ascii="Times New Roman" w:hAnsi="Times New Roman"/>
          <w:sz w:val="24"/>
          <w:szCs w:val="24"/>
        </w:rPr>
        <w:t>члану</w:t>
      </w:r>
      <w:r w:rsidR="00C857DC" w:rsidRPr="0007021A">
        <w:rPr>
          <w:rFonts w:ascii="Times New Roman" w:hAnsi="Times New Roman"/>
          <w:sz w:val="24"/>
          <w:szCs w:val="24"/>
        </w:rPr>
        <w:t xml:space="preserve"> 18. </w:t>
      </w:r>
      <w:r w:rsidRPr="0007021A">
        <w:rPr>
          <w:rFonts w:ascii="Times New Roman" w:hAnsi="Times New Roman"/>
          <w:sz w:val="24"/>
          <w:szCs w:val="24"/>
        </w:rPr>
        <w:t>став</w:t>
      </w:r>
      <w:r w:rsidR="00C857DC" w:rsidRPr="0007021A">
        <w:rPr>
          <w:rFonts w:ascii="Times New Roman" w:hAnsi="Times New Roman"/>
          <w:sz w:val="24"/>
          <w:szCs w:val="24"/>
        </w:rPr>
        <w:t xml:space="preserve"> 1. </w:t>
      </w:r>
      <w:r w:rsidRPr="0007021A">
        <w:rPr>
          <w:rFonts w:ascii="Times New Roman" w:hAnsi="Times New Roman"/>
          <w:sz w:val="24"/>
          <w:szCs w:val="24"/>
        </w:rPr>
        <w:t>Закона</w:t>
      </w:r>
      <w:r w:rsidR="00C857DC" w:rsidRPr="0007021A">
        <w:rPr>
          <w:rFonts w:ascii="Times New Roman" w:hAnsi="Times New Roman"/>
          <w:sz w:val="24"/>
          <w:szCs w:val="24"/>
        </w:rPr>
        <w:t xml:space="preserve">, </w:t>
      </w:r>
      <w:r w:rsidRPr="0007021A">
        <w:rPr>
          <w:rFonts w:ascii="Times New Roman" w:hAnsi="Times New Roman"/>
          <w:sz w:val="24"/>
          <w:szCs w:val="24"/>
        </w:rPr>
        <w:t>произвођач</w:t>
      </w:r>
      <w:r w:rsidR="00C857DC" w:rsidRPr="0007021A">
        <w:rPr>
          <w:rFonts w:ascii="Times New Roman" w:hAnsi="Times New Roman"/>
          <w:sz w:val="24"/>
          <w:szCs w:val="24"/>
        </w:rPr>
        <w:t xml:space="preserve">, </w:t>
      </w:r>
      <w:r w:rsidRPr="0007021A">
        <w:rPr>
          <w:rFonts w:ascii="Times New Roman" w:hAnsi="Times New Roman"/>
          <w:sz w:val="24"/>
          <w:szCs w:val="24"/>
        </w:rPr>
        <w:t>односно</w:t>
      </w:r>
      <w:r w:rsidR="00C857DC" w:rsidRPr="0007021A">
        <w:rPr>
          <w:rFonts w:ascii="Times New Roman" w:hAnsi="Times New Roman"/>
          <w:sz w:val="24"/>
          <w:szCs w:val="24"/>
        </w:rPr>
        <w:t xml:space="preserve"> </w:t>
      </w:r>
      <w:r w:rsidRPr="0007021A">
        <w:rPr>
          <w:rFonts w:ascii="Times New Roman" w:hAnsi="Times New Roman"/>
          <w:sz w:val="24"/>
          <w:szCs w:val="24"/>
        </w:rPr>
        <w:t>увозник</w:t>
      </w:r>
      <w:r w:rsidR="00C857DC" w:rsidRPr="0007021A">
        <w:rPr>
          <w:rFonts w:ascii="Times New Roman" w:hAnsi="Times New Roman"/>
          <w:sz w:val="24"/>
          <w:szCs w:val="24"/>
        </w:rPr>
        <w:t xml:space="preserve"> </w:t>
      </w:r>
      <w:r w:rsidRPr="0007021A">
        <w:rPr>
          <w:rFonts w:ascii="Times New Roman" w:hAnsi="Times New Roman"/>
          <w:sz w:val="24"/>
          <w:szCs w:val="24"/>
        </w:rPr>
        <w:t>дужан</w:t>
      </w:r>
      <w:r w:rsidR="00C857DC" w:rsidRPr="0007021A">
        <w:rPr>
          <w:rFonts w:ascii="Times New Roman" w:hAnsi="Times New Roman"/>
          <w:sz w:val="24"/>
          <w:szCs w:val="24"/>
        </w:rPr>
        <w:t xml:space="preserve"> </w:t>
      </w:r>
      <w:r w:rsidRPr="0007021A">
        <w:rPr>
          <w:rFonts w:ascii="Times New Roman" w:hAnsi="Times New Roman"/>
          <w:sz w:val="24"/>
          <w:szCs w:val="24"/>
        </w:rPr>
        <w:t>је</w:t>
      </w:r>
      <w:r w:rsidR="00C857DC" w:rsidRPr="0007021A">
        <w:rPr>
          <w:rFonts w:ascii="Times New Roman" w:hAnsi="Times New Roman"/>
          <w:sz w:val="24"/>
          <w:szCs w:val="24"/>
        </w:rPr>
        <w:t xml:space="preserve"> </w:t>
      </w:r>
      <w:r w:rsidRPr="0007021A">
        <w:rPr>
          <w:rFonts w:ascii="Times New Roman" w:hAnsi="Times New Roman"/>
          <w:sz w:val="24"/>
          <w:szCs w:val="24"/>
        </w:rPr>
        <w:t>да</w:t>
      </w:r>
      <w:r w:rsidR="00C857DC" w:rsidRPr="0007021A">
        <w:rPr>
          <w:rFonts w:ascii="Times New Roman" w:hAnsi="Times New Roman"/>
          <w:sz w:val="24"/>
          <w:szCs w:val="24"/>
        </w:rPr>
        <w:t xml:space="preserve"> </w:t>
      </w:r>
      <w:r w:rsidRPr="0007021A">
        <w:rPr>
          <w:rFonts w:ascii="Times New Roman" w:hAnsi="Times New Roman"/>
          <w:sz w:val="24"/>
          <w:szCs w:val="24"/>
        </w:rPr>
        <w:t>при</w:t>
      </w:r>
      <w:r w:rsidR="00C857DC" w:rsidRPr="0007021A">
        <w:rPr>
          <w:rFonts w:ascii="Times New Roman" w:hAnsi="Times New Roman"/>
          <w:sz w:val="24"/>
          <w:szCs w:val="24"/>
        </w:rPr>
        <w:t xml:space="preserve"> </w:t>
      </w:r>
      <w:r w:rsidRPr="0007021A">
        <w:rPr>
          <w:rFonts w:ascii="Times New Roman" w:hAnsi="Times New Roman"/>
          <w:sz w:val="24"/>
          <w:szCs w:val="24"/>
        </w:rPr>
        <w:t>производњи</w:t>
      </w:r>
      <w:r w:rsidR="00C857DC" w:rsidRPr="0007021A">
        <w:rPr>
          <w:rFonts w:ascii="Times New Roman" w:hAnsi="Times New Roman"/>
          <w:sz w:val="24"/>
          <w:szCs w:val="24"/>
        </w:rPr>
        <w:t xml:space="preserve">, </w:t>
      </w:r>
      <w:r w:rsidRPr="0007021A">
        <w:rPr>
          <w:rFonts w:ascii="Times New Roman" w:hAnsi="Times New Roman"/>
          <w:sz w:val="24"/>
          <w:szCs w:val="24"/>
        </w:rPr>
        <w:t>односно</w:t>
      </w:r>
      <w:r w:rsidR="00C857DC" w:rsidRPr="0007021A">
        <w:rPr>
          <w:rFonts w:ascii="Times New Roman" w:hAnsi="Times New Roman"/>
          <w:sz w:val="24"/>
          <w:szCs w:val="24"/>
        </w:rPr>
        <w:t xml:space="preserve"> </w:t>
      </w:r>
      <w:r w:rsidRPr="0007021A">
        <w:rPr>
          <w:rFonts w:ascii="Times New Roman" w:hAnsi="Times New Roman"/>
          <w:sz w:val="24"/>
          <w:szCs w:val="24"/>
        </w:rPr>
        <w:t>пре</w:t>
      </w:r>
      <w:r w:rsidR="00C857DC" w:rsidRPr="0007021A">
        <w:rPr>
          <w:rFonts w:ascii="Times New Roman" w:hAnsi="Times New Roman"/>
          <w:sz w:val="24"/>
          <w:szCs w:val="24"/>
        </w:rPr>
        <w:t xml:space="preserve"> </w:t>
      </w:r>
      <w:r w:rsidRPr="0007021A">
        <w:rPr>
          <w:rFonts w:ascii="Times New Roman" w:hAnsi="Times New Roman"/>
          <w:sz w:val="24"/>
          <w:szCs w:val="24"/>
        </w:rPr>
        <w:t>увоза</w:t>
      </w:r>
      <w:r w:rsidR="00C857DC" w:rsidRPr="0007021A">
        <w:rPr>
          <w:rFonts w:ascii="Times New Roman" w:hAnsi="Times New Roman"/>
          <w:sz w:val="24"/>
          <w:szCs w:val="24"/>
        </w:rPr>
        <w:t xml:space="preserve"> </w:t>
      </w:r>
      <w:r w:rsidRPr="0007021A">
        <w:rPr>
          <w:rFonts w:ascii="Times New Roman" w:hAnsi="Times New Roman"/>
          <w:sz w:val="24"/>
          <w:szCs w:val="24"/>
        </w:rPr>
        <w:t>цигарета</w:t>
      </w:r>
      <w:r w:rsidR="00C857DC" w:rsidRPr="0007021A">
        <w:rPr>
          <w:rFonts w:ascii="Times New Roman" w:hAnsi="Times New Roman"/>
          <w:sz w:val="24"/>
          <w:szCs w:val="24"/>
        </w:rPr>
        <w:t xml:space="preserve"> </w:t>
      </w:r>
      <w:r w:rsidRPr="0007021A">
        <w:rPr>
          <w:rFonts w:ascii="Times New Roman" w:hAnsi="Times New Roman"/>
          <w:sz w:val="24"/>
          <w:szCs w:val="24"/>
        </w:rPr>
        <w:t>и</w:t>
      </w:r>
      <w:r w:rsidR="00C857DC" w:rsidRPr="0007021A">
        <w:rPr>
          <w:rFonts w:ascii="Times New Roman" w:hAnsi="Times New Roman"/>
          <w:sz w:val="24"/>
          <w:szCs w:val="24"/>
        </w:rPr>
        <w:t xml:space="preserve"> </w:t>
      </w:r>
      <w:r w:rsidRPr="0007021A">
        <w:rPr>
          <w:rFonts w:ascii="Times New Roman" w:hAnsi="Times New Roman"/>
          <w:sz w:val="24"/>
          <w:szCs w:val="24"/>
        </w:rPr>
        <w:t>алкохолних</w:t>
      </w:r>
      <w:r w:rsidR="00C857DC" w:rsidRPr="0007021A">
        <w:rPr>
          <w:rFonts w:ascii="Times New Roman" w:hAnsi="Times New Roman"/>
          <w:sz w:val="24"/>
          <w:szCs w:val="24"/>
        </w:rPr>
        <w:t xml:space="preserve"> </w:t>
      </w:r>
      <w:r w:rsidRPr="0007021A">
        <w:rPr>
          <w:rFonts w:ascii="Times New Roman" w:hAnsi="Times New Roman"/>
          <w:sz w:val="24"/>
          <w:szCs w:val="24"/>
        </w:rPr>
        <w:t>пића</w:t>
      </w:r>
      <w:r w:rsidR="00C857DC" w:rsidRPr="0007021A">
        <w:rPr>
          <w:rFonts w:ascii="Times New Roman" w:hAnsi="Times New Roman"/>
          <w:sz w:val="24"/>
          <w:szCs w:val="24"/>
        </w:rPr>
        <w:t xml:space="preserve">, </w:t>
      </w:r>
      <w:r w:rsidRPr="0007021A">
        <w:rPr>
          <w:rFonts w:ascii="Times New Roman" w:hAnsi="Times New Roman"/>
          <w:sz w:val="24"/>
          <w:szCs w:val="24"/>
        </w:rPr>
        <w:t>осим</w:t>
      </w:r>
      <w:r w:rsidR="00C857DC" w:rsidRPr="0007021A">
        <w:rPr>
          <w:rFonts w:ascii="Times New Roman" w:hAnsi="Times New Roman"/>
          <w:sz w:val="24"/>
          <w:szCs w:val="24"/>
        </w:rPr>
        <w:t xml:space="preserve"> </w:t>
      </w:r>
      <w:r w:rsidRPr="0007021A">
        <w:rPr>
          <w:rFonts w:ascii="Times New Roman" w:hAnsi="Times New Roman"/>
          <w:sz w:val="24"/>
          <w:szCs w:val="24"/>
        </w:rPr>
        <w:t>пива</w:t>
      </w:r>
      <w:r w:rsidR="00C857DC" w:rsidRPr="0007021A">
        <w:rPr>
          <w:rFonts w:ascii="Times New Roman" w:hAnsi="Times New Roman"/>
          <w:sz w:val="24"/>
          <w:szCs w:val="24"/>
        </w:rPr>
        <w:t xml:space="preserve"> </w:t>
      </w:r>
      <w:r w:rsidRPr="0007021A">
        <w:rPr>
          <w:rFonts w:ascii="Times New Roman" w:hAnsi="Times New Roman"/>
          <w:sz w:val="24"/>
          <w:szCs w:val="24"/>
        </w:rPr>
        <w:t>и</w:t>
      </w:r>
      <w:r w:rsidR="00C857DC" w:rsidRPr="0007021A">
        <w:rPr>
          <w:rFonts w:ascii="Times New Roman" w:hAnsi="Times New Roman"/>
          <w:sz w:val="24"/>
          <w:szCs w:val="24"/>
        </w:rPr>
        <w:t xml:space="preserve"> </w:t>
      </w:r>
      <w:r w:rsidRPr="0007021A">
        <w:rPr>
          <w:rFonts w:ascii="Times New Roman" w:hAnsi="Times New Roman"/>
          <w:sz w:val="24"/>
          <w:szCs w:val="24"/>
        </w:rPr>
        <w:t>цигарета</w:t>
      </w:r>
      <w:r w:rsidR="00C857DC" w:rsidRPr="0007021A">
        <w:rPr>
          <w:rFonts w:ascii="Times New Roman" w:hAnsi="Times New Roman"/>
          <w:sz w:val="24"/>
          <w:szCs w:val="24"/>
        </w:rPr>
        <w:t xml:space="preserve"> </w:t>
      </w:r>
      <w:r w:rsidRPr="0007021A">
        <w:rPr>
          <w:rFonts w:ascii="Times New Roman" w:hAnsi="Times New Roman"/>
          <w:sz w:val="24"/>
          <w:szCs w:val="24"/>
        </w:rPr>
        <w:t>које</w:t>
      </w:r>
      <w:r w:rsidR="00C857DC" w:rsidRPr="0007021A">
        <w:rPr>
          <w:rFonts w:ascii="Times New Roman" w:hAnsi="Times New Roman"/>
          <w:sz w:val="24"/>
          <w:szCs w:val="24"/>
        </w:rPr>
        <w:t xml:space="preserve"> </w:t>
      </w:r>
      <w:r w:rsidRPr="0007021A">
        <w:rPr>
          <w:rFonts w:ascii="Times New Roman" w:hAnsi="Times New Roman"/>
          <w:sz w:val="24"/>
          <w:szCs w:val="24"/>
        </w:rPr>
        <w:t>се</w:t>
      </w:r>
      <w:r w:rsidR="00C857DC" w:rsidRPr="0007021A">
        <w:rPr>
          <w:rFonts w:ascii="Times New Roman" w:hAnsi="Times New Roman"/>
          <w:sz w:val="24"/>
          <w:szCs w:val="24"/>
        </w:rPr>
        <w:t xml:space="preserve"> </w:t>
      </w:r>
      <w:r w:rsidRPr="0007021A">
        <w:rPr>
          <w:rFonts w:ascii="Times New Roman" w:hAnsi="Times New Roman"/>
          <w:sz w:val="24"/>
          <w:szCs w:val="24"/>
        </w:rPr>
        <w:t>користе</w:t>
      </w:r>
      <w:r w:rsidR="00C857DC" w:rsidRPr="0007021A">
        <w:rPr>
          <w:rFonts w:ascii="Times New Roman" w:hAnsi="Times New Roman"/>
          <w:sz w:val="24"/>
          <w:szCs w:val="24"/>
        </w:rPr>
        <w:t xml:space="preserve"> </w:t>
      </w:r>
      <w:r w:rsidRPr="0007021A">
        <w:rPr>
          <w:rFonts w:ascii="Times New Roman" w:hAnsi="Times New Roman"/>
          <w:sz w:val="24"/>
          <w:szCs w:val="24"/>
        </w:rPr>
        <w:t>за</w:t>
      </w:r>
      <w:r w:rsidR="00C857DC" w:rsidRPr="0007021A">
        <w:rPr>
          <w:rFonts w:ascii="Times New Roman" w:hAnsi="Times New Roman"/>
          <w:sz w:val="24"/>
          <w:szCs w:val="24"/>
        </w:rPr>
        <w:t xml:space="preserve"> </w:t>
      </w:r>
      <w:r w:rsidRPr="0007021A">
        <w:rPr>
          <w:rFonts w:ascii="Times New Roman" w:hAnsi="Times New Roman"/>
          <w:sz w:val="24"/>
          <w:szCs w:val="24"/>
        </w:rPr>
        <w:t>тестирање</w:t>
      </w:r>
      <w:r w:rsidR="00C857DC" w:rsidRPr="0007021A">
        <w:rPr>
          <w:rFonts w:ascii="Times New Roman" w:hAnsi="Times New Roman"/>
          <w:sz w:val="24"/>
          <w:szCs w:val="24"/>
        </w:rPr>
        <w:t xml:space="preserve"> </w:t>
      </w:r>
      <w:r w:rsidRPr="0007021A">
        <w:rPr>
          <w:rFonts w:ascii="Times New Roman" w:hAnsi="Times New Roman"/>
          <w:sz w:val="24"/>
          <w:szCs w:val="24"/>
        </w:rPr>
        <w:t>квалитета</w:t>
      </w:r>
      <w:r w:rsidR="00C857DC" w:rsidRPr="0007021A">
        <w:rPr>
          <w:rFonts w:ascii="Times New Roman" w:hAnsi="Times New Roman"/>
          <w:sz w:val="24"/>
          <w:szCs w:val="24"/>
        </w:rPr>
        <w:t xml:space="preserve"> </w:t>
      </w:r>
      <w:r w:rsidRPr="0007021A">
        <w:rPr>
          <w:rFonts w:ascii="Times New Roman" w:hAnsi="Times New Roman"/>
          <w:sz w:val="24"/>
          <w:szCs w:val="24"/>
        </w:rPr>
        <w:t>производа</w:t>
      </w:r>
      <w:r w:rsidR="00C857DC" w:rsidRPr="0007021A">
        <w:rPr>
          <w:rFonts w:ascii="Times New Roman" w:hAnsi="Times New Roman"/>
          <w:sz w:val="24"/>
          <w:szCs w:val="24"/>
        </w:rPr>
        <w:t xml:space="preserve">, </w:t>
      </w:r>
      <w:r w:rsidRPr="0007021A">
        <w:rPr>
          <w:rFonts w:ascii="Times New Roman" w:hAnsi="Times New Roman"/>
          <w:sz w:val="24"/>
          <w:szCs w:val="24"/>
        </w:rPr>
        <w:t>обележи</w:t>
      </w:r>
      <w:r w:rsidR="00C857DC" w:rsidRPr="0007021A">
        <w:rPr>
          <w:rFonts w:ascii="Times New Roman" w:hAnsi="Times New Roman"/>
          <w:sz w:val="24"/>
          <w:szCs w:val="24"/>
        </w:rPr>
        <w:t xml:space="preserve"> </w:t>
      </w:r>
      <w:r w:rsidRPr="0007021A">
        <w:rPr>
          <w:rFonts w:ascii="Times New Roman" w:hAnsi="Times New Roman"/>
          <w:sz w:val="24"/>
          <w:szCs w:val="24"/>
        </w:rPr>
        <w:t>контролном</w:t>
      </w:r>
      <w:r w:rsidR="00C857DC" w:rsidRPr="0007021A">
        <w:rPr>
          <w:rFonts w:ascii="Times New Roman" w:hAnsi="Times New Roman"/>
          <w:sz w:val="24"/>
          <w:szCs w:val="24"/>
        </w:rPr>
        <w:t xml:space="preserve"> </w:t>
      </w:r>
      <w:r w:rsidRPr="0007021A">
        <w:rPr>
          <w:rFonts w:ascii="Times New Roman" w:hAnsi="Times New Roman"/>
          <w:sz w:val="24"/>
          <w:szCs w:val="24"/>
        </w:rPr>
        <w:t>акцизном</w:t>
      </w:r>
      <w:r w:rsidR="00C857DC" w:rsidRPr="0007021A">
        <w:rPr>
          <w:rFonts w:ascii="Times New Roman" w:hAnsi="Times New Roman"/>
          <w:sz w:val="24"/>
          <w:szCs w:val="24"/>
        </w:rPr>
        <w:t xml:space="preserve"> </w:t>
      </w:r>
      <w:r w:rsidRPr="0007021A">
        <w:rPr>
          <w:rFonts w:ascii="Times New Roman" w:hAnsi="Times New Roman"/>
          <w:sz w:val="24"/>
          <w:szCs w:val="24"/>
        </w:rPr>
        <w:t>маркицом</w:t>
      </w:r>
      <w:r w:rsidR="00C857DC" w:rsidRPr="0007021A">
        <w:rPr>
          <w:rFonts w:ascii="Times New Roman" w:hAnsi="Times New Roman"/>
          <w:sz w:val="24"/>
          <w:szCs w:val="24"/>
        </w:rPr>
        <w:t xml:space="preserve"> </w:t>
      </w:r>
      <w:r w:rsidRPr="0007021A">
        <w:rPr>
          <w:rFonts w:ascii="Times New Roman" w:hAnsi="Times New Roman"/>
          <w:sz w:val="24"/>
          <w:szCs w:val="24"/>
        </w:rPr>
        <w:t>сваки</w:t>
      </w:r>
      <w:r w:rsidR="00C857DC" w:rsidRPr="0007021A">
        <w:rPr>
          <w:rFonts w:ascii="Times New Roman" w:hAnsi="Times New Roman"/>
          <w:sz w:val="24"/>
          <w:szCs w:val="24"/>
        </w:rPr>
        <w:t xml:space="preserve"> </w:t>
      </w:r>
      <w:r w:rsidRPr="0007021A">
        <w:rPr>
          <w:rFonts w:ascii="Times New Roman" w:hAnsi="Times New Roman"/>
          <w:sz w:val="24"/>
          <w:szCs w:val="24"/>
        </w:rPr>
        <w:t>од</w:t>
      </w:r>
      <w:r w:rsidR="00C857DC" w:rsidRPr="0007021A">
        <w:rPr>
          <w:rFonts w:ascii="Times New Roman" w:hAnsi="Times New Roman"/>
          <w:sz w:val="24"/>
          <w:szCs w:val="24"/>
        </w:rPr>
        <w:t xml:space="preserve"> </w:t>
      </w:r>
      <w:r w:rsidRPr="0007021A">
        <w:rPr>
          <w:rFonts w:ascii="Times New Roman" w:hAnsi="Times New Roman"/>
          <w:sz w:val="24"/>
          <w:szCs w:val="24"/>
        </w:rPr>
        <w:t>тих</w:t>
      </w:r>
      <w:r w:rsidR="00C857DC" w:rsidRPr="0007021A">
        <w:rPr>
          <w:rFonts w:ascii="Times New Roman" w:hAnsi="Times New Roman"/>
          <w:sz w:val="24"/>
          <w:szCs w:val="24"/>
        </w:rPr>
        <w:t xml:space="preserve"> </w:t>
      </w:r>
      <w:r w:rsidRPr="0007021A">
        <w:rPr>
          <w:rFonts w:ascii="Times New Roman" w:hAnsi="Times New Roman"/>
          <w:sz w:val="24"/>
          <w:szCs w:val="24"/>
        </w:rPr>
        <w:t>производа</w:t>
      </w:r>
      <w:r w:rsidR="00C857DC" w:rsidRPr="0007021A">
        <w:rPr>
          <w:rFonts w:ascii="Times New Roman" w:hAnsi="Times New Roman"/>
          <w:sz w:val="24"/>
          <w:szCs w:val="24"/>
        </w:rPr>
        <w:t xml:space="preserve"> </w:t>
      </w:r>
      <w:r w:rsidRPr="0007021A">
        <w:rPr>
          <w:rFonts w:ascii="Times New Roman" w:hAnsi="Times New Roman"/>
          <w:sz w:val="24"/>
          <w:szCs w:val="24"/>
        </w:rPr>
        <w:t>посебно</w:t>
      </w:r>
      <w:r w:rsidR="00C857DC" w:rsidRPr="0007021A">
        <w:rPr>
          <w:rFonts w:ascii="Times New Roman" w:hAnsi="Times New Roman"/>
          <w:sz w:val="24"/>
          <w:szCs w:val="24"/>
        </w:rPr>
        <w:t>.</w:t>
      </w:r>
    </w:p>
    <w:p w:rsidR="004D5D9D" w:rsidRPr="0007021A" w:rsidRDefault="004949B5" w:rsidP="0007021A">
      <w:pPr>
        <w:ind w:firstLine="708"/>
        <w:jc w:val="both"/>
        <w:rPr>
          <w:rFonts w:ascii="Times New Roman" w:hAnsi="Times New Roman"/>
          <w:sz w:val="24"/>
          <w:szCs w:val="24"/>
          <w:lang w:val="sr-Cyrl-CS"/>
        </w:rPr>
      </w:pPr>
      <w:r w:rsidRPr="0007021A">
        <w:rPr>
          <w:rFonts w:ascii="Times New Roman" w:hAnsi="Times New Roman"/>
          <w:sz w:val="24"/>
          <w:szCs w:val="24"/>
        </w:rPr>
        <w:t>Сходно</w:t>
      </w:r>
      <w:r w:rsidR="00C857DC" w:rsidRPr="0007021A">
        <w:rPr>
          <w:rFonts w:ascii="Times New Roman" w:hAnsi="Times New Roman"/>
          <w:sz w:val="24"/>
          <w:szCs w:val="24"/>
        </w:rPr>
        <w:t xml:space="preserve"> </w:t>
      </w:r>
      <w:r w:rsidRPr="0007021A">
        <w:rPr>
          <w:rFonts w:ascii="Times New Roman" w:hAnsi="Times New Roman"/>
          <w:sz w:val="24"/>
          <w:szCs w:val="24"/>
        </w:rPr>
        <w:t>одредби</w:t>
      </w:r>
      <w:r w:rsidR="00C857DC" w:rsidRPr="0007021A">
        <w:rPr>
          <w:rFonts w:ascii="Times New Roman" w:hAnsi="Times New Roman"/>
          <w:sz w:val="24"/>
          <w:szCs w:val="24"/>
        </w:rPr>
        <w:t xml:space="preserve"> </w:t>
      </w:r>
      <w:r w:rsidRPr="0007021A">
        <w:rPr>
          <w:rFonts w:ascii="Times New Roman" w:hAnsi="Times New Roman"/>
          <w:sz w:val="24"/>
          <w:szCs w:val="24"/>
        </w:rPr>
        <w:t>члана</w:t>
      </w:r>
      <w:r w:rsidR="00C857DC" w:rsidRPr="0007021A">
        <w:rPr>
          <w:rFonts w:ascii="Times New Roman" w:hAnsi="Times New Roman"/>
          <w:sz w:val="24"/>
          <w:szCs w:val="24"/>
        </w:rPr>
        <w:t xml:space="preserve"> 21</w:t>
      </w:r>
      <w:r w:rsidRPr="0007021A">
        <w:rPr>
          <w:rFonts w:ascii="Times New Roman" w:hAnsi="Times New Roman"/>
          <w:sz w:val="24"/>
          <w:szCs w:val="24"/>
        </w:rPr>
        <w:t>а</w:t>
      </w:r>
      <w:r w:rsidR="00C857DC" w:rsidRPr="0007021A">
        <w:rPr>
          <w:rFonts w:ascii="Times New Roman" w:hAnsi="Times New Roman"/>
          <w:sz w:val="24"/>
          <w:szCs w:val="24"/>
        </w:rPr>
        <w:t xml:space="preserve"> </w:t>
      </w:r>
      <w:r w:rsidRPr="0007021A">
        <w:rPr>
          <w:rFonts w:ascii="Times New Roman" w:hAnsi="Times New Roman"/>
          <w:sz w:val="24"/>
          <w:szCs w:val="24"/>
        </w:rPr>
        <w:t>ст</w:t>
      </w:r>
      <w:r w:rsidR="00C857DC" w:rsidRPr="0007021A">
        <w:rPr>
          <w:rFonts w:ascii="Times New Roman" w:hAnsi="Times New Roman"/>
          <w:sz w:val="24"/>
          <w:szCs w:val="24"/>
        </w:rPr>
        <w:t xml:space="preserve">. 1. </w:t>
      </w:r>
      <w:r w:rsidRPr="0007021A">
        <w:rPr>
          <w:rFonts w:ascii="Times New Roman" w:hAnsi="Times New Roman"/>
          <w:sz w:val="24"/>
          <w:szCs w:val="24"/>
        </w:rPr>
        <w:t>и</w:t>
      </w:r>
      <w:r w:rsidR="00C857DC" w:rsidRPr="0007021A">
        <w:rPr>
          <w:rFonts w:ascii="Times New Roman" w:hAnsi="Times New Roman"/>
          <w:sz w:val="24"/>
          <w:szCs w:val="24"/>
        </w:rPr>
        <w:t xml:space="preserve"> 3. </w:t>
      </w:r>
      <w:r w:rsidRPr="0007021A">
        <w:rPr>
          <w:rFonts w:ascii="Times New Roman" w:hAnsi="Times New Roman"/>
          <w:sz w:val="24"/>
          <w:szCs w:val="24"/>
        </w:rPr>
        <w:t>Закона</w:t>
      </w:r>
      <w:r w:rsidR="00C857DC" w:rsidRPr="0007021A">
        <w:rPr>
          <w:rFonts w:ascii="Times New Roman" w:hAnsi="Times New Roman"/>
          <w:sz w:val="24"/>
          <w:szCs w:val="24"/>
        </w:rPr>
        <w:t xml:space="preserve">, </w:t>
      </w:r>
      <w:r w:rsidRPr="0007021A">
        <w:rPr>
          <w:rFonts w:ascii="Times New Roman" w:hAnsi="Times New Roman"/>
          <w:sz w:val="24"/>
          <w:szCs w:val="24"/>
        </w:rPr>
        <w:t>обавеза</w:t>
      </w:r>
      <w:r w:rsidR="00C857DC" w:rsidRPr="0007021A">
        <w:rPr>
          <w:rFonts w:ascii="Times New Roman" w:hAnsi="Times New Roman"/>
          <w:sz w:val="24"/>
          <w:szCs w:val="24"/>
        </w:rPr>
        <w:t xml:space="preserve"> </w:t>
      </w:r>
      <w:r w:rsidRPr="0007021A">
        <w:rPr>
          <w:rFonts w:ascii="Times New Roman" w:hAnsi="Times New Roman"/>
          <w:sz w:val="24"/>
          <w:szCs w:val="24"/>
        </w:rPr>
        <w:t>обрачунавања</w:t>
      </w:r>
      <w:r w:rsidR="00C857DC" w:rsidRPr="0007021A">
        <w:rPr>
          <w:rFonts w:ascii="Times New Roman" w:hAnsi="Times New Roman"/>
          <w:sz w:val="24"/>
          <w:szCs w:val="24"/>
        </w:rPr>
        <w:t xml:space="preserve"> </w:t>
      </w:r>
      <w:r w:rsidRPr="0007021A">
        <w:rPr>
          <w:rFonts w:ascii="Times New Roman" w:hAnsi="Times New Roman"/>
          <w:sz w:val="24"/>
          <w:szCs w:val="24"/>
        </w:rPr>
        <w:t>акцизе</w:t>
      </w:r>
      <w:r w:rsidR="00C857DC" w:rsidRPr="0007021A">
        <w:rPr>
          <w:rFonts w:ascii="Times New Roman" w:hAnsi="Times New Roman"/>
          <w:sz w:val="24"/>
          <w:szCs w:val="24"/>
        </w:rPr>
        <w:t xml:space="preserve"> </w:t>
      </w:r>
      <w:r w:rsidRPr="0007021A">
        <w:rPr>
          <w:rFonts w:ascii="Times New Roman" w:hAnsi="Times New Roman"/>
          <w:sz w:val="24"/>
          <w:szCs w:val="24"/>
        </w:rPr>
        <w:t>при</w:t>
      </w:r>
      <w:r w:rsidR="00C857DC" w:rsidRPr="0007021A">
        <w:rPr>
          <w:rFonts w:ascii="Times New Roman" w:hAnsi="Times New Roman"/>
          <w:sz w:val="24"/>
          <w:szCs w:val="24"/>
        </w:rPr>
        <w:t xml:space="preserve"> </w:t>
      </w:r>
      <w:r w:rsidRPr="0007021A">
        <w:rPr>
          <w:rFonts w:ascii="Times New Roman" w:hAnsi="Times New Roman"/>
          <w:sz w:val="24"/>
          <w:szCs w:val="24"/>
        </w:rPr>
        <w:t>увозу</w:t>
      </w:r>
      <w:r w:rsidR="00C857DC" w:rsidRPr="0007021A">
        <w:rPr>
          <w:rFonts w:ascii="Times New Roman" w:hAnsi="Times New Roman"/>
          <w:sz w:val="24"/>
          <w:szCs w:val="24"/>
        </w:rPr>
        <w:t xml:space="preserve"> </w:t>
      </w:r>
      <w:r w:rsidRPr="0007021A">
        <w:rPr>
          <w:rFonts w:ascii="Times New Roman" w:hAnsi="Times New Roman"/>
          <w:sz w:val="24"/>
          <w:szCs w:val="24"/>
        </w:rPr>
        <w:t>акцизних</w:t>
      </w:r>
      <w:r w:rsidR="00C857DC" w:rsidRPr="0007021A">
        <w:rPr>
          <w:rFonts w:ascii="Times New Roman" w:hAnsi="Times New Roman"/>
          <w:sz w:val="24"/>
          <w:szCs w:val="24"/>
        </w:rPr>
        <w:t xml:space="preserve"> </w:t>
      </w:r>
      <w:r w:rsidRPr="0007021A">
        <w:rPr>
          <w:rFonts w:ascii="Times New Roman" w:hAnsi="Times New Roman"/>
          <w:sz w:val="24"/>
          <w:szCs w:val="24"/>
        </w:rPr>
        <w:t>производа</w:t>
      </w:r>
      <w:r w:rsidR="00C857DC" w:rsidRPr="0007021A">
        <w:rPr>
          <w:rFonts w:ascii="Times New Roman" w:hAnsi="Times New Roman"/>
          <w:sz w:val="24"/>
          <w:szCs w:val="24"/>
        </w:rPr>
        <w:t xml:space="preserve">, </w:t>
      </w:r>
      <w:r w:rsidRPr="0007021A">
        <w:rPr>
          <w:rFonts w:ascii="Times New Roman" w:hAnsi="Times New Roman"/>
          <w:sz w:val="24"/>
          <w:szCs w:val="24"/>
        </w:rPr>
        <w:t>настаје</w:t>
      </w:r>
      <w:r w:rsidR="00C857DC" w:rsidRPr="0007021A">
        <w:rPr>
          <w:rFonts w:ascii="Times New Roman" w:hAnsi="Times New Roman"/>
          <w:sz w:val="24"/>
          <w:szCs w:val="24"/>
        </w:rPr>
        <w:t xml:space="preserve"> </w:t>
      </w:r>
      <w:r w:rsidRPr="0007021A">
        <w:rPr>
          <w:rFonts w:ascii="Times New Roman" w:hAnsi="Times New Roman"/>
          <w:sz w:val="24"/>
          <w:szCs w:val="24"/>
        </w:rPr>
        <w:t>даном</w:t>
      </w:r>
      <w:r w:rsidR="00C857DC" w:rsidRPr="0007021A">
        <w:rPr>
          <w:rFonts w:ascii="Times New Roman" w:hAnsi="Times New Roman"/>
          <w:sz w:val="24"/>
          <w:szCs w:val="24"/>
        </w:rPr>
        <w:t xml:space="preserve"> </w:t>
      </w:r>
      <w:r w:rsidRPr="0007021A">
        <w:rPr>
          <w:rFonts w:ascii="Times New Roman" w:hAnsi="Times New Roman"/>
          <w:sz w:val="24"/>
          <w:szCs w:val="24"/>
        </w:rPr>
        <w:t>настанка</w:t>
      </w:r>
      <w:r w:rsidR="00C857DC" w:rsidRPr="0007021A">
        <w:rPr>
          <w:rFonts w:ascii="Times New Roman" w:hAnsi="Times New Roman"/>
          <w:sz w:val="24"/>
          <w:szCs w:val="24"/>
        </w:rPr>
        <w:t xml:space="preserve"> </w:t>
      </w:r>
      <w:r w:rsidRPr="0007021A">
        <w:rPr>
          <w:rFonts w:ascii="Times New Roman" w:hAnsi="Times New Roman"/>
          <w:sz w:val="24"/>
          <w:szCs w:val="24"/>
        </w:rPr>
        <w:t>обавезе</w:t>
      </w:r>
      <w:r w:rsidR="00C857DC" w:rsidRPr="0007021A">
        <w:rPr>
          <w:rFonts w:ascii="Times New Roman" w:hAnsi="Times New Roman"/>
          <w:sz w:val="24"/>
          <w:szCs w:val="24"/>
        </w:rPr>
        <w:t xml:space="preserve"> </w:t>
      </w:r>
      <w:r w:rsidRPr="0007021A">
        <w:rPr>
          <w:rFonts w:ascii="Times New Roman" w:hAnsi="Times New Roman"/>
          <w:sz w:val="24"/>
          <w:szCs w:val="24"/>
        </w:rPr>
        <w:t>обрачунавања</w:t>
      </w:r>
      <w:r w:rsidR="00C857DC" w:rsidRPr="0007021A">
        <w:rPr>
          <w:rFonts w:ascii="Times New Roman" w:hAnsi="Times New Roman"/>
          <w:sz w:val="24"/>
          <w:szCs w:val="24"/>
        </w:rPr>
        <w:t xml:space="preserve"> </w:t>
      </w:r>
      <w:r w:rsidRPr="0007021A">
        <w:rPr>
          <w:rFonts w:ascii="Times New Roman" w:hAnsi="Times New Roman"/>
          <w:sz w:val="24"/>
          <w:szCs w:val="24"/>
        </w:rPr>
        <w:t>увозних</w:t>
      </w:r>
      <w:r w:rsidR="00C857DC" w:rsidRPr="0007021A">
        <w:rPr>
          <w:rFonts w:ascii="Times New Roman" w:hAnsi="Times New Roman"/>
          <w:sz w:val="24"/>
          <w:szCs w:val="24"/>
        </w:rPr>
        <w:t xml:space="preserve"> </w:t>
      </w:r>
      <w:r w:rsidRPr="0007021A">
        <w:rPr>
          <w:rFonts w:ascii="Times New Roman" w:hAnsi="Times New Roman"/>
          <w:sz w:val="24"/>
          <w:szCs w:val="24"/>
        </w:rPr>
        <w:t>дажбина</w:t>
      </w:r>
      <w:r w:rsidR="00C857DC" w:rsidRPr="0007021A">
        <w:rPr>
          <w:rFonts w:ascii="Times New Roman" w:hAnsi="Times New Roman"/>
          <w:sz w:val="24"/>
          <w:szCs w:val="24"/>
        </w:rPr>
        <w:t xml:space="preserve">, </w:t>
      </w:r>
      <w:r w:rsidRPr="0007021A">
        <w:rPr>
          <w:rFonts w:ascii="Times New Roman" w:hAnsi="Times New Roman"/>
          <w:sz w:val="24"/>
          <w:szCs w:val="24"/>
        </w:rPr>
        <w:t>а</w:t>
      </w:r>
      <w:r w:rsidR="00C857DC" w:rsidRPr="0007021A">
        <w:rPr>
          <w:rFonts w:ascii="Times New Roman" w:hAnsi="Times New Roman"/>
          <w:sz w:val="24"/>
          <w:szCs w:val="24"/>
        </w:rPr>
        <w:t xml:space="preserve"> </w:t>
      </w:r>
      <w:r w:rsidRPr="0007021A">
        <w:rPr>
          <w:rFonts w:ascii="Times New Roman" w:hAnsi="Times New Roman"/>
          <w:sz w:val="24"/>
          <w:szCs w:val="24"/>
        </w:rPr>
        <w:t>акцизу</w:t>
      </w:r>
      <w:r w:rsidR="00C857DC" w:rsidRPr="0007021A">
        <w:rPr>
          <w:rFonts w:ascii="Times New Roman" w:hAnsi="Times New Roman"/>
          <w:sz w:val="24"/>
          <w:szCs w:val="24"/>
        </w:rPr>
        <w:t xml:space="preserve"> </w:t>
      </w:r>
      <w:r w:rsidRPr="0007021A">
        <w:rPr>
          <w:rFonts w:ascii="Times New Roman" w:hAnsi="Times New Roman"/>
          <w:sz w:val="24"/>
          <w:szCs w:val="24"/>
        </w:rPr>
        <w:t>обрачунава</w:t>
      </w:r>
      <w:r w:rsidR="00C857DC" w:rsidRPr="0007021A">
        <w:rPr>
          <w:rFonts w:ascii="Times New Roman" w:hAnsi="Times New Roman"/>
          <w:sz w:val="24"/>
          <w:szCs w:val="24"/>
        </w:rPr>
        <w:t xml:space="preserve"> </w:t>
      </w:r>
      <w:r w:rsidRPr="0007021A">
        <w:rPr>
          <w:rFonts w:ascii="Times New Roman" w:hAnsi="Times New Roman"/>
          <w:sz w:val="24"/>
          <w:szCs w:val="24"/>
        </w:rPr>
        <w:t>надлежни</w:t>
      </w:r>
      <w:r w:rsidR="00C857DC" w:rsidRPr="0007021A">
        <w:rPr>
          <w:rFonts w:ascii="Times New Roman" w:hAnsi="Times New Roman"/>
          <w:sz w:val="24"/>
          <w:szCs w:val="24"/>
        </w:rPr>
        <w:t xml:space="preserve"> </w:t>
      </w:r>
      <w:r w:rsidRPr="0007021A">
        <w:rPr>
          <w:rFonts w:ascii="Times New Roman" w:hAnsi="Times New Roman"/>
          <w:sz w:val="24"/>
          <w:szCs w:val="24"/>
        </w:rPr>
        <w:t>царински</w:t>
      </w:r>
      <w:r w:rsidR="00C857DC" w:rsidRPr="0007021A">
        <w:rPr>
          <w:rFonts w:ascii="Times New Roman" w:hAnsi="Times New Roman"/>
          <w:sz w:val="24"/>
          <w:szCs w:val="24"/>
        </w:rPr>
        <w:t xml:space="preserve"> </w:t>
      </w:r>
      <w:r w:rsidRPr="0007021A">
        <w:rPr>
          <w:rFonts w:ascii="Times New Roman" w:hAnsi="Times New Roman"/>
          <w:sz w:val="24"/>
          <w:szCs w:val="24"/>
        </w:rPr>
        <w:t>орган</w:t>
      </w:r>
      <w:r w:rsidR="00C857DC" w:rsidRPr="0007021A">
        <w:rPr>
          <w:rFonts w:ascii="Times New Roman" w:hAnsi="Times New Roman"/>
          <w:sz w:val="24"/>
          <w:szCs w:val="24"/>
        </w:rPr>
        <w:t>.</w:t>
      </w:r>
    </w:p>
    <w:p w:rsidR="00C857DC" w:rsidRPr="0007021A" w:rsidRDefault="004949B5" w:rsidP="0007021A">
      <w:pPr>
        <w:ind w:firstLine="708"/>
        <w:jc w:val="both"/>
        <w:rPr>
          <w:rFonts w:ascii="Times New Roman" w:hAnsi="Times New Roman"/>
          <w:sz w:val="24"/>
          <w:szCs w:val="24"/>
          <w:lang w:val="sr-Cyrl-CS"/>
        </w:rPr>
      </w:pPr>
      <w:r w:rsidRPr="0007021A">
        <w:rPr>
          <w:rFonts w:ascii="Times New Roman" w:hAnsi="Times New Roman"/>
          <w:sz w:val="24"/>
          <w:szCs w:val="24"/>
        </w:rPr>
        <w:t>Према</w:t>
      </w:r>
      <w:r w:rsidR="00C857DC" w:rsidRPr="0007021A">
        <w:rPr>
          <w:rFonts w:ascii="Times New Roman" w:hAnsi="Times New Roman"/>
          <w:sz w:val="24"/>
          <w:szCs w:val="24"/>
        </w:rPr>
        <w:t xml:space="preserve"> </w:t>
      </w:r>
      <w:r w:rsidRPr="0007021A">
        <w:rPr>
          <w:rFonts w:ascii="Times New Roman" w:hAnsi="Times New Roman"/>
          <w:sz w:val="24"/>
          <w:szCs w:val="24"/>
        </w:rPr>
        <w:t>одредби</w:t>
      </w:r>
      <w:r w:rsidR="00C857DC" w:rsidRPr="0007021A">
        <w:rPr>
          <w:rFonts w:ascii="Times New Roman" w:hAnsi="Times New Roman"/>
          <w:sz w:val="24"/>
          <w:szCs w:val="24"/>
        </w:rPr>
        <w:t xml:space="preserve"> </w:t>
      </w:r>
      <w:r w:rsidRPr="0007021A">
        <w:rPr>
          <w:rFonts w:ascii="Times New Roman" w:hAnsi="Times New Roman"/>
          <w:sz w:val="24"/>
          <w:szCs w:val="24"/>
        </w:rPr>
        <w:t>члана</w:t>
      </w:r>
      <w:r w:rsidR="00C857DC" w:rsidRPr="0007021A">
        <w:rPr>
          <w:rFonts w:ascii="Times New Roman" w:hAnsi="Times New Roman"/>
          <w:sz w:val="24"/>
          <w:szCs w:val="24"/>
        </w:rPr>
        <w:t xml:space="preserve"> 179. </w:t>
      </w:r>
      <w:r w:rsidRPr="0007021A">
        <w:rPr>
          <w:rFonts w:ascii="Times New Roman" w:hAnsi="Times New Roman"/>
          <w:sz w:val="24"/>
          <w:szCs w:val="24"/>
        </w:rPr>
        <w:t>Царинског</w:t>
      </w:r>
      <w:r w:rsidR="00C857DC" w:rsidRPr="0007021A">
        <w:rPr>
          <w:rFonts w:ascii="Times New Roman" w:hAnsi="Times New Roman"/>
          <w:sz w:val="24"/>
          <w:szCs w:val="24"/>
        </w:rPr>
        <w:t xml:space="preserve"> </w:t>
      </w:r>
      <w:r w:rsidRPr="0007021A">
        <w:rPr>
          <w:rFonts w:ascii="Times New Roman" w:hAnsi="Times New Roman"/>
          <w:sz w:val="24"/>
          <w:szCs w:val="24"/>
        </w:rPr>
        <w:t>закона</w:t>
      </w:r>
      <w:r w:rsidR="00C857DC" w:rsidRPr="0007021A">
        <w:rPr>
          <w:rFonts w:ascii="Times New Roman" w:hAnsi="Times New Roman"/>
          <w:sz w:val="24"/>
          <w:szCs w:val="24"/>
        </w:rPr>
        <w:t xml:space="preserve"> ("</w:t>
      </w:r>
      <w:r w:rsidRPr="0007021A">
        <w:rPr>
          <w:rFonts w:ascii="Times New Roman" w:hAnsi="Times New Roman"/>
          <w:sz w:val="24"/>
          <w:szCs w:val="24"/>
        </w:rPr>
        <w:t>Сл</w:t>
      </w:r>
      <w:r w:rsidR="00C857DC" w:rsidRPr="0007021A">
        <w:rPr>
          <w:rFonts w:ascii="Times New Roman" w:hAnsi="Times New Roman"/>
          <w:sz w:val="24"/>
          <w:szCs w:val="24"/>
        </w:rPr>
        <w:t xml:space="preserve">. </w:t>
      </w:r>
      <w:r w:rsidRPr="0007021A">
        <w:rPr>
          <w:rFonts w:ascii="Times New Roman" w:hAnsi="Times New Roman"/>
          <w:sz w:val="24"/>
          <w:szCs w:val="24"/>
        </w:rPr>
        <w:t>гласник</w:t>
      </w:r>
      <w:r w:rsidR="00C857DC" w:rsidRPr="0007021A">
        <w:rPr>
          <w:rFonts w:ascii="Times New Roman" w:hAnsi="Times New Roman"/>
          <w:sz w:val="24"/>
          <w:szCs w:val="24"/>
        </w:rPr>
        <w:t xml:space="preserve"> </w:t>
      </w:r>
      <w:r w:rsidRPr="0007021A">
        <w:rPr>
          <w:rFonts w:ascii="Times New Roman" w:hAnsi="Times New Roman"/>
          <w:sz w:val="24"/>
          <w:szCs w:val="24"/>
        </w:rPr>
        <w:t>РС</w:t>
      </w:r>
      <w:r w:rsidR="00C857DC" w:rsidRPr="0007021A">
        <w:rPr>
          <w:rFonts w:ascii="Times New Roman" w:hAnsi="Times New Roman"/>
          <w:sz w:val="24"/>
          <w:szCs w:val="24"/>
        </w:rPr>
        <w:t xml:space="preserve">", </w:t>
      </w:r>
      <w:r w:rsidRPr="0007021A">
        <w:rPr>
          <w:rFonts w:ascii="Times New Roman" w:hAnsi="Times New Roman"/>
          <w:sz w:val="24"/>
          <w:szCs w:val="24"/>
        </w:rPr>
        <w:t>бр</w:t>
      </w:r>
      <w:r w:rsidR="00C857DC" w:rsidRPr="0007021A">
        <w:rPr>
          <w:rFonts w:ascii="Times New Roman" w:hAnsi="Times New Roman"/>
          <w:sz w:val="24"/>
          <w:szCs w:val="24"/>
        </w:rPr>
        <w:t xml:space="preserve">. 18/2010), </w:t>
      </w:r>
      <w:r w:rsidRPr="0007021A">
        <w:rPr>
          <w:rFonts w:ascii="Times New Roman" w:hAnsi="Times New Roman"/>
          <w:sz w:val="24"/>
          <w:szCs w:val="24"/>
        </w:rPr>
        <w:t>прописано</w:t>
      </w:r>
      <w:r w:rsidR="00C857DC" w:rsidRPr="0007021A">
        <w:rPr>
          <w:rFonts w:ascii="Times New Roman" w:hAnsi="Times New Roman"/>
          <w:sz w:val="24"/>
          <w:szCs w:val="24"/>
        </w:rPr>
        <w:t xml:space="preserve"> </w:t>
      </w:r>
      <w:r w:rsidRPr="0007021A">
        <w:rPr>
          <w:rFonts w:ascii="Times New Roman" w:hAnsi="Times New Roman"/>
          <w:sz w:val="24"/>
          <w:szCs w:val="24"/>
        </w:rPr>
        <w:t>је</w:t>
      </w:r>
      <w:r w:rsidR="00C857DC" w:rsidRPr="0007021A">
        <w:rPr>
          <w:rFonts w:ascii="Times New Roman" w:hAnsi="Times New Roman"/>
          <w:sz w:val="24"/>
          <w:szCs w:val="24"/>
        </w:rPr>
        <w:t xml:space="preserve"> </w:t>
      </w:r>
      <w:r w:rsidRPr="0007021A">
        <w:rPr>
          <w:rFonts w:ascii="Times New Roman" w:hAnsi="Times New Roman"/>
          <w:sz w:val="24"/>
          <w:szCs w:val="24"/>
        </w:rPr>
        <w:t>да</w:t>
      </w:r>
      <w:r w:rsidR="00C857DC" w:rsidRPr="0007021A">
        <w:rPr>
          <w:rFonts w:ascii="Times New Roman" w:hAnsi="Times New Roman"/>
          <w:sz w:val="24"/>
          <w:szCs w:val="24"/>
        </w:rPr>
        <w:t xml:space="preserve">, </w:t>
      </w:r>
      <w:r w:rsidRPr="0007021A">
        <w:rPr>
          <w:rFonts w:ascii="Times New Roman" w:hAnsi="Times New Roman"/>
          <w:sz w:val="24"/>
          <w:szCs w:val="24"/>
        </w:rPr>
        <w:t>ако</w:t>
      </w:r>
      <w:r w:rsidR="00C857DC" w:rsidRPr="0007021A">
        <w:rPr>
          <w:rFonts w:ascii="Times New Roman" w:hAnsi="Times New Roman"/>
          <w:sz w:val="24"/>
          <w:szCs w:val="24"/>
        </w:rPr>
        <w:t xml:space="preserve"> </w:t>
      </w:r>
      <w:r w:rsidRPr="0007021A">
        <w:rPr>
          <w:rFonts w:ascii="Times New Roman" w:hAnsi="Times New Roman"/>
          <w:sz w:val="24"/>
          <w:szCs w:val="24"/>
        </w:rPr>
        <w:t>је</w:t>
      </w:r>
      <w:r w:rsidR="00C857DC" w:rsidRPr="0007021A">
        <w:rPr>
          <w:rFonts w:ascii="Times New Roman" w:hAnsi="Times New Roman"/>
          <w:sz w:val="24"/>
          <w:szCs w:val="24"/>
        </w:rPr>
        <w:t xml:space="preserve"> </w:t>
      </w:r>
      <w:r w:rsidRPr="0007021A">
        <w:rPr>
          <w:rFonts w:ascii="Times New Roman" w:hAnsi="Times New Roman"/>
          <w:sz w:val="24"/>
          <w:szCs w:val="24"/>
        </w:rPr>
        <w:t>поступак</w:t>
      </w:r>
      <w:r w:rsidR="00C857DC" w:rsidRPr="0007021A">
        <w:rPr>
          <w:rFonts w:ascii="Times New Roman" w:hAnsi="Times New Roman"/>
          <w:sz w:val="24"/>
          <w:szCs w:val="24"/>
        </w:rPr>
        <w:t xml:space="preserve"> </w:t>
      </w:r>
      <w:r w:rsidRPr="0007021A">
        <w:rPr>
          <w:rFonts w:ascii="Times New Roman" w:hAnsi="Times New Roman"/>
          <w:sz w:val="24"/>
          <w:szCs w:val="24"/>
        </w:rPr>
        <w:t>пасивног</w:t>
      </w:r>
      <w:r w:rsidR="00C857DC" w:rsidRPr="0007021A">
        <w:rPr>
          <w:rFonts w:ascii="Times New Roman" w:hAnsi="Times New Roman"/>
          <w:sz w:val="24"/>
          <w:szCs w:val="24"/>
        </w:rPr>
        <w:t xml:space="preserve"> </w:t>
      </w:r>
      <w:r w:rsidRPr="0007021A">
        <w:rPr>
          <w:rFonts w:ascii="Times New Roman" w:hAnsi="Times New Roman"/>
          <w:sz w:val="24"/>
          <w:szCs w:val="24"/>
        </w:rPr>
        <w:t>оплемењивања</w:t>
      </w:r>
      <w:r w:rsidR="00C857DC" w:rsidRPr="0007021A">
        <w:rPr>
          <w:rFonts w:ascii="Times New Roman" w:hAnsi="Times New Roman"/>
          <w:sz w:val="24"/>
          <w:szCs w:val="24"/>
        </w:rPr>
        <w:t xml:space="preserve"> </w:t>
      </w:r>
      <w:r w:rsidRPr="0007021A">
        <w:rPr>
          <w:rFonts w:ascii="Times New Roman" w:hAnsi="Times New Roman"/>
          <w:sz w:val="24"/>
          <w:szCs w:val="24"/>
        </w:rPr>
        <w:t>одобрен</w:t>
      </w:r>
      <w:r w:rsidR="00C857DC" w:rsidRPr="0007021A">
        <w:rPr>
          <w:rFonts w:ascii="Times New Roman" w:hAnsi="Times New Roman"/>
          <w:sz w:val="24"/>
          <w:szCs w:val="24"/>
        </w:rPr>
        <w:t xml:space="preserve"> </w:t>
      </w:r>
      <w:r w:rsidRPr="0007021A">
        <w:rPr>
          <w:rFonts w:ascii="Times New Roman" w:hAnsi="Times New Roman"/>
          <w:sz w:val="24"/>
          <w:szCs w:val="24"/>
        </w:rPr>
        <w:t>ради</w:t>
      </w:r>
      <w:r w:rsidR="00C857DC" w:rsidRPr="0007021A">
        <w:rPr>
          <w:rFonts w:ascii="Times New Roman" w:hAnsi="Times New Roman"/>
          <w:sz w:val="24"/>
          <w:szCs w:val="24"/>
        </w:rPr>
        <w:t xml:space="preserve"> </w:t>
      </w:r>
      <w:r w:rsidRPr="0007021A">
        <w:rPr>
          <w:rFonts w:ascii="Times New Roman" w:hAnsi="Times New Roman"/>
          <w:sz w:val="24"/>
          <w:szCs w:val="24"/>
        </w:rPr>
        <w:t>поправке</w:t>
      </w:r>
      <w:r w:rsidR="00C857DC" w:rsidRPr="0007021A">
        <w:rPr>
          <w:rFonts w:ascii="Times New Roman" w:hAnsi="Times New Roman"/>
          <w:sz w:val="24"/>
          <w:szCs w:val="24"/>
        </w:rPr>
        <w:t xml:space="preserve"> </w:t>
      </w:r>
      <w:r w:rsidRPr="0007021A">
        <w:rPr>
          <w:rFonts w:ascii="Times New Roman" w:hAnsi="Times New Roman"/>
          <w:sz w:val="24"/>
          <w:szCs w:val="24"/>
        </w:rPr>
        <w:t>привремено</w:t>
      </w:r>
      <w:r w:rsidR="00C857DC" w:rsidRPr="0007021A">
        <w:rPr>
          <w:rFonts w:ascii="Times New Roman" w:hAnsi="Times New Roman"/>
          <w:sz w:val="24"/>
          <w:szCs w:val="24"/>
        </w:rPr>
        <w:t xml:space="preserve"> </w:t>
      </w:r>
      <w:r w:rsidRPr="0007021A">
        <w:rPr>
          <w:rFonts w:ascii="Times New Roman" w:hAnsi="Times New Roman"/>
          <w:sz w:val="24"/>
          <w:szCs w:val="24"/>
        </w:rPr>
        <w:t>извезене</w:t>
      </w:r>
      <w:r w:rsidR="00C857DC" w:rsidRPr="0007021A">
        <w:rPr>
          <w:rFonts w:ascii="Times New Roman" w:hAnsi="Times New Roman"/>
          <w:sz w:val="24"/>
          <w:szCs w:val="24"/>
        </w:rPr>
        <w:t xml:space="preserve"> </w:t>
      </w:r>
      <w:r w:rsidRPr="0007021A">
        <w:rPr>
          <w:rFonts w:ascii="Times New Roman" w:hAnsi="Times New Roman"/>
          <w:sz w:val="24"/>
          <w:szCs w:val="24"/>
        </w:rPr>
        <w:t>робе</w:t>
      </w:r>
      <w:r w:rsidR="00C857DC" w:rsidRPr="0007021A">
        <w:rPr>
          <w:rFonts w:ascii="Times New Roman" w:hAnsi="Times New Roman"/>
          <w:sz w:val="24"/>
          <w:szCs w:val="24"/>
        </w:rPr>
        <w:t xml:space="preserve">, </w:t>
      </w:r>
      <w:r w:rsidRPr="0007021A">
        <w:rPr>
          <w:rFonts w:ascii="Times New Roman" w:hAnsi="Times New Roman"/>
          <w:sz w:val="24"/>
          <w:szCs w:val="24"/>
        </w:rPr>
        <w:t>та</w:t>
      </w:r>
      <w:r w:rsidR="00C857DC" w:rsidRPr="0007021A">
        <w:rPr>
          <w:rFonts w:ascii="Times New Roman" w:hAnsi="Times New Roman"/>
          <w:sz w:val="24"/>
          <w:szCs w:val="24"/>
        </w:rPr>
        <w:t xml:space="preserve"> </w:t>
      </w:r>
      <w:r w:rsidRPr="0007021A">
        <w:rPr>
          <w:rFonts w:ascii="Times New Roman" w:hAnsi="Times New Roman"/>
          <w:sz w:val="24"/>
          <w:szCs w:val="24"/>
        </w:rPr>
        <w:t>роба</w:t>
      </w:r>
      <w:r w:rsidR="00C857DC" w:rsidRPr="0007021A">
        <w:rPr>
          <w:rFonts w:ascii="Times New Roman" w:hAnsi="Times New Roman"/>
          <w:sz w:val="24"/>
          <w:szCs w:val="24"/>
        </w:rPr>
        <w:t xml:space="preserve"> </w:t>
      </w:r>
      <w:r w:rsidRPr="0007021A">
        <w:rPr>
          <w:rFonts w:ascii="Times New Roman" w:hAnsi="Times New Roman"/>
          <w:sz w:val="24"/>
          <w:szCs w:val="24"/>
        </w:rPr>
        <w:t>може</w:t>
      </w:r>
      <w:r w:rsidR="00C857DC" w:rsidRPr="0007021A">
        <w:rPr>
          <w:rFonts w:ascii="Times New Roman" w:hAnsi="Times New Roman"/>
          <w:sz w:val="24"/>
          <w:szCs w:val="24"/>
        </w:rPr>
        <w:t xml:space="preserve"> </w:t>
      </w:r>
      <w:r w:rsidRPr="0007021A">
        <w:rPr>
          <w:rFonts w:ascii="Times New Roman" w:hAnsi="Times New Roman"/>
          <w:sz w:val="24"/>
          <w:szCs w:val="24"/>
        </w:rPr>
        <w:t>бити</w:t>
      </w:r>
      <w:r w:rsidR="00C857DC" w:rsidRPr="0007021A">
        <w:rPr>
          <w:rFonts w:ascii="Times New Roman" w:hAnsi="Times New Roman"/>
          <w:sz w:val="24"/>
          <w:szCs w:val="24"/>
        </w:rPr>
        <w:t xml:space="preserve"> </w:t>
      </w:r>
      <w:r w:rsidRPr="0007021A">
        <w:rPr>
          <w:rFonts w:ascii="Times New Roman" w:hAnsi="Times New Roman"/>
          <w:sz w:val="24"/>
          <w:szCs w:val="24"/>
        </w:rPr>
        <w:t>стављена</w:t>
      </w:r>
      <w:r w:rsidR="00C857DC" w:rsidRPr="0007021A">
        <w:rPr>
          <w:rFonts w:ascii="Times New Roman" w:hAnsi="Times New Roman"/>
          <w:sz w:val="24"/>
          <w:szCs w:val="24"/>
        </w:rPr>
        <w:t xml:space="preserve"> </w:t>
      </w:r>
      <w:r w:rsidRPr="0007021A">
        <w:rPr>
          <w:rFonts w:ascii="Times New Roman" w:hAnsi="Times New Roman"/>
          <w:sz w:val="24"/>
          <w:szCs w:val="24"/>
        </w:rPr>
        <w:t>у</w:t>
      </w:r>
      <w:r w:rsidR="00C857DC" w:rsidRPr="0007021A">
        <w:rPr>
          <w:rFonts w:ascii="Times New Roman" w:hAnsi="Times New Roman"/>
          <w:sz w:val="24"/>
          <w:szCs w:val="24"/>
        </w:rPr>
        <w:t xml:space="preserve"> </w:t>
      </w:r>
      <w:r w:rsidRPr="0007021A">
        <w:rPr>
          <w:rFonts w:ascii="Times New Roman" w:hAnsi="Times New Roman"/>
          <w:sz w:val="24"/>
          <w:szCs w:val="24"/>
        </w:rPr>
        <w:t>слободан</w:t>
      </w:r>
      <w:r w:rsidR="00C857DC" w:rsidRPr="0007021A">
        <w:rPr>
          <w:rFonts w:ascii="Times New Roman" w:hAnsi="Times New Roman"/>
          <w:sz w:val="24"/>
          <w:szCs w:val="24"/>
        </w:rPr>
        <w:t xml:space="preserve"> </w:t>
      </w:r>
      <w:r w:rsidRPr="0007021A">
        <w:rPr>
          <w:rFonts w:ascii="Times New Roman" w:hAnsi="Times New Roman"/>
          <w:sz w:val="24"/>
          <w:szCs w:val="24"/>
        </w:rPr>
        <w:t>промет</w:t>
      </w:r>
      <w:r w:rsidR="00C857DC" w:rsidRPr="0007021A">
        <w:rPr>
          <w:rFonts w:ascii="Times New Roman" w:hAnsi="Times New Roman"/>
          <w:sz w:val="24"/>
          <w:szCs w:val="24"/>
        </w:rPr>
        <w:t xml:space="preserve"> </w:t>
      </w:r>
      <w:r w:rsidRPr="0007021A">
        <w:rPr>
          <w:rFonts w:ascii="Times New Roman" w:hAnsi="Times New Roman"/>
          <w:sz w:val="24"/>
          <w:szCs w:val="24"/>
        </w:rPr>
        <w:t>с</w:t>
      </w:r>
      <w:r w:rsidR="00C857DC" w:rsidRPr="0007021A">
        <w:rPr>
          <w:rFonts w:ascii="Times New Roman" w:hAnsi="Times New Roman"/>
          <w:sz w:val="24"/>
          <w:szCs w:val="24"/>
        </w:rPr>
        <w:t xml:space="preserve"> </w:t>
      </w:r>
      <w:r w:rsidRPr="0007021A">
        <w:rPr>
          <w:rFonts w:ascii="Times New Roman" w:hAnsi="Times New Roman"/>
          <w:sz w:val="24"/>
          <w:szCs w:val="24"/>
        </w:rPr>
        <w:t>потпуним</w:t>
      </w:r>
      <w:r w:rsidR="00C857DC" w:rsidRPr="0007021A">
        <w:rPr>
          <w:rFonts w:ascii="Times New Roman" w:hAnsi="Times New Roman"/>
          <w:sz w:val="24"/>
          <w:szCs w:val="24"/>
        </w:rPr>
        <w:t xml:space="preserve"> </w:t>
      </w:r>
      <w:r w:rsidRPr="0007021A">
        <w:rPr>
          <w:rFonts w:ascii="Times New Roman" w:hAnsi="Times New Roman"/>
          <w:sz w:val="24"/>
          <w:szCs w:val="24"/>
        </w:rPr>
        <w:t>ослобађањем</w:t>
      </w:r>
      <w:r w:rsidR="00C857DC" w:rsidRPr="0007021A">
        <w:rPr>
          <w:rFonts w:ascii="Times New Roman" w:hAnsi="Times New Roman"/>
          <w:sz w:val="24"/>
          <w:szCs w:val="24"/>
        </w:rPr>
        <w:t xml:space="preserve"> </w:t>
      </w:r>
      <w:r w:rsidRPr="0007021A">
        <w:rPr>
          <w:rFonts w:ascii="Times New Roman" w:hAnsi="Times New Roman"/>
          <w:sz w:val="24"/>
          <w:szCs w:val="24"/>
        </w:rPr>
        <w:t>од</w:t>
      </w:r>
      <w:r w:rsidR="00C857DC" w:rsidRPr="0007021A">
        <w:rPr>
          <w:rFonts w:ascii="Times New Roman" w:hAnsi="Times New Roman"/>
          <w:sz w:val="24"/>
          <w:szCs w:val="24"/>
        </w:rPr>
        <w:t xml:space="preserve"> </w:t>
      </w:r>
      <w:r w:rsidRPr="0007021A">
        <w:rPr>
          <w:rFonts w:ascii="Times New Roman" w:hAnsi="Times New Roman"/>
          <w:sz w:val="24"/>
          <w:szCs w:val="24"/>
        </w:rPr>
        <w:t>плаћања</w:t>
      </w:r>
      <w:r w:rsidR="00C857DC" w:rsidRPr="0007021A">
        <w:rPr>
          <w:rFonts w:ascii="Times New Roman" w:hAnsi="Times New Roman"/>
          <w:sz w:val="24"/>
          <w:szCs w:val="24"/>
        </w:rPr>
        <w:t xml:space="preserve"> </w:t>
      </w:r>
      <w:r w:rsidRPr="0007021A">
        <w:rPr>
          <w:rFonts w:ascii="Times New Roman" w:hAnsi="Times New Roman"/>
          <w:sz w:val="24"/>
          <w:szCs w:val="24"/>
        </w:rPr>
        <w:t>увозних</w:t>
      </w:r>
      <w:r w:rsidR="00C857DC" w:rsidRPr="0007021A">
        <w:rPr>
          <w:rFonts w:ascii="Times New Roman" w:hAnsi="Times New Roman"/>
          <w:sz w:val="24"/>
          <w:szCs w:val="24"/>
        </w:rPr>
        <w:t xml:space="preserve"> </w:t>
      </w:r>
      <w:r w:rsidRPr="0007021A">
        <w:rPr>
          <w:rFonts w:ascii="Times New Roman" w:hAnsi="Times New Roman"/>
          <w:sz w:val="24"/>
          <w:szCs w:val="24"/>
        </w:rPr>
        <w:t>дажбина</w:t>
      </w:r>
      <w:r w:rsidR="00C857DC" w:rsidRPr="0007021A">
        <w:rPr>
          <w:rFonts w:ascii="Times New Roman" w:hAnsi="Times New Roman"/>
          <w:sz w:val="24"/>
          <w:szCs w:val="24"/>
        </w:rPr>
        <w:t xml:space="preserve"> </w:t>
      </w:r>
      <w:r w:rsidRPr="0007021A">
        <w:rPr>
          <w:rFonts w:ascii="Times New Roman" w:hAnsi="Times New Roman"/>
          <w:sz w:val="24"/>
          <w:szCs w:val="24"/>
        </w:rPr>
        <w:t>ако</w:t>
      </w:r>
      <w:r w:rsidR="00C857DC" w:rsidRPr="0007021A">
        <w:rPr>
          <w:rFonts w:ascii="Times New Roman" w:hAnsi="Times New Roman"/>
          <w:sz w:val="24"/>
          <w:szCs w:val="24"/>
        </w:rPr>
        <w:t xml:space="preserve"> </w:t>
      </w:r>
      <w:r w:rsidRPr="0007021A">
        <w:rPr>
          <w:rFonts w:ascii="Times New Roman" w:hAnsi="Times New Roman"/>
          <w:sz w:val="24"/>
          <w:szCs w:val="24"/>
        </w:rPr>
        <w:t>се</w:t>
      </w:r>
      <w:r w:rsidR="00C857DC" w:rsidRPr="0007021A">
        <w:rPr>
          <w:rFonts w:ascii="Times New Roman" w:hAnsi="Times New Roman"/>
          <w:sz w:val="24"/>
          <w:szCs w:val="24"/>
        </w:rPr>
        <w:t xml:space="preserve"> </w:t>
      </w:r>
      <w:r w:rsidRPr="0007021A">
        <w:rPr>
          <w:rFonts w:ascii="Times New Roman" w:hAnsi="Times New Roman"/>
          <w:sz w:val="24"/>
          <w:szCs w:val="24"/>
        </w:rPr>
        <w:t>царинском</w:t>
      </w:r>
      <w:r w:rsidR="00C857DC" w:rsidRPr="0007021A">
        <w:rPr>
          <w:rFonts w:ascii="Times New Roman" w:hAnsi="Times New Roman"/>
          <w:sz w:val="24"/>
          <w:szCs w:val="24"/>
        </w:rPr>
        <w:t xml:space="preserve"> </w:t>
      </w:r>
      <w:r w:rsidRPr="0007021A">
        <w:rPr>
          <w:rFonts w:ascii="Times New Roman" w:hAnsi="Times New Roman"/>
          <w:sz w:val="24"/>
          <w:szCs w:val="24"/>
        </w:rPr>
        <w:t>органу</w:t>
      </w:r>
      <w:r w:rsidR="00C857DC" w:rsidRPr="0007021A">
        <w:rPr>
          <w:rFonts w:ascii="Times New Roman" w:hAnsi="Times New Roman"/>
          <w:sz w:val="24"/>
          <w:szCs w:val="24"/>
        </w:rPr>
        <w:t xml:space="preserve"> </w:t>
      </w:r>
      <w:r w:rsidRPr="0007021A">
        <w:rPr>
          <w:rFonts w:ascii="Times New Roman" w:hAnsi="Times New Roman"/>
          <w:sz w:val="24"/>
          <w:szCs w:val="24"/>
        </w:rPr>
        <w:t>докаже</w:t>
      </w:r>
      <w:r w:rsidR="00C857DC" w:rsidRPr="0007021A">
        <w:rPr>
          <w:rFonts w:ascii="Times New Roman" w:hAnsi="Times New Roman"/>
          <w:sz w:val="24"/>
          <w:szCs w:val="24"/>
        </w:rPr>
        <w:t xml:space="preserve"> </w:t>
      </w:r>
      <w:r w:rsidRPr="0007021A">
        <w:rPr>
          <w:rFonts w:ascii="Times New Roman" w:hAnsi="Times New Roman"/>
          <w:sz w:val="24"/>
          <w:szCs w:val="24"/>
        </w:rPr>
        <w:t>да</w:t>
      </w:r>
      <w:r w:rsidR="00C857DC" w:rsidRPr="0007021A">
        <w:rPr>
          <w:rFonts w:ascii="Times New Roman" w:hAnsi="Times New Roman"/>
          <w:sz w:val="24"/>
          <w:szCs w:val="24"/>
        </w:rPr>
        <w:t xml:space="preserve"> </w:t>
      </w:r>
      <w:r w:rsidRPr="0007021A">
        <w:rPr>
          <w:rFonts w:ascii="Times New Roman" w:hAnsi="Times New Roman"/>
          <w:sz w:val="24"/>
          <w:szCs w:val="24"/>
        </w:rPr>
        <w:t>је</w:t>
      </w:r>
      <w:r w:rsidR="00C857DC" w:rsidRPr="0007021A">
        <w:rPr>
          <w:rFonts w:ascii="Times New Roman" w:hAnsi="Times New Roman"/>
          <w:sz w:val="24"/>
          <w:szCs w:val="24"/>
        </w:rPr>
        <w:t xml:space="preserve"> </w:t>
      </w:r>
      <w:r w:rsidRPr="0007021A">
        <w:rPr>
          <w:rFonts w:ascii="Times New Roman" w:hAnsi="Times New Roman"/>
          <w:sz w:val="24"/>
          <w:szCs w:val="24"/>
        </w:rPr>
        <w:t>роба</w:t>
      </w:r>
      <w:r w:rsidR="00C857DC" w:rsidRPr="0007021A">
        <w:rPr>
          <w:rFonts w:ascii="Times New Roman" w:hAnsi="Times New Roman"/>
          <w:sz w:val="24"/>
          <w:szCs w:val="24"/>
        </w:rPr>
        <w:t xml:space="preserve"> </w:t>
      </w:r>
      <w:r w:rsidRPr="0007021A">
        <w:rPr>
          <w:rFonts w:ascii="Times New Roman" w:hAnsi="Times New Roman"/>
          <w:sz w:val="24"/>
          <w:szCs w:val="24"/>
        </w:rPr>
        <w:t>бесплатно</w:t>
      </w:r>
      <w:r w:rsidR="00C857DC" w:rsidRPr="0007021A">
        <w:rPr>
          <w:rFonts w:ascii="Times New Roman" w:hAnsi="Times New Roman"/>
          <w:sz w:val="24"/>
          <w:szCs w:val="24"/>
        </w:rPr>
        <w:t xml:space="preserve"> </w:t>
      </w:r>
      <w:r w:rsidRPr="0007021A">
        <w:rPr>
          <w:rFonts w:ascii="Times New Roman" w:hAnsi="Times New Roman"/>
          <w:sz w:val="24"/>
          <w:szCs w:val="24"/>
        </w:rPr>
        <w:t>поправљена</w:t>
      </w:r>
      <w:r w:rsidR="00C857DC" w:rsidRPr="0007021A">
        <w:rPr>
          <w:rFonts w:ascii="Times New Roman" w:hAnsi="Times New Roman"/>
          <w:sz w:val="24"/>
          <w:szCs w:val="24"/>
        </w:rPr>
        <w:t xml:space="preserve"> </w:t>
      </w:r>
      <w:r w:rsidRPr="0007021A">
        <w:rPr>
          <w:rFonts w:ascii="Times New Roman" w:hAnsi="Times New Roman"/>
          <w:sz w:val="24"/>
          <w:szCs w:val="24"/>
        </w:rPr>
        <w:t>због</w:t>
      </w:r>
      <w:r w:rsidR="00C857DC" w:rsidRPr="0007021A">
        <w:rPr>
          <w:rFonts w:ascii="Times New Roman" w:hAnsi="Times New Roman"/>
          <w:sz w:val="24"/>
          <w:szCs w:val="24"/>
        </w:rPr>
        <w:t xml:space="preserve"> </w:t>
      </w:r>
      <w:r w:rsidRPr="0007021A">
        <w:rPr>
          <w:rFonts w:ascii="Times New Roman" w:hAnsi="Times New Roman"/>
          <w:sz w:val="24"/>
          <w:szCs w:val="24"/>
        </w:rPr>
        <w:t>уговорене</w:t>
      </w:r>
      <w:r w:rsidR="00C857DC" w:rsidRPr="0007021A">
        <w:rPr>
          <w:rFonts w:ascii="Times New Roman" w:hAnsi="Times New Roman"/>
          <w:sz w:val="24"/>
          <w:szCs w:val="24"/>
        </w:rPr>
        <w:t xml:space="preserve"> </w:t>
      </w:r>
      <w:r w:rsidRPr="0007021A">
        <w:rPr>
          <w:rFonts w:ascii="Times New Roman" w:hAnsi="Times New Roman"/>
          <w:sz w:val="24"/>
          <w:szCs w:val="24"/>
        </w:rPr>
        <w:t>или</w:t>
      </w:r>
      <w:r w:rsidR="00C857DC" w:rsidRPr="0007021A">
        <w:rPr>
          <w:rFonts w:ascii="Times New Roman" w:hAnsi="Times New Roman"/>
          <w:sz w:val="24"/>
          <w:szCs w:val="24"/>
        </w:rPr>
        <w:t xml:space="preserve"> </w:t>
      </w:r>
      <w:r w:rsidRPr="0007021A">
        <w:rPr>
          <w:rFonts w:ascii="Times New Roman" w:hAnsi="Times New Roman"/>
          <w:sz w:val="24"/>
          <w:szCs w:val="24"/>
        </w:rPr>
        <w:t>због</w:t>
      </w:r>
      <w:r w:rsidR="00C857DC" w:rsidRPr="0007021A">
        <w:rPr>
          <w:rFonts w:ascii="Times New Roman" w:hAnsi="Times New Roman"/>
          <w:sz w:val="24"/>
          <w:szCs w:val="24"/>
        </w:rPr>
        <w:t xml:space="preserve"> </w:t>
      </w:r>
      <w:r w:rsidRPr="0007021A">
        <w:rPr>
          <w:rFonts w:ascii="Times New Roman" w:hAnsi="Times New Roman"/>
          <w:sz w:val="24"/>
          <w:szCs w:val="24"/>
        </w:rPr>
        <w:t>законом</w:t>
      </w:r>
      <w:r w:rsidR="00C857DC" w:rsidRPr="0007021A">
        <w:rPr>
          <w:rFonts w:ascii="Times New Roman" w:hAnsi="Times New Roman"/>
          <w:sz w:val="24"/>
          <w:szCs w:val="24"/>
        </w:rPr>
        <w:t xml:space="preserve"> </w:t>
      </w:r>
      <w:r w:rsidRPr="0007021A">
        <w:rPr>
          <w:rFonts w:ascii="Times New Roman" w:hAnsi="Times New Roman"/>
          <w:sz w:val="24"/>
          <w:szCs w:val="24"/>
        </w:rPr>
        <w:t>приписане</w:t>
      </w:r>
      <w:r w:rsidR="00C857DC" w:rsidRPr="0007021A">
        <w:rPr>
          <w:rFonts w:ascii="Times New Roman" w:hAnsi="Times New Roman"/>
          <w:sz w:val="24"/>
          <w:szCs w:val="24"/>
        </w:rPr>
        <w:t xml:space="preserve"> </w:t>
      </w:r>
      <w:r w:rsidRPr="0007021A">
        <w:rPr>
          <w:rFonts w:ascii="Times New Roman" w:hAnsi="Times New Roman"/>
          <w:sz w:val="24"/>
          <w:szCs w:val="24"/>
        </w:rPr>
        <w:t>гарантне</w:t>
      </w:r>
      <w:r w:rsidR="00C857DC" w:rsidRPr="0007021A">
        <w:rPr>
          <w:rFonts w:ascii="Times New Roman" w:hAnsi="Times New Roman"/>
          <w:sz w:val="24"/>
          <w:szCs w:val="24"/>
        </w:rPr>
        <w:t xml:space="preserve"> </w:t>
      </w:r>
      <w:r w:rsidRPr="0007021A">
        <w:rPr>
          <w:rFonts w:ascii="Times New Roman" w:hAnsi="Times New Roman"/>
          <w:sz w:val="24"/>
          <w:szCs w:val="24"/>
        </w:rPr>
        <w:t>обавезе</w:t>
      </w:r>
      <w:r w:rsidR="00C857DC" w:rsidRPr="0007021A">
        <w:rPr>
          <w:rFonts w:ascii="Times New Roman" w:hAnsi="Times New Roman"/>
          <w:sz w:val="24"/>
          <w:szCs w:val="24"/>
        </w:rPr>
        <w:t xml:space="preserve"> </w:t>
      </w:r>
      <w:r w:rsidRPr="0007021A">
        <w:rPr>
          <w:rFonts w:ascii="Times New Roman" w:hAnsi="Times New Roman"/>
          <w:sz w:val="24"/>
          <w:szCs w:val="24"/>
        </w:rPr>
        <w:t>или</w:t>
      </w:r>
      <w:r w:rsidR="00C857DC" w:rsidRPr="0007021A">
        <w:rPr>
          <w:rFonts w:ascii="Times New Roman" w:hAnsi="Times New Roman"/>
          <w:sz w:val="24"/>
          <w:szCs w:val="24"/>
        </w:rPr>
        <w:t xml:space="preserve"> </w:t>
      </w:r>
      <w:r w:rsidRPr="0007021A">
        <w:rPr>
          <w:rFonts w:ascii="Times New Roman" w:hAnsi="Times New Roman"/>
          <w:sz w:val="24"/>
          <w:szCs w:val="24"/>
        </w:rPr>
        <w:t>због</w:t>
      </w:r>
      <w:r w:rsidR="00C857DC" w:rsidRPr="0007021A">
        <w:rPr>
          <w:rFonts w:ascii="Times New Roman" w:hAnsi="Times New Roman"/>
          <w:sz w:val="24"/>
          <w:szCs w:val="24"/>
        </w:rPr>
        <w:t xml:space="preserve"> </w:t>
      </w:r>
      <w:r w:rsidRPr="0007021A">
        <w:rPr>
          <w:rFonts w:ascii="Times New Roman" w:hAnsi="Times New Roman"/>
          <w:sz w:val="24"/>
          <w:szCs w:val="24"/>
        </w:rPr>
        <w:t>производне</w:t>
      </w:r>
      <w:r w:rsidR="00C857DC" w:rsidRPr="0007021A">
        <w:rPr>
          <w:rFonts w:ascii="Times New Roman" w:hAnsi="Times New Roman"/>
          <w:sz w:val="24"/>
          <w:szCs w:val="24"/>
        </w:rPr>
        <w:t xml:space="preserve"> </w:t>
      </w:r>
      <w:r w:rsidRPr="0007021A">
        <w:rPr>
          <w:rFonts w:ascii="Times New Roman" w:hAnsi="Times New Roman"/>
          <w:sz w:val="24"/>
          <w:szCs w:val="24"/>
        </w:rPr>
        <w:t>мане</w:t>
      </w:r>
      <w:r w:rsidR="00C857DC" w:rsidRPr="0007021A">
        <w:rPr>
          <w:rFonts w:ascii="Times New Roman" w:hAnsi="Times New Roman"/>
          <w:sz w:val="24"/>
          <w:szCs w:val="24"/>
        </w:rPr>
        <w:t>.</w:t>
      </w:r>
    </w:p>
    <w:p w:rsidR="004D5D9D" w:rsidRPr="0007021A" w:rsidRDefault="004D5D9D" w:rsidP="0007021A">
      <w:pPr>
        <w:jc w:val="both"/>
        <w:rPr>
          <w:rFonts w:ascii="Times New Roman" w:hAnsi="Times New Roman"/>
          <w:sz w:val="24"/>
          <w:szCs w:val="24"/>
          <w:lang w:val="sr-Cyrl-CS"/>
        </w:rPr>
      </w:pPr>
    </w:p>
    <w:p w:rsidR="006474A9" w:rsidRPr="0007021A" w:rsidRDefault="004949B5" w:rsidP="0007021A">
      <w:pPr>
        <w:ind w:firstLine="708"/>
        <w:jc w:val="both"/>
        <w:rPr>
          <w:rFonts w:ascii="Times New Roman" w:hAnsi="Times New Roman"/>
          <w:sz w:val="24"/>
          <w:szCs w:val="24"/>
          <w:lang w:val="sr-Cyrl-CS"/>
        </w:rPr>
      </w:pPr>
      <w:r w:rsidRPr="0007021A">
        <w:rPr>
          <w:rFonts w:ascii="Times New Roman" w:hAnsi="Times New Roman"/>
          <w:sz w:val="24"/>
          <w:szCs w:val="24"/>
        </w:rPr>
        <w:t>У</w:t>
      </w:r>
      <w:r w:rsidR="00C857DC" w:rsidRPr="0007021A">
        <w:rPr>
          <w:rFonts w:ascii="Times New Roman" w:hAnsi="Times New Roman"/>
          <w:sz w:val="24"/>
          <w:szCs w:val="24"/>
        </w:rPr>
        <w:t xml:space="preserve"> </w:t>
      </w:r>
      <w:r w:rsidRPr="0007021A">
        <w:rPr>
          <w:rFonts w:ascii="Times New Roman" w:hAnsi="Times New Roman"/>
          <w:sz w:val="24"/>
          <w:szCs w:val="24"/>
        </w:rPr>
        <w:t>конкретном</w:t>
      </w:r>
      <w:r w:rsidR="00C857DC" w:rsidRPr="0007021A">
        <w:rPr>
          <w:rFonts w:ascii="Times New Roman" w:hAnsi="Times New Roman"/>
          <w:sz w:val="24"/>
          <w:szCs w:val="24"/>
        </w:rPr>
        <w:t xml:space="preserve"> </w:t>
      </w:r>
      <w:r w:rsidRPr="0007021A">
        <w:rPr>
          <w:rFonts w:ascii="Times New Roman" w:hAnsi="Times New Roman"/>
          <w:sz w:val="24"/>
          <w:szCs w:val="24"/>
        </w:rPr>
        <w:t>случају</w:t>
      </w:r>
      <w:r w:rsidR="00C857DC" w:rsidRPr="0007021A">
        <w:rPr>
          <w:rFonts w:ascii="Times New Roman" w:hAnsi="Times New Roman"/>
          <w:sz w:val="24"/>
          <w:szCs w:val="24"/>
        </w:rPr>
        <w:t xml:space="preserve">, </w:t>
      </w:r>
      <w:r w:rsidRPr="0007021A">
        <w:rPr>
          <w:rFonts w:ascii="Times New Roman" w:hAnsi="Times New Roman"/>
          <w:sz w:val="24"/>
          <w:szCs w:val="24"/>
        </w:rPr>
        <w:t>када</w:t>
      </w:r>
      <w:r w:rsidR="00C857DC" w:rsidRPr="0007021A">
        <w:rPr>
          <w:rFonts w:ascii="Times New Roman" w:hAnsi="Times New Roman"/>
          <w:sz w:val="24"/>
          <w:szCs w:val="24"/>
        </w:rPr>
        <w:t xml:space="preserve"> </w:t>
      </w:r>
      <w:r w:rsidRPr="0007021A">
        <w:rPr>
          <w:rFonts w:ascii="Times New Roman" w:hAnsi="Times New Roman"/>
          <w:sz w:val="24"/>
          <w:szCs w:val="24"/>
        </w:rPr>
        <w:t>се</w:t>
      </w:r>
      <w:r w:rsidR="00C857DC" w:rsidRPr="0007021A">
        <w:rPr>
          <w:rFonts w:ascii="Times New Roman" w:hAnsi="Times New Roman"/>
          <w:sz w:val="24"/>
          <w:szCs w:val="24"/>
        </w:rPr>
        <w:t xml:space="preserve"> </w:t>
      </w:r>
      <w:r w:rsidRPr="0007021A">
        <w:rPr>
          <w:rFonts w:ascii="Times New Roman" w:hAnsi="Times New Roman"/>
          <w:sz w:val="24"/>
          <w:szCs w:val="24"/>
        </w:rPr>
        <w:t>у</w:t>
      </w:r>
      <w:r w:rsidR="00C857DC" w:rsidRPr="0007021A">
        <w:rPr>
          <w:rFonts w:ascii="Times New Roman" w:hAnsi="Times New Roman"/>
          <w:sz w:val="24"/>
          <w:szCs w:val="24"/>
        </w:rPr>
        <w:t xml:space="preserve"> </w:t>
      </w:r>
      <w:r w:rsidRPr="0007021A">
        <w:rPr>
          <w:rFonts w:ascii="Times New Roman" w:hAnsi="Times New Roman"/>
          <w:sz w:val="24"/>
          <w:szCs w:val="24"/>
        </w:rPr>
        <w:t>складу</w:t>
      </w:r>
      <w:r w:rsidR="00C857DC" w:rsidRPr="0007021A">
        <w:rPr>
          <w:rFonts w:ascii="Times New Roman" w:hAnsi="Times New Roman"/>
          <w:sz w:val="24"/>
          <w:szCs w:val="24"/>
        </w:rPr>
        <w:t xml:space="preserve"> </w:t>
      </w:r>
      <w:r w:rsidRPr="0007021A">
        <w:rPr>
          <w:rFonts w:ascii="Times New Roman" w:hAnsi="Times New Roman"/>
          <w:sz w:val="24"/>
          <w:szCs w:val="24"/>
        </w:rPr>
        <w:t>са</w:t>
      </w:r>
      <w:r w:rsidR="00C857DC" w:rsidRPr="0007021A">
        <w:rPr>
          <w:rFonts w:ascii="Times New Roman" w:hAnsi="Times New Roman"/>
          <w:sz w:val="24"/>
          <w:szCs w:val="24"/>
        </w:rPr>
        <w:t xml:space="preserve"> </w:t>
      </w:r>
      <w:r w:rsidRPr="0007021A">
        <w:rPr>
          <w:rFonts w:ascii="Times New Roman" w:hAnsi="Times New Roman"/>
          <w:sz w:val="24"/>
          <w:szCs w:val="24"/>
        </w:rPr>
        <w:t>царинским</w:t>
      </w:r>
      <w:r w:rsidR="00C857DC" w:rsidRPr="0007021A">
        <w:rPr>
          <w:rFonts w:ascii="Times New Roman" w:hAnsi="Times New Roman"/>
          <w:sz w:val="24"/>
          <w:szCs w:val="24"/>
        </w:rPr>
        <w:t xml:space="preserve"> </w:t>
      </w:r>
      <w:r w:rsidRPr="0007021A">
        <w:rPr>
          <w:rFonts w:ascii="Times New Roman" w:hAnsi="Times New Roman"/>
          <w:sz w:val="24"/>
          <w:szCs w:val="24"/>
        </w:rPr>
        <w:t>прописима</w:t>
      </w:r>
      <w:r w:rsidR="00C857DC" w:rsidRPr="0007021A">
        <w:rPr>
          <w:rFonts w:ascii="Times New Roman" w:hAnsi="Times New Roman"/>
          <w:sz w:val="24"/>
          <w:szCs w:val="24"/>
        </w:rPr>
        <w:t xml:space="preserve"> </w:t>
      </w:r>
      <w:r w:rsidRPr="0007021A">
        <w:rPr>
          <w:rFonts w:ascii="Times New Roman" w:hAnsi="Times New Roman"/>
          <w:sz w:val="24"/>
          <w:szCs w:val="24"/>
        </w:rPr>
        <w:t>спроводи</w:t>
      </w:r>
      <w:r w:rsidR="00C857DC" w:rsidRPr="0007021A">
        <w:rPr>
          <w:rFonts w:ascii="Times New Roman" w:hAnsi="Times New Roman"/>
          <w:sz w:val="24"/>
          <w:szCs w:val="24"/>
        </w:rPr>
        <w:t xml:space="preserve"> </w:t>
      </w:r>
      <w:r w:rsidRPr="0007021A">
        <w:rPr>
          <w:rFonts w:ascii="Times New Roman" w:hAnsi="Times New Roman"/>
          <w:sz w:val="24"/>
          <w:szCs w:val="24"/>
        </w:rPr>
        <w:t>поступак</w:t>
      </w:r>
      <w:r w:rsidR="00C857DC" w:rsidRPr="0007021A">
        <w:rPr>
          <w:rFonts w:ascii="Times New Roman" w:hAnsi="Times New Roman"/>
          <w:sz w:val="24"/>
          <w:szCs w:val="24"/>
        </w:rPr>
        <w:t xml:space="preserve"> </w:t>
      </w:r>
      <w:r w:rsidRPr="0007021A">
        <w:rPr>
          <w:rFonts w:ascii="Times New Roman" w:hAnsi="Times New Roman"/>
          <w:sz w:val="24"/>
          <w:szCs w:val="24"/>
        </w:rPr>
        <w:t>пасивног</w:t>
      </w:r>
      <w:r w:rsidR="00C857DC" w:rsidRPr="0007021A">
        <w:rPr>
          <w:rFonts w:ascii="Times New Roman" w:hAnsi="Times New Roman"/>
          <w:sz w:val="24"/>
          <w:szCs w:val="24"/>
        </w:rPr>
        <w:t xml:space="preserve"> </w:t>
      </w:r>
      <w:r w:rsidRPr="0007021A">
        <w:rPr>
          <w:rFonts w:ascii="Times New Roman" w:hAnsi="Times New Roman"/>
          <w:sz w:val="24"/>
          <w:szCs w:val="24"/>
        </w:rPr>
        <w:t>оплемењивања</w:t>
      </w:r>
      <w:r w:rsidR="00C857DC" w:rsidRPr="0007021A">
        <w:rPr>
          <w:rFonts w:ascii="Times New Roman" w:hAnsi="Times New Roman"/>
          <w:sz w:val="24"/>
          <w:szCs w:val="24"/>
        </w:rPr>
        <w:t xml:space="preserve"> </w:t>
      </w:r>
      <w:r w:rsidRPr="0007021A">
        <w:rPr>
          <w:rFonts w:ascii="Times New Roman" w:hAnsi="Times New Roman"/>
          <w:sz w:val="24"/>
          <w:szCs w:val="24"/>
        </w:rPr>
        <w:t>цигарета</w:t>
      </w:r>
      <w:r w:rsidR="00C857DC" w:rsidRPr="0007021A">
        <w:rPr>
          <w:rFonts w:ascii="Times New Roman" w:hAnsi="Times New Roman"/>
          <w:sz w:val="24"/>
          <w:szCs w:val="24"/>
        </w:rPr>
        <w:t xml:space="preserve"> </w:t>
      </w:r>
      <w:r w:rsidRPr="0007021A">
        <w:rPr>
          <w:rFonts w:ascii="Times New Roman" w:hAnsi="Times New Roman"/>
          <w:sz w:val="24"/>
          <w:szCs w:val="24"/>
        </w:rPr>
        <w:t>одобрен</w:t>
      </w:r>
      <w:r w:rsidR="00C857DC" w:rsidRPr="0007021A">
        <w:rPr>
          <w:rFonts w:ascii="Times New Roman" w:hAnsi="Times New Roman"/>
          <w:sz w:val="24"/>
          <w:szCs w:val="24"/>
        </w:rPr>
        <w:t xml:space="preserve"> </w:t>
      </w:r>
      <w:r w:rsidRPr="0007021A">
        <w:rPr>
          <w:rFonts w:ascii="Times New Roman" w:hAnsi="Times New Roman"/>
          <w:sz w:val="24"/>
          <w:szCs w:val="24"/>
        </w:rPr>
        <w:t>ради</w:t>
      </w:r>
      <w:r w:rsidR="00C857DC" w:rsidRPr="0007021A">
        <w:rPr>
          <w:rFonts w:ascii="Times New Roman" w:hAnsi="Times New Roman"/>
          <w:sz w:val="24"/>
          <w:szCs w:val="24"/>
        </w:rPr>
        <w:t xml:space="preserve"> </w:t>
      </w:r>
      <w:r w:rsidRPr="0007021A">
        <w:rPr>
          <w:rFonts w:ascii="Times New Roman" w:hAnsi="Times New Roman"/>
          <w:sz w:val="24"/>
          <w:szCs w:val="24"/>
        </w:rPr>
        <w:t>поправке</w:t>
      </w:r>
      <w:r w:rsidR="00C857DC" w:rsidRPr="0007021A">
        <w:rPr>
          <w:rFonts w:ascii="Times New Roman" w:hAnsi="Times New Roman"/>
          <w:sz w:val="24"/>
          <w:szCs w:val="24"/>
        </w:rPr>
        <w:t xml:space="preserve"> </w:t>
      </w:r>
      <w:r w:rsidRPr="0007021A">
        <w:rPr>
          <w:rFonts w:ascii="Times New Roman" w:hAnsi="Times New Roman"/>
          <w:sz w:val="24"/>
          <w:szCs w:val="24"/>
        </w:rPr>
        <w:t>привремено</w:t>
      </w:r>
      <w:r w:rsidR="00C857DC" w:rsidRPr="0007021A">
        <w:rPr>
          <w:rFonts w:ascii="Times New Roman" w:hAnsi="Times New Roman"/>
          <w:sz w:val="24"/>
          <w:szCs w:val="24"/>
        </w:rPr>
        <w:t xml:space="preserve"> </w:t>
      </w:r>
      <w:r w:rsidRPr="0007021A">
        <w:rPr>
          <w:rFonts w:ascii="Times New Roman" w:hAnsi="Times New Roman"/>
          <w:sz w:val="24"/>
          <w:szCs w:val="24"/>
        </w:rPr>
        <w:t>извезене</w:t>
      </w:r>
      <w:r w:rsidR="00C857DC" w:rsidRPr="0007021A">
        <w:rPr>
          <w:rFonts w:ascii="Times New Roman" w:hAnsi="Times New Roman"/>
          <w:sz w:val="24"/>
          <w:szCs w:val="24"/>
        </w:rPr>
        <w:t xml:space="preserve"> </w:t>
      </w:r>
      <w:r w:rsidRPr="0007021A">
        <w:rPr>
          <w:rFonts w:ascii="Times New Roman" w:hAnsi="Times New Roman"/>
          <w:sz w:val="24"/>
          <w:szCs w:val="24"/>
        </w:rPr>
        <w:t>робе</w:t>
      </w:r>
      <w:r w:rsidR="00C857DC" w:rsidRPr="0007021A">
        <w:rPr>
          <w:rFonts w:ascii="Times New Roman" w:hAnsi="Times New Roman"/>
          <w:sz w:val="24"/>
          <w:szCs w:val="24"/>
        </w:rPr>
        <w:t xml:space="preserve"> (</w:t>
      </w:r>
      <w:r w:rsidRPr="0007021A">
        <w:rPr>
          <w:rFonts w:ascii="Times New Roman" w:hAnsi="Times New Roman"/>
          <w:sz w:val="24"/>
          <w:szCs w:val="24"/>
        </w:rPr>
        <w:t>бесплатна</w:t>
      </w:r>
      <w:r w:rsidR="00C857DC" w:rsidRPr="0007021A">
        <w:rPr>
          <w:rFonts w:ascii="Times New Roman" w:hAnsi="Times New Roman"/>
          <w:sz w:val="24"/>
          <w:szCs w:val="24"/>
        </w:rPr>
        <w:t xml:space="preserve"> </w:t>
      </w:r>
      <w:r w:rsidRPr="0007021A">
        <w:rPr>
          <w:rFonts w:ascii="Times New Roman" w:hAnsi="Times New Roman"/>
          <w:sz w:val="24"/>
          <w:szCs w:val="24"/>
        </w:rPr>
        <w:t>поправка</w:t>
      </w:r>
      <w:r w:rsidR="00C857DC" w:rsidRPr="0007021A">
        <w:rPr>
          <w:rFonts w:ascii="Times New Roman" w:hAnsi="Times New Roman"/>
          <w:sz w:val="24"/>
          <w:szCs w:val="24"/>
        </w:rPr>
        <w:t xml:space="preserve"> </w:t>
      </w:r>
      <w:r w:rsidRPr="0007021A">
        <w:rPr>
          <w:rFonts w:ascii="Times New Roman" w:hAnsi="Times New Roman"/>
          <w:sz w:val="24"/>
          <w:szCs w:val="24"/>
        </w:rPr>
        <w:t>целофана</w:t>
      </w:r>
      <w:r w:rsidR="00C857DC" w:rsidRPr="0007021A">
        <w:rPr>
          <w:rFonts w:ascii="Times New Roman" w:hAnsi="Times New Roman"/>
          <w:sz w:val="24"/>
          <w:szCs w:val="24"/>
        </w:rPr>
        <w:t xml:space="preserve"> </w:t>
      </w:r>
      <w:r w:rsidRPr="0007021A">
        <w:rPr>
          <w:rFonts w:ascii="Times New Roman" w:hAnsi="Times New Roman"/>
          <w:sz w:val="24"/>
          <w:szCs w:val="24"/>
        </w:rPr>
        <w:t>на</w:t>
      </w:r>
      <w:r w:rsidR="00C857DC" w:rsidRPr="0007021A">
        <w:rPr>
          <w:rFonts w:ascii="Times New Roman" w:hAnsi="Times New Roman"/>
          <w:sz w:val="24"/>
          <w:szCs w:val="24"/>
        </w:rPr>
        <w:t xml:space="preserve"> </w:t>
      </w:r>
      <w:r w:rsidRPr="0007021A">
        <w:rPr>
          <w:rFonts w:ascii="Times New Roman" w:hAnsi="Times New Roman"/>
          <w:sz w:val="24"/>
          <w:szCs w:val="24"/>
        </w:rPr>
        <w:t>цигаретама</w:t>
      </w:r>
      <w:r w:rsidR="00C857DC" w:rsidRPr="0007021A">
        <w:rPr>
          <w:rFonts w:ascii="Times New Roman" w:hAnsi="Times New Roman"/>
          <w:sz w:val="24"/>
          <w:szCs w:val="24"/>
        </w:rPr>
        <w:t xml:space="preserve">, </w:t>
      </w:r>
      <w:r w:rsidRPr="0007021A">
        <w:rPr>
          <w:rFonts w:ascii="Times New Roman" w:hAnsi="Times New Roman"/>
          <w:sz w:val="24"/>
          <w:szCs w:val="24"/>
        </w:rPr>
        <w:t>при</w:t>
      </w:r>
      <w:r w:rsidR="00C857DC" w:rsidRPr="0007021A">
        <w:rPr>
          <w:rFonts w:ascii="Times New Roman" w:hAnsi="Times New Roman"/>
          <w:sz w:val="24"/>
          <w:szCs w:val="24"/>
        </w:rPr>
        <w:t xml:space="preserve"> </w:t>
      </w:r>
      <w:r w:rsidRPr="0007021A">
        <w:rPr>
          <w:rFonts w:ascii="Times New Roman" w:hAnsi="Times New Roman"/>
          <w:sz w:val="24"/>
          <w:szCs w:val="24"/>
        </w:rPr>
        <w:t>чему</w:t>
      </w:r>
      <w:r w:rsidR="00C857DC" w:rsidRPr="0007021A">
        <w:rPr>
          <w:rFonts w:ascii="Times New Roman" w:hAnsi="Times New Roman"/>
          <w:sz w:val="24"/>
          <w:szCs w:val="24"/>
        </w:rPr>
        <w:t xml:space="preserve"> </w:t>
      </w:r>
      <w:r w:rsidRPr="0007021A">
        <w:rPr>
          <w:rFonts w:ascii="Times New Roman" w:hAnsi="Times New Roman"/>
          <w:sz w:val="24"/>
          <w:szCs w:val="24"/>
        </w:rPr>
        <w:t>се</w:t>
      </w:r>
      <w:r w:rsidR="00C857DC" w:rsidRPr="0007021A">
        <w:rPr>
          <w:rFonts w:ascii="Times New Roman" w:hAnsi="Times New Roman"/>
          <w:sz w:val="24"/>
          <w:szCs w:val="24"/>
        </w:rPr>
        <w:t xml:space="preserve"> </w:t>
      </w:r>
      <w:r w:rsidRPr="0007021A">
        <w:rPr>
          <w:rFonts w:ascii="Times New Roman" w:hAnsi="Times New Roman"/>
          <w:sz w:val="24"/>
          <w:szCs w:val="24"/>
        </w:rPr>
        <w:t>не</w:t>
      </w:r>
      <w:r w:rsidR="00C857DC" w:rsidRPr="0007021A">
        <w:rPr>
          <w:rFonts w:ascii="Times New Roman" w:hAnsi="Times New Roman"/>
          <w:sz w:val="24"/>
          <w:szCs w:val="24"/>
        </w:rPr>
        <w:t xml:space="preserve"> </w:t>
      </w:r>
      <w:r w:rsidRPr="0007021A">
        <w:rPr>
          <w:rFonts w:ascii="Times New Roman" w:hAnsi="Times New Roman"/>
          <w:sz w:val="24"/>
          <w:szCs w:val="24"/>
        </w:rPr>
        <w:t>одлепљују</w:t>
      </w:r>
      <w:r w:rsidR="00C857DC" w:rsidRPr="0007021A">
        <w:rPr>
          <w:rFonts w:ascii="Times New Roman" w:hAnsi="Times New Roman"/>
          <w:sz w:val="24"/>
          <w:szCs w:val="24"/>
        </w:rPr>
        <w:t xml:space="preserve"> </w:t>
      </w:r>
      <w:r w:rsidRPr="0007021A">
        <w:rPr>
          <w:rFonts w:ascii="Times New Roman" w:hAnsi="Times New Roman"/>
          <w:sz w:val="24"/>
          <w:szCs w:val="24"/>
        </w:rPr>
        <w:t>претходно</w:t>
      </w:r>
      <w:r w:rsidR="00C857DC" w:rsidRPr="0007021A">
        <w:rPr>
          <w:rFonts w:ascii="Times New Roman" w:hAnsi="Times New Roman"/>
          <w:sz w:val="24"/>
          <w:szCs w:val="24"/>
        </w:rPr>
        <w:t xml:space="preserve"> </w:t>
      </w:r>
      <w:r w:rsidRPr="0007021A">
        <w:rPr>
          <w:rFonts w:ascii="Times New Roman" w:hAnsi="Times New Roman"/>
          <w:sz w:val="24"/>
          <w:szCs w:val="24"/>
        </w:rPr>
        <w:t>обележене</w:t>
      </w:r>
      <w:r w:rsidR="00C857DC" w:rsidRPr="0007021A">
        <w:rPr>
          <w:rFonts w:ascii="Times New Roman" w:hAnsi="Times New Roman"/>
          <w:sz w:val="24"/>
          <w:szCs w:val="24"/>
        </w:rPr>
        <w:t xml:space="preserve"> </w:t>
      </w:r>
      <w:r w:rsidRPr="0007021A">
        <w:rPr>
          <w:rFonts w:ascii="Times New Roman" w:hAnsi="Times New Roman"/>
          <w:sz w:val="24"/>
          <w:szCs w:val="24"/>
        </w:rPr>
        <w:t>контролне</w:t>
      </w:r>
      <w:r w:rsidR="00C857DC" w:rsidRPr="0007021A">
        <w:rPr>
          <w:rFonts w:ascii="Times New Roman" w:hAnsi="Times New Roman"/>
          <w:sz w:val="24"/>
          <w:szCs w:val="24"/>
        </w:rPr>
        <w:t xml:space="preserve"> </w:t>
      </w:r>
      <w:r w:rsidRPr="0007021A">
        <w:rPr>
          <w:rFonts w:ascii="Times New Roman" w:hAnsi="Times New Roman"/>
          <w:sz w:val="24"/>
          <w:szCs w:val="24"/>
        </w:rPr>
        <w:t>акцизне</w:t>
      </w:r>
      <w:r w:rsidR="00C857DC" w:rsidRPr="0007021A">
        <w:rPr>
          <w:rFonts w:ascii="Times New Roman" w:hAnsi="Times New Roman"/>
          <w:sz w:val="24"/>
          <w:szCs w:val="24"/>
        </w:rPr>
        <w:t xml:space="preserve"> </w:t>
      </w:r>
      <w:r w:rsidRPr="0007021A">
        <w:rPr>
          <w:rFonts w:ascii="Times New Roman" w:hAnsi="Times New Roman"/>
          <w:sz w:val="24"/>
          <w:szCs w:val="24"/>
        </w:rPr>
        <w:t>маркице</w:t>
      </w:r>
      <w:r w:rsidR="00C857DC" w:rsidRPr="0007021A">
        <w:rPr>
          <w:rFonts w:ascii="Times New Roman" w:hAnsi="Times New Roman"/>
          <w:sz w:val="24"/>
          <w:szCs w:val="24"/>
        </w:rPr>
        <w:t xml:space="preserve">), </w:t>
      </w:r>
      <w:r w:rsidRPr="0007021A">
        <w:rPr>
          <w:rFonts w:ascii="Times New Roman" w:hAnsi="Times New Roman"/>
          <w:sz w:val="24"/>
          <w:szCs w:val="24"/>
        </w:rPr>
        <w:t>приликом</w:t>
      </w:r>
      <w:r w:rsidR="00C857DC" w:rsidRPr="0007021A">
        <w:rPr>
          <w:rFonts w:ascii="Times New Roman" w:hAnsi="Times New Roman"/>
          <w:sz w:val="24"/>
          <w:szCs w:val="24"/>
        </w:rPr>
        <w:t xml:space="preserve"> </w:t>
      </w:r>
      <w:r w:rsidRPr="0007021A">
        <w:rPr>
          <w:rFonts w:ascii="Times New Roman" w:hAnsi="Times New Roman"/>
          <w:sz w:val="24"/>
          <w:szCs w:val="24"/>
        </w:rPr>
        <w:t>поновног</w:t>
      </w:r>
      <w:r w:rsidR="00C857DC" w:rsidRPr="0007021A">
        <w:rPr>
          <w:rFonts w:ascii="Times New Roman" w:hAnsi="Times New Roman"/>
          <w:sz w:val="24"/>
          <w:szCs w:val="24"/>
        </w:rPr>
        <w:t xml:space="preserve"> </w:t>
      </w:r>
      <w:r w:rsidRPr="0007021A">
        <w:rPr>
          <w:rFonts w:ascii="Times New Roman" w:hAnsi="Times New Roman"/>
          <w:sz w:val="24"/>
          <w:szCs w:val="24"/>
        </w:rPr>
        <w:t>увоза</w:t>
      </w:r>
      <w:r w:rsidR="00C857DC" w:rsidRPr="0007021A">
        <w:rPr>
          <w:rFonts w:ascii="Times New Roman" w:hAnsi="Times New Roman"/>
          <w:sz w:val="24"/>
          <w:szCs w:val="24"/>
        </w:rPr>
        <w:t xml:space="preserve"> </w:t>
      </w:r>
      <w:r w:rsidRPr="0007021A">
        <w:rPr>
          <w:rFonts w:ascii="Times New Roman" w:hAnsi="Times New Roman"/>
          <w:sz w:val="24"/>
          <w:szCs w:val="24"/>
        </w:rPr>
        <w:t>тих</w:t>
      </w:r>
      <w:r w:rsidR="00C857DC" w:rsidRPr="0007021A">
        <w:rPr>
          <w:rFonts w:ascii="Times New Roman" w:hAnsi="Times New Roman"/>
          <w:sz w:val="24"/>
          <w:szCs w:val="24"/>
        </w:rPr>
        <w:t xml:space="preserve"> </w:t>
      </w:r>
      <w:r w:rsidRPr="0007021A">
        <w:rPr>
          <w:rFonts w:ascii="Times New Roman" w:hAnsi="Times New Roman"/>
          <w:sz w:val="24"/>
          <w:szCs w:val="24"/>
        </w:rPr>
        <w:t>цигарета</w:t>
      </w:r>
      <w:r w:rsidR="00C857DC" w:rsidRPr="0007021A">
        <w:rPr>
          <w:rFonts w:ascii="Times New Roman" w:hAnsi="Times New Roman"/>
          <w:sz w:val="24"/>
          <w:szCs w:val="24"/>
        </w:rPr>
        <w:t xml:space="preserve">, </w:t>
      </w:r>
      <w:r w:rsidRPr="0007021A">
        <w:rPr>
          <w:rFonts w:ascii="Times New Roman" w:hAnsi="Times New Roman"/>
          <w:sz w:val="24"/>
          <w:szCs w:val="24"/>
        </w:rPr>
        <w:t>не</w:t>
      </w:r>
      <w:r w:rsidR="00C857DC" w:rsidRPr="0007021A">
        <w:rPr>
          <w:rFonts w:ascii="Times New Roman" w:hAnsi="Times New Roman"/>
          <w:sz w:val="24"/>
          <w:szCs w:val="24"/>
        </w:rPr>
        <w:t xml:space="preserve"> </w:t>
      </w:r>
      <w:r w:rsidRPr="0007021A">
        <w:rPr>
          <w:rFonts w:ascii="Times New Roman" w:hAnsi="Times New Roman"/>
          <w:sz w:val="24"/>
          <w:szCs w:val="24"/>
        </w:rPr>
        <w:t>обрачунава</w:t>
      </w:r>
      <w:r w:rsidR="00C857DC" w:rsidRPr="0007021A">
        <w:rPr>
          <w:rFonts w:ascii="Times New Roman" w:hAnsi="Times New Roman"/>
          <w:sz w:val="24"/>
          <w:szCs w:val="24"/>
        </w:rPr>
        <w:t xml:space="preserve"> </w:t>
      </w:r>
      <w:r w:rsidRPr="0007021A">
        <w:rPr>
          <w:rFonts w:ascii="Times New Roman" w:hAnsi="Times New Roman"/>
          <w:sz w:val="24"/>
          <w:szCs w:val="24"/>
        </w:rPr>
        <w:t>се</w:t>
      </w:r>
      <w:r w:rsidR="00C857DC" w:rsidRPr="0007021A">
        <w:rPr>
          <w:rFonts w:ascii="Times New Roman" w:hAnsi="Times New Roman"/>
          <w:sz w:val="24"/>
          <w:szCs w:val="24"/>
        </w:rPr>
        <w:t xml:space="preserve"> </w:t>
      </w:r>
      <w:r w:rsidRPr="0007021A">
        <w:rPr>
          <w:rFonts w:ascii="Times New Roman" w:hAnsi="Times New Roman"/>
          <w:sz w:val="24"/>
          <w:szCs w:val="24"/>
        </w:rPr>
        <w:t>и</w:t>
      </w:r>
      <w:r w:rsidR="00C857DC" w:rsidRPr="0007021A">
        <w:rPr>
          <w:rFonts w:ascii="Times New Roman" w:hAnsi="Times New Roman"/>
          <w:sz w:val="24"/>
          <w:szCs w:val="24"/>
        </w:rPr>
        <w:t xml:space="preserve"> </w:t>
      </w:r>
      <w:r w:rsidRPr="0007021A">
        <w:rPr>
          <w:rFonts w:ascii="Times New Roman" w:hAnsi="Times New Roman"/>
          <w:sz w:val="24"/>
          <w:szCs w:val="24"/>
        </w:rPr>
        <w:t>не</w:t>
      </w:r>
      <w:r w:rsidR="00C857DC" w:rsidRPr="0007021A">
        <w:rPr>
          <w:rFonts w:ascii="Times New Roman" w:hAnsi="Times New Roman"/>
          <w:sz w:val="24"/>
          <w:szCs w:val="24"/>
        </w:rPr>
        <w:t xml:space="preserve"> </w:t>
      </w:r>
      <w:r w:rsidRPr="0007021A">
        <w:rPr>
          <w:rFonts w:ascii="Times New Roman" w:hAnsi="Times New Roman"/>
          <w:sz w:val="24"/>
          <w:szCs w:val="24"/>
        </w:rPr>
        <w:t>плаћа</w:t>
      </w:r>
      <w:r w:rsidR="00C857DC" w:rsidRPr="0007021A">
        <w:rPr>
          <w:rFonts w:ascii="Times New Roman" w:hAnsi="Times New Roman"/>
          <w:sz w:val="24"/>
          <w:szCs w:val="24"/>
        </w:rPr>
        <w:t xml:space="preserve"> </w:t>
      </w:r>
      <w:r w:rsidRPr="0007021A">
        <w:rPr>
          <w:rFonts w:ascii="Times New Roman" w:hAnsi="Times New Roman"/>
          <w:sz w:val="24"/>
          <w:szCs w:val="24"/>
        </w:rPr>
        <w:t>акциза</w:t>
      </w:r>
      <w:r w:rsidR="00C857DC" w:rsidRPr="0007021A">
        <w:rPr>
          <w:rFonts w:ascii="Times New Roman" w:hAnsi="Times New Roman"/>
          <w:sz w:val="24"/>
          <w:szCs w:val="24"/>
        </w:rPr>
        <w:t xml:space="preserve">, </w:t>
      </w:r>
      <w:r w:rsidRPr="0007021A">
        <w:rPr>
          <w:rFonts w:ascii="Times New Roman" w:hAnsi="Times New Roman"/>
          <w:sz w:val="24"/>
          <w:szCs w:val="24"/>
        </w:rPr>
        <w:t>с</w:t>
      </w:r>
      <w:r w:rsidR="00C857DC" w:rsidRPr="0007021A">
        <w:rPr>
          <w:rFonts w:ascii="Times New Roman" w:hAnsi="Times New Roman"/>
          <w:sz w:val="24"/>
          <w:szCs w:val="24"/>
        </w:rPr>
        <w:t xml:space="preserve"> </w:t>
      </w:r>
      <w:r w:rsidRPr="0007021A">
        <w:rPr>
          <w:rFonts w:ascii="Times New Roman" w:hAnsi="Times New Roman"/>
          <w:sz w:val="24"/>
          <w:szCs w:val="24"/>
        </w:rPr>
        <w:t>обзиром</w:t>
      </w:r>
      <w:r w:rsidR="00C857DC" w:rsidRPr="0007021A">
        <w:rPr>
          <w:rFonts w:ascii="Times New Roman" w:hAnsi="Times New Roman"/>
          <w:sz w:val="24"/>
          <w:szCs w:val="24"/>
        </w:rPr>
        <w:t xml:space="preserve"> </w:t>
      </w:r>
      <w:r w:rsidRPr="0007021A">
        <w:rPr>
          <w:rFonts w:ascii="Times New Roman" w:hAnsi="Times New Roman"/>
          <w:sz w:val="24"/>
          <w:szCs w:val="24"/>
        </w:rPr>
        <w:t>да</w:t>
      </w:r>
      <w:r w:rsidR="00C857DC" w:rsidRPr="0007021A">
        <w:rPr>
          <w:rFonts w:ascii="Times New Roman" w:hAnsi="Times New Roman"/>
          <w:sz w:val="24"/>
          <w:szCs w:val="24"/>
        </w:rPr>
        <w:t xml:space="preserve"> </w:t>
      </w:r>
      <w:r w:rsidRPr="0007021A">
        <w:rPr>
          <w:rFonts w:ascii="Times New Roman" w:hAnsi="Times New Roman"/>
          <w:sz w:val="24"/>
          <w:szCs w:val="24"/>
        </w:rPr>
        <w:t>је</w:t>
      </w:r>
      <w:r w:rsidR="00C857DC" w:rsidRPr="0007021A">
        <w:rPr>
          <w:rFonts w:ascii="Times New Roman" w:hAnsi="Times New Roman"/>
          <w:sz w:val="24"/>
          <w:szCs w:val="24"/>
        </w:rPr>
        <w:t xml:space="preserve"> </w:t>
      </w:r>
      <w:r w:rsidRPr="0007021A">
        <w:rPr>
          <w:rFonts w:ascii="Times New Roman" w:hAnsi="Times New Roman"/>
          <w:sz w:val="24"/>
          <w:szCs w:val="24"/>
        </w:rPr>
        <w:t>на</w:t>
      </w:r>
      <w:r w:rsidR="00C857DC" w:rsidRPr="0007021A">
        <w:rPr>
          <w:rFonts w:ascii="Times New Roman" w:hAnsi="Times New Roman"/>
          <w:sz w:val="24"/>
          <w:szCs w:val="24"/>
        </w:rPr>
        <w:t xml:space="preserve"> </w:t>
      </w:r>
      <w:r w:rsidRPr="0007021A">
        <w:rPr>
          <w:rFonts w:ascii="Times New Roman" w:hAnsi="Times New Roman"/>
          <w:sz w:val="24"/>
          <w:szCs w:val="24"/>
        </w:rPr>
        <w:t>исте</w:t>
      </w:r>
      <w:r w:rsidR="00C857DC" w:rsidRPr="0007021A">
        <w:rPr>
          <w:rFonts w:ascii="Times New Roman" w:hAnsi="Times New Roman"/>
          <w:sz w:val="24"/>
          <w:szCs w:val="24"/>
        </w:rPr>
        <w:t xml:space="preserve"> </w:t>
      </w:r>
      <w:r w:rsidRPr="0007021A">
        <w:rPr>
          <w:rFonts w:ascii="Times New Roman" w:hAnsi="Times New Roman"/>
          <w:sz w:val="24"/>
          <w:szCs w:val="24"/>
        </w:rPr>
        <w:t>већ</w:t>
      </w:r>
      <w:r w:rsidR="00C857DC" w:rsidRPr="0007021A">
        <w:rPr>
          <w:rFonts w:ascii="Times New Roman" w:hAnsi="Times New Roman"/>
          <w:sz w:val="24"/>
          <w:szCs w:val="24"/>
        </w:rPr>
        <w:t xml:space="preserve"> </w:t>
      </w:r>
      <w:r w:rsidRPr="0007021A">
        <w:rPr>
          <w:rFonts w:ascii="Times New Roman" w:hAnsi="Times New Roman"/>
          <w:sz w:val="24"/>
          <w:szCs w:val="24"/>
        </w:rPr>
        <w:t>обрачуната</w:t>
      </w:r>
      <w:r w:rsidR="00C857DC" w:rsidRPr="0007021A">
        <w:rPr>
          <w:rFonts w:ascii="Times New Roman" w:hAnsi="Times New Roman"/>
          <w:sz w:val="24"/>
          <w:szCs w:val="24"/>
        </w:rPr>
        <w:t xml:space="preserve"> </w:t>
      </w:r>
      <w:r w:rsidRPr="0007021A">
        <w:rPr>
          <w:rFonts w:ascii="Times New Roman" w:hAnsi="Times New Roman"/>
          <w:sz w:val="24"/>
          <w:szCs w:val="24"/>
        </w:rPr>
        <w:t>и</w:t>
      </w:r>
      <w:r w:rsidR="00C857DC" w:rsidRPr="0007021A">
        <w:rPr>
          <w:rFonts w:ascii="Times New Roman" w:hAnsi="Times New Roman"/>
          <w:sz w:val="24"/>
          <w:szCs w:val="24"/>
        </w:rPr>
        <w:t xml:space="preserve"> </w:t>
      </w:r>
      <w:r w:rsidRPr="0007021A">
        <w:rPr>
          <w:rFonts w:ascii="Times New Roman" w:hAnsi="Times New Roman"/>
          <w:sz w:val="24"/>
          <w:szCs w:val="24"/>
        </w:rPr>
        <w:t>плаћена</w:t>
      </w:r>
      <w:r w:rsidR="00C857DC" w:rsidRPr="0007021A">
        <w:rPr>
          <w:rFonts w:ascii="Times New Roman" w:hAnsi="Times New Roman"/>
          <w:sz w:val="24"/>
          <w:szCs w:val="24"/>
        </w:rPr>
        <w:t xml:space="preserve"> </w:t>
      </w:r>
      <w:r w:rsidRPr="0007021A">
        <w:rPr>
          <w:rFonts w:ascii="Times New Roman" w:hAnsi="Times New Roman"/>
          <w:sz w:val="24"/>
          <w:szCs w:val="24"/>
        </w:rPr>
        <w:t>акциза</w:t>
      </w:r>
      <w:r w:rsidR="00C857DC" w:rsidRPr="0007021A">
        <w:rPr>
          <w:rFonts w:ascii="Times New Roman" w:hAnsi="Times New Roman"/>
          <w:sz w:val="24"/>
          <w:szCs w:val="24"/>
        </w:rPr>
        <w:t xml:space="preserve">, </w:t>
      </w:r>
      <w:r w:rsidRPr="0007021A">
        <w:rPr>
          <w:rFonts w:ascii="Times New Roman" w:hAnsi="Times New Roman"/>
          <w:sz w:val="24"/>
          <w:szCs w:val="24"/>
        </w:rPr>
        <w:t>при</w:t>
      </w:r>
      <w:r w:rsidR="00C857DC" w:rsidRPr="0007021A">
        <w:rPr>
          <w:rFonts w:ascii="Times New Roman" w:hAnsi="Times New Roman"/>
          <w:sz w:val="24"/>
          <w:szCs w:val="24"/>
        </w:rPr>
        <w:t xml:space="preserve"> </w:t>
      </w:r>
      <w:r w:rsidRPr="0007021A">
        <w:rPr>
          <w:rFonts w:ascii="Times New Roman" w:hAnsi="Times New Roman"/>
          <w:sz w:val="24"/>
          <w:szCs w:val="24"/>
        </w:rPr>
        <w:t>чему</w:t>
      </w:r>
      <w:r w:rsidR="00C857DC" w:rsidRPr="0007021A">
        <w:rPr>
          <w:rFonts w:ascii="Times New Roman" w:hAnsi="Times New Roman"/>
          <w:sz w:val="24"/>
          <w:szCs w:val="24"/>
        </w:rPr>
        <w:t xml:space="preserve"> </w:t>
      </w:r>
      <w:r w:rsidRPr="0007021A">
        <w:rPr>
          <w:rFonts w:ascii="Times New Roman" w:hAnsi="Times New Roman"/>
          <w:sz w:val="24"/>
          <w:szCs w:val="24"/>
        </w:rPr>
        <w:t>царински</w:t>
      </w:r>
      <w:r w:rsidR="00C857DC" w:rsidRPr="0007021A">
        <w:rPr>
          <w:rFonts w:ascii="Times New Roman" w:hAnsi="Times New Roman"/>
          <w:sz w:val="24"/>
          <w:szCs w:val="24"/>
        </w:rPr>
        <w:t xml:space="preserve"> </w:t>
      </w:r>
      <w:r w:rsidRPr="0007021A">
        <w:rPr>
          <w:rFonts w:ascii="Times New Roman" w:hAnsi="Times New Roman"/>
          <w:sz w:val="24"/>
          <w:szCs w:val="24"/>
        </w:rPr>
        <w:t>орган</w:t>
      </w:r>
      <w:r w:rsidR="00C857DC" w:rsidRPr="0007021A">
        <w:rPr>
          <w:rFonts w:ascii="Times New Roman" w:hAnsi="Times New Roman"/>
          <w:sz w:val="24"/>
          <w:szCs w:val="24"/>
        </w:rPr>
        <w:t xml:space="preserve">, </w:t>
      </w:r>
      <w:r w:rsidRPr="0007021A">
        <w:rPr>
          <w:rFonts w:ascii="Times New Roman" w:hAnsi="Times New Roman"/>
          <w:sz w:val="24"/>
          <w:szCs w:val="24"/>
        </w:rPr>
        <w:t>у</w:t>
      </w:r>
      <w:r w:rsidR="00C857DC" w:rsidRPr="0007021A">
        <w:rPr>
          <w:rFonts w:ascii="Times New Roman" w:hAnsi="Times New Roman"/>
          <w:sz w:val="24"/>
          <w:szCs w:val="24"/>
        </w:rPr>
        <w:t xml:space="preserve"> </w:t>
      </w:r>
      <w:r w:rsidRPr="0007021A">
        <w:rPr>
          <w:rFonts w:ascii="Times New Roman" w:hAnsi="Times New Roman"/>
          <w:sz w:val="24"/>
          <w:szCs w:val="24"/>
        </w:rPr>
        <w:t>оквиру</w:t>
      </w:r>
      <w:r w:rsidR="00C857DC" w:rsidRPr="0007021A">
        <w:rPr>
          <w:rFonts w:ascii="Times New Roman" w:hAnsi="Times New Roman"/>
          <w:sz w:val="24"/>
          <w:szCs w:val="24"/>
        </w:rPr>
        <w:t xml:space="preserve"> </w:t>
      </w:r>
      <w:r w:rsidRPr="0007021A">
        <w:rPr>
          <w:rFonts w:ascii="Times New Roman" w:hAnsi="Times New Roman"/>
          <w:sz w:val="24"/>
          <w:szCs w:val="24"/>
        </w:rPr>
        <w:t>свог</w:t>
      </w:r>
      <w:r w:rsidR="00C857DC" w:rsidRPr="0007021A">
        <w:rPr>
          <w:rFonts w:ascii="Times New Roman" w:hAnsi="Times New Roman"/>
          <w:sz w:val="24"/>
          <w:szCs w:val="24"/>
        </w:rPr>
        <w:t xml:space="preserve"> </w:t>
      </w:r>
      <w:r w:rsidRPr="0007021A">
        <w:rPr>
          <w:rFonts w:ascii="Times New Roman" w:hAnsi="Times New Roman"/>
          <w:sz w:val="24"/>
          <w:szCs w:val="24"/>
        </w:rPr>
        <w:t>поступања</w:t>
      </w:r>
      <w:r w:rsidR="00C857DC" w:rsidRPr="0007021A">
        <w:rPr>
          <w:rFonts w:ascii="Times New Roman" w:hAnsi="Times New Roman"/>
          <w:sz w:val="24"/>
          <w:szCs w:val="24"/>
        </w:rPr>
        <w:t xml:space="preserve">, </w:t>
      </w:r>
      <w:r w:rsidRPr="0007021A">
        <w:rPr>
          <w:rFonts w:ascii="Times New Roman" w:hAnsi="Times New Roman"/>
          <w:sz w:val="24"/>
          <w:szCs w:val="24"/>
        </w:rPr>
        <w:t>утврђује</w:t>
      </w:r>
      <w:r w:rsidR="00C857DC" w:rsidRPr="0007021A">
        <w:rPr>
          <w:rFonts w:ascii="Times New Roman" w:hAnsi="Times New Roman"/>
          <w:sz w:val="24"/>
          <w:szCs w:val="24"/>
        </w:rPr>
        <w:t xml:space="preserve"> </w:t>
      </w:r>
      <w:r w:rsidRPr="0007021A">
        <w:rPr>
          <w:rFonts w:ascii="Times New Roman" w:hAnsi="Times New Roman"/>
          <w:sz w:val="24"/>
          <w:szCs w:val="24"/>
        </w:rPr>
        <w:t>чињенично</w:t>
      </w:r>
      <w:r w:rsidR="00C857DC" w:rsidRPr="0007021A">
        <w:rPr>
          <w:rFonts w:ascii="Times New Roman" w:hAnsi="Times New Roman"/>
          <w:sz w:val="24"/>
          <w:szCs w:val="24"/>
        </w:rPr>
        <w:t xml:space="preserve"> </w:t>
      </w:r>
      <w:r w:rsidRPr="0007021A">
        <w:rPr>
          <w:rFonts w:ascii="Times New Roman" w:hAnsi="Times New Roman"/>
          <w:sz w:val="24"/>
          <w:szCs w:val="24"/>
        </w:rPr>
        <w:t>стање</w:t>
      </w:r>
      <w:r w:rsidR="00C857DC" w:rsidRPr="0007021A">
        <w:rPr>
          <w:rFonts w:ascii="Times New Roman" w:hAnsi="Times New Roman"/>
          <w:sz w:val="24"/>
          <w:szCs w:val="24"/>
        </w:rPr>
        <w:t>.</w:t>
      </w:r>
    </w:p>
    <w:p w:rsidR="004D5D9D" w:rsidRPr="0007021A" w:rsidRDefault="004949B5" w:rsidP="0007021A">
      <w:pPr>
        <w:ind w:firstLine="708"/>
        <w:jc w:val="both"/>
        <w:rPr>
          <w:rFonts w:ascii="Times New Roman" w:hAnsi="Times New Roman"/>
          <w:sz w:val="24"/>
          <w:szCs w:val="24"/>
          <w:lang w:val="sr-Cyrl-CS"/>
        </w:rPr>
      </w:pPr>
      <w:r w:rsidRPr="0007021A">
        <w:rPr>
          <w:rFonts w:ascii="Times New Roman" w:hAnsi="Times New Roman"/>
          <w:sz w:val="24"/>
          <w:szCs w:val="24"/>
        </w:rPr>
        <w:t>Такође</w:t>
      </w:r>
      <w:r w:rsidR="00C857DC" w:rsidRPr="0007021A">
        <w:rPr>
          <w:rFonts w:ascii="Times New Roman" w:hAnsi="Times New Roman"/>
          <w:sz w:val="24"/>
          <w:szCs w:val="24"/>
        </w:rPr>
        <w:t xml:space="preserve"> </w:t>
      </w:r>
      <w:r w:rsidRPr="0007021A">
        <w:rPr>
          <w:rFonts w:ascii="Times New Roman" w:hAnsi="Times New Roman"/>
          <w:sz w:val="24"/>
          <w:szCs w:val="24"/>
        </w:rPr>
        <w:t>увозник</w:t>
      </w:r>
      <w:r w:rsidR="00C857DC" w:rsidRPr="0007021A">
        <w:rPr>
          <w:rFonts w:ascii="Times New Roman" w:hAnsi="Times New Roman"/>
          <w:sz w:val="24"/>
          <w:szCs w:val="24"/>
        </w:rPr>
        <w:t xml:space="preserve"> </w:t>
      </w:r>
      <w:r w:rsidRPr="0007021A">
        <w:rPr>
          <w:rFonts w:ascii="Times New Roman" w:hAnsi="Times New Roman"/>
          <w:sz w:val="24"/>
          <w:szCs w:val="24"/>
        </w:rPr>
        <w:t>цигарета</w:t>
      </w:r>
      <w:r w:rsidR="00C857DC" w:rsidRPr="0007021A">
        <w:rPr>
          <w:rFonts w:ascii="Times New Roman" w:hAnsi="Times New Roman"/>
          <w:sz w:val="24"/>
          <w:szCs w:val="24"/>
        </w:rPr>
        <w:t xml:space="preserve"> </w:t>
      </w:r>
      <w:r w:rsidRPr="0007021A">
        <w:rPr>
          <w:rFonts w:ascii="Times New Roman" w:hAnsi="Times New Roman"/>
          <w:sz w:val="24"/>
          <w:szCs w:val="24"/>
        </w:rPr>
        <w:t>је</w:t>
      </w:r>
      <w:r w:rsidR="00C857DC" w:rsidRPr="0007021A">
        <w:rPr>
          <w:rFonts w:ascii="Times New Roman" w:hAnsi="Times New Roman"/>
          <w:sz w:val="24"/>
          <w:szCs w:val="24"/>
        </w:rPr>
        <w:t xml:space="preserve"> </w:t>
      </w:r>
      <w:r w:rsidRPr="0007021A">
        <w:rPr>
          <w:rFonts w:ascii="Times New Roman" w:hAnsi="Times New Roman"/>
          <w:sz w:val="24"/>
          <w:szCs w:val="24"/>
        </w:rPr>
        <w:t>дужан</w:t>
      </w:r>
      <w:r w:rsidR="00C857DC" w:rsidRPr="0007021A">
        <w:rPr>
          <w:rFonts w:ascii="Times New Roman" w:hAnsi="Times New Roman"/>
          <w:sz w:val="24"/>
          <w:szCs w:val="24"/>
        </w:rPr>
        <w:t xml:space="preserve"> </w:t>
      </w:r>
      <w:r w:rsidRPr="0007021A">
        <w:rPr>
          <w:rFonts w:ascii="Times New Roman" w:hAnsi="Times New Roman"/>
          <w:sz w:val="24"/>
          <w:szCs w:val="24"/>
        </w:rPr>
        <w:t>да</w:t>
      </w:r>
      <w:r w:rsidR="00C857DC" w:rsidRPr="0007021A">
        <w:rPr>
          <w:rFonts w:ascii="Times New Roman" w:hAnsi="Times New Roman"/>
          <w:sz w:val="24"/>
          <w:szCs w:val="24"/>
        </w:rPr>
        <w:t xml:space="preserve"> </w:t>
      </w:r>
      <w:r w:rsidRPr="0007021A">
        <w:rPr>
          <w:rFonts w:ascii="Times New Roman" w:hAnsi="Times New Roman"/>
          <w:sz w:val="24"/>
          <w:szCs w:val="24"/>
        </w:rPr>
        <w:t>изврши</w:t>
      </w:r>
      <w:r w:rsidR="00C857DC" w:rsidRPr="0007021A">
        <w:rPr>
          <w:rFonts w:ascii="Times New Roman" w:hAnsi="Times New Roman"/>
          <w:sz w:val="24"/>
          <w:szCs w:val="24"/>
        </w:rPr>
        <w:t xml:space="preserve"> </w:t>
      </w:r>
      <w:r w:rsidRPr="0007021A">
        <w:rPr>
          <w:rFonts w:ascii="Times New Roman" w:hAnsi="Times New Roman"/>
          <w:sz w:val="24"/>
          <w:szCs w:val="24"/>
        </w:rPr>
        <w:t>раздужење</w:t>
      </w:r>
      <w:r w:rsidR="00C857DC" w:rsidRPr="0007021A">
        <w:rPr>
          <w:rFonts w:ascii="Times New Roman" w:hAnsi="Times New Roman"/>
          <w:sz w:val="24"/>
          <w:szCs w:val="24"/>
        </w:rPr>
        <w:t xml:space="preserve"> </w:t>
      </w:r>
      <w:r w:rsidRPr="0007021A">
        <w:rPr>
          <w:rFonts w:ascii="Times New Roman" w:hAnsi="Times New Roman"/>
          <w:sz w:val="24"/>
          <w:szCs w:val="24"/>
        </w:rPr>
        <w:t>акцизних</w:t>
      </w:r>
      <w:r w:rsidR="00C857DC" w:rsidRPr="0007021A">
        <w:rPr>
          <w:rFonts w:ascii="Times New Roman" w:hAnsi="Times New Roman"/>
          <w:sz w:val="24"/>
          <w:szCs w:val="24"/>
        </w:rPr>
        <w:t xml:space="preserve"> </w:t>
      </w:r>
      <w:r w:rsidRPr="0007021A">
        <w:rPr>
          <w:rFonts w:ascii="Times New Roman" w:hAnsi="Times New Roman"/>
          <w:sz w:val="24"/>
          <w:szCs w:val="24"/>
        </w:rPr>
        <w:t>маркица</w:t>
      </w:r>
      <w:r w:rsidR="00C857DC" w:rsidRPr="0007021A">
        <w:rPr>
          <w:rFonts w:ascii="Times New Roman" w:hAnsi="Times New Roman"/>
          <w:sz w:val="24"/>
          <w:szCs w:val="24"/>
        </w:rPr>
        <w:t xml:space="preserve"> </w:t>
      </w:r>
      <w:r w:rsidRPr="0007021A">
        <w:rPr>
          <w:rFonts w:ascii="Times New Roman" w:hAnsi="Times New Roman"/>
          <w:sz w:val="24"/>
          <w:szCs w:val="24"/>
        </w:rPr>
        <w:t>сагласно</w:t>
      </w:r>
      <w:r w:rsidR="00C857DC" w:rsidRPr="0007021A">
        <w:rPr>
          <w:rFonts w:ascii="Times New Roman" w:hAnsi="Times New Roman"/>
          <w:sz w:val="24"/>
          <w:szCs w:val="24"/>
        </w:rPr>
        <w:t xml:space="preserve"> </w:t>
      </w:r>
      <w:r w:rsidRPr="0007021A">
        <w:rPr>
          <w:rFonts w:ascii="Times New Roman" w:hAnsi="Times New Roman"/>
          <w:sz w:val="24"/>
          <w:szCs w:val="24"/>
        </w:rPr>
        <w:t>Уредби</w:t>
      </w:r>
      <w:r w:rsidR="00C857DC" w:rsidRPr="0007021A">
        <w:rPr>
          <w:rFonts w:ascii="Times New Roman" w:hAnsi="Times New Roman"/>
          <w:sz w:val="24"/>
          <w:szCs w:val="24"/>
        </w:rPr>
        <w:t xml:space="preserve"> </w:t>
      </w:r>
      <w:r w:rsidRPr="0007021A">
        <w:rPr>
          <w:rFonts w:ascii="Times New Roman" w:hAnsi="Times New Roman"/>
          <w:sz w:val="24"/>
          <w:szCs w:val="24"/>
        </w:rPr>
        <w:t>о</w:t>
      </w:r>
      <w:r w:rsidR="00C857DC" w:rsidRPr="0007021A">
        <w:rPr>
          <w:rFonts w:ascii="Times New Roman" w:hAnsi="Times New Roman"/>
          <w:sz w:val="24"/>
          <w:szCs w:val="24"/>
        </w:rPr>
        <w:t xml:space="preserve"> </w:t>
      </w:r>
      <w:r w:rsidRPr="0007021A">
        <w:rPr>
          <w:rFonts w:ascii="Times New Roman" w:hAnsi="Times New Roman"/>
          <w:sz w:val="24"/>
          <w:szCs w:val="24"/>
        </w:rPr>
        <w:t>изгледу</w:t>
      </w:r>
      <w:r w:rsidR="00C857DC" w:rsidRPr="0007021A">
        <w:rPr>
          <w:rFonts w:ascii="Times New Roman" w:hAnsi="Times New Roman"/>
          <w:sz w:val="24"/>
          <w:szCs w:val="24"/>
        </w:rPr>
        <w:t xml:space="preserve"> </w:t>
      </w:r>
      <w:r w:rsidRPr="0007021A">
        <w:rPr>
          <w:rFonts w:ascii="Times New Roman" w:hAnsi="Times New Roman"/>
          <w:sz w:val="24"/>
          <w:szCs w:val="24"/>
        </w:rPr>
        <w:t>контролне</w:t>
      </w:r>
      <w:r w:rsidR="00C857DC" w:rsidRPr="0007021A">
        <w:rPr>
          <w:rFonts w:ascii="Times New Roman" w:hAnsi="Times New Roman"/>
          <w:sz w:val="24"/>
          <w:szCs w:val="24"/>
        </w:rPr>
        <w:t xml:space="preserve"> </w:t>
      </w:r>
      <w:r w:rsidRPr="0007021A">
        <w:rPr>
          <w:rFonts w:ascii="Times New Roman" w:hAnsi="Times New Roman"/>
          <w:sz w:val="24"/>
          <w:szCs w:val="24"/>
        </w:rPr>
        <w:t>акцизне</w:t>
      </w:r>
      <w:r w:rsidR="00C857DC" w:rsidRPr="0007021A">
        <w:rPr>
          <w:rFonts w:ascii="Times New Roman" w:hAnsi="Times New Roman"/>
          <w:sz w:val="24"/>
          <w:szCs w:val="24"/>
        </w:rPr>
        <w:t xml:space="preserve"> </w:t>
      </w:r>
      <w:r w:rsidRPr="0007021A">
        <w:rPr>
          <w:rFonts w:ascii="Times New Roman" w:hAnsi="Times New Roman"/>
          <w:sz w:val="24"/>
          <w:szCs w:val="24"/>
        </w:rPr>
        <w:t>маркице</w:t>
      </w:r>
      <w:r w:rsidR="00C857DC" w:rsidRPr="0007021A">
        <w:rPr>
          <w:rFonts w:ascii="Times New Roman" w:hAnsi="Times New Roman"/>
          <w:sz w:val="24"/>
          <w:szCs w:val="24"/>
        </w:rPr>
        <w:t xml:space="preserve">, </w:t>
      </w:r>
      <w:r w:rsidRPr="0007021A">
        <w:rPr>
          <w:rFonts w:ascii="Times New Roman" w:hAnsi="Times New Roman"/>
          <w:sz w:val="24"/>
          <w:szCs w:val="24"/>
        </w:rPr>
        <w:t>врсти</w:t>
      </w:r>
      <w:r w:rsidR="00C857DC" w:rsidRPr="0007021A">
        <w:rPr>
          <w:rFonts w:ascii="Times New Roman" w:hAnsi="Times New Roman"/>
          <w:sz w:val="24"/>
          <w:szCs w:val="24"/>
        </w:rPr>
        <w:t xml:space="preserve"> </w:t>
      </w:r>
      <w:r w:rsidRPr="0007021A">
        <w:rPr>
          <w:rFonts w:ascii="Times New Roman" w:hAnsi="Times New Roman"/>
          <w:sz w:val="24"/>
          <w:szCs w:val="24"/>
        </w:rPr>
        <w:t>података</w:t>
      </w:r>
      <w:r w:rsidR="00C857DC" w:rsidRPr="0007021A">
        <w:rPr>
          <w:rFonts w:ascii="Times New Roman" w:hAnsi="Times New Roman"/>
          <w:sz w:val="24"/>
          <w:szCs w:val="24"/>
        </w:rPr>
        <w:t xml:space="preserve"> </w:t>
      </w:r>
      <w:r w:rsidRPr="0007021A">
        <w:rPr>
          <w:rFonts w:ascii="Times New Roman" w:hAnsi="Times New Roman"/>
          <w:sz w:val="24"/>
          <w:szCs w:val="24"/>
        </w:rPr>
        <w:t>на</w:t>
      </w:r>
      <w:r w:rsidR="00C857DC" w:rsidRPr="0007021A">
        <w:rPr>
          <w:rFonts w:ascii="Times New Roman" w:hAnsi="Times New Roman"/>
          <w:sz w:val="24"/>
          <w:szCs w:val="24"/>
        </w:rPr>
        <w:t xml:space="preserve"> </w:t>
      </w:r>
      <w:r w:rsidRPr="0007021A">
        <w:rPr>
          <w:rFonts w:ascii="Times New Roman" w:hAnsi="Times New Roman"/>
          <w:sz w:val="24"/>
          <w:szCs w:val="24"/>
        </w:rPr>
        <w:t>маркици</w:t>
      </w:r>
      <w:r w:rsidR="00C857DC" w:rsidRPr="0007021A">
        <w:rPr>
          <w:rFonts w:ascii="Times New Roman" w:hAnsi="Times New Roman"/>
          <w:sz w:val="24"/>
          <w:szCs w:val="24"/>
        </w:rPr>
        <w:t xml:space="preserve"> </w:t>
      </w:r>
      <w:r w:rsidRPr="0007021A">
        <w:rPr>
          <w:rFonts w:ascii="Times New Roman" w:hAnsi="Times New Roman"/>
          <w:sz w:val="24"/>
          <w:szCs w:val="24"/>
        </w:rPr>
        <w:t>и</w:t>
      </w:r>
      <w:r w:rsidR="00C857DC" w:rsidRPr="0007021A">
        <w:rPr>
          <w:rFonts w:ascii="Times New Roman" w:hAnsi="Times New Roman"/>
          <w:sz w:val="24"/>
          <w:szCs w:val="24"/>
        </w:rPr>
        <w:t xml:space="preserve"> </w:t>
      </w:r>
      <w:r w:rsidRPr="0007021A">
        <w:rPr>
          <w:rFonts w:ascii="Times New Roman" w:hAnsi="Times New Roman"/>
          <w:sz w:val="24"/>
          <w:szCs w:val="24"/>
        </w:rPr>
        <w:t>начину</w:t>
      </w:r>
      <w:r w:rsidR="00C857DC" w:rsidRPr="0007021A">
        <w:rPr>
          <w:rFonts w:ascii="Times New Roman" w:hAnsi="Times New Roman"/>
          <w:sz w:val="24"/>
          <w:szCs w:val="24"/>
        </w:rPr>
        <w:t xml:space="preserve"> </w:t>
      </w:r>
      <w:r w:rsidRPr="0007021A">
        <w:rPr>
          <w:rFonts w:ascii="Times New Roman" w:hAnsi="Times New Roman"/>
          <w:sz w:val="24"/>
          <w:szCs w:val="24"/>
        </w:rPr>
        <w:t>и</w:t>
      </w:r>
      <w:r w:rsidR="00C857DC" w:rsidRPr="0007021A">
        <w:rPr>
          <w:rFonts w:ascii="Times New Roman" w:hAnsi="Times New Roman"/>
          <w:sz w:val="24"/>
          <w:szCs w:val="24"/>
        </w:rPr>
        <w:t xml:space="preserve"> </w:t>
      </w:r>
      <w:r w:rsidRPr="0007021A">
        <w:rPr>
          <w:rFonts w:ascii="Times New Roman" w:hAnsi="Times New Roman"/>
          <w:sz w:val="24"/>
          <w:szCs w:val="24"/>
        </w:rPr>
        <w:t>поступку</w:t>
      </w:r>
      <w:r w:rsidR="00C857DC" w:rsidRPr="0007021A">
        <w:rPr>
          <w:rFonts w:ascii="Times New Roman" w:hAnsi="Times New Roman"/>
          <w:sz w:val="24"/>
          <w:szCs w:val="24"/>
        </w:rPr>
        <w:t xml:space="preserve"> </w:t>
      </w:r>
      <w:r w:rsidRPr="0007021A">
        <w:rPr>
          <w:rFonts w:ascii="Times New Roman" w:hAnsi="Times New Roman"/>
          <w:sz w:val="24"/>
          <w:szCs w:val="24"/>
        </w:rPr>
        <w:t>одобравања</w:t>
      </w:r>
      <w:r w:rsidR="00C857DC" w:rsidRPr="0007021A">
        <w:rPr>
          <w:rFonts w:ascii="Times New Roman" w:hAnsi="Times New Roman"/>
          <w:sz w:val="24"/>
          <w:szCs w:val="24"/>
        </w:rPr>
        <w:t xml:space="preserve"> </w:t>
      </w:r>
      <w:r w:rsidRPr="0007021A">
        <w:rPr>
          <w:rFonts w:ascii="Times New Roman" w:hAnsi="Times New Roman"/>
          <w:sz w:val="24"/>
          <w:szCs w:val="24"/>
        </w:rPr>
        <w:t>и</w:t>
      </w:r>
      <w:r w:rsidR="00C857DC" w:rsidRPr="0007021A">
        <w:rPr>
          <w:rFonts w:ascii="Times New Roman" w:hAnsi="Times New Roman"/>
          <w:sz w:val="24"/>
          <w:szCs w:val="24"/>
        </w:rPr>
        <w:t xml:space="preserve"> </w:t>
      </w:r>
      <w:r w:rsidRPr="0007021A">
        <w:rPr>
          <w:rFonts w:ascii="Times New Roman" w:hAnsi="Times New Roman"/>
          <w:sz w:val="24"/>
          <w:szCs w:val="24"/>
        </w:rPr>
        <w:t>издавања</w:t>
      </w:r>
      <w:r w:rsidR="00C857DC" w:rsidRPr="0007021A">
        <w:rPr>
          <w:rFonts w:ascii="Times New Roman" w:hAnsi="Times New Roman"/>
          <w:sz w:val="24"/>
          <w:szCs w:val="24"/>
        </w:rPr>
        <w:t xml:space="preserve"> </w:t>
      </w:r>
      <w:r w:rsidRPr="0007021A">
        <w:rPr>
          <w:rFonts w:ascii="Times New Roman" w:hAnsi="Times New Roman"/>
          <w:sz w:val="24"/>
          <w:szCs w:val="24"/>
        </w:rPr>
        <w:t>маркица</w:t>
      </w:r>
      <w:r w:rsidR="00C857DC" w:rsidRPr="0007021A">
        <w:rPr>
          <w:rFonts w:ascii="Times New Roman" w:hAnsi="Times New Roman"/>
          <w:sz w:val="24"/>
          <w:szCs w:val="24"/>
        </w:rPr>
        <w:t xml:space="preserve">, </w:t>
      </w:r>
      <w:r w:rsidRPr="0007021A">
        <w:rPr>
          <w:rFonts w:ascii="Times New Roman" w:hAnsi="Times New Roman"/>
          <w:sz w:val="24"/>
          <w:szCs w:val="24"/>
        </w:rPr>
        <w:t>вођења</w:t>
      </w:r>
      <w:r w:rsidR="00C857DC" w:rsidRPr="0007021A">
        <w:rPr>
          <w:rFonts w:ascii="Times New Roman" w:hAnsi="Times New Roman"/>
          <w:sz w:val="24"/>
          <w:szCs w:val="24"/>
        </w:rPr>
        <w:t xml:space="preserve"> </w:t>
      </w:r>
      <w:r w:rsidRPr="0007021A">
        <w:rPr>
          <w:rFonts w:ascii="Times New Roman" w:hAnsi="Times New Roman"/>
          <w:sz w:val="24"/>
          <w:szCs w:val="24"/>
        </w:rPr>
        <w:t>евиденција</w:t>
      </w:r>
      <w:r w:rsidR="00C857DC" w:rsidRPr="0007021A">
        <w:rPr>
          <w:rFonts w:ascii="Times New Roman" w:hAnsi="Times New Roman"/>
          <w:sz w:val="24"/>
          <w:szCs w:val="24"/>
        </w:rPr>
        <w:t xml:space="preserve"> </w:t>
      </w:r>
      <w:r w:rsidRPr="0007021A">
        <w:rPr>
          <w:rFonts w:ascii="Times New Roman" w:hAnsi="Times New Roman"/>
          <w:sz w:val="24"/>
          <w:szCs w:val="24"/>
        </w:rPr>
        <w:t>о</w:t>
      </w:r>
      <w:r w:rsidR="00C857DC" w:rsidRPr="0007021A">
        <w:rPr>
          <w:rFonts w:ascii="Times New Roman" w:hAnsi="Times New Roman"/>
          <w:sz w:val="24"/>
          <w:szCs w:val="24"/>
        </w:rPr>
        <w:t xml:space="preserve"> </w:t>
      </w:r>
      <w:r w:rsidRPr="0007021A">
        <w:rPr>
          <w:rFonts w:ascii="Times New Roman" w:hAnsi="Times New Roman"/>
          <w:sz w:val="24"/>
          <w:szCs w:val="24"/>
        </w:rPr>
        <w:t>одобреним</w:t>
      </w:r>
      <w:r w:rsidR="00C857DC" w:rsidRPr="0007021A">
        <w:rPr>
          <w:rFonts w:ascii="Times New Roman" w:hAnsi="Times New Roman"/>
          <w:sz w:val="24"/>
          <w:szCs w:val="24"/>
        </w:rPr>
        <w:t xml:space="preserve"> </w:t>
      </w:r>
      <w:r w:rsidRPr="0007021A">
        <w:rPr>
          <w:rFonts w:ascii="Times New Roman" w:hAnsi="Times New Roman"/>
          <w:sz w:val="24"/>
          <w:szCs w:val="24"/>
        </w:rPr>
        <w:t>и</w:t>
      </w:r>
      <w:r w:rsidR="00C857DC" w:rsidRPr="0007021A">
        <w:rPr>
          <w:rFonts w:ascii="Times New Roman" w:hAnsi="Times New Roman"/>
          <w:sz w:val="24"/>
          <w:szCs w:val="24"/>
        </w:rPr>
        <w:t xml:space="preserve"> </w:t>
      </w:r>
      <w:r w:rsidRPr="0007021A">
        <w:rPr>
          <w:rFonts w:ascii="Times New Roman" w:hAnsi="Times New Roman"/>
          <w:sz w:val="24"/>
          <w:szCs w:val="24"/>
        </w:rPr>
        <w:t>издатим</w:t>
      </w:r>
      <w:r w:rsidR="00C857DC" w:rsidRPr="0007021A">
        <w:rPr>
          <w:rFonts w:ascii="Times New Roman" w:hAnsi="Times New Roman"/>
          <w:sz w:val="24"/>
          <w:szCs w:val="24"/>
        </w:rPr>
        <w:t xml:space="preserve"> </w:t>
      </w:r>
      <w:r w:rsidRPr="0007021A">
        <w:rPr>
          <w:rFonts w:ascii="Times New Roman" w:hAnsi="Times New Roman"/>
          <w:sz w:val="24"/>
          <w:szCs w:val="24"/>
        </w:rPr>
        <w:t>маркицама</w:t>
      </w:r>
      <w:r w:rsidR="00C857DC" w:rsidRPr="0007021A">
        <w:rPr>
          <w:rFonts w:ascii="Times New Roman" w:hAnsi="Times New Roman"/>
          <w:sz w:val="24"/>
          <w:szCs w:val="24"/>
        </w:rPr>
        <w:t xml:space="preserve"> </w:t>
      </w:r>
      <w:r w:rsidRPr="0007021A">
        <w:rPr>
          <w:rFonts w:ascii="Times New Roman" w:hAnsi="Times New Roman"/>
          <w:sz w:val="24"/>
          <w:szCs w:val="24"/>
        </w:rPr>
        <w:t>и</w:t>
      </w:r>
      <w:r w:rsidR="00C857DC" w:rsidRPr="0007021A">
        <w:rPr>
          <w:rFonts w:ascii="Times New Roman" w:hAnsi="Times New Roman"/>
          <w:sz w:val="24"/>
          <w:szCs w:val="24"/>
        </w:rPr>
        <w:t xml:space="preserve"> </w:t>
      </w:r>
      <w:r w:rsidRPr="0007021A">
        <w:rPr>
          <w:rFonts w:ascii="Times New Roman" w:hAnsi="Times New Roman"/>
          <w:sz w:val="24"/>
          <w:szCs w:val="24"/>
        </w:rPr>
        <w:t>обележавања</w:t>
      </w:r>
      <w:r w:rsidR="00C857DC" w:rsidRPr="0007021A">
        <w:rPr>
          <w:rFonts w:ascii="Times New Roman" w:hAnsi="Times New Roman"/>
          <w:sz w:val="24"/>
          <w:szCs w:val="24"/>
        </w:rPr>
        <w:t xml:space="preserve"> </w:t>
      </w:r>
      <w:r w:rsidRPr="0007021A">
        <w:rPr>
          <w:rFonts w:ascii="Times New Roman" w:hAnsi="Times New Roman"/>
          <w:sz w:val="24"/>
          <w:szCs w:val="24"/>
        </w:rPr>
        <w:t>цигарета</w:t>
      </w:r>
      <w:r w:rsidR="00C857DC" w:rsidRPr="0007021A">
        <w:rPr>
          <w:rFonts w:ascii="Times New Roman" w:hAnsi="Times New Roman"/>
          <w:sz w:val="24"/>
          <w:szCs w:val="24"/>
        </w:rPr>
        <w:t xml:space="preserve"> </w:t>
      </w:r>
      <w:r w:rsidRPr="0007021A">
        <w:rPr>
          <w:rFonts w:ascii="Times New Roman" w:hAnsi="Times New Roman"/>
          <w:sz w:val="24"/>
          <w:szCs w:val="24"/>
        </w:rPr>
        <w:t>и</w:t>
      </w:r>
      <w:r w:rsidR="00C857DC" w:rsidRPr="0007021A">
        <w:rPr>
          <w:rFonts w:ascii="Times New Roman" w:hAnsi="Times New Roman"/>
          <w:sz w:val="24"/>
          <w:szCs w:val="24"/>
        </w:rPr>
        <w:t xml:space="preserve"> </w:t>
      </w:r>
      <w:r w:rsidRPr="0007021A">
        <w:rPr>
          <w:rFonts w:ascii="Times New Roman" w:hAnsi="Times New Roman"/>
          <w:sz w:val="24"/>
          <w:szCs w:val="24"/>
        </w:rPr>
        <w:t>алкохолних</w:t>
      </w:r>
      <w:r w:rsidR="00C857DC" w:rsidRPr="0007021A">
        <w:rPr>
          <w:rFonts w:ascii="Times New Roman" w:hAnsi="Times New Roman"/>
          <w:sz w:val="24"/>
          <w:szCs w:val="24"/>
        </w:rPr>
        <w:t xml:space="preserve"> </w:t>
      </w:r>
      <w:r w:rsidRPr="0007021A">
        <w:rPr>
          <w:rFonts w:ascii="Times New Roman" w:hAnsi="Times New Roman"/>
          <w:sz w:val="24"/>
          <w:szCs w:val="24"/>
        </w:rPr>
        <w:t>пића</w:t>
      </w:r>
      <w:r w:rsidR="00C857DC" w:rsidRPr="0007021A">
        <w:rPr>
          <w:rFonts w:ascii="Times New Roman" w:hAnsi="Times New Roman"/>
          <w:sz w:val="24"/>
          <w:szCs w:val="24"/>
        </w:rPr>
        <w:t xml:space="preserve"> ("</w:t>
      </w:r>
      <w:r w:rsidRPr="0007021A">
        <w:rPr>
          <w:rFonts w:ascii="Times New Roman" w:hAnsi="Times New Roman"/>
          <w:sz w:val="24"/>
          <w:szCs w:val="24"/>
        </w:rPr>
        <w:t>Сл</w:t>
      </w:r>
      <w:r w:rsidR="00C857DC" w:rsidRPr="0007021A">
        <w:rPr>
          <w:rFonts w:ascii="Times New Roman" w:hAnsi="Times New Roman"/>
          <w:sz w:val="24"/>
          <w:szCs w:val="24"/>
        </w:rPr>
        <w:t xml:space="preserve">. </w:t>
      </w:r>
      <w:r w:rsidRPr="0007021A">
        <w:rPr>
          <w:rFonts w:ascii="Times New Roman" w:hAnsi="Times New Roman"/>
          <w:sz w:val="24"/>
          <w:szCs w:val="24"/>
        </w:rPr>
        <w:t>гласник</w:t>
      </w:r>
      <w:r w:rsidR="00C857DC" w:rsidRPr="0007021A">
        <w:rPr>
          <w:rFonts w:ascii="Times New Roman" w:hAnsi="Times New Roman"/>
          <w:sz w:val="24"/>
          <w:szCs w:val="24"/>
        </w:rPr>
        <w:t xml:space="preserve"> </w:t>
      </w:r>
      <w:r w:rsidRPr="0007021A">
        <w:rPr>
          <w:rFonts w:ascii="Times New Roman" w:hAnsi="Times New Roman"/>
          <w:sz w:val="24"/>
          <w:szCs w:val="24"/>
        </w:rPr>
        <w:t>РС</w:t>
      </w:r>
      <w:r w:rsidR="00C857DC" w:rsidRPr="0007021A">
        <w:rPr>
          <w:rFonts w:ascii="Times New Roman" w:hAnsi="Times New Roman"/>
          <w:sz w:val="24"/>
          <w:szCs w:val="24"/>
        </w:rPr>
        <w:t xml:space="preserve">", </w:t>
      </w:r>
      <w:r w:rsidRPr="0007021A">
        <w:rPr>
          <w:rFonts w:ascii="Times New Roman" w:hAnsi="Times New Roman"/>
          <w:sz w:val="24"/>
          <w:szCs w:val="24"/>
        </w:rPr>
        <w:t>бр</w:t>
      </w:r>
      <w:r w:rsidR="00C857DC" w:rsidRPr="0007021A">
        <w:rPr>
          <w:rFonts w:ascii="Times New Roman" w:hAnsi="Times New Roman"/>
          <w:sz w:val="24"/>
          <w:szCs w:val="24"/>
        </w:rPr>
        <w:t xml:space="preserve">. 137/2004, 11/2005, 29/2005, 56/2005, 75/2005, 88/2005 </w:t>
      </w:r>
      <w:r w:rsidRPr="0007021A">
        <w:rPr>
          <w:rFonts w:ascii="Times New Roman" w:hAnsi="Times New Roman"/>
          <w:sz w:val="24"/>
          <w:szCs w:val="24"/>
        </w:rPr>
        <w:t>и</w:t>
      </w:r>
      <w:r w:rsidR="00C857DC" w:rsidRPr="0007021A">
        <w:rPr>
          <w:rFonts w:ascii="Times New Roman" w:hAnsi="Times New Roman"/>
          <w:sz w:val="24"/>
          <w:szCs w:val="24"/>
        </w:rPr>
        <w:t xml:space="preserve"> 108/2006).</w:t>
      </w:r>
    </w:p>
    <w:p w:rsidR="004D5D9D" w:rsidRPr="0007021A" w:rsidRDefault="004949B5" w:rsidP="0007021A">
      <w:pPr>
        <w:ind w:firstLine="708"/>
        <w:jc w:val="both"/>
        <w:rPr>
          <w:rFonts w:ascii="Times New Roman" w:hAnsi="Times New Roman"/>
          <w:sz w:val="24"/>
          <w:szCs w:val="24"/>
          <w:lang w:val="sr-Cyrl-CS"/>
        </w:rPr>
      </w:pPr>
      <w:r w:rsidRPr="0007021A">
        <w:rPr>
          <w:rFonts w:ascii="Times New Roman" w:hAnsi="Times New Roman"/>
          <w:sz w:val="24"/>
          <w:szCs w:val="24"/>
        </w:rPr>
        <w:t>Законом</w:t>
      </w:r>
      <w:r w:rsidR="00C857DC" w:rsidRPr="0007021A">
        <w:rPr>
          <w:rFonts w:ascii="Times New Roman" w:hAnsi="Times New Roman"/>
          <w:sz w:val="24"/>
          <w:szCs w:val="24"/>
        </w:rPr>
        <w:t xml:space="preserve"> </w:t>
      </w:r>
      <w:r w:rsidRPr="0007021A">
        <w:rPr>
          <w:rFonts w:ascii="Times New Roman" w:hAnsi="Times New Roman"/>
          <w:sz w:val="24"/>
          <w:szCs w:val="24"/>
        </w:rPr>
        <w:t>о</w:t>
      </w:r>
      <w:r w:rsidR="00C857DC" w:rsidRPr="0007021A">
        <w:rPr>
          <w:rFonts w:ascii="Times New Roman" w:hAnsi="Times New Roman"/>
          <w:sz w:val="24"/>
          <w:szCs w:val="24"/>
        </w:rPr>
        <w:t xml:space="preserve"> </w:t>
      </w:r>
      <w:r w:rsidRPr="0007021A">
        <w:rPr>
          <w:rFonts w:ascii="Times New Roman" w:hAnsi="Times New Roman"/>
          <w:sz w:val="24"/>
          <w:szCs w:val="24"/>
        </w:rPr>
        <w:t>спољнотрговинском</w:t>
      </w:r>
      <w:r w:rsidR="00C857DC" w:rsidRPr="0007021A">
        <w:rPr>
          <w:rFonts w:ascii="Times New Roman" w:hAnsi="Times New Roman"/>
          <w:sz w:val="24"/>
          <w:szCs w:val="24"/>
        </w:rPr>
        <w:t xml:space="preserve"> </w:t>
      </w:r>
      <w:r w:rsidRPr="0007021A">
        <w:rPr>
          <w:rFonts w:ascii="Times New Roman" w:hAnsi="Times New Roman"/>
          <w:sz w:val="24"/>
          <w:szCs w:val="24"/>
        </w:rPr>
        <w:t>пословању</w:t>
      </w:r>
      <w:r w:rsidR="00C857DC" w:rsidRPr="0007021A">
        <w:rPr>
          <w:rFonts w:ascii="Times New Roman" w:hAnsi="Times New Roman"/>
          <w:sz w:val="24"/>
          <w:szCs w:val="24"/>
        </w:rPr>
        <w:t xml:space="preserve"> ("</w:t>
      </w:r>
      <w:r w:rsidRPr="0007021A">
        <w:rPr>
          <w:rFonts w:ascii="Times New Roman" w:hAnsi="Times New Roman"/>
          <w:sz w:val="24"/>
          <w:szCs w:val="24"/>
        </w:rPr>
        <w:t>Сл</w:t>
      </w:r>
      <w:r w:rsidR="00C857DC" w:rsidRPr="0007021A">
        <w:rPr>
          <w:rFonts w:ascii="Times New Roman" w:hAnsi="Times New Roman"/>
          <w:sz w:val="24"/>
          <w:szCs w:val="24"/>
        </w:rPr>
        <w:t xml:space="preserve">. </w:t>
      </w:r>
      <w:r w:rsidRPr="0007021A">
        <w:rPr>
          <w:rFonts w:ascii="Times New Roman" w:hAnsi="Times New Roman"/>
          <w:sz w:val="24"/>
          <w:szCs w:val="24"/>
        </w:rPr>
        <w:t>гласник</w:t>
      </w:r>
      <w:r w:rsidR="00C857DC" w:rsidRPr="0007021A">
        <w:rPr>
          <w:rFonts w:ascii="Times New Roman" w:hAnsi="Times New Roman"/>
          <w:sz w:val="24"/>
          <w:szCs w:val="24"/>
        </w:rPr>
        <w:t xml:space="preserve"> </w:t>
      </w:r>
      <w:r w:rsidRPr="0007021A">
        <w:rPr>
          <w:rFonts w:ascii="Times New Roman" w:hAnsi="Times New Roman"/>
          <w:sz w:val="24"/>
          <w:szCs w:val="24"/>
        </w:rPr>
        <w:t>РС</w:t>
      </w:r>
      <w:r w:rsidR="00C857DC" w:rsidRPr="0007021A">
        <w:rPr>
          <w:rFonts w:ascii="Times New Roman" w:hAnsi="Times New Roman"/>
          <w:sz w:val="24"/>
          <w:szCs w:val="24"/>
        </w:rPr>
        <w:t xml:space="preserve">", </w:t>
      </w:r>
      <w:r w:rsidRPr="0007021A">
        <w:rPr>
          <w:rFonts w:ascii="Times New Roman" w:hAnsi="Times New Roman"/>
          <w:sz w:val="24"/>
          <w:szCs w:val="24"/>
        </w:rPr>
        <w:t>бр</w:t>
      </w:r>
      <w:r w:rsidR="00C857DC" w:rsidRPr="0007021A">
        <w:rPr>
          <w:rFonts w:ascii="Times New Roman" w:hAnsi="Times New Roman"/>
          <w:sz w:val="24"/>
          <w:szCs w:val="24"/>
        </w:rPr>
        <w:t xml:space="preserve">. 36/2009), </w:t>
      </w:r>
      <w:r w:rsidRPr="0007021A">
        <w:rPr>
          <w:rFonts w:ascii="Times New Roman" w:hAnsi="Times New Roman"/>
          <w:sz w:val="24"/>
          <w:szCs w:val="24"/>
        </w:rPr>
        <w:t>у</w:t>
      </w:r>
      <w:r w:rsidR="00C857DC" w:rsidRPr="0007021A">
        <w:rPr>
          <w:rFonts w:ascii="Times New Roman" w:hAnsi="Times New Roman"/>
          <w:sz w:val="24"/>
          <w:szCs w:val="24"/>
        </w:rPr>
        <w:t xml:space="preserve"> </w:t>
      </w:r>
      <w:r w:rsidRPr="0007021A">
        <w:rPr>
          <w:rFonts w:ascii="Times New Roman" w:hAnsi="Times New Roman"/>
          <w:sz w:val="24"/>
          <w:szCs w:val="24"/>
        </w:rPr>
        <w:t>члану</w:t>
      </w:r>
      <w:r w:rsidR="00C857DC" w:rsidRPr="0007021A">
        <w:rPr>
          <w:rFonts w:ascii="Times New Roman" w:hAnsi="Times New Roman"/>
          <w:sz w:val="24"/>
          <w:szCs w:val="24"/>
        </w:rPr>
        <w:t xml:space="preserve"> 39. </w:t>
      </w:r>
      <w:r w:rsidRPr="0007021A">
        <w:rPr>
          <w:rFonts w:ascii="Times New Roman" w:hAnsi="Times New Roman"/>
          <w:sz w:val="24"/>
          <w:szCs w:val="24"/>
        </w:rPr>
        <w:t>тач</w:t>
      </w:r>
      <w:r w:rsidR="00C857DC" w:rsidRPr="0007021A">
        <w:rPr>
          <w:rFonts w:ascii="Times New Roman" w:hAnsi="Times New Roman"/>
          <w:sz w:val="24"/>
          <w:szCs w:val="24"/>
        </w:rPr>
        <w:t xml:space="preserve">. 1) </w:t>
      </w:r>
      <w:r w:rsidRPr="0007021A">
        <w:rPr>
          <w:rFonts w:ascii="Times New Roman" w:hAnsi="Times New Roman"/>
          <w:sz w:val="24"/>
          <w:szCs w:val="24"/>
        </w:rPr>
        <w:t>и</w:t>
      </w:r>
      <w:r w:rsidR="00C857DC" w:rsidRPr="0007021A">
        <w:rPr>
          <w:rFonts w:ascii="Times New Roman" w:hAnsi="Times New Roman"/>
          <w:sz w:val="24"/>
          <w:szCs w:val="24"/>
        </w:rPr>
        <w:t xml:space="preserve"> 2) </w:t>
      </w:r>
      <w:r w:rsidRPr="0007021A">
        <w:rPr>
          <w:rFonts w:ascii="Times New Roman" w:hAnsi="Times New Roman"/>
          <w:sz w:val="24"/>
          <w:szCs w:val="24"/>
        </w:rPr>
        <w:t>прописано</w:t>
      </w:r>
      <w:r w:rsidR="00C857DC" w:rsidRPr="0007021A">
        <w:rPr>
          <w:rFonts w:ascii="Times New Roman" w:hAnsi="Times New Roman"/>
          <w:sz w:val="24"/>
          <w:szCs w:val="24"/>
        </w:rPr>
        <w:t xml:space="preserve"> </w:t>
      </w:r>
      <w:r w:rsidRPr="0007021A">
        <w:rPr>
          <w:rFonts w:ascii="Times New Roman" w:hAnsi="Times New Roman"/>
          <w:sz w:val="24"/>
          <w:szCs w:val="24"/>
        </w:rPr>
        <w:t>је</w:t>
      </w:r>
      <w:r w:rsidR="00C857DC" w:rsidRPr="0007021A">
        <w:rPr>
          <w:rFonts w:ascii="Times New Roman" w:hAnsi="Times New Roman"/>
          <w:sz w:val="24"/>
          <w:szCs w:val="24"/>
        </w:rPr>
        <w:t xml:space="preserve"> </w:t>
      </w:r>
      <w:r w:rsidRPr="0007021A">
        <w:rPr>
          <w:rFonts w:ascii="Times New Roman" w:hAnsi="Times New Roman"/>
          <w:sz w:val="24"/>
          <w:szCs w:val="24"/>
        </w:rPr>
        <w:t>да</w:t>
      </w:r>
      <w:r w:rsidR="00C857DC" w:rsidRPr="0007021A">
        <w:rPr>
          <w:rFonts w:ascii="Times New Roman" w:hAnsi="Times New Roman"/>
          <w:sz w:val="24"/>
          <w:szCs w:val="24"/>
        </w:rPr>
        <w:t xml:space="preserve"> </w:t>
      </w:r>
      <w:r w:rsidRPr="0007021A">
        <w:rPr>
          <w:rFonts w:ascii="Times New Roman" w:hAnsi="Times New Roman"/>
          <w:sz w:val="24"/>
          <w:szCs w:val="24"/>
        </w:rPr>
        <w:t>домаће</w:t>
      </w:r>
      <w:r w:rsidR="00C857DC" w:rsidRPr="0007021A">
        <w:rPr>
          <w:rFonts w:ascii="Times New Roman" w:hAnsi="Times New Roman"/>
          <w:sz w:val="24"/>
          <w:szCs w:val="24"/>
        </w:rPr>
        <w:t xml:space="preserve"> </w:t>
      </w:r>
      <w:r w:rsidRPr="0007021A">
        <w:rPr>
          <w:rFonts w:ascii="Times New Roman" w:hAnsi="Times New Roman"/>
          <w:sz w:val="24"/>
          <w:szCs w:val="24"/>
        </w:rPr>
        <w:t>лице</w:t>
      </w:r>
      <w:r w:rsidR="00C857DC" w:rsidRPr="0007021A">
        <w:rPr>
          <w:rFonts w:ascii="Times New Roman" w:hAnsi="Times New Roman"/>
          <w:sz w:val="24"/>
          <w:szCs w:val="24"/>
        </w:rPr>
        <w:t xml:space="preserve"> </w:t>
      </w:r>
      <w:r w:rsidRPr="0007021A">
        <w:rPr>
          <w:rFonts w:ascii="Times New Roman" w:hAnsi="Times New Roman"/>
          <w:sz w:val="24"/>
          <w:szCs w:val="24"/>
        </w:rPr>
        <w:t>робу</w:t>
      </w:r>
      <w:r w:rsidR="00C857DC" w:rsidRPr="0007021A">
        <w:rPr>
          <w:rFonts w:ascii="Times New Roman" w:hAnsi="Times New Roman"/>
          <w:sz w:val="24"/>
          <w:szCs w:val="24"/>
        </w:rPr>
        <w:t xml:space="preserve"> </w:t>
      </w:r>
      <w:r w:rsidRPr="0007021A">
        <w:rPr>
          <w:rFonts w:ascii="Times New Roman" w:hAnsi="Times New Roman"/>
          <w:sz w:val="24"/>
          <w:szCs w:val="24"/>
        </w:rPr>
        <w:t>купљену</w:t>
      </w:r>
      <w:r w:rsidR="00C857DC" w:rsidRPr="0007021A">
        <w:rPr>
          <w:rFonts w:ascii="Times New Roman" w:hAnsi="Times New Roman"/>
          <w:sz w:val="24"/>
          <w:szCs w:val="24"/>
        </w:rPr>
        <w:t xml:space="preserve"> </w:t>
      </w:r>
      <w:r w:rsidRPr="0007021A">
        <w:rPr>
          <w:rFonts w:ascii="Times New Roman" w:hAnsi="Times New Roman"/>
          <w:sz w:val="24"/>
          <w:szCs w:val="24"/>
        </w:rPr>
        <w:t>у</w:t>
      </w:r>
      <w:r w:rsidR="00C857DC" w:rsidRPr="0007021A">
        <w:rPr>
          <w:rFonts w:ascii="Times New Roman" w:hAnsi="Times New Roman"/>
          <w:sz w:val="24"/>
          <w:szCs w:val="24"/>
        </w:rPr>
        <w:t xml:space="preserve"> </w:t>
      </w:r>
      <w:r w:rsidRPr="0007021A">
        <w:rPr>
          <w:rFonts w:ascii="Times New Roman" w:hAnsi="Times New Roman"/>
          <w:sz w:val="24"/>
          <w:szCs w:val="24"/>
        </w:rPr>
        <w:t>другој</w:t>
      </w:r>
      <w:r w:rsidR="00C857DC" w:rsidRPr="0007021A">
        <w:rPr>
          <w:rFonts w:ascii="Times New Roman" w:hAnsi="Times New Roman"/>
          <w:sz w:val="24"/>
          <w:szCs w:val="24"/>
        </w:rPr>
        <w:t xml:space="preserve"> </w:t>
      </w:r>
      <w:r w:rsidRPr="0007021A">
        <w:rPr>
          <w:rFonts w:ascii="Times New Roman" w:hAnsi="Times New Roman"/>
          <w:sz w:val="24"/>
          <w:szCs w:val="24"/>
        </w:rPr>
        <w:t>држави</w:t>
      </w:r>
      <w:r w:rsidR="00C857DC" w:rsidRPr="0007021A">
        <w:rPr>
          <w:rFonts w:ascii="Times New Roman" w:hAnsi="Times New Roman"/>
          <w:sz w:val="24"/>
          <w:szCs w:val="24"/>
        </w:rPr>
        <w:t xml:space="preserve"> </w:t>
      </w:r>
      <w:r w:rsidRPr="0007021A">
        <w:rPr>
          <w:rFonts w:ascii="Times New Roman" w:hAnsi="Times New Roman"/>
          <w:sz w:val="24"/>
          <w:szCs w:val="24"/>
        </w:rPr>
        <w:t>или</w:t>
      </w:r>
      <w:r w:rsidR="00C857DC" w:rsidRPr="0007021A">
        <w:rPr>
          <w:rFonts w:ascii="Times New Roman" w:hAnsi="Times New Roman"/>
          <w:sz w:val="24"/>
          <w:szCs w:val="24"/>
        </w:rPr>
        <w:t xml:space="preserve"> </w:t>
      </w:r>
      <w:r w:rsidRPr="0007021A">
        <w:rPr>
          <w:rFonts w:ascii="Times New Roman" w:hAnsi="Times New Roman"/>
          <w:sz w:val="24"/>
          <w:szCs w:val="24"/>
        </w:rPr>
        <w:t>царинској</w:t>
      </w:r>
      <w:r w:rsidR="00C857DC" w:rsidRPr="0007021A">
        <w:rPr>
          <w:rFonts w:ascii="Times New Roman" w:hAnsi="Times New Roman"/>
          <w:sz w:val="24"/>
          <w:szCs w:val="24"/>
        </w:rPr>
        <w:t xml:space="preserve"> </w:t>
      </w:r>
      <w:r w:rsidRPr="0007021A">
        <w:rPr>
          <w:rFonts w:ascii="Times New Roman" w:hAnsi="Times New Roman"/>
          <w:sz w:val="24"/>
          <w:szCs w:val="24"/>
        </w:rPr>
        <w:t>територији</w:t>
      </w:r>
      <w:r w:rsidR="00C857DC" w:rsidRPr="0007021A">
        <w:rPr>
          <w:rFonts w:ascii="Times New Roman" w:hAnsi="Times New Roman"/>
          <w:sz w:val="24"/>
          <w:szCs w:val="24"/>
        </w:rPr>
        <w:t xml:space="preserve"> </w:t>
      </w:r>
      <w:r w:rsidRPr="0007021A">
        <w:rPr>
          <w:rFonts w:ascii="Times New Roman" w:hAnsi="Times New Roman"/>
          <w:sz w:val="24"/>
          <w:szCs w:val="24"/>
        </w:rPr>
        <w:t>не</w:t>
      </w:r>
      <w:r w:rsidR="00C857DC" w:rsidRPr="0007021A">
        <w:rPr>
          <w:rFonts w:ascii="Times New Roman" w:hAnsi="Times New Roman"/>
          <w:sz w:val="24"/>
          <w:szCs w:val="24"/>
        </w:rPr>
        <w:t xml:space="preserve"> </w:t>
      </w:r>
      <w:r w:rsidRPr="0007021A">
        <w:rPr>
          <w:rFonts w:ascii="Times New Roman" w:hAnsi="Times New Roman"/>
          <w:sz w:val="24"/>
          <w:szCs w:val="24"/>
        </w:rPr>
        <w:t>мора</w:t>
      </w:r>
      <w:r w:rsidR="00C857DC" w:rsidRPr="0007021A">
        <w:rPr>
          <w:rFonts w:ascii="Times New Roman" w:hAnsi="Times New Roman"/>
          <w:sz w:val="24"/>
          <w:szCs w:val="24"/>
        </w:rPr>
        <w:t xml:space="preserve"> </w:t>
      </w:r>
      <w:r w:rsidRPr="0007021A">
        <w:rPr>
          <w:rFonts w:ascii="Times New Roman" w:hAnsi="Times New Roman"/>
          <w:sz w:val="24"/>
          <w:szCs w:val="24"/>
        </w:rPr>
        <w:t>да</w:t>
      </w:r>
      <w:r w:rsidR="00C857DC" w:rsidRPr="0007021A">
        <w:rPr>
          <w:rFonts w:ascii="Times New Roman" w:hAnsi="Times New Roman"/>
          <w:sz w:val="24"/>
          <w:szCs w:val="24"/>
        </w:rPr>
        <w:t xml:space="preserve"> </w:t>
      </w:r>
      <w:r w:rsidRPr="0007021A">
        <w:rPr>
          <w:rFonts w:ascii="Times New Roman" w:hAnsi="Times New Roman"/>
          <w:sz w:val="24"/>
          <w:szCs w:val="24"/>
        </w:rPr>
        <w:t>увезе</w:t>
      </w:r>
      <w:r w:rsidR="00C857DC" w:rsidRPr="0007021A">
        <w:rPr>
          <w:rFonts w:ascii="Times New Roman" w:hAnsi="Times New Roman"/>
          <w:sz w:val="24"/>
          <w:szCs w:val="24"/>
        </w:rPr>
        <w:t xml:space="preserve"> </w:t>
      </w:r>
      <w:r w:rsidRPr="0007021A">
        <w:rPr>
          <w:rFonts w:ascii="Times New Roman" w:hAnsi="Times New Roman"/>
          <w:sz w:val="24"/>
          <w:szCs w:val="24"/>
        </w:rPr>
        <w:t>ако</w:t>
      </w:r>
      <w:r w:rsidR="00C857DC" w:rsidRPr="0007021A">
        <w:rPr>
          <w:rFonts w:ascii="Times New Roman" w:hAnsi="Times New Roman"/>
          <w:sz w:val="24"/>
          <w:szCs w:val="24"/>
        </w:rPr>
        <w:t xml:space="preserve"> </w:t>
      </w:r>
      <w:r w:rsidRPr="0007021A">
        <w:rPr>
          <w:rFonts w:ascii="Times New Roman" w:hAnsi="Times New Roman"/>
          <w:sz w:val="24"/>
          <w:szCs w:val="24"/>
        </w:rPr>
        <w:t>се</w:t>
      </w:r>
      <w:r w:rsidR="00C857DC" w:rsidRPr="0007021A">
        <w:rPr>
          <w:rFonts w:ascii="Times New Roman" w:hAnsi="Times New Roman"/>
          <w:sz w:val="24"/>
          <w:szCs w:val="24"/>
        </w:rPr>
        <w:t xml:space="preserve"> </w:t>
      </w:r>
      <w:r w:rsidRPr="0007021A">
        <w:rPr>
          <w:rFonts w:ascii="Times New Roman" w:hAnsi="Times New Roman"/>
          <w:sz w:val="24"/>
          <w:szCs w:val="24"/>
        </w:rPr>
        <w:t>та</w:t>
      </w:r>
      <w:r w:rsidR="00C857DC" w:rsidRPr="0007021A">
        <w:rPr>
          <w:rFonts w:ascii="Times New Roman" w:hAnsi="Times New Roman"/>
          <w:sz w:val="24"/>
          <w:szCs w:val="24"/>
        </w:rPr>
        <w:t xml:space="preserve"> </w:t>
      </w:r>
      <w:r w:rsidRPr="0007021A">
        <w:rPr>
          <w:rFonts w:ascii="Times New Roman" w:hAnsi="Times New Roman"/>
          <w:sz w:val="24"/>
          <w:szCs w:val="24"/>
        </w:rPr>
        <w:t>роба</w:t>
      </w:r>
      <w:r w:rsidR="00C857DC" w:rsidRPr="0007021A">
        <w:rPr>
          <w:rFonts w:ascii="Times New Roman" w:hAnsi="Times New Roman"/>
          <w:sz w:val="24"/>
          <w:szCs w:val="24"/>
        </w:rPr>
        <w:t xml:space="preserve">, </w:t>
      </w:r>
      <w:r w:rsidRPr="0007021A">
        <w:rPr>
          <w:rFonts w:ascii="Times New Roman" w:hAnsi="Times New Roman"/>
          <w:sz w:val="24"/>
          <w:szCs w:val="24"/>
        </w:rPr>
        <w:t>на</w:t>
      </w:r>
      <w:r w:rsidR="00C857DC" w:rsidRPr="0007021A">
        <w:rPr>
          <w:rFonts w:ascii="Times New Roman" w:hAnsi="Times New Roman"/>
          <w:sz w:val="24"/>
          <w:szCs w:val="24"/>
        </w:rPr>
        <w:t xml:space="preserve"> </w:t>
      </w:r>
      <w:r w:rsidRPr="0007021A">
        <w:rPr>
          <w:rFonts w:ascii="Times New Roman" w:hAnsi="Times New Roman"/>
          <w:sz w:val="24"/>
          <w:szCs w:val="24"/>
        </w:rPr>
        <w:t>основу</w:t>
      </w:r>
      <w:r w:rsidR="00C857DC" w:rsidRPr="0007021A">
        <w:rPr>
          <w:rFonts w:ascii="Times New Roman" w:hAnsi="Times New Roman"/>
          <w:sz w:val="24"/>
          <w:szCs w:val="24"/>
        </w:rPr>
        <w:t xml:space="preserve"> </w:t>
      </w:r>
      <w:r w:rsidRPr="0007021A">
        <w:rPr>
          <w:rFonts w:ascii="Times New Roman" w:hAnsi="Times New Roman"/>
          <w:sz w:val="24"/>
          <w:szCs w:val="24"/>
        </w:rPr>
        <w:t>уговора</w:t>
      </w:r>
      <w:r w:rsidR="00C857DC" w:rsidRPr="0007021A">
        <w:rPr>
          <w:rFonts w:ascii="Times New Roman" w:hAnsi="Times New Roman"/>
          <w:sz w:val="24"/>
          <w:szCs w:val="24"/>
        </w:rPr>
        <w:t xml:space="preserve">, </w:t>
      </w:r>
      <w:r w:rsidRPr="0007021A">
        <w:rPr>
          <w:rFonts w:ascii="Times New Roman" w:hAnsi="Times New Roman"/>
          <w:sz w:val="24"/>
          <w:szCs w:val="24"/>
        </w:rPr>
        <w:t>непосредно</w:t>
      </w:r>
      <w:r w:rsidR="00C857DC" w:rsidRPr="0007021A">
        <w:rPr>
          <w:rFonts w:ascii="Times New Roman" w:hAnsi="Times New Roman"/>
          <w:sz w:val="24"/>
          <w:szCs w:val="24"/>
        </w:rPr>
        <w:t xml:space="preserve"> </w:t>
      </w:r>
      <w:r w:rsidRPr="0007021A">
        <w:rPr>
          <w:rFonts w:ascii="Times New Roman" w:hAnsi="Times New Roman"/>
          <w:sz w:val="24"/>
          <w:szCs w:val="24"/>
        </w:rPr>
        <w:t>испоручује</w:t>
      </w:r>
      <w:r w:rsidR="00C857DC" w:rsidRPr="0007021A">
        <w:rPr>
          <w:rFonts w:ascii="Times New Roman" w:hAnsi="Times New Roman"/>
          <w:sz w:val="24"/>
          <w:szCs w:val="24"/>
        </w:rPr>
        <w:t xml:space="preserve"> </w:t>
      </w:r>
      <w:r w:rsidRPr="0007021A">
        <w:rPr>
          <w:rFonts w:ascii="Times New Roman" w:hAnsi="Times New Roman"/>
          <w:sz w:val="24"/>
          <w:szCs w:val="24"/>
        </w:rPr>
        <w:t>у</w:t>
      </w:r>
      <w:r w:rsidR="00C857DC" w:rsidRPr="0007021A">
        <w:rPr>
          <w:rFonts w:ascii="Times New Roman" w:hAnsi="Times New Roman"/>
          <w:sz w:val="24"/>
          <w:szCs w:val="24"/>
        </w:rPr>
        <w:t xml:space="preserve"> </w:t>
      </w:r>
      <w:r w:rsidRPr="0007021A">
        <w:rPr>
          <w:rFonts w:ascii="Times New Roman" w:hAnsi="Times New Roman"/>
          <w:sz w:val="24"/>
          <w:szCs w:val="24"/>
        </w:rPr>
        <w:t>другу</w:t>
      </w:r>
      <w:r w:rsidR="00C857DC" w:rsidRPr="0007021A">
        <w:rPr>
          <w:rFonts w:ascii="Times New Roman" w:hAnsi="Times New Roman"/>
          <w:sz w:val="24"/>
          <w:szCs w:val="24"/>
        </w:rPr>
        <w:t xml:space="preserve"> </w:t>
      </w:r>
      <w:r w:rsidRPr="0007021A">
        <w:rPr>
          <w:rFonts w:ascii="Times New Roman" w:hAnsi="Times New Roman"/>
          <w:sz w:val="24"/>
          <w:szCs w:val="24"/>
        </w:rPr>
        <w:t>државу</w:t>
      </w:r>
      <w:r w:rsidR="00C857DC" w:rsidRPr="0007021A">
        <w:rPr>
          <w:rFonts w:ascii="Times New Roman" w:hAnsi="Times New Roman"/>
          <w:sz w:val="24"/>
          <w:szCs w:val="24"/>
        </w:rPr>
        <w:t xml:space="preserve"> </w:t>
      </w:r>
      <w:r w:rsidRPr="0007021A">
        <w:rPr>
          <w:rFonts w:ascii="Times New Roman" w:hAnsi="Times New Roman"/>
          <w:sz w:val="24"/>
          <w:szCs w:val="24"/>
        </w:rPr>
        <w:t>или</w:t>
      </w:r>
      <w:r w:rsidR="00C857DC" w:rsidRPr="0007021A">
        <w:rPr>
          <w:rFonts w:ascii="Times New Roman" w:hAnsi="Times New Roman"/>
          <w:sz w:val="24"/>
          <w:szCs w:val="24"/>
        </w:rPr>
        <w:t xml:space="preserve"> </w:t>
      </w:r>
      <w:r w:rsidRPr="0007021A">
        <w:rPr>
          <w:rFonts w:ascii="Times New Roman" w:hAnsi="Times New Roman"/>
          <w:sz w:val="24"/>
          <w:szCs w:val="24"/>
        </w:rPr>
        <w:t>царинску</w:t>
      </w:r>
      <w:r w:rsidR="00C857DC" w:rsidRPr="0007021A">
        <w:rPr>
          <w:rFonts w:ascii="Times New Roman" w:hAnsi="Times New Roman"/>
          <w:sz w:val="24"/>
          <w:szCs w:val="24"/>
        </w:rPr>
        <w:t xml:space="preserve"> </w:t>
      </w:r>
      <w:r w:rsidRPr="0007021A">
        <w:rPr>
          <w:rFonts w:ascii="Times New Roman" w:hAnsi="Times New Roman"/>
          <w:sz w:val="24"/>
          <w:szCs w:val="24"/>
        </w:rPr>
        <w:t>територију</w:t>
      </w:r>
      <w:r w:rsidR="00C857DC" w:rsidRPr="0007021A">
        <w:rPr>
          <w:rFonts w:ascii="Times New Roman" w:hAnsi="Times New Roman"/>
          <w:sz w:val="24"/>
          <w:szCs w:val="24"/>
        </w:rPr>
        <w:t xml:space="preserve">, </w:t>
      </w:r>
      <w:r w:rsidRPr="0007021A">
        <w:rPr>
          <w:rFonts w:ascii="Times New Roman" w:hAnsi="Times New Roman"/>
          <w:sz w:val="24"/>
          <w:szCs w:val="24"/>
        </w:rPr>
        <w:t>или</w:t>
      </w:r>
      <w:r w:rsidR="00C857DC" w:rsidRPr="0007021A">
        <w:rPr>
          <w:rFonts w:ascii="Times New Roman" w:hAnsi="Times New Roman"/>
          <w:sz w:val="24"/>
          <w:szCs w:val="24"/>
        </w:rPr>
        <w:t xml:space="preserve"> </w:t>
      </w:r>
      <w:r w:rsidRPr="0007021A">
        <w:rPr>
          <w:rFonts w:ascii="Times New Roman" w:hAnsi="Times New Roman"/>
          <w:sz w:val="24"/>
          <w:szCs w:val="24"/>
        </w:rPr>
        <w:t>стави</w:t>
      </w:r>
      <w:r w:rsidR="00C857DC" w:rsidRPr="0007021A">
        <w:rPr>
          <w:rFonts w:ascii="Times New Roman" w:hAnsi="Times New Roman"/>
          <w:sz w:val="24"/>
          <w:szCs w:val="24"/>
        </w:rPr>
        <w:t xml:space="preserve"> </w:t>
      </w:r>
      <w:r w:rsidRPr="0007021A">
        <w:rPr>
          <w:rFonts w:ascii="Times New Roman" w:hAnsi="Times New Roman"/>
          <w:sz w:val="24"/>
          <w:szCs w:val="24"/>
        </w:rPr>
        <w:t>у</w:t>
      </w:r>
      <w:r w:rsidR="00C857DC" w:rsidRPr="0007021A">
        <w:rPr>
          <w:rFonts w:ascii="Times New Roman" w:hAnsi="Times New Roman"/>
          <w:sz w:val="24"/>
          <w:szCs w:val="24"/>
        </w:rPr>
        <w:t xml:space="preserve"> </w:t>
      </w:r>
      <w:r w:rsidRPr="0007021A">
        <w:rPr>
          <w:rFonts w:ascii="Times New Roman" w:hAnsi="Times New Roman"/>
          <w:sz w:val="24"/>
          <w:szCs w:val="24"/>
        </w:rPr>
        <w:t>слободан</w:t>
      </w:r>
      <w:r w:rsidR="00C857DC" w:rsidRPr="0007021A">
        <w:rPr>
          <w:rFonts w:ascii="Times New Roman" w:hAnsi="Times New Roman"/>
          <w:sz w:val="24"/>
          <w:szCs w:val="24"/>
        </w:rPr>
        <w:t xml:space="preserve"> </w:t>
      </w:r>
      <w:r w:rsidRPr="0007021A">
        <w:rPr>
          <w:rFonts w:ascii="Times New Roman" w:hAnsi="Times New Roman"/>
          <w:sz w:val="24"/>
          <w:szCs w:val="24"/>
        </w:rPr>
        <w:t>промет</w:t>
      </w:r>
      <w:r w:rsidR="00C857DC" w:rsidRPr="0007021A">
        <w:rPr>
          <w:rFonts w:ascii="Times New Roman" w:hAnsi="Times New Roman"/>
          <w:sz w:val="24"/>
          <w:szCs w:val="24"/>
        </w:rPr>
        <w:t xml:space="preserve">, </w:t>
      </w:r>
      <w:r w:rsidRPr="0007021A">
        <w:rPr>
          <w:rFonts w:ascii="Times New Roman" w:hAnsi="Times New Roman"/>
          <w:sz w:val="24"/>
          <w:szCs w:val="24"/>
        </w:rPr>
        <w:t>ако</w:t>
      </w:r>
      <w:r w:rsidR="00C857DC" w:rsidRPr="0007021A">
        <w:rPr>
          <w:rFonts w:ascii="Times New Roman" w:hAnsi="Times New Roman"/>
          <w:sz w:val="24"/>
          <w:szCs w:val="24"/>
        </w:rPr>
        <w:t xml:space="preserve"> </w:t>
      </w:r>
      <w:r w:rsidRPr="0007021A">
        <w:rPr>
          <w:rFonts w:ascii="Times New Roman" w:hAnsi="Times New Roman"/>
          <w:sz w:val="24"/>
          <w:szCs w:val="24"/>
        </w:rPr>
        <w:t>се</w:t>
      </w:r>
      <w:r w:rsidR="00C857DC" w:rsidRPr="0007021A">
        <w:rPr>
          <w:rFonts w:ascii="Times New Roman" w:hAnsi="Times New Roman"/>
          <w:sz w:val="24"/>
          <w:szCs w:val="24"/>
        </w:rPr>
        <w:t xml:space="preserve"> </w:t>
      </w:r>
      <w:r w:rsidRPr="0007021A">
        <w:rPr>
          <w:rFonts w:ascii="Times New Roman" w:hAnsi="Times New Roman"/>
          <w:sz w:val="24"/>
          <w:szCs w:val="24"/>
        </w:rPr>
        <w:t>та</w:t>
      </w:r>
      <w:r w:rsidR="00C857DC" w:rsidRPr="0007021A">
        <w:rPr>
          <w:rFonts w:ascii="Times New Roman" w:hAnsi="Times New Roman"/>
          <w:sz w:val="24"/>
          <w:szCs w:val="24"/>
        </w:rPr>
        <w:t xml:space="preserve"> </w:t>
      </w:r>
      <w:r w:rsidRPr="0007021A">
        <w:rPr>
          <w:rFonts w:ascii="Times New Roman" w:hAnsi="Times New Roman"/>
          <w:sz w:val="24"/>
          <w:szCs w:val="24"/>
        </w:rPr>
        <w:t>роба</w:t>
      </w:r>
      <w:r w:rsidR="00C857DC" w:rsidRPr="0007021A">
        <w:rPr>
          <w:rFonts w:ascii="Times New Roman" w:hAnsi="Times New Roman"/>
          <w:sz w:val="24"/>
          <w:szCs w:val="24"/>
        </w:rPr>
        <w:t xml:space="preserve"> </w:t>
      </w:r>
      <w:r w:rsidRPr="0007021A">
        <w:rPr>
          <w:rFonts w:ascii="Times New Roman" w:hAnsi="Times New Roman"/>
          <w:sz w:val="24"/>
          <w:szCs w:val="24"/>
        </w:rPr>
        <w:t>након</w:t>
      </w:r>
      <w:r w:rsidR="00C857DC" w:rsidRPr="0007021A">
        <w:rPr>
          <w:rFonts w:ascii="Times New Roman" w:hAnsi="Times New Roman"/>
          <w:sz w:val="24"/>
          <w:szCs w:val="24"/>
        </w:rPr>
        <w:t xml:space="preserve"> </w:t>
      </w:r>
      <w:r w:rsidRPr="0007021A">
        <w:rPr>
          <w:rFonts w:ascii="Times New Roman" w:hAnsi="Times New Roman"/>
          <w:sz w:val="24"/>
          <w:szCs w:val="24"/>
        </w:rPr>
        <w:t>спроведеног</w:t>
      </w:r>
      <w:r w:rsidR="00C857DC" w:rsidRPr="0007021A">
        <w:rPr>
          <w:rFonts w:ascii="Times New Roman" w:hAnsi="Times New Roman"/>
          <w:sz w:val="24"/>
          <w:szCs w:val="24"/>
        </w:rPr>
        <w:t xml:space="preserve"> </w:t>
      </w:r>
      <w:r w:rsidRPr="0007021A">
        <w:rPr>
          <w:rFonts w:ascii="Times New Roman" w:hAnsi="Times New Roman"/>
          <w:sz w:val="24"/>
          <w:szCs w:val="24"/>
        </w:rPr>
        <w:t>одговарајућег</w:t>
      </w:r>
      <w:r w:rsidR="00C857DC" w:rsidRPr="0007021A">
        <w:rPr>
          <w:rFonts w:ascii="Times New Roman" w:hAnsi="Times New Roman"/>
          <w:sz w:val="24"/>
          <w:szCs w:val="24"/>
        </w:rPr>
        <w:t xml:space="preserve"> </w:t>
      </w:r>
      <w:r w:rsidRPr="0007021A">
        <w:rPr>
          <w:rFonts w:ascii="Times New Roman" w:hAnsi="Times New Roman"/>
          <w:sz w:val="24"/>
          <w:szCs w:val="24"/>
        </w:rPr>
        <w:t>царинског</w:t>
      </w:r>
      <w:r w:rsidR="00C857DC" w:rsidRPr="0007021A">
        <w:rPr>
          <w:rFonts w:ascii="Times New Roman" w:hAnsi="Times New Roman"/>
          <w:sz w:val="24"/>
          <w:szCs w:val="24"/>
        </w:rPr>
        <w:t xml:space="preserve"> </w:t>
      </w:r>
      <w:r w:rsidRPr="0007021A">
        <w:rPr>
          <w:rFonts w:ascii="Times New Roman" w:hAnsi="Times New Roman"/>
          <w:sz w:val="24"/>
          <w:szCs w:val="24"/>
        </w:rPr>
        <w:t>поступка</w:t>
      </w:r>
      <w:r w:rsidR="00C857DC" w:rsidRPr="0007021A">
        <w:rPr>
          <w:rFonts w:ascii="Times New Roman" w:hAnsi="Times New Roman"/>
          <w:sz w:val="24"/>
          <w:szCs w:val="24"/>
        </w:rPr>
        <w:t xml:space="preserve"> </w:t>
      </w:r>
      <w:r w:rsidRPr="0007021A">
        <w:rPr>
          <w:rFonts w:ascii="Times New Roman" w:hAnsi="Times New Roman"/>
          <w:sz w:val="24"/>
          <w:szCs w:val="24"/>
        </w:rPr>
        <w:t>отпрема</w:t>
      </w:r>
      <w:r w:rsidR="00C857DC" w:rsidRPr="0007021A">
        <w:rPr>
          <w:rFonts w:ascii="Times New Roman" w:hAnsi="Times New Roman"/>
          <w:sz w:val="24"/>
          <w:szCs w:val="24"/>
        </w:rPr>
        <w:t xml:space="preserve"> </w:t>
      </w:r>
      <w:r w:rsidRPr="0007021A">
        <w:rPr>
          <w:rFonts w:ascii="Times New Roman" w:hAnsi="Times New Roman"/>
          <w:sz w:val="24"/>
          <w:szCs w:val="24"/>
        </w:rPr>
        <w:t>са</w:t>
      </w:r>
      <w:r w:rsidR="00C857DC" w:rsidRPr="0007021A">
        <w:rPr>
          <w:rFonts w:ascii="Times New Roman" w:hAnsi="Times New Roman"/>
          <w:sz w:val="24"/>
          <w:szCs w:val="24"/>
        </w:rPr>
        <w:t xml:space="preserve"> </w:t>
      </w:r>
      <w:r w:rsidRPr="0007021A">
        <w:rPr>
          <w:rFonts w:ascii="Times New Roman" w:hAnsi="Times New Roman"/>
          <w:sz w:val="24"/>
          <w:szCs w:val="24"/>
        </w:rPr>
        <w:t>територије</w:t>
      </w:r>
      <w:r w:rsidR="00C857DC" w:rsidRPr="0007021A">
        <w:rPr>
          <w:rFonts w:ascii="Times New Roman" w:hAnsi="Times New Roman"/>
          <w:sz w:val="24"/>
          <w:szCs w:val="24"/>
        </w:rPr>
        <w:t xml:space="preserve"> </w:t>
      </w:r>
      <w:r w:rsidRPr="0007021A">
        <w:rPr>
          <w:rFonts w:ascii="Times New Roman" w:hAnsi="Times New Roman"/>
          <w:sz w:val="24"/>
          <w:szCs w:val="24"/>
        </w:rPr>
        <w:t>Републике</w:t>
      </w:r>
      <w:r w:rsidR="00C857DC" w:rsidRPr="0007021A">
        <w:rPr>
          <w:rFonts w:ascii="Times New Roman" w:hAnsi="Times New Roman"/>
          <w:sz w:val="24"/>
          <w:szCs w:val="24"/>
        </w:rPr>
        <w:t xml:space="preserve"> </w:t>
      </w:r>
      <w:r w:rsidRPr="0007021A">
        <w:rPr>
          <w:rFonts w:ascii="Times New Roman" w:hAnsi="Times New Roman"/>
          <w:sz w:val="24"/>
          <w:szCs w:val="24"/>
        </w:rPr>
        <w:t>Србије</w:t>
      </w:r>
      <w:r w:rsidR="00C857DC" w:rsidRPr="0007021A">
        <w:rPr>
          <w:rFonts w:ascii="Times New Roman" w:hAnsi="Times New Roman"/>
          <w:sz w:val="24"/>
          <w:szCs w:val="24"/>
        </w:rPr>
        <w:t>.</w:t>
      </w:r>
    </w:p>
    <w:p w:rsidR="004D5D9D" w:rsidRPr="0007021A" w:rsidRDefault="004949B5" w:rsidP="0007021A">
      <w:pPr>
        <w:ind w:firstLine="708"/>
        <w:jc w:val="both"/>
        <w:rPr>
          <w:rFonts w:ascii="Times New Roman" w:hAnsi="Times New Roman"/>
          <w:sz w:val="24"/>
          <w:szCs w:val="24"/>
          <w:lang w:val="sr-Cyrl-CS"/>
        </w:rPr>
      </w:pPr>
      <w:r w:rsidRPr="0007021A">
        <w:rPr>
          <w:rFonts w:ascii="Times New Roman" w:hAnsi="Times New Roman"/>
          <w:sz w:val="24"/>
          <w:szCs w:val="24"/>
        </w:rPr>
        <w:t>Сагласно</w:t>
      </w:r>
      <w:r w:rsidR="00C857DC" w:rsidRPr="0007021A">
        <w:rPr>
          <w:rFonts w:ascii="Times New Roman" w:hAnsi="Times New Roman"/>
          <w:sz w:val="24"/>
          <w:szCs w:val="24"/>
        </w:rPr>
        <w:t xml:space="preserve"> </w:t>
      </w:r>
      <w:r w:rsidRPr="0007021A">
        <w:rPr>
          <w:rFonts w:ascii="Times New Roman" w:hAnsi="Times New Roman"/>
          <w:sz w:val="24"/>
          <w:szCs w:val="24"/>
        </w:rPr>
        <w:t>томе</w:t>
      </w:r>
      <w:r w:rsidR="00C857DC" w:rsidRPr="0007021A">
        <w:rPr>
          <w:rFonts w:ascii="Times New Roman" w:hAnsi="Times New Roman"/>
          <w:sz w:val="24"/>
          <w:szCs w:val="24"/>
        </w:rPr>
        <w:t xml:space="preserve">, </w:t>
      </w:r>
      <w:r w:rsidRPr="0007021A">
        <w:rPr>
          <w:rFonts w:ascii="Times New Roman" w:hAnsi="Times New Roman"/>
          <w:sz w:val="24"/>
          <w:szCs w:val="24"/>
        </w:rPr>
        <w:t>а</w:t>
      </w:r>
      <w:r w:rsidR="00C857DC" w:rsidRPr="0007021A">
        <w:rPr>
          <w:rFonts w:ascii="Times New Roman" w:hAnsi="Times New Roman"/>
          <w:sz w:val="24"/>
          <w:szCs w:val="24"/>
        </w:rPr>
        <w:t xml:space="preserve"> </w:t>
      </w:r>
      <w:r w:rsidRPr="0007021A">
        <w:rPr>
          <w:rFonts w:ascii="Times New Roman" w:hAnsi="Times New Roman"/>
          <w:sz w:val="24"/>
          <w:szCs w:val="24"/>
        </w:rPr>
        <w:t>у</w:t>
      </w:r>
      <w:r w:rsidR="00C857DC" w:rsidRPr="0007021A">
        <w:rPr>
          <w:rFonts w:ascii="Times New Roman" w:hAnsi="Times New Roman"/>
          <w:sz w:val="24"/>
          <w:szCs w:val="24"/>
        </w:rPr>
        <w:t xml:space="preserve"> </w:t>
      </w:r>
      <w:r w:rsidRPr="0007021A">
        <w:rPr>
          <w:rFonts w:ascii="Times New Roman" w:hAnsi="Times New Roman"/>
          <w:sz w:val="24"/>
          <w:szCs w:val="24"/>
        </w:rPr>
        <w:t>складу</w:t>
      </w:r>
      <w:r w:rsidR="00C857DC" w:rsidRPr="0007021A">
        <w:rPr>
          <w:rFonts w:ascii="Times New Roman" w:hAnsi="Times New Roman"/>
          <w:sz w:val="24"/>
          <w:szCs w:val="24"/>
        </w:rPr>
        <w:t xml:space="preserve"> </w:t>
      </w:r>
      <w:r w:rsidRPr="0007021A">
        <w:rPr>
          <w:rFonts w:ascii="Times New Roman" w:hAnsi="Times New Roman"/>
          <w:sz w:val="24"/>
          <w:szCs w:val="24"/>
        </w:rPr>
        <w:t>са</w:t>
      </w:r>
      <w:r w:rsidR="00C857DC" w:rsidRPr="0007021A">
        <w:rPr>
          <w:rFonts w:ascii="Times New Roman" w:hAnsi="Times New Roman"/>
          <w:sz w:val="24"/>
          <w:szCs w:val="24"/>
        </w:rPr>
        <w:t xml:space="preserve"> </w:t>
      </w:r>
      <w:r w:rsidRPr="0007021A">
        <w:rPr>
          <w:rFonts w:ascii="Times New Roman" w:hAnsi="Times New Roman"/>
          <w:sz w:val="24"/>
          <w:szCs w:val="24"/>
        </w:rPr>
        <w:t>наведеним</w:t>
      </w:r>
      <w:r w:rsidR="00C857DC" w:rsidRPr="0007021A">
        <w:rPr>
          <w:rFonts w:ascii="Times New Roman" w:hAnsi="Times New Roman"/>
          <w:sz w:val="24"/>
          <w:szCs w:val="24"/>
        </w:rPr>
        <w:t xml:space="preserve"> </w:t>
      </w:r>
      <w:r w:rsidRPr="0007021A">
        <w:rPr>
          <w:rFonts w:ascii="Times New Roman" w:hAnsi="Times New Roman"/>
          <w:sz w:val="24"/>
          <w:szCs w:val="24"/>
        </w:rPr>
        <w:t>законским</w:t>
      </w:r>
      <w:r w:rsidR="00C857DC" w:rsidRPr="0007021A">
        <w:rPr>
          <w:rFonts w:ascii="Times New Roman" w:hAnsi="Times New Roman"/>
          <w:sz w:val="24"/>
          <w:szCs w:val="24"/>
        </w:rPr>
        <w:t xml:space="preserve"> </w:t>
      </w:r>
      <w:r w:rsidRPr="0007021A">
        <w:rPr>
          <w:rFonts w:ascii="Times New Roman" w:hAnsi="Times New Roman"/>
          <w:sz w:val="24"/>
          <w:szCs w:val="24"/>
        </w:rPr>
        <w:t>одредбама</w:t>
      </w:r>
      <w:r w:rsidR="00C857DC" w:rsidRPr="0007021A">
        <w:rPr>
          <w:rFonts w:ascii="Times New Roman" w:hAnsi="Times New Roman"/>
          <w:sz w:val="24"/>
          <w:szCs w:val="24"/>
        </w:rPr>
        <w:t xml:space="preserve">, </w:t>
      </w:r>
      <w:r w:rsidRPr="0007021A">
        <w:rPr>
          <w:rFonts w:ascii="Times New Roman" w:hAnsi="Times New Roman"/>
          <w:sz w:val="24"/>
          <w:szCs w:val="24"/>
        </w:rPr>
        <w:t>у</w:t>
      </w:r>
      <w:r w:rsidR="00C857DC" w:rsidRPr="0007021A">
        <w:rPr>
          <w:rFonts w:ascii="Times New Roman" w:hAnsi="Times New Roman"/>
          <w:sz w:val="24"/>
          <w:szCs w:val="24"/>
        </w:rPr>
        <w:t xml:space="preserve"> </w:t>
      </w:r>
      <w:r w:rsidRPr="0007021A">
        <w:rPr>
          <w:rFonts w:ascii="Times New Roman" w:hAnsi="Times New Roman"/>
          <w:sz w:val="24"/>
          <w:szCs w:val="24"/>
        </w:rPr>
        <w:t>случају</w:t>
      </w:r>
      <w:r w:rsidR="00C857DC" w:rsidRPr="0007021A">
        <w:rPr>
          <w:rFonts w:ascii="Times New Roman" w:hAnsi="Times New Roman"/>
          <w:sz w:val="24"/>
          <w:szCs w:val="24"/>
        </w:rPr>
        <w:t xml:space="preserve"> </w:t>
      </w:r>
      <w:r w:rsidRPr="0007021A">
        <w:rPr>
          <w:rFonts w:ascii="Times New Roman" w:hAnsi="Times New Roman"/>
          <w:sz w:val="24"/>
          <w:szCs w:val="24"/>
        </w:rPr>
        <w:t>када</w:t>
      </w:r>
      <w:r w:rsidR="00C857DC" w:rsidRPr="0007021A">
        <w:rPr>
          <w:rFonts w:ascii="Times New Roman" w:hAnsi="Times New Roman"/>
          <w:sz w:val="24"/>
          <w:szCs w:val="24"/>
        </w:rPr>
        <w:t xml:space="preserve"> </w:t>
      </w:r>
      <w:r w:rsidRPr="0007021A">
        <w:rPr>
          <w:rFonts w:ascii="Times New Roman" w:hAnsi="Times New Roman"/>
          <w:sz w:val="24"/>
          <w:szCs w:val="24"/>
        </w:rPr>
        <w:t>се</w:t>
      </w:r>
      <w:r w:rsidR="00C857DC" w:rsidRPr="0007021A">
        <w:rPr>
          <w:rFonts w:ascii="Times New Roman" w:hAnsi="Times New Roman"/>
          <w:sz w:val="24"/>
          <w:szCs w:val="24"/>
        </w:rPr>
        <w:t xml:space="preserve"> </w:t>
      </w:r>
      <w:r w:rsidRPr="0007021A">
        <w:rPr>
          <w:rFonts w:ascii="Times New Roman" w:hAnsi="Times New Roman"/>
          <w:sz w:val="24"/>
          <w:szCs w:val="24"/>
        </w:rPr>
        <w:t>спроводи</w:t>
      </w:r>
      <w:r w:rsidR="00C857DC" w:rsidRPr="0007021A">
        <w:rPr>
          <w:rFonts w:ascii="Times New Roman" w:hAnsi="Times New Roman"/>
          <w:sz w:val="24"/>
          <w:szCs w:val="24"/>
        </w:rPr>
        <w:t xml:space="preserve"> </w:t>
      </w:r>
      <w:r w:rsidRPr="0007021A">
        <w:rPr>
          <w:rFonts w:ascii="Times New Roman" w:hAnsi="Times New Roman"/>
          <w:sz w:val="24"/>
          <w:szCs w:val="24"/>
        </w:rPr>
        <w:t>поступак</w:t>
      </w:r>
      <w:r w:rsidR="00C857DC" w:rsidRPr="0007021A">
        <w:rPr>
          <w:rFonts w:ascii="Times New Roman" w:hAnsi="Times New Roman"/>
          <w:sz w:val="24"/>
          <w:szCs w:val="24"/>
        </w:rPr>
        <w:t xml:space="preserve"> </w:t>
      </w:r>
      <w:r w:rsidRPr="0007021A">
        <w:rPr>
          <w:rFonts w:ascii="Times New Roman" w:hAnsi="Times New Roman"/>
          <w:sz w:val="24"/>
          <w:szCs w:val="24"/>
        </w:rPr>
        <w:t>активног</w:t>
      </w:r>
      <w:r w:rsidR="00C857DC" w:rsidRPr="0007021A">
        <w:rPr>
          <w:rFonts w:ascii="Times New Roman" w:hAnsi="Times New Roman"/>
          <w:sz w:val="24"/>
          <w:szCs w:val="24"/>
        </w:rPr>
        <w:t xml:space="preserve"> </w:t>
      </w:r>
      <w:r w:rsidRPr="0007021A">
        <w:rPr>
          <w:rFonts w:ascii="Times New Roman" w:hAnsi="Times New Roman"/>
          <w:sz w:val="24"/>
          <w:szCs w:val="24"/>
        </w:rPr>
        <w:t>оплемењивања</w:t>
      </w:r>
      <w:r w:rsidR="00C857DC" w:rsidRPr="0007021A">
        <w:rPr>
          <w:rFonts w:ascii="Times New Roman" w:hAnsi="Times New Roman"/>
          <w:sz w:val="24"/>
          <w:szCs w:val="24"/>
        </w:rPr>
        <w:t xml:space="preserve"> </w:t>
      </w:r>
      <w:r w:rsidRPr="0007021A">
        <w:rPr>
          <w:rFonts w:ascii="Times New Roman" w:hAnsi="Times New Roman"/>
          <w:sz w:val="24"/>
          <w:szCs w:val="24"/>
        </w:rPr>
        <w:t>осталих</w:t>
      </w:r>
      <w:r w:rsidR="00C857DC" w:rsidRPr="0007021A">
        <w:rPr>
          <w:rFonts w:ascii="Times New Roman" w:hAnsi="Times New Roman"/>
          <w:sz w:val="24"/>
          <w:szCs w:val="24"/>
        </w:rPr>
        <w:t xml:space="preserve"> </w:t>
      </w:r>
      <w:r w:rsidRPr="0007021A">
        <w:rPr>
          <w:rFonts w:ascii="Times New Roman" w:hAnsi="Times New Roman"/>
          <w:sz w:val="24"/>
          <w:szCs w:val="24"/>
        </w:rPr>
        <w:t>деривата</w:t>
      </w:r>
      <w:r w:rsidR="00C857DC" w:rsidRPr="0007021A">
        <w:rPr>
          <w:rFonts w:ascii="Times New Roman" w:hAnsi="Times New Roman"/>
          <w:sz w:val="24"/>
          <w:szCs w:val="24"/>
        </w:rPr>
        <w:t xml:space="preserve"> </w:t>
      </w:r>
      <w:r w:rsidRPr="0007021A">
        <w:rPr>
          <w:rFonts w:ascii="Times New Roman" w:hAnsi="Times New Roman"/>
          <w:sz w:val="24"/>
          <w:szCs w:val="24"/>
        </w:rPr>
        <w:t>нафте</w:t>
      </w:r>
      <w:r w:rsidR="00C857DC" w:rsidRPr="0007021A">
        <w:rPr>
          <w:rFonts w:ascii="Times New Roman" w:hAnsi="Times New Roman"/>
          <w:sz w:val="24"/>
          <w:szCs w:val="24"/>
        </w:rPr>
        <w:t xml:space="preserve"> </w:t>
      </w:r>
      <w:r w:rsidRPr="0007021A">
        <w:rPr>
          <w:rFonts w:ascii="Times New Roman" w:hAnsi="Times New Roman"/>
          <w:sz w:val="24"/>
          <w:szCs w:val="24"/>
        </w:rPr>
        <w:t>који</w:t>
      </w:r>
      <w:r w:rsidR="00C857DC" w:rsidRPr="0007021A">
        <w:rPr>
          <w:rFonts w:ascii="Times New Roman" w:hAnsi="Times New Roman"/>
          <w:sz w:val="24"/>
          <w:szCs w:val="24"/>
        </w:rPr>
        <w:t xml:space="preserve"> </w:t>
      </w:r>
      <w:r w:rsidRPr="0007021A">
        <w:rPr>
          <w:rFonts w:ascii="Times New Roman" w:hAnsi="Times New Roman"/>
          <w:sz w:val="24"/>
          <w:szCs w:val="24"/>
        </w:rPr>
        <w:t>се</w:t>
      </w:r>
      <w:r w:rsidR="00C857DC" w:rsidRPr="0007021A">
        <w:rPr>
          <w:rFonts w:ascii="Times New Roman" w:hAnsi="Times New Roman"/>
          <w:sz w:val="24"/>
          <w:szCs w:val="24"/>
        </w:rPr>
        <w:t xml:space="preserve"> </w:t>
      </w:r>
      <w:r w:rsidRPr="0007021A">
        <w:rPr>
          <w:rFonts w:ascii="Times New Roman" w:hAnsi="Times New Roman"/>
          <w:sz w:val="24"/>
          <w:szCs w:val="24"/>
        </w:rPr>
        <w:t>добијају</w:t>
      </w:r>
      <w:r w:rsidR="00C857DC" w:rsidRPr="0007021A">
        <w:rPr>
          <w:rFonts w:ascii="Times New Roman" w:hAnsi="Times New Roman"/>
          <w:sz w:val="24"/>
          <w:szCs w:val="24"/>
        </w:rPr>
        <w:t xml:space="preserve"> </w:t>
      </w:r>
      <w:r w:rsidRPr="0007021A">
        <w:rPr>
          <w:rFonts w:ascii="Times New Roman" w:hAnsi="Times New Roman"/>
          <w:sz w:val="24"/>
          <w:szCs w:val="24"/>
        </w:rPr>
        <w:t>од</w:t>
      </w:r>
      <w:r w:rsidR="00C857DC" w:rsidRPr="0007021A">
        <w:rPr>
          <w:rFonts w:ascii="Times New Roman" w:hAnsi="Times New Roman"/>
          <w:sz w:val="24"/>
          <w:szCs w:val="24"/>
        </w:rPr>
        <w:t xml:space="preserve"> </w:t>
      </w:r>
      <w:r w:rsidRPr="0007021A">
        <w:rPr>
          <w:rFonts w:ascii="Times New Roman" w:hAnsi="Times New Roman"/>
          <w:sz w:val="24"/>
          <w:szCs w:val="24"/>
        </w:rPr>
        <w:t>фракција</w:t>
      </w:r>
      <w:r w:rsidR="00C857DC" w:rsidRPr="0007021A">
        <w:rPr>
          <w:rFonts w:ascii="Times New Roman" w:hAnsi="Times New Roman"/>
          <w:sz w:val="24"/>
          <w:szCs w:val="24"/>
        </w:rPr>
        <w:t xml:space="preserve"> </w:t>
      </w:r>
      <w:r w:rsidRPr="0007021A">
        <w:rPr>
          <w:rFonts w:ascii="Times New Roman" w:hAnsi="Times New Roman"/>
          <w:sz w:val="24"/>
          <w:szCs w:val="24"/>
        </w:rPr>
        <w:t>нафте</w:t>
      </w:r>
      <w:r w:rsidR="00C857DC" w:rsidRPr="0007021A">
        <w:rPr>
          <w:rFonts w:ascii="Times New Roman" w:hAnsi="Times New Roman"/>
          <w:sz w:val="24"/>
          <w:szCs w:val="24"/>
        </w:rPr>
        <w:t xml:space="preserve"> </w:t>
      </w:r>
      <w:r w:rsidRPr="0007021A">
        <w:rPr>
          <w:rFonts w:ascii="Times New Roman" w:hAnsi="Times New Roman"/>
          <w:sz w:val="24"/>
          <w:szCs w:val="24"/>
        </w:rPr>
        <w:t>које</w:t>
      </w:r>
      <w:r w:rsidR="00C857DC" w:rsidRPr="0007021A">
        <w:rPr>
          <w:rFonts w:ascii="Times New Roman" w:hAnsi="Times New Roman"/>
          <w:sz w:val="24"/>
          <w:szCs w:val="24"/>
        </w:rPr>
        <w:t xml:space="preserve"> </w:t>
      </w:r>
      <w:r w:rsidRPr="0007021A">
        <w:rPr>
          <w:rFonts w:ascii="Times New Roman" w:hAnsi="Times New Roman"/>
          <w:sz w:val="24"/>
          <w:szCs w:val="24"/>
        </w:rPr>
        <w:t>имају</w:t>
      </w:r>
      <w:r w:rsidR="00C857DC" w:rsidRPr="0007021A">
        <w:rPr>
          <w:rFonts w:ascii="Times New Roman" w:hAnsi="Times New Roman"/>
          <w:sz w:val="24"/>
          <w:szCs w:val="24"/>
        </w:rPr>
        <w:t xml:space="preserve"> </w:t>
      </w:r>
      <w:r w:rsidRPr="0007021A">
        <w:rPr>
          <w:rFonts w:ascii="Times New Roman" w:hAnsi="Times New Roman"/>
          <w:sz w:val="24"/>
          <w:szCs w:val="24"/>
        </w:rPr>
        <w:t>распон</w:t>
      </w:r>
      <w:r w:rsidR="00C857DC" w:rsidRPr="0007021A">
        <w:rPr>
          <w:rFonts w:ascii="Times New Roman" w:hAnsi="Times New Roman"/>
          <w:sz w:val="24"/>
          <w:szCs w:val="24"/>
        </w:rPr>
        <w:t xml:space="preserve"> </w:t>
      </w:r>
      <w:r w:rsidRPr="0007021A">
        <w:rPr>
          <w:rFonts w:ascii="Times New Roman" w:hAnsi="Times New Roman"/>
          <w:sz w:val="24"/>
          <w:szCs w:val="24"/>
        </w:rPr>
        <w:t>дестилације</w:t>
      </w:r>
      <w:r w:rsidR="00C857DC" w:rsidRPr="0007021A">
        <w:rPr>
          <w:rFonts w:ascii="Times New Roman" w:hAnsi="Times New Roman"/>
          <w:sz w:val="24"/>
          <w:szCs w:val="24"/>
        </w:rPr>
        <w:t xml:space="preserve"> </w:t>
      </w:r>
      <w:r w:rsidRPr="0007021A">
        <w:rPr>
          <w:rFonts w:ascii="Times New Roman" w:hAnsi="Times New Roman"/>
          <w:sz w:val="24"/>
          <w:szCs w:val="24"/>
        </w:rPr>
        <w:t>до</w:t>
      </w:r>
      <w:r w:rsidR="00C857DC" w:rsidRPr="0007021A">
        <w:rPr>
          <w:rFonts w:ascii="Times New Roman" w:hAnsi="Times New Roman"/>
          <w:sz w:val="24"/>
          <w:szCs w:val="24"/>
        </w:rPr>
        <w:t xml:space="preserve"> 380°</w:t>
      </w:r>
      <w:r w:rsidRPr="0007021A">
        <w:rPr>
          <w:rFonts w:ascii="Times New Roman" w:hAnsi="Times New Roman"/>
          <w:sz w:val="24"/>
          <w:szCs w:val="24"/>
        </w:rPr>
        <w:t>Ц</w:t>
      </w:r>
      <w:r w:rsidR="00C857DC" w:rsidRPr="0007021A">
        <w:rPr>
          <w:rFonts w:ascii="Times New Roman" w:hAnsi="Times New Roman"/>
          <w:sz w:val="24"/>
          <w:szCs w:val="24"/>
        </w:rPr>
        <w:t xml:space="preserve">, </w:t>
      </w:r>
      <w:r w:rsidRPr="0007021A">
        <w:rPr>
          <w:rFonts w:ascii="Times New Roman" w:hAnsi="Times New Roman"/>
          <w:sz w:val="24"/>
          <w:szCs w:val="24"/>
        </w:rPr>
        <w:t>у</w:t>
      </w:r>
      <w:r w:rsidR="00C857DC" w:rsidRPr="0007021A">
        <w:rPr>
          <w:rFonts w:ascii="Times New Roman" w:hAnsi="Times New Roman"/>
          <w:sz w:val="24"/>
          <w:szCs w:val="24"/>
        </w:rPr>
        <w:t xml:space="preserve"> </w:t>
      </w:r>
      <w:r w:rsidRPr="0007021A">
        <w:rPr>
          <w:rFonts w:ascii="Times New Roman" w:hAnsi="Times New Roman"/>
          <w:sz w:val="24"/>
          <w:szCs w:val="24"/>
        </w:rPr>
        <w:t>конкретном</w:t>
      </w:r>
      <w:r w:rsidR="00C857DC" w:rsidRPr="0007021A">
        <w:rPr>
          <w:rFonts w:ascii="Times New Roman" w:hAnsi="Times New Roman"/>
          <w:sz w:val="24"/>
          <w:szCs w:val="24"/>
        </w:rPr>
        <w:t xml:space="preserve"> </w:t>
      </w:r>
      <w:r w:rsidRPr="0007021A">
        <w:rPr>
          <w:rFonts w:ascii="Times New Roman" w:hAnsi="Times New Roman"/>
          <w:sz w:val="24"/>
          <w:szCs w:val="24"/>
        </w:rPr>
        <w:t>случају</w:t>
      </w:r>
      <w:r w:rsidR="00C857DC" w:rsidRPr="0007021A">
        <w:rPr>
          <w:rFonts w:ascii="Times New Roman" w:hAnsi="Times New Roman"/>
          <w:sz w:val="24"/>
          <w:szCs w:val="24"/>
        </w:rPr>
        <w:t xml:space="preserve"> </w:t>
      </w:r>
      <w:r w:rsidRPr="0007021A">
        <w:rPr>
          <w:rFonts w:ascii="Times New Roman" w:hAnsi="Times New Roman"/>
          <w:sz w:val="24"/>
          <w:szCs w:val="24"/>
        </w:rPr>
        <w:t>петролеја</w:t>
      </w:r>
      <w:r w:rsidR="00C857DC" w:rsidRPr="0007021A">
        <w:rPr>
          <w:rFonts w:ascii="Times New Roman" w:hAnsi="Times New Roman"/>
          <w:sz w:val="24"/>
          <w:szCs w:val="24"/>
        </w:rPr>
        <w:t xml:space="preserve"> - </w:t>
      </w:r>
      <w:r w:rsidRPr="0007021A">
        <w:rPr>
          <w:rFonts w:ascii="Times New Roman" w:hAnsi="Times New Roman"/>
          <w:sz w:val="24"/>
          <w:szCs w:val="24"/>
        </w:rPr>
        <w:t>Тарифна</w:t>
      </w:r>
      <w:r w:rsidR="00C857DC" w:rsidRPr="0007021A">
        <w:rPr>
          <w:rFonts w:ascii="Times New Roman" w:hAnsi="Times New Roman"/>
          <w:sz w:val="24"/>
          <w:szCs w:val="24"/>
        </w:rPr>
        <w:t xml:space="preserve"> </w:t>
      </w:r>
      <w:r w:rsidRPr="0007021A">
        <w:rPr>
          <w:rFonts w:ascii="Times New Roman" w:hAnsi="Times New Roman"/>
          <w:sz w:val="24"/>
          <w:szCs w:val="24"/>
        </w:rPr>
        <w:t>ознака</w:t>
      </w:r>
      <w:r w:rsidR="00C857DC" w:rsidRPr="0007021A">
        <w:rPr>
          <w:rFonts w:ascii="Times New Roman" w:hAnsi="Times New Roman"/>
          <w:sz w:val="24"/>
          <w:szCs w:val="24"/>
        </w:rPr>
        <w:t xml:space="preserve"> 2710 19 25 00 </w:t>
      </w:r>
      <w:r w:rsidRPr="0007021A">
        <w:rPr>
          <w:rFonts w:ascii="Times New Roman" w:hAnsi="Times New Roman"/>
          <w:sz w:val="24"/>
          <w:szCs w:val="24"/>
        </w:rPr>
        <w:t>у</w:t>
      </w:r>
      <w:r w:rsidR="00C857DC" w:rsidRPr="0007021A">
        <w:rPr>
          <w:rFonts w:ascii="Times New Roman" w:hAnsi="Times New Roman"/>
          <w:sz w:val="24"/>
          <w:szCs w:val="24"/>
        </w:rPr>
        <w:t xml:space="preserve"> </w:t>
      </w:r>
      <w:r w:rsidRPr="0007021A">
        <w:rPr>
          <w:rFonts w:ascii="Times New Roman" w:hAnsi="Times New Roman"/>
          <w:sz w:val="24"/>
          <w:szCs w:val="24"/>
        </w:rPr>
        <w:t>систему</w:t>
      </w:r>
      <w:r w:rsidR="00C857DC" w:rsidRPr="0007021A">
        <w:rPr>
          <w:rFonts w:ascii="Times New Roman" w:hAnsi="Times New Roman"/>
          <w:sz w:val="24"/>
          <w:szCs w:val="24"/>
        </w:rPr>
        <w:t xml:space="preserve"> </w:t>
      </w:r>
      <w:r w:rsidRPr="0007021A">
        <w:rPr>
          <w:rFonts w:ascii="Times New Roman" w:hAnsi="Times New Roman"/>
          <w:sz w:val="24"/>
          <w:szCs w:val="24"/>
        </w:rPr>
        <w:t>одлагања</w:t>
      </w:r>
      <w:r w:rsidR="00C857DC" w:rsidRPr="0007021A">
        <w:rPr>
          <w:rFonts w:ascii="Times New Roman" w:hAnsi="Times New Roman"/>
          <w:sz w:val="24"/>
          <w:szCs w:val="24"/>
        </w:rPr>
        <w:t xml:space="preserve"> </w:t>
      </w:r>
      <w:r w:rsidRPr="0007021A">
        <w:rPr>
          <w:rFonts w:ascii="Times New Roman" w:hAnsi="Times New Roman"/>
          <w:sz w:val="24"/>
          <w:szCs w:val="24"/>
        </w:rPr>
        <w:t>и</w:t>
      </w:r>
      <w:r w:rsidR="00C857DC" w:rsidRPr="0007021A">
        <w:rPr>
          <w:rFonts w:ascii="Times New Roman" w:hAnsi="Times New Roman"/>
          <w:sz w:val="24"/>
          <w:szCs w:val="24"/>
        </w:rPr>
        <w:t xml:space="preserve"> </w:t>
      </w:r>
      <w:r w:rsidRPr="0007021A">
        <w:rPr>
          <w:rFonts w:ascii="Times New Roman" w:hAnsi="Times New Roman"/>
          <w:sz w:val="24"/>
          <w:szCs w:val="24"/>
        </w:rPr>
        <w:t>отпремања</w:t>
      </w:r>
      <w:r w:rsidR="00C857DC" w:rsidRPr="0007021A">
        <w:rPr>
          <w:rFonts w:ascii="Times New Roman" w:hAnsi="Times New Roman"/>
          <w:sz w:val="24"/>
          <w:szCs w:val="24"/>
        </w:rPr>
        <w:t xml:space="preserve">, </w:t>
      </w:r>
      <w:r w:rsidRPr="0007021A">
        <w:rPr>
          <w:rFonts w:ascii="Times New Roman" w:hAnsi="Times New Roman"/>
          <w:sz w:val="24"/>
          <w:szCs w:val="24"/>
        </w:rPr>
        <w:t>ради</w:t>
      </w:r>
      <w:r w:rsidR="00C857DC" w:rsidRPr="0007021A">
        <w:rPr>
          <w:rFonts w:ascii="Times New Roman" w:hAnsi="Times New Roman"/>
          <w:sz w:val="24"/>
          <w:szCs w:val="24"/>
        </w:rPr>
        <w:t xml:space="preserve"> </w:t>
      </w:r>
      <w:r w:rsidRPr="0007021A">
        <w:rPr>
          <w:rFonts w:ascii="Times New Roman" w:hAnsi="Times New Roman"/>
          <w:sz w:val="24"/>
          <w:szCs w:val="24"/>
        </w:rPr>
        <w:t>производње</w:t>
      </w:r>
      <w:r w:rsidR="00C857DC" w:rsidRPr="0007021A">
        <w:rPr>
          <w:rFonts w:ascii="Times New Roman" w:hAnsi="Times New Roman"/>
          <w:sz w:val="24"/>
          <w:szCs w:val="24"/>
        </w:rPr>
        <w:t xml:space="preserve"> </w:t>
      </w:r>
      <w:r w:rsidRPr="0007021A">
        <w:rPr>
          <w:rFonts w:ascii="Times New Roman" w:hAnsi="Times New Roman"/>
          <w:sz w:val="24"/>
          <w:szCs w:val="24"/>
        </w:rPr>
        <w:t>уљаног</w:t>
      </w:r>
      <w:r w:rsidR="00C857DC" w:rsidRPr="0007021A">
        <w:rPr>
          <w:rFonts w:ascii="Times New Roman" w:hAnsi="Times New Roman"/>
          <w:sz w:val="24"/>
          <w:szCs w:val="24"/>
        </w:rPr>
        <w:t xml:space="preserve"> </w:t>
      </w:r>
      <w:r w:rsidRPr="0007021A">
        <w:rPr>
          <w:rFonts w:ascii="Times New Roman" w:hAnsi="Times New Roman"/>
          <w:sz w:val="24"/>
          <w:szCs w:val="24"/>
        </w:rPr>
        <w:t>разређивача</w:t>
      </w:r>
      <w:r w:rsidR="00C857DC" w:rsidRPr="0007021A">
        <w:rPr>
          <w:rFonts w:ascii="Times New Roman" w:hAnsi="Times New Roman"/>
          <w:sz w:val="24"/>
          <w:szCs w:val="24"/>
        </w:rPr>
        <w:t xml:space="preserve"> </w:t>
      </w:r>
      <w:r w:rsidRPr="0007021A">
        <w:rPr>
          <w:rFonts w:ascii="Times New Roman" w:hAnsi="Times New Roman"/>
          <w:sz w:val="24"/>
          <w:szCs w:val="24"/>
        </w:rPr>
        <w:t>који</w:t>
      </w:r>
      <w:r w:rsidR="00C857DC" w:rsidRPr="0007021A">
        <w:rPr>
          <w:rFonts w:ascii="Times New Roman" w:hAnsi="Times New Roman"/>
          <w:sz w:val="24"/>
          <w:szCs w:val="24"/>
        </w:rPr>
        <w:t xml:space="preserve"> </w:t>
      </w:r>
      <w:r w:rsidRPr="0007021A">
        <w:rPr>
          <w:rFonts w:ascii="Times New Roman" w:hAnsi="Times New Roman"/>
          <w:sz w:val="24"/>
          <w:szCs w:val="24"/>
        </w:rPr>
        <w:t>се</w:t>
      </w:r>
      <w:r w:rsidR="00C857DC" w:rsidRPr="0007021A">
        <w:rPr>
          <w:rFonts w:ascii="Times New Roman" w:hAnsi="Times New Roman"/>
          <w:sz w:val="24"/>
          <w:szCs w:val="24"/>
        </w:rPr>
        <w:t xml:space="preserve"> </w:t>
      </w:r>
      <w:r w:rsidRPr="0007021A">
        <w:rPr>
          <w:rFonts w:ascii="Times New Roman" w:hAnsi="Times New Roman"/>
          <w:sz w:val="24"/>
          <w:szCs w:val="24"/>
        </w:rPr>
        <w:t>извози</w:t>
      </w:r>
      <w:r w:rsidR="00C857DC" w:rsidRPr="0007021A">
        <w:rPr>
          <w:rFonts w:ascii="Times New Roman" w:hAnsi="Times New Roman"/>
          <w:sz w:val="24"/>
          <w:szCs w:val="24"/>
        </w:rPr>
        <w:t xml:space="preserve"> </w:t>
      </w:r>
      <w:r w:rsidRPr="0007021A">
        <w:rPr>
          <w:rFonts w:ascii="Times New Roman" w:hAnsi="Times New Roman"/>
          <w:sz w:val="24"/>
          <w:szCs w:val="24"/>
        </w:rPr>
        <w:t>у</w:t>
      </w:r>
      <w:r w:rsidR="00C857DC" w:rsidRPr="0007021A">
        <w:rPr>
          <w:rFonts w:ascii="Times New Roman" w:hAnsi="Times New Roman"/>
          <w:sz w:val="24"/>
          <w:szCs w:val="24"/>
        </w:rPr>
        <w:t xml:space="preserve"> </w:t>
      </w:r>
      <w:r w:rsidRPr="0007021A">
        <w:rPr>
          <w:rFonts w:ascii="Times New Roman" w:hAnsi="Times New Roman"/>
          <w:sz w:val="24"/>
          <w:szCs w:val="24"/>
        </w:rPr>
        <w:t>складу</w:t>
      </w:r>
      <w:r w:rsidR="00C857DC" w:rsidRPr="0007021A">
        <w:rPr>
          <w:rFonts w:ascii="Times New Roman" w:hAnsi="Times New Roman"/>
          <w:sz w:val="24"/>
          <w:szCs w:val="24"/>
        </w:rPr>
        <w:t xml:space="preserve"> </w:t>
      </w:r>
      <w:r w:rsidRPr="0007021A">
        <w:rPr>
          <w:rFonts w:ascii="Times New Roman" w:hAnsi="Times New Roman"/>
          <w:sz w:val="24"/>
          <w:szCs w:val="24"/>
        </w:rPr>
        <w:t>са</w:t>
      </w:r>
      <w:r w:rsidR="00C857DC" w:rsidRPr="0007021A">
        <w:rPr>
          <w:rFonts w:ascii="Times New Roman" w:hAnsi="Times New Roman"/>
          <w:sz w:val="24"/>
          <w:szCs w:val="24"/>
        </w:rPr>
        <w:t xml:space="preserve"> </w:t>
      </w:r>
      <w:r w:rsidRPr="0007021A">
        <w:rPr>
          <w:rFonts w:ascii="Times New Roman" w:hAnsi="Times New Roman"/>
          <w:sz w:val="24"/>
          <w:szCs w:val="24"/>
        </w:rPr>
        <w:t>царинским</w:t>
      </w:r>
      <w:r w:rsidR="00C857DC" w:rsidRPr="0007021A">
        <w:rPr>
          <w:rFonts w:ascii="Times New Roman" w:hAnsi="Times New Roman"/>
          <w:sz w:val="24"/>
          <w:szCs w:val="24"/>
        </w:rPr>
        <w:t xml:space="preserve"> </w:t>
      </w:r>
      <w:r w:rsidRPr="0007021A">
        <w:rPr>
          <w:rFonts w:ascii="Times New Roman" w:hAnsi="Times New Roman"/>
          <w:sz w:val="24"/>
          <w:szCs w:val="24"/>
        </w:rPr>
        <w:t>прописима</w:t>
      </w:r>
      <w:r w:rsidR="00C857DC" w:rsidRPr="0007021A">
        <w:rPr>
          <w:rFonts w:ascii="Times New Roman" w:hAnsi="Times New Roman"/>
          <w:sz w:val="24"/>
          <w:szCs w:val="24"/>
        </w:rPr>
        <w:t xml:space="preserve">, </w:t>
      </w:r>
      <w:r w:rsidRPr="0007021A">
        <w:rPr>
          <w:rFonts w:ascii="Times New Roman" w:hAnsi="Times New Roman"/>
          <w:sz w:val="24"/>
          <w:szCs w:val="24"/>
        </w:rPr>
        <w:t>не</w:t>
      </w:r>
      <w:r w:rsidR="00C857DC" w:rsidRPr="0007021A">
        <w:rPr>
          <w:rFonts w:ascii="Times New Roman" w:hAnsi="Times New Roman"/>
          <w:sz w:val="24"/>
          <w:szCs w:val="24"/>
        </w:rPr>
        <w:t xml:space="preserve"> </w:t>
      </w:r>
      <w:r w:rsidRPr="0007021A">
        <w:rPr>
          <w:rFonts w:ascii="Times New Roman" w:hAnsi="Times New Roman"/>
          <w:sz w:val="24"/>
          <w:szCs w:val="24"/>
        </w:rPr>
        <w:t>обрачунава</w:t>
      </w:r>
      <w:r w:rsidR="00C857DC" w:rsidRPr="0007021A">
        <w:rPr>
          <w:rFonts w:ascii="Times New Roman" w:hAnsi="Times New Roman"/>
          <w:sz w:val="24"/>
          <w:szCs w:val="24"/>
        </w:rPr>
        <w:t xml:space="preserve"> </w:t>
      </w:r>
      <w:r w:rsidRPr="0007021A">
        <w:rPr>
          <w:rFonts w:ascii="Times New Roman" w:hAnsi="Times New Roman"/>
          <w:sz w:val="24"/>
          <w:szCs w:val="24"/>
        </w:rPr>
        <w:t>се</w:t>
      </w:r>
      <w:r w:rsidR="00C857DC" w:rsidRPr="0007021A">
        <w:rPr>
          <w:rFonts w:ascii="Times New Roman" w:hAnsi="Times New Roman"/>
          <w:sz w:val="24"/>
          <w:szCs w:val="24"/>
        </w:rPr>
        <w:t xml:space="preserve"> </w:t>
      </w:r>
      <w:r w:rsidRPr="0007021A">
        <w:rPr>
          <w:rFonts w:ascii="Times New Roman" w:hAnsi="Times New Roman"/>
          <w:sz w:val="24"/>
          <w:szCs w:val="24"/>
        </w:rPr>
        <w:t>и</w:t>
      </w:r>
      <w:r w:rsidR="00C857DC" w:rsidRPr="0007021A">
        <w:rPr>
          <w:rFonts w:ascii="Times New Roman" w:hAnsi="Times New Roman"/>
          <w:sz w:val="24"/>
          <w:szCs w:val="24"/>
        </w:rPr>
        <w:t xml:space="preserve"> </w:t>
      </w:r>
      <w:r w:rsidRPr="0007021A">
        <w:rPr>
          <w:rFonts w:ascii="Times New Roman" w:hAnsi="Times New Roman"/>
          <w:sz w:val="24"/>
          <w:szCs w:val="24"/>
        </w:rPr>
        <w:t>не</w:t>
      </w:r>
      <w:r w:rsidR="00C857DC" w:rsidRPr="0007021A">
        <w:rPr>
          <w:rFonts w:ascii="Times New Roman" w:hAnsi="Times New Roman"/>
          <w:sz w:val="24"/>
          <w:szCs w:val="24"/>
        </w:rPr>
        <w:t xml:space="preserve"> </w:t>
      </w:r>
      <w:r w:rsidRPr="0007021A">
        <w:rPr>
          <w:rFonts w:ascii="Times New Roman" w:hAnsi="Times New Roman"/>
          <w:sz w:val="24"/>
          <w:szCs w:val="24"/>
        </w:rPr>
        <w:t>плаћа</w:t>
      </w:r>
      <w:r w:rsidR="00C857DC" w:rsidRPr="0007021A">
        <w:rPr>
          <w:rFonts w:ascii="Times New Roman" w:hAnsi="Times New Roman"/>
          <w:sz w:val="24"/>
          <w:szCs w:val="24"/>
        </w:rPr>
        <w:t xml:space="preserve"> </w:t>
      </w:r>
      <w:r w:rsidRPr="0007021A">
        <w:rPr>
          <w:rFonts w:ascii="Times New Roman" w:hAnsi="Times New Roman"/>
          <w:sz w:val="24"/>
          <w:szCs w:val="24"/>
        </w:rPr>
        <w:t>акциза</w:t>
      </w:r>
      <w:r w:rsidR="00C857DC" w:rsidRPr="0007021A">
        <w:rPr>
          <w:rFonts w:ascii="Times New Roman" w:hAnsi="Times New Roman"/>
          <w:sz w:val="24"/>
          <w:szCs w:val="24"/>
        </w:rPr>
        <w:t xml:space="preserve">, </w:t>
      </w:r>
      <w:r w:rsidRPr="0007021A">
        <w:rPr>
          <w:rFonts w:ascii="Times New Roman" w:hAnsi="Times New Roman"/>
          <w:sz w:val="24"/>
          <w:szCs w:val="24"/>
        </w:rPr>
        <w:t>уколико</w:t>
      </w:r>
      <w:r w:rsidR="00C857DC" w:rsidRPr="0007021A">
        <w:rPr>
          <w:rFonts w:ascii="Times New Roman" w:hAnsi="Times New Roman"/>
          <w:sz w:val="24"/>
          <w:szCs w:val="24"/>
        </w:rPr>
        <w:t xml:space="preserve"> </w:t>
      </w:r>
      <w:r w:rsidRPr="0007021A">
        <w:rPr>
          <w:rFonts w:ascii="Times New Roman" w:hAnsi="Times New Roman"/>
          <w:sz w:val="24"/>
          <w:szCs w:val="24"/>
        </w:rPr>
        <w:t>се</w:t>
      </w:r>
      <w:r w:rsidR="00C857DC" w:rsidRPr="0007021A">
        <w:rPr>
          <w:rFonts w:ascii="Times New Roman" w:hAnsi="Times New Roman"/>
          <w:sz w:val="24"/>
          <w:szCs w:val="24"/>
        </w:rPr>
        <w:t xml:space="preserve"> </w:t>
      </w:r>
      <w:r w:rsidRPr="0007021A">
        <w:rPr>
          <w:rFonts w:ascii="Times New Roman" w:hAnsi="Times New Roman"/>
          <w:sz w:val="24"/>
          <w:szCs w:val="24"/>
        </w:rPr>
        <w:t>поступак</w:t>
      </w:r>
      <w:r w:rsidR="00C857DC" w:rsidRPr="0007021A">
        <w:rPr>
          <w:rFonts w:ascii="Times New Roman" w:hAnsi="Times New Roman"/>
          <w:sz w:val="24"/>
          <w:szCs w:val="24"/>
        </w:rPr>
        <w:t xml:space="preserve"> </w:t>
      </w:r>
      <w:r w:rsidRPr="0007021A">
        <w:rPr>
          <w:rFonts w:ascii="Times New Roman" w:hAnsi="Times New Roman"/>
          <w:sz w:val="24"/>
          <w:szCs w:val="24"/>
        </w:rPr>
        <w:t>активног</w:t>
      </w:r>
      <w:r w:rsidR="00C857DC" w:rsidRPr="0007021A">
        <w:rPr>
          <w:rFonts w:ascii="Times New Roman" w:hAnsi="Times New Roman"/>
          <w:sz w:val="24"/>
          <w:szCs w:val="24"/>
        </w:rPr>
        <w:t xml:space="preserve"> </w:t>
      </w:r>
      <w:r w:rsidRPr="0007021A">
        <w:rPr>
          <w:rFonts w:ascii="Times New Roman" w:hAnsi="Times New Roman"/>
          <w:sz w:val="24"/>
          <w:szCs w:val="24"/>
        </w:rPr>
        <w:t>оплемењивања</w:t>
      </w:r>
      <w:r w:rsidR="00C857DC" w:rsidRPr="0007021A">
        <w:rPr>
          <w:rFonts w:ascii="Times New Roman" w:hAnsi="Times New Roman"/>
          <w:sz w:val="24"/>
          <w:szCs w:val="24"/>
        </w:rPr>
        <w:t xml:space="preserve"> </w:t>
      </w:r>
      <w:r w:rsidRPr="0007021A">
        <w:rPr>
          <w:rFonts w:ascii="Times New Roman" w:hAnsi="Times New Roman"/>
          <w:sz w:val="24"/>
          <w:szCs w:val="24"/>
        </w:rPr>
        <w:t>спроводи</w:t>
      </w:r>
      <w:r w:rsidR="00C857DC" w:rsidRPr="0007021A">
        <w:rPr>
          <w:rFonts w:ascii="Times New Roman" w:hAnsi="Times New Roman"/>
          <w:sz w:val="24"/>
          <w:szCs w:val="24"/>
        </w:rPr>
        <w:t xml:space="preserve"> </w:t>
      </w:r>
      <w:r w:rsidRPr="0007021A">
        <w:rPr>
          <w:rFonts w:ascii="Times New Roman" w:hAnsi="Times New Roman"/>
          <w:sz w:val="24"/>
          <w:szCs w:val="24"/>
        </w:rPr>
        <w:t>у</w:t>
      </w:r>
      <w:r w:rsidR="00C857DC" w:rsidRPr="0007021A">
        <w:rPr>
          <w:rFonts w:ascii="Times New Roman" w:hAnsi="Times New Roman"/>
          <w:sz w:val="24"/>
          <w:szCs w:val="24"/>
        </w:rPr>
        <w:t xml:space="preserve"> </w:t>
      </w:r>
      <w:r w:rsidRPr="0007021A">
        <w:rPr>
          <w:rFonts w:ascii="Times New Roman" w:hAnsi="Times New Roman"/>
          <w:sz w:val="24"/>
          <w:szCs w:val="24"/>
        </w:rPr>
        <w:t>складу</w:t>
      </w:r>
      <w:r w:rsidR="00C857DC" w:rsidRPr="0007021A">
        <w:rPr>
          <w:rFonts w:ascii="Times New Roman" w:hAnsi="Times New Roman"/>
          <w:sz w:val="24"/>
          <w:szCs w:val="24"/>
        </w:rPr>
        <w:t xml:space="preserve"> </w:t>
      </w:r>
      <w:r w:rsidRPr="0007021A">
        <w:rPr>
          <w:rFonts w:ascii="Times New Roman" w:hAnsi="Times New Roman"/>
          <w:sz w:val="24"/>
          <w:szCs w:val="24"/>
        </w:rPr>
        <w:t>са</w:t>
      </w:r>
      <w:r w:rsidR="00C857DC" w:rsidRPr="0007021A">
        <w:rPr>
          <w:rFonts w:ascii="Times New Roman" w:hAnsi="Times New Roman"/>
          <w:sz w:val="24"/>
          <w:szCs w:val="24"/>
        </w:rPr>
        <w:t xml:space="preserve"> </w:t>
      </w:r>
      <w:r w:rsidRPr="0007021A">
        <w:rPr>
          <w:rFonts w:ascii="Times New Roman" w:hAnsi="Times New Roman"/>
          <w:sz w:val="24"/>
          <w:szCs w:val="24"/>
        </w:rPr>
        <w:t>царинским</w:t>
      </w:r>
      <w:r w:rsidR="00C857DC" w:rsidRPr="0007021A">
        <w:rPr>
          <w:rFonts w:ascii="Times New Roman" w:hAnsi="Times New Roman"/>
          <w:sz w:val="24"/>
          <w:szCs w:val="24"/>
        </w:rPr>
        <w:t xml:space="preserve"> </w:t>
      </w:r>
      <w:r w:rsidRPr="0007021A">
        <w:rPr>
          <w:rFonts w:ascii="Times New Roman" w:hAnsi="Times New Roman"/>
          <w:sz w:val="24"/>
          <w:szCs w:val="24"/>
        </w:rPr>
        <w:t>прописима</w:t>
      </w:r>
      <w:r w:rsidR="00C857DC" w:rsidRPr="0007021A">
        <w:rPr>
          <w:rFonts w:ascii="Times New Roman" w:hAnsi="Times New Roman"/>
          <w:sz w:val="24"/>
          <w:szCs w:val="24"/>
        </w:rPr>
        <w:t xml:space="preserve">, </w:t>
      </w:r>
      <w:r w:rsidRPr="0007021A">
        <w:rPr>
          <w:rFonts w:ascii="Times New Roman" w:hAnsi="Times New Roman"/>
          <w:sz w:val="24"/>
          <w:szCs w:val="24"/>
        </w:rPr>
        <w:t>односно</w:t>
      </w:r>
      <w:r w:rsidR="00C857DC" w:rsidRPr="0007021A">
        <w:rPr>
          <w:rFonts w:ascii="Times New Roman" w:hAnsi="Times New Roman"/>
          <w:sz w:val="24"/>
          <w:szCs w:val="24"/>
        </w:rPr>
        <w:t xml:space="preserve">, </w:t>
      </w:r>
      <w:r w:rsidRPr="0007021A">
        <w:rPr>
          <w:rFonts w:ascii="Times New Roman" w:hAnsi="Times New Roman"/>
          <w:sz w:val="24"/>
          <w:szCs w:val="24"/>
        </w:rPr>
        <w:t>уколико</w:t>
      </w:r>
      <w:r w:rsidR="00C857DC" w:rsidRPr="0007021A">
        <w:rPr>
          <w:rFonts w:ascii="Times New Roman" w:hAnsi="Times New Roman"/>
          <w:sz w:val="24"/>
          <w:szCs w:val="24"/>
        </w:rPr>
        <w:t xml:space="preserve"> </w:t>
      </w:r>
      <w:r w:rsidRPr="0007021A">
        <w:rPr>
          <w:rFonts w:ascii="Times New Roman" w:hAnsi="Times New Roman"/>
          <w:sz w:val="24"/>
          <w:szCs w:val="24"/>
        </w:rPr>
        <w:t>се</w:t>
      </w:r>
      <w:r w:rsidR="00C857DC" w:rsidRPr="0007021A">
        <w:rPr>
          <w:rFonts w:ascii="Times New Roman" w:hAnsi="Times New Roman"/>
          <w:sz w:val="24"/>
          <w:szCs w:val="24"/>
        </w:rPr>
        <w:t xml:space="preserve"> </w:t>
      </w:r>
      <w:r w:rsidRPr="0007021A">
        <w:rPr>
          <w:rFonts w:ascii="Times New Roman" w:hAnsi="Times New Roman"/>
          <w:sz w:val="24"/>
          <w:szCs w:val="24"/>
        </w:rPr>
        <w:t>не</w:t>
      </w:r>
      <w:r w:rsidR="00C857DC" w:rsidRPr="0007021A">
        <w:rPr>
          <w:rFonts w:ascii="Times New Roman" w:hAnsi="Times New Roman"/>
          <w:sz w:val="24"/>
          <w:szCs w:val="24"/>
        </w:rPr>
        <w:t xml:space="preserve"> </w:t>
      </w:r>
      <w:r w:rsidRPr="0007021A">
        <w:rPr>
          <w:rFonts w:ascii="Times New Roman" w:hAnsi="Times New Roman"/>
          <w:sz w:val="24"/>
          <w:szCs w:val="24"/>
        </w:rPr>
        <w:t>врши</w:t>
      </w:r>
      <w:r w:rsidR="00C857DC" w:rsidRPr="0007021A">
        <w:rPr>
          <w:rFonts w:ascii="Times New Roman" w:hAnsi="Times New Roman"/>
          <w:sz w:val="24"/>
          <w:szCs w:val="24"/>
        </w:rPr>
        <w:t xml:space="preserve"> </w:t>
      </w:r>
      <w:r w:rsidRPr="0007021A">
        <w:rPr>
          <w:rFonts w:ascii="Times New Roman" w:hAnsi="Times New Roman"/>
          <w:sz w:val="24"/>
          <w:szCs w:val="24"/>
        </w:rPr>
        <w:t>увоз</w:t>
      </w:r>
      <w:r w:rsidR="00C857DC" w:rsidRPr="0007021A">
        <w:rPr>
          <w:rFonts w:ascii="Times New Roman" w:hAnsi="Times New Roman"/>
          <w:sz w:val="24"/>
          <w:szCs w:val="24"/>
        </w:rPr>
        <w:t xml:space="preserve"> </w:t>
      </w:r>
      <w:r w:rsidRPr="0007021A">
        <w:rPr>
          <w:rFonts w:ascii="Times New Roman" w:hAnsi="Times New Roman"/>
          <w:sz w:val="24"/>
          <w:szCs w:val="24"/>
        </w:rPr>
        <w:t>осталих</w:t>
      </w:r>
      <w:r w:rsidR="00C857DC" w:rsidRPr="0007021A">
        <w:rPr>
          <w:rFonts w:ascii="Times New Roman" w:hAnsi="Times New Roman"/>
          <w:sz w:val="24"/>
          <w:szCs w:val="24"/>
        </w:rPr>
        <w:t xml:space="preserve"> </w:t>
      </w:r>
      <w:r w:rsidRPr="0007021A">
        <w:rPr>
          <w:rFonts w:ascii="Times New Roman" w:hAnsi="Times New Roman"/>
          <w:sz w:val="24"/>
          <w:szCs w:val="24"/>
        </w:rPr>
        <w:t>деривата</w:t>
      </w:r>
      <w:r w:rsidR="00C857DC" w:rsidRPr="0007021A">
        <w:rPr>
          <w:rFonts w:ascii="Times New Roman" w:hAnsi="Times New Roman"/>
          <w:sz w:val="24"/>
          <w:szCs w:val="24"/>
        </w:rPr>
        <w:t xml:space="preserve"> </w:t>
      </w:r>
      <w:r w:rsidRPr="0007021A">
        <w:rPr>
          <w:rFonts w:ascii="Times New Roman" w:hAnsi="Times New Roman"/>
          <w:sz w:val="24"/>
          <w:szCs w:val="24"/>
        </w:rPr>
        <w:t>нафте</w:t>
      </w:r>
      <w:r w:rsidR="00C857DC" w:rsidRPr="0007021A">
        <w:rPr>
          <w:rFonts w:ascii="Times New Roman" w:hAnsi="Times New Roman"/>
          <w:sz w:val="24"/>
          <w:szCs w:val="24"/>
        </w:rPr>
        <w:t xml:space="preserve"> </w:t>
      </w:r>
      <w:r w:rsidRPr="0007021A">
        <w:rPr>
          <w:rFonts w:ascii="Times New Roman" w:hAnsi="Times New Roman"/>
          <w:sz w:val="24"/>
          <w:szCs w:val="24"/>
        </w:rPr>
        <w:t>који</w:t>
      </w:r>
      <w:r w:rsidR="00C857DC" w:rsidRPr="0007021A">
        <w:rPr>
          <w:rFonts w:ascii="Times New Roman" w:hAnsi="Times New Roman"/>
          <w:sz w:val="24"/>
          <w:szCs w:val="24"/>
        </w:rPr>
        <w:t xml:space="preserve"> </w:t>
      </w:r>
      <w:r w:rsidRPr="0007021A">
        <w:rPr>
          <w:rFonts w:ascii="Times New Roman" w:hAnsi="Times New Roman"/>
          <w:sz w:val="24"/>
          <w:szCs w:val="24"/>
        </w:rPr>
        <w:t>се</w:t>
      </w:r>
      <w:r w:rsidR="00C857DC" w:rsidRPr="0007021A">
        <w:rPr>
          <w:rFonts w:ascii="Times New Roman" w:hAnsi="Times New Roman"/>
          <w:sz w:val="24"/>
          <w:szCs w:val="24"/>
        </w:rPr>
        <w:t xml:space="preserve"> </w:t>
      </w:r>
      <w:r w:rsidRPr="0007021A">
        <w:rPr>
          <w:rFonts w:ascii="Times New Roman" w:hAnsi="Times New Roman"/>
          <w:sz w:val="24"/>
          <w:szCs w:val="24"/>
        </w:rPr>
        <w:t>добијају</w:t>
      </w:r>
      <w:r w:rsidR="00C857DC" w:rsidRPr="0007021A">
        <w:rPr>
          <w:rFonts w:ascii="Times New Roman" w:hAnsi="Times New Roman"/>
          <w:sz w:val="24"/>
          <w:szCs w:val="24"/>
        </w:rPr>
        <w:t xml:space="preserve"> </w:t>
      </w:r>
      <w:r w:rsidRPr="0007021A">
        <w:rPr>
          <w:rFonts w:ascii="Times New Roman" w:hAnsi="Times New Roman"/>
          <w:sz w:val="24"/>
          <w:szCs w:val="24"/>
        </w:rPr>
        <w:t>од</w:t>
      </w:r>
      <w:r w:rsidR="00C857DC" w:rsidRPr="0007021A">
        <w:rPr>
          <w:rFonts w:ascii="Times New Roman" w:hAnsi="Times New Roman"/>
          <w:sz w:val="24"/>
          <w:szCs w:val="24"/>
        </w:rPr>
        <w:t xml:space="preserve"> </w:t>
      </w:r>
      <w:r w:rsidRPr="0007021A">
        <w:rPr>
          <w:rFonts w:ascii="Times New Roman" w:hAnsi="Times New Roman"/>
          <w:sz w:val="24"/>
          <w:szCs w:val="24"/>
        </w:rPr>
        <w:t>фракција</w:t>
      </w:r>
      <w:r w:rsidR="00C857DC" w:rsidRPr="0007021A">
        <w:rPr>
          <w:rFonts w:ascii="Times New Roman" w:hAnsi="Times New Roman"/>
          <w:sz w:val="24"/>
          <w:szCs w:val="24"/>
        </w:rPr>
        <w:t xml:space="preserve"> </w:t>
      </w:r>
      <w:r w:rsidRPr="0007021A">
        <w:rPr>
          <w:rFonts w:ascii="Times New Roman" w:hAnsi="Times New Roman"/>
          <w:sz w:val="24"/>
          <w:szCs w:val="24"/>
        </w:rPr>
        <w:t>нафте</w:t>
      </w:r>
      <w:r w:rsidR="00C857DC" w:rsidRPr="0007021A">
        <w:rPr>
          <w:rFonts w:ascii="Times New Roman" w:hAnsi="Times New Roman"/>
          <w:sz w:val="24"/>
          <w:szCs w:val="24"/>
        </w:rPr>
        <w:t xml:space="preserve"> </w:t>
      </w:r>
      <w:r w:rsidRPr="0007021A">
        <w:rPr>
          <w:rFonts w:ascii="Times New Roman" w:hAnsi="Times New Roman"/>
          <w:sz w:val="24"/>
          <w:szCs w:val="24"/>
        </w:rPr>
        <w:t>које</w:t>
      </w:r>
      <w:r w:rsidR="00C857DC" w:rsidRPr="0007021A">
        <w:rPr>
          <w:rFonts w:ascii="Times New Roman" w:hAnsi="Times New Roman"/>
          <w:sz w:val="24"/>
          <w:szCs w:val="24"/>
        </w:rPr>
        <w:t xml:space="preserve"> </w:t>
      </w:r>
      <w:r w:rsidRPr="0007021A">
        <w:rPr>
          <w:rFonts w:ascii="Times New Roman" w:hAnsi="Times New Roman"/>
          <w:sz w:val="24"/>
          <w:szCs w:val="24"/>
        </w:rPr>
        <w:t>имају</w:t>
      </w:r>
      <w:r w:rsidR="00C857DC" w:rsidRPr="0007021A">
        <w:rPr>
          <w:rFonts w:ascii="Times New Roman" w:hAnsi="Times New Roman"/>
          <w:sz w:val="24"/>
          <w:szCs w:val="24"/>
        </w:rPr>
        <w:t xml:space="preserve"> </w:t>
      </w:r>
      <w:r w:rsidRPr="0007021A">
        <w:rPr>
          <w:rFonts w:ascii="Times New Roman" w:hAnsi="Times New Roman"/>
          <w:sz w:val="24"/>
          <w:szCs w:val="24"/>
        </w:rPr>
        <w:t>распон</w:t>
      </w:r>
      <w:r w:rsidR="00C857DC" w:rsidRPr="0007021A">
        <w:rPr>
          <w:rFonts w:ascii="Times New Roman" w:hAnsi="Times New Roman"/>
          <w:sz w:val="24"/>
          <w:szCs w:val="24"/>
        </w:rPr>
        <w:t xml:space="preserve"> </w:t>
      </w:r>
      <w:r w:rsidRPr="0007021A">
        <w:rPr>
          <w:rFonts w:ascii="Times New Roman" w:hAnsi="Times New Roman"/>
          <w:sz w:val="24"/>
          <w:szCs w:val="24"/>
        </w:rPr>
        <w:t>дестилације</w:t>
      </w:r>
      <w:r w:rsidR="00C857DC" w:rsidRPr="0007021A">
        <w:rPr>
          <w:rFonts w:ascii="Times New Roman" w:hAnsi="Times New Roman"/>
          <w:sz w:val="24"/>
          <w:szCs w:val="24"/>
        </w:rPr>
        <w:t xml:space="preserve"> </w:t>
      </w:r>
      <w:r w:rsidRPr="0007021A">
        <w:rPr>
          <w:rFonts w:ascii="Times New Roman" w:hAnsi="Times New Roman"/>
          <w:sz w:val="24"/>
          <w:szCs w:val="24"/>
        </w:rPr>
        <w:t>до</w:t>
      </w:r>
      <w:r w:rsidR="00C857DC" w:rsidRPr="0007021A">
        <w:rPr>
          <w:rFonts w:ascii="Times New Roman" w:hAnsi="Times New Roman"/>
          <w:sz w:val="24"/>
          <w:szCs w:val="24"/>
        </w:rPr>
        <w:t xml:space="preserve"> 380°</w:t>
      </w:r>
      <w:r w:rsidRPr="0007021A">
        <w:rPr>
          <w:rFonts w:ascii="Times New Roman" w:hAnsi="Times New Roman"/>
          <w:sz w:val="24"/>
          <w:szCs w:val="24"/>
        </w:rPr>
        <w:t>Ц</w:t>
      </w:r>
      <w:r w:rsidR="00C857DC" w:rsidRPr="0007021A">
        <w:rPr>
          <w:rFonts w:ascii="Times New Roman" w:hAnsi="Times New Roman"/>
          <w:sz w:val="24"/>
          <w:szCs w:val="24"/>
        </w:rPr>
        <w:t xml:space="preserve"> - </w:t>
      </w:r>
      <w:r w:rsidRPr="0007021A">
        <w:rPr>
          <w:rFonts w:ascii="Times New Roman" w:hAnsi="Times New Roman"/>
          <w:sz w:val="24"/>
          <w:szCs w:val="24"/>
        </w:rPr>
        <w:t>Тарифна</w:t>
      </w:r>
      <w:r w:rsidR="00C857DC" w:rsidRPr="0007021A">
        <w:rPr>
          <w:rFonts w:ascii="Times New Roman" w:hAnsi="Times New Roman"/>
          <w:sz w:val="24"/>
          <w:szCs w:val="24"/>
        </w:rPr>
        <w:t xml:space="preserve"> </w:t>
      </w:r>
      <w:r w:rsidRPr="0007021A">
        <w:rPr>
          <w:rFonts w:ascii="Times New Roman" w:hAnsi="Times New Roman"/>
          <w:sz w:val="24"/>
          <w:szCs w:val="24"/>
        </w:rPr>
        <w:t>ознака</w:t>
      </w:r>
      <w:r w:rsidR="00C857DC" w:rsidRPr="0007021A">
        <w:rPr>
          <w:rFonts w:ascii="Times New Roman" w:hAnsi="Times New Roman"/>
          <w:sz w:val="24"/>
          <w:szCs w:val="24"/>
        </w:rPr>
        <w:t xml:space="preserve"> 2710 19 25 00 (</w:t>
      </w:r>
      <w:r w:rsidRPr="0007021A">
        <w:rPr>
          <w:rFonts w:ascii="Times New Roman" w:hAnsi="Times New Roman"/>
          <w:sz w:val="24"/>
          <w:szCs w:val="24"/>
        </w:rPr>
        <w:t>петролеј</w:t>
      </w:r>
      <w:r w:rsidR="00C857DC" w:rsidRPr="0007021A">
        <w:rPr>
          <w:rFonts w:ascii="Times New Roman" w:hAnsi="Times New Roman"/>
          <w:sz w:val="24"/>
          <w:szCs w:val="24"/>
        </w:rPr>
        <w:t xml:space="preserve">), </w:t>
      </w:r>
      <w:r w:rsidRPr="0007021A">
        <w:rPr>
          <w:rFonts w:ascii="Times New Roman" w:hAnsi="Times New Roman"/>
          <w:sz w:val="24"/>
          <w:szCs w:val="24"/>
        </w:rPr>
        <w:t>ради</w:t>
      </w:r>
      <w:r w:rsidR="00C857DC" w:rsidRPr="0007021A">
        <w:rPr>
          <w:rFonts w:ascii="Times New Roman" w:hAnsi="Times New Roman"/>
          <w:sz w:val="24"/>
          <w:szCs w:val="24"/>
        </w:rPr>
        <w:t xml:space="preserve"> </w:t>
      </w:r>
      <w:r w:rsidRPr="0007021A">
        <w:rPr>
          <w:rFonts w:ascii="Times New Roman" w:hAnsi="Times New Roman"/>
          <w:sz w:val="24"/>
          <w:szCs w:val="24"/>
        </w:rPr>
        <w:t>стављања</w:t>
      </w:r>
      <w:r w:rsidR="00C857DC" w:rsidRPr="0007021A">
        <w:rPr>
          <w:rFonts w:ascii="Times New Roman" w:hAnsi="Times New Roman"/>
          <w:sz w:val="24"/>
          <w:szCs w:val="24"/>
        </w:rPr>
        <w:t xml:space="preserve"> </w:t>
      </w:r>
      <w:r w:rsidRPr="0007021A">
        <w:rPr>
          <w:rFonts w:ascii="Times New Roman" w:hAnsi="Times New Roman"/>
          <w:sz w:val="24"/>
          <w:szCs w:val="24"/>
        </w:rPr>
        <w:t>у</w:t>
      </w:r>
      <w:r w:rsidR="00C857DC" w:rsidRPr="0007021A">
        <w:rPr>
          <w:rFonts w:ascii="Times New Roman" w:hAnsi="Times New Roman"/>
          <w:sz w:val="24"/>
          <w:szCs w:val="24"/>
        </w:rPr>
        <w:t xml:space="preserve"> </w:t>
      </w:r>
      <w:r w:rsidRPr="0007021A">
        <w:rPr>
          <w:rFonts w:ascii="Times New Roman" w:hAnsi="Times New Roman"/>
          <w:sz w:val="24"/>
          <w:szCs w:val="24"/>
        </w:rPr>
        <w:t>слободан</w:t>
      </w:r>
      <w:r w:rsidR="00C857DC" w:rsidRPr="0007021A">
        <w:rPr>
          <w:rFonts w:ascii="Times New Roman" w:hAnsi="Times New Roman"/>
          <w:sz w:val="24"/>
          <w:szCs w:val="24"/>
        </w:rPr>
        <w:t xml:space="preserve"> </w:t>
      </w:r>
      <w:r w:rsidRPr="0007021A">
        <w:rPr>
          <w:rFonts w:ascii="Times New Roman" w:hAnsi="Times New Roman"/>
          <w:sz w:val="24"/>
          <w:szCs w:val="24"/>
        </w:rPr>
        <w:t>промет</w:t>
      </w:r>
      <w:r w:rsidR="00C857DC" w:rsidRPr="0007021A">
        <w:rPr>
          <w:rFonts w:ascii="Times New Roman" w:hAnsi="Times New Roman"/>
          <w:sz w:val="24"/>
          <w:szCs w:val="24"/>
        </w:rPr>
        <w:t xml:space="preserve"> </w:t>
      </w:r>
      <w:r w:rsidRPr="0007021A">
        <w:rPr>
          <w:rFonts w:ascii="Times New Roman" w:hAnsi="Times New Roman"/>
          <w:sz w:val="24"/>
          <w:szCs w:val="24"/>
        </w:rPr>
        <w:t>на</w:t>
      </w:r>
      <w:r w:rsidR="00C857DC" w:rsidRPr="0007021A">
        <w:rPr>
          <w:rFonts w:ascii="Times New Roman" w:hAnsi="Times New Roman"/>
          <w:sz w:val="24"/>
          <w:szCs w:val="24"/>
        </w:rPr>
        <w:t xml:space="preserve"> </w:t>
      </w:r>
      <w:r w:rsidRPr="0007021A">
        <w:rPr>
          <w:rFonts w:ascii="Times New Roman" w:hAnsi="Times New Roman"/>
          <w:sz w:val="24"/>
          <w:szCs w:val="24"/>
        </w:rPr>
        <w:t>територију</w:t>
      </w:r>
      <w:r w:rsidR="00C857DC" w:rsidRPr="0007021A">
        <w:rPr>
          <w:rFonts w:ascii="Times New Roman" w:hAnsi="Times New Roman"/>
          <w:sz w:val="24"/>
          <w:szCs w:val="24"/>
        </w:rPr>
        <w:t xml:space="preserve"> </w:t>
      </w:r>
      <w:r w:rsidRPr="0007021A">
        <w:rPr>
          <w:rFonts w:ascii="Times New Roman" w:hAnsi="Times New Roman"/>
          <w:sz w:val="24"/>
          <w:szCs w:val="24"/>
        </w:rPr>
        <w:t>Републике</w:t>
      </w:r>
      <w:r w:rsidR="00C857DC" w:rsidRPr="0007021A">
        <w:rPr>
          <w:rFonts w:ascii="Times New Roman" w:hAnsi="Times New Roman"/>
          <w:sz w:val="24"/>
          <w:szCs w:val="24"/>
        </w:rPr>
        <w:t xml:space="preserve"> </w:t>
      </w:r>
      <w:r w:rsidRPr="0007021A">
        <w:rPr>
          <w:rFonts w:ascii="Times New Roman" w:hAnsi="Times New Roman"/>
          <w:sz w:val="24"/>
          <w:szCs w:val="24"/>
        </w:rPr>
        <w:t>Србије</w:t>
      </w:r>
      <w:r w:rsidR="00C857DC" w:rsidRPr="0007021A">
        <w:rPr>
          <w:rFonts w:ascii="Times New Roman" w:hAnsi="Times New Roman"/>
          <w:sz w:val="24"/>
          <w:szCs w:val="24"/>
        </w:rPr>
        <w:t>.</w:t>
      </w:r>
    </w:p>
    <w:p w:rsidR="00C857DC" w:rsidRPr="0007021A" w:rsidRDefault="004949B5" w:rsidP="0007021A">
      <w:pPr>
        <w:ind w:firstLine="708"/>
        <w:jc w:val="both"/>
        <w:rPr>
          <w:rFonts w:ascii="Times New Roman" w:hAnsi="Times New Roman"/>
          <w:sz w:val="24"/>
          <w:szCs w:val="24"/>
          <w:lang w:val="sr-Cyrl-CS"/>
        </w:rPr>
      </w:pPr>
      <w:r w:rsidRPr="0007021A">
        <w:rPr>
          <w:rFonts w:ascii="Times New Roman" w:hAnsi="Times New Roman"/>
          <w:sz w:val="24"/>
          <w:szCs w:val="24"/>
        </w:rPr>
        <w:t>Царински</w:t>
      </w:r>
      <w:r w:rsidR="00C857DC" w:rsidRPr="0007021A">
        <w:rPr>
          <w:rFonts w:ascii="Times New Roman" w:hAnsi="Times New Roman"/>
          <w:sz w:val="24"/>
          <w:szCs w:val="24"/>
        </w:rPr>
        <w:t xml:space="preserve"> </w:t>
      </w:r>
      <w:r w:rsidRPr="0007021A">
        <w:rPr>
          <w:rFonts w:ascii="Times New Roman" w:hAnsi="Times New Roman"/>
          <w:sz w:val="24"/>
          <w:szCs w:val="24"/>
        </w:rPr>
        <w:t>орган</w:t>
      </w:r>
      <w:r w:rsidR="00C857DC" w:rsidRPr="0007021A">
        <w:rPr>
          <w:rFonts w:ascii="Times New Roman" w:hAnsi="Times New Roman"/>
          <w:sz w:val="24"/>
          <w:szCs w:val="24"/>
        </w:rPr>
        <w:t xml:space="preserve">, </w:t>
      </w:r>
      <w:r w:rsidRPr="0007021A">
        <w:rPr>
          <w:rFonts w:ascii="Times New Roman" w:hAnsi="Times New Roman"/>
          <w:sz w:val="24"/>
          <w:szCs w:val="24"/>
        </w:rPr>
        <w:t>у</w:t>
      </w:r>
      <w:r w:rsidR="00C857DC" w:rsidRPr="0007021A">
        <w:rPr>
          <w:rFonts w:ascii="Times New Roman" w:hAnsi="Times New Roman"/>
          <w:sz w:val="24"/>
          <w:szCs w:val="24"/>
        </w:rPr>
        <w:t xml:space="preserve"> </w:t>
      </w:r>
      <w:r w:rsidRPr="0007021A">
        <w:rPr>
          <w:rFonts w:ascii="Times New Roman" w:hAnsi="Times New Roman"/>
          <w:sz w:val="24"/>
          <w:szCs w:val="24"/>
        </w:rPr>
        <w:t>оквиру</w:t>
      </w:r>
      <w:r w:rsidR="00C857DC" w:rsidRPr="0007021A">
        <w:rPr>
          <w:rFonts w:ascii="Times New Roman" w:hAnsi="Times New Roman"/>
          <w:sz w:val="24"/>
          <w:szCs w:val="24"/>
        </w:rPr>
        <w:t xml:space="preserve"> </w:t>
      </w:r>
      <w:r w:rsidRPr="0007021A">
        <w:rPr>
          <w:rFonts w:ascii="Times New Roman" w:hAnsi="Times New Roman"/>
          <w:sz w:val="24"/>
          <w:szCs w:val="24"/>
        </w:rPr>
        <w:t>свог</w:t>
      </w:r>
      <w:r w:rsidR="00C857DC" w:rsidRPr="0007021A">
        <w:rPr>
          <w:rFonts w:ascii="Times New Roman" w:hAnsi="Times New Roman"/>
          <w:sz w:val="24"/>
          <w:szCs w:val="24"/>
        </w:rPr>
        <w:t xml:space="preserve"> </w:t>
      </w:r>
      <w:r w:rsidRPr="0007021A">
        <w:rPr>
          <w:rFonts w:ascii="Times New Roman" w:hAnsi="Times New Roman"/>
          <w:sz w:val="24"/>
          <w:szCs w:val="24"/>
        </w:rPr>
        <w:t>поступања</w:t>
      </w:r>
      <w:r w:rsidR="00C857DC" w:rsidRPr="0007021A">
        <w:rPr>
          <w:rFonts w:ascii="Times New Roman" w:hAnsi="Times New Roman"/>
          <w:sz w:val="24"/>
          <w:szCs w:val="24"/>
        </w:rPr>
        <w:t xml:space="preserve">, </w:t>
      </w:r>
      <w:r w:rsidRPr="0007021A">
        <w:rPr>
          <w:rFonts w:ascii="Times New Roman" w:hAnsi="Times New Roman"/>
          <w:sz w:val="24"/>
          <w:szCs w:val="24"/>
        </w:rPr>
        <w:t>у</w:t>
      </w:r>
      <w:r w:rsidR="00C857DC" w:rsidRPr="0007021A">
        <w:rPr>
          <w:rFonts w:ascii="Times New Roman" w:hAnsi="Times New Roman"/>
          <w:sz w:val="24"/>
          <w:szCs w:val="24"/>
        </w:rPr>
        <w:t xml:space="preserve"> </w:t>
      </w:r>
      <w:r w:rsidRPr="0007021A">
        <w:rPr>
          <w:rFonts w:ascii="Times New Roman" w:hAnsi="Times New Roman"/>
          <w:sz w:val="24"/>
          <w:szCs w:val="24"/>
        </w:rPr>
        <w:t>сваком</w:t>
      </w:r>
      <w:r w:rsidR="00C857DC" w:rsidRPr="0007021A">
        <w:rPr>
          <w:rFonts w:ascii="Times New Roman" w:hAnsi="Times New Roman"/>
          <w:sz w:val="24"/>
          <w:szCs w:val="24"/>
        </w:rPr>
        <w:t xml:space="preserve"> </w:t>
      </w:r>
      <w:r w:rsidRPr="0007021A">
        <w:rPr>
          <w:rFonts w:ascii="Times New Roman" w:hAnsi="Times New Roman"/>
          <w:sz w:val="24"/>
          <w:szCs w:val="24"/>
        </w:rPr>
        <w:t>конкретном</w:t>
      </w:r>
      <w:r w:rsidR="00C857DC" w:rsidRPr="0007021A">
        <w:rPr>
          <w:rFonts w:ascii="Times New Roman" w:hAnsi="Times New Roman"/>
          <w:sz w:val="24"/>
          <w:szCs w:val="24"/>
        </w:rPr>
        <w:t xml:space="preserve"> </w:t>
      </w:r>
      <w:r w:rsidRPr="0007021A">
        <w:rPr>
          <w:rFonts w:ascii="Times New Roman" w:hAnsi="Times New Roman"/>
          <w:sz w:val="24"/>
          <w:szCs w:val="24"/>
        </w:rPr>
        <w:t>случају</w:t>
      </w:r>
      <w:r w:rsidR="00C857DC" w:rsidRPr="0007021A">
        <w:rPr>
          <w:rFonts w:ascii="Times New Roman" w:hAnsi="Times New Roman"/>
          <w:sz w:val="24"/>
          <w:szCs w:val="24"/>
        </w:rPr>
        <w:t xml:space="preserve">, </w:t>
      </w:r>
      <w:r w:rsidRPr="0007021A">
        <w:rPr>
          <w:rFonts w:ascii="Times New Roman" w:hAnsi="Times New Roman"/>
          <w:sz w:val="24"/>
          <w:szCs w:val="24"/>
        </w:rPr>
        <w:t>утврђује</w:t>
      </w:r>
      <w:r w:rsidR="00C857DC" w:rsidRPr="0007021A">
        <w:rPr>
          <w:rFonts w:ascii="Times New Roman" w:hAnsi="Times New Roman"/>
          <w:sz w:val="24"/>
          <w:szCs w:val="24"/>
        </w:rPr>
        <w:t xml:space="preserve"> </w:t>
      </w:r>
      <w:r w:rsidRPr="0007021A">
        <w:rPr>
          <w:rFonts w:ascii="Times New Roman" w:hAnsi="Times New Roman"/>
          <w:sz w:val="24"/>
          <w:szCs w:val="24"/>
        </w:rPr>
        <w:t>чињенично</w:t>
      </w:r>
      <w:r w:rsidR="00C857DC" w:rsidRPr="0007021A">
        <w:rPr>
          <w:rFonts w:ascii="Times New Roman" w:hAnsi="Times New Roman"/>
          <w:sz w:val="24"/>
          <w:szCs w:val="24"/>
        </w:rPr>
        <w:t xml:space="preserve"> </w:t>
      </w:r>
      <w:r w:rsidRPr="0007021A">
        <w:rPr>
          <w:rFonts w:ascii="Times New Roman" w:hAnsi="Times New Roman"/>
          <w:sz w:val="24"/>
          <w:szCs w:val="24"/>
        </w:rPr>
        <w:t>стање</w:t>
      </w:r>
      <w:r w:rsidR="00C857DC" w:rsidRPr="0007021A">
        <w:rPr>
          <w:rFonts w:ascii="Times New Roman" w:hAnsi="Times New Roman"/>
          <w:sz w:val="24"/>
          <w:szCs w:val="24"/>
        </w:rPr>
        <w:t xml:space="preserve"> </w:t>
      </w:r>
      <w:r w:rsidRPr="0007021A">
        <w:rPr>
          <w:rFonts w:ascii="Times New Roman" w:hAnsi="Times New Roman"/>
          <w:sz w:val="24"/>
          <w:szCs w:val="24"/>
        </w:rPr>
        <w:t>и</w:t>
      </w:r>
      <w:r w:rsidR="00C857DC" w:rsidRPr="0007021A">
        <w:rPr>
          <w:rFonts w:ascii="Times New Roman" w:hAnsi="Times New Roman"/>
          <w:sz w:val="24"/>
          <w:szCs w:val="24"/>
        </w:rPr>
        <w:t xml:space="preserve"> </w:t>
      </w:r>
      <w:r w:rsidRPr="0007021A">
        <w:rPr>
          <w:rFonts w:ascii="Times New Roman" w:hAnsi="Times New Roman"/>
          <w:sz w:val="24"/>
          <w:szCs w:val="24"/>
        </w:rPr>
        <w:t>врши</w:t>
      </w:r>
      <w:r w:rsidR="00C857DC" w:rsidRPr="0007021A">
        <w:rPr>
          <w:rFonts w:ascii="Times New Roman" w:hAnsi="Times New Roman"/>
          <w:sz w:val="24"/>
          <w:szCs w:val="24"/>
        </w:rPr>
        <w:t xml:space="preserve"> </w:t>
      </w:r>
      <w:r w:rsidRPr="0007021A">
        <w:rPr>
          <w:rFonts w:ascii="Times New Roman" w:hAnsi="Times New Roman"/>
          <w:sz w:val="24"/>
          <w:szCs w:val="24"/>
        </w:rPr>
        <w:t>обрачун</w:t>
      </w:r>
      <w:r w:rsidR="00C857DC" w:rsidRPr="0007021A">
        <w:rPr>
          <w:rFonts w:ascii="Times New Roman" w:hAnsi="Times New Roman"/>
          <w:sz w:val="24"/>
          <w:szCs w:val="24"/>
        </w:rPr>
        <w:t xml:space="preserve"> </w:t>
      </w:r>
      <w:r w:rsidRPr="0007021A">
        <w:rPr>
          <w:rFonts w:ascii="Times New Roman" w:hAnsi="Times New Roman"/>
          <w:sz w:val="24"/>
          <w:szCs w:val="24"/>
        </w:rPr>
        <w:t>и</w:t>
      </w:r>
      <w:r w:rsidR="00C857DC" w:rsidRPr="0007021A">
        <w:rPr>
          <w:rFonts w:ascii="Times New Roman" w:hAnsi="Times New Roman"/>
          <w:sz w:val="24"/>
          <w:szCs w:val="24"/>
        </w:rPr>
        <w:t xml:space="preserve"> </w:t>
      </w:r>
      <w:r w:rsidRPr="0007021A">
        <w:rPr>
          <w:rFonts w:ascii="Times New Roman" w:hAnsi="Times New Roman"/>
          <w:sz w:val="24"/>
          <w:szCs w:val="24"/>
        </w:rPr>
        <w:t>наплату</w:t>
      </w:r>
      <w:r w:rsidR="00C857DC" w:rsidRPr="0007021A">
        <w:rPr>
          <w:rFonts w:ascii="Times New Roman" w:hAnsi="Times New Roman"/>
          <w:sz w:val="24"/>
          <w:szCs w:val="24"/>
        </w:rPr>
        <w:t xml:space="preserve"> </w:t>
      </w:r>
      <w:r w:rsidRPr="0007021A">
        <w:rPr>
          <w:rFonts w:ascii="Times New Roman" w:hAnsi="Times New Roman"/>
          <w:sz w:val="24"/>
          <w:szCs w:val="24"/>
        </w:rPr>
        <w:t>акцизе</w:t>
      </w:r>
      <w:r w:rsidR="00C857DC" w:rsidRPr="0007021A">
        <w:rPr>
          <w:rFonts w:ascii="Times New Roman" w:hAnsi="Times New Roman"/>
          <w:sz w:val="24"/>
          <w:szCs w:val="24"/>
        </w:rPr>
        <w:t xml:space="preserve"> </w:t>
      </w:r>
      <w:r w:rsidRPr="0007021A">
        <w:rPr>
          <w:rFonts w:ascii="Times New Roman" w:hAnsi="Times New Roman"/>
          <w:sz w:val="24"/>
          <w:szCs w:val="24"/>
        </w:rPr>
        <w:t>при</w:t>
      </w:r>
      <w:r w:rsidR="00C857DC" w:rsidRPr="0007021A">
        <w:rPr>
          <w:rFonts w:ascii="Times New Roman" w:hAnsi="Times New Roman"/>
          <w:sz w:val="24"/>
          <w:szCs w:val="24"/>
        </w:rPr>
        <w:t xml:space="preserve"> </w:t>
      </w:r>
      <w:r w:rsidRPr="0007021A">
        <w:rPr>
          <w:rFonts w:ascii="Times New Roman" w:hAnsi="Times New Roman"/>
          <w:sz w:val="24"/>
          <w:szCs w:val="24"/>
        </w:rPr>
        <w:t>увозу</w:t>
      </w:r>
      <w:r w:rsidR="00C857DC" w:rsidRPr="0007021A">
        <w:rPr>
          <w:rFonts w:ascii="Times New Roman" w:hAnsi="Times New Roman"/>
          <w:sz w:val="24"/>
          <w:szCs w:val="24"/>
        </w:rPr>
        <w:t xml:space="preserve"> </w:t>
      </w:r>
      <w:r w:rsidRPr="0007021A">
        <w:rPr>
          <w:rFonts w:ascii="Times New Roman" w:hAnsi="Times New Roman"/>
          <w:sz w:val="24"/>
          <w:szCs w:val="24"/>
        </w:rPr>
        <w:t>акцизног</w:t>
      </w:r>
      <w:r w:rsidR="00C857DC" w:rsidRPr="0007021A">
        <w:rPr>
          <w:rFonts w:ascii="Times New Roman" w:hAnsi="Times New Roman"/>
          <w:sz w:val="24"/>
          <w:szCs w:val="24"/>
        </w:rPr>
        <w:t xml:space="preserve"> </w:t>
      </w:r>
      <w:r w:rsidRPr="0007021A">
        <w:rPr>
          <w:rFonts w:ascii="Times New Roman" w:hAnsi="Times New Roman"/>
          <w:sz w:val="24"/>
          <w:szCs w:val="24"/>
        </w:rPr>
        <w:t>производа</w:t>
      </w:r>
      <w:r w:rsidR="00C857DC" w:rsidRPr="0007021A">
        <w:rPr>
          <w:rFonts w:ascii="Times New Roman" w:hAnsi="Times New Roman"/>
          <w:sz w:val="24"/>
          <w:szCs w:val="24"/>
        </w:rPr>
        <w:t xml:space="preserve">, </w:t>
      </w:r>
      <w:r w:rsidRPr="0007021A">
        <w:rPr>
          <w:rFonts w:ascii="Times New Roman" w:hAnsi="Times New Roman"/>
          <w:sz w:val="24"/>
          <w:szCs w:val="24"/>
        </w:rPr>
        <w:t>у</w:t>
      </w:r>
      <w:r w:rsidR="00C857DC" w:rsidRPr="0007021A">
        <w:rPr>
          <w:rFonts w:ascii="Times New Roman" w:hAnsi="Times New Roman"/>
          <w:sz w:val="24"/>
          <w:szCs w:val="24"/>
        </w:rPr>
        <w:t xml:space="preserve"> </w:t>
      </w:r>
      <w:r w:rsidRPr="0007021A">
        <w:rPr>
          <w:rFonts w:ascii="Times New Roman" w:hAnsi="Times New Roman"/>
          <w:sz w:val="24"/>
          <w:szCs w:val="24"/>
        </w:rPr>
        <w:t>складу</w:t>
      </w:r>
      <w:r w:rsidR="00C857DC" w:rsidRPr="0007021A">
        <w:rPr>
          <w:rFonts w:ascii="Times New Roman" w:hAnsi="Times New Roman"/>
          <w:sz w:val="24"/>
          <w:szCs w:val="24"/>
        </w:rPr>
        <w:t xml:space="preserve"> </w:t>
      </w:r>
      <w:r w:rsidRPr="0007021A">
        <w:rPr>
          <w:rFonts w:ascii="Times New Roman" w:hAnsi="Times New Roman"/>
          <w:sz w:val="24"/>
          <w:szCs w:val="24"/>
        </w:rPr>
        <w:t>са</w:t>
      </w:r>
      <w:r w:rsidR="00C857DC" w:rsidRPr="0007021A">
        <w:rPr>
          <w:rFonts w:ascii="Times New Roman" w:hAnsi="Times New Roman"/>
          <w:sz w:val="24"/>
          <w:szCs w:val="24"/>
        </w:rPr>
        <w:t xml:space="preserve"> </w:t>
      </w:r>
      <w:r w:rsidRPr="0007021A">
        <w:rPr>
          <w:rFonts w:ascii="Times New Roman" w:hAnsi="Times New Roman"/>
          <w:sz w:val="24"/>
          <w:szCs w:val="24"/>
        </w:rPr>
        <w:t>позитивни</w:t>
      </w:r>
      <w:r w:rsidR="00C857DC" w:rsidRPr="0007021A">
        <w:rPr>
          <w:rFonts w:ascii="Times New Roman" w:hAnsi="Times New Roman"/>
          <w:sz w:val="24"/>
          <w:szCs w:val="24"/>
        </w:rPr>
        <w:t xml:space="preserve"> </w:t>
      </w:r>
      <w:r w:rsidRPr="0007021A">
        <w:rPr>
          <w:rFonts w:ascii="Times New Roman" w:hAnsi="Times New Roman"/>
          <w:sz w:val="24"/>
          <w:szCs w:val="24"/>
        </w:rPr>
        <w:t>прописима</w:t>
      </w:r>
      <w:r w:rsidR="00C857DC" w:rsidRPr="0007021A">
        <w:rPr>
          <w:rFonts w:ascii="Times New Roman" w:hAnsi="Times New Roman"/>
          <w:sz w:val="24"/>
          <w:szCs w:val="24"/>
        </w:rPr>
        <w:t>".</w:t>
      </w:r>
      <w:r w:rsidR="004D5D9D" w:rsidRPr="0007021A">
        <w:rPr>
          <w:rFonts w:ascii="Times New Roman" w:hAnsi="Times New Roman"/>
          <w:sz w:val="24"/>
          <w:szCs w:val="24"/>
          <w:lang w:val="sr-Cyrl-CS"/>
        </w:rPr>
        <w:t>(</w:t>
      </w:r>
      <w:r w:rsidR="004D5D9D" w:rsidRPr="0007021A">
        <w:rPr>
          <w:rFonts w:ascii="Times New Roman" w:hAnsi="Times New Roman"/>
          <w:sz w:val="24"/>
          <w:szCs w:val="24"/>
        </w:rPr>
        <w:t xml:space="preserve"> </w:t>
      </w:r>
      <w:r w:rsidR="004D5D9D" w:rsidRPr="0007021A">
        <w:rPr>
          <w:rFonts w:ascii="Times New Roman" w:hAnsi="Times New Roman"/>
          <w:sz w:val="24"/>
          <w:szCs w:val="24"/>
          <w:lang w:val="sr-Cyrl-CS"/>
        </w:rPr>
        <w:t>http://www.lexonline.paragraf.rs/)</w:t>
      </w:r>
    </w:p>
    <w:p w:rsidR="006D7858" w:rsidRPr="0007021A" w:rsidRDefault="00C857DC" w:rsidP="0007021A">
      <w:pPr>
        <w:jc w:val="both"/>
        <w:rPr>
          <w:rFonts w:ascii="Times New Roman" w:hAnsi="Times New Roman"/>
          <w:sz w:val="24"/>
          <w:szCs w:val="24"/>
          <w:shd w:val="clear" w:color="auto" w:fill="FFFFFF"/>
          <w:lang w:val="sr-Cyrl-CS"/>
        </w:rPr>
      </w:pPr>
      <w:r w:rsidRPr="0007021A">
        <w:rPr>
          <w:rFonts w:ascii="Times New Roman" w:hAnsi="Times New Roman"/>
          <w:sz w:val="24"/>
          <w:szCs w:val="24"/>
          <w:lang w:val="sr-Cyrl-CS"/>
        </w:rPr>
        <w:tab/>
        <w:t xml:space="preserve">У складу са захтевима Европске уније, а након што је усвојена </w:t>
      </w:r>
      <w:r w:rsidR="004949B5" w:rsidRPr="0007021A">
        <w:rPr>
          <w:rFonts w:ascii="Times New Roman" w:hAnsi="Times New Roman"/>
          <w:sz w:val="24"/>
          <w:szCs w:val="24"/>
          <w:shd w:val="clear" w:color="auto" w:fill="FFFFFF"/>
        </w:rPr>
        <w:t>Уредб</w:t>
      </w:r>
      <w:r w:rsidR="004727CA" w:rsidRPr="0007021A">
        <w:rPr>
          <w:rFonts w:ascii="Times New Roman" w:hAnsi="Times New Roman"/>
          <w:sz w:val="24"/>
          <w:szCs w:val="24"/>
          <w:shd w:val="clear" w:color="auto" w:fill="FFFFFF"/>
          <w:lang w:val="sr-Cyrl-CS"/>
        </w:rPr>
        <w:t>а</w:t>
      </w:r>
      <w:r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о</w:t>
      </w:r>
      <w:r w:rsidRPr="0007021A">
        <w:rPr>
          <w:rFonts w:ascii="Times New Roman" w:hAnsi="Times New Roman"/>
          <w:sz w:val="24"/>
          <w:szCs w:val="24"/>
          <w:shd w:val="clear" w:color="auto" w:fill="FFFFFF"/>
        </w:rPr>
        <w:t xml:space="preserve"> </w:t>
      </w:r>
      <w:r w:rsidR="006D7858" w:rsidRPr="0007021A">
        <w:rPr>
          <w:rFonts w:ascii="Times New Roman" w:hAnsi="Times New Roman"/>
          <w:sz w:val="24"/>
          <w:szCs w:val="24"/>
          <w:shd w:val="clear" w:color="auto" w:fill="FFFFFF"/>
          <w:lang w:val="sr-Cyrl-CS"/>
        </w:rPr>
        <w:t>обележавању (маркирању) деривата нафте</w:t>
      </w:r>
      <w:r w:rsidR="006D7858" w:rsidRPr="0007021A">
        <w:rPr>
          <w:rStyle w:val="FootnoteReference"/>
          <w:rFonts w:ascii="Times New Roman" w:hAnsi="Times New Roman"/>
          <w:color w:val="000000"/>
          <w:sz w:val="24"/>
          <w:szCs w:val="24"/>
          <w:shd w:val="clear" w:color="auto" w:fill="FFFFFF"/>
          <w:lang w:val="sr-Cyrl-CS"/>
        </w:rPr>
        <w:footnoteReference w:id="556"/>
      </w:r>
      <w:r w:rsidR="006D7858" w:rsidRPr="0007021A">
        <w:rPr>
          <w:rFonts w:ascii="Times New Roman" w:hAnsi="Times New Roman"/>
          <w:sz w:val="24"/>
          <w:szCs w:val="24"/>
          <w:shd w:val="clear" w:color="auto" w:fill="FFFFFF"/>
          <w:lang w:val="sr-Cyrl-CS"/>
        </w:rPr>
        <w:t xml:space="preserve"> којом</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се</w:t>
      </w:r>
      <w:r w:rsidR="006D7858" w:rsidRPr="0007021A">
        <w:rPr>
          <w:rFonts w:ascii="Times New Roman" w:hAnsi="Times New Roman"/>
          <w:sz w:val="24"/>
          <w:szCs w:val="24"/>
          <w:shd w:val="clear" w:color="auto" w:fill="FFFFFF"/>
        </w:rPr>
        <w:t xml:space="preserve"> </w:t>
      </w:r>
      <w:r w:rsidR="006D7858" w:rsidRPr="0007021A">
        <w:rPr>
          <w:rFonts w:ascii="Times New Roman" w:hAnsi="Times New Roman"/>
          <w:sz w:val="24"/>
          <w:szCs w:val="24"/>
          <w:shd w:val="clear" w:color="auto" w:fill="FFFFFF"/>
          <w:lang w:val="sr-Cyrl-CS"/>
        </w:rPr>
        <w:t xml:space="preserve">ближе </w:t>
      </w:r>
      <w:r w:rsidR="004949B5" w:rsidRPr="0007021A">
        <w:rPr>
          <w:rFonts w:ascii="Times New Roman" w:hAnsi="Times New Roman"/>
          <w:sz w:val="24"/>
          <w:szCs w:val="24"/>
          <w:shd w:val="clear" w:color="auto" w:fill="FFFFFF"/>
        </w:rPr>
        <w:t>уређују</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услови</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начин</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и</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поступак</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обележавања</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маркирања</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деривата</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нафте</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који</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се</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стављају</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на</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тржиште</w:t>
      </w:r>
      <w:r w:rsidR="006D7858" w:rsidRPr="0007021A">
        <w:rPr>
          <w:rFonts w:ascii="Times New Roman" w:hAnsi="Times New Roman"/>
          <w:sz w:val="24"/>
          <w:szCs w:val="24"/>
          <w:shd w:val="clear" w:color="auto" w:fill="FFFFFF"/>
        </w:rPr>
        <w:t xml:space="preserve">. </w:t>
      </w:r>
      <w:r w:rsidR="006D7858" w:rsidRPr="0007021A">
        <w:rPr>
          <w:rFonts w:ascii="Times New Roman" w:hAnsi="Times New Roman"/>
          <w:sz w:val="24"/>
          <w:szCs w:val="24"/>
          <w:shd w:val="clear" w:color="auto" w:fill="FFFFFF"/>
          <w:lang w:val="sr-Cyrl-CS"/>
        </w:rPr>
        <w:t>Према поменутој Уредби м</w:t>
      </w:r>
      <w:r w:rsidR="004949B5" w:rsidRPr="0007021A">
        <w:rPr>
          <w:rFonts w:ascii="Times New Roman" w:hAnsi="Times New Roman"/>
          <w:sz w:val="24"/>
          <w:szCs w:val="24"/>
          <w:shd w:val="clear" w:color="auto" w:fill="FFFFFF"/>
        </w:rPr>
        <w:t>аркирање</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је</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поступак</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додавања</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одређене</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количине</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маркера</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у</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деривате</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нафте</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ради</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уређења</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и</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контроле</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тржишних</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токова</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деривата</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нафте</w:t>
      </w:r>
      <w:r w:rsidR="006D7858" w:rsidRPr="0007021A">
        <w:rPr>
          <w:rFonts w:ascii="Times New Roman" w:hAnsi="Times New Roman"/>
          <w:sz w:val="24"/>
          <w:szCs w:val="24"/>
          <w:shd w:val="clear" w:color="auto" w:fill="FFFFFF"/>
          <w:lang w:val="sr-Cyrl-CS"/>
        </w:rPr>
        <w:t xml:space="preserve">, док је </w:t>
      </w:r>
      <w:r w:rsidR="004949B5" w:rsidRPr="0007021A">
        <w:rPr>
          <w:rFonts w:ascii="Times New Roman" w:hAnsi="Times New Roman"/>
          <w:sz w:val="24"/>
          <w:szCs w:val="24"/>
          <w:shd w:val="clear" w:color="auto" w:fill="FFFFFF"/>
        </w:rPr>
        <w:lastRenderedPageBreak/>
        <w:t>маркер</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једињење</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на</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бази</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нано</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технологије</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које</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је</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након</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додавања</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у</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деривате</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нафте</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стабилно</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без</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боје</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и</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мириса</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видљиво</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само</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са</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високо</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осетљивим</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уређајима</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за</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детекцију</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које</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не</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утиче</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на</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физичко</w:t>
      </w:r>
      <w:r w:rsidR="006D7858" w:rsidRPr="0007021A">
        <w:rPr>
          <w:rFonts w:ascii="Times New Roman" w:hAnsi="Times New Roman"/>
          <w:sz w:val="24"/>
          <w:szCs w:val="24"/>
          <w:shd w:val="clear" w:color="auto" w:fill="FFFFFF"/>
        </w:rPr>
        <w:t>-</w:t>
      </w:r>
      <w:r w:rsidR="004949B5" w:rsidRPr="0007021A">
        <w:rPr>
          <w:rFonts w:ascii="Times New Roman" w:hAnsi="Times New Roman"/>
          <w:sz w:val="24"/>
          <w:szCs w:val="24"/>
          <w:shd w:val="clear" w:color="auto" w:fill="FFFFFF"/>
        </w:rPr>
        <w:t>хемијске</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карактеристике</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деривата</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нафте</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лако</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се</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хомогенизује</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са</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дериватима</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нафте</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након</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додавања</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у</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еколошком</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погледу</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безбедно</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за</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руковање</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по</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животну</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средину</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и</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здравље</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радника</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на</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манипулацији</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у</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производним</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погонима</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лиценцираним</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складиштима</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и</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малопродајним</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објектима</w:t>
      </w:r>
      <w:r w:rsidR="006D7858" w:rsidRPr="0007021A">
        <w:rPr>
          <w:rFonts w:ascii="Times New Roman" w:hAnsi="Times New Roman"/>
          <w:sz w:val="24"/>
          <w:szCs w:val="24"/>
          <w:shd w:val="clear" w:color="auto" w:fill="FFFFFF"/>
          <w:lang w:val="sr-Cyrl-CS"/>
        </w:rPr>
        <w:t xml:space="preserve">. </w:t>
      </w:r>
      <w:r w:rsidR="004949B5" w:rsidRPr="0007021A">
        <w:rPr>
          <w:rFonts w:ascii="Times New Roman" w:hAnsi="Times New Roman"/>
          <w:sz w:val="24"/>
          <w:szCs w:val="24"/>
          <w:shd w:val="clear" w:color="auto" w:fill="FFFFFF"/>
        </w:rPr>
        <w:t>Деривати</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нафте</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који</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се</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стављају</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на</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тржиште</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морају</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бити</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обележени</w:t>
      </w:r>
      <w:r w:rsidR="006D7858"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маркирани</w:t>
      </w:r>
      <w:r w:rsidR="006D7858" w:rsidRPr="0007021A">
        <w:rPr>
          <w:rFonts w:ascii="Times New Roman" w:hAnsi="Times New Roman"/>
          <w:sz w:val="24"/>
          <w:szCs w:val="24"/>
          <w:shd w:val="clear" w:color="auto" w:fill="FFFFFF"/>
        </w:rPr>
        <w:t>)</w:t>
      </w:r>
      <w:r w:rsidR="006D7858" w:rsidRPr="0007021A">
        <w:rPr>
          <w:rFonts w:ascii="Times New Roman" w:hAnsi="Times New Roman"/>
          <w:sz w:val="24"/>
          <w:szCs w:val="24"/>
          <w:shd w:val="clear" w:color="auto" w:fill="FFFFFF"/>
          <w:lang w:val="sr-Cyrl-CS"/>
        </w:rPr>
        <w:t>.</w:t>
      </w:r>
    </w:p>
    <w:p w:rsidR="00C857DC" w:rsidRPr="0007021A" w:rsidRDefault="006D7858" w:rsidP="0007021A">
      <w:pPr>
        <w:ind w:firstLine="708"/>
        <w:jc w:val="both"/>
        <w:rPr>
          <w:rFonts w:ascii="Times New Roman" w:hAnsi="Times New Roman"/>
          <w:sz w:val="24"/>
          <w:szCs w:val="24"/>
          <w:lang w:val="sr-Cyrl-CS"/>
        </w:rPr>
      </w:pPr>
      <w:r w:rsidRPr="0007021A">
        <w:rPr>
          <w:rFonts w:ascii="Times New Roman" w:hAnsi="Times New Roman"/>
          <w:sz w:val="24"/>
          <w:szCs w:val="24"/>
          <w:shd w:val="clear" w:color="auto" w:fill="FFFFFF"/>
          <w:lang w:val="sr-Cyrl-CS"/>
        </w:rPr>
        <w:t xml:space="preserve">На овај начин ће се побољшати </w:t>
      </w:r>
      <w:r w:rsidR="004727CA" w:rsidRPr="0007021A">
        <w:rPr>
          <w:rFonts w:ascii="Times New Roman" w:hAnsi="Times New Roman"/>
          <w:sz w:val="24"/>
          <w:szCs w:val="24"/>
          <w:shd w:val="clear" w:color="auto" w:fill="FFFFFF"/>
          <w:lang w:val="sr-Cyrl-CS"/>
        </w:rPr>
        <w:t xml:space="preserve">контрола промета и квалитета и горива. </w:t>
      </w:r>
      <w:r w:rsidRPr="0007021A">
        <w:rPr>
          <w:rFonts w:ascii="Times New Roman" w:hAnsi="Times New Roman"/>
          <w:sz w:val="24"/>
          <w:szCs w:val="24"/>
          <w:shd w:val="clear" w:color="auto" w:fill="FFFFFF"/>
          <w:lang w:val="sr-Cyrl-CS"/>
        </w:rPr>
        <w:t>Такође</w:t>
      </w:r>
      <w:r w:rsidR="004727CA" w:rsidRPr="0007021A">
        <w:rPr>
          <w:rFonts w:ascii="Times New Roman" w:hAnsi="Times New Roman"/>
          <w:sz w:val="24"/>
          <w:szCs w:val="24"/>
          <w:shd w:val="clear" w:color="auto" w:fill="FFFFFF"/>
          <w:lang w:val="sr-Cyrl-CS"/>
        </w:rPr>
        <w:t xml:space="preserve">  ће се смањити и евазија пореза, увођењем привремене акцизе на биодизел, чиме ће се спречити злоупотребе везане за несразмерно мешање тог г</w:t>
      </w:r>
      <w:r w:rsidR="002319FB" w:rsidRPr="0007021A">
        <w:rPr>
          <w:rFonts w:ascii="Times New Roman" w:hAnsi="Times New Roman"/>
          <w:sz w:val="24"/>
          <w:szCs w:val="24"/>
          <w:shd w:val="clear" w:color="auto" w:fill="FFFFFF"/>
          <w:lang w:val="sr-Cyrl-CS"/>
        </w:rPr>
        <w:t>о</w:t>
      </w:r>
      <w:r w:rsidR="004727CA" w:rsidRPr="0007021A">
        <w:rPr>
          <w:rFonts w:ascii="Times New Roman" w:hAnsi="Times New Roman"/>
          <w:sz w:val="24"/>
          <w:szCs w:val="24"/>
          <w:shd w:val="clear" w:color="auto" w:fill="FFFFFF"/>
          <w:lang w:val="sr-Cyrl-CS"/>
        </w:rPr>
        <w:t>рива са евродизелом.</w:t>
      </w:r>
      <w:r w:rsidRPr="0007021A">
        <w:rPr>
          <w:rFonts w:ascii="Times New Roman" w:hAnsi="Times New Roman"/>
          <w:sz w:val="24"/>
          <w:szCs w:val="24"/>
          <w:shd w:val="clear" w:color="auto" w:fill="FFFFFF"/>
          <w:lang w:val="sr-Cyrl-CS"/>
        </w:rPr>
        <w:t xml:space="preserve"> Помоћу</w:t>
      </w:r>
      <w:r w:rsidR="004727CA" w:rsidRPr="0007021A">
        <w:rPr>
          <w:rFonts w:ascii="Times New Roman" w:hAnsi="Times New Roman"/>
          <w:sz w:val="24"/>
          <w:szCs w:val="24"/>
          <w:shd w:val="clear" w:color="auto" w:fill="FFFFFF"/>
          <w:lang w:val="sr-Cyrl-CS"/>
        </w:rPr>
        <w:t xml:space="preserve"> евромаркера</w:t>
      </w:r>
      <w:r w:rsidRPr="0007021A">
        <w:rPr>
          <w:rFonts w:ascii="Times New Roman" w:hAnsi="Times New Roman"/>
          <w:sz w:val="24"/>
          <w:szCs w:val="24"/>
          <w:shd w:val="clear" w:color="auto" w:fill="FFFFFF"/>
          <w:lang w:val="sr-Cyrl-CS"/>
        </w:rPr>
        <w:t xml:space="preserve"> </w:t>
      </w:r>
      <w:r w:rsidR="004727CA" w:rsidRPr="0007021A">
        <w:rPr>
          <w:rFonts w:ascii="Times New Roman" w:hAnsi="Times New Roman"/>
          <w:sz w:val="24"/>
          <w:szCs w:val="24"/>
          <w:shd w:val="clear" w:color="auto" w:fill="FFFFFF"/>
          <w:lang w:val="sr-Cyrl-CS"/>
        </w:rPr>
        <w:t xml:space="preserve"> моћи ће да се изврши контрола горива и утврди да ли је сипано лож-уље уместо евродизела. Тиме ће се пре свега спречити утаја акциза. Сво гориво на тржишту ће бити маркирано, чиме се спречити злоупотребе и побољшати квалитет. </w:t>
      </w:r>
      <w:r w:rsidR="004949B5" w:rsidRPr="0007021A">
        <w:rPr>
          <w:rFonts w:ascii="Times New Roman" w:hAnsi="Times New Roman"/>
          <w:sz w:val="24"/>
          <w:szCs w:val="24"/>
          <w:shd w:val="clear" w:color="auto" w:fill="FFFFFF"/>
        </w:rPr>
        <w:t>Процене</w:t>
      </w:r>
      <w:r w:rsidR="004727CA"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су</w:t>
      </w:r>
      <w:r w:rsidR="004727CA"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да</w:t>
      </w:r>
      <w:r w:rsidR="004727CA"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би</w:t>
      </w:r>
      <w:r w:rsidR="004727CA"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се</w:t>
      </w:r>
      <w:r w:rsidR="004727CA"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само</w:t>
      </w:r>
      <w:r w:rsidR="004727CA"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на</w:t>
      </w:r>
      <w:r w:rsidR="004727CA"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дизелу</w:t>
      </w:r>
      <w:r w:rsidR="004727CA"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годишње</w:t>
      </w:r>
      <w:r w:rsidR="004727CA"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могло</w:t>
      </w:r>
      <w:r w:rsidR="004727CA"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зарадити</w:t>
      </w:r>
      <w:r w:rsidR="004727CA" w:rsidRPr="0007021A">
        <w:rPr>
          <w:rFonts w:ascii="Times New Roman" w:hAnsi="Times New Roman"/>
          <w:sz w:val="24"/>
          <w:szCs w:val="24"/>
          <w:shd w:val="clear" w:color="auto" w:fill="FFFFFF"/>
        </w:rPr>
        <w:t xml:space="preserve"> 40 </w:t>
      </w:r>
      <w:r w:rsidR="004949B5" w:rsidRPr="0007021A">
        <w:rPr>
          <w:rFonts w:ascii="Times New Roman" w:hAnsi="Times New Roman"/>
          <w:sz w:val="24"/>
          <w:szCs w:val="24"/>
          <w:shd w:val="clear" w:color="auto" w:fill="FFFFFF"/>
        </w:rPr>
        <w:t>милиона</w:t>
      </w:r>
      <w:r w:rsidR="004727CA"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евра</w:t>
      </w:r>
      <w:r w:rsidR="004727CA"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од</w:t>
      </w:r>
      <w:r w:rsidR="004727CA"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повраћаја</w:t>
      </w:r>
      <w:r w:rsidR="004727CA" w:rsidRPr="0007021A">
        <w:rPr>
          <w:rFonts w:ascii="Times New Roman" w:hAnsi="Times New Roman"/>
          <w:sz w:val="24"/>
          <w:szCs w:val="24"/>
          <w:shd w:val="clear" w:color="auto" w:fill="FFFFFF"/>
        </w:rPr>
        <w:t xml:space="preserve"> </w:t>
      </w:r>
      <w:r w:rsidR="004949B5" w:rsidRPr="0007021A">
        <w:rPr>
          <w:rFonts w:ascii="Times New Roman" w:hAnsi="Times New Roman"/>
          <w:sz w:val="24"/>
          <w:szCs w:val="24"/>
          <w:shd w:val="clear" w:color="auto" w:fill="FFFFFF"/>
        </w:rPr>
        <w:t>акцизе</w:t>
      </w:r>
      <w:r w:rsidR="004727CA" w:rsidRPr="0007021A">
        <w:rPr>
          <w:rFonts w:ascii="Times New Roman" w:hAnsi="Times New Roman"/>
          <w:sz w:val="24"/>
          <w:szCs w:val="24"/>
          <w:shd w:val="clear" w:color="auto" w:fill="FFFFFF"/>
          <w:lang w:val="sr-Cyrl-CS"/>
        </w:rPr>
        <w:t>.</w:t>
      </w:r>
      <w:r w:rsidR="004727CA" w:rsidRPr="0007021A">
        <w:rPr>
          <w:rStyle w:val="FootnoteReference"/>
          <w:rFonts w:ascii="Times New Roman" w:hAnsi="Times New Roman"/>
          <w:color w:val="000000"/>
          <w:sz w:val="24"/>
          <w:szCs w:val="24"/>
          <w:shd w:val="clear" w:color="auto" w:fill="FFFFFF"/>
          <w:lang w:val="sr-Cyrl-CS"/>
        </w:rPr>
        <w:footnoteReference w:id="557"/>
      </w:r>
    </w:p>
    <w:p w:rsidR="00C857DC" w:rsidRPr="0007021A" w:rsidRDefault="00C857DC" w:rsidP="0007021A">
      <w:pPr>
        <w:jc w:val="both"/>
        <w:rPr>
          <w:rFonts w:ascii="Times New Roman" w:hAnsi="Times New Roman"/>
          <w:sz w:val="24"/>
          <w:szCs w:val="24"/>
          <w:lang w:val="sr-Cyrl-CS"/>
        </w:rPr>
      </w:pPr>
      <w:r w:rsidRPr="0007021A">
        <w:rPr>
          <w:rFonts w:ascii="Times New Roman" w:hAnsi="Times New Roman"/>
          <w:sz w:val="24"/>
          <w:szCs w:val="24"/>
          <w:lang w:val="sr-Cyrl-CS"/>
        </w:rPr>
        <w:tab/>
      </w:r>
      <w:r w:rsidR="002319FB" w:rsidRPr="0007021A">
        <w:rPr>
          <w:rFonts w:ascii="Times New Roman" w:hAnsi="Times New Roman"/>
          <w:sz w:val="24"/>
          <w:szCs w:val="24"/>
          <w:lang w:val="sr-Cyrl-CS"/>
        </w:rPr>
        <w:t>Т</w:t>
      </w:r>
      <w:r w:rsidR="004949B5" w:rsidRPr="0007021A">
        <w:rPr>
          <w:rFonts w:ascii="Times New Roman" w:hAnsi="Times New Roman"/>
          <w:sz w:val="24"/>
          <w:szCs w:val="24"/>
        </w:rPr>
        <w:t>оком</w:t>
      </w:r>
      <w:r w:rsidRPr="0007021A">
        <w:rPr>
          <w:rFonts w:ascii="Times New Roman" w:hAnsi="Times New Roman"/>
          <w:sz w:val="24"/>
          <w:szCs w:val="24"/>
        </w:rPr>
        <w:t xml:space="preserve"> </w:t>
      </w:r>
      <w:r w:rsidR="004949B5" w:rsidRPr="0007021A">
        <w:rPr>
          <w:rFonts w:ascii="Times New Roman" w:hAnsi="Times New Roman"/>
          <w:sz w:val="24"/>
          <w:szCs w:val="24"/>
        </w:rPr>
        <w:t>последњих</w:t>
      </w:r>
      <w:r w:rsidRPr="0007021A">
        <w:rPr>
          <w:rFonts w:ascii="Times New Roman" w:hAnsi="Times New Roman"/>
          <w:sz w:val="24"/>
          <w:szCs w:val="24"/>
        </w:rPr>
        <w:t xml:space="preserve"> </w:t>
      </w:r>
      <w:r w:rsidR="004949B5" w:rsidRPr="0007021A">
        <w:rPr>
          <w:rFonts w:ascii="Times New Roman" w:hAnsi="Times New Roman"/>
          <w:sz w:val="24"/>
          <w:szCs w:val="24"/>
        </w:rPr>
        <w:t>десет</w:t>
      </w:r>
      <w:r w:rsidRPr="0007021A">
        <w:rPr>
          <w:rFonts w:ascii="Times New Roman" w:hAnsi="Times New Roman"/>
          <w:sz w:val="24"/>
          <w:szCs w:val="24"/>
        </w:rPr>
        <w:t xml:space="preserve"> </w:t>
      </w:r>
      <w:r w:rsidR="004949B5" w:rsidRPr="0007021A">
        <w:rPr>
          <w:rFonts w:ascii="Times New Roman" w:hAnsi="Times New Roman"/>
          <w:sz w:val="24"/>
          <w:szCs w:val="24"/>
        </w:rPr>
        <w:t>година</w:t>
      </w:r>
      <w:r w:rsidRPr="0007021A">
        <w:rPr>
          <w:rFonts w:ascii="Times New Roman" w:hAnsi="Times New Roman"/>
          <w:sz w:val="24"/>
          <w:szCs w:val="24"/>
        </w:rPr>
        <w:t xml:space="preserve"> </w:t>
      </w:r>
      <w:r w:rsidR="004949B5" w:rsidRPr="0007021A">
        <w:rPr>
          <w:rFonts w:ascii="Times New Roman" w:hAnsi="Times New Roman"/>
          <w:sz w:val="24"/>
          <w:szCs w:val="24"/>
        </w:rPr>
        <w:t>поднето</w:t>
      </w:r>
      <w:r w:rsidRPr="0007021A">
        <w:rPr>
          <w:rFonts w:ascii="Times New Roman" w:hAnsi="Times New Roman"/>
          <w:sz w:val="24"/>
          <w:szCs w:val="24"/>
        </w:rPr>
        <w:t xml:space="preserve"> </w:t>
      </w:r>
      <w:r w:rsidR="004949B5" w:rsidRPr="0007021A">
        <w:rPr>
          <w:rFonts w:ascii="Times New Roman" w:hAnsi="Times New Roman"/>
          <w:sz w:val="24"/>
          <w:szCs w:val="24"/>
        </w:rPr>
        <w:t>је</w:t>
      </w:r>
      <w:r w:rsidRPr="0007021A">
        <w:rPr>
          <w:rFonts w:ascii="Times New Roman" w:hAnsi="Times New Roman"/>
          <w:sz w:val="24"/>
          <w:szCs w:val="24"/>
        </w:rPr>
        <w:t xml:space="preserve"> </w:t>
      </w:r>
      <w:r w:rsidR="004949B5" w:rsidRPr="0007021A">
        <w:rPr>
          <w:rFonts w:ascii="Times New Roman" w:hAnsi="Times New Roman"/>
          <w:sz w:val="24"/>
          <w:szCs w:val="24"/>
        </w:rPr>
        <w:t>близу</w:t>
      </w:r>
      <w:r w:rsidRPr="0007021A">
        <w:rPr>
          <w:rFonts w:ascii="Times New Roman" w:hAnsi="Times New Roman"/>
          <w:sz w:val="24"/>
          <w:szCs w:val="24"/>
        </w:rPr>
        <w:t xml:space="preserve"> 15.000 </w:t>
      </w:r>
      <w:r w:rsidR="004949B5" w:rsidRPr="0007021A">
        <w:rPr>
          <w:rFonts w:ascii="Times New Roman" w:hAnsi="Times New Roman"/>
          <w:sz w:val="24"/>
          <w:szCs w:val="24"/>
        </w:rPr>
        <w:t>кривичних</w:t>
      </w:r>
      <w:r w:rsidRPr="0007021A">
        <w:rPr>
          <w:rFonts w:ascii="Times New Roman" w:hAnsi="Times New Roman"/>
          <w:sz w:val="24"/>
          <w:szCs w:val="24"/>
        </w:rPr>
        <w:t xml:space="preserve"> </w:t>
      </w:r>
      <w:r w:rsidR="004949B5" w:rsidRPr="0007021A">
        <w:rPr>
          <w:rFonts w:ascii="Times New Roman" w:hAnsi="Times New Roman"/>
          <w:sz w:val="24"/>
          <w:szCs w:val="24"/>
        </w:rPr>
        <w:t>пријава</w:t>
      </w:r>
      <w:r w:rsidRPr="0007021A">
        <w:rPr>
          <w:rFonts w:ascii="Times New Roman" w:hAnsi="Times New Roman"/>
          <w:sz w:val="24"/>
          <w:szCs w:val="24"/>
          <w:lang w:val="sr-Cyrl-CS"/>
        </w:rPr>
        <w:t xml:space="preserve">. </w:t>
      </w:r>
      <w:r w:rsidR="004949B5" w:rsidRPr="0007021A">
        <w:rPr>
          <w:rFonts w:ascii="Times New Roman" w:hAnsi="Times New Roman"/>
          <w:sz w:val="24"/>
          <w:szCs w:val="24"/>
        </w:rPr>
        <w:t>Укупно</w:t>
      </w:r>
      <w:r w:rsidRPr="0007021A">
        <w:rPr>
          <w:rFonts w:ascii="Times New Roman" w:hAnsi="Times New Roman"/>
          <w:sz w:val="24"/>
          <w:szCs w:val="24"/>
        </w:rPr>
        <w:t xml:space="preserve"> </w:t>
      </w:r>
      <w:r w:rsidR="004949B5" w:rsidRPr="0007021A">
        <w:rPr>
          <w:rFonts w:ascii="Times New Roman" w:hAnsi="Times New Roman"/>
          <w:sz w:val="24"/>
          <w:szCs w:val="24"/>
        </w:rPr>
        <w:t>избегнут</w:t>
      </w:r>
      <w:r w:rsidRPr="0007021A">
        <w:rPr>
          <w:rFonts w:ascii="Times New Roman" w:hAnsi="Times New Roman"/>
          <w:sz w:val="24"/>
          <w:szCs w:val="24"/>
        </w:rPr>
        <w:t xml:space="preserve"> </w:t>
      </w:r>
      <w:r w:rsidR="004949B5" w:rsidRPr="0007021A">
        <w:rPr>
          <w:rFonts w:ascii="Times New Roman" w:hAnsi="Times New Roman"/>
          <w:sz w:val="24"/>
          <w:szCs w:val="24"/>
        </w:rPr>
        <w:t>порез</w:t>
      </w:r>
      <w:r w:rsidRPr="0007021A">
        <w:rPr>
          <w:rFonts w:ascii="Times New Roman" w:hAnsi="Times New Roman"/>
          <w:sz w:val="24"/>
          <w:szCs w:val="24"/>
        </w:rPr>
        <w:t xml:space="preserve"> </w:t>
      </w:r>
      <w:r w:rsidR="004949B5" w:rsidRPr="0007021A">
        <w:rPr>
          <w:rFonts w:ascii="Times New Roman" w:hAnsi="Times New Roman"/>
          <w:sz w:val="24"/>
          <w:szCs w:val="24"/>
        </w:rPr>
        <w:t>у</w:t>
      </w:r>
      <w:r w:rsidRPr="0007021A">
        <w:rPr>
          <w:rFonts w:ascii="Times New Roman" w:hAnsi="Times New Roman"/>
          <w:sz w:val="24"/>
          <w:szCs w:val="24"/>
        </w:rPr>
        <w:t xml:space="preserve"> </w:t>
      </w:r>
      <w:r w:rsidR="004949B5" w:rsidRPr="0007021A">
        <w:rPr>
          <w:rFonts w:ascii="Times New Roman" w:hAnsi="Times New Roman"/>
          <w:sz w:val="24"/>
          <w:szCs w:val="24"/>
        </w:rPr>
        <w:t>том</w:t>
      </w:r>
      <w:r w:rsidRPr="0007021A">
        <w:rPr>
          <w:rFonts w:ascii="Times New Roman" w:hAnsi="Times New Roman"/>
          <w:sz w:val="24"/>
          <w:szCs w:val="24"/>
        </w:rPr>
        <w:t xml:space="preserve"> </w:t>
      </w:r>
      <w:r w:rsidR="004949B5" w:rsidRPr="0007021A">
        <w:rPr>
          <w:rFonts w:ascii="Times New Roman" w:hAnsi="Times New Roman"/>
          <w:sz w:val="24"/>
          <w:szCs w:val="24"/>
        </w:rPr>
        <w:t>периоду</w:t>
      </w:r>
      <w:r w:rsidRPr="0007021A">
        <w:rPr>
          <w:rFonts w:ascii="Times New Roman" w:hAnsi="Times New Roman"/>
          <w:sz w:val="24"/>
          <w:szCs w:val="24"/>
        </w:rPr>
        <w:t xml:space="preserve"> </w:t>
      </w:r>
      <w:r w:rsidR="004949B5" w:rsidRPr="0007021A">
        <w:rPr>
          <w:rFonts w:ascii="Times New Roman" w:hAnsi="Times New Roman"/>
          <w:sz w:val="24"/>
          <w:szCs w:val="24"/>
        </w:rPr>
        <w:t>износи</w:t>
      </w:r>
      <w:r w:rsidRPr="0007021A">
        <w:rPr>
          <w:rFonts w:ascii="Times New Roman" w:hAnsi="Times New Roman"/>
          <w:sz w:val="24"/>
          <w:szCs w:val="24"/>
        </w:rPr>
        <w:t xml:space="preserve"> 122,5 </w:t>
      </w:r>
      <w:r w:rsidR="004949B5" w:rsidRPr="0007021A">
        <w:rPr>
          <w:rFonts w:ascii="Times New Roman" w:hAnsi="Times New Roman"/>
          <w:sz w:val="24"/>
          <w:szCs w:val="24"/>
        </w:rPr>
        <w:t>милијарди</w:t>
      </w:r>
      <w:r w:rsidRPr="0007021A">
        <w:rPr>
          <w:rFonts w:ascii="Times New Roman" w:hAnsi="Times New Roman"/>
          <w:sz w:val="24"/>
          <w:szCs w:val="24"/>
        </w:rPr>
        <w:t xml:space="preserve"> </w:t>
      </w:r>
      <w:r w:rsidR="004949B5" w:rsidRPr="0007021A">
        <w:rPr>
          <w:rFonts w:ascii="Times New Roman" w:hAnsi="Times New Roman"/>
          <w:sz w:val="24"/>
          <w:szCs w:val="24"/>
        </w:rPr>
        <w:t>динара</w:t>
      </w:r>
      <w:r w:rsidRPr="0007021A">
        <w:rPr>
          <w:rFonts w:ascii="Times New Roman" w:hAnsi="Times New Roman"/>
          <w:sz w:val="24"/>
          <w:szCs w:val="24"/>
        </w:rPr>
        <w:t xml:space="preserve">. </w:t>
      </w:r>
      <w:r w:rsidR="004949B5" w:rsidRPr="0007021A">
        <w:rPr>
          <w:rFonts w:ascii="Times New Roman" w:hAnsi="Times New Roman"/>
          <w:sz w:val="24"/>
          <w:szCs w:val="24"/>
        </w:rPr>
        <w:t>По</w:t>
      </w:r>
      <w:r w:rsidRPr="0007021A">
        <w:rPr>
          <w:rFonts w:ascii="Times New Roman" w:hAnsi="Times New Roman"/>
          <w:sz w:val="24"/>
          <w:szCs w:val="24"/>
        </w:rPr>
        <w:t xml:space="preserve"> </w:t>
      </w:r>
      <w:r w:rsidR="004949B5" w:rsidRPr="0007021A">
        <w:rPr>
          <w:rFonts w:ascii="Times New Roman" w:hAnsi="Times New Roman"/>
          <w:sz w:val="24"/>
          <w:szCs w:val="24"/>
        </w:rPr>
        <w:t>правилу</w:t>
      </w:r>
      <w:r w:rsidRPr="0007021A">
        <w:rPr>
          <w:rFonts w:ascii="Times New Roman" w:hAnsi="Times New Roman"/>
          <w:sz w:val="24"/>
          <w:szCs w:val="24"/>
        </w:rPr>
        <w:t>, </w:t>
      </w:r>
      <w:r w:rsidR="004949B5" w:rsidRPr="0007021A">
        <w:rPr>
          <w:rFonts w:ascii="Times New Roman" w:hAnsi="Times New Roman"/>
          <w:sz w:val="24"/>
          <w:szCs w:val="24"/>
        </w:rPr>
        <w:t>најчешће</w:t>
      </w:r>
      <w:r w:rsidRPr="0007021A">
        <w:rPr>
          <w:rFonts w:ascii="Times New Roman" w:hAnsi="Times New Roman"/>
          <w:sz w:val="24"/>
          <w:szCs w:val="24"/>
        </w:rPr>
        <w:t xml:space="preserve"> </w:t>
      </w:r>
      <w:r w:rsidR="004949B5" w:rsidRPr="0007021A">
        <w:rPr>
          <w:rFonts w:ascii="Times New Roman" w:hAnsi="Times New Roman"/>
          <w:sz w:val="24"/>
          <w:szCs w:val="24"/>
        </w:rPr>
        <w:t>се</w:t>
      </w:r>
      <w:r w:rsidRPr="0007021A">
        <w:rPr>
          <w:rFonts w:ascii="Times New Roman" w:hAnsi="Times New Roman"/>
          <w:sz w:val="24"/>
          <w:szCs w:val="24"/>
        </w:rPr>
        <w:t xml:space="preserve"> </w:t>
      </w:r>
      <w:r w:rsidR="004949B5" w:rsidRPr="0007021A">
        <w:rPr>
          <w:rFonts w:ascii="Times New Roman" w:hAnsi="Times New Roman"/>
          <w:sz w:val="24"/>
          <w:szCs w:val="24"/>
        </w:rPr>
        <w:t>избегавају</w:t>
      </w:r>
      <w:r w:rsidRPr="0007021A">
        <w:rPr>
          <w:rFonts w:ascii="Times New Roman" w:hAnsi="Times New Roman"/>
          <w:sz w:val="24"/>
          <w:szCs w:val="24"/>
        </w:rPr>
        <w:t xml:space="preserve"> </w:t>
      </w:r>
      <w:r w:rsidR="004949B5" w:rsidRPr="0007021A">
        <w:rPr>
          <w:rFonts w:ascii="Times New Roman" w:hAnsi="Times New Roman"/>
          <w:sz w:val="24"/>
          <w:szCs w:val="24"/>
        </w:rPr>
        <w:t>за</w:t>
      </w:r>
      <w:r w:rsidRPr="0007021A">
        <w:rPr>
          <w:rFonts w:ascii="Times New Roman" w:hAnsi="Times New Roman"/>
          <w:sz w:val="24"/>
          <w:szCs w:val="24"/>
        </w:rPr>
        <w:t xml:space="preserve"> </w:t>
      </w:r>
      <w:r w:rsidR="004949B5" w:rsidRPr="0007021A">
        <w:rPr>
          <w:rFonts w:ascii="Times New Roman" w:hAnsi="Times New Roman"/>
          <w:sz w:val="24"/>
          <w:szCs w:val="24"/>
        </w:rPr>
        <w:t>државу</w:t>
      </w:r>
      <w:r w:rsidRPr="0007021A">
        <w:rPr>
          <w:rFonts w:ascii="Times New Roman" w:hAnsi="Times New Roman"/>
          <w:sz w:val="24"/>
          <w:szCs w:val="24"/>
        </w:rPr>
        <w:t xml:space="preserve"> </w:t>
      </w:r>
      <w:r w:rsidR="004949B5" w:rsidRPr="0007021A">
        <w:rPr>
          <w:rFonts w:ascii="Times New Roman" w:hAnsi="Times New Roman"/>
          <w:sz w:val="24"/>
          <w:szCs w:val="24"/>
        </w:rPr>
        <w:t>најиздашнији</w:t>
      </w:r>
      <w:r w:rsidRPr="0007021A">
        <w:rPr>
          <w:rFonts w:ascii="Times New Roman" w:hAnsi="Times New Roman"/>
          <w:sz w:val="24"/>
          <w:szCs w:val="24"/>
        </w:rPr>
        <w:t xml:space="preserve"> </w:t>
      </w:r>
      <w:r w:rsidR="004949B5" w:rsidRPr="0007021A">
        <w:rPr>
          <w:rFonts w:ascii="Times New Roman" w:hAnsi="Times New Roman"/>
          <w:sz w:val="24"/>
          <w:szCs w:val="24"/>
        </w:rPr>
        <w:t>приходи</w:t>
      </w:r>
      <w:r w:rsidRPr="0007021A">
        <w:rPr>
          <w:rFonts w:ascii="Times New Roman" w:hAnsi="Times New Roman"/>
          <w:sz w:val="24"/>
          <w:szCs w:val="24"/>
        </w:rPr>
        <w:t xml:space="preserve"> - </w:t>
      </w:r>
      <w:r w:rsidR="004949B5" w:rsidRPr="0007021A">
        <w:rPr>
          <w:rFonts w:ascii="Times New Roman" w:hAnsi="Times New Roman"/>
          <w:sz w:val="24"/>
          <w:szCs w:val="24"/>
        </w:rPr>
        <w:t>порез</w:t>
      </w:r>
      <w:r w:rsidRPr="0007021A">
        <w:rPr>
          <w:rFonts w:ascii="Times New Roman" w:hAnsi="Times New Roman"/>
          <w:sz w:val="24"/>
          <w:szCs w:val="24"/>
        </w:rPr>
        <w:t xml:space="preserve"> </w:t>
      </w:r>
      <w:r w:rsidR="004949B5" w:rsidRPr="0007021A">
        <w:rPr>
          <w:rFonts w:ascii="Times New Roman" w:hAnsi="Times New Roman"/>
          <w:sz w:val="24"/>
          <w:szCs w:val="24"/>
        </w:rPr>
        <w:t>на</w:t>
      </w:r>
      <w:r w:rsidRPr="0007021A">
        <w:rPr>
          <w:rFonts w:ascii="Times New Roman" w:hAnsi="Times New Roman"/>
          <w:sz w:val="24"/>
          <w:szCs w:val="24"/>
        </w:rPr>
        <w:t xml:space="preserve"> </w:t>
      </w:r>
      <w:r w:rsidR="004949B5" w:rsidRPr="0007021A">
        <w:rPr>
          <w:rFonts w:ascii="Times New Roman" w:hAnsi="Times New Roman"/>
          <w:sz w:val="24"/>
          <w:szCs w:val="24"/>
        </w:rPr>
        <w:t>додату</w:t>
      </w:r>
      <w:r w:rsidRPr="0007021A">
        <w:rPr>
          <w:rFonts w:ascii="Times New Roman" w:hAnsi="Times New Roman"/>
          <w:sz w:val="24"/>
          <w:szCs w:val="24"/>
        </w:rPr>
        <w:t xml:space="preserve"> </w:t>
      </w:r>
      <w:r w:rsidR="004949B5" w:rsidRPr="0007021A">
        <w:rPr>
          <w:rFonts w:ascii="Times New Roman" w:hAnsi="Times New Roman"/>
          <w:sz w:val="24"/>
          <w:szCs w:val="24"/>
        </w:rPr>
        <w:t>вредност</w:t>
      </w:r>
      <w:r w:rsidRPr="0007021A">
        <w:rPr>
          <w:rFonts w:ascii="Times New Roman" w:hAnsi="Times New Roman"/>
          <w:sz w:val="24"/>
          <w:szCs w:val="24"/>
        </w:rPr>
        <w:t xml:space="preserve"> </w:t>
      </w:r>
      <w:r w:rsidR="004949B5" w:rsidRPr="0007021A">
        <w:rPr>
          <w:rFonts w:ascii="Times New Roman" w:hAnsi="Times New Roman"/>
          <w:sz w:val="24"/>
          <w:szCs w:val="24"/>
        </w:rPr>
        <w:t>и</w:t>
      </w:r>
      <w:r w:rsidRPr="0007021A">
        <w:rPr>
          <w:rFonts w:ascii="Times New Roman" w:hAnsi="Times New Roman"/>
          <w:sz w:val="24"/>
          <w:szCs w:val="24"/>
        </w:rPr>
        <w:t xml:space="preserve"> </w:t>
      </w:r>
      <w:r w:rsidR="004949B5" w:rsidRPr="0007021A">
        <w:rPr>
          <w:rFonts w:ascii="Times New Roman" w:hAnsi="Times New Roman"/>
          <w:sz w:val="24"/>
          <w:szCs w:val="24"/>
        </w:rPr>
        <w:t>акцизе</w:t>
      </w:r>
      <w:r w:rsidRPr="0007021A">
        <w:rPr>
          <w:rStyle w:val="Strong"/>
          <w:rFonts w:ascii="Times New Roman" w:hAnsi="Times New Roman"/>
          <w:b w:val="0"/>
          <w:color w:val="606060"/>
          <w:sz w:val="24"/>
          <w:szCs w:val="24"/>
          <w:bdr w:val="none" w:sz="0" w:space="0" w:color="auto" w:frame="1"/>
        </w:rPr>
        <w:t>.</w:t>
      </w:r>
      <w:r w:rsidRPr="0007021A">
        <w:rPr>
          <w:rStyle w:val="FootnoteReference"/>
          <w:rFonts w:ascii="Times New Roman" w:hAnsi="Times New Roman"/>
          <w:bCs/>
          <w:color w:val="606060"/>
          <w:sz w:val="24"/>
          <w:szCs w:val="24"/>
          <w:bdr w:val="none" w:sz="0" w:space="0" w:color="auto" w:frame="1"/>
        </w:rPr>
        <w:footnoteReference w:id="558"/>
      </w:r>
    </w:p>
    <w:p w:rsidR="006D7858" w:rsidRPr="0007021A" w:rsidRDefault="006D7858" w:rsidP="0007021A">
      <w:pPr>
        <w:ind w:firstLine="708"/>
        <w:jc w:val="both"/>
        <w:rPr>
          <w:rFonts w:ascii="Times New Roman" w:hAnsi="Times New Roman"/>
          <w:sz w:val="24"/>
          <w:szCs w:val="24"/>
          <w:lang w:val="sr-Cyrl-CS"/>
        </w:rPr>
      </w:pPr>
      <w:r w:rsidRPr="0007021A">
        <w:rPr>
          <w:rFonts w:ascii="Times New Roman" w:hAnsi="Times New Roman"/>
          <w:sz w:val="24"/>
          <w:szCs w:val="24"/>
          <w:lang w:val="sr-Cyrl-CS"/>
        </w:rPr>
        <w:t>Велики број злоупотреба са акцизним производима остаје неоткривен, а и када се случајеви открију и процесуирају ти процеси дуго трају и често долази до застаревања. При том, је блага казнена политика. Томе треба додати честе промене и нејасну законску регулативу, која погодује повећању злоупотреба са акцизним производима и уопште зпоупотребама у рачуноводственом сектору. Томе у прилог го</w:t>
      </w:r>
      <w:r w:rsidR="004949B5" w:rsidRPr="0007021A">
        <w:rPr>
          <w:rFonts w:ascii="Times New Roman" w:hAnsi="Times New Roman"/>
          <w:sz w:val="24"/>
          <w:szCs w:val="24"/>
          <w:lang w:val="sr-Cyrl-CS"/>
        </w:rPr>
        <w:t>в</w:t>
      </w:r>
      <w:r w:rsidRPr="0007021A">
        <w:rPr>
          <w:rFonts w:ascii="Times New Roman" w:hAnsi="Times New Roman"/>
          <w:sz w:val="24"/>
          <w:szCs w:val="24"/>
          <w:lang w:val="sr-Cyrl-CS"/>
        </w:rPr>
        <w:t>ори податак да је Закон о акцизама од 2001. године до данас мењан двадесет три пута.</w:t>
      </w:r>
      <w:r w:rsidR="004949B5" w:rsidRPr="0007021A">
        <w:rPr>
          <w:rFonts w:ascii="Times New Roman" w:hAnsi="Times New Roman"/>
          <w:sz w:val="24"/>
          <w:szCs w:val="24"/>
          <w:lang w:val="sr-Cyrl-CS"/>
        </w:rPr>
        <w:t xml:space="preserve"> </w:t>
      </w:r>
      <w:r w:rsidRPr="0007021A">
        <w:rPr>
          <w:rFonts w:ascii="Times New Roman" w:hAnsi="Times New Roman"/>
          <w:sz w:val="24"/>
          <w:szCs w:val="24"/>
          <w:lang w:val="sr-Cyrl-CS"/>
        </w:rPr>
        <w:t xml:space="preserve">Иако је предмет акциза системски добро постављен не дају такве фискалне ефекте који би предмети опорезивања акцизом могли дати, а што значи да је промет предметима који се опорезују акцизом и даље у нелегалним токовима, односно да </w:t>
      </w:r>
      <w:r w:rsidR="004949B5" w:rsidRPr="0007021A">
        <w:rPr>
          <w:rFonts w:ascii="Times New Roman" w:hAnsi="Times New Roman"/>
          <w:sz w:val="24"/>
          <w:szCs w:val="24"/>
          <w:lang w:val="sr-Cyrl-CS"/>
        </w:rPr>
        <w:t>ј</w:t>
      </w:r>
      <w:r w:rsidRPr="0007021A">
        <w:rPr>
          <w:rFonts w:ascii="Times New Roman" w:hAnsi="Times New Roman"/>
          <w:sz w:val="24"/>
          <w:szCs w:val="24"/>
          <w:lang w:val="sr-Cyrl-CS"/>
        </w:rPr>
        <w:t xml:space="preserve">е </w:t>
      </w:r>
      <w:r w:rsidR="004949B5" w:rsidRPr="0007021A">
        <w:rPr>
          <w:rFonts w:ascii="Times New Roman" w:hAnsi="Times New Roman"/>
          <w:sz w:val="24"/>
          <w:szCs w:val="24"/>
          <w:lang w:val="sr-Cyrl-CS"/>
        </w:rPr>
        <w:t>висок степен избегавања плаћања</w:t>
      </w:r>
      <w:r w:rsidRPr="0007021A">
        <w:rPr>
          <w:rFonts w:ascii="Times New Roman" w:hAnsi="Times New Roman"/>
          <w:sz w:val="24"/>
          <w:szCs w:val="24"/>
          <w:lang w:val="sr-Cyrl-CS"/>
        </w:rPr>
        <w:t xml:space="preserve"> овог пореског облика, да није довољно ефика</w:t>
      </w:r>
      <w:r w:rsidR="004949B5" w:rsidRPr="0007021A">
        <w:rPr>
          <w:rFonts w:ascii="Times New Roman" w:hAnsi="Times New Roman"/>
          <w:sz w:val="24"/>
          <w:szCs w:val="24"/>
          <w:lang w:val="sr-Cyrl-CS"/>
        </w:rPr>
        <w:t>сна пореска контрола, као и</w:t>
      </w:r>
      <w:r w:rsidRPr="0007021A">
        <w:rPr>
          <w:rFonts w:ascii="Times New Roman" w:hAnsi="Times New Roman"/>
          <w:sz w:val="24"/>
          <w:szCs w:val="24"/>
          <w:lang w:val="sr-Cyrl-CS"/>
        </w:rPr>
        <w:t xml:space="preserve"> да се недовољно поштују порески прописи.</w:t>
      </w:r>
    </w:p>
    <w:p w:rsidR="00C857DC" w:rsidRDefault="00C857DC" w:rsidP="0007021A">
      <w:pPr>
        <w:jc w:val="both"/>
        <w:rPr>
          <w:rFonts w:ascii="Times New Roman" w:hAnsi="Times New Roman"/>
          <w:sz w:val="24"/>
          <w:szCs w:val="24"/>
          <w:lang w:val="sr-Cyrl-CS"/>
        </w:rPr>
      </w:pPr>
    </w:p>
    <w:p w:rsidR="0007021A" w:rsidRDefault="0007021A" w:rsidP="0007021A">
      <w:pPr>
        <w:jc w:val="both"/>
        <w:rPr>
          <w:rFonts w:ascii="Times New Roman" w:hAnsi="Times New Roman"/>
          <w:sz w:val="24"/>
          <w:szCs w:val="24"/>
          <w:lang w:val="sr-Cyrl-CS"/>
        </w:rPr>
      </w:pPr>
    </w:p>
    <w:p w:rsidR="0007021A" w:rsidRPr="0007021A" w:rsidRDefault="0007021A" w:rsidP="0007021A">
      <w:pPr>
        <w:jc w:val="both"/>
        <w:rPr>
          <w:rFonts w:ascii="Times New Roman" w:hAnsi="Times New Roman"/>
          <w:sz w:val="24"/>
          <w:szCs w:val="24"/>
          <w:lang w:val="sr-Cyrl-CS"/>
        </w:rPr>
      </w:pPr>
    </w:p>
    <w:p w:rsidR="00A6675D" w:rsidRPr="00541620" w:rsidRDefault="00A6675D" w:rsidP="004949B5">
      <w:pPr>
        <w:pStyle w:val="normal0"/>
        <w:shd w:val="clear" w:color="auto" w:fill="FFFFFF"/>
        <w:spacing w:before="48" w:beforeAutospacing="0" w:after="48" w:afterAutospacing="0"/>
        <w:jc w:val="both"/>
        <w:rPr>
          <w:color w:val="000000"/>
        </w:rPr>
      </w:pPr>
    </w:p>
    <w:p w:rsidR="00823027" w:rsidRPr="004949B5" w:rsidRDefault="00C208AF" w:rsidP="004949B5">
      <w:pPr>
        <w:pStyle w:val="clan"/>
        <w:shd w:val="clear" w:color="auto" w:fill="FFFFFF"/>
        <w:spacing w:before="240" w:beforeAutospacing="0" w:after="120" w:afterAutospacing="0" w:line="240" w:lineRule="atLeast"/>
        <w:jc w:val="center"/>
        <w:rPr>
          <w:b/>
          <w:bCs/>
          <w:color w:val="000000"/>
          <w:lang w:val="sr-Cyrl-CS"/>
        </w:rPr>
      </w:pPr>
      <w:r>
        <w:rPr>
          <w:b/>
          <w:bCs/>
          <w:color w:val="000000"/>
          <w:lang w:val="sr-Cyrl-CS"/>
        </w:rPr>
        <w:lastRenderedPageBreak/>
        <w:t>5.5</w:t>
      </w:r>
      <w:r w:rsidR="00453BC3" w:rsidRPr="004949B5">
        <w:rPr>
          <w:b/>
          <w:bCs/>
          <w:color w:val="000000"/>
          <w:lang w:val="sr-Cyrl-CS"/>
        </w:rPr>
        <w:t>.7. Порески прекршаји према Закону о акцизама</w:t>
      </w:r>
    </w:p>
    <w:p w:rsidR="00453BC3" w:rsidRPr="004949B5" w:rsidRDefault="00453BC3" w:rsidP="004949B5">
      <w:pPr>
        <w:pStyle w:val="clan"/>
        <w:shd w:val="clear" w:color="auto" w:fill="FFFFFF"/>
        <w:spacing w:before="240" w:beforeAutospacing="0" w:after="120" w:afterAutospacing="0" w:line="240" w:lineRule="atLeast"/>
        <w:jc w:val="both"/>
        <w:rPr>
          <w:bCs/>
          <w:color w:val="000000"/>
          <w:lang w:val="sr-Cyrl-CS"/>
        </w:rPr>
      </w:pPr>
    </w:p>
    <w:p w:rsidR="00823027" w:rsidRPr="0007021A" w:rsidRDefault="00027DCA" w:rsidP="0007021A">
      <w:pPr>
        <w:ind w:firstLine="708"/>
        <w:jc w:val="both"/>
        <w:rPr>
          <w:rFonts w:ascii="Times New Roman" w:hAnsi="Times New Roman"/>
          <w:sz w:val="24"/>
          <w:szCs w:val="24"/>
          <w:lang w:val="sr-Cyrl-CS"/>
        </w:rPr>
      </w:pPr>
      <w:r w:rsidRPr="0007021A">
        <w:rPr>
          <w:rFonts w:ascii="Times New Roman" w:hAnsi="Times New Roman"/>
          <w:sz w:val="24"/>
          <w:szCs w:val="24"/>
          <w:lang w:val="sr-Cyrl-CS"/>
        </w:rPr>
        <w:t>Законом о акцизама прописани су порески прекршаји.</w:t>
      </w:r>
      <w:r w:rsidRPr="0007021A">
        <w:rPr>
          <w:rStyle w:val="FootnoteReference"/>
          <w:rFonts w:ascii="Times New Roman" w:hAnsi="Times New Roman"/>
          <w:color w:val="000000"/>
          <w:sz w:val="24"/>
          <w:szCs w:val="24"/>
          <w:lang w:val="sr-Cyrl-CS"/>
        </w:rPr>
        <w:footnoteReference w:id="559"/>
      </w:r>
      <w:r w:rsidRPr="0007021A">
        <w:rPr>
          <w:rFonts w:ascii="Times New Roman" w:hAnsi="Times New Roman"/>
          <w:sz w:val="24"/>
          <w:szCs w:val="24"/>
          <w:lang w:val="sr-Cyrl-CS"/>
        </w:rPr>
        <w:t xml:space="preserve"> Наиме, </w:t>
      </w:r>
      <w:r w:rsidR="002319FB" w:rsidRPr="0007021A">
        <w:rPr>
          <w:rFonts w:ascii="Times New Roman" w:hAnsi="Times New Roman"/>
          <w:sz w:val="24"/>
          <w:szCs w:val="24"/>
          <w:lang w:val="sr-Cyrl-CS"/>
        </w:rPr>
        <w:t>н</w:t>
      </w:r>
      <w:r w:rsidR="004949B5" w:rsidRPr="0007021A">
        <w:rPr>
          <w:rFonts w:ascii="Times New Roman" w:hAnsi="Times New Roman"/>
          <w:sz w:val="24"/>
          <w:szCs w:val="24"/>
        </w:rPr>
        <w:t>овчаном</w:t>
      </w:r>
      <w:r w:rsidR="00823027" w:rsidRPr="0007021A">
        <w:rPr>
          <w:rFonts w:ascii="Times New Roman" w:hAnsi="Times New Roman"/>
          <w:sz w:val="24"/>
          <w:szCs w:val="24"/>
        </w:rPr>
        <w:t xml:space="preserve"> </w:t>
      </w:r>
      <w:r w:rsidR="004949B5" w:rsidRPr="0007021A">
        <w:rPr>
          <w:rFonts w:ascii="Times New Roman" w:hAnsi="Times New Roman"/>
          <w:sz w:val="24"/>
          <w:szCs w:val="24"/>
        </w:rPr>
        <w:t>казном</w:t>
      </w:r>
      <w:r w:rsidR="00823027" w:rsidRPr="0007021A">
        <w:rPr>
          <w:rFonts w:ascii="Times New Roman" w:hAnsi="Times New Roman"/>
          <w:sz w:val="24"/>
          <w:szCs w:val="24"/>
        </w:rPr>
        <w:t xml:space="preserve"> </w:t>
      </w:r>
      <w:r w:rsidR="004949B5" w:rsidRPr="0007021A">
        <w:rPr>
          <w:rFonts w:ascii="Times New Roman" w:hAnsi="Times New Roman"/>
          <w:sz w:val="24"/>
          <w:szCs w:val="24"/>
        </w:rPr>
        <w:t>од</w:t>
      </w:r>
      <w:r w:rsidR="00823027" w:rsidRPr="0007021A">
        <w:rPr>
          <w:rFonts w:ascii="Times New Roman" w:hAnsi="Times New Roman"/>
          <w:sz w:val="24"/>
          <w:szCs w:val="24"/>
        </w:rPr>
        <w:t xml:space="preserve"> 100.000 </w:t>
      </w:r>
      <w:r w:rsidR="004949B5" w:rsidRPr="0007021A">
        <w:rPr>
          <w:rFonts w:ascii="Times New Roman" w:hAnsi="Times New Roman"/>
          <w:sz w:val="24"/>
          <w:szCs w:val="24"/>
        </w:rPr>
        <w:t>до</w:t>
      </w:r>
      <w:r w:rsidR="00823027" w:rsidRPr="0007021A">
        <w:rPr>
          <w:rFonts w:ascii="Times New Roman" w:hAnsi="Times New Roman"/>
          <w:sz w:val="24"/>
          <w:szCs w:val="24"/>
        </w:rPr>
        <w:t xml:space="preserve"> 1.000.000 </w:t>
      </w:r>
      <w:r w:rsidR="004949B5" w:rsidRPr="0007021A">
        <w:rPr>
          <w:rFonts w:ascii="Times New Roman" w:hAnsi="Times New Roman"/>
          <w:sz w:val="24"/>
          <w:szCs w:val="24"/>
        </w:rPr>
        <w:t>динара</w:t>
      </w:r>
      <w:r w:rsidR="00823027" w:rsidRPr="0007021A">
        <w:rPr>
          <w:rFonts w:ascii="Times New Roman" w:hAnsi="Times New Roman"/>
          <w:sz w:val="24"/>
          <w:szCs w:val="24"/>
        </w:rPr>
        <w:t xml:space="preserve"> </w:t>
      </w:r>
      <w:r w:rsidR="004949B5" w:rsidRPr="0007021A">
        <w:rPr>
          <w:rFonts w:ascii="Times New Roman" w:hAnsi="Times New Roman"/>
          <w:sz w:val="24"/>
          <w:szCs w:val="24"/>
        </w:rPr>
        <w:t>казниће</w:t>
      </w:r>
      <w:r w:rsidR="00823027" w:rsidRPr="0007021A">
        <w:rPr>
          <w:rFonts w:ascii="Times New Roman" w:hAnsi="Times New Roman"/>
          <w:sz w:val="24"/>
          <w:szCs w:val="24"/>
        </w:rPr>
        <w:t xml:space="preserve"> </w:t>
      </w:r>
      <w:r w:rsidR="004949B5" w:rsidRPr="0007021A">
        <w:rPr>
          <w:rFonts w:ascii="Times New Roman" w:hAnsi="Times New Roman"/>
          <w:sz w:val="24"/>
          <w:szCs w:val="24"/>
        </w:rPr>
        <w:t>се</w:t>
      </w:r>
      <w:r w:rsidR="00823027" w:rsidRPr="0007021A">
        <w:rPr>
          <w:rFonts w:ascii="Times New Roman" w:hAnsi="Times New Roman"/>
          <w:sz w:val="24"/>
          <w:szCs w:val="24"/>
        </w:rPr>
        <w:t xml:space="preserve"> </w:t>
      </w:r>
      <w:r w:rsidR="004949B5" w:rsidRPr="0007021A">
        <w:rPr>
          <w:rFonts w:ascii="Times New Roman" w:hAnsi="Times New Roman"/>
          <w:sz w:val="24"/>
          <w:szCs w:val="24"/>
        </w:rPr>
        <w:t>за</w:t>
      </w:r>
      <w:r w:rsidR="00823027" w:rsidRPr="0007021A">
        <w:rPr>
          <w:rFonts w:ascii="Times New Roman" w:hAnsi="Times New Roman"/>
          <w:sz w:val="24"/>
          <w:szCs w:val="24"/>
        </w:rPr>
        <w:t xml:space="preserve"> </w:t>
      </w:r>
      <w:r w:rsidR="004949B5" w:rsidRPr="0007021A">
        <w:rPr>
          <w:rFonts w:ascii="Times New Roman" w:hAnsi="Times New Roman"/>
          <w:sz w:val="24"/>
          <w:szCs w:val="24"/>
        </w:rPr>
        <w:t>прекршај</w:t>
      </w:r>
      <w:r w:rsidR="00823027" w:rsidRPr="0007021A">
        <w:rPr>
          <w:rFonts w:ascii="Times New Roman" w:hAnsi="Times New Roman"/>
          <w:sz w:val="24"/>
          <w:szCs w:val="24"/>
        </w:rPr>
        <w:t xml:space="preserve"> </w:t>
      </w:r>
      <w:r w:rsidR="004949B5" w:rsidRPr="0007021A">
        <w:rPr>
          <w:rFonts w:ascii="Times New Roman" w:hAnsi="Times New Roman"/>
          <w:sz w:val="24"/>
          <w:szCs w:val="24"/>
        </w:rPr>
        <w:t>правно</w:t>
      </w:r>
      <w:r w:rsidR="00823027" w:rsidRPr="0007021A">
        <w:rPr>
          <w:rFonts w:ascii="Times New Roman" w:hAnsi="Times New Roman"/>
          <w:sz w:val="24"/>
          <w:szCs w:val="24"/>
        </w:rPr>
        <w:t xml:space="preserve"> </w:t>
      </w:r>
      <w:r w:rsidR="004949B5" w:rsidRPr="0007021A">
        <w:rPr>
          <w:rFonts w:ascii="Times New Roman" w:hAnsi="Times New Roman"/>
          <w:sz w:val="24"/>
          <w:szCs w:val="24"/>
        </w:rPr>
        <w:t>лице</w:t>
      </w:r>
      <w:r w:rsidR="00823027" w:rsidRPr="0007021A">
        <w:rPr>
          <w:rFonts w:ascii="Times New Roman" w:hAnsi="Times New Roman"/>
          <w:sz w:val="24"/>
          <w:szCs w:val="24"/>
        </w:rPr>
        <w:t xml:space="preserve"> </w:t>
      </w:r>
      <w:r w:rsidR="004949B5" w:rsidRPr="0007021A">
        <w:rPr>
          <w:rFonts w:ascii="Times New Roman" w:hAnsi="Times New Roman"/>
          <w:sz w:val="24"/>
          <w:szCs w:val="24"/>
        </w:rPr>
        <w:t>ако</w:t>
      </w:r>
      <w:r w:rsidR="00823027" w:rsidRPr="0007021A">
        <w:rPr>
          <w:rFonts w:ascii="Times New Roman" w:hAnsi="Times New Roman"/>
          <w:sz w:val="24"/>
          <w:szCs w:val="24"/>
        </w:rPr>
        <w:t>:</w:t>
      </w:r>
    </w:p>
    <w:p w:rsidR="00823027" w:rsidRPr="0007021A" w:rsidRDefault="00823027" w:rsidP="0007021A">
      <w:pPr>
        <w:jc w:val="both"/>
        <w:rPr>
          <w:rFonts w:ascii="Times New Roman" w:hAnsi="Times New Roman"/>
          <w:sz w:val="24"/>
          <w:szCs w:val="24"/>
        </w:rPr>
      </w:pPr>
      <w:r w:rsidRPr="0007021A">
        <w:rPr>
          <w:rFonts w:ascii="Times New Roman" w:hAnsi="Times New Roman"/>
          <w:sz w:val="24"/>
          <w:szCs w:val="24"/>
        </w:rPr>
        <w:t xml:space="preserve">2) </w:t>
      </w:r>
      <w:r w:rsidR="004949B5" w:rsidRPr="0007021A">
        <w:rPr>
          <w:rFonts w:ascii="Times New Roman" w:hAnsi="Times New Roman"/>
          <w:sz w:val="24"/>
          <w:szCs w:val="24"/>
        </w:rPr>
        <w:t>обрачунату</w:t>
      </w:r>
      <w:r w:rsidRPr="0007021A">
        <w:rPr>
          <w:rFonts w:ascii="Times New Roman" w:hAnsi="Times New Roman"/>
          <w:sz w:val="24"/>
          <w:szCs w:val="24"/>
        </w:rPr>
        <w:t xml:space="preserve"> </w:t>
      </w:r>
      <w:r w:rsidR="004949B5" w:rsidRPr="0007021A">
        <w:rPr>
          <w:rFonts w:ascii="Times New Roman" w:hAnsi="Times New Roman"/>
          <w:sz w:val="24"/>
          <w:szCs w:val="24"/>
        </w:rPr>
        <w:t>акцизу</w:t>
      </w:r>
      <w:r w:rsidRPr="0007021A">
        <w:rPr>
          <w:rFonts w:ascii="Times New Roman" w:hAnsi="Times New Roman"/>
          <w:sz w:val="24"/>
          <w:szCs w:val="24"/>
        </w:rPr>
        <w:t xml:space="preserve"> </w:t>
      </w:r>
      <w:r w:rsidR="004949B5" w:rsidRPr="0007021A">
        <w:rPr>
          <w:rFonts w:ascii="Times New Roman" w:hAnsi="Times New Roman"/>
          <w:sz w:val="24"/>
          <w:szCs w:val="24"/>
        </w:rPr>
        <w:t>не</w:t>
      </w:r>
      <w:r w:rsidRPr="0007021A">
        <w:rPr>
          <w:rFonts w:ascii="Times New Roman" w:hAnsi="Times New Roman"/>
          <w:sz w:val="24"/>
          <w:szCs w:val="24"/>
        </w:rPr>
        <w:t xml:space="preserve"> </w:t>
      </w:r>
      <w:r w:rsidR="004949B5" w:rsidRPr="0007021A">
        <w:rPr>
          <w:rFonts w:ascii="Times New Roman" w:hAnsi="Times New Roman"/>
          <w:sz w:val="24"/>
          <w:szCs w:val="24"/>
        </w:rPr>
        <w:t>уплати</w:t>
      </w:r>
      <w:r w:rsidRPr="0007021A">
        <w:rPr>
          <w:rFonts w:ascii="Times New Roman" w:hAnsi="Times New Roman"/>
          <w:sz w:val="24"/>
          <w:szCs w:val="24"/>
        </w:rPr>
        <w:t xml:space="preserve"> </w:t>
      </w:r>
      <w:r w:rsidR="004949B5" w:rsidRPr="0007021A">
        <w:rPr>
          <w:rFonts w:ascii="Times New Roman" w:hAnsi="Times New Roman"/>
          <w:sz w:val="24"/>
          <w:szCs w:val="24"/>
        </w:rPr>
        <w:t>у</w:t>
      </w:r>
      <w:r w:rsidRPr="0007021A">
        <w:rPr>
          <w:rFonts w:ascii="Times New Roman" w:hAnsi="Times New Roman"/>
          <w:sz w:val="24"/>
          <w:szCs w:val="24"/>
        </w:rPr>
        <w:t xml:space="preserve"> </w:t>
      </w:r>
      <w:r w:rsidR="004949B5" w:rsidRPr="0007021A">
        <w:rPr>
          <w:rFonts w:ascii="Times New Roman" w:hAnsi="Times New Roman"/>
          <w:sz w:val="24"/>
          <w:szCs w:val="24"/>
        </w:rPr>
        <w:t>прописаном</w:t>
      </w:r>
      <w:r w:rsidRPr="0007021A">
        <w:rPr>
          <w:rFonts w:ascii="Times New Roman" w:hAnsi="Times New Roman"/>
          <w:sz w:val="24"/>
          <w:szCs w:val="24"/>
        </w:rPr>
        <w:t xml:space="preserve"> </w:t>
      </w:r>
      <w:r w:rsidR="004949B5" w:rsidRPr="0007021A">
        <w:rPr>
          <w:rFonts w:ascii="Times New Roman" w:hAnsi="Times New Roman"/>
          <w:sz w:val="24"/>
          <w:szCs w:val="24"/>
        </w:rPr>
        <w:t>року</w:t>
      </w:r>
      <w:r w:rsidRPr="0007021A">
        <w:rPr>
          <w:rFonts w:ascii="Times New Roman" w:hAnsi="Times New Roman"/>
          <w:sz w:val="24"/>
          <w:szCs w:val="24"/>
        </w:rPr>
        <w:t xml:space="preserve"> (</w:t>
      </w:r>
      <w:r w:rsidR="004949B5" w:rsidRPr="0007021A">
        <w:rPr>
          <w:rFonts w:ascii="Times New Roman" w:hAnsi="Times New Roman"/>
          <w:sz w:val="24"/>
          <w:szCs w:val="24"/>
        </w:rPr>
        <w:t>члан</w:t>
      </w:r>
      <w:r w:rsidRPr="0007021A">
        <w:rPr>
          <w:rFonts w:ascii="Times New Roman" w:hAnsi="Times New Roman"/>
          <w:sz w:val="24"/>
          <w:szCs w:val="24"/>
        </w:rPr>
        <w:t xml:space="preserve"> 23);</w:t>
      </w:r>
    </w:p>
    <w:p w:rsidR="00823027" w:rsidRPr="0007021A" w:rsidRDefault="00823027" w:rsidP="0007021A">
      <w:pPr>
        <w:jc w:val="both"/>
        <w:rPr>
          <w:rFonts w:ascii="Times New Roman" w:hAnsi="Times New Roman"/>
          <w:sz w:val="24"/>
          <w:szCs w:val="24"/>
        </w:rPr>
      </w:pPr>
      <w:r w:rsidRPr="0007021A">
        <w:rPr>
          <w:rFonts w:ascii="Times New Roman" w:hAnsi="Times New Roman"/>
          <w:sz w:val="24"/>
          <w:szCs w:val="24"/>
        </w:rPr>
        <w:t xml:space="preserve">3) </w:t>
      </w:r>
      <w:r w:rsidR="004949B5" w:rsidRPr="0007021A">
        <w:rPr>
          <w:rFonts w:ascii="Times New Roman" w:hAnsi="Times New Roman"/>
          <w:sz w:val="24"/>
          <w:szCs w:val="24"/>
        </w:rPr>
        <w:t>не</w:t>
      </w:r>
      <w:r w:rsidRPr="0007021A">
        <w:rPr>
          <w:rFonts w:ascii="Times New Roman" w:hAnsi="Times New Roman"/>
          <w:sz w:val="24"/>
          <w:szCs w:val="24"/>
        </w:rPr>
        <w:t xml:space="preserve"> </w:t>
      </w:r>
      <w:r w:rsidR="004949B5" w:rsidRPr="0007021A">
        <w:rPr>
          <w:rFonts w:ascii="Times New Roman" w:hAnsi="Times New Roman"/>
          <w:sz w:val="24"/>
          <w:szCs w:val="24"/>
        </w:rPr>
        <w:t>поднесе</w:t>
      </w:r>
      <w:r w:rsidRPr="0007021A">
        <w:rPr>
          <w:rFonts w:ascii="Times New Roman" w:hAnsi="Times New Roman"/>
          <w:sz w:val="24"/>
          <w:szCs w:val="24"/>
        </w:rPr>
        <w:t xml:space="preserve"> </w:t>
      </w:r>
      <w:r w:rsidR="004949B5" w:rsidRPr="0007021A">
        <w:rPr>
          <w:rFonts w:ascii="Times New Roman" w:hAnsi="Times New Roman"/>
          <w:sz w:val="24"/>
          <w:szCs w:val="24"/>
        </w:rPr>
        <w:t>или</w:t>
      </w:r>
      <w:r w:rsidRPr="0007021A">
        <w:rPr>
          <w:rFonts w:ascii="Times New Roman" w:hAnsi="Times New Roman"/>
          <w:sz w:val="24"/>
          <w:szCs w:val="24"/>
        </w:rPr>
        <w:t xml:space="preserve"> </w:t>
      </w:r>
      <w:r w:rsidR="004949B5" w:rsidRPr="0007021A">
        <w:rPr>
          <w:rFonts w:ascii="Times New Roman" w:hAnsi="Times New Roman"/>
          <w:sz w:val="24"/>
          <w:szCs w:val="24"/>
        </w:rPr>
        <w:t>не</w:t>
      </w:r>
      <w:r w:rsidRPr="0007021A">
        <w:rPr>
          <w:rFonts w:ascii="Times New Roman" w:hAnsi="Times New Roman"/>
          <w:sz w:val="24"/>
          <w:szCs w:val="24"/>
        </w:rPr>
        <w:t xml:space="preserve"> </w:t>
      </w:r>
      <w:r w:rsidR="004949B5" w:rsidRPr="0007021A">
        <w:rPr>
          <w:rFonts w:ascii="Times New Roman" w:hAnsi="Times New Roman"/>
          <w:sz w:val="24"/>
          <w:szCs w:val="24"/>
        </w:rPr>
        <w:t>поднесе</w:t>
      </w:r>
      <w:r w:rsidRPr="0007021A">
        <w:rPr>
          <w:rFonts w:ascii="Times New Roman" w:hAnsi="Times New Roman"/>
          <w:sz w:val="24"/>
          <w:szCs w:val="24"/>
        </w:rPr>
        <w:t xml:space="preserve"> </w:t>
      </w:r>
      <w:r w:rsidR="004949B5" w:rsidRPr="0007021A">
        <w:rPr>
          <w:rFonts w:ascii="Times New Roman" w:hAnsi="Times New Roman"/>
          <w:sz w:val="24"/>
          <w:szCs w:val="24"/>
        </w:rPr>
        <w:t>благовремено</w:t>
      </w:r>
      <w:r w:rsidRPr="0007021A">
        <w:rPr>
          <w:rFonts w:ascii="Times New Roman" w:hAnsi="Times New Roman"/>
          <w:sz w:val="24"/>
          <w:szCs w:val="24"/>
        </w:rPr>
        <w:t xml:space="preserve"> </w:t>
      </w:r>
      <w:r w:rsidR="004949B5" w:rsidRPr="0007021A">
        <w:rPr>
          <w:rFonts w:ascii="Times New Roman" w:hAnsi="Times New Roman"/>
          <w:sz w:val="24"/>
          <w:szCs w:val="24"/>
        </w:rPr>
        <w:t>обрачун</w:t>
      </w:r>
      <w:r w:rsidRPr="0007021A">
        <w:rPr>
          <w:rFonts w:ascii="Times New Roman" w:hAnsi="Times New Roman"/>
          <w:sz w:val="24"/>
          <w:szCs w:val="24"/>
        </w:rPr>
        <w:t xml:space="preserve"> </w:t>
      </w:r>
      <w:r w:rsidR="004949B5" w:rsidRPr="0007021A">
        <w:rPr>
          <w:rFonts w:ascii="Times New Roman" w:hAnsi="Times New Roman"/>
          <w:sz w:val="24"/>
          <w:szCs w:val="24"/>
        </w:rPr>
        <w:t>акцизе</w:t>
      </w:r>
      <w:r w:rsidRPr="0007021A">
        <w:rPr>
          <w:rFonts w:ascii="Times New Roman" w:hAnsi="Times New Roman"/>
          <w:sz w:val="24"/>
          <w:szCs w:val="24"/>
        </w:rPr>
        <w:t xml:space="preserve"> (</w:t>
      </w:r>
      <w:r w:rsidR="004949B5" w:rsidRPr="0007021A">
        <w:rPr>
          <w:rFonts w:ascii="Times New Roman" w:hAnsi="Times New Roman"/>
          <w:sz w:val="24"/>
          <w:szCs w:val="24"/>
        </w:rPr>
        <w:t>чл</w:t>
      </w:r>
      <w:r w:rsidRPr="0007021A">
        <w:rPr>
          <w:rFonts w:ascii="Times New Roman" w:hAnsi="Times New Roman"/>
          <w:sz w:val="24"/>
          <w:szCs w:val="24"/>
        </w:rPr>
        <w:t xml:space="preserve">. 24. </w:t>
      </w:r>
      <w:r w:rsidR="004949B5" w:rsidRPr="0007021A">
        <w:rPr>
          <w:rFonts w:ascii="Times New Roman" w:hAnsi="Times New Roman"/>
          <w:sz w:val="24"/>
          <w:szCs w:val="24"/>
        </w:rPr>
        <w:t>и</w:t>
      </w:r>
      <w:r w:rsidRPr="0007021A">
        <w:rPr>
          <w:rFonts w:ascii="Times New Roman" w:hAnsi="Times New Roman"/>
          <w:sz w:val="24"/>
          <w:szCs w:val="24"/>
        </w:rPr>
        <w:t xml:space="preserve"> 25);</w:t>
      </w:r>
    </w:p>
    <w:p w:rsidR="00823027" w:rsidRPr="0007021A" w:rsidRDefault="00823027" w:rsidP="0007021A">
      <w:pPr>
        <w:jc w:val="both"/>
        <w:rPr>
          <w:rFonts w:ascii="Times New Roman" w:hAnsi="Times New Roman"/>
          <w:sz w:val="24"/>
          <w:szCs w:val="24"/>
        </w:rPr>
      </w:pPr>
      <w:r w:rsidRPr="0007021A">
        <w:rPr>
          <w:rFonts w:ascii="Times New Roman" w:hAnsi="Times New Roman"/>
          <w:sz w:val="24"/>
          <w:szCs w:val="24"/>
        </w:rPr>
        <w:t xml:space="preserve">4) </w:t>
      </w:r>
      <w:r w:rsidR="004949B5" w:rsidRPr="0007021A">
        <w:rPr>
          <w:rFonts w:ascii="Times New Roman" w:hAnsi="Times New Roman"/>
          <w:sz w:val="24"/>
          <w:szCs w:val="24"/>
        </w:rPr>
        <w:t>не</w:t>
      </w:r>
      <w:r w:rsidRPr="0007021A">
        <w:rPr>
          <w:rFonts w:ascii="Times New Roman" w:hAnsi="Times New Roman"/>
          <w:sz w:val="24"/>
          <w:szCs w:val="24"/>
        </w:rPr>
        <w:t xml:space="preserve"> </w:t>
      </w:r>
      <w:r w:rsidR="004949B5" w:rsidRPr="0007021A">
        <w:rPr>
          <w:rFonts w:ascii="Times New Roman" w:hAnsi="Times New Roman"/>
          <w:sz w:val="24"/>
          <w:szCs w:val="24"/>
        </w:rPr>
        <w:t>пријави</w:t>
      </w:r>
      <w:r w:rsidRPr="0007021A">
        <w:rPr>
          <w:rFonts w:ascii="Times New Roman" w:hAnsi="Times New Roman"/>
          <w:sz w:val="24"/>
          <w:szCs w:val="24"/>
        </w:rPr>
        <w:t xml:space="preserve"> </w:t>
      </w:r>
      <w:r w:rsidR="004949B5" w:rsidRPr="0007021A">
        <w:rPr>
          <w:rFonts w:ascii="Times New Roman" w:hAnsi="Times New Roman"/>
          <w:sz w:val="24"/>
          <w:szCs w:val="24"/>
        </w:rPr>
        <w:t>почетак</w:t>
      </w:r>
      <w:r w:rsidRPr="0007021A">
        <w:rPr>
          <w:rFonts w:ascii="Times New Roman" w:hAnsi="Times New Roman"/>
          <w:sz w:val="24"/>
          <w:szCs w:val="24"/>
        </w:rPr>
        <w:t xml:space="preserve"> </w:t>
      </w:r>
      <w:r w:rsidR="004949B5" w:rsidRPr="0007021A">
        <w:rPr>
          <w:rFonts w:ascii="Times New Roman" w:hAnsi="Times New Roman"/>
          <w:sz w:val="24"/>
          <w:szCs w:val="24"/>
        </w:rPr>
        <w:t>обављања</w:t>
      </w:r>
      <w:r w:rsidRPr="0007021A">
        <w:rPr>
          <w:rFonts w:ascii="Times New Roman" w:hAnsi="Times New Roman"/>
          <w:sz w:val="24"/>
          <w:szCs w:val="24"/>
        </w:rPr>
        <w:t xml:space="preserve"> </w:t>
      </w:r>
      <w:r w:rsidR="004949B5" w:rsidRPr="0007021A">
        <w:rPr>
          <w:rFonts w:ascii="Times New Roman" w:hAnsi="Times New Roman"/>
          <w:sz w:val="24"/>
          <w:szCs w:val="24"/>
        </w:rPr>
        <w:t>делатности</w:t>
      </w:r>
      <w:r w:rsidRPr="0007021A">
        <w:rPr>
          <w:rFonts w:ascii="Times New Roman" w:hAnsi="Times New Roman"/>
          <w:sz w:val="24"/>
          <w:szCs w:val="24"/>
        </w:rPr>
        <w:t xml:space="preserve"> </w:t>
      </w:r>
      <w:r w:rsidR="004949B5" w:rsidRPr="0007021A">
        <w:rPr>
          <w:rFonts w:ascii="Times New Roman" w:hAnsi="Times New Roman"/>
          <w:sz w:val="24"/>
          <w:szCs w:val="24"/>
        </w:rPr>
        <w:t>надлежном</w:t>
      </w:r>
      <w:r w:rsidRPr="0007021A">
        <w:rPr>
          <w:rFonts w:ascii="Times New Roman" w:hAnsi="Times New Roman"/>
          <w:sz w:val="24"/>
          <w:szCs w:val="24"/>
        </w:rPr>
        <w:t xml:space="preserve"> </w:t>
      </w:r>
      <w:r w:rsidR="004949B5" w:rsidRPr="0007021A">
        <w:rPr>
          <w:rFonts w:ascii="Times New Roman" w:hAnsi="Times New Roman"/>
          <w:sz w:val="24"/>
          <w:szCs w:val="24"/>
        </w:rPr>
        <w:t>пореском</w:t>
      </w:r>
      <w:r w:rsidRPr="0007021A">
        <w:rPr>
          <w:rFonts w:ascii="Times New Roman" w:hAnsi="Times New Roman"/>
          <w:sz w:val="24"/>
          <w:szCs w:val="24"/>
        </w:rPr>
        <w:t xml:space="preserve"> </w:t>
      </w:r>
      <w:r w:rsidR="004949B5" w:rsidRPr="0007021A">
        <w:rPr>
          <w:rFonts w:ascii="Times New Roman" w:hAnsi="Times New Roman"/>
          <w:sz w:val="24"/>
          <w:szCs w:val="24"/>
        </w:rPr>
        <w:t>органу</w:t>
      </w:r>
      <w:r w:rsidRPr="0007021A">
        <w:rPr>
          <w:rFonts w:ascii="Times New Roman" w:hAnsi="Times New Roman"/>
          <w:sz w:val="24"/>
          <w:szCs w:val="24"/>
        </w:rPr>
        <w:t xml:space="preserve"> (</w:t>
      </w:r>
      <w:r w:rsidR="004949B5" w:rsidRPr="0007021A">
        <w:rPr>
          <w:rFonts w:ascii="Times New Roman" w:hAnsi="Times New Roman"/>
          <w:sz w:val="24"/>
          <w:szCs w:val="24"/>
        </w:rPr>
        <w:t>члан</w:t>
      </w:r>
      <w:r w:rsidRPr="0007021A">
        <w:rPr>
          <w:rFonts w:ascii="Times New Roman" w:hAnsi="Times New Roman"/>
          <w:sz w:val="24"/>
          <w:szCs w:val="24"/>
        </w:rPr>
        <w:t xml:space="preserve"> 30);</w:t>
      </w:r>
    </w:p>
    <w:p w:rsidR="00823027" w:rsidRPr="0007021A" w:rsidRDefault="00027DCA" w:rsidP="0007021A">
      <w:pPr>
        <w:jc w:val="both"/>
        <w:rPr>
          <w:rFonts w:ascii="Times New Roman" w:hAnsi="Times New Roman"/>
          <w:sz w:val="24"/>
          <w:szCs w:val="24"/>
          <w:lang w:val="sr-Cyrl-CS"/>
        </w:rPr>
      </w:pPr>
      <w:r w:rsidRPr="0007021A">
        <w:rPr>
          <w:rFonts w:ascii="Times New Roman" w:hAnsi="Times New Roman"/>
          <w:sz w:val="24"/>
          <w:szCs w:val="24"/>
          <w:lang w:val="sr-Cyrl-CS"/>
        </w:rPr>
        <w:t>4</w:t>
      </w:r>
      <w:r w:rsidR="00823027" w:rsidRPr="0007021A">
        <w:rPr>
          <w:rFonts w:ascii="Times New Roman" w:hAnsi="Times New Roman"/>
          <w:sz w:val="24"/>
          <w:szCs w:val="24"/>
        </w:rPr>
        <w:t xml:space="preserve">) </w:t>
      </w:r>
      <w:r w:rsidR="004949B5" w:rsidRPr="0007021A">
        <w:rPr>
          <w:rFonts w:ascii="Times New Roman" w:hAnsi="Times New Roman"/>
          <w:sz w:val="24"/>
          <w:szCs w:val="24"/>
        </w:rPr>
        <w:t>не</w:t>
      </w:r>
      <w:r w:rsidR="00823027" w:rsidRPr="0007021A">
        <w:rPr>
          <w:rFonts w:ascii="Times New Roman" w:hAnsi="Times New Roman"/>
          <w:sz w:val="24"/>
          <w:szCs w:val="24"/>
        </w:rPr>
        <w:t xml:space="preserve"> </w:t>
      </w:r>
      <w:r w:rsidR="004949B5" w:rsidRPr="0007021A">
        <w:rPr>
          <w:rFonts w:ascii="Times New Roman" w:hAnsi="Times New Roman"/>
          <w:sz w:val="24"/>
          <w:szCs w:val="24"/>
        </w:rPr>
        <w:t>води</w:t>
      </w:r>
      <w:r w:rsidR="00823027" w:rsidRPr="0007021A">
        <w:rPr>
          <w:rFonts w:ascii="Times New Roman" w:hAnsi="Times New Roman"/>
          <w:sz w:val="24"/>
          <w:szCs w:val="24"/>
        </w:rPr>
        <w:t xml:space="preserve"> </w:t>
      </w:r>
      <w:r w:rsidR="004949B5" w:rsidRPr="0007021A">
        <w:rPr>
          <w:rFonts w:ascii="Times New Roman" w:hAnsi="Times New Roman"/>
          <w:sz w:val="24"/>
          <w:szCs w:val="24"/>
        </w:rPr>
        <w:t>евиденцију</w:t>
      </w:r>
      <w:r w:rsidR="00823027" w:rsidRPr="0007021A">
        <w:rPr>
          <w:rFonts w:ascii="Times New Roman" w:hAnsi="Times New Roman"/>
          <w:sz w:val="24"/>
          <w:szCs w:val="24"/>
        </w:rPr>
        <w:t xml:space="preserve"> </w:t>
      </w:r>
      <w:r w:rsidR="004949B5" w:rsidRPr="0007021A">
        <w:rPr>
          <w:rFonts w:ascii="Times New Roman" w:hAnsi="Times New Roman"/>
          <w:sz w:val="24"/>
          <w:szCs w:val="24"/>
        </w:rPr>
        <w:t>о</w:t>
      </w:r>
      <w:r w:rsidR="00823027" w:rsidRPr="0007021A">
        <w:rPr>
          <w:rFonts w:ascii="Times New Roman" w:hAnsi="Times New Roman"/>
          <w:sz w:val="24"/>
          <w:szCs w:val="24"/>
        </w:rPr>
        <w:t xml:space="preserve"> </w:t>
      </w:r>
      <w:r w:rsidR="004949B5" w:rsidRPr="0007021A">
        <w:rPr>
          <w:rFonts w:ascii="Times New Roman" w:hAnsi="Times New Roman"/>
          <w:sz w:val="24"/>
          <w:szCs w:val="24"/>
        </w:rPr>
        <w:t>акцизним</w:t>
      </w:r>
      <w:r w:rsidR="00823027" w:rsidRPr="0007021A">
        <w:rPr>
          <w:rFonts w:ascii="Times New Roman" w:hAnsi="Times New Roman"/>
          <w:sz w:val="24"/>
          <w:szCs w:val="24"/>
        </w:rPr>
        <w:t xml:space="preserve"> </w:t>
      </w:r>
      <w:r w:rsidR="004949B5" w:rsidRPr="0007021A">
        <w:rPr>
          <w:rFonts w:ascii="Times New Roman" w:hAnsi="Times New Roman"/>
          <w:sz w:val="24"/>
          <w:szCs w:val="24"/>
        </w:rPr>
        <w:t>производима</w:t>
      </w:r>
      <w:r w:rsidR="00823027" w:rsidRPr="0007021A">
        <w:rPr>
          <w:rFonts w:ascii="Times New Roman" w:hAnsi="Times New Roman"/>
          <w:sz w:val="24"/>
          <w:szCs w:val="24"/>
        </w:rPr>
        <w:t xml:space="preserve"> </w:t>
      </w:r>
      <w:r w:rsidR="004949B5" w:rsidRPr="0007021A">
        <w:rPr>
          <w:rFonts w:ascii="Times New Roman" w:hAnsi="Times New Roman"/>
          <w:sz w:val="24"/>
          <w:szCs w:val="24"/>
        </w:rPr>
        <w:t>на</w:t>
      </w:r>
      <w:r w:rsidR="00823027" w:rsidRPr="0007021A">
        <w:rPr>
          <w:rFonts w:ascii="Times New Roman" w:hAnsi="Times New Roman"/>
          <w:sz w:val="24"/>
          <w:szCs w:val="24"/>
        </w:rPr>
        <w:t xml:space="preserve"> </w:t>
      </w:r>
      <w:r w:rsidR="004949B5" w:rsidRPr="0007021A">
        <w:rPr>
          <w:rFonts w:ascii="Times New Roman" w:hAnsi="Times New Roman"/>
          <w:sz w:val="24"/>
          <w:szCs w:val="24"/>
        </w:rPr>
        <w:t>начин</w:t>
      </w:r>
      <w:r w:rsidR="00823027" w:rsidRPr="0007021A">
        <w:rPr>
          <w:rFonts w:ascii="Times New Roman" w:hAnsi="Times New Roman"/>
          <w:sz w:val="24"/>
          <w:szCs w:val="24"/>
        </w:rPr>
        <w:t xml:space="preserve"> </w:t>
      </w:r>
      <w:r w:rsidR="004949B5" w:rsidRPr="0007021A">
        <w:rPr>
          <w:rFonts w:ascii="Times New Roman" w:hAnsi="Times New Roman"/>
          <w:sz w:val="24"/>
          <w:szCs w:val="24"/>
        </w:rPr>
        <w:t>који</w:t>
      </w:r>
      <w:r w:rsidR="00823027" w:rsidRPr="0007021A">
        <w:rPr>
          <w:rFonts w:ascii="Times New Roman" w:hAnsi="Times New Roman"/>
          <w:sz w:val="24"/>
          <w:szCs w:val="24"/>
        </w:rPr>
        <w:t xml:space="preserve"> </w:t>
      </w:r>
      <w:r w:rsidR="004949B5" w:rsidRPr="0007021A">
        <w:rPr>
          <w:rFonts w:ascii="Times New Roman" w:hAnsi="Times New Roman"/>
          <w:sz w:val="24"/>
          <w:szCs w:val="24"/>
        </w:rPr>
        <w:t>омогућује</w:t>
      </w:r>
      <w:r w:rsidR="00823027" w:rsidRPr="0007021A">
        <w:rPr>
          <w:rFonts w:ascii="Times New Roman" w:hAnsi="Times New Roman"/>
          <w:sz w:val="24"/>
          <w:szCs w:val="24"/>
        </w:rPr>
        <w:t xml:space="preserve"> </w:t>
      </w:r>
      <w:r w:rsidR="004949B5" w:rsidRPr="0007021A">
        <w:rPr>
          <w:rFonts w:ascii="Times New Roman" w:hAnsi="Times New Roman"/>
          <w:sz w:val="24"/>
          <w:szCs w:val="24"/>
        </w:rPr>
        <w:t>утврђивање</w:t>
      </w:r>
      <w:r w:rsidR="00823027" w:rsidRPr="0007021A">
        <w:rPr>
          <w:rFonts w:ascii="Times New Roman" w:hAnsi="Times New Roman"/>
          <w:sz w:val="24"/>
          <w:szCs w:val="24"/>
        </w:rPr>
        <w:t xml:space="preserve"> </w:t>
      </w:r>
      <w:r w:rsidR="004949B5" w:rsidRPr="0007021A">
        <w:rPr>
          <w:rFonts w:ascii="Times New Roman" w:hAnsi="Times New Roman"/>
          <w:sz w:val="24"/>
          <w:szCs w:val="24"/>
        </w:rPr>
        <w:t>и</w:t>
      </w:r>
      <w:r w:rsidR="00823027" w:rsidRPr="0007021A">
        <w:rPr>
          <w:rFonts w:ascii="Times New Roman" w:hAnsi="Times New Roman"/>
          <w:sz w:val="24"/>
          <w:szCs w:val="24"/>
        </w:rPr>
        <w:t xml:space="preserve"> </w:t>
      </w:r>
      <w:r w:rsidR="004949B5" w:rsidRPr="0007021A">
        <w:rPr>
          <w:rFonts w:ascii="Times New Roman" w:hAnsi="Times New Roman"/>
          <w:sz w:val="24"/>
          <w:szCs w:val="24"/>
        </w:rPr>
        <w:t>контролу</w:t>
      </w:r>
      <w:r w:rsidR="00823027" w:rsidRPr="0007021A">
        <w:rPr>
          <w:rFonts w:ascii="Times New Roman" w:hAnsi="Times New Roman"/>
          <w:sz w:val="24"/>
          <w:szCs w:val="24"/>
        </w:rPr>
        <w:t xml:space="preserve"> </w:t>
      </w:r>
      <w:r w:rsidR="004949B5" w:rsidRPr="0007021A">
        <w:rPr>
          <w:rFonts w:ascii="Times New Roman" w:hAnsi="Times New Roman"/>
          <w:sz w:val="24"/>
          <w:szCs w:val="24"/>
        </w:rPr>
        <w:t>обавезе</w:t>
      </w:r>
      <w:r w:rsidR="00823027" w:rsidRPr="0007021A">
        <w:rPr>
          <w:rFonts w:ascii="Times New Roman" w:hAnsi="Times New Roman"/>
          <w:sz w:val="24"/>
          <w:szCs w:val="24"/>
        </w:rPr>
        <w:t xml:space="preserve"> </w:t>
      </w:r>
      <w:r w:rsidR="004949B5" w:rsidRPr="0007021A">
        <w:rPr>
          <w:rFonts w:ascii="Times New Roman" w:hAnsi="Times New Roman"/>
          <w:sz w:val="24"/>
          <w:szCs w:val="24"/>
        </w:rPr>
        <w:t>акцизе</w:t>
      </w:r>
      <w:r w:rsidR="00823027" w:rsidRPr="0007021A">
        <w:rPr>
          <w:rFonts w:ascii="Times New Roman" w:hAnsi="Times New Roman"/>
          <w:sz w:val="24"/>
          <w:szCs w:val="24"/>
        </w:rPr>
        <w:t xml:space="preserve"> (</w:t>
      </w:r>
      <w:r w:rsidR="004949B5" w:rsidRPr="0007021A">
        <w:rPr>
          <w:rFonts w:ascii="Times New Roman" w:hAnsi="Times New Roman"/>
          <w:sz w:val="24"/>
          <w:szCs w:val="24"/>
        </w:rPr>
        <w:t>члан</w:t>
      </w:r>
      <w:r w:rsidR="00823027" w:rsidRPr="0007021A">
        <w:rPr>
          <w:rFonts w:ascii="Times New Roman" w:hAnsi="Times New Roman"/>
          <w:sz w:val="24"/>
          <w:szCs w:val="24"/>
        </w:rPr>
        <w:t xml:space="preserve"> 31);</w:t>
      </w:r>
    </w:p>
    <w:p w:rsidR="00823027" w:rsidRPr="0007021A" w:rsidRDefault="00027DCA" w:rsidP="0007021A">
      <w:pPr>
        <w:jc w:val="both"/>
        <w:rPr>
          <w:rFonts w:ascii="Times New Roman" w:hAnsi="Times New Roman"/>
          <w:sz w:val="24"/>
          <w:szCs w:val="24"/>
        </w:rPr>
      </w:pPr>
      <w:r w:rsidRPr="0007021A">
        <w:rPr>
          <w:rFonts w:ascii="Times New Roman" w:hAnsi="Times New Roman"/>
          <w:sz w:val="24"/>
          <w:szCs w:val="24"/>
          <w:lang w:val="sr-Cyrl-CS"/>
        </w:rPr>
        <w:t>5</w:t>
      </w:r>
      <w:r w:rsidR="00823027" w:rsidRPr="0007021A">
        <w:rPr>
          <w:rFonts w:ascii="Times New Roman" w:hAnsi="Times New Roman"/>
          <w:sz w:val="24"/>
          <w:szCs w:val="24"/>
        </w:rPr>
        <w:t xml:space="preserve">) </w:t>
      </w:r>
      <w:r w:rsidR="004949B5" w:rsidRPr="0007021A">
        <w:rPr>
          <w:rFonts w:ascii="Times New Roman" w:hAnsi="Times New Roman"/>
          <w:sz w:val="24"/>
          <w:szCs w:val="24"/>
        </w:rPr>
        <w:t>ако</w:t>
      </w:r>
      <w:r w:rsidR="00823027" w:rsidRPr="0007021A">
        <w:rPr>
          <w:rFonts w:ascii="Times New Roman" w:hAnsi="Times New Roman"/>
          <w:sz w:val="24"/>
          <w:szCs w:val="24"/>
        </w:rPr>
        <w:t xml:space="preserve"> </w:t>
      </w:r>
      <w:r w:rsidR="004949B5" w:rsidRPr="0007021A">
        <w:rPr>
          <w:rFonts w:ascii="Times New Roman" w:hAnsi="Times New Roman"/>
          <w:sz w:val="24"/>
          <w:szCs w:val="24"/>
        </w:rPr>
        <w:t>није</w:t>
      </w:r>
      <w:r w:rsidR="00823027" w:rsidRPr="0007021A">
        <w:rPr>
          <w:rFonts w:ascii="Times New Roman" w:hAnsi="Times New Roman"/>
          <w:sz w:val="24"/>
          <w:szCs w:val="24"/>
        </w:rPr>
        <w:t xml:space="preserve"> </w:t>
      </w:r>
      <w:r w:rsidR="004949B5" w:rsidRPr="0007021A">
        <w:rPr>
          <w:rFonts w:ascii="Times New Roman" w:hAnsi="Times New Roman"/>
          <w:sz w:val="24"/>
          <w:szCs w:val="24"/>
        </w:rPr>
        <w:t>доставио</w:t>
      </w:r>
      <w:r w:rsidR="00823027" w:rsidRPr="0007021A">
        <w:rPr>
          <w:rFonts w:ascii="Times New Roman" w:hAnsi="Times New Roman"/>
          <w:sz w:val="24"/>
          <w:szCs w:val="24"/>
        </w:rPr>
        <w:t xml:space="preserve"> </w:t>
      </w:r>
      <w:r w:rsidR="004949B5" w:rsidRPr="0007021A">
        <w:rPr>
          <w:rFonts w:ascii="Times New Roman" w:hAnsi="Times New Roman"/>
          <w:sz w:val="24"/>
          <w:szCs w:val="24"/>
        </w:rPr>
        <w:t>надлежном</w:t>
      </w:r>
      <w:r w:rsidR="00823027" w:rsidRPr="0007021A">
        <w:rPr>
          <w:rFonts w:ascii="Times New Roman" w:hAnsi="Times New Roman"/>
          <w:sz w:val="24"/>
          <w:szCs w:val="24"/>
        </w:rPr>
        <w:t xml:space="preserve"> </w:t>
      </w:r>
      <w:r w:rsidR="004949B5" w:rsidRPr="0007021A">
        <w:rPr>
          <w:rFonts w:ascii="Times New Roman" w:hAnsi="Times New Roman"/>
          <w:sz w:val="24"/>
          <w:szCs w:val="24"/>
        </w:rPr>
        <w:t>пореском</w:t>
      </w:r>
      <w:r w:rsidR="00823027" w:rsidRPr="0007021A">
        <w:rPr>
          <w:rFonts w:ascii="Times New Roman" w:hAnsi="Times New Roman"/>
          <w:sz w:val="24"/>
          <w:szCs w:val="24"/>
        </w:rPr>
        <w:t xml:space="preserve"> </w:t>
      </w:r>
      <w:r w:rsidR="004949B5" w:rsidRPr="0007021A">
        <w:rPr>
          <w:rFonts w:ascii="Times New Roman" w:hAnsi="Times New Roman"/>
          <w:sz w:val="24"/>
          <w:szCs w:val="24"/>
        </w:rPr>
        <w:t>органу</w:t>
      </w:r>
      <w:r w:rsidR="00823027" w:rsidRPr="0007021A">
        <w:rPr>
          <w:rFonts w:ascii="Times New Roman" w:hAnsi="Times New Roman"/>
          <w:sz w:val="24"/>
          <w:szCs w:val="24"/>
        </w:rPr>
        <w:t xml:space="preserve"> </w:t>
      </w:r>
      <w:r w:rsidR="004949B5" w:rsidRPr="0007021A">
        <w:rPr>
          <w:rFonts w:ascii="Times New Roman" w:hAnsi="Times New Roman"/>
          <w:sz w:val="24"/>
          <w:szCs w:val="24"/>
        </w:rPr>
        <w:t>доказ</w:t>
      </w:r>
      <w:r w:rsidR="00823027" w:rsidRPr="0007021A">
        <w:rPr>
          <w:rFonts w:ascii="Times New Roman" w:hAnsi="Times New Roman"/>
          <w:sz w:val="24"/>
          <w:szCs w:val="24"/>
        </w:rPr>
        <w:t xml:space="preserve"> </w:t>
      </w:r>
      <w:r w:rsidR="004949B5" w:rsidRPr="0007021A">
        <w:rPr>
          <w:rFonts w:ascii="Times New Roman" w:hAnsi="Times New Roman"/>
          <w:sz w:val="24"/>
          <w:szCs w:val="24"/>
        </w:rPr>
        <w:t>да</w:t>
      </w:r>
      <w:r w:rsidR="00823027" w:rsidRPr="0007021A">
        <w:rPr>
          <w:rFonts w:ascii="Times New Roman" w:hAnsi="Times New Roman"/>
          <w:sz w:val="24"/>
          <w:szCs w:val="24"/>
        </w:rPr>
        <w:t xml:space="preserve"> </w:t>
      </w:r>
      <w:r w:rsidR="004949B5" w:rsidRPr="0007021A">
        <w:rPr>
          <w:rFonts w:ascii="Times New Roman" w:hAnsi="Times New Roman"/>
          <w:sz w:val="24"/>
          <w:szCs w:val="24"/>
        </w:rPr>
        <w:t>је</w:t>
      </w:r>
      <w:r w:rsidR="00823027" w:rsidRPr="0007021A">
        <w:rPr>
          <w:rFonts w:ascii="Times New Roman" w:hAnsi="Times New Roman"/>
          <w:sz w:val="24"/>
          <w:szCs w:val="24"/>
        </w:rPr>
        <w:t xml:space="preserve"> </w:t>
      </w:r>
      <w:r w:rsidR="004949B5" w:rsidRPr="0007021A">
        <w:rPr>
          <w:rFonts w:ascii="Times New Roman" w:hAnsi="Times New Roman"/>
          <w:sz w:val="24"/>
          <w:szCs w:val="24"/>
        </w:rPr>
        <w:t>средства</w:t>
      </w:r>
      <w:r w:rsidR="00823027" w:rsidRPr="0007021A">
        <w:rPr>
          <w:rFonts w:ascii="Times New Roman" w:hAnsi="Times New Roman"/>
          <w:sz w:val="24"/>
          <w:szCs w:val="24"/>
        </w:rPr>
        <w:t xml:space="preserve"> </w:t>
      </w:r>
      <w:r w:rsidR="004949B5" w:rsidRPr="0007021A">
        <w:rPr>
          <w:rFonts w:ascii="Times New Roman" w:hAnsi="Times New Roman"/>
          <w:sz w:val="24"/>
          <w:szCs w:val="24"/>
        </w:rPr>
        <w:t>по</w:t>
      </w:r>
      <w:r w:rsidR="00823027" w:rsidRPr="0007021A">
        <w:rPr>
          <w:rFonts w:ascii="Times New Roman" w:hAnsi="Times New Roman"/>
          <w:sz w:val="24"/>
          <w:szCs w:val="24"/>
        </w:rPr>
        <w:t xml:space="preserve"> </w:t>
      </w:r>
      <w:r w:rsidR="004949B5" w:rsidRPr="0007021A">
        <w:rPr>
          <w:rFonts w:ascii="Times New Roman" w:hAnsi="Times New Roman"/>
          <w:sz w:val="24"/>
          <w:szCs w:val="24"/>
        </w:rPr>
        <w:t>основу</w:t>
      </w:r>
      <w:r w:rsidR="00823027" w:rsidRPr="0007021A">
        <w:rPr>
          <w:rFonts w:ascii="Times New Roman" w:hAnsi="Times New Roman"/>
          <w:sz w:val="24"/>
          <w:szCs w:val="24"/>
        </w:rPr>
        <w:t xml:space="preserve"> </w:t>
      </w:r>
      <w:r w:rsidR="004949B5" w:rsidRPr="0007021A">
        <w:rPr>
          <w:rFonts w:ascii="Times New Roman" w:hAnsi="Times New Roman"/>
          <w:sz w:val="24"/>
          <w:szCs w:val="24"/>
        </w:rPr>
        <w:t>повраћаја</w:t>
      </w:r>
      <w:r w:rsidR="00823027" w:rsidRPr="0007021A">
        <w:rPr>
          <w:rFonts w:ascii="Times New Roman" w:hAnsi="Times New Roman"/>
          <w:sz w:val="24"/>
          <w:szCs w:val="24"/>
        </w:rPr>
        <w:t xml:space="preserve"> </w:t>
      </w:r>
      <w:r w:rsidR="004949B5" w:rsidRPr="0007021A">
        <w:rPr>
          <w:rFonts w:ascii="Times New Roman" w:hAnsi="Times New Roman"/>
          <w:sz w:val="24"/>
          <w:szCs w:val="24"/>
        </w:rPr>
        <w:t>акцизе</w:t>
      </w:r>
      <w:r w:rsidR="00823027" w:rsidRPr="0007021A">
        <w:rPr>
          <w:rFonts w:ascii="Times New Roman" w:hAnsi="Times New Roman"/>
          <w:sz w:val="24"/>
          <w:szCs w:val="24"/>
        </w:rPr>
        <w:t xml:space="preserve"> </w:t>
      </w:r>
      <w:r w:rsidR="004949B5" w:rsidRPr="0007021A">
        <w:rPr>
          <w:rFonts w:ascii="Times New Roman" w:hAnsi="Times New Roman"/>
          <w:sz w:val="24"/>
          <w:szCs w:val="24"/>
        </w:rPr>
        <w:t>пренео</w:t>
      </w:r>
      <w:r w:rsidR="00823027" w:rsidRPr="0007021A">
        <w:rPr>
          <w:rFonts w:ascii="Times New Roman" w:hAnsi="Times New Roman"/>
          <w:sz w:val="24"/>
          <w:szCs w:val="24"/>
        </w:rPr>
        <w:t xml:space="preserve"> </w:t>
      </w:r>
      <w:r w:rsidR="004949B5" w:rsidRPr="0007021A">
        <w:rPr>
          <w:rFonts w:ascii="Times New Roman" w:hAnsi="Times New Roman"/>
          <w:sz w:val="24"/>
          <w:szCs w:val="24"/>
        </w:rPr>
        <w:t>на</w:t>
      </w:r>
      <w:r w:rsidR="00823027" w:rsidRPr="0007021A">
        <w:rPr>
          <w:rFonts w:ascii="Times New Roman" w:hAnsi="Times New Roman"/>
          <w:sz w:val="24"/>
          <w:szCs w:val="24"/>
        </w:rPr>
        <w:t xml:space="preserve"> </w:t>
      </w:r>
      <w:r w:rsidR="004949B5" w:rsidRPr="0007021A">
        <w:rPr>
          <w:rFonts w:ascii="Times New Roman" w:hAnsi="Times New Roman"/>
          <w:sz w:val="24"/>
          <w:szCs w:val="24"/>
        </w:rPr>
        <w:t>купца</w:t>
      </w:r>
      <w:r w:rsidR="00823027" w:rsidRPr="0007021A">
        <w:rPr>
          <w:rFonts w:ascii="Times New Roman" w:hAnsi="Times New Roman"/>
          <w:sz w:val="24"/>
          <w:szCs w:val="24"/>
        </w:rPr>
        <w:t xml:space="preserve"> (</w:t>
      </w:r>
      <w:r w:rsidR="004949B5" w:rsidRPr="0007021A">
        <w:rPr>
          <w:rFonts w:ascii="Times New Roman" w:hAnsi="Times New Roman"/>
          <w:sz w:val="24"/>
          <w:szCs w:val="24"/>
        </w:rPr>
        <w:t>члан</w:t>
      </w:r>
      <w:r w:rsidR="00823027" w:rsidRPr="0007021A">
        <w:rPr>
          <w:rFonts w:ascii="Times New Roman" w:hAnsi="Times New Roman"/>
          <w:sz w:val="24"/>
          <w:szCs w:val="24"/>
        </w:rPr>
        <w:t xml:space="preserve"> 37. </w:t>
      </w:r>
      <w:r w:rsidR="004949B5" w:rsidRPr="0007021A">
        <w:rPr>
          <w:rFonts w:ascii="Times New Roman" w:hAnsi="Times New Roman"/>
          <w:sz w:val="24"/>
          <w:szCs w:val="24"/>
        </w:rPr>
        <w:t>став</w:t>
      </w:r>
      <w:r w:rsidR="00823027" w:rsidRPr="0007021A">
        <w:rPr>
          <w:rFonts w:ascii="Times New Roman" w:hAnsi="Times New Roman"/>
          <w:sz w:val="24"/>
          <w:szCs w:val="24"/>
        </w:rPr>
        <w:t xml:space="preserve"> 6);</w:t>
      </w:r>
    </w:p>
    <w:p w:rsidR="00823027" w:rsidRPr="0007021A" w:rsidRDefault="00027DCA" w:rsidP="0007021A">
      <w:pPr>
        <w:jc w:val="both"/>
        <w:rPr>
          <w:rFonts w:ascii="Times New Roman" w:hAnsi="Times New Roman"/>
          <w:sz w:val="24"/>
          <w:szCs w:val="24"/>
        </w:rPr>
      </w:pPr>
      <w:r w:rsidRPr="0007021A">
        <w:rPr>
          <w:rFonts w:ascii="Times New Roman" w:hAnsi="Times New Roman"/>
          <w:sz w:val="24"/>
          <w:szCs w:val="24"/>
          <w:lang w:val="sr-Cyrl-CS"/>
        </w:rPr>
        <w:t>6</w:t>
      </w:r>
      <w:r w:rsidR="00823027" w:rsidRPr="0007021A">
        <w:rPr>
          <w:rFonts w:ascii="Times New Roman" w:hAnsi="Times New Roman"/>
          <w:sz w:val="24"/>
          <w:szCs w:val="24"/>
        </w:rPr>
        <w:t xml:space="preserve">) </w:t>
      </w:r>
      <w:r w:rsidR="004949B5" w:rsidRPr="0007021A">
        <w:rPr>
          <w:rFonts w:ascii="Times New Roman" w:hAnsi="Times New Roman"/>
          <w:sz w:val="24"/>
          <w:szCs w:val="24"/>
        </w:rPr>
        <w:t>продаје</w:t>
      </w:r>
      <w:r w:rsidR="00823027" w:rsidRPr="0007021A">
        <w:rPr>
          <w:rFonts w:ascii="Times New Roman" w:hAnsi="Times New Roman"/>
          <w:sz w:val="24"/>
          <w:szCs w:val="24"/>
        </w:rPr>
        <w:t xml:space="preserve"> </w:t>
      </w:r>
      <w:r w:rsidR="004949B5" w:rsidRPr="0007021A">
        <w:rPr>
          <w:rFonts w:ascii="Times New Roman" w:hAnsi="Times New Roman"/>
          <w:sz w:val="24"/>
          <w:szCs w:val="24"/>
        </w:rPr>
        <w:t>дуванске</w:t>
      </w:r>
      <w:r w:rsidR="00823027" w:rsidRPr="0007021A">
        <w:rPr>
          <w:rFonts w:ascii="Times New Roman" w:hAnsi="Times New Roman"/>
          <w:sz w:val="24"/>
          <w:szCs w:val="24"/>
        </w:rPr>
        <w:t xml:space="preserve"> </w:t>
      </w:r>
      <w:r w:rsidR="004949B5" w:rsidRPr="0007021A">
        <w:rPr>
          <w:rFonts w:ascii="Times New Roman" w:hAnsi="Times New Roman"/>
          <w:sz w:val="24"/>
          <w:szCs w:val="24"/>
        </w:rPr>
        <w:t>прерађевине</w:t>
      </w:r>
      <w:r w:rsidR="00823027" w:rsidRPr="0007021A">
        <w:rPr>
          <w:rFonts w:ascii="Times New Roman" w:hAnsi="Times New Roman"/>
          <w:sz w:val="24"/>
          <w:szCs w:val="24"/>
        </w:rPr>
        <w:t xml:space="preserve"> </w:t>
      </w:r>
      <w:r w:rsidR="004949B5" w:rsidRPr="0007021A">
        <w:rPr>
          <w:rFonts w:ascii="Times New Roman" w:hAnsi="Times New Roman"/>
          <w:sz w:val="24"/>
          <w:szCs w:val="24"/>
        </w:rPr>
        <w:t>по</w:t>
      </w:r>
      <w:r w:rsidR="00823027" w:rsidRPr="0007021A">
        <w:rPr>
          <w:rFonts w:ascii="Times New Roman" w:hAnsi="Times New Roman"/>
          <w:sz w:val="24"/>
          <w:szCs w:val="24"/>
        </w:rPr>
        <w:t xml:space="preserve"> </w:t>
      </w:r>
      <w:r w:rsidR="004949B5" w:rsidRPr="0007021A">
        <w:rPr>
          <w:rFonts w:ascii="Times New Roman" w:hAnsi="Times New Roman"/>
          <w:sz w:val="24"/>
          <w:szCs w:val="24"/>
        </w:rPr>
        <w:t>малопродајним</w:t>
      </w:r>
      <w:r w:rsidR="00823027" w:rsidRPr="0007021A">
        <w:rPr>
          <w:rFonts w:ascii="Times New Roman" w:hAnsi="Times New Roman"/>
          <w:sz w:val="24"/>
          <w:szCs w:val="24"/>
        </w:rPr>
        <w:t xml:space="preserve"> </w:t>
      </w:r>
      <w:r w:rsidR="004949B5" w:rsidRPr="0007021A">
        <w:rPr>
          <w:rFonts w:ascii="Times New Roman" w:hAnsi="Times New Roman"/>
          <w:sz w:val="24"/>
          <w:szCs w:val="24"/>
        </w:rPr>
        <w:t>ценама</w:t>
      </w:r>
      <w:r w:rsidR="00823027" w:rsidRPr="0007021A">
        <w:rPr>
          <w:rFonts w:ascii="Times New Roman" w:hAnsi="Times New Roman"/>
          <w:sz w:val="24"/>
          <w:szCs w:val="24"/>
        </w:rPr>
        <w:t xml:space="preserve"> </w:t>
      </w:r>
      <w:r w:rsidR="004949B5" w:rsidRPr="0007021A">
        <w:rPr>
          <w:rFonts w:ascii="Times New Roman" w:hAnsi="Times New Roman"/>
          <w:sz w:val="24"/>
          <w:szCs w:val="24"/>
        </w:rPr>
        <w:t>које</w:t>
      </w:r>
      <w:r w:rsidR="00823027" w:rsidRPr="0007021A">
        <w:rPr>
          <w:rFonts w:ascii="Times New Roman" w:hAnsi="Times New Roman"/>
          <w:sz w:val="24"/>
          <w:szCs w:val="24"/>
        </w:rPr>
        <w:t xml:space="preserve"> </w:t>
      </w:r>
      <w:r w:rsidR="004949B5" w:rsidRPr="0007021A">
        <w:rPr>
          <w:rFonts w:ascii="Times New Roman" w:hAnsi="Times New Roman"/>
          <w:sz w:val="24"/>
          <w:szCs w:val="24"/>
        </w:rPr>
        <w:t>су</w:t>
      </w:r>
      <w:r w:rsidR="00823027" w:rsidRPr="0007021A">
        <w:rPr>
          <w:rFonts w:ascii="Times New Roman" w:hAnsi="Times New Roman"/>
          <w:sz w:val="24"/>
          <w:szCs w:val="24"/>
        </w:rPr>
        <w:t xml:space="preserve"> </w:t>
      </w:r>
      <w:r w:rsidR="004949B5" w:rsidRPr="0007021A">
        <w:rPr>
          <w:rFonts w:ascii="Times New Roman" w:hAnsi="Times New Roman"/>
          <w:sz w:val="24"/>
          <w:szCs w:val="24"/>
        </w:rPr>
        <w:t>различите</w:t>
      </w:r>
      <w:r w:rsidR="00823027" w:rsidRPr="0007021A">
        <w:rPr>
          <w:rFonts w:ascii="Times New Roman" w:hAnsi="Times New Roman"/>
          <w:sz w:val="24"/>
          <w:szCs w:val="24"/>
        </w:rPr>
        <w:t xml:space="preserve"> </w:t>
      </w:r>
      <w:r w:rsidR="004949B5" w:rsidRPr="0007021A">
        <w:rPr>
          <w:rFonts w:ascii="Times New Roman" w:hAnsi="Times New Roman"/>
          <w:sz w:val="24"/>
          <w:szCs w:val="24"/>
        </w:rPr>
        <w:t>од</w:t>
      </w:r>
      <w:r w:rsidR="00823027" w:rsidRPr="0007021A">
        <w:rPr>
          <w:rFonts w:ascii="Times New Roman" w:hAnsi="Times New Roman"/>
          <w:sz w:val="24"/>
          <w:szCs w:val="24"/>
        </w:rPr>
        <w:t xml:space="preserve"> </w:t>
      </w:r>
      <w:r w:rsidR="004949B5" w:rsidRPr="0007021A">
        <w:rPr>
          <w:rFonts w:ascii="Times New Roman" w:hAnsi="Times New Roman"/>
          <w:sz w:val="24"/>
          <w:szCs w:val="24"/>
        </w:rPr>
        <w:t>оних</w:t>
      </w:r>
      <w:r w:rsidR="00823027" w:rsidRPr="0007021A">
        <w:rPr>
          <w:rFonts w:ascii="Times New Roman" w:hAnsi="Times New Roman"/>
          <w:sz w:val="24"/>
          <w:szCs w:val="24"/>
        </w:rPr>
        <w:t xml:space="preserve"> </w:t>
      </w:r>
      <w:r w:rsidR="004949B5" w:rsidRPr="0007021A">
        <w:rPr>
          <w:rFonts w:ascii="Times New Roman" w:hAnsi="Times New Roman"/>
          <w:sz w:val="24"/>
          <w:szCs w:val="24"/>
        </w:rPr>
        <w:t>које</w:t>
      </w:r>
      <w:r w:rsidR="00823027" w:rsidRPr="0007021A">
        <w:rPr>
          <w:rFonts w:ascii="Times New Roman" w:hAnsi="Times New Roman"/>
          <w:sz w:val="24"/>
          <w:szCs w:val="24"/>
        </w:rPr>
        <w:t xml:space="preserve"> </w:t>
      </w:r>
      <w:r w:rsidR="004949B5" w:rsidRPr="0007021A">
        <w:rPr>
          <w:rFonts w:ascii="Times New Roman" w:hAnsi="Times New Roman"/>
          <w:sz w:val="24"/>
          <w:szCs w:val="24"/>
        </w:rPr>
        <w:t>је</w:t>
      </w:r>
      <w:r w:rsidR="00823027" w:rsidRPr="0007021A">
        <w:rPr>
          <w:rFonts w:ascii="Times New Roman" w:hAnsi="Times New Roman"/>
          <w:sz w:val="24"/>
          <w:szCs w:val="24"/>
        </w:rPr>
        <w:t xml:space="preserve"> </w:t>
      </w:r>
      <w:r w:rsidR="004949B5" w:rsidRPr="0007021A">
        <w:rPr>
          <w:rFonts w:ascii="Times New Roman" w:hAnsi="Times New Roman"/>
          <w:sz w:val="24"/>
          <w:szCs w:val="24"/>
        </w:rPr>
        <w:t>одредио</w:t>
      </w:r>
      <w:r w:rsidR="00823027" w:rsidRPr="0007021A">
        <w:rPr>
          <w:rFonts w:ascii="Times New Roman" w:hAnsi="Times New Roman"/>
          <w:sz w:val="24"/>
          <w:szCs w:val="24"/>
        </w:rPr>
        <w:t xml:space="preserve"> </w:t>
      </w:r>
      <w:r w:rsidR="004949B5" w:rsidRPr="0007021A">
        <w:rPr>
          <w:rFonts w:ascii="Times New Roman" w:hAnsi="Times New Roman"/>
          <w:sz w:val="24"/>
          <w:szCs w:val="24"/>
        </w:rPr>
        <w:t>произвођач</w:t>
      </w:r>
      <w:r w:rsidR="00823027" w:rsidRPr="0007021A">
        <w:rPr>
          <w:rFonts w:ascii="Times New Roman" w:hAnsi="Times New Roman"/>
          <w:sz w:val="24"/>
          <w:szCs w:val="24"/>
        </w:rPr>
        <w:t xml:space="preserve">, </w:t>
      </w:r>
      <w:r w:rsidR="004949B5" w:rsidRPr="0007021A">
        <w:rPr>
          <w:rFonts w:ascii="Times New Roman" w:hAnsi="Times New Roman"/>
          <w:sz w:val="24"/>
          <w:szCs w:val="24"/>
        </w:rPr>
        <w:t>односно</w:t>
      </w:r>
      <w:r w:rsidR="00823027" w:rsidRPr="0007021A">
        <w:rPr>
          <w:rFonts w:ascii="Times New Roman" w:hAnsi="Times New Roman"/>
          <w:sz w:val="24"/>
          <w:szCs w:val="24"/>
        </w:rPr>
        <w:t xml:space="preserve"> </w:t>
      </w:r>
      <w:r w:rsidR="004949B5" w:rsidRPr="0007021A">
        <w:rPr>
          <w:rFonts w:ascii="Times New Roman" w:hAnsi="Times New Roman"/>
          <w:sz w:val="24"/>
          <w:szCs w:val="24"/>
        </w:rPr>
        <w:t>увозник</w:t>
      </w:r>
      <w:r w:rsidR="00823027" w:rsidRPr="0007021A">
        <w:rPr>
          <w:rFonts w:ascii="Times New Roman" w:hAnsi="Times New Roman"/>
          <w:sz w:val="24"/>
          <w:szCs w:val="24"/>
        </w:rPr>
        <w:t xml:space="preserve"> (</w:t>
      </w:r>
      <w:r w:rsidR="004949B5" w:rsidRPr="0007021A">
        <w:rPr>
          <w:rFonts w:ascii="Times New Roman" w:hAnsi="Times New Roman"/>
          <w:sz w:val="24"/>
          <w:szCs w:val="24"/>
        </w:rPr>
        <w:t>члан</w:t>
      </w:r>
      <w:r w:rsidR="00823027" w:rsidRPr="0007021A">
        <w:rPr>
          <w:rFonts w:ascii="Times New Roman" w:hAnsi="Times New Roman"/>
          <w:sz w:val="24"/>
          <w:szCs w:val="24"/>
        </w:rPr>
        <w:t xml:space="preserve"> 40</w:t>
      </w:r>
      <w:r w:rsidR="004949B5" w:rsidRPr="0007021A">
        <w:rPr>
          <w:rFonts w:ascii="Times New Roman" w:hAnsi="Times New Roman"/>
          <w:sz w:val="24"/>
          <w:szCs w:val="24"/>
        </w:rPr>
        <w:t>ђ</w:t>
      </w:r>
      <w:r w:rsidR="00823027" w:rsidRPr="0007021A">
        <w:rPr>
          <w:rFonts w:ascii="Times New Roman" w:hAnsi="Times New Roman"/>
          <w:sz w:val="24"/>
          <w:szCs w:val="24"/>
        </w:rPr>
        <w:t>);</w:t>
      </w:r>
    </w:p>
    <w:p w:rsidR="00823027" w:rsidRPr="0007021A" w:rsidRDefault="00027DCA" w:rsidP="0007021A">
      <w:pPr>
        <w:jc w:val="both"/>
        <w:rPr>
          <w:rFonts w:ascii="Times New Roman" w:hAnsi="Times New Roman"/>
          <w:sz w:val="24"/>
          <w:szCs w:val="24"/>
        </w:rPr>
      </w:pPr>
      <w:r w:rsidRPr="0007021A">
        <w:rPr>
          <w:rFonts w:ascii="Times New Roman" w:hAnsi="Times New Roman"/>
          <w:sz w:val="24"/>
          <w:szCs w:val="24"/>
          <w:lang w:val="sr-Cyrl-CS"/>
        </w:rPr>
        <w:t>7</w:t>
      </w:r>
      <w:r w:rsidR="00823027" w:rsidRPr="0007021A">
        <w:rPr>
          <w:rFonts w:ascii="Times New Roman" w:hAnsi="Times New Roman"/>
          <w:sz w:val="24"/>
          <w:szCs w:val="24"/>
        </w:rPr>
        <w:t xml:space="preserve">) </w:t>
      </w:r>
      <w:r w:rsidR="004949B5" w:rsidRPr="0007021A">
        <w:rPr>
          <w:rFonts w:ascii="Times New Roman" w:hAnsi="Times New Roman"/>
          <w:sz w:val="24"/>
          <w:szCs w:val="24"/>
        </w:rPr>
        <w:t>малопродајне</w:t>
      </w:r>
      <w:r w:rsidR="00823027" w:rsidRPr="0007021A">
        <w:rPr>
          <w:rFonts w:ascii="Times New Roman" w:hAnsi="Times New Roman"/>
          <w:sz w:val="24"/>
          <w:szCs w:val="24"/>
        </w:rPr>
        <w:t xml:space="preserve"> </w:t>
      </w:r>
      <w:r w:rsidR="004949B5" w:rsidRPr="0007021A">
        <w:rPr>
          <w:rFonts w:ascii="Times New Roman" w:hAnsi="Times New Roman"/>
          <w:sz w:val="24"/>
          <w:szCs w:val="24"/>
        </w:rPr>
        <w:t>цене</w:t>
      </w:r>
      <w:r w:rsidR="00823027" w:rsidRPr="0007021A">
        <w:rPr>
          <w:rFonts w:ascii="Times New Roman" w:hAnsi="Times New Roman"/>
          <w:sz w:val="24"/>
          <w:szCs w:val="24"/>
        </w:rPr>
        <w:t xml:space="preserve"> </w:t>
      </w:r>
      <w:r w:rsidR="004949B5" w:rsidRPr="0007021A">
        <w:rPr>
          <w:rFonts w:ascii="Times New Roman" w:hAnsi="Times New Roman"/>
          <w:sz w:val="24"/>
          <w:szCs w:val="24"/>
        </w:rPr>
        <w:t>дуванских</w:t>
      </w:r>
      <w:r w:rsidR="00823027" w:rsidRPr="0007021A">
        <w:rPr>
          <w:rFonts w:ascii="Times New Roman" w:hAnsi="Times New Roman"/>
          <w:sz w:val="24"/>
          <w:szCs w:val="24"/>
        </w:rPr>
        <w:t xml:space="preserve"> </w:t>
      </w:r>
      <w:r w:rsidR="004949B5" w:rsidRPr="0007021A">
        <w:rPr>
          <w:rFonts w:ascii="Times New Roman" w:hAnsi="Times New Roman"/>
          <w:sz w:val="24"/>
          <w:szCs w:val="24"/>
        </w:rPr>
        <w:t>прерађевина</w:t>
      </w:r>
      <w:r w:rsidR="00823027" w:rsidRPr="0007021A">
        <w:rPr>
          <w:rFonts w:ascii="Times New Roman" w:hAnsi="Times New Roman"/>
          <w:sz w:val="24"/>
          <w:szCs w:val="24"/>
        </w:rPr>
        <w:t xml:space="preserve"> </w:t>
      </w:r>
      <w:r w:rsidR="004949B5" w:rsidRPr="0007021A">
        <w:rPr>
          <w:rFonts w:ascii="Times New Roman" w:hAnsi="Times New Roman"/>
          <w:sz w:val="24"/>
          <w:szCs w:val="24"/>
        </w:rPr>
        <w:t>нису</w:t>
      </w:r>
      <w:r w:rsidR="00823027" w:rsidRPr="0007021A">
        <w:rPr>
          <w:rFonts w:ascii="Times New Roman" w:hAnsi="Times New Roman"/>
          <w:sz w:val="24"/>
          <w:szCs w:val="24"/>
        </w:rPr>
        <w:t xml:space="preserve"> </w:t>
      </w:r>
      <w:r w:rsidR="004949B5" w:rsidRPr="0007021A">
        <w:rPr>
          <w:rFonts w:ascii="Times New Roman" w:hAnsi="Times New Roman"/>
          <w:sz w:val="24"/>
          <w:szCs w:val="24"/>
        </w:rPr>
        <w:t>пријављене</w:t>
      </w:r>
      <w:r w:rsidR="00823027" w:rsidRPr="0007021A">
        <w:rPr>
          <w:rFonts w:ascii="Times New Roman" w:hAnsi="Times New Roman"/>
          <w:sz w:val="24"/>
          <w:szCs w:val="24"/>
        </w:rPr>
        <w:t xml:space="preserve"> </w:t>
      </w:r>
      <w:r w:rsidR="004949B5" w:rsidRPr="0007021A">
        <w:rPr>
          <w:rFonts w:ascii="Times New Roman" w:hAnsi="Times New Roman"/>
          <w:sz w:val="24"/>
          <w:szCs w:val="24"/>
        </w:rPr>
        <w:t>Управи</w:t>
      </w:r>
      <w:r w:rsidR="00823027" w:rsidRPr="0007021A">
        <w:rPr>
          <w:rFonts w:ascii="Times New Roman" w:hAnsi="Times New Roman"/>
          <w:sz w:val="24"/>
          <w:szCs w:val="24"/>
        </w:rPr>
        <w:t xml:space="preserve">, </w:t>
      </w:r>
      <w:r w:rsidR="004949B5" w:rsidRPr="0007021A">
        <w:rPr>
          <w:rFonts w:ascii="Times New Roman" w:hAnsi="Times New Roman"/>
          <w:sz w:val="24"/>
          <w:szCs w:val="24"/>
        </w:rPr>
        <w:t>као</w:t>
      </w:r>
      <w:r w:rsidR="00823027" w:rsidRPr="0007021A">
        <w:rPr>
          <w:rFonts w:ascii="Times New Roman" w:hAnsi="Times New Roman"/>
          <w:sz w:val="24"/>
          <w:szCs w:val="24"/>
        </w:rPr>
        <w:t xml:space="preserve"> </w:t>
      </w:r>
      <w:r w:rsidR="004949B5" w:rsidRPr="0007021A">
        <w:rPr>
          <w:rFonts w:ascii="Times New Roman" w:hAnsi="Times New Roman"/>
          <w:sz w:val="24"/>
          <w:szCs w:val="24"/>
        </w:rPr>
        <w:t>и</w:t>
      </w:r>
      <w:r w:rsidR="00823027" w:rsidRPr="0007021A">
        <w:rPr>
          <w:rFonts w:ascii="Times New Roman" w:hAnsi="Times New Roman"/>
          <w:sz w:val="24"/>
          <w:szCs w:val="24"/>
        </w:rPr>
        <w:t xml:space="preserve"> </w:t>
      </w:r>
      <w:r w:rsidR="004949B5" w:rsidRPr="0007021A">
        <w:rPr>
          <w:rFonts w:ascii="Times New Roman" w:hAnsi="Times New Roman"/>
          <w:sz w:val="24"/>
          <w:szCs w:val="24"/>
        </w:rPr>
        <w:t>да</w:t>
      </w:r>
      <w:r w:rsidR="00823027" w:rsidRPr="0007021A">
        <w:rPr>
          <w:rFonts w:ascii="Times New Roman" w:hAnsi="Times New Roman"/>
          <w:sz w:val="24"/>
          <w:szCs w:val="24"/>
        </w:rPr>
        <w:t xml:space="preserve"> </w:t>
      </w:r>
      <w:r w:rsidR="004949B5" w:rsidRPr="0007021A">
        <w:rPr>
          <w:rFonts w:ascii="Times New Roman" w:hAnsi="Times New Roman"/>
          <w:sz w:val="24"/>
          <w:szCs w:val="24"/>
        </w:rPr>
        <w:t>нису</w:t>
      </w:r>
      <w:r w:rsidR="00823027" w:rsidRPr="0007021A">
        <w:rPr>
          <w:rFonts w:ascii="Times New Roman" w:hAnsi="Times New Roman"/>
          <w:sz w:val="24"/>
          <w:szCs w:val="24"/>
        </w:rPr>
        <w:t xml:space="preserve"> </w:t>
      </w:r>
      <w:r w:rsidR="004949B5" w:rsidRPr="0007021A">
        <w:rPr>
          <w:rFonts w:ascii="Times New Roman" w:hAnsi="Times New Roman"/>
          <w:sz w:val="24"/>
          <w:szCs w:val="24"/>
        </w:rPr>
        <w:t>истакнуте</w:t>
      </w:r>
      <w:r w:rsidR="00823027" w:rsidRPr="0007021A">
        <w:rPr>
          <w:rFonts w:ascii="Times New Roman" w:hAnsi="Times New Roman"/>
          <w:sz w:val="24"/>
          <w:szCs w:val="24"/>
        </w:rPr>
        <w:t xml:space="preserve"> </w:t>
      </w:r>
      <w:r w:rsidR="004949B5" w:rsidRPr="0007021A">
        <w:rPr>
          <w:rFonts w:ascii="Times New Roman" w:hAnsi="Times New Roman"/>
          <w:sz w:val="24"/>
          <w:szCs w:val="24"/>
        </w:rPr>
        <w:t>у</w:t>
      </w:r>
      <w:r w:rsidR="00823027" w:rsidRPr="0007021A">
        <w:rPr>
          <w:rFonts w:ascii="Times New Roman" w:hAnsi="Times New Roman"/>
          <w:sz w:val="24"/>
          <w:szCs w:val="24"/>
        </w:rPr>
        <w:t xml:space="preserve">, </w:t>
      </w:r>
      <w:r w:rsidR="004949B5" w:rsidRPr="0007021A">
        <w:rPr>
          <w:rFonts w:ascii="Times New Roman" w:hAnsi="Times New Roman"/>
          <w:sz w:val="24"/>
          <w:szCs w:val="24"/>
        </w:rPr>
        <w:t>односно</w:t>
      </w:r>
      <w:r w:rsidR="00823027" w:rsidRPr="0007021A">
        <w:rPr>
          <w:rFonts w:ascii="Times New Roman" w:hAnsi="Times New Roman"/>
          <w:sz w:val="24"/>
          <w:szCs w:val="24"/>
        </w:rPr>
        <w:t xml:space="preserve"> </w:t>
      </w:r>
      <w:r w:rsidR="004949B5" w:rsidRPr="0007021A">
        <w:rPr>
          <w:rFonts w:ascii="Times New Roman" w:hAnsi="Times New Roman"/>
          <w:sz w:val="24"/>
          <w:szCs w:val="24"/>
        </w:rPr>
        <w:t>на</w:t>
      </w:r>
      <w:r w:rsidR="00823027" w:rsidRPr="0007021A">
        <w:rPr>
          <w:rFonts w:ascii="Times New Roman" w:hAnsi="Times New Roman"/>
          <w:sz w:val="24"/>
          <w:szCs w:val="24"/>
        </w:rPr>
        <w:t xml:space="preserve"> </w:t>
      </w:r>
      <w:r w:rsidR="004949B5" w:rsidRPr="0007021A">
        <w:rPr>
          <w:rFonts w:ascii="Times New Roman" w:hAnsi="Times New Roman"/>
          <w:sz w:val="24"/>
          <w:szCs w:val="24"/>
        </w:rPr>
        <w:t>објекту</w:t>
      </w:r>
      <w:r w:rsidR="00823027" w:rsidRPr="0007021A">
        <w:rPr>
          <w:rFonts w:ascii="Times New Roman" w:hAnsi="Times New Roman"/>
          <w:sz w:val="24"/>
          <w:szCs w:val="24"/>
        </w:rPr>
        <w:t xml:space="preserve"> </w:t>
      </w:r>
      <w:r w:rsidR="004949B5" w:rsidRPr="0007021A">
        <w:rPr>
          <w:rFonts w:ascii="Times New Roman" w:hAnsi="Times New Roman"/>
          <w:sz w:val="24"/>
          <w:szCs w:val="24"/>
        </w:rPr>
        <w:t>трговине</w:t>
      </w:r>
      <w:r w:rsidR="00823027" w:rsidRPr="0007021A">
        <w:rPr>
          <w:rFonts w:ascii="Times New Roman" w:hAnsi="Times New Roman"/>
          <w:sz w:val="24"/>
          <w:szCs w:val="24"/>
        </w:rPr>
        <w:t xml:space="preserve"> </w:t>
      </w:r>
      <w:r w:rsidR="004949B5" w:rsidRPr="0007021A">
        <w:rPr>
          <w:rFonts w:ascii="Times New Roman" w:hAnsi="Times New Roman"/>
          <w:sz w:val="24"/>
          <w:szCs w:val="24"/>
        </w:rPr>
        <w:t>на</w:t>
      </w:r>
      <w:r w:rsidR="00823027" w:rsidRPr="0007021A">
        <w:rPr>
          <w:rFonts w:ascii="Times New Roman" w:hAnsi="Times New Roman"/>
          <w:sz w:val="24"/>
          <w:szCs w:val="24"/>
        </w:rPr>
        <w:t xml:space="preserve"> </w:t>
      </w:r>
      <w:r w:rsidR="004949B5" w:rsidRPr="0007021A">
        <w:rPr>
          <w:rFonts w:ascii="Times New Roman" w:hAnsi="Times New Roman"/>
          <w:sz w:val="24"/>
          <w:szCs w:val="24"/>
        </w:rPr>
        <w:t>мало</w:t>
      </w:r>
      <w:r w:rsidR="00823027" w:rsidRPr="0007021A">
        <w:rPr>
          <w:rFonts w:ascii="Times New Roman" w:hAnsi="Times New Roman"/>
          <w:sz w:val="24"/>
          <w:szCs w:val="24"/>
        </w:rPr>
        <w:t xml:space="preserve"> </w:t>
      </w:r>
      <w:r w:rsidR="004949B5" w:rsidRPr="0007021A">
        <w:rPr>
          <w:rFonts w:ascii="Times New Roman" w:hAnsi="Times New Roman"/>
          <w:sz w:val="24"/>
          <w:szCs w:val="24"/>
        </w:rPr>
        <w:t>тако</w:t>
      </w:r>
      <w:r w:rsidR="00823027" w:rsidRPr="0007021A">
        <w:rPr>
          <w:rFonts w:ascii="Times New Roman" w:hAnsi="Times New Roman"/>
          <w:sz w:val="24"/>
          <w:szCs w:val="24"/>
        </w:rPr>
        <w:t xml:space="preserve"> </w:t>
      </w:r>
      <w:r w:rsidR="004949B5" w:rsidRPr="0007021A">
        <w:rPr>
          <w:rFonts w:ascii="Times New Roman" w:hAnsi="Times New Roman"/>
          <w:sz w:val="24"/>
          <w:szCs w:val="24"/>
        </w:rPr>
        <w:t>да</w:t>
      </w:r>
      <w:r w:rsidR="00823027" w:rsidRPr="0007021A">
        <w:rPr>
          <w:rFonts w:ascii="Times New Roman" w:hAnsi="Times New Roman"/>
          <w:sz w:val="24"/>
          <w:szCs w:val="24"/>
        </w:rPr>
        <w:t xml:space="preserve"> </w:t>
      </w:r>
      <w:r w:rsidR="004949B5" w:rsidRPr="0007021A">
        <w:rPr>
          <w:rFonts w:ascii="Times New Roman" w:hAnsi="Times New Roman"/>
          <w:sz w:val="24"/>
          <w:szCs w:val="24"/>
        </w:rPr>
        <w:t>су</w:t>
      </w:r>
      <w:r w:rsidR="00823027" w:rsidRPr="0007021A">
        <w:rPr>
          <w:rFonts w:ascii="Times New Roman" w:hAnsi="Times New Roman"/>
          <w:sz w:val="24"/>
          <w:szCs w:val="24"/>
        </w:rPr>
        <w:t xml:space="preserve"> </w:t>
      </w:r>
      <w:r w:rsidR="004949B5" w:rsidRPr="0007021A">
        <w:rPr>
          <w:rFonts w:ascii="Times New Roman" w:hAnsi="Times New Roman"/>
          <w:sz w:val="24"/>
          <w:szCs w:val="24"/>
        </w:rPr>
        <w:t>јасно</w:t>
      </w:r>
      <w:r w:rsidR="00823027" w:rsidRPr="0007021A">
        <w:rPr>
          <w:rFonts w:ascii="Times New Roman" w:hAnsi="Times New Roman"/>
          <w:sz w:val="24"/>
          <w:szCs w:val="24"/>
        </w:rPr>
        <w:t xml:space="preserve"> </w:t>
      </w:r>
      <w:r w:rsidR="004949B5" w:rsidRPr="0007021A">
        <w:rPr>
          <w:rFonts w:ascii="Times New Roman" w:hAnsi="Times New Roman"/>
          <w:sz w:val="24"/>
          <w:szCs w:val="24"/>
        </w:rPr>
        <w:t>видљиве</w:t>
      </w:r>
      <w:r w:rsidR="00823027" w:rsidRPr="0007021A">
        <w:rPr>
          <w:rFonts w:ascii="Times New Roman" w:hAnsi="Times New Roman"/>
          <w:sz w:val="24"/>
          <w:szCs w:val="24"/>
        </w:rPr>
        <w:t xml:space="preserve"> (</w:t>
      </w:r>
      <w:r w:rsidR="004949B5" w:rsidRPr="0007021A">
        <w:rPr>
          <w:rFonts w:ascii="Times New Roman" w:hAnsi="Times New Roman"/>
          <w:sz w:val="24"/>
          <w:szCs w:val="24"/>
        </w:rPr>
        <w:t>члан</w:t>
      </w:r>
      <w:r w:rsidR="00823027" w:rsidRPr="0007021A">
        <w:rPr>
          <w:rFonts w:ascii="Times New Roman" w:hAnsi="Times New Roman"/>
          <w:sz w:val="24"/>
          <w:szCs w:val="24"/>
        </w:rPr>
        <w:t xml:space="preserve"> 40</w:t>
      </w:r>
      <w:r w:rsidR="004949B5" w:rsidRPr="0007021A">
        <w:rPr>
          <w:rFonts w:ascii="Times New Roman" w:hAnsi="Times New Roman"/>
          <w:sz w:val="24"/>
          <w:szCs w:val="24"/>
        </w:rPr>
        <w:t>ђ</w:t>
      </w:r>
      <w:r w:rsidR="00823027" w:rsidRPr="0007021A">
        <w:rPr>
          <w:rFonts w:ascii="Times New Roman" w:hAnsi="Times New Roman"/>
          <w:sz w:val="24"/>
          <w:szCs w:val="24"/>
        </w:rPr>
        <w:t>);</w:t>
      </w:r>
    </w:p>
    <w:p w:rsidR="00823027" w:rsidRPr="0007021A" w:rsidRDefault="00027DCA" w:rsidP="0007021A">
      <w:pPr>
        <w:jc w:val="both"/>
        <w:rPr>
          <w:rFonts w:ascii="Times New Roman" w:hAnsi="Times New Roman"/>
          <w:sz w:val="24"/>
          <w:szCs w:val="24"/>
          <w:lang w:val="sr-Cyrl-CS"/>
        </w:rPr>
      </w:pPr>
      <w:r w:rsidRPr="0007021A">
        <w:rPr>
          <w:rFonts w:ascii="Times New Roman" w:hAnsi="Times New Roman"/>
          <w:sz w:val="24"/>
          <w:szCs w:val="24"/>
          <w:lang w:val="sr-Cyrl-CS"/>
        </w:rPr>
        <w:t>8</w:t>
      </w:r>
      <w:r w:rsidR="00823027" w:rsidRPr="0007021A">
        <w:rPr>
          <w:rFonts w:ascii="Times New Roman" w:hAnsi="Times New Roman"/>
          <w:sz w:val="24"/>
          <w:szCs w:val="24"/>
        </w:rPr>
        <w:t xml:space="preserve">) </w:t>
      </w:r>
      <w:r w:rsidR="004949B5" w:rsidRPr="0007021A">
        <w:rPr>
          <w:rFonts w:ascii="Times New Roman" w:hAnsi="Times New Roman"/>
          <w:sz w:val="24"/>
          <w:szCs w:val="24"/>
        </w:rPr>
        <w:t>не</w:t>
      </w:r>
      <w:r w:rsidR="00823027" w:rsidRPr="0007021A">
        <w:rPr>
          <w:rFonts w:ascii="Times New Roman" w:hAnsi="Times New Roman"/>
          <w:sz w:val="24"/>
          <w:szCs w:val="24"/>
        </w:rPr>
        <w:t xml:space="preserve"> </w:t>
      </w:r>
      <w:r w:rsidR="004949B5" w:rsidRPr="0007021A">
        <w:rPr>
          <w:rFonts w:ascii="Times New Roman" w:hAnsi="Times New Roman"/>
          <w:sz w:val="24"/>
          <w:szCs w:val="24"/>
        </w:rPr>
        <w:t>објави</w:t>
      </w:r>
      <w:r w:rsidR="00823027" w:rsidRPr="0007021A">
        <w:rPr>
          <w:rFonts w:ascii="Times New Roman" w:hAnsi="Times New Roman"/>
          <w:sz w:val="24"/>
          <w:szCs w:val="24"/>
        </w:rPr>
        <w:t xml:space="preserve"> </w:t>
      </w:r>
      <w:r w:rsidR="004949B5" w:rsidRPr="0007021A">
        <w:rPr>
          <w:rFonts w:ascii="Times New Roman" w:hAnsi="Times New Roman"/>
          <w:sz w:val="24"/>
          <w:szCs w:val="24"/>
        </w:rPr>
        <w:t>малопродајне</w:t>
      </w:r>
      <w:r w:rsidR="00823027" w:rsidRPr="0007021A">
        <w:rPr>
          <w:rFonts w:ascii="Times New Roman" w:hAnsi="Times New Roman"/>
          <w:sz w:val="24"/>
          <w:szCs w:val="24"/>
        </w:rPr>
        <w:t xml:space="preserve"> </w:t>
      </w:r>
      <w:r w:rsidR="004949B5" w:rsidRPr="0007021A">
        <w:rPr>
          <w:rFonts w:ascii="Times New Roman" w:hAnsi="Times New Roman"/>
          <w:sz w:val="24"/>
          <w:szCs w:val="24"/>
        </w:rPr>
        <w:t>цене</w:t>
      </w:r>
      <w:r w:rsidR="00823027" w:rsidRPr="0007021A">
        <w:rPr>
          <w:rFonts w:ascii="Times New Roman" w:hAnsi="Times New Roman"/>
          <w:sz w:val="24"/>
          <w:szCs w:val="24"/>
        </w:rPr>
        <w:t xml:space="preserve"> </w:t>
      </w:r>
      <w:r w:rsidR="004949B5" w:rsidRPr="0007021A">
        <w:rPr>
          <w:rFonts w:ascii="Times New Roman" w:hAnsi="Times New Roman"/>
          <w:sz w:val="24"/>
          <w:szCs w:val="24"/>
        </w:rPr>
        <w:t>дуванских</w:t>
      </w:r>
      <w:r w:rsidR="00823027" w:rsidRPr="0007021A">
        <w:rPr>
          <w:rFonts w:ascii="Times New Roman" w:hAnsi="Times New Roman"/>
          <w:sz w:val="24"/>
          <w:szCs w:val="24"/>
        </w:rPr>
        <w:t xml:space="preserve"> </w:t>
      </w:r>
      <w:r w:rsidR="004949B5" w:rsidRPr="0007021A">
        <w:rPr>
          <w:rFonts w:ascii="Times New Roman" w:hAnsi="Times New Roman"/>
          <w:sz w:val="24"/>
          <w:szCs w:val="24"/>
        </w:rPr>
        <w:t>прерађевина</w:t>
      </w:r>
      <w:r w:rsidR="00823027" w:rsidRPr="0007021A">
        <w:rPr>
          <w:rFonts w:ascii="Times New Roman" w:hAnsi="Times New Roman"/>
          <w:sz w:val="24"/>
          <w:szCs w:val="24"/>
        </w:rPr>
        <w:t xml:space="preserve"> </w:t>
      </w:r>
      <w:r w:rsidR="004949B5" w:rsidRPr="0007021A">
        <w:rPr>
          <w:rFonts w:ascii="Times New Roman" w:hAnsi="Times New Roman"/>
          <w:sz w:val="24"/>
          <w:szCs w:val="24"/>
        </w:rPr>
        <w:t>у</w:t>
      </w:r>
      <w:r w:rsidR="00823027" w:rsidRPr="0007021A">
        <w:rPr>
          <w:rFonts w:ascii="Times New Roman" w:hAnsi="Times New Roman"/>
          <w:sz w:val="24"/>
          <w:szCs w:val="24"/>
        </w:rPr>
        <w:t xml:space="preserve"> "</w:t>
      </w:r>
      <w:r w:rsidR="004949B5" w:rsidRPr="0007021A">
        <w:rPr>
          <w:rFonts w:ascii="Times New Roman" w:hAnsi="Times New Roman"/>
          <w:sz w:val="24"/>
          <w:szCs w:val="24"/>
        </w:rPr>
        <w:t>Службеном</w:t>
      </w:r>
      <w:r w:rsidR="00823027" w:rsidRPr="0007021A">
        <w:rPr>
          <w:rFonts w:ascii="Times New Roman" w:hAnsi="Times New Roman"/>
          <w:sz w:val="24"/>
          <w:szCs w:val="24"/>
        </w:rPr>
        <w:t xml:space="preserve"> </w:t>
      </w:r>
      <w:r w:rsidR="004949B5" w:rsidRPr="0007021A">
        <w:rPr>
          <w:rFonts w:ascii="Times New Roman" w:hAnsi="Times New Roman"/>
          <w:sz w:val="24"/>
          <w:szCs w:val="24"/>
        </w:rPr>
        <w:t>гласнику</w:t>
      </w:r>
      <w:r w:rsidR="00823027" w:rsidRPr="0007021A">
        <w:rPr>
          <w:rFonts w:ascii="Times New Roman" w:hAnsi="Times New Roman"/>
          <w:sz w:val="24"/>
          <w:szCs w:val="24"/>
        </w:rPr>
        <w:t xml:space="preserve"> </w:t>
      </w:r>
      <w:r w:rsidR="004949B5" w:rsidRPr="0007021A">
        <w:rPr>
          <w:rFonts w:ascii="Times New Roman" w:hAnsi="Times New Roman"/>
          <w:sz w:val="24"/>
          <w:szCs w:val="24"/>
        </w:rPr>
        <w:t>Републике</w:t>
      </w:r>
      <w:r w:rsidR="00823027" w:rsidRPr="0007021A">
        <w:rPr>
          <w:rFonts w:ascii="Times New Roman" w:hAnsi="Times New Roman"/>
          <w:sz w:val="24"/>
          <w:szCs w:val="24"/>
        </w:rPr>
        <w:t xml:space="preserve"> </w:t>
      </w:r>
      <w:r w:rsidR="004949B5" w:rsidRPr="0007021A">
        <w:rPr>
          <w:rFonts w:ascii="Times New Roman" w:hAnsi="Times New Roman"/>
          <w:sz w:val="24"/>
          <w:szCs w:val="24"/>
        </w:rPr>
        <w:t>Србије</w:t>
      </w:r>
      <w:r w:rsidR="00823027" w:rsidRPr="0007021A">
        <w:rPr>
          <w:rFonts w:ascii="Times New Roman" w:hAnsi="Times New Roman"/>
          <w:sz w:val="24"/>
          <w:szCs w:val="24"/>
        </w:rPr>
        <w:t xml:space="preserve">", </w:t>
      </w:r>
      <w:r w:rsidR="004949B5" w:rsidRPr="0007021A">
        <w:rPr>
          <w:rFonts w:ascii="Times New Roman" w:hAnsi="Times New Roman"/>
          <w:sz w:val="24"/>
          <w:szCs w:val="24"/>
        </w:rPr>
        <w:t>објави</w:t>
      </w:r>
      <w:r w:rsidR="00823027" w:rsidRPr="0007021A">
        <w:rPr>
          <w:rFonts w:ascii="Times New Roman" w:hAnsi="Times New Roman"/>
          <w:sz w:val="24"/>
          <w:szCs w:val="24"/>
        </w:rPr>
        <w:t xml:space="preserve"> </w:t>
      </w:r>
      <w:r w:rsidR="004949B5" w:rsidRPr="0007021A">
        <w:rPr>
          <w:rFonts w:ascii="Times New Roman" w:hAnsi="Times New Roman"/>
          <w:sz w:val="24"/>
          <w:szCs w:val="24"/>
        </w:rPr>
        <w:t>малопродајне</w:t>
      </w:r>
      <w:r w:rsidR="00823027" w:rsidRPr="0007021A">
        <w:rPr>
          <w:rFonts w:ascii="Times New Roman" w:hAnsi="Times New Roman"/>
          <w:sz w:val="24"/>
          <w:szCs w:val="24"/>
        </w:rPr>
        <w:t xml:space="preserve"> </w:t>
      </w:r>
      <w:r w:rsidR="004949B5" w:rsidRPr="0007021A">
        <w:rPr>
          <w:rFonts w:ascii="Times New Roman" w:hAnsi="Times New Roman"/>
          <w:sz w:val="24"/>
          <w:szCs w:val="24"/>
        </w:rPr>
        <w:t>цене</w:t>
      </w:r>
      <w:r w:rsidR="00823027" w:rsidRPr="0007021A">
        <w:rPr>
          <w:rFonts w:ascii="Times New Roman" w:hAnsi="Times New Roman"/>
          <w:sz w:val="24"/>
          <w:szCs w:val="24"/>
        </w:rPr>
        <w:t xml:space="preserve"> </w:t>
      </w:r>
      <w:r w:rsidR="004949B5" w:rsidRPr="0007021A">
        <w:rPr>
          <w:rFonts w:ascii="Times New Roman" w:hAnsi="Times New Roman"/>
          <w:sz w:val="24"/>
          <w:szCs w:val="24"/>
        </w:rPr>
        <w:t>дуванских</w:t>
      </w:r>
      <w:r w:rsidR="00823027" w:rsidRPr="0007021A">
        <w:rPr>
          <w:rFonts w:ascii="Times New Roman" w:hAnsi="Times New Roman"/>
          <w:sz w:val="24"/>
          <w:szCs w:val="24"/>
        </w:rPr>
        <w:t xml:space="preserve"> </w:t>
      </w:r>
      <w:r w:rsidR="004949B5" w:rsidRPr="0007021A">
        <w:rPr>
          <w:rFonts w:ascii="Times New Roman" w:hAnsi="Times New Roman"/>
          <w:sz w:val="24"/>
          <w:szCs w:val="24"/>
        </w:rPr>
        <w:t>прерађевина</w:t>
      </w:r>
      <w:r w:rsidR="00823027" w:rsidRPr="0007021A">
        <w:rPr>
          <w:rFonts w:ascii="Times New Roman" w:hAnsi="Times New Roman"/>
          <w:sz w:val="24"/>
          <w:szCs w:val="24"/>
        </w:rPr>
        <w:t xml:space="preserve"> </w:t>
      </w:r>
      <w:r w:rsidR="004949B5" w:rsidRPr="0007021A">
        <w:rPr>
          <w:rFonts w:ascii="Times New Roman" w:hAnsi="Times New Roman"/>
          <w:sz w:val="24"/>
          <w:szCs w:val="24"/>
        </w:rPr>
        <w:t>у</w:t>
      </w:r>
      <w:r w:rsidR="00823027" w:rsidRPr="0007021A">
        <w:rPr>
          <w:rFonts w:ascii="Times New Roman" w:hAnsi="Times New Roman"/>
          <w:sz w:val="24"/>
          <w:szCs w:val="24"/>
        </w:rPr>
        <w:t xml:space="preserve"> "</w:t>
      </w:r>
      <w:r w:rsidR="004949B5" w:rsidRPr="0007021A">
        <w:rPr>
          <w:rFonts w:ascii="Times New Roman" w:hAnsi="Times New Roman"/>
          <w:sz w:val="24"/>
          <w:szCs w:val="24"/>
        </w:rPr>
        <w:t>Службеном</w:t>
      </w:r>
      <w:r w:rsidR="00823027" w:rsidRPr="0007021A">
        <w:rPr>
          <w:rFonts w:ascii="Times New Roman" w:hAnsi="Times New Roman"/>
          <w:sz w:val="24"/>
          <w:szCs w:val="24"/>
        </w:rPr>
        <w:t xml:space="preserve"> </w:t>
      </w:r>
      <w:r w:rsidR="004949B5" w:rsidRPr="0007021A">
        <w:rPr>
          <w:rFonts w:ascii="Times New Roman" w:hAnsi="Times New Roman"/>
          <w:sz w:val="24"/>
          <w:szCs w:val="24"/>
        </w:rPr>
        <w:t>гласнику</w:t>
      </w:r>
      <w:r w:rsidR="00823027" w:rsidRPr="0007021A">
        <w:rPr>
          <w:rFonts w:ascii="Times New Roman" w:hAnsi="Times New Roman"/>
          <w:sz w:val="24"/>
          <w:szCs w:val="24"/>
        </w:rPr>
        <w:t xml:space="preserve"> </w:t>
      </w:r>
      <w:r w:rsidR="004949B5" w:rsidRPr="0007021A">
        <w:rPr>
          <w:rFonts w:ascii="Times New Roman" w:hAnsi="Times New Roman"/>
          <w:sz w:val="24"/>
          <w:szCs w:val="24"/>
        </w:rPr>
        <w:t>Републике</w:t>
      </w:r>
      <w:r w:rsidR="00823027" w:rsidRPr="0007021A">
        <w:rPr>
          <w:rFonts w:ascii="Times New Roman" w:hAnsi="Times New Roman"/>
          <w:sz w:val="24"/>
          <w:szCs w:val="24"/>
        </w:rPr>
        <w:t xml:space="preserve"> </w:t>
      </w:r>
      <w:r w:rsidR="004949B5" w:rsidRPr="0007021A">
        <w:rPr>
          <w:rFonts w:ascii="Times New Roman" w:hAnsi="Times New Roman"/>
          <w:sz w:val="24"/>
          <w:szCs w:val="24"/>
        </w:rPr>
        <w:t>Србије</w:t>
      </w:r>
      <w:r w:rsidR="00823027" w:rsidRPr="0007021A">
        <w:rPr>
          <w:rFonts w:ascii="Times New Roman" w:hAnsi="Times New Roman"/>
          <w:sz w:val="24"/>
          <w:szCs w:val="24"/>
        </w:rPr>
        <w:t xml:space="preserve">" </w:t>
      </w:r>
      <w:r w:rsidR="004949B5" w:rsidRPr="0007021A">
        <w:rPr>
          <w:rFonts w:ascii="Times New Roman" w:hAnsi="Times New Roman"/>
          <w:sz w:val="24"/>
          <w:szCs w:val="24"/>
        </w:rPr>
        <w:t>без</w:t>
      </w:r>
      <w:r w:rsidR="00823027" w:rsidRPr="0007021A">
        <w:rPr>
          <w:rFonts w:ascii="Times New Roman" w:hAnsi="Times New Roman"/>
          <w:sz w:val="24"/>
          <w:szCs w:val="24"/>
        </w:rPr>
        <w:t xml:space="preserve"> </w:t>
      </w:r>
      <w:r w:rsidR="004949B5" w:rsidRPr="0007021A">
        <w:rPr>
          <w:rFonts w:ascii="Times New Roman" w:hAnsi="Times New Roman"/>
          <w:sz w:val="24"/>
          <w:szCs w:val="24"/>
        </w:rPr>
        <w:t>писмене</w:t>
      </w:r>
      <w:r w:rsidR="00823027" w:rsidRPr="0007021A">
        <w:rPr>
          <w:rFonts w:ascii="Times New Roman" w:hAnsi="Times New Roman"/>
          <w:sz w:val="24"/>
          <w:szCs w:val="24"/>
        </w:rPr>
        <w:t xml:space="preserve"> </w:t>
      </w:r>
      <w:r w:rsidR="004949B5" w:rsidRPr="0007021A">
        <w:rPr>
          <w:rFonts w:ascii="Times New Roman" w:hAnsi="Times New Roman"/>
          <w:sz w:val="24"/>
          <w:szCs w:val="24"/>
        </w:rPr>
        <w:t>сагласности</w:t>
      </w:r>
      <w:r w:rsidR="00823027" w:rsidRPr="0007021A">
        <w:rPr>
          <w:rFonts w:ascii="Times New Roman" w:hAnsi="Times New Roman"/>
          <w:sz w:val="24"/>
          <w:szCs w:val="24"/>
        </w:rPr>
        <w:t xml:space="preserve"> </w:t>
      </w:r>
      <w:r w:rsidR="004949B5" w:rsidRPr="0007021A">
        <w:rPr>
          <w:rFonts w:ascii="Times New Roman" w:hAnsi="Times New Roman"/>
          <w:sz w:val="24"/>
          <w:szCs w:val="24"/>
        </w:rPr>
        <w:t>Управе</w:t>
      </w:r>
      <w:r w:rsidR="00823027" w:rsidRPr="0007021A">
        <w:rPr>
          <w:rFonts w:ascii="Times New Roman" w:hAnsi="Times New Roman"/>
          <w:sz w:val="24"/>
          <w:szCs w:val="24"/>
        </w:rPr>
        <w:t xml:space="preserve"> </w:t>
      </w:r>
      <w:r w:rsidR="004949B5" w:rsidRPr="0007021A">
        <w:rPr>
          <w:rFonts w:ascii="Times New Roman" w:hAnsi="Times New Roman"/>
          <w:sz w:val="24"/>
          <w:szCs w:val="24"/>
        </w:rPr>
        <w:t>или</w:t>
      </w:r>
      <w:r w:rsidR="00823027" w:rsidRPr="0007021A">
        <w:rPr>
          <w:rFonts w:ascii="Times New Roman" w:hAnsi="Times New Roman"/>
          <w:sz w:val="24"/>
          <w:szCs w:val="24"/>
        </w:rPr>
        <w:t xml:space="preserve"> </w:t>
      </w:r>
      <w:r w:rsidR="004949B5" w:rsidRPr="0007021A">
        <w:rPr>
          <w:rFonts w:ascii="Times New Roman" w:hAnsi="Times New Roman"/>
          <w:sz w:val="24"/>
          <w:szCs w:val="24"/>
        </w:rPr>
        <w:t>објави</w:t>
      </w:r>
      <w:r w:rsidR="00823027" w:rsidRPr="0007021A">
        <w:rPr>
          <w:rFonts w:ascii="Times New Roman" w:hAnsi="Times New Roman"/>
          <w:sz w:val="24"/>
          <w:szCs w:val="24"/>
        </w:rPr>
        <w:t xml:space="preserve"> </w:t>
      </w:r>
      <w:r w:rsidR="004949B5" w:rsidRPr="0007021A">
        <w:rPr>
          <w:rFonts w:ascii="Times New Roman" w:hAnsi="Times New Roman"/>
          <w:sz w:val="24"/>
          <w:szCs w:val="24"/>
        </w:rPr>
        <w:t>различите</w:t>
      </w:r>
      <w:r w:rsidR="00823027" w:rsidRPr="0007021A">
        <w:rPr>
          <w:rFonts w:ascii="Times New Roman" w:hAnsi="Times New Roman"/>
          <w:sz w:val="24"/>
          <w:szCs w:val="24"/>
        </w:rPr>
        <w:t xml:space="preserve"> </w:t>
      </w:r>
      <w:r w:rsidR="004949B5" w:rsidRPr="0007021A">
        <w:rPr>
          <w:rFonts w:ascii="Times New Roman" w:hAnsi="Times New Roman"/>
          <w:sz w:val="24"/>
          <w:szCs w:val="24"/>
        </w:rPr>
        <w:t>малопродајне</w:t>
      </w:r>
      <w:r w:rsidR="00823027" w:rsidRPr="0007021A">
        <w:rPr>
          <w:rFonts w:ascii="Times New Roman" w:hAnsi="Times New Roman"/>
          <w:sz w:val="24"/>
          <w:szCs w:val="24"/>
        </w:rPr>
        <w:t xml:space="preserve"> </w:t>
      </w:r>
      <w:r w:rsidR="004949B5" w:rsidRPr="0007021A">
        <w:rPr>
          <w:rFonts w:ascii="Times New Roman" w:hAnsi="Times New Roman"/>
          <w:sz w:val="24"/>
          <w:szCs w:val="24"/>
        </w:rPr>
        <w:t>цене</w:t>
      </w:r>
      <w:r w:rsidR="00823027" w:rsidRPr="0007021A">
        <w:rPr>
          <w:rFonts w:ascii="Times New Roman" w:hAnsi="Times New Roman"/>
          <w:sz w:val="24"/>
          <w:szCs w:val="24"/>
        </w:rPr>
        <w:t xml:space="preserve"> </w:t>
      </w:r>
      <w:r w:rsidR="004949B5" w:rsidRPr="0007021A">
        <w:rPr>
          <w:rFonts w:ascii="Times New Roman" w:hAnsi="Times New Roman"/>
          <w:sz w:val="24"/>
          <w:szCs w:val="24"/>
        </w:rPr>
        <w:t>дуванских</w:t>
      </w:r>
      <w:r w:rsidR="00823027" w:rsidRPr="0007021A">
        <w:rPr>
          <w:rFonts w:ascii="Times New Roman" w:hAnsi="Times New Roman"/>
          <w:sz w:val="24"/>
          <w:szCs w:val="24"/>
        </w:rPr>
        <w:t xml:space="preserve"> </w:t>
      </w:r>
      <w:r w:rsidR="004949B5" w:rsidRPr="0007021A">
        <w:rPr>
          <w:rFonts w:ascii="Times New Roman" w:hAnsi="Times New Roman"/>
          <w:sz w:val="24"/>
          <w:szCs w:val="24"/>
        </w:rPr>
        <w:t>прерађевина</w:t>
      </w:r>
      <w:r w:rsidR="00823027" w:rsidRPr="0007021A">
        <w:rPr>
          <w:rFonts w:ascii="Times New Roman" w:hAnsi="Times New Roman"/>
          <w:sz w:val="24"/>
          <w:szCs w:val="24"/>
        </w:rPr>
        <w:t xml:space="preserve"> </w:t>
      </w:r>
      <w:r w:rsidR="004949B5" w:rsidRPr="0007021A">
        <w:rPr>
          <w:rFonts w:ascii="Times New Roman" w:hAnsi="Times New Roman"/>
          <w:sz w:val="24"/>
          <w:szCs w:val="24"/>
        </w:rPr>
        <w:t>у</w:t>
      </w:r>
      <w:r w:rsidR="00823027" w:rsidRPr="0007021A">
        <w:rPr>
          <w:rFonts w:ascii="Times New Roman" w:hAnsi="Times New Roman"/>
          <w:sz w:val="24"/>
          <w:szCs w:val="24"/>
        </w:rPr>
        <w:t xml:space="preserve"> "</w:t>
      </w:r>
      <w:r w:rsidR="004949B5" w:rsidRPr="0007021A">
        <w:rPr>
          <w:rFonts w:ascii="Times New Roman" w:hAnsi="Times New Roman"/>
          <w:sz w:val="24"/>
          <w:szCs w:val="24"/>
        </w:rPr>
        <w:t>Службеном</w:t>
      </w:r>
      <w:r w:rsidR="00823027" w:rsidRPr="0007021A">
        <w:rPr>
          <w:rFonts w:ascii="Times New Roman" w:hAnsi="Times New Roman"/>
          <w:sz w:val="24"/>
          <w:szCs w:val="24"/>
        </w:rPr>
        <w:t xml:space="preserve"> </w:t>
      </w:r>
      <w:r w:rsidR="004949B5" w:rsidRPr="0007021A">
        <w:rPr>
          <w:rFonts w:ascii="Times New Roman" w:hAnsi="Times New Roman"/>
          <w:sz w:val="24"/>
          <w:szCs w:val="24"/>
        </w:rPr>
        <w:t>гласнику</w:t>
      </w:r>
      <w:r w:rsidR="00823027" w:rsidRPr="0007021A">
        <w:rPr>
          <w:rFonts w:ascii="Times New Roman" w:hAnsi="Times New Roman"/>
          <w:sz w:val="24"/>
          <w:szCs w:val="24"/>
        </w:rPr>
        <w:t xml:space="preserve"> </w:t>
      </w:r>
      <w:r w:rsidR="004949B5" w:rsidRPr="0007021A">
        <w:rPr>
          <w:rFonts w:ascii="Times New Roman" w:hAnsi="Times New Roman"/>
          <w:sz w:val="24"/>
          <w:szCs w:val="24"/>
        </w:rPr>
        <w:t>Републике</w:t>
      </w:r>
      <w:r w:rsidR="00823027" w:rsidRPr="0007021A">
        <w:rPr>
          <w:rFonts w:ascii="Times New Roman" w:hAnsi="Times New Roman"/>
          <w:sz w:val="24"/>
          <w:szCs w:val="24"/>
        </w:rPr>
        <w:t xml:space="preserve"> </w:t>
      </w:r>
      <w:r w:rsidR="004949B5" w:rsidRPr="0007021A">
        <w:rPr>
          <w:rFonts w:ascii="Times New Roman" w:hAnsi="Times New Roman"/>
          <w:sz w:val="24"/>
          <w:szCs w:val="24"/>
        </w:rPr>
        <w:t>Србије</w:t>
      </w:r>
      <w:r w:rsidR="00823027" w:rsidRPr="0007021A">
        <w:rPr>
          <w:rFonts w:ascii="Times New Roman" w:hAnsi="Times New Roman"/>
          <w:sz w:val="24"/>
          <w:szCs w:val="24"/>
        </w:rPr>
        <w:t xml:space="preserve">" </w:t>
      </w:r>
      <w:r w:rsidR="004949B5" w:rsidRPr="0007021A">
        <w:rPr>
          <w:rFonts w:ascii="Times New Roman" w:hAnsi="Times New Roman"/>
          <w:sz w:val="24"/>
          <w:szCs w:val="24"/>
        </w:rPr>
        <w:t>од</w:t>
      </w:r>
      <w:r w:rsidR="00823027" w:rsidRPr="0007021A">
        <w:rPr>
          <w:rFonts w:ascii="Times New Roman" w:hAnsi="Times New Roman"/>
          <w:sz w:val="24"/>
          <w:szCs w:val="24"/>
        </w:rPr>
        <w:t xml:space="preserve"> </w:t>
      </w:r>
      <w:r w:rsidR="004949B5" w:rsidRPr="0007021A">
        <w:rPr>
          <w:rFonts w:ascii="Times New Roman" w:hAnsi="Times New Roman"/>
          <w:sz w:val="24"/>
          <w:szCs w:val="24"/>
        </w:rPr>
        <w:t>цена</w:t>
      </w:r>
      <w:r w:rsidR="00823027" w:rsidRPr="0007021A">
        <w:rPr>
          <w:rFonts w:ascii="Times New Roman" w:hAnsi="Times New Roman"/>
          <w:sz w:val="24"/>
          <w:szCs w:val="24"/>
        </w:rPr>
        <w:t xml:space="preserve"> </w:t>
      </w:r>
      <w:r w:rsidR="004949B5" w:rsidRPr="0007021A">
        <w:rPr>
          <w:rFonts w:ascii="Times New Roman" w:hAnsi="Times New Roman"/>
          <w:sz w:val="24"/>
          <w:szCs w:val="24"/>
        </w:rPr>
        <w:t>пријављених</w:t>
      </w:r>
      <w:r w:rsidR="00823027" w:rsidRPr="0007021A">
        <w:rPr>
          <w:rFonts w:ascii="Times New Roman" w:hAnsi="Times New Roman"/>
          <w:sz w:val="24"/>
          <w:szCs w:val="24"/>
        </w:rPr>
        <w:t xml:space="preserve"> </w:t>
      </w:r>
      <w:r w:rsidR="004949B5" w:rsidRPr="0007021A">
        <w:rPr>
          <w:rFonts w:ascii="Times New Roman" w:hAnsi="Times New Roman"/>
          <w:sz w:val="24"/>
          <w:szCs w:val="24"/>
        </w:rPr>
        <w:t>Управи</w:t>
      </w:r>
      <w:r w:rsidR="00823027" w:rsidRPr="0007021A">
        <w:rPr>
          <w:rFonts w:ascii="Times New Roman" w:hAnsi="Times New Roman"/>
          <w:sz w:val="24"/>
          <w:szCs w:val="24"/>
        </w:rPr>
        <w:t xml:space="preserve"> (</w:t>
      </w:r>
      <w:r w:rsidR="004949B5" w:rsidRPr="0007021A">
        <w:rPr>
          <w:rFonts w:ascii="Times New Roman" w:hAnsi="Times New Roman"/>
          <w:sz w:val="24"/>
          <w:szCs w:val="24"/>
        </w:rPr>
        <w:t>члан</w:t>
      </w:r>
      <w:r w:rsidR="00823027" w:rsidRPr="0007021A">
        <w:rPr>
          <w:rFonts w:ascii="Times New Roman" w:hAnsi="Times New Roman"/>
          <w:sz w:val="24"/>
          <w:szCs w:val="24"/>
        </w:rPr>
        <w:t xml:space="preserve"> 40</w:t>
      </w:r>
      <w:r w:rsidR="004949B5" w:rsidRPr="0007021A">
        <w:rPr>
          <w:rFonts w:ascii="Times New Roman" w:hAnsi="Times New Roman"/>
          <w:sz w:val="24"/>
          <w:szCs w:val="24"/>
        </w:rPr>
        <w:t>ђ</w:t>
      </w:r>
      <w:r w:rsidR="00823027" w:rsidRPr="0007021A">
        <w:rPr>
          <w:rFonts w:ascii="Times New Roman" w:hAnsi="Times New Roman"/>
          <w:sz w:val="24"/>
          <w:szCs w:val="24"/>
        </w:rPr>
        <w:t>).</w:t>
      </w:r>
    </w:p>
    <w:p w:rsidR="00823027" w:rsidRPr="0007021A" w:rsidRDefault="004949B5" w:rsidP="0007021A">
      <w:pPr>
        <w:ind w:firstLine="708"/>
        <w:jc w:val="both"/>
        <w:rPr>
          <w:rFonts w:ascii="Times New Roman" w:hAnsi="Times New Roman"/>
          <w:sz w:val="24"/>
          <w:szCs w:val="24"/>
        </w:rPr>
      </w:pPr>
      <w:r w:rsidRPr="0007021A">
        <w:rPr>
          <w:rFonts w:ascii="Times New Roman" w:hAnsi="Times New Roman"/>
          <w:sz w:val="24"/>
          <w:szCs w:val="24"/>
        </w:rPr>
        <w:t>За</w:t>
      </w:r>
      <w:r w:rsidR="00823027" w:rsidRPr="0007021A">
        <w:rPr>
          <w:rFonts w:ascii="Times New Roman" w:hAnsi="Times New Roman"/>
          <w:sz w:val="24"/>
          <w:szCs w:val="24"/>
        </w:rPr>
        <w:t xml:space="preserve"> </w:t>
      </w:r>
      <w:r w:rsidR="00027DCA" w:rsidRPr="0007021A">
        <w:rPr>
          <w:rFonts w:ascii="Times New Roman" w:hAnsi="Times New Roman"/>
          <w:sz w:val="24"/>
          <w:szCs w:val="24"/>
          <w:lang w:val="sr-Cyrl-CS"/>
        </w:rPr>
        <w:t xml:space="preserve">наведене </w:t>
      </w:r>
      <w:r w:rsidRPr="0007021A">
        <w:rPr>
          <w:rFonts w:ascii="Times New Roman" w:hAnsi="Times New Roman"/>
          <w:sz w:val="24"/>
          <w:szCs w:val="24"/>
        </w:rPr>
        <w:t>радње</w:t>
      </w:r>
      <w:r w:rsidR="00823027" w:rsidRPr="0007021A">
        <w:rPr>
          <w:rFonts w:ascii="Times New Roman" w:hAnsi="Times New Roman"/>
          <w:sz w:val="24"/>
          <w:szCs w:val="24"/>
        </w:rPr>
        <w:t xml:space="preserve"> </w:t>
      </w:r>
      <w:r w:rsidRPr="0007021A">
        <w:rPr>
          <w:rFonts w:ascii="Times New Roman" w:hAnsi="Times New Roman"/>
          <w:sz w:val="24"/>
          <w:szCs w:val="24"/>
        </w:rPr>
        <w:t>казниће</w:t>
      </w:r>
      <w:r w:rsidR="00823027" w:rsidRPr="0007021A">
        <w:rPr>
          <w:rFonts w:ascii="Times New Roman" w:hAnsi="Times New Roman"/>
          <w:sz w:val="24"/>
          <w:szCs w:val="24"/>
        </w:rPr>
        <w:t xml:space="preserve"> </w:t>
      </w:r>
      <w:r w:rsidRPr="0007021A">
        <w:rPr>
          <w:rFonts w:ascii="Times New Roman" w:hAnsi="Times New Roman"/>
          <w:sz w:val="24"/>
          <w:szCs w:val="24"/>
        </w:rPr>
        <w:t>се</w:t>
      </w:r>
      <w:r w:rsidR="00823027" w:rsidRPr="0007021A">
        <w:rPr>
          <w:rFonts w:ascii="Times New Roman" w:hAnsi="Times New Roman"/>
          <w:sz w:val="24"/>
          <w:szCs w:val="24"/>
        </w:rPr>
        <w:t xml:space="preserve"> </w:t>
      </w:r>
      <w:r w:rsidRPr="0007021A">
        <w:rPr>
          <w:rFonts w:ascii="Times New Roman" w:hAnsi="Times New Roman"/>
          <w:sz w:val="24"/>
          <w:szCs w:val="24"/>
        </w:rPr>
        <w:t>за</w:t>
      </w:r>
      <w:r w:rsidR="00823027" w:rsidRPr="0007021A">
        <w:rPr>
          <w:rFonts w:ascii="Times New Roman" w:hAnsi="Times New Roman"/>
          <w:sz w:val="24"/>
          <w:szCs w:val="24"/>
        </w:rPr>
        <w:t xml:space="preserve"> </w:t>
      </w:r>
      <w:r w:rsidRPr="0007021A">
        <w:rPr>
          <w:rFonts w:ascii="Times New Roman" w:hAnsi="Times New Roman"/>
          <w:sz w:val="24"/>
          <w:szCs w:val="24"/>
        </w:rPr>
        <w:t>прекршај</w:t>
      </w:r>
      <w:r w:rsidR="00823027" w:rsidRPr="0007021A">
        <w:rPr>
          <w:rFonts w:ascii="Times New Roman" w:hAnsi="Times New Roman"/>
          <w:sz w:val="24"/>
          <w:szCs w:val="24"/>
        </w:rPr>
        <w:t xml:space="preserve"> </w:t>
      </w:r>
      <w:r w:rsidRPr="0007021A">
        <w:rPr>
          <w:rFonts w:ascii="Times New Roman" w:hAnsi="Times New Roman"/>
          <w:sz w:val="24"/>
          <w:szCs w:val="24"/>
        </w:rPr>
        <w:t>и</w:t>
      </w:r>
      <w:r w:rsidR="00823027" w:rsidRPr="0007021A">
        <w:rPr>
          <w:rFonts w:ascii="Times New Roman" w:hAnsi="Times New Roman"/>
          <w:sz w:val="24"/>
          <w:szCs w:val="24"/>
        </w:rPr>
        <w:t xml:space="preserve"> </w:t>
      </w:r>
      <w:r w:rsidRPr="0007021A">
        <w:rPr>
          <w:rFonts w:ascii="Times New Roman" w:hAnsi="Times New Roman"/>
          <w:sz w:val="24"/>
          <w:szCs w:val="24"/>
        </w:rPr>
        <w:t>одговорно</w:t>
      </w:r>
      <w:r w:rsidR="00823027" w:rsidRPr="0007021A">
        <w:rPr>
          <w:rFonts w:ascii="Times New Roman" w:hAnsi="Times New Roman"/>
          <w:sz w:val="24"/>
          <w:szCs w:val="24"/>
        </w:rPr>
        <w:t xml:space="preserve"> </w:t>
      </w:r>
      <w:r w:rsidRPr="0007021A">
        <w:rPr>
          <w:rFonts w:ascii="Times New Roman" w:hAnsi="Times New Roman"/>
          <w:sz w:val="24"/>
          <w:szCs w:val="24"/>
        </w:rPr>
        <w:t>лице</w:t>
      </w:r>
      <w:r w:rsidR="00823027" w:rsidRPr="0007021A">
        <w:rPr>
          <w:rFonts w:ascii="Times New Roman" w:hAnsi="Times New Roman"/>
          <w:sz w:val="24"/>
          <w:szCs w:val="24"/>
        </w:rPr>
        <w:t xml:space="preserve"> </w:t>
      </w:r>
      <w:r w:rsidRPr="0007021A">
        <w:rPr>
          <w:rFonts w:ascii="Times New Roman" w:hAnsi="Times New Roman"/>
          <w:sz w:val="24"/>
          <w:szCs w:val="24"/>
        </w:rPr>
        <w:t>у</w:t>
      </w:r>
      <w:r w:rsidR="00823027" w:rsidRPr="0007021A">
        <w:rPr>
          <w:rFonts w:ascii="Times New Roman" w:hAnsi="Times New Roman"/>
          <w:sz w:val="24"/>
          <w:szCs w:val="24"/>
        </w:rPr>
        <w:t xml:space="preserve"> </w:t>
      </w:r>
      <w:r w:rsidRPr="0007021A">
        <w:rPr>
          <w:rFonts w:ascii="Times New Roman" w:hAnsi="Times New Roman"/>
          <w:sz w:val="24"/>
          <w:szCs w:val="24"/>
        </w:rPr>
        <w:t>правном</w:t>
      </w:r>
      <w:r w:rsidR="00823027" w:rsidRPr="0007021A">
        <w:rPr>
          <w:rFonts w:ascii="Times New Roman" w:hAnsi="Times New Roman"/>
          <w:sz w:val="24"/>
          <w:szCs w:val="24"/>
        </w:rPr>
        <w:t xml:space="preserve"> </w:t>
      </w:r>
      <w:r w:rsidRPr="0007021A">
        <w:rPr>
          <w:rFonts w:ascii="Times New Roman" w:hAnsi="Times New Roman"/>
          <w:sz w:val="24"/>
          <w:szCs w:val="24"/>
        </w:rPr>
        <w:t>лицу</w:t>
      </w:r>
      <w:r w:rsidR="00823027" w:rsidRPr="0007021A">
        <w:rPr>
          <w:rFonts w:ascii="Times New Roman" w:hAnsi="Times New Roman"/>
          <w:sz w:val="24"/>
          <w:szCs w:val="24"/>
        </w:rPr>
        <w:t xml:space="preserve"> </w:t>
      </w:r>
      <w:r w:rsidRPr="0007021A">
        <w:rPr>
          <w:rFonts w:ascii="Times New Roman" w:hAnsi="Times New Roman"/>
          <w:sz w:val="24"/>
          <w:szCs w:val="24"/>
        </w:rPr>
        <w:t>новчаном</w:t>
      </w:r>
      <w:r w:rsidR="00823027" w:rsidRPr="0007021A">
        <w:rPr>
          <w:rFonts w:ascii="Times New Roman" w:hAnsi="Times New Roman"/>
          <w:sz w:val="24"/>
          <w:szCs w:val="24"/>
        </w:rPr>
        <w:t xml:space="preserve"> </w:t>
      </w:r>
      <w:r w:rsidRPr="0007021A">
        <w:rPr>
          <w:rFonts w:ascii="Times New Roman" w:hAnsi="Times New Roman"/>
          <w:sz w:val="24"/>
          <w:szCs w:val="24"/>
        </w:rPr>
        <w:t>казном</w:t>
      </w:r>
      <w:r w:rsidR="00823027" w:rsidRPr="0007021A">
        <w:rPr>
          <w:rFonts w:ascii="Times New Roman" w:hAnsi="Times New Roman"/>
          <w:sz w:val="24"/>
          <w:szCs w:val="24"/>
        </w:rPr>
        <w:t xml:space="preserve"> </w:t>
      </w:r>
      <w:r w:rsidRPr="0007021A">
        <w:rPr>
          <w:rFonts w:ascii="Times New Roman" w:hAnsi="Times New Roman"/>
          <w:sz w:val="24"/>
          <w:szCs w:val="24"/>
        </w:rPr>
        <w:t>од</w:t>
      </w:r>
      <w:r w:rsidR="00823027" w:rsidRPr="0007021A">
        <w:rPr>
          <w:rFonts w:ascii="Times New Roman" w:hAnsi="Times New Roman"/>
          <w:sz w:val="24"/>
          <w:szCs w:val="24"/>
        </w:rPr>
        <w:t xml:space="preserve"> 5.000 </w:t>
      </w:r>
      <w:r w:rsidRPr="0007021A">
        <w:rPr>
          <w:rFonts w:ascii="Times New Roman" w:hAnsi="Times New Roman"/>
          <w:sz w:val="24"/>
          <w:szCs w:val="24"/>
        </w:rPr>
        <w:t>до</w:t>
      </w:r>
      <w:r w:rsidR="00823027" w:rsidRPr="0007021A">
        <w:rPr>
          <w:rFonts w:ascii="Times New Roman" w:hAnsi="Times New Roman"/>
          <w:sz w:val="24"/>
          <w:szCs w:val="24"/>
        </w:rPr>
        <w:t xml:space="preserve"> 50.000 </w:t>
      </w:r>
      <w:r w:rsidRPr="0007021A">
        <w:rPr>
          <w:rFonts w:ascii="Times New Roman" w:hAnsi="Times New Roman"/>
          <w:sz w:val="24"/>
          <w:szCs w:val="24"/>
        </w:rPr>
        <w:t>динара</w:t>
      </w:r>
      <w:r w:rsidR="00823027" w:rsidRPr="0007021A">
        <w:rPr>
          <w:rFonts w:ascii="Times New Roman" w:hAnsi="Times New Roman"/>
          <w:sz w:val="24"/>
          <w:szCs w:val="24"/>
        </w:rPr>
        <w:t>.</w:t>
      </w:r>
    </w:p>
    <w:p w:rsidR="00027DCA" w:rsidRPr="0007021A" w:rsidRDefault="004949B5" w:rsidP="0007021A">
      <w:pPr>
        <w:ind w:firstLine="708"/>
        <w:jc w:val="both"/>
        <w:rPr>
          <w:rFonts w:ascii="Times New Roman" w:hAnsi="Times New Roman"/>
          <w:sz w:val="24"/>
          <w:szCs w:val="24"/>
          <w:lang w:val="sr-Cyrl-CS"/>
        </w:rPr>
      </w:pPr>
      <w:bookmarkStart w:id="63" w:name="clan_41a"/>
      <w:bookmarkEnd w:id="63"/>
      <w:r w:rsidRPr="0007021A">
        <w:rPr>
          <w:rFonts w:ascii="Times New Roman" w:hAnsi="Times New Roman"/>
          <w:sz w:val="24"/>
          <w:szCs w:val="24"/>
        </w:rPr>
        <w:t>Новчаном</w:t>
      </w:r>
      <w:r w:rsidR="00823027" w:rsidRPr="0007021A">
        <w:rPr>
          <w:rFonts w:ascii="Times New Roman" w:hAnsi="Times New Roman"/>
          <w:sz w:val="24"/>
          <w:szCs w:val="24"/>
        </w:rPr>
        <w:t xml:space="preserve"> </w:t>
      </w:r>
      <w:r w:rsidRPr="0007021A">
        <w:rPr>
          <w:rFonts w:ascii="Times New Roman" w:hAnsi="Times New Roman"/>
          <w:sz w:val="24"/>
          <w:szCs w:val="24"/>
        </w:rPr>
        <w:t>казном</w:t>
      </w:r>
      <w:r w:rsidR="00823027" w:rsidRPr="0007021A">
        <w:rPr>
          <w:rFonts w:ascii="Times New Roman" w:hAnsi="Times New Roman"/>
          <w:sz w:val="24"/>
          <w:szCs w:val="24"/>
        </w:rPr>
        <w:t xml:space="preserve"> </w:t>
      </w:r>
      <w:r w:rsidRPr="0007021A">
        <w:rPr>
          <w:rFonts w:ascii="Times New Roman" w:hAnsi="Times New Roman"/>
          <w:sz w:val="24"/>
          <w:szCs w:val="24"/>
        </w:rPr>
        <w:t>у</w:t>
      </w:r>
      <w:r w:rsidR="00823027" w:rsidRPr="0007021A">
        <w:rPr>
          <w:rFonts w:ascii="Times New Roman" w:hAnsi="Times New Roman"/>
          <w:sz w:val="24"/>
          <w:szCs w:val="24"/>
        </w:rPr>
        <w:t xml:space="preserve"> </w:t>
      </w:r>
      <w:r w:rsidRPr="0007021A">
        <w:rPr>
          <w:rFonts w:ascii="Times New Roman" w:hAnsi="Times New Roman"/>
          <w:sz w:val="24"/>
          <w:szCs w:val="24"/>
        </w:rPr>
        <w:t>висини</w:t>
      </w:r>
      <w:r w:rsidR="00823027" w:rsidRPr="0007021A">
        <w:rPr>
          <w:rFonts w:ascii="Times New Roman" w:hAnsi="Times New Roman"/>
          <w:sz w:val="24"/>
          <w:szCs w:val="24"/>
        </w:rPr>
        <w:t xml:space="preserve"> </w:t>
      </w:r>
      <w:r w:rsidRPr="0007021A">
        <w:rPr>
          <w:rFonts w:ascii="Times New Roman" w:hAnsi="Times New Roman"/>
          <w:sz w:val="24"/>
          <w:szCs w:val="24"/>
        </w:rPr>
        <w:t>троструке</w:t>
      </w:r>
      <w:r w:rsidR="00823027" w:rsidRPr="0007021A">
        <w:rPr>
          <w:rFonts w:ascii="Times New Roman" w:hAnsi="Times New Roman"/>
          <w:sz w:val="24"/>
          <w:szCs w:val="24"/>
        </w:rPr>
        <w:t xml:space="preserve"> </w:t>
      </w:r>
      <w:r w:rsidRPr="0007021A">
        <w:rPr>
          <w:rFonts w:ascii="Times New Roman" w:hAnsi="Times New Roman"/>
          <w:sz w:val="24"/>
          <w:szCs w:val="24"/>
        </w:rPr>
        <w:t>вредности</w:t>
      </w:r>
      <w:r w:rsidR="00823027" w:rsidRPr="0007021A">
        <w:rPr>
          <w:rFonts w:ascii="Times New Roman" w:hAnsi="Times New Roman"/>
          <w:sz w:val="24"/>
          <w:szCs w:val="24"/>
        </w:rPr>
        <w:t xml:space="preserve"> </w:t>
      </w:r>
      <w:r w:rsidRPr="0007021A">
        <w:rPr>
          <w:rFonts w:ascii="Times New Roman" w:hAnsi="Times New Roman"/>
          <w:sz w:val="24"/>
          <w:szCs w:val="24"/>
        </w:rPr>
        <w:t>укупног</w:t>
      </w:r>
      <w:r w:rsidR="00823027" w:rsidRPr="0007021A">
        <w:rPr>
          <w:rFonts w:ascii="Times New Roman" w:hAnsi="Times New Roman"/>
          <w:sz w:val="24"/>
          <w:szCs w:val="24"/>
        </w:rPr>
        <w:t xml:space="preserve"> </w:t>
      </w:r>
      <w:r w:rsidRPr="0007021A">
        <w:rPr>
          <w:rFonts w:ascii="Times New Roman" w:hAnsi="Times New Roman"/>
          <w:sz w:val="24"/>
          <w:szCs w:val="24"/>
        </w:rPr>
        <w:t>оствареног</w:t>
      </w:r>
      <w:r w:rsidR="00823027" w:rsidRPr="0007021A">
        <w:rPr>
          <w:rFonts w:ascii="Times New Roman" w:hAnsi="Times New Roman"/>
          <w:sz w:val="24"/>
          <w:szCs w:val="24"/>
        </w:rPr>
        <w:t xml:space="preserve"> </w:t>
      </w:r>
      <w:r w:rsidRPr="0007021A">
        <w:rPr>
          <w:rFonts w:ascii="Times New Roman" w:hAnsi="Times New Roman"/>
          <w:sz w:val="24"/>
          <w:szCs w:val="24"/>
        </w:rPr>
        <w:t>промета</w:t>
      </w:r>
      <w:r w:rsidR="00823027" w:rsidRPr="0007021A">
        <w:rPr>
          <w:rFonts w:ascii="Times New Roman" w:hAnsi="Times New Roman"/>
          <w:sz w:val="24"/>
          <w:szCs w:val="24"/>
        </w:rPr>
        <w:t xml:space="preserve"> </w:t>
      </w:r>
      <w:r w:rsidRPr="0007021A">
        <w:rPr>
          <w:rFonts w:ascii="Times New Roman" w:hAnsi="Times New Roman"/>
          <w:sz w:val="24"/>
          <w:szCs w:val="24"/>
        </w:rPr>
        <w:t>цигарета</w:t>
      </w:r>
      <w:r w:rsidR="00823027" w:rsidRPr="0007021A">
        <w:rPr>
          <w:rFonts w:ascii="Times New Roman" w:hAnsi="Times New Roman"/>
          <w:sz w:val="24"/>
          <w:szCs w:val="24"/>
        </w:rPr>
        <w:t xml:space="preserve"> </w:t>
      </w:r>
      <w:r w:rsidRPr="0007021A">
        <w:rPr>
          <w:rFonts w:ascii="Times New Roman" w:hAnsi="Times New Roman"/>
          <w:sz w:val="24"/>
          <w:szCs w:val="24"/>
        </w:rPr>
        <w:t>у</w:t>
      </w:r>
      <w:r w:rsidR="00823027" w:rsidRPr="0007021A">
        <w:rPr>
          <w:rFonts w:ascii="Times New Roman" w:hAnsi="Times New Roman"/>
          <w:sz w:val="24"/>
          <w:szCs w:val="24"/>
        </w:rPr>
        <w:t xml:space="preserve"> </w:t>
      </w:r>
      <w:r w:rsidRPr="0007021A">
        <w:rPr>
          <w:rFonts w:ascii="Times New Roman" w:hAnsi="Times New Roman"/>
          <w:sz w:val="24"/>
          <w:szCs w:val="24"/>
        </w:rPr>
        <w:t>претходних</w:t>
      </w:r>
      <w:r w:rsidR="00823027" w:rsidRPr="0007021A">
        <w:rPr>
          <w:rFonts w:ascii="Times New Roman" w:hAnsi="Times New Roman"/>
          <w:sz w:val="24"/>
          <w:szCs w:val="24"/>
        </w:rPr>
        <w:t xml:space="preserve"> </w:t>
      </w:r>
      <w:r w:rsidRPr="0007021A">
        <w:rPr>
          <w:rFonts w:ascii="Times New Roman" w:hAnsi="Times New Roman"/>
          <w:sz w:val="24"/>
          <w:szCs w:val="24"/>
        </w:rPr>
        <w:t>шест</w:t>
      </w:r>
      <w:r w:rsidR="00823027" w:rsidRPr="0007021A">
        <w:rPr>
          <w:rFonts w:ascii="Times New Roman" w:hAnsi="Times New Roman"/>
          <w:sz w:val="24"/>
          <w:szCs w:val="24"/>
        </w:rPr>
        <w:t xml:space="preserve"> </w:t>
      </w:r>
      <w:r w:rsidRPr="0007021A">
        <w:rPr>
          <w:rFonts w:ascii="Times New Roman" w:hAnsi="Times New Roman"/>
          <w:sz w:val="24"/>
          <w:szCs w:val="24"/>
        </w:rPr>
        <w:t>месеци</w:t>
      </w:r>
      <w:r w:rsidR="00823027" w:rsidRPr="0007021A">
        <w:rPr>
          <w:rFonts w:ascii="Times New Roman" w:hAnsi="Times New Roman"/>
          <w:sz w:val="24"/>
          <w:szCs w:val="24"/>
        </w:rPr>
        <w:t xml:space="preserve"> </w:t>
      </w:r>
      <w:r w:rsidRPr="0007021A">
        <w:rPr>
          <w:rFonts w:ascii="Times New Roman" w:hAnsi="Times New Roman"/>
          <w:sz w:val="24"/>
          <w:szCs w:val="24"/>
        </w:rPr>
        <w:t>казниће</w:t>
      </w:r>
      <w:r w:rsidR="00823027" w:rsidRPr="0007021A">
        <w:rPr>
          <w:rFonts w:ascii="Times New Roman" w:hAnsi="Times New Roman"/>
          <w:sz w:val="24"/>
          <w:szCs w:val="24"/>
        </w:rPr>
        <w:t xml:space="preserve"> </w:t>
      </w:r>
      <w:r w:rsidRPr="0007021A">
        <w:rPr>
          <w:rFonts w:ascii="Times New Roman" w:hAnsi="Times New Roman"/>
          <w:sz w:val="24"/>
          <w:szCs w:val="24"/>
        </w:rPr>
        <w:t>се</w:t>
      </w:r>
      <w:r w:rsidR="00823027" w:rsidRPr="0007021A">
        <w:rPr>
          <w:rFonts w:ascii="Times New Roman" w:hAnsi="Times New Roman"/>
          <w:sz w:val="24"/>
          <w:szCs w:val="24"/>
        </w:rPr>
        <w:t xml:space="preserve"> </w:t>
      </w:r>
      <w:r w:rsidRPr="0007021A">
        <w:rPr>
          <w:rFonts w:ascii="Times New Roman" w:hAnsi="Times New Roman"/>
          <w:sz w:val="24"/>
          <w:szCs w:val="24"/>
        </w:rPr>
        <w:t>за</w:t>
      </w:r>
      <w:r w:rsidR="00823027" w:rsidRPr="0007021A">
        <w:rPr>
          <w:rFonts w:ascii="Times New Roman" w:hAnsi="Times New Roman"/>
          <w:sz w:val="24"/>
          <w:szCs w:val="24"/>
        </w:rPr>
        <w:t xml:space="preserve"> </w:t>
      </w:r>
      <w:r w:rsidRPr="0007021A">
        <w:rPr>
          <w:rFonts w:ascii="Times New Roman" w:hAnsi="Times New Roman"/>
          <w:sz w:val="24"/>
          <w:szCs w:val="24"/>
        </w:rPr>
        <w:t>прекршај</w:t>
      </w:r>
      <w:r w:rsidR="00823027" w:rsidRPr="0007021A">
        <w:rPr>
          <w:rFonts w:ascii="Times New Roman" w:hAnsi="Times New Roman"/>
          <w:sz w:val="24"/>
          <w:szCs w:val="24"/>
        </w:rPr>
        <w:t xml:space="preserve"> </w:t>
      </w:r>
      <w:r w:rsidRPr="0007021A">
        <w:rPr>
          <w:rFonts w:ascii="Times New Roman" w:hAnsi="Times New Roman"/>
          <w:sz w:val="24"/>
          <w:szCs w:val="24"/>
        </w:rPr>
        <w:t>произвођач</w:t>
      </w:r>
      <w:r w:rsidR="00823027" w:rsidRPr="0007021A">
        <w:rPr>
          <w:rFonts w:ascii="Times New Roman" w:hAnsi="Times New Roman"/>
          <w:sz w:val="24"/>
          <w:szCs w:val="24"/>
        </w:rPr>
        <w:t xml:space="preserve">, </w:t>
      </w:r>
      <w:r w:rsidRPr="0007021A">
        <w:rPr>
          <w:rFonts w:ascii="Times New Roman" w:hAnsi="Times New Roman"/>
          <w:sz w:val="24"/>
          <w:szCs w:val="24"/>
        </w:rPr>
        <w:t>односно</w:t>
      </w:r>
      <w:r w:rsidR="00823027" w:rsidRPr="0007021A">
        <w:rPr>
          <w:rFonts w:ascii="Times New Roman" w:hAnsi="Times New Roman"/>
          <w:sz w:val="24"/>
          <w:szCs w:val="24"/>
        </w:rPr>
        <w:t xml:space="preserve"> </w:t>
      </w:r>
      <w:r w:rsidRPr="0007021A">
        <w:rPr>
          <w:rFonts w:ascii="Times New Roman" w:hAnsi="Times New Roman"/>
          <w:sz w:val="24"/>
          <w:szCs w:val="24"/>
        </w:rPr>
        <w:t>увозник</w:t>
      </w:r>
      <w:r w:rsidR="00823027" w:rsidRPr="0007021A">
        <w:rPr>
          <w:rFonts w:ascii="Times New Roman" w:hAnsi="Times New Roman"/>
          <w:sz w:val="24"/>
          <w:szCs w:val="24"/>
        </w:rPr>
        <w:t xml:space="preserve"> </w:t>
      </w:r>
      <w:r w:rsidRPr="0007021A">
        <w:rPr>
          <w:rFonts w:ascii="Times New Roman" w:hAnsi="Times New Roman"/>
          <w:sz w:val="24"/>
          <w:szCs w:val="24"/>
        </w:rPr>
        <w:t>цигарета</w:t>
      </w:r>
      <w:r w:rsidR="00823027" w:rsidRPr="0007021A">
        <w:rPr>
          <w:rFonts w:ascii="Times New Roman" w:hAnsi="Times New Roman"/>
          <w:sz w:val="24"/>
          <w:szCs w:val="24"/>
        </w:rPr>
        <w:t xml:space="preserve"> </w:t>
      </w:r>
      <w:r w:rsidRPr="0007021A">
        <w:rPr>
          <w:rFonts w:ascii="Times New Roman" w:hAnsi="Times New Roman"/>
          <w:sz w:val="24"/>
          <w:szCs w:val="24"/>
        </w:rPr>
        <w:t>ако</w:t>
      </w:r>
      <w:r w:rsidR="00823027" w:rsidRPr="0007021A">
        <w:rPr>
          <w:rFonts w:ascii="Times New Roman" w:hAnsi="Times New Roman"/>
          <w:sz w:val="24"/>
          <w:szCs w:val="24"/>
        </w:rPr>
        <w:t xml:space="preserve"> </w:t>
      </w:r>
      <w:r w:rsidRPr="0007021A">
        <w:rPr>
          <w:rFonts w:ascii="Times New Roman" w:hAnsi="Times New Roman"/>
          <w:sz w:val="24"/>
          <w:szCs w:val="24"/>
        </w:rPr>
        <w:t>не</w:t>
      </w:r>
      <w:r w:rsidR="00823027" w:rsidRPr="0007021A">
        <w:rPr>
          <w:rFonts w:ascii="Times New Roman" w:hAnsi="Times New Roman"/>
          <w:sz w:val="24"/>
          <w:szCs w:val="24"/>
        </w:rPr>
        <w:t xml:space="preserve"> </w:t>
      </w:r>
      <w:r w:rsidRPr="0007021A">
        <w:rPr>
          <w:rFonts w:ascii="Times New Roman" w:hAnsi="Times New Roman"/>
          <w:sz w:val="24"/>
          <w:szCs w:val="24"/>
        </w:rPr>
        <w:t>изврши</w:t>
      </w:r>
      <w:r w:rsidR="00823027" w:rsidRPr="0007021A">
        <w:rPr>
          <w:rFonts w:ascii="Times New Roman" w:hAnsi="Times New Roman"/>
          <w:sz w:val="24"/>
          <w:szCs w:val="24"/>
        </w:rPr>
        <w:t xml:space="preserve"> </w:t>
      </w:r>
      <w:r w:rsidRPr="0007021A">
        <w:rPr>
          <w:rFonts w:ascii="Times New Roman" w:hAnsi="Times New Roman"/>
          <w:sz w:val="24"/>
          <w:szCs w:val="24"/>
        </w:rPr>
        <w:t>попис</w:t>
      </w:r>
      <w:r w:rsidR="00823027" w:rsidRPr="0007021A">
        <w:rPr>
          <w:rFonts w:ascii="Times New Roman" w:hAnsi="Times New Roman"/>
          <w:sz w:val="24"/>
          <w:szCs w:val="24"/>
        </w:rPr>
        <w:t xml:space="preserve"> </w:t>
      </w:r>
      <w:r w:rsidRPr="0007021A">
        <w:rPr>
          <w:rFonts w:ascii="Times New Roman" w:hAnsi="Times New Roman"/>
          <w:sz w:val="24"/>
          <w:szCs w:val="24"/>
        </w:rPr>
        <w:t>затечених</w:t>
      </w:r>
      <w:r w:rsidR="00823027" w:rsidRPr="0007021A">
        <w:rPr>
          <w:rFonts w:ascii="Times New Roman" w:hAnsi="Times New Roman"/>
          <w:sz w:val="24"/>
          <w:szCs w:val="24"/>
        </w:rPr>
        <w:t xml:space="preserve"> </w:t>
      </w:r>
      <w:r w:rsidRPr="0007021A">
        <w:rPr>
          <w:rFonts w:ascii="Times New Roman" w:hAnsi="Times New Roman"/>
          <w:sz w:val="24"/>
          <w:szCs w:val="24"/>
        </w:rPr>
        <w:t>залиха</w:t>
      </w:r>
      <w:r w:rsidR="00823027" w:rsidRPr="0007021A">
        <w:rPr>
          <w:rFonts w:ascii="Times New Roman" w:hAnsi="Times New Roman"/>
          <w:sz w:val="24"/>
          <w:szCs w:val="24"/>
        </w:rPr>
        <w:t xml:space="preserve"> </w:t>
      </w:r>
      <w:r w:rsidRPr="0007021A">
        <w:rPr>
          <w:rFonts w:ascii="Times New Roman" w:hAnsi="Times New Roman"/>
          <w:sz w:val="24"/>
          <w:szCs w:val="24"/>
        </w:rPr>
        <w:t>цигарета</w:t>
      </w:r>
      <w:r w:rsidR="00823027" w:rsidRPr="0007021A">
        <w:rPr>
          <w:rFonts w:ascii="Times New Roman" w:hAnsi="Times New Roman"/>
          <w:sz w:val="24"/>
          <w:szCs w:val="24"/>
        </w:rPr>
        <w:t xml:space="preserve"> </w:t>
      </w:r>
      <w:r w:rsidRPr="0007021A">
        <w:rPr>
          <w:rFonts w:ascii="Times New Roman" w:hAnsi="Times New Roman"/>
          <w:sz w:val="24"/>
          <w:szCs w:val="24"/>
        </w:rPr>
        <w:t>при</w:t>
      </w:r>
      <w:r w:rsidR="00823027" w:rsidRPr="0007021A">
        <w:rPr>
          <w:rFonts w:ascii="Times New Roman" w:hAnsi="Times New Roman"/>
          <w:sz w:val="24"/>
          <w:szCs w:val="24"/>
        </w:rPr>
        <w:t xml:space="preserve"> </w:t>
      </w:r>
      <w:r w:rsidRPr="0007021A">
        <w:rPr>
          <w:rFonts w:ascii="Times New Roman" w:hAnsi="Times New Roman"/>
          <w:sz w:val="24"/>
          <w:szCs w:val="24"/>
        </w:rPr>
        <w:t>свакој</w:t>
      </w:r>
      <w:r w:rsidR="00823027" w:rsidRPr="0007021A">
        <w:rPr>
          <w:rFonts w:ascii="Times New Roman" w:hAnsi="Times New Roman"/>
          <w:sz w:val="24"/>
          <w:szCs w:val="24"/>
        </w:rPr>
        <w:t xml:space="preserve"> </w:t>
      </w:r>
      <w:r w:rsidRPr="0007021A">
        <w:rPr>
          <w:rFonts w:ascii="Times New Roman" w:hAnsi="Times New Roman"/>
          <w:sz w:val="24"/>
          <w:szCs w:val="24"/>
        </w:rPr>
        <w:t>промени</w:t>
      </w:r>
      <w:r w:rsidR="00823027" w:rsidRPr="0007021A">
        <w:rPr>
          <w:rFonts w:ascii="Times New Roman" w:hAnsi="Times New Roman"/>
          <w:sz w:val="24"/>
          <w:szCs w:val="24"/>
        </w:rPr>
        <w:t xml:space="preserve"> </w:t>
      </w:r>
      <w:r w:rsidRPr="0007021A">
        <w:rPr>
          <w:rFonts w:ascii="Times New Roman" w:hAnsi="Times New Roman"/>
          <w:sz w:val="24"/>
          <w:szCs w:val="24"/>
        </w:rPr>
        <w:t>износа</w:t>
      </w:r>
      <w:r w:rsidR="00823027" w:rsidRPr="0007021A">
        <w:rPr>
          <w:rFonts w:ascii="Times New Roman" w:hAnsi="Times New Roman"/>
          <w:sz w:val="24"/>
          <w:szCs w:val="24"/>
        </w:rPr>
        <w:t xml:space="preserve"> </w:t>
      </w:r>
      <w:r w:rsidRPr="0007021A">
        <w:rPr>
          <w:rFonts w:ascii="Times New Roman" w:hAnsi="Times New Roman"/>
          <w:sz w:val="24"/>
          <w:szCs w:val="24"/>
        </w:rPr>
        <w:t>акцизе</w:t>
      </w:r>
      <w:r w:rsidR="00823027" w:rsidRPr="0007021A">
        <w:rPr>
          <w:rFonts w:ascii="Times New Roman" w:hAnsi="Times New Roman"/>
          <w:sz w:val="24"/>
          <w:szCs w:val="24"/>
        </w:rPr>
        <w:t xml:space="preserve"> </w:t>
      </w:r>
      <w:r w:rsidRPr="0007021A">
        <w:rPr>
          <w:rFonts w:ascii="Times New Roman" w:hAnsi="Times New Roman"/>
          <w:sz w:val="24"/>
          <w:szCs w:val="24"/>
        </w:rPr>
        <w:t>на</w:t>
      </w:r>
      <w:r w:rsidR="00823027" w:rsidRPr="0007021A">
        <w:rPr>
          <w:rFonts w:ascii="Times New Roman" w:hAnsi="Times New Roman"/>
          <w:sz w:val="24"/>
          <w:szCs w:val="24"/>
        </w:rPr>
        <w:t xml:space="preserve"> </w:t>
      </w:r>
      <w:r w:rsidRPr="0007021A">
        <w:rPr>
          <w:rFonts w:ascii="Times New Roman" w:hAnsi="Times New Roman"/>
          <w:sz w:val="24"/>
          <w:szCs w:val="24"/>
        </w:rPr>
        <w:t>цигарете</w:t>
      </w:r>
      <w:r w:rsidR="00823027" w:rsidRPr="0007021A">
        <w:rPr>
          <w:rFonts w:ascii="Times New Roman" w:hAnsi="Times New Roman"/>
          <w:sz w:val="24"/>
          <w:szCs w:val="24"/>
        </w:rPr>
        <w:t xml:space="preserve">, </w:t>
      </w:r>
      <w:r w:rsidRPr="0007021A">
        <w:rPr>
          <w:rFonts w:ascii="Times New Roman" w:hAnsi="Times New Roman"/>
          <w:sz w:val="24"/>
          <w:szCs w:val="24"/>
        </w:rPr>
        <w:t>као</w:t>
      </w:r>
      <w:r w:rsidR="00823027" w:rsidRPr="0007021A">
        <w:rPr>
          <w:rFonts w:ascii="Times New Roman" w:hAnsi="Times New Roman"/>
          <w:sz w:val="24"/>
          <w:szCs w:val="24"/>
        </w:rPr>
        <w:t xml:space="preserve"> </w:t>
      </w:r>
      <w:r w:rsidRPr="0007021A">
        <w:rPr>
          <w:rFonts w:ascii="Times New Roman" w:hAnsi="Times New Roman"/>
          <w:sz w:val="24"/>
          <w:szCs w:val="24"/>
        </w:rPr>
        <w:t>и</w:t>
      </w:r>
      <w:r w:rsidR="00823027" w:rsidRPr="0007021A">
        <w:rPr>
          <w:rFonts w:ascii="Times New Roman" w:hAnsi="Times New Roman"/>
          <w:sz w:val="24"/>
          <w:szCs w:val="24"/>
        </w:rPr>
        <w:t xml:space="preserve"> </w:t>
      </w:r>
      <w:r w:rsidRPr="0007021A">
        <w:rPr>
          <w:rFonts w:ascii="Times New Roman" w:hAnsi="Times New Roman"/>
          <w:sz w:val="24"/>
          <w:szCs w:val="24"/>
        </w:rPr>
        <w:t>ако</w:t>
      </w:r>
      <w:r w:rsidR="00823027" w:rsidRPr="0007021A">
        <w:rPr>
          <w:rFonts w:ascii="Times New Roman" w:hAnsi="Times New Roman"/>
          <w:sz w:val="24"/>
          <w:szCs w:val="24"/>
        </w:rPr>
        <w:t xml:space="preserve"> </w:t>
      </w:r>
      <w:r w:rsidRPr="0007021A">
        <w:rPr>
          <w:rFonts w:ascii="Times New Roman" w:hAnsi="Times New Roman"/>
          <w:sz w:val="24"/>
          <w:szCs w:val="24"/>
        </w:rPr>
        <w:t>обрачунату</w:t>
      </w:r>
      <w:r w:rsidR="00823027" w:rsidRPr="0007021A">
        <w:rPr>
          <w:rFonts w:ascii="Times New Roman" w:hAnsi="Times New Roman"/>
          <w:sz w:val="24"/>
          <w:szCs w:val="24"/>
        </w:rPr>
        <w:t xml:space="preserve"> </w:t>
      </w:r>
      <w:r w:rsidRPr="0007021A">
        <w:rPr>
          <w:rFonts w:ascii="Times New Roman" w:hAnsi="Times New Roman"/>
          <w:sz w:val="24"/>
          <w:szCs w:val="24"/>
        </w:rPr>
        <w:t>акцизу</w:t>
      </w:r>
      <w:r w:rsidR="00823027" w:rsidRPr="0007021A">
        <w:rPr>
          <w:rFonts w:ascii="Times New Roman" w:hAnsi="Times New Roman"/>
          <w:sz w:val="24"/>
          <w:szCs w:val="24"/>
        </w:rPr>
        <w:t xml:space="preserve"> </w:t>
      </w:r>
      <w:r w:rsidRPr="0007021A">
        <w:rPr>
          <w:rFonts w:ascii="Times New Roman" w:hAnsi="Times New Roman"/>
          <w:sz w:val="24"/>
          <w:szCs w:val="24"/>
        </w:rPr>
        <w:t>не</w:t>
      </w:r>
      <w:r w:rsidR="00823027" w:rsidRPr="0007021A">
        <w:rPr>
          <w:rFonts w:ascii="Times New Roman" w:hAnsi="Times New Roman"/>
          <w:sz w:val="24"/>
          <w:szCs w:val="24"/>
        </w:rPr>
        <w:t xml:space="preserve"> </w:t>
      </w:r>
      <w:r w:rsidRPr="0007021A">
        <w:rPr>
          <w:rFonts w:ascii="Times New Roman" w:hAnsi="Times New Roman"/>
          <w:sz w:val="24"/>
          <w:szCs w:val="24"/>
        </w:rPr>
        <w:t>уплати</w:t>
      </w:r>
      <w:r w:rsidR="00823027" w:rsidRPr="0007021A">
        <w:rPr>
          <w:rFonts w:ascii="Times New Roman" w:hAnsi="Times New Roman"/>
          <w:sz w:val="24"/>
          <w:szCs w:val="24"/>
        </w:rPr>
        <w:t xml:space="preserve"> </w:t>
      </w:r>
      <w:r w:rsidRPr="0007021A">
        <w:rPr>
          <w:rFonts w:ascii="Times New Roman" w:hAnsi="Times New Roman"/>
          <w:sz w:val="24"/>
          <w:szCs w:val="24"/>
        </w:rPr>
        <w:t>у</w:t>
      </w:r>
      <w:r w:rsidR="00823027" w:rsidRPr="0007021A">
        <w:rPr>
          <w:rFonts w:ascii="Times New Roman" w:hAnsi="Times New Roman"/>
          <w:sz w:val="24"/>
          <w:szCs w:val="24"/>
        </w:rPr>
        <w:t xml:space="preserve"> </w:t>
      </w:r>
      <w:r w:rsidRPr="0007021A">
        <w:rPr>
          <w:rFonts w:ascii="Times New Roman" w:hAnsi="Times New Roman"/>
          <w:sz w:val="24"/>
          <w:szCs w:val="24"/>
        </w:rPr>
        <w:t>прописаном</w:t>
      </w:r>
      <w:r w:rsidR="00823027" w:rsidRPr="0007021A">
        <w:rPr>
          <w:rFonts w:ascii="Times New Roman" w:hAnsi="Times New Roman"/>
          <w:sz w:val="24"/>
          <w:szCs w:val="24"/>
        </w:rPr>
        <w:t xml:space="preserve"> </w:t>
      </w:r>
      <w:r w:rsidRPr="0007021A">
        <w:rPr>
          <w:rFonts w:ascii="Times New Roman" w:hAnsi="Times New Roman"/>
          <w:sz w:val="24"/>
          <w:szCs w:val="24"/>
        </w:rPr>
        <w:t>року</w:t>
      </w:r>
      <w:r w:rsidR="00823027" w:rsidRPr="0007021A">
        <w:rPr>
          <w:rFonts w:ascii="Times New Roman" w:hAnsi="Times New Roman"/>
          <w:sz w:val="24"/>
          <w:szCs w:val="24"/>
        </w:rPr>
        <w:t xml:space="preserve"> (</w:t>
      </w:r>
      <w:r w:rsidRPr="0007021A">
        <w:rPr>
          <w:rFonts w:ascii="Times New Roman" w:hAnsi="Times New Roman"/>
          <w:sz w:val="24"/>
          <w:szCs w:val="24"/>
        </w:rPr>
        <w:t>члан</w:t>
      </w:r>
      <w:r w:rsidR="00823027" w:rsidRPr="0007021A">
        <w:rPr>
          <w:rFonts w:ascii="Times New Roman" w:hAnsi="Times New Roman"/>
          <w:sz w:val="24"/>
          <w:szCs w:val="24"/>
        </w:rPr>
        <w:t xml:space="preserve"> 31</w:t>
      </w:r>
      <w:r w:rsidRPr="0007021A">
        <w:rPr>
          <w:rFonts w:ascii="Times New Roman" w:hAnsi="Times New Roman"/>
          <w:sz w:val="24"/>
          <w:szCs w:val="24"/>
        </w:rPr>
        <w:t>а</w:t>
      </w:r>
      <w:r w:rsidR="00823027" w:rsidRPr="0007021A">
        <w:rPr>
          <w:rFonts w:ascii="Times New Roman" w:hAnsi="Times New Roman"/>
          <w:sz w:val="24"/>
          <w:szCs w:val="24"/>
        </w:rPr>
        <w:t>).</w:t>
      </w:r>
    </w:p>
    <w:p w:rsidR="00027DCA" w:rsidRPr="0007021A" w:rsidRDefault="004949B5" w:rsidP="0007021A">
      <w:pPr>
        <w:ind w:firstLine="708"/>
        <w:jc w:val="both"/>
        <w:rPr>
          <w:rFonts w:ascii="Times New Roman" w:hAnsi="Times New Roman"/>
          <w:sz w:val="24"/>
          <w:szCs w:val="24"/>
          <w:lang w:val="sr-Cyrl-CS"/>
        </w:rPr>
      </w:pPr>
      <w:bookmarkStart w:id="64" w:name="clan_42**"/>
      <w:bookmarkEnd w:id="64"/>
      <w:r w:rsidRPr="0007021A">
        <w:rPr>
          <w:rFonts w:ascii="Times New Roman" w:hAnsi="Times New Roman"/>
          <w:sz w:val="24"/>
          <w:szCs w:val="24"/>
        </w:rPr>
        <w:t>Новчаном</w:t>
      </w:r>
      <w:r w:rsidR="00823027" w:rsidRPr="0007021A">
        <w:rPr>
          <w:rFonts w:ascii="Times New Roman" w:hAnsi="Times New Roman"/>
          <w:sz w:val="24"/>
          <w:szCs w:val="24"/>
        </w:rPr>
        <w:t xml:space="preserve"> </w:t>
      </w:r>
      <w:r w:rsidRPr="0007021A">
        <w:rPr>
          <w:rFonts w:ascii="Times New Roman" w:hAnsi="Times New Roman"/>
          <w:sz w:val="24"/>
          <w:szCs w:val="24"/>
        </w:rPr>
        <w:t>казном</w:t>
      </w:r>
      <w:r w:rsidR="00823027" w:rsidRPr="0007021A">
        <w:rPr>
          <w:rFonts w:ascii="Times New Roman" w:hAnsi="Times New Roman"/>
          <w:sz w:val="24"/>
          <w:szCs w:val="24"/>
        </w:rPr>
        <w:t xml:space="preserve"> </w:t>
      </w:r>
      <w:r w:rsidRPr="0007021A">
        <w:rPr>
          <w:rFonts w:ascii="Times New Roman" w:hAnsi="Times New Roman"/>
          <w:sz w:val="24"/>
          <w:szCs w:val="24"/>
        </w:rPr>
        <w:t>у</w:t>
      </w:r>
      <w:r w:rsidR="00823027" w:rsidRPr="0007021A">
        <w:rPr>
          <w:rFonts w:ascii="Times New Roman" w:hAnsi="Times New Roman"/>
          <w:sz w:val="24"/>
          <w:szCs w:val="24"/>
        </w:rPr>
        <w:t xml:space="preserve"> </w:t>
      </w:r>
      <w:r w:rsidRPr="0007021A">
        <w:rPr>
          <w:rFonts w:ascii="Times New Roman" w:hAnsi="Times New Roman"/>
          <w:sz w:val="24"/>
          <w:szCs w:val="24"/>
        </w:rPr>
        <w:t>висини</w:t>
      </w:r>
      <w:r w:rsidR="00823027" w:rsidRPr="0007021A">
        <w:rPr>
          <w:rFonts w:ascii="Times New Roman" w:hAnsi="Times New Roman"/>
          <w:sz w:val="24"/>
          <w:szCs w:val="24"/>
        </w:rPr>
        <w:t xml:space="preserve"> </w:t>
      </w:r>
      <w:r w:rsidRPr="0007021A">
        <w:rPr>
          <w:rFonts w:ascii="Times New Roman" w:hAnsi="Times New Roman"/>
          <w:sz w:val="24"/>
          <w:szCs w:val="24"/>
        </w:rPr>
        <w:t>од</w:t>
      </w:r>
      <w:r w:rsidR="00823027" w:rsidRPr="0007021A">
        <w:rPr>
          <w:rFonts w:ascii="Times New Roman" w:hAnsi="Times New Roman"/>
          <w:sz w:val="24"/>
          <w:szCs w:val="24"/>
        </w:rPr>
        <w:t xml:space="preserve"> </w:t>
      </w:r>
      <w:r w:rsidRPr="0007021A">
        <w:rPr>
          <w:rFonts w:ascii="Times New Roman" w:hAnsi="Times New Roman"/>
          <w:sz w:val="24"/>
          <w:szCs w:val="24"/>
        </w:rPr>
        <w:t>двоструког</w:t>
      </w:r>
      <w:r w:rsidR="00823027" w:rsidRPr="0007021A">
        <w:rPr>
          <w:rFonts w:ascii="Times New Roman" w:hAnsi="Times New Roman"/>
          <w:sz w:val="24"/>
          <w:szCs w:val="24"/>
        </w:rPr>
        <w:t xml:space="preserve"> </w:t>
      </w:r>
      <w:r w:rsidRPr="0007021A">
        <w:rPr>
          <w:rFonts w:ascii="Times New Roman" w:hAnsi="Times New Roman"/>
          <w:sz w:val="24"/>
          <w:szCs w:val="24"/>
        </w:rPr>
        <w:t>до</w:t>
      </w:r>
      <w:r w:rsidR="00823027" w:rsidRPr="0007021A">
        <w:rPr>
          <w:rFonts w:ascii="Times New Roman" w:hAnsi="Times New Roman"/>
          <w:sz w:val="24"/>
          <w:szCs w:val="24"/>
        </w:rPr>
        <w:t xml:space="preserve"> </w:t>
      </w:r>
      <w:r w:rsidRPr="0007021A">
        <w:rPr>
          <w:rFonts w:ascii="Times New Roman" w:hAnsi="Times New Roman"/>
          <w:sz w:val="24"/>
          <w:szCs w:val="24"/>
        </w:rPr>
        <w:t>десетоструког</w:t>
      </w:r>
      <w:r w:rsidR="00823027" w:rsidRPr="0007021A">
        <w:rPr>
          <w:rFonts w:ascii="Times New Roman" w:hAnsi="Times New Roman"/>
          <w:sz w:val="24"/>
          <w:szCs w:val="24"/>
        </w:rPr>
        <w:t xml:space="preserve"> </w:t>
      </w:r>
      <w:r w:rsidRPr="0007021A">
        <w:rPr>
          <w:rFonts w:ascii="Times New Roman" w:hAnsi="Times New Roman"/>
          <w:sz w:val="24"/>
          <w:szCs w:val="24"/>
        </w:rPr>
        <w:t>износа</w:t>
      </w:r>
      <w:r w:rsidR="00823027" w:rsidRPr="0007021A">
        <w:rPr>
          <w:rFonts w:ascii="Times New Roman" w:hAnsi="Times New Roman"/>
          <w:sz w:val="24"/>
          <w:szCs w:val="24"/>
        </w:rPr>
        <w:t xml:space="preserve"> </w:t>
      </w:r>
      <w:r w:rsidRPr="0007021A">
        <w:rPr>
          <w:rFonts w:ascii="Times New Roman" w:hAnsi="Times New Roman"/>
          <w:sz w:val="24"/>
          <w:szCs w:val="24"/>
        </w:rPr>
        <w:t>необрачунате</w:t>
      </w:r>
      <w:r w:rsidR="00823027" w:rsidRPr="0007021A">
        <w:rPr>
          <w:rFonts w:ascii="Times New Roman" w:hAnsi="Times New Roman"/>
          <w:sz w:val="24"/>
          <w:szCs w:val="24"/>
        </w:rPr>
        <w:t xml:space="preserve"> </w:t>
      </w:r>
      <w:r w:rsidRPr="0007021A">
        <w:rPr>
          <w:rFonts w:ascii="Times New Roman" w:hAnsi="Times New Roman"/>
          <w:sz w:val="24"/>
          <w:szCs w:val="24"/>
        </w:rPr>
        <w:t>акцизе</w:t>
      </w:r>
      <w:r w:rsidR="00823027" w:rsidRPr="0007021A">
        <w:rPr>
          <w:rFonts w:ascii="Times New Roman" w:hAnsi="Times New Roman"/>
          <w:sz w:val="24"/>
          <w:szCs w:val="24"/>
        </w:rPr>
        <w:t xml:space="preserve">, </w:t>
      </w:r>
      <w:r w:rsidRPr="0007021A">
        <w:rPr>
          <w:rFonts w:ascii="Times New Roman" w:hAnsi="Times New Roman"/>
          <w:sz w:val="24"/>
          <w:szCs w:val="24"/>
        </w:rPr>
        <w:t>а</w:t>
      </w:r>
      <w:r w:rsidR="00823027" w:rsidRPr="0007021A">
        <w:rPr>
          <w:rFonts w:ascii="Times New Roman" w:hAnsi="Times New Roman"/>
          <w:sz w:val="24"/>
          <w:szCs w:val="24"/>
        </w:rPr>
        <w:t xml:space="preserve"> </w:t>
      </w:r>
      <w:r w:rsidRPr="0007021A">
        <w:rPr>
          <w:rFonts w:ascii="Times New Roman" w:hAnsi="Times New Roman"/>
          <w:sz w:val="24"/>
          <w:szCs w:val="24"/>
        </w:rPr>
        <w:t>најмање</w:t>
      </w:r>
      <w:r w:rsidR="00823027" w:rsidRPr="0007021A">
        <w:rPr>
          <w:rFonts w:ascii="Times New Roman" w:hAnsi="Times New Roman"/>
          <w:sz w:val="24"/>
          <w:szCs w:val="24"/>
        </w:rPr>
        <w:t xml:space="preserve"> </w:t>
      </w:r>
      <w:r w:rsidRPr="0007021A">
        <w:rPr>
          <w:rFonts w:ascii="Times New Roman" w:hAnsi="Times New Roman"/>
          <w:sz w:val="24"/>
          <w:szCs w:val="24"/>
        </w:rPr>
        <w:t>у</w:t>
      </w:r>
      <w:r w:rsidR="00823027" w:rsidRPr="0007021A">
        <w:rPr>
          <w:rFonts w:ascii="Times New Roman" w:hAnsi="Times New Roman"/>
          <w:sz w:val="24"/>
          <w:szCs w:val="24"/>
        </w:rPr>
        <w:t xml:space="preserve"> </w:t>
      </w:r>
      <w:r w:rsidRPr="0007021A">
        <w:rPr>
          <w:rFonts w:ascii="Times New Roman" w:hAnsi="Times New Roman"/>
          <w:sz w:val="24"/>
          <w:szCs w:val="24"/>
        </w:rPr>
        <w:t>висини</w:t>
      </w:r>
      <w:r w:rsidR="00823027" w:rsidRPr="0007021A">
        <w:rPr>
          <w:rFonts w:ascii="Times New Roman" w:hAnsi="Times New Roman"/>
          <w:sz w:val="24"/>
          <w:szCs w:val="24"/>
        </w:rPr>
        <w:t xml:space="preserve"> </w:t>
      </w:r>
      <w:r w:rsidRPr="0007021A">
        <w:rPr>
          <w:rFonts w:ascii="Times New Roman" w:hAnsi="Times New Roman"/>
          <w:sz w:val="24"/>
          <w:szCs w:val="24"/>
        </w:rPr>
        <w:t>од</w:t>
      </w:r>
      <w:r w:rsidR="00823027" w:rsidRPr="0007021A">
        <w:rPr>
          <w:rFonts w:ascii="Times New Roman" w:hAnsi="Times New Roman"/>
          <w:sz w:val="24"/>
          <w:szCs w:val="24"/>
        </w:rPr>
        <w:t xml:space="preserve"> 125.000 </w:t>
      </w:r>
      <w:r w:rsidRPr="0007021A">
        <w:rPr>
          <w:rFonts w:ascii="Times New Roman" w:hAnsi="Times New Roman"/>
          <w:sz w:val="24"/>
          <w:szCs w:val="24"/>
        </w:rPr>
        <w:t>динара</w:t>
      </w:r>
      <w:r w:rsidR="00823027" w:rsidRPr="0007021A">
        <w:rPr>
          <w:rFonts w:ascii="Times New Roman" w:hAnsi="Times New Roman"/>
          <w:sz w:val="24"/>
          <w:szCs w:val="24"/>
        </w:rPr>
        <w:t xml:space="preserve">, </w:t>
      </w:r>
      <w:r w:rsidRPr="0007021A">
        <w:rPr>
          <w:rFonts w:ascii="Times New Roman" w:hAnsi="Times New Roman"/>
          <w:sz w:val="24"/>
          <w:szCs w:val="24"/>
        </w:rPr>
        <w:t>казниће</w:t>
      </w:r>
      <w:r w:rsidR="00823027" w:rsidRPr="0007021A">
        <w:rPr>
          <w:rFonts w:ascii="Times New Roman" w:hAnsi="Times New Roman"/>
          <w:sz w:val="24"/>
          <w:szCs w:val="24"/>
        </w:rPr>
        <w:t xml:space="preserve"> </w:t>
      </w:r>
      <w:r w:rsidRPr="0007021A">
        <w:rPr>
          <w:rFonts w:ascii="Times New Roman" w:hAnsi="Times New Roman"/>
          <w:sz w:val="24"/>
          <w:szCs w:val="24"/>
        </w:rPr>
        <w:t>се</w:t>
      </w:r>
      <w:r w:rsidR="00823027" w:rsidRPr="0007021A">
        <w:rPr>
          <w:rFonts w:ascii="Times New Roman" w:hAnsi="Times New Roman"/>
          <w:sz w:val="24"/>
          <w:szCs w:val="24"/>
        </w:rPr>
        <w:t xml:space="preserve"> </w:t>
      </w:r>
      <w:r w:rsidRPr="0007021A">
        <w:rPr>
          <w:rFonts w:ascii="Times New Roman" w:hAnsi="Times New Roman"/>
          <w:sz w:val="24"/>
          <w:szCs w:val="24"/>
        </w:rPr>
        <w:t>за</w:t>
      </w:r>
      <w:r w:rsidR="00823027" w:rsidRPr="0007021A">
        <w:rPr>
          <w:rFonts w:ascii="Times New Roman" w:hAnsi="Times New Roman"/>
          <w:sz w:val="24"/>
          <w:szCs w:val="24"/>
        </w:rPr>
        <w:t xml:space="preserve"> </w:t>
      </w:r>
      <w:r w:rsidRPr="0007021A">
        <w:rPr>
          <w:rFonts w:ascii="Times New Roman" w:hAnsi="Times New Roman"/>
          <w:sz w:val="24"/>
          <w:szCs w:val="24"/>
        </w:rPr>
        <w:t>прекршај</w:t>
      </w:r>
      <w:r w:rsidR="00823027" w:rsidRPr="0007021A">
        <w:rPr>
          <w:rFonts w:ascii="Times New Roman" w:hAnsi="Times New Roman"/>
          <w:sz w:val="24"/>
          <w:szCs w:val="24"/>
        </w:rPr>
        <w:t xml:space="preserve"> </w:t>
      </w:r>
      <w:r w:rsidRPr="0007021A">
        <w:rPr>
          <w:rFonts w:ascii="Times New Roman" w:hAnsi="Times New Roman"/>
          <w:sz w:val="24"/>
          <w:szCs w:val="24"/>
        </w:rPr>
        <w:t>обвезник</w:t>
      </w:r>
      <w:r w:rsidR="00823027" w:rsidRPr="0007021A">
        <w:rPr>
          <w:rFonts w:ascii="Times New Roman" w:hAnsi="Times New Roman"/>
          <w:sz w:val="24"/>
          <w:szCs w:val="24"/>
        </w:rPr>
        <w:t xml:space="preserve"> </w:t>
      </w:r>
      <w:r w:rsidRPr="0007021A">
        <w:rPr>
          <w:rFonts w:ascii="Times New Roman" w:hAnsi="Times New Roman"/>
          <w:sz w:val="24"/>
          <w:szCs w:val="24"/>
        </w:rPr>
        <w:t>акцизе</w:t>
      </w:r>
      <w:r w:rsidR="00823027" w:rsidRPr="0007021A">
        <w:rPr>
          <w:rFonts w:ascii="Times New Roman" w:hAnsi="Times New Roman"/>
          <w:sz w:val="24"/>
          <w:szCs w:val="24"/>
        </w:rPr>
        <w:t xml:space="preserve"> - </w:t>
      </w:r>
      <w:r w:rsidRPr="0007021A">
        <w:rPr>
          <w:rFonts w:ascii="Times New Roman" w:hAnsi="Times New Roman"/>
          <w:sz w:val="24"/>
          <w:szCs w:val="24"/>
        </w:rPr>
        <w:t>правно</w:t>
      </w:r>
      <w:r w:rsidR="00823027" w:rsidRPr="0007021A">
        <w:rPr>
          <w:rFonts w:ascii="Times New Roman" w:hAnsi="Times New Roman"/>
          <w:sz w:val="24"/>
          <w:szCs w:val="24"/>
        </w:rPr>
        <w:t xml:space="preserve"> </w:t>
      </w:r>
      <w:r w:rsidRPr="0007021A">
        <w:rPr>
          <w:rFonts w:ascii="Times New Roman" w:hAnsi="Times New Roman"/>
          <w:sz w:val="24"/>
          <w:szCs w:val="24"/>
        </w:rPr>
        <w:t>лице</w:t>
      </w:r>
      <w:r w:rsidR="00823027" w:rsidRPr="0007021A">
        <w:rPr>
          <w:rFonts w:ascii="Times New Roman" w:hAnsi="Times New Roman"/>
          <w:sz w:val="24"/>
          <w:szCs w:val="24"/>
        </w:rPr>
        <w:t xml:space="preserve"> </w:t>
      </w:r>
      <w:r w:rsidRPr="0007021A">
        <w:rPr>
          <w:rFonts w:ascii="Times New Roman" w:hAnsi="Times New Roman"/>
          <w:sz w:val="24"/>
          <w:szCs w:val="24"/>
        </w:rPr>
        <w:t>ако</w:t>
      </w:r>
      <w:r w:rsidR="00823027" w:rsidRPr="0007021A">
        <w:rPr>
          <w:rFonts w:ascii="Times New Roman" w:hAnsi="Times New Roman"/>
          <w:sz w:val="24"/>
          <w:szCs w:val="24"/>
        </w:rPr>
        <w:t xml:space="preserve"> </w:t>
      </w:r>
      <w:r w:rsidRPr="0007021A">
        <w:rPr>
          <w:rFonts w:ascii="Times New Roman" w:hAnsi="Times New Roman"/>
          <w:sz w:val="24"/>
          <w:szCs w:val="24"/>
        </w:rPr>
        <w:t>не</w:t>
      </w:r>
      <w:r w:rsidR="00823027" w:rsidRPr="0007021A">
        <w:rPr>
          <w:rFonts w:ascii="Times New Roman" w:hAnsi="Times New Roman"/>
          <w:sz w:val="24"/>
          <w:szCs w:val="24"/>
        </w:rPr>
        <w:t xml:space="preserve"> </w:t>
      </w:r>
      <w:r w:rsidRPr="0007021A">
        <w:rPr>
          <w:rFonts w:ascii="Times New Roman" w:hAnsi="Times New Roman"/>
          <w:sz w:val="24"/>
          <w:szCs w:val="24"/>
        </w:rPr>
        <w:t>обрачуна</w:t>
      </w:r>
      <w:r w:rsidR="00823027" w:rsidRPr="0007021A">
        <w:rPr>
          <w:rFonts w:ascii="Times New Roman" w:hAnsi="Times New Roman"/>
          <w:sz w:val="24"/>
          <w:szCs w:val="24"/>
        </w:rPr>
        <w:t xml:space="preserve"> </w:t>
      </w:r>
      <w:r w:rsidRPr="0007021A">
        <w:rPr>
          <w:rFonts w:ascii="Times New Roman" w:hAnsi="Times New Roman"/>
          <w:sz w:val="24"/>
          <w:szCs w:val="24"/>
        </w:rPr>
        <w:t>или</w:t>
      </w:r>
      <w:r w:rsidR="00823027" w:rsidRPr="0007021A">
        <w:rPr>
          <w:rFonts w:ascii="Times New Roman" w:hAnsi="Times New Roman"/>
          <w:sz w:val="24"/>
          <w:szCs w:val="24"/>
        </w:rPr>
        <w:t xml:space="preserve"> </w:t>
      </w:r>
      <w:r w:rsidRPr="0007021A">
        <w:rPr>
          <w:rFonts w:ascii="Times New Roman" w:hAnsi="Times New Roman"/>
          <w:sz w:val="24"/>
          <w:szCs w:val="24"/>
        </w:rPr>
        <w:t>обрачуна</w:t>
      </w:r>
      <w:r w:rsidR="00823027" w:rsidRPr="0007021A">
        <w:rPr>
          <w:rFonts w:ascii="Times New Roman" w:hAnsi="Times New Roman"/>
          <w:sz w:val="24"/>
          <w:szCs w:val="24"/>
        </w:rPr>
        <w:t xml:space="preserve"> </w:t>
      </w:r>
      <w:r w:rsidRPr="0007021A">
        <w:rPr>
          <w:rFonts w:ascii="Times New Roman" w:hAnsi="Times New Roman"/>
          <w:sz w:val="24"/>
          <w:szCs w:val="24"/>
        </w:rPr>
        <w:t>нетачно</w:t>
      </w:r>
      <w:r w:rsidR="00823027" w:rsidRPr="0007021A">
        <w:rPr>
          <w:rFonts w:ascii="Times New Roman" w:hAnsi="Times New Roman"/>
          <w:sz w:val="24"/>
          <w:szCs w:val="24"/>
        </w:rPr>
        <w:t xml:space="preserve"> </w:t>
      </w:r>
      <w:r w:rsidRPr="0007021A">
        <w:rPr>
          <w:rFonts w:ascii="Times New Roman" w:hAnsi="Times New Roman"/>
          <w:sz w:val="24"/>
          <w:szCs w:val="24"/>
        </w:rPr>
        <w:t>акцизу</w:t>
      </w:r>
      <w:r w:rsidR="00823027" w:rsidRPr="0007021A">
        <w:rPr>
          <w:rFonts w:ascii="Times New Roman" w:hAnsi="Times New Roman"/>
          <w:sz w:val="24"/>
          <w:szCs w:val="24"/>
        </w:rPr>
        <w:t xml:space="preserve"> (</w:t>
      </w:r>
      <w:r w:rsidRPr="0007021A">
        <w:rPr>
          <w:rFonts w:ascii="Times New Roman" w:hAnsi="Times New Roman"/>
          <w:sz w:val="24"/>
          <w:szCs w:val="24"/>
        </w:rPr>
        <w:t>члан</w:t>
      </w:r>
      <w:r w:rsidR="00823027" w:rsidRPr="0007021A">
        <w:rPr>
          <w:rFonts w:ascii="Times New Roman" w:hAnsi="Times New Roman"/>
          <w:sz w:val="24"/>
          <w:szCs w:val="24"/>
        </w:rPr>
        <w:t xml:space="preserve"> 21).</w:t>
      </w:r>
      <w:r w:rsidR="00027DCA" w:rsidRPr="0007021A">
        <w:rPr>
          <w:rFonts w:ascii="Times New Roman" w:hAnsi="Times New Roman"/>
          <w:sz w:val="24"/>
          <w:szCs w:val="24"/>
          <w:lang w:val="sr-Cyrl-CS"/>
        </w:rPr>
        <w:t xml:space="preserve"> </w:t>
      </w:r>
      <w:r w:rsidRPr="0007021A">
        <w:rPr>
          <w:rFonts w:ascii="Times New Roman" w:hAnsi="Times New Roman"/>
          <w:sz w:val="24"/>
          <w:szCs w:val="24"/>
        </w:rPr>
        <w:t>За</w:t>
      </w:r>
      <w:r w:rsidR="00027DCA" w:rsidRPr="0007021A">
        <w:rPr>
          <w:rFonts w:ascii="Times New Roman" w:hAnsi="Times New Roman"/>
          <w:sz w:val="24"/>
          <w:szCs w:val="24"/>
          <w:lang w:val="sr-Cyrl-CS"/>
        </w:rPr>
        <w:t xml:space="preserve"> наведне</w:t>
      </w:r>
      <w:r w:rsidR="00027DCA" w:rsidRPr="0007021A">
        <w:rPr>
          <w:rFonts w:ascii="Times New Roman" w:hAnsi="Times New Roman"/>
          <w:sz w:val="24"/>
          <w:szCs w:val="24"/>
        </w:rPr>
        <w:t xml:space="preserve"> </w:t>
      </w:r>
      <w:r w:rsidRPr="0007021A">
        <w:rPr>
          <w:rFonts w:ascii="Times New Roman" w:hAnsi="Times New Roman"/>
          <w:sz w:val="24"/>
          <w:szCs w:val="24"/>
        </w:rPr>
        <w:t>радње</w:t>
      </w:r>
      <w:r w:rsidR="00823027" w:rsidRPr="0007021A">
        <w:rPr>
          <w:rFonts w:ascii="Times New Roman" w:hAnsi="Times New Roman"/>
          <w:sz w:val="24"/>
          <w:szCs w:val="24"/>
        </w:rPr>
        <w:t xml:space="preserve"> </w:t>
      </w:r>
      <w:r w:rsidRPr="0007021A">
        <w:rPr>
          <w:rFonts w:ascii="Times New Roman" w:hAnsi="Times New Roman"/>
          <w:sz w:val="24"/>
          <w:szCs w:val="24"/>
        </w:rPr>
        <w:lastRenderedPageBreak/>
        <w:t>казниће</w:t>
      </w:r>
      <w:r w:rsidR="00823027" w:rsidRPr="0007021A">
        <w:rPr>
          <w:rFonts w:ascii="Times New Roman" w:hAnsi="Times New Roman"/>
          <w:sz w:val="24"/>
          <w:szCs w:val="24"/>
        </w:rPr>
        <w:t xml:space="preserve"> </w:t>
      </w:r>
      <w:r w:rsidRPr="0007021A">
        <w:rPr>
          <w:rFonts w:ascii="Times New Roman" w:hAnsi="Times New Roman"/>
          <w:sz w:val="24"/>
          <w:szCs w:val="24"/>
        </w:rPr>
        <w:t>се</w:t>
      </w:r>
      <w:r w:rsidR="00823027" w:rsidRPr="0007021A">
        <w:rPr>
          <w:rFonts w:ascii="Times New Roman" w:hAnsi="Times New Roman"/>
          <w:sz w:val="24"/>
          <w:szCs w:val="24"/>
        </w:rPr>
        <w:t xml:space="preserve"> </w:t>
      </w:r>
      <w:r w:rsidRPr="0007021A">
        <w:rPr>
          <w:rFonts w:ascii="Times New Roman" w:hAnsi="Times New Roman"/>
          <w:sz w:val="24"/>
          <w:szCs w:val="24"/>
        </w:rPr>
        <w:t>за</w:t>
      </w:r>
      <w:r w:rsidR="00823027" w:rsidRPr="0007021A">
        <w:rPr>
          <w:rFonts w:ascii="Times New Roman" w:hAnsi="Times New Roman"/>
          <w:sz w:val="24"/>
          <w:szCs w:val="24"/>
        </w:rPr>
        <w:t xml:space="preserve"> </w:t>
      </w:r>
      <w:r w:rsidRPr="0007021A">
        <w:rPr>
          <w:rFonts w:ascii="Times New Roman" w:hAnsi="Times New Roman"/>
          <w:sz w:val="24"/>
          <w:szCs w:val="24"/>
        </w:rPr>
        <w:t>прекршај</w:t>
      </w:r>
      <w:r w:rsidR="00823027" w:rsidRPr="0007021A">
        <w:rPr>
          <w:rFonts w:ascii="Times New Roman" w:hAnsi="Times New Roman"/>
          <w:sz w:val="24"/>
          <w:szCs w:val="24"/>
        </w:rPr>
        <w:t xml:space="preserve"> </w:t>
      </w:r>
      <w:r w:rsidRPr="0007021A">
        <w:rPr>
          <w:rFonts w:ascii="Times New Roman" w:hAnsi="Times New Roman"/>
          <w:sz w:val="24"/>
          <w:szCs w:val="24"/>
        </w:rPr>
        <w:t>и</w:t>
      </w:r>
      <w:r w:rsidR="00823027" w:rsidRPr="0007021A">
        <w:rPr>
          <w:rFonts w:ascii="Times New Roman" w:hAnsi="Times New Roman"/>
          <w:sz w:val="24"/>
          <w:szCs w:val="24"/>
        </w:rPr>
        <w:t xml:space="preserve"> </w:t>
      </w:r>
      <w:r w:rsidRPr="0007021A">
        <w:rPr>
          <w:rFonts w:ascii="Times New Roman" w:hAnsi="Times New Roman"/>
          <w:sz w:val="24"/>
          <w:szCs w:val="24"/>
        </w:rPr>
        <w:t>одговорно</w:t>
      </w:r>
      <w:r w:rsidR="00823027" w:rsidRPr="0007021A">
        <w:rPr>
          <w:rFonts w:ascii="Times New Roman" w:hAnsi="Times New Roman"/>
          <w:sz w:val="24"/>
          <w:szCs w:val="24"/>
        </w:rPr>
        <w:t xml:space="preserve"> </w:t>
      </w:r>
      <w:r w:rsidRPr="0007021A">
        <w:rPr>
          <w:rFonts w:ascii="Times New Roman" w:hAnsi="Times New Roman"/>
          <w:sz w:val="24"/>
          <w:szCs w:val="24"/>
        </w:rPr>
        <w:t>лице</w:t>
      </w:r>
      <w:r w:rsidR="00823027" w:rsidRPr="0007021A">
        <w:rPr>
          <w:rFonts w:ascii="Times New Roman" w:hAnsi="Times New Roman"/>
          <w:sz w:val="24"/>
          <w:szCs w:val="24"/>
        </w:rPr>
        <w:t xml:space="preserve"> </w:t>
      </w:r>
      <w:r w:rsidRPr="0007021A">
        <w:rPr>
          <w:rFonts w:ascii="Times New Roman" w:hAnsi="Times New Roman"/>
          <w:sz w:val="24"/>
          <w:szCs w:val="24"/>
        </w:rPr>
        <w:t>у</w:t>
      </w:r>
      <w:r w:rsidR="00823027" w:rsidRPr="0007021A">
        <w:rPr>
          <w:rFonts w:ascii="Times New Roman" w:hAnsi="Times New Roman"/>
          <w:sz w:val="24"/>
          <w:szCs w:val="24"/>
        </w:rPr>
        <w:t xml:space="preserve"> </w:t>
      </w:r>
      <w:r w:rsidRPr="0007021A">
        <w:rPr>
          <w:rFonts w:ascii="Times New Roman" w:hAnsi="Times New Roman"/>
          <w:sz w:val="24"/>
          <w:szCs w:val="24"/>
        </w:rPr>
        <w:t>правном</w:t>
      </w:r>
      <w:r w:rsidR="00823027" w:rsidRPr="0007021A">
        <w:rPr>
          <w:rFonts w:ascii="Times New Roman" w:hAnsi="Times New Roman"/>
          <w:sz w:val="24"/>
          <w:szCs w:val="24"/>
        </w:rPr>
        <w:t xml:space="preserve"> </w:t>
      </w:r>
      <w:r w:rsidRPr="0007021A">
        <w:rPr>
          <w:rFonts w:ascii="Times New Roman" w:hAnsi="Times New Roman"/>
          <w:sz w:val="24"/>
          <w:szCs w:val="24"/>
        </w:rPr>
        <w:t>лицу</w:t>
      </w:r>
      <w:r w:rsidR="00823027" w:rsidRPr="0007021A">
        <w:rPr>
          <w:rFonts w:ascii="Times New Roman" w:hAnsi="Times New Roman"/>
          <w:sz w:val="24"/>
          <w:szCs w:val="24"/>
        </w:rPr>
        <w:t xml:space="preserve"> </w:t>
      </w:r>
      <w:r w:rsidRPr="0007021A">
        <w:rPr>
          <w:rFonts w:ascii="Times New Roman" w:hAnsi="Times New Roman"/>
          <w:sz w:val="24"/>
          <w:szCs w:val="24"/>
        </w:rPr>
        <w:t>новчаном</w:t>
      </w:r>
      <w:r w:rsidR="00823027" w:rsidRPr="0007021A">
        <w:rPr>
          <w:rFonts w:ascii="Times New Roman" w:hAnsi="Times New Roman"/>
          <w:sz w:val="24"/>
          <w:szCs w:val="24"/>
        </w:rPr>
        <w:t xml:space="preserve"> </w:t>
      </w:r>
      <w:r w:rsidRPr="0007021A">
        <w:rPr>
          <w:rFonts w:ascii="Times New Roman" w:hAnsi="Times New Roman"/>
          <w:sz w:val="24"/>
          <w:szCs w:val="24"/>
        </w:rPr>
        <w:t>казном</w:t>
      </w:r>
      <w:r w:rsidR="00823027" w:rsidRPr="0007021A">
        <w:rPr>
          <w:rFonts w:ascii="Times New Roman" w:hAnsi="Times New Roman"/>
          <w:sz w:val="24"/>
          <w:szCs w:val="24"/>
        </w:rPr>
        <w:t xml:space="preserve"> </w:t>
      </w:r>
      <w:r w:rsidRPr="0007021A">
        <w:rPr>
          <w:rFonts w:ascii="Times New Roman" w:hAnsi="Times New Roman"/>
          <w:sz w:val="24"/>
          <w:szCs w:val="24"/>
        </w:rPr>
        <w:t>од</w:t>
      </w:r>
      <w:r w:rsidR="00823027" w:rsidRPr="0007021A">
        <w:rPr>
          <w:rFonts w:ascii="Times New Roman" w:hAnsi="Times New Roman"/>
          <w:sz w:val="24"/>
          <w:szCs w:val="24"/>
        </w:rPr>
        <w:t xml:space="preserve"> 500 </w:t>
      </w:r>
      <w:r w:rsidRPr="0007021A">
        <w:rPr>
          <w:rFonts w:ascii="Times New Roman" w:hAnsi="Times New Roman"/>
          <w:sz w:val="24"/>
          <w:szCs w:val="24"/>
        </w:rPr>
        <w:t>до</w:t>
      </w:r>
      <w:r w:rsidR="00823027" w:rsidRPr="0007021A">
        <w:rPr>
          <w:rFonts w:ascii="Times New Roman" w:hAnsi="Times New Roman"/>
          <w:sz w:val="24"/>
          <w:szCs w:val="24"/>
        </w:rPr>
        <w:t xml:space="preserve"> 50.000 </w:t>
      </w:r>
      <w:r w:rsidRPr="0007021A">
        <w:rPr>
          <w:rFonts w:ascii="Times New Roman" w:hAnsi="Times New Roman"/>
          <w:sz w:val="24"/>
          <w:szCs w:val="24"/>
        </w:rPr>
        <w:t>динара</w:t>
      </w:r>
      <w:r w:rsidR="00823027" w:rsidRPr="0007021A">
        <w:rPr>
          <w:rFonts w:ascii="Times New Roman" w:hAnsi="Times New Roman"/>
          <w:sz w:val="24"/>
          <w:szCs w:val="24"/>
        </w:rPr>
        <w:t>.</w:t>
      </w:r>
    </w:p>
    <w:p w:rsidR="00027DCA" w:rsidRPr="0007021A" w:rsidRDefault="004949B5" w:rsidP="0007021A">
      <w:pPr>
        <w:ind w:firstLine="708"/>
        <w:jc w:val="both"/>
        <w:rPr>
          <w:rFonts w:ascii="Times New Roman" w:hAnsi="Times New Roman"/>
          <w:sz w:val="24"/>
          <w:szCs w:val="24"/>
          <w:lang w:val="sr-Cyrl-CS"/>
        </w:rPr>
      </w:pPr>
      <w:r w:rsidRPr="0007021A">
        <w:rPr>
          <w:rFonts w:ascii="Times New Roman" w:hAnsi="Times New Roman"/>
          <w:sz w:val="24"/>
          <w:szCs w:val="24"/>
        </w:rPr>
        <w:t>Новчаном</w:t>
      </w:r>
      <w:r w:rsidR="00823027" w:rsidRPr="0007021A">
        <w:rPr>
          <w:rFonts w:ascii="Times New Roman" w:hAnsi="Times New Roman"/>
          <w:sz w:val="24"/>
          <w:szCs w:val="24"/>
        </w:rPr>
        <w:t xml:space="preserve"> </w:t>
      </w:r>
      <w:r w:rsidRPr="0007021A">
        <w:rPr>
          <w:rFonts w:ascii="Times New Roman" w:hAnsi="Times New Roman"/>
          <w:sz w:val="24"/>
          <w:szCs w:val="24"/>
        </w:rPr>
        <w:t>казном</w:t>
      </w:r>
      <w:r w:rsidR="00823027" w:rsidRPr="0007021A">
        <w:rPr>
          <w:rFonts w:ascii="Times New Roman" w:hAnsi="Times New Roman"/>
          <w:sz w:val="24"/>
          <w:szCs w:val="24"/>
        </w:rPr>
        <w:t xml:space="preserve"> </w:t>
      </w:r>
      <w:r w:rsidRPr="0007021A">
        <w:rPr>
          <w:rFonts w:ascii="Times New Roman" w:hAnsi="Times New Roman"/>
          <w:sz w:val="24"/>
          <w:szCs w:val="24"/>
        </w:rPr>
        <w:t>од</w:t>
      </w:r>
      <w:r w:rsidR="00823027" w:rsidRPr="0007021A">
        <w:rPr>
          <w:rFonts w:ascii="Times New Roman" w:hAnsi="Times New Roman"/>
          <w:sz w:val="24"/>
          <w:szCs w:val="24"/>
        </w:rPr>
        <w:t xml:space="preserve"> 10.000 </w:t>
      </w:r>
      <w:r w:rsidRPr="0007021A">
        <w:rPr>
          <w:rFonts w:ascii="Times New Roman" w:hAnsi="Times New Roman"/>
          <w:sz w:val="24"/>
          <w:szCs w:val="24"/>
        </w:rPr>
        <w:t>до</w:t>
      </w:r>
      <w:r w:rsidR="00823027" w:rsidRPr="0007021A">
        <w:rPr>
          <w:rFonts w:ascii="Times New Roman" w:hAnsi="Times New Roman"/>
          <w:sz w:val="24"/>
          <w:szCs w:val="24"/>
        </w:rPr>
        <w:t xml:space="preserve"> 500.000 </w:t>
      </w:r>
      <w:r w:rsidRPr="0007021A">
        <w:rPr>
          <w:rFonts w:ascii="Times New Roman" w:hAnsi="Times New Roman"/>
          <w:sz w:val="24"/>
          <w:szCs w:val="24"/>
        </w:rPr>
        <w:t>динара</w:t>
      </w:r>
      <w:r w:rsidR="00823027" w:rsidRPr="0007021A">
        <w:rPr>
          <w:rFonts w:ascii="Times New Roman" w:hAnsi="Times New Roman"/>
          <w:sz w:val="24"/>
          <w:szCs w:val="24"/>
        </w:rPr>
        <w:t xml:space="preserve"> </w:t>
      </w:r>
      <w:r w:rsidRPr="0007021A">
        <w:rPr>
          <w:rFonts w:ascii="Times New Roman" w:hAnsi="Times New Roman"/>
          <w:sz w:val="24"/>
          <w:szCs w:val="24"/>
        </w:rPr>
        <w:t>казниће</w:t>
      </w:r>
      <w:r w:rsidR="00823027" w:rsidRPr="0007021A">
        <w:rPr>
          <w:rFonts w:ascii="Times New Roman" w:hAnsi="Times New Roman"/>
          <w:sz w:val="24"/>
          <w:szCs w:val="24"/>
        </w:rPr>
        <w:t xml:space="preserve"> </w:t>
      </w:r>
      <w:r w:rsidRPr="0007021A">
        <w:rPr>
          <w:rFonts w:ascii="Times New Roman" w:hAnsi="Times New Roman"/>
          <w:sz w:val="24"/>
          <w:szCs w:val="24"/>
        </w:rPr>
        <w:t>се</w:t>
      </w:r>
      <w:r w:rsidR="00823027" w:rsidRPr="0007021A">
        <w:rPr>
          <w:rFonts w:ascii="Times New Roman" w:hAnsi="Times New Roman"/>
          <w:sz w:val="24"/>
          <w:szCs w:val="24"/>
        </w:rPr>
        <w:t xml:space="preserve"> </w:t>
      </w:r>
      <w:r w:rsidRPr="0007021A">
        <w:rPr>
          <w:rFonts w:ascii="Times New Roman" w:hAnsi="Times New Roman"/>
          <w:sz w:val="24"/>
          <w:szCs w:val="24"/>
        </w:rPr>
        <w:t>за</w:t>
      </w:r>
      <w:r w:rsidR="00823027" w:rsidRPr="0007021A">
        <w:rPr>
          <w:rFonts w:ascii="Times New Roman" w:hAnsi="Times New Roman"/>
          <w:sz w:val="24"/>
          <w:szCs w:val="24"/>
        </w:rPr>
        <w:t xml:space="preserve"> </w:t>
      </w:r>
      <w:r w:rsidRPr="0007021A">
        <w:rPr>
          <w:rFonts w:ascii="Times New Roman" w:hAnsi="Times New Roman"/>
          <w:sz w:val="24"/>
          <w:szCs w:val="24"/>
        </w:rPr>
        <w:t>прекршај</w:t>
      </w:r>
      <w:r w:rsidR="00823027" w:rsidRPr="0007021A">
        <w:rPr>
          <w:rFonts w:ascii="Times New Roman" w:hAnsi="Times New Roman"/>
          <w:sz w:val="24"/>
          <w:szCs w:val="24"/>
        </w:rPr>
        <w:t xml:space="preserve"> </w:t>
      </w:r>
      <w:r w:rsidRPr="0007021A">
        <w:rPr>
          <w:rFonts w:ascii="Times New Roman" w:hAnsi="Times New Roman"/>
          <w:sz w:val="24"/>
          <w:szCs w:val="24"/>
        </w:rPr>
        <w:t>физичко</w:t>
      </w:r>
      <w:r w:rsidR="00823027" w:rsidRPr="0007021A">
        <w:rPr>
          <w:rFonts w:ascii="Times New Roman" w:hAnsi="Times New Roman"/>
          <w:sz w:val="24"/>
          <w:szCs w:val="24"/>
        </w:rPr>
        <w:t xml:space="preserve"> </w:t>
      </w:r>
      <w:r w:rsidRPr="0007021A">
        <w:rPr>
          <w:rFonts w:ascii="Times New Roman" w:hAnsi="Times New Roman"/>
          <w:sz w:val="24"/>
          <w:szCs w:val="24"/>
        </w:rPr>
        <w:t>лице</w:t>
      </w:r>
      <w:r w:rsidR="00823027" w:rsidRPr="0007021A">
        <w:rPr>
          <w:rFonts w:ascii="Times New Roman" w:hAnsi="Times New Roman"/>
          <w:sz w:val="24"/>
          <w:szCs w:val="24"/>
        </w:rPr>
        <w:t xml:space="preserve"> - </w:t>
      </w:r>
      <w:r w:rsidRPr="0007021A">
        <w:rPr>
          <w:rFonts w:ascii="Times New Roman" w:hAnsi="Times New Roman"/>
          <w:sz w:val="24"/>
          <w:szCs w:val="24"/>
        </w:rPr>
        <w:t>предузетник</w:t>
      </w:r>
      <w:r w:rsidR="00823027" w:rsidRPr="0007021A">
        <w:rPr>
          <w:rFonts w:ascii="Times New Roman" w:hAnsi="Times New Roman"/>
          <w:sz w:val="24"/>
          <w:szCs w:val="24"/>
        </w:rPr>
        <w:t>:</w:t>
      </w:r>
    </w:p>
    <w:p w:rsidR="00823027" w:rsidRPr="0007021A" w:rsidRDefault="00823027" w:rsidP="0007021A">
      <w:pPr>
        <w:jc w:val="both"/>
        <w:rPr>
          <w:rFonts w:ascii="Times New Roman" w:hAnsi="Times New Roman"/>
          <w:sz w:val="24"/>
          <w:szCs w:val="24"/>
        </w:rPr>
      </w:pPr>
      <w:r w:rsidRPr="0007021A">
        <w:rPr>
          <w:rFonts w:ascii="Times New Roman" w:hAnsi="Times New Roman"/>
          <w:sz w:val="24"/>
          <w:szCs w:val="24"/>
        </w:rPr>
        <w:t xml:space="preserve">1) </w:t>
      </w:r>
      <w:r w:rsidR="004949B5" w:rsidRPr="0007021A">
        <w:rPr>
          <w:rFonts w:ascii="Times New Roman" w:hAnsi="Times New Roman"/>
          <w:sz w:val="24"/>
          <w:szCs w:val="24"/>
        </w:rPr>
        <w:t>ако</w:t>
      </w:r>
      <w:r w:rsidRPr="0007021A">
        <w:rPr>
          <w:rFonts w:ascii="Times New Roman" w:hAnsi="Times New Roman"/>
          <w:sz w:val="24"/>
          <w:szCs w:val="24"/>
        </w:rPr>
        <w:t xml:space="preserve"> </w:t>
      </w:r>
      <w:r w:rsidR="004949B5" w:rsidRPr="0007021A">
        <w:rPr>
          <w:rFonts w:ascii="Times New Roman" w:hAnsi="Times New Roman"/>
          <w:sz w:val="24"/>
          <w:szCs w:val="24"/>
        </w:rPr>
        <w:t>обрачунату</w:t>
      </w:r>
      <w:r w:rsidRPr="0007021A">
        <w:rPr>
          <w:rFonts w:ascii="Times New Roman" w:hAnsi="Times New Roman"/>
          <w:sz w:val="24"/>
          <w:szCs w:val="24"/>
        </w:rPr>
        <w:t xml:space="preserve"> </w:t>
      </w:r>
      <w:r w:rsidR="004949B5" w:rsidRPr="0007021A">
        <w:rPr>
          <w:rFonts w:ascii="Times New Roman" w:hAnsi="Times New Roman"/>
          <w:sz w:val="24"/>
          <w:szCs w:val="24"/>
        </w:rPr>
        <w:t>акцизу</w:t>
      </w:r>
      <w:r w:rsidRPr="0007021A">
        <w:rPr>
          <w:rFonts w:ascii="Times New Roman" w:hAnsi="Times New Roman"/>
          <w:sz w:val="24"/>
          <w:szCs w:val="24"/>
        </w:rPr>
        <w:t xml:space="preserve"> </w:t>
      </w:r>
      <w:r w:rsidR="004949B5" w:rsidRPr="0007021A">
        <w:rPr>
          <w:rFonts w:ascii="Times New Roman" w:hAnsi="Times New Roman"/>
          <w:sz w:val="24"/>
          <w:szCs w:val="24"/>
        </w:rPr>
        <w:t>не</w:t>
      </w:r>
      <w:r w:rsidRPr="0007021A">
        <w:rPr>
          <w:rFonts w:ascii="Times New Roman" w:hAnsi="Times New Roman"/>
          <w:sz w:val="24"/>
          <w:szCs w:val="24"/>
        </w:rPr>
        <w:t xml:space="preserve"> </w:t>
      </w:r>
      <w:r w:rsidR="004949B5" w:rsidRPr="0007021A">
        <w:rPr>
          <w:rFonts w:ascii="Times New Roman" w:hAnsi="Times New Roman"/>
          <w:sz w:val="24"/>
          <w:szCs w:val="24"/>
        </w:rPr>
        <w:t>уплати</w:t>
      </w:r>
      <w:r w:rsidRPr="0007021A">
        <w:rPr>
          <w:rFonts w:ascii="Times New Roman" w:hAnsi="Times New Roman"/>
          <w:sz w:val="24"/>
          <w:szCs w:val="24"/>
        </w:rPr>
        <w:t xml:space="preserve"> </w:t>
      </w:r>
      <w:r w:rsidR="004949B5" w:rsidRPr="0007021A">
        <w:rPr>
          <w:rFonts w:ascii="Times New Roman" w:hAnsi="Times New Roman"/>
          <w:sz w:val="24"/>
          <w:szCs w:val="24"/>
        </w:rPr>
        <w:t>у</w:t>
      </w:r>
      <w:r w:rsidRPr="0007021A">
        <w:rPr>
          <w:rFonts w:ascii="Times New Roman" w:hAnsi="Times New Roman"/>
          <w:sz w:val="24"/>
          <w:szCs w:val="24"/>
        </w:rPr>
        <w:t xml:space="preserve"> </w:t>
      </w:r>
      <w:r w:rsidR="004949B5" w:rsidRPr="0007021A">
        <w:rPr>
          <w:rFonts w:ascii="Times New Roman" w:hAnsi="Times New Roman"/>
          <w:sz w:val="24"/>
          <w:szCs w:val="24"/>
        </w:rPr>
        <w:t>прописаном</w:t>
      </w:r>
      <w:r w:rsidRPr="0007021A">
        <w:rPr>
          <w:rFonts w:ascii="Times New Roman" w:hAnsi="Times New Roman"/>
          <w:sz w:val="24"/>
          <w:szCs w:val="24"/>
        </w:rPr>
        <w:t xml:space="preserve"> </w:t>
      </w:r>
      <w:r w:rsidR="004949B5" w:rsidRPr="0007021A">
        <w:rPr>
          <w:rFonts w:ascii="Times New Roman" w:hAnsi="Times New Roman"/>
          <w:sz w:val="24"/>
          <w:szCs w:val="24"/>
        </w:rPr>
        <w:t>року</w:t>
      </w:r>
      <w:r w:rsidRPr="0007021A">
        <w:rPr>
          <w:rFonts w:ascii="Times New Roman" w:hAnsi="Times New Roman"/>
          <w:sz w:val="24"/>
          <w:szCs w:val="24"/>
        </w:rPr>
        <w:t xml:space="preserve"> (</w:t>
      </w:r>
      <w:r w:rsidR="004949B5" w:rsidRPr="0007021A">
        <w:rPr>
          <w:rFonts w:ascii="Times New Roman" w:hAnsi="Times New Roman"/>
          <w:sz w:val="24"/>
          <w:szCs w:val="24"/>
        </w:rPr>
        <w:t>члан</w:t>
      </w:r>
      <w:r w:rsidRPr="0007021A">
        <w:rPr>
          <w:rFonts w:ascii="Times New Roman" w:hAnsi="Times New Roman"/>
          <w:sz w:val="24"/>
          <w:szCs w:val="24"/>
        </w:rPr>
        <w:t xml:space="preserve"> 23);</w:t>
      </w:r>
    </w:p>
    <w:p w:rsidR="00823027" w:rsidRPr="0007021A" w:rsidRDefault="00823027" w:rsidP="0007021A">
      <w:pPr>
        <w:jc w:val="both"/>
        <w:rPr>
          <w:rFonts w:ascii="Times New Roman" w:hAnsi="Times New Roman"/>
          <w:sz w:val="24"/>
          <w:szCs w:val="24"/>
        </w:rPr>
      </w:pPr>
      <w:r w:rsidRPr="0007021A">
        <w:rPr>
          <w:rFonts w:ascii="Times New Roman" w:hAnsi="Times New Roman"/>
          <w:sz w:val="24"/>
          <w:szCs w:val="24"/>
        </w:rPr>
        <w:t xml:space="preserve">2) </w:t>
      </w:r>
      <w:r w:rsidR="004949B5" w:rsidRPr="0007021A">
        <w:rPr>
          <w:rFonts w:ascii="Times New Roman" w:hAnsi="Times New Roman"/>
          <w:sz w:val="24"/>
          <w:szCs w:val="24"/>
        </w:rPr>
        <w:t>ако</w:t>
      </w:r>
      <w:r w:rsidRPr="0007021A">
        <w:rPr>
          <w:rFonts w:ascii="Times New Roman" w:hAnsi="Times New Roman"/>
          <w:sz w:val="24"/>
          <w:szCs w:val="24"/>
        </w:rPr>
        <w:t xml:space="preserve"> </w:t>
      </w:r>
      <w:r w:rsidR="004949B5" w:rsidRPr="0007021A">
        <w:rPr>
          <w:rFonts w:ascii="Times New Roman" w:hAnsi="Times New Roman"/>
          <w:sz w:val="24"/>
          <w:szCs w:val="24"/>
        </w:rPr>
        <w:t>не</w:t>
      </w:r>
      <w:r w:rsidRPr="0007021A">
        <w:rPr>
          <w:rFonts w:ascii="Times New Roman" w:hAnsi="Times New Roman"/>
          <w:sz w:val="24"/>
          <w:szCs w:val="24"/>
        </w:rPr>
        <w:t xml:space="preserve"> </w:t>
      </w:r>
      <w:r w:rsidR="004949B5" w:rsidRPr="0007021A">
        <w:rPr>
          <w:rFonts w:ascii="Times New Roman" w:hAnsi="Times New Roman"/>
          <w:sz w:val="24"/>
          <w:szCs w:val="24"/>
        </w:rPr>
        <w:t>поднесе</w:t>
      </w:r>
      <w:r w:rsidRPr="0007021A">
        <w:rPr>
          <w:rFonts w:ascii="Times New Roman" w:hAnsi="Times New Roman"/>
          <w:sz w:val="24"/>
          <w:szCs w:val="24"/>
        </w:rPr>
        <w:t xml:space="preserve"> </w:t>
      </w:r>
      <w:r w:rsidR="004949B5" w:rsidRPr="0007021A">
        <w:rPr>
          <w:rFonts w:ascii="Times New Roman" w:hAnsi="Times New Roman"/>
          <w:sz w:val="24"/>
          <w:szCs w:val="24"/>
        </w:rPr>
        <w:t>или</w:t>
      </w:r>
      <w:r w:rsidRPr="0007021A">
        <w:rPr>
          <w:rFonts w:ascii="Times New Roman" w:hAnsi="Times New Roman"/>
          <w:sz w:val="24"/>
          <w:szCs w:val="24"/>
        </w:rPr>
        <w:t xml:space="preserve"> </w:t>
      </w:r>
      <w:r w:rsidR="004949B5" w:rsidRPr="0007021A">
        <w:rPr>
          <w:rFonts w:ascii="Times New Roman" w:hAnsi="Times New Roman"/>
          <w:sz w:val="24"/>
          <w:szCs w:val="24"/>
        </w:rPr>
        <w:t>неблаговремено</w:t>
      </w:r>
      <w:r w:rsidRPr="0007021A">
        <w:rPr>
          <w:rFonts w:ascii="Times New Roman" w:hAnsi="Times New Roman"/>
          <w:sz w:val="24"/>
          <w:szCs w:val="24"/>
        </w:rPr>
        <w:t xml:space="preserve"> </w:t>
      </w:r>
      <w:r w:rsidR="004949B5" w:rsidRPr="0007021A">
        <w:rPr>
          <w:rFonts w:ascii="Times New Roman" w:hAnsi="Times New Roman"/>
          <w:sz w:val="24"/>
          <w:szCs w:val="24"/>
        </w:rPr>
        <w:t>поднесе</w:t>
      </w:r>
      <w:r w:rsidRPr="0007021A">
        <w:rPr>
          <w:rFonts w:ascii="Times New Roman" w:hAnsi="Times New Roman"/>
          <w:sz w:val="24"/>
          <w:szCs w:val="24"/>
        </w:rPr>
        <w:t xml:space="preserve"> </w:t>
      </w:r>
      <w:r w:rsidR="004949B5" w:rsidRPr="0007021A">
        <w:rPr>
          <w:rFonts w:ascii="Times New Roman" w:hAnsi="Times New Roman"/>
          <w:sz w:val="24"/>
          <w:szCs w:val="24"/>
        </w:rPr>
        <w:t>обрачун</w:t>
      </w:r>
      <w:r w:rsidRPr="0007021A">
        <w:rPr>
          <w:rFonts w:ascii="Times New Roman" w:hAnsi="Times New Roman"/>
          <w:sz w:val="24"/>
          <w:szCs w:val="24"/>
        </w:rPr>
        <w:t xml:space="preserve"> </w:t>
      </w:r>
      <w:r w:rsidR="004949B5" w:rsidRPr="0007021A">
        <w:rPr>
          <w:rFonts w:ascii="Times New Roman" w:hAnsi="Times New Roman"/>
          <w:sz w:val="24"/>
          <w:szCs w:val="24"/>
        </w:rPr>
        <w:t>акцизе</w:t>
      </w:r>
      <w:r w:rsidRPr="0007021A">
        <w:rPr>
          <w:rFonts w:ascii="Times New Roman" w:hAnsi="Times New Roman"/>
          <w:sz w:val="24"/>
          <w:szCs w:val="24"/>
        </w:rPr>
        <w:t xml:space="preserve"> (</w:t>
      </w:r>
      <w:r w:rsidR="004949B5" w:rsidRPr="0007021A">
        <w:rPr>
          <w:rFonts w:ascii="Times New Roman" w:hAnsi="Times New Roman"/>
          <w:sz w:val="24"/>
          <w:szCs w:val="24"/>
        </w:rPr>
        <w:t>чл</w:t>
      </w:r>
      <w:r w:rsidRPr="0007021A">
        <w:rPr>
          <w:rFonts w:ascii="Times New Roman" w:hAnsi="Times New Roman"/>
          <w:sz w:val="24"/>
          <w:szCs w:val="24"/>
        </w:rPr>
        <w:t xml:space="preserve">. 24. </w:t>
      </w:r>
      <w:r w:rsidR="004949B5" w:rsidRPr="0007021A">
        <w:rPr>
          <w:rFonts w:ascii="Times New Roman" w:hAnsi="Times New Roman"/>
          <w:sz w:val="24"/>
          <w:szCs w:val="24"/>
        </w:rPr>
        <w:t>и</w:t>
      </w:r>
      <w:r w:rsidRPr="0007021A">
        <w:rPr>
          <w:rFonts w:ascii="Times New Roman" w:hAnsi="Times New Roman"/>
          <w:sz w:val="24"/>
          <w:szCs w:val="24"/>
        </w:rPr>
        <w:t xml:space="preserve"> 25);</w:t>
      </w:r>
    </w:p>
    <w:p w:rsidR="00823027" w:rsidRPr="0007021A" w:rsidRDefault="00823027" w:rsidP="0007021A">
      <w:pPr>
        <w:jc w:val="both"/>
        <w:rPr>
          <w:rFonts w:ascii="Times New Roman" w:hAnsi="Times New Roman"/>
          <w:sz w:val="24"/>
          <w:szCs w:val="24"/>
          <w:lang w:val="sr-Cyrl-CS"/>
        </w:rPr>
      </w:pPr>
      <w:r w:rsidRPr="0007021A">
        <w:rPr>
          <w:rFonts w:ascii="Times New Roman" w:hAnsi="Times New Roman"/>
          <w:sz w:val="24"/>
          <w:szCs w:val="24"/>
        </w:rPr>
        <w:t xml:space="preserve">3) </w:t>
      </w:r>
      <w:r w:rsidR="004949B5" w:rsidRPr="0007021A">
        <w:rPr>
          <w:rFonts w:ascii="Times New Roman" w:hAnsi="Times New Roman"/>
          <w:sz w:val="24"/>
          <w:szCs w:val="24"/>
        </w:rPr>
        <w:t>ако</w:t>
      </w:r>
      <w:r w:rsidRPr="0007021A">
        <w:rPr>
          <w:rFonts w:ascii="Times New Roman" w:hAnsi="Times New Roman"/>
          <w:sz w:val="24"/>
          <w:szCs w:val="24"/>
        </w:rPr>
        <w:t xml:space="preserve"> </w:t>
      </w:r>
      <w:r w:rsidR="004949B5" w:rsidRPr="0007021A">
        <w:rPr>
          <w:rFonts w:ascii="Times New Roman" w:hAnsi="Times New Roman"/>
          <w:sz w:val="24"/>
          <w:szCs w:val="24"/>
        </w:rPr>
        <w:t>не</w:t>
      </w:r>
      <w:r w:rsidRPr="0007021A">
        <w:rPr>
          <w:rFonts w:ascii="Times New Roman" w:hAnsi="Times New Roman"/>
          <w:sz w:val="24"/>
          <w:szCs w:val="24"/>
        </w:rPr>
        <w:t xml:space="preserve"> </w:t>
      </w:r>
      <w:r w:rsidR="004949B5" w:rsidRPr="0007021A">
        <w:rPr>
          <w:rFonts w:ascii="Times New Roman" w:hAnsi="Times New Roman"/>
          <w:sz w:val="24"/>
          <w:szCs w:val="24"/>
        </w:rPr>
        <w:t>пријави</w:t>
      </w:r>
      <w:r w:rsidRPr="0007021A">
        <w:rPr>
          <w:rFonts w:ascii="Times New Roman" w:hAnsi="Times New Roman"/>
          <w:sz w:val="24"/>
          <w:szCs w:val="24"/>
        </w:rPr>
        <w:t xml:space="preserve"> </w:t>
      </w:r>
      <w:r w:rsidR="004949B5" w:rsidRPr="0007021A">
        <w:rPr>
          <w:rFonts w:ascii="Times New Roman" w:hAnsi="Times New Roman"/>
          <w:sz w:val="24"/>
          <w:szCs w:val="24"/>
        </w:rPr>
        <w:t>почетак</w:t>
      </w:r>
      <w:r w:rsidRPr="0007021A">
        <w:rPr>
          <w:rFonts w:ascii="Times New Roman" w:hAnsi="Times New Roman"/>
          <w:sz w:val="24"/>
          <w:szCs w:val="24"/>
        </w:rPr>
        <w:t xml:space="preserve"> </w:t>
      </w:r>
      <w:r w:rsidR="004949B5" w:rsidRPr="0007021A">
        <w:rPr>
          <w:rFonts w:ascii="Times New Roman" w:hAnsi="Times New Roman"/>
          <w:sz w:val="24"/>
          <w:szCs w:val="24"/>
        </w:rPr>
        <w:t>обављања</w:t>
      </w:r>
      <w:r w:rsidRPr="0007021A">
        <w:rPr>
          <w:rFonts w:ascii="Times New Roman" w:hAnsi="Times New Roman"/>
          <w:sz w:val="24"/>
          <w:szCs w:val="24"/>
        </w:rPr>
        <w:t xml:space="preserve"> </w:t>
      </w:r>
      <w:r w:rsidR="004949B5" w:rsidRPr="0007021A">
        <w:rPr>
          <w:rFonts w:ascii="Times New Roman" w:hAnsi="Times New Roman"/>
          <w:sz w:val="24"/>
          <w:szCs w:val="24"/>
        </w:rPr>
        <w:t>делатности</w:t>
      </w:r>
      <w:r w:rsidRPr="0007021A">
        <w:rPr>
          <w:rFonts w:ascii="Times New Roman" w:hAnsi="Times New Roman"/>
          <w:sz w:val="24"/>
          <w:szCs w:val="24"/>
        </w:rPr>
        <w:t xml:space="preserve"> </w:t>
      </w:r>
      <w:r w:rsidR="004949B5" w:rsidRPr="0007021A">
        <w:rPr>
          <w:rFonts w:ascii="Times New Roman" w:hAnsi="Times New Roman"/>
          <w:sz w:val="24"/>
          <w:szCs w:val="24"/>
        </w:rPr>
        <w:t>надлежном</w:t>
      </w:r>
      <w:r w:rsidRPr="0007021A">
        <w:rPr>
          <w:rFonts w:ascii="Times New Roman" w:hAnsi="Times New Roman"/>
          <w:sz w:val="24"/>
          <w:szCs w:val="24"/>
        </w:rPr>
        <w:t xml:space="preserve"> </w:t>
      </w:r>
      <w:r w:rsidR="004949B5" w:rsidRPr="0007021A">
        <w:rPr>
          <w:rFonts w:ascii="Times New Roman" w:hAnsi="Times New Roman"/>
          <w:sz w:val="24"/>
          <w:szCs w:val="24"/>
        </w:rPr>
        <w:t>пореском</w:t>
      </w:r>
      <w:r w:rsidRPr="0007021A">
        <w:rPr>
          <w:rFonts w:ascii="Times New Roman" w:hAnsi="Times New Roman"/>
          <w:sz w:val="24"/>
          <w:szCs w:val="24"/>
        </w:rPr>
        <w:t xml:space="preserve"> </w:t>
      </w:r>
      <w:r w:rsidR="004949B5" w:rsidRPr="0007021A">
        <w:rPr>
          <w:rFonts w:ascii="Times New Roman" w:hAnsi="Times New Roman"/>
          <w:sz w:val="24"/>
          <w:szCs w:val="24"/>
        </w:rPr>
        <w:t>органу</w:t>
      </w:r>
      <w:r w:rsidRPr="0007021A">
        <w:rPr>
          <w:rFonts w:ascii="Times New Roman" w:hAnsi="Times New Roman"/>
          <w:sz w:val="24"/>
          <w:szCs w:val="24"/>
        </w:rPr>
        <w:t xml:space="preserve"> (</w:t>
      </w:r>
      <w:r w:rsidR="004949B5" w:rsidRPr="0007021A">
        <w:rPr>
          <w:rFonts w:ascii="Times New Roman" w:hAnsi="Times New Roman"/>
          <w:sz w:val="24"/>
          <w:szCs w:val="24"/>
        </w:rPr>
        <w:t>члан</w:t>
      </w:r>
      <w:r w:rsidRPr="0007021A">
        <w:rPr>
          <w:rFonts w:ascii="Times New Roman" w:hAnsi="Times New Roman"/>
          <w:sz w:val="24"/>
          <w:szCs w:val="24"/>
        </w:rPr>
        <w:t xml:space="preserve"> 30);</w:t>
      </w:r>
    </w:p>
    <w:p w:rsidR="00823027" w:rsidRPr="0007021A" w:rsidRDefault="00027DCA" w:rsidP="0007021A">
      <w:pPr>
        <w:jc w:val="both"/>
        <w:rPr>
          <w:rFonts w:ascii="Times New Roman" w:hAnsi="Times New Roman"/>
          <w:sz w:val="24"/>
          <w:szCs w:val="24"/>
        </w:rPr>
      </w:pPr>
      <w:r w:rsidRPr="0007021A">
        <w:rPr>
          <w:rFonts w:ascii="Times New Roman" w:hAnsi="Times New Roman"/>
          <w:sz w:val="24"/>
          <w:szCs w:val="24"/>
          <w:lang w:val="sr-Cyrl-CS"/>
        </w:rPr>
        <w:t>4</w:t>
      </w:r>
      <w:r w:rsidR="00823027" w:rsidRPr="0007021A">
        <w:rPr>
          <w:rFonts w:ascii="Times New Roman" w:hAnsi="Times New Roman"/>
          <w:sz w:val="24"/>
          <w:szCs w:val="24"/>
        </w:rPr>
        <w:t xml:space="preserve">) </w:t>
      </w:r>
      <w:r w:rsidR="004949B5" w:rsidRPr="0007021A">
        <w:rPr>
          <w:rFonts w:ascii="Times New Roman" w:hAnsi="Times New Roman"/>
          <w:sz w:val="24"/>
          <w:szCs w:val="24"/>
        </w:rPr>
        <w:t>ако</w:t>
      </w:r>
      <w:r w:rsidR="00823027" w:rsidRPr="0007021A">
        <w:rPr>
          <w:rFonts w:ascii="Times New Roman" w:hAnsi="Times New Roman"/>
          <w:sz w:val="24"/>
          <w:szCs w:val="24"/>
        </w:rPr>
        <w:t xml:space="preserve"> </w:t>
      </w:r>
      <w:r w:rsidR="004949B5" w:rsidRPr="0007021A">
        <w:rPr>
          <w:rFonts w:ascii="Times New Roman" w:hAnsi="Times New Roman"/>
          <w:sz w:val="24"/>
          <w:szCs w:val="24"/>
        </w:rPr>
        <w:t>није</w:t>
      </w:r>
      <w:r w:rsidR="00823027" w:rsidRPr="0007021A">
        <w:rPr>
          <w:rFonts w:ascii="Times New Roman" w:hAnsi="Times New Roman"/>
          <w:sz w:val="24"/>
          <w:szCs w:val="24"/>
        </w:rPr>
        <w:t xml:space="preserve"> </w:t>
      </w:r>
      <w:r w:rsidR="004949B5" w:rsidRPr="0007021A">
        <w:rPr>
          <w:rFonts w:ascii="Times New Roman" w:hAnsi="Times New Roman"/>
          <w:sz w:val="24"/>
          <w:szCs w:val="24"/>
        </w:rPr>
        <w:t>доставио</w:t>
      </w:r>
      <w:r w:rsidR="00823027" w:rsidRPr="0007021A">
        <w:rPr>
          <w:rFonts w:ascii="Times New Roman" w:hAnsi="Times New Roman"/>
          <w:sz w:val="24"/>
          <w:szCs w:val="24"/>
        </w:rPr>
        <w:t xml:space="preserve"> </w:t>
      </w:r>
      <w:r w:rsidR="004949B5" w:rsidRPr="0007021A">
        <w:rPr>
          <w:rFonts w:ascii="Times New Roman" w:hAnsi="Times New Roman"/>
          <w:sz w:val="24"/>
          <w:szCs w:val="24"/>
        </w:rPr>
        <w:t>надлежном</w:t>
      </w:r>
      <w:r w:rsidR="00823027" w:rsidRPr="0007021A">
        <w:rPr>
          <w:rFonts w:ascii="Times New Roman" w:hAnsi="Times New Roman"/>
          <w:sz w:val="24"/>
          <w:szCs w:val="24"/>
        </w:rPr>
        <w:t xml:space="preserve"> </w:t>
      </w:r>
      <w:r w:rsidR="004949B5" w:rsidRPr="0007021A">
        <w:rPr>
          <w:rFonts w:ascii="Times New Roman" w:hAnsi="Times New Roman"/>
          <w:sz w:val="24"/>
          <w:szCs w:val="24"/>
        </w:rPr>
        <w:t>пореском</w:t>
      </w:r>
      <w:r w:rsidR="00823027" w:rsidRPr="0007021A">
        <w:rPr>
          <w:rFonts w:ascii="Times New Roman" w:hAnsi="Times New Roman"/>
          <w:sz w:val="24"/>
          <w:szCs w:val="24"/>
        </w:rPr>
        <w:t xml:space="preserve"> </w:t>
      </w:r>
      <w:r w:rsidR="004949B5" w:rsidRPr="0007021A">
        <w:rPr>
          <w:rFonts w:ascii="Times New Roman" w:hAnsi="Times New Roman"/>
          <w:sz w:val="24"/>
          <w:szCs w:val="24"/>
        </w:rPr>
        <w:t>органу</w:t>
      </w:r>
      <w:r w:rsidR="00823027" w:rsidRPr="0007021A">
        <w:rPr>
          <w:rFonts w:ascii="Times New Roman" w:hAnsi="Times New Roman"/>
          <w:sz w:val="24"/>
          <w:szCs w:val="24"/>
        </w:rPr>
        <w:t xml:space="preserve"> </w:t>
      </w:r>
      <w:r w:rsidR="004949B5" w:rsidRPr="0007021A">
        <w:rPr>
          <w:rFonts w:ascii="Times New Roman" w:hAnsi="Times New Roman"/>
          <w:sz w:val="24"/>
          <w:szCs w:val="24"/>
        </w:rPr>
        <w:t>доказ</w:t>
      </w:r>
      <w:r w:rsidR="00823027" w:rsidRPr="0007021A">
        <w:rPr>
          <w:rFonts w:ascii="Times New Roman" w:hAnsi="Times New Roman"/>
          <w:sz w:val="24"/>
          <w:szCs w:val="24"/>
        </w:rPr>
        <w:t xml:space="preserve"> </w:t>
      </w:r>
      <w:r w:rsidR="004949B5" w:rsidRPr="0007021A">
        <w:rPr>
          <w:rFonts w:ascii="Times New Roman" w:hAnsi="Times New Roman"/>
          <w:sz w:val="24"/>
          <w:szCs w:val="24"/>
        </w:rPr>
        <w:t>да</w:t>
      </w:r>
      <w:r w:rsidR="00823027" w:rsidRPr="0007021A">
        <w:rPr>
          <w:rFonts w:ascii="Times New Roman" w:hAnsi="Times New Roman"/>
          <w:sz w:val="24"/>
          <w:szCs w:val="24"/>
        </w:rPr>
        <w:t xml:space="preserve"> </w:t>
      </w:r>
      <w:r w:rsidR="004949B5" w:rsidRPr="0007021A">
        <w:rPr>
          <w:rFonts w:ascii="Times New Roman" w:hAnsi="Times New Roman"/>
          <w:sz w:val="24"/>
          <w:szCs w:val="24"/>
        </w:rPr>
        <w:t>је</w:t>
      </w:r>
      <w:r w:rsidR="00823027" w:rsidRPr="0007021A">
        <w:rPr>
          <w:rFonts w:ascii="Times New Roman" w:hAnsi="Times New Roman"/>
          <w:sz w:val="24"/>
          <w:szCs w:val="24"/>
        </w:rPr>
        <w:t xml:space="preserve"> </w:t>
      </w:r>
      <w:r w:rsidR="004949B5" w:rsidRPr="0007021A">
        <w:rPr>
          <w:rFonts w:ascii="Times New Roman" w:hAnsi="Times New Roman"/>
          <w:sz w:val="24"/>
          <w:szCs w:val="24"/>
        </w:rPr>
        <w:t>средства</w:t>
      </w:r>
      <w:r w:rsidR="00823027" w:rsidRPr="0007021A">
        <w:rPr>
          <w:rFonts w:ascii="Times New Roman" w:hAnsi="Times New Roman"/>
          <w:sz w:val="24"/>
          <w:szCs w:val="24"/>
        </w:rPr>
        <w:t xml:space="preserve"> </w:t>
      </w:r>
      <w:r w:rsidR="004949B5" w:rsidRPr="0007021A">
        <w:rPr>
          <w:rFonts w:ascii="Times New Roman" w:hAnsi="Times New Roman"/>
          <w:sz w:val="24"/>
          <w:szCs w:val="24"/>
        </w:rPr>
        <w:t>пренео</w:t>
      </w:r>
      <w:r w:rsidR="00823027" w:rsidRPr="0007021A">
        <w:rPr>
          <w:rFonts w:ascii="Times New Roman" w:hAnsi="Times New Roman"/>
          <w:sz w:val="24"/>
          <w:szCs w:val="24"/>
        </w:rPr>
        <w:t xml:space="preserve"> </w:t>
      </w:r>
      <w:r w:rsidR="004949B5" w:rsidRPr="0007021A">
        <w:rPr>
          <w:rFonts w:ascii="Times New Roman" w:hAnsi="Times New Roman"/>
          <w:sz w:val="24"/>
          <w:szCs w:val="24"/>
        </w:rPr>
        <w:t>на</w:t>
      </w:r>
      <w:r w:rsidR="00823027" w:rsidRPr="0007021A">
        <w:rPr>
          <w:rFonts w:ascii="Times New Roman" w:hAnsi="Times New Roman"/>
          <w:sz w:val="24"/>
          <w:szCs w:val="24"/>
        </w:rPr>
        <w:t xml:space="preserve"> </w:t>
      </w:r>
      <w:r w:rsidR="004949B5" w:rsidRPr="0007021A">
        <w:rPr>
          <w:rFonts w:ascii="Times New Roman" w:hAnsi="Times New Roman"/>
          <w:sz w:val="24"/>
          <w:szCs w:val="24"/>
        </w:rPr>
        <w:t>купца</w:t>
      </w:r>
      <w:r w:rsidR="00823027" w:rsidRPr="0007021A">
        <w:rPr>
          <w:rFonts w:ascii="Times New Roman" w:hAnsi="Times New Roman"/>
          <w:sz w:val="24"/>
          <w:szCs w:val="24"/>
        </w:rPr>
        <w:t xml:space="preserve"> (</w:t>
      </w:r>
      <w:r w:rsidR="004949B5" w:rsidRPr="0007021A">
        <w:rPr>
          <w:rFonts w:ascii="Times New Roman" w:hAnsi="Times New Roman"/>
          <w:sz w:val="24"/>
          <w:szCs w:val="24"/>
        </w:rPr>
        <w:t>члан</w:t>
      </w:r>
      <w:r w:rsidR="00823027" w:rsidRPr="0007021A">
        <w:rPr>
          <w:rFonts w:ascii="Times New Roman" w:hAnsi="Times New Roman"/>
          <w:sz w:val="24"/>
          <w:szCs w:val="24"/>
        </w:rPr>
        <w:t xml:space="preserve"> 37. </w:t>
      </w:r>
      <w:r w:rsidR="004949B5" w:rsidRPr="0007021A">
        <w:rPr>
          <w:rFonts w:ascii="Times New Roman" w:hAnsi="Times New Roman"/>
          <w:sz w:val="24"/>
          <w:szCs w:val="24"/>
        </w:rPr>
        <w:t>став</w:t>
      </w:r>
      <w:r w:rsidR="00823027" w:rsidRPr="0007021A">
        <w:rPr>
          <w:rFonts w:ascii="Times New Roman" w:hAnsi="Times New Roman"/>
          <w:sz w:val="24"/>
          <w:szCs w:val="24"/>
        </w:rPr>
        <w:t xml:space="preserve"> 6);</w:t>
      </w:r>
    </w:p>
    <w:p w:rsidR="00823027" w:rsidRPr="0007021A" w:rsidRDefault="00027DCA" w:rsidP="0007021A">
      <w:pPr>
        <w:jc w:val="both"/>
        <w:rPr>
          <w:rFonts w:ascii="Times New Roman" w:hAnsi="Times New Roman"/>
          <w:sz w:val="24"/>
          <w:szCs w:val="24"/>
        </w:rPr>
      </w:pPr>
      <w:r w:rsidRPr="0007021A">
        <w:rPr>
          <w:rFonts w:ascii="Times New Roman" w:hAnsi="Times New Roman"/>
          <w:sz w:val="24"/>
          <w:szCs w:val="24"/>
          <w:lang w:val="sr-Cyrl-CS"/>
        </w:rPr>
        <w:t>5</w:t>
      </w:r>
      <w:r w:rsidR="00823027" w:rsidRPr="0007021A">
        <w:rPr>
          <w:rFonts w:ascii="Times New Roman" w:hAnsi="Times New Roman"/>
          <w:sz w:val="24"/>
          <w:szCs w:val="24"/>
        </w:rPr>
        <w:t xml:space="preserve">) </w:t>
      </w:r>
      <w:r w:rsidR="004949B5" w:rsidRPr="0007021A">
        <w:rPr>
          <w:rFonts w:ascii="Times New Roman" w:hAnsi="Times New Roman"/>
          <w:sz w:val="24"/>
          <w:szCs w:val="24"/>
        </w:rPr>
        <w:t>ако</w:t>
      </w:r>
      <w:r w:rsidR="00823027" w:rsidRPr="0007021A">
        <w:rPr>
          <w:rFonts w:ascii="Times New Roman" w:hAnsi="Times New Roman"/>
          <w:sz w:val="24"/>
          <w:szCs w:val="24"/>
        </w:rPr>
        <w:t xml:space="preserve"> </w:t>
      </w:r>
      <w:r w:rsidR="004949B5" w:rsidRPr="0007021A">
        <w:rPr>
          <w:rFonts w:ascii="Times New Roman" w:hAnsi="Times New Roman"/>
          <w:sz w:val="24"/>
          <w:szCs w:val="24"/>
        </w:rPr>
        <w:t>продаје</w:t>
      </w:r>
      <w:r w:rsidR="00823027" w:rsidRPr="0007021A">
        <w:rPr>
          <w:rFonts w:ascii="Times New Roman" w:hAnsi="Times New Roman"/>
          <w:sz w:val="24"/>
          <w:szCs w:val="24"/>
        </w:rPr>
        <w:t xml:space="preserve"> </w:t>
      </w:r>
      <w:r w:rsidR="004949B5" w:rsidRPr="0007021A">
        <w:rPr>
          <w:rFonts w:ascii="Times New Roman" w:hAnsi="Times New Roman"/>
          <w:sz w:val="24"/>
          <w:szCs w:val="24"/>
        </w:rPr>
        <w:t>дуванске</w:t>
      </w:r>
      <w:r w:rsidR="00823027" w:rsidRPr="0007021A">
        <w:rPr>
          <w:rFonts w:ascii="Times New Roman" w:hAnsi="Times New Roman"/>
          <w:sz w:val="24"/>
          <w:szCs w:val="24"/>
        </w:rPr>
        <w:t xml:space="preserve"> </w:t>
      </w:r>
      <w:r w:rsidR="004949B5" w:rsidRPr="0007021A">
        <w:rPr>
          <w:rFonts w:ascii="Times New Roman" w:hAnsi="Times New Roman"/>
          <w:sz w:val="24"/>
          <w:szCs w:val="24"/>
        </w:rPr>
        <w:t>прерађевине</w:t>
      </w:r>
      <w:r w:rsidR="00823027" w:rsidRPr="0007021A">
        <w:rPr>
          <w:rFonts w:ascii="Times New Roman" w:hAnsi="Times New Roman"/>
          <w:sz w:val="24"/>
          <w:szCs w:val="24"/>
        </w:rPr>
        <w:t xml:space="preserve"> </w:t>
      </w:r>
      <w:r w:rsidR="004949B5" w:rsidRPr="0007021A">
        <w:rPr>
          <w:rFonts w:ascii="Times New Roman" w:hAnsi="Times New Roman"/>
          <w:sz w:val="24"/>
          <w:szCs w:val="24"/>
        </w:rPr>
        <w:t>по</w:t>
      </w:r>
      <w:r w:rsidR="00823027" w:rsidRPr="0007021A">
        <w:rPr>
          <w:rFonts w:ascii="Times New Roman" w:hAnsi="Times New Roman"/>
          <w:sz w:val="24"/>
          <w:szCs w:val="24"/>
        </w:rPr>
        <w:t xml:space="preserve"> </w:t>
      </w:r>
      <w:r w:rsidR="004949B5" w:rsidRPr="0007021A">
        <w:rPr>
          <w:rFonts w:ascii="Times New Roman" w:hAnsi="Times New Roman"/>
          <w:sz w:val="24"/>
          <w:szCs w:val="24"/>
        </w:rPr>
        <w:t>малопродајним</w:t>
      </w:r>
      <w:r w:rsidR="00823027" w:rsidRPr="0007021A">
        <w:rPr>
          <w:rFonts w:ascii="Times New Roman" w:hAnsi="Times New Roman"/>
          <w:sz w:val="24"/>
          <w:szCs w:val="24"/>
        </w:rPr>
        <w:t xml:space="preserve"> </w:t>
      </w:r>
      <w:r w:rsidR="004949B5" w:rsidRPr="0007021A">
        <w:rPr>
          <w:rFonts w:ascii="Times New Roman" w:hAnsi="Times New Roman"/>
          <w:sz w:val="24"/>
          <w:szCs w:val="24"/>
        </w:rPr>
        <w:t>ценама</w:t>
      </w:r>
      <w:r w:rsidR="00823027" w:rsidRPr="0007021A">
        <w:rPr>
          <w:rFonts w:ascii="Times New Roman" w:hAnsi="Times New Roman"/>
          <w:sz w:val="24"/>
          <w:szCs w:val="24"/>
        </w:rPr>
        <w:t xml:space="preserve"> </w:t>
      </w:r>
      <w:r w:rsidR="004949B5" w:rsidRPr="0007021A">
        <w:rPr>
          <w:rFonts w:ascii="Times New Roman" w:hAnsi="Times New Roman"/>
          <w:sz w:val="24"/>
          <w:szCs w:val="24"/>
        </w:rPr>
        <w:t>које</w:t>
      </w:r>
      <w:r w:rsidR="00823027" w:rsidRPr="0007021A">
        <w:rPr>
          <w:rFonts w:ascii="Times New Roman" w:hAnsi="Times New Roman"/>
          <w:sz w:val="24"/>
          <w:szCs w:val="24"/>
        </w:rPr>
        <w:t xml:space="preserve"> </w:t>
      </w:r>
      <w:r w:rsidR="004949B5" w:rsidRPr="0007021A">
        <w:rPr>
          <w:rFonts w:ascii="Times New Roman" w:hAnsi="Times New Roman"/>
          <w:sz w:val="24"/>
          <w:szCs w:val="24"/>
        </w:rPr>
        <w:t>су</w:t>
      </w:r>
      <w:r w:rsidR="00823027" w:rsidRPr="0007021A">
        <w:rPr>
          <w:rFonts w:ascii="Times New Roman" w:hAnsi="Times New Roman"/>
          <w:sz w:val="24"/>
          <w:szCs w:val="24"/>
        </w:rPr>
        <w:t xml:space="preserve"> </w:t>
      </w:r>
      <w:r w:rsidR="004949B5" w:rsidRPr="0007021A">
        <w:rPr>
          <w:rFonts w:ascii="Times New Roman" w:hAnsi="Times New Roman"/>
          <w:sz w:val="24"/>
          <w:szCs w:val="24"/>
        </w:rPr>
        <w:t>различите</w:t>
      </w:r>
      <w:r w:rsidR="00823027" w:rsidRPr="0007021A">
        <w:rPr>
          <w:rFonts w:ascii="Times New Roman" w:hAnsi="Times New Roman"/>
          <w:sz w:val="24"/>
          <w:szCs w:val="24"/>
        </w:rPr>
        <w:t xml:space="preserve"> </w:t>
      </w:r>
      <w:r w:rsidR="004949B5" w:rsidRPr="0007021A">
        <w:rPr>
          <w:rFonts w:ascii="Times New Roman" w:hAnsi="Times New Roman"/>
          <w:sz w:val="24"/>
          <w:szCs w:val="24"/>
        </w:rPr>
        <w:t>од</w:t>
      </w:r>
      <w:r w:rsidR="00823027" w:rsidRPr="0007021A">
        <w:rPr>
          <w:rFonts w:ascii="Times New Roman" w:hAnsi="Times New Roman"/>
          <w:sz w:val="24"/>
          <w:szCs w:val="24"/>
        </w:rPr>
        <w:t xml:space="preserve"> </w:t>
      </w:r>
      <w:r w:rsidR="004949B5" w:rsidRPr="0007021A">
        <w:rPr>
          <w:rFonts w:ascii="Times New Roman" w:hAnsi="Times New Roman"/>
          <w:sz w:val="24"/>
          <w:szCs w:val="24"/>
        </w:rPr>
        <w:t>оних</w:t>
      </w:r>
      <w:r w:rsidR="00823027" w:rsidRPr="0007021A">
        <w:rPr>
          <w:rFonts w:ascii="Times New Roman" w:hAnsi="Times New Roman"/>
          <w:sz w:val="24"/>
          <w:szCs w:val="24"/>
        </w:rPr>
        <w:t xml:space="preserve"> </w:t>
      </w:r>
      <w:r w:rsidR="004949B5" w:rsidRPr="0007021A">
        <w:rPr>
          <w:rFonts w:ascii="Times New Roman" w:hAnsi="Times New Roman"/>
          <w:sz w:val="24"/>
          <w:szCs w:val="24"/>
        </w:rPr>
        <w:t>које</w:t>
      </w:r>
      <w:r w:rsidR="00823027" w:rsidRPr="0007021A">
        <w:rPr>
          <w:rFonts w:ascii="Times New Roman" w:hAnsi="Times New Roman"/>
          <w:sz w:val="24"/>
          <w:szCs w:val="24"/>
        </w:rPr>
        <w:t xml:space="preserve"> </w:t>
      </w:r>
      <w:r w:rsidR="004949B5" w:rsidRPr="0007021A">
        <w:rPr>
          <w:rFonts w:ascii="Times New Roman" w:hAnsi="Times New Roman"/>
          <w:sz w:val="24"/>
          <w:szCs w:val="24"/>
        </w:rPr>
        <w:t>је</w:t>
      </w:r>
      <w:r w:rsidR="00823027" w:rsidRPr="0007021A">
        <w:rPr>
          <w:rFonts w:ascii="Times New Roman" w:hAnsi="Times New Roman"/>
          <w:sz w:val="24"/>
          <w:szCs w:val="24"/>
        </w:rPr>
        <w:t xml:space="preserve"> </w:t>
      </w:r>
      <w:r w:rsidR="004949B5" w:rsidRPr="0007021A">
        <w:rPr>
          <w:rFonts w:ascii="Times New Roman" w:hAnsi="Times New Roman"/>
          <w:sz w:val="24"/>
          <w:szCs w:val="24"/>
        </w:rPr>
        <w:t>одредио</w:t>
      </w:r>
      <w:r w:rsidR="00823027" w:rsidRPr="0007021A">
        <w:rPr>
          <w:rFonts w:ascii="Times New Roman" w:hAnsi="Times New Roman"/>
          <w:sz w:val="24"/>
          <w:szCs w:val="24"/>
        </w:rPr>
        <w:t xml:space="preserve"> </w:t>
      </w:r>
      <w:r w:rsidR="004949B5" w:rsidRPr="0007021A">
        <w:rPr>
          <w:rFonts w:ascii="Times New Roman" w:hAnsi="Times New Roman"/>
          <w:sz w:val="24"/>
          <w:szCs w:val="24"/>
        </w:rPr>
        <w:t>произвођач</w:t>
      </w:r>
      <w:r w:rsidR="00823027" w:rsidRPr="0007021A">
        <w:rPr>
          <w:rFonts w:ascii="Times New Roman" w:hAnsi="Times New Roman"/>
          <w:sz w:val="24"/>
          <w:szCs w:val="24"/>
        </w:rPr>
        <w:t xml:space="preserve">, </w:t>
      </w:r>
      <w:r w:rsidR="004949B5" w:rsidRPr="0007021A">
        <w:rPr>
          <w:rFonts w:ascii="Times New Roman" w:hAnsi="Times New Roman"/>
          <w:sz w:val="24"/>
          <w:szCs w:val="24"/>
        </w:rPr>
        <w:t>односно</w:t>
      </w:r>
      <w:r w:rsidR="00823027" w:rsidRPr="0007021A">
        <w:rPr>
          <w:rFonts w:ascii="Times New Roman" w:hAnsi="Times New Roman"/>
          <w:sz w:val="24"/>
          <w:szCs w:val="24"/>
        </w:rPr>
        <w:t xml:space="preserve"> </w:t>
      </w:r>
      <w:r w:rsidR="004949B5" w:rsidRPr="0007021A">
        <w:rPr>
          <w:rFonts w:ascii="Times New Roman" w:hAnsi="Times New Roman"/>
          <w:sz w:val="24"/>
          <w:szCs w:val="24"/>
        </w:rPr>
        <w:t>увозник</w:t>
      </w:r>
      <w:r w:rsidR="00823027" w:rsidRPr="0007021A">
        <w:rPr>
          <w:rFonts w:ascii="Times New Roman" w:hAnsi="Times New Roman"/>
          <w:sz w:val="24"/>
          <w:szCs w:val="24"/>
        </w:rPr>
        <w:t xml:space="preserve"> (</w:t>
      </w:r>
      <w:r w:rsidR="004949B5" w:rsidRPr="0007021A">
        <w:rPr>
          <w:rFonts w:ascii="Times New Roman" w:hAnsi="Times New Roman"/>
          <w:sz w:val="24"/>
          <w:szCs w:val="24"/>
        </w:rPr>
        <w:t>члан</w:t>
      </w:r>
      <w:r w:rsidR="00823027" w:rsidRPr="0007021A">
        <w:rPr>
          <w:rFonts w:ascii="Times New Roman" w:hAnsi="Times New Roman"/>
          <w:sz w:val="24"/>
          <w:szCs w:val="24"/>
        </w:rPr>
        <w:t xml:space="preserve"> 40</w:t>
      </w:r>
      <w:r w:rsidR="004949B5" w:rsidRPr="0007021A">
        <w:rPr>
          <w:rFonts w:ascii="Times New Roman" w:hAnsi="Times New Roman"/>
          <w:sz w:val="24"/>
          <w:szCs w:val="24"/>
        </w:rPr>
        <w:t>ђ</w:t>
      </w:r>
      <w:r w:rsidR="00823027" w:rsidRPr="0007021A">
        <w:rPr>
          <w:rFonts w:ascii="Times New Roman" w:hAnsi="Times New Roman"/>
          <w:sz w:val="24"/>
          <w:szCs w:val="24"/>
        </w:rPr>
        <w:t>);</w:t>
      </w:r>
    </w:p>
    <w:p w:rsidR="00823027" w:rsidRPr="0007021A" w:rsidRDefault="00027DCA" w:rsidP="0007021A">
      <w:pPr>
        <w:jc w:val="both"/>
        <w:rPr>
          <w:rFonts w:ascii="Times New Roman" w:hAnsi="Times New Roman"/>
          <w:sz w:val="24"/>
          <w:szCs w:val="24"/>
        </w:rPr>
      </w:pPr>
      <w:r w:rsidRPr="0007021A">
        <w:rPr>
          <w:rFonts w:ascii="Times New Roman" w:hAnsi="Times New Roman"/>
          <w:sz w:val="24"/>
          <w:szCs w:val="24"/>
          <w:lang w:val="sr-Cyrl-CS"/>
        </w:rPr>
        <w:t>6</w:t>
      </w:r>
      <w:r w:rsidR="00823027" w:rsidRPr="0007021A">
        <w:rPr>
          <w:rFonts w:ascii="Times New Roman" w:hAnsi="Times New Roman"/>
          <w:sz w:val="24"/>
          <w:szCs w:val="24"/>
        </w:rPr>
        <w:t xml:space="preserve">) </w:t>
      </w:r>
      <w:r w:rsidR="004949B5" w:rsidRPr="0007021A">
        <w:rPr>
          <w:rFonts w:ascii="Times New Roman" w:hAnsi="Times New Roman"/>
          <w:sz w:val="24"/>
          <w:szCs w:val="24"/>
        </w:rPr>
        <w:t>ако</w:t>
      </w:r>
      <w:r w:rsidR="00823027" w:rsidRPr="0007021A">
        <w:rPr>
          <w:rFonts w:ascii="Times New Roman" w:hAnsi="Times New Roman"/>
          <w:sz w:val="24"/>
          <w:szCs w:val="24"/>
        </w:rPr>
        <w:t xml:space="preserve"> </w:t>
      </w:r>
      <w:r w:rsidR="004949B5" w:rsidRPr="0007021A">
        <w:rPr>
          <w:rFonts w:ascii="Times New Roman" w:hAnsi="Times New Roman"/>
          <w:sz w:val="24"/>
          <w:szCs w:val="24"/>
        </w:rPr>
        <w:t>малопродајне</w:t>
      </w:r>
      <w:r w:rsidR="00823027" w:rsidRPr="0007021A">
        <w:rPr>
          <w:rFonts w:ascii="Times New Roman" w:hAnsi="Times New Roman"/>
          <w:sz w:val="24"/>
          <w:szCs w:val="24"/>
        </w:rPr>
        <w:t xml:space="preserve"> </w:t>
      </w:r>
      <w:r w:rsidR="004949B5" w:rsidRPr="0007021A">
        <w:rPr>
          <w:rFonts w:ascii="Times New Roman" w:hAnsi="Times New Roman"/>
          <w:sz w:val="24"/>
          <w:szCs w:val="24"/>
        </w:rPr>
        <w:t>цене</w:t>
      </w:r>
      <w:r w:rsidR="00823027" w:rsidRPr="0007021A">
        <w:rPr>
          <w:rFonts w:ascii="Times New Roman" w:hAnsi="Times New Roman"/>
          <w:sz w:val="24"/>
          <w:szCs w:val="24"/>
        </w:rPr>
        <w:t xml:space="preserve"> </w:t>
      </w:r>
      <w:r w:rsidR="004949B5" w:rsidRPr="0007021A">
        <w:rPr>
          <w:rFonts w:ascii="Times New Roman" w:hAnsi="Times New Roman"/>
          <w:sz w:val="24"/>
          <w:szCs w:val="24"/>
        </w:rPr>
        <w:t>дуванских</w:t>
      </w:r>
      <w:r w:rsidR="00823027" w:rsidRPr="0007021A">
        <w:rPr>
          <w:rFonts w:ascii="Times New Roman" w:hAnsi="Times New Roman"/>
          <w:sz w:val="24"/>
          <w:szCs w:val="24"/>
        </w:rPr>
        <w:t xml:space="preserve"> </w:t>
      </w:r>
      <w:r w:rsidR="004949B5" w:rsidRPr="0007021A">
        <w:rPr>
          <w:rFonts w:ascii="Times New Roman" w:hAnsi="Times New Roman"/>
          <w:sz w:val="24"/>
          <w:szCs w:val="24"/>
        </w:rPr>
        <w:t>прерађевина</w:t>
      </w:r>
      <w:r w:rsidR="00823027" w:rsidRPr="0007021A">
        <w:rPr>
          <w:rFonts w:ascii="Times New Roman" w:hAnsi="Times New Roman"/>
          <w:sz w:val="24"/>
          <w:szCs w:val="24"/>
        </w:rPr>
        <w:t xml:space="preserve"> </w:t>
      </w:r>
      <w:r w:rsidR="004949B5" w:rsidRPr="0007021A">
        <w:rPr>
          <w:rFonts w:ascii="Times New Roman" w:hAnsi="Times New Roman"/>
          <w:sz w:val="24"/>
          <w:szCs w:val="24"/>
        </w:rPr>
        <w:t>нису</w:t>
      </w:r>
      <w:r w:rsidR="00823027" w:rsidRPr="0007021A">
        <w:rPr>
          <w:rFonts w:ascii="Times New Roman" w:hAnsi="Times New Roman"/>
          <w:sz w:val="24"/>
          <w:szCs w:val="24"/>
        </w:rPr>
        <w:t xml:space="preserve"> </w:t>
      </w:r>
      <w:r w:rsidR="004949B5" w:rsidRPr="0007021A">
        <w:rPr>
          <w:rFonts w:ascii="Times New Roman" w:hAnsi="Times New Roman"/>
          <w:sz w:val="24"/>
          <w:szCs w:val="24"/>
        </w:rPr>
        <w:t>пријављене</w:t>
      </w:r>
      <w:r w:rsidR="00823027" w:rsidRPr="0007021A">
        <w:rPr>
          <w:rFonts w:ascii="Times New Roman" w:hAnsi="Times New Roman"/>
          <w:sz w:val="24"/>
          <w:szCs w:val="24"/>
        </w:rPr>
        <w:t xml:space="preserve"> </w:t>
      </w:r>
      <w:r w:rsidR="004949B5" w:rsidRPr="0007021A">
        <w:rPr>
          <w:rFonts w:ascii="Times New Roman" w:hAnsi="Times New Roman"/>
          <w:sz w:val="24"/>
          <w:szCs w:val="24"/>
        </w:rPr>
        <w:t>Управи</w:t>
      </w:r>
      <w:r w:rsidR="00823027" w:rsidRPr="0007021A">
        <w:rPr>
          <w:rFonts w:ascii="Times New Roman" w:hAnsi="Times New Roman"/>
          <w:sz w:val="24"/>
          <w:szCs w:val="24"/>
        </w:rPr>
        <w:t xml:space="preserve">, </w:t>
      </w:r>
      <w:r w:rsidR="004949B5" w:rsidRPr="0007021A">
        <w:rPr>
          <w:rFonts w:ascii="Times New Roman" w:hAnsi="Times New Roman"/>
          <w:sz w:val="24"/>
          <w:szCs w:val="24"/>
        </w:rPr>
        <w:t>као</w:t>
      </w:r>
      <w:r w:rsidR="00823027" w:rsidRPr="0007021A">
        <w:rPr>
          <w:rFonts w:ascii="Times New Roman" w:hAnsi="Times New Roman"/>
          <w:sz w:val="24"/>
          <w:szCs w:val="24"/>
        </w:rPr>
        <w:t xml:space="preserve"> </w:t>
      </w:r>
      <w:r w:rsidR="004949B5" w:rsidRPr="0007021A">
        <w:rPr>
          <w:rFonts w:ascii="Times New Roman" w:hAnsi="Times New Roman"/>
          <w:sz w:val="24"/>
          <w:szCs w:val="24"/>
        </w:rPr>
        <w:t>и</w:t>
      </w:r>
      <w:r w:rsidR="00823027" w:rsidRPr="0007021A">
        <w:rPr>
          <w:rFonts w:ascii="Times New Roman" w:hAnsi="Times New Roman"/>
          <w:sz w:val="24"/>
          <w:szCs w:val="24"/>
        </w:rPr>
        <w:t xml:space="preserve"> </w:t>
      </w:r>
      <w:r w:rsidR="004949B5" w:rsidRPr="0007021A">
        <w:rPr>
          <w:rFonts w:ascii="Times New Roman" w:hAnsi="Times New Roman"/>
          <w:sz w:val="24"/>
          <w:szCs w:val="24"/>
        </w:rPr>
        <w:t>ако</w:t>
      </w:r>
      <w:r w:rsidR="00823027" w:rsidRPr="0007021A">
        <w:rPr>
          <w:rFonts w:ascii="Times New Roman" w:hAnsi="Times New Roman"/>
          <w:sz w:val="24"/>
          <w:szCs w:val="24"/>
        </w:rPr>
        <w:t xml:space="preserve"> </w:t>
      </w:r>
      <w:r w:rsidR="004949B5" w:rsidRPr="0007021A">
        <w:rPr>
          <w:rFonts w:ascii="Times New Roman" w:hAnsi="Times New Roman"/>
          <w:sz w:val="24"/>
          <w:szCs w:val="24"/>
        </w:rPr>
        <w:t>нису</w:t>
      </w:r>
      <w:r w:rsidR="00823027" w:rsidRPr="0007021A">
        <w:rPr>
          <w:rFonts w:ascii="Times New Roman" w:hAnsi="Times New Roman"/>
          <w:sz w:val="24"/>
          <w:szCs w:val="24"/>
        </w:rPr>
        <w:t xml:space="preserve"> </w:t>
      </w:r>
      <w:r w:rsidR="004949B5" w:rsidRPr="0007021A">
        <w:rPr>
          <w:rFonts w:ascii="Times New Roman" w:hAnsi="Times New Roman"/>
          <w:sz w:val="24"/>
          <w:szCs w:val="24"/>
        </w:rPr>
        <w:t>истакнуте</w:t>
      </w:r>
      <w:r w:rsidR="00823027" w:rsidRPr="0007021A">
        <w:rPr>
          <w:rFonts w:ascii="Times New Roman" w:hAnsi="Times New Roman"/>
          <w:sz w:val="24"/>
          <w:szCs w:val="24"/>
        </w:rPr>
        <w:t xml:space="preserve"> </w:t>
      </w:r>
      <w:r w:rsidR="004949B5" w:rsidRPr="0007021A">
        <w:rPr>
          <w:rFonts w:ascii="Times New Roman" w:hAnsi="Times New Roman"/>
          <w:sz w:val="24"/>
          <w:szCs w:val="24"/>
        </w:rPr>
        <w:t>у</w:t>
      </w:r>
      <w:r w:rsidR="00823027" w:rsidRPr="0007021A">
        <w:rPr>
          <w:rFonts w:ascii="Times New Roman" w:hAnsi="Times New Roman"/>
          <w:sz w:val="24"/>
          <w:szCs w:val="24"/>
        </w:rPr>
        <w:t xml:space="preserve">, </w:t>
      </w:r>
      <w:r w:rsidR="004949B5" w:rsidRPr="0007021A">
        <w:rPr>
          <w:rFonts w:ascii="Times New Roman" w:hAnsi="Times New Roman"/>
          <w:sz w:val="24"/>
          <w:szCs w:val="24"/>
        </w:rPr>
        <w:t>односно</w:t>
      </w:r>
      <w:r w:rsidR="00823027" w:rsidRPr="0007021A">
        <w:rPr>
          <w:rFonts w:ascii="Times New Roman" w:hAnsi="Times New Roman"/>
          <w:sz w:val="24"/>
          <w:szCs w:val="24"/>
        </w:rPr>
        <w:t xml:space="preserve"> </w:t>
      </w:r>
      <w:r w:rsidR="004949B5" w:rsidRPr="0007021A">
        <w:rPr>
          <w:rFonts w:ascii="Times New Roman" w:hAnsi="Times New Roman"/>
          <w:sz w:val="24"/>
          <w:szCs w:val="24"/>
        </w:rPr>
        <w:t>на</w:t>
      </w:r>
      <w:r w:rsidR="00823027" w:rsidRPr="0007021A">
        <w:rPr>
          <w:rFonts w:ascii="Times New Roman" w:hAnsi="Times New Roman"/>
          <w:sz w:val="24"/>
          <w:szCs w:val="24"/>
        </w:rPr>
        <w:t xml:space="preserve"> </w:t>
      </w:r>
      <w:r w:rsidR="004949B5" w:rsidRPr="0007021A">
        <w:rPr>
          <w:rFonts w:ascii="Times New Roman" w:hAnsi="Times New Roman"/>
          <w:sz w:val="24"/>
          <w:szCs w:val="24"/>
        </w:rPr>
        <w:t>објекту</w:t>
      </w:r>
      <w:r w:rsidR="00823027" w:rsidRPr="0007021A">
        <w:rPr>
          <w:rFonts w:ascii="Times New Roman" w:hAnsi="Times New Roman"/>
          <w:sz w:val="24"/>
          <w:szCs w:val="24"/>
        </w:rPr>
        <w:t xml:space="preserve"> </w:t>
      </w:r>
      <w:r w:rsidR="004949B5" w:rsidRPr="0007021A">
        <w:rPr>
          <w:rFonts w:ascii="Times New Roman" w:hAnsi="Times New Roman"/>
          <w:sz w:val="24"/>
          <w:szCs w:val="24"/>
        </w:rPr>
        <w:t>трговине</w:t>
      </w:r>
      <w:r w:rsidR="00823027" w:rsidRPr="0007021A">
        <w:rPr>
          <w:rFonts w:ascii="Times New Roman" w:hAnsi="Times New Roman"/>
          <w:sz w:val="24"/>
          <w:szCs w:val="24"/>
        </w:rPr>
        <w:t xml:space="preserve"> </w:t>
      </w:r>
      <w:r w:rsidR="004949B5" w:rsidRPr="0007021A">
        <w:rPr>
          <w:rFonts w:ascii="Times New Roman" w:hAnsi="Times New Roman"/>
          <w:sz w:val="24"/>
          <w:szCs w:val="24"/>
        </w:rPr>
        <w:t>на</w:t>
      </w:r>
      <w:r w:rsidR="00823027" w:rsidRPr="0007021A">
        <w:rPr>
          <w:rFonts w:ascii="Times New Roman" w:hAnsi="Times New Roman"/>
          <w:sz w:val="24"/>
          <w:szCs w:val="24"/>
        </w:rPr>
        <w:t xml:space="preserve"> </w:t>
      </w:r>
      <w:r w:rsidR="004949B5" w:rsidRPr="0007021A">
        <w:rPr>
          <w:rFonts w:ascii="Times New Roman" w:hAnsi="Times New Roman"/>
          <w:sz w:val="24"/>
          <w:szCs w:val="24"/>
        </w:rPr>
        <w:t>мало</w:t>
      </w:r>
      <w:r w:rsidR="00823027" w:rsidRPr="0007021A">
        <w:rPr>
          <w:rFonts w:ascii="Times New Roman" w:hAnsi="Times New Roman"/>
          <w:sz w:val="24"/>
          <w:szCs w:val="24"/>
        </w:rPr>
        <w:t xml:space="preserve"> </w:t>
      </w:r>
      <w:r w:rsidR="004949B5" w:rsidRPr="0007021A">
        <w:rPr>
          <w:rFonts w:ascii="Times New Roman" w:hAnsi="Times New Roman"/>
          <w:sz w:val="24"/>
          <w:szCs w:val="24"/>
        </w:rPr>
        <w:t>тако</w:t>
      </w:r>
      <w:r w:rsidR="00823027" w:rsidRPr="0007021A">
        <w:rPr>
          <w:rFonts w:ascii="Times New Roman" w:hAnsi="Times New Roman"/>
          <w:sz w:val="24"/>
          <w:szCs w:val="24"/>
        </w:rPr>
        <w:t xml:space="preserve"> </w:t>
      </w:r>
      <w:r w:rsidR="004949B5" w:rsidRPr="0007021A">
        <w:rPr>
          <w:rFonts w:ascii="Times New Roman" w:hAnsi="Times New Roman"/>
          <w:sz w:val="24"/>
          <w:szCs w:val="24"/>
        </w:rPr>
        <w:t>да</w:t>
      </w:r>
      <w:r w:rsidR="00823027" w:rsidRPr="0007021A">
        <w:rPr>
          <w:rFonts w:ascii="Times New Roman" w:hAnsi="Times New Roman"/>
          <w:sz w:val="24"/>
          <w:szCs w:val="24"/>
        </w:rPr>
        <w:t xml:space="preserve"> </w:t>
      </w:r>
      <w:r w:rsidR="004949B5" w:rsidRPr="0007021A">
        <w:rPr>
          <w:rFonts w:ascii="Times New Roman" w:hAnsi="Times New Roman"/>
          <w:sz w:val="24"/>
          <w:szCs w:val="24"/>
        </w:rPr>
        <w:t>су</w:t>
      </w:r>
      <w:r w:rsidR="00823027" w:rsidRPr="0007021A">
        <w:rPr>
          <w:rFonts w:ascii="Times New Roman" w:hAnsi="Times New Roman"/>
          <w:sz w:val="24"/>
          <w:szCs w:val="24"/>
        </w:rPr>
        <w:t xml:space="preserve"> </w:t>
      </w:r>
      <w:r w:rsidR="004949B5" w:rsidRPr="0007021A">
        <w:rPr>
          <w:rFonts w:ascii="Times New Roman" w:hAnsi="Times New Roman"/>
          <w:sz w:val="24"/>
          <w:szCs w:val="24"/>
        </w:rPr>
        <w:t>јасно</w:t>
      </w:r>
      <w:r w:rsidR="00823027" w:rsidRPr="0007021A">
        <w:rPr>
          <w:rFonts w:ascii="Times New Roman" w:hAnsi="Times New Roman"/>
          <w:sz w:val="24"/>
          <w:szCs w:val="24"/>
        </w:rPr>
        <w:t xml:space="preserve"> </w:t>
      </w:r>
      <w:r w:rsidR="004949B5" w:rsidRPr="0007021A">
        <w:rPr>
          <w:rFonts w:ascii="Times New Roman" w:hAnsi="Times New Roman"/>
          <w:sz w:val="24"/>
          <w:szCs w:val="24"/>
        </w:rPr>
        <w:t>видљиве</w:t>
      </w:r>
      <w:r w:rsidR="00823027" w:rsidRPr="0007021A">
        <w:rPr>
          <w:rFonts w:ascii="Times New Roman" w:hAnsi="Times New Roman"/>
          <w:sz w:val="24"/>
          <w:szCs w:val="24"/>
        </w:rPr>
        <w:t xml:space="preserve"> (</w:t>
      </w:r>
      <w:r w:rsidR="004949B5" w:rsidRPr="0007021A">
        <w:rPr>
          <w:rFonts w:ascii="Times New Roman" w:hAnsi="Times New Roman"/>
          <w:sz w:val="24"/>
          <w:szCs w:val="24"/>
        </w:rPr>
        <w:t>члан</w:t>
      </w:r>
      <w:r w:rsidR="00823027" w:rsidRPr="0007021A">
        <w:rPr>
          <w:rFonts w:ascii="Times New Roman" w:hAnsi="Times New Roman"/>
          <w:sz w:val="24"/>
          <w:szCs w:val="24"/>
        </w:rPr>
        <w:t xml:space="preserve"> 40</w:t>
      </w:r>
      <w:r w:rsidR="004949B5" w:rsidRPr="0007021A">
        <w:rPr>
          <w:rFonts w:ascii="Times New Roman" w:hAnsi="Times New Roman"/>
          <w:sz w:val="24"/>
          <w:szCs w:val="24"/>
        </w:rPr>
        <w:t>ђ</w:t>
      </w:r>
      <w:r w:rsidR="00823027" w:rsidRPr="0007021A">
        <w:rPr>
          <w:rFonts w:ascii="Times New Roman" w:hAnsi="Times New Roman"/>
          <w:sz w:val="24"/>
          <w:szCs w:val="24"/>
        </w:rPr>
        <w:t>);</w:t>
      </w:r>
    </w:p>
    <w:p w:rsidR="00027DCA" w:rsidRPr="0007021A" w:rsidRDefault="00027DCA" w:rsidP="0007021A">
      <w:pPr>
        <w:jc w:val="both"/>
        <w:rPr>
          <w:rFonts w:ascii="Times New Roman" w:hAnsi="Times New Roman"/>
          <w:sz w:val="24"/>
          <w:szCs w:val="24"/>
          <w:lang w:val="sr-Cyrl-CS"/>
        </w:rPr>
      </w:pPr>
      <w:r w:rsidRPr="0007021A">
        <w:rPr>
          <w:rFonts w:ascii="Times New Roman" w:hAnsi="Times New Roman"/>
          <w:sz w:val="24"/>
          <w:szCs w:val="24"/>
          <w:lang w:val="sr-Cyrl-CS"/>
        </w:rPr>
        <w:t>7</w:t>
      </w:r>
      <w:r w:rsidR="00823027" w:rsidRPr="0007021A">
        <w:rPr>
          <w:rFonts w:ascii="Times New Roman" w:hAnsi="Times New Roman"/>
          <w:sz w:val="24"/>
          <w:szCs w:val="24"/>
        </w:rPr>
        <w:t xml:space="preserve">) </w:t>
      </w:r>
      <w:r w:rsidR="004949B5" w:rsidRPr="0007021A">
        <w:rPr>
          <w:rFonts w:ascii="Times New Roman" w:hAnsi="Times New Roman"/>
          <w:sz w:val="24"/>
          <w:szCs w:val="24"/>
        </w:rPr>
        <w:t>не</w:t>
      </w:r>
      <w:r w:rsidR="00823027" w:rsidRPr="0007021A">
        <w:rPr>
          <w:rFonts w:ascii="Times New Roman" w:hAnsi="Times New Roman"/>
          <w:sz w:val="24"/>
          <w:szCs w:val="24"/>
        </w:rPr>
        <w:t xml:space="preserve"> </w:t>
      </w:r>
      <w:r w:rsidR="004949B5" w:rsidRPr="0007021A">
        <w:rPr>
          <w:rFonts w:ascii="Times New Roman" w:hAnsi="Times New Roman"/>
          <w:sz w:val="24"/>
          <w:szCs w:val="24"/>
        </w:rPr>
        <w:t>објави</w:t>
      </w:r>
      <w:r w:rsidR="00823027" w:rsidRPr="0007021A">
        <w:rPr>
          <w:rFonts w:ascii="Times New Roman" w:hAnsi="Times New Roman"/>
          <w:sz w:val="24"/>
          <w:szCs w:val="24"/>
        </w:rPr>
        <w:t xml:space="preserve"> </w:t>
      </w:r>
      <w:r w:rsidR="004949B5" w:rsidRPr="0007021A">
        <w:rPr>
          <w:rFonts w:ascii="Times New Roman" w:hAnsi="Times New Roman"/>
          <w:sz w:val="24"/>
          <w:szCs w:val="24"/>
        </w:rPr>
        <w:t>малопродајне</w:t>
      </w:r>
      <w:r w:rsidR="00823027" w:rsidRPr="0007021A">
        <w:rPr>
          <w:rFonts w:ascii="Times New Roman" w:hAnsi="Times New Roman"/>
          <w:sz w:val="24"/>
          <w:szCs w:val="24"/>
        </w:rPr>
        <w:t xml:space="preserve"> </w:t>
      </w:r>
      <w:r w:rsidR="004949B5" w:rsidRPr="0007021A">
        <w:rPr>
          <w:rFonts w:ascii="Times New Roman" w:hAnsi="Times New Roman"/>
          <w:sz w:val="24"/>
          <w:szCs w:val="24"/>
        </w:rPr>
        <w:t>цене</w:t>
      </w:r>
      <w:r w:rsidR="00823027" w:rsidRPr="0007021A">
        <w:rPr>
          <w:rFonts w:ascii="Times New Roman" w:hAnsi="Times New Roman"/>
          <w:sz w:val="24"/>
          <w:szCs w:val="24"/>
        </w:rPr>
        <w:t xml:space="preserve"> </w:t>
      </w:r>
      <w:r w:rsidR="004949B5" w:rsidRPr="0007021A">
        <w:rPr>
          <w:rFonts w:ascii="Times New Roman" w:hAnsi="Times New Roman"/>
          <w:sz w:val="24"/>
          <w:szCs w:val="24"/>
        </w:rPr>
        <w:t>дуванских</w:t>
      </w:r>
      <w:r w:rsidR="00823027" w:rsidRPr="0007021A">
        <w:rPr>
          <w:rFonts w:ascii="Times New Roman" w:hAnsi="Times New Roman"/>
          <w:sz w:val="24"/>
          <w:szCs w:val="24"/>
        </w:rPr>
        <w:t xml:space="preserve"> </w:t>
      </w:r>
      <w:r w:rsidR="004949B5" w:rsidRPr="0007021A">
        <w:rPr>
          <w:rFonts w:ascii="Times New Roman" w:hAnsi="Times New Roman"/>
          <w:sz w:val="24"/>
          <w:szCs w:val="24"/>
        </w:rPr>
        <w:t>прерађевина</w:t>
      </w:r>
      <w:r w:rsidR="00823027" w:rsidRPr="0007021A">
        <w:rPr>
          <w:rFonts w:ascii="Times New Roman" w:hAnsi="Times New Roman"/>
          <w:sz w:val="24"/>
          <w:szCs w:val="24"/>
        </w:rPr>
        <w:t xml:space="preserve"> </w:t>
      </w:r>
      <w:r w:rsidR="004949B5" w:rsidRPr="0007021A">
        <w:rPr>
          <w:rFonts w:ascii="Times New Roman" w:hAnsi="Times New Roman"/>
          <w:sz w:val="24"/>
          <w:szCs w:val="24"/>
        </w:rPr>
        <w:t>у</w:t>
      </w:r>
      <w:r w:rsidR="00823027" w:rsidRPr="0007021A">
        <w:rPr>
          <w:rFonts w:ascii="Times New Roman" w:hAnsi="Times New Roman"/>
          <w:sz w:val="24"/>
          <w:szCs w:val="24"/>
        </w:rPr>
        <w:t xml:space="preserve"> "</w:t>
      </w:r>
      <w:r w:rsidR="004949B5" w:rsidRPr="0007021A">
        <w:rPr>
          <w:rFonts w:ascii="Times New Roman" w:hAnsi="Times New Roman"/>
          <w:sz w:val="24"/>
          <w:szCs w:val="24"/>
        </w:rPr>
        <w:t>Службеном</w:t>
      </w:r>
      <w:r w:rsidR="00823027" w:rsidRPr="0007021A">
        <w:rPr>
          <w:rFonts w:ascii="Times New Roman" w:hAnsi="Times New Roman"/>
          <w:sz w:val="24"/>
          <w:szCs w:val="24"/>
        </w:rPr>
        <w:t xml:space="preserve"> </w:t>
      </w:r>
      <w:r w:rsidR="004949B5" w:rsidRPr="0007021A">
        <w:rPr>
          <w:rFonts w:ascii="Times New Roman" w:hAnsi="Times New Roman"/>
          <w:sz w:val="24"/>
          <w:szCs w:val="24"/>
        </w:rPr>
        <w:t>гласнику</w:t>
      </w:r>
      <w:r w:rsidR="00823027" w:rsidRPr="0007021A">
        <w:rPr>
          <w:rFonts w:ascii="Times New Roman" w:hAnsi="Times New Roman"/>
          <w:sz w:val="24"/>
          <w:szCs w:val="24"/>
        </w:rPr>
        <w:t xml:space="preserve"> </w:t>
      </w:r>
      <w:r w:rsidR="004949B5" w:rsidRPr="0007021A">
        <w:rPr>
          <w:rFonts w:ascii="Times New Roman" w:hAnsi="Times New Roman"/>
          <w:sz w:val="24"/>
          <w:szCs w:val="24"/>
        </w:rPr>
        <w:t>Републике</w:t>
      </w:r>
      <w:r w:rsidR="00823027" w:rsidRPr="0007021A">
        <w:rPr>
          <w:rFonts w:ascii="Times New Roman" w:hAnsi="Times New Roman"/>
          <w:sz w:val="24"/>
          <w:szCs w:val="24"/>
        </w:rPr>
        <w:t xml:space="preserve"> </w:t>
      </w:r>
      <w:r w:rsidR="004949B5" w:rsidRPr="0007021A">
        <w:rPr>
          <w:rFonts w:ascii="Times New Roman" w:hAnsi="Times New Roman"/>
          <w:sz w:val="24"/>
          <w:szCs w:val="24"/>
        </w:rPr>
        <w:t>Србије</w:t>
      </w:r>
      <w:r w:rsidR="00823027" w:rsidRPr="0007021A">
        <w:rPr>
          <w:rFonts w:ascii="Times New Roman" w:hAnsi="Times New Roman"/>
          <w:sz w:val="24"/>
          <w:szCs w:val="24"/>
        </w:rPr>
        <w:t xml:space="preserve">", </w:t>
      </w:r>
      <w:r w:rsidR="004949B5" w:rsidRPr="0007021A">
        <w:rPr>
          <w:rFonts w:ascii="Times New Roman" w:hAnsi="Times New Roman"/>
          <w:sz w:val="24"/>
          <w:szCs w:val="24"/>
        </w:rPr>
        <w:t>објави</w:t>
      </w:r>
      <w:r w:rsidR="00823027" w:rsidRPr="0007021A">
        <w:rPr>
          <w:rFonts w:ascii="Times New Roman" w:hAnsi="Times New Roman"/>
          <w:sz w:val="24"/>
          <w:szCs w:val="24"/>
        </w:rPr>
        <w:t xml:space="preserve"> </w:t>
      </w:r>
      <w:r w:rsidR="004949B5" w:rsidRPr="0007021A">
        <w:rPr>
          <w:rFonts w:ascii="Times New Roman" w:hAnsi="Times New Roman"/>
          <w:sz w:val="24"/>
          <w:szCs w:val="24"/>
        </w:rPr>
        <w:t>малопродајне</w:t>
      </w:r>
      <w:r w:rsidR="00823027" w:rsidRPr="0007021A">
        <w:rPr>
          <w:rFonts w:ascii="Times New Roman" w:hAnsi="Times New Roman"/>
          <w:sz w:val="24"/>
          <w:szCs w:val="24"/>
        </w:rPr>
        <w:t xml:space="preserve"> </w:t>
      </w:r>
      <w:r w:rsidR="004949B5" w:rsidRPr="0007021A">
        <w:rPr>
          <w:rFonts w:ascii="Times New Roman" w:hAnsi="Times New Roman"/>
          <w:sz w:val="24"/>
          <w:szCs w:val="24"/>
        </w:rPr>
        <w:t>цене</w:t>
      </w:r>
      <w:r w:rsidR="00823027" w:rsidRPr="0007021A">
        <w:rPr>
          <w:rFonts w:ascii="Times New Roman" w:hAnsi="Times New Roman"/>
          <w:sz w:val="24"/>
          <w:szCs w:val="24"/>
        </w:rPr>
        <w:t xml:space="preserve"> </w:t>
      </w:r>
      <w:r w:rsidR="004949B5" w:rsidRPr="0007021A">
        <w:rPr>
          <w:rFonts w:ascii="Times New Roman" w:hAnsi="Times New Roman"/>
          <w:sz w:val="24"/>
          <w:szCs w:val="24"/>
        </w:rPr>
        <w:t>дуванских</w:t>
      </w:r>
      <w:r w:rsidR="00823027" w:rsidRPr="0007021A">
        <w:rPr>
          <w:rFonts w:ascii="Times New Roman" w:hAnsi="Times New Roman"/>
          <w:sz w:val="24"/>
          <w:szCs w:val="24"/>
        </w:rPr>
        <w:t xml:space="preserve"> </w:t>
      </w:r>
      <w:r w:rsidR="004949B5" w:rsidRPr="0007021A">
        <w:rPr>
          <w:rFonts w:ascii="Times New Roman" w:hAnsi="Times New Roman"/>
          <w:sz w:val="24"/>
          <w:szCs w:val="24"/>
        </w:rPr>
        <w:t>прерађевина</w:t>
      </w:r>
      <w:r w:rsidR="00823027" w:rsidRPr="0007021A">
        <w:rPr>
          <w:rFonts w:ascii="Times New Roman" w:hAnsi="Times New Roman"/>
          <w:sz w:val="24"/>
          <w:szCs w:val="24"/>
        </w:rPr>
        <w:t xml:space="preserve"> </w:t>
      </w:r>
      <w:r w:rsidR="004949B5" w:rsidRPr="0007021A">
        <w:rPr>
          <w:rFonts w:ascii="Times New Roman" w:hAnsi="Times New Roman"/>
          <w:sz w:val="24"/>
          <w:szCs w:val="24"/>
        </w:rPr>
        <w:t>у</w:t>
      </w:r>
      <w:r w:rsidR="00823027" w:rsidRPr="0007021A">
        <w:rPr>
          <w:rFonts w:ascii="Times New Roman" w:hAnsi="Times New Roman"/>
          <w:sz w:val="24"/>
          <w:szCs w:val="24"/>
        </w:rPr>
        <w:t xml:space="preserve"> "</w:t>
      </w:r>
      <w:r w:rsidR="004949B5" w:rsidRPr="0007021A">
        <w:rPr>
          <w:rFonts w:ascii="Times New Roman" w:hAnsi="Times New Roman"/>
          <w:sz w:val="24"/>
          <w:szCs w:val="24"/>
        </w:rPr>
        <w:t>Службеном</w:t>
      </w:r>
      <w:r w:rsidR="00823027" w:rsidRPr="0007021A">
        <w:rPr>
          <w:rFonts w:ascii="Times New Roman" w:hAnsi="Times New Roman"/>
          <w:sz w:val="24"/>
          <w:szCs w:val="24"/>
        </w:rPr>
        <w:t xml:space="preserve"> </w:t>
      </w:r>
      <w:r w:rsidR="004949B5" w:rsidRPr="0007021A">
        <w:rPr>
          <w:rFonts w:ascii="Times New Roman" w:hAnsi="Times New Roman"/>
          <w:sz w:val="24"/>
          <w:szCs w:val="24"/>
        </w:rPr>
        <w:t>гласнику</w:t>
      </w:r>
      <w:r w:rsidR="00823027" w:rsidRPr="0007021A">
        <w:rPr>
          <w:rFonts w:ascii="Times New Roman" w:hAnsi="Times New Roman"/>
          <w:sz w:val="24"/>
          <w:szCs w:val="24"/>
        </w:rPr>
        <w:t xml:space="preserve"> </w:t>
      </w:r>
      <w:r w:rsidR="004949B5" w:rsidRPr="0007021A">
        <w:rPr>
          <w:rFonts w:ascii="Times New Roman" w:hAnsi="Times New Roman"/>
          <w:sz w:val="24"/>
          <w:szCs w:val="24"/>
        </w:rPr>
        <w:t>Републике</w:t>
      </w:r>
      <w:r w:rsidR="00823027" w:rsidRPr="0007021A">
        <w:rPr>
          <w:rFonts w:ascii="Times New Roman" w:hAnsi="Times New Roman"/>
          <w:sz w:val="24"/>
          <w:szCs w:val="24"/>
        </w:rPr>
        <w:t xml:space="preserve"> </w:t>
      </w:r>
      <w:r w:rsidR="004949B5" w:rsidRPr="0007021A">
        <w:rPr>
          <w:rFonts w:ascii="Times New Roman" w:hAnsi="Times New Roman"/>
          <w:sz w:val="24"/>
          <w:szCs w:val="24"/>
        </w:rPr>
        <w:t>Србије</w:t>
      </w:r>
      <w:r w:rsidR="00823027" w:rsidRPr="0007021A">
        <w:rPr>
          <w:rFonts w:ascii="Times New Roman" w:hAnsi="Times New Roman"/>
          <w:sz w:val="24"/>
          <w:szCs w:val="24"/>
        </w:rPr>
        <w:t xml:space="preserve">" </w:t>
      </w:r>
      <w:r w:rsidR="004949B5" w:rsidRPr="0007021A">
        <w:rPr>
          <w:rFonts w:ascii="Times New Roman" w:hAnsi="Times New Roman"/>
          <w:sz w:val="24"/>
          <w:szCs w:val="24"/>
        </w:rPr>
        <w:t>без</w:t>
      </w:r>
      <w:r w:rsidR="00823027" w:rsidRPr="0007021A">
        <w:rPr>
          <w:rFonts w:ascii="Times New Roman" w:hAnsi="Times New Roman"/>
          <w:sz w:val="24"/>
          <w:szCs w:val="24"/>
        </w:rPr>
        <w:t xml:space="preserve"> </w:t>
      </w:r>
      <w:r w:rsidR="004949B5" w:rsidRPr="0007021A">
        <w:rPr>
          <w:rFonts w:ascii="Times New Roman" w:hAnsi="Times New Roman"/>
          <w:sz w:val="24"/>
          <w:szCs w:val="24"/>
        </w:rPr>
        <w:t>писмене</w:t>
      </w:r>
      <w:r w:rsidR="00823027" w:rsidRPr="0007021A">
        <w:rPr>
          <w:rFonts w:ascii="Times New Roman" w:hAnsi="Times New Roman"/>
          <w:sz w:val="24"/>
          <w:szCs w:val="24"/>
        </w:rPr>
        <w:t xml:space="preserve"> </w:t>
      </w:r>
      <w:r w:rsidR="004949B5" w:rsidRPr="0007021A">
        <w:rPr>
          <w:rFonts w:ascii="Times New Roman" w:hAnsi="Times New Roman"/>
          <w:sz w:val="24"/>
          <w:szCs w:val="24"/>
        </w:rPr>
        <w:t>сагласности</w:t>
      </w:r>
      <w:r w:rsidR="00823027" w:rsidRPr="0007021A">
        <w:rPr>
          <w:rFonts w:ascii="Times New Roman" w:hAnsi="Times New Roman"/>
          <w:sz w:val="24"/>
          <w:szCs w:val="24"/>
        </w:rPr>
        <w:t xml:space="preserve"> </w:t>
      </w:r>
      <w:r w:rsidR="004949B5" w:rsidRPr="0007021A">
        <w:rPr>
          <w:rFonts w:ascii="Times New Roman" w:hAnsi="Times New Roman"/>
          <w:sz w:val="24"/>
          <w:szCs w:val="24"/>
        </w:rPr>
        <w:t>Управе</w:t>
      </w:r>
      <w:r w:rsidR="00823027" w:rsidRPr="0007021A">
        <w:rPr>
          <w:rFonts w:ascii="Times New Roman" w:hAnsi="Times New Roman"/>
          <w:sz w:val="24"/>
          <w:szCs w:val="24"/>
        </w:rPr>
        <w:t xml:space="preserve"> </w:t>
      </w:r>
      <w:r w:rsidR="004949B5" w:rsidRPr="0007021A">
        <w:rPr>
          <w:rFonts w:ascii="Times New Roman" w:hAnsi="Times New Roman"/>
          <w:sz w:val="24"/>
          <w:szCs w:val="24"/>
        </w:rPr>
        <w:t>или</w:t>
      </w:r>
      <w:r w:rsidR="00823027" w:rsidRPr="0007021A">
        <w:rPr>
          <w:rFonts w:ascii="Times New Roman" w:hAnsi="Times New Roman"/>
          <w:sz w:val="24"/>
          <w:szCs w:val="24"/>
        </w:rPr>
        <w:t xml:space="preserve"> </w:t>
      </w:r>
      <w:r w:rsidR="004949B5" w:rsidRPr="0007021A">
        <w:rPr>
          <w:rFonts w:ascii="Times New Roman" w:hAnsi="Times New Roman"/>
          <w:sz w:val="24"/>
          <w:szCs w:val="24"/>
        </w:rPr>
        <w:t>објави</w:t>
      </w:r>
      <w:r w:rsidR="00823027" w:rsidRPr="0007021A">
        <w:rPr>
          <w:rFonts w:ascii="Times New Roman" w:hAnsi="Times New Roman"/>
          <w:sz w:val="24"/>
          <w:szCs w:val="24"/>
        </w:rPr>
        <w:t xml:space="preserve"> </w:t>
      </w:r>
      <w:r w:rsidR="004949B5" w:rsidRPr="0007021A">
        <w:rPr>
          <w:rFonts w:ascii="Times New Roman" w:hAnsi="Times New Roman"/>
          <w:sz w:val="24"/>
          <w:szCs w:val="24"/>
        </w:rPr>
        <w:t>различите</w:t>
      </w:r>
      <w:r w:rsidR="00823027" w:rsidRPr="0007021A">
        <w:rPr>
          <w:rFonts w:ascii="Times New Roman" w:hAnsi="Times New Roman"/>
          <w:sz w:val="24"/>
          <w:szCs w:val="24"/>
        </w:rPr>
        <w:t xml:space="preserve"> </w:t>
      </w:r>
      <w:r w:rsidR="004949B5" w:rsidRPr="0007021A">
        <w:rPr>
          <w:rFonts w:ascii="Times New Roman" w:hAnsi="Times New Roman"/>
          <w:sz w:val="24"/>
          <w:szCs w:val="24"/>
        </w:rPr>
        <w:t>малопродајне</w:t>
      </w:r>
      <w:r w:rsidR="00823027" w:rsidRPr="0007021A">
        <w:rPr>
          <w:rFonts w:ascii="Times New Roman" w:hAnsi="Times New Roman"/>
          <w:sz w:val="24"/>
          <w:szCs w:val="24"/>
        </w:rPr>
        <w:t xml:space="preserve"> </w:t>
      </w:r>
      <w:r w:rsidR="004949B5" w:rsidRPr="0007021A">
        <w:rPr>
          <w:rFonts w:ascii="Times New Roman" w:hAnsi="Times New Roman"/>
          <w:sz w:val="24"/>
          <w:szCs w:val="24"/>
        </w:rPr>
        <w:t>цене</w:t>
      </w:r>
      <w:r w:rsidR="00823027" w:rsidRPr="0007021A">
        <w:rPr>
          <w:rFonts w:ascii="Times New Roman" w:hAnsi="Times New Roman"/>
          <w:sz w:val="24"/>
          <w:szCs w:val="24"/>
        </w:rPr>
        <w:t xml:space="preserve"> </w:t>
      </w:r>
      <w:r w:rsidR="004949B5" w:rsidRPr="0007021A">
        <w:rPr>
          <w:rFonts w:ascii="Times New Roman" w:hAnsi="Times New Roman"/>
          <w:sz w:val="24"/>
          <w:szCs w:val="24"/>
        </w:rPr>
        <w:t>дуванских</w:t>
      </w:r>
      <w:r w:rsidR="00823027" w:rsidRPr="0007021A">
        <w:rPr>
          <w:rFonts w:ascii="Times New Roman" w:hAnsi="Times New Roman"/>
          <w:sz w:val="24"/>
          <w:szCs w:val="24"/>
        </w:rPr>
        <w:t xml:space="preserve"> </w:t>
      </w:r>
      <w:r w:rsidR="004949B5" w:rsidRPr="0007021A">
        <w:rPr>
          <w:rFonts w:ascii="Times New Roman" w:hAnsi="Times New Roman"/>
          <w:sz w:val="24"/>
          <w:szCs w:val="24"/>
        </w:rPr>
        <w:t>прерађевина</w:t>
      </w:r>
      <w:r w:rsidR="00823027" w:rsidRPr="0007021A">
        <w:rPr>
          <w:rFonts w:ascii="Times New Roman" w:hAnsi="Times New Roman"/>
          <w:sz w:val="24"/>
          <w:szCs w:val="24"/>
        </w:rPr>
        <w:t xml:space="preserve"> </w:t>
      </w:r>
      <w:r w:rsidR="004949B5" w:rsidRPr="0007021A">
        <w:rPr>
          <w:rFonts w:ascii="Times New Roman" w:hAnsi="Times New Roman"/>
          <w:sz w:val="24"/>
          <w:szCs w:val="24"/>
        </w:rPr>
        <w:t>у</w:t>
      </w:r>
      <w:r w:rsidR="00823027" w:rsidRPr="0007021A">
        <w:rPr>
          <w:rFonts w:ascii="Times New Roman" w:hAnsi="Times New Roman"/>
          <w:sz w:val="24"/>
          <w:szCs w:val="24"/>
        </w:rPr>
        <w:t xml:space="preserve"> "</w:t>
      </w:r>
      <w:r w:rsidR="004949B5" w:rsidRPr="0007021A">
        <w:rPr>
          <w:rFonts w:ascii="Times New Roman" w:hAnsi="Times New Roman"/>
          <w:sz w:val="24"/>
          <w:szCs w:val="24"/>
        </w:rPr>
        <w:t>Службеном</w:t>
      </w:r>
      <w:r w:rsidR="00823027" w:rsidRPr="0007021A">
        <w:rPr>
          <w:rFonts w:ascii="Times New Roman" w:hAnsi="Times New Roman"/>
          <w:sz w:val="24"/>
          <w:szCs w:val="24"/>
        </w:rPr>
        <w:t xml:space="preserve"> </w:t>
      </w:r>
      <w:r w:rsidR="004949B5" w:rsidRPr="0007021A">
        <w:rPr>
          <w:rFonts w:ascii="Times New Roman" w:hAnsi="Times New Roman"/>
          <w:sz w:val="24"/>
          <w:szCs w:val="24"/>
        </w:rPr>
        <w:t>гласнику</w:t>
      </w:r>
      <w:r w:rsidR="00823027" w:rsidRPr="0007021A">
        <w:rPr>
          <w:rFonts w:ascii="Times New Roman" w:hAnsi="Times New Roman"/>
          <w:sz w:val="24"/>
          <w:szCs w:val="24"/>
        </w:rPr>
        <w:t xml:space="preserve"> </w:t>
      </w:r>
      <w:r w:rsidR="004949B5" w:rsidRPr="0007021A">
        <w:rPr>
          <w:rFonts w:ascii="Times New Roman" w:hAnsi="Times New Roman"/>
          <w:sz w:val="24"/>
          <w:szCs w:val="24"/>
        </w:rPr>
        <w:t>Републике</w:t>
      </w:r>
      <w:r w:rsidR="00823027" w:rsidRPr="0007021A">
        <w:rPr>
          <w:rFonts w:ascii="Times New Roman" w:hAnsi="Times New Roman"/>
          <w:sz w:val="24"/>
          <w:szCs w:val="24"/>
        </w:rPr>
        <w:t xml:space="preserve"> </w:t>
      </w:r>
      <w:r w:rsidR="004949B5" w:rsidRPr="0007021A">
        <w:rPr>
          <w:rFonts w:ascii="Times New Roman" w:hAnsi="Times New Roman"/>
          <w:sz w:val="24"/>
          <w:szCs w:val="24"/>
        </w:rPr>
        <w:t>Србије</w:t>
      </w:r>
      <w:r w:rsidR="00823027" w:rsidRPr="0007021A">
        <w:rPr>
          <w:rFonts w:ascii="Times New Roman" w:hAnsi="Times New Roman"/>
          <w:sz w:val="24"/>
          <w:szCs w:val="24"/>
        </w:rPr>
        <w:t xml:space="preserve">" </w:t>
      </w:r>
      <w:r w:rsidR="004949B5" w:rsidRPr="0007021A">
        <w:rPr>
          <w:rFonts w:ascii="Times New Roman" w:hAnsi="Times New Roman"/>
          <w:sz w:val="24"/>
          <w:szCs w:val="24"/>
        </w:rPr>
        <w:t>од</w:t>
      </w:r>
      <w:r w:rsidR="00823027" w:rsidRPr="0007021A">
        <w:rPr>
          <w:rFonts w:ascii="Times New Roman" w:hAnsi="Times New Roman"/>
          <w:sz w:val="24"/>
          <w:szCs w:val="24"/>
        </w:rPr>
        <w:t xml:space="preserve"> </w:t>
      </w:r>
      <w:r w:rsidR="004949B5" w:rsidRPr="0007021A">
        <w:rPr>
          <w:rFonts w:ascii="Times New Roman" w:hAnsi="Times New Roman"/>
          <w:sz w:val="24"/>
          <w:szCs w:val="24"/>
        </w:rPr>
        <w:t>цена</w:t>
      </w:r>
      <w:r w:rsidR="00823027" w:rsidRPr="0007021A">
        <w:rPr>
          <w:rFonts w:ascii="Times New Roman" w:hAnsi="Times New Roman"/>
          <w:sz w:val="24"/>
          <w:szCs w:val="24"/>
        </w:rPr>
        <w:t xml:space="preserve"> </w:t>
      </w:r>
      <w:r w:rsidR="004949B5" w:rsidRPr="0007021A">
        <w:rPr>
          <w:rFonts w:ascii="Times New Roman" w:hAnsi="Times New Roman"/>
          <w:sz w:val="24"/>
          <w:szCs w:val="24"/>
        </w:rPr>
        <w:t>пријављених</w:t>
      </w:r>
      <w:r w:rsidR="00823027" w:rsidRPr="0007021A">
        <w:rPr>
          <w:rFonts w:ascii="Times New Roman" w:hAnsi="Times New Roman"/>
          <w:sz w:val="24"/>
          <w:szCs w:val="24"/>
        </w:rPr>
        <w:t xml:space="preserve"> </w:t>
      </w:r>
      <w:r w:rsidR="004949B5" w:rsidRPr="0007021A">
        <w:rPr>
          <w:rFonts w:ascii="Times New Roman" w:hAnsi="Times New Roman"/>
          <w:sz w:val="24"/>
          <w:szCs w:val="24"/>
        </w:rPr>
        <w:t>Управи</w:t>
      </w:r>
      <w:r w:rsidR="00823027" w:rsidRPr="0007021A">
        <w:rPr>
          <w:rFonts w:ascii="Times New Roman" w:hAnsi="Times New Roman"/>
          <w:sz w:val="24"/>
          <w:szCs w:val="24"/>
        </w:rPr>
        <w:t xml:space="preserve"> (</w:t>
      </w:r>
      <w:r w:rsidR="004949B5" w:rsidRPr="0007021A">
        <w:rPr>
          <w:rFonts w:ascii="Times New Roman" w:hAnsi="Times New Roman"/>
          <w:sz w:val="24"/>
          <w:szCs w:val="24"/>
        </w:rPr>
        <w:t>члана</w:t>
      </w:r>
      <w:r w:rsidR="00823027" w:rsidRPr="0007021A">
        <w:rPr>
          <w:rFonts w:ascii="Times New Roman" w:hAnsi="Times New Roman"/>
          <w:sz w:val="24"/>
          <w:szCs w:val="24"/>
        </w:rPr>
        <w:t xml:space="preserve"> 40</w:t>
      </w:r>
      <w:r w:rsidR="004949B5" w:rsidRPr="0007021A">
        <w:rPr>
          <w:rFonts w:ascii="Times New Roman" w:hAnsi="Times New Roman"/>
          <w:sz w:val="24"/>
          <w:szCs w:val="24"/>
        </w:rPr>
        <w:t>ђ</w:t>
      </w:r>
      <w:r w:rsidR="00823027" w:rsidRPr="0007021A">
        <w:rPr>
          <w:rFonts w:ascii="Times New Roman" w:hAnsi="Times New Roman"/>
          <w:sz w:val="24"/>
          <w:szCs w:val="24"/>
        </w:rPr>
        <w:t>).</w:t>
      </w:r>
    </w:p>
    <w:p w:rsidR="00027DCA" w:rsidRPr="0007021A" w:rsidRDefault="004949B5" w:rsidP="0007021A">
      <w:pPr>
        <w:ind w:firstLine="708"/>
        <w:jc w:val="both"/>
        <w:rPr>
          <w:rFonts w:ascii="Times New Roman" w:hAnsi="Times New Roman"/>
          <w:sz w:val="24"/>
          <w:szCs w:val="24"/>
          <w:lang w:val="sr-Cyrl-CS"/>
        </w:rPr>
      </w:pPr>
      <w:bookmarkStart w:id="65" w:name="clan_44"/>
      <w:bookmarkEnd w:id="65"/>
      <w:r w:rsidRPr="0007021A">
        <w:rPr>
          <w:rFonts w:ascii="Times New Roman" w:hAnsi="Times New Roman"/>
          <w:sz w:val="24"/>
          <w:szCs w:val="24"/>
        </w:rPr>
        <w:t>Новчаном</w:t>
      </w:r>
      <w:r w:rsidR="00823027" w:rsidRPr="0007021A">
        <w:rPr>
          <w:rFonts w:ascii="Times New Roman" w:hAnsi="Times New Roman"/>
          <w:sz w:val="24"/>
          <w:szCs w:val="24"/>
        </w:rPr>
        <w:t xml:space="preserve"> </w:t>
      </w:r>
      <w:r w:rsidRPr="0007021A">
        <w:rPr>
          <w:rFonts w:ascii="Times New Roman" w:hAnsi="Times New Roman"/>
          <w:sz w:val="24"/>
          <w:szCs w:val="24"/>
        </w:rPr>
        <w:t>казном</w:t>
      </w:r>
      <w:r w:rsidR="00823027" w:rsidRPr="0007021A">
        <w:rPr>
          <w:rFonts w:ascii="Times New Roman" w:hAnsi="Times New Roman"/>
          <w:sz w:val="24"/>
          <w:szCs w:val="24"/>
        </w:rPr>
        <w:t xml:space="preserve"> </w:t>
      </w:r>
      <w:r w:rsidRPr="0007021A">
        <w:rPr>
          <w:rFonts w:ascii="Times New Roman" w:hAnsi="Times New Roman"/>
          <w:sz w:val="24"/>
          <w:szCs w:val="24"/>
        </w:rPr>
        <w:t>у</w:t>
      </w:r>
      <w:r w:rsidR="00823027" w:rsidRPr="0007021A">
        <w:rPr>
          <w:rFonts w:ascii="Times New Roman" w:hAnsi="Times New Roman"/>
          <w:sz w:val="24"/>
          <w:szCs w:val="24"/>
        </w:rPr>
        <w:t xml:space="preserve"> </w:t>
      </w:r>
      <w:r w:rsidRPr="0007021A">
        <w:rPr>
          <w:rFonts w:ascii="Times New Roman" w:hAnsi="Times New Roman"/>
          <w:sz w:val="24"/>
          <w:szCs w:val="24"/>
        </w:rPr>
        <w:t>висини</w:t>
      </w:r>
      <w:r w:rsidR="00823027" w:rsidRPr="0007021A">
        <w:rPr>
          <w:rFonts w:ascii="Times New Roman" w:hAnsi="Times New Roman"/>
          <w:sz w:val="24"/>
          <w:szCs w:val="24"/>
        </w:rPr>
        <w:t xml:space="preserve"> </w:t>
      </w:r>
      <w:r w:rsidRPr="0007021A">
        <w:rPr>
          <w:rFonts w:ascii="Times New Roman" w:hAnsi="Times New Roman"/>
          <w:sz w:val="24"/>
          <w:szCs w:val="24"/>
        </w:rPr>
        <w:t>од</w:t>
      </w:r>
      <w:r w:rsidR="00823027" w:rsidRPr="0007021A">
        <w:rPr>
          <w:rFonts w:ascii="Times New Roman" w:hAnsi="Times New Roman"/>
          <w:sz w:val="24"/>
          <w:szCs w:val="24"/>
        </w:rPr>
        <w:t xml:space="preserve"> </w:t>
      </w:r>
      <w:r w:rsidRPr="0007021A">
        <w:rPr>
          <w:rFonts w:ascii="Times New Roman" w:hAnsi="Times New Roman"/>
          <w:sz w:val="24"/>
          <w:szCs w:val="24"/>
        </w:rPr>
        <w:t>двоструког</w:t>
      </w:r>
      <w:r w:rsidR="00823027" w:rsidRPr="0007021A">
        <w:rPr>
          <w:rFonts w:ascii="Times New Roman" w:hAnsi="Times New Roman"/>
          <w:sz w:val="24"/>
          <w:szCs w:val="24"/>
        </w:rPr>
        <w:t xml:space="preserve"> </w:t>
      </w:r>
      <w:r w:rsidRPr="0007021A">
        <w:rPr>
          <w:rFonts w:ascii="Times New Roman" w:hAnsi="Times New Roman"/>
          <w:sz w:val="24"/>
          <w:szCs w:val="24"/>
        </w:rPr>
        <w:t>до</w:t>
      </w:r>
      <w:r w:rsidR="00823027" w:rsidRPr="0007021A">
        <w:rPr>
          <w:rFonts w:ascii="Times New Roman" w:hAnsi="Times New Roman"/>
          <w:sz w:val="24"/>
          <w:szCs w:val="24"/>
        </w:rPr>
        <w:t xml:space="preserve"> </w:t>
      </w:r>
      <w:r w:rsidRPr="0007021A">
        <w:rPr>
          <w:rFonts w:ascii="Times New Roman" w:hAnsi="Times New Roman"/>
          <w:sz w:val="24"/>
          <w:szCs w:val="24"/>
        </w:rPr>
        <w:t>десетоструког</w:t>
      </w:r>
      <w:r w:rsidR="00823027" w:rsidRPr="0007021A">
        <w:rPr>
          <w:rFonts w:ascii="Times New Roman" w:hAnsi="Times New Roman"/>
          <w:sz w:val="24"/>
          <w:szCs w:val="24"/>
        </w:rPr>
        <w:t xml:space="preserve"> </w:t>
      </w:r>
      <w:r w:rsidRPr="0007021A">
        <w:rPr>
          <w:rFonts w:ascii="Times New Roman" w:hAnsi="Times New Roman"/>
          <w:sz w:val="24"/>
          <w:szCs w:val="24"/>
        </w:rPr>
        <w:t>износа</w:t>
      </w:r>
      <w:r w:rsidR="00823027" w:rsidRPr="0007021A">
        <w:rPr>
          <w:rFonts w:ascii="Times New Roman" w:hAnsi="Times New Roman"/>
          <w:sz w:val="24"/>
          <w:szCs w:val="24"/>
        </w:rPr>
        <w:t xml:space="preserve"> </w:t>
      </w:r>
      <w:r w:rsidRPr="0007021A">
        <w:rPr>
          <w:rFonts w:ascii="Times New Roman" w:hAnsi="Times New Roman"/>
          <w:sz w:val="24"/>
          <w:szCs w:val="24"/>
        </w:rPr>
        <w:t>необрачунате</w:t>
      </w:r>
      <w:r w:rsidR="00823027" w:rsidRPr="0007021A">
        <w:rPr>
          <w:rFonts w:ascii="Times New Roman" w:hAnsi="Times New Roman"/>
          <w:sz w:val="24"/>
          <w:szCs w:val="24"/>
        </w:rPr>
        <w:t xml:space="preserve"> </w:t>
      </w:r>
      <w:r w:rsidRPr="0007021A">
        <w:rPr>
          <w:rFonts w:ascii="Times New Roman" w:hAnsi="Times New Roman"/>
          <w:sz w:val="24"/>
          <w:szCs w:val="24"/>
        </w:rPr>
        <w:t>акцизе</w:t>
      </w:r>
      <w:r w:rsidR="00823027" w:rsidRPr="0007021A">
        <w:rPr>
          <w:rFonts w:ascii="Times New Roman" w:hAnsi="Times New Roman"/>
          <w:sz w:val="24"/>
          <w:szCs w:val="24"/>
        </w:rPr>
        <w:t xml:space="preserve">, </w:t>
      </w:r>
      <w:r w:rsidRPr="0007021A">
        <w:rPr>
          <w:rFonts w:ascii="Times New Roman" w:hAnsi="Times New Roman"/>
          <w:sz w:val="24"/>
          <w:szCs w:val="24"/>
        </w:rPr>
        <w:t>а</w:t>
      </w:r>
      <w:r w:rsidR="00823027" w:rsidRPr="0007021A">
        <w:rPr>
          <w:rFonts w:ascii="Times New Roman" w:hAnsi="Times New Roman"/>
          <w:sz w:val="24"/>
          <w:szCs w:val="24"/>
        </w:rPr>
        <w:t xml:space="preserve"> </w:t>
      </w:r>
      <w:r w:rsidRPr="0007021A">
        <w:rPr>
          <w:rFonts w:ascii="Times New Roman" w:hAnsi="Times New Roman"/>
          <w:sz w:val="24"/>
          <w:szCs w:val="24"/>
        </w:rPr>
        <w:t>најмање</w:t>
      </w:r>
      <w:r w:rsidR="00823027" w:rsidRPr="0007021A">
        <w:rPr>
          <w:rFonts w:ascii="Times New Roman" w:hAnsi="Times New Roman"/>
          <w:sz w:val="24"/>
          <w:szCs w:val="24"/>
        </w:rPr>
        <w:t xml:space="preserve"> </w:t>
      </w:r>
      <w:r w:rsidRPr="0007021A">
        <w:rPr>
          <w:rFonts w:ascii="Times New Roman" w:hAnsi="Times New Roman"/>
          <w:sz w:val="24"/>
          <w:szCs w:val="24"/>
        </w:rPr>
        <w:t>у</w:t>
      </w:r>
      <w:r w:rsidR="00823027" w:rsidRPr="0007021A">
        <w:rPr>
          <w:rFonts w:ascii="Times New Roman" w:hAnsi="Times New Roman"/>
          <w:sz w:val="24"/>
          <w:szCs w:val="24"/>
        </w:rPr>
        <w:t xml:space="preserve"> </w:t>
      </w:r>
      <w:r w:rsidRPr="0007021A">
        <w:rPr>
          <w:rFonts w:ascii="Times New Roman" w:hAnsi="Times New Roman"/>
          <w:sz w:val="24"/>
          <w:szCs w:val="24"/>
        </w:rPr>
        <w:t>висини</w:t>
      </w:r>
      <w:r w:rsidR="00823027" w:rsidRPr="0007021A">
        <w:rPr>
          <w:rFonts w:ascii="Times New Roman" w:hAnsi="Times New Roman"/>
          <w:sz w:val="24"/>
          <w:szCs w:val="24"/>
        </w:rPr>
        <w:t xml:space="preserve"> </w:t>
      </w:r>
      <w:r w:rsidRPr="0007021A">
        <w:rPr>
          <w:rFonts w:ascii="Times New Roman" w:hAnsi="Times New Roman"/>
          <w:sz w:val="24"/>
          <w:szCs w:val="24"/>
        </w:rPr>
        <w:t>од</w:t>
      </w:r>
      <w:r w:rsidR="00823027" w:rsidRPr="0007021A">
        <w:rPr>
          <w:rFonts w:ascii="Times New Roman" w:hAnsi="Times New Roman"/>
          <w:sz w:val="24"/>
          <w:szCs w:val="24"/>
        </w:rPr>
        <w:t xml:space="preserve"> 75.000 </w:t>
      </w:r>
      <w:r w:rsidRPr="0007021A">
        <w:rPr>
          <w:rFonts w:ascii="Times New Roman" w:hAnsi="Times New Roman"/>
          <w:sz w:val="24"/>
          <w:szCs w:val="24"/>
        </w:rPr>
        <w:t>динара</w:t>
      </w:r>
      <w:r w:rsidR="00823027" w:rsidRPr="0007021A">
        <w:rPr>
          <w:rFonts w:ascii="Times New Roman" w:hAnsi="Times New Roman"/>
          <w:sz w:val="24"/>
          <w:szCs w:val="24"/>
        </w:rPr>
        <w:t xml:space="preserve">, </w:t>
      </w:r>
      <w:r w:rsidRPr="0007021A">
        <w:rPr>
          <w:rFonts w:ascii="Times New Roman" w:hAnsi="Times New Roman"/>
          <w:sz w:val="24"/>
          <w:szCs w:val="24"/>
        </w:rPr>
        <w:t>казниће</w:t>
      </w:r>
      <w:r w:rsidR="00823027" w:rsidRPr="0007021A">
        <w:rPr>
          <w:rFonts w:ascii="Times New Roman" w:hAnsi="Times New Roman"/>
          <w:sz w:val="24"/>
          <w:szCs w:val="24"/>
        </w:rPr>
        <w:t xml:space="preserve"> </w:t>
      </w:r>
      <w:r w:rsidRPr="0007021A">
        <w:rPr>
          <w:rFonts w:ascii="Times New Roman" w:hAnsi="Times New Roman"/>
          <w:sz w:val="24"/>
          <w:szCs w:val="24"/>
        </w:rPr>
        <w:t>се</w:t>
      </w:r>
      <w:r w:rsidR="00823027" w:rsidRPr="0007021A">
        <w:rPr>
          <w:rFonts w:ascii="Times New Roman" w:hAnsi="Times New Roman"/>
          <w:sz w:val="24"/>
          <w:szCs w:val="24"/>
        </w:rPr>
        <w:t xml:space="preserve"> </w:t>
      </w:r>
      <w:r w:rsidRPr="0007021A">
        <w:rPr>
          <w:rFonts w:ascii="Times New Roman" w:hAnsi="Times New Roman"/>
          <w:sz w:val="24"/>
          <w:szCs w:val="24"/>
        </w:rPr>
        <w:t>за</w:t>
      </w:r>
      <w:r w:rsidR="00823027" w:rsidRPr="0007021A">
        <w:rPr>
          <w:rFonts w:ascii="Times New Roman" w:hAnsi="Times New Roman"/>
          <w:sz w:val="24"/>
          <w:szCs w:val="24"/>
        </w:rPr>
        <w:t xml:space="preserve"> </w:t>
      </w:r>
      <w:r w:rsidRPr="0007021A">
        <w:rPr>
          <w:rFonts w:ascii="Times New Roman" w:hAnsi="Times New Roman"/>
          <w:sz w:val="24"/>
          <w:szCs w:val="24"/>
        </w:rPr>
        <w:t>прекршај</w:t>
      </w:r>
      <w:r w:rsidR="00823027" w:rsidRPr="0007021A">
        <w:rPr>
          <w:rFonts w:ascii="Times New Roman" w:hAnsi="Times New Roman"/>
          <w:sz w:val="24"/>
          <w:szCs w:val="24"/>
        </w:rPr>
        <w:t xml:space="preserve"> </w:t>
      </w:r>
      <w:r w:rsidRPr="0007021A">
        <w:rPr>
          <w:rFonts w:ascii="Times New Roman" w:hAnsi="Times New Roman"/>
          <w:sz w:val="24"/>
          <w:szCs w:val="24"/>
        </w:rPr>
        <w:t>обвезник</w:t>
      </w:r>
      <w:r w:rsidR="00823027" w:rsidRPr="0007021A">
        <w:rPr>
          <w:rFonts w:ascii="Times New Roman" w:hAnsi="Times New Roman"/>
          <w:sz w:val="24"/>
          <w:szCs w:val="24"/>
        </w:rPr>
        <w:t xml:space="preserve"> </w:t>
      </w:r>
      <w:r w:rsidRPr="0007021A">
        <w:rPr>
          <w:rFonts w:ascii="Times New Roman" w:hAnsi="Times New Roman"/>
          <w:sz w:val="24"/>
          <w:szCs w:val="24"/>
        </w:rPr>
        <w:t>акцизе</w:t>
      </w:r>
      <w:r w:rsidR="00823027" w:rsidRPr="0007021A">
        <w:rPr>
          <w:rFonts w:ascii="Times New Roman" w:hAnsi="Times New Roman"/>
          <w:sz w:val="24"/>
          <w:szCs w:val="24"/>
        </w:rPr>
        <w:t xml:space="preserve"> - </w:t>
      </w:r>
      <w:r w:rsidRPr="0007021A">
        <w:rPr>
          <w:rFonts w:ascii="Times New Roman" w:hAnsi="Times New Roman"/>
          <w:sz w:val="24"/>
          <w:szCs w:val="24"/>
        </w:rPr>
        <w:t>предузетник</w:t>
      </w:r>
      <w:r w:rsidR="00823027" w:rsidRPr="0007021A">
        <w:rPr>
          <w:rFonts w:ascii="Times New Roman" w:hAnsi="Times New Roman"/>
          <w:sz w:val="24"/>
          <w:szCs w:val="24"/>
        </w:rPr>
        <w:t xml:space="preserve"> </w:t>
      </w:r>
      <w:r w:rsidRPr="0007021A">
        <w:rPr>
          <w:rFonts w:ascii="Times New Roman" w:hAnsi="Times New Roman"/>
          <w:sz w:val="24"/>
          <w:szCs w:val="24"/>
        </w:rPr>
        <w:t>ако</w:t>
      </w:r>
      <w:r w:rsidR="00823027" w:rsidRPr="0007021A">
        <w:rPr>
          <w:rFonts w:ascii="Times New Roman" w:hAnsi="Times New Roman"/>
          <w:sz w:val="24"/>
          <w:szCs w:val="24"/>
        </w:rPr>
        <w:t xml:space="preserve"> </w:t>
      </w:r>
      <w:r w:rsidRPr="0007021A">
        <w:rPr>
          <w:rFonts w:ascii="Times New Roman" w:hAnsi="Times New Roman"/>
          <w:sz w:val="24"/>
          <w:szCs w:val="24"/>
        </w:rPr>
        <w:t>не</w:t>
      </w:r>
      <w:r w:rsidR="00823027" w:rsidRPr="0007021A">
        <w:rPr>
          <w:rFonts w:ascii="Times New Roman" w:hAnsi="Times New Roman"/>
          <w:sz w:val="24"/>
          <w:szCs w:val="24"/>
        </w:rPr>
        <w:t xml:space="preserve"> </w:t>
      </w:r>
      <w:r w:rsidRPr="0007021A">
        <w:rPr>
          <w:rFonts w:ascii="Times New Roman" w:hAnsi="Times New Roman"/>
          <w:sz w:val="24"/>
          <w:szCs w:val="24"/>
        </w:rPr>
        <w:t>обрачуна</w:t>
      </w:r>
      <w:r w:rsidR="00823027" w:rsidRPr="0007021A">
        <w:rPr>
          <w:rFonts w:ascii="Times New Roman" w:hAnsi="Times New Roman"/>
          <w:sz w:val="24"/>
          <w:szCs w:val="24"/>
        </w:rPr>
        <w:t xml:space="preserve"> </w:t>
      </w:r>
      <w:r w:rsidRPr="0007021A">
        <w:rPr>
          <w:rFonts w:ascii="Times New Roman" w:hAnsi="Times New Roman"/>
          <w:sz w:val="24"/>
          <w:szCs w:val="24"/>
        </w:rPr>
        <w:t>или</w:t>
      </w:r>
      <w:r w:rsidR="00823027" w:rsidRPr="0007021A">
        <w:rPr>
          <w:rFonts w:ascii="Times New Roman" w:hAnsi="Times New Roman"/>
          <w:sz w:val="24"/>
          <w:szCs w:val="24"/>
        </w:rPr>
        <w:t xml:space="preserve"> </w:t>
      </w:r>
      <w:r w:rsidRPr="0007021A">
        <w:rPr>
          <w:rFonts w:ascii="Times New Roman" w:hAnsi="Times New Roman"/>
          <w:sz w:val="24"/>
          <w:szCs w:val="24"/>
        </w:rPr>
        <w:t>обрачуна</w:t>
      </w:r>
      <w:r w:rsidR="00823027" w:rsidRPr="0007021A">
        <w:rPr>
          <w:rFonts w:ascii="Times New Roman" w:hAnsi="Times New Roman"/>
          <w:sz w:val="24"/>
          <w:szCs w:val="24"/>
        </w:rPr>
        <w:t xml:space="preserve"> </w:t>
      </w:r>
      <w:r w:rsidRPr="0007021A">
        <w:rPr>
          <w:rFonts w:ascii="Times New Roman" w:hAnsi="Times New Roman"/>
          <w:sz w:val="24"/>
          <w:szCs w:val="24"/>
        </w:rPr>
        <w:t>нетачно</w:t>
      </w:r>
      <w:r w:rsidR="00823027" w:rsidRPr="0007021A">
        <w:rPr>
          <w:rFonts w:ascii="Times New Roman" w:hAnsi="Times New Roman"/>
          <w:sz w:val="24"/>
          <w:szCs w:val="24"/>
        </w:rPr>
        <w:t xml:space="preserve"> </w:t>
      </w:r>
      <w:r w:rsidRPr="0007021A">
        <w:rPr>
          <w:rFonts w:ascii="Times New Roman" w:hAnsi="Times New Roman"/>
          <w:sz w:val="24"/>
          <w:szCs w:val="24"/>
        </w:rPr>
        <w:t>акцизу</w:t>
      </w:r>
      <w:r w:rsidR="00823027" w:rsidRPr="0007021A">
        <w:rPr>
          <w:rFonts w:ascii="Times New Roman" w:hAnsi="Times New Roman"/>
          <w:sz w:val="24"/>
          <w:szCs w:val="24"/>
        </w:rPr>
        <w:t xml:space="preserve"> (</w:t>
      </w:r>
      <w:r w:rsidRPr="0007021A">
        <w:rPr>
          <w:rFonts w:ascii="Times New Roman" w:hAnsi="Times New Roman"/>
          <w:sz w:val="24"/>
          <w:szCs w:val="24"/>
        </w:rPr>
        <w:t>члан</w:t>
      </w:r>
      <w:r w:rsidR="00823027" w:rsidRPr="0007021A">
        <w:rPr>
          <w:rFonts w:ascii="Times New Roman" w:hAnsi="Times New Roman"/>
          <w:sz w:val="24"/>
          <w:szCs w:val="24"/>
        </w:rPr>
        <w:t xml:space="preserve"> 21).</w:t>
      </w:r>
      <w:r w:rsidR="00027DCA" w:rsidRPr="0007021A">
        <w:rPr>
          <w:rFonts w:ascii="Times New Roman" w:hAnsi="Times New Roman"/>
          <w:sz w:val="24"/>
          <w:szCs w:val="24"/>
          <w:lang w:val="sr-Cyrl-CS"/>
        </w:rPr>
        <w:t xml:space="preserve"> </w:t>
      </w:r>
      <w:bookmarkStart w:id="66" w:name="clan_45"/>
      <w:bookmarkEnd w:id="66"/>
    </w:p>
    <w:p w:rsidR="00823027" w:rsidRPr="0007021A" w:rsidRDefault="004949B5" w:rsidP="0007021A">
      <w:pPr>
        <w:ind w:firstLine="630"/>
        <w:jc w:val="both"/>
        <w:rPr>
          <w:rFonts w:ascii="Times New Roman" w:hAnsi="Times New Roman"/>
          <w:sz w:val="24"/>
          <w:szCs w:val="24"/>
          <w:lang w:val="sr-Cyrl-CS"/>
        </w:rPr>
      </w:pPr>
      <w:r w:rsidRPr="0007021A">
        <w:rPr>
          <w:rFonts w:ascii="Times New Roman" w:hAnsi="Times New Roman"/>
          <w:sz w:val="24"/>
          <w:szCs w:val="24"/>
        </w:rPr>
        <w:t>Ако</w:t>
      </w:r>
      <w:r w:rsidR="00823027" w:rsidRPr="0007021A">
        <w:rPr>
          <w:rFonts w:ascii="Times New Roman" w:hAnsi="Times New Roman"/>
          <w:sz w:val="24"/>
          <w:szCs w:val="24"/>
        </w:rPr>
        <w:t xml:space="preserve"> </w:t>
      </w:r>
      <w:r w:rsidRPr="0007021A">
        <w:rPr>
          <w:rFonts w:ascii="Times New Roman" w:hAnsi="Times New Roman"/>
          <w:sz w:val="24"/>
          <w:szCs w:val="24"/>
        </w:rPr>
        <w:t>обвезник</w:t>
      </w:r>
      <w:r w:rsidR="00823027" w:rsidRPr="0007021A">
        <w:rPr>
          <w:rFonts w:ascii="Times New Roman" w:hAnsi="Times New Roman"/>
          <w:sz w:val="24"/>
          <w:szCs w:val="24"/>
        </w:rPr>
        <w:t xml:space="preserve"> </w:t>
      </w:r>
      <w:r w:rsidRPr="0007021A">
        <w:rPr>
          <w:rFonts w:ascii="Times New Roman" w:hAnsi="Times New Roman"/>
          <w:sz w:val="24"/>
          <w:szCs w:val="24"/>
        </w:rPr>
        <w:t>врши</w:t>
      </w:r>
      <w:r w:rsidR="00823027" w:rsidRPr="0007021A">
        <w:rPr>
          <w:rFonts w:ascii="Times New Roman" w:hAnsi="Times New Roman"/>
          <w:sz w:val="24"/>
          <w:szCs w:val="24"/>
        </w:rPr>
        <w:t xml:space="preserve"> </w:t>
      </w:r>
      <w:r w:rsidRPr="0007021A">
        <w:rPr>
          <w:rFonts w:ascii="Times New Roman" w:hAnsi="Times New Roman"/>
          <w:sz w:val="24"/>
          <w:szCs w:val="24"/>
        </w:rPr>
        <w:t>продају</w:t>
      </w:r>
      <w:r w:rsidR="00823027" w:rsidRPr="0007021A">
        <w:rPr>
          <w:rFonts w:ascii="Times New Roman" w:hAnsi="Times New Roman"/>
          <w:sz w:val="24"/>
          <w:szCs w:val="24"/>
        </w:rPr>
        <w:t xml:space="preserve"> </w:t>
      </w:r>
      <w:r w:rsidRPr="0007021A">
        <w:rPr>
          <w:rFonts w:ascii="Times New Roman" w:hAnsi="Times New Roman"/>
          <w:sz w:val="24"/>
          <w:szCs w:val="24"/>
        </w:rPr>
        <w:t>цигарета</w:t>
      </w:r>
      <w:r w:rsidR="00823027" w:rsidRPr="0007021A">
        <w:rPr>
          <w:rFonts w:ascii="Times New Roman" w:hAnsi="Times New Roman"/>
          <w:sz w:val="24"/>
          <w:szCs w:val="24"/>
        </w:rPr>
        <w:t xml:space="preserve"> </w:t>
      </w:r>
      <w:r w:rsidRPr="0007021A">
        <w:rPr>
          <w:rFonts w:ascii="Times New Roman" w:hAnsi="Times New Roman"/>
          <w:sz w:val="24"/>
          <w:szCs w:val="24"/>
        </w:rPr>
        <w:t>и</w:t>
      </w:r>
      <w:r w:rsidR="00823027" w:rsidRPr="0007021A">
        <w:rPr>
          <w:rFonts w:ascii="Times New Roman" w:hAnsi="Times New Roman"/>
          <w:sz w:val="24"/>
          <w:szCs w:val="24"/>
        </w:rPr>
        <w:t xml:space="preserve"> </w:t>
      </w:r>
      <w:r w:rsidRPr="0007021A">
        <w:rPr>
          <w:rFonts w:ascii="Times New Roman" w:hAnsi="Times New Roman"/>
          <w:sz w:val="24"/>
          <w:szCs w:val="24"/>
        </w:rPr>
        <w:t>алкохолних</w:t>
      </w:r>
      <w:r w:rsidR="00823027" w:rsidRPr="0007021A">
        <w:rPr>
          <w:rFonts w:ascii="Times New Roman" w:hAnsi="Times New Roman"/>
          <w:sz w:val="24"/>
          <w:szCs w:val="24"/>
        </w:rPr>
        <w:t xml:space="preserve"> </w:t>
      </w:r>
      <w:r w:rsidRPr="0007021A">
        <w:rPr>
          <w:rFonts w:ascii="Times New Roman" w:hAnsi="Times New Roman"/>
          <w:sz w:val="24"/>
          <w:szCs w:val="24"/>
        </w:rPr>
        <w:t>пића</w:t>
      </w:r>
      <w:r w:rsidR="00823027" w:rsidRPr="0007021A">
        <w:rPr>
          <w:rFonts w:ascii="Times New Roman" w:hAnsi="Times New Roman"/>
          <w:sz w:val="24"/>
          <w:szCs w:val="24"/>
        </w:rPr>
        <w:t xml:space="preserve"> </w:t>
      </w:r>
      <w:r w:rsidRPr="0007021A">
        <w:rPr>
          <w:rFonts w:ascii="Times New Roman" w:hAnsi="Times New Roman"/>
          <w:sz w:val="24"/>
          <w:szCs w:val="24"/>
        </w:rPr>
        <w:t>која</w:t>
      </w:r>
      <w:r w:rsidR="00823027" w:rsidRPr="0007021A">
        <w:rPr>
          <w:rFonts w:ascii="Times New Roman" w:hAnsi="Times New Roman"/>
          <w:sz w:val="24"/>
          <w:szCs w:val="24"/>
        </w:rPr>
        <w:t xml:space="preserve"> </w:t>
      </w:r>
      <w:r w:rsidRPr="0007021A">
        <w:rPr>
          <w:rFonts w:ascii="Times New Roman" w:hAnsi="Times New Roman"/>
          <w:sz w:val="24"/>
          <w:szCs w:val="24"/>
        </w:rPr>
        <w:t>нису</w:t>
      </w:r>
      <w:r w:rsidR="00823027" w:rsidRPr="0007021A">
        <w:rPr>
          <w:rFonts w:ascii="Times New Roman" w:hAnsi="Times New Roman"/>
          <w:sz w:val="24"/>
          <w:szCs w:val="24"/>
        </w:rPr>
        <w:t xml:space="preserve"> </w:t>
      </w:r>
      <w:r w:rsidRPr="0007021A">
        <w:rPr>
          <w:rFonts w:ascii="Times New Roman" w:hAnsi="Times New Roman"/>
          <w:sz w:val="24"/>
          <w:szCs w:val="24"/>
        </w:rPr>
        <w:t>посебно</w:t>
      </w:r>
      <w:r w:rsidR="00823027" w:rsidRPr="0007021A">
        <w:rPr>
          <w:rFonts w:ascii="Times New Roman" w:hAnsi="Times New Roman"/>
          <w:sz w:val="24"/>
          <w:szCs w:val="24"/>
        </w:rPr>
        <w:t xml:space="preserve"> </w:t>
      </w:r>
      <w:r w:rsidRPr="0007021A">
        <w:rPr>
          <w:rFonts w:ascii="Times New Roman" w:hAnsi="Times New Roman"/>
          <w:sz w:val="24"/>
          <w:szCs w:val="24"/>
        </w:rPr>
        <w:t>обележена</w:t>
      </w:r>
      <w:r w:rsidR="00823027" w:rsidRPr="0007021A">
        <w:rPr>
          <w:rFonts w:ascii="Times New Roman" w:hAnsi="Times New Roman"/>
          <w:sz w:val="24"/>
          <w:szCs w:val="24"/>
        </w:rPr>
        <w:t xml:space="preserve"> </w:t>
      </w:r>
      <w:r w:rsidRPr="0007021A">
        <w:rPr>
          <w:rFonts w:ascii="Times New Roman" w:hAnsi="Times New Roman"/>
          <w:sz w:val="24"/>
          <w:szCs w:val="24"/>
        </w:rPr>
        <w:t>контролним</w:t>
      </w:r>
      <w:r w:rsidR="00823027" w:rsidRPr="0007021A">
        <w:rPr>
          <w:rFonts w:ascii="Times New Roman" w:hAnsi="Times New Roman"/>
          <w:sz w:val="24"/>
          <w:szCs w:val="24"/>
        </w:rPr>
        <w:t xml:space="preserve"> </w:t>
      </w:r>
      <w:r w:rsidRPr="0007021A">
        <w:rPr>
          <w:rFonts w:ascii="Times New Roman" w:hAnsi="Times New Roman"/>
          <w:sz w:val="24"/>
          <w:szCs w:val="24"/>
        </w:rPr>
        <w:t>акцизним</w:t>
      </w:r>
      <w:r w:rsidR="00823027" w:rsidRPr="0007021A">
        <w:rPr>
          <w:rFonts w:ascii="Times New Roman" w:hAnsi="Times New Roman"/>
          <w:sz w:val="24"/>
          <w:szCs w:val="24"/>
        </w:rPr>
        <w:t xml:space="preserve"> </w:t>
      </w:r>
      <w:r w:rsidRPr="0007021A">
        <w:rPr>
          <w:rFonts w:ascii="Times New Roman" w:hAnsi="Times New Roman"/>
          <w:sz w:val="24"/>
          <w:szCs w:val="24"/>
        </w:rPr>
        <w:t>маркицама</w:t>
      </w:r>
      <w:r w:rsidR="00823027" w:rsidRPr="0007021A">
        <w:rPr>
          <w:rFonts w:ascii="Times New Roman" w:hAnsi="Times New Roman"/>
          <w:sz w:val="24"/>
          <w:szCs w:val="24"/>
        </w:rPr>
        <w:t xml:space="preserve"> </w:t>
      </w:r>
      <w:r w:rsidRPr="0007021A">
        <w:rPr>
          <w:rFonts w:ascii="Times New Roman" w:hAnsi="Times New Roman"/>
          <w:sz w:val="24"/>
          <w:szCs w:val="24"/>
        </w:rPr>
        <w:t>у</w:t>
      </w:r>
      <w:r w:rsidR="00823027" w:rsidRPr="0007021A">
        <w:rPr>
          <w:rFonts w:ascii="Times New Roman" w:hAnsi="Times New Roman"/>
          <w:sz w:val="24"/>
          <w:szCs w:val="24"/>
        </w:rPr>
        <w:t xml:space="preserve"> </w:t>
      </w:r>
      <w:r w:rsidRPr="0007021A">
        <w:rPr>
          <w:rFonts w:ascii="Times New Roman" w:hAnsi="Times New Roman"/>
          <w:sz w:val="24"/>
          <w:szCs w:val="24"/>
        </w:rPr>
        <w:t>складу</w:t>
      </w:r>
      <w:r w:rsidR="00823027" w:rsidRPr="0007021A">
        <w:rPr>
          <w:rFonts w:ascii="Times New Roman" w:hAnsi="Times New Roman"/>
          <w:sz w:val="24"/>
          <w:szCs w:val="24"/>
        </w:rPr>
        <w:t xml:space="preserve"> </w:t>
      </w:r>
      <w:r w:rsidRPr="0007021A">
        <w:rPr>
          <w:rFonts w:ascii="Times New Roman" w:hAnsi="Times New Roman"/>
          <w:sz w:val="24"/>
          <w:szCs w:val="24"/>
        </w:rPr>
        <w:t>са</w:t>
      </w:r>
      <w:r w:rsidR="00823027" w:rsidRPr="0007021A">
        <w:rPr>
          <w:rFonts w:ascii="Times New Roman" w:hAnsi="Times New Roman"/>
          <w:sz w:val="24"/>
          <w:szCs w:val="24"/>
        </w:rPr>
        <w:t xml:space="preserve"> </w:t>
      </w:r>
      <w:r w:rsidRPr="0007021A">
        <w:rPr>
          <w:rFonts w:ascii="Times New Roman" w:hAnsi="Times New Roman"/>
          <w:sz w:val="24"/>
          <w:szCs w:val="24"/>
        </w:rPr>
        <w:t>одредбама</w:t>
      </w:r>
      <w:r w:rsidR="00823027" w:rsidRPr="0007021A">
        <w:rPr>
          <w:rFonts w:ascii="Times New Roman" w:hAnsi="Times New Roman"/>
          <w:sz w:val="24"/>
          <w:szCs w:val="24"/>
        </w:rPr>
        <w:t xml:space="preserve"> </w:t>
      </w:r>
      <w:r w:rsidRPr="0007021A">
        <w:rPr>
          <w:rFonts w:ascii="Times New Roman" w:hAnsi="Times New Roman"/>
          <w:sz w:val="24"/>
          <w:szCs w:val="24"/>
        </w:rPr>
        <w:t>члана</w:t>
      </w:r>
      <w:r w:rsidR="00823027" w:rsidRPr="0007021A">
        <w:rPr>
          <w:rFonts w:ascii="Times New Roman" w:hAnsi="Times New Roman"/>
          <w:sz w:val="24"/>
          <w:szCs w:val="24"/>
        </w:rPr>
        <w:t xml:space="preserve"> 18. </w:t>
      </w:r>
      <w:r w:rsidRPr="0007021A">
        <w:rPr>
          <w:rFonts w:ascii="Times New Roman" w:hAnsi="Times New Roman"/>
          <w:sz w:val="24"/>
          <w:szCs w:val="24"/>
        </w:rPr>
        <w:t>овог</w:t>
      </w:r>
      <w:r w:rsidR="00823027" w:rsidRPr="0007021A">
        <w:rPr>
          <w:rFonts w:ascii="Times New Roman" w:hAnsi="Times New Roman"/>
          <w:sz w:val="24"/>
          <w:szCs w:val="24"/>
        </w:rPr>
        <w:t xml:space="preserve"> </w:t>
      </w:r>
      <w:r w:rsidRPr="0007021A">
        <w:rPr>
          <w:rFonts w:ascii="Times New Roman" w:hAnsi="Times New Roman"/>
          <w:sz w:val="24"/>
          <w:szCs w:val="24"/>
        </w:rPr>
        <w:t>закона</w:t>
      </w:r>
      <w:r w:rsidR="00823027" w:rsidRPr="0007021A">
        <w:rPr>
          <w:rFonts w:ascii="Times New Roman" w:hAnsi="Times New Roman"/>
          <w:sz w:val="24"/>
          <w:szCs w:val="24"/>
        </w:rPr>
        <w:t xml:space="preserve">, </w:t>
      </w:r>
      <w:r w:rsidRPr="0007021A">
        <w:rPr>
          <w:rFonts w:ascii="Times New Roman" w:hAnsi="Times New Roman"/>
          <w:sz w:val="24"/>
          <w:szCs w:val="24"/>
        </w:rPr>
        <w:t>може</w:t>
      </w:r>
      <w:r w:rsidR="00823027" w:rsidRPr="0007021A">
        <w:rPr>
          <w:rFonts w:ascii="Times New Roman" w:hAnsi="Times New Roman"/>
          <w:sz w:val="24"/>
          <w:szCs w:val="24"/>
        </w:rPr>
        <w:t xml:space="preserve"> </w:t>
      </w:r>
      <w:r w:rsidRPr="0007021A">
        <w:rPr>
          <w:rFonts w:ascii="Times New Roman" w:hAnsi="Times New Roman"/>
          <w:sz w:val="24"/>
          <w:szCs w:val="24"/>
        </w:rPr>
        <w:t>се</w:t>
      </w:r>
      <w:r w:rsidR="00823027" w:rsidRPr="0007021A">
        <w:rPr>
          <w:rFonts w:ascii="Times New Roman" w:hAnsi="Times New Roman"/>
          <w:sz w:val="24"/>
          <w:szCs w:val="24"/>
        </w:rPr>
        <w:t xml:space="preserve"> </w:t>
      </w:r>
      <w:r w:rsidRPr="0007021A">
        <w:rPr>
          <w:rFonts w:ascii="Times New Roman" w:hAnsi="Times New Roman"/>
          <w:sz w:val="24"/>
          <w:szCs w:val="24"/>
        </w:rPr>
        <w:t>изрећи</w:t>
      </w:r>
      <w:r w:rsidR="00823027" w:rsidRPr="0007021A">
        <w:rPr>
          <w:rFonts w:ascii="Times New Roman" w:hAnsi="Times New Roman"/>
          <w:sz w:val="24"/>
          <w:szCs w:val="24"/>
        </w:rPr>
        <w:t xml:space="preserve"> </w:t>
      </w:r>
      <w:r w:rsidRPr="0007021A">
        <w:rPr>
          <w:rFonts w:ascii="Times New Roman" w:hAnsi="Times New Roman"/>
          <w:sz w:val="24"/>
          <w:szCs w:val="24"/>
        </w:rPr>
        <w:t>заштитна</w:t>
      </w:r>
      <w:r w:rsidR="00823027" w:rsidRPr="0007021A">
        <w:rPr>
          <w:rFonts w:ascii="Times New Roman" w:hAnsi="Times New Roman"/>
          <w:sz w:val="24"/>
          <w:szCs w:val="24"/>
        </w:rPr>
        <w:t xml:space="preserve"> </w:t>
      </w:r>
      <w:r w:rsidRPr="0007021A">
        <w:rPr>
          <w:rFonts w:ascii="Times New Roman" w:hAnsi="Times New Roman"/>
          <w:sz w:val="24"/>
          <w:szCs w:val="24"/>
        </w:rPr>
        <w:t>мера</w:t>
      </w:r>
      <w:r w:rsidR="00823027" w:rsidRPr="0007021A">
        <w:rPr>
          <w:rFonts w:ascii="Times New Roman" w:hAnsi="Times New Roman"/>
          <w:sz w:val="24"/>
          <w:szCs w:val="24"/>
        </w:rPr>
        <w:t xml:space="preserve"> - </w:t>
      </w:r>
      <w:r w:rsidRPr="0007021A">
        <w:rPr>
          <w:rFonts w:ascii="Times New Roman" w:hAnsi="Times New Roman"/>
          <w:sz w:val="24"/>
          <w:szCs w:val="24"/>
        </w:rPr>
        <w:t>забране</w:t>
      </w:r>
      <w:r w:rsidR="00823027" w:rsidRPr="0007021A">
        <w:rPr>
          <w:rFonts w:ascii="Times New Roman" w:hAnsi="Times New Roman"/>
          <w:sz w:val="24"/>
          <w:szCs w:val="24"/>
        </w:rPr>
        <w:t xml:space="preserve"> </w:t>
      </w:r>
      <w:r w:rsidRPr="0007021A">
        <w:rPr>
          <w:rFonts w:ascii="Times New Roman" w:hAnsi="Times New Roman"/>
          <w:sz w:val="24"/>
          <w:szCs w:val="24"/>
        </w:rPr>
        <w:t>обављања</w:t>
      </w:r>
      <w:r w:rsidR="00823027" w:rsidRPr="0007021A">
        <w:rPr>
          <w:rFonts w:ascii="Times New Roman" w:hAnsi="Times New Roman"/>
          <w:sz w:val="24"/>
          <w:szCs w:val="24"/>
        </w:rPr>
        <w:t xml:space="preserve"> </w:t>
      </w:r>
      <w:r w:rsidRPr="0007021A">
        <w:rPr>
          <w:rFonts w:ascii="Times New Roman" w:hAnsi="Times New Roman"/>
          <w:sz w:val="24"/>
          <w:szCs w:val="24"/>
        </w:rPr>
        <w:t>делатности</w:t>
      </w:r>
      <w:r w:rsidR="00823027" w:rsidRPr="0007021A">
        <w:rPr>
          <w:rFonts w:ascii="Times New Roman" w:hAnsi="Times New Roman"/>
          <w:sz w:val="24"/>
          <w:szCs w:val="24"/>
        </w:rPr>
        <w:t xml:space="preserve"> </w:t>
      </w:r>
      <w:r w:rsidRPr="0007021A">
        <w:rPr>
          <w:rFonts w:ascii="Times New Roman" w:hAnsi="Times New Roman"/>
          <w:sz w:val="24"/>
          <w:szCs w:val="24"/>
        </w:rPr>
        <w:t>за</w:t>
      </w:r>
      <w:r w:rsidR="00823027" w:rsidRPr="0007021A">
        <w:rPr>
          <w:rFonts w:ascii="Times New Roman" w:hAnsi="Times New Roman"/>
          <w:sz w:val="24"/>
          <w:szCs w:val="24"/>
        </w:rPr>
        <w:t xml:space="preserve"> </w:t>
      </w:r>
      <w:r w:rsidRPr="0007021A">
        <w:rPr>
          <w:rFonts w:ascii="Times New Roman" w:hAnsi="Times New Roman"/>
          <w:sz w:val="24"/>
          <w:szCs w:val="24"/>
        </w:rPr>
        <w:t>правно</w:t>
      </w:r>
      <w:r w:rsidR="00823027" w:rsidRPr="0007021A">
        <w:rPr>
          <w:rFonts w:ascii="Times New Roman" w:hAnsi="Times New Roman"/>
          <w:sz w:val="24"/>
          <w:szCs w:val="24"/>
        </w:rPr>
        <w:t xml:space="preserve"> </w:t>
      </w:r>
      <w:r w:rsidRPr="0007021A">
        <w:rPr>
          <w:rFonts w:ascii="Times New Roman" w:hAnsi="Times New Roman"/>
          <w:sz w:val="24"/>
          <w:szCs w:val="24"/>
        </w:rPr>
        <w:t>лице</w:t>
      </w:r>
      <w:r w:rsidR="00823027" w:rsidRPr="0007021A">
        <w:rPr>
          <w:rFonts w:ascii="Times New Roman" w:hAnsi="Times New Roman"/>
          <w:sz w:val="24"/>
          <w:szCs w:val="24"/>
        </w:rPr>
        <w:t xml:space="preserve"> </w:t>
      </w:r>
      <w:r w:rsidRPr="0007021A">
        <w:rPr>
          <w:rFonts w:ascii="Times New Roman" w:hAnsi="Times New Roman"/>
          <w:sz w:val="24"/>
          <w:szCs w:val="24"/>
        </w:rPr>
        <w:t>у</w:t>
      </w:r>
      <w:r w:rsidR="00823027" w:rsidRPr="0007021A">
        <w:rPr>
          <w:rFonts w:ascii="Times New Roman" w:hAnsi="Times New Roman"/>
          <w:sz w:val="24"/>
          <w:szCs w:val="24"/>
        </w:rPr>
        <w:t xml:space="preserve"> </w:t>
      </w:r>
      <w:r w:rsidRPr="0007021A">
        <w:rPr>
          <w:rFonts w:ascii="Times New Roman" w:hAnsi="Times New Roman"/>
          <w:sz w:val="24"/>
          <w:szCs w:val="24"/>
        </w:rPr>
        <w:t>трајању</w:t>
      </w:r>
      <w:r w:rsidR="00823027" w:rsidRPr="0007021A">
        <w:rPr>
          <w:rFonts w:ascii="Times New Roman" w:hAnsi="Times New Roman"/>
          <w:sz w:val="24"/>
          <w:szCs w:val="24"/>
        </w:rPr>
        <w:t xml:space="preserve"> </w:t>
      </w:r>
      <w:r w:rsidRPr="0007021A">
        <w:rPr>
          <w:rFonts w:ascii="Times New Roman" w:hAnsi="Times New Roman"/>
          <w:sz w:val="24"/>
          <w:szCs w:val="24"/>
        </w:rPr>
        <w:t>од</w:t>
      </w:r>
      <w:r w:rsidR="00823027" w:rsidRPr="0007021A">
        <w:rPr>
          <w:rFonts w:ascii="Times New Roman" w:hAnsi="Times New Roman"/>
          <w:sz w:val="24"/>
          <w:szCs w:val="24"/>
        </w:rPr>
        <w:t xml:space="preserve"> </w:t>
      </w:r>
      <w:r w:rsidRPr="0007021A">
        <w:rPr>
          <w:rFonts w:ascii="Times New Roman" w:hAnsi="Times New Roman"/>
          <w:sz w:val="24"/>
          <w:szCs w:val="24"/>
        </w:rPr>
        <w:t>три</w:t>
      </w:r>
      <w:r w:rsidR="00823027" w:rsidRPr="0007021A">
        <w:rPr>
          <w:rFonts w:ascii="Times New Roman" w:hAnsi="Times New Roman"/>
          <w:sz w:val="24"/>
          <w:szCs w:val="24"/>
        </w:rPr>
        <w:t xml:space="preserve"> </w:t>
      </w:r>
      <w:r w:rsidRPr="0007021A">
        <w:rPr>
          <w:rFonts w:ascii="Times New Roman" w:hAnsi="Times New Roman"/>
          <w:sz w:val="24"/>
          <w:szCs w:val="24"/>
        </w:rPr>
        <w:t>месеца</w:t>
      </w:r>
      <w:r w:rsidR="00823027" w:rsidRPr="0007021A">
        <w:rPr>
          <w:rFonts w:ascii="Times New Roman" w:hAnsi="Times New Roman"/>
          <w:sz w:val="24"/>
          <w:szCs w:val="24"/>
        </w:rPr>
        <w:t xml:space="preserve"> </w:t>
      </w:r>
      <w:r w:rsidRPr="0007021A">
        <w:rPr>
          <w:rFonts w:ascii="Times New Roman" w:hAnsi="Times New Roman"/>
          <w:sz w:val="24"/>
          <w:szCs w:val="24"/>
        </w:rPr>
        <w:t>до</w:t>
      </w:r>
      <w:r w:rsidR="00823027" w:rsidRPr="0007021A">
        <w:rPr>
          <w:rFonts w:ascii="Times New Roman" w:hAnsi="Times New Roman"/>
          <w:sz w:val="24"/>
          <w:szCs w:val="24"/>
        </w:rPr>
        <w:t xml:space="preserve"> </w:t>
      </w:r>
      <w:r w:rsidRPr="0007021A">
        <w:rPr>
          <w:rFonts w:ascii="Times New Roman" w:hAnsi="Times New Roman"/>
          <w:sz w:val="24"/>
          <w:szCs w:val="24"/>
        </w:rPr>
        <w:t>једне</w:t>
      </w:r>
      <w:r w:rsidR="00823027" w:rsidRPr="0007021A">
        <w:rPr>
          <w:rFonts w:ascii="Times New Roman" w:hAnsi="Times New Roman"/>
          <w:sz w:val="24"/>
          <w:szCs w:val="24"/>
        </w:rPr>
        <w:t xml:space="preserve"> </w:t>
      </w:r>
      <w:r w:rsidRPr="0007021A">
        <w:rPr>
          <w:rFonts w:ascii="Times New Roman" w:hAnsi="Times New Roman"/>
          <w:sz w:val="24"/>
          <w:szCs w:val="24"/>
        </w:rPr>
        <w:t>године</w:t>
      </w:r>
      <w:r w:rsidR="00823027" w:rsidRPr="0007021A">
        <w:rPr>
          <w:rFonts w:ascii="Times New Roman" w:hAnsi="Times New Roman"/>
          <w:sz w:val="24"/>
          <w:szCs w:val="24"/>
        </w:rPr>
        <w:t xml:space="preserve">, </w:t>
      </w:r>
      <w:r w:rsidRPr="0007021A">
        <w:rPr>
          <w:rFonts w:ascii="Times New Roman" w:hAnsi="Times New Roman"/>
          <w:sz w:val="24"/>
          <w:szCs w:val="24"/>
        </w:rPr>
        <w:t>а</w:t>
      </w:r>
      <w:r w:rsidR="00823027" w:rsidRPr="0007021A">
        <w:rPr>
          <w:rFonts w:ascii="Times New Roman" w:hAnsi="Times New Roman"/>
          <w:sz w:val="24"/>
          <w:szCs w:val="24"/>
        </w:rPr>
        <w:t xml:space="preserve"> </w:t>
      </w:r>
      <w:r w:rsidRPr="0007021A">
        <w:rPr>
          <w:rFonts w:ascii="Times New Roman" w:hAnsi="Times New Roman"/>
          <w:sz w:val="24"/>
          <w:szCs w:val="24"/>
        </w:rPr>
        <w:t>за</w:t>
      </w:r>
      <w:r w:rsidR="00823027" w:rsidRPr="0007021A">
        <w:rPr>
          <w:rFonts w:ascii="Times New Roman" w:hAnsi="Times New Roman"/>
          <w:sz w:val="24"/>
          <w:szCs w:val="24"/>
        </w:rPr>
        <w:t xml:space="preserve"> </w:t>
      </w:r>
      <w:r w:rsidRPr="0007021A">
        <w:rPr>
          <w:rFonts w:ascii="Times New Roman" w:hAnsi="Times New Roman"/>
          <w:sz w:val="24"/>
          <w:szCs w:val="24"/>
        </w:rPr>
        <w:t>предузетника</w:t>
      </w:r>
      <w:r w:rsidR="00823027" w:rsidRPr="0007021A">
        <w:rPr>
          <w:rFonts w:ascii="Times New Roman" w:hAnsi="Times New Roman"/>
          <w:sz w:val="24"/>
          <w:szCs w:val="24"/>
        </w:rPr>
        <w:t xml:space="preserve"> </w:t>
      </w:r>
      <w:r w:rsidRPr="0007021A">
        <w:rPr>
          <w:rFonts w:ascii="Times New Roman" w:hAnsi="Times New Roman"/>
          <w:sz w:val="24"/>
          <w:szCs w:val="24"/>
        </w:rPr>
        <w:t>у</w:t>
      </w:r>
      <w:r w:rsidR="00823027" w:rsidRPr="0007021A">
        <w:rPr>
          <w:rFonts w:ascii="Times New Roman" w:hAnsi="Times New Roman"/>
          <w:sz w:val="24"/>
          <w:szCs w:val="24"/>
        </w:rPr>
        <w:t xml:space="preserve"> </w:t>
      </w:r>
      <w:r w:rsidRPr="0007021A">
        <w:rPr>
          <w:rFonts w:ascii="Times New Roman" w:hAnsi="Times New Roman"/>
          <w:sz w:val="24"/>
          <w:szCs w:val="24"/>
        </w:rPr>
        <w:t>трајању</w:t>
      </w:r>
      <w:r w:rsidR="00823027" w:rsidRPr="0007021A">
        <w:rPr>
          <w:rFonts w:ascii="Times New Roman" w:hAnsi="Times New Roman"/>
          <w:sz w:val="24"/>
          <w:szCs w:val="24"/>
        </w:rPr>
        <w:t xml:space="preserve"> </w:t>
      </w:r>
      <w:r w:rsidRPr="0007021A">
        <w:rPr>
          <w:rFonts w:ascii="Times New Roman" w:hAnsi="Times New Roman"/>
          <w:sz w:val="24"/>
          <w:szCs w:val="24"/>
        </w:rPr>
        <w:t>од</w:t>
      </w:r>
      <w:r w:rsidR="00823027" w:rsidRPr="0007021A">
        <w:rPr>
          <w:rFonts w:ascii="Times New Roman" w:hAnsi="Times New Roman"/>
          <w:sz w:val="24"/>
          <w:szCs w:val="24"/>
        </w:rPr>
        <w:t xml:space="preserve"> </w:t>
      </w:r>
      <w:r w:rsidRPr="0007021A">
        <w:rPr>
          <w:rFonts w:ascii="Times New Roman" w:hAnsi="Times New Roman"/>
          <w:sz w:val="24"/>
          <w:szCs w:val="24"/>
        </w:rPr>
        <w:t>шест</w:t>
      </w:r>
      <w:r w:rsidR="00823027" w:rsidRPr="0007021A">
        <w:rPr>
          <w:rFonts w:ascii="Times New Roman" w:hAnsi="Times New Roman"/>
          <w:sz w:val="24"/>
          <w:szCs w:val="24"/>
        </w:rPr>
        <w:t xml:space="preserve"> </w:t>
      </w:r>
      <w:r w:rsidRPr="0007021A">
        <w:rPr>
          <w:rFonts w:ascii="Times New Roman" w:hAnsi="Times New Roman"/>
          <w:sz w:val="24"/>
          <w:szCs w:val="24"/>
        </w:rPr>
        <w:t>месеци</w:t>
      </w:r>
      <w:r w:rsidR="00823027" w:rsidRPr="0007021A">
        <w:rPr>
          <w:rFonts w:ascii="Times New Roman" w:hAnsi="Times New Roman"/>
          <w:sz w:val="24"/>
          <w:szCs w:val="24"/>
        </w:rPr>
        <w:t xml:space="preserve"> </w:t>
      </w:r>
      <w:r w:rsidRPr="0007021A">
        <w:rPr>
          <w:rFonts w:ascii="Times New Roman" w:hAnsi="Times New Roman"/>
          <w:sz w:val="24"/>
          <w:szCs w:val="24"/>
        </w:rPr>
        <w:t>до</w:t>
      </w:r>
      <w:r w:rsidR="00823027" w:rsidRPr="0007021A">
        <w:rPr>
          <w:rFonts w:ascii="Times New Roman" w:hAnsi="Times New Roman"/>
          <w:sz w:val="24"/>
          <w:szCs w:val="24"/>
        </w:rPr>
        <w:t xml:space="preserve"> </w:t>
      </w:r>
      <w:r w:rsidRPr="0007021A">
        <w:rPr>
          <w:rFonts w:ascii="Times New Roman" w:hAnsi="Times New Roman"/>
          <w:sz w:val="24"/>
          <w:szCs w:val="24"/>
        </w:rPr>
        <w:t>три</w:t>
      </w:r>
      <w:r w:rsidR="00823027" w:rsidRPr="0007021A">
        <w:rPr>
          <w:rFonts w:ascii="Times New Roman" w:hAnsi="Times New Roman"/>
          <w:sz w:val="24"/>
          <w:szCs w:val="24"/>
        </w:rPr>
        <w:t xml:space="preserve"> </w:t>
      </w:r>
      <w:r w:rsidRPr="0007021A">
        <w:rPr>
          <w:rFonts w:ascii="Times New Roman" w:hAnsi="Times New Roman"/>
          <w:sz w:val="24"/>
          <w:szCs w:val="24"/>
        </w:rPr>
        <w:t>године</w:t>
      </w:r>
      <w:r w:rsidR="00823027" w:rsidRPr="0007021A">
        <w:rPr>
          <w:rFonts w:ascii="Times New Roman" w:hAnsi="Times New Roman"/>
          <w:sz w:val="24"/>
          <w:szCs w:val="24"/>
        </w:rPr>
        <w:t>.</w:t>
      </w:r>
      <w:r w:rsidR="00027DCA" w:rsidRPr="0007021A">
        <w:rPr>
          <w:rFonts w:ascii="Times New Roman" w:hAnsi="Times New Roman"/>
          <w:sz w:val="24"/>
          <w:szCs w:val="24"/>
          <w:lang w:val="sr-Cyrl-CS"/>
        </w:rPr>
        <w:t xml:space="preserve"> </w:t>
      </w:r>
    </w:p>
    <w:p w:rsidR="00FF3E8B" w:rsidRDefault="00FF3E8B" w:rsidP="00C73790">
      <w:pPr>
        <w:jc w:val="both"/>
        <w:rPr>
          <w:rFonts w:ascii="Times New Roman" w:hAnsi="Times New Roman"/>
          <w:b/>
          <w:sz w:val="24"/>
          <w:szCs w:val="24"/>
          <w:lang w:val="sr-Cyrl-CS"/>
        </w:rPr>
      </w:pPr>
    </w:p>
    <w:p w:rsidR="0007021A" w:rsidRDefault="0007021A" w:rsidP="00C73790">
      <w:pPr>
        <w:jc w:val="both"/>
        <w:rPr>
          <w:rFonts w:ascii="Times New Roman" w:hAnsi="Times New Roman"/>
          <w:b/>
          <w:sz w:val="24"/>
          <w:szCs w:val="24"/>
          <w:lang w:val="sr-Cyrl-CS"/>
        </w:rPr>
      </w:pPr>
    </w:p>
    <w:p w:rsidR="0007021A" w:rsidRDefault="0007021A" w:rsidP="00C73790">
      <w:pPr>
        <w:jc w:val="both"/>
        <w:rPr>
          <w:rFonts w:ascii="Times New Roman" w:hAnsi="Times New Roman"/>
          <w:b/>
          <w:sz w:val="24"/>
          <w:szCs w:val="24"/>
          <w:lang w:val="sr-Cyrl-CS"/>
        </w:rPr>
      </w:pPr>
    </w:p>
    <w:p w:rsidR="0007021A" w:rsidRDefault="0007021A" w:rsidP="00C73790">
      <w:pPr>
        <w:jc w:val="both"/>
        <w:rPr>
          <w:rFonts w:ascii="Times New Roman" w:hAnsi="Times New Roman"/>
          <w:b/>
          <w:sz w:val="24"/>
          <w:szCs w:val="24"/>
          <w:lang w:val="sr-Cyrl-CS"/>
        </w:rPr>
      </w:pPr>
    </w:p>
    <w:p w:rsidR="0007021A" w:rsidRDefault="0007021A" w:rsidP="00C73790">
      <w:pPr>
        <w:jc w:val="both"/>
        <w:rPr>
          <w:rFonts w:ascii="Times New Roman" w:hAnsi="Times New Roman"/>
          <w:b/>
          <w:sz w:val="24"/>
          <w:szCs w:val="24"/>
          <w:lang w:val="sr-Cyrl-CS"/>
        </w:rPr>
      </w:pPr>
    </w:p>
    <w:p w:rsidR="0007021A" w:rsidRPr="0007021A" w:rsidRDefault="0007021A" w:rsidP="00C73790">
      <w:pPr>
        <w:jc w:val="both"/>
        <w:rPr>
          <w:rFonts w:ascii="Times New Roman" w:hAnsi="Times New Roman"/>
          <w:b/>
          <w:sz w:val="24"/>
          <w:szCs w:val="24"/>
          <w:lang w:val="sr-Cyrl-CS"/>
        </w:rPr>
      </w:pPr>
    </w:p>
    <w:p w:rsidR="002B6E12" w:rsidRDefault="002B6E12" w:rsidP="002B6E12">
      <w:pPr>
        <w:ind w:left="630"/>
        <w:jc w:val="center"/>
        <w:rPr>
          <w:rFonts w:ascii="Times New Roman" w:hAnsi="Times New Roman"/>
          <w:b/>
          <w:sz w:val="24"/>
          <w:szCs w:val="24"/>
          <w:lang w:val="sr-Cyrl-CS"/>
        </w:rPr>
      </w:pPr>
      <w:r>
        <w:rPr>
          <w:rFonts w:ascii="Times New Roman" w:hAnsi="Times New Roman"/>
          <w:b/>
          <w:sz w:val="24"/>
          <w:szCs w:val="24"/>
          <w:lang w:val="sr-Cyrl-CS"/>
        </w:rPr>
        <w:lastRenderedPageBreak/>
        <w:t>ДЕО ЧЕТВРТИ</w:t>
      </w:r>
    </w:p>
    <w:p w:rsidR="002B6E12" w:rsidRPr="003C4028" w:rsidRDefault="002B6E12" w:rsidP="002B6E12">
      <w:pPr>
        <w:ind w:left="630"/>
        <w:jc w:val="center"/>
        <w:rPr>
          <w:rFonts w:ascii="Times New Roman" w:hAnsi="Times New Roman"/>
          <w:b/>
          <w:sz w:val="24"/>
          <w:szCs w:val="24"/>
          <w:lang w:val="sr-Cyrl-CS"/>
        </w:rPr>
      </w:pPr>
    </w:p>
    <w:p w:rsidR="002B6E12" w:rsidRDefault="002B6E12" w:rsidP="002B6E12">
      <w:pPr>
        <w:ind w:left="630"/>
        <w:jc w:val="center"/>
        <w:rPr>
          <w:rFonts w:ascii="Times New Roman" w:hAnsi="Times New Roman"/>
          <w:b/>
          <w:sz w:val="24"/>
          <w:szCs w:val="24"/>
          <w:lang w:val="sr-Cyrl-CS"/>
        </w:rPr>
      </w:pPr>
      <w:r w:rsidRPr="00C73790">
        <w:rPr>
          <w:rFonts w:ascii="Times New Roman" w:hAnsi="Times New Roman"/>
          <w:b/>
          <w:sz w:val="24"/>
          <w:szCs w:val="24"/>
        </w:rPr>
        <w:t>ИЗБЕГАВАЊЕ ПЛАЋАЊА ПОРЕЗА У КОНТЕКСТУ МЕЂУНАРОДНОГ ПОРЕСКОГ ПРАВА</w:t>
      </w:r>
    </w:p>
    <w:p w:rsidR="002B6E12" w:rsidRPr="00361C0A" w:rsidRDefault="002B6E12" w:rsidP="002B6E12">
      <w:pPr>
        <w:ind w:left="630"/>
        <w:jc w:val="both"/>
        <w:rPr>
          <w:rFonts w:ascii="Times New Roman" w:hAnsi="Times New Roman"/>
          <w:b/>
          <w:sz w:val="24"/>
          <w:szCs w:val="24"/>
          <w:lang w:val="sr-Cyrl-CS"/>
        </w:rPr>
      </w:pPr>
    </w:p>
    <w:p w:rsidR="002B6E12" w:rsidRPr="00BC7798" w:rsidRDefault="002B6E12" w:rsidP="008A3795">
      <w:pPr>
        <w:pStyle w:val="ListParagraph"/>
        <w:numPr>
          <w:ilvl w:val="0"/>
          <w:numId w:val="58"/>
        </w:numPr>
        <w:jc w:val="center"/>
        <w:rPr>
          <w:rFonts w:ascii="Times New Roman" w:hAnsi="Times New Roman"/>
          <w:b/>
          <w:sz w:val="28"/>
          <w:szCs w:val="28"/>
          <w:lang w:val="sr-Cyrl-CS"/>
        </w:rPr>
      </w:pPr>
      <w:r w:rsidRPr="00BC7798">
        <w:rPr>
          <w:rFonts w:ascii="Times New Roman" w:hAnsi="Times New Roman"/>
          <w:b/>
          <w:sz w:val="28"/>
          <w:szCs w:val="28"/>
          <w:lang w:val="sr-Cyrl-CS"/>
        </w:rPr>
        <w:t>Избегавање плаћања пореза и глобализација савременог света</w:t>
      </w:r>
    </w:p>
    <w:p w:rsidR="002B6E12" w:rsidRDefault="002B6E12" w:rsidP="002B6E12">
      <w:pPr>
        <w:ind w:left="630"/>
        <w:rPr>
          <w:rFonts w:ascii="Times New Roman" w:hAnsi="Times New Roman"/>
          <w:b/>
          <w:sz w:val="24"/>
          <w:szCs w:val="24"/>
          <w:lang w:val="sr-Cyrl-CS"/>
        </w:rPr>
      </w:pPr>
    </w:p>
    <w:p w:rsidR="002B6E12" w:rsidRDefault="0073464C" w:rsidP="002B6E12">
      <w:pPr>
        <w:ind w:firstLine="630"/>
        <w:jc w:val="both"/>
        <w:rPr>
          <w:rFonts w:ascii="Times New Roman" w:hAnsi="Times New Roman"/>
          <w:sz w:val="24"/>
          <w:szCs w:val="24"/>
          <w:lang w:val="sr-Cyrl-CS"/>
        </w:rPr>
      </w:pPr>
      <w:r>
        <w:rPr>
          <w:rFonts w:ascii="Times New Roman" w:hAnsi="Times New Roman"/>
          <w:sz w:val="24"/>
          <w:szCs w:val="24"/>
          <w:lang w:val="sr-Cyrl-CS"/>
        </w:rPr>
        <w:t>Свако понашање које се у међународном пословању користи за избегавање плаћања пореза представља међународну</w:t>
      </w:r>
      <w:r w:rsidR="002B6E12" w:rsidRPr="00361C0A">
        <w:rPr>
          <w:rFonts w:ascii="Times New Roman" w:hAnsi="Times New Roman"/>
          <w:sz w:val="24"/>
          <w:szCs w:val="24"/>
          <w:lang w:val="sr-Cyrl-CS"/>
        </w:rPr>
        <w:t xml:space="preserve"> </w:t>
      </w:r>
      <w:r>
        <w:rPr>
          <w:rFonts w:ascii="Times New Roman" w:hAnsi="Times New Roman"/>
          <w:sz w:val="24"/>
          <w:szCs w:val="24"/>
          <w:lang w:val="sr-Cyrl-CS"/>
        </w:rPr>
        <w:t>пореску евазију.</w:t>
      </w:r>
      <w:r w:rsidR="002B6E12">
        <w:rPr>
          <w:rStyle w:val="FootnoteReference"/>
          <w:rFonts w:ascii="Times New Roman" w:hAnsi="Times New Roman"/>
          <w:sz w:val="24"/>
          <w:szCs w:val="24"/>
          <w:lang w:val="sr-Cyrl-CS"/>
        </w:rPr>
        <w:footnoteReference w:id="560"/>
      </w:r>
      <w:r w:rsidR="002B6E12">
        <w:rPr>
          <w:rFonts w:ascii="Times New Roman" w:hAnsi="Times New Roman"/>
          <w:sz w:val="24"/>
          <w:szCs w:val="24"/>
          <w:lang w:val="sr-Cyrl-CS"/>
        </w:rPr>
        <w:t xml:space="preserve">Глобализација савременог света са интернационализацијом финансијских тржишта и напретком науке и технологије, пружа много нових могућности за избегавање плаћања пореза. Наиме, постоји могућност широког избора пореских јурисдикција са повољнијим условима за обављање пословне делатности изван јурисдикције земље резидентства, посебно уколико је порески обвезник изложен јакој фискалној пресији. У том смислу порески обвезник може изабрати земљу у којој ће делатност бити знатно мање опорезована или неопорезована. Овакво поступање не мора бити мотивисано само фискалним, него и ванфискалним разлозима, или пак комбинацијом и једних и других. На избор може утицати развијеност и стабилност привреде, развијеност инфраструктуре, правни систем и слично. Али оно што је суштина јесте да глобализација пружа велику могућност избора, да је капитал мобилна категорија тако да се може преселити и тако повећати профит, а са друге стране смањити пореско оптерећење чиме се остварује законита евазија пореза. </w:t>
      </w:r>
    </w:p>
    <w:p w:rsidR="002B6E12" w:rsidRPr="004934C0" w:rsidRDefault="002B6E12" w:rsidP="002B6E12">
      <w:pPr>
        <w:ind w:firstLine="630"/>
        <w:jc w:val="both"/>
        <w:rPr>
          <w:rFonts w:ascii="Times New Roman" w:hAnsi="Times New Roman"/>
          <w:sz w:val="24"/>
          <w:szCs w:val="24"/>
          <w:lang w:val="sr-Cyrl-CS"/>
        </w:rPr>
      </w:pPr>
      <w:r>
        <w:rPr>
          <w:rFonts w:ascii="Times New Roman" w:hAnsi="Times New Roman"/>
          <w:sz w:val="24"/>
          <w:szCs w:val="24"/>
          <w:lang w:val="sr-Cyrl-CS"/>
        </w:rPr>
        <w:t>Фе</w:t>
      </w:r>
      <w:r w:rsidR="00B0508E">
        <w:rPr>
          <w:rFonts w:ascii="Times New Roman" w:hAnsi="Times New Roman"/>
          <w:sz w:val="24"/>
          <w:szCs w:val="24"/>
          <w:lang w:val="sr-Cyrl-CS"/>
        </w:rPr>
        <w:t>номен глобализације није новија</w:t>
      </w:r>
      <w:r>
        <w:rPr>
          <w:rFonts w:ascii="Times New Roman" w:hAnsi="Times New Roman"/>
          <w:sz w:val="24"/>
          <w:szCs w:val="24"/>
          <w:lang w:val="sr-Cyrl-CS"/>
        </w:rPr>
        <w:t xml:space="preserve"> </w:t>
      </w:r>
      <w:r w:rsidR="00B0508E">
        <w:rPr>
          <w:rFonts w:ascii="Times New Roman" w:hAnsi="Times New Roman"/>
          <w:sz w:val="24"/>
          <w:szCs w:val="24"/>
          <w:lang w:val="sr-Cyrl-CS"/>
        </w:rPr>
        <w:t>појава. Њ</w:t>
      </w:r>
      <w:r>
        <w:rPr>
          <w:rFonts w:ascii="Times New Roman" w:hAnsi="Times New Roman"/>
          <w:sz w:val="24"/>
          <w:szCs w:val="24"/>
          <w:lang w:val="sr-Cyrl-CS"/>
        </w:rPr>
        <w:t>егови основни стубови, међународна трговина и финансије, никада нису знали за  вр</w:t>
      </w:r>
      <w:r w:rsidR="00B0508E">
        <w:rPr>
          <w:rFonts w:ascii="Times New Roman" w:hAnsi="Times New Roman"/>
          <w:sz w:val="24"/>
          <w:szCs w:val="24"/>
          <w:lang w:val="sr-Cyrl-CS"/>
        </w:rPr>
        <w:t>еменске и територијалне границе, па се тако чак</w:t>
      </w:r>
      <w:r>
        <w:rPr>
          <w:rFonts w:ascii="Times New Roman" w:hAnsi="Times New Roman"/>
          <w:sz w:val="24"/>
          <w:szCs w:val="24"/>
          <w:lang w:val="sr-Cyrl-CS"/>
        </w:rPr>
        <w:t xml:space="preserve"> и у Библији помињу трговци који су из Вавилона доносили драго камење, свилу, слоновачу, цимет и сл. </w:t>
      </w:r>
      <w:r w:rsidR="00B0508E">
        <w:rPr>
          <w:rFonts w:ascii="Times New Roman" w:hAnsi="Times New Roman"/>
          <w:sz w:val="24"/>
          <w:szCs w:val="24"/>
          <w:lang w:val="sr-Cyrl-CS"/>
        </w:rPr>
        <w:t xml:space="preserve">Осим тога, </w:t>
      </w:r>
      <w:r>
        <w:rPr>
          <w:rFonts w:ascii="Times New Roman" w:hAnsi="Times New Roman"/>
          <w:sz w:val="24"/>
          <w:szCs w:val="24"/>
          <w:lang w:val="sr-Cyrl-CS"/>
        </w:rPr>
        <w:t>Мухамед који је такође био трговац прославио се изјавом да девет дестина Божјих благодати долази од трговине, а само једна десетина од сточарства.</w:t>
      </w:r>
      <w:r>
        <w:rPr>
          <w:rStyle w:val="FootnoteReference"/>
          <w:rFonts w:ascii="Times New Roman" w:hAnsi="Times New Roman"/>
          <w:sz w:val="24"/>
          <w:szCs w:val="24"/>
          <w:lang w:val="sr-Cyrl-CS"/>
        </w:rPr>
        <w:footnoteReference w:id="561"/>
      </w:r>
      <w:r>
        <w:rPr>
          <w:rFonts w:ascii="Times New Roman" w:hAnsi="Times New Roman"/>
          <w:sz w:val="24"/>
          <w:szCs w:val="24"/>
          <w:lang w:val="sr-Cyrl-CS"/>
        </w:rPr>
        <w:t xml:space="preserve"> </w:t>
      </w:r>
      <w:r w:rsidR="00B0508E">
        <w:rPr>
          <w:rFonts w:ascii="Times New Roman" w:hAnsi="Times New Roman"/>
          <w:sz w:val="24"/>
          <w:szCs w:val="24"/>
          <w:lang w:val="sr-Cyrl-CS"/>
        </w:rPr>
        <w:t>Управо због тога је</w:t>
      </w:r>
      <w:r>
        <w:rPr>
          <w:rFonts w:ascii="Times New Roman" w:hAnsi="Times New Roman"/>
          <w:sz w:val="24"/>
          <w:szCs w:val="24"/>
          <w:lang w:val="sr-Cyrl-CS"/>
        </w:rPr>
        <w:t xml:space="preserve"> нејасн</w:t>
      </w:r>
      <w:r w:rsidR="00B0508E">
        <w:rPr>
          <w:rFonts w:ascii="Times New Roman" w:hAnsi="Times New Roman"/>
          <w:sz w:val="24"/>
          <w:szCs w:val="24"/>
          <w:lang w:val="sr-Cyrl-CS"/>
        </w:rPr>
        <w:t>о</w:t>
      </w:r>
      <w:r>
        <w:rPr>
          <w:rFonts w:ascii="Times New Roman" w:hAnsi="Times New Roman"/>
          <w:sz w:val="24"/>
          <w:szCs w:val="24"/>
          <w:lang w:val="sr-Cyrl-CS"/>
        </w:rPr>
        <w:t xml:space="preserve"> </w:t>
      </w:r>
      <w:r w:rsidR="00B0508E">
        <w:rPr>
          <w:rFonts w:ascii="Times New Roman" w:hAnsi="Times New Roman"/>
          <w:sz w:val="24"/>
          <w:szCs w:val="24"/>
          <w:lang w:val="sr-Cyrl-CS"/>
        </w:rPr>
        <w:t>због чега</w:t>
      </w:r>
      <w:r>
        <w:rPr>
          <w:rFonts w:ascii="Times New Roman" w:hAnsi="Times New Roman"/>
          <w:sz w:val="24"/>
          <w:szCs w:val="24"/>
          <w:lang w:val="sr-Cyrl-CS"/>
        </w:rPr>
        <w:t xml:space="preserve"> </w:t>
      </w:r>
      <w:r w:rsidR="00B0508E">
        <w:rPr>
          <w:rFonts w:ascii="Times New Roman" w:hAnsi="Times New Roman"/>
          <w:sz w:val="24"/>
          <w:szCs w:val="24"/>
          <w:lang w:val="sr-Cyrl-CS"/>
        </w:rPr>
        <w:t>феномен глобализације</w:t>
      </w:r>
      <w:r>
        <w:rPr>
          <w:rFonts w:ascii="Times New Roman" w:hAnsi="Times New Roman"/>
          <w:sz w:val="24"/>
          <w:szCs w:val="24"/>
          <w:lang w:val="sr-Cyrl-CS"/>
        </w:rPr>
        <w:t xml:space="preserve"> нема неку прецизну и коначну научну дефиниц</w:t>
      </w:r>
      <w:r w:rsidR="007E72E8">
        <w:rPr>
          <w:rFonts w:ascii="Times New Roman" w:hAnsi="Times New Roman"/>
          <w:sz w:val="24"/>
          <w:szCs w:val="24"/>
          <w:lang w:val="sr-Cyrl-CS"/>
        </w:rPr>
        <w:t>и</w:t>
      </w:r>
      <w:r w:rsidR="00B0508E">
        <w:rPr>
          <w:rFonts w:ascii="Times New Roman" w:hAnsi="Times New Roman"/>
          <w:sz w:val="24"/>
          <w:szCs w:val="24"/>
          <w:lang w:val="sr-Cyrl-CS"/>
        </w:rPr>
        <w:t>ју.</w:t>
      </w:r>
      <w:r>
        <w:rPr>
          <w:rFonts w:ascii="Times New Roman" w:hAnsi="Times New Roman"/>
          <w:sz w:val="24"/>
          <w:szCs w:val="24"/>
          <w:lang w:val="sr-Cyrl-CS"/>
        </w:rPr>
        <w:t xml:space="preserve"> Теорија </w:t>
      </w:r>
      <w:r w:rsidR="00B0508E">
        <w:rPr>
          <w:rFonts w:ascii="Times New Roman" w:hAnsi="Times New Roman"/>
          <w:sz w:val="24"/>
          <w:szCs w:val="24"/>
          <w:lang w:val="sr-Cyrl-CS"/>
        </w:rPr>
        <w:t xml:space="preserve">разлог за то </w:t>
      </w:r>
      <w:r>
        <w:rPr>
          <w:rFonts w:ascii="Times New Roman" w:hAnsi="Times New Roman"/>
          <w:sz w:val="24"/>
          <w:szCs w:val="24"/>
          <w:lang w:val="sr-Cyrl-CS"/>
        </w:rPr>
        <w:t xml:space="preserve">види у томе што </w:t>
      </w:r>
      <w:r w:rsidR="00B0508E">
        <w:rPr>
          <w:rFonts w:ascii="Times New Roman" w:hAnsi="Times New Roman"/>
          <w:sz w:val="24"/>
          <w:szCs w:val="24"/>
          <w:lang w:val="sr-Cyrl-CS"/>
        </w:rPr>
        <w:t>глобализација</w:t>
      </w:r>
      <w:r>
        <w:rPr>
          <w:rFonts w:ascii="Times New Roman" w:hAnsi="Times New Roman"/>
          <w:sz w:val="24"/>
          <w:szCs w:val="24"/>
          <w:lang w:val="sr-Cyrl-CS"/>
        </w:rPr>
        <w:t xml:space="preserve"> није само појам, већ је и комплексан али недовољно истражен феномен. </w:t>
      </w:r>
      <w:r w:rsidR="00B0508E">
        <w:rPr>
          <w:rFonts w:ascii="Times New Roman" w:hAnsi="Times New Roman"/>
          <w:sz w:val="24"/>
          <w:szCs w:val="24"/>
          <w:lang w:val="sr-Cyrl-CS"/>
        </w:rPr>
        <w:t>Како првенствено обухват</w:t>
      </w:r>
      <w:r w:rsidR="00825D44">
        <w:rPr>
          <w:rFonts w:ascii="Times New Roman" w:hAnsi="Times New Roman"/>
          <w:sz w:val="24"/>
          <w:szCs w:val="24"/>
          <w:lang w:val="sr-Cyrl-CS"/>
        </w:rPr>
        <w:t>а</w:t>
      </w:r>
      <w:r w:rsidR="00B0508E">
        <w:rPr>
          <w:rFonts w:ascii="Times New Roman" w:hAnsi="Times New Roman"/>
          <w:sz w:val="24"/>
          <w:szCs w:val="24"/>
          <w:lang w:val="sr-Cyrl-CS"/>
        </w:rPr>
        <w:t xml:space="preserve"> скуп континуираних процеса п</w:t>
      </w:r>
      <w:r>
        <w:rPr>
          <w:rFonts w:ascii="Times New Roman" w:hAnsi="Times New Roman"/>
          <w:sz w:val="24"/>
          <w:szCs w:val="24"/>
          <w:lang w:val="sr-Cyrl-CS"/>
        </w:rPr>
        <w:t>о многима она није и н</w:t>
      </w:r>
      <w:r w:rsidR="00B0508E">
        <w:rPr>
          <w:rFonts w:ascii="Times New Roman" w:hAnsi="Times New Roman"/>
          <w:sz w:val="24"/>
          <w:szCs w:val="24"/>
          <w:lang w:val="sr-Cyrl-CS"/>
        </w:rPr>
        <w:t>е може бити догађај, а</w:t>
      </w:r>
      <w:r>
        <w:rPr>
          <w:rFonts w:ascii="Times New Roman" w:hAnsi="Times New Roman"/>
          <w:sz w:val="24"/>
          <w:szCs w:val="24"/>
          <w:lang w:val="sr-Cyrl-CS"/>
        </w:rPr>
        <w:t xml:space="preserve"> није ни одређена научна област. </w:t>
      </w:r>
      <w:r w:rsidR="00B0508E">
        <w:rPr>
          <w:rFonts w:ascii="Times New Roman" w:hAnsi="Times New Roman"/>
          <w:sz w:val="24"/>
          <w:szCs w:val="24"/>
          <w:lang w:val="sr-Cyrl-CS"/>
        </w:rPr>
        <w:t>Глобализације</w:t>
      </w:r>
      <w:r>
        <w:rPr>
          <w:rFonts w:ascii="Times New Roman" w:hAnsi="Times New Roman"/>
          <w:sz w:val="24"/>
          <w:szCs w:val="24"/>
          <w:lang w:val="sr-Cyrl-CS"/>
        </w:rPr>
        <w:t xml:space="preserve"> је скуп активности које се међусобно прожимају и које многе научне </w:t>
      </w:r>
      <w:r>
        <w:rPr>
          <w:rFonts w:ascii="Times New Roman" w:hAnsi="Times New Roman"/>
          <w:sz w:val="24"/>
          <w:szCs w:val="24"/>
          <w:lang w:val="sr-Cyrl-CS"/>
        </w:rPr>
        <w:lastRenderedPageBreak/>
        <w:t>д</w:t>
      </w:r>
      <w:r w:rsidR="00B0508E">
        <w:rPr>
          <w:rFonts w:ascii="Times New Roman" w:hAnsi="Times New Roman"/>
          <w:sz w:val="24"/>
          <w:szCs w:val="24"/>
          <w:lang w:val="sr-Cyrl-CS"/>
        </w:rPr>
        <w:t>исциплине покушавају да објасне али н</w:t>
      </w:r>
      <w:r>
        <w:rPr>
          <w:rFonts w:ascii="Times New Roman" w:hAnsi="Times New Roman"/>
          <w:sz w:val="24"/>
          <w:szCs w:val="24"/>
          <w:lang w:val="sr-Cyrl-CS"/>
        </w:rPr>
        <w:t>е припада ни једној од њих посебно, ни економији</w:t>
      </w:r>
      <w:r w:rsidR="00825D44">
        <w:rPr>
          <w:rFonts w:ascii="Times New Roman" w:hAnsi="Times New Roman"/>
          <w:sz w:val="24"/>
          <w:szCs w:val="24"/>
          <w:lang w:val="sr-Cyrl-CS"/>
        </w:rPr>
        <w:t>,</w:t>
      </w:r>
      <w:r>
        <w:rPr>
          <w:rFonts w:ascii="Times New Roman" w:hAnsi="Times New Roman"/>
          <w:sz w:val="24"/>
          <w:szCs w:val="24"/>
          <w:lang w:val="sr-Cyrl-CS"/>
        </w:rPr>
        <w:t xml:space="preserve"> ни праву, ни филозовији</w:t>
      </w:r>
      <w:r w:rsidR="00825D44">
        <w:rPr>
          <w:rFonts w:ascii="Times New Roman" w:hAnsi="Times New Roman"/>
          <w:sz w:val="24"/>
          <w:szCs w:val="24"/>
          <w:lang w:val="sr-Cyrl-CS"/>
        </w:rPr>
        <w:t>,</w:t>
      </w:r>
      <w:r>
        <w:rPr>
          <w:rFonts w:ascii="Times New Roman" w:hAnsi="Times New Roman"/>
          <w:sz w:val="24"/>
          <w:szCs w:val="24"/>
          <w:lang w:val="sr-Cyrl-CS"/>
        </w:rPr>
        <w:t xml:space="preserve"> ни култури.</w:t>
      </w:r>
      <w:r>
        <w:rPr>
          <w:rStyle w:val="FootnoteReference"/>
          <w:rFonts w:ascii="Times New Roman" w:hAnsi="Times New Roman"/>
          <w:sz w:val="24"/>
          <w:szCs w:val="24"/>
          <w:lang w:val="sr-Cyrl-CS"/>
        </w:rPr>
        <w:footnoteReference w:id="562"/>
      </w:r>
    </w:p>
    <w:p w:rsidR="002B6E12" w:rsidRPr="002602FE" w:rsidRDefault="007E72E8" w:rsidP="002B6E12">
      <w:pPr>
        <w:ind w:firstLine="630"/>
        <w:jc w:val="both"/>
        <w:rPr>
          <w:rFonts w:ascii="Times New Roman" w:hAnsi="Times New Roman"/>
          <w:sz w:val="24"/>
          <w:szCs w:val="24"/>
          <w:lang w:val="sr-Cyrl-CS"/>
        </w:rPr>
      </w:pPr>
      <w:r>
        <w:rPr>
          <w:rFonts w:ascii="Times New Roman" w:hAnsi="Times New Roman"/>
          <w:sz w:val="24"/>
          <w:szCs w:val="24"/>
          <w:lang w:val="sr-Cyrl-CS"/>
        </w:rPr>
        <w:t>Са становишта међународних економских организација</w:t>
      </w:r>
      <w:r w:rsidR="002B6E12" w:rsidRPr="002602FE">
        <w:rPr>
          <w:rFonts w:ascii="Times New Roman" w:hAnsi="Times New Roman"/>
          <w:sz w:val="24"/>
          <w:szCs w:val="24"/>
          <w:lang w:val="sr-Cyrl-CS"/>
        </w:rPr>
        <w:t xml:space="preserve"> (International Ch</w:t>
      </w:r>
      <w:r>
        <w:rPr>
          <w:rFonts w:ascii="Times New Roman" w:hAnsi="Times New Roman"/>
          <w:sz w:val="24"/>
          <w:szCs w:val="24"/>
          <w:lang w:val="sr-Cyrl-CS"/>
        </w:rPr>
        <w:t>amber of Commerce) глобализација се</w:t>
      </w:r>
      <w:r w:rsidR="002B6E12" w:rsidRPr="002602FE">
        <w:rPr>
          <w:rFonts w:ascii="Times New Roman" w:hAnsi="Times New Roman"/>
          <w:sz w:val="24"/>
          <w:szCs w:val="24"/>
          <w:lang w:val="sr-Cyrl-CS"/>
        </w:rPr>
        <w:t xml:space="preserve"> </w:t>
      </w:r>
      <w:r>
        <w:rPr>
          <w:rFonts w:ascii="Times New Roman" w:hAnsi="Times New Roman"/>
          <w:sz w:val="24"/>
          <w:szCs w:val="24"/>
          <w:lang w:val="sr-Cyrl-CS"/>
        </w:rPr>
        <w:t>дефинише</w:t>
      </w:r>
      <w:r w:rsidR="002B6E12" w:rsidRPr="002602FE">
        <w:rPr>
          <w:rFonts w:ascii="Times New Roman" w:hAnsi="Times New Roman"/>
          <w:sz w:val="24"/>
          <w:szCs w:val="24"/>
          <w:lang w:val="sr-Cyrl-CS"/>
        </w:rPr>
        <w:t xml:space="preserve"> као повећање међузависности националних економија, како р</w:t>
      </w:r>
      <w:r>
        <w:rPr>
          <w:rFonts w:ascii="Times New Roman" w:hAnsi="Times New Roman"/>
          <w:sz w:val="24"/>
          <w:szCs w:val="24"/>
          <w:lang w:val="sr-Cyrl-CS"/>
        </w:rPr>
        <w:t>азвијених тако и оних у развоју и т</w:t>
      </w:r>
      <w:r w:rsidR="002B6E12" w:rsidRPr="002602FE">
        <w:rPr>
          <w:rFonts w:ascii="Times New Roman" w:hAnsi="Times New Roman"/>
          <w:sz w:val="24"/>
          <w:szCs w:val="24"/>
          <w:lang w:val="sr-Cyrl-CS"/>
        </w:rPr>
        <w:t xml:space="preserve">аква економска интеграција </w:t>
      </w:r>
      <w:r>
        <w:rPr>
          <w:rFonts w:ascii="Times New Roman" w:hAnsi="Times New Roman"/>
          <w:sz w:val="24"/>
          <w:szCs w:val="24"/>
          <w:lang w:val="sr-Cyrl-CS"/>
        </w:rPr>
        <w:t>се јавља када су земље отв</w:t>
      </w:r>
      <w:r w:rsidR="002B6E12" w:rsidRPr="002602FE">
        <w:rPr>
          <w:rFonts w:ascii="Times New Roman" w:hAnsi="Times New Roman"/>
          <w:sz w:val="24"/>
          <w:szCs w:val="24"/>
          <w:lang w:val="sr-Cyrl-CS"/>
        </w:rPr>
        <w:t>орене ка проширењу токова трговине, капитала, рада и идеја са остатком света.</w:t>
      </w:r>
      <w:r w:rsidR="002B6E12" w:rsidRPr="002602FE">
        <w:rPr>
          <w:rStyle w:val="FootnoteReference"/>
          <w:rFonts w:ascii="Times New Roman" w:hAnsi="Times New Roman"/>
          <w:sz w:val="24"/>
          <w:szCs w:val="24"/>
          <w:lang w:val="sr-Cyrl-CS"/>
        </w:rPr>
        <w:footnoteReference w:id="563"/>
      </w:r>
      <w:r w:rsidR="002B6E12">
        <w:rPr>
          <w:rFonts w:ascii="Times New Roman" w:hAnsi="Times New Roman"/>
          <w:sz w:val="24"/>
          <w:szCs w:val="24"/>
          <w:lang w:val="sr-Cyrl-CS"/>
        </w:rPr>
        <w:t xml:space="preserve"> (Livanos Cattani, 2004). </w:t>
      </w:r>
    </w:p>
    <w:p w:rsidR="002B6E12" w:rsidRDefault="002B6E12" w:rsidP="002B6E12">
      <w:pPr>
        <w:ind w:firstLine="630"/>
        <w:jc w:val="both"/>
        <w:rPr>
          <w:rFonts w:ascii="Times New Roman" w:hAnsi="Times New Roman"/>
          <w:sz w:val="24"/>
          <w:szCs w:val="24"/>
          <w:lang w:val="sr-Cyrl-CS"/>
        </w:rPr>
      </w:pPr>
      <w:r>
        <w:rPr>
          <w:rFonts w:ascii="Times New Roman" w:hAnsi="Times New Roman"/>
          <w:sz w:val="24"/>
          <w:szCs w:val="24"/>
          <w:lang w:val="sr-Cyrl-CS"/>
        </w:rPr>
        <w:t>Док процес глобализације за националне субјекте ангажоване у контроли криминалитета најчешће значи споро и мукотрпно прилагођавање и трансформације, криминалитет управо на крилима глобализације доживљава изузетну експанзију, брзо и лако надраста националне границе, мења се по структу</w:t>
      </w:r>
      <w:r w:rsidR="005B0F0D">
        <w:rPr>
          <w:rFonts w:ascii="Times New Roman" w:hAnsi="Times New Roman"/>
          <w:sz w:val="24"/>
          <w:szCs w:val="24"/>
          <w:lang w:val="sr-Cyrl-CS"/>
        </w:rPr>
        <w:t>ри и обиму и појављује се у сасвим</w:t>
      </w:r>
      <w:r>
        <w:rPr>
          <w:rFonts w:ascii="Times New Roman" w:hAnsi="Times New Roman"/>
          <w:sz w:val="24"/>
          <w:szCs w:val="24"/>
          <w:lang w:val="sr-Cyrl-CS"/>
        </w:rPr>
        <w:t xml:space="preserve"> новим сферама.</w:t>
      </w:r>
      <w:r>
        <w:rPr>
          <w:rStyle w:val="FootnoteReference"/>
          <w:rFonts w:ascii="Times New Roman" w:hAnsi="Times New Roman"/>
          <w:sz w:val="24"/>
          <w:szCs w:val="24"/>
          <w:lang w:val="sr-Cyrl-CS"/>
        </w:rPr>
        <w:footnoteReference w:id="564"/>
      </w:r>
    </w:p>
    <w:p w:rsidR="002B6E12" w:rsidRDefault="002B6E12" w:rsidP="002B6E12">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 xml:space="preserve">Међутим, треба имати у виду и да глобално тржиште омогућава доминацију производа из развијених земаља, чији се правни и друштвени стандарди намећу другим земљама. </w:t>
      </w:r>
      <w:r w:rsidR="00A148D5">
        <w:rPr>
          <w:rFonts w:ascii="Times New Roman" w:hAnsi="Times New Roman"/>
          <w:sz w:val="24"/>
          <w:szCs w:val="24"/>
          <w:lang w:val="sr-Cyrl-CS"/>
        </w:rPr>
        <w:t>То ће довести до слабљења идентитета свих народа</w:t>
      </w:r>
      <w:r>
        <w:rPr>
          <w:rFonts w:ascii="Times New Roman" w:hAnsi="Times New Roman"/>
          <w:sz w:val="24"/>
          <w:szCs w:val="24"/>
          <w:lang w:val="sr-Cyrl-CS"/>
        </w:rPr>
        <w:t xml:space="preserve">, а не само маленим и економски слабим, </w:t>
      </w:r>
      <w:r w:rsidR="00A148D5">
        <w:rPr>
          <w:rFonts w:ascii="Times New Roman" w:hAnsi="Times New Roman"/>
          <w:sz w:val="24"/>
          <w:szCs w:val="24"/>
          <w:lang w:val="sr-Cyrl-CS"/>
        </w:rPr>
        <w:t>„</w:t>
      </w:r>
      <w:r>
        <w:rPr>
          <w:rFonts w:ascii="Times New Roman" w:hAnsi="Times New Roman"/>
          <w:sz w:val="24"/>
          <w:szCs w:val="24"/>
          <w:lang w:val="sr-Cyrl-CS"/>
        </w:rPr>
        <w:t>и претвориће се у колонију 21. века, у зомбије или карикатуре измоделиране по културним нормама новог империјализма, који осим што влада планетом и планетарним капиталом, војном силом и научним знањем, тежи да наметне другима свој језик, као и свој начин размишљања, веровања, уживања и сањања.</w:t>
      </w:r>
      <w:r w:rsidR="00A148D5">
        <w:rPr>
          <w:rFonts w:ascii="Times New Roman" w:hAnsi="Times New Roman"/>
          <w:sz w:val="24"/>
          <w:szCs w:val="24"/>
          <w:lang w:val="sr-Cyrl-CS"/>
        </w:rPr>
        <w:t>“</w:t>
      </w:r>
      <w:r>
        <w:rPr>
          <w:rStyle w:val="FootnoteReference"/>
          <w:rFonts w:ascii="Times New Roman" w:hAnsi="Times New Roman"/>
          <w:sz w:val="24"/>
          <w:szCs w:val="24"/>
          <w:lang w:val="sr-Cyrl-CS"/>
        </w:rPr>
        <w:footnoteReference w:id="565"/>
      </w:r>
    </w:p>
    <w:p w:rsidR="002B6E12" w:rsidRDefault="002B6E12" w:rsidP="002B6E12">
      <w:pPr>
        <w:autoSpaceDE w:val="0"/>
        <w:autoSpaceDN w:val="0"/>
        <w:adjustRightInd w:val="0"/>
        <w:spacing w:after="0" w:line="240" w:lineRule="auto"/>
        <w:ind w:firstLine="630"/>
        <w:jc w:val="both"/>
        <w:rPr>
          <w:rFonts w:ascii="Times New Roman" w:hAnsi="Times New Roman"/>
          <w:sz w:val="24"/>
          <w:szCs w:val="24"/>
          <w:lang w:val="sr-Cyrl-CS"/>
        </w:rPr>
      </w:pPr>
      <w:r>
        <w:rPr>
          <w:rFonts w:ascii="Times New Roman" w:hAnsi="Times New Roman"/>
          <w:sz w:val="24"/>
          <w:szCs w:val="24"/>
          <w:lang w:val="sr-Cyrl-CS"/>
        </w:rPr>
        <w:t>Али, вратимо се на терен избегавања плаћања пореза у међународном контексту. Глобализација представља најважнију промену која утиче на преиспитивање досадашњих теоријс</w:t>
      </w:r>
      <w:r w:rsidRPr="00617F4D">
        <w:rPr>
          <w:rFonts w:ascii="Times New Roman" w:hAnsi="Times New Roman"/>
          <w:sz w:val="24"/>
          <w:szCs w:val="24"/>
          <w:lang w:val="sr-Cyrl-CS"/>
        </w:rPr>
        <w:t>ких ставова</w:t>
      </w:r>
      <w:r>
        <w:rPr>
          <w:rFonts w:ascii="Times New Roman" w:hAnsi="Times New Roman"/>
          <w:sz w:val="24"/>
          <w:szCs w:val="24"/>
          <w:lang w:val="sr-Cyrl-CS"/>
        </w:rPr>
        <w:t xml:space="preserve"> као и на промене закона у обла</w:t>
      </w:r>
      <w:r w:rsidRPr="00617F4D">
        <w:rPr>
          <w:rFonts w:ascii="Times New Roman" w:hAnsi="Times New Roman"/>
          <w:sz w:val="24"/>
          <w:szCs w:val="24"/>
          <w:lang w:val="sr-Cyrl-CS"/>
        </w:rPr>
        <w:t xml:space="preserve">сти пореза. </w:t>
      </w:r>
      <w:r w:rsidRPr="00617F4D">
        <w:rPr>
          <w:rFonts w:ascii="Times New Roman" w:hAnsi="Times New Roman"/>
          <w:sz w:val="24"/>
          <w:szCs w:val="24"/>
        </w:rPr>
        <w:t>Са растом међународне трговине и мобилности капитала високи порези на</w:t>
      </w:r>
      <w:r>
        <w:rPr>
          <w:rFonts w:ascii="Times New Roman" w:hAnsi="Times New Roman"/>
          <w:sz w:val="24"/>
          <w:szCs w:val="24"/>
          <w:lang w:val="sr-Cyrl-CS"/>
        </w:rPr>
        <w:t xml:space="preserve"> </w:t>
      </w:r>
      <w:r w:rsidRPr="00617F4D">
        <w:rPr>
          <w:rFonts w:ascii="Times New Roman" w:hAnsi="Times New Roman"/>
          <w:sz w:val="24"/>
          <w:szCs w:val="24"/>
        </w:rPr>
        <w:t xml:space="preserve">приходе од рада и капитала смањују конкуретност привреде, </w:t>
      </w:r>
      <w:r w:rsidRPr="00617F4D">
        <w:rPr>
          <w:rFonts w:ascii="Times New Roman" w:hAnsi="Times New Roman"/>
          <w:sz w:val="24"/>
          <w:szCs w:val="24"/>
          <w:lang w:val="sr-Cyrl-CS"/>
        </w:rPr>
        <w:t xml:space="preserve">па се због тога, под утицајем глобализације, </w:t>
      </w:r>
      <w:r w:rsidRPr="00617F4D">
        <w:rPr>
          <w:rFonts w:ascii="Times New Roman" w:hAnsi="Times New Roman"/>
          <w:sz w:val="24"/>
          <w:szCs w:val="24"/>
        </w:rPr>
        <w:t>смањује релативни значај ових пореза у односу на порезе на</w:t>
      </w:r>
      <w:r w:rsidRPr="00617F4D">
        <w:rPr>
          <w:rFonts w:ascii="Times New Roman" w:hAnsi="Times New Roman"/>
          <w:sz w:val="24"/>
          <w:szCs w:val="24"/>
          <w:lang w:val="sr-Cyrl-CS"/>
        </w:rPr>
        <w:t xml:space="preserve"> </w:t>
      </w:r>
      <w:r w:rsidRPr="00617F4D">
        <w:rPr>
          <w:rFonts w:ascii="Times New Roman" w:hAnsi="Times New Roman"/>
          <w:sz w:val="24"/>
          <w:szCs w:val="24"/>
        </w:rPr>
        <w:t>потрошњу. Осим тога</w:t>
      </w:r>
      <w:r w:rsidR="00825D44">
        <w:rPr>
          <w:rFonts w:ascii="Times New Roman" w:hAnsi="Times New Roman"/>
          <w:sz w:val="24"/>
          <w:szCs w:val="24"/>
          <w:lang w:val="sr-Cyrl-CS"/>
        </w:rPr>
        <w:t>,</w:t>
      </w:r>
      <w:r w:rsidRPr="00617F4D">
        <w:rPr>
          <w:rFonts w:ascii="Times New Roman" w:hAnsi="Times New Roman"/>
          <w:sz w:val="24"/>
          <w:szCs w:val="24"/>
        </w:rPr>
        <w:t xml:space="preserve"> у условим</w:t>
      </w:r>
      <w:r>
        <w:rPr>
          <w:rFonts w:ascii="Times New Roman" w:hAnsi="Times New Roman"/>
          <w:sz w:val="24"/>
          <w:szCs w:val="24"/>
        </w:rPr>
        <w:t>а високе мобилности капитала</w:t>
      </w:r>
      <w:r w:rsidRPr="00617F4D">
        <w:rPr>
          <w:rFonts w:ascii="Times New Roman" w:hAnsi="Times New Roman"/>
          <w:sz w:val="24"/>
          <w:szCs w:val="24"/>
        </w:rPr>
        <w:t xml:space="preserve"> и радне снаге, у пракси се тешко остварује идеја прогресивног опорезивања</w:t>
      </w:r>
      <w:r w:rsidRPr="00617F4D">
        <w:rPr>
          <w:rFonts w:ascii="Times New Roman" w:hAnsi="Times New Roman"/>
          <w:sz w:val="24"/>
          <w:szCs w:val="24"/>
          <w:lang w:val="sr-Cyrl-CS"/>
        </w:rPr>
        <w:t xml:space="preserve"> </w:t>
      </w:r>
      <w:r w:rsidRPr="00617F4D">
        <w:rPr>
          <w:rFonts w:ascii="Times New Roman" w:hAnsi="Times New Roman"/>
          <w:sz w:val="24"/>
          <w:szCs w:val="24"/>
        </w:rPr>
        <w:t>доходака грађана.</w:t>
      </w:r>
      <w:r>
        <w:rPr>
          <w:rFonts w:ascii="Times New Roman" w:hAnsi="Times New Roman"/>
          <w:sz w:val="24"/>
          <w:szCs w:val="24"/>
          <w:lang w:val="sr-Cyrl-CS"/>
        </w:rPr>
        <w:t xml:space="preserve"> </w:t>
      </w:r>
    </w:p>
    <w:p w:rsidR="002B6E12" w:rsidRDefault="002B6E12" w:rsidP="002B6E12">
      <w:pPr>
        <w:autoSpaceDE w:val="0"/>
        <w:autoSpaceDN w:val="0"/>
        <w:adjustRightInd w:val="0"/>
        <w:spacing w:after="0" w:line="240" w:lineRule="auto"/>
        <w:ind w:firstLine="630"/>
        <w:jc w:val="both"/>
        <w:rPr>
          <w:rFonts w:ascii="Times New Roman" w:hAnsi="Times New Roman"/>
          <w:sz w:val="24"/>
          <w:szCs w:val="24"/>
          <w:lang w:val="sr-Cyrl-CS"/>
        </w:rPr>
      </w:pPr>
    </w:p>
    <w:p w:rsidR="002B6E12" w:rsidRDefault="002B6E12" w:rsidP="002B6E12">
      <w:pPr>
        <w:ind w:firstLine="630"/>
        <w:jc w:val="both"/>
        <w:rPr>
          <w:rFonts w:ascii="Times New Roman" w:hAnsi="Times New Roman"/>
          <w:sz w:val="24"/>
          <w:szCs w:val="24"/>
          <w:lang w:val="sr-Cyrl-CS"/>
        </w:rPr>
      </w:pPr>
      <w:r>
        <w:rPr>
          <w:rFonts w:ascii="Times New Roman" w:hAnsi="Times New Roman"/>
          <w:sz w:val="24"/>
          <w:szCs w:val="24"/>
          <w:lang w:val="sr-Cyrl-CS"/>
        </w:rPr>
        <w:t xml:space="preserve">Са глобализацијом се губе границе међу националним тржиштима, али се са друге стране повећава и црно тржиште, па се продајом на црном тржишту избегава плаћање пореза на додату вредност, пореза на добит корпорација, пореза на доходак грађана, акциза. Избегавање плаћања пореза тако је постало глобални феномен, а штета по основу утаје пореза је огромна. Посебно се услед интеграционих процеса у светској привреди стварају повољне могућности за транснационалне компаније. </w:t>
      </w:r>
    </w:p>
    <w:p w:rsidR="002B6E12" w:rsidRDefault="009D418C" w:rsidP="002B6E12">
      <w:pPr>
        <w:ind w:firstLine="630"/>
        <w:jc w:val="both"/>
        <w:rPr>
          <w:rFonts w:ascii="Times New Roman" w:hAnsi="Times New Roman"/>
          <w:sz w:val="24"/>
          <w:szCs w:val="24"/>
          <w:lang w:val="sr-Cyrl-CS"/>
        </w:rPr>
      </w:pPr>
      <w:r>
        <w:rPr>
          <w:rFonts w:ascii="Times New Roman" w:hAnsi="Times New Roman"/>
          <w:sz w:val="24"/>
          <w:szCs w:val="24"/>
          <w:lang w:val="sr-Cyrl-CS"/>
        </w:rPr>
        <w:lastRenderedPageBreak/>
        <w:t xml:space="preserve">Националне привреде су у савременим условима укључене у у међународне економске односе јер </w:t>
      </w:r>
      <w:r w:rsidR="002B6E12">
        <w:rPr>
          <w:rFonts w:ascii="Times New Roman" w:hAnsi="Times New Roman"/>
          <w:sz w:val="24"/>
          <w:szCs w:val="24"/>
          <w:lang w:val="sr-Cyrl-CS"/>
        </w:rPr>
        <w:t xml:space="preserve">национални привредни развој и привредни раст </w:t>
      </w:r>
      <w:r>
        <w:rPr>
          <w:rFonts w:ascii="Times New Roman" w:hAnsi="Times New Roman"/>
          <w:sz w:val="24"/>
          <w:szCs w:val="24"/>
          <w:lang w:val="sr-Cyrl-CS"/>
        </w:rPr>
        <w:t>то подразумева.</w:t>
      </w:r>
      <w:r w:rsidR="002B6E12">
        <w:rPr>
          <w:rFonts w:ascii="Times New Roman" w:hAnsi="Times New Roman"/>
          <w:sz w:val="24"/>
          <w:szCs w:val="24"/>
          <w:lang w:val="sr-Cyrl-CS"/>
        </w:rPr>
        <w:t xml:space="preserve"> Сваки развој привреде </w:t>
      </w:r>
      <w:r>
        <w:rPr>
          <w:rFonts w:ascii="Times New Roman" w:hAnsi="Times New Roman"/>
          <w:sz w:val="24"/>
          <w:szCs w:val="24"/>
          <w:lang w:val="sr-Cyrl-CS"/>
        </w:rPr>
        <w:t>мимо међународне економске сарадње</w:t>
      </w:r>
      <w:r w:rsidR="002B6E12">
        <w:rPr>
          <w:rFonts w:ascii="Times New Roman" w:hAnsi="Times New Roman"/>
          <w:sz w:val="24"/>
          <w:szCs w:val="24"/>
          <w:lang w:val="sr-Cyrl-CS"/>
        </w:rPr>
        <w:t xml:space="preserve"> имао би негативне ефекте на националну привреду у виду заостајања за светским друштвеним развојем. Промет капитала, роба и услуга у међународним оквирима </w:t>
      </w:r>
      <w:r>
        <w:rPr>
          <w:rFonts w:ascii="Times New Roman" w:hAnsi="Times New Roman"/>
          <w:sz w:val="24"/>
          <w:szCs w:val="24"/>
          <w:lang w:val="sr-Cyrl-CS"/>
        </w:rPr>
        <w:t>пружа могућност</w:t>
      </w:r>
      <w:r w:rsidR="002B6E12">
        <w:rPr>
          <w:rFonts w:ascii="Times New Roman" w:hAnsi="Times New Roman"/>
          <w:sz w:val="24"/>
          <w:szCs w:val="24"/>
          <w:lang w:val="sr-Cyrl-CS"/>
        </w:rPr>
        <w:t xml:space="preserve"> учесницима да максимизирају </w:t>
      </w:r>
      <w:r>
        <w:rPr>
          <w:rFonts w:ascii="Times New Roman" w:hAnsi="Times New Roman"/>
          <w:sz w:val="24"/>
          <w:szCs w:val="24"/>
          <w:lang w:val="sr-Cyrl-CS"/>
        </w:rPr>
        <w:t xml:space="preserve">свој профит, али </w:t>
      </w:r>
      <w:r w:rsidR="002B6E12">
        <w:rPr>
          <w:rFonts w:ascii="Times New Roman" w:hAnsi="Times New Roman"/>
          <w:sz w:val="24"/>
          <w:szCs w:val="24"/>
          <w:lang w:val="sr-Cyrl-CS"/>
        </w:rPr>
        <w:t xml:space="preserve">остваривање профита, иако најважнији, није једини циљ међународне сарадње. </w:t>
      </w:r>
      <w:r>
        <w:rPr>
          <w:rFonts w:ascii="Times New Roman" w:hAnsi="Times New Roman"/>
          <w:sz w:val="24"/>
          <w:szCs w:val="24"/>
          <w:lang w:val="sr-Cyrl-CS"/>
        </w:rPr>
        <w:t>Обвезници пореза к</w:t>
      </w:r>
      <w:r w:rsidR="002B6E12">
        <w:rPr>
          <w:rFonts w:ascii="Times New Roman" w:hAnsi="Times New Roman"/>
          <w:sz w:val="24"/>
          <w:szCs w:val="24"/>
          <w:lang w:val="sr-Cyrl-CS"/>
        </w:rPr>
        <w:t>ористећи међународне робноновчане токове, као и законодавства појединих земаља у жељи да остваре и фискалне циљеве</w:t>
      </w:r>
      <w:r>
        <w:rPr>
          <w:rFonts w:ascii="Times New Roman" w:hAnsi="Times New Roman"/>
          <w:sz w:val="24"/>
          <w:szCs w:val="24"/>
          <w:lang w:val="sr-Cyrl-CS"/>
        </w:rPr>
        <w:t>,</w:t>
      </w:r>
      <w:r w:rsidR="002B6E12">
        <w:rPr>
          <w:rFonts w:ascii="Times New Roman" w:hAnsi="Times New Roman"/>
          <w:sz w:val="24"/>
          <w:szCs w:val="24"/>
          <w:lang w:val="sr-Cyrl-CS"/>
        </w:rPr>
        <w:t xml:space="preserve"> успостављају и обављају делатност ван националних граница.</w:t>
      </w:r>
      <w:r w:rsidR="002B6E12">
        <w:rPr>
          <w:rStyle w:val="FootnoteReference"/>
          <w:rFonts w:ascii="Times New Roman" w:hAnsi="Times New Roman"/>
          <w:sz w:val="24"/>
          <w:szCs w:val="24"/>
          <w:lang w:val="sr-Cyrl-CS"/>
        </w:rPr>
        <w:footnoteReference w:id="566"/>
      </w:r>
    </w:p>
    <w:p w:rsidR="002B6E12" w:rsidRDefault="002B6E12" w:rsidP="002B6E12">
      <w:pPr>
        <w:ind w:firstLine="630"/>
        <w:jc w:val="both"/>
        <w:rPr>
          <w:rFonts w:ascii="Times New Roman" w:hAnsi="Times New Roman"/>
          <w:sz w:val="24"/>
          <w:szCs w:val="24"/>
          <w:lang w:val="sr-Cyrl-CS"/>
        </w:rPr>
      </w:pPr>
      <w:r>
        <w:rPr>
          <w:rFonts w:ascii="Times New Roman" w:hAnsi="Times New Roman"/>
          <w:sz w:val="24"/>
          <w:szCs w:val="24"/>
          <w:lang w:val="sr-Cyrl-CS"/>
        </w:rPr>
        <w:t xml:space="preserve">Избегавање плаћања пореза је заступљено у развијеним земљама, у земљама у развоју, а посебно у земљама које се налазе у процесу транзиције. Сви наведени процеси отежавају борбу и сузбијање избегавања плаћања пореза, сиве економије и међународног криминала и намећу потребу међународне сарадње. </w:t>
      </w:r>
    </w:p>
    <w:p w:rsidR="002B6E12" w:rsidRDefault="002B6E12" w:rsidP="002B6E12">
      <w:pPr>
        <w:ind w:firstLine="630"/>
        <w:jc w:val="both"/>
        <w:rPr>
          <w:rFonts w:ascii="Times New Roman" w:hAnsi="Times New Roman"/>
          <w:sz w:val="24"/>
          <w:szCs w:val="24"/>
          <w:lang w:val="sr-Cyrl-CS"/>
        </w:rPr>
      </w:pPr>
      <w:r>
        <w:rPr>
          <w:rFonts w:ascii="Times New Roman" w:hAnsi="Times New Roman"/>
          <w:sz w:val="24"/>
          <w:szCs w:val="24"/>
          <w:lang w:val="sr-Cyrl-CS"/>
        </w:rPr>
        <w:t xml:space="preserve">Глобализација се различито дефинише. </w:t>
      </w:r>
      <w:r w:rsidR="00A148D5">
        <w:rPr>
          <w:rFonts w:ascii="Times New Roman" w:hAnsi="Times New Roman"/>
          <w:sz w:val="24"/>
          <w:szCs w:val="24"/>
          <w:lang w:val="sr-Cyrl-CS"/>
        </w:rPr>
        <w:t>„</w:t>
      </w:r>
      <w:r>
        <w:rPr>
          <w:rFonts w:ascii="Times New Roman" w:hAnsi="Times New Roman"/>
          <w:sz w:val="24"/>
          <w:szCs w:val="24"/>
          <w:lang w:val="sr-Cyrl-CS"/>
        </w:rPr>
        <w:t>ОЕЦД глобализацију дефинише као прекорачење активности фирме везане за инвестиције, производњу, трговину и развој, односно отварање нових тржишта, експанзију технолошких и организационих предности и смањење трошкова ризика. То је пут прекидања процеса финиширања производа у једној земљи. Производи се израђују у деловима фирми које се налазе у више земаља света, због чега нема јасне националне препознатљивости производа.</w:t>
      </w:r>
      <w:r w:rsidR="00A148D5">
        <w:rPr>
          <w:rFonts w:ascii="Times New Roman" w:hAnsi="Times New Roman"/>
          <w:sz w:val="24"/>
          <w:szCs w:val="24"/>
          <w:lang w:val="sr-Cyrl-CS"/>
        </w:rPr>
        <w:t>“</w:t>
      </w:r>
      <w:r>
        <w:rPr>
          <w:rStyle w:val="FootnoteReference"/>
          <w:rFonts w:ascii="Times New Roman" w:hAnsi="Times New Roman"/>
          <w:sz w:val="24"/>
          <w:szCs w:val="24"/>
          <w:lang w:val="sr-Cyrl-CS"/>
        </w:rPr>
        <w:footnoteReference w:id="567"/>
      </w:r>
    </w:p>
    <w:p w:rsidR="002B6E12" w:rsidRDefault="002B6E12" w:rsidP="002B6E12">
      <w:pPr>
        <w:jc w:val="both"/>
        <w:rPr>
          <w:rFonts w:ascii="Times New Roman" w:hAnsi="Times New Roman"/>
          <w:sz w:val="24"/>
          <w:szCs w:val="24"/>
          <w:lang w:val="sr-Cyrl-CS"/>
        </w:rPr>
      </w:pPr>
      <w:r>
        <w:rPr>
          <w:rFonts w:ascii="Times New Roman" w:hAnsi="Times New Roman"/>
          <w:sz w:val="24"/>
          <w:szCs w:val="24"/>
          <w:lang w:val="sr-Cyrl-CS"/>
        </w:rPr>
        <w:t>Узроци глобализације су многобројни, а најчешће се истичу следећи узроци:</w:t>
      </w:r>
      <w:r>
        <w:rPr>
          <w:rStyle w:val="FootnoteReference"/>
          <w:rFonts w:ascii="Times New Roman" w:hAnsi="Times New Roman"/>
          <w:sz w:val="24"/>
          <w:szCs w:val="24"/>
          <w:lang w:val="sr-Cyrl-CS"/>
        </w:rPr>
        <w:footnoteReference w:id="568"/>
      </w:r>
    </w:p>
    <w:p w:rsidR="002B6E12" w:rsidRDefault="002B6E12" w:rsidP="002B6E12">
      <w:pPr>
        <w:numPr>
          <w:ilvl w:val="0"/>
          <w:numId w:val="2"/>
        </w:numPr>
        <w:jc w:val="both"/>
        <w:rPr>
          <w:rFonts w:ascii="Times New Roman" w:hAnsi="Times New Roman"/>
          <w:sz w:val="24"/>
          <w:szCs w:val="24"/>
          <w:lang w:val="sr-Cyrl-CS"/>
        </w:rPr>
      </w:pPr>
      <w:r w:rsidRPr="00350FEB">
        <w:rPr>
          <w:rFonts w:ascii="Times New Roman" w:hAnsi="Times New Roman"/>
          <w:sz w:val="24"/>
          <w:szCs w:val="24"/>
          <w:lang w:val="sr-Cyrl-CS"/>
        </w:rPr>
        <w:t>Технологија и технолошке иновације, посебно у области размене ин</w:t>
      </w:r>
      <w:r>
        <w:rPr>
          <w:rFonts w:ascii="Times New Roman" w:hAnsi="Times New Roman"/>
          <w:sz w:val="24"/>
          <w:szCs w:val="24"/>
          <w:lang w:val="sr-Cyrl-CS"/>
        </w:rPr>
        <w:t>формација и комуни</w:t>
      </w:r>
      <w:r w:rsidRPr="00350FEB">
        <w:rPr>
          <w:rFonts w:ascii="Times New Roman" w:hAnsi="Times New Roman"/>
          <w:sz w:val="24"/>
          <w:szCs w:val="24"/>
          <w:lang w:val="sr-Cyrl-CS"/>
        </w:rPr>
        <w:t xml:space="preserve">кација. Глобализација финансијског тржишта, брзо пребацивање новца, организација транснационалне производње. </w:t>
      </w:r>
    </w:p>
    <w:p w:rsidR="002B6E12" w:rsidRPr="00350FEB" w:rsidRDefault="002B6E12" w:rsidP="002B6E12">
      <w:pPr>
        <w:numPr>
          <w:ilvl w:val="0"/>
          <w:numId w:val="2"/>
        </w:numPr>
        <w:jc w:val="both"/>
        <w:rPr>
          <w:rFonts w:ascii="Times New Roman" w:hAnsi="Times New Roman"/>
          <w:sz w:val="24"/>
          <w:szCs w:val="24"/>
          <w:lang w:val="sr-Cyrl-CS"/>
        </w:rPr>
      </w:pPr>
      <w:r w:rsidRPr="00350FEB">
        <w:rPr>
          <w:rFonts w:ascii="Times New Roman" w:hAnsi="Times New Roman"/>
          <w:sz w:val="24"/>
          <w:szCs w:val="24"/>
          <w:lang w:val="sr-Cyrl-CS"/>
        </w:rPr>
        <w:t>Смањење трошкова транспорта и брзина отпремања робе, што омогућава да се производи као што су софтвер и базе података шаљу у кратком року са једног на други крај света</w:t>
      </w:r>
      <w:r>
        <w:rPr>
          <w:rFonts w:ascii="Times New Roman" w:hAnsi="Times New Roman"/>
          <w:sz w:val="24"/>
          <w:szCs w:val="24"/>
          <w:lang w:val="sr-Cyrl-CS"/>
        </w:rPr>
        <w:t>.</w:t>
      </w:r>
    </w:p>
    <w:p w:rsidR="00A148D5" w:rsidRPr="00A148D5" w:rsidRDefault="002B6E12" w:rsidP="00A148D5">
      <w:pPr>
        <w:pStyle w:val="ListParagraph"/>
        <w:numPr>
          <w:ilvl w:val="0"/>
          <w:numId w:val="2"/>
        </w:numPr>
        <w:jc w:val="both"/>
        <w:rPr>
          <w:rFonts w:ascii="Times New Roman" w:hAnsi="Times New Roman"/>
          <w:sz w:val="24"/>
          <w:szCs w:val="24"/>
        </w:rPr>
      </w:pPr>
      <w:r w:rsidRPr="00A148D5">
        <w:rPr>
          <w:rFonts w:ascii="Times New Roman" w:hAnsi="Times New Roman"/>
          <w:sz w:val="24"/>
          <w:szCs w:val="24"/>
          <w:lang w:val="sr-Cyrl-CS"/>
        </w:rPr>
        <w:t xml:space="preserve">Крај Хладног рата јер је током трајања конфликта Исток-Запад свет био подељен. Падом ове границе (рушењем берлинског зида 1989. године) сарадња између држава </w:t>
      </w:r>
      <w:r w:rsidR="00257D94">
        <w:rPr>
          <w:rFonts w:ascii="Times New Roman" w:hAnsi="Times New Roman"/>
          <w:sz w:val="24"/>
          <w:szCs w:val="24"/>
          <w:lang w:val="sr-Cyrl-CS"/>
        </w:rPr>
        <w:t>је постала интензивнија</w:t>
      </w:r>
      <w:r w:rsidRPr="00A148D5">
        <w:rPr>
          <w:rFonts w:ascii="Times New Roman" w:hAnsi="Times New Roman"/>
          <w:sz w:val="24"/>
          <w:szCs w:val="24"/>
          <w:lang w:val="sr-Cyrl-CS"/>
        </w:rPr>
        <w:t xml:space="preserve">. Државе Источног блока су </w:t>
      </w:r>
      <w:r w:rsidR="00A148D5" w:rsidRPr="00A148D5">
        <w:rPr>
          <w:rFonts w:ascii="Times New Roman" w:hAnsi="Times New Roman"/>
          <w:sz w:val="24"/>
          <w:szCs w:val="24"/>
          <w:lang w:val="sr-Cyrl-CS"/>
        </w:rPr>
        <w:t xml:space="preserve">се укључиле у светска тржишта опредељујући се за тржишну економију. </w:t>
      </w:r>
      <w:r w:rsidR="00A148D5">
        <w:rPr>
          <w:rFonts w:ascii="Times New Roman" w:hAnsi="Times New Roman"/>
          <w:sz w:val="24"/>
          <w:szCs w:val="24"/>
          <w:lang w:val="sr-Cyrl-CS"/>
        </w:rPr>
        <w:t xml:space="preserve"> </w:t>
      </w:r>
      <w:r w:rsidR="00257D94">
        <w:rPr>
          <w:rFonts w:ascii="Times New Roman" w:hAnsi="Times New Roman"/>
          <w:sz w:val="24"/>
          <w:szCs w:val="24"/>
          <w:lang w:val="sr-Cyrl-CS"/>
        </w:rPr>
        <w:t xml:space="preserve"> </w:t>
      </w:r>
    </w:p>
    <w:p w:rsidR="002B6E12" w:rsidRPr="00A148D5" w:rsidRDefault="009D418C" w:rsidP="00A148D5">
      <w:pPr>
        <w:ind w:firstLine="630"/>
        <w:jc w:val="both"/>
        <w:rPr>
          <w:rFonts w:ascii="Times New Roman" w:hAnsi="Times New Roman"/>
          <w:sz w:val="24"/>
          <w:szCs w:val="24"/>
        </w:rPr>
      </w:pPr>
      <w:r>
        <w:rPr>
          <w:rFonts w:ascii="Times New Roman" w:hAnsi="Times New Roman"/>
          <w:sz w:val="24"/>
          <w:szCs w:val="24"/>
          <w:lang w:val="sr-Cyrl-CS"/>
        </w:rPr>
        <w:t>„</w:t>
      </w:r>
      <w:r w:rsidR="002B6E12" w:rsidRPr="00A148D5">
        <w:rPr>
          <w:rFonts w:ascii="Times New Roman" w:hAnsi="Times New Roman"/>
          <w:sz w:val="24"/>
          <w:szCs w:val="24"/>
          <w:lang w:val="sr-Cyrl-CS"/>
        </w:rPr>
        <w:t xml:space="preserve">Порески прописи такође могу да подстичу одређена корпоративна понашања, примера ради, путем неопорезивања добротворних улагања или повољнијег пореског третмана одређених примања запослених. Коришћење таквих пореских опција спада у прихватљиву закониту евазију пореза, која је у складу са намером законодавца да пореским путем усмери активности обвезника у жељеном правцу. Сва остала понашања </w:t>
      </w:r>
      <w:r w:rsidR="002B6E12" w:rsidRPr="00A148D5">
        <w:rPr>
          <w:rFonts w:ascii="Times New Roman" w:hAnsi="Times New Roman"/>
          <w:sz w:val="24"/>
          <w:szCs w:val="24"/>
          <w:lang w:val="sr-Cyrl-CS"/>
        </w:rPr>
        <w:lastRenderedPageBreak/>
        <w:t>пореских обвезника која за основни или искључиви циљ имају остваривање одређених пореских погодности, стављајући у други план постизање економских, односно комерцијалних циљева, квалификују се у савременој пореској теорији и пракси као облици неприхватљиве законите евазије пореза. Такве трансакције су у супротности са сврхом пореског закона јер путем њих обвезник (корпорација) спушта пореску обавезу испод нивоа који је законодавац имао у виду одобравајући одступања од „општег пореског режима“. У суштини, ради се о коришћењу (злоупотреби) артифицијелних пореских олакшица (tax shelter).</w:t>
      </w:r>
      <w:r>
        <w:rPr>
          <w:rFonts w:ascii="Times New Roman" w:hAnsi="Times New Roman"/>
          <w:sz w:val="24"/>
          <w:szCs w:val="24"/>
          <w:lang w:val="sr-Cyrl-CS"/>
        </w:rPr>
        <w:t>“</w:t>
      </w:r>
      <w:r w:rsidR="002B6E12">
        <w:rPr>
          <w:rStyle w:val="FootnoteReference"/>
          <w:rFonts w:ascii="Times New Roman" w:hAnsi="Times New Roman"/>
          <w:sz w:val="24"/>
          <w:szCs w:val="24"/>
          <w:lang w:val="sr-Cyrl-CS"/>
        </w:rPr>
        <w:footnoteReference w:id="569"/>
      </w:r>
      <w:r w:rsidR="002B6E12" w:rsidRPr="00A148D5">
        <w:rPr>
          <w:rFonts w:ascii="Times New Roman" w:hAnsi="Times New Roman"/>
          <w:sz w:val="24"/>
          <w:szCs w:val="24"/>
          <w:lang w:val="sr-Cyrl-CS"/>
        </w:rPr>
        <w:t xml:space="preserve"> Методологија коришћења ових олакшица је различита и варира у зависности од националних и међународних пореских закона, а најчешће се огледа у злоупотребама преко о</w:t>
      </w:r>
      <w:r w:rsidR="002B6E12" w:rsidRPr="00A148D5">
        <w:rPr>
          <w:rFonts w:ascii="Times New Roman" w:hAnsi="Times New Roman"/>
          <w:sz w:val="24"/>
          <w:szCs w:val="24"/>
        </w:rPr>
        <w:t>ff-shore</w:t>
      </w:r>
      <w:r w:rsidR="002B6E12" w:rsidRPr="00A148D5">
        <w:rPr>
          <w:rFonts w:ascii="Times New Roman" w:hAnsi="Times New Roman"/>
          <w:sz w:val="24"/>
          <w:szCs w:val="24"/>
          <w:lang w:val="sr-Cyrl-CS"/>
        </w:rPr>
        <w:t xml:space="preserve"> компанија или преко сложених међународних трансакција повезаних лица.</w:t>
      </w:r>
    </w:p>
    <w:p w:rsidR="002B6E12" w:rsidRDefault="002B6E12" w:rsidP="002B6E12">
      <w:pPr>
        <w:ind w:firstLine="630"/>
        <w:jc w:val="both"/>
        <w:rPr>
          <w:rFonts w:ascii="Times New Roman" w:hAnsi="Times New Roman"/>
          <w:sz w:val="24"/>
          <w:szCs w:val="24"/>
          <w:lang w:val="sr-Cyrl-CS"/>
        </w:rPr>
      </w:pPr>
      <w:r>
        <w:rPr>
          <w:rFonts w:ascii="Times New Roman" w:hAnsi="Times New Roman"/>
          <w:sz w:val="24"/>
          <w:szCs w:val="24"/>
          <w:lang w:val="sr-Cyrl-CS"/>
        </w:rPr>
        <w:t>Оцењујући да је у земљама Европске уније створен један нов амбијент који ствара добру подлогу за појаву нових облика сиве економије, аналитичари земаља чланица Уније као решење препоручују мере пореске истраге. Уговором Уније из Мастрихта и Амстердама установљена је надлежност Уније за питања пореске утаје и обезбеђење правних мера у борби против те појаве у земљама чланицама. Основан је и посебан Директорат за превентивно сузбијање пореске утаје (UCLAF), који може да иницира истраге у односу на сваку нерегуларну активност која штети интересима Уније. Истраге се врше без обзира на то да ли је нерегуларна активност у оквирима ЕУ, код чланице ЕУ или земљи која није чланица Уније. Установ</w:t>
      </w:r>
      <w:r w:rsidR="00B37D39">
        <w:rPr>
          <w:rFonts w:ascii="Times New Roman" w:hAnsi="Times New Roman"/>
          <w:sz w:val="24"/>
          <w:szCs w:val="24"/>
          <w:lang w:val="sr-Cyrl-CS"/>
        </w:rPr>
        <w:t>љена је нова врста контроле којо</w:t>
      </w:r>
      <w:r>
        <w:rPr>
          <w:rFonts w:ascii="Times New Roman" w:hAnsi="Times New Roman"/>
          <w:sz w:val="24"/>
          <w:szCs w:val="24"/>
          <w:lang w:val="sr-Cyrl-CS"/>
        </w:rPr>
        <w:t xml:space="preserve">м се налаже да са пријавом пореза на додату вредност мора да буде упозната Централна служба за комуникацију </w:t>
      </w:r>
      <w:r>
        <w:rPr>
          <w:rFonts w:ascii="Times New Roman" w:hAnsi="Times New Roman"/>
          <w:sz w:val="24"/>
          <w:szCs w:val="24"/>
        </w:rPr>
        <w:t xml:space="preserve">(CLO-Central Liason Office) </w:t>
      </w:r>
      <w:r>
        <w:rPr>
          <w:rFonts w:ascii="Times New Roman" w:hAnsi="Times New Roman"/>
          <w:sz w:val="24"/>
          <w:szCs w:val="24"/>
          <w:lang w:val="sr-Cyrl-CS"/>
        </w:rPr>
        <w:t>која је формирана у свакој земљи чланици као део пореске администрације.</w:t>
      </w:r>
    </w:p>
    <w:p w:rsidR="002B6E12" w:rsidRPr="00F57A94" w:rsidRDefault="002B6E12" w:rsidP="002B6E12">
      <w:pPr>
        <w:ind w:firstLine="630"/>
        <w:jc w:val="both"/>
        <w:rPr>
          <w:rFonts w:ascii="Times New Roman" w:hAnsi="Times New Roman"/>
          <w:sz w:val="24"/>
          <w:szCs w:val="24"/>
          <w:lang w:val="sr-Cyrl-CS"/>
        </w:rPr>
      </w:pPr>
      <w:r>
        <w:rPr>
          <w:rFonts w:ascii="Times New Roman" w:hAnsi="Times New Roman"/>
          <w:sz w:val="24"/>
          <w:szCs w:val="24"/>
          <w:lang w:val="sr-Cyrl-CS"/>
        </w:rPr>
        <w:t xml:space="preserve">Међутим, </w:t>
      </w:r>
      <w:r w:rsidR="005B0F0D">
        <w:rPr>
          <w:rFonts w:ascii="Times New Roman" w:hAnsi="Times New Roman"/>
          <w:sz w:val="24"/>
          <w:szCs w:val="24"/>
          <w:lang w:val="sr-Cyrl-CS"/>
        </w:rPr>
        <w:t>као и свака истрага</w:t>
      </w:r>
      <w:r>
        <w:rPr>
          <w:rFonts w:ascii="Times New Roman" w:hAnsi="Times New Roman"/>
          <w:sz w:val="24"/>
          <w:szCs w:val="24"/>
          <w:lang w:val="sr-Cyrl-CS"/>
        </w:rPr>
        <w:t xml:space="preserve"> и пореска</w:t>
      </w:r>
      <w:r w:rsidRPr="00F57A94">
        <w:rPr>
          <w:rFonts w:ascii="Times New Roman" w:hAnsi="Times New Roman"/>
          <w:sz w:val="24"/>
          <w:szCs w:val="24"/>
          <w:lang w:val="sr-Cyrl-CS"/>
        </w:rPr>
        <w:t xml:space="preserve"> </w:t>
      </w:r>
      <w:r w:rsidR="005B0F0D">
        <w:rPr>
          <w:rFonts w:ascii="Times New Roman" w:hAnsi="Times New Roman"/>
          <w:sz w:val="24"/>
          <w:szCs w:val="24"/>
          <w:lang w:val="sr-Cyrl-CS"/>
        </w:rPr>
        <w:t xml:space="preserve">истрага </w:t>
      </w:r>
      <w:r w:rsidRPr="00F57A94">
        <w:rPr>
          <w:rFonts w:ascii="Times New Roman" w:hAnsi="Times New Roman"/>
          <w:sz w:val="24"/>
          <w:szCs w:val="24"/>
          <w:lang w:val="sr-Cyrl-CS"/>
        </w:rPr>
        <w:t>захтева одређене претпоставке</w:t>
      </w:r>
      <w:r w:rsidR="005B0F0D">
        <w:rPr>
          <w:rFonts w:ascii="Times New Roman" w:hAnsi="Times New Roman"/>
          <w:sz w:val="24"/>
          <w:szCs w:val="24"/>
          <w:lang w:val="sr-Cyrl-CS"/>
        </w:rPr>
        <w:t xml:space="preserve"> и то</w:t>
      </w:r>
      <w:r w:rsidRPr="00F57A94">
        <w:rPr>
          <w:rFonts w:ascii="Times New Roman" w:hAnsi="Times New Roman"/>
          <w:sz w:val="24"/>
          <w:szCs w:val="24"/>
          <w:lang w:val="sr-Cyrl-CS"/>
        </w:rPr>
        <w:t>:</w:t>
      </w:r>
    </w:p>
    <w:p w:rsidR="002B6E12" w:rsidRPr="00617F4D" w:rsidRDefault="002B6E12" w:rsidP="002B6E12">
      <w:pPr>
        <w:rPr>
          <w:rFonts w:ascii="Times New Roman" w:hAnsi="Times New Roman"/>
          <w:sz w:val="24"/>
          <w:szCs w:val="24"/>
          <w:lang w:val="sr-Cyrl-CS"/>
        </w:rPr>
      </w:pPr>
      <w:r w:rsidRPr="00F57A94">
        <w:rPr>
          <w:lang w:val="sr-Cyrl-CS"/>
        </w:rPr>
        <w:t xml:space="preserve">– </w:t>
      </w:r>
      <w:r w:rsidR="005B0F0D">
        <w:rPr>
          <w:lang w:val="sr-Cyrl-CS"/>
        </w:rPr>
        <w:t>„</w:t>
      </w:r>
      <w:r w:rsidRPr="00617F4D">
        <w:rPr>
          <w:rFonts w:ascii="Times New Roman" w:hAnsi="Times New Roman"/>
          <w:sz w:val="24"/>
          <w:szCs w:val="24"/>
          <w:lang w:val="sr-Cyrl-CS"/>
        </w:rPr>
        <w:t>већи степен сарадње између домаћих организација и пореских власти;</w:t>
      </w:r>
    </w:p>
    <w:p w:rsidR="002B6E12" w:rsidRPr="00617F4D" w:rsidRDefault="002B6E12" w:rsidP="002B6E12">
      <w:pPr>
        <w:rPr>
          <w:rFonts w:ascii="Times New Roman" w:hAnsi="Times New Roman"/>
          <w:sz w:val="24"/>
          <w:szCs w:val="24"/>
          <w:lang w:val="sr-Cyrl-CS"/>
        </w:rPr>
      </w:pPr>
      <w:r w:rsidRPr="00617F4D">
        <w:rPr>
          <w:rFonts w:ascii="Times New Roman" w:hAnsi="Times New Roman"/>
          <w:sz w:val="24"/>
          <w:szCs w:val="24"/>
          <w:lang w:val="sr-Cyrl-CS"/>
        </w:rPr>
        <w:t>– већи степен сарадње суверених држава у области размене пореских информација;</w:t>
      </w:r>
    </w:p>
    <w:p w:rsidR="002B6E12" w:rsidRPr="00617F4D" w:rsidRDefault="002B6E12" w:rsidP="002B6E12">
      <w:pPr>
        <w:rPr>
          <w:rFonts w:ascii="Times New Roman" w:hAnsi="Times New Roman"/>
          <w:sz w:val="24"/>
          <w:szCs w:val="24"/>
          <w:lang w:val="sr-Cyrl-CS"/>
        </w:rPr>
      </w:pPr>
      <w:r w:rsidRPr="00617F4D">
        <w:rPr>
          <w:rFonts w:ascii="Times New Roman" w:hAnsi="Times New Roman"/>
          <w:sz w:val="24"/>
          <w:szCs w:val="24"/>
          <w:lang w:val="sr-Cyrl-CS"/>
        </w:rPr>
        <w:t>– примену стриктних законских правила о прању новца и пореским профилима;</w:t>
      </w:r>
    </w:p>
    <w:p w:rsidR="002B6E12" w:rsidRPr="00617F4D" w:rsidRDefault="002B6E12" w:rsidP="002B6E12">
      <w:pPr>
        <w:rPr>
          <w:rFonts w:ascii="Times New Roman" w:hAnsi="Times New Roman"/>
          <w:sz w:val="24"/>
          <w:szCs w:val="24"/>
          <w:lang w:val="sr-Cyrl-CS"/>
        </w:rPr>
      </w:pPr>
      <w:r w:rsidRPr="00617F4D">
        <w:rPr>
          <w:rFonts w:ascii="Times New Roman" w:hAnsi="Times New Roman"/>
          <w:sz w:val="24"/>
          <w:szCs w:val="24"/>
          <w:lang w:val="sr-Cyrl-CS"/>
        </w:rPr>
        <w:t xml:space="preserve">– интернационализацију пореских режима и </w:t>
      </w:r>
    </w:p>
    <w:p w:rsidR="002B6E12" w:rsidRDefault="002B6E12" w:rsidP="002B6E12">
      <w:pPr>
        <w:rPr>
          <w:lang w:val="sr-Cyrl-CS"/>
        </w:rPr>
      </w:pPr>
      <w:r w:rsidRPr="00617F4D">
        <w:rPr>
          <w:rFonts w:ascii="Times New Roman" w:hAnsi="Times New Roman"/>
          <w:sz w:val="24"/>
          <w:szCs w:val="24"/>
          <w:lang w:val="sr-Cyrl-CS"/>
        </w:rPr>
        <w:t>– сузбијање корупције у јавним службама</w:t>
      </w:r>
      <w:r w:rsidRPr="00F57A94">
        <w:rPr>
          <w:lang w:val="sr-Cyrl-CS"/>
        </w:rPr>
        <w:t>.</w:t>
      </w:r>
      <w:r w:rsidR="005B0F0D">
        <w:rPr>
          <w:lang w:val="sr-Cyrl-CS"/>
        </w:rPr>
        <w:t>“</w:t>
      </w:r>
      <w:r>
        <w:rPr>
          <w:rStyle w:val="FootnoteReference"/>
          <w:rFonts w:ascii="Times New Roman" w:hAnsi="Times New Roman"/>
          <w:sz w:val="24"/>
          <w:szCs w:val="24"/>
          <w:lang w:val="sr-Cyrl-CS"/>
        </w:rPr>
        <w:footnoteReference w:id="570"/>
      </w:r>
    </w:p>
    <w:p w:rsidR="00AF6B6D" w:rsidRPr="005E7076" w:rsidRDefault="00AF6B6D" w:rsidP="002B6E12"/>
    <w:p w:rsidR="002B6E12" w:rsidRDefault="002B6E12" w:rsidP="002B6E12">
      <w:pPr>
        <w:rPr>
          <w:rFonts w:ascii="Times New Roman" w:hAnsi="Times New Roman"/>
          <w:sz w:val="24"/>
          <w:szCs w:val="24"/>
          <w:lang w:val="sr-Cyrl-CS"/>
        </w:rPr>
      </w:pPr>
    </w:p>
    <w:p w:rsidR="002B6E12" w:rsidRPr="00EB3679" w:rsidRDefault="002B6E12" w:rsidP="008A3795">
      <w:pPr>
        <w:pStyle w:val="ListParagraph"/>
        <w:numPr>
          <w:ilvl w:val="0"/>
          <w:numId w:val="58"/>
        </w:numPr>
        <w:jc w:val="center"/>
        <w:rPr>
          <w:rFonts w:ascii="Times New Roman" w:hAnsi="Times New Roman"/>
          <w:b/>
          <w:sz w:val="28"/>
          <w:szCs w:val="28"/>
        </w:rPr>
      </w:pPr>
      <w:r w:rsidRPr="00EB3679">
        <w:rPr>
          <w:rFonts w:ascii="Times New Roman" w:hAnsi="Times New Roman"/>
          <w:b/>
          <w:sz w:val="28"/>
          <w:szCs w:val="28"/>
          <w:lang w:val="sr-Cyrl-CS"/>
        </w:rPr>
        <w:lastRenderedPageBreak/>
        <w:t>Избегавање плаћања пореза и процес европских интеграција</w:t>
      </w:r>
    </w:p>
    <w:p w:rsidR="002B6E12" w:rsidRPr="00347415" w:rsidRDefault="002B6E12" w:rsidP="002B6E12">
      <w:pPr>
        <w:pStyle w:val="ListParagraph"/>
        <w:ind w:left="1800"/>
        <w:jc w:val="center"/>
        <w:rPr>
          <w:rFonts w:ascii="Times New Roman" w:hAnsi="Times New Roman"/>
          <w:b/>
          <w:sz w:val="24"/>
          <w:szCs w:val="24"/>
        </w:rPr>
      </w:pPr>
    </w:p>
    <w:p w:rsidR="002B6E12" w:rsidRDefault="002B6E12" w:rsidP="002B6E12">
      <w:pPr>
        <w:jc w:val="both"/>
        <w:rPr>
          <w:rFonts w:ascii="Times New Roman" w:hAnsi="Times New Roman"/>
          <w:sz w:val="24"/>
          <w:szCs w:val="24"/>
          <w:lang w:val="sr-Cyrl-CS"/>
        </w:rPr>
      </w:pPr>
      <w:r>
        <w:rPr>
          <w:rFonts w:ascii="Times New Roman" w:hAnsi="Times New Roman"/>
          <w:sz w:val="24"/>
          <w:szCs w:val="24"/>
          <w:lang w:val="sr-Cyrl-CS"/>
        </w:rPr>
        <w:t xml:space="preserve"> </w:t>
      </w:r>
    </w:p>
    <w:p w:rsidR="002B6E12" w:rsidRDefault="002B6E12" w:rsidP="002B6E12">
      <w:pPr>
        <w:ind w:firstLine="630"/>
        <w:jc w:val="both"/>
        <w:rPr>
          <w:rFonts w:ascii="Times New Roman" w:hAnsi="Times New Roman"/>
          <w:sz w:val="24"/>
          <w:szCs w:val="24"/>
          <w:lang w:val="sr-Cyrl-CS"/>
        </w:rPr>
      </w:pPr>
      <w:r>
        <w:rPr>
          <w:rFonts w:ascii="Times New Roman" w:hAnsi="Times New Roman"/>
          <w:sz w:val="24"/>
          <w:szCs w:val="24"/>
          <w:lang w:val="sr-Cyrl-CS"/>
        </w:rPr>
        <w:t xml:space="preserve">Истовремено са процесом глобализације савременог света, одвијају се интегративни процеси. Међу тим процесима највиши домет је достигла  Европска унија. </w:t>
      </w:r>
      <w:r w:rsidR="007C628C">
        <w:rPr>
          <w:rFonts w:ascii="Times New Roman" w:hAnsi="Times New Roman"/>
          <w:sz w:val="24"/>
          <w:szCs w:val="24"/>
          <w:lang w:val="sr-Cyrl-CS"/>
        </w:rPr>
        <w:t xml:space="preserve">Европске интеграције представљају политичку, економску и правну интеграцију држава у Европи. </w:t>
      </w:r>
      <w:r>
        <w:rPr>
          <w:rFonts w:ascii="Times New Roman" w:hAnsi="Times New Roman"/>
          <w:sz w:val="24"/>
          <w:szCs w:val="24"/>
          <w:lang w:val="sr-Cyrl-CS"/>
        </w:rPr>
        <w:t>Она представља најуспешније остварен облик економске и политичке интеграције у свету и има завидан углед и значајан положај на глобалној сцени. Ова наднационална заједница обухвата веома различите државе. У глобалном смислу има значајну улогу у економском сектору, имајући у виду степен учешћа у БДП као и у области спољнотрговинс</w:t>
      </w:r>
      <w:r w:rsidR="00B37D39">
        <w:rPr>
          <w:rFonts w:ascii="Times New Roman" w:hAnsi="Times New Roman"/>
          <w:sz w:val="24"/>
          <w:szCs w:val="24"/>
          <w:lang w:val="sr-Cyrl-CS"/>
        </w:rPr>
        <w:t>к</w:t>
      </w:r>
      <w:r>
        <w:rPr>
          <w:rFonts w:ascii="Times New Roman" w:hAnsi="Times New Roman"/>
          <w:sz w:val="24"/>
          <w:szCs w:val="24"/>
          <w:lang w:val="sr-Cyrl-CS"/>
        </w:rPr>
        <w:t>их односа. У циљу стварања заједничког тржишта и привредног развоја процес интеграције у економској области је веома изражен. Европска унија привлачи велику пажњу од свог настанка, па тако и у нашој земљи, посебно имајући у виду да питање прикључења Европској унији добија све више на значају.</w:t>
      </w:r>
    </w:p>
    <w:p w:rsidR="002B6E12" w:rsidRDefault="007C628C" w:rsidP="002B6E12">
      <w:pPr>
        <w:ind w:firstLine="630"/>
        <w:jc w:val="both"/>
        <w:rPr>
          <w:rFonts w:ascii="Times New Roman" w:hAnsi="Times New Roman"/>
          <w:sz w:val="24"/>
          <w:szCs w:val="24"/>
          <w:lang w:val="sr-Cyrl-CS"/>
        </w:rPr>
      </w:pPr>
      <w:r>
        <w:rPr>
          <w:rFonts w:ascii="Times New Roman" w:hAnsi="Times New Roman"/>
          <w:sz w:val="24"/>
          <w:szCs w:val="24"/>
          <w:lang w:val="sr-Cyrl-CS"/>
        </w:rPr>
        <w:t>Уједињење</w:t>
      </w:r>
      <w:r w:rsidR="002B6E12">
        <w:rPr>
          <w:rFonts w:ascii="Times New Roman" w:hAnsi="Times New Roman"/>
          <w:sz w:val="24"/>
          <w:szCs w:val="24"/>
          <w:lang w:val="sr-Cyrl-CS"/>
        </w:rPr>
        <w:t xml:space="preserve"> Еропе </w:t>
      </w:r>
      <w:r>
        <w:rPr>
          <w:rFonts w:ascii="Times New Roman" w:hAnsi="Times New Roman"/>
          <w:sz w:val="24"/>
          <w:szCs w:val="24"/>
          <w:lang w:val="sr-Cyrl-CS"/>
        </w:rPr>
        <w:t xml:space="preserve">се као идеја јавила </w:t>
      </w:r>
      <w:r w:rsidR="002B6E12">
        <w:rPr>
          <w:rFonts w:ascii="Times New Roman" w:hAnsi="Times New Roman"/>
          <w:sz w:val="24"/>
          <w:szCs w:val="24"/>
          <w:lang w:val="sr-Cyrl-CS"/>
        </w:rPr>
        <w:t xml:space="preserve">доста рано. </w:t>
      </w:r>
      <w:r w:rsidR="00B26837">
        <w:rPr>
          <w:rFonts w:ascii="Times New Roman" w:hAnsi="Times New Roman"/>
          <w:sz w:val="24"/>
          <w:szCs w:val="24"/>
          <w:lang w:val="sr-Cyrl-CS"/>
        </w:rPr>
        <w:t xml:space="preserve">Ова идеја се најчешће везује за </w:t>
      </w:r>
      <w:r w:rsidR="002B6E12">
        <w:rPr>
          <w:rFonts w:ascii="Times New Roman" w:hAnsi="Times New Roman"/>
          <w:sz w:val="24"/>
          <w:szCs w:val="24"/>
          <w:lang w:val="sr-Cyrl-CS"/>
        </w:rPr>
        <w:t xml:space="preserve">период после Другог светског рата, односно </w:t>
      </w:r>
      <w:r w:rsidR="00B26837">
        <w:rPr>
          <w:rFonts w:ascii="Times New Roman" w:hAnsi="Times New Roman"/>
          <w:sz w:val="24"/>
          <w:szCs w:val="24"/>
          <w:lang w:val="sr-Cyrl-CS"/>
        </w:rPr>
        <w:t xml:space="preserve">за </w:t>
      </w:r>
      <w:r w:rsidR="002B6E12">
        <w:rPr>
          <w:rFonts w:ascii="Times New Roman" w:hAnsi="Times New Roman"/>
          <w:sz w:val="24"/>
          <w:szCs w:val="24"/>
          <w:lang w:val="sr-Cyrl-CS"/>
        </w:rPr>
        <w:t xml:space="preserve">период настанка интеграционих процеса, </w:t>
      </w:r>
      <w:r w:rsidR="00B26837">
        <w:rPr>
          <w:rFonts w:ascii="Times New Roman" w:hAnsi="Times New Roman"/>
          <w:sz w:val="24"/>
          <w:szCs w:val="24"/>
          <w:lang w:val="sr-Cyrl-CS"/>
        </w:rPr>
        <w:t>али се генеза ове идеје може пратити много раније и већ по завршетку</w:t>
      </w:r>
      <w:r w:rsidR="002B6E12">
        <w:rPr>
          <w:rFonts w:ascii="Times New Roman" w:hAnsi="Times New Roman"/>
          <w:sz w:val="24"/>
          <w:szCs w:val="24"/>
          <w:lang w:val="sr-Cyrl-CS"/>
        </w:rPr>
        <w:t xml:space="preserve"> Првог светс</w:t>
      </w:r>
      <w:r>
        <w:rPr>
          <w:rFonts w:ascii="Times New Roman" w:hAnsi="Times New Roman"/>
          <w:sz w:val="24"/>
          <w:szCs w:val="24"/>
          <w:lang w:val="sr-Cyrl-CS"/>
        </w:rPr>
        <w:t xml:space="preserve">ког рата </w:t>
      </w:r>
      <w:r w:rsidR="00B26837">
        <w:rPr>
          <w:rFonts w:ascii="Times New Roman" w:hAnsi="Times New Roman"/>
          <w:sz w:val="24"/>
          <w:szCs w:val="24"/>
          <w:lang w:val="sr-Cyrl-CS"/>
        </w:rPr>
        <w:t xml:space="preserve">је </w:t>
      </w:r>
      <w:r>
        <w:rPr>
          <w:rFonts w:ascii="Times New Roman" w:hAnsi="Times New Roman"/>
          <w:sz w:val="24"/>
          <w:szCs w:val="24"/>
          <w:lang w:val="sr-Cyrl-CS"/>
        </w:rPr>
        <w:t xml:space="preserve">учињен </w:t>
      </w:r>
      <w:r w:rsidR="002B6E12">
        <w:rPr>
          <w:rFonts w:ascii="Times New Roman" w:hAnsi="Times New Roman"/>
          <w:sz w:val="24"/>
          <w:szCs w:val="24"/>
          <w:lang w:val="sr-Cyrl-CS"/>
        </w:rPr>
        <w:t>први покушај успостављања ближе сарадње европских земаља.</w:t>
      </w:r>
      <w:r w:rsidR="002B6E12">
        <w:rPr>
          <w:rStyle w:val="FootnoteReference"/>
          <w:rFonts w:ascii="Times New Roman" w:hAnsi="Times New Roman"/>
          <w:sz w:val="24"/>
          <w:szCs w:val="24"/>
          <w:lang w:val="sr-Cyrl-CS"/>
        </w:rPr>
        <w:footnoteReference w:id="571"/>
      </w:r>
      <w:r w:rsidR="002B6E12">
        <w:rPr>
          <w:rFonts w:ascii="Times New Roman" w:hAnsi="Times New Roman"/>
          <w:sz w:val="24"/>
          <w:szCs w:val="24"/>
          <w:lang w:val="sr-Cyrl-CS"/>
        </w:rPr>
        <w:t xml:space="preserve"> </w:t>
      </w:r>
    </w:p>
    <w:p w:rsidR="002B6E12" w:rsidRPr="00E72775" w:rsidRDefault="002B6E12" w:rsidP="006713F6">
      <w:pPr>
        <w:ind w:firstLine="630"/>
        <w:jc w:val="both"/>
        <w:rPr>
          <w:rFonts w:ascii="Times New Roman" w:hAnsi="Times New Roman"/>
          <w:sz w:val="24"/>
          <w:szCs w:val="24"/>
          <w:lang w:val="sr-Cyrl-CS"/>
        </w:rPr>
      </w:pPr>
      <w:r>
        <w:rPr>
          <w:rFonts w:ascii="Times New Roman" w:hAnsi="Times New Roman"/>
          <w:sz w:val="24"/>
          <w:szCs w:val="24"/>
          <w:lang w:val="sr-Cyrl-CS"/>
        </w:rPr>
        <w:t xml:space="preserve">Бројне су дефиниције </w:t>
      </w:r>
      <w:r w:rsidR="00F011B4">
        <w:rPr>
          <w:rFonts w:ascii="Times New Roman" w:hAnsi="Times New Roman"/>
          <w:sz w:val="24"/>
          <w:szCs w:val="24"/>
          <w:lang w:val="sr-Cyrl-CS"/>
        </w:rPr>
        <w:t xml:space="preserve">Европске уније </w:t>
      </w:r>
      <w:r>
        <w:rPr>
          <w:rFonts w:ascii="Times New Roman" w:hAnsi="Times New Roman"/>
          <w:sz w:val="24"/>
          <w:szCs w:val="24"/>
          <w:lang w:val="sr-Cyrl-CS"/>
        </w:rPr>
        <w:t xml:space="preserve">и ставови о </w:t>
      </w:r>
      <w:r w:rsidR="00F011B4">
        <w:rPr>
          <w:rFonts w:ascii="Times New Roman" w:hAnsi="Times New Roman"/>
          <w:sz w:val="24"/>
          <w:szCs w:val="24"/>
          <w:lang w:val="sr-Cyrl-CS"/>
        </w:rPr>
        <w:t xml:space="preserve">њеном </w:t>
      </w:r>
      <w:r>
        <w:rPr>
          <w:rFonts w:ascii="Times New Roman" w:hAnsi="Times New Roman"/>
          <w:sz w:val="24"/>
          <w:szCs w:val="24"/>
          <w:lang w:val="sr-Cyrl-CS"/>
        </w:rPr>
        <w:t>функционисању</w:t>
      </w:r>
      <w:r w:rsidR="00F011B4">
        <w:rPr>
          <w:rFonts w:ascii="Times New Roman" w:hAnsi="Times New Roman"/>
          <w:sz w:val="24"/>
          <w:szCs w:val="24"/>
          <w:lang w:val="sr-Cyrl-CS"/>
        </w:rPr>
        <w:t>. То је потпуно призната међународна организација имајући у виду да има успостављене дипломатске односе са већином држава света.</w:t>
      </w:r>
      <w:r>
        <w:rPr>
          <w:rStyle w:val="FootnoteReference"/>
          <w:rFonts w:ascii="Times New Roman" w:hAnsi="Times New Roman"/>
          <w:sz w:val="24"/>
          <w:szCs w:val="24"/>
          <w:lang w:val="sr-Cyrl-CS"/>
        </w:rPr>
        <w:footnoteReference w:id="572"/>
      </w:r>
    </w:p>
    <w:p w:rsidR="002B6E12" w:rsidRDefault="00296F40" w:rsidP="002B6E12">
      <w:pPr>
        <w:ind w:firstLine="360"/>
        <w:jc w:val="both"/>
        <w:rPr>
          <w:rFonts w:ascii="Times New Roman" w:hAnsi="Times New Roman"/>
          <w:sz w:val="24"/>
          <w:szCs w:val="24"/>
          <w:lang w:val="sr-Cyrl-CS"/>
        </w:rPr>
      </w:pPr>
      <w:r>
        <w:rPr>
          <w:rFonts w:ascii="Times New Roman" w:hAnsi="Times New Roman"/>
          <w:sz w:val="24"/>
          <w:szCs w:val="24"/>
          <w:lang w:val="sr-Cyrl-CS"/>
        </w:rPr>
        <w:t>„</w:t>
      </w:r>
      <w:r w:rsidR="002B6E12">
        <w:rPr>
          <w:rFonts w:ascii="Times New Roman" w:hAnsi="Times New Roman"/>
          <w:sz w:val="24"/>
          <w:szCs w:val="24"/>
          <w:lang w:val="sr-Cyrl-CS"/>
        </w:rPr>
        <w:t>Европска унија је, у ствари, посебан, „квази-државни“ ентитет међународног јавног права, а не класична међународна организација. Европско право није, дакле, део међународног јавног права, него „унутрашње“ пореско право Европске уније.</w:t>
      </w:r>
      <w:r>
        <w:rPr>
          <w:rFonts w:ascii="Times New Roman" w:hAnsi="Times New Roman"/>
          <w:sz w:val="24"/>
          <w:szCs w:val="24"/>
          <w:lang w:val="sr-Cyrl-CS"/>
        </w:rPr>
        <w:t>“</w:t>
      </w:r>
      <w:r w:rsidR="002B6E12">
        <w:rPr>
          <w:rStyle w:val="FootnoteReference"/>
          <w:rFonts w:ascii="Times New Roman" w:hAnsi="Times New Roman"/>
          <w:sz w:val="24"/>
          <w:szCs w:val="24"/>
          <w:lang w:val="sr-Cyrl-CS"/>
        </w:rPr>
        <w:footnoteReference w:id="573"/>
      </w:r>
    </w:p>
    <w:p w:rsidR="002B6E12" w:rsidRDefault="002B6E12" w:rsidP="002B6E12">
      <w:pPr>
        <w:ind w:firstLine="630"/>
        <w:jc w:val="both"/>
        <w:rPr>
          <w:rFonts w:ascii="Times New Roman" w:hAnsi="Times New Roman"/>
          <w:sz w:val="24"/>
          <w:szCs w:val="24"/>
          <w:lang w:val="sr-Cyrl-CS"/>
        </w:rPr>
      </w:pPr>
      <w:r>
        <w:rPr>
          <w:rFonts w:ascii="Times New Roman" w:hAnsi="Times New Roman"/>
          <w:sz w:val="24"/>
          <w:szCs w:val="24"/>
          <w:lang w:val="sr-Cyrl-CS"/>
        </w:rPr>
        <w:t xml:space="preserve">Значајно место у овом процесу интеграције припада пореском систему, јер је битан циљ према Уговору о оснивању Европске уније, тзв. Римском уговору, стварање јединственог тржишта, односно усаглашавање пореских система, уклањање пореских баријера, уједначавање начина опорезивања, јединствене пореске стопе и основице, како роба других земаља чланица не би била наплаћивана по вишим ценама у односу на домаће производе, као и да  повраћај пореза не буде већи при извозу у другу земљу </w:t>
      </w:r>
      <w:r>
        <w:rPr>
          <w:rFonts w:ascii="Times New Roman" w:hAnsi="Times New Roman"/>
          <w:sz w:val="24"/>
          <w:szCs w:val="24"/>
          <w:lang w:val="sr-Cyrl-CS"/>
        </w:rPr>
        <w:lastRenderedPageBreak/>
        <w:t>чланицу од пореза који би се наплатио у земљи извозници. Међутим, хармонизација пореске структуре иде веома полако, између осталог, због различите фискалне политике земаља чланица и различите структуре њихових пореских система, а највише се постигло у процесу уједначавања везано за порез на додату вредност и акцизе, дакле у домену посредних пореза, док су у домену непосредних пореза резултати много скромнији, а постоји иницијатива за усклађивање пореза на добит.</w:t>
      </w:r>
    </w:p>
    <w:p w:rsidR="002B6E12" w:rsidRDefault="002B6E12" w:rsidP="002B6E12">
      <w:pPr>
        <w:ind w:firstLine="630"/>
        <w:jc w:val="both"/>
        <w:rPr>
          <w:rFonts w:ascii="Times New Roman" w:hAnsi="Times New Roman"/>
          <w:sz w:val="24"/>
          <w:szCs w:val="24"/>
          <w:lang w:val="sr-Cyrl-CS"/>
        </w:rPr>
      </w:pPr>
      <w:r>
        <w:rPr>
          <w:rFonts w:ascii="Times New Roman" w:hAnsi="Times New Roman"/>
          <w:sz w:val="24"/>
          <w:szCs w:val="24"/>
          <w:lang w:val="sr-Cyrl-CS"/>
        </w:rPr>
        <w:t>Постигнути резултати у хармонизацији пореза на додату вредност су значајни и са становишта смањивања пореске евазије, превасходно због тога што посредни порези утичу на цену производа па би неује</w:t>
      </w:r>
      <w:r w:rsidR="00B37D39">
        <w:rPr>
          <w:rFonts w:ascii="Times New Roman" w:hAnsi="Times New Roman"/>
          <w:sz w:val="24"/>
          <w:szCs w:val="24"/>
          <w:lang w:val="sr-Cyrl-CS"/>
        </w:rPr>
        <w:t>д</w:t>
      </w:r>
      <w:r>
        <w:rPr>
          <w:rFonts w:ascii="Times New Roman" w:hAnsi="Times New Roman"/>
          <w:sz w:val="24"/>
          <w:szCs w:val="24"/>
          <w:lang w:val="sr-Cyrl-CS"/>
        </w:rPr>
        <w:t xml:space="preserve">начености довеле до дискриминације на јединственом тржишту и онемогућиле би тржишну утакмицу. </w:t>
      </w:r>
      <w:r>
        <w:rPr>
          <w:rFonts w:ascii="Times New Roman" w:hAnsi="Times New Roman"/>
          <w:sz w:val="24"/>
          <w:szCs w:val="24"/>
        </w:rPr>
        <w:t xml:space="preserve">Циљ је да порез на додату вредност у оквиру заједничког тржишта функционише исто као и у условима унутрашњих националних тржишта земаља чланица. </w:t>
      </w:r>
      <w:r>
        <w:rPr>
          <w:rFonts w:ascii="Times New Roman" w:hAnsi="Times New Roman"/>
          <w:sz w:val="24"/>
          <w:szCs w:val="24"/>
          <w:lang w:val="sr-Cyrl-CS"/>
        </w:rPr>
        <w:t>Уједначеност омогућава да се приликом извоза производа из извозне цене не могу издвојити трошкови на име пореза и рефундирати обвезницима.</w:t>
      </w:r>
    </w:p>
    <w:p w:rsidR="002B6E12" w:rsidRDefault="002B6E12" w:rsidP="002B6E12">
      <w:pPr>
        <w:ind w:firstLine="630"/>
        <w:jc w:val="both"/>
        <w:rPr>
          <w:rFonts w:ascii="Times New Roman" w:hAnsi="Times New Roman"/>
          <w:sz w:val="24"/>
          <w:szCs w:val="24"/>
          <w:lang w:val="sr-Cyrl-CS"/>
        </w:rPr>
      </w:pPr>
      <w:r>
        <w:rPr>
          <w:rFonts w:ascii="Times New Roman" w:hAnsi="Times New Roman"/>
          <w:sz w:val="24"/>
          <w:szCs w:val="24"/>
          <w:lang w:val="sr-Cyrl-CS"/>
        </w:rPr>
        <w:t>Према чл. 14. ст.2. тзв. Римског уговора јединствено тржиште, односно унутрашње тржиште, је подручје без граница на коме се несметано одвија слободно кретање роба, особа, услуга и капитала, у складу са одредбама овог Уговора. Међутим, за несметано деловање заједничког тржишта потребно је ускладити националне прописе не само у домену посредних него и у домену непосредних пореза. Разлоге лошијим резултатима усклађивања непосредних пореза треба тражити најпре у одредбама Римског уговора чије се одредбе углавном односе на посредне порезе,</w:t>
      </w:r>
      <w:r>
        <w:rPr>
          <w:rStyle w:val="FootnoteReference"/>
          <w:rFonts w:ascii="Times New Roman" w:hAnsi="Times New Roman"/>
          <w:sz w:val="24"/>
          <w:szCs w:val="24"/>
          <w:lang w:val="sr-Cyrl-CS"/>
        </w:rPr>
        <w:footnoteReference w:id="574"/>
      </w:r>
      <w:r>
        <w:rPr>
          <w:rFonts w:ascii="Times New Roman" w:hAnsi="Times New Roman"/>
          <w:sz w:val="24"/>
          <w:szCs w:val="24"/>
          <w:lang w:val="sr-Cyrl-CS"/>
        </w:rPr>
        <w:t xml:space="preserve"> док о непосредним порезима нема говора, па они спадају у над</w:t>
      </w:r>
      <w:r w:rsidR="00D92566">
        <w:rPr>
          <w:rFonts w:ascii="Times New Roman" w:hAnsi="Times New Roman"/>
          <w:sz w:val="24"/>
          <w:szCs w:val="24"/>
          <w:lang w:val="sr-Cyrl-CS"/>
        </w:rPr>
        <w:t>лежност држава чланица, као и у различите пореске суверенитете</w:t>
      </w:r>
      <w:r>
        <w:rPr>
          <w:rFonts w:ascii="Times New Roman" w:hAnsi="Times New Roman"/>
          <w:sz w:val="24"/>
          <w:szCs w:val="24"/>
          <w:lang w:val="sr-Cyrl-CS"/>
        </w:rPr>
        <w:t xml:space="preserve"> држава чланица. Стално је присутан прикривен сукоб између потребе стварања јединственог тржишта и тежње земаља чланица да сачувају свој национални фискални суверенитет, односно да се не одричу лако пореских прихода. </w:t>
      </w:r>
    </w:p>
    <w:p w:rsidR="002B6E12" w:rsidRDefault="002B6E12" w:rsidP="002B6E12">
      <w:pPr>
        <w:ind w:firstLine="630"/>
        <w:jc w:val="both"/>
        <w:rPr>
          <w:rFonts w:ascii="Times New Roman" w:hAnsi="Times New Roman"/>
          <w:sz w:val="24"/>
          <w:szCs w:val="24"/>
          <w:lang w:val="sr-Cyrl-CS"/>
        </w:rPr>
      </w:pPr>
      <w:r>
        <w:rPr>
          <w:rFonts w:ascii="Times New Roman" w:hAnsi="Times New Roman"/>
          <w:sz w:val="24"/>
          <w:szCs w:val="24"/>
          <w:lang w:val="sr-Cyrl-CS"/>
        </w:rPr>
        <w:t>Основа уједначавања опорезивања порезом на додату вредност у интересу заједничког тржишта постављена је Првом директивом од 11.04.1967. године, према којој се примењује  општи, свефазни, индиректни порез на потрошњу,</w:t>
      </w:r>
      <w:r>
        <w:rPr>
          <w:rStyle w:val="FootnoteReference"/>
          <w:rFonts w:ascii="Times New Roman" w:hAnsi="Times New Roman"/>
          <w:sz w:val="24"/>
          <w:szCs w:val="24"/>
          <w:lang w:val="sr-Cyrl-CS"/>
        </w:rPr>
        <w:footnoteReference w:id="575"/>
      </w:r>
      <w:r>
        <w:rPr>
          <w:rFonts w:ascii="Times New Roman" w:hAnsi="Times New Roman"/>
          <w:sz w:val="24"/>
          <w:szCs w:val="24"/>
        </w:rPr>
        <w:t xml:space="preserve"> </w:t>
      </w:r>
      <w:r>
        <w:rPr>
          <w:rFonts w:ascii="Times New Roman" w:hAnsi="Times New Roman"/>
          <w:sz w:val="24"/>
          <w:szCs w:val="24"/>
          <w:lang w:val="sr-Cyrl-CS"/>
        </w:rPr>
        <w:t>а која је допуњена Другом директивом.</w:t>
      </w:r>
      <w:r>
        <w:rPr>
          <w:rStyle w:val="FootnoteReference"/>
          <w:rFonts w:ascii="Times New Roman" w:hAnsi="Times New Roman"/>
          <w:sz w:val="24"/>
          <w:szCs w:val="24"/>
          <w:lang w:val="sr-Cyrl-CS"/>
        </w:rPr>
        <w:footnoteReference w:id="576"/>
      </w:r>
      <w:r>
        <w:rPr>
          <w:rFonts w:ascii="Times New Roman" w:hAnsi="Times New Roman"/>
          <w:sz w:val="24"/>
          <w:szCs w:val="24"/>
        </w:rPr>
        <w:t xml:space="preserve"> Даља хармонизација </w:t>
      </w:r>
      <w:r>
        <w:rPr>
          <w:rFonts w:ascii="Times New Roman" w:hAnsi="Times New Roman"/>
          <w:sz w:val="24"/>
          <w:szCs w:val="24"/>
          <w:lang w:val="sr-Cyrl-CS"/>
        </w:rPr>
        <w:t>је настављена доношењем Шесте директиве од 17.05.1977. године.</w:t>
      </w:r>
      <w:r>
        <w:rPr>
          <w:rStyle w:val="FootnoteReference"/>
          <w:rFonts w:ascii="Times New Roman" w:hAnsi="Times New Roman"/>
          <w:sz w:val="24"/>
          <w:szCs w:val="24"/>
          <w:lang w:val="sr-Cyrl-CS"/>
        </w:rPr>
        <w:footnoteReference w:id="577"/>
      </w:r>
      <w:r>
        <w:rPr>
          <w:rFonts w:ascii="Times New Roman" w:hAnsi="Times New Roman"/>
          <w:sz w:val="24"/>
          <w:szCs w:val="24"/>
          <w:lang w:val="sr-Cyrl-CS"/>
        </w:rPr>
        <w:t xml:space="preserve"> </w:t>
      </w:r>
    </w:p>
    <w:p w:rsidR="002B6E12" w:rsidRDefault="007E5651" w:rsidP="002B6E12">
      <w:pPr>
        <w:ind w:firstLine="630"/>
        <w:jc w:val="both"/>
        <w:rPr>
          <w:rFonts w:ascii="Times New Roman" w:hAnsi="Times New Roman"/>
          <w:sz w:val="24"/>
          <w:szCs w:val="24"/>
          <w:lang w:val="sr-Cyrl-CS"/>
        </w:rPr>
      </w:pPr>
      <w:r>
        <w:rPr>
          <w:rFonts w:ascii="Times New Roman" w:hAnsi="Times New Roman"/>
          <w:sz w:val="24"/>
          <w:szCs w:val="24"/>
          <w:lang w:val="sr-Cyrl-CS"/>
        </w:rPr>
        <w:lastRenderedPageBreak/>
        <w:t>Како је</w:t>
      </w:r>
      <w:r w:rsidR="002B6E12">
        <w:rPr>
          <w:rFonts w:ascii="Times New Roman" w:hAnsi="Times New Roman"/>
          <w:sz w:val="24"/>
          <w:szCs w:val="24"/>
          <w:lang w:val="sr-Cyrl-CS"/>
        </w:rPr>
        <w:t xml:space="preserve"> циљ Заједнице био успостављање заједничког (унутрашњег) тржишта до краја 1992. године, Комисија је 1985. године припремила тзв. </w:t>
      </w:r>
      <w:r w:rsidR="002B6E12" w:rsidRPr="000D7709">
        <w:rPr>
          <w:rFonts w:ascii="Times New Roman" w:hAnsi="Times New Roman"/>
          <w:sz w:val="24"/>
          <w:szCs w:val="24"/>
          <w:lang w:val="sr-Cyrl-CS"/>
        </w:rPr>
        <w:t>Белу књигу</w:t>
      </w:r>
      <w:r w:rsidR="002B6E12">
        <w:rPr>
          <w:rFonts w:ascii="Times New Roman" w:hAnsi="Times New Roman"/>
          <w:sz w:val="24"/>
          <w:szCs w:val="24"/>
          <w:lang w:val="sr-Cyrl-CS"/>
        </w:rPr>
        <w:t xml:space="preserve"> у којој је дат план уклањања физичких, техничких и пореских баријера на границама између држва чланица.</w:t>
      </w:r>
      <w:r w:rsidR="002B6E12" w:rsidRPr="000D7709">
        <w:rPr>
          <w:rStyle w:val="FootnoteReference"/>
          <w:rFonts w:ascii="Times New Roman" w:hAnsi="Times New Roman"/>
          <w:sz w:val="24"/>
          <w:szCs w:val="24"/>
          <w:lang w:val="sr-Cyrl-CS"/>
        </w:rPr>
        <w:t xml:space="preserve"> </w:t>
      </w:r>
      <w:r w:rsidR="002B6E12">
        <w:rPr>
          <w:rStyle w:val="FootnoteReference"/>
          <w:rFonts w:ascii="Times New Roman" w:hAnsi="Times New Roman"/>
          <w:sz w:val="24"/>
          <w:szCs w:val="24"/>
          <w:lang w:val="sr-Cyrl-CS"/>
        </w:rPr>
        <w:footnoteReference w:id="578"/>
      </w:r>
      <w:r w:rsidR="002B6E12">
        <w:rPr>
          <w:rFonts w:ascii="Times New Roman" w:hAnsi="Times New Roman"/>
          <w:sz w:val="24"/>
          <w:szCs w:val="24"/>
          <w:lang w:val="sr-Cyrl-CS"/>
        </w:rPr>
        <w:t xml:space="preserve"> </w:t>
      </w:r>
    </w:p>
    <w:p w:rsidR="002B6E12" w:rsidRDefault="002B6E12" w:rsidP="002B6E12">
      <w:pPr>
        <w:ind w:firstLine="630"/>
        <w:jc w:val="both"/>
        <w:rPr>
          <w:rFonts w:ascii="Times New Roman" w:hAnsi="Times New Roman"/>
          <w:sz w:val="24"/>
          <w:szCs w:val="24"/>
          <w:lang w:val="sr-Cyrl-CS"/>
        </w:rPr>
      </w:pPr>
      <w:r>
        <w:rPr>
          <w:rFonts w:ascii="Times New Roman" w:hAnsi="Times New Roman"/>
          <w:sz w:val="24"/>
          <w:szCs w:val="24"/>
          <w:lang w:val="sr-Cyrl-CS"/>
        </w:rPr>
        <w:t>Директива од 16.12.1991. године,</w:t>
      </w:r>
      <w:r>
        <w:rPr>
          <w:rStyle w:val="FootnoteReference"/>
          <w:rFonts w:ascii="Times New Roman" w:hAnsi="Times New Roman"/>
          <w:sz w:val="24"/>
          <w:szCs w:val="24"/>
          <w:lang w:val="sr-Cyrl-CS"/>
        </w:rPr>
        <w:footnoteReference w:id="579"/>
      </w:r>
      <w:r>
        <w:rPr>
          <w:rFonts w:ascii="Times New Roman" w:hAnsi="Times New Roman"/>
          <w:sz w:val="24"/>
          <w:szCs w:val="24"/>
          <w:lang w:val="sr-Cyrl-CS"/>
        </w:rPr>
        <w:t xml:space="preserve"> представља спровођење у дело тзв. прелазног режима опорезивања</w:t>
      </w:r>
      <w:r>
        <w:rPr>
          <w:rFonts w:ascii="Times New Roman" w:hAnsi="Times New Roman"/>
          <w:sz w:val="24"/>
          <w:szCs w:val="24"/>
        </w:rPr>
        <w:t xml:space="preserve"> који се примењује и данас.</w:t>
      </w:r>
      <w:r>
        <w:rPr>
          <w:rFonts w:ascii="Times New Roman" w:hAnsi="Times New Roman"/>
          <w:sz w:val="24"/>
          <w:szCs w:val="24"/>
          <w:lang w:val="sr-Cyrl-CS"/>
        </w:rPr>
        <w:t xml:space="preserve"> Испоруке су ослобођене од опорезивања са правом на добитак претходног пореза, што отвара доста могућности за пореску евазију, односно за могућност набавки у земљама чланицама са мањим пореским оптерећењем. </w:t>
      </w:r>
    </w:p>
    <w:p w:rsidR="002B6E12" w:rsidRDefault="00101EC8" w:rsidP="0058630E">
      <w:pPr>
        <w:ind w:firstLine="630"/>
        <w:jc w:val="both"/>
        <w:rPr>
          <w:rFonts w:ascii="Times New Roman" w:hAnsi="Times New Roman"/>
          <w:sz w:val="24"/>
          <w:szCs w:val="24"/>
          <w:lang w:val="sr-Cyrl-CS"/>
        </w:rPr>
      </w:pPr>
      <w:r>
        <w:rPr>
          <w:rFonts w:ascii="Times New Roman" w:hAnsi="Times New Roman"/>
          <w:sz w:val="24"/>
          <w:szCs w:val="24"/>
          <w:lang w:val="sr-Cyrl-CS"/>
        </w:rPr>
        <w:t>Неповољни ефекти прелазног режима опорезивања који К</w:t>
      </w:r>
      <w:r w:rsidR="002B6E12">
        <w:rPr>
          <w:rFonts w:ascii="Times New Roman" w:hAnsi="Times New Roman"/>
          <w:sz w:val="24"/>
          <w:szCs w:val="24"/>
          <w:lang w:val="sr-Cyrl-CS"/>
        </w:rPr>
        <w:t xml:space="preserve">омисија озбиљно критикује </w:t>
      </w:r>
      <w:r>
        <w:rPr>
          <w:rFonts w:ascii="Times New Roman" w:hAnsi="Times New Roman"/>
          <w:sz w:val="24"/>
          <w:szCs w:val="24"/>
          <w:lang w:val="sr-Cyrl-CS"/>
        </w:rPr>
        <w:t>су</w:t>
      </w:r>
      <w:r w:rsidR="002B6E12">
        <w:rPr>
          <w:rFonts w:ascii="Times New Roman" w:hAnsi="Times New Roman"/>
          <w:sz w:val="24"/>
          <w:szCs w:val="24"/>
          <w:lang w:val="sr-Cyrl-CS"/>
        </w:rPr>
        <w:t>:</w:t>
      </w:r>
      <w:r>
        <w:rPr>
          <w:rFonts w:ascii="Times New Roman" w:hAnsi="Times New Roman"/>
          <w:sz w:val="24"/>
          <w:szCs w:val="24"/>
          <w:lang w:val="sr-Cyrl-CS"/>
        </w:rPr>
        <w:t xml:space="preserve"> а) са становишта обвезника (</w:t>
      </w:r>
      <w:r w:rsidR="002B6E12">
        <w:rPr>
          <w:rFonts w:ascii="Times New Roman" w:hAnsi="Times New Roman"/>
          <w:sz w:val="24"/>
          <w:szCs w:val="24"/>
          <w:lang w:val="sr-Cyrl-CS"/>
        </w:rPr>
        <w:t>морају да познају позитивно право различитих држава чланица, што дискриминише интра-комунитарне трансакције у поређењу са</w:t>
      </w:r>
      <w:r>
        <w:rPr>
          <w:rFonts w:ascii="Times New Roman" w:hAnsi="Times New Roman"/>
          <w:sz w:val="24"/>
          <w:szCs w:val="24"/>
          <w:lang w:val="sr-Cyrl-CS"/>
        </w:rPr>
        <w:t xml:space="preserve"> домаћим, повлачи веће трошкове</w:t>
      </w:r>
      <w:r w:rsidR="002B6E12">
        <w:rPr>
          <w:rFonts w:ascii="Times New Roman" w:hAnsi="Times New Roman"/>
          <w:sz w:val="24"/>
          <w:szCs w:val="24"/>
          <w:lang w:val="sr-Cyrl-CS"/>
        </w:rPr>
        <w:t xml:space="preserve"> у односу на домаће трансакције што изазива правну несигурност), 2) </w:t>
      </w:r>
      <w:r>
        <w:rPr>
          <w:rFonts w:ascii="Times New Roman" w:hAnsi="Times New Roman"/>
          <w:sz w:val="24"/>
          <w:szCs w:val="24"/>
          <w:lang w:val="sr-Cyrl-CS"/>
        </w:rPr>
        <w:t>са становишта потрошача (</w:t>
      </w:r>
      <w:r w:rsidR="002B6E12">
        <w:rPr>
          <w:rFonts w:ascii="Times New Roman" w:hAnsi="Times New Roman"/>
          <w:sz w:val="24"/>
          <w:szCs w:val="24"/>
          <w:lang w:val="sr-Cyrl-CS"/>
        </w:rPr>
        <w:t xml:space="preserve">не уживају све предности јединственог тржишта) и 3) </w:t>
      </w:r>
      <w:r>
        <w:rPr>
          <w:rFonts w:ascii="Times New Roman" w:hAnsi="Times New Roman"/>
          <w:sz w:val="24"/>
          <w:szCs w:val="24"/>
          <w:lang w:val="sr-Cyrl-CS"/>
        </w:rPr>
        <w:t>са становишта пореске администрације</w:t>
      </w:r>
      <w:r w:rsidR="002B6E12">
        <w:rPr>
          <w:rFonts w:ascii="Times New Roman" w:hAnsi="Times New Roman"/>
          <w:sz w:val="24"/>
          <w:szCs w:val="24"/>
          <w:lang w:val="sr-Cyrl-CS"/>
        </w:rPr>
        <w:t xml:space="preserve"> (губитак суверенитета када је реч о контроли, могућност евазије, неизвесност у погледу остваривања прихода и сл.).</w:t>
      </w:r>
      <w:r w:rsidR="002B6E12">
        <w:rPr>
          <w:rStyle w:val="FootnoteReference"/>
          <w:rFonts w:ascii="Times New Roman" w:hAnsi="Times New Roman"/>
          <w:sz w:val="24"/>
          <w:szCs w:val="24"/>
          <w:lang w:val="sr-Cyrl-CS"/>
        </w:rPr>
        <w:footnoteReference w:id="580"/>
      </w:r>
      <w:r w:rsidR="002B6E12">
        <w:rPr>
          <w:rFonts w:ascii="Times New Roman" w:hAnsi="Times New Roman"/>
          <w:sz w:val="24"/>
          <w:szCs w:val="24"/>
          <w:lang w:val="sr-Cyrl-CS"/>
        </w:rPr>
        <w:t xml:space="preserve"> Директива</w:t>
      </w:r>
      <w:r w:rsidR="002B6E12">
        <w:rPr>
          <w:rFonts w:ascii="Times New Roman" w:hAnsi="Times New Roman"/>
          <w:sz w:val="24"/>
          <w:szCs w:val="24"/>
        </w:rPr>
        <w:t xml:space="preserve"> 2006/112/EC </w:t>
      </w:r>
      <w:r w:rsidR="002B6E12">
        <w:rPr>
          <w:rFonts w:ascii="Times New Roman" w:hAnsi="Times New Roman"/>
          <w:sz w:val="24"/>
          <w:szCs w:val="24"/>
          <w:lang w:val="sr-Cyrl-CS"/>
        </w:rPr>
        <w:t xml:space="preserve"> је усвојена 28.11.2006. године,</w:t>
      </w:r>
      <w:r w:rsidR="002B6E12">
        <w:rPr>
          <w:rStyle w:val="FootnoteReference"/>
          <w:rFonts w:ascii="Times New Roman" w:hAnsi="Times New Roman"/>
          <w:sz w:val="24"/>
          <w:szCs w:val="24"/>
          <w:lang w:val="sr-Cyrl-CS"/>
        </w:rPr>
        <w:footnoteReference w:id="581"/>
      </w:r>
      <w:r w:rsidR="002B6E12">
        <w:rPr>
          <w:rFonts w:ascii="Times New Roman" w:hAnsi="Times New Roman"/>
          <w:sz w:val="24"/>
          <w:szCs w:val="24"/>
          <w:lang w:val="sr-Cyrl-CS"/>
        </w:rPr>
        <w:t xml:space="preserve"> а ступила је на снагу 01.01.2007. године и до сада је мењана више пута. </w:t>
      </w:r>
    </w:p>
    <w:p w:rsidR="002B6E12" w:rsidRDefault="008B6892" w:rsidP="0058630E">
      <w:pPr>
        <w:ind w:firstLine="630"/>
        <w:jc w:val="both"/>
        <w:rPr>
          <w:rFonts w:ascii="Times New Roman" w:hAnsi="Times New Roman"/>
          <w:sz w:val="24"/>
          <w:szCs w:val="24"/>
          <w:lang w:val="sr-Cyrl-CS"/>
        </w:rPr>
      </w:pPr>
      <w:r>
        <w:rPr>
          <w:rFonts w:ascii="Times New Roman" w:hAnsi="Times New Roman"/>
          <w:sz w:val="24"/>
          <w:szCs w:val="24"/>
          <w:lang w:val="sr-Cyrl-CS"/>
        </w:rPr>
        <w:t>Ве</w:t>
      </w:r>
      <w:r w:rsidR="00101EC8">
        <w:rPr>
          <w:rFonts w:ascii="Times New Roman" w:hAnsi="Times New Roman"/>
          <w:sz w:val="24"/>
          <w:szCs w:val="24"/>
          <w:lang w:val="sr-Cyrl-CS"/>
        </w:rPr>
        <w:t>за</w:t>
      </w:r>
      <w:r>
        <w:rPr>
          <w:rFonts w:ascii="Times New Roman" w:hAnsi="Times New Roman"/>
          <w:sz w:val="24"/>
          <w:szCs w:val="24"/>
          <w:lang w:val="sr-Cyrl-CS"/>
        </w:rPr>
        <w:t>но зе</w:t>
      </w:r>
      <w:r w:rsidR="00101EC8">
        <w:rPr>
          <w:rFonts w:ascii="Times New Roman" w:hAnsi="Times New Roman"/>
          <w:sz w:val="24"/>
          <w:szCs w:val="24"/>
          <w:lang w:val="sr-Cyrl-CS"/>
        </w:rPr>
        <w:t xml:space="preserve"> хармонизацију директних </w:t>
      </w:r>
      <w:r>
        <w:rPr>
          <w:rFonts w:ascii="Times New Roman" w:hAnsi="Times New Roman"/>
          <w:sz w:val="24"/>
          <w:szCs w:val="24"/>
          <w:lang w:val="sr-Cyrl-CS"/>
        </w:rPr>
        <w:t>пореза полазило се од различитих ставова</w:t>
      </w:r>
      <w:r w:rsidR="00101EC8">
        <w:rPr>
          <w:rFonts w:ascii="Times New Roman" w:hAnsi="Times New Roman"/>
          <w:sz w:val="24"/>
          <w:szCs w:val="24"/>
          <w:lang w:val="sr-Cyrl-CS"/>
        </w:rPr>
        <w:t>. Наиме, у домену</w:t>
      </w:r>
      <w:r w:rsidR="002B6E12">
        <w:rPr>
          <w:rFonts w:ascii="Times New Roman" w:hAnsi="Times New Roman"/>
          <w:sz w:val="24"/>
          <w:szCs w:val="24"/>
          <w:lang w:val="sr-Cyrl-CS"/>
        </w:rPr>
        <w:t xml:space="preserve"> директних пореза, у </w:t>
      </w:r>
      <w:r w:rsidR="00101EC8">
        <w:rPr>
          <w:rFonts w:ascii="Times New Roman" w:hAnsi="Times New Roman"/>
          <w:sz w:val="24"/>
          <w:szCs w:val="24"/>
          <w:lang w:val="sr-Cyrl-CS"/>
        </w:rPr>
        <w:t>области</w:t>
      </w:r>
      <w:r w:rsidR="002B6E12">
        <w:rPr>
          <w:rFonts w:ascii="Times New Roman" w:hAnsi="Times New Roman"/>
          <w:sz w:val="24"/>
          <w:szCs w:val="24"/>
          <w:lang w:val="sr-Cyrl-CS"/>
        </w:rPr>
        <w:t xml:space="preserve"> хармонизације добити правних лица</w:t>
      </w:r>
      <w:r>
        <w:rPr>
          <w:rFonts w:ascii="Times New Roman" w:hAnsi="Times New Roman"/>
          <w:sz w:val="24"/>
          <w:szCs w:val="24"/>
          <w:lang w:val="sr-Cyrl-CS"/>
        </w:rPr>
        <w:t>,</w:t>
      </w:r>
      <w:r w:rsidR="002B6E12">
        <w:rPr>
          <w:rFonts w:ascii="Times New Roman" w:hAnsi="Times New Roman"/>
          <w:sz w:val="24"/>
          <w:szCs w:val="24"/>
          <w:lang w:val="sr-Cyrl-CS"/>
        </w:rPr>
        <w:t xml:space="preserve"> </w:t>
      </w:r>
      <w:r w:rsidR="00101EC8">
        <w:rPr>
          <w:rFonts w:ascii="Times New Roman" w:hAnsi="Times New Roman"/>
          <w:sz w:val="24"/>
          <w:szCs w:val="24"/>
          <w:lang w:val="sr-Cyrl-CS"/>
        </w:rPr>
        <w:t xml:space="preserve">мишљења су </w:t>
      </w:r>
      <w:r>
        <w:rPr>
          <w:rFonts w:ascii="Times New Roman" w:hAnsi="Times New Roman"/>
          <w:sz w:val="24"/>
          <w:szCs w:val="24"/>
          <w:lang w:val="sr-Cyrl-CS"/>
        </w:rPr>
        <w:t xml:space="preserve">била </w:t>
      </w:r>
      <w:r w:rsidR="00101EC8">
        <w:rPr>
          <w:rFonts w:ascii="Times New Roman" w:hAnsi="Times New Roman"/>
          <w:sz w:val="24"/>
          <w:szCs w:val="24"/>
          <w:lang w:val="sr-Cyrl-CS"/>
        </w:rPr>
        <w:t>супротстављена између потребе да се елиминише пореска евазија, економско двоструко опорезивањ</w:t>
      </w:r>
      <w:r>
        <w:rPr>
          <w:rFonts w:ascii="Times New Roman" w:hAnsi="Times New Roman"/>
          <w:sz w:val="24"/>
          <w:szCs w:val="24"/>
          <w:lang w:val="sr-Cyrl-CS"/>
        </w:rPr>
        <w:t xml:space="preserve">е, штетна пореска конкуренција и потребе да се успостави централизовано опорезивање компанија, да би </w:t>
      </w:r>
      <w:r w:rsidR="002B6E12">
        <w:rPr>
          <w:rFonts w:ascii="Times New Roman" w:hAnsi="Times New Roman"/>
          <w:sz w:val="24"/>
          <w:szCs w:val="24"/>
          <w:lang w:val="sr-Cyrl-CS"/>
        </w:rPr>
        <w:t>1990. годин</w:t>
      </w:r>
      <w:r>
        <w:rPr>
          <w:rFonts w:ascii="Times New Roman" w:hAnsi="Times New Roman"/>
          <w:sz w:val="24"/>
          <w:szCs w:val="24"/>
          <w:lang w:val="sr-Cyrl-CS"/>
        </w:rPr>
        <w:t xml:space="preserve">е </w:t>
      </w:r>
      <w:r w:rsidR="002B6E12">
        <w:rPr>
          <w:rFonts w:ascii="Times New Roman" w:hAnsi="Times New Roman"/>
          <w:sz w:val="24"/>
          <w:szCs w:val="24"/>
          <w:lang w:val="sr-Cyrl-CS"/>
        </w:rPr>
        <w:t xml:space="preserve"> </w:t>
      </w:r>
      <w:r>
        <w:rPr>
          <w:rFonts w:ascii="Times New Roman" w:hAnsi="Times New Roman"/>
          <w:sz w:val="24"/>
          <w:szCs w:val="24"/>
          <w:lang w:val="sr-Cyrl-CS"/>
        </w:rPr>
        <w:t xml:space="preserve">био </w:t>
      </w:r>
      <w:r w:rsidR="002B6E12">
        <w:rPr>
          <w:rFonts w:ascii="Times New Roman" w:hAnsi="Times New Roman"/>
          <w:sz w:val="24"/>
          <w:szCs w:val="24"/>
          <w:lang w:val="sr-Cyrl-CS"/>
        </w:rPr>
        <w:t>заузет став да у хармонизацији непосредних пореза треба применити политику мањих корака, уместо до тада промовисаног програма хармонизације пореза на добит предузећа.</w:t>
      </w:r>
      <w:r w:rsidR="002B6E12">
        <w:rPr>
          <w:rStyle w:val="FootnoteReference"/>
          <w:rFonts w:ascii="Times New Roman" w:hAnsi="Times New Roman"/>
          <w:sz w:val="24"/>
          <w:szCs w:val="24"/>
          <w:lang w:val="sr-Cyrl-CS"/>
        </w:rPr>
        <w:footnoteReference w:id="582"/>
      </w:r>
      <w:r w:rsidR="0058630E">
        <w:rPr>
          <w:rFonts w:ascii="Times New Roman" w:hAnsi="Times New Roman"/>
          <w:sz w:val="24"/>
          <w:szCs w:val="24"/>
          <w:lang w:val="sr-Cyrl-CS"/>
        </w:rPr>
        <w:t xml:space="preserve"> </w:t>
      </w:r>
      <w:r w:rsidR="002B6E12">
        <w:rPr>
          <w:rFonts w:ascii="Times New Roman" w:hAnsi="Times New Roman"/>
          <w:sz w:val="24"/>
          <w:szCs w:val="24"/>
          <w:lang w:val="sr-Cyrl-CS"/>
        </w:rPr>
        <w:t>Правна основа усклађивања посредних пореза произилази из општих одредби Римског уговора.</w:t>
      </w:r>
      <w:r w:rsidR="002B6E12">
        <w:rPr>
          <w:rStyle w:val="FootnoteReference"/>
          <w:rFonts w:ascii="Times New Roman" w:hAnsi="Times New Roman"/>
          <w:sz w:val="24"/>
          <w:szCs w:val="24"/>
          <w:lang w:val="sr-Cyrl-CS"/>
        </w:rPr>
        <w:footnoteReference w:id="583"/>
      </w:r>
    </w:p>
    <w:p w:rsidR="002B6E12" w:rsidRDefault="00153B8E" w:rsidP="002B6E12">
      <w:pPr>
        <w:ind w:firstLine="630"/>
        <w:jc w:val="both"/>
        <w:rPr>
          <w:rFonts w:ascii="Times New Roman" w:hAnsi="Times New Roman"/>
          <w:sz w:val="24"/>
          <w:szCs w:val="24"/>
          <w:lang w:val="sr-Cyrl-CS"/>
        </w:rPr>
      </w:pPr>
      <w:r>
        <w:rPr>
          <w:rFonts w:ascii="Times New Roman" w:hAnsi="Times New Roman"/>
          <w:sz w:val="24"/>
          <w:szCs w:val="24"/>
          <w:lang w:val="sr-Cyrl-CS"/>
        </w:rPr>
        <w:lastRenderedPageBreak/>
        <w:t>Приликом конструкције пореског система п</w:t>
      </w:r>
      <w:r w:rsidR="002B6E12">
        <w:rPr>
          <w:rFonts w:ascii="Times New Roman" w:hAnsi="Times New Roman"/>
          <w:sz w:val="24"/>
          <w:szCs w:val="24"/>
          <w:lang w:val="sr-Cyrl-CS"/>
        </w:rPr>
        <w:t xml:space="preserve">ореско право Европске уније придржава се </w:t>
      </w:r>
      <w:r>
        <w:rPr>
          <w:rFonts w:ascii="Times New Roman" w:hAnsi="Times New Roman"/>
          <w:sz w:val="24"/>
          <w:szCs w:val="24"/>
          <w:lang w:val="sr-Cyrl-CS"/>
        </w:rPr>
        <w:t xml:space="preserve">следећих </w:t>
      </w:r>
      <w:r w:rsidR="002B6E12">
        <w:rPr>
          <w:rFonts w:ascii="Times New Roman" w:hAnsi="Times New Roman"/>
          <w:sz w:val="24"/>
          <w:szCs w:val="24"/>
          <w:lang w:val="sr-Cyrl-CS"/>
        </w:rPr>
        <w:t>основних начела:</w:t>
      </w:r>
      <w:r w:rsidR="002B6E12">
        <w:rPr>
          <w:rStyle w:val="FootnoteReference"/>
          <w:rFonts w:ascii="Times New Roman" w:hAnsi="Times New Roman"/>
          <w:sz w:val="24"/>
          <w:szCs w:val="24"/>
          <w:lang w:val="sr-Cyrl-CS"/>
        </w:rPr>
        <w:footnoteReference w:id="584"/>
      </w:r>
      <w:r w:rsidR="002B6E12">
        <w:rPr>
          <w:rFonts w:ascii="Times New Roman" w:hAnsi="Times New Roman"/>
          <w:sz w:val="24"/>
          <w:szCs w:val="24"/>
          <w:lang w:val="sr-Cyrl-CS"/>
        </w:rPr>
        <w:t xml:space="preserve"> начело супсидијарности, начело забране примене царина, начело хармонизације пореза. Начело хармонизације пореза </w:t>
      </w:r>
      <w:r w:rsidR="00F26129">
        <w:rPr>
          <w:rFonts w:ascii="Times New Roman" w:hAnsi="Times New Roman"/>
          <w:sz w:val="24"/>
          <w:szCs w:val="24"/>
          <w:lang w:val="sr-Cyrl-CS"/>
        </w:rPr>
        <w:t>се базира на</w:t>
      </w:r>
      <w:r w:rsidR="002B6E12">
        <w:rPr>
          <w:rFonts w:ascii="Times New Roman" w:hAnsi="Times New Roman"/>
          <w:sz w:val="24"/>
          <w:szCs w:val="24"/>
          <w:lang w:val="sr-Cyrl-CS"/>
        </w:rPr>
        <w:t>:</w:t>
      </w:r>
    </w:p>
    <w:p w:rsidR="002B6E12" w:rsidRDefault="00153B8E" w:rsidP="002B6E12">
      <w:pPr>
        <w:numPr>
          <w:ilvl w:val="0"/>
          <w:numId w:val="2"/>
        </w:numPr>
        <w:jc w:val="both"/>
        <w:rPr>
          <w:rFonts w:ascii="Times New Roman" w:hAnsi="Times New Roman"/>
          <w:sz w:val="24"/>
          <w:szCs w:val="24"/>
          <w:lang w:val="sr-Cyrl-CS"/>
        </w:rPr>
      </w:pPr>
      <w:r>
        <w:rPr>
          <w:rFonts w:ascii="Times New Roman" w:hAnsi="Times New Roman"/>
          <w:sz w:val="24"/>
          <w:szCs w:val="24"/>
          <w:lang w:val="sr-Cyrl-CS"/>
        </w:rPr>
        <w:t>у</w:t>
      </w:r>
      <w:r w:rsidR="00F26129">
        <w:rPr>
          <w:rFonts w:ascii="Times New Roman" w:hAnsi="Times New Roman"/>
          <w:sz w:val="24"/>
          <w:szCs w:val="24"/>
          <w:lang w:val="sr-Cyrl-CS"/>
        </w:rPr>
        <w:t>склађивању</w:t>
      </w:r>
      <w:r w:rsidR="002B6E12">
        <w:rPr>
          <w:rFonts w:ascii="Times New Roman" w:hAnsi="Times New Roman"/>
          <w:sz w:val="24"/>
          <w:szCs w:val="24"/>
          <w:lang w:val="sr-Cyrl-CS"/>
        </w:rPr>
        <w:t xml:space="preserve"> различитих пореских прописа држава чланица </w:t>
      </w:r>
      <w:r w:rsidR="00F26129">
        <w:rPr>
          <w:rFonts w:ascii="Times New Roman" w:hAnsi="Times New Roman"/>
          <w:sz w:val="24"/>
          <w:szCs w:val="24"/>
          <w:lang w:val="sr-Cyrl-CS"/>
        </w:rPr>
        <w:t>како би се унутрашње тржиште ускладило</w:t>
      </w:r>
      <w:r w:rsidR="002B6E12">
        <w:rPr>
          <w:rFonts w:ascii="Times New Roman" w:hAnsi="Times New Roman"/>
          <w:sz w:val="24"/>
          <w:szCs w:val="24"/>
          <w:lang w:val="sr-Cyrl-CS"/>
        </w:rPr>
        <w:t>;</w:t>
      </w:r>
    </w:p>
    <w:p w:rsidR="002B6E12" w:rsidRDefault="00153B8E" w:rsidP="002B6E12">
      <w:pPr>
        <w:numPr>
          <w:ilvl w:val="0"/>
          <w:numId w:val="2"/>
        </w:numPr>
        <w:jc w:val="both"/>
        <w:rPr>
          <w:rFonts w:ascii="Times New Roman" w:hAnsi="Times New Roman"/>
          <w:sz w:val="24"/>
          <w:szCs w:val="24"/>
          <w:lang w:val="sr-Cyrl-CS"/>
        </w:rPr>
      </w:pPr>
      <w:r>
        <w:rPr>
          <w:rFonts w:ascii="Times New Roman" w:hAnsi="Times New Roman"/>
          <w:sz w:val="24"/>
          <w:szCs w:val="24"/>
          <w:lang w:val="sr-Cyrl-CS"/>
        </w:rPr>
        <w:t>н</w:t>
      </w:r>
      <w:r w:rsidR="002B6E12">
        <w:rPr>
          <w:rFonts w:ascii="Times New Roman" w:hAnsi="Times New Roman"/>
          <w:sz w:val="24"/>
          <w:szCs w:val="24"/>
          <w:lang w:val="sr-Cyrl-CS"/>
        </w:rPr>
        <w:t>адлежност</w:t>
      </w:r>
      <w:r w:rsidR="00F26129">
        <w:rPr>
          <w:rFonts w:ascii="Times New Roman" w:hAnsi="Times New Roman"/>
          <w:sz w:val="24"/>
          <w:szCs w:val="24"/>
          <w:lang w:val="sr-Cyrl-CS"/>
        </w:rPr>
        <w:t>има</w:t>
      </w:r>
      <w:r w:rsidR="002B6E12">
        <w:rPr>
          <w:rFonts w:ascii="Times New Roman" w:hAnsi="Times New Roman"/>
          <w:sz w:val="24"/>
          <w:szCs w:val="24"/>
          <w:lang w:val="sr-Cyrl-CS"/>
        </w:rPr>
        <w:t xml:space="preserve"> пореске поли</w:t>
      </w:r>
      <w:r w:rsidR="00F26129">
        <w:rPr>
          <w:rFonts w:ascii="Times New Roman" w:hAnsi="Times New Roman"/>
          <w:sz w:val="24"/>
          <w:szCs w:val="24"/>
          <w:lang w:val="sr-Cyrl-CS"/>
        </w:rPr>
        <w:t>тике у ингеренцији сваке државе</w:t>
      </w:r>
      <w:r w:rsidR="002B6E12">
        <w:rPr>
          <w:rFonts w:ascii="Times New Roman" w:hAnsi="Times New Roman"/>
          <w:sz w:val="24"/>
          <w:szCs w:val="24"/>
          <w:lang w:val="sr-Cyrl-CS"/>
        </w:rPr>
        <w:t>;</w:t>
      </w:r>
    </w:p>
    <w:p w:rsidR="002B6E12" w:rsidRDefault="00153B8E" w:rsidP="002B6E12">
      <w:pPr>
        <w:numPr>
          <w:ilvl w:val="0"/>
          <w:numId w:val="2"/>
        </w:numPr>
        <w:jc w:val="both"/>
        <w:rPr>
          <w:rFonts w:ascii="Times New Roman" w:hAnsi="Times New Roman"/>
          <w:sz w:val="24"/>
          <w:szCs w:val="24"/>
          <w:lang w:val="sr-Cyrl-CS"/>
        </w:rPr>
      </w:pPr>
      <w:r>
        <w:rPr>
          <w:rFonts w:ascii="Times New Roman" w:hAnsi="Times New Roman"/>
          <w:sz w:val="24"/>
          <w:szCs w:val="24"/>
          <w:lang w:val="sr-Cyrl-CS"/>
        </w:rPr>
        <w:t>о</w:t>
      </w:r>
      <w:r w:rsidR="002B6E12">
        <w:rPr>
          <w:rFonts w:ascii="Times New Roman" w:hAnsi="Times New Roman"/>
          <w:sz w:val="24"/>
          <w:szCs w:val="24"/>
          <w:lang w:val="sr-Cyrl-CS"/>
        </w:rPr>
        <w:t xml:space="preserve">сновни разлог за пореско усклађивање </w:t>
      </w:r>
      <w:r w:rsidR="00F26129">
        <w:rPr>
          <w:rFonts w:ascii="Times New Roman" w:hAnsi="Times New Roman"/>
          <w:sz w:val="24"/>
          <w:szCs w:val="24"/>
          <w:lang w:val="sr-Cyrl-CS"/>
        </w:rPr>
        <w:t>(</w:t>
      </w:r>
      <w:r w:rsidR="002B6E12">
        <w:rPr>
          <w:rFonts w:ascii="Times New Roman" w:hAnsi="Times New Roman"/>
          <w:sz w:val="24"/>
          <w:szCs w:val="24"/>
          <w:lang w:val="sr-Cyrl-CS"/>
        </w:rPr>
        <w:t>лежи у слободној трговини и јединственом тржишту</w:t>
      </w:r>
      <w:r w:rsidR="00F26129">
        <w:rPr>
          <w:rFonts w:ascii="Times New Roman" w:hAnsi="Times New Roman"/>
          <w:sz w:val="24"/>
          <w:szCs w:val="24"/>
          <w:lang w:val="sr-Cyrl-CS"/>
        </w:rPr>
        <w:t>)</w:t>
      </w:r>
      <w:r w:rsidR="002B6E12">
        <w:rPr>
          <w:rFonts w:ascii="Times New Roman" w:hAnsi="Times New Roman"/>
          <w:sz w:val="24"/>
          <w:szCs w:val="24"/>
          <w:lang w:val="sr-Cyrl-CS"/>
        </w:rPr>
        <w:t>;</w:t>
      </w:r>
    </w:p>
    <w:p w:rsidR="002B6E12" w:rsidRDefault="00153B8E" w:rsidP="002B6E12">
      <w:pPr>
        <w:numPr>
          <w:ilvl w:val="0"/>
          <w:numId w:val="2"/>
        </w:numPr>
        <w:jc w:val="both"/>
        <w:rPr>
          <w:rFonts w:ascii="Times New Roman" w:hAnsi="Times New Roman"/>
          <w:sz w:val="24"/>
          <w:szCs w:val="24"/>
          <w:lang w:val="sr-Cyrl-CS"/>
        </w:rPr>
      </w:pPr>
      <w:r>
        <w:rPr>
          <w:rFonts w:ascii="Times New Roman" w:hAnsi="Times New Roman"/>
          <w:sz w:val="24"/>
          <w:szCs w:val="24"/>
          <w:lang w:val="sr-Cyrl-CS"/>
        </w:rPr>
        <w:t>с</w:t>
      </w:r>
      <w:r w:rsidR="002B6E12">
        <w:rPr>
          <w:rFonts w:ascii="Times New Roman" w:hAnsi="Times New Roman"/>
          <w:sz w:val="24"/>
          <w:szCs w:val="24"/>
          <w:lang w:val="sr-Cyrl-CS"/>
        </w:rPr>
        <w:t>творити ограничену пореску хармонизацију код посредних пореза, забрана дискриминације код кретања људи, роба, капитала и услуга;</w:t>
      </w:r>
    </w:p>
    <w:p w:rsidR="002B6E12" w:rsidRDefault="00153B8E" w:rsidP="002B6E12">
      <w:pPr>
        <w:numPr>
          <w:ilvl w:val="0"/>
          <w:numId w:val="2"/>
        </w:numPr>
        <w:jc w:val="both"/>
        <w:rPr>
          <w:rFonts w:ascii="Times New Roman" w:hAnsi="Times New Roman"/>
          <w:sz w:val="24"/>
          <w:szCs w:val="24"/>
          <w:lang w:val="sr-Cyrl-CS"/>
        </w:rPr>
      </w:pPr>
      <w:r>
        <w:rPr>
          <w:rFonts w:ascii="Times New Roman" w:hAnsi="Times New Roman"/>
          <w:sz w:val="24"/>
          <w:szCs w:val="24"/>
          <w:lang w:val="sr-Cyrl-CS"/>
        </w:rPr>
        <w:t>п</w:t>
      </w:r>
      <w:r w:rsidR="002B6E12">
        <w:rPr>
          <w:rFonts w:ascii="Times New Roman" w:hAnsi="Times New Roman"/>
          <w:sz w:val="24"/>
          <w:szCs w:val="24"/>
          <w:lang w:val="sr-Cyrl-CS"/>
        </w:rPr>
        <w:t>ореска конкуренција између држава чланица која води спонтаној хармонизацији;</w:t>
      </w:r>
    </w:p>
    <w:p w:rsidR="002B6E12" w:rsidRDefault="00153B8E" w:rsidP="002B6E12">
      <w:pPr>
        <w:numPr>
          <w:ilvl w:val="0"/>
          <w:numId w:val="2"/>
        </w:numPr>
        <w:jc w:val="both"/>
        <w:rPr>
          <w:rFonts w:ascii="Times New Roman" w:hAnsi="Times New Roman"/>
          <w:sz w:val="24"/>
          <w:szCs w:val="24"/>
          <w:lang w:val="sr-Cyrl-CS"/>
        </w:rPr>
      </w:pPr>
      <w:r>
        <w:rPr>
          <w:rFonts w:ascii="Times New Roman" w:hAnsi="Times New Roman"/>
          <w:sz w:val="24"/>
          <w:szCs w:val="24"/>
          <w:lang w:val="sr-Cyrl-CS"/>
        </w:rPr>
        <w:t>п</w:t>
      </w:r>
      <w:r w:rsidR="002B6E12">
        <w:rPr>
          <w:rFonts w:ascii="Times New Roman" w:hAnsi="Times New Roman"/>
          <w:sz w:val="24"/>
          <w:szCs w:val="24"/>
          <w:lang w:val="sr-Cyrl-CS"/>
        </w:rPr>
        <w:t>равни основ за усклађивање на подручју опорезивања међу чланицама су директиве.</w:t>
      </w:r>
    </w:p>
    <w:p w:rsidR="002B6E12" w:rsidRDefault="002B6E12" w:rsidP="002B6E12">
      <w:pPr>
        <w:ind w:firstLine="360"/>
        <w:jc w:val="both"/>
        <w:rPr>
          <w:rFonts w:ascii="Times New Roman" w:hAnsi="Times New Roman"/>
          <w:sz w:val="24"/>
          <w:szCs w:val="24"/>
          <w:lang w:val="sr-Cyrl-CS"/>
        </w:rPr>
      </w:pPr>
      <w:r>
        <w:rPr>
          <w:rFonts w:ascii="Times New Roman" w:hAnsi="Times New Roman"/>
          <w:sz w:val="24"/>
          <w:szCs w:val="24"/>
          <w:lang w:val="sr-Cyrl-CS"/>
        </w:rPr>
        <w:t xml:space="preserve">Релативно младо пореско начело супсидијарности је настало потписивањем уговора у Мастрихту и подразумева да ЕУ не може доносити правне акте у подручјима где нема искључиву надлежност, него је дели са државама чланицама. Ако је за неко витално питање боље донети одлуку на нивоу заједнице, него на нивоу државе, тада се та одлука спроводи и обрнуто.   </w:t>
      </w:r>
    </w:p>
    <w:p w:rsidR="002B6E12" w:rsidRDefault="00196D34" w:rsidP="002B6E12">
      <w:pPr>
        <w:ind w:firstLine="360"/>
        <w:jc w:val="both"/>
        <w:rPr>
          <w:rFonts w:ascii="Times New Roman" w:hAnsi="Times New Roman"/>
          <w:sz w:val="24"/>
          <w:szCs w:val="24"/>
          <w:lang w:val="sr-Cyrl-CS"/>
        </w:rPr>
      </w:pPr>
      <w:r>
        <w:rPr>
          <w:rFonts w:ascii="Times New Roman" w:hAnsi="Times New Roman"/>
          <w:sz w:val="24"/>
          <w:szCs w:val="24"/>
          <w:lang w:val="sr-Cyrl-CS"/>
        </w:rPr>
        <w:t>Посматрано у фискалном смислу хармонизација, дакле, значи усклађивање појединих пореза, пореских система и мера пореске политике међу државама. Према томе, у с</w:t>
      </w:r>
      <w:r w:rsidR="002B6E12">
        <w:rPr>
          <w:rFonts w:ascii="Times New Roman" w:hAnsi="Times New Roman"/>
          <w:sz w:val="24"/>
          <w:szCs w:val="24"/>
          <w:lang w:val="sr-Cyrl-CS"/>
        </w:rPr>
        <w:t>авремен</w:t>
      </w:r>
      <w:r>
        <w:rPr>
          <w:rFonts w:ascii="Times New Roman" w:hAnsi="Times New Roman"/>
          <w:sz w:val="24"/>
          <w:szCs w:val="24"/>
          <w:lang w:val="sr-Cyrl-CS"/>
        </w:rPr>
        <w:t>им пореским системима</w:t>
      </w:r>
      <w:r w:rsidR="002B6E12">
        <w:rPr>
          <w:rFonts w:ascii="Times New Roman" w:hAnsi="Times New Roman"/>
          <w:sz w:val="24"/>
          <w:szCs w:val="24"/>
          <w:lang w:val="sr-Cyrl-CS"/>
        </w:rPr>
        <w:t xml:space="preserve"> </w:t>
      </w:r>
      <w:r>
        <w:rPr>
          <w:rFonts w:ascii="Times New Roman" w:hAnsi="Times New Roman"/>
          <w:sz w:val="24"/>
          <w:szCs w:val="24"/>
          <w:lang w:val="sr-Cyrl-CS"/>
        </w:rPr>
        <w:t>постоји</w:t>
      </w:r>
      <w:r w:rsidR="002B6E12">
        <w:rPr>
          <w:rFonts w:ascii="Times New Roman" w:hAnsi="Times New Roman"/>
          <w:sz w:val="24"/>
          <w:szCs w:val="24"/>
          <w:lang w:val="sr-Cyrl-CS"/>
        </w:rPr>
        <w:t xml:space="preserve"> тренд међусобн</w:t>
      </w:r>
      <w:r w:rsidR="008216E4">
        <w:rPr>
          <w:rFonts w:ascii="Times New Roman" w:hAnsi="Times New Roman"/>
          <w:sz w:val="24"/>
          <w:szCs w:val="24"/>
          <w:lang w:val="sr-Cyrl-CS"/>
        </w:rPr>
        <w:t>ог приближавања и прилагођавања и</w:t>
      </w:r>
      <w:r w:rsidR="002B6E12">
        <w:rPr>
          <w:rFonts w:ascii="Times New Roman" w:hAnsi="Times New Roman"/>
          <w:sz w:val="24"/>
          <w:szCs w:val="24"/>
          <w:lang w:val="sr-Cyrl-CS"/>
        </w:rPr>
        <w:t xml:space="preserve"> у том процесу </w:t>
      </w:r>
      <w:r w:rsidR="008216E4">
        <w:rPr>
          <w:rFonts w:ascii="Times New Roman" w:hAnsi="Times New Roman"/>
          <w:sz w:val="24"/>
          <w:szCs w:val="24"/>
          <w:lang w:val="sr-Cyrl-CS"/>
        </w:rPr>
        <w:t xml:space="preserve">велику улогу је одиграо </w:t>
      </w:r>
      <w:r w:rsidR="002B6E12">
        <w:rPr>
          <w:rFonts w:ascii="Times New Roman" w:hAnsi="Times New Roman"/>
          <w:sz w:val="24"/>
          <w:szCs w:val="24"/>
          <w:lang w:val="sr-Cyrl-CS"/>
        </w:rPr>
        <w:t xml:space="preserve">порез на додату вредност чија је структура у највећем степену хармонизована у оквиру европски интегрисаних земаља. </w:t>
      </w:r>
      <w:r w:rsidR="008216E4">
        <w:rPr>
          <w:rFonts w:ascii="Times New Roman" w:hAnsi="Times New Roman"/>
          <w:sz w:val="24"/>
          <w:szCs w:val="24"/>
          <w:lang w:val="sr-Cyrl-CS"/>
        </w:rPr>
        <w:t>Како је ј</w:t>
      </w:r>
      <w:r w:rsidR="002B6E12">
        <w:rPr>
          <w:rFonts w:ascii="Times New Roman" w:hAnsi="Times New Roman"/>
          <w:sz w:val="24"/>
          <w:szCs w:val="24"/>
          <w:lang w:val="sr-Cyrl-CS"/>
        </w:rPr>
        <w:t xml:space="preserve">едан од незаобилазних услова за сарадњу са Европском унијом </w:t>
      </w:r>
      <w:r w:rsidR="008216E4">
        <w:rPr>
          <w:rFonts w:ascii="Times New Roman" w:hAnsi="Times New Roman"/>
          <w:sz w:val="24"/>
          <w:szCs w:val="24"/>
          <w:lang w:val="sr-Cyrl-CS"/>
        </w:rPr>
        <w:t xml:space="preserve">хармонизација потрошних пореза </w:t>
      </w:r>
      <w:r w:rsidR="00096BF4">
        <w:rPr>
          <w:rFonts w:ascii="Times New Roman" w:hAnsi="Times New Roman"/>
          <w:sz w:val="24"/>
          <w:szCs w:val="24"/>
          <w:lang w:val="sr-Cyrl-CS"/>
        </w:rPr>
        <w:t>то</w:t>
      </w:r>
      <w:r w:rsidR="008216E4">
        <w:rPr>
          <w:rFonts w:ascii="Times New Roman" w:hAnsi="Times New Roman"/>
          <w:sz w:val="24"/>
          <w:szCs w:val="24"/>
          <w:lang w:val="sr-Cyrl-CS"/>
        </w:rPr>
        <w:t xml:space="preserve"> </w:t>
      </w:r>
      <w:r w:rsidR="002B6E12">
        <w:rPr>
          <w:rFonts w:ascii="Times New Roman" w:hAnsi="Times New Roman"/>
          <w:sz w:val="24"/>
          <w:szCs w:val="24"/>
          <w:lang w:val="sr-Cyrl-CS"/>
        </w:rPr>
        <w:t>и</w:t>
      </w:r>
      <w:r w:rsidR="008216E4">
        <w:rPr>
          <w:rFonts w:ascii="Times New Roman" w:hAnsi="Times New Roman"/>
          <w:sz w:val="24"/>
          <w:szCs w:val="24"/>
          <w:lang w:val="sr-Cyrl-CS"/>
        </w:rPr>
        <w:t xml:space="preserve"> државе које су у спољнотрговинс</w:t>
      </w:r>
      <w:r w:rsidR="002B6E12">
        <w:rPr>
          <w:rFonts w:ascii="Times New Roman" w:hAnsi="Times New Roman"/>
          <w:sz w:val="24"/>
          <w:szCs w:val="24"/>
          <w:lang w:val="sr-Cyrl-CS"/>
        </w:rPr>
        <w:t xml:space="preserve">кој размени упућене на то тржиште уграђују слична пореска решења у своја пореска законодавства. </w:t>
      </w:r>
      <w:r w:rsidR="008216E4">
        <w:rPr>
          <w:rFonts w:ascii="Times New Roman" w:hAnsi="Times New Roman"/>
          <w:sz w:val="24"/>
          <w:szCs w:val="24"/>
          <w:lang w:val="sr-Cyrl-CS"/>
        </w:rPr>
        <w:t xml:space="preserve">Усклађивање пореских система </w:t>
      </w:r>
      <w:r w:rsidR="002B6E12">
        <w:rPr>
          <w:rFonts w:ascii="Times New Roman" w:hAnsi="Times New Roman"/>
          <w:sz w:val="24"/>
          <w:szCs w:val="24"/>
          <w:lang w:val="sr-Cyrl-CS"/>
        </w:rPr>
        <w:t>треба да допринесе нестајању пореских разлика кој</w:t>
      </w:r>
      <w:r w:rsidR="00096BF4">
        <w:rPr>
          <w:rFonts w:ascii="Times New Roman" w:hAnsi="Times New Roman"/>
          <w:sz w:val="24"/>
          <w:szCs w:val="24"/>
          <w:lang w:val="sr-Cyrl-CS"/>
        </w:rPr>
        <w:t>е</w:t>
      </w:r>
      <w:r w:rsidR="002B6E12">
        <w:rPr>
          <w:rFonts w:ascii="Times New Roman" w:hAnsi="Times New Roman"/>
          <w:sz w:val="24"/>
          <w:szCs w:val="24"/>
          <w:lang w:val="sr-Cyrl-CS"/>
        </w:rPr>
        <w:t xml:space="preserve"> ремете услове слободне конкуренције, ометају мобилност фактора производње, омогућују алокацију ресурса противно рационалним захтевима тржишта, стварају услове за ремећење трговинских токова и девизних курсева, миграцију капитала итд.</w:t>
      </w:r>
      <w:r w:rsidR="002B6E12">
        <w:rPr>
          <w:rStyle w:val="FootnoteReference"/>
          <w:rFonts w:ascii="Times New Roman" w:hAnsi="Times New Roman"/>
          <w:sz w:val="24"/>
          <w:szCs w:val="24"/>
          <w:lang w:val="sr-Cyrl-CS"/>
        </w:rPr>
        <w:footnoteReference w:id="585"/>
      </w:r>
    </w:p>
    <w:p w:rsidR="002B6E12" w:rsidRDefault="002B6E12" w:rsidP="002B6E12">
      <w:pPr>
        <w:ind w:firstLine="630"/>
        <w:jc w:val="both"/>
        <w:rPr>
          <w:rFonts w:ascii="Times New Roman" w:hAnsi="Times New Roman"/>
          <w:sz w:val="24"/>
          <w:szCs w:val="24"/>
          <w:lang w:val="sr-Cyrl-CS"/>
        </w:rPr>
      </w:pPr>
      <w:r>
        <w:rPr>
          <w:rFonts w:ascii="Times New Roman" w:hAnsi="Times New Roman"/>
          <w:sz w:val="24"/>
          <w:szCs w:val="24"/>
          <w:lang w:val="sr-Cyrl-CS"/>
        </w:rPr>
        <w:t xml:space="preserve">Са становишта избегавања плаћања пореза постојање неусклађености је од посебног значаја, имајући у виду да правни субјекти могу бирати државу са </w:t>
      </w:r>
      <w:r>
        <w:rPr>
          <w:rFonts w:ascii="Times New Roman" w:hAnsi="Times New Roman"/>
          <w:sz w:val="24"/>
          <w:szCs w:val="24"/>
          <w:lang w:val="sr-Cyrl-CS"/>
        </w:rPr>
        <w:lastRenderedPageBreak/>
        <w:t>повољнијим условима за своју делатност, чиме се нарушава слободна конкуренција и повећавају се порески приходи тих држава. Тако долази до премештања добити рачуноводственим методама у државе чланице са повољнијим пореским третманом, односно нижим пореским теретом. Што су разлике веће то је ова појава израженија, као и могућност избора на јединственом тржишту ЕУ.</w:t>
      </w:r>
    </w:p>
    <w:p w:rsidR="002B6E12" w:rsidRDefault="002B6E12" w:rsidP="002B6E12">
      <w:pPr>
        <w:ind w:firstLine="630"/>
        <w:jc w:val="both"/>
        <w:rPr>
          <w:rFonts w:ascii="Times New Roman" w:hAnsi="Times New Roman"/>
          <w:sz w:val="24"/>
          <w:szCs w:val="24"/>
          <w:lang w:val="sr-Cyrl-CS"/>
        </w:rPr>
      </w:pPr>
      <w:r>
        <w:rPr>
          <w:rFonts w:ascii="Times New Roman" w:hAnsi="Times New Roman"/>
          <w:sz w:val="24"/>
          <w:szCs w:val="24"/>
          <w:lang w:val="sr-Cyrl-CS"/>
        </w:rPr>
        <w:t xml:space="preserve">Са овог становишта избегавања плаћања пореза унутар ЕУ значајно је поменути тзв. рингишпил и ланчане трансакције, које се помињу у директиви </w:t>
      </w:r>
      <w:r w:rsidRPr="000F58F5">
        <w:rPr>
          <w:rFonts w:ascii="Times New Roman" w:hAnsi="Times New Roman"/>
          <w:sz w:val="24"/>
          <w:szCs w:val="24"/>
          <w:lang w:val="sr-Cyrl-CS"/>
        </w:rPr>
        <w:t>2006/112/EZ</w:t>
      </w:r>
      <w:r>
        <w:rPr>
          <w:rFonts w:ascii="Times New Roman" w:hAnsi="Times New Roman"/>
          <w:sz w:val="24"/>
          <w:szCs w:val="24"/>
          <w:lang w:val="sr-Cyrl-CS"/>
        </w:rPr>
        <w:t xml:space="preserve"> . Основна разлика међу њима се огледа у томе што код ланчаних трансакција роба доспева до крајњих потрошача, док се код рингишпил трансакција  роба врти у круг између истих учесника у интра-комунитарним трансакцијама, па отуда и назив за овакве трансакције, при чему се злоупотребљава принцип дестинације према коме су испоруке ослобођене плаћања пореза са правом на одбитак претходног пореза, а трансакција се опорезује у земљи дестинације. Код рингишпил трансакција се порез који је наплаћен од следбеника у трансакцији не уплаћује, а потом се порез плаћен у земљи дестинације потражује као претходни порез. У пракси се користе лажне фактуре ради прикривања фиктивног промета, а због тежег откривања се ангажује више учесника у промету који се проширује на више земаља и овакве трансакције чини сложенијим. У оваквим трансакцијама се појављују фантом предузећа поред предузећа која легално послују. Заправо, улога фантомског предузећа је да изда лажни рачун даљем следбенику у промету, који се даље користи за одбијање претходног пореза. </w:t>
      </w:r>
    </w:p>
    <w:p w:rsidR="002B6E12" w:rsidRDefault="002B6E12" w:rsidP="002B6E12">
      <w:pPr>
        <w:ind w:firstLine="630"/>
        <w:jc w:val="both"/>
        <w:rPr>
          <w:rFonts w:ascii="Times New Roman" w:hAnsi="Times New Roman"/>
          <w:sz w:val="24"/>
          <w:szCs w:val="24"/>
          <w:lang w:val="sr-Cyrl-CS"/>
        </w:rPr>
      </w:pPr>
      <w:r>
        <w:rPr>
          <w:rFonts w:ascii="Times New Roman" w:hAnsi="Times New Roman"/>
          <w:sz w:val="24"/>
          <w:szCs w:val="24"/>
          <w:lang w:val="sr-Cyrl-CS"/>
        </w:rPr>
        <w:t>Као што је наведено, разлике међу порезима држава чланица утичу на понашање пореских обвезника, а посебно мултинационалних компанија у глобалној економији. Могућност избора у погледу локације инвестиција, места пословања, метода инвестирања, уз што ниже фиксне трошкове, доводи до различите расподеле пореских прихода и до пореске конкуренције, насупрот хармонизације, међу пореским системима држава чланица. При том, као што је наведено у ЕУ је извршена хармонизација само посредних пореза, док је домен непосредних пореза препуштен државама чланицама. Таква ситуација доводи до пореске конкуренције.</w:t>
      </w:r>
    </w:p>
    <w:p w:rsidR="002B6E12" w:rsidRDefault="00F83A67" w:rsidP="002B6E12">
      <w:pPr>
        <w:ind w:firstLine="630"/>
        <w:jc w:val="both"/>
        <w:rPr>
          <w:rFonts w:ascii="Times New Roman" w:hAnsi="Times New Roman"/>
          <w:sz w:val="24"/>
          <w:szCs w:val="24"/>
          <w:lang w:val="sr-Cyrl-CS"/>
        </w:rPr>
      </w:pPr>
      <w:r>
        <w:rPr>
          <w:rFonts w:ascii="Times New Roman" w:hAnsi="Times New Roman"/>
          <w:sz w:val="24"/>
          <w:szCs w:val="24"/>
          <w:lang w:val="sr-Cyrl-CS"/>
        </w:rPr>
        <w:t>Последњих година се п</w:t>
      </w:r>
      <w:r w:rsidR="002B6E12" w:rsidRPr="007B69BD">
        <w:rPr>
          <w:rFonts w:ascii="Times New Roman" w:hAnsi="Times New Roman"/>
          <w:sz w:val="24"/>
          <w:szCs w:val="24"/>
          <w:lang w:val="sr-Cyrl-CS"/>
        </w:rPr>
        <w:t>ореска конкуренција од стране најмоћнијих међународних ек</w:t>
      </w:r>
      <w:r w:rsidR="002B6E12">
        <w:rPr>
          <w:rFonts w:ascii="Times New Roman" w:hAnsi="Times New Roman"/>
          <w:sz w:val="24"/>
          <w:szCs w:val="24"/>
          <w:lang w:val="sr-Cyrl-CS"/>
        </w:rPr>
        <w:t>о</w:t>
      </w:r>
      <w:r w:rsidR="002B6E12" w:rsidRPr="007B69BD">
        <w:rPr>
          <w:rFonts w:ascii="Times New Roman" w:hAnsi="Times New Roman"/>
          <w:sz w:val="24"/>
          <w:szCs w:val="24"/>
          <w:lang w:val="sr-Cyrl-CS"/>
        </w:rPr>
        <w:t xml:space="preserve">номско-финансијских институција квалификује као „штетна пореска пракса“ која ремети несметано одвијање економско-финасијских токова. Најразвијеније земље света реагују на таква </w:t>
      </w:r>
      <w:r w:rsidR="00C62395">
        <w:rPr>
          <w:rFonts w:ascii="Times New Roman" w:hAnsi="Times New Roman"/>
          <w:sz w:val="24"/>
          <w:szCs w:val="24"/>
          <w:lang w:val="sr-Cyrl-CS"/>
        </w:rPr>
        <w:t xml:space="preserve">понашања </w:t>
      </w:r>
      <w:r>
        <w:rPr>
          <w:rFonts w:ascii="Times New Roman" w:hAnsi="Times New Roman"/>
          <w:sz w:val="24"/>
          <w:szCs w:val="24"/>
          <w:lang w:val="sr-Cyrl-CS"/>
        </w:rPr>
        <w:t>помоћу различитих</w:t>
      </w:r>
      <w:r w:rsidR="002B6E12" w:rsidRPr="007B69BD">
        <w:rPr>
          <w:rFonts w:ascii="Times New Roman" w:hAnsi="Times New Roman"/>
          <w:sz w:val="24"/>
          <w:szCs w:val="24"/>
          <w:lang w:val="sr-Cyrl-CS"/>
        </w:rPr>
        <w:t xml:space="preserve"> одбрамбених мера</w:t>
      </w:r>
      <w:r>
        <w:rPr>
          <w:rFonts w:ascii="Times New Roman" w:hAnsi="Times New Roman"/>
          <w:sz w:val="24"/>
          <w:szCs w:val="24"/>
          <w:lang w:val="sr-Cyrl-CS"/>
        </w:rPr>
        <w:t>. Оне се састоје од</w:t>
      </w:r>
      <w:r w:rsidR="002B6E12" w:rsidRPr="007B69BD">
        <w:rPr>
          <w:rFonts w:ascii="Times New Roman" w:hAnsi="Times New Roman"/>
          <w:sz w:val="24"/>
          <w:szCs w:val="24"/>
          <w:lang w:val="sr-Cyrl-CS"/>
        </w:rPr>
        <w:t xml:space="preserve"> законских пореских механизама</w:t>
      </w:r>
      <w:r>
        <w:rPr>
          <w:rFonts w:ascii="Times New Roman" w:hAnsi="Times New Roman"/>
          <w:sz w:val="24"/>
          <w:szCs w:val="24"/>
          <w:lang w:val="sr-Cyrl-CS"/>
        </w:rPr>
        <w:t xml:space="preserve"> и вршења</w:t>
      </w:r>
      <w:r w:rsidR="002B6E12" w:rsidRPr="007B69BD">
        <w:rPr>
          <w:rFonts w:ascii="Times New Roman" w:hAnsi="Times New Roman"/>
          <w:sz w:val="24"/>
          <w:szCs w:val="24"/>
          <w:lang w:val="sr-Cyrl-CS"/>
        </w:rPr>
        <w:t xml:space="preserve"> притиска на земље са „изузетно </w:t>
      </w:r>
      <w:r w:rsidR="002B6E12">
        <w:rPr>
          <w:rFonts w:ascii="Times New Roman" w:hAnsi="Times New Roman"/>
          <w:sz w:val="24"/>
          <w:szCs w:val="24"/>
          <w:lang w:val="sr-Cyrl-CS"/>
        </w:rPr>
        <w:t>благим пореским режимима“</w:t>
      </w:r>
      <w:r>
        <w:rPr>
          <w:rFonts w:ascii="Times New Roman" w:hAnsi="Times New Roman"/>
          <w:sz w:val="24"/>
          <w:szCs w:val="24"/>
          <w:lang w:val="sr-Cyrl-CS"/>
        </w:rPr>
        <w:t>, при чему се</w:t>
      </w:r>
      <w:r w:rsidR="002B6E12">
        <w:rPr>
          <w:rFonts w:ascii="Times New Roman" w:hAnsi="Times New Roman"/>
          <w:sz w:val="24"/>
          <w:szCs w:val="24"/>
          <w:lang w:val="sr-Cyrl-CS"/>
        </w:rPr>
        <w:t xml:space="preserve"> инсис</w:t>
      </w:r>
      <w:r>
        <w:rPr>
          <w:rFonts w:ascii="Times New Roman" w:hAnsi="Times New Roman"/>
          <w:sz w:val="24"/>
          <w:szCs w:val="24"/>
          <w:lang w:val="sr-Cyrl-CS"/>
        </w:rPr>
        <w:t>тира</w:t>
      </w:r>
      <w:r w:rsidR="002B6E12" w:rsidRPr="007B69BD">
        <w:rPr>
          <w:rFonts w:ascii="Times New Roman" w:hAnsi="Times New Roman"/>
          <w:sz w:val="24"/>
          <w:szCs w:val="24"/>
          <w:lang w:val="sr-Cyrl-CS"/>
        </w:rPr>
        <w:t xml:space="preserve"> на уједначавању и приближавању националних </w:t>
      </w:r>
      <w:r>
        <w:rPr>
          <w:rFonts w:ascii="Times New Roman" w:hAnsi="Times New Roman"/>
          <w:sz w:val="24"/>
          <w:szCs w:val="24"/>
          <w:lang w:val="sr-Cyrl-CS"/>
        </w:rPr>
        <w:t>пореских система.</w:t>
      </w:r>
      <w:r w:rsidR="002B6E12" w:rsidRPr="007B69BD">
        <w:rPr>
          <w:rFonts w:ascii="Times New Roman" w:hAnsi="Times New Roman"/>
          <w:sz w:val="24"/>
          <w:szCs w:val="24"/>
          <w:lang w:val="sr-Cyrl-CS"/>
        </w:rPr>
        <w:t xml:space="preserve"> </w:t>
      </w:r>
      <w:r>
        <w:rPr>
          <w:rFonts w:ascii="Times New Roman" w:hAnsi="Times New Roman"/>
          <w:sz w:val="24"/>
          <w:szCs w:val="24"/>
          <w:lang w:val="sr-Cyrl-CS"/>
        </w:rPr>
        <w:t>Осим тога, истиче се</w:t>
      </w:r>
      <w:r w:rsidR="002B6E12" w:rsidRPr="007B69BD">
        <w:rPr>
          <w:rFonts w:ascii="Times New Roman" w:hAnsi="Times New Roman"/>
          <w:sz w:val="24"/>
          <w:szCs w:val="24"/>
          <w:lang w:val="sr-Cyrl-CS"/>
        </w:rPr>
        <w:t xml:space="preserve"> предност такве пореске хармонизације</w:t>
      </w:r>
      <w:r>
        <w:rPr>
          <w:rFonts w:ascii="Times New Roman" w:hAnsi="Times New Roman"/>
          <w:sz w:val="24"/>
          <w:szCs w:val="24"/>
          <w:lang w:val="sr-Cyrl-CS"/>
        </w:rPr>
        <w:t xml:space="preserve"> за укупно друштвено благостање</w:t>
      </w:r>
      <w:r w:rsidR="002B6E12" w:rsidRPr="007B69BD">
        <w:rPr>
          <w:rFonts w:ascii="Times New Roman" w:hAnsi="Times New Roman"/>
          <w:sz w:val="24"/>
          <w:szCs w:val="24"/>
          <w:lang w:val="sr-Cyrl-CS"/>
        </w:rPr>
        <w:t xml:space="preserve">. У том смислу, указује се на потребу координације националних пореских система </w:t>
      </w:r>
      <w:r w:rsidR="00096BF4">
        <w:rPr>
          <w:rFonts w:ascii="Times New Roman" w:hAnsi="Times New Roman"/>
          <w:sz w:val="24"/>
          <w:szCs w:val="24"/>
          <w:lang w:val="sr-Cyrl-CS"/>
        </w:rPr>
        <w:t>како би се избегли негативни ефекати</w:t>
      </w:r>
      <w:r w:rsidR="002B6E12" w:rsidRPr="007B69BD">
        <w:rPr>
          <w:rFonts w:ascii="Times New Roman" w:hAnsi="Times New Roman"/>
          <w:sz w:val="24"/>
          <w:szCs w:val="24"/>
          <w:lang w:val="sr-Cyrl-CS"/>
        </w:rPr>
        <w:t xml:space="preserve"> „нефер“ пореске конкуренције.</w:t>
      </w:r>
      <w:r w:rsidR="002B6E12" w:rsidRPr="007B69BD">
        <w:rPr>
          <w:rStyle w:val="FootnoteReference"/>
          <w:rFonts w:ascii="Times New Roman" w:hAnsi="Times New Roman"/>
          <w:sz w:val="24"/>
          <w:szCs w:val="24"/>
          <w:lang w:val="sr-Cyrl-CS"/>
        </w:rPr>
        <w:footnoteReference w:id="586"/>
      </w:r>
      <w:r w:rsidR="002B6E12" w:rsidRPr="007B69BD">
        <w:rPr>
          <w:rFonts w:ascii="Times New Roman" w:hAnsi="Times New Roman"/>
          <w:sz w:val="24"/>
          <w:szCs w:val="24"/>
          <w:lang w:val="sr-Cyrl-CS"/>
        </w:rPr>
        <w:t xml:space="preserve"> </w:t>
      </w:r>
    </w:p>
    <w:p w:rsidR="002B6E12" w:rsidRDefault="002B6E12" w:rsidP="002B6E12">
      <w:pPr>
        <w:autoSpaceDE w:val="0"/>
        <w:autoSpaceDN w:val="0"/>
        <w:adjustRightInd w:val="0"/>
        <w:spacing w:after="0" w:line="240" w:lineRule="auto"/>
        <w:ind w:firstLine="630"/>
        <w:jc w:val="both"/>
        <w:rPr>
          <w:rFonts w:ascii="Times New Roman" w:hAnsi="Times New Roman"/>
          <w:sz w:val="24"/>
          <w:szCs w:val="24"/>
          <w:lang w:val="sr-Cyrl-CS"/>
        </w:rPr>
      </w:pPr>
      <w:r>
        <w:rPr>
          <w:rFonts w:ascii="Times New Roman" w:hAnsi="Times New Roman"/>
          <w:sz w:val="24"/>
          <w:szCs w:val="24"/>
          <w:lang w:val="sr-Cyrl-CS"/>
        </w:rPr>
        <w:lastRenderedPageBreak/>
        <w:t>Због тога, о</w:t>
      </w:r>
      <w:r w:rsidRPr="007B69BD">
        <w:rPr>
          <w:rFonts w:ascii="Times New Roman" w:hAnsi="Times New Roman"/>
          <w:sz w:val="24"/>
          <w:szCs w:val="24"/>
        </w:rPr>
        <w:t>сим принципа јединственог тржишта</w:t>
      </w:r>
      <w:r>
        <w:rPr>
          <w:rFonts w:ascii="Times New Roman" w:hAnsi="Times New Roman"/>
          <w:sz w:val="24"/>
          <w:szCs w:val="24"/>
          <w:lang w:val="sr-Cyrl-CS"/>
        </w:rPr>
        <w:t>,</w:t>
      </w:r>
      <w:r w:rsidRPr="007B69BD">
        <w:rPr>
          <w:rFonts w:ascii="Times New Roman" w:hAnsi="Times New Roman"/>
          <w:sz w:val="24"/>
          <w:szCs w:val="24"/>
        </w:rPr>
        <w:t xml:space="preserve"> још један инструмент има веома велики значај у</w:t>
      </w:r>
      <w:r>
        <w:rPr>
          <w:rFonts w:ascii="Times New Roman" w:hAnsi="Times New Roman"/>
          <w:sz w:val="24"/>
          <w:szCs w:val="24"/>
          <w:lang w:val="sr-Cyrl-CS"/>
        </w:rPr>
        <w:t xml:space="preserve"> </w:t>
      </w:r>
      <w:r w:rsidRPr="007B69BD">
        <w:rPr>
          <w:rFonts w:ascii="Times New Roman" w:hAnsi="Times New Roman"/>
          <w:sz w:val="24"/>
          <w:szCs w:val="24"/>
        </w:rPr>
        <w:t xml:space="preserve">односу на </w:t>
      </w:r>
      <w:r>
        <w:rPr>
          <w:rFonts w:ascii="Times New Roman" w:hAnsi="Times New Roman"/>
          <w:sz w:val="24"/>
          <w:szCs w:val="24"/>
          <w:lang w:val="sr-Cyrl-CS"/>
        </w:rPr>
        <w:t>јединствени привредни простор ЕУ,</w:t>
      </w:r>
      <w:r>
        <w:rPr>
          <w:rFonts w:ascii="Times New Roman" w:hAnsi="Times New Roman"/>
          <w:sz w:val="24"/>
          <w:szCs w:val="24"/>
        </w:rPr>
        <w:t xml:space="preserve"> </w:t>
      </w:r>
      <w:r>
        <w:rPr>
          <w:rFonts w:ascii="Times New Roman" w:hAnsi="Times New Roman"/>
          <w:sz w:val="24"/>
          <w:szCs w:val="24"/>
          <w:lang w:val="sr-Cyrl-CS"/>
        </w:rPr>
        <w:t>а т</w:t>
      </w:r>
      <w:r w:rsidRPr="007B69BD">
        <w:rPr>
          <w:rFonts w:ascii="Times New Roman" w:hAnsi="Times New Roman"/>
          <w:sz w:val="24"/>
          <w:szCs w:val="24"/>
        </w:rPr>
        <w:t xml:space="preserve">о је </w:t>
      </w:r>
      <w:r w:rsidRPr="00E72775">
        <w:rPr>
          <w:rFonts w:ascii="Times New Roman" w:hAnsi="Times New Roman"/>
          <w:bCs/>
          <w:iCs/>
          <w:sz w:val="24"/>
          <w:szCs w:val="24"/>
        </w:rPr>
        <w:t xml:space="preserve">политика </w:t>
      </w:r>
      <w:r>
        <w:rPr>
          <w:rFonts w:ascii="Times New Roman" w:hAnsi="Times New Roman"/>
          <w:bCs/>
          <w:iCs/>
          <w:sz w:val="24"/>
          <w:szCs w:val="24"/>
          <w:lang w:val="sr-Cyrl-CS"/>
        </w:rPr>
        <w:t xml:space="preserve"> </w:t>
      </w:r>
      <w:r w:rsidRPr="00E72775">
        <w:rPr>
          <w:rFonts w:ascii="Times New Roman" w:hAnsi="Times New Roman"/>
          <w:bCs/>
          <w:iCs/>
          <w:sz w:val="24"/>
          <w:szCs w:val="24"/>
        </w:rPr>
        <w:t>конкуренције</w:t>
      </w:r>
      <w:r w:rsidRPr="007B69BD">
        <w:rPr>
          <w:rFonts w:ascii="Times New Roman" w:hAnsi="Times New Roman"/>
          <w:b/>
          <w:bCs/>
          <w:i/>
          <w:iCs/>
          <w:sz w:val="24"/>
          <w:szCs w:val="24"/>
        </w:rPr>
        <w:t xml:space="preserve"> </w:t>
      </w:r>
      <w:r w:rsidRPr="007B69BD">
        <w:rPr>
          <w:rFonts w:ascii="Times New Roman" w:hAnsi="Times New Roman"/>
          <w:sz w:val="24"/>
          <w:szCs w:val="24"/>
        </w:rPr>
        <w:t>која</w:t>
      </w:r>
      <w:r>
        <w:rPr>
          <w:rFonts w:ascii="Times New Roman" w:hAnsi="Times New Roman"/>
          <w:sz w:val="24"/>
          <w:szCs w:val="24"/>
          <w:lang w:val="sr-Cyrl-CS"/>
        </w:rPr>
        <w:t xml:space="preserve"> </w:t>
      </w:r>
      <w:r>
        <w:rPr>
          <w:rFonts w:ascii="Times New Roman" w:hAnsi="Times New Roman"/>
          <w:sz w:val="24"/>
          <w:szCs w:val="24"/>
        </w:rPr>
        <w:t>подразум</w:t>
      </w:r>
      <w:r w:rsidRPr="007B69BD">
        <w:rPr>
          <w:rFonts w:ascii="Times New Roman" w:hAnsi="Times New Roman"/>
          <w:sz w:val="24"/>
          <w:szCs w:val="24"/>
        </w:rPr>
        <w:t>ева поштовање основних е</w:t>
      </w:r>
      <w:r>
        <w:rPr>
          <w:rFonts w:ascii="Times New Roman" w:hAnsi="Times New Roman"/>
          <w:sz w:val="24"/>
          <w:szCs w:val="24"/>
        </w:rPr>
        <w:t>кономских слобода и принципа</w:t>
      </w:r>
      <w:r>
        <w:rPr>
          <w:rFonts w:ascii="Times New Roman" w:hAnsi="Times New Roman"/>
          <w:sz w:val="24"/>
          <w:szCs w:val="24"/>
          <w:lang w:val="sr-Cyrl-CS"/>
        </w:rPr>
        <w:t xml:space="preserve"> </w:t>
      </w:r>
      <w:r>
        <w:rPr>
          <w:rFonts w:ascii="Times New Roman" w:hAnsi="Times New Roman"/>
          <w:sz w:val="24"/>
          <w:szCs w:val="24"/>
        </w:rPr>
        <w:t>н</w:t>
      </w:r>
      <w:r>
        <w:rPr>
          <w:rFonts w:ascii="Times New Roman" w:hAnsi="Times New Roman"/>
          <w:sz w:val="24"/>
          <w:szCs w:val="24"/>
          <w:lang w:val="sr-Cyrl-CS"/>
        </w:rPr>
        <w:t>е</w:t>
      </w:r>
      <w:r w:rsidRPr="007B69BD">
        <w:rPr>
          <w:rFonts w:ascii="Times New Roman" w:hAnsi="Times New Roman"/>
          <w:sz w:val="24"/>
          <w:szCs w:val="24"/>
        </w:rPr>
        <w:t>дискриминације.</w:t>
      </w:r>
      <w:r>
        <w:rPr>
          <w:rFonts w:ascii="Times New Roman" w:hAnsi="Times New Roman"/>
          <w:sz w:val="24"/>
          <w:szCs w:val="24"/>
          <w:lang w:val="sr-Cyrl-CS"/>
        </w:rPr>
        <w:t xml:space="preserve"> </w:t>
      </w:r>
      <w:r w:rsidR="00710D25">
        <w:rPr>
          <w:rFonts w:ascii="Times New Roman" w:hAnsi="Times New Roman"/>
          <w:sz w:val="24"/>
          <w:szCs w:val="24"/>
          <w:lang w:val="sr-Cyrl-CS"/>
        </w:rPr>
        <w:t>„</w:t>
      </w:r>
      <w:r>
        <w:rPr>
          <w:rFonts w:ascii="Times New Roman" w:hAnsi="Times New Roman"/>
          <w:sz w:val="24"/>
          <w:szCs w:val="24"/>
        </w:rPr>
        <w:t>Политика</w:t>
      </w:r>
      <w:r w:rsidRPr="00E72775">
        <w:rPr>
          <w:rFonts w:ascii="Times New Roman" w:hAnsi="Times New Roman"/>
          <w:sz w:val="24"/>
          <w:szCs w:val="24"/>
        </w:rPr>
        <w:t xml:space="preserve"> </w:t>
      </w:r>
      <w:r>
        <w:rPr>
          <w:rFonts w:ascii="Times New Roman" w:hAnsi="Times New Roman"/>
          <w:sz w:val="24"/>
          <w:szCs w:val="24"/>
        </w:rPr>
        <w:t>заштите</w:t>
      </w:r>
      <w:r w:rsidRPr="00E72775">
        <w:rPr>
          <w:rFonts w:ascii="Times New Roman" w:hAnsi="Times New Roman"/>
          <w:sz w:val="24"/>
          <w:szCs w:val="24"/>
        </w:rPr>
        <w:t xml:space="preserve"> </w:t>
      </w:r>
      <w:r>
        <w:rPr>
          <w:rFonts w:ascii="Times New Roman" w:hAnsi="Times New Roman"/>
          <w:sz w:val="24"/>
          <w:szCs w:val="24"/>
        </w:rPr>
        <w:t>конкуренције</w:t>
      </w:r>
      <w:r w:rsidRPr="00E72775">
        <w:rPr>
          <w:rFonts w:ascii="Times New Roman" w:hAnsi="Times New Roman"/>
          <w:sz w:val="24"/>
          <w:szCs w:val="24"/>
        </w:rPr>
        <w:t xml:space="preserve"> </w:t>
      </w:r>
      <w:r>
        <w:rPr>
          <w:rFonts w:ascii="Times New Roman" w:hAnsi="Times New Roman"/>
          <w:sz w:val="24"/>
          <w:szCs w:val="24"/>
        </w:rPr>
        <w:t>најчешће</w:t>
      </w:r>
      <w:r w:rsidRPr="00E72775">
        <w:rPr>
          <w:rFonts w:ascii="Times New Roman" w:hAnsi="Times New Roman"/>
          <w:sz w:val="24"/>
          <w:szCs w:val="24"/>
        </w:rPr>
        <w:t xml:space="preserve"> </w:t>
      </w:r>
      <w:r>
        <w:rPr>
          <w:rFonts w:ascii="Times New Roman" w:hAnsi="Times New Roman"/>
          <w:sz w:val="24"/>
          <w:szCs w:val="24"/>
        </w:rPr>
        <w:t>се</w:t>
      </w:r>
      <w:r w:rsidRPr="00E72775">
        <w:rPr>
          <w:rFonts w:ascii="Times New Roman" w:hAnsi="Times New Roman"/>
          <w:sz w:val="24"/>
          <w:szCs w:val="24"/>
        </w:rPr>
        <w:t xml:space="preserve"> </w:t>
      </w:r>
      <w:r>
        <w:rPr>
          <w:rFonts w:ascii="Times New Roman" w:hAnsi="Times New Roman"/>
          <w:sz w:val="24"/>
          <w:szCs w:val="24"/>
        </w:rPr>
        <w:t>поистовећује</w:t>
      </w:r>
      <w:r w:rsidRPr="00E72775">
        <w:rPr>
          <w:rFonts w:ascii="Times New Roman" w:hAnsi="Times New Roman"/>
          <w:sz w:val="24"/>
          <w:szCs w:val="24"/>
        </w:rPr>
        <w:t xml:space="preserve"> </w:t>
      </w:r>
      <w:r>
        <w:rPr>
          <w:rFonts w:ascii="Times New Roman" w:hAnsi="Times New Roman"/>
          <w:sz w:val="24"/>
          <w:szCs w:val="24"/>
        </w:rPr>
        <w:t>са</w:t>
      </w:r>
      <w:r w:rsidRPr="00E72775">
        <w:rPr>
          <w:rFonts w:ascii="Times New Roman" w:hAnsi="Times New Roman"/>
          <w:sz w:val="24"/>
          <w:szCs w:val="24"/>
        </w:rPr>
        <w:t xml:space="preserve"> </w:t>
      </w:r>
      <w:r>
        <w:rPr>
          <w:rFonts w:ascii="Times New Roman" w:hAnsi="Times New Roman"/>
          <w:sz w:val="24"/>
          <w:szCs w:val="24"/>
        </w:rPr>
        <w:t>антимонополским</w:t>
      </w:r>
      <w:r w:rsidRPr="00E72775">
        <w:rPr>
          <w:rFonts w:ascii="Times New Roman" w:hAnsi="Times New Roman"/>
          <w:sz w:val="24"/>
          <w:szCs w:val="24"/>
        </w:rPr>
        <w:t xml:space="preserve"> </w:t>
      </w:r>
      <w:r>
        <w:rPr>
          <w:rFonts w:ascii="Times New Roman" w:hAnsi="Times New Roman"/>
          <w:sz w:val="24"/>
          <w:szCs w:val="24"/>
        </w:rPr>
        <w:t>законодавством</w:t>
      </w:r>
      <w:r w:rsidRPr="00E72775">
        <w:rPr>
          <w:rFonts w:ascii="Times New Roman" w:hAnsi="Times New Roman"/>
          <w:sz w:val="24"/>
          <w:szCs w:val="24"/>
        </w:rPr>
        <w:t xml:space="preserve"> </w:t>
      </w:r>
      <w:r>
        <w:rPr>
          <w:rFonts w:ascii="Times New Roman" w:hAnsi="Times New Roman"/>
          <w:sz w:val="24"/>
          <w:szCs w:val="24"/>
        </w:rPr>
        <w:t>које</w:t>
      </w:r>
      <w:r w:rsidRPr="00E72775">
        <w:rPr>
          <w:rFonts w:ascii="Times New Roman" w:hAnsi="Times New Roman"/>
          <w:sz w:val="24"/>
          <w:szCs w:val="24"/>
        </w:rPr>
        <w:t xml:space="preserve"> </w:t>
      </w:r>
      <w:r>
        <w:rPr>
          <w:rFonts w:ascii="Times New Roman" w:hAnsi="Times New Roman"/>
          <w:sz w:val="24"/>
          <w:szCs w:val="24"/>
        </w:rPr>
        <w:t>се</w:t>
      </w:r>
      <w:r w:rsidRPr="00E72775">
        <w:rPr>
          <w:rFonts w:ascii="Times New Roman" w:hAnsi="Times New Roman"/>
          <w:sz w:val="24"/>
          <w:szCs w:val="24"/>
        </w:rPr>
        <w:t xml:space="preserve">, </w:t>
      </w:r>
      <w:r>
        <w:rPr>
          <w:rFonts w:ascii="Times New Roman" w:hAnsi="Times New Roman"/>
          <w:sz w:val="24"/>
          <w:szCs w:val="24"/>
        </w:rPr>
        <w:t>осим</w:t>
      </w:r>
      <w:r w:rsidRPr="00E72775">
        <w:rPr>
          <w:rFonts w:ascii="Times New Roman" w:hAnsi="Times New Roman"/>
          <w:sz w:val="24"/>
          <w:szCs w:val="24"/>
        </w:rPr>
        <w:t xml:space="preserve"> </w:t>
      </w:r>
      <w:r>
        <w:rPr>
          <w:rFonts w:ascii="Times New Roman" w:hAnsi="Times New Roman"/>
          <w:sz w:val="24"/>
          <w:szCs w:val="24"/>
        </w:rPr>
        <w:t>регулисања</w:t>
      </w:r>
      <w:r w:rsidRPr="00E72775">
        <w:rPr>
          <w:rFonts w:ascii="Times New Roman" w:hAnsi="Times New Roman"/>
          <w:sz w:val="24"/>
          <w:szCs w:val="24"/>
        </w:rPr>
        <w:t xml:space="preserve"> </w:t>
      </w:r>
      <w:r>
        <w:rPr>
          <w:rFonts w:ascii="Times New Roman" w:hAnsi="Times New Roman"/>
          <w:sz w:val="24"/>
          <w:szCs w:val="24"/>
        </w:rPr>
        <w:t>монопола</w:t>
      </w:r>
      <w:r w:rsidRPr="00E72775">
        <w:rPr>
          <w:rFonts w:ascii="Times New Roman" w:hAnsi="Times New Roman"/>
          <w:sz w:val="24"/>
          <w:szCs w:val="24"/>
        </w:rPr>
        <w:t xml:space="preserve">, </w:t>
      </w:r>
      <w:r>
        <w:rPr>
          <w:rFonts w:ascii="Times New Roman" w:hAnsi="Times New Roman"/>
          <w:sz w:val="24"/>
          <w:szCs w:val="24"/>
        </w:rPr>
        <w:t>бави</w:t>
      </w:r>
      <w:r w:rsidRPr="00E72775">
        <w:rPr>
          <w:rFonts w:ascii="Times New Roman" w:hAnsi="Times New Roman"/>
          <w:sz w:val="24"/>
          <w:szCs w:val="24"/>
        </w:rPr>
        <w:t xml:space="preserve"> </w:t>
      </w:r>
      <w:r>
        <w:rPr>
          <w:rFonts w:ascii="Times New Roman" w:hAnsi="Times New Roman"/>
          <w:sz w:val="24"/>
          <w:szCs w:val="24"/>
        </w:rPr>
        <w:t>и</w:t>
      </w:r>
      <w:r w:rsidRPr="00E72775">
        <w:rPr>
          <w:rFonts w:ascii="Times New Roman" w:hAnsi="Times New Roman"/>
          <w:sz w:val="24"/>
          <w:szCs w:val="24"/>
        </w:rPr>
        <w:t xml:space="preserve"> </w:t>
      </w:r>
      <w:r>
        <w:rPr>
          <w:rFonts w:ascii="Times New Roman" w:hAnsi="Times New Roman"/>
          <w:sz w:val="24"/>
          <w:szCs w:val="24"/>
        </w:rPr>
        <w:t>ограничавањем</w:t>
      </w:r>
      <w:r w:rsidRPr="00E72775">
        <w:rPr>
          <w:rFonts w:ascii="Times New Roman" w:hAnsi="Times New Roman"/>
          <w:sz w:val="24"/>
          <w:szCs w:val="24"/>
        </w:rPr>
        <w:t xml:space="preserve"> </w:t>
      </w:r>
      <w:r>
        <w:rPr>
          <w:rFonts w:ascii="Times New Roman" w:hAnsi="Times New Roman"/>
          <w:sz w:val="24"/>
          <w:szCs w:val="24"/>
        </w:rPr>
        <w:t>свих</w:t>
      </w:r>
      <w:r w:rsidRPr="00E72775">
        <w:rPr>
          <w:rFonts w:ascii="Times New Roman" w:hAnsi="Times New Roman"/>
          <w:sz w:val="24"/>
          <w:szCs w:val="24"/>
        </w:rPr>
        <w:t xml:space="preserve"> </w:t>
      </w:r>
      <w:r>
        <w:rPr>
          <w:rFonts w:ascii="Times New Roman" w:hAnsi="Times New Roman"/>
          <w:sz w:val="24"/>
          <w:szCs w:val="24"/>
        </w:rPr>
        <w:t>облика</w:t>
      </w:r>
      <w:r w:rsidRPr="00E72775">
        <w:rPr>
          <w:rFonts w:ascii="Times New Roman" w:hAnsi="Times New Roman"/>
          <w:sz w:val="24"/>
          <w:szCs w:val="24"/>
        </w:rPr>
        <w:t xml:space="preserve"> </w:t>
      </w:r>
      <w:r>
        <w:rPr>
          <w:rFonts w:ascii="Times New Roman" w:hAnsi="Times New Roman"/>
          <w:sz w:val="24"/>
          <w:szCs w:val="24"/>
        </w:rPr>
        <w:t>забране</w:t>
      </w:r>
      <w:r w:rsidRPr="00E72775">
        <w:rPr>
          <w:rFonts w:ascii="Times New Roman" w:hAnsi="Times New Roman"/>
          <w:sz w:val="24"/>
          <w:szCs w:val="24"/>
        </w:rPr>
        <w:t xml:space="preserve"> </w:t>
      </w:r>
      <w:r>
        <w:rPr>
          <w:rFonts w:ascii="Times New Roman" w:hAnsi="Times New Roman"/>
          <w:sz w:val="24"/>
          <w:szCs w:val="24"/>
        </w:rPr>
        <w:t>понашања</w:t>
      </w:r>
      <w:r w:rsidRPr="00E72775">
        <w:rPr>
          <w:rFonts w:ascii="Times New Roman" w:hAnsi="Times New Roman"/>
          <w:sz w:val="24"/>
          <w:szCs w:val="24"/>
        </w:rPr>
        <w:t xml:space="preserve"> </w:t>
      </w:r>
      <w:r>
        <w:rPr>
          <w:rFonts w:ascii="Times New Roman" w:hAnsi="Times New Roman"/>
          <w:sz w:val="24"/>
          <w:szCs w:val="24"/>
        </w:rPr>
        <w:t>тржишних</w:t>
      </w:r>
      <w:r w:rsidRPr="00E72775">
        <w:rPr>
          <w:rFonts w:ascii="Times New Roman" w:hAnsi="Times New Roman"/>
          <w:sz w:val="24"/>
          <w:szCs w:val="24"/>
        </w:rPr>
        <w:t xml:space="preserve"> </w:t>
      </w:r>
      <w:r>
        <w:rPr>
          <w:rFonts w:ascii="Times New Roman" w:hAnsi="Times New Roman"/>
          <w:sz w:val="24"/>
          <w:szCs w:val="24"/>
        </w:rPr>
        <w:t>субјеката</w:t>
      </w:r>
      <w:r w:rsidRPr="00E72775">
        <w:rPr>
          <w:rFonts w:ascii="Times New Roman" w:hAnsi="Times New Roman"/>
          <w:sz w:val="24"/>
          <w:szCs w:val="24"/>
        </w:rPr>
        <w:t xml:space="preserve"> </w:t>
      </w:r>
      <w:r>
        <w:rPr>
          <w:rFonts w:ascii="Times New Roman" w:hAnsi="Times New Roman"/>
          <w:sz w:val="24"/>
          <w:szCs w:val="24"/>
        </w:rPr>
        <w:t>који</w:t>
      </w:r>
      <w:r w:rsidRPr="00E72775">
        <w:rPr>
          <w:rFonts w:ascii="Times New Roman" w:hAnsi="Times New Roman"/>
          <w:sz w:val="24"/>
          <w:szCs w:val="24"/>
        </w:rPr>
        <w:t xml:space="preserve"> </w:t>
      </w:r>
      <w:r>
        <w:rPr>
          <w:rFonts w:ascii="Times New Roman" w:hAnsi="Times New Roman"/>
          <w:sz w:val="24"/>
          <w:szCs w:val="24"/>
        </w:rPr>
        <w:t>потенцијално</w:t>
      </w:r>
      <w:r w:rsidRPr="00E72775">
        <w:rPr>
          <w:rFonts w:ascii="Times New Roman" w:hAnsi="Times New Roman"/>
          <w:sz w:val="24"/>
          <w:szCs w:val="24"/>
        </w:rPr>
        <w:t xml:space="preserve"> </w:t>
      </w:r>
      <w:r>
        <w:rPr>
          <w:rFonts w:ascii="Times New Roman" w:hAnsi="Times New Roman"/>
          <w:sz w:val="24"/>
          <w:szCs w:val="24"/>
        </w:rPr>
        <w:t>могу</w:t>
      </w:r>
      <w:r w:rsidRPr="00E72775">
        <w:rPr>
          <w:rFonts w:ascii="Times New Roman" w:hAnsi="Times New Roman"/>
          <w:sz w:val="24"/>
          <w:szCs w:val="24"/>
        </w:rPr>
        <w:t xml:space="preserve"> </w:t>
      </w:r>
      <w:r>
        <w:rPr>
          <w:rFonts w:ascii="Times New Roman" w:hAnsi="Times New Roman"/>
          <w:sz w:val="24"/>
          <w:szCs w:val="24"/>
        </w:rPr>
        <w:t>да</w:t>
      </w:r>
      <w:r w:rsidRPr="00E72775">
        <w:rPr>
          <w:rFonts w:ascii="Times New Roman" w:hAnsi="Times New Roman"/>
          <w:sz w:val="24"/>
          <w:szCs w:val="24"/>
        </w:rPr>
        <w:t xml:space="preserve"> </w:t>
      </w:r>
      <w:r>
        <w:rPr>
          <w:rFonts w:ascii="Times New Roman" w:hAnsi="Times New Roman"/>
          <w:sz w:val="24"/>
          <w:szCs w:val="24"/>
        </w:rPr>
        <w:t>угрозе</w:t>
      </w:r>
      <w:r w:rsidRPr="00E72775">
        <w:rPr>
          <w:rFonts w:ascii="Times New Roman" w:hAnsi="Times New Roman"/>
          <w:sz w:val="24"/>
          <w:szCs w:val="24"/>
        </w:rPr>
        <w:t xml:space="preserve"> </w:t>
      </w:r>
      <w:r>
        <w:rPr>
          <w:rFonts w:ascii="Times New Roman" w:hAnsi="Times New Roman"/>
          <w:sz w:val="24"/>
          <w:szCs w:val="24"/>
        </w:rPr>
        <w:t>ефекте</w:t>
      </w:r>
      <w:r w:rsidRPr="00E72775">
        <w:rPr>
          <w:rFonts w:ascii="Times New Roman" w:hAnsi="Times New Roman"/>
          <w:sz w:val="24"/>
          <w:szCs w:val="24"/>
        </w:rPr>
        <w:t xml:space="preserve"> </w:t>
      </w:r>
      <w:r>
        <w:rPr>
          <w:rFonts w:ascii="Times New Roman" w:hAnsi="Times New Roman"/>
          <w:sz w:val="24"/>
          <w:szCs w:val="24"/>
        </w:rPr>
        <w:t>политике</w:t>
      </w:r>
      <w:r w:rsidRPr="00E72775">
        <w:rPr>
          <w:rFonts w:ascii="Times New Roman" w:hAnsi="Times New Roman"/>
          <w:sz w:val="24"/>
          <w:szCs w:val="24"/>
        </w:rPr>
        <w:t xml:space="preserve"> </w:t>
      </w:r>
      <w:r>
        <w:rPr>
          <w:rFonts w:ascii="Times New Roman" w:hAnsi="Times New Roman"/>
          <w:sz w:val="24"/>
          <w:szCs w:val="24"/>
        </w:rPr>
        <w:t>конкуренције</w:t>
      </w:r>
      <w:r w:rsidRPr="00E72775">
        <w:rPr>
          <w:rFonts w:ascii="Times New Roman" w:hAnsi="Times New Roman"/>
          <w:sz w:val="24"/>
          <w:szCs w:val="24"/>
        </w:rPr>
        <w:t xml:space="preserve">, </w:t>
      </w:r>
      <w:r>
        <w:rPr>
          <w:rFonts w:ascii="Times New Roman" w:hAnsi="Times New Roman"/>
          <w:sz w:val="24"/>
          <w:szCs w:val="24"/>
        </w:rPr>
        <w:t>па</w:t>
      </w:r>
      <w:r w:rsidRPr="00E72775">
        <w:rPr>
          <w:rFonts w:ascii="Times New Roman" w:hAnsi="Times New Roman"/>
          <w:sz w:val="24"/>
          <w:szCs w:val="24"/>
        </w:rPr>
        <w:t xml:space="preserve"> </w:t>
      </w:r>
      <w:r>
        <w:rPr>
          <w:rFonts w:ascii="Times New Roman" w:hAnsi="Times New Roman"/>
          <w:sz w:val="24"/>
          <w:szCs w:val="24"/>
        </w:rPr>
        <w:t>с</w:t>
      </w:r>
      <w:r w:rsidR="00426E56">
        <w:rPr>
          <w:rFonts w:ascii="Times New Roman" w:hAnsi="Times New Roman"/>
          <w:sz w:val="24"/>
          <w:szCs w:val="24"/>
          <w:lang w:val="sr-Cyrl-CS"/>
        </w:rPr>
        <w:t>а</w:t>
      </w:r>
      <w:r>
        <w:rPr>
          <w:rFonts w:ascii="Times New Roman" w:hAnsi="Times New Roman"/>
          <w:sz w:val="24"/>
          <w:szCs w:val="24"/>
        </w:rPr>
        <w:t>мим</w:t>
      </w:r>
      <w:r w:rsidRPr="00E72775">
        <w:rPr>
          <w:rFonts w:ascii="Times New Roman" w:hAnsi="Times New Roman"/>
          <w:sz w:val="24"/>
          <w:szCs w:val="24"/>
        </w:rPr>
        <w:t xml:space="preserve"> </w:t>
      </w:r>
      <w:r>
        <w:rPr>
          <w:rFonts w:ascii="Times New Roman" w:hAnsi="Times New Roman"/>
          <w:sz w:val="24"/>
          <w:szCs w:val="24"/>
        </w:rPr>
        <w:t>тим</w:t>
      </w:r>
      <w:r w:rsidRPr="00E72775">
        <w:rPr>
          <w:rFonts w:ascii="Times New Roman" w:hAnsi="Times New Roman"/>
          <w:sz w:val="24"/>
          <w:szCs w:val="24"/>
        </w:rPr>
        <w:t xml:space="preserve"> </w:t>
      </w:r>
      <w:r>
        <w:rPr>
          <w:rFonts w:ascii="Times New Roman" w:hAnsi="Times New Roman"/>
          <w:sz w:val="24"/>
          <w:szCs w:val="24"/>
        </w:rPr>
        <w:t>и</w:t>
      </w:r>
      <w:r w:rsidRPr="00E72775">
        <w:rPr>
          <w:rFonts w:ascii="Times New Roman" w:hAnsi="Times New Roman"/>
          <w:sz w:val="24"/>
          <w:szCs w:val="24"/>
        </w:rPr>
        <w:t xml:space="preserve"> </w:t>
      </w:r>
      <w:r>
        <w:rPr>
          <w:rFonts w:ascii="Times New Roman" w:hAnsi="Times New Roman"/>
          <w:sz w:val="24"/>
          <w:szCs w:val="24"/>
        </w:rPr>
        <w:t>да</w:t>
      </w:r>
      <w:r w:rsidRPr="00E72775">
        <w:rPr>
          <w:rFonts w:ascii="Times New Roman" w:hAnsi="Times New Roman"/>
          <w:sz w:val="24"/>
          <w:szCs w:val="24"/>
        </w:rPr>
        <w:t xml:space="preserve"> </w:t>
      </w:r>
      <w:r>
        <w:rPr>
          <w:rFonts w:ascii="Times New Roman" w:hAnsi="Times New Roman"/>
          <w:sz w:val="24"/>
          <w:szCs w:val="24"/>
        </w:rPr>
        <w:t>доведу</w:t>
      </w:r>
      <w:r w:rsidRPr="00E72775">
        <w:rPr>
          <w:rFonts w:ascii="Times New Roman" w:hAnsi="Times New Roman"/>
          <w:sz w:val="24"/>
          <w:szCs w:val="24"/>
        </w:rPr>
        <w:t xml:space="preserve"> </w:t>
      </w:r>
      <w:r>
        <w:rPr>
          <w:rFonts w:ascii="Times New Roman" w:hAnsi="Times New Roman"/>
          <w:sz w:val="24"/>
          <w:szCs w:val="24"/>
        </w:rPr>
        <w:t>до</w:t>
      </w:r>
      <w:r w:rsidRPr="00E72775">
        <w:rPr>
          <w:rFonts w:ascii="Times New Roman" w:hAnsi="Times New Roman"/>
          <w:sz w:val="24"/>
          <w:szCs w:val="24"/>
        </w:rPr>
        <w:t xml:space="preserve"> </w:t>
      </w:r>
      <w:r>
        <w:rPr>
          <w:rFonts w:ascii="Times New Roman" w:hAnsi="Times New Roman"/>
          <w:sz w:val="24"/>
          <w:szCs w:val="24"/>
        </w:rPr>
        <w:t>ограничавања</w:t>
      </w:r>
      <w:r w:rsidRPr="00E72775">
        <w:rPr>
          <w:rFonts w:ascii="Times New Roman" w:hAnsi="Times New Roman"/>
          <w:sz w:val="24"/>
          <w:szCs w:val="24"/>
        </w:rPr>
        <w:t xml:space="preserve">, </w:t>
      </w:r>
      <w:r>
        <w:rPr>
          <w:rFonts w:ascii="Times New Roman" w:hAnsi="Times New Roman"/>
          <w:sz w:val="24"/>
          <w:szCs w:val="24"/>
        </w:rPr>
        <w:t>спречавања</w:t>
      </w:r>
      <w:r w:rsidRPr="00E72775">
        <w:rPr>
          <w:rFonts w:ascii="Times New Roman" w:hAnsi="Times New Roman"/>
          <w:sz w:val="24"/>
          <w:szCs w:val="24"/>
        </w:rPr>
        <w:t xml:space="preserve"> </w:t>
      </w:r>
      <w:r>
        <w:rPr>
          <w:rFonts w:ascii="Times New Roman" w:hAnsi="Times New Roman"/>
          <w:sz w:val="24"/>
          <w:szCs w:val="24"/>
        </w:rPr>
        <w:t>и</w:t>
      </w:r>
      <w:r w:rsidRPr="00E72775">
        <w:rPr>
          <w:rFonts w:ascii="Times New Roman" w:hAnsi="Times New Roman"/>
          <w:sz w:val="24"/>
          <w:szCs w:val="24"/>
        </w:rPr>
        <w:t xml:space="preserve"> </w:t>
      </w:r>
      <w:r>
        <w:rPr>
          <w:rFonts w:ascii="Times New Roman" w:hAnsi="Times New Roman"/>
          <w:sz w:val="24"/>
          <w:szCs w:val="24"/>
        </w:rPr>
        <w:t>нарушавања</w:t>
      </w:r>
      <w:r w:rsidRPr="00E72775">
        <w:rPr>
          <w:rFonts w:ascii="Times New Roman" w:hAnsi="Times New Roman"/>
          <w:sz w:val="24"/>
          <w:szCs w:val="24"/>
        </w:rPr>
        <w:t xml:space="preserve"> </w:t>
      </w:r>
      <w:r>
        <w:rPr>
          <w:rFonts w:ascii="Times New Roman" w:hAnsi="Times New Roman"/>
          <w:sz w:val="24"/>
          <w:szCs w:val="24"/>
        </w:rPr>
        <w:t>конкуренције</w:t>
      </w:r>
      <w:r w:rsidRPr="00E72775">
        <w:rPr>
          <w:rFonts w:ascii="Times New Roman" w:hAnsi="Times New Roman"/>
          <w:sz w:val="24"/>
          <w:szCs w:val="24"/>
        </w:rPr>
        <w:t xml:space="preserve">. </w:t>
      </w:r>
      <w:r>
        <w:rPr>
          <w:rFonts w:ascii="Times New Roman" w:hAnsi="Times New Roman"/>
          <w:sz w:val="24"/>
          <w:szCs w:val="24"/>
        </w:rPr>
        <w:t>Поменути</w:t>
      </w:r>
      <w:r w:rsidRPr="00E72775">
        <w:rPr>
          <w:rFonts w:ascii="Times New Roman" w:hAnsi="Times New Roman"/>
          <w:sz w:val="24"/>
          <w:szCs w:val="24"/>
        </w:rPr>
        <w:t xml:space="preserve"> </w:t>
      </w:r>
      <w:r>
        <w:rPr>
          <w:rFonts w:ascii="Times New Roman" w:hAnsi="Times New Roman"/>
          <w:sz w:val="24"/>
          <w:szCs w:val="24"/>
        </w:rPr>
        <w:t>облици</w:t>
      </w:r>
      <w:r w:rsidRPr="00E72775">
        <w:rPr>
          <w:rFonts w:ascii="Times New Roman" w:hAnsi="Times New Roman"/>
          <w:sz w:val="24"/>
          <w:szCs w:val="24"/>
        </w:rPr>
        <w:t xml:space="preserve"> </w:t>
      </w:r>
      <w:r>
        <w:rPr>
          <w:rFonts w:ascii="Times New Roman" w:hAnsi="Times New Roman"/>
          <w:sz w:val="24"/>
          <w:szCs w:val="24"/>
        </w:rPr>
        <w:t>понашања</w:t>
      </w:r>
      <w:r w:rsidRPr="00E72775">
        <w:rPr>
          <w:rFonts w:ascii="Times New Roman" w:hAnsi="Times New Roman"/>
          <w:sz w:val="24"/>
          <w:szCs w:val="24"/>
        </w:rPr>
        <w:t xml:space="preserve"> </w:t>
      </w:r>
      <w:r>
        <w:rPr>
          <w:rFonts w:ascii="Times New Roman" w:hAnsi="Times New Roman"/>
          <w:sz w:val="24"/>
          <w:szCs w:val="24"/>
        </w:rPr>
        <w:t>тржишних</w:t>
      </w:r>
      <w:r w:rsidRPr="00E72775">
        <w:rPr>
          <w:rFonts w:ascii="Times New Roman" w:hAnsi="Times New Roman"/>
          <w:sz w:val="24"/>
          <w:szCs w:val="24"/>
        </w:rPr>
        <w:t xml:space="preserve"> </w:t>
      </w:r>
      <w:r>
        <w:rPr>
          <w:rFonts w:ascii="Times New Roman" w:hAnsi="Times New Roman"/>
          <w:sz w:val="24"/>
          <w:szCs w:val="24"/>
        </w:rPr>
        <w:t>субјеката</w:t>
      </w:r>
      <w:r w:rsidRPr="00E72775">
        <w:rPr>
          <w:rFonts w:ascii="Times New Roman" w:hAnsi="Times New Roman"/>
          <w:sz w:val="24"/>
          <w:szCs w:val="24"/>
        </w:rPr>
        <w:t xml:space="preserve"> </w:t>
      </w:r>
      <w:r>
        <w:rPr>
          <w:rFonts w:ascii="Times New Roman" w:hAnsi="Times New Roman"/>
          <w:sz w:val="24"/>
          <w:szCs w:val="24"/>
        </w:rPr>
        <w:t>уједно</w:t>
      </w:r>
      <w:r w:rsidRPr="00E72775">
        <w:rPr>
          <w:rFonts w:ascii="Times New Roman" w:hAnsi="Times New Roman"/>
          <w:sz w:val="24"/>
          <w:szCs w:val="24"/>
        </w:rPr>
        <w:t xml:space="preserve"> </w:t>
      </w:r>
      <w:r>
        <w:rPr>
          <w:rFonts w:ascii="Times New Roman" w:hAnsi="Times New Roman"/>
          <w:sz w:val="24"/>
          <w:szCs w:val="24"/>
        </w:rPr>
        <w:t>угрожавају</w:t>
      </w:r>
      <w:r w:rsidRPr="00E72775">
        <w:rPr>
          <w:rFonts w:ascii="Times New Roman" w:hAnsi="Times New Roman"/>
          <w:sz w:val="24"/>
          <w:szCs w:val="24"/>
        </w:rPr>
        <w:t xml:space="preserve"> </w:t>
      </w:r>
      <w:r>
        <w:rPr>
          <w:rFonts w:ascii="Times New Roman" w:hAnsi="Times New Roman"/>
          <w:sz w:val="24"/>
          <w:szCs w:val="24"/>
        </w:rPr>
        <w:t>и</w:t>
      </w:r>
      <w:r>
        <w:rPr>
          <w:rFonts w:ascii="Times New Roman" w:hAnsi="Times New Roman"/>
          <w:sz w:val="24"/>
          <w:szCs w:val="24"/>
          <w:lang w:val="sr-Cyrl-CS"/>
        </w:rPr>
        <w:t xml:space="preserve"> </w:t>
      </w:r>
      <w:r>
        <w:rPr>
          <w:rFonts w:ascii="Times New Roman" w:hAnsi="Times New Roman"/>
          <w:sz w:val="24"/>
          <w:szCs w:val="24"/>
        </w:rPr>
        <w:t>функционисање</w:t>
      </w:r>
      <w:r w:rsidRPr="00E72775">
        <w:rPr>
          <w:rFonts w:ascii="Times New Roman" w:hAnsi="Times New Roman"/>
          <w:sz w:val="24"/>
          <w:szCs w:val="24"/>
        </w:rPr>
        <w:t xml:space="preserve"> </w:t>
      </w:r>
      <w:r>
        <w:rPr>
          <w:rFonts w:ascii="Times New Roman" w:hAnsi="Times New Roman"/>
          <w:sz w:val="24"/>
          <w:szCs w:val="24"/>
        </w:rPr>
        <w:t>слободног</w:t>
      </w:r>
      <w:r w:rsidRPr="00E72775">
        <w:rPr>
          <w:rFonts w:ascii="Times New Roman" w:hAnsi="Times New Roman"/>
          <w:sz w:val="24"/>
          <w:szCs w:val="24"/>
        </w:rPr>
        <w:t xml:space="preserve"> </w:t>
      </w:r>
      <w:r>
        <w:rPr>
          <w:rFonts w:ascii="Times New Roman" w:hAnsi="Times New Roman"/>
          <w:sz w:val="24"/>
          <w:szCs w:val="24"/>
        </w:rPr>
        <w:t>тржишта</w:t>
      </w:r>
      <w:r w:rsidRPr="00E72775">
        <w:rPr>
          <w:rFonts w:ascii="Times New Roman" w:hAnsi="Times New Roman"/>
          <w:sz w:val="24"/>
          <w:szCs w:val="24"/>
        </w:rPr>
        <w:t xml:space="preserve">, </w:t>
      </w:r>
      <w:r>
        <w:rPr>
          <w:rFonts w:ascii="Times New Roman" w:hAnsi="Times New Roman"/>
          <w:sz w:val="24"/>
          <w:szCs w:val="24"/>
        </w:rPr>
        <w:t>као</w:t>
      </w:r>
      <w:r w:rsidRPr="00E72775">
        <w:rPr>
          <w:rFonts w:ascii="Times New Roman" w:hAnsi="Times New Roman"/>
          <w:sz w:val="24"/>
          <w:szCs w:val="24"/>
        </w:rPr>
        <w:t xml:space="preserve"> </w:t>
      </w:r>
      <w:r>
        <w:rPr>
          <w:rFonts w:ascii="Times New Roman" w:hAnsi="Times New Roman"/>
          <w:sz w:val="24"/>
          <w:szCs w:val="24"/>
        </w:rPr>
        <w:t>и</w:t>
      </w:r>
      <w:r w:rsidRPr="00E72775">
        <w:rPr>
          <w:rFonts w:ascii="Times New Roman" w:hAnsi="Times New Roman"/>
          <w:sz w:val="24"/>
          <w:szCs w:val="24"/>
        </w:rPr>
        <w:t xml:space="preserve"> </w:t>
      </w:r>
      <w:r>
        <w:rPr>
          <w:rFonts w:ascii="Times New Roman" w:hAnsi="Times New Roman"/>
          <w:sz w:val="24"/>
          <w:szCs w:val="24"/>
        </w:rPr>
        <w:t>његових</w:t>
      </w:r>
      <w:r w:rsidRPr="00E72775">
        <w:rPr>
          <w:rFonts w:ascii="Times New Roman" w:hAnsi="Times New Roman"/>
          <w:sz w:val="24"/>
          <w:szCs w:val="24"/>
        </w:rPr>
        <w:t xml:space="preserve"> </w:t>
      </w:r>
      <w:r>
        <w:rPr>
          <w:rFonts w:ascii="Times New Roman" w:hAnsi="Times New Roman"/>
          <w:sz w:val="24"/>
          <w:szCs w:val="24"/>
        </w:rPr>
        <w:t>најзначајнијих</w:t>
      </w:r>
      <w:r w:rsidRPr="00E72775">
        <w:rPr>
          <w:rFonts w:ascii="Times New Roman" w:hAnsi="Times New Roman"/>
          <w:sz w:val="24"/>
          <w:szCs w:val="24"/>
        </w:rPr>
        <w:t xml:space="preserve"> </w:t>
      </w:r>
      <w:r>
        <w:rPr>
          <w:rFonts w:ascii="Times New Roman" w:hAnsi="Times New Roman"/>
          <w:sz w:val="24"/>
          <w:szCs w:val="24"/>
        </w:rPr>
        <w:t>функција</w:t>
      </w:r>
      <w:r w:rsidRPr="00E72775">
        <w:rPr>
          <w:rFonts w:ascii="Times New Roman" w:hAnsi="Times New Roman"/>
          <w:sz w:val="24"/>
          <w:szCs w:val="24"/>
        </w:rPr>
        <w:t xml:space="preserve"> (</w:t>
      </w:r>
      <w:r>
        <w:rPr>
          <w:rFonts w:ascii="Times New Roman" w:hAnsi="Times New Roman"/>
          <w:sz w:val="24"/>
          <w:szCs w:val="24"/>
        </w:rPr>
        <w:t>селективне</w:t>
      </w:r>
      <w:r w:rsidRPr="00E72775">
        <w:rPr>
          <w:rFonts w:ascii="Times New Roman" w:hAnsi="Times New Roman"/>
          <w:sz w:val="24"/>
          <w:szCs w:val="24"/>
        </w:rPr>
        <w:t xml:space="preserve">, </w:t>
      </w:r>
      <w:r>
        <w:rPr>
          <w:rFonts w:ascii="Times New Roman" w:hAnsi="Times New Roman"/>
          <w:sz w:val="24"/>
          <w:szCs w:val="24"/>
        </w:rPr>
        <w:t>алокативне</w:t>
      </w:r>
      <w:r w:rsidRPr="00E72775">
        <w:rPr>
          <w:rFonts w:ascii="Times New Roman" w:hAnsi="Times New Roman"/>
          <w:sz w:val="24"/>
          <w:szCs w:val="24"/>
        </w:rPr>
        <w:t xml:space="preserve">, </w:t>
      </w:r>
      <w:r>
        <w:rPr>
          <w:rFonts w:ascii="Times New Roman" w:hAnsi="Times New Roman"/>
          <w:sz w:val="24"/>
          <w:szCs w:val="24"/>
        </w:rPr>
        <w:t>дистрибутивне</w:t>
      </w:r>
      <w:r w:rsidRPr="00E72775">
        <w:rPr>
          <w:rFonts w:ascii="Times New Roman" w:hAnsi="Times New Roman"/>
          <w:sz w:val="24"/>
          <w:szCs w:val="24"/>
        </w:rPr>
        <w:t xml:space="preserve"> </w:t>
      </w:r>
      <w:r>
        <w:rPr>
          <w:rFonts w:ascii="Times New Roman" w:hAnsi="Times New Roman"/>
          <w:sz w:val="24"/>
          <w:szCs w:val="24"/>
        </w:rPr>
        <w:t>и</w:t>
      </w:r>
      <w:r w:rsidRPr="00E72775">
        <w:rPr>
          <w:rFonts w:ascii="Times New Roman" w:hAnsi="Times New Roman"/>
          <w:sz w:val="24"/>
          <w:szCs w:val="24"/>
        </w:rPr>
        <w:t xml:space="preserve"> </w:t>
      </w:r>
      <w:r>
        <w:rPr>
          <w:rFonts w:ascii="Times New Roman" w:hAnsi="Times New Roman"/>
          <w:sz w:val="24"/>
          <w:szCs w:val="24"/>
        </w:rPr>
        <w:t>информативне</w:t>
      </w:r>
      <w:r w:rsidRPr="00E72775">
        <w:rPr>
          <w:rFonts w:ascii="Times New Roman" w:hAnsi="Times New Roman"/>
          <w:sz w:val="24"/>
          <w:szCs w:val="24"/>
        </w:rPr>
        <w:t xml:space="preserve"> </w:t>
      </w:r>
      <w:r>
        <w:rPr>
          <w:rFonts w:ascii="Times New Roman" w:hAnsi="Times New Roman"/>
          <w:sz w:val="24"/>
          <w:szCs w:val="24"/>
        </w:rPr>
        <w:t>функције</w:t>
      </w:r>
      <w:r w:rsidRPr="00E72775">
        <w:rPr>
          <w:rFonts w:ascii="Times New Roman" w:hAnsi="Times New Roman"/>
          <w:sz w:val="24"/>
          <w:szCs w:val="24"/>
        </w:rPr>
        <w:t xml:space="preserve">), </w:t>
      </w:r>
      <w:r>
        <w:rPr>
          <w:rFonts w:ascii="Times New Roman" w:hAnsi="Times New Roman"/>
          <w:sz w:val="24"/>
          <w:szCs w:val="24"/>
        </w:rPr>
        <w:t>узрокујући</w:t>
      </w:r>
      <w:r w:rsidRPr="00E72775">
        <w:rPr>
          <w:rFonts w:ascii="Times New Roman" w:hAnsi="Times New Roman"/>
          <w:sz w:val="24"/>
          <w:szCs w:val="24"/>
        </w:rPr>
        <w:t xml:space="preserve"> </w:t>
      </w:r>
      <w:r>
        <w:rPr>
          <w:rFonts w:ascii="Times New Roman" w:hAnsi="Times New Roman"/>
          <w:sz w:val="24"/>
          <w:szCs w:val="24"/>
        </w:rPr>
        <w:t>појаву</w:t>
      </w:r>
      <w:r w:rsidRPr="00E72775">
        <w:rPr>
          <w:rFonts w:ascii="Times New Roman" w:hAnsi="Times New Roman"/>
          <w:sz w:val="24"/>
          <w:szCs w:val="24"/>
        </w:rPr>
        <w:t xml:space="preserve"> </w:t>
      </w:r>
      <w:r>
        <w:rPr>
          <w:rFonts w:ascii="Times New Roman" w:hAnsi="Times New Roman"/>
          <w:sz w:val="24"/>
          <w:szCs w:val="24"/>
        </w:rPr>
        <w:t>тржишних</w:t>
      </w:r>
      <w:r w:rsidRPr="00E72775">
        <w:rPr>
          <w:rFonts w:ascii="Times New Roman" w:hAnsi="Times New Roman"/>
          <w:sz w:val="24"/>
          <w:szCs w:val="24"/>
        </w:rPr>
        <w:t xml:space="preserve"> </w:t>
      </w:r>
      <w:r>
        <w:rPr>
          <w:rFonts w:ascii="Times New Roman" w:hAnsi="Times New Roman"/>
          <w:sz w:val="24"/>
          <w:szCs w:val="24"/>
        </w:rPr>
        <w:t>дисторзија</w:t>
      </w:r>
      <w:r w:rsidRPr="00E72775">
        <w:rPr>
          <w:rFonts w:ascii="Times New Roman" w:hAnsi="Times New Roman"/>
          <w:sz w:val="24"/>
          <w:szCs w:val="24"/>
        </w:rPr>
        <w:t>.</w:t>
      </w:r>
      <w:r>
        <w:rPr>
          <w:rFonts w:ascii="Times New Roman" w:hAnsi="Times New Roman"/>
          <w:sz w:val="24"/>
          <w:szCs w:val="24"/>
          <w:lang w:val="sr-Cyrl-CS"/>
        </w:rPr>
        <w:t xml:space="preserve"> </w:t>
      </w:r>
      <w:r>
        <w:rPr>
          <w:rFonts w:ascii="Times New Roman" w:hAnsi="Times New Roman"/>
          <w:sz w:val="24"/>
          <w:szCs w:val="24"/>
        </w:rPr>
        <w:t>Ти</w:t>
      </w:r>
      <w:r w:rsidRPr="00E72775">
        <w:rPr>
          <w:rFonts w:ascii="Times New Roman" w:hAnsi="Times New Roman"/>
          <w:sz w:val="24"/>
          <w:szCs w:val="24"/>
        </w:rPr>
        <w:t xml:space="preserve"> </w:t>
      </w:r>
      <w:r>
        <w:rPr>
          <w:rFonts w:ascii="Times New Roman" w:hAnsi="Times New Roman"/>
          <w:sz w:val="24"/>
          <w:szCs w:val="24"/>
        </w:rPr>
        <w:t>деформитети</w:t>
      </w:r>
      <w:r w:rsidRPr="00E72775">
        <w:rPr>
          <w:rFonts w:ascii="Times New Roman" w:hAnsi="Times New Roman"/>
          <w:sz w:val="24"/>
          <w:szCs w:val="24"/>
        </w:rPr>
        <w:t xml:space="preserve"> </w:t>
      </w:r>
      <w:r>
        <w:rPr>
          <w:rFonts w:ascii="Times New Roman" w:hAnsi="Times New Roman"/>
          <w:sz w:val="24"/>
          <w:szCs w:val="24"/>
        </w:rPr>
        <w:t>угрожавају</w:t>
      </w:r>
      <w:r w:rsidRPr="00E72775">
        <w:rPr>
          <w:rFonts w:ascii="Times New Roman" w:hAnsi="Times New Roman"/>
          <w:sz w:val="24"/>
          <w:szCs w:val="24"/>
        </w:rPr>
        <w:t xml:space="preserve"> </w:t>
      </w:r>
      <w:r>
        <w:rPr>
          <w:rFonts w:ascii="Times New Roman" w:hAnsi="Times New Roman"/>
          <w:sz w:val="24"/>
          <w:szCs w:val="24"/>
        </w:rPr>
        <w:t>основне</w:t>
      </w:r>
      <w:r w:rsidRPr="00E72775">
        <w:rPr>
          <w:rFonts w:ascii="Times New Roman" w:hAnsi="Times New Roman"/>
          <w:sz w:val="24"/>
          <w:szCs w:val="24"/>
        </w:rPr>
        <w:t xml:space="preserve"> </w:t>
      </w:r>
      <w:r>
        <w:rPr>
          <w:rFonts w:ascii="Times New Roman" w:hAnsi="Times New Roman"/>
          <w:sz w:val="24"/>
          <w:szCs w:val="24"/>
        </w:rPr>
        <w:t>елементе</w:t>
      </w:r>
      <w:r w:rsidRPr="00E72775">
        <w:rPr>
          <w:rFonts w:ascii="Times New Roman" w:hAnsi="Times New Roman"/>
          <w:sz w:val="24"/>
          <w:szCs w:val="24"/>
        </w:rPr>
        <w:t xml:space="preserve"> </w:t>
      </w:r>
      <w:r>
        <w:rPr>
          <w:rFonts w:ascii="Times New Roman" w:hAnsi="Times New Roman"/>
          <w:sz w:val="24"/>
          <w:szCs w:val="24"/>
        </w:rPr>
        <w:t>ефективне</w:t>
      </w:r>
      <w:r w:rsidRPr="00E72775">
        <w:rPr>
          <w:rFonts w:ascii="Times New Roman" w:hAnsi="Times New Roman"/>
          <w:sz w:val="24"/>
          <w:szCs w:val="24"/>
        </w:rPr>
        <w:t xml:space="preserve"> </w:t>
      </w:r>
      <w:r>
        <w:rPr>
          <w:rFonts w:ascii="Times New Roman" w:hAnsi="Times New Roman"/>
          <w:sz w:val="24"/>
          <w:szCs w:val="24"/>
        </w:rPr>
        <w:t>тржишне</w:t>
      </w:r>
      <w:r w:rsidRPr="00E72775">
        <w:rPr>
          <w:rFonts w:ascii="Times New Roman" w:hAnsi="Times New Roman"/>
          <w:sz w:val="24"/>
          <w:szCs w:val="24"/>
        </w:rPr>
        <w:t xml:space="preserve"> </w:t>
      </w:r>
      <w:r>
        <w:rPr>
          <w:rFonts w:ascii="Times New Roman" w:hAnsi="Times New Roman"/>
          <w:sz w:val="24"/>
          <w:szCs w:val="24"/>
        </w:rPr>
        <w:t>конкуренције</w:t>
      </w:r>
      <w:r w:rsidRPr="00E72775">
        <w:rPr>
          <w:rFonts w:ascii="Times New Roman" w:hAnsi="Times New Roman"/>
          <w:sz w:val="24"/>
          <w:szCs w:val="24"/>
        </w:rPr>
        <w:t xml:space="preserve"> </w:t>
      </w:r>
      <w:r>
        <w:rPr>
          <w:rFonts w:ascii="Times New Roman" w:hAnsi="Times New Roman"/>
          <w:sz w:val="24"/>
          <w:szCs w:val="24"/>
        </w:rPr>
        <w:t>којима</w:t>
      </w:r>
      <w:r w:rsidRPr="00E72775">
        <w:rPr>
          <w:rFonts w:ascii="Times New Roman" w:hAnsi="Times New Roman"/>
          <w:sz w:val="24"/>
          <w:szCs w:val="24"/>
        </w:rPr>
        <w:t xml:space="preserve"> </w:t>
      </w:r>
      <w:r>
        <w:rPr>
          <w:rFonts w:ascii="Times New Roman" w:hAnsi="Times New Roman"/>
          <w:sz w:val="24"/>
          <w:szCs w:val="24"/>
        </w:rPr>
        <w:t>се</w:t>
      </w:r>
      <w:r w:rsidRPr="00E72775">
        <w:rPr>
          <w:rFonts w:ascii="Times New Roman" w:hAnsi="Times New Roman"/>
          <w:sz w:val="24"/>
          <w:szCs w:val="24"/>
        </w:rPr>
        <w:t xml:space="preserve"> </w:t>
      </w:r>
      <w:r>
        <w:rPr>
          <w:rFonts w:ascii="Times New Roman" w:hAnsi="Times New Roman"/>
          <w:sz w:val="24"/>
          <w:szCs w:val="24"/>
        </w:rPr>
        <w:t>остварује</w:t>
      </w:r>
      <w:r w:rsidRPr="00E72775">
        <w:rPr>
          <w:rFonts w:ascii="Times New Roman" w:hAnsi="Times New Roman"/>
          <w:sz w:val="24"/>
          <w:szCs w:val="24"/>
        </w:rPr>
        <w:t xml:space="preserve"> </w:t>
      </w:r>
      <w:r>
        <w:rPr>
          <w:rFonts w:ascii="Times New Roman" w:hAnsi="Times New Roman"/>
          <w:sz w:val="24"/>
          <w:szCs w:val="24"/>
        </w:rPr>
        <w:t>штета</w:t>
      </w:r>
      <w:r w:rsidRPr="00E72775">
        <w:rPr>
          <w:rFonts w:ascii="Times New Roman" w:hAnsi="Times New Roman"/>
          <w:sz w:val="24"/>
          <w:szCs w:val="24"/>
        </w:rPr>
        <w:t xml:space="preserve"> </w:t>
      </w:r>
      <w:r>
        <w:rPr>
          <w:rFonts w:ascii="Times New Roman" w:hAnsi="Times New Roman"/>
          <w:sz w:val="24"/>
          <w:szCs w:val="24"/>
        </w:rPr>
        <w:t>на</w:t>
      </w:r>
      <w:r w:rsidRPr="00E72775">
        <w:rPr>
          <w:rFonts w:ascii="Times New Roman" w:hAnsi="Times New Roman"/>
          <w:sz w:val="24"/>
          <w:szCs w:val="24"/>
        </w:rPr>
        <w:t xml:space="preserve"> </w:t>
      </w:r>
      <w:r>
        <w:rPr>
          <w:rFonts w:ascii="Times New Roman" w:hAnsi="Times New Roman"/>
          <w:sz w:val="24"/>
          <w:szCs w:val="24"/>
        </w:rPr>
        <w:t>рачун</w:t>
      </w:r>
      <w:r w:rsidRPr="00E72775">
        <w:rPr>
          <w:rFonts w:ascii="Times New Roman" w:hAnsi="Times New Roman"/>
          <w:sz w:val="24"/>
          <w:szCs w:val="24"/>
        </w:rPr>
        <w:t xml:space="preserve"> </w:t>
      </w:r>
      <w:r>
        <w:rPr>
          <w:rFonts w:ascii="Times New Roman" w:hAnsi="Times New Roman"/>
          <w:sz w:val="24"/>
          <w:szCs w:val="24"/>
        </w:rPr>
        <w:t>потрошача</w:t>
      </w:r>
      <w:r w:rsidRPr="00E72775">
        <w:rPr>
          <w:rFonts w:ascii="Times New Roman" w:hAnsi="Times New Roman"/>
          <w:sz w:val="24"/>
          <w:szCs w:val="24"/>
        </w:rPr>
        <w:t xml:space="preserve"> </w:t>
      </w:r>
      <w:r>
        <w:rPr>
          <w:rFonts w:ascii="Times New Roman" w:hAnsi="Times New Roman"/>
          <w:sz w:val="24"/>
          <w:szCs w:val="24"/>
        </w:rPr>
        <w:t>у</w:t>
      </w:r>
      <w:r w:rsidRPr="00E72775">
        <w:rPr>
          <w:rFonts w:ascii="Times New Roman" w:hAnsi="Times New Roman"/>
          <w:sz w:val="24"/>
          <w:szCs w:val="24"/>
        </w:rPr>
        <w:t xml:space="preserve"> </w:t>
      </w:r>
      <w:r>
        <w:rPr>
          <w:rFonts w:ascii="Times New Roman" w:hAnsi="Times New Roman"/>
          <w:sz w:val="24"/>
          <w:szCs w:val="24"/>
        </w:rPr>
        <w:t>виду</w:t>
      </w:r>
      <w:r w:rsidRPr="00E72775">
        <w:rPr>
          <w:rFonts w:ascii="Times New Roman" w:hAnsi="Times New Roman"/>
          <w:sz w:val="24"/>
          <w:szCs w:val="24"/>
        </w:rPr>
        <w:t xml:space="preserve"> </w:t>
      </w:r>
      <w:r>
        <w:rPr>
          <w:rFonts w:ascii="Times New Roman" w:hAnsi="Times New Roman"/>
          <w:sz w:val="24"/>
          <w:szCs w:val="24"/>
        </w:rPr>
        <w:t>виших</w:t>
      </w:r>
      <w:r w:rsidRPr="00E72775">
        <w:rPr>
          <w:rFonts w:ascii="Times New Roman" w:hAnsi="Times New Roman"/>
          <w:sz w:val="24"/>
          <w:szCs w:val="24"/>
        </w:rPr>
        <w:t xml:space="preserve"> </w:t>
      </w:r>
      <w:r>
        <w:rPr>
          <w:rFonts w:ascii="Times New Roman" w:hAnsi="Times New Roman"/>
          <w:sz w:val="24"/>
          <w:szCs w:val="24"/>
        </w:rPr>
        <w:t>цена</w:t>
      </w:r>
      <w:r w:rsidRPr="00E72775">
        <w:rPr>
          <w:rFonts w:ascii="Times New Roman" w:hAnsi="Times New Roman"/>
          <w:sz w:val="24"/>
          <w:szCs w:val="24"/>
        </w:rPr>
        <w:t xml:space="preserve">, </w:t>
      </w:r>
      <w:r>
        <w:rPr>
          <w:rFonts w:ascii="Times New Roman" w:hAnsi="Times New Roman"/>
          <w:sz w:val="24"/>
          <w:szCs w:val="24"/>
        </w:rPr>
        <w:t>ужег</w:t>
      </w:r>
      <w:r w:rsidRPr="00E72775">
        <w:rPr>
          <w:rFonts w:ascii="Times New Roman" w:hAnsi="Times New Roman"/>
          <w:sz w:val="24"/>
          <w:szCs w:val="24"/>
        </w:rPr>
        <w:t xml:space="preserve"> </w:t>
      </w:r>
      <w:r>
        <w:rPr>
          <w:rFonts w:ascii="Times New Roman" w:hAnsi="Times New Roman"/>
          <w:sz w:val="24"/>
          <w:szCs w:val="24"/>
        </w:rPr>
        <w:t>асортимана</w:t>
      </w:r>
      <w:r w:rsidRPr="00E72775">
        <w:rPr>
          <w:rFonts w:ascii="Times New Roman" w:hAnsi="Times New Roman"/>
          <w:sz w:val="24"/>
          <w:szCs w:val="24"/>
        </w:rPr>
        <w:t xml:space="preserve"> </w:t>
      </w:r>
      <w:r>
        <w:rPr>
          <w:rFonts w:ascii="Times New Roman" w:hAnsi="Times New Roman"/>
          <w:sz w:val="24"/>
          <w:szCs w:val="24"/>
        </w:rPr>
        <w:t>и</w:t>
      </w:r>
      <w:r w:rsidRPr="00E72775">
        <w:rPr>
          <w:rFonts w:ascii="Times New Roman" w:hAnsi="Times New Roman"/>
          <w:sz w:val="24"/>
          <w:szCs w:val="24"/>
        </w:rPr>
        <w:t xml:space="preserve"> </w:t>
      </w:r>
      <w:r>
        <w:rPr>
          <w:rFonts w:ascii="Times New Roman" w:hAnsi="Times New Roman"/>
          <w:sz w:val="24"/>
          <w:szCs w:val="24"/>
        </w:rPr>
        <w:t>неквалитетнијих</w:t>
      </w:r>
      <w:r w:rsidRPr="00E72775">
        <w:rPr>
          <w:rFonts w:ascii="Times New Roman" w:hAnsi="Times New Roman"/>
          <w:sz w:val="24"/>
          <w:szCs w:val="24"/>
        </w:rPr>
        <w:t xml:space="preserve"> </w:t>
      </w:r>
      <w:r>
        <w:rPr>
          <w:rFonts w:ascii="Times New Roman" w:hAnsi="Times New Roman"/>
          <w:sz w:val="24"/>
          <w:szCs w:val="24"/>
        </w:rPr>
        <w:t>производа</w:t>
      </w:r>
      <w:r w:rsidRPr="00E72775">
        <w:rPr>
          <w:rFonts w:ascii="Times New Roman" w:hAnsi="Times New Roman"/>
          <w:sz w:val="24"/>
          <w:szCs w:val="24"/>
        </w:rPr>
        <w:t xml:space="preserve"> </w:t>
      </w:r>
      <w:r>
        <w:rPr>
          <w:rFonts w:ascii="Times New Roman" w:hAnsi="Times New Roman"/>
          <w:sz w:val="24"/>
          <w:szCs w:val="24"/>
        </w:rPr>
        <w:t>и</w:t>
      </w:r>
      <w:r w:rsidRPr="00E72775">
        <w:rPr>
          <w:rFonts w:ascii="Times New Roman" w:hAnsi="Times New Roman"/>
          <w:sz w:val="24"/>
          <w:szCs w:val="24"/>
        </w:rPr>
        <w:t xml:space="preserve"> </w:t>
      </w:r>
      <w:r>
        <w:rPr>
          <w:rFonts w:ascii="Times New Roman" w:hAnsi="Times New Roman"/>
          <w:sz w:val="24"/>
          <w:szCs w:val="24"/>
        </w:rPr>
        <w:t>услуга</w:t>
      </w:r>
      <w:r w:rsidRPr="00E72775">
        <w:rPr>
          <w:rFonts w:ascii="Times New Roman" w:hAnsi="Times New Roman"/>
          <w:sz w:val="24"/>
          <w:szCs w:val="24"/>
        </w:rPr>
        <w:t xml:space="preserve">. </w:t>
      </w:r>
      <w:r>
        <w:rPr>
          <w:rFonts w:ascii="Times New Roman" w:hAnsi="Times New Roman"/>
          <w:sz w:val="24"/>
          <w:szCs w:val="24"/>
        </w:rPr>
        <w:t>Поред</w:t>
      </w:r>
      <w:r w:rsidRPr="00E72775">
        <w:rPr>
          <w:rFonts w:ascii="Times New Roman" w:hAnsi="Times New Roman"/>
          <w:sz w:val="24"/>
          <w:szCs w:val="24"/>
        </w:rPr>
        <w:t xml:space="preserve"> </w:t>
      </w:r>
      <w:r>
        <w:rPr>
          <w:rFonts w:ascii="Times New Roman" w:hAnsi="Times New Roman"/>
          <w:sz w:val="24"/>
          <w:szCs w:val="24"/>
        </w:rPr>
        <w:t>утицаја</w:t>
      </w:r>
      <w:r w:rsidRPr="00E72775">
        <w:rPr>
          <w:rFonts w:ascii="Times New Roman" w:hAnsi="Times New Roman"/>
          <w:sz w:val="24"/>
          <w:szCs w:val="24"/>
        </w:rPr>
        <w:t xml:space="preserve"> </w:t>
      </w:r>
      <w:r>
        <w:rPr>
          <w:rFonts w:ascii="Times New Roman" w:hAnsi="Times New Roman"/>
          <w:sz w:val="24"/>
          <w:szCs w:val="24"/>
        </w:rPr>
        <w:t>на</w:t>
      </w:r>
      <w:r w:rsidRPr="00E72775">
        <w:rPr>
          <w:rFonts w:ascii="Times New Roman" w:hAnsi="Times New Roman"/>
          <w:sz w:val="24"/>
          <w:szCs w:val="24"/>
        </w:rPr>
        <w:t xml:space="preserve"> </w:t>
      </w:r>
      <w:r>
        <w:rPr>
          <w:rFonts w:ascii="Times New Roman" w:hAnsi="Times New Roman"/>
          <w:sz w:val="24"/>
          <w:szCs w:val="24"/>
        </w:rPr>
        <w:t>благостање</w:t>
      </w:r>
      <w:r w:rsidRPr="00E72775">
        <w:rPr>
          <w:rFonts w:ascii="Times New Roman" w:hAnsi="Times New Roman"/>
          <w:sz w:val="24"/>
          <w:szCs w:val="24"/>
        </w:rPr>
        <w:t xml:space="preserve"> </w:t>
      </w:r>
      <w:r>
        <w:rPr>
          <w:rFonts w:ascii="Times New Roman" w:hAnsi="Times New Roman"/>
          <w:sz w:val="24"/>
          <w:szCs w:val="24"/>
        </w:rPr>
        <w:t>потрошача</w:t>
      </w:r>
      <w:r w:rsidRPr="00E72775">
        <w:rPr>
          <w:rFonts w:ascii="Times New Roman" w:hAnsi="Times New Roman"/>
          <w:sz w:val="24"/>
          <w:szCs w:val="24"/>
        </w:rPr>
        <w:t xml:space="preserve">, </w:t>
      </w:r>
      <w:r>
        <w:rPr>
          <w:rFonts w:ascii="Times New Roman" w:hAnsi="Times New Roman"/>
          <w:sz w:val="24"/>
          <w:szCs w:val="24"/>
        </w:rPr>
        <w:t>привредни</w:t>
      </w:r>
      <w:r w:rsidRPr="00E72775">
        <w:rPr>
          <w:rFonts w:ascii="Times New Roman" w:hAnsi="Times New Roman"/>
          <w:sz w:val="24"/>
          <w:szCs w:val="24"/>
        </w:rPr>
        <w:t xml:space="preserve"> </w:t>
      </w:r>
      <w:r>
        <w:rPr>
          <w:rFonts w:ascii="Times New Roman" w:hAnsi="Times New Roman"/>
          <w:sz w:val="24"/>
          <w:szCs w:val="24"/>
        </w:rPr>
        <w:t>раст</w:t>
      </w:r>
      <w:r w:rsidRPr="00E72775">
        <w:rPr>
          <w:rFonts w:ascii="Times New Roman" w:hAnsi="Times New Roman"/>
          <w:sz w:val="24"/>
          <w:szCs w:val="24"/>
        </w:rPr>
        <w:t xml:space="preserve"> </w:t>
      </w:r>
      <w:r>
        <w:rPr>
          <w:rFonts w:ascii="Times New Roman" w:hAnsi="Times New Roman"/>
          <w:sz w:val="24"/>
          <w:szCs w:val="24"/>
        </w:rPr>
        <w:t>и</w:t>
      </w:r>
      <w:r w:rsidRPr="00E72775">
        <w:rPr>
          <w:rFonts w:ascii="Times New Roman" w:hAnsi="Times New Roman"/>
          <w:sz w:val="24"/>
          <w:szCs w:val="24"/>
        </w:rPr>
        <w:t xml:space="preserve"> </w:t>
      </w:r>
      <w:r>
        <w:rPr>
          <w:rFonts w:ascii="Times New Roman" w:hAnsi="Times New Roman"/>
          <w:sz w:val="24"/>
          <w:szCs w:val="24"/>
        </w:rPr>
        <w:t>продуктивност</w:t>
      </w:r>
      <w:r w:rsidRPr="00E72775">
        <w:rPr>
          <w:rFonts w:ascii="Times New Roman" w:hAnsi="Times New Roman"/>
          <w:sz w:val="24"/>
          <w:szCs w:val="24"/>
        </w:rPr>
        <w:t xml:space="preserve"> </w:t>
      </w:r>
      <w:r>
        <w:rPr>
          <w:rFonts w:ascii="Times New Roman" w:hAnsi="Times New Roman"/>
          <w:sz w:val="24"/>
          <w:szCs w:val="24"/>
        </w:rPr>
        <w:t>предузећа</w:t>
      </w:r>
      <w:r w:rsidRPr="00E72775">
        <w:rPr>
          <w:rFonts w:ascii="Times New Roman" w:hAnsi="Times New Roman"/>
          <w:sz w:val="24"/>
          <w:szCs w:val="24"/>
        </w:rPr>
        <w:t xml:space="preserve">, </w:t>
      </w:r>
      <w:r>
        <w:rPr>
          <w:rFonts w:ascii="Times New Roman" w:hAnsi="Times New Roman"/>
          <w:sz w:val="24"/>
          <w:szCs w:val="24"/>
        </w:rPr>
        <w:t>политика</w:t>
      </w:r>
      <w:r w:rsidRPr="00E72775">
        <w:rPr>
          <w:rFonts w:ascii="Times New Roman" w:hAnsi="Times New Roman"/>
          <w:sz w:val="24"/>
          <w:szCs w:val="24"/>
        </w:rPr>
        <w:t xml:space="preserve"> </w:t>
      </w:r>
      <w:r>
        <w:rPr>
          <w:rFonts w:ascii="Times New Roman" w:hAnsi="Times New Roman"/>
          <w:sz w:val="24"/>
          <w:szCs w:val="24"/>
        </w:rPr>
        <w:t>конкуренције</w:t>
      </w:r>
      <w:r w:rsidRPr="00E72775">
        <w:rPr>
          <w:rFonts w:ascii="Times New Roman" w:hAnsi="Times New Roman"/>
          <w:sz w:val="24"/>
          <w:szCs w:val="24"/>
        </w:rPr>
        <w:t xml:space="preserve">, </w:t>
      </w:r>
      <w:r>
        <w:rPr>
          <w:rFonts w:ascii="Times New Roman" w:hAnsi="Times New Roman"/>
          <w:sz w:val="24"/>
          <w:szCs w:val="24"/>
        </w:rPr>
        <w:t>у</w:t>
      </w:r>
      <w:r w:rsidRPr="00E72775">
        <w:rPr>
          <w:rFonts w:ascii="Times New Roman" w:hAnsi="Times New Roman"/>
          <w:sz w:val="24"/>
          <w:szCs w:val="24"/>
        </w:rPr>
        <w:t xml:space="preserve"> </w:t>
      </w:r>
      <w:r>
        <w:rPr>
          <w:rFonts w:ascii="Times New Roman" w:hAnsi="Times New Roman"/>
          <w:sz w:val="24"/>
          <w:szCs w:val="24"/>
        </w:rPr>
        <w:t>координацији са другим макроекономским политикама</w:t>
      </w:r>
      <w:r w:rsidRPr="00E72775">
        <w:rPr>
          <w:rFonts w:ascii="Times New Roman" w:hAnsi="Times New Roman"/>
          <w:sz w:val="24"/>
          <w:szCs w:val="24"/>
        </w:rPr>
        <w:t xml:space="preserve">, </w:t>
      </w:r>
      <w:r>
        <w:rPr>
          <w:rFonts w:ascii="Times New Roman" w:hAnsi="Times New Roman"/>
          <w:sz w:val="24"/>
          <w:szCs w:val="24"/>
        </w:rPr>
        <w:t>опредељује</w:t>
      </w:r>
      <w:r w:rsidRPr="00E72775">
        <w:rPr>
          <w:rFonts w:ascii="Times New Roman" w:hAnsi="Times New Roman"/>
          <w:sz w:val="24"/>
          <w:szCs w:val="24"/>
        </w:rPr>
        <w:t xml:space="preserve"> </w:t>
      </w:r>
      <w:r>
        <w:rPr>
          <w:rFonts w:ascii="Times New Roman" w:hAnsi="Times New Roman"/>
          <w:sz w:val="24"/>
          <w:szCs w:val="24"/>
        </w:rPr>
        <w:t>и</w:t>
      </w:r>
      <w:r w:rsidRPr="00E72775">
        <w:rPr>
          <w:rFonts w:ascii="Times New Roman" w:hAnsi="Times New Roman"/>
          <w:sz w:val="24"/>
          <w:szCs w:val="24"/>
        </w:rPr>
        <w:t xml:space="preserve"> </w:t>
      </w:r>
      <w:r>
        <w:rPr>
          <w:rFonts w:ascii="Times New Roman" w:hAnsi="Times New Roman"/>
          <w:sz w:val="24"/>
          <w:szCs w:val="24"/>
        </w:rPr>
        <w:t>ниво</w:t>
      </w:r>
      <w:r w:rsidRPr="00E72775">
        <w:rPr>
          <w:rFonts w:ascii="Times New Roman" w:hAnsi="Times New Roman"/>
          <w:sz w:val="24"/>
          <w:szCs w:val="24"/>
        </w:rPr>
        <w:t xml:space="preserve"> </w:t>
      </w:r>
      <w:r>
        <w:rPr>
          <w:rFonts w:ascii="Times New Roman" w:hAnsi="Times New Roman"/>
          <w:sz w:val="24"/>
          <w:szCs w:val="24"/>
        </w:rPr>
        <w:t>глобалне</w:t>
      </w:r>
      <w:r w:rsidRPr="00E72775">
        <w:rPr>
          <w:rFonts w:ascii="Times New Roman" w:hAnsi="Times New Roman"/>
          <w:sz w:val="24"/>
          <w:szCs w:val="24"/>
        </w:rPr>
        <w:t xml:space="preserve"> </w:t>
      </w:r>
      <w:r>
        <w:rPr>
          <w:rFonts w:ascii="Times New Roman" w:hAnsi="Times New Roman"/>
          <w:sz w:val="24"/>
          <w:szCs w:val="24"/>
        </w:rPr>
        <w:t>конкурентности</w:t>
      </w:r>
      <w:r w:rsidRPr="00E72775">
        <w:rPr>
          <w:rFonts w:ascii="Times New Roman" w:hAnsi="Times New Roman"/>
          <w:sz w:val="24"/>
          <w:szCs w:val="24"/>
        </w:rPr>
        <w:t xml:space="preserve"> </w:t>
      </w:r>
      <w:r>
        <w:rPr>
          <w:rFonts w:ascii="Times New Roman" w:hAnsi="Times New Roman"/>
          <w:sz w:val="24"/>
          <w:szCs w:val="24"/>
        </w:rPr>
        <w:t>земље</w:t>
      </w:r>
      <w:r>
        <w:rPr>
          <w:rFonts w:ascii="Times New Roman" w:hAnsi="Times New Roman"/>
          <w:sz w:val="24"/>
          <w:szCs w:val="24"/>
          <w:lang w:val="sr-Cyrl-CS"/>
        </w:rPr>
        <w:t>.</w:t>
      </w:r>
      <w:r w:rsidR="00710D25">
        <w:rPr>
          <w:rFonts w:ascii="Times New Roman" w:hAnsi="Times New Roman"/>
          <w:sz w:val="24"/>
          <w:szCs w:val="24"/>
          <w:lang w:val="sr-Cyrl-CS"/>
        </w:rPr>
        <w:t>“</w:t>
      </w:r>
      <w:r>
        <w:rPr>
          <w:rFonts w:ascii="Times New Roman" w:hAnsi="Times New Roman"/>
          <w:sz w:val="24"/>
          <w:szCs w:val="24"/>
          <w:lang w:val="sr-Cyrl-CS"/>
        </w:rPr>
        <w:t xml:space="preserve"> </w:t>
      </w:r>
      <w:r w:rsidR="00710D25">
        <w:rPr>
          <w:rFonts w:ascii="Times New Roman" w:hAnsi="Times New Roman"/>
          <w:sz w:val="24"/>
          <w:szCs w:val="24"/>
          <w:lang w:val="sr-Cyrl-CS"/>
        </w:rPr>
        <w:t>О</w:t>
      </w:r>
      <w:r>
        <w:rPr>
          <w:rFonts w:ascii="Times New Roman" w:hAnsi="Times New Roman"/>
          <w:sz w:val="24"/>
          <w:szCs w:val="24"/>
          <w:lang w:val="sr-Cyrl-CS"/>
        </w:rPr>
        <w:t>д</w:t>
      </w:r>
      <w:r w:rsidRPr="00E72775">
        <w:rPr>
          <w:rFonts w:ascii="Times New Roman" w:hAnsi="Times New Roman"/>
          <w:sz w:val="24"/>
          <w:szCs w:val="24"/>
          <w:lang w:val="sr-Cyrl-CS"/>
        </w:rPr>
        <w:t xml:space="preserve"> </w:t>
      </w:r>
      <w:r>
        <w:rPr>
          <w:rFonts w:ascii="Times New Roman" w:hAnsi="Times New Roman"/>
          <w:sz w:val="24"/>
          <w:szCs w:val="24"/>
          <w:lang w:val="sr-Cyrl-CS"/>
        </w:rPr>
        <w:t>с</w:t>
      </w:r>
      <w:r>
        <w:rPr>
          <w:rFonts w:ascii="Times New Roman" w:hAnsi="Times New Roman"/>
          <w:sz w:val="24"/>
          <w:szCs w:val="24"/>
        </w:rPr>
        <w:t>a</w:t>
      </w:r>
      <w:r>
        <w:rPr>
          <w:rFonts w:ascii="Times New Roman" w:hAnsi="Times New Roman"/>
          <w:sz w:val="24"/>
          <w:szCs w:val="24"/>
          <w:lang w:val="sr-Cyrl-CS"/>
        </w:rPr>
        <w:t>мог</w:t>
      </w:r>
      <w:r w:rsidRPr="00E72775">
        <w:rPr>
          <w:rFonts w:ascii="Times New Roman" w:hAnsi="Times New Roman"/>
          <w:sz w:val="24"/>
          <w:szCs w:val="24"/>
          <w:lang w:val="sr-Cyrl-CS"/>
        </w:rPr>
        <w:t xml:space="preserve"> </w:t>
      </w:r>
      <w:r>
        <w:rPr>
          <w:rFonts w:ascii="Times New Roman" w:hAnsi="Times New Roman"/>
          <w:sz w:val="24"/>
          <w:szCs w:val="24"/>
          <w:lang w:val="sr-Cyrl-CS"/>
        </w:rPr>
        <w:t>настанка</w:t>
      </w:r>
      <w:r w:rsidRPr="00E72775">
        <w:rPr>
          <w:rFonts w:ascii="Times New Roman" w:hAnsi="Times New Roman"/>
          <w:sz w:val="24"/>
          <w:szCs w:val="24"/>
          <w:lang w:val="sr-Cyrl-CS"/>
        </w:rPr>
        <w:t xml:space="preserve"> </w:t>
      </w:r>
      <w:r>
        <w:rPr>
          <w:rFonts w:ascii="Times New Roman" w:hAnsi="Times New Roman"/>
          <w:sz w:val="24"/>
          <w:szCs w:val="24"/>
          <w:lang w:val="sr-Cyrl-CS"/>
        </w:rPr>
        <w:t>Европске</w:t>
      </w:r>
      <w:r w:rsidRPr="00E72775">
        <w:rPr>
          <w:rFonts w:ascii="Times New Roman" w:hAnsi="Times New Roman"/>
          <w:sz w:val="24"/>
          <w:szCs w:val="24"/>
          <w:lang w:val="sr-Cyrl-CS"/>
        </w:rPr>
        <w:t xml:space="preserve"> </w:t>
      </w:r>
      <w:r>
        <w:rPr>
          <w:rFonts w:ascii="Times New Roman" w:hAnsi="Times New Roman"/>
          <w:sz w:val="24"/>
          <w:szCs w:val="24"/>
          <w:lang w:val="sr-Cyrl-CS"/>
        </w:rPr>
        <w:t>економске</w:t>
      </w:r>
      <w:r w:rsidRPr="00E72775">
        <w:rPr>
          <w:rFonts w:ascii="Times New Roman" w:hAnsi="Times New Roman"/>
          <w:sz w:val="24"/>
          <w:szCs w:val="24"/>
          <w:lang w:val="sr-Cyrl-CS"/>
        </w:rPr>
        <w:t xml:space="preserve"> </w:t>
      </w:r>
      <w:r>
        <w:rPr>
          <w:rFonts w:ascii="Times New Roman" w:hAnsi="Times New Roman"/>
          <w:sz w:val="24"/>
          <w:szCs w:val="24"/>
          <w:lang w:val="sr-Cyrl-CS"/>
        </w:rPr>
        <w:t>заједнице</w:t>
      </w:r>
      <w:r w:rsidR="00710D25">
        <w:rPr>
          <w:rFonts w:ascii="Times New Roman" w:hAnsi="Times New Roman"/>
          <w:sz w:val="24"/>
          <w:szCs w:val="24"/>
          <w:lang w:val="sr-Cyrl-CS"/>
        </w:rPr>
        <w:t xml:space="preserve"> постоји политика конкуренције ЕУ</w:t>
      </w:r>
      <w:r w:rsidRPr="00E72775">
        <w:rPr>
          <w:rFonts w:ascii="Times New Roman" w:hAnsi="Times New Roman"/>
          <w:sz w:val="24"/>
          <w:szCs w:val="24"/>
          <w:lang w:val="sr-Cyrl-CS"/>
        </w:rPr>
        <w:t>.</w:t>
      </w:r>
      <w:r>
        <w:rPr>
          <w:rFonts w:ascii="Times New Roman" w:hAnsi="Times New Roman"/>
          <w:sz w:val="24"/>
          <w:szCs w:val="24"/>
          <w:lang w:val="sr-Cyrl-CS"/>
        </w:rPr>
        <w:t xml:space="preserve"> </w:t>
      </w:r>
      <w:r w:rsidR="00710D25">
        <w:rPr>
          <w:rFonts w:ascii="Times New Roman" w:hAnsi="Times New Roman"/>
          <w:sz w:val="24"/>
          <w:szCs w:val="24"/>
          <w:lang w:val="sr-Cyrl-CS"/>
        </w:rPr>
        <w:t>С</w:t>
      </w:r>
      <w:r>
        <w:rPr>
          <w:rFonts w:ascii="Times New Roman" w:hAnsi="Times New Roman"/>
          <w:sz w:val="24"/>
          <w:szCs w:val="24"/>
          <w:lang w:val="sr-Cyrl-CS"/>
        </w:rPr>
        <w:t>а</w:t>
      </w:r>
      <w:r w:rsidRPr="00E72775">
        <w:rPr>
          <w:rFonts w:ascii="Times New Roman" w:hAnsi="Times New Roman"/>
          <w:sz w:val="24"/>
          <w:szCs w:val="24"/>
          <w:lang w:val="sr-Cyrl-CS"/>
        </w:rPr>
        <w:t xml:space="preserve"> </w:t>
      </w:r>
      <w:r>
        <w:rPr>
          <w:rFonts w:ascii="Times New Roman" w:hAnsi="Times New Roman"/>
          <w:sz w:val="24"/>
          <w:szCs w:val="24"/>
          <w:lang w:val="sr-Cyrl-CS"/>
        </w:rPr>
        <w:t xml:space="preserve">стварањем јединственог тржишта </w:t>
      </w:r>
      <w:r w:rsidR="00710D25">
        <w:rPr>
          <w:rFonts w:ascii="Times New Roman" w:hAnsi="Times New Roman"/>
          <w:sz w:val="24"/>
          <w:szCs w:val="24"/>
          <w:lang w:val="sr-Cyrl-CS"/>
        </w:rPr>
        <w:t xml:space="preserve">је </w:t>
      </w:r>
      <w:r>
        <w:rPr>
          <w:rFonts w:ascii="Times New Roman" w:hAnsi="Times New Roman"/>
          <w:sz w:val="24"/>
          <w:szCs w:val="24"/>
          <w:lang w:val="sr-Cyrl-CS"/>
        </w:rPr>
        <w:t>добила</w:t>
      </w:r>
      <w:r w:rsidRPr="00E72775">
        <w:rPr>
          <w:rFonts w:ascii="Times New Roman" w:hAnsi="Times New Roman"/>
          <w:sz w:val="24"/>
          <w:szCs w:val="24"/>
          <w:lang w:val="sr-Cyrl-CS"/>
        </w:rPr>
        <w:t xml:space="preserve"> </w:t>
      </w:r>
      <w:r>
        <w:rPr>
          <w:rFonts w:ascii="Times New Roman" w:hAnsi="Times New Roman"/>
          <w:sz w:val="24"/>
          <w:szCs w:val="24"/>
          <w:lang w:val="sr-Cyrl-CS"/>
        </w:rPr>
        <w:t>изузетан</w:t>
      </w:r>
      <w:r w:rsidRPr="00E72775">
        <w:rPr>
          <w:rFonts w:ascii="Times New Roman" w:hAnsi="Times New Roman"/>
          <w:sz w:val="24"/>
          <w:szCs w:val="24"/>
          <w:lang w:val="sr-Cyrl-CS"/>
        </w:rPr>
        <w:t xml:space="preserve"> </w:t>
      </w:r>
      <w:r>
        <w:rPr>
          <w:rFonts w:ascii="Times New Roman" w:hAnsi="Times New Roman"/>
          <w:sz w:val="24"/>
          <w:szCs w:val="24"/>
          <w:lang w:val="sr-Cyrl-CS"/>
        </w:rPr>
        <w:t>значај</w:t>
      </w:r>
      <w:r w:rsidR="00710D25">
        <w:rPr>
          <w:rFonts w:ascii="Times New Roman" w:hAnsi="Times New Roman"/>
          <w:sz w:val="24"/>
          <w:szCs w:val="24"/>
          <w:lang w:val="sr-Cyrl-CS"/>
        </w:rPr>
        <w:t xml:space="preserve"> иако је у почетку њен домен био мали</w:t>
      </w:r>
      <w:r w:rsidRPr="00E72775">
        <w:rPr>
          <w:rFonts w:ascii="Times New Roman" w:hAnsi="Times New Roman"/>
          <w:sz w:val="24"/>
          <w:szCs w:val="24"/>
          <w:lang w:val="sr-Cyrl-CS"/>
        </w:rPr>
        <w:t>.</w:t>
      </w:r>
      <w:r>
        <w:rPr>
          <w:rStyle w:val="FootnoteReference"/>
          <w:rFonts w:ascii="Times New Roman" w:hAnsi="Times New Roman"/>
          <w:sz w:val="24"/>
          <w:szCs w:val="24"/>
          <w:lang w:val="sr-Cyrl-CS"/>
        </w:rPr>
        <w:footnoteReference w:id="587"/>
      </w:r>
      <w:r>
        <w:rPr>
          <w:rFonts w:ascii="Times New Roman" w:hAnsi="Times New Roman"/>
          <w:sz w:val="24"/>
          <w:szCs w:val="24"/>
          <w:lang w:val="sr-Cyrl-CS"/>
        </w:rPr>
        <w:t xml:space="preserve"> </w:t>
      </w:r>
    </w:p>
    <w:p w:rsidR="002B6E12" w:rsidRPr="00532688" w:rsidRDefault="002B6E12" w:rsidP="002B6E12">
      <w:pPr>
        <w:autoSpaceDE w:val="0"/>
        <w:autoSpaceDN w:val="0"/>
        <w:adjustRightInd w:val="0"/>
        <w:spacing w:after="0" w:line="240" w:lineRule="auto"/>
        <w:ind w:firstLine="630"/>
        <w:jc w:val="both"/>
        <w:rPr>
          <w:rFonts w:ascii="Times New Roman" w:hAnsi="Times New Roman"/>
          <w:sz w:val="24"/>
          <w:szCs w:val="24"/>
        </w:rPr>
      </w:pPr>
    </w:p>
    <w:p w:rsidR="002B6E12" w:rsidRDefault="002B6E12" w:rsidP="002B6E12">
      <w:pPr>
        <w:ind w:firstLine="708"/>
        <w:jc w:val="both"/>
        <w:rPr>
          <w:rFonts w:ascii="Times New Roman" w:hAnsi="Times New Roman"/>
          <w:sz w:val="24"/>
          <w:szCs w:val="24"/>
          <w:lang w:val="sr-Cyrl-CS"/>
        </w:rPr>
      </w:pPr>
      <w:r>
        <w:rPr>
          <w:rFonts w:ascii="Times New Roman" w:hAnsi="Times New Roman"/>
          <w:sz w:val="24"/>
          <w:szCs w:val="24"/>
          <w:lang w:val="sr-Cyrl-CS"/>
        </w:rPr>
        <w:t>У</w:t>
      </w:r>
      <w:r w:rsidRPr="008E2992">
        <w:rPr>
          <w:rFonts w:ascii="Times New Roman" w:hAnsi="Times New Roman"/>
          <w:sz w:val="24"/>
          <w:szCs w:val="24"/>
          <w:lang w:val="sr-Cyrl-CS"/>
        </w:rPr>
        <w:t xml:space="preserve"> </w:t>
      </w:r>
      <w:r>
        <w:rPr>
          <w:rFonts w:ascii="Times New Roman" w:hAnsi="Times New Roman"/>
          <w:sz w:val="24"/>
          <w:szCs w:val="24"/>
          <w:lang w:val="sr-Cyrl-CS"/>
        </w:rPr>
        <w:t>Извештајима</w:t>
      </w:r>
      <w:r w:rsidRPr="008E2992">
        <w:rPr>
          <w:rFonts w:ascii="Times New Roman" w:hAnsi="Times New Roman"/>
          <w:sz w:val="24"/>
          <w:szCs w:val="24"/>
          <w:lang w:val="sr-Cyrl-CS"/>
        </w:rPr>
        <w:t xml:space="preserve"> </w:t>
      </w:r>
      <w:r>
        <w:rPr>
          <w:rFonts w:ascii="Times New Roman" w:hAnsi="Times New Roman"/>
          <w:sz w:val="24"/>
          <w:szCs w:val="24"/>
          <w:lang w:val="sr-Cyrl-CS"/>
        </w:rPr>
        <w:t>Европске комисије о напретку Србије</w:t>
      </w:r>
      <w:r w:rsidRPr="008E2992">
        <w:rPr>
          <w:rFonts w:ascii="Times New Roman" w:hAnsi="Times New Roman"/>
          <w:sz w:val="24"/>
          <w:szCs w:val="24"/>
          <w:lang w:val="sr-Cyrl-CS"/>
        </w:rPr>
        <w:t xml:space="preserve"> </w:t>
      </w:r>
      <w:r>
        <w:rPr>
          <w:rFonts w:ascii="Times New Roman" w:hAnsi="Times New Roman"/>
          <w:sz w:val="24"/>
          <w:szCs w:val="24"/>
          <w:lang w:val="sr-Cyrl-CS"/>
        </w:rPr>
        <w:t>бележи</w:t>
      </w:r>
      <w:r w:rsidRPr="008E2992">
        <w:rPr>
          <w:rFonts w:ascii="Times New Roman" w:hAnsi="Times New Roman"/>
          <w:sz w:val="24"/>
          <w:szCs w:val="24"/>
          <w:lang w:val="sr-Cyrl-CS"/>
        </w:rPr>
        <w:t xml:space="preserve"> </w:t>
      </w:r>
      <w:r>
        <w:rPr>
          <w:rFonts w:ascii="Times New Roman" w:hAnsi="Times New Roman"/>
          <w:sz w:val="24"/>
          <w:szCs w:val="24"/>
          <w:lang w:val="sr-Cyrl-CS"/>
        </w:rPr>
        <w:t>се</w:t>
      </w:r>
      <w:r w:rsidRPr="008E2992">
        <w:rPr>
          <w:rFonts w:ascii="Times New Roman" w:hAnsi="Times New Roman"/>
          <w:sz w:val="24"/>
          <w:szCs w:val="24"/>
          <w:lang w:val="sr-Cyrl-CS"/>
        </w:rPr>
        <w:t xml:space="preserve"> </w:t>
      </w:r>
      <w:r>
        <w:rPr>
          <w:rFonts w:ascii="Times New Roman" w:hAnsi="Times New Roman"/>
          <w:sz w:val="24"/>
          <w:szCs w:val="24"/>
          <w:lang w:val="sr-Cyrl-CS"/>
        </w:rPr>
        <w:t>недовољан</w:t>
      </w:r>
      <w:r w:rsidRPr="008E2992">
        <w:rPr>
          <w:rFonts w:ascii="Times New Roman" w:hAnsi="Times New Roman"/>
          <w:sz w:val="24"/>
          <w:szCs w:val="24"/>
          <w:lang w:val="sr-Cyrl-CS"/>
        </w:rPr>
        <w:t xml:space="preserve"> </w:t>
      </w:r>
      <w:r>
        <w:rPr>
          <w:rFonts w:ascii="Times New Roman" w:hAnsi="Times New Roman"/>
          <w:sz w:val="24"/>
          <w:szCs w:val="24"/>
          <w:lang w:val="sr-Cyrl-CS"/>
        </w:rPr>
        <w:t>напредак</w:t>
      </w:r>
      <w:r w:rsidRPr="008E2992">
        <w:rPr>
          <w:rFonts w:ascii="Times New Roman" w:hAnsi="Times New Roman"/>
          <w:sz w:val="24"/>
          <w:szCs w:val="24"/>
          <w:lang w:val="sr-Cyrl-CS"/>
        </w:rPr>
        <w:t xml:space="preserve"> </w:t>
      </w:r>
      <w:r>
        <w:rPr>
          <w:rFonts w:ascii="Times New Roman" w:hAnsi="Times New Roman"/>
          <w:sz w:val="24"/>
          <w:szCs w:val="24"/>
          <w:lang w:val="sr-Cyrl-CS"/>
        </w:rPr>
        <w:t>у</w:t>
      </w:r>
      <w:r w:rsidRPr="008E2992">
        <w:rPr>
          <w:rFonts w:ascii="Times New Roman" w:hAnsi="Times New Roman"/>
          <w:sz w:val="24"/>
          <w:szCs w:val="24"/>
          <w:lang w:val="sr-Cyrl-CS"/>
        </w:rPr>
        <w:t xml:space="preserve"> </w:t>
      </w:r>
      <w:r>
        <w:rPr>
          <w:rFonts w:ascii="Times New Roman" w:hAnsi="Times New Roman"/>
          <w:sz w:val="24"/>
          <w:szCs w:val="24"/>
          <w:lang w:val="sr-Cyrl-CS"/>
        </w:rPr>
        <w:t>области</w:t>
      </w:r>
      <w:r w:rsidRPr="008E2992">
        <w:rPr>
          <w:rFonts w:ascii="Times New Roman" w:hAnsi="Times New Roman"/>
          <w:sz w:val="24"/>
          <w:szCs w:val="24"/>
          <w:lang w:val="sr-Cyrl-CS"/>
        </w:rPr>
        <w:t xml:space="preserve"> </w:t>
      </w:r>
      <w:r>
        <w:rPr>
          <w:rFonts w:ascii="Times New Roman" w:hAnsi="Times New Roman"/>
          <w:sz w:val="24"/>
          <w:szCs w:val="24"/>
          <w:lang w:val="sr-Cyrl-CS"/>
        </w:rPr>
        <w:t>имплементације</w:t>
      </w:r>
      <w:r w:rsidRPr="008E2992">
        <w:rPr>
          <w:rFonts w:ascii="Times New Roman" w:hAnsi="Times New Roman"/>
          <w:sz w:val="24"/>
          <w:szCs w:val="24"/>
          <w:lang w:val="sr-Cyrl-CS"/>
        </w:rPr>
        <w:t xml:space="preserve"> </w:t>
      </w:r>
      <w:r>
        <w:rPr>
          <w:rFonts w:ascii="Times New Roman" w:hAnsi="Times New Roman"/>
          <w:sz w:val="24"/>
          <w:szCs w:val="24"/>
          <w:lang w:val="sr-Cyrl-CS"/>
        </w:rPr>
        <w:t>антимонополског</w:t>
      </w:r>
      <w:r w:rsidRPr="008E2992">
        <w:rPr>
          <w:rFonts w:ascii="Times New Roman" w:hAnsi="Times New Roman"/>
          <w:sz w:val="24"/>
          <w:szCs w:val="24"/>
          <w:lang w:val="sr-Cyrl-CS"/>
        </w:rPr>
        <w:t xml:space="preserve"> </w:t>
      </w:r>
      <w:r>
        <w:rPr>
          <w:rFonts w:ascii="Times New Roman" w:hAnsi="Times New Roman"/>
          <w:sz w:val="24"/>
          <w:szCs w:val="24"/>
          <w:lang w:val="sr-Cyrl-CS"/>
        </w:rPr>
        <w:t>законодавства</w:t>
      </w:r>
      <w:r w:rsidRPr="008E2992">
        <w:rPr>
          <w:rFonts w:ascii="Times New Roman" w:hAnsi="Times New Roman"/>
          <w:sz w:val="24"/>
          <w:szCs w:val="24"/>
          <w:lang w:val="sr-Cyrl-CS"/>
        </w:rPr>
        <w:t xml:space="preserve"> </w:t>
      </w:r>
      <w:r>
        <w:rPr>
          <w:rFonts w:ascii="Times New Roman" w:hAnsi="Times New Roman"/>
          <w:sz w:val="24"/>
          <w:szCs w:val="24"/>
          <w:lang w:val="sr-Cyrl-CS"/>
        </w:rPr>
        <w:t>у</w:t>
      </w:r>
      <w:r w:rsidRPr="008E2992">
        <w:rPr>
          <w:rFonts w:ascii="Times New Roman" w:hAnsi="Times New Roman"/>
          <w:sz w:val="24"/>
          <w:szCs w:val="24"/>
          <w:lang w:val="sr-Cyrl-CS"/>
        </w:rPr>
        <w:t xml:space="preserve"> </w:t>
      </w:r>
      <w:r>
        <w:rPr>
          <w:rFonts w:ascii="Times New Roman" w:hAnsi="Times New Roman"/>
          <w:sz w:val="24"/>
          <w:szCs w:val="24"/>
          <w:lang w:val="sr-Cyrl-CS"/>
        </w:rPr>
        <w:t>Србији. У</w:t>
      </w:r>
      <w:r w:rsidRPr="008E2992">
        <w:rPr>
          <w:rFonts w:ascii="Times New Roman" w:hAnsi="Times New Roman"/>
          <w:sz w:val="24"/>
          <w:szCs w:val="24"/>
          <w:lang w:val="sr-Cyrl-CS"/>
        </w:rPr>
        <w:t xml:space="preserve"> </w:t>
      </w:r>
      <w:r>
        <w:rPr>
          <w:rFonts w:ascii="Times New Roman" w:hAnsi="Times New Roman"/>
          <w:sz w:val="24"/>
          <w:szCs w:val="24"/>
          <w:lang w:val="sr-Cyrl-CS"/>
        </w:rPr>
        <w:t>садашњој</w:t>
      </w:r>
      <w:r w:rsidRPr="008E2992">
        <w:rPr>
          <w:rFonts w:ascii="Times New Roman" w:hAnsi="Times New Roman"/>
          <w:sz w:val="24"/>
          <w:szCs w:val="24"/>
          <w:lang w:val="sr-Cyrl-CS"/>
        </w:rPr>
        <w:t xml:space="preserve"> </w:t>
      </w:r>
      <w:r>
        <w:rPr>
          <w:rFonts w:ascii="Times New Roman" w:hAnsi="Times New Roman"/>
          <w:sz w:val="24"/>
          <w:szCs w:val="24"/>
          <w:lang w:val="sr-Cyrl-CS"/>
        </w:rPr>
        <w:t>фази</w:t>
      </w:r>
      <w:r w:rsidRPr="008E2992">
        <w:rPr>
          <w:rFonts w:ascii="Times New Roman" w:hAnsi="Times New Roman"/>
          <w:sz w:val="24"/>
          <w:szCs w:val="24"/>
          <w:lang w:val="sr-Cyrl-CS"/>
        </w:rPr>
        <w:t xml:space="preserve"> </w:t>
      </w:r>
      <w:r>
        <w:rPr>
          <w:rFonts w:ascii="Times New Roman" w:hAnsi="Times New Roman"/>
          <w:sz w:val="24"/>
          <w:szCs w:val="24"/>
          <w:lang w:val="sr-Cyrl-CS"/>
        </w:rPr>
        <w:t>реформи</w:t>
      </w:r>
      <w:r w:rsidRPr="008E2992">
        <w:rPr>
          <w:rFonts w:ascii="Times New Roman" w:hAnsi="Times New Roman"/>
          <w:sz w:val="24"/>
          <w:szCs w:val="24"/>
          <w:lang w:val="sr-Cyrl-CS"/>
        </w:rPr>
        <w:t xml:space="preserve">, </w:t>
      </w:r>
      <w:r>
        <w:rPr>
          <w:rFonts w:ascii="Times New Roman" w:hAnsi="Times New Roman"/>
          <w:sz w:val="24"/>
          <w:szCs w:val="24"/>
          <w:lang w:val="sr-Cyrl-CS"/>
        </w:rPr>
        <w:t>у</w:t>
      </w:r>
      <w:r w:rsidRPr="008E2992">
        <w:rPr>
          <w:rFonts w:ascii="Times New Roman" w:hAnsi="Times New Roman"/>
          <w:sz w:val="24"/>
          <w:szCs w:val="24"/>
          <w:lang w:val="sr-Cyrl-CS"/>
        </w:rPr>
        <w:t xml:space="preserve"> </w:t>
      </w:r>
      <w:r>
        <w:rPr>
          <w:rFonts w:ascii="Times New Roman" w:hAnsi="Times New Roman"/>
          <w:sz w:val="24"/>
          <w:szCs w:val="24"/>
          <w:lang w:val="sr-Cyrl-CS"/>
        </w:rPr>
        <w:t>Србији</w:t>
      </w:r>
      <w:r w:rsidRPr="008E2992">
        <w:rPr>
          <w:rFonts w:ascii="Times New Roman" w:hAnsi="Times New Roman"/>
          <w:sz w:val="24"/>
          <w:szCs w:val="24"/>
          <w:lang w:val="sr-Cyrl-CS"/>
        </w:rPr>
        <w:t xml:space="preserve"> </w:t>
      </w:r>
      <w:r>
        <w:rPr>
          <w:rFonts w:ascii="Times New Roman" w:hAnsi="Times New Roman"/>
          <w:sz w:val="24"/>
          <w:szCs w:val="24"/>
          <w:lang w:val="sr-Cyrl-CS"/>
        </w:rPr>
        <w:t>је</w:t>
      </w:r>
      <w:r w:rsidRPr="008E2992">
        <w:rPr>
          <w:rFonts w:ascii="Times New Roman" w:hAnsi="Times New Roman"/>
          <w:sz w:val="24"/>
          <w:szCs w:val="24"/>
          <w:lang w:val="sr-Cyrl-CS"/>
        </w:rPr>
        <w:t xml:space="preserve"> </w:t>
      </w:r>
      <w:r>
        <w:rPr>
          <w:rFonts w:ascii="Times New Roman" w:hAnsi="Times New Roman"/>
          <w:sz w:val="24"/>
          <w:szCs w:val="24"/>
          <w:lang w:val="sr-Cyrl-CS"/>
        </w:rPr>
        <w:t>неопходно</w:t>
      </w:r>
      <w:r w:rsidRPr="008E2992">
        <w:rPr>
          <w:rFonts w:ascii="Times New Roman" w:hAnsi="Times New Roman"/>
          <w:sz w:val="24"/>
          <w:szCs w:val="24"/>
          <w:lang w:val="sr-Cyrl-CS"/>
        </w:rPr>
        <w:t xml:space="preserve"> </w:t>
      </w:r>
      <w:r>
        <w:rPr>
          <w:rFonts w:ascii="Times New Roman" w:hAnsi="Times New Roman"/>
          <w:sz w:val="24"/>
          <w:szCs w:val="24"/>
          <w:lang w:val="sr-Cyrl-CS"/>
        </w:rPr>
        <w:t>успоставити</w:t>
      </w:r>
      <w:r w:rsidRPr="008E2992">
        <w:rPr>
          <w:rFonts w:ascii="Times New Roman" w:hAnsi="Times New Roman"/>
          <w:sz w:val="24"/>
          <w:szCs w:val="24"/>
          <w:lang w:val="sr-Cyrl-CS"/>
        </w:rPr>
        <w:t xml:space="preserve"> </w:t>
      </w:r>
      <w:r>
        <w:rPr>
          <w:rFonts w:ascii="Times New Roman" w:hAnsi="Times New Roman"/>
          <w:sz w:val="24"/>
          <w:szCs w:val="24"/>
          <w:lang w:val="sr-Cyrl-CS"/>
        </w:rPr>
        <w:t>владавину</w:t>
      </w:r>
      <w:r w:rsidRPr="008E2992">
        <w:rPr>
          <w:rFonts w:ascii="Times New Roman" w:hAnsi="Times New Roman"/>
          <w:sz w:val="24"/>
          <w:szCs w:val="24"/>
          <w:lang w:val="sr-Cyrl-CS"/>
        </w:rPr>
        <w:t xml:space="preserve"> </w:t>
      </w:r>
      <w:r>
        <w:rPr>
          <w:rFonts w:ascii="Times New Roman" w:hAnsi="Times New Roman"/>
          <w:sz w:val="24"/>
          <w:szCs w:val="24"/>
          <w:lang w:val="sr-Cyrl-CS"/>
        </w:rPr>
        <w:t>институција</w:t>
      </w:r>
      <w:r w:rsidRPr="008E2992">
        <w:rPr>
          <w:rFonts w:ascii="Times New Roman" w:hAnsi="Times New Roman"/>
          <w:sz w:val="24"/>
          <w:szCs w:val="24"/>
          <w:lang w:val="sr-Cyrl-CS"/>
        </w:rPr>
        <w:t xml:space="preserve"> </w:t>
      </w:r>
      <w:r w:rsidR="00426E56">
        <w:rPr>
          <w:rFonts w:ascii="Times New Roman" w:hAnsi="Times New Roman"/>
          <w:sz w:val="24"/>
          <w:szCs w:val="24"/>
          <w:lang w:val="sr-Cyrl-CS"/>
        </w:rPr>
        <w:t>што</w:t>
      </w:r>
      <w:r w:rsidRPr="008E2992">
        <w:rPr>
          <w:rFonts w:ascii="Times New Roman" w:hAnsi="Times New Roman"/>
          <w:sz w:val="24"/>
          <w:szCs w:val="24"/>
          <w:lang w:val="sr-Cyrl-CS"/>
        </w:rPr>
        <w:t xml:space="preserve"> </w:t>
      </w:r>
      <w:r>
        <w:rPr>
          <w:rFonts w:ascii="Times New Roman" w:hAnsi="Times New Roman"/>
          <w:sz w:val="24"/>
          <w:szCs w:val="24"/>
          <w:lang w:val="sr-Cyrl-CS"/>
        </w:rPr>
        <w:t>представља</w:t>
      </w:r>
      <w:r w:rsidRPr="008E2992">
        <w:rPr>
          <w:rFonts w:ascii="Times New Roman" w:hAnsi="Times New Roman"/>
          <w:sz w:val="24"/>
          <w:szCs w:val="24"/>
          <w:lang w:val="sr-Cyrl-CS"/>
        </w:rPr>
        <w:t xml:space="preserve"> </w:t>
      </w:r>
      <w:r>
        <w:rPr>
          <w:rFonts w:ascii="Times New Roman" w:hAnsi="Times New Roman"/>
          <w:sz w:val="24"/>
          <w:szCs w:val="24"/>
          <w:lang w:val="sr-Cyrl-CS"/>
        </w:rPr>
        <w:t>кључни</w:t>
      </w:r>
      <w:r w:rsidRPr="008E2992">
        <w:rPr>
          <w:rFonts w:ascii="Times New Roman" w:hAnsi="Times New Roman"/>
          <w:sz w:val="24"/>
          <w:szCs w:val="24"/>
          <w:lang w:val="sr-Cyrl-CS"/>
        </w:rPr>
        <w:t xml:space="preserve"> </w:t>
      </w:r>
      <w:r>
        <w:rPr>
          <w:rFonts w:ascii="Times New Roman" w:hAnsi="Times New Roman"/>
          <w:sz w:val="24"/>
          <w:szCs w:val="24"/>
          <w:lang w:val="sr-Cyrl-CS"/>
        </w:rPr>
        <w:t>корак</w:t>
      </w:r>
      <w:r w:rsidRPr="008E2992">
        <w:rPr>
          <w:rFonts w:ascii="Times New Roman" w:hAnsi="Times New Roman"/>
          <w:sz w:val="24"/>
          <w:szCs w:val="24"/>
          <w:lang w:val="sr-Cyrl-CS"/>
        </w:rPr>
        <w:t xml:space="preserve"> </w:t>
      </w:r>
      <w:r>
        <w:rPr>
          <w:rFonts w:ascii="Times New Roman" w:hAnsi="Times New Roman"/>
          <w:sz w:val="24"/>
          <w:szCs w:val="24"/>
          <w:lang w:val="sr-Cyrl-CS"/>
        </w:rPr>
        <w:t>ка</w:t>
      </w:r>
      <w:r w:rsidRPr="008E2992">
        <w:rPr>
          <w:rFonts w:ascii="Times New Roman" w:hAnsi="Times New Roman"/>
          <w:sz w:val="24"/>
          <w:szCs w:val="24"/>
          <w:lang w:val="sr-Cyrl-CS"/>
        </w:rPr>
        <w:t xml:space="preserve"> </w:t>
      </w:r>
      <w:r>
        <w:rPr>
          <w:rFonts w:ascii="Times New Roman" w:hAnsi="Times New Roman"/>
          <w:sz w:val="24"/>
          <w:szCs w:val="24"/>
          <w:lang w:val="sr-Cyrl-CS"/>
        </w:rPr>
        <w:t>увођењу</w:t>
      </w:r>
      <w:r w:rsidRPr="008E2992">
        <w:rPr>
          <w:rFonts w:ascii="Times New Roman" w:hAnsi="Times New Roman"/>
          <w:sz w:val="24"/>
          <w:szCs w:val="24"/>
          <w:lang w:val="sr-Cyrl-CS"/>
        </w:rPr>
        <w:t xml:space="preserve"> </w:t>
      </w:r>
      <w:r>
        <w:rPr>
          <w:rFonts w:ascii="Times New Roman" w:hAnsi="Times New Roman"/>
          <w:sz w:val="24"/>
          <w:szCs w:val="24"/>
          <w:lang w:val="sr-Cyrl-CS"/>
        </w:rPr>
        <w:t>тржишног</w:t>
      </w:r>
      <w:r w:rsidRPr="008E2992">
        <w:rPr>
          <w:rFonts w:ascii="Times New Roman" w:hAnsi="Times New Roman"/>
          <w:sz w:val="24"/>
          <w:szCs w:val="24"/>
          <w:lang w:val="sr-Cyrl-CS"/>
        </w:rPr>
        <w:t xml:space="preserve"> </w:t>
      </w:r>
      <w:r>
        <w:rPr>
          <w:rFonts w:ascii="Times New Roman" w:hAnsi="Times New Roman"/>
          <w:sz w:val="24"/>
          <w:szCs w:val="24"/>
          <w:lang w:val="sr-Cyrl-CS"/>
        </w:rPr>
        <w:t>система</w:t>
      </w:r>
      <w:r w:rsidRPr="008E2992">
        <w:rPr>
          <w:rFonts w:ascii="Times New Roman" w:hAnsi="Times New Roman"/>
          <w:sz w:val="24"/>
          <w:szCs w:val="24"/>
          <w:lang w:val="sr-Cyrl-CS"/>
        </w:rPr>
        <w:t xml:space="preserve"> </w:t>
      </w:r>
      <w:r>
        <w:rPr>
          <w:rFonts w:ascii="Times New Roman" w:hAnsi="Times New Roman"/>
          <w:sz w:val="24"/>
          <w:szCs w:val="24"/>
          <w:lang w:val="sr-Cyrl-CS"/>
        </w:rPr>
        <w:t>и</w:t>
      </w:r>
      <w:r w:rsidRPr="008E2992">
        <w:rPr>
          <w:rFonts w:ascii="Times New Roman" w:hAnsi="Times New Roman"/>
          <w:sz w:val="24"/>
          <w:szCs w:val="24"/>
          <w:lang w:val="sr-Cyrl-CS"/>
        </w:rPr>
        <w:t xml:space="preserve"> </w:t>
      </w:r>
      <w:r>
        <w:rPr>
          <w:rFonts w:ascii="Times New Roman" w:hAnsi="Times New Roman"/>
          <w:sz w:val="24"/>
          <w:szCs w:val="24"/>
          <w:lang w:val="sr-Cyrl-CS"/>
        </w:rPr>
        <w:t>савремене</w:t>
      </w:r>
      <w:r w:rsidRPr="008E2992">
        <w:rPr>
          <w:rFonts w:ascii="Times New Roman" w:hAnsi="Times New Roman"/>
          <w:sz w:val="24"/>
          <w:szCs w:val="24"/>
          <w:lang w:val="sr-Cyrl-CS"/>
        </w:rPr>
        <w:t xml:space="preserve"> </w:t>
      </w:r>
      <w:r>
        <w:rPr>
          <w:rFonts w:ascii="Times New Roman" w:hAnsi="Times New Roman"/>
          <w:sz w:val="24"/>
          <w:szCs w:val="24"/>
          <w:lang w:val="sr-Cyrl-CS"/>
        </w:rPr>
        <w:t>тржишне</w:t>
      </w:r>
      <w:r w:rsidRPr="008E2992">
        <w:rPr>
          <w:rFonts w:ascii="Times New Roman" w:hAnsi="Times New Roman"/>
          <w:sz w:val="24"/>
          <w:szCs w:val="24"/>
          <w:lang w:val="sr-Cyrl-CS"/>
        </w:rPr>
        <w:t xml:space="preserve"> </w:t>
      </w:r>
      <w:r>
        <w:rPr>
          <w:rFonts w:ascii="Times New Roman" w:hAnsi="Times New Roman"/>
          <w:sz w:val="24"/>
          <w:szCs w:val="24"/>
          <w:lang w:val="sr-Cyrl-CS"/>
        </w:rPr>
        <w:t>привреде</w:t>
      </w:r>
      <w:r w:rsidRPr="008E2992">
        <w:rPr>
          <w:rFonts w:ascii="Times New Roman" w:hAnsi="Times New Roman"/>
          <w:sz w:val="24"/>
          <w:szCs w:val="24"/>
          <w:lang w:val="sr-Cyrl-CS"/>
        </w:rPr>
        <w:t>.</w:t>
      </w:r>
      <w:r>
        <w:rPr>
          <w:rFonts w:ascii="Times New Roman" w:hAnsi="Times New Roman"/>
          <w:sz w:val="24"/>
          <w:szCs w:val="24"/>
          <w:lang w:val="sr-Cyrl-CS"/>
        </w:rPr>
        <w:t xml:space="preserve"> </w:t>
      </w:r>
      <w:r w:rsidR="00C501C5">
        <w:rPr>
          <w:rFonts w:ascii="Times New Roman" w:hAnsi="Times New Roman"/>
          <w:sz w:val="24"/>
          <w:szCs w:val="24"/>
          <w:lang w:val="sr-Cyrl-CS"/>
        </w:rPr>
        <w:t>„</w:t>
      </w:r>
      <w:r>
        <w:rPr>
          <w:rFonts w:ascii="Times New Roman" w:hAnsi="Times New Roman"/>
          <w:sz w:val="24"/>
          <w:szCs w:val="24"/>
          <w:lang w:val="sr-Cyrl-CS"/>
        </w:rPr>
        <w:t>Политика</w:t>
      </w:r>
      <w:r w:rsidRPr="008E2992">
        <w:rPr>
          <w:rFonts w:ascii="Times New Roman" w:hAnsi="Times New Roman"/>
          <w:sz w:val="24"/>
          <w:szCs w:val="24"/>
          <w:lang w:val="sr-Cyrl-CS"/>
        </w:rPr>
        <w:t xml:space="preserve"> </w:t>
      </w:r>
      <w:r>
        <w:rPr>
          <w:rFonts w:ascii="Times New Roman" w:hAnsi="Times New Roman"/>
          <w:sz w:val="24"/>
          <w:szCs w:val="24"/>
          <w:lang w:val="sr-Cyrl-CS"/>
        </w:rPr>
        <w:t>конкуренције</w:t>
      </w:r>
      <w:r w:rsidRPr="008E2992">
        <w:rPr>
          <w:rFonts w:ascii="Times New Roman" w:hAnsi="Times New Roman"/>
          <w:sz w:val="24"/>
          <w:szCs w:val="24"/>
          <w:lang w:val="sr-Cyrl-CS"/>
        </w:rPr>
        <w:t xml:space="preserve"> </w:t>
      </w:r>
      <w:r>
        <w:rPr>
          <w:rFonts w:ascii="Times New Roman" w:hAnsi="Times New Roman"/>
          <w:sz w:val="24"/>
          <w:szCs w:val="24"/>
          <w:lang w:val="sr-Cyrl-CS"/>
        </w:rPr>
        <w:t>у</w:t>
      </w:r>
      <w:r w:rsidRPr="008E2992">
        <w:rPr>
          <w:rFonts w:ascii="Times New Roman" w:hAnsi="Times New Roman"/>
          <w:sz w:val="24"/>
          <w:szCs w:val="24"/>
          <w:lang w:val="sr-Cyrl-CS"/>
        </w:rPr>
        <w:t xml:space="preserve"> </w:t>
      </w:r>
      <w:r>
        <w:rPr>
          <w:rFonts w:ascii="Times New Roman" w:hAnsi="Times New Roman"/>
          <w:sz w:val="24"/>
          <w:szCs w:val="24"/>
          <w:lang w:val="sr-Cyrl-CS"/>
        </w:rPr>
        <w:t>Србији</w:t>
      </w:r>
      <w:r w:rsidRPr="008E2992">
        <w:rPr>
          <w:rFonts w:ascii="Times New Roman" w:hAnsi="Times New Roman"/>
          <w:sz w:val="24"/>
          <w:szCs w:val="24"/>
          <w:lang w:val="sr-Cyrl-CS"/>
        </w:rPr>
        <w:t xml:space="preserve"> </w:t>
      </w:r>
      <w:r>
        <w:rPr>
          <w:rFonts w:ascii="Times New Roman" w:hAnsi="Times New Roman"/>
          <w:sz w:val="24"/>
          <w:szCs w:val="24"/>
          <w:lang w:val="sr-Cyrl-CS"/>
        </w:rPr>
        <w:t>је</w:t>
      </w:r>
      <w:r w:rsidRPr="008E2992">
        <w:rPr>
          <w:rFonts w:ascii="Times New Roman" w:hAnsi="Times New Roman"/>
          <w:sz w:val="24"/>
          <w:szCs w:val="24"/>
          <w:lang w:val="sr-Cyrl-CS"/>
        </w:rPr>
        <w:t xml:space="preserve">, </w:t>
      </w:r>
      <w:r>
        <w:rPr>
          <w:rFonts w:ascii="Times New Roman" w:hAnsi="Times New Roman"/>
          <w:sz w:val="24"/>
          <w:szCs w:val="24"/>
          <w:lang w:val="sr-Cyrl-CS"/>
        </w:rPr>
        <w:t>за</w:t>
      </w:r>
      <w:r w:rsidRPr="008E2992">
        <w:rPr>
          <w:rFonts w:ascii="Times New Roman" w:hAnsi="Times New Roman"/>
          <w:sz w:val="24"/>
          <w:szCs w:val="24"/>
          <w:lang w:val="sr-Cyrl-CS"/>
        </w:rPr>
        <w:t xml:space="preserve"> </w:t>
      </w:r>
      <w:r>
        <w:rPr>
          <w:rFonts w:ascii="Times New Roman" w:hAnsi="Times New Roman"/>
          <w:sz w:val="24"/>
          <w:szCs w:val="24"/>
          <w:lang w:val="sr-Cyrl-CS"/>
        </w:rPr>
        <w:t>разлику</w:t>
      </w:r>
      <w:r w:rsidRPr="008E2992">
        <w:rPr>
          <w:rFonts w:ascii="Times New Roman" w:hAnsi="Times New Roman"/>
          <w:sz w:val="24"/>
          <w:szCs w:val="24"/>
          <w:lang w:val="sr-Cyrl-CS"/>
        </w:rPr>
        <w:t xml:space="preserve"> </w:t>
      </w:r>
      <w:r>
        <w:rPr>
          <w:rFonts w:ascii="Times New Roman" w:hAnsi="Times New Roman"/>
          <w:sz w:val="24"/>
          <w:szCs w:val="24"/>
          <w:lang w:val="sr-Cyrl-CS"/>
        </w:rPr>
        <w:t>од</w:t>
      </w:r>
      <w:r w:rsidRPr="008E2992">
        <w:rPr>
          <w:rFonts w:ascii="Times New Roman" w:hAnsi="Times New Roman"/>
          <w:sz w:val="24"/>
          <w:szCs w:val="24"/>
          <w:lang w:val="sr-Cyrl-CS"/>
        </w:rPr>
        <w:t xml:space="preserve"> </w:t>
      </w:r>
      <w:r>
        <w:rPr>
          <w:rFonts w:ascii="Times New Roman" w:hAnsi="Times New Roman"/>
          <w:sz w:val="24"/>
          <w:szCs w:val="24"/>
          <w:lang w:val="sr-Cyrl-CS"/>
        </w:rPr>
        <w:t>стања</w:t>
      </w:r>
      <w:r w:rsidRPr="008E2992">
        <w:rPr>
          <w:rFonts w:ascii="Times New Roman" w:hAnsi="Times New Roman"/>
          <w:sz w:val="24"/>
          <w:szCs w:val="24"/>
          <w:lang w:val="sr-Cyrl-CS"/>
        </w:rPr>
        <w:t xml:space="preserve"> </w:t>
      </w:r>
      <w:r>
        <w:rPr>
          <w:rFonts w:ascii="Times New Roman" w:hAnsi="Times New Roman"/>
          <w:sz w:val="24"/>
          <w:szCs w:val="24"/>
          <w:lang w:val="sr-Cyrl-CS"/>
        </w:rPr>
        <w:t>на</w:t>
      </w:r>
      <w:r w:rsidRPr="008E2992">
        <w:rPr>
          <w:rFonts w:ascii="Times New Roman" w:hAnsi="Times New Roman"/>
          <w:sz w:val="24"/>
          <w:szCs w:val="24"/>
          <w:lang w:val="sr-Cyrl-CS"/>
        </w:rPr>
        <w:t xml:space="preserve"> </w:t>
      </w:r>
      <w:r>
        <w:rPr>
          <w:rFonts w:ascii="Times New Roman" w:hAnsi="Times New Roman"/>
          <w:sz w:val="24"/>
          <w:szCs w:val="24"/>
          <w:lang w:val="sr-Cyrl-CS"/>
        </w:rPr>
        <w:t>подручју</w:t>
      </w:r>
      <w:r w:rsidRPr="008E2992">
        <w:rPr>
          <w:rFonts w:ascii="Times New Roman" w:hAnsi="Times New Roman"/>
          <w:sz w:val="24"/>
          <w:szCs w:val="24"/>
          <w:lang w:val="sr-Cyrl-CS"/>
        </w:rPr>
        <w:t xml:space="preserve"> </w:t>
      </w:r>
      <w:r>
        <w:rPr>
          <w:rFonts w:ascii="Times New Roman" w:hAnsi="Times New Roman"/>
          <w:sz w:val="24"/>
          <w:szCs w:val="24"/>
          <w:lang w:val="sr-Cyrl-CS"/>
        </w:rPr>
        <w:t>ЕУ</w:t>
      </w:r>
      <w:r w:rsidRPr="008E2992">
        <w:rPr>
          <w:rFonts w:ascii="Times New Roman" w:hAnsi="Times New Roman"/>
          <w:sz w:val="24"/>
          <w:szCs w:val="24"/>
          <w:lang w:val="sr-Cyrl-CS"/>
        </w:rPr>
        <w:t xml:space="preserve">, </w:t>
      </w:r>
      <w:r>
        <w:rPr>
          <w:rFonts w:ascii="Times New Roman" w:hAnsi="Times New Roman"/>
          <w:sz w:val="24"/>
          <w:szCs w:val="24"/>
          <w:lang w:val="sr-Cyrl-CS"/>
        </w:rPr>
        <w:t>још</w:t>
      </w:r>
      <w:r w:rsidRPr="008E2992">
        <w:rPr>
          <w:rFonts w:ascii="Times New Roman" w:hAnsi="Times New Roman"/>
          <w:sz w:val="24"/>
          <w:szCs w:val="24"/>
          <w:lang w:val="sr-Cyrl-CS"/>
        </w:rPr>
        <w:t xml:space="preserve"> </w:t>
      </w:r>
      <w:r>
        <w:rPr>
          <w:rFonts w:ascii="Times New Roman" w:hAnsi="Times New Roman"/>
          <w:sz w:val="24"/>
          <w:szCs w:val="24"/>
          <w:lang w:val="sr-Cyrl-CS"/>
        </w:rPr>
        <w:t>увек</w:t>
      </w:r>
      <w:r w:rsidRPr="008E2992">
        <w:rPr>
          <w:rFonts w:ascii="Times New Roman" w:hAnsi="Times New Roman"/>
          <w:sz w:val="24"/>
          <w:szCs w:val="24"/>
          <w:lang w:val="sr-Cyrl-CS"/>
        </w:rPr>
        <w:t xml:space="preserve"> </w:t>
      </w:r>
      <w:r>
        <w:rPr>
          <w:rFonts w:ascii="Times New Roman" w:hAnsi="Times New Roman"/>
          <w:sz w:val="24"/>
          <w:szCs w:val="24"/>
          <w:lang w:val="sr-Cyrl-CS"/>
        </w:rPr>
        <w:t>спора</w:t>
      </w:r>
      <w:r w:rsidRPr="008E2992">
        <w:rPr>
          <w:rFonts w:ascii="Times New Roman" w:hAnsi="Times New Roman"/>
          <w:sz w:val="24"/>
          <w:szCs w:val="24"/>
          <w:lang w:val="sr-Cyrl-CS"/>
        </w:rPr>
        <w:t xml:space="preserve">, </w:t>
      </w:r>
      <w:r>
        <w:rPr>
          <w:rFonts w:ascii="Times New Roman" w:hAnsi="Times New Roman"/>
          <w:sz w:val="24"/>
          <w:szCs w:val="24"/>
          <w:lang w:val="sr-Cyrl-CS"/>
        </w:rPr>
        <w:t>крута</w:t>
      </w:r>
      <w:r w:rsidRPr="008E2992">
        <w:rPr>
          <w:rFonts w:ascii="Times New Roman" w:hAnsi="Times New Roman"/>
          <w:sz w:val="24"/>
          <w:szCs w:val="24"/>
          <w:lang w:val="sr-Cyrl-CS"/>
        </w:rPr>
        <w:t xml:space="preserve"> </w:t>
      </w:r>
      <w:r>
        <w:rPr>
          <w:rFonts w:ascii="Times New Roman" w:hAnsi="Times New Roman"/>
          <w:sz w:val="24"/>
          <w:szCs w:val="24"/>
          <w:lang w:val="sr-Cyrl-CS"/>
        </w:rPr>
        <w:t>и</w:t>
      </w:r>
      <w:r w:rsidRPr="008E2992">
        <w:rPr>
          <w:rFonts w:ascii="Times New Roman" w:hAnsi="Times New Roman"/>
          <w:sz w:val="24"/>
          <w:szCs w:val="24"/>
          <w:lang w:val="sr-Cyrl-CS"/>
        </w:rPr>
        <w:t xml:space="preserve"> </w:t>
      </w:r>
      <w:r>
        <w:rPr>
          <w:rFonts w:ascii="Times New Roman" w:hAnsi="Times New Roman"/>
          <w:sz w:val="24"/>
          <w:szCs w:val="24"/>
          <w:lang w:val="sr-Cyrl-CS"/>
        </w:rPr>
        <w:t>нефлексибилна</w:t>
      </w:r>
      <w:r w:rsidRPr="008E2992">
        <w:rPr>
          <w:rFonts w:ascii="Times New Roman" w:hAnsi="Times New Roman"/>
          <w:sz w:val="24"/>
          <w:szCs w:val="24"/>
          <w:lang w:val="sr-Cyrl-CS"/>
        </w:rPr>
        <w:t xml:space="preserve">. </w:t>
      </w:r>
      <w:r>
        <w:rPr>
          <w:rFonts w:ascii="Times New Roman" w:hAnsi="Times New Roman"/>
          <w:sz w:val="24"/>
          <w:szCs w:val="24"/>
          <w:lang w:val="sr-Cyrl-CS"/>
        </w:rPr>
        <w:t>Она</w:t>
      </w:r>
      <w:r w:rsidRPr="008E2992">
        <w:rPr>
          <w:rFonts w:ascii="Times New Roman" w:hAnsi="Times New Roman"/>
          <w:sz w:val="24"/>
          <w:szCs w:val="24"/>
          <w:lang w:val="sr-Cyrl-CS"/>
        </w:rPr>
        <w:t xml:space="preserve">, </w:t>
      </w:r>
      <w:r>
        <w:rPr>
          <w:rFonts w:ascii="Times New Roman" w:hAnsi="Times New Roman"/>
          <w:sz w:val="24"/>
          <w:szCs w:val="24"/>
          <w:lang w:val="sr-Cyrl-CS"/>
        </w:rPr>
        <w:t>својом</w:t>
      </w:r>
      <w:r w:rsidRPr="008E2992">
        <w:rPr>
          <w:rFonts w:ascii="Times New Roman" w:hAnsi="Times New Roman"/>
          <w:sz w:val="24"/>
          <w:szCs w:val="24"/>
          <w:lang w:val="sr-Cyrl-CS"/>
        </w:rPr>
        <w:t xml:space="preserve"> </w:t>
      </w:r>
      <w:r>
        <w:rPr>
          <w:rFonts w:ascii="Times New Roman" w:hAnsi="Times New Roman"/>
          <w:sz w:val="24"/>
          <w:szCs w:val="24"/>
          <w:lang w:val="sr-Cyrl-CS"/>
        </w:rPr>
        <w:t>нееластичношћу</w:t>
      </w:r>
      <w:r w:rsidRPr="008E2992">
        <w:rPr>
          <w:rFonts w:ascii="Times New Roman" w:hAnsi="Times New Roman"/>
          <w:sz w:val="24"/>
          <w:szCs w:val="24"/>
          <w:lang w:val="sr-Cyrl-CS"/>
        </w:rPr>
        <w:t xml:space="preserve"> </w:t>
      </w:r>
      <w:r>
        <w:rPr>
          <w:rFonts w:ascii="Times New Roman" w:hAnsi="Times New Roman"/>
          <w:sz w:val="24"/>
          <w:szCs w:val="24"/>
          <w:lang w:val="sr-Cyrl-CS"/>
        </w:rPr>
        <w:t>и</w:t>
      </w:r>
      <w:r w:rsidRPr="008E2992">
        <w:rPr>
          <w:rFonts w:ascii="Times New Roman" w:hAnsi="Times New Roman"/>
          <w:sz w:val="24"/>
          <w:szCs w:val="24"/>
          <w:lang w:val="sr-Cyrl-CS"/>
        </w:rPr>
        <w:t xml:space="preserve"> </w:t>
      </w:r>
      <w:r>
        <w:rPr>
          <w:rFonts w:ascii="Times New Roman" w:hAnsi="Times New Roman"/>
          <w:sz w:val="24"/>
          <w:szCs w:val="24"/>
          <w:lang w:val="sr-Cyrl-CS"/>
        </w:rPr>
        <w:t>недостатком</w:t>
      </w:r>
      <w:r w:rsidRPr="008E2992">
        <w:rPr>
          <w:rFonts w:ascii="Times New Roman" w:hAnsi="Times New Roman"/>
          <w:sz w:val="24"/>
          <w:szCs w:val="24"/>
          <w:lang w:val="sr-Cyrl-CS"/>
        </w:rPr>
        <w:t xml:space="preserve"> </w:t>
      </w:r>
      <w:r>
        <w:rPr>
          <w:rFonts w:ascii="Times New Roman" w:hAnsi="Times New Roman"/>
          <w:sz w:val="24"/>
          <w:szCs w:val="24"/>
          <w:lang w:val="sr-Cyrl-CS"/>
        </w:rPr>
        <w:t>елементарних</w:t>
      </w:r>
      <w:r w:rsidRPr="008E2992">
        <w:rPr>
          <w:rFonts w:ascii="Times New Roman" w:hAnsi="Times New Roman"/>
          <w:sz w:val="24"/>
          <w:szCs w:val="24"/>
          <w:lang w:val="sr-Cyrl-CS"/>
        </w:rPr>
        <w:t xml:space="preserve"> </w:t>
      </w:r>
      <w:r>
        <w:rPr>
          <w:rFonts w:ascii="Times New Roman" w:hAnsi="Times New Roman"/>
          <w:sz w:val="24"/>
          <w:szCs w:val="24"/>
          <w:lang w:val="sr-Cyrl-CS"/>
        </w:rPr>
        <w:t>инструмената</w:t>
      </w:r>
      <w:r w:rsidRPr="008E2992">
        <w:rPr>
          <w:rFonts w:ascii="Times New Roman" w:hAnsi="Times New Roman"/>
          <w:sz w:val="24"/>
          <w:szCs w:val="24"/>
          <w:lang w:val="sr-Cyrl-CS"/>
        </w:rPr>
        <w:t xml:space="preserve"> </w:t>
      </w:r>
      <w:r>
        <w:rPr>
          <w:rFonts w:ascii="Times New Roman" w:hAnsi="Times New Roman"/>
          <w:sz w:val="24"/>
          <w:szCs w:val="24"/>
          <w:lang w:val="sr-Cyrl-CS"/>
        </w:rPr>
        <w:t>за</w:t>
      </w:r>
      <w:r w:rsidRPr="008E2992">
        <w:rPr>
          <w:rFonts w:ascii="Times New Roman" w:hAnsi="Times New Roman"/>
          <w:sz w:val="24"/>
          <w:szCs w:val="24"/>
          <w:lang w:val="sr-Cyrl-CS"/>
        </w:rPr>
        <w:t xml:space="preserve"> </w:t>
      </w:r>
      <w:r>
        <w:rPr>
          <w:rFonts w:ascii="Times New Roman" w:hAnsi="Times New Roman"/>
          <w:sz w:val="24"/>
          <w:szCs w:val="24"/>
          <w:lang w:val="sr-Cyrl-CS"/>
        </w:rPr>
        <w:t>прилагођавање</w:t>
      </w:r>
      <w:r w:rsidRPr="008E2992">
        <w:rPr>
          <w:rFonts w:ascii="Times New Roman" w:hAnsi="Times New Roman"/>
          <w:sz w:val="24"/>
          <w:szCs w:val="24"/>
          <w:lang w:val="sr-Cyrl-CS"/>
        </w:rPr>
        <w:t xml:space="preserve">, </w:t>
      </w:r>
      <w:r>
        <w:rPr>
          <w:rFonts w:ascii="Times New Roman" w:hAnsi="Times New Roman"/>
          <w:sz w:val="24"/>
          <w:szCs w:val="24"/>
          <w:lang w:val="sr-Cyrl-CS"/>
        </w:rPr>
        <w:t>директно</w:t>
      </w:r>
      <w:r w:rsidRPr="008E2992">
        <w:rPr>
          <w:rFonts w:ascii="Times New Roman" w:hAnsi="Times New Roman"/>
          <w:sz w:val="24"/>
          <w:szCs w:val="24"/>
          <w:lang w:val="sr-Cyrl-CS"/>
        </w:rPr>
        <w:t xml:space="preserve"> </w:t>
      </w:r>
      <w:r>
        <w:rPr>
          <w:rFonts w:ascii="Times New Roman" w:hAnsi="Times New Roman"/>
          <w:sz w:val="24"/>
          <w:szCs w:val="24"/>
          <w:lang w:val="sr-Cyrl-CS"/>
        </w:rPr>
        <w:t>делује</w:t>
      </w:r>
      <w:r w:rsidRPr="008E2992">
        <w:rPr>
          <w:rFonts w:ascii="Times New Roman" w:hAnsi="Times New Roman"/>
          <w:sz w:val="24"/>
          <w:szCs w:val="24"/>
          <w:lang w:val="sr-Cyrl-CS"/>
        </w:rPr>
        <w:t xml:space="preserve"> </w:t>
      </w:r>
      <w:r>
        <w:rPr>
          <w:rFonts w:ascii="Times New Roman" w:hAnsi="Times New Roman"/>
          <w:sz w:val="24"/>
          <w:szCs w:val="24"/>
          <w:lang w:val="sr-Cyrl-CS"/>
        </w:rPr>
        <w:t>на</w:t>
      </w:r>
      <w:r w:rsidRPr="008E2992">
        <w:rPr>
          <w:rFonts w:ascii="Times New Roman" w:hAnsi="Times New Roman"/>
          <w:sz w:val="24"/>
          <w:szCs w:val="24"/>
          <w:lang w:val="sr-Cyrl-CS"/>
        </w:rPr>
        <w:t xml:space="preserve"> </w:t>
      </w:r>
      <w:r>
        <w:rPr>
          <w:rFonts w:ascii="Times New Roman" w:hAnsi="Times New Roman"/>
          <w:sz w:val="24"/>
          <w:szCs w:val="24"/>
          <w:lang w:val="sr-Cyrl-CS"/>
        </w:rPr>
        <w:t>стање</w:t>
      </w:r>
      <w:r w:rsidRPr="008E2992">
        <w:rPr>
          <w:rFonts w:ascii="Times New Roman" w:hAnsi="Times New Roman"/>
          <w:sz w:val="24"/>
          <w:szCs w:val="24"/>
          <w:lang w:val="sr-Cyrl-CS"/>
        </w:rPr>
        <w:t xml:space="preserve"> </w:t>
      </w:r>
      <w:r>
        <w:rPr>
          <w:rFonts w:ascii="Times New Roman" w:hAnsi="Times New Roman"/>
          <w:sz w:val="24"/>
          <w:szCs w:val="24"/>
          <w:lang w:val="sr-Cyrl-CS"/>
        </w:rPr>
        <w:t>и</w:t>
      </w:r>
      <w:r w:rsidRPr="008E2992">
        <w:rPr>
          <w:rFonts w:ascii="Times New Roman" w:hAnsi="Times New Roman"/>
          <w:sz w:val="24"/>
          <w:szCs w:val="24"/>
          <w:lang w:val="sr-Cyrl-CS"/>
        </w:rPr>
        <w:t xml:space="preserve"> </w:t>
      </w:r>
      <w:r>
        <w:rPr>
          <w:rFonts w:ascii="Times New Roman" w:hAnsi="Times New Roman"/>
          <w:sz w:val="24"/>
          <w:szCs w:val="24"/>
          <w:lang w:val="sr-Cyrl-CS"/>
        </w:rPr>
        <w:t>стагнацију</w:t>
      </w:r>
      <w:r w:rsidRPr="008E2992">
        <w:rPr>
          <w:rFonts w:ascii="Times New Roman" w:hAnsi="Times New Roman"/>
          <w:sz w:val="24"/>
          <w:szCs w:val="24"/>
          <w:lang w:val="sr-Cyrl-CS"/>
        </w:rPr>
        <w:t xml:space="preserve"> </w:t>
      </w:r>
      <w:r>
        <w:rPr>
          <w:rFonts w:ascii="Times New Roman" w:hAnsi="Times New Roman"/>
          <w:sz w:val="24"/>
          <w:szCs w:val="24"/>
          <w:lang w:val="sr-Cyrl-CS"/>
        </w:rPr>
        <w:t>привреде</w:t>
      </w:r>
      <w:r w:rsidRPr="008E2992">
        <w:rPr>
          <w:rFonts w:ascii="Times New Roman" w:hAnsi="Times New Roman"/>
          <w:sz w:val="24"/>
          <w:szCs w:val="24"/>
          <w:lang w:val="sr-Cyrl-CS"/>
        </w:rPr>
        <w:t xml:space="preserve"> </w:t>
      </w:r>
      <w:r>
        <w:rPr>
          <w:rFonts w:ascii="Times New Roman" w:hAnsi="Times New Roman"/>
          <w:sz w:val="24"/>
          <w:szCs w:val="24"/>
          <w:lang w:val="sr-Cyrl-CS"/>
        </w:rPr>
        <w:t>Србије</w:t>
      </w:r>
      <w:r w:rsidRPr="008E2992">
        <w:rPr>
          <w:rFonts w:ascii="Times New Roman" w:hAnsi="Times New Roman"/>
          <w:sz w:val="24"/>
          <w:szCs w:val="24"/>
          <w:lang w:val="sr-Cyrl-CS"/>
        </w:rPr>
        <w:t xml:space="preserve">, </w:t>
      </w:r>
      <w:r>
        <w:rPr>
          <w:rFonts w:ascii="Times New Roman" w:hAnsi="Times New Roman"/>
          <w:sz w:val="24"/>
          <w:szCs w:val="24"/>
          <w:lang w:val="sr-Cyrl-CS"/>
        </w:rPr>
        <w:t>као</w:t>
      </w:r>
      <w:r w:rsidRPr="008E2992">
        <w:rPr>
          <w:rFonts w:ascii="Times New Roman" w:hAnsi="Times New Roman"/>
          <w:sz w:val="24"/>
          <w:szCs w:val="24"/>
          <w:lang w:val="sr-Cyrl-CS"/>
        </w:rPr>
        <w:t xml:space="preserve"> </w:t>
      </w:r>
      <w:r>
        <w:rPr>
          <w:rFonts w:ascii="Times New Roman" w:hAnsi="Times New Roman"/>
          <w:sz w:val="24"/>
          <w:szCs w:val="24"/>
          <w:lang w:val="sr-Cyrl-CS"/>
        </w:rPr>
        <w:t>и</w:t>
      </w:r>
      <w:r w:rsidRPr="008E2992">
        <w:rPr>
          <w:rFonts w:ascii="Times New Roman" w:hAnsi="Times New Roman"/>
          <w:sz w:val="24"/>
          <w:szCs w:val="24"/>
          <w:lang w:val="sr-Cyrl-CS"/>
        </w:rPr>
        <w:t xml:space="preserve"> </w:t>
      </w:r>
      <w:r>
        <w:rPr>
          <w:rFonts w:ascii="Times New Roman" w:hAnsi="Times New Roman"/>
          <w:sz w:val="24"/>
          <w:szCs w:val="24"/>
          <w:lang w:val="sr-Cyrl-CS"/>
        </w:rPr>
        <w:t>на</w:t>
      </w:r>
      <w:r w:rsidRPr="008E2992">
        <w:rPr>
          <w:rFonts w:ascii="Times New Roman" w:hAnsi="Times New Roman"/>
          <w:sz w:val="24"/>
          <w:szCs w:val="24"/>
          <w:lang w:val="sr-Cyrl-CS"/>
        </w:rPr>
        <w:t xml:space="preserve"> </w:t>
      </w:r>
      <w:r>
        <w:rPr>
          <w:rFonts w:ascii="Times New Roman" w:hAnsi="Times New Roman"/>
          <w:sz w:val="24"/>
          <w:szCs w:val="24"/>
          <w:lang w:val="sr-Cyrl-CS"/>
        </w:rPr>
        <w:t>опште</w:t>
      </w:r>
      <w:r w:rsidRPr="008E2992">
        <w:rPr>
          <w:rFonts w:ascii="Times New Roman" w:hAnsi="Times New Roman"/>
          <w:sz w:val="24"/>
          <w:szCs w:val="24"/>
          <w:lang w:val="sr-Cyrl-CS"/>
        </w:rPr>
        <w:t xml:space="preserve"> </w:t>
      </w:r>
      <w:r>
        <w:rPr>
          <w:rFonts w:ascii="Times New Roman" w:hAnsi="Times New Roman"/>
          <w:sz w:val="24"/>
          <w:szCs w:val="24"/>
          <w:lang w:val="sr-Cyrl-CS"/>
        </w:rPr>
        <w:t>прилике</w:t>
      </w:r>
      <w:r w:rsidRPr="008E2992">
        <w:rPr>
          <w:rFonts w:ascii="Times New Roman" w:hAnsi="Times New Roman"/>
          <w:sz w:val="24"/>
          <w:szCs w:val="24"/>
          <w:lang w:val="sr-Cyrl-CS"/>
        </w:rPr>
        <w:t xml:space="preserve"> </w:t>
      </w:r>
      <w:r>
        <w:rPr>
          <w:rFonts w:ascii="Times New Roman" w:hAnsi="Times New Roman"/>
          <w:sz w:val="24"/>
          <w:szCs w:val="24"/>
          <w:lang w:val="sr-Cyrl-CS"/>
        </w:rPr>
        <w:t>на</w:t>
      </w:r>
      <w:r w:rsidRPr="008E2992">
        <w:rPr>
          <w:rFonts w:ascii="Times New Roman" w:hAnsi="Times New Roman"/>
          <w:sz w:val="24"/>
          <w:szCs w:val="24"/>
          <w:lang w:val="sr-Cyrl-CS"/>
        </w:rPr>
        <w:t xml:space="preserve"> </w:t>
      </w:r>
      <w:r>
        <w:rPr>
          <w:rFonts w:ascii="Times New Roman" w:hAnsi="Times New Roman"/>
          <w:sz w:val="24"/>
          <w:szCs w:val="24"/>
          <w:lang w:val="sr-Cyrl-CS"/>
        </w:rPr>
        <w:t>домаћем</w:t>
      </w:r>
      <w:r w:rsidRPr="008E2992">
        <w:rPr>
          <w:rFonts w:ascii="Times New Roman" w:hAnsi="Times New Roman"/>
          <w:sz w:val="24"/>
          <w:szCs w:val="24"/>
          <w:lang w:val="sr-Cyrl-CS"/>
        </w:rPr>
        <w:t xml:space="preserve"> </w:t>
      </w:r>
      <w:r>
        <w:rPr>
          <w:rFonts w:ascii="Times New Roman" w:hAnsi="Times New Roman"/>
          <w:sz w:val="24"/>
          <w:szCs w:val="24"/>
          <w:lang w:val="sr-Cyrl-CS"/>
        </w:rPr>
        <w:t>финансијском</w:t>
      </w:r>
      <w:r w:rsidRPr="008E2992">
        <w:rPr>
          <w:rFonts w:ascii="Times New Roman" w:hAnsi="Times New Roman"/>
          <w:sz w:val="24"/>
          <w:szCs w:val="24"/>
          <w:lang w:val="sr-Cyrl-CS"/>
        </w:rPr>
        <w:t xml:space="preserve"> </w:t>
      </w:r>
      <w:r>
        <w:rPr>
          <w:rFonts w:ascii="Times New Roman" w:hAnsi="Times New Roman"/>
          <w:sz w:val="24"/>
          <w:szCs w:val="24"/>
          <w:lang w:val="sr-Cyrl-CS"/>
        </w:rPr>
        <w:t>тржишту</w:t>
      </w:r>
      <w:r w:rsidRPr="008E2992">
        <w:rPr>
          <w:rFonts w:ascii="Times New Roman" w:hAnsi="Times New Roman"/>
          <w:sz w:val="24"/>
          <w:szCs w:val="24"/>
          <w:lang w:val="sr-Cyrl-CS"/>
        </w:rPr>
        <w:t xml:space="preserve">. </w:t>
      </w:r>
      <w:r>
        <w:rPr>
          <w:rFonts w:ascii="Times New Roman" w:hAnsi="Times New Roman"/>
          <w:sz w:val="24"/>
          <w:szCs w:val="24"/>
          <w:lang w:val="sr-Cyrl-CS"/>
        </w:rPr>
        <w:t>Она</w:t>
      </w:r>
      <w:r w:rsidRPr="008E2992">
        <w:rPr>
          <w:rFonts w:ascii="Times New Roman" w:hAnsi="Times New Roman"/>
          <w:sz w:val="24"/>
          <w:szCs w:val="24"/>
          <w:lang w:val="sr-Cyrl-CS"/>
        </w:rPr>
        <w:t xml:space="preserve">, </w:t>
      </w:r>
      <w:r>
        <w:rPr>
          <w:rFonts w:ascii="Times New Roman" w:hAnsi="Times New Roman"/>
          <w:sz w:val="24"/>
          <w:szCs w:val="24"/>
          <w:lang w:val="sr-Cyrl-CS"/>
        </w:rPr>
        <w:t>истовремено</w:t>
      </w:r>
      <w:r w:rsidRPr="008E2992">
        <w:rPr>
          <w:rFonts w:ascii="Times New Roman" w:hAnsi="Times New Roman"/>
          <w:sz w:val="24"/>
          <w:szCs w:val="24"/>
          <w:lang w:val="sr-Cyrl-CS"/>
        </w:rPr>
        <w:t xml:space="preserve"> </w:t>
      </w:r>
      <w:r>
        <w:rPr>
          <w:rFonts w:ascii="Times New Roman" w:hAnsi="Times New Roman"/>
          <w:sz w:val="24"/>
          <w:szCs w:val="24"/>
          <w:lang w:val="sr-Cyrl-CS"/>
        </w:rPr>
        <w:t>у</w:t>
      </w:r>
      <w:r w:rsidRPr="008E2992">
        <w:rPr>
          <w:rFonts w:ascii="Times New Roman" w:hAnsi="Times New Roman"/>
          <w:sz w:val="24"/>
          <w:szCs w:val="24"/>
          <w:lang w:val="sr-Cyrl-CS"/>
        </w:rPr>
        <w:t xml:space="preserve"> </w:t>
      </w:r>
      <w:r>
        <w:rPr>
          <w:rFonts w:ascii="Times New Roman" w:hAnsi="Times New Roman"/>
          <w:sz w:val="24"/>
          <w:szCs w:val="24"/>
          <w:lang w:val="sr-Cyrl-CS"/>
        </w:rPr>
        <w:t>улози</w:t>
      </w:r>
      <w:r w:rsidRPr="008E2992">
        <w:rPr>
          <w:rFonts w:ascii="Times New Roman" w:hAnsi="Times New Roman"/>
          <w:sz w:val="24"/>
          <w:szCs w:val="24"/>
          <w:lang w:val="sr-Cyrl-CS"/>
        </w:rPr>
        <w:t xml:space="preserve"> </w:t>
      </w:r>
      <w:r>
        <w:rPr>
          <w:rFonts w:ascii="Times New Roman" w:hAnsi="Times New Roman"/>
          <w:sz w:val="24"/>
          <w:szCs w:val="24"/>
          <w:lang w:val="sr-Cyrl-CS"/>
        </w:rPr>
        <w:t>елементарне</w:t>
      </w:r>
      <w:r w:rsidRPr="008E2992">
        <w:rPr>
          <w:rFonts w:ascii="Times New Roman" w:hAnsi="Times New Roman"/>
          <w:sz w:val="24"/>
          <w:szCs w:val="24"/>
          <w:lang w:val="sr-Cyrl-CS"/>
        </w:rPr>
        <w:t xml:space="preserve"> </w:t>
      </w:r>
      <w:r>
        <w:rPr>
          <w:rFonts w:ascii="Times New Roman" w:hAnsi="Times New Roman"/>
          <w:sz w:val="24"/>
          <w:szCs w:val="24"/>
          <w:lang w:val="sr-Cyrl-CS"/>
        </w:rPr>
        <w:t>претпоставке</w:t>
      </w:r>
      <w:r w:rsidRPr="008E2992">
        <w:rPr>
          <w:rFonts w:ascii="Times New Roman" w:hAnsi="Times New Roman"/>
          <w:sz w:val="24"/>
          <w:szCs w:val="24"/>
          <w:lang w:val="sr-Cyrl-CS"/>
        </w:rPr>
        <w:t xml:space="preserve"> </w:t>
      </w:r>
      <w:r>
        <w:rPr>
          <w:rFonts w:ascii="Times New Roman" w:hAnsi="Times New Roman"/>
          <w:sz w:val="24"/>
          <w:szCs w:val="24"/>
          <w:lang w:val="sr-Cyrl-CS"/>
        </w:rPr>
        <w:t>за</w:t>
      </w:r>
      <w:r w:rsidRPr="008E2992">
        <w:rPr>
          <w:rFonts w:ascii="Times New Roman" w:hAnsi="Times New Roman"/>
          <w:sz w:val="24"/>
          <w:szCs w:val="24"/>
          <w:lang w:val="sr-Cyrl-CS"/>
        </w:rPr>
        <w:t xml:space="preserve"> </w:t>
      </w:r>
      <w:r>
        <w:rPr>
          <w:rFonts w:ascii="Times New Roman" w:hAnsi="Times New Roman"/>
          <w:sz w:val="24"/>
          <w:szCs w:val="24"/>
          <w:lang w:val="sr-Cyrl-CS"/>
        </w:rPr>
        <w:t>улазак</w:t>
      </w:r>
      <w:r w:rsidRPr="008E2992">
        <w:rPr>
          <w:rFonts w:ascii="Times New Roman" w:hAnsi="Times New Roman"/>
          <w:sz w:val="24"/>
          <w:szCs w:val="24"/>
          <w:lang w:val="sr-Cyrl-CS"/>
        </w:rPr>
        <w:t xml:space="preserve"> </w:t>
      </w:r>
      <w:r>
        <w:rPr>
          <w:rFonts w:ascii="Times New Roman" w:hAnsi="Times New Roman"/>
          <w:sz w:val="24"/>
          <w:szCs w:val="24"/>
          <w:lang w:val="sr-Cyrl-CS"/>
        </w:rPr>
        <w:t>Србије</w:t>
      </w:r>
      <w:r w:rsidRPr="008E2992">
        <w:rPr>
          <w:rFonts w:ascii="Times New Roman" w:hAnsi="Times New Roman"/>
          <w:sz w:val="24"/>
          <w:szCs w:val="24"/>
          <w:lang w:val="sr-Cyrl-CS"/>
        </w:rPr>
        <w:t xml:space="preserve"> </w:t>
      </w:r>
      <w:r>
        <w:rPr>
          <w:rFonts w:ascii="Times New Roman" w:hAnsi="Times New Roman"/>
          <w:sz w:val="24"/>
          <w:szCs w:val="24"/>
          <w:lang w:val="sr-Cyrl-CS"/>
        </w:rPr>
        <w:t>у</w:t>
      </w:r>
      <w:r w:rsidRPr="008E2992">
        <w:rPr>
          <w:rFonts w:ascii="Times New Roman" w:hAnsi="Times New Roman"/>
          <w:sz w:val="24"/>
          <w:szCs w:val="24"/>
          <w:lang w:val="sr-Cyrl-CS"/>
        </w:rPr>
        <w:t xml:space="preserve"> </w:t>
      </w:r>
      <w:r>
        <w:rPr>
          <w:rFonts w:ascii="Times New Roman" w:hAnsi="Times New Roman"/>
          <w:sz w:val="24"/>
          <w:szCs w:val="24"/>
          <w:lang w:val="sr-Cyrl-CS"/>
        </w:rPr>
        <w:t>ЕУ</w:t>
      </w:r>
      <w:r w:rsidRPr="008E2992">
        <w:rPr>
          <w:rFonts w:ascii="Times New Roman" w:hAnsi="Times New Roman"/>
          <w:sz w:val="24"/>
          <w:szCs w:val="24"/>
          <w:lang w:val="sr-Cyrl-CS"/>
        </w:rPr>
        <w:t xml:space="preserve">, </w:t>
      </w:r>
      <w:r>
        <w:rPr>
          <w:rFonts w:ascii="Times New Roman" w:hAnsi="Times New Roman"/>
          <w:sz w:val="24"/>
          <w:szCs w:val="24"/>
          <w:lang w:val="sr-Cyrl-CS"/>
        </w:rPr>
        <w:t>успорава</w:t>
      </w:r>
      <w:r w:rsidRPr="008E2992">
        <w:rPr>
          <w:rFonts w:ascii="Times New Roman" w:hAnsi="Times New Roman"/>
          <w:sz w:val="24"/>
          <w:szCs w:val="24"/>
          <w:lang w:val="sr-Cyrl-CS"/>
        </w:rPr>
        <w:t xml:space="preserve"> </w:t>
      </w:r>
      <w:r>
        <w:rPr>
          <w:rFonts w:ascii="Times New Roman" w:hAnsi="Times New Roman"/>
          <w:sz w:val="24"/>
          <w:szCs w:val="24"/>
          <w:lang w:val="sr-Cyrl-CS"/>
        </w:rPr>
        <w:t>Процес</w:t>
      </w:r>
      <w:r w:rsidRPr="008E2992">
        <w:rPr>
          <w:rFonts w:ascii="Times New Roman" w:hAnsi="Times New Roman"/>
          <w:sz w:val="24"/>
          <w:szCs w:val="24"/>
          <w:lang w:val="sr-Cyrl-CS"/>
        </w:rPr>
        <w:t xml:space="preserve"> </w:t>
      </w:r>
      <w:r>
        <w:rPr>
          <w:rFonts w:ascii="Times New Roman" w:hAnsi="Times New Roman"/>
          <w:sz w:val="24"/>
          <w:szCs w:val="24"/>
          <w:lang w:val="sr-Cyrl-CS"/>
        </w:rPr>
        <w:t>стабилизације</w:t>
      </w:r>
      <w:r w:rsidRPr="008E2992">
        <w:rPr>
          <w:rFonts w:ascii="Times New Roman" w:hAnsi="Times New Roman"/>
          <w:sz w:val="24"/>
          <w:szCs w:val="24"/>
          <w:lang w:val="sr-Cyrl-CS"/>
        </w:rPr>
        <w:t xml:space="preserve"> </w:t>
      </w:r>
      <w:r>
        <w:rPr>
          <w:rFonts w:ascii="Times New Roman" w:hAnsi="Times New Roman"/>
          <w:sz w:val="24"/>
          <w:szCs w:val="24"/>
          <w:lang w:val="sr-Cyrl-CS"/>
        </w:rPr>
        <w:t>и</w:t>
      </w:r>
      <w:r w:rsidRPr="008E2992">
        <w:rPr>
          <w:rFonts w:ascii="Times New Roman" w:hAnsi="Times New Roman"/>
          <w:sz w:val="24"/>
          <w:szCs w:val="24"/>
          <w:lang w:val="sr-Cyrl-CS"/>
        </w:rPr>
        <w:t xml:space="preserve"> </w:t>
      </w:r>
      <w:r>
        <w:rPr>
          <w:rFonts w:ascii="Times New Roman" w:hAnsi="Times New Roman"/>
          <w:sz w:val="24"/>
          <w:szCs w:val="24"/>
          <w:lang w:val="sr-Cyrl-CS"/>
        </w:rPr>
        <w:t>придруживања.</w:t>
      </w:r>
      <w:r w:rsidR="00C501C5">
        <w:rPr>
          <w:rFonts w:ascii="Times New Roman" w:hAnsi="Times New Roman"/>
          <w:sz w:val="24"/>
          <w:szCs w:val="24"/>
          <w:lang w:val="sr-Cyrl-CS"/>
        </w:rPr>
        <w:t>“</w:t>
      </w:r>
      <w:r>
        <w:rPr>
          <w:rStyle w:val="FootnoteReference"/>
          <w:rFonts w:ascii="Times New Roman" w:hAnsi="Times New Roman"/>
          <w:sz w:val="24"/>
          <w:szCs w:val="24"/>
          <w:lang w:val="sr-Cyrl-CS"/>
        </w:rPr>
        <w:footnoteReference w:id="588"/>
      </w:r>
    </w:p>
    <w:p w:rsidR="0058630E" w:rsidRDefault="0058630E" w:rsidP="002B6E12">
      <w:pPr>
        <w:ind w:firstLine="708"/>
        <w:jc w:val="both"/>
        <w:rPr>
          <w:rFonts w:ascii="Times New Roman" w:hAnsi="Times New Roman"/>
          <w:sz w:val="24"/>
          <w:szCs w:val="24"/>
          <w:lang w:val="sr-Cyrl-CS"/>
        </w:rPr>
      </w:pPr>
    </w:p>
    <w:p w:rsidR="0058630E" w:rsidRDefault="0058630E" w:rsidP="002B6E12">
      <w:pPr>
        <w:ind w:firstLine="708"/>
        <w:jc w:val="both"/>
        <w:rPr>
          <w:rFonts w:ascii="Times New Roman" w:hAnsi="Times New Roman"/>
          <w:sz w:val="24"/>
          <w:szCs w:val="24"/>
          <w:lang w:val="sr-Cyrl-CS"/>
        </w:rPr>
      </w:pPr>
    </w:p>
    <w:p w:rsidR="00A22DD5" w:rsidRDefault="00A22DD5" w:rsidP="002B6E12">
      <w:pPr>
        <w:ind w:firstLine="708"/>
        <w:jc w:val="both"/>
        <w:rPr>
          <w:rFonts w:ascii="Times New Roman" w:hAnsi="Times New Roman"/>
          <w:sz w:val="24"/>
          <w:szCs w:val="24"/>
          <w:lang w:val="sr-Cyrl-CS"/>
        </w:rPr>
      </w:pPr>
    </w:p>
    <w:p w:rsidR="00A22DD5" w:rsidRDefault="00A22DD5" w:rsidP="002B6E12">
      <w:pPr>
        <w:ind w:firstLine="708"/>
        <w:jc w:val="both"/>
        <w:rPr>
          <w:rFonts w:ascii="Times New Roman" w:hAnsi="Times New Roman"/>
          <w:sz w:val="24"/>
          <w:szCs w:val="24"/>
          <w:lang w:val="sr-Cyrl-CS"/>
        </w:rPr>
      </w:pPr>
    </w:p>
    <w:p w:rsidR="00AF6B6D" w:rsidRDefault="00AF6B6D" w:rsidP="002B6E12">
      <w:pPr>
        <w:ind w:firstLine="708"/>
        <w:jc w:val="both"/>
        <w:rPr>
          <w:rFonts w:ascii="Times New Roman" w:hAnsi="Times New Roman"/>
          <w:sz w:val="24"/>
          <w:szCs w:val="24"/>
          <w:lang w:val="sr-Cyrl-CS"/>
        </w:rPr>
      </w:pPr>
    </w:p>
    <w:p w:rsidR="00AF6B6D" w:rsidRDefault="00AF6B6D" w:rsidP="002B6E12">
      <w:pPr>
        <w:ind w:firstLine="708"/>
        <w:jc w:val="both"/>
        <w:rPr>
          <w:rFonts w:ascii="Times New Roman" w:hAnsi="Times New Roman"/>
          <w:sz w:val="24"/>
          <w:szCs w:val="24"/>
          <w:lang w:val="sr-Cyrl-CS"/>
        </w:rPr>
      </w:pPr>
    </w:p>
    <w:p w:rsidR="00AF6B6D" w:rsidRPr="00BE57B0" w:rsidRDefault="00AF6B6D" w:rsidP="002B6E12">
      <w:pPr>
        <w:ind w:firstLine="708"/>
        <w:jc w:val="both"/>
        <w:rPr>
          <w:rFonts w:ascii="Times New Roman" w:hAnsi="Times New Roman"/>
          <w:sz w:val="24"/>
          <w:szCs w:val="24"/>
          <w:lang w:val="sr-Cyrl-CS"/>
        </w:rPr>
      </w:pPr>
    </w:p>
    <w:p w:rsidR="002B6E12" w:rsidRPr="00EB3679" w:rsidRDefault="0058630E" w:rsidP="002B6E12">
      <w:pPr>
        <w:ind w:firstLine="630"/>
        <w:jc w:val="both"/>
        <w:rPr>
          <w:rFonts w:ascii="Times New Roman" w:hAnsi="Times New Roman"/>
          <w:b/>
          <w:sz w:val="24"/>
          <w:szCs w:val="24"/>
          <w:lang w:val="sr-Cyrl-CS"/>
        </w:rPr>
      </w:pPr>
      <w:r>
        <w:rPr>
          <w:rFonts w:ascii="Times New Roman" w:hAnsi="Times New Roman"/>
          <w:b/>
          <w:sz w:val="24"/>
          <w:szCs w:val="24"/>
          <w:lang w:val="sr-Cyrl-CS"/>
        </w:rPr>
        <w:lastRenderedPageBreak/>
        <w:t>Табела 29</w:t>
      </w:r>
      <w:r w:rsidR="002B6E12" w:rsidRPr="00EB3679">
        <w:rPr>
          <w:rFonts w:ascii="Times New Roman" w:hAnsi="Times New Roman"/>
          <w:b/>
          <w:sz w:val="24"/>
          <w:szCs w:val="24"/>
          <w:lang w:val="sr-Cyrl-CS"/>
        </w:rPr>
        <w:t>.</w:t>
      </w:r>
    </w:p>
    <w:p w:rsidR="002B6E12" w:rsidRPr="00141702" w:rsidRDefault="002B6E12" w:rsidP="002B6E12">
      <w:pPr>
        <w:ind w:firstLine="630"/>
        <w:jc w:val="both"/>
        <w:rPr>
          <w:rFonts w:ascii="Times New Roman" w:hAnsi="Times New Roman"/>
          <w:b/>
          <w:sz w:val="24"/>
          <w:szCs w:val="24"/>
          <w:lang w:val="sr-Cyrl-CS"/>
        </w:rPr>
      </w:pPr>
      <w:r w:rsidRPr="00141702">
        <w:rPr>
          <w:rFonts w:ascii="Times New Roman" w:hAnsi="Times New Roman"/>
          <w:b/>
          <w:sz w:val="24"/>
          <w:szCs w:val="24"/>
          <w:lang w:val="sr-Cyrl-CS"/>
        </w:rPr>
        <w:t>Стопе ПДВ у ЕУ на дан 15.12.2013. године</w:t>
      </w:r>
    </w:p>
    <w:tbl>
      <w:tblPr>
        <w:tblW w:w="0" w:type="auto"/>
        <w:tblBorders>
          <w:top w:val="single" w:sz="6" w:space="0" w:color="AAAAAA"/>
          <w:left w:val="single" w:sz="6" w:space="0" w:color="AAAAAA"/>
          <w:bottom w:val="single" w:sz="6" w:space="0" w:color="AAAAAA"/>
          <w:right w:val="single" w:sz="6" w:space="0" w:color="AAAAAA"/>
        </w:tblBorders>
        <w:shd w:val="clear" w:color="auto" w:fill="F9F9F9"/>
        <w:tblCellMar>
          <w:top w:w="15" w:type="dxa"/>
          <w:left w:w="15" w:type="dxa"/>
          <w:bottom w:w="15" w:type="dxa"/>
          <w:right w:w="15" w:type="dxa"/>
        </w:tblCellMar>
        <w:tblLook w:val="04A0"/>
      </w:tblPr>
      <w:tblGrid>
        <w:gridCol w:w="2273"/>
        <w:gridCol w:w="1719"/>
        <w:gridCol w:w="3635"/>
      </w:tblGrid>
      <w:tr w:rsidR="002B6E12" w:rsidTr="00797641">
        <w:trPr>
          <w:trHeight w:val="569"/>
        </w:trPr>
        <w:tc>
          <w:tcPr>
            <w:tcW w:w="0" w:type="auto"/>
            <w:vMerge w:val="restart"/>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2B6E12" w:rsidRPr="00BE57B0" w:rsidRDefault="002B6E12" w:rsidP="00797641">
            <w:pPr>
              <w:pStyle w:val="NoSpacing"/>
              <w:rPr>
                <w:lang w:val="sr-Cyrl-CS"/>
              </w:rPr>
            </w:pPr>
            <w:r>
              <w:rPr>
                <w:lang w:val="sr-Cyrl-CS"/>
              </w:rPr>
              <w:t>Држава</w:t>
            </w:r>
          </w:p>
        </w:tc>
        <w:tc>
          <w:tcPr>
            <w:tcW w:w="0" w:type="auto"/>
            <w:gridSpan w:val="2"/>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2B6E12" w:rsidRPr="00BE57B0" w:rsidRDefault="002B6E12" w:rsidP="00797641">
            <w:pPr>
              <w:pStyle w:val="NoSpacing"/>
              <w:rPr>
                <w:lang w:val="sr-Cyrl-CS"/>
              </w:rPr>
            </w:pPr>
            <w:r>
              <w:rPr>
                <w:lang w:val="sr-Cyrl-CS"/>
              </w:rPr>
              <w:t>Стопа</w:t>
            </w:r>
          </w:p>
        </w:tc>
      </w:tr>
      <w:tr w:rsidR="002B6E12" w:rsidTr="00797641">
        <w:trPr>
          <w:trHeight w:val="538"/>
        </w:trPr>
        <w:tc>
          <w:tcPr>
            <w:tcW w:w="0" w:type="auto"/>
            <w:vMerge/>
            <w:tcBorders>
              <w:top w:val="single" w:sz="6" w:space="0" w:color="AAAAAA"/>
              <w:left w:val="single" w:sz="6" w:space="0" w:color="AAAAAA"/>
              <w:bottom w:val="single" w:sz="6" w:space="0" w:color="AAAAAA"/>
              <w:right w:val="single" w:sz="6" w:space="0" w:color="AAAAAA"/>
            </w:tcBorders>
            <w:shd w:val="clear" w:color="auto" w:fill="F9F9F9"/>
            <w:vAlign w:val="center"/>
            <w:hideMark/>
          </w:tcPr>
          <w:p w:rsidR="002B6E12" w:rsidRPr="000048AF" w:rsidRDefault="002B6E12" w:rsidP="00797641">
            <w:pPr>
              <w:pStyle w:val="NoSpacing"/>
            </w:pP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2B6E12" w:rsidRPr="00BE57B0" w:rsidRDefault="002B6E12" w:rsidP="00797641">
            <w:pPr>
              <w:pStyle w:val="NoSpacing"/>
              <w:rPr>
                <w:lang w:val="sr-Cyrl-CS"/>
              </w:rPr>
            </w:pPr>
            <w:r>
              <w:rPr>
                <w:lang w:val="sr-Cyrl-CS"/>
              </w:rPr>
              <w:t>Стандардна</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2B6E12" w:rsidRPr="00BE57B0" w:rsidRDefault="002B6E12" w:rsidP="00797641">
            <w:pPr>
              <w:pStyle w:val="NoSpacing"/>
              <w:rPr>
                <w:lang w:val="sr-Cyrl-CS"/>
              </w:rPr>
            </w:pPr>
            <w:r>
              <w:rPr>
                <w:lang w:val="sr-Cyrl-CS"/>
              </w:rPr>
              <w:t>Умањена</w:t>
            </w:r>
          </w:p>
        </w:tc>
      </w:tr>
      <w:tr w:rsidR="002B6E12" w:rsidTr="00797641">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10A0A" w:rsidRDefault="00616181" w:rsidP="00797641">
            <w:pPr>
              <w:pStyle w:val="NoSpacing"/>
            </w:pPr>
            <w:hyperlink r:id="rId23" w:tooltip="Austrija" w:history="1">
              <w:r w:rsidR="002B6E12">
                <w:rPr>
                  <w:rStyle w:val="Hyperlink"/>
                  <w:rFonts w:ascii="Arial" w:hAnsi="Arial" w:cs="Arial"/>
                  <w:color w:val="auto"/>
                  <w:sz w:val="20"/>
                  <w:szCs w:val="20"/>
                  <w:u w:val="none"/>
                  <w:lang w:val="sr-Cyrl-CS"/>
                </w:rPr>
                <w:t>Аустрија</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048AF" w:rsidRDefault="002B6E12" w:rsidP="00797641">
            <w:pPr>
              <w:pStyle w:val="NoSpacing"/>
            </w:pPr>
            <w:r w:rsidRPr="000048AF">
              <w:t>20%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048AF" w:rsidRDefault="002B6E12" w:rsidP="00797641">
            <w:pPr>
              <w:pStyle w:val="NoSpacing"/>
            </w:pPr>
            <w:r w:rsidRPr="000048AF">
              <w:t>12% i 10%</w:t>
            </w:r>
          </w:p>
        </w:tc>
      </w:tr>
      <w:tr w:rsidR="002B6E12" w:rsidTr="00797641">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10A0A" w:rsidRDefault="00616181" w:rsidP="00797641">
            <w:pPr>
              <w:pStyle w:val="NoSpacing"/>
            </w:pPr>
            <w:hyperlink r:id="rId24" w:tooltip="Belgija" w:history="1">
              <w:r w:rsidR="002B6E12">
                <w:rPr>
                  <w:rStyle w:val="Hyperlink"/>
                  <w:rFonts w:ascii="Arial" w:hAnsi="Arial" w:cs="Arial"/>
                  <w:color w:val="auto"/>
                  <w:sz w:val="20"/>
                  <w:szCs w:val="20"/>
                  <w:u w:val="none"/>
                  <w:lang w:val="sr-Cyrl-CS"/>
                </w:rPr>
                <w:t>Белгија</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048AF" w:rsidRDefault="002B6E12" w:rsidP="00797641">
            <w:pPr>
              <w:pStyle w:val="NoSpacing"/>
            </w:pPr>
            <w:r w:rsidRPr="000048AF">
              <w:t>21%</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048AF" w:rsidRDefault="002B6E12" w:rsidP="00797641">
            <w:pPr>
              <w:pStyle w:val="NoSpacing"/>
            </w:pPr>
            <w:r w:rsidRPr="000048AF">
              <w:t>12%, 6% i 0%</w:t>
            </w:r>
          </w:p>
        </w:tc>
      </w:tr>
      <w:tr w:rsidR="002B6E12" w:rsidTr="00797641">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10A0A" w:rsidRDefault="00616181" w:rsidP="00797641">
            <w:pPr>
              <w:pStyle w:val="NoSpacing"/>
            </w:pPr>
            <w:hyperlink r:id="rId25" w:tooltip="Bugarska" w:history="1">
              <w:r w:rsidR="002B6E12">
                <w:rPr>
                  <w:rStyle w:val="Hyperlink"/>
                  <w:rFonts w:ascii="Arial" w:hAnsi="Arial" w:cs="Arial"/>
                  <w:color w:val="auto"/>
                  <w:sz w:val="20"/>
                  <w:szCs w:val="20"/>
                  <w:u w:val="none"/>
                  <w:lang w:val="sr-Cyrl-CS"/>
                </w:rPr>
                <w:t>Бугарска</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048AF" w:rsidRDefault="002B6E12" w:rsidP="00797641">
            <w:pPr>
              <w:pStyle w:val="NoSpacing"/>
            </w:pPr>
            <w:r w:rsidRPr="000048AF">
              <w:t>20%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048AF" w:rsidRDefault="002B6E12" w:rsidP="00797641">
            <w:pPr>
              <w:pStyle w:val="NoSpacing"/>
            </w:pPr>
            <w:r w:rsidRPr="000048AF">
              <w:t>0% i 7%</w:t>
            </w:r>
          </w:p>
        </w:tc>
      </w:tr>
      <w:tr w:rsidR="002B6E12" w:rsidTr="00797641">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10A0A" w:rsidRDefault="00616181" w:rsidP="00797641">
            <w:pPr>
              <w:pStyle w:val="NoSpacing"/>
            </w:pPr>
            <w:hyperlink r:id="rId26" w:tooltip="Češka" w:history="1">
              <w:r w:rsidR="002B6E12">
                <w:rPr>
                  <w:rStyle w:val="Hyperlink"/>
                  <w:rFonts w:ascii="Arial" w:hAnsi="Arial" w:cs="Arial"/>
                  <w:color w:val="auto"/>
                  <w:sz w:val="20"/>
                  <w:szCs w:val="20"/>
                  <w:u w:val="none"/>
                  <w:lang w:val="sr-Cyrl-CS"/>
                </w:rPr>
                <w:t>Чешка</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048AF" w:rsidRDefault="002B6E12" w:rsidP="00797641">
            <w:pPr>
              <w:pStyle w:val="NoSpacing"/>
            </w:pPr>
            <w:r w:rsidRPr="000048AF">
              <w:t>20%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048AF" w:rsidRDefault="002B6E12" w:rsidP="00797641">
            <w:pPr>
              <w:pStyle w:val="NoSpacing"/>
            </w:pPr>
            <w:r w:rsidRPr="000048AF">
              <w:t>10%</w:t>
            </w:r>
          </w:p>
        </w:tc>
      </w:tr>
      <w:tr w:rsidR="002B6E12" w:rsidTr="00797641">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10A0A" w:rsidRDefault="00616181" w:rsidP="00797641">
            <w:pPr>
              <w:pStyle w:val="NoSpacing"/>
            </w:pPr>
            <w:hyperlink r:id="rId27" w:tooltip="Danska" w:history="1">
              <w:r w:rsidR="002B6E12">
                <w:rPr>
                  <w:rStyle w:val="Hyperlink"/>
                  <w:rFonts w:ascii="Arial" w:hAnsi="Arial" w:cs="Arial"/>
                  <w:color w:val="auto"/>
                  <w:sz w:val="20"/>
                  <w:szCs w:val="20"/>
                  <w:u w:val="none"/>
                  <w:lang w:val="sr-Cyrl-CS"/>
                </w:rPr>
                <w:t>Данска</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048AF" w:rsidRDefault="002B6E12" w:rsidP="00797641">
            <w:pPr>
              <w:pStyle w:val="NoSpacing"/>
            </w:pPr>
            <w:r w:rsidRPr="000048AF">
              <w:t>25%</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048AF" w:rsidRDefault="002B6E12" w:rsidP="00797641">
            <w:pPr>
              <w:pStyle w:val="NoSpacing"/>
            </w:pPr>
            <w:r w:rsidRPr="000048AF">
              <w:t>nema</w:t>
            </w:r>
          </w:p>
        </w:tc>
      </w:tr>
      <w:tr w:rsidR="002B6E12" w:rsidTr="00797641">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10A0A" w:rsidRDefault="00616181" w:rsidP="00797641">
            <w:pPr>
              <w:pStyle w:val="NoSpacing"/>
            </w:pPr>
            <w:hyperlink r:id="rId28" w:tooltip="Estonija" w:history="1">
              <w:r w:rsidR="002B6E12">
                <w:rPr>
                  <w:rStyle w:val="Hyperlink"/>
                  <w:rFonts w:ascii="Arial" w:hAnsi="Arial" w:cs="Arial"/>
                  <w:color w:val="auto"/>
                  <w:sz w:val="20"/>
                  <w:szCs w:val="20"/>
                  <w:u w:val="none"/>
                  <w:lang w:val="sr-Cyrl-CS"/>
                </w:rPr>
                <w:t>Естонија</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048AF" w:rsidRDefault="002B6E12" w:rsidP="00797641">
            <w:pPr>
              <w:pStyle w:val="NoSpacing"/>
            </w:pPr>
            <w:r w:rsidRPr="000048AF">
              <w:t>20%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048AF" w:rsidRDefault="002B6E12" w:rsidP="00797641">
            <w:pPr>
              <w:pStyle w:val="NoSpacing"/>
            </w:pPr>
            <w:r w:rsidRPr="000048AF">
              <w:t>9%</w:t>
            </w:r>
          </w:p>
        </w:tc>
      </w:tr>
      <w:tr w:rsidR="002B6E12" w:rsidTr="00797641">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10A0A" w:rsidRDefault="00616181" w:rsidP="00797641">
            <w:pPr>
              <w:pStyle w:val="NoSpacing"/>
            </w:pPr>
            <w:hyperlink r:id="rId29" w:tooltip="Finska" w:history="1">
              <w:r w:rsidR="002B6E12">
                <w:rPr>
                  <w:rStyle w:val="Hyperlink"/>
                  <w:rFonts w:ascii="Arial" w:hAnsi="Arial" w:cs="Arial"/>
                  <w:color w:val="auto"/>
                  <w:sz w:val="20"/>
                  <w:szCs w:val="20"/>
                  <w:u w:val="none"/>
                  <w:lang w:val="sr-Cyrl-CS"/>
                </w:rPr>
                <w:t>Финска</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048AF" w:rsidRDefault="002B6E12" w:rsidP="00797641">
            <w:pPr>
              <w:pStyle w:val="NoSpacing"/>
            </w:pPr>
            <w:r w:rsidRPr="000048AF">
              <w:t>22%</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048AF" w:rsidRDefault="002B6E12" w:rsidP="00797641">
            <w:pPr>
              <w:pStyle w:val="NoSpacing"/>
            </w:pPr>
            <w:r w:rsidRPr="000048AF">
              <w:t>12% i 8%</w:t>
            </w:r>
          </w:p>
        </w:tc>
      </w:tr>
      <w:tr w:rsidR="002B6E12" w:rsidTr="00797641">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10A0A" w:rsidRDefault="00616181" w:rsidP="00797641">
            <w:pPr>
              <w:pStyle w:val="NoSpacing"/>
            </w:pPr>
            <w:hyperlink r:id="rId30" w:tooltip="Francuska" w:history="1">
              <w:r w:rsidR="002B6E12">
                <w:rPr>
                  <w:rStyle w:val="Hyperlink"/>
                  <w:rFonts w:ascii="Arial" w:hAnsi="Arial" w:cs="Arial"/>
                  <w:color w:val="auto"/>
                  <w:sz w:val="20"/>
                  <w:szCs w:val="20"/>
                  <w:u w:val="none"/>
                  <w:lang w:val="sr-Cyrl-CS"/>
                </w:rPr>
                <w:t>Француска</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048AF" w:rsidRDefault="002B6E12" w:rsidP="00797641">
            <w:pPr>
              <w:pStyle w:val="NoSpacing"/>
            </w:pPr>
            <w:r w:rsidRPr="000048AF">
              <w:t>19,6%</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048AF" w:rsidRDefault="002B6E12" w:rsidP="00797641">
            <w:pPr>
              <w:pStyle w:val="NoSpacing"/>
            </w:pPr>
            <w:r w:rsidRPr="000048AF">
              <w:t>5,5% i 2,1%</w:t>
            </w:r>
          </w:p>
        </w:tc>
      </w:tr>
      <w:tr w:rsidR="002B6E12" w:rsidTr="00797641">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10A0A" w:rsidRDefault="00616181" w:rsidP="00797641">
            <w:pPr>
              <w:pStyle w:val="NoSpacing"/>
            </w:pPr>
            <w:hyperlink r:id="rId31" w:tooltip="Grčka" w:history="1">
              <w:r w:rsidR="002B6E12">
                <w:rPr>
                  <w:rStyle w:val="Hyperlink"/>
                  <w:rFonts w:ascii="Arial" w:hAnsi="Arial" w:cs="Arial"/>
                  <w:color w:val="auto"/>
                  <w:sz w:val="20"/>
                  <w:szCs w:val="20"/>
                  <w:u w:val="none"/>
                  <w:lang w:val="sr-Cyrl-CS"/>
                </w:rPr>
                <w:t>Грчка</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048AF" w:rsidRDefault="002B6E12" w:rsidP="00797641">
            <w:pPr>
              <w:pStyle w:val="NoSpacing"/>
            </w:pPr>
            <w:r w:rsidRPr="000048AF">
              <w:t>21%</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048AF" w:rsidRDefault="002B6E12" w:rsidP="00797641">
            <w:pPr>
              <w:pStyle w:val="NoSpacing"/>
            </w:pPr>
            <w:r w:rsidRPr="000048AF">
              <w:t>10% i 5% (</w:t>
            </w:r>
            <w:r>
              <w:rPr>
                <w:lang w:val="sr-Cyrl-CS"/>
              </w:rPr>
              <w:t>на острвима посебне стопе</w:t>
            </w:r>
            <w:r w:rsidRPr="000048AF">
              <w:t>)</w:t>
            </w:r>
          </w:p>
        </w:tc>
      </w:tr>
      <w:tr w:rsidR="002B6E12" w:rsidTr="00797641">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10A0A" w:rsidRDefault="00616181" w:rsidP="00797641">
            <w:pPr>
              <w:pStyle w:val="NoSpacing"/>
            </w:pPr>
            <w:hyperlink r:id="rId32" w:tooltip="Holandija" w:history="1">
              <w:r w:rsidR="002B6E12">
                <w:rPr>
                  <w:rStyle w:val="Hyperlink"/>
                  <w:rFonts w:ascii="Arial" w:hAnsi="Arial" w:cs="Arial"/>
                  <w:color w:val="auto"/>
                  <w:sz w:val="20"/>
                  <w:szCs w:val="20"/>
                  <w:u w:val="none"/>
                  <w:lang w:val="sr-Cyrl-CS"/>
                </w:rPr>
                <w:t>Холандија</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048AF" w:rsidRDefault="002B6E12" w:rsidP="00797641">
            <w:pPr>
              <w:pStyle w:val="NoSpacing"/>
            </w:pPr>
            <w:r w:rsidRPr="000048AF">
              <w:t>19%</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048AF" w:rsidRDefault="002B6E12" w:rsidP="00797641">
            <w:pPr>
              <w:pStyle w:val="NoSpacing"/>
            </w:pPr>
            <w:r w:rsidRPr="000048AF">
              <w:t>6% i 0%</w:t>
            </w:r>
          </w:p>
        </w:tc>
      </w:tr>
      <w:tr w:rsidR="002B6E12" w:rsidTr="00797641">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10A0A" w:rsidRDefault="00616181" w:rsidP="00797641">
            <w:pPr>
              <w:pStyle w:val="NoSpacing"/>
            </w:pPr>
            <w:hyperlink r:id="rId33" w:tooltip="Hrvatska" w:history="1">
              <w:r w:rsidR="002B6E12">
                <w:rPr>
                  <w:rStyle w:val="Hyperlink"/>
                  <w:rFonts w:ascii="Arial" w:hAnsi="Arial" w:cs="Arial"/>
                  <w:color w:val="auto"/>
                  <w:sz w:val="20"/>
                  <w:szCs w:val="20"/>
                  <w:u w:val="none"/>
                  <w:lang w:val="sr-Cyrl-CS"/>
                </w:rPr>
                <w:t>Хрватска</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048AF" w:rsidRDefault="002B6E12" w:rsidP="00797641">
            <w:pPr>
              <w:pStyle w:val="NoSpacing"/>
            </w:pPr>
            <w:r w:rsidRPr="000048AF">
              <w:t>25%</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048AF" w:rsidRDefault="002B6E12" w:rsidP="00797641">
            <w:pPr>
              <w:pStyle w:val="NoSpacing"/>
            </w:pPr>
            <w:r w:rsidRPr="000048AF">
              <w:t>10% i 5%</w:t>
            </w:r>
          </w:p>
        </w:tc>
      </w:tr>
      <w:tr w:rsidR="002B6E12" w:rsidTr="00797641">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10A0A" w:rsidRDefault="00616181" w:rsidP="00797641">
            <w:pPr>
              <w:pStyle w:val="NoSpacing"/>
            </w:pPr>
            <w:hyperlink r:id="rId34" w:tooltip="Republika Irska" w:history="1">
              <w:r w:rsidR="002B6E12">
                <w:rPr>
                  <w:rStyle w:val="Hyperlink"/>
                  <w:rFonts w:ascii="Arial" w:hAnsi="Arial" w:cs="Arial"/>
                  <w:color w:val="auto"/>
                  <w:sz w:val="20"/>
                  <w:szCs w:val="20"/>
                  <w:u w:val="none"/>
                  <w:lang w:val="sr-Cyrl-CS"/>
                </w:rPr>
                <w:t>Ирска</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048AF" w:rsidRDefault="002B6E12" w:rsidP="00797641">
            <w:pPr>
              <w:pStyle w:val="NoSpacing"/>
            </w:pPr>
            <w:r w:rsidRPr="000048AF">
              <w:t>21%</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048AF" w:rsidRDefault="002B6E12" w:rsidP="00797641">
            <w:pPr>
              <w:pStyle w:val="NoSpacing"/>
            </w:pPr>
            <w:r w:rsidRPr="000048AF">
              <w:t>13,5%, 4,8% i 0%</w:t>
            </w:r>
          </w:p>
        </w:tc>
      </w:tr>
      <w:tr w:rsidR="002B6E12" w:rsidTr="00797641">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10A0A" w:rsidRDefault="00616181" w:rsidP="00797641">
            <w:pPr>
              <w:pStyle w:val="NoSpacing"/>
            </w:pPr>
            <w:hyperlink r:id="rId35" w:tooltip="Italija" w:history="1">
              <w:r w:rsidR="002B6E12">
                <w:rPr>
                  <w:rStyle w:val="Hyperlink"/>
                  <w:rFonts w:ascii="Arial" w:hAnsi="Arial" w:cs="Arial"/>
                  <w:color w:val="auto"/>
                  <w:sz w:val="20"/>
                  <w:szCs w:val="20"/>
                  <w:u w:val="none"/>
                  <w:lang w:val="sr-Cyrl-CS"/>
                </w:rPr>
                <w:t>Италија</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048AF" w:rsidRDefault="002B6E12" w:rsidP="00797641">
            <w:pPr>
              <w:pStyle w:val="NoSpacing"/>
            </w:pPr>
            <w:r w:rsidRPr="000048AF">
              <w:t>20%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048AF" w:rsidRDefault="002B6E12" w:rsidP="00797641">
            <w:pPr>
              <w:pStyle w:val="NoSpacing"/>
            </w:pPr>
            <w:r w:rsidRPr="000048AF">
              <w:t>10% i 4%</w:t>
            </w:r>
          </w:p>
        </w:tc>
      </w:tr>
      <w:tr w:rsidR="002B6E12" w:rsidTr="00797641">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10A0A" w:rsidRDefault="00616181" w:rsidP="00797641">
            <w:pPr>
              <w:pStyle w:val="NoSpacing"/>
            </w:pPr>
            <w:hyperlink r:id="rId36" w:tooltip="Kipar" w:history="1">
              <w:r w:rsidR="002B6E12">
                <w:rPr>
                  <w:rStyle w:val="Hyperlink"/>
                  <w:rFonts w:ascii="Arial" w:hAnsi="Arial" w:cs="Arial"/>
                  <w:color w:val="auto"/>
                  <w:sz w:val="20"/>
                  <w:szCs w:val="20"/>
                  <w:u w:val="none"/>
                  <w:lang w:val="sr-Cyrl-CS"/>
                </w:rPr>
                <w:t>Кипар</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048AF" w:rsidRDefault="002B6E12" w:rsidP="00797641">
            <w:pPr>
              <w:pStyle w:val="NoSpacing"/>
            </w:pPr>
            <w:r w:rsidRPr="000048AF">
              <w:t>15%</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048AF" w:rsidRDefault="002B6E12" w:rsidP="00797641">
            <w:pPr>
              <w:pStyle w:val="NoSpacing"/>
            </w:pPr>
            <w:r w:rsidRPr="000048AF">
              <w:t xml:space="preserve">5% (8% </w:t>
            </w:r>
            <w:r>
              <w:rPr>
                <w:lang w:val="sr-Cyrl-CS"/>
              </w:rPr>
              <w:t>за такси и аутобуски превоз</w:t>
            </w:r>
            <w:r w:rsidRPr="000048AF">
              <w:t>)</w:t>
            </w:r>
          </w:p>
        </w:tc>
      </w:tr>
      <w:tr w:rsidR="002B6E12" w:rsidTr="00797641">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10A0A" w:rsidRDefault="00616181" w:rsidP="00797641">
            <w:pPr>
              <w:pStyle w:val="NoSpacing"/>
            </w:pPr>
            <w:hyperlink r:id="rId37" w:tooltip="Latvija" w:history="1">
              <w:r w:rsidR="002B6E12">
                <w:rPr>
                  <w:rStyle w:val="Hyperlink"/>
                  <w:rFonts w:ascii="Arial" w:hAnsi="Arial" w:cs="Arial"/>
                  <w:color w:val="auto"/>
                  <w:sz w:val="20"/>
                  <w:szCs w:val="20"/>
                  <w:u w:val="none"/>
                  <w:lang w:val="sr-Cyrl-CS"/>
                </w:rPr>
                <w:t>Латвија</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048AF" w:rsidRDefault="002B6E12" w:rsidP="00797641">
            <w:pPr>
              <w:pStyle w:val="NoSpacing"/>
            </w:pPr>
            <w:r w:rsidRPr="000048AF">
              <w:t>21%</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048AF" w:rsidRDefault="002B6E12" w:rsidP="00797641">
            <w:pPr>
              <w:pStyle w:val="NoSpacing"/>
            </w:pPr>
            <w:r w:rsidRPr="000048AF">
              <w:t>10% i 0%</w:t>
            </w:r>
          </w:p>
        </w:tc>
      </w:tr>
      <w:tr w:rsidR="002B6E12" w:rsidTr="00797641">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10A0A" w:rsidRDefault="00616181" w:rsidP="00797641">
            <w:pPr>
              <w:pStyle w:val="NoSpacing"/>
            </w:pPr>
            <w:hyperlink r:id="rId38" w:tooltip="Litvanija" w:history="1">
              <w:r w:rsidR="002B6E12">
                <w:rPr>
                  <w:rStyle w:val="Hyperlink"/>
                  <w:rFonts w:ascii="Arial" w:hAnsi="Arial" w:cs="Arial"/>
                  <w:color w:val="auto"/>
                  <w:sz w:val="20"/>
                  <w:szCs w:val="20"/>
                  <w:u w:val="none"/>
                  <w:lang w:val="sr-Cyrl-CS"/>
                </w:rPr>
                <w:t>Литванија</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048AF" w:rsidRDefault="002B6E12" w:rsidP="00797641">
            <w:pPr>
              <w:pStyle w:val="NoSpacing"/>
            </w:pPr>
            <w:r w:rsidRPr="000048AF">
              <w:t>21%</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048AF" w:rsidRDefault="002B6E12" w:rsidP="00797641">
            <w:pPr>
              <w:pStyle w:val="NoSpacing"/>
            </w:pPr>
            <w:r w:rsidRPr="000048AF">
              <w:t>9% i 5%</w:t>
            </w:r>
          </w:p>
        </w:tc>
      </w:tr>
      <w:tr w:rsidR="002B6E12" w:rsidTr="00797641">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10A0A" w:rsidRDefault="00616181" w:rsidP="00797641">
            <w:pPr>
              <w:pStyle w:val="NoSpacing"/>
            </w:pPr>
            <w:hyperlink r:id="rId39" w:tooltip="Luksemburg" w:history="1">
              <w:r w:rsidR="002B6E12">
                <w:rPr>
                  <w:rStyle w:val="Hyperlink"/>
                  <w:rFonts w:ascii="Arial" w:hAnsi="Arial" w:cs="Arial"/>
                  <w:color w:val="auto"/>
                  <w:sz w:val="20"/>
                  <w:szCs w:val="20"/>
                  <w:u w:val="none"/>
                  <w:lang w:val="sr-Cyrl-CS"/>
                </w:rPr>
                <w:t>Луксембург</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048AF" w:rsidRDefault="002B6E12" w:rsidP="00797641">
            <w:pPr>
              <w:pStyle w:val="NoSpacing"/>
            </w:pPr>
            <w:r w:rsidRPr="000048AF">
              <w:t>15%</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048AF" w:rsidRDefault="002B6E12" w:rsidP="00797641">
            <w:pPr>
              <w:pStyle w:val="NoSpacing"/>
            </w:pPr>
            <w:r w:rsidRPr="000048AF">
              <w:t>12%, 9%, 6% i 3%</w:t>
            </w:r>
          </w:p>
        </w:tc>
      </w:tr>
      <w:tr w:rsidR="002B6E12" w:rsidTr="00797641">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10A0A" w:rsidRDefault="00616181" w:rsidP="00797641">
            <w:pPr>
              <w:pStyle w:val="NoSpacing"/>
            </w:pPr>
            <w:hyperlink r:id="rId40" w:tooltip="Mađarska" w:history="1">
              <w:r w:rsidR="002B6E12">
                <w:rPr>
                  <w:rStyle w:val="Hyperlink"/>
                  <w:rFonts w:ascii="Arial" w:hAnsi="Arial" w:cs="Arial"/>
                  <w:color w:val="auto"/>
                  <w:sz w:val="20"/>
                  <w:szCs w:val="20"/>
                  <w:u w:val="none"/>
                  <w:lang w:val="sr-Cyrl-CS"/>
                </w:rPr>
                <w:t>Мађарска</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048AF" w:rsidRDefault="002B6E12" w:rsidP="00797641">
            <w:pPr>
              <w:pStyle w:val="NoSpacing"/>
            </w:pPr>
            <w:r w:rsidRPr="000048AF">
              <w:t>25%</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048AF" w:rsidRDefault="002B6E12" w:rsidP="00797641">
            <w:pPr>
              <w:pStyle w:val="NoSpacing"/>
            </w:pPr>
            <w:r w:rsidRPr="000048AF">
              <w:t>5%</w:t>
            </w:r>
          </w:p>
        </w:tc>
      </w:tr>
      <w:tr w:rsidR="002B6E12" w:rsidTr="00797641">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10A0A" w:rsidRDefault="00616181" w:rsidP="00797641">
            <w:pPr>
              <w:pStyle w:val="NoSpacing"/>
            </w:pPr>
            <w:hyperlink r:id="rId41" w:tooltip="Malta" w:history="1">
              <w:r w:rsidR="002B6E12">
                <w:rPr>
                  <w:rStyle w:val="Hyperlink"/>
                  <w:rFonts w:ascii="Arial" w:hAnsi="Arial" w:cs="Arial"/>
                  <w:color w:val="auto"/>
                  <w:sz w:val="20"/>
                  <w:szCs w:val="20"/>
                  <w:u w:val="none"/>
                  <w:lang w:val="sr-Cyrl-CS"/>
                </w:rPr>
                <w:t>Малта</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048AF" w:rsidRDefault="002B6E12" w:rsidP="00797641">
            <w:pPr>
              <w:pStyle w:val="NoSpacing"/>
            </w:pPr>
            <w:r w:rsidRPr="000048AF">
              <w:t>18%</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048AF" w:rsidRDefault="002B6E12" w:rsidP="00797641">
            <w:pPr>
              <w:pStyle w:val="NoSpacing"/>
            </w:pPr>
            <w:r w:rsidRPr="000048AF">
              <w:t>5%</w:t>
            </w:r>
          </w:p>
        </w:tc>
      </w:tr>
      <w:tr w:rsidR="002B6E12" w:rsidTr="00797641">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10A0A" w:rsidRDefault="00616181" w:rsidP="00797641">
            <w:pPr>
              <w:pStyle w:val="NoSpacing"/>
            </w:pPr>
            <w:hyperlink r:id="rId42" w:tooltip="Njemačka" w:history="1">
              <w:r w:rsidR="002B6E12">
                <w:rPr>
                  <w:rStyle w:val="Hyperlink"/>
                  <w:rFonts w:ascii="Arial" w:hAnsi="Arial" w:cs="Arial"/>
                  <w:color w:val="auto"/>
                  <w:sz w:val="20"/>
                  <w:szCs w:val="20"/>
                  <w:u w:val="none"/>
                  <w:lang w:val="sr-Cyrl-CS"/>
                </w:rPr>
                <w:t>Немачка</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048AF" w:rsidRDefault="002B6E12" w:rsidP="00797641">
            <w:pPr>
              <w:pStyle w:val="NoSpacing"/>
            </w:pPr>
            <w:r w:rsidRPr="000048AF">
              <w:t>19%</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048AF" w:rsidRDefault="002B6E12" w:rsidP="00797641">
            <w:pPr>
              <w:pStyle w:val="NoSpacing"/>
            </w:pPr>
            <w:r w:rsidRPr="000048AF">
              <w:t>7%</w:t>
            </w:r>
          </w:p>
        </w:tc>
      </w:tr>
      <w:tr w:rsidR="002B6E12" w:rsidTr="00797641">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10A0A" w:rsidRDefault="00616181" w:rsidP="00797641">
            <w:pPr>
              <w:pStyle w:val="NoSpacing"/>
            </w:pPr>
            <w:hyperlink r:id="rId43" w:tooltip="Poljska" w:history="1">
              <w:r w:rsidR="002B6E12">
                <w:rPr>
                  <w:rStyle w:val="Hyperlink"/>
                  <w:rFonts w:ascii="Arial" w:hAnsi="Arial" w:cs="Arial"/>
                  <w:color w:val="auto"/>
                  <w:sz w:val="20"/>
                  <w:szCs w:val="20"/>
                  <w:u w:val="none"/>
                  <w:lang w:val="sr-Cyrl-CS"/>
                </w:rPr>
                <w:t>Пољска</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048AF" w:rsidRDefault="002B6E12" w:rsidP="00797641">
            <w:pPr>
              <w:pStyle w:val="NoSpacing"/>
            </w:pPr>
            <w:r w:rsidRPr="000048AF">
              <w:t>23% (01.01.2011.)</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048AF" w:rsidRDefault="002B6E12" w:rsidP="00797641">
            <w:pPr>
              <w:pStyle w:val="NoSpacing"/>
            </w:pPr>
            <w:r w:rsidRPr="000048AF">
              <w:t>8%, 5% i 0%</w:t>
            </w:r>
          </w:p>
        </w:tc>
      </w:tr>
      <w:tr w:rsidR="002B6E12" w:rsidTr="00797641">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BE57B0" w:rsidRDefault="002B6E12" w:rsidP="00797641">
            <w:pPr>
              <w:pStyle w:val="NoSpacing"/>
              <w:rPr>
                <w:lang w:val="sr-Cyrl-CS"/>
              </w:rPr>
            </w:pPr>
            <w:r>
              <w:rPr>
                <w:lang w:val="sr-Cyrl-CS"/>
              </w:rPr>
              <w:t>Португал</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048AF" w:rsidRDefault="002B6E12" w:rsidP="00797641">
            <w:pPr>
              <w:pStyle w:val="NoSpacing"/>
            </w:pPr>
            <w:r w:rsidRPr="000048AF">
              <w:t>20%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048AF" w:rsidRDefault="002B6E12" w:rsidP="00797641">
            <w:pPr>
              <w:pStyle w:val="NoSpacing"/>
            </w:pPr>
            <w:r w:rsidRPr="000048AF">
              <w:t>12% i 5%</w:t>
            </w:r>
          </w:p>
        </w:tc>
      </w:tr>
      <w:tr w:rsidR="002B6E12" w:rsidTr="00797641">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10A0A" w:rsidRDefault="00616181" w:rsidP="00797641">
            <w:pPr>
              <w:pStyle w:val="NoSpacing"/>
            </w:pPr>
            <w:hyperlink r:id="rId44" w:tooltip="Rumunija" w:history="1">
              <w:r w:rsidR="002B6E12">
                <w:rPr>
                  <w:rStyle w:val="Hyperlink"/>
                  <w:rFonts w:ascii="Arial" w:hAnsi="Arial" w:cs="Arial"/>
                  <w:color w:val="auto"/>
                  <w:sz w:val="20"/>
                  <w:szCs w:val="20"/>
                  <w:u w:val="none"/>
                  <w:lang w:val="sr-Cyrl-CS"/>
                </w:rPr>
                <w:t>Румунија</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048AF" w:rsidRDefault="002B6E12" w:rsidP="00797641">
            <w:pPr>
              <w:pStyle w:val="NoSpacing"/>
            </w:pPr>
            <w:r w:rsidRPr="000048AF">
              <w:t>19%</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048AF" w:rsidRDefault="002B6E12" w:rsidP="00797641">
            <w:pPr>
              <w:pStyle w:val="NoSpacing"/>
            </w:pPr>
            <w:r w:rsidRPr="000048AF">
              <w:t>9%</w:t>
            </w:r>
          </w:p>
        </w:tc>
      </w:tr>
      <w:tr w:rsidR="002B6E12" w:rsidTr="00797641">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10A0A" w:rsidRDefault="00616181" w:rsidP="00797641">
            <w:pPr>
              <w:pStyle w:val="NoSpacing"/>
            </w:pPr>
            <w:hyperlink r:id="rId45" w:tooltip="Slovačka" w:history="1">
              <w:r w:rsidR="002B6E12">
                <w:rPr>
                  <w:rStyle w:val="Hyperlink"/>
                  <w:rFonts w:ascii="Arial" w:hAnsi="Arial" w:cs="Arial"/>
                  <w:color w:val="auto"/>
                  <w:sz w:val="20"/>
                  <w:szCs w:val="20"/>
                  <w:u w:val="none"/>
                  <w:lang w:val="sr-Cyrl-CS"/>
                </w:rPr>
                <w:t>Словачка</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048AF" w:rsidRDefault="002B6E12" w:rsidP="00797641">
            <w:pPr>
              <w:pStyle w:val="NoSpacing"/>
            </w:pPr>
            <w:r w:rsidRPr="000048AF">
              <w:t>19%</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048AF" w:rsidRDefault="002B6E12" w:rsidP="00797641">
            <w:pPr>
              <w:pStyle w:val="NoSpacing"/>
            </w:pPr>
            <w:r w:rsidRPr="000048AF">
              <w:t>10%</w:t>
            </w:r>
          </w:p>
        </w:tc>
      </w:tr>
      <w:tr w:rsidR="002B6E12" w:rsidTr="00797641">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10A0A" w:rsidRDefault="00616181" w:rsidP="00797641">
            <w:pPr>
              <w:pStyle w:val="NoSpacing"/>
            </w:pPr>
            <w:hyperlink r:id="rId46" w:tooltip="Slovenija" w:history="1">
              <w:r w:rsidR="002B6E12">
                <w:rPr>
                  <w:rStyle w:val="Hyperlink"/>
                  <w:rFonts w:ascii="Arial" w:hAnsi="Arial" w:cs="Arial"/>
                  <w:color w:val="auto"/>
                  <w:sz w:val="20"/>
                  <w:szCs w:val="20"/>
                  <w:u w:val="none"/>
                  <w:lang w:val="sr-Cyrl-CS"/>
                </w:rPr>
                <w:t>Словенија</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048AF" w:rsidRDefault="002B6E12" w:rsidP="00797641">
            <w:pPr>
              <w:pStyle w:val="NoSpacing"/>
            </w:pPr>
            <w:r w:rsidRPr="000048AF">
              <w:t>22%</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048AF" w:rsidRDefault="002B6E12" w:rsidP="00797641">
            <w:pPr>
              <w:pStyle w:val="NoSpacing"/>
            </w:pPr>
            <w:r w:rsidRPr="000048AF">
              <w:t>9,5%</w:t>
            </w:r>
          </w:p>
        </w:tc>
      </w:tr>
      <w:tr w:rsidR="002B6E12" w:rsidTr="00797641">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10A0A" w:rsidRDefault="00616181" w:rsidP="00797641">
            <w:pPr>
              <w:pStyle w:val="NoSpacing"/>
            </w:pPr>
            <w:hyperlink r:id="rId47" w:tooltip="Španija" w:history="1">
              <w:r w:rsidR="002B6E12">
                <w:rPr>
                  <w:rStyle w:val="Hyperlink"/>
                  <w:rFonts w:ascii="Arial" w:hAnsi="Arial" w:cs="Arial"/>
                  <w:color w:val="auto"/>
                  <w:sz w:val="20"/>
                  <w:szCs w:val="20"/>
                  <w:u w:val="none"/>
                  <w:lang w:val="sr-Cyrl-CS"/>
                </w:rPr>
                <w:t>Шпанија</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048AF" w:rsidRDefault="002B6E12" w:rsidP="00797641">
            <w:pPr>
              <w:pStyle w:val="NoSpacing"/>
            </w:pPr>
            <w:r w:rsidRPr="000048AF">
              <w:t>16%</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048AF" w:rsidRDefault="002B6E12" w:rsidP="00797641">
            <w:pPr>
              <w:pStyle w:val="NoSpacing"/>
            </w:pPr>
            <w:r w:rsidRPr="000048AF">
              <w:t>7% i 4%</w:t>
            </w:r>
          </w:p>
        </w:tc>
      </w:tr>
      <w:tr w:rsidR="002B6E12" w:rsidTr="00797641">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10A0A" w:rsidRDefault="002B6E12" w:rsidP="00797641">
            <w:pPr>
              <w:pStyle w:val="NoSpacing"/>
            </w:pPr>
            <w:r>
              <w:rPr>
                <w:rFonts w:ascii="Arial" w:hAnsi="Arial" w:cs="Arial"/>
                <w:sz w:val="20"/>
                <w:szCs w:val="20"/>
                <w:lang w:val="sr-Cyrl-CS"/>
              </w:rPr>
              <w:t>Шведска</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048AF" w:rsidRDefault="002B6E12" w:rsidP="00797641">
            <w:pPr>
              <w:pStyle w:val="NoSpacing"/>
            </w:pPr>
            <w:r w:rsidRPr="000048AF">
              <w:t>25%</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048AF" w:rsidRDefault="002B6E12" w:rsidP="00797641">
            <w:pPr>
              <w:pStyle w:val="NoSpacing"/>
            </w:pPr>
            <w:r w:rsidRPr="000048AF">
              <w:t>12% i 6%</w:t>
            </w:r>
          </w:p>
        </w:tc>
      </w:tr>
      <w:tr w:rsidR="002B6E12" w:rsidTr="00797641">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DB4D48" w:rsidRDefault="00616181" w:rsidP="00797641">
            <w:pPr>
              <w:pStyle w:val="NoSpacing"/>
              <w:rPr>
                <w:lang w:val="sr-Cyrl-CS"/>
              </w:rPr>
            </w:pPr>
            <w:hyperlink r:id="rId48" w:tooltip="Ujedinjeno Kraljevstvo" w:history="1">
              <w:r w:rsidR="002B6E12">
                <w:rPr>
                  <w:rStyle w:val="Hyperlink"/>
                  <w:rFonts w:ascii="Arial" w:hAnsi="Arial" w:cs="Arial"/>
                  <w:color w:val="auto"/>
                  <w:sz w:val="20"/>
                  <w:szCs w:val="20"/>
                  <w:u w:val="none"/>
                  <w:lang w:val="sr-Cyrl-CS"/>
                </w:rPr>
                <w:t>Уједињено</w:t>
              </w:r>
            </w:hyperlink>
            <w:r w:rsidR="002B6E12">
              <w:rPr>
                <w:lang w:val="sr-Cyrl-CS"/>
              </w:rPr>
              <w:t xml:space="preserve"> Краљевство</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048AF" w:rsidRDefault="002B6E12" w:rsidP="00797641">
            <w:pPr>
              <w:pStyle w:val="NoSpacing"/>
            </w:pPr>
            <w:r w:rsidRPr="000048AF">
              <w:t>17,5%</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B6E12" w:rsidRPr="000048AF" w:rsidRDefault="002B6E12" w:rsidP="00797641">
            <w:pPr>
              <w:pStyle w:val="NoSpacing"/>
            </w:pPr>
            <w:r w:rsidRPr="000048AF">
              <w:t>5% i 0%</w:t>
            </w:r>
          </w:p>
        </w:tc>
      </w:tr>
    </w:tbl>
    <w:p w:rsidR="002B6E12" w:rsidRDefault="002B6E12" w:rsidP="002B6E12">
      <w:pPr>
        <w:ind w:firstLine="630"/>
        <w:jc w:val="both"/>
        <w:rPr>
          <w:lang w:val="sr-Cyrl-CS"/>
        </w:rPr>
      </w:pPr>
      <w:r w:rsidRPr="00EB3679">
        <w:rPr>
          <w:rFonts w:ascii="Times New Roman" w:hAnsi="Times New Roman"/>
          <w:sz w:val="24"/>
          <w:szCs w:val="24"/>
          <w:lang w:val="sr-Cyrl-CS"/>
        </w:rPr>
        <w:t>Извор:</w:t>
      </w:r>
      <w:r w:rsidRPr="00AA64FC">
        <w:t xml:space="preserve"> </w:t>
      </w:r>
      <w:hyperlink r:id="rId49" w:anchor="Zemlje_EU" w:history="1">
        <w:r>
          <w:rPr>
            <w:rStyle w:val="Hyperlink"/>
          </w:rPr>
          <w:t>http://bs.wikipedia.org/wiki/Porez_na_dodatu_vrijednost#Zemlje_EU</w:t>
        </w:r>
      </w:hyperlink>
    </w:p>
    <w:p w:rsidR="002B6E12" w:rsidRDefault="002B6E12" w:rsidP="002B6E12">
      <w:pPr>
        <w:ind w:firstLine="630"/>
        <w:jc w:val="both"/>
        <w:rPr>
          <w:rFonts w:ascii="Times New Roman" w:hAnsi="Times New Roman"/>
          <w:sz w:val="24"/>
          <w:szCs w:val="24"/>
          <w:lang w:val="sr-Cyrl-CS"/>
        </w:rPr>
      </w:pPr>
      <w:r>
        <w:rPr>
          <w:rFonts w:ascii="Times New Roman" w:hAnsi="Times New Roman"/>
          <w:sz w:val="24"/>
          <w:szCs w:val="24"/>
          <w:lang w:val="sr-Cyrl-CS"/>
        </w:rPr>
        <w:lastRenderedPageBreak/>
        <w:t>Као што произилази из приложене табеле уочава се велика шароликост стопа ПДВ у земљама ЕУ, при чему неке имају једну пореску стопу, а неке и пет пореских стопа. Распон опште пореске стопе се креће од 15% до 25%. Ове разлике указују да се правила Директива све мање поштују.</w:t>
      </w:r>
    </w:p>
    <w:p w:rsidR="002B6E12" w:rsidRPr="000B4932" w:rsidRDefault="002B6E12" w:rsidP="002B6E12">
      <w:pPr>
        <w:ind w:firstLine="630"/>
        <w:jc w:val="both"/>
        <w:rPr>
          <w:rFonts w:ascii="Times New Roman" w:hAnsi="Times New Roman"/>
          <w:sz w:val="24"/>
          <w:szCs w:val="24"/>
        </w:rPr>
      </w:pPr>
      <w:r>
        <w:rPr>
          <w:rFonts w:ascii="Times New Roman" w:hAnsi="Times New Roman"/>
          <w:sz w:val="24"/>
          <w:szCs w:val="24"/>
          <w:lang w:val="sr-Cyrl-CS"/>
        </w:rPr>
        <w:t>Преласком на заједнички систем пореза на додату вредност укидањем државних граница појавили су се нови облици пореских утаја, пре свега имајући у виду наведену неуједначеност висине пореских стопа, где није постигнута хармонизација. Применом принципа дестинације у прелазном режиму пореза на додату вредност, испорука производа је ослобођена од опорезивања порезом на додату вредност уз право на умањење пореске обавезе за износ пореза на додату вредност приликом набавке производа, док се набавка производа опорезује. У циљу избегавања пореза да додату вредност, пореза на добит корпорација и пореза на доходак грађана, не пријављује се набавка производа из друге земље чланице и иста се не евидентира, нити се подноси пореска пријава, а потом роба завршава на црном тржишту. Такође се у циљу избегавања плаћања пореза сачињавају лажне фактуре према којима се приказује да је роба набављена од домаћих добављача, по вишој пореској стопи, а не од фирме друге државе чланице по нижој стопи или су производи ослобођени од плаћања пореза и остварује се право на умањење  претходно плаћеног и обрачунатог  пореза. Поред тога, може се лажно фактурисати испорука робе у другу земљу чланицу, те се тако не плаћа порез на додату вредност, а остварује се право на повраћај  претходно плаћеног пореза. Како би се закомпликовале овакве трансакције и отежало њихово откривање, укључује се већи број фирми, које учествују у набавкама, односно даљим испорукама, па се на крају испоруке врше за фирме које су изван ЕУ. Дакле, могућности за избегавање плаћања пореза су бројне. Ови случајеви потенцирају значај хармонизације пореских стопа пореза на додату вредност.</w:t>
      </w:r>
    </w:p>
    <w:p w:rsidR="002B6E12" w:rsidRDefault="002B6E12" w:rsidP="002B6E12">
      <w:pPr>
        <w:ind w:firstLine="630"/>
        <w:jc w:val="both"/>
        <w:rPr>
          <w:rFonts w:ascii="Times New Roman" w:hAnsi="Times New Roman"/>
          <w:sz w:val="24"/>
          <w:szCs w:val="24"/>
          <w:lang w:val="sr-Cyrl-CS"/>
        </w:rPr>
      </w:pPr>
      <w:r>
        <w:rPr>
          <w:rFonts w:ascii="Times New Roman" w:hAnsi="Times New Roman"/>
          <w:sz w:val="24"/>
          <w:szCs w:val="24"/>
          <w:lang w:val="sr-Cyrl-CS"/>
        </w:rPr>
        <w:t xml:space="preserve">Међутим, имајући у виду постојеће стање и разлике у пореским системима држава чланица може се поставити питање у ком обиму се уопште може постићи хармонизација и да ли је потпуна хармонизација могућа или хармонизација уопште није могућа. </w:t>
      </w:r>
    </w:p>
    <w:p w:rsidR="002B6E12" w:rsidRPr="004404BC" w:rsidRDefault="002B6E12" w:rsidP="002B6E12">
      <w:pPr>
        <w:ind w:firstLine="630"/>
        <w:jc w:val="both"/>
        <w:rPr>
          <w:rFonts w:ascii="Times New Roman" w:hAnsi="Times New Roman"/>
          <w:sz w:val="24"/>
          <w:szCs w:val="24"/>
          <w:lang w:val="sr-Cyrl-CS"/>
        </w:rPr>
      </w:pPr>
      <w:r>
        <w:rPr>
          <w:rFonts w:ascii="Times New Roman" w:hAnsi="Times New Roman"/>
          <w:sz w:val="24"/>
          <w:szCs w:val="24"/>
          <w:lang w:val="sr-Cyrl-CS"/>
        </w:rPr>
        <w:t xml:space="preserve">Између ова два крајња гледишта, могуће је и неко средње компромисно решење, према коме </w:t>
      </w:r>
      <w:r w:rsidR="00894967">
        <w:rPr>
          <w:rFonts w:ascii="Times New Roman" w:hAnsi="Times New Roman"/>
          <w:sz w:val="24"/>
          <w:szCs w:val="24"/>
          <w:lang w:val="sr-Cyrl-CS"/>
        </w:rPr>
        <w:t>се</w:t>
      </w:r>
      <w:r>
        <w:rPr>
          <w:rFonts w:ascii="Times New Roman" w:hAnsi="Times New Roman"/>
          <w:sz w:val="24"/>
          <w:szCs w:val="24"/>
          <w:lang w:val="sr-Cyrl-CS"/>
        </w:rPr>
        <w:t xml:space="preserve"> одређени порези уводе на исти начин у свим земљама у ЕУ, </w:t>
      </w:r>
      <w:r w:rsidR="00894967">
        <w:rPr>
          <w:rFonts w:ascii="Times New Roman" w:hAnsi="Times New Roman"/>
          <w:sz w:val="24"/>
          <w:szCs w:val="24"/>
          <w:lang w:val="sr-Cyrl-CS"/>
        </w:rPr>
        <w:t>при чему</w:t>
      </w:r>
      <w:r>
        <w:rPr>
          <w:rFonts w:ascii="Times New Roman" w:hAnsi="Times New Roman"/>
          <w:sz w:val="24"/>
          <w:szCs w:val="24"/>
          <w:lang w:val="sr-Cyrl-CS"/>
        </w:rPr>
        <w:t xml:space="preserve"> земље-чланице имају слободу да по свом и</w:t>
      </w:r>
      <w:r w:rsidR="00894967">
        <w:rPr>
          <w:rFonts w:ascii="Times New Roman" w:hAnsi="Times New Roman"/>
          <w:sz w:val="24"/>
          <w:szCs w:val="24"/>
          <w:lang w:val="sr-Cyrl-CS"/>
        </w:rPr>
        <w:t>збору уведу и неке друге порезе, што значи</w:t>
      </w:r>
      <w:r>
        <w:rPr>
          <w:rFonts w:ascii="Times New Roman" w:hAnsi="Times New Roman"/>
          <w:sz w:val="24"/>
          <w:szCs w:val="24"/>
          <w:lang w:val="sr-Cyrl-CS"/>
        </w:rPr>
        <w:t xml:space="preserve"> да би неки порези били хармонизовани, а други не. </w:t>
      </w:r>
      <w:r w:rsidR="00894967">
        <w:rPr>
          <w:rFonts w:ascii="Times New Roman" w:hAnsi="Times New Roman"/>
          <w:sz w:val="24"/>
          <w:szCs w:val="24"/>
          <w:lang w:val="sr-Cyrl-CS"/>
        </w:rPr>
        <w:t>Тако на пример</w:t>
      </w:r>
      <w:r>
        <w:rPr>
          <w:rFonts w:ascii="Times New Roman" w:hAnsi="Times New Roman"/>
          <w:sz w:val="24"/>
          <w:szCs w:val="24"/>
          <w:lang w:val="sr-Cyrl-CS"/>
        </w:rPr>
        <w:t xml:space="preserve">, у неким европским земљама постоје порези на нето имовину, а у другима не. </w:t>
      </w:r>
      <w:r w:rsidR="00894967">
        <w:rPr>
          <w:rFonts w:ascii="Times New Roman" w:hAnsi="Times New Roman"/>
          <w:sz w:val="24"/>
          <w:szCs w:val="24"/>
          <w:lang w:val="sr-Cyrl-CS"/>
        </w:rPr>
        <w:t xml:space="preserve">Постоје разлике и у обухватности хармонизације у вези са </w:t>
      </w:r>
      <w:r>
        <w:rPr>
          <w:rFonts w:ascii="Times New Roman" w:hAnsi="Times New Roman"/>
          <w:sz w:val="24"/>
          <w:szCs w:val="24"/>
          <w:lang w:val="sr-Cyrl-CS"/>
        </w:rPr>
        <w:t xml:space="preserve">истим порезима </w:t>
      </w:r>
      <w:r w:rsidR="00894967">
        <w:rPr>
          <w:rFonts w:ascii="Times New Roman" w:hAnsi="Times New Roman"/>
          <w:sz w:val="24"/>
          <w:szCs w:val="24"/>
          <w:lang w:val="sr-Cyrl-CS"/>
        </w:rPr>
        <w:t>које имају све земље-чланице ЕУ, као што је</w:t>
      </w:r>
      <w:r>
        <w:rPr>
          <w:rFonts w:ascii="Times New Roman" w:hAnsi="Times New Roman"/>
          <w:sz w:val="24"/>
          <w:szCs w:val="24"/>
          <w:lang w:val="sr-Cyrl-CS"/>
        </w:rPr>
        <w:t xml:space="preserve">, на пример, случај са порезом на додату вредност, порезом на добит који плаћају компаније и порезом на доходак физичких лица, које у својим пореским структурама имају све земље-чланице. </w:t>
      </w:r>
      <w:r w:rsidR="00894967">
        <w:rPr>
          <w:rFonts w:ascii="Times New Roman" w:hAnsi="Times New Roman"/>
          <w:sz w:val="24"/>
          <w:szCs w:val="24"/>
          <w:lang w:val="sr-Cyrl-CS"/>
        </w:rPr>
        <w:t>У овим случајевима</w:t>
      </w:r>
      <w:r>
        <w:rPr>
          <w:rFonts w:ascii="Times New Roman" w:hAnsi="Times New Roman"/>
          <w:sz w:val="24"/>
          <w:szCs w:val="24"/>
          <w:lang w:val="sr-Cyrl-CS"/>
        </w:rPr>
        <w:t xml:space="preserve"> постоје значајне разлике у </w:t>
      </w:r>
      <w:r>
        <w:rPr>
          <w:rFonts w:ascii="Times New Roman" w:hAnsi="Times New Roman"/>
          <w:sz w:val="24"/>
          <w:szCs w:val="24"/>
          <w:lang w:val="sr-Cyrl-CS"/>
        </w:rPr>
        <w:lastRenderedPageBreak/>
        <w:t>погледу начина на који су ови порески облици уређени у разл</w:t>
      </w:r>
      <w:r w:rsidR="00894967">
        <w:rPr>
          <w:rFonts w:ascii="Times New Roman" w:hAnsi="Times New Roman"/>
          <w:sz w:val="24"/>
          <w:szCs w:val="24"/>
          <w:lang w:val="sr-Cyrl-CS"/>
        </w:rPr>
        <w:t xml:space="preserve">ичитим земљама, што указује да се не може </w:t>
      </w:r>
      <w:r>
        <w:rPr>
          <w:rFonts w:ascii="Times New Roman" w:hAnsi="Times New Roman"/>
          <w:sz w:val="24"/>
          <w:szCs w:val="24"/>
          <w:lang w:val="sr-Cyrl-CS"/>
        </w:rPr>
        <w:t>говорити о потпуној хармонизацији.</w:t>
      </w:r>
      <w:r>
        <w:rPr>
          <w:rStyle w:val="FootnoteReference"/>
          <w:rFonts w:ascii="Times New Roman" w:hAnsi="Times New Roman"/>
          <w:sz w:val="24"/>
          <w:szCs w:val="24"/>
          <w:lang w:val="sr-Cyrl-CS"/>
        </w:rPr>
        <w:footnoteReference w:id="589"/>
      </w:r>
    </w:p>
    <w:p w:rsidR="002B6E12" w:rsidRPr="00E91281" w:rsidRDefault="002B6E12" w:rsidP="002B6E12">
      <w:pPr>
        <w:jc w:val="both"/>
        <w:rPr>
          <w:sz w:val="24"/>
          <w:szCs w:val="24"/>
          <w:lang w:val="sr-Cyrl-CS"/>
        </w:rPr>
      </w:pPr>
    </w:p>
    <w:p w:rsidR="002B6E12" w:rsidRPr="00EB3679" w:rsidRDefault="002B6E12" w:rsidP="008A3795">
      <w:pPr>
        <w:pStyle w:val="ListParagraph"/>
        <w:numPr>
          <w:ilvl w:val="0"/>
          <w:numId w:val="58"/>
        </w:numPr>
        <w:jc w:val="both"/>
        <w:rPr>
          <w:rFonts w:ascii="Times New Roman" w:hAnsi="Times New Roman"/>
          <w:b/>
          <w:i/>
          <w:sz w:val="28"/>
          <w:szCs w:val="28"/>
          <w:lang w:val="sr-Cyrl-CS"/>
        </w:rPr>
      </w:pPr>
      <w:r w:rsidRPr="00EB3679">
        <w:rPr>
          <w:rFonts w:ascii="Times New Roman" w:hAnsi="Times New Roman"/>
          <w:b/>
          <w:i/>
          <w:sz w:val="28"/>
          <w:szCs w:val="28"/>
          <w:lang w:val="sr-Cyrl-CS"/>
        </w:rPr>
        <w:t>Механизми међународне пореске евазије</w:t>
      </w:r>
    </w:p>
    <w:p w:rsidR="002B6E12" w:rsidRDefault="002B6E12" w:rsidP="002B6E12">
      <w:pPr>
        <w:pStyle w:val="ListParagraph"/>
        <w:ind w:left="1800"/>
        <w:jc w:val="both"/>
        <w:rPr>
          <w:rFonts w:ascii="Times New Roman" w:hAnsi="Times New Roman"/>
          <w:b/>
          <w:i/>
          <w:sz w:val="24"/>
          <w:szCs w:val="24"/>
          <w:lang w:val="sr-Cyrl-CS"/>
        </w:rPr>
      </w:pPr>
    </w:p>
    <w:p w:rsidR="002B6E12" w:rsidRDefault="002B6E12" w:rsidP="002B6E12">
      <w:pPr>
        <w:pStyle w:val="ListParagraph"/>
        <w:ind w:left="1800"/>
        <w:jc w:val="both"/>
        <w:rPr>
          <w:rFonts w:ascii="Times New Roman" w:hAnsi="Times New Roman"/>
          <w:b/>
          <w:i/>
          <w:sz w:val="24"/>
          <w:szCs w:val="24"/>
          <w:lang w:val="sr-Cyrl-CS"/>
        </w:rPr>
      </w:pPr>
    </w:p>
    <w:p w:rsidR="002B6E12" w:rsidRDefault="002B6E12" w:rsidP="002B6E12">
      <w:pPr>
        <w:pStyle w:val="ListParagraph"/>
        <w:ind w:left="990"/>
        <w:jc w:val="both"/>
        <w:rPr>
          <w:rFonts w:ascii="Times New Roman" w:hAnsi="Times New Roman"/>
          <w:sz w:val="24"/>
          <w:szCs w:val="24"/>
          <w:lang w:val="sr-Cyrl-CS"/>
        </w:rPr>
      </w:pPr>
    </w:p>
    <w:p w:rsidR="002B6E12" w:rsidRPr="000B4932" w:rsidRDefault="002B6E12" w:rsidP="002B6E12">
      <w:pPr>
        <w:pStyle w:val="ListParagraph"/>
        <w:ind w:left="0" w:firstLine="708"/>
        <w:jc w:val="both"/>
        <w:rPr>
          <w:rFonts w:ascii="Times New Roman" w:hAnsi="Times New Roman"/>
          <w:sz w:val="24"/>
          <w:szCs w:val="24"/>
        </w:rPr>
      </w:pPr>
      <w:r>
        <w:rPr>
          <w:rFonts w:ascii="Times New Roman" w:hAnsi="Times New Roman"/>
          <w:sz w:val="24"/>
          <w:szCs w:val="24"/>
          <w:lang w:val="sr-Cyrl-CS"/>
        </w:rPr>
        <w:t>Глобализација савременог света довела је до тога да пословање привредних субјеката није ограничено националним границама. Промет роба, капитала и услуга одвија се на међународном тржишту, а циљ је остваривање што већег профита. Битан фактор који утиче на делатност привредних субјеката јесте висина пореског терета. Он се разликује у међународним оквирима, а управо ове разлике пр</w:t>
      </w:r>
      <w:r>
        <w:rPr>
          <w:rFonts w:ascii="Times New Roman" w:hAnsi="Times New Roman"/>
          <w:sz w:val="24"/>
          <w:szCs w:val="24"/>
        </w:rPr>
        <w:t>и</w:t>
      </w:r>
      <w:r>
        <w:rPr>
          <w:rFonts w:ascii="Times New Roman" w:hAnsi="Times New Roman"/>
          <w:sz w:val="24"/>
          <w:szCs w:val="24"/>
          <w:lang w:val="sr-Cyrl-CS"/>
        </w:rPr>
        <w:t>вредни субјекти, а посебно мултинационалне компаније</w:t>
      </w:r>
      <w:r>
        <w:rPr>
          <w:rFonts w:ascii="Times New Roman" w:hAnsi="Times New Roman"/>
          <w:sz w:val="24"/>
          <w:szCs w:val="24"/>
        </w:rPr>
        <w:t>,</w:t>
      </w:r>
      <w:r>
        <w:rPr>
          <w:rFonts w:ascii="Times New Roman" w:hAnsi="Times New Roman"/>
          <w:sz w:val="24"/>
          <w:szCs w:val="24"/>
          <w:lang w:val="sr-Cyrl-CS"/>
        </w:rPr>
        <w:t xml:space="preserve"> користе како би на законит начин смањиле пореско оптерећење. Ове разлике некад су незнатне, а некад су веома велике, као у случају пореских рајева. </w:t>
      </w:r>
      <w:r>
        <w:rPr>
          <w:rFonts w:ascii="Times New Roman" w:hAnsi="Times New Roman"/>
          <w:sz w:val="24"/>
          <w:szCs w:val="24"/>
        </w:rPr>
        <w:t xml:space="preserve"> </w:t>
      </w:r>
    </w:p>
    <w:p w:rsidR="002B6E12" w:rsidRDefault="002B6E12" w:rsidP="002B6E12">
      <w:pPr>
        <w:pStyle w:val="ListParagraph"/>
        <w:ind w:left="0"/>
        <w:jc w:val="both"/>
        <w:rPr>
          <w:rFonts w:ascii="Times New Roman" w:hAnsi="Times New Roman"/>
          <w:sz w:val="24"/>
          <w:szCs w:val="24"/>
          <w:lang w:val="sr-Cyrl-CS"/>
        </w:rPr>
      </w:pPr>
    </w:p>
    <w:p w:rsidR="002B6E12" w:rsidRDefault="0009406B" w:rsidP="002B6E12">
      <w:pPr>
        <w:pStyle w:val="ListParagraph"/>
        <w:ind w:left="0" w:firstLine="708"/>
        <w:jc w:val="both"/>
        <w:rPr>
          <w:rFonts w:ascii="Times New Roman" w:hAnsi="Times New Roman"/>
          <w:sz w:val="24"/>
          <w:szCs w:val="24"/>
          <w:lang w:val="sr-Cyrl-CS"/>
        </w:rPr>
      </w:pPr>
      <w:r>
        <w:rPr>
          <w:rFonts w:ascii="Times New Roman" w:hAnsi="Times New Roman"/>
          <w:sz w:val="24"/>
          <w:szCs w:val="24"/>
          <w:lang w:val="sr-Cyrl-CS"/>
        </w:rPr>
        <w:t>П</w:t>
      </w:r>
      <w:r w:rsidR="002B6E12">
        <w:rPr>
          <w:rFonts w:ascii="Times New Roman" w:hAnsi="Times New Roman"/>
          <w:sz w:val="24"/>
          <w:szCs w:val="24"/>
          <w:lang w:val="sr-Cyrl-CS"/>
        </w:rPr>
        <w:t xml:space="preserve">овећање међународне размене </w:t>
      </w:r>
      <w:r>
        <w:rPr>
          <w:rFonts w:ascii="Times New Roman" w:hAnsi="Times New Roman"/>
          <w:sz w:val="24"/>
          <w:szCs w:val="24"/>
          <w:lang w:val="sr-Cyrl-CS"/>
        </w:rPr>
        <w:t xml:space="preserve">и ширење међународног тржишта пружају </w:t>
      </w:r>
      <w:r w:rsidR="002B6E12">
        <w:rPr>
          <w:rFonts w:ascii="Times New Roman" w:hAnsi="Times New Roman"/>
          <w:sz w:val="24"/>
          <w:szCs w:val="24"/>
          <w:lang w:val="sr-Cyrl-CS"/>
        </w:rPr>
        <w:t xml:space="preserve"> широке могућности за такво организовање пословања са циљем умањења или избегавања пореза резидентних држава. Механизми кроз које се реализују специфични облици међународне евазије пореза </w:t>
      </w:r>
      <w:r>
        <w:rPr>
          <w:rFonts w:ascii="Times New Roman" w:hAnsi="Times New Roman"/>
          <w:sz w:val="24"/>
          <w:szCs w:val="24"/>
          <w:lang w:val="sr-Cyrl-CS"/>
        </w:rPr>
        <w:t>односе се на</w:t>
      </w:r>
      <w:r w:rsidR="002B6E12">
        <w:rPr>
          <w:rFonts w:ascii="Times New Roman" w:hAnsi="Times New Roman"/>
          <w:sz w:val="24"/>
          <w:szCs w:val="24"/>
          <w:lang w:val="sr-Cyrl-CS"/>
        </w:rPr>
        <w:t xml:space="preserve"> оснивање базних компанија, трансферне цене, злоупотребу пореских спразума, начин финасирања инвестиција, off-shore компаније и друго.</w:t>
      </w:r>
      <w:r w:rsidR="002B6E12">
        <w:rPr>
          <w:rStyle w:val="FootnoteReference"/>
          <w:rFonts w:ascii="Times New Roman" w:hAnsi="Times New Roman"/>
          <w:sz w:val="24"/>
          <w:szCs w:val="24"/>
          <w:lang w:val="sr-Cyrl-CS"/>
        </w:rPr>
        <w:footnoteReference w:id="590"/>
      </w:r>
    </w:p>
    <w:p w:rsidR="002B6E12" w:rsidRDefault="002B6E12" w:rsidP="002B6E12">
      <w:pPr>
        <w:pStyle w:val="ListParagraph"/>
        <w:ind w:left="0"/>
        <w:jc w:val="both"/>
        <w:rPr>
          <w:rFonts w:ascii="Times New Roman" w:hAnsi="Times New Roman"/>
          <w:sz w:val="24"/>
          <w:szCs w:val="24"/>
          <w:lang w:val="sr-Cyrl-CS"/>
        </w:rPr>
      </w:pPr>
    </w:p>
    <w:p w:rsidR="002B6E12" w:rsidRDefault="0091697A" w:rsidP="002B6E12">
      <w:pPr>
        <w:pStyle w:val="ListParagraph"/>
        <w:ind w:left="0" w:firstLine="708"/>
        <w:jc w:val="both"/>
        <w:rPr>
          <w:rFonts w:ascii="Times New Roman" w:hAnsi="Times New Roman"/>
          <w:sz w:val="24"/>
          <w:szCs w:val="24"/>
          <w:lang w:val="sr-Cyrl-CS"/>
        </w:rPr>
      </w:pPr>
      <w:r>
        <w:rPr>
          <w:rFonts w:ascii="Times New Roman" w:hAnsi="Times New Roman"/>
          <w:sz w:val="24"/>
          <w:szCs w:val="24"/>
          <w:lang w:val="sr-Cyrl-CS"/>
        </w:rPr>
        <w:t>Према томе, у</w:t>
      </w:r>
      <w:r w:rsidR="00340E6E">
        <w:rPr>
          <w:rFonts w:ascii="Times New Roman" w:hAnsi="Times New Roman"/>
          <w:sz w:val="24"/>
          <w:szCs w:val="24"/>
          <w:lang w:val="sr-Cyrl-CS"/>
        </w:rPr>
        <w:t xml:space="preserve"> савременом свету могу се остварити значајне уштеде на међународном плану кроз коришћење разлика у пореском третману и оне се најчешће остварују кроз успостављање такве организационе структуре компанија које ће омогућити да се ове разликике најбоље искористе. У том циљу се користи међународно пореско планирање које представља стратегију остваривања минимизације пореског терета преко одговарајуће организационе структуре компаније и начина финансирања инвестиција на голобалном нивоу.</w:t>
      </w:r>
      <w:r w:rsidR="002B6E12">
        <w:rPr>
          <w:rStyle w:val="FootnoteReference"/>
          <w:rFonts w:ascii="Times New Roman" w:hAnsi="Times New Roman"/>
          <w:sz w:val="24"/>
          <w:szCs w:val="24"/>
          <w:lang w:val="sr-Cyrl-CS"/>
        </w:rPr>
        <w:footnoteReference w:id="591"/>
      </w:r>
      <w:r w:rsidR="002B6E12">
        <w:rPr>
          <w:rFonts w:ascii="Times New Roman" w:hAnsi="Times New Roman"/>
          <w:sz w:val="24"/>
          <w:szCs w:val="24"/>
          <w:lang w:val="sr-Cyrl-CS"/>
        </w:rPr>
        <w:t xml:space="preserve"> </w:t>
      </w:r>
    </w:p>
    <w:p w:rsidR="002B6E12" w:rsidRPr="000D475B" w:rsidRDefault="002B6E12" w:rsidP="002B6E12">
      <w:pPr>
        <w:pStyle w:val="ListParagraph"/>
        <w:ind w:left="0"/>
        <w:jc w:val="both"/>
        <w:rPr>
          <w:rFonts w:ascii="Times New Roman" w:hAnsi="Times New Roman"/>
          <w:sz w:val="24"/>
          <w:szCs w:val="24"/>
          <w:lang w:val="sr-Cyrl-CS"/>
        </w:rPr>
      </w:pPr>
    </w:p>
    <w:p w:rsidR="002B6E12" w:rsidRDefault="002B6E12" w:rsidP="002B6E12">
      <w:pPr>
        <w:pStyle w:val="ListParagraph"/>
        <w:ind w:left="0" w:firstLine="708"/>
        <w:jc w:val="both"/>
        <w:rPr>
          <w:rFonts w:ascii="Times New Roman" w:hAnsi="Times New Roman"/>
          <w:sz w:val="24"/>
          <w:szCs w:val="24"/>
          <w:lang w:val="sr-Cyrl-CS"/>
        </w:rPr>
      </w:pPr>
      <w:r>
        <w:rPr>
          <w:rFonts w:ascii="Times New Roman" w:hAnsi="Times New Roman"/>
          <w:sz w:val="24"/>
          <w:szCs w:val="24"/>
          <w:lang w:val="sr-Cyrl-CS"/>
        </w:rPr>
        <w:t>Према томе, пореска евазија се у међународним оквирима остварује преко различитих механизама, међу којима су: базне компаније, трансферне цене, off-shore центри, злоупотребе пореских споразума и друго.</w:t>
      </w:r>
    </w:p>
    <w:p w:rsidR="00AF6B6D" w:rsidRDefault="00AF6B6D" w:rsidP="002B6E12">
      <w:pPr>
        <w:pStyle w:val="ListParagraph"/>
        <w:ind w:left="0" w:firstLine="708"/>
        <w:jc w:val="both"/>
        <w:rPr>
          <w:rFonts w:ascii="Times New Roman" w:hAnsi="Times New Roman"/>
          <w:sz w:val="24"/>
          <w:szCs w:val="24"/>
          <w:lang w:val="sr-Cyrl-CS"/>
        </w:rPr>
      </w:pPr>
    </w:p>
    <w:p w:rsidR="00AF6B6D" w:rsidRPr="00714674" w:rsidRDefault="00AF6B6D" w:rsidP="002B6E12">
      <w:pPr>
        <w:pStyle w:val="ListParagraph"/>
        <w:ind w:left="0" w:firstLine="708"/>
        <w:jc w:val="both"/>
        <w:rPr>
          <w:rFonts w:ascii="Times New Roman" w:hAnsi="Times New Roman"/>
          <w:sz w:val="24"/>
          <w:szCs w:val="24"/>
          <w:lang w:val="sr-Cyrl-CS"/>
        </w:rPr>
      </w:pPr>
    </w:p>
    <w:p w:rsidR="002B6E12" w:rsidRDefault="002B6E12" w:rsidP="002B6E12">
      <w:pPr>
        <w:pStyle w:val="ListParagraph"/>
        <w:ind w:left="990"/>
        <w:jc w:val="both"/>
        <w:rPr>
          <w:rFonts w:ascii="Times New Roman" w:hAnsi="Times New Roman"/>
          <w:sz w:val="24"/>
          <w:szCs w:val="24"/>
          <w:lang w:val="sr-Cyrl-CS"/>
        </w:rPr>
      </w:pPr>
    </w:p>
    <w:p w:rsidR="002B6E12" w:rsidRDefault="002B6E12" w:rsidP="002B6E12">
      <w:pPr>
        <w:pStyle w:val="ListParagraph"/>
        <w:ind w:left="990"/>
        <w:jc w:val="center"/>
        <w:rPr>
          <w:rFonts w:ascii="Times New Roman" w:hAnsi="Times New Roman"/>
          <w:b/>
          <w:sz w:val="24"/>
          <w:szCs w:val="24"/>
          <w:lang w:val="sr-Cyrl-CS"/>
        </w:rPr>
      </w:pPr>
      <w:r w:rsidRPr="00347415">
        <w:rPr>
          <w:rFonts w:ascii="Times New Roman" w:hAnsi="Times New Roman"/>
          <w:b/>
          <w:sz w:val="24"/>
          <w:szCs w:val="24"/>
          <w:lang w:val="sr-Cyrl-CS"/>
        </w:rPr>
        <w:lastRenderedPageBreak/>
        <w:t>3.1</w:t>
      </w:r>
      <w:r>
        <w:rPr>
          <w:rFonts w:ascii="Times New Roman" w:hAnsi="Times New Roman"/>
          <w:sz w:val="24"/>
          <w:szCs w:val="24"/>
          <w:lang w:val="sr-Cyrl-CS"/>
        </w:rPr>
        <w:t>.</w:t>
      </w:r>
      <w:r w:rsidRPr="00347415">
        <w:rPr>
          <w:rFonts w:ascii="Times New Roman" w:hAnsi="Times New Roman"/>
          <w:b/>
          <w:sz w:val="24"/>
          <w:szCs w:val="24"/>
        </w:rPr>
        <w:t xml:space="preserve">Off-shore </w:t>
      </w:r>
      <w:r w:rsidRPr="00347415">
        <w:rPr>
          <w:rFonts w:ascii="Times New Roman" w:hAnsi="Times New Roman"/>
          <w:b/>
          <w:sz w:val="24"/>
          <w:szCs w:val="24"/>
          <w:lang w:val="sr-Cyrl-CS"/>
        </w:rPr>
        <w:t xml:space="preserve"> пословање</w:t>
      </w:r>
    </w:p>
    <w:p w:rsidR="002B6E12" w:rsidRPr="004C0699" w:rsidRDefault="002B6E12" w:rsidP="002B6E12">
      <w:pPr>
        <w:pStyle w:val="ListParagraph"/>
        <w:ind w:left="990"/>
        <w:jc w:val="center"/>
        <w:rPr>
          <w:rFonts w:ascii="Times New Roman" w:hAnsi="Times New Roman"/>
          <w:sz w:val="24"/>
          <w:szCs w:val="24"/>
        </w:rPr>
      </w:pPr>
    </w:p>
    <w:p w:rsidR="002B6E12" w:rsidRDefault="002B6E12" w:rsidP="002B6E12">
      <w:pPr>
        <w:pStyle w:val="ListParagraph"/>
        <w:ind w:left="990"/>
        <w:jc w:val="both"/>
        <w:rPr>
          <w:rFonts w:ascii="Times New Roman" w:hAnsi="Times New Roman"/>
          <w:sz w:val="24"/>
          <w:szCs w:val="24"/>
          <w:lang w:val="sr-Cyrl-CS"/>
        </w:rPr>
      </w:pPr>
    </w:p>
    <w:p w:rsidR="002B6E12" w:rsidRDefault="002B6E12" w:rsidP="002B6E12">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Глобализација савременог света је остварила најзначајнији утицај у области финансијског пословања успостављањем глобалног слободног тржишта. Мобилни фина</w:t>
      </w:r>
      <w:r w:rsidR="007551FE">
        <w:rPr>
          <w:rFonts w:ascii="Times New Roman" w:hAnsi="Times New Roman"/>
          <w:sz w:val="24"/>
          <w:szCs w:val="24"/>
          <w:lang w:val="sr-Cyrl-CS"/>
        </w:rPr>
        <w:t>н</w:t>
      </w:r>
      <w:r>
        <w:rPr>
          <w:rFonts w:ascii="Times New Roman" w:hAnsi="Times New Roman"/>
          <w:sz w:val="24"/>
          <w:szCs w:val="24"/>
          <w:lang w:val="sr-Cyrl-CS"/>
        </w:rPr>
        <w:t xml:space="preserve">сијски капитал више нема никакве баријере, а развој савремених технологија још више те баријере руши. Због тога пореске оазе са ниским или нултим пореским стопама и либералном регулацијом постају још атрактивније, при чему је загарантована тајност података. Порески рајеви имају по правилу мали број закључених пореских уговора са другим државама и у свом правном систему нуде бројне повластице па тако представљају добар избор за пословање и максимизирање профита, као и за избегавање плаћања пореза. Посебно се у овакве финансијске центре пребацује новац из земаља са корумпираним политичким руководством и мултинационалних компанија. </w:t>
      </w:r>
    </w:p>
    <w:p w:rsidR="002B6E12" w:rsidRDefault="002B6E12" w:rsidP="002B6E12">
      <w:pPr>
        <w:pStyle w:val="ListParagraph"/>
        <w:ind w:left="0" w:firstLine="630"/>
        <w:jc w:val="both"/>
        <w:rPr>
          <w:rFonts w:ascii="Times New Roman" w:hAnsi="Times New Roman"/>
          <w:sz w:val="24"/>
          <w:szCs w:val="24"/>
          <w:lang w:val="sr-Cyrl-CS"/>
        </w:rPr>
      </w:pPr>
    </w:p>
    <w:p w:rsidR="002B6E12" w:rsidRDefault="002B6E12" w:rsidP="002B6E12">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Због велике мобилности правних субјеката често долази до тога да се трансакција одвија у једној држави, а да правни субјекат има седиште у другој држави, па је тешко одредити у којој држави су дужни да плаћају порез. Међутим, у свим случајевима, без обзира да ли се тај порез плаћа у земљи где је остварена зарада или у земљи где је правни субјект резидент, могућности избегавања пореза су велике. Пре свега, због постојања разлика у пореским системима и примене различитих пореских прописа, са различитим стопама опорезивања за исте трансакције. Због великих могућности за избегавање плаћања пореза које такви услови омогућавају правни субјекти послују у више држава и настоје да региструју профит у државама са ниским пореским стопама. Ради успешнијег минимизирања пореских обавеза ангажују се стручна лица попут пореских експерата, банкара, адвоката и сл.</w:t>
      </w:r>
    </w:p>
    <w:p w:rsidR="002B6E12" w:rsidRPr="00C01568" w:rsidRDefault="002B6E12" w:rsidP="002B6E12">
      <w:pPr>
        <w:pStyle w:val="ListParagraph"/>
        <w:ind w:left="0" w:firstLine="630"/>
        <w:jc w:val="both"/>
        <w:rPr>
          <w:rFonts w:ascii="Times New Roman" w:hAnsi="Times New Roman"/>
          <w:sz w:val="24"/>
          <w:szCs w:val="24"/>
          <w:lang w:val="sr-Cyrl-CS"/>
        </w:rPr>
      </w:pPr>
    </w:p>
    <w:p w:rsidR="002B6E12" w:rsidRDefault="002B6E12" w:rsidP="002B6E12">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Заступљене су различите дефиниције и карактеристике о</w:t>
      </w:r>
      <w:r>
        <w:rPr>
          <w:rFonts w:ascii="Times New Roman" w:hAnsi="Times New Roman"/>
          <w:sz w:val="24"/>
          <w:szCs w:val="24"/>
        </w:rPr>
        <w:t>ff-shore</w:t>
      </w:r>
      <w:r>
        <w:rPr>
          <w:rFonts w:ascii="Times New Roman" w:hAnsi="Times New Roman"/>
          <w:sz w:val="24"/>
          <w:szCs w:val="24"/>
          <w:lang w:val="sr-Cyrl-CS"/>
        </w:rPr>
        <w:t xml:space="preserve"> финансијских центара. </w:t>
      </w:r>
      <w:r w:rsidR="004B1AC7">
        <w:rPr>
          <w:rFonts w:ascii="Times New Roman" w:hAnsi="Times New Roman"/>
          <w:sz w:val="24"/>
          <w:szCs w:val="24"/>
          <w:lang w:val="sr-Cyrl-CS"/>
        </w:rPr>
        <w:t>„</w:t>
      </w:r>
      <w:r>
        <w:rPr>
          <w:rFonts w:ascii="Times New Roman" w:hAnsi="Times New Roman"/>
          <w:sz w:val="24"/>
          <w:szCs w:val="24"/>
          <w:lang w:val="sr-Cyrl-CS"/>
        </w:rPr>
        <w:t>Главне карактеристике су следеће:</w:t>
      </w:r>
    </w:p>
    <w:p w:rsidR="002B6E12" w:rsidRDefault="002B6E12" w:rsidP="002B6E12">
      <w:pPr>
        <w:pStyle w:val="ListParagraph"/>
        <w:ind w:left="0" w:firstLine="630"/>
        <w:jc w:val="both"/>
        <w:rPr>
          <w:rFonts w:ascii="Times New Roman" w:hAnsi="Times New Roman"/>
          <w:sz w:val="24"/>
          <w:szCs w:val="24"/>
          <w:lang w:val="sr-Cyrl-CS"/>
        </w:rPr>
      </w:pPr>
    </w:p>
    <w:p w:rsidR="002B6E12" w:rsidRDefault="004B1AC7" w:rsidP="002B6E12">
      <w:pPr>
        <w:pStyle w:val="ListParagraph"/>
        <w:numPr>
          <w:ilvl w:val="0"/>
          <w:numId w:val="2"/>
        </w:numPr>
        <w:jc w:val="both"/>
        <w:rPr>
          <w:rFonts w:ascii="Times New Roman" w:hAnsi="Times New Roman"/>
          <w:sz w:val="24"/>
          <w:szCs w:val="24"/>
          <w:lang w:val="sr-Cyrl-CS"/>
        </w:rPr>
      </w:pPr>
      <w:r>
        <w:rPr>
          <w:rFonts w:ascii="Times New Roman" w:hAnsi="Times New Roman"/>
          <w:sz w:val="24"/>
          <w:szCs w:val="24"/>
          <w:lang w:val="sr-Cyrl-CS"/>
        </w:rPr>
        <w:t>Строга банкарска поверљивост и анонимност</w:t>
      </w:r>
      <w:r w:rsidR="002B6E12">
        <w:rPr>
          <w:rFonts w:ascii="Times New Roman" w:hAnsi="Times New Roman"/>
          <w:sz w:val="24"/>
          <w:szCs w:val="24"/>
          <w:lang w:val="sr-Cyrl-CS"/>
        </w:rPr>
        <w:t>;</w:t>
      </w:r>
    </w:p>
    <w:p w:rsidR="002B6E12" w:rsidRDefault="002B6E12" w:rsidP="002B6E12">
      <w:pPr>
        <w:pStyle w:val="ListParagraph"/>
        <w:numPr>
          <w:ilvl w:val="0"/>
          <w:numId w:val="2"/>
        </w:numPr>
        <w:jc w:val="both"/>
        <w:rPr>
          <w:rFonts w:ascii="Times New Roman" w:hAnsi="Times New Roman"/>
          <w:sz w:val="24"/>
          <w:szCs w:val="24"/>
          <w:lang w:val="sr-Cyrl-CS"/>
        </w:rPr>
      </w:pPr>
      <w:r>
        <w:rPr>
          <w:rFonts w:ascii="Times New Roman" w:hAnsi="Times New Roman"/>
          <w:sz w:val="24"/>
          <w:szCs w:val="24"/>
          <w:lang w:val="sr-Cyrl-CS"/>
        </w:rPr>
        <w:t>Ниске или нулте пореске стопе;</w:t>
      </w:r>
    </w:p>
    <w:p w:rsidR="002B6E12" w:rsidRDefault="002B6E12" w:rsidP="002B6E12">
      <w:pPr>
        <w:pStyle w:val="ListParagraph"/>
        <w:numPr>
          <w:ilvl w:val="0"/>
          <w:numId w:val="2"/>
        </w:numPr>
        <w:jc w:val="both"/>
        <w:rPr>
          <w:rFonts w:ascii="Times New Roman" w:hAnsi="Times New Roman"/>
          <w:sz w:val="24"/>
          <w:szCs w:val="24"/>
          <w:lang w:val="sr-Cyrl-CS"/>
        </w:rPr>
      </w:pPr>
      <w:r>
        <w:rPr>
          <w:rFonts w:ascii="Times New Roman" w:hAnsi="Times New Roman"/>
          <w:sz w:val="24"/>
          <w:szCs w:val="24"/>
          <w:lang w:val="sr-Cyrl-CS"/>
        </w:rPr>
        <w:t>Несразмеран финансијски удео иностране имовине и обавеза у пословању пре свега са нерезидентима;</w:t>
      </w:r>
    </w:p>
    <w:p w:rsidR="002B6E12" w:rsidRDefault="002B6E12" w:rsidP="002B6E12">
      <w:pPr>
        <w:pStyle w:val="ListParagraph"/>
        <w:numPr>
          <w:ilvl w:val="0"/>
          <w:numId w:val="2"/>
        </w:numPr>
        <w:jc w:val="both"/>
        <w:rPr>
          <w:rFonts w:ascii="Times New Roman" w:hAnsi="Times New Roman"/>
          <w:sz w:val="24"/>
          <w:szCs w:val="24"/>
          <w:lang w:val="sr-Cyrl-CS"/>
        </w:rPr>
      </w:pPr>
      <w:r>
        <w:rPr>
          <w:rFonts w:ascii="Times New Roman" w:hAnsi="Times New Roman"/>
          <w:sz w:val="24"/>
          <w:szCs w:val="24"/>
          <w:lang w:val="sr-Cyrl-CS"/>
        </w:rPr>
        <w:t>Умерена или значајнија финансијска дерегулација без сувишних бирократских послова;</w:t>
      </w:r>
    </w:p>
    <w:p w:rsidR="002B6E12" w:rsidRDefault="002B6E12" w:rsidP="002B6E12">
      <w:pPr>
        <w:pStyle w:val="ListParagraph"/>
        <w:numPr>
          <w:ilvl w:val="0"/>
          <w:numId w:val="2"/>
        </w:numPr>
        <w:jc w:val="both"/>
        <w:rPr>
          <w:rFonts w:ascii="Times New Roman" w:hAnsi="Times New Roman"/>
          <w:sz w:val="24"/>
          <w:szCs w:val="24"/>
          <w:lang w:val="sr-Cyrl-CS"/>
        </w:rPr>
      </w:pPr>
      <w:r>
        <w:rPr>
          <w:rFonts w:ascii="Times New Roman" w:hAnsi="Times New Roman"/>
          <w:sz w:val="24"/>
          <w:szCs w:val="24"/>
          <w:lang w:val="sr-Cyrl-CS"/>
        </w:rPr>
        <w:t>Недостатак транспаренстности пословања;</w:t>
      </w:r>
    </w:p>
    <w:p w:rsidR="002B6E12" w:rsidRPr="00F90F65" w:rsidRDefault="002B6E12" w:rsidP="002B6E12">
      <w:pPr>
        <w:pStyle w:val="ListParagraph"/>
        <w:numPr>
          <w:ilvl w:val="0"/>
          <w:numId w:val="2"/>
        </w:numPr>
        <w:jc w:val="both"/>
        <w:rPr>
          <w:rFonts w:ascii="Times New Roman" w:hAnsi="Times New Roman"/>
          <w:sz w:val="24"/>
          <w:szCs w:val="24"/>
          <w:lang w:val="sr-Cyrl-CS"/>
        </w:rPr>
      </w:pPr>
      <w:r>
        <w:rPr>
          <w:rFonts w:ascii="Times New Roman" w:hAnsi="Times New Roman"/>
          <w:sz w:val="24"/>
          <w:szCs w:val="24"/>
          <w:lang w:val="sr-Cyrl-CS"/>
        </w:rPr>
        <w:t>Избегавање размене пореских информација са пореским властима других земаља.</w:t>
      </w:r>
    </w:p>
    <w:p w:rsidR="002B6E12" w:rsidRPr="00F90F65" w:rsidRDefault="002B6E12" w:rsidP="002B6E12">
      <w:pPr>
        <w:ind w:firstLine="360"/>
        <w:jc w:val="both"/>
        <w:rPr>
          <w:rFonts w:ascii="Times New Roman" w:hAnsi="Times New Roman"/>
          <w:sz w:val="24"/>
          <w:szCs w:val="24"/>
          <w:lang w:val="sr-Cyrl-CS"/>
        </w:rPr>
      </w:pPr>
      <w:r w:rsidRPr="00F90F65">
        <w:rPr>
          <w:rFonts w:ascii="Times New Roman" w:hAnsi="Times New Roman"/>
          <w:sz w:val="24"/>
          <w:szCs w:val="24"/>
          <w:lang w:val="sr-Cyrl-CS"/>
        </w:rPr>
        <w:t>Следом наведених обележја можемо закључити да је о</w:t>
      </w:r>
      <w:r w:rsidRPr="00F90F65">
        <w:rPr>
          <w:rFonts w:ascii="Times New Roman" w:hAnsi="Times New Roman"/>
          <w:sz w:val="24"/>
          <w:szCs w:val="24"/>
        </w:rPr>
        <w:t>ff-shore</w:t>
      </w:r>
      <w:r w:rsidRPr="00F90F65">
        <w:rPr>
          <w:rFonts w:ascii="Times New Roman" w:hAnsi="Times New Roman"/>
          <w:sz w:val="24"/>
          <w:szCs w:val="24"/>
          <w:lang w:val="sr-Cyrl-CS"/>
        </w:rPr>
        <w:t xml:space="preserve"> финансијски центар подручје изван јурисдикције појединих држава где, под условом минималних или непостојећих пореских стопа, изузетно либералних прописа и потпуне анонимности, мултинационалне банке, корпорације и појединци страних држава пребацују своје </w:t>
      </w:r>
      <w:r w:rsidRPr="00F90F65">
        <w:rPr>
          <w:rFonts w:ascii="Times New Roman" w:hAnsi="Times New Roman"/>
          <w:sz w:val="24"/>
          <w:szCs w:val="24"/>
          <w:lang w:val="sr-Cyrl-CS"/>
        </w:rPr>
        <w:lastRenderedPageBreak/>
        <w:t>послове, путем отварања филијала и рачуна, стварајући велику несразмеру између финансијског и осталих сектора, те чији је велики број финансиј</w:t>
      </w:r>
      <w:r>
        <w:rPr>
          <w:rFonts w:ascii="Times New Roman" w:hAnsi="Times New Roman"/>
          <w:sz w:val="24"/>
          <w:szCs w:val="24"/>
          <w:lang w:val="sr-Cyrl-CS"/>
        </w:rPr>
        <w:t>с</w:t>
      </w:r>
      <w:r w:rsidRPr="00F90F65">
        <w:rPr>
          <w:rFonts w:ascii="Times New Roman" w:hAnsi="Times New Roman"/>
          <w:sz w:val="24"/>
          <w:szCs w:val="24"/>
          <w:lang w:val="sr-Cyrl-CS"/>
        </w:rPr>
        <w:t>ких институција примарно на услузи нерезидентима.</w:t>
      </w:r>
      <w:r w:rsidR="004B1AC7">
        <w:rPr>
          <w:rFonts w:ascii="Times New Roman" w:hAnsi="Times New Roman"/>
          <w:sz w:val="24"/>
          <w:szCs w:val="24"/>
          <w:lang w:val="sr-Cyrl-CS"/>
        </w:rPr>
        <w:t>“</w:t>
      </w:r>
      <w:r w:rsidRPr="00F90F65">
        <w:rPr>
          <w:rStyle w:val="FootnoteReference"/>
          <w:rFonts w:ascii="Times New Roman" w:hAnsi="Times New Roman"/>
          <w:sz w:val="24"/>
          <w:szCs w:val="24"/>
          <w:lang w:val="sr-Cyrl-CS"/>
        </w:rPr>
        <w:t xml:space="preserve"> </w:t>
      </w:r>
      <w:r>
        <w:rPr>
          <w:rStyle w:val="FootnoteReference"/>
          <w:rFonts w:ascii="Times New Roman" w:hAnsi="Times New Roman"/>
          <w:sz w:val="24"/>
          <w:szCs w:val="24"/>
          <w:lang w:val="sr-Cyrl-CS"/>
        </w:rPr>
        <w:footnoteReference w:id="592"/>
      </w:r>
    </w:p>
    <w:p w:rsidR="002B6E12" w:rsidRPr="00F90F65" w:rsidRDefault="002B6E12" w:rsidP="002B6E12">
      <w:pPr>
        <w:ind w:firstLine="360"/>
        <w:jc w:val="both"/>
        <w:rPr>
          <w:rFonts w:ascii="Times New Roman" w:hAnsi="Times New Roman"/>
          <w:sz w:val="24"/>
          <w:szCs w:val="24"/>
          <w:lang w:val="sr-Cyrl-CS"/>
        </w:rPr>
      </w:pPr>
      <w:r w:rsidRPr="00F90F65">
        <w:rPr>
          <w:rFonts w:ascii="Times New Roman" w:hAnsi="Times New Roman"/>
          <w:sz w:val="24"/>
          <w:szCs w:val="24"/>
          <w:lang w:val="sr-Cyrl-CS"/>
        </w:rPr>
        <w:t xml:space="preserve">При том,  </w:t>
      </w:r>
      <w:r w:rsidR="00957938">
        <w:rPr>
          <w:rFonts w:ascii="Times New Roman" w:hAnsi="Times New Roman"/>
          <w:sz w:val="24"/>
          <w:szCs w:val="24"/>
          <w:lang w:val="sr-Cyrl-CS"/>
        </w:rPr>
        <w:t xml:space="preserve">треба правити разлику између </w:t>
      </w:r>
      <w:r w:rsidRPr="00F90F65">
        <w:rPr>
          <w:rFonts w:ascii="Times New Roman" w:hAnsi="Times New Roman"/>
          <w:sz w:val="24"/>
          <w:szCs w:val="24"/>
          <w:lang w:val="sr-Cyrl-CS"/>
        </w:rPr>
        <w:t>о</w:t>
      </w:r>
      <w:r w:rsidRPr="00F90F65">
        <w:rPr>
          <w:rFonts w:ascii="Times New Roman" w:hAnsi="Times New Roman"/>
          <w:sz w:val="24"/>
          <w:szCs w:val="24"/>
        </w:rPr>
        <w:t>ff</w:t>
      </w:r>
      <w:r w:rsidRPr="00F90F65">
        <w:rPr>
          <w:rFonts w:ascii="Times New Roman" w:hAnsi="Times New Roman"/>
          <w:sz w:val="24"/>
          <w:szCs w:val="24"/>
          <w:lang w:val="sr-Cyrl-CS"/>
        </w:rPr>
        <w:t>-</w:t>
      </w:r>
      <w:r w:rsidRPr="00F90F65">
        <w:rPr>
          <w:rFonts w:ascii="Times New Roman" w:hAnsi="Times New Roman"/>
          <w:sz w:val="24"/>
          <w:szCs w:val="24"/>
        </w:rPr>
        <w:t>shore финансијски</w:t>
      </w:r>
      <w:r w:rsidR="00957938">
        <w:rPr>
          <w:rFonts w:ascii="Times New Roman" w:hAnsi="Times New Roman"/>
          <w:sz w:val="24"/>
          <w:szCs w:val="24"/>
          <w:lang w:val="sr-Cyrl-CS"/>
        </w:rPr>
        <w:t>х</w:t>
      </w:r>
      <w:r w:rsidR="00957938">
        <w:rPr>
          <w:rFonts w:ascii="Times New Roman" w:hAnsi="Times New Roman"/>
          <w:sz w:val="24"/>
          <w:szCs w:val="24"/>
        </w:rPr>
        <w:t xml:space="preserve"> цент</w:t>
      </w:r>
      <w:r w:rsidR="00957938">
        <w:rPr>
          <w:rFonts w:ascii="Times New Roman" w:hAnsi="Times New Roman"/>
          <w:sz w:val="24"/>
          <w:szCs w:val="24"/>
          <w:lang w:val="sr-Cyrl-CS"/>
        </w:rPr>
        <w:t>ара</w:t>
      </w:r>
      <w:r w:rsidRPr="00F90F65">
        <w:rPr>
          <w:rFonts w:ascii="Times New Roman" w:hAnsi="Times New Roman"/>
          <w:sz w:val="24"/>
          <w:szCs w:val="24"/>
        </w:rPr>
        <w:t xml:space="preserve"> и порески</w:t>
      </w:r>
      <w:r w:rsidR="00957938">
        <w:rPr>
          <w:rFonts w:ascii="Times New Roman" w:hAnsi="Times New Roman"/>
          <w:sz w:val="24"/>
          <w:szCs w:val="24"/>
          <w:lang w:val="sr-Cyrl-CS"/>
        </w:rPr>
        <w:t>х</w:t>
      </w:r>
      <w:r w:rsidR="00957938">
        <w:rPr>
          <w:rFonts w:ascii="Times New Roman" w:hAnsi="Times New Roman"/>
          <w:sz w:val="24"/>
          <w:szCs w:val="24"/>
        </w:rPr>
        <w:t xml:space="preserve"> рајев</w:t>
      </w:r>
      <w:r w:rsidR="00957938">
        <w:rPr>
          <w:rFonts w:ascii="Times New Roman" w:hAnsi="Times New Roman"/>
          <w:sz w:val="24"/>
          <w:szCs w:val="24"/>
          <w:lang w:val="sr-Cyrl-CS"/>
        </w:rPr>
        <w:t xml:space="preserve">а јер се </w:t>
      </w:r>
      <w:r w:rsidRPr="00F90F65">
        <w:rPr>
          <w:rFonts w:ascii="Times New Roman" w:hAnsi="Times New Roman"/>
          <w:sz w:val="24"/>
          <w:szCs w:val="24"/>
          <w:lang w:val="sr-Cyrl-CS"/>
        </w:rPr>
        <w:t xml:space="preserve">ради се о различитим феноменима. </w:t>
      </w:r>
      <w:r w:rsidRPr="00F90F65">
        <w:rPr>
          <w:rFonts w:ascii="Times New Roman" w:hAnsi="Times New Roman"/>
          <w:sz w:val="24"/>
          <w:szCs w:val="24"/>
        </w:rPr>
        <w:t>Off-shore</w:t>
      </w:r>
      <w:r w:rsidRPr="00F90F65">
        <w:rPr>
          <w:rFonts w:ascii="Times New Roman" w:hAnsi="Times New Roman"/>
          <w:sz w:val="24"/>
          <w:szCs w:val="24"/>
          <w:lang w:val="sr-Cyrl-CS"/>
        </w:rPr>
        <w:t xml:space="preserve"> </w:t>
      </w:r>
      <w:r w:rsidR="00957938">
        <w:rPr>
          <w:rFonts w:ascii="Times New Roman" w:hAnsi="Times New Roman"/>
          <w:sz w:val="24"/>
          <w:szCs w:val="24"/>
          <w:lang w:val="sr-Cyrl-CS"/>
        </w:rPr>
        <w:t>представља</w:t>
      </w:r>
      <w:r w:rsidRPr="00F90F65">
        <w:rPr>
          <w:rFonts w:ascii="Times New Roman" w:hAnsi="Times New Roman"/>
          <w:sz w:val="24"/>
          <w:szCs w:val="24"/>
          <w:lang w:val="sr-Cyrl-CS"/>
        </w:rPr>
        <w:t xml:space="preserve"> правно подручје на коме се раздваја реално и правно место одвијања економске трансакције са циљем да се избегну неки, а по могућности више облика правне регулативе (пореска, финансијска, итд)</w:t>
      </w:r>
      <w:r>
        <w:rPr>
          <w:rFonts w:ascii="Times New Roman" w:hAnsi="Times New Roman"/>
          <w:sz w:val="24"/>
          <w:szCs w:val="24"/>
          <w:lang w:val="sr-Cyrl-CS"/>
        </w:rPr>
        <w:t>.</w:t>
      </w:r>
      <w:r w:rsidRPr="00F90F65">
        <w:rPr>
          <w:rFonts w:ascii="Times New Roman" w:hAnsi="Times New Roman"/>
          <w:sz w:val="24"/>
          <w:szCs w:val="24"/>
          <w:lang w:val="sr-Cyrl-CS"/>
        </w:rPr>
        <w:t xml:space="preserve"> </w:t>
      </w:r>
      <w:r w:rsidR="00957938">
        <w:rPr>
          <w:rFonts w:ascii="Times New Roman" w:hAnsi="Times New Roman"/>
          <w:sz w:val="24"/>
          <w:szCs w:val="24"/>
          <w:lang w:val="sr-Cyrl-CS"/>
        </w:rPr>
        <w:t>При том,</w:t>
      </w:r>
      <w:r w:rsidRPr="00F90F65">
        <w:rPr>
          <w:rFonts w:ascii="Times New Roman" w:hAnsi="Times New Roman"/>
          <w:sz w:val="24"/>
          <w:szCs w:val="24"/>
          <w:lang w:val="sr-Cyrl-CS"/>
        </w:rPr>
        <w:t xml:space="preserve"> постоје </w:t>
      </w:r>
      <w:r w:rsidR="0050595E" w:rsidRPr="00F90F65">
        <w:rPr>
          <w:rFonts w:ascii="Times New Roman" w:hAnsi="Times New Roman"/>
          <w:sz w:val="24"/>
          <w:szCs w:val="24"/>
          <w:lang w:val="sr-Cyrl-CS"/>
        </w:rPr>
        <w:t>о</w:t>
      </w:r>
      <w:r w:rsidR="0050595E" w:rsidRPr="00F90F65">
        <w:rPr>
          <w:rFonts w:ascii="Times New Roman" w:hAnsi="Times New Roman"/>
          <w:sz w:val="24"/>
          <w:szCs w:val="24"/>
        </w:rPr>
        <w:t>ff</w:t>
      </w:r>
      <w:r w:rsidR="0050595E" w:rsidRPr="00F90F65">
        <w:rPr>
          <w:rFonts w:ascii="Times New Roman" w:hAnsi="Times New Roman"/>
          <w:sz w:val="24"/>
          <w:szCs w:val="24"/>
          <w:lang w:val="sr-Cyrl-CS"/>
        </w:rPr>
        <w:t>-</w:t>
      </w:r>
      <w:r w:rsidR="0050595E" w:rsidRPr="00F90F65">
        <w:rPr>
          <w:rFonts w:ascii="Times New Roman" w:hAnsi="Times New Roman"/>
          <w:sz w:val="24"/>
          <w:szCs w:val="24"/>
        </w:rPr>
        <w:t>shore</w:t>
      </w:r>
      <w:r w:rsidRPr="00F90F65">
        <w:rPr>
          <w:rFonts w:ascii="Times New Roman" w:hAnsi="Times New Roman"/>
          <w:sz w:val="24"/>
          <w:szCs w:val="24"/>
          <w:lang w:val="sr-Cyrl-CS"/>
        </w:rPr>
        <w:t xml:space="preserve"> финансијски центри који могу бити лоцирани п</w:t>
      </w:r>
      <w:r w:rsidR="00957938">
        <w:rPr>
          <w:rFonts w:ascii="Times New Roman" w:hAnsi="Times New Roman"/>
          <w:sz w:val="24"/>
          <w:szCs w:val="24"/>
          <w:lang w:val="sr-Cyrl-CS"/>
        </w:rPr>
        <w:t>рактично у свакој земљи са</w:t>
      </w:r>
      <w:r>
        <w:rPr>
          <w:rFonts w:ascii="Times New Roman" w:hAnsi="Times New Roman"/>
          <w:sz w:val="24"/>
          <w:szCs w:val="24"/>
          <w:lang w:val="sr-Cyrl-CS"/>
        </w:rPr>
        <w:t xml:space="preserve"> </w:t>
      </w:r>
      <w:r w:rsidR="00957938">
        <w:rPr>
          <w:rFonts w:ascii="Times New Roman" w:hAnsi="Times New Roman"/>
          <w:sz w:val="24"/>
          <w:szCs w:val="24"/>
          <w:lang w:val="sr-Cyrl-CS"/>
        </w:rPr>
        <w:t>улогом да</w:t>
      </w:r>
      <w:r>
        <w:rPr>
          <w:rFonts w:ascii="Times New Roman" w:hAnsi="Times New Roman"/>
          <w:sz w:val="24"/>
          <w:szCs w:val="24"/>
          <w:lang w:val="sr-Cyrl-CS"/>
        </w:rPr>
        <w:t xml:space="preserve"> нуде финансијске</w:t>
      </w:r>
      <w:r w:rsidRPr="00F90F65">
        <w:rPr>
          <w:rFonts w:ascii="Times New Roman" w:hAnsi="Times New Roman"/>
          <w:sz w:val="24"/>
          <w:szCs w:val="24"/>
          <w:lang w:val="sr-Cyrl-CS"/>
        </w:rPr>
        <w:t xml:space="preserve"> услуге својим нерезидентним клијентима са основном намером да се избегне правна ре</w:t>
      </w:r>
      <w:r w:rsidR="00957938">
        <w:rPr>
          <w:rFonts w:ascii="Times New Roman" w:hAnsi="Times New Roman"/>
          <w:sz w:val="24"/>
          <w:szCs w:val="24"/>
          <w:lang w:val="sr-Cyrl-CS"/>
        </w:rPr>
        <w:t>гулатива њихове домицилне земље и о</w:t>
      </w:r>
      <w:r w:rsidRPr="00F90F65">
        <w:rPr>
          <w:rFonts w:ascii="Times New Roman" w:hAnsi="Times New Roman"/>
          <w:sz w:val="24"/>
          <w:szCs w:val="24"/>
          <w:lang w:val="sr-Cyrl-CS"/>
        </w:rPr>
        <w:t xml:space="preserve">ни служе да помогну правној и књиговодственој евиденцији активности компанија и појединаца у пореским рајевима, али су по правилу лоцирани у развијеним земљама. </w:t>
      </w:r>
      <w:r w:rsidR="00957938">
        <w:rPr>
          <w:rFonts w:ascii="Times New Roman" w:hAnsi="Times New Roman"/>
          <w:sz w:val="24"/>
          <w:szCs w:val="24"/>
          <w:lang w:val="sr-Cyrl-CS"/>
        </w:rPr>
        <w:t>То је због тога што захтевају</w:t>
      </w:r>
      <w:r w:rsidRPr="00F90F65">
        <w:rPr>
          <w:rFonts w:ascii="Times New Roman" w:hAnsi="Times New Roman"/>
          <w:sz w:val="24"/>
          <w:szCs w:val="24"/>
          <w:lang w:val="sr-Cyrl-CS"/>
        </w:rPr>
        <w:t xml:space="preserve"> велики бр</w:t>
      </w:r>
      <w:r w:rsidR="00957938">
        <w:rPr>
          <w:rFonts w:ascii="Times New Roman" w:hAnsi="Times New Roman"/>
          <w:sz w:val="24"/>
          <w:szCs w:val="24"/>
          <w:lang w:val="sr-Cyrl-CS"/>
        </w:rPr>
        <w:t>ој високостручних</w:t>
      </w:r>
      <w:r w:rsidRPr="00F90F65">
        <w:rPr>
          <w:rFonts w:ascii="Times New Roman" w:hAnsi="Times New Roman"/>
          <w:sz w:val="24"/>
          <w:szCs w:val="24"/>
          <w:lang w:val="sr-Cyrl-CS"/>
        </w:rPr>
        <w:t xml:space="preserve"> и високоспецијализованих професионалаца које је, по правилу барем на почетку, тешко окупити на некој од егзотичних локација за које се обично претпоставља да се на њима налазе порески рајеви. Порески рајеви </w:t>
      </w:r>
      <w:r w:rsidR="00957938">
        <w:rPr>
          <w:rFonts w:ascii="Times New Roman" w:hAnsi="Times New Roman"/>
          <w:sz w:val="24"/>
          <w:szCs w:val="24"/>
          <w:lang w:val="sr-Cyrl-CS"/>
        </w:rPr>
        <w:t>су настали</w:t>
      </w:r>
      <w:r w:rsidRPr="00F90F65">
        <w:rPr>
          <w:rFonts w:ascii="Times New Roman" w:hAnsi="Times New Roman"/>
          <w:sz w:val="24"/>
          <w:szCs w:val="24"/>
          <w:lang w:val="sr-Cyrl-CS"/>
        </w:rPr>
        <w:t xml:space="preserve"> почетком двадесетог века </w:t>
      </w:r>
      <w:r w:rsidR="00957938">
        <w:rPr>
          <w:rFonts w:ascii="Times New Roman" w:hAnsi="Times New Roman"/>
          <w:sz w:val="24"/>
          <w:szCs w:val="24"/>
          <w:lang w:val="sr-Cyrl-CS"/>
        </w:rPr>
        <w:t>превасходно</w:t>
      </w:r>
      <w:r w:rsidRPr="00F90F65">
        <w:rPr>
          <w:rFonts w:ascii="Times New Roman" w:hAnsi="Times New Roman"/>
          <w:sz w:val="24"/>
          <w:szCs w:val="24"/>
          <w:lang w:val="sr-Cyrl-CS"/>
        </w:rPr>
        <w:t xml:space="preserve"> са циљем избегавања и утаје пореза. </w:t>
      </w:r>
      <w:r w:rsidR="00957938">
        <w:rPr>
          <w:rFonts w:ascii="Times New Roman" w:hAnsi="Times New Roman"/>
          <w:sz w:val="24"/>
          <w:szCs w:val="24"/>
          <w:lang w:val="sr-Cyrl-CS"/>
        </w:rPr>
        <w:t>За разлику од њих</w:t>
      </w:r>
      <w:r w:rsidRPr="00F90F65">
        <w:rPr>
          <w:rFonts w:ascii="Times New Roman" w:hAnsi="Times New Roman"/>
          <w:sz w:val="24"/>
          <w:szCs w:val="24"/>
          <w:lang w:val="sr-Cyrl-CS"/>
        </w:rPr>
        <w:t xml:space="preserve"> термин „офшор финансијски центар“ се углавном користи за финансијске центре који су специјализовани за финансијске операције нерезидената. </w:t>
      </w:r>
      <w:r w:rsidR="00957938">
        <w:rPr>
          <w:rFonts w:ascii="Times New Roman" w:hAnsi="Times New Roman"/>
          <w:sz w:val="24"/>
          <w:szCs w:val="24"/>
          <w:lang w:val="sr-Cyrl-CS"/>
        </w:rPr>
        <w:t>Највећи</w:t>
      </w:r>
      <w:r w:rsidRPr="00F90F65">
        <w:rPr>
          <w:rFonts w:ascii="Times New Roman" w:hAnsi="Times New Roman"/>
          <w:sz w:val="24"/>
          <w:szCs w:val="24"/>
          <w:lang w:val="sr-Cyrl-CS"/>
        </w:rPr>
        <w:t xml:space="preserve"> офшор финансијски центар је Лондон али и International Banking Facilities у САД и јапанско </w:t>
      </w:r>
      <w:r w:rsidRPr="00F90F65">
        <w:rPr>
          <w:rFonts w:ascii="Times New Roman" w:hAnsi="Times New Roman"/>
          <w:sz w:val="24"/>
          <w:szCs w:val="24"/>
        </w:rPr>
        <w:t>off-shore</w:t>
      </w:r>
      <w:r w:rsidRPr="00F90F65">
        <w:rPr>
          <w:rFonts w:ascii="Times New Roman" w:hAnsi="Times New Roman"/>
          <w:sz w:val="24"/>
          <w:szCs w:val="24"/>
          <w:lang w:val="sr-Cyrl-CS"/>
        </w:rPr>
        <w:t xml:space="preserve"> тржиште. </w:t>
      </w:r>
      <w:r w:rsidR="00957938">
        <w:rPr>
          <w:rFonts w:ascii="Times New Roman" w:hAnsi="Times New Roman"/>
          <w:sz w:val="24"/>
          <w:szCs w:val="24"/>
          <w:lang w:val="sr-Cyrl-CS"/>
        </w:rPr>
        <w:t>Али, треба напоменути да су и</w:t>
      </w:r>
      <w:r w:rsidRPr="00F90F65">
        <w:rPr>
          <w:rFonts w:ascii="Times New Roman" w:hAnsi="Times New Roman"/>
          <w:sz w:val="24"/>
          <w:szCs w:val="24"/>
          <w:lang w:val="sr-Cyrl-CS"/>
        </w:rPr>
        <w:t xml:space="preserve"> неки порески рајеви настојали</w:t>
      </w:r>
      <w:r w:rsidR="00957938">
        <w:rPr>
          <w:rFonts w:ascii="Times New Roman" w:hAnsi="Times New Roman"/>
          <w:sz w:val="24"/>
          <w:szCs w:val="24"/>
          <w:lang w:val="sr-Cyrl-CS"/>
        </w:rPr>
        <w:t>,</w:t>
      </w:r>
      <w:r w:rsidRPr="00F90F65">
        <w:rPr>
          <w:rFonts w:ascii="Times New Roman" w:hAnsi="Times New Roman"/>
          <w:sz w:val="24"/>
          <w:szCs w:val="24"/>
          <w:lang w:val="sr-Cyrl-CS"/>
        </w:rPr>
        <w:t xml:space="preserve"> </w:t>
      </w:r>
      <w:r w:rsidR="00957938">
        <w:rPr>
          <w:rFonts w:ascii="Times New Roman" w:hAnsi="Times New Roman"/>
          <w:sz w:val="24"/>
          <w:szCs w:val="24"/>
          <w:lang w:val="sr-Cyrl-CS"/>
        </w:rPr>
        <w:t>имајући у виду</w:t>
      </w:r>
      <w:r w:rsidRPr="00F90F65">
        <w:rPr>
          <w:rFonts w:ascii="Times New Roman" w:hAnsi="Times New Roman"/>
          <w:sz w:val="24"/>
          <w:szCs w:val="24"/>
          <w:lang w:val="sr-Cyrl-CS"/>
        </w:rPr>
        <w:t xml:space="preserve"> обим операција који би се у њима потенцијално могао одвијати</w:t>
      </w:r>
      <w:r w:rsidR="00957938">
        <w:rPr>
          <w:rFonts w:ascii="Times New Roman" w:hAnsi="Times New Roman"/>
          <w:sz w:val="24"/>
          <w:szCs w:val="24"/>
          <w:lang w:val="sr-Cyrl-CS"/>
        </w:rPr>
        <w:t>,</w:t>
      </w:r>
      <w:r w:rsidRPr="00F90F65">
        <w:rPr>
          <w:rFonts w:ascii="Times New Roman" w:hAnsi="Times New Roman"/>
          <w:sz w:val="24"/>
          <w:szCs w:val="24"/>
          <w:lang w:val="sr-Cyrl-CS"/>
        </w:rPr>
        <w:t xml:space="preserve"> да се развију и у </w:t>
      </w:r>
      <w:r w:rsidRPr="00F90F65">
        <w:rPr>
          <w:rFonts w:ascii="Times New Roman" w:hAnsi="Times New Roman"/>
          <w:sz w:val="24"/>
          <w:szCs w:val="24"/>
        </w:rPr>
        <w:t xml:space="preserve">off-shore </w:t>
      </w:r>
      <w:r w:rsidRPr="00F90F65">
        <w:rPr>
          <w:rFonts w:ascii="Times New Roman" w:hAnsi="Times New Roman"/>
          <w:sz w:val="24"/>
          <w:szCs w:val="24"/>
          <w:lang w:val="sr-Cyrl-CS"/>
        </w:rPr>
        <w:t>финансијске центре.</w:t>
      </w:r>
      <w:r>
        <w:rPr>
          <w:rStyle w:val="FootnoteReference"/>
          <w:rFonts w:ascii="Times New Roman" w:hAnsi="Times New Roman"/>
          <w:sz w:val="24"/>
          <w:szCs w:val="24"/>
          <w:lang w:val="sr-Cyrl-CS"/>
        </w:rPr>
        <w:footnoteReference w:id="593"/>
      </w:r>
      <w:r>
        <w:rPr>
          <w:rFonts w:ascii="Times New Roman" w:hAnsi="Times New Roman"/>
          <w:sz w:val="24"/>
          <w:szCs w:val="24"/>
          <w:lang w:val="sr-Cyrl-CS"/>
        </w:rPr>
        <w:t xml:space="preserve"> </w:t>
      </w:r>
      <w:r w:rsidR="0050595E">
        <w:rPr>
          <w:rFonts w:ascii="Times New Roman" w:hAnsi="Times New Roman"/>
          <w:sz w:val="24"/>
          <w:szCs w:val="24"/>
          <w:lang w:val="sr-Cyrl-CS"/>
        </w:rPr>
        <w:t xml:space="preserve"> </w:t>
      </w:r>
    </w:p>
    <w:p w:rsidR="002B6E12" w:rsidRDefault="002B6E12" w:rsidP="002B6E12">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 xml:space="preserve">Најчешћи облик пословања у </w:t>
      </w:r>
      <w:r>
        <w:rPr>
          <w:rFonts w:ascii="Times New Roman" w:hAnsi="Times New Roman"/>
          <w:sz w:val="24"/>
          <w:szCs w:val="24"/>
        </w:rPr>
        <w:t>off-shore</w:t>
      </w:r>
      <w:r>
        <w:rPr>
          <w:rFonts w:ascii="Times New Roman" w:hAnsi="Times New Roman"/>
          <w:sz w:val="24"/>
          <w:szCs w:val="24"/>
          <w:lang w:val="sr-Cyrl-CS"/>
        </w:rPr>
        <w:t xml:space="preserve"> финансијским центрима је формирање офшор компанија, мада се пословање у пракси обавља и у форми трустова, фондација или офшор друштава. Предности које пружа пословање преко офшор компанија су бројне</w:t>
      </w:r>
      <w:r>
        <w:rPr>
          <w:rFonts w:ascii="Times New Roman" w:hAnsi="Times New Roman"/>
          <w:sz w:val="24"/>
          <w:szCs w:val="24"/>
        </w:rPr>
        <w:t xml:space="preserve"> попут анонимности, могућност</w:t>
      </w:r>
      <w:r w:rsidR="00D837B6">
        <w:rPr>
          <w:rFonts w:ascii="Times New Roman" w:hAnsi="Times New Roman"/>
          <w:sz w:val="24"/>
          <w:szCs w:val="24"/>
          <w:lang w:val="sr-Cyrl-CS"/>
        </w:rPr>
        <w:t>и</w:t>
      </w:r>
      <w:r>
        <w:rPr>
          <w:rFonts w:ascii="Times New Roman" w:hAnsi="Times New Roman"/>
          <w:sz w:val="24"/>
          <w:szCs w:val="24"/>
        </w:rPr>
        <w:t xml:space="preserve"> отварања нерезидентних рачуна у банкама других земаља, једноставно</w:t>
      </w:r>
      <w:r>
        <w:rPr>
          <w:rFonts w:ascii="Times New Roman" w:hAnsi="Times New Roman"/>
          <w:sz w:val="24"/>
          <w:szCs w:val="24"/>
          <w:lang w:val="sr-Cyrl-CS"/>
        </w:rPr>
        <w:t>ст</w:t>
      </w:r>
      <w:r>
        <w:rPr>
          <w:rFonts w:ascii="Times New Roman" w:hAnsi="Times New Roman"/>
          <w:sz w:val="24"/>
          <w:szCs w:val="24"/>
        </w:rPr>
        <w:t xml:space="preserve"> оснивања, </w:t>
      </w:r>
      <w:r>
        <w:rPr>
          <w:rFonts w:ascii="Times New Roman" w:hAnsi="Times New Roman"/>
          <w:sz w:val="24"/>
          <w:szCs w:val="24"/>
          <w:lang w:val="sr-Cyrl-CS"/>
        </w:rPr>
        <w:t xml:space="preserve">али разлози </w:t>
      </w:r>
      <w:r w:rsidR="000D2D2B">
        <w:rPr>
          <w:rFonts w:ascii="Times New Roman" w:hAnsi="Times New Roman"/>
          <w:sz w:val="24"/>
          <w:szCs w:val="24"/>
          <w:lang w:val="sr-Cyrl-CS"/>
        </w:rPr>
        <w:t>су</w:t>
      </w:r>
      <w:r>
        <w:rPr>
          <w:rFonts w:ascii="Times New Roman" w:hAnsi="Times New Roman"/>
          <w:sz w:val="24"/>
          <w:szCs w:val="24"/>
          <w:lang w:val="sr-Cyrl-CS"/>
        </w:rPr>
        <w:t xml:space="preserve"> често </w:t>
      </w:r>
      <w:r w:rsidR="000D2D2B">
        <w:rPr>
          <w:rFonts w:ascii="Times New Roman" w:hAnsi="Times New Roman"/>
          <w:sz w:val="24"/>
          <w:szCs w:val="24"/>
          <w:lang w:val="sr-Cyrl-CS"/>
        </w:rPr>
        <w:t>и</w:t>
      </w:r>
      <w:r>
        <w:rPr>
          <w:rFonts w:ascii="Times New Roman" w:hAnsi="Times New Roman"/>
          <w:sz w:val="24"/>
          <w:szCs w:val="24"/>
          <w:lang w:val="sr-Cyrl-CS"/>
        </w:rPr>
        <w:t xml:space="preserve"> избегавање плаћања пореза, прање новца и повезаност са организованим криминалом. </w:t>
      </w:r>
    </w:p>
    <w:p w:rsidR="002B6E12" w:rsidRDefault="002B6E12" w:rsidP="002B6E12">
      <w:pPr>
        <w:pStyle w:val="ListParagraph"/>
        <w:ind w:left="0" w:firstLine="630"/>
        <w:jc w:val="both"/>
        <w:rPr>
          <w:rFonts w:ascii="Times New Roman" w:hAnsi="Times New Roman"/>
          <w:sz w:val="24"/>
          <w:szCs w:val="24"/>
          <w:lang w:val="sr-Cyrl-CS"/>
        </w:rPr>
      </w:pPr>
    </w:p>
    <w:p w:rsidR="002B6E12" w:rsidRDefault="002B6E12" w:rsidP="002B6E12">
      <w:pPr>
        <w:pStyle w:val="ListParagraph"/>
        <w:ind w:left="0" w:firstLine="360"/>
        <w:jc w:val="both"/>
        <w:rPr>
          <w:rFonts w:ascii="Times New Roman" w:hAnsi="Times New Roman"/>
          <w:sz w:val="24"/>
          <w:szCs w:val="24"/>
          <w:lang w:val="sr-Cyrl-CS"/>
        </w:rPr>
      </w:pPr>
      <w:r>
        <w:rPr>
          <w:rFonts w:ascii="Times New Roman" w:hAnsi="Times New Roman"/>
          <w:sz w:val="24"/>
          <w:szCs w:val="24"/>
          <w:lang w:val="sr-Cyrl-CS"/>
        </w:rPr>
        <w:t>Оснивачи офшор компанија, због пореских и банкарских привилегија које добијају од државе на чијој територији се региструје фирма, морају испунити одређене критеријуме</w:t>
      </w:r>
      <w:r w:rsidR="00457A43">
        <w:rPr>
          <w:rFonts w:ascii="Times New Roman" w:hAnsi="Times New Roman"/>
          <w:sz w:val="24"/>
          <w:szCs w:val="24"/>
          <w:lang w:val="sr-Cyrl-CS"/>
        </w:rPr>
        <w:t xml:space="preserve"> да би искористили повољан порески третман</w:t>
      </w:r>
      <w:r>
        <w:rPr>
          <w:rFonts w:ascii="Times New Roman" w:hAnsi="Times New Roman"/>
          <w:sz w:val="24"/>
          <w:szCs w:val="24"/>
          <w:lang w:val="sr-Cyrl-CS"/>
        </w:rPr>
        <w:t>:</w:t>
      </w:r>
      <w:r>
        <w:rPr>
          <w:rStyle w:val="FootnoteReference"/>
          <w:rFonts w:ascii="Times New Roman" w:hAnsi="Times New Roman"/>
          <w:sz w:val="24"/>
          <w:szCs w:val="24"/>
          <w:lang w:val="sr-Cyrl-CS"/>
        </w:rPr>
        <w:footnoteReference w:id="594"/>
      </w:r>
      <w:r>
        <w:rPr>
          <w:rFonts w:ascii="Times New Roman" w:hAnsi="Times New Roman"/>
          <w:sz w:val="24"/>
          <w:szCs w:val="24"/>
          <w:lang w:val="sr-Cyrl-CS"/>
        </w:rPr>
        <w:t xml:space="preserve">   </w:t>
      </w:r>
    </w:p>
    <w:p w:rsidR="002B6E12" w:rsidRDefault="002B6E12" w:rsidP="002B6E12">
      <w:pPr>
        <w:pStyle w:val="ListParagraph"/>
        <w:ind w:left="0" w:firstLine="360"/>
        <w:jc w:val="both"/>
        <w:rPr>
          <w:rFonts w:ascii="Times New Roman" w:hAnsi="Times New Roman"/>
          <w:sz w:val="24"/>
          <w:szCs w:val="24"/>
          <w:lang w:val="sr-Cyrl-CS"/>
        </w:rPr>
      </w:pPr>
    </w:p>
    <w:p w:rsidR="002B6E12" w:rsidRDefault="00457A43" w:rsidP="002B6E12">
      <w:pPr>
        <w:pStyle w:val="ListParagraph"/>
        <w:numPr>
          <w:ilvl w:val="0"/>
          <w:numId w:val="2"/>
        </w:numPr>
        <w:jc w:val="both"/>
        <w:rPr>
          <w:rFonts w:ascii="Times New Roman" w:hAnsi="Times New Roman"/>
          <w:sz w:val="24"/>
          <w:szCs w:val="24"/>
          <w:lang w:val="sr-Cyrl-CS"/>
        </w:rPr>
      </w:pPr>
      <w:r>
        <w:rPr>
          <w:rFonts w:ascii="Times New Roman" w:hAnsi="Times New Roman"/>
          <w:sz w:val="24"/>
          <w:szCs w:val="24"/>
          <w:lang w:val="sr-Cyrl-CS"/>
        </w:rPr>
        <w:t>в</w:t>
      </w:r>
      <w:r w:rsidR="002B6E12">
        <w:rPr>
          <w:rFonts w:ascii="Times New Roman" w:hAnsi="Times New Roman"/>
          <w:sz w:val="24"/>
          <w:szCs w:val="24"/>
          <w:lang w:val="sr-Cyrl-CS"/>
        </w:rPr>
        <w:t xml:space="preserve">ласници офшор компанија могу бити искључиво </w:t>
      </w:r>
      <w:r>
        <w:rPr>
          <w:rFonts w:ascii="Times New Roman" w:hAnsi="Times New Roman"/>
          <w:sz w:val="24"/>
          <w:szCs w:val="24"/>
          <w:lang w:val="sr-Cyrl-CS"/>
        </w:rPr>
        <w:t>страна</w:t>
      </w:r>
      <w:r w:rsidR="002B6E12">
        <w:rPr>
          <w:rFonts w:ascii="Times New Roman" w:hAnsi="Times New Roman"/>
          <w:sz w:val="24"/>
          <w:szCs w:val="24"/>
          <w:lang w:val="sr-Cyrl-CS"/>
        </w:rPr>
        <w:t xml:space="preserve"> лица</w:t>
      </w:r>
      <w:r>
        <w:rPr>
          <w:rFonts w:ascii="Times New Roman" w:hAnsi="Times New Roman"/>
          <w:sz w:val="24"/>
          <w:szCs w:val="24"/>
          <w:lang w:val="sr-Cyrl-CS"/>
        </w:rPr>
        <w:t xml:space="preserve"> (дакле, без власништва дом</w:t>
      </w:r>
      <w:r w:rsidR="000D2D2B">
        <w:rPr>
          <w:rFonts w:ascii="Times New Roman" w:hAnsi="Times New Roman"/>
          <w:sz w:val="24"/>
          <w:szCs w:val="24"/>
          <w:lang w:val="sr-Cyrl-CS"/>
        </w:rPr>
        <w:t>аћ</w:t>
      </w:r>
      <w:r>
        <w:rPr>
          <w:rFonts w:ascii="Times New Roman" w:hAnsi="Times New Roman"/>
          <w:sz w:val="24"/>
          <w:szCs w:val="24"/>
          <w:lang w:val="sr-Cyrl-CS"/>
        </w:rPr>
        <w:t>их држављана)</w:t>
      </w:r>
      <w:r w:rsidR="002B6E12">
        <w:rPr>
          <w:rFonts w:ascii="Times New Roman" w:hAnsi="Times New Roman"/>
          <w:sz w:val="24"/>
          <w:szCs w:val="24"/>
          <w:lang w:val="sr-Cyrl-CS"/>
        </w:rPr>
        <w:t>, која уносе капитал у земљу на чијој територији жел</w:t>
      </w:r>
      <w:r>
        <w:rPr>
          <w:rFonts w:ascii="Times New Roman" w:hAnsi="Times New Roman"/>
          <w:sz w:val="24"/>
          <w:szCs w:val="24"/>
          <w:lang w:val="sr-Cyrl-CS"/>
        </w:rPr>
        <w:t>е да региструју своју компанију</w:t>
      </w:r>
      <w:r w:rsidR="002B6E12">
        <w:rPr>
          <w:rFonts w:ascii="Times New Roman" w:hAnsi="Times New Roman"/>
          <w:sz w:val="24"/>
          <w:szCs w:val="24"/>
          <w:lang w:val="sr-Cyrl-CS"/>
        </w:rPr>
        <w:t>;</w:t>
      </w:r>
    </w:p>
    <w:p w:rsidR="002B6E12" w:rsidRDefault="002B6E12" w:rsidP="002B6E12">
      <w:pPr>
        <w:pStyle w:val="ListParagraph"/>
        <w:numPr>
          <w:ilvl w:val="0"/>
          <w:numId w:val="2"/>
        </w:numPr>
        <w:jc w:val="both"/>
        <w:rPr>
          <w:rFonts w:ascii="Times New Roman" w:hAnsi="Times New Roman"/>
          <w:sz w:val="24"/>
          <w:szCs w:val="24"/>
          <w:lang w:val="sr-Cyrl-CS"/>
        </w:rPr>
      </w:pPr>
      <w:r>
        <w:rPr>
          <w:rFonts w:ascii="Times New Roman" w:hAnsi="Times New Roman"/>
          <w:sz w:val="24"/>
          <w:szCs w:val="24"/>
          <w:lang w:val="sr-Cyrl-CS"/>
        </w:rPr>
        <w:lastRenderedPageBreak/>
        <w:t xml:space="preserve">профит офшор компаније </w:t>
      </w:r>
      <w:r w:rsidR="00457A43">
        <w:rPr>
          <w:rFonts w:ascii="Times New Roman" w:hAnsi="Times New Roman"/>
          <w:sz w:val="24"/>
          <w:szCs w:val="24"/>
          <w:lang w:val="sr-Cyrl-CS"/>
        </w:rPr>
        <w:t xml:space="preserve">у целини </w:t>
      </w:r>
      <w:r>
        <w:rPr>
          <w:rFonts w:ascii="Times New Roman" w:hAnsi="Times New Roman"/>
          <w:sz w:val="24"/>
          <w:szCs w:val="24"/>
          <w:lang w:val="sr-Cyrl-CS"/>
        </w:rPr>
        <w:t xml:space="preserve">мора </w:t>
      </w:r>
      <w:r w:rsidR="00457A43">
        <w:rPr>
          <w:rFonts w:ascii="Times New Roman" w:hAnsi="Times New Roman"/>
          <w:sz w:val="24"/>
          <w:szCs w:val="24"/>
          <w:lang w:val="sr-Cyrl-CS"/>
        </w:rPr>
        <w:t>потицати</w:t>
      </w:r>
      <w:r>
        <w:rPr>
          <w:rFonts w:ascii="Times New Roman" w:hAnsi="Times New Roman"/>
          <w:sz w:val="24"/>
          <w:szCs w:val="24"/>
          <w:lang w:val="sr-Cyrl-CS"/>
        </w:rPr>
        <w:t xml:space="preserve"> </w:t>
      </w:r>
      <w:r w:rsidR="00457A43">
        <w:rPr>
          <w:rFonts w:ascii="Times New Roman" w:hAnsi="Times New Roman"/>
          <w:sz w:val="24"/>
          <w:szCs w:val="24"/>
          <w:lang w:val="sr-Cyrl-CS"/>
        </w:rPr>
        <w:t>од</w:t>
      </w:r>
      <w:r>
        <w:rPr>
          <w:rFonts w:ascii="Times New Roman" w:hAnsi="Times New Roman"/>
          <w:sz w:val="24"/>
          <w:szCs w:val="24"/>
          <w:lang w:val="sr-Cyrl-CS"/>
        </w:rPr>
        <w:t xml:space="preserve"> пословања са иностранством, односно са страним фирмама ван територије државе у којој је регистрована офшор компанија;</w:t>
      </w:r>
    </w:p>
    <w:p w:rsidR="002B6E12" w:rsidRPr="00942E41" w:rsidRDefault="00457A43" w:rsidP="002B6E12">
      <w:pPr>
        <w:pStyle w:val="ListParagraph"/>
        <w:numPr>
          <w:ilvl w:val="0"/>
          <w:numId w:val="2"/>
        </w:numPr>
        <w:jc w:val="both"/>
        <w:rPr>
          <w:rFonts w:ascii="Times New Roman" w:hAnsi="Times New Roman"/>
          <w:sz w:val="24"/>
          <w:szCs w:val="24"/>
          <w:lang w:val="sr-Cyrl-CS"/>
        </w:rPr>
      </w:pPr>
      <w:r>
        <w:rPr>
          <w:rFonts w:ascii="Times New Roman" w:hAnsi="Times New Roman"/>
          <w:sz w:val="24"/>
          <w:szCs w:val="24"/>
          <w:lang w:val="sr-Cyrl-CS"/>
        </w:rPr>
        <w:t>оснивачки к</w:t>
      </w:r>
      <w:r w:rsidR="002B6E12">
        <w:rPr>
          <w:rFonts w:ascii="Times New Roman" w:hAnsi="Times New Roman"/>
          <w:sz w:val="24"/>
          <w:szCs w:val="24"/>
          <w:lang w:val="sr-Cyrl-CS"/>
        </w:rPr>
        <w:t xml:space="preserve">апитал за оснивање офшор компаније мора потицати из </w:t>
      </w:r>
      <w:r>
        <w:rPr>
          <w:rFonts w:ascii="Times New Roman" w:hAnsi="Times New Roman"/>
          <w:sz w:val="24"/>
          <w:szCs w:val="24"/>
          <w:lang w:val="sr-Cyrl-CS"/>
        </w:rPr>
        <w:t xml:space="preserve">иностранства </w:t>
      </w:r>
      <w:r w:rsidR="002B6E12">
        <w:rPr>
          <w:rFonts w:ascii="Times New Roman" w:hAnsi="Times New Roman"/>
          <w:sz w:val="24"/>
          <w:szCs w:val="24"/>
          <w:lang w:val="sr-Cyrl-CS"/>
        </w:rPr>
        <w:t>и без права мешања са домаћим капиталом власника домаћих компанија у земљи у којој се региструје офшор компанија.</w:t>
      </w:r>
    </w:p>
    <w:p w:rsidR="002B6E12" w:rsidRDefault="002B6E12" w:rsidP="002B6E12">
      <w:pPr>
        <w:pStyle w:val="ListParagraph"/>
        <w:ind w:left="0" w:firstLine="630"/>
        <w:jc w:val="both"/>
        <w:rPr>
          <w:rFonts w:ascii="Times New Roman" w:hAnsi="Times New Roman"/>
          <w:sz w:val="24"/>
          <w:szCs w:val="24"/>
          <w:lang w:val="sr-Cyrl-CS"/>
        </w:rPr>
      </w:pPr>
    </w:p>
    <w:p w:rsidR="002B6E12" w:rsidRDefault="002B6E12" w:rsidP="002B6E12">
      <w:pPr>
        <w:pStyle w:val="ListParagraph"/>
        <w:ind w:left="0" w:firstLine="360"/>
        <w:jc w:val="both"/>
        <w:rPr>
          <w:rFonts w:ascii="Times New Roman" w:hAnsi="Times New Roman"/>
          <w:sz w:val="24"/>
          <w:szCs w:val="24"/>
          <w:lang w:val="sr-Cyrl-CS"/>
        </w:rPr>
      </w:pPr>
      <w:r>
        <w:rPr>
          <w:rFonts w:ascii="Times New Roman" w:hAnsi="Times New Roman"/>
          <w:sz w:val="24"/>
          <w:szCs w:val="24"/>
          <w:lang w:val="sr-Cyrl-CS"/>
        </w:rPr>
        <w:t>Офшор центри су погодни и за пословање холдинга, па тако матична  компанија оснива холдинг у офшор центру којим управља. Имовина која је у власништву правних лица у офшор центрима није предмет опорезивања у земљама са високим порезима и профит се пребацује из земље са неповољним пореским третманом у офшор центар.</w:t>
      </w:r>
    </w:p>
    <w:p w:rsidR="002B6E12" w:rsidRPr="005A56BE" w:rsidRDefault="002B6E12" w:rsidP="002B6E12">
      <w:pPr>
        <w:pStyle w:val="ListParagraph"/>
        <w:ind w:left="0" w:firstLine="360"/>
        <w:jc w:val="both"/>
        <w:rPr>
          <w:rFonts w:ascii="Times New Roman" w:hAnsi="Times New Roman"/>
          <w:sz w:val="24"/>
          <w:szCs w:val="24"/>
          <w:lang w:val="sr-Cyrl-CS"/>
        </w:rPr>
      </w:pPr>
    </w:p>
    <w:p w:rsidR="002B6E12" w:rsidRDefault="004B1AC7" w:rsidP="00000089">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Банкарство има значајну улогу</w:t>
      </w:r>
      <w:r w:rsidR="002B6E12">
        <w:rPr>
          <w:rFonts w:ascii="Times New Roman" w:hAnsi="Times New Roman"/>
          <w:sz w:val="24"/>
          <w:szCs w:val="24"/>
          <w:lang w:val="sr-Cyrl-CS"/>
        </w:rPr>
        <w:t xml:space="preserve"> у </w:t>
      </w:r>
      <w:r w:rsidR="002B6E12">
        <w:rPr>
          <w:rFonts w:ascii="Times New Roman" w:hAnsi="Times New Roman"/>
          <w:sz w:val="24"/>
          <w:szCs w:val="24"/>
        </w:rPr>
        <w:t>off-shore</w:t>
      </w:r>
      <w:r w:rsidR="002B6E12">
        <w:rPr>
          <w:rFonts w:ascii="Times New Roman" w:hAnsi="Times New Roman"/>
          <w:sz w:val="24"/>
          <w:szCs w:val="24"/>
          <w:lang w:val="sr-Cyrl-CS"/>
        </w:rPr>
        <w:t xml:space="preserve"> финансијским центрима јер се ради о </w:t>
      </w:r>
      <w:r>
        <w:rPr>
          <w:rFonts w:ascii="Times New Roman" w:hAnsi="Times New Roman"/>
          <w:sz w:val="24"/>
          <w:szCs w:val="24"/>
          <w:lang w:val="sr-Cyrl-CS"/>
        </w:rPr>
        <w:t>доминантном</w:t>
      </w:r>
      <w:r w:rsidR="002B6E12">
        <w:rPr>
          <w:rFonts w:ascii="Times New Roman" w:hAnsi="Times New Roman"/>
          <w:sz w:val="24"/>
          <w:szCs w:val="24"/>
          <w:lang w:val="sr-Cyrl-CS"/>
        </w:rPr>
        <w:t xml:space="preserve"> сектору који обухвата подружнице главних међународних банака, са сврхом скупљања депозита са разних тржишта управљајући их</w:t>
      </w:r>
      <w:r w:rsidR="00000089">
        <w:rPr>
          <w:rFonts w:ascii="Times New Roman" w:hAnsi="Times New Roman"/>
          <w:sz w:val="24"/>
          <w:szCs w:val="24"/>
          <w:lang w:val="sr-Cyrl-CS"/>
        </w:rPr>
        <w:t xml:space="preserve"> матичним институцијама. П</w:t>
      </w:r>
      <w:r w:rsidR="002B6E12">
        <w:rPr>
          <w:rFonts w:ascii="Times New Roman" w:hAnsi="Times New Roman"/>
          <w:sz w:val="24"/>
          <w:szCs w:val="24"/>
          <w:lang w:val="sr-Cyrl-CS"/>
        </w:rPr>
        <w:t xml:space="preserve">риватно банкарство </w:t>
      </w:r>
      <w:r w:rsidR="00000089">
        <w:rPr>
          <w:rFonts w:ascii="Times New Roman" w:hAnsi="Times New Roman"/>
          <w:sz w:val="24"/>
          <w:szCs w:val="24"/>
          <w:lang w:val="sr-Cyrl-CS"/>
        </w:rPr>
        <w:t>нуди послове</w:t>
      </w:r>
      <w:r w:rsidR="002B6E12">
        <w:rPr>
          <w:rFonts w:ascii="Times New Roman" w:hAnsi="Times New Roman"/>
          <w:sz w:val="24"/>
          <w:szCs w:val="24"/>
          <w:lang w:val="sr-Cyrl-CS"/>
        </w:rPr>
        <w:t xml:space="preserve"> управљања имовином, трговања на девизним тржиштима, а неке банке нуде и небанкарске услуге попут разних заступничких услуга. Предности банака које привлаче богату клијентелу </w:t>
      </w:r>
      <w:r w:rsidR="00000089">
        <w:rPr>
          <w:rFonts w:ascii="Times New Roman" w:hAnsi="Times New Roman"/>
          <w:sz w:val="24"/>
          <w:szCs w:val="24"/>
          <w:lang w:val="sr-Cyrl-CS"/>
        </w:rPr>
        <w:t xml:space="preserve">су бројне и то су пре свега </w:t>
      </w:r>
      <w:r w:rsidR="002B6E12">
        <w:rPr>
          <w:rFonts w:ascii="Times New Roman" w:hAnsi="Times New Roman"/>
          <w:sz w:val="24"/>
          <w:szCs w:val="24"/>
          <w:lang w:val="sr-Cyrl-CS"/>
        </w:rPr>
        <w:t>ано</w:t>
      </w:r>
      <w:r w:rsidR="00000089">
        <w:rPr>
          <w:rFonts w:ascii="Times New Roman" w:hAnsi="Times New Roman"/>
          <w:sz w:val="24"/>
          <w:szCs w:val="24"/>
          <w:lang w:val="sr-Cyrl-CS"/>
        </w:rPr>
        <w:t>нимност банковних рачуна, низак трошак</w:t>
      </w:r>
      <w:r w:rsidR="002B6E12">
        <w:rPr>
          <w:rFonts w:ascii="Times New Roman" w:hAnsi="Times New Roman"/>
          <w:sz w:val="24"/>
          <w:szCs w:val="24"/>
          <w:lang w:val="sr-Cyrl-CS"/>
        </w:rPr>
        <w:t xml:space="preserve"> пословања, што омогућује више каматне стопе на штедњу, политичкој и економској стабилности, уску повезаност с</w:t>
      </w:r>
      <w:r w:rsidR="0050595E">
        <w:rPr>
          <w:rFonts w:ascii="Times New Roman" w:hAnsi="Times New Roman"/>
          <w:sz w:val="24"/>
          <w:szCs w:val="24"/>
          <w:lang w:val="sr-Cyrl-CS"/>
        </w:rPr>
        <w:t>а</w:t>
      </w:r>
      <w:r w:rsidR="002B6E12">
        <w:rPr>
          <w:rFonts w:ascii="Times New Roman" w:hAnsi="Times New Roman"/>
          <w:sz w:val="24"/>
          <w:szCs w:val="24"/>
          <w:lang w:val="sr-Cyrl-CS"/>
        </w:rPr>
        <w:t xml:space="preserve"> трустовима и фондацијама који омогућавају</w:t>
      </w:r>
      <w:r w:rsidR="00000089">
        <w:rPr>
          <w:rFonts w:ascii="Times New Roman" w:hAnsi="Times New Roman"/>
          <w:sz w:val="24"/>
          <w:szCs w:val="24"/>
          <w:lang w:val="sr-Cyrl-CS"/>
        </w:rPr>
        <w:t xml:space="preserve"> појединцима пореске погодности</w:t>
      </w:r>
      <w:r w:rsidR="002B6E12">
        <w:rPr>
          <w:rFonts w:ascii="Times New Roman" w:hAnsi="Times New Roman"/>
          <w:sz w:val="24"/>
          <w:szCs w:val="24"/>
          <w:lang w:val="sr-Cyrl-CS"/>
        </w:rPr>
        <w:t>.</w:t>
      </w:r>
      <w:r w:rsidR="002B6E12">
        <w:rPr>
          <w:rStyle w:val="FootnoteReference"/>
          <w:rFonts w:ascii="Times New Roman" w:hAnsi="Times New Roman"/>
          <w:sz w:val="24"/>
          <w:szCs w:val="24"/>
          <w:lang w:val="sr-Cyrl-CS"/>
        </w:rPr>
        <w:footnoteReference w:id="595"/>
      </w:r>
      <w:r w:rsidR="00000089">
        <w:rPr>
          <w:rFonts w:ascii="Times New Roman" w:hAnsi="Times New Roman"/>
          <w:sz w:val="24"/>
          <w:szCs w:val="24"/>
          <w:lang w:val="sr-Cyrl-CS"/>
        </w:rPr>
        <w:t xml:space="preserve"> </w:t>
      </w:r>
      <w:r w:rsidR="005F60BB">
        <w:rPr>
          <w:rFonts w:ascii="Times New Roman" w:hAnsi="Times New Roman"/>
          <w:sz w:val="24"/>
          <w:szCs w:val="24"/>
          <w:lang w:val="sr-Cyrl-CS"/>
        </w:rPr>
        <w:t>Т</w:t>
      </w:r>
      <w:r w:rsidR="00000089" w:rsidRPr="00F90F65">
        <w:rPr>
          <w:rFonts w:ascii="Times New Roman" w:hAnsi="Times New Roman"/>
          <w:sz w:val="24"/>
          <w:szCs w:val="24"/>
          <w:lang w:val="sr-Cyrl-CS"/>
        </w:rPr>
        <w:t xml:space="preserve">ајност офшор банака </w:t>
      </w:r>
      <w:r w:rsidR="005F60BB">
        <w:rPr>
          <w:rFonts w:ascii="Times New Roman" w:hAnsi="Times New Roman"/>
          <w:sz w:val="24"/>
          <w:szCs w:val="24"/>
          <w:lang w:val="sr-Cyrl-CS"/>
        </w:rPr>
        <w:t xml:space="preserve">у </w:t>
      </w:r>
      <w:r w:rsidR="005F60BB">
        <w:rPr>
          <w:rFonts w:ascii="Times New Roman" w:hAnsi="Times New Roman"/>
          <w:sz w:val="24"/>
          <w:szCs w:val="24"/>
        </w:rPr>
        <w:t>off-shore</w:t>
      </w:r>
      <w:r w:rsidR="005F60BB">
        <w:rPr>
          <w:rFonts w:ascii="Times New Roman" w:hAnsi="Times New Roman"/>
          <w:sz w:val="24"/>
          <w:szCs w:val="24"/>
          <w:lang w:val="sr-Cyrl-CS"/>
        </w:rPr>
        <w:t xml:space="preserve"> финансијским центрима </w:t>
      </w:r>
      <w:r w:rsidR="00000089" w:rsidRPr="00F90F65">
        <w:rPr>
          <w:rFonts w:ascii="Times New Roman" w:hAnsi="Times New Roman"/>
          <w:sz w:val="24"/>
          <w:szCs w:val="24"/>
          <w:lang w:val="sr-Cyrl-CS"/>
        </w:rPr>
        <w:t>омогућава појединцима приступ њиховом новцу преко дебитн</w:t>
      </w:r>
      <w:r w:rsidR="0050595E">
        <w:rPr>
          <w:rFonts w:ascii="Times New Roman" w:hAnsi="Times New Roman"/>
          <w:sz w:val="24"/>
          <w:szCs w:val="24"/>
          <w:lang w:val="sr-Cyrl-CS"/>
        </w:rPr>
        <w:t>их и кредитних картица</w:t>
      </w:r>
      <w:r w:rsidR="002B6E12" w:rsidRPr="00F90F65">
        <w:rPr>
          <w:rFonts w:ascii="Times New Roman" w:hAnsi="Times New Roman"/>
          <w:sz w:val="24"/>
          <w:szCs w:val="24"/>
          <w:lang w:val="sr-Cyrl-CS"/>
        </w:rPr>
        <w:t>. Картице се користе „оншор“ али су везане на банкарски рачун са офшор територије</w:t>
      </w:r>
      <w:r w:rsidR="005F60BB">
        <w:rPr>
          <w:rFonts w:ascii="Times New Roman" w:hAnsi="Times New Roman"/>
          <w:sz w:val="24"/>
          <w:szCs w:val="24"/>
          <w:lang w:val="sr-Cyrl-CS"/>
        </w:rPr>
        <w:t>. Н</w:t>
      </w:r>
      <w:r w:rsidR="002B6E12" w:rsidRPr="00F90F65">
        <w:rPr>
          <w:rFonts w:ascii="Times New Roman" w:hAnsi="Times New Roman"/>
          <w:sz w:val="24"/>
          <w:szCs w:val="24"/>
          <w:lang w:val="sr-Cyrl-CS"/>
        </w:rPr>
        <w:t xml:space="preserve">а </w:t>
      </w:r>
      <w:r w:rsidR="005F60BB">
        <w:rPr>
          <w:rFonts w:ascii="Times New Roman" w:hAnsi="Times New Roman"/>
          <w:sz w:val="24"/>
          <w:szCs w:val="24"/>
          <w:lang w:val="sr-Cyrl-CS"/>
        </w:rPr>
        <w:t xml:space="preserve">овој територији </w:t>
      </w:r>
      <w:r w:rsidR="002B6E12" w:rsidRPr="00F90F65">
        <w:rPr>
          <w:rFonts w:ascii="Times New Roman" w:hAnsi="Times New Roman"/>
          <w:sz w:val="24"/>
          <w:szCs w:val="24"/>
          <w:lang w:val="sr-Cyrl-CS"/>
        </w:rPr>
        <w:t xml:space="preserve">порески обвезник држи своја средства ради избегавања плаћања пореза. </w:t>
      </w:r>
      <w:r w:rsidR="002B6E12">
        <w:rPr>
          <w:rFonts w:ascii="Times New Roman" w:hAnsi="Times New Roman"/>
          <w:sz w:val="24"/>
          <w:szCs w:val="24"/>
          <w:lang w:val="sr-Cyrl-CS"/>
        </w:rPr>
        <w:t xml:space="preserve">Подаци указују да мултинационалне компаније преко офшор финансијских центара годишње утаје педесет милијарди долара прихода од пореза. </w:t>
      </w:r>
      <w:r w:rsidR="002B6E12">
        <w:rPr>
          <w:rStyle w:val="FootnoteReference"/>
          <w:rFonts w:ascii="Times New Roman" w:hAnsi="Times New Roman"/>
          <w:sz w:val="24"/>
          <w:szCs w:val="24"/>
          <w:lang w:val="sr-Cyrl-CS"/>
        </w:rPr>
        <w:footnoteReference w:id="596"/>
      </w:r>
      <w:r w:rsidR="002B6E12">
        <w:rPr>
          <w:rFonts w:ascii="Times New Roman" w:hAnsi="Times New Roman"/>
          <w:sz w:val="24"/>
          <w:szCs w:val="24"/>
          <w:lang w:val="sr-Cyrl-CS"/>
        </w:rPr>
        <w:t xml:space="preserve"> </w:t>
      </w:r>
      <w:r w:rsidR="005F60BB">
        <w:rPr>
          <w:rFonts w:ascii="Times New Roman" w:hAnsi="Times New Roman"/>
          <w:sz w:val="24"/>
          <w:szCs w:val="24"/>
          <w:lang w:val="sr-Cyrl-CS"/>
        </w:rPr>
        <w:t xml:space="preserve"> </w:t>
      </w:r>
    </w:p>
    <w:p w:rsidR="002B6E12" w:rsidRPr="00C01568" w:rsidRDefault="002B6E12" w:rsidP="002B6E12">
      <w:pPr>
        <w:pStyle w:val="ListParagraph"/>
        <w:ind w:left="0"/>
        <w:jc w:val="both"/>
        <w:rPr>
          <w:rFonts w:ascii="Times New Roman" w:hAnsi="Times New Roman"/>
          <w:sz w:val="24"/>
          <w:szCs w:val="24"/>
          <w:lang w:val="sr-Cyrl-CS"/>
        </w:rPr>
      </w:pPr>
    </w:p>
    <w:p w:rsidR="002B6E12" w:rsidRDefault="00000089" w:rsidP="002B6E12">
      <w:pPr>
        <w:pStyle w:val="ListParagraph"/>
        <w:ind w:left="0" w:firstLine="708"/>
        <w:jc w:val="both"/>
        <w:rPr>
          <w:rFonts w:ascii="Times New Roman" w:hAnsi="Times New Roman"/>
          <w:sz w:val="24"/>
          <w:szCs w:val="24"/>
          <w:lang w:val="sr-Cyrl-CS"/>
        </w:rPr>
      </w:pPr>
      <w:r>
        <w:rPr>
          <w:rFonts w:ascii="Times New Roman" w:hAnsi="Times New Roman"/>
          <w:sz w:val="24"/>
          <w:szCs w:val="24"/>
          <w:lang w:val="sr-Cyrl-CS"/>
        </w:rPr>
        <w:t>Циљ оснивања базне компаније</w:t>
      </w:r>
      <w:r w:rsidR="002B6E12">
        <w:rPr>
          <w:rFonts w:ascii="Times New Roman" w:hAnsi="Times New Roman"/>
          <w:sz w:val="24"/>
          <w:szCs w:val="24"/>
          <w:lang w:val="sr-Cyrl-CS"/>
        </w:rPr>
        <w:t xml:space="preserve"> </w:t>
      </w:r>
      <w:r>
        <w:rPr>
          <w:rFonts w:ascii="Times New Roman" w:hAnsi="Times New Roman"/>
          <w:sz w:val="24"/>
          <w:szCs w:val="24"/>
          <w:lang w:val="sr-Cyrl-CS"/>
        </w:rPr>
        <w:t>у земљи „пореског раја“</w:t>
      </w:r>
      <w:r w:rsidR="002B6E12">
        <w:rPr>
          <w:rFonts w:ascii="Times New Roman" w:hAnsi="Times New Roman"/>
          <w:sz w:val="24"/>
          <w:szCs w:val="24"/>
          <w:lang w:val="sr-Cyrl-CS"/>
        </w:rPr>
        <w:t xml:space="preserve"> </w:t>
      </w:r>
      <w:r>
        <w:rPr>
          <w:rFonts w:ascii="Times New Roman" w:hAnsi="Times New Roman"/>
          <w:sz w:val="24"/>
          <w:szCs w:val="24"/>
          <w:lang w:val="sr-Cyrl-CS"/>
        </w:rPr>
        <w:t xml:space="preserve">је </w:t>
      </w:r>
      <w:r w:rsidR="002B6E12">
        <w:rPr>
          <w:rFonts w:ascii="Times New Roman" w:hAnsi="Times New Roman"/>
          <w:sz w:val="24"/>
          <w:szCs w:val="24"/>
          <w:lang w:val="sr-Cyrl-CS"/>
        </w:rPr>
        <w:t>да се у њој склони доходак и тиме умањи порез у домаћој земљи.</w:t>
      </w:r>
      <w:r w:rsidR="002B6E12">
        <w:rPr>
          <w:rStyle w:val="FootnoteReference"/>
          <w:rFonts w:ascii="Times New Roman" w:hAnsi="Times New Roman"/>
          <w:sz w:val="24"/>
          <w:szCs w:val="24"/>
          <w:lang w:val="sr-Cyrl-CS"/>
        </w:rPr>
        <w:footnoteReference w:id="597"/>
      </w:r>
      <w:r w:rsidR="002C7C82">
        <w:rPr>
          <w:rFonts w:ascii="Times New Roman" w:hAnsi="Times New Roman"/>
          <w:sz w:val="24"/>
          <w:szCs w:val="24"/>
          <w:lang w:val="sr-Cyrl-CS"/>
        </w:rPr>
        <w:t xml:space="preserve"> П</w:t>
      </w:r>
      <w:r w:rsidR="002B6E12">
        <w:rPr>
          <w:rFonts w:ascii="Times New Roman" w:hAnsi="Times New Roman"/>
          <w:sz w:val="24"/>
          <w:szCs w:val="24"/>
          <w:lang w:val="sr-Cyrl-CS"/>
        </w:rPr>
        <w:t>ореске оазе се корис</w:t>
      </w:r>
      <w:r w:rsidR="002C7C82">
        <w:rPr>
          <w:rFonts w:ascii="Times New Roman" w:hAnsi="Times New Roman"/>
          <w:sz w:val="24"/>
          <w:szCs w:val="24"/>
          <w:lang w:val="sr-Cyrl-CS"/>
        </w:rPr>
        <w:t>те за оснивање базних компанија.</w:t>
      </w:r>
      <w:r w:rsidR="002B6E12">
        <w:rPr>
          <w:rFonts w:ascii="Times New Roman" w:hAnsi="Times New Roman"/>
          <w:sz w:val="24"/>
          <w:szCs w:val="24"/>
          <w:lang w:val="sr-Cyrl-CS"/>
        </w:rPr>
        <w:t xml:space="preserve"> </w:t>
      </w:r>
      <w:r w:rsidR="002C7C82">
        <w:rPr>
          <w:rFonts w:ascii="Times New Roman" w:hAnsi="Times New Roman"/>
          <w:sz w:val="24"/>
          <w:szCs w:val="24"/>
          <w:lang w:val="sr-Cyrl-CS"/>
        </w:rPr>
        <w:t>Њихова основна улога је</w:t>
      </w:r>
      <w:r w:rsidR="002B6E12">
        <w:rPr>
          <w:rFonts w:ascii="Times New Roman" w:hAnsi="Times New Roman"/>
          <w:sz w:val="24"/>
          <w:szCs w:val="24"/>
          <w:lang w:val="sr-Cyrl-CS"/>
        </w:rPr>
        <w:t xml:space="preserve"> да прикупе доходак који би инач</w:t>
      </w:r>
      <w:r w:rsidR="002C7C82">
        <w:rPr>
          <w:rFonts w:ascii="Times New Roman" w:hAnsi="Times New Roman"/>
          <w:sz w:val="24"/>
          <w:szCs w:val="24"/>
          <w:lang w:val="sr-Cyrl-CS"/>
        </w:rPr>
        <w:t>е непосредно притицао обвезнику и н</w:t>
      </w:r>
      <w:r w:rsidR="002B6E12">
        <w:rPr>
          <w:rFonts w:ascii="Times New Roman" w:hAnsi="Times New Roman"/>
          <w:sz w:val="24"/>
          <w:szCs w:val="24"/>
          <w:lang w:val="sr-Cyrl-CS"/>
        </w:rPr>
        <w:t xml:space="preserve">а тај начин дивиденда, камата, ауторска накнада и друго притичу у базну компанију, не улазећи у светски доходак обвезника који се опорезује у већини савремених земаља. </w:t>
      </w:r>
      <w:r w:rsidR="002C7C82">
        <w:rPr>
          <w:rFonts w:ascii="Times New Roman" w:hAnsi="Times New Roman"/>
          <w:sz w:val="24"/>
          <w:szCs w:val="24"/>
          <w:lang w:val="sr-Cyrl-CS"/>
        </w:rPr>
        <w:t xml:space="preserve">Тако се прикрива дохдак и овај начин </w:t>
      </w:r>
      <w:r w:rsidR="002B6E12">
        <w:rPr>
          <w:rFonts w:ascii="Times New Roman" w:hAnsi="Times New Roman"/>
          <w:sz w:val="24"/>
          <w:szCs w:val="24"/>
          <w:lang w:val="sr-Cyrl-CS"/>
        </w:rPr>
        <w:t xml:space="preserve">највише користе мултинационалне корпорације, најчешће до момента расподеле дохотка у базној компанији одлагањем плаћања пореза. </w:t>
      </w:r>
      <w:r w:rsidR="002C7C82">
        <w:rPr>
          <w:rFonts w:ascii="Times New Roman" w:hAnsi="Times New Roman"/>
          <w:sz w:val="24"/>
          <w:szCs w:val="24"/>
          <w:lang w:val="sr-Cyrl-CS"/>
        </w:rPr>
        <w:t>Осим тога, п</w:t>
      </w:r>
      <w:r w:rsidR="002B6E12">
        <w:rPr>
          <w:rFonts w:ascii="Times New Roman" w:hAnsi="Times New Roman"/>
          <w:sz w:val="24"/>
          <w:szCs w:val="24"/>
          <w:lang w:val="sr-Cyrl-CS"/>
        </w:rPr>
        <w:t>ореске оазе се користе и за избегавање пореза злоупотребом пореског споразум</w:t>
      </w:r>
      <w:r w:rsidR="002B6E12">
        <w:rPr>
          <w:rFonts w:ascii="Times New Roman" w:hAnsi="Times New Roman"/>
          <w:sz w:val="24"/>
          <w:szCs w:val="24"/>
        </w:rPr>
        <w:t>a</w:t>
      </w:r>
      <w:r w:rsidR="002B6E12">
        <w:rPr>
          <w:rFonts w:ascii="Times New Roman" w:hAnsi="Times New Roman"/>
          <w:sz w:val="24"/>
          <w:szCs w:val="24"/>
          <w:lang w:val="sr-Cyrl-CS"/>
        </w:rPr>
        <w:t xml:space="preserve">, када резиденти трећих држава </w:t>
      </w:r>
      <w:r w:rsidR="002B6E12">
        <w:rPr>
          <w:rFonts w:ascii="Times New Roman" w:hAnsi="Times New Roman"/>
          <w:sz w:val="24"/>
          <w:szCs w:val="24"/>
          <w:lang w:val="sr-Cyrl-CS"/>
        </w:rPr>
        <w:lastRenderedPageBreak/>
        <w:t xml:space="preserve">покушавају да искористе одређене пореске привилегије, иако их споразум није предвидео. </w:t>
      </w:r>
      <w:r w:rsidR="002C7C82">
        <w:rPr>
          <w:rFonts w:ascii="Times New Roman" w:hAnsi="Times New Roman"/>
          <w:sz w:val="24"/>
          <w:szCs w:val="24"/>
          <w:lang w:val="sr-Cyrl-CS"/>
        </w:rPr>
        <w:t>У овом случају доходак се прикрива тако што</w:t>
      </w:r>
      <w:r w:rsidR="002B6E12">
        <w:rPr>
          <w:rFonts w:ascii="Times New Roman" w:hAnsi="Times New Roman"/>
          <w:sz w:val="24"/>
          <w:szCs w:val="24"/>
          <w:lang w:val="sr-Cyrl-CS"/>
        </w:rPr>
        <w:t xml:space="preserve"> се одређени доходак у трећој држави приказује као друга врста дохотка.</w:t>
      </w:r>
      <w:r w:rsidR="002B6E12">
        <w:rPr>
          <w:rStyle w:val="FootnoteReference"/>
          <w:rFonts w:ascii="Times New Roman" w:hAnsi="Times New Roman"/>
          <w:sz w:val="24"/>
          <w:szCs w:val="24"/>
          <w:lang w:val="sr-Cyrl-CS"/>
        </w:rPr>
        <w:footnoteReference w:id="598"/>
      </w:r>
      <w:r w:rsidR="002B6E12">
        <w:rPr>
          <w:rFonts w:ascii="Times New Roman" w:hAnsi="Times New Roman"/>
          <w:sz w:val="24"/>
          <w:szCs w:val="24"/>
          <w:lang w:val="sr-Cyrl-CS"/>
        </w:rPr>
        <w:t xml:space="preserve">  </w:t>
      </w:r>
    </w:p>
    <w:p w:rsidR="002B6E12" w:rsidRDefault="002B6E12" w:rsidP="002B6E12">
      <w:pPr>
        <w:pStyle w:val="ListParagraph"/>
        <w:ind w:left="0"/>
        <w:jc w:val="both"/>
        <w:rPr>
          <w:rFonts w:ascii="Times New Roman" w:hAnsi="Times New Roman"/>
          <w:sz w:val="24"/>
          <w:szCs w:val="24"/>
          <w:lang w:val="sr-Cyrl-CS"/>
        </w:rPr>
      </w:pPr>
    </w:p>
    <w:p w:rsidR="002B6E12" w:rsidRDefault="00000089" w:rsidP="002B6E12">
      <w:pPr>
        <w:pStyle w:val="ListParagraph"/>
        <w:ind w:left="0" w:firstLine="708"/>
        <w:jc w:val="both"/>
        <w:rPr>
          <w:rFonts w:ascii="Times New Roman" w:hAnsi="Times New Roman"/>
          <w:sz w:val="24"/>
          <w:szCs w:val="24"/>
          <w:lang w:val="sr-Cyrl-CS"/>
        </w:rPr>
      </w:pPr>
      <w:r>
        <w:rPr>
          <w:rFonts w:ascii="Times New Roman" w:hAnsi="Times New Roman"/>
          <w:sz w:val="24"/>
          <w:szCs w:val="24"/>
          <w:lang w:val="sr-Cyrl-CS"/>
        </w:rPr>
        <w:t>Према томе, д</w:t>
      </w:r>
      <w:r w:rsidR="002B6E12">
        <w:rPr>
          <w:rFonts w:ascii="Times New Roman" w:hAnsi="Times New Roman"/>
          <w:sz w:val="24"/>
          <w:szCs w:val="24"/>
          <w:lang w:val="sr-Cyrl-CS"/>
        </w:rPr>
        <w:t xml:space="preserve">о злоупотребе </w:t>
      </w:r>
      <w:r w:rsidR="002B6E12" w:rsidRPr="00C01568">
        <w:rPr>
          <w:rFonts w:ascii="Times New Roman" w:hAnsi="Times New Roman"/>
          <w:sz w:val="24"/>
          <w:szCs w:val="24"/>
          <w:lang w:val="sr-Cyrl-CS"/>
        </w:rPr>
        <w:t>пореског споразума</w:t>
      </w:r>
      <w:r w:rsidR="002B6E12">
        <w:rPr>
          <w:rFonts w:ascii="Times New Roman" w:hAnsi="Times New Roman"/>
          <w:sz w:val="24"/>
          <w:szCs w:val="24"/>
          <w:lang w:val="sr-Cyrl-CS"/>
        </w:rPr>
        <w:t xml:space="preserve"> (енг. treaty shopping) </w:t>
      </w:r>
      <w:r>
        <w:rPr>
          <w:rFonts w:ascii="Times New Roman" w:hAnsi="Times New Roman"/>
          <w:sz w:val="24"/>
          <w:szCs w:val="24"/>
          <w:lang w:val="sr-Cyrl-CS"/>
        </w:rPr>
        <w:t>долази</w:t>
      </w:r>
      <w:r w:rsidR="002B6E12">
        <w:rPr>
          <w:rFonts w:ascii="Times New Roman" w:hAnsi="Times New Roman"/>
          <w:sz w:val="24"/>
          <w:szCs w:val="24"/>
          <w:lang w:val="sr-Cyrl-CS"/>
        </w:rPr>
        <w:t xml:space="preserve"> у ситуацијама када се у трећој држави одређени доходак свесно прикаже као друга врста дохотка, са намером да се умањи или избегне пореска обавеза. На пример, дивиденда се у трећој земљи приказује као камата у ситуацији када је пореским споразумом, који је закључен између друге две државе, предвиђено да се кама</w:t>
      </w:r>
      <w:r>
        <w:rPr>
          <w:rFonts w:ascii="Times New Roman" w:hAnsi="Times New Roman"/>
          <w:sz w:val="24"/>
          <w:szCs w:val="24"/>
          <w:lang w:val="sr-Cyrl-CS"/>
        </w:rPr>
        <w:t>те не опорезују „на извору“. То</w:t>
      </w:r>
      <w:r w:rsidR="002B6E12">
        <w:rPr>
          <w:rFonts w:ascii="Times New Roman" w:hAnsi="Times New Roman"/>
          <w:sz w:val="24"/>
          <w:szCs w:val="24"/>
          <w:lang w:val="sr-Cyrl-CS"/>
        </w:rPr>
        <w:t xml:space="preserve"> значи да је особа </w:t>
      </w:r>
      <w:r>
        <w:rPr>
          <w:rFonts w:ascii="Times New Roman" w:hAnsi="Times New Roman"/>
          <w:sz w:val="24"/>
          <w:szCs w:val="24"/>
          <w:lang w:val="sr-Cyrl-CS"/>
        </w:rPr>
        <w:t xml:space="preserve">која је </w:t>
      </w:r>
      <w:r w:rsidR="002B6E12">
        <w:rPr>
          <w:rFonts w:ascii="Times New Roman" w:hAnsi="Times New Roman"/>
          <w:sz w:val="24"/>
          <w:szCs w:val="24"/>
          <w:lang w:val="sr-Cyrl-CS"/>
        </w:rPr>
        <w:t xml:space="preserve">резидент једне државе </w:t>
      </w:r>
      <w:r>
        <w:rPr>
          <w:rFonts w:ascii="Times New Roman" w:hAnsi="Times New Roman"/>
          <w:sz w:val="24"/>
          <w:szCs w:val="24"/>
          <w:lang w:val="sr-Cyrl-CS"/>
        </w:rPr>
        <w:t>и</w:t>
      </w:r>
      <w:r w:rsidR="002B6E12">
        <w:rPr>
          <w:rFonts w:ascii="Times New Roman" w:hAnsi="Times New Roman"/>
          <w:sz w:val="24"/>
          <w:szCs w:val="24"/>
          <w:lang w:val="sr-Cyrl-CS"/>
        </w:rPr>
        <w:t xml:space="preserve"> остварује доходак или капиталне добитке у земљи извора у могућности да искористи погодност из пореског споразума земље извора или треће земље, </w:t>
      </w:r>
      <w:r>
        <w:rPr>
          <w:rFonts w:ascii="Times New Roman" w:hAnsi="Times New Roman"/>
          <w:sz w:val="24"/>
          <w:szCs w:val="24"/>
          <w:lang w:val="sr-Cyrl-CS"/>
        </w:rPr>
        <w:t>при чему</w:t>
      </w:r>
      <w:r w:rsidR="002B6E12">
        <w:rPr>
          <w:rFonts w:ascii="Times New Roman" w:hAnsi="Times New Roman"/>
          <w:sz w:val="24"/>
          <w:szCs w:val="24"/>
          <w:lang w:val="sr-Cyrl-CS"/>
        </w:rPr>
        <w:t xml:space="preserve"> његова резидентна држава нема закључен споразум са земљом извора.</w:t>
      </w:r>
      <w:r w:rsidR="002B6E12">
        <w:rPr>
          <w:rStyle w:val="FootnoteReference"/>
          <w:rFonts w:ascii="Times New Roman" w:hAnsi="Times New Roman"/>
          <w:sz w:val="24"/>
          <w:szCs w:val="24"/>
          <w:lang w:val="sr-Cyrl-CS"/>
        </w:rPr>
        <w:footnoteReference w:id="599"/>
      </w:r>
      <w:r w:rsidR="002B6E12">
        <w:rPr>
          <w:rFonts w:ascii="Times New Roman" w:hAnsi="Times New Roman"/>
          <w:sz w:val="24"/>
          <w:szCs w:val="24"/>
          <w:lang w:val="sr-Cyrl-CS"/>
        </w:rPr>
        <w:t xml:space="preserve"> </w:t>
      </w:r>
    </w:p>
    <w:p w:rsidR="002B6E12" w:rsidRPr="00CE641B" w:rsidRDefault="002B6E12" w:rsidP="002B6E12">
      <w:pPr>
        <w:pStyle w:val="ListParagraph"/>
        <w:ind w:left="0" w:firstLine="708"/>
        <w:jc w:val="both"/>
        <w:rPr>
          <w:rFonts w:ascii="Times New Roman" w:hAnsi="Times New Roman"/>
          <w:sz w:val="24"/>
          <w:szCs w:val="24"/>
          <w:lang w:val="sr-Cyrl-CS"/>
        </w:rPr>
      </w:pPr>
    </w:p>
    <w:p w:rsidR="002B6E12" w:rsidRDefault="002B6E12" w:rsidP="002B6E12">
      <w:pPr>
        <w:pStyle w:val="ListParagraph"/>
        <w:ind w:left="0" w:firstLine="708"/>
        <w:jc w:val="both"/>
        <w:rPr>
          <w:rFonts w:ascii="Times New Roman" w:hAnsi="Times New Roman"/>
          <w:sz w:val="24"/>
          <w:szCs w:val="24"/>
          <w:lang w:val="sr-Cyrl-CS"/>
        </w:rPr>
      </w:pPr>
      <w:r>
        <w:rPr>
          <w:rFonts w:ascii="Times New Roman" w:hAnsi="Times New Roman"/>
          <w:sz w:val="24"/>
          <w:szCs w:val="24"/>
          <w:lang w:val="sr-Cyrl-CS"/>
        </w:rPr>
        <w:t xml:space="preserve">Постоји </w:t>
      </w:r>
      <w:r w:rsidR="00966D06">
        <w:rPr>
          <w:rFonts w:ascii="Times New Roman" w:hAnsi="Times New Roman"/>
          <w:sz w:val="24"/>
          <w:szCs w:val="24"/>
          <w:lang w:val="sr-Cyrl-CS"/>
        </w:rPr>
        <w:t xml:space="preserve">више </w:t>
      </w:r>
      <w:r w:rsidRPr="00CE641B">
        <w:rPr>
          <w:rFonts w:ascii="Times New Roman" w:hAnsi="Times New Roman"/>
          <w:sz w:val="24"/>
          <w:szCs w:val="24"/>
          <w:lang w:val="sr-Cyrl-CS"/>
        </w:rPr>
        <w:t>разлог</w:t>
      </w:r>
      <w:r w:rsidR="00966D06">
        <w:rPr>
          <w:rFonts w:ascii="Times New Roman" w:hAnsi="Times New Roman"/>
          <w:sz w:val="24"/>
          <w:szCs w:val="24"/>
          <w:lang w:val="sr-Cyrl-CS"/>
        </w:rPr>
        <w:t>а</w:t>
      </w:r>
      <w:r>
        <w:rPr>
          <w:rFonts w:ascii="Times New Roman" w:hAnsi="Times New Roman"/>
          <w:sz w:val="24"/>
          <w:szCs w:val="24"/>
          <w:lang w:val="sr-Cyrl-CS"/>
        </w:rPr>
        <w:t xml:space="preserve"> </w:t>
      </w:r>
      <w:r w:rsidR="00966D06">
        <w:rPr>
          <w:rFonts w:ascii="Times New Roman" w:hAnsi="Times New Roman"/>
          <w:sz w:val="24"/>
          <w:szCs w:val="24"/>
          <w:lang w:val="sr-Cyrl-CS"/>
        </w:rPr>
        <w:t>због којих</w:t>
      </w:r>
      <w:r>
        <w:rPr>
          <w:rFonts w:ascii="Times New Roman" w:hAnsi="Times New Roman"/>
          <w:sz w:val="24"/>
          <w:szCs w:val="24"/>
          <w:lang w:val="sr-Cyrl-CS"/>
        </w:rPr>
        <w:t xml:space="preserve"> се земља или подручје опредељује да постане порески рај. Један од </w:t>
      </w:r>
      <w:r w:rsidR="00966D06">
        <w:rPr>
          <w:rFonts w:ascii="Times New Roman" w:hAnsi="Times New Roman"/>
          <w:sz w:val="24"/>
          <w:szCs w:val="24"/>
          <w:lang w:val="sr-Cyrl-CS"/>
        </w:rPr>
        <w:t>њих</w:t>
      </w:r>
      <w:r>
        <w:rPr>
          <w:rFonts w:ascii="Times New Roman" w:hAnsi="Times New Roman"/>
          <w:sz w:val="24"/>
          <w:szCs w:val="24"/>
          <w:lang w:val="sr-Cyrl-CS"/>
        </w:rPr>
        <w:t xml:space="preserve"> је да се дође до потребних</w:t>
      </w:r>
      <w:r w:rsidR="00966D06">
        <w:rPr>
          <w:rFonts w:ascii="Times New Roman" w:hAnsi="Times New Roman"/>
          <w:sz w:val="24"/>
          <w:szCs w:val="24"/>
          <w:lang w:val="sr-Cyrl-CS"/>
        </w:rPr>
        <w:t xml:space="preserve"> средстава за сопствени развој. Циљ је да се нижим пореским</w:t>
      </w:r>
      <w:r>
        <w:rPr>
          <w:rFonts w:ascii="Times New Roman" w:hAnsi="Times New Roman"/>
          <w:sz w:val="24"/>
          <w:szCs w:val="24"/>
          <w:lang w:val="sr-Cyrl-CS"/>
        </w:rPr>
        <w:t xml:space="preserve"> </w:t>
      </w:r>
      <w:r w:rsidR="00966D06">
        <w:rPr>
          <w:rFonts w:ascii="Times New Roman" w:hAnsi="Times New Roman"/>
          <w:sz w:val="24"/>
          <w:szCs w:val="24"/>
          <w:lang w:val="sr-Cyrl-CS"/>
        </w:rPr>
        <w:t>стопама</w:t>
      </w:r>
      <w:r>
        <w:rPr>
          <w:rFonts w:ascii="Times New Roman" w:hAnsi="Times New Roman"/>
          <w:sz w:val="24"/>
          <w:szCs w:val="24"/>
          <w:lang w:val="sr-Cyrl-CS"/>
        </w:rPr>
        <w:t xml:space="preserve"> </w:t>
      </w:r>
      <w:r w:rsidR="00966D06">
        <w:rPr>
          <w:rFonts w:ascii="Times New Roman" w:hAnsi="Times New Roman"/>
          <w:sz w:val="24"/>
          <w:szCs w:val="24"/>
          <w:lang w:val="sr-Cyrl-CS"/>
        </w:rPr>
        <w:t xml:space="preserve">привуку </w:t>
      </w:r>
      <w:r>
        <w:rPr>
          <w:rFonts w:ascii="Times New Roman" w:hAnsi="Times New Roman"/>
          <w:sz w:val="24"/>
          <w:szCs w:val="24"/>
          <w:lang w:val="sr-Cyrl-CS"/>
        </w:rPr>
        <w:t xml:space="preserve">велике корпорације </w:t>
      </w:r>
      <w:r w:rsidR="00966D06">
        <w:rPr>
          <w:rFonts w:ascii="Times New Roman" w:hAnsi="Times New Roman"/>
          <w:sz w:val="24"/>
          <w:szCs w:val="24"/>
          <w:lang w:val="sr-Cyrl-CS"/>
        </w:rPr>
        <w:t>ради оснивања сталне пословне јединице или компаније</w:t>
      </w:r>
      <w:r>
        <w:rPr>
          <w:rFonts w:ascii="Times New Roman" w:hAnsi="Times New Roman"/>
          <w:sz w:val="24"/>
          <w:szCs w:val="24"/>
          <w:lang w:val="sr-Cyrl-CS"/>
        </w:rPr>
        <w:t xml:space="preserve"> у земљи домаћина, у којој би се запослило домаће становништво. </w:t>
      </w:r>
      <w:r w:rsidR="00966D06">
        <w:rPr>
          <w:rFonts w:ascii="Times New Roman" w:hAnsi="Times New Roman"/>
          <w:sz w:val="24"/>
          <w:szCs w:val="24"/>
          <w:lang w:val="sr-Cyrl-CS"/>
        </w:rPr>
        <w:t>Офшор пословање</w:t>
      </w:r>
      <w:r>
        <w:rPr>
          <w:rFonts w:ascii="Times New Roman" w:hAnsi="Times New Roman"/>
          <w:sz w:val="24"/>
          <w:szCs w:val="24"/>
          <w:lang w:val="sr-Cyrl-CS"/>
        </w:rPr>
        <w:t xml:space="preserve"> </w:t>
      </w:r>
      <w:r w:rsidR="00966D06">
        <w:rPr>
          <w:rFonts w:ascii="Times New Roman" w:hAnsi="Times New Roman"/>
          <w:sz w:val="24"/>
          <w:szCs w:val="24"/>
          <w:lang w:val="sr-Cyrl-CS"/>
        </w:rPr>
        <w:t>доводи до:</w:t>
      </w:r>
    </w:p>
    <w:p w:rsidR="002B6E12" w:rsidRDefault="002B6E12" w:rsidP="002B6E12">
      <w:pPr>
        <w:pStyle w:val="ListParagraph"/>
        <w:ind w:left="0" w:firstLine="708"/>
        <w:jc w:val="both"/>
        <w:rPr>
          <w:rFonts w:ascii="Times New Roman" w:hAnsi="Times New Roman"/>
          <w:sz w:val="24"/>
          <w:szCs w:val="24"/>
          <w:lang w:val="sr-Cyrl-CS"/>
        </w:rPr>
      </w:pPr>
    </w:p>
    <w:p w:rsidR="002B6E12" w:rsidRDefault="00A704BA" w:rsidP="008A3795">
      <w:pPr>
        <w:pStyle w:val="ListParagraph"/>
        <w:numPr>
          <w:ilvl w:val="1"/>
          <w:numId w:val="20"/>
        </w:numPr>
        <w:jc w:val="both"/>
        <w:rPr>
          <w:rFonts w:ascii="Times New Roman" w:hAnsi="Times New Roman"/>
          <w:sz w:val="24"/>
          <w:szCs w:val="24"/>
          <w:lang w:val="sr-Cyrl-CS"/>
        </w:rPr>
      </w:pPr>
      <w:r>
        <w:rPr>
          <w:rFonts w:ascii="Times New Roman" w:hAnsi="Times New Roman"/>
          <w:sz w:val="24"/>
          <w:szCs w:val="24"/>
          <w:lang w:val="sr-Cyrl-CS"/>
        </w:rPr>
        <w:t>п</w:t>
      </w:r>
      <w:r w:rsidR="00966D06">
        <w:rPr>
          <w:rFonts w:ascii="Times New Roman" w:hAnsi="Times New Roman"/>
          <w:sz w:val="24"/>
          <w:szCs w:val="24"/>
          <w:lang w:val="sr-Cyrl-CS"/>
        </w:rPr>
        <w:t>ораста</w:t>
      </w:r>
      <w:r w:rsidR="002B6E12">
        <w:rPr>
          <w:rFonts w:ascii="Times New Roman" w:hAnsi="Times New Roman"/>
          <w:sz w:val="24"/>
          <w:szCs w:val="24"/>
          <w:lang w:val="sr-Cyrl-CS"/>
        </w:rPr>
        <w:t xml:space="preserve"> профита (</w:t>
      </w:r>
      <w:r w:rsidR="00966D06">
        <w:rPr>
          <w:rFonts w:ascii="Times New Roman" w:hAnsi="Times New Roman"/>
          <w:sz w:val="24"/>
          <w:szCs w:val="24"/>
          <w:lang w:val="sr-Cyrl-CS"/>
        </w:rPr>
        <w:t>услед</w:t>
      </w:r>
      <w:r w:rsidR="002B6E12">
        <w:rPr>
          <w:rFonts w:ascii="Times New Roman" w:hAnsi="Times New Roman"/>
          <w:sz w:val="24"/>
          <w:szCs w:val="24"/>
          <w:lang w:val="sr-Cyrl-CS"/>
        </w:rPr>
        <w:t xml:space="preserve"> нижег опорезивања);</w:t>
      </w:r>
    </w:p>
    <w:p w:rsidR="002B6E12" w:rsidRDefault="00A704BA" w:rsidP="008A3795">
      <w:pPr>
        <w:pStyle w:val="ListParagraph"/>
        <w:numPr>
          <w:ilvl w:val="1"/>
          <w:numId w:val="20"/>
        </w:numPr>
        <w:jc w:val="both"/>
        <w:rPr>
          <w:rFonts w:ascii="Times New Roman" w:hAnsi="Times New Roman"/>
          <w:sz w:val="24"/>
          <w:szCs w:val="24"/>
          <w:lang w:val="sr-Cyrl-CS"/>
        </w:rPr>
      </w:pPr>
      <w:r>
        <w:rPr>
          <w:rFonts w:ascii="Times New Roman" w:hAnsi="Times New Roman"/>
          <w:sz w:val="24"/>
          <w:szCs w:val="24"/>
          <w:lang w:val="sr-Cyrl-CS"/>
        </w:rPr>
        <w:t>ј</w:t>
      </w:r>
      <w:r w:rsidR="002B6E12">
        <w:rPr>
          <w:rFonts w:ascii="Times New Roman" w:hAnsi="Times New Roman"/>
          <w:sz w:val="24"/>
          <w:szCs w:val="24"/>
          <w:lang w:val="sr-Cyrl-CS"/>
        </w:rPr>
        <w:t>едностав</w:t>
      </w:r>
      <w:r w:rsidR="00966D06">
        <w:rPr>
          <w:rFonts w:ascii="Times New Roman" w:hAnsi="Times New Roman"/>
          <w:sz w:val="24"/>
          <w:szCs w:val="24"/>
          <w:lang w:val="sr-Cyrl-CS"/>
        </w:rPr>
        <w:t>није регулативе и минималних формалности</w:t>
      </w:r>
      <w:r w:rsidR="002B6E12">
        <w:rPr>
          <w:rFonts w:ascii="Times New Roman" w:hAnsi="Times New Roman"/>
          <w:sz w:val="24"/>
          <w:szCs w:val="24"/>
          <w:lang w:val="sr-Cyrl-CS"/>
        </w:rPr>
        <w:t xml:space="preserve"> за пословно удруживање;</w:t>
      </w:r>
    </w:p>
    <w:p w:rsidR="002B6E12" w:rsidRDefault="00A704BA" w:rsidP="008A3795">
      <w:pPr>
        <w:pStyle w:val="ListParagraph"/>
        <w:numPr>
          <w:ilvl w:val="1"/>
          <w:numId w:val="20"/>
        </w:numPr>
        <w:jc w:val="both"/>
        <w:rPr>
          <w:rFonts w:ascii="Times New Roman" w:hAnsi="Times New Roman"/>
          <w:sz w:val="24"/>
          <w:szCs w:val="24"/>
          <w:lang w:val="sr-Cyrl-CS"/>
        </w:rPr>
      </w:pPr>
      <w:r>
        <w:rPr>
          <w:rFonts w:ascii="Times New Roman" w:hAnsi="Times New Roman"/>
          <w:sz w:val="24"/>
          <w:szCs w:val="24"/>
          <w:lang w:val="sr-Cyrl-CS"/>
        </w:rPr>
        <w:t>п</w:t>
      </w:r>
      <w:r w:rsidR="00966D06">
        <w:rPr>
          <w:rFonts w:ascii="Times New Roman" w:hAnsi="Times New Roman"/>
          <w:sz w:val="24"/>
          <w:szCs w:val="24"/>
          <w:lang w:val="sr-Cyrl-CS"/>
        </w:rPr>
        <w:t>остојања</w:t>
      </w:r>
      <w:r w:rsidR="002B6E12">
        <w:rPr>
          <w:rFonts w:ascii="Times New Roman" w:hAnsi="Times New Roman"/>
          <w:sz w:val="24"/>
          <w:szCs w:val="24"/>
          <w:lang w:val="sr-Cyrl-CS"/>
        </w:rPr>
        <w:t xml:space="preserve"> одговарајућег правног оквира за заштиту интегритета на релацији принципал-агент;</w:t>
      </w:r>
    </w:p>
    <w:p w:rsidR="002B6E12" w:rsidRDefault="00A704BA" w:rsidP="008A3795">
      <w:pPr>
        <w:pStyle w:val="ListParagraph"/>
        <w:numPr>
          <w:ilvl w:val="1"/>
          <w:numId w:val="20"/>
        </w:numPr>
        <w:jc w:val="both"/>
        <w:rPr>
          <w:rFonts w:ascii="Times New Roman" w:hAnsi="Times New Roman"/>
          <w:sz w:val="24"/>
          <w:szCs w:val="24"/>
          <w:lang w:val="sr-Cyrl-CS"/>
        </w:rPr>
      </w:pPr>
      <w:r>
        <w:rPr>
          <w:rFonts w:ascii="Times New Roman" w:hAnsi="Times New Roman"/>
          <w:sz w:val="24"/>
          <w:szCs w:val="24"/>
          <w:lang w:val="sr-Cyrl-CS"/>
        </w:rPr>
        <w:t>н</w:t>
      </w:r>
      <w:r w:rsidR="002B6E12">
        <w:rPr>
          <w:rFonts w:ascii="Times New Roman" w:hAnsi="Times New Roman"/>
          <w:sz w:val="24"/>
          <w:szCs w:val="24"/>
          <w:lang w:val="sr-Cyrl-CS"/>
        </w:rPr>
        <w:t>епостојањ</w:t>
      </w:r>
      <w:r w:rsidR="00966D06">
        <w:rPr>
          <w:rFonts w:ascii="Times New Roman" w:hAnsi="Times New Roman"/>
          <w:sz w:val="24"/>
          <w:szCs w:val="24"/>
          <w:lang w:val="sr-Cyrl-CS"/>
        </w:rPr>
        <w:t>а</w:t>
      </w:r>
      <w:r w:rsidR="002B6E12">
        <w:rPr>
          <w:rFonts w:ascii="Times New Roman" w:hAnsi="Times New Roman"/>
          <w:sz w:val="24"/>
          <w:szCs w:val="24"/>
          <w:lang w:val="sr-Cyrl-CS"/>
        </w:rPr>
        <w:t xml:space="preserve"> девизне контроле и</w:t>
      </w:r>
    </w:p>
    <w:p w:rsidR="002B6E12" w:rsidRPr="0020134E" w:rsidRDefault="00A704BA" w:rsidP="008A3795">
      <w:pPr>
        <w:pStyle w:val="ListParagraph"/>
        <w:numPr>
          <w:ilvl w:val="1"/>
          <w:numId w:val="20"/>
        </w:numPr>
        <w:jc w:val="both"/>
        <w:rPr>
          <w:rFonts w:ascii="Times New Roman" w:hAnsi="Times New Roman"/>
          <w:sz w:val="24"/>
          <w:szCs w:val="24"/>
          <w:lang w:val="sr-Cyrl-CS"/>
        </w:rPr>
      </w:pPr>
      <w:r>
        <w:rPr>
          <w:rFonts w:ascii="Times New Roman" w:hAnsi="Times New Roman"/>
          <w:sz w:val="24"/>
          <w:szCs w:val="24"/>
          <w:lang w:val="sr-Cyrl-CS"/>
        </w:rPr>
        <w:t>з</w:t>
      </w:r>
      <w:r w:rsidR="00966D06">
        <w:rPr>
          <w:rFonts w:ascii="Times New Roman" w:hAnsi="Times New Roman"/>
          <w:sz w:val="24"/>
          <w:szCs w:val="24"/>
          <w:lang w:val="sr-Cyrl-CS"/>
        </w:rPr>
        <w:t>аштите имовине</w:t>
      </w:r>
      <w:r w:rsidR="002B6E12">
        <w:rPr>
          <w:rFonts w:ascii="Times New Roman" w:hAnsi="Times New Roman"/>
          <w:sz w:val="24"/>
          <w:szCs w:val="24"/>
          <w:lang w:val="sr-Cyrl-CS"/>
        </w:rPr>
        <w:t xml:space="preserve"> од судских спорова, истрага и сл.</w:t>
      </w:r>
      <w:r w:rsidR="002B6E12">
        <w:rPr>
          <w:rStyle w:val="FootnoteReference"/>
          <w:rFonts w:ascii="Times New Roman" w:hAnsi="Times New Roman"/>
          <w:sz w:val="24"/>
          <w:szCs w:val="24"/>
          <w:lang w:val="sr-Cyrl-CS"/>
        </w:rPr>
        <w:footnoteReference w:id="600"/>
      </w:r>
      <w:r w:rsidR="002B6E12">
        <w:rPr>
          <w:rFonts w:ascii="Times New Roman" w:hAnsi="Times New Roman"/>
          <w:sz w:val="24"/>
          <w:szCs w:val="24"/>
          <w:lang w:val="sr-Cyrl-CS"/>
        </w:rPr>
        <w:t xml:space="preserve"> </w:t>
      </w:r>
    </w:p>
    <w:p w:rsidR="002B6E12" w:rsidRPr="00CE641B" w:rsidRDefault="00A72773" w:rsidP="002B6E12">
      <w:pPr>
        <w:ind w:firstLine="708"/>
        <w:jc w:val="both"/>
        <w:rPr>
          <w:rFonts w:ascii="Times New Roman" w:hAnsi="Times New Roman"/>
          <w:sz w:val="24"/>
          <w:szCs w:val="24"/>
          <w:lang w:val="sr-Cyrl-CS"/>
        </w:rPr>
      </w:pPr>
      <w:r>
        <w:rPr>
          <w:rFonts w:ascii="Times New Roman" w:hAnsi="Times New Roman"/>
          <w:sz w:val="24"/>
          <w:szCs w:val="24"/>
          <w:lang w:val="sr-Cyrl-CS"/>
        </w:rPr>
        <w:t>У</w:t>
      </w:r>
      <w:r w:rsidR="002B6E12" w:rsidRPr="00CE641B">
        <w:rPr>
          <w:rFonts w:ascii="Times New Roman" w:hAnsi="Times New Roman"/>
          <w:sz w:val="24"/>
          <w:szCs w:val="24"/>
          <w:lang w:val="sr-Cyrl-CS"/>
        </w:rPr>
        <w:t xml:space="preserve"> свету </w:t>
      </w:r>
      <w:r>
        <w:rPr>
          <w:rFonts w:ascii="Times New Roman" w:hAnsi="Times New Roman"/>
          <w:sz w:val="24"/>
          <w:szCs w:val="24"/>
          <w:lang w:val="sr-Cyrl-CS"/>
        </w:rPr>
        <w:t xml:space="preserve">је </w:t>
      </w:r>
      <w:r w:rsidR="002B6E12" w:rsidRPr="00CE641B">
        <w:rPr>
          <w:rFonts w:ascii="Times New Roman" w:hAnsi="Times New Roman"/>
          <w:sz w:val="24"/>
          <w:szCs w:val="24"/>
          <w:lang w:val="sr-Cyrl-CS"/>
        </w:rPr>
        <w:t xml:space="preserve">активно између 46 и 60 пореских рајева. </w:t>
      </w:r>
      <w:r>
        <w:rPr>
          <w:rFonts w:ascii="Times New Roman" w:hAnsi="Times New Roman"/>
          <w:sz w:val="24"/>
          <w:szCs w:val="24"/>
          <w:lang w:val="sr-Cyrl-CS"/>
        </w:rPr>
        <w:t>Према п</w:t>
      </w:r>
      <w:r w:rsidR="002B6E12" w:rsidRPr="00CE641B">
        <w:rPr>
          <w:rFonts w:ascii="Times New Roman" w:hAnsi="Times New Roman"/>
          <w:sz w:val="24"/>
          <w:szCs w:val="24"/>
          <w:lang w:val="sr-Cyrl-CS"/>
        </w:rPr>
        <w:t>роцена</w:t>
      </w:r>
      <w:r>
        <w:rPr>
          <w:rFonts w:ascii="Times New Roman" w:hAnsi="Times New Roman"/>
          <w:sz w:val="24"/>
          <w:szCs w:val="24"/>
          <w:lang w:val="sr-Cyrl-CS"/>
        </w:rPr>
        <w:t>ма</w:t>
      </w:r>
      <w:r w:rsidR="002B6E12" w:rsidRPr="00CE641B">
        <w:rPr>
          <w:rFonts w:ascii="Times New Roman" w:hAnsi="Times New Roman"/>
          <w:sz w:val="24"/>
          <w:szCs w:val="24"/>
          <w:lang w:val="sr-Cyrl-CS"/>
        </w:rPr>
        <w:t xml:space="preserve"> у њима </w:t>
      </w:r>
      <w:r>
        <w:rPr>
          <w:rFonts w:ascii="Times New Roman" w:hAnsi="Times New Roman"/>
          <w:sz w:val="24"/>
          <w:szCs w:val="24"/>
          <w:lang w:val="sr-Cyrl-CS"/>
        </w:rPr>
        <w:t xml:space="preserve">је </w:t>
      </w:r>
      <w:r w:rsidR="002B6E12" w:rsidRPr="00CE641B">
        <w:rPr>
          <w:rFonts w:ascii="Times New Roman" w:hAnsi="Times New Roman"/>
          <w:sz w:val="24"/>
          <w:szCs w:val="24"/>
          <w:lang w:val="sr-Cyrl-CS"/>
        </w:rPr>
        <w:t>регистровано</w:t>
      </w:r>
      <w:r w:rsidR="002B6E12">
        <w:rPr>
          <w:rFonts w:ascii="Times New Roman" w:hAnsi="Times New Roman"/>
          <w:sz w:val="24"/>
          <w:szCs w:val="24"/>
          <w:lang w:val="sr-Cyrl-CS"/>
        </w:rPr>
        <w:t xml:space="preserve"> преко два милиона IBC (Међуна</w:t>
      </w:r>
      <w:r w:rsidR="002B6E12" w:rsidRPr="00CE641B">
        <w:rPr>
          <w:rFonts w:ascii="Times New Roman" w:hAnsi="Times New Roman"/>
          <w:sz w:val="24"/>
          <w:szCs w:val="24"/>
          <w:lang w:val="sr-Cyrl-CS"/>
        </w:rPr>
        <w:t xml:space="preserve">родних пословних компанија) и стотине хиљада фондова, трустова, хеџ фондова као и осигуравајућих друштава. </w:t>
      </w:r>
      <w:r>
        <w:rPr>
          <w:rFonts w:ascii="Times New Roman" w:hAnsi="Times New Roman"/>
          <w:sz w:val="24"/>
          <w:szCs w:val="24"/>
          <w:lang w:val="sr-Cyrl-CS"/>
        </w:rPr>
        <w:t>При том, више од</w:t>
      </w:r>
      <w:r w:rsidR="002B6E12" w:rsidRPr="00CE641B">
        <w:rPr>
          <w:rFonts w:ascii="Times New Roman" w:hAnsi="Times New Roman"/>
          <w:sz w:val="24"/>
          <w:szCs w:val="24"/>
          <w:lang w:val="sr-Cyrl-CS"/>
        </w:rPr>
        <w:t xml:space="preserve"> 50% банкарских кредита и око 30% стра</w:t>
      </w:r>
      <w:r w:rsidR="002B6E12">
        <w:rPr>
          <w:rFonts w:ascii="Times New Roman" w:hAnsi="Times New Roman"/>
          <w:sz w:val="24"/>
          <w:szCs w:val="24"/>
          <w:lang w:val="sr-Cyrl-CS"/>
        </w:rPr>
        <w:t>них инвестиција потичу формално</w:t>
      </w:r>
      <w:r w:rsidR="002B6E12" w:rsidRPr="00CE641B">
        <w:rPr>
          <w:rFonts w:ascii="Times New Roman" w:hAnsi="Times New Roman"/>
          <w:sz w:val="24"/>
          <w:szCs w:val="24"/>
          <w:lang w:val="sr-Cyrl-CS"/>
        </w:rPr>
        <w:t xml:space="preserve"> тј. као земље порекла региструју </w:t>
      </w:r>
      <w:r w:rsidR="002B6E12">
        <w:rPr>
          <w:rFonts w:ascii="Times New Roman" w:hAnsi="Times New Roman"/>
          <w:sz w:val="24"/>
          <w:szCs w:val="24"/>
          <w:lang w:val="sr-Cyrl-CS"/>
        </w:rPr>
        <w:t>се порески рајеви</w:t>
      </w:r>
      <w:r>
        <w:rPr>
          <w:rFonts w:ascii="Times New Roman" w:hAnsi="Times New Roman"/>
          <w:sz w:val="24"/>
          <w:szCs w:val="24"/>
          <w:lang w:val="sr-Cyrl-CS"/>
        </w:rPr>
        <w:t>, док ф</w:t>
      </w:r>
      <w:r w:rsidR="002B6E12" w:rsidRPr="00CE641B">
        <w:rPr>
          <w:rFonts w:ascii="Times New Roman" w:hAnsi="Times New Roman"/>
          <w:sz w:val="24"/>
          <w:szCs w:val="24"/>
          <w:lang w:val="sr-Cyrl-CS"/>
        </w:rPr>
        <w:t>изичка лица према неким подацима у њима држе 12 трилиона долара улога</w:t>
      </w:r>
      <w:r w:rsidR="0050595E">
        <w:rPr>
          <w:rFonts w:ascii="Times New Roman" w:hAnsi="Times New Roman"/>
          <w:sz w:val="24"/>
          <w:szCs w:val="24"/>
          <w:lang w:val="sr-Cyrl-CS"/>
        </w:rPr>
        <w:t>.</w:t>
      </w:r>
      <w:r w:rsidR="002B6E12">
        <w:rPr>
          <w:rStyle w:val="FootnoteReference"/>
          <w:rFonts w:ascii="Times New Roman" w:hAnsi="Times New Roman"/>
          <w:sz w:val="24"/>
          <w:szCs w:val="24"/>
          <w:lang w:val="sr-Cyrl-CS"/>
        </w:rPr>
        <w:footnoteReference w:id="601"/>
      </w:r>
    </w:p>
    <w:p w:rsidR="002B6E12" w:rsidRPr="00CE641B" w:rsidRDefault="00A72773" w:rsidP="002B6E12">
      <w:pPr>
        <w:ind w:firstLine="360"/>
        <w:jc w:val="both"/>
        <w:rPr>
          <w:rFonts w:ascii="Times New Roman" w:hAnsi="Times New Roman"/>
          <w:sz w:val="24"/>
          <w:szCs w:val="24"/>
          <w:lang w:val="sr-Cyrl-CS"/>
        </w:rPr>
      </w:pPr>
      <w:r>
        <w:rPr>
          <w:rFonts w:ascii="Times New Roman" w:hAnsi="Times New Roman"/>
          <w:sz w:val="24"/>
          <w:szCs w:val="24"/>
          <w:lang w:val="sr-Cyrl-CS"/>
        </w:rPr>
        <w:lastRenderedPageBreak/>
        <w:t>Како број</w:t>
      </w:r>
      <w:r w:rsidR="002B6E12" w:rsidRPr="00CE641B">
        <w:rPr>
          <w:rFonts w:ascii="Times New Roman" w:hAnsi="Times New Roman"/>
          <w:sz w:val="24"/>
          <w:szCs w:val="24"/>
          <w:lang w:val="sr-Cyrl-CS"/>
        </w:rPr>
        <w:t xml:space="preserve"> пореских рајева расте </w:t>
      </w:r>
      <w:r>
        <w:rPr>
          <w:rFonts w:ascii="Times New Roman" w:hAnsi="Times New Roman"/>
          <w:sz w:val="24"/>
          <w:szCs w:val="24"/>
          <w:lang w:val="sr-Cyrl-CS"/>
        </w:rPr>
        <w:t xml:space="preserve">то је међу њима већа </w:t>
      </w:r>
      <w:r w:rsidR="002B6E12" w:rsidRPr="00CE641B">
        <w:rPr>
          <w:rFonts w:ascii="Times New Roman" w:hAnsi="Times New Roman"/>
          <w:sz w:val="24"/>
          <w:szCs w:val="24"/>
          <w:lang w:val="sr-Cyrl-CS"/>
        </w:rPr>
        <w:t>конкуре</w:t>
      </w:r>
      <w:r>
        <w:rPr>
          <w:rFonts w:ascii="Times New Roman" w:hAnsi="Times New Roman"/>
          <w:sz w:val="24"/>
          <w:szCs w:val="24"/>
          <w:lang w:val="sr-Cyrl-CS"/>
        </w:rPr>
        <w:t>нција, па долази до</w:t>
      </w:r>
      <w:r w:rsidR="002B6E12" w:rsidRPr="00CE641B">
        <w:rPr>
          <w:rFonts w:ascii="Times New Roman" w:hAnsi="Times New Roman"/>
          <w:sz w:val="24"/>
          <w:szCs w:val="24"/>
          <w:lang w:val="sr-Cyrl-CS"/>
        </w:rPr>
        <w:t xml:space="preserve"> </w:t>
      </w:r>
      <w:r>
        <w:rPr>
          <w:rFonts w:ascii="Times New Roman" w:hAnsi="Times New Roman"/>
          <w:sz w:val="24"/>
          <w:szCs w:val="24"/>
          <w:lang w:val="sr-Cyrl-CS"/>
        </w:rPr>
        <w:t>специјализације пореских рајева</w:t>
      </w:r>
      <w:r w:rsidR="002B6E12" w:rsidRPr="00CE641B">
        <w:rPr>
          <w:rFonts w:ascii="Times New Roman" w:hAnsi="Times New Roman"/>
          <w:sz w:val="24"/>
          <w:szCs w:val="24"/>
          <w:lang w:val="sr-Cyrl-CS"/>
        </w:rPr>
        <w:t xml:space="preserve"> за поједине врсте операција.</w:t>
      </w:r>
      <w:r w:rsidR="002B6E12">
        <w:rPr>
          <w:rStyle w:val="FootnoteReference"/>
          <w:rFonts w:ascii="Times New Roman" w:hAnsi="Times New Roman"/>
          <w:sz w:val="24"/>
          <w:szCs w:val="24"/>
          <w:lang w:val="sr-Cyrl-CS"/>
        </w:rPr>
        <w:footnoteReference w:id="602"/>
      </w:r>
      <w:r w:rsidR="002B6E12">
        <w:rPr>
          <w:rFonts w:ascii="Times New Roman" w:hAnsi="Times New Roman"/>
          <w:sz w:val="24"/>
          <w:szCs w:val="24"/>
          <w:lang w:val="sr-Cyrl-CS"/>
        </w:rPr>
        <w:t xml:space="preserve"> </w:t>
      </w:r>
      <w:r w:rsidR="002B6E12" w:rsidRPr="00CE641B">
        <w:rPr>
          <w:rFonts w:ascii="Times New Roman" w:hAnsi="Times New Roman"/>
          <w:sz w:val="24"/>
          <w:szCs w:val="24"/>
          <w:lang w:val="sr-Cyrl-CS"/>
        </w:rPr>
        <w:t xml:space="preserve">Тако имамо: </w:t>
      </w:r>
    </w:p>
    <w:p w:rsidR="002B6E12" w:rsidRPr="00CE641B" w:rsidRDefault="002B6E12" w:rsidP="002B6E12">
      <w:pPr>
        <w:pStyle w:val="ListParagraph"/>
        <w:ind w:left="360"/>
        <w:jc w:val="both"/>
        <w:rPr>
          <w:rFonts w:ascii="Times New Roman" w:hAnsi="Times New Roman"/>
          <w:sz w:val="24"/>
          <w:szCs w:val="24"/>
          <w:lang w:val="sr-Cyrl-CS"/>
        </w:rPr>
      </w:pPr>
      <w:r w:rsidRPr="006F11FE">
        <w:rPr>
          <w:rFonts w:ascii="Times New Roman" w:hAnsi="Times New Roman"/>
          <w:sz w:val="24"/>
          <w:szCs w:val="24"/>
          <w:lang w:val="sr-Cyrl-CS"/>
        </w:rPr>
        <w:t>1. Места за регистровање фирми</w:t>
      </w:r>
      <w:r w:rsidR="00A72773">
        <w:rPr>
          <w:rFonts w:ascii="Times New Roman" w:hAnsi="Times New Roman"/>
          <w:sz w:val="24"/>
          <w:szCs w:val="24"/>
          <w:lang w:val="sr-Cyrl-CS"/>
        </w:rPr>
        <w:t>.</w:t>
      </w:r>
      <w:r w:rsidRPr="006F11FE">
        <w:rPr>
          <w:rFonts w:ascii="Times New Roman" w:hAnsi="Times New Roman"/>
          <w:sz w:val="24"/>
          <w:szCs w:val="24"/>
          <w:lang w:val="sr-Cyrl-CS"/>
        </w:rPr>
        <w:t xml:space="preserve"> </w:t>
      </w:r>
      <w:r w:rsidR="00A72773">
        <w:rPr>
          <w:rFonts w:ascii="Times New Roman" w:hAnsi="Times New Roman"/>
          <w:sz w:val="24"/>
          <w:szCs w:val="24"/>
          <w:lang w:val="sr-Cyrl-CS"/>
        </w:rPr>
        <w:t xml:space="preserve">Ова места </w:t>
      </w:r>
      <w:r w:rsidRPr="006F11FE">
        <w:rPr>
          <w:rFonts w:ascii="Times New Roman" w:hAnsi="Times New Roman"/>
          <w:sz w:val="24"/>
          <w:szCs w:val="24"/>
          <w:lang w:val="sr-Cyrl-CS"/>
        </w:rPr>
        <w:t>служе</w:t>
      </w:r>
      <w:r w:rsidR="00A72773">
        <w:rPr>
          <w:rFonts w:ascii="Times New Roman" w:hAnsi="Times New Roman"/>
          <w:sz w:val="24"/>
          <w:szCs w:val="24"/>
          <w:lang w:val="sr-Cyrl-CS"/>
        </w:rPr>
        <w:t xml:space="preserve"> превасходно</w:t>
      </w:r>
      <w:r w:rsidRPr="006F11FE">
        <w:rPr>
          <w:rFonts w:ascii="Times New Roman" w:hAnsi="Times New Roman"/>
          <w:sz w:val="24"/>
          <w:szCs w:val="24"/>
          <w:lang w:val="sr-Cyrl-CS"/>
        </w:rPr>
        <w:t xml:space="preserve"> за регистровање </w:t>
      </w:r>
      <w:r w:rsidRPr="00CE641B">
        <w:rPr>
          <w:rFonts w:ascii="Times New Roman" w:hAnsi="Times New Roman"/>
          <w:sz w:val="24"/>
          <w:szCs w:val="24"/>
          <w:lang w:val="sr-Cyrl-CS"/>
        </w:rPr>
        <w:t xml:space="preserve">офшор компанија које се после користе за трансакције међу другим пореским рајевима. </w:t>
      </w:r>
    </w:p>
    <w:p w:rsidR="002B6E12" w:rsidRPr="00CE641B" w:rsidRDefault="002B6E12" w:rsidP="002B6E12">
      <w:pPr>
        <w:pStyle w:val="ListParagraph"/>
        <w:ind w:left="360"/>
        <w:jc w:val="both"/>
        <w:rPr>
          <w:rFonts w:ascii="Times New Roman" w:hAnsi="Times New Roman"/>
          <w:sz w:val="24"/>
          <w:szCs w:val="24"/>
          <w:lang w:val="sr-Cyrl-CS"/>
        </w:rPr>
      </w:pPr>
      <w:r w:rsidRPr="006F11FE">
        <w:rPr>
          <w:rFonts w:ascii="Times New Roman" w:hAnsi="Times New Roman"/>
          <w:sz w:val="24"/>
          <w:szCs w:val="24"/>
          <w:lang w:val="sr-Cyrl-CS"/>
        </w:rPr>
        <w:t>2. Регистрациони центри. Ове лока</w:t>
      </w:r>
      <w:r>
        <w:rPr>
          <w:rFonts w:ascii="Times New Roman" w:hAnsi="Times New Roman"/>
          <w:sz w:val="24"/>
          <w:szCs w:val="24"/>
          <w:lang w:val="sr-Cyrl-CS"/>
        </w:rPr>
        <w:t>ције служе да се преко њих капи</w:t>
      </w:r>
      <w:r w:rsidR="00A72773">
        <w:rPr>
          <w:rFonts w:ascii="Times New Roman" w:hAnsi="Times New Roman"/>
          <w:sz w:val="24"/>
          <w:szCs w:val="24"/>
          <w:lang w:val="sr-Cyrl-CS"/>
        </w:rPr>
        <w:t xml:space="preserve">тал инвестира у земљу порекла и </w:t>
      </w:r>
      <w:r w:rsidRPr="00CE641B">
        <w:rPr>
          <w:rFonts w:ascii="Times New Roman" w:hAnsi="Times New Roman"/>
          <w:sz w:val="24"/>
          <w:szCs w:val="24"/>
          <w:lang w:val="sr-Cyrl-CS"/>
        </w:rPr>
        <w:t xml:space="preserve"> за разлику од прет</w:t>
      </w:r>
      <w:r w:rsidR="00A72773">
        <w:rPr>
          <w:rFonts w:ascii="Times New Roman" w:hAnsi="Times New Roman"/>
          <w:sz w:val="24"/>
          <w:szCs w:val="24"/>
          <w:lang w:val="sr-Cyrl-CS"/>
        </w:rPr>
        <w:t>ходног типа морају располагати</w:t>
      </w:r>
      <w:r w:rsidRPr="00CE641B">
        <w:rPr>
          <w:rFonts w:ascii="Times New Roman" w:hAnsi="Times New Roman"/>
          <w:sz w:val="24"/>
          <w:szCs w:val="24"/>
          <w:lang w:val="sr-Cyrl-CS"/>
        </w:rPr>
        <w:t xml:space="preserve"> са одређеним бројем експерата који треба да пруже одговарај</w:t>
      </w:r>
      <w:r>
        <w:rPr>
          <w:rFonts w:ascii="Times New Roman" w:hAnsi="Times New Roman"/>
          <w:sz w:val="24"/>
          <w:szCs w:val="24"/>
          <w:lang w:val="sr-Cyrl-CS"/>
        </w:rPr>
        <w:t>уће услуге клијентима који кори</w:t>
      </w:r>
      <w:r w:rsidRPr="00CE641B">
        <w:rPr>
          <w:rFonts w:ascii="Times New Roman" w:hAnsi="Times New Roman"/>
          <w:sz w:val="24"/>
          <w:szCs w:val="24"/>
          <w:lang w:val="sr-Cyrl-CS"/>
        </w:rPr>
        <w:t xml:space="preserve">сте компаније регистроване на тој локацији. </w:t>
      </w:r>
    </w:p>
    <w:p w:rsidR="00A72773" w:rsidRDefault="002B6E12" w:rsidP="002B6E12">
      <w:pPr>
        <w:pStyle w:val="ListParagraph"/>
        <w:ind w:left="360"/>
        <w:jc w:val="both"/>
        <w:rPr>
          <w:rFonts w:ascii="Times New Roman" w:hAnsi="Times New Roman"/>
          <w:sz w:val="24"/>
          <w:szCs w:val="24"/>
          <w:lang w:val="sr-Cyrl-CS"/>
        </w:rPr>
      </w:pPr>
      <w:r w:rsidRPr="006F11FE">
        <w:rPr>
          <w:rFonts w:ascii="Times New Roman" w:hAnsi="Times New Roman"/>
          <w:sz w:val="24"/>
          <w:szCs w:val="24"/>
          <w:lang w:val="sr-Cyrl-CS"/>
        </w:rPr>
        <w:t xml:space="preserve">3. Локације које инсистирају на тајности. </w:t>
      </w:r>
      <w:r w:rsidR="00A72773">
        <w:rPr>
          <w:rFonts w:ascii="Times New Roman" w:hAnsi="Times New Roman"/>
          <w:sz w:val="24"/>
          <w:szCs w:val="24"/>
          <w:lang w:val="sr-Cyrl-CS"/>
        </w:rPr>
        <w:t>Ове локације су конкурентне због тајности.</w:t>
      </w:r>
    </w:p>
    <w:p w:rsidR="002B6E12" w:rsidRPr="00CE641B" w:rsidRDefault="002B6E12" w:rsidP="002B6E12">
      <w:pPr>
        <w:pStyle w:val="ListParagraph"/>
        <w:ind w:left="360"/>
        <w:jc w:val="both"/>
        <w:rPr>
          <w:rFonts w:ascii="Times New Roman" w:hAnsi="Times New Roman"/>
          <w:sz w:val="24"/>
          <w:szCs w:val="24"/>
          <w:lang w:val="sr-Cyrl-CS"/>
        </w:rPr>
      </w:pPr>
      <w:r w:rsidRPr="006F11FE">
        <w:t xml:space="preserve"> </w:t>
      </w:r>
      <w:r w:rsidRPr="00CE641B">
        <w:rPr>
          <w:rFonts w:ascii="Times New Roman" w:hAnsi="Times New Roman"/>
          <w:sz w:val="24"/>
          <w:szCs w:val="24"/>
          <w:lang w:val="sr-Cyrl-CS"/>
        </w:rPr>
        <w:t>4. Пружаоци специјализованих услуга</w:t>
      </w:r>
      <w:r>
        <w:rPr>
          <w:rFonts w:ascii="Times New Roman" w:hAnsi="Times New Roman"/>
          <w:sz w:val="24"/>
          <w:szCs w:val="24"/>
          <w:lang w:val="sr-Cyrl-CS"/>
        </w:rPr>
        <w:t xml:space="preserve">. Ове локације </w:t>
      </w:r>
      <w:r w:rsidR="00A72773">
        <w:rPr>
          <w:rFonts w:ascii="Times New Roman" w:hAnsi="Times New Roman"/>
          <w:sz w:val="24"/>
          <w:szCs w:val="24"/>
          <w:lang w:val="sr-Cyrl-CS"/>
        </w:rPr>
        <w:t>пружају</w:t>
      </w:r>
      <w:r w:rsidRPr="00CE641B">
        <w:rPr>
          <w:rFonts w:ascii="Times New Roman" w:hAnsi="Times New Roman"/>
          <w:sz w:val="24"/>
          <w:szCs w:val="24"/>
          <w:lang w:val="sr-Cyrl-CS"/>
        </w:rPr>
        <w:t xml:space="preserve"> услуге које су потребне за поједине специфичне врсте пословних активности. Тако нпр. Бермуда и Џернси привлаче тржиште осигурања, Кајманска острва хеџ фондове, итд. </w:t>
      </w:r>
    </w:p>
    <w:p w:rsidR="002B6E12" w:rsidRPr="00CE641B" w:rsidRDefault="002B6E12" w:rsidP="002B6E12">
      <w:pPr>
        <w:pStyle w:val="ListParagraph"/>
        <w:ind w:left="360"/>
        <w:jc w:val="both"/>
        <w:rPr>
          <w:rFonts w:ascii="Times New Roman" w:hAnsi="Times New Roman"/>
          <w:sz w:val="24"/>
          <w:szCs w:val="24"/>
          <w:lang w:val="sr-Cyrl-CS"/>
        </w:rPr>
      </w:pPr>
      <w:r w:rsidRPr="006F11FE">
        <w:rPr>
          <w:rFonts w:ascii="Times New Roman" w:hAnsi="Times New Roman"/>
          <w:sz w:val="24"/>
          <w:szCs w:val="24"/>
          <w:lang w:val="sr-Cyrl-CS"/>
        </w:rPr>
        <w:t xml:space="preserve">5. Места за пружање услуга власницима крупног капитала. Оваква </w:t>
      </w:r>
      <w:r>
        <w:rPr>
          <w:rFonts w:ascii="Times New Roman" w:hAnsi="Times New Roman"/>
          <w:sz w:val="24"/>
          <w:szCs w:val="24"/>
          <w:lang w:val="sr-Cyrl-CS"/>
        </w:rPr>
        <w:t>места</w:t>
      </w:r>
      <w:r w:rsidRPr="00CE641B">
        <w:rPr>
          <w:rFonts w:ascii="Times New Roman" w:hAnsi="Times New Roman"/>
          <w:sz w:val="24"/>
          <w:szCs w:val="24"/>
          <w:lang w:val="sr-Cyrl-CS"/>
        </w:rPr>
        <w:t xml:space="preserve"> </w:t>
      </w:r>
      <w:r>
        <w:rPr>
          <w:rFonts w:ascii="Times New Roman" w:hAnsi="Times New Roman"/>
          <w:sz w:val="24"/>
          <w:szCs w:val="24"/>
          <w:lang w:val="sr-Cyrl-CS"/>
        </w:rPr>
        <w:t>(Швајцарска, Њујорк, Лондон)</w:t>
      </w:r>
      <w:r w:rsidRPr="00CE641B">
        <w:rPr>
          <w:rFonts w:ascii="Times New Roman" w:hAnsi="Times New Roman"/>
          <w:sz w:val="24"/>
          <w:szCs w:val="24"/>
          <w:lang w:val="sr-Cyrl-CS"/>
        </w:rPr>
        <w:t xml:space="preserve"> развијају </w:t>
      </w:r>
      <w:r w:rsidR="00A72773">
        <w:rPr>
          <w:rFonts w:ascii="Times New Roman" w:hAnsi="Times New Roman"/>
          <w:sz w:val="24"/>
          <w:szCs w:val="24"/>
          <w:lang w:val="sr-Cyrl-CS"/>
        </w:rPr>
        <w:t xml:space="preserve">потенцијале </w:t>
      </w:r>
      <w:r w:rsidRPr="00CE641B">
        <w:rPr>
          <w:rFonts w:ascii="Times New Roman" w:hAnsi="Times New Roman"/>
          <w:sz w:val="24"/>
          <w:szCs w:val="24"/>
          <w:lang w:val="sr-Cyrl-CS"/>
        </w:rPr>
        <w:t xml:space="preserve">потребне за управљање имовином депонената који спадају у најбогатије људе света. </w:t>
      </w:r>
    </w:p>
    <w:p w:rsidR="002B6E12" w:rsidRPr="00CE641B" w:rsidRDefault="002B6E12" w:rsidP="002B6E12">
      <w:pPr>
        <w:pStyle w:val="ListParagraph"/>
        <w:ind w:left="360"/>
        <w:jc w:val="both"/>
        <w:rPr>
          <w:rFonts w:ascii="Times New Roman" w:hAnsi="Times New Roman"/>
          <w:sz w:val="24"/>
          <w:szCs w:val="24"/>
          <w:lang w:val="sr-Cyrl-CS"/>
        </w:rPr>
      </w:pPr>
      <w:r w:rsidRPr="006F11FE">
        <w:rPr>
          <w:rFonts w:ascii="Times New Roman" w:hAnsi="Times New Roman"/>
          <w:sz w:val="24"/>
          <w:szCs w:val="24"/>
          <w:lang w:val="sr-Cyrl-CS"/>
        </w:rPr>
        <w:t xml:space="preserve">6. Конкуренција у опорезивању. Ове локације </w:t>
      </w:r>
      <w:r w:rsidR="00A72773">
        <w:rPr>
          <w:rFonts w:ascii="Times New Roman" w:hAnsi="Times New Roman"/>
          <w:sz w:val="24"/>
          <w:szCs w:val="24"/>
          <w:lang w:val="sr-Cyrl-CS"/>
        </w:rPr>
        <w:t>имају</w:t>
      </w:r>
      <w:r w:rsidRPr="00CE641B">
        <w:rPr>
          <w:rFonts w:ascii="Times New Roman" w:hAnsi="Times New Roman"/>
          <w:sz w:val="24"/>
          <w:szCs w:val="24"/>
          <w:lang w:val="sr-Cyrl-CS"/>
        </w:rPr>
        <w:t xml:space="preserve"> порез који је нижи него било где, уз истовремено висок степен финансијске сигурности и малу вероватноћу да трансакције могу бити откривене.</w:t>
      </w:r>
    </w:p>
    <w:p w:rsidR="002B6E12" w:rsidRDefault="002B6E12" w:rsidP="002B6E12">
      <w:pPr>
        <w:pStyle w:val="ListParagraph"/>
        <w:ind w:left="0" w:firstLine="708"/>
        <w:jc w:val="both"/>
        <w:rPr>
          <w:rFonts w:ascii="Times New Roman" w:hAnsi="Times New Roman"/>
          <w:sz w:val="24"/>
          <w:szCs w:val="24"/>
          <w:lang w:val="sr-Cyrl-CS"/>
        </w:rPr>
      </w:pPr>
    </w:p>
    <w:p w:rsidR="002B6E12" w:rsidRDefault="002B6E12" w:rsidP="002B6E12">
      <w:pPr>
        <w:pStyle w:val="ListParagraph"/>
        <w:ind w:left="0" w:firstLine="360"/>
        <w:jc w:val="both"/>
        <w:rPr>
          <w:rFonts w:ascii="Times New Roman" w:hAnsi="Times New Roman"/>
          <w:sz w:val="24"/>
          <w:szCs w:val="24"/>
          <w:lang w:val="sr-Cyrl-CS"/>
        </w:rPr>
      </w:pPr>
      <w:r>
        <w:rPr>
          <w:rFonts w:ascii="Times New Roman" w:hAnsi="Times New Roman"/>
          <w:sz w:val="24"/>
          <w:szCs w:val="24"/>
        </w:rPr>
        <w:t xml:space="preserve">Различите су </w:t>
      </w:r>
      <w:r w:rsidRPr="00714674">
        <w:rPr>
          <w:rFonts w:ascii="Times New Roman" w:hAnsi="Times New Roman"/>
          <w:sz w:val="24"/>
          <w:szCs w:val="24"/>
        </w:rPr>
        <w:t>класификације</w:t>
      </w:r>
      <w:r>
        <w:rPr>
          <w:rFonts w:ascii="Times New Roman" w:hAnsi="Times New Roman"/>
          <w:sz w:val="24"/>
          <w:szCs w:val="24"/>
        </w:rPr>
        <w:t xml:space="preserve"> пореских рајева, а најчешће их аутори класификују у шест различитих група:</w:t>
      </w:r>
      <w:r>
        <w:rPr>
          <w:rStyle w:val="FootnoteReference"/>
          <w:rFonts w:ascii="Times New Roman" w:hAnsi="Times New Roman"/>
          <w:sz w:val="24"/>
          <w:szCs w:val="24"/>
        </w:rPr>
        <w:footnoteReference w:id="603"/>
      </w:r>
    </w:p>
    <w:p w:rsidR="002B6E12" w:rsidRPr="00CE641B" w:rsidRDefault="002B6E12" w:rsidP="002B6E12">
      <w:pPr>
        <w:pStyle w:val="ListParagraph"/>
        <w:ind w:left="0" w:firstLine="360"/>
        <w:jc w:val="both"/>
        <w:rPr>
          <w:rFonts w:ascii="Times New Roman" w:hAnsi="Times New Roman"/>
          <w:sz w:val="24"/>
          <w:szCs w:val="24"/>
          <w:lang w:val="sr-Cyrl-CS"/>
        </w:rPr>
      </w:pPr>
    </w:p>
    <w:p w:rsidR="002B6E12" w:rsidRDefault="002B6E12" w:rsidP="002B6E12">
      <w:pPr>
        <w:pStyle w:val="ListParagraph"/>
        <w:numPr>
          <w:ilvl w:val="0"/>
          <w:numId w:val="2"/>
        </w:numPr>
        <w:jc w:val="both"/>
        <w:rPr>
          <w:rFonts w:ascii="Times New Roman" w:hAnsi="Times New Roman"/>
          <w:sz w:val="24"/>
          <w:szCs w:val="24"/>
          <w:lang w:val="sr-Cyrl-CS"/>
        </w:rPr>
      </w:pPr>
      <w:r>
        <w:rPr>
          <w:rFonts w:ascii="Times New Roman" w:hAnsi="Times New Roman"/>
          <w:sz w:val="24"/>
          <w:szCs w:val="24"/>
          <w:lang w:val="sr-Cyrl-CS"/>
        </w:rPr>
        <w:t>Нулти порески рајеви-у питању су државе које немају порез на доходак, порез на корпорације, порез на богатство и порез на капиталне добитке (Бахами, Бермуда, Кајманска острва);</w:t>
      </w:r>
    </w:p>
    <w:p w:rsidR="002B6E12" w:rsidRDefault="002B6E12" w:rsidP="002B6E12">
      <w:pPr>
        <w:pStyle w:val="ListParagraph"/>
        <w:numPr>
          <w:ilvl w:val="0"/>
          <w:numId w:val="2"/>
        </w:numPr>
        <w:jc w:val="both"/>
        <w:rPr>
          <w:rFonts w:ascii="Times New Roman" w:hAnsi="Times New Roman"/>
          <w:sz w:val="24"/>
          <w:szCs w:val="24"/>
          <w:lang w:val="sr-Cyrl-CS"/>
        </w:rPr>
      </w:pPr>
      <w:r>
        <w:rPr>
          <w:rFonts w:ascii="Times New Roman" w:hAnsi="Times New Roman"/>
          <w:sz w:val="24"/>
          <w:szCs w:val="24"/>
          <w:lang w:val="sr-Cyrl-CS"/>
        </w:rPr>
        <w:t>Државе у којима се ови порези примењују на територијалној основи, што води изузимању за профите који се остварују путем операција реализованих изван државне територије (Коста Рика, Хонг Конг, Либерија, Панама, Филипини, Велика Британија за нерезидентне компаније);</w:t>
      </w:r>
    </w:p>
    <w:p w:rsidR="002B6E12" w:rsidRDefault="002B6E12" w:rsidP="002B6E12">
      <w:pPr>
        <w:pStyle w:val="ListParagraph"/>
        <w:numPr>
          <w:ilvl w:val="0"/>
          <w:numId w:val="2"/>
        </w:numPr>
        <w:jc w:val="both"/>
        <w:rPr>
          <w:rFonts w:ascii="Times New Roman" w:hAnsi="Times New Roman"/>
          <w:sz w:val="24"/>
          <w:szCs w:val="24"/>
          <w:lang w:val="sr-Cyrl-CS"/>
        </w:rPr>
      </w:pPr>
      <w:r>
        <w:rPr>
          <w:rFonts w:ascii="Times New Roman" w:hAnsi="Times New Roman"/>
          <w:sz w:val="24"/>
          <w:szCs w:val="24"/>
          <w:lang w:val="sr-Cyrl-CS"/>
        </w:rPr>
        <w:t>Државе са ниским пореским стопама зато што су стопе тако у закону одређене или зато што се врши њихово умањивање због примене пореских уговора (Линхенштајн, Швајцарска, Британска Девичанска Острва, Холандски Антили);</w:t>
      </w:r>
    </w:p>
    <w:p w:rsidR="002B6E12" w:rsidRDefault="002B6E12" w:rsidP="002B6E12">
      <w:pPr>
        <w:pStyle w:val="ListParagraph"/>
        <w:numPr>
          <w:ilvl w:val="0"/>
          <w:numId w:val="2"/>
        </w:numPr>
        <w:jc w:val="both"/>
        <w:rPr>
          <w:rFonts w:ascii="Times New Roman" w:hAnsi="Times New Roman"/>
          <w:sz w:val="24"/>
          <w:szCs w:val="24"/>
          <w:lang w:val="sr-Cyrl-CS"/>
        </w:rPr>
      </w:pPr>
      <w:r>
        <w:rPr>
          <w:rFonts w:ascii="Times New Roman" w:hAnsi="Times New Roman"/>
          <w:sz w:val="24"/>
          <w:szCs w:val="24"/>
          <w:lang w:val="sr-Cyrl-CS"/>
        </w:rPr>
        <w:t xml:space="preserve">Државе које </w:t>
      </w:r>
      <w:r w:rsidR="00156171">
        <w:rPr>
          <w:rFonts w:ascii="Times New Roman" w:hAnsi="Times New Roman"/>
          <w:sz w:val="24"/>
          <w:szCs w:val="24"/>
          <w:lang w:val="sr-Cyrl-CS"/>
        </w:rPr>
        <w:t xml:space="preserve">пружају </w:t>
      </w:r>
      <w:r>
        <w:rPr>
          <w:rFonts w:ascii="Times New Roman" w:hAnsi="Times New Roman"/>
          <w:sz w:val="24"/>
          <w:szCs w:val="24"/>
          <w:lang w:val="sr-Cyrl-CS"/>
        </w:rPr>
        <w:t>специјалне погодности холдинг или офшор компанијама (Кариби, Луксембург, Холандија, Сингапур);</w:t>
      </w:r>
    </w:p>
    <w:p w:rsidR="004549FA" w:rsidRPr="004549FA" w:rsidRDefault="002B6E12" w:rsidP="004549FA">
      <w:pPr>
        <w:pStyle w:val="ListParagraph"/>
        <w:numPr>
          <w:ilvl w:val="0"/>
          <w:numId w:val="2"/>
        </w:numPr>
        <w:jc w:val="both"/>
        <w:rPr>
          <w:rFonts w:ascii="Times New Roman" w:hAnsi="Times New Roman"/>
          <w:sz w:val="24"/>
          <w:szCs w:val="24"/>
          <w:lang w:val="sr-Cyrl-CS"/>
        </w:rPr>
      </w:pPr>
      <w:r>
        <w:rPr>
          <w:rFonts w:ascii="Times New Roman" w:hAnsi="Times New Roman"/>
          <w:sz w:val="24"/>
          <w:szCs w:val="24"/>
          <w:lang w:val="sr-Cyrl-CS"/>
        </w:rPr>
        <w:t xml:space="preserve">Државе које </w:t>
      </w:r>
      <w:r w:rsidR="00156171">
        <w:rPr>
          <w:rFonts w:ascii="Times New Roman" w:hAnsi="Times New Roman"/>
          <w:sz w:val="24"/>
          <w:szCs w:val="24"/>
          <w:lang w:val="sr-Cyrl-CS"/>
        </w:rPr>
        <w:t>пружају</w:t>
      </w:r>
      <w:r>
        <w:rPr>
          <w:rFonts w:ascii="Times New Roman" w:hAnsi="Times New Roman"/>
          <w:sz w:val="24"/>
          <w:szCs w:val="24"/>
          <w:lang w:val="sr-Cyrl-CS"/>
        </w:rPr>
        <w:t xml:space="preserve"> пореска изузимања за индустрије установљене у циљу развоја извоза (Ирска);</w:t>
      </w:r>
    </w:p>
    <w:p w:rsidR="002B6E12" w:rsidRDefault="002B6E12" w:rsidP="002B6E12">
      <w:pPr>
        <w:pStyle w:val="ListParagraph"/>
        <w:numPr>
          <w:ilvl w:val="0"/>
          <w:numId w:val="2"/>
        </w:numPr>
        <w:jc w:val="both"/>
        <w:rPr>
          <w:rFonts w:ascii="Times New Roman" w:hAnsi="Times New Roman"/>
          <w:sz w:val="24"/>
          <w:szCs w:val="24"/>
          <w:lang w:val="sr-Cyrl-CS"/>
        </w:rPr>
      </w:pPr>
      <w:r>
        <w:rPr>
          <w:rFonts w:ascii="Times New Roman" w:hAnsi="Times New Roman"/>
          <w:sz w:val="24"/>
          <w:szCs w:val="24"/>
          <w:lang w:val="sr-Cyrl-CS"/>
        </w:rPr>
        <w:lastRenderedPageBreak/>
        <w:t xml:space="preserve">Државе које </w:t>
      </w:r>
      <w:r w:rsidR="00156171">
        <w:rPr>
          <w:rFonts w:ascii="Times New Roman" w:hAnsi="Times New Roman"/>
          <w:sz w:val="24"/>
          <w:szCs w:val="24"/>
          <w:lang w:val="sr-Cyrl-CS"/>
        </w:rPr>
        <w:t>пружају</w:t>
      </w:r>
      <w:r>
        <w:rPr>
          <w:rFonts w:ascii="Times New Roman" w:hAnsi="Times New Roman"/>
          <w:sz w:val="24"/>
          <w:szCs w:val="24"/>
          <w:lang w:val="sr-Cyrl-CS"/>
        </w:rPr>
        <w:t xml:space="preserve"> специјалне погодности одређеним врстама компанија (Барбадос, Јамајка).  </w:t>
      </w:r>
    </w:p>
    <w:p w:rsidR="002B6E12" w:rsidRPr="00EC0137" w:rsidRDefault="002B6E12" w:rsidP="002B6E12">
      <w:pPr>
        <w:ind w:firstLine="360"/>
        <w:jc w:val="both"/>
        <w:rPr>
          <w:rFonts w:ascii="Times New Roman" w:hAnsi="Times New Roman"/>
          <w:sz w:val="24"/>
          <w:szCs w:val="24"/>
          <w:lang w:val="sr-Cyrl-CS"/>
        </w:rPr>
      </w:pPr>
      <w:r w:rsidRPr="00EC0137">
        <w:rPr>
          <w:rFonts w:ascii="Times New Roman" w:hAnsi="Times New Roman"/>
          <w:sz w:val="24"/>
          <w:szCs w:val="24"/>
          <w:lang w:val="sr-Cyrl-CS"/>
        </w:rPr>
        <w:t>Различити су и начини који се могу користити за избегавање плаћања пореза. Порески обвезници се могу преселити у јурисдикцију са ниским порезима, мотивисани избегавањем плаћа</w:t>
      </w:r>
      <w:r>
        <w:rPr>
          <w:rFonts w:ascii="Times New Roman" w:hAnsi="Times New Roman"/>
          <w:sz w:val="24"/>
          <w:szCs w:val="24"/>
          <w:lang w:val="sr-Cyrl-CS"/>
        </w:rPr>
        <w:t>ња пореза, па ће се у конкретно</w:t>
      </w:r>
      <w:r>
        <w:rPr>
          <w:rFonts w:ascii="Times New Roman" w:hAnsi="Times New Roman"/>
          <w:sz w:val="24"/>
          <w:szCs w:val="24"/>
        </w:rPr>
        <w:t>m</w:t>
      </w:r>
      <w:r w:rsidRPr="00EC0137">
        <w:rPr>
          <w:rFonts w:ascii="Times New Roman" w:hAnsi="Times New Roman"/>
          <w:sz w:val="24"/>
          <w:szCs w:val="24"/>
          <w:lang w:val="sr-Cyrl-CS"/>
        </w:rPr>
        <w:t xml:space="preserve"> случају радити о законитој евазији пореза. Међутим, не мора се само радити о пресељењу. Фирма може, на пример, основати своје филијале, а да се то и не зна услед принципа тајности који се примењује у пореским рајевима и консолидоване пореске основице.</w:t>
      </w:r>
      <w:r>
        <w:rPr>
          <w:rFonts w:ascii="Times New Roman" w:hAnsi="Times New Roman"/>
          <w:sz w:val="24"/>
          <w:szCs w:val="24"/>
          <w:lang w:val="sr-Cyrl-CS"/>
        </w:rPr>
        <w:t xml:space="preserve"> </w:t>
      </w:r>
      <w:r w:rsidRPr="00EC0137">
        <w:rPr>
          <w:rFonts w:ascii="Times New Roman" w:hAnsi="Times New Roman"/>
          <w:sz w:val="24"/>
          <w:szCs w:val="24"/>
          <w:lang w:val="sr-Cyrl-CS"/>
        </w:rPr>
        <w:t>У земљама са ниским пореским теретом предуз</w:t>
      </w:r>
      <w:r>
        <w:rPr>
          <w:rFonts w:ascii="Times New Roman" w:hAnsi="Times New Roman"/>
          <w:sz w:val="24"/>
          <w:szCs w:val="24"/>
          <w:lang w:val="sr-Cyrl-CS"/>
        </w:rPr>
        <w:t>еће повећава продају или смањуј</w:t>
      </w:r>
      <w:r>
        <w:rPr>
          <w:rFonts w:ascii="Times New Roman" w:hAnsi="Times New Roman"/>
          <w:sz w:val="24"/>
          <w:szCs w:val="24"/>
        </w:rPr>
        <w:t>e</w:t>
      </w:r>
      <w:r w:rsidRPr="00EC0137">
        <w:rPr>
          <w:rFonts w:ascii="Times New Roman" w:hAnsi="Times New Roman"/>
          <w:sz w:val="24"/>
          <w:szCs w:val="24"/>
          <w:lang w:val="sr-Cyrl-CS"/>
        </w:rPr>
        <w:t xml:space="preserve"> трошкове, те на тај начин повећава добит. У филијале се преноси доходак, јер је тамо повољнији порески третман, док се са друге стране повећавају трошкови у земљи резидентства и тако се смањује добит, а самим тим и порез. Компанија оснива своју филијалу у земљи пореског ра</w:t>
      </w:r>
      <w:r>
        <w:rPr>
          <w:rFonts w:ascii="Times New Roman" w:hAnsi="Times New Roman"/>
          <w:sz w:val="24"/>
          <w:szCs w:val="24"/>
          <w:lang w:val="sr-Cyrl-CS"/>
        </w:rPr>
        <w:t xml:space="preserve">ја, која потом склапа посао са </w:t>
      </w:r>
      <w:r w:rsidRPr="00EC0137">
        <w:rPr>
          <w:rFonts w:ascii="Times New Roman" w:hAnsi="Times New Roman"/>
          <w:sz w:val="24"/>
          <w:szCs w:val="24"/>
          <w:lang w:val="sr-Cyrl-CS"/>
        </w:rPr>
        <w:t>другом фирмом и на тај начин преко ов</w:t>
      </w:r>
      <w:r>
        <w:rPr>
          <w:rFonts w:ascii="Times New Roman" w:hAnsi="Times New Roman"/>
          <w:sz w:val="24"/>
          <w:szCs w:val="24"/>
          <w:lang w:val="sr-Cyrl-CS"/>
        </w:rPr>
        <w:t>ог посла увећава своју добит и сл.</w:t>
      </w:r>
    </w:p>
    <w:p w:rsidR="002B6E12" w:rsidRDefault="004D4D35" w:rsidP="002B6E12">
      <w:pPr>
        <w:pStyle w:val="ListParagraph"/>
        <w:ind w:left="0" w:firstLine="360"/>
        <w:jc w:val="both"/>
        <w:rPr>
          <w:rFonts w:ascii="Times New Roman" w:hAnsi="Times New Roman"/>
          <w:sz w:val="24"/>
          <w:szCs w:val="24"/>
          <w:lang w:val="sr-Cyrl-CS"/>
        </w:rPr>
      </w:pPr>
      <w:r>
        <w:rPr>
          <w:rFonts w:ascii="Times New Roman" w:hAnsi="Times New Roman"/>
          <w:sz w:val="24"/>
          <w:szCs w:val="24"/>
          <w:lang w:val="sr-Cyrl-CS"/>
        </w:rPr>
        <w:t>Како би се спречило избегавање плаћања преко злоупотребе</w:t>
      </w:r>
      <w:r w:rsidR="002B6E12">
        <w:rPr>
          <w:rFonts w:ascii="Times New Roman" w:hAnsi="Times New Roman"/>
          <w:sz w:val="24"/>
          <w:szCs w:val="24"/>
          <w:lang w:val="sr-Cyrl-CS"/>
        </w:rPr>
        <w:t xml:space="preserve"> пореских рајева </w:t>
      </w:r>
      <w:r>
        <w:rPr>
          <w:rFonts w:ascii="Times New Roman" w:hAnsi="Times New Roman"/>
          <w:sz w:val="24"/>
          <w:szCs w:val="24"/>
          <w:lang w:val="sr-Cyrl-CS"/>
        </w:rPr>
        <w:t>битно је да се омогући</w:t>
      </w:r>
      <w:r w:rsidR="002B6E12">
        <w:rPr>
          <w:rFonts w:ascii="Times New Roman" w:hAnsi="Times New Roman"/>
          <w:sz w:val="24"/>
          <w:szCs w:val="24"/>
          <w:lang w:val="sr-Cyrl-CS"/>
        </w:rPr>
        <w:t xml:space="preserve"> да се дође до битних информациј</w:t>
      </w:r>
      <w:r>
        <w:rPr>
          <w:rFonts w:ascii="Times New Roman" w:hAnsi="Times New Roman"/>
          <w:sz w:val="24"/>
          <w:szCs w:val="24"/>
          <w:lang w:val="sr-Cyrl-CS"/>
        </w:rPr>
        <w:t>а, што иначе онемогућава постојање</w:t>
      </w:r>
      <w:r w:rsidR="002B6E12">
        <w:rPr>
          <w:rFonts w:ascii="Times New Roman" w:hAnsi="Times New Roman"/>
          <w:sz w:val="24"/>
          <w:szCs w:val="24"/>
          <w:lang w:val="sr-Cyrl-CS"/>
        </w:rPr>
        <w:t xml:space="preserve"> банкарске тајне. ОЕЦД </w:t>
      </w:r>
      <w:r>
        <w:rPr>
          <w:rFonts w:ascii="Times New Roman" w:hAnsi="Times New Roman"/>
          <w:sz w:val="24"/>
          <w:szCs w:val="24"/>
          <w:lang w:val="sr-Cyrl-CS"/>
        </w:rPr>
        <w:t>потенцира значај сачињавања</w:t>
      </w:r>
      <w:r w:rsidR="002B6E12">
        <w:rPr>
          <w:rFonts w:ascii="Times New Roman" w:hAnsi="Times New Roman"/>
          <w:sz w:val="24"/>
          <w:szCs w:val="24"/>
          <w:lang w:val="sr-Cyrl-CS"/>
        </w:rPr>
        <w:t xml:space="preserve"> посебне листе држава које престављају пореске рајеве у циљу спречавања избегавања плаћања пореза. </w:t>
      </w:r>
      <w:r>
        <w:rPr>
          <w:rFonts w:ascii="Times New Roman" w:hAnsi="Times New Roman"/>
          <w:sz w:val="24"/>
          <w:szCs w:val="24"/>
          <w:lang w:val="sr-Cyrl-CS"/>
        </w:rPr>
        <w:t>Осим тога</w:t>
      </w:r>
      <w:r w:rsidR="002B6E12">
        <w:rPr>
          <w:rFonts w:ascii="Times New Roman" w:hAnsi="Times New Roman"/>
          <w:sz w:val="24"/>
          <w:szCs w:val="24"/>
          <w:lang w:val="sr-Cyrl-CS"/>
        </w:rPr>
        <w:t>, ОЕЦД је 2002. године објавио Модел споразума о размени информација у сврхе опорезивања што представља стандард за ефективну размену информација на сузбијању штетне пореске конкуренције. 2005. године ревидиран је чл. 26. Модела Конвенције ОЕЦД о двоструком опорезивању дохотка и имовине којим се изричито наводи да правила о домаћој банкарској тајности не могу бити коришћена као основ за одбијање пружања информација</w:t>
      </w:r>
      <w:r>
        <w:rPr>
          <w:rFonts w:ascii="Times New Roman" w:hAnsi="Times New Roman"/>
          <w:sz w:val="24"/>
          <w:szCs w:val="24"/>
          <w:lang w:val="sr-Cyrl-CS"/>
        </w:rPr>
        <w:t xml:space="preserve">, а у </w:t>
      </w:r>
      <w:r w:rsidR="002B6E12">
        <w:rPr>
          <w:rFonts w:ascii="Times New Roman" w:hAnsi="Times New Roman"/>
          <w:sz w:val="24"/>
          <w:szCs w:val="24"/>
          <w:lang w:val="sr-Cyrl-CS"/>
        </w:rPr>
        <w:t>међувремену, већи број земаља прихватио је ове стандарде и уградио их у билатералне споразуме о размени пореских информација.</w:t>
      </w:r>
      <w:r w:rsidR="002B6E12">
        <w:rPr>
          <w:rStyle w:val="FootnoteReference"/>
          <w:rFonts w:ascii="Times New Roman" w:hAnsi="Times New Roman"/>
          <w:sz w:val="24"/>
          <w:szCs w:val="24"/>
          <w:lang w:val="sr-Cyrl-CS"/>
        </w:rPr>
        <w:footnoteReference w:id="604"/>
      </w:r>
    </w:p>
    <w:p w:rsidR="002B6E12" w:rsidRDefault="002B6E12" w:rsidP="002B6E12">
      <w:pPr>
        <w:pStyle w:val="ListParagraph"/>
        <w:ind w:left="0"/>
        <w:jc w:val="both"/>
        <w:rPr>
          <w:rFonts w:ascii="Times New Roman" w:hAnsi="Times New Roman"/>
          <w:sz w:val="24"/>
          <w:szCs w:val="24"/>
          <w:lang w:val="sr-Cyrl-CS"/>
        </w:rPr>
      </w:pPr>
    </w:p>
    <w:p w:rsidR="002B6E12" w:rsidRDefault="002B6E12" w:rsidP="002B6E12">
      <w:pPr>
        <w:pStyle w:val="ListParagraph"/>
        <w:ind w:left="0"/>
        <w:jc w:val="both"/>
        <w:rPr>
          <w:rFonts w:ascii="Times New Roman" w:hAnsi="Times New Roman"/>
          <w:sz w:val="24"/>
          <w:szCs w:val="24"/>
          <w:lang w:val="sr-Cyrl-CS"/>
        </w:rPr>
      </w:pPr>
      <w:r>
        <w:rPr>
          <w:rFonts w:ascii="Times New Roman" w:hAnsi="Times New Roman"/>
          <w:sz w:val="24"/>
          <w:szCs w:val="24"/>
          <w:lang w:val="sr-Cyrl-CS"/>
        </w:rPr>
        <w:tab/>
        <w:t>У наставку излагања ћемо једну од злоупотреба путем оф-шор компаније приказати шематски. Тако се случај када оф-шор компаније робу, пореклом из Србије, наплаћују од стварног ино купца по реалним тржишним ценама, трансферишу средства у корист српских извозних фирми по основу умањених фактура, (исти стварни власник правног лица у Србији и оф-шор компаније, остварену разлику у цени која остаје на рачуну оф-шор компаније а на коју не плаћа порез, користи за куповину производних постројења и некретнина у Србији и иностранству), може приказати шематски на следећи начин:</w:t>
      </w:r>
    </w:p>
    <w:p w:rsidR="002B6E12" w:rsidRDefault="002B6E12" w:rsidP="002B6E12">
      <w:pPr>
        <w:pStyle w:val="ListParagraph"/>
        <w:ind w:left="0"/>
        <w:jc w:val="both"/>
        <w:rPr>
          <w:rFonts w:ascii="Times New Roman" w:hAnsi="Times New Roman"/>
          <w:sz w:val="24"/>
          <w:szCs w:val="24"/>
          <w:lang w:val="sr-Cyrl-CS"/>
        </w:rPr>
      </w:pPr>
    </w:p>
    <w:p w:rsidR="002B6E12" w:rsidRDefault="002B6E12" w:rsidP="002B6E12">
      <w:pPr>
        <w:pStyle w:val="ListParagraph"/>
        <w:ind w:left="0"/>
        <w:jc w:val="both"/>
        <w:rPr>
          <w:rFonts w:ascii="Times New Roman" w:hAnsi="Times New Roman"/>
          <w:sz w:val="24"/>
          <w:szCs w:val="24"/>
          <w:lang w:val="sr-Cyrl-CS"/>
        </w:rPr>
      </w:pPr>
    </w:p>
    <w:p w:rsidR="004D4D35" w:rsidRDefault="004D4D35" w:rsidP="002B6E12">
      <w:pPr>
        <w:pStyle w:val="ListParagraph"/>
        <w:ind w:left="0"/>
        <w:jc w:val="both"/>
        <w:rPr>
          <w:rFonts w:ascii="Times New Roman" w:hAnsi="Times New Roman"/>
          <w:sz w:val="24"/>
          <w:szCs w:val="24"/>
          <w:lang w:val="sr-Cyrl-CS"/>
        </w:rPr>
      </w:pPr>
    </w:p>
    <w:p w:rsidR="004D4D35" w:rsidRDefault="004D4D35" w:rsidP="002B6E12">
      <w:pPr>
        <w:pStyle w:val="ListParagraph"/>
        <w:ind w:left="0"/>
        <w:jc w:val="both"/>
        <w:rPr>
          <w:rFonts w:ascii="Times New Roman" w:hAnsi="Times New Roman"/>
          <w:sz w:val="24"/>
          <w:szCs w:val="24"/>
          <w:lang w:val="sr-Cyrl-CS"/>
        </w:rPr>
      </w:pPr>
    </w:p>
    <w:p w:rsidR="002B6E12" w:rsidRPr="00271C2B" w:rsidRDefault="0058630E" w:rsidP="002B6E12">
      <w:pPr>
        <w:pStyle w:val="ListParagraph"/>
        <w:ind w:left="0"/>
        <w:jc w:val="both"/>
        <w:rPr>
          <w:rFonts w:ascii="Times New Roman" w:hAnsi="Times New Roman"/>
          <w:b/>
          <w:sz w:val="24"/>
          <w:szCs w:val="24"/>
          <w:lang w:val="sr-Cyrl-CS"/>
        </w:rPr>
      </w:pPr>
      <w:r>
        <w:rPr>
          <w:rFonts w:ascii="Times New Roman" w:hAnsi="Times New Roman"/>
          <w:b/>
          <w:sz w:val="24"/>
          <w:szCs w:val="24"/>
          <w:lang w:val="sr-Cyrl-CS"/>
        </w:rPr>
        <w:lastRenderedPageBreak/>
        <w:t>Слика 22</w:t>
      </w:r>
      <w:r w:rsidR="002B6E12" w:rsidRPr="00271C2B">
        <w:rPr>
          <w:rFonts w:ascii="Times New Roman" w:hAnsi="Times New Roman"/>
          <w:b/>
          <w:sz w:val="24"/>
          <w:szCs w:val="24"/>
          <w:lang w:val="sr-Cyrl-CS"/>
        </w:rPr>
        <w:t>.</w:t>
      </w:r>
      <w:r w:rsidR="002B6E12" w:rsidRPr="00271C2B">
        <w:rPr>
          <w:rStyle w:val="FootnoteReference"/>
          <w:rFonts w:ascii="Times New Roman" w:hAnsi="Times New Roman"/>
          <w:sz w:val="24"/>
          <w:szCs w:val="24"/>
          <w:lang w:val="sr-Cyrl-CS"/>
        </w:rPr>
        <w:footnoteReference w:id="605"/>
      </w:r>
    </w:p>
    <w:p w:rsidR="002B6E12" w:rsidRDefault="00616181" w:rsidP="002B6E12">
      <w:pPr>
        <w:pStyle w:val="ListParagraph"/>
        <w:ind w:left="0"/>
        <w:jc w:val="both"/>
        <w:rPr>
          <w:rFonts w:ascii="Times New Roman" w:hAnsi="Times New Roman"/>
          <w:sz w:val="24"/>
          <w:szCs w:val="24"/>
          <w:lang w:val="sr-Cyrl-CS"/>
        </w:rPr>
      </w:pPr>
      <w:r>
        <w:rPr>
          <w:rFonts w:ascii="Times New Roman" w:hAnsi="Times New Roman"/>
          <w:noProof/>
          <w:sz w:val="24"/>
          <w:szCs w:val="24"/>
        </w:rPr>
        <w:pict>
          <v:rect id="_x0000_s1578" style="position:absolute;left:0;text-align:left;margin-left:2.7pt;margin-top:7.3pt;width:66pt;height:59.25pt;z-index:251899392">
            <v:textbox>
              <w:txbxContent>
                <w:p w:rsidR="00767127" w:rsidRPr="00271C2B" w:rsidRDefault="00767127" w:rsidP="002B6E12">
                  <w:pPr>
                    <w:rPr>
                      <w:sz w:val="18"/>
                      <w:szCs w:val="18"/>
                      <w:lang w:val="sr-Cyrl-CS"/>
                    </w:rPr>
                  </w:pPr>
                  <w:r>
                    <w:rPr>
                      <w:sz w:val="18"/>
                      <w:szCs w:val="18"/>
                      <w:lang w:val="sr-Cyrl-CS"/>
                    </w:rPr>
                    <w:t>Фирма из Србије која испоручује робу</w:t>
                  </w:r>
                </w:p>
              </w:txbxContent>
            </v:textbox>
          </v:rect>
        </w:pict>
      </w:r>
      <w:r>
        <w:rPr>
          <w:rFonts w:ascii="Times New Roman" w:hAnsi="Times New Roman"/>
          <w:noProof/>
          <w:sz w:val="24"/>
          <w:szCs w:val="24"/>
        </w:rPr>
        <w:pict>
          <v:rect id="_x0000_s1581" style="position:absolute;left:0;text-align:left;margin-left:369.45pt;margin-top:7.3pt;width:60pt;height:40.5pt;z-index:251902464">
            <v:textbox>
              <w:txbxContent>
                <w:p w:rsidR="00767127" w:rsidRPr="00271C2B" w:rsidRDefault="00767127" w:rsidP="002B6E12">
                  <w:pPr>
                    <w:rPr>
                      <w:sz w:val="18"/>
                      <w:szCs w:val="18"/>
                      <w:lang w:val="sr-Cyrl-CS"/>
                    </w:rPr>
                  </w:pPr>
                  <w:r>
                    <w:rPr>
                      <w:sz w:val="18"/>
                      <w:szCs w:val="18"/>
                      <w:lang w:val="sr-Cyrl-CS"/>
                    </w:rPr>
                    <w:t>Некретни-не</w:t>
                  </w:r>
                </w:p>
              </w:txbxContent>
            </v:textbox>
          </v:rect>
        </w:pict>
      </w:r>
    </w:p>
    <w:p w:rsidR="002B6E12" w:rsidRDefault="00616181" w:rsidP="002B6E12">
      <w:pPr>
        <w:pStyle w:val="ListParagraph"/>
        <w:ind w:left="0"/>
        <w:jc w:val="both"/>
        <w:rPr>
          <w:rFonts w:ascii="Times New Roman" w:hAnsi="Times New Roman"/>
          <w:sz w:val="24"/>
          <w:szCs w:val="24"/>
          <w:lang w:val="sr-Cyrl-CS"/>
        </w:rPr>
      </w:pPr>
      <w:r>
        <w:rPr>
          <w:rFonts w:ascii="Times New Roman" w:hAnsi="Times New Roman"/>
          <w:noProof/>
          <w:sz w:val="24"/>
          <w:szCs w:val="24"/>
        </w:rPr>
        <w:pict>
          <v:shape id="_x0000_s1583" type="#_x0000_t32" style="position:absolute;left:0;text-align:left;margin-left:74.7pt;margin-top:9.45pt;width:99.75pt;height:52.5pt;flip:x y;z-index:251904512" o:connectortype="straight">
            <v:stroke endarrow="block"/>
          </v:shape>
        </w:pict>
      </w:r>
    </w:p>
    <w:p w:rsidR="002B6E12" w:rsidRPr="00271C2B" w:rsidRDefault="00616181" w:rsidP="002B6E12">
      <w:pPr>
        <w:pStyle w:val="ListParagraph"/>
        <w:ind w:left="0"/>
        <w:jc w:val="both"/>
        <w:rPr>
          <w:rFonts w:ascii="Times New Roman" w:hAnsi="Times New Roman"/>
          <w:sz w:val="20"/>
          <w:szCs w:val="20"/>
          <w:lang w:val="sr-Cyrl-CS"/>
        </w:rPr>
      </w:pPr>
      <w:r w:rsidRPr="00616181">
        <w:rPr>
          <w:rFonts w:ascii="Times New Roman" w:hAnsi="Times New Roman"/>
          <w:noProof/>
          <w:sz w:val="24"/>
          <w:szCs w:val="24"/>
        </w:rPr>
        <w:pict>
          <v:shape id="_x0000_s1585" type="#_x0000_t32" style="position:absolute;left:0;text-align:left;margin-left:261.45pt;margin-top:8.55pt;width:93pt;height:33pt;flip:y;z-index:251906560" o:connectortype="straight">
            <v:stroke endarrow="block"/>
          </v:shape>
        </w:pict>
      </w:r>
      <w:r w:rsidR="002B6E12">
        <w:rPr>
          <w:rFonts w:ascii="Times New Roman" w:hAnsi="Times New Roman"/>
          <w:sz w:val="24"/>
          <w:szCs w:val="24"/>
          <w:lang w:val="sr-Cyrl-CS"/>
        </w:rPr>
        <w:t xml:space="preserve">                                 </w:t>
      </w:r>
      <w:r w:rsidR="002B6E12">
        <w:rPr>
          <w:rFonts w:ascii="Times New Roman" w:hAnsi="Times New Roman"/>
          <w:sz w:val="20"/>
          <w:szCs w:val="20"/>
          <w:lang w:val="sr-Cyrl-CS"/>
        </w:rPr>
        <w:t>Наплата по умањеној фактури                  куповина некретнина</w:t>
      </w:r>
    </w:p>
    <w:p w:rsidR="002B6E12" w:rsidRDefault="00616181" w:rsidP="002B6E12">
      <w:pPr>
        <w:pStyle w:val="ListParagraph"/>
        <w:ind w:left="0"/>
        <w:jc w:val="both"/>
        <w:rPr>
          <w:rFonts w:ascii="Times New Roman" w:hAnsi="Times New Roman"/>
          <w:sz w:val="24"/>
          <w:szCs w:val="24"/>
          <w:lang w:val="sr-Cyrl-CS"/>
        </w:rPr>
      </w:pPr>
      <w:r>
        <w:rPr>
          <w:rFonts w:ascii="Times New Roman" w:hAnsi="Times New Roman"/>
          <w:noProof/>
          <w:sz w:val="24"/>
          <w:szCs w:val="24"/>
        </w:rPr>
        <w:pict>
          <v:rect id="_x0000_s1580" style="position:absolute;left:0;text-align:left;margin-left:187.2pt;margin-top:6.95pt;width:70.5pt;height:42.75pt;z-index:251901440">
            <v:textbox>
              <w:txbxContent>
                <w:p w:rsidR="00767127" w:rsidRPr="00271C2B" w:rsidRDefault="00767127" w:rsidP="002B6E12">
                  <w:pPr>
                    <w:rPr>
                      <w:sz w:val="18"/>
                      <w:szCs w:val="18"/>
                      <w:lang w:val="sr-Cyrl-CS"/>
                    </w:rPr>
                  </w:pPr>
                  <w:r>
                    <w:rPr>
                      <w:sz w:val="18"/>
                      <w:szCs w:val="18"/>
                      <w:lang w:val="sr-Cyrl-CS"/>
                    </w:rPr>
                    <w:t>Оф-шор компанија</w:t>
                  </w:r>
                </w:p>
              </w:txbxContent>
            </v:textbox>
          </v:rect>
        </w:pict>
      </w:r>
    </w:p>
    <w:p w:rsidR="002B6E12" w:rsidRDefault="00616181" w:rsidP="002B6E12">
      <w:pPr>
        <w:pStyle w:val="ListParagraph"/>
        <w:ind w:left="0"/>
        <w:jc w:val="both"/>
        <w:rPr>
          <w:rFonts w:ascii="Times New Roman" w:hAnsi="Times New Roman"/>
          <w:sz w:val="24"/>
          <w:szCs w:val="24"/>
          <w:lang w:val="sr-Cyrl-CS"/>
        </w:rPr>
      </w:pPr>
      <w:r>
        <w:rPr>
          <w:rFonts w:ascii="Times New Roman" w:hAnsi="Times New Roman"/>
          <w:noProof/>
          <w:sz w:val="24"/>
          <w:szCs w:val="24"/>
        </w:rPr>
        <w:pict>
          <v:shape id="_x0000_s1587" type="#_x0000_t32" style="position:absolute;left:0;text-align:left;margin-left:37.95pt;margin-top:3.1pt;width:0;height:30.75pt;z-index:251908608" o:connectortype="straight">
            <v:stroke endarrow="block"/>
          </v:shape>
        </w:pict>
      </w:r>
      <w:r>
        <w:rPr>
          <w:rFonts w:ascii="Times New Roman" w:hAnsi="Times New Roman"/>
          <w:noProof/>
          <w:sz w:val="24"/>
          <w:szCs w:val="24"/>
        </w:rPr>
        <w:pict>
          <v:shape id="_x0000_s1586" type="#_x0000_t32" style="position:absolute;left:0;text-align:left;margin-left:268.2pt;margin-top:14.35pt;width:92.25pt;height:46.5pt;z-index:251907584" o:connectortype="straight">
            <v:stroke endarrow="block"/>
          </v:shape>
        </w:pict>
      </w:r>
    </w:p>
    <w:p w:rsidR="002B6E12" w:rsidRDefault="00616181" w:rsidP="002B6E12">
      <w:pPr>
        <w:pStyle w:val="ListParagraph"/>
        <w:ind w:left="0"/>
        <w:jc w:val="both"/>
        <w:rPr>
          <w:rFonts w:ascii="Times New Roman" w:hAnsi="Times New Roman"/>
          <w:sz w:val="24"/>
          <w:szCs w:val="24"/>
          <w:lang w:val="sr-Cyrl-CS"/>
        </w:rPr>
      </w:pPr>
      <w:r>
        <w:rPr>
          <w:rFonts w:ascii="Times New Roman" w:hAnsi="Times New Roman"/>
          <w:noProof/>
          <w:sz w:val="24"/>
          <w:szCs w:val="24"/>
        </w:rPr>
        <w:pict>
          <v:shape id="_x0000_s1584" type="#_x0000_t32" style="position:absolute;left:0;text-align:left;margin-left:80.7pt;margin-top:8.2pt;width:93.75pt;height:33pt;flip:y;z-index:251905536" o:connectortype="straight">
            <v:stroke endarrow="block"/>
          </v:shape>
        </w:pict>
      </w:r>
      <w:r w:rsidR="002B6E12">
        <w:rPr>
          <w:rFonts w:ascii="Times New Roman" w:hAnsi="Times New Roman"/>
          <w:sz w:val="24"/>
          <w:szCs w:val="24"/>
          <w:lang w:val="sr-Cyrl-CS"/>
        </w:rPr>
        <w:t xml:space="preserve">              роба</w:t>
      </w:r>
    </w:p>
    <w:p w:rsidR="002B6E12" w:rsidRDefault="00616181" w:rsidP="002B6E12">
      <w:pPr>
        <w:pStyle w:val="ListParagraph"/>
        <w:ind w:left="0"/>
        <w:jc w:val="both"/>
        <w:rPr>
          <w:rFonts w:ascii="Times New Roman" w:hAnsi="Times New Roman"/>
          <w:sz w:val="24"/>
          <w:szCs w:val="24"/>
          <w:lang w:val="sr-Cyrl-CS"/>
        </w:rPr>
      </w:pPr>
      <w:r>
        <w:rPr>
          <w:rFonts w:ascii="Times New Roman" w:hAnsi="Times New Roman"/>
          <w:noProof/>
          <w:sz w:val="24"/>
          <w:szCs w:val="24"/>
        </w:rPr>
        <w:pict>
          <v:rect id="_x0000_s1579" style="position:absolute;left:0;text-align:left;margin-left:6.45pt;margin-top:2.1pt;width:68.25pt;height:67.5pt;z-index:251900416">
            <v:textbox>
              <w:txbxContent>
                <w:p w:rsidR="00767127" w:rsidRPr="00271C2B" w:rsidRDefault="00767127" w:rsidP="002B6E12">
                  <w:pPr>
                    <w:rPr>
                      <w:sz w:val="18"/>
                      <w:szCs w:val="18"/>
                      <w:lang w:val="sr-Cyrl-CS"/>
                    </w:rPr>
                  </w:pPr>
                  <w:r>
                    <w:rPr>
                      <w:sz w:val="18"/>
                      <w:szCs w:val="18"/>
                      <w:lang w:val="sr-Cyrl-CS"/>
                    </w:rPr>
                    <w:t>Ино фирма која купује робу по тржишној цени</w:t>
                  </w:r>
                </w:p>
              </w:txbxContent>
            </v:textbox>
          </v:rect>
        </w:pict>
      </w:r>
      <w:r>
        <w:rPr>
          <w:rFonts w:ascii="Times New Roman" w:hAnsi="Times New Roman"/>
          <w:noProof/>
          <w:sz w:val="24"/>
          <w:szCs w:val="24"/>
        </w:rPr>
        <w:pict>
          <v:rect id="_x0000_s1582" style="position:absolute;left:0;text-align:left;margin-left:369.45pt;margin-top:2.1pt;width:66pt;height:44.25pt;z-index:251903488">
            <v:textbox>
              <w:txbxContent>
                <w:p w:rsidR="00767127" w:rsidRPr="00271C2B" w:rsidRDefault="00767127" w:rsidP="002B6E12">
                  <w:pPr>
                    <w:rPr>
                      <w:sz w:val="18"/>
                      <w:szCs w:val="18"/>
                      <w:lang w:val="sr-Cyrl-CS"/>
                    </w:rPr>
                  </w:pPr>
                  <w:r>
                    <w:rPr>
                      <w:sz w:val="18"/>
                      <w:szCs w:val="18"/>
                      <w:lang w:val="sr-Cyrl-CS"/>
                    </w:rPr>
                    <w:t>Привредна друштва</w:t>
                  </w:r>
                </w:p>
              </w:txbxContent>
            </v:textbox>
          </v:rect>
        </w:pict>
      </w:r>
    </w:p>
    <w:p w:rsidR="002B6E12" w:rsidRPr="00271C2B" w:rsidRDefault="002B6E12" w:rsidP="002B6E12">
      <w:pPr>
        <w:pStyle w:val="ListParagraph"/>
        <w:ind w:left="0"/>
        <w:jc w:val="both"/>
        <w:rPr>
          <w:rFonts w:ascii="Times New Roman" w:hAnsi="Times New Roman"/>
          <w:sz w:val="20"/>
          <w:szCs w:val="20"/>
          <w:lang w:val="sr-Cyrl-CS"/>
        </w:rPr>
      </w:pPr>
      <w:r>
        <w:rPr>
          <w:rFonts w:ascii="Times New Roman" w:hAnsi="Times New Roman"/>
          <w:sz w:val="24"/>
          <w:szCs w:val="24"/>
          <w:lang w:val="sr-Cyrl-CS"/>
        </w:rPr>
        <w:t xml:space="preserve">                               </w:t>
      </w:r>
      <w:r w:rsidRPr="00271C2B">
        <w:rPr>
          <w:rFonts w:ascii="Times New Roman" w:hAnsi="Times New Roman"/>
          <w:sz w:val="20"/>
          <w:szCs w:val="20"/>
          <w:lang w:val="sr-Cyrl-CS"/>
        </w:rPr>
        <w:t>плаћање по реалној фактури</w:t>
      </w:r>
      <w:r>
        <w:rPr>
          <w:rFonts w:ascii="Times New Roman" w:hAnsi="Times New Roman"/>
          <w:sz w:val="20"/>
          <w:szCs w:val="20"/>
          <w:lang w:val="sr-Cyrl-CS"/>
        </w:rPr>
        <w:t xml:space="preserve">                           куповина предузећа</w:t>
      </w:r>
    </w:p>
    <w:p w:rsidR="002B6E12" w:rsidRDefault="002B6E12" w:rsidP="002B6E12">
      <w:pPr>
        <w:pStyle w:val="ListParagraph"/>
        <w:ind w:left="0"/>
        <w:jc w:val="both"/>
        <w:rPr>
          <w:rFonts w:ascii="Times New Roman" w:hAnsi="Times New Roman"/>
          <w:sz w:val="24"/>
          <w:szCs w:val="24"/>
          <w:lang w:val="sr-Cyrl-CS"/>
        </w:rPr>
      </w:pPr>
    </w:p>
    <w:p w:rsidR="002B6E12" w:rsidRDefault="002B6E12" w:rsidP="002B6E12">
      <w:pPr>
        <w:pStyle w:val="ListParagraph"/>
        <w:ind w:left="0"/>
        <w:jc w:val="both"/>
        <w:rPr>
          <w:rFonts w:ascii="Times New Roman" w:hAnsi="Times New Roman"/>
          <w:sz w:val="24"/>
          <w:szCs w:val="24"/>
          <w:lang w:val="sr-Cyrl-CS"/>
        </w:rPr>
      </w:pPr>
    </w:p>
    <w:p w:rsidR="002B6E12" w:rsidRDefault="002B6E12" w:rsidP="002B6E12">
      <w:pPr>
        <w:pStyle w:val="ListParagraph"/>
        <w:ind w:left="0"/>
        <w:jc w:val="both"/>
        <w:rPr>
          <w:rFonts w:ascii="Times New Roman" w:hAnsi="Times New Roman"/>
          <w:sz w:val="24"/>
          <w:szCs w:val="24"/>
          <w:lang w:val="sr-Cyrl-CS"/>
        </w:rPr>
      </w:pPr>
    </w:p>
    <w:p w:rsidR="002B6E12" w:rsidRDefault="002B6E12" w:rsidP="002B6E12">
      <w:pPr>
        <w:pStyle w:val="ListParagraph"/>
        <w:ind w:left="0"/>
        <w:jc w:val="center"/>
        <w:rPr>
          <w:rFonts w:ascii="Times New Roman" w:hAnsi="Times New Roman"/>
          <w:b/>
          <w:sz w:val="24"/>
          <w:szCs w:val="24"/>
          <w:lang w:val="sr-Cyrl-CS"/>
        </w:rPr>
      </w:pPr>
    </w:p>
    <w:p w:rsidR="002B6E12" w:rsidRDefault="002B6E12" w:rsidP="002B6E12">
      <w:pPr>
        <w:pStyle w:val="ListParagraph"/>
        <w:ind w:left="0"/>
        <w:jc w:val="center"/>
        <w:rPr>
          <w:rFonts w:ascii="Times New Roman" w:hAnsi="Times New Roman"/>
          <w:b/>
          <w:sz w:val="24"/>
          <w:szCs w:val="24"/>
          <w:lang w:val="sr-Cyrl-CS"/>
        </w:rPr>
      </w:pPr>
    </w:p>
    <w:p w:rsidR="002B6E12" w:rsidRDefault="002B6E12" w:rsidP="002B6E12">
      <w:pPr>
        <w:pStyle w:val="ListParagraph"/>
        <w:ind w:left="0"/>
        <w:jc w:val="center"/>
        <w:rPr>
          <w:rFonts w:ascii="Times New Roman" w:hAnsi="Times New Roman"/>
          <w:b/>
          <w:sz w:val="24"/>
          <w:szCs w:val="24"/>
          <w:lang w:val="sr-Cyrl-CS"/>
        </w:rPr>
      </w:pPr>
    </w:p>
    <w:p w:rsidR="002B6E12" w:rsidRDefault="002B6E12" w:rsidP="002B6E12">
      <w:pPr>
        <w:pStyle w:val="ListParagraph"/>
        <w:ind w:left="0"/>
        <w:jc w:val="center"/>
        <w:rPr>
          <w:rFonts w:ascii="Times New Roman" w:hAnsi="Times New Roman"/>
          <w:b/>
          <w:sz w:val="24"/>
          <w:szCs w:val="24"/>
          <w:lang w:val="sr-Cyrl-CS"/>
        </w:rPr>
      </w:pPr>
    </w:p>
    <w:p w:rsidR="002B6E12" w:rsidRDefault="002B6E12" w:rsidP="002B6E12">
      <w:pPr>
        <w:pStyle w:val="ListParagraph"/>
        <w:ind w:left="0"/>
        <w:jc w:val="center"/>
        <w:rPr>
          <w:rFonts w:ascii="Times New Roman" w:hAnsi="Times New Roman"/>
          <w:b/>
          <w:sz w:val="24"/>
          <w:szCs w:val="24"/>
          <w:lang w:val="sr-Cyrl-CS"/>
        </w:rPr>
      </w:pPr>
    </w:p>
    <w:p w:rsidR="002B6E12" w:rsidRDefault="002B6E12" w:rsidP="002B6E12">
      <w:pPr>
        <w:pStyle w:val="ListParagraph"/>
        <w:ind w:left="0"/>
        <w:jc w:val="center"/>
        <w:rPr>
          <w:rFonts w:ascii="Times New Roman" w:hAnsi="Times New Roman"/>
          <w:b/>
          <w:sz w:val="24"/>
          <w:szCs w:val="24"/>
          <w:lang w:val="sr-Cyrl-CS"/>
        </w:rPr>
      </w:pPr>
      <w:r w:rsidRPr="00347415">
        <w:rPr>
          <w:rFonts w:ascii="Times New Roman" w:hAnsi="Times New Roman"/>
          <w:b/>
          <w:sz w:val="24"/>
          <w:szCs w:val="24"/>
          <w:lang w:val="sr-Cyrl-CS"/>
        </w:rPr>
        <w:t>3.2.Трансферне цене и евазија пореза</w:t>
      </w:r>
    </w:p>
    <w:p w:rsidR="002B6E12" w:rsidRPr="00347415" w:rsidRDefault="002B6E12" w:rsidP="002B6E12">
      <w:pPr>
        <w:pStyle w:val="ListParagraph"/>
        <w:ind w:left="0"/>
        <w:jc w:val="center"/>
        <w:rPr>
          <w:rFonts w:ascii="Times New Roman" w:hAnsi="Times New Roman"/>
          <w:b/>
          <w:sz w:val="24"/>
          <w:szCs w:val="24"/>
          <w:lang w:val="sr-Cyrl-CS"/>
        </w:rPr>
      </w:pPr>
    </w:p>
    <w:p w:rsidR="002B6E12" w:rsidRDefault="002B6E12" w:rsidP="002B6E12">
      <w:pPr>
        <w:pStyle w:val="ListParagraph"/>
        <w:ind w:left="0"/>
        <w:jc w:val="both"/>
        <w:rPr>
          <w:rFonts w:ascii="Times New Roman" w:hAnsi="Times New Roman"/>
          <w:sz w:val="24"/>
          <w:szCs w:val="24"/>
          <w:lang w:val="sr-Cyrl-CS"/>
        </w:rPr>
      </w:pPr>
    </w:p>
    <w:p w:rsidR="002B6E12" w:rsidRDefault="002B6E12" w:rsidP="002B6E12">
      <w:pPr>
        <w:pStyle w:val="ListParagraph"/>
        <w:ind w:left="0" w:firstLine="708"/>
        <w:jc w:val="both"/>
        <w:rPr>
          <w:rFonts w:ascii="Times New Roman" w:hAnsi="Times New Roman"/>
          <w:sz w:val="24"/>
          <w:szCs w:val="24"/>
          <w:lang w:val="sr-Cyrl-CS"/>
        </w:rPr>
      </w:pPr>
      <w:r>
        <w:rPr>
          <w:rFonts w:ascii="Times New Roman" w:hAnsi="Times New Roman"/>
          <w:sz w:val="24"/>
          <w:szCs w:val="24"/>
          <w:lang w:val="sr-Cyrl-CS"/>
        </w:rPr>
        <w:t xml:space="preserve">Разлике међу пореским системима користе мултинационалне компаније на глобализованом тржишту, у циљу прикривања прихода и пореске евазије, приликом обављања међународних трансакција путем цена остварених са повезаним лицима. Због тога се трансферне цене, у пракси, најчешће везују за мултинационалне компаније и њихово пословање. Трансферне цене су начин законитог избегавања пореске обавезе, које користе мултинационалне компаније у свом пословању. Што су више трансферне цене то више опадају приходи државе у којој су остварене трансакције. </w:t>
      </w:r>
    </w:p>
    <w:p w:rsidR="002B6E12" w:rsidRDefault="002B6E12" w:rsidP="002B6E12">
      <w:pPr>
        <w:pStyle w:val="ListParagraph"/>
        <w:ind w:left="0"/>
        <w:jc w:val="both"/>
        <w:rPr>
          <w:rFonts w:ascii="Times New Roman" w:hAnsi="Times New Roman"/>
          <w:sz w:val="24"/>
          <w:szCs w:val="24"/>
          <w:lang w:val="sr-Cyrl-CS"/>
        </w:rPr>
      </w:pPr>
    </w:p>
    <w:p w:rsidR="002B6E12" w:rsidRDefault="002B6E12" w:rsidP="002B6E12">
      <w:pPr>
        <w:pStyle w:val="ListParagraph"/>
        <w:ind w:left="0" w:firstLine="708"/>
        <w:jc w:val="both"/>
        <w:rPr>
          <w:rFonts w:ascii="Times New Roman" w:hAnsi="Times New Roman"/>
          <w:sz w:val="24"/>
          <w:szCs w:val="24"/>
          <w:lang w:val="sr-Cyrl-CS"/>
        </w:rPr>
      </w:pPr>
      <w:r>
        <w:rPr>
          <w:rFonts w:ascii="Times New Roman" w:hAnsi="Times New Roman"/>
          <w:sz w:val="24"/>
          <w:szCs w:val="24"/>
          <w:lang w:val="sr-Cyrl-CS"/>
        </w:rPr>
        <w:t xml:space="preserve">Повезано пословање </w:t>
      </w:r>
      <w:r w:rsidR="00AE6080">
        <w:rPr>
          <w:rFonts w:ascii="Times New Roman" w:hAnsi="Times New Roman"/>
          <w:sz w:val="24"/>
          <w:szCs w:val="24"/>
          <w:lang w:val="sr-Cyrl-CS"/>
        </w:rPr>
        <w:t>од стране</w:t>
      </w:r>
      <w:r>
        <w:rPr>
          <w:rFonts w:ascii="Times New Roman" w:hAnsi="Times New Roman"/>
          <w:sz w:val="24"/>
          <w:szCs w:val="24"/>
          <w:lang w:val="sr-Cyrl-CS"/>
        </w:rPr>
        <w:t xml:space="preserve"> матичне компаније </w:t>
      </w:r>
      <w:r w:rsidR="00AE6080">
        <w:rPr>
          <w:rFonts w:ascii="Times New Roman" w:hAnsi="Times New Roman"/>
          <w:sz w:val="24"/>
          <w:szCs w:val="24"/>
          <w:lang w:val="sr-Cyrl-CS"/>
        </w:rPr>
        <w:t xml:space="preserve">са њеним филијалама </w:t>
      </w:r>
      <w:r>
        <w:rPr>
          <w:rFonts w:ascii="Times New Roman" w:hAnsi="Times New Roman"/>
          <w:sz w:val="24"/>
          <w:szCs w:val="24"/>
          <w:lang w:val="sr-Cyrl-CS"/>
        </w:rPr>
        <w:t xml:space="preserve">омогућава </w:t>
      </w:r>
      <w:r w:rsidR="00AE6080">
        <w:rPr>
          <w:rFonts w:ascii="Times New Roman" w:hAnsi="Times New Roman"/>
          <w:sz w:val="24"/>
          <w:szCs w:val="24"/>
          <w:lang w:val="sr-Cyrl-CS"/>
        </w:rPr>
        <w:t>да се изврши релокација профита преко успостављених</w:t>
      </w:r>
      <w:r>
        <w:rPr>
          <w:rFonts w:ascii="Times New Roman" w:hAnsi="Times New Roman"/>
          <w:sz w:val="24"/>
          <w:szCs w:val="24"/>
          <w:lang w:val="sr-Cyrl-CS"/>
        </w:rPr>
        <w:t xml:space="preserve"> трансакција кроз цене испоручених роба, услуга, патената или одобрених зајмова у циљу евазије </w:t>
      </w:r>
      <w:r w:rsidR="00AE6080">
        <w:rPr>
          <w:rFonts w:ascii="Times New Roman" w:hAnsi="Times New Roman"/>
          <w:sz w:val="24"/>
          <w:szCs w:val="24"/>
          <w:lang w:val="sr-Cyrl-CS"/>
        </w:rPr>
        <w:t>или минимизирања пореза. Ц</w:t>
      </w:r>
      <w:r>
        <w:rPr>
          <w:rFonts w:ascii="Times New Roman" w:hAnsi="Times New Roman"/>
          <w:sz w:val="24"/>
          <w:szCs w:val="24"/>
          <w:lang w:val="sr-Cyrl-CS"/>
        </w:rPr>
        <w:t xml:space="preserve">ене </w:t>
      </w:r>
      <w:r w:rsidR="00AE6080">
        <w:rPr>
          <w:rFonts w:ascii="Times New Roman" w:hAnsi="Times New Roman"/>
          <w:sz w:val="24"/>
          <w:szCs w:val="24"/>
          <w:lang w:val="sr-Cyrl-CS"/>
        </w:rPr>
        <w:t>у оваквом случају</w:t>
      </w:r>
      <w:r>
        <w:rPr>
          <w:rFonts w:ascii="Times New Roman" w:hAnsi="Times New Roman"/>
          <w:sz w:val="24"/>
          <w:szCs w:val="24"/>
          <w:lang w:val="sr-Cyrl-CS"/>
        </w:rPr>
        <w:t xml:space="preserve"> су знатно ниже од реалних тржишних цена али се зато у пореским биланисима приказују већи износи.</w:t>
      </w:r>
      <w:r>
        <w:rPr>
          <w:rStyle w:val="FootnoteReference"/>
          <w:rFonts w:ascii="Times New Roman" w:hAnsi="Times New Roman"/>
          <w:sz w:val="24"/>
          <w:szCs w:val="24"/>
          <w:lang w:val="sr-Cyrl-CS"/>
        </w:rPr>
        <w:footnoteReference w:id="606"/>
      </w:r>
      <w:r>
        <w:rPr>
          <w:rFonts w:ascii="Times New Roman" w:hAnsi="Times New Roman"/>
          <w:sz w:val="24"/>
          <w:szCs w:val="24"/>
          <w:lang w:val="sr-Cyrl-CS"/>
        </w:rPr>
        <w:t xml:space="preserve">  </w:t>
      </w:r>
    </w:p>
    <w:p w:rsidR="002B6E12" w:rsidRDefault="002B6E12" w:rsidP="002B6E12">
      <w:pPr>
        <w:pStyle w:val="ListParagraph"/>
        <w:ind w:left="0"/>
        <w:jc w:val="both"/>
        <w:rPr>
          <w:rFonts w:ascii="Times New Roman" w:hAnsi="Times New Roman"/>
          <w:sz w:val="24"/>
          <w:szCs w:val="24"/>
          <w:lang w:val="sr-Cyrl-CS"/>
        </w:rPr>
      </w:pPr>
    </w:p>
    <w:p w:rsidR="002B6E12" w:rsidRDefault="00284901" w:rsidP="002B6E12">
      <w:pPr>
        <w:pStyle w:val="ListParagraph"/>
        <w:ind w:left="0" w:firstLine="708"/>
        <w:jc w:val="both"/>
        <w:rPr>
          <w:rFonts w:ascii="Times New Roman" w:hAnsi="Times New Roman"/>
          <w:sz w:val="24"/>
          <w:szCs w:val="24"/>
          <w:lang w:val="sr-Cyrl-CS"/>
        </w:rPr>
      </w:pPr>
      <w:r>
        <w:rPr>
          <w:rFonts w:ascii="Times New Roman" w:hAnsi="Times New Roman"/>
          <w:sz w:val="24"/>
          <w:szCs w:val="24"/>
          <w:lang w:val="sr-Cyrl-CS"/>
        </w:rPr>
        <w:t>Трансферне цене су ц</w:t>
      </w:r>
      <w:r w:rsidR="002B6E12">
        <w:rPr>
          <w:rFonts w:ascii="Times New Roman" w:hAnsi="Times New Roman"/>
          <w:sz w:val="24"/>
          <w:szCs w:val="24"/>
          <w:lang w:val="sr-Cyrl-CS"/>
        </w:rPr>
        <w:t>ене које се остваре у вези</w:t>
      </w:r>
      <w:r>
        <w:rPr>
          <w:rFonts w:ascii="Times New Roman" w:hAnsi="Times New Roman"/>
          <w:sz w:val="24"/>
          <w:szCs w:val="24"/>
          <w:lang w:val="sr-Cyrl-CS"/>
        </w:rPr>
        <w:t xml:space="preserve"> са трансакцијама средствима, односно</w:t>
      </w:r>
      <w:r w:rsidR="002B6E12">
        <w:rPr>
          <w:rFonts w:ascii="Times New Roman" w:hAnsi="Times New Roman"/>
          <w:sz w:val="24"/>
          <w:szCs w:val="24"/>
          <w:lang w:val="sr-Cyrl-CS"/>
        </w:rPr>
        <w:t xml:space="preserve"> стварањем обавеза међу повезаним ли</w:t>
      </w:r>
      <w:r>
        <w:rPr>
          <w:rFonts w:ascii="Times New Roman" w:hAnsi="Times New Roman"/>
          <w:sz w:val="24"/>
          <w:szCs w:val="24"/>
          <w:lang w:val="sr-Cyrl-CS"/>
        </w:rPr>
        <w:t>цима</w:t>
      </w:r>
      <w:r w:rsidR="002B6E12">
        <w:rPr>
          <w:rFonts w:ascii="Times New Roman" w:hAnsi="Times New Roman"/>
          <w:sz w:val="24"/>
          <w:szCs w:val="24"/>
          <w:lang w:val="sr-Cyrl-CS"/>
        </w:rPr>
        <w:t xml:space="preserve">. Оне су </w:t>
      </w:r>
      <w:r>
        <w:rPr>
          <w:rFonts w:ascii="Times New Roman" w:hAnsi="Times New Roman"/>
          <w:sz w:val="24"/>
          <w:szCs w:val="24"/>
          <w:lang w:val="sr-Cyrl-CS"/>
        </w:rPr>
        <w:t>од значаја</w:t>
      </w:r>
      <w:r w:rsidR="002B6E12">
        <w:rPr>
          <w:rFonts w:ascii="Times New Roman" w:hAnsi="Times New Roman"/>
          <w:sz w:val="24"/>
          <w:szCs w:val="24"/>
          <w:lang w:val="sr-Cyrl-CS"/>
        </w:rPr>
        <w:t xml:space="preserve"> у контексту пореске евазије </w:t>
      </w:r>
      <w:r>
        <w:rPr>
          <w:rFonts w:ascii="Times New Roman" w:hAnsi="Times New Roman"/>
          <w:sz w:val="24"/>
          <w:szCs w:val="24"/>
          <w:lang w:val="sr-Cyrl-CS"/>
        </w:rPr>
        <w:t>ако</w:t>
      </w:r>
      <w:r w:rsidR="0050595E">
        <w:rPr>
          <w:rFonts w:ascii="Times New Roman" w:hAnsi="Times New Roman"/>
          <w:sz w:val="24"/>
          <w:szCs w:val="24"/>
          <w:lang w:val="sr-Cyrl-CS"/>
        </w:rPr>
        <w:t xml:space="preserve"> одступају од тржишних цена и</w:t>
      </w:r>
      <w:r w:rsidR="002B6E12">
        <w:rPr>
          <w:rFonts w:ascii="Times New Roman" w:hAnsi="Times New Roman"/>
          <w:sz w:val="24"/>
          <w:szCs w:val="24"/>
          <w:lang w:val="sr-Cyrl-CS"/>
        </w:rPr>
        <w:t xml:space="preserve"> </w:t>
      </w:r>
      <w:r>
        <w:rPr>
          <w:rFonts w:ascii="Times New Roman" w:hAnsi="Times New Roman"/>
          <w:sz w:val="24"/>
          <w:szCs w:val="24"/>
          <w:lang w:val="sr-Cyrl-CS"/>
        </w:rPr>
        <w:t xml:space="preserve">углавном </w:t>
      </w:r>
      <w:r w:rsidR="0050595E">
        <w:rPr>
          <w:rFonts w:ascii="Times New Roman" w:hAnsi="Times New Roman"/>
          <w:sz w:val="24"/>
          <w:szCs w:val="24"/>
          <w:lang w:val="sr-Cyrl-CS"/>
        </w:rPr>
        <w:t xml:space="preserve">се </w:t>
      </w:r>
      <w:r>
        <w:rPr>
          <w:rFonts w:ascii="Times New Roman" w:hAnsi="Times New Roman"/>
          <w:sz w:val="24"/>
          <w:szCs w:val="24"/>
          <w:lang w:val="sr-Cyrl-CS"/>
        </w:rPr>
        <w:t xml:space="preserve">проверају </w:t>
      </w:r>
      <w:r w:rsidR="002B6E12">
        <w:rPr>
          <w:rFonts w:ascii="Times New Roman" w:hAnsi="Times New Roman"/>
          <w:sz w:val="24"/>
          <w:szCs w:val="24"/>
        </w:rPr>
        <w:t>поређењем са ценама које се могу остварити за исте или сличне трансакције када се не ради о повезаним лицима</w:t>
      </w:r>
      <w:r>
        <w:rPr>
          <w:rFonts w:ascii="Times New Roman" w:hAnsi="Times New Roman"/>
          <w:sz w:val="24"/>
          <w:szCs w:val="24"/>
          <w:lang w:val="sr-Cyrl-CS"/>
        </w:rPr>
        <w:t xml:space="preserve"> и тај принцип се назива принцип</w:t>
      </w:r>
      <w:r w:rsidRPr="00284901">
        <w:rPr>
          <w:rFonts w:ascii="Times New Roman" w:hAnsi="Times New Roman"/>
          <w:sz w:val="24"/>
          <w:szCs w:val="24"/>
          <w:lang w:val="sr-Cyrl-CS"/>
        </w:rPr>
        <w:t xml:space="preserve"> </w:t>
      </w:r>
      <w:r>
        <w:rPr>
          <w:rFonts w:ascii="Times New Roman" w:hAnsi="Times New Roman"/>
          <w:sz w:val="24"/>
          <w:szCs w:val="24"/>
          <w:lang w:val="sr-Cyrl-CS"/>
        </w:rPr>
        <w:t>„ван дохвата руке“ (eng. arm`s leng</w:t>
      </w:r>
      <w:r>
        <w:rPr>
          <w:rFonts w:ascii="Times New Roman" w:hAnsi="Times New Roman"/>
          <w:sz w:val="24"/>
          <w:szCs w:val="24"/>
        </w:rPr>
        <w:t>ht</w:t>
      </w:r>
      <w:r>
        <w:rPr>
          <w:rFonts w:ascii="Times New Roman" w:hAnsi="Times New Roman"/>
          <w:sz w:val="24"/>
          <w:szCs w:val="24"/>
          <w:lang w:val="sr-Cyrl-CS"/>
        </w:rPr>
        <w:t xml:space="preserve"> principle).</w:t>
      </w:r>
      <w:r w:rsidR="002B6E12">
        <w:rPr>
          <w:rFonts w:ascii="Times New Roman" w:hAnsi="Times New Roman"/>
          <w:sz w:val="24"/>
          <w:szCs w:val="24"/>
        </w:rPr>
        <w:t xml:space="preserve"> </w:t>
      </w:r>
      <w:r>
        <w:rPr>
          <w:rFonts w:ascii="Times New Roman" w:hAnsi="Times New Roman"/>
          <w:sz w:val="24"/>
          <w:szCs w:val="24"/>
          <w:lang w:val="sr-Cyrl-CS"/>
        </w:rPr>
        <w:t>Овај</w:t>
      </w:r>
      <w:r w:rsidR="002B6E12">
        <w:rPr>
          <w:rFonts w:ascii="Times New Roman" w:hAnsi="Times New Roman"/>
          <w:sz w:val="24"/>
          <w:szCs w:val="24"/>
        </w:rPr>
        <w:t xml:space="preserve"> принципа </w:t>
      </w:r>
      <w:r>
        <w:rPr>
          <w:rFonts w:ascii="Times New Roman" w:hAnsi="Times New Roman"/>
          <w:sz w:val="24"/>
          <w:szCs w:val="24"/>
          <w:lang w:val="sr-Cyrl-CS"/>
        </w:rPr>
        <w:t>омогућава</w:t>
      </w:r>
      <w:r w:rsidR="002B6E12">
        <w:rPr>
          <w:rFonts w:ascii="Times New Roman" w:hAnsi="Times New Roman"/>
          <w:sz w:val="24"/>
          <w:szCs w:val="24"/>
        </w:rPr>
        <w:t xml:space="preserve"> „</w:t>
      </w:r>
      <w:r w:rsidR="002B6E12">
        <w:rPr>
          <w:rFonts w:ascii="Times New Roman" w:hAnsi="Times New Roman"/>
          <w:sz w:val="24"/>
          <w:szCs w:val="24"/>
          <w:lang w:val="sr-Cyrl-CS"/>
        </w:rPr>
        <w:t xml:space="preserve">порески паритет“ пореских обвезника који </w:t>
      </w:r>
      <w:r w:rsidR="002B6E12">
        <w:rPr>
          <w:rFonts w:ascii="Times New Roman" w:hAnsi="Times New Roman"/>
          <w:sz w:val="24"/>
          <w:szCs w:val="24"/>
          <w:lang w:val="sr-Cyrl-CS"/>
        </w:rPr>
        <w:lastRenderedPageBreak/>
        <w:t xml:space="preserve">су укључени у трансакције које се одвијају између повезаних лица </w:t>
      </w:r>
      <w:r>
        <w:rPr>
          <w:rFonts w:ascii="Times New Roman" w:hAnsi="Times New Roman"/>
          <w:sz w:val="24"/>
          <w:szCs w:val="24"/>
          <w:lang w:val="sr-Cyrl-CS"/>
        </w:rPr>
        <w:t>са оним пореским обвезницима</w:t>
      </w:r>
      <w:r w:rsidR="002B6E12">
        <w:rPr>
          <w:rFonts w:ascii="Times New Roman" w:hAnsi="Times New Roman"/>
          <w:sz w:val="24"/>
          <w:szCs w:val="24"/>
          <w:lang w:val="sr-Cyrl-CS"/>
        </w:rPr>
        <w:t xml:space="preserve"> који су ангажовани у сличним активностима на слободном тржишту.</w:t>
      </w:r>
      <w:r w:rsidR="002B6E12">
        <w:rPr>
          <w:rStyle w:val="FootnoteReference"/>
          <w:rFonts w:ascii="Times New Roman" w:hAnsi="Times New Roman"/>
          <w:sz w:val="24"/>
          <w:szCs w:val="24"/>
          <w:lang w:val="sr-Cyrl-CS"/>
        </w:rPr>
        <w:footnoteReference w:id="607"/>
      </w:r>
      <w:r w:rsidR="002B6E12">
        <w:rPr>
          <w:rFonts w:ascii="Times New Roman" w:hAnsi="Times New Roman"/>
          <w:sz w:val="24"/>
          <w:szCs w:val="24"/>
          <w:lang w:val="sr-Cyrl-CS"/>
        </w:rPr>
        <w:t xml:space="preserve"> </w:t>
      </w:r>
    </w:p>
    <w:p w:rsidR="002B6E12" w:rsidRDefault="002B6E12" w:rsidP="002B6E12">
      <w:pPr>
        <w:pStyle w:val="ListParagraph"/>
        <w:ind w:left="0"/>
        <w:jc w:val="both"/>
        <w:rPr>
          <w:rFonts w:ascii="Times New Roman" w:hAnsi="Times New Roman"/>
          <w:sz w:val="24"/>
          <w:szCs w:val="24"/>
          <w:lang w:val="sr-Cyrl-CS"/>
        </w:rPr>
      </w:pPr>
    </w:p>
    <w:p w:rsidR="002B6E12" w:rsidRDefault="002B6E12" w:rsidP="002B6E12">
      <w:pPr>
        <w:pStyle w:val="ListParagraph"/>
        <w:ind w:left="0" w:firstLine="708"/>
        <w:jc w:val="both"/>
        <w:rPr>
          <w:rFonts w:ascii="Times New Roman" w:hAnsi="Times New Roman"/>
          <w:sz w:val="24"/>
          <w:szCs w:val="24"/>
          <w:lang w:val="sr-Cyrl-CS"/>
        </w:rPr>
      </w:pPr>
      <w:r>
        <w:rPr>
          <w:rFonts w:ascii="Times New Roman" w:hAnsi="Times New Roman"/>
          <w:sz w:val="24"/>
          <w:szCs w:val="24"/>
          <w:lang w:val="sr-Cyrl-CS"/>
        </w:rPr>
        <w:t xml:space="preserve">Према томе, трансферне цене одступају од цена које настају на тржишту међу лицима која нису повезана. Управо ово одступање омогућава „преливање“ добити у циљу  пореске евазије. Умањење добити, се може остварити на различите начине преко реалокације профита. Наиме, реалокација профита се може постићи преко цена које су више од тржишних, чиме се увећавају расходи, уз смањење опорезиве добити. Реалокација профита се може извршити на предузеће које се налази у фази пореског ослобођења и на тај начин ће се добит ослободити од опорезивања. Такође се у циљу избегавања плаћања пореза може добит трансферисати повезаном лицу које на крају пословне године очекује губитак,  путем плаћања робе или услуга по ценама већим за износ очекиваног губитка, те се на тај начин смањује пореска основица, док би лице које очекује губитак  на овај начин анулирало губитак, али неће исказити опорезиву добит у свом пореском билансу. Реалокација добити преко трансферних цена се може извршити повезаном лицу које је резидент земље „пореског раја“, односно земље где је пореска стопа нижа или се трансакција не опорезује, па је на овај начин добит подвргнута блажем пореском третману. Правно лице може путем позајмица повезаним лицима у блажем пореском третману користити камату, знатно већу од оне која је присутна на тржишту, за умањење пореске основице. Ова камата може бити знатно нижа од оне која је присутна на тржишту, у ком случају добит задржава повезано лице које је у земљи са блажим пореским третманом. </w:t>
      </w:r>
    </w:p>
    <w:p w:rsidR="002B6E12" w:rsidRDefault="002B6E12" w:rsidP="002B6E12">
      <w:pPr>
        <w:pStyle w:val="ListParagraph"/>
        <w:ind w:left="0"/>
        <w:jc w:val="both"/>
        <w:rPr>
          <w:rFonts w:ascii="Times New Roman" w:hAnsi="Times New Roman"/>
          <w:sz w:val="24"/>
          <w:szCs w:val="24"/>
          <w:lang w:val="sr-Cyrl-CS"/>
        </w:rPr>
      </w:pPr>
    </w:p>
    <w:p w:rsidR="002B6E12" w:rsidRDefault="002B6E12" w:rsidP="002B6E12">
      <w:pPr>
        <w:pStyle w:val="ListParagraph"/>
        <w:ind w:left="0" w:firstLine="708"/>
        <w:jc w:val="both"/>
        <w:rPr>
          <w:rFonts w:ascii="Times New Roman" w:hAnsi="Times New Roman"/>
          <w:sz w:val="24"/>
          <w:szCs w:val="24"/>
          <w:lang w:val="sr-Cyrl-CS"/>
        </w:rPr>
      </w:pPr>
      <w:r>
        <w:rPr>
          <w:rFonts w:ascii="Times New Roman" w:hAnsi="Times New Roman"/>
          <w:sz w:val="24"/>
          <w:szCs w:val="24"/>
          <w:lang w:val="sr-Cyrl-CS"/>
        </w:rPr>
        <w:t xml:space="preserve">Циљ је да се добит опорезује у оној јурисдикцији која је најповољнија за групу повезаних лица, дакле да се добит опорезује по нижим стопама, да се искористе погодности уговора о двоструком опорезивању и пореске олакшице. Како се ради о пословању више повезаних лица на подручју више пореских јурисдикција, ради успешног сузбијања пореске евазије и двоструког опорезивања, неопходно је усаглашавање пореских прописа и сарадња пореских власти различитих држава. Због различитих пореских третмана Европска комисија разматра опорезивање добити на консолидованој основи, а основан је и Заједнички форум о трансферним ценама. </w:t>
      </w:r>
    </w:p>
    <w:p w:rsidR="002B6E12" w:rsidRDefault="002B6E12" w:rsidP="002B6E12">
      <w:pPr>
        <w:pStyle w:val="ListParagraph"/>
        <w:ind w:left="0"/>
        <w:jc w:val="both"/>
        <w:rPr>
          <w:rFonts w:ascii="Times New Roman" w:hAnsi="Times New Roman"/>
          <w:sz w:val="24"/>
          <w:szCs w:val="24"/>
          <w:lang w:val="sr-Cyrl-CS"/>
        </w:rPr>
      </w:pPr>
    </w:p>
    <w:p w:rsidR="002B6E12" w:rsidRPr="0062318F" w:rsidRDefault="002B6E12" w:rsidP="002B6E12">
      <w:pPr>
        <w:pStyle w:val="ListParagraph"/>
        <w:ind w:left="0" w:firstLine="708"/>
        <w:jc w:val="both"/>
        <w:rPr>
          <w:rFonts w:ascii="Times New Roman" w:hAnsi="Times New Roman"/>
          <w:sz w:val="24"/>
          <w:szCs w:val="24"/>
          <w:lang w:val="sr-Cyrl-CS"/>
        </w:rPr>
      </w:pPr>
      <w:r w:rsidRPr="0062318F">
        <w:rPr>
          <w:rFonts w:ascii="Times New Roman" w:hAnsi="Times New Roman"/>
          <w:sz w:val="24"/>
          <w:szCs w:val="24"/>
          <w:lang w:val="sr-Cyrl-CS"/>
        </w:rPr>
        <w:t>Према Закону о порезу да добит правних лица</w:t>
      </w:r>
      <w:r w:rsidRPr="0062318F">
        <w:rPr>
          <w:rStyle w:val="FootnoteReference"/>
          <w:rFonts w:ascii="Times New Roman" w:hAnsi="Times New Roman"/>
          <w:sz w:val="24"/>
          <w:szCs w:val="24"/>
          <w:lang w:val="sr-Cyrl-CS"/>
        </w:rPr>
        <w:footnoteReference w:id="608"/>
      </w:r>
      <w:r w:rsidRPr="0062318F">
        <w:rPr>
          <w:rFonts w:ascii="Times New Roman" w:hAnsi="Times New Roman"/>
          <w:sz w:val="24"/>
          <w:szCs w:val="24"/>
          <w:lang w:val="sr-Cyrl-CS"/>
        </w:rPr>
        <w:t xml:space="preserve"> трансферна цена и повезана лица се одређују на следећи начин. </w:t>
      </w:r>
      <w:r w:rsidRPr="0062318F">
        <w:rPr>
          <w:rFonts w:ascii="Times New Roman" w:hAnsi="Times New Roman"/>
          <w:color w:val="000000"/>
          <w:sz w:val="24"/>
          <w:szCs w:val="24"/>
        </w:rPr>
        <w:t>Трансферном ценом сматра се цена настала у вези са трансакцијама средствима или стварањем обавеза међу повезаним лицима</w:t>
      </w:r>
      <w:r w:rsidRPr="0062318F">
        <w:rPr>
          <w:rFonts w:ascii="Times New Roman" w:hAnsi="Times New Roman"/>
          <w:color w:val="000000"/>
          <w:sz w:val="24"/>
          <w:szCs w:val="24"/>
          <w:lang w:val="sr-Cyrl-CS"/>
        </w:rPr>
        <w:t xml:space="preserve">. </w:t>
      </w:r>
      <w:r w:rsidRPr="0062318F">
        <w:rPr>
          <w:rFonts w:ascii="Times New Roman" w:hAnsi="Times New Roman"/>
          <w:color w:val="000000"/>
          <w:sz w:val="24"/>
          <w:szCs w:val="24"/>
        </w:rPr>
        <w:t>Лицем повезаним са обвезником сматра се оно физичко или правно лице у чијим се односима са обвезником јавља могућност контроле или значајнијег утицаја на пословне одлуке.</w:t>
      </w:r>
      <w:r w:rsidRPr="0062318F">
        <w:rPr>
          <w:rFonts w:ascii="Times New Roman" w:hAnsi="Times New Roman"/>
          <w:color w:val="000000"/>
          <w:sz w:val="24"/>
          <w:szCs w:val="24"/>
          <w:lang w:val="sr-Cyrl-CS"/>
        </w:rPr>
        <w:t xml:space="preserve"> </w:t>
      </w:r>
      <w:r w:rsidRPr="0062318F">
        <w:rPr>
          <w:rFonts w:ascii="Times New Roman" w:hAnsi="Times New Roman"/>
          <w:color w:val="000000"/>
          <w:sz w:val="24"/>
          <w:szCs w:val="24"/>
        </w:rPr>
        <w:t xml:space="preserve">У </w:t>
      </w:r>
      <w:r w:rsidRPr="0062318F">
        <w:rPr>
          <w:rFonts w:ascii="Times New Roman" w:hAnsi="Times New Roman"/>
          <w:color w:val="000000"/>
          <w:sz w:val="24"/>
          <w:szCs w:val="24"/>
        </w:rPr>
        <w:lastRenderedPageBreak/>
        <w:t>случају посредног или непосредног поседовања најмање 25% акција или удела сматра се да постоји могућност контроле над обвезником.</w:t>
      </w:r>
      <w:r w:rsidRPr="0062318F">
        <w:rPr>
          <w:rFonts w:ascii="Times New Roman" w:hAnsi="Times New Roman"/>
          <w:color w:val="000000"/>
          <w:sz w:val="24"/>
          <w:szCs w:val="24"/>
          <w:lang w:val="sr-Cyrl-CS"/>
        </w:rPr>
        <w:t xml:space="preserve"> </w:t>
      </w:r>
      <w:r w:rsidRPr="0062318F">
        <w:rPr>
          <w:rFonts w:ascii="Times New Roman" w:hAnsi="Times New Roman"/>
          <w:color w:val="000000"/>
          <w:sz w:val="24"/>
          <w:szCs w:val="24"/>
        </w:rPr>
        <w:t xml:space="preserve">Могућност значајнијег утицаја на пословне одлуке постоји, поред </w:t>
      </w:r>
      <w:r w:rsidRPr="0062318F">
        <w:rPr>
          <w:rFonts w:ascii="Times New Roman" w:hAnsi="Times New Roman"/>
          <w:color w:val="000000"/>
          <w:sz w:val="24"/>
          <w:szCs w:val="24"/>
          <w:lang w:val="sr-Cyrl-CS"/>
        </w:rPr>
        <w:t xml:space="preserve">овога случаја, </w:t>
      </w:r>
      <w:r w:rsidRPr="0062318F">
        <w:rPr>
          <w:rFonts w:ascii="Times New Roman" w:hAnsi="Times New Roman"/>
          <w:color w:val="000000"/>
          <w:sz w:val="24"/>
          <w:szCs w:val="24"/>
        </w:rPr>
        <w:t>и када лице посредно или непосредно поседује најмање 25% гласова у обвезниковим органима управљања.</w:t>
      </w:r>
      <w:r w:rsidRPr="0062318F">
        <w:rPr>
          <w:rFonts w:ascii="Times New Roman" w:hAnsi="Times New Roman"/>
          <w:color w:val="000000"/>
          <w:sz w:val="24"/>
          <w:szCs w:val="24"/>
          <w:lang w:val="sr-Cyrl-CS"/>
        </w:rPr>
        <w:t xml:space="preserve"> </w:t>
      </w:r>
      <w:r w:rsidRPr="0062318F">
        <w:rPr>
          <w:rFonts w:ascii="Times New Roman" w:hAnsi="Times New Roman"/>
          <w:color w:val="000000"/>
          <w:sz w:val="24"/>
          <w:szCs w:val="24"/>
        </w:rPr>
        <w:t xml:space="preserve">Лицем повезаним са обвезником сматра се и оно правно лице у коме, као и код обвезника, иста физичка или правна лица непосредно или посредно учествују у управљању, контроли или капиталу, на </w:t>
      </w:r>
      <w:r>
        <w:rPr>
          <w:rFonts w:ascii="Times New Roman" w:hAnsi="Times New Roman"/>
          <w:color w:val="000000"/>
          <w:sz w:val="24"/>
          <w:szCs w:val="24"/>
          <w:lang w:val="sr-Cyrl-CS"/>
        </w:rPr>
        <w:t>нав</w:t>
      </w:r>
      <w:r w:rsidRPr="0062318F">
        <w:rPr>
          <w:rFonts w:ascii="Times New Roman" w:hAnsi="Times New Roman"/>
          <w:color w:val="000000"/>
          <w:sz w:val="24"/>
          <w:szCs w:val="24"/>
          <w:lang w:val="sr-Cyrl-CS"/>
        </w:rPr>
        <w:t xml:space="preserve">едени </w:t>
      </w:r>
      <w:r w:rsidRPr="0062318F">
        <w:rPr>
          <w:rFonts w:ascii="Times New Roman" w:hAnsi="Times New Roman"/>
          <w:color w:val="000000"/>
          <w:sz w:val="24"/>
          <w:szCs w:val="24"/>
        </w:rPr>
        <w:t>нач</w:t>
      </w:r>
      <w:r w:rsidRPr="0062318F">
        <w:rPr>
          <w:rFonts w:ascii="Times New Roman" w:hAnsi="Times New Roman"/>
          <w:color w:val="000000"/>
          <w:sz w:val="24"/>
          <w:szCs w:val="24"/>
          <w:lang w:val="sr-Cyrl-CS"/>
        </w:rPr>
        <w:t xml:space="preserve">ин. </w:t>
      </w:r>
      <w:r w:rsidRPr="0062318F">
        <w:rPr>
          <w:rFonts w:ascii="Times New Roman" w:hAnsi="Times New Roman"/>
          <w:color w:val="000000"/>
          <w:sz w:val="24"/>
          <w:szCs w:val="24"/>
        </w:rPr>
        <w:t xml:space="preserve">Лицима повезаним са обвезником сматрају се брачни или ванбрачни друг, потомци, усвојеници и потомци усвојеника, родитељи, усвојиоци, браћа и сестре и њихови потомци, дедови и бабе и њихови потомци, као и браћа и сестре и родитељи брачног или ванбрачног друга, лица које је са обвезником повезано на </w:t>
      </w:r>
      <w:r w:rsidRPr="0062318F">
        <w:rPr>
          <w:rFonts w:ascii="Times New Roman" w:hAnsi="Times New Roman"/>
          <w:color w:val="000000"/>
          <w:sz w:val="24"/>
          <w:szCs w:val="24"/>
          <w:lang w:val="sr-Cyrl-CS"/>
        </w:rPr>
        <w:t xml:space="preserve">наведени </w:t>
      </w:r>
      <w:r w:rsidRPr="0062318F">
        <w:rPr>
          <w:rFonts w:ascii="Times New Roman" w:hAnsi="Times New Roman"/>
          <w:color w:val="000000"/>
          <w:sz w:val="24"/>
          <w:szCs w:val="24"/>
        </w:rPr>
        <w:t>начи</w:t>
      </w:r>
      <w:r w:rsidRPr="0062318F">
        <w:rPr>
          <w:rFonts w:ascii="Times New Roman" w:hAnsi="Times New Roman"/>
          <w:color w:val="000000"/>
          <w:sz w:val="24"/>
          <w:szCs w:val="24"/>
          <w:lang w:val="sr-Cyrl-CS"/>
        </w:rPr>
        <w:t>н, а и</w:t>
      </w:r>
      <w:r w:rsidRPr="0062318F">
        <w:rPr>
          <w:rFonts w:ascii="Times New Roman" w:hAnsi="Times New Roman"/>
          <w:color w:val="000000"/>
          <w:sz w:val="24"/>
          <w:szCs w:val="24"/>
        </w:rPr>
        <w:t>зузетно, лицем повезаним са обвезником сматра се и свако нерезидентно правно лице из јурисдикције са преференцијалним пореским системом.</w:t>
      </w:r>
    </w:p>
    <w:p w:rsidR="002B6E12" w:rsidRPr="0062318F" w:rsidRDefault="002B6E12" w:rsidP="002B6E12">
      <w:pPr>
        <w:pStyle w:val="ListParagraph"/>
        <w:ind w:left="0"/>
        <w:jc w:val="both"/>
        <w:rPr>
          <w:rFonts w:ascii="Times New Roman" w:hAnsi="Times New Roman"/>
          <w:sz w:val="24"/>
          <w:szCs w:val="24"/>
        </w:rPr>
      </w:pPr>
      <w:r w:rsidRPr="0062318F">
        <w:rPr>
          <w:rFonts w:ascii="Times New Roman" w:hAnsi="Times New Roman"/>
          <w:sz w:val="24"/>
          <w:szCs w:val="24"/>
          <w:lang w:val="sr-Cyrl-CS"/>
        </w:rPr>
        <w:t xml:space="preserve"> </w:t>
      </w:r>
    </w:p>
    <w:p w:rsidR="002B6E12" w:rsidRPr="0062318F" w:rsidRDefault="002B6E12" w:rsidP="002B6E12">
      <w:pPr>
        <w:pStyle w:val="ListParagraph"/>
        <w:ind w:left="0" w:firstLine="708"/>
        <w:jc w:val="both"/>
        <w:rPr>
          <w:rFonts w:ascii="Times New Roman" w:hAnsi="Times New Roman"/>
          <w:sz w:val="24"/>
          <w:szCs w:val="24"/>
          <w:lang w:val="sr-Cyrl-CS"/>
        </w:rPr>
      </w:pPr>
      <w:r w:rsidRPr="0062318F">
        <w:rPr>
          <w:rFonts w:ascii="Times New Roman" w:hAnsi="Times New Roman"/>
          <w:sz w:val="24"/>
          <w:szCs w:val="24"/>
        </w:rPr>
        <w:t xml:space="preserve">Поставка </w:t>
      </w:r>
      <w:r w:rsidRPr="0062318F">
        <w:rPr>
          <w:rFonts w:ascii="Times New Roman" w:hAnsi="Times New Roman"/>
          <w:sz w:val="24"/>
          <w:szCs w:val="24"/>
          <w:lang w:val="sr-Cyrl-CS"/>
        </w:rPr>
        <w:t>принципа „ван дохвата руке“ нал</w:t>
      </w:r>
      <w:r>
        <w:rPr>
          <w:rFonts w:ascii="Times New Roman" w:hAnsi="Times New Roman"/>
          <w:sz w:val="24"/>
          <w:szCs w:val="24"/>
          <w:lang w:val="sr-Cyrl-CS"/>
        </w:rPr>
        <w:t>ази се у чл. 9. Модел-конвенције</w:t>
      </w:r>
      <w:r w:rsidRPr="0062318F">
        <w:rPr>
          <w:rFonts w:ascii="Times New Roman" w:hAnsi="Times New Roman"/>
          <w:sz w:val="24"/>
          <w:szCs w:val="24"/>
          <w:lang w:val="sr-Cyrl-CS"/>
        </w:rPr>
        <w:t xml:space="preserve"> ОЕЦД, који представља основу за билатералне пореске уговоре између држава чланица ОЕЦД и оних које то нису. Према поменутом члану када се утв</w:t>
      </w:r>
      <w:r>
        <w:rPr>
          <w:rFonts w:ascii="Times New Roman" w:hAnsi="Times New Roman"/>
          <w:sz w:val="24"/>
          <w:szCs w:val="24"/>
          <w:lang w:val="sr-Cyrl-CS"/>
        </w:rPr>
        <w:t>р</w:t>
      </w:r>
      <w:r w:rsidRPr="0062318F">
        <w:rPr>
          <w:rFonts w:ascii="Times New Roman" w:hAnsi="Times New Roman"/>
          <w:sz w:val="24"/>
          <w:szCs w:val="24"/>
          <w:lang w:val="sr-Cyrl-CS"/>
        </w:rPr>
        <w:t>ђени или наметнути услови између два (повезана) предузећа разликују у њиховим комерцијалним или финасијским односима од оних који би били остварени између независних предузећа, онда ће било која добит коју би остварило једно од предузећа, а то се не деси због поменутих различитих услова, бити урачуната у добит тог предузећа и опорезована на одговарајући начин.</w:t>
      </w:r>
    </w:p>
    <w:p w:rsidR="002B6E12" w:rsidRPr="0062318F" w:rsidRDefault="002B6E12" w:rsidP="002B6E12">
      <w:pPr>
        <w:pStyle w:val="ListParagraph"/>
        <w:ind w:left="0"/>
        <w:jc w:val="both"/>
        <w:rPr>
          <w:rFonts w:ascii="Times New Roman" w:hAnsi="Times New Roman"/>
          <w:sz w:val="24"/>
          <w:szCs w:val="24"/>
          <w:lang w:val="sr-Cyrl-CS"/>
        </w:rPr>
      </w:pPr>
    </w:p>
    <w:p w:rsidR="002B6E12" w:rsidRPr="0062318F" w:rsidRDefault="002B6E12" w:rsidP="002B6E12">
      <w:pPr>
        <w:pStyle w:val="ListParagraph"/>
        <w:ind w:left="0" w:firstLine="708"/>
        <w:jc w:val="both"/>
        <w:rPr>
          <w:rFonts w:ascii="Times New Roman" w:hAnsi="Times New Roman"/>
          <w:sz w:val="24"/>
          <w:szCs w:val="24"/>
          <w:lang w:val="sr-Cyrl-CS"/>
        </w:rPr>
      </w:pPr>
      <w:r w:rsidRPr="0062318F">
        <w:rPr>
          <w:rFonts w:ascii="Times New Roman" w:hAnsi="Times New Roman"/>
          <w:sz w:val="24"/>
          <w:szCs w:val="24"/>
          <w:lang w:val="sr-Cyrl-CS"/>
        </w:rPr>
        <w:t>Принцип „ван дохвата руке“ изједначава повезана и неповезана лица за потребе опорезивања, не спутавајући међународну трговину и инвестиције. Са друге стране, проблем у примени овог принципа може наступити у ситуацији када повезана лица предузму трансакције које не би предузела неповезана лица, или које ретко предузимају, па је тешко  наћи критеријуме за поређење. Примена овог принципа, дакле није једноставна, јер захтева постојање адекватних упоредивих неконт</w:t>
      </w:r>
      <w:r>
        <w:rPr>
          <w:rFonts w:ascii="Times New Roman" w:hAnsi="Times New Roman"/>
          <w:sz w:val="24"/>
          <w:szCs w:val="24"/>
          <w:lang w:val="sr-Cyrl-CS"/>
        </w:rPr>
        <w:t>р</w:t>
      </w:r>
      <w:r w:rsidRPr="0062318F">
        <w:rPr>
          <w:rFonts w:ascii="Times New Roman" w:hAnsi="Times New Roman"/>
          <w:sz w:val="24"/>
          <w:szCs w:val="24"/>
          <w:lang w:val="sr-Cyrl-CS"/>
        </w:rPr>
        <w:t>олисаних трансакција и преглед пропратне документације за бројне и разнов</w:t>
      </w:r>
      <w:r>
        <w:rPr>
          <w:rFonts w:ascii="Times New Roman" w:hAnsi="Times New Roman"/>
          <w:sz w:val="24"/>
          <w:szCs w:val="24"/>
          <w:lang w:val="sr-Cyrl-CS"/>
        </w:rPr>
        <w:t>р</w:t>
      </w:r>
      <w:r w:rsidRPr="0062318F">
        <w:rPr>
          <w:rFonts w:ascii="Times New Roman" w:hAnsi="Times New Roman"/>
          <w:sz w:val="24"/>
          <w:szCs w:val="24"/>
          <w:lang w:val="sr-Cyrl-CS"/>
        </w:rPr>
        <w:t>сне трансакције. Међутим, и поред тога овај принцип државе чланице  ОЕЦД сматрају и даље као основу за проверу трансферних цена између повезаних лица. Одступање</w:t>
      </w:r>
      <w:r>
        <w:rPr>
          <w:rFonts w:ascii="Times New Roman" w:hAnsi="Times New Roman"/>
          <w:sz w:val="24"/>
          <w:szCs w:val="24"/>
          <w:lang w:val="sr-Cyrl-CS"/>
        </w:rPr>
        <w:t>м</w:t>
      </w:r>
      <w:r w:rsidRPr="0062318F">
        <w:rPr>
          <w:rFonts w:ascii="Times New Roman" w:hAnsi="Times New Roman"/>
          <w:sz w:val="24"/>
          <w:szCs w:val="24"/>
          <w:lang w:val="sr-Cyrl-CS"/>
        </w:rPr>
        <w:t xml:space="preserve"> од овог принципа знатно би се угрозио међународни консензус и знатно би се повећао ризик од двоструког опорезивања. </w:t>
      </w:r>
    </w:p>
    <w:p w:rsidR="002B6E12" w:rsidRPr="0062318F" w:rsidRDefault="002B6E12" w:rsidP="002B6E12">
      <w:pPr>
        <w:pStyle w:val="ListParagraph"/>
        <w:ind w:left="0"/>
        <w:jc w:val="both"/>
        <w:rPr>
          <w:rFonts w:ascii="Times New Roman" w:hAnsi="Times New Roman"/>
          <w:sz w:val="24"/>
          <w:szCs w:val="24"/>
          <w:lang w:val="sr-Cyrl-CS"/>
        </w:rPr>
      </w:pPr>
    </w:p>
    <w:p w:rsidR="002B6E12" w:rsidRPr="0062318F" w:rsidRDefault="00C61CB8" w:rsidP="002B6E12">
      <w:pPr>
        <w:pStyle w:val="ListParagraph"/>
        <w:ind w:left="0" w:firstLine="360"/>
        <w:jc w:val="both"/>
        <w:rPr>
          <w:rFonts w:ascii="Times New Roman" w:hAnsi="Times New Roman"/>
          <w:sz w:val="24"/>
          <w:szCs w:val="24"/>
          <w:lang w:val="sr-Cyrl-CS"/>
        </w:rPr>
      </w:pPr>
      <w:r>
        <w:rPr>
          <w:rFonts w:ascii="Times New Roman" w:hAnsi="Times New Roman"/>
          <w:sz w:val="24"/>
          <w:szCs w:val="24"/>
          <w:lang w:val="sr-Cyrl-CS"/>
        </w:rPr>
        <w:t>У ци</w:t>
      </w:r>
      <w:r w:rsidR="00284901">
        <w:rPr>
          <w:rFonts w:ascii="Times New Roman" w:hAnsi="Times New Roman"/>
          <w:sz w:val="24"/>
          <w:szCs w:val="24"/>
          <w:lang w:val="sr-Cyrl-CS"/>
        </w:rPr>
        <w:t>љу спречавања</w:t>
      </w:r>
      <w:r w:rsidR="002B6E12" w:rsidRPr="0062318F">
        <w:rPr>
          <w:rFonts w:ascii="Times New Roman" w:hAnsi="Times New Roman"/>
          <w:sz w:val="24"/>
          <w:szCs w:val="24"/>
          <w:lang w:val="sr-Cyrl-CS"/>
        </w:rPr>
        <w:t xml:space="preserve"> евазија пореза кроз механизам трансферних цена међу повезаним лицима, </w:t>
      </w:r>
      <w:r w:rsidR="00284901">
        <w:rPr>
          <w:rFonts w:ascii="Times New Roman" w:hAnsi="Times New Roman"/>
          <w:sz w:val="24"/>
          <w:szCs w:val="24"/>
          <w:lang w:val="sr-Cyrl-CS"/>
        </w:rPr>
        <w:t>„</w:t>
      </w:r>
      <w:r w:rsidR="002B6E12" w:rsidRPr="0062318F">
        <w:rPr>
          <w:rFonts w:ascii="Times New Roman" w:hAnsi="Times New Roman"/>
          <w:sz w:val="24"/>
          <w:szCs w:val="24"/>
          <w:lang w:val="sr-Cyrl-CS"/>
        </w:rPr>
        <w:t>обвезницима се намећу следеће обавезе:</w:t>
      </w:r>
    </w:p>
    <w:p w:rsidR="002B6E12" w:rsidRPr="0062318F" w:rsidRDefault="002B6E12" w:rsidP="002B6E12">
      <w:pPr>
        <w:pStyle w:val="ListParagraph"/>
        <w:ind w:left="0" w:firstLine="360"/>
        <w:jc w:val="both"/>
        <w:rPr>
          <w:rFonts w:ascii="Times New Roman" w:hAnsi="Times New Roman"/>
          <w:sz w:val="24"/>
          <w:szCs w:val="24"/>
          <w:lang w:val="sr-Cyrl-CS"/>
        </w:rPr>
      </w:pPr>
    </w:p>
    <w:p w:rsidR="002B6E12" w:rsidRPr="0062318F" w:rsidRDefault="002B6E12" w:rsidP="002B6E12">
      <w:pPr>
        <w:pStyle w:val="ListParagraph"/>
        <w:numPr>
          <w:ilvl w:val="0"/>
          <w:numId w:val="2"/>
        </w:numPr>
        <w:jc w:val="both"/>
        <w:rPr>
          <w:rFonts w:ascii="Times New Roman" w:hAnsi="Times New Roman"/>
          <w:sz w:val="24"/>
          <w:szCs w:val="24"/>
        </w:rPr>
      </w:pPr>
      <w:r w:rsidRPr="0062318F">
        <w:rPr>
          <w:rFonts w:ascii="Times New Roman" w:hAnsi="Times New Roman"/>
          <w:sz w:val="24"/>
          <w:szCs w:val="24"/>
          <w:lang w:val="sr-Cyrl-CS"/>
        </w:rPr>
        <w:t>Да трансакције по трансферним ценама посебно искажу у свом пореском билансу;</w:t>
      </w:r>
    </w:p>
    <w:p w:rsidR="002B6E12" w:rsidRPr="0062318F" w:rsidRDefault="002B6E12" w:rsidP="002B6E12">
      <w:pPr>
        <w:pStyle w:val="ListParagraph"/>
        <w:numPr>
          <w:ilvl w:val="0"/>
          <w:numId w:val="2"/>
        </w:numPr>
        <w:jc w:val="both"/>
        <w:rPr>
          <w:rFonts w:ascii="Times New Roman" w:hAnsi="Times New Roman"/>
          <w:sz w:val="24"/>
          <w:szCs w:val="24"/>
        </w:rPr>
      </w:pPr>
      <w:r w:rsidRPr="0062318F">
        <w:rPr>
          <w:rFonts w:ascii="Times New Roman" w:hAnsi="Times New Roman"/>
          <w:sz w:val="24"/>
          <w:szCs w:val="24"/>
          <w:lang w:val="sr-Cyrl-CS"/>
        </w:rPr>
        <w:t>Да вредност трансакција прикажу по ценама које би се оствариле на тржишту таквих или сличних транасакција да се није радило о повезаним лицима (овакве цене називају се „ценама ван дохвата руке“);</w:t>
      </w:r>
    </w:p>
    <w:p w:rsidR="002B6E12" w:rsidRPr="0062318F" w:rsidRDefault="002B6E12" w:rsidP="002B6E12">
      <w:pPr>
        <w:pStyle w:val="ListParagraph"/>
        <w:numPr>
          <w:ilvl w:val="0"/>
          <w:numId w:val="2"/>
        </w:numPr>
        <w:jc w:val="both"/>
        <w:rPr>
          <w:rFonts w:ascii="Times New Roman" w:hAnsi="Times New Roman"/>
          <w:sz w:val="24"/>
          <w:szCs w:val="24"/>
        </w:rPr>
      </w:pPr>
      <w:r w:rsidRPr="0062318F">
        <w:rPr>
          <w:rFonts w:ascii="Times New Roman" w:hAnsi="Times New Roman"/>
          <w:sz w:val="24"/>
          <w:szCs w:val="24"/>
          <w:lang w:val="sr-Cyrl-CS"/>
        </w:rPr>
        <w:lastRenderedPageBreak/>
        <w:t>Да утврде разлику између цене „ван дохвата руке“ и трансферне цене и да је укључе у пореску основицу.</w:t>
      </w:r>
      <w:r w:rsidR="00284901">
        <w:rPr>
          <w:rFonts w:ascii="Times New Roman" w:hAnsi="Times New Roman"/>
          <w:sz w:val="24"/>
          <w:szCs w:val="24"/>
          <w:lang w:val="sr-Cyrl-CS"/>
        </w:rPr>
        <w:t>“</w:t>
      </w:r>
      <w:r w:rsidRPr="0062318F">
        <w:rPr>
          <w:rStyle w:val="FootnoteReference"/>
          <w:rFonts w:ascii="Times New Roman" w:hAnsi="Times New Roman"/>
          <w:sz w:val="24"/>
          <w:szCs w:val="24"/>
          <w:lang w:val="sr-Cyrl-CS"/>
        </w:rPr>
        <w:footnoteReference w:id="609"/>
      </w:r>
      <w:r w:rsidRPr="0062318F">
        <w:rPr>
          <w:rFonts w:ascii="Times New Roman" w:hAnsi="Times New Roman"/>
          <w:sz w:val="24"/>
          <w:szCs w:val="24"/>
          <w:lang w:val="sr-Cyrl-CS"/>
        </w:rPr>
        <w:t xml:space="preserve"> </w:t>
      </w:r>
    </w:p>
    <w:p w:rsidR="002B6E12" w:rsidRPr="0062318F" w:rsidRDefault="002B6E12" w:rsidP="002B6E12">
      <w:pPr>
        <w:pStyle w:val="ListParagraph"/>
        <w:jc w:val="both"/>
        <w:rPr>
          <w:rFonts w:ascii="Times New Roman" w:hAnsi="Times New Roman"/>
          <w:sz w:val="24"/>
          <w:szCs w:val="24"/>
          <w:lang w:val="sr-Cyrl-CS"/>
        </w:rPr>
      </w:pPr>
    </w:p>
    <w:p w:rsidR="002B6E12" w:rsidRPr="0062318F" w:rsidRDefault="002B6E12" w:rsidP="002B6E12">
      <w:pPr>
        <w:pStyle w:val="ListParagraph"/>
        <w:jc w:val="both"/>
        <w:rPr>
          <w:rFonts w:ascii="Times New Roman" w:hAnsi="Times New Roman"/>
          <w:color w:val="000000"/>
          <w:sz w:val="24"/>
          <w:szCs w:val="24"/>
          <w:lang w:val="sr-Cyrl-CS"/>
        </w:rPr>
      </w:pPr>
      <w:r w:rsidRPr="0062318F">
        <w:rPr>
          <w:rFonts w:ascii="Times New Roman" w:hAnsi="Times New Roman"/>
          <w:sz w:val="24"/>
          <w:szCs w:val="24"/>
          <w:lang w:val="sr-Cyrl-CS"/>
        </w:rPr>
        <w:t>Методе</w:t>
      </w:r>
      <w:r w:rsidRPr="0062318F">
        <w:rPr>
          <w:rStyle w:val="FootnoteReference"/>
          <w:rFonts w:ascii="Times New Roman" w:hAnsi="Times New Roman"/>
          <w:sz w:val="24"/>
          <w:szCs w:val="24"/>
          <w:lang w:val="sr-Cyrl-CS"/>
        </w:rPr>
        <w:footnoteReference w:id="610"/>
      </w:r>
      <w:r w:rsidRPr="0062318F">
        <w:rPr>
          <w:rFonts w:ascii="Times New Roman" w:hAnsi="Times New Roman"/>
          <w:sz w:val="24"/>
          <w:szCs w:val="24"/>
          <w:lang w:val="sr-Cyrl-CS"/>
        </w:rPr>
        <w:t xml:space="preserve"> </w:t>
      </w:r>
      <w:r>
        <w:rPr>
          <w:rFonts w:ascii="Times New Roman" w:hAnsi="Times New Roman"/>
          <w:sz w:val="24"/>
          <w:szCs w:val="24"/>
          <w:lang w:val="sr-Cyrl-CS"/>
        </w:rPr>
        <w:t>које се користе у Србији</w:t>
      </w:r>
      <w:r w:rsidRPr="0062318F">
        <w:rPr>
          <w:rFonts w:ascii="Times New Roman" w:hAnsi="Times New Roman"/>
          <w:sz w:val="24"/>
          <w:szCs w:val="24"/>
          <w:lang w:val="sr-Cyrl-CS"/>
        </w:rPr>
        <w:t xml:space="preserve"> </w:t>
      </w:r>
      <w:r w:rsidRPr="0062318F">
        <w:rPr>
          <w:rFonts w:ascii="Times New Roman" w:hAnsi="Times New Roman"/>
          <w:color w:val="000000"/>
          <w:sz w:val="24"/>
          <w:szCs w:val="24"/>
          <w:lang w:val="sr-Cyrl-CS"/>
        </w:rPr>
        <w:t>к</w:t>
      </w:r>
      <w:r w:rsidRPr="0062318F">
        <w:rPr>
          <w:rFonts w:ascii="Times New Roman" w:hAnsi="Times New Roman"/>
          <w:color w:val="000000"/>
          <w:sz w:val="24"/>
          <w:szCs w:val="24"/>
        </w:rPr>
        <w:t>од утврђивања цене трансакције по принципу "ван дохвата руке"</w:t>
      </w:r>
      <w:r w:rsidRPr="0062318F">
        <w:rPr>
          <w:rFonts w:ascii="Times New Roman" w:hAnsi="Times New Roman"/>
          <w:color w:val="000000"/>
          <w:sz w:val="24"/>
          <w:szCs w:val="24"/>
          <w:lang w:val="sr-Cyrl-CS"/>
        </w:rPr>
        <w:t xml:space="preserve"> су следеће</w:t>
      </w:r>
      <w:r w:rsidRPr="0062318F">
        <w:rPr>
          <w:rFonts w:ascii="Times New Roman" w:hAnsi="Times New Roman"/>
          <w:color w:val="000000"/>
          <w:sz w:val="24"/>
          <w:szCs w:val="24"/>
        </w:rPr>
        <w:t>:</w:t>
      </w:r>
    </w:p>
    <w:p w:rsidR="002B6E12" w:rsidRPr="0062318F" w:rsidRDefault="002B6E12" w:rsidP="002B6E12">
      <w:pPr>
        <w:pStyle w:val="ListParagraph"/>
        <w:jc w:val="both"/>
        <w:rPr>
          <w:rFonts w:ascii="Times New Roman" w:hAnsi="Times New Roman"/>
          <w:sz w:val="24"/>
          <w:szCs w:val="24"/>
          <w:lang w:val="sr-Cyrl-CS"/>
        </w:rPr>
      </w:pPr>
    </w:p>
    <w:p w:rsidR="002B6E12" w:rsidRDefault="002B6E12" w:rsidP="002B6E12">
      <w:pPr>
        <w:pStyle w:val="normal0"/>
        <w:shd w:val="clear" w:color="auto" w:fill="FFFFFF"/>
        <w:spacing w:before="48" w:beforeAutospacing="0" w:after="48" w:afterAutospacing="0"/>
        <w:rPr>
          <w:color w:val="000000"/>
          <w:lang w:val="sr-Cyrl-CS"/>
        </w:rPr>
      </w:pPr>
      <w:r w:rsidRPr="0062318F">
        <w:rPr>
          <w:color w:val="000000"/>
        </w:rPr>
        <w:t>1) метода упоредиве цене на тржишту;</w:t>
      </w:r>
    </w:p>
    <w:p w:rsidR="002B6E12" w:rsidRPr="00271C2B" w:rsidRDefault="002B6E12" w:rsidP="002B6E12">
      <w:pPr>
        <w:pStyle w:val="normal0"/>
        <w:shd w:val="clear" w:color="auto" w:fill="FFFFFF"/>
        <w:spacing w:before="48" w:beforeAutospacing="0" w:after="48" w:afterAutospacing="0"/>
        <w:rPr>
          <w:color w:val="000000"/>
          <w:lang w:val="sr-Cyrl-CS"/>
        </w:rPr>
      </w:pPr>
    </w:p>
    <w:p w:rsidR="002B6E12" w:rsidRDefault="002B6E12" w:rsidP="002B6E12">
      <w:pPr>
        <w:pStyle w:val="normal0"/>
        <w:shd w:val="clear" w:color="auto" w:fill="FFFFFF"/>
        <w:spacing w:before="48" w:beforeAutospacing="0" w:after="48" w:afterAutospacing="0"/>
        <w:rPr>
          <w:color w:val="000000"/>
          <w:lang w:val="sr-Cyrl-CS"/>
        </w:rPr>
      </w:pPr>
      <w:r w:rsidRPr="0062318F">
        <w:rPr>
          <w:color w:val="000000"/>
        </w:rPr>
        <w:t>2) метода цене коштања увећане за уобичајену зараду (метода трошкова увећаних за бруто маржу);</w:t>
      </w:r>
    </w:p>
    <w:p w:rsidR="002B6E12" w:rsidRPr="00271C2B" w:rsidRDefault="002B6E12" w:rsidP="002B6E12">
      <w:pPr>
        <w:pStyle w:val="normal0"/>
        <w:shd w:val="clear" w:color="auto" w:fill="FFFFFF"/>
        <w:spacing w:before="48" w:beforeAutospacing="0" w:after="48" w:afterAutospacing="0"/>
        <w:rPr>
          <w:color w:val="000000"/>
          <w:lang w:val="sr-Cyrl-CS"/>
        </w:rPr>
      </w:pPr>
    </w:p>
    <w:p w:rsidR="002B6E12" w:rsidRDefault="002B6E12" w:rsidP="002B6E12">
      <w:pPr>
        <w:pStyle w:val="normal0"/>
        <w:shd w:val="clear" w:color="auto" w:fill="FFFFFF"/>
        <w:spacing w:before="48" w:beforeAutospacing="0" w:after="48" w:afterAutospacing="0"/>
        <w:rPr>
          <w:color w:val="000000"/>
          <w:lang w:val="sr-Cyrl-CS"/>
        </w:rPr>
      </w:pPr>
      <w:r w:rsidRPr="0062318F">
        <w:rPr>
          <w:color w:val="000000"/>
        </w:rPr>
        <w:t>3) метода препродајне цене;</w:t>
      </w:r>
    </w:p>
    <w:p w:rsidR="002B6E12" w:rsidRPr="00271C2B" w:rsidRDefault="002B6E12" w:rsidP="002B6E12">
      <w:pPr>
        <w:pStyle w:val="normal0"/>
        <w:shd w:val="clear" w:color="auto" w:fill="FFFFFF"/>
        <w:spacing w:before="48" w:beforeAutospacing="0" w:after="48" w:afterAutospacing="0"/>
        <w:rPr>
          <w:color w:val="000000"/>
          <w:lang w:val="sr-Cyrl-CS"/>
        </w:rPr>
      </w:pPr>
    </w:p>
    <w:p w:rsidR="002B6E12" w:rsidRDefault="002B6E12" w:rsidP="002B6E12">
      <w:pPr>
        <w:pStyle w:val="normal0"/>
        <w:shd w:val="clear" w:color="auto" w:fill="FFFFFF"/>
        <w:spacing w:before="48" w:beforeAutospacing="0" w:after="48" w:afterAutospacing="0"/>
        <w:rPr>
          <w:color w:val="000000"/>
          <w:lang w:val="sr-Cyrl-CS"/>
        </w:rPr>
      </w:pPr>
      <w:r w:rsidRPr="0062318F">
        <w:rPr>
          <w:color w:val="000000"/>
        </w:rPr>
        <w:t>4) метода трансакционе нето марже;</w:t>
      </w:r>
    </w:p>
    <w:p w:rsidR="002B6E12" w:rsidRPr="00271C2B" w:rsidRDefault="002B6E12" w:rsidP="002B6E12">
      <w:pPr>
        <w:pStyle w:val="normal0"/>
        <w:shd w:val="clear" w:color="auto" w:fill="FFFFFF"/>
        <w:spacing w:before="48" w:beforeAutospacing="0" w:after="48" w:afterAutospacing="0"/>
        <w:rPr>
          <w:color w:val="000000"/>
          <w:lang w:val="sr-Cyrl-CS"/>
        </w:rPr>
      </w:pPr>
    </w:p>
    <w:p w:rsidR="002B6E12" w:rsidRDefault="002B6E12" w:rsidP="002B6E12">
      <w:pPr>
        <w:pStyle w:val="normal0"/>
        <w:shd w:val="clear" w:color="auto" w:fill="FFFFFF"/>
        <w:spacing w:before="48" w:beforeAutospacing="0" w:after="48" w:afterAutospacing="0"/>
        <w:rPr>
          <w:color w:val="000000"/>
          <w:lang w:val="sr-Cyrl-CS"/>
        </w:rPr>
      </w:pPr>
      <w:r w:rsidRPr="0062318F">
        <w:rPr>
          <w:color w:val="000000"/>
        </w:rPr>
        <w:t>5) метода поделе добити;</w:t>
      </w:r>
    </w:p>
    <w:p w:rsidR="002B6E12" w:rsidRPr="00271C2B" w:rsidRDefault="002B6E12" w:rsidP="002B6E12">
      <w:pPr>
        <w:pStyle w:val="normal0"/>
        <w:shd w:val="clear" w:color="auto" w:fill="FFFFFF"/>
        <w:spacing w:before="48" w:beforeAutospacing="0" w:after="48" w:afterAutospacing="0"/>
        <w:rPr>
          <w:color w:val="000000"/>
          <w:lang w:val="sr-Cyrl-CS"/>
        </w:rPr>
      </w:pPr>
    </w:p>
    <w:p w:rsidR="002B6E12" w:rsidRPr="00271C2B" w:rsidRDefault="002B6E12" w:rsidP="002B6E12">
      <w:pPr>
        <w:pStyle w:val="normal0"/>
        <w:shd w:val="clear" w:color="auto" w:fill="FFFFFF"/>
        <w:spacing w:before="48" w:beforeAutospacing="0" w:after="48" w:afterAutospacing="0"/>
        <w:rPr>
          <w:color w:val="000000"/>
          <w:lang w:val="sr-Cyrl-CS"/>
        </w:rPr>
      </w:pPr>
      <w:r w:rsidRPr="0062318F">
        <w:rPr>
          <w:color w:val="000000"/>
        </w:rPr>
        <w:t>6) било која друга метода којом је могуће утврдити цену трансакције по принципу "ван дохвата руке", под условом да примена метода претходно наведених није могућа или да је та друга метода примеренија околностима случаја.</w:t>
      </w:r>
      <w:r>
        <w:rPr>
          <w:color w:val="000000"/>
          <w:lang w:val="sr-Cyrl-CS"/>
        </w:rPr>
        <w:t xml:space="preserve"> </w:t>
      </w:r>
    </w:p>
    <w:p w:rsidR="002B6E12" w:rsidRPr="0062318F" w:rsidRDefault="002B6E12" w:rsidP="002B6E12">
      <w:pPr>
        <w:pStyle w:val="normal0"/>
        <w:shd w:val="clear" w:color="auto" w:fill="FFFFFF"/>
        <w:spacing w:before="48" w:beforeAutospacing="0" w:after="48" w:afterAutospacing="0"/>
        <w:rPr>
          <w:color w:val="000000"/>
          <w:lang w:val="sr-Cyrl-CS"/>
        </w:rPr>
      </w:pPr>
    </w:p>
    <w:p w:rsidR="002B6E12" w:rsidRPr="0062318F" w:rsidRDefault="002B6E12" w:rsidP="002B6E12">
      <w:pPr>
        <w:ind w:firstLine="708"/>
        <w:jc w:val="both"/>
        <w:rPr>
          <w:rFonts w:ascii="Times New Roman" w:hAnsi="Times New Roman"/>
          <w:sz w:val="24"/>
          <w:szCs w:val="24"/>
          <w:lang w:val="sr-Cyrl-CS"/>
        </w:rPr>
      </w:pPr>
      <w:r w:rsidRPr="0062318F">
        <w:rPr>
          <w:rFonts w:ascii="Times New Roman" w:hAnsi="Times New Roman"/>
          <w:sz w:val="24"/>
          <w:szCs w:val="24"/>
        </w:rPr>
        <w:t>Приликом утврђивања цене трансакције по принципу "ван дохвата руке" користи се она метода која највише одговара околностима случаја, при чему је могуће користити и комбинацију више метода када је то потребно.</w:t>
      </w:r>
      <w:r w:rsidRPr="0062318F">
        <w:rPr>
          <w:rFonts w:ascii="Times New Roman" w:hAnsi="Times New Roman"/>
          <w:sz w:val="24"/>
          <w:szCs w:val="24"/>
          <w:lang w:val="sr-Cyrl-CS"/>
        </w:rPr>
        <w:t xml:space="preserve"> </w:t>
      </w:r>
      <w:r>
        <w:rPr>
          <w:rFonts w:ascii="Times New Roman" w:hAnsi="Times New Roman"/>
          <w:sz w:val="24"/>
          <w:szCs w:val="24"/>
          <w:lang w:val="sr-Cyrl-CS"/>
        </w:rPr>
        <w:t xml:space="preserve"> </w:t>
      </w:r>
    </w:p>
    <w:p w:rsidR="002B6E12" w:rsidRDefault="002B6E12" w:rsidP="002B6E12">
      <w:pPr>
        <w:pStyle w:val="ListParagraph"/>
        <w:ind w:left="0" w:firstLine="708"/>
        <w:jc w:val="both"/>
        <w:rPr>
          <w:rFonts w:ascii="Times New Roman" w:hAnsi="Times New Roman"/>
          <w:sz w:val="24"/>
          <w:szCs w:val="24"/>
          <w:lang w:val="sr-Cyrl-CS"/>
        </w:rPr>
      </w:pPr>
      <w:r>
        <w:rPr>
          <w:rFonts w:ascii="Times New Roman" w:hAnsi="Times New Roman"/>
          <w:sz w:val="24"/>
          <w:szCs w:val="24"/>
          <w:lang w:val="sr-Cyrl-CS"/>
        </w:rPr>
        <w:t>Методе</w:t>
      </w:r>
      <w:r>
        <w:rPr>
          <w:rStyle w:val="FootnoteReference"/>
          <w:rFonts w:ascii="Times New Roman" w:hAnsi="Times New Roman"/>
          <w:sz w:val="24"/>
          <w:szCs w:val="24"/>
          <w:lang w:val="sr-Cyrl-CS"/>
        </w:rPr>
        <w:footnoteReference w:id="611"/>
      </w:r>
      <w:r>
        <w:rPr>
          <w:rFonts w:ascii="Times New Roman" w:hAnsi="Times New Roman"/>
          <w:sz w:val="24"/>
          <w:szCs w:val="24"/>
          <w:lang w:val="sr-Cyrl-CS"/>
        </w:rPr>
        <w:t xml:space="preserve"> које се користе код утврђивања цене трансакције по принципу „ван дохвата руке“ имају различите полазне основе. </w:t>
      </w:r>
      <w:r w:rsidR="00561402">
        <w:rPr>
          <w:rFonts w:ascii="Times New Roman" w:hAnsi="Times New Roman"/>
          <w:sz w:val="24"/>
          <w:szCs w:val="24"/>
          <w:lang w:val="sr-Cyrl-CS"/>
        </w:rPr>
        <w:t xml:space="preserve">Код ове методе се пореде </w:t>
      </w:r>
      <w:r>
        <w:rPr>
          <w:rFonts w:ascii="Times New Roman" w:hAnsi="Times New Roman"/>
          <w:sz w:val="24"/>
          <w:szCs w:val="24"/>
          <w:lang w:val="sr-Cyrl-CS"/>
        </w:rPr>
        <w:t xml:space="preserve">цене „ван дохвата руке“ </w:t>
      </w:r>
      <w:r w:rsidR="009C2527">
        <w:rPr>
          <w:rFonts w:ascii="Times New Roman" w:hAnsi="Times New Roman"/>
          <w:sz w:val="24"/>
          <w:szCs w:val="24"/>
          <w:lang w:val="sr-Cyrl-CS"/>
        </w:rPr>
        <w:t>код</w:t>
      </w:r>
      <w:r>
        <w:rPr>
          <w:rFonts w:ascii="Times New Roman" w:hAnsi="Times New Roman"/>
          <w:sz w:val="24"/>
          <w:szCs w:val="24"/>
          <w:lang w:val="sr-Cyrl-CS"/>
        </w:rPr>
        <w:t xml:space="preserve"> неконтролис</w:t>
      </w:r>
      <w:r w:rsidR="009C2527">
        <w:rPr>
          <w:rFonts w:ascii="Times New Roman" w:hAnsi="Times New Roman"/>
          <w:sz w:val="24"/>
          <w:szCs w:val="24"/>
          <w:lang w:val="sr-Cyrl-CS"/>
        </w:rPr>
        <w:t>ане трансакције, односно цена на</w:t>
      </w:r>
      <w:r>
        <w:rPr>
          <w:rFonts w:ascii="Times New Roman" w:hAnsi="Times New Roman"/>
          <w:sz w:val="24"/>
          <w:szCs w:val="24"/>
          <w:lang w:val="sr-Cyrl-CS"/>
        </w:rPr>
        <w:t xml:space="preserve"> која би се оформила </w:t>
      </w:r>
      <w:r w:rsidR="009C2527">
        <w:rPr>
          <w:rFonts w:ascii="Times New Roman" w:hAnsi="Times New Roman"/>
          <w:sz w:val="24"/>
          <w:szCs w:val="24"/>
          <w:lang w:val="sr-Cyrl-CS"/>
        </w:rPr>
        <w:t xml:space="preserve">на тржишту </w:t>
      </w:r>
      <w:r>
        <w:rPr>
          <w:rFonts w:ascii="Times New Roman" w:hAnsi="Times New Roman"/>
          <w:sz w:val="24"/>
          <w:szCs w:val="24"/>
          <w:lang w:val="sr-Cyrl-CS"/>
        </w:rPr>
        <w:t>за трансфер одређеног произво</w:t>
      </w:r>
      <w:r w:rsidR="00561402">
        <w:rPr>
          <w:rFonts w:ascii="Times New Roman" w:hAnsi="Times New Roman"/>
          <w:sz w:val="24"/>
          <w:szCs w:val="24"/>
          <w:lang w:val="sr-Cyrl-CS"/>
        </w:rPr>
        <w:t xml:space="preserve">да између неповезаних компанија са </w:t>
      </w:r>
      <w:r w:rsidR="009C2527">
        <w:rPr>
          <w:rFonts w:ascii="Times New Roman" w:hAnsi="Times New Roman"/>
          <w:sz w:val="24"/>
          <w:szCs w:val="24"/>
          <w:lang w:val="sr-Cyrl-CS"/>
        </w:rPr>
        <w:t>ценама код промета роба и услуга контролисане трансакције под упоредивим околностима.</w:t>
      </w:r>
      <w:r>
        <w:rPr>
          <w:rFonts w:ascii="Times New Roman" w:hAnsi="Times New Roman"/>
          <w:sz w:val="24"/>
          <w:szCs w:val="24"/>
          <w:lang w:val="sr-Cyrl-CS"/>
        </w:rPr>
        <w:t xml:space="preserve"> Неконтролисане трансакције су такве трансакције код којих се цене формирају слободно на тржишту, под утицајем понуде и тражње.  </w:t>
      </w:r>
    </w:p>
    <w:p w:rsidR="002B6E12" w:rsidRDefault="002B6E12" w:rsidP="002B6E12">
      <w:pPr>
        <w:pStyle w:val="ListParagraph"/>
        <w:ind w:left="0" w:firstLine="708"/>
        <w:jc w:val="both"/>
        <w:rPr>
          <w:rFonts w:ascii="Times New Roman" w:hAnsi="Times New Roman"/>
          <w:sz w:val="24"/>
          <w:szCs w:val="24"/>
          <w:lang w:val="sr-Cyrl-CS"/>
        </w:rPr>
      </w:pPr>
    </w:p>
    <w:p w:rsidR="002B6E12" w:rsidRDefault="002B6E12" w:rsidP="002B6E12">
      <w:pPr>
        <w:pStyle w:val="ListParagraph"/>
        <w:ind w:left="0" w:firstLine="708"/>
        <w:jc w:val="both"/>
        <w:rPr>
          <w:rFonts w:ascii="Times New Roman" w:hAnsi="Times New Roman"/>
          <w:sz w:val="24"/>
          <w:szCs w:val="24"/>
          <w:lang w:val="sr-Cyrl-CS"/>
        </w:rPr>
      </w:pPr>
      <w:r>
        <w:rPr>
          <w:rFonts w:ascii="Times New Roman" w:hAnsi="Times New Roman"/>
          <w:sz w:val="24"/>
          <w:szCs w:val="24"/>
          <w:lang w:val="sr-Cyrl-CS"/>
        </w:rPr>
        <w:t xml:space="preserve">Метода препродајне цене </w:t>
      </w:r>
      <w:r w:rsidR="009C2527">
        <w:rPr>
          <w:rFonts w:ascii="Times New Roman" w:hAnsi="Times New Roman"/>
          <w:sz w:val="24"/>
          <w:szCs w:val="24"/>
          <w:lang w:val="sr-Cyrl-CS"/>
        </w:rPr>
        <w:t xml:space="preserve">се базира на цени по којој је производ купљен од повезаног лица и даље препродат неповезаном лицу. Препродајна цена се даље умањује </w:t>
      </w:r>
      <w:r w:rsidR="009C2527">
        <w:rPr>
          <w:rFonts w:ascii="Times New Roman" w:hAnsi="Times New Roman"/>
          <w:sz w:val="24"/>
          <w:szCs w:val="24"/>
          <w:lang w:val="sr-Cyrl-CS"/>
        </w:rPr>
        <w:lastRenderedPageBreak/>
        <w:t>за продајне и друге оперативне трошкове односно за одговарајућу бруто маржу. Цена ван дохвата руке међу повезаним лицима је оно што је остало накод одбитка бруто марже и корекција на основу других трошкова насталих</w:t>
      </w:r>
      <w:r w:rsidR="00C675A6">
        <w:rPr>
          <w:rFonts w:ascii="Times New Roman" w:hAnsi="Times New Roman"/>
          <w:sz w:val="24"/>
          <w:szCs w:val="24"/>
          <w:lang w:val="sr-Cyrl-CS"/>
        </w:rPr>
        <w:t xml:space="preserve"> везано за набавку одређеног добра (као што је на пример царина). Код ове методе се, дакле, препродајне цене на тржишту пореде са</w:t>
      </w:r>
      <w:r>
        <w:rPr>
          <w:rFonts w:ascii="Times New Roman" w:hAnsi="Times New Roman"/>
          <w:sz w:val="24"/>
          <w:szCs w:val="24"/>
          <w:lang w:val="sr-Cyrl-CS"/>
        </w:rPr>
        <w:t xml:space="preserve"> цена</w:t>
      </w:r>
      <w:r w:rsidR="00C675A6">
        <w:rPr>
          <w:rFonts w:ascii="Times New Roman" w:hAnsi="Times New Roman"/>
          <w:sz w:val="24"/>
          <w:szCs w:val="24"/>
          <w:lang w:val="sr-Cyrl-CS"/>
        </w:rPr>
        <w:t>ма</w:t>
      </w:r>
      <w:r>
        <w:rPr>
          <w:rFonts w:ascii="Times New Roman" w:hAnsi="Times New Roman"/>
          <w:sz w:val="24"/>
          <w:szCs w:val="24"/>
          <w:lang w:val="sr-Cyrl-CS"/>
        </w:rPr>
        <w:t xml:space="preserve"> које се наплаћују код промета добара и услуга</w:t>
      </w:r>
      <w:r w:rsidR="00C675A6">
        <w:rPr>
          <w:rFonts w:ascii="Times New Roman" w:hAnsi="Times New Roman"/>
          <w:sz w:val="24"/>
          <w:szCs w:val="24"/>
          <w:lang w:val="sr-Cyrl-CS"/>
        </w:rPr>
        <w:t xml:space="preserve"> које се формирају слободно на тржишу</w:t>
      </w:r>
      <w:r>
        <w:rPr>
          <w:rFonts w:ascii="Times New Roman" w:hAnsi="Times New Roman"/>
          <w:sz w:val="24"/>
          <w:szCs w:val="24"/>
          <w:lang w:val="sr-Cyrl-CS"/>
        </w:rPr>
        <w:t xml:space="preserve"> у упоредивој неконтролисаној трансакцији, под упоредивим околностима. Овај метод је посебно </w:t>
      </w:r>
      <w:r w:rsidR="00C675A6">
        <w:rPr>
          <w:rFonts w:ascii="Times New Roman" w:hAnsi="Times New Roman"/>
          <w:sz w:val="24"/>
          <w:szCs w:val="24"/>
          <w:lang w:val="sr-Cyrl-CS"/>
        </w:rPr>
        <w:t>применљив и прецизан</w:t>
      </w:r>
      <w:r>
        <w:rPr>
          <w:rFonts w:ascii="Times New Roman" w:hAnsi="Times New Roman"/>
          <w:sz w:val="24"/>
          <w:szCs w:val="24"/>
          <w:lang w:val="sr-Cyrl-CS"/>
        </w:rPr>
        <w:t xml:space="preserve"> </w:t>
      </w:r>
      <w:r w:rsidR="00C675A6">
        <w:rPr>
          <w:rFonts w:ascii="Times New Roman" w:hAnsi="Times New Roman"/>
          <w:sz w:val="24"/>
          <w:szCs w:val="24"/>
          <w:lang w:val="sr-Cyrl-CS"/>
        </w:rPr>
        <w:t>када се продаје иста</w:t>
      </w:r>
      <w:r>
        <w:rPr>
          <w:rFonts w:ascii="Times New Roman" w:hAnsi="Times New Roman"/>
          <w:sz w:val="24"/>
          <w:szCs w:val="24"/>
          <w:lang w:val="sr-Cyrl-CS"/>
        </w:rPr>
        <w:t xml:space="preserve"> </w:t>
      </w:r>
      <w:r w:rsidR="00C675A6">
        <w:rPr>
          <w:rFonts w:ascii="Times New Roman" w:hAnsi="Times New Roman"/>
          <w:sz w:val="24"/>
          <w:szCs w:val="24"/>
          <w:lang w:val="sr-Cyrl-CS"/>
        </w:rPr>
        <w:t>врста производа између повезаних лица и од стране независног предузећа.</w:t>
      </w:r>
      <w:r>
        <w:rPr>
          <w:rFonts w:ascii="Times New Roman" w:hAnsi="Times New Roman"/>
          <w:sz w:val="24"/>
          <w:szCs w:val="24"/>
          <w:lang w:val="sr-Cyrl-CS"/>
        </w:rPr>
        <w:t xml:space="preserve"> </w:t>
      </w:r>
    </w:p>
    <w:p w:rsidR="002B6E12" w:rsidRDefault="002B6E12" w:rsidP="002B6E12">
      <w:pPr>
        <w:pStyle w:val="ListParagraph"/>
        <w:ind w:left="0"/>
        <w:jc w:val="both"/>
        <w:rPr>
          <w:rFonts w:ascii="Times New Roman" w:hAnsi="Times New Roman"/>
          <w:sz w:val="24"/>
          <w:szCs w:val="24"/>
          <w:lang w:val="sr-Cyrl-CS"/>
        </w:rPr>
      </w:pPr>
    </w:p>
    <w:p w:rsidR="002B6E12" w:rsidRDefault="002B6E12" w:rsidP="002B6E12">
      <w:pPr>
        <w:pStyle w:val="ListParagraph"/>
        <w:ind w:left="0" w:firstLine="708"/>
        <w:jc w:val="both"/>
        <w:rPr>
          <w:rFonts w:ascii="Times New Roman" w:hAnsi="Times New Roman"/>
          <w:sz w:val="24"/>
          <w:szCs w:val="24"/>
          <w:lang w:val="sr-Cyrl-CS"/>
        </w:rPr>
      </w:pPr>
      <w:r>
        <w:rPr>
          <w:rFonts w:ascii="Times New Roman" w:hAnsi="Times New Roman"/>
          <w:sz w:val="24"/>
          <w:szCs w:val="24"/>
          <w:lang w:val="sr-Cyrl-CS"/>
        </w:rPr>
        <w:t xml:space="preserve">Метода цене коштања увећане за уобичајену зараду  се </w:t>
      </w:r>
      <w:r w:rsidR="00C675A6">
        <w:rPr>
          <w:rFonts w:ascii="Times New Roman" w:hAnsi="Times New Roman"/>
          <w:sz w:val="24"/>
          <w:szCs w:val="24"/>
          <w:lang w:val="sr-Cyrl-CS"/>
        </w:rPr>
        <w:t xml:space="preserve">базира на трошковима добављача добара или </w:t>
      </w:r>
      <w:r w:rsidR="00347333">
        <w:rPr>
          <w:rFonts w:ascii="Times New Roman" w:hAnsi="Times New Roman"/>
          <w:sz w:val="24"/>
          <w:szCs w:val="24"/>
          <w:lang w:val="sr-Cyrl-CS"/>
        </w:rPr>
        <w:t>усл</w:t>
      </w:r>
      <w:r w:rsidR="00C675A6">
        <w:rPr>
          <w:rFonts w:ascii="Times New Roman" w:hAnsi="Times New Roman"/>
          <w:sz w:val="24"/>
          <w:szCs w:val="24"/>
          <w:lang w:val="sr-Cyrl-CS"/>
        </w:rPr>
        <w:t>уга у контролисаној трансакцији, а потом се овим трошковима додаје одговарајућа маржа, и оно што се након тога добија представља цену ван дохвата руке контролисане трансакције.</w:t>
      </w:r>
      <w:r>
        <w:rPr>
          <w:rFonts w:ascii="Times New Roman" w:hAnsi="Times New Roman"/>
          <w:sz w:val="24"/>
          <w:szCs w:val="24"/>
          <w:lang w:val="sr-Cyrl-CS"/>
        </w:rPr>
        <w:t xml:space="preserve"> Ову методу примењује већина пореских власти јер је подесна за трансакције које су везане за </w:t>
      </w:r>
      <w:r w:rsidR="00347333">
        <w:rPr>
          <w:rFonts w:ascii="Times New Roman" w:hAnsi="Times New Roman"/>
          <w:sz w:val="24"/>
          <w:szCs w:val="24"/>
          <w:lang w:val="sr-Cyrl-CS"/>
        </w:rPr>
        <w:t>трговину полупроизводима међу повезаним лциима</w:t>
      </w:r>
      <w:r w:rsidR="0001527F">
        <w:rPr>
          <w:rFonts w:ascii="Times New Roman" w:hAnsi="Times New Roman"/>
          <w:sz w:val="24"/>
          <w:szCs w:val="24"/>
          <w:lang w:val="sr-Cyrl-CS"/>
        </w:rPr>
        <w:t xml:space="preserve">, када се ради о заједничкој производњи, када се контролисана трансакција односи на пружање услуга, </w:t>
      </w:r>
      <w:r>
        <w:rPr>
          <w:rFonts w:ascii="Times New Roman" w:hAnsi="Times New Roman"/>
          <w:sz w:val="24"/>
          <w:szCs w:val="24"/>
          <w:lang w:val="sr-Cyrl-CS"/>
        </w:rPr>
        <w:t xml:space="preserve">извоз из једне земље и увоз у друге земље, најчешће пореске рајеве. </w:t>
      </w:r>
    </w:p>
    <w:p w:rsidR="002B6E12" w:rsidRDefault="002B6E12" w:rsidP="002B6E12">
      <w:pPr>
        <w:pStyle w:val="ListParagraph"/>
        <w:ind w:left="0"/>
        <w:jc w:val="both"/>
        <w:rPr>
          <w:rFonts w:ascii="Times New Roman" w:hAnsi="Times New Roman"/>
          <w:sz w:val="24"/>
          <w:szCs w:val="24"/>
          <w:lang w:val="sr-Cyrl-CS"/>
        </w:rPr>
      </w:pPr>
    </w:p>
    <w:p w:rsidR="002B6E12" w:rsidRPr="00F3281A" w:rsidRDefault="002B6E12" w:rsidP="002B6E12">
      <w:pPr>
        <w:pStyle w:val="ListParagraph"/>
        <w:ind w:left="0" w:firstLine="708"/>
        <w:jc w:val="both"/>
        <w:rPr>
          <w:rFonts w:ascii="Times New Roman" w:hAnsi="Times New Roman"/>
          <w:sz w:val="24"/>
          <w:szCs w:val="24"/>
          <w:lang w:val="sr-Cyrl-CS"/>
        </w:rPr>
      </w:pPr>
      <w:r>
        <w:rPr>
          <w:rFonts w:ascii="Times New Roman" w:hAnsi="Times New Roman"/>
          <w:sz w:val="24"/>
          <w:szCs w:val="24"/>
          <w:lang w:val="sr-Cyrl-CS"/>
        </w:rPr>
        <w:t xml:space="preserve">Наведене методе су традиционалне, али поред њих употребљавају се новије методе, које се помињу у </w:t>
      </w:r>
      <w:r>
        <w:rPr>
          <w:rFonts w:ascii="Times New Roman" w:hAnsi="Times New Roman"/>
          <w:sz w:val="24"/>
          <w:szCs w:val="24"/>
        </w:rPr>
        <w:t>OECD Смерниц</w:t>
      </w:r>
      <w:r>
        <w:rPr>
          <w:rFonts w:ascii="Times New Roman" w:hAnsi="Times New Roman"/>
          <w:sz w:val="24"/>
          <w:szCs w:val="24"/>
          <w:lang w:val="sr-Cyrl-CS"/>
        </w:rPr>
        <w:t>ама</w:t>
      </w:r>
      <w:r>
        <w:rPr>
          <w:rFonts w:ascii="Times New Roman" w:hAnsi="Times New Roman"/>
          <w:sz w:val="24"/>
          <w:szCs w:val="24"/>
        </w:rPr>
        <w:t xml:space="preserve"> о трансферним ценама за мултинационалне компаније </w:t>
      </w:r>
      <w:r>
        <w:rPr>
          <w:rFonts w:ascii="Times New Roman" w:hAnsi="Times New Roman"/>
          <w:sz w:val="24"/>
          <w:szCs w:val="24"/>
          <w:lang w:val="sr-Cyrl-CS"/>
        </w:rPr>
        <w:t>и пореске управе. То је метода неконтролисаних трансакција, која није традиционална метода јер се користи за утврђивање цене „ван дохвата руке“ трансфера интелектуалне својине, када је у питању трансфер исте или сличне упоредиве бестелесне ствари између неконтролисаних лица, под упоредивим околностима, при чему је сав терет доказивања на пореском обвезику. Метода трансакционе нето марже има за основу саме трансакције (контролисане-неконтролисане). Упоређују се нето профити (нето маржа) коју је зарадило упоредиво неконтролисано лице обављајућу упоредиву неконтролисану трансакцију, са нето профи</w:t>
      </w:r>
      <w:r w:rsidR="00DB25A5">
        <w:rPr>
          <w:rFonts w:ascii="Times New Roman" w:hAnsi="Times New Roman"/>
          <w:sz w:val="24"/>
          <w:szCs w:val="24"/>
          <w:lang w:val="sr-Cyrl-CS"/>
        </w:rPr>
        <w:t>том који</w:t>
      </w:r>
      <w:r>
        <w:rPr>
          <w:rFonts w:ascii="Times New Roman" w:hAnsi="Times New Roman"/>
          <w:sz w:val="24"/>
          <w:szCs w:val="24"/>
          <w:lang w:val="sr-Cyrl-CS"/>
        </w:rPr>
        <w:t xml:space="preserve"> је зарадило повезано лице-филијала на истој основи. Методи поделе профита прибегавају пореске власти најчешће у сложеним ситуацијама, када се одговор не може добити од других метода, посебно у случају када обе стране за констролисане трансакције поседују нематеријалну имовину велике вредности у обављању нерутинског пословања. Порески обвезник у моменту утврђивања цене није могао прецизно дати информацију о оствареној добити, па се најчешће ради о предвиђеној, планираној добити, пре него о оствареној.  </w:t>
      </w:r>
    </w:p>
    <w:p w:rsidR="002B6E12" w:rsidRDefault="002B6E12" w:rsidP="002B6E12">
      <w:pPr>
        <w:pStyle w:val="ListParagraph"/>
        <w:ind w:left="0"/>
        <w:jc w:val="both"/>
        <w:rPr>
          <w:rFonts w:ascii="Times New Roman" w:hAnsi="Times New Roman"/>
          <w:sz w:val="24"/>
          <w:szCs w:val="24"/>
          <w:lang w:val="sr-Cyrl-CS"/>
        </w:rPr>
      </w:pPr>
      <w:r>
        <w:rPr>
          <w:rFonts w:ascii="Times New Roman" w:hAnsi="Times New Roman"/>
          <w:sz w:val="24"/>
          <w:szCs w:val="24"/>
          <w:lang w:val="sr-Cyrl-CS"/>
        </w:rPr>
        <w:t xml:space="preserve"> </w:t>
      </w:r>
    </w:p>
    <w:p w:rsidR="002B6E12" w:rsidRDefault="002B6E12" w:rsidP="002B6E12">
      <w:pPr>
        <w:pStyle w:val="ListParagraph"/>
        <w:ind w:left="0"/>
        <w:jc w:val="both"/>
        <w:rPr>
          <w:rFonts w:ascii="Times New Roman" w:hAnsi="Times New Roman"/>
          <w:sz w:val="24"/>
          <w:szCs w:val="24"/>
          <w:lang w:val="sr-Cyrl-CS"/>
        </w:rPr>
      </w:pPr>
    </w:p>
    <w:p w:rsidR="002B6E12" w:rsidRDefault="002B6E12" w:rsidP="002B6E12">
      <w:pPr>
        <w:pStyle w:val="ListParagraph"/>
        <w:ind w:left="0"/>
        <w:jc w:val="both"/>
        <w:rPr>
          <w:rFonts w:ascii="Times New Roman" w:hAnsi="Times New Roman"/>
          <w:sz w:val="24"/>
          <w:szCs w:val="24"/>
          <w:lang w:val="sr-Cyrl-CS"/>
        </w:rPr>
      </w:pPr>
    </w:p>
    <w:p w:rsidR="00A22DD5" w:rsidRDefault="00A22DD5" w:rsidP="002B6E12">
      <w:pPr>
        <w:pStyle w:val="ListParagraph"/>
        <w:ind w:left="0"/>
        <w:jc w:val="both"/>
        <w:rPr>
          <w:rFonts w:ascii="Times New Roman" w:hAnsi="Times New Roman"/>
          <w:sz w:val="24"/>
          <w:szCs w:val="24"/>
          <w:lang w:val="sr-Cyrl-CS"/>
        </w:rPr>
      </w:pPr>
    </w:p>
    <w:p w:rsidR="00A22DD5" w:rsidRDefault="00A22DD5" w:rsidP="002B6E12">
      <w:pPr>
        <w:pStyle w:val="ListParagraph"/>
        <w:ind w:left="0"/>
        <w:jc w:val="both"/>
        <w:rPr>
          <w:rFonts w:ascii="Times New Roman" w:hAnsi="Times New Roman"/>
          <w:sz w:val="24"/>
          <w:szCs w:val="24"/>
          <w:lang w:val="sr-Cyrl-CS"/>
        </w:rPr>
      </w:pPr>
    </w:p>
    <w:p w:rsidR="00A22DD5" w:rsidRDefault="00A22DD5" w:rsidP="002B6E12">
      <w:pPr>
        <w:pStyle w:val="ListParagraph"/>
        <w:ind w:left="0"/>
        <w:jc w:val="both"/>
        <w:rPr>
          <w:rFonts w:ascii="Times New Roman" w:hAnsi="Times New Roman"/>
          <w:sz w:val="24"/>
          <w:szCs w:val="24"/>
          <w:lang w:val="sr-Cyrl-CS"/>
        </w:rPr>
      </w:pPr>
    </w:p>
    <w:p w:rsidR="002B6E12" w:rsidRPr="005F389D" w:rsidRDefault="002B6E12" w:rsidP="002B6E12">
      <w:pPr>
        <w:pStyle w:val="normal0"/>
        <w:shd w:val="clear" w:color="auto" w:fill="FFFFFF"/>
        <w:spacing w:before="48" w:beforeAutospacing="0" w:after="48" w:afterAutospacing="0"/>
        <w:rPr>
          <w:rFonts w:ascii="Arial" w:hAnsi="Arial" w:cs="Arial"/>
          <w:color w:val="000000"/>
          <w:sz w:val="18"/>
          <w:szCs w:val="18"/>
          <w:lang w:val="sr-Cyrl-CS"/>
        </w:rPr>
      </w:pPr>
    </w:p>
    <w:p w:rsidR="002B6E12" w:rsidRDefault="002B6E12" w:rsidP="002B6E12">
      <w:pPr>
        <w:pStyle w:val="ListParagraph"/>
        <w:ind w:left="0"/>
        <w:jc w:val="center"/>
        <w:rPr>
          <w:rFonts w:ascii="Times New Roman" w:hAnsi="Times New Roman"/>
          <w:b/>
          <w:sz w:val="24"/>
          <w:szCs w:val="24"/>
          <w:lang w:val="sr-Cyrl-CS"/>
        </w:rPr>
      </w:pPr>
      <w:r>
        <w:rPr>
          <w:rFonts w:ascii="Times New Roman" w:hAnsi="Times New Roman"/>
          <w:b/>
          <w:sz w:val="24"/>
          <w:szCs w:val="24"/>
          <w:lang w:val="sr-Cyrl-CS"/>
        </w:rPr>
        <w:lastRenderedPageBreak/>
        <w:t>3.3</w:t>
      </w:r>
      <w:r w:rsidRPr="00347415">
        <w:rPr>
          <w:rFonts w:ascii="Times New Roman" w:hAnsi="Times New Roman"/>
          <w:b/>
          <w:sz w:val="24"/>
          <w:szCs w:val="24"/>
          <w:lang w:val="sr-Cyrl-CS"/>
        </w:rPr>
        <w:t>.Утањена капитализација</w:t>
      </w:r>
    </w:p>
    <w:p w:rsidR="002B6E12" w:rsidRDefault="002B6E12" w:rsidP="002B6E12">
      <w:pPr>
        <w:pStyle w:val="ListParagraph"/>
        <w:ind w:left="0"/>
        <w:jc w:val="center"/>
        <w:rPr>
          <w:rFonts w:ascii="Times New Roman" w:hAnsi="Times New Roman"/>
          <w:b/>
          <w:sz w:val="24"/>
          <w:szCs w:val="24"/>
          <w:lang w:val="sr-Cyrl-CS"/>
        </w:rPr>
      </w:pPr>
    </w:p>
    <w:p w:rsidR="002B6E12" w:rsidRDefault="002B6E12" w:rsidP="002B6E12">
      <w:pPr>
        <w:pStyle w:val="ListParagraph"/>
        <w:ind w:left="0"/>
        <w:jc w:val="center"/>
        <w:rPr>
          <w:rFonts w:ascii="Times New Roman" w:hAnsi="Times New Roman"/>
          <w:b/>
          <w:sz w:val="24"/>
          <w:szCs w:val="24"/>
          <w:lang w:val="sr-Cyrl-CS"/>
        </w:rPr>
      </w:pPr>
    </w:p>
    <w:p w:rsidR="002B6E12" w:rsidRPr="00347415" w:rsidRDefault="002B6E12" w:rsidP="002B6E12">
      <w:pPr>
        <w:pStyle w:val="ListParagraph"/>
        <w:ind w:left="0"/>
        <w:jc w:val="both"/>
        <w:rPr>
          <w:rFonts w:ascii="Times New Roman" w:hAnsi="Times New Roman"/>
          <w:b/>
          <w:sz w:val="24"/>
          <w:szCs w:val="24"/>
          <w:lang w:val="sr-Cyrl-CS"/>
        </w:rPr>
      </w:pPr>
    </w:p>
    <w:p w:rsidR="002B6E12" w:rsidRDefault="002B6E12" w:rsidP="002B6E12">
      <w:pPr>
        <w:pStyle w:val="ListParagraph"/>
        <w:ind w:left="0" w:firstLine="708"/>
        <w:jc w:val="both"/>
        <w:rPr>
          <w:rFonts w:ascii="Times New Roman" w:hAnsi="Times New Roman"/>
          <w:color w:val="000000"/>
          <w:sz w:val="24"/>
          <w:szCs w:val="24"/>
          <w:lang w:val="sr-Cyrl-CS"/>
        </w:rPr>
      </w:pPr>
      <w:r>
        <w:rPr>
          <w:rFonts w:ascii="Times New Roman" w:hAnsi="Times New Roman"/>
          <w:sz w:val="24"/>
          <w:szCs w:val="24"/>
          <w:lang w:val="sr-Cyrl-CS"/>
        </w:rPr>
        <w:t xml:space="preserve">Постоје различити начини финансирања привредних друштава, уношењем сопствених средстава или преко позајмица оснивача, али је најчешћи начин комбинација финансирања путем зајмова и сопственог капитала. </w:t>
      </w:r>
      <w:r w:rsidRPr="00875520">
        <w:rPr>
          <w:rFonts w:ascii="Times New Roman" w:hAnsi="Times New Roman"/>
          <w:color w:val="000000"/>
          <w:sz w:val="24"/>
          <w:szCs w:val="24"/>
        </w:rPr>
        <w:t>Финансирање кроз позајмице оснивача је</w:t>
      </w:r>
      <w:r>
        <w:rPr>
          <w:rFonts w:ascii="Times New Roman" w:hAnsi="Times New Roman"/>
          <w:color w:val="000000"/>
          <w:sz w:val="24"/>
          <w:szCs w:val="24"/>
          <w:lang w:val="sr-Cyrl-CS"/>
        </w:rPr>
        <w:t>,</w:t>
      </w:r>
      <w:r w:rsidRPr="00875520">
        <w:rPr>
          <w:rFonts w:ascii="Times New Roman" w:hAnsi="Times New Roman"/>
          <w:color w:val="000000"/>
          <w:sz w:val="24"/>
          <w:szCs w:val="24"/>
        </w:rPr>
        <w:t xml:space="preserve"> са пореске тачке гледишта</w:t>
      </w:r>
      <w:r w:rsidR="00EE1E1E">
        <w:rPr>
          <w:rFonts w:ascii="Times New Roman" w:hAnsi="Times New Roman"/>
          <w:color w:val="000000"/>
          <w:sz w:val="24"/>
          <w:szCs w:val="24"/>
          <w:lang w:val="sr-Cyrl-CS"/>
        </w:rPr>
        <w:t>,</w:t>
      </w:r>
      <w:r w:rsidR="00EE1E1E">
        <w:rPr>
          <w:rFonts w:ascii="Times New Roman" w:hAnsi="Times New Roman"/>
          <w:color w:val="000000"/>
          <w:sz w:val="24"/>
          <w:szCs w:val="24"/>
        </w:rPr>
        <w:t xml:space="preserve"> повољније решење</w:t>
      </w:r>
      <w:r w:rsidRPr="00875520">
        <w:rPr>
          <w:rFonts w:ascii="Times New Roman" w:hAnsi="Times New Roman"/>
          <w:color w:val="000000"/>
          <w:sz w:val="24"/>
          <w:szCs w:val="24"/>
        </w:rPr>
        <w:t xml:space="preserve"> јер камата умањује пореску основицу (смањење пореза) дакле порез је минимализован, док би дивиденде представљале расподелу добити која не подлеже пореском одбитку.</w:t>
      </w:r>
      <w:r w:rsidRPr="00875520">
        <w:rPr>
          <w:rFonts w:ascii="Times New Roman" w:hAnsi="Times New Roman"/>
          <w:color w:val="000000"/>
          <w:sz w:val="24"/>
          <w:szCs w:val="24"/>
          <w:lang w:val="sr-Cyrl-CS"/>
        </w:rPr>
        <w:t xml:space="preserve"> </w:t>
      </w:r>
    </w:p>
    <w:p w:rsidR="002B6E12" w:rsidRPr="00875520" w:rsidRDefault="002B6E12" w:rsidP="002B6E12">
      <w:pPr>
        <w:pStyle w:val="ListParagraph"/>
        <w:ind w:left="0"/>
        <w:jc w:val="both"/>
        <w:rPr>
          <w:rFonts w:ascii="Times New Roman" w:hAnsi="Times New Roman"/>
          <w:color w:val="000000"/>
          <w:sz w:val="24"/>
          <w:szCs w:val="24"/>
          <w:lang w:val="sr-Cyrl-CS"/>
        </w:rPr>
      </w:pPr>
    </w:p>
    <w:p w:rsidR="002B6E12" w:rsidRDefault="002B6E12" w:rsidP="002B6E12">
      <w:pPr>
        <w:pStyle w:val="ListParagraph"/>
        <w:ind w:left="0" w:firstLine="708"/>
        <w:jc w:val="both"/>
        <w:rPr>
          <w:rFonts w:ascii="Times New Roman" w:hAnsi="Times New Roman"/>
          <w:color w:val="000000"/>
          <w:sz w:val="24"/>
          <w:szCs w:val="24"/>
          <w:lang w:val="sr-Cyrl-CS"/>
        </w:rPr>
      </w:pPr>
      <w:r w:rsidRPr="00875520">
        <w:rPr>
          <w:rFonts w:ascii="Times New Roman" w:hAnsi="Times New Roman"/>
          <w:color w:val="000000"/>
          <w:sz w:val="24"/>
          <w:szCs w:val="24"/>
          <w:lang w:val="sr-Cyrl-CS"/>
        </w:rPr>
        <w:t>Имајући у виду да је у Србији прилично заступљена пракса оснивања привредних друштава са минималним оснивачким капиталом, и њихово финансирање кроз позајмице оснивача (кредите), јасно је зашто је утањена капитализација уведена у српско пореско законодавство као саставни део свеобухватне пореске реформе у 2001.</w:t>
      </w:r>
    </w:p>
    <w:p w:rsidR="002B6E12" w:rsidRPr="00875520" w:rsidRDefault="002B6E12" w:rsidP="002B6E12">
      <w:pPr>
        <w:pStyle w:val="ListParagraph"/>
        <w:ind w:left="0"/>
        <w:jc w:val="both"/>
        <w:rPr>
          <w:rFonts w:ascii="Times New Roman" w:hAnsi="Times New Roman"/>
          <w:sz w:val="24"/>
          <w:szCs w:val="24"/>
          <w:lang w:val="sr-Cyrl-CS"/>
        </w:rPr>
      </w:pPr>
    </w:p>
    <w:p w:rsidR="002B6E12" w:rsidRDefault="002B6E12" w:rsidP="002B6E12">
      <w:pPr>
        <w:pStyle w:val="ListParagraph"/>
        <w:ind w:left="0" w:firstLine="708"/>
        <w:jc w:val="both"/>
        <w:rPr>
          <w:rFonts w:ascii="Times New Roman" w:hAnsi="Times New Roman"/>
          <w:sz w:val="24"/>
          <w:szCs w:val="24"/>
          <w:lang w:val="sr-Cyrl-CS"/>
        </w:rPr>
      </w:pPr>
      <w:r>
        <w:rPr>
          <w:rFonts w:ascii="Times New Roman" w:hAnsi="Times New Roman"/>
          <w:sz w:val="24"/>
          <w:szCs w:val="24"/>
          <w:lang w:val="sr-Cyrl-CS"/>
        </w:rPr>
        <w:t>Међутим</w:t>
      </w:r>
      <w:r w:rsidRPr="00875520">
        <w:rPr>
          <w:rFonts w:ascii="Times New Roman" w:hAnsi="Times New Roman"/>
          <w:sz w:val="24"/>
          <w:szCs w:val="24"/>
          <w:lang w:val="sr-Cyrl-CS"/>
        </w:rPr>
        <w:t xml:space="preserve">, уколико је у структури капитала присутно несразмерно високо учешће позајмљених средстава у односу на сопствена средстава ради се о утањеној капитализацији (енг. </w:t>
      </w:r>
      <w:r>
        <w:rPr>
          <w:rFonts w:ascii="Times New Roman" w:hAnsi="Times New Roman"/>
          <w:sz w:val="24"/>
          <w:szCs w:val="24"/>
        </w:rPr>
        <w:t>thin</w:t>
      </w:r>
      <w:r w:rsidRPr="00875520">
        <w:rPr>
          <w:rFonts w:ascii="Times New Roman" w:hAnsi="Times New Roman"/>
          <w:sz w:val="24"/>
          <w:szCs w:val="24"/>
          <w:lang w:val="sr-Cyrl-CS"/>
        </w:rPr>
        <w:t xml:space="preserve"> </w:t>
      </w:r>
      <w:r>
        <w:rPr>
          <w:rFonts w:ascii="Times New Roman" w:hAnsi="Times New Roman"/>
          <w:sz w:val="24"/>
          <w:szCs w:val="24"/>
        </w:rPr>
        <w:t>capitalization</w:t>
      </w:r>
      <w:r w:rsidRPr="00875520">
        <w:rPr>
          <w:rFonts w:ascii="Times New Roman" w:hAnsi="Times New Roman"/>
          <w:sz w:val="24"/>
          <w:szCs w:val="24"/>
        </w:rPr>
        <w:t>)</w:t>
      </w:r>
      <w:r w:rsidRPr="00875520">
        <w:rPr>
          <w:rFonts w:ascii="Times New Roman" w:hAnsi="Times New Roman"/>
          <w:sz w:val="24"/>
          <w:szCs w:val="24"/>
          <w:lang w:val="sr-Cyrl-CS"/>
        </w:rPr>
        <w:t>. Утањена капитализација не мора да буде само резултат повољнијег пореског третмана прихода од камата, него може  бити резултат и неких других разлога попут недостатка сопствених средстава. Предузеће у оквиру пореског планирања разматра све релевантне околности као што је, на пример, у случају фина</w:t>
      </w:r>
      <w:r>
        <w:rPr>
          <w:rFonts w:ascii="Times New Roman" w:hAnsi="Times New Roman"/>
          <w:sz w:val="24"/>
          <w:szCs w:val="24"/>
          <w:lang w:val="sr-Cyrl-CS"/>
        </w:rPr>
        <w:t>н</w:t>
      </w:r>
      <w:r w:rsidRPr="00875520">
        <w:rPr>
          <w:rFonts w:ascii="Times New Roman" w:hAnsi="Times New Roman"/>
          <w:sz w:val="24"/>
          <w:szCs w:val="24"/>
          <w:lang w:val="sr-Cyrl-CS"/>
        </w:rPr>
        <w:t>сирања набавке робе, могућност продаје робе, очекивани профит од продаје, висина камате на позајмљена средства од банке, рок отплате кредита и слично. Уколико се ради о фискалним разлозима високог удела позајмљеног капитала у укупном капиталу предузећа, у циљу повећања профита и умањења пореског оптерећења</w:t>
      </w:r>
      <w:r>
        <w:rPr>
          <w:rFonts w:ascii="Times New Roman" w:hAnsi="Times New Roman"/>
          <w:sz w:val="24"/>
          <w:szCs w:val="24"/>
          <w:lang w:val="sr-Cyrl-CS"/>
        </w:rPr>
        <w:t>,</w:t>
      </w:r>
      <w:r w:rsidRPr="00875520">
        <w:rPr>
          <w:rFonts w:ascii="Times New Roman" w:hAnsi="Times New Roman"/>
          <w:sz w:val="24"/>
          <w:szCs w:val="24"/>
          <w:lang w:val="sr-Cyrl-CS"/>
        </w:rPr>
        <w:t xml:space="preserve"> радиће се о утањеној капитализацији. </w:t>
      </w:r>
    </w:p>
    <w:p w:rsidR="002B6E12" w:rsidRPr="00875520" w:rsidRDefault="002B6E12" w:rsidP="002B6E12">
      <w:pPr>
        <w:pStyle w:val="ListParagraph"/>
        <w:ind w:left="0"/>
        <w:jc w:val="both"/>
        <w:rPr>
          <w:rFonts w:ascii="Times New Roman" w:hAnsi="Times New Roman"/>
          <w:sz w:val="24"/>
          <w:szCs w:val="24"/>
          <w:lang w:val="sr-Cyrl-CS"/>
        </w:rPr>
      </w:pPr>
    </w:p>
    <w:p w:rsidR="002B6E12" w:rsidRPr="0001527F" w:rsidRDefault="00821AF5" w:rsidP="0001527F">
      <w:pPr>
        <w:pStyle w:val="ListParagraph"/>
        <w:ind w:left="0" w:firstLine="708"/>
        <w:jc w:val="both"/>
        <w:rPr>
          <w:rFonts w:ascii="Times New Roman" w:hAnsi="Times New Roman"/>
          <w:sz w:val="24"/>
          <w:szCs w:val="24"/>
          <w:lang w:val="sr-Cyrl-CS"/>
        </w:rPr>
      </w:pPr>
      <w:r>
        <w:rPr>
          <w:rFonts w:ascii="Times New Roman" w:hAnsi="Times New Roman"/>
          <w:sz w:val="24"/>
          <w:szCs w:val="24"/>
          <w:lang w:val="sr-Cyrl-CS"/>
        </w:rPr>
        <w:t>Е</w:t>
      </w:r>
      <w:r w:rsidRPr="00875520">
        <w:rPr>
          <w:rFonts w:ascii="Times New Roman" w:hAnsi="Times New Roman"/>
          <w:sz w:val="24"/>
          <w:szCs w:val="24"/>
          <w:lang w:val="sr-Cyrl-CS"/>
        </w:rPr>
        <w:t xml:space="preserve">кономско двоструко опорезивање </w:t>
      </w:r>
      <w:r>
        <w:rPr>
          <w:rFonts w:ascii="Times New Roman" w:hAnsi="Times New Roman"/>
          <w:sz w:val="24"/>
          <w:szCs w:val="24"/>
          <w:lang w:val="sr-Cyrl-CS"/>
        </w:rPr>
        <w:t>је последица ф</w:t>
      </w:r>
      <w:r w:rsidR="002B6E12" w:rsidRPr="00875520">
        <w:rPr>
          <w:rFonts w:ascii="Times New Roman" w:hAnsi="Times New Roman"/>
          <w:sz w:val="24"/>
          <w:szCs w:val="24"/>
          <w:lang w:val="sr-Cyrl-CS"/>
        </w:rPr>
        <w:t>ина</w:t>
      </w:r>
      <w:r w:rsidR="002B6E12">
        <w:rPr>
          <w:rFonts w:ascii="Times New Roman" w:hAnsi="Times New Roman"/>
          <w:sz w:val="24"/>
          <w:szCs w:val="24"/>
          <w:lang w:val="sr-Cyrl-CS"/>
        </w:rPr>
        <w:t>н</w:t>
      </w:r>
      <w:r>
        <w:rPr>
          <w:rFonts w:ascii="Times New Roman" w:hAnsi="Times New Roman"/>
          <w:sz w:val="24"/>
          <w:szCs w:val="24"/>
          <w:lang w:val="sr-Cyrl-CS"/>
        </w:rPr>
        <w:t>сирања</w:t>
      </w:r>
      <w:r w:rsidR="002B6E12" w:rsidRPr="00875520">
        <w:rPr>
          <w:rFonts w:ascii="Times New Roman" w:hAnsi="Times New Roman"/>
          <w:sz w:val="24"/>
          <w:szCs w:val="24"/>
          <w:lang w:val="sr-Cyrl-CS"/>
        </w:rPr>
        <w:t xml:space="preserve"> сопственим капиталом. </w:t>
      </w:r>
      <w:r>
        <w:rPr>
          <w:rFonts w:ascii="Times New Roman" w:hAnsi="Times New Roman"/>
          <w:sz w:val="24"/>
          <w:szCs w:val="24"/>
          <w:lang w:val="sr-Cyrl-CS"/>
        </w:rPr>
        <w:t>У пракси се често дешава</w:t>
      </w:r>
      <w:r w:rsidR="002B6E12" w:rsidRPr="00875520">
        <w:rPr>
          <w:rFonts w:ascii="Times New Roman" w:hAnsi="Times New Roman"/>
          <w:sz w:val="24"/>
          <w:szCs w:val="24"/>
          <w:lang w:val="sr-Cyrl-CS"/>
        </w:rPr>
        <w:t xml:space="preserve"> да се, у циљу избегавања плаћања пореза, успоставља таква структура капитала, коју нормални економски разлози не би захтевали када се сопствени капитал свесно приказује као капитал обезбеђен из кредита. </w:t>
      </w:r>
      <w:r>
        <w:rPr>
          <w:rFonts w:ascii="Times New Roman" w:hAnsi="Times New Roman"/>
          <w:sz w:val="24"/>
          <w:szCs w:val="24"/>
          <w:lang w:val="sr-Cyrl-CS"/>
        </w:rPr>
        <w:t>Оваква</w:t>
      </w:r>
      <w:r w:rsidR="002B6E12" w:rsidRPr="00875520">
        <w:rPr>
          <w:rFonts w:ascii="Times New Roman" w:hAnsi="Times New Roman"/>
          <w:sz w:val="24"/>
          <w:szCs w:val="24"/>
          <w:lang w:val="sr-Cyrl-CS"/>
        </w:rPr>
        <w:t xml:space="preserve"> појава </w:t>
      </w:r>
      <w:r>
        <w:rPr>
          <w:rFonts w:ascii="Times New Roman" w:hAnsi="Times New Roman"/>
          <w:sz w:val="24"/>
          <w:szCs w:val="24"/>
          <w:lang w:val="sr-Cyrl-CS"/>
        </w:rPr>
        <w:t>представља утањену капитализацију</w:t>
      </w:r>
      <w:r w:rsidR="002B6E12" w:rsidRPr="00875520">
        <w:rPr>
          <w:rFonts w:ascii="Times New Roman" w:hAnsi="Times New Roman"/>
          <w:sz w:val="24"/>
          <w:szCs w:val="24"/>
          <w:lang w:val="sr-Cyrl-CS"/>
        </w:rPr>
        <w:t xml:space="preserve"> и користи се као модалитет евазије пореза. Вештачки високо учешће позајмљених средстава у структури капитала предузећа </w:t>
      </w:r>
      <w:r>
        <w:rPr>
          <w:rFonts w:ascii="Times New Roman" w:hAnsi="Times New Roman"/>
          <w:sz w:val="24"/>
          <w:szCs w:val="24"/>
          <w:lang w:val="sr-Cyrl-CS"/>
        </w:rPr>
        <w:t>пружа више могућности и то</w:t>
      </w:r>
      <w:r w:rsidR="002B6E12" w:rsidRPr="00875520">
        <w:rPr>
          <w:rFonts w:ascii="Times New Roman" w:hAnsi="Times New Roman"/>
          <w:sz w:val="24"/>
          <w:szCs w:val="24"/>
          <w:lang w:val="sr-Cyrl-CS"/>
        </w:rPr>
        <w:t xml:space="preserve">: а) да се оствари пореска погодност исказивања камата којима се умањује основица пореза на добит предузећа; б) да се избегне економско двоструко опорезивање дивиденди; в) да се искористи повољнија пореска стопа пореза на добит по одбитку на камате која се често предвиђа уговорима о избегавању двоструког опорезивања. </w:t>
      </w:r>
      <w:r>
        <w:rPr>
          <w:rFonts w:ascii="Times New Roman" w:hAnsi="Times New Roman"/>
          <w:sz w:val="24"/>
          <w:szCs w:val="24"/>
          <w:lang w:val="sr-Cyrl-CS"/>
        </w:rPr>
        <w:t xml:space="preserve">Најчешћи мотив за појаву </w:t>
      </w:r>
      <w:r w:rsidR="002B6E12" w:rsidRPr="00875520">
        <w:rPr>
          <w:rFonts w:ascii="Times New Roman" w:hAnsi="Times New Roman"/>
          <w:sz w:val="24"/>
          <w:szCs w:val="24"/>
          <w:lang w:val="sr-Cyrl-CS"/>
        </w:rPr>
        <w:t xml:space="preserve">утањене капитализације </w:t>
      </w:r>
      <w:r>
        <w:rPr>
          <w:rFonts w:ascii="Times New Roman" w:hAnsi="Times New Roman"/>
          <w:sz w:val="24"/>
          <w:szCs w:val="24"/>
          <w:lang w:val="sr-Cyrl-CS"/>
        </w:rPr>
        <w:t xml:space="preserve">је евазиони, мада на то </w:t>
      </w:r>
      <w:r w:rsidR="002B6E12" w:rsidRPr="00875520">
        <w:rPr>
          <w:rFonts w:ascii="Times New Roman" w:hAnsi="Times New Roman"/>
          <w:sz w:val="24"/>
          <w:szCs w:val="24"/>
          <w:lang w:val="sr-Cyrl-CS"/>
        </w:rPr>
        <w:t>мо</w:t>
      </w:r>
      <w:r>
        <w:rPr>
          <w:rFonts w:ascii="Times New Roman" w:hAnsi="Times New Roman"/>
          <w:sz w:val="24"/>
          <w:szCs w:val="24"/>
          <w:lang w:val="sr-Cyrl-CS"/>
        </w:rPr>
        <w:t>гу да утичу и економски разлози.</w:t>
      </w:r>
      <w:r w:rsidR="002B6E12" w:rsidRPr="00875520">
        <w:rPr>
          <w:rStyle w:val="FootnoteReference"/>
          <w:rFonts w:ascii="Times New Roman" w:hAnsi="Times New Roman"/>
          <w:sz w:val="24"/>
          <w:szCs w:val="24"/>
          <w:lang w:val="sr-Cyrl-CS"/>
        </w:rPr>
        <w:footnoteReference w:id="612"/>
      </w:r>
    </w:p>
    <w:p w:rsidR="002B6E12" w:rsidRDefault="002B6E12" w:rsidP="0001527F">
      <w:pPr>
        <w:ind w:firstLine="708"/>
        <w:jc w:val="both"/>
        <w:rPr>
          <w:rFonts w:ascii="Times New Roman" w:hAnsi="Times New Roman"/>
          <w:sz w:val="24"/>
          <w:szCs w:val="24"/>
          <w:lang w:val="sr-Cyrl-CS"/>
        </w:rPr>
      </w:pPr>
      <w:r>
        <w:rPr>
          <w:rFonts w:ascii="Times New Roman" w:hAnsi="Times New Roman"/>
          <w:sz w:val="24"/>
          <w:szCs w:val="24"/>
          <w:lang w:val="sr-Cyrl-CS"/>
        </w:rPr>
        <w:lastRenderedPageBreak/>
        <w:t xml:space="preserve">Против утањене капитализације примењују се административне и економске мере. Административне мере су: примена правила злоупотребе права, (према коме се предност даје садржини на основу разматрања конретног случаја, без обзира што би се по форми могло радити о зајму), испитивање услова кредитирања између повезаних лица и прописивање максималног односа између позајмљених и сопствених средстава. Економске мере се састоје у уједначавању пореског третмана камата и дивиденди. </w:t>
      </w:r>
    </w:p>
    <w:p w:rsidR="002B6E12" w:rsidRDefault="0001527F" w:rsidP="0001527F">
      <w:pPr>
        <w:ind w:firstLine="708"/>
        <w:jc w:val="both"/>
        <w:rPr>
          <w:rFonts w:ascii="Times New Roman" w:hAnsi="Times New Roman"/>
          <w:sz w:val="24"/>
          <w:szCs w:val="24"/>
          <w:lang w:val="sr-Cyrl-CS"/>
        </w:rPr>
      </w:pPr>
      <w:r>
        <w:rPr>
          <w:rFonts w:ascii="Times New Roman" w:hAnsi="Times New Roman"/>
          <w:sz w:val="24"/>
          <w:szCs w:val="24"/>
          <w:lang w:val="sr-Cyrl-CS"/>
        </w:rPr>
        <w:t>Који ће бити о</w:t>
      </w:r>
      <w:r w:rsidR="002B6E12">
        <w:rPr>
          <w:rFonts w:ascii="Times New Roman" w:hAnsi="Times New Roman"/>
          <w:sz w:val="24"/>
          <w:szCs w:val="24"/>
          <w:lang w:val="sr-Cyrl-CS"/>
        </w:rPr>
        <w:t>днос со</w:t>
      </w:r>
      <w:r>
        <w:rPr>
          <w:rFonts w:ascii="Times New Roman" w:hAnsi="Times New Roman"/>
          <w:sz w:val="24"/>
          <w:szCs w:val="24"/>
          <w:lang w:val="sr-Cyrl-CS"/>
        </w:rPr>
        <w:t>пственог и позајмљеног капитала</w:t>
      </w:r>
      <w:r w:rsidR="002B6E12">
        <w:rPr>
          <w:rFonts w:ascii="Times New Roman" w:hAnsi="Times New Roman"/>
          <w:sz w:val="24"/>
          <w:szCs w:val="24"/>
          <w:lang w:val="sr-Cyrl-CS"/>
        </w:rPr>
        <w:t xml:space="preserve"> зависи од датих околности у којима се налази предузеће, од врсте и обима инвестиционих активности које оно обавља, као и од погодности зад</w:t>
      </w:r>
      <w:r>
        <w:rPr>
          <w:rFonts w:ascii="Times New Roman" w:hAnsi="Times New Roman"/>
          <w:sz w:val="24"/>
          <w:szCs w:val="24"/>
          <w:lang w:val="sr-Cyrl-CS"/>
        </w:rPr>
        <w:t>уживања на финансијском тржишту</w:t>
      </w:r>
      <w:r w:rsidR="002B6E12">
        <w:rPr>
          <w:rFonts w:ascii="Times New Roman" w:hAnsi="Times New Roman"/>
          <w:sz w:val="24"/>
          <w:szCs w:val="24"/>
          <w:lang w:val="sr-Cyrl-CS"/>
        </w:rPr>
        <w:t xml:space="preserve"> </w:t>
      </w:r>
      <w:r w:rsidR="00B26DA0">
        <w:rPr>
          <w:rFonts w:ascii="Times New Roman" w:hAnsi="Times New Roman"/>
          <w:sz w:val="24"/>
          <w:szCs w:val="24"/>
          <w:lang w:val="sr-Cyrl-CS"/>
        </w:rPr>
        <w:t>У финансијској науци</w:t>
      </w:r>
      <w:r w:rsidR="002B6E12">
        <w:rPr>
          <w:rFonts w:ascii="Times New Roman" w:hAnsi="Times New Roman"/>
          <w:sz w:val="24"/>
          <w:szCs w:val="24"/>
          <w:lang w:val="sr-Cyrl-CS"/>
        </w:rPr>
        <w:t xml:space="preserve"> нема јединствен</w:t>
      </w:r>
      <w:r w:rsidR="00B26DA0">
        <w:rPr>
          <w:rFonts w:ascii="Times New Roman" w:hAnsi="Times New Roman"/>
          <w:sz w:val="24"/>
          <w:szCs w:val="24"/>
          <w:lang w:val="sr-Cyrl-CS"/>
        </w:rPr>
        <w:t>ог</w:t>
      </w:r>
      <w:r w:rsidR="002B6E12">
        <w:rPr>
          <w:rFonts w:ascii="Times New Roman" w:hAnsi="Times New Roman"/>
          <w:sz w:val="24"/>
          <w:szCs w:val="24"/>
          <w:lang w:val="sr-Cyrl-CS"/>
        </w:rPr>
        <w:t xml:space="preserve"> став</w:t>
      </w:r>
      <w:r w:rsidR="00B26DA0">
        <w:rPr>
          <w:rFonts w:ascii="Times New Roman" w:hAnsi="Times New Roman"/>
          <w:sz w:val="24"/>
          <w:szCs w:val="24"/>
          <w:lang w:val="sr-Cyrl-CS"/>
        </w:rPr>
        <w:t>а</w:t>
      </w:r>
      <w:r w:rsidR="002B6E12">
        <w:rPr>
          <w:rFonts w:ascii="Times New Roman" w:hAnsi="Times New Roman"/>
          <w:sz w:val="24"/>
          <w:szCs w:val="24"/>
          <w:lang w:val="sr-Cyrl-CS"/>
        </w:rPr>
        <w:t xml:space="preserve"> </w:t>
      </w:r>
      <w:r w:rsidR="00B26DA0">
        <w:rPr>
          <w:rFonts w:ascii="Times New Roman" w:hAnsi="Times New Roman"/>
          <w:sz w:val="24"/>
          <w:szCs w:val="24"/>
          <w:lang w:val="sr-Cyrl-CS"/>
        </w:rPr>
        <w:t>о томе који је оптимални</w:t>
      </w:r>
      <w:r w:rsidR="002B6E12">
        <w:rPr>
          <w:rFonts w:ascii="Times New Roman" w:hAnsi="Times New Roman"/>
          <w:sz w:val="24"/>
          <w:szCs w:val="24"/>
          <w:lang w:val="sr-Cyrl-CS"/>
        </w:rPr>
        <w:t xml:space="preserve"> однос између сопствених и туђих средстава у портфељу предузећа. </w:t>
      </w:r>
      <w:r w:rsidR="00B26DA0">
        <w:rPr>
          <w:rFonts w:ascii="Times New Roman" w:hAnsi="Times New Roman"/>
          <w:sz w:val="24"/>
          <w:szCs w:val="24"/>
          <w:lang w:val="sr-Cyrl-CS"/>
        </w:rPr>
        <w:t>Тако н</w:t>
      </w:r>
      <w:r w:rsidR="002B6E12">
        <w:rPr>
          <w:rFonts w:ascii="Times New Roman" w:hAnsi="Times New Roman"/>
          <w:sz w:val="24"/>
          <w:szCs w:val="24"/>
          <w:lang w:val="sr-Cyrl-CS"/>
        </w:rPr>
        <w:t xml:space="preserve">еки аутори </w:t>
      </w:r>
      <w:r w:rsidR="00B26DA0">
        <w:rPr>
          <w:rFonts w:ascii="Times New Roman" w:hAnsi="Times New Roman"/>
          <w:sz w:val="24"/>
          <w:szCs w:val="24"/>
          <w:lang w:val="sr-Cyrl-CS"/>
        </w:rPr>
        <w:t>полазе од</w:t>
      </w:r>
      <w:r w:rsidR="002B6E12">
        <w:rPr>
          <w:rFonts w:ascii="Times New Roman" w:hAnsi="Times New Roman"/>
          <w:sz w:val="24"/>
          <w:szCs w:val="24"/>
          <w:lang w:val="sr-Cyrl-CS"/>
        </w:rPr>
        <w:t xml:space="preserve"> „златно</w:t>
      </w:r>
      <w:r w:rsidR="00B26DA0">
        <w:rPr>
          <w:rFonts w:ascii="Times New Roman" w:hAnsi="Times New Roman"/>
          <w:sz w:val="24"/>
          <w:szCs w:val="24"/>
          <w:lang w:val="sr-Cyrl-CS"/>
        </w:rPr>
        <w:t>г</w:t>
      </w:r>
      <w:r w:rsidR="002B6E12">
        <w:rPr>
          <w:rFonts w:ascii="Times New Roman" w:hAnsi="Times New Roman"/>
          <w:sz w:val="24"/>
          <w:szCs w:val="24"/>
          <w:lang w:val="sr-Cyrl-CS"/>
        </w:rPr>
        <w:t xml:space="preserve"> правил</w:t>
      </w:r>
      <w:r w:rsidR="00B26DA0">
        <w:rPr>
          <w:rFonts w:ascii="Times New Roman" w:hAnsi="Times New Roman"/>
          <w:sz w:val="24"/>
          <w:szCs w:val="24"/>
          <w:lang w:val="sr-Cyrl-CS"/>
        </w:rPr>
        <w:t>а</w:t>
      </w:r>
      <w:r w:rsidR="002B6E12">
        <w:rPr>
          <w:rFonts w:ascii="Times New Roman" w:hAnsi="Times New Roman"/>
          <w:sz w:val="24"/>
          <w:szCs w:val="24"/>
          <w:lang w:val="sr-Cyrl-CS"/>
        </w:rPr>
        <w:t xml:space="preserve"> изравнања ризика“, које налаже изједначававање оби</w:t>
      </w:r>
      <w:r w:rsidR="00B26DA0">
        <w:rPr>
          <w:rFonts w:ascii="Times New Roman" w:hAnsi="Times New Roman"/>
          <w:sz w:val="24"/>
          <w:szCs w:val="24"/>
          <w:lang w:val="sr-Cyrl-CS"/>
        </w:rPr>
        <w:t>ма сопствених и туђих средстава, док други аутори</w:t>
      </w:r>
      <w:r w:rsidR="002B6E12">
        <w:rPr>
          <w:rFonts w:ascii="Times New Roman" w:hAnsi="Times New Roman"/>
          <w:sz w:val="24"/>
          <w:szCs w:val="24"/>
          <w:lang w:val="sr-Cyrl-CS"/>
        </w:rPr>
        <w:t xml:space="preserve"> </w:t>
      </w:r>
      <w:r w:rsidR="00B26DA0">
        <w:rPr>
          <w:rFonts w:ascii="Times New Roman" w:hAnsi="Times New Roman"/>
          <w:sz w:val="24"/>
          <w:szCs w:val="24"/>
          <w:lang w:val="sr-Cyrl-CS"/>
        </w:rPr>
        <w:t>сматрају да је то</w:t>
      </w:r>
      <w:r w:rsidR="002B6E12">
        <w:rPr>
          <w:rFonts w:ascii="Times New Roman" w:hAnsi="Times New Roman"/>
          <w:sz w:val="24"/>
          <w:szCs w:val="24"/>
          <w:lang w:val="sr-Cyrl-CS"/>
        </w:rPr>
        <w:t xml:space="preserve"> однос у сразмери 2:1 или 3:1.</w:t>
      </w:r>
      <w:r w:rsidR="002B6E12">
        <w:rPr>
          <w:rStyle w:val="FootnoteReference"/>
          <w:rFonts w:ascii="Times New Roman" w:hAnsi="Times New Roman"/>
          <w:sz w:val="24"/>
          <w:szCs w:val="24"/>
          <w:lang w:val="sr-Cyrl-CS"/>
        </w:rPr>
        <w:footnoteReference w:id="613"/>
      </w:r>
    </w:p>
    <w:p w:rsidR="002B6E12" w:rsidRDefault="00B26DA0" w:rsidP="0001527F">
      <w:pPr>
        <w:ind w:firstLine="708"/>
        <w:jc w:val="both"/>
        <w:rPr>
          <w:rFonts w:ascii="Times New Roman" w:hAnsi="Times New Roman"/>
          <w:sz w:val="24"/>
          <w:szCs w:val="24"/>
          <w:lang w:val="sr-Cyrl-CS"/>
        </w:rPr>
      </w:pPr>
      <w:r>
        <w:rPr>
          <w:rFonts w:ascii="Times New Roman" w:hAnsi="Times New Roman"/>
          <w:sz w:val="24"/>
          <w:szCs w:val="24"/>
          <w:lang w:val="sr-Cyrl-CS"/>
        </w:rPr>
        <w:t>Утањена капитализација се као облик пореске евазије у</w:t>
      </w:r>
      <w:r w:rsidR="002B6E12">
        <w:rPr>
          <w:rFonts w:ascii="Times New Roman" w:hAnsi="Times New Roman"/>
          <w:sz w:val="24"/>
          <w:szCs w:val="24"/>
          <w:lang w:val="sr-Cyrl-CS"/>
        </w:rPr>
        <w:t xml:space="preserve"> пракси савремених држава </w:t>
      </w:r>
      <w:r>
        <w:rPr>
          <w:rFonts w:ascii="Times New Roman" w:hAnsi="Times New Roman"/>
          <w:sz w:val="24"/>
          <w:szCs w:val="24"/>
          <w:lang w:val="sr-Cyrl-CS"/>
        </w:rPr>
        <w:t>решава</w:t>
      </w:r>
      <w:r w:rsidR="002B6E12">
        <w:rPr>
          <w:rFonts w:ascii="Times New Roman" w:hAnsi="Times New Roman"/>
          <w:sz w:val="24"/>
          <w:szCs w:val="24"/>
          <w:lang w:val="sr-Cyrl-CS"/>
        </w:rPr>
        <w:t xml:space="preserve"> на три различита начина. </w:t>
      </w:r>
      <w:r>
        <w:rPr>
          <w:rFonts w:ascii="Times New Roman" w:hAnsi="Times New Roman"/>
          <w:sz w:val="24"/>
          <w:szCs w:val="24"/>
          <w:lang w:val="sr-Cyrl-CS"/>
        </w:rPr>
        <w:t>„</w:t>
      </w:r>
      <w:r w:rsidR="002B6E12">
        <w:rPr>
          <w:rFonts w:ascii="Times New Roman" w:hAnsi="Times New Roman"/>
          <w:sz w:val="24"/>
          <w:szCs w:val="24"/>
          <w:lang w:val="sr-Cyrl-CS"/>
        </w:rPr>
        <w:t>Први метод полази до општег начела о забрани злоупотебе права. Други метод заснован је на принципу „ван дохвата руке“ који се примењује у ситуацији када се пословна активност одвија између тзв. повезаних лица. Трећи метод полази од тачно утврђеног односа између позајмљених и сопствених средстава. Иако је овај метод једноставнији, његова ригидност не решава проблеме у вези са одређивањем природе финансијске трансакције. Зато Комитет за фискалне односе ОЕЦД-а препоручује примену приципа „ван дохвата руке“ који пореској администрацији даје много шире могућности и већу слободу код утврђивања односа између позајмљених и сопствених средстава.</w:t>
      </w:r>
      <w:r>
        <w:rPr>
          <w:rFonts w:ascii="Times New Roman" w:hAnsi="Times New Roman"/>
          <w:sz w:val="24"/>
          <w:szCs w:val="24"/>
          <w:lang w:val="sr-Cyrl-CS"/>
        </w:rPr>
        <w:t>“</w:t>
      </w:r>
      <w:r w:rsidR="002B6E12">
        <w:rPr>
          <w:rStyle w:val="FootnoteReference"/>
          <w:rFonts w:ascii="Times New Roman" w:hAnsi="Times New Roman"/>
          <w:sz w:val="24"/>
          <w:szCs w:val="24"/>
          <w:lang w:val="sr-Cyrl-CS"/>
        </w:rPr>
        <w:footnoteReference w:id="614"/>
      </w:r>
    </w:p>
    <w:p w:rsidR="002B6E12" w:rsidRDefault="00B26DA0" w:rsidP="00B26DA0">
      <w:pPr>
        <w:ind w:firstLine="708"/>
        <w:jc w:val="both"/>
        <w:rPr>
          <w:rFonts w:ascii="Times New Roman" w:hAnsi="Times New Roman"/>
          <w:sz w:val="24"/>
          <w:szCs w:val="24"/>
          <w:lang w:val="sr-Cyrl-CS"/>
        </w:rPr>
      </w:pPr>
      <w:r>
        <w:rPr>
          <w:rFonts w:ascii="Times New Roman" w:hAnsi="Times New Roman"/>
          <w:sz w:val="24"/>
          <w:szCs w:val="24"/>
          <w:lang w:val="sr-Cyrl-CS"/>
        </w:rPr>
        <w:t>Метод  који</w:t>
      </w:r>
      <w:r w:rsidR="002B6E12">
        <w:rPr>
          <w:rFonts w:ascii="Times New Roman" w:hAnsi="Times New Roman"/>
          <w:sz w:val="24"/>
          <w:szCs w:val="24"/>
          <w:lang w:val="sr-Cyrl-CS"/>
        </w:rPr>
        <w:t xml:space="preserve"> се заснива на примени принципа „ван дохвата руке“ </w:t>
      </w:r>
      <w:r w:rsidR="002B6E12">
        <w:rPr>
          <w:rFonts w:ascii="Times New Roman" w:hAnsi="Times New Roman"/>
          <w:sz w:val="24"/>
          <w:szCs w:val="24"/>
        </w:rPr>
        <w:t xml:space="preserve">(eng. arm`s  length principle) </w:t>
      </w:r>
      <w:r>
        <w:rPr>
          <w:rFonts w:ascii="Times New Roman" w:hAnsi="Times New Roman"/>
          <w:sz w:val="24"/>
          <w:szCs w:val="24"/>
          <w:lang w:val="sr-Cyrl-CS"/>
        </w:rPr>
        <w:t>користи</w:t>
      </w:r>
      <w:r w:rsidR="002B6E12">
        <w:rPr>
          <w:rFonts w:ascii="Times New Roman" w:hAnsi="Times New Roman"/>
          <w:sz w:val="24"/>
          <w:szCs w:val="24"/>
          <w:lang w:val="sr-Cyrl-CS"/>
        </w:rPr>
        <w:t xml:space="preserve"> се у случају када су зајмодавац и зајмопримац повезана лица. </w:t>
      </w:r>
      <w:r w:rsidR="000F1450">
        <w:rPr>
          <w:rFonts w:ascii="Times New Roman" w:hAnsi="Times New Roman"/>
          <w:sz w:val="24"/>
          <w:szCs w:val="24"/>
          <w:lang w:val="sr-Cyrl-CS"/>
        </w:rPr>
        <w:t>У пореским законима се по правилу прописује обавеза да се у пореском билансу</w:t>
      </w:r>
      <w:r w:rsidR="002B6E12">
        <w:rPr>
          <w:rFonts w:ascii="Times New Roman" w:hAnsi="Times New Roman"/>
          <w:sz w:val="24"/>
          <w:szCs w:val="24"/>
          <w:lang w:val="sr-Cyrl-CS"/>
        </w:rPr>
        <w:t xml:space="preserve"> </w:t>
      </w:r>
      <w:r w:rsidR="000F1450">
        <w:rPr>
          <w:rFonts w:ascii="Times New Roman" w:hAnsi="Times New Roman"/>
          <w:sz w:val="24"/>
          <w:szCs w:val="24"/>
          <w:lang w:val="sr-Cyrl-CS"/>
        </w:rPr>
        <w:t>прикаже колика би била цена трансакције обављене по трансферним ценама да се у конкретном случају радило о повезаним лицима (цена „ван дохвата руке“), како би се утврдило да ли се ради о зајму или о улагању сопствених средстава. Ако би се утврдило</w:t>
      </w:r>
      <w:r w:rsidR="002B6E12">
        <w:rPr>
          <w:rFonts w:ascii="Times New Roman" w:hAnsi="Times New Roman"/>
          <w:sz w:val="24"/>
          <w:szCs w:val="24"/>
          <w:lang w:val="sr-Cyrl-CS"/>
        </w:rPr>
        <w:t xml:space="preserve"> да је учешће позајмљених средстава знатно веће у односу на учешће сопствених средстава, </w:t>
      </w:r>
      <w:r w:rsidR="000F1450">
        <w:rPr>
          <w:rFonts w:ascii="Times New Roman" w:hAnsi="Times New Roman"/>
          <w:sz w:val="24"/>
          <w:szCs w:val="24"/>
          <w:lang w:val="sr-Cyrl-CS"/>
        </w:rPr>
        <w:t>а што не би било да се ради о повезаним лицима</w:t>
      </w:r>
      <w:r w:rsidR="002B6E12">
        <w:rPr>
          <w:rFonts w:ascii="Times New Roman" w:hAnsi="Times New Roman"/>
          <w:sz w:val="24"/>
          <w:szCs w:val="24"/>
          <w:lang w:val="sr-Cyrl-CS"/>
        </w:rPr>
        <w:t>, тада се „вишак“ кредита у односу на сопствена средства, са пореског аспек</w:t>
      </w:r>
      <w:r w:rsidR="000F1450">
        <w:rPr>
          <w:rFonts w:ascii="Times New Roman" w:hAnsi="Times New Roman"/>
          <w:sz w:val="24"/>
          <w:szCs w:val="24"/>
          <w:lang w:val="sr-Cyrl-CS"/>
        </w:rPr>
        <w:t xml:space="preserve">та, сматра сосптвеним капиталом. Исти је </w:t>
      </w:r>
      <w:r w:rsidR="002B6E12">
        <w:rPr>
          <w:rFonts w:ascii="Times New Roman" w:hAnsi="Times New Roman"/>
          <w:sz w:val="24"/>
          <w:szCs w:val="24"/>
          <w:lang w:val="sr-Cyrl-CS"/>
        </w:rPr>
        <w:t xml:space="preserve"> </w:t>
      </w:r>
      <w:r w:rsidR="000F1450">
        <w:rPr>
          <w:rFonts w:ascii="Times New Roman" w:hAnsi="Times New Roman"/>
          <w:sz w:val="24"/>
          <w:szCs w:val="24"/>
          <w:lang w:val="sr-Cyrl-CS"/>
        </w:rPr>
        <w:t>случај</w:t>
      </w:r>
      <w:r w:rsidR="002B6E12">
        <w:rPr>
          <w:rFonts w:ascii="Times New Roman" w:hAnsi="Times New Roman"/>
          <w:sz w:val="24"/>
          <w:szCs w:val="24"/>
          <w:lang w:val="sr-Cyrl-CS"/>
        </w:rPr>
        <w:t xml:space="preserve"> и у односу између камате и дивиденде.</w:t>
      </w:r>
      <w:r w:rsidR="002B6E12">
        <w:rPr>
          <w:rStyle w:val="FootnoteReference"/>
          <w:rFonts w:ascii="Times New Roman" w:hAnsi="Times New Roman"/>
          <w:sz w:val="24"/>
          <w:szCs w:val="24"/>
          <w:lang w:val="sr-Cyrl-CS"/>
        </w:rPr>
        <w:footnoteReference w:id="615"/>
      </w:r>
      <w:r w:rsidR="002B6E12">
        <w:rPr>
          <w:rFonts w:ascii="Times New Roman" w:hAnsi="Times New Roman"/>
          <w:sz w:val="24"/>
          <w:szCs w:val="24"/>
          <w:lang w:val="sr-Cyrl-CS"/>
        </w:rPr>
        <w:t xml:space="preserve"> </w:t>
      </w:r>
    </w:p>
    <w:p w:rsidR="002B6E12" w:rsidRDefault="008E3EB7" w:rsidP="002B6E12">
      <w:pPr>
        <w:ind w:firstLine="708"/>
        <w:jc w:val="both"/>
        <w:rPr>
          <w:rFonts w:ascii="Times New Roman" w:hAnsi="Times New Roman"/>
          <w:sz w:val="24"/>
          <w:szCs w:val="24"/>
          <w:lang w:val="sr-Cyrl-CS"/>
        </w:rPr>
      </w:pPr>
      <w:r>
        <w:rPr>
          <w:rFonts w:ascii="Times New Roman" w:hAnsi="Times New Roman"/>
          <w:sz w:val="24"/>
          <w:szCs w:val="24"/>
          <w:lang w:val="sr-Cyrl-CS"/>
        </w:rPr>
        <w:t>Имајући у виду бројне могућности</w:t>
      </w:r>
      <w:r w:rsidR="002B6E12">
        <w:rPr>
          <w:rFonts w:ascii="Times New Roman" w:hAnsi="Times New Roman"/>
          <w:sz w:val="24"/>
          <w:szCs w:val="24"/>
          <w:lang w:val="sr-Cyrl-CS"/>
        </w:rPr>
        <w:t xml:space="preserve"> које користе мултинационалне компаније у злоупотребљавању позајмљених средстава, у циљу спречавања ове појаве, владе користе различита правила против утањене капитализације. Правила се разликују од </w:t>
      </w:r>
      <w:r w:rsidR="002B6E12">
        <w:rPr>
          <w:rFonts w:ascii="Times New Roman" w:hAnsi="Times New Roman"/>
          <w:sz w:val="24"/>
          <w:szCs w:val="24"/>
          <w:lang w:val="sr-Cyrl-CS"/>
        </w:rPr>
        <w:lastRenderedPageBreak/>
        <w:t xml:space="preserve">земље до земље, али </w:t>
      </w:r>
      <w:r>
        <w:rPr>
          <w:rFonts w:ascii="Times New Roman" w:hAnsi="Times New Roman"/>
          <w:sz w:val="24"/>
          <w:szCs w:val="24"/>
          <w:lang w:val="sr-Cyrl-CS"/>
        </w:rPr>
        <w:t>се своде на ограничавање</w:t>
      </w:r>
      <w:r w:rsidR="002B6E12">
        <w:rPr>
          <w:rFonts w:ascii="Times New Roman" w:hAnsi="Times New Roman"/>
          <w:sz w:val="24"/>
          <w:szCs w:val="24"/>
          <w:lang w:val="sr-Cyrl-CS"/>
        </w:rPr>
        <w:t xml:space="preserve"> односа између позајмљених </w:t>
      </w:r>
      <w:r>
        <w:rPr>
          <w:rFonts w:ascii="Times New Roman" w:hAnsi="Times New Roman"/>
          <w:sz w:val="24"/>
          <w:szCs w:val="24"/>
          <w:lang w:val="sr-Cyrl-CS"/>
        </w:rPr>
        <w:t>средстава и сопственог капитала</w:t>
      </w:r>
      <w:r w:rsidR="002B6E12">
        <w:rPr>
          <w:rFonts w:ascii="Times New Roman" w:hAnsi="Times New Roman"/>
          <w:sz w:val="24"/>
          <w:szCs w:val="24"/>
          <w:lang w:val="sr-Cyrl-CS"/>
        </w:rPr>
        <w:t>.</w:t>
      </w:r>
      <w:r w:rsidR="002B6E12">
        <w:rPr>
          <w:rStyle w:val="FootnoteReference"/>
          <w:rFonts w:ascii="Times New Roman" w:hAnsi="Times New Roman"/>
          <w:sz w:val="24"/>
          <w:szCs w:val="24"/>
          <w:lang w:val="sr-Cyrl-CS"/>
        </w:rPr>
        <w:footnoteReference w:id="616"/>
      </w:r>
      <w:r w:rsidR="002B6E12">
        <w:rPr>
          <w:rFonts w:ascii="Times New Roman" w:hAnsi="Times New Roman"/>
          <w:sz w:val="24"/>
          <w:szCs w:val="24"/>
          <w:lang w:val="sr-Cyrl-CS"/>
        </w:rPr>
        <w:t xml:space="preserve"> </w:t>
      </w:r>
    </w:p>
    <w:p w:rsidR="002B6E12" w:rsidRPr="00F933E6" w:rsidRDefault="002B6E12" w:rsidP="00F933E6">
      <w:pPr>
        <w:pStyle w:val="ListParagraph"/>
        <w:ind w:left="0" w:firstLine="708"/>
        <w:jc w:val="both"/>
        <w:rPr>
          <w:rFonts w:ascii="Times New Roman" w:hAnsi="Times New Roman"/>
          <w:color w:val="000000"/>
          <w:sz w:val="24"/>
          <w:szCs w:val="24"/>
          <w:lang w:val="sr-Cyrl-CS"/>
        </w:rPr>
      </w:pPr>
      <w:r w:rsidRPr="00875520">
        <w:rPr>
          <w:rFonts w:ascii="Times New Roman" w:hAnsi="Times New Roman"/>
          <w:sz w:val="24"/>
          <w:szCs w:val="24"/>
          <w:lang w:val="sr-Cyrl-CS"/>
        </w:rPr>
        <w:t>Према Закону о порезу на добит правних лица</w:t>
      </w:r>
      <w:r w:rsidRPr="00875520">
        <w:rPr>
          <w:rStyle w:val="FootnoteReference"/>
          <w:rFonts w:ascii="Times New Roman" w:hAnsi="Times New Roman"/>
          <w:sz w:val="24"/>
          <w:szCs w:val="24"/>
          <w:lang w:val="sr-Cyrl-CS"/>
        </w:rPr>
        <w:footnoteReference w:id="617"/>
      </w:r>
      <w:r w:rsidRPr="00875520">
        <w:rPr>
          <w:rFonts w:ascii="Times New Roman" w:hAnsi="Times New Roman"/>
          <w:sz w:val="24"/>
          <w:szCs w:val="24"/>
          <w:lang w:val="sr-Cyrl-CS"/>
        </w:rPr>
        <w:t xml:space="preserve"> </w:t>
      </w:r>
      <w:r w:rsidRPr="00875520">
        <w:rPr>
          <w:rFonts w:ascii="Times New Roman" w:hAnsi="Times New Roman"/>
          <w:color w:val="000000"/>
          <w:sz w:val="24"/>
          <w:szCs w:val="24"/>
          <w:lang w:val="sr-Cyrl-CS"/>
        </w:rPr>
        <w:t>к</w:t>
      </w:r>
      <w:r w:rsidRPr="00875520">
        <w:rPr>
          <w:rFonts w:ascii="Times New Roman" w:hAnsi="Times New Roman"/>
          <w:color w:val="000000"/>
          <w:sz w:val="24"/>
          <w:szCs w:val="24"/>
        </w:rPr>
        <w:t>од дуга према повериоцу са статусом повезаног лица пореском обвезнику, изузев банци и привредном друштву које обавља делатност финансијског лизинга</w:t>
      </w:r>
      <w:r w:rsidRPr="00875520">
        <w:rPr>
          <w:rFonts w:ascii="Times New Roman" w:hAnsi="Times New Roman"/>
          <w:color w:val="000000"/>
          <w:sz w:val="24"/>
          <w:szCs w:val="24"/>
          <w:lang w:val="sr-Cyrl-CS"/>
        </w:rPr>
        <w:t>,</w:t>
      </w:r>
      <w:r w:rsidRPr="00875520">
        <w:rPr>
          <w:rFonts w:ascii="Times New Roman" w:hAnsi="Times New Roman"/>
          <w:color w:val="000000"/>
          <w:sz w:val="24"/>
          <w:szCs w:val="24"/>
        </w:rPr>
        <w:t xml:space="preserve"> признаје се као расход у пореском билансу износ камате и припадајућих трошкова на зајам, односно кредит до висине четвороструке вредности обвезниковог сопственог капитала.</w:t>
      </w:r>
      <w:r w:rsidRPr="00875520">
        <w:rPr>
          <w:rFonts w:ascii="Times New Roman" w:hAnsi="Times New Roman"/>
          <w:color w:val="000000"/>
          <w:sz w:val="24"/>
          <w:szCs w:val="24"/>
          <w:lang w:val="sr-Cyrl-CS"/>
        </w:rPr>
        <w:t xml:space="preserve"> </w:t>
      </w:r>
      <w:r w:rsidRPr="00875520">
        <w:rPr>
          <w:rFonts w:ascii="Times New Roman" w:hAnsi="Times New Roman"/>
          <w:color w:val="000000"/>
          <w:sz w:val="24"/>
          <w:szCs w:val="24"/>
        </w:rPr>
        <w:t>За банке и даваоце финансијског лизинга лимит је десетоструки износ обвезниковог сопственог капитала.</w:t>
      </w:r>
      <w:r w:rsidRPr="00875520">
        <w:rPr>
          <w:rFonts w:ascii="Times New Roman" w:hAnsi="Times New Roman"/>
          <w:color w:val="000000"/>
          <w:sz w:val="24"/>
          <w:szCs w:val="24"/>
          <w:lang w:val="sr-Cyrl-CS"/>
        </w:rPr>
        <w:t xml:space="preserve"> При том, с</w:t>
      </w:r>
      <w:r w:rsidRPr="00875520">
        <w:rPr>
          <w:rFonts w:ascii="Times New Roman" w:hAnsi="Times New Roman"/>
          <w:color w:val="000000"/>
          <w:sz w:val="24"/>
          <w:szCs w:val="24"/>
        </w:rPr>
        <w:t>опствени капитал</w:t>
      </w:r>
      <w:r w:rsidRPr="00875520">
        <w:rPr>
          <w:rFonts w:ascii="Times New Roman" w:hAnsi="Times New Roman"/>
          <w:color w:val="000000"/>
          <w:sz w:val="24"/>
          <w:szCs w:val="24"/>
          <w:lang w:val="sr-Cyrl-CS"/>
        </w:rPr>
        <w:t xml:space="preserve"> </w:t>
      </w:r>
      <w:r w:rsidRPr="00875520">
        <w:rPr>
          <w:rFonts w:ascii="Times New Roman" w:hAnsi="Times New Roman"/>
          <w:color w:val="000000"/>
          <w:sz w:val="24"/>
          <w:szCs w:val="24"/>
        </w:rPr>
        <w:t>једнак је разлици између активе на основу које обвезник остварује приход и дугова са њом повезаних, с тим што су и актива и дугови упросечени за стање на дан 1. јануара и 31. децембра текуће године.</w:t>
      </w:r>
    </w:p>
    <w:p w:rsidR="002B6E12" w:rsidRPr="00F933E6" w:rsidRDefault="002B6E12" w:rsidP="00F933E6">
      <w:pPr>
        <w:ind w:firstLine="708"/>
        <w:jc w:val="both"/>
        <w:rPr>
          <w:rFonts w:ascii="Times New Roman" w:hAnsi="Times New Roman"/>
          <w:sz w:val="24"/>
          <w:szCs w:val="24"/>
        </w:rPr>
      </w:pPr>
      <w:r>
        <w:rPr>
          <w:rFonts w:ascii="Times New Roman" w:hAnsi="Times New Roman"/>
          <w:sz w:val="24"/>
          <w:szCs w:val="24"/>
        </w:rPr>
        <w:t xml:space="preserve">Основни разлози за увођење правила против утањене капитализације се огледају у спречавању умањења прихода од пореза на добит корпорација и </w:t>
      </w:r>
      <w:r>
        <w:rPr>
          <w:rFonts w:ascii="Times New Roman" w:hAnsi="Times New Roman"/>
          <w:sz w:val="24"/>
          <w:szCs w:val="24"/>
          <w:lang w:val="sr-Cyrl-CS"/>
        </w:rPr>
        <w:t xml:space="preserve">смањења дискриминације домаћих фирми, које немају такве могућности </w:t>
      </w:r>
      <w:r w:rsidR="00AE2E44">
        <w:rPr>
          <w:rFonts w:ascii="Times New Roman" w:hAnsi="Times New Roman"/>
          <w:sz w:val="24"/>
          <w:szCs w:val="24"/>
          <w:lang w:val="sr-Cyrl-CS"/>
        </w:rPr>
        <w:t>пребацивања</w:t>
      </w:r>
      <w:r>
        <w:rPr>
          <w:rFonts w:ascii="Times New Roman" w:hAnsi="Times New Roman"/>
          <w:sz w:val="24"/>
          <w:szCs w:val="24"/>
          <w:lang w:val="sr-Cyrl-CS"/>
        </w:rPr>
        <w:t xml:space="preserve"> </w:t>
      </w:r>
      <w:r>
        <w:rPr>
          <w:rFonts w:ascii="Times New Roman" w:hAnsi="Times New Roman"/>
          <w:sz w:val="24"/>
          <w:szCs w:val="24"/>
        </w:rPr>
        <w:t>профита</w:t>
      </w:r>
      <w:r>
        <w:rPr>
          <w:rFonts w:ascii="Times New Roman" w:hAnsi="Times New Roman"/>
          <w:sz w:val="24"/>
          <w:szCs w:val="24"/>
          <w:lang w:val="sr-Cyrl-CS"/>
        </w:rPr>
        <w:t xml:space="preserve"> као мултинационалне компаније.</w:t>
      </w:r>
      <w:r>
        <w:rPr>
          <w:rStyle w:val="FootnoteReference"/>
          <w:rFonts w:ascii="Times New Roman" w:hAnsi="Times New Roman"/>
          <w:sz w:val="24"/>
          <w:szCs w:val="24"/>
          <w:lang w:val="sr-Cyrl-CS"/>
        </w:rPr>
        <w:footnoteReference w:id="618"/>
      </w:r>
      <w:r>
        <w:rPr>
          <w:rFonts w:ascii="Times New Roman" w:hAnsi="Times New Roman"/>
          <w:sz w:val="24"/>
          <w:szCs w:val="24"/>
          <w:lang w:val="sr-Cyrl-CS"/>
        </w:rPr>
        <w:t xml:space="preserve"> </w:t>
      </w:r>
    </w:p>
    <w:p w:rsidR="007653DA" w:rsidRDefault="002B6E12" w:rsidP="002B6E12">
      <w:pPr>
        <w:jc w:val="both"/>
        <w:rPr>
          <w:rFonts w:ascii="Times New Roman" w:hAnsi="Times New Roman"/>
          <w:sz w:val="24"/>
          <w:szCs w:val="24"/>
          <w:lang w:val="sr-Cyrl-CS"/>
        </w:rPr>
      </w:pPr>
      <w:r w:rsidRPr="00875520">
        <w:rPr>
          <w:rFonts w:ascii="Times New Roman" w:hAnsi="Times New Roman"/>
          <w:sz w:val="24"/>
          <w:szCs w:val="24"/>
          <w:lang w:val="sr-Cyrl-CS"/>
        </w:rPr>
        <w:t xml:space="preserve"> </w:t>
      </w:r>
      <w:r>
        <w:rPr>
          <w:rFonts w:ascii="Times New Roman" w:hAnsi="Times New Roman"/>
          <w:sz w:val="24"/>
          <w:szCs w:val="24"/>
          <w:lang w:val="sr-Cyrl-CS"/>
        </w:rPr>
        <w:tab/>
        <w:t xml:space="preserve">У сваком случају, значајан корак у борби против избегавања плаћања пореза представљају прецизне и јасне норме и доследна примена правних санкција. При том, важна је улога међународних организација у креирању универзалних стандарда и принципа, попут ОЕЦД, што може имати значајан утицај у борби против ове негативне појаве. </w:t>
      </w:r>
      <w:r w:rsidR="007653DA">
        <w:rPr>
          <w:rFonts w:ascii="Times New Roman" w:hAnsi="Times New Roman"/>
          <w:sz w:val="24"/>
          <w:szCs w:val="24"/>
          <w:lang w:val="sr-Cyrl-CS"/>
        </w:rPr>
        <w:t xml:space="preserve"> </w:t>
      </w:r>
    </w:p>
    <w:p w:rsidR="002B6E12" w:rsidRPr="006E13AC" w:rsidRDefault="002B6E12" w:rsidP="007653DA">
      <w:pPr>
        <w:ind w:firstLine="708"/>
        <w:jc w:val="both"/>
        <w:rPr>
          <w:lang w:val="sr-Cyrl-CS"/>
        </w:rPr>
      </w:pPr>
      <w:r w:rsidRPr="00B6103B">
        <w:rPr>
          <w:rFonts w:ascii="Times New Roman" w:hAnsi="Times New Roman"/>
          <w:sz w:val="24"/>
          <w:szCs w:val="24"/>
          <w:lang w:val="sr-Cyrl-CS"/>
        </w:rPr>
        <w:t xml:space="preserve">ОЕЦД </w:t>
      </w:r>
      <w:r w:rsidR="007653DA">
        <w:rPr>
          <w:rFonts w:ascii="Times New Roman" w:hAnsi="Times New Roman"/>
          <w:sz w:val="24"/>
          <w:szCs w:val="24"/>
          <w:lang w:val="sr-Cyrl-CS"/>
        </w:rPr>
        <w:t xml:space="preserve">делујући као неформална светска пореска администрација </w:t>
      </w:r>
      <w:r w:rsidRPr="00B6103B">
        <w:rPr>
          <w:rFonts w:ascii="Times New Roman" w:hAnsi="Times New Roman"/>
          <w:sz w:val="24"/>
          <w:szCs w:val="24"/>
          <w:lang w:val="sr-Cyrl-CS"/>
        </w:rPr>
        <w:t xml:space="preserve">усваја моделе споразума и формулише пореске стандарде који се намећу као међународна пореска правила за ефикаснију размену пореских информација. </w:t>
      </w:r>
      <w:r w:rsidR="007653DA">
        <w:rPr>
          <w:rFonts w:ascii="Times New Roman" w:hAnsi="Times New Roman"/>
          <w:sz w:val="24"/>
          <w:szCs w:val="24"/>
          <w:lang w:val="sr-Cyrl-CS"/>
        </w:rPr>
        <w:t>О</w:t>
      </w:r>
      <w:r w:rsidRPr="00B6103B">
        <w:rPr>
          <w:rFonts w:ascii="Times New Roman" w:hAnsi="Times New Roman"/>
          <w:sz w:val="24"/>
          <w:szCs w:val="24"/>
          <w:lang w:val="sr-Cyrl-CS"/>
        </w:rPr>
        <w:t xml:space="preserve">ва међународна организација </w:t>
      </w:r>
      <w:r w:rsidR="007653DA">
        <w:rPr>
          <w:rFonts w:ascii="Times New Roman" w:hAnsi="Times New Roman"/>
          <w:sz w:val="24"/>
          <w:szCs w:val="24"/>
          <w:lang w:val="sr-Cyrl-CS"/>
        </w:rPr>
        <w:t>је покренула</w:t>
      </w:r>
      <w:r w:rsidRPr="00B6103B">
        <w:rPr>
          <w:rFonts w:ascii="Times New Roman" w:hAnsi="Times New Roman"/>
          <w:sz w:val="24"/>
          <w:szCs w:val="24"/>
          <w:lang w:val="sr-Cyrl-CS"/>
        </w:rPr>
        <w:t xml:space="preserve"> пројекат јачања међуагенцијске сарадње са циљем борбе против пореских кривичних дела и другог финансијског криминалитета</w:t>
      </w:r>
      <w:r w:rsidR="007653DA">
        <w:rPr>
          <w:rFonts w:ascii="Times New Roman" w:hAnsi="Times New Roman"/>
          <w:sz w:val="24"/>
          <w:szCs w:val="24"/>
          <w:lang w:val="sr-Cyrl-CS"/>
        </w:rPr>
        <w:t xml:space="preserve"> с</w:t>
      </w:r>
      <w:r w:rsidR="007653DA" w:rsidRPr="00B6103B">
        <w:rPr>
          <w:rFonts w:ascii="Times New Roman" w:hAnsi="Times New Roman"/>
          <w:sz w:val="24"/>
          <w:szCs w:val="24"/>
          <w:lang w:val="sr-Cyrl-CS"/>
        </w:rPr>
        <w:t xml:space="preserve">редином 2012. </w:t>
      </w:r>
      <w:r w:rsidR="007653DA">
        <w:rPr>
          <w:rFonts w:ascii="Times New Roman" w:hAnsi="Times New Roman"/>
          <w:sz w:val="24"/>
          <w:szCs w:val="24"/>
          <w:lang w:val="sr-Cyrl-CS"/>
        </w:rPr>
        <w:t>го</w:t>
      </w:r>
      <w:r w:rsidR="007653DA" w:rsidRPr="00B6103B">
        <w:rPr>
          <w:rFonts w:ascii="Times New Roman" w:hAnsi="Times New Roman"/>
          <w:sz w:val="24"/>
          <w:szCs w:val="24"/>
          <w:lang w:val="sr-Cyrl-CS"/>
        </w:rPr>
        <w:t>дине</w:t>
      </w:r>
      <w:r w:rsidR="007653DA">
        <w:rPr>
          <w:rFonts w:ascii="Times New Roman" w:hAnsi="Times New Roman"/>
          <w:sz w:val="24"/>
          <w:szCs w:val="24"/>
          <w:lang w:val="sr-Cyrl-CS"/>
        </w:rPr>
        <w:t>.</w:t>
      </w:r>
      <w:r w:rsidRPr="00B6103B">
        <w:rPr>
          <w:rFonts w:ascii="Times New Roman" w:hAnsi="Times New Roman"/>
          <w:sz w:val="24"/>
          <w:szCs w:val="24"/>
          <w:lang w:val="sr-Cyrl-CS"/>
        </w:rPr>
        <w:t xml:space="preserve"> </w:t>
      </w:r>
      <w:r w:rsidR="007653DA">
        <w:rPr>
          <w:rFonts w:ascii="Times New Roman" w:hAnsi="Times New Roman"/>
          <w:sz w:val="24"/>
          <w:szCs w:val="24"/>
          <w:lang w:val="sr-Cyrl-CS"/>
        </w:rPr>
        <w:t>Посебан значај у међународној сарадњи</w:t>
      </w:r>
      <w:r w:rsidRPr="00B6103B">
        <w:rPr>
          <w:rFonts w:ascii="Times New Roman" w:hAnsi="Times New Roman"/>
          <w:sz w:val="24"/>
          <w:szCs w:val="24"/>
          <w:lang w:val="sr-Cyrl-CS"/>
        </w:rPr>
        <w:t xml:space="preserve"> </w:t>
      </w:r>
      <w:r w:rsidR="007653DA">
        <w:rPr>
          <w:rFonts w:ascii="Times New Roman" w:hAnsi="Times New Roman"/>
          <w:sz w:val="24"/>
          <w:szCs w:val="24"/>
          <w:lang w:val="sr-Cyrl-CS"/>
        </w:rPr>
        <w:t>се придаје чвршћем повезивању</w:t>
      </w:r>
      <w:r w:rsidRPr="00B6103B">
        <w:rPr>
          <w:rFonts w:ascii="Times New Roman" w:hAnsi="Times New Roman"/>
          <w:sz w:val="24"/>
          <w:szCs w:val="24"/>
          <w:lang w:val="sr-Cyrl-CS"/>
        </w:rPr>
        <w:t xml:space="preserve"> свих државних агенција, као и националних пореских администрација, у домену ефикасније размене пореских информација ради спречавања, откривања и кажњавања незаконитих финансијских активности. </w:t>
      </w:r>
      <w:r w:rsidR="007653DA">
        <w:rPr>
          <w:rFonts w:ascii="Times New Roman" w:hAnsi="Times New Roman"/>
          <w:sz w:val="24"/>
          <w:szCs w:val="24"/>
          <w:lang w:val="sr-Cyrl-CS"/>
        </w:rPr>
        <w:t>„</w:t>
      </w:r>
      <w:r w:rsidRPr="00B6103B">
        <w:rPr>
          <w:rFonts w:ascii="Times New Roman" w:hAnsi="Times New Roman"/>
          <w:sz w:val="24"/>
          <w:szCs w:val="24"/>
          <w:lang w:val="sr-Cyrl-CS"/>
        </w:rPr>
        <w:t>У пракси ових држава постоје четири организациона модела за спречавање пореског криминалитета: (1) пореска администрација је одговорна за управљање и вођење</w:t>
      </w:r>
      <w:r w:rsidRPr="00B6103B">
        <w:rPr>
          <w:rFonts w:ascii="Times New Roman" w:hAnsi="Times New Roman"/>
          <w:sz w:val="24"/>
          <w:szCs w:val="24"/>
        </w:rPr>
        <w:t xml:space="preserve"> </w:t>
      </w:r>
      <w:r w:rsidRPr="00B6103B">
        <w:rPr>
          <w:rFonts w:ascii="Times New Roman" w:hAnsi="Times New Roman"/>
          <w:sz w:val="24"/>
          <w:szCs w:val="24"/>
          <w:lang w:val="sr-Cyrl-CS"/>
        </w:rPr>
        <w:t xml:space="preserve">истраге; (2) пореска администрација има овлашћења за вођење истраге под управом државног тужиоца; (3) специјализована пореска агенција под надзором министарства финансија, али ван пореске администрације има </w:t>
      </w:r>
      <w:r w:rsidRPr="00B6103B">
        <w:rPr>
          <w:rFonts w:ascii="Times New Roman" w:hAnsi="Times New Roman"/>
          <w:sz w:val="24"/>
          <w:szCs w:val="24"/>
          <w:lang w:val="sr-Cyrl-CS"/>
        </w:rPr>
        <w:lastRenderedPageBreak/>
        <w:t>овлашћења за вођење истраге; (4) полиција или државни тужилац имају одговорност за вођење истраге (Effective Inter-agency Co-operation in Fighting Tax Crimes and Other Financial Crimes, OECD, 2012, p. 11–12).</w:t>
      </w:r>
      <w:r w:rsidR="007653DA">
        <w:rPr>
          <w:rFonts w:ascii="Times New Roman" w:hAnsi="Times New Roman"/>
          <w:sz w:val="24"/>
          <w:szCs w:val="24"/>
          <w:lang w:val="sr-Cyrl-CS"/>
        </w:rPr>
        <w:t>“</w:t>
      </w:r>
      <w:r>
        <w:rPr>
          <w:rStyle w:val="FootnoteReference"/>
          <w:rFonts w:ascii="Times New Roman" w:hAnsi="Times New Roman"/>
          <w:sz w:val="24"/>
          <w:szCs w:val="24"/>
          <w:lang w:val="sr-Cyrl-CS"/>
        </w:rPr>
        <w:footnoteReference w:id="619"/>
      </w:r>
      <w:r>
        <w:rPr>
          <w:rFonts w:ascii="Times New Roman" w:hAnsi="Times New Roman"/>
          <w:sz w:val="24"/>
          <w:szCs w:val="24"/>
          <w:lang w:val="sr-Cyrl-CS"/>
        </w:rPr>
        <w:t xml:space="preserve"> </w:t>
      </w:r>
    </w:p>
    <w:p w:rsidR="00913416" w:rsidRPr="00AF6B6D" w:rsidRDefault="002B6E12" w:rsidP="00AF6B6D">
      <w:pPr>
        <w:ind w:firstLine="708"/>
        <w:jc w:val="both"/>
        <w:rPr>
          <w:lang w:val="sr-Cyrl-CS"/>
        </w:rPr>
      </w:pPr>
      <w:r w:rsidRPr="00E83C05">
        <w:rPr>
          <w:rFonts w:ascii="Times New Roman" w:hAnsi="Times New Roman"/>
          <w:sz w:val="24"/>
          <w:szCs w:val="24"/>
          <w:lang w:val="sr-Cyrl-CS"/>
        </w:rPr>
        <w:t>Одражавајући широк спектар агенција укључених у борбу против финансијског криминала, постоји низ различитих инструмената на располагању за међународну сарадњу у овој области. Типични правни инструменти укључу</w:t>
      </w:r>
      <w:r>
        <w:rPr>
          <w:rFonts w:ascii="Times New Roman" w:hAnsi="Times New Roman"/>
          <w:sz w:val="24"/>
          <w:szCs w:val="24"/>
          <w:lang w:val="sr-Cyrl-CS"/>
        </w:rPr>
        <w:t>ју (1</w:t>
      </w:r>
      <w:r w:rsidRPr="00E83C05">
        <w:rPr>
          <w:rFonts w:ascii="Times New Roman" w:hAnsi="Times New Roman"/>
          <w:sz w:val="24"/>
          <w:szCs w:val="24"/>
          <w:lang w:val="sr-Cyrl-CS"/>
        </w:rPr>
        <w:t>) међународне уговоре, који могу бити билатерални или мултилатерални, (2) инструменте ЕУ (за земље чланице), (3) домаће законе, и (</w:t>
      </w:r>
      <w:r>
        <w:rPr>
          <w:rFonts w:ascii="Times New Roman" w:hAnsi="Times New Roman"/>
          <w:sz w:val="24"/>
          <w:szCs w:val="24"/>
          <w:lang w:val="sr-Cyrl-CS"/>
        </w:rPr>
        <w:t>4</w:t>
      </w:r>
      <w:r w:rsidRPr="00E83C05">
        <w:rPr>
          <w:rFonts w:ascii="Times New Roman" w:hAnsi="Times New Roman"/>
          <w:sz w:val="24"/>
          <w:szCs w:val="24"/>
          <w:lang w:val="sr-Cyrl-CS"/>
        </w:rPr>
        <w:t>) меморандум о разумевању. Тренутно постоји око 3.500 уговора о избегавању двоструког опорезивања широм света. Уговор о избегавању двоструког опорезивања је споразум између две државе који координира остваривање њихових пореских права, са циљем да се смањи или елиминише двоструко опорезивања. Уговори о размени пореских информација  су билатерални споразуми између две јурисдикције који пружају правни основ за административну сарадњу у пореским питањима. Постоји велики број мултилатералних уговора за међународну сарадњу, од којих је најрелевантнија  Конвенција о узајамној административној помоћи у пореским питањима, измењена 2010. године.</w:t>
      </w:r>
      <w:r w:rsidRPr="00E83C05">
        <w:rPr>
          <w:rStyle w:val="FootnoteReference"/>
          <w:rFonts w:ascii="Times New Roman" w:hAnsi="Times New Roman"/>
          <w:sz w:val="24"/>
          <w:szCs w:val="24"/>
          <w:lang w:val="sr-Cyrl-CS"/>
        </w:rPr>
        <w:footnoteReference w:id="620"/>
      </w:r>
      <w:r w:rsidRPr="00E83C05">
        <w:rPr>
          <w:rFonts w:ascii="Times New Roman" w:hAnsi="Times New Roman"/>
          <w:sz w:val="24"/>
          <w:szCs w:val="24"/>
          <w:lang w:val="sr-Cyrl-CS"/>
        </w:rPr>
        <w:t xml:space="preserve"> Конвенција предвиђа све могуће облике административне сарадње између држава у процени и наплата пореза.  Број потписница Конвенције наставља да расте. Унутар Европске уније постоји велики број директива и уредби које обезбеђују  међународну сарадњу у области пореза.</w:t>
      </w:r>
      <w:r>
        <w:rPr>
          <w:rFonts w:ascii="Times New Roman" w:hAnsi="Times New Roman"/>
          <w:sz w:val="24"/>
          <w:szCs w:val="24"/>
          <w:lang w:val="sr-Cyrl-CS"/>
        </w:rPr>
        <w:t xml:space="preserve"> </w:t>
      </w:r>
      <w:r w:rsidRPr="00E83C05">
        <w:rPr>
          <w:rFonts w:ascii="Times New Roman" w:hAnsi="Times New Roman"/>
          <w:sz w:val="24"/>
          <w:szCs w:val="24"/>
          <w:lang w:val="sr-Cyrl-CS"/>
        </w:rPr>
        <w:t>Директива Савета  2011/16 / ЕУ од 15. фебруара 2011. године о административној сарадњи у области  опорезивање утврђује правила и процедуре за сарадњу између земаља ЕУ са циљем размене информација које су релевантне за администрацију и спровођење националних закона у области опорезивања. Примењује се  за све порезе осим пореза на додату вредност (ПДВ), царина и акциза</w:t>
      </w:r>
      <w:r w:rsidRPr="00E83C05">
        <w:rPr>
          <w:rFonts w:ascii="Times New Roman" w:hAnsi="Times New Roman"/>
          <w:sz w:val="24"/>
          <w:szCs w:val="24"/>
        </w:rPr>
        <w:t>.</w:t>
      </w:r>
      <w:r w:rsidRPr="00E83C05">
        <w:rPr>
          <w:rFonts w:ascii="Times New Roman" w:hAnsi="Times New Roman"/>
          <w:sz w:val="24"/>
          <w:szCs w:val="24"/>
          <w:lang w:val="sr-Cyrl-CS"/>
        </w:rPr>
        <w:t xml:space="preserve"> Уредб</w:t>
      </w:r>
      <w:r w:rsidRPr="00E83C05">
        <w:rPr>
          <w:rFonts w:ascii="Times New Roman" w:hAnsi="Times New Roman"/>
          <w:sz w:val="24"/>
          <w:szCs w:val="24"/>
        </w:rPr>
        <w:t xml:space="preserve">a </w:t>
      </w:r>
      <w:r w:rsidRPr="00E83C05">
        <w:rPr>
          <w:rFonts w:ascii="Times New Roman" w:hAnsi="Times New Roman"/>
          <w:sz w:val="24"/>
          <w:szCs w:val="24"/>
          <w:lang w:val="sr-Cyrl-CS"/>
        </w:rPr>
        <w:t>Савета (</w:t>
      </w:r>
      <w:r w:rsidRPr="00E83C05">
        <w:rPr>
          <w:rFonts w:ascii="Times New Roman" w:hAnsi="Times New Roman"/>
          <w:sz w:val="24"/>
          <w:szCs w:val="24"/>
        </w:rPr>
        <w:t>EC</w:t>
      </w:r>
      <w:r w:rsidRPr="00E83C05">
        <w:rPr>
          <w:rFonts w:ascii="Times New Roman" w:hAnsi="Times New Roman"/>
          <w:sz w:val="24"/>
          <w:szCs w:val="24"/>
          <w:lang w:val="sr-Cyrl-CS"/>
        </w:rPr>
        <w:t xml:space="preserve">) </w:t>
      </w:r>
      <w:r w:rsidRPr="00E83C05">
        <w:rPr>
          <w:rFonts w:ascii="Times New Roman" w:hAnsi="Times New Roman"/>
          <w:sz w:val="24"/>
          <w:szCs w:val="24"/>
        </w:rPr>
        <w:t>No</w:t>
      </w:r>
      <w:r w:rsidRPr="00E83C05">
        <w:rPr>
          <w:rFonts w:ascii="Times New Roman" w:hAnsi="Times New Roman"/>
          <w:sz w:val="24"/>
          <w:szCs w:val="24"/>
          <w:lang w:val="sr-Cyrl-CS"/>
        </w:rPr>
        <w:t xml:space="preserve"> 2073/2004 од 16</w:t>
      </w:r>
      <w:r w:rsidRPr="00E83C05">
        <w:rPr>
          <w:rFonts w:ascii="Times New Roman" w:hAnsi="Times New Roman"/>
          <w:sz w:val="24"/>
          <w:szCs w:val="24"/>
        </w:rPr>
        <w:t>.</w:t>
      </w:r>
      <w:r w:rsidRPr="00E83C05">
        <w:rPr>
          <w:rFonts w:ascii="Times New Roman" w:hAnsi="Times New Roman"/>
          <w:sz w:val="24"/>
          <w:szCs w:val="24"/>
          <w:lang w:val="sr-Cyrl-CS"/>
        </w:rPr>
        <w:t xml:space="preserve"> новембра 2004</w:t>
      </w:r>
      <w:r w:rsidRPr="00E83C05">
        <w:rPr>
          <w:rFonts w:ascii="Times New Roman" w:hAnsi="Times New Roman"/>
          <w:sz w:val="24"/>
          <w:szCs w:val="24"/>
        </w:rPr>
        <w:t xml:space="preserve">. </w:t>
      </w:r>
      <w:r>
        <w:rPr>
          <w:rFonts w:ascii="Times New Roman" w:hAnsi="Times New Roman"/>
          <w:sz w:val="24"/>
          <w:szCs w:val="24"/>
          <w:lang w:val="sr-Cyrl-CS"/>
        </w:rPr>
        <w:t>с</w:t>
      </w:r>
      <w:r w:rsidRPr="00E83C05">
        <w:rPr>
          <w:rFonts w:ascii="Times New Roman" w:hAnsi="Times New Roman"/>
          <w:sz w:val="24"/>
          <w:szCs w:val="24"/>
          <w:lang w:val="sr-Cyrl-CS"/>
        </w:rPr>
        <w:t xml:space="preserve">е односи на административну сарадња у области акциза. Са друге стране, Уредба Савета ЕУ </w:t>
      </w:r>
      <w:r w:rsidRPr="00E83C05">
        <w:rPr>
          <w:rFonts w:ascii="Times New Roman" w:hAnsi="Times New Roman"/>
          <w:sz w:val="24"/>
          <w:szCs w:val="24"/>
        </w:rPr>
        <w:t>No</w:t>
      </w:r>
      <w:r w:rsidRPr="00E83C05">
        <w:rPr>
          <w:rFonts w:ascii="Times New Roman" w:hAnsi="Times New Roman"/>
          <w:sz w:val="24"/>
          <w:szCs w:val="24"/>
          <w:lang w:val="sr-Cyrl-CS"/>
        </w:rPr>
        <w:t xml:space="preserve"> 904/2010 од 7. </w:t>
      </w:r>
      <w:r w:rsidRPr="00E83C05">
        <w:rPr>
          <w:rFonts w:ascii="Times New Roman" w:hAnsi="Times New Roman"/>
          <w:sz w:val="24"/>
          <w:szCs w:val="24"/>
        </w:rPr>
        <w:t>o</w:t>
      </w:r>
      <w:r w:rsidRPr="00E83C05">
        <w:rPr>
          <w:rFonts w:ascii="Times New Roman" w:hAnsi="Times New Roman"/>
          <w:sz w:val="24"/>
          <w:szCs w:val="24"/>
          <w:lang w:val="sr-Cyrl-CS"/>
        </w:rPr>
        <w:t>ктобра</w:t>
      </w:r>
      <w:r w:rsidRPr="00E83C05">
        <w:rPr>
          <w:rFonts w:ascii="Times New Roman" w:hAnsi="Times New Roman"/>
          <w:sz w:val="24"/>
          <w:szCs w:val="24"/>
        </w:rPr>
        <w:t xml:space="preserve"> </w:t>
      </w:r>
      <w:r w:rsidRPr="00E83C05">
        <w:rPr>
          <w:rFonts w:ascii="Times New Roman" w:hAnsi="Times New Roman"/>
          <w:sz w:val="24"/>
          <w:szCs w:val="24"/>
          <w:lang w:val="sr-Cyrl-CS"/>
        </w:rPr>
        <w:t xml:space="preserve"> 2010</w:t>
      </w:r>
      <w:r w:rsidRPr="00E83C05">
        <w:rPr>
          <w:rFonts w:ascii="Times New Roman" w:hAnsi="Times New Roman"/>
          <w:sz w:val="24"/>
          <w:szCs w:val="24"/>
        </w:rPr>
        <w:t xml:space="preserve">. </w:t>
      </w:r>
      <w:r w:rsidRPr="00E83C05">
        <w:rPr>
          <w:rFonts w:ascii="Times New Roman" w:hAnsi="Times New Roman"/>
          <w:sz w:val="24"/>
          <w:szCs w:val="24"/>
          <w:lang w:val="sr-Cyrl-CS"/>
        </w:rPr>
        <w:t>године о административној сарадњи и борби против превара у области порез</w:t>
      </w:r>
      <w:r>
        <w:rPr>
          <w:rFonts w:ascii="Times New Roman" w:hAnsi="Times New Roman"/>
          <w:sz w:val="24"/>
          <w:szCs w:val="24"/>
          <w:lang w:val="sr-Cyrl-CS"/>
        </w:rPr>
        <w:t>а</w:t>
      </w:r>
      <w:r w:rsidRPr="00E83C05">
        <w:rPr>
          <w:rFonts w:ascii="Times New Roman" w:hAnsi="Times New Roman"/>
          <w:sz w:val="24"/>
          <w:szCs w:val="24"/>
          <w:lang w:val="sr-Cyrl-CS"/>
        </w:rPr>
        <w:t xml:space="preserve"> на додату вредност поставља правила и процедуре везано за сарадњу и размену информација између земаља Европске уније, односно надлежних органа за примену ПДВ. </w:t>
      </w:r>
      <w:r>
        <w:rPr>
          <w:rFonts w:ascii="Times New Roman" w:hAnsi="Times New Roman"/>
          <w:sz w:val="24"/>
          <w:szCs w:val="24"/>
          <w:lang w:val="sr-Cyrl-CS"/>
        </w:rPr>
        <w:t>Осим тога, н</w:t>
      </w:r>
      <w:r w:rsidRPr="00E83C05">
        <w:rPr>
          <w:rFonts w:ascii="Times New Roman" w:hAnsi="Times New Roman"/>
          <w:sz w:val="24"/>
          <w:szCs w:val="24"/>
          <w:lang w:val="sr-Cyrl-CS"/>
        </w:rPr>
        <w:t>еке јурисдикције су усвојиле домаће законодавство које омогућава да њихове пореске власти  размењују информације са одређеним земљама на једностраној основи,  али они нису замена за билатералне или мултилатералне уговоре.</w:t>
      </w:r>
      <w:r>
        <w:rPr>
          <w:rStyle w:val="FootnoteReference"/>
          <w:rFonts w:ascii="Times New Roman" w:hAnsi="Times New Roman"/>
          <w:sz w:val="24"/>
          <w:szCs w:val="24"/>
          <w:lang w:val="sr-Cyrl-CS"/>
        </w:rPr>
        <w:footnoteReference w:id="621"/>
      </w:r>
      <w:r>
        <w:rPr>
          <w:rFonts w:ascii="Times New Roman" w:hAnsi="Times New Roman"/>
          <w:sz w:val="24"/>
          <w:szCs w:val="24"/>
          <w:lang w:val="sr-Cyrl-CS"/>
        </w:rPr>
        <w:t xml:space="preserve"> </w:t>
      </w:r>
      <w:r w:rsidRPr="00AE2E44">
        <w:rPr>
          <w:rFonts w:ascii="Times New Roman" w:hAnsi="Times New Roman"/>
          <w:sz w:val="24"/>
          <w:szCs w:val="24"/>
          <w:lang w:val="sr-Cyrl-CS"/>
        </w:rPr>
        <w:t>Према томе,</w:t>
      </w:r>
      <w:r>
        <w:rPr>
          <w:lang w:val="sr-Cyrl-CS"/>
        </w:rPr>
        <w:t xml:space="preserve"> </w:t>
      </w:r>
      <w:r>
        <w:rPr>
          <w:rFonts w:ascii="Times New Roman" w:hAnsi="Times New Roman"/>
          <w:sz w:val="24"/>
          <w:szCs w:val="24"/>
          <w:lang w:val="sr-Cyrl-CS"/>
        </w:rPr>
        <w:t>у борби против пореске евазије значајну компоненту чини стална комуникација и сарадња у оквиру по</w:t>
      </w:r>
      <w:r w:rsidR="009D10E5">
        <w:rPr>
          <w:rFonts w:ascii="Times New Roman" w:hAnsi="Times New Roman"/>
          <w:sz w:val="24"/>
          <w:szCs w:val="24"/>
          <w:lang w:val="sr-Cyrl-CS"/>
        </w:rPr>
        <w:t>реске администрације и других надлежних органа</w:t>
      </w:r>
      <w:r>
        <w:rPr>
          <w:rFonts w:ascii="Times New Roman" w:hAnsi="Times New Roman"/>
          <w:sz w:val="24"/>
          <w:szCs w:val="24"/>
          <w:lang w:val="sr-Cyrl-CS"/>
        </w:rPr>
        <w:t xml:space="preserve">, како на националном тако и на међународном плану. </w:t>
      </w:r>
    </w:p>
    <w:p w:rsidR="00236243" w:rsidRDefault="001B6F8E" w:rsidP="00236243">
      <w:pPr>
        <w:ind w:left="630"/>
        <w:jc w:val="center"/>
        <w:rPr>
          <w:rFonts w:ascii="Times New Roman" w:hAnsi="Times New Roman"/>
          <w:b/>
          <w:sz w:val="24"/>
          <w:szCs w:val="24"/>
          <w:lang w:val="sr-Cyrl-CS"/>
        </w:rPr>
      </w:pPr>
      <w:r>
        <w:rPr>
          <w:rFonts w:ascii="Times New Roman" w:hAnsi="Times New Roman"/>
          <w:b/>
          <w:sz w:val="24"/>
          <w:szCs w:val="24"/>
          <w:lang w:val="sr-Cyrl-CS"/>
        </w:rPr>
        <w:lastRenderedPageBreak/>
        <w:t xml:space="preserve">ДЕО </w:t>
      </w:r>
      <w:r w:rsidR="008F609D">
        <w:rPr>
          <w:rFonts w:ascii="Times New Roman" w:hAnsi="Times New Roman"/>
          <w:b/>
          <w:sz w:val="24"/>
          <w:szCs w:val="24"/>
          <w:lang w:val="sr-Cyrl-CS"/>
        </w:rPr>
        <w:t>ПЕТИ</w:t>
      </w:r>
    </w:p>
    <w:p w:rsidR="001B6F8E" w:rsidRPr="001B6F8E" w:rsidRDefault="001B6F8E" w:rsidP="001B6F8E">
      <w:pPr>
        <w:ind w:left="630"/>
        <w:jc w:val="center"/>
        <w:rPr>
          <w:rFonts w:ascii="Times New Roman" w:hAnsi="Times New Roman"/>
          <w:b/>
          <w:sz w:val="24"/>
          <w:szCs w:val="24"/>
          <w:lang w:val="sr-Cyrl-CS"/>
        </w:rPr>
      </w:pPr>
    </w:p>
    <w:p w:rsidR="00066F28" w:rsidRPr="001E5348" w:rsidRDefault="00C73790" w:rsidP="00A276DA">
      <w:pPr>
        <w:ind w:left="690"/>
        <w:jc w:val="both"/>
        <w:rPr>
          <w:rFonts w:ascii="Times New Roman" w:hAnsi="Times New Roman"/>
          <w:b/>
          <w:sz w:val="24"/>
          <w:szCs w:val="24"/>
          <w:lang w:val="sr-Cyrl-CS"/>
        </w:rPr>
      </w:pPr>
      <w:r w:rsidRPr="00C73790">
        <w:rPr>
          <w:rFonts w:ascii="Times New Roman" w:hAnsi="Times New Roman"/>
          <w:b/>
          <w:sz w:val="24"/>
          <w:szCs w:val="24"/>
        </w:rPr>
        <w:t xml:space="preserve">ИЗБЕГАВАЊЕ ПЛАЋАЊА ПОРЕЗА СА КРИВИЧНОГ И </w:t>
      </w:r>
      <w:r w:rsidR="009542F7">
        <w:rPr>
          <w:rFonts w:ascii="Times New Roman" w:hAnsi="Times New Roman"/>
          <w:b/>
          <w:sz w:val="24"/>
          <w:szCs w:val="24"/>
          <w:lang w:val="sr-Cyrl-CS"/>
        </w:rPr>
        <w:t xml:space="preserve"> </w:t>
      </w:r>
      <w:r w:rsidR="001E5348">
        <w:rPr>
          <w:rFonts w:ascii="Times New Roman" w:hAnsi="Times New Roman"/>
          <w:b/>
          <w:sz w:val="24"/>
          <w:szCs w:val="24"/>
          <w:lang w:val="sr-Cyrl-CS"/>
        </w:rPr>
        <w:t>КРИМИНОЛОШКОГ АСПЕКТА</w:t>
      </w:r>
      <w:r w:rsidR="001E5348">
        <w:rPr>
          <w:rFonts w:ascii="Times New Roman" w:hAnsi="Times New Roman"/>
          <w:b/>
          <w:sz w:val="24"/>
          <w:szCs w:val="24"/>
        </w:rPr>
        <w:t xml:space="preserve"> </w:t>
      </w:r>
    </w:p>
    <w:p w:rsidR="00913416" w:rsidRPr="00913416" w:rsidRDefault="00913416" w:rsidP="00A276DA">
      <w:pPr>
        <w:ind w:left="690"/>
        <w:jc w:val="both"/>
        <w:rPr>
          <w:rFonts w:ascii="Times New Roman" w:hAnsi="Times New Roman"/>
          <w:b/>
          <w:sz w:val="28"/>
          <w:szCs w:val="28"/>
          <w:lang w:val="sr-Cyrl-CS"/>
        </w:rPr>
      </w:pPr>
    </w:p>
    <w:p w:rsidR="00C73790" w:rsidRPr="00913416" w:rsidRDefault="00712148" w:rsidP="007C25FA">
      <w:pPr>
        <w:pStyle w:val="ListParagraph"/>
        <w:numPr>
          <w:ilvl w:val="0"/>
          <w:numId w:val="4"/>
        </w:numPr>
        <w:jc w:val="both"/>
        <w:rPr>
          <w:rFonts w:ascii="Times New Roman" w:hAnsi="Times New Roman"/>
          <w:b/>
          <w:sz w:val="28"/>
          <w:szCs w:val="28"/>
          <w:lang w:val="sr-Cyrl-CS"/>
        </w:rPr>
      </w:pPr>
      <w:r>
        <w:rPr>
          <w:rFonts w:ascii="Times New Roman" w:hAnsi="Times New Roman"/>
          <w:b/>
          <w:i/>
          <w:sz w:val="28"/>
          <w:szCs w:val="28"/>
          <w:lang w:val="sr-Cyrl-CS"/>
        </w:rPr>
        <w:t>Основне специфичности</w:t>
      </w:r>
      <w:r w:rsidR="00462DA6" w:rsidRPr="00913416">
        <w:rPr>
          <w:rFonts w:ascii="Times New Roman" w:hAnsi="Times New Roman"/>
          <w:b/>
          <w:i/>
          <w:sz w:val="28"/>
          <w:szCs w:val="28"/>
          <w:lang w:val="sr-Cyrl-CS"/>
        </w:rPr>
        <w:t xml:space="preserve"> привредног криминала</w:t>
      </w:r>
      <w:r w:rsidR="00066F28" w:rsidRPr="00913416">
        <w:rPr>
          <w:rFonts w:ascii="Times New Roman" w:hAnsi="Times New Roman"/>
          <w:b/>
          <w:i/>
          <w:sz w:val="28"/>
          <w:szCs w:val="28"/>
          <w:lang w:val="sr-Cyrl-CS"/>
        </w:rPr>
        <w:t xml:space="preserve"> и корупције</w:t>
      </w:r>
      <w:r w:rsidR="00C73790" w:rsidRPr="00913416">
        <w:rPr>
          <w:rFonts w:ascii="Times New Roman" w:hAnsi="Times New Roman"/>
          <w:b/>
          <w:sz w:val="28"/>
          <w:szCs w:val="28"/>
        </w:rPr>
        <w:t xml:space="preserve"> </w:t>
      </w:r>
    </w:p>
    <w:p w:rsidR="00FB4BAB" w:rsidRDefault="00FB4BAB" w:rsidP="00FB4BAB">
      <w:pPr>
        <w:pStyle w:val="ListParagraph"/>
        <w:ind w:left="990"/>
        <w:jc w:val="both"/>
        <w:rPr>
          <w:rFonts w:ascii="Times New Roman" w:hAnsi="Times New Roman"/>
          <w:b/>
          <w:sz w:val="24"/>
          <w:szCs w:val="24"/>
          <w:lang w:val="sr-Cyrl-CS"/>
        </w:rPr>
      </w:pPr>
    </w:p>
    <w:p w:rsidR="00FB4BAB" w:rsidRPr="00BF318D" w:rsidRDefault="00FB4BAB" w:rsidP="00FB4BAB">
      <w:pPr>
        <w:pStyle w:val="ListParagraph"/>
        <w:ind w:left="630"/>
        <w:rPr>
          <w:rFonts w:ascii="Times New Roman" w:hAnsi="Times New Roman"/>
          <w:b/>
          <w:sz w:val="24"/>
          <w:szCs w:val="24"/>
        </w:rPr>
      </w:pPr>
    </w:p>
    <w:p w:rsidR="00EB41C0" w:rsidRDefault="000B0E01" w:rsidP="00360574">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Феномени привредног криминала</w:t>
      </w:r>
      <w:r w:rsidR="00651BBD">
        <w:rPr>
          <w:rFonts w:ascii="Times New Roman" w:hAnsi="Times New Roman"/>
          <w:sz w:val="24"/>
          <w:szCs w:val="24"/>
          <w:lang w:val="sr-Cyrl-CS"/>
        </w:rPr>
        <w:t xml:space="preserve"> и корупције изазивају велико интересовање у националним и међународним оквирима. </w:t>
      </w:r>
      <w:r w:rsidR="00F92FC6">
        <w:rPr>
          <w:rFonts w:ascii="Times New Roman" w:hAnsi="Times New Roman"/>
          <w:sz w:val="24"/>
          <w:szCs w:val="24"/>
          <w:lang w:val="sr-Cyrl-CS"/>
        </w:rPr>
        <w:t>Теоријска схватања и емпиријска истраживања указују</w:t>
      </w:r>
      <w:r w:rsidR="00651BBD">
        <w:rPr>
          <w:rFonts w:ascii="Times New Roman" w:hAnsi="Times New Roman"/>
          <w:sz w:val="24"/>
          <w:szCs w:val="24"/>
          <w:lang w:val="sr-Cyrl-CS"/>
        </w:rPr>
        <w:t xml:space="preserve"> да су ови феномени повезани са разним облицима </w:t>
      </w:r>
      <w:r w:rsidR="004B090B">
        <w:rPr>
          <w:rFonts w:ascii="Times New Roman" w:hAnsi="Times New Roman"/>
          <w:sz w:val="24"/>
          <w:szCs w:val="24"/>
          <w:lang w:val="sr-Cyrl-CS"/>
        </w:rPr>
        <w:t xml:space="preserve">међународног привредног и </w:t>
      </w:r>
      <w:r w:rsidR="00651BBD">
        <w:rPr>
          <w:rFonts w:ascii="Times New Roman" w:hAnsi="Times New Roman"/>
          <w:sz w:val="24"/>
          <w:szCs w:val="24"/>
          <w:lang w:val="sr-Cyrl-CS"/>
        </w:rPr>
        <w:t xml:space="preserve">организованог криминала </w:t>
      </w:r>
      <w:r w:rsidR="00A801E4">
        <w:rPr>
          <w:rFonts w:ascii="Times New Roman" w:hAnsi="Times New Roman"/>
          <w:sz w:val="24"/>
          <w:szCs w:val="24"/>
          <w:lang w:val="sr-Cyrl-CS"/>
        </w:rPr>
        <w:t xml:space="preserve">што </w:t>
      </w:r>
      <w:r w:rsidR="00651BBD">
        <w:rPr>
          <w:rFonts w:ascii="Times New Roman" w:hAnsi="Times New Roman"/>
          <w:sz w:val="24"/>
          <w:szCs w:val="24"/>
          <w:lang w:val="sr-Cyrl-CS"/>
        </w:rPr>
        <w:t>указује на значај ове тематике, чијим се проучавњем данас баве не само правници, криминолози, економисти, политичари, него ови феномени у великој мери заокупљају пажњу средстава масовне комуникације и јавности.</w:t>
      </w:r>
      <w:r w:rsidR="00EC3F6F">
        <w:rPr>
          <w:rFonts w:ascii="Times New Roman" w:hAnsi="Times New Roman"/>
          <w:sz w:val="24"/>
          <w:szCs w:val="24"/>
          <w:lang w:val="sr-Cyrl-CS"/>
        </w:rPr>
        <w:t xml:space="preserve"> Ове негативне друштвене појаве све више постају теме о којима се говори и пише и озбиљна кочница привредног и општедруштвеног развоја.</w:t>
      </w:r>
    </w:p>
    <w:p w:rsidR="000B0E01" w:rsidRDefault="000B0E01" w:rsidP="00360574">
      <w:pPr>
        <w:pStyle w:val="ListParagraph"/>
        <w:ind w:left="0" w:firstLine="630"/>
        <w:jc w:val="both"/>
        <w:rPr>
          <w:rFonts w:ascii="Times New Roman" w:hAnsi="Times New Roman"/>
          <w:sz w:val="24"/>
          <w:szCs w:val="24"/>
          <w:lang w:val="sr-Cyrl-CS"/>
        </w:rPr>
      </w:pPr>
    </w:p>
    <w:p w:rsidR="000B0E01" w:rsidRDefault="000B0E01" w:rsidP="000B0E01">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Иако су предузете значајне мере на плану сузбијања привредног криминала и корупције, које су биле предмет различитих проучавања и анализа, није остварен целовит увид, многа питања су остала без одговора, посебно у домену етиологије ових појава. Написане су бројне студије, одржана су многа саветовања и конгреси, донете међународне декларације и закони, али и поред тога евидентан је недостатак теоријских радова, а посебно у контексту избегавања плаћања пореза.  Разумевање ових видова социјалног понашања захтева веће ангажовање различитих наука и научних метода, полазећи од кривичноправног, економског, политичког и општег социјалног аспекта.</w:t>
      </w:r>
    </w:p>
    <w:p w:rsidR="00AE2E44" w:rsidRDefault="00AE2E44" w:rsidP="000B0E01">
      <w:pPr>
        <w:pStyle w:val="ListParagraph"/>
        <w:ind w:left="0" w:firstLine="630"/>
        <w:jc w:val="both"/>
        <w:rPr>
          <w:rFonts w:ascii="Times New Roman" w:hAnsi="Times New Roman"/>
          <w:sz w:val="24"/>
          <w:szCs w:val="24"/>
          <w:lang w:val="sr-Cyrl-CS"/>
        </w:rPr>
      </w:pPr>
    </w:p>
    <w:p w:rsidR="00360574" w:rsidRDefault="000B0E01" w:rsidP="000B0E01">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 xml:space="preserve">Корупција и привредни криминал су проблеми који </w:t>
      </w:r>
      <w:r w:rsidRPr="00360574">
        <w:rPr>
          <w:rFonts w:ascii="Times New Roman" w:hAnsi="Times New Roman"/>
          <w:sz w:val="24"/>
          <w:szCs w:val="24"/>
          <w:lang w:val="sr-Cyrl-CS"/>
        </w:rPr>
        <w:t>превазилазе државне границе</w:t>
      </w:r>
      <w:r>
        <w:rPr>
          <w:rFonts w:ascii="Times New Roman" w:hAnsi="Times New Roman"/>
          <w:sz w:val="24"/>
          <w:szCs w:val="24"/>
          <w:lang w:val="sr-Cyrl-CS"/>
        </w:rPr>
        <w:t xml:space="preserve"> и морамо их посматрати као проблем система, а не на нивоу корумпираних појединаца, па се због тога против њих морају предузети мере повезивања на међународном плану, а не мере индивидуалног крактера или само у националним оквирима. Са друге стране, да ли ће неко бити корумпиран или не је његов избор, па је самим тим корупција последица таквих избора. </w:t>
      </w:r>
    </w:p>
    <w:p w:rsidR="000B0E01" w:rsidRPr="000B0E01" w:rsidRDefault="000B0E01" w:rsidP="000B0E01">
      <w:pPr>
        <w:pStyle w:val="ListParagraph"/>
        <w:ind w:left="0" w:firstLine="630"/>
        <w:jc w:val="both"/>
        <w:rPr>
          <w:rFonts w:ascii="Times New Roman" w:hAnsi="Times New Roman"/>
          <w:sz w:val="24"/>
          <w:szCs w:val="24"/>
          <w:lang w:val="sr-Cyrl-CS"/>
        </w:rPr>
      </w:pPr>
    </w:p>
    <w:p w:rsidR="00236243" w:rsidRDefault="00EB41C0" w:rsidP="00236243">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Низ афера које су по</w:t>
      </w:r>
      <w:r w:rsidR="00AB3D1D">
        <w:rPr>
          <w:rFonts w:ascii="Times New Roman" w:hAnsi="Times New Roman"/>
          <w:sz w:val="24"/>
          <w:szCs w:val="24"/>
          <w:lang w:val="sr-Cyrl-CS"/>
        </w:rPr>
        <w:t>везане с</w:t>
      </w:r>
      <w:r>
        <w:rPr>
          <w:rFonts w:ascii="Times New Roman" w:hAnsi="Times New Roman"/>
          <w:sz w:val="24"/>
          <w:szCs w:val="24"/>
          <w:lang w:val="sr-Cyrl-CS"/>
        </w:rPr>
        <w:t>а овим активностима „потресају“ како земље развијеног, тако и земље неразвијеног света, а посебно земље убразног развоја и оне које се налазе у процесу транзиције. У нашим условима такве афере данас, посебно оне које се тичу челних људи претходних режима, пуне медијске наслове и изазивају велико интересовање најшире јавности.</w:t>
      </w:r>
      <w:r w:rsidR="004918F5">
        <w:rPr>
          <w:rFonts w:ascii="Times New Roman" w:hAnsi="Times New Roman"/>
          <w:sz w:val="24"/>
          <w:szCs w:val="24"/>
          <w:lang w:val="sr-Cyrl-CS"/>
        </w:rPr>
        <w:t xml:space="preserve"> Због тога се не може оспорити значај, актуелност и сложеност проучавања ових негативних друштвених појава.</w:t>
      </w:r>
      <w:r w:rsidR="00E223DB">
        <w:rPr>
          <w:rFonts w:ascii="Times New Roman" w:hAnsi="Times New Roman"/>
          <w:sz w:val="24"/>
          <w:szCs w:val="24"/>
          <w:lang w:val="sr-Cyrl-CS"/>
        </w:rPr>
        <w:t xml:space="preserve"> </w:t>
      </w:r>
      <w:r w:rsidR="00290C6C">
        <w:rPr>
          <w:rFonts w:ascii="Times New Roman" w:hAnsi="Times New Roman"/>
          <w:sz w:val="24"/>
          <w:szCs w:val="24"/>
          <w:lang w:val="sr-Cyrl-CS"/>
        </w:rPr>
        <w:t>Ради се о појавама које су инкорпорисане у свим сферама економско-политичког система.</w:t>
      </w:r>
    </w:p>
    <w:p w:rsidR="00236243" w:rsidRPr="00236243" w:rsidRDefault="00236243" w:rsidP="00236243">
      <w:pPr>
        <w:pStyle w:val="ListParagraph"/>
        <w:ind w:left="0" w:firstLine="630"/>
        <w:jc w:val="both"/>
        <w:rPr>
          <w:rFonts w:ascii="Times New Roman" w:hAnsi="Times New Roman"/>
          <w:sz w:val="24"/>
          <w:szCs w:val="24"/>
          <w:lang w:val="sr-Cyrl-CS"/>
        </w:rPr>
      </w:pPr>
    </w:p>
    <w:p w:rsidR="00236243" w:rsidRDefault="00236243" w:rsidP="00236243">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 xml:space="preserve">Међу најтежим препрекама у процесу транзиције свакако се налазе привредни криминал и корупција. </w:t>
      </w:r>
      <w:r w:rsidRPr="001141A9">
        <w:rPr>
          <w:rFonts w:ascii="Times New Roman" w:hAnsi="Times New Roman"/>
          <w:sz w:val="24"/>
          <w:szCs w:val="24"/>
          <w:lang w:val="sr-Cyrl-CS"/>
        </w:rPr>
        <w:t>У земаљама</w:t>
      </w:r>
      <w:r>
        <w:rPr>
          <w:rFonts w:ascii="Times New Roman" w:hAnsi="Times New Roman"/>
          <w:sz w:val="24"/>
          <w:szCs w:val="24"/>
          <w:lang w:val="sr-Cyrl-CS"/>
        </w:rPr>
        <w:t xml:space="preserve"> у транзицији</w:t>
      </w:r>
      <w:r w:rsidRPr="00236243">
        <w:rPr>
          <w:rFonts w:ascii="Times New Roman" w:hAnsi="Times New Roman"/>
          <w:sz w:val="24"/>
          <w:szCs w:val="24"/>
          <w:lang w:val="sr-Cyrl-CS"/>
        </w:rPr>
        <w:t>,</w:t>
      </w:r>
      <w:r>
        <w:rPr>
          <w:rFonts w:ascii="Times New Roman" w:hAnsi="Times New Roman"/>
          <w:sz w:val="24"/>
          <w:szCs w:val="24"/>
          <w:lang w:val="sr-Cyrl-CS"/>
        </w:rPr>
        <w:t xml:space="preserve"> са променама у структури власништва кроз  трансформације имовине и титулара, корупцији и привредном криминалу посебно погодује и процес приватизације,  а на удару се налазе органи који се баве спровођењем поступка приватизације и процењивањем вредности друштвених привредних организација и њихове имовине. Транзиција увек доводи до ломова у начину живљења, свести и моралу становништва, док приватизација омогућава концентрацију економске моћи у рукама малог броја чланова друштва и врши се под окриљем центара политичке и економске моћи.</w:t>
      </w:r>
      <w:r w:rsidRPr="006005C8">
        <w:rPr>
          <w:rFonts w:ascii="Times New Roman" w:hAnsi="Times New Roman"/>
          <w:sz w:val="24"/>
          <w:szCs w:val="24"/>
          <w:lang w:val="sr-Cyrl-CS"/>
        </w:rPr>
        <w:t xml:space="preserve"> </w:t>
      </w:r>
    </w:p>
    <w:p w:rsidR="000B0E01" w:rsidRDefault="000B0E01" w:rsidP="00236243">
      <w:pPr>
        <w:pStyle w:val="ListParagraph"/>
        <w:ind w:left="0" w:firstLine="630"/>
        <w:jc w:val="both"/>
        <w:rPr>
          <w:rFonts w:ascii="Times New Roman" w:hAnsi="Times New Roman"/>
          <w:sz w:val="24"/>
          <w:szCs w:val="24"/>
          <w:lang w:val="sr-Cyrl-CS"/>
        </w:rPr>
      </w:pPr>
    </w:p>
    <w:p w:rsidR="00236243" w:rsidRPr="00236243" w:rsidRDefault="00126F72" w:rsidP="00236243">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Услови трансформације</w:t>
      </w:r>
      <w:r w:rsidR="00236243">
        <w:rPr>
          <w:rFonts w:ascii="Times New Roman" w:hAnsi="Times New Roman"/>
          <w:sz w:val="24"/>
          <w:szCs w:val="24"/>
          <w:lang w:val="sr-Cyrl-CS"/>
        </w:rPr>
        <w:t xml:space="preserve"> државног (друштеног) власништва у приватно, </w:t>
      </w:r>
      <w:r>
        <w:rPr>
          <w:rFonts w:ascii="Times New Roman" w:hAnsi="Times New Roman"/>
          <w:sz w:val="24"/>
          <w:szCs w:val="24"/>
          <w:lang w:val="sr-Cyrl-CS"/>
        </w:rPr>
        <w:t>пружају</w:t>
      </w:r>
      <w:r w:rsidR="00236243">
        <w:rPr>
          <w:rFonts w:ascii="Times New Roman" w:hAnsi="Times New Roman"/>
          <w:sz w:val="24"/>
          <w:szCs w:val="24"/>
          <w:lang w:val="sr-Cyrl-CS"/>
        </w:rPr>
        <w:t xml:space="preserve"> епохалну прилику за непојмљиво брзо и енормно богаћење оних који су имали политички монопол у бившим социјалистичким друштвима, </w:t>
      </w:r>
      <w:r>
        <w:rPr>
          <w:rFonts w:ascii="Times New Roman" w:hAnsi="Times New Roman"/>
          <w:sz w:val="24"/>
          <w:szCs w:val="24"/>
          <w:lang w:val="sr-Cyrl-CS"/>
        </w:rPr>
        <w:t xml:space="preserve">при чему </w:t>
      </w:r>
      <w:r w:rsidR="00236243">
        <w:rPr>
          <w:rFonts w:ascii="Times New Roman" w:hAnsi="Times New Roman"/>
          <w:sz w:val="24"/>
          <w:szCs w:val="24"/>
          <w:lang w:val="sr-Cyrl-CS"/>
        </w:rPr>
        <w:t xml:space="preserve">велики новац и неефикасно правосуђе погодују бујању корупције и отвореном пљачкању јавних добара. </w:t>
      </w:r>
      <w:r>
        <w:rPr>
          <w:rFonts w:ascii="Times New Roman" w:hAnsi="Times New Roman"/>
          <w:sz w:val="24"/>
          <w:szCs w:val="24"/>
          <w:lang w:val="sr-Cyrl-CS"/>
        </w:rPr>
        <w:t>Томе доприноси</w:t>
      </w:r>
      <w:r w:rsidR="00236243">
        <w:rPr>
          <w:rFonts w:ascii="Times New Roman" w:hAnsi="Times New Roman"/>
          <w:sz w:val="24"/>
          <w:szCs w:val="24"/>
          <w:lang w:val="sr-Cyrl-CS"/>
        </w:rPr>
        <w:t xml:space="preserve"> политичка плурализација </w:t>
      </w:r>
      <w:r>
        <w:rPr>
          <w:rFonts w:ascii="Times New Roman" w:hAnsi="Times New Roman"/>
          <w:sz w:val="24"/>
          <w:szCs w:val="24"/>
          <w:lang w:val="sr-Cyrl-CS"/>
        </w:rPr>
        <w:t xml:space="preserve">која </w:t>
      </w:r>
      <w:r w:rsidR="00236243">
        <w:rPr>
          <w:rFonts w:ascii="Times New Roman" w:hAnsi="Times New Roman"/>
          <w:sz w:val="24"/>
          <w:szCs w:val="24"/>
          <w:lang w:val="sr-Cyrl-CS"/>
        </w:rPr>
        <w:t>легализује раније латентне партијске фракције које се трансформишу у међусобно сукобљене и криминогене интересне кланове, чија се моћ мери количином незаконито стеченог новца и степеном утицаја на државне органе.</w:t>
      </w:r>
      <w:r w:rsidR="00236243">
        <w:rPr>
          <w:rStyle w:val="FootnoteReference"/>
          <w:rFonts w:ascii="Times New Roman" w:hAnsi="Times New Roman"/>
          <w:sz w:val="24"/>
          <w:szCs w:val="24"/>
          <w:lang w:val="sr-Cyrl-CS"/>
        </w:rPr>
        <w:footnoteReference w:id="622"/>
      </w:r>
    </w:p>
    <w:p w:rsidR="00236243" w:rsidRDefault="00236243" w:rsidP="00236243">
      <w:pPr>
        <w:pStyle w:val="ListParagraph"/>
        <w:ind w:left="0" w:firstLine="630"/>
        <w:jc w:val="both"/>
        <w:rPr>
          <w:rFonts w:ascii="Times New Roman" w:hAnsi="Times New Roman"/>
          <w:sz w:val="24"/>
          <w:szCs w:val="24"/>
          <w:lang w:val="sr-Cyrl-CS"/>
        </w:rPr>
      </w:pPr>
    </w:p>
    <w:p w:rsidR="00236243" w:rsidRDefault="00236243" w:rsidP="00236243">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 xml:space="preserve">Србија је последња балканска земља која је </w:t>
      </w:r>
      <w:r w:rsidR="00C61CB8">
        <w:rPr>
          <w:rFonts w:ascii="Times New Roman" w:hAnsi="Times New Roman"/>
          <w:sz w:val="24"/>
          <w:szCs w:val="24"/>
          <w:lang w:val="sr-Cyrl-CS"/>
        </w:rPr>
        <w:t xml:space="preserve">убрзаним темпом </w:t>
      </w:r>
      <w:r>
        <w:rPr>
          <w:rFonts w:ascii="Times New Roman" w:hAnsi="Times New Roman"/>
          <w:sz w:val="24"/>
          <w:szCs w:val="24"/>
          <w:lang w:val="sr-Cyrl-CS"/>
        </w:rPr>
        <w:t xml:space="preserve">кренула овим путем транзиције ка тржишном моделу привређивања. У нашим </w:t>
      </w:r>
      <w:r w:rsidR="00C74138">
        <w:rPr>
          <w:rFonts w:ascii="Times New Roman" w:hAnsi="Times New Roman"/>
          <w:sz w:val="24"/>
          <w:szCs w:val="24"/>
          <w:lang w:val="sr-Cyrl-CS"/>
        </w:rPr>
        <w:t>условима порески систем који се стално мења неповољно утиче на сузбијање пореске евазије и погодно је је тло за појаву сиве економије, корупције у пореској администрацији и неких облика организованог криминала. Томе погодују и услови</w:t>
      </w:r>
      <w:r>
        <w:rPr>
          <w:rFonts w:ascii="Times New Roman" w:hAnsi="Times New Roman"/>
          <w:sz w:val="24"/>
          <w:szCs w:val="24"/>
          <w:lang w:val="sr-Cyrl-CS"/>
        </w:rPr>
        <w:t xml:space="preserve"> транзиције</w:t>
      </w:r>
      <w:r w:rsidR="00C74138">
        <w:rPr>
          <w:rFonts w:ascii="Times New Roman" w:hAnsi="Times New Roman"/>
          <w:sz w:val="24"/>
          <w:szCs w:val="24"/>
          <w:lang w:val="sr-Cyrl-CS"/>
        </w:rPr>
        <w:t xml:space="preserve">, прилагођавање пореског система тржишној економији, ширење пореске основице, увођење нових пореза и мењања пореских стопа. Имајући све то у виду </w:t>
      </w:r>
      <w:r>
        <w:rPr>
          <w:rFonts w:ascii="Times New Roman" w:hAnsi="Times New Roman"/>
          <w:sz w:val="24"/>
          <w:szCs w:val="24"/>
          <w:lang w:val="sr-Cyrl-CS"/>
        </w:rPr>
        <w:t xml:space="preserve"> </w:t>
      </w:r>
      <w:r w:rsidR="00C74138">
        <w:rPr>
          <w:rFonts w:ascii="Times New Roman" w:hAnsi="Times New Roman"/>
          <w:sz w:val="24"/>
          <w:szCs w:val="24"/>
          <w:lang w:val="sr-Cyrl-CS"/>
        </w:rPr>
        <w:t xml:space="preserve">као и неусклађеност статистичких праћења макроекономских агрегата као основица за наплату појединих врста пореза </w:t>
      </w:r>
      <w:r>
        <w:rPr>
          <w:rFonts w:ascii="Times New Roman" w:hAnsi="Times New Roman"/>
          <w:sz w:val="24"/>
          <w:szCs w:val="24"/>
          <w:lang w:val="sr-Cyrl-CS"/>
        </w:rPr>
        <w:t>тешко је донети поуздане закључке о величини пореског јаза.</w:t>
      </w:r>
      <w:r>
        <w:rPr>
          <w:rStyle w:val="FootnoteReference"/>
          <w:rFonts w:ascii="Times New Roman" w:hAnsi="Times New Roman"/>
          <w:sz w:val="24"/>
          <w:szCs w:val="24"/>
          <w:lang w:val="sr-Cyrl-CS"/>
        </w:rPr>
        <w:footnoteReference w:id="623"/>
      </w:r>
      <w:r>
        <w:rPr>
          <w:rFonts w:ascii="Times New Roman" w:hAnsi="Times New Roman"/>
          <w:sz w:val="24"/>
          <w:szCs w:val="24"/>
          <w:lang w:val="sr-Cyrl-CS"/>
        </w:rPr>
        <w:t xml:space="preserve"> </w:t>
      </w:r>
    </w:p>
    <w:p w:rsidR="00236243" w:rsidRDefault="00236243" w:rsidP="00236243">
      <w:pPr>
        <w:pStyle w:val="ListParagraph"/>
        <w:ind w:left="0" w:firstLine="630"/>
        <w:jc w:val="both"/>
        <w:rPr>
          <w:rFonts w:ascii="Times New Roman" w:hAnsi="Times New Roman"/>
          <w:sz w:val="24"/>
          <w:szCs w:val="24"/>
          <w:lang w:val="sr-Cyrl-CS"/>
        </w:rPr>
      </w:pPr>
    </w:p>
    <w:p w:rsidR="00C66689" w:rsidRDefault="00236243" w:rsidP="00C66689">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Притом, транзиција у Србији има своје специфичности које су још више погодовале криминалу, јер се одвијала у условима ратног окружења, економских санкција Уједињених нација и агресије НАТО пакта на СРЈ. Укидање легалног платног промета са иностранством резултирало је нелегалним финансијским каналима, сивом економијом и корупцијом. У периоду од почетка до краја деведесетих корупција</w:t>
      </w:r>
      <w:r w:rsidR="00C66689">
        <w:rPr>
          <w:rFonts w:ascii="Times New Roman" w:hAnsi="Times New Roman"/>
          <w:sz w:val="24"/>
          <w:szCs w:val="24"/>
          <w:lang w:val="sr-Cyrl-CS"/>
        </w:rPr>
        <w:t xml:space="preserve"> и привредни криминал су</w:t>
      </w:r>
      <w:r>
        <w:rPr>
          <w:rFonts w:ascii="Times New Roman" w:hAnsi="Times New Roman"/>
          <w:sz w:val="24"/>
          <w:szCs w:val="24"/>
          <w:lang w:val="sr-Cyrl-CS"/>
        </w:rPr>
        <w:t xml:space="preserve"> узел</w:t>
      </w:r>
      <w:r w:rsidR="00C66689">
        <w:rPr>
          <w:rFonts w:ascii="Times New Roman" w:hAnsi="Times New Roman"/>
          <w:sz w:val="24"/>
          <w:szCs w:val="24"/>
          <w:lang w:val="sr-Cyrl-CS"/>
        </w:rPr>
        <w:t>и</w:t>
      </w:r>
      <w:r>
        <w:rPr>
          <w:rFonts w:ascii="Times New Roman" w:hAnsi="Times New Roman"/>
          <w:sz w:val="24"/>
          <w:szCs w:val="24"/>
          <w:lang w:val="sr-Cyrl-CS"/>
        </w:rPr>
        <w:t xml:space="preserve"> великог маха и поп</w:t>
      </w:r>
      <w:r w:rsidR="00C66689">
        <w:rPr>
          <w:rFonts w:ascii="Times New Roman" w:hAnsi="Times New Roman"/>
          <w:sz w:val="24"/>
          <w:szCs w:val="24"/>
          <w:lang w:val="sr-Cyrl-CS"/>
        </w:rPr>
        <w:t>римили су размере системских појава, које су најопасније</w:t>
      </w:r>
      <w:r>
        <w:rPr>
          <w:rFonts w:ascii="Times New Roman" w:hAnsi="Times New Roman"/>
          <w:sz w:val="24"/>
          <w:szCs w:val="24"/>
          <w:lang w:val="sr-Cyrl-CS"/>
        </w:rPr>
        <w:t xml:space="preserve"> за све сфере друштвеног живота. </w:t>
      </w:r>
      <w:r w:rsidR="00C66689">
        <w:rPr>
          <w:rFonts w:ascii="Times New Roman" w:hAnsi="Times New Roman"/>
          <w:sz w:val="24"/>
          <w:szCs w:val="24"/>
          <w:lang w:val="sr-Cyrl-CS"/>
        </w:rPr>
        <w:t xml:space="preserve">Ове појаве </w:t>
      </w:r>
      <w:r w:rsidR="000B0E01">
        <w:rPr>
          <w:rFonts w:ascii="Times New Roman" w:hAnsi="Times New Roman"/>
          <w:sz w:val="24"/>
          <w:szCs w:val="24"/>
          <w:lang w:val="sr-Cyrl-CS"/>
        </w:rPr>
        <w:t xml:space="preserve">биле су </w:t>
      </w:r>
      <w:r w:rsidR="00C66689">
        <w:rPr>
          <w:rFonts w:ascii="Times New Roman" w:hAnsi="Times New Roman"/>
          <w:sz w:val="24"/>
          <w:szCs w:val="24"/>
          <w:lang w:val="sr-Cyrl-CS"/>
        </w:rPr>
        <w:t>в</w:t>
      </w:r>
      <w:r>
        <w:rPr>
          <w:rFonts w:ascii="Times New Roman" w:hAnsi="Times New Roman"/>
          <w:sz w:val="24"/>
          <w:szCs w:val="24"/>
          <w:lang w:val="sr-Cyrl-CS"/>
        </w:rPr>
        <w:t xml:space="preserve">еома </w:t>
      </w:r>
      <w:r w:rsidR="00C66689">
        <w:rPr>
          <w:rFonts w:ascii="Times New Roman" w:hAnsi="Times New Roman"/>
          <w:sz w:val="24"/>
          <w:szCs w:val="24"/>
          <w:lang w:val="sr-Cyrl-CS"/>
        </w:rPr>
        <w:t xml:space="preserve"> заступљене</w:t>
      </w:r>
      <w:r>
        <w:rPr>
          <w:rFonts w:ascii="Times New Roman" w:hAnsi="Times New Roman"/>
          <w:sz w:val="24"/>
          <w:szCs w:val="24"/>
          <w:lang w:val="sr-Cyrl-CS"/>
        </w:rPr>
        <w:t xml:space="preserve"> у промету робе и услуга, али и свим другим значајним сферама</w:t>
      </w:r>
      <w:r w:rsidR="00C66689">
        <w:rPr>
          <w:rFonts w:ascii="Times New Roman" w:hAnsi="Times New Roman"/>
          <w:sz w:val="24"/>
          <w:szCs w:val="24"/>
          <w:lang w:val="sr-Cyrl-CS"/>
        </w:rPr>
        <w:t>.</w:t>
      </w:r>
      <w:r>
        <w:rPr>
          <w:rFonts w:ascii="Times New Roman" w:hAnsi="Times New Roman"/>
          <w:sz w:val="24"/>
          <w:szCs w:val="24"/>
          <w:lang w:val="sr-Cyrl-CS"/>
        </w:rPr>
        <w:t xml:space="preserve"> </w:t>
      </w:r>
    </w:p>
    <w:p w:rsidR="00712148" w:rsidRDefault="00712148" w:rsidP="00C66689">
      <w:pPr>
        <w:pStyle w:val="ListParagraph"/>
        <w:ind w:left="0" w:firstLine="630"/>
        <w:jc w:val="both"/>
        <w:rPr>
          <w:rFonts w:ascii="Times New Roman" w:hAnsi="Times New Roman"/>
          <w:sz w:val="24"/>
          <w:szCs w:val="24"/>
          <w:lang w:val="sr-Cyrl-CS"/>
        </w:rPr>
      </w:pPr>
    </w:p>
    <w:p w:rsidR="001C45B2" w:rsidRDefault="00DD2DF1" w:rsidP="00126F72">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lastRenderedPageBreak/>
        <w:t>Поред економске кризе (пад БДП, раст цена, повећање</w:t>
      </w:r>
      <w:r w:rsidR="00712148">
        <w:rPr>
          <w:rFonts w:ascii="Times New Roman" w:hAnsi="Times New Roman"/>
          <w:sz w:val="24"/>
          <w:szCs w:val="24"/>
          <w:lang w:val="sr-Cyrl-CS"/>
        </w:rPr>
        <w:t xml:space="preserve"> незапослености)</w:t>
      </w:r>
      <w:r>
        <w:rPr>
          <w:rFonts w:ascii="Times New Roman" w:hAnsi="Times New Roman"/>
          <w:sz w:val="24"/>
          <w:szCs w:val="24"/>
          <w:lang w:val="sr-Cyrl-CS"/>
        </w:rPr>
        <w:t xml:space="preserve"> која је пратилац транзиције</w:t>
      </w:r>
      <w:r w:rsidR="00712148">
        <w:rPr>
          <w:rFonts w:ascii="Times New Roman" w:hAnsi="Times New Roman"/>
          <w:sz w:val="24"/>
          <w:szCs w:val="24"/>
          <w:lang w:val="sr-Cyrl-CS"/>
        </w:rPr>
        <w:t xml:space="preserve">, ту је и криза система вредности и криза институција. Економска криза </w:t>
      </w:r>
      <w:r>
        <w:rPr>
          <w:rFonts w:ascii="Times New Roman" w:hAnsi="Times New Roman"/>
          <w:sz w:val="24"/>
          <w:szCs w:val="24"/>
          <w:lang w:val="sr-Cyrl-CS"/>
        </w:rPr>
        <w:t xml:space="preserve">доприноси стварању мотива за стицање противправне имовинске користи јер </w:t>
      </w:r>
      <w:r w:rsidR="00712148">
        <w:rPr>
          <w:rFonts w:ascii="Times New Roman" w:hAnsi="Times New Roman"/>
          <w:sz w:val="24"/>
          <w:szCs w:val="24"/>
          <w:lang w:val="sr-Cyrl-CS"/>
        </w:rPr>
        <w:t xml:space="preserve">повећава дистанцу између потреба и могућности да се на законит начин </w:t>
      </w:r>
      <w:r>
        <w:rPr>
          <w:rFonts w:ascii="Times New Roman" w:hAnsi="Times New Roman"/>
          <w:sz w:val="24"/>
          <w:szCs w:val="24"/>
          <w:lang w:val="sr-Cyrl-CS"/>
        </w:rPr>
        <w:t xml:space="preserve">задовоље те потребе. Свему томе доприноси и </w:t>
      </w:r>
      <w:r w:rsidR="00712148">
        <w:rPr>
          <w:rFonts w:ascii="Times New Roman" w:hAnsi="Times New Roman"/>
          <w:sz w:val="24"/>
          <w:szCs w:val="24"/>
          <w:lang w:val="sr-Cyrl-CS"/>
        </w:rPr>
        <w:t xml:space="preserve">криза система вредности </w:t>
      </w:r>
      <w:r>
        <w:rPr>
          <w:rFonts w:ascii="Times New Roman" w:hAnsi="Times New Roman"/>
          <w:sz w:val="24"/>
          <w:szCs w:val="24"/>
          <w:lang w:val="sr-Cyrl-CS"/>
        </w:rPr>
        <w:t>која је пратилац</w:t>
      </w:r>
      <w:r w:rsidR="00712148">
        <w:rPr>
          <w:rFonts w:ascii="Times New Roman" w:hAnsi="Times New Roman"/>
          <w:sz w:val="24"/>
          <w:szCs w:val="24"/>
          <w:lang w:val="sr-Cyrl-CS"/>
        </w:rPr>
        <w:t xml:space="preserve"> сваке друштвене, економске кризе, </w:t>
      </w:r>
      <w:r>
        <w:rPr>
          <w:rFonts w:ascii="Times New Roman" w:hAnsi="Times New Roman"/>
          <w:sz w:val="24"/>
          <w:szCs w:val="24"/>
          <w:lang w:val="sr-Cyrl-CS"/>
        </w:rPr>
        <w:t xml:space="preserve">која </w:t>
      </w:r>
      <w:r w:rsidR="00712148">
        <w:rPr>
          <w:rFonts w:ascii="Times New Roman" w:hAnsi="Times New Roman"/>
          <w:sz w:val="24"/>
          <w:szCs w:val="24"/>
          <w:lang w:val="sr-Cyrl-CS"/>
        </w:rPr>
        <w:t>слаби инхибиторне механизме код човека и прихватљивим чини многе незаконите начине како да стекне имовинску корист, укључујући насиље.</w:t>
      </w:r>
      <w:r w:rsidR="00712148">
        <w:rPr>
          <w:rStyle w:val="FootnoteReference"/>
          <w:rFonts w:ascii="Times New Roman" w:hAnsi="Times New Roman"/>
          <w:sz w:val="24"/>
          <w:szCs w:val="24"/>
          <w:lang w:val="sr-Cyrl-CS"/>
        </w:rPr>
        <w:footnoteReference w:id="624"/>
      </w:r>
    </w:p>
    <w:p w:rsidR="00126F72" w:rsidRPr="00126F72" w:rsidRDefault="00126F72" w:rsidP="00126F72">
      <w:pPr>
        <w:pStyle w:val="ListParagraph"/>
        <w:ind w:left="0" w:firstLine="630"/>
        <w:jc w:val="both"/>
        <w:rPr>
          <w:rFonts w:ascii="Times New Roman" w:hAnsi="Times New Roman"/>
          <w:sz w:val="24"/>
          <w:szCs w:val="24"/>
          <w:lang w:val="sr-Cyrl-CS"/>
        </w:rPr>
      </w:pPr>
    </w:p>
    <w:p w:rsidR="00C66689" w:rsidRDefault="004D207F" w:rsidP="000B0E01">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 xml:space="preserve">Након постконфликтне кризе </w:t>
      </w:r>
      <w:r w:rsidR="001C45B2">
        <w:rPr>
          <w:rFonts w:ascii="Times New Roman" w:hAnsi="Times New Roman"/>
          <w:sz w:val="24"/>
          <w:szCs w:val="24"/>
          <w:lang w:val="sr-Cyrl-CS"/>
        </w:rPr>
        <w:t xml:space="preserve">Србија се </w:t>
      </w:r>
      <w:r w:rsidR="000B0E01">
        <w:rPr>
          <w:rFonts w:ascii="Times New Roman" w:hAnsi="Times New Roman"/>
          <w:sz w:val="24"/>
          <w:szCs w:val="24"/>
          <w:lang w:val="sr-Cyrl-CS"/>
        </w:rPr>
        <w:t>данас</w:t>
      </w:r>
      <w:r w:rsidR="001C45B2">
        <w:rPr>
          <w:rFonts w:ascii="Times New Roman" w:hAnsi="Times New Roman"/>
          <w:sz w:val="24"/>
          <w:szCs w:val="24"/>
          <w:lang w:val="sr-Cyrl-CS"/>
        </w:rPr>
        <w:t xml:space="preserve"> налази у периоду економске </w:t>
      </w:r>
      <w:r>
        <w:rPr>
          <w:rFonts w:ascii="Times New Roman" w:hAnsi="Times New Roman"/>
          <w:sz w:val="24"/>
          <w:szCs w:val="24"/>
          <w:lang w:val="sr-Cyrl-CS"/>
        </w:rPr>
        <w:t>и политичке стабилизације</w:t>
      </w:r>
      <w:r w:rsidR="001C45B2">
        <w:rPr>
          <w:rFonts w:ascii="Times New Roman" w:hAnsi="Times New Roman"/>
          <w:sz w:val="24"/>
          <w:szCs w:val="24"/>
          <w:lang w:val="sr-Cyrl-CS"/>
        </w:rPr>
        <w:t xml:space="preserve">. </w:t>
      </w:r>
      <w:r w:rsidR="00D475C5">
        <w:rPr>
          <w:rFonts w:ascii="Times New Roman" w:hAnsi="Times New Roman"/>
          <w:sz w:val="24"/>
          <w:szCs w:val="24"/>
          <w:lang w:val="sr-Cyrl-CS"/>
        </w:rPr>
        <w:t>Међутим, велика политичка и економска криза, као и низ оружаних сукоба, утицали су на деградирање и угрожавање перспективе у Србији. При том</w:t>
      </w:r>
      <w:r w:rsidR="001C45B2">
        <w:rPr>
          <w:rFonts w:ascii="Times New Roman" w:hAnsi="Times New Roman"/>
          <w:sz w:val="24"/>
          <w:szCs w:val="24"/>
          <w:lang w:val="sr-Cyrl-CS"/>
        </w:rPr>
        <w:t xml:space="preserve">, </w:t>
      </w:r>
      <w:r w:rsidR="00D475C5">
        <w:rPr>
          <w:rFonts w:ascii="Times New Roman" w:hAnsi="Times New Roman"/>
          <w:sz w:val="24"/>
          <w:szCs w:val="24"/>
          <w:lang w:val="sr-Cyrl-CS"/>
        </w:rPr>
        <w:t>пораст стопе незапослености,  постојање тензије</w:t>
      </w:r>
      <w:r w:rsidR="001C45B2">
        <w:rPr>
          <w:rFonts w:ascii="Times New Roman" w:hAnsi="Times New Roman"/>
          <w:sz w:val="24"/>
          <w:szCs w:val="24"/>
          <w:lang w:val="sr-Cyrl-CS"/>
        </w:rPr>
        <w:t xml:space="preserve"> у вези са Косовом, међународне обавезе чије испуњење тражи ЕУ у</w:t>
      </w:r>
      <w:r w:rsidR="000B0E01">
        <w:rPr>
          <w:rFonts w:ascii="Times New Roman" w:hAnsi="Times New Roman"/>
          <w:sz w:val="24"/>
          <w:szCs w:val="24"/>
          <w:lang w:val="sr-Cyrl-CS"/>
        </w:rPr>
        <w:t xml:space="preserve">словљавају осећај стагнације, а </w:t>
      </w:r>
      <w:r w:rsidR="001C45B2">
        <w:rPr>
          <w:rFonts w:ascii="Times New Roman" w:hAnsi="Times New Roman"/>
          <w:sz w:val="24"/>
          <w:szCs w:val="24"/>
          <w:lang w:val="sr-Cyrl-CS"/>
        </w:rPr>
        <w:t xml:space="preserve">борбу против сиромаштва, незапослености и хуманог развоја некако стављају у други план. </w:t>
      </w:r>
      <w:r w:rsidR="00D475C5">
        <w:rPr>
          <w:rFonts w:ascii="Times New Roman" w:hAnsi="Times New Roman"/>
          <w:sz w:val="24"/>
          <w:szCs w:val="24"/>
          <w:lang w:val="sr-Cyrl-CS"/>
        </w:rPr>
        <w:t xml:space="preserve">На тржишту рада у Србији је висока стопа незапослености, висок степен скривене запослености, мали удео запослености у приватном сектору, ниска примања као и ниска мобилност радне снаге. </w:t>
      </w:r>
      <w:r w:rsidR="001C45B2">
        <w:rPr>
          <w:rFonts w:ascii="Times New Roman" w:hAnsi="Times New Roman"/>
          <w:sz w:val="24"/>
          <w:szCs w:val="24"/>
          <w:lang w:val="sr-Cyrl-CS"/>
        </w:rPr>
        <w:t xml:space="preserve">Све то </w:t>
      </w:r>
      <w:r w:rsidR="00D475C5">
        <w:rPr>
          <w:rFonts w:ascii="Times New Roman" w:hAnsi="Times New Roman"/>
          <w:sz w:val="24"/>
          <w:szCs w:val="24"/>
          <w:lang w:val="sr-Cyrl-CS"/>
        </w:rPr>
        <w:t xml:space="preserve">даље  води испољавању </w:t>
      </w:r>
      <w:r w:rsidR="001C45B2">
        <w:rPr>
          <w:rFonts w:ascii="Times New Roman" w:hAnsi="Times New Roman"/>
          <w:sz w:val="24"/>
          <w:szCs w:val="24"/>
          <w:lang w:val="sr-Cyrl-CS"/>
        </w:rPr>
        <w:t>феномен</w:t>
      </w:r>
      <w:r w:rsidR="00D475C5">
        <w:rPr>
          <w:rFonts w:ascii="Times New Roman" w:hAnsi="Times New Roman"/>
          <w:sz w:val="24"/>
          <w:szCs w:val="24"/>
          <w:lang w:val="sr-Cyrl-CS"/>
        </w:rPr>
        <w:t>а</w:t>
      </w:r>
      <w:r w:rsidR="001C45B2">
        <w:rPr>
          <w:rFonts w:ascii="Times New Roman" w:hAnsi="Times New Roman"/>
          <w:sz w:val="24"/>
          <w:szCs w:val="24"/>
          <w:lang w:val="sr-Cyrl-CS"/>
        </w:rPr>
        <w:t xml:space="preserve"> сиромаштва, </w:t>
      </w:r>
      <w:r w:rsidR="00D475C5">
        <w:rPr>
          <w:rFonts w:ascii="Times New Roman" w:hAnsi="Times New Roman"/>
          <w:sz w:val="24"/>
          <w:szCs w:val="24"/>
          <w:lang w:val="sr-Cyrl-CS"/>
        </w:rPr>
        <w:t>а евидентни</w:t>
      </w:r>
      <w:r w:rsidR="001C45B2">
        <w:rPr>
          <w:rFonts w:ascii="Times New Roman" w:hAnsi="Times New Roman"/>
          <w:sz w:val="24"/>
          <w:szCs w:val="24"/>
          <w:lang w:val="sr-Cyrl-CS"/>
        </w:rPr>
        <w:t xml:space="preserve"> су</w:t>
      </w:r>
      <w:r w:rsidR="00D475C5">
        <w:rPr>
          <w:rFonts w:ascii="Times New Roman" w:hAnsi="Times New Roman"/>
          <w:sz w:val="24"/>
          <w:szCs w:val="24"/>
          <w:lang w:val="sr-Cyrl-CS"/>
        </w:rPr>
        <w:t>,</w:t>
      </w:r>
      <w:r w:rsidR="001C45B2">
        <w:rPr>
          <w:rFonts w:ascii="Times New Roman" w:hAnsi="Times New Roman"/>
          <w:sz w:val="24"/>
          <w:szCs w:val="24"/>
          <w:lang w:val="sr-Cyrl-CS"/>
        </w:rPr>
        <w:t xml:space="preserve"> у контексту </w:t>
      </w:r>
      <w:r w:rsidR="00D475C5">
        <w:rPr>
          <w:rFonts w:ascii="Times New Roman" w:hAnsi="Times New Roman"/>
          <w:sz w:val="24"/>
          <w:szCs w:val="24"/>
          <w:lang w:val="sr-Cyrl-CS"/>
        </w:rPr>
        <w:t xml:space="preserve">свега </w:t>
      </w:r>
      <w:r w:rsidR="001C45B2">
        <w:rPr>
          <w:rFonts w:ascii="Times New Roman" w:hAnsi="Times New Roman"/>
          <w:sz w:val="24"/>
          <w:szCs w:val="24"/>
          <w:lang w:val="sr-Cyrl-CS"/>
        </w:rPr>
        <w:t>наведеног</w:t>
      </w:r>
      <w:r w:rsidR="00D475C5">
        <w:rPr>
          <w:rFonts w:ascii="Times New Roman" w:hAnsi="Times New Roman"/>
          <w:sz w:val="24"/>
          <w:szCs w:val="24"/>
          <w:lang w:val="sr-Cyrl-CS"/>
        </w:rPr>
        <w:t>,</w:t>
      </w:r>
      <w:r w:rsidR="001C45B2">
        <w:rPr>
          <w:rFonts w:ascii="Times New Roman" w:hAnsi="Times New Roman"/>
          <w:sz w:val="24"/>
          <w:szCs w:val="24"/>
          <w:lang w:val="sr-Cyrl-CS"/>
        </w:rPr>
        <w:t xml:space="preserve"> све већи недостаци и пропусти у реализацији економских и друштвених права.</w:t>
      </w:r>
      <w:r w:rsidR="001C45B2">
        <w:rPr>
          <w:rStyle w:val="FootnoteReference"/>
          <w:rFonts w:ascii="Times New Roman" w:hAnsi="Times New Roman"/>
          <w:sz w:val="24"/>
          <w:szCs w:val="24"/>
          <w:lang w:val="sr-Cyrl-CS"/>
        </w:rPr>
        <w:footnoteReference w:id="625"/>
      </w:r>
    </w:p>
    <w:p w:rsidR="00057B05" w:rsidRDefault="00057B05" w:rsidP="00360574">
      <w:pPr>
        <w:pStyle w:val="ListParagraph"/>
        <w:ind w:left="0" w:firstLine="630"/>
        <w:jc w:val="both"/>
        <w:rPr>
          <w:rFonts w:ascii="Times New Roman" w:hAnsi="Times New Roman"/>
          <w:sz w:val="24"/>
          <w:szCs w:val="24"/>
          <w:lang w:val="sr-Cyrl-CS"/>
        </w:rPr>
      </w:pPr>
    </w:p>
    <w:p w:rsidR="00057B05" w:rsidRDefault="000B0E01" w:rsidP="00057B05">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Д</w:t>
      </w:r>
      <w:r w:rsidR="00057B05">
        <w:rPr>
          <w:rFonts w:ascii="Times New Roman" w:hAnsi="Times New Roman"/>
          <w:sz w:val="24"/>
          <w:szCs w:val="24"/>
          <w:lang w:val="sr-Cyrl-CS"/>
        </w:rPr>
        <w:t xml:space="preserve">а би се одредила средства и начини заштите и ефикасно супротстављање овим појавама неопходно их је ближе упознати, јасно дефинисати и  разграничити у односу на друге криминалне и ванкриминалне појаве. То је веома значајно како би се могла упознати етиологија и феноменологија ових појава. Уз то, ови феномени су веома прилагодљиви друштвеним условима, са вишеструким последицама на читав привредни систем. При том, најмање се и најтеже откривају, „тамна бројка“ је висока, што све доприноси њиховом неефикасном спречавању и сузбијању. Заправо, у свакој земљи постоји више оваквих појава него што то приказују званичне статистике. </w:t>
      </w:r>
    </w:p>
    <w:p w:rsidR="00126F72" w:rsidRDefault="00126F72" w:rsidP="00057B05">
      <w:pPr>
        <w:pStyle w:val="ListParagraph"/>
        <w:ind w:left="0" w:firstLine="630"/>
        <w:jc w:val="both"/>
        <w:rPr>
          <w:rFonts w:ascii="Times New Roman" w:hAnsi="Times New Roman"/>
          <w:sz w:val="24"/>
          <w:szCs w:val="24"/>
          <w:lang w:val="sr-Cyrl-CS"/>
        </w:rPr>
      </w:pPr>
    </w:p>
    <w:p w:rsidR="00057B05" w:rsidRDefault="00126F72" w:rsidP="00126F72">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У основне карактеристике привредног криминалитета спадају: латентна прикривеност кривичних дела и висока „тамна бројка“, специјализација и професионализација извршилаца, појавна форма организованог криминалитета, сложеност и динамичност феноменологије, тенденција интернационализације, међусобна повезаност кривичних дела у систем и специфичност доказивања и доказних средстава.</w:t>
      </w:r>
      <w:r>
        <w:rPr>
          <w:rStyle w:val="FootnoteReference"/>
          <w:rFonts w:ascii="Times New Roman" w:hAnsi="Times New Roman"/>
          <w:sz w:val="24"/>
          <w:szCs w:val="24"/>
          <w:lang w:val="sr-Cyrl-CS"/>
        </w:rPr>
        <w:footnoteReference w:id="626"/>
      </w:r>
    </w:p>
    <w:p w:rsidR="00126F72" w:rsidRPr="00126F72" w:rsidRDefault="00126F72" w:rsidP="00126F72">
      <w:pPr>
        <w:pStyle w:val="ListParagraph"/>
        <w:ind w:left="0" w:firstLine="630"/>
        <w:jc w:val="both"/>
        <w:rPr>
          <w:rFonts w:ascii="Times New Roman" w:hAnsi="Times New Roman"/>
          <w:sz w:val="24"/>
          <w:szCs w:val="24"/>
          <w:lang w:val="sr-Cyrl-CS"/>
        </w:rPr>
      </w:pPr>
    </w:p>
    <w:p w:rsidR="000B0E01" w:rsidRDefault="00447B12" w:rsidP="00447B12">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lastRenderedPageBreak/>
        <w:t>За разлику од</w:t>
      </w:r>
      <w:r w:rsidR="00057B05">
        <w:rPr>
          <w:rFonts w:ascii="Times New Roman" w:hAnsi="Times New Roman"/>
          <w:sz w:val="24"/>
          <w:szCs w:val="24"/>
          <w:lang w:val="sr-Cyrl-CS"/>
        </w:rPr>
        <w:t xml:space="preserve"> тзв. класичног криминала (убиства, телесне повреде и слично) </w:t>
      </w:r>
      <w:r>
        <w:rPr>
          <w:rFonts w:ascii="Times New Roman" w:hAnsi="Times New Roman"/>
          <w:sz w:val="24"/>
          <w:szCs w:val="24"/>
          <w:lang w:val="sr-Cyrl-CS"/>
        </w:rPr>
        <w:t xml:space="preserve">где је </w:t>
      </w:r>
      <w:r w:rsidR="00057B05">
        <w:rPr>
          <w:rFonts w:ascii="Times New Roman" w:hAnsi="Times New Roman"/>
          <w:sz w:val="24"/>
          <w:szCs w:val="24"/>
          <w:lang w:val="sr-Cyrl-CS"/>
        </w:rPr>
        <w:t>велики број извршених дела као реалних догађаја уочљив и видљив (убијен или повређен човек итд.), код привредног криминала дело по правилу није уочљиво или видљиво.</w:t>
      </w:r>
      <w:r w:rsidR="00057B05">
        <w:rPr>
          <w:rStyle w:val="FootnoteReference"/>
          <w:rFonts w:ascii="Times New Roman" w:hAnsi="Times New Roman"/>
          <w:sz w:val="24"/>
          <w:szCs w:val="24"/>
          <w:lang w:val="sr-Cyrl-CS"/>
        </w:rPr>
        <w:footnoteReference w:id="627"/>
      </w:r>
      <w:r>
        <w:rPr>
          <w:rFonts w:ascii="Times New Roman" w:hAnsi="Times New Roman"/>
          <w:sz w:val="24"/>
          <w:szCs w:val="24"/>
          <w:lang w:val="sr-Cyrl-CS"/>
        </w:rPr>
        <w:t xml:space="preserve"> </w:t>
      </w:r>
      <w:r w:rsidR="000B0E01">
        <w:rPr>
          <w:rFonts w:ascii="Times New Roman" w:hAnsi="Times New Roman"/>
          <w:sz w:val="24"/>
          <w:szCs w:val="24"/>
          <w:lang w:val="sr-Cyrl-CS"/>
        </w:rPr>
        <w:t>Наиме, привредни криминал,</w:t>
      </w:r>
      <w:r w:rsidR="001C45B2">
        <w:rPr>
          <w:rFonts w:ascii="Times New Roman" w:hAnsi="Times New Roman"/>
          <w:sz w:val="24"/>
          <w:szCs w:val="24"/>
          <w:lang w:val="sr-Cyrl-CS"/>
        </w:rPr>
        <w:t xml:space="preserve"> одликује најпре изузетно велика прилагодљивост постојећим друштвено-економским односима и велики б</w:t>
      </w:r>
      <w:r w:rsidR="000B0E01">
        <w:rPr>
          <w:rFonts w:ascii="Times New Roman" w:hAnsi="Times New Roman"/>
          <w:sz w:val="24"/>
          <w:szCs w:val="24"/>
          <w:lang w:val="sr-Cyrl-CS"/>
        </w:rPr>
        <w:t>рој облика у којима се појављују</w:t>
      </w:r>
      <w:r w:rsidR="001C45B2">
        <w:rPr>
          <w:rFonts w:ascii="Times New Roman" w:hAnsi="Times New Roman"/>
          <w:sz w:val="24"/>
          <w:szCs w:val="24"/>
          <w:lang w:val="sr-Cyrl-CS"/>
        </w:rPr>
        <w:t>. У одно</w:t>
      </w:r>
      <w:r w:rsidR="000B0E01">
        <w:rPr>
          <w:rFonts w:ascii="Times New Roman" w:hAnsi="Times New Roman"/>
          <w:sz w:val="24"/>
          <w:szCs w:val="24"/>
          <w:lang w:val="sr-Cyrl-CS"/>
        </w:rPr>
        <w:t>су на друге облике криминала</w:t>
      </w:r>
      <w:r w:rsidR="001C45B2">
        <w:rPr>
          <w:rFonts w:ascii="Times New Roman" w:hAnsi="Times New Roman"/>
          <w:sz w:val="24"/>
          <w:szCs w:val="24"/>
          <w:lang w:val="sr-Cyrl-CS"/>
        </w:rPr>
        <w:t xml:space="preserve"> у овом случају се често ради о образованим, стручним људима, на одговорним положајима, који злоупотребе врше у оквиру свог радног места, па самим тим те злоупотребе могу успешније прикрити, чак и у дугом временском периоду. Ствара се привид легалне активно</w:t>
      </w:r>
      <w:r w:rsidR="000B0E01">
        <w:rPr>
          <w:rFonts w:ascii="Times New Roman" w:hAnsi="Times New Roman"/>
          <w:sz w:val="24"/>
          <w:szCs w:val="24"/>
          <w:lang w:val="sr-Cyrl-CS"/>
        </w:rPr>
        <w:t>сти кроз фиктивну документацију. „Т</w:t>
      </w:r>
      <w:r w:rsidR="001C45B2">
        <w:rPr>
          <w:rFonts w:ascii="Times New Roman" w:hAnsi="Times New Roman"/>
          <w:sz w:val="24"/>
          <w:szCs w:val="24"/>
          <w:lang w:val="sr-Cyrl-CS"/>
        </w:rPr>
        <w:t xml:space="preserve">амна бројка“ </w:t>
      </w:r>
      <w:r w:rsidR="000B0E01">
        <w:rPr>
          <w:rFonts w:ascii="Times New Roman" w:hAnsi="Times New Roman"/>
          <w:sz w:val="24"/>
          <w:szCs w:val="24"/>
          <w:lang w:val="sr-Cyrl-CS"/>
        </w:rPr>
        <w:t xml:space="preserve">привредног криминала и корупције је </w:t>
      </w:r>
      <w:r w:rsidR="001C45B2">
        <w:rPr>
          <w:rFonts w:ascii="Times New Roman" w:hAnsi="Times New Roman"/>
          <w:sz w:val="24"/>
          <w:szCs w:val="24"/>
          <w:lang w:val="sr-Cyrl-CS"/>
        </w:rPr>
        <w:t xml:space="preserve">изузетно висока у односу на било коју другу област криминалне активности. </w:t>
      </w:r>
      <w:r w:rsidR="000B0E01">
        <w:rPr>
          <w:rFonts w:ascii="Times New Roman" w:hAnsi="Times New Roman"/>
          <w:sz w:val="24"/>
          <w:szCs w:val="24"/>
          <w:lang w:val="sr-Cyrl-CS"/>
        </w:rPr>
        <w:t xml:space="preserve"> </w:t>
      </w:r>
    </w:p>
    <w:p w:rsidR="00724A47" w:rsidRDefault="00724A47" w:rsidP="000B0E01">
      <w:pPr>
        <w:pStyle w:val="ListParagraph"/>
        <w:ind w:left="0"/>
        <w:jc w:val="both"/>
        <w:rPr>
          <w:rFonts w:ascii="Times New Roman" w:hAnsi="Times New Roman"/>
          <w:sz w:val="24"/>
          <w:szCs w:val="24"/>
          <w:lang w:val="sr-Cyrl-CS"/>
        </w:rPr>
      </w:pPr>
    </w:p>
    <w:p w:rsidR="00724A47" w:rsidRDefault="00447B12" w:rsidP="00BD143A">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За разлику од других врста криминалитета где се, по правилу, за дело већ зна, или се сазна пре него за извршиоца, к</w:t>
      </w:r>
      <w:r w:rsidR="00724A47">
        <w:rPr>
          <w:rFonts w:ascii="Times New Roman" w:hAnsi="Times New Roman"/>
          <w:sz w:val="24"/>
          <w:szCs w:val="24"/>
          <w:lang w:val="sr-Cyrl-CS"/>
        </w:rPr>
        <w:t xml:space="preserve">од ове врсте деликата </w:t>
      </w:r>
      <w:r>
        <w:rPr>
          <w:rFonts w:ascii="Times New Roman" w:hAnsi="Times New Roman"/>
          <w:sz w:val="24"/>
          <w:szCs w:val="24"/>
          <w:lang w:val="sr-Cyrl-CS"/>
        </w:rPr>
        <w:t xml:space="preserve">карактеристично је да </w:t>
      </w:r>
      <w:r w:rsidR="00724A47">
        <w:rPr>
          <w:rFonts w:ascii="Times New Roman" w:hAnsi="Times New Roman"/>
          <w:sz w:val="24"/>
          <w:szCs w:val="24"/>
          <w:lang w:val="sr-Cyrl-CS"/>
        </w:rPr>
        <w:t>субјекти откривања своју делатност усмерав</w:t>
      </w:r>
      <w:r>
        <w:rPr>
          <w:rFonts w:ascii="Times New Roman" w:hAnsi="Times New Roman"/>
          <w:sz w:val="24"/>
          <w:szCs w:val="24"/>
          <w:lang w:val="sr-Cyrl-CS"/>
        </w:rPr>
        <w:t>ају ка откривању кривичног дела и</w:t>
      </w:r>
      <w:r w:rsidR="00724A47">
        <w:rPr>
          <w:rFonts w:ascii="Times New Roman" w:hAnsi="Times New Roman"/>
          <w:sz w:val="24"/>
          <w:szCs w:val="24"/>
          <w:lang w:val="sr-Cyrl-CS"/>
        </w:rPr>
        <w:t xml:space="preserve"> </w:t>
      </w:r>
      <w:r>
        <w:rPr>
          <w:rFonts w:ascii="Times New Roman" w:hAnsi="Times New Roman"/>
          <w:sz w:val="24"/>
          <w:szCs w:val="24"/>
          <w:lang w:val="sr-Cyrl-CS"/>
        </w:rPr>
        <w:t>са</w:t>
      </w:r>
      <w:r w:rsidR="00724A47">
        <w:rPr>
          <w:rFonts w:ascii="Times New Roman" w:hAnsi="Times New Roman"/>
          <w:sz w:val="24"/>
          <w:szCs w:val="24"/>
          <w:lang w:val="sr-Cyrl-CS"/>
        </w:rPr>
        <w:t xml:space="preserve"> откривањем дела, истовремено </w:t>
      </w:r>
      <w:r>
        <w:rPr>
          <w:rFonts w:ascii="Times New Roman" w:hAnsi="Times New Roman"/>
          <w:sz w:val="24"/>
          <w:szCs w:val="24"/>
          <w:lang w:val="sr-Cyrl-CS"/>
        </w:rPr>
        <w:t xml:space="preserve">се </w:t>
      </w:r>
      <w:r w:rsidR="00724A47">
        <w:rPr>
          <w:rFonts w:ascii="Times New Roman" w:hAnsi="Times New Roman"/>
          <w:sz w:val="24"/>
          <w:szCs w:val="24"/>
          <w:lang w:val="sr-Cyrl-CS"/>
        </w:rPr>
        <w:t xml:space="preserve">открива и извршилац, с обзиром да се увек ради о субјекту привредног односа (с одређеним овлашћењима и дужностима) у оквиру кога је деликт извршен, а тај субјекат је увек познат. </w:t>
      </w:r>
      <w:r>
        <w:rPr>
          <w:rFonts w:ascii="Times New Roman" w:hAnsi="Times New Roman"/>
          <w:sz w:val="24"/>
          <w:szCs w:val="24"/>
          <w:lang w:val="sr-Cyrl-CS"/>
        </w:rPr>
        <w:t>Даља активност се</w:t>
      </w:r>
      <w:r w:rsidR="00724A47">
        <w:rPr>
          <w:rFonts w:ascii="Times New Roman" w:hAnsi="Times New Roman"/>
          <w:sz w:val="24"/>
          <w:szCs w:val="24"/>
          <w:lang w:val="sr-Cyrl-CS"/>
        </w:rPr>
        <w:t xml:space="preserve"> у</w:t>
      </w:r>
      <w:r>
        <w:rPr>
          <w:rFonts w:ascii="Times New Roman" w:hAnsi="Times New Roman"/>
          <w:sz w:val="24"/>
          <w:szCs w:val="24"/>
          <w:lang w:val="sr-Cyrl-CS"/>
        </w:rPr>
        <w:t>смерава на обезбеђење доказа и д</w:t>
      </w:r>
      <w:r w:rsidR="00724A47">
        <w:rPr>
          <w:rFonts w:ascii="Times New Roman" w:hAnsi="Times New Roman"/>
          <w:sz w:val="24"/>
          <w:szCs w:val="24"/>
          <w:lang w:val="sr-Cyrl-CS"/>
        </w:rPr>
        <w:t>оказивање кривичног дела.</w:t>
      </w:r>
      <w:r w:rsidR="00724A47">
        <w:rPr>
          <w:rStyle w:val="FootnoteReference"/>
          <w:rFonts w:ascii="Times New Roman" w:hAnsi="Times New Roman"/>
          <w:sz w:val="24"/>
          <w:szCs w:val="24"/>
          <w:lang w:val="sr-Cyrl-CS"/>
        </w:rPr>
        <w:footnoteReference w:id="628"/>
      </w:r>
    </w:p>
    <w:p w:rsidR="000B0E01" w:rsidRDefault="000B0E01" w:rsidP="000B0E01">
      <w:pPr>
        <w:pStyle w:val="ListParagraph"/>
        <w:ind w:left="0"/>
        <w:jc w:val="both"/>
        <w:rPr>
          <w:rFonts w:ascii="Times New Roman" w:hAnsi="Times New Roman"/>
          <w:sz w:val="24"/>
          <w:szCs w:val="24"/>
          <w:lang w:val="sr-Cyrl-CS"/>
        </w:rPr>
      </w:pPr>
    </w:p>
    <w:p w:rsidR="00CC794D" w:rsidRPr="00AF6B6D" w:rsidRDefault="000B0E01" w:rsidP="00AF6B6D">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 xml:space="preserve">Привредни криминал и корупцију </w:t>
      </w:r>
      <w:r w:rsidR="001C45B2">
        <w:rPr>
          <w:rFonts w:ascii="Times New Roman" w:hAnsi="Times New Roman"/>
          <w:sz w:val="24"/>
          <w:szCs w:val="24"/>
          <w:lang w:val="sr-Cyrl-CS"/>
        </w:rPr>
        <w:t xml:space="preserve">одликује и велика повезаност између </w:t>
      </w:r>
      <w:r>
        <w:rPr>
          <w:rFonts w:ascii="Times New Roman" w:hAnsi="Times New Roman"/>
          <w:sz w:val="24"/>
          <w:szCs w:val="24"/>
          <w:lang w:val="sr-Cyrl-CS"/>
        </w:rPr>
        <w:t>њихових</w:t>
      </w:r>
      <w:r w:rsidR="001C45B2">
        <w:rPr>
          <w:rFonts w:ascii="Times New Roman" w:hAnsi="Times New Roman"/>
          <w:sz w:val="24"/>
          <w:szCs w:val="24"/>
          <w:lang w:val="sr-Cyrl-CS"/>
        </w:rPr>
        <w:t xml:space="preserve"> актера и дуго и вешто планирана и осмишљена активност у циљу остваривања лукративних циљева и што бржег богаћења, а новчане суме које се могу стећи мере се у милионима. Корупцију као најопаснији вид привредносг криминалитета такође карактерише прикривеност, висок степен прилагодљивости  и променљивости облика. Ради се о распрострањеној друштвено опасној појави, која се тешко открива, а чије учиниоце карактерише лукавост и тежња ка лукративним циљевима. Овде не постоји жртва у класичном смислу, као код велике већине других кривичних дела и учесници ове изузетно прикривене делатности немају ни један подстицај да је учине јавном.</w:t>
      </w:r>
      <w:r w:rsidR="00CC794D">
        <w:rPr>
          <w:rFonts w:ascii="Times New Roman" w:hAnsi="Times New Roman"/>
          <w:sz w:val="24"/>
          <w:szCs w:val="24"/>
          <w:lang w:val="sr-Cyrl-CS"/>
        </w:rPr>
        <w:t xml:space="preserve"> При том, привредни криминал и корупцију карактерише и то што се тиме баве лица различитих профила и образовања, а не само они који имају друштвени статус и политички утицај. Оваквом врстом деликата баве се како магационери и благајници, тако и они који су високо рангирани на друштвеној лествици. </w:t>
      </w:r>
    </w:p>
    <w:p w:rsidR="00BD143A" w:rsidRDefault="00BD143A" w:rsidP="000B0E01">
      <w:pPr>
        <w:pStyle w:val="ListParagraph"/>
        <w:ind w:left="0" w:firstLine="630"/>
        <w:jc w:val="both"/>
        <w:rPr>
          <w:rFonts w:ascii="Times New Roman" w:hAnsi="Times New Roman"/>
          <w:sz w:val="24"/>
          <w:szCs w:val="24"/>
          <w:lang w:val="sr-Cyrl-CS"/>
        </w:rPr>
      </w:pPr>
    </w:p>
    <w:p w:rsidR="00BD143A" w:rsidRPr="00BD143A" w:rsidRDefault="004456C1" w:rsidP="00BD143A">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 xml:space="preserve">Опасности ових феномена који се тешко откривају доприноси и </w:t>
      </w:r>
      <w:r w:rsidR="00BD143A" w:rsidRPr="00057B05">
        <w:rPr>
          <w:rFonts w:ascii="Times New Roman" w:hAnsi="Times New Roman"/>
          <w:sz w:val="24"/>
          <w:szCs w:val="24"/>
          <w:lang w:val="sr-Cyrl-CS"/>
        </w:rPr>
        <w:t>професионализација извршилаца</w:t>
      </w:r>
      <w:r>
        <w:rPr>
          <w:rFonts w:ascii="Times New Roman" w:hAnsi="Times New Roman"/>
          <w:sz w:val="24"/>
          <w:szCs w:val="24"/>
          <w:lang w:val="sr-Cyrl-CS"/>
        </w:rPr>
        <w:t>.</w:t>
      </w:r>
      <w:r w:rsidR="00BD143A">
        <w:rPr>
          <w:rFonts w:ascii="Times New Roman" w:hAnsi="Times New Roman"/>
          <w:sz w:val="24"/>
          <w:szCs w:val="24"/>
          <w:lang w:val="sr-Cyrl-CS"/>
        </w:rPr>
        <w:t xml:space="preserve"> Наиме, </w:t>
      </w:r>
      <w:r>
        <w:rPr>
          <w:rFonts w:ascii="Times New Roman" w:hAnsi="Times New Roman"/>
          <w:sz w:val="24"/>
          <w:szCs w:val="24"/>
          <w:lang w:val="sr-Cyrl-CS"/>
        </w:rPr>
        <w:t>извршиоци</w:t>
      </w:r>
      <w:r w:rsidR="00BD143A" w:rsidRPr="00057B05">
        <w:rPr>
          <w:rFonts w:ascii="Times New Roman" w:hAnsi="Times New Roman"/>
          <w:sz w:val="24"/>
          <w:szCs w:val="24"/>
          <w:lang w:val="sr-Cyrl-CS"/>
        </w:rPr>
        <w:t xml:space="preserve"> </w:t>
      </w:r>
      <w:r w:rsidR="00BD143A">
        <w:rPr>
          <w:rFonts w:ascii="Times New Roman" w:hAnsi="Times New Roman"/>
          <w:sz w:val="24"/>
          <w:szCs w:val="24"/>
          <w:lang w:val="sr-Cyrl-CS"/>
        </w:rPr>
        <w:t xml:space="preserve">кривичних дела из области привредног криминала </w:t>
      </w:r>
      <w:r>
        <w:rPr>
          <w:rFonts w:ascii="Times New Roman" w:hAnsi="Times New Roman"/>
          <w:sz w:val="24"/>
          <w:szCs w:val="24"/>
          <w:lang w:val="sr-Cyrl-CS"/>
        </w:rPr>
        <w:t>су добро упознати са прописима</w:t>
      </w:r>
      <w:r w:rsidR="00BD143A">
        <w:rPr>
          <w:rFonts w:ascii="Times New Roman" w:hAnsi="Times New Roman"/>
          <w:sz w:val="24"/>
          <w:szCs w:val="24"/>
          <w:lang w:val="sr-Cyrl-CS"/>
        </w:rPr>
        <w:t xml:space="preserve"> који</w:t>
      </w:r>
      <w:r>
        <w:rPr>
          <w:rFonts w:ascii="Times New Roman" w:hAnsi="Times New Roman"/>
          <w:sz w:val="24"/>
          <w:szCs w:val="24"/>
          <w:lang w:val="sr-Cyrl-CS"/>
        </w:rPr>
        <w:t>ма се регулише</w:t>
      </w:r>
      <w:r w:rsidR="00BD143A">
        <w:rPr>
          <w:rFonts w:ascii="Times New Roman" w:hAnsi="Times New Roman"/>
          <w:sz w:val="24"/>
          <w:szCs w:val="24"/>
          <w:lang w:val="sr-Cyrl-CS"/>
        </w:rPr>
        <w:t xml:space="preserve"> област привредног пословања па </w:t>
      </w:r>
      <w:r>
        <w:rPr>
          <w:rFonts w:ascii="Times New Roman" w:hAnsi="Times New Roman"/>
          <w:sz w:val="24"/>
          <w:szCs w:val="24"/>
          <w:lang w:val="sr-Cyrl-CS"/>
        </w:rPr>
        <w:t xml:space="preserve">користећи одређене празнине, недоречености и честе измене </w:t>
      </w:r>
      <w:r>
        <w:rPr>
          <w:rFonts w:ascii="Times New Roman" w:hAnsi="Times New Roman"/>
          <w:sz w:val="24"/>
          <w:szCs w:val="24"/>
          <w:lang w:val="sr-Cyrl-CS"/>
        </w:rPr>
        <w:lastRenderedPageBreak/>
        <w:t xml:space="preserve">и допуне законских прописа </w:t>
      </w:r>
      <w:r w:rsidR="00BD143A">
        <w:rPr>
          <w:rFonts w:ascii="Times New Roman" w:hAnsi="Times New Roman"/>
          <w:sz w:val="24"/>
          <w:szCs w:val="24"/>
          <w:lang w:val="sr-Cyrl-CS"/>
        </w:rPr>
        <w:t>своју криминалну делатност усмеравају до маргина дозвољеног понаш</w:t>
      </w:r>
      <w:r>
        <w:rPr>
          <w:rFonts w:ascii="Times New Roman" w:hAnsi="Times New Roman"/>
          <w:sz w:val="24"/>
          <w:szCs w:val="24"/>
          <w:lang w:val="sr-Cyrl-CS"/>
        </w:rPr>
        <w:t>ања</w:t>
      </w:r>
      <w:r w:rsidR="00BD143A">
        <w:rPr>
          <w:rFonts w:ascii="Times New Roman" w:hAnsi="Times New Roman"/>
          <w:sz w:val="24"/>
          <w:szCs w:val="24"/>
          <w:lang w:val="sr-Cyrl-CS"/>
        </w:rPr>
        <w:t>.</w:t>
      </w:r>
      <w:r w:rsidR="00BD143A">
        <w:rPr>
          <w:rStyle w:val="FootnoteReference"/>
          <w:rFonts w:ascii="Times New Roman" w:hAnsi="Times New Roman"/>
          <w:sz w:val="24"/>
          <w:szCs w:val="24"/>
          <w:lang w:val="sr-Cyrl-CS"/>
        </w:rPr>
        <w:footnoteReference w:id="629"/>
      </w:r>
      <w:r w:rsidR="00BD143A">
        <w:rPr>
          <w:rFonts w:ascii="Times New Roman" w:hAnsi="Times New Roman"/>
          <w:sz w:val="24"/>
          <w:szCs w:val="24"/>
          <w:lang w:val="sr-Cyrl-CS"/>
        </w:rPr>
        <w:t xml:space="preserve"> </w:t>
      </w:r>
    </w:p>
    <w:p w:rsidR="001C45B2" w:rsidRDefault="001C45B2" w:rsidP="001C45B2">
      <w:pPr>
        <w:pStyle w:val="ListParagraph"/>
        <w:ind w:left="0" w:firstLine="630"/>
        <w:jc w:val="both"/>
        <w:rPr>
          <w:rFonts w:ascii="Times New Roman" w:hAnsi="Times New Roman"/>
          <w:sz w:val="24"/>
          <w:szCs w:val="24"/>
          <w:lang w:val="sr-Cyrl-CS"/>
        </w:rPr>
      </w:pPr>
    </w:p>
    <w:p w:rsidR="00475633" w:rsidRDefault="004E5455" w:rsidP="000C3E69">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Проблем је још сложенији у с</w:t>
      </w:r>
      <w:r w:rsidR="001C45B2">
        <w:rPr>
          <w:rFonts w:ascii="Times New Roman" w:hAnsi="Times New Roman"/>
          <w:sz w:val="24"/>
          <w:szCs w:val="24"/>
          <w:lang w:val="sr-Cyrl-CS"/>
        </w:rPr>
        <w:t>авремено</w:t>
      </w:r>
      <w:r>
        <w:rPr>
          <w:rFonts w:ascii="Times New Roman" w:hAnsi="Times New Roman"/>
          <w:sz w:val="24"/>
          <w:szCs w:val="24"/>
          <w:lang w:val="sr-Cyrl-CS"/>
        </w:rPr>
        <w:t xml:space="preserve">м добу које </w:t>
      </w:r>
      <w:r w:rsidR="001C45B2">
        <w:rPr>
          <w:rFonts w:ascii="Times New Roman" w:hAnsi="Times New Roman"/>
          <w:sz w:val="24"/>
          <w:szCs w:val="24"/>
          <w:lang w:val="sr-Cyrl-CS"/>
        </w:rPr>
        <w:t xml:space="preserve"> је донело специфичне </w:t>
      </w:r>
      <w:r w:rsidR="001C45B2" w:rsidRPr="001C45B2">
        <w:rPr>
          <w:rFonts w:ascii="Times New Roman" w:hAnsi="Times New Roman"/>
          <w:sz w:val="24"/>
          <w:szCs w:val="24"/>
          <w:lang w:val="sr-Cyrl-CS"/>
        </w:rPr>
        <w:t>форме</w:t>
      </w:r>
      <w:r w:rsidR="001C45B2">
        <w:rPr>
          <w:rFonts w:ascii="Times New Roman" w:hAnsi="Times New Roman"/>
          <w:sz w:val="24"/>
          <w:szCs w:val="24"/>
          <w:lang w:val="sr-Cyrl-CS"/>
        </w:rPr>
        <w:t xml:space="preserve"> испољавања ових негативних појава, јер глобализација, мобилност капитала, брза међународна комуникација, употреба електронских средстава, развој мултинационалних компанија, погодују  међународним криминалним организацијама, које се баве профитабилним активностима попут трговине дрогом, оружјем, људима, еколошки опасним отпадом и слично да располажу са великим финансијским средствима, што даље повлачи са собом могућност корумпирања највиших представника економске и политичке моћи. Техничко-технолошки напредак омогућава појаву нових облика привредног криминала попут компјутерског криминала, прања новца, фалсификовања електронског новца и сл. Савремене технологије омогућавају софистицирање националног и транснационалног криминалитета, а делатности криминалних организација постају мање рискантне и високо профитабилне, тако да се супротстављање овим појавама више не може вршити само у националним оквирима и са досадашњим средствима и методама. </w:t>
      </w:r>
    </w:p>
    <w:p w:rsidR="000C3E69" w:rsidRPr="000C3E69" w:rsidRDefault="000C3E69" w:rsidP="000C3E69">
      <w:pPr>
        <w:pStyle w:val="ListParagraph"/>
        <w:ind w:left="0" w:firstLine="630"/>
        <w:jc w:val="both"/>
        <w:rPr>
          <w:rFonts w:ascii="Times New Roman" w:hAnsi="Times New Roman"/>
          <w:sz w:val="24"/>
          <w:szCs w:val="24"/>
          <w:lang w:val="sr-Cyrl-CS"/>
        </w:rPr>
      </w:pPr>
    </w:p>
    <w:p w:rsidR="008C5F48" w:rsidRDefault="000C3E69" w:rsidP="001C45B2">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 xml:space="preserve">Привредни криминал се често у пракси тешко разликује од легалног бизниса. Могућност да се оствари велика добит привлачи не само криминалце него и оне који се баве легалним бизнисом. </w:t>
      </w:r>
      <w:r w:rsidR="008C5F48">
        <w:rPr>
          <w:rFonts w:ascii="Times New Roman" w:hAnsi="Times New Roman"/>
          <w:sz w:val="24"/>
          <w:szCs w:val="24"/>
          <w:lang w:val="sr-Cyrl-CS"/>
        </w:rPr>
        <w:t xml:space="preserve">Извршиоци кривичних дела из области привредног криминалитета </w:t>
      </w:r>
      <w:r w:rsidR="009C2148">
        <w:rPr>
          <w:rFonts w:ascii="Times New Roman" w:hAnsi="Times New Roman"/>
          <w:sz w:val="24"/>
          <w:szCs w:val="24"/>
          <w:lang w:val="sr-Cyrl-CS"/>
        </w:rPr>
        <w:t>у тежњи да своју криминалну активност прикажу</w:t>
      </w:r>
      <w:r w:rsidR="008C5F48">
        <w:rPr>
          <w:rFonts w:ascii="Times New Roman" w:hAnsi="Times New Roman"/>
          <w:sz w:val="24"/>
          <w:szCs w:val="24"/>
          <w:lang w:val="sr-Cyrl-CS"/>
        </w:rPr>
        <w:t xml:space="preserve"> легалном сачињавају лажну документацију, дуплу документациј</w:t>
      </w:r>
      <w:r w:rsidR="006D591D">
        <w:rPr>
          <w:rFonts w:ascii="Times New Roman" w:hAnsi="Times New Roman"/>
          <w:sz w:val="24"/>
          <w:szCs w:val="24"/>
          <w:lang w:val="sr-Cyrl-CS"/>
        </w:rPr>
        <w:t xml:space="preserve"> и пословне књиге, или фалсификују цела документа или поједине податке у оквиру постојећих, односно сачињавају лажне пословне уговоре, оснивају фа</w:t>
      </w:r>
      <w:r w:rsidR="009C2148">
        <w:rPr>
          <w:rFonts w:ascii="Times New Roman" w:hAnsi="Times New Roman"/>
          <w:sz w:val="24"/>
          <w:szCs w:val="24"/>
          <w:lang w:val="sr-Cyrl-CS"/>
        </w:rPr>
        <w:t>нтом фирме</w:t>
      </w:r>
      <w:r w:rsidR="006D591D">
        <w:rPr>
          <w:rFonts w:ascii="Times New Roman" w:hAnsi="Times New Roman"/>
          <w:sz w:val="24"/>
          <w:szCs w:val="24"/>
          <w:lang w:val="sr-Cyrl-CS"/>
        </w:rPr>
        <w:t xml:space="preserve">. </w:t>
      </w:r>
      <w:r w:rsidR="009C2148">
        <w:rPr>
          <w:rFonts w:ascii="Times New Roman" w:hAnsi="Times New Roman"/>
          <w:sz w:val="24"/>
          <w:szCs w:val="24"/>
          <w:lang w:val="sr-Cyrl-CS"/>
        </w:rPr>
        <w:t>Д</w:t>
      </w:r>
      <w:r w:rsidR="006D591D">
        <w:rPr>
          <w:rFonts w:ascii="Times New Roman" w:hAnsi="Times New Roman"/>
          <w:sz w:val="24"/>
          <w:szCs w:val="24"/>
          <w:lang w:val="sr-Cyrl-CS"/>
        </w:rPr>
        <w:t xml:space="preserve">оказ </w:t>
      </w:r>
      <w:r w:rsidR="009C2148">
        <w:rPr>
          <w:rFonts w:ascii="Times New Roman" w:hAnsi="Times New Roman"/>
          <w:sz w:val="24"/>
          <w:szCs w:val="24"/>
          <w:lang w:val="sr-Cyrl-CS"/>
        </w:rPr>
        <w:t>да је извршено кривично дело</w:t>
      </w:r>
      <w:r w:rsidR="006D591D">
        <w:rPr>
          <w:rFonts w:ascii="Times New Roman" w:hAnsi="Times New Roman"/>
          <w:sz w:val="24"/>
          <w:szCs w:val="24"/>
          <w:lang w:val="sr-Cyrl-CS"/>
        </w:rPr>
        <w:t xml:space="preserve"> или </w:t>
      </w:r>
      <w:r w:rsidR="009C2148">
        <w:rPr>
          <w:rFonts w:ascii="Times New Roman" w:hAnsi="Times New Roman"/>
          <w:sz w:val="24"/>
          <w:szCs w:val="24"/>
          <w:lang w:val="sr-Cyrl-CS"/>
        </w:rPr>
        <w:t>прекршај</w:t>
      </w:r>
      <w:r w:rsidR="006D591D">
        <w:rPr>
          <w:rFonts w:ascii="Times New Roman" w:hAnsi="Times New Roman"/>
          <w:sz w:val="24"/>
          <w:szCs w:val="24"/>
          <w:lang w:val="sr-Cyrl-CS"/>
        </w:rPr>
        <w:t xml:space="preserve"> из области привредног пословања јесте </w:t>
      </w:r>
      <w:r w:rsidR="009C2148">
        <w:rPr>
          <w:rFonts w:ascii="Times New Roman" w:hAnsi="Times New Roman"/>
          <w:sz w:val="24"/>
          <w:szCs w:val="24"/>
          <w:lang w:val="sr-Cyrl-CS"/>
        </w:rPr>
        <w:t xml:space="preserve">роба чији промет није покривен документацијом, </w:t>
      </w:r>
      <w:r w:rsidR="006D591D">
        <w:rPr>
          <w:rFonts w:ascii="Times New Roman" w:hAnsi="Times New Roman"/>
          <w:sz w:val="24"/>
          <w:szCs w:val="24"/>
          <w:lang w:val="sr-Cyrl-CS"/>
        </w:rPr>
        <w:t>непостојање докум</w:t>
      </w:r>
      <w:r w:rsidR="009C2148">
        <w:rPr>
          <w:rFonts w:ascii="Times New Roman" w:hAnsi="Times New Roman"/>
          <w:sz w:val="24"/>
          <w:szCs w:val="24"/>
          <w:lang w:val="sr-Cyrl-CS"/>
        </w:rPr>
        <w:t>ентације, неуредност, нетачност или</w:t>
      </w:r>
      <w:r w:rsidR="006D591D">
        <w:rPr>
          <w:rFonts w:ascii="Times New Roman" w:hAnsi="Times New Roman"/>
          <w:sz w:val="24"/>
          <w:szCs w:val="24"/>
          <w:lang w:val="sr-Cyrl-CS"/>
        </w:rPr>
        <w:t xml:space="preserve"> њен</w:t>
      </w:r>
      <w:r w:rsidR="009C2148">
        <w:rPr>
          <w:rFonts w:ascii="Times New Roman" w:hAnsi="Times New Roman"/>
          <w:sz w:val="24"/>
          <w:szCs w:val="24"/>
          <w:lang w:val="sr-Cyrl-CS"/>
        </w:rPr>
        <w:t>о фалсификовање</w:t>
      </w:r>
      <w:r w:rsidR="006D591D">
        <w:rPr>
          <w:rFonts w:ascii="Times New Roman" w:hAnsi="Times New Roman"/>
          <w:sz w:val="24"/>
          <w:szCs w:val="24"/>
          <w:lang w:val="sr-Cyrl-CS"/>
        </w:rPr>
        <w:t>.</w:t>
      </w:r>
      <w:r w:rsidR="006D591D">
        <w:rPr>
          <w:rStyle w:val="FootnoteReference"/>
          <w:rFonts w:ascii="Times New Roman" w:hAnsi="Times New Roman"/>
          <w:sz w:val="24"/>
          <w:szCs w:val="24"/>
          <w:lang w:val="sr-Cyrl-CS"/>
        </w:rPr>
        <w:footnoteReference w:id="630"/>
      </w:r>
    </w:p>
    <w:p w:rsidR="001C45B2" w:rsidRDefault="001C45B2" w:rsidP="001C45B2">
      <w:pPr>
        <w:pStyle w:val="ListParagraph"/>
        <w:ind w:left="0" w:firstLine="630"/>
        <w:jc w:val="both"/>
        <w:rPr>
          <w:rFonts w:ascii="Times New Roman" w:hAnsi="Times New Roman"/>
          <w:sz w:val="24"/>
          <w:szCs w:val="24"/>
          <w:lang w:val="sr-Cyrl-CS"/>
        </w:rPr>
      </w:pPr>
    </w:p>
    <w:p w:rsidR="001C45B2" w:rsidRDefault="00440973" w:rsidP="001C45B2">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Велике размере и н</w:t>
      </w:r>
      <w:r w:rsidR="001C45B2">
        <w:rPr>
          <w:rFonts w:ascii="Times New Roman" w:hAnsi="Times New Roman"/>
          <w:sz w:val="24"/>
          <w:szCs w:val="24"/>
          <w:lang w:val="sr-Cyrl-CS"/>
        </w:rPr>
        <w:t xml:space="preserve">ови облици криминала, корупције, прања новца, </w:t>
      </w:r>
      <w:r>
        <w:rPr>
          <w:rFonts w:ascii="Times New Roman" w:hAnsi="Times New Roman"/>
          <w:sz w:val="24"/>
          <w:szCs w:val="24"/>
          <w:lang w:val="sr-Cyrl-CS"/>
        </w:rPr>
        <w:t>у</w:t>
      </w:r>
      <w:r w:rsidR="001C45B2">
        <w:rPr>
          <w:rFonts w:ascii="Times New Roman" w:hAnsi="Times New Roman"/>
          <w:sz w:val="24"/>
          <w:szCs w:val="24"/>
          <w:lang w:val="sr-Cyrl-CS"/>
        </w:rPr>
        <w:t xml:space="preserve"> савремено</w:t>
      </w:r>
      <w:r>
        <w:rPr>
          <w:rFonts w:ascii="Times New Roman" w:hAnsi="Times New Roman"/>
          <w:sz w:val="24"/>
          <w:szCs w:val="24"/>
          <w:lang w:val="sr-Cyrl-CS"/>
        </w:rPr>
        <w:t>м друштву</w:t>
      </w:r>
      <w:r w:rsidR="001C45B2">
        <w:rPr>
          <w:rFonts w:ascii="Times New Roman" w:hAnsi="Times New Roman"/>
          <w:sz w:val="24"/>
          <w:szCs w:val="24"/>
          <w:lang w:val="sr-Cyrl-CS"/>
        </w:rPr>
        <w:t>, намећу потребу шире примене мера не само у односу на физичка, него и у односу на правна лица, као што је увођење кривичне одговорности за правна ли</w:t>
      </w:r>
      <w:r>
        <w:rPr>
          <w:rFonts w:ascii="Times New Roman" w:hAnsi="Times New Roman"/>
          <w:sz w:val="24"/>
          <w:szCs w:val="24"/>
          <w:lang w:val="sr-Cyrl-CS"/>
        </w:rPr>
        <w:t>ца у савременом кривичном праву. С</w:t>
      </w:r>
      <w:r w:rsidR="001C45B2">
        <w:rPr>
          <w:rFonts w:ascii="Times New Roman" w:hAnsi="Times New Roman"/>
          <w:sz w:val="24"/>
          <w:szCs w:val="24"/>
          <w:lang w:val="sr-Cyrl-CS"/>
        </w:rPr>
        <w:t xml:space="preserve">ве </w:t>
      </w:r>
      <w:r>
        <w:rPr>
          <w:rFonts w:ascii="Times New Roman" w:hAnsi="Times New Roman"/>
          <w:sz w:val="24"/>
          <w:szCs w:val="24"/>
          <w:lang w:val="sr-Cyrl-CS"/>
        </w:rPr>
        <w:t xml:space="preserve">је </w:t>
      </w:r>
      <w:r w:rsidR="001C45B2">
        <w:rPr>
          <w:rFonts w:ascii="Times New Roman" w:hAnsi="Times New Roman"/>
          <w:sz w:val="24"/>
          <w:szCs w:val="24"/>
          <w:lang w:val="sr-Cyrl-CS"/>
        </w:rPr>
        <w:t xml:space="preserve">већи број кривичних закона савремених земаља који предвиђају кривичну одговорност за правна лица. </w:t>
      </w:r>
      <w:r>
        <w:rPr>
          <w:rFonts w:ascii="Times New Roman" w:hAnsi="Times New Roman"/>
          <w:sz w:val="24"/>
          <w:szCs w:val="24"/>
          <w:lang w:val="sr-Cyrl-CS"/>
        </w:rPr>
        <w:t>Такав је</w:t>
      </w:r>
      <w:r w:rsidR="001C45B2">
        <w:rPr>
          <w:rFonts w:ascii="Times New Roman" w:hAnsi="Times New Roman"/>
          <w:sz w:val="24"/>
          <w:szCs w:val="24"/>
          <w:lang w:val="sr-Cyrl-CS"/>
        </w:rPr>
        <w:t xml:space="preserve"> случај у Кривичним законицима Француске, Холанције, Белгије, Данске, Швајцарске, Шведске, Финске и Шпаније, као и у кривичном законодавству држава на простору бивше Југославије.</w:t>
      </w:r>
      <w:r w:rsidR="001C45B2">
        <w:rPr>
          <w:rStyle w:val="FootnoteReference"/>
          <w:rFonts w:ascii="Times New Roman" w:hAnsi="Times New Roman"/>
          <w:sz w:val="24"/>
          <w:szCs w:val="24"/>
          <w:lang w:val="sr-Cyrl-CS"/>
        </w:rPr>
        <w:footnoteReference w:id="631"/>
      </w:r>
    </w:p>
    <w:p w:rsidR="007F11FE" w:rsidRDefault="007F11FE" w:rsidP="001C45B2">
      <w:pPr>
        <w:pStyle w:val="ListParagraph"/>
        <w:ind w:left="0" w:firstLine="630"/>
        <w:jc w:val="both"/>
        <w:rPr>
          <w:rFonts w:ascii="Times New Roman" w:hAnsi="Times New Roman"/>
          <w:sz w:val="24"/>
          <w:szCs w:val="24"/>
          <w:lang w:val="sr-Cyrl-CS"/>
        </w:rPr>
      </w:pPr>
    </w:p>
    <w:p w:rsidR="007F11FE" w:rsidRDefault="007C0830" w:rsidP="001C45B2">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Појава нових облика и велики</w:t>
      </w:r>
      <w:r w:rsidR="007F11FE">
        <w:rPr>
          <w:rFonts w:ascii="Times New Roman" w:hAnsi="Times New Roman"/>
          <w:sz w:val="24"/>
          <w:szCs w:val="24"/>
          <w:lang w:val="sr-Cyrl-CS"/>
        </w:rPr>
        <w:t xml:space="preserve"> </w:t>
      </w:r>
      <w:r>
        <w:rPr>
          <w:rFonts w:ascii="Times New Roman" w:hAnsi="Times New Roman"/>
          <w:sz w:val="24"/>
          <w:szCs w:val="24"/>
          <w:lang w:val="sr-Cyrl-CS"/>
        </w:rPr>
        <w:t>обим</w:t>
      </w:r>
      <w:r w:rsidR="007F11FE">
        <w:rPr>
          <w:rFonts w:ascii="Times New Roman" w:hAnsi="Times New Roman"/>
          <w:sz w:val="24"/>
          <w:szCs w:val="24"/>
          <w:lang w:val="sr-Cyrl-CS"/>
        </w:rPr>
        <w:t xml:space="preserve"> ових негативних појава намећу и потре</w:t>
      </w:r>
      <w:r>
        <w:rPr>
          <w:rFonts w:ascii="Times New Roman" w:hAnsi="Times New Roman"/>
          <w:sz w:val="24"/>
          <w:szCs w:val="24"/>
          <w:lang w:val="sr-Cyrl-CS"/>
        </w:rPr>
        <w:t>бу хармонизације прописа, чију суштину</w:t>
      </w:r>
      <w:r w:rsidR="007F11FE">
        <w:rPr>
          <w:rFonts w:ascii="Times New Roman" w:hAnsi="Times New Roman"/>
          <w:sz w:val="24"/>
          <w:szCs w:val="24"/>
          <w:lang w:val="sr-Cyrl-CS"/>
        </w:rPr>
        <w:t xml:space="preserve"> у оквиру ЕУ </w:t>
      </w:r>
      <w:r>
        <w:rPr>
          <w:rFonts w:ascii="Times New Roman" w:hAnsi="Times New Roman"/>
          <w:sz w:val="24"/>
          <w:szCs w:val="24"/>
          <w:lang w:val="sr-Cyrl-CS"/>
        </w:rPr>
        <w:t>представља</w:t>
      </w:r>
      <w:r w:rsidR="007F11FE">
        <w:rPr>
          <w:rFonts w:ascii="Times New Roman" w:hAnsi="Times New Roman"/>
          <w:sz w:val="24"/>
          <w:szCs w:val="24"/>
          <w:lang w:val="sr-Cyrl-CS"/>
        </w:rPr>
        <w:t xml:space="preserve"> развијање слобода на </w:t>
      </w:r>
      <w:r w:rsidR="007F11FE">
        <w:rPr>
          <w:rFonts w:ascii="Times New Roman" w:hAnsi="Times New Roman"/>
          <w:sz w:val="24"/>
          <w:szCs w:val="24"/>
          <w:lang w:val="sr-Cyrl-CS"/>
        </w:rPr>
        <w:lastRenderedPageBreak/>
        <w:t>ко</w:t>
      </w:r>
      <w:r>
        <w:rPr>
          <w:rFonts w:ascii="Times New Roman" w:hAnsi="Times New Roman"/>
          <w:sz w:val="24"/>
          <w:szCs w:val="24"/>
          <w:lang w:val="sr-Cyrl-CS"/>
        </w:rPr>
        <w:t>јима заједница почива, слободно кретања лица, слободни промет робе, слободно</w:t>
      </w:r>
      <w:r w:rsidR="007F11FE">
        <w:rPr>
          <w:rFonts w:ascii="Times New Roman" w:hAnsi="Times New Roman"/>
          <w:sz w:val="24"/>
          <w:szCs w:val="24"/>
          <w:lang w:val="sr-Cyrl-CS"/>
        </w:rPr>
        <w:t xml:space="preserve"> настањива</w:t>
      </w:r>
      <w:r>
        <w:rPr>
          <w:rFonts w:ascii="Times New Roman" w:hAnsi="Times New Roman"/>
          <w:sz w:val="24"/>
          <w:szCs w:val="24"/>
          <w:lang w:val="sr-Cyrl-CS"/>
        </w:rPr>
        <w:t>ње и оснивање предузећа, слобода вршења услуга и слобода</w:t>
      </w:r>
      <w:r w:rsidR="007F11FE">
        <w:rPr>
          <w:rFonts w:ascii="Times New Roman" w:hAnsi="Times New Roman"/>
          <w:sz w:val="24"/>
          <w:szCs w:val="24"/>
          <w:lang w:val="sr-Cyrl-CS"/>
        </w:rPr>
        <w:t xml:space="preserve"> кретања капитала.</w:t>
      </w:r>
      <w:r w:rsidR="007F11FE">
        <w:rPr>
          <w:rStyle w:val="FootnoteReference"/>
          <w:rFonts w:ascii="Times New Roman" w:hAnsi="Times New Roman"/>
          <w:sz w:val="24"/>
          <w:szCs w:val="24"/>
          <w:lang w:val="sr-Cyrl-CS"/>
        </w:rPr>
        <w:footnoteReference w:id="632"/>
      </w:r>
    </w:p>
    <w:p w:rsidR="001C45B2" w:rsidRDefault="001C45B2" w:rsidP="001C45B2">
      <w:pPr>
        <w:pStyle w:val="ListParagraph"/>
        <w:ind w:left="0" w:firstLine="630"/>
        <w:jc w:val="both"/>
        <w:rPr>
          <w:rFonts w:ascii="Times New Roman" w:hAnsi="Times New Roman"/>
          <w:sz w:val="24"/>
          <w:szCs w:val="24"/>
          <w:lang w:val="sr-Cyrl-CS"/>
        </w:rPr>
      </w:pPr>
    </w:p>
    <w:p w:rsidR="001C45B2" w:rsidRDefault="001C45B2" w:rsidP="004E5455">
      <w:pPr>
        <w:pStyle w:val="ListParagraph"/>
        <w:ind w:left="0" w:firstLine="630"/>
        <w:jc w:val="both"/>
        <w:rPr>
          <w:rFonts w:ascii="Times New Roman" w:hAnsi="Times New Roman"/>
          <w:color w:val="000000"/>
          <w:sz w:val="24"/>
          <w:szCs w:val="24"/>
          <w:shd w:val="clear" w:color="auto" w:fill="FFFFFF"/>
          <w:lang w:val="sr-Cyrl-CS"/>
        </w:rPr>
      </w:pPr>
      <w:r w:rsidRPr="00295E51">
        <w:rPr>
          <w:rFonts w:ascii="Times New Roman" w:hAnsi="Times New Roman"/>
          <w:color w:val="000000"/>
          <w:sz w:val="24"/>
          <w:szCs w:val="24"/>
          <w:shd w:val="clear" w:color="auto" w:fill="FFFFFF"/>
        </w:rPr>
        <w:t>У настојању Србије да стекне статус кандидата за чланство у ЕУ и да се прикључи ЕУ, интензивно се хармонизује њен правни систем са</w:t>
      </w:r>
      <w:r w:rsidRPr="00295E51">
        <w:rPr>
          <w:rStyle w:val="apple-converted-space"/>
          <w:rFonts w:ascii="Times New Roman" w:hAnsi="Times New Roman"/>
          <w:color w:val="000000"/>
          <w:sz w:val="24"/>
          <w:szCs w:val="24"/>
          <w:shd w:val="clear" w:color="auto" w:fill="FFFFFF"/>
        </w:rPr>
        <w:t> </w:t>
      </w:r>
      <w:r w:rsidRPr="00295E51">
        <w:rPr>
          <w:rFonts w:ascii="Times New Roman" w:hAnsi="Times New Roman"/>
          <w:iCs/>
          <w:color w:val="000000"/>
          <w:sz w:val="24"/>
          <w:szCs w:val="24"/>
          <w:shd w:val="clear" w:color="auto" w:fill="FFFFFF"/>
        </w:rPr>
        <w:t>Acquis Communautaire</w:t>
      </w:r>
      <w:r>
        <w:rPr>
          <w:rFonts w:ascii="Times New Roman" w:hAnsi="Times New Roman"/>
          <w:iCs/>
          <w:color w:val="000000"/>
          <w:sz w:val="24"/>
          <w:szCs w:val="24"/>
          <w:shd w:val="clear" w:color="auto" w:fill="FFFFFF"/>
          <w:lang w:val="sr-Cyrl-CS"/>
        </w:rPr>
        <w:t xml:space="preserve"> </w:t>
      </w:r>
      <w:r w:rsidRPr="00295E51">
        <w:rPr>
          <w:rFonts w:ascii="Times New Roman" w:hAnsi="Times New Roman"/>
          <w:color w:val="000000"/>
          <w:sz w:val="24"/>
          <w:szCs w:val="24"/>
          <w:shd w:val="clear" w:color="auto" w:fill="FFFFFF"/>
        </w:rPr>
        <w:t>ЕУ</w:t>
      </w:r>
      <w:r w:rsidRPr="00295E51">
        <w:rPr>
          <w:rFonts w:ascii="Times New Roman" w:hAnsi="Times New Roman"/>
          <w:color w:val="000000"/>
          <w:sz w:val="24"/>
          <w:szCs w:val="24"/>
          <w:shd w:val="clear" w:color="auto" w:fill="FFFFFF"/>
          <w:lang w:val="sr-Cyrl-CS"/>
        </w:rPr>
        <w:t>. Тако је и</w:t>
      </w:r>
      <w:r w:rsidRPr="00295E51">
        <w:rPr>
          <w:rFonts w:ascii="Times New Roman" w:hAnsi="Times New Roman"/>
          <w:color w:val="000000"/>
          <w:sz w:val="24"/>
          <w:szCs w:val="24"/>
          <w:shd w:val="clear" w:color="auto" w:fill="FFFFFF"/>
        </w:rPr>
        <w:t xml:space="preserve"> Србија усвојила концепт одговорности правних лица за кривична дела доношењем</w:t>
      </w:r>
      <w:r w:rsidRPr="00295E51">
        <w:rPr>
          <w:rStyle w:val="apple-converted-space"/>
          <w:rFonts w:ascii="Times New Roman" w:hAnsi="Times New Roman"/>
          <w:color w:val="000000"/>
          <w:sz w:val="24"/>
          <w:szCs w:val="24"/>
          <w:shd w:val="clear" w:color="auto" w:fill="FFFFFF"/>
        </w:rPr>
        <w:t> </w:t>
      </w:r>
      <w:r w:rsidRPr="00295E51">
        <w:rPr>
          <w:rFonts w:ascii="Times New Roman" w:hAnsi="Times New Roman"/>
          <w:bCs/>
          <w:iCs/>
          <w:color w:val="000000"/>
          <w:sz w:val="24"/>
          <w:szCs w:val="24"/>
          <w:shd w:val="clear" w:color="auto" w:fill="FFFFFF"/>
        </w:rPr>
        <w:t>Закона о одговорности правних лица за кривична дела</w:t>
      </w:r>
      <w:r w:rsidRPr="00295E51">
        <w:rPr>
          <w:rStyle w:val="FootnoteReference"/>
          <w:rFonts w:ascii="Times New Roman" w:hAnsi="Times New Roman"/>
          <w:bCs/>
          <w:iCs/>
          <w:color w:val="000000"/>
          <w:sz w:val="24"/>
          <w:szCs w:val="24"/>
          <w:shd w:val="clear" w:color="auto" w:fill="FFFFFF"/>
        </w:rPr>
        <w:footnoteReference w:id="633"/>
      </w:r>
      <w:r w:rsidRPr="00295E51">
        <w:rPr>
          <w:rFonts w:ascii="Times New Roman" w:hAnsi="Times New Roman"/>
          <w:b/>
          <w:bCs/>
          <w:i/>
          <w:iCs/>
          <w:color w:val="000000"/>
          <w:sz w:val="24"/>
          <w:szCs w:val="24"/>
          <w:shd w:val="clear" w:color="auto" w:fill="FFFFFF"/>
        </w:rPr>
        <w:t xml:space="preserve"> </w:t>
      </w:r>
      <w:r w:rsidRPr="00295E51">
        <w:rPr>
          <w:rFonts w:ascii="Times New Roman" w:hAnsi="Times New Roman"/>
          <w:color w:val="000000"/>
          <w:sz w:val="24"/>
          <w:szCs w:val="24"/>
          <w:shd w:val="clear" w:color="auto" w:fill="FFFFFF"/>
        </w:rPr>
        <w:t>који је ступио на снагу 4.11.2008. године</w:t>
      </w:r>
      <w:r w:rsidRPr="00295E51">
        <w:rPr>
          <w:rFonts w:ascii="Times New Roman" w:hAnsi="Times New Roman"/>
          <w:color w:val="000000"/>
          <w:sz w:val="24"/>
          <w:szCs w:val="24"/>
          <w:shd w:val="clear" w:color="auto" w:fill="FFFFFF"/>
          <w:lang w:val="sr-Cyrl-CS"/>
        </w:rPr>
        <w:t>, чиме се</w:t>
      </w:r>
      <w:r w:rsidRPr="00295E51">
        <w:rPr>
          <w:rFonts w:ascii="Times New Roman" w:hAnsi="Times New Roman"/>
          <w:color w:val="000000"/>
          <w:sz w:val="24"/>
          <w:szCs w:val="24"/>
          <w:shd w:val="clear" w:color="auto" w:fill="FFFFFF"/>
        </w:rPr>
        <w:t xml:space="preserve"> придружила већини европских земаља </w:t>
      </w:r>
      <w:r w:rsidRPr="00295E51">
        <w:rPr>
          <w:rFonts w:ascii="Times New Roman" w:hAnsi="Times New Roman"/>
          <w:color w:val="000000"/>
          <w:sz w:val="24"/>
          <w:szCs w:val="24"/>
          <w:shd w:val="clear" w:color="auto" w:fill="FFFFFF"/>
          <w:lang w:val="sr-Cyrl-CS"/>
        </w:rPr>
        <w:t>које су у својим правним системима</w:t>
      </w:r>
      <w:r w:rsidRPr="00295E51">
        <w:rPr>
          <w:rFonts w:ascii="Times New Roman" w:hAnsi="Times New Roman"/>
          <w:color w:val="000000"/>
          <w:sz w:val="24"/>
          <w:szCs w:val="24"/>
          <w:shd w:val="clear" w:color="auto" w:fill="FFFFFF"/>
        </w:rPr>
        <w:t xml:space="preserve"> </w:t>
      </w:r>
      <w:r w:rsidRPr="00295E51">
        <w:rPr>
          <w:rFonts w:ascii="Times New Roman" w:hAnsi="Times New Roman"/>
          <w:color w:val="000000"/>
          <w:sz w:val="24"/>
          <w:szCs w:val="24"/>
          <w:shd w:val="clear" w:color="auto" w:fill="FFFFFF"/>
          <w:lang w:val="sr-Cyrl-CS"/>
        </w:rPr>
        <w:t xml:space="preserve">увеле </w:t>
      </w:r>
      <w:r w:rsidRPr="00295E51">
        <w:rPr>
          <w:rFonts w:ascii="Times New Roman" w:hAnsi="Times New Roman"/>
          <w:color w:val="000000"/>
          <w:sz w:val="24"/>
          <w:szCs w:val="24"/>
          <w:shd w:val="clear" w:color="auto" w:fill="FFFFFF"/>
        </w:rPr>
        <w:t xml:space="preserve"> одговорност правних лица за кривична дела. Доношењем </w:t>
      </w:r>
      <w:r w:rsidRPr="00295E51">
        <w:rPr>
          <w:rFonts w:ascii="Times New Roman" w:hAnsi="Times New Roman"/>
          <w:color w:val="000000"/>
          <w:sz w:val="24"/>
          <w:szCs w:val="24"/>
          <w:shd w:val="clear" w:color="auto" w:fill="FFFFFF"/>
          <w:lang w:val="sr-Cyrl-CS"/>
        </w:rPr>
        <w:t xml:space="preserve">поменутог </w:t>
      </w:r>
      <w:r w:rsidRPr="00295E51">
        <w:rPr>
          <w:rFonts w:ascii="Times New Roman" w:hAnsi="Times New Roman"/>
          <w:color w:val="000000"/>
          <w:sz w:val="24"/>
          <w:szCs w:val="24"/>
          <w:shd w:val="clear" w:color="auto" w:fill="FFFFFF"/>
        </w:rPr>
        <w:t xml:space="preserve">Закона Србија је </w:t>
      </w:r>
      <w:r w:rsidRPr="00295E51">
        <w:rPr>
          <w:rFonts w:ascii="Times New Roman" w:hAnsi="Times New Roman"/>
          <w:color w:val="000000"/>
          <w:sz w:val="24"/>
          <w:szCs w:val="24"/>
          <w:shd w:val="clear" w:color="auto" w:fill="FFFFFF"/>
          <w:lang w:val="sr-Cyrl-CS"/>
        </w:rPr>
        <w:t>изразила</w:t>
      </w:r>
      <w:r w:rsidRPr="00295E51">
        <w:rPr>
          <w:rFonts w:ascii="Times New Roman" w:hAnsi="Times New Roman"/>
          <w:color w:val="000000"/>
          <w:sz w:val="24"/>
          <w:szCs w:val="24"/>
          <w:shd w:val="clear" w:color="auto" w:fill="FFFFFF"/>
        </w:rPr>
        <w:t xml:space="preserve"> своју спремност за хармонизацијом свог законодавства и у области одговорности правних лица</w:t>
      </w:r>
      <w:r w:rsidRPr="00295E51">
        <w:rPr>
          <w:rFonts w:ascii="Times New Roman" w:hAnsi="Times New Roman"/>
          <w:color w:val="000000"/>
          <w:sz w:val="24"/>
          <w:szCs w:val="24"/>
          <w:shd w:val="clear" w:color="auto" w:fill="FFFFFF"/>
          <w:lang w:val="sr-Cyrl-CS"/>
        </w:rPr>
        <w:t xml:space="preserve">, </w:t>
      </w:r>
      <w:r w:rsidRPr="00295E51">
        <w:rPr>
          <w:rFonts w:ascii="Times New Roman" w:hAnsi="Times New Roman"/>
          <w:color w:val="000000"/>
          <w:sz w:val="24"/>
          <w:szCs w:val="24"/>
          <w:shd w:val="clear" w:color="auto" w:fill="FFFFFF"/>
        </w:rPr>
        <w:t>чиме се правне тековине (</w:t>
      </w:r>
      <w:r w:rsidRPr="00295E51">
        <w:rPr>
          <w:rFonts w:ascii="Times New Roman" w:hAnsi="Times New Roman"/>
          <w:iCs/>
          <w:color w:val="000000"/>
          <w:sz w:val="24"/>
          <w:szCs w:val="24"/>
          <w:shd w:val="clear" w:color="auto" w:fill="FFFFFF"/>
        </w:rPr>
        <w:t>Acquis Communautaire</w:t>
      </w:r>
      <w:r w:rsidRPr="00295E51">
        <w:rPr>
          <w:rFonts w:ascii="Times New Roman" w:hAnsi="Times New Roman"/>
          <w:color w:val="000000"/>
          <w:sz w:val="24"/>
          <w:szCs w:val="24"/>
          <w:shd w:val="clear" w:color="auto" w:fill="FFFFFF"/>
        </w:rPr>
        <w:t>) Европске униј</w:t>
      </w:r>
      <w:r w:rsidRPr="00295E51">
        <w:rPr>
          <w:rFonts w:ascii="Times New Roman" w:hAnsi="Times New Roman"/>
          <w:color w:val="000000"/>
          <w:sz w:val="24"/>
          <w:szCs w:val="24"/>
          <w:shd w:val="clear" w:color="auto" w:fill="FFFFFF"/>
          <w:lang w:val="sr-Cyrl-CS"/>
        </w:rPr>
        <w:t>е</w:t>
      </w:r>
      <w:r w:rsidRPr="00295E51">
        <w:rPr>
          <w:rFonts w:ascii="Times New Roman" w:hAnsi="Times New Roman"/>
          <w:color w:val="000000"/>
          <w:sz w:val="24"/>
          <w:szCs w:val="24"/>
          <w:shd w:val="clear" w:color="auto" w:fill="FFFFFF"/>
        </w:rPr>
        <w:t xml:space="preserve"> инкорпорирају у наш правни систем на путу Србије ка европским интеграцијама.</w:t>
      </w:r>
      <w:r w:rsidRPr="00295E51">
        <w:rPr>
          <w:rFonts w:ascii="Times New Roman" w:hAnsi="Times New Roman"/>
          <w:color w:val="000000"/>
          <w:sz w:val="24"/>
          <w:szCs w:val="24"/>
          <w:shd w:val="clear" w:color="auto" w:fill="FFFFFF"/>
          <w:lang w:val="sr-Cyrl-CS"/>
        </w:rPr>
        <w:t xml:space="preserve"> Ова </w:t>
      </w:r>
      <w:r w:rsidRPr="00295E51">
        <w:rPr>
          <w:rFonts w:ascii="Times New Roman" w:hAnsi="Times New Roman"/>
          <w:bCs/>
          <w:color w:val="000000"/>
          <w:sz w:val="24"/>
          <w:szCs w:val="24"/>
          <w:shd w:val="clear" w:color="auto" w:fill="FFFFFF"/>
          <w:lang w:val="sr-Cyrl-CS"/>
        </w:rPr>
        <w:t>о</w:t>
      </w:r>
      <w:r w:rsidRPr="00295E51">
        <w:rPr>
          <w:rFonts w:ascii="Times New Roman" w:hAnsi="Times New Roman"/>
          <w:bCs/>
          <w:color w:val="000000"/>
          <w:sz w:val="24"/>
          <w:szCs w:val="24"/>
          <w:shd w:val="clear" w:color="auto" w:fill="FFFFFF"/>
        </w:rPr>
        <w:t>дговорност правног лица се изводи из кривице физичког лица као одговорног лица у правном лицу (компанији) за извршено кривично дело</w:t>
      </w:r>
      <w:r w:rsidRPr="00295E51">
        <w:rPr>
          <w:rFonts w:ascii="Times New Roman" w:hAnsi="Times New Roman"/>
          <w:bCs/>
          <w:color w:val="000000"/>
          <w:sz w:val="24"/>
          <w:szCs w:val="24"/>
          <w:shd w:val="clear" w:color="auto" w:fill="FFFFFF"/>
          <w:lang w:val="sr-Cyrl-CS"/>
        </w:rPr>
        <w:t>, те је</w:t>
      </w:r>
      <w:r w:rsidRPr="00295E51">
        <w:rPr>
          <w:rFonts w:ascii="Times New Roman" w:hAnsi="Times New Roman"/>
          <w:b/>
          <w:bCs/>
          <w:color w:val="000000"/>
          <w:sz w:val="24"/>
          <w:szCs w:val="24"/>
          <w:shd w:val="clear" w:color="auto" w:fill="FFFFFF"/>
          <w:lang w:val="sr-Cyrl-CS"/>
        </w:rPr>
        <w:t xml:space="preserve"> </w:t>
      </w:r>
      <w:r w:rsidRPr="00295E51">
        <w:rPr>
          <w:rFonts w:ascii="Times New Roman" w:hAnsi="Times New Roman"/>
          <w:color w:val="000000"/>
          <w:sz w:val="24"/>
          <w:szCs w:val="24"/>
          <w:shd w:val="clear" w:color="auto" w:fill="FFFFFF"/>
          <w:lang w:val="sr-Cyrl-CS"/>
        </w:rPr>
        <w:t>оваквим законским регулисањем Србија</w:t>
      </w:r>
      <w:r w:rsidRPr="00295E51">
        <w:rPr>
          <w:rFonts w:ascii="Times New Roman" w:hAnsi="Times New Roman"/>
          <w:color w:val="000000"/>
          <w:sz w:val="24"/>
          <w:szCs w:val="24"/>
          <w:shd w:val="clear" w:color="auto" w:fill="FFFFFF"/>
        </w:rPr>
        <w:t xml:space="preserve"> заокружила систем казнене одговорности правних лица задржавајући и даље поделу казнених дела на кривична дела, привредне преступе и прекршаје</w:t>
      </w:r>
      <w:r w:rsidRPr="00295E51">
        <w:rPr>
          <w:rFonts w:ascii="Times New Roman" w:hAnsi="Times New Roman"/>
          <w:color w:val="000000"/>
          <w:sz w:val="24"/>
          <w:szCs w:val="24"/>
          <w:shd w:val="clear" w:color="auto" w:fill="FFFFFF"/>
          <w:lang w:val="sr-Cyrl-CS"/>
        </w:rPr>
        <w:t>, за разлику од, на пример,</w:t>
      </w:r>
      <w:r w:rsidRPr="00295E51">
        <w:rPr>
          <w:rFonts w:ascii="Times New Roman" w:hAnsi="Times New Roman"/>
          <w:color w:val="000000"/>
          <w:sz w:val="24"/>
          <w:szCs w:val="24"/>
          <w:shd w:val="clear" w:color="auto" w:fill="FFFFFF"/>
        </w:rPr>
        <w:t xml:space="preserve"> Хрватск</w:t>
      </w:r>
      <w:r w:rsidRPr="00295E51">
        <w:rPr>
          <w:rFonts w:ascii="Times New Roman" w:hAnsi="Times New Roman"/>
          <w:color w:val="000000"/>
          <w:sz w:val="24"/>
          <w:szCs w:val="24"/>
          <w:shd w:val="clear" w:color="auto" w:fill="FFFFFF"/>
          <w:lang w:val="sr-Cyrl-CS"/>
        </w:rPr>
        <w:t>е</w:t>
      </w:r>
      <w:r w:rsidRPr="00295E51">
        <w:rPr>
          <w:rFonts w:ascii="Times New Roman" w:hAnsi="Times New Roman"/>
          <w:color w:val="000000"/>
          <w:sz w:val="24"/>
          <w:szCs w:val="24"/>
          <w:shd w:val="clear" w:color="auto" w:fill="FFFFFF"/>
        </w:rPr>
        <w:t xml:space="preserve"> и Црн</w:t>
      </w:r>
      <w:r w:rsidRPr="00295E51">
        <w:rPr>
          <w:rFonts w:ascii="Times New Roman" w:hAnsi="Times New Roman"/>
          <w:color w:val="000000"/>
          <w:sz w:val="24"/>
          <w:szCs w:val="24"/>
          <w:shd w:val="clear" w:color="auto" w:fill="FFFFFF"/>
          <w:lang w:val="sr-Cyrl-CS"/>
        </w:rPr>
        <w:t>е</w:t>
      </w:r>
      <w:r w:rsidRPr="00295E51">
        <w:rPr>
          <w:rFonts w:ascii="Times New Roman" w:hAnsi="Times New Roman"/>
          <w:color w:val="000000"/>
          <w:sz w:val="24"/>
          <w:szCs w:val="24"/>
          <w:shd w:val="clear" w:color="auto" w:fill="FFFFFF"/>
        </w:rPr>
        <w:t xml:space="preserve"> Гор</w:t>
      </w:r>
      <w:r w:rsidRPr="00295E51">
        <w:rPr>
          <w:rFonts w:ascii="Times New Roman" w:hAnsi="Times New Roman"/>
          <w:color w:val="000000"/>
          <w:sz w:val="24"/>
          <w:szCs w:val="24"/>
          <w:shd w:val="clear" w:color="auto" w:fill="FFFFFF"/>
          <w:lang w:val="sr-Cyrl-CS"/>
        </w:rPr>
        <w:t>е које</w:t>
      </w:r>
      <w:r w:rsidRPr="00295E51">
        <w:rPr>
          <w:rFonts w:ascii="Times New Roman" w:hAnsi="Times New Roman"/>
          <w:color w:val="000000"/>
          <w:sz w:val="24"/>
          <w:szCs w:val="24"/>
          <w:shd w:val="clear" w:color="auto" w:fill="FFFFFF"/>
        </w:rPr>
        <w:t xml:space="preserve"> су после доношења својих закона о одговорности правних лица за кривична дела, укинуле привредне преступе и преименовале их у прекршаје.</w:t>
      </w:r>
      <w:r w:rsidRPr="00295E51">
        <w:rPr>
          <w:rFonts w:ascii="Times New Roman" w:hAnsi="Times New Roman"/>
          <w:color w:val="000000"/>
          <w:sz w:val="24"/>
          <w:szCs w:val="24"/>
          <w:shd w:val="clear" w:color="auto" w:fill="FFFFFF"/>
          <w:lang w:val="sr-Cyrl-CS"/>
        </w:rPr>
        <w:t xml:space="preserve"> </w:t>
      </w:r>
    </w:p>
    <w:p w:rsidR="003C5AB8" w:rsidRDefault="003C5AB8" w:rsidP="004E5455">
      <w:pPr>
        <w:pStyle w:val="ListParagraph"/>
        <w:ind w:left="0" w:firstLine="630"/>
        <w:jc w:val="both"/>
        <w:rPr>
          <w:rFonts w:ascii="Times New Roman" w:hAnsi="Times New Roman"/>
          <w:color w:val="000000"/>
          <w:sz w:val="24"/>
          <w:szCs w:val="24"/>
          <w:shd w:val="clear" w:color="auto" w:fill="FFFFFF"/>
          <w:lang w:val="sr-Cyrl-CS"/>
        </w:rPr>
      </w:pPr>
    </w:p>
    <w:p w:rsidR="00057B05" w:rsidRDefault="003E04F0" w:rsidP="00AF6B6D">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Значајна особина</w:t>
      </w:r>
      <w:r w:rsidR="003C5AB8">
        <w:rPr>
          <w:rFonts w:ascii="Times New Roman" w:hAnsi="Times New Roman"/>
          <w:sz w:val="24"/>
          <w:szCs w:val="24"/>
          <w:lang w:val="sr-Cyrl-CS"/>
        </w:rPr>
        <w:t xml:space="preserve"> привредног криминалитета </w:t>
      </w:r>
      <w:r>
        <w:rPr>
          <w:rFonts w:ascii="Times New Roman" w:hAnsi="Times New Roman"/>
          <w:sz w:val="24"/>
          <w:szCs w:val="24"/>
          <w:lang w:val="sr-Cyrl-CS"/>
        </w:rPr>
        <w:t xml:space="preserve">је његова континуираност, јер се </w:t>
      </w:r>
      <w:r w:rsidR="003C5AB8">
        <w:rPr>
          <w:rFonts w:ascii="Times New Roman" w:hAnsi="Times New Roman"/>
          <w:sz w:val="24"/>
          <w:szCs w:val="24"/>
          <w:lang w:val="sr-Cyrl-CS"/>
        </w:rPr>
        <w:t>кривична дела која спад</w:t>
      </w:r>
      <w:r>
        <w:rPr>
          <w:rFonts w:ascii="Times New Roman" w:hAnsi="Times New Roman"/>
          <w:sz w:val="24"/>
          <w:szCs w:val="24"/>
          <w:lang w:val="sr-Cyrl-CS"/>
        </w:rPr>
        <w:t xml:space="preserve">ају у привредни криминалитет </w:t>
      </w:r>
      <w:r w:rsidR="003C5AB8">
        <w:rPr>
          <w:rFonts w:ascii="Times New Roman" w:hAnsi="Times New Roman"/>
          <w:sz w:val="24"/>
          <w:szCs w:val="24"/>
          <w:lang w:val="sr-Cyrl-CS"/>
        </w:rPr>
        <w:t xml:space="preserve">по правилу </w:t>
      </w:r>
      <w:r>
        <w:rPr>
          <w:rFonts w:ascii="Times New Roman" w:hAnsi="Times New Roman"/>
          <w:sz w:val="24"/>
          <w:szCs w:val="24"/>
          <w:lang w:val="sr-Cyrl-CS"/>
        </w:rPr>
        <w:t xml:space="preserve">врше у дужем временском периоду. Међутим, </w:t>
      </w:r>
      <w:r w:rsidR="003C5AB8">
        <w:rPr>
          <w:rFonts w:ascii="Times New Roman" w:hAnsi="Times New Roman"/>
          <w:sz w:val="24"/>
          <w:szCs w:val="24"/>
          <w:lang w:val="sr-Cyrl-CS"/>
        </w:rPr>
        <w:t xml:space="preserve">често дужина тог периода не зависи толико од ефикасности органа откривања и кривичног гоњења, колико од </w:t>
      </w:r>
      <w:r>
        <w:rPr>
          <w:rFonts w:ascii="Times New Roman" w:hAnsi="Times New Roman"/>
          <w:sz w:val="24"/>
          <w:szCs w:val="24"/>
          <w:lang w:val="sr-Cyrl-CS"/>
        </w:rPr>
        <w:t xml:space="preserve">учинилаца тих кривичних дела, односно од </w:t>
      </w:r>
      <w:r w:rsidR="003C5AB8">
        <w:rPr>
          <w:rFonts w:ascii="Times New Roman" w:hAnsi="Times New Roman"/>
          <w:sz w:val="24"/>
          <w:szCs w:val="24"/>
          <w:lang w:val="sr-Cyrl-CS"/>
        </w:rPr>
        <w:t xml:space="preserve">степена </w:t>
      </w:r>
      <w:r>
        <w:rPr>
          <w:rFonts w:ascii="Times New Roman" w:hAnsi="Times New Roman"/>
          <w:sz w:val="24"/>
          <w:szCs w:val="24"/>
          <w:lang w:val="sr-Cyrl-CS"/>
        </w:rPr>
        <w:t xml:space="preserve">њихове </w:t>
      </w:r>
      <w:r w:rsidR="003C5AB8">
        <w:rPr>
          <w:rFonts w:ascii="Times New Roman" w:hAnsi="Times New Roman"/>
          <w:sz w:val="24"/>
          <w:szCs w:val="24"/>
          <w:lang w:val="sr-Cyrl-CS"/>
        </w:rPr>
        <w:t>(не)опрезности и опушт</w:t>
      </w:r>
      <w:r>
        <w:rPr>
          <w:rFonts w:ascii="Times New Roman" w:hAnsi="Times New Roman"/>
          <w:sz w:val="24"/>
          <w:szCs w:val="24"/>
          <w:lang w:val="sr-Cyrl-CS"/>
        </w:rPr>
        <w:t>ања</w:t>
      </w:r>
      <w:r w:rsidR="003C5AB8">
        <w:rPr>
          <w:rFonts w:ascii="Times New Roman" w:hAnsi="Times New Roman"/>
          <w:sz w:val="24"/>
          <w:szCs w:val="24"/>
          <w:lang w:val="sr-Cyrl-CS"/>
        </w:rPr>
        <w:t xml:space="preserve">. </w:t>
      </w:r>
      <w:r>
        <w:rPr>
          <w:rFonts w:ascii="Times New Roman" w:hAnsi="Times New Roman"/>
          <w:sz w:val="24"/>
          <w:szCs w:val="24"/>
          <w:lang w:val="sr-Cyrl-CS"/>
        </w:rPr>
        <w:t>Осим тога, у</w:t>
      </w:r>
      <w:r w:rsidR="003C5AB8">
        <w:rPr>
          <w:rFonts w:ascii="Times New Roman" w:hAnsi="Times New Roman"/>
          <w:sz w:val="24"/>
          <w:szCs w:val="24"/>
          <w:lang w:val="sr-Cyrl-CS"/>
        </w:rPr>
        <w:t xml:space="preserve"> пракси могућност откривања неког кривичног дела из сфере привредног криминалитета често зависи од позиције коју учинилац заузима у одређеном привредном субјекту, </w:t>
      </w:r>
      <w:r>
        <w:rPr>
          <w:rFonts w:ascii="Times New Roman" w:hAnsi="Times New Roman"/>
          <w:sz w:val="24"/>
          <w:szCs w:val="24"/>
          <w:lang w:val="sr-Cyrl-CS"/>
        </w:rPr>
        <w:t xml:space="preserve">па се тако </w:t>
      </w:r>
      <w:r w:rsidR="003C5AB8">
        <w:rPr>
          <w:rFonts w:ascii="Times New Roman" w:hAnsi="Times New Roman"/>
          <w:sz w:val="24"/>
          <w:szCs w:val="24"/>
          <w:lang w:val="sr-Cyrl-CS"/>
        </w:rPr>
        <w:t>по правилу, тек након смењивања одговорног лица или његовог преласка на другу функцију, омогућава ефикасније откривање и доказивање криминалне активности.</w:t>
      </w:r>
      <w:r w:rsidR="003C5AB8">
        <w:rPr>
          <w:rStyle w:val="FootnoteReference"/>
          <w:rFonts w:ascii="Times New Roman" w:hAnsi="Times New Roman"/>
          <w:sz w:val="24"/>
          <w:szCs w:val="24"/>
          <w:lang w:val="sr-Cyrl-CS"/>
        </w:rPr>
        <w:footnoteReference w:id="634"/>
      </w:r>
    </w:p>
    <w:p w:rsidR="00AF6B6D" w:rsidRPr="00AF6B6D" w:rsidRDefault="00AF6B6D" w:rsidP="00AF6B6D">
      <w:pPr>
        <w:pStyle w:val="ListParagraph"/>
        <w:ind w:left="0" w:firstLine="630"/>
        <w:jc w:val="both"/>
        <w:rPr>
          <w:rFonts w:ascii="Times New Roman" w:hAnsi="Times New Roman"/>
          <w:sz w:val="24"/>
          <w:szCs w:val="24"/>
          <w:lang w:val="sr-Cyrl-CS"/>
        </w:rPr>
      </w:pPr>
    </w:p>
    <w:p w:rsidR="00475633" w:rsidRDefault="00057B05" w:rsidP="00AF6B6D">
      <w:pPr>
        <w:pStyle w:val="ListParagraph"/>
        <w:ind w:left="0" w:firstLine="630"/>
        <w:jc w:val="both"/>
        <w:rPr>
          <w:rFonts w:ascii="Times New Roman" w:hAnsi="Times New Roman"/>
          <w:sz w:val="24"/>
          <w:szCs w:val="24"/>
          <w:lang w:val="sr-Cyrl-CS"/>
        </w:rPr>
      </w:pPr>
      <w:r>
        <w:rPr>
          <w:rFonts w:ascii="Times New Roman" w:hAnsi="Times New Roman"/>
          <w:sz w:val="24"/>
          <w:szCs w:val="24"/>
        </w:rPr>
        <w:t xml:space="preserve">Sutherland </w:t>
      </w:r>
      <w:r>
        <w:rPr>
          <w:rFonts w:ascii="Times New Roman" w:hAnsi="Times New Roman"/>
          <w:sz w:val="24"/>
          <w:szCs w:val="24"/>
          <w:lang w:val="sr-Cyrl-CS"/>
        </w:rPr>
        <w:t>је говорећи о криминалу „белог оковратника“ наводио да га врше особе од угледа и високог социјалног статуса у току бављења одређеном професијом.</w:t>
      </w:r>
      <w:r>
        <w:rPr>
          <w:rStyle w:val="FootnoteReference"/>
          <w:rFonts w:ascii="Times New Roman" w:hAnsi="Times New Roman"/>
          <w:sz w:val="24"/>
          <w:szCs w:val="24"/>
        </w:rPr>
        <w:footnoteReference w:id="635"/>
      </w:r>
      <w:r>
        <w:rPr>
          <w:rFonts w:ascii="Times New Roman" w:hAnsi="Times New Roman"/>
          <w:sz w:val="24"/>
          <w:szCs w:val="24"/>
          <w:lang w:val="sr-Cyrl-CS"/>
        </w:rPr>
        <w:t xml:space="preserve"> </w:t>
      </w:r>
      <w:r w:rsidR="00D3656D">
        <w:rPr>
          <w:rFonts w:ascii="Times New Roman" w:hAnsi="Times New Roman"/>
          <w:sz w:val="24"/>
          <w:szCs w:val="24"/>
          <w:lang w:val="sr-Cyrl-CS"/>
        </w:rPr>
        <w:t xml:space="preserve">Његови носиоци су, дакле, припадници виших друштвених слојева и врши се углавном у сфери пословања. Дела </w:t>
      </w:r>
      <w:r w:rsidR="00A829A2">
        <w:rPr>
          <w:rFonts w:ascii="Times New Roman" w:hAnsi="Times New Roman"/>
          <w:sz w:val="24"/>
          <w:szCs w:val="24"/>
          <w:lang w:val="sr-Cyrl-CS"/>
        </w:rPr>
        <w:t xml:space="preserve">која учиниоци ових кривичних врше су опаснија по друштво од злочина конвенционалних криминалаца. Према томе, ранији стереотип да већину </w:t>
      </w:r>
      <w:r w:rsidR="00A829A2">
        <w:rPr>
          <w:rFonts w:ascii="Times New Roman" w:hAnsi="Times New Roman"/>
          <w:sz w:val="24"/>
          <w:szCs w:val="24"/>
          <w:lang w:val="sr-Cyrl-CS"/>
        </w:rPr>
        <w:lastRenderedPageBreak/>
        <w:t>популације преступника чине сиромашни, не одговара истини.</w:t>
      </w:r>
      <w:r>
        <w:rPr>
          <w:rStyle w:val="FootnoteReference"/>
          <w:rFonts w:ascii="Times New Roman" w:hAnsi="Times New Roman"/>
          <w:sz w:val="24"/>
          <w:szCs w:val="24"/>
          <w:lang w:val="sr-Cyrl-CS"/>
        </w:rPr>
        <w:footnoteReference w:id="636"/>
      </w:r>
      <w:r>
        <w:rPr>
          <w:rFonts w:ascii="Times New Roman" w:hAnsi="Times New Roman"/>
          <w:sz w:val="24"/>
          <w:szCs w:val="24"/>
          <w:lang w:val="sr-Cyrl-CS"/>
        </w:rPr>
        <w:t xml:space="preserve"> </w:t>
      </w:r>
      <w:r w:rsidR="001C45B2">
        <w:rPr>
          <w:rFonts w:ascii="Times New Roman" w:hAnsi="Times New Roman"/>
          <w:sz w:val="24"/>
          <w:szCs w:val="24"/>
          <w:lang w:val="sr-Cyrl-CS"/>
        </w:rPr>
        <w:t xml:space="preserve">Поред стручних знања која примењују учиниоци </w:t>
      </w:r>
      <w:r w:rsidR="00A829A2">
        <w:rPr>
          <w:rFonts w:ascii="Times New Roman" w:hAnsi="Times New Roman"/>
          <w:sz w:val="24"/>
          <w:szCs w:val="24"/>
          <w:lang w:val="sr-Cyrl-CS"/>
        </w:rPr>
        <w:t xml:space="preserve">ових кривичних дела </w:t>
      </w:r>
      <w:r w:rsidR="001C45B2">
        <w:rPr>
          <w:rFonts w:ascii="Times New Roman" w:hAnsi="Times New Roman"/>
          <w:sz w:val="24"/>
          <w:szCs w:val="24"/>
          <w:lang w:val="sr-Cyrl-CS"/>
        </w:rPr>
        <w:t xml:space="preserve">често се ангажују експерти који пружају правне, финансијске и пореске савете како би се вешто заобишли законски прописи. </w:t>
      </w:r>
    </w:p>
    <w:p w:rsidR="00AF6B6D" w:rsidRPr="00AF6B6D" w:rsidRDefault="00AF6B6D" w:rsidP="00AF6B6D">
      <w:pPr>
        <w:pStyle w:val="ListParagraph"/>
        <w:ind w:left="0" w:firstLine="630"/>
        <w:jc w:val="both"/>
        <w:rPr>
          <w:rFonts w:ascii="Times New Roman" w:hAnsi="Times New Roman"/>
          <w:sz w:val="24"/>
          <w:szCs w:val="24"/>
          <w:lang w:val="sr-Cyrl-CS"/>
        </w:rPr>
      </w:pPr>
    </w:p>
    <w:p w:rsidR="00475633" w:rsidRDefault="00475633" w:rsidP="001C45B2">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 xml:space="preserve">Овај облик криминалитета </w:t>
      </w:r>
      <w:r w:rsidR="00813054">
        <w:rPr>
          <w:rFonts w:ascii="Times New Roman" w:hAnsi="Times New Roman"/>
          <w:sz w:val="24"/>
          <w:szCs w:val="24"/>
          <w:lang w:val="sr-Cyrl-CS"/>
        </w:rPr>
        <w:t>је заступљен у скоро свим</w:t>
      </w:r>
      <w:r>
        <w:rPr>
          <w:rFonts w:ascii="Times New Roman" w:hAnsi="Times New Roman"/>
          <w:sz w:val="24"/>
          <w:szCs w:val="24"/>
          <w:lang w:val="sr-Cyrl-CS"/>
        </w:rPr>
        <w:t xml:space="preserve"> области</w:t>
      </w:r>
      <w:r w:rsidR="00813054">
        <w:rPr>
          <w:rFonts w:ascii="Times New Roman" w:hAnsi="Times New Roman"/>
          <w:sz w:val="24"/>
          <w:szCs w:val="24"/>
          <w:lang w:val="sr-Cyrl-CS"/>
        </w:rPr>
        <w:t>ма и професијама</w:t>
      </w:r>
      <w:r>
        <w:rPr>
          <w:rFonts w:ascii="Times New Roman" w:hAnsi="Times New Roman"/>
          <w:sz w:val="24"/>
          <w:szCs w:val="24"/>
          <w:lang w:val="sr-Cyrl-CS"/>
        </w:rPr>
        <w:t xml:space="preserve"> ја</w:t>
      </w:r>
      <w:r w:rsidR="00813054">
        <w:rPr>
          <w:rFonts w:ascii="Times New Roman" w:hAnsi="Times New Roman"/>
          <w:sz w:val="24"/>
          <w:szCs w:val="24"/>
          <w:lang w:val="sr-Cyrl-CS"/>
        </w:rPr>
        <w:t xml:space="preserve">вног живота, али се најчешће </w:t>
      </w:r>
      <w:r>
        <w:rPr>
          <w:rFonts w:ascii="Times New Roman" w:hAnsi="Times New Roman"/>
          <w:sz w:val="24"/>
          <w:szCs w:val="24"/>
          <w:lang w:val="sr-Cyrl-CS"/>
        </w:rPr>
        <w:t>везује за државне институције</w:t>
      </w:r>
      <w:r w:rsidR="00813054">
        <w:rPr>
          <w:rFonts w:ascii="Times New Roman" w:hAnsi="Times New Roman"/>
          <w:sz w:val="24"/>
          <w:szCs w:val="24"/>
          <w:lang w:val="sr-Cyrl-CS"/>
        </w:rPr>
        <w:t xml:space="preserve"> и то</w:t>
      </w:r>
      <w:r>
        <w:rPr>
          <w:rFonts w:ascii="Times New Roman" w:hAnsi="Times New Roman"/>
          <w:sz w:val="24"/>
          <w:szCs w:val="24"/>
          <w:lang w:val="sr-Cyrl-CS"/>
        </w:rPr>
        <w:t xml:space="preserve">: инспекцијске или пореске службе, полицијске и царинске органе, </w:t>
      </w:r>
      <w:r w:rsidR="00813054">
        <w:rPr>
          <w:rFonts w:ascii="Times New Roman" w:hAnsi="Times New Roman"/>
          <w:sz w:val="24"/>
          <w:szCs w:val="24"/>
          <w:lang w:val="sr-Cyrl-CS"/>
        </w:rPr>
        <w:t>као и за привредне кропорације, банкарство, осигурање, железнице и трговину</w:t>
      </w:r>
      <w:r>
        <w:rPr>
          <w:rFonts w:ascii="Times New Roman" w:hAnsi="Times New Roman"/>
          <w:sz w:val="24"/>
          <w:szCs w:val="24"/>
          <w:lang w:val="sr-Cyrl-CS"/>
        </w:rPr>
        <w:t xml:space="preserve">. Сматра се да је </w:t>
      </w:r>
      <w:r w:rsidR="00813054">
        <w:rPr>
          <w:rFonts w:ascii="Times New Roman" w:hAnsi="Times New Roman"/>
          <w:sz w:val="24"/>
          <w:szCs w:val="24"/>
          <w:lang w:val="sr-Cyrl-CS"/>
        </w:rPr>
        <w:t>овај облик криминалитета</w:t>
      </w:r>
      <w:r>
        <w:rPr>
          <w:rFonts w:ascii="Times New Roman" w:hAnsi="Times New Roman"/>
          <w:sz w:val="24"/>
          <w:szCs w:val="24"/>
          <w:lang w:val="sr-Cyrl-CS"/>
        </w:rPr>
        <w:t xml:space="preserve"> веома </w:t>
      </w:r>
      <w:r w:rsidR="00813054">
        <w:rPr>
          <w:rFonts w:ascii="Times New Roman" w:hAnsi="Times New Roman"/>
          <w:sz w:val="24"/>
          <w:szCs w:val="24"/>
          <w:lang w:val="sr-Cyrl-CS"/>
        </w:rPr>
        <w:t>раширена појава</w:t>
      </w:r>
      <w:r>
        <w:rPr>
          <w:rFonts w:ascii="Times New Roman" w:hAnsi="Times New Roman"/>
          <w:sz w:val="24"/>
          <w:szCs w:val="24"/>
          <w:lang w:val="sr-Cyrl-CS"/>
        </w:rPr>
        <w:t xml:space="preserve"> у сваком друштву </w:t>
      </w:r>
      <w:r w:rsidR="00813054">
        <w:rPr>
          <w:rFonts w:ascii="Times New Roman" w:hAnsi="Times New Roman"/>
          <w:sz w:val="24"/>
          <w:szCs w:val="24"/>
          <w:lang w:val="sr-Cyrl-CS"/>
        </w:rPr>
        <w:t>и то много више</w:t>
      </w:r>
      <w:r>
        <w:rPr>
          <w:rFonts w:ascii="Times New Roman" w:hAnsi="Times New Roman"/>
          <w:sz w:val="24"/>
          <w:szCs w:val="24"/>
          <w:lang w:val="sr-Cyrl-CS"/>
        </w:rPr>
        <w:t xml:space="preserve"> него што се таква дела откривају и пресуђују.</w:t>
      </w:r>
      <w:r>
        <w:rPr>
          <w:rStyle w:val="FootnoteReference"/>
          <w:rFonts w:ascii="Times New Roman" w:hAnsi="Times New Roman"/>
          <w:sz w:val="24"/>
          <w:szCs w:val="24"/>
          <w:lang w:val="sr-Cyrl-CS"/>
        </w:rPr>
        <w:footnoteReference w:id="637"/>
      </w:r>
    </w:p>
    <w:p w:rsidR="001C45B2" w:rsidRDefault="001C45B2" w:rsidP="00057B05">
      <w:pPr>
        <w:pStyle w:val="ListParagraph"/>
        <w:ind w:left="0" w:firstLine="630"/>
        <w:jc w:val="both"/>
        <w:rPr>
          <w:rFonts w:ascii="Times New Roman" w:hAnsi="Times New Roman"/>
          <w:sz w:val="24"/>
          <w:szCs w:val="24"/>
          <w:lang w:val="sr-Cyrl-CS"/>
        </w:rPr>
      </w:pPr>
    </w:p>
    <w:p w:rsidR="00360574" w:rsidRPr="004E5455" w:rsidRDefault="00057B05" w:rsidP="004E5455">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 xml:space="preserve">Један од облика криминала „белог оковратника“ јесте избегавање плаћања пореза, док деликти корупције такође спадају у тзв. „криминал белог оковратника“ и специфични су имајући у виду категорију учинилаца кривичних дела које карактерише висока позиционираност на друштвеној лествици. </w:t>
      </w:r>
      <w:r w:rsidRPr="001C45B2">
        <w:rPr>
          <w:rFonts w:ascii="Times New Roman" w:hAnsi="Times New Roman"/>
          <w:sz w:val="24"/>
          <w:szCs w:val="24"/>
        </w:rPr>
        <w:t>У земљама у транзицији, међутим, ов</w:t>
      </w:r>
      <w:r w:rsidRPr="001C45B2">
        <w:rPr>
          <w:rFonts w:ascii="Times New Roman" w:hAnsi="Times New Roman"/>
          <w:sz w:val="24"/>
          <w:szCs w:val="24"/>
          <w:lang w:val="sr-Cyrl-CS"/>
        </w:rPr>
        <w:t>и</w:t>
      </w:r>
      <w:r w:rsidRPr="001C45B2">
        <w:rPr>
          <w:rFonts w:ascii="Times New Roman" w:hAnsi="Times New Roman"/>
          <w:sz w:val="24"/>
          <w:szCs w:val="24"/>
        </w:rPr>
        <w:t xml:space="preserve"> социјално нежељени феномен</w:t>
      </w:r>
      <w:r w:rsidRPr="001C45B2">
        <w:rPr>
          <w:rFonts w:ascii="Times New Roman" w:hAnsi="Times New Roman"/>
          <w:sz w:val="24"/>
          <w:szCs w:val="24"/>
          <w:lang w:val="sr-Cyrl-CS"/>
        </w:rPr>
        <w:t xml:space="preserve">и претворили су се у криминалитет </w:t>
      </w:r>
      <w:r w:rsidRPr="001C45B2">
        <w:rPr>
          <w:rFonts w:ascii="Times New Roman" w:hAnsi="Times New Roman"/>
          <w:sz w:val="24"/>
          <w:szCs w:val="24"/>
        </w:rPr>
        <w:t>распрострањен и у нижим слојевима друштва, стварајући</w:t>
      </w:r>
      <w:r w:rsidRPr="001C45B2">
        <w:rPr>
          <w:rFonts w:ascii="Times New Roman" w:hAnsi="Times New Roman"/>
          <w:sz w:val="24"/>
          <w:szCs w:val="24"/>
          <w:lang w:val="sr-Cyrl-CS"/>
        </w:rPr>
        <w:t xml:space="preserve"> широко распрострањену</w:t>
      </w:r>
      <w:r w:rsidRPr="001C45B2">
        <w:rPr>
          <w:rFonts w:ascii="Times New Roman" w:hAnsi="Times New Roman"/>
          <w:sz w:val="24"/>
          <w:szCs w:val="24"/>
        </w:rPr>
        <w:t xml:space="preserve"> “ситну корупцију”. </w:t>
      </w:r>
    </w:p>
    <w:p w:rsidR="002A4404" w:rsidRDefault="002A4404" w:rsidP="00A801E4">
      <w:pPr>
        <w:pStyle w:val="ListParagraph"/>
        <w:ind w:left="0" w:firstLine="630"/>
        <w:jc w:val="both"/>
        <w:rPr>
          <w:rFonts w:ascii="Times New Roman" w:hAnsi="Times New Roman"/>
          <w:sz w:val="24"/>
          <w:szCs w:val="24"/>
          <w:lang w:val="sr-Cyrl-CS"/>
        </w:rPr>
      </w:pPr>
    </w:p>
    <w:p w:rsidR="002A4404" w:rsidRDefault="002A4404" w:rsidP="00A801E4">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Неки аутори</w:t>
      </w:r>
      <w:r>
        <w:rPr>
          <w:rStyle w:val="FootnoteReference"/>
          <w:rFonts w:ascii="Times New Roman" w:hAnsi="Times New Roman"/>
          <w:sz w:val="24"/>
          <w:szCs w:val="24"/>
          <w:lang w:val="sr-Cyrl-CS"/>
        </w:rPr>
        <w:footnoteReference w:id="638"/>
      </w:r>
      <w:r>
        <w:rPr>
          <w:rFonts w:ascii="Times New Roman" w:hAnsi="Times New Roman"/>
          <w:sz w:val="24"/>
          <w:szCs w:val="24"/>
          <w:lang w:val="sr-Cyrl-CS"/>
        </w:rPr>
        <w:t xml:space="preserve"> анализирају корупцију кроз </w:t>
      </w:r>
      <w:r w:rsidR="00D545FB">
        <w:rPr>
          <w:rFonts w:ascii="Times New Roman" w:hAnsi="Times New Roman"/>
          <w:sz w:val="24"/>
          <w:szCs w:val="24"/>
          <w:lang w:val="sr-Cyrl-CS"/>
        </w:rPr>
        <w:t xml:space="preserve">однос принципал-клијент, као што је </w:t>
      </w:r>
      <w:r>
        <w:rPr>
          <w:rFonts w:ascii="Times New Roman" w:hAnsi="Times New Roman"/>
          <w:sz w:val="24"/>
          <w:szCs w:val="24"/>
          <w:lang w:val="sr-Cyrl-CS"/>
        </w:rPr>
        <w:t>на пример однос власти и пореских обвезника, регулатора и предузећа, полиције и потенцијалних криминалаца, пружалаца јавних у</w:t>
      </w:r>
      <w:r w:rsidR="00D545FB">
        <w:rPr>
          <w:rFonts w:ascii="Times New Roman" w:hAnsi="Times New Roman"/>
          <w:sz w:val="24"/>
          <w:szCs w:val="24"/>
          <w:lang w:val="sr-Cyrl-CS"/>
        </w:rPr>
        <w:t>слуга и потенцијалних корисника.</w:t>
      </w:r>
      <w:r>
        <w:rPr>
          <w:rFonts w:ascii="Times New Roman" w:hAnsi="Times New Roman"/>
          <w:sz w:val="24"/>
          <w:szCs w:val="24"/>
          <w:lang w:val="sr-Cyrl-CS"/>
        </w:rPr>
        <w:t xml:space="preserve"> У зависности од </w:t>
      </w:r>
      <w:r w:rsidR="00D545FB">
        <w:rPr>
          <w:rFonts w:ascii="Times New Roman" w:hAnsi="Times New Roman"/>
          <w:sz w:val="24"/>
          <w:szCs w:val="24"/>
          <w:lang w:val="sr-Cyrl-CS"/>
        </w:rPr>
        <w:t xml:space="preserve">тога каква је природа тог </w:t>
      </w:r>
      <w:r>
        <w:rPr>
          <w:rFonts w:ascii="Times New Roman" w:hAnsi="Times New Roman"/>
          <w:sz w:val="24"/>
          <w:szCs w:val="24"/>
          <w:lang w:val="sr-Cyrl-CS"/>
        </w:rPr>
        <w:t>односа могу се јавити два об</w:t>
      </w:r>
      <w:r w:rsidR="00D545FB">
        <w:rPr>
          <w:rFonts w:ascii="Times New Roman" w:hAnsi="Times New Roman"/>
          <w:sz w:val="24"/>
          <w:szCs w:val="24"/>
          <w:lang w:val="sr-Cyrl-CS"/>
        </w:rPr>
        <w:t>лика корупције: дослух и изнуда, која су подједнако значајна.</w:t>
      </w:r>
      <w:r>
        <w:rPr>
          <w:rFonts w:ascii="Times New Roman" w:hAnsi="Times New Roman"/>
          <w:sz w:val="24"/>
          <w:szCs w:val="24"/>
          <w:lang w:val="sr-Cyrl-CS"/>
        </w:rPr>
        <w:t xml:space="preserve"> </w:t>
      </w:r>
      <w:r w:rsidR="005A034E">
        <w:rPr>
          <w:rFonts w:ascii="Times New Roman" w:hAnsi="Times New Roman"/>
          <w:sz w:val="24"/>
          <w:szCs w:val="24"/>
          <w:lang w:val="sr-Cyrl-CS"/>
        </w:rPr>
        <w:t xml:space="preserve">У том </w:t>
      </w:r>
      <w:r w:rsidR="00D545FB">
        <w:rPr>
          <w:rFonts w:ascii="Times New Roman" w:hAnsi="Times New Roman"/>
          <w:sz w:val="24"/>
          <w:szCs w:val="24"/>
          <w:lang w:val="sr-Cyrl-CS"/>
        </w:rPr>
        <w:t>смислу</w:t>
      </w:r>
      <w:r w:rsidR="005A034E">
        <w:rPr>
          <w:rFonts w:ascii="Times New Roman" w:hAnsi="Times New Roman"/>
          <w:sz w:val="24"/>
          <w:szCs w:val="24"/>
          <w:lang w:val="sr-Cyrl-CS"/>
        </w:rPr>
        <w:t xml:space="preserve"> дослух би означавао ситуацију када инспектор узима мито од пореског обвезника как</w:t>
      </w:r>
      <w:r w:rsidR="00D545FB">
        <w:rPr>
          <w:rFonts w:ascii="Times New Roman" w:hAnsi="Times New Roman"/>
          <w:sz w:val="24"/>
          <w:szCs w:val="24"/>
          <w:lang w:val="sr-Cyrl-CS"/>
        </w:rPr>
        <w:t>о не би пријавио евазију пореза, односно како не би</w:t>
      </w:r>
      <w:r w:rsidR="005A034E">
        <w:rPr>
          <w:rFonts w:ascii="Times New Roman" w:hAnsi="Times New Roman"/>
          <w:sz w:val="24"/>
          <w:szCs w:val="24"/>
          <w:lang w:val="sr-Cyrl-CS"/>
        </w:rPr>
        <w:t xml:space="preserve"> </w:t>
      </w:r>
      <w:r w:rsidR="00D545FB">
        <w:rPr>
          <w:rFonts w:ascii="Times New Roman" w:hAnsi="Times New Roman"/>
          <w:sz w:val="24"/>
          <w:szCs w:val="24"/>
          <w:lang w:val="sr-Cyrl-CS"/>
        </w:rPr>
        <w:t>сачинио</w:t>
      </w:r>
      <w:r w:rsidR="005A034E">
        <w:rPr>
          <w:rFonts w:ascii="Times New Roman" w:hAnsi="Times New Roman"/>
          <w:sz w:val="24"/>
          <w:szCs w:val="24"/>
          <w:lang w:val="sr-Cyrl-CS"/>
        </w:rPr>
        <w:t xml:space="preserve"> неповољан записник</w:t>
      </w:r>
      <w:r w:rsidR="00D545FB">
        <w:rPr>
          <w:rFonts w:ascii="Times New Roman" w:hAnsi="Times New Roman"/>
          <w:sz w:val="24"/>
          <w:szCs w:val="24"/>
          <w:lang w:val="sr-Cyrl-CS"/>
        </w:rPr>
        <w:t>, дакле, у позицији је да</w:t>
      </w:r>
      <w:r w:rsidR="005A034E">
        <w:rPr>
          <w:rFonts w:ascii="Times New Roman" w:hAnsi="Times New Roman"/>
          <w:sz w:val="24"/>
          <w:szCs w:val="24"/>
          <w:lang w:val="sr-Cyrl-CS"/>
        </w:rPr>
        <w:t xml:space="preserve"> </w:t>
      </w:r>
      <w:r w:rsidR="00D545FB">
        <w:rPr>
          <w:rFonts w:ascii="Times New Roman" w:hAnsi="Times New Roman"/>
          <w:sz w:val="24"/>
          <w:szCs w:val="24"/>
          <w:lang w:val="sr-Cyrl-CS"/>
        </w:rPr>
        <w:t>уверљиво застраши пореског обвезника</w:t>
      </w:r>
      <w:r w:rsidR="005A034E">
        <w:rPr>
          <w:rFonts w:ascii="Times New Roman" w:hAnsi="Times New Roman"/>
          <w:sz w:val="24"/>
          <w:szCs w:val="24"/>
          <w:lang w:val="sr-Cyrl-CS"/>
        </w:rPr>
        <w:t xml:space="preserve"> да ће поднети записник да је порески обвезник утајио порез иако није. У </w:t>
      </w:r>
      <w:r w:rsidR="00D545FB">
        <w:rPr>
          <w:rFonts w:ascii="Times New Roman" w:hAnsi="Times New Roman"/>
          <w:sz w:val="24"/>
          <w:szCs w:val="24"/>
          <w:lang w:val="sr-Cyrl-CS"/>
        </w:rPr>
        <w:t xml:space="preserve">оваквом </w:t>
      </w:r>
      <w:r w:rsidR="005A034E">
        <w:rPr>
          <w:rFonts w:ascii="Times New Roman" w:hAnsi="Times New Roman"/>
          <w:sz w:val="24"/>
          <w:szCs w:val="24"/>
          <w:lang w:val="sr-Cyrl-CS"/>
        </w:rPr>
        <w:t>случају, и даље може доћи до п</w:t>
      </w:r>
      <w:r w:rsidR="00D545FB">
        <w:rPr>
          <w:rFonts w:ascii="Times New Roman" w:hAnsi="Times New Roman"/>
          <w:sz w:val="24"/>
          <w:szCs w:val="24"/>
          <w:lang w:val="sr-Cyrl-CS"/>
        </w:rPr>
        <w:t>одмићивања, али у облику изнуде јер ће с</w:t>
      </w:r>
      <w:r w:rsidR="005A034E">
        <w:rPr>
          <w:rFonts w:ascii="Times New Roman" w:hAnsi="Times New Roman"/>
          <w:sz w:val="24"/>
          <w:szCs w:val="24"/>
          <w:lang w:val="sr-Cyrl-CS"/>
        </w:rPr>
        <w:t>ада порески обвезник подмићивати инспектора да не искриви тачне инф</w:t>
      </w:r>
      <w:r w:rsidR="002F34EE">
        <w:rPr>
          <w:rFonts w:ascii="Times New Roman" w:hAnsi="Times New Roman"/>
          <w:sz w:val="24"/>
          <w:szCs w:val="24"/>
          <w:lang w:val="sr-Cyrl-CS"/>
        </w:rPr>
        <w:t>ормације, супротно претходном сл</w:t>
      </w:r>
      <w:r w:rsidR="005A034E">
        <w:rPr>
          <w:rFonts w:ascii="Times New Roman" w:hAnsi="Times New Roman"/>
          <w:sz w:val="24"/>
          <w:szCs w:val="24"/>
          <w:lang w:val="sr-Cyrl-CS"/>
        </w:rPr>
        <w:t xml:space="preserve">учају када га је подмићивао да искриви тачне информације. </w:t>
      </w:r>
      <w:r w:rsidR="00D545FB">
        <w:rPr>
          <w:rFonts w:ascii="Times New Roman" w:hAnsi="Times New Roman"/>
          <w:sz w:val="24"/>
          <w:szCs w:val="24"/>
          <w:lang w:val="sr-Cyrl-CS"/>
        </w:rPr>
        <w:t>М</w:t>
      </w:r>
      <w:r w:rsidR="005A034E">
        <w:rPr>
          <w:rFonts w:ascii="Times New Roman" w:hAnsi="Times New Roman"/>
          <w:sz w:val="24"/>
          <w:szCs w:val="24"/>
          <w:lang w:val="sr-Cyrl-CS"/>
        </w:rPr>
        <w:t xml:space="preserve">огу се јавити </w:t>
      </w:r>
      <w:r w:rsidR="00D545FB">
        <w:rPr>
          <w:rFonts w:ascii="Times New Roman" w:hAnsi="Times New Roman"/>
          <w:sz w:val="24"/>
          <w:szCs w:val="24"/>
          <w:lang w:val="sr-Cyrl-CS"/>
        </w:rPr>
        <w:t xml:space="preserve">и </w:t>
      </w:r>
      <w:r w:rsidR="005A034E">
        <w:rPr>
          <w:rFonts w:ascii="Times New Roman" w:hAnsi="Times New Roman"/>
          <w:sz w:val="24"/>
          <w:szCs w:val="24"/>
          <w:lang w:val="sr-Cyrl-CS"/>
        </w:rPr>
        <w:t>средњи случајеви корупције, када се ја</w:t>
      </w:r>
      <w:r w:rsidR="002F34EE">
        <w:rPr>
          <w:rFonts w:ascii="Times New Roman" w:hAnsi="Times New Roman"/>
          <w:sz w:val="24"/>
          <w:szCs w:val="24"/>
          <w:lang w:val="sr-Cyrl-CS"/>
        </w:rPr>
        <w:t>вна овлашћења злоупотребљавају т</w:t>
      </w:r>
      <w:r w:rsidR="005A034E">
        <w:rPr>
          <w:rFonts w:ascii="Times New Roman" w:hAnsi="Times New Roman"/>
          <w:sz w:val="24"/>
          <w:szCs w:val="24"/>
          <w:lang w:val="sr-Cyrl-CS"/>
        </w:rPr>
        <w:t>а</w:t>
      </w:r>
      <w:r w:rsidR="00D545FB">
        <w:rPr>
          <w:rFonts w:ascii="Times New Roman" w:hAnsi="Times New Roman"/>
          <w:sz w:val="24"/>
          <w:szCs w:val="24"/>
          <w:lang w:val="sr-Cyrl-CS"/>
        </w:rPr>
        <w:t xml:space="preserve">ко што се одуговлачи или касни </w:t>
      </w:r>
      <w:r w:rsidR="005A034E">
        <w:rPr>
          <w:rFonts w:ascii="Times New Roman" w:hAnsi="Times New Roman"/>
          <w:sz w:val="24"/>
          <w:szCs w:val="24"/>
          <w:lang w:val="sr-Cyrl-CS"/>
        </w:rPr>
        <w:t>са неком радњом коју је инспектор</w:t>
      </w:r>
      <w:r w:rsidR="002F34EE">
        <w:rPr>
          <w:rFonts w:ascii="Times New Roman" w:hAnsi="Times New Roman"/>
          <w:sz w:val="24"/>
          <w:szCs w:val="24"/>
          <w:lang w:val="sr-Cyrl-CS"/>
        </w:rPr>
        <w:t xml:space="preserve"> оба</w:t>
      </w:r>
      <w:r w:rsidR="00D545FB">
        <w:rPr>
          <w:rFonts w:ascii="Times New Roman" w:hAnsi="Times New Roman"/>
          <w:sz w:val="24"/>
          <w:szCs w:val="24"/>
          <w:lang w:val="sr-Cyrl-CS"/>
        </w:rPr>
        <w:t xml:space="preserve">везан да предузме и то је </w:t>
      </w:r>
      <w:r w:rsidR="002F34EE">
        <w:rPr>
          <w:rFonts w:ascii="Times New Roman" w:hAnsi="Times New Roman"/>
          <w:sz w:val="24"/>
          <w:szCs w:val="24"/>
          <w:lang w:val="sr-Cyrl-CS"/>
        </w:rPr>
        <w:t>сл</w:t>
      </w:r>
      <w:r w:rsidR="005A034E">
        <w:rPr>
          <w:rFonts w:ascii="Times New Roman" w:hAnsi="Times New Roman"/>
          <w:sz w:val="24"/>
          <w:szCs w:val="24"/>
          <w:lang w:val="sr-Cyrl-CS"/>
        </w:rPr>
        <w:t xml:space="preserve">учај бирократизма. </w:t>
      </w:r>
      <w:r w:rsidR="00D545FB">
        <w:rPr>
          <w:rFonts w:ascii="Times New Roman" w:hAnsi="Times New Roman"/>
          <w:sz w:val="24"/>
          <w:szCs w:val="24"/>
          <w:lang w:val="sr-Cyrl-CS"/>
        </w:rPr>
        <w:t>Порески обвезници ће бити у искушењу</w:t>
      </w:r>
      <w:r w:rsidR="005A034E">
        <w:rPr>
          <w:rFonts w:ascii="Times New Roman" w:hAnsi="Times New Roman"/>
          <w:sz w:val="24"/>
          <w:szCs w:val="24"/>
          <w:lang w:val="sr-Cyrl-CS"/>
        </w:rPr>
        <w:t xml:space="preserve">, ако </w:t>
      </w:r>
      <w:r w:rsidR="00D545FB">
        <w:rPr>
          <w:rFonts w:ascii="Times New Roman" w:hAnsi="Times New Roman"/>
          <w:sz w:val="24"/>
          <w:szCs w:val="24"/>
          <w:lang w:val="sr-Cyrl-CS"/>
        </w:rPr>
        <w:t>могу да избегну</w:t>
      </w:r>
      <w:r w:rsidR="005A034E">
        <w:rPr>
          <w:rFonts w:ascii="Times New Roman" w:hAnsi="Times New Roman"/>
          <w:sz w:val="24"/>
          <w:szCs w:val="24"/>
          <w:lang w:val="sr-Cyrl-CS"/>
        </w:rPr>
        <w:t xml:space="preserve"> казну за утају пореза плаћањем мита инспектору, да се договоре о</w:t>
      </w:r>
      <w:r w:rsidR="00D545FB">
        <w:rPr>
          <w:rFonts w:ascii="Times New Roman" w:hAnsi="Times New Roman"/>
          <w:sz w:val="24"/>
          <w:szCs w:val="24"/>
          <w:lang w:val="sr-Cyrl-CS"/>
        </w:rPr>
        <w:t xml:space="preserve"> избегавању пореза. Слично томе ће и поштен порески обвезник имати подстицај</w:t>
      </w:r>
      <w:r w:rsidR="005A034E">
        <w:rPr>
          <w:rFonts w:ascii="Times New Roman" w:hAnsi="Times New Roman"/>
          <w:sz w:val="24"/>
          <w:szCs w:val="24"/>
          <w:lang w:val="sr-Cyrl-CS"/>
        </w:rPr>
        <w:t xml:space="preserve"> </w:t>
      </w:r>
      <w:r w:rsidR="00D545FB">
        <w:rPr>
          <w:rFonts w:ascii="Times New Roman" w:hAnsi="Times New Roman"/>
          <w:sz w:val="24"/>
          <w:szCs w:val="24"/>
          <w:lang w:val="sr-Cyrl-CS"/>
        </w:rPr>
        <w:t xml:space="preserve">да избегава порезе </w:t>
      </w:r>
      <w:r w:rsidR="005A034E">
        <w:rPr>
          <w:rFonts w:ascii="Times New Roman" w:hAnsi="Times New Roman"/>
          <w:sz w:val="24"/>
          <w:szCs w:val="24"/>
          <w:lang w:val="sr-Cyrl-CS"/>
        </w:rPr>
        <w:t xml:space="preserve">ако инспектор покушава да изнуди мито од </w:t>
      </w:r>
      <w:r w:rsidR="00D545FB">
        <w:rPr>
          <w:rFonts w:ascii="Times New Roman" w:hAnsi="Times New Roman"/>
          <w:sz w:val="24"/>
          <w:szCs w:val="24"/>
          <w:lang w:val="sr-Cyrl-CS"/>
        </w:rPr>
        <w:t>њега</w:t>
      </w:r>
      <w:r w:rsidR="005A034E">
        <w:rPr>
          <w:rFonts w:ascii="Times New Roman" w:hAnsi="Times New Roman"/>
          <w:sz w:val="24"/>
          <w:szCs w:val="24"/>
          <w:lang w:val="sr-Cyrl-CS"/>
        </w:rPr>
        <w:t xml:space="preserve">. </w:t>
      </w:r>
    </w:p>
    <w:p w:rsidR="00A801E4" w:rsidRDefault="00A801E4" w:rsidP="00A801E4">
      <w:pPr>
        <w:pStyle w:val="ListParagraph"/>
        <w:ind w:left="0" w:firstLine="630"/>
        <w:jc w:val="both"/>
        <w:rPr>
          <w:rFonts w:ascii="Times New Roman" w:hAnsi="Times New Roman"/>
          <w:sz w:val="24"/>
          <w:szCs w:val="24"/>
          <w:lang w:val="sr-Cyrl-CS"/>
        </w:rPr>
      </w:pPr>
    </w:p>
    <w:p w:rsidR="004E5455" w:rsidRPr="00AF6B6D" w:rsidRDefault="00BD143A" w:rsidP="00AF6B6D">
      <w:pPr>
        <w:ind w:firstLine="630"/>
        <w:jc w:val="both"/>
        <w:rPr>
          <w:rFonts w:ascii="Times New Roman" w:hAnsi="Times New Roman"/>
          <w:sz w:val="24"/>
          <w:szCs w:val="24"/>
          <w:lang w:val="sr-Cyrl-CS"/>
        </w:rPr>
      </w:pPr>
      <w:r w:rsidRPr="00C66689">
        <w:rPr>
          <w:rFonts w:ascii="Times New Roman" w:hAnsi="Times New Roman"/>
          <w:sz w:val="24"/>
          <w:szCs w:val="24"/>
        </w:rPr>
        <w:t xml:space="preserve">Што су корени, мотиви и узроци </w:t>
      </w:r>
      <w:r w:rsidRPr="00C66689">
        <w:rPr>
          <w:rFonts w:ascii="Times New Roman" w:hAnsi="Times New Roman"/>
          <w:sz w:val="24"/>
          <w:szCs w:val="24"/>
          <w:lang w:val="sr-Cyrl-CS"/>
        </w:rPr>
        <w:t>ових појава</w:t>
      </w:r>
      <w:r w:rsidRPr="00C66689">
        <w:rPr>
          <w:rFonts w:ascii="Times New Roman" w:hAnsi="Times New Roman"/>
          <w:sz w:val="24"/>
          <w:szCs w:val="24"/>
        </w:rPr>
        <w:t xml:space="preserve"> дубљи, односно </w:t>
      </w:r>
      <w:r w:rsidRPr="00C66689">
        <w:rPr>
          <w:rFonts w:ascii="Times New Roman" w:hAnsi="Times New Roman"/>
          <w:sz w:val="24"/>
          <w:szCs w:val="24"/>
          <w:lang w:val="sr-Cyrl-CS"/>
        </w:rPr>
        <w:t>њихови</w:t>
      </w:r>
      <w:r w:rsidRPr="00C66689">
        <w:rPr>
          <w:rFonts w:ascii="Times New Roman" w:hAnsi="Times New Roman"/>
          <w:sz w:val="24"/>
          <w:szCs w:val="24"/>
        </w:rPr>
        <w:t xml:space="preserve"> појавни облици</w:t>
      </w:r>
      <w:r w:rsidRPr="00C66689">
        <w:rPr>
          <w:rFonts w:ascii="Times New Roman" w:hAnsi="Times New Roman"/>
          <w:sz w:val="24"/>
          <w:szCs w:val="24"/>
          <w:lang w:val="sr-Cyrl-CS"/>
        </w:rPr>
        <w:t xml:space="preserve"> </w:t>
      </w:r>
      <w:r w:rsidRPr="00C66689">
        <w:rPr>
          <w:rFonts w:ascii="Times New Roman" w:hAnsi="Times New Roman"/>
          <w:sz w:val="24"/>
          <w:szCs w:val="24"/>
        </w:rPr>
        <w:t xml:space="preserve">разноврснији, методе и тактике </w:t>
      </w:r>
      <w:r w:rsidRPr="00C66689">
        <w:rPr>
          <w:rFonts w:ascii="Times New Roman" w:hAnsi="Times New Roman"/>
          <w:sz w:val="24"/>
          <w:szCs w:val="24"/>
          <w:lang w:val="sr-Cyrl-CS"/>
        </w:rPr>
        <w:t xml:space="preserve">супротстављања овим појава </w:t>
      </w:r>
      <w:r w:rsidRPr="00C66689">
        <w:rPr>
          <w:rFonts w:ascii="Times New Roman" w:hAnsi="Times New Roman"/>
          <w:sz w:val="24"/>
          <w:szCs w:val="24"/>
        </w:rPr>
        <w:t>морају бити координисаниј</w:t>
      </w:r>
      <w:r>
        <w:rPr>
          <w:rFonts w:ascii="Times New Roman" w:hAnsi="Times New Roman"/>
          <w:sz w:val="24"/>
          <w:szCs w:val="24"/>
          <w:lang w:val="sr-Cyrl-CS"/>
        </w:rPr>
        <w:t>е</w:t>
      </w:r>
      <w:r w:rsidRPr="00C66689">
        <w:rPr>
          <w:rFonts w:ascii="Times New Roman" w:hAnsi="Times New Roman"/>
          <w:sz w:val="24"/>
          <w:szCs w:val="24"/>
        </w:rPr>
        <w:t xml:space="preserve">. Ефикасна борба подразумева примену </w:t>
      </w:r>
      <w:r w:rsidRPr="00C66689">
        <w:rPr>
          <w:rFonts w:ascii="Times New Roman" w:hAnsi="Times New Roman"/>
          <w:sz w:val="24"/>
          <w:szCs w:val="24"/>
          <w:lang w:val="sr-Cyrl-CS"/>
        </w:rPr>
        <w:t xml:space="preserve">разноврсних </w:t>
      </w:r>
      <w:r w:rsidRPr="00C66689">
        <w:rPr>
          <w:rFonts w:ascii="Times New Roman" w:hAnsi="Times New Roman"/>
          <w:sz w:val="24"/>
          <w:szCs w:val="24"/>
        </w:rPr>
        <w:t>средстава</w:t>
      </w:r>
      <w:r w:rsidRPr="00C66689">
        <w:rPr>
          <w:rFonts w:ascii="Times New Roman" w:hAnsi="Times New Roman"/>
          <w:sz w:val="24"/>
          <w:szCs w:val="24"/>
          <w:lang w:val="sr-Cyrl-CS"/>
        </w:rPr>
        <w:t xml:space="preserve"> и мера</w:t>
      </w:r>
      <w:r w:rsidRPr="00C66689">
        <w:rPr>
          <w:rFonts w:ascii="Times New Roman" w:hAnsi="Times New Roman"/>
          <w:sz w:val="24"/>
          <w:szCs w:val="24"/>
        </w:rPr>
        <w:t>, од превентивних  до репресивних, односно кривичноправно</w:t>
      </w:r>
      <w:r w:rsidRPr="00C66689">
        <w:rPr>
          <w:rFonts w:ascii="Times New Roman" w:hAnsi="Times New Roman"/>
          <w:sz w:val="24"/>
          <w:szCs w:val="24"/>
          <w:lang w:val="sr-Cyrl-CS"/>
        </w:rPr>
        <w:t xml:space="preserve"> </w:t>
      </w:r>
      <w:r w:rsidRPr="00C66689">
        <w:rPr>
          <w:rFonts w:ascii="Times New Roman" w:hAnsi="Times New Roman"/>
          <w:sz w:val="24"/>
          <w:szCs w:val="24"/>
        </w:rPr>
        <w:t>деловањ</w:t>
      </w:r>
      <w:r>
        <w:rPr>
          <w:rFonts w:ascii="Times New Roman" w:hAnsi="Times New Roman"/>
          <w:sz w:val="24"/>
          <w:szCs w:val="24"/>
          <w:lang w:val="sr-Cyrl-CS"/>
        </w:rPr>
        <w:t>е</w:t>
      </w:r>
      <w:r w:rsidRPr="00C66689">
        <w:rPr>
          <w:rFonts w:ascii="Times New Roman" w:hAnsi="Times New Roman"/>
          <w:sz w:val="24"/>
          <w:szCs w:val="24"/>
        </w:rPr>
        <w:t>. Кључну улогу у овом процесу не игра само обезбеђивање довољне</w:t>
      </w:r>
      <w:r w:rsidRPr="00C66689">
        <w:rPr>
          <w:rFonts w:ascii="Times New Roman" w:hAnsi="Times New Roman"/>
          <w:sz w:val="24"/>
          <w:szCs w:val="24"/>
          <w:lang w:val="sr-Cyrl-CS"/>
        </w:rPr>
        <w:t xml:space="preserve"> </w:t>
      </w:r>
      <w:r w:rsidRPr="00C66689">
        <w:rPr>
          <w:rFonts w:ascii="Times New Roman" w:hAnsi="Times New Roman"/>
          <w:sz w:val="24"/>
          <w:szCs w:val="24"/>
        </w:rPr>
        <w:t xml:space="preserve">политичке воље и спремности на </w:t>
      </w:r>
      <w:r w:rsidRPr="00C66689">
        <w:rPr>
          <w:rFonts w:ascii="Times New Roman" w:hAnsi="Times New Roman"/>
          <w:sz w:val="24"/>
          <w:szCs w:val="24"/>
          <w:lang w:val="sr-Cyrl-CS"/>
        </w:rPr>
        <w:t>суштинске</w:t>
      </w:r>
      <w:r w:rsidRPr="00C66689">
        <w:rPr>
          <w:rFonts w:ascii="Times New Roman" w:hAnsi="Times New Roman"/>
          <w:sz w:val="24"/>
          <w:szCs w:val="24"/>
        </w:rPr>
        <w:t xml:space="preserve"> промене, већ и</w:t>
      </w:r>
      <w:r w:rsidRPr="00C66689">
        <w:rPr>
          <w:rFonts w:ascii="Times New Roman" w:hAnsi="Times New Roman"/>
          <w:sz w:val="24"/>
          <w:szCs w:val="24"/>
          <w:lang w:val="sr-Cyrl-CS"/>
        </w:rPr>
        <w:t xml:space="preserve"> </w:t>
      </w:r>
      <w:r w:rsidRPr="00C66689">
        <w:rPr>
          <w:rFonts w:ascii="Times New Roman" w:hAnsi="Times New Roman"/>
          <w:sz w:val="24"/>
          <w:szCs w:val="24"/>
        </w:rPr>
        <w:t>промена односа моћи, односно свести и понашања грађана</w:t>
      </w:r>
      <w:r w:rsidRPr="00C66689">
        <w:rPr>
          <w:rFonts w:ascii="Times New Roman" w:hAnsi="Times New Roman"/>
          <w:sz w:val="24"/>
          <w:szCs w:val="24"/>
          <w:lang w:val="sr-Cyrl-CS"/>
        </w:rPr>
        <w:t>.</w:t>
      </w:r>
      <w:r>
        <w:rPr>
          <w:rFonts w:ascii="Times New Roman" w:hAnsi="Times New Roman"/>
          <w:sz w:val="24"/>
          <w:szCs w:val="24"/>
          <w:lang w:val="sr-Cyrl-CS"/>
        </w:rPr>
        <w:t xml:space="preserve"> </w:t>
      </w:r>
    </w:p>
    <w:p w:rsidR="00360574" w:rsidRDefault="00201411" w:rsidP="00360574">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 xml:space="preserve">Према томе, ради се о  појавама које су међусобно повезане, које се у савременим условима појављују у великом броју облика, </w:t>
      </w:r>
      <w:r w:rsidR="004E5455">
        <w:rPr>
          <w:rFonts w:ascii="Times New Roman" w:hAnsi="Times New Roman"/>
          <w:sz w:val="24"/>
          <w:szCs w:val="24"/>
          <w:lang w:val="sr-Cyrl-CS"/>
        </w:rPr>
        <w:t xml:space="preserve"> </w:t>
      </w:r>
      <w:r>
        <w:rPr>
          <w:rFonts w:ascii="Times New Roman" w:hAnsi="Times New Roman"/>
          <w:sz w:val="24"/>
          <w:szCs w:val="24"/>
          <w:lang w:val="sr-Cyrl-CS"/>
        </w:rPr>
        <w:t>тешко се откривају, а извршиоце привредног криминала и корупције, посебно корупције у пореској области, карактеришу професионални и високо стручни извршиоци, чиме се опасност ових појава још више потенцира. П</w:t>
      </w:r>
      <w:r w:rsidR="00360574">
        <w:rPr>
          <w:rFonts w:ascii="Times New Roman" w:hAnsi="Times New Roman"/>
          <w:sz w:val="24"/>
          <w:szCs w:val="24"/>
          <w:lang w:val="sr-Cyrl-CS"/>
        </w:rPr>
        <w:t>ривредни криминал се најчешће служи корупцијом као начином повезивања са утицајним државним, привредним и финанијским субјектима, па је тако и код избегавања плаћања пореза често битна карика корупција, како овакве радње не би биле откривене и санкционисане.</w:t>
      </w:r>
    </w:p>
    <w:p w:rsidR="006D591D" w:rsidRDefault="006D591D" w:rsidP="00360574">
      <w:pPr>
        <w:pStyle w:val="ListParagraph"/>
        <w:ind w:left="0" w:firstLine="630"/>
        <w:jc w:val="both"/>
        <w:rPr>
          <w:rFonts w:ascii="Times New Roman" w:hAnsi="Times New Roman"/>
          <w:sz w:val="24"/>
          <w:szCs w:val="24"/>
          <w:lang w:val="sr-Cyrl-CS"/>
        </w:rPr>
      </w:pPr>
    </w:p>
    <w:p w:rsidR="006D591D" w:rsidRDefault="004D207F" w:rsidP="00360574">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Имајући у виду да економски криминалитет има</w:t>
      </w:r>
      <w:r w:rsidR="006D591D">
        <w:rPr>
          <w:rFonts w:ascii="Times New Roman" w:hAnsi="Times New Roman"/>
          <w:sz w:val="24"/>
          <w:szCs w:val="24"/>
          <w:lang w:val="sr-Cyrl-CS"/>
        </w:rPr>
        <w:t xml:space="preserve"> велику динамичност и прилагодљивост, учиниоци ефикасно уочавају велике празнине у правном систему немилосрдно их користећи за различите облике великих пљачки друштвеног богатства. </w:t>
      </w:r>
      <w:r>
        <w:rPr>
          <w:rFonts w:ascii="Times New Roman" w:hAnsi="Times New Roman"/>
          <w:sz w:val="24"/>
          <w:szCs w:val="24"/>
          <w:lang w:val="sr-Cyrl-CS"/>
        </w:rPr>
        <w:t xml:space="preserve">При том, изостаје адекватна </w:t>
      </w:r>
      <w:r w:rsidR="006D591D">
        <w:rPr>
          <w:rFonts w:ascii="Times New Roman" w:hAnsi="Times New Roman"/>
          <w:sz w:val="24"/>
          <w:szCs w:val="24"/>
          <w:lang w:val="sr-Cyrl-CS"/>
        </w:rPr>
        <w:t xml:space="preserve">друштвена реакција самозаштите и правног регулисања новонасталих празнина </w:t>
      </w:r>
      <w:r>
        <w:rPr>
          <w:rFonts w:ascii="Times New Roman" w:hAnsi="Times New Roman"/>
          <w:sz w:val="24"/>
          <w:szCs w:val="24"/>
          <w:lang w:val="sr-Cyrl-CS"/>
        </w:rPr>
        <w:t xml:space="preserve">која је најчешће </w:t>
      </w:r>
      <w:r w:rsidR="006D591D">
        <w:rPr>
          <w:rFonts w:ascii="Times New Roman" w:hAnsi="Times New Roman"/>
          <w:sz w:val="24"/>
          <w:szCs w:val="24"/>
          <w:lang w:val="sr-Cyrl-CS"/>
        </w:rPr>
        <w:t>изузетно спора и неефикасна.</w:t>
      </w:r>
      <w:r w:rsidR="006D591D">
        <w:rPr>
          <w:rStyle w:val="FootnoteReference"/>
          <w:rFonts w:ascii="Times New Roman" w:hAnsi="Times New Roman"/>
          <w:sz w:val="24"/>
          <w:szCs w:val="24"/>
          <w:lang w:val="sr-Cyrl-CS"/>
        </w:rPr>
        <w:footnoteReference w:id="639"/>
      </w:r>
    </w:p>
    <w:p w:rsidR="001C45B2" w:rsidRDefault="001C45B2" w:rsidP="00360574">
      <w:pPr>
        <w:pStyle w:val="ListParagraph"/>
        <w:ind w:left="0" w:firstLine="630"/>
        <w:jc w:val="both"/>
        <w:rPr>
          <w:rFonts w:ascii="Times New Roman" w:hAnsi="Times New Roman"/>
          <w:sz w:val="24"/>
          <w:szCs w:val="24"/>
          <w:lang w:val="sr-Cyrl-CS"/>
        </w:rPr>
      </w:pPr>
    </w:p>
    <w:p w:rsidR="001C45B2" w:rsidRDefault="004E5455" w:rsidP="001C45B2">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Међутим, и поред значаја привредног криминала и корупције, н</w:t>
      </w:r>
      <w:r w:rsidR="001C45B2">
        <w:rPr>
          <w:rFonts w:ascii="Times New Roman" w:hAnsi="Times New Roman"/>
          <w:sz w:val="24"/>
          <w:szCs w:val="24"/>
          <w:lang w:val="sr-Cyrl-CS"/>
        </w:rPr>
        <w:t xml:space="preserve">ека претходна питања, која су битна за даље емпиријско и теоријско изучавање ових појава, нису разрешена, па тако на пример није на задовољавајући начин решено ни дефинисање ових појава. Уочава се велики број покушаја различитог дефинисања, а што све указује на њихову сложеност, опасност и потребу мултидисиплинарног приступа. Различититост у дефинисању утиче и на развијање стратегије у борби против ових појава. </w:t>
      </w:r>
      <w:r>
        <w:rPr>
          <w:rFonts w:ascii="Times New Roman" w:hAnsi="Times New Roman"/>
          <w:sz w:val="24"/>
          <w:szCs w:val="24"/>
          <w:lang w:val="sr-Cyrl-CS"/>
        </w:rPr>
        <w:t>У наредном излагању биће речи о покушајима дефинисања ових појава.</w:t>
      </w:r>
    </w:p>
    <w:p w:rsidR="001C45B2" w:rsidRDefault="001C45B2" w:rsidP="00360574">
      <w:pPr>
        <w:pStyle w:val="ListParagraph"/>
        <w:ind w:left="0" w:firstLine="630"/>
        <w:jc w:val="both"/>
        <w:rPr>
          <w:rFonts w:ascii="Times New Roman" w:hAnsi="Times New Roman"/>
          <w:sz w:val="24"/>
          <w:szCs w:val="24"/>
          <w:lang w:val="sr-Cyrl-CS"/>
        </w:rPr>
      </w:pPr>
    </w:p>
    <w:p w:rsidR="00AF6B6D" w:rsidRDefault="00AF6B6D" w:rsidP="00360574">
      <w:pPr>
        <w:pStyle w:val="ListParagraph"/>
        <w:ind w:left="0" w:firstLine="630"/>
        <w:jc w:val="both"/>
        <w:rPr>
          <w:rFonts w:ascii="Times New Roman" w:hAnsi="Times New Roman"/>
          <w:sz w:val="24"/>
          <w:szCs w:val="24"/>
          <w:lang w:val="sr-Cyrl-CS"/>
        </w:rPr>
      </w:pPr>
    </w:p>
    <w:p w:rsidR="00AF6B6D" w:rsidRDefault="00AF6B6D" w:rsidP="00360574">
      <w:pPr>
        <w:pStyle w:val="ListParagraph"/>
        <w:ind w:left="0" w:firstLine="630"/>
        <w:jc w:val="both"/>
        <w:rPr>
          <w:rFonts w:ascii="Times New Roman" w:hAnsi="Times New Roman"/>
          <w:sz w:val="24"/>
          <w:szCs w:val="24"/>
          <w:lang w:val="sr-Cyrl-CS"/>
        </w:rPr>
      </w:pPr>
    </w:p>
    <w:p w:rsidR="00AF6B6D" w:rsidRDefault="00AF6B6D" w:rsidP="00360574">
      <w:pPr>
        <w:pStyle w:val="ListParagraph"/>
        <w:ind w:left="0" w:firstLine="630"/>
        <w:jc w:val="both"/>
        <w:rPr>
          <w:rFonts w:ascii="Times New Roman" w:hAnsi="Times New Roman"/>
          <w:sz w:val="24"/>
          <w:szCs w:val="24"/>
          <w:lang w:val="sr-Cyrl-CS"/>
        </w:rPr>
      </w:pPr>
    </w:p>
    <w:p w:rsidR="00AF6B6D" w:rsidRDefault="00AF6B6D" w:rsidP="00360574">
      <w:pPr>
        <w:pStyle w:val="ListParagraph"/>
        <w:ind w:left="0" w:firstLine="630"/>
        <w:jc w:val="both"/>
        <w:rPr>
          <w:rFonts w:ascii="Times New Roman" w:hAnsi="Times New Roman"/>
          <w:sz w:val="24"/>
          <w:szCs w:val="24"/>
          <w:lang w:val="sr-Cyrl-CS"/>
        </w:rPr>
      </w:pPr>
    </w:p>
    <w:p w:rsidR="00AF6B6D" w:rsidRDefault="00AF6B6D" w:rsidP="00360574">
      <w:pPr>
        <w:pStyle w:val="ListParagraph"/>
        <w:ind w:left="0" w:firstLine="630"/>
        <w:jc w:val="both"/>
        <w:rPr>
          <w:rFonts w:ascii="Times New Roman" w:hAnsi="Times New Roman"/>
          <w:sz w:val="24"/>
          <w:szCs w:val="24"/>
          <w:lang w:val="sr-Cyrl-CS"/>
        </w:rPr>
      </w:pPr>
    </w:p>
    <w:p w:rsidR="00AF6B6D" w:rsidRDefault="00AF6B6D" w:rsidP="00360574">
      <w:pPr>
        <w:pStyle w:val="ListParagraph"/>
        <w:ind w:left="0" w:firstLine="630"/>
        <w:jc w:val="both"/>
        <w:rPr>
          <w:rFonts w:ascii="Times New Roman" w:hAnsi="Times New Roman"/>
          <w:sz w:val="24"/>
          <w:szCs w:val="24"/>
          <w:lang w:val="sr-Cyrl-CS"/>
        </w:rPr>
      </w:pPr>
    </w:p>
    <w:p w:rsidR="00AF6B6D" w:rsidRDefault="00AF6B6D" w:rsidP="00360574">
      <w:pPr>
        <w:pStyle w:val="ListParagraph"/>
        <w:ind w:left="0" w:firstLine="630"/>
        <w:jc w:val="both"/>
        <w:rPr>
          <w:rFonts w:ascii="Times New Roman" w:hAnsi="Times New Roman"/>
          <w:sz w:val="24"/>
          <w:szCs w:val="24"/>
          <w:lang w:val="sr-Cyrl-CS"/>
        </w:rPr>
      </w:pPr>
    </w:p>
    <w:p w:rsidR="00360574" w:rsidRPr="001F4B89" w:rsidRDefault="00360574" w:rsidP="001F4B89">
      <w:pPr>
        <w:jc w:val="both"/>
        <w:rPr>
          <w:rFonts w:ascii="Times New Roman" w:hAnsi="Times New Roman"/>
          <w:sz w:val="24"/>
          <w:szCs w:val="24"/>
          <w:lang w:val="sr-Cyrl-CS"/>
        </w:rPr>
      </w:pPr>
    </w:p>
    <w:p w:rsidR="00360574" w:rsidRPr="00360574" w:rsidRDefault="00360574" w:rsidP="00360574">
      <w:pPr>
        <w:pStyle w:val="ListParagraph"/>
        <w:numPr>
          <w:ilvl w:val="1"/>
          <w:numId w:val="4"/>
        </w:numPr>
        <w:jc w:val="center"/>
        <w:rPr>
          <w:rFonts w:ascii="Times New Roman" w:hAnsi="Times New Roman"/>
          <w:b/>
          <w:sz w:val="24"/>
          <w:szCs w:val="24"/>
          <w:lang w:val="sr-Cyrl-CS"/>
        </w:rPr>
      </w:pPr>
      <w:r w:rsidRPr="00360574">
        <w:rPr>
          <w:rFonts w:ascii="Times New Roman" w:hAnsi="Times New Roman"/>
          <w:b/>
          <w:sz w:val="24"/>
          <w:szCs w:val="24"/>
          <w:lang w:val="sr-Cyrl-CS"/>
        </w:rPr>
        <w:lastRenderedPageBreak/>
        <w:t>Дефинисање привредног криминала</w:t>
      </w:r>
    </w:p>
    <w:p w:rsidR="00360574" w:rsidRPr="00295E51" w:rsidRDefault="00360574" w:rsidP="00295E51">
      <w:pPr>
        <w:pStyle w:val="ListParagraph"/>
        <w:ind w:left="0" w:firstLine="630"/>
        <w:jc w:val="both"/>
        <w:rPr>
          <w:rFonts w:ascii="Times New Roman" w:hAnsi="Times New Roman"/>
          <w:sz w:val="24"/>
          <w:szCs w:val="24"/>
          <w:lang w:val="sr-Cyrl-CS"/>
        </w:rPr>
      </w:pPr>
    </w:p>
    <w:p w:rsidR="001C1A9E" w:rsidRDefault="001C1A9E" w:rsidP="001E271B">
      <w:pPr>
        <w:pStyle w:val="ListParagraph"/>
        <w:ind w:left="0" w:firstLine="630"/>
        <w:jc w:val="both"/>
        <w:rPr>
          <w:rFonts w:ascii="Times New Roman" w:hAnsi="Times New Roman"/>
          <w:sz w:val="24"/>
          <w:szCs w:val="24"/>
          <w:lang w:val="sr-Cyrl-CS"/>
        </w:rPr>
      </w:pPr>
    </w:p>
    <w:p w:rsidR="00BB5F3C" w:rsidRDefault="00BD0715" w:rsidP="00BA2121">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Поред бројних покушаја одређивања</w:t>
      </w:r>
      <w:r w:rsidR="00DA4D37">
        <w:rPr>
          <w:rFonts w:ascii="Times New Roman" w:hAnsi="Times New Roman"/>
          <w:sz w:val="24"/>
          <w:szCs w:val="24"/>
          <w:lang w:val="sr-Cyrl-CS"/>
        </w:rPr>
        <w:t xml:space="preserve"> појма привредног криминала</w:t>
      </w:r>
      <w:r w:rsidR="00DB0796">
        <w:rPr>
          <w:rFonts w:ascii="Times New Roman" w:hAnsi="Times New Roman"/>
          <w:sz w:val="24"/>
          <w:szCs w:val="24"/>
          <w:lang w:val="sr-Cyrl-CS"/>
        </w:rPr>
        <w:t xml:space="preserve"> у </w:t>
      </w:r>
      <w:r>
        <w:rPr>
          <w:rFonts w:ascii="Times New Roman" w:hAnsi="Times New Roman"/>
          <w:sz w:val="24"/>
          <w:szCs w:val="24"/>
          <w:lang w:val="sr-Cyrl-CS"/>
        </w:rPr>
        <w:t>пракси,</w:t>
      </w:r>
      <w:r w:rsidR="00DB0796">
        <w:rPr>
          <w:rFonts w:ascii="Times New Roman" w:hAnsi="Times New Roman"/>
          <w:sz w:val="24"/>
          <w:szCs w:val="24"/>
          <w:lang w:val="sr-Cyrl-CS"/>
        </w:rPr>
        <w:t xml:space="preserve"> </w:t>
      </w:r>
      <w:r>
        <w:rPr>
          <w:rFonts w:ascii="Times New Roman" w:hAnsi="Times New Roman"/>
          <w:sz w:val="24"/>
          <w:szCs w:val="24"/>
          <w:lang w:val="sr-Cyrl-CS"/>
        </w:rPr>
        <w:t xml:space="preserve">домаћој и страној </w:t>
      </w:r>
      <w:r w:rsidR="00DB0796">
        <w:rPr>
          <w:rFonts w:ascii="Times New Roman" w:hAnsi="Times New Roman"/>
          <w:sz w:val="24"/>
          <w:szCs w:val="24"/>
          <w:lang w:val="sr-Cyrl-CS"/>
        </w:rPr>
        <w:t>теорији</w:t>
      </w:r>
      <w:r>
        <w:rPr>
          <w:rFonts w:ascii="Times New Roman" w:hAnsi="Times New Roman"/>
          <w:sz w:val="24"/>
          <w:szCs w:val="24"/>
          <w:lang w:val="sr-Cyrl-CS"/>
        </w:rPr>
        <w:t xml:space="preserve">, у законодавству, као и од стране бројних државних органа и служби </w:t>
      </w:r>
      <w:r w:rsidR="00DB0796">
        <w:rPr>
          <w:rFonts w:ascii="Times New Roman" w:hAnsi="Times New Roman"/>
          <w:sz w:val="24"/>
          <w:szCs w:val="24"/>
          <w:lang w:val="sr-Cyrl-CS"/>
        </w:rPr>
        <w:t xml:space="preserve"> </w:t>
      </w:r>
      <w:r>
        <w:rPr>
          <w:rFonts w:ascii="Times New Roman" w:hAnsi="Times New Roman"/>
          <w:sz w:val="24"/>
          <w:szCs w:val="24"/>
          <w:lang w:val="sr-Cyrl-CS"/>
        </w:rPr>
        <w:t xml:space="preserve">није се дошло до </w:t>
      </w:r>
      <w:r w:rsidRPr="001C45B2">
        <w:rPr>
          <w:rFonts w:ascii="Times New Roman" w:hAnsi="Times New Roman"/>
          <w:sz w:val="24"/>
          <w:szCs w:val="24"/>
          <w:lang w:val="sr-Cyrl-CS"/>
        </w:rPr>
        <w:t xml:space="preserve">јединствене </w:t>
      </w:r>
      <w:r>
        <w:rPr>
          <w:rFonts w:ascii="Times New Roman" w:hAnsi="Times New Roman"/>
          <w:sz w:val="24"/>
          <w:szCs w:val="24"/>
          <w:lang w:val="sr-Cyrl-CS"/>
        </w:rPr>
        <w:t xml:space="preserve">и опште прихваћене дефиниције. Тиме се није на јединствен начин одредила суштина ове појаве, што отежава њено регулисање и предузимање мера у циљу њеног сузбијања. </w:t>
      </w:r>
      <w:r w:rsidR="006A5B3B">
        <w:rPr>
          <w:rFonts w:ascii="Times New Roman" w:hAnsi="Times New Roman"/>
          <w:sz w:val="24"/>
          <w:szCs w:val="24"/>
          <w:lang w:val="sr-Cyrl-CS"/>
        </w:rPr>
        <w:t>У нашим условима</w:t>
      </w:r>
      <w:r w:rsidR="00CA6CB1">
        <w:rPr>
          <w:rFonts w:ascii="Times New Roman" w:hAnsi="Times New Roman"/>
          <w:sz w:val="24"/>
          <w:szCs w:val="24"/>
          <w:lang w:val="sr-Cyrl-CS"/>
        </w:rPr>
        <w:t xml:space="preserve"> су се у процесу транзиције догодиле велике промене у друштвено-политичким и економским условима јер се привредни систем више не заснива на друштвеној својини и соци</w:t>
      </w:r>
      <w:r w:rsidR="006A5B3B">
        <w:rPr>
          <w:rFonts w:ascii="Times New Roman" w:hAnsi="Times New Roman"/>
          <w:sz w:val="24"/>
          <w:szCs w:val="24"/>
          <w:lang w:val="sr-Cyrl-CS"/>
        </w:rPr>
        <w:t>јалистичким привредним односима.</w:t>
      </w:r>
      <w:r w:rsidR="00CA6CB1">
        <w:rPr>
          <w:rFonts w:ascii="Times New Roman" w:hAnsi="Times New Roman"/>
          <w:sz w:val="24"/>
          <w:szCs w:val="24"/>
          <w:lang w:val="sr-Cyrl-CS"/>
        </w:rPr>
        <w:t xml:space="preserve"> </w:t>
      </w:r>
      <w:r w:rsidR="006A5B3B">
        <w:rPr>
          <w:rFonts w:ascii="Times New Roman" w:hAnsi="Times New Roman"/>
          <w:sz w:val="24"/>
          <w:szCs w:val="24"/>
          <w:lang w:val="sr-Cyrl-CS"/>
        </w:rPr>
        <w:t>Тиме је повећана</w:t>
      </w:r>
      <w:r w:rsidR="00CA6CB1">
        <w:rPr>
          <w:rFonts w:ascii="Times New Roman" w:hAnsi="Times New Roman"/>
          <w:sz w:val="24"/>
          <w:szCs w:val="24"/>
          <w:lang w:val="sr-Cyrl-CS"/>
        </w:rPr>
        <w:t xml:space="preserve"> сложеност и разноврсност појава привредног криминала, а самим тим је и дефинисање овог феномена и разграничење од њему сличних </w:t>
      </w:r>
      <w:r w:rsidR="006A5B3B">
        <w:rPr>
          <w:rFonts w:ascii="Times New Roman" w:hAnsi="Times New Roman"/>
          <w:sz w:val="24"/>
          <w:szCs w:val="24"/>
          <w:lang w:val="sr-Cyrl-CS"/>
        </w:rPr>
        <w:t xml:space="preserve">феномена </w:t>
      </w:r>
      <w:r w:rsidR="00CA6CB1">
        <w:rPr>
          <w:rFonts w:ascii="Times New Roman" w:hAnsi="Times New Roman"/>
          <w:sz w:val="24"/>
          <w:szCs w:val="24"/>
          <w:lang w:val="sr-Cyrl-CS"/>
        </w:rPr>
        <w:t>сложеније.</w:t>
      </w:r>
      <w:r w:rsidR="006A5B3B">
        <w:rPr>
          <w:rFonts w:ascii="Times New Roman" w:hAnsi="Times New Roman"/>
          <w:sz w:val="24"/>
          <w:szCs w:val="24"/>
          <w:lang w:val="sr-Cyrl-CS"/>
        </w:rPr>
        <w:t xml:space="preserve"> </w:t>
      </w:r>
      <w:r w:rsidR="002D7FE3">
        <w:rPr>
          <w:rFonts w:ascii="Times New Roman" w:hAnsi="Times New Roman"/>
          <w:sz w:val="24"/>
          <w:szCs w:val="24"/>
          <w:lang w:val="sr-Cyrl-CS"/>
        </w:rPr>
        <w:t xml:space="preserve">Релативно су малобројни новији радови који се баве дефинисањем и проучавањем феномена привредног криминалитета, што говори о томе да је овај феномен недовољно истражен. </w:t>
      </w:r>
      <w:r w:rsidR="00BA2121">
        <w:rPr>
          <w:rFonts w:ascii="Times New Roman" w:hAnsi="Times New Roman"/>
          <w:sz w:val="24"/>
          <w:szCs w:val="24"/>
          <w:lang w:val="sr-Cyrl-CS"/>
        </w:rPr>
        <w:t>Имају</w:t>
      </w:r>
      <w:r w:rsidR="006A5B3B">
        <w:rPr>
          <w:rFonts w:ascii="Times New Roman" w:hAnsi="Times New Roman"/>
          <w:sz w:val="24"/>
          <w:szCs w:val="24"/>
          <w:lang w:val="sr-Cyrl-CS"/>
        </w:rPr>
        <w:t xml:space="preserve">ћи у виду </w:t>
      </w:r>
      <w:r w:rsidR="006A5B3B" w:rsidRPr="001C45B2">
        <w:rPr>
          <w:rFonts w:ascii="Times New Roman" w:hAnsi="Times New Roman"/>
          <w:sz w:val="24"/>
          <w:szCs w:val="24"/>
          <w:lang w:val="sr-Cyrl-CS"/>
        </w:rPr>
        <w:t xml:space="preserve">карактеристике </w:t>
      </w:r>
      <w:r w:rsidR="006A5B3B">
        <w:rPr>
          <w:rFonts w:ascii="Times New Roman" w:hAnsi="Times New Roman"/>
          <w:sz w:val="24"/>
          <w:szCs w:val="24"/>
          <w:lang w:val="sr-Cyrl-CS"/>
        </w:rPr>
        <w:t>и природу привредног криминала може се закључити да се  ради о изузетно сложеној појави, па не чуди што не постоји универзално прихваћена дефиниција појма овог феномена.</w:t>
      </w:r>
    </w:p>
    <w:p w:rsidR="00BA2121" w:rsidRPr="00BA2121" w:rsidRDefault="00BA2121" w:rsidP="00BA2121">
      <w:pPr>
        <w:pStyle w:val="ListParagraph"/>
        <w:ind w:left="0" w:firstLine="630"/>
        <w:jc w:val="both"/>
        <w:rPr>
          <w:rFonts w:ascii="Times New Roman" w:hAnsi="Times New Roman"/>
          <w:sz w:val="24"/>
          <w:szCs w:val="24"/>
          <w:lang w:val="sr-Cyrl-CS"/>
        </w:rPr>
      </w:pPr>
    </w:p>
    <w:p w:rsidR="009754F6" w:rsidRDefault="00DB0796" w:rsidP="001E271B">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 xml:space="preserve">Амерички криминолог </w:t>
      </w:r>
      <w:r w:rsidR="00513EEC">
        <w:rPr>
          <w:rFonts w:ascii="Times New Roman" w:hAnsi="Times New Roman"/>
          <w:sz w:val="24"/>
          <w:szCs w:val="24"/>
        </w:rPr>
        <w:t xml:space="preserve">Edwin </w:t>
      </w:r>
      <w:r w:rsidRPr="00D55879">
        <w:rPr>
          <w:rFonts w:ascii="Times New Roman" w:hAnsi="Times New Roman"/>
          <w:sz w:val="24"/>
          <w:szCs w:val="24"/>
        </w:rPr>
        <w:t>Sutherland</w:t>
      </w:r>
      <w:r w:rsidRPr="00297F7F">
        <w:rPr>
          <w:rFonts w:ascii="Times New Roman" w:hAnsi="Times New Roman"/>
          <w:b/>
          <w:sz w:val="24"/>
          <w:szCs w:val="24"/>
          <w:lang w:val="sr-Cyrl-CS"/>
        </w:rPr>
        <w:t xml:space="preserve"> </w:t>
      </w:r>
      <w:r>
        <w:rPr>
          <w:rFonts w:ascii="Times New Roman" w:hAnsi="Times New Roman"/>
          <w:sz w:val="24"/>
          <w:szCs w:val="24"/>
          <w:lang w:val="sr-Cyrl-CS"/>
        </w:rPr>
        <w:t xml:space="preserve">дао је једну од најстаријих </w:t>
      </w:r>
      <w:r w:rsidR="00513EEC">
        <w:rPr>
          <w:rFonts w:ascii="Times New Roman" w:hAnsi="Times New Roman"/>
          <w:sz w:val="24"/>
          <w:szCs w:val="24"/>
          <w:lang w:val="sr-Cyrl-CS"/>
        </w:rPr>
        <w:t xml:space="preserve">и уједно најчешће цитираних </w:t>
      </w:r>
      <w:r>
        <w:rPr>
          <w:rFonts w:ascii="Times New Roman" w:hAnsi="Times New Roman"/>
          <w:sz w:val="24"/>
          <w:szCs w:val="24"/>
          <w:lang w:val="sr-Cyrl-CS"/>
        </w:rPr>
        <w:t>дефиниција, при чему ј</w:t>
      </w:r>
      <w:r w:rsidR="00297F7F">
        <w:rPr>
          <w:rFonts w:ascii="Times New Roman" w:hAnsi="Times New Roman"/>
          <w:sz w:val="24"/>
          <w:szCs w:val="24"/>
          <w:lang w:val="sr-Cyrl-CS"/>
        </w:rPr>
        <w:t>е употребио термин криминалитет</w:t>
      </w:r>
      <w:r>
        <w:rPr>
          <w:rFonts w:ascii="Times New Roman" w:hAnsi="Times New Roman"/>
          <w:sz w:val="24"/>
          <w:szCs w:val="24"/>
          <w:lang w:val="sr-Cyrl-CS"/>
        </w:rPr>
        <w:t xml:space="preserve"> „белог оковратника“</w:t>
      </w:r>
      <w:r w:rsidR="00513EEC">
        <w:rPr>
          <w:rFonts w:ascii="Times New Roman" w:hAnsi="Times New Roman"/>
          <w:sz w:val="24"/>
          <w:szCs w:val="24"/>
          <w:lang w:val="sr-Cyrl-CS"/>
        </w:rPr>
        <w:t xml:space="preserve"> (eng. white collar crime)</w:t>
      </w:r>
      <w:r>
        <w:rPr>
          <w:rFonts w:ascii="Times New Roman" w:hAnsi="Times New Roman"/>
          <w:sz w:val="24"/>
          <w:szCs w:val="24"/>
          <w:lang w:val="sr-Cyrl-CS"/>
        </w:rPr>
        <w:t>. Ову појаву дефинише као криминалитет који се јавља у области привредног пословања, чије су форме испољавања најчешће у махинацијама у вези са купо</w:t>
      </w:r>
      <w:r w:rsidR="00D55879">
        <w:rPr>
          <w:rFonts w:ascii="Times New Roman" w:hAnsi="Times New Roman"/>
          <w:sz w:val="24"/>
          <w:szCs w:val="24"/>
          <w:lang w:val="sr-Cyrl-CS"/>
        </w:rPr>
        <w:t>п</w:t>
      </w:r>
      <w:r>
        <w:rPr>
          <w:rFonts w:ascii="Times New Roman" w:hAnsi="Times New Roman"/>
          <w:sz w:val="24"/>
          <w:szCs w:val="24"/>
          <w:lang w:val="sr-Cyrl-CS"/>
        </w:rPr>
        <w:t>родајом разних акција, лажним рекламирањем ро</w:t>
      </w:r>
      <w:r w:rsidR="00297F7F">
        <w:rPr>
          <w:rFonts w:ascii="Times New Roman" w:hAnsi="Times New Roman"/>
          <w:sz w:val="24"/>
          <w:szCs w:val="24"/>
          <w:lang w:val="sr-Cyrl-CS"/>
        </w:rPr>
        <w:t>бе, лажним исказивањем финансијс</w:t>
      </w:r>
      <w:r>
        <w:rPr>
          <w:rFonts w:ascii="Times New Roman" w:hAnsi="Times New Roman"/>
          <w:sz w:val="24"/>
          <w:szCs w:val="24"/>
          <w:lang w:val="sr-Cyrl-CS"/>
        </w:rPr>
        <w:t>ког стања и пословања појединих корпорација, подмићивање</w:t>
      </w:r>
      <w:r w:rsidR="00297F7F">
        <w:rPr>
          <w:rFonts w:ascii="Times New Roman" w:hAnsi="Times New Roman"/>
          <w:sz w:val="24"/>
          <w:szCs w:val="24"/>
          <w:lang w:val="sr-Cyrl-CS"/>
        </w:rPr>
        <w:t>м пословних пратнера, непосредним или посредни</w:t>
      </w:r>
      <w:r>
        <w:rPr>
          <w:rFonts w:ascii="Times New Roman" w:hAnsi="Times New Roman"/>
          <w:sz w:val="24"/>
          <w:szCs w:val="24"/>
          <w:lang w:val="sr-Cyrl-CS"/>
        </w:rPr>
        <w:t xml:space="preserve">м </w:t>
      </w:r>
      <w:r w:rsidR="00297F7F">
        <w:rPr>
          <w:rFonts w:ascii="Times New Roman" w:hAnsi="Times New Roman"/>
          <w:sz w:val="24"/>
          <w:szCs w:val="24"/>
          <w:lang w:val="sr-Cyrl-CS"/>
        </w:rPr>
        <w:t>подмићивањем чиновника, а у циљу осигурања повољнијих пословних аранжмана, проневерама, ненаменским трошењем средстава,</w:t>
      </w:r>
      <w:r w:rsidR="00292AED">
        <w:rPr>
          <w:rFonts w:ascii="Times New Roman" w:hAnsi="Times New Roman"/>
          <w:sz w:val="24"/>
          <w:szCs w:val="24"/>
          <w:lang w:val="sr-Cyrl-CS"/>
        </w:rPr>
        <w:t xml:space="preserve"> пореским утајама и слично.</w:t>
      </w:r>
      <w:r w:rsidR="00292AED">
        <w:rPr>
          <w:rStyle w:val="FootnoteReference"/>
          <w:rFonts w:ascii="Times New Roman" w:hAnsi="Times New Roman"/>
          <w:sz w:val="24"/>
          <w:szCs w:val="24"/>
          <w:lang w:val="sr-Cyrl-CS"/>
        </w:rPr>
        <w:footnoteReference w:id="640"/>
      </w:r>
      <w:r>
        <w:rPr>
          <w:rFonts w:ascii="Times New Roman" w:hAnsi="Times New Roman"/>
          <w:sz w:val="24"/>
          <w:szCs w:val="24"/>
          <w:lang w:val="sr-Cyrl-CS"/>
        </w:rPr>
        <w:t xml:space="preserve"> </w:t>
      </w:r>
      <w:r w:rsidR="00297F7F">
        <w:rPr>
          <w:rFonts w:ascii="Times New Roman" w:hAnsi="Times New Roman"/>
          <w:sz w:val="24"/>
          <w:szCs w:val="24"/>
        </w:rPr>
        <w:t>Касније је овај аутор дао нову дефиницију криминалитета „</w:t>
      </w:r>
      <w:r w:rsidR="00297F7F">
        <w:rPr>
          <w:rFonts w:ascii="Times New Roman" w:hAnsi="Times New Roman"/>
          <w:sz w:val="24"/>
          <w:szCs w:val="24"/>
          <w:lang w:val="sr-Cyrl-CS"/>
        </w:rPr>
        <w:t xml:space="preserve">белог оковратника“ одредивши га као криминал који, у </w:t>
      </w:r>
      <w:r w:rsidR="00513EEC">
        <w:rPr>
          <w:rFonts w:ascii="Times New Roman" w:hAnsi="Times New Roman"/>
          <w:sz w:val="24"/>
          <w:szCs w:val="24"/>
          <w:lang w:val="sr-Cyrl-CS"/>
        </w:rPr>
        <w:t xml:space="preserve"> </w:t>
      </w:r>
      <w:r w:rsidR="00297F7F">
        <w:rPr>
          <w:rFonts w:ascii="Times New Roman" w:hAnsi="Times New Roman"/>
          <w:sz w:val="24"/>
          <w:szCs w:val="24"/>
          <w:lang w:val="sr-Cyrl-CS"/>
        </w:rPr>
        <w:t>оквиру своје професионалне активности, врше лица са високим друштвеним угледом.</w:t>
      </w:r>
      <w:r w:rsidR="00513EEC">
        <w:rPr>
          <w:rStyle w:val="FootnoteReference"/>
          <w:rFonts w:ascii="Times New Roman" w:hAnsi="Times New Roman"/>
          <w:sz w:val="24"/>
          <w:szCs w:val="24"/>
          <w:lang w:val="sr-Cyrl-CS"/>
        </w:rPr>
        <w:footnoteReference w:id="641"/>
      </w:r>
      <w:r w:rsidR="00316FBA">
        <w:rPr>
          <w:rFonts w:ascii="Times New Roman" w:hAnsi="Times New Roman"/>
          <w:sz w:val="24"/>
          <w:szCs w:val="24"/>
          <w:lang w:val="sr-Cyrl-CS"/>
        </w:rPr>
        <w:t xml:space="preserve"> </w:t>
      </w:r>
      <w:r w:rsidR="009754F6">
        <w:rPr>
          <w:rFonts w:ascii="Times New Roman" w:hAnsi="Times New Roman"/>
          <w:sz w:val="24"/>
          <w:szCs w:val="24"/>
          <w:lang w:val="sr-Cyrl-CS"/>
        </w:rPr>
        <w:t xml:space="preserve">Проучавајући </w:t>
      </w:r>
      <w:r w:rsidR="009754F6">
        <w:rPr>
          <w:rFonts w:ascii="Times New Roman" w:hAnsi="Times New Roman"/>
          <w:sz w:val="24"/>
          <w:szCs w:val="24"/>
        </w:rPr>
        <w:t xml:space="preserve">IQ </w:t>
      </w:r>
      <w:r w:rsidR="009754F6">
        <w:rPr>
          <w:rFonts w:ascii="Times New Roman" w:hAnsi="Times New Roman"/>
          <w:sz w:val="24"/>
          <w:szCs w:val="24"/>
          <w:lang w:val="sr-Cyrl-CS"/>
        </w:rPr>
        <w:t>учинилаца кривичних дела дошао је до занимљивих резултата према којима интелигентнији врше дела која захтевају претходну детаљну припрему и са чијим извршењем није непосредно повезана корист, као што је криминалитет „белог оковратника“, за разлику од кривичних дела као што су насилничка, или лакша имовинска дела која врше мање интелигентни учиноци.</w:t>
      </w:r>
      <w:r w:rsidR="009754F6">
        <w:rPr>
          <w:rStyle w:val="FootnoteReference"/>
          <w:rFonts w:ascii="Times New Roman" w:hAnsi="Times New Roman"/>
          <w:sz w:val="24"/>
          <w:szCs w:val="24"/>
          <w:lang w:val="sr-Cyrl-CS"/>
        </w:rPr>
        <w:footnoteReference w:id="642"/>
      </w:r>
    </w:p>
    <w:p w:rsidR="00CC4CD9" w:rsidRDefault="00CC4CD9" w:rsidP="001E271B">
      <w:pPr>
        <w:pStyle w:val="ListParagraph"/>
        <w:ind w:left="0" w:firstLine="630"/>
        <w:jc w:val="both"/>
        <w:rPr>
          <w:rFonts w:ascii="Times New Roman" w:hAnsi="Times New Roman"/>
          <w:sz w:val="24"/>
          <w:szCs w:val="24"/>
          <w:lang w:val="sr-Cyrl-CS"/>
        </w:rPr>
      </w:pPr>
    </w:p>
    <w:p w:rsidR="006D76F8" w:rsidRDefault="00CC4CD9" w:rsidP="00CC4CD9">
      <w:pPr>
        <w:pStyle w:val="ListParagraph"/>
        <w:ind w:left="0" w:firstLine="630"/>
        <w:jc w:val="both"/>
        <w:rPr>
          <w:rFonts w:ascii="Times New Roman" w:hAnsi="Times New Roman"/>
          <w:sz w:val="24"/>
          <w:szCs w:val="24"/>
          <w:lang w:val="sr-Cyrl-CS"/>
        </w:rPr>
      </w:pPr>
      <w:r>
        <w:rPr>
          <w:rFonts w:ascii="Times New Roman" w:hAnsi="Times New Roman"/>
          <w:sz w:val="24"/>
          <w:szCs w:val="24"/>
        </w:rPr>
        <w:t xml:space="preserve">Edwin </w:t>
      </w:r>
      <w:r w:rsidRPr="00D55879">
        <w:rPr>
          <w:rFonts w:ascii="Times New Roman" w:hAnsi="Times New Roman"/>
          <w:sz w:val="24"/>
          <w:szCs w:val="24"/>
        </w:rPr>
        <w:t>Sutherland</w:t>
      </w:r>
      <w:r>
        <w:rPr>
          <w:rFonts w:ascii="Times New Roman" w:hAnsi="Times New Roman"/>
          <w:sz w:val="24"/>
          <w:szCs w:val="24"/>
          <w:lang w:val="sr-Cyrl-CS"/>
        </w:rPr>
        <w:t xml:space="preserve"> је срушио традиционалан мит према коме се  криминалитетом баве углавном сиромашни друштвени слојеви. Напротив, доказао је да најопаснија оваква дела врше управо припадници најбогатијих и најугледнијих слојева друштва. Тако су резултати његових проучавања „криминалитета белог оковратника“ довели до </w:t>
      </w:r>
      <w:r>
        <w:rPr>
          <w:rFonts w:ascii="Times New Roman" w:hAnsi="Times New Roman"/>
          <w:sz w:val="24"/>
          <w:szCs w:val="24"/>
          <w:lang w:val="sr-Cyrl-CS"/>
        </w:rPr>
        <w:lastRenderedPageBreak/>
        <w:t xml:space="preserve">рушења једне од највећих заблуда у криминологији </w:t>
      </w:r>
      <w:r>
        <w:rPr>
          <w:rFonts w:ascii="Times New Roman" w:hAnsi="Times New Roman"/>
          <w:sz w:val="24"/>
          <w:szCs w:val="24"/>
        </w:rPr>
        <w:t xml:space="preserve">XIX </w:t>
      </w:r>
      <w:r>
        <w:rPr>
          <w:rFonts w:ascii="Times New Roman" w:hAnsi="Times New Roman"/>
          <w:sz w:val="24"/>
          <w:szCs w:val="24"/>
          <w:lang w:val="sr-Cyrl-CS"/>
        </w:rPr>
        <w:t xml:space="preserve">и с почетка </w:t>
      </w:r>
      <w:r>
        <w:rPr>
          <w:rFonts w:ascii="Times New Roman" w:hAnsi="Times New Roman"/>
          <w:sz w:val="24"/>
          <w:szCs w:val="24"/>
        </w:rPr>
        <w:t xml:space="preserve">XX </w:t>
      </w:r>
      <w:r>
        <w:rPr>
          <w:rFonts w:ascii="Times New Roman" w:hAnsi="Times New Roman"/>
          <w:sz w:val="24"/>
          <w:szCs w:val="24"/>
          <w:lang w:val="sr-Cyrl-CS"/>
        </w:rPr>
        <w:t>века.</w:t>
      </w:r>
      <w:r>
        <w:rPr>
          <w:rStyle w:val="FootnoteReference"/>
          <w:rFonts w:ascii="Times New Roman" w:hAnsi="Times New Roman"/>
          <w:sz w:val="24"/>
          <w:szCs w:val="24"/>
          <w:lang w:val="sr-Cyrl-CS"/>
        </w:rPr>
        <w:footnoteReference w:id="643"/>
      </w:r>
      <w:r>
        <w:rPr>
          <w:rFonts w:ascii="Times New Roman" w:hAnsi="Times New Roman"/>
          <w:sz w:val="24"/>
          <w:szCs w:val="24"/>
          <w:lang w:val="sr-Cyrl-CS"/>
        </w:rPr>
        <w:t xml:space="preserve"> Резултатима својих истраживања јасно је сугерисао да се највећи број нерегистрованих дела врши у области привредног пословања. </w:t>
      </w:r>
      <w:r>
        <w:rPr>
          <w:rStyle w:val="FootnoteReference"/>
          <w:rFonts w:ascii="Times New Roman" w:hAnsi="Times New Roman"/>
          <w:sz w:val="24"/>
          <w:szCs w:val="24"/>
          <w:lang w:val="sr-Cyrl-CS"/>
        </w:rPr>
        <w:footnoteReference w:id="644"/>
      </w:r>
    </w:p>
    <w:p w:rsidR="00CC4CD9" w:rsidRPr="00CC4CD9" w:rsidRDefault="00CC4CD9" w:rsidP="00CC4CD9">
      <w:pPr>
        <w:pStyle w:val="ListParagraph"/>
        <w:ind w:left="0" w:firstLine="630"/>
        <w:jc w:val="both"/>
        <w:rPr>
          <w:rFonts w:ascii="Times New Roman" w:hAnsi="Times New Roman"/>
          <w:sz w:val="24"/>
          <w:szCs w:val="24"/>
          <w:lang w:val="sr-Cyrl-CS"/>
        </w:rPr>
      </w:pPr>
    </w:p>
    <w:p w:rsidR="00143A06" w:rsidRDefault="006D76F8" w:rsidP="002C65B9">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 xml:space="preserve">Термин „криминалитета белих оковратника“ који је употребио </w:t>
      </w:r>
      <w:r>
        <w:rPr>
          <w:rFonts w:ascii="Times New Roman" w:hAnsi="Times New Roman"/>
          <w:sz w:val="24"/>
          <w:szCs w:val="24"/>
        </w:rPr>
        <w:t>Sutherland</w:t>
      </w:r>
      <w:r>
        <w:rPr>
          <w:rFonts w:ascii="Times New Roman" w:hAnsi="Times New Roman"/>
          <w:sz w:val="24"/>
          <w:szCs w:val="24"/>
          <w:lang w:val="sr-Cyrl-CS"/>
        </w:rPr>
        <w:t xml:space="preserve"> односи се </w:t>
      </w:r>
      <w:r w:rsidR="003D200D">
        <w:rPr>
          <w:rFonts w:ascii="Times New Roman" w:hAnsi="Times New Roman"/>
          <w:sz w:val="24"/>
          <w:szCs w:val="24"/>
          <w:lang w:val="sr-Cyrl-CS"/>
        </w:rPr>
        <w:t xml:space="preserve">на </w:t>
      </w:r>
      <w:r>
        <w:rPr>
          <w:rFonts w:ascii="Times New Roman" w:hAnsi="Times New Roman"/>
          <w:sz w:val="24"/>
          <w:szCs w:val="24"/>
          <w:lang w:val="sr-Cyrl-CS"/>
        </w:rPr>
        <w:t xml:space="preserve">три основна типа кривичних дела: 1) кривична дела учињена од стране лица која имају висок социјални статус, без обзира да ли је кривично дело учињено у вези са њиховом професијом, 2) кривична дела учињена од стране организације, односно у корист организације, </w:t>
      </w:r>
      <w:r w:rsidR="00AA09FB">
        <w:rPr>
          <w:rFonts w:ascii="Times New Roman" w:hAnsi="Times New Roman"/>
          <w:sz w:val="24"/>
          <w:szCs w:val="24"/>
          <w:lang w:val="sr-Cyrl-CS"/>
        </w:rPr>
        <w:t>независно од</w:t>
      </w:r>
      <w:r>
        <w:rPr>
          <w:rFonts w:ascii="Times New Roman" w:hAnsi="Times New Roman"/>
          <w:sz w:val="24"/>
          <w:szCs w:val="24"/>
          <w:lang w:val="sr-Cyrl-CS"/>
        </w:rPr>
        <w:t xml:space="preserve"> статус</w:t>
      </w:r>
      <w:r w:rsidR="00AA09FB">
        <w:rPr>
          <w:rFonts w:ascii="Times New Roman" w:hAnsi="Times New Roman"/>
          <w:sz w:val="24"/>
          <w:szCs w:val="24"/>
          <w:lang w:val="sr-Cyrl-CS"/>
        </w:rPr>
        <w:t>а</w:t>
      </w:r>
      <w:r>
        <w:rPr>
          <w:rFonts w:ascii="Times New Roman" w:hAnsi="Times New Roman"/>
          <w:sz w:val="24"/>
          <w:szCs w:val="24"/>
          <w:lang w:val="sr-Cyrl-CS"/>
        </w:rPr>
        <w:t xml:space="preserve"> лица које је учинило кривично дело, 3) кривична дела учињена против организације, </w:t>
      </w:r>
      <w:r w:rsidR="00AA09FB">
        <w:rPr>
          <w:rFonts w:ascii="Times New Roman" w:hAnsi="Times New Roman"/>
          <w:sz w:val="24"/>
          <w:szCs w:val="24"/>
          <w:lang w:val="sr-Cyrl-CS"/>
        </w:rPr>
        <w:t>невезано</w:t>
      </w:r>
      <w:r>
        <w:rPr>
          <w:rFonts w:ascii="Times New Roman" w:hAnsi="Times New Roman"/>
          <w:sz w:val="24"/>
          <w:szCs w:val="24"/>
          <w:lang w:val="sr-Cyrl-CS"/>
        </w:rPr>
        <w:t xml:space="preserve"> да ли је кривично дело учињено од стране особе која је запослена у организацији и да ли уопште професионално ради у вези са </w:t>
      </w:r>
      <w:r w:rsidR="00AA09FB">
        <w:rPr>
          <w:rFonts w:ascii="Times New Roman" w:hAnsi="Times New Roman"/>
          <w:sz w:val="24"/>
          <w:szCs w:val="24"/>
          <w:lang w:val="sr-Cyrl-CS"/>
        </w:rPr>
        <w:t>пословима</w:t>
      </w:r>
      <w:r>
        <w:rPr>
          <w:rFonts w:ascii="Times New Roman" w:hAnsi="Times New Roman"/>
          <w:sz w:val="24"/>
          <w:szCs w:val="24"/>
          <w:lang w:val="sr-Cyrl-CS"/>
        </w:rPr>
        <w:t xml:space="preserve"> организације.</w:t>
      </w:r>
      <w:r w:rsidR="00AA09FB">
        <w:rPr>
          <w:rStyle w:val="FootnoteReference"/>
          <w:rFonts w:ascii="Times New Roman" w:hAnsi="Times New Roman"/>
          <w:sz w:val="24"/>
          <w:szCs w:val="24"/>
          <w:lang w:val="sr-Cyrl-CS"/>
        </w:rPr>
        <w:footnoteReference w:id="645"/>
      </w:r>
    </w:p>
    <w:p w:rsidR="002C65B9" w:rsidRPr="002C65B9" w:rsidRDefault="002C65B9" w:rsidP="002C65B9">
      <w:pPr>
        <w:pStyle w:val="ListParagraph"/>
        <w:ind w:left="0" w:firstLine="630"/>
        <w:jc w:val="both"/>
        <w:rPr>
          <w:rFonts w:ascii="Times New Roman" w:hAnsi="Times New Roman"/>
          <w:sz w:val="24"/>
          <w:szCs w:val="24"/>
        </w:rPr>
      </w:pPr>
    </w:p>
    <w:p w:rsidR="00AF232C" w:rsidRDefault="001F57D9" w:rsidP="004C3033">
      <w:pPr>
        <w:pStyle w:val="ListParagraph"/>
        <w:ind w:left="0" w:firstLine="630"/>
        <w:jc w:val="both"/>
        <w:rPr>
          <w:rFonts w:ascii="Times New Roman" w:hAnsi="Times New Roman"/>
          <w:sz w:val="24"/>
          <w:szCs w:val="24"/>
          <w:lang w:val="sr-Cyrl-CS"/>
        </w:rPr>
      </w:pPr>
      <w:r w:rsidRPr="001F57D9">
        <w:rPr>
          <w:rFonts w:ascii="Times New Roman" w:hAnsi="Times New Roman"/>
          <w:sz w:val="24"/>
          <w:szCs w:val="24"/>
        </w:rPr>
        <w:t>Friedrichs</w:t>
      </w:r>
      <w:r>
        <w:rPr>
          <w:rFonts w:ascii="Times New Roman" w:hAnsi="Times New Roman"/>
          <w:sz w:val="24"/>
          <w:szCs w:val="24"/>
        </w:rPr>
        <w:t xml:space="preserve"> D.</w:t>
      </w:r>
      <w:r>
        <w:rPr>
          <w:rStyle w:val="FootnoteReference"/>
          <w:rFonts w:ascii="Times New Roman" w:hAnsi="Times New Roman"/>
          <w:sz w:val="24"/>
          <w:szCs w:val="24"/>
        </w:rPr>
        <w:footnoteReference w:id="646"/>
      </w:r>
      <w:r>
        <w:rPr>
          <w:rFonts w:ascii="Times New Roman" w:hAnsi="Times New Roman"/>
          <w:sz w:val="24"/>
          <w:szCs w:val="24"/>
        </w:rPr>
        <w:t xml:space="preserve"> </w:t>
      </w:r>
      <w:r>
        <w:rPr>
          <w:rFonts w:ascii="Times New Roman" w:hAnsi="Times New Roman"/>
          <w:sz w:val="24"/>
          <w:szCs w:val="24"/>
          <w:lang w:val="sr-Cyrl-CS"/>
        </w:rPr>
        <w:t xml:space="preserve">наводи да иако је </w:t>
      </w:r>
      <w:r>
        <w:rPr>
          <w:rFonts w:ascii="Times New Roman" w:hAnsi="Times New Roman"/>
          <w:sz w:val="24"/>
          <w:szCs w:val="24"/>
        </w:rPr>
        <w:t xml:space="preserve">Sutherland </w:t>
      </w:r>
      <w:r>
        <w:rPr>
          <w:rFonts w:ascii="Times New Roman" w:hAnsi="Times New Roman"/>
          <w:sz w:val="24"/>
          <w:szCs w:val="24"/>
          <w:lang w:val="sr-Cyrl-CS"/>
        </w:rPr>
        <w:t>дао једну од најстаријих дефиниција „кримин</w:t>
      </w:r>
      <w:r w:rsidR="008B7F09">
        <w:rPr>
          <w:rFonts w:ascii="Times New Roman" w:hAnsi="Times New Roman"/>
          <w:sz w:val="24"/>
          <w:szCs w:val="24"/>
          <w:lang w:val="sr-Cyrl-CS"/>
        </w:rPr>
        <w:t>а</w:t>
      </w:r>
      <w:r>
        <w:rPr>
          <w:rFonts w:ascii="Times New Roman" w:hAnsi="Times New Roman"/>
          <w:sz w:val="24"/>
          <w:szCs w:val="24"/>
          <w:lang w:val="sr-Cyrl-CS"/>
        </w:rPr>
        <w:t xml:space="preserve">литета белог оковратника“ </w:t>
      </w:r>
      <w:r w:rsidR="004B24F0">
        <w:rPr>
          <w:rFonts w:ascii="Times New Roman" w:hAnsi="Times New Roman"/>
          <w:sz w:val="24"/>
          <w:szCs w:val="24"/>
          <w:lang w:val="sr-Cyrl-CS"/>
        </w:rPr>
        <w:t>ова врста криминалитета</w:t>
      </w:r>
      <w:r>
        <w:rPr>
          <w:rFonts w:ascii="Times New Roman" w:hAnsi="Times New Roman"/>
          <w:sz w:val="24"/>
          <w:szCs w:val="24"/>
          <w:lang w:val="sr-Cyrl-CS"/>
        </w:rPr>
        <w:t xml:space="preserve"> </w:t>
      </w:r>
      <w:r w:rsidR="004B24F0">
        <w:rPr>
          <w:rFonts w:ascii="Times New Roman" w:hAnsi="Times New Roman"/>
          <w:sz w:val="24"/>
          <w:szCs w:val="24"/>
          <w:lang w:val="sr-Cyrl-CS"/>
        </w:rPr>
        <w:t>се протеже</w:t>
      </w:r>
      <w:r>
        <w:rPr>
          <w:rFonts w:ascii="Times New Roman" w:hAnsi="Times New Roman"/>
          <w:sz w:val="24"/>
          <w:szCs w:val="24"/>
          <w:lang w:val="sr-Cyrl-CS"/>
        </w:rPr>
        <w:t xml:space="preserve"> далеко у прошлост</w:t>
      </w:r>
      <w:r w:rsidR="008B7F09">
        <w:rPr>
          <w:rFonts w:ascii="Times New Roman" w:hAnsi="Times New Roman"/>
          <w:sz w:val="24"/>
          <w:szCs w:val="24"/>
          <w:lang w:val="sr-Cyrl-CS"/>
        </w:rPr>
        <w:t xml:space="preserve">, још од античких времена, када су постојале санкције против превара везаних за разне врсте трговинских трансакција. У 18. веку  </w:t>
      </w:r>
      <w:r w:rsidR="008B7F09">
        <w:rPr>
          <w:rFonts w:ascii="Times New Roman" w:hAnsi="Times New Roman"/>
          <w:sz w:val="24"/>
          <w:szCs w:val="24"/>
        </w:rPr>
        <w:t xml:space="preserve">Cesare Beccaria (1764) </w:t>
      </w:r>
      <w:r w:rsidR="00EB2E1E">
        <w:rPr>
          <w:rFonts w:ascii="Times New Roman" w:hAnsi="Times New Roman"/>
          <w:sz w:val="24"/>
          <w:szCs w:val="24"/>
        </w:rPr>
        <w:t xml:space="preserve">je </w:t>
      </w:r>
      <w:r w:rsidR="00EB2E1E">
        <w:rPr>
          <w:rFonts w:ascii="Times New Roman" w:hAnsi="Times New Roman"/>
          <w:sz w:val="24"/>
          <w:szCs w:val="24"/>
          <w:lang w:val="sr-Cyrl-CS"/>
        </w:rPr>
        <w:t xml:space="preserve">закључио да моћни и богати предузимају радње </w:t>
      </w:r>
      <w:r w:rsidR="00A22B23">
        <w:rPr>
          <w:rFonts w:ascii="Times New Roman" w:hAnsi="Times New Roman"/>
          <w:sz w:val="24"/>
          <w:szCs w:val="24"/>
          <w:lang w:val="sr-Cyrl-CS"/>
        </w:rPr>
        <w:t>које узрокују озбиљне повреде</w:t>
      </w:r>
      <w:r w:rsidR="00EB2E1E">
        <w:rPr>
          <w:rFonts w:ascii="Times New Roman" w:hAnsi="Times New Roman"/>
          <w:sz w:val="24"/>
          <w:szCs w:val="24"/>
          <w:lang w:val="sr-Cyrl-CS"/>
        </w:rPr>
        <w:t xml:space="preserve"> и да треба да буду </w:t>
      </w:r>
      <w:r w:rsidR="00A22B23">
        <w:rPr>
          <w:rFonts w:ascii="Times New Roman" w:hAnsi="Times New Roman"/>
          <w:sz w:val="24"/>
          <w:szCs w:val="24"/>
          <w:lang w:val="sr-Cyrl-CS"/>
        </w:rPr>
        <w:t>под контролом закона</w:t>
      </w:r>
      <w:r w:rsidR="00EB2E1E">
        <w:rPr>
          <w:rFonts w:ascii="Times New Roman" w:hAnsi="Times New Roman"/>
          <w:sz w:val="24"/>
          <w:szCs w:val="24"/>
          <w:lang w:val="sr-Cyrl-CS"/>
        </w:rPr>
        <w:t>.</w:t>
      </w:r>
      <w:r w:rsidR="00A22B23">
        <w:rPr>
          <w:rFonts w:ascii="Times New Roman" w:hAnsi="Times New Roman"/>
          <w:sz w:val="24"/>
          <w:szCs w:val="24"/>
          <w:lang w:val="sr-Cyrl-CS"/>
        </w:rPr>
        <w:t xml:space="preserve"> У 19 веку </w:t>
      </w:r>
      <w:r w:rsidR="00A22B23">
        <w:rPr>
          <w:rFonts w:ascii="Times New Roman" w:hAnsi="Times New Roman"/>
          <w:sz w:val="24"/>
          <w:szCs w:val="24"/>
        </w:rPr>
        <w:t xml:space="preserve">Karl Marx </w:t>
      </w:r>
      <w:r w:rsidR="00A22B23">
        <w:rPr>
          <w:rFonts w:ascii="Times New Roman" w:hAnsi="Times New Roman"/>
          <w:sz w:val="24"/>
          <w:szCs w:val="24"/>
          <w:lang w:val="sr-Cyrl-CS"/>
        </w:rPr>
        <w:t xml:space="preserve">и </w:t>
      </w:r>
      <w:r w:rsidR="00A22B23">
        <w:rPr>
          <w:rFonts w:ascii="Times New Roman" w:hAnsi="Times New Roman"/>
          <w:sz w:val="24"/>
          <w:szCs w:val="24"/>
        </w:rPr>
        <w:t xml:space="preserve">Friedrich Engels </w:t>
      </w:r>
      <w:r w:rsidR="00A22B23">
        <w:rPr>
          <w:rFonts w:ascii="Times New Roman" w:hAnsi="Times New Roman"/>
          <w:sz w:val="24"/>
          <w:szCs w:val="24"/>
          <w:lang w:val="sr-Cyrl-CS"/>
        </w:rPr>
        <w:t xml:space="preserve">(1848) су </w:t>
      </w:r>
      <w:r w:rsidR="00E846F8">
        <w:rPr>
          <w:rFonts w:ascii="Times New Roman" w:hAnsi="Times New Roman"/>
          <w:sz w:val="24"/>
          <w:szCs w:val="24"/>
          <w:lang w:val="sr-Cyrl-CS"/>
        </w:rPr>
        <w:t>инсистирали</w:t>
      </w:r>
      <w:r w:rsidR="00A22B23">
        <w:rPr>
          <w:rFonts w:ascii="Times New Roman" w:hAnsi="Times New Roman"/>
          <w:sz w:val="24"/>
          <w:szCs w:val="24"/>
          <w:lang w:val="sr-Cyrl-CS"/>
        </w:rPr>
        <w:t xml:space="preserve"> да моћни и привилеговани врше злочине који могу бити последица капиталистичког економског система и њиховог специјалног статуса</w:t>
      </w:r>
      <w:r w:rsidR="00E846F8">
        <w:rPr>
          <w:rFonts w:ascii="Times New Roman" w:hAnsi="Times New Roman"/>
          <w:sz w:val="24"/>
          <w:szCs w:val="24"/>
          <w:lang w:val="sr-Cyrl-CS"/>
        </w:rPr>
        <w:t xml:space="preserve"> привилегованих</w:t>
      </w:r>
      <w:r w:rsidR="001A2428">
        <w:rPr>
          <w:rFonts w:ascii="Times New Roman" w:hAnsi="Times New Roman"/>
          <w:sz w:val="24"/>
          <w:szCs w:val="24"/>
          <w:lang w:val="sr-Cyrl-CS"/>
        </w:rPr>
        <w:t xml:space="preserve"> у њему</w:t>
      </w:r>
      <w:r w:rsidR="00FD0340">
        <w:rPr>
          <w:rFonts w:ascii="Times New Roman" w:hAnsi="Times New Roman"/>
          <w:sz w:val="24"/>
          <w:szCs w:val="24"/>
          <w:lang w:val="sr-Cyrl-CS"/>
        </w:rPr>
        <w:t xml:space="preserve">. </w:t>
      </w:r>
      <w:r w:rsidR="001A2428">
        <w:rPr>
          <w:rFonts w:ascii="Times New Roman" w:hAnsi="Times New Roman"/>
          <w:sz w:val="24"/>
          <w:szCs w:val="24"/>
          <w:lang w:val="sr-Cyrl-CS"/>
        </w:rPr>
        <w:t xml:space="preserve">Овај аутор пореди дефинисање појма „криминалитета белих оковратника“ са Кинеском слагалицом и </w:t>
      </w:r>
      <w:r w:rsidR="00143A06">
        <w:rPr>
          <w:rFonts w:ascii="Times New Roman" w:hAnsi="Times New Roman"/>
          <w:sz w:val="24"/>
          <w:szCs w:val="24"/>
          <w:lang w:val="sr-Cyrl-CS"/>
        </w:rPr>
        <w:t xml:space="preserve">сматра </w:t>
      </w:r>
      <w:r w:rsidR="001A2428">
        <w:rPr>
          <w:rFonts w:ascii="Times New Roman" w:hAnsi="Times New Roman"/>
          <w:sz w:val="24"/>
          <w:szCs w:val="24"/>
          <w:lang w:val="sr-Cyrl-CS"/>
        </w:rPr>
        <w:t>да је можда најлакше дефинисати овај појам у негати</w:t>
      </w:r>
      <w:r w:rsidR="00143A06">
        <w:rPr>
          <w:rFonts w:ascii="Times New Roman" w:hAnsi="Times New Roman"/>
          <w:sz w:val="24"/>
          <w:szCs w:val="24"/>
          <w:lang w:val="sr-Cyrl-CS"/>
        </w:rPr>
        <w:t>вн</w:t>
      </w:r>
      <w:r w:rsidR="001A2428">
        <w:rPr>
          <w:rFonts w:ascii="Times New Roman" w:hAnsi="Times New Roman"/>
          <w:sz w:val="24"/>
          <w:szCs w:val="24"/>
          <w:lang w:val="sr-Cyrl-CS"/>
        </w:rPr>
        <w:t xml:space="preserve">ом смислу као илегалну и штетну активност која није улични криминал нити класичан криминал. </w:t>
      </w:r>
      <w:r w:rsidR="00FD0340">
        <w:rPr>
          <w:rFonts w:ascii="Times New Roman" w:hAnsi="Times New Roman"/>
          <w:sz w:val="24"/>
          <w:szCs w:val="24"/>
          <w:lang w:val="sr-Cyrl-CS"/>
        </w:rPr>
        <w:t>То је</w:t>
      </w:r>
      <w:r w:rsidR="001A2428">
        <w:rPr>
          <w:rFonts w:ascii="Times New Roman" w:hAnsi="Times New Roman"/>
          <w:sz w:val="24"/>
          <w:szCs w:val="24"/>
          <w:lang w:val="sr-Cyrl-CS"/>
        </w:rPr>
        <w:t xml:space="preserve"> генерички појам који обухвата широку скалу различитих илегалних, забрањених  и штетних активности које укључују кршење приватног и јавног поверења, учињених од стране инсититуција или појединаца, који имају угледан</w:t>
      </w:r>
      <w:r w:rsidR="00143A06">
        <w:rPr>
          <w:rFonts w:ascii="Times New Roman" w:hAnsi="Times New Roman"/>
          <w:sz w:val="24"/>
          <w:szCs w:val="24"/>
          <w:lang w:val="sr-Cyrl-CS"/>
        </w:rPr>
        <w:t xml:space="preserve"> статус </w:t>
      </w:r>
      <w:r w:rsidR="001A2428">
        <w:rPr>
          <w:rFonts w:ascii="Times New Roman" w:hAnsi="Times New Roman"/>
          <w:sz w:val="24"/>
          <w:szCs w:val="24"/>
          <w:lang w:val="sr-Cyrl-CS"/>
        </w:rPr>
        <w:t xml:space="preserve">и директно усмерених ради добијања финансијских </w:t>
      </w:r>
      <w:r w:rsidR="00143A06">
        <w:rPr>
          <w:rFonts w:ascii="Times New Roman" w:hAnsi="Times New Roman"/>
          <w:sz w:val="24"/>
          <w:szCs w:val="24"/>
          <w:lang w:val="sr-Cyrl-CS"/>
        </w:rPr>
        <w:t>предности</w:t>
      </w:r>
      <w:r w:rsidR="001A2428">
        <w:rPr>
          <w:rFonts w:ascii="Times New Roman" w:hAnsi="Times New Roman"/>
          <w:sz w:val="24"/>
          <w:szCs w:val="24"/>
          <w:lang w:val="sr-Cyrl-CS"/>
        </w:rPr>
        <w:t xml:space="preserve"> или ради одржавања и проширивања моћи и привилегија.  </w:t>
      </w:r>
      <w:r w:rsidR="00BA2121">
        <w:rPr>
          <w:rFonts w:ascii="Times New Roman" w:hAnsi="Times New Roman"/>
          <w:sz w:val="24"/>
          <w:szCs w:val="24"/>
          <w:lang w:val="sr-Cyrl-CS"/>
        </w:rPr>
        <w:t xml:space="preserve"> </w:t>
      </w:r>
    </w:p>
    <w:p w:rsidR="00BA2121" w:rsidRDefault="00BA2121" w:rsidP="004C3033">
      <w:pPr>
        <w:pStyle w:val="ListParagraph"/>
        <w:ind w:left="0" w:firstLine="630"/>
        <w:jc w:val="both"/>
        <w:rPr>
          <w:rFonts w:ascii="Times New Roman" w:hAnsi="Times New Roman"/>
          <w:sz w:val="24"/>
          <w:szCs w:val="24"/>
          <w:lang w:val="sr-Cyrl-CS"/>
        </w:rPr>
      </w:pPr>
    </w:p>
    <w:p w:rsidR="00BA2121" w:rsidRDefault="00BA2121" w:rsidP="00BA2121">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Проблему дефинисања привредног криминалитета доприносе различитости политичких и економских система у свету, као и то што се под привредним криминалитетом подразумевају различите врсте кривичних дела, како она против привреде, тако и она против службене дужности, а делом и деликти против имовине.</w:t>
      </w:r>
      <w:r>
        <w:rPr>
          <w:rStyle w:val="FootnoteReference"/>
          <w:rFonts w:ascii="Times New Roman" w:hAnsi="Times New Roman"/>
          <w:sz w:val="24"/>
          <w:szCs w:val="24"/>
          <w:lang w:val="sr-Cyrl-CS"/>
        </w:rPr>
        <w:footnoteReference w:id="647"/>
      </w:r>
    </w:p>
    <w:p w:rsidR="002C65B9" w:rsidRDefault="002C65B9" w:rsidP="00EC6D0C">
      <w:pPr>
        <w:pStyle w:val="ListParagraph"/>
        <w:ind w:left="0"/>
        <w:jc w:val="both"/>
        <w:rPr>
          <w:rFonts w:ascii="Times New Roman" w:hAnsi="Times New Roman"/>
          <w:sz w:val="24"/>
          <w:szCs w:val="24"/>
          <w:lang w:val="sr-Cyrl-CS"/>
        </w:rPr>
      </w:pPr>
      <w:r>
        <w:rPr>
          <w:rFonts w:ascii="Times New Roman" w:hAnsi="Times New Roman"/>
          <w:sz w:val="24"/>
          <w:szCs w:val="24"/>
          <w:lang w:val="sr-Cyrl-CS"/>
        </w:rPr>
        <w:t>Нека становишта</w:t>
      </w:r>
      <w:r w:rsidR="00BA2121">
        <w:rPr>
          <w:rFonts w:ascii="Times New Roman" w:hAnsi="Times New Roman"/>
          <w:sz w:val="24"/>
          <w:szCs w:val="24"/>
          <w:lang w:val="sr-Cyrl-CS"/>
        </w:rPr>
        <w:t>, дакле,</w:t>
      </w:r>
      <w:r>
        <w:rPr>
          <w:rFonts w:ascii="Times New Roman" w:hAnsi="Times New Roman"/>
          <w:sz w:val="24"/>
          <w:szCs w:val="24"/>
          <w:lang w:val="sr-Cyrl-CS"/>
        </w:rPr>
        <w:t xml:space="preserve"> дефинишу привредни криминалитет полазећи од кривичних дела уперених против привреде</w:t>
      </w:r>
      <w:r w:rsidR="00BA2121">
        <w:rPr>
          <w:rFonts w:ascii="Times New Roman" w:hAnsi="Times New Roman"/>
          <w:sz w:val="24"/>
          <w:szCs w:val="24"/>
          <w:lang w:val="sr-Cyrl-CS"/>
        </w:rPr>
        <w:t xml:space="preserve">, односно од кривичних дела која се односе на злоупотребе и друге видове противправности у оквиру привредног система и </w:t>
      </w:r>
      <w:r w:rsidR="00BA2121">
        <w:rPr>
          <w:rFonts w:ascii="Times New Roman" w:hAnsi="Times New Roman"/>
          <w:sz w:val="24"/>
          <w:szCs w:val="24"/>
          <w:lang w:val="sr-Cyrl-CS"/>
        </w:rPr>
        <w:lastRenderedPageBreak/>
        <w:t>фина</w:t>
      </w:r>
      <w:r w:rsidR="006A6D6E">
        <w:rPr>
          <w:rFonts w:ascii="Times New Roman" w:hAnsi="Times New Roman"/>
          <w:sz w:val="24"/>
          <w:szCs w:val="24"/>
          <w:lang w:val="sr-Cyrl-CS"/>
        </w:rPr>
        <w:t>н</w:t>
      </w:r>
      <w:r w:rsidR="00BA2121">
        <w:rPr>
          <w:rFonts w:ascii="Times New Roman" w:hAnsi="Times New Roman"/>
          <w:sz w:val="24"/>
          <w:szCs w:val="24"/>
          <w:lang w:val="sr-Cyrl-CS"/>
        </w:rPr>
        <w:t>сијског пословања</w:t>
      </w:r>
      <w:r>
        <w:rPr>
          <w:rFonts w:ascii="Times New Roman" w:hAnsi="Times New Roman"/>
          <w:sz w:val="24"/>
          <w:szCs w:val="24"/>
          <w:lang w:val="sr-Cyrl-CS"/>
        </w:rPr>
        <w:t>. Криминолошке дисциплине</w:t>
      </w:r>
      <w:r w:rsidR="00000819">
        <w:rPr>
          <w:rFonts w:ascii="Times New Roman" w:hAnsi="Times New Roman"/>
          <w:sz w:val="24"/>
          <w:szCs w:val="24"/>
          <w:lang w:val="sr-Cyrl-CS"/>
        </w:rPr>
        <w:t>, пак,</w:t>
      </w:r>
      <w:r>
        <w:rPr>
          <w:rFonts w:ascii="Times New Roman" w:hAnsi="Times New Roman"/>
          <w:sz w:val="24"/>
          <w:szCs w:val="24"/>
          <w:lang w:val="sr-Cyrl-CS"/>
        </w:rPr>
        <w:t xml:space="preserve"> </w:t>
      </w:r>
      <w:r w:rsidR="00BA2121">
        <w:rPr>
          <w:rFonts w:ascii="Times New Roman" w:hAnsi="Times New Roman"/>
          <w:sz w:val="24"/>
          <w:szCs w:val="24"/>
          <w:lang w:val="sr-Cyrl-CS"/>
        </w:rPr>
        <w:t>шире схватају привредни криминалитет јер поред кривичних дела овај појам обухвата привредне преступе и прекршаје, као и дела уперена ка материјалним добрима, односно свим другим облицима имовинских деликата.</w:t>
      </w:r>
      <w:r w:rsidR="00000819">
        <w:rPr>
          <w:rStyle w:val="FootnoteReference"/>
          <w:rFonts w:ascii="Times New Roman" w:hAnsi="Times New Roman"/>
          <w:sz w:val="24"/>
          <w:szCs w:val="24"/>
          <w:lang w:val="sr-Cyrl-CS"/>
        </w:rPr>
        <w:footnoteReference w:id="648"/>
      </w:r>
    </w:p>
    <w:p w:rsidR="00EC6D0C" w:rsidRPr="00EC6D0C" w:rsidRDefault="00EC6D0C" w:rsidP="00EC6D0C">
      <w:pPr>
        <w:pStyle w:val="ListParagraph"/>
        <w:ind w:left="0"/>
        <w:jc w:val="both"/>
        <w:rPr>
          <w:rFonts w:ascii="Times New Roman" w:hAnsi="Times New Roman"/>
          <w:sz w:val="24"/>
          <w:szCs w:val="24"/>
          <w:lang w:val="sr-Cyrl-CS"/>
        </w:rPr>
      </w:pPr>
    </w:p>
    <w:p w:rsidR="00297F7F" w:rsidRDefault="00EC6D0C" w:rsidP="001E271B">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 xml:space="preserve">Поједини аутори су, дакле, привредни криминалитет везивали искључиво за кривична дела против привреде, односно дела усмерена против привредног система. </w:t>
      </w:r>
      <w:r w:rsidR="00E822AD">
        <w:rPr>
          <w:rFonts w:ascii="Times New Roman" w:hAnsi="Times New Roman"/>
          <w:sz w:val="24"/>
          <w:szCs w:val="24"/>
          <w:lang w:val="sr-Cyrl-CS"/>
        </w:rPr>
        <w:t xml:space="preserve">Према </w:t>
      </w:r>
      <w:r>
        <w:rPr>
          <w:rFonts w:ascii="Times New Roman" w:hAnsi="Times New Roman"/>
          <w:sz w:val="24"/>
          <w:szCs w:val="24"/>
          <w:lang w:val="sr-Cyrl-CS"/>
        </w:rPr>
        <w:t>мишљењу Николе</w:t>
      </w:r>
      <w:r w:rsidR="00297F7F" w:rsidRPr="001C45B2">
        <w:rPr>
          <w:rFonts w:ascii="Times New Roman" w:hAnsi="Times New Roman"/>
          <w:sz w:val="24"/>
          <w:szCs w:val="24"/>
          <w:lang w:val="sr-Cyrl-CS"/>
        </w:rPr>
        <w:t xml:space="preserve"> Срзен</w:t>
      </w:r>
      <w:r>
        <w:rPr>
          <w:rFonts w:ascii="Times New Roman" w:hAnsi="Times New Roman"/>
          <w:sz w:val="24"/>
          <w:szCs w:val="24"/>
          <w:lang w:val="sr-Cyrl-CS"/>
        </w:rPr>
        <w:t>тића</w:t>
      </w:r>
      <w:r w:rsidR="00316A3D">
        <w:rPr>
          <w:rFonts w:ascii="Times New Roman" w:hAnsi="Times New Roman"/>
          <w:sz w:val="24"/>
          <w:szCs w:val="24"/>
          <w:lang w:val="sr-Cyrl-CS"/>
        </w:rPr>
        <w:t xml:space="preserve"> привредни криминалитет </w:t>
      </w:r>
      <w:r w:rsidR="00E822AD">
        <w:rPr>
          <w:rFonts w:ascii="Times New Roman" w:hAnsi="Times New Roman"/>
          <w:sz w:val="24"/>
          <w:szCs w:val="24"/>
          <w:lang w:val="sr-Cyrl-CS"/>
        </w:rPr>
        <w:t>обухвата</w:t>
      </w:r>
      <w:r w:rsidR="00316A3D">
        <w:rPr>
          <w:rFonts w:ascii="Times New Roman" w:hAnsi="Times New Roman"/>
          <w:sz w:val="24"/>
          <w:szCs w:val="24"/>
          <w:lang w:val="sr-Cyrl-CS"/>
        </w:rPr>
        <w:t xml:space="preserve"> кривична дела која Кривични законик предвиђа као кривична дела</w:t>
      </w:r>
      <w:r w:rsidR="00E822AD">
        <w:rPr>
          <w:rFonts w:ascii="Times New Roman" w:hAnsi="Times New Roman"/>
          <w:sz w:val="24"/>
          <w:szCs w:val="24"/>
          <w:lang w:val="sr-Cyrl-CS"/>
        </w:rPr>
        <w:t>.</w:t>
      </w:r>
      <w:r w:rsidR="00BA5D9F">
        <w:rPr>
          <w:rFonts w:ascii="Times New Roman" w:hAnsi="Times New Roman"/>
          <w:sz w:val="24"/>
          <w:szCs w:val="24"/>
          <w:lang w:val="sr-Cyrl-CS"/>
        </w:rPr>
        <w:t xml:space="preserve"> </w:t>
      </w:r>
      <w:r w:rsidR="00E822AD">
        <w:rPr>
          <w:rFonts w:ascii="Times New Roman" w:hAnsi="Times New Roman"/>
          <w:sz w:val="24"/>
          <w:szCs w:val="24"/>
          <w:lang w:val="sr-Cyrl-CS"/>
        </w:rPr>
        <w:t>Заштитни објекат је привредни систем</w:t>
      </w:r>
      <w:r w:rsidR="00BA5D9F">
        <w:rPr>
          <w:rFonts w:ascii="Times New Roman" w:hAnsi="Times New Roman"/>
          <w:sz w:val="24"/>
          <w:szCs w:val="24"/>
          <w:lang w:val="sr-Cyrl-CS"/>
        </w:rPr>
        <w:t xml:space="preserve"> </w:t>
      </w:r>
      <w:r w:rsidR="00E822AD">
        <w:rPr>
          <w:rFonts w:ascii="Times New Roman" w:hAnsi="Times New Roman"/>
          <w:sz w:val="24"/>
          <w:szCs w:val="24"/>
          <w:lang w:val="sr-Cyrl-CS"/>
        </w:rPr>
        <w:t>а не привреда</w:t>
      </w:r>
      <w:r w:rsidR="00BA5D9F">
        <w:rPr>
          <w:rFonts w:ascii="Times New Roman" w:hAnsi="Times New Roman"/>
          <w:sz w:val="24"/>
          <w:szCs w:val="24"/>
          <w:lang w:val="sr-Cyrl-CS"/>
        </w:rPr>
        <w:t xml:space="preserve">, </w:t>
      </w:r>
      <w:r w:rsidR="00E822AD">
        <w:rPr>
          <w:rFonts w:ascii="Times New Roman" w:hAnsi="Times New Roman"/>
          <w:sz w:val="24"/>
          <w:szCs w:val="24"/>
          <w:lang w:val="sr-Cyrl-CS"/>
        </w:rPr>
        <w:t>имајући у виду да</w:t>
      </w:r>
      <w:r w:rsidR="00BA5D9F">
        <w:rPr>
          <w:rFonts w:ascii="Times New Roman" w:hAnsi="Times New Roman"/>
          <w:sz w:val="24"/>
          <w:szCs w:val="24"/>
          <w:lang w:val="sr-Cyrl-CS"/>
        </w:rPr>
        <w:t xml:space="preserve"> су друштвено опасне делатности, које спадају у привредни криминал, карактеристичне по томе што прелазе оквире дозвољеног у једном одређеном привредном систему</w:t>
      </w:r>
      <w:r w:rsidR="002D7FE3">
        <w:rPr>
          <w:rFonts w:ascii="Times New Roman" w:hAnsi="Times New Roman"/>
          <w:sz w:val="24"/>
          <w:szCs w:val="24"/>
          <w:lang w:val="sr-Cyrl-CS"/>
        </w:rPr>
        <w:t>.</w:t>
      </w:r>
      <w:r w:rsidR="00316A3D">
        <w:rPr>
          <w:rStyle w:val="FootnoteReference"/>
          <w:rFonts w:ascii="Times New Roman" w:hAnsi="Times New Roman"/>
          <w:sz w:val="24"/>
          <w:szCs w:val="24"/>
          <w:lang w:val="sr-Cyrl-CS"/>
        </w:rPr>
        <w:footnoteReference w:id="649"/>
      </w:r>
      <w:r w:rsidR="002D7FE3">
        <w:rPr>
          <w:rFonts w:ascii="Times New Roman" w:hAnsi="Times New Roman"/>
          <w:sz w:val="24"/>
          <w:szCs w:val="24"/>
          <w:lang w:val="sr-Cyrl-CS"/>
        </w:rPr>
        <w:t xml:space="preserve"> </w:t>
      </w:r>
      <w:r w:rsidR="00E822AD">
        <w:rPr>
          <w:rFonts w:ascii="Times New Roman" w:hAnsi="Times New Roman"/>
          <w:sz w:val="24"/>
          <w:szCs w:val="24"/>
          <w:lang w:val="sr-Cyrl-CS"/>
        </w:rPr>
        <w:t xml:space="preserve">Такође и према </w:t>
      </w:r>
      <w:r w:rsidR="00297F7F" w:rsidRPr="001C45B2">
        <w:rPr>
          <w:rFonts w:ascii="Times New Roman" w:hAnsi="Times New Roman"/>
          <w:sz w:val="24"/>
          <w:szCs w:val="24"/>
          <w:lang w:val="sr-Cyrl-CS"/>
        </w:rPr>
        <w:t>Драгољубу Димитријевићу</w:t>
      </w:r>
      <w:r w:rsidR="00297F7F">
        <w:rPr>
          <w:rFonts w:ascii="Times New Roman" w:hAnsi="Times New Roman"/>
          <w:sz w:val="24"/>
          <w:szCs w:val="24"/>
          <w:lang w:val="sr-Cyrl-CS"/>
        </w:rPr>
        <w:t xml:space="preserve"> привредни криминалитет </w:t>
      </w:r>
      <w:r w:rsidR="00E822AD">
        <w:rPr>
          <w:rFonts w:ascii="Times New Roman" w:hAnsi="Times New Roman"/>
          <w:sz w:val="24"/>
          <w:szCs w:val="24"/>
          <w:lang w:val="sr-Cyrl-CS"/>
        </w:rPr>
        <w:t>обухвата</w:t>
      </w:r>
      <w:r w:rsidR="00316A3D">
        <w:rPr>
          <w:rFonts w:ascii="Times New Roman" w:hAnsi="Times New Roman"/>
          <w:sz w:val="24"/>
          <w:szCs w:val="24"/>
          <w:lang w:val="sr-Cyrl-CS"/>
        </w:rPr>
        <w:t xml:space="preserve"> кривична дела управљена против организовања, управљања и функционисања привредног система.</w:t>
      </w:r>
      <w:r w:rsidR="00316A3D">
        <w:rPr>
          <w:rStyle w:val="FootnoteReference"/>
          <w:rFonts w:ascii="Times New Roman" w:hAnsi="Times New Roman"/>
          <w:sz w:val="24"/>
          <w:szCs w:val="24"/>
          <w:lang w:val="sr-Cyrl-CS"/>
        </w:rPr>
        <w:footnoteReference w:id="650"/>
      </w:r>
      <w:r w:rsidR="00513EEC">
        <w:rPr>
          <w:rFonts w:ascii="Times New Roman" w:hAnsi="Times New Roman"/>
          <w:sz w:val="24"/>
          <w:szCs w:val="24"/>
        </w:rPr>
        <w:t xml:space="preserve"> </w:t>
      </w:r>
    </w:p>
    <w:p w:rsidR="000330B8" w:rsidRDefault="000330B8" w:rsidP="001E271B">
      <w:pPr>
        <w:pStyle w:val="ListParagraph"/>
        <w:ind w:left="0" w:firstLine="630"/>
        <w:jc w:val="both"/>
        <w:rPr>
          <w:rFonts w:ascii="Times New Roman" w:hAnsi="Times New Roman"/>
          <w:sz w:val="24"/>
          <w:szCs w:val="24"/>
          <w:lang w:val="sr-Cyrl-CS"/>
        </w:rPr>
      </w:pPr>
    </w:p>
    <w:p w:rsidR="00EF769C" w:rsidRDefault="00EC6D0C" w:rsidP="0050085D">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 xml:space="preserve">Понекад се привредни криминалитет поистовећује са економским криминалитетом због </w:t>
      </w:r>
      <w:r w:rsidR="005A42FD">
        <w:rPr>
          <w:rFonts w:ascii="Times New Roman" w:hAnsi="Times New Roman"/>
          <w:sz w:val="24"/>
          <w:szCs w:val="24"/>
          <w:lang w:val="sr-Cyrl-CS"/>
        </w:rPr>
        <w:t>израженог економског аспекта</w:t>
      </w:r>
      <w:r w:rsidR="0050085D">
        <w:rPr>
          <w:rFonts w:ascii="Times New Roman" w:hAnsi="Times New Roman"/>
          <w:sz w:val="24"/>
          <w:szCs w:val="24"/>
          <w:lang w:val="sr-Cyrl-CS"/>
        </w:rPr>
        <w:t>.</w:t>
      </w:r>
      <w:r w:rsidR="005A42FD">
        <w:rPr>
          <w:rFonts w:ascii="Times New Roman" w:hAnsi="Times New Roman"/>
          <w:sz w:val="24"/>
          <w:szCs w:val="24"/>
          <w:lang w:val="sr-Cyrl-CS"/>
        </w:rPr>
        <w:t xml:space="preserve"> </w:t>
      </w:r>
      <w:r w:rsidR="0050085D">
        <w:rPr>
          <w:rFonts w:ascii="Times New Roman" w:hAnsi="Times New Roman"/>
          <w:sz w:val="24"/>
          <w:szCs w:val="24"/>
          <w:lang w:val="sr-Cyrl-CS"/>
        </w:rPr>
        <w:t xml:space="preserve">Тако се према становишту које заступа </w:t>
      </w:r>
      <w:r w:rsidR="006106C4">
        <w:rPr>
          <w:rFonts w:ascii="Times New Roman" w:hAnsi="Times New Roman"/>
          <w:sz w:val="24"/>
          <w:szCs w:val="24"/>
          <w:lang w:val="sr-Cyrl-CS"/>
        </w:rPr>
        <w:t xml:space="preserve">Живојин Алексић </w:t>
      </w:r>
      <w:r w:rsidR="0050085D">
        <w:rPr>
          <w:rFonts w:ascii="Times New Roman" w:hAnsi="Times New Roman"/>
          <w:sz w:val="24"/>
          <w:szCs w:val="24"/>
          <w:lang w:val="sr-Cyrl-CS"/>
        </w:rPr>
        <w:t>не прави разлика између привредног</w:t>
      </w:r>
      <w:r w:rsidR="006106C4">
        <w:rPr>
          <w:rFonts w:ascii="Times New Roman" w:hAnsi="Times New Roman"/>
          <w:sz w:val="24"/>
          <w:szCs w:val="24"/>
          <w:lang w:val="sr-Cyrl-CS"/>
        </w:rPr>
        <w:t xml:space="preserve"> и еко</w:t>
      </w:r>
      <w:r w:rsidR="0050085D">
        <w:rPr>
          <w:rFonts w:ascii="Times New Roman" w:hAnsi="Times New Roman"/>
          <w:sz w:val="24"/>
          <w:szCs w:val="24"/>
          <w:lang w:val="sr-Cyrl-CS"/>
        </w:rPr>
        <w:t>номског</w:t>
      </w:r>
      <w:r w:rsidR="006106C4">
        <w:rPr>
          <w:rFonts w:ascii="Times New Roman" w:hAnsi="Times New Roman"/>
          <w:sz w:val="24"/>
          <w:szCs w:val="24"/>
          <w:lang w:val="sr-Cyrl-CS"/>
        </w:rPr>
        <w:t xml:space="preserve"> криминалитет</w:t>
      </w:r>
      <w:r w:rsidR="0050085D">
        <w:rPr>
          <w:rFonts w:ascii="Times New Roman" w:hAnsi="Times New Roman"/>
          <w:sz w:val="24"/>
          <w:szCs w:val="24"/>
          <w:lang w:val="sr-Cyrl-CS"/>
        </w:rPr>
        <w:t>а</w:t>
      </w:r>
      <w:r w:rsidR="006106C4">
        <w:rPr>
          <w:rFonts w:ascii="Times New Roman" w:hAnsi="Times New Roman"/>
          <w:sz w:val="24"/>
          <w:szCs w:val="24"/>
          <w:lang w:val="sr-Cyrl-CS"/>
        </w:rPr>
        <w:t xml:space="preserve"> </w:t>
      </w:r>
      <w:r w:rsidR="00E75561">
        <w:rPr>
          <w:rFonts w:ascii="Times New Roman" w:hAnsi="Times New Roman"/>
          <w:sz w:val="24"/>
          <w:szCs w:val="24"/>
          <w:lang w:val="sr-Cyrl-CS"/>
        </w:rPr>
        <w:t xml:space="preserve">и </w:t>
      </w:r>
      <w:r w:rsidR="0050085D">
        <w:rPr>
          <w:rFonts w:ascii="Times New Roman" w:hAnsi="Times New Roman"/>
          <w:sz w:val="24"/>
          <w:szCs w:val="24"/>
          <w:lang w:val="sr-Cyrl-CS"/>
        </w:rPr>
        <w:t xml:space="preserve">ови феномени </w:t>
      </w:r>
      <w:r w:rsidR="00E75561">
        <w:rPr>
          <w:rFonts w:ascii="Times New Roman" w:hAnsi="Times New Roman"/>
          <w:sz w:val="24"/>
          <w:szCs w:val="24"/>
          <w:lang w:val="sr-Cyrl-CS"/>
        </w:rPr>
        <w:t>обухватају</w:t>
      </w:r>
      <w:r w:rsidR="00143A06">
        <w:rPr>
          <w:rFonts w:ascii="Times New Roman" w:hAnsi="Times New Roman"/>
          <w:sz w:val="24"/>
          <w:szCs w:val="24"/>
          <w:lang w:val="sr-Cyrl-CS"/>
        </w:rPr>
        <w:t xml:space="preserve"> св</w:t>
      </w:r>
      <w:r w:rsidR="00E75561">
        <w:rPr>
          <w:rFonts w:ascii="Times New Roman" w:hAnsi="Times New Roman"/>
          <w:sz w:val="24"/>
          <w:szCs w:val="24"/>
          <w:lang w:val="sr-Cyrl-CS"/>
        </w:rPr>
        <w:t>е</w:t>
      </w:r>
      <w:r w:rsidR="00143A06">
        <w:rPr>
          <w:rFonts w:ascii="Times New Roman" w:hAnsi="Times New Roman"/>
          <w:sz w:val="24"/>
          <w:szCs w:val="24"/>
          <w:lang w:val="sr-Cyrl-CS"/>
        </w:rPr>
        <w:t xml:space="preserve"> он</w:t>
      </w:r>
      <w:r w:rsidR="00E75561">
        <w:rPr>
          <w:rFonts w:ascii="Times New Roman" w:hAnsi="Times New Roman"/>
          <w:sz w:val="24"/>
          <w:szCs w:val="24"/>
          <w:lang w:val="sr-Cyrl-CS"/>
        </w:rPr>
        <w:t>е</w:t>
      </w:r>
      <w:r w:rsidR="00143A06">
        <w:rPr>
          <w:rFonts w:ascii="Times New Roman" w:hAnsi="Times New Roman"/>
          <w:sz w:val="24"/>
          <w:szCs w:val="24"/>
          <w:lang w:val="sr-Cyrl-CS"/>
        </w:rPr>
        <w:t xml:space="preserve"> обли</w:t>
      </w:r>
      <w:r w:rsidR="00E75561">
        <w:rPr>
          <w:rFonts w:ascii="Times New Roman" w:hAnsi="Times New Roman"/>
          <w:sz w:val="24"/>
          <w:szCs w:val="24"/>
          <w:lang w:val="sr-Cyrl-CS"/>
        </w:rPr>
        <w:t>ке</w:t>
      </w:r>
      <w:r w:rsidR="006106C4">
        <w:rPr>
          <w:rFonts w:ascii="Times New Roman" w:hAnsi="Times New Roman"/>
          <w:sz w:val="24"/>
          <w:szCs w:val="24"/>
          <w:lang w:val="sr-Cyrl-CS"/>
        </w:rPr>
        <w:t xml:space="preserve"> криминалне активности које су усмерене против економског с</w:t>
      </w:r>
      <w:r w:rsidR="00143A06">
        <w:rPr>
          <w:rFonts w:ascii="Times New Roman" w:hAnsi="Times New Roman"/>
          <w:sz w:val="24"/>
          <w:szCs w:val="24"/>
          <w:lang w:val="sr-Cyrl-CS"/>
        </w:rPr>
        <w:t>истема и његовог фун</w:t>
      </w:r>
      <w:r w:rsidR="006A5B3B">
        <w:rPr>
          <w:rFonts w:ascii="Times New Roman" w:hAnsi="Times New Roman"/>
          <w:sz w:val="24"/>
          <w:szCs w:val="24"/>
          <w:lang w:val="sr-Cyrl-CS"/>
        </w:rPr>
        <w:t>кционисања</w:t>
      </w:r>
      <w:r w:rsidR="006106C4">
        <w:rPr>
          <w:rFonts w:ascii="Times New Roman" w:hAnsi="Times New Roman"/>
          <w:sz w:val="24"/>
          <w:szCs w:val="24"/>
          <w:lang w:val="sr-Cyrl-CS"/>
        </w:rPr>
        <w:t>, без обзира да ли су предузете у склопу економског пословања или изван њега.</w:t>
      </w:r>
      <w:r w:rsidR="006106C4">
        <w:rPr>
          <w:rStyle w:val="FootnoteReference"/>
          <w:rFonts w:ascii="Times New Roman" w:hAnsi="Times New Roman"/>
          <w:sz w:val="24"/>
          <w:szCs w:val="24"/>
          <w:lang w:val="sr-Cyrl-CS"/>
        </w:rPr>
        <w:footnoteReference w:id="651"/>
      </w:r>
      <w:r w:rsidR="00E75561">
        <w:rPr>
          <w:rFonts w:ascii="Times New Roman" w:hAnsi="Times New Roman"/>
          <w:sz w:val="24"/>
          <w:szCs w:val="24"/>
          <w:lang w:val="sr-Cyrl-CS"/>
        </w:rPr>
        <w:t xml:space="preserve"> Са друге стране, </w:t>
      </w:r>
      <w:r w:rsidR="001A2A98">
        <w:rPr>
          <w:rFonts w:ascii="Times New Roman" w:hAnsi="Times New Roman"/>
          <w:sz w:val="24"/>
          <w:szCs w:val="24"/>
          <w:lang w:val="sr-Cyrl-CS"/>
        </w:rPr>
        <w:t xml:space="preserve">Станко Пихлер </w:t>
      </w:r>
      <w:r w:rsidR="00E75561">
        <w:rPr>
          <w:rFonts w:ascii="Times New Roman" w:hAnsi="Times New Roman"/>
          <w:sz w:val="24"/>
          <w:szCs w:val="24"/>
          <w:lang w:val="sr-Cyrl-CS"/>
        </w:rPr>
        <w:t>не постовећује појмове привредног</w:t>
      </w:r>
      <w:r w:rsidR="001A2A98">
        <w:rPr>
          <w:rFonts w:ascii="Times New Roman" w:hAnsi="Times New Roman"/>
          <w:sz w:val="24"/>
          <w:szCs w:val="24"/>
          <w:lang w:val="sr-Cyrl-CS"/>
        </w:rPr>
        <w:t xml:space="preserve"> </w:t>
      </w:r>
      <w:r w:rsidR="00E75561">
        <w:rPr>
          <w:rFonts w:ascii="Times New Roman" w:hAnsi="Times New Roman"/>
          <w:sz w:val="24"/>
          <w:szCs w:val="24"/>
          <w:lang w:val="sr-Cyrl-CS"/>
        </w:rPr>
        <w:t>и економског</w:t>
      </w:r>
      <w:r w:rsidR="001A2A98">
        <w:rPr>
          <w:rFonts w:ascii="Times New Roman" w:hAnsi="Times New Roman"/>
          <w:sz w:val="24"/>
          <w:szCs w:val="24"/>
          <w:lang w:val="sr-Cyrl-CS"/>
        </w:rPr>
        <w:t xml:space="preserve"> криминалитет</w:t>
      </w:r>
      <w:r w:rsidR="00E75561">
        <w:rPr>
          <w:rFonts w:ascii="Times New Roman" w:hAnsi="Times New Roman"/>
          <w:sz w:val="24"/>
          <w:szCs w:val="24"/>
          <w:lang w:val="sr-Cyrl-CS"/>
        </w:rPr>
        <w:t xml:space="preserve">а због тога што </w:t>
      </w:r>
      <w:r w:rsidR="001A2A98">
        <w:rPr>
          <w:rFonts w:ascii="Times New Roman" w:hAnsi="Times New Roman"/>
          <w:sz w:val="24"/>
          <w:szCs w:val="24"/>
          <w:lang w:val="sr-Cyrl-CS"/>
        </w:rPr>
        <w:t>економски криминалитет настаје у економским односима и процесима (производња, расподела, размена, потрошња), а њ</w:t>
      </w:r>
      <w:r w:rsidR="00D55879">
        <w:rPr>
          <w:rFonts w:ascii="Times New Roman" w:hAnsi="Times New Roman"/>
          <w:sz w:val="24"/>
          <w:szCs w:val="24"/>
          <w:lang w:val="sr-Cyrl-CS"/>
        </w:rPr>
        <w:t>е</w:t>
      </w:r>
      <w:r w:rsidR="001A2A98">
        <w:rPr>
          <w:rFonts w:ascii="Times New Roman" w:hAnsi="Times New Roman"/>
          <w:sz w:val="24"/>
          <w:szCs w:val="24"/>
          <w:lang w:val="sr-Cyrl-CS"/>
        </w:rPr>
        <w:t>гови носиоци су субјекти тих односа који располажу одређеним овлашћењима</w:t>
      </w:r>
      <w:r w:rsidR="00D55879">
        <w:rPr>
          <w:rFonts w:ascii="Times New Roman" w:hAnsi="Times New Roman"/>
          <w:sz w:val="24"/>
          <w:szCs w:val="24"/>
          <w:lang w:val="sr-Cyrl-CS"/>
        </w:rPr>
        <w:t xml:space="preserve"> </w:t>
      </w:r>
      <w:r w:rsidR="001A2A98">
        <w:rPr>
          <w:rFonts w:ascii="Times New Roman" w:hAnsi="Times New Roman"/>
          <w:sz w:val="24"/>
          <w:szCs w:val="24"/>
          <w:lang w:val="sr-Cyrl-CS"/>
        </w:rPr>
        <w:t>и факти</w:t>
      </w:r>
      <w:r w:rsidR="00D55879">
        <w:rPr>
          <w:rFonts w:ascii="Times New Roman" w:hAnsi="Times New Roman"/>
          <w:sz w:val="24"/>
          <w:szCs w:val="24"/>
          <w:lang w:val="sr-Cyrl-CS"/>
        </w:rPr>
        <w:t>чки</w:t>
      </w:r>
      <w:r w:rsidR="001A2A98">
        <w:rPr>
          <w:rFonts w:ascii="Times New Roman" w:hAnsi="Times New Roman"/>
          <w:sz w:val="24"/>
          <w:szCs w:val="24"/>
          <w:lang w:val="sr-Cyrl-CS"/>
        </w:rPr>
        <w:t>м могућностима</w:t>
      </w:r>
      <w:r w:rsidR="00E75561">
        <w:rPr>
          <w:rFonts w:ascii="Times New Roman" w:hAnsi="Times New Roman"/>
          <w:sz w:val="24"/>
          <w:szCs w:val="24"/>
          <w:lang w:val="sr-Cyrl-CS"/>
        </w:rPr>
        <w:t xml:space="preserve"> да утичу на судбину тих односа. Е</w:t>
      </w:r>
      <w:r w:rsidR="001A2A98">
        <w:rPr>
          <w:rFonts w:ascii="Times New Roman" w:hAnsi="Times New Roman"/>
          <w:sz w:val="24"/>
          <w:szCs w:val="24"/>
          <w:lang w:val="sr-Cyrl-CS"/>
        </w:rPr>
        <w:t>кономски криминалитет</w:t>
      </w:r>
      <w:r w:rsidR="00E75561">
        <w:rPr>
          <w:rFonts w:ascii="Times New Roman" w:hAnsi="Times New Roman"/>
          <w:sz w:val="24"/>
          <w:szCs w:val="24"/>
          <w:lang w:val="sr-Cyrl-CS"/>
        </w:rPr>
        <w:t>, према његовом становишту,</w:t>
      </w:r>
      <w:r w:rsidR="001A2A98">
        <w:rPr>
          <w:rFonts w:ascii="Times New Roman" w:hAnsi="Times New Roman"/>
          <w:sz w:val="24"/>
          <w:szCs w:val="24"/>
          <w:lang w:val="sr-Cyrl-CS"/>
        </w:rPr>
        <w:t xml:space="preserve"> представљају они облици п</w:t>
      </w:r>
      <w:r w:rsidR="00D55879">
        <w:rPr>
          <w:rFonts w:ascii="Times New Roman" w:hAnsi="Times New Roman"/>
          <w:sz w:val="24"/>
          <w:szCs w:val="24"/>
          <w:lang w:val="sr-Cyrl-CS"/>
        </w:rPr>
        <w:t>онашања у економском (привредно</w:t>
      </w:r>
      <w:r w:rsidR="001A2A98">
        <w:rPr>
          <w:rFonts w:ascii="Times New Roman" w:hAnsi="Times New Roman"/>
          <w:sz w:val="24"/>
          <w:szCs w:val="24"/>
          <w:lang w:val="sr-Cyrl-CS"/>
        </w:rPr>
        <w:t>м) односу који се могу везивати за субјекта неког овлашћења или дужности у том односу, без обзира на којем се својинском облику тај однос заснив</w:t>
      </w:r>
      <w:r w:rsidR="00D55879">
        <w:rPr>
          <w:rFonts w:ascii="Times New Roman" w:hAnsi="Times New Roman"/>
          <w:sz w:val="24"/>
          <w:szCs w:val="24"/>
          <w:lang w:val="sr-Cyrl-CS"/>
        </w:rPr>
        <w:t>а</w:t>
      </w:r>
      <w:r w:rsidR="001A2A98">
        <w:rPr>
          <w:rFonts w:ascii="Times New Roman" w:hAnsi="Times New Roman"/>
          <w:sz w:val="24"/>
          <w:szCs w:val="24"/>
          <w:lang w:val="sr-Cyrl-CS"/>
        </w:rPr>
        <w:t>.</w:t>
      </w:r>
      <w:r w:rsidR="001A2A98">
        <w:rPr>
          <w:rStyle w:val="FootnoteReference"/>
          <w:rFonts w:ascii="Times New Roman" w:hAnsi="Times New Roman"/>
          <w:sz w:val="24"/>
          <w:szCs w:val="24"/>
          <w:lang w:val="sr-Cyrl-CS"/>
        </w:rPr>
        <w:footnoteReference w:id="652"/>
      </w:r>
      <w:r w:rsidR="00E75561">
        <w:rPr>
          <w:rFonts w:ascii="Times New Roman" w:hAnsi="Times New Roman"/>
          <w:sz w:val="24"/>
          <w:szCs w:val="24"/>
          <w:lang w:val="sr-Cyrl-CS"/>
        </w:rPr>
        <w:t xml:space="preserve"> </w:t>
      </w:r>
    </w:p>
    <w:p w:rsidR="0050085D" w:rsidRDefault="0050085D" w:rsidP="0050085D">
      <w:pPr>
        <w:pStyle w:val="ListParagraph"/>
        <w:ind w:left="0" w:firstLine="630"/>
        <w:jc w:val="both"/>
        <w:rPr>
          <w:rFonts w:ascii="Times New Roman" w:hAnsi="Times New Roman"/>
          <w:sz w:val="24"/>
          <w:szCs w:val="24"/>
          <w:lang w:val="sr-Cyrl-CS"/>
        </w:rPr>
      </w:pPr>
    </w:p>
    <w:p w:rsidR="001766DA" w:rsidRDefault="0050085D" w:rsidP="001766DA">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 xml:space="preserve">Становиште према коме се привредни криминалитет дефинише као економски криминалитет има своје оправдање у смислу усмерености тих кривичних дела на економски систем и облике његовог функционисања. Међутим, тај назив је неодређен </w:t>
      </w:r>
      <w:r>
        <w:rPr>
          <w:rFonts w:ascii="Times New Roman" w:hAnsi="Times New Roman"/>
          <w:sz w:val="24"/>
          <w:szCs w:val="24"/>
          <w:lang w:val="sr-Cyrl-CS"/>
        </w:rPr>
        <w:lastRenderedPageBreak/>
        <w:t>имајући у виду да и друга кривична дела имају изражене економске аспекте, али се не могу сматрати облицима привредног криминалитета.</w:t>
      </w:r>
      <w:r>
        <w:rPr>
          <w:rStyle w:val="FootnoteReference"/>
          <w:rFonts w:ascii="Times New Roman" w:hAnsi="Times New Roman"/>
          <w:sz w:val="24"/>
          <w:szCs w:val="24"/>
          <w:lang w:val="sr-Cyrl-CS"/>
        </w:rPr>
        <w:footnoteReference w:id="653"/>
      </w:r>
      <w:r>
        <w:rPr>
          <w:rFonts w:ascii="Times New Roman" w:hAnsi="Times New Roman"/>
          <w:sz w:val="24"/>
          <w:szCs w:val="24"/>
          <w:lang w:val="sr-Cyrl-CS"/>
        </w:rPr>
        <w:t xml:space="preserve"> </w:t>
      </w:r>
    </w:p>
    <w:p w:rsidR="0083289C" w:rsidRPr="001766DA" w:rsidRDefault="0083289C" w:rsidP="001766DA">
      <w:pPr>
        <w:pStyle w:val="ListParagraph"/>
        <w:ind w:left="0" w:firstLine="630"/>
        <w:jc w:val="both"/>
        <w:rPr>
          <w:rFonts w:ascii="Times New Roman" w:hAnsi="Times New Roman"/>
          <w:sz w:val="24"/>
          <w:szCs w:val="24"/>
          <w:lang w:val="sr-Cyrl-CS"/>
        </w:rPr>
      </w:pPr>
    </w:p>
    <w:p w:rsidR="0083289C" w:rsidRDefault="004D5E2F" w:rsidP="0083289C">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 xml:space="preserve">Према </w:t>
      </w:r>
      <w:r w:rsidR="00EF769C">
        <w:rPr>
          <w:rFonts w:ascii="Times New Roman" w:hAnsi="Times New Roman"/>
          <w:sz w:val="24"/>
          <w:szCs w:val="24"/>
          <w:lang w:val="sr-Cyrl-CS"/>
        </w:rPr>
        <w:t xml:space="preserve">Божидару Бановићу </w:t>
      </w:r>
      <w:r>
        <w:rPr>
          <w:rFonts w:ascii="Times New Roman" w:hAnsi="Times New Roman"/>
          <w:sz w:val="24"/>
          <w:szCs w:val="24"/>
          <w:lang w:val="sr-Cyrl-CS"/>
        </w:rPr>
        <w:t xml:space="preserve">привредни криминалитет представља </w:t>
      </w:r>
      <w:r w:rsidR="00DA4FA9">
        <w:rPr>
          <w:rFonts w:ascii="Times New Roman" w:hAnsi="Times New Roman"/>
          <w:sz w:val="24"/>
          <w:szCs w:val="24"/>
          <w:lang w:val="sr-Cyrl-CS"/>
        </w:rPr>
        <w:t xml:space="preserve">још шири појам јер  у привредни криминалитет сврстава привредне преступе и прекршаје, а у субјекте одговорности сврстава и правна лица. Према овом аутору, привредни криминалитет је </w:t>
      </w:r>
      <w:r>
        <w:rPr>
          <w:rFonts w:ascii="Times New Roman" w:hAnsi="Times New Roman"/>
          <w:sz w:val="24"/>
          <w:szCs w:val="24"/>
          <w:lang w:val="sr-Cyrl-CS"/>
        </w:rPr>
        <w:t xml:space="preserve">шири појам од економског криминалитета јер поред економског криминалитета, обухвата и имовински криминалитет и криминалитет против службене дужности који настаје поводом економског односа. </w:t>
      </w:r>
      <w:r w:rsidR="00DA4FA9">
        <w:rPr>
          <w:rFonts w:ascii="Times New Roman" w:hAnsi="Times New Roman"/>
          <w:sz w:val="24"/>
          <w:szCs w:val="24"/>
          <w:lang w:val="sr-Cyrl-CS"/>
        </w:rPr>
        <w:t>П</w:t>
      </w:r>
      <w:r w:rsidR="00EF769C">
        <w:rPr>
          <w:rFonts w:ascii="Times New Roman" w:hAnsi="Times New Roman"/>
          <w:sz w:val="24"/>
          <w:szCs w:val="24"/>
          <w:lang w:val="sr-Cyrl-CS"/>
        </w:rPr>
        <w:t>ривредни криминалитет чине сва деликтна понашања (чињења или нечињења) која настају у економским односима и у вези са тим односима, од стране субјеката тих односа, који располажу одговарајућим овлашћењима према имовини на којој се ти односи заснивају, а којим понашањима се непосредно наноси штета тој имовини и повређују или угрожавају привредни односи.</w:t>
      </w:r>
      <w:r w:rsidR="00EF769C">
        <w:rPr>
          <w:rStyle w:val="FootnoteReference"/>
          <w:rFonts w:ascii="Times New Roman" w:hAnsi="Times New Roman"/>
          <w:sz w:val="24"/>
          <w:szCs w:val="24"/>
          <w:lang w:val="sr-Cyrl-CS"/>
        </w:rPr>
        <w:footnoteReference w:id="654"/>
      </w:r>
      <w:r w:rsidR="00EF769C">
        <w:rPr>
          <w:rFonts w:ascii="Times New Roman" w:hAnsi="Times New Roman"/>
          <w:sz w:val="24"/>
          <w:szCs w:val="24"/>
          <w:lang w:val="sr-Cyrl-CS"/>
        </w:rPr>
        <w:t xml:space="preserve"> </w:t>
      </w:r>
    </w:p>
    <w:p w:rsidR="0083289C" w:rsidRDefault="0083289C" w:rsidP="0083289C">
      <w:pPr>
        <w:pStyle w:val="ListParagraph"/>
        <w:ind w:left="0" w:firstLine="630"/>
        <w:jc w:val="both"/>
        <w:rPr>
          <w:rFonts w:ascii="Times New Roman" w:hAnsi="Times New Roman"/>
          <w:sz w:val="24"/>
          <w:szCs w:val="24"/>
          <w:lang w:val="sr-Cyrl-CS"/>
        </w:rPr>
      </w:pPr>
    </w:p>
    <w:p w:rsidR="0083289C" w:rsidRDefault="0083289C" w:rsidP="0083289C">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Према Милану Шкулићу, у криминалистичком смислу, садржина привредног криминалитета је знатно шира и превазилази скуп кривичних дела против привреде, јер поред кривичних дела у привредном пословању ту спадају и нека кривична дела против службене дужности и имовине.</w:t>
      </w:r>
      <w:r>
        <w:rPr>
          <w:rStyle w:val="FootnoteReference"/>
          <w:rFonts w:ascii="Times New Roman" w:hAnsi="Times New Roman"/>
          <w:sz w:val="24"/>
          <w:szCs w:val="24"/>
          <w:lang w:val="sr-Cyrl-CS"/>
        </w:rPr>
        <w:footnoteReference w:id="655"/>
      </w:r>
    </w:p>
    <w:p w:rsidR="00DA4FA9" w:rsidRDefault="00DA4FA9" w:rsidP="00EF769C">
      <w:pPr>
        <w:pStyle w:val="ListParagraph"/>
        <w:ind w:left="0" w:firstLine="630"/>
        <w:jc w:val="both"/>
        <w:rPr>
          <w:rFonts w:ascii="Times New Roman" w:hAnsi="Times New Roman"/>
          <w:sz w:val="24"/>
          <w:szCs w:val="24"/>
          <w:lang w:val="sr-Cyrl-CS"/>
        </w:rPr>
      </w:pPr>
    </w:p>
    <w:p w:rsidR="00DA4FA9" w:rsidRDefault="00DA4FA9" w:rsidP="00DA4FA9">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 xml:space="preserve">Ширу дефиницу даје </w:t>
      </w:r>
      <w:r w:rsidRPr="00D55879">
        <w:rPr>
          <w:rFonts w:ascii="Times New Roman" w:hAnsi="Times New Roman"/>
          <w:sz w:val="24"/>
          <w:szCs w:val="24"/>
        </w:rPr>
        <w:t>Weber</w:t>
      </w:r>
      <w:r w:rsidRPr="00513EEC">
        <w:rPr>
          <w:rFonts w:ascii="Times New Roman" w:hAnsi="Times New Roman"/>
          <w:b/>
          <w:sz w:val="24"/>
          <w:szCs w:val="24"/>
          <w:lang w:val="sr-Cyrl-CS"/>
        </w:rPr>
        <w:t xml:space="preserve"> </w:t>
      </w:r>
      <w:r>
        <w:rPr>
          <w:rFonts w:ascii="Times New Roman" w:hAnsi="Times New Roman"/>
          <w:sz w:val="24"/>
          <w:szCs w:val="24"/>
          <w:lang w:val="sr-Cyrl-CS"/>
        </w:rPr>
        <w:t>према коме привредни криминал и деликтно понашање његових починилаца представља више од кршења правних норми и укључује и начине понашања који се налазе у сивој зони, између кажњивог и етички и морално недостојног понашања.</w:t>
      </w:r>
      <w:r>
        <w:rPr>
          <w:rFonts w:ascii="Times New Roman" w:hAnsi="Times New Roman"/>
          <w:sz w:val="24"/>
          <w:szCs w:val="24"/>
        </w:rPr>
        <w:t xml:space="preserve"> </w:t>
      </w:r>
      <w:r>
        <w:rPr>
          <w:rFonts w:ascii="Times New Roman" w:hAnsi="Times New Roman"/>
          <w:sz w:val="24"/>
          <w:szCs w:val="24"/>
          <w:lang w:val="sr-Cyrl-CS"/>
        </w:rPr>
        <w:t xml:space="preserve">По овом аутору, са привредним криминалом повезане су појаве прања новца, различити облици корупције, компјутерски деликти и приватноправна дела везана за берзе. Овај аутор даје правно-криминалистичку дефиницију појма привредног криминалитета, под којим подразумева кривична дела и прекршаје </w:t>
      </w:r>
    </w:p>
    <w:p w:rsidR="00DA4FA9" w:rsidRDefault="00DA4FA9" w:rsidP="00DA4FA9">
      <w:pPr>
        <w:pStyle w:val="ListParagraph"/>
        <w:ind w:left="0" w:firstLine="630"/>
        <w:jc w:val="both"/>
        <w:rPr>
          <w:rFonts w:ascii="Times New Roman" w:hAnsi="Times New Roman"/>
          <w:sz w:val="24"/>
          <w:szCs w:val="24"/>
          <w:lang w:val="sr-Cyrl-CS"/>
        </w:rPr>
      </w:pPr>
    </w:p>
    <w:p w:rsidR="00DA4FA9" w:rsidRDefault="00DA4FA9" w:rsidP="00DA4FA9">
      <w:pPr>
        <w:pStyle w:val="ListParagraph"/>
        <w:numPr>
          <w:ilvl w:val="0"/>
          <w:numId w:val="2"/>
        </w:numPr>
        <w:jc w:val="both"/>
        <w:rPr>
          <w:rFonts w:ascii="Times New Roman" w:hAnsi="Times New Roman"/>
          <w:sz w:val="24"/>
          <w:szCs w:val="24"/>
          <w:lang w:val="sr-Cyrl-CS"/>
        </w:rPr>
      </w:pPr>
      <w:r>
        <w:rPr>
          <w:rFonts w:ascii="Times New Roman" w:hAnsi="Times New Roman"/>
          <w:sz w:val="24"/>
          <w:szCs w:val="24"/>
          <w:lang w:val="sr-Cyrl-CS"/>
        </w:rPr>
        <w:t>који се  дешавају у области трговачког, пословног и привредног саобраћаја,</w:t>
      </w:r>
    </w:p>
    <w:p w:rsidR="00DA4FA9" w:rsidRDefault="00DA4FA9" w:rsidP="00DA4FA9">
      <w:pPr>
        <w:pStyle w:val="ListParagraph"/>
        <w:numPr>
          <w:ilvl w:val="0"/>
          <w:numId w:val="2"/>
        </w:numPr>
        <w:jc w:val="both"/>
        <w:rPr>
          <w:rFonts w:ascii="Times New Roman" w:hAnsi="Times New Roman"/>
          <w:sz w:val="24"/>
          <w:szCs w:val="24"/>
          <w:lang w:val="sr-Cyrl-CS"/>
        </w:rPr>
      </w:pPr>
      <w:r>
        <w:rPr>
          <w:rFonts w:ascii="Times New Roman" w:hAnsi="Times New Roman"/>
          <w:sz w:val="24"/>
          <w:szCs w:val="24"/>
          <w:lang w:val="sr-Cyrl-CS"/>
        </w:rPr>
        <w:t>који почивају на злоупотреби принципа поверења који важи у овој области,</w:t>
      </w:r>
    </w:p>
    <w:p w:rsidR="00DA4FA9" w:rsidRDefault="00DA4FA9" w:rsidP="00DA4FA9">
      <w:pPr>
        <w:pStyle w:val="ListParagraph"/>
        <w:numPr>
          <w:ilvl w:val="0"/>
          <w:numId w:val="2"/>
        </w:numPr>
        <w:jc w:val="both"/>
        <w:rPr>
          <w:rFonts w:ascii="Times New Roman" w:hAnsi="Times New Roman"/>
          <w:sz w:val="24"/>
          <w:szCs w:val="24"/>
          <w:lang w:val="sr-Cyrl-CS"/>
        </w:rPr>
      </w:pPr>
      <w:r>
        <w:rPr>
          <w:rFonts w:ascii="Times New Roman" w:hAnsi="Times New Roman"/>
          <w:sz w:val="24"/>
          <w:szCs w:val="24"/>
          <w:lang w:val="sr-Cyrl-CS"/>
        </w:rPr>
        <w:t>који поред појединачног интереса, ометају или угрожавају привредни живот и поредак,</w:t>
      </w:r>
    </w:p>
    <w:p w:rsidR="00DA4FA9" w:rsidRPr="00513EEC" w:rsidRDefault="00DA4FA9" w:rsidP="00DA4FA9">
      <w:pPr>
        <w:pStyle w:val="ListParagraph"/>
        <w:numPr>
          <w:ilvl w:val="0"/>
          <w:numId w:val="2"/>
        </w:numPr>
        <w:jc w:val="both"/>
        <w:rPr>
          <w:rFonts w:ascii="Times New Roman" w:hAnsi="Times New Roman"/>
          <w:sz w:val="24"/>
          <w:szCs w:val="24"/>
          <w:lang w:val="sr-Cyrl-CS"/>
        </w:rPr>
      </w:pPr>
      <w:r>
        <w:rPr>
          <w:rFonts w:ascii="Times New Roman" w:hAnsi="Times New Roman"/>
          <w:sz w:val="24"/>
          <w:szCs w:val="24"/>
          <w:lang w:val="sr-Cyrl-CS"/>
        </w:rPr>
        <w:t>који због своје сложености и разноврсних форми испољавања, могу да се открију само уз велике тешкоће и специфично стручно знање.</w:t>
      </w:r>
      <w:r w:rsidRPr="00464BF8">
        <w:rPr>
          <w:rStyle w:val="FootnoteReference"/>
          <w:rFonts w:ascii="Times New Roman" w:hAnsi="Times New Roman"/>
          <w:sz w:val="24"/>
          <w:szCs w:val="24"/>
          <w:lang w:val="sr-Cyrl-CS"/>
        </w:rPr>
        <w:t xml:space="preserve"> </w:t>
      </w:r>
      <w:r>
        <w:rPr>
          <w:rStyle w:val="FootnoteReference"/>
          <w:rFonts w:ascii="Times New Roman" w:hAnsi="Times New Roman"/>
          <w:sz w:val="24"/>
          <w:szCs w:val="24"/>
          <w:lang w:val="sr-Cyrl-CS"/>
        </w:rPr>
        <w:footnoteReference w:id="656"/>
      </w:r>
      <w:r>
        <w:rPr>
          <w:rFonts w:ascii="Times New Roman" w:hAnsi="Times New Roman"/>
          <w:sz w:val="24"/>
          <w:szCs w:val="24"/>
          <w:lang w:val="sr-Cyrl-CS"/>
        </w:rPr>
        <w:t xml:space="preserve">  </w:t>
      </w:r>
    </w:p>
    <w:p w:rsidR="00DA4FA9" w:rsidRDefault="00DA4FA9" w:rsidP="00EF769C">
      <w:pPr>
        <w:pStyle w:val="ListParagraph"/>
        <w:ind w:left="0" w:firstLine="630"/>
        <w:jc w:val="both"/>
        <w:rPr>
          <w:rFonts w:ascii="Times New Roman" w:hAnsi="Times New Roman"/>
          <w:sz w:val="24"/>
          <w:szCs w:val="24"/>
          <w:lang w:val="sr-Cyrl-CS"/>
        </w:rPr>
      </w:pPr>
    </w:p>
    <w:p w:rsidR="00DA4FA9" w:rsidRDefault="00DA4FA9" w:rsidP="00EF769C">
      <w:pPr>
        <w:pStyle w:val="ListParagraph"/>
        <w:ind w:left="0" w:firstLine="630"/>
        <w:jc w:val="both"/>
        <w:rPr>
          <w:rFonts w:ascii="Times New Roman" w:hAnsi="Times New Roman"/>
          <w:sz w:val="24"/>
          <w:szCs w:val="24"/>
          <w:lang w:val="sr-Cyrl-CS"/>
        </w:rPr>
      </w:pPr>
    </w:p>
    <w:p w:rsidR="00EC6D0C" w:rsidRDefault="00166D3D" w:rsidP="00B9123B">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lastRenderedPageBreak/>
        <w:t>Привредни криминалитет</w:t>
      </w:r>
      <w:r w:rsidR="00EC6D0C">
        <w:rPr>
          <w:rFonts w:ascii="Times New Roman" w:hAnsi="Times New Roman"/>
          <w:sz w:val="24"/>
          <w:szCs w:val="24"/>
          <w:lang w:val="sr-Cyrl-CS"/>
        </w:rPr>
        <w:t xml:space="preserve"> се често повезује са организованим криминалом, што је у складу са данас раширеним схватањем да су привредни и организовани криминал уско повезани. У савременој криминологији се често истиче да је један од разлога због кога је организовани криминалитет тако моћан и широко заступљен, то што није јасно где се завршава организовани криминалитет, а где почиње легалан бизнис.</w:t>
      </w:r>
      <w:r w:rsidR="00EC6D0C">
        <w:rPr>
          <w:rStyle w:val="FootnoteReference"/>
          <w:rFonts w:ascii="Times New Roman" w:hAnsi="Times New Roman"/>
          <w:sz w:val="24"/>
          <w:szCs w:val="24"/>
          <w:lang w:val="sr-Cyrl-CS"/>
        </w:rPr>
        <w:footnoteReference w:id="657"/>
      </w:r>
      <w:r w:rsidR="00EC6D0C">
        <w:rPr>
          <w:rFonts w:ascii="Times New Roman" w:hAnsi="Times New Roman"/>
          <w:sz w:val="24"/>
          <w:szCs w:val="24"/>
          <w:lang w:val="sr-Cyrl-CS"/>
        </w:rPr>
        <w:t xml:space="preserve"> Мимо тога, за исту или сличну активност се употребљавају различити термини као што су: бизнис криминал, економски криминал, тржишни криминал</w:t>
      </w:r>
      <w:r w:rsidR="00B9123B">
        <w:rPr>
          <w:rFonts w:ascii="Times New Roman" w:hAnsi="Times New Roman"/>
          <w:sz w:val="24"/>
          <w:szCs w:val="24"/>
          <w:lang w:val="sr-Cyrl-CS"/>
        </w:rPr>
        <w:t>, криминалитет корпорација</w:t>
      </w:r>
      <w:r w:rsidR="00EC6D0C">
        <w:rPr>
          <w:rFonts w:ascii="Times New Roman" w:hAnsi="Times New Roman"/>
          <w:sz w:val="24"/>
          <w:szCs w:val="24"/>
          <w:lang w:val="sr-Cyrl-CS"/>
        </w:rPr>
        <w:t xml:space="preserve"> итд. па и то отежава дефинисање овог појма.</w:t>
      </w:r>
    </w:p>
    <w:p w:rsidR="00B9123B" w:rsidRPr="00B9123B" w:rsidRDefault="00B9123B" w:rsidP="00B9123B">
      <w:pPr>
        <w:pStyle w:val="ListParagraph"/>
        <w:ind w:left="0" w:firstLine="630"/>
        <w:jc w:val="both"/>
        <w:rPr>
          <w:rFonts w:ascii="Times New Roman" w:hAnsi="Times New Roman"/>
          <w:sz w:val="24"/>
          <w:szCs w:val="24"/>
          <w:lang w:val="sr-Cyrl-CS"/>
        </w:rPr>
      </w:pPr>
    </w:p>
    <w:p w:rsidR="00EF769C" w:rsidRDefault="00B9123B" w:rsidP="00166D3D">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Термин криминалитет корпорација је у употреби у криминолошкој литератури Сједињених Америчких Држава и означава дела којима се крше норме којима је регулисано пословање корпорација.</w:t>
      </w:r>
      <w:r>
        <w:rPr>
          <w:rStyle w:val="FootnoteReference"/>
          <w:rFonts w:ascii="Times New Roman" w:hAnsi="Times New Roman"/>
          <w:sz w:val="24"/>
          <w:szCs w:val="24"/>
          <w:lang w:val="sr-Cyrl-CS"/>
        </w:rPr>
        <w:footnoteReference w:id="658"/>
      </w:r>
      <w:r>
        <w:rPr>
          <w:rFonts w:ascii="Times New Roman" w:hAnsi="Times New Roman"/>
          <w:sz w:val="24"/>
          <w:szCs w:val="24"/>
          <w:lang w:val="sr-Cyrl-CS"/>
        </w:rPr>
        <w:t xml:space="preserve"> </w:t>
      </w:r>
      <w:r w:rsidR="00EC6D0C">
        <w:rPr>
          <w:rFonts w:ascii="Times New Roman" w:hAnsi="Times New Roman"/>
          <w:sz w:val="24"/>
          <w:szCs w:val="24"/>
          <w:lang w:val="sr-Cyrl-CS"/>
        </w:rPr>
        <w:t>Према Ђорђу Игњатовићу</w:t>
      </w:r>
      <w:r w:rsidR="00EC6D0C">
        <w:rPr>
          <w:rStyle w:val="FootnoteReference"/>
          <w:rFonts w:ascii="Times New Roman" w:hAnsi="Times New Roman"/>
          <w:sz w:val="24"/>
          <w:szCs w:val="24"/>
          <w:lang w:val="sr-Cyrl-CS"/>
        </w:rPr>
        <w:footnoteReference w:id="659"/>
      </w:r>
      <w:r w:rsidR="00EC6D0C">
        <w:rPr>
          <w:rFonts w:ascii="Times New Roman" w:hAnsi="Times New Roman"/>
          <w:sz w:val="24"/>
          <w:szCs w:val="24"/>
          <w:lang w:val="sr-Cyrl-CS"/>
        </w:rPr>
        <w:t xml:space="preserve"> криминалу „белог оковратника“ близак је „криминалитет корпорација“. Ова дела врше корпорације кршећи норме којима је њихово пословање регулисано и често се сматрају криминалитетом „белог оковратника“ у ширем смислу. Сличности између  криминалитета „белог оковратника“ у ужем смислу и „криминалитета корпорација“ огледају се у томе што се врше у сличним областима и на сличан начин, али међу њима постоји битна разлика јер је код криминалитета белог оковратника, у ужем смислу, јаче истакнут лични користољубив мотив. Код дела криминалитета корпорација корист припада самој компанији.  </w:t>
      </w:r>
      <w:r w:rsidR="008149A8">
        <w:rPr>
          <w:rFonts w:ascii="Times New Roman" w:hAnsi="Times New Roman"/>
          <w:sz w:val="24"/>
          <w:szCs w:val="24"/>
          <w:lang w:val="sr-Cyrl-CS"/>
        </w:rPr>
        <w:t xml:space="preserve"> </w:t>
      </w:r>
    </w:p>
    <w:p w:rsidR="00166D3D" w:rsidRPr="00166D3D" w:rsidRDefault="00166D3D" w:rsidP="00166D3D">
      <w:pPr>
        <w:pStyle w:val="ListParagraph"/>
        <w:ind w:left="0" w:firstLine="630"/>
        <w:jc w:val="both"/>
        <w:rPr>
          <w:rFonts w:ascii="Times New Roman" w:hAnsi="Times New Roman"/>
          <w:sz w:val="24"/>
          <w:szCs w:val="24"/>
          <w:lang w:val="sr-Cyrl-CS"/>
        </w:rPr>
      </w:pPr>
    </w:p>
    <w:p w:rsidR="00C603E2" w:rsidRDefault="00CA6CB1" w:rsidP="002D7803">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О</w:t>
      </w:r>
      <w:r w:rsidR="00316FBA">
        <w:rPr>
          <w:rFonts w:ascii="Times New Roman" w:hAnsi="Times New Roman"/>
          <w:sz w:val="24"/>
          <w:szCs w:val="24"/>
          <w:lang w:val="sr-Cyrl-CS"/>
        </w:rPr>
        <w:t xml:space="preserve">сновна разилажења у дефинисању кривично-правне и криминолошке категорије </w:t>
      </w:r>
      <w:r w:rsidR="008149A8">
        <w:rPr>
          <w:rFonts w:ascii="Times New Roman" w:hAnsi="Times New Roman"/>
          <w:sz w:val="24"/>
          <w:szCs w:val="24"/>
          <w:lang w:val="sr-Cyrl-CS"/>
        </w:rPr>
        <w:t xml:space="preserve">привредног криминалитта </w:t>
      </w:r>
      <w:r w:rsidR="00316FBA">
        <w:rPr>
          <w:rFonts w:ascii="Times New Roman" w:hAnsi="Times New Roman"/>
          <w:sz w:val="24"/>
          <w:szCs w:val="24"/>
          <w:lang w:val="sr-Cyrl-CS"/>
        </w:rPr>
        <w:t>су</w:t>
      </w:r>
      <w:r w:rsidR="00C603E2">
        <w:rPr>
          <w:rFonts w:ascii="Times New Roman" w:hAnsi="Times New Roman"/>
          <w:sz w:val="24"/>
          <w:szCs w:val="24"/>
          <w:lang w:val="sr-Cyrl-CS"/>
        </w:rPr>
        <w:t>, између осталог,</w:t>
      </w:r>
      <w:r w:rsidR="00316FBA">
        <w:rPr>
          <w:rFonts w:ascii="Times New Roman" w:hAnsi="Times New Roman"/>
          <w:sz w:val="24"/>
          <w:szCs w:val="24"/>
          <w:lang w:val="sr-Cyrl-CS"/>
        </w:rPr>
        <w:t xml:space="preserve"> због тешког разграничења привредних кривичних дела од неких других група крвичних дела, посебно од имовинских и кривичних дела против службене дужности. </w:t>
      </w:r>
      <w:r w:rsidR="002D7803">
        <w:rPr>
          <w:rFonts w:ascii="Times New Roman" w:hAnsi="Times New Roman"/>
          <w:sz w:val="24"/>
          <w:szCs w:val="24"/>
          <w:lang w:val="sr-Cyrl-CS"/>
        </w:rPr>
        <w:t>При том, т</w:t>
      </w:r>
      <w:r w:rsidR="000933FD">
        <w:rPr>
          <w:rFonts w:ascii="Times New Roman" w:hAnsi="Times New Roman"/>
          <w:sz w:val="24"/>
          <w:szCs w:val="24"/>
          <w:lang w:val="sr-Cyrl-CS"/>
        </w:rPr>
        <w:t>ешко је једном дефиницом обухватити целину ове сложене појаве, а да при том дефиниција не буде ни преширока ни преуска. Преширока дефиниција је често неодређена, недовољно разграничава ову појаву од других њој сличних појава и удаљава је од суштине. Уколико је дефиниција преуска може се десити да не обухвати неки важан сегмент овог феномена, односно да пропусти да га сагледа у целини. Полазећи од наведеног, а имајући у виду да се ради о веома сложеном феномену, ч</w:t>
      </w:r>
      <w:r w:rsidR="00C603E2">
        <w:rPr>
          <w:rFonts w:ascii="Times New Roman" w:hAnsi="Times New Roman"/>
          <w:sz w:val="24"/>
          <w:szCs w:val="24"/>
          <w:lang w:val="sr-Cyrl-CS"/>
        </w:rPr>
        <w:t>ини нам се као најприхватљивије схватање привредног криминала у ширем смислу</w:t>
      </w:r>
      <w:r w:rsidR="000933FD">
        <w:rPr>
          <w:rFonts w:ascii="Times New Roman" w:hAnsi="Times New Roman"/>
          <w:sz w:val="24"/>
          <w:szCs w:val="24"/>
          <w:lang w:val="sr-Cyrl-CS"/>
        </w:rPr>
        <w:t xml:space="preserve"> и у ужем смислу, при чему је то у ширем смислу</w:t>
      </w:r>
      <w:r w:rsidR="00C603E2">
        <w:rPr>
          <w:rFonts w:ascii="Times New Roman" w:hAnsi="Times New Roman"/>
          <w:sz w:val="24"/>
          <w:szCs w:val="24"/>
          <w:lang w:val="sr-Cyrl-CS"/>
        </w:rPr>
        <w:t xml:space="preserve"> скуп свих деликата на штету привреде</w:t>
      </w:r>
      <w:r w:rsidR="000933FD">
        <w:rPr>
          <w:rFonts w:ascii="Times New Roman" w:hAnsi="Times New Roman"/>
          <w:sz w:val="24"/>
          <w:szCs w:val="24"/>
          <w:lang w:val="sr-Cyrl-CS"/>
        </w:rPr>
        <w:t xml:space="preserve">, а у ужем смислу </w:t>
      </w:r>
      <w:r w:rsidR="00C603E2">
        <w:rPr>
          <w:rFonts w:ascii="Times New Roman" w:hAnsi="Times New Roman"/>
          <w:sz w:val="24"/>
          <w:szCs w:val="24"/>
          <w:lang w:val="sr-Cyrl-CS"/>
        </w:rPr>
        <w:t xml:space="preserve"> </w:t>
      </w:r>
      <w:r w:rsidR="000933FD">
        <w:rPr>
          <w:rFonts w:ascii="Times New Roman" w:hAnsi="Times New Roman"/>
          <w:sz w:val="24"/>
          <w:szCs w:val="24"/>
          <w:lang w:val="sr-Cyrl-CS"/>
        </w:rPr>
        <w:t>скуп</w:t>
      </w:r>
      <w:r w:rsidR="00C603E2">
        <w:rPr>
          <w:rFonts w:ascii="Times New Roman" w:hAnsi="Times New Roman"/>
          <w:sz w:val="24"/>
          <w:szCs w:val="24"/>
          <w:lang w:val="sr-Cyrl-CS"/>
        </w:rPr>
        <w:t xml:space="preserve"> кривичних дела против привреде.</w:t>
      </w:r>
    </w:p>
    <w:p w:rsidR="004A10D5" w:rsidRDefault="004A10D5" w:rsidP="00CA6CB1">
      <w:pPr>
        <w:pStyle w:val="ListParagraph"/>
        <w:ind w:left="0" w:firstLine="630"/>
        <w:jc w:val="both"/>
        <w:rPr>
          <w:rFonts w:ascii="Times New Roman" w:hAnsi="Times New Roman"/>
          <w:sz w:val="24"/>
          <w:szCs w:val="24"/>
          <w:lang w:val="sr-Cyrl-CS"/>
        </w:rPr>
      </w:pPr>
    </w:p>
    <w:p w:rsidR="004A10D5" w:rsidRDefault="00C95E36" w:rsidP="00CA6CB1">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 xml:space="preserve">Иако је тешко једном дефиницијом обухватити ову веома сложену појаву може се закључити да је став који прихвата већина аутора такав да се </w:t>
      </w:r>
      <w:r w:rsidR="00C603E2">
        <w:rPr>
          <w:rFonts w:ascii="Times New Roman" w:hAnsi="Times New Roman"/>
          <w:sz w:val="24"/>
          <w:szCs w:val="24"/>
          <w:lang w:val="sr-Cyrl-CS"/>
        </w:rPr>
        <w:t xml:space="preserve">се </w:t>
      </w:r>
      <w:r>
        <w:rPr>
          <w:rFonts w:ascii="Times New Roman" w:hAnsi="Times New Roman"/>
          <w:sz w:val="24"/>
          <w:szCs w:val="24"/>
          <w:lang w:val="sr-Cyrl-CS"/>
        </w:rPr>
        <w:t xml:space="preserve">под </w:t>
      </w:r>
      <w:r w:rsidR="00C603E2">
        <w:rPr>
          <w:rFonts w:ascii="Times New Roman" w:hAnsi="Times New Roman"/>
          <w:sz w:val="24"/>
          <w:szCs w:val="24"/>
          <w:lang w:val="sr-Cyrl-CS"/>
        </w:rPr>
        <w:t>привредним</w:t>
      </w:r>
      <w:r w:rsidR="004A10D5">
        <w:rPr>
          <w:rFonts w:ascii="Times New Roman" w:hAnsi="Times New Roman"/>
          <w:sz w:val="24"/>
          <w:szCs w:val="24"/>
          <w:lang w:val="sr-Cyrl-CS"/>
        </w:rPr>
        <w:t xml:space="preserve"> криминалом сматрају сва она недозвољена понашања којима се напада на наш привредни систем, без обзира од кога дол</w:t>
      </w:r>
      <w:r>
        <w:rPr>
          <w:rFonts w:ascii="Times New Roman" w:hAnsi="Times New Roman"/>
          <w:sz w:val="24"/>
          <w:szCs w:val="24"/>
          <w:lang w:val="sr-Cyrl-CS"/>
        </w:rPr>
        <w:t>ази тај напад (</w:t>
      </w:r>
      <w:r w:rsidR="00C603E2">
        <w:rPr>
          <w:rFonts w:ascii="Times New Roman" w:hAnsi="Times New Roman"/>
          <w:sz w:val="24"/>
          <w:szCs w:val="24"/>
          <w:lang w:val="sr-Cyrl-CS"/>
        </w:rPr>
        <w:t>од службених лица,</w:t>
      </w:r>
      <w:r w:rsidR="004A10D5">
        <w:rPr>
          <w:rFonts w:ascii="Times New Roman" w:hAnsi="Times New Roman"/>
          <w:sz w:val="24"/>
          <w:szCs w:val="24"/>
          <w:lang w:val="sr-Cyrl-CS"/>
        </w:rPr>
        <w:t xml:space="preserve"> </w:t>
      </w:r>
      <w:r w:rsidR="00C603E2">
        <w:rPr>
          <w:rFonts w:ascii="Times New Roman" w:hAnsi="Times New Roman"/>
          <w:sz w:val="24"/>
          <w:szCs w:val="24"/>
          <w:lang w:val="sr-Cyrl-CS"/>
        </w:rPr>
        <w:t>п</w:t>
      </w:r>
      <w:r w:rsidR="004A10D5">
        <w:rPr>
          <w:rFonts w:ascii="Times New Roman" w:hAnsi="Times New Roman"/>
          <w:sz w:val="24"/>
          <w:szCs w:val="24"/>
          <w:lang w:val="sr-Cyrl-CS"/>
        </w:rPr>
        <w:t xml:space="preserve">ривредних </w:t>
      </w:r>
      <w:r w:rsidR="004A10D5">
        <w:rPr>
          <w:rFonts w:ascii="Times New Roman" w:hAnsi="Times New Roman"/>
          <w:sz w:val="24"/>
          <w:szCs w:val="24"/>
          <w:lang w:val="sr-Cyrl-CS"/>
        </w:rPr>
        <w:lastRenderedPageBreak/>
        <w:t>организација или од лица ван привредне организације која на посредан или непосредан начин атакују на привредни систем</w:t>
      </w:r>
      <w:r>
        <w:rPr>
          <w:rFonts w:ascii="Times New Roman" w:hAnsi="Times New Roman"/>
          <w:sz w:val="24"/>
          <w:szCs w:val="24"/>
          <w:lang w:val="sr-Cyrl-CS"/>
        </w:rPr>
        <w:t>)</w:t>
      </w:r>
      <w:r w:rsidR="004A10D5">
        <w:rPr>
          <w:rFonts w:ascii="Times New Roman" w:hAnsi="Times New Roman"/>
          <w:sz w:val="24"/>
          <w:szCs w:val="24"/>
          <w:lang w:val="sr-Cyrl-CS"/>
        </w:rPr>
        <w:t>.</w:t>
      </w:r>
      <w:r w:rsidR="004A10D5">
        <w:rPr>
          <w:rStyle w:val="FootnoteReference"/>
          <w:rFonts w:ascii="Times New Roman" w:hAnsi="Times New Roman"/>
          <w:sz w:val="24"/>
          <w:szCs w:val="24"/>
          <w:lang w:val="sr-Cyrl-CS"/>
        </w:rPr>
        <w:footnoteReference w:id="660"/>
      </w:r>
    </w:p>
    <w:p w:rsidR="00360574" w:rsidRDefault="00360574" w:rsidP="00CA6CB1">
      <w:pPr>
        <w:pStyle w:val="ListParagraph"/>
        <w:ind w:left="0" w:firstLine="630"/>
        <w:jc w:val="both"/>
        <w:rPr>
          <w:rFonts w:ascii="Times New Roman" w:hAnsi="Times New Roman"/>
          <w:sz w:val="24"/>
          <w:szCs w:val="24"/>
          <w:lang w:val="sr-Cyrl-CS"/>
        </w:rPr>
      </w:pPr>
    </w:p>
    <w:p w:rsidR="00C65A63" w:rsidRDefault="00C65A63" w:rsidP="001E271B">
      <w:pPr>
        <w:pStyle w:val="ListParagraph"/>
        <w:ind w:left="0" w:firstLine="630"/>
        <w:jc w:val="both"/>
        <w:rPr>
          <w:rFonts w:ascii="Times New Roman" w:hAnsi="Times New Roman"/>
          <w:sz w:val="24"/>
          <w:szCs w:val="24"/>
          <w:lang w:val="sr-Cyrl-CS"/>
        </w:rPr>
      </w:pPr>
    </w:p>
    <w:p w:rsidR="00316A3D" w:rsidRPr="001F4B89" w:rsidRDefault="00360574" w:rsidP="00360574">
      <w:pPr>
        <w:pStyle w:val="ListParagraph"/>
        <w:numPr>
          <w:ilvl w:val="1"/>
          <w:numId w:val="4"/>
        </w:numPr>
        <w:jc w:val="center"/>
        <w:rPr>
          <w:rFonts w:ascii="Times New Roman" w:hAnsi="Times New Roman"/>
          <w:sz w:val="24"/>
          <w:szCs w:val="24"/>
          <w:lang w:val="sr-Cyrl-CS"/>
        </w:rPr>
      </w:pPr>
      <w:r>
        <w:rPr>
          <w:rFonts w:ascii="Times New Roman" w:hAnsi="Times New Roman"/>
          <w:b/>
          <w:sz w:val="24"/>
          <w:szCs w:val="24"/>
          <w:lang w:val="sr-Cyrl-CS"/>
        </w:rPr>
        <w:t>Дефинисање корупције</w:t>
      </w:r>
    </w:p>
    <w:p w:rsidR="001F4B89" w:rsidRPr="00360574" w:rsidRDefault="001F4B89" w:rsidP="001F4B89">
      <w:pPr>
        <w:pStyle w:val="ListParagraph"/>
        <w:ind w:left="990"/>
        <w:rPr>
          <w:rFonts w:ascii="Times New Roman" w:hAnsi="Times New Roman"/>
          <w:sz w:val="24"/>
          <w:szCs w:val="24"/>
          <w:lang w:val="sr-Cyrl-CS"/>
        </w:rPr>
      </w:pPr>
    </w:p>
    <w:p w:rsidR="00360574" w:rsidRDefault="00360574" w:rsidP="00360574">
      <w:pPr>
        <w:pStyle w:val="ListParagraph"/>
        <w:ind w:left="990"/>
        <w:rPr>
          <w:rFonts w:ascii="Times New Roman" w:hAnsi="Times New Roman"/>
          <w:sz w:val="24"/>
          <w:szCs w:val="24"/>
          <w:lang w:val="sr-Cyrl-CS"/>
        </w:rPr>
      </w:pPr>
    </w:p>
    <w:p w:rsidR="00EF769C" w:rsidRPr="00D20C21" w:rsidRDefault="00EF769C" w:rsidP="00D20C21">
      <w:pPr>
        <w:ind w:firstLine="630"/>
        <w:jc w:val="both"/>
        <w:rPr>
          <w:rFonts w:ascii="Times New Roman" w:hAnsi="Times New Roman"/>
          <w:sz w:val="24"/>
          <w:szCs w:val="24"/>
          <w:lang w:val="sr-Cyrl-CS"/>
        </w:rPr>
      </w:pPr>
      <w:r>
        <w:rPr>
          <w:rFonts w:ascii="Times New Roman" w:hAnsi="Times New Roman"/>
          <w:sz w:val="24"/>
          <w:szCs w:val="24"/>
          <w:lang w:val="sr-Cyrl-CS"/>
        </w:rPr>
        <w:t>Корупција представља штетну друштвену појаву којом се подрива владавина права, крше правне норме и морал. Ради се о веома сложеној појави која није само правна, него и историјска, психолошка, политичка, социолошка и екон</w:t>
      </w:r>
      <w:r w:rsidR="00242688">
        <w:rPr>
          <w:rFonts w:ascii="Times New Roman" w:hAnsi="Times New Roman"/>
          <w:sz w:val="24"/>
          <w:szCs w:val="24"/>
          <w:lang w:val="sr-Cyrl-CS"/>
        </w:rPr>
        <w:t>омска категорија и</w:t>
      </w:r>
      <w:r>
        <w:rPr>
          <w:rFonts w:ascii="Times New Roman" w:hAnsi="Times New Roman"/>
          <w:sz w:val="24"/>
          <w:szCs w:val="24"/>
          <w:lang w:val="sr-Cyrl-CS"/>
        </w:rPr>
        <w:t xml:space="preserve"> најопаснији </w:t>
      </w:r>
      <w:r w:rsidR="00242688">
        <w:rPr>
          <w:rFonts w:ascii="Times New Roman" w:hAnsi="Times New Roman"/>
          <w:sz w:val="24"/>
          <w:szCs w:val="24"/>
          <w:lang w:val="sr-Cyrl-CS"/>
        </w:rPr>
        <w:t xml:space="preserve">је </w:t>
      </w:r>
      <w:r w:rsidR="001268D9">
        <w:rPr>
          <w:rFonts w:ascii="Times New Roman" w:hAnsi="Times New Roman"/>
          <w:sz w:val="24"/>
          <w:szCs w:val="24"/>
          <w:lang w:val="sr-Cyrl-CS"/>
        </w:rPr>
        <w:t>вид привредног криминала. „К</w:t>
      </w:r>
      <w:r w:rsidR="001268D9" w:rsidRPr="008C6124">
        <w:rPr>
          <w:rFonts w:ascii="Times New Roman" w:hAnsi="Times New Roman"/>
          <w:sz w:val="24"/>
          <w:szCs w:val="24"/>
          <w:lang w:val="sr-Cyrl-CS"/>
        </w:rPr>
        <w:t>орупција представља предмет проучавања правне,</w:t>
      </w:r>
      <w:r w:rsidR="001268D9">
        <w:rPr>
          <w:rFonts w:ascii="Times New Roman" w:hAnsi="Times New Roman"/>
          <w:sz w:val="24"/>
          <w:szCs w:val="24"/>
          <w:lang w:val="sr-Cyrl-CS"/>
        </w:rPr>
        <w:t xml:space="preserve"> </w:t>
      </w:r>
      <w:r w:rsidR="001268D9" w:rsidRPr="008C6124">
        <w:rPr>
          <w:rFonts w:ascii="Times New Roman" w:hAnsi="Times New Roman"/>
          <w:sz w:val="24"/>
          <w:szCs w:val="24"/>
          <w:lang w:val="sr-Cyrl-CS"/>
        </w:rPr>
        <w:t>политиколошке, међународне, безбедносне и друштвене теорије, али и</w:t>
      </w:r>
      <w:r w:rsidR="001268D9">
        <w:rPr>
          <w:rFonts w:ascii="Times New Roman" w:hAnsi="Times New Roman"/>
          <w:sz w:val="24"/>
          <w:szCs w:val="24"/>
          <w:lang w:val="sr-Cyrl-CS"/>
        </w:rPr>
        <w:t xml:space="preserve"> </w:t>
      </w:r>
      <w:r w:rsidR="001268D9" w:rsidRPr="008C6124">
        <w:rPr>
          <w:rFonts w:ascii="Times New Roman" w:hAnsi="Times New Roman"/>
          <w:sz w:val="24"/>
          <w:szCs w:val="24"/>
          <w:lang w:val="sr-Cyrl-CS"/>
        </w:rPr>
        <w:t>правне праксе и криминалне политике. Све то треба да води јединственој</w:t>
      </w:r>
      <w:r w:rsidR="001268D9">
        <w:rPr>
          <w:rFonts w:ascii="Times New Roman" w:hAnsi="Times New Roman"/>
          <w:sz w:val="24"/>
          <w:szCs w:val="24"/>
          <w:lang w:val="sr-Cyrl-CS"/>
        </w:rPr>
        <w:t xml:space="preserve"> </w:t>
      </w:r>
      <w:r w:rsidR="001268D9" w:rsidRPr="008C6124">
        <w:rPr>
          <w:rFonts w:ascii="Times New Roman" w:hAnsi="Times New Roman"/>
          <w:sz w:val="24"/>
          <w:szCs w:val="24"/>
          <w:lang w:val="sr-Cyrl-CS"/>
        </w:rPr>
        <w:t>и целовитој активности свих друштвених субјеката на свим нивоима,</w:t>
      </w:r>
      <w:r w:rsidR="001268D9">
        <w:rPr>
          <w:rFonts w:ascii="Times New Roman" w:hAnsi="Times New Roman"/>
          <w:sz w:val="24"/>
          <w:szCs w:val="24"/>
          <w:lang w:val="sr-Cyrl-CS"/>
        </w:rPr>
        <w:t xml:space="preserve"> </w:t>
      </w:r>
      <w:r w:rsidR="001268D9" w:rsidRPr="008C6124">
        <w:rPr>
          <w:rFonts w:ascii="Times New Roman" w:hAnsi="Times New Roman"/>
          <w:sz w:val="24"/>
          <w:szCs w:val="24"/>
          <w:lang w:val="sr-Cyrl-CS"/>
        </w:rPr>
        <w:t>укључујући и међународну заједницу, а не само поједине државе, како би</w:t>
      </w:r>
      <w:r w:rsidR="001268D9">
        <w:rPr>
          <w:rFonts w:ascii="Times New Roman" w:hAnsi="Times New Roman"/>
          <w:sz w:val="24"/>
          <w:szCs w:val="24"/>
          <w:lang w:val="sr-Cyrl-CS"/>
        </w:rPr>
        <w:t xml:space="preserve"> </w:t>
      </w:r>
      <w:r w:rsidR="001268D9" w:rsidRPr="008C6124">
        <w:rPr>
          <w:rFonts w:ascii="Times New Roman" w:hAnsi="Times New Roman"/>
          <w:sz w:val="24"/>
          <w:szCs w:val="24"/>
          <w:lang w:val="sr-Cyrl-CS"/>
        </w:rPr>
        <w:t>се корупција смањила, искоренила, спречила односно сузбила или ако то</w:t>
      </w:r>
      <w:r w:rsidR="001268D9">
        <w:rPr>
          <w:rFonts w:ascii="Times New Roman" w:hAnsi="Times New Roman"/>
          <w:sz w:val="24"/>
          <w:szCs w:val="24"/>
          <w:lang w:val="sr-Cyrl-CS"/>
        </w:rPr>
        <w:t xml:space="preserve"> </w:t>
      </w:r>
      <w:r w:rsidR="001268D9" w:rsidRPr="008C6124">
        <w:rPr>
          <w:rFonts w:ascii="Times New Roman" w:hAnsi="Times New Roman"/>
          <w:sz w:val="24"/>
          <w:szCs w:val="24"/>
          <w:lang w:val="sr-Cyrl-CS"/>
        </w:rPr>
        <w:t>није могуће онда бар минимизирала у</w:t>
      </w:r>
      <w:r w:rsidR="001268D9">
        <w:rPr>
          <w:rFonts w:ascii="Times New Roman" w:hAnsi="Times New Roman"/>
          <w:sz w:val="24"/>
          <w:szCs w:val="24"/>
          <w:lang w:val="sr-Cyrl-CS"/>
        </w:rPr>
        <w:t xml:space="preserve"> свом појавном испољавању и про</w:t>
      </w:r>
      <w:r w:rsidR="001268D9" w:rsidRPr="008C6124">
        <w:rPr>
          <w:rFonts w:ascii="Times New Roman" w:hAnsi="Times New Roman"/>
          <w:sz w:val="24"/>
          <w:szCs w:val="24"/>
          <w:lang w:val="sr-Cyrl-CS"/>
        </w:rPr>
        <w:t>узроковању штетних последица на данашњем нивоу развоја.</w:t>
      </w:r>
      <w:r w:rsidR="001268D9">
        <w:rPr>
          <w:rFonts w:ascii="Times New Roman" w:hAnsi="Times New Roman"/>
          <w:sz w:val="24"/>
          <w:szCs w:val="24"/>
          <w:lang w:val="sr-Cyrl-CS"/>
        </w:rPr>
        <w:t>“</w:t>
      </w:r>
      <w:r w:rsidR="001268D9">
        <w:rPr>
          <w:rStyle w:val="FootnoteReference"/>
          <w:rFonts w:ascii="Times New Roman" w:hAnsi="Times New Roman"/>
          <w:sz w:val="24"/>
          <w:szCs w:val="24"/>
          <w:lang w:val="sr-Cyrl-CS"/>
        </w:rPr>
        <w:footnoteReference w:id="661"/>
      </w:r>
    </w:p>
    <w:p w:rsidR="00F646A5" w:rsidRDefault="001C45B2" w:rsidP="00D20C21">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 xml:space="preserve">Феномен корупције се јавио још у старо </w:t>
      </w:r>
      <w:r w:rsidRPr="001C45B2">
        <w:rPr>
          <w:rFonts w:ascii="Times New Roman" w:hAnsi="Times New Roman"/>
          <w:sz w:val="24"/>
          <w:szCs w:val="24"/>
          <w:lang w:val="sr-Cyrl-CS"/>
        </w:rPr>
        <w:t>античко доба,</w:t>
      </w:r>
      <w:r>
        <w:rPr>
          <w:rFonts w:ascii="Times New Roman" w:hAnsi="Times New Roman"/>
          <w:sz w:val="24"/>
          <w:szCs w:val="24"/>
          <w:lang w:val="sr-Cyrl-CS"/>
        </w:rPr>
        <w:t xml:space="preserve"> што значи да прати развој друштва кроз векове, без обзира на облик владавине и друштвено-политичко уређење, а у савременом свету за овај феномен влада велико велико интересовање стручне и не само стручне јавности.</w:t>
      </w:r>
      <w:r w:rsidR="00D20C21">
        <w:rPr>
          <w:rFonts w:ascii="Times New Roman" w:hAnsi="Times New Roman"/>
          <w:sz w:val="24"/>
          <w:szCs w:val="24"/>
          <w:lang w:val="sr-Cyrl-CS"/>
        </w:rPr>
        <w:t xml:space="preserve"> </w:t>
      </w:r>
      <w:r w:rsidR="005C31C2">
        <w:rPr>
          <w:rFonts w:ascii="Times New Roman" w:hAnsi="Times New Roman"/>
          <w:sz w:val="24"/>
          <w:szCs w:val="24"/>
          <w:lang w:val="sr-Cyrl-CS"/>
        </w:rPr>
        <w:t xml:space="preserve">Већ током првих векова </w:t>
      </w:r>
      <w:r>
        <w:rPr>
          <w:rFonts w:ascii="Times New Roman" w:hAnsi="Times New Roman"/>
          <w:sz w:val="24"/>
          <w:szCs w:val="24"/>
          <w:lang w:val="sr-Cyrl-CS"/>
        </w:rPr>
        <w:t>Римске државе постојала је обавеза магистрата и осталих чиновника да положе рачун и одговарали су у року од годину дана, по завршетку службе, за све неправилности кој</w:t>
      </w:r>
      <w:r w:rsidR="005C31C2">
        <w:rPr>
          <w:rFonts w:ascii="Times New Roman" w:hAnsi="Times New Roman"/>
          <w:sz w:val="24"/>
          <w:szCs w:val="24"/>
          <w:lang w:val="sr-Cyrl-CS"/>
        </w:rPr>
        <w:t>е су се појавиле везано за исту</w:t>
      </w:r>
      <w:r w:rsidR="005C31C2">
        <w:rPr>
          <w:rFonts w:ascii="Times New Roman" w:hAnsi="Times New Roman"/>
          <w:sz w:val="24"/>
          <w:szCs w:val="24"/>
        </w:rPr>
        <w:t>.</w:t>
      </w:r>
      <w:r>
        <w:rPr>
          <w:rFonts w:ascii="Times New Roman" w:hAnsi="Times New Roman"/>
          <w:sz w:val="24"/>
          <w:szCs w:val="24"/>
          <w:lang w:val="sr-Cyrl-CS"/>
        </w:rPr>
        <w:t xml:space="preserve"> У периоду </w:t>
      </w:r>
      <w:r w:rsidR="006353D6">
        <w:rPr>
          <w:rFonts w:ascii="Times New Roman" w:hAnsi="Times New Roman"/>
          <w:sz w:val="24"/>
          <w:szCs w:val="24"/>
          <w:lang w:val="sr-Cyrl-CS"/>
        </w:rPr>
        <w:t xml:space="preserve">раног </w:t>
      </w:r>
      <w:r w:rsidR="005C31C2">
        <w:rPr>
          <w:rFonts w:ascii="Times New Roman" w:hAnsi="Times New Roman"/>
          <w:sz w:val="24"/>
          <w:szCs w:val="24"/>
          <w:lang w:val="sr-Cyrl-CS"/>
        </w:rPr>
        <w:t>феудализма злоупотреба</w:t>
      </w:r>
      <w:r>
        <w:rPr>
          <w:rFonts w:ascii="Times New Roman" w:hAnsi="Times New Roman"/>
          <w:sz w:val="24"/>
          <w:szCs w:val="24"/>
          <w:lang w:val="sr-Cyrl-CS"/>
        </w:rPr>
        <w:t xml:space="preserve"> валасти и положаја</w:t>
      </w:r>
      <w:r w:rsidR="005C31C2">
        <w:rPr>
          <w:rFonts w:ascii="Times New Roman" w:hAnsi="Times New Roman"/>
          <w:sz w:val="24"/>
          <w:szCs w:val="24"/>
          <w:lang w:val="sr-Cyrl-CS"/>
        </w:rPr>
        <w:t xml:space="preserve"> била је регулисана у бројним законима као што је</w:t>
      </w:r>
      <w:r>
        <w:rPr>
          <w:rFonts w:ascii="Times New Roman" w:hAnsi="Times New Roman"/>
          <w:sz w:val="24"/>
          <w:szCs w:val="24"/>
          <w:lang w:val="sr-Cyrl-CS"/>
        </w:rPr>
        <w:t xml:space="preserve"> </w:t>
      </w:r>
      <w:r w:rsidR="005C31C2">
        <w:rPr>
          <w:rFonts w:ascii="Times New Roman" w:hAnsi="Times New Roman"/>
          <w:sz w:val="24"/>
          <w:szCs w:val="24"/>
          <w:lang w:val="sr-Cyrl-CS"/>
        </w:rPr>
        <w:t>рипуарски, бургунски и остроготски законик.</w:t>
      </w:r>
      <w:r>
        <w:rPr>
          <w:rFonts w:ascii="Times New Roman" w:hAnsi="Times New Roman"/>
          <w:sz w:val="24"/>
          <w:szCs w:val="24"/>
          <w:lang w:val="sr-Cyrl-CS"/>
        </w:rPr>
        <w:t xml:space="preserve"> </w:t>
      </w:r>
      <w:r w:rsidR="005C31C2">
        <w:rPr>
          <w:rFonts w:ascii="Times New Roman" w:hAnsi="Times New Roman"/>
          <w:sz w:val="24"/>
          <w:szCs w:val="24"/>
          <w:lang w:val="sr-Cyrl-CS"/>
        </w:rPr>
        <w:t>Била је предвиђена и смртна казна.</w:t>
      </w:r>
      <w:r>
        <w:rPr>
          <w:rFonts w:ascii="Times New Roman" w:hAnsi="Times New Roman"/>
          <w:sz w:val="24"/>
          <w:szCs w:val="24"/>
          <w:lang w:val="sr-Cyrl-CS"/>
        </w:rPr>
        <w:t xml:space="preserve"> </w:t>
      </w:r>
      <w:r w:rsidR="006353D6">
        <w:rPr>
          <w:rFonts w:ascii="Times New Roman" w:hAnsi="Times New Roman"/>
          <w:sz w:val="24"/>
          <w:szCs w:val="24"/>
          <w:lang w:val="sr-Cyrl-CS"/>
        </w:rPr>
        <w:t>Током развијеног феудализма међу најзначајније изворе у којима се говори о злоупотребама спада Душанов законик.  Француска</w:t>
      </w:r>
      <w:r>
        <w:rPr>
          <w:rFonts w:ascii="Times New Roman" w:hAnsi="Times New Roman"/>
          <w:sz w:val="24"/>
          <w:szCs w:val="24"/>
          <w:lang w:val="sr-Cyrl-CS"/>
        </w:rPr>
        <w:t xml:space="preserve"> 1716. године оснива посебан суд</w:t>
      </w:r>
      <w:r w:rsidR="005C31C2">
        <w:rPr>
          <w:rFonts w:ascii="Times New Roman" w:hAnsi="Times New Roman"/>
          <w:sz w:val="24"/>
          <w:szCs w:val="24"/>
          <w:lang w:val="sr-Cyrl-CS"/>
        </w:rPr>
        <w:t>. Надлежност овог суда била је</w:t>
      </w:r>
      <w:r>
        <w:rPr>
          <w:rFonts w:ascii="Times New Roman" w:hAnsi="Times New Roman"/>
          <w:sz w:val="24"/>
          <w:szCs w:val="24"/>
          <w:lang w:val="sr-Cyrl-CS"/>
        </w:rPr>
        <w:t xml:space="preserve"> да суди у вези свих злоупотреба које су се тицале кра</w:t>
      </w:r>
      <w:r w:rsidR="005C31C2">
        <w:rPr>
          <w:rFonts w:ascii="Times New Roman" w:hAnsi="Times New Roman"/>
          <w:sz w:val="24"/>
          <w:szCs w:val="24"/>
          <w:lang w:val="sr-Cyrl-CS"/>
        </w:rPr>
        <w:t>љевих финансија.</w:t>
      </w:r>
      <w:r>
        <w:rPr>
          <w:rFonts w:ascii="Times New Roman" w:hAnsi="Times New Roman"/>
          <w:sz w:val="24"/>
          <w:szCs w:val="24"/>
          <w:lang w:val="sr-Cyrl-CS"/>
        </w:rPr>
        <w:t xml:space="preserve"> </w:t>
      </w:r>
      <w:r w:rsidR="005C31C2">
        <w:rPr>
          <w:rFonts w:ascii="Times New Roman" w:hAnsi="Times New Roman"/>
          <w:sz w:val="24"/>
          <w:szCs w:val="24"/>
          <w:lang w:val="sr-Cyrl-CS"/>
        </w:rPr>
        <w:t xml:space="preserve">Међутим, како су разне преваре, проневере, изнуде и сл. биле узеле маха </w:t>
      </w:r>
      <w:r>
        <w:rPr>
          <w:rFonts w:ascii="Times New Roman" w:hAnsi="Times New Roman"/>
          <w:sz w:val="24"/>
          <w:szCs w:val="24"/>
          <w:lang w:val="sr-Cyrl-CS"/>
        </w:rPr>
        <w:t xml:space="preserve">1717. године </w:t>
      </w:r>
      <w:r w:rsidR="005C31C2">
        <w:rPr>
          <w:rFonts w:ascii="Times New Roman" w:hAnsi="Times New Roman"/>
          <w:sz w:val="24"/>
          <w:szCs w:val="24"/>
          <w:lang w:val="sr-Cyrl-CS"/>
        </w:rPr>
        <w:t xml:space="preserve">долази до опште амнестије </w:t>
      </w:r>
      <w:r>
        <w:rPr>
          <w:rFonts w:ascii="Times New Roman" w:hAnsi="Times New Roman"/>
          <w:sz w:val="24"/>
          <w:szCs w:val="24"/>
          <w:lang w:val="sr-Cyrl-CS"/>
        </w:rPr>
        <w:t xml:space="preserve">посебним едиктом </w:t>
      </w:r>
      <w:r w:rsidR="005C31C2">
        <w:rPr>
          <w:rFonts w:ascii="Times New Roman" w:hAnsi="Times New Roman"/>
          <w:sz w:val="24"/>
          <w:szCs w:val="24"/>
          <w:lang w:val="sr-Cyrl-CS"/>
        </w:rPr>
        <w:t>којим је укинут специјални суд</w:t>
      </w:r>
      <w:r w:rsidR="0043154B">
        <w:rPr>
          <w:rFonts w:ascii="Times New Roman" w:hAnsi="Times New Roman"/>
          <w:sz w:val="24"/>
          <w:szCs w:val="24"/>
          <w:lang w:val="sr-Cyrl-CS"/>
        </w:rPr>
        <w:t>.</w:t>
      </w:r>
      <w:r>
        <w:rPr>
          <w:rFonts w:ascii="Times New Roman" w:hAnsi="Times New Roman"/>
          <w:sz w:val="24"/>
          <w:szCs w:val="24"/>
          <w:lang w:val="sr-Cyrl-CS"/>
        </w:rPr>
        <w:t xml:space="preserve"> </w:t>
      </w:r>
      <w:r w:rsidR="005C31C2">
        <w:rPr>
          <w:rFonts w:ascii="Times New Roman" w:hAnsi="Times New Roman"/>
          <w:sz w:val="24"/>
          <w:szCs w:val="24"/>
          <w:lang w:val="sr-Cyrl-CS"/>
        </w:rPr>
        <w:t xml:space="preserve">Тиме је држава први </w:t>
      </w:r>
      <w:r w:rsidR="006353D6">
        <w:rPr>
          <w:rFonts w:ascii="Times New Roman" w:hAnsi="Times New Roman"/>
          <w:sz w:val="24"/>
          <w:szCs w:val="24"/>
          <w:lang w:val="sr-Cyrl-CS"/>
        </w:rPr>
        <w:t xml:space="preserve">пут </w:t>
      </w:r>
      <w:r w:rsidR="005C31C2">
        <w:rPr>
          <w:rFonts w:ascii="Times New Roman" w:hAnsi="Times New Roman"/>
          <w:sz w:val="24"/>
          <w:szCs w:val="24"/>
          <w:lang w:val="sr-Cyrl-CS"/>
        </w:rPr>
        <w:t xml:space="preserve">у историји признала своју немоћ </w:t>
      </w:r>
      <w:r w:rsidR="006353D6">
        <w:rPr>
          <w:rFonts w:ascii="Times New Roman" w:hAnsi="Times New Roman"/>
          <w:sz w:val="24"/>
          <w:szCs w:val="24"/>
          <w:lang w:val="sr-Cyrl-CS"/>
        </w:rPr>
        <w:t>да се супротстави овом проблему.</w:t>
      </w:r>
      <w:r>
        <w:rPr>
          <w:rFonts w:ascii="Times New Roman" w:hAnsi="Times New Roman"/>
          <w:sz w:val="24"/>
          <w:szCs w:val="24"/>
          <w:lang w:val="sr-Cyrl-CS"/>
        </w:rPr>
        <w:t xml:space="preserve"> </w:t>
      </w:r>
      <w:r w:rsidR="006353D6">
        <w:rPr>
          <w:rFonts w:ascii="Times New Roman" w:hAnsi="Times New Roman"/>
          <w:sz w:val="24"/>
          <w:szCs w:val="24"/>
          <w:lang w:val="sr-Cyrl-CS"/>
        </w:rPr>
        <w:t>Са појавом капитализма прихватају се идеје Француске буржоаске револуције и доносе се нови кривични законици.</w:t>
      </w:r>
      <w:r>
        <w:rPr>
          <w:rStyle w:val="FootnoteReference"/>
          <w:rFonts w:ascii="Times New Roman" w:hAnsi="Times New Roman"/>
          <w:sz w:val="24"/>
          <w:szCs w:val="24"/>
          <w:lang w:val="sr-Cyrl-CS"/>
        </w:rPr>
        <w:footnoteReference w:id="662"/>
      </w:r>
      <w:r w:rsidR="00515287">
        <w:rPr>
          <w:rFonts w:ascii="Times New Roman" w:hAnsi="Times New Roman"/>
          <w:sz w:val="24"/>
          <w:szCs w:val="24"/>
          <w:lang w:val="sr-Cyrl-CS"/>
        </w:rPr>
        <w:t xml:space="preserve"> Из </w:t>
      </w:r>
      <w:r w:rsidR="00AE6080">
        <w:rPr>
          <w:rFonts w:ascii="Times New Roman" w:hAnsi="Times New Roman"/>
          <w:sz w:val="24"/>
          <w:szCs w:val="24"/>
          <w:lang w:val="sr-Cyrl-CS"/>
        </w:rPr>
        <w:t>наведених података</w:t>
      </w:r>
      <w:r w:rsidR="00515287">
        <w:rPr>
          <w:rFonts w:ascii="Times New Roman" w:hAnsi="Times New Roman"/>
          <w:sz w:val="24"/>
          <w:szCs w:val="24"/>
          <w:lang w:val="sr-Cyrl-CS"/>
        </w:rPr>
        <w:t xml:space="preserve"> </w:t>
      </w:r>
      <w:r w:rsidR="00487187">
        <w:rPr>
          <w:rFonts w:ascii="Times New Roman" w:hAnsi="Times New Roman"/>
          <w:sz w:val="24"/>
          <w:szCs w:val="24"/>
          <w:lang w:val="sr-Cyrl-CS"/>
        </w:rPr>
        <w:t>произилази</w:t>
      </w:r>
      <w:r w:rsidR="00515287">
        <w:rPr>
          <w:rFonts w:ascii="Times New Roman" w:hAnsi="Times New Roman"/>
          <w:sz w:val="24"/>
          <w:szCs w:val="24"/>
          <w:lang w:val="sr-Cyrl-CS"/>
        </w:rPr>
        <w:t xml:space="preserve"> да је корупција у другој половини </w:t>
      </w:r>
      <w:r w:rsidR="00515287">
        <w:rPr>
          <w:rFonts w:ascii="Times New Roman" w:hAnsi="Times New Roman"/>
          <w:sz w:val="24"/>
          <w:szCs w:val="24"/>
        </w:rPr>
        <w:t xml:space="preserve">XIX </w:t>
      </w:r>
      <w:r w:rsidR="00515287">
        <w:rPr>
          <w:rFonts w:ascii="Times New Roman" w:hAnsi="Times New Roman"/>
          <w:sz w:val="24"/>
          <w:szCs w:val="24"/>
          <w:lang w:val="sr-Cyrl-CS"/>
        </w:rPr>
        <w:t>века била масовна појава. Разлог</w:t>
      </w:r>
      <w:r w:rsidR="00AE6080">
        <w:rPr>
          <w:rFonts w:ascii="Times New Roman" w:hAnsi="Times New Roman"/>
          <w:sz w:val="24"/>
          <w:szCs w:val="24"/>
          <w:lang w:val="sr-Cyrl-CS"/>
        </w:rPr>
        <w:t>е</w:t>
      </w:r>
      <w:r w:rsidR="00515287">
        <w:rPr>
          <w:rFonts w:ascii="Times New Roman" w:hAnsi="Times New Roman"/>
          <w:sz w:val="24"/>
          <w:szCs w:val="24"/>
          <w:lang w:val="sr-Cyrl-CS"/>
        </w:rPr>
        <w:t xml:space="preserve"> </w:t>
      </w:r>
      <w:r w:rsidR="00487187">
        <w:rPr>
          <w:rFonts w:ascii="Times New Roman" w:hAnsi="Times New Roman"/>
          <w:sz w:val="24"/>
          <w:szCs w:val="24"/>
          <w:lang w:val="sr-Cyrl-CS"/>
        </w:rPr>
        <w:t>за то</w:t>
      </w:r>
      <w:r w:rsidR="00515287">
        <w:rPr>
          <w:rFonts w:ascii="Times New Roman" w:hAnsi="Times New Roman"/>
          <w:sz w:val="24"/>
          <w:szCs w:val="24"/>
          <w:lang w:val="sr-Cyrl-CS"/>
        </w:rPr>
        <w:t xml:space="preserve"> </w:t>
      </w:r>
      <w:r w:rsidR="00AE6080">
        <w:rPr>
          <w:rFonts w:ascii="Times New Roman" w:hAnsi="Times New Roman"/>
          <w:sz w:val="24"/>
          <w:szCs w:val="24"/>
          <w:lang w:val="sr-Cyrl-CS"/>
        </w:rPr>
        <w:t>треба тражити у гломазном државном</w:t>
      </w:r>
      <w:r w:rsidR="00515287">
        <w:rPr>
          <w:rFonts w:ascii="Times New Roman" w:hAnsi="Times New Roman"/>
          <w:sz w:val="24"/>
          <w:szCs w:val="24"/>
          <w:lang w:val="sr-Cyrl-CS"/>
        </w:rPr>
        <w:t xml:space="preserve"> апарат</w:t>
      </w:r>
      <w:r w:rsidR="00AE6080">
        <w:rPr>
          <w:rFonts w:ascii="Times New Roman" w:hAnsi="Times New Roman"/>
          <w:sz w:val="24"/>
          <w:szCs w:val="24"/>
          <w:lang w:val="sr-Cyrl-CS"/>
        </w:rPr>
        <w:t>у, великом</w:t>
      </w:r>
      <w:r w:rsidR="00515287">
        <w:rPr>
          <w:rFonts w:ascii="Times New Roman" w:hAnsi="Times New Roman"/>
          <w:sz w:val="24"/>
          <w:szCs w:val="24"/>
          <w:lang w:val="sr-Cyrl-CS"/>
        </w:rPr>
        <w:t xml:space="preserve"> број</w:t>
      </w:r>
      <w:r w:rsidR="00AE6080">
        <w:rPr>
          <w:rFonts w:ascii="Times New Roman" w:hAnsi="Times New Roman"/>
          <w:sz w:val="24"/>
          <w:szCs w:val="24"/>
          <w:lang w:val="sr-Cyrl-CS"/>
        </w:rPr>
        <w:t>у</w:t>
      </w:r>
      <w:r w:rsidR="00515287">
        <w:rPr>
          <w:rFonts w:ascii="Times New Roman" w:hAnsi="Times New Roman"/>
          <w:sz w:val="24"/>
          <w:szCs w:val="24"/>
          <w:lang w:val="sr-Cyrl-CS"/>
        </w:rPr>
        <w:t xml:space="preserve"> државних службеника </w:t>
      </w:r>
      <w:r w:rsidR="00867214">
        <w:rPr>
          <w:rFonts w:ascii="Times New Roman" w:hAnsi="Times New Roman"/>
          <w:sz w:val="24"/>
          <w:szCs w:val="24"/>
          <w:lang w:val="sr-Cyrl-CS"/>
        </w:rPr>
        <w:lastRenderedPageBreak/>
        <w:t>који су имали</w:t>
      </w:r>
      <w:r w:rsidR="00515287">
        <w:rPr>
          <w:rFonts w:ascii="Times New Roman" w:hAnsi="Times New Roman"/>
          <w:sz w:val="24"/>
          <w:szCs w:val="24"/>
          <w:lang w:val="sr-Cyrl-CS"/>
        </w:rPr>
        <w:t xml:space="preserve"> велике могућности злоупотребе. </w:t>
      </w:r>
      <w:r w:rsidR="00867214">
        <w:rPr>
          <w:rFonts w:ascii="Times New Roman" w:hAnsi="Times New Roman"/>
          <w:sz w:val="24"/>
          <w:szCs w:val="24"/>
          <w:lang w:val="sr-Cyrl-CS"/>
        </w:rPr>
        <w:t>Како би се томе супротставило и како би се ова појава зауставила или свела на најмању меру</w:t>
      </w:r>
      <w:r w:rsidR="00487187">
        <w:rPr>
          <w:rFonts w:ascii="Times New Roman" w:hAnsi="Times New Roman"/>
          <w:sz w:val="24"/>
          <w:szCs w:val="24"/>
          <w:lang w:val="sr-Cyrl-CS"/>
        </w:rPr>
        <w:t xml:space="preserve"> </w:t>
      </w:r>
      <w:r w:rsidR="00515287">
        <w:rPr>
          <w:rFonts w:ascii="Times New Roman" w:hAnsi="Times New Roman"/>
          <w:sz w:val="24"/>
          <w:szCs w:val="24"/>
          <w:lang w:val="sr-Cyrl-CS"/>
        </w:rPr>
        <w:t xml:space="preserve">у најразвијенијим државама тог периода </w:t>
      </w:r>
      <w:r w:rsidR="00487187">
        <w:rPr>
          <w:rFonts w:ascii="Times New Roman" w:hAnsi="Times New Roman"/>
          <w:sz w:val="24"/>
          <w:szCs w:val="24"/>
          <w:lang w:val="sr-Cyrl-CS"/>
        </w:rPr>
        <w:t>донети су</w:t>
      </w:r>
      <w:r w:rsidR="00867214">
        <w:rPr>
          <w:rFonts w:ascii="Times New Roman" w:hAnsi="Times New Roman"/>
          <w:sz w:val="24"/>
          <w:szCs w:val="24"/>
          <w:lang w:val="sr-Cyrl-CS"/>
        </w:rPr>
        <w:t xml:space="preserve"> ригорозни кривични закони.</w:t>
      </w:r>
      <w:r w:rsidR="00515287">
        <w:rPr>
          <w:rStyle w:val="FootnoteReference"/>
          <w:rFonts w:ascii="Times New Roman" w:hAnsi="Times New Roman"/>
          <w:sz w:val="24"/>
          <w:szCs w:val="24"/>
          <w:lang w:val="sr-Cyrl-CS"/>
        </w:rPr>
        <w:footnoteReference w:id="663"/>
      </w:r>
      <w:r w:rsidR="00515287">
        <w:rPr>
          <w:rFonts w:ascii="Times New Roman" w:hAnsi="Times New Roman"/>
          <w:sz w:val="24"/>
          <w:szCs w:val="24"/>
          <w:lang w:val="sr-Cyrl-CS"/>
        </w:rPr>
        <w:t xml:space="preserve"> </w:t>
      </w:r>
    </w:p>
    <w:p w:rsidR="00515287" w:rsidRDefault="00515287" w:rsidP="00515287">
      <w:pPr>
        <w:pStyle w:val="ListParagraph"/>
        <w:ind w:left="0" w:firstLine="630"/>
        <w:jc w:val="both"/>
        <w:rPr>
          <w:rFonts w:ascii="Times New Roman" w:hAnsi="Times New Roman"/>
          <w:sz w:val="24"/>
          <w:szCs w:val="24"/>
          <w:lang w:val="sr-Cyrl-CS"/>
        </w:rPr>
      </w:pPr>
    </w:p>
    <w:p w:rsidR="00757AA5" w:rsidRDefault="006615F3" w:rsidP="00757AA5">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Корупција има дугу традицију у српском народу</w:t>
      </w:r>
      <w:r w:rsidR="00487187">
        <w:rPr>
          <w:rFonts w:ascii="Times New Roman" w:hAnsi="Times New Roman"/>
          <w:sz w:val="24"/>
          <w:szCs w:val="24"/>
          <w:lang w:val="sr-Cyrl-CS"/>
        </w:rPr>
        <w:t xml:space="preserve"> па су тако</w:t>
      </w:r>
      <w:r>
        <w:rPr>
          <w:rFonts w:ascii="Times New Roman" w:hAnsi="Times New Roman"/>
          <w:sz w:val="24"/>
          <w:szCs w:val="24"/>
          <w:lang w:val="sr-Cyrl-CS"/>
        </w:rPr>
        <w:t xml:space="preserve"> још у Душанов</w:t>
      </w:r>
      <w:r w:rsidR="00487187">
        <w:rPr>
          <w:rFonts w:ascii="Times New Roman" w:hAnsi="Times New Roman"/>
          <w:sz w:val="24"/>
          <w:szCs w:val="24"/>
          <w:lang w:val="sr-Cyrl-CS"/>
        </w:rPr>
        <w:t>ом законику постојала</w:t>
      </w:r>
      <w:r>
        <w:rPr>
          <w:rFonts w:ascii="Times New Roman" w:hAnsi="Times New Roman"/>
          <w:sz w:val="24"/>
          <w:szCs w:val="24"/>
          <w:lang w:val="sr-Cyrl-CS"/>
        </w:rPr>
        <w:t xml:space="preserve"> три члана који се односе на корупцију у цркви и судству.</w:t>
      </w:r>
      <w:r>
        <w:rPr>
          <w:rStyle w:val="FootnoteReference"/>
          <w:rFonts w:ascii="Times New Roman" w:hAnsi="Times New Roman"/>
          <w:sz w:val="24"/>
          <w:szCs w:val="24"/>
          <w:lang w:val="sr-Cyrl-CS"/>
        </w:rPr>
        <w:footnoteReference w:id="664"/>
      </w:r>
      <w:r w:rsidR="00515287">
        <w:rPr>
          <w:rFonts w:ascii="Times New Roman" w:hAnsi="Times New Roman"/>
          <w:sz w:val="24"/>
          <w:szCs w:val="24"/>
          <w:lang w:val="sr-Cyrl-CS"/>
        </w:rPr>
        <w:t xml:space="preserve"> </w:t>
      </w:r>
      <w:r w:rsidR="00A40B4C">
        <w:rPr>
          <w:rFonts w:ascii="Times New Roman" w:hAnsi="Times New Roman"/>
          <w:sz w:val="24"/>
          <w:szCs w:val="24"/>
          <w:lang w:val="sr-Cyrl-CS"/>
        </w:rPr>
        <w:t>То потврђују и записи</w:t>
      </w:r>
      <w:r w:rsidR="00515287">
        <w:rPr>
          <w:rFonts w:ascii="Times New Roman" w:hAnsi="Times New Roman"/>
          <w:sz w:val="24"/>
          <w:szCs w:val="24"/>
          <w:lang w:val="sr-Cyrl-CS"/>
        </w:rPr>
        <w:t xml:space="preserve"> Митроп</w:t>
      </w:r>
      <w:r w:rsidR="00F70CAC">
        <w:rPr>
          <w:rFonts w:ascii="Times New Roman" w:hAnsi="Times New Roman"/>
          <w:sz w:val="24"/>
          <w:szCs w:val="24"/>
          <w:lang w:val="sr-Cyrl-CS"/>
        </w:rPr>
        <w:t>о</w:t>
      </w:r>
      <w:r w:rsidR="00515287">
        <w:rPr>
          <w:rFonts w:ascii="Times New Roman" w:hAnsi="Times New Roman"/>
          <w:sz w:val="24"/>
          <w:szCs w:val="24"/>
          <w:lang w:val="sr-Cyrl-CS"/>
        </w:rPr>
        <w:t xml:space="preserve">лита Мојсија Петровића из </w:t>
      </w:r>
      <w:r w:rsidR="00F70CAC">
        <w:rPr>
          <w:rFonts w:ascii="Times New Roman" w:hAnsi="Times New Roman"/>
          <w:sz w:val="24"/>
          <w:szCs w:val="24"/>
        </w:rPr>
        <w:t xml:space="preserve">XVIII </w:t>
      </w:r>
      <w:r w:rsidR="00A40B4C">
        <w:rPr>
          <w:rFonts w:ascii="Times New Roman" w:hAnsi="Times New Roman"/>
          <w:sz w:val="24"/>
          <w:szCs w:val="24"/>
          <w:lang w:val="sr-Cyrl-CS"/>
        </w:rPr>
        <w:t>века. Наиме,</w:t>
      </w:r>
      <w:r w:rsidR="00F70CAC">
        <w:rPr>
          <w:rFonts w:ascii="Times New Roman" w:hAnsi="Times New Roman"/>
          <w:sz w:val="24"/>
          <w:szCs w:val="24"/>
          <w:lang w:val="sr-Cyrl-CS"/>
        </w:rPr>
        <w:t xml:space="preserve"> </w:t>
      </w:r>
      <w:r w:rsidR="00A40B4C">
        <w:rPr>
          <w:rFonts w:ascii="Times New Roman" w:hAnsi="Times New Roman"/>
          <w:sz w:val="24"/>
          <w:szCs w:val="24"/>
          <w:lang w:val="sr-Cyrl-CS"/>
        </w:rPr>
        <w:t xml:space="preserve">на месту </w:t>
      </w:r>
      <w:r w:rsidR="00F70CAC">
        <w:rPr>
          <w:rFonts w:ascii="Times New Roman" w:hAnsi="Times New Roman"/>
          <w:sz w:val="24"/>
          <w:szCs w:val="24"/>
          <w:lang w:val="sr-Cyrl-CS"/>
        </w:rPr>
        <w:t xml:space="preserve">где су записани финансијски трошкови, једна од рубрика која је ишла на терет митрополитовог двора, били су презенти и дискреције. Митрополит је записао да су </w:t>
      </w:r>
      <w:r w:rsidR="00A40B4C">
        <w:rPr>
          <w:rFonts w:ascii="Times New Roman" w:hAnsi="Times New Roman"/>
          <w:sz w:val="24"/>
          <w:szCs w:val="24"/>
          <w:lang w:val="sr-Cyrl-CS"/>
        </w:rPr>
        <w:t xml:space="preserve">сви очекивали презент или дискрецију </w:t>
      </w:r>
      <w:r w:rsidR="00F70CAC">
        <w:rPr>
          <w:rFonts w:ascii="Times New Roman" w:hAnsi="Times New Roman"/>
          <w:sz w:val="24"/>
          <w:szCs w:val="24"/>
          <w:lang w:val="sr-Cyrl-CS"/>
        </w:rPr>
        <w:t xml:space="preserve">приликом </w:t>
      </w:r>
      <w:r w:rsidR="00A40B4C">
        <w:rPr>
          <w:rFonts w:ascii="Times New Roman" w:hAnsi="Times New Roman"/>
          <w:sz w:val="24"/>
          <w:szCs w:val="24"/>
          <w:lang w:val="sr-Cyrl-CS"/>
        </w:rPr>
        <w:t xml:space="preserve">његове посете Бечу 1731. године. </w:t>
      </w:r>
      <w:r w:rsidR="00F70CAC">
        <w:rPr>
          <w:rFonts w:ascii="Times New Roman" w:hAnsi="Times New Roman"/>
          <w:sz w:val="24"/>
          <w:szCs w:val="24"/>
          <w:lang w:val="sr-Cyrl-CS"/>
        </w:rPr>
        <w:t xml:space="preserve">У Карађорђевом </w:t>
      </w:r>
      <w:r w:rsidR="00A40B4C">
        <w:rPr>
          <w:rFonts w:ascii="Times New Roman" w:hAnsi="Times New Roman"/>
          <w:sz w:val="24"/>
          <w:szCs w:val="24"/>
          <w:lang w:val="sr-Cyrl-CS"/>
        </w:rPr>
        <w:t xml:space="preserve">криминалном </w:t>
      </w:r>
      <w:r w:rsidR="00F70CAC">
        <w:rPr>
          <w:rFonts w:ascii="Times New Roman" w:hAnsi="Times New Roman"/>
          <w:sz w:val="24"/>
          <w:szCs w:val="24"/>
          <w:lang w:val="sr-Cyrl-CS"/>
        </w:rPr>
        <w:t>законику</w:t>
      </w:r>
      <w:r w:rsidR="00A40B4C">
        <w:rPr>
          <w:rFonts w:ascii="Times New Roman" w:hAnsi="Times New Roman"/>
          <w:sz w:val="24"/>
          <w:szCs w:val="24"/>
          <w:lang w:val="sr-Cyrl-CS"/>
        </w:rPr>
        <w:t>, који је био на снази за време и после Првог српског устанка, од четири прописа који се одн</w:t>
      </w:r>
      <w:r w:rsidR="00F70CAC">
        <w:rPr>
          <w:rFonts w:ascii="Times New Roman" w:hAnsi="Times New Roman"/>
          <w:sz w:val="24"/>
          <w:szCs w:val="24"/>
          <w:lang w:val="sr-Cyrl-CS"/>
        </w:rPr>
        <w:t>осе на мито два су везана за подмићивање судија, један за подмићивање у војсци и један на подмићивање свештеника.</w:t>
      </w:r>
      <w:r w:rsidR="00F70CAC">
        <w:rPr>
          <w:rStyle w:val="FootnoteReference"/>
          <w:rFonts w:ascii="Times New Roman" w:hAnsi="Times New Roman"/>
          <w:sz w:val="24"/>
          <w:szCs w:val="24"/>
          <w:lang w:val="sr-Cyrl-CS"/>
        </w:rPr>
        <w:footnoteReference w:id="665"/>
      </w:r>
      <w:r w:rsidR="00DC0AFD">
        <w:rPr>
          <w:rFonts w:ascii="Times New Roman" w:hAnsi="Times New Roman"/>
          <w:sz w:val="24"/>
          <w:szCs w:val="24"/>
          <w:lang w:val="sr-Cyrl-CS"/>
        </w:rPr>
        <w:t xml:space="preserve"> </w:t>
      </w:r>
    </w:p>
    <w:p w:rsidR="00757AA5" w:rsidRDefault="00757AA5" w:rsidP="00757AA5">
      <w:pPr>
        <w:pStyle w:val="ListParagraph"/>
        <w:ind w:left="0" w:firstLine="630"/>
        <w:jc w:val="both"/>
        <w:rPr>
          <w:rFonts w:ascii="Times New Roman" w:hAnsi="Times New Roman"/>
          <w:sz w:val="24"/>
          <w:szCs w:val="24"/>
        </w:rPr>
      </w:pPr>
    </w:p>
    <w:p w:rsidR="00757AA5" w:rsidRPr="00757AA5" w:rsidRDefault="00DC0AFD" w:rsidP="00757AA5">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К</w:t>
      </w:r>
      <w:r w:rsidR="00757AA5">
        <w:rPr>
          <w:rFonts w:ascii="Times New Roman" w:hAnsi="Times New Roman"/>
          <w:sz w:val="24"/>
          <w:szCs w:val="24"/>
          <w:lang w:val="sr-Cyrl-CS"/>
        </w:rPr>
        <w:t>орупција прожима све сфере друштвеног живота у Србији</w:t>
      </w:r>
      <w:r>
        <w:rPr>
          <w:rFonts w:ascii="Times New Roman" w:hAnsi="Times New Roman"/>
          <w:sz w:val="24"/>
          <w:szCs w:val="24"/>
          <w:lang w:val="sr-Cyrl-CS"/>
        </w:rPr>
        <w:t xml:space="preserve"> и данас</w:t>
      </w:r>
      <w:r w:rsidR="00757AA5">
        <w:rPr>
          <w:rFonts w:ascii="Times New Roman" w:hAnsi="Times New Roman"/>
          <w:sz w:val="24"/>
          <w:szCs w:val="24"/>
          <w:lang w:val="sr-Cyrl-CS"/>
        </w:rPr>
        <w:t xml:space="preserve">, </w:t>
      </w:r>
      <w:r>
        <w:rPr>
          <w:rFonts w:ascii="Times New Roman" w:hAnsi="Times New Roman"/>
          <w:sz w:val="24"/>
          <w:szCs w:val="24"/>
          <w:lang w:val="sr-Cyrl-CS"/>
        </w:rPr>
        <w:t>док се</w:t>
      </w:r>
      <w:r w:rsidR="00757AA5">
        <w:rPr>
          <w:rFonts w:ascii="Times New Roman" w:hAnsi="Times New Roman"/>
          <w:sz w:val="24"/>
          <w:szCs w:val="24"/>
          <w:lang w:val="sr-Cyrl-CS"/>
        </w:rPr>
        <w:t xml:space="preserve"> кривич</w:t>
      </w:r>
      <w:r>
        <w:rPr>
          <w:rFonts w:ascii="Times New Roman" w:hAnsi="Times New Roman"/>
          <w:sz w:val="24"/>
          <w:szCs w:val="24"/>
          <w:lang w:val="sr-Cyrl-CS"/>
        </w:rPr>
        <w:t>на дела са елементима корупције</w:t>
      </w:r>
      <w:r w:rsidR="00F74E8E">
        <w:rPr>
          <w:rFonts w:ascii="Times New Roman" w:hAnsi="Times New Roman"/>
          <w:sz w:val="24"/>
          <w:szCs w:val="24"/>
          <w:lang w:val="sr-Cyrl-CS"/>
        </w:rPr>
        <w:t xml:space="preserve"> све чешће </w:t>
      </w:r>
      <w:r>
        <w:rPr>
          <w:rFonts w:ascii="Times New Roman" w:hAnsi="Times New Roman"/>
          <w:sz w:val="24"/>
          <w:szCs w:val="24"/>
          <w:lang w:val="sr-Cyrl-CS"/>
        </w:rPr>
        <w:t>појављују</w:t>
      </w:r>
      <w:r w:rsidR="00757AA5">
        <w:rPr>
          <w:rFonts w:ascii="Times New Roman" w:hAnsi="Times New Roman"/>
          <w:sz w:val="24"/>
          <w:szCs w:val="24"/>
          <w:lang w:val="sr-Cyrl-CS"/>
        </w:rPr>
        <w:t xml:space="preserve"> кроз групно вршење кривичних дела, при чему поједине групе достижу висок степен организованости и међусобне повезаности, као што су „друмска мафија“, „саобраћајна мафија“, „стечајна мафија“, царинска мафија“, „прос</w:t>
      </w:r>
      <w:r w:rsidR="002818CC">
        <w:rPr>
          <w:rFonts w:ascii="Times New Roman" w:hAnsi="Times New Roman"/>
          <w:sz w:val="24"/>
          <w:szCs w:val="24"/>
          <w:lang w:val="sr-Cyrl-CS"/>
        </w:rPr>
        <w:t>ветна мафија“ и друге. Последица</w:t>
      </w:r>
      <w:r w:rsidR="00757AA5">
        <w:rPr>
          <w:rFonts w:ascii="Times New Roman" w:hAnsi="Times New Roman"/>
          <w:sz w:val="24"/>
          <w:szCs w:val="24"/>
          <w:lang w:val="sr-Cyrl-CS"/>
        </w:rPr>
        <w:t xml:space="preserve"> ових кривичних дела </w:t>
      </w:r>
      <w:r w:rsidR="002818CC">
        <w:rPr>
          <w:rFonts w:ascii="Times New Roman" w:hAnsi="Times New Roman"/>
          <w:sz w:val="24"/>
          <w:szCs w:val="24"/>
          <w:lang w:val="sr-Cyrl-CS"/>
        </w:rPr>
        <w:t xml:space="preserve">се манифестује </w:t>
      </w:r>
      <w:r w:rsidR="00DD36B8">
        <w:rPr>
          <w:rFonts w:ascii="Times New Roman" w:hAnsi="Times New Roman"/>
          <w:sz w:val="24"/>
          <w:szCs w:val="24"/>
          <w:lang w:val="sr-Cyrl-CS"/>
        </w:rPr>
        <w:t>кроз</w:t>
      </w:r>
      <w:r w:rsidR="00757AA5">
        <w:rPr>
          <w:rFonts w:ascii="Times New Roman" w:hAnsi="Times New Roman"/>
          <w:sz w:val="24"/>
          <w:szCs w:val="24"/>
          <w:lang w:val="sr-Cyrl-CS"/>
        </w:rPr>
        <w:t xml:space="preserve"> урушавање стубова интегритета друштва, </w:t>
      </w:r>
      <w:r w:rsidR="002818CC">
        <w:rPr>
          <w:rFonts w:ascii="Times New Roman" w:hAnsi="Times New Roman"/>
          <w:sz w:val="24"/>
          <w:szCs w:val="24"/>
          <w:lang w:val="sr-Cyrl-CS"/>
        </w:rPr>
        <w:t>попут законодавне и извршне</w:t>
      </w:r>
      <w:r w:rsidR="00757AA5">
        <w:rPr>
          <w:rFonts w:ascii="Times New Roman" w:hAnsi="Times New Roman"/>
          <w:sz w:val="24"/>
          <w:szCs w:val="24"/>
          <w:lang w:val="sr-Cyrl-CS"/>
        </w:rPr>
        <w:t xml:space="preserve"> власт</w:t>
      </w:r>
      <w:r w:rsidR="002818CC">
        <w:rPr>
          <w:rFonts w:ascii="Times New Roman" w:hAnsi="Times New Roman"/>
          <w:sz w:val="24"/>
          <w:szCs w:val="24"/>
          <w:lang w:val="sr-Cyrl-CS"/>
        </w:rPr>
        <w:t>и, судства, тужилаштва, полиције, јавних служби</w:t>
      </w:r>
      <w:r w:rsidR="00757AA5">
        <w:rPr>
          <w:rFonts w:ascii="Times New Roman" w:hAnsi="Times New Roman"/>
          <w:sz w:val="24"/>
          <w:szCs w:val="24"/>
          <w:lang w:val="sr-Cyrl-CS"/>
        </w:rPr>
        <w:t xml:space="preserve"> и друго.</w:t>
      </w:r>
      <w:r w:rsidR="00E90D01">
        <w:rPr>
          <w:rStyle w:val="FootnoteReference"/>
          <w:rFonts w:ascii="Times New Roman" w:hAnsi="Times New Roman"/>
          <w:sz w:val="24"/>
          <w:szCs w:val="24"/>
          <w:lang w:val="sr-Cyrl-CS"/>
        </w:rPr>
        <w:footnoteReference w:id="666"/>
      </w:r>
    </w:p>
    <w:p w:rsidR="00F70CAC" w:rsidRPr="00F70CAC" w:rsidRDefault="00F70CAC" w:rsidP="00515287">
      <w:pPr>
        <w:pStyle w:val="ListParagraph"/>
        <w:ind w:left="0" w:firstLine="630"/>
        <w:jc w:val="both"/>
        <w:rPr>
          <w:rFonts w:ascii="Times New Roman" w:hAnsi="Times New Roman"/>
          <w:sz w:val="24"/>
          <w:szCs w:val="24"/>
          <w:lang w:val="sr-Cyrl-CS"/>
        </w:rPr>
      </w:pPr>
    </w:p>
    <w:p w:rsidR="00063A33" w:rsidRDefault="00DD36B8" w:rsidP="006701ED">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 xml:space="preserve">За </w:t>
      </w:r>
      <w:r w:rsidR="00063A33">
        <w:rPr>
          <w:rFonts w:ascii="Times New Roman" w:hAnsi="Times New Roman"/>
          <w:sz w:val="24"/>
          <w:szCs w:val="24"/>
          <w:lang w:val="sr-Cyrl-CS"/>
        </w:rPr>
        <w:t xml:space="preserve">земље у транзицији и </w:t>
      </w:r>
      <w:r>
        <w:rPr>
          <w:rFonts w:ascii="Times New Roman" w:hAnsi="Times New Roman"/>
          <w:sz w:val="24"/>
          <w:szCs w:val="24"/>
          <w:lang w:val="sr-Cyrl-CS"/>
        </w:rPr>
        <w:t xml:space="preserve"> </w:t>
      </w:r>
      <w:r w:rsidR="00063A33">
        <w:rPr>
          <w:rFonts w:ascii="Times New Roman" w:hAnsi="Times New Roman"/>
          <w:sz w:val="24"/>
          <w:szCs w:val="24"/>
          <w:lang w:val="sr-Cyrl-CS"/>
        </w:rPr>
        <w:t>земље Трећег света</w:t>
      </w:r>
      <w:r w:rsidRPr="00DD36B8">
        <w:rPr>
          <w:rFonts w:ascii="Times New Roman" w:hAnsi="Times New Roman"/>
          <w:sz w:val="24"/>
          <w:szCs w:val="24"/>
          <w:lang w:val="sr-Cyrl-CS"/>
        </w:rPr>
        <w:t xml:space="preserve"> </w:t>
      </w:r>
      <w:r>
        <w:rPr>
          <w:rFonts w:ascii="Times New Roman" w:hAnsi="Times New Roman"/>
          <w:sz w:val="24"/>
          <w:szCs w:val="24"/>
          <w:lang w:val="sr-Cyrl-CS"/>
        </w:rPr>
        <w:t xml:space="preserve"> посебно је штетно коруптивно понашање појединаца и организација јер оне </w:t>
      </w:r>
      <w:r w:rsidR="00063A33">
        <w:rPr>
          <w:rFonts w:ascii="Times New Roman" w:hAnsi="Times New Roman"/>
          <w:sz w:val="24"/>
          <w:szCs w:val="24"/>
          <w:lang w:val="sr-Cyrl-CS"/>
        </w:rPr>
        <w:t xml:space="preserve">обично немају резервне фондове којима би надоместиле губитке изазаване корупцијом и наставиле са реализацијом својих планова. </w:t>
      </w:r>
      <w:r>
        <w:rPr>
          <w:rFonts w:ascii="Times New Roman" w:hAnsi="Times New Roman"/>
          <w:sz w:val="24"/>
          <w:szCs w:val="24"/>
          <w:lang w:val="sr-Cyrl-CS"/>
        </w:rPr>
        <w:t>У</w:t>
      </w:r>
      <w:r w:rsidR="00063A33">
        <w:rPr>
          <w:rFonts w:ascii="Times New Roman" w:hAnsi="Times New Roman"/>
          <w:sz w:val="24"/>
          <w:szCs w:val="24"/>
          <w:lang w:val="sr-Cyrl-CS"/>
        </w:rPr>
        <w:t xml:space="preserve">купни годишњи губици узроковани корупцијом у развијеним и земљама у развоју </w:t>
      </w:r>
      <w:r>
        <w:rPr>
          <w:rFonts w:ascii="Times New Roman" w:hAnsi="Times New Roman"/>
          <w:sz w:val="24"/>
          <w:szCs w:val="24"/>
          <w:lang w:val="sr-Cyrl-CS"/>
        </w:rPr>
        <w:t xml:space="preserve">према Институту светске банке </w:t>
      </w:r>
      <w:r w:rsidR="00063A33">
        <w:rPr>
          <w:rFonts w:ascii="Times New Roman" w:hAnsi="Times New Roman"/>
          <w:sz w:val="24"/>
          <w:szCs w:val="24"/>
          <w:lang w:val="sr-Cyrl-CS"/>
        </w:rPr>
        <w:t>процењују се на један трилио</w:t>
      </w:r>
      <w:r>
        <w:rPr>
          <w:rFonts w:ascii="Times New Roman" w:hAnsi="Times New Roman"/>
          <w:sz w:val="24"/>
          <w:szCs w:val="24"/>
          <w:lang w:val="sr-Cyrl-CS"/>
        </w:rPr>
        <w:t xml:space="preserve">н америчких долара. Процењено је </w:t>
      </w:r>
      <w:r w:rsidR="00063A33">
        <w:rPr>
          <w:rFonts w:ascii="Times New Roman" w:hAnsi="Times New Roman"/>
          <w:sz w:val="24"/>
          <w:szCs w:val="24"/>
          <w:lang w:val="sr-Cyrl-CS"/>
        </w:rPr>
        <w:t>да око 50 милијарди долара насталих корупцијом бива депоновано сваке године у банке западних земаља или дестинација које важе за порески рај.</w:t>
      </w:r>
      <w:r w:rsidR="00063A33">
        <w:rPr>
          <w:rStyle w:val="FootnoteReference"/>
          <w:rFonts w:ascii="Times New Roman" w:hAnsi="Times New Roman"/>
          <w:sz w:val="24"/>
          <w:szCs w:val="24"/>
          <w:lang w:val="sr-Cyrl-CS"/>
        </w:rPr>
        <w:footnoteReference w:id="667"/>
      </w:r>
      <w:r w:rsidR="00063A33">
        <w:rPr>
          <w:rFonts w:ascii="Times New Roman" w:hAnsi="Times New Roman"/>
          <w:sz w:val="24"/>
          <w:szCs w:val="24"/>
          <w:lang w:val="sr-Cyrl-CS"/>
        </w:rPr>
        <w:t xml:space="preserve"> </w:t>
      </w:r>
    </w:p>
    <w:p w:rsidR="0043154B" w:rsidRDefault="0043154B" w:rsidP="006701ED">
      <w:pPr>
        <w:pStyle w:val="ListParagraph"/>
        <w:ind w:left="0" w:firstLine="630"/>
        <w:jc w:val="both"/>
        <w:rPr>
          <w:rFonts w:ascii="Times New Roman" w:hAnsi="Times New Roman"/>
          <w:sz w:val="24"/>
          <w:szCs w:val="24"/>
          <w:lang w:val="sr-Cyrl-CS"/>
        </w:rPr>
      </w:pPr>
    </w:p>
    <w:p w:rsidR="0043154B" w:rsidRDefault="0043154B" w:rsidP="0043154B">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 xml:space="preserve">Као и код дефинисања привредног криминала, тако и у случају корупције нема једниственог одговора шта ова појава тачно представља, шта је каратерише, какви су њени узроци и последице, као и којим се све средствима треба сузбијати. Корупцију је као и сваки други сложен и вишезначан феномен тешко дефинисати. Ипак, то је неопходно полазиште сваког озбиљног рада и потребно је како би се овај феномен </w:t>
      </w:r>
      <w:r>
        <w:rPr>
          <w:rFonts w:ascii="Times New Roman" w:hAnsi="Times New Roman"/>
          <w:sz w:val="24"/>
          <w:szCs w:val="24"/>
          <w:lang w:val="sr-Cyrl-CS"/>
        </w:rPr>
        <w:lastRenderedPageBreak/>
        <w:t xml:space="preserve">могао разграничити од сродних феномена. Наиме, дефинисање корупције се разликује од земље до земље у зависности од различитог историјског и културног наслеђа и традиције. У нашој и страној литератури је заступљено различито дефинисање ове патолошке друштвене појаве, али у свим друштвима и културама корупција означава нешто неморално и незаконито и њоме се поткопавају темељи владавине права. </w:t>
      </w:r>
    </w:p>
    <w:p w:rsidR="0043154B" w:rsidRDefault="0043154B" w:rsidP="0043154B">
      <w:pPr>
        <w:pStyle w:val="ListParagraph"/>
        <w:ind w:left="0" w:firstLine="630"/>
        <w:jc w:val="both"/>
        <w:rPr>
          <w:rFonts w:ascii="Times New Roman" w:hAnsi="Times New Roman"/>
          <w:sz w:val="24"/>
          <w:szCs w:val="24"/>
          <w:lang w:val="sr-Cyrl-CS"/>
        </w:rPr>
      </w:pPr>
    </w:p>
    <w:p w:rsidR="0043154B" w:rsidRDefault="0043154B" w:rsidP="0043154B">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 xml:space="preserve">Израз корупција се користи за означавање мноштва активности и представља не само правну категорију, јер све државе имају законе против оваквих видова злоупотреба, него је и морална категорија која означава кварење и труљење. </w:t>
      </w:r>
      <w:r w:rsidR="000779E6">
        <w:rPr>
          <w:rFonts w:ascii="Times New Roman" w:hAnsi="Times New Roman"/>
          <w:sz w:val="24"/>
          <w:szCs w:val="24"/>
          <w:lang w:val="sr-Cyrl-CS"/>
        </w:rPr>
        <w:t>У свакодневном говору у српском језику често се изједначава са подмићивањем</w:t>
      </w:r>
      <w:r w:rsidR="00555396">
        <w:rPr>
          <w:rFonts w:ascii="Times New Roman" w:hAnsi="Times New Roman"/>
          <w:sz w:val="24"/>
          <w:szCs w:val="24"/>
          <w:lang w:val="sr-Cyrl-CS"/>
        </w:rPr>
        <w:t>, везом, протекцијом. Р</w:t>
      </w:r>
      <w:r w:rsidR="000779E6">
        <w:rPr>
          <w:rFonts w:ascii="Times New Roman" w:hAnsi="Times New Roman"/>
          <w:sz w:val="24"/>
          <w:szCs w:val="24"/>
          <w:lang w:val="sr-Cyrl-CS"/>
        </w:rPr>
        <w:t>еч корупција</w:t>
      </w:r>
      <w:r>
        <w:rPr>
          <w:rFonts w:ascii="Times New Roman" w:hAnsi="Times New Roman"/>
          <w:sz w:val="24"/>
          <w:szCs w:val="24"/>
          <w:lang w:val="sr-Cyrl-CS"/>
        </w:rPr>
        <w:t xml:space="preserve"> потиче од латинске речи </w:t>
      </w:r>
      <w:r w:rsidR="00555396">
        <w:rPr>
          <w:rFonts w:ascii="Times New Roman" w:hAnsi="Times New Roman"/>
          <w:sz w:val="24"/>
          <w:szCs w:val="24"/>
        </w:rPr>
        <w:t xml:space="preserve">corruptum </w:t>
      </w:r>
      <w:r>
        <w:rPr>
          <w:rFonts w:ascii="Times New Roman" w:hAnsi="Times New Roman"/>
          <w:sz w:val="24"/>
          <w:szCs w:val="24"/>
          <w:lang w:val="sr-Cyrl-CS"/>
        </w:rPr>
        <w:t xml:space="preserve">и означава </w:t>
      </w:r>
      <w:r w:rsidR="00555396">
        <w:rPr>
          <w:rFonts w:ascii="Times New Roman" w:hAnsi="Times New Roman"/>
          <w:sz w:val="24"/>
          <w:szCs w:val="24"/>
          <w:lang w:val="sr-Cyrl-CS"/>
        </w:rPr>
        <w:t>моралну поквареност и исквареност. У латинским изрекама се ова особина приписује не само људима, него и творевинама попут државе и према једној таквој изреци најпокваренија је она држава у којој је највише закона (</w:t>
      </w:r>
      <w:r w:rsidR="00555396">
        <w:rPr>
          <w:rFonts w:ascii="Times New Roman" w:hAnsi="Times New Roman"/>
          <w:sz w:val="24"/>
          <w:szCs w:val="24"/>
        </w:rPr>
        <w:t>Corruptisima in re publica plurimae leges).</w:t>
      </w:r>
      <w:r>
        <w:rPr>
          <w:rStyle w:val="FootnoteReference"/>
          <w:rFonts w:ascii="Times New Roman" w:hAnsi="Times New Roman"/>
          <w:sz w:val="24"/>
          <w:szCs w:val="24"/>
          <w:lang w:val="sr-Cyrl-CS"/>
        </w:rPr>
        <w:footnoteReference w:id="668"/>
      </w:r>
      <w:r>
        <w:rPr>
          <w:rFonts w:ascii="Times New Roman" w:hAnsi="Times New Roman"/>
          <w:sz w:val="24"/>
          <w:szCs w:val="24"/>
          <w:lang w:val="sr-Cyrl-CS"/>
        </w:rPr>
        <w:t xml:space="preserve"> </w:t>
      </w:r>
    </w:p>
    <w:p w:rsidR="000779E6" w:rsidRDefault="000779E6" w:rsidP="0043154B">
      <w:pPr>
        <w:pStyle w:val="ListParagraph"/>
        <w:ind w:left="0" w:firstLine="630"/>
        <w:jc w:val="both"/>
        <w:rPr>
          <w:rFonts w:ascii="Times New Roman" w:hAnsi="Times New Roman"/>
          <w:sz w:val="24"/>
          <w:szCs w:val="24"/>
          <w:lang w:val="sr-Cyrl-CS"/>
        </w:rPr>
      </w:pPr>
    </w:p>
    <w:p w:rsidR="007D255C" w:rsidRPr="00691E4C" w:rsidRDefault="00691E4C" w:rsidP="00691E4C">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Међу дефиницијама к</w:t>
      </w:r>
      <w:r w:rsidR="000779E6">
        <w:rPr>
          <w:rFonts w:ascii="Times New Roman" w:hAnsi="Times New Roman"/>
          <w:sz w:val="24"/>
          <w:szCs w:val="24"/>
          <w:lang w:val="sr-Cyrl-CS"/>
        </w:rPr>
        <w:t>орупциј</w:t>
      </w:r>
      <w:r>
        <w:rPr>
          <w:rFonts w:ascii="Times New Roman" w:hAnsi="Times New Roman"/>
          <w:sz w:val="24"/>
          <w:szCs w:val="24"/>
          <w:lang w:val="sr-Cyrl-CS"/>
        </w:rPr>
        <w:t>е</w:t>
      </w:r>
      <w:r w:rsidR="000779E6">
        <w:rPr>
          <w:rFonts w:ascii="Times New Roman" w:hAnsi="Times New Roman"/>
          <w:sz w:val="24"/>
          <w:szCs w:val="24"/>
          <w:lang w:val="sr-Cyrl-CS"/>
        </w:rPr>
        <w:t xml:space="preserve"> </w:t>
      </w:r>
      <w:r>
        <w:rPr>
          <w:rFonts w:ascii="Times New Roman" w:hAnsi="Times New Roman"/>
          <w:sz w:val="24"/>
          <w:szCs w:val="24"/>
          <w:lang w:val="sr-Cyrl-CS"/>
        </w:rPr>
        <w:t>разликује се уже и шире схватање</w:t>
      </w:r>
      <w:r w:rsidR="000779E6">
        <w:rPr>
          <w:rFonts w:ascii="Times New Roman" w:hAnsi="Times New Roman"/>
          <w:sz w:val="24"/>
          <w:szCs w:val="24"/>
          <w:lang w:val="sr-Cyrl-CS"/>
        </w:rPr>
        <w:t xml:space="preserve">. Дефиниције корупције у ширем смислу говоре о томе да  корупција  означава злоупотребљавање службених овлашћења и положаја од стране јавних службеника зарад стицања користи </w:t>
      </w:r>
      <w:r w:rsidR="000779E6">
        <w:rPr>
          <w:rFonts w:ascii="Arial" w:hAnsi="Arial" w:cs="Arial"/>
          <w:color w:val="000000"/>
          <w:sz w:val="18"/>
          <w:szCs w:val="18"/>
          <w:shd w:val="clear" w:color="auto" w:fill="FFFFFF"/>
        </w:rPr>
        <w:t>("</w:t>
      </w:r>
      <w:r w:rsidR="000779E6" w:rsidRPr="009B04B5">
        <w:rPr>
          <w:rFonts w:ascii="Times New Roman" w:hAnsi="Times New Roman"/>
          <w:iCs/>
          <w:color w:val="000000"/>
          <w:sz w:val="24"/>
          <w:szCs w:val="24"/>
          <w:shd w:val="clear" w:color="auto" w:fill="FFFFFF"/>
        </w:rPr>
        <w:t>abuse of power for gain</w:t>
      </w:r>
      <w:r w:rsidR="000779E6">
        <w:rPr>
          <w:rFonts w:ascii="Arial" w:hAnsi="Arial" w:cs="Arial"/>
          <w:color w:val="000000"/>
          <w:sz w:val="18"/>
          <w:szCs w:val="18"/>
          <w:shd w:val="clear" w:color="auto" w:fill="FFFFFF"/>
        </w:rPr>
        <w:t>")</w:t>
      </w:r>
      <w:r w:rsidR="000779E6" w:rsidRPr="000779E6">
        <w:rPr>
          <w:rFonts w:ascii="Times New Roman" w:hAnsi="Times New Roman"/>
          <w:sz w:val="24"/>
          <w:szCs w:val="24"/>
          <w:lang w:val="sr-Cyrl-CS"/>
        </w:rPr>
        <w:t>.</w:t>
      </w:r>
      <w:r w:rsidR="000779E6">
        <w:rPr>
          <w:rFonts w:ascii="Times New Roman" w:hAnsi="Times New Roman"/>
          <w:sz w:val="24"/>
          <w:szCs w:val="24"/>
          <w:lang w:val="sr-Cyrl-CS"/>
        </w:rPr>
        <w:t xml:space="preserve"> </w:t>
      </w:r>
      <w:r w:rsidR="002277F7">
        <w:rPr>
          <w:rFonts w:ascii="Times New Roman" w:hAnsi="Times New Roman"/>
          <w:sz w:val="24"/>
          <w:szCs w:val="24"/>
          <w:lang w:val="sr-Cyrl-CS"/>
        </w:rPr>
        <w:t xml:space="preserve">Дакле, </w:t>
      </w:r>
      <w:r w:rsidR="007E2718">
        <w:rPr>
          <w:rFonts w:ascii="Times New Roman" w:hAnsi="Times New Roman"/>
          <w:sz w:val="24"/>
          <w:szCs w:val="24"/>
          <w:lang w:val="sr-Cyrl-CS"/>
        </w:rPr>
        <w:t xml:space="preserve">обухвата </w:t>
      </w:r>
      <w:r w:rsidR="002277F7">
        <w:rPr>
          <w:rFonts w:ascii="Times New Roman" w:hAnsi="Times New Roman"/>
          <w:sz w:val="24"/>
          <w:szCs w:val="24"/>
          <w:lang w:val="sr-Cyrl-CS"/>
        </w:rPr>
        <w:t>не само подмићивање, него и злоупотреб</w:t>
      </w:r>
      <w:r>
        <w:rPr>
          <w:rFonts w:ascii="Times New Roman" w:hAnsi="Times New Roman"/>
          <w:sz w:val="24"/>
          <w:szCs w:val="24"/>
          <w:lang w:val="sr-Cyrl-CS"/>
        </w:rPr>
        <w:t>у</w:t>
      </w:r>
      <w:r w:rsidR="002277F7">
        <w:rPr>
          <w:rFonts w:ascii="Times New Roman" w:hAnsi="Times New Roman"/>
          <w:sz w:val="24"/>
          <w:szCs w:val="24"/>
          <w:lang w:val="sr-Cyrl-CS"/>
        </w:rPr>
        <w:t xml:space="preserve"> положаја и овлашћења, противуслуге, давање и коришћење привилегија и слично</w:t>
      </w:r>
      <w:r w:rsidR="00EB55D3">
        <w:rPr>
          <w:rFonts w:ascii="Times New Roman" w:hAnsi="Times New Roman"/>
          <w:sz w:val="24"/>
          <w:szCs w:val="24"/>
          <w:lang w:val="sr-Cyrl-CS"/>
        </w:rPr>
        <w:t>.</w:t>
      </w:r>
      <w:r w:rsidR="00F31230">
        <w:rPr>
          <w:rStyle w:val="FootnoteReference"/>
          <w:rFonts w:ascii="Times New Roman" w:hAnsi="Times New Roman"/>
          <w:sz w:val="24"/>
          <w:szCs w:val="24"/>
          <w:lang w:val="sr-Cyrl-CS"/>
        </w:rPr>
        <w:footnoteReference w:id="669"/>
      </w:r>
      <w:r w:rsidR="002277F7">
        <w:rPr>
          <w:rFonts w:ascii="Times New Roman" w:hAnsi="Times New Roman"/>
          <w:sz w:val="24"/>
          <w:szCs w:val="24"/>
          <w:lang w:val="sr-Cyrl-CS"/>
        </w:rPr>
        <w:t xml:space="preserve"> </w:t>
      </w:r>
      <w:r w:rsidR="000779E6">
        <w:rPr>
          <w:rFonts w:ascii="Times New Roman" w:hAnsi="Times New Roman"/>
          <w:sz w:val="24"/>
          <w:szCs w:val="24"/>
          <w:lang w:val="sr-Cyrl-CS"/>
        </w:rPr>
        <w:t xml:space="preserve">Према ужем схватању </w:t>
      </w:r>
      <w:r w:rsidR="00F31230">
        <w:rPr>
          <w:rFonts w:ascii="Times New Roman" w:hAnsi="Times New Roman"/>
          <w:sz w:val="24"/>
          <w:szCs w:val="24"/>
          <w:lang w:val="sr-Cyrl-CS"/>
        </w:rPr>
        <w:t xml:space="preserve">корупција </w:t>
      </w:r>
      <w:r w:rsidR="000779E6">
        <w:rPr>
          <w:rFonts w:ascii="Times New Roman" w:hAnsi="Times New Roman"/>
          <w:sz w:val="24"/>
          <w:szCs w:val="24"/>
          <w:lang w:val="sr-Cyrl-CS"/>
        </w:rPr>
        <w:t>обухвата само давање и примање мита.</w:t>
      </w:r>
      <w:r w:rsidR="007D255C">
        <w:rPr>
          <w:rFonts w:ascii="Times New Roman" w:hAnsi="Times New Roman"/>
          <w:sz w:val="24"/>
          <w:szCs w:val="24"/>
          <w:lang w:val="sr-Cyrl-CS"/>
        </w:rPr>
        <w:t xml:space="preserve"> </w:t>
      </w:r>
      <w:r w:rsidR="00F31230">
        <w:rPr>
          <w:rFonts w:ascii="Times New Roman" w:hAnsi="Times New Roman"/>
          <w:sz w:val="24"/>
          <w:szCs w:val="24"/>
          <w:lang w:val="sr-Cyrl-CS"/>
        </w:rPr>
        <w:t>Осим тога, у</w:t>
      </w:r>
      <w:r w:rsidR="002277F7">
        <w:rPr>
          <w:rFonts w:ascii="Times New Roman" w:hAnsi="Times New Roman"/>
          <w:sz w:val="24"/>
          <w:szCs w:val="24"/>
          <w:lang w:val="sr-Cyrl-CS"/>
        </w:rPr>
        <w:t>же одређење корупције ослања се на важеће законе и коруптивно је оно што је као такво санкционисано у закону, док шире одређење полази од тзв. моралне корупције која се односи на кршење моралних норми и вредности унутар одређене културе, друштвене групе или временског периода.</w:t>
      </w:r>
      <w:r w:rsidR="00F31230">
        <w:rPr>
          <w:rStyle w:val="FootnoteReference"/>
          <w:rFonts w:ascii="Times New Roman" w:hAnsi="Times New Roman"/>
          <w:sz w:val="24"/>
          <w:szCs w:val="24"/>
          <w:lang w:val="sr-Cyrl-CS"/>
        </w:rPr>
        <w:footnoteReference w:id="670"/>
      </w:r>
      <w:r w:rsidR="00F31230" w:rsidRPr="00F31230">
        <w:rPr>
          <w:rFonts w:ascii="Times New Roman" w:hAnsi="Times New Roman"/>
          <w:sz w:val="24"/>
          <w:szCs w:val="24"/>
          <w:lang w:val="sr-Cyrl-CS"/>
        </w:rPr>
        <w:t xml:space="preserve"> </w:t>
      </w:r>
      <w:r w:rsidR="00F31230">
        <w:rPr>
          <w:rFonts w:ascii="Times New Roman" w:hAnsi="Times New Roman"/>
          <w:sz w:val="24"/>
          <w:szCs w:val="24"/>
          <w:lang w:val="sr-Cyrl-CS"/>
        </w:rPr>
        <w:t xml:space="preserve">У литератури су заступљена и таква </w:t>
      </w:r>
      <w:r w:rsidR="00EB55D3">
        <w:rPr>
          <w:rFonts w:ascii="Times New Roman" w:hAnsi="Times New Roman"/>
          <w:sz w:val="24"/>
          <w:szCs w:val="24"/>
          <w:lang w:val="sr-Cyrl-CS"/>
        </w:rPr>
        <w:t>схватања ужег и ширег</w:t>
      </w:r>
      <w:r w:rsidR="00F31230">
        <w:rPr>
          <w:rFonts w:ascii="Times New Roman" w:hAnsi="Times New Roman"/>
          <w:sz w:val="24"/>
          <w:szCs w:val="24"/>
          <w:lang w:val="sr-Cyrl-CS"/>
        </w:rPr>
        <w:t xml:space="preserve"> </w:t>
      </w:r>
      <w:r w:rsidR="00EB55D3">
        <w:rPr>
          <w:rFonts w:ascii="Times New Roman" w:hAnsi="Times New Roman"/>
          <w:sz w:val="24"/>
          <w:szCs w:val="24"/>
          <w:lang w:val="sr-Cyrl-CS"/>
        </w:rPr>
        <w:t>одређења</w:t>
      </w:r>
      <w:r w:rsidR="00F31230">
        <w:rPr>
          <w:rFonts w:ascii="Times New Roman" w:hAnsi="Times New Roman"/>
          <w:sz w:val="24"/>
          <w:szCs w:val="24"/>
          <w:lang w:val="sr-Cyrl-CS"/>
        </w:rPr>
        <w:t xml:space="preserve"> корупције према којима је по ужој дефиницији корупција кршење моралних норми и вредности у циљу стицања сопствене користи, док према широј дефиницији обухвата све  видове понашања којима се крше моралне норме и вредности.</w:t>
      </w:r>
      <w:r w:rsidR="00F31230">
        <w:rPr>
          <w:rStyle w:val="FootnoteReference"/>
          <w:rFonts w:ascii="Times New Roman" w:hAnsi="Times New Roman"/>
          <w:sz w:val="24"/>
          <w:szCs w:val="24"/>
          <w:lang w:val="sr-Cyrl-CS"/>
        </w:rPr>
        <w:footnoteReference w:id="671"/>
      </w:r>
      <w:r w:rsidR="00F31230">
        <w:rPr>
          <w:rFonts w:ascii="Times New Roman" w:hAnsi="Times New Roman"/>
          <w:sz w:val="24"/>
          <w:szCs w:val="24"/>
          <w:lang w:val="sr-Cyrl-CS"/>
        </w:rPr>
        <w:t xml:space="preserve"> </w:t>
      </w:r>
      <w:r w:rsidR="00250E08">
        <w:rPr>
          <w:rFonts w:ascii="Times New Roman" w:hAnsi="Times New Roman"/>
          <w:sz w:val="24"/>
          <w:szCs w:val="24"/>
          <w:lang w:val="sr-Cyrl-CS"/>
        </w:rPr>
        <w:t>Неуједначеност у дефинисању појма корупције је заступљено како у теорији, тако и у законодавству, као и у међунар</w:t>
      </w:r>
      <w:r w:rsidR="007E2718">
        <w:rPr>
          <w:rFonts w:ascii="Times New Roman" w:hAnsi="Times New Roman"/>
          <w:sz w:val="24"/>
          <w:szCs w:val="24"/>
          <w:lang w:val="sr-Cyrl-CS"/>
        </w:rPr>
        <w:t>о</w:t>
      </w:r>
      <w:r w:rsidR="00250E08">
        <w:rPr>
          <w:rFonts w:ascii="Times New Roman" w:hAnsi="Times New Roman"/>
          <w:sz w:val="24"/>
          <w:szCs w:val="24"/>
          <w:lang w:val="sr-Cyrl-CS"/>
        </w:rPr>
        <w:t>дним правним инструментима који се баве корупцијом, а којих је све више.</w:t>
      </w:r>
      <w:r w:rsidR="00250E08">
        <w:rPr>
          <w:rStyle w:val="FootnoteReference"/>
          <w:rFonts w:ascii="Times New Roman" w:hAnsi="Times New Roman"/>
          <w:sz w:val="24"/>
          <w:szCs w:val="24"/>
          <w:lang w:val="sr-Cyrl-CS"/>
        </w:rPr>
        <w:footnoteReference w:id="672"/>
      </w:r>
      <w:r w:rsidR="00250E08">
        <w:rPr>
          <w:rFonts w:ascii="Times New Roman" w:hAnsi="Times New Roman"/>
          <w:sz w:val="24"/>
          <w:szCs w:val="24"/>
          <w:lang w:val="sr-Cyrl-CS"/>
        </w:rPr>
        <w:t xml:space="preserve"> </w:t>
      </w:r>
      <w:r w:rsidR="0065459F">
        <w:rPr>
          <w:rFonts w:ascii="Times New Roman" w:hAnsi="Times New Roman"/>
          <w:sz w:val="24"/>
          <w:szCs w:val="24"/>
          <w:lang w:val="sr-Cyrl-CS"/>
        </w:rPr>
        <w:t>Све наведено говори о томе да је корупција веома сложен феномен.</w:t>
      </w:r>
    </w:p>
    <w:p w:rsidR="007D255C" w:rsidRDefault="007D255C" w:rsidP="007D255C">
      <w:pPr>
        <w:ind w:firstLine="630"/>
        <w:jc w:val="both"/>
        <w:rPr>
          <w:rFonts w:ascii="Times New Roman" w:hAnsi="Times New Roman"/>
          <w:sz w:val="24"/>
          <w:szCs w:val="24"/>
          <w:lang w:val="sr-Cyrl-CS"/>
        </w:rPr>
      </w:pPr>
      <w:r>
        <w:rPr>
          <w:rFonts w:ascii="Times New Roman" w:hAnsi="Times New Roman"/>
          <w:sz w:val="24"/>
          <w:szCs w:val="24"/>
          <w:lang w:val="sr-Cyrl-CS"/>
        </w:rPr>
        <w:lastRenderedPageBreak/>
        <w:t>Према Ђорђу Игњатовићу</w:t>
      </w:r>
      <w:r>
        <w:rPr>
          <w:rStyle w:val="FootnoteReference"/>
          <w:rFonts w:ascii="Times New Roman" w:hAnsi="Times New Roman"/>
          <w:sz w:val="24"/>
          <w:szCs w:val="24"/>
          <w:lang w:val="sr-Cyrl-CS"/>
        </w:rPr>
        <w:footnoteReference w:id="673"/>
      </w:r>
      <w:r>
        <w:rPr>
          <w:rFonts w:ascii="Times New Roman" w:hAnsi="Times New Roman"/>
          <w:sz w:val="24"/>
          <w:szCs w:val="24"/>
          <w:lang w:val="sr-Cyrl-CS"/>
        </w:rPr>
        <w:t xml:space="preserve"> корупција обухвата само оне облике оваквог понашања који су инкриминисани у кривичном праву. Корупција се, према томе, дефинише као криминално понашање код кога се додељено овлашћење злоупотребљава у циљу прибављања личне користи и оваква кривична дела су типичан случај дијадичног односа код кога се криминалним сматра како понашање корумпираног, тако и коруптора (лица које корист даје). Према овом аутору корупцију не треба схавати прешироко као што то чини лаичка јавност која под тим појмом подразумева и дела која се можда косе са моралом или добрим обичајима, али која доводе до кривичне одговорности.</w:t>
      </w:r>
    </w:p>
    <w:p w:rsidR="00691E4C" w:rsidRDefault="00691E4C" w:rsidP="00691E4C">
      <w:pPr>
        <w:ind w:firstLine="630"/>
        <w:jc w:val="both"/>
        <w:rPr>
          <w:rFonts w:ascii="Times New Roman" w:hAnsi="Times New Roman"/>
          <w:sz w:val="24"/>
          <w:szCs w:val="24"/>
          <w:lang w:val="sr-Cyrl-CS"/>
        </w:rPr>
      </w:pPr>
      <w:r w:rsidRPr="004414A2">
        <w:rPr>
          <w:rFonts w:ascii="Times New Roman" w:hAnsi="Times New Roman"/>
          <w:sz w:val="24"/>
          <w:szCs w:val="24"/>
          <w:lang w:val="sr-Cyrl-CS"/>
        </w:rPr>
        <w:t>Конвенција УН против транснационалног организованог криминала</w:t>
      </w:r>
      <w:r>
        <w:rPr>
          <w:rFonts w:ascii="Times New Roman" w:hAnsi="Times New Roman"/>
          <w:sz w:val="24"/>
          <w:szCs w:val="24"/>
          <w:lang w:val="sr-Cyrl-CS"/>
        </w:rPr>
        <w:t xml:space="preserve"> </w:t>
      </w:r>
      <w:r w:rsidRPr="004414A2">
        <w:rPr>
          <w:rFonts w:ascii="Times New Roman" w:hAnsi="Times New Roman"/>
          <w:sz w:val="24"/>
          <w:szCs w:val="24"/>
          <w:lang w:val="sr-Cyrl-CS"/>
        </w:rPr>
        <w:t>од</w:t>
      </w:r>
      <w:r>
        <w:rPr>
          <w:rFonts w:ascii="Times New Roman" w:hAnsi="Times New Roman"/>
          <w:sz w:val="24"/>
          <w:szCs w:val="24"/>
          <w:lang w:val="sr-Cyrl-CS"/>
        </w:rPr>
        <w:t>ређује корупцију као форму испољавања транснационалног организваног криминала  и елементе корупци</w:t>
      </w:r>
      <w:r w:rsidRPr="004414A2">
        <w:rPr>
          <w:rFonts w:ascii="Times New Roman" w:hAnsi="Times New Roman"/>
          <w:sz w:val="24"/>
          <w:szCs w:val="24"/>
          <w:lang w:val="sr-Cyrl-CS"/>
        </w:rPr>
        <w:t>ј</w:t>
      </w:r>
      <w:r>
        <w:rPr>
          <w:rFonts w:ascii="Times New Roman" w:hAnsi="Times New Roman"/>
          <w:sz w:val="24"/>
          <w:szCs w:val="24"/>
          <w:lang w:val="sr-Cyrl-CS"/>
        </w:rPr>
        <w:t>е.</w:t>
      </w:r>
      <w:r>
        <w:rPr>
          <w:rStyle w:val="FootnoteReference"/>
          <w:rFonts w:ascii="Times New Roman" w:hAnsi="Times New Roman"/>
          <w:sz w:val="24"/>
          <w:szCs w:val="24"/>
          <w:lang w:val="sr-Cyrl-CS"/>
        </w:rPr>
        <w:footnoteReference w:id="674"/>
      </w:r>
      <w:r w:rsidRPr="004414A2">
        <w:rPr>
          <w:rFonts w:ascii="Times New Roman" w:hAnsi="Times New Roman"/>
          <w:sz w:val="24"/>
          <w:szCs w:val="24"/>
          <w:lang w:val="sr-Cyrl-CS"/>
        </w:rPr>
        <w:t xml:space="preserve"> </w:t>
      </w:r>
      <w:r>
        <w:rPr>
          <w:rFonts w:ascii="Times New Roman" w:hAnsi="Times New Roman"/>
          <w:sz w:val="24"/>
          <w:szCs w:val="24"/>
          <w:lang w:val="sr-Cyrl-CS"/>
        </w:rPr>
        <w:t>К</w:t>
      </w:r>
      <w:r w:rsidRPr="004414A2">
        <w:rPr>
          <w:rFonts w:ascii="Times New Roman" w:hAnsi="Times New Roman"/>
          <w:sz w:val="24"/>
          <w:szCs w:val="24"/>
          <w:lang w:val="sr-Cyrl-CS"/>
        </w:rPr>
        <w:t>орупција је криви</w:t>
      </w:r>
      <w:r>
        <w:rPr>
          <w:rFonts w:ascii="Times New Roman" w:hAnsi="Times New Roman"/>
          <w:sz w:val="24"/>
          <w:szCs w:val="24"/>
          <w:lang w:val="sr-Cyrl-CS"/>
        </w:rPr>
        <w:t>чно дело које је учињено са следећом намером: а) обе</w:t>
      </w:r>
      <w:r w:rsidRPr="004414A2">
        <w:rPr>
          <w:rFonts w:ascii="Times New Roman" w:hAnsi="Times New Roman"/>
          <w:sz w:val="24"/>
          <w:szCs w:val="24"/>
          <w:lang w:val="sr-Cyrl-CS"/>
        </w:rPr>
        <w:t>ћање, понуда или давање државном слу</w:t>
      </w:r>
      <w:r>
        <w:rPr>
          <w:rFonts w:ascii="Times New Roman" w:hAnsi="Times New Roman"/>
          <w:sz w:val="24"/>
          <w:szCs w:val="24"/>
          <w:lang w:val="sr-Cyrl-CS"/>
        </w:rPr>
        <w:t>жбенику, посредно или непосред</w:t>
      </w:r>
      <w:r w:rsidRPr="004414A2">
        <w:rPr>
          <w:rFonts w:ascii="Times New Roman" w:hAnsi="Times New Roman"/>
          <w:sz w:val="24"/>
          <w:szCs w:val="24"/>
          <w:lang w:val="sr-Cyrl-CS"/>
        </w:rPr>
        <w:t>но, непримерене користи која је намењ</w:t>
      </w:r>
      <w:r>
        <w:rPr>
          <w:rFonts w:ascii="Times New Roman" w:hAnsi="Times New Roman"/>
          <w:sz w:val="24"/>
          <w:szCs w:val="24"/>
          <w:lang w:val="sr-Cyrl-CS"/>
        </w:rPr>
        <w:t xml:space="preserve">ена њему лично или неком другом </w:t>
      </w:r>
      <w:r w:rsidRPr="004414A2">
        <w:rPr>
          <w:rFonts w:ascii="Times New Roman" w:hAnsi="Times New Roman"/>
          <w:sz w:val="24"/>
          <w:szCs w:val="24"/>
          <w:lang w:val="sr-Cyrl-CS"/>
        </w:rPr>
        <w:t>лицу или ентитету, како би тај службеник деловао и</w:t>
      </w:r>
      <w:r>
        <w:rPr>
          <w:rFonts w:ascii="Times New Roman" w:hAnsi="Times New Roman"/>
          <w:sz w:val="24"/>
          <w:szCs w:val="24"/>
          <w:lang w:val="sr-Cyrl-CS"/>
        </w:rPr>
        <w:t>ли се уздржао од де</w:t>
      </w:r>
      <w:r w:rsidRPr="004414A2">
        <w:rPr>
          <w:rFonts w:ascii="Times New Roman" w:hAnsi="Times New Roman"/>
          <w:sz w:val="24"/>
          <w:szCs w:val="24"/>
          <w:lang w:val="sr-Cyrl-CS"/>
        </w:rPr>
        <w:t>ловања у обављању својих службених д</w:t>
      </w:r>
      <w:r>
        <w:rPr>
          <w:rFonts w:ascii="Times New Roman" w:hAnsi="Times New Roman"/>
          <w:sz w:val="24"/>
          <w:szCs w:val="24"/>
          <w:lang w:val="sr-Cyrl-CS"/>
        </w:rPr>
        <w:t>ужности и б) тра</w:t>
      </w:r>
      <w:r w:rsidRPr="004414A2">
        <w:rPr>
          <w:rFonts w:ascii="Times New Roman" w:hAnsi="Times New Roman"/>
          <w:sz w:val="24"/>
          <w:szCs w:val="24"/>
          <w:lang w:val="sr-Cyrl-CS"/>
        </w:rPr>
        <w:t>жење или прихватање од стране држав</w:t>
      </w:r>
      <w:r>
        <w:rPr>
          <w:rFonts w:ascii="Times New Roman" w:hAnsi="Times New Roman"/>
          <w:sz w:val="24"/>
          <w:szCs w:val="24"/>
          <w:lang w:val="sr-Cyrl-CS"/>
        </w:rPr>
        <w:t>ног службеника посредно или не</w:t>
      </w:r>
      <w:r w:rsidRPr="004414A2">
        <w:rPr>
          <w:rFonts w:ascii="Times New Roman" w:hAnsi="Times New Roman"/>
          <w:sz w:val="24"/>
          <w:szCs w:val="24"/>
          <w:lang w:val="sr-Cyrl-CS"/>
        </w:rPr>
        <w:t>посредно, непримерене користи која је дата њему лично или другом лицу</w:t>
      </w:r>
      <w:r>
        <w:rPr>
          <w:rFonts w:ascii="Times New Roman" w:hAnsi="Times New Roman"/>
          <w:sz w:val="24"/>
          <w:szCs w:val="24"/>
          <w:lang w:val="sr-Cyrl-CS"/>
        </w:rPr>
        <w:t xml:space="preserve"> </w:t>
      </w:r>
      <w:r w:rsidRPr="004414A2">
        <w:rPr>
          <w:rFonts w:ascii="Times New Roman" w:hAnsi="Times New Roman"/>
          <w:sz w:val="24"/>
          <w:szCs w:val="24"/>
          <w:lang w:val="sr-Cyrl-CS"/>
        </w:rPr>
        <w:t>или ентитету, како би тај службеник деловао или се уздржао од деловања</w:t>
      </w:r>
      <w:r>
        <w:rPr>
          <w:rFonts w:ascii="Times New Roman" w:hAnsi="Times New Roman"/>
          <w:sz w:val="24"/>
          <w:szCs w:val="24"/>
          <w:lang w:val="sr-Cyrl-CS"/>
        </w:rPr>
        <w:t xml:space="preserve"> </w:t>
      </w:r>
      <w:r w:rsidRPr="004414A2">
        <w:rPr>
          <w:rFonts w:ascii="Times New Roman" w:hAnsi="Times New Roman"/>
          <w:sz w:val="24"/>
          <w:szCs w:val="24"/>
          <w:lang w:val="sr-Cyrl-CS"/>
        </w:rPr>
        <w:t>у обављању својих с</w:t>
      </w:r>
      <w:r>
        <w:rPr>
          <w:rFonts w:ascii="Times New Roman" w:hAnsi="Times New Roman"/>
          <w:sz w:val="24"/>
          <w:szCs w:val="24"/>
          <w:lang w:val="sr-Cyrl-CS"/>
        </w:rPr>
        <w:t>лужбених дужности.</w:t>
      </w:r>
    </w:p>
    <w:p w:rsidR="00691E4C" w:rsidRDefault="00691E4C" w:rsidP="00691E4C">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Међу најбитније карактеристике корупцијских кривичних спадале би следеће: „1) противзаконито и неморално деловање, 2) учиниоци су лица која су носиоци државне, политичке, финасијске, привредне или друге јавне функције, као и лица која се појављују као носиоци одређених функција у приватном сектору, 3) делатност се састоји у искоришћавању положаја, прекорачењу овлашћења, коришћењу функције и друштвеног угледа невршењем послова из своје надлежности, коришћењем иснтитуција у којима су запослена лица која врше кроупцијска кривична дела, 4) стицање противправне користи, богаћење без правног основа, остваривање личних интереса, политичке, финансијске или неке друге моћи.“</w:t>
      </w:r>
      <w:r>
        <w:rPr>
          <w:rStyle w:val="FootnoteReference"/>
          <w:rFonts w:ascii="Times New Roman" w:hAnsi="Times New Roman"/>
          <w:sz w:val="24"/>
          <w:szCs w:val="24"/>
          <w:lang w:val="sr-Cyrl-CS"/>
        </w:rPr>
        <w:footnoteReference w:id="675"/>
      </w:r>
    </w:p>
    <w:p w:rsidR="00327A71" w:rsidRDefault="00327A71" w:rsidP="00691E4C">
      <w:pPr>
        <w:pStyle w:val="ListParagraph"/>
        <w:ind w:left="0" w:firstLine="630"/>
        <w:jc w:val="both"/>
        <w:rPr>
          <w:rFonts w:ascii="Times New Roman" w:hAnsi="Times New Roman"/>
          <w:sz w:val="24"/>
          <w:szCs w:val="24"/>
          <w:lang w:val="sr-Cyrl-CS"/>
        </w:rPr>
      </w:pPr>
    </w:p>
    <w:p w:rsidR="00327A71" w:rsidRPr="00327A71" w:rsidRDefault="00327A71" w:rsidP="00327A71">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Полазећи од односа који има корупција према постојећим прописима, може се направити подела на: корупцију без крађе, односно корупцију која обезбеђује бржу примену постојећих прописа, корупцију уз крађу, која претпоставља изигравање и кршење прописа и корупцију која резултира променом прописа, односно стварањем прописа који погодују коруптору.</w:t>
      </w:r>
      <w:r>
        <w:rPr>
          <w:rStyle w:val="FootnoteReference"/>
          <w:rFonts w:ascii="Times New Roman" w:hAnsi="Times New Roman"/>
          <w:sz w:val="24"/>
          <w:szCs w:val="24"/>
          <w:lang w:val="sr-Cyrl-CS"/>
        </w:rPr>
        <w:footnoteReference w:id="676"/>
      </w:r>
    </w:p>
    <w:p w:rsidR="00691E4C" w:rsidRDefault="00691E4C" w:rsidP="00691E4C">
      <w:pPr>
        <w:pStyle w:val="ListParagraph"/>
        <w:ind w:left="0" w:firstLine="630"/>
        <w:jc w:val="both"/>
        <w:rPr>
          <w:rFonts w:ascii="Times New Roman" w:hAnsi="Times New Roman"/>
          <w:sz w:val="24"/>
          <w:szCs w:val="24"/>
          <w:lang w:val="sr-Cyrl-CS"/>
        </w:rPr>
      </w:pPr>
    </w:p>
    <w:p w:rsidR="00691E4C" w:rsidRDefault="00691E4C" w:rsidP="00691E4C">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lastRenderedPageBreak/>
        <w:t>Према ширем схватању сматра се да је појам корупције шири појам од појма „криминалне корупције“ односно од појава корупције које су санкционисане кривичним законом.</w:t>
      </w:r>
      <w:r>
        <w:rPr>
          <w:rStyle w:val="FootnoteReference"/>
          <w:rFonts w:ascii="Times New Roman" w:hAnsi="Times New Roman"/>
          <w:sz w:val="24"/>
          <w:szCs w:val="24"/>
          <w:lang w:val="sr-Cyrl-CS"/>
        </w:rPr>
        <w:footnoteReference w:id="677"/>
      </w:r>
      <w:r>
        <w:rPr>
          <w:rFonts w:ascii="Times New Roman" w:hAnsi="Times New Roman"/>
          <w:sz w:val="24"/>
          <w:szCs w:val="24"/>
          <w:lang w:val="sr-Cyrl-CS"/>
        </w:rPr>
        <w:t xml:space="preserve"> Према М. Јелачићу корупција је друштвено негативна појава која је од самог постанка људског друштва и формирања првих држава настала, развијала се и добила своје појавне облике, у зависности од историјски датих социјалних, економских, политичких и других услова, наносећи својом неморалном, асоцијалном и противправном суштином, штетне последице друштву. </w:t>
      </w:r>
      <w:r>
        <w:rPr>
          <w:rStyle w:val="FootnoteReference"/>
          <w:rFonts w:ascii="Times New Roman" w:hAnsi="Times New Roman"/>
          <w:sz w:val="24"/>
          <w:szCs w:val="24"/>
          <w:lang w:val="sr-Cyrl-CS"/>
        </w:rPr>
        <w:footnoteReference w:id="678"/>
      </w:r>
    </w:p>
    <w:p w:rsidR="0065459F" w:rsidRDefault="0065459F" w:rsidP="00691E4C">
      <w:pPr>
        <w:pStyle w:val="ListParagraph"/>
        <w:ind w:left="0" w:firstLine="630"/>
        <w:jc w:val="both"/>
        <w:rPr>
          <w:rFonts w:ascii="Times New Roman" w:hAnsi="Times New Roman"/>
          <w:sz w:val="24"/>
          <w:szCs w:val="24"/>
          <w:lang w:val="sr-Cyrl-CS"/>
        </w:rPr>
      </w:pPr>
    </w:p>
    <w:p w:rsidR="0065459F" w:rsidRDefault="0065459F" w:rsidP="0065459F">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Отуда се коруптивно понашање у пихологији дефинише као скуп поступака појединаца или групе који увек имају негативне ефекте на друге особе и који су нелегални и морално неприхватљиви за ширу заједницу.</w:t>
      </w:r>
      <w:r>
        <w:rPr>
          <w:rStyle w:val="FootnoteReference"/>
          <w:rFonts w:ascii="Times New Roman" w:hAnsi="Times New Roman"/>
          <w:sz w:val="24"/>
          <w:szCs w:val="24"/>
          <w:lang w:val="sr-Cyrl-CS"/>
        </w:rPr>
        <w:footnoteReference w:id="679"/>
      </w:r>
      <w:r>
        <w:rPr>
          <w:rFonts w:ascii="Times New Roman" w:hAnsi="Times New Roman"/>
          <w:sz w:val="24"/>
          <w:szCs w:val="24"/>
        </w:rPr>
        <w:t xml:space="preserve"> </w:t>
      </w:r>
      <w:r>
        <w:rPr>
          <w:rFonts w:ascii="Times New Roman" w:hAnsi="Times New Roman"/>
          <w:sz w:val="24"/>
          <w:szCs w:val="24"/>
          <w:lang w:val="sr-Cyrl-CS"/>
        </w:rPr>
        <w:t xml:space="preserve">Дакле, полази се од тога да корупција не представља само кршење законских норми него представља и кршење етичких и социјалних норми понашања. У преамбули </w:t>
      </w:r>
      <w:r>
        <w:rPr>
          <w:rFonts w:ascii="Times New Roman" w:hAnsi="Times New Roman"/>
          <w:sz w:val="24"/>
          <w:szCs w:val="24"/>
        </w:rPr>
        <w:t>The Criminal Low Convention on Corruption</w:t>
      </w:r>
      <w:r>
        <w:rPr>
          <w:rStyle w:val="FootnoteReference"/>
          <w:rFonts w:ascii="Times New Roman" w:hAnsi="Times New Roman"/>
          <w:sz w:val="24"/>
          <w:szCs w:val="24"/>
        </w:rPr>
        <w:footnoteReference w:id="680"/>
      </w:r>
      <w:r>
        <w:rPr>
          <w:rFonts w:ascii="Times New Roman" w:hAnsi="Times New Roman"/>
          <w:sz w:val="24"/>
          <w:szCs w:val="24"/>
          <w:lang w:val="sr-Cyrl-CS"/>
        </w:rPr>
        <w:t xml:space="preserve">  корупција се третира као појава која угрожава  владавину права, демократију и људска права, подрива добру владавину </w:t>
      </w:r>
      <w:r>
        <w:rPr>
          <w:rFonts w:ascii="Times New Roman" w:hAnsi="Times New Roman"/>
          <w:sz w:val="24"/>
          <w:szCs w:val="24"/>
        </w:rPr>
        <w:t>(undermines good governance), правичност и друштвену правду, уништава надметање, спречава еконо</w:t>
      </w:r>
      <w:r>
        <w:rPr>
          <w:rFonts w:ascii="Times New Roman" w:hAnsi="Times New Roman"/>
          <w:sz w:val="24"/>
          <w:szCs w:val="24"/>
          <w:lang w:val="sr-Cyrl-CS"/>
        </w:rPr>
        <w:t>мс</w:t>
      </w:r>
      <w:r>
        <w:rPr>
          <w:rFonts w:ascii="Times New Roman" w:hAnsi="Times New Roman"/>
          <w:sz w:val="24"/>
          <w:szCs w:val="24"/>
        </w:rPr>
        <w:t>ки развој и угрожава стабилност демократских институција и моралних основа друштва.</w:t>
      </w:r>
    </w:p>
    <w:p w:rsidR="0065459F" w:rsidRDefault="0065459F" w:rsidP="0065459F">
      <w:pPr>
        <w:pStyle w:val="ListParagraph"/>
        <w:ind w:left="0" w:firstLine="630"/>
        <w:jc w:val="both"/>
        <w:rPr>
          <w:rFonts w:ascii="Times New Roman" w:hAnsi="Times New Roman"/>
          <w:sz w:val="24"/>
          <w:szCs w:val="24"/>
          <w:lang w:val="sr-Cyrl-CS"/>
        </w:rPr>
      </w:pPr>
    </w:p>
    <w:p w:rsidR="0065459F" w:rsidRDefault="0065459F" w:rsidP="00102EC3">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Према томе, појам корупције се не своди само на уобичајено схватање да је то давање поколона или новчаница у плавим ковертама и не представља само незаконито понашање, већ моралну изопаченост, поквареност, непоштење, непотизам и сл. То је и најперфиднији и најтежи вид организованог криминала који доприноси његовој експанзији и укорењивању у свим сегментима друштва. Формална дефиниција Савета Европе у одређеној мери корупцију дефинише на следећи начин: „Као понашање одређене особе у јавним пословима које је у супротности са посланством њеног положаја, што између осталог проузрокује и неутемељено окоришћавање.“</w:t>
      </w:r>
      <w:r>
        <w:rPr>
          <w:rStyle w:val="FootnoteReference"/>
          <w:rFonts w:ascii="Times New Roman" w:hAnsi="Times New Roman"/>
          <w:sz w:val="24"/>
          <w:szCs w:val="24"/>
          <w:lang w:val="sr-Cyrl-CS"/>
        </w:rPr>
        <w:footnoteReference w:id="681"/>
      </w:r>
    </w:p>
    <w:p w:rsidR="001C11E0" w:rsidRDefault="001C11E0" w:rsidP="00102EC3">
      <w:pPr>
        <w:pStyle w:val="ListParagraph"/>
        <w:ind w:left="0" w:firstLine="630"/>
        <w:jc w:val="both"/>
        <w:rPr>
          <w:rFonts w:ascii="Times New Roman" w:hAnsi="Times New Roman"/>
          <w:sz w:val="24"/>
          <w:szCs w:val="24"/>
          <w:lang w:val="sr-Cyrl-CS"/>
        </w:rPr>
      </w:pPr>
    </w:p>
    <w:p w:rsidR="001C11E0" w:rsidRPr="001C11E0" w:rsidRDefault="001C11E0" w:rsidP="001C11E0">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 xml:space="preserve">Бројне су дефиниције корупције према којима корупција предстаља не само кршење закона него је изневерен и јавни интерес. Према Зорану Стојиљковићу корупција представља „двоструки купопродајни однос“ између власти и поданика у коме власт купује лојалност и пристанак својих поданика, а са друге стране и приватни власници и групе могу купити власт. Структурално посматрано, према овом аутору, три су елемента за одређивање корупције и то: јавна овлашћења, њихова злоупотреба и остварена корист. Тако и </w:t>
      </w:r>
      <w:r>
        <w:rPr>
          <w:rFonts w:ascii="Times New Roman" w:hAnsi="Times New Roman"/>
          <w:sz w:val="24"/>
          <w:szCs w:val="24"/>
        </w:rPr>
        <w:t xml:space="preserve">Robert Klitgaard </w:t>
      </w:r>
      <w:r>
        <w:rPr>
          <w:rFonts w:ascii="Times New Roman" w:hAnsi="Times New Roman"/>
          <w:sz w:val="24"/>
          <w:szCs w:val="24"/>
          <w:lang w:val="sr-Cyrl-CS"/>
        </w:rPr>
        <w:t xml:space="preserve">одређује као корупцију случај када неки појединац незаконито стави лични интерес изнад интереса људи и идеала којима се </w:t>
      </w:r>
      <w:r>
        <w:rPr>
          <w:rFonts w:ascii="Times New Roman" w:hAnsi="Times New Roman"/>
          <w:sz w:val="24"/>
          <w:szCs w:val="24"/>
          <w:lang w:val="sr-Cyrl-CS"/>
        </w:rPr>
        <w:lastRenderedPageBreak/>
        <w:t>заклео да ће служити, па је корупција не само кршење закона него је изневерен и јавни интерес.</w:t>
      </w:r>
      <w:r w:rsidR="00962633">
        <w:rPr>
          <w:rFonts w:ascii="Times New Roman" w:hAnsi="Times New Roman"/>
          <w:sz w:val="24"/>
          <w:szCs w:val="24"/>
          <w:lang w:val="sr-Cyrl-CS"/>
        </w:rPr>
        <w:t xml:space="preserve"> Овај аутор у области економије корупцију дефинише уз помоћ следеће  једначине корупција = момопол власти + дискреција - одговорност.</w:t>
      </w:r>
      <w:r>
        <w:rPr>
          <w:rStyle w:val="FootnoteReference"/>
          <w:rFonts w:ascii="Times New Roman" w:hAnsi="Times New Roman"/>
          <w:sz w:val="24"/>
          <w:szCs w:val="24"/>
          <w:lang w:val="sr-Cyrl-CS"/>
        </w:rPr>
        <w:footnoteReference w:id="682"/>
      </w:r>
      <w:r>
        <w:rPr>
          <w:rFonts w:ascii="Times New Roman" w:hAnsi="Times New Roman"/>
          <w:sz w:val="24"/>
          <w:szCs w:val="24"/>
          <w:lang w:val="sr-Cyrl-CS"/>
        </w:rPr>
        <w:t xml:space="preserve"> Carl Freidrich дефинише корупцију као девијантно понашање повезано са специфичним мотивом да се прибави приватна добит на рачун јавног овлашћења.</w:t>
      </w:r>
      <w:r>
        <w:rPr>
          <w:rStyle w:val="FootnoteReference"/>
          <w:rFonts w:ascii="Times New Roman" w:hAnsi="Times New Roman"/>
          <w:sz w:val="24"/>
          <w:szCs w:val="24"/>
          <w:lang w:val="sr-Cyrl-CS"/>
        </w:rPr>
        <w:footnoteReference w:id="683"/>
      </w:r>
      <w:r>
        <w:rPr>
          <w:rFonts w:ascii="Times New Roman" w:hAnsi="Times New Roman"/>
          <w:sz w:val="24"/>
          <w:szCs w:val="24"/>
          <w:lang w:val="sr-Cyrl-CS"/>
        </w:rPr>
        <w:t xml:space="preserve"> Заступљена је и дефиниција Светске банке према којој корупција представаља злоупотребу јавних овлашћења ради стицања приватне користи, чиме се корупција везује за јавна овлашћења.</w:t>
      </w:r>
    </w:p>
    <w:p w:rsidR="00102EC3" w:rsidRPr="00102EC3" w:rsidRDefault="00102EC3" w:rsidP="00102EC3">
      <w:pPr>
        <w:pStyle w:val="ListParagraph"/>
        <w:ind w:left="0" w:firstLine="630"/>
        <w:jc w:val="both"/>
        <w:rPr>
          <w:rFonts w:ascii="Times New Roman" w:hAnsi="Times New Roman"/>
          <w:sz w:val="24"/>
          <w:szCs w:val="24"/>
          <w:lang w:val="sr-Cyrl-CS"/>
        </w:rPr>
      </w:pPr>
    </w:p>
    <w:p w:rsidR="00EB29B8" w:rsidRDefault="0065459F" w:rsidP="001C11E0">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Корупција</w:t>
      </w:r>
      <w:r w:rsidRPr="0065459F">
        <w:rPr>
          <w:rFonts w:ascii="Times New Roman" w:hAnsi="Times New Roman"/>
          <w:sz w:val="24"/>
          <w:szCs w:val="24"/>
          <w:lang w:val="sr-Cyrl-CS"/>
        </w:rPr>
        <w:t xml:space="preserve"> </w:t>
      </w:r>
      <w:r>
        <w:rPr>
          <w:rFonts w:ascii="Times New Roman" w:hAnsi="Times New Roman"/>
          <w:sz w:val="24"/>
          <w:szCs w:val="24"/>
          <w:lang w:val="sr-Cyrl-CS"/>
        </w:rPr>
        <w:t>у криминолошком смислу представља део корпорацијског криминала јер обухвата планирање незаконитости од стране пословних људи чији је циљ увећање профит. Корупција је заправо један од начина за увећање профита и акумулирње капитала од стране корпорација и она се, у ствари, манифестује у противправном понашању одређених службених и одговорних лица која врше државне и јавне послове у институцијама којима су такви послови поверени. На тај начин корупција представља фактор узурпације власти, најчешће, тзв. дискреционих овлашћења.</w:t>
      </w:r>
      <w:r>
        <w:rPr>
          <w:rStyle w:val="FootnoteReference"/>
          <w:rFonts w:ascii="Times New Roman" w:hAnsi="Times New Roman"/>
          <w:sz w:val="24"/>
          <w:szCs w:val="24"/>
          <w:lang w:val="sr-Cyrl-CS"/>
        </w:rPr>
        <w:footnoteReference w:id="684"/>
      </w:r>
    </w:p>
    <w:p w:rsidR="001C11E0" w:rsidRPr="001C11E0" w:rsidRDefault="001C11E0" w:rsidP="001C11E0">
      <w:pPr>
        <w:pStyle w:val="ListParagraph"/>
        <w:ind w:left="0" w:firstLine="630"/>
        <w:jc w:val="both"/>
        <w:rPr>
          <w:rFonts w:ascii="Times New Roman" w:hAnsi="Times New Roman"/>
          <w:sz w:val="24"/>
          <w:szCs w:val="24"/>
          <w:lang w:val="sr-Cyrl-CS"/>
        </w:rPr>
      </w:pPr>
    </w:p>
    <w:p w:rsidR="00147993" w:rsidRDefault="00EB29B8" w:rsidP="00376B60">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 xml:space="preserve">Ипак, чини нам се да је најсадржајнија дефинија корупције она коју је дао </w:t>
      </w:r>
      <w:r w:rsidRPr="009B04B5">
        <w:rPr>
          <w:rFonts w:ascii="Times New Roman" w:hAnsi="Times New Roman"/>
          <w:sz w:val="24"/>
          <w:szCs w:val="24"/>
          <w:lang w:val="sr-Cyrl-CS"/>
        </w:rPr>
        <w:t>Vito Tanci</w:t>
      </w:r>
      <w:r>
        <w:rPr>
          <w:rFonts w:ascii="Times New Roman" w:hAnsi="Times New Roman"/>
          <w:b/>
          <w:sz w:val="24"/>
          <w:szCs w:val="24"/>
          <w:lang w:val="sr-Cyrl-CS"/>
        </w:rPr>
        <w:t xml:space="preserve">, </w:t>
      </w:r>
      <w:r w:rsidRPr="000A5169">
        <w:rPr>
          <w:rFonts w:ascii="Times New Roman" w:hAnsi="Times New Roman"/>
          <w:sz w:val="24"/>
          <w:szCs w:val="24"/>
          <w:lang w:val="sr-Cyrl-CS"/>
        </w:rPr>
        <w:t>а која</w:t>
      </w:r>
      <w:r>
        <w:rPr>
          <w:rFonts w:ascii="Times New Roman" w:hAnsi="Times New Roman"/>
          <w:sz w:val="24"/>
          <w:szCs w:val="24"/>
          <w:lang w:val="sr-Cyrl-CS"/>
        </w:rPr>
        <w:t xml:space="preserve"> је уједно и најчешће цитирана,</w:t>
      </w:r>
      <w:r w:rsidRPr="000A5169">
        <w:rPr>
          <w:rFonts w:ascii="Times New Roman" w:hAnsi="Times New Roman"/>
          <w:sz w:val="24"/>
          <w:szCs w:val="24"/>
          <w:lang w:val="sr-Cyrl-CS"/>
        </w:rPr>
        <w:t xml:space="preserve"> </w:t>
      </w:r>
      <w:r>
        <w:rPr>
          <w:rFonts w:ascii="Times New Roman" w:hAnsi="Times New Roman"/>
          <w:sz w:val="24"/>
          <w:szCs w:val="24"/>
          <w:lang w:val="sr-Cyrl-CS"/>
        </w:rPr>
        <w:t xml:space="preserve"> према којој се под корупцијом подразумева „тржишна (пословна) трансакција у којој, због нарушавања принципа непристрасности, долази до изражаја незаконито коришћење друштвеног положаја и моћи, ради личне, породичне или групне материјалне или нематеријалне користи.“</w:t>
      </w:r>
      <w:r>
        <w:rPr>
          <w:rStyle w:val="FootnoteReference"/>
          <w:rFonts w:ascii="Times New Roman" w:hAnsi="Times New Roman"/>
          <w:sz w:val="24"/>
          <w:szCs w:val="24"/>
          <w:lang w:val="sr-Cyrl-CS"/>
        </w:rPr>
        <w:footnoteReference w:id="685"/>
      </w:r>
    </w:p>
    <w:p w:rsidR="00376B60" w:rsidRPr="00376B60" w:rsidRDefault="00376B60" w:rsidP="00376B60">
      <w:pPr>
        <w:pStyle w:val="ListParagraph"/>
        <w:ind w:left="0" w:firstLine="630"/>
        <w:jc w:val="both"/>
        <w:rPr>
          <w:rFonts w:ascii="Times New Roman" w:hAnsi="Times New Roman"/>
          <w:sz w:val="24"/>
          <w:szCs w:val="24"/>
          <w:lang w:val="sr-Cyrl-CS"/>
        </w:rPr>
      </w:pPr>
    </w:p>
    <w:p w:rsidR="00147993" w:rsidRDefault="00B5246C" w:rsidP="001304ED">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Посматрано у ужем смислу п</w:t>
      </w:r>
      <w:r w:rsidR="00147993">
        <w:rPr>
          <w:rFonts w:ascii="Times New Roman" w:hAnsi="Times New Roman"/>
          <w:sz w:val="24"/>
          <w:szCs w:val="24"/>
          <w:lang w:val="sr-Cyrl-CS"/>
        </w:rPr>
        <w:t>ореска корупција</w:t>
      </w:r>
      <w:r w:rsidR="003A1957">
        <w:rPr>
          <w:rFonts w:ascii="Times New Roman" w:hAnsi="Times New Roman"/>
          <w:sz w:val="24"/>
          <w:szCs w:val="24"/>
          <w:lang w:val="sr-Cyrl-CS"/>
        </w:rPr>
        <w:t xml:space="preserve"> би се могла</w:t>
      </w:r>
      <w:r w:rsidR="00147993">
        <w:rPr>
          <w:rFonts w:ascii="Times New Roman" w:hAnsi="Times New Roman"/>
          <w:sz w:val="24"/>
          <w:szCs w:val="24"/>
          <w:lang w:val="sr-Cyrl-CS"/>
        </w:rPr>
        <w:t xml:space="preserve"> дефинисати као</w:t>
      </w:r>
      <w:r w:rsidR="00C169F7">
        <w:rPr>
          <w:rFonts w:ascii="Times New Roman" w:hAnsi="Times New Roman"/>
          <w:sz w:val="24"/>
          <w:szCs w:val="24"/>
          <w:lang w:val="sr-Cyrl-CS"/>
        </w:rPr>
        <w:t xml:space="preserve"> </w:t>
      </w:r>
      <w:r>
        <w:rPr>
          <w:rFonts w:ascii="Times New Roman" w:hAnsi="Times New Roman"/>
          <w:sz w:val="24"/>
          <w:szCs w:val="24"/>
          <w:lang w:val="sr-Cyrl-CS"/>
        </w:rPr>
        <w:t>„</w:t>
      </w:r>
      <w:r w:rsidR="00C169F7">
        <w:rPr>
          <w:rFonts w:ascii="Times New Roman" w:hAnsi="Times New Roman"/>
          <w:sz w:val="24"/>
          <w:szCs w:val="24"/>
          <w:lang w:val="sr-Cyrl-CS"/>
        </w:rPr>
        <w:t xml:space="preserve">злоупотреба службених овлашћења за остварење личних користи, у вези са пружањем услуга пореским обвезницима и наплатом пореза, односно још шире, у вези са применом пореских закона од стране пореских органа. Мито, који </w:t>
      </w:r>
      <w:r w:rsidR="003A1957">
        <w:rPr>
          <w:rFonts w:ascii="Times New Roman" w:hAnsi="Times New Roman"/>
          <w:sz w:val="24"/>
          <w:szCs w:val="24"/>
          <w:lang w:val="sr-Cyrl-CS"/>
        </w:rPr>
        <w:t>се налази</w:t>
      </w:r>
      <w:r w:rsidR="00C169F7">
        <w:rPr>
          <w:rFonts w:ascii="Times New Roman" w:hAnsi="Times New Roman"/>
          <w:sz w:val="24"/>
          <w:szCs w:val="24"/>
          <w:lang w:val="sr-Cyrl-CS"/>
        </w:rPr>
        <w:t xml:space="preserve"> у основи корупције, </w:t>
      </w:r>
      <w:r w:rsidR="003A1957">
        <w:rPr>
          <w:rFonts w:ascii="Times New Roman" w:hAnsi="Times New Roman"/>
          <w:sz w:val="24"/>
          <w:szCs w:val="24"/>
          <w:lang w:val="sr-Cyrl-CS"/>
        </w:rPr>
        <w:t>би се могао дефинисати као</w:t>
      </w:r>
      <w:r w:rsidR="00C169F7">
        <w:rPr>
          <w:rFonts w:ascii="Times New Roman" w:hAnsi="Times New Roman"/>
          <w:sz w:val="24"/>
          <w:szCs w:val="24"/>
          <w:lang w:val="sr-Cyrl-CS"/>
        </w:rPr>
        <w:t xml:space="preserve"> реципроцитет користи између пореског службеника и пореског обвезника.</w:t>
      </w:r>
      <w:r>
        <w:rPr>
          <w:rFonts w:ascii="Times New Roman" w:hAnsi="Times New Roman"/>
          <w:sz w:val="24"/>
          <w:szCs w:val="24"/>
          <w:lang w:val="sr-Cyrl-CS"/>
        </w:rPr>
        <w:t>“</w:t>
      </w:r>
      <w:r w:rsidR="00C169F7">
        <w:rPr>
          <w:rStyle w:val="FootnoteReference"/>
          <w:rFonts w:ascii="Times New Roman" w:hAnsi="Times New Roman"/>
          <w:sz w:val="24"/>
          <w:szCs w:val="24"/>
          <w:lang w:val="sr-Cyrl-CS"/>
        </w:rPr>
        <w:footnoteReference w:id="686"/>
      </w:r>
      <w:r>
        <w:rPr>
          <w:rFonts w:ascii="Times New Roman" w:hAnsi="Times New Roman"/>
          <w:sz w:val="24"/>
          <w:szCs w:val="24"/>
          <w:lang w:val="sr-Cyrl-CS"/>
        </w:rPr>
        <w:t xml:space="preserve"> </w:t>
      </w:r>
    </w:p>
    <w:p w:rsidR="00B5246C" w:rsidRDefault="00B5246C" w:rsidP="001304ED">
      <w:pPr>
        <w:pStyle w:val="ListParagraph"/>
        <w:ind w:left="0" w:firstLine="630"/>
        <w:jc w:val="both"/>
        <w:rPr>
          <w:rFonts w:ascii="Times New Roman" w:hAnsi="Times New Roman"/>
          <w:sz w:val="24"/>
          <w:szCs w:val="24"/>
          <w:lang w:val="sr-Cyrl-CS"/>
        </w:rPr>
      </w:pPr>
    </w:p>
    <w:p w:rsidR="00B5246C" w:rsidRDefault="00B5246C" w:rsidP="001304ED">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 xml:space="preserve">Према томе, пореска корупција је таква тржишна (пословна) трансакција у којој се на страни тражње налазе порески обвезници, а на страни понуде пореска администрација, при којој су порески службеници спремни да пруже пореском обвезнику одређене услуге по одређеној цени. </w:t>
      </w:r>
      <w:r w:rsidR="004D2E54">
        <w:rPr>
          <w:rFonts w:ascii="Times New Roman" w:hAnsi="Times New Roman"/>
          <w:sz w:val="24"/>
          <w:szCs w:val="24"/>
          <w:lang w:val="sr-Cyrl-CS"/>
        </w:rPr>
        <w:t xml:space="preserve">Мито представља цену коју порески обвезник плаћа за корист на коју по закону не би имао </w:t>
      </w:r>
      <w:r w:rsidR="00FC08C5">
        <w:rPr>
          <w:rFonts w:ascii="Times New Roman" w:hAnsi="Times New Roman"/>
          <w:sz w:val="24"/>
          <w:szCs w:val="24"/>
          <w:lang w:val="sr-Cyrl-CS"/>
        </w:rPr>
        <w:t>пр</w:t>
      </w:r>
      <w:r w:rsidR="004D2E54">
        <w:rPr>
          <w:rFonts w:ascii="Times New Roman" w:hAnsi="Times New Roman"/>
          <w:sz w:val="24"/>
          <w:szCs w:val="24"/>
          <w:lang w:val="sr-Cyrl-CS"/>
        </w:rPr>
        <w:t xml:space="preserve">аво. </w:t>
      </w:r>
      <w:r>
        <w:rPr>
          <w:rFonts w:ascii="Times New Roman" w:hAnsi="Times New Roman"/>
          <w:sz w:val="24"/>
          <w:szCs w:val="24"/>
          <w:lang w:val="sr-Cyrl-CS"/>
        </w:rPr>
        <w:t xml:space="preserve">Таква трансакција има за </w:t>
      </w:r>
      <w:r>
        <w:rPr>
          <w:rFonts w:ascii="Times New Roman" w:hAnsi="Times New Roman"/>
          <w:sz w:val="24"/>
          <w:szCs w:val="24"/>
          <w:lang w:val="sr-Cyrl-CS"/>
        </w:rPr>
        <w:lastRenderedPageBreak/>
        <w:t>предмет две врсте услуга и то: а) не пријављивање пореске евазије (као на пример одлагање пореске контроле како би порески обвезник имао времена да уклони неправилности, не откривање непријављеног дохотка или имовине што је утврђено приликом провере и сл.) и б) привилегован третман пореског обвезника прилико</w:t>
      </w:r>
      <w:r w:rsidR="00EB307C">
        <w:rPr>
          <w:rFonts w:ascii="Times New Roman" w:hAnsi="Times New Roman"/>
          <w:sz w:val="24"/>
          <w:szCs w:val="24"/>
          <w:lang w:val="sr-Cyrl-CS"/>
        </w:rPr>
        <w:t>м пружања одређених услуга (</w:t>
      </w:r>
      <w:r>
        <w:rPr>
          <w:rFonts w:ascii="Times New Roman" w:hAnsi="Times New Roman"/>
          <w:sz w:val="24"/>
          <w:szCs w:val="24"/>
          <w:lang w:val="sr-Cyrl-CS"/>
        </w:rPr>
        <w:t xml:space="preserve">на пример </w:t>
      </w:r>
      <w:r w:rsidR="00EB307C">
        <w:rPr>
          <w:rFonts w:ascii="Times New Roman" w:hAnsi="Times New Roman"/>
          <w:sz w:val="24"/>
          <w:szCs w:val="24"/>
          <w:lang w:val="sr-Cyrl-CS"/>
        </w:rPr>
        <w:t>брже решавање мимо уобичајеног реда или одлагање предузимања одређених уравних радњи у корист пореског обвезника као што је каснија обрада годишње пореске пријаве за порез на доходак грађана и касније достављање решења).</w:t>
      </w:r>
      <w:r w:rsidR="00FC08C5">
        <w:rPr>
          <w:rStyle w:val="FootnoteReference"/>
          <w:rFonts w:ascii="Times New Roman" w:hAnsi="Times New Roman"/>
          <w:sz w:val="24"/>
          <w:szCs w:val="24"/>
          <w:lang w:val="sr-Cyrl-CS"/>
        </w:rPr>
        <w:footnoteReference w:id="687"/>
      </w:r>
    </w:p>
    <w:p w:rsidR="001304ED" w:rsidRPr="001304ED" w:rsidRDefault="001304ED" w:rsidP="001304ED">
      <w:pPr>
        <w:pStyle w:val="ListParagraph"/>
        <w:ind w:left="0" w:firstLine="630"/>
        <w:jc w:val="both"/>
        <w:rPr>
          <w:rFonts w:ascii="Times New Roman" w:hAnsi="Times New Roman"/>
          <w:sz w:val="24"/>
          <w:szCs w:val="24"/>
          <w:lang w:val="sr-Cyrl-CS"/>
        </w:rPr>
      </w:pPr>
    </w:p>
    <w:p w:rsidR="00636BB5" w:rsidRPr="001304ED" w:rsidRDefault="00636BB5" w:rsidP="001E271B">
      <w:pPr>
        <w:pStyle w:val="ListParagraph"/>
        <w:ind w:left="0" w:firstLine="630"/>
        <w:jc w:val="both"/>
        <w:rPr>
          <w:rFonts w:ascii="Times New Roman" w:hAnsi="Times New Roman"/>
          <w:color w:val="000000"/>
          <w:sz w:val="24"/>
          <w:szCs w:val="24"/>
          <w:shd w:val="clear" w:color="auto" w:fill="FFFFFF"/>
          <w:lang w:val="sr-Cyrl-CS"/>
        </w:rPr>
      </w:pPr>
      <w:r>
        <w:rPr>
          <w:rFonts w:ascii="Times New Roman" w:hAnsi="Times New Roman"/>
          <w:sz w:val="24"/>
          <w:szCs w:val="24"/>
          <w:lang w:val="sr-Cyrl-CS"/>
        </w:rPr>
        <w:t xml:space="preserve">У периоду од 2001. до 2006. године у Кривичном закону се била прописана кривична дела под заједничким називом као „кривична дела против корупције“, али није постојала законска дефиниција овог појма. При том, ова дела су се у пракси ретко </w:t>
      </w:r>
      <w:r w:rsidR="00EF251E">
        <w:rPr>
          <w:rFonts w:ascii="Times New Roman" w:hAnsi="Times New Roman"/>
          <w:sz w:val="24"/>
          <w:szCs w:val="24"/>
          <w:lang w:val="sr-Cyrl-CS"/>
        </w:rPr>
        <w:t xml:space="preserve">користила. </w:t>
      </w:r>
      <w:r w:rsidR="002C4D2B">
        <w:rPr>
          <w:rFonts w:ascii="Times New Roman" w:hAnsi="Times New Roman"/>
          <w:sz w:val="24"/>
          <w:szCs w:val="24"/>
          <w:lang w:val="sr-Cyrl-CS"/>
        </w:rPr>
        <w:t xml:space="preserve">У важећем Кривичном законику појам корупције се уопште не помиње. </w:t>
      </w:r>
      <w:r w:rsidR="00260696" w:rsidRPr="001304ED">
        <w:rPr>
          <w:rFonts w:ascii="Times New Roman" w:hAnsi="Times New Roman"/>
          <w:sz w:val="24"/>
          <w:szCs w:val="24"/>
          <w:lang w:val="sr-Cyrl-CS"/>
        </w:rPr>
        <w:t xml:space="preserve">Према </w:t>
      </w:r>
      <w:r w:rsidR="00645334" w:rsidRPr="001304ED">
        <w:rPr>
          <w:rFonts w:ascii="Times New Roman" w:hAnsi="Times New Roman"/>
          <w:sz w:val="24"/>
          <w:szCs w:val="24"/>
          <w:lang w:val="sr-Cyrl-CS"/>
        </w:rPr>
        <w:t>Закон</w:t>
      </w:r>
      <w:r w:rsidR="00260696" w:rsidRPr="001304ED">
        <w:rPr>
          <w:rFonts w:ascii="Times New Roman" w:hAnsi="Times New Roman"/>
          <w:sz w:val="24"/>
          <w:szCs w:val="24"/>
          <w:lang w:val="sr-Cyrl-CS"/>
        </w:rPr>
        <w:t>у</w:t>
      </w:r>
      <w:r w:rsidR="00645334" w:rsidRPr="001304ED">
        <w:rPr>
          <w:rFonts w:ascii="Times New Roman" w:hAnsi="Times New Roman"/>
          <w:sz w:val="24"/>
          <w:szCs w:val="24"/>
          <w:lang w:val="sr-Cyrl-CS"/>
        </w:rPr>
        <w:t xml:space="preserve"> о агенцији за борбу против корупције</w:t>
      </w:r>
      <w:r w:rsidR="00260696" w:rsidRPr="001304ED">
        <w:rPr>
          <w:rFonts w:ascii="Times New Roman" w:hAnsi="Times New Roman"/>
          <w:sz w:val="24"/>
          <w:szCs w:val="24"/>
          <w:lang w:val="sr-Cyrl-CS"/>
        </w:rPr>
        <w:t xml:space="preserve"> корупција је </w:t>
      </w:r>
      <w:r w:rsidR="001304ED" w:rsidRPr="001304ED">
        <w:rPr>
          <w:rFonts w:ascii="Times New Roman" w:hAnsi="Times New Roman"/>
          <w:color w:val="000000"/>
          <w:sz w:val="24"/>
          <w:szCs w:val="24"/>
          <w:shd w:val="clear" w:color="auto" w:fill="FFFFFF"/>
        </w:rPr>
        <w:t>однос</w:t>
      </w:r>
      <w:r w:rsidR="00260696"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који</w:t>
      </w:r>
      <w:r w:rsidR="00260696"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се</w:t>
      </w:r>
      <w:r w:rsidR="00260696"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заснива</w:t>
      </w:r>
      <w:r w:rsidR="00260696"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злоупотребом</w:t>
      </w:r>
      <w:r w:rsidR="00260696"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службеног</w:t>
      </w:r>
      <w:r w:rsidR="00260696"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односно</w:t>
      </w:r>
      <w:r w:rsidR="00260696"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друштвеног</w:t>
      </w:r>
      <w:r w:rsidR="00260696"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положаја</w:t>
      </w:r>
      <w:r w:rsidR="00260696"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или</w:t>
      </w:r>
      <w:r w:rsidR="00260696"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утицаја</w:t>
      </w:r>
      <w:r w:rsidR="00260696"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у</w:t>
      </w:r>
      <w:r w:rsidR="00260696"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јавном</w:t>
      </w:r>
      <w:r w:rsidR="00260696"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или</w:t>
      </w:r>
      <w:r w:rsidR="00260696"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приватном</w:t>
      </w:r>
      <w:r w:rsidR="00260696"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сектору</w:t>
      </w:r>
      <w:r w:rsidR="00260696"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у</w:t>
      </w:r>
      <w:r w:rsidR="00260696"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циљу</w:t>
      </w:r>
      <w:r w:rsidR="00260696"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стицања</w:t>
      </w:r>
      <w:r w:rsidR="00260696"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личне</w:t>
      </w:r>
      <w:r w:rsidR="00260696"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користи</w:t>
      </w:r>
      <w:r w:rsidR="00260696"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или</w:t>
      </w:r>
      <w:r w:rsidR="00260696"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користи</w:t>
      </w:r>
      <w:r w:rsidR="00260696"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за</w:t>
      </w:r>
      <w:r w:rsidR="00260696"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другога</w:t>
      </w:r>
      <w:r w:rsidR="00260696" w:rsidRPr="001304ED">
        <w:rPr>
          <w:rFonts w:ascii="Times New Roman" w:hAnsi="Times New Roman"/>
          <w:color w:val="000000"/>
          <w:sz w:val="24"/>
          <w:szCs w:val="24"/>
          <w:shd w:val="clear" w:color="auto" w:fill="FFFFFF"/>
          <w:lang w:val="sr-Cyrl-CS"/>
        </w:rPr>
        <w:t>.</w:t>
      </w:r>
      <w:r w:rsidR="00260696" w:rsidRPr="001304ED">
        <w:rPr>
          <w:rStyle w:val="FootnoteReference"/>
          <w:rFonts w:ascii="Times New Roman" w:hAnsi="Times New Roman"/>
          <w:color w:val="000000"/>
          <w:sz w:val="24"/>
          <w:szCs w:val="24"/>
          <w:shd w:val="clear" w:color="auto" w:fill="FFFFFF"/>
        </w:rPr>
        <w:footnoteReference w:id="688"/>
      </w:r>
      <w:r w:rsidR="00260696" w:rsidRPr="001304ED">
        <w:rPr>
          <w:rFonts w:ascii="Times New Roman" w:hAnsi="Times New Roman"/>
          <w:color w:val="000000"/>
          <w:sz w:val="24"/>
          <w:szCs w:val="24"/>
          <w:shd w:val="clear" w:color="auto" w:fill="FFFFFF"/>
          <w:lang w:val="sr-Cyrl-CS"/>
        </w:rPr>
        <w:t xml:space="preserve"> </w:t>
      </w:r>
      <w:r w:rsidR="001304ED" w:rsidRPr="001304ED">
        <w:rPr>
          <w:rFonts w:ascii="Times New Roman" w:hAnsi="Times New Roman"/>
          <w:color w:val="000000"/>
          <w:sz w:val="24"/>
          <w:szCs w:val="24"/>
          <w:shd w:val="clear" w:color="auto" w:fill="FFFFFF"/>
        </w:rPr>
        <w:t>Овај</w:t>
      </w:r>
      <w:r w:rsidR="00260696"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концепт</w:t>
      </w:r>
      <w:r w:rsidR="00260696"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се</w:t>
      </w:r>
      <w:r w:rsidR="00260696"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користи</w:t>
      </w:r>
      <w:r w:rsidR="00260696"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у</w:t>
      </w:r>
      <w:r w:rsidR="00260696"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Глобалном</w:t>
      </w:r>
      <w:r w:rsidR="00260696"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програму</w:t>
      </w:r>
      <w:r w:rsidR="00260696"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Уједињених</w:t>
      </w:r>
      <w:r w:rsidR="00260696"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нација</w:t>
      </w:r>
      <w:r w:rsidR="00260696"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против</w:t>
      </w:r>
      <w:r w:rsidR="00260696"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корупције</w:t>
      </w:r>
      <w:r w:rsidR="00260696"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који</w:t>
      </w:r>
      <w:r w:rsidR="00260696"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је</w:t>
      </w:r>
      <w:r w:rsidR="00260696"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прихваћен</w:t>
      </w:r>
      <w:r w:rsidR="00260696"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и</w:t>
      </w:r>
      <w:r w:rsidR="00260696"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у</w:t>
      </w:r>
      <w:r w:rsidR="00260696"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пракси</w:t>
      </w:r>
      <w:r w:rsidR="00260696"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Европске</w:t>
      </w:r>
      <w:r w:rsidR="009B04B5"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уније</w:t>
      </w:r>
      <w:r w:rsidR="00260696" w:rsidRPr="001304ED">
        <w:rPr>
          <w:rFonts w:ascii="Times New Roman" w:hAnsi="Times New Roman"/>
          <w:color w:val="000000"/>
          <w:sz w:val="24"/>
          <w:szCs w:val="24"/>
          <w:shd w:val="clear" w:color="auto" w:fill="FFFFFF"/>
        </w:rPr>
        <w:t xml:space="preserve">. </w:t>
      </w:r>
      <w:r w:rsidRPr="001304ED">
        <w:rPr>
          <w:rFonts w:ascii="Times New Roman" w:hAnsi="Times New Roman"/>
          <w:color w:val="000000"/>
          <w:sz w:val="24"/>
          <w:szCs w:val="24"/>
          <w:shd w:val="clear" w:color="auto" w:fill="FFFFFF"/>
          <w:lang w:val="sr-Cyrl-CS"/>
        </w:rPr>
        <w:t xml:space="preserve">Према оваквој дефиницији потребно је </w:t>
      </w:r>
      <w:r w:rsidR="00B66520" w:rsidRPr="001304ED">
        <w:rPr>
          <w:rFonts w:ascii="Times New Roman" w:hAnsi="Times New Roman"/>
          <w:color w:val="000000"/>
          <w:sz w:val="24"/>
          <w:szCs w:val="24"/>
          <w:shd w:val="clear" w:color="auto" w:fill="FFFFFF"/>
          <w:lang w:val="sr-Cyrl-CS"/>
        </w:rPr>
        <w:t>не само да</w:t>
      </w:r>
      <w:r w:rsidRPr="001304ED">
        <w:rPr>
          <w:rFonts w:ascii="Times New Roman" w:hAnsi="Times New Roman"/>
          <w:color w:val="000000"/>
          <w:sz w:val="24"/>
          <w:szCs w:val="24"/>
          <w:shd w:val="clear" w:color="auto" w:fill="FFFFFF"/>
          <w:lang w:val="sr-Cyrl-CS"/>
        </w:rPr>
        <w:t xml:space="preserve"> до злоупотребе дође, </w:t>
      </w:r>
      <w:r w:rsidR="00B66520" w:rsidRPr="001304ED">
        <w:rPr>
          <w:rFonts w:ascii="Times New Roman" w:hAnsi="Times New Roman"/>
          <w:color w:val="000000"/>
          <w:sz w:val="24"/>
          <w:szCs w:val="24"/>
          <w:shd w:val="clear" w:color="auto" w:fill="FFFFFF"/>
          <w:lang w:val="sr-Cyrl-CS"/>
        </w:rPr>
        <w:t>већ се о овој појави може радити и када се злоупотребљава фактичка могућност да се утиче на доношење одлука, па извршилац корупције не мора бити само лице које поседује овлашћења везано за с</w:t>
      </w:r>
      <w:r w:rsidR="001304ED" w:rsidRPr="001304ED">
        <w:rPr>
          <w:rFonts w:ascii="Times New Roman" w:hAnsi="Times New Roman"/>
          <w:color w:val="000000"/>
          <w:sz w:val="24"/>
          <w:szCs w:val="24"/>
          <w:shd w:val="clear" w:color="auto" w:fill="FFFFFF"/>
          <w:lang w:val="sr-Cyrl-CS"/>
        </w:rPr>
        <w:t>в</w:t>
      </w:r>
      <w:r w:rsidR="00B66520" w:rsidRPr="001304ED">
        <w:rPr>
          <w:rFonts w:ascii="Times New Roman" w:hAnsi="Times New Roman"/>
          <w:color w:val="000000"/>
          <w:sz w:val="24"/>
          <w:szCs w:val="24"/>
          <w:shd w:val="clear" w:color="auto" w:fill="FFFFFF"/>
          <w:lang w:val="sr-Cyrl-CS"/>
        </w:rPr>
        <w:t>ој службени положај, него и друштени положај и  утицај.</w:t>
      </w:r>
      <w:r w:rsidR="005B1BB7" w:rsidRPr="001304ED">
        <w:rPr>
          <w:rFonts w:ascii="Times New Roman" w:hAnsi="Times New Roman"/>
          <w:color w:val="000000"/>
          <w:sz w:val="24"/>
          <w:szCs w:val="24"/>
          <w:shd w:val="clear" w:color="auto" w:fill="FFFFFF"/>
          <w:lang w:val="sr-Cyrl-CS"/>
        </w:rPr>
        <w:t xml:space="preserve"> Сматрамо да корупцију не треба ограничавати само на јвани сектор, односно свести је на злоупотребе јавних функција и овлашћења од стр</w:t>
      </w:r>
      <w:r w:rsidR="00AC01BB" w:rsidRPr="001304ED">
        <w:rPr>
          <w:rFonts w:ascii="Times New Roman" w:hAnsi="Times New Roman"/>
          <w:color w:val="000000"/>
          <w:sz w:val="24"/>
          <w:szCs w:val="24"/>
          <w:shd w:val="clear" w:color="auto" w:fill="FFFFFF"/>
          <w:lang w:val="sr-Cyrl-CS"/>
        </w:rPr>
        <w:t xml:space="preserve">ане службеника у јавном сектору, већ да треба да обухвати и коруптивно понашање у приватном сектору, као у датој дефиницији. </w:t>
      </w:r>
    </w:p>
    <w:p w:rsidR="00B66520" w:rsidRPr="001304ED" w:rsidRDefault="00B66520" w:rsidP="001E271B">
      <w:pPr>
        <w:pStyle w:val="ListParagraph"/>
        <w:ind w:left="0" w:firstLine="630"/>
        <w:jc w:val="both"/>
        <w:rPr>
          <w:rFonts w:ascii="Times New Roman" w:hAnsi="Times New Roman"/>
          <w:color w:val="000000"/>
          <w:sz w:val="24"/>
          <w:szCs w:val="24"/>
          <w:shd w:val="clear" w:color="auto" w:fill="FFFFFF"/>
          <w:lang w:val="sr-Cyrl-CS"/>
        </w:rPr>
      </w:pPr>
    </w:p>
    <w:p w:rsidR="00E83410" w:rsidRPr="00AB25E9" w:rsidRDefault="00B66520" w:rsidP="00AB25E9">
      <w:pPr>
        <w:pStyle w:val="ListParagraph"/>
        <w:ind w:left="0" w:firstLine="630"/>
        <w:jc w:val="both"/>
        <w:rPr>
          <w:rFonts w:ascii="Times New Roman" w:hAnsi="Times New Roman"/>
          <w:color w:val="000000"/>
          <w:sz w:val="24"/>
          <w:szCs w:val="24"/>
          <w:shd w:val="clear" w:color="auto" w:fill="FFFFFF"/>
          <w:lang w:val="sr-Cyrl-CS"/>
        </w:rPr>
      </w:pPr>
      <w:r w:rsidRPr="001304ED">
        <w:rPr>
          <w:rFonts w:ascii="Times New Roman" w:hAnsi="Times New Roman"/>
          <w:color w:val="000000"/>
          <w:sz w:val="24"/>
          <w:szCs w:val="24"/>
          <w:shd w:val="clear" w:color="auto" w:fill="FFFFFF"/>
          <w:lang w:val="sr-Cyrl-CS"/>
        </w:rPr>
        <w:t>Оваква дефиниција је преуз</w:t>
      </w:r>
      <w:r w:rsidR="001304ED">
        <w:rPr>
          <w:rFonts w:ascii="Times New Roman" w:hAnsi="Times New Roman"/>
          <w:color w:val="000000"/>
          <w:sz w:val="24"/>
          <w:szCs w:val="24"/>
          <w:shd w:val="clear" w:color="auto" w:fill="FFFFFF"/>
          <w:lang w:val="sr-Cyrl-CS"/>
        </w:rPr>
        <w:t>ета у</w:t>
      </w:r>
      <w:r w:rsidR="00636BB5" w:rsidRPr="001304ED">
        <w:rPr>
          <w:rFonts w:ascii="Times New Roman" w:hAnsi="Times New Roman"/>
          <w:color w:val="000000"/>
          <w:sz w:val="24"/>
          <w:szCs w:val="24"/>
          <w:shd w:val="clear" w:color="auto" w:fill="FFFFFF"/>
          <w:lang w:val="sr-Cyrl-CS"/>
        </w:rPr>
        <w:t xml:space="preserve"> Националној стратегији за борбу против корупције у Репуб</w:t>
      </w:r>
      <w:r w:rsidR="001304ED">
        <w:rPr>
          <w:rFonts w:ascii="Times New Roman" w:hAnsi="Times New Roman"/>
          <w:color w:val="000000"/>
          <w:sz w:val="24"/>
          <w:szCs w:val="24"/>
          <w:shd w:val="clear" w:color="auto" w:fill="FFFFFF"/>
          <w:lang w:val="sr-Cyrl-CS"/>
        </w:rPr>
        <w:t>лици Србији за период од 2013. д</w:t>
      </w:r>
      <w:r w:rsidR="00636BB5" w:rsidRPr="001304ED">
        <w:rPr>
          <w:rFonts w:ascii="Times New Roman" w:hAnsi="Times New Roman"/>
          <w:color w:val="000000"/>
          <w:sz w:val="24"/>
          <w:szCs w:val="24"/>
          <w:shd w:val="clear" w:color="auto" w:fill="FFFFFF"/>
          <w:lang w:val="sr-Cyrl-CS"/>
        </w:rPr>
        <w:t xml:space="preserve">о 2018. </w:t>
      </w:r>
      <w:r w:rsidRPr="001304ED">
        <w:rPr>
          <w:rFonts w:ascii="Times New Roman" w:hAnsi="Times New Roman"/>
          <w:color w:val="000000"/>
          <w:sz w:val="24"/>
          <w:szCs w:val="24"/>
          <w:shd w:val="clear" w:color="auto" w:fill="FFFFFF"/>
          <w:lang w:val="sr-Cyrl-CS"/>
        </w:rPr>
        <w:t>г</w:t>
      </w:r>
      <w:r w:rsidR="00636BB5" w:rsidRPr="001304ED">
        <w:rPr>
          <w:rFonts w:ascii="Times New Roman" w:hAnsi="Times New Roman"/>
          <w:color w:val="000000"/>
          <w:sz w:val="24"/>
          <w:szCs w:val="24"/>
          <w:shd w:val="clear" w:color="auto" w:fill="FFFFFF"/>
          <w:lang w:val="sr-Cyrl-CS"/>
        </w:rPr>
        <w:t xml:space="preserve">одине </w:t>
      </w:r>
      <w:r w:rsidR="001304ED">
        <w:rPr>
          <w:rFonts w:ascii="Times New Roman" w:hAnsi="Times New Roman"/>
          <w:color w:val="000000"/>
          <w:sz w:val="24"/>
          <w:szCs w:val="24"/>
          <w:shd w:val="clear" w:color="auto" w:fill="FFFFFF"/>
          <w:lang w:val="sr-Cyrl-CS"/>
        </w:rPr>
        <w:t xml:space="preserve">где се </w:t>
      </w:r>
      <w:r w:rsidR="00636BB5" w:rsidRPr="001304ED">
        <w:rPr>
          <w:rFonts w:ascii="Times New Roman" w:hAnsi="Times New Roman"/>
          <w:color w:val="000000"/>
          <w:sz w:val="24"/>
          <w:szCs w:val="24"/>
          <w:shd w:val="clear" w:color="auto" w:fill="FFFFFF"/>
          <w:lang w:val="sr-Cyrl-CS"/>
        </w:rPr>
        <w:t xml:space="preserve">корупција </w:t>
      </w:r>
      <w:r w:rsidR="001304ED" w:rsidRPr="001304ED">
        <w:rPr>
          <w:rFonts w:ascii="Times New Roman" w:hAnsi="Times New Roman"/>
          <w:color w:val="000000"/>
          <w:sz w:val="24"/>
          <w:szCs w:val="24"/>
          <w:shd w:val="clear" w:color="auto" w:fill="FFFFFF"/>
        </w:rPr>
        <w:t>одређује</w:t>
      </w:r>
      <w:r w:rsidR="00636BB5"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као</w:t>
      </w:r>
      <w:r w:rsidR="00636BB5"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однос</w:t>
      </w:r>
      <w:r w:rsidR="00636BB5"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који</w:t>
      </w:r>
      <w:r w:rsidR="00636BB5"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се</w:t>
      </w:r>
      <w:r w:rsidR="00636BB5"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заснива</w:t>
      </w:r>
      <w:r w:rsidR="00636BB5"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злоупотребом</w:t>
      </w:r>
      <w:r w:rsidR="00636BB5"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службеног</w:t>
      </w:r>
      <w:r w:rsidR="00636BB5"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односно</w:t>
      </w:r>
      <w:r w:rsidR="00636BB5"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друштвеног</w:t>
      </w:r>
      <w:r w:rsidR="00636BB5"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положаја</w:t>
      </w:r>
      <w:r w:rsidR="00636BB5"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или</w:t>
      </w:r>
      <w:r w:rsidR="00636BB5"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утицаја</w:t>
      </w:r>
      <w:r w:rsidR="00636BB5"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у</w:t>
      </w:r>
      <w:r w:rsidR="00636BB5"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јавном</w:t>
      </w:r>
      <w:r w:rsidR="00636BB5"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или</w:t>
      </w:r>
      <w:r w:rsidR="00636BB5"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приватном</w:t>
      </w:r>
      <w:r w:rsidR="00636BB5"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сектору</w:t>
      </w:r>
      <w:r w:rsidR="00636BB5"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у</w:t>
      </w:r>
      <w:r w:rsidR="00636BB5"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циљу</w:t>
      </w:r>
      <w:r w:rsidR="00636BB5"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стицања</w:t>
      </w:r>
      <w:r w:rsidR="00636BB5"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личне</w:t>
      </w:r>
      <w:r w:rsidR="00636BB5"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користи</w:t>
      </w:r>
      <w:r w:rsidR="00636BB5"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или</w:t>
      </w:r>
      <w:r w:rsidR="00636BB5"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користи</w:t>
      </w:r>
      <w:r w:rsidR="00636BB5"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за</w:t>
      </w:r>
      <w:r w:rsidR="00636BB5" w:rsidRPr="001304ED">
        <w:rPr>
          <w:rFonts w:ascii="Times New Roman" w:hAnsi="Times New Roman"/>
          <w:color w:val="000000"/>
          <w:sz w:val="24"/>
          <w:szCs w:val="24"/>
          <w:shd w:val="clear" w:color="auto" w:fill="FFFFFF"/>
        </w:rPr>
        <w:t xml:space="preserve"> </w:t>
      </w:r>
      <w:r w:rsidR="001304ED" w:rsidRPr="001304ED">
        <w:rPr>
          <w:rFonts w:ascii="Times New Roman" w:hAnsi="Times New Roman"/>
          <w:color w:val="000000"/>
          <w:sz w:val="24"/>
          <w:szCs w:val="24"/>
          <w:shd w:val="clear" w:color="auto" w:fill="FFFFFF"/>
        </w:rPr>
        <w:t>другога</w:t>
      </w:r>
      <w:r w:rsidRPr="001304ED">
        <w:rPr>
          <w:rFonts w:ascii="Times New Roman" w:hAnsi="Times New Roman"/>
          <w:color w:val="000000"/>
          <w:sz w:val="24"/>
          <w:szCs w:val="24"/>
          <w:shd w:val="clear" w:color="auto" w:fill="FFFFFF"/>
          <w:lang w:val="sr-Cyrl-CS"/>
        </w:rPr>
        <w:t xml:space="preserve">. </w:t>
      </w:r>
    </w:p>
    <w:p w:rsidR="00E83410" w:rsidRPr="00E83410" w:rsidRDefault="00E83410" w:rsidP="00AB25E9">
      <w:pPr>
        <w:ind w:firstLine="360"/>
        <w:jc w:val="both"/>
        <w:rPr>
          <w:rFonts w:ascii="Times New Roman" w:hAnsi="Times New Roman"/>
          <w:sz w:val="24"/>
          <w:szCs w:val="24"/>
          <w:lang w:val="sr-Cyrl-CS"/>
        </w:rPr>
      </w:pPr>
      <w:r w:rsidRPr="00E83410">
        <w:rPr>
          <w:rFonts w:ascii="Times New Roman" w:hAnsi="Times New Roman"/>
          <w:color w:val="000000"/>
          <w:sz w:val="24"/>
          <w:szCs w:val="24"/>
          <w:shd w:val="clear" w:color="auto" w:fill="FFFFFF"/>
        </w:rPr>
        <w:t>О распрострањености овог проблема указује индекс перцепције корупције</w:t>
      </w:r>
      <w:r w:rsidRPr="00E83410">
        <w:rPr>
          <w:rStyle w:val="apple-converted-space"/>
          <w:rFonts w:ascii="Times New Roman" w:hAnsi="Times New Roman"/>
          <w:color w:val="000000"/>
          <w:sz w:val="24"/>
          <w:szCs w:val="24"/>
          <w:shd w:val="clear" w:color="auto" w:fill="FFFFFF"/>
        </w:rPr>
        <w:t> </w:t>
      </w:r>
      <w:r w:rsidRPr="00E83410">
        <w:rPr>
          <w:rFonts w:ascii="Times New Roman" w:hAnsi="Times New Roman"/>
          <w:iCs/>
          <w:color w:val="000000"/>
          <w:sz w:val="24"/>
          <w:szCs w:val="24"/>
          <w:shd w:val="clear" w:color="auto" w:fill="FFFFFF"/>
        </w:rPr>
        <w:t>Transparency International</w:t>
      </w:r>
      <w:r w:rsidRPr="00E83410">
        <w:rPr>
          <w:rFonts w:ascii="Times New Roman" w:hAnsi="Times New Roman"/>
          <w:i/>
          <w:iCs/>
          <w:color w:val="000000"/>
          <w:sz w:val="24"/>
          <w:szCs w:val="24"/>
          <w:shd w:val="clear" w:color="auto" w:fill="FFFFFF"/>
          <w:lang w:val="sr-Cyrl-CS"/>
        </w:rPr>
        <w:t xml:space="preserve"> </w:t>
      </w:r>
      <w:r w:rsidRPr="00E83410">
        <w:rPr>
          <w:rFonts w:ascii="Times New Roman" w:hAnsi="Times New Roman"/>
          <w:color w:val="000000"/>
          <w:sz w:val="24"/>
          <w:szCs w:val="24"/>
          <w:shd w:val="clear" w:color="auto" w:fill="FFFFFF"/>
        </w:rPr>
        <w:t>-а, према којем се Србија 2012. године нашла на 80. месту од 176 земаља.</w:t>
      </w:r>
      <w:r w:rsidRPr="00E83410">
        <w:rPr>
          <w:rFonts w:ascii="Times New Roman" w:hAnsi="Times New Roman"/>
          <w:color w:val="000000"/>
          <w:sz w:val="24"/>
          <w:szCs w:val="24"/>
          <w:shd w:val="clear" w:color="auto" w:fill="FFFFFF"/>
          <w:lang w:val="sr-Cyrl-CS"/>
        </w:rPr>
        <w:t xml:space="preserve"> Према дефиницији коју наводи </w:t>
      </w:r>
      <w:r w:rsidRPr="00E83410">
        <w:rPr>
          <w:rFonts w:ascii="Times New Roman" w:hAnsi="Times New Roman"/>
          <w:iCs/>
          <w:color w:val="000000"/>
          <w:sz w:val="24"/>
          <w:szCs w:val="24"/>
          <w:shd w:val="clear" w:color="auto" w:fill="FFFFFF"/>
        </w:rPr>
        <w:t>Transparency International</w:t>
      </w:r>
      <w:r w:rsidRPr="00E83410">
        <w:rPr>
          <w:rFonts w:ascii="Times New Roman" w:hAnsi="Times New Roman"/>
          <w:i/>
          <w:iCs/>
          <w:color w:val="000000"/>
          <w:sz w:val="24"/>
          <w:szCs w:val="24"/>
          <w:shd w:val="clear" w:color="auto" w:fill="FFFFFF"/>
          <w:lang w:val="sr-Cyrl-CS"/>
        </w:rPr>
        <w:t xml:space="preserve"> </w:t>
      </w:r>
      <w:r w:rsidRPr="00E83410">
        <w:rPr>
          <w:rFonts w:ascii="Times New Roman" w:hAnsi="Times New Roman"/>
          <w:iCs/>
          <w:color w:val="000000"/>
          <w:sz w:val="24"/>
          <w:szCs w:val="24"/>
          <w:shd w:val="clear" w:color="auto" w:fill="FFFFFF"/>
          <w:lang w:val="sr-Cyrl-CS"/>
        </w:rPr>
        <w:t>(2009) корупција је</w:t>
      </w:r>
      <w:r w:rsidRPr="00E83410">
        <w:rPr>
          <w:rFonts w:ascii="Times New Roman" w:hAnsi="Times New Roman"/>
          <w:i/>
          <w:iCs/>
          <w:color w:val="000000"/>
          <w:sz w:val="24"/>
          <w:szCs w:val="24"/>
          <w:shd w:val="clear" w:color="auto" w:fill="FFFFFF"/>
          <w:lang w:val="sr-Cyrl-CS"/>
        </w:rPr>
        <w:t xml:space="preserve"> </w:t>
      </w:r>
      <w:r w:rsidRPr="00E83410">
        <w:rPr>
          <w:rFonts w:ascii="Times New Roman" w:hAnsi="Times New Roman"/>
          <w:iCs/>
          <w:color w:val="000000"/>
          <w:sz w:val="24"/>
          <w:szCs w:val="24"/>
          <w:shd w:val="clear" w:color="auto" w:fill="FFFFFF"/>
          <w:lang w:val="sr-Cyrl-CS"/>
        </w:rPr>
        <w:t>злоупотреба поверене моћи у сврху остваривања приватне користи.</w:t>
      </w:r>
      <w:r>
        <w:rPr>
          <w:rStyle w:val="FootnoteReference"/>
          <w:rFonts w:ascii="Times New Roman" w:hAnsi="Times New Roman"/>
          <w:iCs/>
          <w:color w:val="000000"/>
          <w:sz w:val="24"/>
          <w:szCs w:val="24"/>
          <w:shd w:val="clear" w:color="auto" w:fill="FFFFFF"/>
          <w:lang w:val="sr-Cyrl-CS"/>
        </w:rPr>
        <w:footnoteReference w:id="689"/>
      </w:r>
    </w:p>
    <w:p w:rsidR="00C35C51" w:rsidRDefault="00260696" w:rsidP="001E271B">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 xml:space="preserve">На основу постојеће стручне литературе и </w:t>
      </w:r>
      <w:r w:rsidR="00C35C51">
        <w:rPr>
          <w:rFonts w:ascii="Times New Roman" w:hAnsi="Times New Roman"/>
          <w:sz w:val="24"/>
          <w:szCs w:val="24"/>
          <w:lang w:val="sr-Cyrl-CS"/>
        </w:rPr>
        <w:t xml:space="preserve">праксе </w:t>
      </w:r>
      <w:r w:rsidR="00636BB5">
        <w:rPr>
          <w:rFonts w:ascii="Times New Roman" w:hAnsi="Times New Roman"/>
          <w:sz w:val="24"/>
          <w:szCs w:val="24"/>
          <w:lang w:val="sr-Cyrl-CS"/>
        </w:rPr>
        <w:t xml:space="preserve">међу </w:t>
      </w:r>
      <w:r w:rsidR="00C35C51">
        <w:rPr>
          <w:rFonts w:ascii="Times New Roman" w:hAnsi="Times New Roman"/>
          <w:sz w:val="24"/>
          <w:szCs w:val="24"/>
          <w:lang w:val="sr-Cyrl-CS"/>
        </w:rPr>
        <w:t>најбит</w:t>
      </w:r>
      <w:r w:rsidR="00636BB5">
        <w:rPr>
          <w:rFonts w:ascii="Times New Roman" w:hAnsi="Times New Roman"/>
          <w:sz w:val="24"/>
          <w:szCs w:val="24"/>
          <w:lang w:val="sr-Cyrl-CS"/>
        </w:rPr>
        <w:t>није елементе корупц</w:t>
      </w:r>
      <w:r w:rsidR="00792A15">
        <w:rPr>
          <w:rFonts w:ascii="Times New Roman" w:hAnsi="Times New Roman"/>
          <w:sz w:val="24"/>
          <w:szCs w:val="24"/>
          <w:lang w:val="sr-Cyrl-CS"/>
        </w:rPr>
        <w:t>ије могли би се сврстати</w:t>
      </w:r>
      <w:r w:rsidR="00C35C51">
        <w:rPr>
          <w:rFonts w:ascii="Times New Roman" w:hAnsi="Times New Roman"/>
          <w:sz w:val="24"/>
          <w:szCs w:val="24"/>
          <w:lang w:val="sr-Cyrl-CS"/>
        </w:rPr>
        <w:t>:</w:t>
      </w:r>
    </w:p>
    <w:p w:rsidR="00C35C51" w:rsidRDefault="00C35C51" w:rsidP="001E271B">
      <w:pPr>
        <w:pStyle w:val="ListParagraph"/>
        <w:ind w:left="0" w:firstLine="630"/>
        <w:jc w:val="both"/>
        <w:rPr>
          <w:rFonts w:ascii="Times New Roman" w:hAnsi="Times New Roman"/>
          <w:sz w:val="24"/>
          <w:szCs w:val="24"/>
          <w:lang w:val="sr-Cyrl-CS"/>
        </w:rPr>
      </w:pPr>
    </w:p>
    <w:p w:rsidR="00EB41C0" w:rsidRDefault="00C35C51" w:rsidP="001E271B">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lastRenderedPageBreak/>
        <w:t>-</w:t>
      </w:r>
      <w:r w:rsidR="00260696">
        <w:rPr>
          <w:rFonts w:ascii="Times New Roman" w:hAnsi="Times New Roman"/>
          <w:sz w:val="24"/>
          <w:szCs w:val="24"/>
          <w:lang w:val="sr-Cyrl-CS"/>
        </w:rPr>
        <w:t xml:space="preserve"> </w:t>
      </w:r>
      <w:r w:rsidR="005F2E41">
        <w:rPr>
          <w:rFonts w:ascii="Times New Roman" w:hAnsi="Times New Roman"/>
          <w:sz w:val="24"/>
          <w:szCs w:val="24"/>
          <w:lang w:val="sr-Cyrl-CS"/>
        </w:rPr>
        <w:t>Н</w:t>
      </w:r>
      <w:r>
        <w:rPr>
          <w:rFonts w:ascii="Times New Roman" w:hAnsi="Times New Roman"/>
          <w:sz w:val="24"/>
          <w:szCs w:val="24"/>
          <w:lang w:val="sr-Cyrl-CS"/>
        </w:rPr>
        <w:t>езаконито и неморално поступање при доношењу одлука у јавном или приватном сектору</w:t>
      </w:r>
      <w:r w:rsidR="005F2E41">
        <w:rPr>
          <w:rFonts w:ascii="Times New Roman" w:hAnsi="Times New Roman"/>
          <w:sz w:val="24"/>
          <w:szCs w:val="24"/>
          <w:lang w:val="sr-Cyrl-CS"/>
        </w:rPr>
        <w:t>. Према томе, корупција се везује за процес доношења одлука.</w:t>
      </w:r>
    </w:p>
    <w:p w:rsidR="00636BB5" w:rsidRDefault="00636BB5" w:rsidP="001E271B">
      <w:pPr>
        <w:pStyle w:val="ListParagraph"/>
        <w:ind w:left="0" w:firstLine="630"/>
        <w:jc w:val="both"/>
        <w:rPr>
          <w:rFonts w:ascii="Times New Roman" w:hAnsi="Times New Roman"/>
          <w:sz w:val="24"/>
          <w:szCs w:val="24"/>
          <w:lang w:val="sr-Cyrl-CS"/>
        </w:rPr>
      </w:pPr>
    </w:p>
    <w:p w:rsidR="00636BB5" w:rsidRDefault="005F2E41" w:rsidP="001E271B">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 Представља поступање са намером.</w:t>
      </w:r>
    </w:p>
    <w:p w:rsidR="00C35C51" w:rsidRDefault="005F2E41" w:rsidP="001E271B">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 xml:space="preserve"> </w:t>
      </w:r>
    </w:p>
    <w:p w:rsidR="00C35C51" w:rsidRDefault="005F2E41" w:rsidP="001E271B">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 П</w:t>
      </w:r>
      <w:r w:rsidR="00C35C51">
        <w:rPr>
          <w:rFonts w:ascii="Times New Roman" w:hAnsi="Times New Roman"/>
          <w:sz w:val="24"/>
          <w:szCs w:val="24"/>
          <w:lang w:val="sr-Cyrl-CS"/>
        </w:rPr>
        <w:t xml:space="preserve">оступање са циљем </w:t>
      </w:r>
      <w:r w:rsidR="00CA7DAC">
        <w:rPr>
          <w:rFonts w:ascii="Times New Roman" w:hAnsi="Times New Roman"/>
          <w:sz w:val="24"/>
          <w:szCs w:val="24"/>
          <w:lang w:val="sr-Cyrl-CS"/>
        </w:rPr>
        <w:t>богаћења без правног основа и прибављања неке погодности зарад</w:t>
      </w:r>
      <w:r w:rsidR="00C35C51">
        <w:rPr>
          <w:rFonts w:ascii="Times New Roman" w:hAnsi="Times New Roman"/>
          <w:sz w:val="24"/>
          <w:szCs w:val="24"/>
          <w:lang w:val="sr-Cyrl-CS"/>
        </w:rPr>
        <w:t xml:space="preserve"> остваривања личних интереса</w:t>
      </w:r>
      <w:r w:rsidR="00CA7DAC">
        <w:rPr>
          <w:rFonts w:ascii="Times New Roman" w:hAnsi="Times New Roman"/>
          <w:sz w:val="24"/>
          <w:szCs w:val="24"/>
          <w:lang w:val="sr-Cyrl-CS"/>
        </w:rPr>
        <w:t>, п</w:t>
      </w:r>
      <w:r w:rsidR="00792A15">
        <w:rPr>
          <w:rFonts w:ascii="Times New Roman" w:hAnsi="Times New Roman"/>
          <w:sz w:val="24"/>
          <w:szCs w:val="24"/>
          <w:lang w:val="sr-Cyrl-CS"/>
        </w:rPr>
        <w:t>о</w:t>
      </w:r>
      <w:r w:rsidR="00CA7DAC">
        <w:rPr>
          <w:rFonts w:ascii="Times New Roman" w:hAnsi="Times New Roman"/>
          <w:sz w:val="24"/>
          <w:szCs w:val="24"/>
          <w:lang w:val="sr-Cyrl-CS"/>
        </w:rPr>
        <w:t xml:space="preserve">литичке, финансијске или неке друге моћи. Према томе, погодност се </w:t>
      </w:r>
      <w:r>
        <w:rPr>
          <w:rFonts w:ascii="Times New Roman" w:hAnsi="Times New Roman"/>
          <w:sz w:val="24"/>
          <w:szCs w:val="24"/>
          <w:lang w:val="sr-Cyrl-CS"/>
        </w:rPr>
        <w:t>не мора саст</w:t>
      </w:r>
      <w:r w:rsidR="00CA7DAC">
        <w:rPr>
          <w:rFonts w:ascii="Times New Roman" w:hAnsi="Times New Roman"/>
          <w:sz w:val="24"/>
          <w:szCs w:val="24"/>
          <w:lang w:val="sr-Cyrl-CS"/>
        </w:rPr>
        <w:t>ојати искључиво у новчаном екви</w:t>
      </w:r>
      <w:r>
        <w:rPr>
          <w:rFonts w:ascii="Times New Roman" w:hAnsi="Times New Roman"/>
          <w:sz w:val="24"/>
          <w:szCs w:val="24"/>
          <w:lang w:val="sr-Cyrl-CS"/>
        </w:rPr>
        <w:t>валену</w:t>
      </w:r>
      <w:r w:rsidR="00CA7DAC">
        <w:rPr>
          <w:rFonts w:ascii="Times New Roman" w:hAnsi="Times New Roman"/>
          <w:sz w:val="24"/>
          <w:szCs w:val="24"/>
          <w:lang w:val="sr-Cyrl-CS"/>
        </w:rPr>
        <w:t>.</w:t>
      </w:r>
      <w:r w:rsidR="005B1BB7">
        <w:rPr>
          <w:rFonts w:ascii="Times New Roman" w:hAnsi="Times New Roman"/>
          <w:sz w:val="24"/>
          <w:szCs w:val="24"/>
          <w:lang w:val="sr-Cyrl-CS"/>
        </w:rPr>
        <w:t xml:space="preserve"> </w:t>
      </w:r>
    </w:p>
    <w:p w:rsidR="00636BB5" w:rsidRDefault="00636BB5" w:rsidP="001E271B">
      <w:pPr>
        <w:pStyle w:val="ListParagraph"/>
        <w:ind w:left="0" w:firstLine="630"/>
        <w:jc w:val="both"/>
        <w:rPr>
          <w:rFonts w:ascii="Times New Roman" w:hAnsi="Times New Roman"/>
          <w:sz w:val="24"/>
          <w:szCs w:val="24"/>
          <w:lang w:val="sr-Cyrl-CS"/>
        </w:rPr>
      </w:pPr>
    </w:p>
    <w:p w:rsidR="00C35C51" w:rsidRDefault="005F2E41" w:rsidP="001E271B">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 Н</w:t>
      </w:r>
      <w:r w:rsidR="00C35C51">
        <w:rPr>
          <w:rFonts w:ascii="Times New Roman" w:hAnsi="Times New Roman"/>
          <w:sz w:val="24"/>
          <w:szCs w:val="24"/>
          <w:lang w:val="sr-Cyrl-CS"/>
        </w:rPr>
        <w:t xml:space="preserve">осиоци оваквих активности </w:t>
      </w:r>
      <w:r w:rsidR="00CA7DAC">
        <w:rPr>
          <w:rFonts w:ascii="Times New Roman" w:hAnsi="Times New Roman"/>
          <w:sz w:val="24"/>
          <w:szCs w:val="24"/>
          <w:lang w:val="sr-Cyrl-CS"/>
        </w:rPr>
        <w:t xml:space="preserve">користе свој положај или </w:t>
      </w:r>
      <w:r w:rsidR="00792A15">
        <w:rPr>
          <w:rFonts w:ascii="Times New Roman" w:hAnsi="Times New Roman"/>
          <w:sz w:val="24"/>
          <w:szCs w:val="24"/>
          <w:lang w:val="sr-Cyrl-CS"/>
        </w:rPr>
        <w:t>друштвени утицај, па чак и  ист</w:t>
      </w:r>
      <w:r w:rsidR="00CA7DAC">
        <w:rPr>
          <w:rFonts w:ascii="Times New Roman" w:hAnsi="Times New Roman"/>
          <w:sz w:val="24"/>
          <w:szCs w:val="24"/>
          <w:lang w:val="sr-Cyrl-CS"/>
        </w:rPr>
        <w:t>итуције система</w:t>
      </w:r>
      <w:r w:rsidR="00636BB5">
        <w:rPr>
          <w:rFonts w:ascii="Times New Roman" w:hAnsi="Times New Roman"/>
          <w:sz w:val="24"/>
          <w:szCs w:val="24"/>
          <w:lang w:val="sr-Cyrl-CS"/>
        </w:rPr>
        <w:t>.</w:t>
      </w:r>
    </w:p>
    <w:p w:rsidR="00CA7DAC" w:rsidRDefault="00CA7DAC" w:rsidP="001E271B">
      <w:pPr>
        <w:pStyle w:val="ListParagraph"/>
        <w:ind w:left="0" w:firstLine="630"/>
        <w:jc w:val="both"/>
        <w:rPr>
          <w:rFonts w:ascii="Times New Roman" w:hAnsi="Times New Roman"/>
          <w:sz w:val="24"/>
          <w:szCs w:val="24"/>
          <w:lang w:val="sr-Cyrl-CS"/>
        </w:rPr>
      </w:pPr>
    </w:p>
    <w:p w:rsidR="001A352C" w:rsidRPr="00A22DD5" w:rsidRDefault="00CA7DAC" w:rsidP="00DA4D37">
      <w:pPr>
        <w:pStyle w:val="ListParagraph"/>
        <w:numPr>
          <w:ilvl w:val="0"/>
          <w:numId w:val="2"/>
        </w:numPr>
        <w:jc w:val="both"/>
        <w:rPr>
          <w:rFonts w:ascii="Times New Roman" w:hAnsi="Times New Roman"/>
          <w:sz w:val="24"/>
          <w:szCs w:val="24"/>
          <w:lang w:val="sr-Cyrl-CS"/>
        </w:rPr>
      </w:pPr>
      <w:r>
        <w:rPr>
          <w:rFonts w:ascii="Times New Roman" w:hAnsi="Times New Roman"/>
          <w:sz w:val="24"/>
          <w:szCs w:val="24"/>
          <w:lang w:val="sr-Cyrl-CS"/>
        </w:rPr>
        <w:t xml:space="preserve">Променљивост и прилагодљивост облика у којима се испољава </w:t>
      </w:r>
      <w:r w:rsidR="00313D60">
        <w:rPr>
          <w:rFonts w:ascii="Times New Roman" w:hAnsi="Times New Roman"/>
          <w:sz w:val="24"/>
          <w:szCs w:val="24"/>
          <w:lang w:val="sr-Cyrl-CS"/>
        </w:rPr>
        <w:t xml:space="preserve">у </w:t>
      </w:r>
      <w:r>
        <w:rPr>
          <w:rFonts w:ascii="Times New Roman" w:hAnsi="Times New Roman"/>
          <w:sz w:val="24"/>
          <w:szCs w:val="24"/>
          <w:lang w:val="sr-Cyrl-CS"/>
        </w:rPr>
        <w:t xml:space="preserve">одређеним економским и политичким условима. </w:t>
      </w:r>
    </w:p>
    <w:p w:rsidR="00760B52" w:rsidRDefault="00760B52" w:rsidP="00760B52">
      <w:pPr>
        <w:pStyle w:val="ListParagraph"/>
        <w:jc w:val="both"/>
        <w:rPr>
          <w:rFonts w:cs="DINPro-Regular"/>
          <w:sz w:val="16"/>
          <w:szCs w:val="16"/>
          <w:lang w:val="sr-Cyrl-CS"/>
        </w:rPr>
      </w:pPr>
    </w:p>
    <w:p w:rsidR="0046264C" w:rsidRPr="001F4B89" w:rsidRDefault="00066F28" w:rsidP="007C25FA">
      <w:pPr>
        <w:pStyle w:val="ListParagraph"/>
        <w:numPr>
          <w:ilvl w:val="0"/>
          <w:numId w:val="4"/>
        </w:numPr>
        <w:jc w:val="both"/>
        <w:rPr>
          <w:rFonts w:ascii="Times New Roman" w:hAnsi="Times New Roman"/>
          <w:b/>
          <w:i/>
          <w:sz w:val="28"/>
          <w:szCs w:val="28"/>
          <w:lang w:val="sr-Cyrl-CS"/>
        </w:rPr>
      </w:pPr>
      <w:r w:rsidRPr="001F4B89">
        <w:rPr>
          <w:rFonts w:ascii="Times New Roman" w:hAnsi="Times New Roman"/>
          <w:b/>
          <w:i/>
          <w:sz w:val="28"/>
          <w:szCs w:val="28"/>
          <w:lang w:val="sr-Cyrl-CS"/>
        </w:rPr>
        <w:t xml:space="preserve">Узроци, услови и околности које </w:t>
      </w:r>
      <w:r w:rsidR="00462DA6" w:rsidRPr="001F4B89">
        <w:rPr>
          <w:rFonts w:ascii="Times New Roman" w:hAnsi="Times New Roman"/>
          <w:b/>
          <w:i/>
          <w:sz w:val="28"/>
          <w:szCs w:val="28"/>
          <w:lang w:val="sr-Cyrl-CS"/>
        </w:rPr>
        <w:t>погодују привредном криминал</w:t>
      </w:r>
      <w:r w:rsidRPr="001F4B89">
        <w:rPr>
          <w:rFonts w:ascii="Times New Roman" w:hAnsi="Times New Roman"/>
          <w:b/>
          <w:i/>
          <w:sz w:val="28"/>
          <w:szCs w:val="28"/>
          <w:lang w:val="sr-Cyrl-CS"/>
        </w:rPr>
        <w:t>у и корупцији</w:t>
      </w:r>
    </w:p>
    <w:p w:rsidR="00A85758" w:rsidRPr="006E07B3" w:rsidRDefault="00A85758" w:rsidP="006E07B3">
      <w:pPr>
        <w:jc w:val="both"/>
        <w:rPr>
          <w:rFonts w:ascii="Times New Roman" w:hAnsi="Times New Roman"/>
          <w:sz w:val="24"/>
          <w:szCs w:val="24"/>
          <w:lang w:val="sr-Cyrl-CS"/>
        </w:rPr>
      </w:pPr>
    </w:p>
    <w:p w:rsidR="008F1121" w:rsidRDefault="008F1121" w:rsidP="008F1121">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Степен раширености корупције</w:t>
      </w:r>
      <w:r w:rsidR="00304DE0">
        <w:rPr>
          <w:rFonts w:ascii="Times New Roman" w:hAnsi="Times New Roman"/>
          <w:sz w:val="24"/>
          <w:szCs w:val="24"/>
          <w:lang w:val="sr-Cyrl-CS"/>
        </w:rPr>
        <w:t xml:space="preserve"> и привредног криминала</w:t>
      </w:r>
      <w:r>
        <w:rPr>
          <w:rFonts w:ascii="Times New Roman" w:hAnsi="Times New Roman"/>
          <w:sz w:val="24"/>
          <w:szCs w:val="24"/>
          <w:lang w:val="sr-Cyrl-CS"/>
        </w:rPr>
        <w:t xml:space="preserve"> у једном друштву зависи од много чинилаца. </w:t>
      </w:r>
      <w:r w:rsidR="006A6D6E">
        <w:rPr>
          <w:rFonts w:ascii="Times New Roman" w:hAnsi="Times New Roman"/>
          <w:sz w:val="24"/>
          <w:szCs w:val="24"/>
          <w:lang w:val="sr-Cyrl-CS"/>
        </w:rPr>
        <w:t>Ради се о изузетно сложеним друштвеним феноменима, па су и услови и околности који им погодују</w:t>
      </w:r>
      <w:r>
        <w:rPr>
          <w:rFonts w:ascii="Times New Roman" w:hAnsi="Times New Roman"/>
          <w:sz w:val="24"/>
          <w:szCs w:val="24"/>
          <w:lang w:val="sr-Cyrl-CS"/>
        </w:rPr>
        <w:t xml:space="preserve"> веома бројни, мање или више значајни, а посебно ћемо у даљем излагању навести неке од њих. </w:t>
      </w:r>
      <w:r w:rsidR="006A6D6E">
        <w:rPr>
          <w:rFonts w:ascii="Times New Roman" w:hAnsi="Times New Roman"/>
          <w:sz w:val="24"/>
          <w:szCs w:val="24"/>
          <w:lang w:val="sr-Cyrl-CS"/>
        </w:rPr>
        <w:t>Као и код дефинисања ових феномена, тако и у пог</w:t>
      </w:r>
      <w:r w:rsidR="00DD59EC">
        <w:rPr>
          <w:rFonts w:ascii="Times New Roman" w:hAnsi="Times New Roman"/>
          <w:sz w:val="24"/>
          <w:szCs w:val="24"/>
          <w:lang w:val="sr-Cyrl-CS"/>
        </w:rPr>
        <w:t>л</w:t>
      </w:r>
      <w:r w:rsidR="006A6D6E">
        <w:rPr>
          <w:rFonts w:ascii="Times New Roman" w:hAnsi="Times New Roman"/>
          <w:sz w:val="24"/>
          <w:szCs w:val="24"/>
          <w:lang w:val="sr-Cyrl-CS"/>
        </w:rPr>
        <w:t xml:space="preserve">еду њихових узрока у литератури постоје различите класификације. </w:t>
      </w:r>
      <w:r w:rsidR="006427F4">
        <w:rPr>
          <w:rFonts w:ascii="Times New Roman" w:hAnsi="Times New Roman"/>
          <w:sz w:val="24"/>
          <w:szCs w:val="24"/>
          <w:lang w:val="sr-Cyrl-CS"/>
        </w:rPr>
        <w:t>При том, привредни криминал и корупција се не</w:t>
      </w:r>
      <w:r w:rsidR="002E6E08">
        <w:rPr>
          <w:rFonts w:ascii="Times New Roman" w:hAnsi="Times New Roman"/>
          <w:sz w:val="24"/>
          <w:szCs w:val="24"/>
          <w:lang w:val="sr-Cyrl-CS"/>
        </w:rPr>
        <w:t xml:space="preserve"> могу одвојено посматрати од </w:t>
      </w:r>
      <w:r w:rsidR="006427F4">
        <w:rPr>
          <w:rFonts w:ascii="Times New Roman" w:hAnsi="Times New Roman"/>
          <w:sz w:val="24"/>
          <w:szCs w:val="24"/>
          <w:lang w:val="sr-Cyrl-CS"/>
        </w:rPr>
        <w:t xml:space="preserve">основних узрока који се односе и на друге облике криминалне активности, као јединствене негативне друштвене појаве, па су тако и њихови узроци и околности које им погодују повезани, при чему се разликују ендогени и егзогени узроци.  </w:t>
      </w:r>
    </w:p>
    <w:p w:rsidR="006427F4" w:rsidRDefault="006427F4" w:rsidP="008F1121">
      <w:pPr>
        <w:pStyle w:val="ListParagraph"/>
        <w:ind w:left="0" w:firstLine="630"/>
        <w:jc w:val="both"/>
        <w:rPr>
          <w:rFonts w:ascii="Times New Roman" w:hAnsi="Times New Roman"/>
          <w:sz w:val="24"/>
          <w:szCs w:val="24"/>
          <w:lang w:val="sr-Cyrl-CS"/>
        </w:rPr>
      </w:pPr>
    </w:p>
    <w:p w:rsidR="006427F4" w:rsidRDefault="006427F4" w:rsidP="008F1121">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Егзогени (објективни, спољашњи) узроци су спољни фактори, односно фактори социјалних услова (економски, социјални, политички, културни, етнички), који се одражавају на личност и њено преступничко понашање. Ради се о следећим факторима: индустријализација, економска криза, сиромаштво, незапосленост, урбанизација, ратно стање, ратни сукоби и сл. За разлику од ових фактора, ендогени (субјективни, унутрашњи) фактори се односе на психолошке процесе и биолошку структуру која доводи до преступ</w:t>
      </w:r>
      <w:r w:rsidR="00D1792D">
        <w:rPr>
          <w:rFonts w:ascii="Times New Roman" w:hAnsi="Times New Roman"/>
          <w:sz w:val="24"/>
          <w:szCs w:val="24"/>
          <w:lang w:val="sr-Cyrl-CS"/>
        </w:rPr>
        <w:t xml:space="preserve">ничког понашања. Ови фактори се, дакле, </w:t>
      </w:r>
      <w:r>
        <w:rPr>
          <w:rFonts w:ascii="Times New Roman" w:hAnsi="Times New Roman"/>
          <w:sz w:val="24"/>
          <w:szCs w:val="24"/>
          <w:lang w:val="sr-Cyrl-CS"/>
        </w:rPr>
        <w:t>тичу саме личности, за разлику од егзогених фактора који обухватају друштвене чиниоце.</w:t>
      </w:r>
      <w:r w:rsidR="00D1792D">
        <w:rPr>
          <w:rFonts w:ascii="Times New Roman" w:hAnsi="Times New Roman"/>
          <w:sz w:val="24"/>
          <w:szCs w:val="24"/>
          <w:lang w:val="sr-Cyrl-CS"/>
        </w:rPr>
        <w:t xml:space="preserve"> Међутим, ендогени и егзогени фактори углавном делују повезано и међузависно.</w:t>
      </w:r>
      <w:r w:rsidR="00D1792D">
        <w:rPr>
          <w:rStyle w:val="FootnoteReference"/>
          <w:rFonts w:ascii="Times New Roman" w:hAnsi="Times New Roman"/>
          <w:sz w:val="24"/>
          <w:szCs w:val="24"/>
          <w:lang w:val="sr-Cyrl-CS"/>
        </w:rPr>
        <w:footnoteReference w:id="690"/>
      </w:r>
    </w:p>
    <w:p w:rsidR="00AD29FC" w:rsidRDefault="00AD29FC" w:rsidP="008F1121">
      <w:pPr>
        <w:pStyle w:val="ListParagraph"/>
        <w:ind w:left="0" w:firstLine="630"/>
        <w:jc w:val="both"/>
        <w:rPr>
          <w:rFonts w:ascii="Times New Roman" w:hAnsi="Times New Roman"/>
          <w:sz w:val="24"/>
          <w:szCs w:val="24"/>
          <w:lang w:val="sr-Cyrl-CS"/>
        </w:rPr>
      </w:pPr>
    </w:p>
    <w:p w:rsidR="00AD29FC" w:rsidRPr="006A3804" w:rsidRDefault="00AD29FC" w:rsidP="00AD29FC">
      <w:pPr>
        <w:pStyle w:val="ListParagraph"/>
        <w:ind w:left="0" w:firstLine="630"/>
        <w:jc w:val="both"/>
        <w:rPr>
          <w:rFonts w:ascii="Times New Roman" w:hAnsi="Times New Roman"/>
          <w:sz w:val="24"/>
          <w:szCs w:val="24"/>
        </w:rPr>
      </w:pPr>
      <w:r>
        <w:rPr>
          <w:rFonts w:ascii="Times New Roman" w:hAnsi="Times New Roman"/>
          <w:sz w:val="24"/>
          <w:szCs w:val="24"/>
        </w:rPr>
        <w:t>Vito Tanzi</w:t>
      </w:r>
      <w:r>
        <w:rPr>
          <w:rFonts w:ascii="Times New Roman" w:hAnsi="Times New Roman"/>
          <w:sz w:val="24"/>
          <w:szCs w:val="24"/>
          <w:lang w:val="sr-Cyrl-CS"/>
        </w:rPr>
        <w:t xml:space="preserve"> указује на постојање посредних и непосредних фактора,</w:t>
      </w:r>
      <w:r w:rsidRPr="006A3804">
        <w:rPr>
          <w:rStyle w:val="FootnoteReference"/>
          <w:rFonts w:ascii="Times New Roman" w:hAnsi="Times New Roman"/>
          <w:sz w:val="24"/>
          <w:szCs w:val="24"/>
          <w:lang w:val="sr-Cyrl-CS"/>
        </w:rPr>
        <w:t xml:space="preserve"> </w:t>
      </w:r>
      <w:r>
        <w:rPr>
          <w:rStyle w:val="FootnoteReference"/>
          <w:rFonts w:ascii="Times New Roman" w:hAnsi="Times New Roman"/>
          <w:sz w:val="24"/>
          <w:szCs w:val="24"/>
          <w:lang w:val="sr-Cyrl-CS"/>
        </w:rPr>
        <w:footnoteReference w:id="691"/>
      </w:r>
      <w:r>
        <w:rPr>
          <w:rFonts w:ascii="Times New Roman" w:hAnsi="Times New Roman"/>
          <w:sz w:val="24"/>
          <w:szCs w:val="24"/>
          <w:lang w:val="sr-Cyrl-CS"/>
        </w:rPr>
        <w:t xml:space="preserve"> који утичу на пораст корупције. </w:t>
      </w:r>
      <w:r>
        <w:rPr>
          <w:rFonts w:ascii="Times New Roman" w:hAnsi="Times New Roman"/>
          <w:sz w:val="24"/>
          <w:szCs w:val="24"/>
        </w:rPr>
        <w:t xml:space="preserve"> </w:t>
      </w:r>
    </w:p>
    <w:p w:rsidR="00AD29FC" w:rsidRDefault="00AD29FC" w:rsidP="00AD29FC">
      <w:pPr>
        <w:pStyle w:val="ListParagraph"/>
        <w:ind w:left="0" w:firstLine="630"/>
        <w:jc w:val="both"/>
        <w:rPr>
          <w:rFonts w:ascii="Times New Roman" w:hAnsi="Times New Roman"/>
          <w:sz w:val="24"/>
          <w:szCs w:val="24"/>
          <w:lang w:val="sr-Cyrl-CS"/>
        </w:rPr>
      </w:pPr>
    </w:p>
    <w:p w:rsidR="00AD29FC" w:rsidRDefault="00AD29FC" w:rsidP="008A3795">
      <w:pPr>
        <w:pStyle w:val="ListParagraph"/>
        <w:numPr>
          <w:ilvl w:val="0"/>
          <w:numId w:val="56"/>
        </w:numPr>
        <w:jc w:val="both"/>
        <w:rPr>
          <w:rFonts w:ascii="Times New Roman" w:hAnsi="Times New Roman"/>
          <w:sz w:val="24"/>
          <w:szCs w:val="24"/>
          <w:lang w:val="sr-Cyrl-CS"/>
        </w:rPr>
      </w:pPr>
      <w:r>
        <w:rPr>
          <w:rFonts w:ascii="Times New Roman" w:hAnsi="Times New Roman"/>
          <w:sz w:val="24"/>
          <w:szCs w:val="24"/>
          <w:lang w:val="sr-Cyrl-CS"/>
        </w:rPr>
        <w:t>Најзначајнији фактори који на непосредан начин доприносе већем степену корупције у друштву су:</w:t>
      </w:r>
    </w:p>
    <w:p w:rsidR="00AD29FC" w:rsidRPr="003901F6" w:rsidRDefault="00AD29FC" w:rsidP="00AD29FC">
      <w:pPr>
        <w:pStyle w:val="ListParagraph"/>
        <w:ind w:left="1350"/>
        <w:jc w:val="both"/>
        <w:rPr>
          <w:rFonts w:ascii="Times New Roman" w:hAnsi="Times New Roman"/>
          <w:sz w:val="24"/>
          <w:szCs w:val="24"/>
          <w:lang w:val="sr-Cyrl-CS"/>
        </w:rPr>
      </w:pPr>
    </w:p>
    <w:p w:rsidR="00AD29FC" w:rsidRDefault="00AD29FC" w:rsidP="00AD29FC">
      <w:pPr>
        <w:pStyle w:val="ListParagraph"/>
        <w:numPr>
          <w:ilvl w:val="0"/>
          <w:numId w:val="2"/>
        </w:numPr>
        <w:jc w:val="both"/>
        <w:rPr>
          <w:rFonts w:ascii="Times New Roman" w:hAnsi="Times New Roman"/>
          <w:sz w:val="24"/>
          <w:szCs w:val="24"/>
          <w:lang w:val="sr-Cyrl-CS"/>
        </w:rPr>
      </w:pPr>
      <w:r>
        <w:rPr>
          <w:rFonts w:ascii="Times New Roman" w:hAnsi="Times New Roman"/>
          <w:sz w:val="24"/>
          <w:szCs w:val="24"/>
          <w:lang w:val="sr-Cyrl-CS"/>
        </w:rPr>
        <w:t>нејасни порески закони који су тешки за разумевање и који се могу различито тумачити, тако да порески обвезници тешко могу да их примењују; доводе до потребе помоћи у тумачењу пореским обвезницима;</w:t>
      </w:r>
    </w:p>
    <w:p w:rsidR="00AD29FC" w:rsidRDefault="00AD29FC" w:rsidP="00AD29FC">
      <w:pPr>
        <w:pStyle w:val="ListParagraph"/>
        <w:numPr>
          <w:ilvl w:val="0"/>
          <w:numId w:val="2"/>
        </w:numPr>
        <w:jc w:val="both"/>
        <w:rPr>
          <w:rFonts w:ascii="Times New Roman" w:hAnsi="Times New Roman"/>
          <w:sz w:val="24"/>
          <w:szCs w:val="24"/>
          <w:lang w:val="sr-Cyrl-CS"/>
        </w:rPr>
      </w:pPr>
      <w:r>
        <w:rPr>
          <w:rFonts w:ascii="Times New Roman" w:hAnsi="Times New Roman"/>
          <w:sz w:val="24"/>
          <w:szCs w:val="24"/>
          <w:lang w:val="sr-Cyrl-CS"/>
        </w:rPr>
        <w:t xml:space="preserve">плаћање пореза доводи до честих контаката </w:t>
      </w:r>
      <w:r w:rsidRPr="00272D42">
        <w:rPr>
          <w:rFonts w:ascii="Times New Roman" w:hAnsi="Times New Roman"/>
          <w:sz w:val="24"/>
          <w:szCs w:val="24"/>
          <w:lang w:val="sr-Cyrl-CS"/>
        </w:rPr>
        <w:t xml:space="preserve"> између пореских обвезника и</w:t>
      </w:r>
      <w:r>
        <w:rPr>
          <w:rFonts w:ascii="Times New Roman" w:hAnsi="Times New Roman"/>
          <w:sz w:val="24"/>
          <w:szCs w:val="24"/>
          <w:lang w:val="sr-Cyrl-CS"/>
        </w:rPr>
        <w:t xml:space="preserve"> пореске администрације; </w:t>
      </w:r>
    </w:p>
    <w:p w:rsidR="00AD29FC" w:rsidRDefault="00AD29FC" w:rsidP="00AD29FC">
      <w:pPr>
        <w:pStyle w:val="ListParagraph"/>
        <w:numPr>
          <w:ilvl w:val="0"/>
          <w:numId w:val="2"/>
        </w:numPr>
        <w:jc w:val="both"/>
        <w:rPr>
          <w:rFonts w:ascii="Times New Roman" w:hAnsi="Times New Roman"/>
          <w:sz w:val="24"/>
          <w:szCs w:val="24"/>
          <w:lang w:val="sr-Cyrl-CS"/>
        </w:rPr>
      </w:pPr>
      <w:r w:rsidRPr="00594985">
        <w:rPr>
          <w:rFonts w:ascii="Times New Roman" w:hAnsi="Times New Roman"/>
          <w:sz w:val="24"/>
          <w:szCs w:val="24"/>
          <w:lang w:val="sr-Cyrl-CS"/>
        </w:rPr>
        <w:t xml:space="preserve">ниске плате државних службеника; </w:t>
      </w:r>
    </w:p>
    <w:p w:rsidR="00AD29FC" w:rsidRDefault="00AD29FC" w:rsidP="00AD29FC">
      <w:pPr>
        <w:pStyle w:val="ListParagraph"/>
        <w:numPr>
          <w:ilvl w:val="0"/>
          <w:numId w:val="2"/>
        </w:numPr>
        <w:jc w:val="both"/>
        <w:rPr>
          <w:rFonts w:ascii="Times New Roman" w:hAnsi="Times New Roman"/>
          <w:sz w:val="24"/>
          <w:szCs w:val="24"/>
          <w:lang w:val="sr-Cyrl-CS"/>
        </w:rPr>
      </w:pPr>
      <w:r w:rsidRPr="00594985">
        <w:rPr>
          <w:rFonts w:ascii="Times New Roman" w:hAnsi="Times New Roman"/>
          <w:sz w:val="24"/>
          <w:szCs w:val="24"/>
          <w:lang w:val="sr-Cyrl-CS"/>
        </w:rPr>
        <w:t xml:space="preserve">тешко откривање оваквих злоупотреба и блага казнена политика; </w:t>
      </w:r>
    </w:p>
    <w:p w:rsidR="00AD29FC" w:rsidRPr="00594985" w:rsidRDefault="00AD29FC" w:rsidP="00AD29FC">
      <w:pPr>
        <w:pStyle w:val="ListParagraph"/>
        <w:numPr>
          <w:ilvl w:val="0"/>
          <w:numId w:val="2"/>
        </w:numPr>
        <w:jc w:val="both"/>
        <w:rPr>
          <w:rFonts w:ascii="Times New Roman" w:hAnsi="Times New Roman"/>
          <w:sz w:val="24"/>
          <w:szCs w:val="24"/>
          <w:lang w:val="sr-Cyrl-CS"/>
        </w:rPr>
      </w:pPr>
      <w:r>
        <w:rPr>
          <w:rFonts w:ascii="Times New Roman" w:hAnsi="Times New Roman"/>
          <w:sz w:val="24"/>
          <w:szCs w:val="24"/>
          <w:lang w:val="sr-Cyrl-CS"/>
        </w:rPr>
        <w:t>н</w:t>
      </w:r>
      <w:r w:rsidRPr="00594985">
        <w:rPr>
          <w:rFonts w:ascii="Times New Roman" w:hAnsi="Times New Roman"/>
          <w:sz w:val="24"/>
          <w:szCs w:val="24"/>
          <w:lang w:val="sr-Cyrl-CS"/>
        </w:rPr>
        <w:t>едостатак транспарентности у раду пореске и царинске управе;</w:t>
      </w:r>
    </w:p>
    <w:p w:rsidR="00AD29FC" w:rsidRPr="00F44F3B" w:rsidRDefault="00AD29FC" w:rsidP="00AD29FC">
      <w:pPr>
        <w:pStyle w:val="ListParagraph"/>
        <w:numPr>
          <w:ilvl w:val="0"/>
          <w:numId w:val="2"/>
        </w:numPr>
        <w:jc w:val="both"/>
        <w:rPr>
          <w:rFonts w:ascii="Times New Roman" w:hAnsi="Times New Roman"/>
          <w:sz w:val="24"/>
          <w:szCs w:val="24"/>
          <w:lang w:val="sr-Cyrl-CS"/>
        </w:rPr>
      </w:pPr>
      <w:r>
        <w:rPr>
          <w:rFonts w:ascii="Times New Roman" w:hAnsi="Times New Roman"/>
          <w:sz w:val="24"/>
          <w:szCs w:val="24"/>
          <w:lang w:val="sr-Cyrl-CS"/>
        </w:rPr>
        <w:t>велика дискрециона овлашћења у раду пореске управе, посебно у домену пореских олакшица, селективне контроле и одређивања пореских обавеза,</w:t>
      </w:r>
    </w:p>
    <w:p w:rsidR="00AD29FC" w:rsidRDefault="00AD29FC" w:rsidP="00AD29FC">
      <w:pPr>
        <w:numPr>
          <w:ilvl w:val="0"/>
          <w:numId w:val="2"/>
        </w:numPr>
        <w:jc w:val="both"/>
        <w:rPr>
          <w:rFonts w:ascii="Times New Roman" w:hAnsi="Times New Roman"/>
          <w:sz w:val="24"/>
          <w:szCs w:val="24"/>
          <w:lang w:val="sr-Cyrl-CS"/>
        </w:rPr>
      </w:pPr>
      <w:r>
        <w:rPr>
          <w:rFonts w:ascii="Times New Roman" w:hAnsi="Times New Roman"/>
          <w:sz w:val="24"/>
          <w:szCs w:val="24"/>
          <w:lang w:val="sr-Cyrl-CS"/>
        </w:rPr>
        <w:t>недовољна и слаба ко</w:t>
      </w:r>
      <w:r w:rsidR="00BB4CC6">
        <w:rPr>
          <w:rFonts w:ascii="Times New Roman" w:hAnsi="Times New Roman"/>
          <w:sz w:val="24"/>
          <w:szCs w:val="24"/>
          <w:lang w:val="sr-Cyrl-CS"/>
        </w:rPr>
        <w:t>н</w:t>
      </w:r>
      <w:r>
        <w:rPr>
          <w:rFonts w:ascii="Times New Roman" w:hAnsi="Times New Roman"/>
          <w:sz w:val="24"/>
          <w:szCs w:val="24"/>
          <w:lang w:val="sr-Cyrl-CS"/>
        </w:rPr>
        <w:t>трола државних службеника у ком случају корупција може постати велики проблем у пореској и царинској управи.</w:t>
      </w:r>
    </w:p>
    <w:p w:rsidR="00AD29FC" w:rsidRDefault="00AD29FC" w:rsidP="00AD29FC">
      <w:pPr>
        <w:numPr>
          <w:ilvl w:val="0"/>
          <w:numId w:val="2"/>
        </w:numPr>
        <w:jc w:val="both"/>
        <w:rPr>
          <w:rFonts w:ascii="Times New Roman" w:hAnsi="Times New Roman"/>
          <w:sz w:val="24"/>
          <w:szCs w:val="24"/>
          <w:lang w:val="sr-Cyrl-CS"/>
        </w:rPr>
      </w:pPr>
      <w:r>
        <w:rPr>
          <w:rFonts w:ascii="Times New Roman" w:hAnsi="Times New Roman"/>
          <w:sz w:val="24"/>
          <w:szCs w:val="24"/>
          <w:lang w:val="sr-Cyrl-CS"/>
        </w:rPr>
        <w:t xml:space="preserve">начин финансирања политичких партија. </w:t>
      </w:r>
    </w:p>
    <w:p w:rsidR="00AD29FC" w:rsidRPr="003901F6" w:rsidRDefault="00AD29FC" w:rsidP="008A3795">
      <w:pPr>
        <w:pStyle w:val="ListParagraph"/>
        <w:numPr>
          <w:ilvl w:val="0"/>
          <w:numId w:val="56"/>
        </w:numPr>
        <w:jc w:val="both"/>
        <w:rPr>
          <w:rFonts w:ascii="Times New Roman" w:hAnsi="Times New Roman"/>
          <w:sz w:val="24"/>
          <w:szCs w:val="24"/>
          <w:lang w:val="sr-Cyrl-CS"/>
        </w:rPr>
      </w:pPr>
      <w:r w:rsidRPr="003901F6">
        <w:rPr>
          <w:rFonts w:ascii="Times New Roman" w:hAnsi="Times New Roman"/>
          <w:sz w:val="24"/>
          <w:szCs w:val="24"/>
          <w:lang w:val="sr-Cyrl-CS"/>
        </w:rPr>
        <w:t>Међу најзначајније посредне факторе спадају:</w:t>
      </w:r>
    </w:p>
    <w:p w:rsidR="00AD29FC" w:rsidRDefault="00AD29FC" w:rsidP="00AD29FC">
      <w:pPr>
        <w:numPr>
          <w:ilvl w:val="0"/>
          <w:numId w:val="2"/>
        </w:numPr>
        <w:jc w:val="both"/>
        <w:rPr>
          <w:rFonts w:ascii="Times New Roman" w:hAnsi="Times New Roman"/>
          <w:sz w:val="24"/>
          <w:szCs w:val="24"/>
          <w:lang w:val="sr-Cyrl-CS"/>
        </w:rPr>
      </w:pPr>
      <w:r>
        <w:rPr>
          <w:rFonts w:ascii="Times New Roman" w:hAnsi="Times New Roman"/>
          <w:sz w:val="24"/>
          <w:szCs w:val="24"/>
          <w:lang w:val="sr-Cyrl-CS"/>
        </w:rPr>
        <w:t>квалитет бирократског апарата;</w:t>
      </w:r>
    </w:p>
    <w:p w:rsidR="00AD29FC" w:rsidRDefault="00AD29FC" w:rsidP="00AD29FC">
      <w:pPr>
        <w:numPr>
          <w:ilvl w:val="0"/>
          <w:numId w:val="2"/>
        </w:numPr>
        <w:jc w:val="both"/>
        <w:rPr>
          <w:rFonts w:ascii="Times New Roman" w:hAnsi="Times New Roman"/>
          <w:sz w:val="24"/>
          <w:szCs w:val="24"/>
          <w:lang w:val="sr-Cyrl-CS"/>
        </w:rPr>
      </w:pPr>
      <w:r w:rsidRPr="00062B62">
        <w:rPr>
          <w:rFonts w:ascii="Times New Roman" w:hAnsi="Times New Roman"/>
          <w:sz w:val="24"/>
          <w:szCs w:val="24"/>
          <w:lang w:val="sr-Cyrl-CS"/>
        </w:rPr>
        <w:t xml:space="preserve">ниво зарада државних службеника </w:t>
      </w:r>
      <w:r>
        <w:rPr>
          <w:rFonts w:ascii="Times New Roman" w:hAnsi="Times New Roman"/>
          <w:sz w:val="24"/>
          <w:szCs w:val="24"/>
          <w:lang w:val="sr-Cyrl-CS"/>
        </w:rPr>
        <w:t>(в</w:t>
      </w:r>
      <w:r w:rsidRPr="00062B62">
        <w:rPr>
          <w:rFonts w:ascii="Times New Roman" w:hAnsi="Times New Roman"/>
          <w:sz w:val="24"/>
          <w:szCs w:val="24"/>
          <w:lang w:val="sr-Cyrl-CS"/>
        </w:rPr>
        <w:t>еће зараде-нижи степен корупције</w:t>
      </w:r>
      <w:r>
        <w:rPr>
          <w:rFonts w:ascii="Times New Roman" w:hAnsi="Times New Roman"/>
          <w:sz w:val="24"/>
          <w:szCs w:val="24"/>
          <w:lang w:val="sr-Cyrl-CS"/>
        </w:rPr>
        <w:t>)</w:t>
      </w:r>
      <w:r w:rsidRPr="00062B62">
        <w:rPr>
          <w:rFonts w:ascii="Times New Roman" w:hAnsi="Times New Roman"/>
          <w:sz w:val="24"/>
          <w:szCs w:val="24"/>
          <w:lang w:val="sr-Cyrl-CS"/>
        </w:rPr>
        <w:t>;</w:t>
      </w:r>
    </w:p>
    <w:p w:rsidR="00AD29FC" w:rsidRDefault="00AD29FC" w:rsidP="00AD29FC">
      <w:pPr>
        <w:numPr>
          <w:ilvl w:val="0"/>
          <w:numId w:val="2"/>
        </w:numPr>
        <w:jc w:val="both"/>
        <w:rPr>
          <w:rFonts w:ascii="Times New Roman" w:hAnsi="Times New Roman"/>
          <w:sz w:val="24"/>
          <w:szCs w:val="24"/>
          <w:lang w:val="sr-Cyrl-CS"/>
        </w:rPr>
      </w:pPr>
      <w:r w:rsidRPr="00062B62">
        <w:rPr>
          <w:rFonts w:ascii="Times New Roman" w:hAnsi="Times New Roman"/>
          <w:sz w:val="24"/>
          <w:szCs w:val="24"/>
          <w:lang w:val="sr-Cyrl-CS"/>
        </w:rPr>
        <w:t xml:space="preserve"> </w:t>
      </w:r>
      <w:r>
        <w:rPr>
          <w:rFonts w:ascii="Times New Roman" w:hAnsi="Times New Roman"/>
          <w:sz w:val="24"/>
          <w:szCs w:val="24"/>
          <w:lang w:val="sr-Cyrl-CS"/>
        </w:rPr>
        <w:t>к</w:t>
      </w:r>
      <w:r w:rsidRPr="00062B62">
        <w:rPr>
          <w:rFonts w:ascii="Times New Roman" w:hAnsi="Times New Roman"/>
          <w:sz w:val="24"/>
          <w:szCs w:val="24"/>
          <w:lang w:val="sr-Cyrl-CS"/>
        </w:rPr>
        <w:t>азнени систем и казнена политика;</w:t>
      </w:r>
    </w:p>
    <w:p w:rsidR="00AD29FC" w:rsidRDefault="00AD29FC" w:rsidP="00AD29FC">
      <w:pPr>
        <w:numPr>
          <w:ilvl w:val="0"/>
          <w:numId w:val="2"/>
        </w:numPr>
        <w:jc w:val="both"/>
        <w:rPr>
          <w:rFonts w:ascii="Times New Roman" w:hAnsi="Times New Roman"/>
          <w:sz w:val="24"/>
          <w:szCs w:val="24"/>
          <w:lang w:val="sr-Cyrl-CS"/>
        </w:rPr>
      </w:pPr>
      <w:r w:rsidRPr="00062B62">
        <w:rPr>
          <w:rFonts w:ascii="Times New Roman" w:hAnsi="Times New Roman"/>
          <w:sz w:val="24"/>
          <w:szCs w:val="24"/>
          <w:lang w:val="sr-Cyrl-CS"/>
        </w:rPr>
        <w:t>инс</w:t>
      </w:r>
      <w:r>
        <w:rPr>
          <w:rFonts w:ascii="Times New Roman" w:hAnsi="Times New Roman"/>
          <w:sz w:val="24"/>
          <w:szCs w:val="24"/>
          <w:lang w:val="sr-Cyrl-CS"/>
        </w:rPr>
        <w:t>титуционални механизми контроле;</w:t>
      </w:r>
      <w:r w:rsidRPr="00062B62">
        <w:rPr>
          <w:rFonts w:ascii="Times New Roman" w:hAnsi="Times New Roman"/>
          <w:sz w:val="24"/>
          <w:szCs w:val="24"/>
          <w:lang w:val="sr-Cyrl-CS"/>
        </w:rPr>
        <w:t xml:space="preserve"> </w:t>
      </w:r>
    </w:p>
    <w:p w:rsidR="00AD29FC" w:rsidRPr="00062B62" w:rsidRDefault="00AD29FC" w:rsidP="00AD29FC">
      <w:pPr>
        <w:numPr>
          <w:ilvl w:val="0"/>
          <w:numId w:val="2"/>
        </w:numPr>
        <w:jc w:val="both"/>
        <w:rPr>
          <w:rFonts w:ascii="Times New Roman" w:hAnsi="Times New Roman"/>
          <w:sz w:val="24"/>
          <w:szCs w:val="24"/>
          <w:lang w:val="sr-Cyrl-CS"/>
        </w:rPr>
      </w:pPr>
      <w:r>
        <w:rPr>
          <w:rFonts w:ascii="Times New Roman" w:hAnsi="Times New Roman"/>
          <w:sz w:val="24"/>
          <w:szCs w:val="24"/>
          <w:lang w:val="sr-Cyrl-CS"/>
        </w:rPr>
        <w:t>т</w:t>
      </w:r>
      <w:r w:rsidRPr="00062B62">
        <w:rPr>
          <w:rFonts w:ascii="Times New Roman" w:hAnsi="Times New Roman"/>
          <w:sz w:val="24"/>
          <w:szCs w:val="24"/>
          <w:lang w:val="sr-Cyrl-CS"/>
        </w:rPr>
        <w:t>ранспарентн</w:t>
      </w:r>
      <w:r>
        <w:rPr>
          <w:rFonts w:ascii="Times New Roman" w:hAnsi="Times New Roman"/>
          <w:sz w:val="24"/>
          <w:szCs w:val="24"/>
          <w:lang w:val="sr-Cyrl-CS"/>
        </w:rPr>
        <w:t>ост правила, закона и процедура;</w:t>
      </w:r>
    </w:p>
    <w:p w:rsidR="00AD29FC" w:rsidRDefault="00AD29FC" w:rsidP="00AD29FC">
      <w:pPr>
        <w:numPr>
          <w:ilvl w:val="0"/>
          <w:numId w:val="2"/>
        </w:numPr>
        <w:jc w:val="both"/>
        <w:rPr>
          <w:rFonts w:ascii="Times New Roman" w:hAnsi="Times New Roman"/>
          <w:sz w:val="24"/>
          <w:szCs w:val="24"/>
          <w:lang w:val="sr-Cyrl-CS"/>
        </w:rPr>
      </w:pPr>
      <w:r>
        <w:rPr>
          <w:rFonts w:ascii="Times New Roman" w:hAnsi="Times New Roman"/>
          <w:sz w:val="24"/>
          <w:szCs w:val="24"/>
          <w:lang w:val="sr-Cyrl-CS"/>
        </w:rPr>
        <w:t>понашање руководства и пример који дају осталима.</w:t>
      </w:r>
    </w:p>
    <w:p w:rsidR="00AD29FC" w:rsidRDefault="00AD29FC" w:rsidP="00AD29FC">
      <w:pPr>
        <w:ind w:firstLine="360"/>
        <w:jc w:val="both"/>
        <w:rPr>
          <w:rFonts w:ascii="Times New Roman" w:hAnsi="Times New Roman"/>
          <w:sz w:val="24"/>
          <w:szCs w:val="24"/>
          <w:lang w:val="sr-Cyrl-CS"/>
        </w:rPr>
      </w:pPr>
      <w:r>
        <w:rPr>
          <w:rFonts w:ascii="Times New Roman" w:hAnsi="Times New Roman"/>
          <w:sz w:val="24"/>
          <w:szCs w:val="24"/>
          <w:lang w:val="sr-Cyrl-CS"/>
        </w:rPr>
        <w:t xml:space="preserve">Према Националној стратегији за борбу против корупције Републике Србије као узроци корупције се издвајају следећи фактори: </w:t>
      </w:r>
    </w:p>
    <w:p w:rsidR="00D57455" w:rsidRPr="00D57455" w:rsidRDefault="00AD29FC" w:rsidP="00D57455">
      <w:pPr>
        <w:pStyle w:val="ListParagraph"/>
        <w:numPr>
          <w:ilvl w:val="0"/>
          <w:numId w:val="2"/>
        </w:numPr>
        <w:jc w:val="both"/>
        <w:rPr>
          <w:rFonts w:ascii="Times New Roman" w:hAnsi="Times New Roman"/>
          <w:sz w:val="24"/>
          <w:szCs w:val="24"/>
          <w:lang w:val="sr-Cyrl-CS"/>
        </w:rPr>
      </w:pPr>
      <w:r>
        <w:rPr>
          <w:rFonts w:ascii="Times New Roman" w:hAnsi="Times New Roman"/>
          <w:sz w:val="24"/>
          <w:szCs w:val="24"/>
          <w:lang w:val="sr-Cyrl-CS"/>
        </w:rPr>
        <w:t>економски: структура и трансформација власништва, прекомерна интервенција државе у привреди, непоштовање тржишних законитости, сиромаштво;</w:t>
      </w:r>
    </w:p>
    <w:p w:rsidR="00AD29FC" w:rsidRDefault="009C11B8" w:rsidP="00AD29FC">
      <w:pPr>
        <w:pStyle w:val="ListParagraph"/>
        <w:numPr>
          <w:ilvl w:val="0"/>
          <w:numId w:val="2"/>
        </w:numPr>
        <w:jc w:val="both"/>
        <w:rPr>
          <w:rFonts w:ascii="Times New Roman" w:hAnsi="Times New Roman"/>
          <w:sz w:val="24"/>
          <w:szCs w:val="24"/>
          <w:lang w:val="sr-Cyrl-CS"/>
        </w:rPr>
      </w:pPr>
      <w:r>
        <w:rPr>
          <w:rFonts w:ascii="Times New Roman" w:hAnsi="Times New Roman"/>
          <w:sz w:val="24"/>
          <w:szCs w:val="24"/>
          <w:lang w:val="sr-Cyrl-CS"/>
        </w:rPr>
        <w:t xml:space="preserve">политички: </w:t>
      </w:r>
      <w:r w:rsidR="00AD29FC">
        <w:rPr>
          <w:rFonts w:ascii="Times New Roman" w:hAnsi="Times New Roman"/>
          <w:sz w:val="24"/>
          <w:szCs w:val="24"/>
          <w:lang w:val="sr-Cyrl-CS"/>
        </w:rPr>
        <w:t xml:space="preserve">застарели и неодговарајући устав, начин функционисања политичких странака, неизвестан државноправни статус, дугогодишња </w:t>
      </w:r>
      <w:r w:rsidR="00AD29FC">
        <w:rPr>
          <w:rFonts w:ascii="Times New Roman" w:hAnsi="Times New Roman"/>
          <w:sz w:val="24"/>
          <w:szCs w:val="24"/>
          <w:lang w:val="sr-Cyrl-CS"/>
        </w:rPr>
        <w:lastRenderedPageBreak/>
        <w:t>међународна изолација, постојање неформалних центара моћи, непостојање консензуса о стратешким циљевима развоја државе;</w:t>
      </w:r>
    </w:p>
    <w:p w:rsidR="00AD29FC" w:rsidRDefault="00AD29FC" w:rsidP="00AD29FC">
      <w:pPr>
        <w:pStyle w:val="ListParagraph"/>
        <w:numPr>
          <w:ilvl w:val="0"/>
          <w:numId w:val="2"/>
        </w:numPr>
        <w:jc w:val="both"/>
        <w:rPr>
          <w:rFonts w:ascii="Times New Roman" w:hAnsi="Times New Roman"/>
          <w:sz w:val="24"/>
          <w:szCs w:val="24"/>
          <w:lang w:val="sr-Cyrl-CS"/>
        </w:rPr>
      </w:pPr>
      <w:r>
        <w:rPr>
          <w:rFonts w:ascii="Times New Roman" w:hAnsi="Times New Roman"/>
          <w:sz w:val="24"/>
          <w:szCs w:val="24"/>
          <w:lang w:val="sr-Cyrl-CS"/>
        </w:rPr>
        <w:t>правни: непримењивање или селект</w:t>
      </w:r>
      <w:r w:rsidR="009C11B8">
        <w:rPr>
          <w:rFonts w:ascii="Times New Roman" w:hAnsi="Times New Roman"/>
          <w:sz w:val="24"/>
          <w:szCs w:val="24"/>
          <w:lang w:val="sr-Cyrl-CS"/>
        </w:rPr>
        <w:t>ив</w:t>
      </w:r>
      <w:r>
        <w:rPr>
          <w:rFonts w:ascii="Times New Roman" w:hAnsi="Times New Roman"/>
          <w:sz w:val="24"/>
          <w:szCs w:val="24"/>
          <w:lang w:val="sr-Cyrl-CS"/>
        </w:rPr>
        <w:t>но примењивање прописа, постојање правних празнина, неусклађеност прописа;</w:t>
      </w:r>
    </w:p>
    <w:p w:rsidR="00AD29FC" w:rsidRDefault="00AD29FC" w:rsidP="00AD29FC">
      <w:pPr>
        <w:pStyle w:val="ListParagraph"/>
        <w:numPr>
          <w:ilvl w:val="0"/>
          <w:numId w:val="2"/>
        </w:numPr>
        <w:jc w:val="both"/>
        <w:rPr>
          <w:rFonts w:ascii="Times New Roman" w:hAnsi="Times New Roman"/>
          <w:sz w:val="24"/>
          <w:szCs w:val="24"/>
          <w:lang w:val="sr-Cyrl-CS"/>
        </w:rPr>
      </w:pPr>
      <w:r>
        <w:rPr>
          <w:rFonts w:ascii="Times New Roman" w:hAnsi="Times New Roman"/>
          <w:sz w:val="24"/>
          <w:szCs w:val="24"/>
          <w:lang w:val="sr-Cyrl-CS"/>
        </w:rPr>
        <w:t xml:space="preserve">институционални: </w:t>
      </w:r>
      <w:r w:rsidRPr="00AD29FC">
        <w:rPr>
          <w:rFonts w:ascii="Times New Roman" w:hAnsi="Times New Roman"/>
          <w:sz w:val="24"/>
          <w:szCs w:val="24"/>
          <w:lang w:val="sr-Cyrl-CS"/>
        </w:rPr>
        <w:t>непостојање или нефунк</w:t>
      </w:r>
      <w:r>
        <w:rPr>
          <w:rFonts w:ascii="Times New Roman" w:hAnsi="Times New Roman"/>
          <w:sz w:val="24"/>
          <w:szCs w:val="24"/>
          <w:lang w:val="sr-Cyrl-CS"/>
        </w:rPr>
        <w:t>ц</w:t>
      </w:r>
      <w:r w:rsidRPr="00AD29FC">
        <w:rPr>
          <w:rFonts w:ascii="Times New Roman" w:hAnsi="Times New Roman"/>
          <w:sz w:val="24"/>
          <w:szCs w:val="24"/>
          <w:lang w:val="sr-Cyrl-CS"/>
        </w:rPr>
        <w:t xml:space="preserve">ионисање институција, </w:t>
      </w:r>
      <w:r>
        <w:rPr>
          <w:rFonts w:ascii="Times New Roman" w:hAnsi="Times New Roman"/>
          <w:sz w:val="24"/>
          <w:szCs w:val="24"/>
          <w:lang w:val="sr-Cyrl-CS"/>
        </w:rPr>
        <w:t>недовољна координација, кадровска неоспособљеност и мате</w:t>
      </w:r>
      <w:r w:rsidR="009C11B8">
        <w:rPr>
          <w:rFonts w:ascii="Times New Roman" w:hAnsi="Times New Roman"/>
          <w:sz w:val="24"/>
          <w:szCs w:val="24"/>
          <w:lang w:val="sr-Cyrl-CS"/>
        </w:rPr>
        <w:t>ријална неопремљеност, некомпетен</w:t>
      </w:r>
      <w:r>
        <w:rPr>
          <w:rFonts w:ascii="Times New Roman" w:hAnsi="Times New Roman"/>
          <w:sz w:val="24"/>
          <w:szCs w:val="24"/>
          <w:lang w:val="sr-Cyrl-CS"/>
        </w:rPr>
        <w:t>тност институција;</w:t>
      </w:r>
    </w:p>
    <w:p w:rsidR="00AD29FC" w:rsidRDefault="00AD29FC" w:rsidP="00AD29FC">
      <w:pPr>
        <w:pStyle w:val="ListParagraph"/>
        <w:numPr>
          <w:ilvl w:val="0"/>
          <w:numId w:val="2"/>
        </w:numPr>
        <w:jc w:val="both"/>
        <w:rPr>
          <w:rFonts w:ascii="Times New Roman" w:hAnsi="Times New Roman"/>
          <w:sz w:val="24"/>
          <w:szCs w:val="24"/>
          <w:lang w:val="sr-Cyrl-CS"/>
        </w:rPr>
      </w:pPr>
      <w:r>
        <w:rPr>
          <w:rFonts w:ascii="Times New Roman" w:hAnsi="Times New Roman"/>
          <w:sz w:val="24"/>
          <w:szCs w:val="24"/>
          <w:lang w:val="sr-Cyrl-CS"/>
        </w:rPr>
        <w:t>историјск</w:t>
      </w:r>
      <w:r w:rsidR="00C73C69">
        <w:rPr>
          <w:rFonts w:ascii="Times New Roman" w:hAnsi="Times New Roman"/>
          <w:sz w:val="24"/>
          <w:szCs w:val="24"/>
          <w:lang w:val="sr-Cyrl-CS"/>
        </w:rPr>
        <w:t>и</w:t>
      </w:r>
      <w:r>
        <w:rPr>
          <w:rFonts w:ascii="Times New Roman" w:hAnsi="Times New Roman"/>
          <w:sz w:val="24"/>
          <w:szCs w:val="24"/>
          <w:lang w:val="sr-Cyrl-CS"/>
        </w:rPr>
        <w:t>: брза измена система друштвених вредности, последице ратова на тлу бивше Југославије, недостатак професионализма, обичаји.</w:t>
      </w:r>
      <w:r>
        <w:rPr>
          <w:rStyle w:val="FootnoteReference"/>
          <w:rFonts w:ascii="Times New Roman" w:hAnsi="Times New Roman"/>
          <w:sz w:val="24"/>
          <w:szCs w:val="24"/>
          <w:lang w:val="sr-Cyrl-CS"/>
        </w:rPr>
        <w:footnoteReference w:id="692"/>
      </w:r>
    </w:p>
    <w:p w:rsidR="00D57455" w:rsidRDefault="00D57455" w:rsidP="00265A4A">
      <w:pPr>
        <w:ind w:firstLine="360"/>
        <w:jc w:val="both"/>
        <w:rPr>
          <w:rFonts w:ascii="Times New Roman" w:hAnsi="Times New Roman"/>
          <w:sz w:val="24"/>
          <w:szCs w:val="24"/>
          <w:lang w:val="sr-Cyrl-CS"/>
        </w:rPr>
      </w:pPr>
      <w:r>
        <w:rPr>
          <w:rFonts w:ascii="Times New Roman" w:hAnsi="Times New Roman"/>
          <w:sz w:val="24"/>
          <w:szCs w:val="24"/>
          <w:lang w:val="sr-Cyrl-CS"/>
        </w:rPr>
        <w:t>С</w:t>
      </w:r>
      <w:r w:rsidRPr="00D57455">
        <w:rPr>
          <w:rFonts w:ascii="Times New Roman" w:hAnsi="Times New Roman"/>
          <w:sz w:val="24"/>
          <w:szCs w:val="24"/>
          <w:lang w:val="sr-Cyrl-CS"/>
        </w:rPr>
        <w:t>а променама друштвено-економских односа мењали су се и видови испољавања привредносг криминала и корупције. Данашњи облици ових појава имају с</w:t>
      </w:r>
      <w:r w:rsidR="00BB4CC6">
        <w:rPr>
          <w:rFonts w:ascii="Times New Roman" w:hAnsi="Times New Roman"/>
          <w:sz w:val="24"/>
          <w:szCs w:val="24"/>
          <w:lang w:val="sr-Cyrl-CS"/>
        </w:rPr>
        <w:t xml:space="preserve">воје корене током осамдесетих  </w:t>
      </w:r>
      <w:r w:rsidRPr="00D57455">
        <w:rPr>
          <w:rFonts w:ascii="Times New Roman" w:hAnsi="Times New Roman"/>
          <w:sz w:val="24"/>
          <w:szCs w:val="24"/>
          <w:lang w:val="sr-Cyrl-CS"/>
        </w:rPr>
        <w:t xml:space="preserve">година прошлог века у социјалистичком уређењу и једнопартијском систему, а током деведесетих попримиле су размере организованог криминала, када долази до енормног богаћења појединаца под окриљем политике који заузимају своја места у привредном и политичком животу. </w:t>
      </w:r>
    </w:p>
    <w:p w:rsidR="00ED4989" w:rsidRDefault="00ED4989" w:rsidP="00ED4989">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У овом излагању не можемо заобићи транзицију јер крупне промене економске структуре често доводе до пораста криминала. Процес транзиције је са преласком из командне у тржишну економију и са променама социјалистичког уређења довео до  суноврата морала, урушавања вредносног система и бројних могућности  за богаћење уз смањење одговорности. У земљама у тран</w:t>
      </w:r>
      <w:r w:rsidR="00DB2439">
        <w:rPr>
          <w:rFonts w:ascii="Times New Roman" w:hAnsi="Times New Roman"/>
          <w:sz w:val="24"/>
          <w:szCs w:val="24"/>
          <w:lang w:val="sr-Cyrl-CS"/>
        </w:rPr>
        <w:t>зицији је на</w:t>
      </w:r>
      <w:r w:rsidR="00265A4A">
        <w:rPr>
          <w:rFonts w:ascii="Times New Roman" w:hAnsi="Times New Roman"/>
          <w:sz w:val="24"/>
          <w:szCs w:val="24"/>
          <w:lang w:val="sr-Cyrl-CS"/>
        </w:rPr>
        <w:t>ро</w:t>
      </w:r>
      <w:r>
        <w:rPr>
          <w:rFonts w:ascii="Times New Roman" w:hAnsi="Times New Roman"/>
          <w:sz w:val="24"/>
          <w:szCs w:val="24"/>
          <w:lang w:val="sr-Cyrl-CS"/>
        </w:rPr>
        <w:t xml:space="preserve">чито заступљена политизација економских процеса услед повезаности политичких и економских кругова. </w:t>
      </w:r>
    </w:p>
    <w:p w:rsidR="00ED4989" w:rsidRDefault="00ED4989" w:rsidP="00ED4989">
      <w:pPr>
        <w:pStyle w:val="ListParagraph"/>
        <w:ind w:left="0" w:firstLine="630"/>
        <w:jc w:val="both"/>
        <w:rPr>
          <w:rFonts w:ascii="Times New Roman" w:hAnsi="Times New Roman"/>
          <w:sz w:val="24"/>
          <w:szCs w:val="24"/>
          <w:lang w:val="sr-Cyrl-CS"/>
        </w:rPr>
      </w:pPr>
    </w:p>
    <w:p w:rsidR="00ED4989" w:rsidRDefault="00ED4989" w:rsidP="00ED4989">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У економској сфери транзицију „обележава пре свега:</w:t>
      </w:r>
    </w:p>
    <w:p w:rsidR="00ED4989" w:rsidRDefault="00ED4989" w:rsidP="00ED4989">
      <w:pPr>
        <w:pStyle w:val="ListParagraph"/>
        <w:ind w:left="0" w:firstLine="630"/>
        <w:jc w:val="both"/>
        <w:rPr>
          <w:rFonts w:ascii="Times New Roman" w:hAnsi="Times New Roman"/>
          <w:sz w:val="24"/>
          <w:szCs w:val="24"/>
          <w:lang w:val="sr-Cyrl-CS"/>
        </w:rPr>
      </w:pPr>
    </w:p>
    <w:p w:rsidR="00ED4989" w:rsidRDefault="00ED4989" w:rsidP="00ED4989">
      <w:pPr>
        <w:pStyle w:val="ListParagraph"/>
        <w:numPr>
          <w:ilvl w:val="0"/>
          <w:numId w:val="2"/>
        </w:numPr>
        <w:jc w:val="both"/>
        <w:rPr>
          <w:rFonts w:ascii="Times New Roman" w:hAnsi="Times New Roman"/>
          <w:sz w:val="24"/>
          <w:szCs w:val="24"/>
          <w:lang w:val="sr-Cyrl-CS"/>
        </w:rPr>
      </w:pPr>
      <w:r>
        <w:rPr>
          <w:rFonts w:ascii="Times New Roman" w:hAnsi="Times New Roman"/>
          <w:sz w:val="24"/>
          <w:szCs w:val="24"/>
          <w:lang w:val="sr-Cyrl-CS"/>
        </w:rPr>
        <w:t>трансфорамција савремених друштвених односа у правцу приватизације и јавне својине;</w:t>
      </w:r>
    </w:p>
    <w:p w:rsidR="00ED4989" w:rsidRDefault="00ED4989" w:rsidP="00ED4989">
      <w:pPr>
        <w:pStyle w:val="ListParagraph"/>
        <w:numPr>
          <w:ilvl w:val="0"/>
          <w:numId w:val="2"/>
        </w:numPr>
        <w:jc w:val="both"/>
        <w:rPr>
          <w:rFonts w:ascii="Times New Roman" w:hAnsi="Times New Roman"/>
          <w:sz w:val="24"/>
          <w:szCs w:val="24"/>
          <w:lang w:val="sr-Cyrl-CS"/>
        </w:rPr>
      </w:pPr>
      <w:r>
        <w:rPr>
          <w:rFonts w:ascii="Times New Roman" w:hAnsi="Times New Roman"/>
          <w:sz w:val="24"/>
          <w:szCs w:val="24"/>
          <w:lang w:val="sr-Cyrl-CS"/>
        </w:rPr>
        <w:t>напуштање договорне, друштвено-планске привреде и афирмација тржишта и тржишних механизама регулације привредног живота;</w:t>
      </w:r>
    </w:p>
    <w:p w:rsidR="00ED4989" w:rsidRDefault="00ED4989" w:rsidP="00ED4989">
      <w:pPr>
        <w:pStyle w:val="ListParagraph"/>
        <w:numPr>
          <w:ilvl w:val="0"/>
          <w:numId w:val="2"/>
        </w:numPr>
        <w:jc w:val="both"/>
        <w:rPr>
          <w:rFonts w:ascii="Times New Roman" w:hAnsi="Times New Roman"/>
          <w:sz w:val="24"/>
          <w:szCs w:val="24"/>
          <w:lang w:val="sr-Cyrl-CS"/>
        </w:rPr>
      </w:pPr>
      <w:r>
        <w:rPr>
          <w:rFonts w:ascii="Times New Roman" w:hAnsi="Times New Roman"/>
          <w:sz w:val="24"/>
          <w:szCs w:val="24"/>
          <w:lang w:val="sr-Cyrl-CS"/>
        </w:rPr>
        <w:t>темељне економске реформе у складу са унутрашњим производним, пословним и другим могућностима и преовлађујућим тенденцијама тржишне економије савременог света у којима је сива економија у регуларно ограниченим размерама;</w:t>
      </w:r>
    </w:p>
    <w:p w:rsidR="00ED4989" w:rsidRDefault="00ED4989" w:rsidP="00ED4989">
      <w:pPr>
        <w:pStyle w:val="ListParagraph"/>
        <w:numPr>
          <w:ilvl w:val="0"/>
          <w:numId w:val="2"/>
        </w:numPr>
        <w:jc w:val="both"/>
        <w:rPr>
          <w:rFonts w:ascii="Times New Roman" w:hAnsi="Times New Roman"/>
          <w:sz w:val="24"/>
          <w:szCs w:val="24"/>
          <w:lang w:val="sr-Cyrl-CS"/>
        </w:rPr>
      </w:pPr>
      <w:r>
        <w:rPr>
          <w:rFonts w:ascii="Times New Roman" w:hAnsi="Times New Roman"/>
          <w:sz w:val="24"/>
          <w:szCs w:val="24"/>
          <w:lang w:val="sr-Cyrl-CS"/>
        </w:rPr>
        <w:t>широки и обухватни процеси друштвених, економских, социјалних развојних и других промена.“</w:t>
      </w:r>
      <w:r>
        <w:rPr>
          <w:rStyle w:val="FootnoteReference"/>
          <w:rFonts w:ascii="Times New Roman" w:hAnsi="Times New Roman"/>
          <w:sz w:val="24"/>
          <w:szCs w:val="24"/>
          <w:lang w:val="sr-Cyrl-CS"/>
        </w:rPr>
        <w:footnoteReference w:id="693"/>
      </w:r>
    </w:p>
    <w:p w:rsidR="00870DBA" w:rsidRPr="006A3804" w:rsidRDefault="00870DBA" w:rsidP="00870DBA">
      <w:pPr>
        <w:ind w:firstLine="360"/>
        <w:jc w:val="both"/>
        <w:rPr>
          <w:rFonts w:ascii="Times New Roman" w:hAnsi="Times New Roman"/>
          <w:sz w:val="24"/>
          <w:szCs w:val="24"/>
          <w:lang w:val="sr-Cyrl-CS"/>
        </w:rPr>
      </w:pPr>
      <w:r>
        <w:rPr>
          <w:rFonts w:ascii="Times New Roman" w:hAnsi="Times New Roman"/>
          <w:sz w:val="24"/>
          <w:szCs w:val="24"/>
          <w:lang w:val="sr-Cyrl-CS"/>
        </w:rPr>
        <w:t xml:space="preserve">Као </w:t>
      </w:r>
      <w:r w:rsidRPr="006A3804">
        <w:rPr>
          <w:rFonts w:ascii="Times New Roman" w:hAnsi="Times New Roman"/>
          <w:sz w:val="24"/>
          <w:szCs w:val="24"/>
          <w:lang w:val="sr-Cyrl-CS"/>
        </w:rPr>
        <w:t>основни узроци корупције и заједнички криминогени фактори</w:t>
      </w:r>
      <w:r w:rsidRPr="00C71A21">
        <w:rPr>
          <w:rFonts w:ascii="Times New Roman" w:hAnsi="Times New Roman"/>
          <w:sz w:val="24"/>
          <w:szCs w:val="24"/>
          <w:lang w:val="sr-Cyrl-CS"/>
        </w:rPr>
        <w:t xml:space="preserve"> </w:t>
      </w:r>
      <w:r>
        <w:rPr>
          <w:rFonts w:ascii="Times New Roman" w:hAnsi="Times New Roman"/>
          <w:sz w:val="24"/>
          <w:szCs w:val="24"/>
          <w:lang w:val="sr-Cyrl-CS"/>
        </w:rPr>
        <w:t>з</w:t>
      </w:r>
      <w:r w:rsidRPr="006A3804">
        <w:rPr>
          <w:rFonts w:ascii="Times New Roman" w:hAnsi="Times New Roman"/>
          <w:sz w:val="24"/>
          <w:szCs w:val="24"/>
          <w:lang w:val="sr-Cyrl-CS"/>
        </w:rPr>
        <w:t>а земље у транзицији или за оне земље које су прошле транзицију наводе</w:t>
      </w:r>
      <w:r>
        <w:rPr>
          <w:rFonts w:ascii="Times New Roman" w:hAnsi="Times New Roman"/>
          <w:sz w:val="24"/>
          <w:szCs w:val="24"/>
          <w:lang w:val="sr-Cyrl-CS"/>
        </w:rPr>
        <w:t xml:space="preserve"> се</w:t>
      </w:r>
      <w:r w:rsidRPr="006A3804">
        <w:rPr>
          <w:rFonts w:ascii="Times New Roman" w:hAnsi="Times New Roman"/>
          <w:sz w:val="24"/>
          <w:szCs w:val="24"/>
          <w:lang w:val="sr-Cyrl-CS"/>
        </w:rPr>
        <w:t>:</w:t>
      </w:r>
    </w:p>
    <w:p w:rsidR="00870DBA" w:rsidRPr="006A3804" w:rsidRDefault="00870DBA" w:rsidP="00870DBA">
      <w:pPr>
        <w:numPr>
          <w:ilvl w:val="0"/>
          <w:numId w:val="2"/>
        </w:numPr>
        <w:jc w:val="both"/>
        <w:rPr>
          <w:rFonts w:ascii="Times New Roman" w:hAnsi="Times New Roman"/>
          <w:sz w:val="24"/>
          <w:szCs w:val="24"/>
          <w:lang w:val="sr-Cyrl-CS"/>
        </w:rPr>
      </w:pPr>
      <w:r>
        <w:rPr>
          <w:rFonts w:ascii="Times New Roman" w:hAnsi="Times New Roman"/>
          <w:sz w:val="24"/>
          <w:szCs w:val="24"/>
          <w:lang w:val="sr-Cyrl-CS"/>
        </w:rPr>
        <w:t>„Економски односи (тржишна привреда);</w:t>
      </w:r>
    </w:p>
    <w:p w:rsidR="00870DBA" w:rsidRPr="006A3804" w:rsidRDefault="00870DBA" w:rsidP="00870DBA">
      <w:pPr>
        <w:numPr>
          <w:ilvl w:val="0"/>
          <w:numId w:val="2"/>
        </w:numPr>
        <w:jc w:val="both"/>
        <w:rPr>
          <w:rFonts w:ascii="Times New Roman" w:hAnsi="Times New Roman"/>
          <w:sz w:val="24"/>
          <w:szCs w:val="24"/>
          <w:lang w:val="sr-Cyrl-CS"/>
        </w:rPr>
      </w:pPr>
      <w:r w:rsidRPr="006A3804">
        <w:rPr>
          <w:rFonts w:ascii="Times New Roman" w:hAnsi="Times New Roman"/>
          <w:sz w:val="24"/>
          <w:szCs w:val="24"/>
          <w:lang w:val="sr-Cyrl-CS"/>
        </w:rPr>
        <w:lastRenderedPageBreak/>
        <w:t>Морал и индивидуалан однос сваког појединаца у склопу општих друштвених односа;</w:t>
      </w:r>
    </w:p>
    <w:p w:rsidR="00870DBA" w:rsidRDefault="00870DBA" w:rsidP="00870DBA">
      <w:pPr>
        <w:numPr>
          <w:ilvl w:val="0"/>
          <w:numId w:val="2"/>
        </w:numPr>
        <w:jc w:val="both"/>
        <w:rPr>
          <w:rFonts w:ascii="Times New Roman" w:hAnsi="Times New Roman"/>
          <w:sz w:val="24"/>
          <w:szCs w:val="24"/>
          <w:lang w:val="sr-Cyrl-CS"/>
        </w:rPr>
      </w:pPr>
      <w:r>
        <w:rPr>
          <w:rFonts w:ascii="Times New Roman" w:hAnsi="Times New Roman"/>
          <w:sz w:val="24"/>
          <w:szCs w:val="24"/>
          <w:lang w:val="sr-Cyrl-CS"/>
        </w:rPr>
        <w:t>Недовољна и неефикасна контрола;</w:t>
      </w:r>
    </w:p>
    <w:p w:rsidR="00870DBA" w:rsidRDefault="00870DBA" w:rsidP="00870DBA">
      <w:pPr>
        <w:numPr>
          <w:ilvl w:val="0"/>
          <w:numId w:val="2"/>
        </w:numPr>
        <w:jc w:val="both"/>
        <w:rPr>
          <w:rFonts w:ascii="Times New Roman" w:hAnsi="Times New Roman"/>
          <w:sz w:val="24"/>
          <w:szCs w:val="24"/>
          <w:lang w:val="sr-Cyrl-CS"/>
        </w:rPr>
      </w:pPr>
      <w:r>
        <w:rPr>
          <w:rFonts w:ascii="Times New Roman" w:hAnsi="Times New Roman"/>
          <w:sz w:val="24"/>
          <w:szCs w:val="24"/>
          <w:lang w:val="sr-Cyrl-CS"/>
        </w:rPr>
        <w:t>Застарела, слаба и неадекватна организација;</w:t>
      </w:r>
    </w:p>
    <w:p w:rsidR="00870DBA" w:rsidRDefault="00870DBA" w:rsidP="00870DBA">
      <w:pPr>
        <w:numPr>
          <w:ilvl w:val="0"/>
          <w:numId w:val="2"/>
        </w:numPr>
        <w:jc w:val="both"/>
        <w:rPr>
          <w:rFonts w:ascii="Times New Roman" w:hAnsi="Times New Roman"/>
          <w:sz w:val="24"/>
          <w:szCs w:val="24"/>
          <w:lang w:val="sr-Cyrl-CS"/>
        </w:rPr>
      </w:pPr>
      <w:r>
        <w:rPr>
          <w:rFonts w:ascii="Times New Roman" w:hAnsi="Times New Roman"/>
          <w:sz w:val="24"/>
          <w:szCs w:val="24"/>
          <w:lang w:val="sr-Cyrl-CS"/>
        </w:rPr>
        <w:t>Непотпуни прописи и њихово непоштовање;</w:t>
      </w:r>
    </w:p>
    <w:p w:rsidR="00870DBA" w:rsidRDefault="00870DBA" w:rsidP="00870DBA">
      <w:pPr>
        <w:numPr>
          <w:ilvl w:val="0"/>
          <w:numId w:val="2"/>
        </w:numPr>
        <w:jc w:val="both"/>
        <w:rPr>
          <w:rFonts w:ascii="Times New Roman" w:hAnsi="Times New Roman"/>
          <w:sz w:val="24"/>
          <w:szCs w:val="24"/>
          <w:lang w:val="sr-Cyrl-CS"/>
        </w:rPr>
      </w:pPr>
      <w:r>
        <w:rPr>
          <w:rFonts w:ascii="Times New Roman" w:hAnsi="Times New Roman"/>
          <w:sz w:val="24"/>
          <w:szCs w:val="24"/>
          <w:lang w:val="sr-Cyrl-CS"/>
        </w:rPr>
        <w:t>Социјалне неједнакости и социјални конфликти;</w:t>
      </w:r>
    </w:p>
    <w:p w:rsidR="00870DBA" w:rsidRDefault="00870DBA" w:rsidP="00870DBA">
      <w:pPr>
        <w:numPr>
          <w:ilvl w:val="0"/>
          <w:numId w:val="2"/>
        </w:numPr>
        <w:jc w:val="both"/>
        <w:rPr>
          <w:rFonts w:ascii="Times New Roman" w:hAnsi="Times New Roman"/>
          <w:sz w:val="24"/>
          <w:szCs w:val="24"/>
          <w:lang w:val="sr-Cyrl-CS"/>
        </w:rPr>
      </w:pPr>
      <w:r>
        <w:rPr>
          <w:rFonts w:ascii="Times New Roman" w:hAnsi="Times New Roman"/>
          <w:sz w:val="24"/>
          <w:szCs w:val="24"/>
          <w:lang w:val="sr-Cyrl-CS"/>
        </w:rPr>
        <w:t xml:space="preserve"> Демократизација друштва;</w:t>
      </w:r>
    </w:p>
    <w:p w:rsidR="00870DBA" w:rsidRPr="00870DBA" w:rsidRDefault="00870DBA" w:rsidP="00870DBA">
      <w:pPr>
        <w:numPr>
          <w:ilvl w:val="0"/>
          <w:numId w:val="2"/>
        </w:numPr>
        <w:jc w:val="both"/>
        <w:rPr>
          <w:rFonts w:ascii="Times New Roman" w:hAnsi="Times New Roman"/>
          <w:sz w:val="24"/>
          <w:szCs w:val="24"/>
          <w:lang w:val="sr-Cyrl-CS"/>
        </w:rPr>
      </w:pPr>
      <w:r>
        <w:rPr>
          <w:rFonts w:ascii="Times New Roman" w:hAnsi="Times New Roman"/>
          <w:sz w:val="24"/>
          <w:szCs w:val="24"/>
          <w:lang w:val="sr-Cyrl-CS"/>
        </w:rPr>
        <w:t>Ниска примања.“</w:t>
      </w:r>
      <w:r>
        <w:rPr>
          <w:rStyle w:val="FootnoteReference"/>
          <w:rFonts w:ascii="Times New Roman" w:hAnsi="Times New Roman"/>
          <w:sz w:val="24"/>
          <w:szCs w:val="24"/>
          <w:lang w:val="sr-Cyrl-CS"/>
        </w:rPr>
        <w:footnoteReference w:id="694"/>
      </w:r>
    </w:p>
    <w:p w:rsidR="00870DBA" w:rsidRDefault="00870DBA" w:rsidP="00870DBA">
      <w:pPr>
        <w:pStyle w:val="ListParagraph"/>
        <w:jc w:val="both"/>
        <w:rPr>
          <w:rFonts w:ascii="Times New Roman" w:hAnsi="Times New Roman"/>
          <w:sz w:val="24"/>
          <w:szCs w:val="24"/>
          <w:lang w:val="sr-Cyrl-CS"/>
        </w:rPr>
      </w:pPr>
    </w:p>
    <w:p w:rsidR="00870DBA" w:rsidRDefault="00870DBA" w:rsidP="00870DBA">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Свака држава која пролази кроз овај процес има своје специфичности. У случају наше земље транзиција се одвијала у специфичним ратним условима, условима политичких и економских санкција  Уједињених нација, као и агресије НАТО пакта на СРЈ. Такви услови су довели до укидања легалног платног промета, до несташице робе, галопирајуће инфлације, није било јасне регулативе, прописи се нису примењивали, што је све погодовало развоју нелегалног тржишта, енормних зарада од промета на „црном тржишту“, зарада на курсним разликама, корупције и других негативних појава. Нелегално пословање не само што је пружало могућности за огромне зараде, него је омогућавало и избегавање плаћање пореза. Политичким одлукама се утицало на профитабилност појединих привредних субјеката, а процес приватизације је  погодовао овим негативним појавама и  прању новца. Наиме, приватизација представља област која отвара простор за бројне злоупотребе преко омогућавања приступа државном власништву само одређеним субјектима. Такве приватизације се не спроводе према економским критеријумима и даље воде ка неефикасном пословању предузећа и његовој ликвидацији.</w:t>
      </w:r>
    </w:p>
    <w:p w:rsidR="002233FF" w:rsidRDefault="002233FF" w:rsidP="00870DBA">
      <w:pPr>
        <w:pStyle w:val="ListParagraph"/>
        <w:ind w:left="0" w:firstLine="630"/>
        <w:jc w:val="both"/>
        <w:rPr>
          <w:rFonts w:ascii="Times New Roman" w:hAnsi="Times New Roman"/>
          <w:sz w:val="24"/>
          <w:szCs w:val="24"/>
          <w:lang w:val="sr-Cyrl-CS"/>
        </w:rPr>
      </w:pPr>
    </w:p>
    <w:p w:rsidR="002233FF" w:rsidRDefault="00265A4A" w:rsidP="00265A4A">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У</w:t>
      </w:r>
      <w:r w:rsidR="002233FF">
        <w:rPr>
          <w:rFonts w:ascii="Times New Roman" w:hAnsi="Times New Roman"/>
          <w:sz w:val="24"/>
          <w:szCs w:val="24"/>
          <w:lang w:val="sr-Cyrl-CS"/>
        </w:rPr>
        <w:t xml:space="preserve"> </w:t>
      </w:r>
      <w:r>
        <w:rPr>
          <w:rFonts w:ascii="Times New Roman" w:hAnsi="Times New Roman"/>
          <w:sz w:val="24"/>
          <w:szCs w:val="24"/>
          <w:lang w:val="sr-Cyrl-CS"/>
        </w:rPr>
        <w:t>условима нејасне законске регулативе, непримењивања закона</w:t>
      </w:r>
      <w:r w:rsidR="002233FF">
        <w:rPr>
          <w:rFonts w:ascii="Times New Roman" w:hAnsi="Times New Roman"/>
          <w:sz w:val="24"/>
          <w:szCs w:val="24"/>
          <w:lang w:val="sr-Cyrl-CS"/>
        </w:rPr>
        <w:t xml:space="preserve"> и уопште слабе правне државе стварају се околности које погодују привредном криминалу и корупцији.</w:t>
      </w:r>
      <w:r>
        <w:rPr>
          <w:rFonts w:ascii="Times New Roman" w:hAnsi="Times New Roman"/>
          <w:sz w:val="24"/>
          <w:szCs w:val="24"/>
          <w:lang w:val="sr-Cyrl-CS"/>
        </w:rPr>
        <w:t xml:space="preserve"> </w:t>
      </w:r>
      <w:r w:rsidR="002233FF">
        <w:rPr>
          <w:rFonts w:ascii="Times New Roman" w:hAnsi="Times New Roman"/>
          <w:sz w:val="24"/>
          <w:szCs w:val="24"/>
          <w:lang w:val="sr-Cyrl-CS"/>
        </w:rPr>
        <w:t xml:space="preserve">Недоречени правни прописи су у нашим условима били пратилац својинске трансформације средином деведесетих. Пратилац својинске трансформације су због тога биле и бројне злоупотребе и изигравање прописа који су регулисали материју трансформације друштвене у друге облике својине. </w:t>
      </w:r>
      <w:r w:rsidR="002233FF" w:rsidRPr="00C7403B">
        <w:rPr>
          <w:rFonts w:ascii="Times New Roman" w:hAnsi="Times New Roman"/>
          <w:sz w:val="24"/>
          <w:szCs w:val="24"/>
          <w:lang w:val="sr-Cyrl-CS"/>
        </w:rPr>
        <w:t>Руководећи и други радници у</w:t>
      </w:r>
      <w:r w:rsidR="002233FF">
        <w:rPr>
          <w:rFonts w:ascii="Times New Roman" w:hAnsi="Times New Roman"/>
          <w:sz w:val="24"/>
          <w:szCs w:val="24"/>
          <w:lang w:val="sr-Cyrl-CS"/>
        </w:rPr>
        <w:t xml:space="preserve"> предузећу, најчешће директори, су обезвређивали имовину на различите начине. Вршили</w:t>
      </w:r>
      <w:r w:rsidR="002233FF" w:rsidRPr="00C7403B">
        <w:rPr>
          <w:rFonts w:ascii="Times New Roman" w:hAnsi="Times New Roman"/>
          <w:sz w:val="24"/>
          <w:szCs w:val="24"/>
          <w:lang w:val="sr-Cyrl-CS"/>
        </w:rPr>
        <w:t xml:space="preserve"> су отуђење пословних просторија и основних средстава по нижим ценама од стварних и тако умањивали вредност имовине предузећа предвиђене за откуп или су на други начин обезвређивали имовину или су непотпуно приказивали имовину чија се трансформација вршила. </w:t>
      </w:r>
      <w:r w:rsidR="002233FF">
        <w:rPr>
          <w:rFonts w:ascii="Times New Roman" w:hAnsi="Times New Roman"/>
          <w:sz w:val="24"/>
          <w:szCs w:val="24"/>
          <w:lang w:val="sr-Cyrl-CS"/>
        </w:rPr>
        <w:t>Вредност имовине је умањивана и</w:t>
      </w:r>
      <w:r w:rsidR="002233FF" w:rsidRPr="00C7403B">
        <w:rPr>
          <w:rFonts w:ascii="Times New Roman" w:hAnsi="Times New Roman"/>
          <w:sz w:val="24"/>
          <w:szCs w:val="24"/>
          <w:lang w:val="sr-Cyrl-CS"/>
        </w:rPr>
        <w:t xml:space="preserve"> уз помоћ корупције </w:t>
      </w:r>
      <w:r w:rsidR="002233FF" w:rsidRPr="00C7403B">
        <w:rPr>
          <w:rFonts w:ascii="Times New Roman" w:hAnsi="Times New Roman"/>
          <w:sz w:val="24"/>
          <w:szCs w:val="24"/>
          <w:lang w:val="sr-Cyrl-CS"/>
        </w:rPr>
        <w:lastRenderedPageBreak/>
        <w:t>овлашћеним лицима за процену имовин</w:t>
      </w:r>
      <w:r w:rsidR="002233FF">
        <w:rPr>
          <w:rFonts w:ascii="Times New Roman" w:hAnsi="Times New Roman"/>
          <w:sz w:val="24"/>
          <w:szCs w:val="24"/>
          <w:lang w:val="sr-Cyrl-CS"/>
        </w:rPr>
        <w:t>е, подношењем фалсификоване докуменације</w:t>
      </w:r>
      <w:r w:rsidR="002233FF" w:rsidRPr="00C7403B">
        <w:rPr>
          <w:rFonts w:ascii="Times New Roman" w:hAnsi="Times New Roman"/>
          <w:sz w:val="24"/>
          <w:szCs w:val="24"/>
          <w:lang w:val="sr-Cyrl-CS"/>
        </w:rPr>
        <w:t>.</w:t>
      </w:r>
      <w:r w:rsidR="002233FF">
        <w:rPr>
          <w:rStyle w:val="FootnoteReference"/>
          <w:rFonts w:ascii="Times New Roman" w:hAnsi="Times New Roman"/>
          <w:sz w:val="24"/>
          <w:szCs w:val="24"/>
          <w:lang w:val="sr-Cyrl-CS"/>
        </w:rPr>
        <w:footnoteReference w:id="695"/>
      </w:r>
    </w:p>
    <w:p w:rsidR="00265A4A" w:rsidRPr="00265A4A" w:rsidRDefault="00265A4A" w:rsidP="00265A4A">
      <w:pPr>
        <w:pStyle w:val="ListParagraph"/>
        <w:ind w:left="0" w:firstLine="630"/>
        <w:jc w:val="both"/>
        <w:rPr>
          <w:rFonts w:ascii="Times New Roman" w:hAnsi="Times New Roman"/>
          <w:sz w:val="24"/>
          <w:szCs w:val="24"/>
          <w:lang w:val="sr-Cyrl-CS"/>
        </w:rPr>
      </w:pPr>
    </w:p>
    <w:p w:rsidR="002233FF" w:rsidRDefault="002233FF" w:rsidP="002233FF">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Институционални чиниоци су такође битни за ширење привредног криминала и корупције. Слабост инситуционалног оквира је нарочито изражена код земаљ</w:t>
      </w:r>
      <w:r w:rsidR="00265A4A">
        <w:rPr>
          <w:rFonts w:ascii="Times New Roman" w:hAnsi="Times New Roman"/>
          <w:sz w:val="24"/>
          <w:szCs w:val="24"/>
          <w:lang w:val="sr-Cyrl-CS"/>
        </w:rPr>
        <w:t>а у транзицији, па тако и у нашој земљи.</w:t>
      </w:r>
      <w:r>
        <w:rPr>
          <w:rFonts w:ascii="Times New Roman" w:hAnsi="Times New Roman"/>
          <w:sz w:val="24"/>
          <w:szCs w:val="24"/>
          <w:lang w:val="sr-Cyrl-CS"/>
        </w:rPr>
        <w:t xml:space="preserve"> Политички уплив у економске процесе је нарочито изражен када постоји слабост институционалног оквира, посебно у предизборно време. Слаб инситиуционални оквир пружа простор корупцији да уђе у сферу економског и политичког живота. У условима када корупција поприми системске размере веза између политике и делова јавног сектора је ваома јака.  </w:t>
      </w:r>
    </w:p>
    <w:p w:rsidR="00265A4A" w:rsidRDefault="00265A4A" w:rsidP="002233FF">
      <w:pPr>
        <w:pStyle w:val="ListParagraph"/>
        <w:ind w:left="0" w:firstLine="630"/>
        <w:jc w:val="both"/>
        <w:rPr>
          <w:rFonts w:ascii="Times New Roman" w:hAnsi="Times New Roman"/>
          <w:sz w:val="24"/>
          <w:szCs w:val="24"/>
          <w:lang w:val="sr-Cyrl-CS"/>
        </w:rPr>
      </w:pPr>
    </w:p>
    <w:p w:rsidR="009402DF" w:rsidRDefault="00A23716" w:rsidP="00731282">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При том, у</w:t>
      </w:r>
      <w:r w:rsidR="00265A4A">
        <w:rPr>
          <w:rFonts w:ascii="Times New Roman" w:hAnsi="Times New Roman"/>
          <w:sz w:val="24"/>
          <w:szCs w:val="24"/>
          <w:lang w:val="sr-Cyrl-CS"/>
        </w:rPr>
        <w:t xml:space="preserve"> Србији јавне службе функционишу још увек без адекватног управљања људским потенцијалима. За кадрове у влади се не примењује управљање у складу са демократским кодексом професионалних, јавних службеника. Приликом пријема у државну службу постоје правила и прописи у неким случајевима само формално, јер се именовања и унапређења обављају према политичкој припадности или лојалности, а не према квалитетима и квалификацијама појединаца. Свему томе доприносе мале надокнаде у јавним службама које узрокују ниску мотивацију за рад, недисциплину и неодговорност према послу што све даље имплицира корумпираност</w:t>
      </w:r>
      <w:r w:rsidR="00265A4A">
        <w:rPr>
          <w:rFonts w:ascii="Times New Roman" w:hAnsi="Times New Roman"/>
          <w:sz w:val="24"/>
          <w:szCs w:val="24"/>
        </w:rPr>
        <w:t>.</w:t>
      </w:r>
      <w:r w:rsidR="00265A4A">
        <w:rPr>
          <w:rStyle w:val="FootnoteReference"/>
          <w:rFonts w:ascii="Times New Roman" w:hAnsi="Times New Roman"/>
          <w:sz w:val="24"/>
          <w:szCs w:val="24"/>
          <w:lang w:val="sr-Cyrl-CS"/>
        </w:rPr>
        <w:footnoteReference w:id="696"/>
      </w:r>
      <w:r w:rsidR="00265A4A">
        <w:rPr>
          <w:rFonts w:ascii="Times New Roman" w:hAnsi="Times New Roman"/>
          <w:sz w:val="24"/>
          <w:szCs w:val="24"/>
          <w:lang w:val="sr-Cyrl-CS"/>
        </w:rPr>
        <w:t xml:space="preserve"> </w:t>
      </w:r>
      <w:r w:rsidR="00BF69CF">
        <w:rPr>
          <w:rFonts w:ascii="Times New Roman" w:hAnsi="Times New Roman"/>
          <w:sz w:val="24"/>
          <w:szCs w:val="24"/>
          <w:lang w:val="sr-Cyrl-CS"/>
        </w:rPr>
        <w:t xml:space="preserve">Учесталост коруптивног понашања у свакој институцији зависи посредно или непосредно од заступљености запослених са снажним моралним интегритетом. </w:t>
      </w:r>
      <w:r w:rsidR="00731282">
        <w:rPr>
          <w:rFonts w:ascii="Times New Roman" w:hAnsi="Times New Roman"/>
          <w:sz w:val="24"/>
          <w:szCs w:val="24"/>
          <w:lang w:val="sr-Cyrl-CS"/>
        </w:rPr>
        <w:t xml:space="preserve">Због тога важно место у свеобухватном спречавању корупције има пажљивија селекција кадра у јавној управи, посебно руководећег кадра. </w:t>
      </w:r>
      <w:r w:rsidR="00BF69CF">
        <w:rPr>
          <w:rFonts w:ascii="Times New Roman" w:hAnsi="Times New Roman"/>
          <w:sz w:val="24"/>
          <w:szCs w:val="24"/>
          <w:lang w:val="sr-Cyrl-CS"/>
        </w:rPr>
        <w:t>Битну улогу свакако има и награђивање запослених пре</w:t>
      </w:r>
      <w:r w:rsidR="00731282">
        <w:rPr>
          <w:rFonts w:ascii="Times New Roman" w:hAnsi="Times New Roman"/>
          <w:sz w:val="24"/>
          <w:szCs w:val="24"/>
          <w:lang w:val="sr-Cyrl-CS"/>
        </w:rPr>
        <w:t>ма етичности и резултатима рада</w:t>
      </w:r>
      <w:r w:rsidR="00BF69CF">
        <w:rPr>
          <w:rFonts w:ascii="Times New Roman" w:hAnsi="Times New Roman"/>
          <w:sz w:val="24"/>
          <w:szCs w:val="24"/>
          <w:lang w:val="sr-Cyrl-CS"/>
        </w:rPr>
        <w:t>.</w:t>
      </w:r>
      <w:r w:rsidR="00BF69CF">
        <w:rPr>
          <w:rStyle w:val="FootnoteReference"/>
          <w:rFonts w:ascii="Times New Roman" w:hAnsi="Times New Roman"/>
          <w:sz w:val="24"/>
          <w:szCs w:val="24"/>
          <w:lang w:val="sr-Cyrl-CS"/>
        </w:rPr>
        <w:footnoteReference w:id="697"/>
      </w:r>
      <w:r w:rsidR="00731282">
        <w:rPr>
          <w:rFonts w:ascii="Times New Roman" w:hAnsi="Times New Roman"/>
          <w:sz w:val="24"/>
          <w:szCs w:val="24"/>
          <w:lang w:val="sr-Cyrl-CS"/>
        </w:rPr>
        <w:t xml:space="preserve"> </w:t>
      </w:r>
    </w:p>
    <w:p w:rsidR="009402DF" w:rsidRDefault="009402DF" w:rsidP="00731282">
      <w:pPr>
        <w:pStyle w:val="ListParagraph"/>
        <w:ind w:left="0" w:firstLine="630"/>
        <w:jc w:val="both"/>
        <w:rPr>
          <w:rFonts w:ascii="Times New Roman" w:hAnsi="Times New Roman"/>
          <w:sz w:val="24"/>
          <w:szCs w:val="24"/>
          <w:lang w:val="sr-Cyrl-CS"/>
        </w:rPr>
      </w:pPr>
    </w:p>
    <w:p w:rsidR="00B76178" w:rsidRPr="009402DF" w:rsidRDefault="009402DF" w:rsidP="009402DF">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Ширењу привредног криминала и корупције доприноси и то што унутрашња организација и контрола у правним лицима често поседује бројне слабости па се корупција и привредни криминал не откривају. Запослени, пак,  ретко пријављују случајеве злоупотреба, а ако то и учине такве пријаве су анонимне и без релевантних доказа. До тога долази јер се плаше за своја радна места, односно да не добију отказ. Често постоји јака повезаност између више лица као саучесника, па се незаконите одлуке „крију“ иза колективне одговорности управног одбора, надзорног одбора и других органа. Мимо тога, како би се прикриле незаконите одлуке сачињава се фалсификована документација да је одлуку донео орган предузећа или да је одлука донета по његовом одобрењу, иако седнице нису одржане, или на седницама није била присутна потребна већина, па такве одлуке не могу бити валидне. Осим тога, често се у пракси дешава и да се одређене одлуке</w:t>
      </w:r>
      <w:r w:rsidR="00710216">
        <w:rPr>
          <w:rFonts w:ascii="Times New Roman" w:hAnsi="Times New Roman"/>
          <w:sz w:val="24"/>
          <w:szCs w:val="24"/>
          <w:lang w:val="sr-Cyrl-CS"/>
        </w:rPr>
        <w:t xml:space="preserve"> доносе након примања мита, који</w:t>
      </w:r>
      <w:r>
        <w:rPr>
          <w:rFonts w:ascii="Times New Roman" w:hAnsi="Times New Roman"/>
          <w:sz w:val="24"/>
          <w:szCs w:val="24"/>
          <w:lang w:val="sr-Cyrl-CS"/>
        </w:rPr>
        <w:t xml:space="preserve"> не мора бити </w:t>
      </w:r>
      <w:r>
        <w:rPr>
          <w:rFonts w:ascii="Times New Roman" w:hAnsi="Times New Roman"/>
          <w:sz w:val="24"/>
          <w:szCs w:val="24"/>
          <w:lang w:val="sr-Cyrl-CS"/>
        </w:rPr>
        <w:lastRenderedPageBreak/>
        <w:t xml:space="preserve">само у новцу, већ на пример у виду добијања стана, плаћеног путовања, авионских карата, рачуна за мобилни телефон или угоститељских трошкова. При том, ради лакшег вршења злоупотреба међусобно неспојиве функције врши исто лице. Дешава се </w:t>
      </w:r>
      <w:r w:rsidR="00EF5144">
        <w:rPr>
          <w:rFonts w:ascii="Times New Roman" w:hAnsi="Times New Roman"/>
          <w:sz w:val="24"/>
          <w:szCs w:val="24"/>
          <w:lang w:val="sr-Cyrl-CS"/>
        </w:rPr>
        <w:t xml:space="preserve">и </w:t>
      </w:r>
      <w:r>
        <w:rPr>
          <w:rFonts w:ascii="Times New Roman" w:hAnsi="Times New Roman"/>
          <w:sz w:val="24"/>
          <w:szCs w:val="24"/>
          <w:lang w:val="sr-Cyrl-CS"/>
        </w:rPr>
        <w:t>да се на одговорним местима са великим овлашћењима налазе осуђивана лица или је, што је још чешће,  против њих у току кривични поступак, који посебно када је реч о привредном криминалу и корупцији често дуго траје. Ова лица тако настављају да се баве вршењем кривичних дела. Имајући у виду све наведено, квалитетна алокација људских ресурса је од великог значаја за спречавање злоупотреба.</w:t>
      </w:r>
    </w:p>
    <w:p w:rsidR="00073725" w:rsidRDefault="00D64BC4" w:rsidP="00D64BC4">
      <w:pPr>
        <w:ind w:firstLine="360"/>
        <w:jc w:val="both"/>
        <w:rPr>
          <w:rFonts w:ascii="Times New Roman" w:hAnsi="Times New Roman"/>
          <w:sz w:val="24"/>
          <w:szCs w:val="24"/>
        </w:rPr>
      </w:pPr>
      <w:r>
        <w:rPr>
          <w:rFonts w:ascii="Times New Roman" w:hAnsi="Times New Roman"/>
          <w:sz w:val="24"/>
          <w:szCs w:val="24"/>
          <w:lang w:val="sr-Cyrl-CS"/>
        </w:rPr>
        <w:t>Према истраживању Центра за либерал</w:t>
      </w:r>
      <w:r w:rsidR="00073725" w:rsidRPr="00D64BC4">
        <w:rPr>
          <w:rFonts w:ascii="Times New Roman" w:hAnsi="Times New Roman"/>
          <w:sz w:val="24"/>
          <w:szCs w:val="24"/>
          <w:lang w:val="sr-Cyrl-CS"/>
        </w:rPr>
        <w:t xml:space="preserve">но-демократске студије за Србију </w:t>
      </w:r>
      <w:r>
        <w:rPr>
          <w:rFonts w:ascii="Times New Roman" w:hAnsi="Times New Roman"/>
          <w:sz w:val="24"/>
          <w:szCs w:val="24"/>
          <w:lang w:val="sr-Cyrl-CS"/>
        </w:rPr>
        <w:t xml:space="preserve">је </w:t>
      </w:r>
      <w:r w:rsidR="00073725" w:rsidRPr="00D64BC4">
        <w:rPr>
          <w:rFonts w:ascii="Times New Roman" w:hAnsi="Times New Roman"/>
          <w:sz w:val="24"/>
          <w:szCs w:val="24"/>
          <w:lang w:val="sr-Cyrl-CS"/>
        </w:rPr>
        <w:t>карактеристичан низак порески морал,</w:t>
      </w:r>
      <w:r w:rsidR="000061DF">
        <w:rPr>
          <w:rFonts w:ascii="Times New Roman" w:hAnsi="Times New Roman"/>
          <w:sz w:val="24"/>
          <w:szCs w:val="24"/>
          <w:lang w:val="sr-Cyrl-CS"/>
        </w:rPr>
        <w:t xml:space="preserve"> као и корупција пореске службе и т</w:t>
      </w:r>
      <w:r w:rsidR="00073725" w:rsidRPr="00D64BC4">
        <w:rPr>
          <w:rFonts w:ascii="Times New Roman" w:hAnsi="Times New Roman"/>
          <w:sz w:val="24"/>
          <w:szCs w:val="24"/>
          <w:lang w:val="sr-Cyrl-CS"/>
        </w:rPr>
        <w:t>о истраживање је показало  да је најкорумпиранија царина, а одм</w:t>
      </w:r>
      <w:r w:rsidR="000061DF">
        <w:rPr>
          <w:rFonts w:ascii="Times New Roman" w:hAnsi="Times New Roman"/>
          <w:sz w:val="24"/>
          <w:szCs w:val="24"/>
          <w:lang w:val="sr-Cyrl-CS"/>
        </w:rPr>
        <w:t xml:space="preserve">ах иза ње долази пореска управа. </w:t>
      </w:r>
      <w:r w:rsidR="009402DF">
        <w:rPr>
          <w:rFonts w:ascii="Times New Roman" w:hAnsi="Times New Roman"/>
          <w:sz w:val="24"/>
          <w:szCs w:val="24"/>
          <w:lang w:val="sr-Cyrl-CS"/>
        </w:rPr>
        <w:t>Ово</w:t>
      </w:r>
      <w:r w:rsidR="000061DF">
        <w:rPr>
          <w:rFonts w:ascii="Times New Roman" w:hAnsi="Times New Roman"/>
          <w:sz w:val="24"/>
          <w:szCs w:val="24"/>
          <w:lang w:val="sr-Cyrl-CS"/>
        </w:rPr>
        <w:t xml:space="preserve"> истраживање је показало и да</w:t>
      </w:r>
      <w:r w:rsidR="00073725" w:rsidRPr="00D64BC4">
        <w:rPr>
          <w:rFonts w:ascii="Times New Roman" w:hAnsi="Times New Roman"/>
          <w:sz w:val="24"/>
          <w:szCs w:val="24"/>
          <w:lang w:val="sr-Cyrl-CS"/>
        </w:rPr>
        <w:t xml:space="preserve"> </w:t>
      </w:r>
      <w:r w:rsidR="00950272">
        <w:rPr>
          <w:rFonts w:ascii="Times New Roman" w:hAnsi="Times New Roman"/>
          <w:sz w:val="24"/>
          <w:szCs w:val="24"/>
          <w:lang w:val="sr-Cyrl-CS"/>
        </w:rPr>
        <w:t>је веома тешко доказати корупцију у Србији</w:t>
      </w:r>
      <w:r w:rsidR="00073725" w:rsidRPr="00D64BC4">
        <w:rPr>
          <w:rFonts w:ascii="Times New Roman" w:hAnsi="Times New Roman"/>
          <w:sz w:val="24"/>
          <w:szCs w:val="24"/>
          <w:lang w:val="sr-Cyrl-CS"/>
        </w:rPr>
        <w:t xml:space="preserve">. </w:t>
      </w:r>
      <w:r w:rsidRPr="00D64BC4">
        <w:rPr>
          <w:rFonts w:ascii="Times New Roman" w:hAnsi="Times New Roman"/>
          <w:sz w:val="24"/>
          <w:szCs w:val="24"/>
          <w:lang w:val="sr-Cyrl-CS"/>
        </w:rPr>
        <w:t>Танзи је једном рекао да када би се корупција могла израчунати, могла би се укинути.</w:t>
      </w:r>
      <w:r>
        <w:rPr>
          <w:rFonts w:ascii="Times New Roman" w:hAnsi="Times New Roman"/>
          <w:sz w:val="24"/>
          <w:szCs w:val="24"/>
          <w:lang w:val="sr-Cyrl-CS"/>
        </w:rPr>
        <w:t xml:space="preserve"> </w:t>
      </w:r>
      <w:r w:rsidR="000061DF">
        <w:rPr>
          <w:rFonts w:ascii="Times New Roman" w:hAnsi="Times New Roman"/>
          <w:sz w:val="24"/>
          <w:szCs w:val="24"/>
          <w:lang w:val="sr-Cyrl-CS"/>
        </w:rPr>
        <w:t>У</w:t>
      </w:r>
      <w:r w:rsidR="00073725">
        <w:rPr>
          <w:rFonts w:ascii="Times New Roman" w:hAnsi="Times New Roman"/>
          <w:sz w:val="24"/>
          <w:szCs w:val="24"/>
          <w:lang w:val="sr-Cyrl-CS"/>
        </w:rPr>
        <w:t xml:space="preserve"> Србији </w:t>
      </w:r>
      <w:r w:rsidR="000061DF">
        <w:rPr>
          <w:rFonts w:ascii="Times New Roman" w:hAnsi="Times New Roman"/>
          <w:sz w:val="24"/>
          <w:szCs w:val="24"/>
          <w:lang w:val="sr-Cyrl-CS"/>
        </w:rPr>
        <w:t xml:space="preserve">је </w:t>
      </w:r>
      <w:r w:rsidR="00950272">
        <w:rPr>
          <w:rFonts w:ascii="Times New Roman" w:hAnsi="Times New Roman"/>
          <w:sz w:val="24"/>
          <w:szCs w:val="24"/>
          <w:lang w:val="sr-Cyrl-CS"/>
        </w:rPr>
        <w:t xml:space="preserve">већ дуго присутно сиромаштво, </w:t>
      </w:r>
      <w:r w:rsidR="00073725">
        <w:rPr>
          <w:rFonts w:ascii="Times New Roman" w:hAnsi="Times New Roman"/>
          <w:sz w:val="24"/>
          <w:szCs w:val="24"/>
          <w:lang w:val="sr-Cyrl-CS"/>
        </w:rPr>
        <w:t xml:space="preserve">привредници који отежано послују настоје да подмићивањем плате мањи порез, </w:t>
      </w:r>
      <w:r w:rsidR="00950272">
        <w:rPr>
          <w:rFonts w:ascii="Times New Roman" w:hAnsi="Times New Roman"/>
          <w:sz w:val="24"/>
          <w:szCs w:val="24"/>
          <w:lang w:val="sr-Cyrl-CS"/>
        </w:rPr>
        <w:t>те</w:t>
      </w:r>
      <w:r w:rsidR="00073725">
        <w:rPr>
          <w:rFonts w:ascii="Times New Roman" w:hAnsi="Times New Roman"/>
          <w:sz w:val="24"/>
          <w:szCs w:val="24"/>
          <w:lang w:val="sr-Cyrl-CS"/>
        </w:rPr>
        <w:t xml:space="preserve"> </w:t>
      </w:r>
      <w:r w:rsidR="00950272">
        <w:rPr>
          <w:rFonts w:ascii="Times New Roman" w:hAnsi="Times New Roman"/>
          <w:sz w:val="24"/>
          <w:szCs w:val="24"/>
          <w:lang w:val="sr-Cyrl-CS"/>
        </w:rPr>
        <w:t>имајући у виду</w:t>
      </w:r>
      <w:r w:rsidR="00073725">
        <w:rPr>
          <w:rFonts w:ascii="Times New Roman" w:hAnsi="Times New Roman"/>
          <w:sz w:val="24"/>
          <w:szCs w:val="24"/>
          <w:lang w:val="sr-Cyrl-CS"/>
        </w:rPr>
        <w:t xml:space="preserve"> да је лако корумпирати слабо плаћене државне службенике, онда је јасно да су постојали сви услови да се корупција укорени у систем функицонисања државних служби.</w:t>
      </w:r>
      <w:r w:rsidR="00073725">
        <w:rPr>
          <w:rStyle w:val="FootnoteReference"/>
          <w:rFonts w:ascii="Times New Roman" w:hAnsi="Times New Roman"/>
          <w:sz w:val="24"/>
          <w:szCs w:val="24"/>
          <w:lang w:val="sr-Cyrl-CS"/>
        </w:rPr>
        <w:footnoteReference w:id="698"/>
      </w:r>
      <w:r>
        <w:rPr>
          <w:rFonts w:ascii="Times New Roman" w:hAnsi="Times New Roman"/>
          <w:sz w:val="24"/>
          <w:szCs w:val="24"/>
          <w:lang w:val="sr-Cyrl-CS"/>
        </w:rPr>
        <w:t xml:space="preserve"> </w:t>
      </w:r>
    </w:p>
    <w:p w:rsidR="00156938" w:rsidRDefault="009D24C9" w:rsidP="009D24C9">
      <w:pPr>
        <w:pStyle w:val="ListParagraph"/>
        <w:ind w:left="0" w:firstLine="630"/>
        <w:jc w:val="both"/>
        <w:rPr>
          <w:rFonts w:ascii="Times New Roman" w:hAnsi="Times New Roman"/>
          <w:sz w:val="24"/>
          <w:szCs w:val="24"/>
          <w:lang w:val="sr-Cyrl-CS"/>
        </w:rPr>
      </w:pPr>
      <w:r>
        <w:rPr>
          <w:rFonts w:ascii="Times New Roman" w:hAnsi="Times New Roman"/>
          <w:sz w:val="24"/>
          <w:szCs w:val="24"/>
          <w:lang w:val="sr-Cyrl-CS"/>
        </w:rPr>
        <w:t xml:space="preserve">Како би се ниво ових негативних појава свео на што нижи ниво потребно је развити такав институционални оквир који ће допринети већој транспарентности и правичнијем систему у коме је приоритет да јавни сектор обавља своје послове у интересу грађана. За сузбијање ових негативних појава је, према томе, неопходно развијање институционалног оквира који се огледа у јасном  законском регулисању, као и предузимање мера и инструмената који уређују предметну тематику. У ситуацији када се закони не примењују или када се могу различито тумачити,  постојаће два паралелна инситиуционална оквира, формални и неоформални, а што пружа обиље могућности за ширење корупције, привредног криминала, па тако и избегања плаћања пореза. У том контексту посебну опасност носи корупција у правосуђу која може да доводе до стварања основе за нерегуларни правни оквир, чиме се обесмишљава примена закона и владавина права. Свакако да битан предуслов за борбу против ових негативних појава представља и постојање политичке воље и одлучност власти у борби у њиховом сузбијању. При том, велику улогу игра јавно мњење, строжија казнена политика и веће економске слободе без политичких притисака. </w:t>
      </w:r>
    </w:p>
    <w:p w:rsidR="00587898" w:rsidRDefault="00587898" w:rsidP="009D24C9">
      <w:pPr>
        <w:jc w:val="both"/>
        <w:rPr>
          <w:rFonts w:ascii="Times New Roman" w:hAnsi="Times New Roman"/>
          <w:sz w:val="24"/>
          <w:szCs w:val="24"/>
          <w:lang w:val="sr-Cyrl-CS"/>
        </w:rPr>
      </w:pPr>
    </w:p>
    <w:p w:rsidR="00AF6B6D" w:rsidRDefault="00AF6B6D" w:rsidP="009D24C9">
      <w:pPr>
        <w:jc w:val="both"/>
        <w:rPr>
          <w:rFonts w:ascii="Times New Roman" w:hAnsi="Times New Roman"/>
          <w:sz w:val="24"/>
          <w:szCs w:val="24"/>
          <w:lang w:val="sr-Cyrl-CS"/>
        </w:rPr>
      </w:pPr>
    </w:p>
    <w:p w:rsidR="00AF6B6D" w:rsidRDefault="00AF6B6D" w:rsidP="009D24C9">
      <w:pPr>
        <w:jc w:val="both"/>
        <w:rPr>
          <w:rFonts w:ascii="Times New Roman" w:hAnsi="Times New Roman"/>
          <w:sz w:val="24"/>
          <w:szCs w:val="24"/>
          <w:lang w:val="sr-Cyrl-CS"/>
        </w:rPr>
      </w:pPr>
    </w:p>
    <w:p w:rsidR="0046264C" w:rsidRPr="0046264C" w:rsidRDefault="0046264C" w:rsidP="0046264C">
      <w:pPr>
        <w:pStyle w:val="ListParagraph"/>
        <w:ind w:left="990"/>
        <w:jc w:val="both"/>
        <w:rPr>
          <w:rFonts w:ascii="Times New Roman" w:hAnsi="Times New Roman"/>
          <w:b/>
          <w:i/>
          <w:sz w:val="24"/>
          <w:szCs w:val="24"/>
          <w:lang w:val="sr-Cyrl-CS"/>
        </w:rPr>
      </w:pPr>
    </w:p>
    <w:p w:rsidR="0046264C" w:rsidRPr="001F4B89" w:rsidRDefault="00F5204A" w:rsidP="00960D8B">
      <w:pPr>
        <w:pStyle w:val="ListParagraph"/>
        <w:numPr>
          <w:ilvl w:val="0"/>
          <w:numId w:val="4"/>
        </w:numPr>
        <w:jc w:val="center"/>
        <w:rPr>
          <w:rFonts w:ascii="Times New Roman" w:hAnsi="Times New Roman"/>
          <w:b/>
          <w:i/>
          <w:sz w:val="28"/>
          <w:szCs w:val="28"/>
          <w:lang w:val="sr-Cyrl-CS"/>
        </w:rPr>
      </w:pPr>
      <w:r w:rsidRPr="001F4B89">
        <w:rPr>
          <w:rFonts w:ascii="Times New Roman" w:hAnsi="Times New Roman"/>
          <w:b/>
          <w:i/>
          <w:sz w:val="28"/>
          <w:szCs w:val="28"/>
          <w:lang w:val="sr-Cyrl-CS"/>
        </w:rPr>
        <w:lastRenderedPageBreak/>
        <w:t xml:space="preserve">Појавни облици </w:t>
      </w:r>
      <w:r w:rsidR="009B6235">
        <w:rPr>
          <w:rFonts w:ascii="Times New Roman" w:hAnsi="Times New Roman"/>
          <w:b/>
          <w:i/>
          <w:sz w:val="28"/>
          <w:szCs w:val="28"/>
          <w:lang w:val="sr-Cyrl-CS"/>
        </w:rPr>
        <w:t>привредног криминала и корупције</w:t>
      </w:r>
    </w:p>
    <w:p w:rsidR="00666CE8" w:rsidRPr="00666CE8" w:rsidRDefault="00666CE8" w:rsidP="0046264C">
      <w:pPr>
        <w:ind w:left="630"/>
        <w:jc w:val="both"/>
        <w:rPr>
          <w:rFonts w:ascii="Times New Roman" w:hAnsi="Times New Roman"/>
          <w:sz w:val="24"/>
          <w:szCs w:val="24"/>
          <w:lang w:val="sr-Cyrl-CS"/>
        </w:rPr>
      </w:pPr>
    </w:p>
    <w:p w:rsidR="00D80FA0" w:rsidRDefault="00F74088" w:rsidP="00F74088">
      <w:pPr>
        <w:ind w:firstLine="630"/>
        <w:jc w:val="both"/>
        <w:rPr>
          <w:rFonts w:ascii="Times New Roman" w:hAnsi="Times New Roman"/>
          <w:sz w:val="24"/>
          <w:szCs w:val="24"/>
          <w:lang w:val="sr-Cyrl-CS"/>
        </w:rPr>
      </w:pPr>
      <w:r>
        <w:rPr>
          <w:rFonts w:ascii="Times New Roman" w:hAnsi="Times New Roman"/>
          <w:sz w:val="24"/>
          <w:szCs w:val="24"/>
          <w:lang w:val="sr-Cyrl-CS"/>
        </w:rPr>
        <w:t>Корупција и привредни криминал</w:t>
      </w:r>
      <w:r w:rsidR="00491C2A">
        <w:rPr>
          <w:rFonts w:ascii="Times New Roman" w:hAnsi="Times New Roman"/>
          <w:sz w:val="24"/>
          <w:szCs w:val="24"/>
          <w:lang w:val="sr-Cyrl-CS"/>
        </w:rPr>
        <w:t>, а самим тим и избегавање плаћања пореза, као вид испољавања привредног криминала,</w:t>
      </w:r>
      <w:r>
        <w:rPr>
          <w:rFonts w:ascii="Times New Roman" w:hAnsi="Times New Roman"/>
          <w:sz w:val="24"/>
          <w:szCs w:val="24"/>
          <w:lang w:val="sr-Cyrl-CS"/>
        </w:rPr>
        <w:t xml:space="preserve"> се појављују у различитим облицима, али све те облике често карактери</w:t>
      </w:r>
      <w:r w:rsidR="00491C2A">
        <w:rPr>
          <w:rFonts w:ascii="Times New Roman" w:hAnsi="Times New Roman"/>
          <w:sz w:val="24"/>
          <w:szCs w:val="24"/>
          <w:lang w:val="sr-Cyrl-CS"/>
        </w:rPr>
        <w:t>ше организованост, прикривеност и</w:t>
      </w:r>
      <w:r>
        <w:rPr>
          <w:rFonts w:ascii="Times New Roman" w:hAnsi="Times New Roman"/>
          <w:sz w:val="24"/>
          <w:szCs w:val="24"/>
          <w:lang w:val="sr-Cyrl-CS"/>
        </w:rPr>
        <w:t xml:space="preserve"> знатна </w:t>
      </w:r>
      <w:r w:rsidR="008B59C2">
        <w:rPr>
          <w:rFonts w:ascii="Times New Roman" w:hAnsi="Times New Roman"/>
          <w:sz w:val="24"/>
          <w:szCs w:val="24"/>
          <w:lang w:val="sr-Cyrl-CS"/>
        </w:rPr>
        <w:t>вредност</w:t>
      </w:r>
      <w:r>
        <w:rPr>
          <w:rFonts w:ascii="Times New Roman" w:hAnsi="Times New Roman"/>
          <w:sz w:val="24"/>
          <w:szCs w:val="24"/>
          <w:lang w:val="sr-Cyrl-CS"/>
        </w:rPr>
        <w:t xml:space="preserve"> </w:t>
      </w:r>
      <w:r w:rsidR="008B59C2">
        <w:rPr>
          <w:rFonts w:ascii="Times New Roman" w:hAnsi="Times New Roman"/>
          <w:sz w:val="24"/>
          <w:szCs w:val="24"/>
          <w:lang w:val="sr-Cyrl-CS"/>
        </w:rPr>
        <w:t>прибављене</w:t>
      </w:r>
      <w:r w:rsidR="00C06EF4">
        <w:rPr>
          <w:rFonts w:ascii="Times New Roman" w:hAnsi="Times New Roman"/>
          <w:sz w:val="24"/>
          <w:szCs w:val="24"/>
          <w:lang w:val="sr-Cyrl-CS"/>
        </w:rPr>
        <w:t xml:space="preserve"> противправн</w:t>
      </w:r>
      <w:r w:rsidR="00C06EF4">
        <w:rPr>
          <w:rFonts w:ascii="Times New Roman" w:hAnsi="Times New Roman"/>
          <w:sz w:val="24"/>
          <w:szCs w:val="24"/>
        </w:rPr>
        <w:t>e</w:t>
      </w:r>
      <w:r w:rsidR="00C06EF4">
        <w:rPr>
          <w:rFonts w:ascii="Times New Roman" w:hAnsi="Times New Roman"/>
          <w:sz w:val="24"/>
          <w:szCs w:val="24"/>
          <w:lang w:val="sr-Cyrl-CS"/>
        </w:rPr>
        <w:t xml:space="preserve"> имовинск</w:t>
      </w:r>
      <w:r w:rsidR="00C06EF4">
        <w:rPr>
          <w:rFonts w:ascii="Times New Roman" w:hAnsi="Times New Roman"/>
          <w:sz w:val="24"/>
          <w:szCs w:val="24"/>
        </w:rPr>
        <w:t>e</w:t>
      </w:r>
      <w:r>
        <w:rPr>
          <w:rFonts w:ascii="Times New Roman" w:hAnsi="Times New Roman"/>
          <w:sz w:val="24"/>
          <w:szCs w:val="24"/>
          <w:lang w:val="sr-Cyrl-CS"/>
        </w:rPr>
        <w:t xml:space="preserve"> корист</w:t>
      </w:r>
      <w:r w:rsidR="00C06EF4">
        <w:rPr>
          <w:rFonts w:ascii="Times New Roman" w:hAnsi="Times New Roman"/>
          <w:sz w:val="24"/>
          <w:szCs w:val="24"/>
        </w:rPr>
        <w:t>и</w:t>
      </w:r>
      <w:r w:rsidR="00491C2A">
        <w:rPr>
          <w:rFonts w:ascii="Times New Roman" w:hAnsi="Times New Roman"/>
          <w:sz w:val="24"/>
          <w:szCs w:val="24"/>
          <w:lang w:val="sr-Cyrl-CS"/>
        </w:rPr>
        <w:t>.</w:t>
      </w:r>
      <w:r>
        <w:rPr>
          <w:rFonts w:ascii="Times New Roman" w:hAnsi="Times New Roman"/>
          <w:sz w:val="24"/>
          <w:szCs w:val="24"/>
          <w:lang w:val="sr-Cyrl-CS"/>
        </w:rPr>
        <w:t xml:space="preserve"> </w:t>
      </w:r>
      <w:r w:rsidR="00C06EF4">
        <w:rPr>
          <w:rFonts w:ascii="Times New Roman" w:hAnsi="Times New Roman"/>
          <w:sz w:val="24"/>
          <w:szCs w:val="24"/>
          <w:lang w:val="sr-Cyrl-CS"/>
        </w:rPr>
        <w:t xml:space="preserve">Помоћу великог броја појавних облика ови феномени се успешно инфилтрирају и прилагођавају било ком систему и облику државног уређења. Посебно су </w:t>
      </w:r>
      <w:r w:rsidR="00D80FA0">
        <w:rPr>
          <w:rFonts w:ascii="Times New Roman" w:hAnsi="Times New Roman"/>
          <w:sz w:val="24"/>
          <w:szCs w:val="24"/>
          <w:lang w:val="sr-Cyrl-CS"/>
        </w:rPr>
        <w:t>о</w:t>
      </w:r>
      <w:r w:rsidR="00C06EF4">
        <w:rPr>
          <w:rFonts w:ascii="Times New Roman" w:hAnsi="Times New Roman"/>
          <w:sz w:val="24"/>
          <w:szCs w:val="24"/>
          <w:lang w:val="sr-Cyrl-CS"/>
        </w:rPr>
        <w:t xml:space="preserve">ве појаве заступљене у земљама у процесу транзиције, а досадашњи покушаји да се облици ових појава сузбију нису били довољно ефикасни, па је зато потребно побољшати правне и институционалне оквире на националном и међународном нивоу. </w:t>
      </w:r>
      <w:r w:rsidR="009E02CC">
        <w:rPr>
          <w:rFonts w:ascii="Times New Roman" w:hAnsi="Times New Roman"/>
          <w:sz w:val="24"/>
          <w:szCs w:val="24"/>
          <w:lang w:val="sr-Cyrl-CS"/>
        </w:rPr>
        <w:t>Привредни криминал вешто користи недоречености правне регулативе да уз помоћ корупције оствари контакте и успостави везе са одређеним д</w:t>
      </w:r>
      <w:r w:rsidR="00FA3214">
        <w:rPr>
          <w:rFonts w:ascii="Times New Roman" w:hAnsi="Times New Roman"/>
          <w:sz w:val="24"/>
          <w:szCs w:val="24"/>
          <w:lang w:val="sr-Cyrl-CS"/>
        </w:rPr>
        <w:t>р</w:t>
      </w:r>
      <w:r w:rsidR="009E02CC">
        <w:rPr>
          <w:rFonts w:ascii="Times New Roman" w:hAnsi="Times New Roman"/>
          <w:sz w:val="24"/>
          <w:szCs w:val="24"/>
          <w:lang w:val="sr-Cyrl-CS"/>
        </w:rPr>
        <w:t>жавним,</w:t>
      </w:r>
      <w:r w:rsidR="00FA3214">
        <w:rPr>
          <w:rFonts w:ascii="Times New Roman" w:hAnsi="Times New Roman"/>
          <w:sz w:val="24"/>
          <w:szCs w:val="24"/>
          <w:lang w:val="sr-Cyrl-CS"/>
        </w:rPr>
        <w:t xml:space="preserve"> политичким и другим субјектима, што потенцира опасност ових појава.</w:t>
      </w:r>
      <w:r w:rsidR="009E02CC">
        <w:rPr>
          <w:rFonts w:ascii="Times New Roman" w:hAnsi="Times New Roman"/>
          <w:sz w:val="24"/>
          <w:szCs w:val="24"/>
          <w:lang w:val="sr-Cyrl-CS"/>
        </w:rPr>
        <w:t xml:space="preserve"> </w:t>
      </w:r>
      <w:r w:rsidR="00C06EF4">
        <w:rPr>
          <w:rFonts w:ascii="Times New Roman" w:hAnsi="Times New Roman"/>
          <w:sz w:val="24"/>
          <w:szCs w:val="24"/>
          <w:lang w:val="sr-Cyrl-CS"/>
        </w:rPr>
        <w:t xml:space="preserve">Проучавање различитих облика </w:t>
      </w:r>
      <w:r w:rsidR="00D80FA0">
        <w:rPr>
          <w:rFonts w:ascii="Times New Roman" w:hAnsi="Times New Roman"/>
          <w:sz w:val="24"/>
          <w:szCs w:val="24"/>
          <w:lang w:val="sr-Cyrl-CS"/>
        </w:rPr>
        <w:t>испољавања ових негативних феномена</w:t>
      </w:r>
      <w:r w:rsidR="00C06EF4">
        <w:rPr>
          <w:rFonts w:ascii="Times New Roman" w:hAnsi="Times New Roman"/>
          <w:sz w:val="24"/>
          <w:szCs w:val="24"/>
          <w:lang w:val="sr-Cyrl-CS"/>
        </w:rPr>
        <w:t xml:space="preserve">, њихових међусобних веза и утицаја </w:t>
      </w:r>
      <w:r w:rsidR="00D80FA0">
        <w:rPr>
          <w:rFonts w:ascii="Times New Roman" w:hAnsi="Times New Roman"/>
          <w:sz w:val="24"/>
          <w:szCs w:val="24"/>
          <w:lang w:val="sr-Cyrl-CS"/>
        </w:rPr>
        <w:t>води њиховом бољем познавању, а што је од значаја</w:t>
      </w:r>
      <w:r w:rsidR="00C06EF4">
        <w:rPr>
          <w:rFonts w:ascii="Times New Roman" w:hAnsi="Times New Roman"/>
          <w:sz w:val="24"/>
          <w:szCs w:val="24"/>
          <w:lang w:val="sr-Cyrl-CS"/>
        </w:rPr>
        <w:t xml:space="preserve"> </w:t>
      </w:r>
      <w:r w:rsidR="00D80FA0">
        <w:rPr>
          <w:rFonts w:ascii="Times New Roman" w:hAnsi="Times New Roman"/>
          <w:sz w:val="24"/>
          <w:szCs w:val="24"/>
          <w:lang w:val="sr-Cyrl-CS"/>
        </w:rPr>
        <w:t>за њихово успешно сузбијање.</w:t>
      </w:r>
      <w:r w:rsidR="00C06EF4">
        <w:rPr>
          <w:rFonts w:ascii="Times New Roman" w:hAnsi="Times New Roman"/>
          <w:sz w:val="24"/>
          <w:szCs w:val="24"/>
          <w:lang w:val="sr-Cyrl-CS"/>
        </w:rPr>
        <w:t xml:space="preserve"> </w:t>
      </w:r>
    </w:p>
    <w:p w:rsidR="00200F1E" w:rsidRDefault="00B6548E" w:rsidP="00F74088">
      <w:pPr>
        <w:ind w:firstLine="630"/>
        <w:jc w:val="both"/>
        <w:rPr>
          <w:rFonts w:ascii="Times New Roman" w:hAnsi="Times New Roman"/>
          <w:sz w:val="24"/>
          <w:szCs w:val="24"/>
          <w:lang w:val="sr-Cyrl-CS"/>
        </w:rPr>
      </w:pPr>
      <w:r>
        <w:rPr>
          <w:rFonts w:ascii="Times New Roman" w:hAnsi="Times New Roman"/>
          <w:sz w:val="24"/>
          <w:szCs w:val="24"/>
          <w:lang w:val="sr-Cyrl-CS"/>
        </w:rPr>
        <w:t>О</w:t>
      </w:r>
      <w:r w:rsidR="00F74088">
        <w:rPr>
          <w:rFonts w:ascii="Times New Roman" w:hAnsi="Times New Roman"/>
          <w:sz w:val="24"/>
          <w:szCs w:val="24"/>
          <w:lang w:val="sr-Cyrl-CS"/>
        </w:rPr>
        <w:t>бласт привредно-финансиј</w:t>
      </w:r>
      <w:r w:rsidR="00FA3214">
        <w:rPr>
          <w:rFonts w:ascii="Times New Roman" w:hAnsi="Times New Roman"/>
          <w:sz w:val="24"/>
          <w:szCs w:val="24"/>
          <w:lang w:val="sr-Cyrl-CS"/>
        </w:rPr>
        <w:t>с</w:t>
      </w:r>
      <w:r w:rsidR="00F74088">
        <w:rPr>
          <w:rFonts w:ascii="Times New Roman" w:hAnsi="Times New Roman"/>
          <w:sz w:val="24"/>
          <w:szCs w:val="24"/>
          <w:lang w:val="sr-Cyrl-CS"/>
        </w:rPr>
        <w:t xml:space="preserve">ког пословања је посебно интересантна за корупцију јер пружа </w:t>
      </w:r>
      <w:r w:rsidR="008B59C2">
        <w:rPr>
          <w:rFonts w:ascii="Times New Roman" w:hAnsi="Times New Roman"/>
          <w:sz w:val="24"/>
          <w:szCs w:val="24"/>
          <w:lang w:val="sr-Cyrl-CS"/>
        </w:rPr>
        <w:t xml:space="preserve">бројне </w:t>
      </w:r>
      <w:r w:rsidR="00F74088">
        <w:rPr>
          <w:rFonts w:ascii="Times New Roman" w:hAnsi="Times New Roman"/>
          <w:sz w:val="24"/>
          <w:szCs w:val="24"/>
          <w:lang w:val="sr-Cyrl-CS"/>
        </w:rPr>
        <w:t xml:space="preserve">могућности да </w:t>
      </w:r>
      <w:r w:rsidR="008B59C2">
        <w:rPr>
          <w:rFonts w:ascii="Times New Roman" w:hAnsi="Times New Roman"/>
          <w:sz w:val="24"/>
          <w:szCs w:val="24"/>
          <w:lang w:val="sr-Cyrl-CS"/>
        </w:rPr>
        <w:t xml:space="preserve">се </w:t>
      </w:r>
      <w:r w:rsidR="00F74088">
        <w:rPr>
          <w:rFonts w:ascii="Times New Roman" w:hAnsi="Times New Roman"/>
          <w:sz w:val="24"/>
          <w:szCs w:val="24"/>
          <w:lang w:val="sr-Cyrl-CS"/>
        </w:rPr>
        <w:t>кроз разне видове нелегалне, али и легалне делатности</w:t>
      </w:r>
      <w:r w:rsidR="008B59C2">
        <w:rPr>
          <w:rFonts w:ascii="Times New Roman" w:hAnsi="Times New Roman"/>
          <w:sz w:val="24"/>
          <w:szCs w:val="24"/>
          <w:lang w:val="sr-Cyrl-CS"/>
        </w:rPr>
        <w:t>,</w:t>
      </w:r>
      <w:r w:rsidR="00F74088">
        <w:rPr>
          <w:rFonts w:ascii="Times New Roman" w:hAnsi="Times New Roman"/>
          <w:sz w:val="24"/>
          <w:szCs w:val="24"/>
          <w:lang w:val="sr-Cyrl-CS"/>
        </w:rPr>
        <w:t xml:space="preserve"> оствари велика корист уз помоћ веза </w:t>
      </w:r>
      <w:r w:rsidR="008B59C2">
        <w:rPr>
          <w:rFonts w:ascii="Times New Roman" w:hAnsi="Times New Roman"/>
          <w:sz w:val="24"/>
          <w:szCs w:val="24"/>
          <w:lang w:val="sr-Cyrl-CS"/>
        </w:rPr>
        <w:t>са представницима</w:t>
      </w:r>
      <w:r w:rsidR="00F74088">
        <w:rPr>
          <w:rFonts w:ascii="Times New Roman" w:hAnsi="Times New Roman"/>
          <w:sz w:val="24"/>
          <w:szCs w:val="24"/>
          <w:lang w:val="sr-Cyrl-CS"/>
        </w:rPr>
        <w:t xml:space="preserve"> привредних и фина</w:t>
      </w:r>
      <w:r w:rsidR="00A16A9E">
        <w:rPr>
          <w:rFonts w:ascii="Times New Roman" w:hAnsi="Times New Roman"/>
          <w:sz w:val="24"/>
          <w:szCs w:val="24"/>
          <w:lang w:val="sr-Cyrl-CS"/>
        </w:rPr>
        <w:t>н</w:t>
      </w:r>
      <w:r w:rsidR="00F74088">
        <w:rPr>
          <w:rFonts w:ascii="Times New Roman" w:hAnsi="Times New Roman"/>
          <w:sz w:val="24"/>
          <w:szCs w:val="24"/>
          <w:lang w:val="sr-Cyrl-CS"/>
        </w:rPr>
        <w:t>сијских субјеката</w:t>
      </w:r>
      <w:r w:rsidR="008B59C2">
        <w:rPr>
          <w:rFonts w:ascii="Times New Roman" w:hAnsi="Times New Roman"/>
          <w:sz w:val="24"/>
          <w:szCs w:val="24"/>
          <w:lang w:val="sr-Cyrl-CS"/>
        </w:rPr>
        <w:t xml:space="preserve"> као и са одређеним државним органима. Ове </w:t>
      </w:r>
      <w:r w:rsidR="00666CE8">
        <w:rPr>
          <w:rFonts w:ascii="Times New Roman" w:hAnsi="Times New Roman"/>
          <w:sz w:val="24"/>
          <w:szCs w:val="24"/>
          <w:lang w:val="sr-Cyrl-CS"/>
        </w:rPr>
        <w:t>негативне појаве превазилазе</w:t>
      </w:r>
      <w:r w:rsidR="00200F1E">
        <w:rPr>
          <w:rFonts w:ascii="Times New Roman" w:hAnsi="Times New Roman"/>
          <w:sz w:val="24"/>
          <w:szCs w:val="24"/>
          <w:lang w:val="sr-Cyrl-CS"/>
        </w:rPr>
        <w:t xml:space="preserve"> нац</w:t>
      </w:r>
      <w:r w:rsidR="008B59C2">
        <w:rPr>
          <w:rFonts w:ascii="Times New Roman" w:hAnsi="Times New Roman"/>
          <w:sz w:val="24"/>
          <w:szCs w:val="24"/>
          <w:lang w:val="sr-Cyrl-CS"/>
        </w:rPr>
        <w:t>ионалне оквире и по</w:t>
      </w:r>
      <w:r w:rsidR="00C06EF4">
        <w:rPr>
          <w:rFonts w:ascii="Times New Roman" w:hAnsi="Times New Roman"/>
          <w:sz w:val="24"/>
          <w:szCs w:val="24"/>
          <w:lang w:val="sr-Cyrl-CS"/>
        </w:rPr>
        <w:t>п</w:t>
      </w:r>
      <w:r w:rsidR="008B59C2">
        <w:rPr>
          <w:rFonts w:ascii="Times New Roman" w:hAnsi="Times New Roman"/>
          <w:sz w:val="24"/>
          <w:szCs w:val="24"/>
          <w:lang w:val="sr-Cyrl-CS"/>
        </w:rPr>
        <w:t>римају међународне размере, омогућавајући тако разне привредне и фина</w:t>
      </w:r>
      <w:r w:rsidR="00F64D9E">
        <w:rPr>
          <w:rFonts w:ascii="Times New Roman" w:hAnsi="Times New Roman"/>
          <w:sz w:val="24"/>
          <w:szCs w:val="24"/>
          <w:lang w:val="sr-Cyrl-CS"/>
        </w:rPr>
        <w:t>н</w:t>
      </w:r>
      <w:r w:rsidR="008B59C2">
        <w:rPr>
          <w:rFonts w:ascii="Times New Roman" w:hAnsi="Times New Roman"/>
          <w:sz w:val="24"/>
          <w:szCs w:val="24"/>
          <w:lang w:val="sr-Cyrl-CS"/>
        </w:rPr>
        <w:t xml:space="preserve">сијске малверзације, </w:t>
      </w:r>
      <w:r w:rsidR="00200F1E">
        <w:rPr>
          <w:rFonts w:ascii="Times New Roman" w:hAnsi="Times New Roman"/>
          <w:sz w:val="24"/>
          <w:szCs w:val="24"/>
          <w:lang w:val="sr-Cyrl-CS"/>
        </w:rPr>
        <w:t xml:space="preserve">при чему за прикривање тако незаконито стечене добити и незаконите делатности  често користе прање новца, </w:t>
      </w:r>
      <w:r w:rsidR="008B59C2">
        <w:rPr>
          <w:rFonts w:ascii="Times New Roman" w:hAnsi="Times New Roman"/>
          <w:sz w:val="24"/>
          <w:szCs w:val="24"/>
          <w:lang w:val="sr-Cyrl-CS"/>
        </w:rPr>
        <w:t xml:space="preserve">чиме добијају на значају и на опасности. Међутим, и поред бројних облика испољавања и </w:t>
      </w:r>
      <w:r w:rsidR="00C06EF4">
        <w:rPr>
          <w:rFonts w:ascii="Times New Roman" w:hAnsi="Times New Roman"/>
          <w:sz w:val="24"/>
          <w:szCs w:val="24"/>
          <w:lang w:val="sr-Cyrl-CS"/>
        </w:rPr>
        <w:t>повезаности са другим опасн</w:t>
      </w:r>
      <w:r w:rsidR="00666CE8">
        <w:rPr>
          <w:rFonts w:ascii="Times New Roman" w:hAnsi="Times New Roman"/>
          <w:sz w:val="24"/>
          <w:szCs w:val="24"/>
          <w:lang w:val="sr-Cyrl-CS"/>
        </w:rPr>
        <w:t>и</w:t>
      </w:r>
      <w:r w:rsidR="00C06EF4">
        <w:rPr>
          <w:rFonts w:ascii="Times New Roman" w:hAnsi="Times New Roman"/>
          <w:sz w:val="24"/>
          <w:szCs w:val="24"/>
          <w:lang w:val="sr-Cyrl-CS"/>
        </w:rPr>
        <w:t>м појавама</w:t>
      </w:r>
      <w:r w:rsidR="008B59C2">
        <w:rPr>
          <w:rFonts w:ascii="Times New Roman" w:hAnsi="Times New Roman"/>
          <w:sz w:val="24"/>
          <w:szCs w:val="24"/>
          <w:lang w:val="sr-Cyrl-CS"/>
        </w:rPr>
        <w:t xml:space="preserve"> ови односи</w:t>
      </w:r>
      <w:r w:rsidR="00C06EF4">
        <w:rPr>
          <w:rFonts w:ascii="Times New Roman" w:hAnsi="Times New Roman"/>
          <w:sz w:val="24"/>
          <w:szCs w:val="24"/>
          <w:lang w:val="sr-Cyrl-CS"/>
        </w:rPr>
        <w:t xml:space="preserve"> са становишта облика деловања и </w:t>
      </w:r>
      <w:r w:rsidR="008B59C2">
        <w:rPr>
          <w:rFonts w:ascii="Times New Roman" w:hAnsi="Times New Roman"/>
          <w:sz w:val="24"/>
          <w:szCs w:val="24"/>
          <w:lang w:val="sr-Cyrl-CS"/>
        </w:rPr>
        <w:t xml:space="preserve">услова који им погодују и успостављања криминалних веза нису довољно истражени.  </w:t>
      </w:r>
    </w:p>
    <w:p w:rsidR="00200F1E" w:rsidRDefault="002F7927" w:rsidP="00B6548E">
      <w:pPr>
        <w:ind w:firstLine="630"/>
        <w:jc w:val="both"/>
        <w:rPr>
          <w:rFonts w:ascii="Times New Roman" w:hAnsi="Times New Roman"/>
          <w:sz w:val="24"/>
          <w:szCs w:val="24"/>
          <w:lang w:val="sr-Cyrl-CS"/>
        </w:rPr>
      </w:pPr>
      <w:r>
        <w:rPr>
          <w:rFonts w:ascii="Times New Roman" w:hAnsi="Times New Roman"/>
          <w:sz w:val="24"/>
          <w:szCs w:val="24"/>
          <w:lang w:val="sr-Cyrl-CS"/>
        </w:rPr>
        <w:t>У литератури</w:t>
      </w:r>
      <w:r w:rsidR="00933A26">
        <w:rPr>
          <w:rFonts w:ascii="Times New Roman" w:hAnsi="Times New Roman"/>
          <w:sz w:val="24"/>
          <w:szCs w:val="24"/>
          <w:lang w:val="sr-Cyrl-CS"/>
        </w:rPr>
        <w:t xml:space="preserve"> </w:t>
      </w:r>
      <w:r w:rsidR="00751B3F">
        <w:rPr>
          <w:rFonts w:ascii="Times New Roman" w:hAnsi="Times New Roman"/>
          <w:sz w:val="24"/>
          <w:szCs w:val="24"/>
          <w:lang w:val="sr-Cyrl-CS"/>
        </w:rPr>
        <w:t>се наводе</w:t>
      </w:r>
      <w:r>
        <w:rPr>
          <w:rFonts w:ascii="Times New Roman" w:hAnsi="Times New Roman"/>
          <w:sz w:val="24"/>
          <w:szCs w:val="24"/>
          <w:lang w:val="sr-Cyrl-CS"/>
        </w:rPr>
        <w:t xml:space="preserve"> </w:t>
      </w:r>
      <w:r w:rsidR="00B6548E">
        <w:rPr>
          <w:rFonts w:ascii="Times New Roman" w:hAnsi="Times New Roman"/>
          <w:sz w:val="24"/>
          <w:szCs w:val="24"/>
          <w:lang w:val="sr-Cyrl-CS"/>
        </w:rPr>
        <w:t>бројне поделе</w:t>
      </w:r>
      <w:r w:rsidR="00200F1E">
        <w:rPr>
          <w:rFonts w:ascii="Times New Roman" w:hAnsi="Times New Roman"/>
          <w:sz w:val="24"/>
          <w:szCs w:val="24"/>
          <w:lang w:val="sr-Cyrl-CS"/>
        </w:rPr>
        <w:t xml:space="preserve"> облика корупције</w:t>
      </w:r>
      <w:r>
        <w:rPr>
          <w:rFonts w:ascii="Times New Roman" w:hAnsi="Times New Roman"/>
          <w:sz w:val="24"/>
          <w:szCs w:val="24"/>
          <w:lang w:val="sr-Cyrl-CS"/>
        </w:rPr>
        <w:t xml:space="preserve">, </w:t>
      </w:r>
      <w:r w:rsidR="002C4E2F">
        <w:rPr>
          <w:rFonts w:ascii="Times New Roman" w:hAnsi="Times New Roman"/>
          <w:sz w:val="24"/>
          <w:szCs w:val="24"/>
          <w:lang w:val="sr-Cyrl-CS"/>
        </w:rPr>
        <w:t>који могу бити з</w:t>
      </w:r>
      <w:r w:rsidR="00751B3F">
        <w:rPr>
          <w:rFonts w:ascii="Times New Roman" w:hAnsi="Times New Roman"/>
          <w:sz w:val="24"/>
          <w:szCs w:val="24"/>
          <w:lang w:val="sr-Cyrl-CS"/>
        </w:rPr>
        <w:t xml:space="preserve">аступљени </w:t>
      </w:r>
      <w:r w:rsidR="002C4E2F">
        <w:rPr>
          <w:rFonts w:ascii="Times New Roman" w:hAnsi="Times New Roman"/>
          <w:sz w:val="24"/>
          <w:szCs w:val="24"/>
          <w:lang w:val="sr-Cyrl-CS"/>
        </w:rPr>
        <w:t>у области привредно-финансијског пословања,</w:t>
      </w:r>
      <w:r w:rsidR="00751B3F">
        <w:rPr>
          <w:rStyle w:val="FootnoteReference"/>
          <w:rFonts w:ascii="Times New Roman" w:hAnsi="Times New Roman"/>
          <w:sz w:val="24"/>
          <w:szCs w:val="24"/>
          <w:lang w:val="sr-Cyrl-CS"/>
        </w:rPr>
        <w:footnoteReference w:id="699"/>
      </w:r>
      <w:r w:rsidR="002C4E2F">
        <w:rPr>
          <w:rFonts w:ascii="Times New Roman" w:hAnsi="Times New Roman"/>
          <w:sz w:val="24"/>
          <w:szCs w:val="24"/>
          <w:lang w:val="sr-Cyrl-CS"/>
        </w:rPr>
        <w:t xml:space="preserve"> </w:t>
      </w:r>
      <w:r w:rsidR="00B6548E">
        <w:rPr>
          <w:rFonts w:ascii="Times New Roman" w:hAnsi="Times New Roman"/>
          <w:sz w:val="24"/>
          <w:szCs w:val="24"/>
          <w:lang w:val="sr-Cyrl-CS"/>
        </w:rPr>
        <w:t>као на пример коруптивне активности у циљу убрзања одређеног поступка (у случају када постоји могућност одуговлачења поступка од стране одговорних лица), клијентелистичка корупција, (у случају када коруптор остварује већу корист од корумпираног и обрнуто), административна корупција,  коруптивне активности усмерене на смањивање трошкова који би наступили када би се применио закон, патримонијална корупција ( у случају када корумпирани остварује већу добит од коруптора), к</w:t>
      </w:r>
      <w:r w:rsidR="00200F1E">
        <w:rPr>
          <w:rFonts w:ascii="Times New Roman" w:hAnsi="Times New Roman"/>
          <w:sz w:val="24"/>
          <w:szCs w:val="24"/>
          <w:lang w:val="sr-Cyrl-CS"/>
        </w:rPr>
        <w:t xml:space="preserve">оруптивне </w:t>
      </w:r>
      <w:r>
        <w:rPr>
          <w:rFonts w:ascii="Times New Roman" w:hAnsi="Times New Roman"/>
          <w:sz w:val="24"/>
          <w:szCs w:val="24"/>
          <w:lang w:val="sr-Cyrl-CS"/>
        </w:rPr>
        <w:t>активности</w:t>
      </w:r>
      <w:r w:rsidR="002C4E2F">
        <w:rPr>
          <w:rFonts w:ascii="Times New Roman" w:hAnsi="Times New Roman"/>
          <w:sz w:val="24"/>
          <w:szCs w:val="24"/>
          <w:lang w:val="sr-Cyrl-CS"/>
        </w:rPr>
        <w:t xml:space="preserve"> </w:t>
      </w:r>
      <w:r w:rsidR="00B6548E">
        <w:rPr>
          <w:rFonts w:ascii="Times New Roman" w:hAnsi="Times New Roman"/>
          <w:sz w:val="24"/>
          <w:szCs w:val="24"/>
          <w:lang w:val="sr-Cyrl-CS"/>
        </w:rPr>
        <w:t>којима се</w:t>
      </w:r>
      <w:r>
        <w:rPr>
          <w:rFonts w:ascii="Times New Roman" w:hAnsi="Times New Roman"/>
          <w:sz w:val="24"/>
          <w:szCs w:val="24"/>
          <w:lang w:val="sr-Cyrl-CS"/>
        </w:rPr>
        <w:t xml:space="preserve"> прибављају одређене погодности у јавном и приватном сектору</w:t>
      </w:r>
      <w:r w:rsidR="00B6548E">
        <w:rPr>
          <w:rFonts w:ascii="Times New Roman" w:hAnsi="Times New Roman"/>
          <w:sz w:val="24"/>
          <w:szCs w:val="24"/>
          <w:lang w:val="sr-Cyrl-CS"/>
        </w:rPr>
        <w:t xml:space="preserve"> мимо закона, политичка корупција, безначајна и значајна (у случају остварене веће или мање </w:t>
      </w:r>
      <w:r w:rsidR="00B6548E">
        <w:rPr>
          <w:rFonts w:ascii="Times New Roman" w:hAnsi="Times New Roman"/>
          <w:sz w:val="24"/>
          <w:szCs w:val="24"/>
          <w:lang w:val="sr-Cyrl-CS"/>
        </w:rPr>
        <w:lastRenderedPageBreak/>
        <w:t>користи) итд.</w:t>
      </w:r>
      <w:r w:rsidR="00B6548E" w:rsidRPr="00B6548E">
        <w:rPr>
          <w:rStyle w:val="FootnoteReference"/>
          <w:rFonts w:ascii="Times New Roman" w:hAnsi="Times New Roman"/>
          <w:sz w:val="24"/>
          <w:szCs w:val="24"/>
          <w:lang w:val="sr-Cyrl-CS"/>
        </w:rPr>
        <w:t xml:space="preserve"> </w:t>
      </w:r>
      <w:r w:rsidR="00751B3F">
        <w:rPr>
          <w:rFonts w:ascii="Times New Roman" w:hAnsi="Times New Roman"/>
          <w:sz w:val="24"/>
          <w:szCs w:val="24"/>
          <w:lang w:val="sr-Cyrl-CS"/>
        </w:rPr>
        <w:t>Поменути тип корупције када се коруптивне активности врше ради бржег остваривања права или ради остваривања права која физичком и правном лицу припада по закону назива се бирократска корупција и то је најчешћи вид корупције у пореској области. У оквиру овог типа корупције мито може бити дат како порески службеник не би открио неке чињенице које су од значаја за утврђивање пореске обавезе (као на пример када инспектор у записнику не наведе неке чињенице које је уочио приликом вршења контроле)</w:t>
      </w:r>
      <w:r w:rsidR="00773C4A">
        <w:rPr>
          <w:rFonts w:ascii="Times New Roman" w:hAnsi="Times New Roman"/>
          <w:sz w:val="24"/>
          <w:szCs w:val="24"/>
          <w:lang w:val="sr-Cyrl-CS"/>
        </w:rPr>
        <w:t>. Тип корупције која се врши ради кршења закона назива се бирократско-судска корупција.</w:t>
      </w:r>
      <w:r w:rsidR="00BC4EFE">
        <w:rPr>
          <w:rFonts w:ascii="Times New Roman" w:hAnsi="Times New Roman"/>
          <w:sz w:val="24"/>
          <w:szCs w:val="24"/>
          <w:lang w:val="sr-Cyrl-CS"/>
        </w:rPr>
        <w:t xml:space="preserve"> </w:t>
      </w:r>
      <w:r w:rsidR="00773C4A">
        <w:rPr>
          <w:rFonts w:ascii="Times New Roman" w:hAnsi="Times New Roman"/>
          <w:sz w:val="24"/>
          <w:szCs w:val="24"/>
          <w:lang w:val="sr-Cyrl-CS"/>
        </w:rPr>
        <w:t>У домену опрезивања овај тип корупције се манифестује у случају незаконите пореске евазије</w:t>
      </w:r>
      <w:r w:rsidR="004A1EEA">
        <w:rPr>
          <w:rFonts w:ascii="Times New Roman" w:hAnsi="Times New Roman"/>
          <w:sz w:val="24"/>
          <w:szCs w:val="24"/>
          <w:lang w:val="sr-Cyrl-CS"/>
        </w:rPr>
        <w:t>. Политичко-законодавна корупција обухвата корупцију која се врши ради измене закона, када се законски акт прилагођава интересима подмићивача од стране законодавне власти. Осим тога може да се формира спрега између политичара, пореских обвезника и по</w:t>
      </w:r>
      <w:r w:rsidR="00320945">
        <w:rPr>
          <w:rFonts w:ascii="Times New Roman" w:hAnsi="Times New Roman"/>
          <w:sz w:val="24"/>
          <w:szCs w:val="24"/>
          <w:lang w:val="sr-Cyrl-CS"/>
        </w:rPr>
        <w:t>р</w:t>
      </w:r>
      <w:r w:rsidR="004A1EEA">
        <w:rPr>
          <w:rFonts w:ascii="Times New Roman" w:hAnsi="Times New Roman"/>
          <w:sz w:val="24"/>
          <w:szCs w:val="24"/>
          <w:lang w:val="sr-Cyrl-CS"/>
        </w:rPr>
        <w:t xml:space="preserve">еских службеника када се ради о политичко-административној корупцији. У овом случају свако од њих има свој интерес па политичар ради новца за политичку кампању врши притисак на пореског службеника како би повољно издејствовао случај пореског обвезника, а за узврат му обезбеђује напредовање у служби или већу плату. </w:t>
      </w:r>
    </w:p>
    <w:p w:rsidR="00150422" w:rsidRDefault="002B402B" w:rsidP="00491C2A">
      <w:pPr>
        <w:ind w:firstLine="630"/>
        <w:jc w:val="both"/>
        <w:rPr>
          <w:rFonts w:ascii="Times New Roman" w:hAnsi="Times New Roman"/>
          <w:sz w:val="24"/>
          <w:szCs w:val="24"/>
          <w:lang w:val="sr-Cyrl-CS"/>
        </w:rPr>
      </w:pPr>
      <w:r>
        <w:rPr>
          <w:rFonts w:ascii="Times New Roman" w:hAnsi="Times New Roman"/>
          <w:sz w:val="24"/>
          <w:szCs w:val="24"/>
          <w:lang w:val="sr-Cyrl-CS"/>
        </w:rPr>
        <w:t xml:space="preserve">У нашој земљи </w:t>
      </w:r>
      <w:r w:rsidR="002C4E2F">
        <w:rPr>
          <w:rFonts w:ascii="Times New Roman" w:hAnsi="Times New Roman"/>
          <w:sz w:val="24"/>
          <w:szCs w:val="24"/>
          <w:lang w:val="sr-Cyrl-CS"/>
        </w:rPr>
        <w:t xml:space="preserve">се такође појављују </w:t>
      </w:r>
      <w:r>
        <w:rPr>
          <w:rFonts w:ascii="Times New Roman" w:hAnsi="Times New Roman"/>
          <w:sz w:val="24"/>
          <w:szCs w:val="24"/>
          <w:lang w:val="sr-Cyrl-CS"/>
        </w:rPr>
        <w:t>разни облици корупц</w:t>
      </w:r>
      <w:r w:rsidR="00012F7B">
        <w:rPr>
          <w:rFonts w:ascii="Times New Roman" w:hAnsi="Times New Roman"/>
          <w:sz w:val="24"/>
          <w:szCs w:val="24"/>
          <w:lang w:val="sr-Cyrl-CS"/>
        </w:rPr>
        <w:t>ије у привредној и ванпривредно</w:t>
      </w:r>
      <w:r>
        <w:rPr>
          <w:rFonts w:ascii="Times New Roman" w:hAnsi="Times New Roman"/>
          <w:sz w:val="24"/>
          <w:szCs w:val="24"/>
          <w:lang w:val="sr-Cyrl-CS"/>
        </w:rPr>
        <w:t xml:space="preserve">ј делатности, а посебно су угрожене области спољнотрговинског промета (извоз </w:t>
      </w:r>
      <w:r w:rsidR="000A1CCA">
        <w:rPr>
          <w:rFonts w:ascii="Times New Roman" w:hAnsi="Times New Roman"/>
          <w:sz w:val="24"/>
          <w:szCs w:val="24"/>
          <w:lang w:val="sr-Cyrl-CS"/>
        </w:rPr>
        <w:t xml:space="preserve">и увоз робе, нетачна декларација својства роба), </w:t>
      </w:r>
      <w:r w:rsidR="00012F7B">
        <w:rPr>
          <w:rFonts w:ascii="Times New Roman" w:hAnsi="Times New Roman"/>
          <w:sz w:val="24"/>
          <w:szCs w:val="24"/>
          <w:lang w:val="sr-Cyrl-CS"/>
        </w:rPr>
        <w:t>девизног пословања, унутрашње трговине, посебно приликом набавке разних в</w:t>
      </w:r>
      <w:r w:rsidR="00666CE8">
        <w:rPr>
          <w:rFonts w:ascii="Times New Roman" w:hAnsi="Times New Roman"/>
          <w:sz w:val="24"/>
          <w:szCs w:val="24"/>
          <w:lang w:val="sr-Cyrl-CS"/>
        </w:rPr>
        <w:t>рста робе, грађевинарства (откуп</w:t>
      </w:r>
      <w:r w:rsidR="00012F7B">
        <w:rPr>
          <w:rFonts w:ascii="Times New Roman" w:hAnsi="Times New Roman"/>
          <w:sz w:val="24"/>
          <w:szCs w:val="24"/>
          <w:lang w:val="sr-Cyrl-CS"/>
        </w:rPr>
        <w:t xml:space="preserve"> </w:t>
      </w:r>
      <w:r w:rsidR="00666CE8">
        <w:rPr>
          <w:rFonts w:ascii="Times New Roman" w:hAnsi="Times New Roman"/>
          <w:sz w:val="24"/>
          <w:szCs w:val="24"/>
          <w:lang w:val="sr-Cyrl-CS"/>
        </w:rPr>
        <w:t>земљишта, давање ло</w:t>
      </w:r>
      <w:r w:rsidR="00012F7B">
        <w:rPr>
          <w:rFonts w:ascii="Times New Roman" w:hAnsi="Times New Roman"/>
          <w:sz w:val="24"/>
          <w:szCs w:val="24"/>
          <w:lang w:val="sr-Cyrl-CS"/>
        </w:rPr>
        <w:t>кација и грађевинских дозвола, рушење објекта и слично), трансформације друштвене својине и државног капитала и привредно-финансијског пословања. Такође, у одређеном облику корупција је присутна у раду многих органа и институција као што су: инспекцијски и царински органи, правосуђе, полиција, управа, здравство, школство и запошљавање. Код ових органа корупција се најчешће испољава у вршењу кривичних дела давање и примање мита.</w:t>
      </w:r>
      <w:r w:rsidR="00012F7B">
        <w:rPr>
          <w:rStyle w:val="FootnoteReference"/>
          <w:rFonts w:ascii="Times New Roman" w:hAnsi="Times New Roman"/>
          <w:sz w:val="24"/>
          <w:szCs w:val="24"/>
          <w:lang w:val="sr-Cyrl-CS"/>
        </w:rPr>
        <w:footnoteReference w:id="700"/>
      </w:r>
      <w:r w:rsidR="00012F7B">
        <w:rPr>
          <w:rFonts w:ascii="Times New Roman" w:hAnsi="Times New Roman"/>
          <w:sz w:val="24"/>
          <w:szCs w:val="24"/>
          <w:lang w:val="sr-Cyrl-CS"/>
        </w:rPr>
        <w:t xml:space="preserve"> </w:t>
      </w:r>
    </w:p>
    <w:p w:rsidR="00666CE8" w:rsidRPr="0043734B" w:rsidRDefault="003277AF" w:rsidP="0043734B">
      <w:pPr>
        <w:ind w:firstLine="360"/>
        <w:jc w:val="both"/>
        <w:rPr>
          <w:rFonts w:ascii="Times New Roman" w:hAnsi="Times New Roman"/>
          <w:sz w:val="24"/>
          <w:szCs w:val="24"/>
          <w:lang w:val="sr-Cyrl-CS"/>
        </w:rPr>
      </w:pPr>
      <w:r>
        <w:rPr>
          <w:rFonts w:ascii="Times New Roman" w:hAnsi="Times New Roman"/>
          <w:sz w:val="24"/>
          <w:szCs w:val="24"/>
          <w:lang w:val="sr-Cyrl-CS"/>
        </w:rPr>
        <w:t>Најчешћи начини за прикривање облика</w:t>
      </w:r>
      <w:r w:rsidR="00666CE8" w:rsidRPr="0043734B">
        <w:rPr>
          <w:rFonts w:ascii="Times New Roman" w:hAnsi="Times New Roman"/>
          <w:sz w:val="24"/>
          <w:szCs w:val="24"/>
          <w:lang w:val="sr-Cyrl-CS"/>
        </w:rPr>
        <w:t xml:space="preserve"> </w:t>
      </w:r>
      <w:r>
        <w:rPr>
          <w:rFonts w:ascii="Times New Roman" w:hAnsi="Times New Roman"/>
          <w:sz w:val="24"/>
          <w:szCs w:val="24"/>
          <w:lang w:val="sr-Cyrl-CS"/>
        </w:rPr>
        <w:t>корупције као</w:t>
      </w:r>
      <w:r w:rsidR="002C4E2F" w:rsidRPr="0043734B">
        <w:rPr>
          <w:rFonts w:ascii="Times New Roman" w:hAnsi="Times New Roman"/>
          <w:sz w:val="24"/>
          <w:szCs w:val="24"/>
          <w:lang w:val="sr-Cyrl-CS"/>
        </w:rPr>
        <w:t xml:space="preserve"> и привредног криминала</w:t>
      </w:r>
      <w:r>
        <w:rPr>
          <w:rFonts w:ascii="Times New Roman" w:hAnsi="Times New Roman"/>
          <w:sz w:val="24"/>
          <w:szCs w:val="24"/>
          <w:lang w:val="sr-Cyrl-CS"/>
        </w:rPr>
        <w:t xml:space="preserve"> у савременим условима су следећи</w:t>
      </w:r>
      <w:r w:rsidR="00666CE8" w:rsidRPr="0043734B">
        <w:rPr>
          <w:rFonts w:ascii="Times New Roman" w:hAnsi="Times New Roman"/>
          <w:sz w:val="24"/>
          <w:szCs w:val="24"/>
          <w:lang w:val="sr-Cyrl-CS"/>
        </w:rPr>
        <w:t>:</w:t>
      </w:r>
    </w:p>
    <w:p w:rsidR="002C4E2F" w:rsidRPr="00263ACC" w:rsidRDefault="002C4E2F" w:rsidP="00666CE8">
      <w:pPr>
        <w:pStyle w:val="ListParagraph"/>
        <w:ind w:firstLine="630"/>
        <w:jc w:val="both"/>
        <w:rPr>
          <w:rFonts w:ascii="Times New Roman" w:hAnsi="Times New Roman"/>
          <w:sz w:val="24"/>
          <w:szCs w:val="24"/>
          <w:lang w:val="sr-Cyrl-CS"/>
        </w:rPr>
      </w:pPr>
    </w:p>
    <w:p w:rsidR="00666CE8" w:rsidRPr="00263ACC" w:rsidRDefault="003277AF" w:rsidP="008A3795">
      <w:pPr>
        <w:pStyle w:val="ListParagraph"/>
        <w:numPr>
          <w:ilvl w:val="0"/>
          <w:numId w:val="57"/>
        </w:numPr>
        <w:jc w:val="both"/>
        <w:rPr>
          <w:rFonts w:ascii="Times New Roman" w:hAnsi="Times New Roman"/>
          <w:sz w:val="24"/>
          <w:szCs w:val="24"/>
          <w:lang w:val="sr-Cyrl-CS"/>
        </w:rPr>
      </w:pPr>
      <w:r>
        <w:rPr>
          <w:rFonts w:ascii="Times New Roman" w:hAnsi="Times New Roman"/>
          <w:sz w:val="24"/>
          <w:szCs w:val="24"/>
          <w:lang w:val="sr-Cyrl-CS"/>
        </w:rPr>
        <w:t>фиктивни</w:t>
      </w:r>
      <w:r w:rsidR="00666CE8" w:rsidRPr="00263ACC">
        <w:rPr>
          <w:rFonts w:ascii="Times New Roman" w:hAnsi="Times New Roman"/>
          <w:sz w:val="24"/>
          <w:szCs w:val="24"/>
          <w:lang w:val="sr-Cyrl-CS"/>
        </w:rPr>
        <w:t xml:space="preserve"> </w:t>
      </w:r>
      <w:r>
        <w:rPr>
          <w:rFonts w:ascii="Times New Roman" w:hAnsi="Times New Roman"/>
          <w:sz w:val="24"/>
          <w:szCs w:val="24"/>
          <w:lang w:val="sr-Cyrl-CS"/>
        </w:rPr>
        <w:t>уговоро</w:t>
      </w:r>
      <w:r w:rsidR="00666CE8" w:rsidRPr="00263ACC">
        <w:rPr>
          <w:rFonts w:ascii="Times New Roman" w:hAnsi="Times New Roman"/>
          <w:sz w:val="24"/>
          <w:szCs w:val="24"/>
          <w:lang w:val="sr-Cyrl-CS"/>
        </w:rPr>
        <w:t xml:space="preserve"> </w:t>
      </w:r>
      <w:r w:rsidR="002C4E2F">
        <w:rPr>
          <w:rFonts w:ascii="Times New Roman" w:hAnsi="Times New Roman"/>
          <w:sz w:val="24"/>
          <w:szCs w:val="24"/>
          <w:lang w:val="sr-Cyrl-CS"/>
        </w:rPr>
        <w:t>о</w:t>
      </w:r>
      <w:r w:rsidR="00666CE8" w:rsidRPr="00263ACC">
        <w:rPr>
          <w:rFonts w:ascii="Times New Roman" w:hAnsi="Times New Roman"/>
          <w:sz w:val="24"/>
          <w:szCs w:val="24"/>
          <w:lang w:val="sr-Cyrl-CS"/>
        </w:rPr>
        <w:t xml:space="preserve"> </w:t>
      </w:r>
      <w:r w:rsidR="002C4E2F">
        <w:rPr>
          <w:rFonts w:ascii="Times New Roman" w:hAnsi="Times New Roman"/>
          <w:sz w:val="24"/>
          <w:szCs w:val="24"/>
          <w:lang w:val="sr-Cyrl-CS"/>
        </w:rPr>
        <w:t>делу</w:t>
      </w:r>
      <w:r w:rsidR="00666CE8" w:rsidRPr="00263ACC">
        <w:rPr>
          <w:rFonts w:ascii="Times New Roman" w:hAnsi="Times New Roman"/>
          <w:sz w:val="24"/>
          <w:szCs w:val="24"/>
          <w:lang w:val="sr-Cyrl-CS"/>
        </w:rPr>
        <w:t>;</w:t>
      </w:r>
      <w:r w:rsidR="0043734B">
        <w:rPr>
          <w:rFonts w:ascii="Times New Roman" w:hAnsi="Times New Roman"/>
          <w:sz w:val="24"/>
          <w:szCs w:val="24"/>
          <w:lang w:val="sr-Cyrl-CS"/>
        </w:rPr>
        <w:t xml:space="preserve"> </w:t>
      </w:r>
    </w:p>
    <w:p w:rsidR="00666CE8" w:rsidRPr="00263ACC" w:rsidRDefault="003277AF" w:rsidP="008A3795">
      <w:pPr>
        <w:pStyle w:val="ListParagraph"/>
        <w:numPr>
          <w:ilvl w:val="0"/>
          <w:numId w:val="57"/>
        </w:numPr>
        <w:jc w:val="both"/>
        <w:rPr>
          <w:rFonts w:ascii="Times New Roman" w:hAnsi="Times New Roman"/>
          <w:sz w:val="24"/>
          <w:szCs w:val="24"/>
          <w:lang w:val="sr-Cyrl-CS"/>
        </w:rPr>
      </w:pPr>
      <w:r>
        <w:rPr>
          <w:rFonts w:ascii="Times New Roman" w:hAnsi="Times New Roman"/>
          <w:sz w:val="24"/>
          <w:szCs w:val="24"/>
          <w:lang w:val="sr-Cyrl-CS"/>
        </w:rPr>
        <w:t>фалсификовани</w:t>
      </w:r>
      <w:r w:rsidR="00666CE8" w:rsidRPr="00263ACC">
        <w:rPr>
          <w:rFonts w:ascii="Times New Roman" w:hAnsi="Times New Roman"/>
          <w:sz w:val="24"/>
          <w:szCs w:val="24"/>
          <w:lang w:val="sr-Cyrl-CS"/>
        </w:rPr>
        <w:t xml:space="preserve"> </w:t>
      </w:r>
      <w:r>
        <w:rPr>
          <w:rFonts w:ascii="Times New Roman" w:hAnsi="Times New Roman"/>
          <w:sz w:val="24"/>
          <w:szCs w:val="24"/>
          <w:lang w:val="sr-Cyrl-CS"/>
        </w:rPr>
        <w:t>путни</w:t>
      </w:r>
      <w:r w:rsidR="00666CE8" w:rsidRPr="00263ACC">
        <w:rPr>
          <w:rFonts w:ascii="Times New Roman" w:hAnsi="Times New Roman"/>
          <w:sz w:val="24"/>
          <w:szCs w:val="24"/>
          <w:lang w:val="sr-Cyrl-CS"/>
        </w:rPr>
        <w:t xml:space="preserve"> </w:t>
      </w:r>
      <w:r>
        <w:rPr>
          <w:rFonts w:ascii="Times New Roman" w:hAnsi="Times New Roman"/>
          <w:sz w:val="24"/>
          <w:szCs w:val="24"/>
          <w:lang w:val="sr-Cyrl-CS"/>
        </w:rPr>
        <w:t>рачуни</w:t>
      </w:r>
      <w:r w:rsidR="00666CE8" w:rsidRPr="00263ACC">
        <w:rPr>
          <w:rFonts w:ascii="Times New Roman" w:hAnsi="Times New Roman"/>
          <w:sz w:val="24"/>
          <w:szCs w:val="24"/>
          <w:lang w:val="sr-Cyrl-CS"/>
        </w:rPr>
        <w:t>;</w:t>
      </w:r>
    </w:p>
    <w:p w:rsidR="00666CE8" w:rsidRPr="00263ACC" w:rsidRDefault="003277AF" w:rsidP="008A3795">
      <w:pPr>
        <w:pStyle w:val="ListParagraph"/>
        <w:numPr>
          <w:ilvl w:val="0"/>
          <w:numId w:val="57"/>
        </w:numPr>
        <w:jc w:val="both"/>
        <w:rPr>
          <w:rFonts w:ascii="Times New Roman" w:hAnsi="Times New Roman"/>
          <w:sz w:val="24"/>
          <w:szCs w:val="24"/>
          <w:lang w:val="sr-Cyrl-CS"/>
        </w:rPr>
      </w:pPr>
      <w:r>
        <w:rPr>
          <w:rFonts w:ascii="Times New Roman" w:hAnsi="Times New Roman"/>
          <w:sz w:val="24"/>
          <w:szCs w:val="24"/>
          <w:lang w:val="sr-Cyrl-CS"/>
        </w:rPr>
        <w:t>фиктивно</w:t>
      </w:r>
      <w:r w:rsidR="00666CE8" w:rsidRPr="00263ACC">
        <w:rPr>
          <w:rFonts w:ascii="Times New Roman" w:hAnsi="Times New Roman"/>
          <w:sz w:val="24"/>
          <w:szCs w:val="24"/>
          <w:lang w:val="sr-Cyrl-CS"/>
        </w:rPr>
        <w:t xml:space="preserve"> </w:t>
      </w:r>
      <w:r>
        <w:rPr>
          <w:rFonts w:ascii="Times New Roman" w:hAnsi="Times New Roman"/>
          <w:sz w:val="24"/>
          <w:szCs w:val="24"/>
          <w:lang w:val="sr-Cyrl-CS"/>
        </w:rPr>
        <w:t>заснивање</w:t>
      </w:r>
      <w:r w:rsidR="00666CE8" w:rsidRPr="00263ACC">
        <w:rPr>
          <w:rFonts w:ascii="Times New Roman" w:hAnsi="Times New Roman"/>
          <w:sz w:val="24"/>
          <w:szCs w:val="24"/>
          <w:lang w:val="sr-Cyrl-CS"/>
        </w:rPr>
        <w:t xml:space="preserve"> </w:t>
      </w:r>
      <w:r w:rsidR="002C4E2F">
        <w:rPr>
          <w:rFonts w:ascii="Times New Roman" w:hAnsi="Times New Roman"/>
          <w:sz w:val="24"/>
          <w:szCs w:val="24"/>
          <w:lang w:val="sr-Cyrl-CS"/>
        </w:rPr>
        <w:t>радног</w:t>
      </w:r>
      <w:r w:rsidR="00666CE8" w:rsidRPr="00263ACC">
        <w:rPr>
          <w:rFonts w:ascii="Times New Roman" w:hAnsi="Times New Roman"/>
          <w:sz w:val="24"/>
          <w:szCs w:val="24"/>
          <w:lang w:val="sr-Cyrl-CS"/>
        </w:rPr>
        <w:t xml:space="preserve"> </w:t>
      </w:r>
      <w:r w:rsidR="002C4E2F">
        <w:rPr>
          <w:rFonts w:ascii="Times New Roman" w:hAnsi="Times New Roman"/>
          <w:sz w:val="24"/>
          <w:szCs w:val="24"/>
          <w:lang w:val="sr-Cyrl-CS"/>
        </w:rPr>
        <w:t>односа</w:t>
      </w:r>
      <w:r w:rsidR="00666CE8" w:rsidRPr="00263ACC">
        <w:rPr>
          <w:rFonts w:ascii="Times New Roman" w:hAnsi="Times New Roman"/>
          <w:sz w:val="24"/>
          <w:szCs w:val="24"/>
          <w:lang w:val="sr-Cyrl-CS"/>
        </w:rPr>
        <w:t>;</w:t>
      </w:r>
    </w:p>
    <w:p w:rsidR="00666CE8" w:rsidRPr="00263ACC" w:rsidRDefault="003277AF" w:rsidP="008A3795">
      <w:pPr>
        <w:pStyle w:val="ListParagraph"/>
        <w:numPr>
          <w:ilvl w:val="0"/>
          <w:numId w:val="57"/>
        </w:numPr>
        <w:jc w:val="both"/>
        <w:rPr>
          <w:rFonts w:ascii="Times New Roman" w:hAnsi="Times New Roman"/>
          <w:sz w:val="24"/>
          <w:szCs w:val="24"/>
          <w:lang w:val="sr-Cyrl-CS"/>
        </w:rPr>
      </w:pPr>
      <w:r>
        <w:rPr>
          <w:rFonts w:ascii="Times New Roman" w:hAnsi="Times New Roman"/>
          <w:sz w:val="24"/>
          <w:szCs w:val="24"/>
          <w:lang w:val="sr-Cyrl-CS"/>
        </w:rPr>
        <w:t>одобравање</w:t>
      </w:r>
      <w:r w:rsidR="00666CE8" w:rsidRPr="00263ACC">
        <w:rPr>
          <w:rFonts w:ascii="Times New Roman" w:hAnsi="Times New Roman"/>
          <w:sz w:val="24"/>
          <w:szCs w:val="24"/>
          <w:lang w:val="sr-Cyrl-CS"/>
        </w:rPr>
        <w:t xml:space="preserve"> </w:t>
      </w:r>
      <w:r w:rsidR="002C4E2F">
        <w:rPr>
          <w:rFonts w:ascii="Times New Roman" w:hAnsi="Times New Roman"/>
          <w:sz w:val="24"/>
          <w:szCs w:val="24"/>
          <w:lang w:val="sr-Cyrl-CS"/>
        </w:rPr>
        <w:t>нереалних</w:t>
      </w:r>
      <w:r w:rsidR="00666CE8" w:rsidRPr="00263ACC">
        <w:rPr>
          <w:rFonts w:ascii="Times New Roman" w:hAnsi="Times New Roman"/>
          <w:sz w:val="24"/>
          <w:szCs w:val="24"/>
          <w:lang w:val="sr-Cyrl-CS"/>
        </w:rPr>
        <w:t xml:space="preserve"> </w:t>
      </w:r>
      <w:r w:rsidR="002C4E2F">
        <w:rPr>
          <w:rFonts w:ascii="Times New Roman" w:hAnsi="Times New Roman"/>
          <w:sz w:val="24"/>
          <w:szCs w:val="24"/>
          <w:lang w:val="sr-Cyrl-CS"/>
        </w:rPr>
        <w:t>провизија</w:t>
      </w:r>
      <w:r w:rsidR="00666CE8" w:rsidRPr="00263ACC">
        <w:rPr>
          <w:rFonts w:ascii="Times New Roman" w:hAnsi="Times New Roman"/>
          <w:sz w:val="24"/>
          <w:szCs w:val="24"/>
          <w:lang w:val="sr-Cyrl-CS"/>
        </w:rPr>
        <w:t>;</w:t>
      </w:r>
    </w:p>
    <w:p w:rsidR="00666CE8" w:rsidRPr="00263ACC" w:rsidRDefault="002C4E2F" w:rsidP="008A3795">
      <w:pPr>
        <w:pStyle w:val="ListParagraph"/>
        <w:numPr>
          <w:ilvl w:val="0"/>
          <w:numId w:val="57"/>
        </w:numPr>
        <w:jc w:val="both"/>
        <w:rPr>
          <w:rFonts w:ascii="Times New Roman" w:hAnsi="Times New Roman"/>
          <w:sz w:val="24"/>
          <w:szCs w:val="24"/>
          <w:lang w:val="sr-Cyrl-CS"/>
        </w:rPr>
      </w:pPr>
      <w:r>
        <w:rPr>
          <w:rFonts w:ascii="Times New Roman" w:hAnsi="Times New Roman"/>
          <w:sz w:val="24"/>
          <w:szCs w:val="24"/>
          <w:lang w:val="sr-Cyrl-CS"/>
        </w:rPr>
        <w:t>издавање</w:t>
      </w:r>
      <w:r w:rsidR="00666CE8" w:rsidRPr="00263ACC">
        <w:rPr>
          <w:rFonts w:ascii="Times New Roman" w:hAnsi="Times New Roman"/>
          <w:sz w:val="24"/>
          <w:szCs w:val="24"/>
          <w:lang w:val="sr-Cyrl-CS"/>
        </w:rPr>
        <w:t xml:space="preserve"> </w:t>
      </w:r>
      <w:r>
        <w:rPr>
          <w:rFonts w:ascii="Times New Roman" w:hAnsi="Times New Roman"/>
          <w:sz w:val="24"/>
          <w:szCs w:val="24"/>
          <w:lang w:val="sr-Cyrl-CS"/>
        </w:rPr>
        <w:t>гарантних</w:t>
      </w:r>
      <w:r w:rsidR="00666CE8" w:rsidRPr="00263ACC">
        <w:rPr>
          <w:rFonts w:ascii="Times New Roman" w:hAnsi="Times New Roman"/>
          <w:sz w:val="24"/>
          <w:szCs w:val="24"/>
          <w:lang w:val="sr-Cyrl-CS"/>
        </w:rPr>
        <w:t xml:space="preserve"> </w:t>
      </w:r>
      <w:r>
        <w:rPr>
          <w:rFonts w:ascii="Times New Roman" w:hAnsi="Times New Roman"/>
          <w:sz w:val="24"/>
          <w:szCs w:val="24"/>
          <w:lang w:val="sr-Cyrl-CS"/>
        </w:rPr>
        <w:t>писама</w:t>
      </w:r>
      <w:r w:rsidR="00666CE8" w:rsidRPr="00263ACC">
        <w:rPr>
          <w:rFonts w:ascii="Times New Roman" w:hAnsi="Times New Roman"/>
          <w:sz w:val="24"/>
          <w:szCs w:val="24"/>
          <w:lang w:val="sr-Cyrl-CS"/>
        </w:rPr>
        <w:t>;</w:t>
      </w:r>
    </w:p>
    <w:p w:rsidR="00666CE8" w:rsidRPr="002C4E2F" w:rsidRDefault="003277AF" w:rsidP="008A3795">
      <w:pPr>
        <w:pStyle w:val="ListParagraph"/>
        <w:numPr>
          <w:ilvl w:val="0"/>
          <w:numId w:val="57"/>
        </w:numPr>
        <w:jc w:val="both"/>
        <w:rPr>
          <w:rFonts w:ascii="Times New Roman" w:hAnsi="Times New Roman"/>
          <w:sz w:val="24"/>
          <w:szCs w:val="24"/>
          <w:lang w:val="sr-Cyrl-CS"/>
        </w:rPr>
      </w:pPr>
      <w:r>
        <w:rPr>
          <w:rFonts w:ascii="Times New Roman" w:hAnsi="Times New Roman"/>
          <w:sz w:val="24"/>
          <w:szCs w:val="24"/>
          <w:lang w:val="sr-Cyrl-CS"/>
        </w:rPr>
        <w:t>ангажовање</w:t>
      </w:r>
      <w:r w:rsidR="00666CE8" w:rsidRPr="00263ACC">
        <w:rPr>
          <w:rFonts w:ascii="Times New Roman" w:hAnsi="Times New Roman"/>
          <w:sz w:val="24"/>
          <w:szCs w:val="24"/>
          <w:lang w:val="sr-Cyrl-CS"/>
        </w:rPr>
        <w:t xml:space="preserve"> </w:t>
      </w:r>
      <w:r w:rsidR="002C4E2F">
        <w:rPr>
          <w:rFonts w:ascii="Times New Roman" w:hAnsi="Times New Roman"/>
          <w:sz w:val="24"/>
          <w:szCs w:val="24"/>
          <w:lang w:val="sr-Cyrl-CS"/>
        </w:rPr>
        <w:t>спољних</w:t>
      </w:r>
      <w:r w:rsidR="00666CE8" w:rsidRPr="00263ACC">
        <w:rPr>
          <w:rFonts w:ascii="Times New Roman" w:hAnsi="Times New Roman"/>
          <w:sz w:val="24"/>
          <w:szCs w:val="24"/>
          <w:lang w:val="sr-Cyrl-CS"/>
        </w:rPr>
        <w:t xml:space="preserve"> </w:t>
      </w:r>
      <w:r w:rsidR="002C4E2F">
        <w:rPr>
          <w:rFonts w:ascii="Times New Roman" w:hAnsi="Times New Roman"/>
          <w:sz w:val="24"/>
          <w:szCs w:val="24"/>
          <w:lang w:val="sr-Cyrl-CS"/>
        </w:rPr>
        <w:t>сарадника</w:t>
      </w:r>
      <w:r w:rsidR="00666CE8" w:rsidRPr="00263ACC">
        <w:rPr>
          <w:rFonts w:ascii="Times New Roman" w:hAnsi="Times New Roman"/>
          <w:sz w:val="24"/>
          <w:szCs w:val="24"/>
          <w:lang w:val="sr-Cyrl-CS"/>
        </w:rPr>
        <w:t xml:space="preserve">, </w:t>
      </w:r>
      <w:r w:rsidR="002C4E2F">
        <w:rPr>
          <w:rFonts w:ascii="Times New Roman" w:hAnsi="Times New Roman"/>
          <w:sz w:val="24"/>
          <w:szCs w:val="24"/>
          <w:lang w:val="sr-Cyrl-CS"/>
        </w:rPr>
        <w:t>стручних саветника</w:t>
      </w:r>
      <w:r w:rsidR="00666CE8" w:rsidRPr="002C4E2F">
        <w:rPr>
          <w:rFonts w:ascii="Times New Roman" w:hAnsi="Times New Roman"/>
          <w:sz w:val="24"/>
          <w:szCs w:val="24"/>
          <w:lang w:val="sr-Cyrl-CS"/>
        </w:rPr>
        <w:t xml:space="preserve"> </w:t>
      </w:r>
      <w:r w:rsidR="002C4E2F">
        <w:rPr>
          <w:rFonts w:ascii="Times New Roman" w:hAnsi="Times New Roman"/>
          <w:sz w:val="24"/>
          <w:szCs w:val="24"/>
          <w:lang w:val="sr-Cyrl-CS"/>
        </w:rPr>
        <w:t>или</w:t>
      </w:r>
      <w:r w:rsidR="00666CE8" w:rsidRPr="002C4E2F">
        <w:rPr>
          <w:rFonts w:ascii="Times New Roman" w:hAnsi="Times New Roman"/>
          <w:sz w:val="24"/>
          <w:szCs w:val="24"/>
          <w:lang w:val="sr-Cyrl-CS"/>
        </w:rPr>
        <w:t xml:space="preserve"> </w:t>
      </w:r>
      <w:r w:rsidR="002C4E2F">
        <w:rPr>
          <w:rFonts w:ascii="Times New Roman" w:hAnsi="Times New Roman"/>
          <w:sz w:val="24"/>
          <w:szCs w:val="24"/>
          <w:lang w:val="sr-Cyrl-CS"/>
        </w:rPr>
        <w:t>консултаната</w:t>
      </w:r>
      <w:r w:rsidR="00666CE8" w:rsidRPr="002C4E2F">
        <w:rPr>
          <w:rFonts w:ascii="Times New Roman" w:hAnsi="Times New Roman"/>
          <w:sz w:val="24"/>
          <w:szCs w:val="24"/>
          <w:lang w:val="sr-Cyrl-CS"/>
        </w:rPr>
        <w:t>;</w:t>
      </w:r>
    </w:p>
    <w:p w:rsidR="00666CE8" w:rsidRPr="00263ACC" w:rsidRDefault="002C4E2F" w:rsidP="008A3795">
      <w:pPr>
        <w:pStyle w:val="ListParagraph"/>
        <w:numPr>
          <w:ilvl w:val="0"/>
          <w:numId w:val="57"/>
        </w:numPr>
        <w:jc w:val="both"/>
        <w:rPr>
          <w:rFonts w:ascii="Times New Roman" w:hAnsi="Times New Roman"/>
          <w:sz w:val="24"/>
          <w:szCs w:val="24"/>
          <w:lang w:val="sr-Cyrl-CS"/>
        </w:rPr>
      </w:pPr>
      <w:r>
        <w:rPr>
          <w:rFonts w:ascii="Times New Roman" w:hAnsi="Times New Roman"/>
          <w:sz w:val="24"/>
          <w:szCs w:val="24"/>
          <w:lang w:val="sr-Cyrl-CS"/>
        </w:rPr>
        <w:t>исплата</w:t>
      </w:r>
      <w:r w:rsidR="00666CE8" w:rsidRPr="00263ACC">
        <w:rPr>
          <w:rFonts w:ascii="Times New Roman" w:hAnsi="Times New Roman"/>
          <w:sz w:val="24"/>
          <w:szCs w:val="24"/>
          <w:lang w:val="sr-Cyrl-CS"/>
        </w:rPr>
        <w:t xml:space="preserve"> </w:t>
      </w:r>
      <w:r>
        <w:rPr>
          <w:rFonts w:ascii="Times New Roman" w:hAnsi="Times New Roman"/>
          <w:sz w:val="24"/>
          <w:szCs w:val="24"/>
          <w:lang w:val="sr-Cyrl-CS"/>
        </w:rPr>
        <w:t>ауторских</w:t>
      </w:r>
      <w:r w:rsidR="00666CE8" w:rsidRPr="00263ACC">
        <w:rPr>
          <w:rFonts w:ascii="Times New Roman" w:hAnsi="Times New Roman"/>
          <w:sz w:val="24"/>
          <w:szCs w:val="24"/>
          <w:lang w:val="sr-Cyrl-CS"/>
        </w:rPr>
        <w:t xml:space="preserve"> </w:t>
      </w:r>
      <w:r>
        <w:rPr>
          <w:rFonts w:ascii="Times New Roman" w:hAnsi="Times New Roman"/>
          <w:sz w:val="24"/>
          <w:szCs w:val="24"/>
          <w:lang w:val="sr-Cyrl-CS"/>
        </w:rPr>
        <w:t>хонорара</w:t>
      </w:r>
      <w:r w:rsidR="00666CE8" w:rsidRPr="00263ACC">
        <w:rPr>
          <w:rFonts w:ascii="Times New Roman" w:hAnsi="Times New Roman"/>
          <w:sz w:val="24"/>
          <w:szCs w:val="24"/>
          <w:lang w:val="sr-Cyrl-CS"/>
        </w:rPr>
        <w:t xml:space="preserve"> </w:t>
      </w:r>
      <w:r>
        <w:rPr>
          <w:rFonts w:ascii="Times New Roman" w:hAnsi="Times New Roman"/>
          <w:sz w:val="24"/>
          <w:szCs w:val="24"/>
          <w:lang w:val="sr-Cyrl-CS"/>
        </w:rPr>
        <w:t>за</w:t>
      </w:r>
      <w:r w:rsidR="00666CE8" w:rsidRPr="00263ACC">
        <w:rPr>
          <w:rFonts w:ascii="Times New Roman" w:hAnsi="Times New Roman"/>
          <w:sz w:val="24"/>
          <w:szCs w:val="24"/>
          <w:lang w:val="sr-Cyrl-CS"/>
        </w:rPr>
        <w:t xml:space="preserve"> „</w:t>
      </w:r>
      <w:r>
        <w:rPr>
          <w:rFonts w:ascii="Times New Roman" w:hAnsi="Times New Roman"/>
          <w:sz w:val="24"/>
          <w:szCs w:val="24"/>
          <w:lang w:val="sr-Cyrl-CS"/>
        </w:rPr>
        <w:t>дела</w:t>
      </w:r>
      <w:r w:rsidR="00666CE8" w:rsidRPr="00263ACC">
        <w:rPr>
          <w:rFonts w:ascii="Times New Roman" w:hAnsi="Times New Roman"/>
          <w:sz w:val="24"/>
          <w:szCs w:val="24"/>
          <w:lang w:val="sr-Cyrl-CS"/>
        </w:rPr>
        <w:t xml:space="preserve">” </w:t>
      </w:r>
      <w:r>
        <w:rPr>
          <w:rFonts w:ascii="Times New Roman" w:hAnsi="Times New Roman"/>
          <w:sz w:val="24"/>
          <w:szCs w:val="24"/>
          <w:lang w:val="sr-Cyrl-CS"/>
        </w:rPr>
        <w:t>која</w:t>
      </w:r>
      <w:r w:rsidR="00666CE8" w:rsidRPr="00263ACC">
        <w:rPr>
          <w:rFonts w:ascii="Times New Roman" w:hAnsi="Times New Roman"/>
          <w:sz w:val="24"/>
          <w:szCs w:val="24"/>
          <w:lang w:val="sr-Cyrl-CS"/>
        </w:rPr>
        <w:t xml:space="preserve"> </w:t>
      </w:r>
      <w:r>
        <w:rPr>
          <w:rFonts w:ascii="Times New Roman" w:hAnsi="Times New Roman"/>
          <w:sz w:val="24"/>
          <w:szCs w:val="24"/>
          <w:lang w:val="sr-Cyrl-CS"/>
        </w:rPr>
        <w:t>нису</w:t>
      </w:r>
      <w:r w:rsidR="00666CE8" w:rsidRPr="00263ACC">
        <w:rPr>
          <w:rFonts w:ascii="Times New Roman" w:hAnsi="Times New Roman"/>
          <w:sz w:val="24"/>
          <w:szCs w:val="24"/>
          <w:lang w:val="sr-Cyrl-CS"/>
        </w:rPr>
        <w:t xml:space="preserve"> </w:t>
      </w:r>
      <w:r>
        <w:rPr>
          <w:rFonts w:ascii="Times New Roman" w:hAnsi="Times New Roman"/>
          <w:sz w:val="24"/>
          <w:szCs w:val="24"/>
          <w:lang w:val="sr-Cyrl-CS"/>
        </w:rPr>
        <w:t>написана</w:t>
      </w:r>
      <w:r w:rsidR="00666CE8" w:rsidRPr="00263ACC">
        <w:rPr>
          <w:rFonts w:ascii="Times New Roman" w:hAnsi="Times New Roman"/>
          <w:sz w:val="24"/>
          <w:szCs w:val="24"/>
          <w:lang w:val="sr-Cyrl-CS"/>
        </w:rPr>
        <w:t>;</w:t>
      </w:r>
    </w:p>
    <w:p w:rsidR="00666CE8" w:rsidRPr="002C4E2F" w:rsidRDefault="003277AF" w:rsidP="008A3795">
      <w:pPr>
        <w:pStyle w:val="ListParagraph"/>
        <w:numPr>
          <w:ilvl w:val="0"/>
          <w:numId w:val="57"/>
        </w:numPr>
        <w:jc w:val="both"/>
        <w:rPr>
          <w:rFonts w:ascii="Times New Roman" w:hAnsi="Times New Roman"/>
          <w:sz w:val="24"/>
          <w:szCs w:val="24"/>
          <w:lang w:val="sr-Cyrl-CS"/>
        </w:rPr>
      </w:pPr>
      <w:r>
        <w:rPr>
          <w:rFonts w:ascii="Times New Roman" w:hAnsi="Times New Roman"/>
          <w:sz w:val="24"/>
          <w:szCs w:val="24"/>
          <w:lang w:val="sr-Cyrl-CS"/>
        </w:rPr>
        <w:t>прикривање давања скупоцених поклона путем фиктивних</w:t>
      </w:r>
      <w:r w:rsidR="00666CE8" w:rsidRPr="00263ACC">
        <w:rPr>
          <w:rFonts w:ascii="Times New Roman" w:hAnsi="Times New Roman"/>
          <w:sz w:val="24"/>
          <w:szCs w:val="24"/>
          <w:lang w:val="sr-Cyrl-CS"/>
        </w:rPr>
        <w:t xml:space="preserve"> </w:t>
      </w:r>
      <w:r>
        <w:rPr>
          <w:rFonts w:ascii="Times New Roman" w:hAnsi="Times New Roman"/>
          <w:sz w:val="24"/>
          <w:szCs w:val="24"/>
          <w:lang w:val="sr-Cyrl-CS"/>
        </w:rPr>
        <w:t>трошкова</w:t>
      </w:r>
      <w:r w:rsidR="00666CE8" w:rsidRPr="00263ACC">
        <w:rPr>
          <w:rFonts w:ascii="Times New Roman" w:hAnsi="Times New Roman"/>
          <w:sz w:val="24"/>
          <w:szCs w:val="24"/>
          <w:lang w:val="sr-Cyrl-CS"/>
        </w:rPr>
        <w:t xml:space="preserve"> </w:t>
      </w:r>
      <w:r w:rsidR="002C4E2F">
        <w:rPr>
          <w:rFonts w:ascii="Times New Roman" w:hAnsi="Times New Roman"/>
          <w:sz w:val="24"/>
          <w:szCs w:val="24"/>
          <w:lang w:val="sr-Cyrl-CS"/>
        </w:rPr>
        <w:t>репрезентације</w:t>
      </w:r>
      <w:r w:rsidR="00666CE8" w:rsidRPr="00263ACC">
        <w:rPr>
          <w:rFonts w:ascii="Times New Roman" w:hAnsi="Times New Roman"/>
          <w:sz w:val="24"/>
          <w:szCs w:val="24"/>
          <w:lang w:val="sr-Cyrl-CS"/>
        </w:rPr>
        <w:t xml:space="preserve"> </w:t>
      </w:r>
      <w:r w:rsidR="002C4E2F">
        <w:rPr>
          <w:rFonts w:ascii="Times New Roman" w:hAnsi="Times New Roman"/>
          <w:sz w:val="24"/>
          <w:szCs w:val="24"/>
          <w:lang w:val="sr-Cyrl-CS"/>
        </w:rPr>
        <w:t>и</w:t>
      </w:r>
      <w:r w:rsidR="00666CE8" w:rsidRPr="00263ACC">
        <w:rPr>
          <w:rFonts w:ascii="Times New Roman" w:hAnsi="Times New Roman"/>
          <w:sz w:val="24"/>
          <w:szCs w:val="24"/>
          <w:lang w:val="sr-Cyrl-CS"/>
        </w:rPr>
        <w:t xml:space="preserve"> </w:t>
      </w:r>
      <w:r w:rsidR="002C4E2F">
        <w:rPr>
          <w:rFonts w:ascii="Times New Roman" w:hAnsi="Times New Roman"/>
          <w:sz w:val="24"/>
          <w:szCs w:val="24"/>
          <w:lang w:val="sr-Cyrl-CS"/>
        </w:rPr>
        <w:t>рекламе</w:t>
      </w:r>
      <w:r w:rsidR="00666CE8" w:rsidRPr="002C4E2F">
        <w:rPr>
          <w:rFonts w:ascii="Times New Roman" w:hAnsi="Times New Roman"/>
          <w:sz w:val="24"/>
          <w:szCs w:val="24"/>
          <w:lang w:val="sr-Cyrl-CS"/>
        </w:rPr>
        <w:t>;</w:t>
      </w:r>
    </w:p>
    <w:p w:rsidR="00666CE8" w:rsidRPr="002C4E2F" w:rsidRDefault="003277AF" w:rsidP="008A3795">
      <w:pPr>
        <w:pStyle w:val="ListParagraph"/>
        <w:numPr>
          <w:ilvl w:val="0"/>
          <w:numId w:val="57"/>
        </w:numPr>
        <w:jc w:val="both"/>
        <w:rPr>
          <w:rFonts w:ascii="Times New Roman" w:hAnsi="Times New Roman"/>
          <w:sz w:val="24"/>
          <w:szCs w:val="24"/>
          <w:lang w:val="sr-Cyrl-CS"/>
        </w:rPr>
      </w:pPr>
      <w:r>
        <w:rPr>
          <w:rFonts w:ascii="Times New Roman" w:hAnsi="Times New Roman"/>
          <w:sz w:val="24"/>
          <w:szCs w:val="24"/>
          <w:lang w:val="sr-Cyrl-CS"/>
        </w:rPr>
        <w:t>формирање</w:t>
      </w:r>
      <w:r w:rsidR="00666CE8" w:rsidRPr="00263ACC">
        <w:rPr>
          <w:rFonts w:ascii="Times New Roman" w:hAnsi="Times New Roman"/>
          <w:sz w:val="24"/>
          <w:szCs w:val="24"/>
          <w:lang w:val="sr-Cyrl-CS"/>
        </w:rPr>
        <w:t xml:space="preserve"> </w:t>
      </w:r>
      <w:r>
        <w:rPr>
          <w:rFonts w:ascii="Times New Roman" w:hAnsi="Times New Roman"/>
          <w:sz w:val="24"/>
          <w:szCs w:val="24"/>
          <w:lang w:val="sr-Cyrl-CS"/>
        </w:rPr>
        <w:t>разних</w:t>
      </w:r>
      <w:r w:rsidR="00666CE8" w:rsidRPr="00263ACC">
        <w:rPr>
          <w:rFonts w:ascii="Times New Roman" w:hAnsi="Times New Roman"/>
          <w:sz w:val="24"/>
          <w:szCs w:val="24"/>
          <w:lang w:val="sr-Cyrl-CS"/>
        </w:rPr>
        <w:t xml:space="preserve"> </w:t>
      </w:r>
      <w:r w:rsidR="002C4E2F">
        <w:rPr>
          <w:rFonts w:ascii="Times New Roman" w:hAnsi="Times New Roman"/>
          <w:sz w:val="24"/>
          <w:szCs w:val="24"/>
          <w:lang w:val="sr-Cyrl-CS"/>
        </w:rPr>
        <w:t>к</w:t>
      </w:r>
      <w:r>
        <w:rPr>
          <w:rFonts w:ascii="Times New Roman" w:hAnsi="Times New Roman"/>
          <w:sz w:val="24"/>
          <w:szCs w:val="24"/>
          <w:lang w:val="sr-Cyrl-CS"/>
        </w:rPr>
        <w:t>омисија</w:t>
      </w:r>
      <w:r w:rsidR="00666CE8" w:rsidRPr="00263ACC">
        <w:rPr>
          <w:rFonts w:ascii="Times New Roman" w:hAnsi="Times New Roman"/>
          <w:sz w:val="24"/>
          <w:szCs w:val="24"/>
          <w:lang w:val="sr-Cyrl-CS"/>
        </w:rPr>
        <w:t xml:space="preserve"> </w:t>
      </w:r>
      <w:r w:rsidR="002C4E2F">
        <w:rPr>
          <w:rFonts w:ascii="Times New Roman" w:hAnsi="Times New Roman"/>
          <w:sz w:val="24"/>
          <w:szCs w:val="24"/>
          <w:lang w:val="sr-Cyrl-CS"/>
        </w:rPr>
        <w:t>и</w:t>
      </w:r>
      <w:r w:rsidR="00666CE8" w:rsidRPr="00263ACC">
        <w:rPr>
          <w:rFonts w:ascii="Times New Roman" w:hAnsi="Times New Roman"/>
          <w:sz w:val="24"/>
          <w:szCs w:val="24"/>
          <w:lang w:val="sr-Cyrl-CS"/>
        </w:rPr>
        <w:t xml:space="preserve"> </w:t>
      </w:r>
      <w:r>
        <w:rPr>
          <w:rFonts w:ascii="Times New Roman" w:hAnsi="Times New Roman"/>
          <w:sz w:val="24"/>
          <w:szCs w:val="24"/>
          <w:lang w:val="sr-Cyrl-CS"/>
        </w:rPr>
        <w:t>других</w:t>
      </w:r>
      <w:r w:rsidR="00666CE8" w:rsidRPr="00263ACC">
        <w:rPr>
          <w:rFonts w:ascii="Times New Roman" w:hAnsi="Times New Roman"/>
          <w:sz w:val="24"/>
          <w:szCs w:val="24"/>
          <w:lang w:val="sr-Cyrl-CS"/>
        </w:rPr>
        <w:t xml:space="preserve"> </w:t>
      </w:r>
      <w:r w:rsidR="002C4E2F">
        <w:rPr>
          <w:rFonts w:ascii="Times New Roman" w:hAnsi="Times New Roman"/>
          <w:sz w:val="24"/>
          <w:szCs w:val="24"/>
          <w:lang w:val="sr-Cyrl-CS"/>
        </w:rPr>
        <w:t>тела</w:t>
      </w:r>
      <w:r w:rsidR="00666CE8" w:rsidRPr="00263ACC">
        <w:rPr>
          <w:rFonts w:ascii="Times New Roman" w:hAnsi="Times New Roman"/>
          <w:sz w:val="24"/>
          <w:szCs w:val="24"/>
          <w:lang w:val="sr-Cyrl-CS"/>
        </w:rPr>
        <w:t xml:space="preserve"> </w:t>
      </w:r>
      <w:r w:rsidR="002C4E2F">
        <w:rPr>
          <w:rFonts w:ascii="Times New Roman" w:hAnsi="Times New Roman"/>
          <w:sz w:val="24"/>
          <w:szCs w:val="24"/>
          <w:lang w:val="sr-Cyrl-CS"/>
        </w:rPr>
        <w:t>која</w:t>
      </w:r>
      <w:r w:rsidR="00666CE8" w:rsidRPr="00263ACC">
        <w:rPr>
          <w:rFonts w:ascii="Times New Roman" w:hAnsi="Times New Roman"/>
          <w:sz w:val="24"/>
          <w:szCs w:val="24"/>
          <w:lang w:val="sr-Cyrl-CS"/>
        </w:rPr>
        <w:t xml:space="preserve"> </w:t>
      </w:r>
      <w:r w:rsidR="002C4E2F">
        <w:rPr>
          <w:rFonts w:ascii="Times New Roman" w:hAnsi="Times New Roman"/>
          <w:sz w:val="24"/>
          <w:szCs w:val="24"/>
          <w:lang w:val="sr-Cyrl-CS"/>
        </w:rPr>
        <w:t>се</w:t>
      </w:r>
      <w:r w:rsidR="00666CE8" w:rsidRPr="00263ACC">
        <w:rPr>
          <w:rFonts w:ascii="Times New Roman" w:hAnsi="Times New Roman"/>
          <w:sz w:val="24"/>
          <w:szCs w:val="24"/>
          <w:lang w:val="sr-Cyrl-CS"/>
        </w:rPr>
        <w:t xml:space="preserve"> </w:t>
      </w:r>
      <w:r w:rsidR="002C4E2F">
        <w:rPr>
          <w:rFonts w:ascii="Times New Roman" w:hAnsi="Times New Roman"/>
          <w:sz w:val="24"/>
          <w:szCs w:val="24"/>
          <w:lang w:val="sr-Cyrl-CS"/>
        </w:rPr>
        <w:t>само ради</w:t>
      </w:r>
      <w:r w:rsidR="00666CE8" w:rsidRPr="002C4E2F">
        <w:rPr>
          <w:rFonts w:ascii="Times New Roman" w:hAnsi="Times New Roman"/>
          <w:sz w:val="24"/>
          <w:szCs w:val="24"/>
          <w:lang w:val="sr-Cyrl-CS"/>
        </w:rPr>
        <w:t xml:space="preserve"> </w:t>
      </w:r>
      <w:r w:rsidR="002C4E2F">
        <w:rPr>
          <w:rFonts w:ascii="Times New Roman" w:hAnsi="Times New Roman"/>
          <w:sz w:val="24"/>
          <w:szCs w:val="24"/>
          <w:lang w:val="sr-Cyrl-CS"/>
        </w:rPr>
        <w:t>тога</w:t>
      </w:r>
      <w:r w:rsidR="00666CE8" w:rsidRPr="002C4E2F">
        <w:rPr>
          <w:rFonts w:ascii="Times New Roman" w:hAnsi="Times New Roman"/>
          <w:sz w:val="24"/>
          <w:szCs w:val="24"/>
          <w:lang w:val="sr-Cyrl-CS"/>
        </w:rPr>
        <w:t xml:space="preserve"> </w:t>
      </w:r>
      <w:r w:rsidR="002C4E2F">
        <w:rPr>
          <w:rFonts w:ascii="Times New Roman" w:hAnsi="Times New Roman"/>
          <w:sz w:val="24"/>
          <w:szCs w:val="24"/>
          <w:lang w:val="sr-Cyrl-CS"/>
        </w:rPr>
        <w:t>образују</w:t>
      </w:r>
      <w:r w:rsidR="00666CE8" w:rsidRPr="002C4E2F">
        <w:rPr>
          <w:rFonts w:ascii="Times New Roman" w:hAnsi="Times New Roman"/>
          <w:sz w:val="24"/>
          <w:szCs w:val="24"/>
          <w:lang w:val="sr-Cyrl-CS"/>
        </w:rPr>
        <w:t>;</w:t>
      </w:r>
    </w:p>
    <w:p w:rsidR="00666CE8" w:rsidRPr="00263ACC" w:rsidRDefault="003277AF" w:rsidP="008A3795">
      <w:pPr>
        <w:pStyle w:val="ListParagraph"/>
        <w:numPr>
          <w:ilvl w:val="0"/>
          <w:numId w:val="57"/>
        </w:numPr>
        <w:jc w:val="both"/>
        <w:rPr>
          <w:rFonts w:ascii="Times New Roman" w:hAnsi="Times New Roman"/>
          <w:sz w:val="24"/>
          <w:szCs w:val="24"/>
          <w:lang w:val="sr-Cyrl-CS"/>
        </w:rPr>
      </w:pPr>
      <w:r>
        <w:rPr>
          <w:rFonts w:ascii="Times New Roman" w:hAnsi="Times New Roman"/>
          <w:sz w:val="24"/>
          <w:szCs w:val="24"/>
          <w:lang w:val="sr-Cyrl-CS"/>
        </w:rPr>
        <w:lastRenderedPageBreak/>
        <w:t>вршење</w:t>
      </w:r>
      <w:r w:rsidR="00666CE8" w:rsidRPr="00263ACC">
        <w:rPr>
          <w:rFonts w:ascii="Times New Roman" w:hAnsi="Times New Roman"/>
          <w:sz w:val="24"/>
          <w:szCs w:val="24"/>
          <w:lang w:val="sr-Cyrl-CS"/>
        </w:rPr>
        <w:t xml:space="preserve"> </w:t>
      </w:r>
      <w:r w:rsidR="002C4E2F">
        <w:rPr>
          <w:rFonts w:ascii="Times New Roman" w:hAnsi="Times New Roman"/>
          <w:sz w:val="24"/>
          <w:szCs w:val="24"/>
          <w:lang w:val="sr-Cyrl-CS"/>
        </w:rPr>
        <w:t>разноврсних</w:t>
      </w:r>
      <w:r w:rsidR="00666CE8" w:rsidRPr="00263ACC">
        <w:rPr>
          <w:rFonts w:ascii="Times New Roman" w:hAnsi="Times New Roman"/>
          <w:sz w:val="24"/>
          <w:szCs w:val="24"/>
          <w:lang w:val="sr-Cyrl-CS"/>
        </w:rPr>
        <w:t xml:space="preserve"> </w:t>
      </w:r>
      <w:r w:rsidR="002C4E2F">
        <w:rPr>
          <w:rFonts w:ascii="Times New Roman" w:hAnsi="Times New Roman"/>
          <w:sz w:val="24"/>
          <w:szCs w:val="24"/>
          <w:lang w:val="sr-Cyrl-CS"/>
        </w:rPr>
        <w:t>бесплатних</w:t>
      </w:r>
      <w:r w:rsidR="00666CE8" w:rsidRPr="00263ACC">
        <w:rPr>
          <w:rFonts w:ascii="Times New Roman" w:hAnsi="Times New Roman"/>
          <w:sz w:val="24"/>
          <w:szCs w:val="24"/>
          <w:lang w:val="sr-Cyrl-CS"/>
        </w:rPr>
        <w:t xml:space="preserve"> </w:t>
      </w:r>
      <w:r w:rsidR="002C4E2F">
        <w:rPr>
          <w:rFonts w:ascii="Times New Roman" w:hAnsi="Times New Roman"/>
          <w:sz w:val="24"/>
          <w:szCs w:val="24"/>
          <w:lang w:val="sr-Cyrl-CS"/>
        </w:rPr>
        <w:t>услуга</w:t>
      </w:r>
      <w:r w:rsidR="00666CE8" w:rsidRPr="00263ACC">
        <w:rPr>
          <w:rFonts w:ascii="Times New Roman" w:hAnsi="Times New Roman"/>
          <w:sz w:val="24"/>
          <w:szCs w:val="24"/>
          <w:lang w:val="sr-Cyrl-CS"/>
        </w:rPr>
        <w:t xml:space="preserve"> </w:t>
      </w:r>
      <w:r w:rsidR="002C4E2F">
        <w:rPr>
          <w:rFonts w:ascii="Times New Roman" w:hAnsi="Times New Roman"/>
          <w:sz w:val="24"/>
          <w:szCs w:val="24"/>
          <w:lang w:val="sr-Cyrl-CS"/>
        </w:rPr>
        <w:t>или</w:t>
      </w:r>
      <w:r w:rsidR="00666CE8" w:rsidRPr="00263ACC">
        <w:rPr>
          <w:rFonts w:ascii="Times New Roman" w:hAnsi="Times New Roman"/>
          <w:sz w:val="24"/>
          <w:szCs w:val="24"/>
          <w:lang w:val="sr-Cyrl-CS"/>
        </w:rPr>
        <w:t xml:space="preserve"> </w:t>
      </w:r>
      <w:r w:rsidR="002C4E2F">
        <w:rPr>
          <w:rFonts w:ascii="Times New Roman" w:hAnsi="Times New Roman"/>
          <w:sz w:val="24"/>
          <w:szCs w:val="24"/>
          <w:lang w:val="sr-Cyrl-CS"/>
        </w:rPr>
        <w:t>услуга</w:t>
      </w:r>
      <w:r w:rsidR="00666CE8" w:rsidRPr="00263ACC">
        <w:rPr>
          <w:rFonts w:ascii="Times New Roman" w:hAnsi="Times New Roman"/>
          <w:sz w:val="24"/>
          <w:szCs w:val="24"/>
          <w:lang w:val="sr-Cyrl-CS"/>
        </w:rPr>
        <w:t xml:space="preserve"> </w:t>
      </w:r>
      <w:r w:rsidR="002C4E2F">
        <w:rPr>
          <w:rFonts w:ascii="Times New Roman" w:hAnsi="Times New Roman"/>
          <w:sz w:val="24"/>
          <w:szCs w:val="24"/>
          <w:lang w:val="sr-Cyrl-CS"/>
        </w:rPr>
        <w:t>уз</w:t>
      </w:r>
      <w:r w:rsidR="00666CE8" w:rsidRPr="00263ACC">
        <w:rPr>
          <w:rFonts w:ascii="Times New Roman" w:hAnsi="Times New Roman"/>
          <w:sz w:val="24"/>
          <w:szCs w:val="24"/>
          <w:lang w:val="sr-Cyrl-CS"/>
        </w:rPr>
        <w:t xml:space="preserve"> </w:t>
      </w:r>
      <w:r w:rsidR="002C4E2F">
        <w:rPr>
          <w:rFonts w:ascii="Times New Roman" w:hAnsi="Times New Roman"/>
          <w:sz w:val="24"/>
          <w:szCs w:val="24"/>
          <w:lang w:val="sr-Cyrl-CS"/>
        </w:rPr>
        <w:t>симболичну</w:t>
      </w:r>
      <w:r w:rsidR="00666CE8" w:rsidRPr="00263ACC">
        <w:rPr>
          <w:rFonts w:ascii="Times New Roman" w:hAnsi="Times New Roman"/>
          <w:sz w:val="24"/>
          <w:szCs w:val="24"/>
          <w:lang w:val="sr-Cyrl-CS"/>
        </w:rPr>
        <w:t xml:space="preserve"> </w:t>
      </w:r>
      <w:r w:rsidR="002C4E2F">
        <w:rPr>
          <w:rFonts w:ascii="Times New Roman" w:hAnsi="Times New Roman"/>
          <w:sz w:val="24"/>
          <w:szCs w:val="24"/>
          <w:lang w:val="sr-Cyrl-CS"/>
        </w:rPr>
        <w:t>накнаду</w:t>
      </w:r>
      <w:r w:rsidR="00666CE8" w:rsidRPr="00263ACC">
        <w:rPr>
          <w:rFonts w:ascii="Times New Roman" w:hAnsi="Times New Roman"/>
          <w:sz w:val="24"/>
          <w:szCs w:val="24"/>
          <w:lang w:val="sr-Cyrl-CS"/>
        </w:rPr>
        <w:t>;</w:t>
      </w:r>
    </w:p>
    <w:p w:rsidR="00666CE8" w:rsidRPr="00263ACC" w:rsidRDefault="003277AF" w:rsidP="008A3795">
      <w:pPr>
        <w:pStyle w:val="ListParagraph"/>
        <w:numPr>
          <w:ilvl w:val="0"/>
          <w:numId w:val="57"/>
        </w:numPr>
        <w:jc w:val="both"/>
        <w:rPr>
          <w:rFonts w:ascii="Times New Roman" w:hAnsi="Times New Roman"/>
          <w:sz w:val="24"/>
          <w:szCs w:val="24"/>
          <w:lang w:val="sr-Cyrl-CS"/>
        </w:rPr>
      </w:pPr>
      <w:r>
        <w:rPr>
          <w:rFonts w:ascii="Times New Roman" w:hAnsi="Times New Roman"/>
          <w:sz w:val="24"/>
          <w:szCs w:val="24"/>
          <w:lang w:val="sr-Cyrl-CS"/>
        </w:rPr>
        <w:t>фиктивна</w:t>
      </w:r>
      <w:r w:rsidR="00666CE8" w:rsidRPr="00263ACC">
        <w:rPr>
          <w:rFonts w:ascii="Times New Roman" w:hAnsi="Times New Roman"/>
          <w:sz w:val="24"/>
          <w:szCs w:val="24"/>
          <w:lang w:val="sr-Cyrl-CS"/>
        </w:rPr>
        <w:t xml:space="preserve"> </w:t>
      </w:r>
      <w:r>
        <w:rPr>
          <w:rFonts w:ascii="Times New Roman" w:hAnsi="Times New Roman"/>
          <w:sz w:val="24"/>
          <w:szCs w:val="24"/>
          <w:lang w:val="sr-Cyrl-CS"/>
        </w:rPr>
        <w:t>дорада</w:t>
      </w:r>
      <w:r w:rsidR="00666CE8" w:rsidRPr="00263ACC">
        <w:rPr>
          <w:rFonts w:ascii="Times New Roman" w:hAnsi="Times New Roman"/>
          <w:sz w:val="24"/>
          <w:szCs w:val="24"/>
          <w:lang w:val="sr-Cyrl-CS"/>
        </w:rPr>
        <w:t xml:space="preserve"> </w:t>
      </w:r>
      <w:r w:rsidR="002C4E2F">
        <w:rPr>
          <w:rFonts w:ascii="Times New Roman" w:hAnsi="Times New Roman"/>
          <w:sz w:val="24"/>
          <w:szCs w:val="24"/>
          <w:lang w:val="sr-Cyrl-CS"/>
        </w:rPr>
        <w:t>робе</w:t>
      </w:r>
      <w:r w:rsidR="00666CE8" w:rsidRPr="00263ACC">
        <w:rPr>
          <w:rFonts w:ascii="Times New Roman" w:hAnsi="Times New Roman"/>
          <w:sz w:val="24"/>
          <w:szCs w:val="24"/>
          <w:lang w:val="sr-Cyrl-CS"/>
        </w:rPr>
        <w:t xml:space="preserve"> </w:t>
      </w:r>
      <w:r w:rsidR="002C4E2F">
        <w:rPr>
          <w:rFonts w:ascii="Times New Roman" w:hAnsi="Times New Roman"/>
          <w:sz w:val="24"/>
          <w:szCs w:val="24"/>
          <w:lang w:val="sr-Cyrl-CS"/>
        </w:rPr>
        <w:t>у</w:t>
      </w:r>
      <w:r w:rsidR="00666CE8" w:rsidRPr="00263ACC">
        <w:rPr>
          <w:rFonts w:ascii="Times New Roman" w:hAnsi="Times New Roman"/>
          <w:sz w:val="24"/>
          <w:szCs w:val="24"/>
          <w:lang w:val="sr-Cyrl-CS"/>
        </w:rPr>
        <w:t xml:space="preserve"> </w:t>
      </w:r>
      <w:r w:rsidR="002C4E2F">
        <w:rPr>
          <w:rFonts w:ascii="Times New Roman" w:hAnsi="Times New Roman"/>
          <w:sz w:val="24"/>
          <w:szCs w:val="24"/>
          <w:lang w:val="sr-Cyrl-CS"/>
        </w:rPr>
        <w:t>страној</w:t>
      </w:r>
      <w:r w:rsidR="00666CE8" w:rsidRPr="00263ACC">
        <w:rPr>
          <w:rFonts w:ascii="Times New Roman" w:hAnsi="Times New Roman"/>
          <w:sz w:val="24"/>
          <w:szCs w:val="24"/>
          <w:lang w:val="sr-Cyrl-CS"/>
        </w:rPr>
        <w:t xml:space="preserve"> </w:t>
      </w:r>
      <w:r w:rsidR="002C4E2F">
        <w:rPr>
          <w:rFonts w:ascii="Times New Roman" w:hAnsi="Times New Roman"/>
          <w:sz w:val="24"/>
          <w:szCs w:val="24"/>
          <w:lang w:val="sr-Cyrl-CS"/>
        </w:rPr>
        <w:t>фирми</w:t>
      </w:r>
      <w:r w:rsidR="00666CE8" w:rsidRPr="00263ACC">
        <w:rPr>
          <w:rFonts w:ascii="Times New Roman" w:hAnsi="Times New Roman"/>
          <w:sz w:val="24"/>
          <w:szCs w:val="24"/>
          <w:lang w:val="sr-Cyrl-CS"/>
        </w:rPr>
        <w:t>;</w:t>
      </w:r>
    </w:p>
    <w:p w:rsidR="00666CE8" w:rsidRDefault="00666CE8" w:rsidP="008A3795">
      <w:pPr>
        <w:pStyle w:val="ListParagraph"/>
        <w:numPr>
          <w:ilvl w:val="0"/>
          <w:numId w:val="57"/>
        </w:numPr>
        <w:jc w:val="both"/>
        <w:rPr>
          <w:rFonts w:ascii="Times New Roman" w:hAnsi="Times New Roman"/>
          <w:sz w:val="24"/>
          <w:szCs w:val="24"/>
          <w:lang w:val="sr-Cyrl-CS"/>
        </w:rPr>
      </w:pPr>
      <w:r w:rsidRPr="00263ACC">
        <w:rPr>
          <w:rFonts w:ascii="Times New Roman" w:hAnsi="Times New Roman"/>
          <w:sz w:val="24"/>
          <w:szCs w:val="24"/>
          <w:lang w:val="sr-Cyrl-CS"/>
        </w:rPr>
        <w:t>„</w:t>
      </w:r>
      <w:r w:rsidR="003277AF">
        <w:rPr>
          <w:rFonts w:ascii="Times New Roman" w:hAnsi="Times New Roman"/>
          <w:sz w:val="24"/>
          <w:szCs w:val="24"/>
          <w:lang w:val="sr-Cyrl-CS"/>
        </w:rPr>
        <w:t>продаја</w:t>
      </w:r>
      <w:r w:rsidRPr="00263ACC">
        <w:rPr>
          <w:rFonts w:ascii="Times New Roman" w:hAnsi="Times New Roman"/>
          <w:sz w:val="24"/>
          <w:szCs w:val="24"/>
          <w:lang w:val="sr-Cyrl-CS"/>
        </w:rPr>
        <w:t xml:space="preserve">” </w:t>
      </w:r>
      <w:r w:rsidR="002C4E2F">
        <w:rPr>
          <w:rFonts w:ascii="Times New Roman" w:hAnsi="Times New Roman"/>
          <w:sz w:val="24"/>
          <w:szCs w:val="24"/>
          <w:lang w:val="sr-Cyrl-CS"/>
        </w:rPr>
        <w:t>робе</w:t>
      </w:r>
      <w:r w:rsidRPr="00263ACC">
        <w:rPr>
          <w:rFonts w:ascii="Times New Roman" w:hAnsi="Times New Roman"/>
          <w:sz w:val="24"/>
          <w:szCs w:val="24"/>
          <w:lang w:val="sr-Cyrl-CS"/>
        </w:rPr>
        <w:t xml:space="preserve"> </w:t>
      </w:r>
      <w:r w:rsidR="002C4E2F">
        <w:rPr>
          <w:rFonts w:ascii="Times New Roman" w:hAnsi="Times New Roman"/>
          <w:sz w:val="24"/>
          <w:szCs w:val="24"/>
          <w:lang w:val="sr-Cyrl-CS"/>
        </w:rPr>
        <w:t>по</w:t>
      </w:r>
      <w:r w:rsidRPr="00263ACC">
        <w:rPr>
          <w:rFonts w:ascii="Times New Roman" w:hAnsi="Times New Roman"/>
          <w:sz w:val="24"/>
          <w:szCs w:val="24"/>
          <w:lang w:val="sr-Cyrl-CS"/>
        </w:rPr>
        <w:t xml:space="preserve"> </w:t>
      </w:r>
      <w:r w:rsidR="002C4E2F">
        <w:rPr>
          <w:rFonts w:ascii="Times New Roman" w:hAnsi="Times New Roman"/>
          <w:sz w:val="24"/>
          <w:szCs w:val="24"/>
          <w:lang w:val="sr-Cyrl-CS"/>
        </w:rPr>
        <w:t>цени</w:t>
      </w:r>
      <w:r w:rsidRPr="00263ACC">
        <w:rPr>
          <w:rFonts w:ascii="Times New Roman" w:hAnsi="Times New Roman"/>
          <w:sz w:val="24"/>
          <w:szCs w:val="24"/>
          <w:lang w:val="sr-Cyrl-CS"/>
        </w:rPr>
        <w:t xml:space="preserve"> </w:t>
      </w:r>
      <w:r w:rsidR="002C4E2F">
        <w:rPr>
          <w:rFonts w:ascii="Times New Roman" w:hAnsi="Times New Roman"/>
          <w:sz w:val="24"/>
          <w:szCs w:val="24"/>
          <w:lang w:val="sr-Cyrl-CS"/>
        </w:rPr>
        <w:t>која</w:t>
      </w:r>
      <w:r w:rsidRPr="00263ACC">
        <w:rPr>
          <w:rFonts w:ascii="Times New Roman" w:hAnsi="Times New Roman"/>
          <w:sz w:val="24"/>
          <w:szCs w:val="24"/>
          <w:lang w:val="sr-Cyrl-CS"/>
        </w:rPr>
        <w:t xml:space="preserve"> </w:t>
      </w:r>
      <w:r w:rsidR="002C4E2F">
        <w:rPr>
          <w:rFonts w:ascii="Times New Roman" w:hAnsi="Times New Roman"/>
          <w:sz w:val="24"/>
          <w:szCs w:val="24"/>
          <w:lang w:val="sr-Cyrl-CS"/>
        </w:rPr>
        <w:t>је</w:t>
      </w:r>
      <w:r w:rsidRPr="00263ACC">
        <w:rPr>
          <w:rFonts w:ascii="Times New Roman" w:hAnsi="Times New Roman"/>
          <w:sz w:val="24"/>
          <w:szCs w:val="24"/>
          <w:lang w:val="sr-Cyrl-CS"/>
        </w:rPr>
        <w:t xml:space="preserve"> </w:t>
      </w:r>
      <w:r w:rsidR="002C4E2F">
        <w:rPr>
          <w:rFonts w:ascii="Times New Roman" w:hAnsi="Times New Roman"/>
          <w:sz w:val="24"/>
          <w:szCs w:val="24"/>
          <w:lang w:val="sr-Cyrl-CS"/>
        </w:rPr>
        <w:t>знатно</w:t>
      </w:r>
      <w:r>
        <w:rPr>
          <w:rFonts w:ascii="Times New Roman" w:hAnsi="Times New Roman"/>
          <w:sz w:val="24"/>
          <w:szCs w:val="24"/>
          <w:lang w:val="sr-Cyrl-CS"/>
        </w:rPr>
        <w:t xml:space="preserve"> </w:t>
      </w:r>
      <w:r w:rsidR="002C4E2F">
        <w:rPr>
          <w:rFonts w:ascii="Times New Roman" w:hAnsi="Times New Roman"/>
          <w:sz w:val="24"/>
          <w:szCs w:val="24"/>
          <w:lang w:val="sr-Cyrl-CS"/>
        </w:rPr>
        <w:t>нижа</w:t>
      </w:r>
      <w:r>
        <w:rPr>
          <w:rFonts w:ascii="Times New Roman" w:hAnsi="Times New Roman"/>
          <w:sz w:val="24"/>
          <w:szCs w:val="24"/>
          <w:lang w:val="sr-Cyrl-CS"/>
        </w:rPr>
        <w:t xml:space="preserve"> </w:t>
      </w:r>
      <w:r w:rsidR="002C4E2F">
        <w:rPr>
          <w:rFonts w:ascii="Times New Roman" w:hAnsi="Times New Roman"/>
          <w:sz w:val="24"/>
          <w:szCs w:val="24"/>
          <w:lang w:val="sr-Cyrl-CS"/>
        </w:rPr>
        <w:t>од</w:t>
      </w:r>
      <w:r>
        <w:rPr>
          <w:rFonts w:ascii="Times New Roman" w:hAnsi="Times New Roman"/>
          <w:sz w:val="24"/>
          <w:szCs w:val="24"/>
          <w:lang w:val="sr-Cyrl-CS"/>
        </w:rPr>
        <w:t xml:space="preserve"> </w:t>
      </w:r>
      <w:r w:rsidR="002C4E2F">
        <w:rPr>
          <w:rFonts w:ascii="Times New Roman" w:hAnsi="Times New Roman"/>
          <w:sz w:val="24"/>
          <w:szCs w:val="24"/>
          <w:lang w:val="sr-Cyrl-CS"/>
        </w:rPr>
        <w:t>стварне</w:t>
      </w:r>
      <w:r>
        <w:rPr>
          <w:rFonts w:ascii="Times New Roman" w:hAnsi="Times New Roman"/>
          <w:sz w:val="24"/>
          <w:szCs w:val="24"/>
          <w:lang w:val="sr-Cyrl-CS"/>
        </w:rPr>
        <w:t xml:space="preserve"> </w:t>
      </w:r>
      <w:r w:rsidR="002C4E2F">
        <w:rPr>
          <w:rFonts w:ascii="Times New Roman" w:hAnsi="Times New Roman"/>
          <w:sz w:val="24"/>
          <w:szCs w:val="24"/>
          <w:lang w:val="sr-Cyrl-CS"/>
        </w:rPr>
        <w:t>и</w:t>
      </w:r>
      <w:r>
        <w:rPr>
          <w:rFonts w:ascii="Times New Roman" w:hAnsi="Times New Roman"/>
          <w:sz w:val="24"/>
          <w:szCs w:val="24"/>
          <w:lang w:val="sr-Cyrl-CS"/>
        </w:rPr>
        <w:t xml:space="preserve"> </w:t>
      </w:r>
      <w:r w:rsidR="002C4E2F">
        <w:rPr>
          <w:rFonts w:ascii="Times New Roman" w:hAnsi="Times New Roman"/>
          <w:sz w:val="24"/>
          <w:szCs w:val="24"/>
          <w:lang w:val="sr-Cyrl-CS"/>
        </w:rPr>
        <w:t>слично</w:t>
      </w:r>
      <w:r>
        <w:rPr>
          <w:rFonts w:ascii="Times New Roman" w:hAnsi="Times New Roman"/>
          <w:sz w:val="24"/>
          <w:szCs w:val="24"/>
          <w:lang w:val="sr-Cyrl-CS"/>
        </w:rPr>
        <w:t>.</w:t>
      </w:r>
      <w:r>
        <w:rPr>
          <w:rStyle w:val="FootnoteReference"/>
          <w:rFonts w:ascii="Times New Roman" w:hAnsi="Times New Roman"/>
          <w:sz w:val="24"/>
          <w:szCs w:val="24"/>
          <w:lang w:val="sr-Cyrl-CS"/>
        </w:rPr>
        <w:footnoteReference w:id="701"/>
      </w:r>
    </w:p>
    <w:p w:rsidR="002C4E2F" w:rsidRDefault="002C4E2F" w:rsidP="00666CE8">
      <w:pPr>
        <w:pStyle w:val="ListParagraph"/>
        <w:ind w:left="0" w:firstLine="630"/>
        <w:jc w:val="both"/>
        <w:rPr>
          <w:rFonts w:ascii="Times New Roman" w:hAnsi="Times New Roman"/>
          <w:sz w:val="24"/>
          <w:szCs w:val="24"/>
          <w:lang w:val="sr-Cyrl-CS"/>
        </w:rPr>
      </w:pPr>
    </w:p>
    <w:p w:rsidR="00590296" w:rsidRDefault="002C4E2F" w:rsidP="005624C0">
      <w:pPr>
        <w:ind w:firstLine="630"/>
        <w:jc w:val="both"/>
        <w:rPr>
          <w:rFonts w:ascii="Times New Roman" w:hAnsi="Times New Roman"/>
          <w:sz w:val="24"/>
          <w:szCs w:val="24"/>
          <w:lang w:val="sr-Cyrl-CS"/>
        </w:rPr>
      </w:pPr>
      <w:r>
        <w:rPr>
          <w:rFonts w:ascii="Times New Roman" w:hAnsi="Times New Roman"/>
          <w:sz w:val="24"/>
          <w:szCs w:val="24"/>
          <w:lang w:val="sr-Cyrl-CS"/>
        </w:rPr>
        <w:t>Корупција</w:t>
      </w:r>
      <w:r w:rsidR="00491C2A">
        <w:rPr>
          <w:rFonts w:ascii="Times New Roman" w:hAnsi="Times New Roman"/>
          <w:sz w:val="24"/>
          <w:szCs w:val="24"/>
          <w:lang w:val="sr-Cyrl-CS"/>
        </w:rPr>
        <w:t xml:space="preserve"> и привредни криминал као друштвено негативне појаве</w:t>
      </w:r>
      <w:r>
        <w:rPr>
          <w:rFonts w:ascii="Times New Roman" w:hAnsi="Times New Roman"/>
          <w:sz w:val="24"/>
          <w:szCs w:val="24"/>
          <w:lang w:val="sr-Cyrl-CS"/>
        </w:rPr>
        <w:t xml:space="preserve"> има</w:t>
      </w:r>
      <w:r w:rsidR="00491C2A">
        <w:rPr>
          <w:rFonts w:ascii="Times New Roman" w:hAnsi="Times New Roman"/>
          <w:sz w:val="24"/>
          <w:szCs w:val="24"/>
          <w:lang w:val="sr-Cyrl-CS"/>
        </w:rPr>
        <w:t>ју</w:t>
      </w:r>
      <w:r>
        <w:rPr>
          <w:rFonts w:ascii="Times New Roman" w:hAnsi="Times New Roman"/>
          <w:sz w:val="24"/>
          <w:szCs w:val="24"/>
          <w:lang w:val="sr-Cyrl-CS"/>
        </w:rPr>
        <w:t xml:space="preserve"> своју политичку и економску димензију. У том контексту</w:t>
      </w:r>
      <w:r w:rsidR="009B6235">
        <w:rPr>
          <w:rFonts w:ascii="Times New Roman" w:hAnsi="Times New Roman"/>
          <w:sz w:val="24"/>
          <w:szCs w:val="24"/>
        </w:rPr>
        <w:t>,</w:t>
      </w:r>
      <w:r>
        <w:rPr>
          <w:rFonts w:ascii="Times New Roman" w:hAnsi="Times New Roman"/>
          <w:sz w:val="24"/>
          <w:szCs w:val="24"/>
          <w:lang w:val="sr-Cyrl-CS"/>
        </w:rPr>
        <w:t xml:space="preserve"> у даљем излагању ћемо анализирати облике корупције и привредног криминала, а који обл</w:t>
      </w:r>
      <w:r w:rsidR="00F64D9E">
        <w:rPr>
          <w:rFonts w:ascii="Times New Roman" w:hAnsi="Times New Roman"/>
          <w:sz w:val="24"/>
          <w:szCs w:val="24"/>
          <w:lang w:val="sr-Cyrl-CS"/>
        </w:rPr>
        <w:t>ици се често појављују у пракси и</w:t>
      </w:r>
      <w:r w:rsidR="00B01757">
        <w:rPr>
          <w:rFonts w:ascii="Times New Roman" w:hAnsi="Times New Roman"/>
          <w:sz w:val="24"/>
          <w:szCs w:val="24"/>
          <w:lang w:val="sr-Cyrl-CS"/>
        </w:rPr>
        <w:t xml:space="preserve"> веома су опасни па и</w:t>
      </w:r>
      <w:r w:rsidR="007421CD">
        <w:rPr>
          <w:rFonts w:ascii="Times New Roman" w:hAnsi="Times New Roman"/>
          <w:sz w:val="24"/>
          <w:szCs w:val="24"/>
          <w:lang w:val="sr-Cyrl-CS"/>
        </w:rPr>
        <w:t>х</w:t>
      </w:r>
      <w:r>
        <w:rPr>
          <w:rFonts w:ascii="Times New Roman" w:hAnsi="Times New Roman"/>
          <w:sz w:val="24"/>
          <w:szCs w:val="24"/>
          <w:lang w:val="sr-Cyrl-CS"/>
        </w:rPr>
        <w:t xml:space="preserve"> због свега тога сматрамо значајним за предметни аспекат посматрања.</w:t>
      </w:r>
    </w:p>
    <w:p w:rsidR="00BD7276" w:rsidRDefault="007F157B" w:rsidP="007F157B">
      <w:pPr>
        <w:pStyle w:val="ListParagraph"/>
        <w:numPr>
          <w:ilvl w:val="1"/>
          <w:numId w:val="4"/>
        </w:numPr>
        <w:jc w:val="center"/>
        <w:rPr>
          <w:rFonts w:ascii="Times New Roman" w:hAnsi="Times New Roman"/>
          <w:b/>
          <w:sz w:val="24"/>
          <w:szCs w:val="24"/>
          <w:lang w:val="sr-Cyrl-CS"/>
        </w:rPr>
      </w:pPr>
      <w:r>
        <w:rPr>
          <w:rFonts w:ascii="Times New Roman" w:hAnsi="Times New Roman"/>
          <w:b/>
          <w:sz w:val="24"/>
          <w:szCs w:val="24"/>
          <w:lang w:val="sr-Cyrl-CS"/>
        </w:rPr>
        <w:t xml:space="preserve"> </w:t>
      </w:r>
      <w:r w:rsidRPr="007F157B">
        <w:rPr>
          <w:rFonts w:ascii="Times New Roman" w:hAnsi="Times New Roman"/>
          <w:b/>
          <w:sz w:val="24"/>
          <w:szCs w:val="24"/>
          <w:lang w:val="sr-Cyrl-CS"/>
        </w:rPr>
        <w:t>Политичка корупција</w:t>
      </w:r>
    </w:p>
    <w:p w:rsidR="001F4B89" w:rsidRDefault="001F4B89" w:rsidP="001F4B89">
      <w:pPr>
        <w:pStyle w:val="ListParagraph"/>
        <w:ind w:left="990"/>
        <w:rPr>
          <w:rFonts w:ascii="Times New Roman" w:hAnsi="Times New Roman"/>
          <w:b/>
          <w:sz w:val="24"/>
          <w:szCs w:val="24"/>
          <w:lang w:val="sr-Cyrl-CS"/>
        </w:rPr>
      </w:pPr>
    </w:p>
    <w:p w:rsidR="001F4B89" w:rsidRPr="007F157B" w:rsidRDefault="001F4B89" w:rsidP="001F4B89">
      <w:pPr>
        <w:pStyle w:val="ListParagraph"/>
        <w:ind w:left="990"/>
        <w:rPr>
          <w:rFonts w:ascii="Times New Roman" w:hAnsi="Times New Roman"/>
          <w:b/>
          <w:sz w:val="24"/>
          <w:szCs w:val="24"/>
          <w:lang w:val="sr-Cyrl-CS"/>
        </w:rPr>
      </w:pPr>
    </w:p>
    <w:p w:rsidR="00710C46" w:rsidRDefault="0082222C" w:rsidP="00710C46">
      <w:pPr>
        <w:ind w:firstLine="630"/>
        <w:jc w:val="both"/>
        <w:rPr>
          <w:rFonts w:ascii="Times New Roman" w:hAnsi="Times New Roman"/>
          <w:sz w:val="24"/>
          <w:szCs w:val="24"/>
        </w:rPr>
      </w:pPr>
      <w:r>
        <w:rPr>
          <w:rFonts w:ascii="Times New Roman" w:hAnsi="Times New Roman"/>
          <w:sz w:val="24"/>
          <w:szCs w:val="24"/>
          <w:lang w:val="sr-Cyrl-CS"/>
        </w:rPr>
        <w:t>Корупција омогућава пре свега стварање јаких економских и политичких веза.  Због тога, п</w:t>
      </w:r>
      <w:r w:rsidR="004F3250">
        <w:rPr>
          <w:rFonts w:ascii="Times New Roman" w:hAnsi="Times New Roman"/>
          <w:sz w:val="24"/>
          <w:szCs w:val="24"/>
          <w:lang w:val="sr-Cyrl-CS"/>
        </w:rPr>
        <w:t>олитичка корупција пр</w:t>
      </w:r>
      <w:r w:rsidR="00A02C21">
        <w:rPr>
          <w:rFonts w:ascii="Times New Roman" w:hAnsi="Times New Roman"/>
          <w:sz w:val="24"/>
          <w:szCs w:val="24"/>
          <w:lang w:val="sr-Cyrl-CS"/>
        </w:rPr>
        <w:t>е</w:t>
      </w:r>
      <w:r w:rsidR="004F3250">
        <w:rPr>
          <w:rFonts w:ascii="Times New Roman" w:hAnsi="Times New Roman"/>
          <w:sz w:val="24"/>
          <w:szCs w:val="24"/>
          <w:lang w:val="sr-Cyrl-CS"/>
        </w:rPr>
        <w:t xml:space="preserve">дставља </w:t>
      </w:r>
      <w:r w:rsidR="00EB3152">
        <w:rPr>
          <w:rFonts w:ascii="Times New Roman" w:hAnsi="Times New Roman"/>
          <w:sz w:val="24"/>
          <w:szCs w:val="24"/>
          <w:lang w:val="sr-Cyrl-CS"/>
        </w:rPr>
        <w:t>главни и најопаснији облик</w:t>
      </w:r>
      <w:r w:rsidR="004F3250">
        <w:rPr>
          <w:rFonts w:ascii="Times New Roman" w:hAnsi="Times New Roman"/>
          <w:sz w:val="24"/>
          <w:szCs w:val="24"/>
          <w:lang w:val="sr-Cyrl-CS"/>
        </w:rPr>
        <w:t xml:space="preserve"> корупције</w:t>
      </w:r>
      <w:r w:rsidR="00590296">
        <w:rPr>
          <w:rFonts w:ascii="Times New Roman" w:hAnsi="Times New Roman"/>
          <w:sz w:val="24"/>
          <w:szCs w:val="24"/>
          <w:lang w:val="sr-Cyrl-CS"/>
        </w:rPr>
        <w:t xml:space="preserve"> и полазну основу</w:t>
      </w:r>
      <w:r w:rsidR="004F3250">
        <w:rPr>
          <w:rFonts w:ascii="Times New Roman" w:hAnsi="Times New Roman"/>
          <w:sz w:val="24"/>
          <w:szCs w:val="24"/>
          <w:lang w:val="sr-Cyrl-CS"/>
        </w:rPr>
        <w:t xml:space="preserve">. </w:t>
      </w:r>
      <w:r w:rsidR="00710C46">
        <w:rPr>
          <w:rFonts w:ascii="Times New Roman" w:hAnsi="Times New Roman"/>
          <w:sz w:val="24"/>
          <w:szCs w:val="24"/>
          <w:lang w:val="sr-Cyrl-CS"/>
        </w:rPr>
        <w:t>Свака власт може бити корумпирана. Веза између привредног сектора и политике постоји свугде у свету. Са једне стране су они који не презају ни од чега да увећају свој профит и богатство, а са друге стране су они који желе да сачувају власт као велики извор моћи. Дакле свака страна има своје интересе</w:t>
      </w:r>
      <w:r w:rsidR="003E624A">
        <w:rPr>
          <w:rFonts w:ascii="Times New Roman" w:hAnsi="Times New Roman"/>
          <w:sz w:val="24"/>
          <w:szCs w:val="24"/>
          <w:lang w:val="sr-Cyrl-CS"/>
        </w:rPr>
        <w:t xml:space="preserve">  и</w:t>
      </w:r>
      <w:r w:rsidR="00710C46">
        <w:rPr>
          <w:rFonts w:ascii="Times New Roman" w:hAnsi="Times New Roman"/>
          <w:sz w:val="24"/>
          <w:szCs w:val="24"/>
          <w:lang w:val="sr-Cyrl-CS"/>
        </w:rPr>
        <w:t xml:space="preserve"> улози су велики. </w:t>
      </w:r>
    </w:p>
    <w:p w:rsidR="00A02C21" w:rsidRDefault="00710C46" w:rsidP="00E8407D">
      <w:pPr>
        <w:ind w:firstLine="630"/>
        <w:jc w:val="both"/>
        <w:rPr>
          <w:rFonts w:ascii="Times New Roman" w:hAnsi="Times New Roman"/>
          <w:sz w:val="24"/>
          <w:szCs w:val="24"/>
          <w:lang w:val="sr-Cyrl-CS"/>
        </w:rPr>
      </w:pPr>
      <w:r>
        <w:rPr>
          <w:rFonts w:ascii="Times New Roman" w:hAnsi="Times New Roman"/>
          <w:sz w:val="24"/>
          <w:szCs w:val="24"/>
          <w:lang w:val="sr-Cyrl-CS"/>
        </w:rPr>
        <w:t>Политичка корупција</w:t>
      </w:r>
      <w:r w:rsidR="004F3250">
        <w:rPr>
          <w:rFonts w:ascii="Times New Roman" w:hAnsi="Times New Roman"/>
          <w:sz w:val="24"/>
          <w:szCs w:val="24"/>
          <w:lang w:val="sr-Cyrl-CS"/>
        </w:rPr>
        <w:t xml:space="preserve"> обухвата разне облике злоупотребе службеног положаја и угледа који немају карактер чисто државних функција, као што </w:t>
      </w:r>
      <w:r w:rsidR="002B2FCA">
        <w:rPr>
          <w:rFonts w:ascii="Times New Roman" w:hAnsi="Times New Roman"/>
          <w:sz w:val="24"/>
          <w:szCs w:val="24"/>
          <w:lang w:val="sr-Cyrl-CS"/>
        </w:rPr>
        <w:t xml:space="preserve">су </w:t>
      </w:r>
      <w:r w:rsidR="004F3250">
        <w:rPr>
          <w:rFonts w:ascii="Times New Roman" w:hAnsi="Times New Roman"/>
          <w:sz w:val="24"/>
          <w:szCs w:val="24"/>
          <w:lang w:val="sr-Cyrl-CS"/>
        </w:rPr>
        <w:t xml:space="preserve">лидери политичких странака или народни посланици. </w:t>
      </w:r>
      <w:r w:rsidR="008A72B0">
        <w:rPr>
          <w:rFonts w:ascii="Times New Roman" w:hAnsi="Times New Roman"/>
          <w:sz w:val="24"/>
          <w:szCs w:val="24"/>
          <w:lang w:val="sr-Cyrl-CS"/>
        </w:rPr>
        <w:t>Посебно су у земљам</w:t>
      </w:r>
      <w:r w:rsidR="002B2FCA">
        <w:rPr>
          <w:rFonts w:ascii="Times New Roman" w:hAnsi="Times New Roman"/>
          <w:sz w:val="24"/>
          <w:szCs w:val="24"/>
          <w:lang w:val="sr-Cyrl-CS"/>
        </w:rPr>
        <w:t>а у транзицији политичке странке</w:t>
      </w:r>
      <w:r w:rsidR="008A72B0">
        <w:rPr>
          <w:rFonts w:ascii="Times New Roman" w:hAnsi="Times New Roman"/>
          <w:sz w:val="24"/>
          <w:szCs w:val="24"/>
          <w:lang w:val="sr-Cyrl-CS"/>
        </w:rPr>
        <w:t xml:space="preserve"> главни извор политичке корупције. </w:t>
      </w:r>
      <w:r w:rsidR="005C5341">
        <w:rPr>
          <w:rFonts w:ascii="Times New Roman" w:hAnsi="Times New Roman"/>
          <w:sz w:val="24"/>
          <w:szCs w:val="24"/>
          <w:lang w:val="sr-Cyrl-CS"/>
        </w:rPr>
        <w:t xml:space="preserve"> </w:t>
      </w:r>
    </w:p>
    <w:p w:rsidR="005C5341" w:rsidRDefault="005C5341" w:rsidP="005C5341">
      <w:pPr>
        <w:ind w:firstLine="630"/>
        <w:jc w:val="both"/>
        <w:rPr>
          <w:rFonts w:ascii="Times New Roman" w:hAnsi="Times New Roman"/>
          <w:sz w:val="24"/>
          <w:szCs w:val="24"/>
          <w:lang w:val="sr-Cyrl-CS"/>
        </w:rPr>
      </w:pPr>
      <w:r>
        <w:rPr>
          <w:rFonts w:ascii="Times New Roman" w:hAnsi="Times New Roman"/>
          <w:sz w:val="24"/>
          <w:szCs w:val="24"/>
          <w:lang w:val="sr-Cyrl-CS"/>
        </w:rPr>
        <w:t>Битан фактор који води већој подложности корупцији, према становишту многих аутора,</w:t>
      </w:r>
      <w:r w:rsidRPr="005C5341">
        <w:rPr>
          <w:rStyle w:val="FootnoteReference"/>
          <w:rFonts w:ascii="Times New Roman" w:hAnsi="Times New Roman"/>
          <w:sz w:val="24"/>
          <w:szCs w:val="24"/>
          <w:lang w:val="sr-Cyrl-CS"/>
        </w:rPr>
        <w:t xml:space="preserve"> </w:t>
      </w:r>
      <w:r>
        <w:rPr>
          <w:rStyle w:val="FootnoteReference"/>
          <w:rFonts w:ascii="Times New Roman" w:hAnsi="Times New Roman"/>
          <w:sz w:val="24"/>
          <w:szCs w:val="24"/>
          <w:lang w:val="sr-Cyrl-CS"/>
        </w:rPr>
        <w:footnoteReference w:id="702"/>
      </w:r>
      <w:r>
        <w:rPr>
          <w:rFonts w:ascii="Times New Roman" w:hAnsi="Times New Roman"/>
          <w:sz w:val="24"/>
          <w:szCs w:val="24"/>
          <w:lang w:val="sr-Cyrl-CS"/>
        </w:rPr>
        <w:t xml:space="preserve"> је повећан број професионалних политичара, односно професионализација странака.</w:t>
      </w:r>
      <w:r w:rsidR="005624C0">
        <w:rPr>
          <w:rFonts w:ascii="Times New Roman" w:hAnsi="Times New Roman"/>
          <w:sz w:val="24"/>
          <w:szCs w:val="24"/>
          <w:lang w:val="sr-Cyrl-CS"/>
        </w:rPr>
        <w:t xml:space="preserve"> </w:t>
      </w:r>
      <w:r>
        <w:rPr>
          <w:rFonts w:ascii="Times New Roman" w:hAnsi="Times New Roman"/>
          <w:sz w:val="24"/>
          <w:szCs w:val="24"/>
          <w:lang w:val="sr-Cyrl-CS"/>
        </w:rPr>
        <w:t>Ова појава се подудара са настанком глобализације. Странке теже да придобију што већи број бирача и исти постају средство за постизање њихове политичке моћи, а њихов међусобни однос је базиран на краткорочној основи.</w:t>
      </w:r>
      <w:r w:rsidR="005624C0">
        <w:rPr>
          <w:rFonts w:ascii="Times New Roman" w:hAnsi="Times New Roman"/>
          <w:sz w:val="24"/>
          <w:szCs w:val="24"/>
          <w:lang w:val="sr-Cyrl-CS"/>
        </w:rPr>
        <w:t xml:space="preserve"> Међутим, смањивање улоге чланства у странци и велики значај медијских кампања за њихово промовисање повећава трошкове. Како би се покрили ови трошкови проналазе се различити начини који су повезани са корупцијом. </w:t>
      </w:r>
    </w:p>
    <w:p w:rsidR="00590296" w:rsidRDefault="004F3250" w:rsidP="00E8407D">
      <w:pPr>
        <w:ind w:firstLine="630"/>
        <w:jc w:val="both"/>
        <w:rPr>
          <w:rFonts w:ascii="Times New Roman" w:hAnsi="Times New Roman"/>
          <w:sz w:val="24"/>
          <w:szCs w:val="24"/>
          <w:lang w:val="sr-Cyrl-CS"/>
        </w:rPr>
      </w:pPr>
      <w:r>
        <w:rPr>
          <w:rFonts w:ascii="Times New Roman" w:hAnsi="Times New Roman"/>
          <w:sz w:val="24"/>
          <w:szCs w:val="24"/>
          <w:lang w:val="sr-Cyrl-CS"/>
        </w:rPr>
        <w:t xml:space="preserve">Главни извор корупције  свакако је финасирање политичких странака. Оно може бити легално и нелегално. </w:t>
      </w:r>
      <w:r w:rsidR="002B2FCA">
        <w:rPr>
          <w:rFonts w:ascii="Times New Roman" w:hAnsi="Times New Roman"/>
          <w:sz w:val="24"/>
          <w:szCs w:val="24"/>
          <w:lang w:val="sr-Cyrl-CS"/>
        </w:rPr>
        <w:t>У случају злоупотребе буџетска</w:t>
      </w:r>
      <w:r w:rsidR="00A50583">
        <w:rPr>
          <w:rFonts w:ascii="Times New Roman" w:hAnsi="Times New Roman"/>
          <w:sz w:val="24"/>
          <w:szCs w:val="24"/>
          <w:lang w:val="sr-Cyrl-CS"/>
        </w:rPr>
        <w:t xml:space="preserve"> средстава, прикупљена путем опорезива</w:t>
      </w:r>
      <w:r w:rsidR="003F4FC1">
        <w:rPr>
          <w:rFonts w:ascii="Times New Roman" w:hAnsi="Times New Roman"/>
          <w:sz w:val="24"/>
          <w:szCs w:val="24"/>
          <w:lang w:val="sr-Cyrl-CS"/>
        </w:rPr>
        <w:t>ња и на друге начине</w:t>
      </w:r>
      <w:r w:rsidR="00A50583">
        <w:rPr>
          <w:rFonts w:ascii="Times New Roman" w:hAnsi="Times New Roman"/>
          <w:sz w:val="24"/>
          <w:szCs w:val="24"/>
          <w:lang w:val="sr-Cyrl-CS"/>
        </w:rPr>
        <w:t xml:space="preserve">,  се нелегално пребацују на рачуне политичких </w:t>
      </w:r>
      <w:r w:rsidR="00A50583">
        <w:rPr>
          <w:rFonts w:ascii="Times New Roman" w:hAnsi="Times New Roman"/>
          <w:sz w:val="24"/>
          <w:szCs w:val="24"/>
          <w:lang w:val="sr-Cyrl-CS"/>
        </w:rPr>
        <w:lastRenderedPageBreak/>
        <w:t>странака. Тиме су</w:t>
      </w:r>
      <w:r w:rsidR="00710C46">
        <w:rPr>
          <w:rFonts w:ascii="Times New Roman" w:hAnsi="Times New Roman"/>
          <w:sz w:val="24"/>
          <w:szCs w:val="24"/>
          <w:lang w:val="sr-Cyrl-CS"/>
        </w:rPr>
        <w:t>,</w:t>
      </w:r>
      <w:r w:rsidR="00A50583">
        <w:rPr>
          <w:rFonts w:ascii="Times New Roman" w:hAnsi="Times New Roman"/>
          <w:sz w:val="24"/>
          <w:szCs w:val="24"/>
          <w:lang w:val="sr-Cyrl-CS"/>
        </w:rPr>
        <w:t xml:space="preserve"> услед опасне спреге и</w:t>
      </w:r>
      <w:r w:rsidR="00A02C21">
        <w:rPr>
          <w:rFonts w:ascii="Times New Roman" w:hAnsi="Times New Roman"/>
          <w:sz w:val="24"/>
          <w:szCs w:val="24"/>
          <w:lang w:val="sr-Cyrl-CS"/>
        </w:rPr>
        <w:t>змеђу економске и политичке моћ</w:t>
      </w:r>
      <w:r w:rsidR="00A50583">
        <w:rPr>
          <w:rFonts w:ascii="Times New Roman" w:hAnsi="Times New Roman"/>
          <w:sz w:val="24"/>
          <w:szCs w:val="24"/>
          <w:lang w:val="sr-Cyrl-CS"/>
        </w:rPr>
        <w:t xml:space="preserve">и, оштећени порески обвезници зарад остваривања нечијих приватних интереса. </w:t>
      </w:r>
      <w:r w:rsidR="00590296">
        <w:rPr>
          <w:rFonts w:ascii="Times New Roman" w:hAnsi="Times New Roman"/>
          <w:sz w:val="24"/>
          <w:szCs w:val="24"/>
          <w:lang w:val="sr-Cyrl-CS"/>
        </w:rPr>
        <w:t>Пословни субјекти у условима политичке корупције донирају политичке странке како би за узврат добили или задржали одређене позиције и утицаје на тржишту. Све то води стварању монополског положаја, сузбијању здраве тржишне конкуренције и енормном богаћењу одређених структура. Проблем се продубљује  када све то дов</w:t>
      </w:r>
      <w:r w:rsidR="008C3881">
        <w:rPr>
          <w:rFonts w:ascii="Times New Roman" w:hAnsi="Times New Roman"/>
          <w:sz w:val="24"/>
          <w:szCs w:val="24"/>
        </w:rPr>
        <w:t>e</w:t>
      </w:r>
      <w:r w:rsidR="00590296">
        <w:rPr>
          <w:rFonts w:ascii="Times New Roman" w:hAnsi="Times New Roman"/>
          <w:sz w:val="24"/>
          <w:szCs w:val="24"/>
          <w:lang w:val="sr-Cyrl-CS"/>
        </w:rPr>
        <w:t xml:space="preserve">де до селективне примене закона, што се одражава у свим областима, </w:t>
      </w:r>
      <w:r w:rsidR="00E8407D">
        <w:rPr>
          <w:rFonts w:ascii="Times New Roman" w:hAnsi="Times New Roman"/>
          <w:sz w:val="24"/>
          <w:szCs w:val="24"/>
          <w:lang w:val="sr-Cyrl-CS"/>
        </w:rPr>
        <w:t>па тако и у пореској области.</w:t>
      </w:r>
      <w:r w:rsidR="002B2FCA">
        <w:rPr>
          <w:rFonts w:ascii="Times New Roman" w:hAnsi="Times New Roman"/>
          <w:sz w:val="24"/>
          <w:szCs w:val="24"/>
          <w:lang w:val="sr-Cyrl-CS"/>
        </w:rPr>
        <w:t xml:space="preserve"> Због тога начини супротстављања политичк</w:t>
      </w:r>
      <w:r w:rsidR="002B2FCA">
        <w:rPr>
          <w:rFonts w:ascii="Times New Roman" w:hAnsi="Times New Roman"/>
          <w:sz w:val="24"/>
          <w:szCs w:val="24"/>
        </w:rPr>
        <w:t>oj</w:t>
      </w:r>
      <w:r w:rsidR="002B2FCA">
        <w:rPr>
          <w:rFonts w:ascii="Times New Roman" w:hAnsi="Times New Roman"/>
          <w:sz w:val="24"/>
          <w:szCs w:val="24"/>
          <w:lang w:val="sr-Cyrl-CS"/>
        </w:rPr>
        <w:t xml:space="preserve"> корупциј</w:t>
      </w:r>
      <w:r w:rsidR="002B2FCA">
        <w:rPr>
          <w:rFonts w:ascii="Times New Roman" w:hAnsi="Times New Roman"/>
          <w:sz w:val="24"/>
          <w:szCs w:val="24"/>
        </w:rPr>
        <w:t>и</w:t>
      </w:r>
      <w:r w:rsidR="002B2FCA">
        <w:rPr>
          <w:rFonts w:ascii="Times New Roman" w:hAnsi="Times New Roman"/>
          <w:sz w:val="24"/>
          <w:szCs w:val="24"/>
          <w:lang w:val="sr-Cyrl-CS"/>
        </w:rPr>
        <w:t xml:space="preserve"> и избегавању плаћања пореза морају бити повезани. </w:t>
      </w:r>
      <w:r w:rsidR="00B56AAA">
        <w:rPr>
          <w:rFonts w:ascii="Times New Roman" w:hAnsi="Times New Roman"/>
          <w:sz w:val="24"/>
          <w:szCs w:val="24"/>
          <w:lang w:val="sr-Cyrl-CS"/>
        </w:rPr>
        <w:t>Посебно је опасно када се спрега између политичара и пореског обвезника прошири на пореске службенике, као у случају када политичар за рачун своје политичке капмање узима новац од пореског обвезника, да би му заузврат обезбедио повољан порески третман код пореског службеника, коме ће опет заузврат обезбедити напредовање у служби или друге бенифиције, захваљујући свом политичком утицају.</w:t>
      </w:r>
    </w:p>
    <w:p w:rsidR="00E83275" w:rsidRDefault="00E83275" w:rsidP="00E734AE">
      <w:pPr>
        <w:ind w:firstLine="630"/>
        <w:jc w:val="both"/>
        <w:rPr>
          <w:rFonts w:ascii="Times New Roman" w:hAnsi="Times New Roman"/>
          <w:sz w:val="24"/>
          <w:szCs w:val="24"/>
          <w:lang w:val="sr-Cyrl-CS"/>
        </w:rPr>
      </w:pPr>
      <w:r>
        <w:rPr>
          <w:rFonts w:ascii="Times New Roman" w:hAnsi="Times New Roman"/>
          <w:sz w:val="24"/>
          <w:szCs w:val="24"/>
          <w:lang w:val="sr-Cyrl-CS"/>
        </w:rPr>
        <w:t>Политичке странке су битан сегмент система на</w:t>
      </w:r>
      <w:r w:rsidR="00B56AAA">
        <w:rPr>
          <w:rFonts w:ascii="Times New Roman" w:hAnsi="Times New Roman"/>
          <w:sz w:val="24"/>
          <w:szCs w:val="24"/>
          <w:lang w:val="sr-Cyrl-CS"/>
        </w:rPr>
        <w:t xml:space="preserve"> демократским основама, али су з</w:t>
      </w:r>
      <w:r>
        <w:rPr>
          <w:rFonts w:ascii="Times New Roman" w:hAnsi="Times New Roman"/>
          <w:sz w:val="24"/>
          <w:szCs w:val="24"/>
          <w:lang w:val="sr-Cyrl-CS"/>
        </w:rPr>
        <w:t>а добре изборне резултате и кому</w:t>
      </w:r>
      <w:r w:rsidR="00B56AAA">
        <w:rPr>
          <w:rFonts w:ascii="Times New Roman" w:hAnsi="Times New Roman"/>
          <w:sz w:val="24"/>
          <w:szCs w:val="24"/>
          <w:lang w:val="sr-Cyrl-CS"/>
        </w:rPr>
        <w:t>никацију са јавношћу потребна</w:t>
      </w:r>
      <w:r>
        <w:rPr>
          <w:rFonts w:ascii="Times New Roman" w:hAnsi="Times New Roman"/>
          <w:sz w:val="24"/>
          <w:szCs w:val="24"/>
          <w:lang w:val="sr-Cyrl-CS"/>
        </w:rPr>
        <w:t xml:space="preserve"> финансијска средства. При том, са пор</w:t>
      </w:r>
      <w:r w:rsidR="0045075F">
        <w:rPr>
          <w:rFonts w:ascii="Times New Roman" w:hAnsi="Times New Roman"/>
          <w:sz w:val="24"/>
          <w:szCs w:val="24"/>
          <w:lang w:val="sr-Cyrl-CS"/>
        </w:rPr>
        <w:t>а</w:t>
      </w:r>
      <w:r>
        <w:rPr>
          <w:rFonts w:ascii="Times New Roman" w:hAnsi="Times New Roman"/>
          <w:sz w:val="24"/>
          <w:szCs w:val="24"/>
          <w:lang w:val="sr-Cyrl-CS"/>
        </w:rPr>
        <w:t xml:space="preserve">стом значаја медија, намећу се као неопходне пре свега телевизијске кампање, које изискују значајна финансијска средства. </w:t>
      </w:r>
      <w:r w:rsidR="00EB3152">
        <w:rPr>
          <w:rFonts w:ascii="Times New Roman" w:hAnsi="Times New Roman"/>
          <w:sz w:val="24"/>
          <w:szCs w:val="24"/>
          <w:lang w:val="sr-Cyrl-CS"/>
        </w:rPr>
        <w:t>Због тога су политичке странке у потрази за алтернативним изворима фина</w:t>
      </w:r>
      <w:r w:rsidR="000B5CF8">
        <w:rPr>
          <w:rFonts w:ascii="Times New Roman" w:hAnsi="Times New Roman"/>
          <w:sz w:val="24"/>
          <w:szCs w:val="24"/>
          <w:lang w:val="sr-Cyrl-CS"/>
        </w:rPr>
        <w:t>н</w:t>
      </w:r>
      <w:r w:rsidR="00EB3152">
        <w:rPr>
          <w:rFonts w:ascii="Times New Roman" w:hAnsi="Times New Roman"/>
          <w:sz w:val="24"/>
          <w:szCs w:val="24"/>
          <w:lang w:val="sr-Cyrl-CS"/>
        </w:rPr>
        <w:t xml:space="preserve">сирања, који су често нелегални. </w:t>
      </w:r>
      <w:r w:rsidR="008A72B0">
        <w:rPr>
          <w:rFonts w:ascii="Times New Roman" w:hAnsi="Times New Roman"/>
          <w:sz w:val="24"/>
          <w:szCs w:val="24"/>
        </w:rPr>
        <w:t>Средства се</w:t>
      </w:r>
      <w:r w:rsidR="00B56AAA">
        <w:rPr>
          <w:rFonts w:ascii="Times New Roman" w:hAnsi="Times New Roman"/>
          <w:sz w:val="24"/>
          <w:szCs w:val="24"/>
          <w:lang w:val="sr-Cyrl-CS"/>
        </w:rPr>
        <w:t>, дакле,</w:t>
      </w:r>
      <w:r w:rsidR="008A72B0">
        <w:rPr>
          <w:rFonts w:ascii="Times New Roman" w:hAnsi="Times New Roman"/>
          <w:sz w:val="24"/>
          <w:szCs w:val="24"/>
        </w:rPr>
        <w:t xml:space="preserve"> извлаче из државе и јавног сектора или се п</w:t>
      </w:r>
      <w:r w:rsidR="00A94583">
        <w:rPr>
          <w:rFonts w:ascii="Times New Roman" w:hAnsi="Times New Roman"/>
          <w:sz w:val="24"/>
          <w:szCs w:val="24"/>
        </w:rPr>
        <w:t>рибављају од приватних донатора</w:t>
      </w:r>
      <w:r w:rsidR="00A94583">
        <w:rPr>
          <w:rFonts w:ascii="Times New Roman" w:hAnsi="Times New Roman"/>
          <w:sz w:val="24"/>
          <w:szCs w:val="24"/>
          <w:lang w:val="sr-Cyrl-CS"/>
        </w:rPr>
        <w:t>, а</w:t>
      </w:r>
      <w:r w:rsidR="008A72B0">
        <w:rPr>
          <w:rFonts w:ascii="Times New Roman" w:hAnsi="Times New Roman"/>
          <w:sz w:val="24"/>
          <w:szCs w:val="24"/>
        </w:rPr>
        <w:t xml:space="preserve"> </w:t>
      </w:r>
      <w:r w:rsidR="00A94583">
        <w:rPr>
          <w:rFonts w:ascii="Times New Roman" w:hAnsi="Times New Roman"/>
          <w:sz w:val="24"/>
          <w:szCs w:val="24"/>
          <w:lang w:val="sr-Cyrl-CS"/>
        </w:rPr>
        <w:t>т</w:t>
      </w:r>
      <w:r>
        <w:rPr>
          <w:rFonts w:ascii="Times New Roman" w:hAnsi="Times New Roman"/>
          <w:sz w:val="24"/>
          <w:szCs w:val="24"/>
          <w:lang w:val="sr-Cyrl-CS"/>
        </w:rPr>
        <w:t>о даље из</w:t>
      </w:r>
      <w:r w:rsidR="0045075F">
        <w:rPr>
          <w:rFonts w:ascii="Times New Roman" w:hAnsi="Times New Roman"/>
          <w:sz w:val="24"/>
          <w:szCs w:val="24"/>
          <w:lang w:val="sr-Cyrl-CS"/>
        </w:rPr>
        <w:t>и</w:t>
      </w:r>
      <w:r>
        <w:rPr>
          <w:rFonts w:ascii="Times New Roman" w:hAnsi="Times New Roman"/>
          <w:sz w:val="24"/>
          <w:szCs w:val="24"/>
          <w:lang w:val="sr-Cyrl-CS"/>
        </w:rPr>
        <w:t>скује потребу да се обезбеде финансијска средства</w:t>
      </w:r>
      <w:r w:rsidR="0081256D">
        <w:rPr>
          <w:rFonts w:ascii="Times New Roman" w:hAnsi="Times New Roman"/>
          <w:sz w:val="24"/>
          <w:szCs w:val="24"/>
          <w:lang w:val="sr-Cyrl-CS"/>
        </w:rPr>
        <w:t>, што доводи, између осталог и до спреге између економије и политике, па п</w:t>
      </w:r>
      <w:r w:rsidR="008A72B0">
        <w:rPr>
          <w:rFonts w:ascii="Times New Roman" w:hAnsi="Times New Roman"/>
          <w:sz w:val="24"/>
          <w:szCs w:val="24"/>
        </w:rPr>
        <w:t>o</w:t>
      </w:r>
      <w:r w:rsidR="0081256D">
        <w:rPr>
          <w:rFonts w:ascii="Times New Roman" w:hAnsi="Times New Roman"/>
          <w:sz w:val="24"/>
          <w:szCs w:val="24"/>
          <w:lang w:val="sr-Cyrl-CS"/>
        </w:rPr>
        <w:t>литичари као противуслугу за материјална средства нуде друге врсте утицаја и уступака.</w:t>
      </w:r>
    </w:p>
    <w:p w:rsidR="00B56AAA" w:rsidRPr="00E734AE" w:rsidRDefault="00A94583" w:rsidP="00E734AE">
      <w:pPr>
        <w:ind w:firstLine="630"/>
        <w:jc w:val="both"/>
        <w:rPr>
          <w:rFonts w:ascii="Times New Roman" w:hAnsi="Times New Roman"/>
          <w:sz w:val="24"/>
          <w:szCs w:val="24"/>
          <w:lang w:val="sr-Cyrl-CS"/>
        </w:rPr>
      </w:pPr>
      <w:r>
        <w:rPr>
          <w:rFonts w:ascii="Times New Roman" w:hAnsi="Times New Roman"/>
          <w:sz w:val="24"/>
          <w:szCs w:val="24"/>
          <w:lang w:val="sr-Cyrl-CS"/>
        </w:rPr>
        <w:t xml:space="preserve">Осим тога, </w:t>
      </w:r>
      <w:r w:rsidR="00CD58C7">
        <w:rPr>
          <w:rFonts w:ascii="Times New Roman" w:hAnsi="Times New Roman"/>
          <w:sz w:val="24"/>
          <w:szCs w:val="24"/>
          <w:lang w:val="sr-Cyrl-CS"/>
        </w:rPr>
        <w:t>лобирање политичара, односно посланика у парламенту може да буде врло интересантно решење за пореске обвезнике</w:t>
      </w:r>
      <w:r w:rsidR="00B56AAA">
        <w:rPr>
          <w:rFonts w:ascii="Times New Roman" w:hAnsi="Times New Roman"/>
          <w:sz w:val="24"/>
          <w:szCs w:val="24"/>
          <w:lang w:val="sr-Cyrl-CS"/>
        </w:rPr>
        <w:t xml:space="preserve"> који </w:t>
      </w:r>
      <w:r w:rsidR="00B6600A">
        <w:rPr>
          <w:rFonts w:ascii="Times New Roman" w:hAnsi="Times New Roman"/>
          <w:sz w:val="24"/>
          <w:szCs w:val="24"/>
          <w:lang w:val="sr-Cyrl-CS"/>
        </w:rPr>
        <w:t>се труде да пронађу</w:t>
      </w:r>
      <w:r w:rsidR="00B56AAA">
        <w:rPr>
          <w:rFonts w:ascii="Times New Roman" w:hAnsi="Times New Roman"/>
          <w:sz w:val="24"/>
          <w:szCs w:val="24"/>
          <w:lang w:val="sr-Cyrl-CS"/>
        </w:rPr>
        <w:t xml:space="preserve"> све могуће начине да </w:t>
      </w:r>
      <w:r w:rsidR="00CD58C7">
        <w:rPr>
          <w:rFonts w:ascii="Times New Roman" w:hAnsi="Times New Roman"/>
          <w:sz w:val="24"/>
          <w:szCs w:val="24"/>
          <w:lang w:val="sr-Cyrl-CS"/>
        </w:rPr>
        <w:t>смање</w:t>
      </w:r>
      <w:r w:rsidR="00B56AAA">
        <w:rPr>
          <w:rFonts w:ascii="Times New Roman" w:hAnsi="Times New Roman"/>
          <w:sz w:val="24"/>
          <w:szCs w:val="24"/>
          <w:lang w:val="sr-Cyrl-CS"/>
        </w:rPr>
        <w:t xml:space="preserve"> пореску обавезу и олакшају свој порески положај (што је лег</w:t>
      </w:r>
      <w:r w:rsidR="00CD58C7">
        <w:rPr>
          <w:rFonts w:ascii="Times New Roman" w:hAnsi="Times New Roman"/>
          <w:sz w:val="24"/>
          <w:szCs w:val="24"/>
          <w:lang w:val="sr-Cyrl-CS"/>
        </w:rPr>
        <w:t>итиман начин за умањење пореза)</w:t>
      </w:r>
      <w:r w:rsidR="00B56AAA">
        <w:rPr>
          <w:rFonts w:ascii="Times New Roman" w:hAnsi="Times New Roman"/>
          <w:sz w:val="24"/>
          <w:szCs w:val="24"/>
          <w:lang w:val="sr-Cyrl-CS"/>
        </w:rPr>
        <w:t xml:space="preserve">. </w:t>
      </w:r>
      <w:r w:rsidR="00B6600A">
        <w:rPr>
          <w:rFonts w:ascii="Times New Roman" w:hAnsi="Times New Roman"/>
          <w:sz w:val="24"/>
          <w:szCs w:val="24"/>
          <w:lang w:val="sr-Cyrl-CS"/>
        </w:rPr>
        <w:t>Законодавна власт п</w:t>
      </w:r>
      <w:r w:rsidR="00CD58C7">
        <w:rPr>
          <w:rFonts w:ascii="Times New Roman" w:hAnsi="Times New Roman"/>
          <w:sz w:val="24"/>
          <w:szCs w:val="24"/>
          <w:lang w:val="sr-Cyrl-CS"/>
        </w:rPr>
        <w:t xml:space="preserve">од утицајем подмићивача </w:t>
      </w:r>
      <w:r w:rsidR="00B56AAA">
        <w:rPr>
          <w:rFonts w:ascii="Times New Roman" w:hAnsi="Times New Roman"/>
          <w:sz w:val="24"/>
          <w:szCs w:val="24"/>
          <w:lang w:val="sr-Cyrl-CS"/>
        </w:rPr>
        <w:t>прилагођава законски акт тако да он буде у интересу подмићивача (нпр. пружање посебног пореског третмана појединим интересним групама, одобравање пореске олакшице и сл.).</w:t>
      </w:r>
      <w:r w:rsidR="003F4FC1">
        <w:rPr>
          <w:rFonts w:ascii="Times New Roman" w:hAnsi="Times New Roman"/>
          <w:sz w:val="24"/>
          <w:szCs w:val="24"/>
          <w:lang w:val="sr-Cyrl-CS"/>
        </w:rPr>
        <w:t xml:space="preserve"> При том, треба правити разлику између легалног лобирања и лобирања које је прерасло у корупцију у ком случају политичар или политичка странка бивају награђени зато што су успели да обезбеде да се измени законодавство и уграде одредбе које су у интересу подмићивача (нпр. одобравање пореске олакшице, посебан порески третман појединим интересним групама</w:t>
      </w:r>
      <w:r w:rsidR="0004724E">
        <w:rPr>
          <w:rFonts w:ascii="Times New Roman" w:hAnsi="Times New Roman"/>
          <w:sz w:val="24"/>
          <w:szCs w:val="24"/>
          <w:lang w:val="sr-Cyrl-CS"/>
        </w:rPr>
        <w:t xml:space="preserve"> о сл.</w:t>
      </w:r>
      <w:r w:rsidR="003F4FC1">
        <w:rPr>
          <w:rFonts w:ascii="Times New Roman" w:hAnsi="Times New Roman"/>
          <w:sz w:val="24"/>
          <w:szCs w:val="24"/>
          <w:lang w:val="sr-Cyrl-CS"/>
        </w:rPr>
        <w:t xml:space="preserve">). </w:t>
      </w:r>
      <w:r>
        <w:rPr>
          <w:rStyle w:val="FootnoteReference"/>
          <w:rFonts w:ascii="Times New Roman" w:hAnsi="Times New Roman"/>
          <w:sz w:val="24"/>
          <w:szCs w:val="24"/>
          <w:lang w:val="sr-Cyrl-CS"/>
        </w:rPr>
        <w:footnoteReference w:id="703"/>
      </w:r>
    </w:p>
    <w:p w:rsidR="00C55A94" w:rsidRDefault="008A72B0" w:rsidP="00471EDA">
      <w:pPr>
        <w:ind w:firstLine="630"/>
        <w:jc w:val="both"/>
        <w:rPr>
          <w:rFonts w:ascii="Times New Roman" w:hAnsi="Times New Roman"/>
          <w:sz w:val="24"/>
          <w:szCs w:val="24"/>
          <w:lang w:val="sr-Cyrl-CS"/>
        </w:rPr>
      </w:pPr>
      <w:r>
        <w:rPr>
          <w:rFonts w:ascii="Times New Roman" w:hAnsi="Times New Roman"/>
          <w:sz w:val="24"/>
          <w:szCs w:val="24"/>
          <w:lang w:val="sr-Cyrl-CS"/>
        </w:rPr>
        <w:t>Мере које се могу предузети против ове појаве су ограничавање трошкова за изборне кампање, забрана анонимних донација и ограничавање њихове висине, транспарентност стран</w:t>
      </w:r>
      <w:r w:rsidR="004B7EF2">
        <w:rPr>
          <w:rFonts w:ascii="Times New Roman" w:hAnsi="Times New Roman"/>
          <w:sz w:val="24"/>
          <w:szCs w:val="24"/>
          <w:lang w:val="sr-Cyrl-CS"/>
        </w:rPr>
        <w:t>ачког деловањ</w:t>
      </w:r>
      <w:r w:rsidR="0045075F">
        <w:rPr>
          <w:rFonts w:ascii="Times New Roman" w:hAnsi="Times New Roman"/>
          <w:sz w:val="24"/>
          <w:szCs w:val="24"/>
          <w:lang w:val="sr-Cyrl-CS"/>
        </w:rPr>
        <w:t>а</w:t>
      </w:r>
      <w:r w:rsidR="004B7EF2">
        <w:rPr>
          <w:rFonts w:ascii="Times New Roman" w:hAnsi="Times New Roman"/>
          <w:sz w:val="24"/>
          <w:szCs w:val="24"/>
          <w:lang w:val="sr-Cyrl-CS"/>
        </w:rPr>
        <w:t xml:space="preserve">, </w:t>
      </w:r>
      <w:r>
        <w:rPr>
          <w:rFonts w:ascii="Times New Roman" w:hAnsi="Times New Roman"/>
          <w:sz w:val="24"/>
          <w:szCs w:val="24"/>
          <w:lang w:val="sr-Cyrl-CS"/>
        </w:rPr>
        <w:t>ефикасни механизми надзора и контроле</w:t>
      </w:r>
      <w:r w:rsidR="004B7EF2">
        <w:rPr>
          <w:rFonts w:ascii="Times New Roman" w:hAnsi="Times New Roman"/>
          <w:sz w:val="24"/>
          <w:szCs w:val="24"/>
          <w:lang w:val="sr-Cyrl-CS"/>
        </w:rPr>
        <w:t>, као и строга казнена политика</w:t>
      </w:r>
      <w:r>
        <w:rPr>
          <w:rFonts w:ascii="Times New Roman" w:hAnsi="Times New Roman"/>
          <w:sz w:val="24"/>
          <w:szCs w:val="24"/>
          <w:lang w:val="sr-Cyrl-CS"/>
        </w:rPr>
        <w:t>.</w:t>
      </w:r>
      <w:r w:rsidR="00471EDA">
        <w:rPr>
          <w:rFonts w:ascii="Times New Roman" w:hAnsi="Times New Roman"/>
          <w:sz w:val="24"/>
          <w:szCs w:val="24"/>
        </w:rPr>
        <w:t xml:space="preserve"> </w:t>
      </w:r>
      <w:r w:rsidR="00471EDA">
        <w:rPr>
          <w:rFonts w:ascii="Times New Roman" w:hAnsi="Times New Roman"/>
          <w:sz w:val="24"/>
          <w:szCs w:val="24"/>
          <w:lang w:val="sr-Cyrl-CS"/>
        </w:rPr>
        <w:t>Закон</w:t>
      </w:r>
      <w:r w:rsidR="00471EDA">
        <w:rPr>
          <w:rFonts w:ascii="Times New Roman" w:hAnsi="Times New Roman"/>
          <w:sz w:val="24"/>
          <w:szCs w:val="24"/>
        </w:rPr>
        <w:t xml:space="preserve"> </w:t>
      </w:r>
      <w:r w:rsidR="006A7A73">
        <w:rPr>
          <w:rFonts w:ascii="Times New Roman" w:hAnsi="Times New Roman"/>
          <w:sz w:val="24"/>
          <w:szCs w:val="24"/>
          <w:lang w:val="sr-Cyrl-CS"/>
        </w:rPr>
        <w:t>о финансирању политичких странака</w:t>
      </w:r>
      <w:r w:rsidR="00471EDA">
        <w:rPr>
          <w:rStyle w:val="FootnoteReference"/>
          <w:rFonts w:ascii="Times New Roman" w:hAnsi="Times New Roman"/>
          <w:sz w:val="24"/>
          <w:szCs w:val="24"/>
          <w:lang w:val="sr-Cyrl-CS"/>
        </w:rPr>
        <w:footnoteReference w:id="704"/>
      </w:r>
      <w:r w:rsidR="006A7A73">
        <w:rPr>
          <w:rFonts w:ascii="Times New Roman" w:hAnsi="Times New Roman"/>
          <w:sz w:val="24"/>
          <w:szCs w:val="24"/>
          <w:lang w:val="sr-Cyrl-CS"/>
        </w:rPr>
        <w:t xml:space="preserve"> и Закон о </w:t>
      </w:r>
      <w:r w:rsidR="006A7A73">
        <w:rPr>
          <w:rFonts w:ascii="Times New Roman" w:hAnsi="Times New Roman"/>
          <w:sz w:val="24"/>
          <w:szCs w:val="24"/>
          <w:lang w:val="sr-Cyrl-CS"/>
        </w:rPr>
        <w:lastRenderedPageBreak/>
        <w:t>спречавању сукоба интереса</w:t>
      </w:r>
      <w:r w:rsidR="00471EDA">
        <w:rPr>
          <w:rFonts w:ascii="Times New Roman" w:hAnsi="Times New Roman"/>
          <w:sz w:val="24"/>
          <w:szCs w:val="24"/>
          <w:lang w:val="sr-Cyrl-CS"/>
        </w:rPr>
        <w:t>,</w:t>
      </w:r>
      <w:r w:rsidR="00471EDA">
        <w:rPr>
          <w:rStyle w:val="FootnoteReference"/>
          <w:rFonts w:ascii="Times New Roman" w:hAnsi="Times New Roman"/>
          <w:sz w:val="24"/>
          <w:szCs w:val="24"/>
          <w:lang w:val="sr-Cyrl-CS"/>
        </w:rPr>
        <w:footnoteReference w:id="705"/>
      </w:r>
      <w:r w:rsidR="006A7A73">
        <w:rPr>
          <w:rFonts w:ascii="Times New Roman" w:hAnsi="Times New Roman"/>
          <w:sz w:val="24"/>
          <w:szCs w:val="24"/>
          <w:lang w:val="sr-Cyrl-CS"/>
        </w:rPr>
        <w:t xml:space="preserve"> </w:t>
      </w:r>
      <w:r w:rsidR="00E734AE">
        <w:rPr>
          <w:rFonts w:ascii="Times New Roman" w:hAnsi="Times New Roman"/>
          <w:sz w:val="24"/>
          <w:szCs w:val="24"/>
          <w:lang w:val="sr-Cyrl-CS"/>
        </w:rPr>
        <w:t>а након тога и Закон</w:t>
      </w:r>
      <w:r w:rsidR="00471EDA">
        <w:rPr>
          <w:rFonts w:ascii="Times New Roman" w:hAnsi="Times New Roman"/>
          <w:sz w:val="24"/>
          <w:szCs w:val="24"/>
          <w:lang w:val="sr-Cyrl-CS"/>
        </w:rPr>
        <w:t xml:space="preserve"> о Агенцији за борбу против корупције</w:t>
      </w:r>
      <w:r w:rsidR="00471EDA">
        <w:rPr>
          <w:rStyle w:val="FootnoteReference"/>
          <w:rFonts w:ascii="Times New Roman" w:hAnsi="Times New Roman"/>
          <w:sz w:val="24"/>
          <w:szCs w:val="24"/>
          <w:lang w:val="sr-Cyrl-CS"/>
        </w:rPr>
        <w:footnoteReference w:id="706"/>
      </w:r>
      <w:r w:rsidR="00471EDA">
        <w:rPr>
          <w:rFonts w:ascii="Times New Roman" w:hAnsi="Times New Roman"/>
          <w:sz w:val="24"/>
          <w:szCs w:val="24"/>
          <w:lang w:val="sr-Cyrl-CS"/>
        </w:rPr>
        <w:t xml:space="preserve"> </w:t>
      </w:r>
      <w:r w:rsidR="006A7A73">
        <w:rPr>
          <w:rFonts w:ascii="Times New Roman" w:hAnsi="Times New Roman"/>
          <w:sz w:val="24"/>
          <w:szCs w:val="24"/>
          <w:lang w:val="sr-Cyrl-CS"/>
        </w:rPr>
        <w:t xml:space="preserve">представљају битан напредак у регулисању ове области. </w:t>
      </w:r>
    </w:p>
    <w:p w:rsidR="00714B13" w:rsidRDefault="00714B13" w:rsidP="000A1CCA">
      <w:pPr>
        <w:ind w:firstLine="630"/>
        <w:jc w:val="both"/>
        <w:rPr>
          <w:rFonts w:ascii="Times New Roman" w:hAnsi="Times New Roman"/>
          <w:sz w:val="24"/>
          <w:szCs w:val="24"/>
        </w:rPr>
      </w:pPr>
    </w:p>
    <w:p w:rsidR="00C60397" w:rsidRPr="00395AB8" w:rsidRDefault="00C60397" w:rsidP="00395AB8">
      <w:pPr>
        <w:jc w:val="both"/>
        <w:rPr>
          <w:rFonts w:ascii="Times New Roman" w:hAnsi="Times New Roman"/>
          <w:sz w:val="24"/>
          <w:szCs w:val="24"/>
          <w:lang w:val="sr-Cyrl-CS"/>
        </w:rPr>
      </w:pPr>
    </w:p>
    <w:p w:rsidR="00BD7276" w:rsidRDefault="007F157B" w:rsidP="007F157B">
      <w:pPr>
        <w:pStyle w:val="ListParagraph"/>
        <w:numPr>
          <w:ilvl w:val="1"/>
          <w:numId w:val="4"/>
        </w:numPr>
        <w:jc w:val="both"/>
        <w:rPr>
          <w:rFonts w:ascii="Times New Roman" w:hAnsi="Times New Roman"/>
          <w:b/>
          <w:sz w:val="24"/>
          <w:szCs w:val="24"/>
          <w:lang w:val="sr-Cyrl-CS"/>
        </w:rPr>
      </w:pPr>
      <w:r>
        <w:rPr>
          <w:rFonts w:ascii="Times New Roman" w:hAnsi="Times New Roman"/>
          <w:b/>
          <w:sz w:val="24"/>
          <w:szCs w:val="24"/>
          <w:lang w:val="sr-Cyrl-CS"/>
        </w:rPr>
        <w:t xml:space="preserve"> </w:t>
      </w:r>
      <w:r w:rsidRPr="007F157B">
        <w:rPr>
          <w:rFonts w:ascii="Times New Roman" w:hAnsi="Times New Roman"/>
          <w:b/>
          <w:sz w:val="24"/>
          <w:szCs w:val="24"/>
          <w:lang w:val="sr-Cyrl-CS"/>
        </w:rPr>
        <w:t xml:space="preserve">Лажно финансијско извештавање </w:t>
      </w:r>
      <w:r w:rsidR="00E734AE">
        <w:rPr>
          <w:rFonts w:ascii="Times New Roman" w:hAnsi="Times New Roman"/>
          <w:b/>
          <w:sz w:val="24"/>
          <w:szCs w:val="24"/>
          <w:lang w:val="sr-Cyrl-CS"/>
        </w:rPr>
        <w:t>са освртом на фан</w:t>
      </w:r>
      <w:r w:rsidRPr="007F157B">
        <w:rPr>
          <w:rFonts w:ascii="Times New Roman" w:hAnsi="Times New Roman"/>
          <w:b/>
          <w:sz w:val="24"/>
          <w:szCs w:val="24"/>
          <w:lang w:val="sr-Cyrl-CS"/>
        </w:rPr>
        <w:t>томска предузећа</w:t>
      </w:r>
    </w:p>
    <w:p w:rsidR="001F4B89" w:rsidRPr="00765C88" w:rsidRDefault="001F4B89" w:rsidP="001F4B89">
      <w:pPr>
        <w:pStyle w:val="ListParagraph"/>
        <w:ind w:left="990"/>
        <w:jc w:val="both"/>
        <w:rPr>
          <w:rFonts w:ascii="Times New Roman" w:hAnsi="Times New Roman"/>
          <w:b/>
          <w:sz w:val="24"/>
          <w:szCs w:val="24"/>
          <w:lang w:val="sr-Cyrl-CS"/>
        </w:rPr>
      </w:pPr>
    </w:p>
    <w:p w:rsidR="00765C88" w:rsidRDefault="00765C88" w:rsidP="00765C88">
      <w:pPr>
        <w:pStyle w:val="ListParagraph"/>
        <w:ind w:left="990"/>
        <w:jc w:val="both"/>
        <w:rPr>
          <w:rFonts w:ascii="Times New Roman" w:hAnsi="Times New Roman"/>
          <w:b/>
          <w:sz w:val="24"/>
          <w:szCs w:val="24"/>
          <w:lang w:val="sr-Cyrl-CS"/>
        </w:rPr>
      </w:pPr>
    </w:p>
    <w:p w:rsidR="00A449F2" w:rsidRPr="007F157B" w:rsidRDefault="00A449F2" w:rsidP="00765C88">
      <w:pPr>
        <w:pStyle w:val="ListParagraph"/>
        <w:ind w:left="990"/>
        <w:jc w:val="both"/>
        <w:rPr>
          <w:rFonts w:ascii="Times New Roman" w:hAnsi="Times New Roman"/>
          <w:b/>
          <w:sz w:val="24"/>
          <w:szCs w:val="24"/>
          <w:lang w:val="sr-Cyrl-CS"/>
        </w:rPr>
      </w:pPr>
    </w:p>
    <w:p w:rsidR="00D04604" w:rsidRDefault="00D04604" w:rsidP="000A1CCA">
      <w:pPr>
        <w:ind w:firstLine="630"/>
        <w:jc w:val="both"/>
        <w:rPr>
          <w:rFonts w:ascii="Times New Roman" w:hAnsi="Times New Roman"/>
          <w:sz w:val="24"/>
          <w:szCs w:val="24"/>
          <w:lang w:val="sr-Cyrl-CS"/>
        </w:rPr>
      </w:pPr>
      <w:r>
        <w:rPr>
          <w:rFonts w:ascii="Times New Roman" w:hAnsi="Times New Roman"/>
          <w:sz w:val="24"/>
          <w:szCs w:val="24"/>
          <w:lang w:val="sr-Cyrl-CS"/>
        </w:rPr>
        <w:t xml:space="preserve">Разни облици злоупотреба у </w:t>
      </w:r>
      <w:r w:rsidR="00B2410F">
        <w:rPr>
          <w:rFonts w:ascii="Times New Roman" w:hAnsi="Times New Roman"/>
          <w:sz w:val="24"/>
          <w:szCs w:val="24"/>
          <w:lang w:val="sr-Cyrl-CS"/>
        </w:rPr>
        <w:t>рачуноводству су веома раширени и веома често се користе ради прикривања избегавања плаћања пореза. Мимо тога,  л</w:t>
      </w:r>
      <w:r>
        <w:rPr>
          <w:rFonts w:ascii="Times New Roman" w:hAnsi="Times New Roman"/>
          <w:sz w:val="24"/>
          <w:szCs w:val="24"/>
          <w:lang w:val="sr-Cyrl-CS"/>
        </w:rPr>
        <w:t>ажно финансијско извештавање ствара лажну слику о стању и успешности пословањ</w:t>
      </w:r>
      <w:r w:rsidR="0045075F">
        <w:rPr>
          <w:rFonts w:ascii="Times New Roman" w:hAnsi="Times New Roman"/>
          <w:sz w:val="24"/>
          <w:szCs w:val="24"/>
          <w:lang w:val="sr-Cyrl-CS"/>
        </w:rPr>
        <w:t>а једног правног лица, а указује</w:t>
      </w:r>
      <w:r>
        <w:rPr>
          <w:rFonts w:ascii="Times New Roman" w:hAnsi="Times New Roman"/>
          <w:sz w:val="24"/>
          <w:szCs w:val="24"/>
          <w:lang w:val="sr-Cyrl-CS"/>
        </w:rPr>
        <w:t xml:space="preserve"> и на битне пропусте интерних контрола. У позадини оваквих криминалних радњи може такође стајати корупција.</w:t>
      </w:r>
    </w:p>
    <w:p w:rsidR="00D04604" w:rsidRDefault="00D04604" w:rsidP="000A1CCA">
      <w:pPr>
        <w:ind w:firstLine="630"/>
        <w:jc w:val="both"/>
        <w:rPr>
          <w:rFonts w:ascii="Times New Roman" w:hAnsi="Times New Roman"/>
          <w:sz w:val="24"/>
          <w:szCs w:val="24"/>
          <w:lang w:val="sr-Cyrl-CS"/>
        </w:rPr>
      </w:pPr>
      <w:r>
        <w:rPr>
          <w:rFonts w:ascii="Times New Roman" w:hAnsi="Times New Roman"/>
          <w:sz w:val="24"/>
          <w:szCs w:val="24"/>
          <w:lang w:val="sr-Cyrl-CS"/>
        </w:rPr>
        <w:t>Криминалне радње у складу са МРС могу обухватити следеће:</w:t>
      </w:r>
    </w:p>
    <w:p w:rsidR="00D04604" w:rsidRDefault="00D04604" w:rsidP="00D04604">
      <w:pPr>
        <w:numPr>
          <w:ilvl w:val="0"/>
          <w:numId w:val="2"/>
        </w:numPr>
        <w:jc w:val="both"/>
        <w:rPr>
          <w:rFonts w:ascii="Times New Roman" w:hAnsi="Times New Roman"/>
          <w:sz w:val="24"/>
          <w:szCs w:val="24"/>
          <w:lang w:val="sr-Cyrl-CS"/>
        </w:rPr>
      </w:pPr>
      <w:r>
        <w:rPr>
          <w:rFonts w:ascii="Times New Roman" w:hAnsi="Times New Roman"/>
          <w:sz w:val="24"/>
          <w:szCs w:val="24"/>
          <w:lang w:val="sr-Cyrl-CS"/>
        </w:rPr>
        <w:t>Манипулације, фалсификовање или измену евиденција или документације;</w:t>
      </w:r>
    </w:p>
    <w:p w:rsidR="00D04604" w:rsidRDefault="00D04604" w:rsidP="00D04604">
      <w:pPr>
        <w:numPr>
          <w:ilvl w:val="0"/>
          <w:numId w:val="2"/>
        </w:numPr>
        <w:jc w:val="both"/>
        <w:rPr>
          <w:rFonts w:ascii="Times New Roman" w:hAnsi="Times New Roman"/>
          <w:sz w:val="24"/>
          <w:szCs w:val="24"/>
          <w:lang w:val="sr-Cyrl-CS"/>
        </w:rPr>
      </w:pPr>
      <w:r>
        <w:rPr>
          <w:rFonts w:ascii="Times New Roman" w:hAnsi="Times New Roman"/>
          <w:sz w:val="24"/>
          <w:szCs w:val="24"/>
          <w:lang w:val="sr-Cyrl-CS"/>
        </w:rPr>
        <w:t>Противправно присвајањ</w:t>
      </w:r>
      <w:r w:rsidR="0045075F">
        <w:rPr>
          <w:rFonts w:ascii="Times New Roman" w:hAnsi="Times New Roman"/>
          <w:sz w:val="24"/>
          <w:szCs w:val="24"/>
          <w:lang w:val="sr-Cyrl-CS"/>
        </w:rPr>
        <w:t>е</w:t>
      </w:r>
      <w:r>
        <w:rPr>
          <w:rFonts w:ascii="Times New Roman" w:hAnsi="Times New Roman"/>
          <w:sz w:val="24"/>
          <w:szCs w:val="24"/>
          <w:lang w:val="sr-Cyrl-CS"/>
        </w:rPr>
        <w:t xml:space="preserve"> средстава;</w:t>
      </w:r>
    </w:p>
    <w:p w:rsidR="00D04604" w:rsidRDefault="00D04604" w:rsidP="00D04604">
      <w:pPr>
        <w:numPr>
          <w:ilvl w:val="0"/>
          <w:numId w:val="2"/>
        </w:numPr>
        <w:jc w:val="both"/>
        <w:rPr>
          <w:rFonts w:ascii="Times New Roman" w:hAnsi="Times New Roman"/>
          <w:sz w:val="24"/>
          <w:szCs w:val="24"/>
          <w:lang w:val="sr-Cyrl-CS"/>
        </w:rPr>
      </w:pPr>
      <w:r>
        <w:rPr>
          <w:rFonts w:ascii="Times New Roman" w:hAnsi="Times New Roman"/>
          <w:sz w:val="24"/>
          <w:szCs w:val="24"/>
          <w:lang w:val="sr-Cyrl-CS"/>
        </w:rPr>
        <w:t>Спречавање или пропуштање регистровања пословних догађаја у евиденцијама и документацији;</w:t>
      </w:r>
    </w:p>
    <w:p w:rsidR="00D04604" w:rsidRDefault="00D04604" w:rsidP="00D04604">
      <w:pPr>
        <w:numPr>
          <w:ilvl w:val="0"/>
          <w:numId w:val="2"/>
        </w:numPr>
        <w:jc w:val="both"/>
        <w:rPr>
          <w:rFonts w:ascii="Times New Roman" w:hAnsi="Times New Roman"/>
          <w:sz w:val="24"/>
          <w:szCs w:val="24"/>
          <w:lang w:val="sr-Cyrl-CS"/>
        </w:rPr>
      </w:pPr>
      <w:r>
        <w:rPr>
          <w:rFonts w:ascii="Times New Roman" w:hAnsi="Times New Roman"/>
          <w:sz w:val="24"/>
          <w:szCs w:val="24"/>
          <w:lang w:val="sr-Cyrl-CS"/>
        </w:rPr>
        <w:t>Евидентирање фиктивних пословних догађаја;</w:t>
      </w:r>
    </w:p>
    <w:p w:rsidR="00D04604" w:rsidRDefault="00D04604" w:rsidP="00D04604">
      <w:pPr>
        <w:numPr>
          <w:ilvl w:val="0"/>
          <w:numId w:val="2"/>
        </w:numPr>
        <w:jc w:val="both"/>
        <w:rPr>
          <w:rFonts w:ascii="Times New Roman" w:hAnsi="Times New Roman"/>
          <w:sz w:val="24"/>
          <w:szCs w:val="24"/>
          <w:lang w:val="sr-Cyrl-CS"/>
        </w:rPr>
      </w:pPr>
      <w:r>
        <w:rPr>
          <w:rFonts w:ascii="Times New Roman" w:hAnsi="Times New Roman"/>
          <w:sz w:val="24"/>
          <w:szCs w:val="24"/>
          <w:lang w:val="sr-Cyrl-CS"/>
        </w:rPr>
        <w:t>Погрешну примену рачуноводствених података.</w:t>
      </w:r>
    </w:p>
    <w:p w:rsidR="00D04604" w:rsidRDefault="00D04604" w:rsidP="007C726A">
      <w:pPr>
        <w:ind w:firstLine="360"/>
        <w:jc w:val="both"/>
        <w:rPr>
          <w:rFonts w:ascii="Times New Roman" w:hAnsi="Times New Roman"/>
          <w:sz w:val="24"/>
          <w:szCs w:val="24"/>
          <w:lang w:val="sr-Cyrl-CS"/>
        </w:rPr>
      </w:pPr>
      <w:r>
        <w:rPr>
          <w:rFonts w:ascii="Times New Roman" w:hAnsi="Times New Roman"/>
          <w:sz w:val="24"/>
          <w:szCs w:val="24"/>
          <w:lang w:val="sr-Cyrl-CS"/>
        </w:rPr>
        <w:t xml:space="preserve">Треба правити разлику између криминалне радње и грешке која може настати у изради рачуноводствених извештаја. За разлику од криминалних радњи, грешке су ненамерне погрешке у рачуноводственим извештајима и </w:t>
      </w:r>
      <w:r w:rsidR="005624C0">
        <w:rPr>
          <w:rFonts w:ascii="Times New Roman" w:hAnsi="Times New Roman"/>
          <w:sz w:val="24"/>
          <w:szCs w:val="24"/>
          <w:lang w:val="sr-Cyrl-CS"/>
        </w:rPr>
        <w:t>„</w:t>
      </w:r>
      <w:r>
        <w:rPr>
          <w:rFonts w:ascii="Times New Roman" w:hAnsi="Times New Roman"/>
          <w:sz w:val="24"/>
          <w:szCs w:val="24"/>
          <w:lang w:val="sr-Cyrl-CS"/>
        </w:rPr>
        <w:t>могу бити:</w:t>
      </w:r>
      <w:r w:rsidR="001C1771">
        <w:rPr>
          <w:rFonts w:ascii="Times New Roman" w:hAnsi="Times New Roman"/>
          <w:sz w:val="24"/>
          <w:szCs w:val="24"/>
          <w:lang w:val="sr-Cyrl-CS"/>
        </w:rPr>
        <w:t xml:space="preserve"> </w:t>
      </w:r>
    </w:p>
    <w:p w:rsidR="00D04604" w:rsidRDefault="005624C0" w:rsidP="00D04604">
      <w:pPr>
        <w:numPr>
          <w:ilvl w:val="0"/>
          <w:numId w:val="2"/>
        </w:numPr>
        <w:jc w:val="both"/>
        <w:rPr>
          <w:rFonts w:ascii="Times New Roman" w:hAnsi="Times New Roman"/>
          <w:sz w:val="24"/>
          <w:szCs w:val="24"/>
          <w:lang w:val="sr-Cyrl-CS"/>
        </w:rPr>
      </w:pPr>
      <w:r>
        <w:rPr>
          <w:rFonts w:ascii="Times New Roman" w:hAnsi="Times New Roman"/>
          <w:sz w:val="24"/>
          <w:szCs w:val="24"/>
          <w:lang w:val="sr-Cyrl-CS"/>
        </w:rPr>
        <w:t>р</w:t>
      </w:r>
      <w:r w:rsidR="00D04604">
        <w:rPr>
          <w:rFonts w:ascii="Times New Roman" w:hAnsi="Times New Roman"/>
          <w:sz w:val="24"/>
          <w:szCs w:val="24"/>
          <w:lang w:val="sr-Cyrl-CS"/>
        </w:rPr>
        <w:t>ачунске и административне грешке;</w:t>
      </w:r>
    </w:p>
    <w:p w:rsidR="00D04604" w:rsidRDefault="005624C0" w:rsidP="00D04604">
      <w:pPr>
        <w:numPr>
          <w:ilvl w:val="0"/>
          <w:numId w:val="2"/>
        </w:numPr>
        <w:jc w:val="both"/>
        <w:rPr>
          <w:rFonts w:ascii="Times New Roman" w:hAnsi="Times New Roman"/>
          <w:sz w:val="24"/>
          <w:szCs w:val="24"/>
          <w:lang w:val="sr-Cyrl-CS"/>
        </w:rPr>
      </w:pPr>
      <w:r>
        <w:rPr>
          <w:rFonts w:ascii="Times New Roman" w:hAnsi="Times New Roman"/>
          <w:sz w:val="24"/>
          <w:szCs w:val="24"/>
          <w:lang w:val="sr-Cyrl-CS"/>
        </w:rPr>
        <w:t>п</w:t>
      </w:r>
      <w:r w:rsidR="00D04604">
        <w:rPr>
          <w:rFonts w:ascii="Times New Roman" w:hAnsi="Times New Roman"/>
          <w:sz w:val="24"/>
          <w:szCs w:val="24"/>
          <w:lang w:val="sr-Cyrl-CS"/>
        </w:rPr>
        <w:t>ревид или погрешна интерпретација чињеница;</w:t>
      </w:r>
    </w:p>
    <w:p w:rsidR="00EB1562" w:rsidRDefault="005624C0" w:rsidP="00C60397">
      <w:pPr>
        <w:numPr>
          <w:ilvl w:val="0"/>
          <w:numId w:val="2"/>
        </w:numPr>
        <w:jc w:val="both"/>
        <w:rPr>
          <w:rFonts w:ascii="Times New Roman" w:hAnsi="Times New Roman"/>
          <w:sz w:val="24"/>
          <w:szCs w:val="24"/>
          <w:lang w:val="sr-Cyrl-CS"/>
        </w:rPr>
      </w:pPr>
      <w:r>
        <w:rPr>
          <w:rFonts w:ascii="Times New Roman" w:hAnsi="Times New Roman"/>
          <w:sz w:val="24"/>
          <w:szCs w:val="24"/>
          <w:lang w:val="sr-Cyrl-CS"/>
        </w:rPr>
        <w:t>п</w:t>
      </w:r>
      <w:r w:rsidR="00D04604">
        <w:rPr>
          <w:rFonts w:ascii="Times New Roman" w:hAnsi="Times New Roman"/>
          <w:sz w:val="24"/>
          <w:szCs w:val="24"/>
          <w:lang w:val="sr-Cyrl-CS"/>
        </w:rPr>
        <w:t>огрешна примена рачуноводствених политика.</w:t>
      </w:r>
      <w:r>
        <w:rPr>
          <w:rFonts w:ascii="Times New Roman" w:hAnsi="Times New Roman"/>
          <w:sz w:val="24"/>
          <w:szCs w:val="24"/>
          <w:lang w:val="sr-Cyrl-CS"/>
        </w:rPr>
        <w:t>“</w:t>
      </w:r>
      <w:r w:rsidR="00D04604">
        <w:rPr>
          <w:rStyle w:val="FootnoteReference"/>
          <w:rFonts w:ascii="Times New Roman" w:hAnsi="Times New Roman"/>
          <w:sz w:val="24"/>
          <w:szCs w:val="24"/>
          <w:lang w:val="sr-Cyrl-CS"/>
        </w:rPr>
        <w:footnoteReference w:id="707"/>
      </w:r>
    </w:p>
    <w:p w:rsidR="0058630E" w:rsidRDefault="0058630E" w:rsidP="00156938">
      <w:pPr>
        <w:ind w:firstLine="360"/>
        <w:jc w:val="both"/>
        <w:rPr>
          <w:rFonts w:ascii="Times New Roman" w:hAnsi="Times New Roman"/>
          <w:sz w:val="24"/>
          <w:szCs w:val="24"/>
          <w:lang w:val="sr-Cyrl-CS"/>
        </w:rPr>
      </w:pPr>
    </w:p>
    <w:p w:rsidR="00156938" w:rsidRPr="00C60397" w:rsidRDefault="002175E2" w:rsidP="00156938">
      <w:pPr>
        <w:ind w:firstLine="360"/>
        <w:jc w:val="both"/>
        <w:rPr>
          <w:rFonts w:ascii="Times New Roman" w:hAnsi="Times New Roman"/>
          <w:sz w:val="24"/>
          <w:szCs w:val="24"/>
          <w:lang w:val="sr-Cyrl-CS"/>
        </w:rPr>
      </w:pPr>
      <w:r>
        <w:rPr>
          <w:rFonts w:ascii="Times New Roman" w:hAnsi="Times New Roman"/>
          <w:sz w:val="24"/>
          <w:szCs w:val="24"/>
          <w:lang w:val="sr-Cyrl-CS"/>
        </w:rPr>
        <w:t xml:space="preserve">У оквиру злоупотреба у производњи данас постоје </w:t>
      </w:r>
      <w:r w:rsidR="00156938">
        <w:rPr>
          <w:rFonts w:ascii="Times New Roman" w:hAnsi="Times New Roman"/>
          <w:sz w:val="24"/>
          <w:szCs w:val="24"/>
          <w:lang w:val="sr-Cyrl-CS"/>
        </w:rPr>
        <w:t>неки карактеристични облици криминалитета који су углавном последица д</w:t>
      </w:r>
      <w:r>
        <w:rPr>
          <w:rFonts w:ascii="Times New Roman" w:hAnsi="Times New Roman"/>
          <w:sz w:val="24"/>
          <w:szCs w:val="24"/>
          <w:lang w:val="sr-Cyrl-CS"/>
        </w:rPr>
        <w:t>еловања „сиве економије“. Тако на пример</w:t>
      </w:r>
      <w:r w:rsidR="00156938">
        <w:rPr>
          <w:rFonts w:ascii="Times New Roman" w:hAnsi="Times New Roman"/>
          <w:sz w:val="24"/>
          <w:szCs w:val="24"/>
          <w:lang w:val="sr-Cyrl-CS"/>
        </w:rPr>
        <w:t xml:space="preserve"> поједина предузећа помоћу фиктивне документације избегавају плаћање пореских </w:t>
      </w:r>
      <w:r w:rsidR="00156938">
        <w:rPr>
          <w:rFonts w:ascii="Times New Roman" w:hAnsi="Times New Roman"/>
          <w:sz w:val="24"/>
          <w:szCs w:val="24"/>
          <w:lang w:val="sr-Cyrl-CS"/>
        </w:rPr>
        <w:lastRenderedPageBreak/>
        <w:t>дажбина држави, а добијеним готовим новцем купују се одређени репроматеријал и нужне сировине, па се тако процесом производње ствара нов производ који се нигде не евидентира.</w:t>
      </w:r>
      <w:r w:rsidR="005624C0">
        <w:rPr>
          <w:rFonts w:ascii="Times New Roman" w:hAnsi="Times New Roman"/>
          <w:sz w:val="24"/>
          <w:szCs w:val="24"/>
          <w:lang w:val="sr-Cyrl-CS"/>
        </w:rPr>
        <w:t xml:space="preserve"> Т</w:t>
      </w:r>
      <w:r w:rsidR="00156938">
        <w:rPr>
          <w:rFonts w:ascii="Times New Roman" w:hAnsi="Times New Roman"/>
          <w:sz w:val="24"/>
          <w:szCs w:val="24"/>
          <w:lang w:val="sr-Cyrl-CS"/>
        </w:rPr>
        <w:t xml:space="preserve">акав производ </w:t>
      </w:r>
      <w:r w:rsidR="005624C0">
        <w:rPr>
          <w:rFonts w:ascii="Times New Roman" w:hAnsi="Times New Roman"/>
          <w:sz w:val="24"/>
          <w:szCs w:val="24"/>
          <w:lang w:val="sr-Cyrl-CS"/>
        </w:rPr>
        <w:t xml:space="preserve">се даље </w:t>
      </w:r>
      <w:r w:rsidR="00156938">
        <w:rPr>
          <w:rFonts w:ascii="Times New Roman" w:hAnsi="Times New Roman"/>
          <w:sz w:val="24"/>
          <w:szCs w:val="24"/>
          <w:lang w:val="sr-Cyrl-CS"/>
        </w:rPr>
        <w:t>продаје на</w:t>
      </w:r>
      <w:r w:rsidR="005624C0">
        <w:rPr>
          <w:rFonts w:ascii="Times New Roman" w:hAnsi="Times New Roman"/>
          <w:sz w:val="24"/>
          <w:szCs w:val="24"/>
          <w:lang w:val="sr-Cyrl-CS"/>
        </w:rPr>
        <w:t xml:space="preserve"> „црном тржишту“ за готов новац и тако долази до избегавања плаћања пореза.</w:t>
      </w:r>
      <w:r w:rsidR="00156938">
        <w:rPr>
          <w:rFonts w:ascii="Times New Roman" w:hAnsi="Times New Roman"/>
          <w:sz w:val="24"/>
          <w:szCs w:val="24"/>
          <w:lang w:val="sr-Cyrl-CS"/>
        </w:rPr>
        <w:t xml:space="preserve"> </w:t>
      </w:r>
      <w:r w:rsidR="005624C0">
        <w:rPr>
          <w:rFonts w:ascii="Times New Roman" w:hAnsi="Times New Roman"/>
          <w:sz w:val="24"/>
          <w:szCs w:val="24"/>
          <w:lang w:val="sr-Cyrl-CS"/>
        </w:rPr>
        <w:t>Н</w:t>
      </w:r>
      <w:r w:rsidR="00156938">
        <w:rPr>
          <w:rFonts w:ascii="Times New Roman" w:hAnsi="Times New Roman"/>
          <w:sz w:val="24"/>
          <w:szCs w:val="24"/>
          <w:lang w:val="sr-Cyrl-CS"/>
        </w:rPr>
        <w:t xml:space="preserve">овац предузеће даље користи за друге потребе. </w:t>
      </w:r>
      <w:r w:rsidR="00BD6B99">
        <w:rPr>
          <w:rStyle w:val="FootnoteReference"/>
          <w:rFonts w:ascii="Times New Roman" w:hAnsi="Times New Roman"/>
          <w:sz w:val="24"/>
          <w:szCs w:val="24"/>
          <w:lang w:val="sr-Cyrl-CS"/>
        </w:rPr>
        <w:footnoteReference w:id="708"/>
      </w:r>
    </w:p>
    <w:p w:rsidR="006B15D7" w:rsidRPr="0058630E" w:rsidRDefault="001C1771" w:rsidP="004F3D57">
      <w:pPr>
        <w:ind w:firstLine="360"/>
        <w:jc w:val="both"/>
        <w:rPr>
          <w:rFonts w:ascii="Times New Roman" w:hAnsi="Times New Roman"/>
          <w:sz w:val="24"/>
          <w:szCs w:val="24"/>
          <w:lang w:val="sr-Cyrl-CS"/>
        </w:rPr>
      </w:pPr>
      <w:r>
        <w:rPr>
          <w:rFonts w:ascii="Times New Roman" w:hAnsi="Times New Roman"/>
          <w:sz w:val="24"/>
          <w:szCs w:val="24"/>
          <w:lang w:val="sr-Cyrl-CS"/>
        </w:rPr>
        <w:t>У окв</w:t>
      </w:r>
      <w:r w:rsidR="002175E2">
        <w:rPr>
          <w:rFonts w:ascii="Times New Roman" w:hAnsi="Times New Roman"/>
          <w:sz w:val="24"/>
          <w:szCs w:val="24"/>
          <w:lang w:val="sr-Cyrl-CS"/>
        </w:rPr>
        <w:t xml:space="preserve">иру злоупотреба у рачуноводству, односно </w:t>
      </w:r>
      <w:r>
        <w:rPr>
          <w:rFonts w:ascii="Times New Roman" w:hAnsi="Times New Roman"/>
          <w:sz w:val="24"/>
          <w:szCs w:val="24"/>
          <w:lang w:val="sr-Cyrl-CS"/>
        </w:rPr>
        <w:t xml:space="preserve">лажног финасијског извештавања, </w:t>
      </w:r>
      <w:r w:rsidR="002175E2">
        <w:rPr>
          <w:rFonts w:ascii="Times New Roman" w:hAnsi="Times New Roman"/>
          <w:sz w:val="24"/>
          <w:szCs w:val="24"/>
          <w:lang w:val="sr-Cyrl-CS"/>
        </w:rPr>
        <w:t>може се направити разлика између злоупотреба</w:t>
      </w:r>
      <w:r>
        <w:rPr>
          <w:rFonts w:ascii="Times New Roman" w:hAnsi="Times New Roman"/>
          <w:sz w:val="24"/>
          <w:szCs w:val="24"/>
          <w:lang w:val="sr-Cyrl-CS"/>
        </w:rPr>
        <w:t xml:space="preserve"> у рачуноводству са циљем прецењивања нето имовине и рента</w:t>
      </w:r>
      <w:r w:rsidR="002175E2">
        <w:rPr>
          <w:rFonts w:ascii="Times New Roman" w:hAnsi="Times New Roman"/>
          <w:sz w:val="24"/>
          <w:szCs w:val="24"/>
          <w:lang w:val="sr-Cyrl-CS"/>
        </w:rPr>
        <w:t>билитета пословања и злоупотреба</w:t>
      </w:r>
      <w:r>
        <w:rPr>
          <w:rFonts w:ascii="Times New Roman" w:hAnsi="Times New Roman"/>
          <w:sz w:val="24"/>
          <w:szCs w:val="24"/>
          <w:lang w:val="sr-Cyrl-CS"/>
        </w:rPr>
        <w:t xml:space="preserve"> у рачуноводству које имају за последицу потцењивање нето имовине и рентабилитета. Поделу лажног извештавања можемо приказати у виду дијаграма:</w:t>
      </w:r>
      <w:r>
        <w:rPr>
          <w:rStyle w:val="FootnoteReference"/>
          <w:rFonts w:ascii="Times New Roman" w:hAnsi="Times New Roman"/>
          <w:sz w:val="24"/>
          <w:szCs w:val="24"/>
          <w:lang w:val="sr-Cyrl-CS"/>
        </w:rPr>
        <w:footnoteReference w:id="709"/>
      </w:r>
    </w:p>
    <w:p w:rsidR="00765C88" w:rsidRPr="001F4B89" w:rsidRDefault="00A449F2" w:rsidP="001F4B89">
      <w:pPr>
        <w:ind w:firstLine="360"/>
        <w:jc w:val="both"/>
        <w:rPr>
          <w:rFonts w:ascii="Times New Roman" w:hAnsi="Times New Roman"/>
          <w:b/>
          <w:sz w:val="24"/>
          <w:szCs w:val="24"/>
          <w:lang w:val="sr-Cyrl-CS"/>
        </w:rPr>
      </w:pPr>
      <w:r>
        <w:rPr>
          <w:rFonts w:ascii="Times New Roman" w:hAnsi="Times New Roman"/>
          <w:b/>
          <w:sz w:val="24"/>
          <w:szCs w:val="24"/>
          <w:lang w:val="sr-Cyrl-CS"/>
        </w:rPr>
        <w:t>Слика 23</w:t>
      </w:r>
    </w:p>
    <w:p w:rsidR="001C1771" w:rsidRDefault="00616181" w:rsidP="001C1771">
      <w:pPr>
        <w:ind w:left="720"/>
        <w:jc w:val="both"/>
        <w:rPr>
          <w:rFonts w:ascii="Times New Roman" w:hAnsi="Times New Roman"/>
          <w:sz w:val="24"/>
          <w:szCs w:val="24"/>
          <w:lang w:val="sr-Cyrl-CS"/>
        </w:rPr>
      </w:pPr>
      <w:r>
        <w:rPr>
          <w:rFonts w:ascii="Times New Roman" w:hAnsi="Times New Roman"/>
          <w:noProof/>
          <w:sz w:val="24"/>
          <w:szCs w:val="24"/>
        </w:rPr>
        <w:pict>
          <v:rect id="_x0000_s1236" style="position:absolute;left:0;text-align:left;margin-left:161.7pt;margin-top:2.3pt;width:141.75pt;height:46.5pt;z-index:251627008">
            <v:textbox>
              <w:txbxContent>
                <w:p w:rsidR="00767127" w:rsidRPr="0045075F" w:rsidRDefault="00767127">
                  <w:pPr>
                    <w:rPr>
                      <w:b/>
                      <w:lang w:val="sr-Cyrl-CS"/>
                    </w:rPr>
                  </w:pPr>
                  <w:r w:rsidRPr="0045075F">
                    <w:rPr>
                      <w:b/>
                      <w:lang w:val="sr-Cyrl-CS"/>
                    </w:rPr>
                    <w:t>Лажно извештавање</w:t>
                  </w:r>
                </w:p>
              </w:txbxContent>
            </v:textbox>
          </v:rect>
        </w:pict>
      </w:r>
      <w:r w:rsidR="001C1771">
        <w:rPr>
          <w:rFonts w:ascii="Times New Roman" w:hAnsi="Times New Roman"/>
          <w:sz w:val="24"/>
          <w:szCs w:val="24"/>
          <w:lang w:val="sr-Cyrl-CS"/>
        </w:rPr>
        <w:t xml:space="preserve">   </w:t>
      </w:r>
      <w:r w:rsidR="00AE7536">
        <w:rPr>
          <w:rFonts w:ascii="Times New Roman" w:hAnsi="Times New Roman"/>
          <w:sz w:val="24"/>
          <w:szCs w:val="24"/>
          <w:lang w:val="sr-Cyrl-CS"/>
        </w:rPr>
        <w:t xml:space="preserve">                                       </w:t>
      </w:r>
      <w:r w:rsidR="001C1771">
        <w:rPr>
          <w:rFonts w:ascii="Times New Roman" w:hAnsi="Times New Roman"/>
          <w:sz w:val="24"/>
          <w:szCs w:val="24"/>
          <w:lang w:val="sr-Cyrl-CS"/>
        </w:rPr>
        <w:t xml:space="preserve">                                       </w:t>
      </w:r>
    </w:p>
    <w:p w:rsidR="001C1771" w:rsidRDefault="00616181" w:rsidP="001C1771">
      <w:pPr>
        <w:ind w:left="720"/>
        <w:jc w:val="both"/>
        <w:rPr>
          <w:rFonts w:ascii="Times New Roman" w:hAnsi="Times New Roman"/>
          <w:sz w:val="24"/>
          <w:szCs w:val="24"/>
          <w:lang w:val="sr-Cyrl-CS"/>
        </w:rPr>
      </w:pPr>
      <w:r>
        <w:rPr>
          <w:rFonts w:ascii="Times New Roman" w:hAnsi="Times New Roman"/>
          <w:noProof/>
          <w:sz w:val="24"/>
          <w:szCs w:val="24"/>
        </w:rPr>
        <w:pict>
          <v:shape id="_x0000_s1239" type="#_x0000_t32" style="position:absolute;left:0;text-align:left;margin-left:230.7pt;margin-top:22.9pt;width:0;height:51pt;z-index:251630080" o:connectortype="straight"/>
        </w:pict>
      </w:r>
      <w:r>
        <w:rPr>
          <w:rFonts w:ascii="Times New Roman" w:hAnsi="Times New Roman"/>
          <w:noProof/>
          <w:sz w:val="24"/>
          <w:szCs w:val="24"/>
        </w:rPr>
        <w:pict>
          <v:shape id="_x0000_s1237" type="#_x0000_t32" style="position:absolute;left:0;text-align:left;margin-left:229.95pt;margin-top:22.9pt;width:.75pt;height:39.75pt;flip:x;z-index:251628032" o:connectortype="straight"/>
        </w:pict>
      </w:r>
      <w:r w:rsidR="00AE7536">
        <w:rPr>
          <w:rFonts w:ascii="Times New Roman" w:hAnsi="Times New Roman"/>
          <w:sz w:val="24"/>
          <w:szCs w:val="24"/>
          <w:lang w:val="sr-Cyrl-CS"/>
        </w:rPr>
        <w:t xml:space="preserve">                                            ла</w:t>
      </w:r>
    </w:p>
    <w:p w:rsidR="001C1771" w:rsidRPr="001C1771" w:rsidRDefault="001C1771" w:rsidP="001C1771">
      <w:pPr>
        <w:ind w:left="720"/>
        <w:jc w:val="both"/>
        <w:rPr>
          <w:rFonts w:ascii="Times New Roman" w:hAnsi="Times New Roman"/>
          <w:noProof/>
          <w:sz w:val="24"/>
          <w:szCs w:val="24"/>
        </w:rPr>
      </w:pPr>
    </w:p>
    <w:p w:rsidR="001C1771" w:rsidRDefault="00616181" w:rsidP="001C1771">
      <w:pPr>
        <w:ind w:left="720"/>
        <w:jc w:val="both"/>
        <w:rPr>
          <w:rFonts w:ascii="Times New Roman" w:hAnsi="Times New Roman"/>
          <w:sz w:val="24"/>
          <w:szCs w:val="24"/>
          <w:lang w:val="sr-Cyrl-CS"/>
        </w:rPr>
      </w:pPr>
      <w:r>
        <w:rPr>
          <w:rFonts w:ascii="Times New Roman" w:hAnsi="Times New Roman"/>
          <w:noProof/>
          <w:sz w:val="24"/>
          <w:szCs w:val="24"/>
        </w:rPr>
        <w:pict>
          <v:shape id="_x0000_s1241" type="#_x0000_t32" style="position:absolute;left:0;text-align:left;margin-left:346.2pt;margin-top:22.2pt;width:0;height:21.75pt;z-index:251632128" o:connectortype="straight"/>
        </w:pict>
      </w:r>
      <w:r>
        <w:rPr>
          <w:rFonts w:ascii="Times New Roman" w:hAnsi="Times New Roman"/>
          <w:noProof/>
          <w:sz w:val="24"/>
          <w:szCs w:val="24"/>
        </w:rPr>
        <w:pict>
          <v:shape id="_x0000_s1240" type="#_x0000_t32" style="position:absolute;left:0;text-align:left;margin-left:130.2pt;margin-top:22.2pt;width:0;height:21.75pt;z-index:251631104" o:connectortype="straight"/>
        </w:pict>
      </w:r>
      <w:r>
        <w:rPr>
          <w:rFonts w:ascii="Times New Roman" w:hAnsi="Times New Roman"/>
          <w:noProof/>
          <w:sz w:val="24"/>
          <w:szCs w:val="24"/>
        </w:rPr>
        <w:pict>
          <v:shape id="_x0000_s1238" type="#_x0000_t32" style="position:absolute;left:0;text-align:left;margin-left:130.2pt;margin-top:22.2pt;width:3in;height:0;z-index:251629056" o:connectortype="straight"/>
        </w:pict>
      </w:r>
    </w:p>
    <w:p w:rsidR="001C1771" w:rsidRDefault="00616181" w:rsidP="001C1771">
      <w:pPr>
        <w:ind w:left="720"/>
        <w:jc w:val="both"/>
        <w:rPr>
          <w:rFonts w:ascii="Times New Roman" w:hAnsi="Times New Roman"/>
          <w:sz w:val="24"/>
          <w:szCs w:val="24"/>
          <w:lang w:val="sr-Cyrl-CS"/>
        </w:rPr>
      </w:pPr>
      <w:r>
        <w:rPr>
          <w:rFonts w:ascii="Times New Roman" w:hAnsi="Times New Roman"/>
          <w:noProof/>
          <w:sz w:val="24"/>
          <w:szCs w:val="24"/>
        </w:rPr>
        <w:pict>
          <v:rect id="_x0000_s1244" style="position:absolute;left:0;text-align:left;margin-left:282.45pt;margin-top:21.8pt;width:90pt;height:54pt;z-index:251634176">
            <v:textbox>
              <w:txbxContent>
                <w:p w:rsidR="00767127" w:rsidRPr="0045075F" w:rsidRDefault="00767127">
                  <w:pPr>
                    <w:rPr>
                      <w:b/>
                      <w:sz w:val="16"/>
                      <w:szCs w:val="16"/>
                      <w:lang w:val="sr-Cyrl-CS"/>
                    </w:rPr>
                  </w:pPr>
                  <w:r w:rsidRPr="0045075F">
                    <w:rPr>
                      <w:b/>
                      <w:lang w:val="sr-Cyrl-CS"/>
                    </w:rPr>
                    <w:t>Потцењивање резултата нето имовине</w:t>
                  </w:r>
                </w:p>
              </w:txbxContent>
            </v:textbox>
          </v:rect>
        </w:pict>
      </w:r>
      <w:r w:rsidRPr="00616181">
        <w:rPr>
          <w:rFonts w:ascii="Times New Roman" w:hAnsi="Times New Roman"/>
          <w:noProof/>
          <w:sz w:val="18"/>
          <w:szCs w:val="18"/>
        </w:rPr>
        <w:pict>
          <v:rect id="_x0000_s1242" style="position:absolute;left:0;text-align:left;margin-left:99.45pt;margin-top:21.8pt;width:91.5pt;height:54pt;z-index:251633152">
            <v:textbox>
              <w:txbxContent>
                <w:p w:rsidR="00767127" w:rsidRPr="0045075F" w:rsidRDefault="00767127">
                  <w:pPr>
                    <w:rPr>
                      <w:b/>
                      <w:lang w:val="sr-Cyrl-CS"/>
                    </w:rPr>
                  </w:pPr>
                  <w:r w:rsidRPr="0045075F">
                    <w:rPr>
                      <w:b/>
                      <w:lang w:val="sr-Cyrl-CS"/>
                    </w:rPr>
                    <w:t>Прецењивање резултата нето имовине</w:t>
                  </w:r>
                </w:p>
              </w:txbxContent>
            </v:textbox>
          </v:rect>
        </w:pict>
      </w:r>
    </w:p>
    <w:p w:rsidR="001C1771" w:rsidRDefault="001C1771" w:rsidP="001C1771">
      <w:pPr>
        <w:ind w:left="720"/>
        <w:jc w:val="both"/>
        <w:rPr>
          <w:rFonts w:ascii="Times New Roman" w:hAnsi="Times New Roman"/>
          <w:sz w:val="24"/>
          <w:szCs w:val="24"/>
          <w:lang w:val="sr-Cyrl-CS"/>
        </w:rPr>
      </w:pPr>
      <w:r>
        <w:rPr>
          <w:rFonts w:ascii="Times New Roman" w:hAnsi="Times New Roman"/>
          <w:sz w:val="24"/>
          <w:szCs w:val="24"/>
          <w:lang w:val="sr-Cyrl-CS"/>
        </w:rPr>
        <w:t xml:space="preserve">  </w:t>
      </w:r>
    </w:p>
    <w:p w:rsidR="001C1771" w:rsidRDefault="00616181" w:rsidP="001C1771">
      <w:pPr>
        <w:ind w:left="720"/>
        <w:jc w:val="both"/>
        <w:rPr>
          <w:rFonts w:ascii="Times New Roman" w:hAnsi="Times New Roman"/>
          <w:sz w:val="24"/>
          <w:szCs w:val="24"/>
          <w:lang w:val="sr-Cyrl-CS"/>
        </w:rPr>
      </w:pPr>
      <w:r>
        <w:rPr>
          <w:rFonts w:ascii="Times New Roman" w:hAnsi="Times New Roman"/>
          <w:noProof/>
          <w:sz w:val="24"/>
          <w:szCs w:val="24"/>
        </w:rPr>
        <w:pict>
          <v:shape id="_x0000_s1246" type="#_x0000_t32" style="position:absolute;left:0;text-align:left;margin-left:332.7pt;margin-top:18.8pt;width:0;height:32.25pt;z-index:251636224" o:connectortype="straight"/>
        </w:pict>
      </w:r>
      <w:r>
        <w:rPr>
          <w:rFonts w:ascii="Times New Roman" w:hAnsi="Times New Roman"/>
          <w:noProof/>
          <w:sz w:val="24"/>
          <w:szCs w:val="24"/>
        </w:rPr>
        <w:pict>
          <v:shape id="_x0000_s1245" type="#_x0000_t32" style="position:absolute;left:0;text-align:left;margin-left:148.2pt;margin-top:18.8pt;width:0;height:32.25pt;z-index:251635200" o:connectortype="straight"/>
        </w:pict>
      </w:r>
    </w:p>
    <w:p w:rsidR="001C1771" w:rsidRDefault="00616181" w:rsidP="001C1771">
      <w:pPr>
        <w:ind w:left="720"/>
        <w:jc w:val="both"/>
        <w:rPr>
          <w:rFonts w:ascii="Times New Roman" w:hAnsi="Times New Roman"/>
          <w:sz w:val="24"/>
          <w:szCs w:val="24"/>
          <w:lang w:val="sr-Cyrl-CS"/>
        </w:rPr>
      </w:pPr>
      <w:r>
        <w:rPr>
          <w:rFonts w:ascii="Times New Roman" w:hAnsi="Times New Roman"/>
          <w:noProof/>
          <w:sz w:val="24"/>
          <w:szCs w:val="24"/>
        </w:rPr>
        <w:pict>
          <v:shape id="_x0000_s1256" type="#_x0000_t32" style="position:absolute;left:0;text-align:left;margin-left:466.95pt;margin-top:25.2pt;width:0;height:33.75pt;z-index:251646464" o:connectortype="straight"/>
        </w:pict>
      </w:r>
      <w:r>
        <w:rPr>
          <w:rFonts w:ascii="Times New Roman" w:hAnsi="Times New Roman"/>
          <w:noProof/>
          <w:sz w:val="24"/>
          <w:szCs w:val="24"/>
        </w:rPr>
        <w:pict>
          <v:shape id="_x0000_s1255" type="#_x0000_t32" style="position:absolute;left:0;text-align:left;margin-left:390.45pt;margin-top:25.2pt;width:.75pt;height:28.5pt;z-index:251645440" o:connectortype="straight"/>
        </w:pict>
      </w:r>
      <w:r>
        <w:rPr>
          <w:rFonts w:ascii="Times New Roman" w:hAnsi="Times New Roman"/>
          <w:noProof/>
          <w:sz w:val="24"/>
          <w:szCs w:val="24"/>
        </w:rPr>
        <w:pict>
          <v:shape id="_x0000_s1254" type="#_x0000_t32" style="position:absolute;left:0;text-align:left;margin-left:267.45pt;margin-top:25.2pt;width:0;height:28.5pt;z-index:251644416" o:connectortype="straight"/>
        </w:pict>
      </w:r>
      <w:r>
        <w:rPr>
          <w:rFonts w:ascii="Times New Roman" w:hAnsi="Times New Roman"/>
          <w:noProof/>
          <w:sz w:val="24"/>
          <w:szCs w:val="24"/>
        </w:rPr>
        <w:pict>
          <v:shape id="_x0000_s1253" type="#_x0000_t32" style="position:absolute;left:0;text-align:left;margin-left:332.7pt;margin-top:25.2pt;width:0;height:28.5pt;z-index:251643392" o:connectortype="straight"/>
        </w:pict>
      </w:r>
      <w:r>
        <w:rPr>
          <w:rFonts w:ascii="Times New Roman" w:hAnsi="Times New Roman"/>
          <w:noProof/>
          <w:sz w:val="24"/>
          <w:szCs w:val="24"/>
        </w:rPr>
        <w:pict>
          <v:shape id="_x0000_s1252" type="#_x0000_t32" style="position:absolute;left:0;text-align:left;margin-left:225.45pt;margin-top:25.2pt;width:0;height:33.75pt;z-index:251642368" o:connectortype="straight"/>
        </w:pict>
      </w:r>
      <w:r>
        <w:rPr>
          <w:rFonts w:ascii="Times New Roman" w:hAnsi="Times New Roman"/>
          <w:noProof/>
          <w:sz w:val="24"/>
          <w:szCs w:val="24"/>
        </w:rPr>
        <w:pict>
          <v:shape id="_x0000_s1251" type="#_x0000_t32" style="position:absolute;left:0;text-align:left;margin-left:148.2pt;margin-top:25.2pt;width:0;height:33.75pt;z-index:251641344" o:connectortype="straight"/>
        </w:pict>
      </w:r>
      <w:r>
        <w:rPr>
          <w:rFonts w:ascii="Times New Roman" w:hAnsi="Times New Roman"/>
          <w:noProof/>
          <w:sz w:val="24"/>
          <w:szCs w:val="24"/>
        </w:rPr>
        <w:pict>
          <v:shape id="_x0000_s1250" type="#_x0000_t32" style="position:absolute;left:0;text-align:left;margin-left:99.45pt;margin-top:25.2pt;width:0;height:33.75pt;z-index:251640320" o:connectortype="straight"/>
        </w:pict>
      </w:r>
      <w:r>
        <w:rPr>
          <w:rFonts w:ascii="Times New Roman" w:hAnsi="Times New Roman"/>
          <w:noProof/>
          <w:sz w:val="24"/>
          <w:szCs w:val="24"/>
        </w:rPr>
        <w:pict>
          <v:shape id="_x0000_s1249" type="#_x0000_t32" style="position:absolute;left:0;text-align:left;margin-left:28.2pt;margin-top:25.2pt;width:0;height:28.5pt;z-index:251639296" o:connectortype="straight"/>
        </w:pict>
      </w:r>
      <w:r>
        <w:rPr>
          <w:rFonts w:ascii="Times New Roman" w:hAnsi="Times New Roman"/>
          <w:noProof/>
          <w:sz w:val="24"/>
          <w:szCs w:val="24"/>
        </w:rPr>
        <w:pict>
          <v:shape id="_x0000_s1248" type="#_x0000_t32" style="position:absolute;left:0;text-align:left;margin-left:267.45pt;margin-top:25.2pt;width:199.5pt;height:0;z-index:251638272" o:connectortype="straight"/>
        </w:pict>
      </w:r>
      <w:r>
        <w:rPr>
          <w:rFonts w:ascii="Times New Roman" w:hAnsi="Times New Roman"/>
          <w:noProof/>
          <w:sz w:val="24"/>
          <w:szCs w:val="24"/>
        </w:rPr>
        <w:pict>
          <v:shape id="_x0000_s1247" type="#_x0000_t32" style="position:absolute;left:0;text-align:left;margin-left:28.2pt;margin-top:25.2pt;width:197.25pt;height:0;z-index:251637248" o:connectortype="straight"/>
        </w:pict>
      </w:r>
    </w:p>
    <w:p w:rsidR="001C1771" w:rsidRDefault="001C1771" w:rsidP="001C1771">
      <w:pPr>
        <w:ind w:left="720"/>
        <w:jc w:val="both"/>
        <w:rPr>
          <w:rFonts w:ascii="Times New Roman" w:hAnsi="Times New Roman"/>
          <w:sz w:val="24"/>
          <w:szCs w:val="24"/>
          <w:lang w:val="sr-Cyrl-CS"/>
        </w:rPr>
      </w:pPr>
    </w:p>
    <w:p w:rsidR="001C1771" w:rsidRDefault="00616181" w:rsidP="001C1771">
      <w:pPr>
        <w:ind w:left="720"/>
        <w:jc w:val="both"/>
        <w:rPr>
          <w:rFonts w:ascii="Times New Roman" w:hAnsi="Times New Roman"/>
          <w:sz w:val="24"/>
          <w:szCs w:val="24"/>
          <w:lang w:val="sr-Cyrl-CS"/>
        </w:rPr>
      </w:pPr>
      <w:r>
        <w:rPr>
          <w:rFonts w:ascii="Times New Roman" w:hAnsi="Times New Roman"/>
          <w:noProof/>
          <w:sz w:val="24"/>
          <w:szCs w:val="24"/>
        </w:rPr>
        <w:pict>
          <v:rect id="_x0000_s1262" style="position:absolute;left:0;text-align:left;margin-left:310.2pt;margin-top:7.2pt;width:57pt;height:38.25pt;z-index:251652608">
            <v:textbox>
              <w:txbxContent>
                <w:p w:rsidR="00767127" w:rsidRPr="00BB24DB" w:rsidRDefault="00767127">
                  <w:pPr>
                    <w:rPr>
                      <w:sz w:val="16"/>
                      <w:szCs w:val="16"/>
                      <w:lang w:val="sr-Cyrl-CS"/>
                    </w:rPr>
                  </w:pPr>
                  <w:r>
                    <w:rPr>
                      <w:b/>
                      <w:sz w:val="16"/>
                      <w:szCs w:val="16"/>
                      <w:lang w:val="sr-Cyrl-CS"/>
                    </w:rPr>
                    <w:t xml:space="preserve">Неусклађе-ност прихода </w:t>
                  </w:r>
                  <w:r>
                    <w:rPr>
                      <w:sz w:val="16"/>
                      <w:szCs w:val="16"/>
                      <w:lang w:val="sr-Cyrl-CS"/>
                    </w:rPr>
                    <w:t xml:space="preserve"> расхода</w:t>
                  </w:r>
                </w:p>
              </w:txbxContent>
            </v:textbox>
          </v:rect>
        </w:pict>
      </w:r>
      <w:r>
        <w:rPr>
          <w:rFonts w:ascii="Times New Roman" w:hAnsi="Times New Roman"/>
          <w:noProof/>
          <w:sz w:val="24"/>
          <w:szCs w:val="24"/>
        </w:rPr>
        <w:pict>
          <v:rect id="_x0000_s1257" style="position:absolute;left:0;text-align:left;margin-left:-4.8pt;margin-top:7.2pt;width:60.75pt;height:43.5pt;z-index:251647488">
            <v:textbox>
              <w:txbxContent>
                <w:p w:rsidR="00767127" w:rsidRPr="0045075F" w:rsidRDefault="00767127">
                  <w:pPr>
                    <w:rPr>
                      <w:b/>
                      <w:lang w:val="sr-Cyrl-CS"/>
                    </w:rPr>
                  </w:pPr>
                  <w:r w:rsidRPr="0045075F">
                    <w:rPr>
                      <w:b/>
                      <w:lang w:val="sr-Cyrl-CS"/>
                    </w:rPr>
                    <w:t>Фктивни приходи</w:t>
                  </w:r>
                </w:p>
              </w:txbxContent>
            </v:textbox>
          </v:rect>
        </w:pict>
      </w:r>
      <w:r>
        <w:rPr>
          <w:rFonts w:ascii="Times New Roman" w:hAnsi="Times New Roman"/>
          <w:noProof/>
          <w:sz w:val="24"/>
          <w:szCs w:val="24"/>
        </w:rPr>
        <w:pict>
          <v:rect id="_x0000_s1263" style="position:absolute;left:0;text-align:left;margin-left:372.45pt;margin-top:7.2pt;width:63pt;height:38.25pt;z-index:251653632">
            <v:textbox>
              <w:txbxContent>
                <w:p w:rsidR="00767127" w:rsidRPr="0045075F" w:rsidRDefault="00767127">
                  <w:pPr>
                    <w:rPr>
                      <w:b/>
                      <w:sz w:val="16"/>
                      <w:szCs w:val="16"/>
                      <w:lang w:val="sr-Cyrl-CS"/>
                    </w:rPr>
                  </w:pPr>
                  <w:r w:rsidRPr="0045075F">
                    <w:rPr>
                      <w:b/>
                      <w:sz w:val="16"/>
                      <w:szCs w:val="16"/>
                      <w:lang w:val="sr-Cyrl-CS"/>
                    </w:rPr>
                    <w:t>Прикривање потраживања и прихода</w:t>
                  </w:r>
                </w:p>
              </w:txbxContent>
            </v:textbox>
          </v:rect>
        </w:pict>
      </w:r>
      <w:r>
        <w:rPr>
          <w:rFonts w:ascii="Times New Roman" w:hAnsi="Times New Roman"/>
          <w:noProof/>
          <w:sz w:val="24"/>
          <w:szCs w:val="24"/>
        </w:rPr>
        <w:pict>
          <v:rect id="_x0000_s1261" style="position:absolute;left:0;text-align:left;margin-left:257.7pt;margin-top:7.2pt;width:45.75pt;height:38.25pt;z-index:251651584">
            <v:textbox>
              <w:txbxContent>
                <w:p w:rsidR="00767127" w:rsidRPr="0045075F" w:rsidRDefault="00767127">
                  <w:pPr>
                    <w:rPr>
                      <w:b/>
                      <w:sz w:val="16"/>
                      <w:szCs w:val="16"/>
                      <w:lang w:val="sr-Cyrl-CS"/>
                    </w:rPr>
                  </w:pPr>
                  <w:r w:rsidRPr="0045075F">
                    <w:rPr>
                      <w:b/>
                      <w:sz w:val="16"/>
                      <w:szCs w:val="16"/>
                      <w:lang w:val="sr-Cyrl-CS"/>
                    </w:rPr>
                    <w:t>Фикти-вни расходи</w:t>
                  </w:r>
                </w:p>
              </w:txbxContent>
            </v:textbox>
          </v:rect>
        </w:pict>
      </w:r>
      <w:r>
        <w:rPr>
          <w:rFonts w:ascii="Times New Roman" w:hAnsi="Times New Roman"/>
          <w:noProof/>
          <w:sz w:val="24"/>
          <w:szCs w:val="24"/>
        </w:rPr>
        <w:pict>
          <v:rect id="_x0000_s1258" style="position:absolute;left:0;text-align:left;margin-left:64.95pt;margin-top:7.2pt;width:60pt;height:38.25pt;z-index:251648512">
            <v:textbox>
              <w:txbxContent>
                <w:p w:rsidR="00767127" w:rsidRPr="0045075F" w:rsidRDefault="00767127">
                  <w:pPr>
                    <w:rPr>
                      <w:b/>
                      <w:sz w:val="16"/>
                      <w:szCs w:val="16"/>
                      <w:lang w:val="sr-Cyrl-CS"/>
                    </w:rPr>
                  </w:pPr>
                  <w:r w:rsidRPr="0045075F">
                    <w:rPr>
                      <w:b/>
                      <w:sz w:val="16"/>
                      <w:szCs w:val="16"/>
                      <w:lang w:val="sr-Cyrl-CS"/>
                    </w:rPr>
                    <w:t>Неусклађе-ност обавеза и трошкова</w:t>
                  </w:r>
                </w:p>
              </w:txbxContent>
            </v:textbox>
          </v:rect>
        </w:pict>
      </w:r>
      <w:r>
        <w:rPr>
          <w:rFonts w:ascii="Times New Roman" w:hAnsi="Times New Roman"/>
          <w:noProof/>
          <w:sz w:val="24"/>
          <w:szCs w:val="24"/>
        </w:rPr>
        <w:pict>
          <v:rect id="_x0000_s1260" style="position:absolute;left:0;text-align:left;margin-left:207.45pt;margin-top:7.2pt;width:46.5pt;height:38.25pt;z-index:251650560">
            <v:textbox>
              <w:txbxContent>
                <w:p w:rsidR="00767127" w:rsidRPr="0045075F" w:rsidRDefault="00767127">
                  <w:pPr>
                    <w:rPr>
                      <w:b/>
                      <w:sz w:val="16"/>
                      <w:szCs w:val="16"/>
                      <w:lang w:val="sr-Cyrl-CS"/>
                    </w:rPr>
                  </w:pPr>
                  <w:r w:rsidRPr="0045075F">
                    <w:rPr>
                      <w:b/>
                      <w:sz w:val="16"/>
                      <w:szCs w:val="16"/>
                      <w:lang w:val="sr-Cyrl-CS"/>
                    </w:rPr>
                    <w:t>Преце-њивање имовине</w:t>
                  </w:r>
                </w:p>
              </w:txbxContent>
            </v:textbox>
          </v:rect>
        </w:pict>
      </w:r>
      <w:r>
        <w:rPr>
          <w:rFonts w:ascii="Times New Roman" w:hAnsi="Times New Roman"/>
          <w:noProof/>
          <w:sz w:val="24"/>
          <w:szCs w:val="24"/>
        </w:rPr>
        <w:pict>
          <v:rect id="_x0000_s1259" style="position:absolute;left:0;text-align:left;margin-left:138.45pt;margin-top:7.2pt;width:65.25pt;height:38.25pt;z-index:251649536">
            <v:textbox>
              <w:txbxContent>
                <w:p w:rsidR="00767127" w:rsidRPr="0045075F" w:rsidRDefault="00767127">
                  <w:pPr>
                    <w:rPr>
                      <w:b/>
                      <w:sz w:val="16"/>
                      <w:szCs w:val="16"/>
                      <w:lang w:val="sr-Cyrl-CS"/>
                    </w:rPr>
                  </w:pPr>
                  <w:r w:rsidRPr="0045075F">
                    <w:rPr>
                      <w:b/>
                      <w:sz w:val="16"/>
                      <w:szCs w:val="16"/>
                      <w:lang w:val="sr-Cyrl-CS"/>
                    </w:rPr>
                    <w:t>Неусклађе-ност прихода и расхода</w:t>
                  </w:r>
                </w:p>
              </w:txbxContent>
            </v:textbox>
          </v:rect>
        </w:pict>
      </w:r>
      <w:r>
        <w:rPr>
          <w:rFonts w:ascii="Times New Roman" w:hAnsi="Times New Roman"/>
          <w:noProof/>
          <w:sz w:val="24"/>
          <w:szCs w:val="24"/>
        </w:rPr>
        <w:pict>
          <v:rect id="_x0000_s1264" style="position:absolute;left:0;text-align:left;margin-left:440.7pt;margin-top:7.2pt;width:54.75pt;height:38.25pt;z-index:251654656">
            <v:textbox>
              <w:txbxContent>
                <w:p w:rsidR="00767127" w:rsidRPr="0045075F" w:rsidRDefault="00767127">
                  <w:pPr>
                    <w:rPr>
                      <w:b/>
                      <w:sz w:val="16"/>
                      <w:szCs w:val="16"/>
                      <w:lang w:val="sr-Cyrl-CS"/>
                    </w:rPr>
                  </w:pPr>
                  <w:r w:rsidRPr="0045075F">
                    <w:rPr>
                      <w:b/>
                      <w:sz w:val="16"/>
                      <w:szCs w:val="16"/>
                      <w:lang w:val="sr-Cyrl-CS"/>
                    </w:rPr>
                    <w:t>Потцењи-вање имовине</w:t>
                  </w:r>
                </w:p>
              </w:txbxContent>
            </v:textbox>
          </v:rect>
        </w:pict>
      </w:r>
    </w:p>
    <w:p w:rsidR="001C1771" w:rsidRDefault="00616181" w:rsidP="001C1771">
      <w:pPr>
        <w:ind w:left="720"/>
        <w:jc w:val="both"/>
        <w:rPr>
          <w:rFonts w:ascii="Times New Roman" w:hAnsi="Times New Roman"/>
          <w:sz w:val="24"/>
          <w:szCs w:val="24"/>
          <w:lang w:val="sr-Cyrl-CS"/>
        </w:rPr>
      </w:pPr>
      <w:r>
        <w:rPr>
          <w:rFonts w:ascii="Times New Roman" w:hAnsi="Times New Roman"/>
          <w:noProof/>
          <w:sz w:val="24"/>
          <w:szCs w:val="24"/>
        </w:rPr>
        <w:pict>
          <v:shape id="_x0000_s1269" type="#_x0000_t32" style="position:absolute;left:0;text-align:left;margin-left:466.95pt;margin-top:19.6pt;width:0;height:36.75pt;z-index:251659776" o:connectortype="straight"/>
        </w:pict>
      </w:r>
      <w:r>
        <w:rPr>
          <w:rFonts w:ascii="Times New Roman" w:hAnsi="Times New Roman"/>
          <w:noProof/>
          <w:sz w:val="24"/>
          <w:szCs w:val="24"/>
        </w:rPr>
        <w:pict>
          <v:shape id="_x0000_s1265" type="#_x0000_t32" style="position:absolute;left:0;text-align:left;margin-left:229.95pt;margin-top:19.6pt;width:.75pt;height:76.5pt;z-index:251655680" o:connectortype="straight"/>
        </w:pict>
      </w:r>
    </w:p>
    <w:p w:rsidR="001C1771" w:rsidRDefault="001C1771" w:rsidP="001C1771">
      <w:pPr>
        <w:ind w:left="720"/>
        <w:jc w:val="both"/>
        <w:rPr>
          <w:rFonts w:ascii="Times New Roman" w:hAnsi="Times New Roman"/>
          <w:sz w:val="24"/>
          <w:szCs w:val="24"/>
          <w:lang w:val="sr-Cyrl-CS"/>
        </w:rPr>
      </w:pPr>
      <w:r>
        <w:rPr>
          <w:rFonts w:ascii="Times New Roman" w:hAnsi="Times New Roman"/>
          <w:sz w:val="24"/>
          <w:szCs w:val="24"/>
          <w:lang w:val="sr-Cyrl-CS"/>
        </w:rPr>
        <w:t xml:space="preserve">                                    </w:t>
      </w:r>
    </w:p>
    <w:p w:rsidR="001C1771" w:rsidRDefault="00616181" w:rsidP="001C1771">
      <w:pPr>
        <w:ind w:left="720"/>
        <w:jc w:val="both"/>
        <w:rPr>
          <w:rFonts w:ascii="Times New Roman" w:hAnsi="Times New Roman"/>
          <w:sz w:val="24"/>
          <w:szCs w:val="24"/>
          <w:lang w:val="sr-Cyrl-CS"/>
        </w:rPr>
      </w:pPr>
      <w:r>
        <w:rPr>
          <w:rFonts w:ascii="Times New Roman" w:hAnsi="Times New Roman"/>
          <w:noProof/>
          <w:sz w:val="24"/>
          <w:szCs w:val="24"/>
        </w:rPr>
        <w:pict>
          <v:shape id="_x0000_s1273" type="#_x0000_t32" style="position:absolute;left:0;text-align:left;margin-left:466.95pt;margin-top:8.35pt;width:0;height:30.75pt;z-index:251663872" o:connectortype="straight"/>
        </w:pict>
      </w:r>
      <w:r>
        <w:rPr>
          <w:rFonts w:ascii="Times New Roman" w:hAnsi="Times New Roman"/>
          <w:noProof/>
          <w:sz w:val="24"/>
          <w:szCs w:val="24"/>
        </w:rPr>
        <w:pict>
          <v:shape id="_x0000_s1272" type="#_x0000_t32" style="position:absolute;left:0;text-align:left;margin-left:362.7pt;margin-top:4.6pt;width:0;height:34.5pt;z-index:251662848" o:connectortype="straight"/>
        </w:pict>
      </w:r>
      <w:r>
        <w:rPr>
          <w:rFonts w:ascii="Times New Roman" w:hAnsi="Times New Roman"/>
          <w:noProof/>
          <w:sz w:val="24"/>
          <w:szCs w:val="24"/>
        </w:rPr>
        <w:pict>
          <v:shape id="_x0000_s1271" type="#_x0000_t32" style="position:absolute;left:0;text-align:left;margin-left:310.2pt;margin-top:4.6pt;width:0;height:34.5pt;z-index:251661824" o:connectortype="straight"/>
        </w:pict>
      </w:r>
      <w:r>
        <w:rPr>
          <w:rFonts w:ascii="Times New Roman" w:hAnsi="Times New Roman"/>
          <w:noProof/>
          <w:sz w:val="24"/>
          <w:szCs w:val="24"/>
        </w:rPr>
        <w:pict>
          <v:shape id="_x0000_s1270" type="#_x0000_t32" style="position:absolute;left:0;text-align:left;margin-left:310.2pt;margin-top:4.6pt;width:156.75pt;height:0;flip:x;z-index:251660800" o:connectortype="straight"/>
        </w:pict>
      </w:r>
      <w:r>
        <w:rPr>
          <w:rFonts w:ascii="Times New Roman" w:hAnsi="Times New Roman"/>
          <w:noProof/>
          <w:sz w:val="24"/>
          <w:szCs w:val="24"/>
        </w:rPr>
        <w:pict>
          <v:shape id="_x0000_s1268" type="#_x0000_t32" style="position:absolute;left:0;text-align:left;margin-left:138.45pt;margin-top:8.35pt;width:0;height:36pt;z-index:251658752" o:connectortype="straight"/>
        </w:pict>
      </w:r>
      <w:r>
        <w:rPr>
          <w:rFonts w:ascii="Times New Roman" w:hAnsi="Times New Roman"/>
          <w:noProof/>
          <w:sz w:val="24"/>
          <w:szCs w:val="24"/>
        </w:rPr>
        <w:pict>
          <v:shape id="_x0000_s1267" type="#_x0000_t32" style="position:absolute;left:0;text-align:left;margin-left:77.7pt;margin-top:9.1pt;width:0;height:35.25pt;z-index:251657728" o:connectortype="straight"/>
        </w:pict>
      </w:r>
      <w:r>
        <w:rPr>
          <w:rFonts w:ascii="Times New Roman" w:hAnsi="Times New Roman"/>
          <w:noProof/>
          <w:sz w:val="24"/>
          <w:szCs w:val="24"/>
        </w:rPr>
        <w:pict>
          <v:shape id="_x0000_s1266" type="#_x0000_t32" style="position:absolute;left:0;text-align:left;margin-left:77.7pt;margin-top:8.35pt;width:152.25pt;height:.75pt;flip:x y;z-index:251656704" o:connectortype="straight"/>
        </w:pict>
      </w:r>
    </w:p>
    <w:p w:rsidR="001C1771" w:rsidRDefault="00616181" w:rsidP="001C1771">
      <w:pPr>
        <w:ind w:left="720"/>
        <w:jc w:val="both"/>
        <w:rPr>
          <w:rFonts w:ascii="Times New Roman" w:hAnsi="Times New Roman"/>
          <w:sz w:val="24"/>
          <w:szCs w:val="24"/>
          <w:lang w:val="sr-Cyrl-CS"/>
        </w:rPr>
      </w:pPr>
      <w:r>
        <w:rPr>
          <w:rFonts w:ascii="Times New Roman" w:hAnsi="Times New Roman"/>
          <w:noProof/>
          <w:sz w:val="24"/>
          <w:szCs w:val="24"/>
        </w:rPr>
        <w:pict>
          <v:rect id="_x0000_s1279" style="position:absolute;left:0;text-align:left;margin-left:440.7pt;margin-top:23pt;width:54.75pt;height:42.75pt;z-index:251670016">
            <v:textbox>
              <w:txbxContent>
                <w:p w:rsidR="00767127" w:rsidRPr="00DF5376" w:rsidRDefault="00767127">
                  <w:pPr>
                    <w:rPr>
                      <w:b/>
                      <w:lang w:val="sr-Cyrl-CS"/>
                    </w:rPr>
                  </w:pPr>
                  <w:r w:rsidRPr="00DF5376">
                    <w:rPr>
                      <w:b/>
                      <w:lang w:val="sr-Cyrl-CS"/>
                    </w:rPr>
                    <w:t>Потра-живања</w:t>
                  </w:r>
                </w:p>
              </w:txbxContent>
            </v:textbox>
          </v:rect>
        </w:pict>
      </w:r>
      <w:r>
        <w:rPr>
          <w:rFonts w:ascii="Times New Roman" w:hAnsi="Times New Roman"/>
          <w:noProof/>
          <w:sz w:val="24"/>
          <w:szCs w:val="24"/>
        </w:rPr>
        <w:pict>
          <v:rect id="_x0000_s1278" style="position:absolute;left:0;text-align:left;margin-left:362.7pt;margin-top:23pt;width:60pt;height:42.75pt;z-index:251668992">
            <v:textbox>
              <w:txbxContent>
                <w:p w:rsidR="00767127" w:rsidRPr="00DF5376" w:rsidRDefault="00767127">
                  <w:pPr>
                    <w:rPr>
                      <w:b/>
                      <w:lang w:val="sr-Cyrl-CS"/>
                    </w:rPr>
                  </w:pPr>
                  <w:r w:rsidRPr="00DF5376">
                    <w:rPr>
                      <w:b/>
                      <w:lang w:val="sr-Cyrl-CS"/>
                    </w:rPr>
                    <w:t>залиха</w:t>
                  </w:r>
                </w:p>
              </w:txbxContent>
            </v:textbox>
          </v:rect>
        </w:pict>
      </w:r>
      <w:r>
        <w:rPr>
          <w:rFonts w:ascii="Times New Roman" w:hAnsi="Times New Roman"/>
          <w:noProof/>
          <w:sz w:val="24"/>
          <w:szCs w:val="24"/>
        </w:rPr>
        <w:pict>
          <v:rect id="_x0000_s1277" style="position:absolute;left:0;text-align:left;margin-left:295.95pt;margin-top:23pt;width:50.25pt;height:42.75pt;z-index:251667968">
            <v:textbox>
              <w:txbxContent>
                <w:p w:rsidR="00767127" w:rsidRPr="00DF5376" w:rsidRDefault="00767127">
                  <w:pPr>
                    <w:rPr>
                      <w:b/>
                      <w:sz w:val="16"/>
                      <w:szCs w:val="16"/>
                      <w:lang w:val="sr-Cyrl-CS"/>
                    </w:rPr>
                  </w:pPr>
                  <w:r w:rsidRPr="00DF5376">
                    <w:rPr>
                      <w:b/>
                      <w:sz w:val="16"/>
                      <w:szCs w:val="16"/>
                      <w:lang w:val="sr-Cyrl-CS"/>
                    </w:rPr>
                    <w:t>Основних средстава</w:t>
                  </w:r>
                </w:p>
              </w:txbxContent>
            </v:textbox>
          </v:rect>
        </w:pict>
      </w:r>
      <w:r>
        <w:rPr>
          <w:rFonts w:ascii="Times New Roman" w:hAnsi="Times New Roman"/>
          <w:noProof/>
          <w:sz w:val="24"/>
          <w:szCs w:val="24"/>
        </w:rPr>
        <w:pict>
          <v:rect id="_x0000_s1276" style="position:absolute;left:0;text-align:left;margin-left:203.7pt;margin-top:23pt;width:71.25pt;height:42.75pt;z-index:251666944">
            <v:textbox>
              <w:txbxContent>
                <w:p w:rsidR="00767127" w:rsidRPr="00DF5376" w:rsidRDefault="00767127">
                  <w:pPr>
                    <w:rPr>
                      <w:b/>
                      <w:lang w:val="sr-Cyrl-CS"/>
                    </w:rPr>
                  </w:pPr>
                  <w:r w:rsidRPr="00DF5376">
                    <w:rPr>
                      <w:b/>
                      <w:lang w:val="sr-Cyrl-CS"/>
                    </w:rPr>
                    <w:t>Потражи-вања</w:t>
                  </w:r>
                </w:p>
              </w:txbxContent>
            </v:textbox>
          </v:rect>
        </w:pict>
      </w:r>
      <w:r>
        <w:rPr>
          <w:rFonts w:ascii="Times New Roman" w:hAnsi="Times New Roman"/>
          <w:noProof/>
          <w:sz w:val="24"/>
          <w:szCs w:val="24"/>
        </w:rPr>
        <w:pict>
          <v:rect id="_x0000_s1275" style="position:absolute;left:0;text-align:left;margin-left:115.2pt;margin-top:23pt;width:71.25pt;height:42.75pt;z-index:251665920">
            <v:textbox>
              <w:txbxContent>
                <w:p w:rsidR="00767127" w:rsidRPr="00DF5376" w:rsidRDefault="00767127">
                  <w:pPr>
                    <w:rPr>
                      <w:b/>
                      <w:lang w:val="sr-Cyrl-CS"/>
                    </w:rPr>
                  </w:pPr>
                  <w:r w:rsidRPr="00DF5376">
                    <w:rPr>
                      <w:b/>
                      <w:lang w:val="sr-Cyrl-CS"/>
                    </w:rPr>
                    <w:t>залиха</w:t>
                  </w:r>
                </w:p>
              </w:txbxContent>
            </v:textbox>
          </v:rect>
        </w:pict>
      </w:r>
      <w:r w:rsidRPr="00616181">
        <w:rPr>
          <w:rFonts w:ascii="Times New Roman" w:hAnsi="Times New Roman"/>
          <w:noProof/>
          <w:sz w:val="16"/>
          <w:szCs w:val="16"/>
        </w:rPr>
        <w:pict>
          <v:rect id="_x0000_s1274" style="position:absolute;left:0;text-align:left;margin-left:28.2pt;margin-top:23pt;width:71.25pt;height:42.75pt;z-index:251664896">
            <v:textbox>
              <w:txbxContent>
                <w:p w:rsidR="00767127" w:rsidRPr="00DF5376" w:rsidRDefault="00767127">
                  <w:pPr>
                    <w:rPr>
                      <w:b/>
                      <w:lang w:val="sr-Cyrl-CS"/>
                    </w:rPr>
                  </w:pPr>
                  <w:r w:rsidRPr="00DF5376">
                    <w:rPr>
                      <w:b/>
                      <w:lang w:val="sr-Cyrl-CS"/>
                    </w:rPr>
                    <w:t>Основних средстава</w:t>
                  </w:r>
                </w:p>
              </w:txbxContent>
            </v:textbox>
          </v:rect>
        </w:pict>
      </w:r>
    </w:p>
    <w:p w:rsidR="001C1771" w:rsidRDefault="001C1771" w:rsidP="001C1771">
      <w:pPr>
        <w:ind w:left="720"/>
        <w:jc w:val="both"/>
        <w:rPr>
          <w:rFonts w:ascii="Times New Roman" w:hAnsi="Times New Roman"/>
          <w:sz w:val="24"/>
          <w:szCs w:val="24"/>
          <w:lang w:val="sr-Cyrl-CS"/>
        </w:rPr>
      </w:pPr>
    </w:p>
    <w:p w:rsidR="00B2410F" w:rsidRDefault="00B2410F" w:rsidP="001C1771">
      <w:pPr>
        <w:ind w:left="720"/>
        <w:jc w:val="both"/>
        <w:rPr>
          <w:rFonts w:ascii="Times New Roman" w:hAnsi="Times New Roman"/>
          <w:sz w:val="24"/>
          <w:szCs w:val="24"/>
          <w:lang w:val="sr-Cyrl-CS"/>
        </w:rPr>
      </w:pPr>
    </w:p>
    <w:p w:rsidR="00B2410F" w:rsidRDefault="00B2410F" w:rsidP="001C1771">
      <w:pPr>
        <w:ind w:left="720"/>
        <w:jc w:val="both"/>
        <w:rPr>
          <w:rFonts w:ascii="Times New Roman" w:hAnsi="Times New Roman"/>
          <w:sz w:val="24"/>
          <w:szCs w:val="24"/>
          <w:lang w:val="sr-Cyrl-CS"/>
        </w:rPr>
      </w:pPr>
    </w:p>
    <w:p w:rsidR="00DF5376" w:rsidRDefault="00714B13" w:rsidP="00B2410F">
      <w:pPr>
        <w:ind w:firstLine="630"/>
        <w:jc w:val="both"/>
        <w:rPr>
          <w:rFonts w:ascii="Times New Roman" w:hAnsi="Times New Roman"/>
          <w:sz w:val="24"/>
          <w:szCs w:val="24"/>
          <w:lang w:val="sr-Cyrl-CS"/>
        </w:rPr>
      </w:pPr>
      <w:r>
        <w:rPr>
          <w:rFonts w:ascii="Times New Roman" w:hAnsi="Times New Roman"/>
          <w:sz w:val="24"/>
          <w:szCs w:val="24"/>
          <w:lang w:val="sr-Cyrl-CS"/>
        </w:rPr>
        <w:lastRenderedPageBreak/>
        <w:t>Како би се прик</w:t>
      </w:r>
      <w:r w:rsidR="00B2410F">
        <w:rPr>
          <w:rFonts w:ascii="Times New Roman" w:hAnsi="Times New Roman"/>
          <w:sz w:val="24"/>
          <w:szCs w:val="24"/>
          <w:lang w:val="sr-Cyrl-CS"/>
        </w:rPr>
        <w:t xml:space="preserve">рило лажно финансијко извештавање често се користе услуге тзв. фантомских фирми. </w:t>
      </w:r>
      <w:r w:rsidR="0046364E">
        <w:rPr>
          <w:rFonts w:ascii="Times New Roman" w:hAnsi="Times New Roman"/>
          <w:sz w:val="24"/>
          <w:szCs w:val="24"/>
          <w:lang w:val="sr-Cyrl-CS"/>
        </w:rPr>
        <w:t>Овакве фирме представљају посебан проблем у пореском систему. Оне врше веома комплексну противзакониту делатност која обухвата више кривичних дела привредног криминалитета, али и друга кривична дела. То су правна лица са фиктивним седиштем, која су основана са намером прибављања противпра</w:t>
      </w:r>
      <w:r w:rsidR="002F7E86">
        <w:rPr>
          <w:rFonts w:ascii="Times New Roman" w:hAnsi="Times New Roman"/>
          <w:sz w:val="24"/>
          <w:szCs w:val="24"/>
          <w:lang w:val="sr-Cyrl-CS"/>
        </w:rPr>
        <w:t>в</w:t>
      </w:r>
      <w:r w:rsidR="0046364E">
        <w:rPr>
          <w:rFonts w:ascii="Times New Roman" w:hAnsi="Times New Roman"/>
          <w:sz w:val="24"/>
          <w:szCs w:val="24"/>
          <w:lang w:val="sr-Cyrl-CS"/>
        </w:rPr>
        <w:t xml:space="preserve">не имовинске користи. </w:t>
      </w:r>
      <w:r w:rsidR="00D75435">
        <w:rPr>
          <w:rFonts w:ascii="Times New Roman" w:hAnsi="Times New Roman"/>
          <w:sz w:val="24"/>
          <w:szCs w:val="24"/>
          <w:lang w:val="sr-Cyrl-CS"/>
        </w:rPr>
        <w:t xml:space="preserve">„Послују“ веома кратко, користе савремена електронска достигнућа и лица која иза њих стоје или лица чије услуге користе поседују висока професионална знања, која на овај начин злоупотребљавају. </w:t>
      </w:r>
      <w:r w:rsidR="0046364E">
        <w:rPr>
          <w:rFonts w:ascii="Times New Roman" w:hAnsi="Times New Roman"/>
          <w:sz w:val="24"/>
          <w:szCs w:val="24"/>
          <w:lang w:val="sr-Cyrl-CS"/>
        </w:rPr>
        <w:t>Региструју се на основу украдених личних карти, на преминула лица или се пак измишља идентитет власника. Често се украдене личне карте фалсификују тако што се врши замена слике. Могуће је и да се изврши куповина већ регистрованог правног лица али се не изврши измена одговорног лица, при чему се може чак закључити уговор о куповини тако да све изгледа легално. Међутим, постоје у пракси и случајеви кад</w:t>
      </w:r>
      <w:r>
        <w:rPr>
          <w:rFonts w:ascii="Times New Roman" w:hAnsi="Times New Roman"/>
          <w:sz w:val="24"/>
          <w:szCs w:val="24"/>
          <w:lang w:val="sr-Cyrl-CS"/>
        </w:rPr>
        <w:t>а се ангажују</w:t>
      </w:r>
      <w:r w:rsidR="00765C88">
        <w:rPr>
          <w:rFonts w:ascii="Times New Roman" w:hAnsi="Times New Roman"/>
          <w:sz w:val="24"/>
          <w:szCs w:val="24"/>
        </w:rPr>
        <w:t>,</w:t>
      </w:r>
      <w:r>
        <w:rPr>
          <w:rFonts w:ascii="Times New Roman" w:hAnsi="Times New Roman"/>
          <w:sz w:val="24"/>
          <w:szCs w:val="24"/>
          <w:lang w:val="sr-Cyrl-CS"/>
        </w:rPr>
        <w:t xml:space="preserve"> на пример</w:t>
      </w:r>
      <w:r w:rsidR="00765C88">
        <w:rPr>
          <w:rFonts w:ascii="Times New Roman" w:hAnsi="Times New Roman"/>
          <w:sz w:val="24"/>
          <w:szCs w:val="24"/>
        </w:rPr>
        <w:t>,</w:t>
      </w:r>
      <w:r>
        <w:rPr>
          <w:rFonts w:ascii="Times New Roman" w:hAnsi="Times New Roman"/>
          <w:sz w:val="24"/>
          <w:szCs w:val="24"/>
          <w:lang w:val="sr-Cyrl-CS"/>
        </w:rPr>
        <w:t xml:space="preserve"> незапосл</w:t>
      </w:r>
      <w:r w:rsidR="0046364E">
        <w:rPr>
          <w:rFonts w:ascii="Times New Roman" w:hAnsi="Times New Roman"/>
          <w:sz w:val="24"/>
          <w:szCs w:val="24"/>
          <w:lang w:val="sr-Cyrl-CS"/>
        </w:rPr>
        <w:t>ена лица уз новчану надокнаду да врше само формално улогу одговорног лиц</w:t>
      </w:r>
      <w:r w:rsidR="00082783">
        <w:rPr>
          <w:rFonts w:ascii="Times New Roman" w:hAnsi="Times New Roman"/>
          <w:sz w:val="24"/>
          <w:szCs w:val="24"/>
          <w:lang w:val="sr-Cyrl-CS"/>
        </w:rPr>
        <w:t>а у фантомском предузећу, а која</w:t>
      </w:r>
      <w:r w:rsidR="0046364E">
        <w:rPr>
          <w:rFonts w:ascii="Times New Roman" w:hAnsi="Times New Roman"/>
          <w:sz w:val="24"/>
          <w:szCs w:val="24"/>
          <w:lang w:val="sr-Cyrl-CS"/>
        </w:rPr>
        <w:t xml:space="preserve"> при том нема</w:t>
      </w:r>
      <w:r w:rsidR="00082783">
        <w:rPr>
          <w:rFonts w:ascii="Times New Roman" w:hAnsi="Times New Roman"/>
          <w:sz w:val="24"/>
          <w:szCs w:val="24"/>
          <w:lang w:val="sr-Cyrl-CS"/>
        </w:rPr>
        <w:t>ју</w:t>
      </w:r>
      <w:r w:rsidR="0046364E">
        <w:rPr>
          <w:rFonts w:ascii="Times New Roman" w:hAnsi="Times New Roman"/>
          <w:sz w:val="24"/>
          <w:szCs w:val="24"/>
          <w:lang w:val="sr-Cyrl-CS"/>
        </w:rPr>
        <w:t xml:space="preserve"> никаве стварне везе са његовим пословањем.</w:t>
      </w:r>
      <w:r>
        <w:rPr>
          <w:rFonts w:ascii="Times New Roman" w:hAnsi="Times New Roman"/>
          <w:sz w:val="24"/>
          <w:szCs w:val="24"/>
          <w:lang w:val="sr-Cyrl-CS"/>
        </w:rPr>
        <w:t xml:space="preserve"> </w:t>
      </w:r>
    </w:p>
    <w:p w:rsidR="001C1771" w:rsidRDefault="0046364E" w:rsidP="00B2410F">
      <w:pPr>
        <w:ind w:firstLine="630"/>
        <w:jc w:val="both"/>
        <w:rPr>
          <w:rFonts w:ascii="Times New Roman" w:hAnsi="Times New Roman"/>
          <w:sz w:val="24"/>
          <w:szCs w:val="24"/>
          <w:lang w:val="sr-Cyrl-CS"/>
        </w:rPr>
      </w:pPr>
      <w:r>
        <w:rPr>
          <w:rFonts w:ascii="Times New Roman" w:hAnsi="Times New Roman"/>
          <w:sz w:val="24"/>
          <w:szCs w:val="24"/>
          <w:lang w:val="sr-Cyrl-CS"/>
        </w:rPr>
        <w:t xml:space="preserve">Такве фирме не воде књиговодство, нити плаћају и обрачунавају порез. Послују одређено време, а онда нестају без трага. У овакве регистрације често су умешани ангажовани адвокати који чак за истог власника организују читаву мрежу фантомских предузећа, уз одговарајуће новчане надокнаде. Ради прикривања овако нелегалних делатности често се користи корупција </w:t>
      </w:r>
      <w:r w:rsidR="00D75435">
        <w:rPr>
          <w:rFonts w:ascii="Times New Roman" w:hAnsi="Times New Roman"/>
          <w:sz w:val="24"/>
          <w:szCs w:val="24"/>
          <w:lang w:val="sr-Cyrl-CS"/>
        </w:rPr>
        <w:t>како би органи контроле сачињавали неистините записнике и друга акта да се наводно ради о легалној делатности, посебно у случајевима када оваква предузећа изнајме пословни простор у коме послују, изнајме књиговођу да им води пословне књиге и предузму све друге активности уз фалсификовање документације како би створили привид легалности, иако се такво пословање не врши, а чак плаћају и део пореских обавеза. У вршење коруптивних активности се могу укључити и субјекти који врше регистрацију оваквих правних лица и омог</w:t>
      </w:r>
      <w:r w:rsidR="00DF5376">
        <w:rPr>
          <w:rFonts w:ascii="Times New Roman" w:hAnsi="Times New Roman"/>
          <w:sz w:val="24"/>
          <w:szCs w:val="24"/>
          <w:lang w:val="sr-Cyrl-CS"/>
        </w:rPr>
        <w:t>у</w:t>
      </w:r>
      <w:r w:rsidR="00D75435">
        <w:rPr>
          <w:rFonts w:ascii="Times New Roman" w:hAnsi="Times New Roman"/>
          <w:sz w:val="24"/>
          <w:szCs w:val="24"/>
          <w:lang w:val="sr-Cyrl-CS"/>
        </w:rPr>
        <w:t>ћују услов</w:t>
      </w:r>
      <w:r w:rsidR="00714B13">
        <w:rPr>
          <w:rFonts w:ascii="Times New Roman" w:hAnsi="Times New Roman"/>
          <w:sz w:val="24"/>
          <w:szCs w:val="24"/>
          <w:lang w:val="sr-Cyrl-CS"/>
        </w:rPr>
        <w:t>е за њихово пословање</w:t>
      </w:r>
      <w:r w:rsidR="00D75435">
        <w:rPr>
          <w:rFonts w:ascii="Times New Roman" w:hAnsi="Times New Roman"/>
          <w:sz w:val="24"/>
          <w:szCs w:val="24"/>
          <w:lang w:val="sr-Cyrl-CS"/>
        </w:rPr>
        <w:t>.</w:t>
      </w:r>
      <w:r w:rsidR="00DF5376">
        <w:rPr>
          <w:rFonts w:ascii="Times New Roman" w:hAnsi="Times New Roman"/>
          <w:sz w:val="24"/>
          <w:szCs w:val="24"/>
          <w:lang w:val="sr-Cyrl-CS"/>
        </w:rPr>
        <w:t xml:space="preserve"> </w:t>
      </w:r>
    </w:p>
    <w:p w:rsidR="00D75435" w:rsidRPr="00B2410F" w:rsidRDefault="00714B13" w:rsidP="00B2410F">
      <w:pPr>
        <w:ind w:firstLine="630"/>
        <w:jc w:val="both"/>
        <w:rPr>
          <w:rFonts w:ascii="Times New Roman" w:hAnsi="Times New Roman"/>
          <w:sz w:val="24"/>
          <w:szCs w:val="24"/>
          <w:lang w:val="sr-Cyrl-CS"/>
        </w:rPr>
      </w:pPr>
      <w:r>
        <w:rPr>
          <w:rFonts w:ascii="Times New Roman" w:hAnsi="Times New Roman"/>
          <w:sz w:val="24"/>
          <w:szCs w:val="24"/>
          <w:lang w:val="sr-Cyrl-CS"/>
        </w:rPr>
        <w:t>Оваква предузећа омогућавају в</w:t>
      </w:r>
      <w:r w:rsidR="00D75435">
        <w:rPr>
          <w:rFonts w:ascii="Times New Roman" w:hAnsi="Times New Roman"/>
          <w:sz w:val="24"/>
          <w:szCs w:val="24"/>
          <w:lang w:val="sr-Cyrl-CS"/>
        </w:rPr>
        <w:t>ласницима легалних предузећа да путем фалсификоване документације коју издају створе привид легалних трансакција и оправдају лажне финансијске извештаје</w:t>
      </w:r>
      <w:r>
        <w:rPr>
          <w:rFonts w:ascii="Times New Roman" w:hAnsi="Times New Roman"/>
          <w:sz w:val="24"/>
          <w:szCs w:val="24"/>
          <w:lang w:val="sr-Cyrl-CS"/>
        </w:rPr>
        <w:t>, а све у циљу избегавања плаћања пореза</w:t>
      </w:r>
      <w:r w:rsidR="00D75435">
        <w:rPr>
          <w:rFonts w:ascii="Times New Roman" w:hAnsi="Times New Roman"/>
          <w:sz w:val="24"/>
          <w:szCs w:val="24"/>
          <w:lang w:val="sr-Cyrl-CS"/>
        </w:rPr>
        <w:t xml:space="preserve">. </w:t>
      </w:r>
    </w:p>
    <w:p w:rsidR="00BD7276" w:rsidRDefault="00BD7276" w:rsidP="001F4B89">
      <w:pPr>
        <w:jc w:val="both"/>
        <w:rPr>
          <w:rFonts w:ascii="Times New Roman" w:hAnsi="Times New Roman"/>
          <w:sz w:val="24"/>
          <w:szCs w:val="24"/>
          <w:lang w:val="sr-Cyrl-CS"/>
        </w:rPr>
      </w:pPr>
    </w:p>
    <w:p w:rsidR="00BD7276" w:rsidRDefault="007F157B" w:rsidP="007F157B">
      <w:pPr>
        <w:pStyle w:val="ListParagraph"/>
        <w:numPr>
          <w:ilvl w:val="1"/>
          <w:numId w:val="4"/>
        </w:numPr>
        <w:jc w:val="center"/>
        <w:rPr>
          <w:rFonts w:ascii="Times New Roman" w:hAnsi="Times New Roman"/>
          <w:b/>
          <w:sz w:val="24"/>
          <w:szCs w:val="24"/>
          <w:lang w:val="sr-Cyrl-CS"/>
        </w:rPr>
      </w:pPr>
      <w:r>
        <w:rPr>
          <w:rFonts w:ascii="Times New Roman" w:hAnsi="Times New Roman"/>
          <w:b/>
          <w:sz w:val="24"/>
          <w:szCs w:val="24"/>
          <w:lang w:val="sr-Cyrl-CS"/>
        </w:rPr>
        <w:t xml:space="preserve"> </w:t>
      </w:r>
      <w:r w:rsidRPr="007F157B">
        <w:rPr>
          <w:rFonts w:ascii="Times New Roman" w:hAnsi="Times New Roman"/>
          <w:b/>
          <w:sz w:val="24"/>
          <w:szCs w:val="24"/>
          <w:lang w:val="sr-Cyrl-CS"/>
        </w:rPr>
        <w:t>Јавне набавке</w:t>
      </w:r>
    </w:p>
    <w:p w:rsidR="001F4B89" w:rsidRDefault="001F4B89" w:rsidP="001F4B89">
      <w:pPr>
        <w:pStyle w:val="ListParagraph"/>
        <w:ind w:left="990"/>
        <w:rPr>
          <w:rFonts w:ascii="Times New Roman" w:hAnsi="Times New Roman"/>
          <w:b/>
          <w:sz w:val="24"/>
          <w:szCs w:val="24"/>
          <w:lang w:val="sr-Cyrl-CS"/>
        </w:rPr>
      </w:pPr>
    </w:p>
    <w:p w:rsidR="001F4B89" w:rsidRPr="007F157B" w:rsidRDefault="001F4B89" w:rsidP="001F4B89">
      <w:pPr>
        <w:pStyle w:val="ListParagraph"/>
        <w:ind w:left="990"/>
        <w:rPr>
          <w:rFonts w:ascii="Times New Roman" w:hAnsi="Times New Roman"/>
          <w:b/>
          <w:sz w:val="24"/>
          <w:szCs w:val="24"/>
          <w:lang w:val="sr-Cyrl-CS"/>
        </w:rPr>
      </w:pPr>
    </w:p>
    <w:p w:rsidR="002C78A0" w:rsidRDefault="00714B13" w:rsidP="00765C88">
      <w:pPr>
        <w:ind w:firstLine="630"/>
        <w:jc w:val="both"/>
        <w:rPr>
          <w:rFonts w:ascii="Times New Roman" w:hAnsi="Times New Roman"/>
          <w:sz w:val="24"/>
          <w:szCs w:val="24"/>
          <w:lang w:val="sr-Cyrl-CS"/>
        </w:rPr>
      </w:pPr>
      <w:r>
        <w:rPr>
          <w:rFonts w:ascii="Times New Roman" w:hAnsi="Times New Roman"/>
          <w:sz w:val="24"/>
          <w:szCs w:val="24"/>
          <w:lang w:val="sr-Cyrl-CS"/>
        </w:rPr>
        <w:t xml:space="preserve">Корупција је опасна појава и у области јавних набавки. </w:t>
      </w:r>
      <w:r w:rsidR="006C6D6F">
        <w:rPr>
          <w:rFonts w:ascii="Times New Roman" w:hAnsi="Times New Roman"/>
          <w:sz w:val="24"/>
          <w:szCs w:val="24"/>
          <w:lang w:val="sr-Cyrl-CS"/>
        </w:rPr>
        <w:t>У том домену је политичк</w:t>
      </w:r>
      <w:r w:rsidR="00DF5376">
        <w:rPr>
          <w:rFonts w:ascii="Times New Roman" w:hAnsi="Times New Roman"/>
          <w:sz w:val="24"/>
          <w:szCs w:val="24"/>
          <w:lang w:val="sr-Cyrl-CS"/>
        </w:rPr>
        <w:t>а кроупција најраспрострањенија,</w:t>
      </w:r>
      <w:r w:rsidR="006C6D6F">
        <w:rPr>
          <w:rFonts w:ascii="Times New Roman" w:hAnsi="Times New Roman"/>
          <w:sz w:val="24"/>
          <w:szCs w:val="24"/>
          <w:lang w:val="sr-Cyrl-CS"/>
        </w:rPr>
        <w:t xml:space="preserve"> </w:t>
      </w:r>
      <w:r w:rsidR="00765C88">
        <w:rPr>
          <w:rFonts w:ascii="Times New Roman" w:hAnsi="Times New Roman"/>
          <w:sz w:val="24"/>
          <w:szCs w:val="24"/>
        </w:rPr>
        <w:t>када</w:t>
      </w:r>
      <w:r>
        <w:rPr>
          <w:rFonts w:ascii="Times New Roman" w:hAnsi="Times New Roman"/>
          <w:sz w:val="24"/>
          <w:szCs w:val="24"/>
          <w:lang w:val="sr-Cyrl-CS"/>
        </w:rPr>
        <w:t xml:space="preserve"> се бирају такви пројекти кој</w:t>
      </w:r>
      <w:r w:rsidR="00DF5376">
        <w:rPr>
          <w:rFonts w:ascii="Times New Roman" w:hAnsi="Times New Roman"/>
          <w:sz w:val="24"/>
          <w:szCs w:val="24"/>
          <w:lang w:val="sr-Cyrl-CS"/>
        </w:rPr>
        <w:t>и пружају веће могућности за кор</w:t>
      </w:r>
      <w:r w:rsidR="00765C88">
        <w:rPr>
          <w:rFonts w:ascii="Times New Roman" w:hAnsi="Times New Roman"/>
          <w:sz w:val="24"/>
          <w:szCs w:val="24"/>
          <w:lang w:val="sr-Cyrl-CS"/>
        </w:rPr>
        <w:t xml:space="preserve">упцију. </w:t>
      </w:r>
      <w:r>
        <w:rPr>
          <w:rFonts w:ascii="Times New Roman" w:hAnsi="Times New Roman"/>
          <w:sz w:val="24"/>
          <w:szCs w:val="24"/>
          <w:lang w:val="sr-Cyrl-CS"/>
        </w:rPr>
        <w:t>То су углав</w:t>
      </w:r>
      <w:r w:rsidR="002C78A0">
        <w:rPr>
          <w:rFonts w:ascii="Times New Roman" w:hAnsi="Times New Roman"/>
          <w:sz w:val="24"/>
          <w:szCs w:val="24"/>
          <w:lang w:val="sr-Cyrl-CS"/>
        </w:rPr>
        <w:t xml:space="preserve">ном пројекти веће вредности. Услови тендера се прилагођавају одређеним субјектима, чије понуде често садрже цене ниже од оних које </w:t>
      </w:r>
      <w:r w:rsidR="00DF5376">
        <w:rPr>
          <w:rFonts w:ascii="Times New Roman" w:hAnsi="Times New Roman"/>
          <w:sz w:val="24"/>
          <w:szCs w:val="24"/>
          <w:lang w:val="sr-Cyrl-CS"/>
        </w:rPr>
        <w:t xml:space="preserve">су </w:t>
      </w:r>
      <w:r w:rsidR="002C78A0">
        <w:rPr>
          <w:rFonts w:ascii="Times New Roman" w:hAnsi="Times New Roman"/>
          <w:sz w:val="24"/>
          <w:szCs w:val="24"/>
          <w:lang w:val="sr-Cyrl-CS"/>
        </w:rPr>
        <w:t xml:space="preserve">економски прихватљиве, а што се касније </w:t>
      </w:r>
      <w:r w:rsidR="00082783">
        <w:rPr>
          <w:rFonts w:ascii="Times New Roman" w:hAnsi="Times New Roman"/>
          <w:sz w:val="24"/>
          <w:szCs w:val="24"/>
          <w:lang w:val="sr-Cyrl-CS"/>
        </w:rPr>
        <w:t>одражава у</w:t>
      </w:r>
      <w:r w:rsidR="00DF5376">
        <w:rPr>
          <w:rFonts w:ascii="Times New Roman" w:hAnsi="Times New Roman"/>
          <w:sz w:val="24"/>
          <w:szCs w:val="24"/>
          <w:lang w:val="sr-Cyrl-CS"/>
        </w:rPr>
        <w:t xml:space="preserve"> </w:t>
      </w:r>
      <w:r w:rsidR="00082783">
        <w:rPr>
          <w:rFonts w:ascii="Times New Roman" w:hAnsi="Times New Roman"/>
          <w:sz w:val="24"/>
          <w:szCs w:val="24"/>
          <w:lang w:val="sr-Cyrl-CS"/>
        </w:rPr>
        <w:t xml:space="preserve">лошијем </w:t>
      </w:r>
      <w:r w:rsidR="00DF5376">
        <w:rPr>
          <w:rFonts w:ascii="Times New Roman" w:hAnsi="Times New Roman"/>
          <w:sz w:val="24"/>
          <w:szCs w:val="24"/>
          <w:lang w:val="sr-Cyrl-CS"/>
        </w:rPr>
        <w:t xml:space="preserve">квалитету </w:t>
      </w:r>
      <w:r w:rsidR="00DF5376">
        <w:rPr>
          <w:rFonts w:ascii="Times New Roman" w:hAnsi="Times New Roman"/>
          <w:sz w:val="24"/>
          <w:szCs w:val="24"/>
          <w:lang w:val="sr-Cyrl-CS"/>
        </w:rPr>
        <w:lastRenderedPageBreak/>
        <w:t>обав</w:t>
      </w:r>
      <w:r w:rsidR="002C78A0">
        <w:rPr>
          <w:rFonts w:ascii="Times New Roman" w:hAnsi="Times New Roman"/>
          <w:sz w:val="24"/>
          <w:szCs w:val="24"/>
          <w:lang w:val="sr-Cyrl-CS"/>
        </w:rPr>
        <w:t>љеног посла или кроз н</w:t>
      </w:r>
      <w:r w:rsidR="00DF5376">
        <w:rPr>
          <w:rFonts w:ascii="Times New Roman" w:hAnsi="Times New Roman"/>
          <w:sz w:val="24"/>
          <w:szCs w:val="24"/>
          <w:lang w:val="sr-Cyrl-CS"/>
        </w:rPr>
        <w:t>а</w:t>
      </w:r>
      <w:r w:rsidR="002C78A0">
        <w:rPr>
          <w:rFonts w:ascii="Times New Roman" w:hAnsi="Times New Roman"/>
          <w:sz w:val="24"/>
          <w:szCs w:val="24"/>
          <w:lang w:val="sr-Cyrl-CS"/>
        </w:rPr>
        <w:t>кнадне наводно непредвиђене трошкове. Такође</w:t>
      </w:r>
      <w:r w:rsidR="00DF5376">
        <w:rPr>
          <w:rFonts w:ascii="Times New Roman" w:hAnsi="Times New Roman"/>
          <w:sz w:val="24"/>
          <w:szCs w:val="24"/>
          <w:lang w:val="sr-Cyrl-CS"/>
        </w:rPr>
        <w:t>,</w:t>
      </w:r>
      <w:r w:rsidR="002C78A0">
        <w:rPr>
          <w:rFonts w:ascii="Times New Roman" w:hAnsi="Times New Roman"/>
          <w:sz w:val="24"/>
          <w:szCs w:val="24"/>
          <w:lang w:val="sr-Cyrl-CS"/>
        </w:rPr>
        <w:t xml:space="preserve"> дешава </w:t>
      </w:r>
      <w:r w:rsidR="00DF5376">
        <w:rPr>
          <w:rFonts w:ascii="Times New Roman" w:hAnsi="Times New Roman"/>
          <w:sz w:val="24"/>
          <w:szCs w:val="24"/>
          <w:lang w:val="sr-Cyrl-CS"/>
        </w:rPr>
        <w:t xml:space="preserve">се </w:t>
      </w:r>
      <w:r w:rsidR="002C78A0">
        <w:rPr>
          <w:rFonts w:ascii="Times New Roman" w:hAnsi="Times New Roman"/>
          <w:sz w:val="24"/>
          <w:szCs w:val="24"/>
          <w:lang w:val="sr-Cyrl-CS"/>
        </w:rPr>
        <w:t>да се прихватају на</w:t>
      </w:r>
      <w:r w:rsidR="00DF5376">
        <w:rPr>
          <w:rFonts w:ascii="Times New Roman" w:hAnsi="Times New Roman"/>
          <w:sz w:val="24"/>
          <w:szCs w:val="24"/>
          <w:lang w:val="sr-Cyrl-CS"/>
        </w:rPr>
        <w:t xml:space="preserve"> тендеру понуђени услови иако су</w:t>
      </w:r>
      <w:r w:rsidR="002C78A0">
        <w:rPr>
          <w:rFonts w:ascii="Times New Roman" w:hAnsi="Times New Roman"/>
          <w:sz w:val="24"/>
          <w:szCs w:val="24"/>
          <w:lang w:val="sr-Cyrl-CS"/>
        </w:rPr>
        <w:t xml:space="preserve"> н</w:t>
      </w:r>
      <w:r w:rsidR="00AD4917">
        <w:rPr>
          <w:rFonts w:ascii="Times New Roman" w:hAnsi="Times New Roman"/>
          <w:sz w:val="24"/>
          <w:szCs w:val="24"/>
          <w:lang w:val="sr-Cyrl-CS"/>
        </w:rPr>
        <w:t>е</w:t>
      </w:r>
      <w:r w:rsidR="002C78A0">
        <w:rPr>
          <w:rFonts w:ascii="Times New Roman" w:hAnsi="Times New Roman"/>
          <w:sz w:val="24"/>
          <w:szCs w:val="24"/>
          <w:lang w:val="sr-Cyrl-CS"/>
        </w:rPr>
        <w:t xml:space="preserve">повољни и иако се одређене услуге или роба могу на тржишту набавити по повољнијој цени. </w:t>
      </w:r>
      <w:r w:rsidR="00DF5376">
        <w:rPr>
          <w:rFonts w:ascii="Times New Roman" w:hAnsi="Times New Roman"/>
          <w:sz w:val="24"/>
          <w:szCs w:val="24"/>
          <w:lang w:val="sr-Cyrl-CS"/>
        </w:rPr>
        <w:t xml:space="preserve"> </w:t>
      </w:r>
      <w:r w:rsidR="002C78A0">
        <w:rPr>
          <w:rFonts w:ascii="Times New Roman" w:hAnsi="Times New Roman"/>
          <w:sz w:val="24"/>
          <w:szCs w:val="24"/>
          <w:lang w:val="sr-Cyrl-CS"/>
        </w:rPr>
        <w:t>Извршилац овакве коруптивне делатности може б</w:t>
      </w:r>
      <w:r w:rsidR="00AD4917">
        <w:rPr>
          <w:rFonts w:ascii="Times New Roman" w:hAnsi="Times New Roman"/>
          <w:sz w:val="24"/>
          <w:szCs w:val="24"/>
          <w:lang w:val="sr-Cyrl-CS"/>
        </w:rPr>
        <w:t>ити службено или одговорно лице</w:t>
      </w:r>
      <w:r w:rsidR="002C78A0">
        <w:rPr>
          <w:rFonts w:ascii="Times New Roman" w:hAnsi="Times New Roman"/>
          <w:sz w:val="24"/>
          <w:szCs w:val="24"/>
          <w:lang w:val="sr-Cyrl-CS"/>
        </w:rPr>
        <w:t xml:space="preserve"> које искоришћава свој положај, п</w:t>
      </w:r>
      <w:r w:rsidR="00AD4917">
        <w:rPr>
          <w:rFonts w:ascii="Times New Roman" w:hAnsi="Times New Roman"/>
          <w:sz w:val="24"/>
          <w:szCs w:val="24"/>
          <w:lang w:val="sr-Cyrl-CS"/>
        </w:rPr>
        <w:t>р</w:t>
      </w:r>
      <w:r w:rsidR="002C78A0">
        <w:rPr>
          <w:rFonts w:ascii="Times New Roman" w:hAnsi="Times New Roman"/>
          <w:sz w:val="24"/>
          <w:szCs w:val="24"/>
          <w:lang w:val="sr-Cyrl-CS"/>
        </w:rPr>
        <w:t xml:space="preserve">екорачује своја овлашћења или пак не врши своје дужности. </w:t>
      </w:r>
    </w:p>
    <w:p w:rsidR="002C78A0" w:rsidRDefault="002C78A0" w:rsidP="000A1CCA">
      <w:pPr>
        <w:ind w:firstLine="630"/>
        <w:jc w:val="both"/>
        <w:rPr>
          <w:rFonts w:ascii="Times New Roman" w:hAnsi="Times New Roman"/>
          <w:sz w:val="24"/>
          <w:szCs w:val="24"/>
          <w:lang w:val="sr-Cyrl-CS"/>
        </w:rPr>
      </w:pPr>
      <w:r>
        <w:rPr>
          <w:rFonts w:ascii="Times New Roman" w:hAnsi="Times New Roman"/>
          <w:sz w:val="24"/>
          <w:szCs w:val="24"/>
          <w:lang w:val="sr-Cyrl-CS"/>
        </w:rPr>
        <w:t>Иако би систем јавних набавки тр</w:t>
      </w:r>
      <w:r w:rsidR="00DF5376">
        <w:rPr>
          <w:rFonts w:ascii="Times New Roman" w:hAnsi="Times New Roman"/>
          <w:sz w:val="24"/>
          <w:szCs w:val="24"/>
          <w:lang w:val="sr-Cyrl-CS"/>
        </w:rPr>
        <w:t>е</w:t>
      </w:r>
      <w:r>
        <w:rPr>
          <w:rFonts w:ascii="Times New Roman" w:hAnsi="Times New Roman"/>
          <w:sz w:val="24"/>
          <w:szCs w:val="24"/>
          <w:lang w:val="sr-Cyrl-CS"/>
        </w:rPr>
        <w:t xml:space="preserve">бало да обезбеди превенцију против корупције, у пракси се често дешава управо супротно. Начини вршења злоупотреба су веома бројни, почев од необјављивања тендера, преко непоштовања рокова за подношење понуда, фалсификовања документације како би се испунили услови који се захтевају на тендеру, па до накнадних закључивања анекса уговора како би се постигла већа цена која је економски прихватљива, или се пак накнадно закључују уговори са подизвођачима јер предузеће које </w:t>
      </w:r>
      <w:r w:rsidR="00081B1E">
        <w:rPr>
          <w:rFonts w:ascii="Times New Roman" w:hAnsi="Times New Roman"/>
          <w:sz w:val="24"/>
          <w:szCs w:val="24"/>
          <w:lang w:val="sr-Cyrl-CS"/>
        </w:rPr>
        <w:t>је победило на тендеру на пример уопште нема услове за производњу траж</w:t>
      </w:r>
      <w:r w:rsidR="0062028D">
        <w:rPr>
          <w:rFonts w:ascii="Times New Roman" w:hAnsi="Times New Roman"/>
          <w:sz w:val="24"/>
          <w:szCs w:val="24"/>
          <w:lang w:val="sr-Cyrl-CS"/>
        </w:rPr>
        <w:t>е</w:t>
      </w:r>
      <w:r w:rsidR="00081B1E">
        <w:rPr>
          <w:rFonts w:ascii="Times New Roman" w:hAnsi="Times New Roman"/>
          <w:sz w:val="24"/>
          <w:szCs w:val="24"/>
          <w:lang w:val="sr-Cyrl-CS"/>
        </w:rPr>
        <w:t xml:space="preserve">ног производа, односно машине и механизацију. </w:t>
      </w:r>
      <w:r w:rsidR="00964A03">
        <w:rPr>
          <w:rFonts w:ascii="Times New Roman" w:hAnsi="Times New Roman"/>
          <w:sz w:val="24"/>
          <w:szCs w:val="24"/>
          <w:lang w:val="sr-Cyrl-CS"/>
        </w:rPr>
        <w:t xml:space="preserve">Јавна набавка онда представља само формалност која у компликовану форму треба да упакује оно што је унапред одлучено. </w:t>
      </w:r>
      <w:r w:rsidR="00081B1E">
        <w:rPr>
          <w:rFonts w:ascii="Times New Roman" w:hAnsi="Times New Roman"/>
          <w:sz w:val="24"/>
          <w:szCs w:val="24"/>
          <w:lang w:val="sr-Cyrl-CS"/>
        </w:rPr>
        <w:t>Када се има у виду да се често ради о набавкама велике вредности јасно је да се ради о веома опасном облику корупције.</w:t>
      </w:r>
    </w:p>
    <w:p w:rsidR="00F94F69" w:rsidRDefault="00F94F69" w:rsidP="000A1CCA">
      <w:pPr>
        <w:ind w:firstLine="630"/>
        <w:jc w:val="both"/>
        <w:rPr>
          <w:rFonts w:ascii="Times New Roman" w:hAnsi="Times New Roman"/>
          <w:sz w:val="24"/>
          <w:szCs w:val="24"/>
          <w:lang w:val="sr-Cyrl-CS"/>
        </w:rPr>
      </w:pPr>
      <w:r>
        <w:rPr>
          <w:rFonts w:ascii="Times New Roman" w:hAnsi="Times New Roman"/>
          <w:sz w:val="24"/>
          <w:szCs w:val="24"/>
          <w:lang w:val="sr-Cyrl-CS"/>
        </w:rPr>
        <w:t>Наручиоци и понуђачи се често руководе коруптивним циљевима, што ремети тржишну к</w:t>
      </w:r>
      <w:r w:rsidR="00DF5376">
        <w:rPr>
          <w:rFonts w:ascii="Times New Roman" w:hAnsi="Times New Roman"/>
          <w:sz w:val="24"/>
          <w:szCs w:val="24"/>
          <w:lang w:val="sr-Cyrl-CS"/>
        </w:rPr>
        <w:t>о</w:t>
      </w:r>
      <w:r>
        <w:rPr>
          <w:rFonts w:ascii="Times New Roman" w:hAnsi="Times New Roman"/>
          <w:sz w:val="24"/>
          <w:szCs w:val="24"/>
          <w:lang w:val="sr-Cyrl-CS"/>
        </w:rPr>
        <w:t xml:space="preserve">нкуренцију и утиче на квалитет пружених радова, добара и </w:t>
      </w:r>
      <w:r w:rsidR="00DF5376">
        <w:rPr>
          <w:rFonts w:ascii="Times New Roman" w:hAnsi="Times New Roman"/>
          <w:sz w:val="24"/>
          <w:szCs w:val="24"/>
          <w:lang w:val="sr-Cyrl-CS"/>
        </w:rPr>
        <w:t>услуга. Јавне набавке се расписују иако не пос</w:t>
      </w:r>
      <w:r>
        <w:rPr>
          <w:rFonts w:ascii="Times New Roman" w:hAnsi="Times New Roman"/>
          <w:sz w:val="24"/>
          <w:szCs w:val="24"/>
          <w:lang w:val="sr-Cyrl-CS"/>
        </w:rPr>
        <w:t>тоји стварна потреба за одређеним добрима и услугама. Могућност</w:t>
      </w:r>
      <w:r w:rsidR="00765C88">
        <w:rPr>
          <w:rFonts w:ascii="Times New Roman" w:hAnsi="Times New Roman"/>
          <w:sz w:val="24"/>
          <w:szCs w:val="24"/>
          <w:lang w:val="sr-Cyrl-CS"/>
        </w:rPr>
        <w:t xml:space="preserve"> злоупотреба је посебно</w:t>
      </w:r>
      <w:r>
        <w:rPr>
          <w:rFonts w:ascii="Times New Roman" w:hAnsi="Times New Roman"/>
          <w:sz w:val="24"/>
          <w:szCs w:val="24"/>
          <w:lang w:val="sr-Cyrl-CS"/>
        </w:rPr>
        <w:t xml:space="preserve"> </w:t>
      </w:r>
      <w:r w:rsidR="00DF5376">
        <w:rPr>
          <w:rFonts w:ascii="Times New Roman" w:hAnsi="Times New Roman"/>
          <w:sz w:val="24"/>
          <w:szCs w:val="24"/>
          <w:lang w:val="sr-Cyrl-CS"/>
        </w:rPr>
        <w:t>велика код значајних</w:t>
      </w:r>
      <w:r>
        <w:rPr>
          <w:rFonts w:ascii="Times New Roman" w:hAnsi="Times New Roman"/>
          <w:sz w:val="24"/>
          <w:szCs w:val="24"/>
          <w:lang w:val="sr-Cyrl-CS"/>
        </w:rPr>
        <w:t xml:space="preserve"> пројеката, </w:t>
      </w:r>
      <w:r w:rsidR="00765C88">
        <w:rPr>
          <w:rFonts w:ascii="Times New Roman" w:hAnsi="Times New Roman"/>
          <w:sz w:val="24"/>
          <w:szCs w:val="24"/>
          <w:lang w:val="sr-Cyrl-CS"/>
        </w:rPr>
        <w:t xml:space="preserve">пре свега </w:t>
      </w:r>
      <w:r>
        <w:rPr>
          <w:rFonts w:ascii="Times New Roman" w:hAnsi="Times New Roman"/>
          <w:sz w:val="24"/>
          <w:szCs w:val="24"/>
          <w:lang w:val="sr-Cyrl-CS"/>
        </w:rPr>
        <w:t>инфраструктурних. Различити су механизми за борбу против ове негативн појаве, али у основи свега се нал</w:t>
      </w:r>
      <w:r w:rsidR="00DF5376">
        <w:rPr>
          <w:rFonts w:ascii="Times New Roman" w:hAnsi="Times New Roman"/>
          <w:sz w:val="24"/>
          <w:szCs w:val="24"/>
          <w:lang w:val="sr-Cyrl-CS"/>
        </w:rPr>
        <w:t>ази транспарен</w:t>
      </w:r>
      <w:r>
        <w:rPr>
          <w:rFonts w:ascii="Times New Roman" w:hAnsi="Times New Roman"/>
          <w:sz w:val="24"/>
          <w:szCs w:val="24"/>
          <w:lang w:val="sr-Cyrl-CS"/>
        </w:rPr>
        <w:t xml:space="preserve">тност и ефикасна контрола.  </w:t>
      </w:r>
    </w:p>
    <w:p w:rsidR="00964A03" w:rsidRPr="00964A03" w:rsidRDefault="005D38FE" w:rsidP="00765C88">
      <w:pPr>
        <w:ind w:firstLine="630"/>
        <w:jc w:val="both"/>
        <w:rPr>
          <w:rFonts w:ascii="Times New Roman" w:hAnsi="Times New Roman"/>
          <w:sz w:val="24"/>
          <w:szCs w:val="24"/>
          <w:lang w:val="sr-Cyrl-CS"/>
        </w:rPr>
      </w:pPr>
      <w:r>
        <w:rPr>
          <w:rFonts w:ascii="Times New Roman" w:hAnsi="Times New Roman"/>
          <w:sz w:val="24"/>
          <w:szCs w:val="24"/>
          <w:lang w:val="sr-Cyrl-CS"/>
        </w:rPr>
        <w:t>Јавне набавке су, дакле,</w:t>
      </w:r>
      <w:r w:rsidR="00964A03">
        <w:rPr>
          <w:rFonts w:ascii="Times New Roman" w:hAnsi="Times New Roman"/>
          <w:sz w:val="24"/>
          <w:szCs w:val="24"/>
          <w:lang w:val="sr-Cyrl-CS"/>
        </w:rPr>
        <w:t xml:space="preserve"> место где се често сусрећу корупција, власт и политика. Средства буџета се преливају у приватне џепове, на штету јавног интереса. </w:t>
      </w:r>
      <w:r w:rsidR="00765C88">
        <w:rPr>
          <w:rFonts w:ascii="Times New Roman" w:hAnsi="Times New Roman"/>
          <w:sz w:val="24"/>
          <w:szCs w:val="24"/>
          <w:lang w:val="sr-Cyrl-CS"/>
        </w:rPr>
        <w:t>Брану против ових појав</w:t>
      </w:r>
      <w:r>
        <w:rPr>
          <w:rFonts w:ascii="Times New Roman" w:hAnsi="Times New Roman"/>
          <w:sz w:val="24"/>
          <w:szCs w:val="24"/>
          <w:lang w:val="sr-Cyrl-CS"/>
        </w:rPr>
        <w:t>а представљ</w:t>
      </w:r>
      <w:r w:rsidR="00C60397">
        <w:rPr>
          <w:rFonts w:ascii="Times New Roman" w:hAnsi="Times New Roman"/>
          <w:sz w:val="24"/>
          <w:szCs w:val="24"/>
        </w:rPr>
        <w:t>a</w:t>
      </w:r>
      <w:r>
        <w:rPr>
          <w:rFonts w:ascii="Times New Roman" w:hAnsi="Times New Roman"/>
          <w:sz w:val="24"/>
          <w:szCs w:val="24"/>
          <w:lang w:val="sr-Cyrl-CS"/>
        </w:rPr>
        <w:t>ју</w:t>
      </w:r>
      <w:r w:rsidR="00765C88">
        <w:rPr>
          <w:rFonts w:ascii="Times New Roman" w:hAnsi="Times New Roman"/>
          <w:sz w:val="24"/>
          <w:szCs w:val="24"/>
          <w:lang w:val="sr-Cyrl-CS"/>
        </w:rPr>
        <w:t xml:space="preserve"> независни и релативно нови органи у нашем правном систему, као што су: </w:t>
      </w:r>
      <w:r w:rsidR="00765C88" w:rsidRPr="00964A03">
        <w:rPr>
          <w:rFonts w:ascii="Times New Roman" w:hAnsi="Times New Roman"/>
          <w:sz w:val="24"/>
          <w:szCs w:val="24"/>
          <w:lang w:val="sr-Cyrl-CS"/>
        </w:rPr>
        <w:t>Агенција за борбу против корупције</w:t>
      </w:r>
      <w:r w:rsidR="00765C88">
        <w:rPr>
          <w:rFonts w:ascii="Times New Roman" w:hAnsi="Times New Roman"/>
          <w:sz w:val="24"/>
          <w:szCs w:val="24"/>
          <w:lang w:val="sr-Cyrl-CS"/>
        </w:rPr>
        <w:t>,</w:t>
      </w:r>
      <w:r w:rsidR="00765C88" w:rsidRPr="00964A03">
        <w:rPr>
          <w:rFonts w:ascii="Times New Roman" w:hAnsi="Times New Roman"/>
          <w:sz w:val="24"/>
          <w:szCs w:val="24"/>
          <w:lang w:val="sr-Cyrl-CS"/>
        </w:rPr>
        <w:t xml:space="preserve"> </w:t>
      </w:r>
      <w:r w:rsidR="00964A03" w:rsidRPr="00964A03">
        <w:rPr>
          <w:rFonts w:ascii="Times New Roman" w:hAnsi="Times New Roman"/>
          <w:sz w:val="24"/>
          <w:szCs w:val="24"/>
          <w:lang w:val="sr-Cyrl-CS"/>
        </w:rPr>
        <w:t>Држав</w:t>
      </w:r>
      <w:r w:rsidR="00765C88">
        <w:rPr>
          <w:rFonts w:ascii="Times New Roman" w:hAnsi="Times New Roman"/>
          <w:sz w:val="24"/>
          <w:szCs w:val="24"/>
          <w:lang w:val="sr-Cyrl-CS"/>
        </w:rPr>
        <w:t>на ревизорска институција, Упра</w:t>
      </w:r>
      <w:r w:rsidR="00964A03" w:rsidRPr="00964A03">
        <w:rPr>
          <w:rFonts w:ascii="Times New Roman" w:hAnsi="Times New Roman"/>
          <w:sz w:val="24"/>
          <w:szCs w:val="24"/>
          <w:lang w:val="sr-Cyrl-CS"/>
        </w:rPr>
        <w:t>ва за јавне набавке, Комисија за заштиту права у поступцима јавних набавки, Повереник за</w:t>
      </w:r>
      <w:r w:rsidR="00765C88">
        <w:rPr>
          <w:rFonts w:ascii="Times New Roman" w:hAnsi="Times New Roman"/>
          <w:sz w:val="24"/>
          <w:szCs w:val="24"/>
          <w:lang w:val="sr-Cyrl-CS"/>
        </w:rPr>
        <w:t xml:space="preserve"> информације од јавног значаја.</w:t>
      </w:r>
      <w:r w:rsidR="00964A03" w:rsidRPr="00964A03">
        <w:rPr>
          <w:rFonts w:ascii="Times New Roman" w:hAnsi="Times New Roman"/>
          <w:sz w:val="24"/>
          <w:szCs w:val="24"/>
          <w:lang w:val="sr-Cyrl-CS"/>
        </w:rPr>
        <w:t xml:space="preserve"> </w:t>
      </w:r>
      <w:r w:rsidR="00765C88">
        <w:rPr>
          <w:rFonts w:ascii="Times New Roman" w:hAnsi="Times New Roman"/>
          <w:sz w:val="24"/>
          <w:szCs w:val="24"/>
          <w:lang w:val="sr-Cyrl-CS"/>
        </w:rPr>
        <w:t>При том, не треба занемарити ни улогу стручне јавности, медија као и разних организација грађанског друштва и удружења ( Удружење интерних ревизора и сл.)</w:t>
      </w:r>
      <w:r>
        <w:rPr>
          <w:rFonts w:ascii="Times New Roman" w:hAnsi="Times New Roman"/>
          <w:sz w:val="24"/>
          <w:szCs w:val="24"/>
          <w:lang w:val="sr-Cyrl-CS"/>
        </w:rPr>
        <w:t>. У нашим условима извршена је хармонизација са прописма ЕУ и институционално јачање специјализованих тела за јавне набавке, те је на тај начин учињен напредак у овој области.</w:t>
      </w:r>
    </w:p>
    <w:p w:rsidR="00964A03" w:rsidRDefault="00964A03" w:rsidP="000A1CCA">
      <w:pPr>
        <w:ind w:firstLine="630"/>
        <w:jc w:val="both"/>
        <w:rPr>
          <w:rFonts w:ascii="Times New Roman" w:hAnsi="Times New Roman"/>
          <w:sz w:val="24"/>
          <w:szCs w:val="24"/>
          <w:lang w:val="sr-Cyrl-CS"/>
        </w:rPr>
      </w:pPr>
    </w:p>
    <w:p w:rsidR="004F3D57" w:rsidRDefault="004F3D57" w:rsidP="000A1CCA">
      <w:pPr>
        <w:ind w:firstLine="630"/>
        <w:jc w:val="both"/>
        <w:rPr>
          <w:rFonts w:ascii="Times New Roman" w:hAnsi="Times New Roman"/>
          <w:sz w:val="24"/>
          <w:szCs w:val="24"/>
          <w:lang w:val="sr-Cyrl-CS"/>
        </w:rPr>
      </w:pPr>
    </w:p>
    <w:p w:rsidR="004F3D57" w:rsidRDefault="004F3D57" w:rsidP="000A1CCA">
      <w:pPr>
        <w:ind w:firstLine="630"/>
        <w:jc w:val="both"/>
        <w:rPr>
          <w:rFonts w:ascii="Times New Roman" w:hAnsi="Times New Roman"/>
          <w:sz w:val="24"/>
          <w:szCs w:val="24"/>
          <w:lang w:val="sr-Cyrl-CS"/>
        </w:rPr>
      </w:pPr>
    </w:p>
    <w:p w:rsidR="004F3D57" w:rsidRDefault="004F3D57" w:rsidP="000A1CCA">
      <w:pPr>
        <w:ind w:firstLine="630"/>
        <w:jc w:val="both"/>
        <w:rPr>
          <w:rFonts w:ascii="Times New Roman" w:hAnsi="Times New Roman"/>
          <w:sz w:val="24"/>
          <w:szCs w:val="24"/>
          <w:lang w:val="sr-Cyrl-CS"/>
        </w:rPr>
      </w:pPr>
    </w:p>
    <w:p w:rsidR="004F3D57" w:rsidRDefault="004F3D57" w:rsidP="000A1CCA">
      <w:pPr>
        <w:ind w:firstLine="630"/>
        <w:jc w:val="both"/>
        <w:rPr>
          <w:rFonts w:ascii="Times New Roman" w:hAnsi="Times New Roman"/>
          <w:sz w:val="24"/>
          <w:szCs w:val="24"/>
          <w:lang w:val="sr-Cyrl-CS"/>
        </w:rPr>
      </w:pPr>
    </w:p>
    <w:p w:rsidR="00BD7276" w:rsidRDefault="007F157B" w:rsidP="007F157B">
      <w:pPr>
        <w:pStyle w:val="ListParagraph"/>
        <w:numPr>
          <w:ilvl w:val="1"/>
          <w:numId w:val="4"/>
        </w:numPr>
        <w:jc w:val="center"/>
        <w:rPr>
          <w:rFonts w:ascii="Times New Roman" w:hAnsi="Times New Roman"/>
          <w:b/>
          <w:sz w:val="24"/>
          <w:szCs w:val="24"/>
          <w:lang w:val="sr-Cyrl-CS"/>
        </w:rPr>
      </w:pPr>
      <w:r>
        <w:rPr>
          <w:rFonts w:ascii="Times New Roman" w:hAnsi="Times New Roman"/>
          <w:b/>
          <w:sz w:val="24"/>
          <w:szCs w:val="24"/>
          <w:lang w:val="sr-Cyrl-CS"/>
        </w:rPr>
        <w:lastRenderedPageBreak/>
        <w:t xml:space="preserve"> </w:t>
      </w:r>
      <w:r w:rsidRPr="007F157B">
        <w:rPr>
          <w:rFonts w:ascii="Times New Roman" w:hAnsi="Times New Roman"/>
          <w:b/>
          <w:sz w:val="24"/>
          <w:szCs w:val="24"/>
          <w:lang w:val="sr-Cyrl-CS"/>
        </w:rPr>
        <w:t>Корупција у правосуђу</w:t>
      </w:r>
    </w:p>
    <w:p w:rsidR="005D38FE" w:rsidRPr="007F157B" w:rsidRDefault="005D38FE" w:rsidP="005D38FE">
      <w:pPr>
        <w:pStyle w:val="ListParagraph"/>
        <w:ind w:left="990"/>
        <w:rPr>
          <w:rFonts w:ascii="Times New Roman" w:hAnsi="Times New Roman"/>
          <w:b/>
          <w:sz w:val="24"/>
          <w:szCs w:val="24"/>
          <w:lang w:val="sr-Cyrl-CS"/>
        </w:rPr>
      </w:pPr>
    </w:p>
    <w:p w:rsidR="00DA1663" w:rsidRDefault="00DA1663" w:rsidP="00DA1663">
      <w:pPr>
        <w:ind w:firstLine="630"/>
        <w:jc w:val="both"/>
        <w:rPr>
          <w:rFonts w:ascii="Times New Roman" w:hAnsi="Times New Roman"/>
          <w:sz w:val="24"/>
          <w:szCs w:val="24"/>
          <w:lang w:val="sr-Cyrl-CS"/>
        </w:rPr>
      </w:pPr>
      <w:r>
        <w:rPr>
          <w:rFonts w:ascii="Times New Roman" w:hAnsi="Times New Roman"/>
          <w:sz w:val="24"/>
          <w:szCs w:val="24"/>
          <w:lang w:val="sr-Cyrl-CS"/>
        </w:rPr>
        <w:t xml:space="preserve">Корупција у правосуђу је </w:t>
      </w:r>
      <w:r w:rsidR="00C61CB8">
        <w:rPr>
          <w:rFonts w:ascii="Times New Roman" w:hAnsi="Times New Roman"/>
          <w:sz w:val="24"/>
          <w:szCs w:val="24"/>
          <w:lang w:val="sr-Cyrl-CS"/>
        </w:rPr>
        <w:t xml:space="preserve">развијена у свим друштвима и </w:t>
      </w:r>
      <w:r>
        <w:rPr>
          <w:rFonts w:ascii="Times New Roman" w:hAnsi="Times New Roman"/>
          <w:sz w:val="24"/>
          <w:szCs w:val="24"/>
          <w:lang w:val="sr-Cyrl-CS"/>
        </w:rPr>
        <w:t xml:space="preserve">присутна </w:t>
      </w:r>
      <w:r w:rsidR="00C61CB8">
        <w:rPr>
          <w:rFonts w:ascii="Times New Roman" w:hAnsi="Times New Roman"/>
          <w:sz w:val="24"/>
          <w:szCs w:val="24"/>
          <w:lang w:val="sr-Cyrl-CS"/>
        </w:rPr>
        <w:t xml:space="preserve">је јако дуго. </w:t>
      </w:r>
      <w:r w:rsidR="002175E2">
        <w:rPr>
          <w:rFonts w:ascii="Times New Roman" w:hAnsi="Times New Roman"/>
          <w:sz w:val="24"/>
          <w:szCs w:val="24"/>
          <w:lang w:val="sr-Cyrl-CS"/>
        </w:rPr>
        <w:t xml:space="preserve">Тако је </w:t>
      </w:r>
      <w:r w:rsidR="00C61CB8">
        <w:rPr>
          <w:rFonts w:ascii="Times New Roman" w:hAnsi="Times New Roman"/>
          <w:sz w:val="24"/>
          <w:szCs w:val="24"/>
          <w:lang w:val="sr-Cyrl-CS"/>
        </w:rPr>
        <w:t xml:space="preserve">један од разлога </w:t>
      </w:r>
      <w:r w:rsidR="002175E2">
        <w:rPr>
          <w:rFonts w:ascii="Times New Roman" w:hAnsi="Times New Roman"/>
          <w:sz w:val="24"/>
          <w:szCs w:val="24"/>
          <w:lang w:val="sr-Cyrl-CS"/>
        </w:rPr>
        <w:t xml:space="preserve">за </w:t>
      </w:r>
      <w:r>
        <w:rPr>
          <w:rFonts w:ascii="Times New Roman" w:hAnsi="Times New Roman"/>
          <w:sz w:val="24"/>
          <w:szCs w:val="24"/>
          <w:lang w:val="sr-Cyrl-CS"/>
        </w:rPr>
        <w:t xml:space="preserve">доношења Теодосијевог закона о цитирању из </w:t>
      </w:r>
      <w:r w:rsidR="002175E2">
        <w:rPr>
          <w:rFonts w:ascii="Times New Roman" w:hAnsi="Times New Roman"/>
          <w:sz w:val="24"/>
          <w:szCs w:val="24"/>
          <w:lang w:val="sr-Cyrl-CS"/>
        </w:rPr>
        <w:t xml:space="preserve"> </w:t>
      </w:r>
      <w:r>
        <w:rPr>
          <w:rFonts w:ascii="Times New Roman" w:hAnsi="Times New Roman"/>
          <w:sz w:val="24"/>
          <w:szCs w:val="24"/>
          <w:lang w:val="sr-Cyrl-CS"/>
        </w:rPr>
        <w:t>426. г. н. е.</w:t>
      </w:r>
      <w:r w:rsidRPr="00A91D78">
        <w:rPr>
          <w:rFonts w:ascii="Times New Roman" w:hAnsi="Times New Roman"/>
          <w:sz w:val="24"/>
          <w:szCs w:val="24"/>
          <w:lang w:val="sr-Cyrl-CS"/>
        </w:rPr>
        <w:t xml:space="preserve"> (Lex Citationis) </w:t>
      </w:r>
      <w:r w:rsidR="002175E2">
        <w:rPr>
          <w:rFonts w:ascii="Times New Roman" w:hAnsi="Times New Roman"/>
          <w:sz w:val="24"/>
          <w:szCs w:val="24"/>
          <w:lang w:val="sr-Cyrl-CS"/>
        </w:rPr>
        <w:t>био да се донекле онемогуће</w:t>
      </w:r>
      <w:r>
        <w:rPr>
          <w:rFonts w:ascii="Times New Roman" w:hAnsi="Times New Roman"/>
          <w:sz w:val="24"/>
          <w:szCs w:val="24"/>
          <w:lang w:val="sr-Cyrl-CS"/>
        </w:rPr>
        <w:t xml:space="preserve"> произво</w:t>
      </w:r>
      <w:r w:rsidR="002175E2">
        <w:rPr>
          <w:rFonts w:ascii="Times New Roman" w:hAnsi="Times New Roman"/>
          <w:sz w:val="24"/>
          <w:szCs w:val="24"/>
          <w:lang w:val="sr-Cyrl-CS"/>
        </w:rPr>
        <w:t>љна</w:t>
      </w:r>
      <w:r>
        <w:rPr>
          <w:rFonts w:ascii="Times New Roman" w:hAnsi="Times New Roman"/>
          <w:sz w:val="24"/>
          <w:szCs w:val="24"/>
          <w:lang w:val="sr-Cyrl-CS"/>
        </w:rPr>
        <w:t xml:space="preserve"> тумачења због моћи велепоседника и поткупљивости судија.</w:t>
      </w:r>
      <w:r>
        <w:rPr>
          <w:rStyle w:val="FootnoteReference"/>
          <w:rFonts w:ascii="Times New Roman" w:hAnsi="Times New Roman"/>
          <w:sz w:val="24"/>
          <w:szCs w:val="24"/>
          <w:lang w:val="sr-Cyrl-CS"/>
        </w:rPr>
        <w:footnoteReference w:id="710"/>
      </w:r>
      <w:r>
        <w:rPr>
          <w:rFonts w:ascii="Times New Roman" w:hAnsi="Times New Roman"/>
          <w:sz w:val="24"/>
          <w:szCs w:val="24"/>
          <w:lang w:val="sr-Cyrl-CS"/>
        </w:rPr>
        <w:t xml:space="preserve"> </w:t>
      </w:r>
      <w:r w:rsidR="00C61CB8">
        <w:rPr>
          <w:rFonts w:ascii="Times New Roman" w:hAnsi="Times New Roman"/>
          <w:sz w:val="24"/>
          <w:szCs w:val="24"/>
          <w:lang w:val="sr-Cyrl-CS"/>
        </w:rPr>
        <w:t xml:space="preserve"> </w:t>
      </w:r>
    </w:p>
    <w:p w:rsidR="00A91D78" w:rsidRDefault="00161077" w:rsidP="00B2410F">
      <w:pPr>
        <w:ind w:firstLine="630"/>
        <w:jc w:val="both"/>
        <w:rPr>
          <w:rFonts w:ascii="Times New Roman" w:hAnsi="Times New Roman"/>
          <w:sz w:val="24"/>
          <w:szCs w:val="24"/>
          <w:lang w:val="sr-Cyrl-CS"/>
        </w:rPr>
      </w:pPr>
      <w:r>
        <w:rPr>
          <w:rFonts w:ascii="Times New Roman" w:hAnsi="Times New Roman"/>
          <w:sz w:val="24"/>
          <w:szCs w:val="24"/>
          <w:lang w:val="sr-Cyrl-CS"/>
        </w:rPr>
        <w:t>Без доброг судства не може бити владавине права. Корупција у правосуђу нарушава прав</w:t>
      </w:r>
      <w:r w:rsidR="00DF5376">
        <w:rPr>
          <w:rFonts w:ascii="Times New Roman" w:hAnsi="Times New Roman"/>
          <w:sz w:val="24"/>
          <w:szCs w:val="24"/>
          <w:lang w:val="sr-Cyrl-CS"/>
        </w:rPr>
        <w:t xml:space="preserve">а и слободе појединца и слаби </w:t>
      </w:r>
      <w:r>
        <w:rPr>
          <w:rFonts w:ascii="Times New Roman" w:hAnsi="Times New Roman"/>
          <w:sz w:val="24"/>
          <w:szCs w:val="24"/>
          <w:lang w:val="sr-Cyrl-CS"/>
        </w:rPr>
        <w:t xml:space="preserve"> </w:t>
      </w:r>
      <w:r w:rsidR="00BC02EE">
        <w:rPr>
          <w:rFonts w:ascii="Times New Roman" w:hAnsi="Times New Roman"/>
          <w:sz w:val="24"/>
          <w:szCs w:val="24"/>
          <w:lang w:val="sr-Cyrl-CS"/>
        </w:rPr>
        <w:t xml:space="preserve">независност </w:t>
      </w:r>
      <w:r>
        <w:rPr>
          <w:rFonts w:ascii="Times New Roman" w:hAnsi="Times New Roman"/>
          <w:sz w:val="24"/>
          <w:szCs w:val="24"/>
          <w:lang w:val="sr-Cyrl-CS"/>
        </w:rPr>
        <w:t xml:space="preserve">судства у односу на законодавну и извршну власт, кроз </w:t>
      </w:r>
      <w:r w:rsidR="00A91D78">
        <w:rPr>
          <w:rFonts w:ascii="Times New Roman" w:hAnsi="Times New Roman"/>
          <w:sz w:val="24"/>
          <w:szCs w:val="24"/>
          <w:lang w:val="sr-Cyrl-CS"/>
        </w:rPr>
        <w:t>не</w:t>
      </w:r>
      <w:r>
        <w:rPr>
          <w:rFonts w:ascii="Times New Roman" w:hAnsi="Times New Roman"/>
          <w:sz w:val="24"/>
          <w:szCs w:val="24"/>
          <w:lang w:val="sr-Cyrl-CS"/>
        </w:rPr>
        <w:t>поштовање начела уставности и законитости. Правосуђе</w:t>
      </w:r>
      <w:r w:rsidR="00A91D78">
        <w:rPr>
          <w:rFonts w:ascii="Times New Roman" w:hAnsi="Times New Roman"/>
          <w:sz w:val="24"/>
          <w:szCs w:val="24"/>
          <w:lang w:val="sr-Cyrl-CS"/>
        </w:rPr>
        <w:t>, дакле,</w:t>
      </w:r>
      <w:r>
        <w:rPr>
          <w:rFonts w:ascii="Times New Roman" w:hAnsi="Times New Roman"/>
          <w:sz w:val="24"/>
          <w:szCs w:val="24"/>
          <w:lang w:val="sr-Cyrl-CS"/>
        </w:rPr>
        <w:t xml:space="preserve"> има посебан значај због места које заузима у подели власти. Због тога, квалитет функционисања правосуђа утиче на функционисање целог друштва. </w:t>
      </w:r>
      <w:r w:rsidR="004342F7">
        <w:rPr>
          <w:rFonts w:ascii="Times New Roman" w:hAnsi="Times New Roman"/>
          <w:sz w:val="24"/>
          <w:szCs w:val="24"/>
          <w:lang w:val="sr-Cyrl-CS"/>
        </w:rPr>
        <w:t xml:space="preserve">Раширена корупција у правосуђу указује на озбиљне слабости у целокупном друштвеном систему. Ова појава води одсуству владавине права и закона, </w:t>
      </w:r>
      <w:r w:rsidR="00DF5376">
        <w:rPr>
          <w:rFonts w:ascii="Times New Roman" w:hAnsi="Times New Roman"/>
          <w:sz w:val="24"/>
          <w:szCs w:val="24"/>
          <w:lang w:val="sr-Cyrl-CS"/>
        </w:rPr>
        <w:t>поткопава социјалну правичност</w:t>
      </w:r>
      <w:r w:rsidR="004342F7">
        <w:rPr>
          <w:rFonts w:ascii="Times New Roman" w:hAnsi="Times New Roman"/>
          <w:sz w:val="24"/>
          <w:szCs w:val="24"/>
          <w:lang w:val="sr-Cyrl-CS"/>
        </w:rPr>
        <w:t xml:space="preserve"> у целом друштву и води ка несигурности и неповерењу грађана у јавне институције. </w:t>
      </w:r>
      <w:r>
        <w:rPr>
          <w:rFonts w:ascii="Times New Roman" w:hAnsi="Times New Roman"/>
          <w:sz w:val="24"/>
          <w:szCs w:val="24"/>
          <w:lang w:val="sr-Cyrl-CS"/>
        </w:rPr>
        <w:t xml:space="preserve">Правосуђе врши заштиту људских права, живота и имовине па је због тога уплив корупције </w:t>
      </w:r>
      <w:r w:rsidR="00A91D78">
        <w:rPr>
          <w:rFonts w:ascii="Times New Roman" w:hAnsi="Times New Roman"/>
          <w:sz w:val="24"/>
          <w:szCs w:val="24"/>
          <w:lang w:val="sr-Cyrl-CS"/>
        </w:rPr>
        <w:t>веома опасан и погубан.</w:t>
      </w:r>
    </w:p>
    <w:p w:rsidR="001F4B89" w:rsidRDefault="00BD3652" w:rsidP="00703FA5">
      <w:pPr>
        <w:ind w:firstLine="630"/>
        <w:jc w:val="both"/>
        <w:rPr>
          <w:rFonts w:ascii="Times New Roman" w:hAnsi="Times New Roman"/>
          <w:sz w:val="24"/>
          <w:szCs w:val="24"/>
          <w:lang w:val="sr-Cyrl-CS"/>
        </w:rPr>
      </w:pPr>
      <w:r>
        <w:rPr>
          <w:rFonts w:ascii="Times New Roman" w:hAnsi="Times New Roman"/>
          <w:sz w:val="24"/>
          <w:szCs w:val="24"/>
          <w:lang w:val="sr-Cyrl-CS"/>
        </w:rPr>
        <w:t>Корупција</w:t>
      </w:r>
      <w:r w:rsidR="00703FA5">
        <w:rPr>
          <w:rFonts w:ascii="Times New Roman" w:hAnsi="Times New Roman"/>
          <w:sz w:val="24"/>
          <w:szCs w:val="24"/>
          <w:lang w:val="sr-Cyrl-CS"/>
        </w:rPr>
        <w:t xml:space="preserve"> </w:t>
      </w:r>
      <w:r>
        <w:rPr>
          <w:rFonts w:ascii="Times New Roman" w:hAnsi="Times New Roman"/>
          <w:sz w:val="24"/>
          <w:szCs w:val="24"/>
          <w:lang w:val="sr-Cyrl-CS"/>
        </w:rPr>
        <w:t>код</w:t>
      </w:r>
      <w:r w:rsidR="00703FA5">
        <w:rPr>
          <w:rFonts w:ascii="Times New Roman" w:hAnsi="Times New Roman"/>
          <w:sz w:val="24"/>
          <w:szCs w:val="24"/>
          <w:lang w:val="sr-Cyrl-CS"/>
        </w:rPr>
        <w:t xml:space="preserve"> једних најчешће изазива отпор других, </w:t>
      </w:r>
      <w:r>
        <w:rPr>
          <w:rFonts w:ascii="Times New Roman" w:hAnsi="Times New Roman"/>
          <w:sz w:val="24"/>
          <w:szCs w:val="24"/>
          <w:lang w:val="sr-Cyrl-CS"/>
        </w:rPr>
        <w:t>али ако</w:t>
      </w:r>
      <w:r w:rsidR="00703FA5">
        <w:rPr>
          <w:rFonts w:ascii="Times New Roman" w:hAnsi="Times New Roman"/>
          <w:sz w:val="24"/>
          <w:szCs w:val="24"/>
          <w:lang w:val="sr-Cyrl-CS"/>
        </w:rPr>
        <w:t xml:space="preserve"> њихов отпор није добио одговарајућу подршку од стране правосуђа и других надлежних органа </w:t>
      </w:r>
      <w:r>
        <w:rPr>
          <w:rFonts w:ascii="Times New Roman" w:hAnsi="Times New Roman"/>
          <w:sz w:val="24"/>
          <w:szCs w:val="24"/>
          <w:lang w:val="sr-Cyrl-CS"/>
        </w:rPr>
        <w:t>они су принуђени да</w:t>
      </w:r>
      <w:r w:rsidR="00703FA5">
        <w:rPr>
          <w:rFonts w:ascii="Times New Roman" w:hAnsi="Times New Roman"/>
          <w:sz w:val="24"/>
          <w:szCs w:val="24"/>
          <w:lang w:val="sr-Cyrl-CS"/>
        </w:rPr>
        <w:t xml:space="preserve"> своје понаша</w:t>
      </w:r>
      <w:r>
        <w:rPr>
          <w:rFonts w:ascii="Times New Roman" w:hAnsi="Times New Roman"/>
          <w:sz w:val="24"/>
          <w:szCs w:val="24"/>
          <w:lang w:val="sr-Cyrl-CS"/>
        </w:rPr>
        <w:t>ње прилагоде коруптивном поступању</w:t>
      </w:r>
      <w:r w:rsidR="00703FA5">
        <w:rPr>
          <w:rFonts w:ascii="Times New Roman" w:hAnsi="Times New Roman"/>
          <w:sz w:val="24"/>
          <w:szCs w:val="24"/>
          <w:lang w:val="sr-Cyrl-CS"/>
        </w:rPr>
        <w:t xml:space="preserve">, било тако што ће одустати од свог захтева или </w:t>
      </w:r>
      <w:r>
        <w:rPr>
          <w:rFonts w:ascii="Times New Roman" w:hAnsi="Times New Roman"/>
          <w:sz w:val="24"/>
          <w:szCs w:val="24"/>
          <w:lang w:val="sr-Cyrl-CS"/>
        </w:rPr>
        <w:t>што ће пронаћи</w:t>
      </w:r>
      <w:r w:rsidR="00703FA5">
        <w:rPr>
          <w:rFonts w:ascii="Times New Roman" w:hAnsi="Times New Roman"/>
          <w:sz w:val="24"/>
          <w:szCs w:val="24"/>
          <w:lang w:val="sr-Cyrl-CS"/>
        </w:rPr>
        <w:t xml:space="preserve"> неки други начин да остваре своје право. </w:t>
      </w:r>
      <w:r>
        <w:rPr>
          <w:rFonts w:ascii="Times New Roman" w:hAnsi="Times New Roman"/>
          <w:sz w:val="24"/>
          <w:szCs w:val="24"/>
          <w:lang w:val="sr-Cyrl-CS"/>
        </w:rPr>
        <w:t>На тај начин</w:t>
      </w:r>
      <w:r w:rsidR="00703FA5">
        <w:rPr>
          <w:rFonts w:ascii="Times New Roman" w:hAnsi="Times New Roman"/>
          <w:sz w:val="24"/>
          <w:szCs w:val="24"/>
          <w:lang w:val="sr-Cyrl-CS"/>
        </w:rPr>
        <w:t xml:space="preserve"> корупција налази своје место у свим областима економ</w:t>
      </w:r>
      <w:r>
        <w:rPr>
          <w:rFonts w:ascii="Times New Roman" w:hAnsi="Times New Roman"/>
          <w:sz w:val="24"/>
          <w:szCs w:val="24"/>
          <w:lang w:val="sr-Cyrl-CS"/>
        </w:rPr>
        <w:t>ског и друштвеног живота, па</w:t>
      </w:r>
      <w:r w:rsidR="00703FA5">
        <w:rPr>
          <w:rFonts w:ascii="Times New Roman" w:hAnsi="Times New Roman"/>
          <w:sz w:val="24"/>
          <w:szCs w:val="24"/>
          <w:lang w:val="sr-Cyrl-CS"/>
        </w:rPr>
        <w:t xml:space="preserve"> ни сфера опорезивања не остаје изван утицаја корупције.</w:t>
      </w:r>
      <w:r w:rsidR="00703FA5">
        <w:rPr>
          <w:rStyle w:val="FootnoteReference"/>
          <w:rFonts w:ascii="Times New Roman" w:hAnsi="Times New Roman"/>
          <w:sz w:val="24"/>
          <w:szCs w:val="24"/>
          <w:lang w:val="sr-Cyrl-CS"/>
        </w:rPr>
        <w:footnoteReference w:id="711"/>
      </w:r>
    </w:p>
    <w:p w:rsidR="001F4B89" w:rsidRPr="005D38FE" w:rsidRDefault="00BD3652" w:rsidP="00703FA5">
      <w:pPr>
        <w:ind w:firstLine="630"/>
        <w:jc w:val="both"/>
        <w:rPr>
          <w:rFonts w:ascii="Times New Roman" w:hAnsi="Times New Roman"/>
          <w:sz w:val="24"/>
          <w:szCs w:val="24"/>
          <w:lang w:val="sr-Cyrl-CS"/>
        </w:rPr>
      </w:pPr>
      <w:r>
        <w:rPr>
          <w:rFonts w:ascii="Times New Roman" w:hAnsi="Times New Roman"/>
          <w:sz w:val="24"/>
          <w:szCs w:val="24"/>
          <w:lang w:val="sr-Cyrl-CS"/>
        </w:rPr>
        <w:t>За успостављање правне државе</w:t>
      </w:r>
      <w:r w:rsidR="005D38FE" w:rsidRPr="005D38FE">
        <w:rPr>
          <w:rFonts w:ascii="Times New Roman" w:hAnsi="Times New Roman"/>
          <w:sz w:val="24"/>
          <w:szCs w:val="24"/>
          <w:lang w:val="sr-Cyrl-CS"/>
        </w:rPr>
        <w:t xml:space="preserve"> по</w:t>
      </w:r>
      <w:r w:rsidR="00DF587D">
        <w:rPr>
          <w:rFonts w:ascii="Times New Roman" w:hAnsi="Times New Roman"/>
          <w:sz w:val="24"/>
          <w:szCs w:val="24"/>
          <w:lang w:val="sr-Cyrl-CS"/>
        </w:rPr>
        <w:t xml:space="preserve">требни су неки институционални </w:t>
      </w:r>
      <w:r w:rsidR="005D38FE" w:rsidRPr="005D38FE">
        <w:rPr>
          <w:rFonts w:ascii="Times New Roman" w:hAnsi="Times New Roman"/>
          <w:sz w:val="24"/>
          <w:szCs w:val="24"/>
          <w:lang w:val="sr-Cyrl-CS"/>
        </w:rPr>
        <w:t>друштвени и културни предуслови</w:t>
      </w:r>
      <w:r>
        <w:rPr>
          <w:rFonts w:ascii="Times New Roman" w:hAnsi="Times New Roman"/>
          <w:sz w:val="24"/>
          <w:szCs w:val="24"/>
          <w:lang w:val="sr-Cyrl-CS"/>
        </w:rPr>
        <w:t>, а</w:t>
      </w:r>
      <w:r w:rsidR="005D38FE">
        <w:rPr>
          <w:rFonts w:ascii="Times New Roman" w:hAnsi="Times New Roman"/>
          <w:sz w:val="24"/>
          <w:szCs w:val="24"/>
          <w:lang w:val="sr-Cyrl-CS"/>
        </w:rPr>
        <w:t xml:space="preserve"> </w:t>
      </w:r>
      <w:r>
        <w:rPr>
          <w:rFonts w:ascii="Times New Roman" w:hAnsi="Times New Roman"/>
          <w:sz w:val="24"/>
          <w:szCs w:val="24"/>
          <w:lang w:val="sr-Cyrl-CS"/>
        </w:rPr>
        <w:t>независно судство је ј</w:t>
      </w:r>
      <w:r w:rsidR="005D38FE" w:rsidRPr="005D38FE">
        <w:rPr>
          <w:rFonts w:ascii="Times New Roman" w:hAnsi="Times New Roman"/>
          <w:sz w:val="24"/>
          <w:szCs w:val="24"/>
          <w:lang w:val="sr-Cyrl-CS"/>
        </w:rPr>
        <w:t>едан од најважнијих институ</w:t>
      </w:r>
      <w:r w:rsidR="00DF587D">
        <w:rPr>
          <w:rFonts w:ascii="Times New Roman" w:hAnsi="Times New Roman"/>
          <w:sz w:val="24"/>
          <w:szCs w:val="24"/>
          <w:lang w:val="sr-Cyrl-CS"/>
        </w:rPr>
        <w:t>ционалних предуслова за успоста</w:t>
      </w:r>
      <w:r w:rsidR="005D38FE" w:rsidRPr="005D38FE">
        <w:rPr>
          <w:rFonts w:ascii="Times New Roman" w:hAnsi="Times New Roman"/>
          <w:sz w:val="24"/>
          <w:szCs w:val="24"/>
          <w:lang w:val="sr-Cyrl-CS"/>
        </w:rPr>
        <w:t xml:space="preserve">вљање и одржавање правне државе. Судство </w:t>
      </w:r>
      <w:r>
        <w:rPr>
          <w:rFonts w:ascii="Times New Roman" w:hAnsi="Times New Roman"/>
          <w:sz w:val="24"/>
          <w:szCs w:val="24"/>
          <w:lang w:val="sr-Cyrl-CS"/>
        </w:rPr>
        <w:t xml:space="preserve">које није под утицајем </w:t>
      </w:r>
      <w:r w:rsidR="005D38FE" w:rsidRPr="005D38FE">
        <w:rPr>
          <w:rFonts w:ascii="Times New Roman" w:hAnsi="Times New Roman"/>
          <w:sz w:val="24"/>
          <w:szCs w:val="24"/>
          <w:lang w:val="sr-Cyrl-CS"/>
        </w:rPr>
        <w:t>политичке власти представља кључни гарант</w:t>
      </w:r>
      <w:r w:rsidR="00DF587D">
        <w:rPr>
          <w:rFonts w:ascii="Times New Roman" w:hAnsi="Times New Roman"/>
          <w:sz w:val="24"/>
          <w:szCs w:val="24"/>
          <w:lang w:val="sr-Cyrl-CS"/>
        </w:rPr>
        <w:t xml:space="preserve"> </w:t>
      </w:r>
      <w:r>
        <w:rPr>
          <w:rFonts w:ascii="Times New Roman" w:hAnsi="Times New Roman"/>
          <w:sz w:val="24"/>
          <w:szCs w:val="24"/>
          <w:lang w:val="sr-Cyrl-CS"/>
        </w:rPr>
        <w:t>владавине права. Такво судство</w:t>
      </w:r>
      <w:r w:rsidR="005D38FE" w:rsidRPr="005D38FE">
        <w:rPr>
          <w:rFonts w:ascii="Times New Roman" w:hAnsi="Times New Roman"/>
          <w:sz w:val="24"/>
          <w:szCs w:val="24"/>
          <w:lang w:val="sr-Cyrl-CS"/>
        </w:rPr>
        <w:t xml:space="preserve"> ће моћи да суди и осу</w:t>
      </w:r>
      <w:r w:rsidR="00DF587D">
        <w:rPr>
          <w:rFonts w:ascii="Times New Roman" w:hAnsi="Times New Roman"/>
          <w:sz w:val="24"/>
          <w:szCs w:val="24"/>
          <w:lang w:val="sr-Cyrl-CS"/>
        </w:rPr>
        <w:t>ђује грађане и представнике вла</w:t>
      </w:r>
      <w:r w:rsidR="005D38FE" w:rsidRPr="005D38FE">
        <w:rPr>
          <w:rFonts w:ascii="Times New Roman" w:hAnsi="Times New Roman"/>
          <w:sz w:val="24"/>
          <w:szCs w:val="24"/>
          <w:lang w:val="sr-Cyrl-CS"/>
        </w:rPr>
        <w:t>сти када буду кршили закон, без обзира на њихову политичку моћ или утицај.</w:t>
      </w:r>
      <w:r w:rsidR="00DF587D">
        <w:rPr>
          <w:rStyle w:val="FootnoteReference"/>
          <w:rFonts w:ascii="Times New Roman" w:hAnsi="Times New Roman"/>
          <w:sz w:val="24"/>
          <w:szCs w:val="24"/>
          <w:lang w:val="sr-Cyrl-CS"/>
        </w:rPr>
        <w:footnoteReference w:id="712"/>
      </w:r>
    </w:p>
    <w:p w:rsidR="001F4B89" w:rsidRPr="001415D1" w:rsidRDefault="00DA1663" w:rsidP="00A449F2">
      <w:pPr>
        <w:ind w:firstLine="630"/>
        <w:jc w:val="both"/>
        <w:rPr>
          <w:rFonts w:ascii="Times New Roman" w:hAnsi="Times New Roman"/>
          <w:sz w:val="24"/>
          <w:szCs w:val="24"/>
          <w:lang w:val="sr-Cyrl-CS"/>
        </w:rPr>
      </w:pPr>
      <w:r>
        <w:rPr>
          <w:rFonts w:ascii="Times New Roman" w:hAnsi="Times New Roman"/>
          <w:sz w:val="24"/>
          <w:szCs w:val="24"/>
          <w:lang w:val="sr-Cyrl-CS"/>
        </w:rPr>
        <w:t>Према Глобал</w:t>
      </w:r>
      <w:r w:rsidR="00AE5BEB">
        <w:rPr>
          <w:rFonts w:ascii="Times New Roman" w:hAnsi="Times New Roman"/>
          <w:sz w:val="24"/>
          <w:szCs w:val="24"/>
          <w:lang w:val="sr-Cyrl-CS"/>
        </w:rPr>
        <w:t>ном индексу перцепције корупције</w:t>
      </w:r>
      <w:r w:rsidR="009600B0">
        <w:rPr>
          <w:rFonts w:ascii="Times New Roman" w:hAnsi="Times New Roman"/>
          <w:sz w:val="24"/>
          <w:szCs w:val="24"/>
          <w:lang w:val="sr-Cyrl-CS"/>
        </w:rPr>
        <w:t xml:space="preserve"> </w:t>
      </w:r>
      <w:r w:rsidR="00AE5BEB">
        <w:rPr>
          <w:rFonts w:ascii="Times New Roman" w:hAnsi="Times New Roman"/>
          <w:sz w:val="24"/>
          <w:szCs w:val="24"/>
        </w:rPr>
        <w:t xml:space="preserve">(CPI) </w:t>
      </w:r>
      <w:r w:rsidR="009600B0">
        <w:rPr>
          <w:rFonts w:ascii="Times New Roman" w:hAnsi="Times New Roman"/>
          <w:sz w:val="24"/>
          <w:szCs w:val="24"/>
          <w:lang w:val="sr-Cyrl-CS"/>
        </w:rPr>
        <w:t>Transparency Internationa</w:t>
      </w:r>
      <w:r>
        <w:rPr>
          <w:rFonts w:ascii="Times New Roman" w:hAnsi="Times New Roman"/>
          <w:sz w:val="24"/>
          <w:szCs w:val="24"/>
        </w:rPr>
        <w:t>l</w:t>
      </w:r>
      <w:r w:rsidR="00AE5BEB">
        <w:rPr>
          <w:rStyle w:val="FootnoteReference"/>
          <w:rFonts w:ascii="Times New Roman" w:hAnsi="Times New Roman"/>
          <w:sz w:val="24"/>
          <w:szCs w:val="24"/>
        </w:rPr>
        <w:footnoteReference w:id="713"/>
      </w:r>
      <w:r w:rsidR="009600B0" w:rsidRPr="009600B0">
        <w:rPr>
          <w:rFonts w:ascii="Times New Roman" w:hAnsi="Times New Roman"/>
          <w:sz w:val="24"/>
          <w:szCs w:val="24"/>
          <w:lang w:val="sr-Cyrl-CS"/>
        </w:rPr>
        <w:t xml:space="preserve"> </w:t>
      </w:r>
      <w:r w:rsidR="00AE5BEB">
        <w:rPr>
          <w:rFonts w:ascii="Times New Roman" w:hAnsi="Times New Roman"/>
          <w:sz w:val="24"/>
          <w:szCs w:val="24"/>
        </w:rPr>
        <w:t xml:space="preserve">2013. </w:t>
      </w:r>
      <w:r w:rsidR="00AE5BEB">
        <w:rPr>
          <w:rFonts w:ascii="Times New Roman" w:hAnsi="Times New Roman"/>
          <w:sz w:val="24"/>
          <w:szCs w:val="24"/>
          <w:lang w:val="sr-Cyrl-CS"/>
        </w:rPr>
        <w:t>г</w:t>
      </w:r>
      <w:r w:rsidR="00AE5BEB">
        <w:rPr>
          <w:rFonts w:ascii="Times New Roman" w:hAnsi="Times New Roman"/>
          <w:sz w:val="24"/>
          <w:szCs w:val="24"/>
        </w:rPr>
        <w:t xml:space="preserve">одину </w:t>
      </w:r>
      <w:r w:rsidR="001415D1">
        <w:rPr>
          <w:rFonts w:ascii="Times New Roman" w:hAnsi="Times New Roman"/>
          <w:sz w:val="24"/>
          <w:szCs w:val="24"/>
          <w:lang w:val="sr-Cyrl-CS"/>
        </w:rPr>
        <w:t xml:space="preserve">Србија се налази на 72. месту од 177 држава у којима је спорведено истраживање. Према Глобалном барометру корупције, на основу истраживања наведене организације, које је споведено крајем 2012. и почетком 2013. </w:t>
      </w:r>
      <w:r w:rsidR="001415D1">
        <w:rPr>
          <w:rFonts w:ascii="Times New Roman" w:hAnsi="Times New Roman"/>
          <w:sz w:val="24"/>
          <w:szCs w:val="24"/>
          <w:lang w:val="sr-Cyrl-CS"/>
        </w:rPr>
        <w:lastRenderedPageBreak/>
        <w:t>године на преко 1000 испитаника,  више од половине грађана сматра да су веома корумпиране пол</w:t>
      </w:r>
      <w:r w:rsidR="00C60397">
        <w:rPr>
          <w:rFonts w:ascii="Times New Roman" w:hAnsi="Times New Roman"/>
          <w:sz w:val="24"/>
          <w:szCs w:val="24"/>
          <w:lang w:val="sr-Cyrl-CS"/>
        </w:rPr>
        <w:t>и</w:t>
      </w:r>
      <w:r w:rsidR="001415D1">
        <w:rPr>
          <w:rFonts w:ascii="Times New Roman" w:hAnsi="Times New Roman"/>
          <w:sz w:val="24"/>
          <w:szCs w:val="24"/>
          <w:lang w:val="sr-Cyrl-CS"/>
        </w:rPr>
        <w:t xml:space="preserve">тичке партије, судство, јавни службеници и здравство, док мало мање испитаника такав став има о политици, парламенту и образовном систему земље. </w:t>
      </w:r>
      <w:r w:rsidR="009C268C">
        <w:rPr>
          <w:rFonts w:ascii="Times New Roman" w:hAnsi="Times New Roman"/>
          <w:sz w:val="24"/>
          <w:szCs w:val="24"/>
          <w:lang w:val="sr-Cyrl-CS"/>
        </w:rPr>
        <w:t xml:space="preserve">У готово свим </w:t>
      </w:r>
      <w:r w:rsidR="001415D1">
        <w:rPr>
          <w:rFonts w:ascii="Times New Roman" w:hAnsi="Times New Roman"/>
          <w:sz w:val="24"/>
          <w:szCs w:val="24"/>
          <w:lang w:val="sr-Cyrl-CS"/>
        </w:rPr>
        <w:t xml:space="preserve"> </w:t>
      </w:r>
      <w:r w:rsidR="00230FBA">
        <w:rPr>
          <w:rFonts w:ascii="Times New Roman" w:hAnsi="Times New Roman"/>
          <w:sz w:val="24"/>
          <w:szCs w:val="24"/>
          <w:lang w:val="sr-Cyrl-CS"/>
        </w:rPr>
        <w:t>посма</w:t>
      </w:r>
      <w:r w:rsidR="009C268C">
        <w:rPr>
          <w:rFonts w:ascii="Times New Roman" w:hAnsi="Times New Roman"/>
          <w:sz w:val="24"/>
          <w:szCs w:val="24"/>
          <w:lang w:val="sr-Cyrl-CS"/>
        </w:rPr>
        <w:t>траним областима дошло је до повећања случајева подмићивања и чак 26% оних који су били у контакту са службама у области услуга у вези са некретнинама тврди да дају мито, у вези здравственог сектора то тврди 20,8%, у судству то је 18, 8%, у полицији 16% и у сектору образовања 14,9%.</w:t>
      </w:r>
    </w:p>
    <w:p w:rsidR="009600B0" w:rsidRDefault="009600B0" w:rsidP="009600B0">
      <w:pPr>
        <w:ind w:firstLine="630"/>
        <w:jc w:val="both"/>
        <w:rPr>
          <w:rFonts w:ascii="Times New Roman" w:hAnsi="Times New Roman"/>
          <w:sz w:val="24"/>
          <w:szCs w:val="24"/>
          <w:lang w:val="sr-Cyrl-CS"/>
        </w:rPr>
      </w:pPr>
      <w:r>
        <w:rPr>
          <w:rFonts w:ascii="Times New Roman" w:hAnsi="Times New Roman"/>
          <w:sz w:val="24"/>
          <w:szCs w:val="24"/>
          <w:lang w:val="sr-Cyrl-CS"/>
        </w:rPr>
        <w:t>Посматрано са становишта садржаја функција које се обављају у правосуђу корупција се може испољити у следећим областима:</w:t>
      </w:r>
      <w:r w:rsidR="002877ED">
        <w:rPr>
          <w:rStyle w:val="FootnoteReference"/>
          <w:rFonts w:ascii="Times New Roman" w:hAnsi="Times New Roman"/>
          <w:sz w:val="24"/>
          <w:szCs w:val="24"/>
          <w:lang w:val="sr-Cyrl-CS"/>
        </w:rPr>
        <w:footnoteReference w:id="714"/>
      </w:r>
    </w:p>
    <w:p w:rsidR="009600B0" w:rsidRDefault="00BD3652" w:rsidP="009600B0">
      <w:pPr>
        <w:numPr>
          <w:ilvl w:val="0"/>
          <w:numId w:val="2"/>
        </w:numPr>
        <w:jc w:val="both"/>
        <w:rPr>
          <w:rFonts w:ascii="Times New Roman" w:hAnsi="Times New Roman"/>
          <w:sz w:val="24"/>
          <w:szCs w:val="24"/>
          <w:lang w:val="sr-Cyrl-CS"/>
        </w:rPr>
      </w:pPr>
      <w:r>
        <w:rPr>
          <w:rFonts w:ascii="Times New Roman" w:hAnsi="Times New Roman"/>
          <w:sz w:val="24"/>
          <w:szCs w:val="24"/>
          <w:lang w:val="sr-Cyrl-CS"/>
        </w:rPr>
        <w:t>с</w:t>
      </w:r>
      <w:r w:rsidR="009600B0">
        <w:rPr>
          <w:rFonts w:ascii="Times New Roman" w:hAnsi="Times New Roman"/>
          <w:sz w:val="24"/>
          <w:szCs w:val="24"/>
          <w:lang w:val="sr-Cyrl-CS"/>
        </w:rPr>
        <w:t>лободне оцене доказа за утврђивање кривице оптуженог;</w:t>
      </w:r>
    </w:p>
    <w:p w:rsidR="009600B0" w:rsidRDefault="00BD3652" w:rsidP="009600B0">
      <w:pPr>
        <w:numPr>
          <w:ilvl w:val="0"/>
          <w:numId w:val="2"/>
        </w:numPr>
        <w:jc w:val="both"/>
        <w:rPr>
          <w:rFonts w:ascii="Times New Roman" w:hAnsi="Times New Roman"/>
          <w:sz w:val="24"/>
          <w:szCs w:val="24"/>
          <w:lang w:val="sr-Cyrl-CS"/>
        </w:rPr>
      </w:pPr>
      <w:r>
        <w:rPr>
          <w:rFonts w:ascii="Times New Roman" w:hAnsi="Times New Roman"/>
          <w:sz w:val="24"/>
          <w:szCs w:val="24"/>
          <w:lang w:val="sr-Cyrl-CS"/>
        </w:rPr>
        <w:t>о</w:t>
      </w:r>
      <w:r w:rsidR="009600B0">
        <w:rPr>
          <w:rFonts w:ascii="Times New Roman" w:hAnsi="Times New Roman"/>
          <w:sz w:val="24"/>
          <w:szCs w:val="24"/>
          <w:lang w:val="sr-Cyrl-CS"/>
        </w:rPr>
        <w:t>цене постојања услова за одређивање или пуштање из притвора;</w:t>
      </w:r>
    </w:p>
    <w:p w:rsidR="009600B0" w:rsidRDefault="00BD3652" w:rsidP="009600B0">
      <w:pPr>
        <w:numPr>
          <w:ilvl w:val="0"/>
          <w:numId w:val="2"/>
        </w:numPr>
        <w:jc w:val="both"/>
        <w:rPr>
          <w:rFonts w:ascii="Times New Roman" w:hAnsi="Times New Roman"/>
          <w:sz w:val="24"/>
          <w:szCs w:val="24"/>
          <w:lang w:val="sr-Cyrl-CS"/>
        </w:rPr>
      </w:pPr>
      <w:r>
        <w:rPr>
          <w:rFonts w:ascii="Times New Roman" w:hAnsi="Times New Roman"/>
          <w:sz w:val="24"/>
          <w:szCs w:val="24"/>
          <w:lang w:val="sr-Cyrl-CS"/>
        </w:rPr>
        <w:t>о</w:t>
      </w:r>
      <w:r w:rsidR="009600B0">
        <w:rPr>
          <w:rFonts w:ascii="Times New Roman" w:hAnsi="Times New Roman"/>
          <w:sz w:val="24"/>
          <w:szCs w:val="24"/>
          <w:lang w:val="sr-Cyrl-CS"/>
        </w:rPr>
        <w:t>цена олакшавајућих и отежавајућих околности за утврђивање висине казне;</w:t>
      </w:r>
    </w:p>
    <w:p w:rsidR="009600B0" w:rsidRDefault="00BD3652" w:rsidP="009600B0">
      <w:pPr>
        <w:numPr>
          <w:ilvl w:val="0"/>
          <w:numId w:val="2"/>
        </w:numPr>
        <w:jc w:val="both"/>
        <w:rPr>
          <w:rFonts w:ascii="Times New Roman" w:hAnsi="Times New Roman"/>
          <w:sz w:val="24"/>
          <w:szCs w:val="24"/>
          <w:lang w:val="sr-Cyrl-CS"/>
        </w:rPr>
      </w:pPr>
      <w:r>
        <w:rPr>
          <w:rFonts w:ascii="Times New Roman" w:hAnsi="Times New Roman"/>
          <w:sz w:val="24"/>
          <w:szCs w:val="24"/>
          <w:lang w:val="sr-Cyrl-CS"/>
        </w:rPr>
        <w:t>п</w:t>
      </w:r>
      <w:r w:rsidR="009600B0">
        <w:rPr>
          <w:rFonts w:ascii="Times New Roman" w:hAnsi="Times New Roman"/>
          <w:sz w:val="24"/>
          <w:szCs w:val="24"/>
          <w:lang w:val="sr-Cyrl-CS"/>
        </w:rPr>
        <w:t>остојање услова за одлагање извршења изречене казне;</w:t>
      </w:r>
    </w:p>
    <w:p w:rsidR="009600B0" w:rsidRDefault="00BD3652" w:rsidP="009600B0">
      <w:pPr>
        <w:numPr>
          <w:ilvl w:val="0"/>
          <w:numId w:val="2"/>
        </w:numPr>
        <w:jc w:val="both"/>
        <w:rPr>
          <w:rFonts w:ascii="Times New Roman" w:hAnsi="Times New Roman"/>
          <w:sz w:val="24"/>
          <w:szCs w:val="24"/>
          <w:lang w:val="sr-Cyrl-CS"/>
        </w:rPr>
      </w:pPr>
      <w:r>
        <w:rPr>
          <w:rFonts w:ascii="Times New Roman" w:hAnsi="Times New Roman"/>
          <w:sz w:val="24"/>
          <w:szCs w:val="24"/>
          <w:lang w:val="sr-Cyrl-CS"/>
        </w:rPr>
        <w:t>о</w:t>
      </w:r>
      <w:r w:rsidR="009600B0">
        <w:rPr>
          <w:rFonts w:ascii="Times New Roman" w:hAnsi="Times New Roman"/>
          <w:sz w:val="24"/>
          <w:szCs w:val="24"/>
          <w:lang w:val="sr-Cyrl-CS"/>
        </w:rPr>
        <w:t>длагање главног претреса и рочишта и одуговлачење поступка;</w:t>
      </w:r>
    </w:p>
    <w:p w:rsidR="009600B0" w:rsidRDefault="00BD3652" w:rsidP="009600B0">
      <w:pPr>
        <w:numPr>
          <w:ilvl w:val="0"/>
          <w:numId w:val="2"/>
        </w:numPr>
        <w:jc w:val="both"/>
        <w:rPr>
          <w:rFonts w:ascii="Times New Roman" w:hAnsi="Times New Roman"/>
          <w:sz w:val="24"/>
          <w:szCs w:val="24"/>
          <w:lang w:val="sr-Cyrl-CS"/>
        </w:rPr>
      </w:pPr>
      <w:r>
        <w:rPr>
          <w:rFonts w:ascii="Times New Roman" w:hAnsi="Times New Roman"/>
          <w:sz w:val="24"/>
          <w:szCs w:val="24"/>
          <w:lang w:val="sr-Cyrl-CS"/>
        </w:rPr>
        <w:t>у</w:t>
      </w:r>
      <w:r w:rsidR="002877ED">
        <w:rPr>
          <w:rFonts w:ascii="Times New Roman" w:hAnsi="Times New Roman"/>
          <w:sz w:val="24"/>
          <w:szCs w:val="24"/>
          <w:lang w:val="sr-Cyrl-CS"/>
        </w:rPr>
        <w:t>спостављање незаконитих веза између судија и адвоката, односно вештака;</w:t>
      </w:r>
    </w:p>
    <w:p w:rsidR="002877ED" w:rsidRDefault="00BD3652" w:rsidP="009600B0">
      <w:pPr>
        <w:numPr>
          <w:ilvl w:val="0"/>
          <w:numId w:val="2"/>
        </w:numPr>
        <w:jc w:val="both"/>
        <w:rPr>
          <w:rFonts w:ascii="Times New Roman" w:hAnsi="Times New Roman"/>
          <w:sz w:val="24"/>
          <w:szCs w:val="24"/>
          <w:lang w:val="sr-Cyrl-CS"/>
        </w:rPr>
      </w:pPr>
      <w:r>
        <w:rPr>
          <w:rFonts w:ascii="Times New Roman" w:hAnsi="Times New Roman"/>
          <w:sz w:val="24"/>
          <w:szCs w:val="24"/>
          <w:lang w:val="sr-Cyrl-CS"/>
        </w:rPr>
        <w:t>у</w:t>
      </w:r>
      <w:r w:rsidR="002877ED">
        <w:rPr>
          <w:rFonts w:ascii="Times New Roman" w:hAnsi="Times New Roman"/>
          <w:sz w:val="24"/>
          <w:szCs w:val="24"/>
          <w:lang w:val="sr-Cyrl-CS"/>
        </w:rPr>
        <w:t>спостављање веза са орга</w:t>
      </w:r>
      <w:r w:rsidR="009C268C">
        <w:rPr>
          <w:rFonts w:ascii="Times New Roman" w:hAnsi="Times New Roman"/>
          <w:sz w:val="24"/>
          <w:szCs w:val="24"/>
          <w:lang w:val="sr-Cyrl-CS"/>
        </w:rPr>
        <w:t>низованим криминалом и др.</w:t>
      </w:r>
    </w:p>
    <w:p w:rsidR="002877ED" w:rsidRDefault="002877ED" w:rsidP="00230FBA">
      <w:pPr>
        <w:ind w:firstLine="360"/>
        <w:jc w:val="both"/>
        <w:rPr>
          <w:rFonts w:ascii="Times New Roman" w:hAnsi="Times New Roman"/>
          <w:sz w:val="24"/>
          <w:szCs w:val="24"/>
          <w:lang w:val="sr-Cyrl-CS"/>
        </w:rPr>
      </w:pPr>
      <w:r>
        <w:rPr>
          <w:rFonts w:ascii="Times New Roman" w:hAnsi="Times New Roman"/>
          <w:sz w:val="24"/>
          <w:szCs w:val="24"/>
          <w:lang w:val="sr-Cyrl-CS"/>
        </w:rPr>
        <w:t>У вршењу послова тужилатва корупција се посебно испољава у следећим областима:</w:t>
      </w:r>
      <w:r w:rsidR="00230FBA">
        <w:rPr>
          <w:rFonts w:ascii="Times New Roman" w:hAnsi="Times New Roman"/>
          <w:sz w:val="24"/>
          <w:szCs w:val="24"/>
          <w:lang w:val="sr-Cyrl-CS"/>
        </w:rPr>
        <w:t xml:space="preserve"> </w:t>
      </w:r>
    </w:p>
    <w:p w:rsidR="002877ED" w:rsidRDefault="002877ED" w:rsidP="009600B0">
      <w:pPr>
        <w:numPr>
          <w:ilvl w:val="0"/>
          <w:numId w:val="2"/>
        </w:numPr>
        <w:jc w:val="both"/>
        <w:rPr>
          <w:rFonts w:ascii="Times New Roman" w:hAnsi="Times New Roman"/>
          <w:sz w:val="24"/>
          <w:szCs w:val="24"/>
          <w:lang w:val="sr-Cyrl-CS"/>
        </w:rPr>
      </w:pPr>
      <w:r>
        <w:rPr>
          <w:rFonts w:ascii="Times New Roman" w:hAnsi="Times New Roman"/>
          <w:sz w:val="24"/>
          <w:szCs w:val="24"/>
          <w:lang w:val="sr-Cyrl-CS"/>
        </w:rPr>
        <w:t>Постојање услова за одбачај кривичне пријаве;</w:t>
      </w:r>
    </w:p>
    <w:p w:rsidR="002877ED" w:rsidRDefault="002877ED" w:rsidP="009600B0">
      <w:pPr>
        <w:numPr>
          <w:ilvl w:val="0"/>
          <w:numId w:val="2"/>
        </w:numPr>
        <w:jc w:val="both"/>
        <w:rPr>
          <w:rFonts w:ascii="Times New Roman" w:hAnsi="Times New Roman"/>
          <w:sz w:val="24"/>
          <w:szCs w:val="24"/>
          <w:lang w:val="sr-Cyrl-CS"/>
        </w:rPr>
      </w:pPr>
      <w:r>
        <w:rPr>
          <w:rFonts w:ascii="Times New Roman" w:hAnsi="Times New Roman"/>
          <w:sz w:val="24"/>
          <w:szCs w:val="24"/>
          <w:lang w:val="sr-Cyrl-CS"/>
        </w:rPr>
        <w:t>Одуговлачење поступка са тражењем потребних обавештења од пол</w:t>
      </w:r>
      <w:r w:rsidR="00553C04">
        <w:rPr>
          <w:rFonts w:ascii="Times New Roman" w:hAnsi="Times New Roman"/>
          <w:sz w:val="24"/>
          <w:szCs w:val="24"/>
          <w:lang w:val="sr-Cyrl-CS"/>
        </w:rPr>
        <w:t>и</w:t>
      </w:r>
      <w:r>
        <w:rPr>
          <w:rFonts w:ascii="Times New Roman" w:hAnsi="Times New Roman"/>
          <w:sz w:val="24"/>
          <w:szCs w:val="24"/>
          <w:lang w:val="sr-Cyrl-CS"/>
        </w:rPr>
        <w:t>ције и других органа;</w:t>
      </w:r>
    </w:p>
    <w:p w:rsidR="002877ED" w:rsidRDefault="002877ED" w:rsidP="009600B0">
      <w:pPr>
        <w:numPr>
          <w:ilvl w:val="0"/>
          <w:numId w:val="2"/>
        </w:numPr>
        <w:jc w:val="both"/>
        <w:rPr>
          <w:rFonts w:ascii="Times New Roman" w:hAnsi="Times New Roman"/>
          <w:sz w:val="24"/>
          <w:szCs w:val="24"/>
          <w:lang w:val="sr-Cyrl-CS"/>
        </w:rPr>
      </w:pPr>
      <w:r>
        <w:rPr>
          <w:rFonts w:ascii="Times New Roman" w:hAnsi="Times New Roman"/>
          <w:sz w:val="24"/>
          <w:szCs w:val="24"/>
          <w:lang w:val="sr-Cyrl-CS"/>
        </w:rPr>
        <w:t>Одустанак од гоњења услед недостатка доказа;</w:t>
      </w:r>
    </w:p>
    <w:p w:rsidR="009078FF" w:rsidRPr="009078FF" w:rsidRDefault="002877ED" w:rsidP="009078FF">
      <w:pPr>
        <w:numPr>
          <w:ilvl w:val="0"/>
          <w:numId w:val="2"/>
        </w:numPr>
        <w:jc w:val="both"/>
        <w:rPr>
          <w:rFonts w:ascii="Times New Roman" w:hAnsi="Times New Roman"/>
          <w:sz w:val="24"/>
          <w:szCs w:val="24"/>
          <w:lang w:val="sr-Cyrl-CS"/>
        </w:rPr>
      </w:pPr>
      <w:r>
        <w:rPr>
          <w:rFonts w:ascii="Times New Roman" w:hAnsi="Times New Roman"/>
          <w:sz w:val="24"/>
          <w:szCs w:val="24"/>
          <w:lang w:val="sr-Cyrl-CS"/>
        </w:rPr>
        <w:t>Успостављање веза са организованим криминалом и др.</w:t>
      </w:r>
    </w:p>
    <w:p w:rsidR="00AB3526" w:rsidRDefault="00AB3526" w:rsidP="00553C04">
      <w:pPr>
        <w:ind w:firstLine="360"/>
        <w:jc w:val="both"/>
        <w:rPr>
          <w:rFonts w:ascii="Times New Roman" w:hAnsi="Times New Roman"/>
          <w:sz w:val="24"/>
          <w:szCs w:val="24"/>
          <w:lang w:val="sr-Cyrl-CS"/>
        </w:rPr>
      </w:pPr>
      <w:r>
        <w:rPr>
          <w:rFonts w:ascii="Times New Roman" w:hAnsi="Times New Roman"/>
          <w:sz w:val="24"/>
          <w:szCs w:val="24"/>
          <w:lang w:val="sr-Cyrl-CS"/>
        </w:rPr>
        <w:t>Веома значајну карику корупције у п</w:t>
      </w:r>
      <w:r w:rsidR="00553C04">
        <w:rPr>
          <w:rFonts w:ascii="Times New Roman" w:hAnsi="Times New Roman"/>
          <w:sz w:val="24"/>
          <w:szCs w:val="24"/>
          <w:lang w:val="sr-Cyrl-CS"/>
        </w:rPr>
        <w:t>р</w:t>
      </w:r>
      <w:r>
        <w:rPr>
          <w:rFonts w:ascii="Times New Roman" w:hAnsi="Times New Roman"/>
          <w:sz w:val="24"/>
          <w:szCs w:val="24"/>
          <w:lang w:val="sr-Cyrl-CS"/>
        </w:rPr>
        <w:t>авосуђу представљају административни р</w:t>
      </w:r>
      <w:r w:rsidR="000A6667">
        <w:rPr>
          <w:rFonts w:ascii="Times New Roman" w:hAnsi="Times New Roman"/>
          <w:sz w:val="24"/>
          <w:szCs w:val="24"/>
          <w:lang w:val="sr-Cyrl-CS"/>
        </w:rPr>
        <w:t>адници у судовима</w:t>
      </w:r>
      <w:r>
        <w:rPr>
          <w:rFonts w:ascii="Times New Roman" w:hAnsi="Times New Roman"/>
          <w:sz w:val="24"/>
          <w:szCs w:val="24"/>
          <w:lang w:val="sr-Cyrl-CS"/>
        </w:rPr>
        <w:t>, адвока</w:t>
      </w:r>
      <w:r w:rsidR="000A6667">
        <w:rPr>
          <w:rFonts w:ascii="Times New Roman" w:hAnsi="Times New Roman"/>
          <w:sz w:val="24"/>
          <w:szCs w:val="24"/>
          <w:lang w:val="sr-Cyrl-CS"/>
        </w:rPr>
        <w:t>ти</w:t>
      </w:r>
      <w:r>
        <w:rPr>
          <w:rFonts w:ascii="Times New Roman" w:hAnsi="Times New Roman"/>
          <w:sz w:val="24"/>
          <w:szCs w:val="24"/>
          <w:lang w:val="sr-Cyrl-CS"/>
        </w:rPr>
        <w:t xml:space="preserve"> и судски вештаци. </w:t>
      </w:r>
      <w:r w:rsidR="000A6667">
        <w:rPr>
          <w:rFonts w:ascii="Times New Roman" w:hAnsi="Times New Roman"/>
          <w:sz w:val="24"/>
          <w:szCs w:val="24"/>
          <w:lang w:val="sr-Cyrl-CS"/>
        </w:rPr>
        <w:t>Тако радници у писарници могу утицати ком судији ће</w:t>
      </w:r>
      <w:r w:rsidR="00553C04">
        <w:rPr>
          <w:rFonts w:ascii="Times New Roman" w:hAnsi="Times New Roman"/>
          <w:sz w:val="24"/>
          <w:szCs w:val="24"/>
          <w:lang w:val="sr-Cyrl-CS"/>
        </w:rPr>
        <w:t xml:space="preserve"> доћи предмет у рад, могу манип</w:t>
      </w:r>
      <w:r w:rsidR="000A6667">
        <w:rPr>
          <w:rFonts w:ascii="Times New Roman" w:hAnsi="Times New Roman"/>
          <w:sz w:val="24"/>
          <w:szCs w:val="24"/>
          <w:lang w:val="sr-Cyrl-CS"/>
        </w:rPr>
        <w:t>улисати документацијом која им је доступна, док судски позивари могу утицати на уредност доставе позива, што је у парничним поступцима веома значајно. Адвокати су у повољној позицији јер лично познају и контактирају са зпосленима, док од налаза и мишљења судских вештака зависе одлуке суда у поступцима, јер судије, често без икакве претходне критичке анализе и процене вешачења, иста прихватају у целости и на</w:t>
      </w:r>
      <w:r w:rsidR="00553C04">
        <w:rPr>
          <w:rFonts w:ascii="Times New Roman" w:hAnsi="Times New Roman"/>
          <w:sz w:val="24"/>
          <w:szCs w:val="24"/>
          <w:lang w:val="sr-Cyrl-CS"/>
        </w:rPr>
        <w:t xml:space="preserve"> </w:t>
      </w:r>
      <w:r w:rsidR="000A6667">
        <w:rPr>
          <w:rFonts w:ascii="Times New Roman" w:hAnsi="Times New Roman"/>
          <w:sz w:val="24"/>
          <w:szCs w:val="24"/>
          <w:lang w:val="sr-Cyrl-CS"/>
        </w:rPr>
        <w:t>њима заснивају своје одлуке, иако исто треба да се цени у контексту других доказа.</w:t>
      </w:r>
      <w:r w:rsidR="00553C04">
        <w:rPr>
          <w:rFonts w:ascii="Times New Roman" w:hAnsi="Times New Roman"/>
          <w:sz w:val="24"/>
          <w:szCs w:val="24"/>
          <w:lang w:val="sr-Cyrl-CS"/>
        </w:rPr>
        <w:t xml:space="preserve"> </w:t>
      </w:r>
    </w:p>
    <w:p w:rsidR="000A6667" w:rsidRDefault="009C268C" w:rsidP="00553C04">
      <w:pPr>
        <w:ind w:firstLine="360"/>
        <w:jc w:val="both"/>
        <w:rPr>
          <w:rFonts w:ascii="Times New Roman" w:hAnsi="Times New Roman"/>
          <w:sz w:val="24"/>
          <w:szCs w:val="24"/>
          <w:lang w:val="sr-Cyrl-CS"/>
        </w:rPr>
      </w:pPr>
      <w:r>
        <w:rPr>
          <w:rFonts w:ascii="Times New Roman" w:hAnsi="Times New Roman"/>
          <w:sz w:val="24"/>
          <w:szCs w:val="24"/>
          <w:lang w:val="sr-Cyrl-CS"/>
        </w:rPr>
        <w:lastRenderedPageBreak/>
        <w:t>П</w:t>
      </w:r>
      <w:r w:rsidR="000A6667">
        <w:rPr>
          <w:rFonts w:ascii="Times New Roman" w:hAnsi="Times New Roman"/>
          <w:sz w:val="24"/>
          <w:szCs w:val="24"/>
          <w:lang w:val="sr-Cyrl-CS"/>
        </w:rPr>
        <w:t>охлепни и неодоговорни запослени у правосуђу оваквим својим коруптивним понашањем компромитују читаву професију, читав правни систем и подстичу стварање неповерења, подозрења и револта грађана.</w:t>
      </w:r>
      <w:r w:rsidR="00553C04">
        <w:rPr>
          <w:rFonts w:ascii="Times New Roman" w:hAnsi="Times New Roman"/>
          <w:sz w:val="24"/>
          <w:szCs w:val="24"/>
          <w:lang w:val="sr-Cyrl-CS"/>
        </w:rPr>
        <w:t xml:space="preserve"> </w:t>
      </w:r>
    </w:p>
    <w:p w:rsidR="009C268C" w:rsidRDefault="009C268C" w:rsidP="009C268C">
      <w:pPr>
        <w:ind w:firstLine="708"/>
        <w:jc w:val="both"/>
        <w:rPr>
          <w:rFonts w:ascii="Times New Roman" w:hAnsi="Times New Roman"/>
          <w:sz w:val="24"/>
          <w:szCs w:val="24"/>
          <w:lang w:val="sr-Cyrl-CS"/>
        </w:rPr>
      </w:pPr>
      <w:r>
        <w:rPr>
          <w:rFonts w:ascii="Times New Roman" w:hAnsi="Times New Roman"/>
          <w:sz w:val="24"/>
          <w:szCs w:val="24"/>
          <w:lang w:val="sr-Cyrl-CS"/>
        </w:rPr>
        <w:t xml:space="preserve">На основу наведеног, може се </w:t>
      </w:r>
      <w:r w:rsidR="004946CA">
        <w:rPr>
          <w:rFonts w:ascii="Times New Roman" w:hAnsi="Times New Roman"/>
          <w:sz w:val="24"/>
          <w:szCs w:val="24"/>
          <w:lang w:val="sr-Cyrl-CS"/>
        </w:rPr>
        <w:t>извући закључак</w:t>
      </w:r>
      <w:r>
        <w:rPr>
          <w:rFonts w:ascii="Times New Roman" w:hAnsi="Times New Roman"/>
          <w:sz w:val="24"/>
          <w:szCs w:val="24"/>
          <w:lang w:val="sr-Cyrl-CS"/>
        </w:rPr>
        <w:t xml:space="preserve"> да је стање корупције у пра</w:t>
      </w:r>
      <w:r w:rsidRPr="009C268C">
        <w:rPr>
          <w:rFonts w:ascii="Times New Roman" w:hAnsi="Times New Roman"/>
          <w:sz w:val="24"/>
          <w:szCs w:val="24"/>
          <w:lang w:val="sr-Cyrl-CS"/>
        </w:rPr>
        <w:t xml:space="preserve">восуђу </w:t>
      </w:r>
      <w:r w:rsidR="004946CA">
        <w:rPr>
          <w:rFonts w:ascii="Times New Roman" w:hAnsi="Times New Roman"/>
          <w:sz w:val="24"/>
          <w:szCs w:val="24"/>
          <w:lang w:val="sr-Cyrl-CS"/>
        </w:rPr>
        <w:t>обрнуто сразмерно</w:t>
      </w:r>
      <w:r>
        <w:rPr>
          <w:rFonts w:ascii="Times New Roman" w:hAnsi="Times New Roman"/>
          <w:sz w:val="24"/>
          <w:szCs w:val="24"/>
          <w:lang w:val="sr-Cyrl-CS"/>
        </w:rPr>
        <w:t xml:space="preserve"> са стањем вла</w:t>
      </w:r>
      <w:r w:rsidRPr="009C268C">
        <w:rPr>
          <w:rFonts w:ascii="Times New Roman" w:hAnsi="Times New Roman"/>
          <w:sz w:val="24"/>
          <w:szCs w:val="24"/>
          <w:lang w:val="sr-Cyrl-CS"/>
        </w:rPr>
        <w:t>давине пра</w:t>
      </w:r>
      <w:r w:rsidR="00091C1E">
        <w:rPr>
          <w:rFonts w:ascii="Times New Roman" w:hAnsi="Times New Roman"/>
          <w:sz w:val="24"/>
          <w:szCs w:val="24"/>
          <w:lang w:val="sr-Cyrl-CS"/>
        </w:rPr>
        <w:t>ва и правне државе. Г</w:t>
      </w:r>
      <w:r>
        <w:rPr>
          <w:rFonts w:ascii="Times New Roman" w:hAnsi="Times New Roman"/>
          <w:sz w:val="24"/>
          <w:szCs w:val="24"/>
          <w:lang w:val="sr-Cyrl-CS"/>
        </w:rPr>
        <w:t xml:space="preserve">де је мање </w:t>
      </w:r>
      <w:r w:rsidRPr="009C268C">
        <w:rPr>
          <w:rFonts w:ascii="Times New Roman" w:hAnsi="Times New Roman"/>
          <w:sz w:val="24"/>
          <w:szCs w:val="24"/>
          <w:lang w:val="sr-Cyrl-CS"/>
        </w:rPr>
        <w:t xml:space="preserve">владавине права и правне државе више </w:t>
      </w:r>
      <w:r>
        <w:rPr>
          <w:rFonts w:ascii="Times New Roman" w:hAnsi="Times New Roman"/>
          <w:sz w:val="24"/>
          <w:szCs w:val="24"/>
          <w:lang w:val="sr-Cyrl-CS"/>
        </w:rPr>
        <w:t>је корупције,</w:t>
      </w:r>
      <w:r w:rsidRPr="009C268C">
        <w:rPr>
          <w:rFonts w:ascii="Times New Roman" w:hAnsi="Times New Roman"/>
          <w:sz w:val="24"/>
          <w:szCs w:val="24"/>
          <w:lang w:val="sr-Cyrl-CS"/>
        </w:rPr>
        <w:t xml:space="preserve"> </w:t>
      </w:r>
      <w:r w:rsidR="00E45F7D">
        <w:rPr>
          <w:rFonts w:ascii="Times New Roman" w:hAnsi="Times New Roman"/>
          <w:sz w:val="24"/>
          <w:szCs w:val="24"/>
          <w:lang w:val="sr-Cyrl-CS"/>
        </w:rPr>
        <w:t xml:space="preserve">и обрнуто </w:t>
      </w:r>
      <w:r w:rsidRPr="009C268C">
        <w:rPr>
          <w:rFonts w:ascii="Times New Roman" w:hAnsi="Times New Roman"/>
          <w:sz w:val="24"/>
          <w:szCs w:val="24"/>
          <w:lang w:val="sr-Cyrl-CS"/>
        </w:rPr>
        <w:t>где је више владавине права и правне државе  мање је корупције</w:t>
      </w:r>
      <w:r>
        <w:rPr>
          <w:rFonts w:ascii="Times New Roman" w:hAnsi="Times New Roman"/>
          <w:sz w:val="24"/>
          <w:szCs w:val="24"/>
          <w:lang w:val="sr-Cyrl-CS"/>
        </w:rPr>
        <w:t>.</w:t>
      </w:r>
      <w:r>
        <w:rPr>
          <w:rStyle w:val="FootnoteReference"/>
          <w:rFonts w:ascii="Times New Roman" w:hAnsi="Times New Roman"/>
          <w:sz w:val="24"/>
          <w:szCs w:val="24"/>
          <w:lang w:val="sr-Cyrl-CS"/>
        </w:rPr>
        <w:footnoteReference w:id="715"/>
      </w:r>
    </w:p>
    <w:p w:rsidR="001671E0" w:rsidRPr="004946CA" w:rsidRDefault="001671E0" w:rsidP="004946CA">
      <w:pPr>
        <w:jc w:val="both"/>
        <w:rPr>
          <w:rFonts w:ascii="Times New Roman" w:hAnsi="Times New Roman"/>
          <w:sz w:val="24"/>
          <w:szCs w:val="24"/>
          <w:lang w:val="sr-Cyrl-CS"/>
        </w:rPr>
      </w:pPr>
    </w:p>
    <w:p w:rsidR="00BD7276" w:rsidRDefault="007F157B" w:rsidP="007F157B">
      <w:pPr>
        <w:pStyle w:val="ListParagraph"/>
        <w:numPr>
          <w:ilvl w:val="1"/>
          <w:numId w:val="4"/>
        </w:numPr>
        <w:jc w:val="center"/>
        <w:rPr>
          <w:rFonts w:ascii="Times New Roman" w:hAnsi="Times New Roman"/>
          <w:b/>
          <w:sz w:val="24"/>
          <w:szCs w:val="24"/>
          <w:lang w:val="sr-Cyrl-CS"/>
        </w:rPr>
      </w:pPr>
      <w:r>
        <w:rPr>
          <w:rFonts w:ascii="Times New Roman" w:hAnsi="Times New Roman"/>
          <w:b/>
          <w:sz w:val="24"/>
          <w:szCs w:val="24"/>
          <w:lang w:val="sr-Cyrl-CS"/>
        </w:rPr>
        <w:t xml:space="preserve"> Промет</w:t>
      </w:r>
      <w:r w:rsidRPr="007F157B">
        <w:rPr>
          <w:rFonts w:ascii="Times New Roman" w:hAnsi="Times New Roman"/>
          <w:b/>
          <w:sz w:val="24"/>
          <w:szCs w:val="24"/>
          <w:lang w:val="sr-Cyrl-CS"/>
        </w:rPr>
        <w:t xml:space="preserve"> роба и услуга</w:t>
      </w:r>
    </w:p>
    <w:p w:rsidR="001F4B89" w:rsidRDefault="001F4B89" w:rsidP="001F4B89">
      <w:pPr>
        <w:pStyle w:val="ListParagraph"/>
        <w:ind w:left="990"/>
        <w:rPr>
          <w:rFonts w:ascii="Times New Roman" w:hAnsi="Times New Roman"/>
          <w:b/>
          <w:sz w:val="24"/>
          <w:szCs w:val="24"/>
          <w:lang w:val="sr-Cyrl-CS"/>
        </w:rPr>
      </w:pPr>
    </w:p>
    <w:p w:rsidR="001F4B89" w:rsidRPr="007F157B" w:rsidRDefault="001F4B89" w:rsidP="001F4B89">
      <w:pPr>
        <w:pStyle w:val="ListParagraph"/>
        <w:ind w:left="990"/>
        <w:rPr>
          <w:rFonts w:ascii="Times New Roman" w:hAnsi="Times New Roman"/>
          <w:b/>
          <w:sz w:val="24"/>
          <w:szCs w:val="24"/>
          <w:lang w:val="sr-Cyrl-CS"/>
        </w:rPr>
      </w:pPr>
    </w:p>
    <w:p w:rsidR="00553C04" w:rsidRDefault="00A127E6" w:rsidP="000A1CCA">
      <w:pPr>
        <w:ind w:firstLine="630"/>
        <w:jc w:val="both"/>
        <w:rPr>
          <w:rFonts w:ascii="Times New Roman" w:hAnsi="Times New Roman"/>
          <w:sz w:val="24"/>
          <w:szCs w:val="24"/>
          <w:lang w:val="sr-Cyrl-CS"/>
        </w:rPr>
      </w:pPr>
      <w:r>
        <w:rPr>
          <w:rFonts w:ascii="Times New Roman" w:hAnsi="Times New Roman"/>
          <w:sz w:val="24"/>
          <w:szCs w:val="24"/>
          <w:lang w:val="sr-Cyrl-CS"/>
        </w:rPr>
        <w:t>Корупција у промету роба и услуга нарушава конкуренцију на тржишту</w:t>
      </w:r>
      <w:r w:rsidR="004A2E35">
        <w:rPr>
          <w:rFonts w:ascii="Times New Roman" w:hAnsi="Times New Roman"/>
          <w:sz w:val="24"/>
          <w:szCs w:val="24"/>
          <w:lang w:val="sr-Cyrl-CS"/>
        </w:rPr>
        <w:t>. Она се одвија преко многих незакони</w:t>
      </w:r>
      <w:r w:rsidR="00553C04">
        <w:rPr>
          <w:rFonts w:ascii="Times New Roman" w:hAnsi="Times New Roman"/>
          <w:sz w:val="24"/>
          <w:szCs w:val="24"/>
          <w:lang w:val="sr-Cyrl-CS"/>
        </w:rPr>
        <w:t>тих трансакција кроз промет роба</w:t>
      </w:r>
      <w:r w:rsidR="004A2E35">
        <w:rPr>
          <w:rFonts w:ascii="Times New Roman" w:hAnsi="Times New Roman"/>
          <w:sz w:val="24"/>
          <w:szCs w:val="24"/>
          <w:lang w:val="sr-Cyrl-CS"/>
        </w:rPr>
        <w:t xml:space="preserve"> и пружање услуга. Како би се прикриле овакве незаконите активности корист</w:t>
      </w:r>
      <w:r w:rsidR="00553C04">
        <w:rPr>
          <w:rFonts w:ascii="Times New Roman" w:hAnsi="Times New Roman"/>
          <w:sz w:val="24"/>
          <w:szCs w:val="24"/>
          <w:lang w:val="sr-Cyrl-CS"/>
        </w:rPr>
        <w:t>и се фалсификована документација</w:t>
      </w:r>
      <w:r w:rsidR="004A2E35">
        <w:rPr>
          <w:rFonts w:ascii="Times New Roman" w:hAnsi="Times New Roman"/>
          <w:sz w:val="24"/>
          <w:szCs w:val="24"/>
          <w:lang w:val="sr-Cyrl-CS"/>
        </w:rPr>
        <w:t xml:space="preserve"> у погледу обима испоручене робе и пружених услуга, квалитет</w:t>
      </w:r>
      <w:r w:rsidR="00553C04">
        <w:rPr>
          <w:rFonts w:ascii="Times New Roman" w:hAnsi="Times New Roman"/>
          <w:sz w:val="24"/>
          <w:szCs w:val="24"/>
          <w:lang w:val="sr-Cyrl-CS"/>
        </w:rPr>
        <w:t>а и врсте</w:t>
      </w:r>
      <w:r w:rsidR="004A2E35">
        <w:rPr>
          <w:rFonts w:ascii="Times New Roman" w:hAnsi="Times New Roman"/>
          <w:sz w:val="24"/>
          <w:szCs w:val="24"/>
          <w:lang w:val="sr-Cyrl-CS"/>
        </w:rPr>
        <w:t xml:space="preserve"> производа и слично. </w:t>
      </w:r>
    </w:p>
    <w:p w:rsidR="00A262B6" w:rsidRDefault="009078FF" w:rsidP="000A1CCA">
      <w:pPr>
        <w:ind w:firstLine="630"/>
        <w:jc w:val="both"/>
        <w:rPr>
          <w:rFonts w:ascii="Times New Roman" w:hAnsi="Times New Roman"/>
          <w:sz w:val="24"/>
          <w:szCs w:val="24"/>
          <w:lang w:val="sr-Cyrl-CS"/>
        </w:rPr>
      </w:pPr>
      <w:r>
        <w:rPr>
          <w:rFonts w:ascii="Times New Roman" w:hAnsi="Times New Roman"/>
          <w:sz w:val="24"/>
          <w:szCs w:val="24"/>
          <w:lang w:val="sr-Cyrl-CS"/>
        </w:rPr>
        <w:t>Проме</w:t>
      </w:r>
      <w:r w:rsidR="00057772">
        <w:rPr>
          <w:rFonts w:ascii="Times New Roman" w:hAnsi="Times New Roman"/>
          <w:sz w:val="24"/>
          <w:szCs w:val="24"/>
          <w:lang w:val="sr-Cyrl-CS"/>
        </w:rPr>
        <w:t>т робе и вршење трговинских услу</w:t>
      </w:r>
      <w:r>
        <w:rPr>
          <w:rFonts w:ascii="Times New Roman" w:hAnsi="Times New Roman"/>
          <w:sz w:val="24"/>
          <w:szCs w:val="24"/>
          <w:lang w:val="sr-Cyrl-CS"/>
        </w:rPr>
        <w:t>га</w:t>
      </w:r>
      <w:r w:rsidR="00057772">
        <w:rPr>
          <w:rStyle w:val="FootnoteReference"/>
          <w:rFonts w:ascii="Times New Roman" w:hAnsi="Times New Roman"/>
          <w:sz w:val="24"/>
          <w:szCs w:val="24"/>
          <w:lang w:val="sr-Cyrl-CS"/>
        </w:rPr>
        <w:footnoteReference w:id="716"/>
      </w:r>
      <w:r>
        <w:rPr>
          <w:rFonts w:ascii="Times New Roman" w:hAnsi="Times New Roman"/>
          <w:sz w:val="24"/>
          <w:szCs w:val="24"/>
          <w:lang w:val="sr-Cyrl-CS"/>
        </w:rPr>
        <w:t xml:space="preserve"> </w:t>
      </w:r>
      <w:r w:rsidR="00057772">
        <w:rPr>
          <w:rFonts w:ascii="Times New Roman" w:hAnsi="Times New Roman"/>
          <w:sz w:val="24"/>
          <w:szCs w:val="24"/>
          <w:lang w:val="sr-Cyrl-CS"/>
        </w:rPr>
        <w:t xml:space="preserve">спадају у посебно угрожене области и </w:t>
      </w:r>
      <w:r>
        <w:rPr>
          <w:rFonts w:ascii="Times New Roman" w:hAnsi="Times New Roman"/>
          <w:sz w:val="24"/>
          <w:szCs w:val="24"/>
          <w:lang w:val="sr-Cyrl-CS"/>
        </w:rPr>
        <w:t xml:space="preserve">веома су погодни за разне малверзације које доводе до извршења појединих кривичних дела из области привредног криминалитета. Облици криминалитета у овој области </w:t>
      </w:r>
      <w:r w:rsidR="002A271F">
        <w:rPr>
          <w:rFonts w:ascii="Times New Roman" w:hAnsi="Times New Roman"/>
          <w:sz w:val="24"/>
          <w:szCs w:val="24"/>
          <w:lang w:val="sr-Cyrl-CS"/>
        </w:rPr>
        <w:t xml:space="preserve">лако се </w:t>
      </w:r>
      <w:r w:rsidR="005817F7">
        <w:rPr>
          <w:rFonts w:ascii="Times New Roman" w:hAnsi="Times New Roman"/>
          <w:sz w:val="24"/>
          <w:szCs w:val="24"/>
          <w:lang w:val="sr-Cyrl-CS"/>
        </w:rPr>
        <w:t>п</w:t>
      </w:r>
      <w:r w:rsidR="002A271F">
        <w:rPr>
          <w:rFonts w:ascii="Times New Roman" w:hAnsi="Times New Roman"/>
          <w:sz w:val="24"/>
          <w:szCs w:val="24"/>
          <w:lang w:val="sr-Cyrl-CS"/>
        </w:rPr>
        <w:t>рилагођавају</w:t>
      </w:r>
      <w:r>
        <w:rPr>
          <w:rFonts w:ascii="Times New Roman" w:hAnsi="Times New Roman"/>
          <w:sz w:val="24"/>
          <w:szCs w:val="24"/>
          <w:lang w:val="sr-Cyrl-CS"/>
        </w:rPr>
        <w:t xml:space="preserve"> конкретним друштвено-економским и политичким условима, тако да они доживљавају извесне трансформације, а јављају се и нови облици криминалитета.</w:t>
      </w:r>
      <w:r w:rsidR="005817F7">
        <w:rPr>
          <w:rFonts w:ascii="Times New Roman" w:hAnsi="Times New Roman"/>
          <w:sz w:val="24"/>
          <w:szCs w:val="24"/>
          <w:lang w:val="sr-Cyrl-CS"/>
        </w:rPr>
        <w:t xml:space="preserve"> </w:t>
      </w:r>
      <w:r w:rsidR="004A2E35">
        <w:rPr>
          <w:rFonts w:ascii="Times New Roman" w:hAnsi="Times New Roman"/>
          <w:sz w:val="24"/>
          <w:szCs w:val="24"/>
          <w:lang w:val="sr-Cyrl-CS"/>
        </w:rPr>
        <w:t xml:space="preserve">Заступљен је велики број облика корупције који су везани за избегавање плаћања пореза. О овим облицима било је више речи у претходном излагању, везано за поједине пореске облике. За ту сврху се користе </w:t>
      </w:r>
      <w:r w:rsidR="00553C04">
        <w:rPr>
          <w:rFonts w:ascii="Times New Roman" w:hAnsi="Times New Roman"/>
          <w:sz w:val="24"/>
          <w:szCs w:val="24"/>
          <w:lang w:val="sr-Cyrl-CS"/>
        </w:rPr>
        <w:t xml:space="preserve">и </w:t>
      </w:r>
      <w:r w:rsidR="004A2E35">
        <w:rPr>
          <w:rFonts w:ascii="Times New Roman" w:hAnsi="Times New Roman"/>
          <w:sz w:val="24"/>
          <w:szCs w:val="24"/>
          <w:lang w:val="sr-Cyrl-CS"/>
        </w:rPr>
        <w:t>фантомска предузећа, као и корумпирање контролних органа који злоупотребљавају своје службене дужности и  тако значајно доп</w:t>
      </w:r>
      <w:r w:rsidR="00A262B6">
        <w:rPr>
          <w:rFonts w:ascii="Times New Roman" w:hAnsi="Times New Roman"/>
          <w:sz w:val="24"/>
          <w:szCs w:val="24"/>
          <w:lang w:val="sr-Cyrl-CS"/>
        </w:rPr>
        <w:t xml:space="preserve">риносе смањењу пореских прихода. </w:t>
      </w:r>
    </w:p>
    <w:p w:rsidR="004A2E35" w:rsidRDefault="004A2E35" w:rsidP="000A1CCA">
      <w:pPr>
        <w:ind w:firstLine="630"/>
        <w:jc w:val="both"/>
        <w:rPr>
          <w:rFonts w:ascii="Times New Roman" w:hAnsi="Times New Roman"/>
          <w:sz w:val="24"/>
          <w:szCs w:val="24"/>
          <w:lang w:val="sr-Cyrl-CS"/>
        </w:rPr>
      </w:pPr>
      <w:r>
        <w:rPr>
          <w:rFonts w:ascii="Times New Roman" w:hAnsi="Times New Roman"/>
          <w:sz w:val="24"/>
          <w:szCs w:val="24"/>
          <w:lang w:val="sr-Cyrl-CS"/>
        </w:rPr>
        <w:t xml:space="preserve"> </w:t>
      </w:r>
    </w:p>
    <w:p w:rsidR="00BD7276" w:rsidRDefault="00230FBA" w:rsidP="00230FBA">
      <w:pPr>
        <w:pStyle w:val="ListParagraph"/>
        <w:ind w:left="990"/>
        <w:jc w:val="center"/>
        <w:rPr>
          <w:rFonts w:ascii="Times New Roman" w:hAnsi="Times New Roman"/>
          <w:b/>
          <w:sz w:val="24"/>
          <w:szCs w:val="24"/>
          <w:lang w:val="sr-Cyrl-CS"/>
        </w:rPr>
      </w:pPr>
      <w:r>
        <w:rPr>
          <w:rFonts w:ascii="Times New Roman" w:hAnsi="Times New Roman"/>
          <w:b/>
          <w:sz w:val="24"/>
          <w:szCs w:val="24"/>
          <w:lang w:val="sr-Cyrl-CS"/>
        </w:rPr>
        <w:t>3.5.1.</w:t>
      </w:r>
      <w:r w:rsidR="007F157B" w:rsidRPr="007F157B">
        <w:rPr>
          <w:rFonts w:ascii="Times New Roman" w:hAnsi="Times New Roman"/>
          <w:b/>
          <w:sz w:val="24"/>
          <w:szCs w:val="24"/>
          <w:lang w:val="sr-Cyrl-CS"/>
        </w:rPr>
        <w:t>Спољнотрговински промет</w:t>
      </w:r>
    </w:p>
    <w:p w:rsidR="001F4B89" w:rsidRDefault="001F4B89" w:rsidP="001F4B89">
      <w:pPr>
        <w:pStyle w:val="ListParagraph"/>
        <w:ind w:left="990"/>
        <w:rPr>
          <w:rFonts w:ascii="Times New Roman" w:hAnsi="Times New Roman"/>
          <w:b/>
          <w:sz w:val="24"/>
          <w:szCs w:val="24"/>
          <w:lang w:val="sr-Cyrl-CS"/>
        </w:rPr>
      </w:pPr>
    </w:p>
    <w:p w:rsidR="00230FBA" w:rsidRPr="007F157B" w:rsidRDefault="00230FBA" w:rsidP="00230FBA">
      <w:pPr>
        <w:pStyle w:val="ListParagraph"/>
        <w:ind w:left="990"/>
        <w:jc w:val="center"/>
        <w:rPr>
          <w:rFonts w:ascii="Times New Roman" w:hAnsi="Times New Roman"/>
          <w:b/>
          <w:sz w:val="24"/>
          <w:szCs w:val="24"/>
          <w:lang w:val="sr-Cyrl-CS"/>
        </w:rPr>
      </w:pPr>
    </w:p>
    <w:p w:rsidR="001F4B89" w:rsidRDefault="005817F7" w:rsidP="009078FF">
      <w:pPr>
        <w:ind w:firstLine="630"/>
        <w:jc w:val="both"/>
        <w:rPr>
          <w:rFonts w:ascii="Times New Roman" w:hAnsi="Times New Roman"/>
          <w:sz w:val="24"/>
          <w:szCs w:val="24"/>
          <w:lang w:val="sr-Cyrl-CS"/>
        </w:rPr>
      </w:pPr>
      <w:r>
        <w:rPr>
          <w:rFonts w:ascii="Times New Roman" w:hAnsi="Times New Roman"/>
          <w:sz w:val="24"/>
          <w:szCs w:val="24"/>
          <w:lang w:val="sr-Cyrl-CS"/>
        </w:rPr>
        <w:t>Основни облиц</w:t>
      </w:r>
      <w:r w:rsidR="00057772">
        <w:rPr>
          <w:rFonts w:ascii="Times New Roman" w:hAnsi="Times New Roman"/>
          <w:sz w:val="24"/>
          <w:szCs w:val="24"/>
          <w:lang w:val="sr-Cyrl-CS"/>
        </w:rPr>
        <w:t>и криминалитета у спољнотрговинс</w:t>
      </w:r>
      <w:r>
        <w:rPr>
          <w:rFonts w:ascii="Times New Roman" w:hAnsi="Times New Roman"/>
          <w:sz w:val="24"/>
          <w:szCs w:val="24"/>
          <w:lang w:val="sr-Cyrl-CS"/>
        </w:rPr>
        <w:t xml:space="preserve">ком пословању најчешће се испољавају у области извоза робе, у области увоза робе, </w:t>
      </w:r>
      <w:r w:rsidR="00057772">
        <w:rPr>
          <w:rFonts w:ascii="Times New Roman" w:hAnsi="Times New Roman"/>
          <w:sz w:val="24"/>
          <w:szCs w:val="24"/>
          <w:lang w:val="sr-Cyrl-CS"/>
        </w:rPr>
        <w:t xml:space="preserve">декларисању својстава робе, </w:t>
      </w:r>
      <w:r>
        <w:rPr>
          <w:rFonts w:ascii="Times New Roman" w:hAnsi="Times New Roman"/>
          <w:sz w:val="24"/>
          <w:szCs w:val="24"/>
          <w:lang w:val="sr-Cyrl-CS"/>
        </w:rPr>
        <w:t>у области инвестиционих радова у иностранству</w:t>
      </w:r>
      <w:r w:rsidR="00057772">
        <w:rPr>
          <w:rFonts w:ascii="Times New Roman" w:hAnsi="Times New Roman"/>
          <w:sz w:val="24"/>
          <w:szCs w:val="24"/>
          <w:lang w:val="sr-Cyrl-CS"/>
        </w:rPr>
        <w:t>,</w:t>
      </w:r>
      <w:r>
        <w:rPr>
          <w:rFonts w:ascii="Times New Roman" w:hAnsi="Times New Roman"/>
          <w:sz w:val="24"/>
          <w:szCs w:val="24"/>
          <w:lang w:val="sr-Cyrl-CS"/>
        </w:rPr>
        <w:t xml:space="preserve"> </w:t>
      </w:r>
      <w:r w:rsidR="00057772">
        <w:rPr>
          <w:rFonts w:ascii="Times New Roman" w:hAnsi="Times New Roman"/>
          <w:sz w:val="24"/>
          <w:szCs w:val="24"/>
          <w:lang w:val="sr-Cyrl-CS"/>
        </w:rPr>
        <w:t xml:space="preserve">приликом закључења штетних уговора, у виду нелојалне конкуренције, неовлашћеном посредовању и заступању </w:t>
      </w:r>
      <w:r>
        <w:rPr>
          <w:rFonts w:ascii="Times New Roman" w:hAnsi="Times New Roman"/>
          <w:sz w:val="24"/>
          <w:szCs w:val="24"/>
          <w:lang w:val="sr-Cyrl-CS"/>
        </w:rPr>
        <w:t xml:space="preserve">и у области </w:t>
      </w:r>
      <w:r>
        <w:rPr>
          <w:rFonts w:ascii="Times New Roman" w:hAnsi="Times New Roman"/>
          <w:sz w:val="24"/>
          <w:szCs w:val="24"/>
          <w:lang w:val="sr-Cyrl-CS"/>
        </w:rPr>
        <w:lastRenderedPageBreak/>
        <w:t>технологије и опреме.</w:t>
      </w:r>
      <w:r>
        <w:rPr>
          <w:rStyle w:val="FootnoteReference"/>
          <w:rFonts w:ascii="Times New Roman" w:hAnsi="Times New Roman"/>
          <w:sz w:val="24"/>
          <w:szCs w:val="24"/>
          <w:lang w:val="sr-Cyrl-CS"/>
        </w:rPr>
        <w:footnoteReference w:id="717"/>
      </w:r>
      <w:r>
        <w:rPr>
          <w:rFonts w:ascii="Times New Roman" w:hAnsi="Times New Roman"/>
          <w:sz w:val="24"/>
          <w:szCs w:val="24"/>
          <w:lang w:val="sr-Cyrl-CS"/>
        </w:rPr>
        <w:t xml:space="preserve"> </w:t>
      </w:r>
      <w:r w:rsidR="00A262B6">
        <w:rPr>
          <w:rFonts w:ascii="Times New Roman" w:hAnsi="Times New Roman"/>
          <w:sz w:val="24"/>
          <w:szCs w:val="24"/>
          <w:lang w:val="sr-Cyrl-CS"/>
        </w:rPr>
        <w:t>Роба се лажно декларише на више начина</w:t>
      </w:r>
      <w:r w:rsidR="00C7494A">
        <w:rPr>
          <w:rFonts w:ascii="Times New Roman" w:hAnsi="Times New Roman"/>
          <w:sz w:val="24"/>
          <w:szCs w:val="24"/>
          <w:lang w:val="sr-Cyrl-CS"/>
        </w:rPr>
        <w:t>.</w:t>
      </w:r>
      <w:r w:rsidR="00A262B6">
        <w:rPr>
          <w:rFonts w:ascii="Times New Roman" w:hAnsi="Times New Roman"/>
          <w:sz w:val="24"/>
          <w:szCs w:val="24"/>
          <w:lang w:val="sr-Cyrl-CS"/>
        </w:rPr>
        <w:t xml:space="preserve"> </w:t>
      </w:r>
      <w:r w:rsidR="00C7494A">
        <w:rPr>
          <w:rFonts w:ascii="Times New Roman" w:hAnsi="Times New Roman"/>
          <w:sz w:val="24"/>
          <w:szCs w:val="24"/>
          <w:lang w:val="sr-Cyrl-CS"/>
        </w:rPr>
        <w:t>Н</w:t>
      </w:r>
      <w:r w:rsidR="00A262B6">
        <w:rPr>
          <w:rFonts w:ascii="Times New Roman" w:hAnsi="Times New Roman"/>
          <w:sz w:val="24"/>
          <w:szCs w:val="24"/>
          <w:lang w:val="sr-Cyrl-CS"/>
        </w:rPr>
        <w:t xml:space="preserve">аводи </w:t>
      </w:r>
      <w:r w:rsidR="00C7494A">
        <w:rPr>
          <w:rFonts w:ascii="Times New Roman" w:hAnsi="Times New Roman"/>
          <w:sz w:val="24"/>
          <w:szCs w:val="24"/>
          <w:lang w:val="sr-Cyrl-CS"/>
        </w:rPr>
        <w:t xml:space="preserve">се </w:t>
      </w:r>
      <w:r w:rsidR="00A262B6">
        <w:rPr>
          <w:rFonts w:ascii="Times New Roman" w:hAnsi="Times New Roman"/>
          <w:sz w:val="24"/>
          <w:szCs w:val="24"/>
          <w:lang w:val="sr-Cyrl-CS"/>
        </w:rPr>
        <w:t xml:space="preserve">друга врста робе на коју се не плаћају наведене дажбине или се плаћају по нижој стопи или се лажно умањује вредност робе и тиме смањује основица за обрачун наведених дажбина, или се лажно умањује количина робе. </w:t>
      </w:r>
      <w:r w:rsidR="00C7494A">
        <w:rPr>
          <w:rFonts w:ascii="Times New Roman" w:hAnsi="Times New Roman"/>
          <w:sz w:val="24"/>
          <w:szCs w:val="24"/>
          <w:lang w:val="sr-Cyrl-CS"/>
        </w:rPr>
        <w:t>У оваквим</w:t>
      </w:r>
      <w:r w:rsidR="00A262B6">
        <w:rPr>
          <w:rFonts w:ascii="Times New Roman" w:hAnsi="Times New Roman"/>
          <w:sz w:val="24"/>
          <w:szCs w:val="24"/>
          <w:lang w:val="sr-Cyrl-CS"/>
        </w:rPr>
        <w:t xml:space="preserve"> незаконитим радњама учествују државни службеници (цариници, тржишни инспектори, одговорна лица која раде на узорковању робе итд.) који примају мито да би у оквиру своје службене дужности извршили радњу </w:t>
      </w:r>
      <w:r w:rsidR="00956DEE">
        <w:rPr>
          <w:rFonts w:ascii="Times New Roman" w:hAnsi="Times New Roman"/>
          <w:sz w:val="24"/>
          <w:szCs w:val="24"/>
          <w:lang w:val="sr-Cyrl-CS"/>
        </w:rPr>
        <w:t>коју не би смели да изврше или да не изврше службену радњу коју су били дужни да изврше.</w:t>
      </w:r>
      <w:r w:rsidR="00C7494A" w:rsidRPr="00C7494A">
        <w:rPr>
          <w:rFonts w:ascii="Times New Roman" w:hAnsi="Times New Roman"/>
          <w:sz w:val="24"/>
          <w:szCs w:val="24"/>
          <w:lang w:val="sr-Cyrl-CS"/>
        </w:rPr>
        <w:t xml:space="preserve"> </w:t>
      </w:r>
      <w:r w:rsidR="00C7494A">
        <w:rPr>
          <w:rFonts w:ascii="Times New Roman" w:hAnsi="Times New Roman"/>
          <w:sz w:val="24"/>
          <w:szCs w:val="24"/>
          <w:lang w:val="sr-Cyrl-CS"/>
        </w:rPr>
        <w:t>Лажним де</w:t>
      </w:r>
      <w:r w:rsidR="002A271F">
        <w:rPr>
          <w:rFonts w:ascii="Times New Roman" w:hAnsi="Times New Roman"/>
          <w:sz w:val="24"/>
          <w:szCs w:val="24"/>
          <w:lang w:val="sr-Cyrl-CS"/>
        </w:rPr>
        <w:t>кларисањем робе</w:t>
      </w:r>
      <w:r w:rsidR="00C7494A">
        <w:rPr>
          <w:rFonts w:ascii="Times New Roman" w:hAnsi="Times New Roman"/>
          <w:sz w:val="24"/>
          <w:szCs w:val="24"/>
          <w:lang w:val="sr-Cyrl-CS"/>
        </w:rPr>
        <w:t xml:space="preserve"> се потпуно или делимично избегавају дажбине које се плаћају у спољнотрговинском промету (царина, акциза, порез на додату вредност).</w:t>
      </w:r>
      <w:r w:rsidR="00956DEE">
        <w:rPr>
          <w:rStyle w:val="FootnoteReference"/>
          <w:rFonts w:ascii="Times New Roman" w:hAnsi="Times New Roman"/>
          <w:sz w:val="24"/>
          <w:szCs w:val="24"/>
          <w:lang w:val="sr-Cyrl-CS"/>
        </w:rPr>
        <w:footnoteReference w:id="718"/>
      </w:r>
    </w:p>
    <w:p w:rsidR="009C2864" w:rsidRDefault="009C2864" w:rsidP="000A1CCA">
      <w:pPr>
        <w:ind w:firstLine="630"/>
        <w:jc w:val="both"/>
        <w:rPr>
          <w:rFonts w:ascii="Times New Roman" w:hAnsi="Times New Roman"/>
          <w:sz w:val="24"/>
          <w:szCs w:val="24"/>
          <w:lang w:val="sr-Cyrl-CS"/>
        </w:rPr>
      </w:pPr>
      <w:r>
        <w:rPr>
          <w:rFonts w:ascii="Times New Roman" w:hAnsi="Times New Roman"/>
          <w:sz w:val="24"/>
          <w:szCs w:val="24"/>
          <w:lang w:val="sr-Cyrl-CS"/>
        </w:rPr>
        <w:t>У овој области се р</w:t>
      </w:r>
      <w:r w:rsidR="00553C04">
        <w:rPr>
          <w:rFonts w:ascii="Times New Roman" w:hAnsi="Times New Roman"/>
          <w:sz w:val="24"/>
          <w:szCs w:val="24"/>
          <w:lang w:val="sr-Cyrl-CS"/>
        </w:rPr>
        <w:t>азним облицима корупције може ос</w:t>
      </w:r>
      <w:r>
        <w:rPr>
          <w:rFonts w:ascii="Times New Roman" w:hAnsi="Times New Roman"/>
          <w:sz w:val="24"/>
          <w:szCs w:val="24"/>
          <w:lang w:val="sr-Cyrl-CS"/>
        </w:rPr>
        <w:t xml:space="preserve">тварити велика </w:t>
      </w:r>
      <w:r w:rsidR="008D789C">
        <w:rPr>
          <w:rFonts w:ascii="Times New Roman" w:hAnsi="Times New Roman"/>
          <w:sz w:val="24"/>
          <w:szCs w:val="24"/>
          <w:lang w:val="sr-Cyrl-CS"/>
        </w:rPr>
        <w:t>материјална</w:t>
      </w:r>
      <w:r w:rsidR="00BF7B7D">
        <w:rPr>
          <w:rFonts w:ascii="Times New Roman" w:hAnsi="Times New Roman"/>
          <w:sz w:val="24"/>
          <w:szCs w:val="24"/>
          <w:lang w:val="sr-Cyrl-CS"/>
        </w:rPr>
        <w:t xml:space="preserve"> корист. Уз помоћ фалсификоване документације се приказује мања </w:t>
      </w:r>
      <w:r w:rsidR="00230FBA">
        <w:rPr>
          <w:rFonts w:ascii="Times New Roman" w:hAnsi="Times New Roman"/>
          <w:sz w:val="24"/>
          <w:szCs w:val="24"/>
          <w:lang w:val="sr-Cyrl-CS"/>
        </w:rPr>
        <w:t>в</w:t>
      </w:r>
      <w:r w:rsidR="00BF7B7D">
        <w:rPr>
          <w:rFonts w:ascii="Times New Roman" w:hAnsi="Times New Roman"/>
          <w:sz w:val="24"/>
          <w:szCs w:val="24"/>
          <w:lang w:val="sr-Cyrl-CS"/>
        </w:rPr>
        <w:t>редност робе која се увози, па се тако плаћа мања царина, као и порез, након чега је роба конкурентнија на домаћем тржишту јер је јефтинија. Како би се прикрио обим извршене трансакције плаћање се врши преко фантомских ф</w:t>
      </w:r>
      <w:r w:rsidR="00553C04">
        <w:rPr>
          <w:rFonts w:ascii="Times New Roman" w:hAnsi="Times New Roman"/>
          <w:sz w:val="24"/>
          <w:szCs w:val="24"/>
          <w:lang w:val="sr-Cyrl-CS"/>
        </w:rPr>
        <w:t>ирми, која ангажује и п</w:t>
      </w:r>
      <w:r w:rsidR="00230FBA">
        <w:rPr>
          <w:rFonts w:ascii="Times New Roman" w:hAnsi="Times New Roman"/>
          <w:sz w:val="24"/>
          <w:szCs w:val="24"/>
          <w:lang w:val="sr-Cyrl-CS"/>
        </w:rPr>
        <w:t>р</w:t>
      </w:r>
      <w:r w:rsidR="00553C04">
        <w:rPr>
          <w:rFonts w:ascii="Times New Roman" w:hAnsi="Times New Roman"/>
          <w:sz w:val="24"/>
          <w:szCs w:val="24"/>
          <w:lang w:val="sr-Cyrl-CS"/>
        </w:rPr>
        <w:t>евознике</w:t>
      </w:r>
      <w:r w:rsidR="00BF7B7D">
        <w:rPr>
          <w:rFonts w:ascii="Times New Roman" w:hAnsi="Times New Roman"/>
          <w:sz w:val="24"/>
          <w:szCs w:val="24"/>
          <w:lang w:val="sr-Cyrl-CS"/>
        </w:rPr>
        <w:t>.</w:t>
      </w:r>
    </w:p>
    <w:p w:rsidR="005817F7" w:rsidRDefault="00241150" w:rsidP="000A1CCA">
      <w:pPr>
        <w:ind w:firstLine="630"/>
        <w:jc w:val="both"/>
        <w:rPr>
          <w:rFonts w:ascii="Times New Roman" w:hAnsi="Times New Roman"/>
          <w:sz w:val="24"/>
          <w:szCs w:val="24"/>
          <w:lang w:val="sr-Cyrl-CS"/>
        </w:rPr>
      </w:pPr>
      <w:r>
        <w:rPr>
          <w:rFonts w:ascii="Times New Roman" w:hAnsi="Times New Roman"/>
          <w:sz w:val="24"/>
          <w:szCs w:val="24"/>
          <w:lang w:val="sr-Cyrl-CS"/>
        </w:rPr>
        <w:t>Доказивање деликата у спољнотрговинском</w:t>
      </w:r>
      <w:r w:rsidR="005817F7">
        <w:rPr>
          <w:rFonts w:ascii="Times New Roman" w:hAnsi="Times New Roman"/>
          <w:sz w:val="24"/>
          <w:szCs w:val="24"/>
          <w:lang w:val="sr-Cyrl-CS"/>
        </w:rPr>
        <w:t xml:space="preserve"> промет</w:t>
      </w:r>
      <w:r>
        <w:rPr>
          <w:rFonts w:ascii="Times New Roman" w:hAnsi="Times New Roman"/>
          <w:sz w:val="24"/>
          <w:szCs w:val="24"/>
          <w:lang w:val="sr-Cyrl-CS"/>
        </w:rPr>
        <w:t xml:space="preserve">у отежава чињеница што се делом обавља у иностранству, па </w:t>
      </w:r>
      <w:r w:rsidR="005817F7">
        <w:rPr>
          <w:rFonts w:ascii="Times New Roman" w:hAnsi="Times New Roman"/>
          <w:sz w:val="24"/>
          <w:szCs w:val="24"/>
          <w:lang w:val="sr-Cyrl-CS"/>
        </w:rPr>
        <w:t>се део људи, документације и средстава (новца) налази у иностранству</w:t>
      </w:r>
      <w:r>
        <w:rPr>
          <w:rFonts w:ascii="Times New Roman" w:hAnsi="Times New Roman"/>
          <w:sz w:val="24"/>
          <w:szCs w:val="24"/>
          <w:lang w:val="sr-Cyrl-CS"/>
        </w:rPr>
        <w:t>. Самим тим се м</w:t>
      </w:r>
      <w:r w:rsidR="005817F7">
        <w:rPr>
          <w:rFonts w:ascii="Times New Roman" w:hAnsi="Times New Roman"/>
          <w:sz w:val="24"/>
          <w:szCs w:val="24"/>
          <w:lang w:val="sr-Cyrl-CS"/>
        </w:rPr>
        <w:t xml:space="preserve">атеријални докази, </w:t>
      </w:r>
      <w:r>
        <w:rPr>
          <w:rFonts w:ascii="Times New Roman" w:hAnsi="Times New Roman"/>
          <w:sz w:val="24"/>
          <w:szCs w:val="24"/>
          <w:lang w:val="sr-Cyrl-CS"/>
        </w:rPr>
        <w:t>односно</w:t>
      </w:r>
      <w:r w:rsidR="005817F7">
        <w:rPr>
          <w:rFonts w:ascii="Times New Roman" w:hAnsi="Times New Roman"/>
          <w:sz w:val="24"/>
          <w:szCs w:val="24"/>
          <w:lang w:val="sr-Cyrl-CS"/>
        </w:rPr>
        <w:t xml:space="preserve"> </w:t>
      </w:r>
      <w:r>
        <w:rPr>
          <w:rFonts w:ascii="Times New Roman" w:hAnsi="Times New Roman"/>
          <w:sz w:val="24"/>
          <w:szCs w:val="24"/>
          <w:lang w:val="sr-Cyrl-CS"/>
        </w:rPr>
        <w:t>фалсификована и фиктивна документација, веома тешко прибавља</w:t>
      </w:r>
      <w:r w:rsidR="005817F7">
        <w:rPr>
          <w:rFonts w:ascii="Times New Roman" w:hAnsi="Times New Roman"/>
          <w:sz w:val="24"/>
          <w:szCs w:val="24"/>
          <w:lang w:val="sr-Cyrl-CS"/>
        </w:rPr>
        <w:t xml:space="preserve"> из иностранства, а у земљи се врло често прави дупла документација која је и формално и суштиски исправна. </w:t>
      </w:r>
      <w:r>
        <w:rPr>
          <w:rFonts w:ascii="Times New Roman" w:hAnsi="Times New Roman"/>
          <w:sz w:val="24"/>
          <w:szCs w:val="24"/>
          <w:lang w:val="sr-Cyrl-CS"/>
        </w:rPr>
        <w:t>При том, постоји и проблем утврђивања и евентуалног одузимања материјалне</w:t>
      </w:r>
      <w:r w:rsidR="005817F7">
        <w:rPr>
          <w:rFonts w:ascii="Times New Roman" w:hAnsi="Times New Roman"/>
          <w:sz w:val="24"/>
          <w:szCs w:val="24"/>
          <w:lang w:val="sr-Cyrl-CS"/>
        </w:rPr>
        <w:t xml:space="preserve"> корист</w:t>
      </w:r>
      <w:r>
        <w:rPr>
          <w:rFonts w:ascii="Times New Roman" w:hAnsi="Times New Roman"/>
          <w:sz w:val="24"/>
          <w:szCs w:val="24"/>
          <w:lang w:val="sr-Cyrl-CS"/>
        </w:rPr>
        <w:t>и стечене</w:t>
      </w:r>
      <w:r w:rsidR="005817F7">
        <w:rPr>
          <w:rFonts w:ascii="Times New Roman" w:hAnsi="Times New Roman"/>
          <w:sz w:val="24"/>
          <w:szCs w:val="24"/>
          <w:lang w:val="sr-Cyrl-CS"/>
        </w:rPr>
        <w:t xml:space="preserve"> овим деликтима </w:t>
      </w:r>
      <w:r>
        <w:rPr>
          <w:rFonts w:ascii="Times New Roman" w:hAnsi="Times New Roman"/>
          <w:sz w:val="24"/>
          <w:szCs w:val="24"/>
          <w:lang w:val="sr-Cyrl-CS"/>
        </w:rPr>
        <w:t xml:space="preserve">јер се иста </w:t>
      </w:r>
      <w:r w:rsidR="005817F7">
        <w:rPr>
          <w:rFonts w:ascii="Times New Roman" w:hAnsi="Times New Roman"/>
          <w:sz w:val="24"/>
          <w:szCs w:val="24"/>
          <w:lang w:val="sr-Cyrl-CS"/>
        </w:rPr>
        <w:t>ч</w:t>
      </w:r>
      <w:r>
        <w:rPr>
          <w:rFonts w:ascii="Times New Roman" w:hAnsi="Times New Roman"/>
          <w:sz w:val="24"/>
          <w:szCs w:val="24"/>
          <w:lang w:val="sr-Cyrl-CS"/>
        </w:rPr>
        <w:t>есто задржава у иностранству.</w:t>
      </w:r>
      <w:r w:rsidR="005817F7">
        <w:rPr>
          <w:rStyle w:val="FootnoteReference"/>
          <w:rFonts w:ascii="Times New Roman" w:hAnsi="Times New Roman"/>
          <w:sz w:val="24"/>
          <w:szCs w:val="24"/>
          <w:lang w:val="sr-Cyrl-CS"/>
        </w:rPr>
        <w:footnoteReference w:id="719"/>
      </w:r>
    </w:p>
    <w:p w:rsidR="00A127E6" w:rsidRDefault="00A127E6" w:rsidP="000A1CCA">
      <w:pPr>
        <w:ind w:firstLine="630"/>
        <w:jc w:val="both"/>
        <w:rPr>
          <w:rFonts w:ascii="Times New Roman" w:hAnsi="Times New Roman"/>
          <w:sz w:val="24"/>
          <w:szCs w:val="24"/>
          <w:lang w:val="sr-Cyrl-CS"/>
        </w:rPr>
      </w:pPr>
    </w:p>
    <w:p w:rsidR="00BD7276" w:rsidRDefault="007F157B" w:rsidP="007F157B">
      <w:pPr>
        <w:pStyle w:val="ListParagraph"/>
        <w:numPr>
          <w:ilvl w:val="1"/>
          <w:numId w:val="4"/>
        </w:numPr>
        <w:jc w:val="center"/>
        <w:rPr>
          <w:rFonts w:ascii="Times New Roman" w:hAnsi="Times New Roman"/>
          <w:b/>
          <w:sz w:val="24"/>
          <w:szCs w:val="24"/>
          <w:lang w:val="sr-Cyrl-CS"/>
        </w:rPr>
      </w:pPr>
      <w:r>
        <w:rPr>
          <w:rFonts w:ascii="Times New Roman" w:hAnsi="Times New Roman"/>
          <w:b/>
          <w:sz w:val="24"/>
          <w:szCs w:val="24"/>
          <w:lang w:val="sr-Cyrl-CS"/>
        </w:rPr>
        <w:t xml:space="preserve"> </w:t>
      </w:r>
      <w:r w:rsidRPr="007F157B">
        <w:rPr>
          <w:rFonts w:ascii="Times New Roman" w:hAnsi="Times New Roman"/>
          <w:b/>
          <w:sz w:val="24"/>
          <w:szCs w:val="24"/>
          <w:lang w:val="sr-Cyrl-CS"/>
        </w:rPr>
        <w:t>Електронска трговина</w:t>
      </w:r>
    </w:p>
    <w:p w:rsidR="00BC7798" w:rsidRDefault="00BC7798" w:rsidP="00BC7798">
      <w:pPr>
        <w:pStyle w:val="ListParagraph"/>
        <w:ind w:left="990"/>
        <w:rPr>
          <w:rFonts w:ascii="Times New Roman" w:hAnsi="Times New Roman"/>
          <w:b/>
          <w:sz w:val="24"/>
          <w:szCs w:val="24"/>
          <w:lang w:val="sr-Cyrl-CS"/>
        </w:rPr>
      </w:pPr>
    </w:p>
    <w:p w:rsidR="001F4B89" w:rsidRPr="007F157B" w:rsidRDefault="001F4B89" w:rsidP="001F4B89">
      <w:pPr>
        <w:pStyle w:val="ListParagraph"/>
        <w:ind w:left="990"/>
        <w:rPr>
          <w:rFonts w:ascii="Times New Roman" w:hAnsi="Times New Roman"/>
          <w:b/>
          <w:sz w:val="24"/>
          <w:szCs w:val="24"/>
          <w:lang w:val="sr-Cyrl-CS"/>
        </w:rPr>
      </w:pPr>
    </w:p>
    <w:p w:rsidR="00F064C1" w:rsidRDefault="00BB6E6E" w:rsidP="00230FBA">
      <w:pPr>
        <w:ind w:firstLine="630"/>
        <w:jc w:val="both"/>
        <w:rPr>
          <w:rFonts w:ascii="Times New Roman" w:hAnsi="Times New Roman"/>
          <w:sz w:val="24"/>
          <w:szCs w:val="24"/>
          <w:lang w:val="sr-Cyrl-CS"/>
        </w:rPr>
      </w:pPr>
      <w:r>
        <w:rPr>
          <w:rFonts w:ascii="Times New Roman" w:hAnsi="Times New Roman"/>
          <w:sz w:val="24"/>
          <w:szCs w:val="24"/>
          <w:lang w:val="sr-Cyrl-CS"/>
        </w:rPr>
        <w:t>Савремено доба се заснива на употр</w:t>
      </w:r>
      <w:r w:rsidR="00553C04">
        <w:rPr>
          <w:rFonts w:ascii="Times New Roman" w:hAnsi="Times New Roman"/>
          <w:sz w:val="24"/>
          <w:szCs w:val="24"/>
          <w:lang w:val="sr-Cyrl-CS"/>
        </w:rPr>
        <w:t>е</w:t>
      </w:r>
      <w:r>
        <w:rPr>
          <w:rFonts w:ascii="Times New Roman" w:hAnsi="Times New Roman"/>
          <w:sz w:val="24"/>
          <w:szCs w:val="24"/>
          <w:lang w:val="sr-Cyrl-CS"/>
        </w:rPr>
        <w:t>би модерних технологија које су до</w:t>
      </w:r>
      <w:r w:rsidR="00553C04">
        <w:rPr>
          <w:rFonts w:ascii="Times New Roman" w:hAnsi="Times New Roman"/>
          <w:sz w:val="24"/>
          <w:szCs w:val="24"/>
          <w:lang w:val="sr-Cyrl-CS"/>
        </w:rPr>
        <w:t>в</w:t>
      </w:r>
      <w:r>
        <w:rPr>
          <w:rFonts w:ascii="Times New Roman" w:hAnsi="Times New Roman"/>
          <w:sz w:val="24"/>
          <w:szCs w:val="24"/>
          <w:lang w:val="sr-Cyrl-CS"/>
        </w:rPr>
        <w:t>еле до промена у начину пословања у националним и међу</w:t>
      </w:r>
      <w:r w:rsidR="000C4514">
        <w:rPr>
          <w:rFonts w:ascii="Times New Roman" w:hAnsi="Times New Roman"/>
          <w:sz w:val="24"/>
          <w:szCs w:val="24"/>
          <w:lang w:val="sr-Cyrl-CS"/>
        </w:rPr>
        <w:t>н</w:t>
      </w:r>
      <w:r>
        <w:rPr>
          <w:rFonts w:ascii="Times New Roman" w:hAnsi="Times New Roman"/>
          <w:sz w:val="24"/>
          <w:szCs w:val="24"/>
          <w:lang w:val="sr-Cyrl-CS"/>
        </w:rPr>
        <w:t>ародним оквирима. Захваљујући томе напуштају се стандардни обл</w:t>
      </w:r>
      <w:r w:rsidR="000C4514">
        <w:rPr>
          <w:rFonts w:ascii="Times New Roman" w:hAnsi="Times New Roman"/>
          <w:sz w:val="24"/>
          <w:szCs w:val="24"/>
          <w:lang w:val="sr-Cyrl-CS"/>
        </w:rPr>
        <w:t>ици трговине и плаћања робе и ус</w:t>
      </w:r>
      <w:r>
        <w:rPr>
          <w:rFonts w:ascii="Times New Roman" w:hAnsi="Times New Roman"/>
          <w:sz w:val="24"/>
          <w:szCs w:val="24"/>
          <w:lang w:val="sr-Cyrl-CS"/>
        </w:rPr>
        <w:t xml:space="preserve">луга. </w:t>
      </w:r>
      <w:r w:rsidR="00E4163C">
        <w:rPr>
          <w:rFonts w:ascii="Times New Roman" w:hAnsi="Times New Roman"/>
          <w:sz w:val="24"/>
          <w:szCs w:val="24"/>
          <w:lang w:val="sr-Cyrl-CS"/>
        </w:rPr>
        <w:t>Модерне технологије имају з</w:t>
      </w:r>
      <w:r w:rsidR="00F064C1">
        <w:rPr>
          <w:rFonts w:ascii="Times New Roman" w:hAnsi="Times New Roman"/>
          <w:sz w:val="24"/>
          <w:szCs w:val="24"/>
          <w:lang w:val="sr-Cyrl-CS"/>
        </w:rPr>
        <w:t xml:space="preserve">начајан уплив у област промета, мењајући начин плаћања и смањујући употребу готовог </w:t>
      </w:r>
      <w:r w:rsidR="000C4514">
        <w:rPr>
          <w:rFonts w:ascii="Times New Roman" w:hAnsi="Times New Roman"/>
          <w:sz w:val="24"/>
          <w:szCs w:val="24"/>
          <w:lang w:val="sr-Cyrl-CS"/>
        </w:rPr>
        <w:t>новца. Долази до развоја електро</w:t>
      </w:r>
      <w:r w:rsidR="00F064C1">
        <w:rPr>
          <w:rFonts w:ascii="Times New Roman" w:hAnsi="Times New Roman"/>
          <w:sz w:val="24"/>
          <w:szCs w:val="24"/>
          <w:lang w:val="sr-Cyrl-CS"/>
        </w:rPr>
        <w:t>нске трговине</w:t>
      </w:r>
      <w:r>
        <w:rPr>
          <w:rFonts w:ascii="Times New Roman" w:hAnsi="Times New Roman"/>
          <w:sz w:val="24"/>
          <w:szCs w:val="24"/>
          <w:lang w:val="sr-Cyrl-CS"/>
        </w:rPr>
        <w:t xml:space="preserve"> и електронског банкарства</w:t>
      </w:r>
      <w:r w:rsidR="00F064C1">
        <w:rPr>
          <w:rFonts w:ascii="Times New Roman" w:hAnsi="Times New Roman"/>
          <w:sz w:val="24"/>
          <w:szCs w:val="24"/>
          <w:lang w:val="sr-Cyrl-CS"/>
        </w:rPr>
        <w:t xml:space="preserve">, </w:t>
      </w:r>
      <w:r>
        <w:rPr>
          <w:rFonts w:ascii="Times New Roman" w:hAnsi="Times New Roman"/>
          <w:sz w:val="24"/>
          <w:szCs w:val="24"/>
          <w:lang w:val="sr-Cyrl-CS"/>
        </w:rPr>
        <w:t>као и до велике упоребе платних картица.</w:t>
      </w:r>
      <w:r w:rsidR="00F064C1">
        <w:rPr>
          <w:rFonts w:ascii="Times New Roman" w:hAnsi="Times New Roman"/>
          <w:sz w:val="24"/>
          <w:szCs w:val="24"/>
          <w:lang w:val="sr-Cyrl-CS"/>
        </w:rPr>
        <w:t xml:space="preserve"> </w:t>
      </w:r>
      <w:r w:rsidR="00230FBA">
        <w:rPr>
          <w:rFonts w:ascii="Times New Roman" w:hAnsi="Times New Roman"/>
          <w:sz w:val="24"/>
          <w:szCs w:val="24"/>
          <w:lang w:val="sr-Cyrl-CS"/>
        </w:rPr>
        <w:t>Како привредни криминал и корупција све више по</w:t>
      </w:r>
      <w:r w:rsidR="003566F0">
        <w:rPr>
          <w:rFonts w:ascii="Times New Roman" w:hAnsi="Times New Roman"/>
          <w:sz w:val="24"/>
          <w:szCs w:val="24"/>
          <w:lang w:val="sr-Cyrl-CS"/>
        </w:rPr>
        <w:t>п</w:t>
      </w:r>
      <w:r w:rsidR="00230FBA">
        <w:rPr>
          <w:rFonts w:ascii="Times New Roman" w:hAnsi="Times New Roman"/>
          <w:sz w:val="24"/>
          <w:szCs w:val="24"/>
          <w:lang w:val="sr-Cyrl-CS"/>
        </w:rPr>
        <w:t>римају транснационални карактер, а одликује их и велика прилагодљивост новонасталим променама</w:t>
      </w:r>
      <w:r w:rsidR="003566F0">
        <w:rPr>
          <w:rFonts w:ascii="Times New Roman" w:hAnsi="Times New Roman"/>
          <w:sz w:val="24"/>
          <w:szCs w:val="24"/>
          <w:lang w:val="sr-Cyrl-CS"/>
        </w:rPr>
        <w:t>,</w:t>
      </w:r>
      <w:r w:rsidR="00230FBA">
        <w:rPr>
          <w:rFonts w:ascii="Times New Roman" w:hAnsi="Times New Roman"/>
          <w:sz w:val="24"/>
          <w:szCs w:val="24"/>
          <w:lang w:val="sr-Cyrl-CS"/>
        </w:rPr>
        <w:t xml:space="preserve"> то им овакве промене погодују, тако </w:t>
      </w:r>
      <w:r w:rsidR="003566F0">
        <w:rPr>
          <w:rFonts w:ascii="Times New Roman" w:hAnsi="Times New Roman"/>
          <w:sz w:val="24"/>
          <w:szCs w:val="24"/>
          <w:lang w:val="sr-Cyrl-CS"/>
        </w:rPr>
        <w:t xml:space="preserve">да </w:t>
      </w:r>
      <w:r w:rsidR="00230FBA">
        <w:rPr>
          <w:rFonts w:ascii="Times New Roman" w:hAnsi="Times New Roman"/>
          <w:sz w:val="24"/>
          <w:szCs w:val="24"/>
          <w:lang w:val="sr-Cyrl-CS"/>
        </w:rPr>
        <w:t xml:space="preserve">се појављују и у овом домену </w:t>
      </w:r>
      <w:r w:rsidR="003566F0">
        <w:rPr>
          <w:rFonts w:ascii="Times New Roman" w:hAnsi="Times New Roman"/>
          <w:sz w:val="24"/>
          <w:szCs w:val="24"/>
          <w:lang w:val="sr-Cyrl-CS"/>
        </w:rPr>
        <w:t xml:space="preserve">у </w:t>
      </w:r>
      <w:r w:rsidR="00230FBA">
        <w:rPr>
          <w:rFonts w:ascii="Times New Roman" w:hAnsi="Times New Roman"/>
          <w:sz w:val="24"/>
          <w:szCs w:val="24"/>
          <w:lang w:val="sr-Cyrl-CS"/>
        </w:rPr>
        <w:t>бројни</w:t>
      </w:r>
      <w:r w:rsidR="003566F0">
        <w:rPr>
          <w:rFonts w:ascii="Times New Roman" w:hAnsi="Times New Roman"/>
          <w:sz w:val="24"/>
          <w:szCs w:val="24"/>
          <w:lang w:val="sr-Cyrl-CS"/>
        </w:rPr>
        <w:t>м</w:t>
      </w:r>
      <w:r w:rsidR="00230FBA">
        <w:rPr>
          <w:rFonts w:ascii="Times New Roman" w:hAnsi="Times New Roman"/>
          <w:sz w:val="24"/>
          <w:szCs w:val="24"/>
          <w:lang w:val="sr-Cyrl-CS"/>
        </w:rPr>
        <w:t xml:space="preserve"> облици</w:t>
      </w:r>
      <w:r w:rsidR="003566F0">
        <w:rPr>
          <w:rFonts w:ascii="Times New Roman" w:hAnsi="Times New Roman"/>
          <w:sz w:val="24"/>
          <w:szCs w:val="24"/>
          <w:lang w:val="sr-Cyrl-CS"/>
        </w:rPr>
        <w:t>ма</w:t>
      </w:r>
      <w:r w:rsidR="00230FBA">
        <w:rPr>
          <w:rFonts w:ascii="Times New Roman" w:hAnsi="Times New Roman"/>
          <w:sz w:val="24"/>
          <w:szCs w:val="24"/>
          <w:lang w:val="sr-Cyrl-CS"/>
        </w:rPr>
        <w:t xml:space="preserve">. </w:t>
      </w:r>
    </w:p>
    <w:p w:rsidR="00E747C0" w:rsidRDefault="00E747C0" w:rsidP="00E747C0">
      <w:pPr>
        <w:ind w:firstLine="630"/>
        <w:jc w:val="both"/>
        <w:rPr>
          <w:rFonts w:ascii="Times New Roman" w:hAnsi="Times New Roman"/>
          <w:sz w:val="24"/>
          <w:szCs w:val="24"/>
          <w:lang w:val="sr-Cyrl-CS"/>
        </w:rPr>
      </w:pPr>
      <w:r w:rsidRPr="00E747C0">
        <w:rPr>
          <w:rFonts w:ascii="Times New Roman" w:hAnsi="Times New Roman"/>
          <w:sz w:val="24"/>
          <w:szCs w:val="24"/>
          <w:lang w:val="sr-Cyrl-CS"/>
        </w:rPr>
        <w:lastRenderedPageBreak/>
        <w:t>Све врсте добара и услу</w:t>
      </w:r>
      <w:r>
        <w:rPr>
          <w:rFonts w:ascii="Times New Roman" w:hAnsi="Times New Roman"/>
          <w:sz w:val="24"/>
          <w:szCs w:val="24"/>
          <w:lang w:val="sr-Cyrl-CS"/>
        </w:rPr>
        <w:t>га се продају преко Интер</w:t>
      </w:r>
      <w:r w:rsidRPr="00E747C0">
        <w:rPr>
          <w:rFonts w:ascii="Times New Roman" w:hAnsi="Times New Roman"/>
          <w:sz w:val="24"/>
          <w:szCs w:val="24"/>
          <w:lang w:val="sr-Cyrl-CS"/>
        </w:rPr>
        <w:t>нета на глобалном нивоу. У односу на претходни период, 2011. годинe е</w:t>
      </w:r>
      <w:r>
        <w:rPr>
          <w:rFonts w:ascii="Times New Roman" w:hAnsi="Times New Roman"/>
          <w:sz w:val="24"/>
          <w:szCs w:val="24"/>
          <w:lang w:val="sr-Cyrl-CS"/>
        </w:rPr>
        <w:t>-</w:t>
      </w:r>
      <w:r w:rsidRPr="00E747C0">
        <w:rPr>
          <w:rFonts w:ascii="Times New Roman" w:hAnsi="Times New Roman"/>
          <w:sz w:val="24"/>
          <w:szCs w:val="24"/>
          <w:lang w:val="sr-Cyrl-CS"/>
        </w:rPr>
        <w:t xml:space="preserve">трговина се увећала за 19% на 680 милијарди долара, а прогнозе су 963 милијарди долара у 2013. години. Око 15% од е-трговине је међународна трговина у износу од 100 милијарди долара у 2011. години, а </w:t>
      </w:r>
      <w:r>
        <w:rPr>
          <w:rFonts w:ascii="Times New Roman" w:hAnsi="Times New Roman"/>
          <w:sz w:val="24"/>
          <w:szCs w:val="24"/>
          <w:lang w:val="sr-Cyrl-CS"/>
        </w:rPr>
        <w:t>предвиђања</w:t>
      </w:r>
      <w:r w:rsidRPr="00E747C0">
        <w:rPr>
          <w:rFonts w:ascii="Times New Roman" w:hAnsi="Times New Roman"/>
          <w:sz w:val="24"/>
          <w:szCs w:val="24"/>
          <w:lang w:val="sr-Cyrl-CS"/>
        </w:rPr>
        <w:t xml:space="preserve"> су да ће бити око 150 милијарди долара у 2013. </w:t>
      </w:r>
      <w:r>
        <w:rPr>
          <w:rFonts w:ascii="Times New Roman" w:hAnsi="Times New Roman"/>
          <w:sz w:val="24"/>
          <w:szCs w:val="24"/>
          <w:lang w:val="sr-Cyrl-CS"/>
        </w:rPr>
        <w:t>г</w:t>
      </w:r>
      <w:r w:rsidRPr="00E747C0">
        <w:rPr>
          <w:rFonts w:ascii="Times New Roman" w:hAnsi="Times New Roman"/>
          <w:sz w:val="24"/>
          <w:szCs w:val="24"/>
          <w:lang w:val="sr-Cyrl-CS"/>
        </w:rPr>
        <w:t>одини</w:t>
      </w:r>
      <w:r>
        <w:rPr>
          <w:rFonts w:ascii="Times New Roman" w:hAnsi="Times New Roman"/>
          <w:sz w:val="24"/>
          <w:szCs w:val="24"/>
          <w:lang w:val="sr-Cyrl-CS"/>
        </w:rPr>
        <w:t>.</w:t>
      </w:r>
      <w:r>
        <w:rPr>
          <w:rStyle w:val="FootnoteReference"/>
          <w:rFonts w:ascii="Times New Roman" w:hAnsi="Times New Roman"/>
          <w:sz w:val="24"/>
          <w:szCs w:val="24"/>
          <w:lang w:val="sr-Cyrl-CS"/>
        </w:rPr>
        <w:footnoteReference w:id="720"/>
      </w:r>
    </w:p>
    <w:p w:rsidR="00337E9D" w:rsidRDefault="00BB6E6E" w:rsidP="000A1CCA">
      <w:pPr>
        <w:ind w:firstLine="630"/>
        <w:jc w:val="both"/>
        <w:rPr>
          <w:rFonts w:ascii="Times New Roman" w:hAnsi="Times New Roman"/>
          <w:sz w:val="24"/>
          <w:szCs w:val="24"/>
          <w:lang w:val="sr-Cyrl-CS"/>
        </w:rPr>
      </w:pPr>
      <w:r>
        <w:rPr>
          <w:rFonts w:ascii="Times New Roman" w:hAnsi="Times New Roman"/>
          <w:sz w:val="24"/>
          <w:szCs w:val="24"/>
          <w:lang w:val="sr-Cyrl-CS"/>
        </w:rPr>
        <w:t>Све је већи број корисника компјутера и интернета, што отвара простор за злоупотребе</w:t>
      </w:r>
      <w:r w:rsidR="005D1306">
        <w:rPr>
          <w:rFonts w:ascii="Times New Roman" w:hAnsi="Times New Roman"/>
          <w:sz w:val="24"/>
          <w:szCs w:val="24"/>
          <w:lang w:val="sr-Cyrl-CS"/>
        </w:rPr>
        <w:t xml:space="preserve"> од стране корумпираних службеника банке или трговаца. Елект</w:t>
      </w:r>
      <w:r w:rsidR="00C60397">
        <w:rPr>
          <w:rFonts w:ascii="Times New Roman" w:hAnsi="Times New Roman"/>
          <w:sz w:val="24"/>
          <w:szCs w:val="24"/>
          <w:lang w:val="sr-Cyrl-CS"/>
        </w:rPr>
        <w:t>р</w:t>
      </w:r>
      <w:r w:rsidR="005D1306">
        <w:rPr>
          <w:rFonts w:ascii="Times New Roman" w:hAnsi="Times New Roman"/>
          <w:sz w:val="24"/>
          <w:szCs w:val="24"/>
          <w:lang w:val="sr-Cyrl-CS"/>
        </w:rPr>
        <w:t xml:space="preserve">онска трговина обухвата разне пословне трансакције између физичких и правних лица. Све значајније место у савременом пословању добија електронско тржиште. Овакав начин пословања </w:t>
      </w:r>
      <w:r w:rsidR="00337E9D">
        <w:rPr>
          <w:rFonts w:ascii="Times New Roman" w:hAnsi="Times New Roman"/>
          <w:sz w:val="24"/>
          <w:szCs w:val="24"/>
          <w:lang w:val="sr-Cyrl-CS"/>
        </w:rPr>
        <w:t xml:space="preserve">не захтева да се фирма налази физички у неком пословном простору, нити да се партнери знају, </w:t>
      </w:r>
      <w:r w:rsidR="000C4514">
        <w:rPr>
          <w:rFonts w:ascii="Times New Roman" w:hAnsi="Times New Roman"/>
          <w:sz w:val="24"/>
          <w:szCs w:val="24"/>
          <w:lang w:val="sr-Cyrl-CS"/>
        </w:rPr>
        <w:t xml:space="preserve">карактерише га </w:t>
      </w:r>
      <w:r w:rsidR="00C43058">
        <w:rPr>
          <w:rFonts w:ascii="Times New Roman" w:hAnsi="Times New Roman"/>
          <w:sz w:val="24"/>
          <w:szCs w:val="24"/>
          <w:lang w:val="sr-Cyrl-CS"/>
        </w:rPr>
        <w:t xml:space="preserve">недостатак документованих трагова, </w:t>
      </w:r>
      <w:r w:rsidR="00337E9D">
        <w:rPr>
          <w:rFonts w:ascii="Times New Roman" w:hAnsi="Times New Roman"/>
          <w:sz w:val="24"/>
          <w:szCs w:val="24"/>
          <w:lang w:val="sr-Cyrl-CS"/>
        </w:rPr>
        <w:t>што отвара небројене могућности за злоупотребе у условима непостојања општеп</w:t>
      </w:r>
      <w:r w:rsidR="000C4514">
        <w:rPr>
          <w:rFonts w:ascii="Times New Roman" w:hAnsi="Times New Roman"/>
          <w:sz w:val="24"/>
          <w:szCs w:val="24"/>
          <w:lang w:val="sr-Cyrl-CS"/>
        </w:rPr>
        <w:t>рихваћених стандарда. Електорнско тржиште води развоју ди</w:t>
      </w:r>
      <w:r w:rsidR="00337E9D">
        <w:rPr>
          <w:rFonts w:ascii="Times New Roman" w:hAnsi="Times New Roman"/>
          <w:sz w:val="24"/>
          <w:szCs w:val="24"/>
          <w:lang w:val="sr-Cyrl-CS"/>
        </w:rPr>
        <w:t xml:space="preserve">гиталне економије, односно економије будућности. </w:t>
      </w:r>
    </w:p>
    <w:p w:rsidR="00230FBA" w:rsidRDefault="00230FBA" w:rsidP="00230FBA">
      <w:pPr>
        <w:ind w:firstLine="630"/>
        <w:jc w:val="both"/>
        <w:rPr>
          <w:rFonts w:ascii="Times New Roman" w:hAnsi="Times New Roman"/>
          <w:sz w:val="24"/>
          <w:szCs w:val="24"/>
          <w:lang w:val="sr-Cyrl-CS"/>
        </w:rPr>
      </w:pPr>
      <w:r>
        <w:rPr>
          <w:rFonts w:ascii="Times New Roman" w:hAnsi="Times New Roman"/>
          <w:sz w:val="24"/>
          <w:szCs w:val="24"/>
          <w:lang w:val="sr-Cyrl-CS"/>
        </w:rPr>
        <w:t>Ново технолошко достигнуће у развоју банкарства свакако је појава електронског новца, а сами тим и електронског банкарства. Даљи развој технике и технологије ће довести до тога да електронско банкарство постане доминантно у односу на конвенционално банк</w:t>
      </w:r>
      <w:r w:rsidR="00C60397">
        <w:rPr>
          <w:rFonts w:ascii="Times New Roman" w:hAnsi="Times New Roman"/>
          <w:sz w:val="24"/>
          <w:szCs w:val="24"/>
          <w:lang w:val="sr-Cyrl-CS"/>
        </w:rPr>
        <w:t>ар</w:t>
      </w:r>
      <w:r>
        <w:rPr>
          <w:rFonts w:ascii="Times New Roman" w:hAnsi="Times New Roman"/>
          <w:sz w:val="24"/>
          <w:szCs w:val="24"/>
          <w:lang w:val="sr-Cyrl-CS"/>
        </w:rPr>
        <w:t xml:space="preserve">ство. </w:t>
      </w:r>
    </w:p>
    <w:p w:rsidR="00230FBA" w:rsidRDefault="00230FBA" w:rsidP="00230FBA">
      <w:pPr>
        <w:ind w:firstLine="630"/>
        <w:jc w:val="both"/>
        <w:rPr>
          <w:rFonts w:ascii="Times New Roman" w:hAnsi="Times New Roman"/>
          <w:sz w:val="24"/>
          <w:szCs w:val="24"/>
          <w:lang w:val="sr-Cyrl-CS"/>
        </w:rPr>
      </w:pPr>
      <w:r w:rsidRPr="00230FBA">
        <w:rPr>
          <w:rFonts w:ascii="Times New Roman" w:hAnsi="Times New Roman"/>
          <w:sz w:val="24"/>
          <w:szCs w:val="24"/>
          <w:lang w:val="sr-Cyrl-CS"/>
        </w:rPr>
        <w:t>Електронско банкарство</w:t>
      </w:r>
      <w:r>
        <w:rPr>
          <w:rStyle w:val="FootnoteReference"/>
          <w:rFonts w:ascii="Times New Roman" w:hAnsi="Times New Roman"/>
          <w:sz w:val="24"/>
          <w:szCs w:val="24"/>
          <w:lang w:val="sr-Cyrl-CS"/>
        </w:rPr>
        <w:footnoteReference w:id="721"/>
      </w:r>
      <w:r>
        <w:rPr>
          <w:rFonts w:ascii="Times New Roman" w:hAnsi="Times New Roman"/>
          <w:sz w:val="24"/>
          <w:szCs w:val="24"/>
          <w:lang w:val="sr-Cyrl-CS"/>
        </w:rPr>
        <w:t xml:space="preserve"> </w:t>
      </w:r>
      <w:r w:rsidR="006512E4">
        <w:rPr>
          <w:rFonts w:ascii="Times New Roman" w:hAnsi="Times New Roman"/>
          <w:sz w:val="24"/>
          <w:szCs w:val="24"/>
          <w:lang w:val="sr-Cyrl-CS"/>
        </w:rPr>
        <w:t xml:space="preserve">омогућава </w:t>
      </w:r>
      <w:r>
        <w:rPr>
          <w:rFonts w:ascii="Times New Roman" w:hAnsi="Times New Roman"/>
          <w:sz w:val="24"/>
          <w:szCs w:val="24"/>
          <w:lang w:val="sr-Cyrl-CS"/>
        </w:rPr>
        <w:t xml:space="preserve">клијентима банке </w:t>
      </w:r>
      <w:r w:rsidR="006512E4">
        <w:rPr>
          <w:rFonts w:ascii="Times New Roman" w:hAnsi="Times New Roman"/>
          <w:sz w:val="24"/>
          <w:szCs w:val="24"/>
          <w:lang w:val="sr-Cyrl-CS"/>
        </w:rPr>
        <w:t>да кроз пакет савремених сервиса једноставно користе</w:t>
      </w:r>
      <w:r>
        <w:rPr>
          <w:rFonts w:ascii="Times New Roman" w:hAnsi="Times New Roman"/>
          <w:sz w:val="24"/>
          <w:szCs w:val="24"/>
          <w:lang w:val="sr-Cyrl-CS"/>
        </w:rPr>
        <w:t xml:space="preserve"> ба</w:t>
      </w:r>
      <w:r w:rsidR="006512E4">
        <w:rPr>
          <w:rFonts w:ascii="Times New Roman" w:hAnsi="Times New Roman"/>
          <w:sz w:val="24"/>
          <w:szCs w:val="24"/>
          <w:lang w:val="sr-Cyrl-CS"/>
        </w:rPr>
        <w:t>нкарске услуге</w:t>
      </w:r>
      <w:r>
        <w:rPr>
          <w:rFonts w:ascii="Times New Roman" w:hAnsi="Times New Roman"/>
          <w:sz w:val="24"/>
          <w:szCs w:val="24"/>
          <w:lang w:val="sr-Cyrl-CS"/>
        </w:rPr>
        <w:t xml:space="preserve"> употребом интернет</w:t>
      </w:r>
      <w:r w:rsidR="006512E4">
        <w:rPr>
          <w:rFonts w:ascii="Times New Roman" w:hAnsi="Times New Roman"/>
          <w:sz w:val="24"/>
          <w:szCs w:val="24"/>
          <w:lang w:val="sr-Cyrl-CS"/>
        </w:rPr>
        <w:t>а</w:t>
      </w:r>
      <w:r>
        <w:rPr>
          <w:rFonts w:ascii="Times New Roman" w:hAnsi="Times New Roman"/>
          <w:sz w:val="24"/>
          <w:szCs w:val="24"/>
          <w:lang w:val="sr-Cyrl-CS"/>
        </w:rPr>
        <w:t>, мобилни</w:t>
      </w:r>
      <w:r w:rsidR="006512E4">
        <w:rPr>
          <w:rFonts w:ascii="Times New Roman" w:hAnsi="Times New Roman"/>
          <w:sz w:val="24"/>
          <w:szCs w:val="24"/>
          <w:lang w:val="sr-Cyrl-CS"/>
        </w:rPr>
        <w:t>х</w:t>
      </w:r>
      <w:r>
        <w:rPr>
          <w:rFonts w:ascii="Times New Roman" w:hAnsi="Times New Roman"/>
          <w:sz w:val="24"/>
          <w:szCs w:val="24"/>
          <w:lang w:val="sr-Cyrl-CS"/>
        </w:rPr>
        <w:t xml:space="preserve"> телефон</w:t>
      </w:r>
      <w:r w:rsidR="006512E4">
        <w:rPr>
          <w:rFonts w:ascii="Times New Roman" w:hAnsi="Times New Roman"/>
          <w:sz w:val="24"/>
          <w:szCs w:val="24"/>
          <w:lang w:val="sr-Cyrl-CS"/>
        </w:rPr>
        <w:t>а, фиксног</w:t>
      </w:r>
      <w:r>
        <w:rPr>
          <w:rFonts w:ascii="Times New Roman" w:hAnsi="Times New Roman"/>
          <w:sz w:val="24"/>
          <w:szCs w:val="24"/>
          <w:lang w:val="sr-Cyrl-CS"/>
        </w:rPr>
        <w:t xml:space="preserve"> телефон</w:t>
      </w:r>
      <w:r w:rsidR="006512E4">
        <w:rPr>
          <w:rFonts w:ascii="Times New Roman" w:hAnsi="Times New Roman"/>
          <w:sz w:val="24"/>
          <w:szCs w:val="24"/>
          <w:lang w:val="sr-Cyrl-CS"/>
        </w:rPr>
        <w:t>а</w:t>
      </w:r>
      <w:r>
        <w:rPr>
          <w:rFonts w:ascii="Times New Roman" w:hAnsi="Times New Roman"/>
          <w:sz w:val="24"/>
          <w:szCs w:val="24"/>
          <w:lang w:val="sr-Cyrl-CS"/>
        </w:rPr>
        <w:t xml:space="preserve">. </w:t>
      </w:r>
      <w:r w:rsidR="009F10DA">
        <w:rPr>
          <w:rFonts w:ascii="Times New Roman" w:hAnsi="Times New Roman"/>
          <w:sz w:val="24"/>
          <w:szCs w:val="24"/>
          <w:lang w:val="sr-Cyrl-CS"/>
        </w:rPr>
        <w:t xml:space="preserve">Чињеница је да се банке у борби за клијенте све више окрећу коришћењу интернета. </w:t>
      </w:r>
      <w:r w:rsidR="006512E4">
        <w:rPr>
          <w:rFonts w:ascii="Times New Roman" w:hAnsi="Times New Roman"/>
          <w:sz w:val="24"/>
          <w:szCs w:val="24"/>
          <w:lang w:val="sr-Cyrl-CS"/>
        </w:rPr>
        <w:t xml:space="preserve">Бројне су предности електронског банкарства попут </w:t>
      </w:r>
      <w:r>
        <w:rPr>
          <w:rFonts w:ascii="Times New Roman" w:hAnsi="Times New Roman"/>
          <w:sz w:val="24"/>
          <w:szCs w:val="24"/>
          <w:lang w:val="sr-Cyrl-CS"/>
        </w:rPr>
        <w:t>нижи</w:t>
      </w:r>
      <w:r w:rsidR="006512E4">
        <w:rPr>
          <w:rFonts w:ascii="Times New Roman" w:hAnsi="Times New Roman"/>
          <w:sz w:val="24"/>
          <w:szCs w:val="24"/>
          <w:lang w:val="sr-Cyrl-CS"/>
        </w:rPr>
        <w:t>х трошкова, значајне уштеде</w:t>
      </w:r>
      <w:r>
        <w:rPr>
          <w:rFonts w:ascii="Times New Roman" w:hAnsi="Times New Roman"/>
          <w:sz w:val="24"/>
          <w:szCs w:val="24"/>
          <w:lang w:val="sr-Cyrl-CS"/>
        </w:rPr>
        <w:t xml:space="preserve"> времена и могућности обављања трансакција у било које доба дана и ноћи</w:t>
      </w:r>
      <w:r w:rsidR="006512E4">
        <w:rPr>
          <w:rFonts w:ascii="Times New Roman" w:hAnsi="Times New Roman"/>
          <w:sz w:val="24"/>
          <w:szCs w:val="24"/>
          <w:lang w:val="sr-Cyrl-CS"/>
        </w:rPr>
        <w:t>. Међутим,</w:t>
      </w:r>
      <w:r>
        <w:rPr>
          <w:rFonts w:ascii="Times New Roman" w:hAnsi="Times New Roman"/>
          <w:sz w:val="24"/>
          <w:szCs w:val="24"/>
          <w:lang w:val="sr-Cyrl-CS"/>
        </w:rPr>
        <w:t xml:space="preserve"> </w:t>
      </w:r>
      <w:r w:rsidR="006512E4">
        <w:rPr>
          <w:rFonts w:ascii="Times New Roman" w:hAnsi="Times New Roman"/>
          <w:sz w:val="24"/>
          <w:szCs w:val="24"/>
          <w:lang w:val="sr-Cyrl-CS"/>
        </w:rPr>
        <w:t>због тога што пружа могућност да</w:t>
      </w:r>
      <w:r>
        <w:rPr>
          <w:rFonts w:ascii="Times New Roman" w:hAnsi="Times New Roman"/>
          <w:sz w:val="24"/>
          <w:szCs w:val="24"/>
          <w:lang w:val="sr-Cyrl-CS"/>
        </w:rPr>
        <w:t xml:space="preserve"> се клијент </w:t>
      </w:r>
      <w:r w:rsidR="006512E4">
        <w:rPr>
          <w:rFonts w:ascii="Times New Roman" w:hAnsi="Times New Roman"/>
          <w:sz w:val="24"/>
          <w:szCs w:val="24"/>
          <w:lang w:val="sr-Cyrl-CS"/>
        </w:rPr>
        <w:t xml:space="preserve">просторно дистанцира од банке </w:t>
      </w:r>
      <w:r>
        <w:rPr>
          <w:rFonts w:ascii="Times New Roman" w:hAnsi="Times New Roman"/>
          <w:sz w:val="24"/>
          <w:szCs w:val="24"/>
          <w:lang w:val="sr-Cyrl-CS"/>
        </w:rPr>
        <w:t>отежава</w:t>
      </w:r>
      <w:r w:rsidR="006512E4">
        <w:rPr>
          <w:rFonts w:ascii="Times New Roman" w:hAnsi="Times New Roman"/>
          <w:sz w:val="24"/>
          <w:szCs w:val="24"/>
          <w:lang w:val="sr-Cyrl-CS"/>
        </w:rPr>
        <w:t xml:space="preserve"> се</w:t>
      </w:r>
      <w:r>
        <w:rPr>
          <w:rFonts w:ascii="Times New Roman" w:hAnsi="Times New Roman"/>
          <w:sz w:val="24"/>
          <w:szCs w:val="24"/>
          <w:lang w:val="sr-Cyrl-CS"/>
        </w:rPr>
        <w:t xml:space="preserve"> поступак идентификације, </w:t>
      </w:r>
      <w:r w:rsidR="006512E4">
        <w:rPr>
          <w:rFonts w:ascii="Times New Roman" w:hAnsi="Times New Roman"/>
          <w:sz w:val="24"/>
          <w:szCs w:val="24"/>
          <w:lang w:val="sr-Cyrl-CS"/>
        </w:rPr>
        <w:t xml:space="preserve">а самим тим се отварају нове могућности </w:t>
      </w:r>
      <w:r>
        <w:rPr>
          <w:rFonts w:ascii="Times New Roman" w:hAnsi="Times New Roman"/>
          <w:sz w:val="24"/>
          <w:szCs w:val="24"/>
          <w:lang w:val="sr-Cyrl-CS"/>
        </w:rPr>
        <w:t>за прање новца</w:t>
      </w:r>
      <w:r w:rsidR="009F10DA">
        <w:rPr>
          <w:rFonts w:ascii="Times New Roman" w:hAnsi="Times New Roman"/>
          <w:sz w:val="24"/>
          <w:szCs w:val="24"/>
          <w:lang w:val="sr-Cyrl-CS"/>
        </w:rPr>
        <w:t xml:space="preserve"> и пореску утају</w:t>
      </w:r>
      <w:r>
        <w:rPr>
          <w:rFonts w:ascii="Times New Roman" w:hAnsi="Times New Roman"/>
          <w:sz w:val="24"/>
          <w:szCs w:val="24"/>
          <w:lang w:val="sr-Cyrl-CS"/>
        </w:rPr>
        <w:t>. Постоји неколико трендова и новина  у овом домену, међу којима истичемо:</w:t>
      </w:r>
    </w:p>
    <w:p w:rsidR="00230FBA" w:rsidRPr="00DC2A03" w:rsidRDefault="00230FBA" w:rsidP="00230FBA">
      <w:pPr>
        <w:jc w:val="both"/>
        <w:rPr>
          <w:rFonts w:ascii="Times New Roman" w:hAnsi="Times New Roman"/>
          <w:sz w:val="24"/>
          <w:szCs w:val="24"/>
          <w:lang w:val="sr-Cyrl-CS"/>
        </w:rPr>
      </w:pPr>
      <w:r>
        <w:rPr>
          <w:rFonts w:ascii="Times New Roman" w:hAnsi="Times New Roman"/>
          <w:sz w:val="24"/>
          <w:szCs w:val="24"/>
          <w:lang w:val="sr-Cyrl-CS"/>
        </w:rPr>
        <w:t xml:space="preserve"> </w:t>
      </w:r>
      <w:r>
        <w:rPr>
          <w:rFonts w:ascii="Times New Roman" w:hAnsi="Times New Roman"/>
          <w:sz w:val="24"/>
          <w:szCs w:val="24"/>
          <w:lang w:val="sr-Cyrl-CS"/>
        </w:rPr>
        <w:tab/>
        <w:t xml:space="preserve">- </w:t>
      </w:r>
      <w:r w:rsidRPr="00DC2A03">
        <w:rPr>
          <w:rFonts w:ascii="Times New Roman" w:hAnsi="Times New Roman"/>
          <w:sz w:val="24"/>
          <w:szCs w:val="24"/>
          <w:lang w:val="sr-Cyrl-CS"/>
        </w:rPr>
        <w:t>Коришћење услуга M-commerca, о</w:t>
      </w:r>
      <w:r>
        <w:rPr>
          <w:rFonts w:ascii="Times New Roman" w:hAnsi="Times New Roman"/>
          <w:sz w:val="24"/>
          <w:szCs w:val="24"/>
          <w:lang w:val="sr-Cyrl-CS"/>
        </w:rPr>
        <w:t xml:space="preserve">дносно услуга мобилног плаћања. </w:t>
      </w:r>
      <w:r w:rsidR="009F10DA">
        <w:rPr>
          <w:rFonts w:ascii="Times New Roman" w:hAnsi="Times New Roman"/>
          <w:sz w:val="24"/>
          <w:szCs w:val="24"/>
          <w:lang w:val="sr-Cyrl-CS"/>
        </w:rPr>
        <w:t>Овакве услуге омогућавају</w:t>
      </w:r>
      <w:r w:rsidRPr="00DC2A03">
        <w:rPr>
          <w:rFonts w:ascii="Times New Roman" w:hAnsi="Times New Roman"/>
          <w:sz w:val="24"/>
          <w:szCs w:val="24"/>
          <w:lang w:val="sr-Cyrl-CS"/>
        </w:rPr>
        <w:t xml:space="preserve"> кориснику да </w:t>
      </w:r>
      <w:r w:rsidR="009F10DA">
        <w:rPr>
          <w:rFonts w:ascii="Times New Roman" w:hAnsi="Times New Roman"/>
          <w:sz w:val="24"/>
          <w:szCs w:val="24"/>
          <w:lang w:val="sr-Cyrl-CS"/>
        </w:rPr>
        <w:t xml:space="preserve">у сваком тренутку изда налог банци путем мобилног телефона да се </w:t>
      </w:r>
      <w:r w:rsidRPr="00DC2A03">
        <w:rPr>
          <w:rFonts w:ascii="Times New Roman" w:hAnsi="Times New Roman"/>
          <w:sz w:val="24"/>
          <w:szCs w:val="24"/>
          <w:lang w:val="sr-Cyrl-CS"/>
        </w:rPr>
        <w:t>изврши пренос средстава у мањем износу са његовог рачуна на неки други рачун, са којег се сред</w:t>
      </w:r>
      <w:r>
        <w:rPr>
          <w:rFonts w:ascii="Times New Roman" w:hAnsi="Times New Roman"/>
          <w:sz w:val="24"/>
          <w:szCs w:val="24"/>
          <w:lang w:val="sr-Cyrl-CS"/>
        </w:rPr>
        <w:t>с</w:t>
      </w:r>
      <w:r w:rsidRPr="00DC2A03">
        <w:rPr>
          <w:rFonts w:ascii="Times New Roman" w:hAnsi="Times New Roman"/>
          <w:sz w:val="24"/>
          <w:szCs w:val="24"/>
          <w:lang w:val="sr-Cyrl-CS"/>
        </w:rPr>
        <w:t xml:space="preserve">тва могу даље трансферисати или подизати </w:t>
      </w:r>
      <w:r w:rsidR="009F10DA">
        <w:rPr>
          <w:rFonts w:ascii="Times New Roman" w:hAnsi="Times New Roman"/>
          <w:sz w:val="24"/>
          <w:szCs w:val="24"/>
          <w:lang w:val="sr-Cyrl-CS"/>
        </w:rPr>
        <w:t xml:space="preserve">било </w:t>
      </w:r>
      <w:r w:rsidRPr="00DC2A03">
        <w:rPr>
          <w:rFonts w:ascii="Times New Roman" w:hAnsi="Times New Roman"/>
          <w:sz w:val="24"/>
          <w:szCs w:val="24"/>
          <w:lang w:val="sr-Cyrl-CS"/>
        </w:rPr>
        <w:t xml:space="preserve">у готовини </w:t>
      </w:r>
      <w:r w:rsidR="009F10DA">
        <w:rPr>
          <w:rFonts w:ascii="Times New Roman" w:hAnsi="Times New Roman"/>
          <w:sz w:val="24"/>
          <w:szCs w:val="24"/>
          <w:lang w:val="sr-Cyrl-CS"/>
        </w:rPr>
        <w:t>било</w:t>
      </w:r>
      <w:r w:rsidRPr="00DC2A03">
        <w:rPr>
          <w:rFonts w:ascii="Times New Roman" w:hAnsi="Times New Roman"/>
          <w:sz w:val="24"/>
          <w:szCs w:val="24"/>
          <w:lang w:val="sr-Cyrl-CS"/>
        </w:rPr>
        <w:t xml:space="preserve"> коришћењем платне картице. </w:t>
      </w:r>
      <w:r w:rsidR="009F10DA">
        <w:rPr>
          <w:rFonts w:ascii="Times New Roman" w:hAnsi="Times New Roman"/>
          <w:sz w:val="24"/>
          <w:szCs w:val="24"/>
          <w:lang w:val="sr-Cyrl-CS"/>
        </w:rPr>
        <w:t>Имајући у виду да је већи број корисника мобилних телефона од корисника интернета п</w:t>
      </w:r>
      <w:r w:rsidRPr="00DC2A03">
        <w:rPr>
          <w:rFonts w:ascii="Times New Roman" w:hAnsi="Times New Roman"/>
          <w:sz w:val="24"/>
          <w:szCs w:val="24"/>
          <w:lang w:val="sr-Cyrl-CS"/>
        </w:rPr>
        <w:t>рогнозира се да ће мобилно банк</w:t>
      </w:r>
      <w:r>
        <w:rPr>
          <w:rFonts w:ascii="Times New Roman" w:hAnsi="Times New Roman"/>
          <w:sz w:val="24"/>
          <w:szCs w:val="24"/>
          <w:lang w:val="sr-Cyrl-CS"/>
        </w:rPr>
        <w:t>ар</w:t>
      </w:r>
      <w:r w:rsidRPr="00DC2A03">
        <w:rPr>
          <w:rFonts w:ascii="Times New Roman" w:hAnsi="Times New Roman"/>
          <w:sz w:val="24"/>
          <w:szCs w:val="24"/>
          <w:lang w:val="sr-Cyrl-CS"/>
        </w:rPr>
        <w:t>ство дожив</w:t>
      </w:r>
      <w:r>
        <w:rPr>
          <w:rFonts w:ascii="Times New Roman" w:hAnsi="Times New Roman"/>
          <w:sz w:val="24"/>
          <w:szCs w:val="24"/>
          <w:lang w:val="sr-Cyrl-CS"/>
        </w:rPr>
        <w:t>е</w:t>
      </w:r>
      <w:r w:rsidRPr="00DC2A03">
        <w:rPr>
          <w:rFonts w:ascii="Times New Roman" w:hAnsi="Times New Roman"/>
          <w:sz w:val="24"/>
          <w:szCs w:val="24"/>
          <w:lang w:val="sr-Cyrl-CS"/>
        </w:rPr>
        <w:t>ти чак и снажнију експанзију од инт</w:t>
      </w:r>
      <w:r>
        <w:rPr>
          <w:rFonts w:ascii="Times New Roman" w:hAnsi="Times New Roman"/>
          <w:sz w:val="24"/>
          <w:szCs w:val="24"/>
          <w:lang w:val="sr-Cyrl-CS"/>
        </w:rPr>
        <w:t>е</w:t>
      </w:r>
      <w:r w:rsidRPr="00DC2A03">
        <w:rPr>
          <w:rFonts w:ascii="Times New Roman" w:hAnsi="Times New Roman"/>
          <w:sz w:val="24"/>
          <w:szCs w:val="24"/>
          <w:lang w:val="sr-Cyrl-CS"/>
        </w:rPr>
        <w:t>рне</w:t>
      </w:r>
      <w:r>
        <w:rPr>
          <w:rFonts w:ascii="Times New Roman" w:hAnsi="Times New Roman"/>
          <w:sz w:val="24"/>
          <w:szCs w:val="24"/>
          <w:lang w:val="sr-Cyrl-CS"/>
        </w:rPr>
        <w:t>т</w:t>
      </w:r>
      <w:r w:rsidR="009F10DA">
        <w:rPr>
          <w:rFonts w:ascii="Times New Roman" w:hAnsi="Times New Roman"/>
          <w:sz w:val="24"/>
          <w:szCs w:val="24"/>
          <w:lang w:val="sr-Cyrl-CS"/>
        </w:rPr>
        <w:t xml:space="preserve"> банкарства</w:t>
      </w:r>
      <w:r w:rsidRPr="00DC2A03">
        <w:rPr>
          <w:rFonts w:ascii="Times New Roman" w:hAnsi="Times New Roman"/>
          <w:sz w:val="24"/>
          <w:szCs w:val="24"/>
          <w:lang w:val="sr-Cyrl-CS"/>
        </w:rPr>
        <w:t>.</w:t>
      </w:r>
    </w:p>
    <w:p w:rsidR="009F10DA" w:rsidRDefault="00230FBA" w:rsidP="00230FBA">
      <w:pPr>
        <w:ind w:firstLine="630"/>
        <w:jc w:val="both"/>
        <w:rPr>
          <w:rFonts w:ascii="Times New Roman" w:hAnsi="Times New Roman"/>
          <w:sz w:val="24"/>
          <w:szCs w:val="24"/>
          <w:lang w:val="sr-Cyrl-CS"/>
        </w:rPr>
      </w:pPr>
      <w:r>
        <w:rPr>
          <w:rFonts w:ascii="Times New Roman" w:hAnsi="Times New Roman"/>
          <w:sz w:val="24"/>
          <w:szCs w:val="24"/>
          <w:lang w:val="sr-Cyrl-CS"/>
        </w:rPr>
        <w:lastRenderedPageBreak/>
        <w:t xml:space="preserve">-   Коришћење </w:t>
      </w:r>
      <w:r>
        <w:rPr>
          <w:rFonts w:ascii="Times New Roman" w:hAnsi="Times New Roman"/>
          <w:sz w:val="24"/>
          <w:szCs w:val="24"/>
        </w:rPr>
        <w:t>„</w:t>
      </w:r>
      <w:r>
        <w:rPr>
          <w:rFonts w:ascii="Times New Roman" w:hAnsi="Times New Roman"/>
          <w:sz w:val="24"/>
          <w:szCs w:val="24"/>
          <w:lang w:val="sr-Cyrl-CS"/>
        </w:rPr>
        <w:t>syber cash</w:t>
      </w:r>
      <w:r>
        <w:rPr>
          <w:rFonts w:ascii="Times New Roman" w:hAnsi="Times New Roman"/>
          <w:sz w:val="24"/>
          <w:szCs w:val="24"/>
        </w:rPr>
        <w:t>“.  То је алтернативни начин плаћања путем интернета</w:t>
      </w:r>
      <w:r>
        <w:rPr>
          <w:rFonts w:ascii="Times New Roman" w:hAnsi="Times New Roman"/>
          <w:sz w:val="24"/>
          <w:szCs w:val="24"/>
          <w:lang w:val="sr-Cyrl-CS"/>
        </w:rPr>
        <w:t>, при чему картица која садржи чип има у себи готовину која</w:t>
      </w:r>
      <w:r w:rsidR="009F10DA">
        <w:rPr>
          <w:rFonts w:ascii="Times New Roman" w:hAnsi="Times New Roman"/>
          <w:sz w:val="24"/>
          <w:szCs w:val="24"/>
          <w:lang w:val="sr-Cyrl-CS"/>
        </w:rPr>
        <w:t xml:space="preserve"> се може подизати телефоном, </w:t>
      </w:r>
      <w:r>
        <w:rPr>
          <w:rFonts w:ascii="Times New Roman" w:hAnsi="Times New Roman"/>
          <w:sz w:val="24"/>
          <w:szCs w:val="24"/>
          <w:lang w:val="sr-Cyrl-CS"/>
        </w:rPr>
        <w:t xml:space="preserve">на банкоматима, а може и да се преноси са једне картице на друге. </w:t>
      </w:r>
      <w:r w:rsidR="009F10DA">
        <w:rPr>
          <w:rFonts w:ascii="Times New Roman" w:hAnsi="Times New Roman"/>
          <w:sz w:val="24"/>
          <w:szCs w:val="24"/>
          <w:lang w:val="sr-Cyrl-CS"/>
        </w:rPr>
        <w:t>У овом случају не постоји регистровање трансакција, као што постоји код кредитних картица Visa или Master, па н</w:t>
      </w:r>
      <w:r>
        <w:rPr>
          <w:rFonts w:ascii="Times New Roman" w:hAnsi="Times New Roman"/>
          <w:sz w:val="24"/>
          <w:szCs w:val="24"/>
          <w:lang w:val="sr-Cyrl-CS"/>
        </w:rPr>
        <w:t xml:space="preserve">е постоји </w:t>
      </w:r>
      <w:r w:rsidR="009F10DA">
        <w:rPr>
          <w:rFonts w:ascii="Times New Roman" w:hAnsi="Times New Roman"/>
          <w:sz w:val="24"/>
          <w:szCs w:val="24"/>
          <w:lang w:val="sr-Cyrl-CS"/>
        </w:rPr>
        <w:t>могућност</w:t>
      </w:r>
      <w:r>
        <w:rPr>
          <w:rFonts w:ascii="Times New Roman" w:hAnsi="Times New Roman"/>
          <w:sz w:val="24"/>
          <w:szCs w:val="24"/>
          <w:lang w:val="sr-Cyrl-CS"/>
        </w:rPr>
        <w:t xml:space="preserve"> да се уђе у траг </w:t>
      </w:r>
      <w:r w:rsidR="009F10DA">
        <w:rPr>
          <w:rFonts w:ascii="Times New Roman" w:hAnsi="Times New Roman"/>
          <w:sz w:val="24"/>
          <w:szCs w:val="24"/>
          <w:lang w:val="sr-Cyrl-CS"/>
        </w:rPr>
        <w:t xml:space="preserve">оваквим </w:t>
      </w:r>
      <w:r>
        <w:rPr>
          <w:rFonts w:ascii="Times New Roman" w:hAnsi="Times New Roman"/>
          <w:sz w:val="24"/>
          <w:szCs w:val="24"/>
          <w:lang w:val="sr-Cyrl-CS"/>
        </w:rPr>
        <w:t>трансакцијама</w:t>
      </w:r>
      <w:r w:rsidR="009F10DA">
        <w:rPr>
          <w:rFonts w:ascii="Times New Roman" w:hAnsi="Times New Roman"/>
          <w:sz w:val="24"/>
          <w:szCs w:val="24"/>
          <w:lang w:val="sr-Cyrl-CS"/>
        </w:rPr>
        <w:t>.</w:t>
      </w:r>
      <w:r>
        <w:rPr>
          <w:rFonts w:ascii="Times New Roman" w:hAnsi="Times New Roman"/>
          <w:sz w:val="24"/>
          <w:szCs w:val="24"/>
          <w:lang w:val="sr-Cyrl-CS"/>
        </w:rPr>
        <w:t xml:space="preserve"> </w:t>
      </w:r>
    </w:p>
    <w:p w:rsidR="00230FBA" w:rsidRDefault="00230FBA" w:rsidP="00230FBA">
      <w:pPr>
        <w:ind w:firstLine="630"/>
        <w:jc w:val="both"/>
        <w:rPr>
          <w:rFonts w:ascii="Times New Roman" w:hAnsi="Times New Roman"/>
          <w:sz w:val="24"/>
          <w:szCs w:val="24"/>
          <w:lang w:val="sr-Cyrl-CS"/>
        </w:rPr>
      </w:pPr>
      <w:r>
        <w:rPr>
          <w:rFonts w:ascii="Times New Roman" w:hAnsi="Times New Roman"/>
          <w:sz w:val="24"/>
          <w:szCs w:val="24"/>
          <w:lang w:val="sr-Cyrl-CS"/>
        </w:rPr>
        <w:t xml:space="preserve">-  Коришћење „виртуелних шалтера“ који се сада користе приликом подношења захтева за </w:t>
      </w:r>
      <w:r>
        <w:rPr>
          <w:rFonts w:ascii="Times New Roman" w:hAnsi="Times New Roman"/>
          <w:sz w:val="24"/>
          <w:szCs w:val="24"/>
        </w:rPr>
        <w:t xml:space="preserve">on-line </w:t>
      </w:r>
      <w:r>
        <w:rPr>
          <w:rFonts w:ascii="Times New Roman" w:hAnsi="Times New Roman"/>
          <w:sz w:val="24"/>
          <w:szCs w:val="24"/>
          <w:lang w:val="sr-Cyrl-CS"/>
        </w:rPr>
        <w:t>кредит.</w:t>
      </w:r>
    </w:p>
    <w:p w:rsidR="00230FBA" w:rsidRDefault="00230FBA" w:rsidP="00230FBA">
      <w:pPr>
        <w:ind w:firstLine="630"/>
        <w:jc w:val="both"/>
        <w:rPr>
          <w:rFonts w:ascii="Times New Roman" w:hAnsi="Times New Roman"/>
          <w:sz w:val="24"/>
          <w:szCs w:val="24"/>
          <w:lang w:val="sr-Cyrl-CS"/>
        </w:rPr>
      </w:pPr>
      <w:r>
        <w:rPr>
          <w:rFonts w:ascii="Times New Roman" w:hAnsi="Times New Roman"/>
          <w:sz w:val="24"/>
          <w:szCs w:val="24"/>
          <w:lang w:val="sr-Cyrl-CS"/>
        </w:rPr>
        <w:t xml:space="preserve">- PayPal платни систем који омогућава </w:t>
      </w:r>
      <w:r w:rsidR="003E6E8F">
        <w:rPr>
          <w:rFonts w:ascii="Times New Roman" w:hAnsi="Times New Roman"/>
          <w:sz w:val="24"/>
          <w:szCs w:val="24"/>
          <w:lang w:val="sr-Cyrl-CS"/>
        </w:rPr>
        <w:t xml:space="preserve">вршење трансакција, </w:t>
      </w:r>
      <w:r>
        <w:rPr>
          <w:rFonts w:ascii="Times New Roman" w:hAnsi="Times New Roman"/>
          <w:sz w:val="24"/>
          <w:szCs w:val="24"/>
          <w:lang w:val="sr-Cyrl-CS"/>
        </w:rPr>
        <w:t xml:space="preserve">путем интернета или коришћењем картица, директно са PayPal рачуна који не подлежу строгим процедурама идентификације клијената и утврђивања порекла средстава као и слање новца свакоме ко има </w:t>
      </w:r>
      <w:r>
        <w:rPr>
          <w:rFonts w:ascii="Times New Roman" w:hAnsi="Times New Roman"/>
          <w:sz w:val="24"/>
          <w:szCs w:val="24"/>
        </w:rPr>
        <w:t xml:space="preserve">e-mail </w:t>
      </w:r>
      <w:r>
        <w:rPr>
          <w:rFonts w:ascii="Times New Roman" w:hAnsi="Times New Roman"/>
          <w:sz w:val="24"/>
          <w:szCs w:val="24"/>
          <w:lang w:val="sr-Cyrl-CS"/>
        </w:rPr>
        <w:t>адресу.</w:t>
      </w:r>
    </w:p>
    <w:p w:rsidR="00230FBA" w:rsidRPr="00230FBA" w:rsidRDefault="00304DD6" w:rsidP="00230FBA">
      <w:pPr>
        <w:ind w:firstLine="630"/>
        <w:jc w:val="both"/>
        <w:rPr>
          <w:rFonts w:ascii="Times New Roman" w:hAnsi="Times New Roman"/>
          <w:sz w:val="24"/>
          <w:szCs w:val="24"/>
          <w:lang w:val="sr-Cyrl-CS"/>
        </w:rPr>
      </w:pPr>
      <w:r>
        <w:rPr>
          <w:rFonts w:ascii="Times New Roman" w:hAnsi="Times New Roman"/>
          <w:sz w:val="24"/>
          <w:szCs w:val="24"/>
          <w:lang w:val="sr-Cyrl-CS"/>
        </w:rPr>
        <w:t>Електронске трансакције</w:t>
      </w:r>
      <w:r w:rsidR="00230FBA">
        <w:rPr>
          <w:rFonts w:ascii="Times New Roman" w:hAnsi="Times New Roman"/>
          <w:sz w:val="24"/>
          <w:szCs w:val="24"/>
          <w:lang w:val="sr-Cyrl-CS"/>
        </w:rPr>
        <w:t xml:space="preserve"> ствара</w:t>
      </w:r>
      <w:r>
        <w:rPr>
          <w:rFonts w:ascii="Times New Roman" w:hAnsi="Times New Roman"/>
          <w:sz w:val="24"/>
          <w:szCs w:val="24"/>
          <w:lang w:val="sr-Cyrl-CS"/>
        </w:rPr>
        <w:t>ју</w:t>
      </w:r>
      <w:r w:rsidR="00230FBA">
        <w:rPr>
          <w:rFonts w:ascii="Times New Roman" w:hAnsi="Times New Roman"/>
          <w:sz w:val="24"/>
          <w:szCs w:val="24"/>
          <w:lang w:val="sr-Cyrl-CS"/>
        </w:rPr>
        <w:t xml:space="preserve"> </w:t>
      </w:r>
      <w:r>
        <w:rPr>
          <w:rFonts w:ascii="Times New Roman" w:hAnsi="Times New Roman"/>
          <w:sz w:val="24"/>
          <w:szCs w:val="24"/>
          <w:lang w:val="sr-Cyrl-CS"/>
        </w:rPr>
        <w:t>велике</w:t>
      </w:r>
      <w:r w:rsidR="00230FBA">
        <w:rPr>
          <w:rFonts w:ascii="Times New Roman" w:hAnsi="Times New Roman"/>
          <w:sz w:val="24"/>
          <w:szCs w:val="24"/>
          <w:lang w:val="sr-Cyrl-CS"/>
        </w:rPr>
        <w:t xml:space="preserve"> проблеме националним пореским администрацијама. </w:t>
      </w:r>
      <w:r>
        <w:rPr>
          <w:rFonts w:ascii="Times New Roman" w:hAnsi="Times New Roman"/>
          <w:sz w:val="24"/>
          <w:szCs w:val="24"/>
          <w:lang w:val="sr-Cyrl-CS"/>
        </w:rPr>
        <w:t xml:space="preserve">Како су </w:t>
      </w:r>
      <w:r w:rsidR="00230FBA">
        <w:rPr>
          <w:rFonts w:ascii="Times New Roman" w:hAnsi="Times New Roman"/>
          <w:sz w:val="24"/>
          <w:szCs w:val="24"/>
          <w:lang w:val="sr-Cyrl-CS"/>
        </w:rPr>
        <w:t>америчке фирме биле главни понуђачи електронских услуга на европском тржишту</w:t>
      </w:r>
      <w:r>
        <w:rPr>
          <w:rFonts w:ascii="Times New Roman" w:hAnsi="Times New Roman"/>
          <w:sz w:val="24"/>
          <w:szCs w:val="24"/>
          <w:lang w:val="sr-Cyrl-CS"/>
        </w:rPr>
        <w:t>,</w:t>
      </w:r>
      <w:r w:rsidR="00230FBA">
        <w:rPr>
          <w:rFonts w:ascii="Times New Roman" w:hAnsi="Times New Roman"/>
          <w:sz w:val="24"/>
          <w:szCs w:val="24"/>
          <w:lang w:val="sr-Cyrl-CS"/>
        </w:rPr>
        <w:t xml:space="preserve"> а нису плаћале порез на промет</w:t>
      </w:r>
      <w:r>
        <w:rPr>
          <w:rFonts w:ascii="Times New Roman" w:hAnsi="Times New Roman"/>
          <w:sz w:val="24"/>
          <w:szCs w:val="24"/>
          <w:lang w:val="sr-Cyrl-CS"/>
        </w:rPr>
        <w:t>, у пракси је настао спор између САД и Европске уније, па су у јулу 2003. године извршене</w:t>
      </w:r>
      <w:r w:rsidR="00230FBA">
        <w:rPr>
          <w:rFonts w:ascii="Times New Roman" w:hAnsi="Times New Roman"/>
          <w:sz w:val="24"/>
          <w:szCs w:val="24"/>
          <w:lang w:val="sr-Cyrl-CS"/>
        </w:rPr>
        <w:t xml:space="preserve"> измене у европском законодавству о порезу на додату вредност којим се намеће обавеза регистрације и плаћања пореза свим компани</w:t>
      </w:r>
      <w:r w:rsidR="00C629BD">
        <w:rPr>
          <w:rFonts w:ascii="Times New Roman" w:hAnsi="Times New Roman"/>
          <w:sz w:val="24"/>
          <w:szCs w:val="24"/>
          <w:lang w:val="sr-Cyrl-CS"/>
        </w:rPr>
        <w:t>јама ван ЕУ када продају електро</w:t>
      </w:r>
      <w:r w:rsidR="00230FBA">
        <w:rPr>
          <w:rFonts w:ascii="Times New Roman" w:hAnsi="Times New Roman"/>
          <w:sz w:val="24"/>
          <w:szCs w:val="24"/>
          <w:lang w:val="sr-Cyrl-CS"/>
        </w:rPr>
        <w:t xml:space="preserve">нске услуге нерегисторавним потрошачима на европском тржишту. </w:t>
      </w:r>
      <w:r>
        <w:rPr>
          <w:rFonts w:ascii="Times New Roman" w:hAnsi="Times New Roman"/>
          <w:sz w:val="24"/>
          <w:szCs w:val="24"/>
          <w:lang w:val="sr-Cyrl-CS"/>
        </w:rPr>
        <w:t>Осим тога</w:t>
      </w:r>
      <w:r w:rsidR="00230FBA">
        <w:rPr>
          <w:rFonts w:ascii="Times New Roman" w:hAnsi="Times New Roman"/>
          <w:sz w:val="24"/>
          <w:szCs w:val="24"/>
          <w:lang w:val="sr-Cyrl-CS"/>
        </w:rPr>
        <w:t>, европске фирме немају више обавезу да обрачунавају порез на већину електронских услуга пруженим потрошачима ван тржишта ЕУ.</w:t>
      </w:r>
      <w:r w:rsidR="00230FBA">
        <w:rPr>
          <w:rStyle w:val="FootnoteReference"/>
          <w:rFonts w:ascii="Times New Roman" w:hAnsi="Times New Roman"/>
          <w:sz w:val="24"/>
          <w:szCs w:val="24"/>
          <w:lang w:val="sr-Cyrl-CS"/>
        </w:rPr>
        <w:footnoteReference w:id="722"/>
      </w:r>
    </w:p>
    <w:p w:rsidR="00932992" w:rsidRPr="00932992" w:rsidRDefault="00337E9D" w:rsidP="00932992">
      <w:pPr>
        <w:ind w:firstLine="630"/>
        <w:jc w:val="both"/>
        <w:rPr>
          <w:rFonts w:ascii="Times New Roman" w:hAnsi="Times New Roman"/>
          <w:sz w:val="24"/>
          <w:szCs w:val="24"/>
          <w:lang w:val="sr-Cyrl-CS"/>
        </w:rPr>
      </w:pPr>
      <w:r w:rsidRPr="00230FBA">
        <w:rPr>
          <w:rFonts w:ascii="Times New Roman" w:hAnsi="Times New Roman"/>
          <w:sz w:val="24"/>
          <w:szCs w:val="24"/>
          <w:lang w:val="sr-Cyrl-CS"/>
        </w:rPr>
        <w:t>За</w:t>
      </w:r>
      <w:r>
        <w:rPr>
          <w:rFonts w:ascii="Times New Roman" w:hAnsi="Times New Roman"/>
          <w:sz w:val="24"/>
          <w:szCs w:val="24"/>
          <w:lang w:val="sr-Cyrl-CS"/>
        </w:rPr>
        <w:t xml:space="preserve"> контролу оваквих трансакција потребна с</w:t>
      </w:r>
      <w:r w:rsidR="00C43058">
        <w:rPr>
          <w:rFonts w:ascii="Times New Roman" w:hAnsi="Times New Roman"/>
          <w:sz w:val="24"/>
          <w:szCs w:val="24"/>
          <w:lang w:val="sr-Cyrl-CS"/>
        </w:rPr>
        <w:t>у високо сп</w:t>
      </w:r>
      <w:r>
        <w:rPr>
          <w:rFonts w:ascii="Times New Roman" w:hAnsi="Times New Roman"/>
          <w:sz w:val="24"/>
          <w:szCs w:val="24"/>
          <w:lang w:val="sr-Cyrl-CS"/>
        </w:rPr>
        <w:t>ецијализована знања, стално праћење развоја савремених технологија, добра организација, као и модеран законодаван оквир</w:t>
      </w:r>
      <w:r w:rsidR="00230FBA">
        <w:rPr>
          <w:rFonts w:ascii="Times New Roman" w:hAnsi="Times New Roman"/>
          <w:sz w:val="24"/>
          <w:szCs w:val="24"/>
          <w:lang w:val="sr-Cyrl-CS"/>
        </w:rPr>
        <w:t>.</w:t>
      </w:r>
    </w:p>
    <w:p w:rsidR="00932992" w:rsidRPr="007F157B" w:rsidRDefault="00932992" w:rsidP="007F157B">
      <w:pPr>
        <w:ind w:firstLine="630"/>
        <w:jc w:val="center"/>
        <w:rPr>
          <w:rFonts w:ascii="Times New Roman" w:hAnsi="Times New Roman"/>
          <w:b/>
          <w:sz w:val="24"/>
          <w:szCs w:val="24"/>
          <w:lang w:val="sr-Cyrl-CS"/>
        </w:rPr>
      </w:pPr>
    </w:p>
    <w:p w:rsidR="00BD7276" w:rsidRDefault="007F157B" w:rsidP="007F157B">
      <w:pPr>
        <w:pStyle w:val="ListParagraph"/>
        <w:numPr>
          <w:ilvl w:val="1"/>
          <w:numId w:val="4"/>
        </w:numPr>
        <w:jc w:val="center"/>
        <w:rPr>
          <w:rFonts w:ascii="Times New Roman" w:hAnsi="Times New Roman"/>
          <w:b/>
          <w:sz w:val="24"/>
          <w:szCs w:val="24"/>
          <w:lang w:val="sr-Cyrl-CS"/>
        </w:rPr>
      </w:pPr>
      <w:r w:rsidRPr="007F157B">
        <w:rPr>
          <w:rFonts w:ascii="Times New Roman" w:hAnsi="Times New Roman"/>
          <w:b/>
          <w:sz w:val="24"/>
          <w:szCs w:val="24"/>
          <w:lang w:val="sr-Cyrl-CS"/>
        </w:rPr>
        <w:t>Својинска</w:t>
      </w:r>
      <w:r>
        <w:rPr>
          <w:rFonts w:ascii="Times New Roman" w:hAnsi="Times New Roman"/>
          <w:sz w:val="24"/>
          <w:szCs w:val="24"/>
          <w:lang w:val="sr-Cyrl-CS"/>
        </w:rPr>
        <w:t xml:space="preserve"> </w:t>
      </w:r>
      <w:r w:rsidRPr="007F157B">
        <w:rPr>
          <w:rFonts w:ascii="Times New Roman" w:hAnsi="Times New Roman"/>
          <w:b/>
          <w:sz w:val="24"/>
          <w:szCs w:val="24"/>
          <w:lang w:val="sr-Cyrl-CS"/>
        </w:rPr>
        <w:t>трансформација</w:t>
      </w:r>
    </w:p>
    <w:p w:rsidR="00932992" w:rsidRDefault="00932992" w:rsidP="00BC7798">
      <w:pPr>
        <w:pStyle w:val="ListParagraph"/>
        <w:ind w:left="990"/>
        <w:rPr>
          <w:rFonts w:ascii="Times New Roman" w:hAnsi="Times New Roman"/>
          <w:b/>
          <w:sz w:val="24"/>
          <w:szCs w:val="24"/>
          <w:lang w:val="sr-Cyrl-CS"/>
        </w:rPr>
      </w:pPr>
    </w:p>
    <w:p w:rsidR="00BC7798" w:rsidRPr="007F157B" w:rsidRDefault="00BC7798" w:rsidP="00BC7798">
      <w:pPr>
        <w:pStyle w:val="ListParagraph"/>
        <w:ind w:left="990"/>
        <w:rPr>
          <w:rFonts w:ascii="Times New Roman" w:hAnsi="Times New Roman"/>
          <w:b/>
          <w:sz w:val="24"/>
          <w:szCs w:val="24"/>
          <w:lang w:val="sr-Cyrl-CS"/>
        </w:rPr>
      </w:pPr>
    </w:p>
    <w:p w:rsidR="006E4383" w:rsidRDefault="0014705D" w:rsidP="003566F0">
      <w:pPr>
        <w:ind w:firstLine="630"/>
        <w:jc w:val="both"/>
        <w:rPr>
          <w:rFonts w:ascii="Times New Roman" w:hAnsi="Times New Roman"/>
          <w:sz w:val="24"/>
          <w:szCs w:val="24"/>
          <w:lang w:val="sr-Cyrl-CS"/>
        </w:rPr>
      </w:pPr>
      <w:r>
        <w:rPr>
          <w:rFonts w:ascii="Times New Roman" w:hAnsi="Times New Roman"/>
          <w:sz w:val="24"/>
          <w:szCs w:val="24"/>
          <w:lang w:val="sr-Cyrl-CS"/>
        </w:rPr>
        <w:t xml:space="preserve">Процес својинске трансформације још од средине деведесетих прате бројне злоупотребе. Оне се врше преко умањења вредности имовине предузећа, повећања обавеза предузећа, или се пак имовина непотпуно приказује, при чему се често користи фалсификована документација. </w:t>
      </w:r>
      <w:r w:rsidR="006E4383">
        <w:rPr>
          <w:rFonts w:ascii="Times New Roman" w:hAnsi="Times New Roman"/>
          <w:sz w:val="24"/>
          <w:szCs w:val="24"/>
          <w:lang w:val="sr-Cyrl-CS"/>
        </w:rPr>
        <w:t xml:space="preserve">Уз помоћ корупције поједини привредни субјекти су постали власници фирми по много нижој цени од њихове стварне вредности. </w:t>
      </w:r>
    </w:p>
    <w:p w:rsidR="00DF0ED9" w:rsidRDefault="00C629BD" w:rsidP="003566F0">
      <w:pPr>
        <w:ind w:firstLine="630"/>
        <w:jc w:val="both"/>
        <w:rPr>
          <w:rFonts w:ascii="Times New Roman" w:hAnsi="Times New Roman"/>
          <w:sz w:val="24"/>
          <w:szCs w:val="24"/>
          <w:lang w:val="sr-Cyrl-CS"/>
        </w:rPr>
      </w:pPr>
      <w:r>
        <w:rPr>
          <w:rFonts w:ascii="Times New Roman" w:hAnsi="Times New Roman"/>
          <w:sz w:val="24"/>
          <w:szCs w:val="24"/>
          <w:lang w:val="sr-Cyrl-CS"/>
        </w:rPr>
        <w:t xml:space="preserve">Захваљујући везама које се посредством корупције успостављају </w:t>
      </w:r>
      <w:r w:rsidR="00DF0ED9">
        <w:rPr>
          <w:rFonts w:ascii="Times New Roman" w:hAnsi="Times New Roman"/>
          <w:sz w:val="24"/>
          <w:szCs w:val="24"/>
          <w:lang w:val="sr-Cyrl-CS"/>
        </w:rPr>
        <w:t xml:space="preserve">са државним и финансијским структурама олакшава се и инвестирање опраног новца у процес приватизације и омогућава предност у односу на легалне пословне субјекте у оним </w:t>
      </w:r>
      <w:r w:rsidR="00DF0ED9">
        <w:rPr>
          <w:rFonts w:ascii="Times New Roman" w:hAnsi="Times New Roman"/>
          <w:sz w:val="24"/>
          <w:szCs w:val="24"/>
          <w:lang w:val="sr-Cyrl-CS"/>
        </w:rPr>
        <w:lastRenderedPageBreak/>
        <w:t>сегментима пословања (извођење јавних радова, извозни и увозни послови и слично), где одлучујући утицај имају наведене структуре.</w:t>
      </w:r>
      <w:r w:rsidR="00DF0ED9">
        <w:rPr>
          <w:rStyle w:val="FootnoteReference"/>
          <w:rFonts w:ascii="Times New Roman" w:hAnsi="Times New Roman"/>
          <w:sz w:val="24"/>
          <w:szCs w:val="24"/>
          <w:lang w:val="sr-Cyrl-CS"/>
        </w:rPr>
        <w:footnoteReference w:id="723"/>
      </w:r>
    </w:p>
    <w:p w:rsidR="006E4383" w:rsidRDefault="006E4383" w:rsidP="000A1CCA">
      <w:pPr>
        <w:ind w:firstLine="630"/>
        <w:jc w:val="both"/>
        <w:rPr>
          <w:rFonts w:ascii="Times New Roman" w:hAnsi="Times New Roman"/>
          <w:sz w:val="24"/>
          <w:szCs w:val="24"/>
          <w:lang w:val="sr-Cyrl-CS"/>
        </w:rPr>
      </w:pPr>
      <w:r>
        <w:rPr>
          <w:rFonts w:ascii="Times New Roman" w:hAnsi="Times New Roman"/>
          <w:sz w:val="24"/>
          <w:szCs w:val="24"/>
          <w:lang w:val="sr-Cyrl-CS"/>
        </w:rPr>
        <w:t xml:space="preserve">Према </w:t>
      </w:r>
      <w:r w:rsidR="00D72ABE">
        <w:rPr>
          <w:rFonts w:ascii="Times New Roman" w:hAnsi="Times New Roman"/>
          <w:sz w:val="24"/>
          <w:szCs w:val="24"/>
          <w:lang w:val="sr-Cyrl-CS"/>
        </w:rPr>
        <w:t xml:space="preserve">статистичким </w:t>
      </w:r>
      <w:r>
        <w:rPr>
          <w:rFonts w:ascii="Times New Roman" w:hAnsi="Times New Roman"/>
          <w:sz w:val="24"/>
          <w:szCs w:val="24"/>
          <w:lang w:val="sr-Cyrl-CS"/>
        </w:rPr>
        <w:t>по</w:t>
      </w:r>
      <w:r w:rsidR="00D72ABE">
        <w:rPr>
          <w:rFonts w:ascii="Times New Roman" w:hAnsi="Times New Roman"/>
          <w:sz w:val="24"/>
          <w:szCs w:val="24"/>
          <w:lang w:val="sr-Cyrl-CS"/>
        </w:rPr>
        <w:t>дацима</w:t>
      </w:r>
      <w:r>
        <w:rPr>
          <w:rFonts w:ascii="Times New Roman" w:hAnsi="Times New Roman"/>
          <w:sz w:val="24"/>
          <w:szCs w:val="24"/>
          <w:lang w:val="sr-Cyrl-CS"/>
        </w:rPr>
        <w:t xml:space="preserve"> </w:t>
      </w:r>
      <w:r w:rsidR="00D72ABE">
        <w:rPr>
          <w:rFonts w:ascii="Times New Roman" w:hAnsi="Times New Roman"/>
          <w:sz w:val="24"/>
          <w:szCs w:val="24"/>
          <w:lang w:val="sr-Cyrl-CS"/>
        </w:rPr>
        <w:t>у току 2011. године раскинут је 41 уговор о приватизацији, а сада их је око 120 више. У рукама пет вл</w:t>
      </w:r>
      <w:r w:rsidR="006D0FE0">
        <w:rPr>
          <w:rFonts w:ascii="Times New Roman" w:hAnsi="Times New Roman"/>
          <w:sz w:val="24"/>
          <w:szCs w:val="24"/>
          <w:lang w:val="sr-Cyrl-CS"/>
        </w:rPr>
        <w:t>асника приватизованих предузећа</w:t>
      </w:r>
      <w:r w:rsidR="00D72ABE">
        <w:rPr>
          <w:rFonts w:ascii="Times New Roman" w:hAnsi="Times New Roman"/>
          <w:sz w:val="24"/>
          <w:szCs w:val="24"/>
          <w:lang w:val="sr-Cyrl-CS"/>
        </w:rPr>
        <w:t xml:space="preserve"> по броју раскинутих уговора</w:t>
      </w:r>
      <w:r w:rsidR="006D0FE0">
        <w:rPr>
          <w:rFonts w:ascii="Times New Roman" w:hAnsi="Times New Roman"/>
          <w:sz w:val="24"/>
          <w:szCs w:val="24"/>
          <w:lang w:val="sr-Cyrl-CS"/>
        </w:rPr>
        <w:t>,</w:t>
      </w:r>
      <w:r w:rsidR="00D72ABE">
        <w:rPr>
          <w:rFonts w:ascii="Times New Roman" w:hAnsi="Times New Roman"/>
          <w:sz w:val="24"/>
          <w:szCs w:val="24"/>
          <w:lang w:val="sr-Cyrl-CS"/>
        </w:rPr>
        <w:t xml:space="preserve"> нашла су се чак 52 предузећа, </w:t>
      </w:r>
      <w:r w:rsidR="008C541A">
        <w:rPr>
          <w:rFonts w:ascii="Times New Roman" w:hAnsi="Times New Roman"/>
          <w:sz w:val="24"/>
          <w:szCs w:val="24"/>
          <w:lang w:val="sr-Cyrl-CS"/>
        </w:rPr>
        <w:t>од којих је у међувремену униште</w:t>
      </w:r>
      <w:r w:rsidR="00D72ABE">
        <w:rPr>
          <w:rFonts w:ascii="Times New Roman" w:hAnsi="Times New Roman"/>
          <w:sz w:val="24"/>
          <w:szCs w:val="24"/>
          <w:lang w:val="sr-Cyrl-CS"/>
        </w:rPr>
        <w:t xml:space="preserve">но 29 фирми. Сада је већ извесно да је омиљени пут новца углавном полазио од </w:t>
      </w:r>
      <w:r w:rsidR="003566F0">
        <w:rPr>
          <w:rFonts w:ascii="Times New Roman" w:hAnsi="Times New Roman"/>
          <w:sz w:val="24"/>
          <w:szCs w:val="24"/>
        </w:rPr>
        <w:t>off-shore</w:t>
      </w:r>
      <w:r w:rsidR="00D72ABE">
        <w:rPr>
          <w:rFonts w:ascii="Times New Roman" w:hAnsi="Times New Roman"/>
          <w:sz w:val="24"/>
          <w:szCs w:val="24"/>
          <w:lang w:val="sr-Cyrl-CS"/>
        </w:rPr>
        <w:t xml:space="preserve"> компанија, преко којих се расипао на ситније рачуне појединаца, одакле је делом усмераван за куповину друштвених предузећа. </w:t>
      </w:r>
      <w:r w:rsidR="00D72ABE">
        <w:rPr>
          <w:rStyle w:val="FootnoteReference"/>
          <w:rFonts w:ascii="Times New Roman" w:hAnsi="Times New Roman"/>
          <w:sz w:val="24"/>
          <w:szCs w:val="24"/>
          <w:lang w:val="sr-Cyrl-CS"/>
        </w:rPr>
        <w:footnoteReference w:id="724"/>
      </w:r>
    </w:p>
    <w:p w:rsidR="006D0FE0" w:rsidRDefault="006D0FE0" w:rsidP="006D0FE0">
      <w:pPr>
        <w:ind w:firstLine="630"/>
        <w:jc w:val="both"/>
        <w:rPr>
          <w:rFonts w:ascii="Times New Roman" w:hAnsi="Times New Roman"/>
          <w:sz w:val="24"/>
          <w:szCs w:val="24"/>
          <w:lang w:val="sr-Cyrl-CS"/>
        </w:rPr>
      </w:pPr>
      <w:r>
        <w:rPr>
          <w:rFonts w:ascii="Times New Roman" w:hAnsi="Times New Roman"/>
          <w:sz w:val="24"/>
          <w:szCs w:val="24"/>
          <w:lang w:val="sr-Cyrl-CS"/>
        </w:rPr>
        <w:t>Стога</w:t>
      </w:r>
      <w:r w:rsidR="00905570" w:rsidRPr="00905570">
        <w:rPr>
          <w:rFonts w:ascii="Times New Roman" w:hAnsi="Times New Roman"/>
          <w:sz w:val="24"/>
          <w:szCs w:val="24"/>
          <w:lang w:val="sr-Cyrl-CS"/>
        </w:rPr>
        <w:t xml:space="preserve"> </w:t>
      </w:r>
      <w:r>
        <w:rPr>
          <w:rFonts w:ascii="Times New Roman" w:hAnsi="Times New Roman"/>
          <w:sz w:val="24"/>
          <w:szCs w:val="24"/>
          <w:lang w:val="sr-Cyrl-CS"/>
        </w:rPr>
        <w:t>је</w:t>
      </w:r>
      <w:r w:rsidR="00905570" w:rsidRPr="00905570">
        <w:rPr>
          <w:rFonts w:ascii="Times New Roman" w:hAnsi="Times New Roman"/>
          <w:sz w:val="24"/>
          <w:szCs w:val="24"/>
          <w:lang w:val="sr-Cyrl-CS"/>
        </w:rPr>
        <w:t xml:space="preserve"> </w:t>
      </w:r>
      <w:r>
        <w:rPr>
          <w:rFonts w:ascii="Times New Roman" w:hAnsi="Times New Roman"/>
          <w:sz w:val="24"/>
          <w:szCs w:val="24"/>
          <w:lang w:val="sr-Cyrl-CS"/>
        </w:rPr>
        <w:t>упутно</w:t>
      </w:r>
      <w:r w:rsidR="00905570" w:rsidRPr="00905570">
        <w:rPr>
          <w:rFonts w:ascii="Times New Roman" w:hAnsi="Times New Roman"/>
          <w:sz w:val="24"/>
          <w:szCs w:val="24"/>
          <w:lang w:val="sr-Cyrl-CS"/>
        </w:rPr>
        <w:t xml:space="preserve"> </w:t>
      </w:r>
      <w:r>
        <w:rPr>
          <w:rFonts w:ascii="Times New Roman" w:hAnsi="Times New Roman"/>
          <w:sz w:val="24"/>
          <w:szCs w:val="24"/>
          <w:lang w:val="sr-Cyrl-CS"/>
        </w:rPr>
        <w:t>погледати</w:t>
      </w:r>
      <w:r w:rsidR="003566F0">
        <w:rPr>
          <w:rFonts w:ascii="Times New Roman" w:hAnsi="Times New Roman"/>
          <w:sz w:val="24"/>
          <w:szCs w:val="24"/>
          <w:lang w:val="sr-Cyrl-CS"/>
        </w:rPr>
        <w:t xml:space="preserve"> </w:t>
      </w:r>
      <w:r>
        <w:rPr>
          <w:rFonts w:ascii="Times New Roman" w:hAnsi="Times New Roman"/>
          <w:sz w:val="24"/>
          <w:szCs w:val="24"/>
          <w:lang w:val="sr-Cyrl-CS"/>
        </w:rPr>
        <w:t>факторе</w:t>
      </w:r>
      <w:r w:rsidR="003566F0">
        <w:rPr>
          <w:rFonts w:ascii="Times New Roman" w:hAnsi="Times New Roman"/>
          <w:sz w:val="24"/>
          <w:szCs w:val="24"/>
          <w:lang w:val="sr-Cyrl-CS"/>
        </w:rPr>
        <w:t xml:space="preserve"> </w:t>
      </w:r>
      <w:r>
        <w:rPr>
          <w:rFonts w:ascii="Times New Roman" w:hAnsi="Times New Roman"/>
          <w:sz w:val="24"/>
          <w:szCs w:val="24"/>
          <w:lang w:val="sr-Cyrl-CS"/>
        </w:rPr>
        <w:t>од</w:t>
      </w:r>
      <w:r w:rsidR="003566F0">
        <w:rPr>
          <w:rFonts w:ascii="Times New Roman" w:hAnsi="Times New Roman"/>
          <w:sz w:val="24"/>
          <w:szCs w:val="24"/>
          <w:lang w:val="sr-Cyrl-CS"/>
        </w:rPr>
        <w:t xml:space="preserve"> </w:t>
      </w:r>
      <w:r>
        <w:rPr>
          <w:rFonts w:ascii="Times New Roman" w:hAnsi="Times New Roman"/>
          <w:sz w:val="24"/>
          <w:szCs w:val="24"/>
          <w:lang w:val="sr-Cyrl-CS"/>
        </w:rPr>
        <w:t>којих</w:t>
      </w:r>
      <w:r w:rsidR="003566F0">
        <w:rPr>
          <w:rFonts w:ascii="Times New Roman" w:hAnsi="Times New Roman"/>
          <w:sz w:val="24"/>
          <w:szCs w:val="24"/>
          <w:lang w:val="sr-Cyrl-CS"/>
        </w:rPr>
        <w:t xml:space="preserve"> </w:t>
      </w:r>
      <w:r>
        <w:rPr>
          <w:rFonts w:ascii="Times New Roman" w:hAnsi="Times New Roman"/>
          <w:sz w:val="24"/>
          <w:szCs w:val="24"/>
          <w:lang w:val="sr-Cyrl-CS"/>
        </w:rPr>
        <w:t>зависи</w:t>
      </w:r>
      <w:r w:rsidR="003566F0">
        <w:rPr>
          <w:rFonts w:ascii="Times New Roman" w:hAnsi="Times New Roman"/>
          <w:sz w:val="24"/>
          <w:szCs w:val="24"/>
          <w:lang w:val="sr-Cyrl-CS"/>
        </w:rPr>
        <w:t xml:space="preserve"> </w:t>
      </w:r>
      <w:r>
        <w:rPr>
          <w:rFonts w:ascii="Times New Roman" w:hAnsi="Times New Roman"/>
          <w:sz w:val="24"/>
          <w:szCs w:val="24"/>
          <w:lang w:val="sr-Cyrl-CS"/>
        </w:rPr>
        <w:t>да</w:t>
      </w:r>
      <w:r w:rsidR="003566F0">
        <w:rPr>
          <w:rFonts w:ascii="Times New Roman" w:hAnsi="Times New Roman"/>
          <w:sz w:val="24"/>
          <w:szCs w:val="24"/>
          <w:lang w:val="sr-Cyrl-CS"/>
        </w:rPr>
        <w:t xml:space="preserve"> </w:t>
      </w:r>
      <w:r>
        <w:rPr>
          <w:rFonts w:ascii="Times New Roman" w:hAnsi="Times New Roman"/>
          <w:sz w:val="24"/>
          <w:szCs w:val="24"/>
          <w:lang w:val="sr-Cyrl-CS"/>
        </w:rPr>
        <w:t>ли</w:t>
      </w:r>
      <w:r w:rsidR="003566F0">
        <w:rPr>
          <w:rFonts w:ascii="Times New Roman" w:hAnsi="Times New Roman"/>
          <w:sz w:val="24"/>
          <w:szCs w:val="24"/>
          <w:lang w:val="sr-Cyrl-CS"/>
        </w:rPr>
        <w:t xml:space="preserve"> ћ</w:t>
      </w:r>
      <w:r>
        <w:rPr>
          <w:rFonts w:ascii="Times New Roman" w:hAnsi="Times New Roman"/>
          <w:sz w:val="24"/>
          <w:szCs w:val="24"/>
          <w:lang w:val="sr-Cyrl-CS"/>
        </w:rPr>
        <w:t>е</w:t>
      </w:r>
      <w:r w:rsidR="00905570" w:rsidRPr="00905570">
        <w:rPr>
          <w:rFonts w:ascii="Times New Roman" w:hAnsi="Times New Roman"/>
          <w:sz w:val="24"/>
          <w:szCs w:val="24"/>
          <w:lang w:val="sr-Cyrl-CS"/>
        </w:rPr>
        <w:t xml:space="preserve"> </w:t>
      </w:r>
      <w:r>
        <w:rPr>
          <w:rFonts w:ascii="Times New Roman" w:hAnsi="Times New Roman"/>
          <w:sz w:val="24"/>
          <w:szCs w:val="24"/>
          <w:lang w:val="sr-Cyrl-CS"/>
        </w:rPr>
        <w:t>се</w:t>
      </w:r>
      <w:r w:rsidR="00905570" w:rsidRPr="00905570">
        <w:rPr>
          <w:rFonts w:ascii="Times New Roman" w:hAnsi="Times New Roman"/>
          <w:sz w:val="24"/>
          <w:szCs w:val="24"/>
          <w:lang w:val="sr-Cyrl-CS"/>
        </w:rPr>
        <w:t xml:space="preserve"> </w:t>
      </w:r>
      <w:r>
        <w:rPr>
          <w:rFonts w:ascii="Times New Roman" w:hAnsi="Times New Roman"/>
          <w:sz w:val="24"/>
          <w:szCs w:val="24"/>
          <w:lang w:val="sr-Cyrl-CS"/>
        </w:rPr>
        <w:t>ниво</w:t>
      </w:r>
      <w:r w:rsidR="00905570" w:rsidRPr="00905570">
        <w:rPr>
          <w:rFonts w:ascii="Times New Roman" w:hAnsi="Times New Roman"/>
          <w:sz w:val="24"/>
          <w:szCs w:val="24"/>
          <w:lang w:val="sr-Cyrl-CS"/>
        </w:rPr>
        <w:t xml:space="preserve"> </w:t>
      </w:r>
      <w:r>
        <w:rPr>
          <w:rFonts w:ascii="Times New Roman" w:hAnsi="Times New Roman"/>
          <w:sz w:val="24"/>
          <w:szCs w:val="24"/>
          <w:lang w:val="sr-Cyrl-CS"/>
        </w:rPr>
        <w:t>корупције</w:t>
      </w:r>
      <w:r w:rsidR="00905570" w:rsidRPr="00905570">
        <w:rPr>
          <w:rFonts w:ascii="Times New Roman" w:hAnsi="Times New Roman"/>
          <w:sz w:val="24"/>
          <w:szCs w:val="24"/>
          <w:lang w:val="sr-Cyrl-CS"/>
        </w:rPr>
        <w:t xml:space="preserve"> </w:t>
      </w:r>
      <w:r>
        <w:rPr>
          <w:rFonts w:ascii="Times New Roman" w:hAnsi="Times New Roman"/>
          <w:sz w:val="24"/>
          <w:szCs w:val="24"/>
          <w:lang w:val="sr-Cyrl-CS"/>
        </w:rPr>
        <w:t>у</w:t>
      </w:r>
      <w:r w:rsidR="00905570" w:rsidRPr="00905570">
        <w:rPr>
          <w:rFonts w:ascii="Times New Roman" w:hAnsi="Times New Roman"/>
          <w:sz w:val="24"/>
          <w:szCs w:val="24"/>
          <w:lang w:val="sr-Cyrl-CS"/>
        </w:rPr>
        <w:t xml:space="preserve"> </w:t>
      </w:r>
      <w:r>
        <w:rPr>
          <w:rFonts w:ascii="Times New Roman" w:hAnsi="Times New Roman"/>
          <w:sz w:val="24"/>
          <w:szCs w:val="24"/>
          <w:lang w:val="sr-Cyrl-CS"/>
        </w:rPr>
        <w:t>земљи</w:t>
      </w:r>
      <w:r w:rsidR="003566F0">
        <w:rPr>
          <w:rFonts w:ascii="Times New Roman" w:hAnsi="Times New Roman"/>
          <w:sz w:val="24"/>
          <w:szCs w:val="24"/>
          <w:lang w:val="sr-Cyrl-CS"/>
        </w:rPr>
        <w:t xml:space="preserve">, </w:t>
      </w:r>
      <w:r>
        <w:rPr>
          <w:rFonts w:ascii="Times New Roman" w:hAnsi="Times New Roman"/>
          <w:sz w:val="24"/>
          <w:szCs w:val="24"/>
          <w:lang w:val="sr-Cyrl-CS"/>
        </w:rPr>
        <w:t>током</w:t>
      </w:r>
      <w:r w:rsidR="003566F0">
        <w:rPr>
          <w:rFonts w:ascii="Times New Roman" w:hAnsi="Times New Roman"/>
          <w:sz w:val="24"/>
          <w:szCs w:val="24"/>
          <w:lang w:val="sr-Cyrl-CS"/>
        </w:rPr>
        <w:t xml:space="preserve"> </w:t>
      </w:r>
      <w:r>
        <w:rPr>
          <w:rFonts w:ascii="Times New Roman" w:hAnsi="Times New Roman"/>
          <w:sz w:val="24"/>
          <w:szCs w:val="24"/>
          <w:lang w:val="sr-Cyrl-CS"/>
        </w:rPr>
        <w:t>приватизације</w:t>
      </w:r>
      <w:r w:rsidR="003566F0">
        <w:rPr>
          <w:rFonts w:ascii="Times New Roman" w:hAnsi="Times New Roman"/>
          <w:sz w:val="24"/>
          <w:szCs w:val="24"/>
          <w:lang w:val="sr-Cyrl-CS"/>
        </w:rPr>
        <w:t xml:space="preserve">, </w:t>
      </w:r>
      <w:r>
        <w:rPr>
          <w:rFonts w:ascii="Times New Roman" w:hAnsi="Times New Roman"/>
          <w:sz w:val="24"/>
          <w:szCs w:val="24"/>
          <w:lang w:val="sr-Cyrl-CS"/>
        </w:rPr>
        <w:t>пове</w:t>
      </w:r>
      <w:r w:rsidR="003566F0">
        <w:rPr>
          <w:rFonts w:ascii="Times New Roman" w:hAnsi="Times New Roman"/>
          <w:sz w:val="24"/>
          <w:szCs w:val="24"/>
          <w:lang w:val="sr-Cyrl-CS"/>
        </w:rPr>
        <w:t>ћ</w:t>
      </w:r>
      <w:r>
        <w:rPr>
          <w:rFonts w:ascii="Times New Roman" w:hAnsi="Times New Roman"/>
          <w:sz w:val="24"/>
          <w:szCs w:val="24"/>
          <w:lang w:val="sr-Cyrl-CS"/>
        </w:rPr>
        <w:t>ати</w:t>
      </w:r>
      <w:r w:rsidR="00905570" w:rsidRPr="00905570">
        <w:rPr>
          <w:rFonts w:ascii="Times New Roman" w:hAnsi="Times New Roman"/>
          <w:sz w:val="24"/>
          <w:szCs w:val="24"/>
          <w:lang w:val="sr-Cyrl-CS"/>
        </w:rPr>
        <w:t xml:space="preserve"> </w:t>
      </w:r>
      <w:r>
        <w:rPr>
          <w:rFonts w:ascii="Times New Roman" w:hAnsi="Times New Roman"/>
          <w:sz w:val="24"/>
          <w:szCs w:val="24"/>
          <w:lang w:val="sr-Cyrl-CS"/>
        </w:rPr>
        <w:t>или</w:t>
      </w:r>
      <w:r w:rsidR="00905570" w:rsidRPr="00905570">
        <w:rPr>
          <w:rFonts w:ascii="Times New Roman" w:hAnsi="Times New Roman"/>
          <w:sz w:val="24"/>
          <w:szCs w:val="24"/>
          <w:lang w:val="sr-Cyrl-CS"/>
        </w:rPr>
        <w:t xml:space="preserve"> </w:t>
      </w:r>
      <w:r>
        <w:rPr>
          <w:rFonts w:ascii="Times New Roman" w:hAnsi="Times New Roman"/>
          <w:sz w:val="24"/>
          <w:szCs w:val="24"/>
          <w:lang w:val="sr-Cyrl-CS"/>
        </w:rPr>
        <w:t>смањити.</w:t>
      </w:r>
      <w:r>
        <w:rPr>
          <w:rStyle w:val="FootnoteReference"/>
          <w:rFonts w:ascii="Times New Roman" w:hAnsi="Times New Roman"/>
          <w:sz w:val="24"/>
          <w:szCs w:val="24"/>
          <w:lang w:val="sr-Cyrl-CS"/>
        </w:rPr>
        <w:footnoteReference w:id="725"/>
      </w:r>
      <w:r>
        <w:rPr>
          <w:rFonts w:ascii="Times New Roman" w:hAnsi="Times New Roman"/>
          <w:sz w:val="24"/>
          <w:szCs w:val="24"/>
          <w:lang w:val="sr-Cyrl-CS"/>
        </w:rPr>
        <w:t xml:space="preserve"> Наиме, брзина</w:t>
      </w:r>
      <w:r w:rsidR="003566F0">
        <w:rPr>
          <w:rFonts w:ascii="Times New Roman" w:hAnsi="Times New Roman"/>
          <w:sz w:val="24"/>
          <w:szCs w:val="24"/>
          <w:lang w:val="sr-Cyrl-CS"/>
        </w:rPr>
        <w:t xml:space="preserve">, </w:t>
      </w:r>
      <w:r>
        <w:rPr>
          <w:rFonts w:ascii="Times New Roman" w:hAnsi="Times New Roman"/>
          <w:sz w:val="24"/>
          <w:szCs w:val="24"/>
          <w:lang w:val="sr-Cyrl-CS"/>
        </w:rPr>
        <w:t>степен</w:t>
      </w:r>
      <w:r w:rsidR="003566F0">
        <w:rPr>
          <w:rFonts w:ascii="Times New Roman" w:hAnsi="Times New Roman"/>
          <w:sz w:val="24"/>
          <w:szCs w:val="24"/>
          <w:lang w:val="sr-Cyrl-CS"/>
        </w:rPr>
        <w:t xml:space="preserve"> </w:t>
      </w:r>
      <w:r>
        <w:rPr>
          <w:rFonts w:ascii="Times New Roman" w:hAnsi="Times New Roman"/>
          <w:sz w:val="24"/>
          <w:szCs w:val="24"/>
          <w:lang w:val="sr-Cyrl-CS"/>
        </w:rPr>
        <w:t>овла</w:t>
      </w:r>
      <w:r w:rsidR="003566F0">
        <w:rPr>
          <w:rFonts w:ascii="Times New Roman" w:hAnsi="Times New Roman"/>
          <w:sz w:val="24"/>
          <w:szCs w:val="24"/>
          <w:lang w:val="sr-Cyrl-CS"/>
        </w:rPr>
        <w:t>шћ</w:t>
      </w:r>
      <w:r>
        <w:rPr>
          <w:rFonts w:ascii="Times New Roman" w:hAnsi="Times New Roman"/>
          <w:sz w:val="24"/>
          <w:szCs w:val="24"/>
          <w:lang w:val="sr-Cyrl-CS"/>
        </w:rPr>
        <w:t>ења</w:t>
      </w:r>
      <w:r w:rsidR="00140967" w:rsidRPr="00140967">
        <w:rPr>
          <w:rFonts w:ascii="Times New Roman" w:hAnsi="Times New Roman"/>
          <w:sz w:val="24"/>
          <w:szCs w:val="24"/>
          <w:lang w:val="sr-Cyrl-CS"/>
        </w:rPr>
        <w:t xml:space="preserve"> </w:t>
      </w:r>
      <w:r>
        <w:rPr>
          <w:rFonts w:ascii="Times New Roman" w:hAnsi="Times New Roman"/>
          <w:sz w:val="24"/>
          <w:szCs w:val="24"/>
          <w:lang w:val="sr-Cyrl-CS"/>
        </w:rPr>
        <w:t>и</w:t>
      </w:r>
      <w:r w:rsidR="00140967" w:rsidRPr="00140967">
        <w:rPr>
          <w:rFonts w:ascii="Times New Roman" w:hAnsi="Times New Roman"/>
          <w:sz w:val="24"/>
          <w:szCs w:val="24"/>
          <w:lang w:val="sr-Cyrl-CS"/>
        </w:rPr>
        <w:t xml:space="preserve"> </w:t>
      </w:r>
      <w:r>
        <w:rPr>
          <w:rFonts w:ascii="Times New Roman" w:hAnsi="Times New Roman"/>
          <w:sz w:val="24"/>
          <w:szCs w:val="24"/>
          <w:lang w:val="sr-Cyrl-CS"/>
        </w:rPr>
        <w:t>транспарентност</w:t>
      </w:r>
      <w:r w:rsidR="00140967" w:rsidRPr="00140967">
        <w:rPr>
          <w:rFonts w:ascii="Times New Roman" w:hAnsi="Times New Roman"/>
          <w:sz w:val="24"/>
          <w:szCs w:val="24"/>
          <w:lang w:val="sr-Cyrl-CS"/>
        </w:rPr>
        <w:t xml:space="preserve"> </w:t>
      </w:r>
      <w:r>
        <w:rPr>
          <w:rFonts w:ascii="Times New Roman" w:hAnsi="Times New Roman"/>
          <w:sz w:val="24"/>
          <w:szCs w:val="24"/>
          <w:lang w:val="sr-Cyrl-CS"/>
        </w:rPr>
        <w:t>приватизације</w:t>
      </w:r>
      <w:r w:rsidR="00140967" w:rsidRPr="00140967">
        <w:rPr>
          <w:rFonts w:ascii="Times New Roman" w:hAnsi="Times New Roman"/>
          <w:sz w:val="24"/>
          <w:szCs w:val="24"/>
          <w:lang w:val="sr-Cyrl-CS"/>
        </w:rPr>
        <w:t xml:space="preserve"> </w:t>
      </w:r>
      <w:r w:rsidR="003566F0">
        <w:rPr>
          <w:rFonts w:ascii="Times New Roman" w:hAnsi="Times New Roman"/>
          <w:sz w:val="24"/>
          <w:szCs w:val="24"/>
          <w:lang w:val="sr-Cyrl-CS"/>
        </w:rPr>
        <w:t>су значајни фактори корупције.</w:t>
      </w:r>
      <w:r w:rsidR="000D6329">
        <w:rPr>
          <w:rFonts w:ascii="Times New Roman" w:hAnsi="Times New Roman"/>
          <w:sz w:val="24"/>
          <w:szCs w:val="24"/>
          <w:lang w:val="sr-Cyrl-CS"/>
        </w:rPr>
        <w:t xml:space="preserve"> </w:t>
      </w:r>
      <w:r>
        <w:rPr>
          <w:rFonts w:ascii="Times New Roman" w:hAnsi="Times New Roman"/>
          <w:sz w:val="24"/>
          <w:szCs w:val="24"/>
          <w:lang w:val="sr-Cyrl-CS"/>
        </w:rPr>
        <w:t>Уколико</w:t>
      </w:r>
      <w:r w:rsidR="00140967" w:rsidRPr="00140967">
        <w:rPr>
          <w:rFonts w:ascii="Times New Roman" w:hAnsi="Times New Roman"/>
          <w:sz w:val="24"/>
          <w:szCs w:val="24"/>
          <w:lang w:val="sr-Cyrl-CS"/>
        </w:rPr>
        <w:t xml:space="preserve"> </w:t>
      </w:r>
      <w:r>
        <w:rPr>
          <w:rFonts w:ascii="Times New Roman" w:hAnsi="Times New Roman"/>
          <w:sz w:val="24"/>
          <w:szCs w:val="24"/>
          <w:lang w:val="sr-Cyrl-CS"/>
        </w:rPr>
        <w:t>се</w:t>
      </w:r>
      <w:r w:rsidR="00140967" w:rsidRPr="00140967">
        <w:rPr>
          <w:rFonts w:ascii="Times New Roman" w:hAnsi="Times New Roman"/>
          <w:sz w:val="24"/>
          <w:szCs w:val="24"/>
          <w:lang w:val="sr-Cyrl-CS"/>
        </w:rPr>
        <w:t xml:space="preserve"> </w:t>
      </w:r>
      <w:r>
        <w:rPr>
          <w:rFonts w:ascii="Times New Roman" w:hAnsi="Times New Roman"/>
          <w:sz w:val="24"/>
          <w:szCs w:val="24"/>
          <w:lang w:val="sr-Cyrl-CS"/>
        </w:rPr>
        <w:t>приватизација</w:t>
      </w:r>
      <w:r w:rsidR="00140967" w:rsidRPr="00140967">
        <w:rPr>
          <w:rFonts w:ascii="Times New Roman" w:hAnsi="Times New Roman"/>
          <w:sz w:val="24"/>
          <w:szCs w:val="24"/>
          <w:lang w:val="sr-Cyrl-CS"/>
        </w:rPr>
        <w:t xml:space="preserve"> </w:t>
      </w:r>
      <w:r>
        <w:rPr>
          <w:rFonts w:ascii="Times New Roman" w:hAnsi="Times New Roman"/>
          <w:sz w:val="24"/>
          <w:szCs w:val="24"/>
          <w:lang w:val="sr-Cyrl-CS"/>
        </w:rPr>
        <w:t>брзо</w:t>
      </w:r>
      <w:r w:rsidR="00140967" w:rsidRPr="00140967">
        <w:rPr>
          <w:rFonts w:ascii="Times New Roman" w:hAnsi="Times New Roman"/>
          <w:sz w:val="24"/>
          <w:szCs w:val="24"/>
          <w:lang w:val="sr-Cyrl-CS"/>
        </w:rPr>
        <w:t xml:space="preserve"> </w:t>
      </w:r>
      <w:r>
        <w:rPr>
          <w:rFonts w:ascii="Times New Roman" w:hAnsi="Times New Roman"/>
          <w:sz w:val="24"/>
          <w:szCs w:val="24"/>
          <w:lang w:val="sr-Cyrl-CS"/>
        </w:rPr>
        <w:t>одвија</w:t>
      </w:r>
      <w:r w:rsidR="00140967" w:rsidRPr="00140967">
        <w:rPr>
          <w:rFonts w:ascii="Times New Roman" w:hAnsi="Times New Roman"/>
          <w:sz w:val="24"/>
          <w:szCs w:val="24"/>
          <w:lang w:val="sr-Cyrl-CS"/>
        </w:rPr>
        <w:t xml:space="preserve">, </w:t>
      </w:r>
      <w:r>
        <w:rPr>
          <w:rFonts w:ascii="Times New Roman" w:hAnsi="Times New Roman"/>
          <w:sz w:val="24"/>
          <w:szCs w:val="24"/>
          <w:lang w:val="sr-Cyrl-CS"/>
        </w:rPr>
        <w:t>мало</w:t>
      </w:r>
      <w:r w:rsidR="00140967" w:rsidRPr="00140967">
        <w:rPr>
          <w:rFonts w:ascii="Times New Roman" w:hAnsi="Times New Roman"/>
          <w:sz w:val="24"/>
          <w:szCs w:val="24"/>
          <w:lang w:val="sr-Cyrl-CS"/>
        </w:rPr>
        <w:t xml:space="preserve"> </w:t>
      </w:r>
      <w:r>
        <w:rPr>
          <w:rFonts w:ascii="Times New Roman" w:hAnsi="Times New Roman"/>
          <w:sz w:val="24"/>
          <w:szCs w:val="24"/>
          <w:lang w:val="sr-Cyrl-CS"/>
        </w:rPr>
        <w:t>је</w:t>
      </w:r>
      <w:r w:rsidR="00140967" w:rsidRPr="00140967">
        <w:rPr>
          <w:rFonts w:ascii="Times New Roman" w:hAnsi="Times New Roman"/>
          <w:sz w:val="24"/>
          <w:szCs w:val="24"/>
          <w:lang w:val="sr-Cyrl-CS"/>
        </w:rPr>
        <w:t xml:space="preserve"> </w:t>
      </w:r>
      <w:r>
        <w:rPr>
          <w:rFonts w:ascii="Times New Roman" w:hAnsi="Times New Roman"/>
          <w:sz w:val="24"/>
          <w:szCs w:val="24"/>
          <w:lang w:val="sr-Cyrl-CS"/>
        </w:rPr>
        <w:t>времена</w:t>
      </w:r>
      <w:r w:rsidR="00140967" w:rsidRPr="00140967">
        <w:rPr>
          <w:rFonts w:ascii="Times New Roman" w:hAnsi="Times New Roman"/>
          <w:sz w:val="24"/>
          <w:szCs w:val="24"/>
          <w:lang w:val="sr-Cyrl-CS"/>
        </w:rPr>
        <w:t xml:space="preserve"> </w:t>
      </w:r>
      <w:r>
        <w:rPr>
          <w:rFonts w:ascii="Times New Roman" w:hAnsi="Times New Roman"/>
          <w:sz w:val="24"/>
          <w:szCs w:val="24"/>
          <w:lang w:val="sr-Cyrl-CS"/>
        </w:rPr>
        <w:t>да</w:t>
      </w:r>
      <w:r w:rsidR="00140967" w:rsidRPr="00140967">
        <w:rPr>
          <w:rFonts w:ascii="Times New Roman" w:hAnsi="Times New Roman"/>
          <w:sz w:val="24"/>
          <w:szCs w:val="24"/>
          <w:lang w:val="sr-Cyrl-CS"/>
        </w:rPr>
        <w:t xml:space="preserve"> </w:t>
      </w:r>
      <w:r>
        <w:rPr>
          <w:rFonts w:ascii="Times New Roman" w:hAnsi="Times New Roman"/>
          <w:sz w:val="24"/>
          <w:szCs w:val="24"/>
          <w:lang w:val="sr-Cyrl-CS"/>
        </w:rPr>
        <w:t>се</w:t>
      </w:r>
      <w:r w:rsidR="00140967" w:rsidRPr="00140967">
        <w:rPr>
          <w:rFonts w:ascii="Times New Roman" w:hAnsi="Times New Roman"/>
          <w:sz w:val="24"/>
          <w:szCs w:val="24"/>
          <w:lang w:val="sr-Cyrl-CS"/>
        </w:rPr>
        <w:t xml:space="preserve"> </w:t>
      </w:r>
      <w:r>
        <w:rPr>
          <w:rFonts w:ascii="Times New Roman" w:hAnsi="Times New Roman"/>
          <w:sz w:val="24"/>
          <w:szCs w:val="24"/>
          <w:lang w:val="sr-Cyrl-CS"/>
        </w:rPr>
        <w:t>корупциони</w:t>
      </w:r>
      <w:r w:rsidR="00140967" w:rsidRPr="00140967">
        <w:rPr>
          <w:rFonts w:ascii="Times New Roman" w:hAnsi="Times New Roman"/>
          <w:sz w:val="24"/>
          <w:szCs w:val="24"/>
          <w:lang w:val="sr-Cyrl-CS"/>
        </w:rPr>
        <w:t xml:space="preserve"> </w:t>
      </w:r>
      <w:r>
        <w:rPr>
          <w:rFonts w:ascii="Times New Roman" w:hAnsi="Times New Roman"/>
          <w:sz w:val="24"/>
          <w:szCs w:val="24"/>
          <w:lang w:val="sr-Cyrl-CS"/>
        </w:rPr>
        <w:t>аран</w:t>
      </w:r>
      <w:r w:rsidR="003566F0">
        <w:rPr>
          <w:rFonts w:ascii="Times New Roman" w:hAnsi="Times New Roman"/>
          <w:sz w:val="24"/>
          <w:szCs w:val="24"/>
          <w:lang w:val="sr-Cyrl-CS"/>
        </w:rPr>
        <w:t>ж</w:t>
      </w:r>
      <w:r>
        <w:rPr>
          <w:rFonts w:ascii="Times New Roman" w:hAnsi="Times New Roman"/>
          <w:sz w:val="24"/>
          <w:szCs w:val="24"/>
          <w:lang w:val="sr-Cyrl-CS"/>
        </w:rPr>
        <w:t>мани</w:t>
      </w:r>
      <w:r w:rsidR="003566F0">
        <w:rPr>
          <w:rFonts w:ascii="Times New Roman" w:hAnsi="Times New Roman"/>
          <w:sz w:val="24"/>
          <w:szCs w:val="24"/>
          <w:lang w:val="sr-Cyrl-CS"/>
        </w:rPr>
        <w:t xml:space="preserve"> </w:t>
      </w:r>
      <w:r>
        <w:rPr>
          <w:rFonts w:ascii="Times New Roman" w:hAnsi="Times New Roman"/>
          <w:sz w:val="24"/>
          <w:szCs w:val="24"/>
          <w:lang w:val="sr-Cyrl-CS"/>
        </w:rPr>
        <w:t>направе</w:t>
      </w:r>
      <w:r w:rsidR="003566F0">
        <w:rPr>
          <w:rFonts w:ascii="Times New Roman" w:hAnsi="Times New Roman"/>
          <w:sz w:val="24"/>
          <w:szCs w:val="24"/>
          <w:lang w:val="sr-Cyrl-CS"/>
        </w:rPr>
        <w:t xml:space="preserve">. </w:t>
      </w:r>
      <w:r>
        <w:rPr>
          <w:rFonts w:ascii="Times New Roman" w:hAnsi="Times New Roman"/>
          <w:sz w:val="24"/>
          <w:szCs w:val="24"/>
          <w:lang w:val="sr-Cyrl-CS"/>
        </w:rPr>
        <w:t>По</w:t>
      </w:r>
      <w:r w:rsidR="003566F0">
        <w:rPr>
          <w:rFonts w:ascii="Times New Roman" w:hAnsi="Times New Roman"/>
          <w:sz w:val="24"/>
          <w:szCs w:val="24"/>
          <w:lang w:val="sr-Cyrl-CS"/>
        </w:rPr>
        <w:t>ш</w:t>
      </w:r>
      <w:r>
        <w:rPr>
          <w:rFonts w:ascii="Times New Roman" w:hAnsi="Times New Roman"/>
          <w:sz w:val="24"/>
          <w:szCs w:val="24"/>
          <w:lang w:val="sr-Cyrl-CS"/>
        </w:rPr>
        <w:t>то</w:t>
      </w:r>
      <w:r w:rsidR="003566F0">
        <w:rPr>
          <w:rFonts w:ascii="Times New Roman" w:hAnsi="Times New Roman"/>
          <w:sz w:val="24"/>
          <w:szCs w:val="24"/>
          <w:lang w:val="sr-Cyrl-CS"/>
        </w:rPr>
        <w:t xml:space="preserve"> </w:t>
      </w:r>
      <w:r>
        <w:rPr>
          <w:rFonts w:ascii="Times New Roman" w:hAnsi="Times New Roman"/>
          <w:sz w:val="24"/>
          <w:szCs w:val="24"/>
          <w:lang w:val="sr-Cyrl-CS"/>
        </w:rPr>
        <w:t>је</w:t>
      </w:r>
      <w:r w:rsidR="003566F0">
        <w:rPr>
          <w:rFonts w:ascii="Times New Roman" w:hAnsi="Times New Roman"/>
          <w:sz w:val="24"/>
          <w:szCs w:val="24"/>
          <w:lang w:val="sr-Cyrl-CS"/>
        </w:rPr>
        <w:t xml:space="preserve"> </w:t>
      </w:r>
      <w:r>
        <w:rPr>
          <w:rFonts w:ascii="Times New Roman" w:hAnsi="Times New Roman"/>
          <w:sz w:val="24"/>
          <w:szCs w:val="24"/>
          <w:lang w:val="sr-Cyrl-CS"/>
        </w:rPr>
        <w:t>пове</w:t>
      </w:r>
      <w:r w:rsidR="003566F0">
        <w:rPr>
          <w:rFonts w:ascii="Times New Roman" w:hAnsi="Times New Roman"/>
          <w:sz w:val="24"/>
          <w:szCs w:val="24"/>
          <w:lang w:val="sr-Cyrl-CS"/>
        </w:rPr>
        <w:t>ћ</w:t>
      </w:r>
      <w:r>
        <w:rPr>
          <w:rFonts w:ascii="Times New Roman" w:hAnsi="Times New Roman"/>
          <w:sz w:val="24"/>
          <w:szCs w:val="24"/>
          <w:lang w:val="sr-Cyrl-CS"/>
        </w:rPr>
        <w:t>ање</w:t>
      </w:r>
      <w:r w:rsidR="00140967" w:rsidRPr="00140967">
        <w:rPr>
          <w:rFonts w:ascii="Times New Roman" w:hAnsi="Times New Roman"/>
          <w:sz w:val="24"/>
          <w:szCs w:val="24"/>
          <w:lang w:val="sr-Cyrl-CS"/>
        </w:rPr>
        <w:t xml:space="preserve"> </w:t>
      </w:r>
      <w:r>
        <w:rPr>
          <w:rFonts w:ascii="Times New Roman" w:hAnsi="Times New Roman"/>
          <w:sz w:val="24"/>
          <w:szCs w:val="24"/>
          <w:lang w:val="sr-Cyrl-CS"/>
        </w:rPr>
        <w:t>брзине</w:t>
      </w:r>
      <w:r w:rsidR="00140967" w:rsidRPr="00140967">
        <w:rPr>
          <w:rFonts w:ascii="Times New Roman" w:hAnsi="Times New Roman"/>
          <w:sz w:val="24"/>
          <w:szCs w:val="24"/>
          <w:lang w:val="sr-Cyrl-CS"/>
        </w:rPr>
        <w:t xml:space="preserve"> </w:t>
      </w:r>
      <w:r>
        <w:rPr>
          <w:rFonts w:ascii="Times New Roman" w:hAnsi="Times New Roman"/>
          <w:sz w:val="24"/>
          <w:szCs w:val="24"/>
          <w:lang w:val="sr-Cyrl-CS"/>
        </w:rPr>
        <w:t>приватизације</w:t>
      </w:r>
      <w:r w:rsidR="00140967" w:rsidRPr="00140967">
        <w:rPr>
          <w:rFonts w:ascii="Times New Roman" w:hAnsi="Times New Roman"/>
          <w:sz w:val="24"/>
          <w:szCs w:val="24"/>
          <w:lang w:val="sr-Cyrl-CS"/>
        </w:rPr>
        <w:t xml:space="preserve"> </w:t>
      </w:r>
      <w:r>
        <w:rPr>
          <w:rFonts w:ascii="Times New Roman" w:hAnsi="Times New Roman"/>
          <w:sz w:val="24"/>
          <w:szCs w:val="24"/>
          <w:lang w:val="sr-Cyrl-CS"/>
        </w:rPr>
        <w:t>условљено</w:t>
      </w:r>
      <w:r w:rsidR="00140967" w:rsidRPr="00140967">
        <w:rPr>
          <w:rFonts w:ascii="Times New Roman" w:hAnsi="Times New Roman"/>
          <w:sz w:val="24"/>
          <w:szCs w:val="24"/>
          <w:lang w:val="sr-Cyrl-CS"/>
        </w:rPr>
        <w:t xml:space="preserve"> </w:t>
      </w:r>
      <w:r>
        <w:rPr>
          <w:rFonts w:ascii="Times New Roman" w:hAnsi="Times New Roman"/>
          <w:sz w:val="24"/>
          <w:szCs w:val="24"/>
          <w:lang w:val="sr-Cyrl-CS"/>
        </w:rPr>
        <w:t>смањењем</w:t>
      </w:r>
      <w:r w:rsidR="00140967" w:rsidRPr="00140967">
        <w:rPr>
          <w:rFonts w:ascii="Times New Roman" w:hAnsi="Times New Roman"/>
          <w:sz w:val="24"/>
          <w:szCs w:val="24"/>
          <w:lang w:val="sr-Cyrl-CS"/>
        </w:rPr>
        <w:t xml:space="preserve"> </w:t>
      </w:r>
      <w:r>
        <w:rPr>
          <w:rFonts w:ascii="Times New Roman" w:hAnsi="Times New Roman"/>
          <w:sz w:val="24"/>
          <w:szCs w:val="24"/>
          <w:lang w:val="sr-Cyrl-CS"/>
        </w:rPr>
        <w:t>администрирања</w:t>
      </w:r>
      <w:r w:rsidR="00140967" w:rsidRPr="00140967">
        <w:rPr>
          <w:rFonts w:ascii="Times New Roman" w:hAnsi="Times New Roman"/>
          <w:sz w:val="24"/>
          <w:szCs w:val="24"/>
          <w:lang w:val="sr-Cyrl-CS"/>
        </w:rPr>
        <w:t xml:space="preserve"> </w:t>
      </w:r>
      <w:r>
        <w:rPr>
          <w:rFonts w:ascii="Times New Roman" w:hAnsi="Times New Roman"/>
          <w:sz w:val="24"/>
          <w:szCs w:val="24"/>
          <w:lang w:val="sr-Cyrl-CS"/>
        </w:rPr>
        <w:t>произлази</w:t>
      </w:r>
      <w:r w:rsidR="00140967" w:rsidRPr="00140967">
        <w:rPr>
          <w:rFonts w:ascii="Times New Roman" w:hAnsi="Times New Roman"/>
          <w:sz w:val="24"/>
          <w:szCs w:val="24"/>
          <w:lang w:val="sr-Cyrl-CS"/>
        </w:rPr>
        <w:t xml:space="preserve"> </w:t>
      </w:r>
      <w:r>
        <w:rPr>
          <w:rFonts w:ascii="Times New Roman" w:hAnsi="Times New Roman"/>
          <w:sz w:val="24"/>
          <w:szCs w:val="24"/>
          <w:lang w:val="sr-Cyrl-CS"/>
        </w:rPr>
        <w:t>да</w:t>
      </w:r>
      <w:r w:rsidR="00140967" w:rsidRPr="00140967">
        <w:rPr>
          <w:rFonts w:ascii="Times New Roman" w:hAnsi="Times New Roman"/>
          <w:sz w:val="24"/>
          <w:szCs w:val="24"/>
          <w:lang w:val="sr-Cyrl-CS"/>
        </w:rPr>
        <w:t xml:space="preserve"> </w:t>
      </w:r>
      <w:r>
        <w:rPr>
          <w:rFonts w:ascii="Times New Roman" w:hAnsi="Times New Roman"/>
          <w:sz w:val="24"/>
          <w:szCs w:val="24"/>
          <w:lang w:val="sr-Cyrl-CS"/>
        </w:rPr>
        <w:t>се</w:t>
      </w:r>
      <w:r w:rsidR="00140967" w:rsidRPr="00140967">
        <w:rPr>
          <w:rFonts w:ascii="Times New Roman" w:hAnsi="Times New Roman"/>
          <w:sz w:val="24"/>
          <w:szCs w:val="24"/>
          <w:lang w:val="sr-Cyrl-CS"/>
        </w:rPr>
        <w:t xml:space="preserve"> </w:t>
      </w:r>
      <w:r>
        <w:rPr>
          <w:rFonts w:ascii="Times New Roman" w:hAnsi="Times New Roman"/>
          <w:sz w:val="24"/>
          <w:szCs w:val="24"/>
          <w:lang w:val="sr-Cyrl-CS"/>
        </w:rPr>
        <w:t>корупција</w:t>
      </w:r>
      <w:r w:rsidR="00140967" w:rsidRPr="00140967">
        <w:rPr>
          <w:rFonts w:ascii="Times New Roman" w:hAnsi="Times New Roman"/>
          <w:sz w:val="24"/>
          <w:szCs w:val="24"/>
          <w:lang w:val="sr-Cyrl-CS"/>
        </w:rPr>
        <w:t xml:space="preserve">, </w:t>
      </w:r>
      <w:r>
        <w:rPr>
          <w:rFonts w:ascii="Times New Roman" w:hAnsi="Times New Roman"/>
          <w:sz w:val="24"/>
          <w:szCs w:val="24"/>
          <w:lang w:val="sr-Cyrl-CS"/>
        </w:rPr>
        <w:t>у</w:t>
      </w:r>
      <w:r w:rsidR="00140967" w:rsidRPr="00140967">
        <w:rPr>
          <w:rFonts w:ascii="Times New Roman" w:hAnsi="Times New Roman"/>
          <w:sz w:val="24"/>
          <w:szCs w:val="24"/>
          <w:lang w:val="sr-Cyrl-CS"/>
        </w:rPr>
        <w:t xml:space="preserve"> </w:t>
      </w:r>
      <w:r>
        <w:rPr>
          <w:rFonts w:ascii="Times New Roman" w:hAnsi="Times New Roman"/>
          <w:sz w:val="24"/>
          <w:szCs w:val="24"/>
          <w:lang w:val="sr-Cyrl-CS"/>
        </w:rPr>
        <w:t>том</w:t>
      </w:r>
      <w:r w:rsidR="00140967" w:rsidRPr="00140967">
        <w:t xml:space="preserve"> </w:t>
      </w:r>
      <w:r>
        <w:rPr>
          <w:rFonts w:ascii="Times New Roman" w:hAnsi="Times New Roman"/>
          <w:sz w:val="24"/>
          <w:szCs w:val="24"/>
          <w:lang w:val="sr-Cyrl-CS"/>
        </w:rPr>
        <w:t>слу</w:t>
      </w:r>
      <w:r w:rsidR="003566F0">
        <w:rPr>
          <w:rFonts w:ascii="Times New Roman" w:hAnsi="Times New Roman"/>
          <w:sz w:val="24"/>
          <w:szCs w:val="24"/>
          <w:lang w:val="sr-Cyrl-CS"/>
        </w:rPr>
        <w:t>ч</w:t>
      </w:r>
      <w:r>
        <w:rPr>
          <w:rFonts w:ascii="Times New Roman" w:hAnsi="Times New Roman"/>
          <w:sz w:val="24"/>
          <w:szCs w:val="24"/>
          <w:lang w:val="sr-Cyrl-CS"/>
        </w:rPr>
        <w:t>ају</w:t>
      </w:r>
      <w:r w:rsidR="00140967" w:rsidRPr="00140967">
        <w:rPr>
          <w:rFonts w:ascii="Times New Roman" w:hAnsi="Times New Roman"/>
          <w:sz w:val="24"/>
          <w:szCs w:val="24"/>
          <w:lang w:val="sr-Cyrl-CS"/>
        </w:rPr>
        <w:t xml:space="preserve">, </w:t>
      </w:r>
      <w:r>
        <w:rPr>
          <w:rFonts w:ascii="Times New Roman" w:hAnsi="Times New Roman"/>
          <w:sz w:val="24"/>
          <w:szCs w:val="24"/>
          <w:lang w:val="sr-Cyrl-CS"/>
        </w:rPr>
        <w:t>смањује</w:t>
      </w:r>
      <w:r w:rsidR="00140967" w:rsidRPr="00140967">
        <w:rPr>
          <w:rFonts w:ascii="Times New Roman" w:hAnsi="Times New Roman"/>
          <w:sz w:val="24"/>
          <w:szCs w:val="24"/>
          <w:lang w:val="sr-Cyrl-CS"/>
        </w:rPr>
        <w:t xml:space="preserve"> </w:t>
      </w:r>
      <w:r>
        <w:rPr>
          <w:rFonts w:ascii="Times New Roman" w:hAnsi="Times New Roman"/>
          <w:sz w:val="24"/>
          <w:szCs w:val="24"/>
          <w:lang w:val="sr-Cyrl-CS"/>
        </w:rPr>
        <w:t>по</w:t>
      </w:r>
      <w:r w:rsidR="00140967" w:rsidRPr="00140967">
        <w:rPr>
          <w:rFonts w:ascii="Times New Roman" w:hAnsi="Times New Roman"/>
          <w:sz w:val="24"/>
          <w:szCs w:val="24"/>
          <w:lang w:val="sr-Cyrl-CS"/>
        </w:rPr>
        <w:t xml:space="preserve"> </w:t>
      </w:r>
      <w:r>
        <w:rPr>
          <w:rFonts w:ascii="Times New Roman" w:hAnsi="Times New Roman"/>
          <w:sz w:val="24"/>
          <w:szCs w:val="24"/>
          <w:lang w:val="sr-Cyrl-CS"/>
        </w:rPr>
        <w:t>ова два</w:t>
      </w:r>
      <w:r w:rsidR="00140967" w:rsidRPr="00140967">
        <w:rPr>
          <w:rFonts w:ascii="Times New Roman" w:hAnsi="Times New Roman"/>
          <w:sz w:val="24"/>
          <w:szCs w:val="24"/>
          <w:lang w:val="sr-Cyrl-CS"/>
        </w:rPr>
        <w:t xml:space="preserve"> </w:t>
      </w:r>
      <w:r>
        <w:rPr>
          <w:rFonts w:ascii="Times New Roman" w:hAnsi="Times New Roman"/>
          <w:sz w:val="24"/>
          <w:szCs w:val="24"/>
          <w:lang w:val="sr-Cyrl-CS"/>
        </w:rPr>
        <w:t>основа</w:t>
      </w:r>
      <w:r w:rsidR="003566F0">
        <w:rPr>
          <w:rFonts w:ascii="Times New Roman" w:hAnsi="Times New Roman"/>
          <w:sz w:val="24"/>
          <w:szCs w:val="24"/>
          <w:lang w:val="sr-Cyrl-CS"/>
        </w:rPr>
        <w:t>.</w:t>
      </w:r>
      <w:r>
        <w:rPr>
          <w:rFonts w:ascii="Times New Roman" w:hAnsi="Times New Roman"/>
          <w:sz w:val="24"/>
          <w:szCs w:val="24"/>
          <w:lang w:val="sr-Cyrl-CS"/>
        </w:rPr>
        <w:t xml:space="preserve"> У</w:t>
      </w:r>
      <w:r w:rsidR="00140967" w:rsidRPr="00140967">
        <w:rPr>
          <w:rFonts w:ascii="Times New Roman" w:hAnsi="Times New Roman"/>
          <w:sz w:val="24"/>
          <w:szCs w:val="24"/>
          <w:lang w:val="sr-Cyrl-CS"/>
        </w:rPr>
        <w:t xml:space="preserve"> </w:t>
      </w:r>
      <w:r>
        <w:rPr>
          <w:rFonts w:ascii="Times New Roman" w:hAnsi="Times New Roman"/>
          <w:sz w:val="24"/>
          <w:szCs w:val="24"/>
          <w:lang w:val="sr-Cyrl-CS"/>
        </w:rPr>
        <w:t>Србији</w:t>
      </w:r>
      <w:r w:rsidR="00140967" w:rsidRPr="00140967">
        <w:rPr>
          <w:rFonts w:ascii="Times New Roman" w:hAnsi="Times New Roman"/>
          <w:sz w:val="24"/>
          <w:szCs w:val="24"/>
          <w:lang w:val="sr-Cyrl-CS"/>
        </w:rPr>
        <w:t xml:space="preserve"> </w:t>
      </w:r>
      <w:r>
        <w:rPr>
          <w:rFonts w:ascii="Times New Roman" w:hAnsi="Times New Roman"/>
          <w:sz w:val="24"/>
          <w:szCs w:val="24"/>
          <w:lang w:val="sr-Cyrl-CS"/>
        </w:rPr>
        <w:t>се</w:t>
      </w:r>
      <w:r w:rsidR="00140967" w:rsidRPr="00140967">
        <w:rPr>
          <w:rFonts w:ascii="Times New Roman" w:hAnsi="Times New Roman"/>
          <w:sz w:val="24"/>
          <w:szCs w:val="24"/>
          <w:lang w:val="sr-Cyrl-CS"/>
        </w:rPr>
        <w:t xml:space="preserve"> </w:t>
      </w:r>
      <w:r>
        <w:rPr>
          <w:rFonts w:ascii="Times New Roman" w:hAnsi="Times New Roman"/>
          <w:sz w:val="24"/>
          <w:szCs w:val="24"/>
          <w:lang w:val="sr-Cyrl-CS"/>
        </w:rPr>
        <w:t>процес</w:t>
      </w:r>
      <w:r w:rsidR="00140967" w:rsidRPr="00140967">
        <w:rPr>
          <w:rFonts w:ascii="Times New Roman" w:hAnsi="Times New Roman"/>
          <w:sz w:val="24"/>
          <w:szCs w:val="24"/>
          <w:lang w:val="sr-Cyrl-CS"/>
        </w:rPr>
        <w:t xml:space="preserve"> </w:t>
      </w:r>
      <w:r>
        <w:rPr>
          <w:rFonts w:ascii="Times New Roman" w:hAnsi="Times New Roman"/>
          <w:sz w:val="24"/>
          <w:szCs w:val="24"/>
          <w:lang w:val="sr-Cyrl-CS"/>
        </w:rPr>
        <w:t>приватизације</w:t>
      </w:r>
      <w:r w:rsidR="00140967" w:rsidRPr="00140967">
        <w:rPr>
          <w:rFonts w:ascii="Times New Roman" w:hAnsi="Times New Roman"/>
          <w:sz w:val="24"/>
          <w:szCs w:val="24"/>
          <w:lang w:val="sr-Cyrl-CS"/>
        </w:rPr>
        <w:t xml:space="preserve"> </w:t>
      </w:r>
      <w:r>
        <w:rPr>
          <w:rFonts w:ascii="Times New Roman" w:hAnsi="Times New Roman"/>
          <w:sz w:val="24"/>
          <w:szCs w:val="24"/>
          <w:lang w:val="sr-Cyrl-CS"/>
        </w:rPr>
        <w:t>одвијао</w:t>
      </w:r>
      <w:r w:rsidR="00140967" w:rsidRPr="00140967">
        <w:rPr>
          <w:rFonts w:ascii="Times New Roman" w:hAnsi="Times New Roman"/>
          <w:sz w:val="24"/>
          <w:szCs w:val="24"/>
          <w:lang w:val="sr-Cyrl-CS"/>
        </w:rPr>
        <w:t xml:space="preserve"> </w:t>
      </w:r>
      <w:r>
        <w:rPr>
          <w:rFonts w:ascii="Times New Roman" w:hAnsi="Times New Roman"/>
          <w:sz w:val="24"/>
          <w:szCs w:val="24"/>
          <w:lang w:val="sr-Cyrl-CS"/>
        </w:rPr>
        <w:t>изузетно</w:t>
      </w:r>
      <w:r w:rsidR="00140967" w:rsidRPr="00140967">
        <w:rPr>
          <w:rFonts w:ascii="Times New Roman" w:hAnsi="Times New Roman"/>
          <w:sz w:val="24"/>
          <w:szCs w:val="24"/>
          <w:lang w:val="sr-Cyrl-CS"/>
        </w:rPr>
        <w:t xml:space="preserve"> </w:t>
      </w:r>
      <w:r>
        <w:rPr>
          <w:rFonts w:ascii="Times New Roman" w:hAnsi="Times New Roman"/>
          <w:sz w:val="24"/>
          <w:szCs w:val="24"/>
          <w:lang w:val="sr-Cyrl-CS"/>
        </w:rPr>
        <w:t>споро.</w:t>
      </w:r>
      <w:r w:rsidR="00140967" w:rsidRPr="00140967">
        <w:rPr>
          <w:rFonts w:ascii="Times New Roman" w:hAnsi="Times New Roman"/>
          <w:sz w:val="24"/>
          <w:szCs w:val="24"/>
          <w:lang w:val="sr-Cyrl-CS"/>
        </w:rPr>
        <w:t xml:space="preserve"> </w:t>
      </w:r>
      <w:r>
        <w:rPr>
          <w:rFonts w:ascii="Times New Roman" w:hAnsi="Times New Roman"/>
          <w:sz w:val="24"/>
          <w:szCs w:val="24"/>
          <w:lang w:val="sr-Cyrl-CS"/>
        </w:rPr>
        <w:t>Степен</w:t>
      </w:r>
      <w:r w:rsidR="003566F0">
        <w:rPr>
          <w:rFonts w:ascii="Times New Roman" w:hAnsi="Times New Roman"/>
          <w:sz w:val="24"/>
          <w:szCs w:val="24"/>
          <w:lang w:val="sr-Cyrl-CS"/>
        </w:rPr>
        <w:t xml:space="preserve"> </w:t>
      </w:r>
      <w:r>
        <w:rPr>
          <w:rFonts w:ascii="Times New Roman" w:hAnsi="Times New Roman"/>
          <w:sz w:val="24"/>
          <w:szCs w:val="24"/>
          <w:lang w:val="sr-Cyrl-CS"/>
        </w:rPr>
        <w:t>овла</w:t>
      </w:r>
      <w:r w:rsidR="003566F0">
        <w:rPr>
          <w:rFonts w:ascii="Times New Roman" w:hAnsi="Times New Roman"/>
          <w:sz w:val="24"/>
          <w:szCs w:val="24"/>
          <w:lang w:val="sr-Cyrl-CS"/>
        </w:rPr>
        <w:t>шћ</w:t>
      </w:r>
      <w:r>
        <w:rPr>
          <w:rFonts w:ascii="Times New Roman" w:hAnsi="Times New Roman"/>
          <w:sz w:val="24"/>
          <w:szCs w:val="24"/>
          <w:lang w:val="sr-Cyrl-CS"/>
        </w:rPr>
        <w:t>ења</w:t>
      </w:r>
      <w:r w:rsidR="00140967" w:rsidRPr="00140967">
        <w:rPr>
          <w:rFonts w:ascii="Times New Roman" w:hAnsi="Times New Roman"/>
          <w:sz w:val="24"/>
          <w:szCs w:val="24"/>
          <w:lang w:val="sr-Cyrl-CS"/>
        </w:rPr>
        <w:t xml:space="preserve"> </w:t>
      </w:r>
      <w:r>
        <w:rPr>
          <w:rFonts w:ascii="Times New Roman" w:hAnsi="Times New Roman"/>
          <w:sz w:val="24"/>
          <w:szCs w:val="24"/>
          <w:lang w:val="sr-Cyrl-CS"/>
        </w:rPr>
        <w:t>је</w:t>
      </w:r>
      <w:r w:rsidR="00140967" w:rsidRPr="00140967">
        <w:rPr>
          <w:rFonts w:ascii="Times New Roman" w:hAnsi="Times New Roman"/>
          <w:sz w:val="24"/>
          <w:szCs w:val="24"/>
          <w:lang w:val="sr-Cyrl-CS"/>
        </w:rPr>
        <w:t xml:space="preserve"> </w:t>
      </w:r>
      <w:r>
        <w:rPr>
          <w:rFonts w:ascii="Times New Roman" w:hAnsi="Times New Roman"/>
          <w:sz w:val="24"/>
          <w:szCs w:val="24"/>
          <w:lang w:val="sr-Cyrl-CS"/>
        </w:rPr>
        <w:t>други</w:t>
      </w:r>
      <w:r w:rsidR="00140967" w:rsidRPr="00140967">
        <w:rPr>
          <w:rFonts w:ascii="Times New Roman" w:hAnsi="Times New Roman"/>
          <w:sz w:val="24"/>
          <w:szCs w:val="24"/>
          <w:lang w:val="sr-Cyrl-CS"/>
        </w:rPr>
        <w:t xml:space="preserve"> </w:t>
      </w:r>
      <w:r>
        <w:rPr>
          <w:rFonts w:ascii="Times New Roman" w:hAnsi="Times New Roman"/>
          <w:sz w:val="24"/>
          <w:szCs w:val="24"/>
          <w:lang w:val="sr-Cyrl-CS"/>
        </w:rPr>
        <w:t>битан</w:t>
      </w:r>
      <w:r w:rsidR="00140967" w:rsidRPr="00140967">
        <w:rPr>
          <w:rFonts w:ascii="Times New Roman" w:hAnsi="Times New Roman"/>
          <w:sz w:val="24"/>
          <w:szCs w:val="24"/>
          <w:lang w:val="sr-Cyrl-CS"/>
        </w:rPr>
        <w:t xml:space="preserve"> </w:t>
      </w:r>
      <w:r>
        <w:rPr>
          <w:rFonts w:ascii="Times New Roman" w:hAnsi="Times New Roman"/>
          <w:sz w:val="24"/>
          <w:szCs w:val="24"/>
          <w:lang w:val="sr-Cyrl-CS"/>
        </w:rPr>
        <w:t>фактор</w:t>
      </w:r>
      <w:r w:rsidR="00140967" w:rsidRPr="00140967">
        <w:rPr>
          <w:rFonts w:ascii="Times New Roman" w:hAnsi="Times New Roman"/>
          <w:sz w:val="24"/>
          <w:szCs w:val="24"/>
          <w:lang w:val="sr-Cyrl-CS"/>
        </w:rPr>
        <w:t xml:space="preserve"> </w:t>
      </w:r>
      <w:r w:rsidR="003A5CB2">
        <w:rPr>
          <w:rFonts w:ascii="Times New Roman" w:hAnsi="Times New Roman"/>
          <w:sz w:val="24"/>
          <w:szCs w:val="24"/>
          <w:lang w:val="sr-Cyrl-CS"/>
        </w:rPr>
        <w:t>корупције јер</w:t>
      </w:r>
      <w:r w:rsidR="00140967" w:rsidRPr="00140967">
        <w:rPr>
          <w:rFonts w:ascii="Times New Roman" w:hAnsi="Times New Roman"/>
          <w:sz w:val="24"/>
          <w:szCs w:val="24"/>
          <w:lang w:val="sr-Cyrl-CS"/>
        </w:rPr>
        <w:t xml:space="preserve"> </w:t>
      </w:r>
      <w:r>
        <w:rPr>
          <w:rFonts w:ascii="Times New Roman" w:hAnsi="Times New Roman"/>
          <w:sz w:val="24"/>
          <w:szCs w:val="24"/>
          <w:lang w:val="sr-Cyrl-CS"/>
        </w:rPr>
        <w:t>свака</w:t>
      </w:r>
      <w:r w:rsidR="00140967" w:rsidRPr="00140967">
        <w:rPr>
          <w:rFonts w:ascii="Times New Roman" w:hAnsi="Times New Roman"/>
          <w:sz w:val="24"/>
          <w:szCs w:val="24"/>
          <w:lang w:val="sr-Cyrl-CS"/>
        </w:rPr>
        <w:t xml:space="preserve"> </w:t>
      </w:r>
      <w:r>
        <w:rPr>
          <w:rFonts w:ascii="Times New Roman" w:hAnsi="Times New Roman"/>
          <w:sz w:val="24"/>
          <w:szCs w:val="24"/>
          <w:lang w:val="sr-Cyrl-CS"/>
        </w:rPr>
        <w:t>одлука</w:t>
      </w:r>
      <w:r w:rsidR="00140967" w:rsidRPr="00140967">
        <w:rPr>
          <w:rFonts w:ascii="Times New Roman" w:hAnsi="Times New Roman"/>
          <w:sz w:val="24"/>
          <w:szCs w:val="24"/>
          <w:lang w:val="sr-Cyrl-CS"/>
        </w:rPr>
        <w:t xml:space="preserve"> </w:t>
      </w:r>
      <w:r>
        <w:rPr>
          <w:rFonts w:ascii="Times New Roman" w:hAnsi="Times New Roman"/>
          <w:sz w:val="24"/>
          <w:szCs w:val="24"/>
          <w:lang w:val="sr-Cyrl-CS"/>
        </w:rPr>
        <w:t>и</w:t>
      </w:r>
      <w:r w:rsidR="00140967" w:rsidRPr="00140967">
        <w:rPr>
          <w:rFonts w:ascii="Times New Roman" w:hAnsi="Times New Roman"/>
          <w:sz w:val="24"/>
          <w:szCs w:val="24"/>
          <w:lang w:val="sr-Cyrl-CS"/>
        </w:rPr>
        <w:t xml:space="preserve"> </w:t>
      </w:r>
      <w:r>
        <w:rPr>
          <w:rFonts w:ascii="Times New Roman" w:hAnsi="Times New Roman"/>
          <w:sz w:val="24"/>
          <w:szCs w:val="24"/>
          <w:lang w:val="sr-Cyrl-CS"/>
        </w:rPr>
        <w:t>верификација</w:t>
      </w:r>
      <w:r w:rsidR="003566F0">
        <w:rPr>
          <w:rFonts w:ascii="Times New Roman" w:hAnsi="Times New Roman"/>
          <w:sz w:val="24"/>
          <w:szCs w:val="24"/>
          <w:lang w:val="sr-Cyrl-CS"/>
        </w:rPr>
        <w:t xml:space="preserve"> </w:t>
      </w:r>
      <w:r>
        <w:rPr>
          <w:rFonts w:ascii="Times New Roman" w:hAnsi="Times New Roman"/>
          <w:sz w:val="24"/>
          <w:szCs w:val="24"/>
          <w:lang w:val="sr-Cyrl-CS"/>
        </w:rPr>
        <w:t>која</w:t>
      </w:r>
      <w:r w:rsidR="003566F0">
        <w:rPr>
          <w:rFonts w:ascii="Times New Roman" w:hAnsi="Times New Roman"/>
          <w:sz w:val="24"/>
          <w:szCs w:val="24"/>
          <w:lang w:val="sr-Cyrl-CS"/>
        </w:rPr>
        <w:t xml:space="preserve"> </w:t>
      </w:r>
      <w:r>
        <w:rPr>
          <w:rFonts w:ascii="Times New Roman" w:hAnsi="Times New Roman"/>
          <w:sz w:val="24"/>
          <w:szCs w:val="24"/>
          <w:lang w:val="sr-Cyrl-CS"/>
        </w:rPr>
        <w:t>захтева</w:t>
      </w:r>
      <w:r w:rsidR="003566F0">
        <w:rPr>
          <w:rFonts w:ascii="Times New Roman" w:hAnsi="Times New Roman"/>
          <w:sz w:val="24"/>
          <w:szCs w:val="24"/>
          <w:lang w:val="sr-Cyrl-CS"/>
        </w:rPr>
        <w:t xml:space="preserve"> </w:t>
      </w:r>
      <w:r>
        <w:rPr>
          <w:rFonts w:ascii="Times New Roman" w:hAnsi="Times New Roman"/>
          <w:sz w:val="24"/>
          <w:szCs w:val="24"/>
          <w:lang w:val="sr-Cyrl-CS"/>
        </w:rPr>
        <w:t>потпис</w:t>
      </w:r>
      <w:r w:rsidR="003566F0">
        <w:rPr>
          <w:rFonts w:ascii="Times New Roman" w:hAnsi="Times New Roman"/>
          <w:sz w:val="24"/>
          <w:szCs w:val="24"/>
          <w:lang w:val="sr-Cyrl-CS"/>
        </w:rPr>
        <w:t xml:space="preserve"> </w:t>
      </w:r>
      <w:r>
        <w:rPr>
          <w:rFonts w:ascii="Times New Roman" w:hAnsi="Times New Roman"/>
          <w:sz w:val="24"/>
          <w:szCs w:val="24"/>
          <w:lang w:val="sr-Cyrl-CS"/>
        </w:rPr>
        <w:t>надле</w:t>
      </w:r>
      <w:r w:rsidR="003566F0">
        <w:rPr>
          <w:rFonts w:ascii="Times New Roman" w:hAnsi="Times New Roman"/>
          <w:sz w:val="24"/>
          <w:szCs w:val="24"/>
          <w:lang w:val="sr-Cyrl-CS"/>
        </w:rPr>
        <w:t>ж</w:t>
      </w:r>
      <w:r>
        <w:rPr>
          <w:rFonts w:ascii="Times New Roman" w:hAnsi="Times New Roman"/>
          <w:sz w:val="24"/>
          <w:szCs w:val="24"/>
          <w:lang w:val="sr-Cyrl-CS"/>
        </w:rPr>
        <w:t>ног</w:t>
      </w:r>
      <w:r w:rsidR="00140967" w:rsidRPr="00140967">
        <w:rPr>
          <w:rFonts w:ascii="Times New Roman" w:hAnsi="Times New Roman"/>
          <w:sz w:val="24"/>
          <w:szCs w:val="24"/>
          <w:lang w:val="sr-Cyrl-CS"/>
        </w:rPr>
        <w:t xml:space="preserve"> </w:t>
      </w:r>
      <w:r>
        <w:rPr>
          <w:rFonts w:ascii="Times New Roman" w:hAnsi="Times New Roman"/>
          <w:sz w:val="24"/>
          <w:szCs w:val="24"/>
          <w:lang w:val="sr-Cyrl-CS"/>
        </w:rPr>
        <w:t>лица</w:t>
      </w:r>
      <w:r w:rsidR="00140967" w:rsidRPr="00140967">
        <w:rPr>
          <w:rFonts w:ascii="Times New Roman" w:hAnsi="Times New Roman"/>
          <w:sz w:val="24"/>
          <w:szCs w:val="24"/>
          <w:lang w:val="sr-Cyrl-CS"/>
        </w:rPr>
        <w:t xml:space="preserve"> </w:t>
      </w:r>
      <w:r>
        <w:rPr>
          <w:rFonts w:ascii="Times New Roman" w:hAnsi="Times New Roman"/>
          <w:sz w:val="24"/>
          <w:szCs w:val="24"/>
          <w:lang w:val="sr-Cyrl-CS"/>
        </w:rPr>
        <w:t>представља</w:t>
      </w:r>
      <w:r w:rsidR="00140967" w:rsidRPr="00140967">
        <w:rPr>
          <w:rFonts w:ascii="Times New Roman" w:hAnsi="Times New Roman"/>
          <w:sz w:val="24"/>
          <w:szCs w:val="24"/>
          <w:lang w:val="sr-Cyrl-CS"/>
        </w:rPr>
        <w:t xml:space="preserve"> </w:t>
      </w:r>
      <w:r w:rsidR="003A5CB2">
        <w:rPr>
          <w:rFonts w:ascii="Times New Roman" w:hAnsi="Times New Roman"/>
          <w:sz w:val="24"/>
          <w:szCs w:val="24"/>
          <w:lang w:val="sr-Cyrl-CS"/>
        </w:rPr>
        <w:t>могућност за</w:t>
      </w:r>
      <w:r w:rsidR="00140967" w:rsidRPr="00140967">
        <w:rPr>
          <w:rFonts w:ascii="Times New Roman" w:hAnsi="Times New Roman"/>
          <w:sz w:val="24"/>
          <w:szCs w:val="24"/>
          <w:lang w:val="sr-Cyrl-CS"/>
        </w:rPr>
        <w:t xml:space="preserve"> </w:t>
      </w:r>
      <w:r w:rsidR="003A5CB2">
        <w:rPr>
          <w:rFonts w:ascii="Times New Roman" w:hAnsi="Times New Roman"/>
          <w:sz w:val="24"/>
          <w:szCs w:val="24"/>
          <w:lang w:val="sr-Cyrl-CS"/>
        </w:rPr>
        <w:t>корупцију</w:t>
      </w:r>
      <w:r w:rsidR="00140967" w:rsidRPr="00140967">
        <w:rPr>
          <w:rFonts w:ascii="Times New Roman" w:hAnsi="Times New Roman"/>
          <w:sz w:val="24"/>
          <w:szCs w:val="24"/>
          <w:lang w:val="sr-Cyrl-CS"/>
        </w:rPr>
        <w:t xml:space="preserve">. </w:t>
      </w:r>
      <w:r w:rsidR="003A5CB2">
        <w:rPr>
          <w:rFonts w:ascii="Times New Roman" w:hAnsi="Times New Roman"/>
          <w:sz w:val="24"/>
          <w:szCs w:val="24"/>
          <w:lang w:val="sr-Cyrl-CS"/>
        </w:rPr>
        <w:t>Због тога,</w:t>
      </w:r>
      <w:r w:rsidR="00140967" w:rsidRPr="00140967">
        <w:rPr>
          <w:rFonts w:ascii="Times New Roman" w:hAnsi="Times New Roman"/>
          <w:sz w:val="24"/>
          <w:szCs w:val="24"/>
          <w:lang w:val="sr-Cyrl-CS"/>
        </w:rPr>
        <w:t xml:space="preserve"> </w:t>
      </w:r>
      <w:r>
        <w:rPr>
          <w:rFonts w:ascii="Times New Roman" w:hAnsi="Times New Roman"/>
          <w:sz w:val="24"/>
          <w:szCs w:val="24"/>
          <w:lang w:val="sr-Cyrl-CS"/>
        </w:rPr>
        <w:t>да</w:t>
      </w:r>
      <w:r w:rsidR="00140967" w:rsidRPr="00140967">
        <w:rPr>
          <w:rFonts w:ascii="Times New Roman" w:hAnsi="Times New Roman"/>
          <w:sz w:val="24"/>
          <w:szCs w:val="24"/>
          <w:lang w:val="sr-Cyrl-CS"/>
        </w:rPr>
        <w:t xml:space="preserve"> </w:t>
      </w:r>
      <w:r>
        <w:rPr>
          <w:rFonts w:ascii="Times New Roman" w:hAnsi="Times New Roman"/>
          <w:sz w:val="24"/>
          <w:szCs w:val="24"/>
          <w:lang w:val="sr-Cyrl-CS"/>
        </w:rPr>
        <w:t>би</w:t>
      </w:r>
      <w:r w:rsidR="00140967" w:rsidRPr="00140967">
        <w:rPr>
          <w:rFonts w:ascii="Times New Roman" w:hAnsi="Times New Roman"/>
          <w:sz w:val="24"/>
          <w:szCs w:val="24"/>
          <w:lang w:val="sr-Cyrl-CS"/>
        </w:rPr>
        <w:t xml:space="preserve"> </w:t>
      </w:r>
      <w:r>
        <w:rPr>
          <w:rFonts w:ascii="Times New Roman" w:hAnsi="Times New Roman"/>
          <w:sz w:val="24"/>
          <w:szCs w:val="24"/>
          <w:lang w:val="sr-Cyrl-CS"/>
        </w:rPr>
        <w:t>се</w:t>
      </w:r>
      <w:r w:rsidR="00140967" w:rsidRPr="00140967">
        <w:rPr>
          <w:rFonts w:ascii="Times New Roman" w:hAnsi="Times New Roman"/>
          <w:sz w:val="24"/>
          <w:szCs w:val="24"/>
          <w:lang w:val="sr-Cyrl-CS"/>
        </w:rPr>
        <w:t xml:space="preserve"> </w:t>
      </w:r>
      <w:r>
        <w:rPr>
          <w:rFonts w:ascii="Times New Roman" w:hAnsi="Times New Roman"/>
          <w:sz w:val="24"/>
          <w:szCs w:val="24"/>
          <w:lang w:val="sr-Cyrl-CS"/>
        </w:rPr>
        <w:t>смањила</w:t>
      </w:r>
      <w:r w:rsidR="00140967" w:rsidRPr="00140967">
        <w:rPr>
          <w:rFonts w:ascii="Times New Roman" w:hAnsi="Times New Roman"/>
          <w:sz w:val="24"/>
          <w:szCs w:val="24"/>
          <w:lang w:val="sr-Cyrl-CS"/>
        </w:rPr>
        <w:t xml:space="preserve"> </w:t>
      </w:r>
      <w:r>
        <w:rPr>
          <w:rFonts w:ascii="Times New Roman" w:hAnsi="Times New Roman"/>
          <w:sz w:val="24"/>
          <w:szCs w:val="24"/>
          <w:lang w:val="sr-Cyrl-CS"/>
        </w:rPr>
        <w:t>корупција</w:t>
      </w:r>
      <w:r w:rsidR="00140967" w:rsidRPr="00140967">
        <w:rPr>
          <w:rFonts w:ascii="Times New Roman" w:hAnsi="Times New Roman"/>
          <w:sz w:val="24"/>
          <w:szCs w:val="24"/>
          <w:lang w:val="sr-Cyrl-CS"/>
        </w:rPr>
        <w:t xml:space="preserve"> </w:t>
      </w:r>
      <w:r>
        <w:rPr>
          <w:rFonts w:ascii="Times New Roman" w:hAnsi="Times New Roman"/>
          <w:sz w:val="24"/>
          <w:szCs w:val="24"/>
          <w:lang w:val="sr-Cyrl-CS"/>
        </w:rPr>
        <w:t>током</w:t>
      </w:r>
      <w:r w:rsidR="00140967" w:rsidRPr="00140967">
        <w:rPr>
          <w:rFonts w:ascii="Times New Roman" w:hAnsi="Times New Roman"/>
          <w:sz w:val="24"/>
          <w:szCs w:val="24"/>
          <w:lang w:val="sr-Cyrl-CS"/>
        </w:rPr>
        <w:t xml:space="preserve"> </w:t>
      </w:r>
      <w:r>
        <w:rPr>
          <w:rFonts w:ascii="Times New Roman" w:hAnsi="Times New Roman"/>
          <w:sz w:val="24"/>
          <w:szCs w:val="24"/>
          <w:lang w:val="sr-Cyrl-CS"/>
        </w:rPr>
        <w:t>приватизације</w:t>
      </w:r>
      <w:r w:rsidR="00140967" w:rsidRPr="00140967">
        <w:rPr>
          <w:rFonts w:ascii="Times New Roman" w:hAnsi="Times New Roman"/>
          <w:sz w:val="24"/>
          <w:szCs w:val="24"/>
          <w:lang w:val="sr-Cyrl-CS"/>
        </w:rPr>
        <w:t xml:space="preserve">, </w:t>
      </w:r>
      <w:r w:rsidR="003A5CB2">
        <w:rPr>
          <w:rFonts w:ascii="Times New Roman" w:hAnsi="Times New Roman"/>
          <w:sz w:val="24"/>
          <w:szCs w:val="24"/>
          <w:lang w:val="sr-Cyrl-CS"/>
        </w:rPr>
        <w:t>потребно је да</w:t>
      </w:r>
      <w:r w:rsidR="003566F0">
        <w:rPr>
          <w:rFonts w:ascii="Times New Roman" w:hAnsi="Times New Roman"/>
          <w:sz w:val="24"/>
          <w:szCs w:val="24"/>
          <w:lang w:val="sr-Cyrl-CS"/>
        </w:rPr>
        <w:t xml:space="preserve"> </w:t>
      </w:r>
      <w:r>
        <w:rPr>
          <w:rFonts w:ascii="Times New Roman" w:hAnsi="Times New Roman"/>
          <w:sz w:val="24"/>
          <w:szCs w:val="24"/>
          <w:lang w:val="sr-Cyrl-CS"/>
        </w:rPr>
        <w:t>се</w:t>
      </w:r>
      <w:r w:rsidR="003566F0">
        <w:rPr>
          <w:rFonts w:ascii="Times New Roman" w:hAnsi="Times New Roman"/>
          <w:sz w:val="24"/>
          <w:szCs w:val="24"/>
          <w:lang w:val="sr-Cyrl-CS"/>
        </w:rPr>
        <w:t xml:space="preserve"> </w:t>
      </w:r>
      <w:r w:rsidR="003A5CB2">
        <w:rPr>
          <w:rFonts w:ascii="Times New Roman" w:hAnsi="Times New Roman"/>
          <w:sz w:val="24"/>
          <w:szCs w:val="24"/>
          <w:lang w:val="sr-Cyrl-CS"/>
        </w:rPr>
        <w:t xml:space="preserve">смањи могућност </w:t>
      </w:r>
      <w:r>
        <w:rPr>
          <w:rFonts w:ascii="Times New Roman" w:hAnsi="Times New Roman"/>
          <w:sz w:val="24"/>
          <w:szCs w:val="24"/>
          <w:lang w:val="sr-Cyrl-CS"/>
        </w:rPr>
        <w:t>одлу</w:t>
      </w:r>
      <w:r w:rsidR="003566F0">
        <w:rPr>
          <w:rFonts w:ascii="Times New Roman" w:hAnsi="Times New Roman"/>
          <w:sz w:val="24"/>
          <w:szCs w:val="24"/>
          <w:lang w:val="sr-Cyrl-CS"/>
        </w:rPr>
        <w:t>ч</w:t>
      </w:r>
      <w:r w:rsidR="003A5CB2">
        <w:rPr>
          <w:rFonts w:ascii="Times New Roman" w:hAnsi="Times New Roman"/>
          <w:sz w:val="24"/>
          <w:szCs w:val="24"/>
          <w:lang w:val="sr-Cyrl-CS"/>
        </w:rPr>
        <w:t>ивања и дискрециона правила</w:t>
      </w:r>
      <w:r w:rsidR="003566F0">
        <w:rPr>
          <w:rFonts w:ascii="Times New Roman" w:hAnsi="Times New Roman"/>
          <w:sz w:val="24"/>
          <w:szCs w:val="24"/>
          <w:lang w:val="sr-Cyrl-CS"/>
        </w:rPr>
        <w:t xml:space="preserve">. </w:t>
      </w:r>
      <w:r w:rsidR="003A5CB2">
        <w:rPr>
          <w:rFonts w:ascii="Times New Roman" w:hAnsi="Times New Roman"/>
          <w:sz w:val="24"/>
          <w:szCs w:val="24"/>
          <w:lang w:val="sr-Cyrl-CS"/>
        </w:rPr>
        <w:t>Најмање транспарентни су подаци о предузећу, пре свега они који се односе на процену капитала, због књиговодствених система који нису прилагођени потребама тржишне привреде. Уколико су информације о процени транспарентније мање су и могућности за корупцију. Значајну улогу има и доступност резултата приватизације, јер то даје могућност трећим лицима да процене да ли је нешто погрешно и незаконито.</w:t>
      </w:r>
      <w:r w:rsidR="00932992" w:rsidRPr="00932992">
        <w:rPr>
          <w:rFonts w:ascii="Times New Roman" w:hAnsi="Times New Roman"/>
          <w:sz w:val="24"/>
          <w:szCs w:val="24"/>
          <w:lang w:val="sr-Cyrl-CS"/>
        </w:rPr>
        <w:t xml:space="preserve"> </w:t>
      </w:r>
      <w:r w:rsidR="00932992">
        <w:rPr>
          <w:rFonts w:ascii="Times New Roman" w:hAnsi="Times New Roman"/>
          <w:sz w:val="24"/>
          <w:szCs w:val="24"/>
          <w:lang w:val="sr-Cyrl-CS"/>
        </w:rPr>
        <w:t>Према томе, од</w:t>
      </w:r>
      <w:r w:rsidR="00932992" w:rsidRPr="00140967">
        <w:rPr>
          <w:rFonts w:ascii="Times New Roman" w:hAnsi="Times New Roman"/>
          <w:sz w:val="24"/>
          <w:szCs w:val="24"/>
          <w:lang w:val="sr-Cyrl-CS"/>
        </w:rPr>
        <w:t xml:space="preserve"> </w:t>
      </w:r>
      <w:r w:rsidR="00932992">
        <w:rPr>
          <w:rFonts w:ascii="Times New Roman" w:hAnsi="Times New Roman"/>
          <w:sz w:val="24"/>
          <w:szCs w:val="24"/>
          <w:lang w:val="sr-Cyrl-CS"/>
        </w:rPr>
        <w:t>транспарентности</w:t>
      </w:r>
      <w:r w:rsidR="00932992" w:rsidRPr="00140967">
        <w:rPr>
          <w:rFonts w:ascii="Times New Roman" w:hAnsi="Times New Roman"/>
          <w:sz w:val="24"/>
          <w:szCs w:val="24"/>
          <w:lang w:val="sr-Cyrl-CS"/>
        </w:rPr>
        <w:t xml:space="preserve"> </w:t>
      </w:r>
      <w:r w:rsidR="00932992">
        <w:rPr>
          <w:rFonts w:ascii="Times New Roman" w:hAnsi="Times New Roman"/>
          <w:sz w:val="24"/>
          <w:szCs w:val="24"/>
          <w:lang w:val="sr-Cyrl-CS"/>
        </w:rPr>
        <w:t>процеса</w:t>
      </w:r>
      <w:r w:rsidR="00932992" w:rsidRPr="00140967">
        <w:rPr>
          <w:rFonts w:ascii="Times New Roman" w:hAnsi="Times New Roman"/>
          <w:sz w:val="24"/>
          <w:szCs w:val="24"/>
          <w:lang w:val="sr-Cyrl-CS"/>
        </w:rPr>
        <w:t xml:space="preserve"> </w:t>
      </w:r>
      <w:r w:rsidR="00932992">
        <w:rPr>
          <w:rFonts w:ascii="Times New Roman" w:hAnsi="Times New Roman"/>
          <w:sz w:val="24"/>
          <w:szCs w:val="24"/>
          <w:lang w:val="sr-Cyrl-CS"/>
        </w:rPr>
        <w:t>приватизације</w:t>
      </w:r>
      <w:r w:rsidR="00932992" w:rsidRPr="00140967">
        <w:rPr>
          <w:rFonts w:ascii="Times New Roman" w:hAnsi="Times New Roman"/>
          <w:sz w:val="24"/>
          <w:szCs w:val="24"/>
          <w:lang w:val="sr-Cyrl-CS"/>
        </w:rPr>
        <w:t xml:space="preserve"> </w:t>
      </w:r>
      <w:r w:rsidR="00932992">
        <w:rPr>
          <w:rFonts w:ascii="Times New Roman" w:hAnsi="Times New Roman"/>
          <w:sz w:val="24"/>
          <w:szCs w:val="24"/>
          <w:lang w:val="sr-Cyrl-CS"/>
        </w:rPr>
        <w:t>у</w:t>
      </w:r>
      <w:r w:rsidR="00932992" w:rsidRPr="00140967">
        <w:rPr>
          <w:rFonts w:ascii="Times New Roman" w:hAnsi="Times New Roman"/>
          <w:sz w:val="24"/>
          <w:szCs w:val="24"/>
          <w:lang w:val="sr-Cyrl-CS"/>
        </w:rPr>
        <w:t xml:space="preserve"> </w:t>
      </w:r>
      <w:r w:rsidR="00932992">
        <w:rPr>
          <w:rFonts w:ascii="Times New Roman" w:hAnsi="Times New Roman"/>
          <w:sz w:val="24"/>
          <w:szCs w:val="24"/>
          <w:lang w:val="sr-Cyrl-CS"/>
        </w:rPr>
        <w:t>великој</w:t>
      </w:r>
      <w:r w:rsidR="00932992" w:rsidRPr="00140967">
        <w:rPr>
          <w:rFonts w:ascii="Times New Roman" w:hAnsi="Times New Roman"/>
          <w:sz w:val="24"/>
          <w:szCs w:val="24"/>
          <w:lang w:val="sr-Cyrl-CS"/>
        </w:rPr>
        <w:t xml:space="preserve"> </w:t>
      </w:r>
      <w:r w:rsidR="00932992">
        <w:rPr>
          <w:rFonts w:ascii="Times New Roman" w:hAnsi="Times New Roman"/>
          <w:sz w:val="24"/>
          <w:szCs w:val="24"/>
          <w:lang w:val="sr-Cyrl-CS"/>
        </w:rPr>
        <w:t>мери</w:t>
      </w:r>
      <w:r w:rsidR="00932992" w:rsidRPr="00140967">
        <w:rPr>
          <w:rFonts w:ascii="Times New Roman" w:hAnsi="Times New Roman"/>
          <w:sz w:val="24"/>
          <w:szCs w:val="24"/>
          <w:lang w:val="sr-Cyrl-CS"/>
        </w:rPr>
        <w:t xml:space="preserve"> </w:t>
      </w:r>
      <w:r w:rsidR="00932992">
        <w:rPr>
          <w:rFonts w:ascii="Times New Roman" w:hAnsi="Times New Roman"/>
          <w:sz w:val="24"/>
          <w:szCs w:val="24"/>
          <w:lang w:val="sr-Cyrl-CS"/>
        </w:rPr>
        <w:t>зависи</w:t>
      </w:r>
      <w:r w:rsidR="00932992" w:rsidRPr="00140967">
        <w:rPr>
          <w:rFonts w:ascii="Times New Roman" w:hAnsi="Times New Roman"/>
          <w:sz w:val="24"/>
          <w:szCs w:val="24"/>
          <w:lang w:val="sr-Cyrl-CS"/>
        </w:rPr>
        <w:t xml:space="preserve"> </w:t>
      </w:r>
      <w:r w:rsidR="00932992">
        <w:rPr>
          <w:rFonts w:ascii="Times New Roman" w:hAnsi="Times New Roman"/>
          <w:sz w:val="24"/>
          <w:szCs w:val="24"/>
          <w:lang w:val="sr-Cyrl-CS"/>
        </w:rPr>
        <w:t>колико ће</w:t>
      </w:r>
      <w:r w:rsidR="00932992" w:rsidRPr="00140967">
        <w:rPr>
          <w:rFonts w:ascii="Times New Roman" w:hAnsi="Times New Roman"/>
          <w:sz w:val="24"/>
          <w:szCs w:val="24"/>
          <w:lang w:val="sr-Cyrl-CS"/>
        </w:rPr>
        <w:t xml:space="preserve"> </w:t>
      </w:r>
      <w:r w:rsidR="00932992">
        <w:rPr>
          <w:rFonts w:ascii="Times New Roman" w:hAnsi="Times New Roman"/>
          <w:sz w:val="24"/>
          <w:szCs w:val="24"/>
          <w:lang w:val="sr-Cyrl-CS"/>
        </w:rPr>
        <w:t>корупција</w:t>
      </w:r>
      <w:r w:rsidR="00932992" w:rsidRPr="00140967">
        <w:rPr>
          <w:rFonts w:ascii="Times New Roman" w:hAnsi="Times New Roman"/>
          <w:sz w:val="24"/>
          <w:szCs w:val="24"/>
          <w:lang w:val="sr-Cyrl-CS"/>
        </w:rPr>
        <w:t xml:space="preserve"> </w:t>
      </w:r>
      <w:r w:rsidR="00932992">
        <w:rPr>
          <w:rFonts w:ascii="Times New Roman" w:hAnsi="Times New Roman"/>
          <w:sz w:val="24"/>
          <w:szCs w:val="24"/>
          <w:lang w:val="sr-Cyrl-CS"/>
        </w:rPr>
        <w:t>узети</w:t>
      </w:r>
      <w:r w:rsidR="00932992" w:rsidRPr="00140967">
        <w:rPr>
          <w:rFonts w:ascii="Times New Roman" w:hAnsi="Times New Roman"/>
          <w:sz w:val="24"/>
          <w:szCs w:val="24"/>
          <w:lang w:val="sr-Cyrl-CS"/>
        </w:rPr>
        <w:t xml:space="preserve"> </w:t>
      </w:r>
      <w:r w:rsidR="00932992">
        <w:rPr>
          <w:rFonts w:ascii="Times New Roman" w:hAnsi="Times New Roman"/>
          <w:sz w:val="24"/>
          <w:szCs w:val="24"/>
          <w:lang w:val="sr-Cyrl-CS"/>
        </w:rPr>
        <w:t>маха</w:t>
      </w:r>
      <w:r w:rsidR="00932992" w:rsidRPr="00140967">
        <w:rPr>
          <w:rFonts w:ascii="Times New Roman" w:hAnsi="Times New Roman"/>
          <w:sz w:val="24"/>
          <w:szCs w:val="24"/>
          <w:lang w:val="sr-Cyrl-CS"/>
        </w:rPr>
        <w:t>.</w:t>
      </w:r>
      <w:r w:rsidR="00932992">
        <w:rPr>
          <w:rFonts w:ascii="Times New Roman" w:hAnsi="Times New Roman"/>
          <w:sz w:val="24"/>
          <w:szCs w:val="24"/>
          <w:lang w:val="sr-Cyrl-CS"/>
        </w:rPr>
        <w:t xml:space="preserve"> </w:t>
      </w:r>
    </w:p>
    <w:p w:rsidR="00D53246" w:rsidRDefault="00D53246" w:rsidP="006D0FE0">
      <w:pPr>
        <w:ind w:firstLine="630"/>
        <w:jc w:val="both"/>
        <w:rPr>
          <w:rFonts w:ascii="Times New Roman" w:hAnsi="Times New Roman"/>
          <w:sz w:val="24"/>
          <w:szCs w:val="24"/>
          <w:lang w:val="sr-Cyrl-CS"/>
        </w:rPr>
      </w:pPr>
      <w:r>
        <w:rPr>
          <w:rFonts w:ascii="Times New Roman" w:hAnsi="Times New Roman"/>
          <w:sz w:val="24"/>
          <w:szCs w:val="24"/>
          <w:lang w:val="sr-Cyrl-CS"/>
        </w:rPr>
        <w:t xml:space="preserve">Злоупотребе у процесу својинске трансформације </w:t>
      </w:r>
      <w:r w:rsidR="003D18D8">
        <w:rPr>
          <w:rFonts w:ascii="Times New Roman" w:hAnsi="Times New Roman"/>
          <w:sz w:val="24"/>
          <w:szCs w:val="24"/>
          <w:lang w:val="sr-Cyrl-CS"/>
        </w:rPr>
        <w:t>се могу извршити на различите начине, а пре свега су</w:t>
      </w:r>
      <w:r>
        <w:rPr>
          <w:rFonts w:ascii="Times New Roman" w:hAnsi="Times New Roman"/>
          <w:sz w:val="24"/>
          <w:szCs w:val="24"/>
          <w:lang w:val="sr-Cyrl-CS"/>
        </w:rPr>
        <w:t xml:space="preserve"> могуће када се </w:t>
      </w:r>
      <w:r w:rsidR="003D18D8">
        <w:rPr>
          <w:rFonts w:ascii="Times New Roman" w:hAnsi="Times New Roman"/>
          <w:sz w:val="24"/>
          <w:szCs w:val="24"/>
          <w:lang w:val="sr-Cyrl-CS"/>
        </w:rPr>
        <w:t>приватизација привредних субјеката,</w:t>
      </w:r>
      <w:r>
        <w:rPr>
          <w:rFonts w:ascii="Times New Roman" w:hAnsi="Times New Roman"/>
          <w:sz w:val="24"/>
          <w:szCs w:val="24"/>
          <w:lang w:val="sr-Cyrl-CS"/>
        </w:rPr>
        <w:t xml:space="preserve"> који су у друштвеном или државном власништву, обавља кроз директну про</w:t>
      </w:r>
      <w:r w:rsidR="003D18D8">
        <w:rPr>
          <w:rFonts w:ascii="Times New Roman" w:hAnsi="Times New Roman"/>
          <w:sz w:val="24"/>
          <w:szCs w:val="24"/>
          <w:lang w:val="sr-Cyrl-CS"/>
        </w:rPr>
        <w:t>дају, уместо тендерским путем. Злоупотребе се могу извршити и</w:t>
      </w:r>
      <w:r>
        <w:rPr>
          <w:rFonts w:ascii="Times New Roman" w:hAnsi="Times New Roman"/>
          <w:sz w:val="24"/>
          <w:szCs w:val="24"/>
          <w:lang w:val="sr-Cyrl-CS"/>
        </w:rPr>
        <w:t xml:space="preserve"> </w:t>
      </w:r>
      <w:r w:rsidR="00DF0ED9">
        <w:rPr>
          <w:rFonts w:ascii="Times New Roman" w:hAnsi="Times New Roman"/>
          <w:sz w:val="24"/>
          <w:szCs w:val="24"/>
          <w:lang w:val="sr-Cyrl-CS"/>
        </w:rPr>
        <w:t>п</w:t>
      </w:r>
      <w:r>
        <w:rPr>
          <w:rFonts w:ascii="Times New Roman" w:hAnsi="Times New Roman"/>
          <w:sz w:val="24"/>
          <w:szCs w:val="24"/>
          <w:lang w:val="sr-Cyrl-CS"/>
        </w:rPr>
        <w:t xml:space="preserve">риликом </w:t>
      </w:r>
      <w:r w:rsidR="003D18D8">
        <w:rPr>
          <w:rFonts w:ascii="Times New Roman" w:hAnsi="Times New Roman"/>
          <w:sz w:val="24"/>
          <w:szCs w:val="24"/>
          <w:lang w:val="sr-Cyrl-CS"/>
        </w:rPr>
        <w:t>продаје на тендеру,</w:t>
      </w:r>
      <w:r>
        <w:rPr>
          <w:rFonts w:ascii="Times New Roman" w:hAnsi="Times New Roman"/>
          <w:sz w:val="24"/>
          <w:szCs w:val="24"/>
          <w:lang w:val="sr-Cyrl-CS"/>
        </w:rPr>
        <w:t xml:space="preserve"> јер се потенцијални купци могу унапред договорити о својим понудама,</w:t>
      </w:r>
      <w:r w:rsidR="003D18D8">
        <w:rPr>
          <w:rFonts w:ascii="Times New Roman" w:hAnsi="Times New Roman"/>
          <w:sz w:val="24"/>
          <w:szCs w:val="24"/>
          <w:lang w:val="sr-Cyrl-CS"/>
        </w:rPr>
        <w:t xml:space="preserve"> уз лимитирање понуђеног износа. Н</w:t>
      </w:r>
      <w:r>
        <w:rPr>
          <w:rFonts w:ascii="Times New Roman" w:hAnsi="Times New Roman"/>
          <w:sz w:val="24"/>
          <w:szCs w:val="24"/>
          <w:lang w:val="sr-Cyrl-CS"/>
        </w:rPr>
        <w:t xml:space="preserve">а тај начин </w:t>
      </w:r>
      <w:r w:rsidR="003D18D8">
        <w:rPr>
          <w:rFonts w:ascii="Times New Roman" w:hAnsi="Times New Roman"/>
          <w:sz w:val="24"/>
          <w:szCs w:val="24"/>
          <w:lang w:val="sr-Cyrl-CS"/>
        </w:rPr>
        <w:t>се предузећа купују</w:t>
      </w:r>
      <w:r>
        <w:rPr>
          <w:rFonts w:ascii="Times New Roman" w:hAnsi="Times New Roman"/>
          <w:sz w:val="24"/>
          <w:szCs w:val="24"/>
          <w:lang w:val="sr-Cyrl-CS"/>
        </w:rPr>
        <w:t xml:space="preserve"> за нереално ниску цену</w:t>
      </w:r>
      <w:r w:rsidR="00206FF7">
        <w:rPr>
          <w:rFonts w:ascii="Times New Roman" w:hAnsi="Times New Roman"/>
          <w:sz w:val="24"/>
          <w:szCs w:val="24"/>
          <w:lang w:val="sr-Cyrl-CS"/>
        </w:rPr>
        <w:t xml:space="preserve"> и под лошим </w:t>
      </w:r>
      <w:r w:rsidR="00DF0ED9">
        <w:rPr>
          <w:rFonts w:ascii="Times New Roman" w:hAnsi="Times New Roman"/>
          <w:sz w:val="24"/>
          <w:szCs w:val="24"/>
          <w:lang w:val="sr-Cyrl-CS"/>
        </w:rPr>
        <w:t xml:space="preserve"> условима у односу на запослене, до чега може доћи и у сарадњи са лицима која организују и спроводе приватизацију.</w:t>
      </w:r>
      <w:r w:rsidR="00DF0ED9">
        <w:rPr>
          <w:rStyle w:val="FootnoteReference"/>
          <w:rFonts w:ascii="Times New Roman" w:hAnsi="Times New Roman"/>
          <w:sz w:val="24"/>
          <w:szCs w:val="24"/>
          <w:lang w:val="sr-Cyrl-CS"/>
        </w:rPr>
        <w:footnoteReference w:id="726"/>
      </w:r>
      <w:r w:rsidR="00206FF7">
        <w:rPr>
          <w:rFonts w:ascii="Times New Roman" w:hAnsi="Times New Roman"/>
          <w:sz w:val="24"/>
          <w:szCs w:val="24"/>
          <w:lang w:val="sr-Cyrl-CS"/>
        </w:rPr>
        <w:t xml:space="preserve"> Осим тога, у пракси се често појављује проблем заштите малих акционара, као у случају када власник на њих врши притисак </w:t>
      </w:r>
      <w:r w:rsidR="00206FF7">
        <w:rPr>
          <w:rFonts w:ascii="Times New Roman" w:hAnsi="Times New Roman"/>
          <w:sz w:val="24"/>
          <w:szCs w:val="24"/>
          <w:lang w:val="sr-Cyrl-CS"/>
        </w:rPr>
        <w:lastRenderedPageBreak/>
        <w:t>да продају акције по нижој вредности од тржишне или када власник умањује профит предузећа како би избегао надокнаде малим акционарима.</w:t>
      </w:r>
    </w:p>
    <w:p w:rsidR="003B48EA" w:rsidRDefault="00D53246" w:rsidP="00932992">
      <w:pPr>
        <w:ind w:firstLine="630"/>
        <w:jc w:val="both"/>
        <w:rPr>
          <w:rFonts w:ascii="Times New Roman" w:hAnsi="Times New Roman"/>
          <w:sz w:val="24"/>
          <w:szCs w:val="24"/>
          <w:lang w:val="sr-Cyrl-CS"/>
        </w:rPr>
      </w:pPr>
      <w:r>
        <w:rPr>
          <w:rFonts w:ascii="Times New Roman" w:hAnsi="Times New Roman"/>
          <w:sz w:val="24"/>
          <w:szCs w:val="24"/>
          <w:lang w:val="sr-Cyrl-CS"/>
        </w:rPr>
        <w:t xml:space="preserve"> </w:t>
      </w:r>
      <w:r w:rsidR="003B48EA">
        <w:rPr>
          <w:rFonts w:ascii="Times New Roman" w:hAnsi="Times New Roman"/>
          <w:sz w:val="24"/>
          <w:szCs w:val="24"/>
          <w:lang w:val="sr-Cyrl-CS"/>
        </w:rPr>
        <w:t xml:space="preserve">Приватизација пружа широке могућности за прање новца, односно да се „прљав“ новац који је незаконито стечен од привредног криминала, корупције или на друге начине укључи у легалне токове и </w:t>
      </w:r>
      <w:r w:rsidR="006D0FE0">
        <w:rPr>
          <w:rFonts w:ascii="Times New Roman" w:hAnsi="Times New Roman"/>
          <w:sz w:val="24"/>
          <w:szCs w:val="24"/>
          <w:lang w:val="sr-Cyrl-CS"/>
        </w:rPr>
        <w:t xml:space="preserve">тако </w:t>
      </w:r>
      <w:r w:rsidR="003B48EA">
        <w:rPr>
          <w:rFonts w:ascii="Times New Roman" w:hAnsi="Times New Roman"/>
          <w:sz w:val="24"/>
          <w:szCs w:val="24"/>
          <w:lang w:val="sr-Cyrl-CS"/>
        </w:rPr>
        <w:t xml:space="preserve">прикрију трагови незаконитих активности. За ту сврху користе </w:t>
      </w:r>
      <w:r w:rsidR="008C541A">
        <w:rPr>
          <w:rFonts w:ascii="Times New Roman" w:hAnsi="Times New Roman"/>
          <w:sz w:val="24"/>
          <w:szCs w:val="24"/>
          <w:lang w:val="sr-Cyrl-CS"/>
        </w:rPr>
        <w:t xml:space="preserve">се </w:t>
      </w:r>
      <w:r w:rsidR="003B48EA">
        <w:rPr>
          <w:rFonts w:ascii="Times New Roman" w:hAnsi="Times New Roman"/>
          <w:sz w:val="24"/>
          <w:szCs w:val="24"/>
          <w:lang w:val="sr-Cyrl-CS"/>
        </w:rPr>
        <w:t>услуге банкарског сектора и off-shore компаније, као у случају када се нелегално стечена средства трансферишу са рачуна off-shore компанија, чији је власник исто лице, по основу куповине новооснованих фирми.</w:t>
      </w:r>
      <w:r w:rsidR="003B48EA">
        <w:rPr>
          <w:rStyle w:val="FootnoteReference"/>
          <w:rFonts w:ascii="Times New Roman" w:hAnsi="Times New Roman"/>
          <w:sz w:val="24"/>
          <w:szCs w:val="24"/>
          <w:lang w:val="sr-Cyrl-CS"/>
        </w:rPr>
        <w:footnoteReference w:id="727"/>
      </w:r>
    </w:p>
    <w:p w:rsidR="006D0FE0" w:rsidRDefault="006D0FE0" w:rsidP="003B48EA">
      <w:pPr>
        <w:ind w:firstLine="630"/>
        <w:jc w:val="both"/>
        <w:rPr>
          <w:rFonts w:ascii="Times New Roman" w:hAnsi="Times New Roman"/>
          <w:sz w:val="24"/>
          <w:szCs w:val="24"/>
          <w:lang w:val="sr-Cyrl-CS"/>
        </w:rPr>
      </w:pPr>
    </w:p>
    <w:p w:rsidR="00932992" w:rsidRPr="003B48EA" w:rsidRDefault="00932992" w:rsidP="003B48EA">
      <w:pPr>
        <w:ind w:firstLine="630"/>
        <w:jc w:val="both"/>
        <w:rPr>
          <w:rFonts w:ascii="Times New Roman" w:hAnsi="Times New Roman"/>
          <w:sz w:val="24"/>
          <w:szCs w:val="24"/>
          <w:lang w:val="sr-Cyrl-CS"/>
        </w:rPr>
      </w:pPr>
    </w:p>
    <w:p w:rsidR="00BD7276" w:rsidRDefault="00FA3214" w:rsidP="00FA3214">
      <w:pPr>
        <w:pStyle w:val="ListParagraph"/>
        <w:numPr>
          <w:ilvl w:val="1"/>
          <w:numId w:val="4"/>
        </w:numPr>
        <w:jc w:val="center"/>
        <w:rPr>
          <w:rFonts w:ascii="Times New Roman" w:hAnsi="Times New Roman"/>
          <w:b/>
          <w:sz w:val="24"/>
          <w:szCs w:val="24"/>
          <w:lang w:val="sr-Cyrl-CS"/>
        </w:rPr>
      </w:pPr>
      <w:r>
        <w:rPr>
          <w:rFonts w:ascii="Times New Roman" w:hAnsi="Times New Roman"/>
          <w:b/>
          <w:sz w:val="24"/>
          <w:szCs w:val="24"/>
          <w:lang w:val="sr-Cyrl-CS"/>
        </w:rPr>
        <w:t xml:space="preserve"> </w:t>
      </w:r>
      <w:r w:rsidRPr="00FA3214">
        <w:rPr>
          <w:rFonts w:ascii="Times New Roman" w:hAnsi="Times New Roman"/>
          <w:b/>
          <w:sz w:val="24"/>
          <w:szCs w:val="24"/>
          <w:lang w:val="sr-Cyrl-CS"/>
        </w:rPr>
        <w:t>Корупција и привредни криминал у грађевинарству</w:t>
      </w:r>
    </w:p>
    <w:p w:rsidR="00BC7798" w:rsidRDefault="00BC7798" w:rsidP="00BC7798">
      <w:pPr>
        <w:pStyle w:val="ListParagraph"/>
        <w:ind w:left="990"/>
        <w:rPr>
          <w:rFonts w:ascii="Times New Roman" w:hAnsi="Times New Roman"/>
          <w:b/>
          <w:sz w:val="24"/>
          <w:szCs w:val="24"/>
          <w:lang w:val="sr-Cyrl-CS"/>
        </w:rPr>
      </w:pPr>
    </w:p>
    <w:p w:rsidR="00932992" w:rsidRPr="00FA3214" w:rsidRDefault="00932992" w:rsidP="006D0FE0">
      <w:pPr>
        <w:pStyle w:val="ListParagraph"/>
        <w:ind w:left="990"/>
        <w:rPr>
          <w:rFonts w:ascii="Times New Roman" w:hAnsi="Times New Roman"/>
          <w:b/>
          <w:sz w:val="24"/>
          <w:szCs w:val="24"/>
          <w:lang w:val="sr-Cyrl-CS"/>
        </w:rPr>
      </w:pPr>
    </w:p>
    <w:p w:rsidR="00CF06AC" w:rsidRDefault="003B127B" w:rsidP="00722C79">
      <w:pPr>
        <w:ind w:firstLine="630"/>
        <w:jc w:val="both"/>
        <w:rPr>
          <w:rFonts w:ascii="Times New Roman" w:hAnsi="Times New Roman"/>
          <w:sz w:val="24"/>
          <w:szCs w:val="24"/>
          <w:lang w:val="sr-Cyrl-CS"/>
        </w:rPr>
      </w:pPr>
      <w:r>
        <w:rPr>
          <w:rFonts w:ascii="Times New Roman" w:hAnsi="Times New Roman"/>
          <w:sz w:val="24"/>
          <w:szCs w:val="24"/>
          <w:lang w:val="sr-Cyrl-CS"/>
        </w:rPr>
        <w:t>П</w:t>
      </w:r>
      <w:r w:rsidR="00722C79">
        <w:rPr>
          <w:rFonts w:ascii="Times New Roman" w:hAnsi="Times New Roman"/>
          <w:sz w:val="24"/>
          <w:szCs w:val="24"/>
          <w:lang w:val="sr-Cyrl-CS"/>
        </w:rPr>
        <w:t>рема</w:t>
      </w:r>
      <w:r w:rsidR="00CF06AC" w:rsidRPr="00CF06AC">
        <w:rPr>
          <w:rFonts w:ascii="Times New Roman" w:hAnsi="Times New Roman"/>
          <w:sz w:val="24"/>
          <w:szCs w:val="24"/>
          <w:lang w:val="sr-Cyrl-CS"/>
        </w:rPr>
        <w:t xml:space="preserve"> </w:t>
      </w:r>
      <w:r w:rsidR="00722C79">
        <w:rPr>
          <w:rFonts w:ascii="Times New Roman" w:hAnsi="Times New Roman"/>
          <w:sz w:val="24"/>
          <w:szCs w:val="24"/>
          <w:lang w:val="sr-Cyrl-CS"/>
        </w:rPr>
        <w:t>искуству</w:t>
      </w:r>
      <w:r w:rsidR="00CF06AC" w:rsidRPr="00CF06AC">
        <w:rPr>
          <w:rFonts w:ascii="Times New Roman" w:hAnsi="Times New Roman"/>
          <w:sz w:val="24"/>
          <w:szCs w:val="24"/>
          <w:lang w:val="sr-Cyrl-CS"/>
        </w:rPr>
        <w:t xml:space="preserve"> </w:t>
      </w:r>
      <w:r w:rsidR="00722C79">
        <w:rPr>
          <w:rFonts w:ascii="Times New Roman" w:hAnsi="Times New Roman"/>
          <w:sz w:val="24"/>
          <w:szCs w:val="24"/>
          <w:lang w:val="sr-Cyrl-CS"/>
        </w:rPr>
        <w:t>приватних</w:t>
      </w:r>
      <w:r w:rsidR="00CF06AC" w:rsidRPr="00CF06AC">
        <w:rPr>
          <w:rFonts w:ascii="Times New Roman" w:hAnsi="Times New Roman"/>
          <w:sz w:val="24"/>
          <w:szCs w:val="24"/>
          <w:lang w:val="sr-Cyrl-CS"/>
        </w:rPr>
        <w:t xml:space="preserve"> </w:t>
      </w:r>
      <w:r w:rsidR="00722C79">
        <w:rPr>
          <w:rFonts w:ascii="Times New Roman" w:hAnsi="Times New Roman"/>
          <w:sz w:val="24"/>
          <w:szCs w:val="24"/>
          <w:lang w:val="sr-Cyrl-CS"/>
        </w:rPr>
        <w:t>предузетника</w:t>
      </w:r>
      <w:r w:rsidR="00CF06AC" w:rsidRPr="00CF06AC">
        <w:rPr>
          <w:rFonts w:ascii="Times New Roman" w:hAnsi="Times New Roman"/>
          <w:sz w:val="24"/>
          <w:szCs w:val="24"/>
          <w:lang w:val="sr-Cyrl-CS"/>
        </w:rPr>
        <w:t xml:space="preserve">, </w:t>
      </w:r>
      <w:r>
        <w:rPr>
          <w:rFonts w:ascii="Times New Roman" w:hAnsi="Times New Roman"/>
          <w:sz w:val="24"/>
          <w:szCs w:val="24"/>
          <w:lang w:val="sr-Cyrl-CS"/>
        </w:rPr>
        <w:t>најзаступљенији</w:t>
      </w:r>
      <w:r w:rsidRPr="00CF06AC">
        <w:rPr>
          <w:rFonts w:ascii="Times New Roman" w:hAnsi="Times New Roman"/>
          <w:sz w:val="24"/>
          <w:szCs w:val="24"/>
          <w:lang w:val="sr-Cyrl-CS"/>
        </w:rPr>
        <w:t xml:space="preserve"> </w:t>
      </w:r>
      <w:r>
        <w:rPr>
          <w:rFonts w:ascii="Times New Roman" w:hAnsi="Times New Roman"/>
          <w:sz w:val="24"/>
          <w:szCs w:val="24"/>
          <w:lang w:val="sr-Cyrl-CS"/>
        </w:rPr>
        <w:t>вид</w:t>
      </w:r>
      <w:r w:rsidRPr="00CF06AC">
        <w:rPr>
          <w:rFonts w:ascii="Times New Roman" w:hAnsi="Times New Roman"/>
          <w:sz w:val="24"/>
          <w:szCs w:val="24"/>
          <w:lang w:val="sr-Cyrl-CS"/>
        </w:rPr>
        <w:t xml:space="preserve"> </w:t>
      </w:r>
      <w:r>
        <w:rPr>
          <w:rFonts w:ascii="Times New Roman" w:hAnsi="Times New Roman"/>
          <w:sz w:val="24"/>
          <w:szCs w:val="24"/>
          <w:lang w:val="sr-Cyrl-CS"/>
        </w:rPr>
        <w:t>корупције</w:t>
      </w:r>
      <w:r w:rsidRPr="00CF06AC">
        <w:rPr>
          <w:rFonts w:ascii="Times New Roman" w:hAnsi="Times New Roman"/>
          <w:sz w:val="24"/>
          <w:szCs w:val="24"/>
          <w:lang w:val="sr-Cyrl-CS"/>
        </w:rPr>
        <w:t xml:space="preserve"> </w:t>
      </w:r>
      <w:r>
        <w:rPr>
          <w:rFonts w:ascii="Times New Roman" w:hAnsi="Times New Roman"/>
          <w:sz w:val="24"/>
          <w:szCs w:val="24"/>
          <w:lang w:val="sr-Cyrl-CS"/>
        </w:rPr>
        <w:t>је</w:t>
      </w:r>
      <w:r w:rsidR="00722C79">
        <w:rPr>
          <w:rFonts w:ascii="Times New Roman" w:hAnsi="Times New Roman"/>
          <w:sz w:val="24"/>
          <w:szCs w:val="24"/>
          <w:lang w:val="sr-Cyrl-CS"/>
        </w:rPr>
        <w:t xml:space="preserve"> приликом</w:t>
      </w:r>
      <w:r w:rsidR="00CF06AC" w:rsidRPr="00CF06AC">
        <w:rPr>
          <w:rFonts w:ascii="Times New Roman" w:hAnsi="Times New Roman"/>
          <w:sz w:val="24"/>
          <w:szCs w:val="24"/>
          <w:lang w:val="sr-Cyrl-CS"/>
        </w:rPr>
        <w:t xml:space="preserve"> </w:t>
      </w:r>
      <w:r w:rsidR="00722C79">
        <w:rPr>
          <w:rFonts w:ascii="Times New Roman" w:hAnsi="Times New Roman"/>
          <w:sz w:val="24"/>
          <w:szCs w:val="24"/>
          <w:lang w:val="sr-Cyrl-CS"/>
        </w:rPr>
        <w:t>добијања</w:t>
      </w:r>
      <w:r w:rsidR="00CF06AC" w:rsidRPr="00CF06AC">
        <w:rPr>
          <w:rFonts w:ascii="Times New Roman" w:hAnsi="Times New Roman"/>
          <w:sz w:val="24"/>
          <w:szCs w:val="24"/>
          <w:lang w:val="sr-Cyrl-CS"/>
        </w:rPr>
        <w:t xml:space="preserve"> </w:t>
      </w:r>
      <w:r w:rsidR="00722C79">
        <w:rPr>
          <w:rFonts w:ascii="Times New Roman" w:hAnsi="Times New Roman"/>
          <w:sz w:val="24"/>
          <w:szCs w:val="24"/>
          <w:lang w:val="sr-Cyrl-CS"/>
        </w:rPr>
        <w:t>локације</w:t>
      </w:r>
      <w:r w:rsidR="00CF06AC" w:rsidRPr="00CF06AC">
        <w:rPr>
          <w:rFonts w:ascii="Times New Roman" w:hAnsi="Times New Roman"/>
          <w:sz w:val="24"/>
          <w:szCs w:val="24"/>
          <w:lang w:val="sr-Cyrl-CS"/>
        </w:rPr>
        <w:t xml:space="preserve"> </w:t>
      </w:r>
      <w:r w:rsidR="00722C79">
        <w:rPr>
          <w:rFonts w:ascii="Times New Roman" w:hAnsi="Times New Roman"/>
          <w:sz w:val="24"/>
          <w:szCs w:val="24"/>
          <w:lang w:val="sr-Cyrl-CS"/>
        </w:rPr>
        <w:t>за</w:t>
      </w:r>
      <w:r w:rsidR="00CF06AC" w:rsidRPr="00CF06AC">
        <w:rPr>
          <w:rFonts w:ascii="Times New Roman" w:hAnsi="Times New Roman"/>
          <w:sz w:val="24"/>
          <w:szCs w:val="24"/>
          <w:lang w:val="sr-Cyrl-CS"/>
        </w:rPr>
        <w:t xml:space="preserve"> </w:t>
      </w:r>
      <w:r w:rsidR="00722C79">
        <w:rPr>
          <w:rFonts w:ascii="Times New Roman" w:hAnsi="Times New Roman"/>
          <w:sz w:val="24"/>
          <w:szCs w:val="24"/>
          <w:lang w:val="sr-Cyrl-CS"/>
        </w:rPr>
        <w:t>градњу</w:t>
      </w:r>
      <w:r w:rsidR="00CF06AC" w:rsidRPr="00CF06AC">
        <w:rPr>
          <w:rFonts w:ascii="Times New Roman" w:hAnsi="Times New Roman"/>
          <w:sz w:val="24"/>
          <w:szCs w:val="24"/>
          <w:lang w:val="sr-Cyrl-CS"/>
        </w:rPr>
        <w:t xml:space="preserve"> </w:t>
      </w:r>
      <w:r w:rsidR="00722C79">
        <w:rPr>
          <w:rFonts w:ascii="Times New Roman" w:hAnsi="Times New Roman"/>
          <w:sz w:val="24"/>
          <w:szCs w:val="24"/>
          <w:lang w:val="sr-Cyrl-CS"/>
        </w:rPr>
        <w:t>привремених</w:t>
      </w:r>
      <w:r w:rsidR="00CF06AC" w:rsidRPr="00CF06AC">
        <w:rPr>
          <w:rFonts w:ascii="Times New Roman" w:hAnsi="Times New Roman"/>
          <w:sz w:val="24"/>
          <w:szCs w:val="24"/>
          <w:lang w:val="sr-Cyrl-CS"/>
        </w:rPr>
        <w:t xml:space="preserve"> </w:t>
      </w:r>
      <w:r w:rsidR="00722C79">
        <w:rPr>
          <w:rFonts w:ascii="Times New Roman" w:hAnsi="Times New Roman"/>
          <w:sz w:val="24"/>
          <w:szCs w:val="24"/>
          <w:lang w:val="sr-Cyrl-CS"/>
        </w:rPr>
        <w:t>или</w:t>
      </w:r>
      <w:r w:rsidR="00CF06AC" w:rsidRPr="00CF06AC">
        <w:rPr>
          <w:rFonts w:ascii="Times New Roman" w:hAnsi="Times New Roman"/>
          <w:sz w:val="24"/>
          <w:szCs w:val="24"/>
          <w:lang w:val="sr-Cyrl-CS"/>
        </w:rPr>
        <w:t xml:space="preserve"> </w:t>
      </w:r>
      <w:r w:rsidR="00722C79">
        <w:rPr>
          <w:rFonts w:ascii="Times New Roman" w:hAnsi="Times New Roman"/>
          <w:sz w:val="24"/>
          <w:szCs w:val="24"/>
          <w:lang w:val="sr-Cyrl-CS"/>
        </w:rPr>
        <w:t>сталних</w:t>
      </w:r>
      <w:r w:rsidR="00CF06AC" w:rsidRPr="00CF06AC">
        <w:rPr>
          <w:rFonts w:ascii="Times New Roman" w:hAnsi="Times New Roman"/>
          <w:sz w:val="24"/>
          <w:szCs w:val="24"/>
          <w:lang w:val="sr-Cyrl-CS"/>
        </w:rPr>
        <w:t xml:space="preserve"> </w:t>
      </w:r>
      <w:r w:rsidR="00722C79">
        <w:rPr>
          <w:rFonts w:ascii="Times New Roman" w:hAnsi="Times New Roman"/>
          <w:sz w:val="24"/>
          <w:szCs w:val="24"/>
          <w:lang w:val="sr-Cyrl-CS"/>
        </w:rPr>
        <w:t>објеката</w:t>
      </w:r>
      <w:r w:rsidR="00CF06AC" w:rsidRPr="00CF06AC">
        <w:rPr>
          <w:rFonts w:ascii="Times New Roman" w:hAnsi="Times New Roman"/>
          <w:sz w:val="24"/>
          <w:szCs w:val="24"/>
          <w:lang w:val="sr-Cyrl-CS"/>
        </w:rPr>
        <w:t xml:space="preserve">, </w:t>
      </w:r>
      <w:r w:rsidR="00722C79">
        <w:rPr>
          <w:rFonts w:ascii="Times New Roman" w:hAnsi="Times New Roman"/>
          <w:sz w:val="24"/>
          <w:szCs w:val="24"/>
          <w:lang w:val="sr-Cyrl-CS"/>
        </w:rPr>
        <w:t>затим</w:t>
      </w:r>
      <w:r w:rsidR="00CF06AC">
        <w:rPr>
          <w:rFonts w:ascii="Times New Roman" w:hAnsi="Times New Roman"/>
          <w:sz w:val="24"/>
          <w:szCs w:val="24"/>
          <w:lang w:val="sr-Cyrl-CS"/>
        </w:rPr>
        <w:t xml:space="preserve"> </w:t>
      </w:r>
      <w:r w:rsidR="00722C79">
        <w:rPr>
          <w:rFonts w:ascii="Times New Roman" w:hAnsi="Times New Roman"/>
          <w:sz w:val="24"/>
          <w:szCs w:val="24"/>
          <w:lang w:val="sr-Cyrl-CS"/>
        </w:rPr>
        <w:t>приликом</w:t>
      </w:r>
      <w:r w:rsidR="00CF06AC" w:rsidRPr="00CF06AC">
        <w:rPr>
          <w:rFonts w:ascii="Times New Roman" w:hAnsi="Times New Roman"/>
          <w:sz w:val="24"/>
          <w:szCs w:val="24"/>
          <w:lang w:val="sr-Cyrl-CS"/>
        </w:rPr>
        <w:t xml:space="preserve"> </w:t>
      </w:r>
      <w:r w:rsidR="00722C79">
        <w:rPr>
          <w:rFonts w:ascii="Times New Roman" w:hAnsi="Times New Roman"/>
          <w:sz w:val="24"/>
          <w:szCs w:val="24"/>
          <w:lang w:val="sr-Cyrl-CS"/>
        </w:rPr>
        <w:t>добијања</w:t>
      </w:r>
      <w:r w:rsidR="00CF06AC" w:rsidRPr="00CF06AC">
        <w:rPr>
          <w:rFonts w:ascii="Times New Roman" w:hAnsi="Times New Roman"/>
          <w:sz w:val="24"/>
          <w:szCs w:val="24"/>
          <w:lang w:val="sr-Cyrl-CS"/>
        </w:rPr>
        <w:t xml:space="preserve"> </w:t>
      </w:r>
      <w:r w:rsidR="00722C79">
        <w:rPr>
          <w:rFonts w:ascii="Times New Roman" w:hAnsi="Times New Roman"/>
          <w:sz w:val="24"/>
          <w:szCs w:val="24"/>
          <w:lang w:val="sr-Cyrl-CS"/>
        </w:rPr>
        <w:t>увозно</w:t>
      </w:r>
      <w:r w:rsidR="00CF06AC" w:rsidRPr="00CF06AC">
        <w:rPr>
          <w:rFonts w:ascii="Times New Roman" w:hAnsi="Times New Roman"/>
          <w:sz w:val="24"/>
          <w:szCs w:val="24"/>
          <w:lang w:val="sr-Cyrl-CS"/>
        </w:rPr>
        <w:t>-</w:t>
      </w:r>
      <w:r w:rsidR="00722C79">
        <w:rPr>
          <w:rFonts w:ascii="Times New Roman" w:hAnsi="Times New Roman"/>
          <w:sz w:val="24"/>
          <w:szCs w:val="24"/>
          <w:lang w:val="sr-Cyrl-CS"/>
        </w:rPr>
        <w:t>извозних</w:t>
      </w:r>
      <w:r w:rsidR="00CF06AC" w:rsidRPr="00CF06AC">
        <w:rPr>
          <w:rFonts w:ascii="Times New Roman" w:hAnsi="Times New Roman"/>
          <w:sz w:val="24"/>
          <w:szCs w:val="24"/>
          <w:lang w:val="sr-Cyrl-CS"/>
        </w:rPr>
        <w:t xml:space="preserve"> </w:t>
      </w:r>
      <w:r w:rsidR="00722C79">
        <w:rPr>
          <w:rFonts w:ascii="Times New Roman" w:hAnsi="Times New Roman"/>
          <w:sz w:val="24"/>
          <w:szCs w:val="24"/>
          <w:lang w:val="sr-Cyrl-CS"/>
        </w:rPr>
        <w:t>дозвола</w:t>
      </w:r>
      <w:r w:rsidR="00CF06AC" w:rsidRPr="00CF06AC">
        <w:rPr>
          <w:rFonts w:ascii="Times New Roman" w:hAnsi="Times New Roman"/>
          <w:sz w:val="24"/>
          <w:szCs w:val="24"/>
          <w:lang w:val="sr-Cyrl-CS"/>
        </w:rPr>
        <w:t xml:space="preserve">, </w:t>
      </w:r>
      <w:r w:rsidR="00722C79">
        <w:rPr>
          <w:rFonts w:ascii="Times New Roman" w:hAnsi="Times New Roman"/>
          <w:sz w:val="24"/>
          <w:szCs w:val="24"/>
          <w:lang w:val="sr-Cyrl-CS"/>
        </w:rPr>
        <w:t>добијања</w:t>
      </w:r>
      <w:r w:rsidR="00CF06AC" w:rsidRPr="00CF06AC">
        <w:rPr>
          <w:rFonts w:ascii="Times New Roman" w:hAnsi="Times New Roman"/>
          <w:sz w:val="24"/>
          <w:szCs w:val="24"/>
          <w:lang w:val="sr-Cyrl-CS"/>
        </w:rPr>
        <w:t xml:space="preserve"> </w:t>
      </w:r>
      <w:r w:rsidR="00722C79">
        <w:rPr>
          <w:rFonts w:ascii="Times New Roman" w:hAnsi="Times New Roman"/>
          <w:sz w:val="24"/>
          <w:szCs w:val="24"/>
          <w:lang w:val="sr-Cyrl-CS"/>
        </w:rPr>
        <w:t>уговора</w:t>
      </w:r>
      <w:r w:rsidR="00CF06AC" w:rsidRPr="00CF06AC">
        <w:rPr>
          <w:rFonts w:ascii="Times New Roman" w:hAnsi="Times New Roman"/>
          <w:sz w:val="24"/>
          <w:szCs w:val="24"/>
          <w:lang w:val="sr-Cyrl-CS"/>
        </w:rPr>
        <w:t xml:space="preserve"> </w:t>
      </w:r>
      <w:r w:rsidR="00722C79">
        <w:rPr>
          <w:rFonts w:ascii="Times New Roman" w:hAnsi="Times New Roman"/>
          <w:sz w:val="24"/>
          <w:szCs w:val="24"/>
          <w:lang w:val="sr-Cyrl-CS"/>
        </w:rPr>
        <w:t>са</w:t>
      </w:r>
      <w:r w:rsidR="00CF06AC" w:rsidRPr="00CF06AC">
        <w:rPr>
          <w:rFonts w:ascii="Times New Roman" w:hAnsi="Times New Roman"/>
          <w:sz w:val="24"/>
          <w:szCs w:val="24"/>
          <w:lang w:val="sr-Cyrl-CS"/>
        </w:rPr>
        <w:t xml:space="preserve"> </w:t>
      </w:r>
      <w:r w:rsidR="00722C79">
        <w:rPr>
          <w:rFonts w:ascii="Times New Roman" w:hAnsi="Times New Roman"/>
          <w:sz w:val="24"/>
          <w:szCs w:val="24"/>
          <w:lang w:val="sr-Cyrl-CS"/>
        </w:rPr>
        <w:t xml:space="preserve">владом </w:t>
      </w:r>
      <w:r w:rsidR="00CF06AC" w:rsidRPr="00CF06AC">
        <w:rPr>
          <w:rFonts w:ascii="Times New Roman" w:hAnsi="Times New Roman"/>
          <w:sz w:val="24"/>
          <w:szCs w:val="24"/>
          <w:lang w:val="sr-Cyrl-CS"/>
        </w:rPr>
        <w:t>(</w:t>
      </w:r>
      <w:r w:rsidR="00722C79">
        <w:rPr>
          <w:rFonts w:ascii="Times New Roman" w:hAnsi="Times New Roman"/>
          <w:sz w:val="24"/>
          <w:szCs w:val="24"/>
          <w:lang w:val="sr-Cyrl-CS"/>
        </w:rPr>
        <w:t>јавне</w:t>
      </w:r>
      <w:r w:rsidR="00CF06AC" w:rsidRPr="00CF06AC">
        <w:rPr>
          <w:rFonts w:ascii="Times New Roman" w:hAnsi="Times New Roman"/>
          <w:sz w:val="24"/>
          <w:szCs w:val="24"/>
          <w:lang w:val="sr-Cyrl-CS"/>
        </w:rPr>
        <w:t xml:space="preserve"> </w:t>
      </w:r>
      <w:r w:rsidR="00722C79">
        <w:rPr>
          <w:rFonts w:ascii="Times New Roman" w:hAnsi="Times New Roman"/>
          <w:sz w:val="24"/>
          <w:szCs w:val="24"/>
          <w:lang w:val="sr-Cyrl-CS"/>
        </w:rPr>
        <w:t>набавке</w:t>
      </w:r>
      <w:r w:rsidR="00CF06AC" w:rsidRPr="00CF06AC">
        <w:rPr>
          <w:rFonts w:ascii="Times New Roman" w:hAnsi="Times New Roman"/>
          <w:sz w:val="24"/>
          <w:szCs w:val="24"/>
          <w:lang w:val="sr-Cyrl-CS"/>
        </w:rPr>
        <w:t xml:space="preserve">), </w:t>
      </w:r>
      <w:r w:rsidR="00E45F7D">
        <w:rPr>
          <w:rFonts w:ascii="Times New Roman" w:hAnsi="Times New Roman"/>
          <w:sz w:val="24"/>
          <w:szCs w:val="24"/>
          <w:lang w:val="sr-Cyrl-CS"/>
        </w:rPr>
        <w:t>царињења</w:t>
      </w:r>
      <w:r w:rsidR="00CF06AC" w:rsidRPr="00CF06AC">
        <w:rPr>
          <w:rFonts w:ascii="Times New Roman" w:hAnsi="Times New Roman"/>
          <w:sz w:val="24"/>
          <w:szCs w:val="24"/>
          <w:lang w:val="sr-Cyrl-CS"/>
        </w:rPr>
        <w:t xml:space="preserve"> </w:t>
      </w:r>
      <w:r w:rsidR="00722C79">
        <w:rPr>
          <w:rFonts w:ascii="Times New Roman" w:hAnsi="Times New Roman"/>
          <w:sz w:val="24"/>
          <w:szCs w:val="24"/>
          <w:lang w:val="sr-Cyrl-CS"/>
        </w:rPr>
        <w:t>робе</w:t>
      </w:r>
      <w:r w:rsidR="00CF06AC" w:rsidRPr="00CF06AC">
        <w:rPr>
          <w:rFonts w:ascii="Times New Roman" w:hAnsi="Times New Roman"/>
          <w:sz w:val="24"/>
          <w:szCs w:val="24"/>
          <w:lang w:val="sr-Cyrl-CS"/>
        </w:rPr>
        <w:t xml:space="preserve"> </w:t>
      </w:r>
      <w:r w:rsidR="00722C79">
        <w:rPr>
          <w:rFonts w:ascii="Times New Roman" w:hAnsi="Times New Roman"/>
          <w:sz w:val="24"/>
          <w:szCs w:val="24"/>
          <w:lang w:val="sr-Cyrl-CS"/>
        </w:rPr>
        <w:t>и</w:t>
      </w:r>
      <w:r w:rsidR="00CF06AC" w:rsidRPr="00CF06AC">
        <w:rPr>
          <w:rFonts w:ascii="Times New Roman" w:hAnsi="Times New Roman"/>
          <w:sz w:val="24"/>
          <w:szCs w:val="24"/>
          <w:lang w:val="sr-Cyrl-CS"/>
        </w:rPr>
        <w:t xml:space="preserve"> </w:t>
      </w:r>
      <w:r w:rsidR="00E45F7D">
        <w:rPr>
          <w:rFonts w:ascii="Times New Roman" w:hAnsi="Times New Roman"/>
          <w:sz w:val="24"/>
          <w:szCs w:val="24"/>
          <w:lang w:val="sr-Cyrl-CS"/>
        </w:rPr>
        <w:t>укључења</w:t>
      </w:r>
      <w:r w:rsidR="00CF06AC" w:rsidRPr="00CF06AC">
        <w:rPr>
          <w:rFonts w:ascii="Times New Roman" w:hAnsi="Times New Roman"/>
          <w:sz w:val="24"/>
          <w:szCs w:val="24"/>
          <w:lang w:val="sr-Cyrl-CS"/>
        </w:rPr>
        <w:t xml:space="preserve"> </w:t>
      </w:r>
      <w:r w:rsidR="00722C79">
        <w:rPr>
          <w:rFonts w:ascii="Times New Roman" w:hAnsi="Times New Roman"/>
          <w:sz w:val="24"/>
          <w:szCs w:val="24"/>
          <w:lang w:val="sr-Cyrl-CS"/>
        </w:rPr>
        <w:t>телефона</w:t>
      </w:r>
      <w:r w:rsidR="00CF06AC" w:rsidRPr="00CF06AC">
        <w:rPr>
          <w:rFonts w:ascii="Times New Roman" w:hAnsi="Times New Roman"/>
          <w:sz w:val="24"/>
          <w:szCs w:val="24"/>
          <w:lang w:val="sr-Cyrl-CS"/>
        </w:rPr>
        <w:t xml:space="preserve"> </w:t>
      </w:r>
      <w:r w:rsidR="00722C79">
        <w:rPr>
          <w:rFonts w:ascii="Times New Roman" w:hAnsi="Times New Roman"/>
          <w:sz w:val="24"/>
          <w:szCs w:val="24"/>
          <w:lang w:val="sr-Cyrl-CS"/>
        </w:rPr>
        <w:t>и</w:t>
      </w:r>
      <w:r w:rsidR="00CF06AC" w:rsidRPr="00CF06AC">
        <w:rPr>
          <w:rFonts w:ascii="Times New Roman" w:hAnsi="Times New Roman"/>
          <w:sz w:val="24"/>
          <w:szCs w:val="24"/>
          <w:lang w:val="sr-Cyrl-CS"/>
        </w:rPr>
        <w:t xml:space="preserve"> </w:t>
      </w:r>
      <w:r w:rsidR="00722C79">
        <w:rPr>
          <w:rFonts w:ascii="Times New Roman" w:hAnsi="Times New Roman"/>
          <w:sz w:val="24"/>
          <w:szCs w:val="24"/>
          <w:lang w:val="sr-Cyrl-CS"/>
        </w:rPr>
        <w:t>струје</w:t>
      </w:r>
      <w:r w:rsidR="00CF06AC" w:rsidRPr="00CF06AC">
        <w:rPr>
          <w:rFonts w:ascii="Times New Roman" w:hAnsi="Times New Roman"/>
          <w:sz w:val="24"/>
          <w:szCs w:val="24"/>
          <w:lang w:val="sr-Cyrl-CS"/>
        </w:rPr>
        <w:t xml:space="preserve">. </w:t>
      </w:r>
      <w:r>
        <w:rPr>
          <w:rFonts w:ascii="Times New Roman" w:hAnsi="Times New Roman"/>
          <w:sz w:val="24"/>
          <w:szCs w:val="24"/>
          <w:lang w:val="sr-Cyrl-CS"/>
        </w:rPr>
        <w:t>Са друге стране, подмићивање</w:t>
      </w:r>
      <w:r w:rsidR="00CF06AC" w:rsidRPr="00CF06AC">
        <w:rPr>
          <w:rFonts w:ascii="Times New Roman" w:hAnsi="Times New Roman"/>
          <w:sz w:val="24"/>
          <w:szCs w:val="24"/>
          <w:lang w:val="sr-Cyrl-CS"/>
        </w:rPr>
        <w:t xml:space="preserve"> </w:t>
      </w:r>
      <w:r w:rsidR="00722C79">
        <w:rPr>
          <w:rFonts w:ascii="Times New Roman" w:hAnsi="Times New Roman"/>
          <w:sz w:val="24"/>
          <w:szCs w:val="24"/>
          <w:lang w:val="sr-Cyrl-CS"/>
        </w:rPr>
        <w:t>је</w:t>
      </w:r>
      <w:r w:rsidR="00CF06AC" w:rsidRPr="00CF06AC">
        <w:rPr>
          <w:rFonts w:ascii="Times New Roman" w:hAnsi="Times New Roman"/>
          <w:sz w:val="24"/>
          <w:szCs w:val="24"/>
          <w:lang w:val="sr-Cyrl-CS"/>
        </w:rPr>
        <w:t xml:space="preserve"> </w:t>
      </w:r>
      <w:r w:rsidR="00722C79">
        <w:rPr>
          <w:rFonts w:ascii="Times New Roman" w:hAnsi="Times New Roman"/>
          <w:sz w:val="24"/>
          <w:szCs w:val="24"/>
          <w:lang w:val="sr-Cyrl-CS"/>
        </w:rPr>
        <w:t>најмање</w:t>
      </w:r>
      <w:r w:rsidR="00CF06AC" w:rsidRPr="00CF06AC">
        <w:rPr>
          <w:rFonts w:ascii="Times New Roman" w:hAnsi="Times New Roman"/>
          <w:sz w:val="24"/>
          <w:szCs w:val="24"/>
          <w:lang w:val="sr-Cyrl-CS"/>
        </w:rPr>
        <w:t xml:space="preserve"> </w:t>
      </w:r>
      <w:r>
        <w:rPr>
          <w:rFonts w:ascii="Times New Roman" w:hAnsi="Times New Roman"/>
          <w:sz w:val="24"/>
          <w:szCs w:val="24"/>
          <w:lang w:val="sr-Cyrl-CS"/>
        </w:rPr>
        <w:t>заступљено</w:t>
      </w:r>
      <w:r w:rsidR="00CF06AC" w:rsidRPr="00CF06AC">
        <w:rPr>
          <w:rFonts w:ascii="Times New Roman" w:hAnsi="Times New Roman"/>
          <w:sz w:val="24"/>
          <w:szCs w:val="24"/>
          <w:lang w:val="sr-Cyrl-CS"/>
        </w:rPr>
        <w:t xml:space="preserve">, </w:t>
      </w:r>
      <w:r w:rsidR="00722C79">
        <w:rPr>
          <w:rFonts w:ascii="Times New Roman" w:hAnsi="Times New Roman"/>
          <w:sz w:val="24"/>
          <w:szCs w:val="24"/>
          <w:lang w:val="sr-Cyrl-CS"/>
        </w:rPr>
        <w:t>али</w:t>
      </w:r>
      <w:r w:rsidR="00CF06AC" w:rsidRPr="00CF06AC">
        <w:rPr>
          <w:rFonts w:ascii="Times New Roman" w:hAnsi="Times New Roman"/>
          <w:sz w:val="24"/>
          <w:szCs w:val="24"/>
          <w:lang w:val="sr-Cyrl-CS"/>
        </w:rPr>
        <w:t xml:space="preserve"> </w:t>
      </w:r>
      <w:r w:rsidR="00722C79">
        <w:rPr>
          <w:rFonts w:ascii="Times New Roman" w:hAnsi="Times New Roman"/>
          <w:sz w:val="24"/>
          <w:szCs w:val="24"/>
          <w:lang w:val="sr-Cyrl-CS"/>
        </w:rPr>
        <w:t>и</w:t>
      </w:r>
      <w:r w:rsidR="00CF06AC" w:rsidRPr="00CF06AC">
        <w:rPr>
          <w:rFonts w:ascii="Times New Roman" w:hAnsi="Times New Roman"/>
          <w:sz w:val="24"/>
          <w:szCs w:val="24"/>
          <w:lang w:val="sr-Cyrl-CS"/>
        </w:rPr>
        <w:t xml:space="preserve"> </w:t>
      </w:r>
      <w:r w:rsidR="00722C79">
        <w:rPr>
          <w:rFonts w:ascii="Times New Roman" w:hAnsi="Times New Roman"/>
          <w:sz w:val="24"/>
          <w:szCs w:val="24"/>
          <w:lang w:val="sr-Cyrl-CS"/>
        </w:rPr>
        <w:t>даље</w:t>
      </w:r>
      <w:r w:rsidR="00CF06AC" w:rsidRPr="00CF06AC">
        <w:rPr>
          <w:rFonts w:ascii="Times New Roman" w:hAnsi="Times New Roman"/>
          <w:sz w:val="24"/>
          <w:szCs w:val="24"/>
          <w:lang w:val="sr-Cyrl-CS"/>
        </w:rPr>
        <w:t xml:space="preserve"> </w:t>
      </w:r>
      <w:r w:rsidR="00722C79">
        <w:rPr>
          <w:rFonts w:ascii="Times New Roman" w:hAnsi="Times New Roman"/>
          <w:sz w:val="24"/>
          <w:szCs w:val="24"/>
          <w:lang w:val="sr-Cyrl-CS"/>
        </w:rPr>
        <w:t>с</w:t>
      </w:r>
      <w:r>
        <w:rPr>
          <w:rFonts w:ascii="Times New Roman" w:hAnsi="Times New Roman"/>
          <w:sz w:val="24"/>
          <w:szCs w:val="24"/>
          <w:lang w:val="sr-Cyrl-CS"/>
        </w:rPr>
        <w:t>а</w:t>
      </w:r>
      <w:r w:rsidR="00CF06AC" w:rsidRPr="00CF06AC">
        <w:rPr>
          <w:rFonts w:ascii="Times New Roman" w:hAnsi="Times New Roman"/>
          <w:sz w:val="24"/>
          <w:szCs w:val="24"/>
          <w:lang w:val="sr-Cyrl-CS"/>
        </w:rPr>
        <w:t xml:space="preserve"> </w:t>
      </w:r>
      <w:r w:rsidR="00722C79">
        <w:rPr>
          <w:rFonts w:ascii="Times New Roman" w:hAnsi="Times New Roman"/>
          <w:sz w:val="24"/>
          <w:szCs w:val="24"/>
          <w:lang w:val="sr-Cyrl-CS"/>
        </w:rPr>
        <w:t>високим</w:t>
      </w:r>
      <w:r w:rsidR="00CF06AC" w:rsidRPr="00CF06AC">
        <w:rPr>
          <w:rFonts w:ascii="Times New Roman" w:hAnsi="Times New Roman"/>
          <w:sz w:val="24"/>
          <w:szCs w:val="24"/>
          <w:lang w:val="sr-Cyrl-CS"/>
        </w:rPr>
        <w:t xml:space="preserve"> </w:t>
      </w:r>
      <w:r w:rsidR="00722C79">
        <w:rPr>
          <w:rFonts w:ascii="Times New Roman" w:hAnsi="Times New Roman"/>
          <w:sz w:val="24"/>
          <w:szCs w:val="24"/>
          <w:lang w:val="sr-Cyrl-CS"/>
        </w:rPr>
        <w:t>индексом</w:t>
      </w:r>
      <w:r w:rsidR="00CF06AC" w:rsidRPr="00CF06AC">
        <w:rPr>
          <w:rFonts w:ascii="Times New Roman" w:hAnsi="Times New Roman"/>
          <w:sz w:val="24"/>
          <w:szCs w:val="24"/>
          <w:lang w:val="sr-Cyrl-CS"/>
        </w:rPr>
        <w:t xml:space="preserve">, </w:t>
      </w:r>
      <w:r w:rsidR="00722C79">
        <w:rPr>
          <w:rFonts w:ascii="Times New Roman" w:hAnsi="Times New Roman"/>
          <w:sz w:val="24"/>
          <w:szCs w:val="24"/>
          <w:lang w:val="sr-Cyrl-CS"/>
        </w:rPr>
        <w:t>код</w:t>
      </w:r>
      <w:r w:rsidR="00CF06AC" w:rsidRPr="00CF06AC">
        <w:rPr>
          <w:rFonts w:ascii="Times New Roman" w:hAnsi="Times New Roman"/>
          <w:sz w:val="24"/>
          <w:szCs w:val="24"/>
          <w:lang w:val="sr-Cyrl-CS"/>
        </w:rPr>
        <w:t xml:space="preserve"> </w:t>
      </w:r>
      <w:r w:rsidR="00722C79">
        <w:rPr>
          <w:rFonts w:ascii="Times New Roman" w:hAnsi="Times New Roman"/>
          <w:sz w:val="24"/>
          <w:szCs w:val="24"/>
          <w:lang w:val="sr-Cyrl-CS"/>
        </w:rPr>
        <w:t>пореске управе</w:t>
      </w:r>
      <w:r w:rsidR="00CF06AC" w:rsidRPr="00CF06AC">
        <w:rPr>
          <w:rFonts w:ascii="Times New Roman" w:hAnsi="Times New Roman"/>
          <w:sz w:val="24"/>
          <w:szCs w:val="24"/>
          <w:lang w:val="sr-Cyrl-CS"/>
        </w:rPr>
        <w:t xml:space="preserve"> </w:t>
      </w:r>
      <w:r w:rsidR="00722C79">
        <w:rPr>
          <w:rFonts w:ascii="Times New Roman" w:hAnsi="Times New Roman"/>
          <w:sz w:val="24"/>
          <w:szCs w:val="24"/>
          <w:lang w:val="sr-Cyrl-CS"/>
        </w:rPr>
        <w:t>при</w:t>
      </w:r>
      <w:r w:rsidR="00CF06AC" w:rsidRPr="00CF06AC">
        <w:rPr>
          <w:rFonts w:ascii="Times New Roman" w:hAnsi="Times New Roman"/>
          <w:sz w:val="24"/>
          <w:szCs w:val="24"/>
          <w:lang w:val="sr-Cyrl-CS"/>
        </w:rPr>
        <w:t xml:space="preserve"> </w:t>
      </w:r>
      <w:r w:rsidR="00722C79">
        <w:rPr>
          <w:rFonts w:ascii="Times New Roman" w:hAnsi="Times New Roman"/>
          <w:sz w:val="24"/>
          <w:szCs w:val="24"/>
          <w:lang w:val="sr-Cyrl-CS"/>
        </w:rPr>
        <w:t>регистрацији</w:t>
      </w:r>
      <w:r w:rsidR="00CF06AC" w:rsidRPr="00CF06AC">
        <w:rPr>
          <w:rFonts w:ascii="Times New Roman" w:hAnsi="Times New Roman"/>
          <w:sz w:val="24"/>
          <w:szCs w:val="24"/>
          <w:lang w:val="sr-Cyrl-CS"/>
        </w:rPr>
        <w:t xml:space="preserve"> </w:t>
      </w:r>
      <w:r w:rsidR="00722C79">
        <w:rPr>
          <w:rFonts w:ascii="Times New Roman" w:hAnsi="Times New Roman"/>
          <w:sz w:val="24"/>
          <w:szCs w:val="24"/>
          <w:lang w:val="sr-Cyrl-CS"/>
        </w:rPr>
        <w:t>предузећа</w:t>
      </w:r>
      <w:r w:rsidR="00CF06AC" w:rsidRPr="00CF06AC">
        <w:rPr>
          <w:rFonts w:ascii="Times New Roman" w:hAnsi="Times New Roman"/>
          <w:sz w:val="24"/>
          <w:szCs w:val="24"/>
          <w:lang w:val="sr-Cyrl-CS"/>
        </w:rPr>
        <w:t xml:space="preserve"> </w:t>
      </w:r>
      <w:r w:rsidR="00722C79">
        <w:rPr>
          <w:rFonts w:ascii="Times New Roman" w:hAnsi="Times New Roman"/>
          <w:sz w:val="24"/>
          <w:szCs w:val="24"/>
          <w:lang w:val="sr-Cyrl-CS"/>
        </w:rPr>
        <w:t>и</w:t>
      </w:r>
      <w:r w:rsidR="00CF06AC" w:rsidRPr="00CF06AC">
        <w:rPr>
          <w:rFonts w:ascii="Times New Roman" w:hAnsi="Times New Roman"/>
          <w:sz w:val="24"/>
          <w:szCs w:val="24"/>
          <w:lang w:val="sr-Cyrl-CS"/>
        </w:rPr>
        <w:t xml:space="preserve"> </w:t>
      </w:r>
      <w:r w:rsidR="00722C79">
        <w:rPr>
          <w:rFonts w:ascii="Times New Roman" w:hAnsi="Times New Roman"/>
          <w:sz w:val="24"/>
          <w:szCs w:val="24"/>
          <w:lang w:val="sr-Cyrl-CS"/>
        </w:rPr>
        <w:t>одобравању</w:t>
      </w:r>
      <w:r w:rsidR="00CF06AC" w:rsidRPr="00CF06AC">
        <w:rPr>
          <w:rFonts w:ascii="Times New Roman" w:hAnsi="Times New Roman"/>
          <w:sz w:val="24"/>
          <w:szCs w:val="24"/>
          <w:lang w:val="sr-Cyrl-CS"/>
        </w:rPr>
        <w:t xml:space="preserve"> </w:t>
      </w:r>
      <w:r w:rsidR="00722C79">
        <w:rPr>
          <w:rFonts w:ascii="Times New Roman" w:hAnsi="Times New Roman"/>
          <w:sz w:val="24"/>
          <w:szCs w:val="24"/>
          <w:lang w:val="sr-Cyrl-CS"/>
        </w:rPr>
        <w:t>нових</w:t>
      </w:r>
      <w:r w:rsidR="00CF06AC" w:rsidRPr="00CF06AC">
        <w:rPr>
          <w:rFonts w:ascii="Times New Roman" w:hAnsi="Times New Roman"/>
          <w:sz w:val="24"/>
          <w:szCs w:val="24"/>
          <w:lang w:val="sr-Cyrl-CS"/>
        </w:rPr>
        <w:t xml:space="preserve"> </w:t>
      </w:r>
      <w:r w:rsidR="00722C79">
        <w:rPr>
          <w:rFonts w:ascii="Times New Roman" w:hAnsi="Times New Roman"/>
          <w:sz w:val="24"/>
          <w:szCs w:val="24"/>
          <w:lang w:val="sr-Cyrl-CS"/>
        </w:rPr>
        <w:t>продајних</w:t>
      </w:r>
      <w:r w:rsidR="00CF06AC" w:rsidRPr="00CF06AC">
        <w:rPr>
          <w:rFonts w:ascii="Times New Roman" w:hAnsi="Times New Roman"/>
          <w:sz w:val="24"/>
          <w:szCs w:val="24"/>
          <w:lang w:val="sr-Cyrl-CS"/>
        </w:rPr>
        <w:t xml:space="preserve"> </w:t>
      </w:r>
      <w:r w:rsidR="00722C79">
        <w:rPr>
          <w:rFonts w:ascii="Times New Roman" w:hAnsi="Times New Roman"/>
          <w:sz w:val="24"/>
          <w:szCs w:val="24"/>
          <w:lang w:val="sr-Cyrl-CS"/>
        </w:rPr>
        <w:t>цена.</w:t>
      </w:r>
      <w:r w:rsidR="00CF06AC">
        <w:rPr>
          <w:rStyle w:val="FootnoteReference"/>
          <w:rFonts w:ascii="Times New Roman" w:hAnsi="Times New Roman"/>
          <w:sz w:val="24"/>
          <w:szCs w:val="24"/>
          <w:lang w:val="sr-Cyrl-CS"/>
        </w:rPr>
        <w:footnoteReference w:id="728"/>
      </w:r>
    </w:p>
    <w:p w:rsidR="00301A7F" w:rsidRDefault="00A835E6" w:rsidP="006F1544">
      <w:pPr>
        <w:ind w:firstLine="630"/>
        <w:jc w:val="both"/>
        <w:rPr>
          <w:rFonts w:ascii="Times New Roman" w:hAnsi="Times New Roman"/>
          <w:sz w:val="24"/>
          <w:szCs w:val="24"/>
          <w:lang w:val="sr-Cyrl-CS"/>
        </w:rPr>
      </w:pPr>
      <w:r>
        <w:rPr>
          <w:rFonts w:ascii="Times New Roman" w:hAnsi="Times New Roman"/>
          <w:sz w:val="24"/>
          <w:szCs w:val="24"/>
          <w:lang w:val="sr-Cyrl-CS"/>
        </w:rPr>
        <w:t>Корупција власти утиче на избор пројеката и извођача у грађевинарству. Тада се губе прави критеријуми  који се огледају у квалитету и стварној економској оправданости. Привредни субјекат који жели да добије одређени</w:t>
      </w:r>
      <w:r w:rsidR="008C541A">
        <w:rPr>
          <w:rFonts w:ascii="Times New Roman" w:hAnsi="Times New Roman"/>
          <w:sz w:val="24"/>
          <w:szCs w:val="24"/>
          <w:lang w:val="sr-Cyrl-CS"/>
        </w:rPr>
        <w:t xml:space="preserve"> посао од државе мора </w:t>
      </w:r>
      <w:r>
        <w:rPr>
          <w:rFonts w:ascii="Times New Roman" w:hAnsi="Times New Roman"/>
          <w:sz w:val="24"/>
          <w:szCs w:val="24"/>
          <w:lang w:val="sr-Cyrl-CS"/>
        </w:rPr>
        <w:t xml:space="preserve"> за то и д</w:t>
      </w:r>
      <w:r w:rsidR="008C541A">
        <w:rPr>
          <w:rFonts w:ascii="Times New Roman" w:hAnsi="Times New Roman"/>
          <w:sz w:val="24"/>
          <w:szCs w:val="24"/>
          <w:lang w:val="sr-Cyrl-CS"/>
        </w:rPr>
        <w:t>а плати. То такође отвара</w:t>
      </w:r>
      <w:r>
        <w:rPr>
          <w:rFonts w:ascii="Times New Roman" w:hAnsi="Times New Roman"/>
          <w:sz w:val="24"/>
          <w:szCs w:val="24"/>
          <w:lang w:val="sr-Cyrl-CS"/>
        </w:rPr>
        <w:t xml:space="preserve"> простор за злоупотребе на тендерима где су велике могућности манипулације. Тргује се свим значајним информацијама почев од вредности просечне понуде па до прилагођавања критеријума одређеном понуђачу. Такође се може постићи договор да се понуди ниска цена, како би се победило на тендеру, а које цене не одговар</w:t>
      </w:r>
      <w:r w:rsidR="006F1544">
        <w:rPr>
          <w:rFonts w:ascii="Times New Roman" w:hAnsi="Times New Roman"/>
          <w:sz w:val="24"/>
          <w:szCs w:val="24"/>
          <w:lang w:val="sr-Cyrl-CS"/>
        </w:rPr>
        <w:t>а</w:t>
      </w:r>
      <w:r>
        <w:rPr>
          <w:rFonts w:ascii="Times New Roman" w:hAnsi="Times New Roman"/>
          <w:sz w:val="24"/>
          <w:szCs w:val="24"/>
          <w:lang w:val="sr-Cyrl-CS"/>
        </w:rPr>
        <w:t>ју реалним условима. Потом се кроз повећане трошкове или кроз с</w:t>
      </w:r>
      <w:r w:rsidR="008C541A">
        <w:rPr>
          <w:rFonts w:ascii="Times New Roman" w:hAnsi="Times New Roman"/>
          <w:sz w:val="24"/>
          <w:szCs w:val="24"/>
          <w:lang w:val="sr-Cyrl-CS"/>
        </w:rPr>
        <w:t>н</w:t>
      </w:r>
      <w:r>
        <w:rPr>
          <w:rFonts w:ascii="Times New Roman" w:hAnsi="Times New Roman"/>
          <w:sz w:val="24"/>
          <w:szCs w:val="24"/>
          <w:lang w:val="sr-Cyrl-CS"/>
        </w:rPr>
        <w:t xml:space="preserve">ижавања квалитета извршених радова ова разлика надокнађује. </w:t>
      </w:r>
      <w:r w:rsidR="00301A7F">
        <w:rPr>
          <w:rFonts w:ascii="Times New Roman" w:hAnsi="Times New Roman"/>
          <w:sz w:val="24"/>
          <w:szCs w:val="24"/>
          <w:lang w:val="sr-Cyrl-CS"/>
        </w:rPr>
        <w:t xml:space="preserve">Без икакве економске оправданости врше се улагања у нове инвестиције, посебно у оне које </w:t>
      </w:r>
      <w:r w:rsidR="006F1544">
        <w:rPr>
          <w:rFonts w:ascii="Times New Roman" w:hAnsi="Times New Roman"/>
          <w:sz w:val="24"/>
          <w:szCs w:val="24"/>
          <w:lang w:val="sr-Cyrl-CS"/>
        </w:rPr>
        <w:t xml:space="preserve">доприносе политичкој промоцији, </w:t>
      </w:r>
      <w:r w:rsidR="00301A7F">
        <w:rPr>
          <w:rFonts w:ascii="Times New Roman" w:hAnsi="Times New Roman"/>
          <w:sz w:val="24"/>
          <w:szCs w:val="24"/>
          <w:lang w:val="sr-Cyrl-CS"/>
        </w:rPr>
        <w:t>док се мала средства улажу у одржавање и обнављање постојеће</w:t>
      </w:r>
      <w:r w:rsidR="006F1544">
        <w:rPr>
          <w:rFonts w:ascii="Times New Roman" w:hAnsi="Times New Roman"/>
          <w:sz w:val="24"/>
          <w:szCs w:val="24"/>
          <w:lang w:val="sr-Cyrl-CS"/>
        </w:rPr>
        <w:t xml:space="preserve"> инфраструкутуре.</w:t>
      </w:r>
      <w:r w:rsidR="00301A7F">
        <w:rPr>
          <w:rFonts w:ascii="Times New Roman" w:hAnsi="Times New Roman"/>
          <w:sz w:val="24"/>
          <w:szCs w:val="24"/>
          <w:lang w:val="sr-Cyrl-CS"/>
        </w:rPr>
        <w:t xml:space="preserve"> </w:t>
      </w:r>
    </w:p>
    <w:p w:rsidR="00301A7F" w:rsidRDefault="00A835E6" w:rsidP="00CF06AC">
      <w:pPr>
        <w:ind w:firstLine="630"/>
        <w:jc w:val="both"/>
        <w:rPr>
          <w:rFonts w:ascii="Times New Roman" w:hAnsi="Times New Roman"/>
          <w:sz w:val="24"/>
          <w:szCs w:val="24"/>
          <w:lang w:val="sr-Cyrl-CS"/>
        </w:rPr>
      </w:pPr>
      <w:r>
        <w:rPr>
          <w:rFonts w:ascii="Times New Roman" w:hAnsi="Times New Roman"/>
          <w:sz w:val="24"/>
          <w:szCs w:val="24"/>
          <w:lang w:val="sr-Cyrl-CS"/>
        </w:rPr>
        <w:t xml:space="preserve">У пракси се често дешава у нашим условима да се код вредних и великих инвестиција појављују као учесници на тендеру предузећа која су основана непосредно пре објављивања огласа </w:t>
      </w:r>
      <w:r w:rsidR="008A5687">
        <w:rPr>
          <w:rFonts w:ascii="Times New Roman" w:hAnsi="Times New Roman"/>
          <w:sz w:val="24"/>
          <w:szCs w:val="24"/>
          <w:lang w:val="sr-Cyrl-CS"/>
        </w:rPr>
        <w:t>за прикупљање понуда у поступку јавних набавки, са једним или неколико запослених, без значајније имовине и средстава, као и без техничких услова за из</w:t>
      </w:r>
      <w:r w:rsidR="00301A7F">
        <w:rPr>
          <w:rFonts w:ascii="Times New Roman" w:hAnsi="Times New Roman"/>
          <w:sz w:val="24"/>
          <w:szCs w:val="24"/>
          <w:lang w:val="sr-Cyrl-CS"/>
        </w:rPr>
        <w:t>в</w:t>
      </w:r>
      <w:r w:rsidR="008A5687">
        <w:rPr>
          <w:rFonts w:ascii="Times New Roman" w:hAnsi="Times New Roman"/>
          <w:sz w:val="24"/>
          <w:szCs w:val="24"/>
          <w:lang w:val="sr-Cyrl-CS"/>
        </w:rPr>
        <w:t xml:space="preserve">ођење предметног пријекта, а да при том све обавезе које проистичу из </w:t>
      </w:r>
      <w:r w:rsidR="008A5687">
        <w:rPr>
          <w:rFonts w:ascii="Times New Roman" w:hAnsi="Times New Roman"/>
          <w:sz w:val="24"/>
          <w:szCs w:val="24"/>
          <w:lang w:val="sr-Cyrl-CS"/>
        </w:rPr>
        <w:lastRenderedPageBreak/>
        <w:t xml:space="preserve">уговора о јавној набавци плаћа друго предузеће, што се у њиховим међусобним односима покрива кроз разне пословне уговоре о зајму и слично. Потом се врши продаја по високим </w:t>
      </w:r>
      <w:r w:rsidR="002302E6">
        <w:rPr>
          <w:rFonts w:ascii="Times New Roman" w:hAnsi="Times New Roman"/>
          <w:sz w:val="24"/>
          <w:szCs w:val="24"/>
          <w:lang w:val="sr-Cyrl-CS"/>
        </w:rPr>
        <w:t xml:space="preserve">ценама овако стечених права, као што је право закупа на грађевинском земљишту. </w:t>
      </w:r>
    </w:p>
    <w:p w:rsidR="0081256D" w:rsidRDefault="002302E6" w:rsidP="00CF06AC">
      <w:pPr>
        <w:ind w:firstLine="630"/>
        <w:jc w:val="both"/>
        <w:rPr>
          <w:rFonts w:ascii="Times New Roman" w:hAnsi="Times New Roman"/>
          <w:sz w:val="24"/>
          <w:szCs w:val="24"/>
          <w:lang w:val="sr-Cyrl-CS"/>
        </w:rPr>
      </w:pPr>
      <w:r>
        <w:rPr>
          <w:rFonts w:ascii="Times New Roman" w:hAnsi="Times New Roman"/>
          <w:sz w:val="24"/>
          <w:szCs w:val="24"/>
          <w:lang w:val="sr-Cyrl-CS"/>
        </w:rPr>
        <w:t xml:space="preserve">Велики недостатак наше правне регулативе јесте што не постоји никаква обавеза </w:t>
      </w:r>
      <w:r w:rsidR="00301A7F">
        <w:rPr>
          <w:rFonts w:ascii="Times New Roman" w:hAnsi="Times New Roman"/>
          <w:sz w:val="24"/>
          <w:szCs w:val="24"/>
          <w:lang w:val="sr-Cyrl-CS"/>
        </w:rPr>
        <w:t xml:space="preserve">претходне контроле учесника на тенедеру у погледу испуњености услова за извођење одређене инвестиције чија се вредност често мери у стотиманама милиона динара, па се тако потпуно легално могу појавити и добити тендер тек основане фирме, које су вероватно и основане за ту намену, без икакве техничке опремљености и са једним запосленим, а потом остварити кроз продају права вишемилонске профите. </w:t>
      </w:r>
    </w:p>
    <w:p w:rsidR="00F064C1" w:rsidRDefault="00F064C1" w:rsidP="00CF06AC">
      <w:pPr>
        <w:ind w:firstLine="630"/>
        <w:jc w:val="both"/>
        <w:rPr>
          <w:rFonts w:ascii="Times New Roman" w:hAnsi="Times New Roman"/>
          <w:sz w:val="24"/>
          <w:szCs w:val="24"/>
          <w:lang w:val="sr-Cyrl-CS"/>
        </w:rPr>
      </w:pPr>
      <w:r>
        <w:rPr>
          <w:rFonts w:ascii="Times New Roman" w:hAnsi="Times New Roman"/>
          <w:sz w:val="24"/>
          <w:szCs w:val="24"/>
          <w:lang w:val="sr-Cyrl-CS"/>
        </w:rPr>
        <w:t xml:space="preserve">Често се корупција у овој области врши </w:t>
      </w:r>
      <w:r w:rsidR="00601DDE">
        <w:rPr>
          <w:rFonts w:ascii="Times New Roman" w:hAnsi="Times New Roman"/>
          <w:sz w:val="24"/>
          <w:szCs w:val="24"/>
          <w:lang w:val="sr-Cyrl-CS"/>
        </w:rPr>
        <w:t xml:space="preserve">и </w:t>
      </w:r>
      <w:r>
        <w:rPr>
          <w:rFonts w:ascii="Times New Roman" w:hAnsi="Times New Roman"/>
          <w:sz w:val="24"/>
          <w:szCs w:val="24"/>
          <w:lang w:val="sr-Cyrl-CS"/>
        </w:rPr>
        <w:t>кроз накнадно уговарање додатних радова и закључивање анекса уговора, преко лажног приказивања чињеница у привременим и окончаним ситуацијама и фалсификованим фактурама, где се увећава вредност радо</w:t>
      </w:r>
      <w:r w:rsidR="00601DDE">
        <w:rPr>
          <w:rFonts w:ascii="Times New Roman" w:hAnsi="Times New Roman"/>
          <w:sz w:val="24"/>
          <w:szCs w:val="24"/>
          <w:lang w:val="sr-Cyrl-CS"/>
        </w:rPr>
        <w:t>ва, утрошеног материла, количине</w:t>
      </w:r>
      <w:r>
        <w:rPr>
          <w:rFonts w:ascii="Times New Roman" w:hAnsi="Times New Roman"/>
          <w:sz w:val="24"/>
          <w:szCs w:val="24"/>
          <w:lang w:val="sr-Cyrl-CS"/>
        </w:rPr>
        <w:t xml:space="preserve"> и вредност</w:t>
      </w:r>
      <w:r w:rsidR="00601DDE">
        <w:rPr>
          <w:rFonts w:ascii="Times New Roman" w:hAnsi="Times New Roman"/>
          <w:sz w:val="24"/>
          <w:szCs w:val="24"/>
          <w:lang w:val="sr-Cyrl-CS"/>
        </w:rPr>
        <w:t>и робе</w:t>
      </w:r>
      <w:r>
        <w:rPr>
          <w:rFonts w:ascii="Times New Roman" w:hAnsi="Times New Roman"/>
          <w:sz w:val="24"/>
          <w:szCs w:val="24"/>
          <w:lang w:val="sr-Cyrl-CS"/>
        </w:rPr>
        <w:t>. Посебно се злоупотребе врше преко радова чији се обим тешко може утврдити и изразити кроз неку мерну јединицу, као што је рашчишћавање терена, припрема терена за изградњу, најам контејнера за раднике и слично.</w:t>
      </w:r>
    </w:p>
    <w:p w:rsidR="00BC7798" w:rsidRDefault="00BC7798" w:rsidP="00CF06AC">
      <w:pPr>
        <w:ind w:firstLine="630"/>
        <w:jc w:val="both"/>
        <w:rPr>
          <w:rFonts w:ascii="Times New Roman" w:hAnsi="Times New Roman"/>
          <w:sz w:val="24"/>
          <w:szCs w:val="24"/>
          <w:lang w:val="sr-Cyrl-CS"/>
        </w:rPr>
      </w:pPr>
      <w:r>
        <w:rPr>
          <w:rFonts w:ascii="Times New Roman" w:hAnsi="Times New Roman"/>
          <w:sz w:val="24"/>
          <w:szCs w:val="24"/>
          <w:lang w:val="sr-Cyrl-CS"/>
        </w:rPr>
        <w:t xml:space="preserve">Готов новац који потиче из неке нелегалне </w:t>
      </w:r>
      <w:r w:rsidR="00811B1B">
        <w:rPr>
          <w:rFonts w:ascii="Times New Roman" w:hAnsi="Times New Roman"/>
          <w:sz w:val="24"/>
          <w:szCs w:val="24"/>
          <w:lang w:val="sr-Cyrl-CS"/>
        </w:rPr>
        <w:t>делатност</w:t>
      </w:r>
      <w:r>
        <w:rPr>
          <w:rFonts w:ascii="Times New Roman" w:hAnsi="Times New Roman"/>
          <w:sz w:val="24"/>
          <w:szCs w:val="24"/>
          <w:lang w:val="sr-Cyrl-CS"/>
        </w:rPr>
        <w:t>и се не</w:t>
      </w:r>
      <w:r w:rsidR="00EB2BAF">
        <w:rPr>
          <w:rFonts w:ascii="Times New Roman" w:hAnsi="Times New Roman"/>
          <w:sz w:val="24"/>
          <w:szCs w:val="24"/>
          <w:lang w:val="sr-Cyrl-CS"/>
        </w:rPr>
        <w:t xml:space="preserve"> </w:t>
      </w:r>
      <w:r>
        <w:rPr>
          <w:rFonts w:ascii="Times New Roman" w:hAnsi="Times New Roman"/>
          <w:sz w:val="24"/>
          <w:szCs w:val="24"/>
          <w:lang w:val="sr-Cyrl-CS"/>
        </w:rPr>
        <w:t>евидентира као улаз готовине већ се</w:t>
      </w:r>
      <w:r w:rsidR="00EB2BAF">
        <w:rPr>
          <w:rFonts w:ascii="Times New Roman" w:hAnsi="Times New Roman"/>
          <w:sz w:val="24"/>
          <w:szCs w:val="24"/>
          <w:lang w:val="sr-Cyrl-CS"/>
        </w:rPr>
        <w:t>,</w:t>
      </w:r>
      <w:r>
        <w:rPr>
          <w:rFonts w:ascii="Times New Roman" w:hAnsi="Times New Roman"/>
          <w:sz w:val="24"/>
          <w:szCs w:val="24"/>
          <w:lang w:val="sr-Cyrl-CS"/>
        </w:rPr>
        <w:t xml:space="preserve"> </w:t>
      </w:r>
      <w:r w:rsidR="00811B1B">
        <w:rPr>
          <w:rFonts w:ascii="Times New Roman" w:hAnsi="Times New Roman"/>
          <w:sz w:val="24"/>
          <w:szCs w:val="24"/>
          <w:lang w:val="sr-Cyrl-CS"/>
        </w:rPr>
        <w:t>приликом набавки репроматеријала који служи за производњу</w:t>
      </w:r>
      <w:r w:rsidR="00EB2BAF">
        <w:rPr>
          <w:rFonts w:ascii="Times New Roman" w:hAnsi="Times New Roman"/>
          <w:sz w:val="24"/>
          <w:szCs w:val="24"/>
          <w:lang w:val="sr-Cyrl-CS"/>
        </w:rPr>
        <w:t>,</w:t>
      </w:r>
      <w:r w:rsidR="00811B1B">
        <w:rPr>
          <w:rFonts w:ascii="Times New Roman" w:hAnsi="Times New Roman"/>
          <w:sz w:val="24"/>
          <w:szCs w:val="24"/>
          <w:lang w:val="sr-Cyrl-CS"/>
        </w:rPr>
        <w:t xml:space="preserve"> </w:t>
      </w:r>
      <w:r>
        <w:rPr>
          <w:rFonts w:ascii="Times New Roman" w:hAnsi="Times New Roman"/>
          <w:sz w:val="24"/>
          <w:szCs w:val="24"/>
          <w:lang w:val="sr-Cyrl-CS"/>
        </w:rPr>
        <w:t>меша са легалним средствима и овај начин мешања средстава је посебно заступљен у грађ</w:t>
      </w:r>
      <w:r w:rsidR="00EB2BAF">
        <w:rPr>
          <w:rFonts w:ascii="Times New Roman" w:hAnsi="Times New Roman"/>
          <w:sz w:val="24"/>
          <w:szCs w:val="24"/>
          <w:lang w:val="sr-Cyrl-CS"/>
        </w:rPr>
        <w:t>евинарству, када се један део услу</w:t>
      </w:r>
      <w:r>
        <w:rPr>
          <w:rFonts w:ascii="Times New Roman" w:hAnsi="Times New Roman"/>
          <w:sz w:val="24"/>
          <w:szCs w:val="24"/>
          <w:lang w:val="sr-Cyrl-CS"/>
        </w:rPr>
        <w:t xml:space="preserve">га плаћа готовином која је стечена </w:t>
      </w:r>
      <w:r w:rsidR="00EB2BAF">
        <w:rPr>
          <w:rFonts w:ascii="Times New Roman" w:hAnsi="Times New Roman"/>
          <w:sz w:val="24"/>
          <w:szCs w:val="24"/>
          <w:lang w:val="sr-Cyrl-CS"/>
        </w:rPr>
        <w:t>незаконито</w:t>
      </w:r>
      <w:r>
        <w:rPr>
          <w:rFonts w:ascii="Times New Roman" w:hAnsi="Times New Roman"/>
          <w:sz w:val="24"/>
          <w:szCs w:val="24"/>
          <w:lang w:val="sr-Cyrl-CS"/>
        </w:rPr>
        <w:t>.</w:t>
      </w:r>
      <w:r>
        <w:rPr>
          <w:rStyle w:val="FootnoteReference"/>
          <w:rFonts w:ascii="Times New Roman" w:hAnsi="Times New Roman"/>
          <w:sz w:val="24"/>
          <w:szCs w:val="24"/>
          <w:lang w:val="sr-Cyrl-CS"/>
        </w:rPr>
        <w:footnoteReference w:id="729"/>
      </w:r>
      <w:r w:rsidR="00811B1B">
        <w:rPr>
          <w:rFonts w:ascii="Times New Roman" w:hAnsi="Times New Roman"/>
          <w:sz w:val="24"/>
          <w:szCs w:val="24"/>
          <w:lang w:val="sr-Cyrl-CS"/>
        </w:rPr>
        <w:t xml:space="preserve">  </w:t>
      </w:r>
    </w:p>
    <w:p w:rsidR="00D923BF" w:rsidRDefault="009C76B2" w:rsidP="00CF06AC">
      <w:pPr>
        <w:ind w:firstLine="630"/>
        <w:jc w:val="both"/>
        <w:rPr>
          <w:rFonts w:ascii="Times New Roman" w:hAnsi="Times New Roman"/>
          <w:sz w:val="24"/>
          <w:szCs w:val="24"/>
          <w:lang w:val="sr-Cyrl-CS"/>
        </w:rPr>
      </w:pPr>
      <w:r>
        <w:rPr>
          <w:rFonts w:ascii="Times New Roman" w:hAnsi="Times New Roman"/>
          <w:sz w:val="24"/>
          <w:szCs w:val="24"/>
          <w:lang w:val="sr-Cyrl-CS"/>
        </w:rPr>
        <w:t xml:space="preserve">Корупција и привредни криминал у грађевинарству су повезани на разне начине  са банкарским сектором, при чему се често користе </w:t>
      </w:r>
      <w:r>
        <w:rPr>
          <w:rFonts w:ascii="Times New Roman" w:hAnsi="Times New Roman"/>
          <w:sz w:val="24"/>
          <w:szCs w:val="24"/>
        </w:rPr>
        <w:t>off-shore компаније, новооснована предузећа</w:t>
      </w:r>
      <w:r>
        <w:rPr>
          <w:rFonts w:ascii="Times New Roman" w:hAnsi="Times New Roman"/>
          <w:sz w:val="24"/>
          <w:szCs w:val="24"/>
          <w:lang w:val="sr-Cyrl-CS"/>
        </w:rPr>
        <w:t>, као и хипотекарни кредити.</w:t>
      </w:r>
      <w:r w:rsidR="00D923BF">
        <w:rPr>
          <w:rFonts w:ascii="Times New Roman" w:hAnsi="Times New Roman"/>
          <w:sz w:val="24"/>
          <w:szCs w:val="24"/>
          <w:lang w:val="sr-Cyrl-CS"/>
        </w:rPr>
        <w:t xml:space="preserve"> Наведено се може објаснити на следећем </w:t>
      </w:r>
      <w:r w:rsidR="00A24762">
        <w:rPr>
          <w:rFonts w:ascii="Times New Roman" w:hAnsi="Times New Roman"/>
          <w:sz w:val="24"/>
          <w:szCs w:val="24"/>
          <w:lang w:val="sr-Cyrl-CS"/>
        </w:rPr>
        <w:t xml:space="preserve">занимљивом </w:t>
      </w:r>
      <w:r w:rsidR="00D923BF">
        <w:rPr>
          <w:rFonts w:ascii="Times New Roman" w:hAnsi="Times New Roman"/>
          <w:sz w:val="24"/>
          <w:szCs w:val="24"/>
          <w:lang w:val="sr-Cyrl-CS"/>
        </w:rPr>
        <w:t>примеру</w:t>
      </w:r>
      <w:r w:rsidR="00D923BF">
        <w:rPr>
          <w:rStyle w:val="FootnoteReference"/>
          <w:rFonts w:ascii="Times New Roman" w:hAnsi="Times New Roman"/>
          <w:sz w:val="24"/>
          <w:szCs w:val="24"/>
          <w:lang w:val="sr-Cyrl-CS"/>
        </w:rPr>
        <w:footnoteReference w:id="730"/>
      </w:r>
      <w:r w:rsidR="00A24762">
        <w:rPr>
          <w:rFonts w:ascii="Times New Roman" w:hAnsi="Times New Roman"/>
          <w:sz w:val="24"/>
          <w:szCs w:val="24"/>
          <w:lang w:val="sr-Cyrl-CS"/>
        </w:rPr>
        <w:t xml:space="preserve"> који указује на сложеност и велике могућности које грађевински сектор пружа за вршење оваквих злоупотреба.</w:t>
      </w:r>
      <w:r w:rsidR="00EB2BAF">
        <w:rPr>
          <w:rFonts w:ascii="Times New Roman" w:hAnsi="Times New Roman"/>
          <w:sz w:val="24"/>
          <w:szCs w:val="24"/>
          <w:lang w:val="sr-Cyrl-CS"/>
        </w:rPr>
        <w:t xml:space="preserve"> Особа </w:t>
      </w:r>
      <w:r w:rsidR="00EB2BAF">
        <w:rPr>
          <w:rFonts w:ascii="Times New Roman" w:hAnsi="Times New Roman"/>
          <w:sz w:val="24"/>
          <w:szCs w:val="24"/>
        </w:rPr>
        <w:t>A</w:t>
      </w:r>
      <w:r w:rsidR="00D923BF">
        <w:rPr>
          <w:rFonts w:ascii="Times New Roman" w:hAnsi="Times New Roman"/>
          <w:sz w:val="24"/>
          <w:szCs w:val="24"/>
          <w:lang w:val="sr-Cyrl-CS"/>
        </w:rPr>
        <w:t xml:space="preserve"> је нелегално стечена средства уплаћивао на рачун својих off-shore компанија на Британским девичанским острвима и Сејшелима, које су основа</w:t>
      </w:r>
      <w:r w:rsidR="00601DDE">
        <w:rPr>
          <w:rFonts w:ascii="Times New Roman" w:hAnsi="Times New Roman"/>
          <w:sz w:val="24"/>
          <w:szCs w:val="24"/>
          <w:lang w:val="sr-Cyrl-CS"/>
        </w:rPr>
        <w:t>л</w:t>
      </w:r>
      <w:r w:rsidR="00D923BF">
        <w:rPr>
          <w:rFonts w:ascii="Times New Roman" w:hAnsi="Times New Roman"/>
          <w:sz w:val="24"/>
          <w:szCs w:val="24"/>
          <w:lang w:val="sr-Cyrl-CS"/>
        </w:rPr>
        <w:t>е фирму у Лихтенштајну. Све три компаније су отвориле инв</w:t>
      </w:r>
      <w:r w:rsidR="00EB2BAF">
        <w:rPr>
          <w:rFonts w:ascii="Times New Roman" w:hAnsi="Times New Roman"/>
          <w:sz w:val="24"/>
          <w:szCs w:val="24"/>
          <w:lang w:val="sr-Cyrl-CS"/>
        </w:rPr>
        <w:t xml:space="preserve">естиционе рачуне код ино банке </w:t>
      </w:r>
      <w:r w:rsidR="00EB2BAF">
        <w:rPr>
          <w:rFonts w:ascii="Times New Roman" w:hAnsi="Times New Roman"/>
          <w:sz w:val="24"/>
          <w:szCs w:val="24"/>
        </w:rPr>
        <w:t>B</w:t>
      </w:r>
      <w:r w:rsidR="00EB2BAF">
        <w:rPr>
          <w:rFonts w:ascii="Times New Roman" w:hAnsi="Times New Roman"/>
          <w:sz w:val="24"/>
          <w:szCs w:val="24"/>
          <w:lang w:val="sr-Cyrl-CS"/>
        </w:rPr>
        <w:t xml:space="preserve">. Ино банка </w:t>
      </w:r>
      <w:r w:rsidR="00EB2BAF">
        <w:rPr>
          <w:rFonts w:ascii="Times New Roman" w:hAnsi="Times New Roman"/>
          <w:sz w:val="24"/>
          <w:szCs w:val="24"/>
        </w:rPr>
        <w:t>B</w:t>
      </w:r>
      <w:r w:rsidR="00D923BF">
        <w:rPr>
          <w:rFonts w:ascii="Times New Roman" w:hAnsi="Times New Roman"/>
          <w:sz w:val="24"/>
          <w:szCs w:val="24"/>
          <w:lang w:val="sr-Cyrl-CS"/>
        </w:rPr>
        <w:t xml:space="preserve"> је средства са инвестиционих рачуна клијента искористила, у складу са проценом исплативности, за пројектно финансирање пословно стамбеног објекта у Новом Саду. За обезбеђење отплате кредита уговором је предвиђена хипотека над објектом у изградњи. Корисник</w:t>
      </w:r>
      <w:r w:rsidR="00EB2BAF">
        <w:rPr>
          <w:rFonts w:ascii="Times New Roman" w:hAnsi="Times New Roman"/>
          <w:sz w:val="24"/>
          <w:szCs w:val="24"/>
          <w:lang w:val="sr-Cyrl-CS"/>
        </w:rPr>
        <w:t xml:space="preserve"> кредита-инвеститор је грађевина</w:t>
      </w:r>
      <w:r w:rsidR="00D923BF">
        <w:rPr>
          <w:rFonts w:ascii="Times New Roman" w:hAnsi="Times New Roman"/>
          <w:sz w:val="24"/>
          <w:szCs w:val="24"/>
          <w:lang w:val="sr-Cyrl-CS"/>
        </w:rPr>
        <w:t>ка фирма</w:t>
      </w:r>
      <w:r w:rsidR="00D923BF" w:rsidRPr="00D923BF">
        <w:rPr>
          <w:rFonts w:ascii="Times New Roman" w:hAnsi="Times New Roman"/>
          <w:sz w:val="24"/>
          <w:szCs w:val="24"/>
          <w:lang w:val="sr-Cyrl-CS"/>
        </w:rPr>
        <w:t xml:space="preserve"> </w:t>
      </w:r>
      <w:r w:rsidR="00EB2BAF">
        <w:rPr>
          <w:rFonts w:ascii="Times New Roman" w:hAnsi="Times New Roman"/>
          <w:sz w:val="24"/>
          <w:szCs w:val="24"/>
        </w:rPr>
        <w:t>C</w:t>
      </w:r>
      <w:r w:rsidR="00601DDE">
        <w:rPr>
          <w:rFonts w:ascii="Times New Roman" w:hAnsi="Times New Roman"/>
          <w:sz w:val="24"/>
          <w:szCs w:val="24"/>
          <w:lang w:val="sr-Cyrl-CS"/>
        </w:rPr>
        <w:t xml:space="preserve"> у власн</w:t>
      </w:r>
      <w:r w:rsidR="00D923BF">
        <w:rPr>
          <w:rFonts w:ascii="Times New Roman" w:hAnsi="Times New Roman"/>
          <w:sz w:val="24"/>
          <w:szCs w:val="24"/>
          <w:lang w:val="sr-Cyrl-CS"/>
        </w:rPr>
        <w:t xml:space="preserve">иштву особе </w:t>
      </w:r>
      <w:r w:rsidR="00EB2BAF">
        <w:rPr>
          <w:rFonts w:ascii="Times New Roman" w:hAnsi="Times New Roman"/>
          <w:sz w:val="24"/>
          <w:szCs w:val="24"/>
        </w:rPr>
        <w:t>Y</w:t>
      </w:r>
      <w:r w:rsidR="00D923BF">
        <w:rPr>
          <w:rFonts w:ascii="Times New Roman" w:hAnsi="Times New Roman"/>
          <w:sz w:val="24"/>
          <w:szCs w:val="24"/>
          <w:lang w:val="sr-Cyrl-CS"/>
        </w:rPr>
        <w:t xml:space="preserve"> која је, да би добила</w:t>
      </w:r>
      <w:r w:rsidR="00EB2BAF">
        <w:rPr>
          <w:rFonts w:ascii="Times New Roman" w:hAnsi="Times New Roman"/>
          <w:sz w:val="24"/>
          <w:szCs w:val="24"/>
          <w:lang w:val="sr-Cyrl-CS"/>
        </w:rPr>
        <w:t xml:space="preserve"> кредит, основала нову фирму </w:t>
      </w:r>
      <w:r w:rsidR="00EB2BAF">
        <w:rPr>
          <w:rFonts w:ascii="Times New Roman" w:hAnsi="Times New Roman"/>
          <w:sz w:val="24"/>
          <w:szCs w:val="24"/>
        </w:rPr>
        <w:t>D</w:t>
      </w:r>
      <w:r w:rsidR="00D923BF">
        <w:rPr>
          <w:rFonts w:ascii="Times New Roman" w:hAnsi="Times New Roman"/>
          <w:sz w:val="24"/>
          <w:szCs w:val="24"/>
          <w:lang w:val="sr-Cyrl-CS"/>
        </w:rPr>
        <w:t xml:space="preserve"> чија је једина делатност изградња одређеног објекта уз обавезу да учествује са минималним износом од 20% у целокупној инвестицији. Ова фирма је имала обавезу да обезбеди власништво над локацијом, пројекат и грађевис</w:t>
      </w:r>
      <w:r w:rsidR="00EB2BAF">
        <w:rPr>
          <w:rFonts w:ascii="Times New Roman" w:hAnsi="Times New Roman"/>
          <w:sz w:val="24"/>
          <w:szCs w:val="24"/>
          <w:lang w:val="sr-Cyrl-CS"/>
        </w:rPr>
        <w:t xml:space="preserve">нку дозволу. Грађевинска фирма </w:t>
      </w:r>
      <w:r w:rsidR="00EB2BAF">
        <w:rPr>
          <w:rFonts w:ascii="Times New Roman" w:hAnsi="Times New Roman"/>
          <w:sz w:val="24"/>
          <w:szCs w:val="24"/>
        </w:rPr>
        <w:t>C</w:t>
      </w:r>
      <w:r w:rsidR="00EB2BAF">
        <w:rPr>
          <w:rFonts w:ascii="Times New Roman" w:hAnsi="Times New Roman"/>
          <w:sz w:val="24"/>
          <w:szCs w:val="24"/>
          <w:lang w:val="sr-Cyrl-CS"/>
        </w:rPr>
        <w:t xml:space="preserve"> је новој фирми </w:t>
      </w:r>
      <w:r w:rsidR="00EB2BAF">
        <w:rPr>
          <w:rFonts w:ascii="Times New Roman" w:hAnsi="Times New Roman"/>
          <w:sz w:val="24"/>
          <w:szCs w:val="24"/>
        </w:rPr>
        <w:t>D</w:t>
      </w:r>
      <w:r w:rsidR="00A24762">
        <w:rPr>
          <w:rFonts w:ascii="Times New Roman" w:hAnsi="Times New Roman"/>
          <w:sz w:val="24"/>
          <w:szCs w:val="24"/>
          <w:lang w:val="sr-Cyrl-CS"/>
        </w:rPr>
        <w:t xml:space="preserve"> за оснивање и пословање тр</w:t>
      </w:r>
      <w:r w:rsidR="002F5BC8">
        <w:rPr>
          <w:rFonts w:ascii="Times New Roman" w:hAnsi="Times New Roman"/>
          <w:sz w:val="24"/>
          <w:szCs w:val="24"/>
          <w:lang w:val="sr-Cyrl-CS"/>
        </w:rPr>
        <w:t>ансферисала средства од готовинс</w:t>
      </w:r>
      <w:r w:rsidR="00A24762">
        <w:rPr>
          <w:rFonts w:ascii="Times New Roman" w:hAnsi="Times New Roman"/>
          <w:sz w:val="24"/>
          <w:szCs w:val="24"/>
          <w:lang w:val="sr-Cyrl-CS"/>
        </w:rPr>
        <w:t xml:space="preserve">ких уплата извршених по основу позајмице </w:t>
      </w:r>
      <w:r w:rsidR="00A24762">
        <w:rPr>
          <w:rFonts w:ascii="Times New Roman" w:hAnsi="Times New Roman"/>
          <w:sz w:val="24"/>
          <w:szCs w:val="24"/>
          <w:lang w:val="sr-Cyrl-CS"/>
        </w:rPr>
        <w:lastRenderedPageBreak/>
        <w:t>ос</w:t>
      </w:r>
      <w:r w:rsidR="00601DDE">
        <w:rPr>
          <w:rFonts w:ascii="Times New Roman" w:hAnsi="Times New Roman"/>
          <w:sz w:val="24"/>
          <w:szCs w:val="24"/>
          <w:lang w:val="sr-Cyrl-CS"/>
        </w:rPr>
        <w:t>н</w:t>
      </w:r>
      <w:r w:rsidR="00A24762">
        <w:rPr>
          <w:rFonts w:ascii="Times New Roman" w:hAnsi="Times New Roman"/>
          <w:sz w:val="24"/>
          <w:szCs w:val="24"/>
          <w:lang w:val="sr-Cyrl-CS"/>
        </w:rPr>
        <w:t>ивача</w:t>
      </w:r>
      <w:r w:rsidR="00601DDE">
        <w:rPr>
          <w:rFonts w:ascii="Times New Roman" w:hAnsi="Times New Roman"/>
          <w:sz w:val="24"/>
          <w:szCs w:val="24"/>
          <w:lang w:val="sr-Cyrl-CS"/>
        </w:rPr>
        <w:t>,</w:t>
      </w:r>
      <w:r w:rsidR="00A24762">
        <w:rPr>
          <w:rFonts w:ascii="Times New Roman" w:hAnsi="Times New Roman"/>
          <w:sz w:val="24"/>
          <w:szCs w:val="24"/>
          <w:lang w:val="sr-Cyrl-CS"/>
        </w:rPr>
        <w:t xml:space="preserve"> а која потичу од пр</w:t>
      </w:r>
      <w:r w:rsidR="00EB2BAF">
        <w:rPr>
          <w:rFonts w:ascii="Times New Roman" w:hAnsi="Times New Roman"/>
          <w:sz w:val="24"/>
          <w:szCs w:val="24"/>
          <w:lang w:val="sr-Cyrl-CS"/>
        </w:rPr>
        <w:t xml:space="preserve">одаје станова на црно. Фирма </w:t>
      </w:r>
      <w:r w:rsidR="00EB2BAF">
        <w:rPr>
          <w:rFonts w:ascii="Times New Roman" w:hAnsi="Times New Roman"/>
          <w:sz w:val="24"/>
          <w:szCs w:val="24"/>
        </w:rPr>
        <w:t>D</w:t>
      </w:r>
      <w:r w:rsidR="00A24762">
        <w:rPr>
          <w:rFonts w:ascii="Times New Roman" w:hAnsi="Times New Roman"/>
          <w:sz w:val="24"/>
          <w:szCs w:val="24"/>
          <w:lang w:val="sr-Cyrl-CS"/>
        </w:rPr>
        <w:t xml:space="preserve"> је купила з</w:t>
      </w:r>
      <w:r w:rsidR="00601DDE">
        <w:rPr>
          <w:rFonts w:ascii="Times New Roman" w:hAnsi="Times New Roman"/>
          <w:sz w:val="24"/>
          <w:szCs w:val="24"/>
          <w:lang w:val="sr-Cyrl-CS"/>
        </w:rPr>
        <w:t>емљиште од рођак</w:t>
      </w:r>
      <w:r w:rsidR="00EB2BAF">
        <w:rPr>
          <w:rFonts w:ascii="Times New Roman" w:hAnsi="Times New Roman"/>
          <w:sz w:val="24"/>
          <w:szCs w:val="24"/>
          <w:lang w:val="sr-Cyrl-CS"/>
        </w:rPr>
        <w:t xml:space="preserve">а особе </w:t>
      </w:r>
      <w:r w:rsidR="00EB2BAF">
        <w:rPr>
          <w:rFonts w:ascii="Times New Roman" w:hAnsi="Times New Roman"/>
          <w:sz w:val="24"/>
          <w:szCs w:val="24"/>
        </w:rPr>
        <w:t>Y</w:t>
      </w:r>
      <w:r w:rsidR="00601DDE">
        <w:rPr>
          <w:rFonts w:ascii="Times New Roman" w:hAnsi="Times New Roman"/>
          <w:sz w:val="24"/>
          <w:szCs w:val="24"/>
          <w:lang w:val="sr-Cyrl-CS"/>
        </w:rPr>
        <w:t xml:space="preserve"> и пла</w:t>
      </w:r>
      <w:r w:rsidR="00A24762">
        <w:rPr>
          <w:rFonts w:ascii="Times New Roman" w:hAnsi="Times New Roman"/>
          <w:sz w:val="24"/>
          <w:szCs w:val="24"/>
          <w:lang w:val="sr-Cyrl-CS"/>
        </w:rPr>
        <w:t>тила израду пројекта блиским пословним сарадницима, по увећаним фактурама што је укалкулисано у обавезно учешће у инвестицији од 20%. Кредит је коришћен за куповину потребног материјала за градњу и плаћање услуга више подизвођача такође у власништву рођака и пријатеља.</w:t>
      </w:r>
    </w:p>
    <w:p w:rsidR="00A24762" w:rsidRDefault="00A24762" w:rsidP="00CF06AC">
      <w:pPr>
        <w:ind w:firstLine="630"/>
        <w:jc w:val="both"/>
        <w:rPr>
          <w:rFonts w:ascii="Times New Roman" w:hAnsi="Times New Roman"/>
          <w:sz w:val="24"/>
          <w:szCs w:val="24"/>
          <w:lang w:val="sr-Cyrl-CS"/>
        </w:rPr>
      </w:pPr>
      <w:r>
        <w:rPr>
          <w:rFonts w:ascii="Times New Roman" w:hAnsi="Times New Roman"/>
          <w:sz w:val="24"/>
          <w:szCs w:val="24"/>
          <w:lang w:val="sr-Cyrl-CS"/>
        </w:rPr>
        <w:t>Корисник кредита није отплаћивао кредит тако да је банка а</w:t>
      </w:r>
      <w:r w:rsidR="002F5BC8">
        <w:rPr>
          <w:rFonts w:ascii="Times New Roman" w:hAnsi="Times New Roman"/>
          <w:sz w:val="24"/>
          <w:szCs w:val="24"/>
          <w:lang w:val="sr-Cyrl-CS"/>
        </w:rPr>
        <w:t>ктивирала хипотеку и постала власник већег дела стам</w:t>
      </w:r>
      <w:r>
        <w:rPr>
          <w:rFonts w:ascii="Times New Roman" w:hAnsi="Times New Roman"/>
          <w:sz w:val="24"/>
          <w:szCs w:val="24"/>
          <w:lang w:val="sr-Cyrl-CS"/>
        </w:rPr>
        <w:t>бено пословног објекта</w:t>
      </w:r>
      <w:r w:rsidR="009E769A">
        <w:rPr>
          <w:rFonts w:ascii="Times New Roman" w:hAnsi="Times New Roman"/>
          <w:sz w:val="24"/>
          <w:szCs w:val="24"/>
          <w:lang w:val="sr-Cyrl-CS"/>
        </w:rPr>
        <w:t>,</w:t>
      </w:r>
      <w:r>
        <w:rPr>
          <w:rFonts w:ascii="Times New Roman" w:hAnsi="Times New Roman"/>
          <w:sz w:val="24"/>
          <w:szCs w:val="24"/>
          <w:lang w:val="sr-Cyrl-CS"/>
        </w:rPr>
        <w:t xml:space="preserve"> а средства од продаје су подељена у складу са учешћем у финасирању између корисника кредита и банке Y, што укључује власнике инвестиционих рачуна у иностранству. </w:t>
      </w:r>
    </w:p>
    <w:p w:rsidR="00206FF7" w:rsidRDefault="00332701" w:rsidP="00CF06AC">
      <w:pPr>
        <w:ind w:firstLine="630"/>
        <w:jc w:val="both"/>
        <w:rPr>
          <w:rFonts w:ascii="Times New Roman" w:hAnsi="Times New Roman"/>
          <w:sz w:val="24"/>
          <w:szCs w:val="24"/>
          <w:lang w:val="sr-Cyrl-CS"/>
        </w:rPr>
      </w:pPr>
      <w:r>
        <w:rPr>
          <w:rFonts w:ascii="Times New Roman" w:hAnsi="Times New Roman"/>
          <w:sz w:val="24"/>
          <w:szCs w:val="24"/>
          <w:lang w:val="sr-Cyrl-CS"/>
        </w:rPr>
        <w:t>Приликом откупа грађевинс</w:t>
      </w:r>
      <w:r w:rsidR="00206FF7">
        <w:rPr>
          <w:rFonts w:ascii="Times New Roman" w:hAnsi="Times New Roman"/>
          <w:sz w:val="24"/>
          <w:szCs w:val="24"/>
          <w:lang w:val="sr-Cyrl-CS"/>
        </w:rPr>
        <w:t xml:space="preserve">ког земљишта прави се </w:t>
      </w:r>
      <w:r>
        <w:rPr>
          <w:rFonts w:ascii="Times New Roman" w:hAnsi="Times New Roman"/>
          <w:sz w:val="24"/>
          <w:szCs w:val="24"/>
          <w:lang w:val="sr-Cyrl-CS"/>
        </w:rPr>
        <w:t xml:space="preserve">таква </w:t>
      </w:r>
      <w:r w:rsidR="00206FF7">
        <w:rPr>
          <w:rFonts w:ascii="Times New Roman" w:hAnsi="Times New Roman"/>
          <w:sz w:val="24"/>
          <w:szCs w:val="24"/>
          <w:lang w:val="sr-Cyrl-CS"/>
        </w:rPr>
        <w:t>погодба са власником земљишта о висини цене земљи</w:t>
      </w:r>
      <w:r>
        <w:rPr>
          <w:rFonts w:ascii="Times New Roman" w:hAnsi="Times New Roman"/>
          <w:sz w:val="24"/>
          <w:szCs w:val="24"/>
          <w:lang w:val="sr-Cyrl-CS"/>
        </w:rPr>
        <w:t>шта</w:t>
      </w:r>
      <w:r w:rsidR="00206FF7">
        <w:rPr>
          <w:rFonts w:ascii="Times New Roman" w:hAnsi="Times New Roman"/>
          <w:sz w:val="24"/>
          <w:szCs w:val="24"/>
          <w:lang w:val="sr-Cyrl-CS"/>
        </w:rPr>
        <w:t xml:space="preserve"> </w:t>
      </w:r>
      <w:r>
        <w:rPr>
          <w:rFonts w:ascii="Times New Roman" w:hAnsi="Times New Roman"/>
          <w:sz w:val="24"/>
          <w:szCs w:val="24"/>
          <w:lang w:val="sr-Cyrl-CS"/>
        </w:rPr>
        <w:t>да се</w:t>
      </w:r>
      <w:r w:rsidR="00206FF7">
        <w:rPr>
          <w:rFonts w:ascii="Times New Roman" w:hAnsi="Times New Roman"/>
          <w:sz w:val="24"/>
          <w:szCs w:val="24"/>
          <w:lang w:val="sr-Cyrl-CS"/>
        </w:rPr>
        <w:t xml:space="preserve"> уговара већа цена од тржишне, </w:t>
      </w:r>
      <w:r w:rsidR="002254BA">
        <w:rPr>
          <w:rFonts w:ascii="Times New Roman" w:hAnsi="Times New Roman"/>
          <w:sz w:val="24"/>
          <w:szCs w:val="24"/>
          <w:lang w:val="sr-Cyrl-CS"/>
        </w:rPr>
        <w:t>након чега</w:t>
      </w:r>
      <w:r w:rsidR="00206FF7">
        <w:rPr>
          <w:rFonts w:ascii="Times New Roman" w:hAnsi="Times New Roman"/>
          <w:sz w:val="24"/>
          <w:szCs w:val="24"/>
          <w:lang w:val="sr-Cyrl-CS"/>
        </w:rPr>
        <w:t xml:space="preserve"> се та разлика дели између </w:t>
      </w:r>
      <w:r>
        <w:rPr>
          <w:rFonts w:ascii="Times New Roman" w:hAnsi="Times New Roman"/>
          <w:sz w:val="24"/>
          <w:szCs w:val="24"/>
          <w:lang w:val="sr-Cyrl-CS"/>
        </w:rPr>
        <w:t>власника земљишта и одговорних лица</w:t>
      </w:r>
      <w:r w:rsidR="00206FF7">
        <w:rPr>
          <w:rFonts w:ascii="Times New Roman" w:hAnsi="Times New Roman"/>
          <w:sz w:val="24"/>
          <w:szCs w:val="24"/>
          <w:lang w:val="sr-Cyrl-CS"/>
        </w:rPr>
        <w:t xml:space="preserve">. </w:t>
      </w:r>
      <w:r w:rsidR="002254BA">
        <w:rPr>
          <w:rFonts w:ascii="Times New Roman" w:hAnsi="Times New Roman"/>
          <w:sz w:val="24"/>
          <w:szCs w:val="24"/>
          <w:lang w:val="sr-Cyrl-CS"/>
        </w:rPr>
        <w:t>Приликом лицитације,</w:t>
      </w:r>
      <w:r>
        <w:rPr>
          <w:rFonts w:ascii="Times New Roman" w:hAnsi="Times New Roman"/>
          <w:sz w:val="24"/>
          <w:szCs w:val="24"/>
          <w:lang w:val="sr-Cyrl-CS"/>
        </w:rPr>
        <w:t xml:space="preserve"> </w:t>
      </w:r>
      <w:r w:rsidR="002254BA">
        <w:rPr>
          <w:rFonts w:ascii="Times New Roman" w:hAnsi="Times New Roman"/>
          <w:sz w:val="24"/>
          <w:szCs w:val="24"/>
          <w:lang w:val="sr-Cyrl-CS"/>
        </w:rPr>
        <w:t>када се реализује пројекат,</w:t>
      </w:r>
      <w:r w:rsidR="00206FF7">
        <w:rPr>
          <w:rFonts w:ascii="Times New Roman" w:hAnsi="Times New Roman"/>
          <w:sz w:val="24"/>
          <w:szCs w:val="24"/>
          <w:lang w:val="sr-Cyrl-CS"/>
        </w:rPr>
        <w:t xml:space="preserve"> корумпирају се одређена лица која су запослена код инвеститора или имају </w:t>
      </w:r>
      <w:r w:rsidR="00616085">
        <w:rPr>
          <w:rFonts w:ascii="Times New Roman" w:hAnsi="Times New Roman"/>
          <w:sz w:val="24"/>
          <w:szCs w:val="24"/>
          <w:lang w:val="sr-Cyrl-CS"/>
        </w:rPr>
        <w:t>утицај на њега</w:t>
      </w:r>
      <w:r w:rsidR="00206FF7">
        <w:rPr>
          <w:rFonts w:ascii="Times New Roman" w:hAnsi="Times New Roman"/>
          <w:sz w:val="24"/>
          <w:szCs w:val="24"/>
          <w:lang w:val="sr-Cyrl-CS"/>
        </w:rPr>
        <w:t xml:space="preserve">. </w:t>
      </w:r>
      <w:r w:rsidR="002254BA">
        <w:rPr>
          <w:rFonts w:ascii="Times New Roman" w:hAnsi="Times New Roman"/>
          <w:sz w:val="24"/>
          <w:szCs w:val="24"/>
          <w:lang w:val="sr-Cyrl-CS"/>
        </w:rPr>
        <w:t>У случају к</w:t>
      </w:r>
      <w:r w:rsidR="00206FF7">
        <w:rPr>
          <w:rFonts w:ascii="Times New Roman" w:hAnsi="Times New Roman"/>
          <w:sz w:val="24"/>
          <w:szCs w:val="24"/>
          <w:lang w:val="sr-Cyrl-CS"/>
        </w:rPr>
        <w:t xml:space="preserve">ада се као инвеститор појави државно, а посао добије неко приватно предузеће, </w:t>
      </w:r>
      <w:r>
        <w:rPr>
          <w:rFonts w:ascii="Times New Roman" w:hAnsi="Times New Roman"/>
          <w:sz w:val="24"/>
          <w:szCs w:val="24"/>
          <w:lang w:val="sr-Cyrl-CS"/>
        </w:rPr>
        <w:t>т</w:t>
      </w:r>
      <w:r w:rsidR="00206FF7">
        <w:rPr>
          <w:rFonts w:ascii="Times New Roman" w:hAnsi="Times New Roman"/>
          <w:sz w:val="24"/>
          <w:szCs w:val="24"/>
          <w:lang w:val="sr-Cyrl-CS"/>
        </w:rPr>
        <w:t>о предузеће обично н</w:t>
      </w:r>
      <w:r w:rsidR="002254BA">
        <w:rPr>
          <w:rFonts w:ascii="Times New Roman" w:hAnsi="Times New Roman"/>
          <w:sz w:val="24"/>
          <w:szCs w:val="24"/>
          <w:lang w:val="sr-Cyrl-CS"/>
        </w:rPr>
        <w:t>ема средства за реализацију пројекта, односно потребну грађевинску опрему, машине и сл.</w:t>
      </w:r>
      <w:r w:rsidR="00206FF7">
        <w:rPr>
          <w:rFonts w:ascii="Times New Roman" w:hAnsi="Times New Roman"/>
          <w:sz w:val="24"/>
          <w:szCs w:val="24"/>
          <w:lang w:val="sr-Cyrl-CS"/>
        </w:rPr>
        <w:t xml:space="preserve"> већ се ангажују разни подизвођачи, занатске и друге радње, која даље као посреднике ангажују већа грађевинска предузећа која имају одговарајућу опрему и могу да </w:t>
      </w:r>
      <w:r w:rsidR="002254BA">
        <w:rPr>
          <w:rFonts w:ascii="Times New Roman" w:hAnsi="Times New Roman"/>
          <w:sz w:val="24"/>
          <w:szCs w:val="24"/>
          <w:lang w:val="sr-Cyrl-CS"/>
        </w:rPr>
        <w:t>реализују посао</w:t>
      </w:r>
      <w:r w:rsidR="00206FF7">
        <w:rPr>
          <w:rFonts w:ascii="Times New Roman" w:hAnsi="Times New Roman"/>
          <w:sz w:val="24"/>
          <w:szCs w:val="24"/>
          <w:lang w:val="sr-Cyrl-CS"/>
        </w:rPr>
        <w:t xml:space="preserve">. </w:t>
      </w:r>
      <w:r w:rsidR="002254BA">
        <w:rPr>
          <w:rFonts w:ascii="Times New Roman" w:hAnsi="Times New Roman"/>
          <w:sz w:val="24"/>
          <w:szCs w:val="24"/>
          <w:lang w:val="sr-Cyrl-CS"/>
        </w:rPr>
        <w:t xml:space="preserve">Корупција у свим таквим случајевима </w:t>
      </w:r>
      <w:r w:rsidR="00616085">
        <w:rPr>
          <w:rFonts w:ascii="Times New Roman" w:hAnsi="Times New Roman"/>
          <w:sz w:val="24"/>
          <w:szCs w:val="24"/>
          <w:lang w:val="sr-Cyrl-CS"/>
        </w:rPr>
        <w:t xml:space="preserve">служи као </w:t>
      </w:r>
      <w:r>
        <w:rPr>
          <w:rFonts w:ascii="Times New Roman" w:hAnsi="Times New Roman"/>
          <w:sz w:val="24"/>
          <w:szCs w:val="24"/>
          <w:lang w:val="sr-Cyrl-CS"/>
        </w:rPr>
        <w:t>средство</w:t>
      </w:r>
      <w:r w:rsidR="00206FF7">
        <w:rPr>
          <w:rFonts w:ascii="Times New Roman" w:hAnsi="Times New Roman"/>
          <w:sz w:val="24"/>
          <w:szCs w:val="24"/>
          <w:lang w:val="sr-Cyrl-CS"/>
        </w:rPr>
        <w:t xml:space="preserve"> остварења одређеног профита.</w:t>
      </w:r>
      <w:r w:rsidR="00206FF7">
        <w:rPr>
          <w:rStyle w:val="FootnoteReference"/>
          <w:rFonts w:ascii="Times New Roman" w:hAnsi="Times New Roman"/>
          <w:sz w:val="24"/>
          <w:szCs w:val="24"/>
          <w:lang w:val="sr-Cyrl-CS"/>
        </w:rPr>
        <w:footnoteReference w:id="731"/>
      </w:r>
    </w:p>
    <w:p w:rsidR="004F3D57" w:rsidRDefault="004F3D57" w:rsidP="00CF06AC">
      <w:pPr>
        <w:ind w:firstLine="630"/>
        <w:jc w:val="both"/>
        <w:rPr>
          <w:rFonts w:ascii="Times New Roman" w:hAnsi="Times New Roman"/>
          <w:sz w:val="24"/>
          <w:szCs w:val="24"/>
          <w:lang w:val="sr-Cyrl-CS"/>
        </w:rPr>
      </w:pPr>
    </w:p>
    <w:p w:rsidR="00CF06AC" w:rsidRDefault="00CF06AC" w:rsidP="00722C79">
      <w:pPr>
        <w:jc w:val="both"/>
        <w:rPr>
          <w:rFonts w:ascii="Times New Roman" w:hAnsi="Times New Roman"/>
          <w:sz w:val="24"/>
          <w:szCs w:val="24"/>
          <w:lang w:val="sr-Cyrl-CS"/>
        </w:rPr>
      </w:pPr>
    </w:p>
    <w:p w:rsidR="00932992" w:rsidRDefault="00932992" w:rsidP="00722C79">
      <w:pPr>
        <w:jc w:val="both"/>
        <w:rPr>
          <w:rFonts w:ascii="Times New Roman" w:hAnsi="Times New Roman"/>
          <w:sz w:val="24"/>
          <w:szCs w:val="24"/>
          <w:lang w:val="sr-Cyrl-CS"/>
        </w:rPr>
      </w:pPr>
    </w:p>
    <w:p w:rsidR="00932992" w:rsidRDefault="00932992" w:rsidP="00722C79">
      <w:pPr>
        <w:jc w:val="both"/>
        <w:rPr>
          <w:rFonts w:ascii="Times New Roman" w:hAnsi="Times New Roman"/>
          <w:sz w:val="24"/>
          <w:szCs w:val="24"/>
          <w:lang w:val="sr-Cyrl-CS"/>
        </w:rPr>
      </w:pPr>
    </w:p>
    <w:p w:rsidR="00932992" w:rsidRDefault="00932992" w:rsidP="00722C79">
      <w:pPr>
        <w:jc w:val="both"/>
        <w:rPr>
          <w:rFonts w:ascii="Times New Roman" w:hAnsi="Times New Roman"/>
          <w:sz w:val="24"/>
          <w:szCs w:val="24"/>
          <w:lang w:val="sr-Cyrl-CS"/>
        </w:rPr>
      </w:pPr>
    </w:p>
    <w:p w:rsidR="00932992" w:rsidRDefault="00932992" w:rsidP="00722C79">
      <w:pPr>
        <w:jc w:val="both"/>
        <w:rPr>
          <w:rFonts w:ascii="Times New Roman" w:hAnsi="Times New Roman"/>
          <w:sz w:val="24"/>
          <w:szCs w:val="24"/>
          <w:lang w:val="sr-Cyrl-CS"/>
        </w:rPr>
      </w:pPr>
    </w:p>
    <w:p w:rsidR="00932992" w:rsidRDefault="00932992" w:rsidP="00722C79">
      <w:pPr>
        <w:jc w:val="both"/>
        <w:rPr>
          <w:rFonts w:ascii="Times New Roman" w:hAnsi="Times New Roman"/>
          <w:sz w:val="24"/>
          <w:szCs w:val="24"/>
          <w:lang w:val="sr-Cyrl-CS"/>
        </w:rPr>
      </w:pPr>
    </w:p>
    <w:p w:rsidR="00932992" w:rsidRDefault="00932992" w:rsidP="00722C79">
      <w:pPr>
        <w:jc w:val="both"/>
        <w:rPr>
          <w:rFonts w:ascii="Times New Roman" w:hAnsi="Times New Roman"/>
          <w:sz w:val="24"/>
          <w:szCs w:val="24"/>
          <w:lang w:val="sr-Cyrl-CS"/>
        </w:rPr>
      </w:pPr>
    </w:p>
    <w:p w:rsidR="00932992" w:rsidRDefault="00932992" w:rsidP="00722C79">
      <w:pPr>
        <w:jc w:val="both"/>
        <w:rPr>
          <w:rFonts w:ascii="Times New Roman" w:hAnsi="Times New Roman"/>
          <w:sz w:val="24"/>
          <w:szCs w:val="24"/>
          <w:lang w:val="sr-Cyrl-CS"/>
        </w:rPr>
      </w:pPr>
    </w:p>
    <w:p w:rsidR="006F1544" w:rsidRDefault="006F1544" w:rsidP="00722C79">
      <w:pPr>
        <w:jc w:val="both"/>
        <w:rPr>
          <w:rFonts w:ascii="Times New Roman" w:hAnsi="Times New Roman"/>
          <w:sz w:val="24"/>
          <w:szCs w:val="24"/>
          <w:lang w:val="sr-Cyrl-CS"/>
        </w:rPr>
      </w:pPr>
    </w:p>
    <w:p w:rsidR="006F1544" w:rsidRDefault="006F1544" w:rsidP="00722C79">
      <w:pPr>
        <w:jc w:val="both"/>
        <w:rPr>
          <w:rFonts w:ascii="Times New Roman" w:hAnsi="Times New Roman"/>
          <w:sz w:val="24"/>
          <w:szCs w:val="24"/>
          <w:lang w:val="sr-Cyrl-CS"/>
        </w:rPr>
      </w:pPr>
    </w:p>
    <w:p w:rsidR="00932992" w:rsidRDefault="00932992" w:rsidP="00722C79">
      <w:pPr>
        <w:jc w:val="both"/>
        <w:rPr>
          <w:rFonts w:ascii="Times New Roman" w:hAnsi="Times New Roman"/>
          <w:sz w:val="24"/>
          <w:szCs w:val="24"/>
          <w:lang w:val="sr-Cyrl-CS"/>
        </w:rPr>
      </w:pPr>
    </w:p>
    <w:p w:rsidR="00BD7276" w:rsidRDefault="00FA3214" w:rsidP="00FA3214">
      <w:pPr>
        <w:pStyle w:val="ListParagraph"/>
        <w:numPr>
          <w:ilvl w:val="1"/>
          <w:numId w:val="4"/>
        </w:numPr>
        <w:jc w:val="both"/>
        <w:rPr>
          <w:rFonts w:ascii="Times New Roman" w:hAnsi="Times New Roman"/>
          <w:b/>
          <w:sz w:val="24"/>
          <w:szCs w:val="24"/>
          <w:lang w:val="sr-Cyrl-CS"/>
        </w:rPr>
      </w:pPr>
      <w:r w:rsidRPr="00FA3214">
        <w:rPr>
          <w:rFonts w:ascii="Times New Roman" w:hAnsi="Times New Roman"/>
          <w:b/>
          <w:sz w:val="24"/>
          <w:szCs w:val="24"/>
          <w:lang w:val="sr-Cyrl-CS"/>
        </w:rPr>
        <w:lastRenderedPageBreak/>
        <w:t>Корупција и привредни криминал у банкарском пословању</w:t>
      </w:r>
    </w:p>
    <w:p w:rsidR="00BC7798" w:rsidRDefault="00BC7798" w:rsidP="00BC7798">
      <w:pPr>
        <w:pStyle w:val="ListParagraph"/>
        <w:ind w:left="990"/>
        <w:jc w:val="both"/>
        <w:rPr>
          <w:rFonts w:ascii="Times New Roman" w:hAnsi="Times New Roman"/>
          <w:b/>
          <w:sz w:val="24"/>
          <w:szCs w:val="24"/>
          <w:lang w:val="sr-Cyrl-CS"/>
        </w:rPr>
      </w:pPr>
    </w:p>
    <w:p w:rsidR="00722C79" w:rsidRPr="00FA3214" w:rsidRDefault="00722C79" w:rsidP="00722C79">
      <w:pPr>
        <w:pStyle w:val="ListParagraph"/>
        <w:ind w:left="990"/>
        <w:jc w:val="both"/>
        <w:rPr>
          <w:rFonts w:ascii="Times New Roman" w:hAnsi="Times New Roman"/>
          <w:b/>
          <w:sz w:val="24"/>
          <w:szCs w:val="24"/>
          <w:lang w:val="sr-Cyrl-CS"/>
        </w:rPr>
      </w:pPr>
    </w:p>
    <w:p w:rsidR="001A351F" w:rsidRDefault="005F0058" w:rsidP="000A1CCA">
      <w:pPr>
        <w:ind w:firstLine="630"/>
        <w:jc w:val="both"/>
        <w:rPr>
          <w:rFonts w:ascii="Times New Roman" w:hAnsi="Times New Roman"/>
          <w:sz w:val="24"/>
          <w:szCs w:val="24"/>
          <w:lang w:val="sr-Cyrl-CS"/>
        </w:rPr>
      </w:pPr>
      <w:r>
        <w:rPr>
          <w:rFonts w:ascii="Times New Roman" w:hAnsi="Times New Roman"/>
          <w:sz w:val="24"/>
          <w:szCs w:val="24"/>
          <w:lang w:val="sr-Cyrl-CS"/>
        </w:rPr>
        <w:t>Банкарски сектор се обилато користи</w:t>
      </w:r>
      <w:r w:rsidR="00C83741">
        <w:rPr>
          <w:rFonts w:ascii="Times New Roman" w:hAnsi="Times New Roman"/>
          <w:sz w:val="24"/>
          <w:szCs w:val="24"/>
          <w:lang w:val="sr-Cyrl-CS"/>
        </w:rPr>
        <w:t xml:space="preserve"> ради прикривања новчаних средстава до к</w:t>
      </w:r>
      <w:r w:rsidR="002F5BC8">
        <w:rPr>
          <w:rFonts w:ascii="Times New Roman" w:hAnsi="Times New Roman"/>
          <w:sz w:val="24"/>
          <w:szCs w:val="24"/>
          <w:lang w:val="sr-Cyrl-CS"/>
        </w:rPr>
        <w:t>ојих се на незаконит начин долази</w:t>
      </w:r>
      <w:r w:rsidR="00C83741">
        <w:rPr>
          <w:rFonts w:ascii="Times New Roman" w:hAnsi="Times New Roman"/>
          <w:sz w:val="24"/>
          <w:szCs w:val="24"/>
          <w:lang w:val="sr-Cyrl-CS"/>
        </w:rPr>
        <w:t xml:space="preserve"> услед утаје пореза</w:t>
      </w:r>
      <w:r>
        <w:rPr>
          <w:rFonts w:ascii="Times New Roman" w:hAnsi="Times New Roman"/>
          <w:sz w:val="24"/>
          <w:szCs w:val="24"/>
          <w:lang w:val="sr-Cyrl-CS"/>
        </w:rPr>
        <w:t>, корупције, привредног криминала</w:t>
      </w:r>
      <w:r w:rsidR="002F5BC8">
        <w:rPr>
          <w:rFonts w:ascii="Times New Roman" w:hAnsi="Times New Roman"/>
          <w:sz w:val="24"/>
          <w:szCs w:val="24"/>
          <w:lang w:val="sr-Cyrl-CS"/>
        </w:rPr>
        <w:t xml:space="preserve"> и других криминалних акти</w:t>
      </w:r>
      <w:r w:rsidR="00C83741">
        <w:rPr>
          <w:rFonts w:ascii="Times New Roman" w:hAnsi="Times New Roman"/>
          <w:sz w:val="24"/>
          <w:szCs w:val="24"/>
          <w:lang w:val="sr-Cyrl-CS"/>
        </w:rPr>
        <w:t>вности, са циљем да са ова средства кроз прањ</w:t>
      </w:r>
      <w:r w:rsidR="001A351F">
        <w:rPr>
          <w:rFonts w:ascii="Times New Roman" w:hAnsi="Times New Roman"/>
          <w:sz w:val="24"/>
          <w:szCs w:val="24"/>
          <w:lang w:val="sr-Cyrl-CS"/>
        </w:rPr>
        <w:t xml:space="preserve">е </w:t>
      </w:r>
      <w:r w:rsidR="002F5BC8">
        <w:rPr>
          <w:rFonts w:ascii="Times New Roman" w:hAnsi="Times New Roman"/>
          <w:sz w:val="24"/>
          <w:szCs w:val="24"/>
          <w:lang w:val="sr-Cyrl-CS"/>
        </w:rPr>
        <w:t>новца укључе у легалне токове и</w:t>
      </w:r>
      <w:r w:rsidR="001A351F">
        <w:rPr>
          <w:rFonts w:ascii="Times New Roman" w:hAnsi="Times New Roman"/>
          <w:sz w:val="24"/>
          <w:szCs w:val="24"/>
          <w:lang w:val="sr-Cyrl-CS"/>
        </w:rPr>
        <w:t xml:space="preserve"> на том путу овако стечена средства морају проћи кроз неки банкарски рачун. Тенденција је</w:t>
      </w:r>
      <w:r>
        <w:rPr>
          <w:rFonts w:ascii="Times New Roman" w:hAnsi="Times New Roman"/>
          <w:sz w:val="24"/>
          <w:szCs w:val="24"/>
          <w:lang w:val="sr-Cyrl-CS"/>
        </w:rPr>
        <w:t>, дакле,</w:t>
      </w:r>
      <w:r w:rsidR="001A351F">
        <w:rPr>
          <w:rFonts w:ascii="Times New Roman" w:hAnsi="Times New Roman"/>
          <w:sz w:val="24"/>
          <w:szCs w:val="24"/>
          <w:lang w:val="sr-Cyrl-CS"/>
        </w:rPr>
        <w:t xml:space="preserve"> да се ништа не препусти случају и да се трагови успешно сакрију, посебно у међународном бизнису, уз коришћење банкарског сектора, off-shore компанија и слично, па се ангажују финансијски стручњаци, адвокати и рачуновође који осмишљавају сложене трансакције, чи</w:t>
      </w:r>
      <w:r>
        <w:rPr>
          <w:rFonts w:ascii="Times New Roman" w:hAnsi="Times New Roman"/>
          <w:sz w:val="24"/>
          <w:szCs w:val="24"/>
          <w:lang w:val="sr-Cyrl-CS"/>
        </w:rPr>
        <w:t>ме се успешно прикри</w:t>
      </w:r>
      <w:r w:rsidR="001A351F">
        <w:rPr>
          <w:rFonts w:ascii="Times New Roman" w:hAnsi="Times New Roman"/>
          <w:sz w:val="24"/>
          <w:szCs w:val="24"/>
          <w:lang w:val="sr-Cyrl-CS"/>
        </w:rPr>
        <w:t>вају трагови и  незаконито порекло новца.</w:t>
      </w:r>
    </w:p>
    <w:p w:rsidR="00D3269A" w:rsidRDefault="00332701" w:rsidP="000A1CCA">
      <w:pPr>
        <w:ind w:firstLine="630"/>
        <w:jc w:val="both"/>
        <w:rPr>
          <w:rFonts w:ascii="Times New Roman" w:hAnsi="Times New Roman"/>
          <w:sz w:val="24"/>
          <w:szCs w:val="24"/>
          <w:lang w:val="sr-Cyrl-CS"/>
        </w:rPr>
      </w:pPr>
      <w:r>
        <w:rPr>
          <w:rFonts w:ascii="Times New Roman" w:hAnsi="Times New Roman"/>
          <w:sz w:val="24"/>
          <w:szCs w:val="24"/>
          <w:lang w:val="sr-Cyrl-CS"/>
        </w:rPr>
        <w:t>Карактеристика корупције је</w:t>
      </w:r>
      <w:r w:rsidR="00D3269A">
        <w:rPr>
          <w:rFonts w:ascii="Times New Roman" w:hAnsi="Times New Roman"/>
          <w:sz w:val="24"/>
          <w:szCs w:val="24"/>
          <w:lang w:val="sr-Cyrl-CS"/>
        </w:rPr>
        <w:t xml:space="preserve">, пре свега, </w:t>
      </w:r>
      <w:r>
        <w:rPr>
          <w:rFonts w:ascii="Times New Roman" w:hAnsi="Times New Roman"/>
          <w:sz w:val="24"/>
          <w:szCs w:val="24"/>
          <w:lang w:val="sr-Cyrl-CS"/>
        </w:rPr>
        <w:t>што се појављује</w:t>
      </w:r>
      <w:r w:rsidR="00D3269A">
        <w:rPr>
          <w:rFonts w:ascii="Times New Roman" w:hAnsi="Times New Roman"/>
          <w:sz w:val="24"/>
          <w:szCs w:val="24"/>
          <w:lang w:val="sr-Cyrl-CS"/>
        </w:rPr>
        <w:t xml:space="preserve"> у виду сложених кривичних дела која имају велику друштвену опасност, врше се организовано, повезивањем већег вроја одговорних лица у оквиру једне или више банака, лица из банака и одговорних лица у појединим предузећима, која су заинтересована за остваривање неких права или избегавање одређених обавеза. </w:t>
      </w:r>
      <w:r>
        <w:rPr>
          <w:rFonts w:ascii="Times New Roman" w:hAnsi="Times New Roman"/>
          <w:sz w:val="24"/>
          <w:szCs w:val="24"/>
          <w:lang w:val="sr-Cyrl-CS"/>
        </w:rPr>
        <w:t>Специфичност је и што су извршиоци кривичних дела</w:t>
      </w:r>
      <w:r w:rsidR="00D3269A">
        <w:rPr>
          <w:rFonts w:ascii="Times New Roman" w:hAnsi="Times New Roman"/>
          <w:sz w:val="24"/>
          <w:szCs w:val="24"/>
          <w:lang w:val="sr-Cyrl-CS"/>
        </w:rPr>
        <w:t xml:space="preserve"> стручна лица која познају банкарско-фина</w:t>
      </w:r>
      <w:r w:rsidR="00E45F7D">
        <w:rPr>
          <w:rFonts w:ascii="Times New Roman" w:hAnsi="Times New Roman"/>
          <w:sz w:val="24"/>
          <w:szCs w:val="24"/>
          <w:lang w:val="sr-Cyrl-CS"/>
        </w:rPr>
        <w:t>н</w:t>
      </w:r>
      <w:r w:rsidR="00D3269A">
        <w:rPr>
          <w:rFonts w:ascii="Times New Roman" w:hAnsi="Times New Roman"/>
          <w:sz w:val="24"/>
          <w:szCs w:val="24"/>
          <w:lang w:val="sr-Cyrl-CS"/>
        </w:rPr>
        <w:t>сијски систем и кривична дела углавном врше у оквиру свог делокруга рада, а последице учињен</w:t>
      </w:r>
      <w:r>
        <w:rPr>
          <w:rFonts w:ascii="Times New Roman" w:hAnsi="Times New Roman"/>
          <w:sz w:val="24"/>
          <w:szCs w:val="24"/>
          <w:lang w:val="sr-Cyrl-CS"/>
        </w:rPr>
        <w:t>их дела нису одмах уочљиве. Угла</w:t>
      </w:r>
      <w:r w:rsidR="00D3269A">
        <w:rPr>
          <w:rFonts w:ascii="Times New Roman" w:hAnsi="Times New Roman"/>
          <w:sz w:val="24"/>
          <w:szCs w:val="24"/>
          <w:lang w:val="sr-Cyrl-CS"/>
        </w:rPr>
        <w:t xml:space="preserve">вном се ради о </w:t>
      </w:r>
      <w:r>
        <w:rPr>
          <w:rFonts w:ascii="Times New Roman" w:hAnsi="Times New Roman"/>
          <w:sz w:val="24"/>
          <w:szCs w:val="24"/>
          <w:lang w:val="sr-Cyrl-CS"/>
        </w:rPr>
        <w:t>следећим кривичним делима: примање и давање мита, злоупотреба</w:t>
      </w:r>
      <w:r w:rsidR="00D3269A">
        <w:rPr>
          <w:rFonts w:ascii="Times New Roman" w:hAnsi="Times New Roman"/>
          <w:sz w:val="24"/>
          <w:szCs w:val="24"/>
          <w:lang w:val="sr-Cyrl-CS"/>
        </w:rPr>
        <w:t xml:space="preserve"> службеног положаја, фалсификовање службене исправе и несавестан рад у служби.</w:t>
      </w:r>
      <w:r w:rsidR="00D3269A">
        <w:rPr>
          <w:rStyle w:val="FootnoteReference"/>
          <w:rFonts w:ascii="Times New Roman" w:hAnsi="Times New Roman"/>
          <w:sz w:val="24"/>
          <w:szCs w:val="24"/>
          <w:lang w:val="sr-Cyrl-CS"/>
        </w:rPr>
        <w:footnoteReference w:id="732"/>
      </w:r>
    </w:p>
    <w:p w:rsidR="001A351F" w:rsidRDefault="001A351F" w:rsidP="000A1CCA">
      <w:pPr>
        <w:ind w:firstLine="630"/>
        <w:jc w:val="both"/>
        <w:rPr>
          <w:rFonts w:ascii="Times New Roman" w:hAnsi="Times New Roman"/>
          <w:sz w:val="24"/>
          <w:szCs w:val="24"/>
          <w:lang w:val="sr-Cyrl-CS"/>
        </w:rPr>
      </w:pPr>
      <w:r>
        <w:rPr>
          <w:rFonts w:ascii="Times New Roman" w:hAnsi="Times New Roman"/>
          <w:sz w:val="24"/>
          <w:szCs w:val="24"/>
          <w:lang w:val="sr-Cyrl-CS"/>
        </w:rPr>
        <w:t>У досадашњем периоду</w:t>
      </w:r>
      <w:r w:rsidR="0024269C">
        <w:rPr>
          <w:rFonts w:ascii="Times New Roman" w:hAnsi="Times New Roman"/>
          <w:sz w:val="24"/>
          <w:szCs w:val="24"/>
          <w:lang w:val="sr-Cyrl-CS"/>
        </w:rPr>
        <w:t>, у нашим условима,</w:t>
      </w:r>
      <w:r>
        <w:rPr>
          <w:rFonts w:ascii="Times New Roman" w:hAnsi="Times New Roman"/>
          <w:sz w:val="24"/>
          <w:szCs w:val="24"/>
          <w:lang w:val="sr-Cyrl-CS"/>
        </w:rPr>
        <w:t xml:space="preserve"> </w:t>
      </w:r>
      <w:r w:rsidR="00FB4B28">
        <w:rPr>
          <w:rFonts w:ascii="Times New Roman" w:hAnsi="Times New Roman"/>
          <w:sz w:val="24"/>
          <w:szCs w:val="24"/>
          <w:lang w:val="sr-Cyrl-CS"/>
        </w:rPr>
        <w:t xml:space="preserve">према искуству Управе за спречавање прања новца, </w:t>
      </w:r>
      <w:r w:rsidR="00FC53C9">
        <w:rPr>
          <w:rFonts w:ascii="Times New Roman" w:hAnsi="Times New Roman"/>
          <w:sz w:val="24"/>
          <w:szCs w:val="24"/>
          <w:lang w:val="sr-Cyrl-CS"/>
        </w:rPr>
        <w:t>разни су начини и типологије прања новца.</w:t>
      </w:r>
      <w:r w:rsidR="00FC53C9">
        <w:rPr>
          <w:rStyle w:val="FootnoteReference"/>
          <w:rFonts w:ascii="Times New Roman" w:hAnsi="Times New Roman"/>
          <w:sz w:val="24"/>
          <w:szCs w:val="24"/>
          <w:lang w:val="sr-Cyrl-CS"/>
        </w:rPr>
        <w:footnoteReference w:id="733"/>
      </w:r>
      <w:r w:rsidR="00FC53C9">
        <w:rPr>
          <w:rFonts w:ascii="Times New Roman" w:hAnsi="Times New Roman"/>
          <w:sz w:val="24"/>
          <w:szCs w:val="24"/>
          <w:lang w:val="sr-Cyrl-CS"/>
        </w:rPr>
        <w:t xml:space="preserve"> Н</w:t>
      </w:r>
      <w:r>
        <w:rPr>
          <w:rFonts w:ascii="Times New Roman" w:hAnsi="Times New Roman"/>
          <w:sz w:val="24"/>
          <w:szCs w:val="24"/>
          <w:lang w:val="sr-Cyrl-CS"/>
        </w:rPr>
        <w:t>ајчешћи начини да се законом предвиђене банкарске услуге и шифре основа по којима се врше трансакције</w:t>
      </w:r>
      <w:r w:rsidR="005F0058">
        <w:rPr>
          <w:rFonts w:ascii="Times New Roman" w:hAnsi="Times New Roman"/>
          <w:sz w:val="24"/>
          <w:szCs w:val="24"/>
          <w:lang w:val="sr-Cyrl-CS"/>
        </w:rPr>
        <w:t xml:space="preserve"> искористе ради прања новца </w:t>
      </w:r>
      <w:r>
        <w:rPr>
          <w:rFonts w:ascii="Times New Roman" w:hAnsi="Times New Roman"/>
          <w:sz w:val="24"/>
          <w:szCs w:val="24"/>
          <w:lang w:val="sr-Cyrl-CS"/>
        </w:rPr>
        <w:t>стеченог од утаја пореза</w:t>
      </w:r>
      <w:r w:rsidR="00021127">
        <w:rPr>
          <w:rFonts w:ascii="Times New Roman" w:hAnsi="Times New Roman"/>
          <w:sz w:val="24"/>
          <w:szCs w:val="24"/>
          <w:lang w:val="sr-Cyrl-CS"/>
        </w:rPr>
        <w:t>, корупције</w:t>
      </w:r>
      <w:r>
        <w:rPr>
          <w:rFonts w:ascii="Times New Roman" w:hAnsi="Times New Roman"/>
          <w:sz w:val="24"/>
          <w:szCs w:val="24"/>
          <w:lang w:val="sr-Cyrl-CS"/>
        </w:rPr>
        <w:t xml:space="preserve"> и на друге незаконите начине, како би се „прљав“ новац  </w:t>
      </w:r>
      <w:r w:rsidR="00021127">
        <w:rPr>
          <w:rFonts w:ascii="Times New Roman" w:hAnsi="Times New Roman"/>
          <w:sz w:val="24"/>
          <w:szCs w:val="24"/>
          <w:lang w:val="sr-Cyrl-CS"/>
        </w:rPr>
        <w:t>интегрисао кроз банкарски систем били су:</w:t>
      </w:r>
    </w:p>
    <w:p w:rsidR="00021127" w:rsidRDefault="00F216F6" w:rsidP="00021127">
      <w:pPr>
        <w:numPr>
          <w:ilvl w:val="0"/>
          <w:numId w:val="2"/>
        </w:numPr>
        <w:jc w:val="both"/>
        <w:rPr>
          <w:rFonts w:ascii="Times New Roman" w:hAnsi="Times New Roman"/>
          <w:sz w:val="24"/>
          <w:szCs w:val="24"/>
          <w:lang w:val="sr-Cyrl-CS"/>
        </w:rPr>
      </w:pPr>
      <w:r>
        <w:rPr>
          <w:rFonts w:ascii="Times New Roman" w:hAnsi="Times New Roman"/>
          <w:sz w:val="24"/>
          <w:szCs w:val="24"/>
          <w:lang w:val="sr-Cyrl-CS"/>
        </w:rPr>
        <w:t>к</w:t>
      </w:r>
      <w:r w:rsidR="00021127">
        <w:rPr>
          <w:rFonts w:ascii="Times New Roman" w:hAnsi="Times New Roman"/>
          <w:sz w:val="24"/>
          <w:szCs w:val="24"/>
          <w:lang w:val="sr-Cyrl-CS"/>
        </w:rPr>
        <w:t xml:space="preserve">редити са 100% депозитом </w:t>
      </w:r>
      <w:r>
        <w:rPr>
          <w:rFonts w:ascii="Times New Roman" w:hAnsi="Times New Roman"/>
          <w:sz w:val="24"/>
          <w:szCs w:val="24"/>
          <w:lang w:val="sr-Cyrl-CS"/>
        </w:rPr>
        <w:t>(</w:t>
      </w:r>
      <w:r w:rsidR="00021127">
        <w:rPr>
          <w:rFonts w:ascii="Times New Roman" w:hAnsi="Times New Roman"/>
          <w:sz w:val="24"/>
          <w:szCs w:val="24"/>
          <w:lang w:val="sr-Cyrl-CS"/>
        </w:rPr>
        <w:t>као обезбеђењем</w:t>
      </w:r>
      <w:r>
        <w:rPr>
          <w:rFonts w:ascii="Times New Roman" w:hAnsi="Times New Roman"/>
          <w:sz w:val="24"/>
          <w:szCs w:val="24"/>
          <w:lang w:val="sr-Cyrl-CS"/>
        </w:rPr>
        <w:t>) или пре</w:t>
      </w:r>
      <w:r w:rsidR="00021127">
        <w:rPr>
          <w:rFonts w:ascii="Times New Roman" w:hAnsi="Times New Roman"/>
          <w:sz w:val="24"/>
          <w:szCs w:val="24"/>
          <w:lang w:val="sr-Cyrl-CS"/>
        </w:rPr>
        <w:t>времена отплата кредита;</w:t>
      </w:r>
    </w:p>
    <w:p w:rsidR="00F216F6" w:rsidRDefault="00F216F6" w:rsidP="00021127">
      <w:pPr>
        <w:numPr>
          <w:ilvl w:val="0"/>
          <w:numId w:val="2"/>
        </w:numPr>
        <w:jc w:val="both"/>
        <w:rPr>
          <w:rFonts w:ascii="Times New Roman" w:hAnsi="Times New Roman"/>
          <w:sz w:val="24"/>
          <w:szCs w:val="24"/>
          <w:lang w:val="sr-Cyrl-CS"/>
        </w:rPr>
      </w:pPr>
      <w:r w:rsidRPr="00F216F6">
        <w:rPr>
          <w:rFonts w:ascii="Times New Roman" w:hAnsi="Times New Roman"/>
          <w:sz w:val="24"/>
          <w:szCs w:val="24"/>
          <w:lang w:val="sr-Cyrl-CS"/>
        </w:rPr>
        <w:t>в</w:t>
      </w:r>
      <w:r w:rsidR="00021127" w:rsidRPr="00F216F6">
        <w:rPr>
          <w:rFonts w:ascii="Times New Roman" w:hAnsi="Times New Roman"/>
          <w:sz w:val="24"/>
          <w:szCs w:val="24"/>
          <w:lang w:val="sr-Cyrl-CS"/>
        </w:rPr>
        <w:t xml:space="preserve">елике готовинске уплате </w:t>
      </w:r>
      <w:r w:rsidRPr="00F216F6">
        <w:rPr>
          <w:rFonts w:ascii="Times New Roman" w:hAnsi="Times New Roman"/>
          <w:sz w:val="24"/>
          <w:szCs w:val="24"/>
          <w:lang w:val="sr-Cyrl-CS"/>
        </w:rPr>
        <w:t>(</w:t>
      </w:r>
      <w:r w:rsidR="00021127" w:rsidRPr="00F216F6">
        <w:rPr>
          <w:rFonts w:ascii="Times New Roman" w:hAnsi="Times New Roman"/>
          <w:sz w:val="24"/>
          <w:szCs w:val="24"/>
          <w:lang w:val="sr-Cyrl-CS"/>
        </w:rPr>
        <w:t>без ралног основа или неуобичајене за клијента</w:t>
      </w:r>
      <w:r w:rsidRPr="00F216F6">
        <w:rPr>
          <w:rFonts w:ascii="Times New Roman" w:hAnsi="Times New Roman"/>
          <w:sz w:val="24"/>
          <w:szCs w:val="24"/>
          <w:lang w:val="sr-Cyrl-CS"/>
        </w:rPr>
        <w:t>)</w:t>
      </w:r>
      <w:r>
        <w:rPr>
          <w:rFonts w:ascii="Times New Roman" w:hAnsi="Times New Roman"/>
          <w:sz w:val="24"/>
          <w:szCs w:val="24"/>
          <w:lang w:val="sr-Cyrl-CS"/>
        </w:rPr>
        <w:t>;</w:t>
      </w:r>
      <w:r w:rsidR="00021127" w:rsidRPr="00F216F6">
        <w:rPr>
          <w:rFonts w:ascii="Times New Roman" w:hAnsi="Times New Roman"/>
          <w:sz w:val="24"/>
          <w:szCs w:val="24"/>
          <w:lang w:val="sr-Cyrl-CS"/>
        </w:rPr>
        <w:t xml:space="preserve"> </w:t>
      </w:r>
    </w:p>
    <w:p w:rsidR="00021127" w:rsidRPr="00F216F6" w:rsidRDefault="00F216F6" w:rsidP="00021127">
      <w:pPr>
        <w:numPr>
          <w:ilvl w:val="0"/>
          <w:numId w:val="2"/>
        </w:numPr>
        <w:jc w:val="both"/>
        <w:rPr>
          <w:rFonts w:ascii="Times New Roman" w:hAnsi="Times New Roman"/>
          <w:sz w:val="24"/>
          <w:szCs w:val="24"/>
          <w:lang w:val="sr-Cyrl-CS"/>
        </w:rPr>
      </w:pPr>
      <w:r>
        <w:rPr>
          <w:rFonts w:ascii="Times New Roman" w:hAnsi="Times New Roman"/>
          <w:sz w:val="24"/>
          <w:szCs w:val="24"/>
          <w:lang w:val="sr-Cyrl-CS"/>
        </w:rPr>
        <w:t>п</w:t>
      </w:r>
      <w:r w:rsidR="00021127" w:rsidRPr="00F216F6">
        <w:rPr>
          <w:rFonts w:ascii="Times New Roman" w:hAnsi="Times New Roman"/>
          <w:sz w:val="24"/>
          <w:szCs w:val="24"/>
          <w:lang w:val="sr-Cyrl-CS"/>
        </w:rPr>
        <w:t>лаћања по основу промета р</w:t>
      </w:r>
      <w:r>
        <w:rPr>
          <w:rFonts w:ascii="Times New Roman" w:hAnsi="Times New Roman"/>
          <w:sz w:val="24"/>
          <w:szCs w:val="24"/>
          <w:lang w:val="sr-Cyrl-CS"/>
        </w:rPr>
        <w:t>обе и</w:t>
      </w:r>
      <w:r w:rsidR="002F5BC8" w:rsidRPr="00F216F6">
        <w:rPr>
          <w:rFonts w:ascii="Times New Roman" w:hAnsi="Times New Roman"/>
          <w:sz w:val="24"/>
          <w:szCs w:val="24"/>
          <w:lang w:val="sr-Cyrl-CS"/>
        </w:rPr>
        <w:t xml:space="preserve"> услуга са of</w:t>
      </w:r>
      <w:r w:rsidR="002F5BC8" w:rsidRPr="00F216F6">
        <w:rPr>
          <w:rFonts w:ascii="Times New Roman" w:hAnsi="Times New Roman"/>
          <w:sz w:val="24"/>
          <w:szCs w:val="24"/>
        </w:rPr>
        <w:t>f-shore</w:t>
      </w:r>
      <w:r w:rsidR="00021127" w:rsidRPr="00F216F6">
        <w:rPr>
          <w:rFonts w:ascii="Times New Roman" w:hAnsi="Times New Roman"/>
          <w:sz w:val="24"/>
          <w:szCs w:val="24"/>
          <w:lang w:val="sr-Cyrl-CS"/>
        </w:rPr>
        <w:t xml:space="preserve"> компанијама (</w:t>
      </w:r>
      <w:r>
        <w:rPr>
          <w:rFonts w:ascii="Times New Roman" w:hAnsi="Times New Roman"/>
          <w:sz w:val="24"/>
          <w:szCs w:val="24"/>
          <w:lang w:val="sr-Cyrl-CS"/>
        </w:rPr>
        <w:t>често се ради о услугама консалтинга,</w:t>
      </w:r>
      <w:r w:rsidR="00021127" w:rsidRPr="00F216F6">
        <w:rPr>
          <w:rFonts w:ascii="Times New Roman" w:hAnsi="Times New Roman"/>
          <w:sz w:val="24"/>
          <w:szCs w:val="24"/>
          <w:lang w:val="sr-Cyrl-CS"/>
        </w:rPr>
        <w:t xml:space="preserve"> пружања услуга истраживања тржишта, </w:t>
      </w:r>
      <w:r>
        <w:rPr>
          <w:rFonts w:ascii="Times New Roman" w:hAnsi="Times New Roman"/>
          <w:sz w:val="24"/>
          <w:szCs w:val="24"/>
          <w:lang w:val="sr-Cyrl-CS"/>
        </w:rPr>
        <w:t>маркетинга, адвокатскм и рачуноводственим</w:t>
      </w:r>
      <w:r w:rsidR="00021127" w:rsidRPr="00F216F6">
        <w:rPr>
          <w:rFonts w:ascii="Times New Roman" w:hAnsi="Times New Roman"/>
          <w:sz w:val="24"/>
          <w:szCs w:val="24"/>
          <w:lang w:val="sr-Cyrl-CS"/>
        </w:rPr>
        <w:t xml:space="preserve"> ус</w:t>
      </w:r>
      <w:r w:rsidR="00FC53C9" w:rsidRPr="00F216F6">
        <w:rPr>
          <w:rFonts w:ascii="Times New Roman" w:hAnsi="Times New Roman"/>
          <w:sz w:val="24"/>
          <w:szCs w:val="24"/>
          <w:lang w:val="sr-Cyrl-CS"/>
        </w:rPr>
        <w:t>луга</w:t>
      </w:r>
      <w:r>
        <w:rPr>
          <w:rFonts w:ascii="Times New Roman" w:hAnsi="Times New Roman"/>
          <w:sz w:val="24"/>
          <w:szCs w:val="24"/>
          <w:lang w:val="sr-Cyrl-CS"/>
        </w:rPr>
        <w:t>ма, куповини</w:t>
      </w:r>
      <w:r w:rsidR="00FC53C9" w:rsidRPr="00F216F6">
        <w:rPr>
          <w:rFonts w:ascii="Times New Roman" w:hAnsi="Times New Roman"/>
          <w:sz w:val="24"/>
          <w:szCs w:val="24"/>
          <w:lang w:val="sr-Cyrl-CS"/>
        </w:rPr>
        <w:t xml:space="preserve"> некретнина и др</w:t>
      </w:r>
      <w:r w:rsidR="002F5BC8" w:rsidRPr="00F216F6">
        <w:rPr>
          <w:rFonts w:ascii="Times New Roman" w:hAnsi="Times New Roman"/>
          <w:sz w:val="24"/>
          <w:szCs w:val="24"/>
        </w:rPr>
        <w:t>.)</w:t>
      </w:r>
      <w:r w:rsidR="00021127" w:rsidRPr="00F216F6">
        <w:rPr>
          <w:rFonts w:ascii="Times New Roman" w:hAnsi="Times New Roman"/>
          <w:sz w:val="24"/>
          <w:szCs w:val="24"/>
          <w:lang w:val="sr-Cyrl-CS"/>
        </w:rPr>
        <w:t>;</w:t>
      </w:r>
    </w:p>
    <w:p w:rsidR="00021127" w:rsidRDefault="00F216F6" w:rsidP="00021127">
      <w:pPr>
        <w:numPr>
          <w:ilvl w:val="0"/>
          <w:numId w:val="2"/>
        </w:numPr>
        <w:jc w:val="both"/>
        <w:rPr>
          <w:rFonts w:ascii="Times New Roman" w:hAnsi="Times New Roman"/>
          <w:sz w:val="24"/>
          <w:szCs w:val="24"/>
          <w:lang w:val="sr-Cyrl-CS"/>
        </w:rPr>
      </w:pPr>
      <w:r>
        <w:rPr>
          <w:rFonts w:ascii="Times New Roman" w:hAnsi="Times New Roman"/>
          <w:sz w:val="24"/>
          <w:szCs w:val="24"/>
          <w:lang w:val="sr-Cyrl-CS"/>
        </w:rPr>
        <w:t>п</w:t>
      </w:r>
      <w:r w:rsidR="00021127">
        <w:rPr>
          <w:rFonts w:ascii="Times New Roman" w:hAnsi="Times New Roman"/>
          <w:sz w:val="24"/>
          <w:szCs w:val="24"/>
          <w:lang w:val="sr-Cyrl-CS"/>
        </w:rPr>
        <w:t>лаћања по основу услуга новоотвореним домаћим фирмама;</w:t>
      </w:r>
    </w:p>
    <w:p w:rsidR="0014705D" w:rsidRDefault="00F216F6" w:rsidP="00021127">
      <w:pPr>
        <w:numPr>
          <w:ilvl w:val="0"/>
          <w:numId w:val="2"/>
        </w:numPr>
        <w:jc w:val="both"/>
        <w:rPr>
          <w:rFonts w:ascii="Times New Roman" w:hAnsi="Times New Roman"/>
          <w:sz w:val="24"/>
          <w:szCs w:val="24"/>
          <w:lang w:val="sr-Cyrl-CS"/>
        </w:rPr>
      </w:pPr>
      <w:r>
        <w:rPr>
          <w:rFonts w:ascii="Times New Roman" w:hAnsi="Times New Roman"/>
          <w:sz w:val="24"/>
          <w:szCs w:val="24"/>
          <w:lang w:val="sr-Cyrl-CS"/>
        </w:rPr>
        <w:lastRenderedPageBreak/>
        <w:t>г</w:t>
      </w:r>
      <w:r w:rsidR="0024269C">
        <w:rPr>
          <w:rFonts w:ascii="Times New Roman" w:hAnsi="Times New Roman"/>
          <w:sz w:val="24"/>
          <w:szCs w:val="24"/>
          <w:lang w:val="sr-Cyrl-CS"/>
        </w:rPr>
        <w:t>отовинске уплате по основу позајмице оснивача за ликвидност предузећа (оснивачи правна лица злоупотребљавају ова</w:t>
      </w:r>
      <w:r>
        <w:rPr>
          <w:rFonts w:ascii="Times New Roman" w:hAnsi="Times New Roman"/>
          <w:sz w:val="24"/>
          <w:szCs w:val="24"/>
          <w:lang w:val="sr-Cyrl-CS"/>
        </w:rPr>
        <w:t>ј заноном дозвољен основ јер се</w:t>
      </w:r>
      <w:r w:rsidR="0024269C">
        <w:rPr>
          <w:rFonts w:ascii="Times New Roman" w:hAnsi="Times New Roman"/>
          <w:sz w:val="24"/>
          <w:szCs w:val="24"/>
          <w:lang w:val="sr-Cyrl-CS"/>
        </w:rPr>
        <w:t xml:space="preserve"> приликом уп</w:t>
      </w:r>
      <w:r>
        <w:rPr>
          <w:rFonts w:ascii="Times New Roman" w:hAnsi="Times New Roman"/>
          <w:sz w:val="24"/>
          <w:szCs w:val="24"/>
          <w:lang w:val="sr-Cyrl-CS"/>
        </w:rPr>
        <w:t>лата не тражи порекло средстава и</w:t>
      </w:r>
      <w:r w:rsidR="0024269C">
        <w:rPr>
          <w:rFonts w:ascii="Times New Roman" w:hAnsi="Times New Roman"/>
          <w:sz w:val="24"/>
          <w:szCs w:val="24"/>
          <w:lang w:val="sr-Cyrl-CS"/>
        </w:rPr>
        <w:t xml:space="preserve"> нема ограничења к</w:t>
      </w:r>
      <w:r w:rsidR="00FC53C9">
        <w:rPr>
          <w:rFonts w:ascii="Times New Roman" w:hAnsi="Times New Roman"/>
          <w:sz w:val="24"/>
          <w:szCs w:val="24"/>
          <w:lang w:val="sr-Cyrl-CS"/>
        </w:rPr>
        <w:t>оја се односе на висину готовинс</w:t>
      </w:r>
      <w:r w:rsidR="0024269C">
        <w:rPr>
          <w:rFonts w:ascii="Times New Roman" w:hAnsi="Times New Roman"/>
          <w:sz w:val="24"/>
          <w:szCs w:val="24"/>
          <w:lang w:val="sr-Cyrl-CS"/>
        </w:rPr>
        <w:t xml:space="preserve">ке уплате и не </w:t>
      </w:r>
      <w:r w:rsidR="00FC53C9">
        <w:rPr>
          <w:rFonts w:ascii="Times New Roman" w:hAnsi="Times New Roman"/>
          <w:sz w:val="24"/>
          <w:szCs w:val="24"/>
          <w:lang w:val="sr-Cyrl-CS"/>
        </w:rPr>
        <w:t>опорезују се).</w:t>
      </w:r>
    </w:p>
    <w:p w:rsidR="00B80335" w:rsidRDefault="00B80335" w:rsidP="00B80335">
      <w:pPr>
        <w:ind w:left="360"/>
        <w:jc w:val="both"/>
        <w:rPr>
          <w:rFonts w:ascii="Times New Roman" w:hAnsi="Times New Roman"/>
          <w:sz w:val="24"/>
          <w:szCs w:val="24"/>
          <w:lang w:val="sr-Cyrl-CS"/>
        </w:rPr>
      </w:pPr>
      <w:r>
        <w:rPr>
          <w:rFonts w:ascii="Times New Roman" w:hAnsi="Times New Roman"/>
          <w:sz w:val="24"/>
          <w:szCs w:val="24"/>
          <w:lang w:val="sr-Cyrl-CS"/>
        </w:rPr>
        <w:t>Имајући у виду досадашње искуство као најзначајније типологије</w:t>
      </w:r>
      <w:r w:rsidR="00EE637D">
        <w:rPr>
          <w:rStyle w:val="FootnoteReference"/>
          <w:rFonts w:ascii="Times New Roman" w:hAnsi="Times New Roman"/>
          <w:sz w:val="24"/>
          <w:szCs w:val="24"/>
          <w:lang w:val="sr-Cyrl-CS"/>
        </w:rPr>
        <w:footnoteReference w:id="734"/>
      </w:r>
      <w:r>
        <w:rPr>
          <w:rFonts w:ascii="Times New Roman" w:hAnsi="Times New Roman"/>
          <w:sz w:val="24"/>
          <w:szCs w:val="24"/>
          <w:lang w:val="sr-Cyrl-CS"/>
        </w:rPr>
        <w:t xml:space="preserve"> истичу се следеће:</w:t>
      </w:r>
    </w:p>
    <w:p w:rsidR="00EE637D" w:rsidRDefault="005F0058" w:rsidP="00B80335">
      <w:pPr>
        <w:ind w:left="360"/>
        <w:jc w:val="both"/>
        <w:rPr>
          <w:rFonts w:ascii="Times New Roman" w:hAnsi="Times New Roman"/>
          <w:sz w:val="24"/>
          <w:szCs w:val="24"/>
          <w:lang w:val="sr-Cyrl-CS"/>
        </w:rPr>
      </w:pPr>
      <w:r>
        <w:rPr>
          <w:rFonts w:ascii="Times New Roman" w:hAnsi="Times New Roman"/>
          <w:sz w:val="24"/>
          <w:szCs w:val="24"/>
          <w:lang w:val="sr-Cyrl-CS"/>
        </w:rPr>
        <w:t>- У</w:t>
      </w:r>
      <w:r w:rsidR="00B80335">
        <w:rPr>
          <w:rFonts w:ascii="Times New Roman" w:hAnsi="Times New Roman"/>
          <w:sz w:val="24"/>
          <w:szCs w:val="24"/>
          <w:lang w:val="sr-Cyrl-CS"/>
        </w:rPr>
        <w:t xml:space="preserve">плате готовине нелегалног порекла </w:t>
      </w:r>
      <w:r w:rsidR="00EE637D">
        <w:rPr>
          <w:rFonts w:ascii="Times New Roman" w:hAnsi="Times New Roman"/>
          <w:sz w:val="24"/>
          <w:szCs w:val="24"/>
          <w:lang w:val="sr-Cyrl-CS"/>
        </w:rPr>
        <w:t xml:space="preserve">од стране физичког лица </w:t>
      </w:r>
      <w:r w:rsidR="00B80335">
        <w:rPr>
          <w:rFonts w:ascii="Times New Roman" w:hAnsi="Times New Roman"/>
          <w:sz w:val="24"/>
          <w:szCs w:val="24"/>
          <w:lang w:val="sr-Cyrl-CS"/>
        </w:rPr>
        <w:t>по основу позајмице оснивача за ликвидност прошир</w:t>
      </w:r>
      <w:r w:rsidR="00EE637D">
        <w:rPr>
          <w:rFonts w:ascii="Times New Roman" w:hAnsi="Times New Roman"/>
          <w:sz w:val="24"/>
          <w:szCs w:val="24"/>
          <w:lang w:val="sr-Cyrl-CS"/>
        </w:rPr>
        <w:t>ења пословних активности у корист правног лица. На овај начин се нелегално стечен новац улаже у легалан посао, при чему је ослобођен плаћања пореза.</w:t>
      </w:r>
    </w:p>
    <w:p w:rsidR="00EE637D" w:rsidRDefault="00EE637D" w:rsidP="00B80335">
      <w:pPr>
        <w:ind w:left="360"/>
        <w:jc w:val="both"/>
        <w:rPr>
          <w:rFonts w:ascii="Times New Roman" w:hAnsi="Times New Roman"/>
          <w:sz w:val="24"/>
          <w:szCs w:val="24"/>
          <w:lang w:val="sr-Cyrl-CS"/>
        </w:rPr>
      </w:pPr>
      <w:r>
        <w:rPr>
          <w:rFonts w:ascii="Times New Roman" w:hAnsi="Times New Roman"/>
          <w:sz w:val="24"/>
          <w:szCs w:val="24"/>
          <w:lang w:val="sr-Cyrl-CS"/>
        </w:rPr>
        <w:t xml:space="preserve"> </w:t>
      </w:r>
      <w:r w:rsidR="005F0058">
        <w:rPr>
          <w:rFonts w:ascii="Times New Roman" w:hAnsi="Times New Roman"/>
          <w:sz w:val="24"/>
          <w:szCs w:val="24"/>
          <w:lang w:val="sr-Cyrl-CS"/>
        </w:rPr>
        <w:t>- Уплате готовине нелегалног порекла</w:t>
      </w:r>
      <w:r>
        <w:rPr>
          <w:rFonts w:ascii="Times New Roman" w:hAnsi="Times New Roman"/>
          <w:sz w:val="24"/>
          <w:szCs w:val="24"/>
          <w:lang w:val="sr-Cyrl-CS"/>
        </w:rPr>
        <w:t xml:space="preserve">, у мањим износима, </w:t>
      </w:r>
      <w:r w:rsidR="005F0058">
        <w:rPr>
          <w:rFonts w:ascii="Times New Roman" w:hAnsi="Times New Roman"/>
          <w:sz w:val="24"/>
          <w:szCs w:val="24"/>
          <w:lang w:val="sr-Cyrl-CS"/>
        </w:rPr>
        <w:t xml:space="preserve"> </w:t>
      </w:r>
      <w:r>
        <w:rPr>
          <w:rFonts w:ascii="Times New Roman" w:hAnsi="Times New Roman"/>
          <w:sz w:val="24"/>
          <w:szCs w:val="24"/>
          <w:lang w:val="sr-Cyrl-CS"/>
        </w:rPr>
        <w:t xml:space="preserve">од стране физичког лица </w:t>
      </w:r>
      <w:r w:rsidR="005F0058">
        <w:rPr>
          <w:rFonts w:ascii="Times New Roman" w:hAnsi="Times New Roman"/>
          <w:sz w:val="24"/>
          <w:szCs w:val="24"/>
          <w:lang w:val="sr-Cyrl-CS"/>
        </w:rPr>
        <w:t xml:space="preserve">по основу позајмице оснивача за ликвидност </w:t>
      </w:r>
      <w:r>
        <w:rPr>
          <w:rFonts w:ascii="Times New Roman" w:hAnsi="Times New Roman"/>
          <w:sz w:val="24"/>
          <w:szCs w:val="24"/>
          <w:lang w:val="sr-Cyrl-CS"/>
        </w:rPr>
        <w:t>правном лицу, које даље новац које трансферише</w:t>
      </w:r>
      <w:r w:rsidR="005F0058">
        <w:rPr>
          <w:rFonts w:ascii="Times New Roman" w:hAnsi="Times New Roman"/>
          <w:sz w:val="24"/>
          <w:szCs w:val="24"/>
          <w:lang w:val="sr-Cyrl-CS"/>
        </w:rPr>
        <w:t xml:space="preserve"> на друга правна лица</w:t>
      </w:r>
      <w:r>
        <w:rPr>
          <w:rFonts w:ascii="Times New Roman" w:hAnsi="Times New Roman"/>
          <w:sz w:val="24"/>
          <w:szCs w:val="24"/>
          <w:lang w:val="sr-Cyrl-CS"/>
        </w:rPr>
        <w:t xml:space="preserve"> такође по основу позајмице</w:t>
      </w:r>
      <w:r w:rsidR="005F0058">
        <w:rPr>
          <w:rFonts w:ascii="Times New Roman" w:hAnsi="Times New Roman"/>
          <w:sz w:val="24"/>
          <w:szCs w:val="24"/>
          <w:lang w:val="sr-Cyrl-CS"/>
        </w:rPr>
        <w:t xml:space="preserve">. </w:t>
      </w:r>
    </w:p>
    <w:p w:rsidR="00EE637D" w:rsidRDefault="005F0058" w:rsidP="00B80335">
      <w:pPr>
        <w:ind w:left="360"/>
        <w:jc w:val="both"/>
        <w:rPr>
          <w:rFonts w:ascii="Times New Roman" w:hAnsi="Times New Roman"/>
          <w:sz w:val="24"/>
          <w:szCs w:val="24"/>
          <w:lang w:val="sr-Cyrl-CS"/>
        </w:rPr>
      </w:pPr>
      <w:r>
        <w:rPr>
          <w:rFonts w:ascii="Times New Roman" w:hAnsi="Times New Roman"/>
          <w:sz w:val="24"/>
          <w:szCs w:val="24"/>
          <w:lang w:val="sr-Cyrl-CS"/>
        </w:rPr>
        <w:t>- Уплате готовине нелегалног порекла</w:t>
      </w:r>
      <w:r w:rsidR="00CA65D1">
        <w:rPr>
          <w:rFonts w:ascii="Times New Roman" w:hAnsi="Times New Roman"/>
          <w:sz w:val="24"/>
          <w:szCs w:val="24"/>
          <w:lang w:val="sr-Cyrl-CS"/>
        </w:rPr>
        <w:t>,</w:t>
      </w:r>
      <w:r>
        <w:rPr>
          <w:rFonts w:ascii="Times New Roman" w:hAnsi="Times New Roman"/>
          <w:sz w:val="24"/>
          <w:szCs w:val="24"/>
          <w:lang w:val="sr-Cyrl-CS"/>
        </w:rPr>
        <w:t xml:space="preserve"> </w:t>
      </w:r>
      <w:r w:rsidR="00EE637D">
        <w:rPr>
          <w:rFonts w:ascii="Times New Roman" w:hAnsi="Times New Roman"/>
          <w:sz w:val="24"/>
          <w:szCs w:val="24"/>
          <w:lang w:val="sr-Cyrl-CS"/>
        </w:rPr>
        <w:t>у мањим износима</w:t>
      </w:r>
      <w:r w:rsidR="00CA65D1">
        <w:rPr>
          <w:rFonts w:ascii="Times New Roman" w:hAnsi="Times New Roman"/>
          <w:sz w:val="24"/>
          <w:szCs w:val="24"/>
          <w:lang w:val="sr-Cyrl-CS"/>
        </w:rPr>
        <w:t>,</w:t>
      </w:r>
      <w:r w:rsidR="00EE637D">
        <w:rPr>
          <w:rFonts w:ascii="Times New Roman" w:hAnsi="Times New Roman"/>
          <w:sz w:val="24"/>
          <w:szCs w:val="24"/>
          <w:lang w:val="sr-Cyrl-CS"/>
        </w:rPr>
        <w:t xml:space="preserve"> од стране физичког лица </w:t>
      </w:r>
      <w:r>
        <w:rPr>
          <w:rFonts w:ascii="Times New Roman" w:hAnsi="Times New Roman"/>
          <w:sz w:val="24"/>
          <w:szCs w:val="24"/>
          <w:lang w:val="sr-Cyrl-CS"/>
        </w:rPr>
        <w:t xml:space="preserve">по основу повећања оснивачког улога </w:t>
      </w:r>
      <w:r w:rsidR="00EE637D">
        <w:rPr>
          <w:rFonts w:ascii="Times New Roman" w:hAnsi="Times New Roman"/>
          <w:sz w:val="24"/>
          <w:szCs w:val="24"/>
          <w:lang w:val="sr-Cyrl-CS"/>
        </w:rPr>
        <w:t xml:space="preserve">правног лица које се потом продаје. </w:t>
      </w:r>
      <w:r w:rsidR="00CA65D1">
        <w:rPr>
          <w:rFonts w:ascii="Times New Roman" w:hAnsi="Times New Roman"/>
          <w:sz w:val="24"/>
          <w:szCs w:val="24"/>
          <w:lang w:val="sr-Cyrl-CS"/>
        </w:rPr>
        <w:t xml:space="preserve"> </w:t>
      </w:r>
    </w:p>
    <w:p w:rsidR="00FB4B28" w:rsidRDefault="00FB4B28" w:rsidP="00B80335">
      <w:pPr>
        <w:ind w:left="360"/>
        <w:jc w:val="both"/>
        <w:rPr>
          <w:rFonts w:ascii="Times New Roman" w:hAnsi="Times New Roman"/>
          <w:sz w:val="24"/>
          <w:szCs w:val="24"/>
          <w:lang w:val="sr-Cyrl-CS"/>
        </w:rPr>
      </w:pPr>
      <w:r>
        <w:rPr>
          <w:rFonts w:ascii="Times New Roman" w:hAnsi="Times New Roman"/>
          <w:sz w:val="24"/>
          <w:szCs w:val="24"/>
          <w:lang w:val="sr-Cyrl-CS"/>
        </w:rPr>
        <w:t>- Уплате готовине нелегалног порекла</w:t>
      </w:r>
      <w:r w:rsidR="00CA65D1">
        <w:rPr>
          <w:rFonts w:ascii="Times New Roman" w:hAnsi="Times New Roman"/>
          <w:sz w:val="24"/>
          <w:szCs w:val="24"/>
          <w:lang w:val="sr-Cyrl-CS"/>
        </w:rPr>
        <w:t>,</w:t>
      </w:r>
      <w:r>
        <w:rPr>
          <w:rFonts w:ascii="Times New Roman" w:hAnsi="Times New Roman"/>
          <w:sz w:val="24"/>
          <w:szCs w:val="24"/>
          <w:lang w:val="sr-Cyrl-CS"/>
        </w:rPr>
        <w:t xml:space="preserve"> </w:t>
      </w:r>
      <w:r w:rsidR="00CA65D1">
        <w:rPr>
          <w:rFonts w:ascii="Times New Roman" w:hAnsi="Times New Roman"/>
          <w:sz w:val="24"/>
          <w:szCs w:val="24"/>
          <w:lang w:val="sr-Cyrl-CS"/>
        </w:rPr>
        <w:t xml:space="preserve">за отплату хипотекарног кредита, </w:t>
      </w:r>
      <w:r>
        <w:rPr>
          <w:rFonts w:ascii="Times New Roman" w:hAnsi="Times New Roman"/>
          <w:sz w:val="24"/>
          <w:szCs w:val="24"/>
          <w:lang w:val="sr-Cyrl-CS"/>
        </w:rPr>
        <w:t xml:space="preserve">по основу позајмице оснивача за ликвидност. </w:t>
      </w:r>
      <w:r w:rsidR="00CA65D1">
        <w:rPr>
          <w:rFonts w:ascii="Times New Roman" w:hAnsi="Times New Roman"/>
          <w:sz w:val="24"/>
          <w:szCs w:val="24"/>
          <w:lang w:val="sr-Cyrl-CS"/>
        </w:rPr>
        <w:t>(Тако на пример л</w:t>
      </w:r>
      <w:r>
        <w:rPr>
          <w:rFonts w:ascii="Times New Roman" w:hAnsi="Times New Roman"/>
          <w:sz w:val="24"/>
          <w:szCs w:val="24"/>
          <w:lang w:val="sr-Cyrl-CS"/>
        </w:rPr>
        <w:t>ица</w:t>
      </w:r>
      <w:r w:rsidR="00CA65D1">
        <w:rPr>
          <w:rFonts w:ascii="Times New Roman" w:hAnsi="Times New Roman"/>
          <w:sz w:val="24"/>
          <w:szCs w:val="24"/>
          <w:lang w:val="sr-Cyrl-CS"/>
        </w:rPr>
        <w:t xml:space="preserve"> повезана са организованим криминалом</w:t>
      </w:r>
      <w:r w:rsidR="00CA65D1" w:rsidRPr="00CA65D1">
        <w:rPr>
          <w:rFonts w:ascii="Times New Roman" w:hAnsi="Times New Roman"/>
          <w:sz w:val="24"/>
          <w:szCs w:val="24"/>
          <w:lang w:val="sr-Cyrl-CS"/>
        </w:rPr>
        <w:t xml:space="preserve"> </w:t>
      </w:r>
      <w:r w:rsidR="00CA65D1">
        <w:rPr>
          <w:rFonts w:ascii="Times New Roman" w:hAnsi="Times New Roman"/>
          <w:sz w:val="24"/>
          <w:szCs w:val="24"/>
          <w:lang w:val="sr-Cyrl-CS"/>
        </w:rPr>
        <w:t>која поседују хотелско угоститељски објекат</w:t>
      </w:r>
      <w:r w:rsidR="00505825">
        <w:rPr>
          <w:rFonts w:ascii="Times New Roman" w:hAnsi="Times New Roman"/>
          <w:sz w:val="24"/>
          <w:szCs w:val="24"/>
          <w:lang w:val="sr-Cyrl-CS"/>
        </w:rPr>
        <w:t xml:space="preserve"> врше готовинс</w:t>
      </w:r>
      <w:r>
        <w:rPr>
          <w:rFonts w:ascii="Times New Roman" w:hAnsi="Times New Roman"/>
          <w:sz w:val="24"/>
          <w:szCs w:val="24"/>
          <w:lang w:val="sr-Cyrl-CS"/>
        </w:rPr>
        <w:t xml:space="preserve">ке уплате </w:t>
      </w:r>
      <w:r w:rsidR="00CA65D1">
        <w:rPr>
          <w:rFonts w:ascii="Times New Roman" w:hAnsi="Times New Roman"/>
          <w:sz w:val="24"/>
          <w:szCs w:val="24"/>
          <w:lang w:val="sr-Cyrl-CS"/>
        </w:rPr>
        <w:t xml:space="preserve">позајмица на рачун своје фирме и потом средства са рачуна користе </w:t>
      </w:r>
      <w:r>
        <w:rPr>
          <w:rFonts w:ascii="Times New Roman" w:hAnsi="Times New Roman"/>
          <w:sz w:val="24"/>
          <w:szCs w:val="24"/>
          <w:lang w:val="sr-Cyrl-CS"/>
        </w:rPr>
        <w:t>за отплату хипотекарног кредита, који се користи за проширење капацитета и куп</w:t>
      </w:r>
      <w:r w:rsidR="00AA30FB">
        <w:rPr>
          <w:rFonts w:ascii="Times New Roman" w:hAnsi="Times New Roman"/>
          <w:sz w:val="24"/>
          <w:szCs w:val="24"/>
          <w:lang w:val="sr-Cyrl-CS"/>
        </w:rPr>
        <w:t>о</w:t>
      </w:r>
      <w:r>
        <w:rPr>
          <w:rFonts w:ascii="Times New Roman" w:hAnsi="Times New Roman"/>
          <w:sz w:val="24"/>
          <w:szCs w:val="24"/>
          <w:lang w:val="sr-Cyrl-CS"/>
        </w:rPr>
        <w:t xml:space="preserve">вину нових објеката. </w:t>
      </w:r>
      <w:r w:rsidR="00CA65D1">
        <w:rPr>
          <w:rFonts w:ascii="Times New Roman" w:hAnsi="Times New Roman"/>
          <w:sz w:val="24"/>
          <w:szCs w:val="24"/>
          <w:lang w:val="sr-Cyrl-CS"/>
        </w:rPr>
        <w:t>Новац нелегалног порекла се укључује у легалне токове путем приказивања</w:t>
      </w:r>
      <w:r>
        <w:rPr>
          <w:rFonts w:ascii="Times New Roman" w:hAnsi="Times New Roman"/>
          <w:sz w:val="24"/>
          <w:szCs w:val="24"/>
          <w:lang w:val="sr-Cyrl-CS"/>
        </w:rPr>
        <w:t xml:space="preserve"> већег обима пословања по основу хотелско угоститељских ус</w:t>
      </w:r>
      <w:r w:rsidR="00CA65D1">
        <w:rPr>
          <w:rFonts w:ascii="Times New Roman" w:hAnsi="Times New Roman"/>
          <w:sz w:val="24"/>
          <w:szCs w:val="24"/>
          <w:lang w:val="sr-Cyrl-CS"/>
        </w:rPr>
        <w:t>луга)</w:t>
      </w:r>
      <w:r>
        <w:rPr>
          <w:rFonts w:ascii="Times New Roman" w:hAnsi="Times New Roman"/>
          <w:sz w:val="24"/>
          <w:szCs w:val="24"/>
          <w:lang w:val="sr-Cyrl-CS"/>
        </w:rPr>
        <w:t>.</w:t>
      </w:r>
    </w:p>
    <w:p w:rsidR="00FB4B28" w:rsidRDefault="00FB4B28" w:rsidP="00B80335">
      <w:pPr>
        <w:ind w:left="360"/>
        <w:jc w:val="both"/>
        <w:rPr>
          <w:rFonts w:ascii="Times New Roman" w:hAnsi="Times New Roman"/>
          <w:sz w:val="24"/>
          <w:szCs w:val="24"/>
          <w:lang w:val="sr-Cyrl-CS"/>
        </w:rPr>
      </w:pPr>
      <w:r>
        <w:rPr>
          <w:rFonts w:ascii="Times New Roman" w:hAnsi="Times New Roman"/>
          <w:sz w:val="24"/>
          <w:szCs w:val="24"/>
          <w:lang w:val="sr-Cyrl-CS"/>
        </w:rPr>
        <w:t xml:space="preserve">- </w:t>
      </w:r>
      <w:r w:rsidR="00CA65D1">
        <w:rPr>
          <w:rFonts w:ascii="Times New Roman" w:hAnsi="Times New Roman"/>
          <w:sz w:val="24"/>
          <w:szCs w:val="24"/>
          <w:lang w:val="sr-Cyrl-CS"/>
        </w:rPr>
        <w:t>Отплате кредита готовином нел</w:t>
      </w:r>
      <w:r w:rsidR="00505825">
        <w:rPr>
          <w:rFonts w:ascii="Times New Roman" w:hAnsi="Times New Roman"/>
          <w:sz w:val="24"/>
          <w:szCs w:val="24"/>
          <w:lang w:val="sr-Cyrl-CS"/>
        </w:rPr>
        <w:t>егалног порекла од стране јемца</w:t>
      </w:r>
      <w:r w:rsidR="00CA65D1">
        <w:rPr>
          <w:rFonts w:ascii="Times New Roman" w:hAnsi="Times New Roman"/>
          <w:sz w:val="24"/>
          <w:szCs w:val="24"/>
          <w:lang w:val="sr-Cyrl-CS"/>
        </w:rPr>
        <w:t xml:space="preserve"> (који је повезан са организованим криминалом, врши готовинске уплате доспелих рата кредита,</w:t>
      </w:r>
      <w:r>
        <w:rPr>
          <w:rFonts w:ascii="Times New Roman" w:hAnsi="Times New Roman"/>
          <w:sz w:val="24"/>
          <w:szCs w:val="24"/>
          <w:lang w:val="sr-Cyrl-CS"/>
        </w:rPr>
        <w:t xml:space="preserve"> </w:t>
      </w:r>
      <w:r w:rsidR="00CA65D1">
        <w:rPr>
          <w:rFonts w:ascii="Times New Roman" w:hAnsi="Times New Roman"/>
          <w:sz w:val="24"/>
          <w:szCs w:val="24"/>
          <w:lang w:val="sr-Cyrl-CS"/>
        </w:rPr>
        <w:t>у</w:t>
      </w:r>
      <w:r>
        <w:rPr>
          <w:rFonts w:ascii="Times New Roman" w:hAnsi="Times New Roman"/>
          <w:sz w:val="24"/>
          <w:szCs w:val="24"/>
          <w:lang w:val="sr-Cyrl-CS"/>
        </w:rPr>
        <w:t>кол</w:t>
      </w:r>
      <w:r w:rsidR="00AA30FB">
        <w:rPr>
          <w:rFonts w:ascii="Times New Roman" w:hAnsi="Times New Roman"/>
          <w:sz w:val="24"/>
          <w:szCs w:val="24"/>
          <w:lang w:val="sr-Cyrl-CS"/>
        </w:rPr>
        <w:t>и</w:t>
      </w:r>
      <w:r>
        <w:rPr>
          <w:rFonts w:ascii="Times New Roman" w:hAnsi="Times New Roman"/>
          <w:sz w:val="24"/>
          <w:szCs w:val="24"/>
          <w:lang w:val="sr-Cyrl-CS"/>
        </w:rPr>
        <w:t>ко корисник кредита не и</w:t>
      </w:r>
      <w:r w:rsidR="00AA30FB">
        <w:rPr>
          <w:rFonts w:ascii="Times New Roman" w:hAnsi="Times New Roman"/>
          <w:sz w:val="24"/>
          <w:szCs w:val="24"/>
          <w:lang w:val="sr-Cyrl-CS"/>
        </w:rPr>
        <w:t>з</w:t>
      </w:r>
      <w:r>
        <w:rPr>
          <w:rFonts w:ascii="Times New Roman" w:hAnsi="Times New Roman"/>
          <w:sz w:val="24"/>
          <w:szCs w:val="24"/>
          <w:lang w:val="sr-Cyrl-CS"/>
        </w:rPr>
        <w:t>врш</w:t>
      </w:r>
      <w:r w:rsidR="009A7D6E">
        <w:rPr>
          <w:rFonts w:ascii="Times New Roman" w:hAnsi="Times New Roman"/>
          <w:sz w:val="24"/>
          <w:szCs w:val="24"/>
          <w:lang w:val="sr-Cyrl-CS"/>
        </w:rPr>
        <w:t>ава уговором предвиђене обавезе, а</w:t>
      </w:r>
      <w:r>
        <w:rPr>
          <w:rFonts w:ascii="Times New Roman" w:hAnsi="Times New Roman"/>
          <w:sz w:val="24"/>
          <w:szCs w:val="24"/>
          <w:lang w:val="sr-Cyrl-CS"/>
        </w:rPr>
        <w:t xml:space="preserve"> </w:t>
      </w:r>
      <w:r w:rsidR="009A7D6E">
        <w:rPr>
          <w:rFonts w:ascii="Times New Roman" w:hAnsi="Times New Roman"/>
          <w:sz w:val="24"/>
          <w:szCs w:val="24"/>
          <w:lang w:val="sr-Cyrl-CS"/>
        </w:rPr>
        <w:t>к</w:t>
      </w:r>
      <w:r>
        <w:rPr>
          <w:rFonts w:ascii="Times New Roman" w:hAnsi="Times New Roman"/>
          <w:sz w:val="24"/>
          <w:szCs w:val="24"/>
          <w:lang w:val="sr-Cyrl-CS"/>
        </w:rPr>
        <w:t>редит је искоришћен за куп</w:t>
      </w:r>
      <w:r w:rsidR="00AA30FB">
        <w:rPr>
          <w:rFonts w:ascii="Times New Roman" w:hAnsi="Times New Roman"/>
          <w:sz w:val="24"/>
          <w:szCs w:val="24"/>
          <w:lang w:val="sr-Cyrl-CS"/>
        </w:rPr>
        <w:t>о</w:t>
      </w:r>
      <w:r>
        <w:rPr>
          <w:rFonts w:ascii="Times New Roman" w:hAnsi="Times New Roman"/>
          <w:sz w:val="24"/>
          <w:szCs w:val="24"/>
          <w:lang w:val="sr-Cyrl-CS"/>
        </w:rPr>
        <w:t>вину земљишта тако да корисник кредита, по основу дуга, преноси власништво над земљиштем, на лице које уплаћује кредит</w:t>
      </w:r>
      <w:r w:rsidR="009A7D6E">
        <w:rPr>
          <w:rFonts w:ascii="Times New Roman" w:hAnsi="Times New Roman"/>
          <w:sz w:val="24"/>
          <w:szCs w:val="24"/>
          <w:lang w:val="sr-Cyrl-CS"/>
        </w:rPr>
        <w:t>)</w:t>
      </w:r>
      <w:r>
        <w:rPr>
          <w:rFonts w:ascii="Times New Roman" w:hAnsi="Times New Roman"/>
          <w:sz w:val="24"/>
          <w:szCs w:val="24"/>
          <w:lang w:val="sr-Cyrl-CS"/>
        </w:rPr>
        <w:t>.</w:t>
      </w:r>
    </w:p>
    <w:p w:rsidR="00FB4B28" w:rsidRDefault="00FB4B28" w:rsidP="00B80335">
      <w:pPr>
        <w:ind w:left="360"/>
        <w:jc w:val="both"/>
        <w:rPr>
          <w:rFonts w:ascii="Times New Roman" w:hAnsi="Times New Roman"/>
          <w:sz w:val="24"/>
          <w:szCs w:val="24"/>
          <w:lang w:val="sr-Cyrl-CS"/>
        </w:rPr>
      </w:pPr>
      <w:r>
        <w:rPr>
          <w:rFonts w:ascii="Times New Roman" w:hAnsi="Times New Roman"/>
          <w:sz w:val="24"/>
          <w:szCs w:val="24"/>
          <w:lang w:val="sr-Cyrl-CS"/>
        </w:rPr>
        <w:t>- Готовинске трансакције физичких лица у већим износима</w:t>
      </w:r>
      <w:r w:rsidR="009A7D6E">
        <w:rPr>
          <w:rFonts w:ascii="Times New Roman" w:hAnsi="Times New Roman"/>
          <w:sz w:val="24"/>
          <w:szCs w:val="24"/>
          <w:lang w:val="sr-Cyrl-CS"/>
        </w:rPr>
        <w:t xml:space="preserve"> (при чему је новац нелегалног порекла, а трансакције нису уобичајене нити су </w:t>
      </w:r>
      <w:r w:rsidR="00136263">
        <w:rPr>
          <w:rFonts w:ascii="Times New Roman" w:hAnsi="Times New Roman"/>
          <w:sz w:val="24"/>
          <w:szCs w:val="24"/>
          <w:lang w:val="sr-Cyrl-CS"/>
        </w:rPr>
        <w:t>у складу са приходима и статусом клијента</w:t>
      </w:r>
      <w:r w:rsidR="009A7D6E">
        <w:rPr>
          <w:rFonts w:ascii="Times New Roman" w:hAnsi="Times New Roman"/>
          <w:sz w:val="24"/>
          <w:szCs w:val="24"/>
          <w:lang w:val="sr-Cyrl-CS"/>
        </w:rPr>
        <w:t>)</w:t>
      </w:r>
      <w:r w:rsidR="00136263">
        <w:rPr>
          <w:rFonts w:ascii="Times New Roman" w:hAnsi="Times New Roman"/>
          <w:sz w:val="24"/>
          <w:szCs w:val="24"/>
          <w:lang w:val="sr-Cyrl-CS"/>
        </w:rPr>
        <w:t>.</w:t>
      </w:r>
    </w:p>
    <w:p w:rsidR="00136263" w:rsidRDefault="00136263" w:rsidP="00B80335">
      <w:pPr>
        <w:ind w:left="360"/>
        <w:jc w:val="both"/>
        <w:rPr>
          <w:rFonts w:ascii="Times New Roman" w:hAnsi="Times New Roman"/>
          <w:sz w:val="24"/>
          <w:szCs w:val="24"/>
          <w:lang w:val="sr-Cyrl-CS"/>
        </w:rPr>
      </w:pPr>
      <w:r>
        <w:rPr>
          <w:rFonts w:ascii="Times New Roman" w:hAnsi="Times New Roman"/>
          <w:sz w:val="24"/>
          <w:szCs w:val="24"/>
          <w:lang w:val="sr-Cyrl-CS"/>
        </w:rPr>
        <w:t>- Трансфер из иностранства у корист ф</w:t>
      </w:r>
      <w:r w:rsidR="00505825">
        <w:rPr>
          <w:rFonts w:ascii="Times New Roman" w:hAnsi="Times New Roman"/>
          <w:sz w:val="24"/>
          <w:szCs w:val="24"/>
          <w:lang w:val="sr-Cyrl-CS"/>
        </w:rPr>
        <w:t>изичких лица, без јасног основа</w:t>
      </w:r>
      <w:r w:rsidR="009A7D6E">
        <w:rPr>
          <w:rFonts w:ascii="Times New Roman" w:hAnsi="Times New Roman"/>
          <w:sz w:val="24"/>
          <w:szCs w:val="24"/>
          <w:lang w:val="sr-Cyrl-CS"/>
        </w:rPr>
        <w:t xml:space="preserve"> (</w:t>
      </w:r>
      <w:r w:rsidR="00A1672E">
        <w:rPr>
          <w:rFonts w:ascii="Times New Roman" w:hAnsi="Times New Roman"/>
          <w:sz w:val="24"/>
          <w:szCs w:val="24"/>
          <w:lang w:val="sr-Cyrl-CS"/>
        </w:rPr>
        <w:t xml:space="preserve"> ф</w:t>
      </w:r>
      <w:r>
        <w:rPr>
          <w:rFonts w:ascii="Times New Roman" w:hAnsi="Times New Roman"/>
          <w:sz w:val="24"/>
          <w:szCs w:val="24"/>
          <w:lang w:val="sr-Cyrl-CS"/>
        </w:rPr>
        <w:t xml:space="preserve">изичка лица </w:t>
      </w:r>
      <w:r w:rsidR="00A1672E">
        <w:rPr>
          <w:rFonts w:ascii="Times New Roman" w:hAnsi="Times New Roman"/>
          <w:sz w:val="24"/>
          <w:szCs w:val="24"/>
          <w:lang w:val="sr-Cyrl-CS"/>
        </w:rPr>
        <w:t xml:space="preserve">примају новац из иностранства од физичких и правних лица са којима нису </w:t>
      </w:r>
      <w:r w:rsidR="00962074">
        <w:rPr>
          <w:rFonts w:ascii="Times New Roman" w:hAnsi="Times New Roman"/>
          <w:sz w:val="24"/>
          <w:szCs w:val="24"/>
          <w:lang w:val="sr-Cyrl-CS"/>
        </w:rPr>
        <w:t xml:space="preserve">ни </w:t>
      </w:r>
      <w:r w:rsidR="00A1672E">
        <w:rPr>
          <w:rFonts w:ascii="Times New Roman" w:hAnsi="Times New Roman"/>
          <w:sz w:val="24"/>
          <w:szCs w:val="24"/>
          <w:lang w:val="sr-Cyrl-CS"/>
        </w:rPr>
        <w:t xml:space="preserve">у </w:t>
      </w:r>
      <w:r w:rsidR="00962074">
        <w:rPr>
          <w:rFonts w:ascii="Times New Roman" w:hAnsi="Times New Roman"/>
          <w:sz w:val="24"/>
          <w:szCs w:val="24"/>
          <w:lang w:val="sr-Cyrl-CS"/>
        </w:rPr>
        <w:t xml:space="preserve">каквом </w:t>
      </w:r>
      <w:r w:rsidR="00A1672E">
        <w:rPr>
          <w:rFonts w:ascii="Times New Roman" w:hAnsi="Times New Roman"/>
          <w:sz w:val="24"/>
          <w:szCs w:val="24"/>
          <w:lang w:val="sr-Cyrl-CS"/>
        </w:rPr>
        <w:t>пословном односу</w:t>
      </w:r>
      <w:r w:rsidR="00962074">
        <w:rPr>
          <w:rFonts w:ascii="Times New Roman" w:hAnsi="Times New Roman"/>
          <w:sz w:val="24"/>
          <w:szCs w:val="24"/>
          <w:lang w:val="sr-Cyrl-CS"/>
        </w:rPr>
        <w:t>, а</w:t>
      </w:r>
      <w:r w:rsidR="00A1672E">
        <w:rPr>
          <w:rFonts w:ascii="Times New Roman" w:hAnsi="Times New Roman"/>
          <w:sz w:val="24"/>
          <w:szCs w:val="24"/>
          <w:lang w:val="sr-Cyrl-CS"/>
        </w:rPr>
        <w:t xml:space="preserve"> </w:t>
      </w:r>
      <w:r>
        <w:rPr>
          <w:rFonts w:ascii="Times New Roman" w:hAnsi="Times New Roman"/>
          <w:sz w:val="24"/>
          <w:szCs w:val="24"/>
          <w:lang w:val="sr-Cyrl-CS"/>
        </w:rPr>
        <w:t>остварила</w:t>
      </w:r>
      <w:r w:rsidR="00962074">
        <w:rPr>
          <w:rFonts w:ascii="Times New Roman" w:hAnsi="Times New Roman"/>
          <w:sz w:val="24"/>
          <w:szCs w:val="24"/>
          <w:lang w:val="sr-Cyrl-CS"/>
        </w:rPr>
        <w:t xml:space="preserve"> су</w:t>
      </w:r>
      <w:r>
        <w:rPr>
          <w:rFonts w:ascii="Times New Roman" w:hAnsi="Times New Roman"/>
          <w:sz w:val="24"/>
          <w:szCs w:val="24"/>
          <w:lang w:val="sr-Cyrl-CS"/>
        </w:rPr>
        <w:t xml:space="preserve"> финансијску корист злоупотре</w:t>
      </w:r>
      <w:r w:rsidR="00AA30FB">
        <w:rPr>
          <w:rFonts w:ascii="Times New Roman" w:hAnsi="Times New Roman"/>
          <w:sz w:val="24"/>
          <w:szCs w:val="24"/>
          <w:lang w:val="sr-Cyrl-CS"/>
        </w:rPr>
        <w:t>б</w:t>
      </w:r>
      <w:r>
        <w:rPr>
          <w:rFonts w:ascii="Times New Roman" w:hAnsi="Times New Roman"/>
          <w:sz w:val="24"/>
          <w:szCs w:val="24"/>
          <w:lang w:val="sr-Cyrl-CS"/>
        </w:rPr>
        <w:t>ом службеног положаја или по основу корупције</w:t>
      </w:r>
      <w:r w:rsidR="00962074">
        <w:rPr>
          <w:rFonts w:ascii="Times New Roman" w:hAnsi="Times New Roman"/>
          <w:sz w:val="24"/>
          <w:szCs w:val="24"/>
          <w:lang w:val="sr-Cyrl-CS"/>
        </w:rPr>
        <w:t>)</w:t>
      </w:r>
      <w:r>
        <w:rPr>
          <w:rFonts w:ascii="Times New Roman" w:hAnsi="Times New Roman"/>
          <w:sz w:val="24"/>
          <w:szCs w:val="24"/>
          <w:lang w:val="sr-Cyrl-CS"/>
        </w:rPr>
        <w:t>.</w:t>
      </w:r>
    </w:p>
    <w:p w:rsidR="00136263" w:rsidRDefault="00AA30FB" w:rsidP="00B80335">
      <w:pPr>
        <w:ind w:left="360"/>
        <w:jc w:val="both"/>
        <w:rPr>
          <w:rFonts w:ascii="Times New Roman" w:hAnsi="Times New Roman"/>
          <w:sz w:val="24"/>
          <w:szCs w:val="24"/>
          <w:lang w:val="sr-Cyrl-CS"/>
        </w:rPr>
      </w:pPr>
      <w:r>
        <w:rPr>
          <w:rFonts w:ascii="Times New Roman" w:hAnsi="Times New Roman"/>
          <w:sz w:val="24"/>
          <w:szCs w:val="24"/>
          <w:lang w:val="sr-Cyrl-CS"/>
        </w:rPr>
        <w:lastRenderedPageBreak/>
        <w:t>- Велики број готовинс</w:t>
      </w:r>
      <w:r w:rsidR="00136263">
        <w:rPr>
          <w:rFonts w:ascii="Times New Roman" w:hAnsi="Times New Roman"/>
          <w:sz w:val="24"/>
          <w:szCs w:val="24"/>
          <w:lang w:val="sr-Cyrl-CS"/>
        </w:rPr>
        <w:t>ких уплтата више физичких лица у корист рачуна једног физ</w:t>
      </w:r>
      <w:r w:rsidR="00505825">
        <w:rPr>
          <w:rFonts w:ascii="Times New Roman" w:hAnsi="Times New Roman"/>
          <w:sz w:val="24"/>
          <w:szCs w:val="24"/>
          <w:lang w:val="sr-Cyrl-CS"/>
        </w:rPr>
        <w:t>ичког лица (како би се радило о уплат</w:t>
      </w:r>
      <w:r w:rsidR="00962074">
        <w:rPr>
          <w:rFonts w:ascii="Times New Roman" w:hAnsi="Times New Roman"/>
          <w:sz w:val="24"/>
          <w:szCs w:val="24"/>
          <w:lang w:val="sr-Cyrl-CS"/>
        </w:rPr>
        <w:t>ама испод законског минимума</w:t>
      </w:r>
      <w:r w:rsidR="00136263">
        <w:rPr>
          <w:rFonts w:ascii="Times New Roman" w:hAnsi="Times New Roman"/>
          <w:sz w:val="24"/>
          <w:szCs w:val="24"/>
          <w:lang w:val="sr-Cyrl-CS"/>
        </w:rPr>
        <w:t xml:space="preserve">, </w:t>
      </w:r>
      <w:r w:rsidR="00962074">
        <w:rPr>
          <w:rFonts w:ascii="Times New Roman" w:hAnsi="Times New Roman"/>
          <w:sz w:val="24"/>
          <w:szCs w:val="24"/>
          <w:lang w:val="sr-Cyrl-CS"/>
        </w:rPr>
        <w:t xml:space="preserve">а потом се уплаћена средства </w:t>
      </w:r>
      <w:r w:rsidR="00136263">
        <w:rPr>
          <w:rFonts w:ascii="Times New Roman" w:hAnsi="Times New Roman"/>
          <w:sz w:val="24"/>
          <w:szCs w:val="24"/>
          <w:lang w:val="sr-Cyrl-CS"/>
        </w:rPr>
        <w:t>у кр</w:t>
      </w:r>
      <w:r>
        <w:rPr>
          <w:rFonts w:ascii="Times New Roman" w:hAnsi="Times New Roman"/>
          <w:sz w:val="24"/>
          <w:szCs w:val="24"/>
          <w:lang w:val="sr-Cyrl-CS"/>
        </w:rPr>
        <w:t>а</w:t>
      </w:r>
      <w:r w:rsidR="00136263">
        <w:rPr>
          <w:rFonts w:ascii="Times New Roman" w:hAnsi="Times New Roman"/>
          <w:sz w:val="24"/>
          <w:szCs w:val="24"/>
          <w:lang w:val="sr-Cyrl-CS"/>
        </w:rPr>
        <w:t xml:space="preserve">тком </w:t>
      </w:r>
      <w:r w:rsidR="00962074">
        <w:rPr>
          <w:rFonts w:ascii="Times New Roman" w:hAnsi="Times New Roman"/>
          <w:sz w:val="24"/>
          <w:szCs w:val="24"/>
          <w:lang w:val="sr-Cyrl-CS"/>
        </w:rPr>
        <w:t xml:space="preserve">временском </w:t>
      </w:r>
      <w:r w:rsidR="00136263">
        <w:rPr>
          <w:rFonts w:ascii="Times New Roman" w:hAnsi="Times New Roman"/>
          <w:sz w:val="24"/>
          <w:szCs w:val="24"/>
          <w:lang w:val="sr-Cyrl-CS"/>
        </w:rPr>
        <w:t>року трансферишу у исностранство по основу исплата ефективе на АТМ уређајима у иностранству</w:t>
      </w:r>
      <w:r w:rsidR="00962074">
        <w:rPr>
          <w:rFonts w:ascii="Times New Roman" w:hAnsi="Times New Roman"/>
          <w:sz w:val="24"/>
          <w:szCs w:val="24"/>
          <w:lang w:val="sr-Cyrl-CS"/>
        </w:rPr>
        <w:t>)</w:t>
      </w:r>
      <w:r w:rsidR="00136263">
        <w:rPr>
          <w:rFonts w:ascii="Times New Roman" w:hAnsi="Times New Roman"/>
          <w:sz w:val="24"/>
          <w:szCs w:val="24"/>
          <w:lang w:val="sr-Cyrl-CS"/>
        </w:rPr>
        <w:t>.</w:t>
      </w:r>
    </w:p>
    <w:p w:rsidR="00136263" w:rsidRDefault="00136263" w:rsidP="00B80335">
      <w:pPr>
        <w:ind w:left="360"/>
        <w:jc w:val="both"/>
        <w:rPr>
          <w:rFonts w:ascii="Times New Roman" w:hAnsi="Times New Roman"/>
          <w:sz w:val="24"/>
          <w:szCs w:val="24"/>
          <w:lang w:val="sr-Cyrl-CS"/>
        </w:rPr>
      </w:pPr>
      <w:r>
        <w:rPr>
          <w:rFonts w:ascii="Times New Roman" w:hAnsi="Times New Roman"/>
          <w:sz w:val="24"/>
          <w:szCs w:val="24"/>
          <w:lang w:val="sr-Cyrl-CS"/>
        </w:rPr>
        <w:t xml:space="preserve">-Једно лице </w:t>
      </w:r>
      <w:r w:rsidR="00962074">
        <w:rPr>
          <w:rFonts w:ascii="Times New Roman" w:hAnsi="Times New Roman"/>
          <w:sz w:val="24"/>
          <w:szCs w:val="24"/>
          <w:lang w:val="sr-Cyrl-CS"/>
        </w:rPr>
        <w:t>се овлашћује</w:t>
      </w:r>
      <w:r>
        <w:rPr>
          <w:rFonts w:ascii="Times New Roman" w:hAnsi="Times New Roman"/>
          <w:sz w:val="24"/>
          <w:szCs w:val="24"/>
          <w:lang w:val="sr-Cyrl-CS"/>
        </w:rPr>
        <w:t xml:space="preserve"> за располагање средствима по рачунима више ли</w:t>
      </w:r>
      <w:r w:rsidR="00962074">
        <w:rPr>
          <w:rFonts w:ascii="Times New Roman" w:hAnsi="Times New Roman"/>
          <w:sz w:val="24"/>
          <w:szCs w:val="24"/>
          <w:lang w:val="sr-Cyrl-CS"/>
        </w:rPr>
        <w:t>ца не које се врше честе готовинске уплате у кратком временском пери</w:t>
      </w:r>
      <w:r w:rsidR="00505825">
        <w:rPr>
          <w:rFonts w:ascii="Times New Roman" w:hAnsi="Times New Roman"/>
          <w:sz w:val="24"/>
          <w:szCs w:val="24"/>
          <w:lang w:val="sr-Cyrl-CS"/>
        </w:rPr>
        <w:t>оду, (како би се радило о уплат</w:t>
      </w:r>
      <w:r w:rsidR="00962074">
        <w:rPr>
          <w:rFonts w:ascii="Times New Roman" w:hAnsi="Times New Roman"/>
          <w:sz w:val="24"/>
          <w:szCs w:val="24"/>
          <w:lang w:val="sr-Cyrl-CS"/>
        </w:rPr>
        <w:t xml:space="preserve">ама испод законског минимума, </w:t>
      </w:r>
      <w:r>
        <w:rPr>
          <w:rFonts w:ascii="Times New Roman" w:hAnsi="Times New Roman"/>
          <w:sz w:val="24"/>
          <w:szCs w:val="24"/>
          <w:lang w:val="sr-Cyrl-CS"/>
        </w:rPr>
        <w:t xml:space="preserve">са којих </w:t>
      </w:r>
      <w:r w:rsidR="00962074">
        <w:rPr>
          <w:rFonts w:ascii="Times New Roman" w:hAnsi="Times New Roman"/>
          <w:sz w:val="24"/>
          <w:szCs w:val="24"/>
          <w:lang w:val="sr-Cyrl-CS"/>
        </w:rPr>
        <w:t xml:space="preserve">рачуна </w:t>
      </w:r>
      <w:r>
        <w:rPr>
          <w:rFonts w:ascii="Times New Roman" w:hAnsi="Times New Roman"/>
          <w:sz w:val="24"/>
          <w:szCs w:val="24"/>
          <w:lang w:val="sr-Cyrl-CS"/>
        </w:rPr>
        <w:t>се средства у кратком року преносе на друге рачуне или трансферишу у иностранство по основу потрошње по картици плаћањем робе и услуга путем интернета</w:t>
      </w:r>
      <w:r w:rsidR="00962074">
        <w:rPr>
          <w:rFonts w:ascii="Times New Roman" w:hAnsi="Times New Roman"/>
          <w:sz w:val="24"/>
          <w:szCs w:val="24"/>
          <w:lang w:val="sr-Cyrl-CS"/>
        </w:rPr>
        <w:t>)</w:t>
      </w:r>
      <w:r>
        <w:rPr>
          <w:rFonts w:ascii="Times New Roman" w:hAnsi="Times New Roman"/>
          <w:sz w:val="24"/>
          <w:szCs w:val="24"/>
          <w:lang w:val="sr-Cyrl-CS"/>
        </w:rPr>
        <w:t>.</w:t>
      </w:r>
    </w:p>
    <w:p w:rsidR="00C83741" w:rsidRPr="002B402B" w:rsidRDefault="000627D4" w:rsidP="00722C79">
      <w:pPr>
        <w:ind w:left="360"/>
        <w:jc w:val="both"/>
        <w:rPr>
          <w:rFonts w:ascii="Times New Roman" w:hAnsi="Times New Roman"/>
          <w:sz w:val="24"/>
          <w:szCs w:val="24"/>
          <w:lang w:val="sr-Cyrl-CS"/>
        </w:rPr>
      </w:pPr>
      <w:r>
        <w:rPr>
          <w:rFonts w:ascii="Times New Roman" w:hAnsi="Times New Roman"/>
          <w:sz w:val="24"/>
          <w:szCs w:val="24"/>
          <w:lang w:val="sr-Cyrl-CS"/>
        </w:rPr>
        <w:t>- Поседовање већег броја рачуна у разли</w:t>
      </w:r>
      <w:r w:rsidR="00505825">
        <w:rPr>
          <w:rFonts w:ascii="Times New Roman" w:hAnsi="Times New Roman"/>
          <w:sz w:val="24"/>
          <w:szCs w:val="24"/>
          <w:lang w:val="sr-Cyrl-CS"/>
        </w:rPr>
        <w:t>читим банкама</w:t>
      </w:r>
      <w:r w:rsidR="00962074">
        <w:rPr>
          <w:rFonts w:ascii="Times New Roman" w:hAnsi="Times New Roman"/>
          <w:sz w:val="24"/>
          <w:szCs w:val="24"/>
          <w:lang w:val="sr-Cyrl-CS"/>
        </w:rPr>
        <w:t xml:space="preserve"> (динарских, девизних, наменских и рачуна ороченим средставима,</w:t>
      </w:r>
      <w:r>
        <w:rPr>
          <w:rFonts w:ascii="Times New Roman" w:hAnsi="Times New Roman"/>
          <w:sz w:val="24"/>
          <w:szCs w:val="24"/>
          <w:lang w:val="sr-Cyrl-CS"/>
        </w:rPr>
        <w:t xml:space="preserve"> </w:t>
      </w:r>
      <w:r w:rsidR="00962074">
        <w:rPr>
          <w:rFonts w:ascii="Times New Roman" w:hAnsi="Times New Roman"/>
          <w:sz w:val="24"/>
          <w:szCs w:val="24"/>
          <w:lang w:val="sr-Cyrl-CS"/>
        </w:rPr>
        <w:t>при чему се врше чести трансфери</w:t>
      </w:r>
      <w:r>
        <w:rPr>
          <w:rFonts w:ascii="Times New Roman" w:hAnsi="Times New Roman"/>
          <w:sz w:val="24"/>
          <w:szCs w:val="24"/>
          <w:lang w:val="sr-Cyrl-CS"/>
        </w:rPr>
        <w:t xml:space="preserve"> средстава са једног рачуна на други</w:t>
      </w:r>
      <w:r w:rsidR="00962074">
        <w:rPr>
          <w:rFonts w:ascii="Times New Roman" w:hAnsi="Times New Roman"/>
          <w:sz w:val="24"/>
          <w:szCs w:val="24"/>
          <w:lang w:val="sr-Cyrl-CS"/>
        </w:rPr>
        <w:t>)</w:t>
      </w:r>
      <w:r>
        <w:rPr>
          <w:rFonts w:ascii="Times New Roman" w:hAnsi="Times New Roman"/>
          <w:sz w:val="24"/>
          <w:szCs w:val="24"/>
          <w:lang w:val="sr-Cyrl-CS"/>
        </w:rPr>
        <w:t>.</w:t>
      </w:r>
    </w:p>
    <w:p w:rsidR="00BC7798" w:rsidRDefault="00960D8B" w:rsidP="0076478C">
      <w:pPr>
        <w:ind w:firstLine="360"/>
        <w:jc w:val="both"/>
        <w:rPr>
          <w:rFonts w:ascii="Times New Roman" w:hAnsi="Times New Roman"/>
          <w:sz w:val="24"/>
          <w:szCs w:val="24"/>
        </w:rPr>
      </w:pPr>
      <w:r w:rsidRPr="00960D8B">
        <w:rPr>
          <w:rFonts w:ascii="Times New Roman" w:hAnsi="Times New Roman"/>
          <w:sz w:val="24"/>
          <w:szCs w:val="24"/>
          <w:lang w:val="sr-Cyrl-CS"/>
        </w:rPr>
        <w:t>Дакле, облици корупције који се појављују у пракси су веома бројни.</w:t>
      </w:r>
      <w:r>
        <w:rPr>
          <w:rFonts w:ascii="Times New Roman" w:hAnsi="Times New Roman"/>
          <w:sz w:val="24"/>
          <w:szCs w:val="24"/>
          <w:lang w:val="sr-Cyrl-CS"/>
        </w:rPr>
        <w:t xml:space="preserve"> </w:t>
      </w:r>
      <w:r w:rsidR="00AA30FB" w:rsidRPr="00960D8B">
        <w:rPr>
          <w:rFonts w:ascii="Times New Roman" w:hAnsi="Times New Roman"/>
          <w:sz w:val="24"/>
          <w:szCs w:val="24"/>
          <w:lang w:val="sr-Cyrl-CS"/>
        </w:rPr>
        <w:t xml:space="preserve">Корупција и привредни криминал су повезане појаве и њихов међуоднос је од великог значаја јер када се појављују паралелно </w:t>
      </w:r>
      <w:r w:rsidRPr="00960D8B">
        <w:rPr>
          <w:rFonts w:ascii="Times New Roman" w:hAnsi="Times New Roman"/>
          <w:sz w:val="24"/>
          <w:szCs w:val="24"/>
          <w:lang w:val="sr-Cyrl-CS"/>
        </w:rPr>
        <w:t>омогућавају стварање и одржавање одређених веза између економских и државних структура, односно спрегу између криминалних структура и појединих носилаца  функција државне и друштвене власти. Ове појаве нису одвојене од других друштвених штетних појава и утичу на опште стање</w:t>
      </w:r>
      <w:r>
        <w:rPr>
          <w:rFonts w:ascii="Times New Roman" w:hAnsi="Times New Roman"/>
          <w:sz w:val="24"/>
          <w:szCs w:val="24"/>
          <w:lang w:val="sr-Cyrl-CS"/>
        </w:rPr>
        <w:t xml:space="preserve"> </w:t>
      </w:r>
      <w:r w:rsidR="00722C79">
        <w:rPr>
          <w:rFonts w:ascii="Times New Roman" w:hAnsi="Times New Roman"/>
          <w:sz w:val="24"/>
          <w:szCs w:val="24"/>
          <w:lang w:val="sr-Cyrl-CS"/>
        </w:rPr>
        <w:t>криминалитета у једном друштву, а</w:t>
      </w:r>
      <w:r>
        <w:rPr>
          <w:rFonts w:ascii="Times New Roman" w:hAnsi="Times New Roman"/>
          <w:sz w:val="24"/>
          <w:szCs w:val="24"/>
          <w:lang w:val="sr-Cyrl-CS"/>
        </w:rPr>
        <w:t xml:space="preserve"> к</w:t>
      </w:r>
      <w:r w:rsidRPr="00960D8B">
        <w:rPr>
          <w:rFonts w:ascii="Times New Roman" w:hAnsi="Times New Roman"/>
          <w:sz w:val="24"/>
          <w:szCs w:val="24"/>
          <w:lang w:val="sr-Cyrl-CS"/>
        </w:rPr>
        <w:t>арактерише их велика прилагодљивост тржишним условима, односно робним и финансијским кретањима.</w:t>
      </w:r>
      <w:r w:rsidR="00722C79">
        <w:rPr>
          <w:rFonts w:ascii="Times New Roman" w:hAnsi="Times New Roman"/>
          <w:sz w:val="24"/>
          <w:szCs w:val="24"/>
          <w:lang w:val="sr-Cyrl-CS"/>
        </w:rPr>
        <w:t xml:space="preserve"> </w:t>
      </w:r>
    </w:p>
    <w:p w:rsidR="00960D8B" w:rsidRDefault="00960D8B" w:rsidP="00960D8B">
      <w:pPr>
        <w:jc w:val="both"/>
        <w:rPr>
          <w:rFonts w:ascii="Times New Roman" w:hAnsi="Times New Roman"/>
          <w:sz w:val="24"/>
          <w:szCs w:val="24"/>
          <w:lang w:val="sr-Cyrl-CS"/>
        </w:rPr>
      </w:pPr>
    </w:p>
    <w:p w:rsidR="004F3D57" w:rsidRDefault="004F3D57" w:rsidP="00960D8B">
      <w:pPr>
        <w:jc w:val="both"/>
        <w:rPr>
          <w:rFonts w:ascii="Times New Roman" w:hAnsi="Times New Roman"/>
          <w:sz w:val="24"/>
          <w:szCs w:val="24"/>
          <w:lang w:val="sr-Cyrl-CS"/>
        </w:rPr>
      </w:pPr>
    </w:p>
    <w:p w:rsidR="004F3D57" w:rsidRDefault="004F3D57" w:rsidP="00960D8B">
      <w:pPr>
        <w:jc w:val="both"/>
        <w:rPr>
          <w:rFonts w:ascii="Times New Roman" w:hAnsi="Times New Roman"/>
          <w:sz w:val="24"/>
          <w:szCs w:val="24"/>
          <w:lang w:val="sr-Cyrl-CS"/>
        </w:rPr>
      </w:pPr>
    </w:p>
    <w:p w:rsidR="004F3D57" w:rsidRDefault="004F3D57" w:rsidP="00960D8B">
      <w:pPr>
        <w:jc w:val="both"/>
        <w:rPr>
          <w:rFonts w:ascii="Times New Roman" w:hAnsi="Times New Roman"/>
          <w:sz w:val="24"/>
          <w:szCs w:val="24"/>
          <w:lang w:val="sr-Cyrl-CS"/>
        </w:rPr>
      </w:pPr>
    </w:p>
    <w:p w:rsidR="004F3D57" w:rsidRDefault="004F3D57" w:rsidP="00960D8B">
      <w:pPr>
        <w:jc w:val="both"/>
        <w:rPr>
          <w:rFonts w:ascii="Times New Roman" w:hAnsi="Times New Roman"/>
          <w:sz w:val="24"/>
          <w:szCs w:val="24"/>
          <w:lang w:val="sr-Cyrl-CS"/>
        </w:rPr>
      </w:pPr>
    </w:p>
    <w:p w:rsidR="004F3D57" w:rsidRDefault="004F3D57" w:rsidP="00960D8B">
      <w:pPr>
        <w:jc w:val="both"/>
        <w:rPr>
          <w:rFonts w:ascii="Times New Roman" w:hAnsi="Times New Roman"/>
          <w:sz w:val="24"/>
          <w:szCs w:val="24"/>
          <w:lang w:val="sr-Cyrl-CS"/>
        </w:rPr>
      </w:pPr>
    </w:p>
    <w:p w:rsidR="004F3D57" w:rsidRDefault="004F3D57" w:rsidP="00960D8B">
      <w:pPr>
        <w:jc w:val="both"/>
        <w:rPr>
          <w:rFonts w:ascii="Times New Roman" w:hAnsi="Times New Roman"/>
          <w:sz w:val="24"/>
          <w:szCs w:val="24"/>
          <w:lang w:val="sr-Cyrl-CS"/>
        </w:rPr>
      </w:pPr>
    </w:p>
    <w:p w:rsidR="004F3D57" w:rsidRDefault="004F3D57" w:rsidP="00960D8B">
      <w:pPr>
        <w:jc w:val="both"/>
        <w:rPr>
          <w:rFonts w:ascii="Times New Roman" w:hAnsi="Times New Roman"/>
          <w:sz w:val="24"/>
          <w:szCs w:val="24"/>
          <w:lang w:val="sr-Cyrl-CS"/>
        </w:rPr>
      </w:pPr>
    </w:p>
    <w:p w:rsidR="004F3D57" w:rsidRDefault="004F3D57" w:rsidP="00960D8B">
      <w:pPr>
        <w:jc w:val="both"/>
        <w:rPr>
          <w:rFonts w:ascii="Times New Roman" w:hAnsi="Times New Roman"/>
          <w:sz w:val="24"/>
          <w:szCs w:val="24"/>
          <w:lang w:val="sr-Cyrl-CS"/>
        </w:rPr>
      </w:pPr>
    </w:p>
    <w:p w:rsidR="004F3D57" w:rsidRDefault="004F3D57" w:rsidP="00960D8B">
      <w:pPr>
        <w:jc w:val="both"/>
        <w:rPr>
          <w:rFonts w:ascii="Times New Roman" w:hAnsi="Times New Roman"/>
          <w:sz w:val="24"/>
          <w:szCs w:val="24"/>
          <w:lang w:val="sr-Cyrl-CS"/>
        </w:rPr>
      </w:pPr>
    </w:p>
    <w:p w:rsidR="004F3D57" w:rsidRDefault="004F3D57" w:rsidP="00960D8B">
      <w:pPr>
        <w:jc w:val="both"/>
        <w:rPr>
          <w:rFonts w:ascii="Times New Roman" w:hAnsi="Times New Roman"/>
          <w:sz w:val="24"/>
          <w:szCs w:val="24"/>
          <w:lang w:val="sr-Cyrl-CS"/>
        </w:rPr>
      </w:pPr>
    </w:p>
    <w:p w:rsidR="004F3D57" w:rsidRDefault="004F3D57" w:rsidP="00960D8B">
      <w:pPr>
        <w:jc w:val="both"/>
        <w:rPr>
          <w:rFonts w:ascii="Times New Roman" w:hAnsi="Times New Roman"/>
          <w:sz w:val="24"/>
          <w:szCs w:val="24"/>
          <w:lang w:val="sr-Cyrl-CS"/>
        </w:rPr>
      </w:pPr>
    </w:p>
    <w:p w:rsidR="004F3D57" w:rsidRPr="00960D8B" w:rsidRDefault="004F3D57" w:rsidP="00960D8B">
      <w:pPr>
        <w:jc w:val="both"/>
        <w:rPr>
          <w:rFonts w:ascii="Times New Roman" w:hAnsi="Times New Roman"/>
          <w:sz w:val="24"/>
          <w:szCs w:val="24"/>
          <w:lang w:val="sr-Cyrl-CS"/>
        </w:rPr>
      </w:pPr>
    </w:p>
    <w:p w:rsidR="00C73790" w:rsidRPr="00BC7798" w:rsidRDefault="00C73790" w:rsidP="00BC7798">
      <w:pPr>
        <w:numPr>
          <w:ilvl w:val="0"/>
          <w:numId w:val="4"/>
        </w:numPr>
        <w:jc w:val="center"/>
        <w:rPr>
          <w:rFonts w:ascii="Times New Roman" w:hAnsi="Times New Roman"/>
          <w:b/>
          <w:i/>
          <w:sz w:val="28"/>
          <w:szCs w:val="28"/>
          <w:lang w:val="sr-Cyrl-CS"/>
        </w:rPr>
      </w:pPr>
      <w:r w:rsidRPr="00BC7798">
        <w:rPr>
          <w:rFonts w:ascii="Times New Roman" w:hAnsi="Times New Roman"/>
          <w:b/>
          <w:i/>
          <w:sz w:val="28"/>
          <w:szCs w:val="28"/>
          <w:lang w:val="sr-Cyrl-CS"/>
        </w:rPr>
        <w:lastRenderedPageBreak/>
        <w:t>Пос</w:t>
      </w:r>
      <w:r w:rsidR="00066F28" w:rsidRPr="00BC7798">
        <w:rPr>
          <w:rFonts w:ascii="Times New Roman" w:hAnsi="Times New Roman"/>
          <w:b/>
          <w:i/>
          <w:sz w:val="28"/>
          <w:szCs w:val="28"/>
          <w:lang w:val="sr-Cyrl-CS"/>
        </w:rPr>
        <w:t>ледице</w:t>
      </w:r>
      <w:r w:rsidR="007555A5">
        <w:rPr>
          <w:rFonts w:ascii="Times New Roman" w:hAnsi="Times New Roman"/>
          <w:b/>
          <w:i/>
          <w:sz w:val="28"/>
          <w:szCs w:val="28"/>
          <w:lang w:val="sr-Cyrl-CS"/>
        </w:rPr>
        <w:t xml:space="preserve"> привредног криминала и корупције</w:t>
      </w:r>
    </w:p>
    <w:p w:rsidR="006A625A" w:rsidRDefault="006A625A" w:rsidP="006A625A">
      <w:pPr>
        <w:ind w:left="990"/>
        <w:jc w:val="both"/>
        <w:rPr>
          <w:rFonts w:ascii="Times New Roman" w:hAnsi="Times New Roman"/>
          <w:b/>
          <w:i/>
          <w:sz w:val="24"/>
          <w:szCs w:val="24"/>
          <w:lang w:val="sr-Cyrl-CS"/>
        </w:rPr>
      </w:pPr>
    </w:p>
    <w:p w:rsidR="006A625A" w:rsidRDefault="00CE681D" w:rsidP="00F5204A">
      <w:pPr>
        <w:ind w:firstLine="630"/>
        <w:jc w:val="both"/>
        <w:rPr>
          <w:rFonts w:ascii="Times New Roman" w:hAnsi="Times New Roman"/>
          <w:sz w:val="24"/>
          <w:szCs w:val="24"/>
          <w:lang w:val="sr-Cyrl-CS"/>
        </w:rPr>
      </w:pPr>
      <w:r>
        <w:rPr>
          <w:rFonts w:ascii="Times New Roman" w:hAnsi="Times New Roman"/>
          <w:sz w:val="24"/>
          <w:szCs w:val="24"/>
          <w:lang w:val="sr-Cyrl-CS"/>
        </w:rPr>
        <w:t>Последице привредног кримин</w:t>
      </w:r>
      <w:r w:rsidR="007555A5">
        <w:rPr>
          <w:rFonts w:ascii="Times New Roman" w:hAnsi="Times New Roman"/>
          <w:sz w:val="24"/>
          <w:szCs w:val="24"/>
          <w:lang w:val="sr-Cyrl-CS"/>
        </w:rPr>
        <w:t>а</w:t>
      </w:r>
      <w:r>
        <w:rPr>
          <w:rFonts w:ascii="Times New Roman" w:hAnsi="Times New Roman"/>
          <w:sz w:val="24"/>
          <w:szCs w:val="24"/>
          <w:lang w:val="sr-Cyrl-CS"/>
        </w:rPr>
        <w:t>ла и корупције су много опасније од пос</w:t>
      </w:r>
      <w:r w:rsidR="00A65D0E">
        <w:rPr>
          <w:rFonts w:ascii="Times New Roman" w:hAnsi="Times New Roman"/>
          <w:sz w:val="24"/>
          <w:szCs w:val="24"/>
          <w:lang w:val="sr-Cyrl-CS"/>
        </w:rPr>
        <w:t xml:space="preserve">ледица других облика криминала и </w:t>
      </w:r>
      <w:r w:rsidR="006A625A">
        <w:rPr>
          <w:rFonts w:ascii="Times New Roman" w:hAnsi="Times New Roman"/>
          <w:sz w:val="24"/>
          <w:szCs w:val="24"/>
          <w:lang w:val="sr-Cyrl-CS"/>
        </w:rPr>
        <w:t xml:space="preserve">представљају битан аспект у анализи ових негативних феномена. Због тога је поред потребе да се прецизно </w:t>
      </w:r>
      <w:r w:rsidR="00385758">
        <w:rPr>
          <w:rFonts w:ascii="Times New Roman" w:hAnsi="Times New Roman"/>
          <w:sz w:val="24"/>
          <w:szCs w:val="24"/>
          <w:lang w:val="sr-Cyrl-CS"/>
        </w:rPr>
        <w:t>дефинишу ове појаве</w:t>
      </w:r>
      <w:r w:rsidR="006A625A">
        <w:rPr>
          <w:rFonts w:ascii="Times New Roman" w:hAnsi="Times New Roman"/>
          <w:sz w:val="24"/>
          <w:szCs w:val="24"/>
          <w:lang w:val="sr-Cyrl-CS"/>
        </w:rPr>
        <w:t xml:space="preserve"> нужно указати и на њихове последице</w:t>
      </w:r>
      <w:r w:rsidR="00385758">
        <w:rPr>
          <w:rFonts w:ascii="Times New Roman" w:hAnsi="Times New Roman"/>
          <w:sz w:val="24"/>
          <w:szCs w:val="24"/>
          <w:lang w:val="sr-Cyrl-CS"/>
        </w:rPr>
        <w:t xml:space="preserve"> и утицај на друштвено-екон</w:t>
      </w:r>
      <w:r w:rsidR="007555A5">
        <w:rPr>
          <w:rFonts w:ascii="Times New Roman" w:hAnsi="Times New Roman"/>
          <w:sz w:val="24"/>
          <w:szCs w:val="24"/>
          <w:lang w:val="sr-Cyrl-CS"/>
        </w:rPr>
        <w:t>о</w:t>
      </w:r>
      <w:r w:rsidR="00385758">
        <w:rPr>
          <w:rFonts w:ascii="Times New Roman" w:hAnsi="Times New Roman"/>
          <w:sz w:val="24"/>
          <w:szCs w:val="24"/>
          <w:lang w:val="sr-Cyrl-CS"/>
        </w:rPr>
        <w:t>мски развој, а ове последице су веома негативне и бројне.</w:t>
      </w:r>
      <w:r w:rsidR="00F5204A">
        <w:rPr>
          <w:rFonts w:ascii="Times New Roman" w:hAnsi="Times New Roman"/>
          <w:sz w:val="24"/>
          <w:szCs w:val="24"/>
          <w:lang w:val="sr-Cyrl-CS"/>
        </w:rPr>
        <w:t xml:space="preserve"> </w:t>
      </w:r>
    </w:p>
    <w:p w:rsidR="00385758" w:rsidRDefault="009A71B4" w:rsidP="00F5204A">
      <w:pPr>
        <w:ind w:firstLine="630"/>
        <w:jc w:val="both"/>
        <w:rPr>
          <w:rFonts w:ascii="Times New Roman" w:hAnsi="Times New Roman"/>
          <w:sz w:val="24"/>
          <w:szCs w:val="24"/>
          <w:lang w:val="sr-Cyrl-CS"/>
        </w:rPr>
      </w:pPr>
      <w:r>
        <w:rPr>
          <w:rFonts w:ascii="Times New Roman" w:hAnsi="Times New Roman"/>
          <w:sz w:val="24"/>
          <w:szCs w:val="24"/>
          <w:lang w:val="sr-Cyrl-CS"/>
        </w:rPr>
        <w:t>У</w:t>
      </w:r>
      <w:r w:rsidR="00385758">
        <w:rPr>
          <w:rFonts w:ascii="Times New Roman" w:hAnsi="Times New Roman"/>
          <w:sz w:val="24"/>
          <w:szCs w:val="24"/>
          <w:lang w:val="sr-Cyrl-CS"/>
        </w:rPr>
        <w:t xml:space="preserve"> </w:t>
      </w:r>
      <w:r>
        <w:rPr>
          <w:rFonts w:ascii="Times New Roman" w:hAnsi="Times New Roman"/>
          <w:sz w:val="24"/>
          <w:szCs w:val="24"/>
          <w:lang w:val="sr-Cyrl-CS"/>
        </w:rPr>
        <w:t>ранијим истраживањима</w:t>
      </w:r>
      <w:r>
        <w:rPr>
          <w:rStyle w:val="FootnoteReference"/>
          <w:rFonts w:ascii="Times New Roman" w:hAnsi="Times New Roman"/>
          <w:sz w:val="24"/>
          <w:szCs w:val="24"/>
          <w:lang w:val="sr-Cyrl-CS"/>
        </w:rPr>
        <w:footnoteReference w:id="735"/>
      </w:r>
      <w:r>
        <w:rPr>
          <w:rFonts w:ascii="Times New Roman" w:hAnsi="Times New Roman"/>
          <w:sz w:val="24"/>
          <w:szCs w:val="24"/>
          <w:lang w:val="sr-Cyrl-CS"/>
        </w:rPr>
        <w:t xml:space="preserve"> корупција је третирана као позитивна појава која чак побољшава економски положај учесника, сма</w:t>
      </w:r>
      <w:r w:rsidR="00202296">
        <w:rPr>
          <w:rFonts w:ascii="Times New Roman" w:hAnsi="Times New Roman"/>
          <w:sz w:val="24"/>
          <w:szCs w:val="24"/>
          <w:lang w:val="sr-Cyrl-CS"/>
        </w:rPr>
        <w:t xml:space="preserve">њује државни интервенционизам, </w:t>
      </w:r>
      <w:r w:rsidR="00994DCA">
        <w:rPr>
          <w:rFonts w:ascii="Times New Roman" w:hAnsi="Times New Roman"/>
          <w:sz w:val="24"/>
          <w:szCs w:val="24"/>
          <w:lang w:val="sr-Cyrl-CS"/>
        </w:rPr>
        <w:t>увећава друштвено бла</w:t>
      </w:r>
      <w:r w:rsidR="00202296">
        <w:rPr>
          <w:rFonts w:ascii="Times New Roman" w:hAnsi="Times New Roman"/>
          <w:sz w:val="24"/>
          <w:szCs w:val="24"/>
          <w:lang w:val="sr-Cyrl-CS"/>
        </w:rPr>
        <w:t xml:space="preserve">гостање и економску ефикасност, </w:t>
      </w:r>
      <w:r w:rsidR="00994DCA">
        <w:rPr>
          <w:rFonts w:ascii="Times New Roman" w:hAnsi="Times New Roman"/>
          <w:sz w:val="24"/>
          <w:szCs w:val="24"/>
          <w:lang w:val="sr-Cyrl-CS"/>
        </w:rPr>
        <w:t xml:space="preserve">док се </w:t>
      </w:r>
      <w:r>
        <w:rPr>
          <w:rFonts w:ascii="Times New Roman" w:hAnsi="Times New Roman"/>
          <w:sz w:val="24"/>
          <w:szCs w:val="24"/>
          <w:lang w:val="sr-Cyrl-CS"/>
        </w:rPr>
        <w:t>у новијим истражи</w:t>
      </w:r>
      <w:r w:rsidR="005B3B57">
        <w:rPr>
          <w:rFonts w:ascii="Times New Roman" w:hAnsi="Times New Roman"/>
          <w:sz w:val="24"/>
          <w:szCs w:val="24"/>
        </w:rPr>
        <w:t>в</w:t>
      </w:r>
      <w:r>
        <w:rPr>
          <w:rFonts w:ascii="Times New Roman" w:hAnsi="Times New Roman"/>
          <w:sz w:val="24"/>
          <w:szCs w:val="24"/>
          <w:lang w:val="sr-Cyrl-CS"/>
        </w:rPr>
        <w:t xml:space="preserve">ањима </w:t>
      </w:r>
      <w:r w:rsidR="00202296">
        <w:rPr>
          <w:rFonts w:ascii="Times New Roman" w:hAnsi="Times New Roman"/>
          <w:sz w:val="24"/>
          <w:szCs w:val="24"/>
          <w:lang w:val="sr-Cyrl-CS"/>
        </w:rPr>
        <w:t xml:space="preserve">крајем </w:t>
      </w:r>
      <w:r w:rsidR="00202296">
        <w:rPr>
          <w:rFonts w:ascii="Times New Roman" w:hAnsi="Times New Roman"/>
          <w:sz w:val="24"/>
          <w:szCs w:val="24"/>
        </w:rPr>
        <w:t xml:space="preserve">XX </w:t>
      </w:r>
      <w:r w:rsidR="00202296">
        <w:rPr>
          <w:rFonts w:ascii="Times New Roman" w:hAnsi="Times New Roman"/>
          <w:sz w:val="24"/>
          <w:szCs w:val="24"/>
          <w:lang w:val="sr-Cyrl-CS"/>
        </w:rPr>
        <w:t xml:space="preserve">и почетком </w:t>
      </w:r>
      <w:r w:rsidR="00202296">
        <w:rPr>
          <w:rFonts w:ascii="Times New Roman" w:hAnsi="Times New Roman"/>
          <w:sz w:val="24"/>
          <w:szCs w:val="24"/>
        </w:rPr>
        <w:t xml:space="preserve">XXI </w:t>
      </w:r>
      <w:r w:rsidR="00994DCA">
        <w:rPr>
          <w:rFonts w:ascii="Times New Roman" w:hAnsi="Times New Roman"/>
          <w:sz w:val="24"/>
          <w:szCs w:val="24"/>
          <w:lang w:val="sr-Cyrl-CS"/>
        </w:rPr>
        <w:t>корупција</w:t>
      </w:r>
      <w:r>
        <w:rPr>
          <w:rFonts w:ascii="Times New Roman" w:hAnsi="Times New Roman"/>
          <w:sz w:val="24"/>
          <w:szCs w:val="24"/>
          <w:lang w:val="sr-Cyrl-CS"/>
        </w:rPr>
        <w:t xml:space="preserve"> означава</w:t>
      </w:r>
      <w:r w:rsidR="005B3B57">
        <w:rPr>
          <w:rFonts w:ascii="Times New Roman" w:hAnsi="Times New Roman"/>
          <w:sz w:val="24"/>
          <w:szCs w:val="24"/>
          <w:lang w:val="sr-Cyrl-CS"/>
        </w:rPr>
        <w:t xml:space="preserve"> као друштвена појава која негативно утич</w:t>
      </w:r>
      <w:r w:rsidR="00202296">
        <w:rPr>
          <w:rFonts w:ascii="Times New Roman" w:hAnsi="Times New Roman"/>
          <w:sz w:val="24"/>
          <w:szCs w:val="24"/>
          <w:lang w:val="sr-Cyrl-CS"/>
        </w:rPr>
        <w:t xml:space="preserve">е на друштвено-економски развој и </w:t>
      </w:r>
      <w:r w:rsidR="00935313">
        <w:rPr>
          <w:rFonts w:ascii="Times New Roman" w:hAnsi="Times New Roman"/>
          <w:sz w:val="24"/>
          <w:szCs w:val="24"/>
          <w:lang w:val="sr-Cyrl-CS"/>
        </w:rPr>
        <w:t>ова појава добија у литератури све већи значај</w:t>
      </w:r>
      <w:r w:rsidR="00202296">
        <w:rPr>
          <w:rFonts w:ascii="Times New Roman" w:hAnsi="Times New Roman"/>
          <w:sz w:val="24"/>
          <w:szCs w:val="24"/>
          <w:lang w:val="sr-Cyrl-CS"/>
        </w:rPr>
        <w:t>.</w:t>
      </w:r>
      <w:r w:rsidR="005B3B57">
        <w:rPr>
          <w:rFonts w:ascii="Times New Roman" w:hAnsi="Times New Roman"/>
          <w:sz w:val="24"/>
          <w:szCs w:val="24"/>
          <w:lang w:val="sr-Cyrl-CS"/>
        </w:rPr>
        <w:t xml:space="preserve"> </w:t>
      </w:r>
    </w:p>
    <w:p w:rsidR="00385758" w:rsidRDefault="005B3B57" w:rsidP="0084680D">
      <w:pPr>
        <w:ind w:firstLine="708"/>
        <w:jc w:val="both"/>
        <w:rPr>
          <w:rFonts w:ascii="Times New Roman" w:hAnsi="Times New Roman"/>
          <w:sz w:val="24"/>
          <w:szCs w:val="24"/>
          <w:lang w:val="sr-Cyrl-CS"/>
        </w:rPr>
      </w:pPr>
      <w:r>
        <w:rPr>
          <w:rFonts w:ascii="Times New Roman" w:hAnsi="Times New Roman"/>
          <w:sz w:val="24"/>
          <w:szCs w:val="24"/>
          <w:lang w:val="sr-Cyrl-CS"/>
        </w:rPr>
        <w:t xml:space="preserve">Међу најважније последице </w:t>
      </w:r>
      <w:r w:rsidR="00994DCA">
        <w:rPr>
          <w:rFonts w:ascii="Times New Roman" w:hAnsi="Times New Roman"/>
          <w:sz w:val="24"/>
          <w:szCs w:val="24"/>
          <w:lang w:val="sr-Cyrl-CS"/>
        </w:rPr>
        <w:t xml:space="preserve">спреге </w:t>
      </w:r>
      <w:r>
        <w:rPr>
          <w:rFonts w:ascii="Times New Roman" w:hAnsi="Times New Roman"/>
          <w:sz w:val="24"/>
          <w:szCs w:val="24"/>
          <w:lang w:val="sr-Cyrl-CS"/>
        </w:rPr>
        <w:t>корупције и привредног криминала спада губитак јавног поверења у држа</w:t>
      </w:r>
      <w:r w:rsidR="00CE681D">
        <w:rPr>
          <w:rFonts w:ascii="Times New Roman" w:hAnsi="Times New Roman"/>
          <w:sz w:val="24"/>
          <w:szCs w:val="24"/>
          <w:lang w:val="sr-Cyrl-CS"/>
        </w:rPr>
        <w:t>вне институције и ерозија морала.</w:t>
      </w:r>
      <w:r>
        <w:rPr>
          <w:rFonts w:ascii="Times New Roman" w:hAnsi="Times New Roman"/>
          <w:sz w:val="24"/>
          <w:szCs w:val="24"/>
          <w:lang w:val="sr-Cyrl-CS"/>
        </w:rPr>
        <w:t xml:space="preserve"> Тиме се нарушава кредиби</w:t>
      </w:r>
      <w:r w:rsidR="00CE681D">
        <w:rPr>
          <w:rFonts w:ascii="Times New Roman" w:hAnsi="Times New Roman"/>
          <w:sz w:val="24"/>
          <w:szCs w:val="24"/>
          <w:lang w:val="sr-Cyrl-CS"/>
        </w:rPr>
        <w:t>литет демократских институција и подрива владавина права. Извршиоци ов</w:t>
      </w:r>
      <w:r w:rsidR="00017689">
        <w:rPr>
          <w:rFonts w:ascii="Times New Roman" w:hAnsi="Times New Roman"/>
          <w:sz w:val="24"/>
          <w:szCs w:val="24"/>
          <w:lang w:val="sr-Cyrl-CS"/>
        </w:rPr>
        <w:t>аквих кривичних дела захваљују</w:t>
      </w:r>
      <w:r w:rsidR="00CE681D">
        <w:rPr>
          <w:rFonts w:ascii="Times New Roman" w:hAnsi="Times New Roman"/>
          <w:sz w:val="24"/>
          <w:szCs w:val="24"/>
          <w:lang w:val="sr-Cyrl-CS"/>
        </w:rPr>
        <w:t xml:space="preserve">ћи својој економској и политичкој моћи ретко кад потпадају под удар кривичне одговорности што ствара уверење међу осиромашеним грађани да правда није достижна обичном човеку. Спрега између моћних и утицајних и државног сектора доприноси неефикасности државних органа, па тако и оних који су надлежни за откривање и суђење учиниоцима оваквих кривичних дела. </w:t>
      </w:r>
      <w:r w:rsidR="00994DCA">
        <w:rPr>
          <w:rFonts w:ascii="Times New Roman" w:hAnsi="Times New Roman"/>
          <w:sz w:val="24"/>
          <w:szCs w:val="24"/>
          <w:lang w:val="sr-Cyrl-CS"/>
        </w:rPr>
        <w:t xml:space="preserve"> </w:t>
      </w:r>
    </w:p>
    <w:p w:rsidR="00CE681D" w:rsidRDefault="00163CB7" w:rsidP="00163CB7">
      <w:pPr>
        <w:ind w:firstLine="708"/>
        <w:jc w:val="both"/>
        <w:rPr>
          <w:rFonts w:ascii="Times New Roman" w:hAnsi="Times New Roman"/>
          <w:sz w:val="24"/>
          <w:szCs w:val="24"/>
          <w:lang w:val="sr-Cyrl-CS"/>
        </w:rPr>
      </w:pPr>
      <w:r>
        <w:rPr>
          <w:rFonts w:ascii="Times New Roman" w:hAnsi="Times New Roman"/>
          <w:sz w:val="24"/>
          <w:szCs w:val="24"/>
          <w:lang w:val="sr-Cyrl-CS"/>
        </w:rPr>
        <w:t>Мимо тога, г</w:t>
      </w:r>
      <w:r w:rsidR="00337DC8">
        <w:rPr>
          <w:rFonts w:ascii="Times New Roman" w:hAnsi="Times New Roman"/>
          <w:sz w:val="24"/>
          <w:szCs w:val="24"/>
          <w:lang w:val="sr-Cyrl-CS"/>
        </w:rPr>
        <w:t>лавни разлог за појаву сиве економије је избе</w:t>
      </w:r>
      <w:r>
        <w:rPr>
          <w:rFonts w:ascii="Times New Roman" w:hAnsi="Times New Roman"/>
          <w:sz w:val="24"/>
          <w:szCs w:val="24"/>
          <w:lang w:val="sr-Cyrl-CS"/>
        </w:rPr>
        <w:t>гавање плаћања пореског прихода, а</w:t>
      </w:r>
      <w:r w:rsidR="00337DC8">
        <w:rPr>
          <w:rFonts w:ascii="Times New Roman" w:hAnsi="Times New Roman"/>
          <w:sz w:val="24"/>
          <w:szCs w:val="24"/>
          <w:lang w:val="sr-Cyrl-CS"/>
        </w:rPr>
        <w:t xml:space="preserve"> </w:t>
      </w:r>
      <w:r>
        <w:rPr>
          <w:rFonts w:ascii="Times New Roman" w:hAnsi="Times New Roman"/>
          <w:sz w:val="24"/>
          <w:szCs w:val="24"/>
          <w:lang w:val="sr-Cyrl-CS"/>
        </w:rPr>
        <w:t>ј</w:t>
      </w:r>
      <w:r w:rsidR="00CE681D">
        <w:rPr>
          <w:rFonts w:ascii="Times New Roman" w:hAnsi="Times New Roman"/>
          <w:sz w:val="24"/>
          <w:szCs w:val="24"/>
          <w:lang w:val="sr-Cyrl-CS"/>
        </w:rPr>
        <w:t>едно од најчешћих средстава којим се служе порески обвезници у циљу избегања плаћања пореза јесте</w:t>
      </w:r>
      <w:r w:rsidR="00D97371">
        <w:rPr>
          <w:rFonts w:ascii="Times New Roman" w:hAnsi="Times New Roman"/>
          <w:sz w:val="24"/>
          <w:szCs w:val="24"/>
          <w:lang w:val="sr-Cyrl-CS"/>
        </w:rPr>
        <w:t xml:space="preserve"> </w:t>
      </w:r>
      <w:r w:rsidR="00CE681D">
        <w:rPr>
          <w:rFonts w:ascii="Times New Roman" w:hAnsi="Times New Roman"/>
          <w:sz w:val="24"/>
          <w:szCs w:val="24"/>
          <w:lang w:val="sr-Cyrl-CS"/>
        </w:rPr>
        <w:t xml:space="preserve">подмићивање. </w:t>
      </w:r>
      <w:r>
        <w:rPr>
          <w:rFonts w:ascii="Times New Roman" w:hAnsi="Times New Roman"/>
          <w:sz w:val="24"/>
          <w:szCs w:val="24"/>
          <w:lang w:val="sr-Cyrl-CS"/>
        </w:rPr>
        <w:t xml:space="preserve">  </w:t>
      </w:r>
    </w:p>
    <w:p w:rsidR="00163CB7" w:rsidRDefault="00163CB7" w:rsidP="00163CB7">
      <w:pPr>
        <w:ind w:firstLine="708"/>
        <w:jc w:val="both"/>
        <w:rPr>
          <w:rFonts w:ascii="Times New Roman" w:hAnsi="Times New Roman"/>
          <w:sz w:val="24"/>
          <w:szCs w:val="24"/>
          <w:lang w:val="sr-Cyrl-CS"/>
        </w:rPr>
      </w:pPr>
      <w:r>
        <w:rPr>
          <w:rFonts w:ascii="Times New Roman" w:hAnsi="Times New Roman"/>
          <w:sz w:val="24"/>
          <w:szCs w:val="24"/>
          <w:lang w:val="sr-Cyrl-CS"/>
        </w:rPr>
        <w:t>Нај</w:t>
      </w:r>
      <w:r w:rsidR="00935313">
        <w:rPr>
          <w:rFonts w:ascii="Times New Roman" w:hAnsi="Times New Roman"/>
          <w:sz w:val="24"/>
          <w:szCs w:val="24"/>
          <w:lang w:val="sr-Cyrl-CS"/>
        </w:rPr>
        <w:t>значајнија</w:t>
      </w:r>
      <w:r>
        <w:rPr>
          <w:rFonts w:ascii="Times New Roman" w:hAnsi="Times New Roman"/>
          <w:sz w:val="24"/>
          <w:szCs w:val="24"/>
          <w:lang w:val="sr-Cyrl-CS"/>
        </w:rPr>
        <w:t xml:space="preserve"> </w:t>
      </w:r>
      <w:r w:rsidR="00935313">
        <w:rPr>
          <w:rFonts w:ascii="Times New Roman" w:hAnsi="Times New Roman"/>
          <w:sz w:val="24"/>
          <w:szCs w:val="24"/>
          <w:lang w:val="sr-Cyrl-CS"/>
        </w:rPr>
        <w:t>„</w:t>
      </w:r>
      <w:r>
        <w:rPr>
          <w:rFonts w:ascii="Times New Roman" w:hAnsi="Times New Roman"/>
          <w:sz w:val="24"/>
          <w:szCs w:val="24"/>
          <w:lang w:val="sr-Cyrl-CS"/>
        </w:rPr>
        <w:t>негативна реперкусија деловања сиве економије је: што функцију легалне привреде преузима нелегална привреда, што престају да делују фактори регистроване привреде и што престаје да делује правна држава.</w:t>
      </w:r>
      <w:r w:rsidR="00935313">
        <w:rPr>
          <w:rFonts w:ascii="Times New Roman" w:hAnsi="Times New Roman"/>
          <w:sz w:val="24"/>
          <w:szCs w:val="24"/>
          <w:lang w:val="sr-Cyrl-CS"/>
        </w:rPr>
        <w:t>“</w:t>
      </w:r>
      <w:r>
        <w:rPr>
          <w:rStyle w:val="FootnoteReference"/>
          <w:rFonts w:ascii="Times New Roman" w:hAnsi="Times New Roman"/>
          <w:sz w:val="24"/>
          <w:szCs w:val="24"/>
          <w:lang w:val="sr-Cyrl-CS"/>
        </w:rPr>
        <w:footnoteReference w:id="736"/>
      </w:r>
    </w:p>
    <w:p w:rsidR="00163CB7" w:rsidRPr="004640DE" w:rsidRDefault="00163CB7" w:rsidP="00163CB7">
      <w:pPr>
        <w:ind w:firstLine="708"/>
        <w:jc w:val="both"/>
        <w:rPr>
          <w:rFonts w:ascii="Times New Roman" w:hAnsi="Times New Roman"/>
          <w:sz w:val="24"/>
          <w:szCs w:val="24"/>
          <w:lang w:val="sr-Cyrl-CS"/>
        </w:rPr>
      </w:pPr>
      <w:r>
        <w:rPr>
          <w:rFonts w:ascii="Times New Roman" w:hAnsi="Times New Roman"/>
          <w:sz w:val="24"/>
          <w:szCs w:val="24"/>
          <w:lang w:val="sr-Cyrl-CS"/>
        </w:rPr>
        <w:t>Неки</w:t>
      </w:r>
      <w:r w:rsidR="007555A5">
        <w:rPr>
          <w:rFonts w:ascii="Times New Roman" w:hAnsi="Times New Roman"/>
          <w:sz w:val="24"/>
          <w:szCs w:val="24"/>
          <w:lang w:val="sr-Cyrl-CS"/>
        </w:rPr>
        <w:t xml:space="preserve"> аутори су се бавили </w:t>
      </w:r>
      <w:r w:rsidR="00935313">
        <w:rPr>
          <w:rFonts w:ascii="Times New Roman" w:hAnsi="Times New Roman"/>
          <w:sz w:val="24"/>
          <w:szCs w:val="24"/>
          <w:lang w:val="sr-Cyrl-CS"/>
        </w:rPr>
        <w:t>утицајем корупције у зави</w:t>
      </w:r>
      <w:r w:rsidR="00CF346D">
        <w:rPr>
          <w:rFonts w:ascii="Times New Roman" w:hAnsi="Times New Roman"/>
          <w:sz w:val="24"/>
          <w:szCs w:val="24"/>
          <w:lang w:val="sr-Cyrl-CS"/>
        </w:rPr>
        <w:t>с</w:t>
      </w:r>
      <w:r w:rsidR="00935313">
        <w:rPr>
          <w:rFonts w:ascii="Times New Roman" w:hAnsi="Times New Roman"/>
          <w:sz w:val="24"/>
          <w:szCs w:val="24"/>
          <w:lang w:val="sr-Cyrl-CS"/>
        </w:rPr>
        <w:t xml:space="preserve">ности од </w:t>
      </w:r>
      <w:r>
        <w:rPr>
          <w:rFonts w:ascii="Times New Roman" w:hAnsi="Times New Roman"/>
          <w:sz w:val="24"/>
          <w:szCs w:val="24"/>
          <w:lang w:val="sr-Cyrl-CS"/>
        </w:rPr>
        <w:t xml:space="preserve">структуре јавних прихода. </w:t>
      </w:r>
      <w:r w:rsidR="00CF346D">
        <w:rPr>
          <w:rFonts w:ascii="Times New Roman" w:hAnsi="Times New Roman"/>
          <w:sz w:val="24"/>
          <w:szCs w:val="24"/>
          <w:lang w:val="sr-Cyrl-CS"/>
        </w:rPr>
        <w:t xml:space="preserve">Према становишту које заступају </w:t>
      </w:r>
      <w:r>
        <w:rPr>
          <w:rFonts w:ascii="Times New Roman" w:hAnsi="Times New Roman"/>
          <w:sz w:val="24"/>
          <w:szCs w:val="24"/>
        </w:rPr>
        <w:t xml:space="preserve">Tanzi </w:t>
      </w:r>
      <w:r>
        <w:rPr>
          <w:rFonts w:ascii="Times New Roman" w:hAnsi="Times New Roman"/>
          <w:sz w:val="24"/>
          <w:szCs w:val="24"/>
          <w:lang w:val="sr-Cyrl-CS"/>
        </w:rPr>
        <w:t xml:space="preserve"> и </w:t>
      </w:r>
      <w:r>
        <w:rPr>
          <w:rFonts w:ascii="Times New Roman" w:hAnsi="Times New Roman"/>
          <w:sz w:val="24"/>
          <w:szCs w:val="24"/>
        </w:rPr>
        <w:t>Davoodi</w:t>
      </w:r>
      <w:r>
        <w:rPr>
          <w:rFonts w:ascii="Times New Roman" w:hAnsi="Times New Roman"/>
          <w:sz w:val="24"/>
          <w:szCs w:val="24"/>
          <w:lang w:val="sr-Cyrl-CS"/>
        </w:rPr>
        <w:t xml:space="preserve"> повећање корупције доводи до смањења учешћа п</w:t>
      </w:r>
      <w:r w:rsidR="00CF346D">
        <w:rPr>
          <w:rFonts w:ascii="Times New Roman" w:hAnsi="Times New Roman"/>
          <w:sz w:val="24"/>
          <w:szCs w:val="24"/>
          <w:lang w:val="sr-Cyrl-CS"/>
        </w:rPr>
        <w:t>ореза у БДП као и</w:t>
      </w:r>
      <w:r>
        <w:rPr>
          <w:rFonts w:ascii="Times New Roman" w:hAnsi="Times New Roman"/>
          <w:sz w:val="24"/>
          <w:szCs w:val="24"/>
          <w:lang w:val="sr-Cyrl-CS"/>
        </w:rPr>
        <w:t xml:space="preserve"> да порез трпи више него остали приходи. </w:t>
      </w:r>
      <w:r w:rsidR="00CF346D">
        <w:rPr>
          <w:rFonts w:ascii="Times New Roman" w:hAnsi="Times New Roman"/>
          <w:sz w:val="24"/>
          <w:szCs w:val="24"/>
          <w:lang w:val="sr-Cyrl-CS"/>
        </w:rPr>
        <w:t>При том</w:t>
      </w:r>
      <w:r>
        <w:rPr>
          <w:rFonts w:ascii="Times New Roman" w:hAnsi="Times New Roman"/>
          <w:sz w:val="24"/>
          <w:szCs w:val="24"/>
          <w:lang w:val="sr-Cyrl-CS"/>
        </w:rPr>
        <w:t>, директни порези трпе много више од корупције него индиректни</w:t>
      </w:r>
      <w:r w:rsidR="00CF346D">
        <w:rPr>
          <w:rFonts w:ascii="Times New Roman" w:hAnsi="Times New Roman"/>
          <w:sz w:val="24"/>
          <w:szCs w:val="24"/>
          <w:lang w:val="sr-Cyrl-CS"/>
        </w:rPr>
        <w:t xml:space="preserve"> и</w:t>
      </w:r>
      <w:r>
        <w:rPr>
          <w:rFonts w:ascii="Times New Roman" w:hAnsi="Times New Roman"/>
          <w:sz w:val="24"/>
          <w:szCs w:val="24"/>
          <w:lang w:val="sr-Cyrl-CS"/>
        </w:rPr>
        <w:t xml:space="preserve"> </w:t>
      </w:r>
      <w:r w:rsidR="00CF346D">
        <w:rPr>
          <w:rFonts w:ascii="Times New Roman" w:hAnsi="Times New Roman"/>
          <w:sz w:val="24"/>
          <w:szCs w:val="24"/>
          <w:lang w:val="sr-Cyrl-CS"/>
        </w:rPr>
        <w:t>према њима</w:t>
      </w:r>
      <w:r>
        <w:rPr>
          <w:rFonts w:ascii="Times New Roman" w:hAnsi="Times New Roman"/>
          <w:sz w:val="24"/>
          <w:szCs w:val="24"/>
          <w:lang w:val="sr-Cyrl-CS"/>
        </w:rPr>
        <w:t xml:space="preserve"> </w:t>
      </w:r>
      <w:r>
        <w:rPr>
          <w:rFonts w:ascii="Times New Roman" w:hAnsi="Times New Roman"/>
          <w:sz w:val="24"/>
          <w:szCs w:val="24"/>
          <w:lang w:val="sr-Cyrl-CS"/>
        </w:rPr>
        <w:lastRenderedPageBreak/>
        <w:t>државе са високим нивоима</w:t>
      </w:r>
      <w:r w:rsidR="007555A5">
        <w:rPr>
          <w:rFonts w:ascii="Times New Roman" w:hAnsi="Times New Roman"/>
          <w:sz w:val="24"/>
          <w:szCs w:val="24"/>
          <w:lang w:val="sr-Cyrl-CS"/>
        </w:rPr>
        <w:t xml:space="preserve"> корупције треба да се више осла</w:t>
      </w:r>
      <w:r>
        <w:rPr>
          <w:rFonts w:ascii="Times New Roman" w:hAnsi="Times New Roman"/>
          <w:sz w:val="24"/>
          <w:szCs w:val="24"/>
          <w:lang w:val="sr-Cyrl-CS"/>
        </w:rPr>
        <w:t>њају на индиректно опорезивање.</w:t>
      </w:r>
      <w:r>
        <w:rPr>
          <w:rStyle w:val="FootnoteReference"/>
          <w:rFonts w:ascii="Times New Roman" w:hAnsi="Times New Roman"/>
          <w:sz w:val="24"/>
          <w:szCs w:val="24"/>
          <w:lang w:val="sr-Cyrl-CS"/>
        </w:rPr>
        <w:footnoteReference w:id="737"/>
      </w:r>
    </w:p>
    <w:p w:rsidR="00202296" w:rsidRDefault="0006271B" w:rsidP="00EE40E9">
      <w:pPr>
        <w:ind w:firstLine="708"/>
        <w:jc w:val="both"/>
        <w:rPr>
          <w:rFonts w:ascii="Times New Roman" w:hAnsi="Times New Roman"/>
          <w:sz w:val="24"/>
          <w:szCs w:val="24"/>
          <w:lang w:val="sr-Cyrl-CS"/>
        </w:rPr>
      </w:pPr>
      <w:r>
        <w:rPr>
          <w:rFonts w:ascii="Times New Roman" w:hAnsi="Times New Roman"/>
          <w:sz w:val="24"/>
          <w:szCs w:val="24"/>
          <w:lang w:val="sr-Cyrl-CS"/>
        </w:rPr>
        <w:t xml:space="preserve">Сива економија је распрострањена у свим земљама без обзира на ниво економског развоја и облик друштвеног уређења. Начини избегавања прихода су раличити, али оно што је заједничко свим привредним система јесте да </w:t>
      </w:r>
      <w:r w:rsidR="00163CB7">
        <w:rPr>
          <w:rFonts w:ascii="Times New Roman" w:hAnsi="Times New Roman"/>
          <w:sz w:val="24"/>
          <w:szCs w:val="24"/>
          <w:lang w:val="sr-Cyrl-CS"/>
        </w:rPr>
        <w:t xml:space="preserve">су </w:t>
      </w:r>
      <w:r>
        <w:rPr>
          <w:rFonts w:ascii="Times New Roman" w:hAnsi="Times New Roman"/>
          <w:sz w:val="24"/>
          <w:szCs w:val="24"/>
          <w:lang w:val="sr-Cyrl-CS"/>
        </w:rPr>
        <w:t>веома бројни.</w:t>
      </w:r>
      <w:r w:rsidR="00EE40E9">
        <w:rPr>
          <w:rFonts w:ascii="Times New Roman" w:hAnsi="Times New Roman"/>
          <w:sz w:val="24"/>
          <w:szCs w:val="24"/>
          <w:lang w:val="sr-Cyrl-CS"/>
        </w:rPr>
        <w:t xml:space="preserve"> Често се врши наплата робе и ус</w:t>
      </w:r>
      <w:r>
        <w:rPr>
          <w:rFonts w:ascii="Times New Roman" w:hAnsi="Times New Roman"/>
          <w:sz w:val="24"/>
          <w:szCs w:val="24"/>
          <w:lang w:val="sr-Cyrl-CS"/>
        </w:rPr>
        <w:t>луга за готов новац,</w:t>
      </w:r>
      <w:r w:rsidR="00163CB7">
        <w:rPr>
          <w:rFonts w:ascii="Times New Roman" w:hAnsi="Times New Roman"/>
          <w:sz w:val="24"/>
          <w:szCs w:val="24"/>
          <w:lang w:val="sr-Cyrl-CS"/>
        </w:rPr>
        <w:t xml:space="preserve"> уз фалсификовање</w:t>
      </w:r>
      <w:r>
        <w:rPr>
          <w:rFonts w:ascii="Times New Roman" w:hAnsi="Times New Roman"/>
          <w:sz w:val="24"/>
          <w:szCs w:val="24"/>
          <w:lang w:val="sr-Cyrl-CS"/>
        </w:rPr>
        <w:t xml:space="preserve"> доку</w:t>
      </w:r>
      <w:r w:rsidR="007555A5">
        <w:rPr>
          <w:rFonts w:ascii="Times New Roman" w:hAnsi="Times New Roman"/>
          <w:sz w:val="24"/>
          <w:szCs w:val="24"/>
          <w:lang w:val="sr-Cyrl-CS"/>
        </w:rPr>
        <w:t>мента</w:t>
      </w:r>
      <w:r>
        <w:rPr>
          <w:rFonts w:ascii="Times New Roman" w:hAnsi="Times New Roman"/>
          <w:sz w:val="24"/>
          <w:szCs w:val="24"/>
          <w:lang w:val="sr-Cyrl-CS"/>
        </w:rPr>
        <w:t>ције, посебно уз помоћ фантомских фирми које се оснивају за такве намене, трају неко време</w:t>
      </w:r>
      <w:r w:rsidR="00EE40E9">
        <w:rPr>
          <w:rFonts w:ascii="Times New Roman" w:hAnsi="Times New Roman"/>
          <w:sz w:val="24"/>
          <w:szCs w:val="24"/>
          <w:lang w:val="sr-Cyrl-CS"/>
        </w:rPr>
        <w:t>,</w:t>
      </w:r>
      <w:r>
        <w:rPr>
          <w:rFonts w:ascii="Times New Roman" w:hAnsi="Times New Roman"/>
          <w:sz w:val="24"/>
          <w:szCs w:val="24"/>
          <w:lang w:val="sr-Cyrl-CS"/>
        </w:rPr>
        <w:t xml:space="preserve"> а затим неста</w:t>
      </w:r>
      <w:r w:rsidR="007555A5">
        <w:rPr>
          <w:rFonts w:ascii="Times New Roman" w:hAnsi="Times New Roman"/>
          <w:sz w:val="24"/>
          <w:szCs w:val="24"/>
          <w:lang w:val="sr-Cyrl-CS"/>
        </w:rPr>
        <w:t>ју без трага. Избегавање прихода</w:t>
      </w:r>
      <w:r>
        <w:rPr>
          <w:rFonts w:ascii="Times New Roman" w:hAnsi="Times New Roman"/>
          <w:sz w:val="24"/>
          <w:szCs w:val="24"/>
          <w:lang w:val="sr-Cyrl-CS"/>
        </w:rPr>
        <w:t xml:space="preserve"> се јавља везано за све врсте пореза, а ширењу </w:t>
      </w:r>
      <w:r w:rsidR="00163CB7">
        <w:rPr>
          <w:rFonts w:ascii="Times New Roman" w:hAnsi="Times New Roman"/>
          <w:sz w:val="24"/>
          <w:szCs w:val="24"/>
          <w:lang w:val="sr-Cyrl-CS"/>
        </w:rPr>
        <w:t>ове појаве свак</w:t>
      </w:r>
      <w:r>
        <w:rPr>
          <w:rFonts w:ascii="Times New Roman" w:hAnsi="Times New Roman"/>
          <w:sz w:val="24"/>
          <w:szCs w:val="24"/>
          <w:lang w:val="sr-Cyrl-CS"/>
        </w:rPr>
        <w:t>ако д</w:t>
      </w:r>
      <w:r w:rsidR="00163CB7">
        <w:rPr>
          <w:rFonts w:ascii="Times New Roman" w:hAnsi="Times New Roman"/>
          <w:sz w:val="24"/>
          <w:szCs w:val="24"/>
          <w:lang w:val="sr-Cyrl-CS"/>
        </w:rPr>
        <w:t>а</w:t>
      </w:r>
      <w:r>
        <w:rPr>
          <w:rFonts w:ascii="Times New Roman" w:hAnsi="Times New Roman"/>
          <w:sz w:val="24"/>
          <w:szCs w:val="24"/>
          <w:lang w:val="sr-Cyrl-CS"/>
        </w:rPr>
        <w:t xml:space="preserve"> доприноси процес транзиције. Распадом социјалистичке привреде нису формирани нови адекватни институционални оквири за тржишну привреду, а ратно окружење, прилив избеглица, пад животног стандарда само су допринели ширењу ових негативних и опасних феномена. Ширењу сиве економије доприноси и пор</w:t>
      </w:r>
      <w:r w:rsidR="00163CB7">
        <w:rPr>
          <w:rFonts w:ascii="Times New Roman" w:hAnsi="Times New Roman"/>
          <w:sz w:val="24"/>
          <w:szCs w:val="24"/>
          <w:lang w:val="sr-Cyrl-CS"/>
        </w:rPr>
        <w:t>а</w:t>
      </w:r>
      <w:r>
        <w:rPr>
          <w:rFonts w:ascii="Times New Roman" w:hAnsi="Times New Roman"/>
          <w:sz w:val="24"/>
          <w:szCs w:val="24"/>
          <w:lang w:val="sr-Cyrl-CS"/>
        </w:rPr>
        <w:t xml:space="preserve">ст пореског оптерећења. </w:t>
      </w:r>
      <w:r w:rsidR="00202296">
        <w:rPr>
          <w:rFonts w:ascii="Times New Roman" w:hAnsi="Times New Roman"/>
          <w:sz w:val="24"/>
          <w:szCs w:val="24"/>
          <w:lang w:val="sr-Cyrl-CS"/>
        </w:rPr>
        <w:t>Посебно је у нашим условима заступљена код трговине акцизним производима, а подмићивање царинских, пореских  и других дражавних службеника воде мањем приливу од пореза, царина, доприноса, акциза, односно јавних прихода.</w:t>
      </w:r>
      <w:r w:rsidR="00EE40E9">
        <w:rPr>
          <w:rFonts w:ascii="Times New Roman" w:hAnsi="Times New Roman"/>
          <w:sz w:val="24"/>
          <w:szCs w:val="24"/>
          <w:lang w:val="sr-Cyrl-CS"/>
        </w:rPr>
        <w:t xml:space="preserve"> </w:t>
      </w:r>
      <w:r w:rsidR="00446D59">
        <w:rPr>
          <w:rFonts w:ascii="Times New Roman" w:hAnsi="Times New Roman"/>
          <w:sz w:val="24"/>
          <w:szCs w:val="24"/>
          <w:lang w:val="sr-Cyrl-CS"/>
        </w:rPr>
        <w:t xml:space="preserve"> </w:t>
      </w:r>
    </w:p>
    <w:p w:rsidR="000664E0" w:rsidRDefault="00202296" w:rsidP="00446D59">
      <w:pPr>
        <w:ind w:firstLine="708"/>
        <w:jc w:val="both"/>
        <w:rPr>
          <w:rFonts w:ascii="Times New Roman" w:hAnsi="Times New Roman"/>
          <w:sz w:val="24"/>
          <w:szCs w:val="24"/>
          <w:lang w:val="sr-Cyrl-CS"/>
        </w:rPr>
      </w:pPr>
      <w:r>
        <w:rPr>
          <w:rFonts w:ascii="Times New Roman" w:hAnsi="Times New Roman"/>
          <w:sz w:val="24"/>
          <w:szCs w:val="24"/>
          <w:lang w:val="sr-Cyrl-CS"/>
        </w:rPr>
        <w:t>Корупција и привредни криминал н</w:t>
      </w:r>
      <w:r w:rsidR="0084680D">
        <w:rPr>
          <w:rFonts w:ascii="Times New Roman" w:hAnsi="Times New Roman"/>
          <w:sz w:val="24"/>
          <w:szCs w:val="24"/>
          <w:lang w:val="sr-Cyrl-CS"/>
        </w:rPr>
        <w:t>е</w:t>
      </w:r>
      <w:r>
        <w:rPr>
          <w:rFonts w:ascii="Times New Roman" w:hAnsi="Times New Roman"/>
          <w:sz w:val="24"/>
          <w:szCs w:val="24"/>
          <w:lang w:val="sr-Cyrl-CS"/>
        </w:rPr>
        <w:t xml:space="preserve">гативно утичу </w:t>
      </w:r>
      <w:r w:rsidR="00EE40E9">
        <w:rPr>
          <w:rFonts w:ascii="Times New Roman" w:hAnsi="Times New Roman"/>
          <w:sz w:val="24"/>
          <w:szCs w:val="24"/>
          <w:lang w:val="sr-Cyrl-CS"/>
        </w:rPr>
        <w:t>и на економс</w:t>
      </w:r>
      <w:r>
        <w:rPr>
          <w:rFonts w:ascii="Times New Roman" w:hAnsi="Times New Roman"/>
          <w:sz w:val="24"/>
          <w:szCs w:val="24"/>
          <w:lang w:val="sr-Cyrl-CS"/>
        </w:rPr>
        <w:t>ку ефикасност у савременој тржиштој привреди. Значајно угрожава</w:t>
      </w:r>
      <w:r w:rsidR="00EE40E9">
        <w:rPr>
          <w:rFonts w:ascii="Times New Roman" w:hAnsi="Times New Roman"/>
          <w:sz w:val="24"/>
          <w:szCs w:val="24"/>
          <w:lang w:val="sr-Cyrl-CS"/>
        </w:rPr>
        <w:t>ју</w:t>
      </w:r>
      <w:r>
        <w:rPr>
          <w:rFonts w:ascii="Times New Roman" w:hAnsi="Times New Roman"/>
          <w:sz w:val="24"/>
          <w:szCs w:val="24"/>
          <w:lang w:val="sr-Cyrl-CS"/>
        </w:rPr>
        <w:t xml:space="preserve"> тржишну конкуренцију без које нема нормалног функционисања тржишта и самим тим нарушава</w:t>
      </w:r>
      <w:r w:rsidR="00EE40E9">
        <w:rPr>
          <w:rFonts w:ascii="Times New Roman" w:hAnsi="Times New Roman"/>
          <w:sz w:val="24"/>
          <w:szCs w:val="24"/>
          <w:lang w:val="sr-Cyrl-CS"/>
        </w:rPr>
        <w:t>ју односе т</w:t>
      </w:r>
      <w:r>
        <w:rPr>
          <w:rFonts w:ascii="Times New Roman" w:hAnsi="Times New Roman"/>
          <w:sz w:val="24"/>
          <w:szCs w:val="24"/>
          <w:lang w:val="sr-Cyrl-CS"/>
        </w:rPr>
        <w:t>ржишне привреде. Порески обвезници поред тога што мора</w:t>
      </w:r>
      <w:r w:rsidR="00EE40E9">
        <w:rPr>
          <w:rFonts w:ascii="Times New Roman" w:hAnsi="Times New Roman"/>
          <w:sz w:val="24"/>
          <w:szCs w:val="24"/>
          <w:lang w:val="sr-Cyrl-CS"/>
        </w:rPr>
        <w:t>ју да плаћају порезе и друге даж</w:t>
      </w:r>
      <w:r>
        <w:rPr>
          <w:rFonts w:ascii="Times New Roman" w:hAnsi="Times New Roman"/>
          <w:sz w:val="24"/>
          <w:szCs w:val="24"/>
          <w:lang w:val="sr-Cyrl-CS"/>
        </w:rPr>
        <w:t xml:space="preserve">бине, морају да плаћају мито, како би били укључени у послове на тржишту, како би </w:t>
      </w:r>
      <w:r w:rsidR="00083949">
        <w:rPr>
          <w:rFonts w:ascii="Times New Roman" w:hAnsi="Times New Roman"/>
          <w:sz w:val="24"/>
          <w:szCs w:val="24"/>
          <w:lang w:val="sr-Cyrl-CS"/>
        </w:rPr>
        <w:t xml:space="preserve">добили јавне набавке, како би добили кредите од банака и слично. Свему овоме доприноси непостојање владавине права, тако да учесници на тржишту немају адеватну правну заштиту нити сигурност у пословању јер су повлашћени они који се баве корупцијом. Све то може да доведе </w:t>
      </w:r>
      <w:r w:rsidR="00CB51E7">
        <w:rPr>
          <w:rFonts w:ascii="Times New Roman" w:hAnsi="Times New Roman"/>
          <w:sz w:val="24"/>
          <w:szCs w:val="24"/>
          <w:lang w:val="sr-Cyrl-CS"/>
        </w:rPr>
        <w:t xml:space="preserve">до појаве </w:t>
      </w:r>
      <w:r w:rsidR="00083949">
        <w:rPr>
          <w:rFonts w:ascii="Times New Roman" w:hAnsi="Times New Roman"/>
          <w:sz w:val="24"/>
          <w:szCs w:val="24"/>
          <w:lang w:val="sr-Cyrl-CS"/>
        </w:rPr>
        <w:t>таквог регулато</w:t>
      </w:r>
      <w:r w:rsidR="00EE40E9">
        <w:rPr>
          <w:rFonts w:ascii="Times New Roman" w:hAnsi="Times New Roman"/>
          <w:sz w:val="24"/>
          <w:szCs w:val="24"/>
          <w:lang w:val="sr-Cyrl-CS"/>
        </w:rPr>
        <w:t>рног оквира који подрива економс</w:t>
      </w:r>
      <w:r w:rsidR="00083949">
        <w:rPr>
          <w:rFonts w:ascii="Times New Roman" w:hAnsi="Times New Roman"/>
          <w:sz w:val="24"/>
          <w:szCs w:val="24"/>
          <w:lang w:val="sr-Cyrl-CS"/>
        </w:rPr>
        <w:t xml:space="preserve">ку ефикасност. </w:t>
      </w:r>
      <w:r w:rsidR="007555A5">
        <w:rPr>
          <w:rFonts w:ascii="Times New Roman" w:hAnsi="Times New Roman"/>
          <w:sz w:val="24"/>
          <w:szCs w:val="24"/>
          <w:lang w:val="sr-Cyrl-CS"/>
        </w:rPr>
        <w:t xml:space="preserve"> </w:t>
      </w:r>
    </w:p>
    <w:p w:rsidR="005B3B57" w:rsidRDefault="005B3B57" w:rsidP="007555A5">
      <w:pPr>
        <w:ind w:firstLine="708"/>
        <w:jc w:val="both"/>
        <w:rPr>
          <w:rFonts w:ascii="Times New Roman" w:hAnsi="Times New Roman"/>
          <w:sz w:val="24"/>
          <w:szCs w:val="24"/>
          <w:lang w:val="sr-Cyrl-CS"/>
        </w:rPr>
      </w:pPr>
      <w:r>
        <w:rPr>
          <w:rFonts w:ascii="Times New Roman" w:hAnsi="Times New Roman"/>
          <w:sz w:val="24"/>
          <w:szCs w:val="24"/>
          <w:lang w:val="sr-Cyrl-CS"/>
        </w:rPr>
        <w:t xml:space="preserve">Корупција негативно утиче </w:t>
      </w:r>
      <w:r w:rsidR="00EE40E9">
        <w:rPr>
          <w:rFonts w:ascii="Times New Roman" w:hAnsi="Times New Roman"/>
          <w:sz w:val="24"/>
          <w:szCs w:val="24"/>
          <w:lang w:val="sr-Cyrl-CS"/>
        </w:rPr>
        <w:t xml:space="preserve">и </w:t>
      </w:r>
      <w:r>
        <w:rPr>
          <w:rFonts w:ascii="Times New Roman" w:hAnsi="Times New Roman"/>
          <w:sz w:val="24"/>
          <w:szCs w:val="24"/>
          <w:lang w:val="sr-Cyrl-CS"/>
        </w:rPr>
        <w:t>на инвестирање и легалну делатност.</w:t>
      </w:r>
      <w:r w:rsidR="00EE40E9">
        <w:rPr>
          <w:rFonts w:ascii="Times New Roman" w:hAnsi="Times New Roman"/>
          <w:sz w:val="24"/>
          <w:szCs w:val="24"/>
          <w:lang w:val="sr-Cyrl-CS"/>
        </w:rPr>
        <w:t xml:space="preserve"> Због недостатка тржишне конкуренције прави се негативна селекција пројеката, тако </w:t>
      </w:r>
      <w:r w:rsidR="000664E0">
        <w:rPr>
          <w:rFonts w:ascii="Times New Roman" w:hAnsi="Times New Roman"/>
          <w:sz w:val="24"/>
          <w:szCs w:val="24"/>
          <w:lang w:val="sr-Cyrl-CS"/>
        </w:rPr>
        <w:t xml:space="preserve">да </w:t>
      </w:r>
      <w:r w:rsidR="00EE40E9">
        <w:rPr>
          <w:rFonts w:ascii="Times New Roman" w:hAnsi="Times New Roman"/>
          <w:sz w:val="24"/>
          <w:szCs w:val="24"/>
          <w:lang w:val="sr-Cyrl-CS"/>
        </w:rPr>
        <w:t>се од стране државе не улаже у пројекте који су заиста потребни, него у оне где се може остварити лична зарада и профит, чиме се негативно утиче на јавну потрошњу.</w:t>
      </w:r>
      <w:r w:rsidR="000664E0">
        <w:rPr>
          <w:rFonts w:ascii="Times New Roman" w:hAnsi="Times New Roman"/>
          <w:sz w:val="24"/>
          <w:szCs w:val="24"/>
          <w:lang w:val="sr-Cyrl-CS"/>
        </w:rPr>
        <w:t xml:space="preserve"> </w:t>
      </w:r>
      <w:r w:rsidR="00EE40E9">
        <w:rPr>
          <w:rFonts w:ascii="Times New Roman" w:hAnsi="Times New Roman"/>
          <w:sz w:val="24"/>
          <w:szCs w:val="24"/>
          <w:lang w:val="sr-Cyrl-CS"/>
        </w:rPr>
        <w:t>Зах</w:t>
      </w:r>
      <w:r w:rsidR="00083949">
        <w:rPr>
          <w:rFonts w:ascii="Times New Roman" w:hAnsi="Times New Roman"/>
          <w:sz w:val="24"/>
          <w:szCs w:val="24"/>
          <w:lang w:val="sr-Cyrl-CS"/>
        </w:rPr>
        <w:t>ваљујући корупцији не врше</w:t>
      </w:r>
      <w:r w:rsidR="00EE40E9">
        <w:rPr>
          <w:rFonts w:ascii="Times New Roman" w:hAnsi="Times New Roman"/>
          <w:sz w:val="24"/>
          <w:szCs w:val="24"/>
          <w:lang w:val="sr-Cyrl-CS"/>
        </w:rPr>
        <w:t xml:space="preserve"> се</w:t>
      </w:r>
      <w:r w:rsidR="00083949">
        <w:rPr>
          <w:rFonts w:ascii="Times New Roman" w:hAnsi="Times New Roman"/>
          <w:sz w:val="24"/>
          <w:szCs w:val="24"/>
          <w:lang w:val="sr-Cyrl-CS"/>
        </w:rPr>
        <w:t xml:space="preserve"> улагања у нове производне технологије и </w:t>
      </w:r>
      <w:r w:rsidR="00EE40E9">
        <w:rPr>
          <w:rFonts w:ascii="Times New Roman" w:hAnsi="Times New Roman"/>
          <w:sz w:val="24"/>
          <w:szCs w:val="24"/>
          <w:lang w:val="sr-Cyrl-CS"/>
        </w:rPr>
        <w:t xml:space="preserve">долази </w:t>
      </w:r>
      <w:r w:rsidR="00083949">
        <w:rPr>
          <w:rFonts w:ascii="Times New Roman" w:hAnsi="Times New Roman"/>
          <w:sz w:val="24"/>
          <w:szCs w:val="24"/>
          <w:lang w:val="sr-Cyrl-CS"/>
        </w:rPr>
        <w:t>до негативне селекције у људским ресурсима, што све доприноси стагнирању и саботирању економског развоја.</w:t>
      </w:r>
      <w:r w:rsidR="00EE40E9">
        <w:rPr>
          <w:rFonts w:ascii="Times New Roman" w:hAnsi="Times New Roman"/>
          <w:sz w:val="24"/>
          <w:szCs w:val="24"/>
          <w:lang w:val="sr-Cyrl-CS"/>
        </w:rPr>
        <w:t xml:space="preserve"> Страни инвеститори избегавају да улажу у привреду коју карактерише раширена корупција, што доводи до слабљења угледа једне земље у међунродним оквирима.</w:t>
      </w:r>
    </w:p>
    <w:p w:rsidR="0084680D" w:rsidRPr="00BE74DD" w:rsidRDefault="000664E0" w:rsidP="00BE74DD">
      <w:pPr>
        <w:ind w:firstLine="708"/>
        <w:jc w:val="both"/>
        <w:rPr>
          <w:rFonts w:ascii="Times New Roman" w:hAnsi="Times New Roman"/>
          <w:sz w:val="24"/>
          <w:szCs w:val="24"/>
          <w:lang w:val="sr-Cyrl-CS"/>
        </w:rPr>
      </w:pPr>
      <w:r>
        <w:rPr>
          <w:rFonts w:ascii="Times New Roman" w:hAnsi="Times New Roman"/>
          <w:sz w:val="24"/>
          <w:szCs w:val="24"/>
          <w:lang w:val="sr-Cyrl-CS"/>
        </w:rPr>
        <w:t>Због свега тога, п</w:t>
      </w:r>
      <w:r w:rsidR="00EE40E9">
        <w:rPr>
          <w:rFonts w:ascii="Times New Roman" w:hAnsi="Times New Roman"/>
          <w:sz w:val="24"/>
          <w:szCs w:val="24"/>
          <w:lang w:val="sr-Cyrl-CS"/>
        </w:rPr>
        <w:t xml:space="preserve">оследице привредног криминала и корупције </w:t>
      </w:r>
      <w:r w:rsidR="008372CF">
        <w:rPr>
          <w:rFonts w:ascii="Times New Roman" w:hAnsi="Times New Roman"/>
          <w:sz w:val="24"/>
          <w:szCs w:val="24"/>
          <w:lang w:val="sr-Cyrl-CS"/>
        </w:rPr>
        <w:t>су погубне за тржишну економију,</w:t>
      </w:r>
      <w:r w:rsidR="00EE40E9">
        <w:rPr>
          <w:rFonts w:ascii="Times New Roman" w:hAnsi="Times New Roman"/>
          <w:sz w:val="24"/>
          <w:szCs w:val="24"/>
          <w:lang w:val="sr-Cyrl-CS"/>
        </w:rPr>
        <w:t xml:space="preserve"> које се огледају не само у прибављеној имо</w:t>
      </w:r>
      <w:r w:rsidR="008372CF">
        <w:rPr>
          <w:rFonts w:ascii="Times New Roman" w:hAnsi="Times New Roman"/>
          <w:sz w:val="24"/>
          <w:szCs w:val="24"/>
          <w:lang w:val="sr-Cyrl-CS"/>
        </w:rPr>
        <w:t>винској користи и нанетој штети,</w:t>
      </w:r>
      <w:r w:rsidR="00EE40E9">
        <w:rPr>
          <w:rFonts w:ascii="Times New Roman" w:hAnsi="Times New Roman"/>
          <w:sz w:val="24"/>
          <w:szCs w:val="24"/>
          <w:lang w:val="sr-Cyrl-CS"/>
        </w:rPr>
        <w:t xml:space="preserve"> већ наносе озбиљне економске последице у привреди једне земље. </w:t>
      </w:r>
      <w:r w:rsidR="00083949">
        <w:rPr>
          <w:rFonts w:ascii="Times New Roman" w:hAnsi="Times New Roman"/>
          <w:sz w:val="24"/>
          <w:szCs w:val="24"/>
          <w:lang w:val="sr-Cyrl-CS"/>
        </w:rPr>
        <w:lastRenderedPageBreak/>
        <w:t>Самим тим ове негативне појаве негативно утичу на привредни раст. Пораст корупције и привредног криминала води паду стопа привредног раста.</w:t>
      </w:r>
    </w:p>
    <w:p w:rsidR="0084680D" w:rsidRDefault="0084680D" w:rsidP="0084680D">
      <w:pPr>
        <w:ind w:firstLine="708"/>
        <w:jc w:val="both"/>
        <w:rPr>
          <w:rFonts w:ascii="Times New Roman" w:hAnsi="Times New Roman"/>
          <w:sz w:val="24"/>
          <w:szCs w:val="24"/>
          <w:lang w:val="sr-Cyrl-CS"/>
        </w:rPr>
      </w:pPr>
      <w:r>
        <w:rPr>
          <w:rFonts w:ascii="Times New Roman" w:hAnsi="Times New Roman"/>
          <w:sz w:val="24"/>
          <w:szCs w:val="24"/>
          <w:lang w:val="sr-Cyrl-CS"/>
        </w:rPr>
        <w:t>Друштвено-политичке последице корупције у привреди се огледају у угрожавању демократских институција</w:t>
      </w:r>
      <w:r w:rsidR="00BE74DD">
        <w:rPr>
          <w:rFonts w:ascii="Times New Roman" w:hAnsi="Times New Roman"/>
          <w:sz w:val="24"/>
          <w:szCs w:val="24"/>
          <w:lang w:val="sr-Cyrl-CS"/>
        </w:rPr>
        <w:t xml:space="preserve"> и тржишне економије</w:t>
      </w:r>
      <w:r>
        <w:rPr>
          <w:rFonts w:ascii="Times New Roman" w:hAnsi="Times New Roman"/>
          <w:sz w:val="24"/>
          <w:szCs w:val="24"/>
          <w:lang w:val="sr-Cyrl-CS"/>
        </w:rPr>
        <w:t xml:space="preserve">, повећању трошкова функционисања државе, стварању неповерења грађана према власти и њеним органима, блокирању реформи, </w:t>
      </w:r>
      <w:r w:rsidR="00BE74DD">
        <w:rPr>
          <w:rFonts w:ascii="Times New Roman" w:hAnsi="Times New Roman"/>
          <w:sz w:val="24"/>
          <w:szCs w:val="24"/>
          <w:lang w:val="sr-Cyrl-CS"/>
        </w:rPr>
        <w:t>умањењу спремности на инвестиције итд.</w:t>
      </w:r>
      <w:r>
        <w:rPr>
          <w:rStyle w:val="FootnoteReference"/>
          <w:rFonts w:ascii="Times New Roman" w:hAnsi="Times New Roman"/>
          <w:sz w:val="24"/>
          <w:szCs w:val="24"/>
          <w:lang w:val="sr-Cyrl-CS"/>
        </w:rPr>
        <w:footnoteReference w:id="738"/>
      </w:r>
      <w:r>
        <w:rPr>
          <w:rFonts w:ascii="Times New Roman" w:hAnsi="Times New Roman"/>
          <w:sz w:val="24"/>
          <w:szCs w:val="24"/>
          <w:lang w:val="sr-Cyrl-CS"/>
        </w:rPr>
        <w:t xml:space="preserve"> </w:t>
      </w:r>
    </w:p>
    <w:p w:rsidR="00302B08" w:rsidRDefault="00302B08" w:rsidP="008E63F5">
      <w:pPr>
        <w:ind w:firstLine="708"/>
        <w:jc w:val="both"/>
        <w:rPr>
          <w:rFonts w:ascii="Times New Roman" w:hAnsi="Times New Roman"/>
          <w:sz w:val="24"/>
          <w:szCs w:val="24"/>
          <w:lang w:val="sr-Cyrl-CS"/>
        </w:rPr>
      </w:pPr>
      <w:r>
        <w:rPr>
          <w:rFonts w:ascii="Times New Roman" w:hAnsi="Times New Roman"/>
          <w:sz w:val="24"/>
          <w:szCs w:val="24"/>
          <w:lang w:val="sr-Cyrl-CS"/>
        </w:rPr>
        <w:t xml:space="preserve">Ове негативне појаве повећавају </w:t>
      </w:r>
      <w:r w:rsidR="0084680D">
        <w:rPr>
          <w:rFonts w:ascii="Times New Roman" w:hAnsi="Times New Roman"/>
          <w:sz w:val="24"/>
          <w:szCs w:val="24"/>
          <w:lang w:val="sr-Cyrl-CS"/>
        </w:rPr>
        <w:t xml:space="preserve">и </w:t>
      </w:r>
      <w:r>
        <w:rPr>
          <w:rFonts w:ascii="Times New Roman" w:hAnsi="Times New Roman"/>
          <w:sz w:val="24"/>
          <w:szCs w:val="24"/>
          <w:lang w:val="sr-Cyrl-CS"/>
        </w:rPr>
        <w:t>доходовну неједнакост и с</w:t>
      </w:r>
      <w:r w:rsidR="007555A5">
        <w:rPr>
          <w:rFonts w:ascii="Times New Roman" w:hAnsi="Times New Roman"/>
          <w:sz w:val="24"/>
          <w:szCs w:val="24"/>
          <w:lang w:val="sr-Cyrl-CS"/>
        </w:rPr>
        <w:t>и</w:t>
      </w:r>
      <w:r>
        <w:rPr>
          <w:rFonts w:ascii="Times New Roman" w:hAnsi="Times New Roman"/>
          <w:sz w:val="24"/>
          <w:szCs w:val="24"/>
          <w:lang w:val="sr-Cyrl-CS"/>
        </w:rPr>
        <w:t xml:space="preserve">ромаштво. </w:t>
      </w:r>
      <w:r w:rsidR="00AA45D2">
        <w:rPr>
          <w:rFonts w:ascii="Times New Roman" w:hAnsi="Times New Roman"/>
          <w:sz w:val="24"/>
          <w:szCs w:val="24"/>
          <w:lang w:val="sr-Cyrl-CS"/>
        </w:rPr>
        <w:t>Додатни приходи</w:t>
      </w:r>
      <w:r>
        <w:rPr>
          <w:rFonts w:ascii="Times New Roman" w:hAnsi="Times New Roman"/>
          <w:sz w:val="24"/>
          <w:szCs w:val="24"/>
          <w:lang w:val="sr-Cyrl-CS"/>
        </w:rPr>
        <w:t xml:space="preserve"> убирају </w:t>
      </w:r>
      <w:r w:rsidR="00AA45D2">
        <w:rPr>
          <w:rFonts w:ascii="Times New Roman" w:hAnsi="Times New Roman"/>
          <w:sz w:val="24"/>
          <w:szCs w:val="24"/>
          <w:lang w:val="sr-Cyrl-CS"/>
        </w:rPr>
        <w:t xml:space="preserve">се услед вршења ових незаконитих делатности </w:t>
      </w:r>
      <w:r w:rsidR="0084680D">
        <w:rPr>
          <w:rFonts w:ascii="Times New Roman" w:hAnsi="Times New Roman"/>
          <w:sz w:val="24"/>
          <w:szCs w:val="24"/>
          <w:lang w:val="sr-Cyrl-CS"/>
        </w:rPr>
        <w:t>што доприноси</w:t>
      </w:r>
      <w:r w:rsidR="00AA45D2">
        <w:rPr>
          <w:rFonts w:ascii="Times New Roman" w:hAnsi="Times New Roman"/>
          <w:sz w:val="24"/>
          <w:szCs w:val="24"/>
          <w:lang w:val="sr-Cyrl-CS"/>
        </w:rPr>
        <w:t xml:space="preserve">  богаћењу уског круга људи, док се са друге стране смањују приходи државе. Тиме је угрожено остваривање јавних овлашћења државе, а што се негативно одражава не целокупни друштвено-економски развој. </w:t>
      </w:r>
      <w:r w:rsidR="005B3B57">
        <w:rPr>
          <w:rFonts w:ascii="Times New Roman" w:hAnsi="Times New Roman"/>
          <w:sz w:val="24"/>
          <w:szCs w:val="24"/>
          <w:lang w:val="sr-Cyrl-CS"/>
        </w:rPr>
        <w:t xml:space="preserve">Корупција и привредни криминал повећавају сиромаштво и доприносе атмосфери несигурности и незадовољства. </w:t>
      </w:r>
      <w:r w:rsidR="0084680D">
        <w:rPr>
          <w:rFonts w:ascii="Times New Roman" w:hAnsi="Times New Roman"/>
          <w:sz w:val="24"/>
          <w:szCs w:val="24"/>
          <w:lang w:val="sr-Cyrl-CS"/>
        </w:rPr>
        <w:t xml:space="preserve"> </w:t>
      </w:r>
    </w:p>
    <w:p w:rsidR="007666AB" w:rsidRDefault="007666AB" w:rsidP="00446D59">
      <w:pPr>
        <w:ind w:firstLine="360"/>
        <w:jc w:val="both"/>
        <w:rPr>
          <w:rFonts w:ascii="Times New Roman" w:hAnsi="Times New Roman"/>
          <w:sz w:val="24"/>
          <w:szCs w:val="24"/>
          <w:lang w:val="sr-Cyrl-CS"/>
        </w:rPr>
      </w:pPr>
      <w:r>
        <w:rPr>
          <w:rFonts w:ascii="Times New Roman" w:hAnsi="Times New Roman"/>
          <w:sz w:val="24"/>
          <w:szCs w:val="24"/>
          <w:lang w:val="sr-Cyrl-CS"/>
        </w:rPr>
        <w:t xml:space="preserve">Привредни криминал и корупција су веома друштвено опасни, остављају озбиљне последице, угрожавају и погађају разна добра, односно вредности државе, као и правна добра и интересе појединаца. </w:t>
      </w:r>
      <w:r w:rsidR="00446D59">
        <w:rPr>
          <w:rFonts w:ascii="Times New Roman" w:hAnsi="Times New Roman"/>
          <w:sz w:val="24"/>
          <w:szCs w:val="24"/>
          <w:lang w:val="sr-Cyrl-CS"/>
        </w:rPr>
        <w:t>Спрега привредног криминала и корупције је веома опасна јер се п</w:t>
      </w:r>
      <w:r w:rsidR="00EB261A">
        <w:rPr>
          <w:rFonts w:ascii="Times New Roman" w:hAnsi="Times New Roman"/>
          <w:sz w:val="24"/>
          <w:szCs w:val="24"/>
          <w:lang w:val="sr-Cyrl-CS"/>
        </w:rPr>
        <w:t>риликом вршења привредног криминала и његових облика, па тако и избегавања</w:t>
      </w:r>
      <w:r w:rsidR="006363D8">
        <w:rPr>
          <w:rFonts w:ascii="Times New Roman" w:hAnsi="Times New Roman"/>
          <w:sz w:val="24"/>
          <w:szCs w:val="24"/>
          <w:lang w:val="sr-Cyrl-CS"/>
        </w:rPr>
        <w:t xml:space="preserve"> плаћања пореза, </w:t>
      </w:r>
      <w:r w:rsidR="00446D59">
        <w:rPr>
          <w:rFonts w:ascii="Times New Roman" w:hAnsi="Times New Roman"/>
          <w:sz w:val="24"/>
          <w:szCs w:val="24"/>
          <w:lang w:val="sr-Cyrl-CS"/>
        </w:rPr>
        <w:t>често</w:t>
      </w:r>
      <w:r w:rsidR="00EB261A">
        <w:rPr>
          <w:rFonts w:ascii="Times New Roman" w:hAnsi="Times New Roman"/>
          <w:sz w:val="24"/>
          <w:szCs w:val="24"/>
          <w:lang w:val="sr-Cyrl-CS"/>
        </w:rPr>
        <w:t xml:space="preserve"> </w:t>
      </w:r>
      <w:r w:rsidR="006363D8">
        <w:rPr>
          <w:rFonts w:ascii="Times New Roman" w:hAnsi="Times New Roman"/>
          <w:sz w:val="24"/>
          <w:szCs w:val="24"/>
          <w:lang w:val="sr-Cyrl-CS"/>
        </w:rPr>
        <w:t>користи корупција</w:t>
      </w:r>
      <w:r w:rsidR="00EB261A">
        <w:rPr>
          <w:rFonts w:ascii="Times New Roman" w:hAnsi="Times New Roman"/>
          <w:sz w:val="24"/>
          <w:szCs w:val="24"/>
          <w:lang w:val="sr-Cyrl-CS"/>
        </w:rPr>
        <w:t xml:space="preserve"> како би се остварили контакти и успоставиле везе са државним органима, одређеним политичким и другим субјектима у циљу остваривања што већег профита и </w:t>
      </w:r>
      <w:r w:rsidR="006363D8">
        <w:rPr>
          <w:rFonts w:ascii="Times New Roman" w:hAnsi="Times New Roman"/>
          <w:sz w:val="24"/>
          <w:szCs w:val="24"/>
          <w:lang w:val="sr-Cyrl-CS"/>
        </w:rPr>
        <w:t>успешнијег прикривања криминалних</w:t>
      </w:r>
      <w:r w:rsidR="00EB261A">
        <w:rPr>
          <w:rFonts w:ascii="Times New Roman" w:hAnsi="Times New Roman"/>
          <w:sz w:val="24"/>
          <w:szCs w:val="24"/>
          <w:lang w:val="sr-Cyrl-CS"/>
        </w:rPr>
        <w:t xml:space="preserve"> активности.</w:t>
      </w:r>
    </w:p>
    <w:p w:rsidR="007666AB" w:rsidRDefault="0060527A" w:rsidP="006363D8">
      <w:pPr>
        <w:ind w:firstLine="360"/>
        <w:jc w:val="both"/>
        <w:rPr>
          <w:rFonts w:ascii="Times New Roman" w:hAnsi="Times New Roman"/>
          <w:sz w:val="24"/>
          <w:szCs w:val="24"/>
          <w:lang w:val="sr-Cyrl-CS"/>
        </w:rPr>
      </w:pPr>
      <w:r>
        <w:rPr>
          <w:rFonts w:ascii="Times New Roman" w:hAnsi="Times New Roman"/>
          <w:sz w:val="24"/>
          <w:szCs w:val="24"/>
          <w:lang w:val="sr-Cyrl-CS"/>
        </w:rPr>
        <w:t>Из којих разлога је корупција веома негативна појава</w:t>
      </w:r>
      <w:r w:rsidR="00EB261A">
        <w:rPr>
          <w:rFonts w:ascii="Times New Roman" w:hAnsi="Times New Roman"/>
          <w:sz w:val="24"/>
          <w:szCs w:val="24"/>
          <w:lang w:val="sr-Cyrl-CS"/>
        </w:rPr>
        <w:t xml:space="preserve"> нејпрегледније се види из Извештаја Комитета за цивилне слободе и међународне послове Европске уније</w:t>
      </w:r>
      <w:r w:rsidR="006363D8">
        <w:rPr>
          <w:rFonts w:ascii="Times New Roman" w:hAnsi="Times New Roman"/>
          <w:sz w:val="24"/>
          <w:szCs w:val="24"/>
          <w:lang w:val="sr-Cyrl-CS"/>
        </w:rPr>
        <w:t>, при чему се</w:t>
      </w:r>
      <w:r w:rsidR="00FB574B">
        <w:rPr>
          <w:rFonts w:ascii="Times New Roman" w:hAnsi="Times New Roman"/>
          <w:sz w:val="24"/>
          <w:szCs w:val="24"/>
          <w:lang w:val="sr-Cyrl-CS"/>
        </w:rPr>
        <w:t>, између ос</w:t>
      </w:r>
      <w:r w:rsidR="006363D8">
        <w:rPr>
          <w:rFonts w:ascii="Times New Roman" w:hAnsi="Times New Roman"/>
          <w:sz w:val="24"/>
          <w:szCs w:val="24"/>
          <w:lang w:val="sr-Cyrl-CS"/>
        </w:rPr>
        <w:t>талог,  посебно издваја утаја пореза</w:t>
      </w:r>
      <w:r w:rsidR="00EB261A">
        <w:rPr>
          <w:rFonts w:ascii="Times New Roman" w:hAnsi="Times New Roman"/>
          <w:sz w:val="24"/>
          <w:szCs w:val="24"/>
          <w:lang w:val="sr-Cyrl-CS"/>
        </w:rPr>
        <w:t>:</w:t>
      </w:r>
    </w:p>
    <w:p w:rsidR="00EB261A" w:rsidRDefault="0060527A" w:rsidP="00EB261A">
      <w:pPr>
        <w:numPr>
          <w:ilvl w:val="0"/>
          <w:numId w:val="2"/>
        </w:numPr>
        <w:jc w:val="both"/>
        <w:rPr>
          <w:rFonts w:ascii="Times New Roman" w:hAnsi="Times New Roman"/>
          <w:sz w:val="24"/>
          <w:szCs w:val="24"/>
          <w:lang w:val="sr-Cyrl-CS"/>
        </w:rPr>
      </w:pPr>
      <w:r>
        <w:rPr>
          <w:rFonts w:ascii="Times New Roman" w:hAnsi="Times New Roman"/>
          <w:sz w:val="24"/>
          <w:szCs w:val="24"/>
          <w:lang w:val="sr-Cyrl-CS"/>
        </w:rPr>
        <w:t>„</w:t>
      </w:r>
      <w:r w:rsidR="00E76A59">
        <w:rPr>
          <w:rFonts w:ascii="Times New Roman" w:hAnsi="Times New Roman"/>
          <w:sz w:val="24"/>
          <w:szCs w:val="24"/>
          <w:lang w:val="sr-Cyrl-CS"/>
        </w:rPr>
        <w:t>з</w:t>
      </w:r>
      <w:r w:rsidR="00EB261A">
        <w:rPr>
          <w:rFonts w:ascii="Times New Roman" w:hAnsi="Times New Roman"/>
          <w:sz w:val="24"/>
          <w:szCs w:val="24"/>
          <w:lang w:val="sr-Cyrl-CS"/>
        </w:rPr>
        <w:t>бог тога што смањ</w:t>
      </w:r>
      <w:r w:rsidR="007555A5">
        <w:rPr>
          <w:rFonts w:ascii="Times New Roman" w:hAnsi="Times New Roman"/>
          <w:sz w:val="24"/>
          <w:szCs w:val="24"/>
          <w:lang w:val="sr-Cyrl-CS"/>
        </w:rPr>
        <w:t>ује поверење у Владу и њене ис</w:t>
      </w:r>
      <w:r w:rsidR="00EB261A">
        <w:rPr>
          <w:rFonts w:ascii="Times New Roman" w:hAnsi="Times New Roman"/>
          <w:sz w:val="24"/>
          <w:szCs w:val="24"/>
          <w:lang w:val="sr-Cyrl-CS"/>
        </w:rPr>
        <w:t>титуције. У прилог томе говоре немири у Аргентини и смене председника по принципу домино-ефекта;</w:t>
      </w:r>
    </w:p>
    <w:p w:rsidR="00EB261A" w:rsidRDefault="00E76A59" w:rsidP="00EB261A">
      <w:pPr>
        <w:numPr>
          <w:ilvl w:val="0"/>
          <w:numId w:val="2"/>
        </w:numPr>
        <w:jc w:val="both"/>
        <w:rPr>
          <w:rFonts w:ascii="Times New Roman" w:hAnsi="Times New Roman"/>
          <w:sz w:val="24"/>
          <w:szCs w:val="24"/>
          <w:lang w:val="sr-Cyrl-CS"/>
        </w:rPr>
      </w:pPr>
      <w:r>
        <w:rPr>
          <w:rFonts w:ascii="Times New Roman" w:hAnsi="Times New Roman"/>
          <w:sz w:val="24"/>
          <w:szCs w:val="24"/>
          <w:lang w:val="sr-Cyrl-CS"/>
        </w:rPr>
        <w:t>з</w:t>
      </w:r>
      <w:r w:rsidR="00EB261A">
        <w:rPr>
          <w:rFonts w:ascii="Times New Roman" w:hAnsi="Times New Roman"/>
          <w:sz w:val="24"/>
          <w:szCs w:val="24"/>
          <w:lang w:val="sr-Cyrl-CS"/>
        </w:rPr>
        <w:t xml:space="preserve">бог тога што лагано руши </w:t>
      </w:r>
      <w:r w:rsidR="006363D8">
        <w:rPr>
          <w:rFonts w:ascii="Times New Roman" w:hAnsi="Times New Roman"/>
          <w:sz w:val="24"/>
          <w:szCs w:val="24"/>
          <w:lang w:val="sr-Cyrl-CS"/>
        </w:rPr>
        <w:t>демократију и стабилност коју доноси политичко уређење. Кредибилност политичара и ефикасност државних службеника утопљених у искушење корупције ближи се нули. А привидну стабилност корумпиране државе додатно обогаљује поткупљивање судија и масовна утаја пореза, која постаје највећа вредност на страни вештијих;</w:t>
      </w:r>
    </w:p>
    <w:p w:rsidR="006363D8" w:rsidRDefault="00E76A59" w:rsidP="00EB261A">
      <w:pPr>
        <w:numPr>
          <w:ilvl w:val="0"/>
          <w:numId w:val="2"/>
        </w:numPr>
        <w:jc w:val="both"/>
        <w:rPr>
          <w:rFonts w:ascii="Times New Roman" w:hAnsi="Times New Roman"/>
          <w:sz w:val="24"/>
          <w:szCs w:val="24"/>
          <w:lang w:val="sr-Cyrl-CS"/>
        </w:rPr>
      </w:pPr>
      <w:r>
        <w:rPr>
          <w:rFonts w:ascii="Times New Roman" w:hAnsi="Times New Roman"/>
          <w:sz w:val="24"/>
          <w:szCs w:val="24"/>
          <w:lang w:val="sr-Cyrl-CS"/>
        </w:rPr>
        <w:t>з</w:t>
      </w:r>
      <w:r w:rsidR="006363D8">
        <w:rPr>
          <w:rFonts w:ascii="Times New Roman" w:hAnsi="Times New Roman"/>
          <w:sz w:val="24"/>
          <w:szCs w:val="24"/>
          <w:lang w:val="sr-Cyrl-CS"/>
        </w:rPr>
        <w:t>бог тога што поткопава економски развој државе. У пракси, државни службеници преусмеравају инвестиције са подручја образовања у капиталне пројекте. Намерно повећавају техничку захтевност пројекта у јав</w:t>
      </w:r>
      <w:r w:rsidR="00446D59">
        <w:rPr>
          <w:rFonts w:ascii="Times New Roman" w:hAnsi="Times New Roman"/>
          <w:sz w:val="24"/>
          <w:szCs w:val="24"/>
          <w:lang w:val="sr-Cyrl-CS"/>
        </w:rPr>
        <w:t xml:space="preserve">ном сектору да би досегли више </w:t>
      </w:r>
      <w:r w:rsidR="006363D8">
        <w:rPr>
          <w:rFonts w:ascii="Times New Roman" w:hAnsi="Times New Roman"/>
          <w:sz w:val="24"/>
          <w:szCs w:val="24"/>
          <w:lang w:val="sr-Cyrl-CS"/>
        </w:rPr>
        <w:t>откупнине. (Посл</w:t>
      </w:r>
      <w:r w:rsidR="00446D59">
        <w:rPr>
          <w:rFonts w:ascii="Times New Roman" w:hAnsi="Times New Roman"/>
          <w:sz w:val="24"/>
          <w:szCs w:val="24"/>
          <w:lang w:val="sr-Cyrl-CS"/>
        </w:rPr>
        <w:t>е</w:t>
      </w:r>
      <w:r w:rsidR="006363D8">
        <w:rPr>
          <w:rFonts w:ascii="Times New Roman" w:hAnsi="Times New Roman"/>
          <w:sz w:val="24"/>
          <w:szCs w:val="24"/>
          <w:lang w:val="sr-Cyrl-CS"/>
        </w:rPr>
        <w:t xml:space="preserve">дице су катастрофалне. Узимамо, на пример, азијску финансијску кризу пре три године, када се због опште корумпираности више није знало ко пије ко плаћа, због чега су се инвеститори дали у панично бекство оставивиши за собом берзни колапс). И оно што је најстрашније: </w:t>
      </w:r>
      <w:r w:rsidR="006363D8">
        <w:rPr>
          <w:rFonts w:ascii="Times New Roman" w:hAnsi="Times New Roman"/>
          <w:sz w:val="24"/>
          <w:szCs w:val="24"/>
          <w:lang w:val="sr-Cyrl-CS"/>
        </w:rPr>
        <w:lastRenderedPageBreak/>
        <w:t>корупција смањује еколошке и грађевинске стадарде, као и квалитет јавне инфраструктуре;</w:t>
      </w:r>
    </w:p>
    <w:p w:rsidR="006363D8" w:rsidRDefault="00E76A59" w:rsidP="00EB261A">
      <w:pPr>
        <w:numPr>
          <w:ilvl w:val="0"/>
          <w:numId w:val="2"/>
        </w:numPr>
        <w:jc w:val="both"/>
        <w:rPr>
          <w:rFonts w:ascii="Times New Roman" w:hAnsi="Times New Roman"/>
          <w:sz w:val="24"/>
          <w:szCs w:val="24"/>
          <w:lang w:val="sr-Cyrl-CS"/>
        </w:rPr>
      </w:pPr>
      <w:r>
        <w:rPr>
          <w:rFonts w:ascii="Times New Roman" w:hAnsi="Times New Roman"/>
          <w:sz w:val="24"/>
          <w:szCs w:val="24"/>
          <w:lang w:val="sr-Cyrl-CS"/>
        </w:rPr>
        <w:t>з</w:t>
      </w:r>
      <w:r w:rsidR="006363D8">
        <w:rPr>
          <w:rFonts w:ascii="Times New Roman" w:hAnsi="Times New Roman"/>
          <w:sz w:val="24"/>
          <w:szCs w:val="24"/>
          <w:lang w:val="sr-Cyrl-CS"/>
        </w:rPr>
        <w:t>бог тога што је одскочна даска за криминал белих крагни. Тек појавом корупције, политичар заиста постаје проститутка, а државни функционер, уместо да би служио н</w:t>
      </w:r>
      <w:r w:rsidR="00446D59">
        <w:rPr>
          <w:rFonts w:ascii="Times New Roman" w:hAnsi="Times New Roman"/>
          <w:sz w:val="24"/>
          <w:szCs w:val="24"/>
          <w:lang w:val="sr-Cyrl-CS"/>
        </w:rPr>
        <w:t>ароду, њен роб. У Немачкој су ус</w:t>
      </w:r>
      <w:r w:rsidR="006363D8">
        <w:rPr>
          <w:rFonts w:ascii="Times New Roman" w:hAnsi="Times New Roman"/>
          <w:sz w:val="24"/>
          <w:szCs w:val="24"/>
          <w:lang w:val="sr-Cyrl-CS"/>
        </w:rPr>
        <w:t>тановили д</w:t>
      </w:r>
      <w:r w:rsidR="007555A5">
        <w:rPr>
          <w:rFonts w:ascii="Times New Roman" w:hAnsi="Times New Roman"/>
          <w:sz w:val="24"/>
          <w:szCs w:val="24"/>
          <w:lang w:val="sr-Cyrl-CS"/>
        </w:rPr>
        <w:t>а су у трећини примера организов</w:t>
      </w:r>
      <w:r w:rsidR="006363D8">
        <w:rPr>
          <w:rFonts w:ascii="Times New Roman" w:hAnsi="Times New Roman"/>
          <w:sz w:val="24"/>
          <w:szCs w:val="24"/>
          <w:lang w:val="sr-Cyrl-CS"/>
        </w:rPr>
        <w:t>аних криминалних активности учестововали и јавни службеници. Сасвим частан човек никада не дозволи да га уздуж и пореко опрље пламенови корупције. Јер у тренутку кад ватра учини своје, људска приватност престаје да буде недодирљива и на видику је крај политичке каријере. И још више, онај ко једном прими поткупнину, увек ће бити марионета у рукама више-мање свих еминенција, финасијских моћника (утајивача). Пропратни ефект је тај да се човеку никада више не врати душевни мир, мирна савест и миран сан;</w:t>
      </w:r>
    </w:p>
    <w:p w:rsidR="006363D8" w:rsidRDefault="00E76A59" w:rsidP="00EB261A">
      <w:pPr>
        <w:numPr>
          <w:ilvl w:val="0"/>
          <w:numId w:val="2"/>
        </w:numPr>
        <w:jc w:val="both"/>
        <w:rPr>
          <w:rFonts w:ascii="Times New Roman" w:hAnsi="Times New Roman"/>
          <w:sz w:val="24"/>
          <w:szCs w:val="24"/>
          <w:lang w:val="sr-Cyrl-CS"/>
        </w:rPr>
      </w:pPr>
      <w:r>
        <w:rPr>
          <w:rFonts w:ascii="Times New Roman" w:hAnsi="Times New Roman"/>
          <w:sz w:val="24"/>
          <w:szCs w:val="24"/>
          <w:lang w:val="sr-Cyrl-CS"/>
        </w:rPr>
        <w:t>з</w:t>
      </w:r>
      <w:r w:rsidR="00FB574B">
        <w:rPr>
          <w:rFonts w:ascii="Times New Roman" w:hAnsi="Times New Roman"/>
          <w:sz w:val="24"/>
          <w:szCs w:val="24"/>
          <w:lang w:val="sr-Cyrl-CS"/>
        </w:rPr>
        <w:t>бог тога што у вези са међународним криминалом, омогућује велике преваре владиних чиновника и политичких функционера. Примера ради, корупција јача трговину дрогама и олакшава кријумчарење свих врста оружја, а уз то омогућује криминалцима да правовремено побегну од руке правде.</w:t>
      </w:r>
      <w:r w:rsidR="0060527A">
        <w:rPr>
          <w:rFonts w:ascii="Times New Roman" w:hAnsi="Times New Roman"/>
          <w:sz w:val="24"/>
          <w:szCs w:val="24"/>
          <w:lang w:val="sr-Cyrl-CS"/>
        </w:rPr>
        <w:t>“</w:t>
      </w:r>
      <w:r w:rsidR="00D52487">
        <w:rPr>
          <w:rStyle w:val="FootnoteReference"/>
          <w:rFonts w:ascii="Times New Roman" w:hAnsi="Times New Roman"/>
          <w:sz w:val="24"/>
          <w:szCs w:val="24"/>
          <w:lang w:val="sr-Cyrl-CS"/>
        </w:rPr>
        <w:footnoteReference w:id="739"/>
      </w:r>
    </w:p>
    <w:p w:rsidR="00271C2B" w:rsidRPr="001671E0" w:rsidRDefault="00446D59" w:rsidP="001671E0">
      <w:pPr>
        <w:ind w:firstLine="360"/>
        <w:jc w:val="both"/>
        <w:rPr>
          <w:rFonts w:ascii="Times New Roman" w:hAnsi="Times New Roman"/>
          <w:sz w:val="24"/>
          <w:szCs w:val="24"/>
          <w:lang w:val="sr-Cyrl-CS"/>
        </w:rPr>
      </w:pPr>
      <w:r w:rsidRPr="00446D59">
        <w:rPr>
          <w:rFonts w:ascii="Times New Roman" w:hAnsi="Times New Roman"/>
          <w:sz w:val="24"/>
          <w:szCs w:val="24"/>
          <w:lang w:val="sr-Cyrl-CS"/>
        </w:rPr>
        <w:t>Према томе, последице привредног криминала и корупције су многобројне и готово да не постоји област друштвеног живота у којој се не осећају. Ове појаве наносе велику штету привредном развоју и просперитету, подривају владавину права и представљају значајне факторе сиромаштва, економске неједнакости, смањења друштвеног производа и повећања презадужености једне земље.</w:t>
      </w:r>
      <w:r>
        <w:rPr>
          <w:rFonts w:ascii="Times New Roman" w:hAnsi="Times New Roman"/>
          <w:sz w:val="24"/>
          <w:szCs w:val="24"/>
          <w:lang w:val="sr-Cyrl-CS"/>
        </w:rPr>
        <w:t xml:space="preserve"> </w:t>
      </w:r>
      <w:r w:rsidR="00CD58C7">
        <w:rPr>
          <w:rFonts w:ascii="Times New Roman" w:hAnsi="Times New Roman"/>
          <w:sz w:val="24"/>
          <w:szCs w:val="24"/>
          <w:lang w:val="sr-Cyrl-CS"/>
        </w:rPr>
        <w:t xml:space="preserve"> </w:t>
      </w:r>
    </w:p>
    <w:p w:rsidR="00271C2B" w:rsidRDefault="00271C2B" w:rsidP="00803E95">
      <w:pPr>
        <w:jc w:val="both"/>
        <w:rPr>
          <w:rFonts w:ascii="Times New Roman" w:hAnsi="Times New Roman"/>
          <w:b/>
          <w:sz w:val="24"/>
          <w:szCs w:val="24"/>
          <w:lang w:val="sr-Cyrl-CS"/>
        </w:rPr>
      </w:pPr>
    </w:p>
    <w:p w:rsidR="004F3D57" w:rsidRDefault="004F3D57" w:rsidP="00803E95">
      <w:pPr>
        <w:jc w:val="both"/>
        <w:rPr>
          <w:rFonts w:ascii="Times New Roman" w:hAnsi="Times New Roman"/>
          <w:b/>
          <w:sz w:val="24"/>
          <w:szCs w:val="24"/>
          <w:lang w:val="sr-Cyrl-CS"/>
        </w:rPr>
      </w:pPr>
    </w:p>
    <w:p w:rsidR="004F3D57" w:rsidRDefault="004F3D57" w:rsidP="00803E95">
      <w:pPr>
        <w:jc w:val="both"/>
        <w:rPr>
          <w:rFonts w:ascii="Times New Roman" w:hAnsi="Times New Roman"/>
          <w:b/>
          <w:sz w:val="24"/>
          <w:szCs w:val="24"/>
          <w:lang w:val="sr-Cyrl-CS"/>
        </w:rPr>
      </w:pPr>
    </w:p>
    <w:p w:rsidR="004F3D57" w:rsidRDefault="004F3D57" w:rsidP="00803E95">
      <w:pPr>
        <w:jc w:val="both"/>
        <w:rPr>
          <w:rFonts w:ascii="Times New Roman" w:hAnsi="Times New Roman"/>
          <w:b/>
          <w:sz w:val="24"/>
          <w:szCs w:val="24"/>
          <w:lang w:val="sr-Cyrl-CS"/>
        </w:rPr>
      </w:pPr>
    </w:p>
    <w:p w:rsidR="004F3D57" w:rsidRDefault="004F3D57" w:rsidP="00803E95">
      <w:pPr>
        <w:jc w:val="both"/>
        <w:rPr>
          <w:rFonts w:ascii="Times New Roman" w:hAnsi="Times New Roman"/>
          <w:b/>
          <w:sz w:val="24"/>
          <w:szCs w:val="24"/>
          <w:lang w:val="sr-Cyrl-CS"/>
        </w:rPr>
      </w:pPr>
    </w:p>
    <w:p w:rsidR="004F3D57" w:rsidRDefault="004F3D57" w:rsidP="00803E95">
      <w:pPr>
        <w:jc w:val="both"/>
        <w:rPr>
          <w:rFonts w:ascii="Times New Roman" w:hAnsi="Times New Roman"/>
          <w:b/>
          <w:sz w:val="24"/>
          <w:szCs w:val="24"/>
          <w:lang w:val="sr-Cyrl-CS"/>
        </w:rPr>
      </w:pPr>
    </w:p>
    <w:p w:rsidR="004F3D57" w:rsidRDefault="004F3D57" w:rsidP="00803E95">
      <w:pPr>
        <w:jc w:val="both"/>
        <w:rPr>
          <w:rFonts w:ascii="Times New Roman" w:hAnsi="Times New Roman"/>
          <w:b/>
          <w:sz w:val="24"/>
          <w:szCs w:val="24"/>
          <w:lang w:val="sr-Cyrl-CS"/>
        </w:rPr>
      </w:pPr>
    </w:p>
    <w:p w:rsidR="004F3D57" w:rsidRDefault="004F3D57" w:rsidP="00803E95">
      <w:pPr>
        <w:jc w:val="both"/>
        <w:rPr>
          <w:rFonts w:ascii="Times New Roman" w:hAnsi="Times New Roman"/>
          <w:b/>
          <w:sz w:val="24"/>
          <w:szCs w:val="24"/>
          <w:lang w:val="sr-Cyrl-CS"/>
        </w:rPr>
      </w:pPr>
    </w:p>
    <w:p w:rsidR="004F3D57" w:rsidRDefault="004F3D57" w:rsidP="00803E95">
      <w:pPr>
        <w:jc w:val="both"/>
        <w:rPr>
          <w:rFonts w:ascii="Times New Roman" w:hAnsi="Times New Roman"/>
          <w:b/>
          <w:sz w:val="24"/>
          <w:szCs w:val="24"/>
          <w:lang w:val="sr-Cyrl-CS"/>
        </w:rPr>
      </w:pPr>
    </w:p>
    <w:p w:rsidR="008372CF" w:rsidRDefault="008372CF" w:rsidP="00803E95">
      <w:pPr>
        <w:jc w:val="both"/>
        <w:rPr>
          <w:rFonts w:ascii="Times New Roman" w:hAnsi="Times New Roman"/>
          <w:b/>
          <w:sz w:val="24"/>
          <w:szCs w:val="24"/>
          <w:lang w:val="sr-Cyrl-CS"/>
        </w:rPr>
      </w:pPr>
    </w:p>
    <w:p w:rsidR="009542F7" w:rsidRPr="00875520" w:rsidRDefault="00875520" w:rsidP="00875520">
      <w:pPr>
        <w:ind w:left="630"/>
        <w:jc w:val="center"/>
        <w:rPr>
          <w:rFonts w:ascii="Times New Roman" w:hAnsi="Times New Roman"/>
          <w:b/>
          <w:sz w:val="24"/>
          <w:szCs w:val="24"/>
          <w:lang w:val="sr-Cyrl-CS"/>
        </w:rPr>
      </w:pPr>
      <w:r>
        <w:rPr>
          <w:rFonts w:ascii="Times New Roman" w:hAnsi="Times New Roman"/>
          <w:b/>
          <w:sz w:val="24"/>
          <w:szCs w:val="24"/>
          <w:lang w:val="sr-Cyrl-CS"/>
        </w:rPr>
        <w:lastRenderedPageBreak/>
        <w:t>ДЕО ШЕСТИ</w:t>
      </w:r>
    </w:p>
    <w:p w:rsidR="000B0116" w:rsidRDefault="000B0116" w:rsidP="00C73790">
      <w:pPr>
        <w:ind w:left="630"/>
        <w:jc w:val="both"/>
        <w:rPr>
          <w:rFonts w:ascii="Times New Roman" w:hAnsi="Times New Roman"/>
          <w:b/>
          <w:sz w:val="24"/>
          <w:szCs w:val="24"/>
          <w:lang w:val="sr-Cyrl-CS"/>
        </w:rPr>
      </w:pPr>
    </w:p>
    <w:p w:rsidR="00C73790" w:rsidRDefault="00C73790" w:rsidP="00271C2B">
      <w:pPr>
        <w:ind w:left="630"/>
        <w:jc w:val="center"/>
        <w:rPr>
          <w:rFonts w:ascii="Times New Roman" w:hAnsi="Times New Roman"/>
          <w:b/>
          <w:sz w:val="24"/>
          <w:szCs w:val="24"/>
          <w:lang w:val="sr-Cyrl-CS"/>
        </w:rPr>
      </w:pPr>
      <w:r w:rsidRPr="00C73790">
        <w:rPr>
          <w:rFonts w:ascii="Times New Roman" w:hAnsi="Times New Roman"/>
          <w:b/>
          <w:sz w:val="24"/>
          <w:szCs w:val="24"/>
        </w:rPr>
        <w:t>БОРБА ПРОТИВ ИЗБЕГАВАЊА ПЛАЋАЊА ПОРЕЗА</w:t>
      </w:r>
      <w:r w:rsidR="001656C3">
        <w:rPr>
          <w:rFonts w:ascii="Times New Roman" w:hAnsi="Times New Roman"/>
          <w:b/>
          <w:sz w:val="24"/>
          <w:szCs w:val="24"/>
          <w:lang w:val="sr-Cyrl-CS"/>
        </w:rPr>
        <w:t xml:space="preserve"> У КОНТЕКСТУ</w:t>
      </w:r>
      <w:r w:rsidR="00E60610">
        <w:rPr>
          <w:rFonts w:ascii="Times New Roman" w:hAnsi="Times New Roman"/>
          <w:b/>
          <w:sz w:val="24"/>
          <w:szCs w:val="24"/>
          <w:lang w:val="sr-Cyrl-CS"/>
        </w:rPr>
        <w:t xml:space="preserve"> ПРИВРЕДНОГ КРИМИНАЛА</w:t>
      </w:r>
      <w:r w:rsidR="007E322D">
        <w:rPr>
          <w:rFonts w:ascii="Times New Roman" w:hAnsi="Times New Roman"/>
          <w:b/>
          <w:sz w:val="24"/>
          <w:szCs w:val="24"/>
          <w:lang w:val="sr-Cyrl-CS"/>
        </w:rPr>
        <w:t xml:space="preserve"> И КОРУПЦИЈЕ</w:t>
      </w:r>
      <w:r w:rsidRPr="00C73790">
        <w:rPr>
          <w:rFonts w:ascii="Times New Roman" w:hAnsi="Times New Roman"/>
          <w:b/>
          <w:sz w:val="24"/>
          <w:szCs w:val="24"/>
        </w:rPr>
        <w:t xml:space="preserve"> У СРБИЈИ</w:t>
      </w:r>
    </w:p>
    <w:p w:rsidR="00751DA2" w:rsidRPr="00751DA2" w:rsidRDefault="00751DA2" w:rsidP="00F0271E">
      <w:pPr>
        <w:ind w:left="630"/>
        <w:jc w:val="both"/>
        <w:rPr>
          <w:rFonts w:ascii="Times New Roman" w:hAnsi="Times New Roman"/>
          <w:b/>
          <w:sz w:val="24"/>
          <w:szCs w:val="24"/>
          <w:lang w:val="sr-Cyrl-CS"/>
        </w:rPr>
      </w:pPr>
    </w:p>
    <w:p w:rsidR="00B010B3" w:rsidRPr="001C7B5A" w:rsidRDefault="00A449F2" w:rsidP="00271C2B">
      <w:pPr>
        <w:ind w:left="360"/>
        <w:jc w:val="center"/>
        <w:rPr>
          <w:rFonts w:ascii="Times New Roman" w:hAnsi="Times New Roman"/>
          <w:b/>
          <w:i/>
          <w:sz w:val="24"/>
          <w:szCs w:val="24"/>
          <w:lang w:val="sr-Cyrl-CS"/>
        </w:rPr>
      </w:pPr>
      <w:r>
        <w:rPr>
          <w:rFonts w:ascii="Times New Roman" w:hAnsi="Times New Roman"/>
          <w:b/>
          <w:sz w:val="24"/>
          <w:szCs w:val="24"/>
        </w:rPr>
        <w:t>I</w:t>
      </w:r>
      <w:r w:rsidR="001C7B5A">
        <w:rPr>
          <w:rFonts w:ascii="Times New Roman" w:hAnsi="Times New Roman"/>
          <w:b/>
          <w:i/>
          <w:sz w:val="24"/>
          <w:szCs w:val="24"/>
        </w:rPr>
        <w:t xml:space="preserve"> </w:t>
      </w:r>
      <w:r w:rsidR="00A10F0D" w:rsidRPr="001C7B5A">
        <w:rPr>
          <w:rFonts w:ascii="Times New Roman" w:hAnsi="Times New Roman"/>
          <w:b/>
          <w:i/>
          <w:sz w:val="24"/>
          <w:szCs w:val="24"/>
          <w:lang w:val="sr-Cyrl-CS"/>
        </w:rPr>
        <w:t>М</w:t>
      </w:r>
      <w:r w:rsidR="00FD1426" w:rsidRPr="001C7B5A">
        <w:rPr>
          <w:rFonts w:ascii="Times New Roman" w:hAnsi="Times New Roman"/>
          <w:b/>
          <w:i/>
          <w:sz w:val="24"/>
          <w:szCs w:val="24"/>
          <w:lang w:val="sr-Cyrl-CS"/>
        </w:rPr>
        <w:t xml:space="preserve">ере које се предузимају у борби против </w:t>
      </w:r>
      <w:r w:rsidR="00A10F0D" w:rsidRPr="001C7B5A">
        <w:rPr>
          <w:rFonts w:ascii="Times New Roman" w:hAnsi="Times New Roman"/>
          <w:b/>
          <w:i/>
          <w:sz w:val="24"/>
          <w:szCs w:val="24"/>
          <w:lang w:val="sr-Cyrl-CS"/>
        </w:rPr>
        <w:t xml:space="preserve">избегавања плаћања пореза </w:t>
      </w:r>
    </w:p>
    <w:p w:rsidR="00A10F0D" w:rsidRPr="00A10F0D" w:rsidRDefault="00A10F0D" w:rsidP="00A10F0D">
      <w:pPr>
        <w:pStyle w:val="ListParagraph"/>
        <w:jc w:val="both"/>
        <w:rPr>
          <w:rFonts w:ascii="Times New Roman" w:hAnsi="Times New Roman"/>
          <w:b/>
          <w:i/>
          <w:sz w:val="24"/>
          <w:szCs w:val="24"/>
          <w:lang w:val="sr-Cyrl-CS"/>
        </w:rPr>
      </w:pPr>
    </w:p>
    <w:p w:rsidR="00271C2B" w:rsidRDefault="00E2088D" w:rsidP="008D741B">
      <w:pPr>
        <w:ind w:firstLine="708"/>
        <w:jc w:val="both"/>
        <w:rPr>
          <w:rFonts w:ascii="Times New Roman" w:hAnsi="Times New Roman"/>
          <w:sz w:val="24"/>
          <w:szCs w:val="24"/>
          <w:lang w:val="sr-Cyrl-CS"/>
        </w:rPr>
      </w:pPr>
      <w:r>
        <w:rPr>
          <w:rFonts w:ascii="Times New Roman" w:hAnsi="Times New Roman"/>
          <w:sz w:val="24"/>
          <w:szCs w:val="24"/>
          <w:lang w:val="sr-Cyrl-CS"/>
        </w:rPr>
        <w:t xml:space="preserve">Избегавање плаћања пореза, привредни криминал и корупција у својим различитим појавним облицима су веома штетни за економију, подривају владавину права и доводе до ерозије морала. </w:t>
      </w:r>
      <w:r w:rsidR="00B010B3">
        <w:rPr>
          <w:rFonts w:ascii="Times New Roman" w:hAnsi="Times New Roman"/>
          <w:sz w:val="24"/>
          <w:szCs w:val="24"/>
          <w:lang w:val="sr-Cyrl-CS"/>
        </w:rPr>
        <w:t xml:space="preserve">Приходи од пореза имају значајан удео у прикупљеним укупним јавним приходима. Самим тим избегавање плаћања пореза утиче на висину прикупљених прихода и до тога да се планирани државни расходи не могу подмирити. </w:t>
      </w:r>
      <w:r w:rsidR="00202FF5">
        <w:rPr>
          <w:rFonts w:ascii="Times New Roman" w:hAnsi="Times New Roman"/>
          <w:sz w:val="24"/>
          <w:szCs w:val="24"/>
          <w:lang w:val="sr-Cyrl-CS"/>
        </w:rPr>
        <w:t xml:space="preserve">Услед тога држава је приморана да прибегне другим решењима попут </w:t>
      </w:r>
      <w:r w:rsidR="002F2C64">
        <w:rPr>
          <w:rFonts w:ascii="Times New Roman" w:hAnsi="Times New Roman"/>
          <w:sz w:val="24"/>
          <w:szCs w:val="24"/>
          <w:lang w:val="sr-Cyrl-CS"/>
        </w:rPr>
        <w:t xml:space="preserve">смањивања или одустајања од </w:t>
      </w:r>
      <w:r w:rsidR="000243B6">
        <w:rPr>
          <w:rFonts w:ascii="Times New Roman" w:hAnsi="Times New Roman"/>
          <w:sz w:val="24"/>
          <w:szCs w:val="24"/>
          <w:lang w:val="sr-Cyrl-CS"/>
        </w:rPr>
        <w:t xml:space="preserve">остваривања </w:t>
      </w:r>
      <w:r w:rsidR="002F2C64">
        <w:rPr>
          <w:rFonts w:ascii="Times New Roman" w:hAnsi="Times New Roman"/>
          <w:sz w:val="24"/>
          <w:szCs w:val="24"/>
          <w:lang w:val="sr-Cyrl-CS"/>
        </w:rPr>
        <w:t>планираних јавних потреба или повећања пореског оптерећења</w:t>
      </w:r>
      <w:r w:rsidR="00202FF5">
        <w:rPr>
          <w:rFonts w:ascii="Times New Roman" w:hAnsi="Times New Roman"/>
          <w:sz w:val="24"/>
          <w:szCs w:val="24"/>
          <w:lang w:val="sr-Cyrl-CS"/>
        </w:rPr>
        <w:t>, а што доводи до других негативних последица и до</w:t>
      </w:r>
      <w:r w:rsidR="00AB4D9D">
        <w:rPr>
          <w:rFonts w:ascii="Times New Roman" w:hAnsi="Times New Roman"/>
          <w:sz w:val="24"/>
          <w:szCs w:val="24"/>
          <w:lang w:val="sr-Cyrl-CS"/>
        </w:rPr>
        <w:t xml:space="preserve"> повећања обима пореске евазије, чиме се овај проблем само продубљује.</w:t>
      </w:r>
      <w:r w:rsidR="00202FF5">
        <w:rPr>
          <w:rFonts w:ascii="Times New Roman" w:hAnsi="Times New Roman"/>
          <w:sz w:val="24"/>
          <w:szCs w:val="24"/>
          <w:lang w:val="sr-Cyrl-CS"/>
        </w:rPr>
        <w:t xml:space="preserve"> </w:t>
      </w:r>
      <w:r w:rsidR="000243B6">
        <w:rPr>
          <w:rFonts w:ascii="Times New Roman" w:hAnsi="Times New Roman"/>
          <w:sz w:val="24"/>
          <w:szCs w:val="24"/>
          <w:lang w:val="sr-Cyrl-CS"/>
        </w:rPr>
        <w:t xml:space="preserve">Повећано пореско оптерећење највише погађа пореске обвезнике који своје обавезе уредно и савесно испуњавају. </w:t>
      </w:r>
      <w:r w:rsidR="00DF0BAA">
        <w:rPr>
          <w:rFonts w:ascii="Times New Roman" w:hAnsi="Times New Roman"/>
          <w:sz w:val="24"/>
          <w:szCs w:val="24"/>
          <w:lang w:val="sr-Cyrl-CS"/>
        </w:rPr>
        <w:t xml:space="preserve">Овакве ефекте изазива како незаконита пореска евазија, тако и законита </w:t>
      </w:r>
      <w:r w:rsidR="008372CF">
        <w:rPr>
          <w:rFonts w:ascii="Times New Roman" w:hAnsi="Times New Roman"/>
          <w:sz w:val="24"/>
          <w:szCs w:val="24"/>
          <w:lang w:val="sr-Cyrl-CS"/>
        </w:rPr>
        <w:t xml:space="preserve">неприхватљива пореска </w:t>
      </w:r>
      <w:r w:rsidR="00DF0BAA">
        <w:rPr>
          <w:rFonts w:ascii="Times New Roman" w:hAnsi="Times New Roman"/>
          <w:sz w:val="24"/>
          <w:szCs w:val="24"/>
          <w:lang w:val="sr-Cyrl-CS"/>
        </w:rPr>
        <w:t xml:space="preserve">евазија. </w:t>
      </w:r>
      <w:r w:rsidR="00A51DD1">
        <w:rPr>
          <w:rFonts w:ascii="Times New Roman" w:hAnsi="Times New Roman"/>
          <w:sz w:val="24"/>
          <w:szCs w:val="24"/>
          <w:lang w:val="sr-Cyrl-CS"/>
        </w:rPr>
        <w:t>Величина проблема зависи од интензитета евазије пореза</w:t>
      </w:r>
      <w:r w:rsidR="009F1721">
        <w:rPr>
          <w:rFonts w:ascii="Times New Roman" w:hAnsi="Times New Roman"/>
          <w:sz w:val="24"/>
          <w:szCs w:val="24"/>
          <w:lang w:val="sr-Cyrl-CS"/>
        </w:rPr>
        <w:t xml:space="preserve"> и раширености привредно</w:t>
      </w:r>
      <w:r w:rsidR="0094571F">
        <w:rPr>
          <w:rFonts w:ascii="Times New Roman" w:hAnsi="Times New Roman"/>
          <w:sz w:val="24"/>
          <w:szCs w:val="24"/>
          <w:lang w:val="sr-Cyrl-CS"/>
        </w:rPr>
        <w:t>г криминала и корупције</w:t>
      </w:r>
      <w:r w:rsidR="00A51DD1">
        <w:rPr>
          <w:rFonts w:ascii="Times New Roman" w:hAnsi="Times New Roman"/>
          <w:sz w:val="24"/>
          <w:szCs w:val="24"/>
          <w:lang w:val="sr-Cyrl-CS"/>
        </w:rPr>
        <w:t xml:space="preserve">. </w:t>
      </w:r>
      <w:r w:rsidR="008372CF">
        <w:rPr>
          <w:rFonts w:ascii="Times New Roman" w:hAnsi="Times New Roman"/>
          <w:sz w:val="24"/>
          <w:szCs w:val="24"/>
          <w:lang w:val="sr-Cyrl-CS"/>
        </w:rPr>
        <w:t xml:space="preserve"> </w:t>
      </w:r>
    </w:p>
    <w:p w:rsidR="00EF0C2D" w:rsidRDefault="00E443FF" w:rsidP="00EF0C2D">
      <w:pPr>
        <w:ind w:firstLine="708"/>
        <w:jc w:val="both"/>
        <w:rPr>
          <w:rFonts w:ascii="Times New Roman" w:hAnsi="Times New Roman"/>
          <w:sz w:val="24"/>
          <w:szCs w:val="24"/>
          <w:lang w:val="sr-Cyrl-CS"/>
        </w:rPr>
      </w:pPr>
      <w:r>
        <w:rPr>
          <w:rFonts w:ascii="Times New Roman" w:hAnsi="Times New Roman"/>
          <w:sz w:val="24"/>
          <w:szCs w:val="24"/>
          <w:lang w:val="sr-Cyrl-CS"/>
        </w:rPr>
        <w:t xml:space="preserve">У борби против ових појава примењују се различите мере. </w:t>
      </w:r>
      <w:r w:rsidR="00081C55">
        <w:rPr>
          <w:rFonts w:ascii="Times New Roman" w:hAnsi="Times New Roman"/>
          <w:sz w:val="24"/>
          <w:szCs w:val="24"/>
          <w:lang w:val="sr-Cyrl-CS"/>
        </w:rPr>
        <w:t xml:space="preserve">Основна подела је на превентивне и репресивне мере. </w:t>
      </w:r>
      <w:r w:rsidR="009D489C">
        <w:rPr>
          <w:rFonts w:ascii="Times New Roman" w:hAnsi="Times New Roman"/>
          <w:sz w:val="24"/>
          <w:szCs w:val="24"/>
          <w:lang w:val="sr-Cyrl-CS"/>
        </w:rPr>
        <w:t xml:space="preserve">У репресивне </w:t>
      </w:r>
      <w:r w:rsidR="0004248F">
        <w:rPr>
          <w:rFonts w:ascii="Times New Roman" w:hAnsi="Times New Roman"/>
          <w:sz w:val="24"/>
          <w:szCs w:val="24"/>
          <w:lang w:val="sr-Cyrl-CS"/>
        </w:rPr>
        <w:t xml:space="preserve">мере </w:t>
      </w:r>
      <w:r w:rsidR="009D489C">
        <w:rPr>
          <w:rFonts w:ascii="Times New Roman" w:hAnsi="Times New Roman"/>
          <w:sz w:val="24"/>
          <w:szCs w:val="24"/>
          <w:lang w:val="sr-Cyrl-CS"/>
        </w:rPr>
        <w:t>се</w:t>
      </w:r>
      <w:r w:rsidR="0004248F">
        <w:rPr>
          <w:rFonts w:ascii="Times New Roman" w:hAnsi="Times New Roman"/>
          <w:sz w:val="24"/>
          <w:szCs w:val="24"/>
          <w:lang w:val="sr-Cyrl-CS"/>
        </w:rPr>
        <w:t>,</w:t>
      </w:r>
      <w:r w:rsidR="009D489C">
        <w:rPr>
          <w:rFonts w:ascii="Times New Roman" w:hAnsi="Times New Roman"/>
          <w:sz w:val="24"/>
          <w:szCs w:val="24"/>
          <w:lang w:val="sr-Cyrl-CS"/>
        </w:rPr>
        <w:t xml:space="preserve"> пре свега</w:t>
      </w:r>
      <w:r w:rsidR="0004248F">
        <w:rPr>
          <w:rFonts w:ascii="Times New Roman" w:hAnsi="Times New Roman"/>
          <w:sz w:val="24"/>
          <w:szCs w:val="24"/>
          <w:lang w:val="sr-Cyrl-CS"/>
        </w:rPr>
        <w:t>,</w:t>
      </w:r>
      <w:r w:rsidR="009D489C">
        <w:rPr>
          <w:rFonts w:ascii="Times New Roman" w:hAnsi="Times New Roman"/>
          <w:sz w:val="24"/>
          <w:szCs w:val="24"/>
          <w:lang w:val="sr-Cyrl-CS"/>
        </w:rPr>
        <w:t xml:space="preserve"> убраја кривично право и кривичне санкције, а ту спадају и прекршајно право и прекршајне санкције, као и привредно преступно право и привредно преступне санкције. У превентивне мере спадају разне мере из најшире сфере социјалне политике</w:t>
      </w:r>
      <w:r w:rsidR="007018DF">
        <w:rPr>
          <w:rFonts w:ascii="Times New Roman" w:hAnsi="Times New Roman"/>
          <w:sz w:val="24"/>
          <w:szCs w:val="24"/>
          <w:lang w:val="sr-Cyrl-CS"/>
        </w:rPr>
        <w:t>.</w:t>
      </w:r>
      <w:r w:rsidR="009D489C">
        <w:rPr>
          <w:rFonts w:ascii="Times New Roman" w:hAnsi="Times New Roman"/>
          <w:sz w:val="24"/>
          <w:szCs w:val="24"/>
          <w:lang w:val="sr-Cyrl-CS"/>
        </w:rPr>
        <w:t xml:space="preserve"> Иако казнено право има наглашен репресивни карактер, као свој крајњи циљ поставља превенцију, па </w:t>
      </w:r>
      <w:r w:rsidR="007018DF">
        <w:rPr>
          <w:rFonts w:ascii="Times New Roman" w:hAnsi="Times New Roman"/>
          <w:sz w:val="24"/>
          <w:szCs w:val="24"/>
          <w:lang w:val="sr-Cyrl-CS"/>
        </w:rPr>
        <w:t xml:space="preserve">због тога </w:t>
      </w:r>
      <w:r w:rsidR="009D489C">
        <w:rPr>
          <w:rFonts w:ascii="Times New Roman" w:hAnsi="Times New Roman"/>
          <w:sz w:val="24"/>
          <w:szCs w:val="24"/>
          <w:lang w:val="sr-Cyrl-CS"/>
        </w:rPr>
        <w:t>и ову поделу на превентвине и репресивне мере треба схватити сасвим условно.</w:t>
      </w:r>
      <w:r w:rsidR="009D489C">
        <w:rPr>
          <w:rStyle w:val="FootnoteReference"/>
          <w:rFonts w:ascii="Times New Roman" w:hAnsi="Times New Roman"/>
          <w:sz w:val="24"/>
          <w:szCs w:val="24"/>
          <w:lang w:val="sr-Cyrl-CS"/>
        </w:rPr>
        <w:footnoteReference w:id="740"/>
      </w:r>
      <w:r w:rsidR="00E814DD">
        <w:rPr>
          <w:rFonts w:ascii="Times New Roman" w:hAnsi="Times New Roman"/>
          <w:sz w:val="24"/>
          <w:szCs w:val="24"/>
          <w:lang w:val="sr-Cyrl-CS"/>
        </w:rPr>
        <w:t xml:space="preserve"> </w:t>
      </w:r>
    </w:p>
    <w:p w:rsidR="00081C55" w:rsidRDefault="00EF0C2D" w:rsidP="009B6C96">
      <w:pPr>
        <w:ind w:firstLine="708"/>
        <w:jc w:val="both"/>
        <w:rPr>
          <w:rFonts w:ascii="Times New Roman" w:hAnsi="Times New Roman"/>
          <w:sz w:val="24"/>
          <w:szCs w:val="24"/>
          <w:lang w:val="sr-Cyrl-CS"/>
        </w:rPr>
      </w:pPr>
      <w:r>
        <w:rPr>
          <w:rFonts w:ascii="Times New Roman" w:hAnsi="Times New Roman"/>
          <w:sz w:val="24"/>
          <w:szCs w:val="24"/>
          <w:lang w:val="sr-Cyrl-CS"/>
        </w:rPr>
        <w:t>Наиме, кроз казну се поред репресије остварује индивидуална и генерална превенција.</w:t>
      </w:r>
      <w:r w:rsidR="00EB6B0E">
        <w:rPr>
          <w:rStyle w:val="FootnoteReference"/>
          <w:rFonts w:ascii="Times New Roman" w:hAnsi="Times New Roman"/>
          <w:sz w:val="24"/>
          <w:szCs w:val="24"/>
          <w:lang w:val="sr-Cyrl-CS"/>
        </w:rPr>
        <w:footnoteReference w:id="741"/>
      </w:r>
      <w:r w:rsidR="00EB6B0E">
        <w:rPr>
          <w:rFonts w:ascii="Times New Roman" w:hAnsi="Times New Roman"/>
          <w:sz w:val="24"/>
          <w:szCs w:val="24"/>
          <w:lang w:val="sr-Cyrl-CS"/>
        </w:rPr>
        <w:t xml:space="preserve"> Сврха кажњавања нема само ретрибутивни карактер, нак</w:t>
      </w:r>
      <w:r w:rsidR="0004248F">
        <w:rPr>
          <w:rFonts w:ascii="Times New Roman" w:hAnsi="Times New Roman"/>
          <w:sz w:val="24"/>
          <w:szCs w:val="24"/>
          <w:lang w:val="sr-Cyrl-CS"/>
        </w:rPr>
        <w:t>он</w:t>
      </w:r>
      <w:r w:rsidR="00EB6B0E">
        <w:rPr>
          <w:rFonts w:ascii="Times New Roman" w:hAnsi="Times New Roman"/>
          <w:sz w:val="24"/>
          <w:szCs w:val="24"/>
          <w:lang w:val="sr-Cyrl-CS"/>
        </w:rPr>
        <w:t xml:space="preserve"> што је учињено дело, него има и превентивни </w:t>
      </w:r>
      <w:r w:rsidR="0004248F">
        <w:rPr>
          <w:rFonts w:ascii="Times New Roman" w:hAnsi="Times New Roman"/>
          <w:sz w:val="24"/>
          <w:szCs w:val="24"/>
          <w:lang w:val="sr-Cyrl-CS"/>
        </w:rPr>
        <w:t xml:space="preserve">утицај </w:t>
      </w:r>
      <w:r w:rsidR="00EB6B0E">
        <w:rPr>
          <w:rFonts w:ascii="Times New Roman" w:hAnsi="Times New Roman"/>
          <w:sz w:val="24"/>
          <w:szCs w:val="24"/>
          <w:lang w:val="sr-Cyrl-CS"/>
        </w:rPr>
        <w:t>да се дело не би убудуће учинило</w:t>
      </w:r>
      <w:r w:rsidR="0004248F">
        <w:rPr>
          <w:rFonts w:ascii="Times New Roman" w:hAnsi="Times New Roman"/>
          <w:sz w:val="24"/>
          <w:szCs w:val="24"/>
          <w:lang w:val="sr-Cyrl-CS"/>
        </w:rPr>
        <w:t xml:space="preserve">. Према томе, кривичноправна превенција има два облика и то: општу (генералну) превенцију </w:t>
      </w:r>
      <w:r w:rsidR="0004248F">
        <w:rPr>
          <w:rFonts w:ascii="Times New Roman" w:hAnsi="Times New Roman"/>
          <w:sz w:val="24"/>
          <w:szCs w:val="24"/>
          <w:lang w:val="sr-Cyrl-CS"/>
        </w:rPr>
        <w:lastRenderedPageBreak/>
        <w:t>којим се утиче на друге и специјалну превенцију којом се утиче на самог учиноца да убудуће не врши забрањена дела.</w:t>
      </w:r>
      <w:r w:rsidR="0004248F">
        <w:rPr>
          <w:rStyle w:val="FootnoteReference"/>
          <w:rFonts w:ascii="Times New Roman" w:hAnsi="Times New Roman"/>
          <w:sz w:val="24"/>
          <w:szCs w:val="24"/>
          <w:lang w:val="sr-Cyrl-CS"/>
        </w:rPr>
        <w:footnoteReference w:id="742"/>
      </w:r>
    </w:p>
    <w:p w:rsidR="00732EC6" w:rsidRDefault="009B6C96" w:rsidP="00B94ADA">
      <w:pPr>
        <w:ind w:firstLine="708"/>
        <w:jc w:val="both"/>
        <w:rPr>
          <w:rFonts w:ascii="Times New Roman" w:hAnsi="Times New Roman"/>
          <w:sz w:val="24"/>
          <w:szCs w:val="24"/>
          <w:lang w:val="sr-Cyrl-CS"/>
        </w:rPr>
      </w:pPr>
      <w:r>
        <w:rPr>
          <w:rFonts w:ascii="Times New Roman" w:hAnsi="Times New Roman"/>
          <w:sz w:val="24"/>
          <w:szCs w:val="24"/>
          <w:lang w:val="sr-Cyrl-CS"/>
        </w:rPr>
        <w:t>Мере које се предузимају у борби против избегавања плаћања пореза су донекле специфичне јер се ради о специфичом економском и финасијском феномену. Политика супротстављања овој појави мора имати поред репресивне и п</w:t>
      </w:r>
      <w:r w:rsidR="00B94ADA">
        <w:rPr>
          <w:rFonts w:ascii="Times New Roman" w:hAnsi="Times New Roman"/>
          <w:sz w:val="24"/>
          <w:szCs w:val="24"/>
          <w:lang w:val="sr-Cyrl-CS"/>
        </w:rPr>
        <w:t>р</w:t>
      </w:r>
      <w:r>
        <w:rPr>
          <w:rFonts w:ascii="Times New Roman" w:hAnsi="Times New Roman"/>
          <w:sz w:val="24"/>
          <w:szCs w:val="24"/>
          <w:lang w:val="sr-Cyrl-CS"/>
        </w:rPr>
        <w:t>евентивну страну. Спречавање пореске евазије нема само вид кривичноправне заштите јавних прихода, него се састоји и у уклањању свих оних узрока који погодују њеном извршењу. Ма колико оштра казнена политика да се примењује она не може да буде довољна. На пореског обвезника у највећој мери утиче однос између очекиване користи од неплаћених пореза и других јавних прихода и трошка који евентуално може имати. Због тога казнена политика треба да буде осмишљена тако</w:t>
      </w:r>
      <w:r w:rsidR="00B94ADA">
        <w:rPr>
          <w:rFonts w:ascii="Times New Roman" w:hAnsi="Times New Roman"/>
          <w:sz w:val="24"/>
          <w:szCs w:val="24"/>
          <w:lang w:val="sr-Cyrl-CS"/>
        </w:rPr>
        <w:t xml:space="preserve"> да новчане казне буду изрцане </w:t>
      </w:r>
      <w:r>
        <w:rPr>
          <w:rFonts w:ascii="Times New Roman" w:hAnsi="Times New Roman"/>
          <w:sz w:val="24"/>
          <w:szCs w:val="24"/>
          <w:lang w:val="sr-Cyrl-CS"/>
        </w:rPr>
        <w:t>у висини која знатно премашује износ утајених јавних прихода.</w:t>
      </w:r>
      <w:r>
        <w:rPr>
          <w:rStyle w:val="FootnoteReference"/>
          <w:rFonts w:ascii="Times New Roman" w:hAnsi="Times New Roman"/>
          <w:sz w:val="24"/>
          <w:szCs w:val="24"/>
          <w:lang w:val="sr-Cyrl-CS"/>
        </w:rPr>
        <w:footnoteReference w:id="743"/>
      </w:r>
      <w:r>
        <w:rPr>
          <w:rFonts w:ascii="Times New Roman" w:hAnsi="Times New Roman"/>
          <w:sz w:val="24"/>
          <w:szCs w:val="24"/>
          <w:lang w:val="sr-Cyrl-CS"/>
        </w:rPr>
        <w:t xml:space="preserve"> </w:t>
      </w:r>
    </w:p>
    <w:p w:rsidR="00235B84" w:rsidRPr="00732EC6" w:rsidRDefault="00B94ADA" w:rsidP="00732EC6">
      <w:pPr>
        <w:ind w:firstLine="708"/>
        <w:jc w:val="both"/>
        <w:rPr>
          <w:rFonts w:ascii="Times New Roman" w:hAnsi="Times New Roman"/>
          <w:sz w:val="24"/>
          <w:szCs w:val="24"/>
          <w:lang w:val="sr-Cyrl-CS"/>
        </w:rPr>
      </w:pPr>
      <w:r>
        <w:rPr>
          <w:rFonts w:ascii="Times New Roman" w:hAnsi="Times New Roman"/>
          <w:sz w:val="24"/>
          <w:szCs w:val="24"/>
          <w:lang w:val="sr-Cyrl-CS"/>
        </w:rPr>
        <w:t>Борба против ових негативних појава је кључна за свако демократско друштво и мора бити заједничка уз сарадњу свих субјеката на националном и међународном плану. Ради спречавања избегавања плаћања пореза, привредног криминала и корупције предузимају се различите мере, а порески и други закони садрже казнене одредбе и одговарајуће санкције. Међутим, борба најпре мора бити усмерена на отклањање узрока ових појава кроз систематску и планску активност, при чему је битно да се равномерно распореди порески терет, као и начин на који се троше прикупљена средства.</w:t>
      </w:r>
    </w:p>
    <w:p w:rsidR="001671E0" w:rsidRDefault="001671E0" w:rsidP="00DF0BAA">
      <w:pPr>
        <w:ind w:firstLine="708"/>
        <w:jc w:val="both"/>
        <w:rPr>
          <w:rFonts w:ascii="Times New Roman" w:hAnsi="Times New Roman"/>
          <w:sz w:val="24"/>
          <w:szCs w:val="24"/>
          <w:lang w:val="sr-Cyrl-CS"/>
        </w:rPr>
      </w:pPr>
    </w:p>
    <w:p w:rsidR="001671E0" w:rsidRPr="001671E0" w:rsidRDefault="001671E0" w:rsidP="00DF0BAA">
      <w:pPr>
        <w:ind w:firstLine="708"/>
        <w:jc w:val="both"/>
        <w:rPr>
          <w:rFonts w:ascii="Times New Roman" w:hAnsi="Times New Roman"/>
          <w:sz w:val="24"/>
          <w:szCs w:val="24"/>
          <w:lang w:val="sr-Cyrl-CS"/>
        </w:rPr>
      </w:pPr>
    </w:p>
    <w:p w:rsidR="00DF0BAA" w:rsidRPr="001C7B5A" w:rsidRDefault="00DF0BAA" w:rsidP="008A3795">
      <w:pPr>
        <w:pStyle w:val="ListParagraph"/>
        <w:numPr>
          <w:ilvl w:val="0"/>
          <w:numId w:val="59"/>
        </w:numPr>
        <w:jc w:val="center"/>
        <w:rPr>
          <w:rFonts w:ascii="Times New Roman" w:hAnsi="Times New Roman"/>
          <w:b/>
          <w:sz w:val="24"/>
          <w:szCs w:val="24"/>
          <w:lang w:val="sr-Cyrl-CS"/>
        </w:rPr>
      </w:pPr>
      <w:r w:rsidRPr="001C7B5A">
        <w:rPr>
          <w:rFonts w:ascii="Times New Roman" w:hAnsi="Times New Roman"/>
          <w:b/>
          <w:sz w:val="24"/>
          <w:szCs w:val="24"/>
          <w:lang w:val="sr-Cyrl-CS"/>
        </w:rPr>
        <w:t>Превентивне мере</w:t>
      </w:r>
    </w:p>
    <w:p w:rsidR="00DF0BAA" w:rsidRPr="00DF0BAA" w:rsidRDefault="00DF0BAA" w:rsidP="00DF0BAA">
      <w:pPr>
        <w:ind w:firstLine="708"/>
        <w:jc w:val="center"/>
        <w:rPr>
          <w:rFonts w:ascii="Times New Roman" w:hAnsi="Times New Roman"/>
          <w:b/>
          <w:sz w:val="24"/>
          <w:szCs w:val="24"/>
          <w:lang w:val="sr-Cyrl-CS"/>
        </w:rPr>
      </w:pPr>
    </w:p>
    <w:p w:rsidR="00C70BF4" w:rsidRDefault="00DC71E3" w:rsidP="00B010B3">
      <w:pPr>
        <w:ind w:firstLine="708"/>
        <w:jc w:val="both"/>
        <w:rPr>
          <w:rFonts w:ascii="Times New Roman" w:hAnsi="Times New Roman"/>
          <w:sz w:val="24"/>
          <w:szCs w:val="24"/>
          <w:lang w:val="sr-Cyrl-CS"/>
        </w:rPr>
      </w:pPr>
      <w:r>
        <w:rPr>
          <w:rFonts w:ascii="Times New Roman" w:hAnsi="Times New Roman"/>
          <w:sz w:val="24"/>
          <w:szCs w:val="24"/>
          <w:lang w:val="sr-Cyrl-CS"/>
        </w:rPr>
        <w:t>Имајући у виду озбиљност последица до којих доводе</w:t>
      </w:r>
      <w:r w:rsidR="00C70BF4">
        <w:rPr>
          <w:rFonts w:ascii="Times New Roman" w:hAnsi="Times New Roman"/>
          <w:sz w:val="24"/>
          <w:szCs w:val="24"/>
          <w:lang w:val="sr-Cyrl-CS"/>
        </w:rPr>
        <w:t xml:space="preserve"> избегавање плаћање пореза, привредни криминал и корупци</w:t>
      </w:r>
      <w:r>
        <w:rPr>
          <w:rFonts w:ascii="Times New Roman" w:hAnsi="Times New Roman"/>
          <w:sz w:val="24"/>
          <w:szCs w:val="24"/>
          <w:lang w:val="sr-Cyrl-CS"/>
        </w:rPr>
        <w:t>ја</w:t>
      </w:r>
      <w:r w:rsidR="00C70BF4">
        <w:rPr>
          <w:rFonts w:ascii="Times New Roman" w:hAnsi="Times New Roman"/>
          <w:sz w:val="24"/>
          <w:szCs w:val="24"/>
          <w:lang w:val="sr-Cyrl-CS"/>
        </w:rPr>
        <w:t xml:space="preserve"> у борби против ових негативних појава</w:t>
      </w:r>
      <w:r>
        <w:rPr>
          <w:rFonts w:ascii="Times New Roman" w:hAnsi="Times New Roman"/>
          <w:sz w:val="24"/>
          <w:szCs w:val="24"/>
          <w:lang w:val="sr-Cyrl-CS"/>
        </w:rPr>
        <w:t xml:space="preserve"> пре свега</w:t>
      </w:r>
      <w:r w:rsidR="00C70BF4">
        <w:rPr>
          <w:rFonts w:ascii="Times New Roman" w:hAnsi="Times New Roman"/>
          <w:sz w:val="24"/>
          <w:szCs w:val="24"/>
          <w:lang w:val="sr-Cyrl-CS"/>
        </w:rPr>
        <w:t xml:space="preserve"> треба предузети превентивне мере, а потом репресивне мере.</w:t>
      </w:r>
      <w:r w:rsidR="007D1A7E">
        <w:rPr>
          <w:rFonts w:ascii="Times New Roman" w:hAnsi="Times New Roman"/>
          <w:sz w:val="24"/>
          <w:szCs w:val="24"/>
          <w:lang w:val="sr-Cyrl-CS"/>
        </w:rPr>
        <w:t xml:space="preserve"> </w:t>
      </w:r>
      <w:r w:rsidR="00DF0BAA">
        <w:rPr>
          <w:rFonts w:ascii="Times New Roman" w:hAnsi="Times New Roman"/>
          <w:sz w:val="24"/>
          <w:szCs w:val="24"/>
          <w:lang w:val="sr-Cyrl-CS"/>
        </w:rPr>
        <w:t>Наиме, о</w:t>
      </w:r>
      <w:r w:rsidR="0049087E">
        <w:rPr>
          <w:rFonts w:ascii="Times New Roman" w:hAnsi="Times New Roman"/>
          <w:sz w:val="24"/>
          <w:szCs w:val="24"/>
          <w:lang w:val="sr-Cyrl-CS"/>
        </w:rPr>
        <w:t xml:space="preserve">ве негативне појаве </w:t>
      </w:r>
      <w:r w:rsidR="00DF0BAA">
        <w:rPr>
          <w:rFonts w:ascii="Times New Roman" w:hAnsi="Times New Roman"/>
          <w:sz w:val="24"/>
          <w:szCs w:val="24"/>
          <w:lang w:val="sr-Cyrl-CS"/>
        </w:rPr>
        <w:t xml:space="preserve">се не могу </w:t>
      </w:r>
      <w:r w:rsidR="0049087E">
        <w:rPr>
          <w:rFonts w:ascii="Times New Roman" w:hAnsi="Times New Roman"/>
          <w:sz w:val="24"/>
          <w:szCs w:val="24"/>
          <w:lang w:val="sr-Cyrl-CS"/>
        </w:rPr>
        <w:t xml:space="preserve">сузбити само репресивним мерама, већ је за то потребна и добро осмишљена превентивна активност. </w:t>
      </w:r>
      <w:r w:rsidR="002641B8">
        <w:rPr>
          <w:rFonts w:ascii="Times New Roman" w:hAnsi="Times New Roman"/>
          <w:sz w:val="24"/>
          <w:szCs w:val="24"/>
          <w:lang w:val="sr-Cyrl-CS"/>
        </w:rPr>
        <w:t xml:space="preserve">Превенција обухвата низ мера и поступака које су усмерене на отклањање узрока и услова који погодују настанку ових негативних појава. </w:t>
      </w:r>
      <w:r w:rsidR="00AA5146">
        <w:rPr>
          <w:rFonts w:ascii="Times New Roman" w:hAnsi="Times New Roman"/>
          <w:sz w:val="24"/>
          <w:szCs w:val="24"/>
          <w:lang w:val="sr-Cyrl-CS"/>
        </w:rPr>
        <w:t>Увек је боље спречити</w:t>
      </w:r>
      <w:r w:rsidR="00E2088D">
        <w:rPr>
          <w:rFonts w:ascii="Times New Roman" w:hAnsi="Times New Roman"/>
          <w:sz w:val="24"/>
          <w:szCs w:val="24"/>
          <w:lang w:val="sr-Cyrl-CS"/>
        </w:rPr>
        <w:t xml:space="preserve"> него лечити. </w:t>
      </w:r>
      <w:r w:rsidR="007D1A7E">
        <w:rPr>
          <w:rFonts w:ascii="Times New Roman" w:hAnsi="Times New Roman"/>
          <w:sz w:val="24"/>
          <w:szCs w:val="24"/>
          <w:lang w:val="sr-Cyrl-CS"/>
        </w:rPr>
        <w:t>Најважније је</w:t>
      </w:r>
      <w:r w:rsidR="0049087E">
        <w:rPr>
          <w:rFonts w:ascii="Times New Roman" w:hAnsi="Times New Roman"/>
          <w:sz w:val="24"/>
          <w:szCs w:val="24"/>
          <w:lang w:val="sr-Cyrl-CS"/>
        </w:rPr>
        <w:t>,</w:t>
      </w:r>
      <w:r w:rsidR="007D1A7E">
        <w:rPr>
          <w:rFonts w:ascii="Times New Roman" w:hAnsi="Times New Roman"/>
          <w:sz w:val="24"/>
          <w:szCs w:val="24"/>
          <w:lang w:val="sr-Cyrl-CS"/>
        </w:rPr>
        <w:t xml:space="preserve"> заправо</w:t>
      </w:r>
      <w:r w:rsidR="0049087E">
        <w:rPr>
          <w:rFonts w:ascii="Times New Roman" w:hAnsi="Times New Roman"/>
          <w:sz w:val="24"/>
          <w:szCs w:val="24"/>
          <w:lang w:val="sr-Cyrl-CS"/>
        </w:rPr>
        <w:t>,</w:t>
      </w:r>
      <w:r w:rsidR="007D1A7E">
        <w:rPr>
          <w:rFonts w:ascii="Times New Roman" w:hAnsi="Times New Roman"/>
          <w:sz w:val="24"/>
          <w:szCs w:val="24"/>
          <w:lang w:val="sr-Cyrl-CS"/>
        </w:rPr>
        <w:t xml:space="preserve"> успоставити праву меру између правентивних и репресивних мера.</w:t>
      </w:r>
      <w:r w:rsidR="0049087E">
        <w:rPr>
          <w:rFonts w:ascii="Times New Roman" w:hAnsi="Times New Roman"/>
          <w:sz w:val="24"/>
          <w:szCs w:val="24"/>
          <w:lang w:val="sr-Cyrl-CS"/>
        </w:rPr>
        <w:t xml:space="preserve"> </w:t>
      </w:r>
    </w:p>
    <w:p w:rsidR="00480FE8" w:rsidRDefault="00480FE8" w:rsidP="00166A8D">
      <w:pPr>
        <w:ind w:firstLine="708"/>
        <w:jc w:val="both"/>
        <w:rPr>
          <w:rFonts w:ascii="Times New Roman" w:hAnsi="Times New Roman"/>
          <w:sz w:val="24"/>
          <w:szCs w:val="24"/>
          <w:lang w:val="sr-Cyrl-CS"/>
        </w:rPr>
      </w:pPr>
      <w:r>
        <w:rPr>
          <w:rFonts w:ascii="Times New Roman" w:hAnsi="Times New Roman"/>
          <w:sz w:val="24"/>
          <w:szCs w:val="24"/>
          <w:lang w:val="sr-Cyrl-CS"/>
        </w:rPr>
        <w:t xml:space="preserve">Дуго времена репресивне мере су представљале основни </w:t>
      </w:r>
      <w:r w:rsidR="00C01799">
        <w:rPr>
          <w:rFonts w:ascii="Times New Roman" w:hAnsi="Times New Roman"/>
          <w:sz w:val="24"/>
          <w:szCs w:val="24"/>
          <w:lang w:val="sr-Cyrl-CS"/>
        </w:rPr>
        <w:t>начин борбе против криминалитета. У циљу смањења корупције изрицане су високе казне, па су тако у</w:t>
      </w:r>
      <w:r>
        <w:rPr>
          <w:rFonts w:ascii="Times New Roman" w:hAnsi="Times New Roman"/>
          <w:sz w:val="24"/>
          <w:szCs w:val="24"/>
          <w:lang w:val="sr-Cyrl-CS"/>
        </w:rPr>
        <w:t xml:space="preserve"> многим државама учиниоци к</w:t>
      </w:r>
      <w:r w:rsidR="008B42E2">
        <w:rPr>
          <w:rFonts w:ascii="Times New Roman" w:hAnsi="Times New Roman"/>
          <w:sz w:val="24"/>
          <w:szCs w:val="24"/>
          <w:lang w:val="sr-Cyrl-CS"/>
        </w:rPr>
        <w:t>ривичних дела корупције лишаван</w:t>
      </w:r>
      <w:r w:rsidR="00C01799">
        <w:rPr>
          <w:rFonts w:ascii="Times New Roman" w:hAnsi="Times New Roman"/>
          <w:sz w:val="24"/>
          <w:szCs w:val="24"/>
          <w:lang w:val="sr-Cyrl-CS"/>
        </w:rPr>
        <w:t xml:space="preserve">и </w:t>
      </w:r>
      <w:r>
        <w:rPr>
          <w:rFonts w:ascii="Times New Roman" w:hAnsi="Times New Roman"/>
          <w:sz w:val="24"/>
          <w:szCs w:val="24"/>
          <w:lang w:val="sr-Cyrl-CS"/>
        </w:rPr>
        <w:t xml:space="preserve"> слободе и осуђивани </w:t>
      </w:r>
      <w:r>
        <w:rPr>
          <w:rFonts w:ascii="Times New Roman" w:hAnsi="Times New Roman"/>
          <w:sz w:val="24"/>
          <w:szCs w:val="24"/>
          <w:lang w:val="sr-Cyrl-CS"/>
        </w:rPr>
        <w:lastRenderedPageBreak/>
        <w:t xml:space="preserve">на дуже казне затвора или чак на смртну казну. </w:t>
      </w:r>
      <w:r w:rsidR="00C01799">
        <w:rPr>
          <w:rFonts w:ascii="Times New Roman" w:hAnsi="Times New Roman"/>
          <w:sz w:val="24"/>
          <w:szCs w:val="24"/>
          <w:lang w:val="sr-Cyrl-CS"/>
        </w:rPr>
        <w:t>Т</w:t>
      </w:r>
      <w:r>
        <w:rPr>
          <w:rFonts w:ascii="Times New Roman" w:hAnsi="Times New Roman"/>
          <w:sz w:val="24"/>
          <w:szCs w:val="24"/>
          <w:lang w:val="sr-Cyrl-CS"/>
        </w:rPr>
        <w:t>р</w:t>
      </w:r>
      <w:r w:rsidR="008B42E2">
        <w:rPr>
          <w:rFonts w:ascii="Times New Roman" w:hAnsi="Times New Roman"/>
          <w:sz w:val="24"/>
          <w:szCs w:val="24"/>
          <w:lang w:val="sr-Cyrl-CS"/>
        </w:rPr>
        <w:t>е</w:t>
      </w:r>
      <w:r>
        <w:rPr>
          <w:rFonts w:ascii="Times New Roman" w:hAnsi="Times New Roman"/>
          <w:sz w:val="24"/>
          <w:szCs w:val="24"/>
          <w:lang w:val="sr-Cyrl-CS"/>
        </w:rPr>
        <w:t xml:space="preserve">тирани </w:t>
      </w:r>
      <w:r w:rsidR="00C01799">
        <w:rPr>
          <w:rFonts w:ascii="Times New Roman" w:hAnsi="Times New Roman"/>
          <w:sz w:val="24"/>
          <w:szCs w:val="24"/>
          <w:lang w:val="sr-Cyrl-CS"/>
        </w:rPr>
        <w:t xml:space="preserve">су у многим ситуацијама </w:t>
      </w:r>
      <w:r>
        <w:rPr>
          <w:rFonts w:ascii="Times New Roman" w:hAnsi="Times New Roman"/>
          <w:sz w:val="24"/>
          <w:szCs w:val="24"/>
          <w:lang w:val="sr-Cyrl-CS"/>
        </w:rPr>
        <w:t xml:space="preserve">као учиниоци убиства и кривичних дела против државе, односно сматрало се да су непријатељи народа. Међутим, </w:t>
      </w:r>
      <w:r w:rsidR="00C01799">
        <w:rPr>
          <w:rFonts w:ascii="Times New Roman" w:hAnsi="Times New Roman"/>
          <w:sz w:val="24"/>
          <w:szCs w:val="24"/>
          <w:lang w:val="sr-Cyrl-CS"/>
        </w:rPr>
        <w:t xml:space="preserve">то што </w:t>
      </w:r>
      <w:r w:rsidR="00EB6B0E">
        <w:rPr>
          <w:rFonts w:ascii="Times New Roman" w:hAnsi="Times New Roman"/>
          <w:sz w:val="24"/>
          <w:szCs w:val="24"/>
          <w:lang w:val="sr-Cyrl-CS"/>
        </w:rPr>
        <w:t>ни тако ошт</w:t>
      </w:r>
      <w:r>
        <w:rPr>
          <w:rFonts w:ascii="Times New Roman" w:hAnsi="Times New Roman"/>
          <w:sz w:val="24"/>
          <w:szCs w:val="24"/>
          <w:lang w:val="sr-Cyrl-CS"/>
        </w:rPr>
        <w:t>ре казне нису дале позитивне резултат</w:t>
      </w:r>
      <w:r w:rsidR="00C01799">
        <w:rPr>
          <w:rFonts w:ascii="Times New Roman" w:hAnsi="Times New Roman"/>
          <w:sz w:val="24"/>
          <w:szCs w:val="24"/>
          <w:lang w:val="sr-Cyrl-CS"/>
        </w:rPr>
        <w:t>е у борби против корупције</w:t>
      </w:r>
      <w:r>
        <w:rPr>
          <w:rFonts w:ascii="Times New Roman" w:hAnsi="Times New Roman"/>
          <w:sz w:val="24"/>
          <w:szCs w:val="24"/>
          <w:lang w:val="sr-Cyrl-CS"/>
        </w:rPr>
        <w:t xml:space="preserve"> иде у прилог </w:t>
      </w:r>
      <w:r w:rsidR="00C01799">
        <w:rPr>
          <w:rFonts w:ascii="Times New Roman" w:hAnsi="Times New Roman"/>
          <w:sz w:val="24"/>
          <w:szCs w:val="24"/>
          <w:lang w:val="sr-Cyrl-CS"/>
        </w:rPr>
        <w:t>становишту које потенцира</w:t>
      </w:r>
      <w:r>
        <w:rPr>
          <w:rFonts w:ascii="Times New Roman" w:hAnsi="Times New Roman"/>
          <w:sz w:val="24"/>
          <w:szCs w:val="24"/>
          <w:lang w:val="sr-Cyrl-CS"/>
        </w:rPr>
        <w:t xml:space="preserve"> мере превенције, при чему се не сме занемарити значај и допринос репресије у сузбијању корупције.</w:t>
      </w:r>
      <w:r>
        <w:rPr>
          <w:rStyle w:val="FootnoteReference"/>
          <w:rFonts w:ascii="Times New Roman" w:hAnsi="Times New Roman"/>
          <w:sz w:val="24"/>
          <w:szCs w:val="24"/>
          <w:lang w:val="sr-Cyrl-CS"/>
        </w:rPr>
        <w:footnoteReference w:id="744"/>
      </w:r>
    </w:p>
    <w:p w:rsidR="00166A8D" w:rsidRPr="00166A8D" w:rsidRDefault="00AA742D" w:rsidP="00166A8D">
      <w:pPr>
        <w:ind w:firstLine="708"/>
        <w:jc w:val="both"/>
        <w:rPr>
          <w:rFonts w:ascii="Times New Roman" w:hAnsi="Times New Roman"/>
          <w:sz w:val="24"/>
          <w:szCs w:val="24"/>
          <w:lang w:val="sr-Cyrl-CS"/>
        </w:rPr>
      </w:pPr>
      <w:r>
        <w:rPr>
          <w:rFonts w:ascii="Times New Roman" w:hAnsi="Times New Roman"/>
          <w:sz w:val="24"/>
          <w:szCs w:val="24"/>
          <w:lang w:val="sr-Cyrl-CS"/>
        </w:rPr>
        <w:t>Занимљиво је поређење које даје</w:t>
      </w:r>
      <w:r w:rsidR="00166A8D">
        <w:rPr>
          <w:rFonts w:ascii="Times New Roman" w:hAnsi="Times New Roman"/>
          <w:sz w:val="24"/>
          <w:szCs w:val="24"/>
          <w:lang w:val="sr-Cyrl-CS"/>
        </w:rPr>
        <w:t xml:space="preserve"> </w:t>
      </w:r>
      <w:r w:rsidR="00166A8D">
        <w:rPr>
          <w:rFonts w:ascii="Times New Roman" w:hAnsi="Times New Roman"/>
          <w:sz w:val="24"/>
          <w:szCs w:val="24"/>
        </w:rPr>
        <w:t xml:space="preserve">Stokvel </w:t>
      </w:r>
      <w:r>
        <w:rPr>
          <w:rFonts w:ascii="Times New Roman" w:hAnsi="Times New Roman"/>
          <w:sz w:val="24"/>
          <w:szCs w:val="24"/>
          <w:lang w:val="sr-Cyrl-CS"/>
        </w:rPr>
        <w:t>када</w:t>
      </w:r>
      <w:r w:rsidR="00166A8D">
        <w:rPr>
          <w:rFonts w:ascii="Times New Roman" w:hAnsi="Times New Roman"/>
          <w:sz w:val="24"/>
          <w:szCs w:val="24"/>
          <w:lang w:val="sr-Cyrl-CS"/>
        </w:rPr>
        <w:t xml:space="preserve"> корупцију упоређује са коровом, док јавни тужилац представља баштована. </w:t>
      </w:r>
      <w:r>
        <w:rPr>
          <w:rFonts w:ascii="Times New Roman" w:hAnsi="Times New Roman"/>
          <w:sz w:val="24"/>
          <w:szCs w:val="24"/>
          <w:lang w:val="sr-Cyrl-CS"/>
        </w:rPr>
        <w:t>Проблем је што</w:t>
      </w:r>
      <w:r w:rsidR="00166A8D">
        <w:rPr>
          <w:rFonts w:ascii="Times New Roman" w:hAnsi="Times New Roman"/>
          <w:sz w:val="24"/>
          <w:szCs w:val="24"/>
          <w:lang w:val="sr-Cyrl-CS"/>
        </w:rPr>
        <w:t xml:space="preserve"> баштован само чупа коров који је на површин</w:t>
      </w:r>
      <w:r>
        <w:rPr>
          <w:rFonts w:ascii="Times New Roman" w:hAnsi="Times New Roman"/>
          <w:sz w:val="24"/>
          <w:szCs w:val="24"/>
          <w:lang w:val="sr-Cyrl-CS"/>
        </w:rPr>
        <w:t>и не вадећи корен, па ће тај корен</w:t>
      </w:r>
      <w:r w:rsidR="00166A8D">
        <w:rPr>
          <w:rFonts w:ascii="Times New Roman" w:hAnsi="Times New Roman"/>
          <w:sz w:val="24"/>
          <w:szCs w:val="24"/>
          <w:lang w:val="sr-Cyrl-CS"/>
        </w:rPr>
        <w:t xml:space="preserve"> опет дати коров на истом месту, чак ће дати изданке и на другим местима. Јединин начин да се уништи</w:t>
      </w:r>
      <w:r>
        <w:rPr>
          <w:rFonts w:ascii="Times New Roman" w:hAnsi="Times New Roman"/>
          <w:sz w:val="24"/>
          <w:szCs w:val="24"/>
          <w:lang w:val="sr-Cyrl-CS"/>
        </w:rPr>
        <w:t xml:space="preserve"> коров јесте да се ишчупа корен, што представља </w:t>
      </w:r>
      <w:r w:rsidR="00166A8D">
        <w:rPr>
          <w:rFonts w:ascii="Times New Roman" w:hAnsi="Times New Roman"/>
          <w:sz w:val="24"/>
          <w:szCs w:val="24"/>
          <w:lang w:val="sr-Cyrl-CS"/>
        </w:rPr>
        <w:t>превенциј</w:t>
      </w:r>
      <w:r>
        <w:rPr>
          <w:rFonts w:ascii="Times New Roman" w:hAnsi="Times New Roman"/>
          <w:sz w:val="24"/>
          <w:szCs w:val="24"/>
          <w:lang w:val="sr-Cyrl-CS"/>
        </w:rPr>
        <w:t>у</w:t>
      </w:r>
      <w:r w:rsidR="00166A8D">
        <w:rPr>
          <w:rFonts w:ascii="Times New Roman" w:hAnsi="Times New Roman"/>
          <w:sz w:val="24"/>
          <w:szCs w:val="24"/>
          <w:lang w:val="sr-Cyrl-CS"/>
        </w:rPr>
        <w:t xml:space="preserve">, јер чупање корена онемогућава настајање корова. </w:t>
      </w:r>
      <w:r>
        <w:rPr>
          <w:rFonts w:ascii="Times New Roman" w:hAnsi="Times New Roman"/>
          <w:sz w:val="24"/>
          <w:szCs w:val="24"/>
          <w:lang w:val="sr-Cyrl-CS"/>
        </w:rPr>
        <w:t xml:space="preserve">Према његовом мишљењу </w:t>
      </w:r>
      <w:r w:rsidR="00166A8D">
        <w:rPr>
          <w:rFonts w:ascii="Times New Roman" w:hAnsi="Times New Roman"/>
          <w:sz w:val="24"/>
          <w:szCs w:val="24"/>
          <w:lang w:val="sr-Cyrl-CS"/>
        </w:rPr>
        <w:t xml:space="preserve">корупција </w:t>
      </w:r>
      <w:r>
        <w:rPr>
          <w:rFonts w:ascii="Times New Roman" w:hAnsi="Times New Roman"/>
          <w:sz w:val="24"/>
          <w:szCs w:val="24"/>
          <w:lang w:val="sr-Cyrl-CS"/>
        </w:rPr>
        <w:t>користи постојеће могућности</w:t>
      </w:r>
      <w:r w:rsidR="00166A8D">
        <w:rPr>
          <w:rFonts w:ascii="Times New Roman" w:hAnsi="Times New Roman"/>
          <w:sz w:val="24"/>
          <w:szCs w:val="24"/>
          <w:lang w:val="sr-Cyrl-CS"/>
        </w:rPr>
        <w:t xml:space="preserve"> </w:t>
      </w:r>
      <w:r>
        <w:rPr>
          <w:rFonts w:ascii="Times New Roman" w:hAnsi="Times New Roman"/>
          <w:sz w:val="24"/>
          <w:szCs w:val="24"/>
          <w:lang w:val="sr-Cyrl-CS"/>
        </w:rPr>
        <w:t xml:space="preserve">унутар једног система, а </w:t>
      </w:r>
      <w:r w:rsidR="00166A8D">
        <w:rPr>
          <w:rFonts w:ascii="Times New Roman" w:hAnsi="Times New Roman"/>
          <w:sz w:val="24"/>
          <w:szCs w:val="24"/>
          <w:lang w:val="sr-Cyrl-CS"/>
        </w:rPr>
        <w:t xml:space="preserve">идентификација тих могућности (лоши закони, одсуство надзора и слично) и њихово </w:t>
      </w:r>
      <w:r>
        <w:rPr>
          <w:rFonts w:ascii="Times New Roman" w:hAnsi="Times New Roman"/>
          <w:sz w:val="24"/>
          <w:szCs w:val="24"/>
          <w:lang w:val="sr-Cyrl-CS"/>
        </w:rPr>
        <w:t>сузбијање</w:t>
      </w:r>
      <w:r w:rsidR="00166A8D">
        <w:rPr>
          <w:rFonts w:ascii="Times New Roman" w:hAnsi="Times New Roman"/>
          <w:sz w:val="24"/>
          <w:szCs w:val="24"/>
          <w:lang w:val="sr-Cyrl-CS"/>
        </w:rPr>
        <w:t xml:space="preserve"> доприноси смањењу </w:t>
      </w:r>
      <w:r>
        <w:rPr>
          <w:rFonts w:ascii="Times New Roman" w:hAnsi="Times New Roman"/>
          <w:sz w:val="24"/>
          <w:szCs w:val="24"/>
          <w:lang w:val="sr-Cyrl-CS"/>
        </w:rPr>
        <w:t>корупције</w:t>
      </w:r>
      <w:r w:rsidR="00166A8D">
        <w:rPr>
          <w:rFonts w:ascii="Times New Roman" w:hAnsi="Times New Roman"/>
          <w:sz w:val="24"/>
          <w:szCs w:val="24"/>
          <w:lang w:val="sr-Cyrl-CS"/>
        </w:rPr>
        <w:t>.</w:t>
      </w:r>
      <w:r w:rsidR="00166A8D">
        <w:rPr>
          <w:rStyle w:val="FootnoteReference"/>
          <w:rFonts w:ascii="Times New Roman" w:hAnsi="Times New Roman"/>
          <w:sz w:val="24"/>
          <w:szCs w:val="24"/>
          <w:lang w:val="sr-Cyrl-CS"/>
        </w:rPr>
        <w:footnoteReference w:id="745"/>
      </w:r>
    </w:p>
    <w:p w:rsidR="005321CC" w:rsidRDefault="00AA742D" w:rsidP="005321CC">
      <w:pPr>
        <w:ind w:firstLine="708"/>
        <w:jc w:val="both"/>
        <w:rPr>
          <w:rFonts w:ascii="Times New Roman" w:hAnsi="Times New Roman"/>
          <w:sz w:val="24"/>
          <w:szCs w:val="24"/>
          <w:lang w:val="sr-Cyrl-CS"/>
        </w:rPr>
      </w:pPr>
      <w:r>
        <w:rPr>
          <w:rFonts w:ascii="Times New Roman" w:hAnsi="Times New Roman"/>
          <w:sz w:val="24"/>
          <w:szCs w:val="24"/>
          <w:lang w:val="sr-Cyrl-CS"/>
        </w:rPr>
        <w:t>Превенција</w:t>
      </w:r>
      <w:r w:rsidR="005321CC" w:rsidRPr="005321CC">
        <w:rPr>
          <w:rFonts w:ascii="Times New Roman" w:hAnsi="Times New Roman"/>
          <w:sz w:val="24"/>
          <w:szCs w:val="24"/>
          <w:lang w:val="sr-Cyrl-CS"/>
        </w:rPr>
        <w:t xml:space="preserve"> криминалитета</w:t>
      </w:r>
      <w:r w:rsidR="005321CC">
        <w:rPr>
          <w:rFonts w:ascii="Times New Roman" w:hAnsi="Times New Roman"/>
          <w:sz w:val="24"/>
          <w:szCs w:val="24"/>
          <w:lang w:val="sr-Cyrl-CS"/>
        </w:rPr>
        <w:t xml:space="preserve"> </w:t>
      </w:r>
      <w:r>
        <w:rPr>
          <w:rFonts w:ascii="Times New Roman" w:hAnsi="Times New Roman"/>
          <w:sz w:val="24"/>
          <w:szCs w:val="24"/>
          <w:lang w:val="sr-Cyrl-CS"/>
        </w:rPr>
        <w:t>представља употребу</w:t>
      </w:r>
      <w:r w:rsidR="005321CC">
        <w:rPr>
          <w:rFonts w:ascii="Times New Roman" w:hAnsi="Times New Roman"/>
          <w:sz w:val="24"/>
          <w:szCs w:val="24"/>
          <w:lang w:val="sr-Cyrl-CS"/>
        </w:rPr>
        <w:t xml:space="preserve"> свих мера и средстава, за мобилизацију појединаца, друштвених група, организација и институција,</w:t>
      </w:r>
      <w:r>
        <w:rPr>
          <w:rFonts w:ascii="Times New Roman" w:hAnsi="Times New Roman"/>
          <w:sz w:val="24"/>
          <w:szCs w:val="24"/>
          <w:lang w:val="sr-Cyrl-CS"/>
        </w:rPr>
        <w:t xml:space="preserve"> које су усмерене</w:t>
      </w:r>
      <w:r w:rsidR="005321CC">
        <w:rPr>
          <w:rFonts w:ascii="Times New Roman" w:hAnsi="Times New Roman"/>
          <w:sz w:val="24"/>
          <w:szCs w:val="24"/>
          <w:lang w:val="sr-Cyrl-CS"/>
        </w:rPr>
        <w:t xml:space="preserve"> на спречав</w:t>
      </w:r>
      <w:r w:rsidR="008B42E2">
        <w:rPr>
          <w:rFonts w:ascii="Times New Roman" w:hAnsi="Times New Roman"/>
          <w:sz w:val="24"/>
          <w:szCs w:val="24"/>
          <w:lang w:val="sr-Cyrl-CS"/>
        </w:rPr>
        <w:t>ање оних појава које нису у скла</w:t>
      </w:r>
      <w:r w:rsidR="005321CC">
        <w:rPr>
          <w:rFonts w:ascii="Times New Roman" w:hAnsi="Times New Roman"/>
          <w:sz w:val="24"/>
          <w:szCs w:val="24"/>
          <w:lang w:val="sr-Cyrl-CS"/>
        </w:rPr>
        <w:t>ду са кривичним законодавством, а које по својој суштини наносе штету појединцима, друштвеним групама или друштву у целини.</w:t>
      </w:r>
      <w:r w:rsidR="005321CC">
        <w:rPr>
          <w:rStyle w:val="FootnoteReference"/>
          <w:rFonts w:ascii="Times New Roman" w:hAnsi="Times New Roman"/>
          <w:sz w:val="24"/>
          <w:szCs w:val="24"/>
          <w:lang w:val="sr-Cyrl-CS"/>
        </w:rPr>
        <w:footnoteReference w:id="746"/>
      </w:r>
      <w:r w:rsidR="005321CC" w:rsidRPr="005321CC">
        <w:rPr>
          <w:rFonts w:ascii="Times New Roman" w:hAnsi="Times New Roman"/>
          <w:sz w:val="24"/>
          <w:szCs w:val="24"/>
          <w:lang w:val="sr-Cyrl-CS"/>
        </w:rPr>
        <w:t xml:space="preserve"> </w:t>
      </w:r>
    </w:p>
    <w:p w:rsidR="00CE17DB" w:rsidRDefault="00E47713" w:rsidP="005321CC">
      <w:pPr>
        <w:ind w:firstLine="708"/>
        <w:jc w:val="both"/>
        <w:rPr>
          <w:rFonts w:ascii="Times New Roman" w:hAnsi="Times New Roman"/>
          <w:sz w:val="24"/>
          <w:szCs w:val="24"/>
          <w:lang w:val="sr-Cyrl-CS"/>
        </w:rPr>
      </w:pPr>
      <w:r>
        <w:rPr>
          <w:rFonts w:ascii="Times New Roman" w:hAnsi="Times New Roman"/>
          <w:sz w:val="24"/>
          <w:szCs w:val="24"/>
          <w:lang w:val="sr-Cyrl-CS"/>
        </w:rPr>
        <w:t>У м</w:t>
      </w:r>
      <w:r w:rsidR="00CE17DB">
        <w:rPr>
          <w:rFonts w:ascii="Times New Roman" w:hAnsi="Times New Roman"/>
          <w:sz w:val="24"/>
          <w:szCs w:val="24"/>
          <w:lang w:val="sr-Cyrl-CS"/>
        </w:rPr>
        <w:t>ере превенције на које</w:t>
      </w:r>
      <w:r>
        <w:rPr>
          <w:rFonts w:ascii="Times New Roman" w:hAnsi="Times New Roman"/>
          <w:sz w:val="24"/>
          <w:szCs w:val="24"/>
          <w:lang w:val="sr-Cyrl-CS"/>
        </w:rPr>
        <w:t xml:space="preserve"> нас упућује Савет Европе спадају: „</w:t>
      </w:r>
      <w:r w:rsidR="00CE17DB">
        <w:rPr>
          <w:rFonts w:ascii="Times New Roman" w:hAnsi="Times New Roman"/>
          <w:sz w:val="24"/>
          <w:szCs w:val="24"/>
          <w:lang w:val="sr-Cyrl-CS"/>
        </w:rPr>
        <w:t>повећање транспарентности, проверавање и контрола; подстицање конкуренције и укидање монопола; информисање јавности; креирање примерене економске и социјалне политике; поједностављење и већа прегледност различитих поступака; контрола финансијских трансакција; подстицање транспарентности у политичким процесима; увођење слободе штампе и независних медија.</w:t>
      </w:r>
      <w:r w:rsidR="00CE17DB">
        <w:rPr>
          <w:rStyle w:val="FootnoteReference"/>
          <w:rFonts w:ascii="Times New Roman" w:hAnsi="Times New Roman"/>
          <w:sz w:val="24"/>
          <w:szCs w:val="24"/>
          <w:lang w:val="sr-Cyrl-CS"/>
        </w:rPr>
        <w:footnoteReference w:id="747"/>
      </w:r>
    </w:p>
    <w:p w:rsidR="006A5DBF" w:rsidRDefault="00DC71E3" w:rsidP="00B010B3">
      <w:pPr>
        <w:ind w:firstLine="708"/>
        <w:jc w:val="both"/>
        <w:rPr>
          <w:rFonts w:ascii="Times New Roman" w:hAnsi="Times New Roman"/>
          <w:sz w:val="24"/>
          <w:szCs w:val="24"/>
          <w:lang w:val="sr-Cyrl-CS"/>
        </w:rPr>
      </w:pPr>
      <w:r>
        <w:rPr>
          <w:rFonts w:ascii="Times New Roman" w:hAnsi="Times New Roman"/>
          <w:sz w:val="24"/>
          <w:szCs w:val="24"/>
          <w:lang w:val="sr-Cyrl-CS"/>
        </w:rPr>
        <w:t>Свеобухватни приступ у борби против корупције, али и против избегавања плаћања пореза и привредног криминала, типично има три аспекта приступа: увођење новог или измењеног законодавства са циљем смањивања могућности ових појава, изградња веза са другим државама потписивањем међународних споразума, учешће у транснационалним оганизацијама и спровођење интегрисаног програма у борби против ових појава, који</w:t>
      </w:r>
      <w:r w:rsidR="006A5DBF">
        <w:rPr>
          <w:rFonts w:ascii="Times New Roman" w:hAnsi="Times New Roman"/>
          <w:sz w:val="24"/>
          <w:szCs w:val="24"/>
          <w:lang w:val="sr-Cyrl-CS"/>
        </w:rPr>
        <w:t>, између осталог,</w:t>
      </w:r>
      <w:r>
        <w:rPr>
          <w:rFonts w:ascii="Times New Roman" w:hAnsi="Times New Roman"/>
          <w:sz w:val="24"/>
          <w:szCs w:val="24"/>
          <w:lang w:val="sr-Cyrl-CS"/>
        </w:rPr>
        <w:t xml:space="preserve"> обухвата објављивање националне стратегије за борбу против корупције и акционог плана.  </w:t>
      </w:r>
    </w:p>
    <w:p w:rsidR="00AA5146" w:rsidRDefault="00E47713" w:rsidP="00AA5146">
      <w:pPr>
        <w:ind w:firstLine="708"/>
        <w:jc w:val="both"/>
        <w:rPr>
          <w:rFonts w:ascii="Times New Roman" w:hAnsi="Times New Roman"/>
          <w:sz w:val="24"/>
          <w:szCs w:val="24"/>
          <w:lang w:val="sr-Cyrl-CS"/>
        </w:rPr>
      </w:pPr>
      <w:r>
        <w:rPr>
          <w:rFonts w:ascii="Times New Roman" w:hAnsi="Times New Roman"/>
          <w:sz w:val="24"/>
          <w:szCs w:val="24"/>
          <w:lang w:val="sr-Cyrl-CS"/>
        </w:rPr>
        <w:t xml:space="preserve">Највећа пажња научника посвећена је значају интегрисаног програма за борбу против корупције. </w:t>
      </w:r>
      <w:r w:rsidR="00DC71E3">
        <w:rPr>
          <w:rFonts w:ascii="Times New Roman" w:hAnsi="Times New Roman"/>
          <w:sz w:val="24"/>
          <w:szCs w:val="24"/>
          <w:lang w:val="sr-Cyrl-CS"/>
        </w:rPr>
        <w:t xml:space="preserve">Међутим, само усвајање програма није довољно без пуне </w:t>
      </w:r>
      <w:r w:rsidR="00DC71E3">
        <w:rPr>
          <w:rFonts w:ascii="Times New Roman" w:hAnsi="Times New Roman"/>
          <w:sz w:val="24"/>
          <w:szCs w:val="24"/>
          <w:lang w:val="sr-Cyrl-CS"/>
        </w:rPr>
        <w:lastRenderedPageBreak/>
        <w:t>посвећености влас</w:t>
      </w:r>
      <w:r>
        <w:rPr>
          <w:rFonts w:ascii="Times New Roman" w:hAnsi="Times New Roman"/>
          <w:sz w:val="24"/>
          <w:szCs w:val="24"/>
          <w:lang w:val="sr-Cyrl-CS"/>
        </w:rPr>
        <w:t>ти у борби против ових феномена и треба правити разлику између земаља где су размере корупције мање озбиљне од оних земаља где је заступљена системска корупција.</w:t>
      </w:r>
      <w:r w:rsidR="00DC71E3">
        <w:rPr>
          <w:rFonts w:ascii="Times New Roman" w:hAnsi="Times New Roman"/>
          <w:sz w:val="24"/>
          <w:szCs w:val="24"/>
          <w:lang w:val="sr-Cyrl-CS"/>
        </w:rPr>
        <w:t xml:space="preserve"> </w:t>
      </w:r>
      <w:r>
        <w:rPr>
          <w:rFonts w:ascii="Times New Roman" w:hAnsi="Times New Roman"/>
          <w:sz w:val="24"/>
          <w:szCs w:val="24"/>
          <w:lang w:val="sr-Cyrl-CS"/>
        </w:rPr>
        <w:t>Наиме, с</w:t>
      </w:r>
      <w:r w:rsidR="006A5DBF">
        <w:rPr>
          <w:rFonts w:ascii="Times New Roman" w:hAnsi="Times New Roman"/>
          <w:sz w:val="24"/>
          <w:szCs w:val="24"/>
          <w:lang w:val="sr-Cyrl-CS"/>
        </w:rPr>
        <w:t>тудије указују да агенције за борбу против корупције и сличне институције најбоље функционишу у земљама где су почетни н</w:t>
      </w:r>
      <w:r w:rsidR="008B42E2">
        <w:rPr>
          <w:rFonts w:ascii="Times New Roman" w:hAnsi="Times New Roman"/>
          <w:sz w:val="24"/>
          <w:szCs w:val="24"/>
          <w:lang w:val="sr-Cyrl-CS"/>
        </w:rPr>
        <w:t>иво</w:t>
      </w:r>
      <w:r w:rsidR="006A5DBF">
        <w:rPr>
          <w:rFonts w:ascii="Times New Roman" w:hAnsi="Times New Roman"/>
          <w:sz w:val="24"/>
          <w:szCs w:val="24"/>
          <w:lang w:val="sr-Cyrl-CS"/>
        </w:rPr>
        <w:t xml:space="preserve">и корупције мање озбиљни, док тамо где је  корупција ендемска ефекат ових институција најчешће је био или неутралан или у неким случајевима контрапродуктиван, када </w:t>
      </w:r>
      <w:r>
        <w:rPr>
          <w:rFonts w:ascii="Times New Roman" w:hAnsi="Times New Roman"/>
          <w:sz w:val="24"/>
          <w:szCs w:val="24"/>
          <w:lang w:val="sr-Cyrl-CS"/>
        </w:rPr>
        <w:t>се дискредитовала сама агенција.</w:t>
      </w:r>
      <w:r w:rsidR="006A5DBF">
        <w:rPr>
          <w:rFonts w:ascii="Times New Roman" w:hAnsi="Times New Roman"/>
          <w:sz w:val="24"/>
          <w:szCs w:val="24"/>
          <w:lang w:val="sr-Cyrl-CS"/>
        </w:rPr>
        <w:t xml:space="preserve"> </w:t>
      </w:r>
      <w:r>
        <w:rPr>
          <w:rFonts w:ascii="Times New Roman" w:hAnsi="Times New Roman"/>
          <w:sz w:val="24"/>
          <w:szCs w:val="24"/>
          <w:lang w:val="sr-Cyrl-CS"/>
        </w:rPr>
        <w:t xml:space="preserve">Тиме се </w:t>
      </w:r>
      <w:r w:rsidR="006A5DBF">
        <w:rPr>
          <w:rFonts w:ascii="Times New Roman" w:hAnsi="Times New Roman"/>
          <w:sz w:val="24"/>
          <w:szCs w:val="24"/>
          <w:lang w:val="sr-Cyrl-CS"/>
        </w:rPr>
        <w:t>додатно</w:t>
      </w:r>
      <w:r>
        <w:rPr>
          <w:rFonts w:ascii="Times New Roman" w:hAnsi="Times New Roman"/>
          <w:sz w:val="24"/>
          <w:szCs w:val="24"/>
          <w:lang w:val="sr-Cyrl-CS"/>
        </w:rPr>
        <w:t xml:space="preserve"> продубљује скепса у</w:t>
      </w:r>
      <w:r w:rsidR="006A5DBF">
        <w:rPr>
          <w:rFonts w:ascii="Times New Roman" w:hAnsi="Times New Roman"/>
          <w:sz w:val="24"/>
          <w:szCs w:val="24"/>
          <w:lang w:val="sr-Cyrl-CS"/>
        </w:rPr>
        <w:t xml:space="preserve"> јавности о напорима власти у борби против корупције. </w:t>
      </w:r>
      <w:r>
        <w:rPr>
          <w:rFonts w:ascii="Times New Roman" w:hAnsi="Times New Roman"/>
          <w:sz w:val="24"/>
          <w:szCs w:val="24"/>
          <w:lang w:val="sr-Cyrl-CS"/>
        </w:rPr>
        <w:t xml:space="preserve">У земљама са системском корупцијом је </w:t>
      </w:r>
      <w:r w:rsidR="006A5DBF">
        <w:rPr>
          <w:rFonts w:ascii="Times New Roman" w:hAnsi="Times New Roman"/>
          <w:sz w:val="24"/>
          <w:szCs w:val="24"/>
          <w:lang w:val="sr-Cyrl-CS"/>
        </w:rPr>
        <w:t xml:space="preserve">тешко изградити институције за борбу против корупције које раде независно од слабих структура власти, укључујући правни систем, механизме политичке одговорности и финансијске регулаторне институције. </w:t>
      </w:r>
      <w:r>
        <w:rPr>
          <w:rFonts w:ascii="Times New Roman" w:hAnsi="Times New Roman"/>
          <w:sz w:val="24"/>
          <w:szCs w:val="24"/>
          <w:lang w:val="sr-Cyrl-CS"/>
        </w:rPr>
        <w:t>У таквим условима а</w:t>
      </w:r>
      <w:r w:rsidR="006A5DBF">
        <w:rPr>
          <w:rFonts w:ascii="Times New Roman" w:hAnsi="Times New Roman"/>
          <w:sz w:val="24"/>
          <w:szCs w:val="24"/>
          <w:lang w:val="sr-Cyrl-CS"/>
        </w:rPr>
        <w:t xml:space="preserve">генције за борбу против корупције и слични органи ретко функционишу ефективно без значајних акција власти </w:t>
      </w:r>
      <w:r w:rsidR="00F75DDF">
        <w:rPr>
          <w:rFonts w:ascii="Times New Roman" w:hAnsi="Times New Roman"/>
          <w:sz w:val="24"/>
          <w:szCs w:val="24"/>
          <w:lang w:val="sr-Cyrl-CS"/>
        </w:rPr>
        <w:t>на спровођењу одговарајућих промена у ширем институционалном контексту.</w:t>
      </w:r>
      <w:r w:rsidR="00F75DDF">
        <w:rPr>
          <w:rStyle w:val="FootnoteReference"/>
          <w:rFonts w:ascii="Times New Roman" w:hAnsi="Times New Roman"/>
          <w:sz w:val="24"/>
          <w:szCs w:val="24"/>
          <w:lang w:val="sr-Cyrl-CS"/>
        </w:rPr>
        <w:footnoteReference w:id="748"/>
      </w:r>
      <w:r w:rsidR="006A5DBF">
        <w:rPr>
          <w:rFonts w:ascii="Times New Roman" w:hAnsi="Times New Roman"/>
          <w:sz w:val="24"/>
          <w:szCs w:val="24"/>
          <w:lang w:val="sr-Cyrl-CS"/>
        </w:rPr>
        <w:t xml:space="preserve"> </w:t>
      </w:r>
    </w:p>
    <w:p w:rsidR="00DC71E3" w:rsidRDefault="00073A6A" w:rsidP="00B010B3">
      <w:pPr>
        <w:ind w:firstLine="708"/>
        <w:jc w:val="both"/>
        <w:rPr>
          <w:rFonts w:ascii="Times New Roman" w:hAnsi="Times New Roman"/>
          <w:sz w:val="24"/>
          <w:szCs w:val="24"/>
          <w:lang w:val="sr-Cyrl-CS"/>
        </w:rPr>
      </w:pPr>
      <w:r>
        <w:rPr>
          <w:rFonts w:ascii="Times New Roman" w:hAnsi="Times New Roman"/>
          <w:sz w:val="24"/>
          <w:szCs w:val="24"/>
          <w:lang w:val="sr-Cyrl-CS"/>
        </w:rPr>
        <w:t>„</w:t>
      </w:r>
      <w:r w:rsidR="007D1A7E">
        <w:rPr>
          <w:rFonts w:ascii="Times New Roman" w:hAnsi="Times New Roman"/>
          <w:sz w:val="24"/>
          <w:szCs w:val="24"/>
          <w:lang w:val="sr-Cyrl-CS"/>
        </w:rPr>
        <w:t>Посматрајући стање код нас, држава није успела да се избори са многим деформацијама економског живота у које несумњиво спада и нарушавање уставне дужности плаћања пореза сразмерно економској снази. Превенција као вид заштите друштва од ове врсте криминалитета је неорганизована и неефикасна. А да би била ефикасна морала би да се води плански и континуирано са усмерењем на отклањање узрока и услова који омогућавају настанак и трајање ове друштвено-политичке и економске појаве. У нашим условима за јач</w:t>
      </w:r>
      <w:r w:rsidR="009F1721">
        <w:rPr>
          <w:rFonts w:ascii="Times New Roman" w:hAnsi="Times New Roman"/>
          <w:sz w:val="24"/>
          <w:szCs w:val="24"/>
          <w:lang w:val="sr-Cyrl-CS"/>
        </w:rPr>
        <w:t>а</w:t>
      </w:r>
      <w:r w:rsidR="007D1A7E">
        <w:rPr>
          <w:rFonts w:ascii="Times New Roman" w:hAnsi="Times New Roman"/>
          <w:sz w:val="24"/>
          <w:szCs w:val="24"/>
          <w:lang w:val="sr-Cyrl-CS"/>
        </w:rPr>
        <w:t>ње фискалне дисциплине потребно је испуњење одређених претпоставки. Прво, решења у пореском систему треба да се заснивају на начелу правичности</w:t>
      </w:r>
      <w:r w:rsidR="00787FE6">
        <w:rPr>
          <w:rFonts w:ascii="Times New Roman" w:hAnsi="Times New Roman"/>
          <w:sz w:val="24"/>
          <w:szCs w:val="24"/>
          <w:lang w:val="sr-Cyrl-CS"/>
        </w:rPr>
        <w:t>, без неоправданих изузетака и привилегија и да буду стимулативно оријентисана.</w:t>
      </w:r>
      <w:r w:rsidR="00264277">
        <w:rPr>
          <w:rFonts w:ascii="Times New Roman" w:hAnsi="Times New Roman"/>
          <w:sz w:val="24"/>
          <w:szCs w:val="24"/>
          <w:lang w:val="sr-Cyrl-CS"/>
        </w:rPr>
        <w:t>..</w:t>
      </w:r>
      <w:r w:rsidR="00787FE6">
        <w:rPr>
          <w:rFonts w:ascii="Times New Roman" w:hAnsi="Times New Roman"/>
          <w:sz w:val="24"/>
          <w:szCs w:val="24"/>
          <w:lang w:val="sr-Cyrl-CS"/>
        </w:rPr>
        <w:t xml:space="preserve"> Друго, креатори пореског система морају предузимати адекватне мере за стварање повољне политичке и друштвене к</w:t>
      </w:r>
      <w:r w:rsidR="009F1721">
        <w:rPr>
          <w:rFonts w:ascii="Times New Roman" w:hAnsi="Times New Roman"/>
          <w:sz w:val="24"/>
          <w:szCs w:val="24"/>
          <w:lang w:val="sr-Cyrl-CS"/>
        </w:rPr>
        <w:t>лиме у погледу извршавања фискал</w:t>
      </w:r>
      <w:r w:rsidR="00787FE6">
        <w:rPr>
          <w:rFonts w:ascii="Times New Roman" w:hAnsi="Times New Roman"/>
          <w:sz w:val="24"/>
          <w:szCs w:val="24"/>
          <w:lang w:val="sr-Cyrl-CS"/>
        </w:rPr>
        <w:t>них обавеза.</w:t>
      </w:r>
      <w:r>
        <w:rPr>
          <w:rFonts w:ascii="Times New Roman" w:hAnsi="Times New Roman"/>
          <w:sz w:val="24"/>
          <w:szCs w:val="24"/>
          <w:lang w:val="sr-Cyrl-CS"/>
        </w:rPr>
        <w:t>“</w:t>
      </w:r>
      <w:r w:rsidR="00787FE6">
        <w:rPr>
          <w:rStyle w:val="FootnoteReference"/>
          <w:rFonts w:ascii="Times New Roman" w:hAnsi="Times New Roman"/>
          <w:sz w:val="24"/>
          <w:szCs w:val="24"/>
          <w:lang w:val="sr-Cyrl-CS"/>
        </w:rPr>
        <w:footnoteReference w:id="749"/>
      </w:r>
      <w:r w:rsidR="00EC4C5E">
        <w:rPr>
          <w:rFonts w:ascii="Times New Roman" w:hAnsi="Times New Roman"/>
          <w:sz w:val="24"/>
          <w:szCs w:val="24"/>
          <w:lang w:val="sr-Cyrl-CS"/>
        </w:rPr>
        <w:t xml:space="preserve"> Као и свака земља у транзицији и наша земља се суочава са високим степеном корупције</w:t>
      </w:r>
      <w:r w:rsidR="008B42E2">
        <w:rPr>
          <w:rFonts w:ascii="Times New Roman" w:hAnsi="Times New Roman"/>
          <w:sz w:val="24"/>
          <w:szCs w:val="24"/>
          <w:lang w:val="sr-Cyrl-CS"/>
        </w:rPr>
        <w:t xml:space="preserve"> и привредног криминала, због чега је борба против ових негативних друштвених појава</w:t>
      </w:r>
      <w:r w:rsidR="00EC4C5E">
        <w:rPr>
          <w:rFonts w:ascii="Times New Roman" w:hAnsi="Times New Roman"/>
          <w:sz w:val="24"/>
          <w:szCs w:val="24"/>
          <w:lang w:val="sr-Cyrl-CS"/>
        </w:rPr>
        <w:t xml:space="preserve"> њен национални интерес.</w:t>
      </w:r>
    </w:p>
    <w:p w:rsidR="00993C53" w:rsidRDefault="00767273" w:rsidP="00993C53">
      <w:pPr>
        <w:ind w:firstLine="708"/>
        <w:jc w:val="both"/>
        <w:rPr>
          <w:rFonts w:ascii="Times New Roman" w:hAnsi="Times New Roman"/>
          <w:sz w:val="24"/>
          <w:szCs w:val="24"/>
          <w:lang w:val="sr-Cyrl-CS"/>
        </w:rPr>
      </w:pPr>
      <w:r>
        <w:rPr>
          <w:rFonts w:ascii="Times New Roman" w:hAnsi="Times New Roman"/>
          <w:sz w:val="24"/>
          <w:szCs w:val="24"/>
        </w:rPr>
        <w:t>Битно питање превенције криминалитета јесте поступање у складу са међународним стандардима превенције криминалитета и имплементација ових међународних ста</w:t>
      </w:r>
      <w:r w:rsidR="009F1721">
        <w:rPr>
          <w:rFonts w:ascii="Times New Roman" w:hAnsi="Times New Roman"/>
          <w:sz w:val="24"/>
          <w:szCs w:val="24"/>
          <w:lang w:val="sr-Cyrl-CS"/>
        </w:rPr>
        <w:t>н</w:t>
      </w:r>
      <w:r>
        <w:rPr>
          <w:rFonts w:ascii="Times New Roman" w:hAnsi="Times New Roman"/>
          <w:sz w:val="24"/>
          <w:szCs w:val="24"/>
        </w:rPr>
        <w:t xml:space="preserve">дарда, као и обезбеђење финансијских средстава за примену превентивних мера. </w:t>
      </w:r>
      <w:r w:rsidR="00AA5146">
        <w:rPr>
          <w:rFonts w:ascii="Times New Roman" w:hAnsi="Times New Roman"/>
          <w:sz w:val="24"/>
          <w:szCs w:val="24"/>
          <w:lang w:val="sr-Cyrl-CS"/>
        </w:rPr>
        <w:t xml:space="preserve">Обавеза спречавања и сузбијања корупције произилази из међународних конвенција које је наша земља ратификовала и из обавеза по основу чланства у Савету Европе. </w:t>
      </w:r>
      <w:r w:rsidR="00EF35C7">
        <w:rPr>
          <w:rFonts w:ascii="Times New Roman" w:hAnsi="Times New Roman"/>
          <w:sz w:val="24"/>
          <w:szCs w:val="24"/>
          <w:lang w:val="sr-Cyrl-CS"/>
        </w:rPr>
        <w:t>То су пре свега Конвенција ЕУ о борби</w:t>
      </w:r>
      <w:r w:rsidR="00EC4C5E">
        <w:rPr>
          <w:rFonts w:ascii="Times New Roman" w:hAnsi="Times New Roman"/>
          <w:sz w:val="24"/>
          <w:szCs w:val="24"/>
          <w:lang w:val="sr-Cyrl-CS"/>
        </w:rPr>
        <w:t xml:space="preserve"> против корупције</w:t>
      </w:r>
      <w:r w:rsidR="00EF35C7">
        <w:rPr>
          <w:rFonts w:ascii="Times New Roman" w:hAnsi="Times New Roman"/>
          <w:sz w:val="24"/>
          <w:szCs w:val="24"/>
          <w:lang w:val="sr-Cyrl-CS"/>
        </w:rPr>
        <w:t xml:space="preserve"> од 27. маја 1997. године</w:t>
      </w:r>
      <w:r w:rsidR="00EC4C5E">
        <w:rPr>
          <w:rFonts w:ascii="Times New Roman" w:hAnsi="Times New Roman"/>
          <w:sz w:val="24"/>
          <w:szCs w:val="24"/>
          <w:lang w:val="sr-Cyrl-CS"/>
        </w:rPr>
        <w:t>, Кривичнопр</w:t>
      </w:r>
      <w:r w:rsidR="00EF35C7">
        <w:rPr>
          <w:rFonts w:ascii="Times New Roman" w:hAnsi="Times New Roman"/>
          <w:sz w:val="24"/>
          <w:szCs w:val="24"/>
          <w:lang w:val="sr-Cyrl-CS"/>
        </w:rPr>
        <w:t>авна конвенција о корупцији 27. јануара 1999. године, Грађанск</w:t>
      </w:r>
      <w:r w:rsidR="00EC4C5E">
        <w:rPr>
          <w:rFonts w:ascii="Times New Roman" w:hAnsi="Times New Roman"/>
          <w:sz w:val="24"/>
          <w:szCs w:val="24"/>
          <w:lang w:val="sr-Cyrl-CS"/>
        </w:rPr>
        <w:t>оправна конвенција о корупцији</w:t>
      </w:r>
      <w:r w:rsidR="00EF35C7">
        <w:rPr>
          <w:rFonts w:ascii="Times New Roman" w:hAnsi="Times New Roman"/>
          <w:sz w:val="24"/>
          <w:szCs w:val="24"/>
          <w:lang w:val="sr-Cyrl-CS"/>
        </w:rPr>
        <w:t xml:space="preserve"> 4. новембра 1999. године и Конвенција ОЕЦД против подмићивања страних јавних службеника у међународним пословним трансакцијама од 17. децембра 1997. године</w:t>
      </w:r>
      <w:r w:rsidR="00EC4C5E">
        <w:rPr>
          <w:rFonts w:ascii="Times New Roman" w:hAnsi="Times New Roman"/>
          <w:sz w:val="24"/>
          <w:szCs w:val="24"/>
          <w:lang w:val="sr-Cyrl-CS"/>
        </w:rPr>
        <w:t xml:space="preserve">. </w:t>
      </w:r>
      <w:r w:rsidR="00174434">
        <w:rPr>
          <w:rFonts w:ascii="Times New Roman" w:hAnsi="Times New Roman"/>
          <w:sz w:val="24"/>
          <w:szCs w:val="24"/>
          <w:lang w:val="sr-Cyrl-CS"/>
        </w:rPr>
        <w:t>Пријемом у Савет Европе на</w:t>
      </w:r>
      <w:r w:rsidR="00AA5146">
        <w:rPr>
          <w:rFonts w:ascii="Times New Roman" w:hAnsi="Times New Roman"/>
          <w:sz w:val="24"/>
          <w:szCs w:val="24"/>
          <w:lang w:val="sr-Cyrl-CS"/>
        </w:rPr>
        <w:t xml:space="preserve">ша </w:t>
      </w:r>
      <w:r w:rsidR="00AA5146">
        <w:rPr>
          <w:rFonts w:ascii="Times New Roman" w:hAnsi="Times New Roman"/>
          <w:sz w:val="24"/>
          <w:szCs w:val="24"/>
          <w:lang w:val="sr-Cyrl-CS"/>
        </w:rPr>
        <w:lastRenderedPageBreak/>
        <w:t>земља је постала и чланица Групе земаља против корупције Савета Европе (GRECO), чији је евалуациони тим сачинио препоруке</w:t>
      </w:r>
      <w:r w:rsidR="00480FE8">
        <w:rPr>
          <w:rFonts w:ascii="Times New Roman" w:hAnsi="Times New Roman"/>
          <w:sz w:val="24"/>
          <w:szCs w:val="24"/>
          <w:lang w:val="sr-Cyrl-CS"/>
        </w:rPr>
        <w:t xml:space="preserve"> које треба да се испуне. </w:t>
      </w:r>
      <w:r>
        <w:rPr>
          <w:rFonts w:ascii="Times New Roman" w:hAnsi="Times New Roman"/>
          <w:sz w:val="24"/>
          <w:szCs w:val="24"/>
          <w:lang w:val="sr-Cyrl-CS"/>
        </w:rPr>
        <w:t>Поред Савета Европе значајно место у превенцији криминалитета</w:t>
      </w:r>
      <w:r w:rsidR="00F44A79">
        <w:rPr>
          <w:rFonts w:ascii="Times New Roman" w:hAnsi="Times New Roman"/>
          <w:sz w:val="24"/>
          <w:szCs w:val="24"/>
          <w:lang w:val="sr-Cyrl-CS"/>
        </w:rPr>
        <w:t xml:space="preserve"> у европским земљама</w:t>
      </w:r>
      <w:r>
        <w:rPr>
          <w:rFonts w:ascii="Times New Roman" w:hAnsi="Times New Roman"/>
          <w:sz w:val="24"/>
          <w:szCs w:val="24"/>
          <w:lang w:val="sr-Cyrl-CS"/>
        </w:rPr>
        <w:t xml:space="preserve"> заузима</w:t>
      </w:r>
      <w:r w:rsidR="00F44A79">
        <w:rPr>
          <w:rFonts w:ascii="Times New Roman" w:hAnsi="Times New Roman"/>
          <w:sz w:val="24"/>
          <w:szCs w:val="24"/>
          <w:lang w:val="sr-Cyrl-CS"/>
        </w:rPr>
        <w:t xml:space="preserve"> Комисија Европске уније за организацију, размену и израду програма превенције криминалитета у европским земљама.</w:t>
      </w:r>
      <w:r w:rsidR="00993C53">
        <w:rPr>
          <w:rFonts w:ascii="Times New Roman" w:hAnsi="Times New Roman"/>
          <w:sz w:val="24"/>
          <w:szCs w:val="24"/>
          <w:lang w:val="sr-Cyrl-CS"/>
        </w:rPr>
        <w:t xml:space="preserve"> Од значаја за рад наведених тела су разни стручни и експертски одбори међу којима је нарочито значајан Европски комитет за кривичне проблеме (European Committe on Crime Problems-CDPC) који је састављен од по два члана сваке земље чланице. Овај одбор организује конференције криминолога чија је тема организација борбе против криминалитета. </w:t>
      </w:r>
    </w:p>
    <w:p w:rsidR="00AA5146" w:rsidRPr="00AA5146" w:rsidRDefault="00480FE8" w:rsidP="00B010B3">
      <w:pPr>
        <w:ind w:firstLine="708"/>
        <w:jc w:val="both"/>
        <w:rPr>
          <w:rFonts w:ascii="Times New Roman" w:hAnsi="Times New Roman"/>
          <w:sz w:val="24"/>
          <w:szCs w:val="24"/>
          <w:lang w:val="sr-Cyrl-CS"/>
        </w:rPr>
      </w:pPr>
      <w:r>
        <w:rPr>
          <w:rFonts w:ascii="Times New Roman" w:hAnsi="Times New Roman"/>
          <w:sz w:val="24"/>
          <w:szCs w:val="24"/>
          <w:lang w:val="sr-Cyrl-CS"/>
        </w:rPr>
        <w:t>С</w:t>
      </w:r>
      <w:r w:rsidR="00AA5146">
        <w:rPr>
          <w:rFonts w:ascii="Times New Roman" w:hAnsi="Times New Roman"/>
          <w:sz w:val="24"/>
          <w:szCs w:val="24"/>
          <w:lang w:val="sr-Cyrl-CS"/>
        </w:rPr>
        <w:t>ве земље кандидати з</w:t>
      </w:r>
      <w:r>
        <w:rPr>
          <w:rFonts w:ascii="Times New Roman" w:hAnsi="Times New Roman"/>
          <w:sz w:val="24"/>
          <w:szCs w:val="24"/>
          <w:lang w:val="sr-Cyrl-CS"/>
        </w:rPr>
        <w:t>а пријем у ЕУ морају да испуне обавезе повезане са борбом против корупције. Како је наша земља опредељена за европске интеграције</w:t>
      </w:r>
      <w:r w:rsidR="00EC4C5E">
        <w:rPr>
          <w:rFonts w:ascii="Times New Roman" w:hAnsi="Times New Roman"/>
          <w:sz w:val="24"/>
          <w:szCs w:val="24"/>
          <w:lang w:val="sr-Cyrl-CS"/>
        </w:rPr>
        <w:t>, а то је и њен национални интерес,</w:t>
      </w:r>
      <w:r>
        <w:rPr>
          <w:rFonts w:ascii="Times New Roman" w:hAnsi="Times New Roman"/>
          <w:sz w:val="24"/>
          <w:szCs w:val="24"/>
          <w:lang w:val="sr-Cyrl-CS"/>
        </w:rPr>
        <w:t xml:space="preserve">  један од веома бит</w:t>
      </w:r>
      <w:r w:rsidR="009F1721">
        <w:rPr>
          <w:rFonts w:ascii="Times New Roman" w:hAnsi="Times New Roman"/>
          <w:sz w:val="24"/>
          <w:szCs w:val="24"/>
          <w:lang w:val="sr-Cyrl-CS"/>
        </w:rPr>
        <w:t>н</w:t>
      </w:r>
      <w:r>
        <w:rPr>
          <w:rFonts w:ascii="Times New Roman" w:hAnsi="Times New Roman"/>
          <w:sz w:val="24"/>
          <w:szCs w:val="24"/>
          <w:lang w:val="sr-Cyrl-CS"/>
        </w:rPr>
        <w:t>их услова које треба да испуни је ефикасна борба против корупције.</w:t>
      </w:r>
    </w:p>
    <w:p w:rsidR="001101DF" w:rsidRDefault="001101DF" w:rsidP="00B010B3">
      <w:pPr>
        <w:ind w:firstLine="708"/>
        <w:jc w:val="both"/>
        <w:rPr>
          <w:rFonts w:ascii="Times New Roman" w:hAnsi="Times New Roman"/>
          <w:sz w:val="24"/>
          <w:szCs w:val="24"/>
          <w:lang w:val="sr-Cyrl-CS"/>
        </w:rPr>
      </w:pPr>
      <w:r>
        <w:rPr>
          <w:rFonts w:ascii="Times New Roman" w:hAnsi="Times New Roman"/>
          <w:sz w:val="24"/>
          <w:szCs w:val="24"/>
          <w:lang w:val="sr-Cyrl-CS"/>
        </w:rPr>
        <w:t>У међународним оквирима, посебан проблем представља банкарска тајна, која у великој мери отежава потребну размену информација</w:t>
      </w:r>
      <w:r w:rsidR="00132AD5">
        <w:rPr>
          <w:rFonts w:ascii="Times New Roman" w:hAnsi="Times New Roman"/>
          <w:sz w:val="24"/>
          <w:szCs w:val="24"/>
          <w:lang w:val="sr-Cyrl-CS"/>
        </w:rPr>
        <w:t xml:space="preserve"> и сарадњу, а</w:t>
      </w:r>
      <w:r>
        <w:rPr>
          <w:rFonts w:ascii="Times New Roman" w:hAnsi="Times New Roman"/>
          <w:sz w:val="24"/>
          <w:szCs w:val="24"/>
          <w:lang w:val="sr-Cyrl-CS"/>
        </w:rPr>
        <w:t xml:space="preserve"> самим тим отежава борбу против ових негативних појава. </w:t>
      </w:r>
      <w:r w:rsidR="00132AD5">
        <w:rPr>
          <w:rFonts w:ascii="Times New Roman" w:hAnsi="Times New Roman"/>
          <w:sz w:val="24"/>
          <w:szCs w:val="24"/>
          <w:lang w:val="sr-Cyrl-CS"/>
        </w:rPr>
        <w:t>Због тога, битну окоснице борбе у међународим оквирима представља превазилажење банкарске тајне и аутоматска размена битних информација.</w:t>
      </w:r>
    </w:p>
    <w:p w:rsidR="00132AD5" w:rsidRDefault="00E45F7D" w:rsidP="00B010B3">
      <w:pPr>
        <w:ind w:firstLine="708"/>
        <w:jc w:val="both"/>
        <w:rPr>
          <w:rFonts w:ascii="Times New Roman" w:hAnsi="Times New Roman"/>
          <w:sz w:val="24"/>
          <w:szCs w:val="24"/>
          <w:lang w:val="sr-Cyrl-CS"/>
        </w:rPr>
      </w:pPr>
      <w:r>
        <w:rPr>
          <w:rFonts w:ascii="Times New Roman" w:hAnsi="Times New Roman"/>
          <w:sz w:val="24"/>
          <w:szCs w:val="24"/>
          <w:lang w:val="sr-Cyrl-CS"/>
        </w:rPr>
        <w:t>У том контексту з</w:t>
      </w:r>
      <w:r w:rsidR="00132AD5">
        <w:rPr>
          <w:rFonts w:ascii="Times New Roman" w:hAnsi="Times New Roman"/>
          <w:sz w:val="24"/>
          <w:szCs w:val="24"/>
          <w:lang w:val="sr-Cyrl-CS"/>
        </w:rPr>
        <w:t>начајан напредак је ОЕЦД постигао у питањима премошћавања банкарске тајне, путем наглашавања предности кад финасијске институције аутоматски саопштавају важне информације својим вла</w:t>
      </w:r>
      <w:r>
        <w:rPr>
          <w:rFonts w:ascii="Times New Roman" w:hAnsi="Times New Roman"/>
          <w:sz w:val="24"/>
          <w:szCs w:val="24"/>
          <w:lang w:val="sr-Cyrl-CS"/>
        </w:rPr>
        <w:t>дама и наглашавају се</w:t>
      </w:r>
      <w:r w:rsidR="00132AD5">
        <w:rPr>
          <w:rFonts w:ascii="Times New Roman" w:hAnsi="Times New Roman"/>
          <w:sz w:val="24"/>
          <w:szCs w:val="24"/>
          <w:lang w:val="sr-Cyrl-CS"/>
        </w:rPr>
        <w:t xml:space="preserve"> предности даље аутоматске размене информација међу владама. </w:t>
      </w:r>
      <w:r>
        <w:rPr>
          <w:rFonts w:ascii="Times New Roman" w:hAnsi="Times New Roman"/>
          <w:sz w:val="24"/>
          <w:szCs w:val="24"/>
          <w:lang w:val="sr-Cyrl-CS"/>
        </w:rPr>
        <w:t>„</w:t>
      </w:r>
      <w:r w:rsidR="00132AD5">
        <w:rPr>
          <w:rFonts w:ascii="Times New Roman" w:hAnsi="Times New Roman"/>
          <w:sz w:val="24"/>
          <w:szCs w:val="24"/>
          <w:lang w:val="sr-Cyrl-CS"/>
        </w:rPr>
        <w:t>ОЕЦД одлучно заговара премошћавање банкарске тајне у пореским споразумима између ОЕЦД земаља, те између развијених земаља и земаља у развоју, јер премошћавање банкарске тајне треба да буде међународни стандард. Најбоља размена информација је аутоматска размена информација, нпр. влада аутоматски саопштава све важне информације о извршеној инвестицији влади земље из које инвеститор долази. Проблем је што модели уговора о порезу на доходак УН-а и ОЕЦД одређују да се размена информација учини само на захтев, а тек директива ЕУ-а о штедњи одређује аутоматску размену информација. Слабе стране међународног финансијског система, неизостављајући оне које су последица неадекватних надзорних и регулаторних система, натерале су Међународни монетарни фонд да у последњим годинама појача надзор међународног фина</w:t>
      </w:r>
      <w:r w:rsidR="009F1721">
        <w:rPr>
          <w:rFonts w:ascii="Times New Roman" w:hAnsi="Times New Roman"/>
          <w:sz w:val="24"/>
          <w:szCs w:val="24"/>
          <w:lang w:val="sr-Cyrl-CS"/>
        </w:rPr>
        <w:t>н</w:t>
      </w:r>
      <w:r w:rsidR="00132AD5">
        <w:rPr>
          <w:rFonts w:ascii="Times New Roman" w:hAnsi="Times New Roman"/>
          <w:sz w:val="24"/>
          <w:szCs w:val="24"/>
          <w:lang w:val="sr-Cyrl-CS"/>
        </w:rPr>
        <w:t>сијског система.</w:t>
      </w:r>
      <w:r w:rsidR="00AC77DA">
        <w:rPr>
          <w:rFonts w:ascii="Times New Roman" w:hAnsi="Times New Roman"/>
          <w:sz w:val="24"/>
          <w:szCs w:val="24"/>
          <w:lang w:val="sr-Cyrl-CS"/>
        </w:rPr>
        <w:t xml:space="preserve"> Међународни монетарни фонд надзире економске политике земаља чланица као део надзорног процеса.</w:t>
      </w:r>
      <w:r>
        <w:rPr>
          <w:rFonts w:ascii="Times New Roman" w:hAnsi="Times New Roman"/>
          <w:sz w:val="24"/>
          <w:szCs w:val="24"/>
          <w:lang w:val="sr-Cyrl-CS"/>
        </w:rPr>
        <w:t>“</w:t>
      </w:r>
      <w:r w:rsidR="00AC77DA">
        <w:rPr>
          <w:rStyle w:val="FootnoteReference"/>
          <w:rFonts w:ascii="Times New Roman" w:hAnsi="Times New Roman"/>
          <w:sz w:val="24"/>
          <w:szCs w:val="24"/>
          <w:lang w:val="sr-Cyrl-CS"/>
        </w:rPr>
        <w:footnoteReference w:id="750"/>
      </w:r>
    </w:p>
    <w:p w:rsidR="00723F0A" w:rsidRPr="00723F0A" w:rsidRDefault="00723F0A" w:rsidP="00B010B3">
      <w:pPr>
        <w:ind w:firstLine="708"/>
        <w:jc w:val="both"/>
        <w:rPr>
          <w:rFonts w:ascii="Times New Roman" w:hAnsi="Times New Roman"/>
          <w:sz w:val="24"/>
          <w:szCs w:val="24"/>
          <w:lang w:val="sr-Cyrl-CS"/>
        </w:rPr>
      </w:pPr>
      <w:r>
        <w:rPr>
          <w:rFonts w:ascii="Times New Roman" w:hAnsi="Times New Roman"/>
          <w:sz w:val="24"/>
          <w:szCs w:val="24"/>
          <w:lang w:val="sr-Cyrl-CS"/>
        </w:rPr>
        <w:t xml:space="preserve">У борби против ових негативних појава у Србији значајно место има подршка, али и притисак, Европске уније и међународних организација, пре свега  </w:t>
      </w:r>
      <w:r>
        <w:rPr>
          <w:rFonts w:ascii="Times New Roman" w:hAnsi="Times New Roman"/>
          <w:sz w:val="24"/>
          <w:szCs w:val="24"/>
        </w:rPr>
        <w:t xml:space="preserve">OEBS-a и Савета Европе, али и других међународних организација. </w:t>
      </w:r>
    </w:p>
    <w:p w:rsidR="00723F0A" w:rsidRDefault="00723F0A" w:rsidP="00F00ADE">
      <w:pPr>
        <w:ind w:firstLine="708"/>
        <w:jc w:val="both"/>
        <w:rPr>
          <w:rFonts w:ascii="Times New Roman" w:hAnsi="Times New Roman"/>
          <w:sz w:val="24"/>
          <w:szCs w:val="24"/>
          <w:lang w:val="sr-Cyrl-CS"/>
        </w:rPr>
      </w:pPr>
      <w:r>
        <w:rPr>
          <w:rFonts w:ascii="Times New Roman" w:hAnsi="Times New Roman"/>
          <w:sz w:val="24"/>
          <w:szCs w:val="24"/>
          <w:lang w:val="sr-Cyrl-CS"/>
        </w:rPr>
        <w:lastRenderedPageBreak/>
        <w:t xml:space="preserve">Према томе, строгост прописаних и одлуком суда изречених казни и других кривичних санкција не могу да се постигну значајнији резултати у правцу спречавања и сузбијања свих облика и видова противправног понашања. </w:t>
      </w:r>
      <w:r w:rsidR="0071010C">
        <w:rPr>
          <w:rFonts w:ascii="Times New Roman" w:hAnsi="Times New Roman"/>
          <w:sz w:val="24"/>
          <w:szCs w:val="24"/>
          <w:lang w:val="sr-Cyrl-CS"/>
        </w:rPr>
        <w:t>Поред репресије т</w:t>
      </w:r>
      <w:r>
        <w:rPr>
          <w:rFonts w:ascii="Times New Roman" w:hAnsi="Times New Roman"/>
          <w:sz w:val="24"/>
          <w:szCs w:val="24"/>
          <w:lang w:val="sr-Cyrl-CS"/>
        </w:rPr>
        <w:t>ом основном циљу треба свакако да допринесе и по</w:t>
      </w:r>
      <w:r w:rsidR="0071010C">
        <w:rPr>
          <w:rFonts w:ascii="Times New Roman" w:hAnsi="Times New Roman"/>
          <w:sz w:val="24"/>
          <w:szCs w:val="24"/>
          <w:lang w:val="sr-Cyrl-CS"/>
        </w:rPr>
        <w:t>већање опште пореске дисциплине</w:t>
      </w:r>
      <w:r>
        <w:rPr>
          <w:rFonts w:ascii="Times New Roman" w:hAnsi="Times New Roman"/>
          <w:sz w:val="24"/>
          <w:szCs w:val="24"/>
          <w:lang w:val="sr-Cyrl-CS"/>
        </w:rPr>
        <w:t xml:space="preserve"> </w:t>
      </w:r>
      <w:r w:rsidR="0071010C">
        <w:rPr>
          <w:rFonts w:ascii="Times New Roman" w:hAnsi="Times New Roman"/>
          <w:sz w:val="24"/>
          <w:szCs w:val="24"/>
          <w:lang w:val="sr-Cyrl-CS"/>
        </w:rPr>
        <w:t>код пореских обвезника, а</w:t>
      </w:r>
      <w:r>
        <w:rPr>
          <w:rFonts w:ascii="Times New Roman" w:hAnsi="Times New Roman"/>
          <w:sz w:val="24"/>
          <w:szCs w:val="24"/>
          <w:lang w:val="sr-Cyrl-CS"/>
        </w:rPr>
        <w:t xml:space="preserve"> органи друштвене заједнице  треба да широком лепезом општих и посебних превентивних мера дејствују у правцу предупређења оваквих понашања. </w:t>
      </w:r>
      <w:r w:rsidR="0071010C">
        <w:rPr>
          <w:rFonts w:ascii="Times New Roman" w:hAnsi="Times New Roman"/>
          <w:sz w:val="24"/>
          <w:szCs w:val="24"/>
          <w:lang w:val="sr-Cyrl-CS"/>
        </w:rPr>
        <w:t>Погодну основу</w:t>
      </w:r>
      <w:r>
        <w:rPr>
          <w:rFonts w:ascii="Times New Roman" w:hAnsi="Times New Roman"/>
          <w:sz w:val="24"/>
          <w:szCs w:val="24"/>
          <w:lang w:val="sr-Cyrl-CS"/>
        </w:rPr>
        <w:t xml:space="preserve"> </w:t>
      </w:r>
      <w:r w:rsidR="0071010C">
        <w:rPr>
          <w:rFonts w:ascii="Times New Roman" w:hAnsi="Times New Roman"/>
          <w:sz w:val="24"/>
          <w:szCs w:val="24"/>
          <w:lang w:val="sr-Cyrl-CS"/>
        </w:rPr>
        <w:t xml:space="preserve">за смањење кривичних дела ће обезбедити </w:t>
      </w:r>
      <w:r>
        <w:rPr>
          <w:rFonts w:ascii="Times New Roman" w:hAnsi="Times New Roman"/>
          <w:sz w:val="24"/>
          <w:szCs w:val="24"/>
          <w:lang w:val="sr-Cyrl-CS"/>
        </w:rPr>
        <w:t>и побољшање општих економско-социјалних услова у целом друштву, иако ће увек остати један мали број несавесних појединаца који ће и на овај начин покушати да стекну противправну имовинску корист за себе или другог, а на штету општих и заједничких интереса.</w:t>
      </w:r>
      <w:r>
        <w:rPr>
          <w:rStyle w:val="FootnoteReference"/>
          <w:rFonts w:ascii="Times New Roman" w:hAnsi="Times New Roman"/>
          <w:sz w:val="24"/>
          <w:szCs w:val="24"/>
          <w:lang w:val="sr-Cyrl-CS"/>
        </w:rPr>
        <w:footnoteReference w:id="751"/>
      </w:r>
      <w:r>
        <w:rPr>
          <w:rFonts w:ascii="Times New Roman" w:hAnsi="Times New Roman"/>
          <w:sz w:val="24"/>
          <w:szCs w:val="24"/>
          <w:lang w:val="sr-Cyrl-CS"/>
        </w:rPr>
        <w:t xml:space="preserve"> </w:t>
      </w:r>
    </w:p>
    <w:p w:rsidR="0094571F" w:rsidRDefault="00723F0A" w:rsidP="00B010B3">
      <w:pPr>
        <w:ind w:firstLine="708"/>
        <w:jc w:val="both"/>
        <w:rPr>
          <w:rFonts w:ascii="Times New Roman" w:hAnsi="Times New Roman"/>
          <w:sz w:val="24"/>
          <w:szCs w:val="24"/>
          <w:lang w:val="sr-Cyrl-CS"/>
        </w:rPr>
      </w:pPr>
      <w:r>
        <w:rPr>
          <w:rFonts w:ascii="Times New Roman" w:hAnsi="Times New Roman"/>
          <w:sz w:val="24"/>
          <w:szCs w:val="24"/>
          <w:lang w:val="sr-Cyrl-CS"/>
        </w:rPr>
        <w:t>При том, с</w:t>
      </w:r>
      <w:r w:rsidR="002F10BD">
        <w:rPr>
          <w:rFonts w:ascii="Times New Roman" w:hAnsi="Times New Roman"/>
          <w:sz w:val="24"/>
          <w:szCs w:val="24"/>
          <w:lang w:val="sr-Cyrl-CS"/>
        </w:rPr>
        <w:t xml:space="preserve">ваки порески систем мора </w:t>
      </w:r>
      <w:r>
        <w:rPr>
          <w:rFonts w:ascii="Times New Roman" w:hAnsi="Times New Roman"/>
          <w:sz w:val="24"/>
          <w:szCs w:val="24"/>
          <w:lang w:val="sr-Cyrl-CS"/>
        </w:rPr>
        <w:t>да се ослања</w:t>
      </w:r>
      <w:r w:rsidR="002F10BD">
        <w:rPr>
          <w:rFonts w:ascii="Times New Roman" w:hAnsi="Times New Roman"/>
          <w:sz w:val="24"/>
          <w:szCs w:val="24"/>
          <w:lang w:val="sr-Cyrl-CS"/>
        </w:rPr>
        <w:t xml:space="preserve"> на одређене принципе опорезивања, који треба да омогуће остваривање одређених циљева пореске политике. </w:t>
      </w:r>
      <w:r w:rsidR="0062081B">
        <w:rPr>
          <w:rFonts w:ascii="Times New Roman" w:hAnsi="Times New Roman"/>
          <w:sz w:val="24"/>
          <w:szCs w:val="24"/>
          <w:lang w:val="sr-Cyrl-CS"/>
        </w:rPr>
        <w:t>П</w:t>
      </w:r>
      <w:r w:rsidR="0094571F">
        <w:rPr>
          <w:rFonts w:ascii="Times New Roman" w:hAnsi="Times New Roman"/>
          <w:sz w:val="24"/>
          <w:szCs w:val="24"/>
          <w:lang w:val="sr-Cyrl-CS"/>
        </w:rPr>
        <w:t xml:space="preserve">орески систем </w:t>
      </w:r>
      <w:r w:rsidR="0062081B">
        <w:rPr>
          <w:rFonts w:ascii="Times New Roman" w:hAnsi="Times New Roman"/>
          <w:sz w:val="24"/>
          <w:szCs w:val="24"/>
          <w:lang w:val="sr-Cyrl-CS"/>
        </w:rPr>
        <w:t xml:space="preserve">који је </w:t>
      </w:r>
      <w:r w:rsidR="0094571F">
        <w:rPr>
          <w:rFonts w:ascii="Times New Roman" w:hAnsi="Times New Roman"/>
          <w:sz w:val="24"/>
          <w:szCs w:val="24"/>
          <w:lang w:val="sr-Cyrl-CS"/>
        </w:rPr>
        <w:t xml:space="preserve">обликован тако да омогућава да се у што већој мери остваре принципи опорезивања </w:t>
      </w:r>
      <w:r w:rsidR="0062081B">
        <w:rPr>
          <w:rFonts w:ascii="Times New Roman" w:hAnsi="Times New Roman"/>
          <w:sz w:val="24"/>
          <w:szCs w:val="24"/>
          <w:lang w:val="sr-Cyrl-CS"/>
        </w:rPr>
        <w:t>допринеће смањењу услова</w:t>
      </w:r>
      <w:r w:rsidR="0094571F">
        <w:rPr>
          <w:rFonts w:ascii="Times New Roman" w:hAnsi="Times New Roman"/>
          <w:sz w:val="24"/>
          <w:szCs w:val="24"/>
          <w:lang w:val="sr-Cyrl-CS"/>
        </w:rPr>
        <w:t xml:space="preserve"> који погодују евазији пореза. </w:t>
      </w:r>
      <w:r w:rsidR="009F1721">
        <w:rPr>
          <w:rFonts w:ascii="Times New Roman" w:hAnsi="Times New Roman"/>
          <w:sz w:val="24"/>
          <w:szCs w:val="24"/>
          <w:lang w:val="sr-Cyrl-CS"/>
        </w:rPr>
        <w:t>Адам С</w:t>
      </w:r>
      <w:r w:rsidR="0094571F">
        <w:rPr>
          <w:rFonts w:ascii="Times New Roman" w:hAnsi="Times New Roman"/>
          <w:sz w:val="24"/>
          <w:szCs w:val="24"/>
          <w:lang w:val="sr-Cyrl-CS"/>
        </w:rPr>
        <w:t xml:space="preserve">мит </w:t>
      </w:r>
      <w:r w:rsidR="0062081B">
        <w:rPr>
          <w:rFonts w:ascii="Times New Roman" w:hAnsi="Times New Roman"/>
          <w:sz w:val="24"/>
          <w:szCs w:val="24"/>
          <w:lang w:val="sr-Cyrl-CS"/>
        </w:rPr>
        <w:t xml:space="preserve">је још </w:t>
      </w:r>
      <w:r w:rsidR="0094571F">
        <w:rPr>
          <w:rFonts w:ascii="Times New Roman" w:hAnsi="Times New Roman"/>
          <w:sz w:val="24"/>
          <w:szCs w:val="24"/>
          <w:lang w:val="sr-Cyrl-CS"/>
        </w:rPr>
        <w:t xml:space="preserve">1776. године </w:t>
      </w:r>
      <w:r w:rsidR="0062081B">
        <w:rPr>
          <w:rFonts w:ascii="Times New Roman" w:hAnsi="Times New Roman"/>
          <w:sz w:val="24"/>
          <w:szCs w:val="24"/>
          <w:lang w:val="sr-Cyrl-CS"/>
        </w:rPr>
        <w:t xml:space="preserve">формулисао основне принципе или начела опорезивања. </w:t>
      </w:r>
      <w:r w:rsidR="0094571F">
        <w:rPr>
          <w:rFonts w:ascii="Times New Roman" w:hAnsi="Times New Roman"/>
          <w:sz w:val="24"/>
          <w:szCs w:val="24"/>
          <w:lang w:val="sr-Cyrl-CS"/>
        </w:rPr>
        <w:t xml:space="preserve">То су начело општости које </w:t>
      </w:r>
      <w:r w:rsidR="0062081B">
        <w:rPr>
          <w:rFonts w:ascii="Times New Roman" w:hAnsi="Times New Roman"/>
          <w:sz w:val="24"/>
          <w:szCs w:val="24"/>
          <w:lang w:val="sr-Cyrl-CS"/>
        </w:rPr>
        <w:t>значи</w:t>
      </w:r>
      <w:r w:rsidR="0094571F">
        <w:rPr>
          <w:rFonts w:ascii="Times New Roman" w:hAnsi="Times New Roman"/>
          <w:sz w:val="24"/>
          <w:szCs w:val="24"/>
          <w:lang w:val="sr-Cyrl-CS"/>
        </w:rPr>
        <w:t xml:space="preserve"> да сви грађани једне државе треба да плаћају порез за издржавање државне управе </w:t>
      </w:r>
      <w:r w:rsidR="009811F1">
        <w:rPr>
          <w:rFonts w:ascii="Times New Roman" w:hAnsi="Times New Roman"/>
          <w:sz w:val="24"/>
          <w:szCs w:val="24"/>
          <w:lang w:val="sr-Cyrl-CS"/>
        </w:rPr>
        <w:t xml:space="preserve">и то сразмерно свом дохотку који они уживају захваљујући њеној заштити. Принцип одређености </w:t>
      </w:r>
      <w:r w:rsidR="0062081B">
        <w:rPr>
          <w:rFonts w:ascii="Times New Roman" w:hAnsi="Times New Roman"/>
          <w:sz w:val="24"/>
          <w:szCs w:val="24"/>
          <w:lang w:val="sr-Cyrl-CS"/>
        </w:rPr>
        <w:t>се односи на то</w:t>
      </w:r>
      <w:r w:rsidR="009811F1">
        <w:rPr>
          <w:rFonts w:ascii="Times New Roman" w:hAnsi="Times New Roman"/>
          <w:sz w:val="24"/>
          <w:szCs w:val="24"/>
          <w:lang w:val="sr-Cyrl-CS"/>
        </w:rPr>
        <w:t xml:space="preserve"> да порез сваког грађанина треба да буде одређен. Принцип угодности </w:t>
      </w:r>
      <w:r w:rsidR="0062081B">
        <w:rPr>
          <w:rFonts w:ascii="Times New Roman" w:hAnsi="Times New Roman"/>
          <w:sz w:val="24"/>
          <w:szCs w:val="24"/>
          <w:lang w:val="sr-Cyrl-CS"/>
        </w:rPr>
        <w:t>подразумева</w:t>
      </w:r>
      <w:r w:rsidR="009811F1">
        <w:rPr>
          <w:rFonts w:ascii="Times New Roman" w:hAnsi="Times New Roman"/>
          <w:sz w:val="24"/>
          <w:szCs w:val="24"/>
          <w:lang w:val="sr-Cyrl-CS"/>
        </w:rPr>
        <w:t xml:space="preserve"> да сваки порески обвезник треба да буде опорезован на начин и у време које ће му најбоље одговарати</w:t>
      </w:r>
      <w:r w:rsidR="0062081B">
        <w:rPr>
          <w:rFonts w:ascii="Times New Roman" w:hAnsi="Times New Roman"/>
          <w:sz w:val="24"/>
          <w:szCs w:val="24"/>
          <w:lang w:val="sr-Cyrl-CS"/>
        </w:rPr>
        <w:t>.  П</w:t>
      </w:r>
      <w:r w:rsidR="009811F1">
        <w:rPr>
          <w:rFonts w:ascii="Times New Roman" w:hAnsi="Times New Roman"/>
          <w:sz w:val="24"/>
          <w:szCs w:val="24"/>
          <w:lang w:val="sr-Cyrl-CS"/>
        </w:rPr>
        <w:t xml:space="preserve">ринцип економичности наплате пореза </w:t>
      </w:r>
      <w:r w:rsidR="0062081B">
        <w:rPr>
          <w:rFonts w:ascii="Times New Roman" w:hAnsi="Times New Roman"/>
          <w:sz w:val="24"/>
          <w:szCs w:val="24"/>
          <w:lang w:val="sr-Cyrl-CS"/>
        </w:rPr>
        <w:t>подразумева</w:t>
      </w:r>
      <w:r w:rsidR="009811F1">
        <w:rPr>
          <w:rFonts w:ascii="Times New Roman" w:hAnsi="Times New Roman"/>
          <w:sz w:val="24"/>
          <w:szCs w:val="24"/>
          <w:lang w:val="sr-Cyrl-CS"/>
        </w:rPr>
        <w:t xml:space="preserve"> да сваки порез треба да буде организован на такав начин да из џепа народа узима што је могуће мање изнад оне суме која је потребна државној благајни.</w:t>
      </w:r>
      <w:r w:rsidR="009811F1">
        <w:rPr>
          <w:rStyle w:val="FootnoteReference"/>
          <w:rFonts w:ascii="Times New Roman" w:hAnsi="Times New Roman"/>
          <w:sz w:val="24"/>
          <w:szCs w:val="24"/>
          <w:lang w:val="sr-Cyrl-CS"/>
        </w:rPr>
        <w:footnoteReference w:id="752"/>
      </w:r>
      <w:r w:rsidR="009811F1">
        <w:rPr>
          <w:rFonts w:ascii="Times New Roman" w:hAnsi="Times New Roman"/>
          <w:sz w:val="24"/>
          <w:szCs w:val="24"/>
          <w:lang w:val="sr-Cyrl-CS"/>
        </w:rPr>
        <w:t xml:space="preserve"> </w:t>
      </w:r>
    </w:p>
    <w:p w:rsidR="002641B8" w:rsidRDefault="002641B8" w:rsidP="00B010B3">
      <w:pPr>
        <w:ind w:firstLine="708"/>
        <w:jc w:val="both"/>
        <w:rPr>
          <w:rFonts w:ascii="Times New Roman" w:hAnsi="Times New Roman"/>
          <w:sz w:val="24"/>
          <w:szCs w:val="24"/>
          <w:lang w:val="sr-Cyrl-CS"/>
        </w:rPr>
      </w:pPr>
      <w:r>
        <w:rPr>
          <w:rFonts w:ascii="Times New Roman" w:hAnsi="Times New Roman"/>
          <w:sz w:val="24"/>
          <w:szCs w:val="24"/>
          <w:lang w:val="sr-Cyrl-CS"/>
        </w:rPr>
        <w:t>Превентивне мере су различите и најчешће се разврставају на законске, инс</w:t>
      </w:r>
      <w:r w:rsidR="009F1721">
        <w:rPr>
          <w:rFonts w:ascii="Times New Roman" w:hAnsi="Times New Roman"/>
          <w:sz w:val="24"/>
          <w:szCs w:val="24"/>
          <w:lang w:val="sr-Cyrl-CS"/>
        </w:rPr>
        <w:t>т</w:t>
      </w:r>
      <w:r>
        <w:rPr>
          <w:rFonts w:ascii="Times New Roman" w:hAnsi="Times New Roman"/>
          <w:sz w:val="24"/>
          <w:szCs w:val="24"/>
          <w:lang w:val="sr-Cyrl-CS"/>
        </w:rPr>
        <w:t xml:space="preserve">итуционалне, социо-економске, мере пропаганде и политичке. </w:t>
      </w:r>
      <w:r w:rsidR="0037342B">
        <w:rPr>
          <w:rFonts w:ascii="Times New Roman" w:hAnsi="Times New Roman"/>
          <w:sz w:val="24"/>
          <w:szCs w:val="24"/>
          <w:lang w:val="sr-Cyrl-CS"/>
        </w:rPr>
        <w:t>За успешну борбу против ових негативних појава потребно је њихово међусобно деловање.</w:t>
      </w:r>
    </w:p>
    <w:p w:rsidR="00A421C0" w:rsidRPr="00C70BF4" w:rsidRDefault="00A421C0" w:rsidP="00B010B3">
      <w:pPr>
        <w:ind w:firstLine="708"/>
        <w:jc w:val="both"/>
        <w:rPr>
          <w:rFonts w:ascii="Times New Roman" w:hAnsi="Times New Roman"/>
          <w:sz w:val="24"/>
          <w:szCs w:val="24"/>
          <w:lang w:val="sr-Cyrl-CS"/>
        </w:rPr>
      </w:pPr>
    </w:p>
    <w:p w:rsidR="00D56003" w:rsidRPr="001C7B5A" w:rsidRDefault="001C7B5A" w:rsidP="008A3795">
      <w:pPr>
        <w:pStyle w:val="ListParagraph"/>
        <w:numPr>
          <w:ilvl w:val="1"/>
          <w:numId w:val="59"/>
        </w:numPr>
        <w:jc w:val="center"/>
        <w:rPr>
          <w:rFonts w:ascii="Times New Roman" w:hAnsi="Times New Roman"/>
          <w:b/>
          <w:sz w:val="24"/>
          <w:szCs w:val="24"/>
          <w:lang w:val="sr-Cyrl-CS"/>
        </w:rPr>
      </w:pPr>
      <w:r>
        <w:rPr>
          <w:rFonts w:ascii="Times New Roman" w:hAnsi="Times New Roman"/>
          <w:b/>
          <w:sz w:val="24"/>
          <w:szCs w:val="24"/>
        </w:rPr>
        <w:t xml:space="preserve"> </w:t>
      </w:r>
      <w:r w:rsidR="00A421C0" w:rsidRPr="001C7B5A">
        <w:rPr>
          <w:rFonts w:ascii="Times New Roman" w:hAnsi="Times New Roman"/>
          <w:b/>
          <w:sz w:val="24"/>
          <w:szCs w:val="24"/>
          <w:lang w:val="sr-Cyrl-CS"/>
        </w:rPr>
        <w:t>Законске мере</w:t>
      </w:r>
    </w:p>
    <w:p w:rsidR="00A421C0" w:rsidRPr="00A421C0" w:rsidRDefault="00A421C0" w:rsidP="00A421C0">
      <w:pPr>
        <w:ind w:firstLine="708"/>
        <w:jc w:val="center"/>
        <w:rPr>
          <w:rFonts w:ascii="Times New Roman" w:hAnsi="Times New Roman"/>
          <w:b/>
          <w:sz w:val="24"/>
          <w:szCs w:val="24"/>
          <w:lang w:val="sr-Cyrl-CS"/>
        </w:rPr>
      </w:pPr>
    </w:p>
    <w:p w:rsidR="00AC0B01" w:rsidRDefault="0071010C" w:rsidP="0071010C">
      <w:pPr>
        <w:ind w:firstLine="708"/>
        <w:jc w:val="both"/>
        <w:rPr>
          <w:rFonts w:ascii="Times New Roman" w:hAnsi="Times New Roman"/>
          <w:sz w:val="24"/>
          <w:szCs w:val="24"/>
          <w:lang w:val="sr-Cyrl-CS"/>
        </w:rPr>
      </w:pPr>
      <w:r>
        <w:rPr>
          <w:rFonts w:ascii="Times New Roman" w:hAnsi="Times New Roman"/>
          <w:sz w:val="24"/>
          <w:szCs w:val="24"/>
          <w:lang w:val="sr-Cyrl-CS"/>
        </w:rPr>
        <w:t>З</w:t>
      </w:r>
      <w:r w:rsidR="00011015">
        <w:rPr>
          <w:rFonts w:ascii="Times New Roman" w:hAnsi="Times New Roman"/>
          <w:sz w:val="24"/>
          <w:szCs w:val="24"/>
          <w:lang w:val="sr-Cyrl-CS"/>
        </w:rPr>
        <w:t xml:space="preserve">аконодавна власт доноси </w:t>
      </w:r>
      <w:r>
        <w:rPr>
          <w:rFonts w:ascii="Times New Roman" w:hAnsi="Times New Roman"/>
          <w:sz w:val="24"/>
          <w:szCs w:val="24"/>
          <w:lang w:val="sr-Cyrl-CS"/>
        </w:rPr>
        <w:t>пореске законе</w:t>
      </w:r>
      <w:r w:rsidR="00011015">
        <w:rPr>
          <w:rFonts w:ascii="Times New Roman" w:hAnsi="Times New Roman"/>
          <w:sz w:val="24"/>
          <w:szCs w:val="24"/>
          <w:lang w:val="sr-Cyrl-CS"/>
        </w:rPr>
        <w:t xml:space="preserve"> у којима се даје опис пореског чињеничног стања</w:t>
      </w:r>
      <w:r>
        <w:rPr>
          <w:rFonts w:ascii="Times New Roman" w:hAnsi="Times New Roman"/>
          <w:sz w:val="24"/>
          <w:szCs w:val="24"/>
          <w:lang w:val="sr-Cyrl-CS"/>
        </w:rPr>
        <w:t xml:space="preserve"> и на тај начин се држава служи својим правом на опорезивање</w:t>
      </w:r>
      <w:r w:rsidR="0062081B">
        <w:rPr>
          <w:rFonts w:ascii="Times New Roman" w:hAnsi="Times New Roman"/>
          <w:sz w:val="24"/>
          <w:szCs w:val="24"/>
          <w:lang w:val="sr-Cyrl-CS"/>
        </w:rPr>
        <w:t>.</w:t>
      </w:r>
      <w:r>
        <w:rPr>
          <w:rFonts w:ascii="Times New Roman" w:hAnsi="Times New Roman"/>
          <w:sz w:val="24"/>
          <w:szCs w:val="24"/>
          <w:lang w:val="sr-Cyrl-CS"/>
        </w:rPr>
        <w:t xml:space="preserve"> </w:t>
      </w:r>
      <w:r w:rsidR="0062081B">
        <w:rPr>
          <w:rFonts w:ascii="Times New Roman" w:hAnsi="Times New Roman"/>
          <w:sz w:val="24"/>
          <w:szCs w:val="24"/>
          <w:lang w:val="sr-Cyrl-CS"/>
        </w:rPr>
        <w:t>„</w:t>
      </w:r>
      <w:r w:rsidR="00011015">
        <w:rPr>
          <w:rFonts w:ascii="Times New Roman" w:hAnsi="Times New Roman"/>
          <w:sz w:val="24"/>
          <w:szCs w:val="24"/>
          <w:lang w:val="sr-Cyrl-CS"/>
        </w:rPr>
        <w:t>Када се законски опис пореског чињеничног стања оствари на конкретан начин у односу на неко лице ко</w:t>
      </w:r>
      <w:r w:rsidR="00A421C0">
        <w:rPr>
          <w:rFonts w:ascii="Times New Roman" w:hAnsi="Times New Roman"/>
          <w:sz w:val="24"/>
          <w:szCs w:val="24"/>
          <w:lang w:val="sr-Cyrl-CS"/>
        </w:rPr>
        <w:t>је се налази под пореском влашћу</w:t>
      </w:r>
      <w:r w:rsidR="00011015">
        <w:rPr>
          <w:rFonts w:ascii="Times New Roman" w:hAnsi="Times New Roman"/>
          <w:sz w:val="24"/>
          <w:szCs w:val="24"/>
          <w:lang w:val="sr-Cyrl-CS"/>
        </w:rPr>
        <w:t xml:space="preserve"> државе, она предузима активности преко своје управне власти да се ефикасно изврши пор</w:t>
      </w:r>
      <w:r w:rsidR="009F1721">
        <w:rPr>
          <w:rFonts w:ascii="Times New Roman" w:hAnsi="Times New Roman"/>
          <w:sz w:val="24"/>
          <w:szCs w:val="24"/>
          <w:lang w:val="sr-Cyrl-CS"/>
        </w:rPr>
        <w:t>е</w:t>
      </w:r>
      <w:r w:rsidR="00011015">
        <w:rPr>
          <w:rFonts w:ascii="Times New Roman" w:hAnsi="Times New Roman"/>
          <w:sz w:val="24"/>
          <w:szCs w:val="24"/>
          <w:lang w:val="sr-Cyrl-CS"/>
        </w:rPr>
        <w:t>ски захтев.</w:t>
      </w:r>
      <w:r>
        <w:rPr>
          <w:rFonts w:ascii="Times New Roman" w:hAnsi="Times New Roman"/>
          <w:sz w:val="24"/>
          <w:szCs w:val="24"/>
          <w:lang w:val="sr-Cyrl-CS"/>
        </w:rPr>
        <w:t>“</w:t>
      </w:r>
      <w:r w:rsidR="00011015">
        <w:rPr>
          <w:rStyle w:val="FootnoteReference"/>
          <w:rFonts w:ascii="Times New Roman" w:hAnsi="Times New Roman"/>
          <w:sz w:val="24"/>
          <w:szCs w:val="24"/>
          <w:lang w:val="sr-Cyrl-CS"/>
        </w:rPr>
        <w:footnoteReference w:id="753"/>
      </w:r>
      <w:r w:rsidRPr="0071010C">
        <w:rPr>
          <w:rFonts w:ascii="Times New Roman" w:hAnsi="Times New Roman"/>
          <w:sz w:val="24"/>
          <w:szCs w:val="24"/>
          <w:lang w:val="sr-Cyrl-CS"/>
        </w:rPr>
        <w:t xml:space="preserve"> </w:t>
      </w:r>
      <w:r>
        <w:rPr>
          <w:rFonts w:ascii="Times New Roman" w:hAnsi="Times New Roman"/>
          <w:sz w:val="24"/>
          <w:szCs w:val="24"/>
          <w:lang w:val="sr-Cyrl-CS"/>
        </w:rPr>
        <w:t xml:space="preserve">Пореска обавеза је, према томе, апстрактна све до утврђивања пореске обавезе у самом </w:t>
      </w:r>
      <w:r>
        <w:rPr>
          <w:rFonts w:ascii="Times New Roman" w:hAnsi="Times New Roman"/>
          <w:sz w:val="24"/>
          <w:szCs w:val="24"/>
          <w:lang w:val="sr-Cyrl-CS"/>
        </w:rPr>
        <w:lastRenderedPageBreak/>
        <w:t xml:space="preserve">закону, чиме се конкретизује. Због тога је неопходно да сваки сегмент законског описа пореског чињеничног стања буде јасно уређен.  </w:t>
      </w:r>
      <w:r w:rsidR="00011015">
        <w:rPr>
          <w:rFonts w:ascii="Times New Roman" w:hAnsi="Times New Roman"/>
          <w:sz w:val="24"/>
          <w:szCs w:val="24"/>
          <w:lang w:val="sr-Cyrl-CS"/>
        </w:rPr>
        <w:t xml:space="preserve"> </w:t>
      </w:r>
      <w:r>
        <w:rPr>
          <w:rFonts w:ascii="Times New Roman" w:hAnsi="Times New Roman"/>
          <w:sz w:val="24"/>
          <w:szCs w:val="24"/>
          <w:lang w:val="sr-Cyrl-CS"/>
        </w:rPr>
        <w:t xml:space="preserve"> </w:t>
      </w:r>
    </w:p>
    <w:p w:rsidR="00011015" w:rsidRDefault="00011015" w:rsidP="00011015">
      <w:pPr>
        <w:ind w:firstLine="708"/>
        <w:jc w:val="both"/>
        <w:rPr>
          <w:rFonts w:ascii="Times New Roman" w:hAnsi="Times New Roman"/>
          <w:sz w:val="24"/>
          <w:szCs w:val="24"/>
          <w:lang w:val="sr-Cyrl-CS"/>
        </w:rPr>
      </w:pPr>
      <w:r>
        <w:rPr>
          <w:rFonts w:ascii="Times New Roman" w:hAnsi="Times New Roman"/>
          <w:sz w:val="24"/>
          <w:szCs w:val="24"/>
          <w:lang w:val="sr-Cyrl-CS"/>
        </w:rPr>
        <w:t xml:space="preserve">Једноставност пореских решења </w:t>
      </w:r>
      <w:r w:rsidR="00BB77F8">
        <w:rPr>
          <w:rFonts w:ascii="Times New Roman" w:hAnsi="Times New Roman"/>
          <w:sz w:val="24"/>
          <w:szCs w:val="24"/>
          <w:lang w:val="sr-Cyrl-CS"/>
        </w:rPr>
        <w:t xml:space="preserve">је од великог значаја јер то </w:t>
      </w:r>
      <w:r>
        <w:rPr>
          <w:rFonts w:ascii="Times New Roman" w:hAnsi="Times New Roman"/>
          <w:sz w:val="24"/>
          <w:szCs w:val="24"/>
          <w:lang w:val="sr-Cyrl-CS"/>
        </w:rPr>
        <w:t xml:space="preserve">у великој мери доприноси квалитету и бољем прихватању пореских прописа од стране пореских обвезника. </w:t>
      </w:r>
      <w:r w:rsidR="00BB77F8">
        <w:rPr>
          <w:rFonts w:ascii="Times New Roman" w:hAnsi="Times New Roman"/>
          <w:sz w:val="24"/>
          <w:szCs w:val="24"/>
          <w:lang w:val="sr-Cyrl-CS"/>
        </w:rPr>
        <w:t>„</w:t>
      </w:r>
      <w:r>
        <w:rPr>
          <w:rFonts w:ascii="Times New Roman" w:hAnsi="Times New Roman"/>
          <w:sz w:val="24"/>
          <w:szCs w:val="24"/>
          <w:lang w:val="sr-Cyrl-CS"/>
        </w:rPr>
        <w:t>У литератури се истиче да мере предузете са циљем поједностављења опорезивања утичу на (а) смањење тр</w:t>
      </w:r>
      <w:r w:rsidR="009F1721">
        <w:rPr>
          <w:rFonts w:ascii="Times New Roman" w:hAnsi="Times New Roman"/>
          <w:sz w:val="24"/>
          <w:szCs w:val="24"/>
          <w:lang w:val="sr-Cyrl-CS"/>
        </w:rPr>
        <w:t>о</w:t>
      </w:r>
      <w:r>
        <w:rPr>
          <w:rFonts w:ascii="Times New Roman" w:hAnsi="Times New Roman"/>
          <w:sz w:val="24"/>
          <w:szCs w:val="24"/>
          <w:lang w:val="sr-Cyrl-CS"/>
        </w:rPr>
        <w:t>шкова разреза и наплате пореза и контролу њиховог убирања; (б) смањење пореског оптерећења као последица повећања нето ефекта опорезивања; (в) повећање прегледности система опорезивања; (г) смањење пореских стопа; (д) лакше сналажење пореских обвезника  у пореској материји.</w:t>
      </w:r>
      <w:r w:rsidR="00BB77F8">
        <w:rPr>
          <w:rFonts w:ascii="Times New Roman" w:hAnsi="Times New Roman"/>
          <w:sz w:val="24"/>
          <w:szCs w:val="24"/>
          <w:lang w:val="sr-Cyrl-CS"/>
        </w:rPr>
        <w:t>“</w:t>
      </w:r>
      <w:r>
        <w:rPr>
          <w:rStyle w:val="FootnoteReference"/>
          <w:rFonts w:ascii="Times New Roman" w:hAnsi="Times New Roman"/>
          <w:sz w:val="24"/>
          <w:szCs w:val="24"/>
          <w:lang w:val="sr-Cyrl-CS"/>
        </w:rPr>
        <w:footnoteReference w:id="754"/>
      </w:r>
    </w:p>
    <w:p w:rsidR="00011015" w:rsidRDefault="00011015" w:rsidP="00011015">
      <w:pPr>
        <w:ind w:firstLine="708"/>
        <w:jc w:val="both"/>
        <w:rPr>
          <w:rFonts w:ascii="Times New Roman" w:hAnsi="Times New Roman"/>
          <w:sz w:val="24"/>
          <w:szCs w:val="24"/>
          <w:lang w:val="sr-Cyrl-CS"/>
        </w:rPr>
      </w:pPr>
      <w:r>
        <w:rPr>
          <w:rFonts w:ascii="Times New Roman" w:hAnsi="Times New Roman"/>
          <w:sz w:val="24"/>
          <w:szCs w:val="24"/>
          <w:lang w:val="sr-Cyrl-CS"/>
        </w:rPr>
        <w:t xml:space="preserve">Сложеност пореских облика, честе измене и нејасни порески прописи доприносе успешнијем проналажењу начина за пореску евазију. Такође бројни како законски тако и подзаконски акти </w:t>
      </w:r>
      <w:r w:rsidR="0076594A">
        <w:rPr>
          <w:rFonts w:ascii="Times New Roman" w:hAnsi="Times New Roman"/>
          <w:sz w:val="24"/>
          <w:szCs w:val="24"/>
          <w:lang w:val="sr-Cyrl-CS"/>
        </w:rPr>
        <w:t xml:space="preserve">којима се регулише привредна активност </w:t>
      </w:r>
      <w:r>
        <w:rPr>
          <w:rFonts w:ascii="Times New Roman" w:hAnsi="Times New Roman"/>
          <w:sz w:val="24"/>
          <w:szCs w:val="24"/>
          <w:lang w:val="sr-Cyrl-CS"/>
        </w:rPr>
        <w:t xml:space="preserve">погодују овој појави. </w:t>
      </w:r>
      <w:r w:rsidR="0076594A">
        <w:rPr>
          <w:rFonts w:ascii="Times New Roman" w:hAnsi="Times New Roman"/>
          <w:sz w:val="24"/>
          <w:szCs w:val="24"/>
          <w:lang w:val="sr-Cyrl-CS"/>
        </w:rPr>
        <w:t xml:space="preserve">Једно законско решење готово да није заживело, а већ је на снази ново. </w:t>
      </w:r>
      <w:r w:rsidR="00A421C0">
        <w:rPr>
          <w:rFonts w:ascii="Times New Roman" w:hAnsi="Times New Roman"/>
          <w:sz w:val="24"/>
          <w:szCs w:val="24"/>
          <w:lang w:val="sr-Cyrl-CS"/>
        </w:rPr>
        <w:t>Мимо тога, з</w:t>
      </w:r>
      <w:r w:rsidR="00615695">
        <w:rPr>
          <w:rFonts w:ascii="Times New Roman" w:hAnsi="Times New Roman"/>
          <w:sz w:val="24"/>
          <w:szCs w:val="24"/>
          <w:lang w:val="sr-Cyrl-CS"/>
        </w:rPr>
        <w:t>аконска решења мора</w:t>
      </w:r>
      <w:r w:rsidR="00A421C0">
        <w:rPr>
          <w:rFonts w:ascii="Times New Roman" w:hAnsi="Times New Roman"/>
          <w:sz w:val="24"/>
          <w:szCs w:val="24"/>
          <w:lang w:val="sr-Cyrl-CS"/>
        </w:rPr>
        <w:t>ју</w:t>
      </w:r>
      <w:r w:rsidR="00615695">
        <w:rPr>
          <w:rFonts w:ascii="Times New Roman" w:hAnsi="Times New Roman"/>
          <w:sz w:val="24"/>
          <w:szCs w:val="24"/>
          <w:lang w:val="sr-Cyrl-CS"/>
        </w:rPr>
        <w:t xml:space="preserve"> да буде прилагођена условима конкретне привреде, као и економској снази пореских обвезника. Посебно је значајно јасно регулисање у области рачуноводства и поједностављење метода утврђивања пореске обавезе, као и начина вођења књиговодствене документације.  </w:t>
      </w:r>
    </w:p>
    <w:p w:rsidR="00840288" w:rsidRDefault="00840288" w:rsidP="00A421C0">
      <w:pPr>
        <w:ind w:firstLine="708"/>
        <w:jc w:val="both"/>
        <w:rPr>
          <w:rFonts w:ascii="Times New Roman" w:hAnsi="Times New Roman"/>
          <w:sz w:val="24"/>
          <w:szCs w:val="24"/>
          <w:lang w:val="sr-Cyrl-CS"/>
        </w:rPr>
      </w:pPr>
      <w:r>
        <w:rPr>
          <w:rFonts w:ascii="Times New Roman" w:hAnsi="Times New Roman"/>
          <w:sz w:val="24"/>
          <w:szCs w:val="24"/>
          <w:lang w:val="sr-Cyrl-CS"/>
        </w:rPr>
        <w:t>Ефикаснија контрола с</w:t>
      </w:r>
      <w:r w:rsidR="00C70BF4">
        <w:rPr>
          <w:rFonts w:ascii="Times New Roman" w:hAnsi="Times New Roman"/>
          <w:sz w:val="24"/>
          <w:szCs w:val="24"/>
          <w:lang w:val="sr-Cyrl-CS"/>
        </w:rPr>
        <w:t xml:space="preserve">е </w:t>
      </w:r>
      <w:r w:rsidR="00385A25">
        <w:rPr>
          <w:rFonts w:ascii="Times New Roman" w:hAnsi="Times New Roman"/>
          <w:sz w:val="24"/>
          <w:szCs w:val="24"/>
          <w:lang w:val="sr-Cyrl-CS"/>
        </w:rPr>
        <w:t>постиже</w:t>
      </w:r>
      <w:r w:rsidR="00C70BF4">
        <w:rPr>
          <w:rFonts w:ascii="Times New Roman" w:hAnsi="Times New Roman"/>
          <w:sz w:val="24"/>
          <w:szCs w:val="24"/>
          <w:lang w:val="sr-Cyrl-CS"/>
        </w:rPr>
        <w:t xml:space="preserve"> уколико се наметну различите обавезе </w:t>
      </w:r>
      <w:r>
        <w:rPr>
          <w:rFonts w:ascii="Times New Roman" w:hAnsi="Times New Roman"/>
          <w:sz w:val="24"/>
          <w:szCs w:val="24"/>
          <w:lang w:val="sr-Cyrl-CS"/>
        </w:rPr>
        <w:t xml:space="preserve"> пореским обвезницима </w:t>
      </w:r>
      <w:r w:rsidR="00C70BF4">
        <w:rPr>
          <w:rFonts w:ascii="Times New Roman" w:hAnsi="Times New Roman"/>
          <w:sz w:val="24"/>
          <w:szCs w:val="24"/>
          <w:lang w:val="sr-Cyrl-CS"/>
        </w:rPr>
        <w:t xml:space="preserve">попут тога да воде пословне књиге, </w:t>
      </w:r>
      <w:r>
        <w:rPr>
          <w:rFonts w:ascii="Times New Roman" w:hAnsi="Times New Roman"/>
          <w:sz w:val="24"/>
          <w:szCs w:val="24"/>
          <w:lang w:val="sr-Cyrl-CS"/>
        </w:rPr>
        <w:t>да с</w:t>
      </w:r>
      <w:r w:rsidR="00C70BF4">
        <w:rPr>
          <w:rFonts w:ascii="Times New Roman" w:hAnsi="Times New Roman"/>
          <w:sz w:val="24"/>
          <w:szCs w:val="24"/>
          <w:lang w:val="sr-Cyrl-CS"/>
        </w:rPr>
        <w:t xml:space="preserve">ва плаћања обављају преко банке, </w:t>
      </w:r>
      <w:r w:rsidR="00385A25">
        <w:rPr>
          <w:rFonts w:ascii="Times New Roman" w:hAnsi="Times New Roman"/>
          <w:sz w:val="24"/>
          <w:szCs w:val="24"/>
          <w:lang w:val="sr-Cyrl-CS"/>
        </w:rPr>
        <w:t>обавеза издавања рачуна итд</w:t>
      </w:r>
      <w:r w:rsidR="00C70BF4">
        <w:rPr>
          <w:rFonts w:ascii="Times New Roman" w:hAnsi="Times New Roman"/>
          <w:sz w:val="24"/>
          <w:szCs w:val="24"/>
          <w:lang w:val="sr-Cyrl-CS"/>
        </w:rPr>
        <w:t>.</w:t>
      </w:r>
      <w:r w:rsidR="00385A25">
        <w:rPr>
          <w:rFonts w:ascii="Times New Roman" w:hAnsi="Times New Roman"/>
          <w:sz w:val="24"/>
          <w:szCs w:val="24"/>
          <w:lang w:val="sr-Cyrl-CS"/>
        </w:rPr>
        <w:t xml:space="preserve"> Оваквим и сличним мерама, као и увођењем фискалних каса предузети су значајни кораци у борби против пореске евазије, али и пр</w:t>
      </w:r>
      <w:r w:rsidR="00A421C0">
        <w:rPr>
          <w:rFonts w:ascii="Times New Roman" w:hAnsi="Times New Roman"/>
          <w:sz w:val="24"/>
          <w:szCs w:val="24"/>
          <w:lang w:val="sr-Cyrl-CS"/>
        </w:rPr>
        <w:t>ивредног криминала и корупције. Поред стварања</w:t>
      </w:r>
      <w:r w:rsidR="00615695">
        <w:rPr>
          <w:rFonts w:ascii="Times New Roman" w:hAnsi="Times New Roman"/>
          <w:sz w:val="24"/>
          <w:szCs w:val="24"/>
          <w:lang w:val="sr-Cyrl-CS"/>
        </w:rPr>
        <w:t xml:space="preserve"> јасне законске</w:t>
      </w:r>
      <w:r w:rsidR="009F1721">
        <w:rPr>
          <w:rFonts w:ascii="Times New Roman" w:hAnsi="Times New Roman"/>
          <w:sz w:val="24"/>
          <w:szCs w:val="24"/>
          <w:lang w:val="sr-Cyrl-CS"/>
        </w:rPr>
        <w:t xml:space="preserve"> регулативе и прописивањ</w:t>
      </w:r>
      <w:r w:rsidR="00A421C0">
        <w:rPr>
          <w:rFonts w:ascii="Times New Roman" w:hAnsi="Times New Roman"/>
          <w:sz w:val="24"/>
          <w:szCs w:val="24"/>
          <w:lang w:val="sr-Cyrl-CS"/>
        </w:rPr>
        <w:t>е строжијих санкција</w:t>
      </w:r>
      <w:r w:rsidR="00615695">
        <w:rPr>
          <w:rFonts w:ascii="Times New Roman" w:hAnsi="Times New Roman"/>
          <w:sz w:val="24"/>
          <w:szCs w:val="24"/>
          <w:lang w:val="sr-Cyrl-CS"/>
        </w:rPr>
        <w:t xml:space="preserve"> ће д</w:t>
      </w:r>
      <w:r w:rsidR="00A421C0">
        <w:rPr>
          <w:rFonts w:ascii="Times New Roman" w:hAnsi="Times New Roman"/>
          <w:sz w:val="24"/>
          <w:szCs w:val="24"/>
          <w:lang w:val="sr-Cyrl-CS"/>
        </w:rPr>
        <w:t xml:space="preserve">еловати превентивно </w:t>
      </w:r>
      <w:r w:rsidR="00615695">
        <w:rPr>
          <w:rFonts w:ascii="Times New Roman" w:hAnsi="Times New Roman"/>
          <w:sz w:val="24"/>
          <w:szCs w:val="24"/>
          <w:lang w:val="sr-Cyrl-CS"/>
        </w:rPr>
        <w:t xml:space="preserve">на привредни криминал и корупцију. </w:t>
      </w:r>
    </w:p>
    <w:p w:rsidR="00726455" w:rsidRDefault="00A421C0" w:rsidP="00726455">
      <w:pPr>
        <w:ind w:firstLine="708"/>
        <w:jc w:val="both"/>
        <w:rPr>
          <w:rFonts w:ascii="Times New Roman" w:hAnsi="Times New Roman"/>
          <w:color w:val="000000"/>
          <w:sz w:val="24"/>
          <w:szCs w:val="24"/>
          <w:lang w:val="sr-Cyrl-CS"/>
        </w:rPr>
      </w:pPr>
      <w:r>
        <w:rPr>
          <w:rFonts w:ascii="Times New Roman" w:hAnsi="Times New Roman"/>
          <w:sz w:val="24"/>
          <w:szCs w:val="24"/>
          <w:lang w:val="sr-Cyrl-CS"/>
        </w:rPr>
        <w:t xml:space="preserve">Јасна законска регулатива је од посебног значаја и у борби против неприхватљиве законите евазије пореза. Како је већ наведено у претходном излагању, </w:t>
      </w:r>
      <w:r w:rsidR="002E051D">
        <w:rPr>
          <w:rFonts w:ascii="Times New Roman" w:hAnsi="Times New Roman"/>
          <w:sz w:val="24"/>
          <w:szCs w:val="24"/>
          <w:lang w:val="sr-Cyrl-CS"/>
        </w:rPr>
        <w:t xml:space="preserve">коришћење правних празнина је најчешћи начин остваривања неприхватљиве законите евазије пореза. </w:t>
      </w:r>
      <w:r w:rsidR="00726455">
        <w:rPr>
          <w:rFonts w:ascii="Times New Roman" w:hAnsi="Times New Roman"/>
          <w:sz w:val="24"/>
          <w:szCs w:val="24"/>
          <w:lang w:val="sr-Cyrl-CS"/>
        </w:rPr>
        <w:t>У пореском праву је начело фактицитета</w:t>
      </w:r>
      <w:r w:rsidR="00726455">
        <w:rPr>
          <w:rStyle w:val="FootnoteReference"/>
          <w:color w:val="000000"/>
          <w:lang w:val="sr-Cyrl-CS"/>
        </w:rPr>
        <w:footnoteReference w:id="755"/>
      </w:r>
      <w:r w:rsidR="00726455">
        <w:rPr>
          <w:rFonts w:ascii="Times New Roman" w:hAnsi="Times New Roman"/>
          <w:sz w:val="24"/>
          <w:szCs w:val="24"/>
          <w:lang w:val="sr-Cyrl-CS"/>
        </w:rPr>
        <w:t xml:space="preserve"> посебно значајно као механизам сузбијања неприхватљиве законите евазије пореза. </w:t>
      </w:r>
      <w:r w:rsidR="00726455" w:rsidRPr="00726455">
        <w:rPr>
          <w:rFonts w:ascii="Times New Roman" w:hAnsi="Times New Roman"/>
          <w:color w:val="000000"/>
          <w:sz w:val="24"/>
          <w:szCs w:val="24"/>
          <w:lang w:val="sr-Cyrl-CS"/>
        </w:rPr>
        <w:t>Пореске чињенице се утврђују према њиховој економској суштини. Ако се симулованим правним послом прикрива неки други правни посао, за утврђивање пореске обавезе основу чини дисимулован правни посао. У том случају симулован правни посао је ништав, а важиће дисимулован правни пос</w:t>
      </w:r>
      <w:r w:rsidR="00ED3DD9">
        <w:rPr>
          <w:rFonts w:ascii="Times New Roman" w:hAnsi="Times New Roman"/>
          <w:color w:val="000000"/>
          <w:sz w:val="24"/>
          <w:szCs w:val="24"/>
          <w:lang w:val="sr-Cyrl-CS"/>
        </w:rPr>
        <w:t>ао ако испуњава све прописане ус</w:t>
      </w:r>
      <w:r w:rsidR="00726455" w:rsidRPr="00726455">
        <w:rPr>
          <w:rFonts w:ascii="Times New Roman" w:hAnsi="Times New Roman"/>
          <w:color w:val="000000"/>
          <w:sz w:val="24"/>
          <w:szCs w:val="24"/>
          <w:lang w:val="sr-Cyrl-CS"/>
        </w:rPr>
        <w:t xml:space="preserve">лове. Када су на прописима супротан начин остварени приходи, односно стечена имовина, Пореска управа ће утврдити пореску обавезу у складу са законом којим се уређује одговарајућа врста пореза. </w:t>
      </w:r>
    </w:p>
    <w:p w:rsidR="00726455" w:rsidRDefault="00726455" w:rsidP="00726455">
      <w:pPr>
        <w:ind w:firstLine="708"/>
        <w:jc w:val="both"/>
        <w:rPr>
          <w:rFonts w:ascii="Times New Roman" w:hAnsi="Times New Roman"/>
          <w:sz w:val="24"/>
          <w:szCs w:val="24"/>
          <w:lang w:val="sr-Cyrl-CS"/>
        </w:rPr>
      </w:pPr>
      <w:r>
        <w:rPr>
          <w:rFonts w:ascii="Times New Roman" w:hAnsi="Times New Roman"/>
          <w:sz w:val="24"/>
          <w:szCs w:val="24"/>
          <w:lang w:val="sr-Cyrl-CS"/>
        </w:rPr>
        <w:lastRenderedPageBreak/>
        <w:t xml:space="preserve">Неприхватљива законита евазија је сложен феномен, који значајно доприноси нежељеном умањењу пореских прихода. </w:t>
      </w:r>
      <w:r w:rsidR="002E051D">
        <w:rPr>
          <w:rFonts w:ascii="Times New Roman" w:hAnsi="Times New Roman"/>
          <w:sz w:val="24"/>
          <w:szCs w:val="24"/>
          <w:lang w:val="sr-Cyrl-CS"/>
        </w:rPr>
        <w:t xml:space="preserve">Правне празнине омогућавају пореским обвезницима да различитом применом закона, онако како је за њих најповољније, формално не кршећи закон, осујете циљ опорезивања. </w:t>
      </w:r>
      <w:r w:rsidR="0076594A">
        <w:rPr>
          <w:rFonts w:ascii="Times New Roman" w:hAnsi="Times New Roman"/>
          <w:sz w:val="24"/>
          <w:szCs w:val="24"/>
          <w:lang w:val="sr-Cyrl-CS"/>
        </w:rPr>
        <w:t>Нед</w:t>
      </w:r>
      <w:r w:rsidR="00A421C0">
        <w:rPr>
          <w:rFonts w:ascii="Times New Roman" w:hAnsi="Times New Roman"/>
          <w:sz w:val="24"/>
          <w:szCs w:val="24"/>
          <w:lang w:val="sr-Cyrl-CS"/>
        </w:rPr>
        <w:t>ореченост прописа и мешање и пр</w:t>
      </w:r>
      <w:r w:rsidR="0076594A">
        <w:rPr>
          <w:rFonts w:ascii="Times New Roman" w:hAnsi="Times New Roman"/>
          <w:sz w:val="24"/>
          <w:szCs w:val="24"/>
          <w:lang w:val="sr-Cyrl-CS"/>
        </w:rPr>
        <w:t xml:space="preserve">еплитање надлежности различитих органа отежавају њихову практичну примену. </w:t>
      </w:r>
      <w:r w:rsidR="002E051D">
        <w:rPr>
          <w:rFonts w:ascii="Times New Roman" w:hAnsi="Times New Roman"/>
          <w:sz w:val="24"/>
          <w:szCs w:val="24"/>
          <w:lang w:val="sr-Cyrl-CS"/>
        </w:rPr>
        <w:t>Јасном и недвосмисленом регулативом се спречава изигравање намере</w:t>
      </w:r>
      <w:r w:rsidR="00A421C0">
        <w:rPr>
          <w:rFonts w:ascii="Times New Roman" w:hAnsi="Times New Roman"/>
          <w:sz w:val="24"/>
          <w:szCs w:val="24"/>
          <w:lang w:val="sr-Cyrl-CS"/>
        </w:rPr>
        <w:t xml:space="preserve"> законодавца и циља опорезивања, а самим тим спречава се умањење пореских прихода.</w:t>
      </w:r>
      <w:r>
        <w:rPr>
          <w:rFonts w:ascii="Times New Roman" w:hAnsi="Times New Roman"/>
          <w:sz w:val="24"/>
          <w:szCs w:val="24"/>
          <w:lang w:val="sr-Cyrl-CS"/>
        </w:rPr>
        <w:t xml:space="preserve"> </w:t>
      </w:r>
    </w:p>
    <w:p w:rsidR="008D03A4" w:rsidRDefault="008D03A4" w:rsidP="00B010B3">
      <w:pPr>
        <w:ind w:firstLine="708"/>
        <w:jc w:val="both"/>
        <w:rPr>
          <w:rFonts w:ascii="Times New Roman" w:hAnsi="Times New Roman"/>
          <w:sz w:val="24"/>
          <w:szCs w:val="24"/>
          <w:lang w:val="sr-Cyrl-CS"/>
        </w:rPr>
      </w:pPr>
      <w:r>
        <w:rPr>
          <w:rFonts w:ascii="Times New Roman" w:hAnsi="Times New Roman"/>
          <w:sz w:val="24"/>
          <w:szCs w:val="24"/>
          <w:lang w:val="sr-Cyrl-CS"/>
        </w:rPr>
        <w:t>У циљу уједначавања законодавства Србије са законодавством земаља-чланица ЕУ донети су бројни закони и формирана су регулаторна тела успостављена тим законима</w:t>
      </w:r>
      <w:r w:rsidR="0097568A">
        <w:rPr>
          <w:rFonts w:ascii="Times New Roman" w:hAnsi="Times New Roman"/>
          <w:sz w:val="24"/>
          <w:szCs w:val="24"/>
          <w:lang w:val="sr-Cyrl-CS"/>
        </w:rPr>
        <w:t>,</w:t>
      </w:r>
      <w:r w:rsidR="00B26FB1">
        <w:rPr>
          <w:rStyle w:val="FootnoteReference"/>
          <w:rFonts w:ascii="Times New Roman" w:hAnsi="Times New Roman"/>
          <w:sz w:val="24"/>
          <w:szCs w:val="24"/>
          <w:lang w:val="sr-Cyrl-CS"/>
        </w:rPr>
        <w:footnoteReference w:id="756"/>
      </w:r>
      <w:r>
        <w:rPr>
          <w:rFonts w:ascii="Times New Roman" w:hAnsi="Times New Roman"/>
          <w:sz w:val="24"/>
          <w:szCs w:val="24"/>
          <w:lang w:val="sr-Cyrl-CS"/>
        </w:rPr>
        <w:t xml:space="preserve"> која имају значајну улогу у борби против спреге привредног криминала и корупције. Међу најважнијим законима су: Закон о јавним набавкама, који је усвојен 2002. године</w:t>
      </w:r>
      <w:r>
        <w:rPr>
          <w:rStyle w:val="FootnoteReference"/>
          <w:rFonts w:ascii="Times New Roman" w:hAnsi="Times New Roman"/>
          <w:sz w:val="24"/>
          <w:szCs w:val="24"/>
          <w:lang w:val="sr-Cyrl-CS"/>
        </w:rPr>
        <w:footnoteReference w:id="757"/>
      </w:r>
      <w:r>
        <w:rPr>
          <w:rFonts w:ascii="Times New Roman" w:hAnsi="Times New Roman"/>
          <w:sz w:val="24"/>
          <w:szCs w:val="24"/>
          <w:lang w:val="sr-Cyrl-CS"/>
        </w:rPr>
        <w:t xml:space="preserve"> у циљу остваривања принципа транспарентности јавних набавки. Образована је Управа за јавне набавке. </w:t>
      </w:r>
      <w:r w:rsidR="00B74438">
        <w:rPr>
          <w:rFonts w:ascii="Times New Roman" w:hAnsi="Times New Roman"/>
          <w:sz w:val="24"/>
          <w:szCs w:val="24"/>
          <w:lang w:val="sr-Cyrl-CS"/>
        </w:rPr>
        <w:t xml:space="preserve">У Србији се за јавне набавке годишње троши између 3 и 3,5 милијарди ЕУР. </w:t>
      </w:r>
      <w:r>
        <w:rPr>
          <w:rFonts w:ascii="Times New Roman" w:hAnsi="Times New Roman"/>
          <w:sz w:val="24"/>
          <w:szCs w:val="24"/>
          <w:lang w:val="sr-Cyrl-CS"/>
        </w:rPr>
        <w:t xml:space="preserve">У јавности је више пута изнет податак да је спровођењем овог закона остваривана годишње </w:t>
      </w:r>
      <w:r w:rsidR="00B74438">
        <w:rPr>
          <w:rFonts w:ascii="Times New Roman" w:hAnsi="Times New Roman"/>
          <w:sz w:val="24"/>
          <w:szCs w:val="24"/>
          <w:lang w:val="sr-Cyrl-CS"/>
        </w:rPr>
        <w:t>уштеда од око 10% средстава планираних у буџетима за јавне набавке. Закон о спречавању сукоба интереса при вршењу јавних функција је усвојен 2004. године</w:t>
      </w:r>
      <w:r w:rsidR="00B74438">
        <w:rPr>
          <w:rStyle w:val="FootnoteReference"/>
          <w:rFonts w:ascii="Times New Roman" w:hAnsi="Times New Roman"/>
          <w:sz w:val="24"/>
          <w:szCs w:val="24"/>
          <w:lang w:val="sr-Cyrl-CS"/>
        </w:rPr>
        <w:footnoteReference w:id="758"/>
      </w:r>
      <w:r w:rsidR="00FD58D4">
        <w:rPr>
          <w:rFonts w:ascii="Times New Roman" w:hAnsi="Times New Roman"/>
          <w:sz w:val="24"/>
          <w:szCs w:val="24"/>
          <w:lang w:val="sr-Cyrl-CS"/>
        </w:rPr>
        <w:t xml:space="preserve"> према коме је дефинисано да је функционер дужан да јавну функцију врши тако да јавни интерес не подреди приватном интересу, нити да међу њима изазове сукоб. Сукоб јавног и приватног интереса постоји када функционер има приватни интерес који утиче или може утицати на врше</w:t>
      </w:r>
      <w:r w:rsidR="009F1721">
        <w:rPr>
          <w:rFonts w:ascii="Times New Roman" w:hAnsi="Times New Roman"/>
          <w:sz w:val="24"/>
          <w:szCs w:val="24"/>
          <w:lang w:val="sr-Cyrl-CS"/>
        </w:rPr>
        <w:t>ње његове јавне функције. За сп</w:t>
      </w:r>
      <w:r w:rsidR="00FD58D4">
        <w:rPr>
          <w:rFonts w:ascii="Times New Roman" w:hAnsi="Times New Roman"/>
          <w:sz w:val="24"/>
          <w:szCs w:val="24"/>
          <w:lang w:val="sr-Cyrl-CS"/>
        </w:rPr>
        <w:t>ров</w:t>
      </w:r>
      <w:r w:rsidR="001E5348">
        <w:rPr>
          <w:rFonts w:ascii="Times New Roman" w:hAnsi="Times New Roman"/>
          <w:sz w:val="24"/>
          <w:szCs w:val="24"/>
          <w:lang w:val="sr-Cyrl-CS"/>
        </w:rPr>
        <w:t>о</w:t>
      </w:r>
      <w:r w:rsidR="00FD58D4">
        <w:rPr>
          <w:rFonts w:ascii="Times New Roman" w:hAnsi="Times New Roman"/>
          <w:sz w:val="24"/>
          <w:szCs w:val="24"/>
          <w:lang w:val="sr-Cyrl-CS"/>
        </w:rPr>
        <w:t>ђење овог закона формиран је Одбор за реша</w:t>
      </w:r>
      <w:r w:rsidR="009F1721">
        <w:rPr>
          <w:rFonts w:ascii="Times New Roman" w:hAnsi="Times New Roman"/>
          <w:sz w:val="24"/>
          <w:szCs w:val="24"/>
          <w:lang w:val="sr-Cyrl-CS"/>
        </w:rPr>
        <w:t>вање о сукобу интереса. Основ за</w:t>
      </w:r>
      <w:r w:rsidR="00FD58D4">
        <w:rPr>
          <w:rFonts w:ascii="Times New Roman" w:hAnsi="Times New Roman"/>
          <w:sz w:val="24"/>
          <w:szCs w:val="24"/>
          <w:lang w:val="sr-Cyrl-CS"/>
        </w:rPr>
        <w:t xml:space="preserve"> престанак овог закона је Закон о Агенцији за борбу против корупције</w:t>
      </w:r>
      <w:r w:rsidR="00FD58D4">
        <w:rPr>
          <w:rStyle w:val="FootnoteReference"/>
          <w:rFonts w:ascii="Times New Roman" w:hAnsi="Times New Roman"/>
          <w:sz w:val="24"/>
          <w:szCs w:val="24"/>
          <w:lang w:val="sr-Cyrl-CS"/>
        </w:rPr>
        <w:footnoteReference w:id="759"/>
      </w:r>
      <w:r w:rsidR="00FD58D4">
        <w:rPr>
          <w:rFonts w:ascii="Times New Roman" w:hAnsi="Times New Roman"/>
          <w:sz w:val="24"/>
          <w:szCs w:val="24"/>
          <w:lang w:val="sr-Cyrl-CS"/>
        </w:rPr>
        <w:t xml:space="preserve"> и </w:t>
      </w:r>
      <w:r w:rsidR="00FA19F7">
        <w:rPr>
          <w:rFonts w:ascii="Times New Roman" w:hAnsi="Times New Roman"/>
          <w:sz w:val="24"/>
          <w:szCs w:val="24"/>
          <w:lang w:val="sr-Cyrl-CS"/>
        </w:rPr>
        <w:t>фу</w:t>
      </w:r>
      <w:r w:rsidR="00FD58D4">
        <w:rPr>
          <w:rFonts w:ascii="Times New Roman" w:hAnsi="Times New Roman"/>
          <w:sz w:val="24"/>
          <w:szCs w:val="24"/>
          <w:lang w:val="sr-Cyrl-CS"/>
        </w:rPr>
        <w:t>н</w:t>
      </w:r>
      <w:r w:rsidR="009F1721">
        <w:rPr>
          <w:rFonts w:ascii="Times New Roman" w:hAnsi="Times New Roman"/>
          <w:sz w:val="24"/>
          <w:szCs w:val="24"/>
          <w:lang w:val="sr-Cyrl-CS"/>
        </w:rPr>
        <w:t>к</w:t>
      </w:r>
      <w:r w:rsidR="00FD58D4">
        <w:rPr>
          <w:rFonts w:ascii="Times New Roman" w:hAnsi="Times New Roman"/>
          <w:sz w:val="24"/>
          <w:szCs w:val="24"/>
          <w:lang w:val="sr-Cyrl-CS"/>
        </w:rPr>
        <w:t>ције поменутог Одбора је 2009. године преузела Агенција за борб</w:t>
      </w:r>
      <w:r w:rsidR="009F1721">
        <w:rPr>
          <w:rFonts w:ascii="Times New Roman" w:hAnsi="Times New Roman"/>
          <w:sz w:val="24"/>
          <w:szCs w:val="24"/>
          <w:lang w:val="sr-Cyrl-CS"/>
        </w:rPr>
        <w:t>у против корупције</w:t>
      </w:r>
      <w:r w:rsidR="00FD58D4">
        <w:rPr>
          <w:rFonts w:ascii="Times New Roman" w:hAnsi="Times New Roman"/>
          <w:sz w:val="24"/>
          <w:szCs w:val="24"/>
          <w:lang w:val="sr-Cyrl-CS"/>
        </w:rPr>
        <w:t xml:space="preserve"> која има широка овлашћења, између осталог, у контроли спровођења Националне стратегије за борбу против корупције, као и материје која се тиче сукоба интереса и фина</w:t>
      </w:r>
      <w:r w:rsidR="009F1721">
        <w:rPr>
          <w:rFonts w:ascii="Times New Roman" w:hAnsi="Times New Roman"/>
          <w:sz w:val="24"/>
          <w:szCs w:val="24"/>
          <w:lang w:val="sr-Cyrl-CS"/>
        </w:rPr>
        <w:t>нсирања политичких партија. Од з</w:t>
      </w:r>
      <w:r w:rsidR="00FD58D4">
        <w:rPr>
          <w:rFonts w:ascii="Times New Roman" w:hAnsi="Times New Roman"/>
          <w:sz w:val="24"/>
          <w:szCs w:val="24"/>
          <w:lang w:val="sr-Cyrl-CS"/>
        </w:rPr>
        <w:t xml:space="preserve">начаја </w:t>
      </w:r>
      <w:r w:rsidR="00FA19F7">
        <w:rPr>
          <w:rFonts w:ascii="Times New Roman" w:hAnsi="Times New Roman"/>
          <w:sz w:val="24"/>
          <w:szCs w:val="24"/>
          <w:lang w:val="sr-Cyrl-CS"/>
        </w:rPr>
        <w:t>су</w:t>
      </w:r>
      <w:r w:rsidR="00FD58D4">
        <w:rPr>
          <w:rFonts w:ascii="Times New Roman" w:hAnsi="Times New Roman"/>
          <w:sz w:val="24"/>
          <w:szCs w:val="24"/>
          <w:lang w:val="sr-Cyrl-CS"/>
        </w:rPr>
        <w:t xml:space="preserve"> и доношење Закон</w:t>
      </w:r>
      <w:r w:rsidR="009F1721">
        <w:rPr>
          <w:rFonts w:ascii="Times New Roman" w:hAnsi="Times New Roman"/>
          <w:sz w:val="24"/>
          <w:szCs w:val="24"/>
          <w:lang w:val="sr-Cyrl-CS"/>
        </w:rPr>
        <w:t>а</w:t>
      </w:r>
      <w:r w:rsidR="00FD58D4">
        <w:rPr>
          <w:rFonts w:ascii="Times New Roman" w:hAnsi="Times New Roman"/>
          <w:sz w:val="24"/>
          <w:szCs w:val="24"/>
          <w:lang w:val="sr-Cyrl-CS"/>
        </w:rPr>
        <w:t xml:space="preserve"> о слободном приступу информацијама од јавног значаја</w:t>
      </w:r>
      <w:r w:rsidR="00FA19F7">
        <w:rPr>
          <w:rStyle w:val="FootnoteReference"/>
          <w:rFonts w:ascii="Times New Roman" w:hAnsi="Times New Roman"/>
          <w:sz w:val="24"/>
          <w:szCs w:val="24"/>
          <w:lang w:val="sr-Cyrl-CS"/>
        </w:rPr>
        <w:footnoteReference w:id="760"/>
      </w:r>
      <w:r w:rsidR="00FA19F7">
        <w:rPr>
          <w:rFonts w:ascii="Times New Roman" w:hAnsi="Times New Roman"/>
          <w:sz w:val="24"/>
          <w:szCs w:val="24"/>
          <w:lang w:val="sr-Cyrl-CS"/>
        </w:rPr>
        <w:t>, којим је успостављен положај Повереника за информације, Закон о заштитнику грађана</w:t>
      </w:r>
      <w:r w:rsidR="00B26FB1">
        <w:rPr>
          <w:rFonts w:ascii="Times New Roman" w:hAnsi="Times New Roman"/>
          <w:sz w:val="24"/>
          <w:szCs w:val="24"/>
          <w:lang w:val="sr-Cyrl-CS"/>
        </w:rPr>
        <w:t>,</w:t>
      </w:r>
      <w:r w:rsidR="00FA19F7">
        <w:rPr>
          <w:rStyle w:val="FootnoteReference"/>
          <w:rFonts w:ascii="Times New Roman" w:hAnsi="Times New Roman"/>
          <w:sz w:val="24"/>
          <w:szCs w:val="24"/>
          <w:lang w:val="sr-Cyrl-CS"/>
        </w:rPr>
        <w:footnoteReference w:id="761"/>
      </w:r>
      <w:r w:rsidR="00FA19F7">
        <w:rPr>
          <w:rFonts w:ascii="Times New Roman" w:hAnsi="Times New Roman"/>
          <w:sz w:val="24"/>
          <w:szCs w:val="24"/>
          <w:lang w:val="sr-Cyrl-CS"/>
        </w:rPr>
        <w:t xml:space="preserve"> Закон о државној ревизорској институцији</w:t>
      </w:r>
      <w:r w:rsidR="00FA19F7">
        <w:rPr>
          <w:rStyle w:val="FootnoteReference"/>
          <w:rFonts w:ascii="Times New Roman" w:hAnsi="Times New Roman"/>
          <w:sz w:val="24"/>
          <w:szCs w:val="24"/>
          <w:lang w:val="sr-Cyrl-CS"/>
        </w:rPr>
        <w:footnoteReference w:id="762"/>
      </w:r>
      <w:r w:rsidR="009F1721">
        <w:rPr>
          <w:rFonts w:ascii="Times New Roman" w:hAnsi="Times New Roman"/>
          <w:sz w:val="24"/>
          <w:szCs w:val="24"/>
          <w:lang w:val="sr-Cyrl-CS"/>
        </w:rPr>
        <w:t>, којим се да</w:t>
      </w:r>
      <w:r w:rsidR="00FA19F7">
        <w:rPr>
          <w:rFonts w:ascii="Times New Roman" w:hAnsi="Times New Roman"/>
          <w:sz w:val="24"/>
          <w:szCs w:val="24"/>
          <w:lang w:val="sr-Cyrl-CS"/>
        </w:rPr>
        <w:t>је овлашћење Државној ревизорској институцији да контролише финасијске извештаје и пословање свих корисника јавних средстава.</w:t>
      </w:r>
      <w:r w:rsidR="00FD58D4">
        <w:rPr>
          <w:rFonts w:ascii="Times New Roman" w:hAnsi="Times New Roman"/>
          <w:sz w:val="24"/>
          <w:szCs w:val="24"/>
          <w:lang w:val="sr-Cyrl-CS"/>
        </w:rPr>
        <w:t xml:space="preserve"> </w:t>
      </w:r>
    </w:p>
    <w:p w:rsidR="001667DB" w:rsidRPr="00B26FB1" w:rsidRDefault="00B26FB1" w:rsidP="00FA19F7">
      <w:pPr>
        <w:pStyle w:val="NormalWeb"/>
        <w:shd w:val="clear" w:color="auto" w:fill="FFFFFF"/>
        <w:ind w:firstLine="708"/>
        <w:jc w:val="both"/>
        <w:rPr>
          <w:rFonts w:ascii="Arial" w:hAnsi="Arial" w:cs="Arial"/>
          <w:color w:val="555555"/>
          <w:sz w:val="21"/>
          <w:szCs w:val="21"/>
          <w:lang w:val="sr-Cyrl-CS"/>
        </w:rPr>
      </w:pPr>
      <w:r w:rsidRPr="00B26FB1">
        <w:t>Када</w:t>
      </w:r>
      <w:r w:rsidR="001667DB" w:rsidRPr="00B26FB1">
        <w:t xml:space="preserve"> </w:t>
      </w:r>
      <w:r w:rsidRPr="00B26FB1">
        <w:t>се</w:t>
      </w:r>
      <w:r w:rsidR="001667DB" w:rsidRPr="00B26FB1">
        <w:t xml:space="preserve"> </w:t>
      </w:r>
      <w:r w:rsidRPr="00B26FB1">
        <w:t>подробније</w:t>
      </w:r>
      <w:r w:rsidR="001667DB" w:rsidRPr="00B26FB1">
        <w:t xml:space="preserve"> </w:t>
      </w:r>
      <w:r w:rsidRPr="00B26FB1">
        <w:t>анализирају</w:t>
      </w:r>
      <w:r w:rsidR="001667DB" w:rsidRPr="00B26FB1">
        <w:t xml:space="preserve"> </w:t>
      </w:r>
      <w:r w:rsidR="00FA19F7" w:rsidRPr="00B26FB1">
        <w:t>наведени</w:t>
      </w:r>
      <w:r w:rsidR="001667DB" w:rsidRPr="00B26FB1">
        <w:t xml:space="preserve"> </w:t>
      </w:r>
      <w:r w:rsidRPr="00B26FB1">
        <w:t>закони</w:t>
      </w:r>
      <w:r w:rsidR="001667DB" w:rsidRPr="00B26FB1">
        <w:t xml:space="preserve"> </w:t>
      </w:r>
      <w:r w:rsidR="00FA19F7" w:rsidRPr="00B26FB1">
        <w:t>може се уочити нешто заједничко, а то је да</w:t>
      </w:r>
      <w:r w:rsidR="001667DB" w:rsidRPr="00B26FB1">
        <w:t xml:space="preserve"> </w:t>
      </w:r>
      <w:r w:rsidRPr="00B26FB1">
        <w:t>су се регулаторна</w:t>
      </w:r>
      <w:r w:rsidR="001667DB" w:rsidRPr="00B26FB1">
        <w:t xml:space="preserve"> </w:t>
      </w:r>
      <w:r w:rsidRPr="00B26FB1">
        <w:t>тела</w:t>
      </w:r>
      <w:r w:rsidR="001667DB" w:rsidRPr="00B26FB1">
        <w:t xml:space="preserve"> (</w:t>
      </w:r>
      <w:r w:rsidRPr="00B26FB1">
        <w:t>индивидуална</w:t>
      </w:r>
      <w:r w:rsidR="001667DB" w:rsidRPr="00B26FB1">
        <w:t xml:space="preserve"> </w:t>
      </w:r>
      <w:r w:rsidRPr="00B26FB1">
        <w:t>или</w:t>
      </w:r>
      <w:r w:rsidR="001667DB" w:rsidRPr="00B26FB1">
        <w:t xml:space="preserve"> </w:t>
      </w:r>
      <w:r w:rsidRPr="00B26FB1">
        <w:t>колегијална</w:t>
      </w:r>
      <w:r w:rsidR="001667DB" w:rsidRPr="00B26FB1">
        <w:t xml:space="preserve">) </w:t>
      </w:r>
      <w:r w:rsidRPr="00B26FB1">
        <w:t>која</w:t>
      </w:r>
      <w:r w:rsidR="001667DB" w:rsidRPr="00B26FB1">
        <w:t xml:space="preserve"> </w:t>
      </w:r>
      <w:r w:rsidRPr="00B26FB1">
        <w:t>су</w:t>
      </w:r>
      <w:r w:rsidR="001667DB" w:rsidRPr="00B26FB1">
        <w:t xml:space="preserve"> </w:t>
      </w:r>
      <w:r w:rsidRPr="00B26FB1">
        <w:t>успостављен</w:t>
      </w:r>
      <w:r w:rsidR="007D3F49">
        <w:rPr>
          <w:lang w:val="sr-Cyrl-CS"/>
        </w:rPr>
        <w:t>а</w:t>
      </w:r>
      <w:r w:rsidRPr="00B26FB1">
        <w:t xml:space="preserve"> тим законима суочила</w:t>
      </w:r>
      <w:r w:rsidR="001667DB" w:rsidRPr="00B26FB1">
        <w:t xml:space="preserve"> </w:t>
      </w:r>
      <w:r w:rsidRPr="00B26FB1">
        <w:t>са</w:t>
      </w:r>
      <w:r w:rsidR="001667DB" w:rsidRPr="00B26FB1">
        <w:t xml:space="preserve"> </w:t>
      </w:r>
      <w:r w:rsidRPr="00B26FB1">
        <w:t>озбиљним</w:t>
      </w:r>
      <w:r w:rsidR="001667DB" w:rsidRPr="00B26FB1">
        <w:t xml:space="preserve"> </w:t>
      </w:r>
      <w:r w:rsidRPr="00B26FB1">
        <w:t>потешкоћама</w:t>
      </w:r>
      <w:r w:rsidR="001667DB" w:rsidRPr="00B26FB1">
        <w:t xml:space="preserve"> </w:t>
      </w:r>
      <w:r w:rsidRPr="00B26FB1">
        <w:t>као што су</w:t>
      </w:r>
      <w:r w:rsidR="001667DB" w:rsidRPr="00B26FB1">
        <w:t xml:space="preserve">: </w:t>
      </w:r>
      <w:r w:rsidRPr="00B26FB1">
        <w:t>недостатак</w:t>
      </w:r>
      <w:r w:rsidR="001667DB" w:rsidRPr="00B26FB1">
        <w:t xml:space="preserve"> </w:t>
      </w:r>
      <w:r w:rsidRPr="00B26FB1">
        <w:lastRenderedPageBreak/>
        <w:t>овлашћења</w:t>
      </w:r>
      <w:r w:rsidR="001667DB" w:rsidRPr="00B26FB1">
        <w:t xml:space="preserve"> </w:t>
      </w:r>
      <w:r w:rsidRPr="00B26FB1">
        <w:t>да</w:t>
      </w:r>
      <w:r w:rsidR="001667DB" w:rsidRPr="00B26FB1">
        <w:t xml:space="preserve"> </w:t>
      </w:r>
      <w:r w:rsidRPr="00B26FB1">
        <w:t>законске</w:t>
      </w:r>
      <w:r w:rsidR="001667DB" w:rsidRPr="00B26FB1">
        <w:t xml:space="preserve"> </w:t>
      </w:r>
      <w:r w:rsidRPr="00B26FB1">
        <w:t>одредбе</w:t>
      </w:r>
      <w:r w:rsidR="001667DB" w:rsidRPr="00B26FB1">
        <w:t xml:space="preserve"> </w:t>
      </w:r>
      <w:r w:rsidRPr="00B26FB1">
        <w:t>спроводе</w:t>
      </w:r>
      <w:r w:rsidR="001667DB" w:rsidRPr="00B26FB1">
        <w:t xml:space="preserve"> </w:t>
      </w:r>
      <w:r w:rsidRPr="00B26FB1">
        <w:t>у</w:t>
      </w:r>
      <w:r w:rsidR="001667DB" w:rsidRPr="00B26FB1">
        <w:t xml:space="preserve"> </w:t>
      </w:r>
      <w:r w:rsidRPr="00B26FB1">
        <w:t>пракси</w:t>
      </w:r>
      <w:r w:rsidR="001667DB" w:rsidRPr="00B26FB1">
        <w:t xml:space="preserve">, </w:t>
      </w:r>
      <w:r w:rsidRPr="00B26FB1">
        <w:t>спорост</w:t>
      </w:r>
      <w:r w:rsidR="001667DB" w:rsidRPr="00B26FB1">
        <w:t xml:space="preserve"> </w:t>
      </w:r>
      <w:r w:rsidRPr="00B26FB1">
        <w:t>у</w:t>
      </w:r>
      <w:r w:rsidR="001667DB" w:rsidRPr="00B26FB1">
        <w:t xml:space="preserve"> </w:t>
      </w:r>
      <w:r w:rsidRPr="00B26FB1">
        <w:t>конституисању</w:t>
      </w:r>
      <w:r w:rsidR="001667DB" w:rsidRPr="00B26FB1">
        <w:t xml:space="preserve">, </w:t>
      </w:r>
      <w:r w:rsidRPr="00B26FB1">
        <w:t>кадровска</w:t>
      </w:r>
      <w:r w:rsidR="001667DB" w:rsidRPr="00B26FB1">
        <w:t xml:space="preserve"> </w:t>
      </w:r>
      <w:r w:rsidRPr="00B26FB1">
        <w:t>неопремљеност</w:t>
      </w:r>
      <w:r w:rsidR="001667DB" w:rsidRPr="00B26FB1">
        <w:t xml:space="preserve"> </w:t>
      </w:r>
      <w:r w:rsidRPr="00B26FB1">
        <w:t>и</w:t>
      </w:r>
      <w:r w:rsidR="001667DB" w:rsidRPr="00B26FB1">
        <w:t xml:space="preserve"> </w:t>
      </w:r>
      <w:r w:rsidRPr="00B26FB1">
        <w:t>недостатак</w:t>
      </w:r>
      <w:r w:rsidR="001667DB" w:rsidRPr="00B26FB1">
        <w:t xml:space="preserve"> </w:t>
      </w:r>
      <w:r w:rsidRPr="00B26FB1">
        <w:t>радног</w:t>
      </w:r>
      <w:r w:rsidR="001667DB" w:rsidRPr="00B26FB1">
        <w:t xml:space="preserve"> </w:t>
      </w:r>
      <w:r w:rsidRPr="00B26FB1">
        <w:t>простора</w:t>
      </w:r>
      <w:r w:rsidR="001667DB" w:rsidRPr="00B26FB1">
        <w:t>.</w:t>
      </w:r>
    </w:p>
    <w:p w:rsidR="001667DB" w:rsidRDefault="001667DB" w:rsidP="00B010B3">
      <w:pPr>
        <w:ind w:firstLine="708"/>
        <w:jc w:val="both"/>
        <w:rPr>
          <w:rFonts w:ascii="Times New Roman" w:hAnsi="Times New Roman"/>
          <w:sz w:val="24"/>
          <w:szCs w:val="24"/>
          <w:lang w:val="sr-Cyrl-CS"/>
        </w:rPr>
      </w:pPr>
    </w:p>
    <w:p w:rsidR="00D56003" w:rsidRPr="001C7B5A" w:rsidRDefault="001C7B5A" w:rsidP="008A3795">
      <w:pPr>
        <w:pStyle w:val="ListParagraph"/>
        <w:numPr>
          <w:ilvl w:val="1"/>
          <w:numId w:val="59"/>
        </w:numPr>
        <w:jc w:val="center"/>
        <w:rPr>
          <w:rFonts w:ascii="Times New Roman" w:hAnsi="Times New Roman"/>
          <w:b/>
          <w:sz w:val="24"/>
          <w:szCs w:val="24"/>
          <w:lang w:val="sr-Cyrl-CS"/>
        </w:rPr>
      </w:pPr>
      <w:r>
        <w:rPr>
          <w:rFonts w:ascii="Times New Roman" w:hAnsi="Times New Roman"/>
          <w:b/>
          <w:sz w:val="24"/>
          <w:szCs w:val="24"/>
        </w:rPr>
        <w:t xml:space="preserve"> </w:t>
      </w:r>
      <w:r w:rsidR="0097568A" w:rsidRPr="001C7B5A">
        <w:rPr>
          <w:rFonts w:ascii="Times New Roman" w:hAnsi="Times New Roman"/>
          <w:b/>
          <w:sz w:val="24"/>
          <w:szCs w:val="24"/>
          <w:lang w:val="sr-Cyrl-CS"/>
        </w:rPr>
        <w:t>Институционалне мере</w:t>
      </w:r>
    </w:p>
    <w:p w:rsidR="0097568A" w:rsidRPr="0097568A" w:rsidRDefault="0097568A" w:rsidP="0097568A">
      <w:pPr>
        <w:jc w:val="center"/>
        <w:rPr>
          <w:rFonts w:ascii="Times New Roman" w:hAnsi="Times New Roman"/>
          <w:b/>
          <w:sz w:val="24"/>
          <w:szCs w:val="24"/>
          <w:lang w:val="sr-Cyrl-CS"/>
        </w:rPr>
      </w:pPr>
    </w:p>
    <w:p w:rsidR="000243B6" w:rsidRDefault="000243B6" w:rsidP="00B010B3">
      <w:pPr>
        <w:ind w:firstLine="708"/>
        <w:jc w:val="both"/>
        <w:rPr>
          <w:rFonts w:ascii="Times New Roman" w:hAnsi="Times New Roman"/>
          <w:sz w:val="24"/>
          <w:szCs w:val="24"/>
          <w:lang w:val="sr-Cyrl-CS"/>
        </w:rPr>
      </w:pPr>
      <w:r>
        <w:rPr>
          <w:rFonts w:ascii="Times New Roman" w:hAnsi="Times New Roman"/>
          <w:sz w:val="24"/>
          <w:szCs w:val="24"/>
          <w:lang w:val="sr-Cyrl-CS"/>
        </w:rPr>
        <w:t>Институционалне мере се базирају на односу између пореских обвезника и органа који учествују у борби против избегавања плаћања пореза, п</w:t>
      </w:r>
      <w:r w:rsidR="0097568A">
        <w:rPr>
          <w:rFonts w:ascii="Times New Roman" w:hAnsi="Times New Roman"/>
          <w:sz w:val="24"/>
          <w:szCs w:val="24"/>
          <w:lang w:val="sr-Cyrl-CS"/>
        </w:rPr>
        <w:t>ривредног криминала и корупције, о којима ће бити више речи у каснијем излагању.</w:t>
      </w:r>
      <w:r>
        <w:rPr>
          <w:rFonts w:ascii="Times New Roman" w:hAnsi="Times New Roman"/>
          <w:sz w:val="24"/>
          <w:szCs w:val="24"/>
          <w:lang w:val="sr-Cyrl-CS"/>
        </w:rPr>
        <w:t xml:space="preserve"> Са једне стране</w:t>
      </w:r>
      <w:r w:rsidR="0097568A">
        <w:rPr>
          <w:rFonts w:ascii="Times New Roman" w:hAnsi="Times New Roman"/>
          <w:sz w:val="24"/>
          <w:szCs w:val="24"/>
          <w:lang w:val="sr-Cyrl-CS"/>
        </w:rPr>
        <w:t>,</w:t>
      </w:r>
      <w:r>
        <w:rPr>
          <w:rFonts w:ascii="Times New Roman" w:hAnsi="Times New Roman"/>
          <w:sz w:val="24"/>
          <w:szCs w:val="24"/>
          <w:lang w:val="sr-Cyrl-CS"/>
        </w:rPr>
        <w:t xml:space="preserve"> овај однос треба да се темељи на поштовању прописа, а са друге стране на међусобном поверењу и поштовању. Уколико се поступа професионално и уколико се поштује закон од стра</w:t>
      </w:r>
      <w:r w:rsidR="0097568A">
        <w:rPr>
          <w:rFonts w:ascii="Times New Roman" w:hAnsi="Times New Roman"/>
          <w:sz w:val="24"/>
          <w:szCs w:val="24"/>
          <w:lang w:val="sr-Cyrl-CS"/>
        </w:rPr>
        <w:t>не запослених јавних службеника мало је простора за злоупотребе</w:t>
      </w:r>
      <w:r>
        <w:rPr>
          <w:rFonts w:ascii="Times New Roman" w:hAnsi="Times New Roman"/>
          <w:sz w:val="24"/>
          <w:szCs w:val="24"/>
          <w:lang w:val="sr-Cyrl-CS"/>
        </w:rPr>
        <w:t xml:space="preserve">. </w:t>
      </w:r>
    </w:p>
    <w:p w:rsidR="0097568A" w:rsidRDefault="0097568A" w:rsidP="0097568A">
      <w:pPr>
        <w:ind w:firstLine="708"/>
        <w:jc w:val="both"/>
        <w:rPr>
          <w:rFonts w:ascii="Times New Roman" w:hAnsi="Times New Roman"/>
          <w:sz w:val="24"/>
          <w:szCs w:val="24"/>
          <w:lang w:val="sr-Cyrl-CS"/>
        </w:rPr>
      </w:pPr>
      <w:r>
        <w:rPr>
          <w:rFonts w:ascii="Times New Roman" w:hAnsi="Times New Roman"/>
          <w:sz w:val="24"/>
          <w:szCs w:val="24"/>
          <w:lang w:val="sr-Cyrl-CS"/>
        </w:rPr>
        <w:t xml:space="preserve">Од великог је значаја снабдевање ових органа одговарајућом опремом ради успешнијег откривања и спречавања привредног криминала и корупције. Обука и стално усавршавање радника који учествују у откривању и процесуирању ових негативних појава је неопходна имајући у виду сложеност материје, која је подложна честим изменама, која обухвата велики број различитих законских и подзаконских прописа и преплитање различитих области, што захтева познавање рачуноводства, правних прописа, управног поступка, кривичног поступка, као и великог броја правних и економских категорија. </w:t>
      </w:r>
    </w:p>
    <w:p w:rsidR="0097568A" w:rsidRDefault="0097568A" w:rsidP="00831172">
      <w:pPr>
        <w:ind w:firstLine="708"/>
        <w:jc w:val="both"/>
        <w:rPr>
          <w:rFonts w:ascii="Times New Roman" w:hAnsi="Times New Roman"/>
          <w:sz w:val="24"/>
          <w:szCs w:val="24"/>
          <w:lang w:val="sr-Cyrl-CS"/>
        </w:rPr>
      </w:pPr>
      <w:r>
        <w:rPr>
          <w:rFonts w:ascii="Times New Roman" w:hAnsi="Times New Roman"/>
          <w:sz w:val="24"/>
          <w:szCs w:val="24"/>
          <w:lang w:val="sr-Cyrl-CS"/>
        </w:rPr>
        <w:t>Битан је и материјални статус запослених јер слабији материјални статус омогућава већу подложност корупцији. Не треба занемарити да ефикасна борба захтева сарадњу свих органа који у томе учествују, почев од правосуђа и полиције, преко невлади</w:t>
      </w:r>
      <w:r w:rsidR="007D3F49">
        <w:rPr>
          <w:rFonts w:ascii="Times New Roman" w:hAnsi="Times New Roman"/>
          <w:sz w:val="24"/>
          <w:szCs w:val="24"/>
          <w:lang w:val="sr-Cyrl-CS"/>
        </w:rPr>
        <w:t>них организација до медија. Ради</w:t>
      </w:r>
      <w:r>
        <w:rPr>
          <w:rFonts w:ascii="Times New Roman" w:hAnsi="Times New Roman"/>
          <w:sz w:val="24"/>
          <w:szCs w:val="24"/>
          <w:lang w:val="sr-Cyrl-CS"/>
        </w:rPr>
        <w:t xml:space="preserve"> ефикасније борбе против корупције п</w:t>
      </w:r>
      <w:r w:rsidR="007D3F49">
        <w:rPr>
          <w:rFonts w:ascii="Times New Roman" w:hAnsi="Times New Roman"/>
          <w:sz w:val="24"/>
          <w:szCs w:val="24"/>
          <w:lang w:val="sr-Cyrl-CS"/>
        </w:rPr>
        <w:t>отреб</w:t>
      </w:r>
      <w:r>
        <w:rPr>
          <w:rFonts w:ascii="Times New Roman" w:hAnsi="Times New Roman"/>
          <w:sz w:val="24"/>
          <w:szCs w:val="24"/>
          <w:lang w:val="sr-Cyrl-CS"/>
        </w:rPr>
        <w:t>ан је ефикасан надзор над радом јавних службеника, као и формулисање и њихово упознавање са етичким кодексом поступања и надзор над поштовањем кодекса.</w:t>
      </w:r>
    </w:p>
    <w:p w:rsidR="0049087E" w:rsidRDefault="00831172" w:rsidP="00385A25">
      <w:pPr>
        <w:ind w:firstLine="708"/>
        <w:jc w:val="both"/>
        <w:rPr>
          <w:rFonts w:ascii="Times New Roman" w:hAnsi="Times New Roman"/>
          <w:sz w:val="24"/>
          <w:szCs w:val="24"/>
          <w:lang w:val="sr-Cyrl-CS"/>
        </w:rPr>
      </w:pPr>
      <w:r>
        <w:rPr>
          <w:rFonts w:ascii="Times New Roman" w:hAnsi="Times New Roman"/>
          <w:sz w:val="24"/>
          <w:szCs w:val="24"/>
          <w:lang w:val="sr-Cyrl-CS"/>
        </w:rPr>
        <w:t>Коначно, с</w:t>
      </w:r>
      <w:r w:rsidR="0049087E">
        <w:rPr>
          <w:rFonts w:ascii="Times New Roman" w:hAnsi="Times New Roman"/>
          <w:sz w:val="24"/>
          <w:szCs w:val="24"/>
          <w:lang w:val="sr-Cyrl-CS"/>
        </w:rPr>
        <w:t>узбијању ових негативних појава доприноси казнена политика и мењање досадашње праксе да се за кривична дела из ових области изричу најниже казне, које су близу или испод прописаних законских минимума.</w:t>
      </w:r>
      <w:r w:rsidR="002641B8">
        <w:rPr>
          <w:rFonts w:ascii="Times New Roman" w:hAnsi="Times New Roman"/>
          <w:sz w:val="24"/>
          <w:szCs w:val="24"/>
          <w:lang w:val="sr-Cyrl-CS"/>
        </w:rPr>
        <w:t xml:space="preserve"> Судска власт треба да обезбеди не само ефикасно процесуирање и строжије кажњавање предметних негативних појава, него и да прати казнену политику.</w:t>
      </w:r>
    </w:p>
    <w:p w:rsidR="00831172" w:rsidRDefault="00831172" w:rsidP="00385A25">
      <w:pPr>
        <w:ind w:firstLine="708"/>
        <w:jc w:val="both"/>
        <w:rPr>
          <w:rFonts w:ascii="Times New Roman" w:hAnsi="Times New Roman"/>
          <w:sz w:val="24"/>
          <w:szCs w:val="24"/>
          <w:lang w:val="sr-Cyrl-CS"/>
        </w:rPr>
      </w:pPr>
    </w:p>
    <w:p w:rsidR="00D56003" w:rsidRPr="001C7B5A" w:rsidRDefault="001C7B5A" w:rsidP="008A3795">
      <w:pPr>
        <w:pStyle w:val="ListParagraph"/>
        <w:numPr>
          <w:ilvl w:val="1"/>
          <w:numId w:val="59"/>
        </w:numPr>
        <w:jc w:val="center"/>
        <w:rPr>
          <w:rFonts w:ascii="Times New Roman" w:hAnsi="Times New Roman"/>
          <w:b/>
          <w:sz w:val="24"/>
          <w:szCs w:val="24"/>
          <w:lang w:val="sr-Cyrl-CS"/>
        </w:rPr>
      </w:pPr>
      <w:r>
        <w:rPr>
          <w:rFonts w:ascii="Times New Roman" w:hAnsi="Times New Roman"/>
          <w:b/>
          <w:sz w:val="24"/>
          <w:szCs w:val="24"/>
        </w:rPr>
        <w:t xml:space="preserve"> </w:t>
      </w:r>
      <w:r w:rsidR="00831172" w:rsidRPr="001C7B5A">
        <w:rPr>
          <w:rFonts w:ascii="Times New Roman" w:hAnsi="Times New Roman"/>
          <w:b/>
          <w:sz w:val="24"/>
          <w:szCs w:val="24"/>
          <w:lang w:val="sr-Cyrl-CS"/>
        </w:rPr>
        <w:t>Мере пропаганде</w:t>
      </w:r>
    </w:p>
    <w:p w:rsidR="00831172" w:rsidRDefault="00831172" w:rsidP="00B010B3">
      <w:pPr>
        <w:ind w:firstLine="708"/>
        <w:jc w:val="both"/>
        <w:rPr>
          <w:rFonts w:ascii="Times New Roman" w:hAnsi="Times New Roman"/>
          <w:sz w:val="24"/>
          <w:szCs w:val="24"/>
          <w:lang w:val="sr-Cyrl-CS"/>
        </w:rPr>
      </w:pPr>
    </w:p>
    <w:p w:rsidR="0037342B" w:rsidRDefault="00E57A0F" w:rsidP="0037342B">
      <w:pPr>
        <w:ind w:firstLine="708"/>
        <w:jc w:val="both"/>
        <w:rPr>
          <w:rFonts w:ascii="Times New Roman" w:hAnsi="Times New Roman"/>
          <w:sz w:val="24"/>
          <w:szCs w:val="24"/>
          <w:lang w:val="sr-Cyrl-CS"/>
        </w:rPr>
      </w:pPr>
      <w:r>
        <w:rPr>
          <w:rFonts w:ascii="Times New Roman" w:hAnsi="Times New Roman"/>
          <w:sz w:val="24"/>
          <w:szCs w:val="24"/>
          <w:lang w:val="sr-Cyrl-CS"/>
        </w:rPr>
        <w:t>Пореска пропаганда представља значајну превентивну меру, јер је за ефикасну борбу против изб</w:t>
      </w:r>
      <w:r w:rsidR="0037342B">
        <w:rPr>
          <w:rFonts w:ascii="Times New Roman" w:hAnsi="Times New Roman"/>
          <w:sz w:val="24"/>
          <w:szCs w:val="24"/>
          <w:lang w:val="sr-Cyrl-CS"/>
        </w:rPr>
        <w:t>егавања плаћања пореза</w:t>
      </w:r>
      <w:r>
        <w:rPr>
          <w:rFonts w:ascii="Times New Roman" w:hAnsi="Times New Roman"/>
          <w:sz w:val="24"/>
          <w:szCs w:val="24"/>
          <w:lang w:val="sr-Cyrl-CS"/>
        </w:rPr>
        <w:t xml:space="preserve">, привредног криминала и корупције битан </w:t>
      </w:r>
      <w:r w:rsidR="0037342B">
        <w:rPr>
          <w:rFonts w:ascii="Times New Roman" w:hAnsi="Times New Roman"/>
          <w:sz w:val="24"/>
          <w:szCs w:val="24"/>
          <w:lang w:val="sr-Cyrl-CS"/>
        </w:rPr>
        <w:t xml:space="preserve"> </w:t>
      </w:r>
      <w:r w:rsidR="0037342B">
        <w:rPr>
          <w:rFonts w:ascii="Times New Roman" w:hAnsi="Times New Roman"/>
          <w:sz w:val="24"/>
          <w:szCs w:val="24"/>
          <w:lang w:val="sr-Cyrl-CS"/>
        </w:rPr>
        <w:lastRenderedPageBreak/>
        <w:t xml:space="preserve">став јавности. </w:t>
      </w:r>
      <w:r>
        <w:rPr>
          <w:rFonts w:ascii="Times New Roman" w:hAnsi="Times New Roman"/>
          <w:sz w:val="24"/>
          <w:szCs w:val="24"/>
          <w:lang w:val="sr-Cyrl-CS"/>
        </w:rPr>
        <w:t>Посебно значајну улогу у томе имају средства јавног информисања. Пореска пропаганда има велики утицај на став јавности према  значају прикупљања пореских прихода, као и на схватање штетност</w:t>
      </w:r>
      <w:r w:rsidR="007D3F49">
        <w:rPr>
          <w:rFonts w:ascii="Times New Roman" w:hAnsi="Times New Roman"/>
          <w:sz w:val="24"/>
          <w:szCs w:val="24"/>
          <w:lang w:val="sr-Cyrl-CS"/>
        </w:rPr>
        <w:t>и</w:t>
      </w:r>
      <w:r>
        <w:rPr>
          <w:rFonts w:ascii="Times New Roman" w:hAnsi="Times New Roman"/>
          <w:sz w:val="24"/>
          <w:szCs w:val="24"/>
          <w:lang w:val="sr-Cyrl-CS"/>
        </w:rPr>
        <w:t xml:space="preserve"> привредног криминала и корупције. </w:t>
      </w:r>
      <w:r w:rsidR="007D3F49">
        <w:rPr>
          <w:rFonts w:ascii="Times New Roman" w:hAnsi="Times New Roman"/>
          <w:sz w:val="24"/>
          <w:szCs w:val="24"/>
          <w:lang w:val="sr-Cyrl-CS"/>
        </w:rPr>
        <w:t>Од з</w:t>
      </w:r>
      <w:r w:rsidR="0037342B">
        <w:rPr>
          <w:rFonts w:ascii="Times New Roman" w:hAnsi="Times New Roman"/>
          <w:sz w:val="24"/>
          <w:szCs w:val="24"/>
          <w:lang w:val="sr-Cyrl-CS"/>
        </w:rPr>
        <w:t>начаја за став јавности је висина пореског терета, односно начин на који је исти распоређен. Уколико је порески терет нереално утврђен или пак уколико је одређена кате</w:t>
      </w:r>
      <w:r w:rsidR="007D3F49">
        <w:rPr>
          <w:rFonts w:ascii="Times New Roman" w:hAnsi="Times New Roman"/>
          <w:sz w:val="24"/>
          <w:szCs w:val="24"/>
          <w:lang w:val="sr-Cyrl-CS"/>
        </w:rPr>
        <w:t>горија пореских обвезника дискри</w:t>
      </w:r>
      <w:r w:rsidR="0037342B">
        <w:rPr>
          <w:rFonts w:ascii="Times New Roman" w:hAnsi="Times New Roman"/>
          <w:sz w:val="24"/>
          <w:szCs w:val="24"/>
          <w:lang w:val="sr-Cyrl-CS"/>
        </w:rPr>
        <w:t>минисана и став ј</w:t>
      </w:r>
      <w:r w:rsidR="007D3F49">
        <w:rPr>
          <w:rFonts w:ascii="Times New Roman" w:hAnsi="Times New Roman"/>
          <w:sz w:val="24"/>
          <w:szCs w:val="24"/>
          <w:lang w:val="sr-Cyrl-CS"/>
        </w:rPr>
        <w:t>авности ће бити негативан. Од з</w:t>
      </w:r>
      <w:r w:rsidR="0037342B">
        <w:rPr>
          <w:rFonts w:ascii="Times New Roman" w:hAnsi="Times New Roman"/>
          <w:sz w:val="24"/>
          <w:szCs w:val="24"/>
          <w:lang w:val="sr-Cyrl-CS"/>
        </w:rPr>
        <w:t xml:space="preserve">начаја за став јавности је и </w:t>
      </w:r>
      <w:r w:rsidR="0037342B" w:rsidRPr="00F00ADE">
        <w:rPr>
          <w:rFonts w:ascii="Times New Roman" w:hAnsi="Times New Roman"/>
          <w:sz w:val="24"/>
          <w:szCs w:val="24"/>
          <w:lang w:val="sr-Cyrl-CS"/>
        </w:rPr>
        <w:t>начин трошења</w:t>
      </w:r>
      <w:r>
        <w:rPr>
          <w:rFonts w:ascii="Times New Roman" w:hAnsi="Times New Roman"/>
          <w:sz w:val="24"/>
          <w:szCs w:val="24"/>
          <w:lang w:val="sr-Cyrl-CS"/>
        </w:rPr>
        <w:t xml:space="preserve"> средстава, односно у којој мери држава рационално са истима располаже. Посебно негативном ставу јавности и стварању неповерења доприноси неједнака примена закона, односно неједнако третирање појединих субјеката и стварање утиска да постоје повлашћени и недодирљиви. </w:t>
      </w:r>
    </w:p>
    <w:p w:rsidR="007D1A7E" w:rsidRDefault="007D1A7E" w:rsidP="00B010B3">
      <w:pPr>
        <w:ind w:firstLine="708"/>
        <w:jc w:val="both"/>
        <w:rPr>
          <w:rFonts w:ascii="Times New Roman" w:hAnsi="Times New Roman"/>
          <w:sz w:val="24"/>
          <w:szCs w:val="24"/>
          <w:lang w:val="sr-Cyrl-CS"/>
        </w:rPr>
      </w:pPr>
      <w:r>
        <w:rPr>
          <w:rFonts w:ascii="Times New Roman" w:hAnsi="Times New Roman"/>
          <w:sz w:val="24"/>
          <w:szCs w:val="24"/>
          <w:lang w:val="sr-Cyrl-CS"/>
        </w:rPr>
        <w:t>Мере пореске пропаганде се предузимају са циљем подизања пореске свести и смањивања отпора плаћању пореза. Овим мерама треба да се постигне боље разумевање пореских прописа и механизама наплате пореза, што уз ефикасну контролу плаћања пореза, повећање вероватноће откривања злоупотреба и ефикасно кажњавање смањује пореску евазију.</w:t>
      </w:r>
    </w:p>
    <w:p w:rsidR="00E2088D" w:rsidRDefault="00E2088D" w:rsidP="00B010B3">
      <w:pPr>
        <w:ind w:firstLine="708"/>
        <w:jc w:val="both"/>
        <w:rPr>
          <w:rFonts w:ascii="Times New Roman" w:hAnsi="Times New Roman"/>
          <w:sz w:val="24"/>
          <w:szCs w:val="24"/>
          <w:lang w:val="sr-Cyrl-CS"/>
        </w:rPr>
      </w:pPr>
      <w:r>
        <w:rPr>
          <w:rFonts w:ascii="Times New Roman" w:hAnsi="Times New Roman"/>
          <w:sz w:val="24"/>
          <w:szCs w:val="24"/>
          <w:lang w:val="sr-Cyrl-CS"/>
        </w:rPr>
        <w:t>Избегавање плаћања пореза, привредни криминал и корупција су појаве које привлаче велику пажњу медија и које пуне медијске наслове. Међутим, често се у медијима потенц</w:t>
      </w:r>
      <w:r w:rsidR="007D3F49">
        <w:rPr>
          <w:rFonts w:ascii="Times New Roman" w:hAnsi="Times New Roman"/>
          <w:sz w:val="24"/>
          <w:szCs w:val="24"/>
          <w:lang w:val="sr-Cyrl-CS"/>
        </w:rPr>
        <w:t>ирају сензационалистички негатив</w:t>
      </w:r>
      <w:r>
        <w:rPr>
          <w:rFonts w:ascii="Times New Roman" w:hAnsi="Times New Roman"/>
          <w:sz w:val="24"/>
          <w:szCs w:val="24"/>
          <w:lang w:val="sr-Cyrl-CS"/>
        </w:rPr>
        <w:t>не појаве, док се позитивне поруке и резултати губе из вида.</w:t>
      </w:r>
      <w:r w:rsidR="0001601F">
        <w:rPr>
          <w:rFonts w:ascii="Times New Roman" w:hAnsi="Times New Roman"/>
          <w:sz w:val="24"/>
          <w:szCs w:val="24"/>
          <w:lang w:val="sr-Cyrl-CS"/>
        </w:rPr>
        <w:t xml:space="preserve"> Сензационализам постаје ва</w:t>
      </w:r>
      <w:r w:rsidR="007D3F49">
        <w:rPr>
          <w:rFonts w:ascii="Times New Roman" w:hAnsi="Times New Roman"/>
          <w:sz w:val="24"/>
          <w:szCs w:val="24"/>
          <w:lang w:val="sr-Cyrl-CS"/>
        </w:rPr>
        <w:t>жнији од извлачења поука из отк</w:t>
      </w:r>
      <w:r w:rsidR="0001601F">
        <w:rPr>
          <w:rFonts w:ascii="Times New Roman" w:hAnsi="Times New Roman"/>
          <w:sz w:val="24"/>
          <w:szCs w:val="24"/>
          <w:lang w:val="sr-Cyrl-CS"/>
        </w:rPr>
        <w:t>р</w:t>
      </w:r>
      <w:r w:rsidR="007D3F49">
        <w:rPr>
          <w:rFonts w:ascii="Times New Roman" w:hAnsi="Times New Roman"/>
          <w:sz w:val="24"/>
          <w:szCs w:val="24"/>
          <w:lang w:val="sr-Cyrl-CS"/>
        </w:rPr>
        <w:t>и</w:t>
      </w:r>
      <w:r w:rsidR="0001601F">
        <w:rPr>
          <w:rFonts w:ascii="Times New Roman" w:hAnsi="Times New Roman"/>
          <w:sz w:val="24"/>
          <w:szCs w:val="24"/>
          <w:lang w:val="sr-Cyrl-CS"/>
        </w:rPr>
        <w:t>вених случајева и формирања смерница за даље успешно поступање у борби против ових негативних појава.</w:t>
      </w:r>
    </w:p>
    <w:p w:rsidR="00EC4C5E" w:rsidRDefault="00EC4C5E" w:rsidP="00B010B3">
      <w:pPr>
        <w:ind w:firstLine="708"/>
        <w:jc w:val="both"/>
        <w:rPr>
          <w:rFonts w:ascii="Times New Roman" w:hAnsi="Times New Roman"/>
          <w:sz w:val="24"/>
          <w:szCs w:val="24"/>
          <w:lang w:val="sr-Cyrl-CS"/>
        </w:rPr>
      </w:pPr>
      <w:r>
        <w:rPr>
          <w:rFonts w:ascii="Times New Roman" w:hAnsi="Times New Roman"/>
          <w:sz w:val="24"/>
          <w:szCs w:val="24"/>
          <w:lang w:val="sr-Cyrl-CS"/>
        </w:rPr>
        <w:t xml:space="preserve">У борби против корупције је битна стална кампања подизања свести грађана о борби против ових негативних појава и значају борбе против њих, као и упознавање грађана са предузетим мерама и оствареним резултатима. </w:t>
      </w:r>
    </w:p>
    <w:p w:rsidR="00831172" w:rsidRPr="00235B84" w:rsidRDefault="00831172" w:rsidP="00235B84">
      <w:pPr>
        <w:jc w:val="both"/>
        <w:rPr>
          <w:rFonts w:ascii="Times New Roman" w:hAnsi="Times New Roman"/>
          <w:sz w:val="24"/>
          <w:szCs w:val="24"/>
        </w:rPr>
      </w:pPr>
    </w:p>
    <w:p w:rsidR="00D56003" w:rsidRPr="001C7B5A" w:rsidRDefault="001C7B5A" w:rsidP="008A3795">
      <w:pPr>
        <w:pStyle w:val="ListParagraph"/>
        <w:numPr>
          <w:ilvl w:val="1"/>
          <w:numId w:val="59"/>
        </w:numPr>
        <w:jc w:val="center"/>
        <w:rPr>
          <w:rFonts w:ascii="Times New Roman" w:hAnsi="Times New Roman"/>
          <w:b/>
          <w:sz w:val="24"/>
          <w:szCs w:val="24"/>
          <w:lang w:val="sr-Cyrl-CS"/>
        </w:rPr>
      </w:pPr>
      <w:r>
        <w:rPr>
          <w:rFonts w:ascii="Times New Roman" w:hAnsi="Times New Roman"/>
          <w:b/>
          <w:sz w:val="24"/>
          <w:szCs w:val="24"/>
        </w:rPr>
        <w:t xml:space="preserve"> </w:t>
      </w:r>
      <w:r w:rsidR="00831172" w:rsidRPr="001C7B5A">
        <w:rPr>
          <w:rFonts w:ascii="Times New Roman" w:hAnsi="Times New Roman"/>
          <w:b/>
          <w:sz w:val="24"/>
          <w:szCs w:val="24"/>
          <w:lang w:val="sr-Cyrl-CS"/>
        </w:rPr>
        <w:t>Социо-економске мере</w:t>
      </w:r>
    </w:p>
    <w:p w:rsidR="00831172" w:rsidRDefault="00831172" w:rsidP="00B010B3">
      <w:pPr>
        <w:ind w:firstLine="708"/>
        <w:jc w:val="both"/>
        <w:rPr>
          <w:rFonts w:ascii="Times New Roman" w:hAnsi="Times New Roman"/>
          <w:sz w:val="24"/>
          <w:szCs w:val="24"/>
          <w:lang w:val="sr-Cyrl-CS"/>
        </w:rPr>
      </w:pPr>
    </w:p>
    <w:p w:rsidR="0037342B" w:rsidRDefault="0037342B" w:rsidP="0037342B">
      <w:pPr>
        <w:ind w:firstLine="708"/>
        <w:jc w:val="both"/>
        <w:rPr>
          <w:rFonts w:ascii="Times New Roman" w:hAnsi="Times New Roman"/>
          <w:sz w:val="24"/>
          <w:szCs w:val="24"/>
          <w:lang w:val="sr-Cyrl-CS"/>
        </w:rPr>
      </w:pPr>
      <w:r>
        <w:rPr>
          <w:rFonts w:ascii="Times New Roman" w:hAnsi="Times New Roman"/>
          <w:sz w:val="24"/>
          <w:szCs w:val="24"/>
          <w:lang w:val="sr-Cyrl-CS"/>
        </w:rPr>
        <w:t xml:space="preserve">Ублажавање </w:t>
      </w:r>
      <w:r w:rsidR="00831172">
        <w:rPr>
          <w:rFonts w:ascii="Times New Roman" w:hAnsi="Times New Roman"/>
          <w:sz w:val="24"/>
          <w:szCs w:val="24"/>
          <w:lang w:val="sr-Cyrl-CS"/>
        </w:rPr>
        <w:t>фактора</w:t>
      </w:r>
      <w:r>
        <w:rPr>
          <w:rFonts w:ascii="Times New Roman" w:hAnsi="Times New Roman"/>
          <w:sz w:val="24"/>
          <w:szCs w:val="24"/>
          <w:lang w:val="sr-Cyrl-CS"/>
        </w:rPr>
        <w:t xml:space="preserve"> који повећавају отпор плаћању пореза</w:t>
      </w:r>
      <w:r w:rsidR="00831172">
        <w:rPr>
          <w:rFonts w:ascii="Times New Roman" w:hAnsi="Times New Roman"/>
          <w:sz w:val="24"/>
          <w:szCs w:val="24"/>
          <w:lang w:val="sr-Cyrl-CS"/>
        </w:rPr>
        <w:t xml:space="preserve"> кроз смањивање пореског терета представља значајан превентивни корак.</w:t>
      </w:r>
      <w:r>
        <w:rPr>
          <w:rFonts w:ascii="Times New Roman" w:hAnsi="Times New Roman"/>
          <w:sz w:val="24"/>
          <w:szCs w:val="24"/>
          <w:lang w:val="sr-Cyrl-CS"/>
        </w:rPr>
        <w:t xml:space="preserve"> То се може постићи ширењем основице на коју се обрачунавају и плаћају порези и снижавањем пореских стопа. Веома је важно да порески систем буде правичан и прилагођен економској снази пореских обвезника. </w:t>
      </w:r>
      <w:r w:rsidR="007D3F49">
        <w:rPr>
          <w:rFonts w:ascii="Times New Roman" w:hAnsi="Times New Roman"/>
          <w:sz w:val="24"/>
          <w:szCs w:val="24"/>
          <w:lang w:val="sr-Cyrl-CS"/>
        </w:rPr>
        <w:t>Осим</w:t>
      </w:r>
      <w:r w:rsidR="00C441F5">
        <w:rPr>
          <w:rFonts w:ascii="Times New Roman" w:hAnsi="Times New Roman"/>
          <w:sz w:val="24"/>
          <w:szCs w:val="24"/>
          <w:lang w:val="sr-Cyrl-CS"/>
        </w:rPr>
        <w:t xml:space="preserve"> тога, д</w:t>
      </w:r>
      <w:r>
        <w:rPr>
          <w:rFonts w:ascii="Times New Roman" w:hAnsi="Times New Roman"/>
          <w:sz w:val="24"/>
          <w:szCs w:val="24"/>
          <w:lang w:val="sr-Cyrl-CS"/>
        </w:rPr>
        <w:t xml:space="preserve">обра сарадња између грађана и органа који учествују у борби против ових негативних појава повећава међусобно поверење и смањује страх од последица уколико се пријави или укаже на неку појаву или искаже критика, а </w:t>
      </w:r>
      <w:r w:rsidR="00831172">
        <w:rPr>
          <w:rFonts w:ascii="Times New Roman" w:hAnsi="Times New Roman"/>
          <w:sz w:val="24"/>
          <w:szCs w:val="24"/>
          <w:lang w:val="sr-Cyrl-CS"/>
        </w:rPr>
        <w:t xml:space="preserve">то доприноси </w:t>
      </w:r>
      <w:r>
        <w:rPr>
          <w:rFonts w:ascii="Times New Roman" w:hAnsi="Times New Roman"/>
          <w:sz w:val="24"/>
          <w:szCs w:val="24"/>
          <w:lang w:val="sr-Cyrl-CS"/>
        </w:rPr>
        <w:t>повећава</w:t>
      </w:r>
      <w:r w:rsidR="00831172">
        <w:rPr>
          <w:rFonts w:ascii="Times New Roman" w:hAnsi="Times New Roman"/>
          <w:sz w:val="24"/>
          <w:szCs w:val="24"/>
          <w:lang w:val="sr-Cyrl-CS"/>
        </w:rPr>
        <w:t xml:space="preserve">њу </w:t>
      </w:r>
      <w:r>
        <w:rPr>
          <w:rFonts w:ascii="Times New Roman" w:hAnsi="Times New Roman"/>
          <w:sz w:val="24"/>
          <w:szCs w:val="24"/>
          <w:lang w:val="sr-Cyrl-CS"/>
        </w:rPr>
        <w:t>одговорност</w:t>
      </w:r>
      <w:r w:rsidR="00831172">
        <w:rPr>
          <w:rFonts w:ascii="Times New Roman" w:hAnsi="Times New Roman"/>
          <w:sz w:val="24"/>
          <w:szCs w:val="24"/>
          <w:lang w:val="sr-Cyrl-CS"/>
        </w:rPr>
        <w:t>и</w:t>
      </w:r>
      <w:r>
        <w:rPr>
          <w:rFonts w:ascii="Times New Roman" w:hAnsi="Times New Roman"/>
          <w:sz w:val="24"/>
          <w:szCs w:val="24"/>
          <w:lang w:val="sr-Cyrl-CS"/>
        </w:rPr>
        <w:t xml:space="preserve"> свих као учесника у креирању боље заједнице у којој ће живети.</w:t>
      </w:r>
      <w:r w:rsidR="00A54147">
        <w:rPr>
          <w:rFonts w:ascii="Times New Roman" w:hAnsi="Times New Roman"/>
          <w:sz w:val="24"/>
          <w:szCs w:val="24"/>
          <w:lang w:val="sr-Cyrl-CS"/>
        </w:rPr>
        <w:t xml:space="preserve"> </w:t>
      </w:r>
      <w:r w:rsidR="00831172">
        <w:rPr>
          <w:rFonts w:ascii="Times New Roman" w:hAnsi="Times New Roman"/>
          <w:sz w:val="24"/>
          <w:szCs w:val="24"/>
          <w:lang w:val="sr-Cyrl-CS"/>
        </w:rPr>
        <w:t>Према томе, са становишта мера превенције код пријављивања злоупотреба од великог је значаја да су узбуњивачи заштићени од малтретирања, мобинга и отпуштања.</w:t>
      </w:r>
    </w:p>
    <w:p w:rsidR="0037342B" w:rsidRDefault="00831172" w:rsidP="0037342B">
      <w:pPr>
        <w:ind w:firstLine="708"/>
        <w:jc w:val="both"/>
        <w:rPr>
          <w:rFonts w:ascii="Times New Roman" w:hAnsi="Times New Roman"/>
          <w:sz w:val="24"/>
          <w:szCs w:val="24"/>
          <w:lang w:val="sr-Cyrl-CS"/>
        </w:rPr>
      </w:pPr>
      <w:r>
        <w:rPr>
          <w:rFonts w:ascii="Times New Roman" w:hAnsi="Times New Roman"/>
          <w:sz w:val="24"/>
          <w:szCs w:val="24"/>
          <w:lang w:val="sr-Cyrl-CS"/>
        </w:rPr>
        <w:lastRenderedPageBreak/>
        <w:t>Међу бројним предузетим</w:t>
      </w:r>
      <w:r w:rsidR="0037342B">
        <w:rPr>
          <w:rFonts w:ascii="Times New Roman" w:hAnsi="Times New Roman"/>
          <w:sz w:val="24"/>
          <w:szCs w:val="24"/>
          <w:lang w:val="sr-Cyrl-CS"/>
        </w:rPr>
        <w:t xml:space="preserve"> мера</w:t>
      </w:r>
      <w:r>
        <w:rPr>
          <w:rFonts w:ascii="Times New Roman" w:hAnsi="Times New Roman"/>
          <w:sz w:val="24"/>
          <w:szCs w:val="24"/>
          <w:lang w:val="sr-Cyrl-CS"/>
        </w:rPr>
        <w:t>ма</w:t>
      </w:r>
      <w:r w:rsidR="0037342B">
        <w:rPr>
          <w:rFonts w:ascii="Times New Roman" w:hAnsi="Times New Roman"/>
          <w:sz w:val="24"/>
          <w:szCs w:val="24"/>
          <w:lang w:val="sr-Cyrl-CS"/>
        </w:rPr>
        <w:t xml:space="preserve"> и акција</w:t>
      </w:r>
      <w:r>
        <w:rPr>
          <w:rFonts w:ascii="Times New Roman" w:hAnsi="Times New Roman"/>
          <w:sz w:val="24"/>
          <w:szCs w:val="24"/>
          <w:lang w:val="sr-Cyrl-CS"/>
        </w:rPr>
        <w:t>ма</w:t>
      </w:r>
      <w:r w:rsidR="0037342B">
        <w:rPr>
          <w:rFonts w:ascii="Times New Roman" w:hAnsi="Times New Roman"/>
          <w:sz w:val="24"/>
          <w:szCs w:val="24"/>
          <w:lang w:val="sr-Cyrl-CS"/>
        </w:rPr>
        <w:t xml:space="preserve"> у борби против ових негативних појава, не треба занемарити промовисање етичких вредности и мо</w:t>
      </w:r>
      <w:r w:rsidR="007D3F49">
        <w:rPr>
          <w:rFonts w:ascii="Times New Roman" w:hAnsi="Times New Roman"/>
          <w:sz w:val="24"/>
          <w:szCs w:val="24"/>
          <w:lang w:val="sr-Cyrl-CS"/>
        </w:rPr>
        <w:t>ралних стандарда, што ће утицати</w:t>
      </w:r>
      <w:r w:rsidR="0037342B">
        <w:rPr>
          <w:rFonts w:ascii="Times New Roman" w:hAnsi="Times New Roman"/>
          <w:sz w:val="24"/>
          <w:szCs w:val="24"/>
          <w:lang w:val="sr-Cyrl-CS"/>
        </w:rPr>
        <w:t xml:space="preserve"> на понашање грађана, али и допринети професионалнијем поступању и повећању одговорности запослених у органима од значаја за откривање и процесуирање ових негативних појава</w:t>
      </w:r>
      <w:r w:rsidR="00C441F5">
        <w:rPr>
          <w:rFonts w:ascii="Times New Roman" w:hAnsi="Times New Roman"/>
          <w:sz w:val="24"/>
          <w:szCs w:val="24"/>
          <w:lang w:val="sr-Cyrl-CS"/>
        </w:rPr>
        <w:t>.</w:t>
      </w:r>
    </w:p>
    <w:p w:rsidR="00C441F5" w:rsidRDefault="00C441F5" w:rsidP="00C441F5">
      <w:pPr>
        <w:ind w:firstLine="708"/>
        <w:jc w:val="both"/>
        <w:rPr>
          <w:rFonts w:ascii="Times New Roman" w:hAnsi="Times New Roman"/>
          <w:sz w:val="24"/>
          <w:szCs w:val="24"/>
          <w:lang w:val="sr-Cyrl-CS"/>
        </w:rPr>
      </w:pPr>
      <w:r>
        <w:rPr>
          <w:rFonts w:ascii="Times New Roman" w:hAnsi="Times New Roman"/>
          <w:sz w:val="24"/>
          <w:szCs w:val="24"/>
          <w:lang w:val="sr-Cyrl-CS"/>
        </w:rPr>
        <w:t>Неопходно је настојати да се подигне општи ниво морала у друштву, кроз подизање свести о значају пореза за друштво, који у перспективи могу да буду од користи свим грађанима, као и о штетности привредног криминала и корупције. Битан задатак у борби против ових негативних појава је дакле јачање свести грађана о штетности ових појава и потребе да се укључе у борбу на њиховом спречавању и сузбијању. Како би ова борба била успешна потребна је изградња система моралних вредности демократсног друштва које су у протеклим периодима транзиције значајно нарушене.</w:t>
      </w:r>
    </w:p>
    <w:p w:rsidR="00C441F5" w:rsidRDefault="00C441F5" w:rsidP="00C441F5">
      <w:pPr>
        <w:ind w:firstLine="708"/>
        <w:jc w:val="both"/>
        <w:rPr>
          <w:rFonts w:ascii="Times New Roman" w:hAnsi="Times New Roman"/>
          <w:sz w:val="24"/>
          <w:szCs w:val="24"/>
          <w:lang w:val="sr-Cyrl-CS"/>
        </w:rPr>
      </w:pPr>
      <w:r>
        <w:rPr>
          <w:rFonts w:ascii="Times New Roman" w:hAnsi="Times New Roman"/>
          <w:sz w:val="24"/>
          <w:szCs w:val="24"/>
          <w:lang w:val="sr-Cyrl-CS"/>
        </w:rPr>
        <w:t xml:space="preserve">У нашим условима, битан је и социјални моменат, односно лоша економска ситуација, када је велики број људи без посла, или са ниским примањима, па услед тога прибегавају, ради обезбеђења егзистенцијалног минимума, различитим нелегалним пословима на црном тржишту или  раде непријављено. </w:t>
      </w:r>
    </w:p>
    <w:p w:rsidR="00C441F5" w:rsidRDefault="00C441F5" w:rsidP="00BE23F9">
      <w:pPr>
        <w:ind w:firstLine="708"/>
        <w:jc w:val="both"/>
        <w:rPr>
          <w:rFonts w:ascii="Times New Roman" w:hAnsi="Times New Roman"/>
          <w:sz w:val="24"/>
          <w:szCs w:val="24"/>
          <w:lang w:val="sr-Cyrl-CS"/>
        </w:rPr>
      </w:pPr>
      <w:r>
        <w:rPr>
          <w:rFonts w:ascii="Times New Roman" w:hAnsi="Times New Roman"/>
          <w:sz w:val="24"/>
          <w:szCs w:val="24"/>
          <w:lang w:val="sr-Cyrl-CS"/>
        </w:rPr>
        <w:t xml:space="preserve">Степен пореског </w:t>
      </w:r>
      <w:r w:rsidRPr="002549E5">
        <w:rPr>
          <w:rFonts w:ascii="Times New Roman" w:hAnsi="Times New Roman"/>
          <w:sz w:val="24"/>
          <w:szCs w:val="24"/>
          <w:lang w:val="sr-Cyrl-CS"/>
        </w:rPr>
        <w:t>морала</w:t>
      </w:r>
      <w:r w:rsidRPr="00C70BF4">
        <w:rPr>
          <w:rFonts w:ascii="Times New Roman" w:hAnsi="Times New Roman"/>
          <w:b/>
          <w:sz w:val="24"/>
          <w:szCs w:val="24"/>
          <w:lang w:val="sr-Cyrl-CS"/>
        </w:rPr>
        <w:t xml:space="preserve"> </w:t>
      </w:r>
      <w:r>
        <w:rPr>
          <w:rFonts w:ascii="Times New Roman" w:hAnsi="Times New Roman"/>
          <w:sz w:val="24"/>
          <w:szCs w:val="24"/>
          <w:lang w:val="sr-Cyrl-CS"/>
        </w:rPr>
        <w:t>је повезан са степеном пореске евазије, а на порески морал утиче ефикасност откривања и процесуирања пореске евазије, као и казнена политика. Бољим разумевањем и сарадњом између пореских органа и пореских обвезника такође се утиче на пораст пореског морала и свести о плаћању пореза.</w:t>
      </w:r>
      <w:r w:rsidR="00BE23F9">
        <w:rPr>
          <w:rFonts w:ascii="Times New Roman" w:hAnsi="Times New Roman"/>
          <w:sz w:val="24"/>
          <w:szCs w:val="24"/>
          <w:lang w:val="sr-Cyrl-CS"/>
        </w:rPr>
        <w:t xml:space="preserve"> </w:t>
      </w:r>
      <w:r>
        <w:rPr>
          <w:rFonts w:ascii="Times New Roman" w:hAnsi="Times New Roman"/>
          <w:sz w:val="24"/>
          <w:szCs w:val="24"/>
          <w:lang w:val="sr-Cyrl-CS"/>
        </w:rPr>
        <w:t xml:space="preserve">Порески морал обухвата норме понашања </w:t>
      </w:r>
      <w:r w:rsidR="00BE23F9">
        <w:rPr>
          <w:rFonts w:ascii="Times New Roman" w:hAnsi="Times New Roman"/>
          <w:sz w:val="24"/>
          <w:szCs w:val="24"/>
          <w:lang w:val="sr-Cyrl-CS"/>
        </w:rPr>
        <w:t xml:space="preserve">које су </w:t>
      </w:r>
      <w:r>
        <w:rPr>
          <w:rFonts w:ascii="Times New Roman" w:hAnsi="Times New Roman"/>
          <w:sz w:val="24"/>
          <w:szCs w:val="24"/>
          <w:lang w:val="sr-Cyrl-CS"/>
        </w:rPr>
        <w:t xml:space="preserve">у вези са опорезивањем </w:t>
      </w:r>
      <w:r w:rsidR="00BE23F9">
        <w:rPr>
          <w:rFonts w:ascii="Times New Roman" w:hAnsi="Times New Roman"/>
          <w:sz w:val="24"/>
          <w:szCs w:val="24"/>
          <w:lang w:val="sr-Cyrl-CS"/>
        </w:rPr>
        <w:t xml:space="preserve">и </w:t>
      </w:r>
      <w:r>
        <w:rPr>
          <w:rFonts w:ascii="Times New Roman" w:hAnsi="Times New Roman"/>
          <w:sz w:val="24"/>
          <w:szCs w:val="24"/>
          <w:lang w:val="sr-Cyrl-CS"/>
        </w:rPr>
        <w:t>које одређују</w:t>
      </w:r>
      <w:r w:rsidR="0075299C">
        <w:rPr>
          <w:rFonts w:ascii="Times New Roman" w:hAnsi="Times New Roman"/>
          <w:sz w:val="24"/>
          <w:szCs w:val="24"/>
          <w:lang w:val="sr-Cyrl-CS"/>
        </w:rPr>
        <w:t>, са друштвеног становишта,</w:t>
      </w:r>
      <w:r>
        <w:rPr>
          <w:rFonts w:ascii="Times New Roman" w:hAnsi="Times New Roman"/>
          <w:sz w:val="24"/>
          <w:szCs w:val="24"/>
          <w:lang w:val="sr-Cyrl-CS"/>
        </w:rPr>
        <w:t xml:space="preserve"> која је врст</w:t>
      </w:r>
      <w:r w:rsidR="0075299C">
        <w:rPr>
          <w:rFonts w:ascii="Times New Roman" w:hAnsi="Times New Roman"/>
          <w:sz w:val="24"/>
          <w:szCs w:val="24"/>
          <w:lang w:val="sr-Cyrl-CS"/>
        </w:rPr>
        <w:t>а тог понашања</w:t>
      </w:r>
      <w:r>
        <w:rPr>
          <w:rFonts w:ascii="Times New Roman" w:hAnsi="Times New Roman"/>
          <w:sz w:val="24"/>
          <w:szCs w:val="24"/>
          <w:lang w:val="sr-Cyrl-CS"/>
        </w:rPr>
        <w:t xml:space="preserve"> корисна</w:t>
      </w:r>
      <w:r w:rsidR="0075299C">
        <w:rPr>
          <w:rFonts w:ascii="Times New Roman" w:hAnsi="Times New Roman"/>
          <w:sz w:val="24"/>
          <w:szCs w:val="24"/>
          <w:lang w:val="sr-Cyrl-CS"/>
        </w:rPr>
        <w:t>,</w:t>
      </w:r>
      <w:r>
        <w:rPr>
          <w:rFonts w:ascii="Times New Roman" w:hAnsi="Times New Roman"/>
          <w:sz w:val="24"/>
          <w:szCs w:val="24"/>
          <w:lang w:val="sr-Cyrl-CS"/>
        </w:rPr>
        <w:t xml:space="preserve"> а која штетна.</w:t>
      </w:r>
      <w:r>
        <w:rPr>
          <w:rStyle w:val="FootnoteReference"/>
          <w:rFonts w:ascii="Times New Roman" w:hAnsi="Times New Roman"/>
          <w:sz w:val="24"/>
          <w:szCs w:val="24"/>
          <w:lang w:val="sr-Cyrl-CS"/>
        </w:rPr>
        <w:footnoteReference w:id="763"/>
      </w:r>
    </w:p>
    <w:p w:rsidR="0049087E" w:rsidRDefault="00C441F5" w:rsidP="00C441F5">
      <w:pPr>
        <w:ind w:firstLine="708"/>
        <w:jc w:val="both"/>
        <w:rPr>
          <w:rFonts w:ascii="Times New Roman" w:hAnsi="Times New Roman"/>
          <w:sz w:val="24"/>
          <w:szCs w:val="24"/>
          <w:lang w:val="sr-Cyrl-CS"/>
        </w:rPr>
      </w:pPr>
      <w:r>
        <w:rPr>
          <w:rFonts w:ascii="Times New Roman" w:hAnsi="Times New Roman"/>
          <w:sz w:val="24"/>
          <w:szCs w:val="24"/>
          <w:lang w:val="sr-Cyrl-CS"/>
        </w:rPr>
        <w:t xml:space="preserve">Порески морал се, према томе, не може посебно и одвојено посматрати у односу на опште стање морала у друштву и може се подићи </w:t>
      </w:r>
      <w:r w:rsidR="009911B7">
        <w:rPr>
          <w:rFonts w:ascii="Times New Roman" w:hAnsi="Times New Roman"/>
          <w:sz w:val="24"/>
          <w:szCs w:val="24"/>
          <w:lang w:val="sr-Cyrl-CS"/>
        </w:rPr>
        <w:t xml:space="preserve">стварањем таквог стања свести код пореских обвезника да је правилно да своје пореске обавезе измирују због дугорочних користи на нивоу целог друштва. </w:t>
      </w:r>
    </w:p>
    <w:p w:rsidR="0001601F" w:rsidRDefault="00FF15D3" w:rsidP="004F3D57">
      <w:pPr>
        <w:ind w:firstLine="708"/>
        <w:jc w:val="both"/>
        <w:rPr>
          <w:rFonts w:ascii="Times New Roman" w:hAnsi="Times New Roman"/>
          <w:sz w:val="24"/>
          <w:szCs w:val="24"/>
          <w:lang w:val="sr-Cyrl-CS"/>
        </w:rPr>
      </w:pPr>
      <w:r>
        <w:rPr>
          <w:rFonts w:ascii="Times New Roman" w:hAnsi="Times New Roman"/>
          <w:sz w:val="24"/>
          <w:szCs w:val="24"/>
          <w:lang w:val="sr-Cyrl-CS"/>
        </w:rPr>
        <w:t>З</w:t>
      </w:r>
      <w:r w:rsidR="005321CC">
        <w:rPr>
          <w:rFonts w:ascii="Times New Roman" w:hAnsi="Times New Roman"/>
          <w:sz w:val="24"/>
          <w:szCs w:val="24"/>
          <w:lang w:val="sr-Cyrl-CS"/>
        </w:rPr>
        <w:t xml:space="preserve">начајну улогу </w:t>
      </w:r>
      <w:r>
        <w:rPr>
          <w:rFonts w:ascii="Times New Roman" w:hAnsi="Times New Roman"/>
          <w:sz w:val="24"/>
          <w:szCs w:val="24"/>
          <w:lang w:val="sr-Cyrl-CS"/>
        </w:rPr>
        <w:t>у борби против ових негат</w:t>
      </w:r>
      <w:r w:rsidR="00395AB8">
        <w:rPr>
          <w:rFonts w:ascii="Times New Roman" w:hAnsi="Times New Roman"/>
          <w:sz w:val="24"/>
          <w:szCs w:val="24"/>
          <w:lang w:val="sr-Cyrl-CS"/>
        </w:rPr>
        <w:t>и</w:t>
      </w:r>
      <w:r>
        <w:rPr>
          <w:rFonts w:ascii="Times New Roman" w:hAnsi="Times New Roman"/>
          <w:sz w:val="24"/>
          <w:szCs w:val="24"/>
          <w:lang w:val="sr-Cyrl-CS"/>
        </w:rPr>
        <w:t xml:space="preserve">вних појава </w:t>
      </w:r>
      <w:r w:rsidR="005321CC">
        <w:rPr>
          <w:rFonts w:ascii="Times New Roman" w:hAnsi="Times New Roman"/>
          <w:sz w:val="24"/>
          <w:szCs w:val="24"/>
          <w:lang w:val="sr-Cyrl-CS"/>
        </w:rPr>
        <w:t>има тзв. „систе</w:t>
      </w:r>
      <w:r w:rsidR="00BE23F9">
        <w:rPr>
          <w:rFonts w:ascii="Times New Roman" w:hAnsi="Times New Roman"/>
          <w:sz w:val="24"/>
          <w:szCs w:val="24"/>
          <w:lang w:val="sr-Cyrl-CS"/>
        </w:rPr>
        <w:t xml:space="preserve">м социјалне контроле“ под којим се подразумевају </w:t>
      </w:r>
      <w:r w:rsidR="005321CC">
        <w:rPr>
          <w:rFonts w:ascii="Times New Roman" w:hAnsi="Times New Roman"/>
          <w:sz w:val="24"/>
          <w:szCs w:val="24"/>
          <w:lang w:val="sr-Cyrl-CS"/>
        </w:rPr>
        <w:t xml:space="preserve">разне методе путем којих се у некој друштвеној заједници контролишу понашања и активности конкретне заједнице: појединаца, друштвених група и друштва у целини. Овако схваћена социјална контрола се може </w:t>
      </w:r>
      <w:r w:rsidR="00F96591">
        <w:rPr>
          <w:rFonts w:ascii="Times New Roman" w:hAnsi="Times New Roman"/>
          <w:sz w:val="24"/>
          <w:szCs w:val="24"/>
          <w:lang w:val="sr-Cyrl-CS"/>
        </w:rPr>
        <w:t>посматрати</w:t>
      </w:r>
      <w:r w:rsidR="005321CC">
        <w:rPr>
          <w:rFonts w:ascii="Times New Roman" w:hAnsi="Times New Roman"/>
          <w:sz w:val="24"/>
          <w:szCs w:val="24"/>
          <w:lang w:val="sr-Cyrl-CS"/>
        </w:rPr>
        <w:t xml:space="preserve"> и као скуп процеса </w:t>
      </w:r>
      <w:r w:rsidR="00BE23F9">
        <w:rPr>
          <w:rFonts w:ascii="Times New Roman" w:hAnsi="Times New Roman"/>
          <w:sz w:val="24"/>
          <w:szCs w:val="24"/>
          <w:lang w:val="sr-Cyrl-CS"/>
        </w:rPr>
        <w:t>којима</w:t>
      </w:r>
      <w:r w:rsidR="005321CC">
        <w:rPr>
          <w:rFonts w:ascii="Times New Roman" w:hAnsi="Times New Roman"/>
          <w:sz w:val="24"/>
          <w:szCs w:val="24"/>
          <w:lang w:val="sr-Cyrl-CS"/>
        </w:rPr>
        <w:t xml:space="preserve"> се обезбеђује сагласно</w:t>
      </w:r>
      <w:r>
        <w:rPr>
          <w:rFonts w:ascii="Times New Roman" w:hAnsi="Times New Roman"/>
          <w:sz w:val="24"/>
          <w:szCs w:val="24"/>
          <w:lang w:val="sr-Cyrl-CS"/>
        </w:rPr>
        <w:t>с</w:t>
      </w:r>
      <w:r w:rsidR="005321CC">
        <w:rPr>
          <w:rFonts w:ascii="Times New Roman" w:hAnsi="Times New Roman"/>
          <w:sz w:val="24"/>
          <w:szCs w:val="24"/>
          <w:lang w:val="sr-Cyrl-CS"/>
        </w:rPr>
        <w:t>т појединачних понашања</w:t>
      </w:r>
      <w:r w:rsidR="007D3F49">
        <w:rPr>
          <w:rFonts w:ascii="Times New Roman" w:hAnsi="Times New Roman"/>
          <w:sz w:val="24"/>
          <w:szCs w:val="24"/>
          <w:lang w:val="sr-Cyrl-CS"/>
        </w:rPr>
        <w:t xml:space="preserve"> у до</w:t>
      </w:r>
      <w:r w:rsidR="00BE23F9">
        <w:rPr>
          <w:rFonts w:ascii="Times New Roman" w:hAnsi="Times New Roman"/>
          <w:sz w:val="24"/>
          <w:szCs w:val="24"/>
          <w:lang w:val="sr-Cyrl-CS"/>
        </w:rPr>
        <w:t>мену спречавања пореске евазије.</w:t>
      </w:r>
      <w:r w:rsidR="001E5348">
        <w:rPr>
          <w:rFonts w:ascii="Times New Roman" w:hAnsi="Times New Roman"/>
          <w:sz w:val="24"/>
          <w:szCs w:val="24"/>
          <w:lang w:val="sr-Cyrl-CS"/>
        </w:rPr>
        <w:t xml:space="preserve"> </w:t>
      </w:r>
      <w:r w:rsidR="00BE23F9">
        <w:rPr>
          <w:rFonts w:ascii="Times New Roman" w:hAnsi="Times New Roman"/>
          <w:sz w:val="24"/>
          <w:szCs w:val="24"/>
          <w:lang w:val="sr-Cyrl-CS"/>
        </w:rPr>
        <w:t xml:space="preserve">Дакле, </w:t>
      </w:r>
      <w:r w:rsidR="001E5348">
        <w:rPr>
          <w:rFonts w:ascii="Times New Roman" w:hAnsi="Times New Roman"/>
          <w:sz w:val="24"/>
          <w:szCs w:val="24"/>
          <w:lang w:val="sr-Cyrl-CS"/>
        </w:rPr>
        <w:t>р</w:t>
      </w:r>
      <w:r w:rsidR="007D3F49">
        <w:rPr>
          <w:rFonts w:ascii="Times New Roman" w:hAnsi="Times New Roman"/>
          <w:sz w:val="24"/>
          <w:szCs w:val="24"/>
          <w:lang w:val="sr-Cyrl-CS"/>
        </w:rPr>
        <w:t>ади се о поштовању друштвене норме уредног испуњавања пореских обавеза</w:t>
      </w:r>
      <w:r w:rsidR="005321CC">
        <w:rPr>
          <w:rFonts w:ascii="Times New Roman" w:hAnsi="Times New Roman"/>
          <w:sz w:val="24"/>
          <w:szCs w:val="24"/>
          <w:lang w:val="sr-Cyrl-CS"/>
        </w:rPr>
        <w:t>.</w:t>
      </w:r>
      <w:r w:rsidR="005321CC">
        <w:rPr>
          <w:rStyle w:val="FootnoteReference"/>
          <w:rFonts w:ascii="Times New Roman" w:hAnsi="Times New Roman"/>
          <w:sz w:val="24"/>
          <w:szCs w:val="24"/>
          <w:lang w:val="sr-Cyrl-CS"/>
        </w:rPr>
        <w:footnoteReference w:id="764"/>
      </w:r>
      <w:r>
        <w:rPr>
          <w:rFonts w:ascii="Times New Roman" w:hAnsi="Times New Roman"/>
          <w:sz w:val="24"/>
          <w:szCs w:val="24"/>
          <w:lang w:val="sr-Cyrl-CS"/>
        </w:rPr>
        <w:t xml:space="preserve"> Средства оваквог система </w:t>
      </w:r>
      <w:r w:rsidR="00AF4771">
        <w:rPr>
          <w:rFonts w:ascii="Times New Roman" w:hAnsi="Times New Roman"/>
          <w:sz w:val="24"/>
          <w:szCs w:val="24"/>
          <w:lang w:val="sr-Cyrl-CS"/>
        </w:rPr>
        <w:lastRenderedPageBreak/>
        <w:t>треба да буду добро организована, а значајан фактор су и</w:t>
      </w:r>
      <w:r>
        <w:rPr>
          <w:rFonts w:ascii="Times New Roman" w:hAnsi="Times New Roman"/>
          <w:sz w:val="24"/>
          <w:szCs w:val="24"/>
          <w:lang w:val="sr-Cyrl-CS"/>
        </w:rPr>
        <w:t xml:space="preserve"> ефикасни органи који учествују у откривању и процесуирању пореске евазије, привредног криминала и корупције.</w:t>
      </w:r>
      <w:r w:rsidR="0001601F">
        <w:rPr>
          <w:rFonts w:ascii="Times New Roman" w:hAnsi="Times New Roman"/>
          <w:sz w:val="24"/>
          <w:szCs w:val="24"/>
          <w:lang w:val="sr-Cyrl-CS"/>
        </w:rPr>
        <w:t xml:space="preserve"> </w:t>
      </w:r>
    </w:p>
    <w:p w:rsidR="0001601F" w:rsidRDefault="0001601F" w:rsidP="00B010B3">
      <w:pPr>
        <w:ind w:firstLine="708"/>
        <w:jc w:val="both"/>
        <w:rPr>
          <w:rFonts w:ascii="Times New Roman" w:hAnsi="Times New Roman"/>
          <w:sz w:val="24"/>
          <w:szCs w:val="24"/>
          <w:lang w:val="sr-Cyrl-CS"/>
        </w:rPr>
      </w:pPr>
    </w:p>
    <w:p w:rsidR="002641B8" w:rsidRPr="001C7B5A" w:rsidRDefault="001C7B5A" w:rsidP="008A3795">
      <w:pPr>
        <w:pStyle w:val="ListParagraph"/>
        <w:numPr>
          <w:ilvl w:val="1"/>
          <w:numId w:val="59"/>
        </w:numPr>
        <w:jc w:val="center"/>
        <w:rPr>
          <w:rFonts w:ascii="Times New Roman" w:hAnsi="Times New Roman"/>
          <w:b/>
          <w:sz w:val="24"/>
          <w:szCs w:val="24"/>
          <w:lang w:val="sr-Cyrl-CS"/>
        </w:rPr>
      </w:pPr>
      <w:r>
        <w:rPr>
          <w:rFonts w:ascii="Times New Roman" w:hAnsi="Times New Roman"/>
          <w:b/>
          <w:sz w:val="24"/>
          <w:szCs w:val="24"/>
        </w:rPr>
        <w:t xml:space="preserve"> </w:t>
      </w:r>
      <w:r w:rsidR="00831172" w:rsidRPr="001C7B5A">
        <w:rPr>
          <w:rFonts w:ascii="Times New Roman" w:hAnsi="Times New Roman"/>
          <w:b/>
          <w:sz w:val="24"/>
          <w:szCs w:val="24"/>
          <w:lang w:val="sr-Cyrl-CS"/>
        </w:rPr>
        <w:t>Политичке мере</w:t>
      </w:r>
    </w:p>
    <w:p w:rsidR="00831172" w:rsidRPr="00831172" w:rsidRDefault="00831172" w:rsidP="00831172">
      <w:pPr>
        <w:ind w:firstLine="708"/>
        <w:jc w:val="center"/>
        <w:rPr>
          <w:rFonts w:ascii="Times New Roman" w:hAnsi="Times New Roman"/>
          <w:b/>
          <w:sz w:val="24"/>
          <w:szCs w:val="24"/>
          <w:lang w:val="sr-Cyrl-CS"/>
        </w:rPr>
      </w:pPr>
    </w:p>
    <w:p w:rsidR="00840288" w:rsidRPr="00464BEC" w:rsidRDefault="00453E3D" w:rsidP="00464BEC">
      <w:pPr>
        <w:ind w:firstLine="708"/>
        <w:jc w:val="both"/>
        <w:rPr>
          <w:rFonts w:ascii="Arial" w:hAnsi="Arial" w:cs="Arial"/>
          <w:color w:val="3C3C3C"/>
          <w:sz w:val="18"/>
          <w:szCs w:val="18"/>
          <w:shd w:val="clear" w:color="auto" w:fill="FFFFFF"/>
          <w:lang w:val="sr-Cyrl-CS"/>
        </w:rPr>
      </w:pPr>
      <w:r>
        <w:rPr>
          <w:rFonts w:ascii="Times New Roman" w:hAnsi="Times New Roman"/>
          <w:sz w:val="24"/>
          <w:szCs w:val="24"/>
          <w:lang w:val="sr-Cyrl-CS"/>
        </w:rPr>
        <w:t xml:space="preserve">Политичка воља и политички систем имају значајну улогу у борби против ових негативних феномена. </w:t>
      </w:r>
      <w:r w:rsidR="00464BEC">
        <w:rPr>
          <w:rFonts w:ascii="Times New Roman" w:hAnsi="Times New Roman"/>
          <w:sz w:val="24"/>
          <w:szCs w:val="24"/>
          <w:lang w:val="sr-Cyrl-CS"/>
        </w:rPr>
        <w:t>Према томе, успешност борбе зависи од политичке воље, како на државном, тако и на нивоу сваке појединачне локалне самоуправе.</w:t>
      </w:r>
      <w:r w:rsidR="00464BEC">
        <w:rPr>
          <w:rFonts w:ascii="Arial" w:hAnsi="Arial" w:cs="Arial"/>
          <w:color w:val="3C3C3C"/>
          <w:sz w:val="18"/>
          <w:szCs w:val="18"/>
          <w:shd w:val="clear" w:color="auto" w:fill="FFFFFF"/>
          <w:lang w:val="sr-Cyrl-CS"/>
        </w:rPr>
        <w:t xml:space="preserve"> </w:t>
      </w:r>
      <w:r w:rsidR="00ED1283">
        <w:rPr>
          <w:rFonts w:ascii="Times New Roman" w:hAnsi="Times New Roman"/>
          <w:sz w:val="24"/>
          <w:szCs w:val="24"/>
          <w:lang w:val="sr-Cyrl-CS"/>
        </w:rPr>
        <w:t>Политичке мере се односе на праћење и усаглашавање прописа са актуелном ситуацијом и појавним облицима ових негативних феномена, праћење прописа и мера на међународном плану, повезаност и организована акција органа који учествују у откривању и сузбијању ових појава, обезбеђивање услова у погледу техничких услова и финансијских средстава за рад тих органа.</w:t>
      </w:r>
    </w:p>
    <w:p w:rsidR="00743A1F" w:rsidRPr="00464BEC" w:rsidRDefault="00464BEC" w:rsidP="00464BEC">
      <w:pPr>
        <w:ind w:firstLine="708"/>
        <w:jc w:val="both"/>
        <w:rPr>
          <w:rFonts w:ascii="Times New Roman" w:hAnsi="Times New Roman"/>
          <w:color w:val="000000"/>
          <w:sz w:val="24"/>
          <w:szCs w:val="24"/>
          <w:shd w:val="clear" w:color="auto" w:fill="FFFFFF"/>
          <w:lang w:val="sr-Cyrl-CS"/>
        </w:rPr>
      </w:pPr>
      <w:r w:rsidRPr="00464BEC">
        <w:rPr>
          <w:rFonts w:ascii="Times New Roman" w:hAnsi="Times New Roman"/>
          <w:bCs/>
          <w:iCs/>
          <w:color w:val="000000"/>
          <w:sz w:val="24"/>
          <w:szCs w:val="24"/>
          <w:shd w:val="clear" w:color="auto" w:fill="FFFFFF"/>
        </w:rPr>
        <w:t>Према</w:t>
      </w:r>
      <w:r w:rsidR="00A54147" w:rsidRPr="00464BEC">
        <w:rPr>
          <w:rFonts w:ascii="Times New Roman" w:hAnsi="Times New Roman"/>
          <w:bCs/>
          <w:iCs/>
          <w:color w:val="000000"/>
          <w:sz w:val="24"/>
          <w:szCs w:val="24"/>
          <w:shd w:val="clear" w:color="auto" w:fill="FFFFFF"/>
        </w:rPr>
        <w:t xml:space="preserve"> </w:t>
      </w:r>
      <w:r w:rsidR="00496DC7">
        <w:rPr>
          <w:rFonts w:ascii="Times New Roman" w:hAnsi="Times New Roman"/>
          <w:bCs/>
          <w:iCs/>
          <w:color w:val="000000"/>
          <w:sz w:val="24"/>
          <w:szCs w:val="24"/>
          <w:shd w:val="clear" w:color="auto" w:fill="FFFFFF"/>
        </w:rPr>
        <w:t>Глобално</w:t>
      </w:r>
      <w:r w:rsidR="00496DC7">
        <w:rPr>
          <w:rFonts w:ascii="Times New Roman" w:hAnsi="Times New Roman"/>
          <w:bCs/>
          <w:iCs/>
          <w:color w:val="000000"/>
          <w:sz w:val="24"/>
          <w:szCs w:val="24"/>
          <w:shd w:val="clear" w:color="auto" w:fill="FFFFFF"/>
          <w:lang w:val="sr-Cyrl-CS"/>
        </w:rPr>
        <w:t>м</w:t>
      </w:r>
      <w:r w:rsidR="00A54147" w:rsidRPr="00464BEC">
        <w:rPr>
          <w:rFonts w:ascii="Times New Roman" w:hAnsi="Times New Roman"/>
          <w:bCs/>
          <w:iCs/>
          <w:color w:val="000000"/>
          <w:sz w:val="24"/>
          <w:szCs w:val="24"/>
          <w:shd w:val="clear" w:color="auto" w:fill="FFFFFF"/>
        </w:rPr>
        <w:t xml:space="preserve"> </w:t>
      </w:r>
      <w:r w:rsidR="00496DC7">
        <w:rPr>
          <w:rFonts w:ascii="Times New Roman" w:hAnsi="Times New Roman"/>
          <w:bCs/>
          <w:iCs/>
          <w:color w:val="000000"/>
          <w:sz w:val="24"/>
          <w:szCs w:val="24"/>
          <w:shd w:val="clear" w:color="auto" w:fill="FFFFFF"/>
        </w:rPr>
        <w:t>индекс</w:t>
      </w:r>
      <w:r w:rsidR="00496DC7">
        <w:rPr>
          <w:rFonts w:ascii="Times New Roman" w:hAnsi="Times New Roman"/>
          <w:bCs/>
          <w:iCs/>
          <w:color w:val="000000"/>
          <w:sz w:val="24"/>
          <w:szCs w:val="24"/>
          <w:shd w:val="clear" w:color="auto" w:fill="FFFFFF"/>
          <w:lang w:val="sr-Cyrl-CS"/>
        </w:rPr>
        <w:t>у</w:t>
      </w:r>
      <w:r w:rsidR="00A54147" w:rsidRPr="00464BEC">
        <w:rPr>
          <w:rFonts w:ascii="Times New Roman" w:hAnsi="Times New Roman"/>
          <w:bCs/>
          <w:iCs/>
          <w:color w:val="000000"/>
          <w:sz w:val="24"/>
          <w:szCs w:val="24"/>
          <w:shd w:val="clear" w:color="auto" w:fill="FFFFFF"/>
        </w:rPr>
        <w:t xml:space="preserve"> </w:t>
      </w:r>
      <w:r w:rsidRPr="00464BEC">
        <w:rPr>
          <w:rFonts w:ascii="Times New Roman" w:hAnsi="Times New Roman"/>
          <w:bCs/>
          <w:iCs/>
          <w:color w:val="000000"/>
          <w:sz w:val="24"/>
          <w:szCs w:val="24"/>
          <w:shd w:val="clear" w:color="auto" w:fill="FFFFFF"/>
        </w:rPr>
        <w:t>корупције</w:t>
      </w:r>
      <w:r w:rsidR="00A54147" w:rsidRPr="00464BEC">
        <w:rPr>
          <w:rFonts w:ascii="Times New Roman" w:hAnsi="Times New Roman"/>
          <w:bCs/>
          <w:iCs/>
          <w:color w:val="000000"/>
          <w:sz w:val="24"/>
          <w:szCs w:val="24"/>
          <w:shd w:val="clear" w:color="auto" w:fill="FFFFFF"/>
        </w:rPr>
        <w:t xml:space="preserve"> </w:t>
      </w:r>
      <w:r w:rsidRPr="00464BEC">
        <w:rPr>
          <w:rFonts w:ascii="Times New Roman" w:hAnsi="Times New Roman"/>
          <w:bCs/>
          <w:iCs/>
          <w:color w:val="000000"/>
          <w:sz w:val="24"/>
          <w:szCs w:val="24"/>
          <w:shd w:val="clear" w:color="auto" w:fill="FFFFFF"/>
        </w:rPr>
        <w:t>Србија</w:t>
      </w:r>
      <w:r w:rsidR="00A54147" w:rsidRPr="00464BEC">
        <w:rPr>
          <w:rFonts w:ascii="Times New Roman" w:hAnsi="Times New Roman"/>
          <w:bCs/>
          <w:iCs/>
          <w:color w:val="000000"/>
          <w:sz w:val="24"/>
          <w:szCs w:val="24"/>
          <w:shd w:val="clear" w:color="auto" w:fill="FFFFFF"/>
        </w:rPr>
        <w:t xml:space="preserve"> </w:t>
      </w:r>
      <w:r w:rsidRPr="00464BEC">
        <w:rPr>
          <w:rFonts w:ascii="Times New Roman" w:hAnsi="Times New Roman"/>
          <w:bCs/>
          <w:iCs/>
          <w:color w:val="000000"/>
          <w:sz w:val="24"/>
          <w:szCs w:val="24"/>
          <w:shd w:val="clear" w:color="auto" w:fill="FFFFFF"/>
        </w:rPr>
        <w:t>је</w:t>
      </w:r>
      <w:r w:rsidR="00A54147" w:rsidRPr="00464BEC">
        <w:rPr>
          <w:rFonts w:ascii="Times New Roman" w:hAnsi="Times New Roman"/>
          <w:bCs/>
          <w:iCs/>
          <w:color w:val="000000"/>
          <w:sz w:val="24"/>
          <w:szCs w:val="24"/>
          <w:shd w:val="clear" w:color="auto" w:fill="FFFFFF"/>
        </w:rPr>
        <w:t xml:space="preserve"> </w:t>
      </w:r>
      <w:r w:rsidRPr="00464BEC">
        <w:rPr>
          <w:rFonts w:ascii="Times New Roman" w:hAnsi="Times New Roman"/>
          <w:bCs/>
          <w:iCs/>
          <w:color w:val="000000"/>
          <w:sz w:val="24"/>
          <w:szCs w:val="24"/>
          <w:shd w:val="clear" w:color="auto" w:fill="FFFFFF"/>
        </w:rPr>
        <w:t>остварила</w:t>
      </w:r>
      <w:r w:rsidR="00A54147" w:rsidRPr="00464BEC">
        <w:rPr>
          <w:rFonts w:ascii="Times New Roman" w:hAnsi="Times New Roman"/>
          <w:bCs/>
          <w:iCs/>
          <w:color w:val="000000"/>
          <w:sz w:val="24"/>
          <w:szCs w:val="24"/>
          <w:shd w:val="clear" w:color="auto" w:fill="FFFFFF"/>
        </w:rPr>
        <w:t xml:space="preserve"> </w:t>
      </w:r>
      <w:r w:rsidRPr="00464BEC">
        <w:rPr>
          <w:rFonts w:ascii="Times New Roman" w:hAnsi="Times New Roman"/>
          <w:bCs/>
          <w:iCs/>
          <w:color w:val="000000"/>
          <w:sz w:val="24"/>
          <w:szCs w:val="24"/>
          <w:shd w:val="clear" w:color="auto" w:fill="FFFFFF"/>
        </w:rPr>
        <w:t>напредак</w:t>
      </w:r>
      <w:r w:rsidR="00A54147" w:rsidRPr="00464BEC">
        <w:rPr>
          <w:rFonts w:ascii="Times New Roman" w:hAnsi="Times New Roman"/>
          <w:bCs/>
          <w:iCs/>
          <w:color w:val="000000"/>
          <w:sz w:val="24"/>
          <w:szCs w:val="24"/>
          <w:shd w:val="clear" w:color="auto" w:fill="FFFFFF"/>
        </w:rPr>
        <w:t xml:space="preserve"> </w:t>
      </w:r>
      <w:r w:rsidRPr="00464BEC">
        <w:rPr>
          <w:rFonts w:ascii="Times New Roman" w:hAnsi="Times New Roman"/>
          <w:bCs/>
          <w:iCs/>
          <w:color w:val="000000"/>
          <w:sz w:val="24"/>
          <w:szCs w:val="24"/>
          <w:shd w:val="clear" w:color="auto" w:fill="FFFFFF"/>
        </w:rPr>
        <w:t>у</w:t>
      </w:r>
      <w:r w:rsidR="00A54147" w:rsidRPr="00464BEC">
        <w:rPr>
          <w:rFonts w:ascii="Times New Roman" w:hAnsi="Times New Roman"/>
          <w:bCs/>
          <w:iCs/>
          <w:color w:val="000000"/>
          <w:sz w:val="24"/>
          <w:szCs w:val="24"/>
          <w:shd w:val="clear" w:color="auto" w:fill="FFFFFF"/>
        </w:rPr>
        <w:t xml:space="preserve"> </w:t>
      </w:r>
      <w:r w:rsidRPr="00464BEC">
        <w:rPr>
          <w:rFonts w:ascii="Times New Roman" w:hAnsi="Times New Roman"/>
          <w:bCs/>
          <w:iCs/>
          <w:color w:val="000000"/>
          <w:sz w:val="24"/>
          <w:szCs w:val="24"/>
          <w:shd w:val="clear" w:color="auto" w:fill="FFFFFF"/>
        </w:rPr>
        <w:t>борби</w:t>
      </w:r>
      <w:r w:rsidR="00A54147" w:rsidRPr="00464BEC">
        <w:rPr>
          <w:rFonts w:ascii="Times New Roman" w:hAnsi="Times New Roman"/>
          <w:bCs/>
          <w:iCs/>
          <w:color w:val="000000"/>
          <w:sz w:val="24"/>
          <w:szCs w:val="24"/>
          <w:shd w:val="clear" w:color="auto" w:fill="FFFFFF"/>
        </w:rPr>
        <w:t xml:space="preserve"> </w:t>
      </w:r>
      <w:r w:rsidRPr="00464BEC">
        <w:rPr>
          <w:rFonts w:ascii="Times New Roman" w:hAnsi="Times New Roman"/>
          <w:bCs/>
          <w:iCs/>
          <w:color w:val="000000"/>
          <w:sz w:val="24"/>
          <w:szCs w:val="24"/>
          <w:shd w:val="clear" w:color="auto" w:fill="FFFFFF"/>
        </w:rPr>
        <w:t>против</w:t>
      </w:r>
      <w:r w:rsidR="00A54147" w:rsidRPr="00464BEC">
        <w:rPr>
          <w:rFonts w:ascii="Times New Roman" w:hAnsi="Times New Roman"/>
          <w:bCs/>
          <w:iCs/>
          <w:color w:val="000000"/>
          <w:sz w:val="24"/>
          <w:szCs w:val="24"/>
          <w:shd w:val="clear" w:color="auto" w:fill="FFFFFF"/>
        </w:rPr>
        <w:t xml:space="preserve"> </w:t>
      </w:r>
      <w:r w:rsidRPr="00464BEC">
        <w:rPr>
          <w:rFonts w:ascii="Times New Roman" w:hAnsi="Times New Roman"/>
          <w:bCs/>
          <w:iCs/>
          <w:color w:val="000000"/>
          <w:sz w:val="24"/>
          <w:szCs w:val="24"/>
          <w:shd w:val="clear" w:color="auto" w:fill="FFFFFF"/>
        </w:rPr>
        <w:t>корупције</w:t>
      </w:r>
      <w:r w:rsidR="00A54147" w:rsidRPr="00464BEC">
        <w:rPr>
          <w:rFonts w:ascii="Times New Roman" w:hAnsi="Times New Roman"/>
          <w:bCs/>
          <w:iCs/>
          <w:color w:val="000000"/>
          <w:sz w:val="24"/>
          <w:szCs w:val="24"/>
          <w:shd w:val="clear" w:color="auto" w:fill="FFFFFF"/>
        </w:rPr>
        <w:t xml:space="preserve">, </w:t>
      </w:r>
      <w:r w:rsidRPr="00464BEC">
        <w:rPr>
          <w:rFonts w:ascii="Times New Roman" w:hAnsi="Times New Roman"/>
          <w:bCs/>
          <w:iCs/>
          <w:color w:val="000000"/>
          <w:sz w:val="24"/>
          <w:szCs w:val="24"/>
          <w:shd w:val="clear" w:color="auto" w:fill="FFFFFF"/>
        </w:rPr>
        <w:t>али</w:t>
      </w:r>
      <w:r w:rsidR="00A54147" w:rsidRPr="00464BEC">
        <w:rPr>
          <w:rFonts w:ascii="Times New Roman" w:hAnsi="Times New Roman"/>
          <w:bCs/>
          <w:iCs/>
          <w:color w:val="000000"/>
          <w:sz w:val="24"/>
          <w:szCs w:val="24"/>
          <w:shd w:val="clear" w:color="auto" w:fill="FFFFFF"/>
        </w:rPr>
        <w:t xml:space="preserve"> </w:t>
      </w:r>
      <w:r w:rsidRPr="00464BEC">
        <w:rPr>
          <w:rFonts w:ascii="Times New Roman" w:hAnsi="Times New Roman"/>
          <w:bCs/>
          <w:iCs/>
          <w:color w:val="000000"/>
          <w:sz w:val="24"/>
          <w:szCs w:val="24"/>
          <w:shd w:val="clear" w:color="auto" w:fill="FFFFFF"/>
        </w:rPr>
        <w:t>та</w:t>
      </w:r>
      <w:r w:rsidR="00A54147" w:rsidRPr="00464BEC">
        <w:rPr>
          <w:rFonts w:ascii="Times New Roman" w:hAnsi="Times New Roman"/>
          <w:bCs/>
          <w:iCs/>
          <w:color w:val="000000"/>
          <w:sz w:val="24"/>
          <w:szCs w:val="24"/>
          <w:shd w:val="clear" w:color="auto" w:fill="FFFFFF"/>
        </w:rPr>
        <w:t xml:space="preserve"> </w:t>
      </w:r>
      <w:r w:rsidRPr="00464BEC">
        <w:rPr>
          <w:rFonts w:ascii="Times New Roman" w:hAnsi="Times New Roman"/>
          <w:bCs/>
          <w:iCs/>
          <w:color w:val="000000"/>
          <w:sz w:val="24"/>
          <w:szCs w:val="24"/>
          <w:shd w:val="clear" w:color="auto" w:fill="FFFFFF"/>
        </w:rPr>
        <w:t>борба</w:t>
      </w:r>
      <w:r w:rsidR="00A54147" w:rsidRPr="00464BEC">
        <w:rPr>
          <w:rFonts w:ascii="Times New Roman" w:hAnsi="Times New Roman"/>
          <w:bCs/>
          <w:iCs/>
          <w:color w:val="000000"/>
          <w:sz w:val="24"/>
          <w:szCs w:val="24"/>
          <w:shd w:val="clear" w:color="auto" w:fill="FFFFFF"/>
        </w:rPr>
        <w:t xml:space="preserve"> </w:t>
      </w:r>
      <w:r w:rsidRPr="00464BEC">
        <w:rPr>
          <w:rFonts w:ascii="Times New Roman" w:hAnsi="Times New Roman"/>
          <w:bCs/>
          <w:iCs/>
          <w:color w:val="000000"/>
          <w:sz w:val="24"/>
          <w:szCs w:val="24"/>
          <w:shd w:val="clear" w:color="auto" w:fill="FFFFFF"/>
        </w:rPr>
        <w:t>није</w:t>
      </w:r>
      <w:r w:rsidR="00A54147" w:rsidRPr="00464BEC">
        <w:rPr>
          <w:rFonts w:ascii="Times New Roman" w:hAnsi="Times New Roman"/>
          <w:bCs/>
          <w:iCs/>
          <w:color w:val="000000"/>
          <w:sz w:val="24"/>
          <w:szCs w:val="24"/>
          <w:shd w:val="clear" w:color="auto" w:fill="FFFFFF"/>
        </w:rPr>
        <w:t xml:space="preserve"> </w:t>
      </w:r>
      <w:r w:rsidRPr="00464BEC">
        <w:rPr>
          <w:rFonts w:ascii="Times New Roman" w:hAnsi="Times New Roman"/>
          <w:bCs/>
          <w:iCs/>
          <w:color w:val="000000"/>
          <w:sz w:val="24"/>
          <w:szCs w:val="24"/>
          <w:shd w:val="clear" w:color="auto" w:fill="FFFFFF"/>
        </w:rPr>
        <w:t>у</w:t>
      </w:r>
      <w:r w:rsidR="00A54147" w:rsidRPr="00464BEC">
        <w:rPr>
          <w:rFonts w:ascii="Times New Roman" w:hAnsi="Times New Roman"/>
          <w:bCs/>
          <w:iCs/>
          <w:color w:val="000000"/>
          <w:sz w:val="24"/>
          <w:szCs w:val="24"/>
          <w:shd w:val="clear" w:color="auto" w:fill="FFFFFF"/>
        </w:rPr>
        <w:t xml:space="preserve"> </w:t>
      </w:r>
      <w:r w:rsidRPr="00464BEC">
        <w:rPr>
          <w:rFonts w:ascii="Times New Roman" w:hAnsi="Times New Roman"/>
          <w:bCs/>
          <w:iCs/>
          <w:color w:val="000000"/>
          <w:sz w:val="24"/>
          <w:szCs w:val="24"/>
          <w:shd w:val="clear" w:color="auto" w:fill="FFFFFF"/>
        </w:rPr>
        <w:t>институцијама</w:t>
      </w:r>
      <w:r w:rsidR="00A54147" w:rsidRPr="00464BEC">
        <w:rPr>
          <w:rFonts w:ascii="Times New Roman" w:hAnsi="Times New Roman"/>
          <w:bCs/>
          <w:iCs/>
          <w:color w:val="000000"/>
          <w:sz w:val="24"/>
          <w:szCs w:val="24"/>
          <w:shd w:val="clear" w:color="auto" w:fill="FFFFFF"/>
        </w:rPr>
        <w:t xml:space="preserve"> </w:t>
      </w:r>
      <w:r w:rsidRPr="00464BEC">
        <w:rPr>
          <w:rFonts w:ascii="Times New Roman" w:hAnsi="Times New Roman"/>
          <w:bCs/>
          <w:iCs/>
          <w:color w:val="000000"/>
          <w:sz w:val="24"/>
          <w:szCs w:val="24"/>
          <w:shd w:val="clear" w:color="auto" w:fill="FFFFFF"/>
        </w:rPr>
        <w:t>и</w:t>
      </w:r>
      <w:r w:rsidR="00A54147" w:rsidRPr="00464BEC">
        <w:rPr>
          <w:rFonts w:ascii="Times New Roman" w:hAnsi="Times New Roman"/>
          <w:bCs/>
          <w:iCs/>
          <w:color w:val="000000"/>
          <w:sz w:val="24"/>
          <w:szCs w:val="24"/>
          <w:shd w:val="clear" w:color="auto" w:fill="FFFFFF"/>
        </w:rPr>
        <w:t xml:space="preserve"> </w:t>
      </w:r>
      <w:r w:rsidRPr="00464BEC">
        <w:rPr>
          <w:rFonts w:ascii="Times New Roman" w:hAnsi="Times New Roman"/>
          <w:bCs/>
          <w:iCs/>
          <w:color w:val="000000"/>
          <w:sz w:val="24"/>
          <w:szCs w:val="24"/>
          <w:shd w:val="clear" w:color="auto" w:fill="FFFFFF"/>
        </w:rPr>
        <w:t>зависи</w:t>
      </w:r>
      <w:r w:rsidR="00A54147" w:rsidRPr="00464BEC">
        <w:rPr>
          <w:rFonts w:ascii="Times New Roman" w:hAnsi="Times New Roman"/>
          <w:bCs/>
          <w:iCs/>
          <w:color w:val="000000"/>
          <w:sz w:val="24"/>
          <w:szCs w:val="24"/>
          <w:shd w:val="clear" w:color="auto" w:fill="FFFFFF"/>
        </w:rPr>
        <w:t xml:space="preserve"> </w:t>
      </w:r>
      <w:r w:rsidRPr="00464BEC">
        <w:rPr>
          <w:rFonts w:ascii="Times New Roman" w:hAnsi="Times New Roman"/>
          <w:bCs/>
          <w:iCs/>
          <w:color w:val="000000"/>
          <w:sz w:val="24"/>
          <w:szCs w:val="24"/>
          <w:shd w:val="clear" w:color="auto" w:fill="FFFFFF"/>
        </w:rPr>
        <w:t>од</w:t>
      </w:r>
      <w:r w:rsidR="00A54147" w:rsidRPr="00464BEC">
        <w:rPr>
          <w:rFonts w:ascii="Times New Roman" w:hAnsi="Times New Roman"/>
          <w:bCs/>
          <w:iCs/>
          <w:color w:val="000000"/>
          <w:sz w:val="24"/>
          <w:szCs w:val="24"/>
          <w:shd w:val="clear" w:color="auto" w:fill="FFFFFF"/>
        </w:rPr>
        <w:t xml:space="preserve"> </w:t>
      </w:r>
      <w:r w:rsidRPr="00464BEC">
        <w:rPr>
          <w:rFonts w:ascii="Times New Roman" w:hAnsi="Times New Roman"/>
          <w:bCs/>
          <w:iCs/>
          <w:color w:val="000000"/>
          <w:sz w:val="24"/>
          <w:szCs w:val="24"/>
          <w:shd w:val="clear" w:color="auto" w:fill="FFFFFF"/>
        </w:rPr>
        <w:t>политичке</w:t>
      </w:r>
      <w:r w:rsidR="00A54147" w:rsidRPr="00464BEC">
        <w:rPr>
          <w:rFonts w:ascii="Times New Roman" w:hAnsi="Times New Roman"/>
          <w:bCs/>
          <w:iCs/>
          <w:color w:val="000000"/>
          <w:sz w:val="24"/>
          <w:szCs w:val="24"/>
          <w:shd w:val="clear" w:color="auto" w:fill="FFFFFF"/>
        </w:rPr>
        <w:t xml:space="preserve"> </w:t>
      </w:r>
      <w:r w:rsidRPr="00464BEC">
        <w:rPr>
          <w:rFonts w:ascii="Times New Roman" w:hAnsi="Times New Roman"/>
          <w:bCs/>
          <w:iCs/>
          <w:color w:val="000000"/>
          <w:sz w:val="24"/>
          <w:szCs w:val="24"/>
          <w:shd w:val="clear" w:color="auto" w:fill="FFFFFF"/>
        </w:rPr>
        <w:t>воље</w:t>
      </w:r>
      <w:r w:rsidR="00A54147" w:rsidRPr="00464BEC">
        <w:rPr>
          <w:rFonts w:ascii="Times New Roman" w:hAnsi="Times New Roman"/>
          <w:b/>
          <w:bCs/>
          <w:i/>
          <w:iCs/>
          <w:color w:val="000000"/>
          <w:sz w:val="24"/>
          <w:szCs w:val="24"/>
          <w:shd w:val="clear" w:color="auto" w:fill="FFFFFF"/>
          <w:lang w:val="sr-Cyrl-CS"/>
        </w:rPr>
        <w:t xml:space="preserve">. </w:t>
      </w:r>
      <w:r w:rsidR="00AF4771" w:rsidRPr="00464BEC">
        <w:rPr>
          <w:rFonts w:ascii="Times New Roman" w:hAnsi="Times New Roman"/>
          <w:color w:val="000000"/>
          <w:sz w:val="24"/>
          <w:szCs w:val="24"/>
          <w:shd w:val="clear" w:color="auto" w:fill="FFFFFF"/>
          <w:lang w:val="sr-Cyrl-CS"/>
        </w:rPr>
        <w:t xml:space="preserve">Према запажањима </w:t>
      </w:r>
      <w:r w:rsidRPr="00464BEC">
        <w:rPr>
          <w:rFonts w:ascii="Times New Roman" w:hAnsi="Times New Roman"/>
          <w:color w:val="000000"/>
          <w:sz w:val="24"/>
          <w:szCs w:val="24"/>
          <w:shd w:val="clear" w:color="auto" w:fill="FFFFFF"/>
        </w:rPr>
        <w:t>Биро</w:t>
      </w:r>
      <w:r w:rsidR="00AF4771" w:rsidRPr="00464BEC">
        <w:rPr>
          <w:rFonts w:ascii="Times New Roman" w:hAnsi="Times New Roman"/>
          <w:color w:val="000000"/>
          <w:sz w:val="24"/>
          <w:szCs w:val="24"/>
          <w:shd w:val="clear" w:color="auto" w:fill="FFFFFF"/>
          <w:lang w:val="sr-Cyrl-CS"/>
        </w:rPr>
        <w:t>а</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за</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друштвена</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истраживања</w:t>
      </w:r>
      <w:r w:rsidR="00A54147" w:rsidRPr="00464BEC">
        <w:rPr>
          <w:rFonts w:ascii="Times New Roman" w:hAnsi="Times New Roman"/>
          <w:color w:val="000000"/>
          <w:sz w:val="24"/>
          <w:szCs w:val="24"/>
          <w:shd w:val="clear" w:color="auto" w:fill="FFFFFF"/>
        </w:rPr>
        <w:t xml:space="preserve"> (</w:t>
      </w:r>
      <w:r w:rsidR="00496DC7">
        <w:rPr>
          <w:rFonts w:ascii="Times New Roman" w:hAnsi="Times New Roman"/>
          <w:color w:val="000000"/>
          <w:sz w:val="24"/>
          <w:szCs w:val="24"/>
          <w:shd w:val="clear" w:color="auto" w:fill="FFFFFF"/>
        </w:rPr>
        <w:t>BIRODI</w:t>
      </w:r>
      <w:r w:rsidR="00A54147" w:rsidRPr="00464BEC">
        <w:rPr>
          <w:rFonts w:ascii="Times New Roman" w:hAnsi="Times New Roman"/>
          <w:color w:val="000000"/>
          <w:sz w:val="24"/>
          <w:szCs w:val="24"/>
          <w:shd w:val="clear" w:color="auto" w:fill="FFFFFF"/>
        </w:rPr>
        <w:t xml:space="preserve">) </w:t>
      </w:r>
      <w:r w:rsidR="00AF4771" w:rsidRPr="00464BEC">
        <w:rPr>
          <w:rFonts w:ascii="Times New Roman" w:hAnsi="Times New Roman"/>
          <w:color w:val="000000"/>
          <w:sz w:val="24"/>
          <w:szCs w:val="24"/>
          <w:shd w:val="clear" w:color="auto" w:fill="FFFFFF"/>
          <w:lang w:val="sr-Cyrl-CS"/>
        </w:rPr>
        <w:t xml:space="preserve">у </w:t>
      </w:r>
      <w:r w:rsidRPr="00464BEC">
        <w:rPr>
          <w:rFonts w:ascii="Times New Roman" w:hAnsi="Times New Roman"/>
          <w:color w:val="000000"/>
          <w:sz w:val="24"/>
          <w:szCs w:val="24"/>
          <w:shd w:val="clear" w:color="auto" w:fill="FFFFFF"/>
        </w:rPr>
        <w:t>борби</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против</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корупције</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постоји</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мањак</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резултата</w:t>
      </w:r>
      <w:r w:rsidR="00AF4771"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на</w:t>
      </w:r>
      <w:r w:rsidR="00AF4771"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нивоу</w:t>
      </w:r>
      <w:r w:rsidR="00AF4771"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кажњивости</w:t>
      </w:r>
      <w:r w:rsidR="00AF4771"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а</w:t>
      </w:r>
      <w:r w:rsidR="00AF4771" w:rsidRPr="00464BEC">
        <w:rPr>
          <w:rFonts w:ascii="Times New Roman" w:hAnsi="Times New Roman"/>
          <w:color w:val="000000"/>
          <w:sz w:val="24"/>
          <w:szCs w:val="24"/>
          <w:shd w:val="clear" w:color="auto" w:fill="FFFFFF"/>
        </w:rPr>
        <w:t xml:space="preserve"> </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са</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друге</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стране</w:t>
      </w:r>
      <w:r w:rsidRPr="00464BEC">
        <w:rPr>
          <w:rFonts w:ascii="Times New Roman" w:hAnsi="Times New Roman"/>
          <w:color w:val="000000"/>
          <w:sz w:val="24"/>
          <w:szCs w:val="24"/>
          <w:shd w:val="clear" w:color="auto" w:fill="FFFFFF"/>
          <w:lang w:val="sr-Cyrl-CS"/>
        </w:rPr>
        <w:t xml:space="preserve"> </w:t>
      </w:r>
      <w:r w:rsidRPr="00464BEC">
        <w:rPr>
          <w:rFonts w:ascii="Times New Roman" w:hAnsi="Times New Roman"/>
          <w:color w:val="000000"/>
          <w:sz w:val="24"/>
          <w:szCs w:val="24"/>
          <w:shd w:val="clear" w:color="auto" w:fill="FFFFFF"/>
        </w:rPr>
        <w:t>изражена</w:t>
      </w:r>
      <w:r w:rsidR="00496DC7">
        <w:rPr>
          <w:rFonts w:ascii="Times New Roman" w:hAnsi="Times New Roman"/>
          <w:color w:val="000000"/>
          <w:sz w:val="24"/>
          <w:szCs w:val="24"/>
          <w:shd w:val="clear" w:color="auto" w:fill="FFFFFF"/>
          <w:lang w:val="sr-Cyrl-CS"/>
        </w:rPr>
        <w:t xml:space="preserve"> је дискриминација</w:t>
      </w:r>
      <w:r>
        <w:rPr>
          <w:rFonts w:ascii="Times New Roman" w:hAnsi="Times New Roman"/>
          <w:color w:val="000000"/>
          <w:sz w:val="24"/>
          <w:szCs w:val="24"/>
          <w:shd w:val="clear" w:color="auto" w:fill="FFFFFF"/>
          <w:lang w:val="sr-Cyrl-CS"/>
        </w:rPr>
        <w:t xml:space="preserve"> оних који се боре против корупције, односно најслабије су развијени механизми </w:t>
      </w:r>
      <w:r w:rsidRPr="00464BEC">
        <w:rPr>
          <w:rFonts w:ascii="Times New Roman" w:hAnsi="Times New Roman"/>
          <w:color w:val="000000"/>
          <w:sz w:val="24"/>
          <w:szCs w:val="24"/>
          <w:shd w:val="clear" w:color="auto" w:fill="FFFFFF"/>
        </w:rPr>
        <w:t>у</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борби</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против</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корупције</w:t>
      </w:r>
      <w:r w:rsidR="00A54147" w:rsidRPr="00464BEC">
        <w:rPr>
          <w:rFonts w:ascii="Times New Roman" w:hAnsi="Times New Roman"/>
          <w:color w:val="000000"/>
          <w:sz w:val="24"/>
          <w:szCs w:val="24"/>
          <w:shd w:val="clear" w:color="auto" w:fill="FFFFFF"/>
        </w:rPr>
        <w:t xml:space="preserve"> </w:t>
      </w:r>
      <w:r w:rsidR="00496DC7">
        <w:rPr>
          <w:rFonts w:ascii="Times New Roman" w:hAnsi="Times New Roman"/>
          <w:color w:val="000000"/>
          <w:sz w:val="24"/>
          <w:szCs w:val="24"/>
          <w:shd w:val="clear" w:color="auto" w:fill="FFFFFF"/>
        </w:rPr>
        <w:t>санкционисањ</w:t>
      </w:r>
      <w:r w:rsidR="00496DC7">
        <w:rPr>
          <w:rFonts w:ascii="Times New Roman" w:hAnsi="Times New Roman"/>
          <w:color w:val="000000"/>
          <w:sz w:val="24"/>
          <w:szCs w:val="24"/>
          <w:shd w:val="clear" w:color="auto" w:fill="FFFFFF"/>
          <w:lang w:val="sr-Cyrl-CS"/>
        </w:rPr>
        <w:t>е</w:t>
      </w:r>
      <w:r w:rsidR="00AF4771"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и</w:t>
      </w:r>
      <w:r w:rsidR="00AF4771"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подршка</w:t>
      </w:r>
      <w:r>
        <w:rPr>
          <w:rFonts w:ascii="Times New Roman" w:hAnsi="Times New Roman"/>
          <w:color w:val="000000"/>
          <w:sz w:val="24"/>
          <w:szCs w:val="24"/>
          <w:shd w:val="clear" w:color="auto" w:fill="FFFFFF"/>
          <w:lang w:val="sr-Cyrl-CS"/>
        </w:rPr>
        <w:t xml:space="preserve"> </w:t>
      </w:r>
      <w:r w:rsidRPr="00464BEC">
        <w:rPr>
          <w:rFonts w:ascii="Times New Roman" w:hAnsi="Times New Roman"/>
          <w:color w:val="000000"/>
          <w:sz w:val="24"/>
          <w:szCs w:val="24"/>
          <w:shd w:val="clear" w:color="auto" w:fill="FFFFFF"/>
        </w:rPr>
        <w:t>узбуњивачима</w:t>
      </w:r>
      <w:r w:rsidR="00AF4771" w:rsidRPr="00464BEC">
        <w:rPr>
          <w:rFonts w:ascii="Times New Roman" w:hAnsi="Times New Roman"/>
          <w:color w:val="000000"/>
          <w:sz w:val="24"/>
          <w:szCs w:val="24"/>
          <w:shd w:val="clear" w:color="auto" w:fill="FFFFFF"/>
          <w:lang w:val="sr-Cyrl-CS"/>
        </w:rPr>
        <w:t>.</w:t>
      </w:r>
      <w:r w:rsidR="00A54147" w:rsidRPr="00464BEC">
        <w:rPr>
          <w:rFonts w:ascii="Times New Roman" w:hAnsi="Times New Roman"/>
          <w:color w:val="000000"/>
          <w:sz w:val="24"/>
          <w:szCs w:val="24"/>
          <w:shd w:val="clear" w:color="auto" w:fill="FFFFFF"/>
        </w:rPr>
        <w:t xml:space="preserve"> </w:t>
      </w:r>
      <w:r w:rsidR="00AF4771" w:rsidRPr="00464BEC">
        <w:rPr>
          <w:rFonts w:ascii="Times New Roman" w:hAnsi="Times New Roman"/>
          <w:color w:val="000000"/>
          <w:sz w:val="24"/>
          <w:szCs w:val="24"/>
          <w:shd w:val="clear" w:color="auto" w:fill="FFFFFF"/>
          <w:lang w:val="sr-Cyrl-CS"/>
        </w:rPr>
        <w:t xml:space="preserve">Због тога, </w:t>
      </w:r>
      <w:r w:rsidR="00496DC7">
        <w:rPr>
          <w:rFonts w:ascii="Times New Roman" w:hAnsi="Times New Roman"/>
          <w:color w:val="000000"/>
          <w:sz w:val="24"/>
          <w:szCs w:val="24"/>
          <w:shd w:val="clear" w:color="auto" w:fill="FFFFFF"/>
        </w:rPr>
        <w:t>BIRODI</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сматра</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да</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је</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за</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успешну</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борбу</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против</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корупције</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потребно</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стварање</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антикорупцијске</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коалиције</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која</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ће</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бити</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предвођена</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од</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стране</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државних</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антикорупцијских</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тела</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и</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органа</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а</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пре</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свих</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Агенције</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за</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борбу</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против</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кору</w:t>
      </w:r>
      <w:r w:rsidR="001E5348">
        <w:rPr>
          <w:rFonts w:ascii="Times New Roman" w:hAnsi="Times New Roman"/>
          <w:color w:val="000000"/>
          <w:sz w:val="24"/>
          <w:szCs w:val="24"/>
          <w:shd w:val="clear" w:color="auto" w:fill="FFFFFF"/>
          <w:lang w:val="sr-Cyrl-CS"/>
        </w:rPr>
        <w:t>п</w:t>
      </w:r>
      <w:r w:rsidRPr="00464BEC">
        <w:rPr>
          <w:rFonts w:ascii="Times New Roman" w:hAnsi="Times New Roman"/>
          <w:color w:val="000000"/>
          <w:sz w:val="24"/>
          <w:szCs w:val="24"/>
          <w:shd w:val="clear" w:color="auto" w:fill="FFFFFF"/>
        </w:rPr>
        <w:t>ције</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и</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Савета</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за</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борбу</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против</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корупције</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али</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и</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орг</w:t>
      </w:r>
      <w:r w:rsidR="007D3F49">
        <w:rPr>
          <w:rFonts w:ascii="Times New Roman" w:hAnsi="Times New Roman"/>
          <w:color w:val="000000"/>
          <w:sz w:val="24"/>
          <w:szCs w:val="24"/>
          <w:shd w:val="clear" w:color="auto" w:fill="FFFFFF"/>
          <w:lang w:val="sr-Cyrl-CS"/>
        </w:rPr>
        <w:t>а</w:t>
      </w:r>
      <w:r w:rsidRPr="00464BEC">
        <w:rPr>
          <w:rFonts w:ascii="Times New Roman" w:hAnsi="Times New Roman"/>
          <w:color w:val="000000"/>
          <w:sz w:val="24"/>
          <w:szCs w:val="24"/>
          <w:shd w:val="clear" w:color="auto" w:fill="FFFFFF"/>
        </w:rPr>
        <w:t>низације</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цивилног</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друштва</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медији</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и</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приватни</w:t>
      </w:r>
      <w:r w:rsidR="00A54147" w:rsidRPr="00464BEC">
        <w:rPr>
          <w:rFonts w:ascii="Times New Roman" w:hAnsi="Times New Roman"/>
          <w:color w:val="000000"/>
          <w:sz w:val="24"/>
          <w:szCs w:val="24"/>
          <w:shd w:val="clear" w:color="auto" w:fill="FFFFFF"/>
        </w:rPr>
        <w:t xml:space="preserve"> </w:t>
      </w:r>
      <w:r w:rsidRPr="00464BEC">
        <w:rPr>
          <w:rFonts w:ascii="Times New Roman" w:hAnsi="Times New Roman"/>
          <w:color w:val="000000"/>
          <w:sz w:val="24"/>
          <w:szCs w:val="24"/>
          <w:shd w:val="clear" w:color="auto" w:fill="FFFFFF"/>
        </w:rPr>
        <w:t>сектор</w:t>
      </w:r>
      <w:r w:rsidR="00A54147" w:rsidRPr="00464BEC">
        <w:rPr>
          <w:rFonts w:ascii="Times New Roman" w:hAnsi="Times New Roman"/>
          <w:color w:val="000000"/>
          <w:sz w:val="24"/>
          <w:szCs w:val="24"/>
          <w:shd w:val="clear" w:color="auto" w:fill="FFFFFF"/>
        </w:rPr>
        <w:t>.</w:t>
      </w:r>
      <w:r w:rsidRPr="00464BEC">
        <w:rPr>
          <w:rFonts w:ascii="Times New Roman" w:hAnsi="Times New Roman"/>
          <w:color w:val="000000"/>
          <w:sz w:val="24"/>
          <w:szCs w:val="24"/>
          <w:shd w:val="clear" w:color="auto" w:fill="FFFFFF"/>
          <w:lang w:val="sr-Cyrl-CS"/>
        </w:rPr>
        <w:t xml:space="preserve"> </w:t>
      </w:r>
      <w:r w:rsidR="00AF4771" w:rsidRPr="00464BEC">
        <w:rPr>
          <w:rFonts w:ascii="Times New Roman" w:hAnsi="Times New Roman"/>
          <w:color w:val="000000"/>
          <w:sz w:val="24"/>
          <w:szCs w:val="24"/>
          <w:lang w:val="sr-Cyrl-CS"/>
        </w:rPr>
        <w:t xml:space="preserve">Према проценама </w:t>
      </w:r>
      <w:r w:rsidRPr="00464BEC">
        <w:rPr>
          <w:rFonts w:ascii="Times New Roman" w:hAnsi="Times New Roman"/>
          <w:color w:val="000000"/>
          <w:sz w:val="24"/>
          <w:szCs w:val="24"/>
        </w:rPr>
        <w:t>Транспарентност</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Србија</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насупрот</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усвојеним</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прописима</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политички</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утицај</w:t>
      </w:r>
      <w:r w:rsidR="00743A1F" w:rsidRPr="00464BEC">
        <w:rPr>
          <w:rFonts w:ascii="Times New Roman" w:hAnsi="Times New Roman"/>
          <w:color w:val="000000"/>
          <w:sz w:val="24"/>
          <w:szCs w:val="24"/>
        </w:rPr>
        <w:t xml:space="preserve"> </w:t>
      </w:r>
      <w:r w:rsidR="00AF4771" w:rsidRPr="00464BEC">
        <w:rPr>
          <w:rFonts w:ascii="Times New Roman" w:hAnsi="Times New Roman"/>
          <w:color w:val="000000"/>
          <w:sz w:val="24"/>
          <w:szCs w:val="24"/>
          <w:lang w:val="sr-Cyrl-CS"/>
        </w:rPr>
        <w:t xml:space="preserve">је </w:t>
      </w:r>
      <w:r w:rsidRPr="00464BEC">
        <w:rPr>
          <w:rFonts w:ascii="Times New Roman" w:hAnsi="Times New Roman"/>
          <w:color w:val="000000"/>
          <w:sz w:val="24"/>
          <w:szCs w:val="24"/>
        </w:rPr>
        <w:t>и</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даље</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пресудан</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код</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избора</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руководилаца</w:t>
      </w:r>
      <w:r w:rsidR="00AF4771" w:rsidRPr="00464BEC">
        <w:rPr>
          <w:rFonts w:ascii="Times New Roman" w:hAnsi="Times New Roman"/>
          <w:color w:val="000000"/>
          <w:sz w:val="24"/>
          <w:szCs w:val="24"/>
        </w:rPr>
        <w:t xml:space="preserve"> </w:t>
      </w:r>
      <w:r w:rsidRPr="00464BEC">
        <w:rPr>
          <w:rFonts w:ascii="Times New Roman" w:hAnsi="Times New Roman"/>
          <w:color w:val="000000"/>
          <w:sz w:val="24"/>
          <w:szCs w:val="24"/>
        </w:rPr>
        <w:t>у</w:t>
      </w:r>
      <w:r w:rsidR="00AF4771" w:rsidRPr="00464BEC">
        <w:rPr>
          <w:rFonts w:ascii="Times New Roman" w:hAnsi="Times New Roman"/>
          <w:color w:val="000000"/>
          <w:sz w:val="24"/>
          <w:szCs w:val="24"/>
        </w:rPr>
        <w:t xml:space="preserve"> </w:t>
      </w:r>
      <w:r w:rsidRPr="00464BEC">
        <w:rPr>
          <w:rFonts w:ascii="Times New Roman" w:hAnsi="Times New Roman"/>
          <w:color w:val="000000"/>
          <w:sz w:val="24"/>
          <w:szCs w:val="24"/>
        </w:rPr>
        <w:t>јавном</w:t>
      </w:r>
      <w:r w:rsidR="00AF4771" w:rsidRPr="00464BEC">
        <w:rPr>
          <w:rFonts w:ascii="Times New Roman" w:hAnsi="Times New Roman"/>
          <w:color w:val="000000"/>
          <w:sz w:val="24"/>
          <w:szCs w:val="24"/>
        </w:rPr>
        <w:t xml:space="preserve"> </w:t>
      </w:r>
      <w:r w:rsidRPr="00464BEC">
        <w:rPr>
          <w:rFonts w:ascii="Times New Roman" w:hAnsi="Times New Roman"/>
          <w:color w:val="000000"/>
          <w:sz w:val="24"/>
          <w:szCs w:val="24"/>
        </w:rPr>
        <w:t>сектору</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и</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даље</w:t>
      </w:r>
      <w:r w:rsidR="00743A1F" w:rsidRPr="00464BEC">
        <w:rPr>
          <w:rFonts w:ascii="Times New Roman" w:hAnsi="Times New Roman"/>
          <w:color w:val="000000"/>
          <w:sz w:val="24"/>
          <w:szCs w:val="24"/>
        </w:rPr>
        <w:t xml:space="preserve"> </w:t>
      </w:r>
      <w:r w:rsidR="00AF4771" w:rsidRPr="00464BEC">
        <w:rPr>
          <w:rFonts w:ascii="Times New Roman" w:hAnsi="Times New Roman"/>
          <w:color w:val="000000"/>
          <w:sz w:val="24"/>
          <w:szCs w:val="24"/>
          <w:lang w:val="sr-Cyrl-CS"/>
        </w:rPr>
        <w:t xml:space="preserve">су </w:t>
      </w:r>
      <w:r w:rsidRPr="00464BEC">
        <w:rPr>
          <w:rFonts w:ascii="Times New Roman" w:hAnsi="Times New Roman"/>
          <w:color w:val="000000"/>
          <w:sz w:val="24"/>
          <w:szCs w:val="24"/>
        </w:rPr>
        <w:t>неиспитане</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бројне</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сумње</w:t>
      </w:r>
      <w:r w:rsidR="00AF4771" w:rsidRPr="00464BEC">
        <w:rPr>
          <w:rFonts w:ascii="Times New Roman" w:hAnsi="Times New Roman"/>
          <w:color w:val="000000"/>
          <w:sz w:val="24"/>
          <w:szCs w:val="24"/>
        </w:rPr>
        <w:t xml:space="preserve"> </w:t>
      </w:r>
      <w:r w:rsidRPr="00464BEC">
        <w:rPr>
          <w:rFonts w:ascii="Times New Roman" w:hAnsi="Times New Roman"/>
          <w:color w:val="000000"/>
          <w:sz w:val="24"/>
          <w:szCs w:val="24"/>
        </w:rPr>
        <w:t>у</w:t>
      </w:r>
      <w:r w:rsidR="00AF4771" w:rsidRPr="00464BEC">
        <w:rPr>
          <w:rFonts w:ascii="Times New Roman" w:hAnsi="Times New Roman"/>
          <w:color w:val="000000"/>
          <w:sz w:val="24"/>
          <w:szCs w:val="24"/>
        </w:rPr>
        <w:t xml:space="preserve"> </w:t>
      </w:r>
      <w:r w:rsidRPr="00464BEC">
        <w:rPr>
          <w:rFonts w:ascii="Times New Roman" w:hAnsi="Times New Roman"/>
          <w:color w:val="000000"/>
          <w:sz w:val="24"/>
          <w:szCs w:val="24"/>
        </w:rPr>
        <w:t>партијско</w:t>
      </w:r>
      <w:r w:rsidR="00AF4771" w:rsidRPr="00464BEC">
        <w:rPr>
          <w:rFonts w:ascii="Times New Roman" w:hAnsi="Times New Roman"/>
          <w:color w:val="000000"/>
          <w:sz w:val="24"/>
          <w:szCs w:val="24"/>
        </w:rPr>
        <w:t xml:space="preserve"> </w:t>
      </w:r>
      <w:r w:rsidRPr="00464BEC">
        <w:rPr>
          <w:rFonts w:ascii="Times New Roman" w:hAnsi="Times New Roman"/>
          <w:color w:val="000000"/>
          <w:sz w:val="24"/>
          <w:szCs w:val="24"/>
        </w:rPr>
        <w:t>запошљавање</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услед</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којег</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је</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јавни</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сектор</w:t>
      </w:r>
      <w:r w:rsidR="00AF4771" w:rsidRPr="00464BEC">
        <w:rPr>
          <w:rFonts w:ascii="Times New Roman" w:hAnsi="Times New Roman"/>
          <w:color w:val="000000"/>
          <w:sz w:val="24"/>
          <w:szCs w:val="24"/>
        </w:rPr>
        <w:t xml:space="preserve"> </w:t>
      </w:r>
      <w:r w:rsidRPr="00464BEC">
        <w:rPr>
          <w:rFonts w:ascii="Times New Roman" w:hAnsi="Times New Roman"/>
          <w:color w:val="000000"/>
          <w:sz w:val="24"/>
          <w:szCs w:val="24"/>
        </w:rPr>
        <w:t>предимензиониран</w:t>
      </w:r>
      <w:r w:rsidR="00AF4771" w:rsidRPr="00464BEC">
        <w:rPr>
          <w:rFonts w:ascii="Times New Roman" w:hAnsi="Times New Roman"/>
          <w:color w:val="000000"/>
          <w:sz w:val="24"/>
          <w:szCs w:val="24"/>
          <w:lang w:val="sr-Cyrl-CS"/>
        </w:rPr>
        <w:t>, док су утица</w:t>
      </w:r>
      <w:r w:rsidR="00496DC7">
        <w:rPr>
          <w:rFonts w:ascii="Times New Roman" w:hAnsi="Times New Roman"/>
          <w:color w:val="000000"/>
          <w:sz w:val="24"/>
          <w:szCs w:val="24"/>
          <w:lang w:val="sr-Cyrl-CS"/>
        </w:rPr>
        <w:t>ј</w:t>
      </w:r>
      <w:r w:rsidR="00AF4771" w:rsidRPr="00464BEC">
        <w:rPr>
          <w:rFonts w:ascii="Times New Roman" w:hAnsi="Times New Roman"/>
          <w:color w:val="000000"/>
          <w:sz w:val="24"/>
          <w:szCs w:val="24"/>
          <w:lang w:val="sr-Cyrl-CS"/>
        </w:rPr>
        <w:t xml:space="preserve">и на </w:t>
      </w:r>
      <w:r w:rsidRPr="00464BEC">
        <w:rPr>
          <w:rFonts w:ascii="Times New Roman" w:hAnsi="Times New Roman"/>
          <w:color w:val="000000"/>
          <w:sz w:val="24"/>
          <w:szCs w:val="24"/>
        </w:rPr>
        <w:t>доношење</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одлука</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у</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извршној</w:t>
      </w:r>
      <w:r w:rsidR="00AF4771" w:rsidRPr="00464BEC">
        <w:rPr>
          <w:rFonts w:ascii="Times New Roman" w:hAnsi="Times New Roman"/>
          <w:color w:val="000000"/>
          <w:sz w:val="24"/>
          <w:szCs w:val="24"/>
        </w:rPr>
        <w:t xml:space="preserve"> </w:t>
      </w:r>
      <w:r w:rsidRPr="00464BEC">
        <w:rPr>
          <w:rFonts w:ascii="Times New Roman" w:hAnsi="Times New Roman"/>
          <w:color w:val="000000"/>
          <w:sz w:val="24"/>
          <w:szCs w:val="24"/>
        </w:rPr>
        <w:t>и</w:t>
      </w:r>
      <w:r w:rsidR="00AF4771" w:rsidRPr="00464BEC">
        <w:rPr>
          <w:rFonts w:ascii="Times New Roman" w:hAnsi="Times New Roman"/>
          <w:color w:val="000000"/>
          <w:sz w:val="24"/>
          <w:szCs w:val="24"/>
        </w:rPr>
        <w:t xml:space="preserve"> </w:t>
      </w:r>
      <w:r w:rsidRPr="00464BEC">
        <w:rPr>
          <w:rFonts w:ascii="Times New Roman" w:hAnsi="Times New Roman"/>
          <w:color w:val="000000"/>
          <w:sz w:val="24"/>
          <w:szCs w:val="24"/>
        </w:rPr>
        <w:t>законодавној</w:t>
      </w:r>
      <w:r w:rsidR="00AF4771" w:rsidRPr="00464BEC">
        <w:rPr>
          <w:rFonts w:ascii="Times New Roman" w:hAnsi="Times New Roman"/>
          <w:color w:val="000000"/>
          <w:sz w:val="24"/>
          <w:szCs w:val="24"/>
        </w:rPr>
        <w:t xml:space="preserve"> </w:t>
      </w:r>
      <w:r w:rsidRPr="00464BEC">
        <w:rPr>
          <w:rFonts w:ascii="Times New Roman" w:hAnsi="Times New Roman"/>
          <w:color w:val="000000"/>
          <w:sz w:val="24"/>
          <w:szCs w:val="24"/>
        </w:rPr>
        <w:t>власти</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и</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даље</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скривени</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услед</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непостојања</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прописа</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о</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лобирању</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неорганизовања</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јавних</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расправа</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у</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великом</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броју</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случајева</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и</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необјављивања</w:t>
      </w:r>
      <w:r w:rsidR="007A2735" w:rsidRPr="00464BEC">
        <w:rPr>
          <w:rFonts w:ascii="Times New Roman" w:hAnsi="Times New Roman"/>
          <w:color w:val="000000"/>
          <w:sz w:val="24"/>
          <w:szCs w:val="24"/>
        </w:rPr>
        <w:t xml:space="preserve"> </w:t>
      </w:r>
      <w:r w:rsidRPr="00464BEC">
        <w:rPr>
          <w:rFonts w:ascii="Times New Roman" w:hAnsi="Times New Roman"/>
          <w:color w:val="000000"/>
          <w:sz w:val="24"/>
          <w:szCs w:val="24"/>
        </w:rPr>
        <w:t>споразума</w:t>
      </w:r>
      <w:r w:rsidR="007A2735" w:rsidRPr="00464BEC">
        <w:rPr>
          <w:rFonts w:ascii="Times New Roman" w:hAnsi="Times New Roman"/>
          <w:color w:val="000000"/>
          <w:sz w:val="24"/>
          <w:szCs w:val="24"/>
        </w:rPr>
        <w:t xml:space="preserve"> </w:t>
      </w:r>
      <w:r w:rsidRPr="00464BEC">
        <w:rPr>
          <w:rFonts w:ascii="Times New Roman" w:hAnsi="Times New Roman"/>
          <w:color w:val="000000"/>
          <w:sz w:val="24"/>
          <w:szCs w:val="24"/>
        </w:rPr>
        <w:t>са</w:t>
      </w:r>
      <w:r w:rsidR="007A2735" w:rsidRPr="00464BEC">
        <w:rPr>
          <w:rFonts w:ascii="Times New Roman" w:hAnsi="Times New Roman"/>
          <w:color w:val="000000"/>
          <w:sz w:val="24"/>
          <w:szCs w:val="24"/>
        </w:rPr>
        <w:t xml:space="preserve"> </w:t>
      </w:r>
      <w:r w:rsidRPr="00464BEC">
        <w:rPr>
          <w:rFonts w:ascii="Times New Roman" w:hAnsi="Times New Roman"/>
          <w:color w:val="000000"/>
          <w:sz w:val="24"/>
          <w:szCs w:val="24"/>
        </w:rPr>
        <w:t>инвеститорима</w:t>
      </w:r>
      <w:r w:rsidR="007A2735" w:rsidRPr="00464BEC">
        <w:rPr>
          <w:rFonts w:ascii="Times New Roman" w:hAnsi="Times New Roman"/>
          <w:color w:val="000000"/>
          <w:sz w:val="24"/>
          <w:szCs w:val="24"/>
          <w:lang w:val="sr-Cyrl-CS"/>
        </w:rPr>
        <w:t>. Према њиховим наводима,</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иако</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је</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представљен</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квалитетан</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модел</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Закона</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о</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узбуњивању</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и</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заштити</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узбуњивача</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још</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је</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непознато</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када</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ће</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Србија</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коначно</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добити</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овај</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пропис</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као</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и</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да</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ли</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ће</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он</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бити</w:t>
      </w:r>
      <w:r w:rsidR="00743A1F" w:rsidRPr="00464BEC">
        <w:rPr>
          <w:rFonts w:ascii="Times New Roman" w:hAnsi="Times New Roman"/>
          <w:color w:val="000000"/>
          <w:sz w:val="24"/>
          <w:szCs w:val="24"/>
        </w:rPr>
        <w:t xml:space="preserve"> </w:t>
      </w:r>
      <w:r w:rsidRPr="00464BEC">
        <w:rPr>
          <w:rFonts w:ascii="Times New Roman" w:hAnsi="Times New Roman"/>
          <w:color w:val="000000"/>
          <w:sz w:val="24"/>
          <w:szCs w:val="24"/>
        </w:rPr>
        <w:t>свеобухватан</w:t>
      </w:r>
      <w:r w:rsidR="00743A1F">
        <w:rPr>
          <w:rFonts w:ascii="Arial" w:hAnsi="Arial" w:cs="Arial"/>
          <w:color w:val="000000"/>
          <w:sz w:val="21"/>
          <w:szCs w:val="21"/>
        </w:rPr>
        <w:t>.</w:t>
      </w:r>
      <w:r>
        <w:rPr>
          <w:rStyle w:val="FootnoteReference"/>
          <w:rFonts w:ascii="Arial" w:hAnsi="Arial" w:cs="Arial"/>
          <w:color w:val="000000"/>
          <w:sz w:val="21"/>
          <w:szCs w:val="21"/>
        </w:rPr>
        <w:footnoteReference w:id="765"/>
      </w:r>
    </w:p>
    <w:p w:rsidR="00743A1F" w:rsidRPr="00464BEC" w:rsidRDefault="00464BEC" w:rsidP="00464BEC">
      <w:pPr>
        <w:ind w:firstLine="708"/>
        <w:jc w:val="both"/>
        <w:rPr>
          <w:rFonts w:ascii="Tahoma" w:hAnsi="Tahoma" w:cs="Tahoma"/>
          <w:color w:val="000000"/>
          <w:sz w:val="18"/>
          <w:szCs w:val="18"/>
          <w:shd w:val="clear" w:color="auto" w:fill="FFFFFF"/>
          <w:lang w:val="sr-Cyrl-CS"/>
        </w:rPr>
      </w:pPr>
      <w:r w:rsidRPr="00464BEC">
        <w:rPr>
          <w:rFonts w:ascii="Times New Roman" w:hAnsi="Times New Roman"/>
          <w:sz w:val="24"/>
          <w:szCs w:val="24"/>
        </w:rPr>
        <w:t>Као добар пример превентивне мере може се навести увођење тзв. „супервизора“ у Словенији, односно</w:t>
      </w:r>
      <w:r w:rsidR="00743A1F" w:rsidRPr="00464BEC">
        <w:rPr>
          <w:rFonts w:ascii="Times New Roman" w:hAnsi="Times New Roman"/>
          <w:sz w:val="24"/>
          <w:szCs w:val="24"/>
        </w:rPr>
        <w:t xml:space="preserve"> </w:t>
      </w:r>
      <w:r w:rsidRPr="00464BEC">
        <w:rPr>
          <w:rFonts w:ascii="Times New Roman" w:hAnsi="Times New Roman"/>
          <w:sz w:val="24"/>
          <w:szCs w:val="24"/>
        </w:rPr>
        <w:t>могућности</w:t>
      </w:r>
      <w:r w:rsidR="00743A1F" w:rsidRPr="00464BEC">
        <w:rPr>
          <w:rFonts w:ascii="Times New Roman" w:hAnsi="Times New Roman"/>
          <w:sz w:val="24"/>
          <w:szCs w:val="24"/>
        </w:rPr>
        <w:t xml:space="preserve"> </w:t>
      </w:r>
      <w:r w:rsidRPr="00464BEC">
        <w:rPr>
          <w:rFonts w:ascii="Times New Roman" w:hAnsi="Times New Roman"/>
          <w:sz w:val="24"/>
          <w:szCs w:val="24"/>
        </w:rPr>
        <w:t>да</w:t>
      </w:r>
      <w:r w:rsidR="00743A1F" w:rsidRPr="00464BEC">
        <w:rPr>
          <w:rFonts w:ascii="Times New Roman" w:hAnsi="Times New Roman"/>
          <w:sz w:val="24"/>
          <w:szCs w:val="24"/>
        </w:rPr>
        <w:t xml:space="preserve"> </w:t>
      </w:r>
      <w:r w:rsidRPr="00464BEC">
        <w:rPr>
          <w:rFonts w:ascii="Times New Roman" w:hAnsi="Times New Roman"/>
          <w:sz w:val="24"/>
          <w:szCs w:val="24"/>
        </w:rPr>
        <w:t>се</w:t>
      </w:r>
      <w:r w:rsidR="00743A1F" w:rsidRPr="00464BEC">
        <w:rPr>
          <w:rFonts w:ascii="Times New Roman" w:hAnsi="Times New Roman"/>
          <w:sz w:val="24"/>
          <w:szCs w:val="24"/>
        </w:rPr>
        <w:t xml:space="preserve"> </w:t>
      </w:r>
      <w:r w:rsidRPr="00464BEC">
        <w:rPr>
          <w:rFonts w:ascii="Times New Roman" w:hAnsi="Times New Roman"/>
          <w:sz w:val="24"/>
          <w:szCs w:val="24"/>
        </w:rPr>
        <w:t>путем</w:t>
      </w:r>
      <w:r w:rsidR="00743A1F" w:rsidRPr="00464BEC">
        <w:rPr>
          <w:rFonts w:ascii="Times New Roman" w:hAnsi="Times New Roman"/>
          <w:sz w:val="24"/>
          <w:szCs w:val="24"/>
        </w:rPr>
        <w:t xml:space="preserve"> </w:t>
      </w:r>
      <w:r w:rsidRPr="00464BEC">
        <w:rPr>
          <w:rFonts w:ascii="Times New Roman" w:hAnsi="Times New Roman"/>
          <w:sz w:val="24"/>
          <w:szCs w:val="24"/>
        </w:rPr>
        <w:t>компјутера</w:t>
      </w:r>
      <w:r w:rsidR="00743A1F" w:rsidRPr="00464BEC">
        <w:rPr>
          <w:rFonts w:ascii="Times New Roman" w:hAnsi="Times New Roman"/>
          <w:sz w:val="24"/>
          <w:szCs w:val="24"/>
        </w:rPr>
        <w:t xml:space="preserve"> </w:t>
      </w:r>
      <w:r w:rsidRPr="00464BEC">
        <w:rPr>
          <w:rFonts w:ascii="Times New Roman" w:hAnsi="Times New Roman"/>
          <w:sz w:val="24"/>
          <w:szCs w:val="24"/>
        </w:rPr>
        <w:t>прати</w:t>
      </w:r>
      <w:r w:rsidR="00743A1F" w:rsidRPr="00464BEC">
        <w:rPr>
          <w:rFonts w:ascii="Times New Roman" w:hAnsi="Times New Roman"/>
          <w:sz w:val="24"/>
          <w:szCs w:val="24"/>
        </w:rPr>
        <w:t xml:space="preserve"> </w:t>
      </w:r>
      <w:r w:rsidRPr="00464BEC">
        <w:rPr>
          <w:rFonts w:ascii="Times New Roman" w:hAnsi="Times New Roman"/>
          <w:sz w:val="24"/>
          <w:szCs w:val="24"/>
        </w:rPr>
        <w:t>свака</w:t>
      </w:r>
      <w:r w:rsidR="00743A1F" w:rsidRPr="00464BEC">
        <w:rPr>
          <w:rFonts w:ascii="Times New Roman" w:hAnsi="Times New Roman"/>
          <w:sz w:val="24"/>
          <w:szCs w:val="24"/>
        </w:rPr>
        <w:t xml:space="preserve"> </w:t>
      </w:r>
      <w:r w:rsidRPr="00464BEC">
        <w:rPr>
          <w:rFonts w:ascii="Times New Roman" w:hAnsi="Times New Roman"/>
          <w:sz w:val="24"/>
          <w:szCs w:val="24"/>
        </w:rPr>
        <w:t>финансијска</w:t>
      </w:r>
      <w:r w:rsidR="00743A1F" w:rsidRPr="00464BEC">
        <w:rPr>
          <w:rFonts w:ascii="Times New Roman" w:hAnsi="Times New Roman"/>
          <w:sz w:val="24"/>
          <w:szCs w:val="24"/>
        </w:rPr>
        <w:t xml:space="preserve"> </w:t>
      </w:r>
      <w:r w:rsidRPr="00464BEC">
        <w:rPr>
          <w:rFonts w:ascii="Times New Roman" w:hAnsi="Times New Roman"/>
          <w:sz w:val="24"/>
          <w:szCs w:val="24"/>
        </w:rPr>
        <w:t>трансакција</w:t>
      </w:r>
      <w:r w:rsidR="00743A1F" w:rsidRPr="00464BEC">
        <w:rPr>
          <w:rFonts w:ascii="Times New Roman" w:hAnsi="Times New Roman"/>
          <w:sz w:val="24"/>
          <w:szCs w:val="24"/>
        </w:rPr>
        <w:t xml:space="preserve"> </w:t>
      </w:r>
      <w:r w:rsidRPr="00464BEC">
        <w:rPr>
          <w:rFonts w:ascii="Times New Roman" w:hAnsi="Times New Roman"/>
          <w:sz w:val="24"/>
          <w:szCs w:val="24"/>
        </w:rPr>
        <w:t>из</w:t>
      </w:r>
      <w:r w:rsidR="00743A1F" w:rsidRPr="00464BEC">
        <w:rPr>
          <w:rFonts w:ascii="Times New Roman" w:hAnsi="Times New Roman"/>
          <w:sz w:val="24"/>
          <w:szCs w:val="24"/>
        </w:rPr>
        <w:t xml:space="preserve"> </w:t>
      </w:r>
      <w:r w:rsidRPr="00464BEC">
        <w:rPr>
          <w:rFonts w:ascii="Times New Roman" w:hAnsi="Times New Roman"/>
          <w:sz w:val="24"/>
          <w:szCs w:val="24"/>
        </w:rPr>
        <w:t>буџета</w:t>
      </w:r>
      <w:r w:rsidR="00743A1F" w:rsidRPr="00464BEC">
        <w:rPr>
          <w:rFonts w:ascii="Times New Roman" w:hAnsi="Times New Roman"/>
          <w:sz w:val="24"/>
          <w:szCs w:val="24"/>
        </w:rPr>
        <w:t xml:space="preserve"> </w:t>
      </w:r>
      <w:r w:rsidRPr="00464BEC">
        <w:rPr>
          <w:rFonts w:ascii="Times New Roman" w:hAnsi="Times New Roman"/>
          <w:sz w:val="24"/>
          <w:szCs w:val="24"/>
        </w:rPr>
        <w:t>било</w:t>
      </w:r>
      <w:r w:rsidR="00743A1F" w:rsidRPr="00464BEC">
        <w:rPr>
          <w:rFonts w:ascii="Times New Roman" w:hAnsi="Times New Roman"/>
          <w:sz w:val="24"/>
          <w:szCs w:val="24"/>
        </w:rPr>
        <w:t xml:space="preserve"> </w:t>
      </w:r>
      <w:r w:rsidRPr="00464BEC">
        <w:rPr>
          <w:rFonts w:ascii="Times New Roman" w:hAnsi="Times New Roman"/>
          <w:sz w:val="24"/>
          <w:szCs w:val="24"/>
        </w:rPr>
        <w:t>да</w:t>
      </w:r>
      <w:r w:rsidR="00743A1F" w:rsidRPr="00464BEC">
        <w:rPr>
          <w:rFonts w:ascii="Times New Roman" w:hAnsi="Times New Roman"/>
          <w:sz w:val="24"/>
          <w:szCs w:val="24"/>
        </w:rPr>
        <w:t xml:space="preserve"> </w:t>
      </w:r>
      <w:r w:rsidRPr="00464BEC">
        <w:rPr>
          <w:rFonts w:ascii="Times New Roman" w:hAnsi="Times New Roman"/>
          <w:sz w:val="24"/>
          <w:szCs w:val="24"/>
        </w:rPr>
        <w:t>је</w:t>
      </w:r>
      <w:r w:rsidR="00743A1F" w:rsidRPr="00464BEC">
        <w:rPr>
          <w:rFonts w:ascii="Times New Roman" w:hAnsi="Times New Roman"/>
          <w:sz w:val="24"/>
          <w:szCs w:val="24"/>
        </w:rPr>
        <w:t xml:space="preserve"> </w:t>
      </w:r>
      <w:r w:rsidRPr="00464BEC">
        <w:rPr>
          <w:rFonts w:ascii="Times New Roman" w:hAnsi="Times New Roman"/>
          <w:sz w:val="24"/>
          <w:szCs w:val="24"/>
        </w:rPr>
        <w:t>реч</w:t>
      </w:r>
      <w:r w:rsidR="00743A1F" w:rsidRPr="00464BEC">
        <w:rPr>
          <w:rFonts w:ascii="Times New Roman" w:hAnsi="Times New Roman"/>
          <w:sz w:val="24"/>
          <w:szCs w:val="24"/>
        </w:rPr>
        <w:t xml:space="preserve"> </w:t>
      </w:r>
      <w:r w:rsidRPr="00464BEC">
        <w:rPr>
          <w:rFonts w:ascii="Times New Roman" w:hAnsi="Times New Roman"/>
          <w:sz w:val="24"/>
          <w:szCs w:val="24"/>
        </w:rPr>
        <w:t>о</w:t>
      </w:r>
      <w:r w:rsidR="00743A1F" w:rsidRPr="00464BEC">
        <w:rPr>
          <w:rFonts w:ascii="Times New Roman" w:hAnsi="Times New Roman"/>
          <w:sz w:val="24"/>
          <w:szCs w:val="24"/>
        </w:rPr>
        <w:t xml:space="preserve"> </w:t>
      </w:r>
      <w:r w:rsidRPr="00464BEC">
        <w:rPr>
          <w:rFonts w:ascii="Times New Roman" w:hAnsi="Times New Roman"/>
          <w:sz w:val="24"/>
          <w:szCs w:val="24"/>
        </w:rPr>
        <w:t>општини</w:t>
      </w:r>
      <w:r w:rsidR="00743A1F" w:rsidRPr="00464BEC">
        <w:rPr>
          <w:rFonts w:ascii="Times New Roman" w:hAnsi="Times New Roman"/>
          <w:sz w:val="24"/>
          <w:szCs w:val="24"/>
        </w:rPr>
        <w:t xml:space="preserve"> </w:t>
      </w:r>
      <w:r w:rsidRPr="00464BEC">
        <w:rPr>
          <w:rFonts w:ascii="Times New Roman" w:hAnsi="Times New Roman"/>
          <w:sz w:val="24"/>
          <w:szCs w:val="24"/>
        </w:rPr>
        <w:t>или</w:t>
      </w:r>
      <w:r w:rsidR="00743A1F" w:rsidRPr="00464BEC">
        <w:rPr>
          <w:rFonts w:ascii="Times New Roman" w:hAnsi="Times New Roman"/>
          <w:sz w:val="24"/>
          <w:szCs w:val="24"/>
        </w:rPr>
        <w:t xml:space="preserve"> </w:t>
      </w:r>
      <w:r w:rsidRPr="00464BEC">
        <w:rPr>
          <w:rFonts w:ascii="Times New Roman" w:hAnsi="Times New Roman"/>
          <w:sz w:val="24"/>
          <w:szCs w:val="24"/>
        </w:rPr>
        <w:t>неком</w:t>
      </w:r>
      <w:r w:rsidR="00743A1F" w:rsidRPr="00464BEC">
        <w:rPr>
          <w:rFonts w:ascii="Times New Roman" w:hAnsi="Times New Roman"/>
          <w:sz w:val="24"/>
          <w:szCs w:val="24"/>
        </w:rPr>
        <w:t xml:space="preserve"> </w:t>
      </w:r>
      <w:r w:rsidRPr="00464BEC">
        <w:rPr>
          <w:rFonts w:ascii="Times New Roman" w:hAnsi="Times New Roman"/>
          <w:sz w:val="24"/>
          <w:szCs w:val="24"/>
        </w:rPr>
        <w:t>државном</w:t>
      </w:r>
      <w:r w:rsidR="00743A1F" w:rsidRPr="00464BEC">
        <w:rPr>
          <w:rFonts w:ascii="Times New Roman" w:hAnsi="Times New Roman"/>
          <w:sz w:val="24"/>
          <w:szCs w:val="24"/>
        </w:rPr>
        <w:t xml:space="preserve"> </w:t>
      </w:r>
      <w:r w:rsidRPr="00464BEC">
        <w:rPr>
          <w:rFonts w:ascii="Times New Roman" w:hAnsi="Times New Roman"/>
          <w:sz w:val="24"/>
          <w:szCs w:val="24"/>
        </w:rPr>
        <w:t>органу</w:t>
      </w:r>
      <w:r w:rsidR="00743A1F" w:rsidRPr="00464BEC">
        <w:rPr>
          <w:rFonts w:ascii="Times New Roman" w:hAnsi="Times New Roman"/>
          <w:sz w:val="24"/>
          <w:szCs w:val="24"/>
        </w:rPr>
        <w:t xml:space="preserve">. </w:t>
      </w:r>
      <w:r w:rsidRPr="00464BEC">
        <w:rPr>
          <w:rFonts w:ascii="Times New Roman" w:hAnsi="Times New Roman"/>
          <w:sz w:val="24"/>
          <w:szCs w:val="24"/>
        </w:rPr>
        <w:t>Такође</w:t>
      </w:r>
      <w:r w:rsidR="00743A1F" w:rsidRPr="00464BEC">
        <w:rPr>
          <w:rFonts w:ascii="Times New Roman" w:hAnsi="Times New Roman"/>
          <w:sz w:val="24"/>
          <w:szCs w:val="24"/>
        </w:rPr>
        <w:t xml:space="preserve">, </w:t>
      </w:r>
      <w:r w:rsidRPr="00464BEC">
        <w:rPr>
          <w:rFonts w:ascii="Times New Roman" w:hAnsi="Times New Roman"/>
          <w:sz w:val="24"/>
          <w:szCs w:val="24"/>
        </w:rPr>
        <w:t>законски</w:t>
      </w:r>
      <w:r w:rsidR="00743A1F" w:rsidRPr="00464BEC">
        <w:rPr>
          <w:rFonts w:ascii="Times New Roman" w:hAnsi="Times New Roman"/>
          <w:sz w:val="24"/>
          <w:szCs w:val="24"/>
        </w:rPr>
        <w:t xml:space="preserve"> </w:t>
      </w:r>
      <w:r w:rsidRPr="00464BEC">
        <w:rPr>
          <w:rFonts w:ascii="Times New Roman" w:hAnsi="Times New Roman"/>
          <w:sz w:val="24"/>
          <w:szCs w:val="24"/>
        </w:rPr>
        <w:t>је</w:t>
      </w:r>
      <w:r w:rsidR="00743A1F" w:rsidRPr="00464BEC">
        <w:rPr>
          <w:rFonts w:ascii="Times New Roman" w:hAnsi="Times New Roman"/>
          <w:sz w:val="24"/>
          <w:szCs w:val="24"/>
        </w:rPr>
        <w:t xml:space="preserve"> </w:t>
      </w:r>
      <w:r w:rsidRPr="00464BEC">
        <w:rPr>
          <w:rFonts w:ascii="Times New Roman" w:hAnsi="Times New Roman"/>
          <w:sz w:val="24"/>
          <w:szCs w:val="24"/>
        </w:rPr>
        <w:t>регулисано</w:t>
      </w:r>
      <w:r w:rsidR="00743A1F" w:rsidRPr="00464BEC">
        <w:rPr>
          <w:rFonts w:ascii="Times New Roman" w:hAnsi="Times New Roman"/>
          <w:sz w:val="24"/>
          <w:szCs w:val="24"/>
        </w:rPr>
        <w:t xml:space="preserve"> </w:t>
      </w:r>
      <w:r w:rsidRPr="00464BEC">
        <w:rPr>
          <w:rFonts w:ascii="Times New Roman" w:hAnsi="Times New Roman"/>
          <w:sz w:val="24"/>
          <w:szCs w:val="24"/>
        </w:rPr>
        <w:t>да</w:t>
      </w:r>
      <w:r w:rsidR="00743A1F" w:rsidRPr="00464BEC">
        <w:rPr>
          <w:rFonts w:ascii="Times New Roman" w:hAnsi="Times New Roman"/>
          <w:sz w:val="24"/>
          <w:szCs w:val="24"/>
        </w:rPr>
        <w:t xml:space="preserve"> </w:t>
      </w:r>
      <w:r w:rsidRPr="00464BEC">
        <w:rPr>
          <w:rFonts w:ascii="Times New Roman" w:hAnsi="Times New Roman"/>
          <w:sz w:val="24"/>
          <w:szCs w:val="24"/>
        </w:rPr>
        <w:t>сваки</w:t>
      </w:r>
      <w:r w:rsidR="00743A1F" w:rsidRPr="00464BEC">
        <w:rPr>
          <w:rFonts w:ascii="Times New Roman" w:hAnsi="Times New Roman"/>
          <w:sz w:val="24"/>
          <w:szCs w:val="24"/>
        </w:rPr>
        <w:t xml:space="preserve"> </w:t>
      </w:r>
      <w:r w:rsidRPr="00464BEC">
        <w:rPr>
          <w:rFonts w:ascii="Times New Roman" w:hAnsi="Times New Roman"/>
          <w:sz w:val="24"/>
          <w:szCs w:val="24"/>
        </w:rPr>
        <w:t>уговор</w:t>
      </w:r>
      <w:r w:rsidR="00743A1F" w:rsidRPr="00464BEC">
        <w:rPr>
          <w:rFonts w:ascii="Times New Roman" w:hAnsi="Times New Roman"/>
          <w:sz w:val="24"/>
          <w:szCs w:val="24"/>
        </w:rPr>
        <w:t xml:space="preserve"> </w:t>
      </w:r>
      <w:r w:rsidRPr="00464BEC">
        <w:rPr>
          <w:rFonts w:ascii="Times New Roman" w:hAnsi="Times New Roman"/>
          <w:sz w:val="24"/>
          <w:szCs w:val="24"/>
        </w:rPr>
        <w:t>изнад</w:t>
      </w:r>
      <w:r w:rsidR="00743A1F" w:rsidRPr="00464BEC">
        <w:rPr>
          <w:rFonts w:ascii="Times New Roman" w:hAnsi="Times New Roman"/>
          <w:sz w:val="24"/>
          <w:szCs w:val="24"/>
        </w:rPr>
        <w:t xml:space="preserve"> </w:t>
      </w:r>
      <w:r w:rsidRPr="00464BEC">
        <w:rPr>
          <w:rFonts w:ascii="Times New Roman" w:hAnsi="Times New Roman"/>
          <w:sz w:val="24"/>
          <w:szCs w:val="24"/>
        </w:rPr>
        <w:t>десет</w:t>
      </w:r>
      <w:r w:rsidR="00743A1F" w:rsidRPr="00464BEC">
        <w:rPr>
          <w:rFonts w:ascii="Times New Roman" w:hAnsi="Times New Roman"/>
          <w:sz w:val="24"/>
          <w:szCs w:val="24"/>
        </w:rPr>
        <w:t xml:space="preserve"> </w:t>
      </w:r>
      <w:r w:rsidRPr="00464BEC">
        <w:rPr>
          <w:rFonts w:ascii="Times New Roman" w:hAnsi="Times New Roman"/>
          <w:sz w:val="24"/>
          <w:szCs w:val="24"/>
        </w:rPr>
        <w:t>хиљада</w:t>
      </w:r>
      <w:r w:rsidR="00743A1F" w:rsidRPr="00464BEC">
        <w:rPr>
          <w:rFonts w:ascii="Times New Roman" w:hAnsi="Times New Roman"/>
          <w:sz w:val="24"/>
          <w:szCs w:val="24"/>
        </w:rPr>
        <w:t xml:space="preserve"> </w:t>
      </w:r>
      <w:r w:rsidRPr="00464BEC">
        <w:rPr>
          <w:rFonts w:ascii="Times New Roman" w:hAnsi="Times New Roman"/>
          <w:sz w:val="24"/>
          <w:szCs w:val="24"/>
        </w:rPr>
        <w:t>евра</w:t>
      </w:r>
      <w:r w:rsidR="00743A1F" w:rsidRPr="00464BEC">
        <w:rPr>
          <w:rFonts w:ascii="Times New Roman" w:hAnsi="Times New Roman"/>
          <w:sz w:val="24"/>
          <w:szCs w:val="24"/>
        </w:rPr>
        <w:t xml:space="preserve"> </w:t>
      </w:r>
      <w:r w:rsidRPr="00464BEC">
        <w:rPr>
          <w:rFonts w:ascii="Times New Roman" w:hAnsi="Times New Roman"/>
          <w:sz w:val="24"/>
          <w:szCs w:val="24"/>
        </w:rPr>
        <w:t>мора</w:t>
      </w:r>
      <w:r w:rsidR="00743A1F" w:rsidRPr="00464BEC">
        <w:rPr>
          <w:rFonts w:ascii="Times New Roman" w:hAnsi="Times New Roman"/>
          <w:sz w:val="24"/>
          <w:szCs w:val="24"/>
        </w:rPr>
        <w:t xml:space="preserve"> </w:t>
      </w:r>
      <w:r w:rsidRPr="00464BEC">
        <w:rPr>
          <w:rFonts w:ascii="Times New Roman" w:hAnsi="Times New Roman"/>
          <w:sz w:val="24"/>
          <w:szCs w:val="24"/>
        </w:rPr>
        <w:t>имати</w:t>
      </w:r>
      <w:r w:rsidR="00743A1F" w:rsidRPr="00464BEC">
        <w:rPr>
          <w:rFonts w:ascii="Times New Roman" w:hAnsi="Times New Roman"/>
          <w:sz w:val="24"/>
          <w:szCs w:val="24"/>
        </w:rPr>
        <w:t xml:space="preserve"> </w:t>
      </w:r>
      <w:r w:rsidRPr="00464BEC">
        <w:rPr>
          <w:rFonts w:ascii="Times New Roman" w:hAnsi="Times New Roman"/>
          <w:sz w:val="24"/>
          <w:szCs w:val="24"/>
        </w:rPr>
        <w:lastRenderedPageBreak/>
        <w:t>антикорупцијску</w:t>
      </w:r>
      <w:r w:rsidR="00743A1F" w:rsidRPr="00464BEC">
        <w:rPr>
          <w:rFonts w:ascii="Times New Roman" w:hAnsi="Times New Roman"/>
          <w:sz w:val="24"/>
          <w:szCs w:val="24"/>
        </w:rPr>
        <w:t xml:space="preserve"> </w:t>
      </w:r>
      <w:r w:rsidRPr="00464BEC">
        <w:rPr>
          <w:rFonts w:ascii="Times New Roman" w:hAnsi="Times New Roman"/>
          <w:sz w:val="24"/>
          <w:szCs w:val="24"/>
        </w:rPr>
        <w:t>клаузулу</w:t>
      </w:r>
      <w:r w:rsidR="00743A1F" w:rsidRPr="00464BEC">
        <w:rPr>
          <w:rFonts w:ascii="Times New Roman" w:hAnsi="Times New Roman"/>
          <w:sz w:val="24"/>
          <w:szCs w:val="24"/>
        </w:rPr>
        <w:t xml:space="preserve">, </w:t>
      </w:r>
      <w:r w:rsidRPr="00464BEC">
        <w:rPr>
          <w:rFonts w:ascii="Times New Roman" w:hAnsi="Times New Roman"/>
          <w:sz w:val="24"/>
          <w:szCs w:val="24"/>
        </w:rPr>
        <w:t>па</w:t>
      </w:r>
      <w:r w:rsidR="00743A1F" w:rsidRPr="00464BEC">
        <w:rPr>
          <w:rFonts w:ascii="Times New Roman" w:hAnsi="Times New Roman"/>
          <w:sz w:val="24"/>
          <w:szCs w:val="24"/>
        </w:rPr>
        <w:t xml:space="preserve"> </w:t>
      </w:r>
      <w:r w:rsidRPr="00464BEC">
        <w:rPr>
          <w:rFonts w:ascii="Times New Roman" w:hAnsi="Times New Roman"/>
          <w:sz w:val="24"/>
          <w:szCs w:val="24"/>
        </w:rPr>
        <w:t>тако</w:t>
      </w:r>
      <w:r w:rsidR="00743A1F" w:rsidRPr="00464BEC">
        <w:rPr>
          <w:rFonts w:ascii="Times New Roman" w:hAnsi="Times New Roman"/>
          <w:sz w:val="24"/>
          <w:szCs w:val="24"/>
        </w:rPr>
        <w:t xml:space="preserve"> </w:t>
      </w:r>
      <w:r w:rsidRPr="00464BEC">
        <w:rPr>
          <w:rFonts w:ascii="Times New Roman" w:hAnsi="Times New Roman"/>
          <w:sz w:val="24"/>
          <w:szCs w:val="24"/>
        </w:rPr>
        <w:t>ако</w:t>
      </w:r>
      <w:r w:rsidR="00743A1F" w:rsidRPr="00464BEC">
        <w:rPr>
          <w:rFonts w:ascii="Times New Roman" w:hAnsi="Times New Roman"/>
          <w:sz w:val="24"/>
          <w:szCs w:val="24"/>
        </w:rPr>
        <w:t xml:space="preserve"> </w:t>
      </w:r>
      <w:r w:rsidRPr="00464BEC">
        <w:rPr>
          <w:rFonts w:ascii="Times New Roman" w:hAnsi="Times New Roman"/>
          <w:sz w:val="24"/>
          <w:szCs w:val="24"/>
        </w:rPr>
        <w:t>се</w:t>
      </w:r>
      <w:r w:rsidR="00743A1F" w:rsidRPr="00464BEC">
        <w:rPr>
          <w:rFonts w:ascii="Times New Roman" w:hAnsi="Times New Roman"/>
          <w:sz w:val="24"/>
          <w:szCs w:val="24"/>
        </w:rPr>
        <w:t xml:space="preserve"> </w:t>
      </w:r>
      <w:r w:rsidRPr="00464BEC">
        <w:rPr>
          <w:rFonts w:ascii="Times New Roman" w:hAnsi="Times New Roman"/>
          <w:sz w:val="24"/>
          <w:szCs w:val="24"/>
        </w:rPr>
        <w:t>утврди</w:t>
      </w:r>
      <w:r w:rsidR="00743A1F" w:rsidRPr="00464BEC">
        <w:rPr>
          <w:rFonts w:ascii="Times New Roman" w:hAnsi="Times New Roman"/>
          <w:sz w:val="24"/>
          <w:szCs w:val="24"/>
        </w:rPr>
        <w:t xml:space="preserve"> </w:t>
      </w:r>
      <w:r w:rsidRPr="00464BEC">
        <w:rPr>
          <w:rFonts w:ascii="Times New Roman" w:hAnsi="Times New Roman"/>
          <w:sz w:val="24"/>
          <w:szCs w:val="24"/>
        </w:rPr>
        <w:t>било</w:t>
      </w:r>
      <w:r w:rsidR="00743A1F" w:rsidRPr="00464BEC">
        <w:rPr>
          <w:rFonts w:ascii="Times New Roman" w:hAnsi="Times New Roman"/>
          <w:sz w:val="24"/>
          <w:szCs w:val="24"/>
        </w:rPr>
        <w:t xml:space="preserve"> </w:t>
      </w:r>
      <w:r w:rsidRPr="00464BEC">
        <w:rPr>
          <w:rFonts w:ascii="Times New Roman" w:hAnsi="Times New Roman"/>
          <w:sz w:val="24"/>
          <w:szCs w:val="24"/>
        </w:rPr>
        <w:t>каква</w:t>
      </w:r>
      <w:r w:rsidR="00743A1F" w:rsidRPr="00464BEC">
        <w:rPr>
          <w:rFonts w:ascii="Times New Roman" w:hAnsi="Times New Roman"/>
          <w:sz w:val="24"/>
          <w:szCs w:val="24"/>
        </w:rPr>
        <w:t xml:space="preserve"> </w:t>
      </w:r>
      <w:r w:rsidRPr="00464BEC">
        <w:rPr>
          <w:rFonts w:ascii="Times New Roman" w:hAnsi="Times New Roman"/>
          <w:sz w:val="24"/>
          <w:szCs w:val="24"/>
        </w:rPr>
        <w:t>неправилност он се аутоматски поништава</w:t>
      </w:r>
      <w:r w:rsidR="00743A1F">
        <w:rPr>
          <w:rFonts w:ascii="Arial" w:hAnsi="Arial" w:cs="Arial"/>
          <w:color w:val="3C3C3C"/>
          <w:sz w:val="18"/>
          <w:szCs w:val="18"/>
        </w:rPr>
        <w:t>.</w:t>
      </w:r>
      <w:r>
        <w:rPr>
          <w:rStyle w:val="FootnoteReference"/>
          <w:rFonts w:ascii="Arial" w:hAnsi="Arial" w:cs="Arial"/>
          <w:color w:val="3C3C3C"/>
          <w:sz w:val="18"/>
          <w:szCs w:val="18"/>
        </w:rPr>
        <w:footnoteReference w:id="766"/>
      </w:r>
    </w:p>
    <w:p w:rsidR="00235B84" w:rsidRPr="003A6BB4" w:rsidRDefault="00235B84" w:rsidP="00235B84">
      <w:pPr>
        <w:jc w:val="both"/>
        <w:rPr>
          <w:rFonts w:ascii="Times New Roman" w:hAnsi="Times New Roman"/>
          <w:sz w:val="24"/>
          <w:szCs w:val="24"/>
          <w:lang w:val="sr-Cyrl-CS"/>
        </w:rPr>
      </w:pPr>
    </w:p>
    <w:p w:rsidR="00235B84" w:rsidRPr="00235B84" w:rsidRDefault="00235B84" w:rsidP="00235B84">
      <w:pPr>
        <w:jc w:val="both"/>
        <w:rPr>
          <w:rFonts w:ascii="Times New Roman" w:hAnsi="Times New Roman"/>
          <w:sz w:val="24"/>
          <w:szCs w:val="24"/>
        </w:rPr>
      </w:pPr>
    </w:p>
    <w:p w:rsidR="00D56003" w:rsidRPr="00842C6D" w:rsidRDefault="00496DC7" w:rsidP="008A3795">
      <w:pPr>
        <w:pStyle w:val="ListParagraph"/>
        <w:numPr>
          <w:ilvl w:val="0"/>
          <w:numId w:val="59"/>
        </w:numPr>
        <w:jc w:val="center"/>
        <w:rPr>
          <w:rFonts w:ascii="Times New Roman" w:hAnsi="Times New Roman"/>
          <w:b/>
          <w:sz w:val="28"/>
          <w:szCs w:val="28"/>
          <w:lang w:val="sr-Cyrl-CS"/>
        </w:rPr>
      </w:pPr>
      <w:r w:rsidRPr="00842C6D">
        <w:rPr>
          <w:rFonts w:ascii="Times New Roman" w:hAnsi="Times New Roman"/>
          <w:b/>
          <w:sz w:val="28"/>
          <w:szCs w:val="28"/>
          <w:lang w:val="sr-Cyrl-CS"/>
        </w:rPr>
        <w:t>Репресивне мере</w:t>
      </w:r>
    </w:p>
    <w:p w:rsidR="000C19B3" w:rsidRDefault="000C19B3" w:rsidP="00B010B3">
      <w:pPr>
        <w:ind w:firstLine="708"/>
        <w:jc w:val="both"/>
        <w:rPr>
          <w:rFonts w:ascii="Times New Roman" w:hAnsi="Times New Roman"/>
          <w:b/>
          <w:sz w:val="24"/>
          <w:szCs w:val="24"/>
          <w:lang w:val="sr-Cyrl-CS"/>
        </w:rPr>
      </w:pPr>
    </w:p>
    <w:p w:rsidR="000C19B3" w:rsidRPr="001D46E4" w:rsidRDefault="000C19B3" w:rsidP="00B010B3">
      <w:pPr>
        <w:ind w:firstLine="708"/>
        <w:jc w:val="both"/>
        <w:rPr>
          <w:rFonts w:ascii="Times New Roman" w:hAnsi="Times New Roman"/>
          <w:sz w:val="24"/>
          <w:szCs w:val="24"/>
          <w:lang w:val="sr-Cyrl-CS"/>
        </w:rPr>
      </w:pPr>
      <w:r>
        <w:rPr>
          <w:rFonts w:ascii="Times New Roman" w:hAnsi="Times New Roman"/>
          <w:sz w:val="24"/>
          <w:szCs w:val="24"/>
          <w:lang w:val="sr-Cyrl-CS"/>
        </w:rPr>
        <w:t>Превентивне мере нису довољне за сузбијање привредног криминала и корупције, па се у свим правним системима предвиђају и репре</w:t>
      </w:r>
      <w:r w:rsidR="00B5082D">
        <w:rPr>
          <w:rFonts w:ascii="Times New Roman" w:hAnsi="Times New Roman"/>
          <w:sz w:val="24"/>
          <w:szCs w:val="24"/>
          <w:lang w:val="sr-Cyrl-CS"/>
        </w:rPr>
        <w:t>сивне мере којима се санкционишу противправна понашања.</w:t>
      </w:r>
      <w:r>
        <w:rPr>
          <w:rFonts w:ascii="Times New Roman" w:hAnsi="Times New Roman"/>
          <w:sz w:val="24"/>
          <w:szCs w:val="24"/>
          <w:lang w:val="sr-Cyrl-CS"/>
        </w:rPr>
        <w:t xml:space="preserve"> </w:t>
      </w:r>
      <w:r w:rsidR="0072081E">
        <w:rPr>
          <w:rFonts w:ascii="Times New Roman" w:hAnsi="Times New Roman"/>
          <w:sz w:val="24"/>
          <w:szCs w:val="24"/>
          <w:lang w:val="sr-Cyrl-CS"/>
        </w:rPr>
        <w:t>Противправна понашања су разврстана у зависности од степена друштвене опасности тих деликата на кривична дела, преступе и прекршаје. Прекршаји су лакша категорија деликата од кривичних дела и привредних преступа, имајући у виду да се њима нападају друштвена добра мање вредности или су напади на њих мањег интензитета него код кривичих дела и привредних преступа.</w:t>
      </w:r>
      <w:r w:rsidR="0072081E">
        <w:rPr>
          <w:rStyle w:val="FootnoteReference"/>
          <w:rFonts w:ascii="Times New Roman" w:hAnsi="Times New Roman"/>
          <w:sz w:val="24"/>
          <w:szCs w:val="24"/>
          <w:lang w:val="sr-Cyrl-CS"/>
        </w:rPr>
        <w:footnoteReference w:id="767"/>
      </w:r>
      <w:r w:rsidR="00B5082D">
        <w:rPr>
          <w:rFonts w:ascii="Times New Roman" w:hAnsi="Times New Roman"/>
          <w:sz w:val="24"/>
          <w:szCs w:val="24"/>
          <w:lang w:val="sr-Cyrl-CS"/>
        </w:rPr>
        <w:t xml:space="preserve"> </w:t>
      </w:r>
      <w:r w:rsidR="001D46E4" w:rsidRPr="001D46E4">
        <w:rPr>
          <w:rFonts w:ascii="Times New Roman" w:hAnsi="Times New Roman"/>
          <w:color w:val="000000"/>
          <w:sz w:val="24"/>
          <w:szCs w:val="24"/>
          <w:shd w:val="clear" w:color="auto" w:fill="FFFFFF"/>
          <w:lang w:val="sr-Cyrl-CS"/>
        </w:rPr>
        <w:t>Прекршај</w:t>
      </w:r>
      <w:r w:rsidR="00B5082D" w:rsidRPr="001D46E4">
        <w:rPr>
          <w:rFonts w:ascii="Times New Roman" w:hAnsi="Times New Roman"/>
          <w:color w:val="000000"/>
          <w:sz w:val="24"/>
          <w:szCs w:val="24"/>
          <w:shd w:val="clear" w:color="auto" w:fill="FFFFFF"/>
          <w:lang w:val="sr-Cyrl-CS"/>
        </w:rPr>
        <w:t xml:space="preserve"> </w:t>
      </w:r>
      <w:r w:rsidR="001D46E4" w:rsidRPr="001D46E4">
        <w:rPr>
          <w:rFonts w:ascii="Times New Roman" w:hAnsi="Times New Roman"/>
          <w:color w:val="000000"/>
          <w:sz w:val="24"/>
          <w:szCs w:val="24"/>
          <w:shd w:val="clear" w:color="auto" w:fill="FFFFFF"/>
          <w:lang w:val="sr-Cyrl-CS"/>
        </w:rPr>
        <w:t>је</w:t>
      </w:r>
      <w:r w:rsidR="00B5082D" w:rsidRPr="001D46E4">
        <w:rPr>
          <w:rFonts w:ascii="Times New Roman" w:hAnsi="Times New Roman"/>
          <w:color w:val="000000"/>
          <w:sz w:val="24"/>
          <w:szCs w:val="24"/>
          <w:shd w:val="clear" w:color="auto" w:fill="FFFFFF"/>
          <w:lang w:val="sr-Cyrl-CS"/>
        </w:rPr>
        <w:t xml:space="preserve"> </w:t>
      </w:r>
      <w:r w:rsidR="001D46E4" w:rsidRPr="001D46E4">
        <w:rPr>
          <w:rFonts w:ascii="Times New Roman" w:hAnsi="Times New Roman"/>
          <w:color w:val="000000"/>
          <w:sz w:val="24"/>
          <w:szCs w:val="24"/>
          <w:shd w:val="clear" w:color="auto" w:fill="FFFFFF"/>
          <w:lang w:val="sr-Cyrl-CS"/>
        </w:rPr>
        <w:t>противправно</w:t>
      </w:r>
      <w:r w:rsidR="00B5082D" w:rsidRPr="001D46E4">
        <w:rPr>
          <w:rFonts w:ascii="Times New Roman" w:hAnsi="Times New Roman"/>
          <w:color w:val="000000"/>
          <w:sz w:val="24"/>
          <w:szCs w:val="24"/>
          <w:shd w:val="clear" w:color="auto" w:fill="FFFFFF"/>
          <w:lang w:val="sr-Cyrl-CS"/>
        </w:rPr>
        <w:t xml:space="preserve"> </w:t>
      </w:r>
      <w:r w:rsidR="001D46E4" w:rsidRPr="001D46E4">
        <w:rPr>
          <w:rFonts w:ascii="Times New Roman" w:hAnsi="Times New Roman"/>
          <w:color w:val="000000"/>
          <w:sz w:val="24"/>
          <w:szCs w:val="24"/>
          <w:shd w:val="clear" w:color="auto" w:fill="FFFFFF"/>
          <w:lang w:val="sr-Cyrl-CS"/>
        </w:rPr>
        <w:t>дело</w:t>
      </w:r>
      <w:r w:rsidR="00B5082D" w:rsidRPr="001D46E4">
        <w:rPr>
          <w:rFonts w:ascii="Times New Roman" w:hAnsi="Times New Roman"/>
          <w:color w:val="000000"/>
          <w:sz w:val="24"/>
          <w:szCs w:val="24"/>
          <w:shd w:val="clear" w:color="auto" w:fill="FFFFFF"/>
          <w:lang w:val="sr-Cyrl-CS"/>
        </w:rPr>
        <w:t xml:space="preserve"> </w:t>
      </w:r>
      <w:r w:rsidR="001D46E4" w:rsidRPr="001D46E4">
        <w:rPr>
          <w:rFonts w:ascii="Times New Roman" w:hAnsi="Times New Roman"/>
          <w:color w:val="000000"/>
          <w:sz w:val="24"/>
          <w:szCs w:val="24"/>
          <w:shd w:val="clear" w:color="auto" w:fill="FFFFFF"/>
          <w:lang w:val="sr-Cyrl-CS"/>
        </w:rPr>
        <w:t>које</w:t>
      </w:r>
      <w:r w:rsidR="00B5082D" w:rsidRPr="001D46E4">
        <w:rPr>
          <w:rFonts w:ascii="Times New Roman" w:hAnsi="Times New Roman"/>
          <w:color w:val="000000"/>
          <w:sz w:val="24"/>
          <w:szCs w:val="24"/>
          <w:shd w:val="clear" w:color="auto" w:fill="FFFFFF"/>
          <w:lang w:val="sr-Cyrl-CS"/>
        </w:rPr>
        <w:t xml:space="preserve"> </w:t>
      </w:r>
      <w:r w:rsidR="001D46E4" w:rsidRPr="001D46E4">
        <w:rPr>
          <w:rFonts w:ascii="Times New Roman" w:hAnsi="Times New Roman"/>
          <w:color w:val="000000"/>
          <w:sz w:val="24"/>
          <w:szCs w:val="24"/>
          <w:shd w:val="clear" w:color="auto" w:fill="FFFFFF"/>
          <w:lang w:val="sr-Cyrl-CS"/>
        </w:rPr>
        <w:t>је</w:t>
      </w:r>
      <w:r w:rsidR="00B5082D" w:rsidRPr="001D46E4">
        <w:rPr>
          <w:rFonts w:ascii="Times New Roman" w:hAnsi="Times New Roman"/>
          <w:color w:val="000000"/>
          <w:sz w:val="24"/>
          <w:szCs w:val="24"/>
          <w:shd w:val="clear" w:color="auto" w:fill="FFFFFF"/>
          <w:lang w:val="sr-Cyrl-CS"/>
        </w:rPr>
        <w:t xml:space="preserve"> </w:t>
      </w:r>
      <w:r w:rsidR="001D46E4" w:rsidRPr="001D46E4">
        <w:rPr>
          <w:rFonts w:ascii="Times New Roman" w:hAnsi="Times New Roman"/>
          <w:color w:val="000000"/>
          <w:sz w:val="24"/>
          <w:szCs w:val="24"/>
          <w:shd w:val="clear" w:color="auto" w:fill="FFFFFF"/>
          <w:lang w:val="sr-Cyrl-CS"/>
        </w:rPr>
        <w:t>законом</w:t>
      </w:r>
      <w:r w:rsidR="00B5082D" w:rsidRPr="001D46E4">
        <w:rPr>
          <w:rFonts w:ascii="Times New Roman" w:hAnsi="Times New Roman"/>
          <w:color w:val="000000"/>
          <w:sz w:val="24"/>
          <w:szCs w:val="24"/>
          <w:shd w:val="clear" w:color="auto" w:fill="FFFFFF"/>
          <w:lang w:val="sr-Cyrl-CS"/>
        </w:rPr>
        <w:t xml:space="preserve"> </w:t>
      </w:r>
      <w:r w:rsidR="001D46E4" w:rsidRPr="001D46E4">
        <w:rPr>
          <w:rFonts w:ascii="Times New Roman" w:hAnsi="Times New Roman"/>
          <w:color w:val="000000"/>
          <w:sz w:val="24"/>
          <w:szCs w:val="24"/>
          <w:shd w:val="clear" w:color="auto" w:fill="FFFFFF"/>
          <w:lang w:val="sr-Cyrl-CS"/>
        </w:rPr>
        <w:t>или</w:t>
      </w:r>
      <w:r w:rsidR="00B5082D" w:rsidRPr="001D46E4">
        <w:rPr>
          <w:rFonts w:ascii="Times New Roman" w:hAnsi="Times New Roman"/>
          <w:color w:val="000000"/>
          <w:sz w:val="24"/>
          <w:szCs w:val="24"/>
          <w:shd w:val="clear" w:color="auto" w:fill="FFFFFF"/>
          <w:lang w:val="sr-Cyrl-CS"/>
        </w:rPr>
        <w:t xml:space="preserve"> </w:t>
      </w:r>
      <w:r w:rsidR="001D46E4" w:rsidRPr="001D46E4">
        <w:rPr>
          <w:rFonts w:ascii="Times New Roman" w:hAnsi="Times New Roman"/>
          <w:color w:val="000000"/>
          <w:sz w:val="24"/>
          <w:szCs w:val="24"/>
          <w:shd w:val="clear" w:color="auto" w:fill="FFFFFF"/>
          <w:lang w:val="sr-Cyrl-CS"/>
        </w:rPr>
        <w:t>другим</w:t>
      </w:r>
      <w:r w:rsidR="00B5082D" w:rsidRPr="001D46E4">
        <w:rPr>
          <w:rFonts w:ascii="Times New Roman" w:hAnsi="Times New Roman"/>
          <w:color w:val="000000"/>
          <w:sz w:val="24"/>
          <w:szCs w:val="24"/>
          <w:shd w:val="clear" w:color="auto" w:fill="FFFFFF"/>
          <w:lang w:val="sr-Cyrl-CS"/>
        </w:rPr>
        <w:t xml:space="preserve"> </w:t>
      </w:r>
      <w:r w:rsidR="001D46E4" w:rsidRPr="001D46E4">
        <w:rPr>
          <w:rFonts w:ascii="Times New Roman" w:hAnsi="Times New Roman"/>
          <w:color w:val="000000"/>
          <w:sz w:val="24"/>
          <w:szCs w:val="24"/>
          <w:shd w:val="clear" w:color="auto" w:fill="FFFFFF"/>
          <w:lang w:val="sr-Cyrl-CS"/>
        </w:rPr>
        <w:t>прописом</w:t>
      </w:r>
      <w:r w:rsidR="00B5082D" w:rsidRPr="001D46E4">
        <w:rPr>
          <w:rFonts w:ascii="Times New Roman" w:hAnsi="Times New Roman"/>
          <w:color w:val="000000"/>
          <w:sz w:val="24"/>
          <w:szCs w:val="24"/>
          <w:shd w:val="clear" w:color="auto" w:fill="FFFFFF"/>
          <w:lang w:val="sr-Cyrl-CS"/>
        </w:rPr>
        <w:t xml:space="preserve"> </w:t>
      </w:r>
      <w:r w:rsidR="001D46E4" w:rsidRPr="001D46E4">
        <w:rPr>
          <w:rFonts w:ascii="Times New Roman" w:hAnsi="Times New Roman"/>
          <w:color w:val="000000"/>
          <w:sz w:val="24"/>
          <w:szCs w:val="24"/>
          <w:shd w:val="clear" w:color="auto" w:fill="FFFFFF"/>
          <w:lang w:val="sr-Cyrl-CS"/>
        </w:rPr>
        <w:t>надлежног</w:t>
      </w:r>
      <w:r w:rsidR="00B5082D" w:rsidRPr="001D46E4">
        <w:rPr>
          <w:rFonts w:ascii="Times New Roman" w:hAnsi="Times New Roman"/>
          <w:color w:val="000000"/>
          <w:sz w:val="24"/>
          <w:szCs w:val="24"/>
          <w:shd w:val="clear" w:color="auto" w:fill="FFFFFF"/>
          <w:lang w:val="sr-Cyrl-CS"/>
        </w:rPr>
        <w:t xml:space="preserve"> </w:t>
      </w:r>
      <w:r w:rsidR="001D46E4" w:rsidRPr="001D46E4">
        <w:rPr>
          <w:rFonts w:ascii="Times New Roman" w:hAnsi="Times New Roman"/>
          <w:color w:val="000000"/>
          <w:sz w:val="24"/>
          <w:szCs w:val="24"/>
          <w:shd w:val="clear" w:color="auto" w:fill="FFFFFF"/>
          <w:lang w:val="sr-Cyrl-CS"/>
        </w:rPr>
        <w:t>органа</w:t>
      </w:r>
      <w:r w:rsidR="00B5082D" w:rsidRPr="001D46E4">
        <w:rPr>
          <w:rFonts w:ascii="Times New Roman" w:hAnsi="Times New Roman"/>
          <w:color w:val="000000"/>
          <w:sz w:val="24"/>
          <w:szCs w:val="24"/>
          <w:shd w:val="clear" w:color="auto" w:fill="FFFFFF"/>
          <w:lang w:val="sr-Cyrl-CS"/>
        </w:rPr>
        <w:t xml:space="preserve"> </w:t>
      </w:r>
      <w:r w:rsidR="001D46E4" w:rsidRPr="001D46E4">
        <w:rPr>
          <w:rFonts w:ascii="Times New Roman" w:hAnsi="Times New Roman"/>
          <w:color w:val="000000"/>
          <w:sz w:val="24"/>
          <w:szCs w:val="24"/>
          <w:shd w:val="clear" w:color="auto" w:fill="FFFFFF"/>
          <w:lang w:val="sr-Cyrl-CS"/>
        </w:rPr>
        <w:t>одређено</w:t>
      </w:r>
      <w:r w:rsidR="00B5082D" w:rsidRPr="001D46E4">
        <w:rPr>
          <w:rFonts w:ascii="Times New Roman" w:hAnsi="Times New Roman"/>
          <w:color w:val="000000"/>
          <w:sz w:val="24"/>
          <w:szCs w:val="24"/>
          <w:shd w:val="clear" w:color="auto" w:fill="FFFFFF"/>
          <w:lang w:val="sr-Cyrl-CS"/>
        </w:rPr>
        <w:t xml:space="preserve"> </w:t>
      </w:r>
      <w:r w:rsidR="001D46E4" w:rsidRPr="001D46E4">
        <w:rPr>
          <w:rFonts w:ascii="Times New Roman" w:hAnsi="Times New Roman"/>
          <w:color w:val="000000"/>
          <w:sz w:val="24"/>
          <w:szCs w:val="24"/>
          <w:shd w:val="clear" w:color="auto" w:fill="FFFFFF"/>
          <w:lang w:val="sr-Cyrl-CS"/>
        </w:rPr>
        <w:t>као</w:t>
      </w:r>
      <w:r w:rsidR="00B5082D" w:rsidRPr="001D46E4">
        <w:rPr>
          <w:rFonts w:ascii="Times New Roman" w:hAnsi="Times New Roman"/>
          <w:color w:val="000000"/>
          <w:sz w:val="24"/>
          <w:szCs w:val="24"/>
          <w:shd w:val="clear" w:color="auto" w:fill="FFFFFF"/>
          <w:lang w:val="sr-Cyrl-CS"/>
        </w:rPr>
        <w:t xml:space="preserve"> </w:t>
      </w:r>
      <w:r w:rsidR="001D46E4" w:rsidRPr="001D46E4">
        <w:rPr>
          <w:rFonts w:ascii="Times New Roman" w:hAnsi="Times New Roman"/>
          <w:color w:val="000000"/>
          <w:sz w:val="24"/>
          <w:szCs w:val="24"/>
          <w:shd w:val="clear" w:color="auto" w:fill="FFFFFF"/>
          <w:lang w:val="sr-Cyrl-CS"/>
        </w:rPr>
        <w:t>прекршај</w:t>
      </w:r>
      <w:r w:rsidR="00B5082D" w:rsidRPr="001D46E4">
        <w:rPr>
          <w:rFonts w:ascii="Times New Roman" w:hAnsi="Times New Roman"/>
          <w:color w:val="000000"/>
          <w:sz w:val="24"/>
          <w:szCs w:val="24"/>
          <w:shd w:val="clear" w:color="auto" w:fill="FFFFFF"/>
          <w:lang w:val="sr-Cyrl-CS"/>
        </w:rPr>
        <w:t xml:space="preserve"> </w:t>
      </w:r>
      <w:r w:rsidR="001D46E4" w:rsidRPr="001D46E4">
        <w:rPr>
          <w:rFonts w:ascii="Times New Roman" w:hAnsi="Times New Roman"/>
          <w:color w:val="000000"/>
          <w:sz w:val="24"/>
          <w:szCs w:val="24"/>
          <w:shd w:val="clear" w:color="auto" w:fill="FFFFFF"/>
          <w:lang w:val="sr-Cyrl-CS"/>
        </w:rPr>
        <w:t>и</w:t>
      </w:r>
      <w:r w:rsidR="00B5082D" w:rsidRPr="001D46E4">
        <w:rPr>
          <w:rFonts w:ascii="Times New Roman" w:hAnsi="Times New Roman"/>
          <w:color w:val="000000"/>
          <w:sz w:val="24"/>
          <w:szCs w:val="24"/>
          <w:shd w:val="clear" w:color="auto" w:fill="FFFFFF"/>
          <w:lang w:val="sr-Cyrl-CS"/>
        </w:rPr>
        <w:t xml:space="preserve"> </w:t>
      </w:r>
      <w:r w:rsidR="001D46E4" w:rsidRPr="001D46E4">
        <w:rPr>
          <w:rFonts w:ascii="Times New Roman" w:hAnsi="Times New Roman"/>
          <w:color w:val="000000"/>
          <w:sz w:val="24"/>
          <w:szCs w:val="24"/>
          <w:shd w:val="clear" w:color="auto" w:fill="FFFFFF"/>
          <w:lang w:val="sr-Cyrl-CS"/>
        </w:rPr>
        <w:t>за</w:t>
      </w:r>
      <w:r w:rsidR="00B5082D" w:rsidRPr="001D46E4">
        <w:rPr>
          <w:rFonts w:ascii="Times New Roman" w:hAnsi="Times New Roman"/>
          <w:color w:val="000000"/>
          <w:sz w:val="24"/>
          <w:szCs w:val="24"/>
          <w:shd w:val="clear" w:color="auto" w:fill="FFFFFF"/>
          <w:lang w:val="sr-Cyrl-CS"/>
        </w:rPr>
        <w:t xml:space="preserve"> </w:t>
      </w:r>
      <w:r w:rsidR="001D46E4" w:rsidRPr="001D46E4">
        <w:rPr>
          <w:rFonts w:ascii="Times New Roman" w:hAnsi="Times New Roman"/>
          <w:color w:val="000000"/>
          <w:sz w:val="24"/>
          <w:szCs w:val="24"/>
          <w:shd w:val="clear" w:color="auto" w:fill="FFFFFF"/>
          <w:lang w:val="sr-Cyrl-CS"/>
        </w:rPr>
        <w:t>које</w:t>
      </w:r>
      <w:r w:rsidR="00B5082D" w:rsidRPr="001D46E4">
        <w:rPr>
          <w:rFonts w:ascii="Times New Roman" w:hAnsi="Times New Roman"/>
          <w:color w:val="000000"/>
          <w:sz w:val="24"/>
          <w:szCs w:val="24"/>
          <w:shd w:val="clear" w:color="auto" w:fill="FFFFFF"/>
          <w:lang w:val="sr-Cyrl-CS"/>
        </w:rPr>
        <w:t xml:space="preserve"> </w:t>
      </w:r>
      <w:r w:rsidR="001D46E4" w:rsidRPr="001D46E4">
        <w:rPr>
          <w:rFonts w:ascii="Times New Roman" w:hAnsi="Times New Roman"/>
          <w:color w:val="000000"/>
          <w:sz w:val="24"/>
          <w:szCs w:val="24"/>
          <w:shd w:val="clear" w:color="auto" w:fill="FFFFFF"/>
          <w:lang w:val="sr-Cyrl-CS"/>
        </w:rPr>
        <w:t>је</w:t>
      </w:r>
      <w:r w:rsidR="00B5082D" w:rsidRPr="001D46E4">
        <w:rPr>
          <w:rFonts w:ascii="Times New Roman" w:hAnsi="Times New Roman"/>
          <w:color w:val="000000"/>
          <w:sz w:val="24"/>
          <w:szCs w:val="24"/>
          <w:shd w:val="clear" w:color="auto" w:fill="FFFFFF"/>
          <w:lang w:val="sr-Cyrl-CS"/>
        </w:rPr>
        <w:t xml:space="preserve"> </w:t>
      </w:r>
      <w:r w:rsidR="001D46E4" w:rsidRPr="001D46E4">
        <w:rPr>
          <w:rFonts w:ascii="Times New Roman" w:hAnsi="Times New Roman"/>
          <w:color w:val="000000"/>
          <w:sz w:val="24"/>
          <w:szCs w:val="24"/>
          <w:shd w:val="clear" w:color="auto" w:fill="FFFFFF"/>
          <w:lang w:val="sr-Cyrl-CS"/>
        </w:rPr>
        <w:t>прописана</w:t>
      </w:r>
      <w:r w:rsidR="00B5082D" w:rsidRPr="001D46E4">
        <w:rPr>
          <w:rFonts w:ascii="Times New Roman" w:hAnsi="Times New Roman"/>
          <w:color w:val="000000"/>
          <w:sz w:val="24"/>
          <w:szCs w:val="24"/>
          <w:shd w:val="clear" w:color="auto" w:fill="FFFFFF"/>
          <w:lang w:val="sr-Cyrl-CS"/>
        </w:rPr>
        <w:t xml:space="preserve"> </w:t>
      </w:r>
      <w:r w:rsidR="001D46E4" w:rsidRPr="001D46E4">
        <w:rPr>
          <w:rFonts w:ascii="Times New Roman" w:hAnsi="Times New Roman"/>
          <w:color w:val="000000"/>
          <w:sz w:val="24"/>
          <w:szCs w:val="24"/>
          <w:shd w:val="clear" w:color="auto" w:fill="FFFFFF"/>
          <w:lang w:val="sr-Cyrl-CS"/>
        </w:rPr>
        <w:t>прекршајна</w:t>
      </w:r>
      <w:r w:rsidR="00B5082D" w:rsidRPr="001D46E4">
        <w:rPr>
          <w:rFonts w:ascii="Times New Roman" w:hAnsi="Times New Roman"/>
          <w:color w:val="000000"/>
          <w:sz w:val="24"/>
          <w:szCs w:val="24"/>
          <w:shd w:val="clear" w:color="auto" w:fill="FFFFFF"/>
          <w:lang w:val="sr-Cyrl-CS"/>
        </w:rPr>
        <w:t xml:space="preserve"> </w:t>
      </w:r>
      <w:r w:rsidR="001D46E4" w:rsidRPr="001D46E4">
        <w:rPr>
          <w:rFonts w:ascii="Times New Roman" w:hAnsi="Times New Roman"/>
          <w:color w:val="000000"/>
          <w:sz w:val="24"/>
          <w:szCs w:val="24"/>
          <w:shd w:val="clear" w:color="auto" w:fill="FFFFFF"/>
          <w:lang w:val="sr-Cyrl-CS"/>
        </w:rPr>
        <w:t>санкција</w:t>
      </w:r>
      <w:r w:rsidR="00B5082D">
        <w:rPr>
          <w:rFonts w:ascii="Arial" w:hAnsi="Arial" w:cs="Arial"/>
          <w:color w:val="000000"/>
          <w:sz w:val="18"/>
          <w:szCs w:val="18"/>
          <w:shd w:val="clear" w:color="auto" w:fill="FFFFFF"/>
        </w:rPr>
        <w:t>.</w:t>
      </w:r>
      <w:r w:rsidR="00B5082D">
        <w:rPr>
          <w:rStyle w:val="FootnoteReference"/>
          <w:rFonts w:ascii="Arial" w:hAnsi="Arial" w:cs="Arial"/>
          <w:color w:val="000000"/>
          <w:sz w:val="18"/>
          <w:szCs w:val="18"/>
          <w:shd w:val="clear" w:color="auto" w:fill="FFFFFF"/>
        </w:rPr>
        <w:footnoteReference w:id="768"/>
      </w:r>
      <w:r w:rsidR="001D46E4">
        <w:rPr>
          <w:rFonts w:ascii="Arial" w:hAnsi="Arial" w:cs="Arial"/>
          <w:color w:val="000000"/>
          <w:sz w:val="18"/>
          <w:szCs w:val="18"/>
          <w:shd w:val="clear" w:color="auto" w:fill="FFFFFF"/>
          <w:lang w:val="sr-Cyrl-CS"/>
        </w:rPr>
        <w:t xml:space="preserve"> </w:t>
      </w:r>
      <w:r w:rsidR="001D46E4" w:rsidRPr="001D46E4">
        <w:rPr>
          <w:rFonts w:ascii="Times New Roman" w:hAnsi="Times New Roman"/>
          <w:color w:val="000000"/>
          <w:sz w:val="24"/>
          <w:szCs w:val="24"/>
          <w:shd w:val="clear" w:color="auto" w:fill="FFFFFF"/>
          <w:lang w:val="sr-Cyrl-CS"/>
        </w:rPr>
        <w:t xml:space="preserve">Привредни преступ </w:t>
      </w:r>
      <w:r w:rsidR="001D46E4">
        <w:rPr>
          <w:rFonts w:ascii="Times New Roman" w:hAnsi="Times New Roman"/>
          <w:color w:val="000000"/>
          <w:sz w:val="24"/>
          <w:szCs w:val="24"/>
          <w:shd w:val="clear" w:color="auto" w:fill="FFFFFF"/>
          <w:lang w:val="sr-Cyrl-CS"/>
        </w:rPr>
        <w:t>је повреда прописа о финансијском и привредном пословању, учињена од стране правног лица и одговорног лица у правном лицу или од стране предузетника, која је управљена против привредног ситема земље и њених привредних интереса, као и интереса грађ</w:t>
      </w:r>
      <w:r w:rsidR="00876F30">
        <w:rPr>
          <w:rFonts w:ascii="Times New Roman" w:hAnsi="Times New Roman"/>
          <w:color w:val="000000"/>
          <w:sz w:val="24"/>
          <w:szCs w:val="24"/>
          <w:shd w:val="clear" w:color="auto" w:fill="FFFFFF"/>
          <w:lang w:val="sr-Cyrl-CS"/>
        </w:rPr>
        <w:t xml:space="preserve">ана, која је друштвено штетна, </w:t>
      </w:r>
      <w:r w:rsidR="001D46E4">
        <w:rPr>
          <w:rFonts w:ascii="Times New Roman" w:hAnsi="Times New Roman"/>
          <w:color w:val="000000"/>
          <w:sz w:val="24"/>
          <w:szCs w:val="24"/>
          <w:shd w:val="clear" w:color="auto" w:fill="FFFFFF"/>
          <w:lang w:val="sr-Cyrl-CS"/>
        </w:rPr>
        <w:t>која је проузроковала или могла да проузрокује теже последице, и која је прописом надлежног органа одређена као пивредни преступ.</w:t>
      </w:r>
      <w:r w:rsidR="001D46E4">
        <w:rPr>
          <w:rStyle w:val="FootnoteReference"/>
          <w:rFonts w:ascii="Times New Roman" w:hAnsi="Times New Roman"/>
          <w:color w:val="000000"/>
          <w:sz w:val="24"/>
          <w:szCs w:val="24"/>
          <w:shd w:val="clear" w:color="auto" w:fill="FFFFFF"/>
          <w:lang w:val="sr-Cyrl-CS"/>
        </w:rPr>
        <w:footnoteReference w:id="769"/>
      </w:r>
    </w:p>
    <w:p w:rsidR="0053611E" w:rsidRDefault="00183CDE" w:rsidP="00B010B3">
      <w:pPr>
        <w:ind w:firstLine="708"/>
        <w:jc w:val="both"/>
        <w:rPr>
          <w:rFonts w:ascii="Times New Roman" w:hAnsi="Times New Roman"/>
          <w:color w:val="000000"/>
          <w:sz w:val="24"/>
          <w:szCs w:val="24"/>
          <w:shd w:val="clear" w:color="auto" w:fill="FFFFFF"/>
          <w:lang w:val="sr-Cyrl-CS"/>
        </w:rPr>
      </w:pPr>
      <w:r>
        <w:rPr>
          <w:rFonts w:ascii="Times New Roman" w:hAnsi="Times New Roman"/>
          <w:sz w:val="24"/>
          <w:szCs w:val="24"/>
          <w:lang w:val="sr-Cyrl-CS"/>
        </w:rPr>
        <w:t xml:space="preserve">У Кривичном законику је уграђен субјективно-објективни општи појам кривичног дела кроз уношење кривице као општег обележја, </w:t>
      </w:r>
      <w:r w:rsidR="008125BB">
        <w:rPr>
          <w:rFonts w:ascii="Times New Roman" w:hAnsi="Times New Roman"/>
          <w:sz w:val="24"/>
          <w:szCs w:val="24"/>
          <w:lang w:val="sr-Cyrl-CS"/>
        </w:rPr>
        <w:t xml:space="preserve">који је заступљен у савременој европској теорији кривичног права и у готово свим чланица ЕУ, </w:t>
      </w:r>
      <w:r>
        <w:rPr>
          <w:rFonts w:ascii="Times New Roman" w:hAnsi="Times New Roman"/>
          <w:sz w:val="24"/>
          <w:szCs w:val="24"/>
          <w:lang w:val="sr-Cyrl-CS"/>
        </w:rPr>
        <w:t>за разлику од рани</w:t>
      </w:r>
      <w:r w:rsidR="008626AA">
        <w:rPr>
          <w:rFonts w:ascii="Times New Roman" w:hAnsi="Times New Roman"/>
          <w:sz w:val="24"/>
          <w:szCs w:val="24"/>
          <w:lang w:val="sr-Cyrl-CS"/>
        </w:rPr>
        <w:t>јих решења која су обухватала ма</w:t>
      </w:r>
      <w:r>
        <w:rPr>
          <w:rFonts w:ascii="Times New Roman" w:hAnsi="Times New Roman"/>
          <w:sz w:val="24"/>
          <w:szCs w:val="24"/>
          <w:lang w:val="sr-Cyrl-CS"/>
        </w:rPr>
        <w:t>теријално-формалну дефиницију кривичног дела према</w:t>
      </w:r>
      <w:r w:rsidR="008626AA">
        <w:rPr>
          <w:rFonts w:ascii="Times New Roman" w:hAnsi="Times New Roman"/>
          <w:sz w:val="24"/>
          <w:szCs w:val="24"/>
          <w:lang w:val="sr-Cyrl-CS"/>
        </w:rPr>
        <w:t xml:space="preserve"> којој </w:t>
      </w:r>
      <w:r>
        <w:rPr>
          <w:rFonts w:ascii="Times New Roman" w:hAnsi="Times New Roman"/>
          <w:sz w:val="24"/>
          <w:szCs w:val="24"/>
          <w:lang w:val="sr-Cyrl-CS"/>
        </w:rPr>
        <w:t xml:space="preserve"> је кривично дело друштвено опасно дело које је законом одређено као кривично дело и чија су обележја одређена законом, док су противправност и елеменат кривице били изостављени. </w:t>
      </w:r>
      <w:r w:rsidR="008626AA">
        <w:rPr>
          <w:rFonts w:ascii="Times New Roman" w:hAnsi="Times New Roman"/>
          <w:sz w:val="24"/>
          <w:szCs w:val="24"/>
          <w:lang w:val="sr-Cyrl-CS"/>
        </w:rPr>
        <w:t xml:space="preserve">Према садашњем решењу </w:t>
      </w:r>
      <w:r w:rsidR="008125BB" w:rsidRPr="008125BB">
        <w:rPr>
          <w:rFonts w:ascii="Times New Roman" w:hAnsi="Times New Roman"/>
          <w:color w:val="000000"/>
          <w:sz w:val="24"/>
          <w:szCs w:val="24"/>
          <w:shd w:val="clear" w:color="auto" w:fill="FFFFFF"/>
          <w:lang w:val="sr-Cyrl-CS"/>
        </w:rPr>
        <w:t>кривично</w:t>
      </w:r>
      <w:r w:rsidR="008626AA" w:rsidRPr="008125BB">
        <w:rPr>
          <w:rFonts w:ascii="Times New Roman" w:hAnsi="Times New Roman"/>
          <w:color w:val="000000"/>
          <w:sz w:val="24"/>
          <w:szCs w:val="24"/>
          <w:shd w:val="clear" w:color="auto" w:fill="FFFFFF"/>
          <w:lang w:val="sr-Cyrl-CS"/>
        </w:rPr>
        <w:t xml:space="preserve"> </w:t>
      </w:r>
      <w:r w:rsidR="008125BB" w:rsidRPr="008125BB">
        <w:rPr>
          <w:rFonts w:ascii="Times New Roman" w:hAnsi="Times New Roman"/>
          <w:color w:val="000000"/>
          <w:sz w:val="24"/>
          <w:szCs w:val="24"/>
          <w:shd w:val="clear" w:color="auto" w:fill="FFFFFF"/>
          <w:lang w:val="sr-Cyrl-CS"/>
        </w:rPr>
        <w:t>дело</w:t>
      </w:r>
      <w:r w:rsidR="008626AA" w:rsidRPr="008125BB">
        <w:rPr>
          <w:rFonts w:ascii="Times New Roman" w:hAnsi="Times New Roman"/>
          <w:color w:val="000000"/>
          <w:sz w:val="24"/>
          <w:szCs w:val="24"/>
          <w:shd w:val="clear" w:color="auto" w:fill="FFFFFF"/>
          <w:lang w:val="sr-Cyrl-CS"/>
        </w:rPr>
        <w:t xml:space="preserve"> </w:t>
      </w:r>
      <w:r w:rsidR="008125BB" w:rsidRPr="008125BB">
        <w:rPr>
          <w:rFonts w:ascii="Times New Roman" w:hAnsi="Times New Roman"/>
          <w:color w:val="000000"/>
          <w:sz w:val="24"/>
          <w:szCs w:val="24"/>
          <w:shd w:val="clear" w:color="auto" w:fill="FFFFFF"/>
          <w:lang w:val="sr-Cyrl-CS"/>
        </w:rPr>
        <w:t>је</w:t>
      </w:r>
      <w:r w:rsidR="008626AA" w:rsidRPr="008125BB">
        <w:rPr>
          <w:rFonts w:ascii="Times New Roman" w:hAnsi="Times New Roman"/>
          <w:color w:val="000000"/>
          <w:sz w:val="24"/>
          <w:szCs w:val="24"/>
          <w:shd w:val="clear" w:color="auto" w:fill="FFFFFF"/>
          <w:lang w:val="sr-Cyrl-CS"/>
        </w:rPr>
        <w:t xml:space="preserve"> </w:t>
      </w:r>
      <w:r w:rsidR="008125BB" w:rsidRPr="008125BB">
        <w:rPr>
          <w:rFonts w:ascii="Times New Roman" w:hAnsi="Times New Roman"/>
          <w:color w:val="000000"/>
          <w:sz w:val="24"/>
          <w:szCs w:val="24"/>
          <w:shd w:val="clear" w:color="auto" w:fill="FFFFFF"/>
          <w:lang w:val="sr-Cyrl-CS"/>
        </w:rPr>
        <w:t>оно</w:t>
      </w:r>
      <w:r w:rsidR="008626AA" w:rsidRPr="008125BB">
        <w:rPr>
          <w:rFonts w:ascii="Times New Roman" w:hAnsi="Times New Roman"/>
          <w:color w:val="000000"/>
          <w:sz w:val="24"/>
          <w:szCs w:val="24"/>
          <w:shd w:val="clear" w:color="auto" w:fill="FFFFFF"/>
          <w:lang w:val="sr-Cyrl-CS"/>
        </w:rPr>
        <w:t xml:space="preserve"> </w:t>
      </w:r>
      <w:r w:rsidR="008125BB" w:rsidRPr="008125BB">
        <w:rPr>
          <w:rFonts w:ascii="Times New Roman" w:hAnsi="Times New Roman"/>
          <w:color w:val="000000"/>
          <w:sz w:val="24"/>
          <w:szCs w:val="24"/>
          <w:shd w:val="clear" w:color="auto" w:fill="FFFFFF"/>
          <w:lang w:val="sr-Cyrl-CS"/>
        </w:rPr>
        <w:t>дело</w:t>
      </w:r>
      <w:r w:rsidR="008626AA" w:rsidRPr="008125BB">
        <w:rPr>
          <w:rFonts w:ascii="Times New Roman" w:hAnsi="Times New Roman"/>
          <w:color w:val="000000"/>
          <w:sz w:val="24"/>
          <w:szCs w:val="24"/>
          <w:shd w:val="clear" w:color="auto" w:fill="FFFFFF"/>
          <w:lang w:val="sr-Cyrl-CS"/>
        </w:rPr>
        <w:t xml:space="preserve"> </w:t>
      </w:r>
      <w:r w:rsidR="008125BB" w:rsidRPr="008125BB">
        <w:rPr>
          <w:rFonts w:ascii="Times New Roman" w:hAnsi="Times New Roman"/>
          <w:color w:val="000000"/>
          <w:sz w:val="24"/>
          <w:szCs w:val="24"/>
          <w:shd w:val="clear" w:color="auto" w:fill="FFFFFF"/>
          <w:lang w:val="sr-Cyrl-CS"/>
        </w:rPr>
        <w:t>које</w:t>
      </w:r>
      <w:r w:rsidR="008626AA" w:rsidRPr="008125BB">
        <w:rPr>
          <w:rFonts w:ascii="Times New Roman" w:hAnsi="Times New Roman"/>
          <w:color w:val="000000"/>
          <w:sz w:val="24"/>
          <w:szCs w:val="24"/>
          <w:shd w:val="clear" w:color="auto" w:fill="FFFFFF"/>
          <w:lang w:val="sr-Cyrl-CS"/>
        </w:rPr>
        <w:t xml:space="preserve"> </w:t>
      </w:r>
      <w:r w:rsidR="008125BB" w:rsidRPr="008125BB">
        <w:rPr>
          <w:rFonts w:ascii="Times New Roman" w:hAnsi="Times New Roman"/>
          <w:color w:val="000000"/>
          <w:sz w:val="24"/>
          <w:szCs w:val="24"/>
          <w:shd w:val="clear" w:color="auto" w:fill="FFFFFF"/>
          <w:lang w:val="sr-Cyrl-CS"/>
        </w:rPr>
        <w:t>је</w:t>
      </w:r>
      <w:r w:rsidR="008626AA" w:rsidRPr="008125BB">
        <w:rPr>
          <w:rFonts w:ascii="Times New Roman" w:hAnsi="Times New Roman"/>
          <w:color w:val="000000"/>
          <w:sz w:val="24"/>
          <w:szCs w:val="24"/>
          <w:shd w:val="clear" w:color="auto" w:fill="FFFFFF"/>
          <w:lang w:val="sr-Cyrl-CS"/>
        </w:rPr>
        <w:t xml:space="preserve"> </w:t>
      </w:r>
      <w:r w:rsidR="008125BB" w:rsidRPr="008125BB">
        <w:rPr>
          <w:rFonts w:ascii="Times New Roman" w:hAnsi="Times New Roman"/>
          <w:color w:val="000000"/>
          <w:sz w:val="24"/>
          <w:szCs w:val="24"/>
          <w:shd w:val="clear" w:color="auto" w:fill="FFFFFF"/>
          <w:lang w:val="sr-Cyrl-CS"/>
        </w:rPr>
        <w:t>законом</w:t>
      </w:r>
      <w:r w:rsidR="008626AA" w:rsidRPr="008125BB">
        <w:rPr>
          <w:rFonts w:ascii="Times New Roman" w:hAnsi="Times New Roman"/>
          <w:color w:val="000000"/>
          <w:sz w:val="24"/>
          <w:szCs w:val="24"/>
          <w:shd w:val="clear" w:color="auto" w:fill="FFFFFF"/>
          <w:lang w:val="sr-Cyrl-CS"/>
        </w:rPr>
        <w:t xml:space="preserve"> </w:t>
      </w:r>
      <w:r w:rsidR="008125BB" w:rsidRPr="008125BB">
        <w:rPr>
          <w:rFonts w:ascii="Times New Roman" w:hAnsi="Times New Roman"/>
          <w:color w:val="000000"/>
          <w:sz w:val="24"/>
          <w:szCs w:val="24"/>
          <w:shd w:val="clear" w:color="auto" w:fill="FFFFFF"/>
          <w:lang w:val="sr-Cyrl-CS"/>
        </w:rPr>
        <w:t>предвиђено</w:t>
      </w:r>
      <w:r w:rsidR="008626AA" w:rsidRPr="008125BB">
        <w:rPr>
          <w:rFonts w:ascii="Times New Roman" w:hAnsi="Times New Roman"/>
          <w:color w:val="000000"/>
          <w:sz w:val="24"/>
          <w:szCs w:val="24"/>
          <w:shd w:val="clear" w:color="auto" w:fill="FFFFFF"/>
          <w:lang w:val="sr-Cyrl-CS"/>
        </w:rPr>
        <w:t xml:space="preserve"> </w:t>
      </w:r>
      <w:r w:rsidR="008125BB" w:rsidRPr="008125BB">
        <w:rPr>
          <w:rFonts w:ascii="Times New Roman" w:hAnsi="Times New Roman"/>
          <w:color w:val="000000"/>
          <w:sz w:val="24"/>
          <w:szCs w:val="24"/>
          <w:shd w:val="clear" w:color="auto" w:fill="FFFFFF"/>
          <w:lang w:val="sr-Cyrl-CS"/>
        </w:rPr>
        <w:t>као</w:t>
      </w:r>
      <w:r w:rsidR="008626AA" w:rsidRPr="008125BB">
        <w:rPr>
          <w:rFonts w:ascii="Times New Roman" w:hAnsi="Times New Roman"/>
          <w:color w:val="000000"/>
          <w:sz w:val="24"/>
          <w:szCs w:val="24"/>
          <w:shd w:val="clear" w:color="auto" w:fill="FFFFFF"/>
          <w:lang w:val="sr-Cyrl-CS"/>
        </w:rPr>
        <w:t xml:space="preserve"> </w:t>
      </w:r>
      <w:r w:rsidR="008125BB" w:rsidRPr="008125BB">
        <w:rPr>
          <w:rFonts w:ascii="Times New Roman" w:hAnsi="Times New Roman"/>
          <w:color w:val="000000"/>
          <w:sz w:val="24"/>
          <w:szCs w:val="24"/>
          <w:shd w:val="clear" w:color="auto" w:fill="FFFFFF"/>
          <w:lang w:val="sr-Cyrl-CS"/>
        </w:rPr>
        <w:t>кривично</w:t>
      </w:r>
      <w:r w:rsidR="008626AA" w:rsidRPr="008125BB">
        <w:rPr>
          <w:rFonts w:ascii="Times New Roman" w:hAnsi="Times New Roman"/>
          <w:color w:val="000000"/>
          <w:sz w:val="24"/>
          <w:szCs w:val="24"/>
          <w:shd w:val="clear" w:color="auto" w:fill="FFFFFF"/>
          <w:lang w:val="sr-Cyrl-CS"/>
        </w:rPr>
        <w:t xml:space="preserve"> </w:t>
      </w:r>
      <w:r w:rsidR="008125BB" w:rsidRPr="008125BB">
        <w:rPr>
          <w:rFonts w:ascii="Times New Roman" w:hAnsi="Times New Roman"/>
          <w:color w:val="000000"/>
          <w:sz w:val="24"/>
          <w:szCs w:val="24"/>
          <w:shd w:val="clear" w:color="auto" w:fill="FFFFFF"/>
          <w:lang w:val="sr-Cyrl-CS"/>
        </w:rPr>
        <w:t>дело</w:t>
      </w:r>
      <w:r w:rsidR="008626AA" w:rsidRPr="008125BB">
        <w:rPr>
          <w:rFonts w:ascii="Times New Roman" w:hAnsi="Times New Roman"/>
          <w:color w:val="000000"/>
          <w:sz w:val="24"/>
          <w:szCs w:val="24"/>
          <w:shd w:val="clear" w:color="auto" w:fill="FFFFFF"/>
          <w:lang w:val="sr-Cyrl-CS"/>
        </w:rPr>
        <w:t xml:space="preserve">, </w:t>
      </w:r>
      <w:r w:rsidR="008125BB" w:rsidRPr="008125BB">
        <w:rPr>
          <w:rFonts w:ascii="Times New Roman" w:hAnsi="Times New Roman"/>
          <w:color w:val="000000"/>
          <w:sz w:val="24"/>
          <w:szCs w:val="24"/>
          <w:shd w:val="clear" w:color="auto" w:fill="FFFFFF"/>
          <w:lang w:val="sr-Cyrl-CS"/>
        </w:rPr>
        <w:t>које</w:t>
      </w:r>
      <w:r w:rsidR="008626AA" w:rsidRPr="008125BB">
        <w:rPr>
          <w:rFonts w:ascii="Times New Roman" w:hAnsi="Times New Roman"/>
          <w:color w:val="000000"/>
          <w:sz w:val="24"/>
          <w:szCs w:val="24"/>
          <w:shd w:val="clear" w:color="auto" w:fill="FFFFFF"/>
          <w:lang w:val="sr-Cyrl-CS"/>
        </w:rPr>
        <w:t xml:space="preserve"> </w:t>
      </w:r>
      <w:r w:rsidR="008125BB" w:rsidRPr="008125BB">
        <w:rPr>
          <w:rFonts w:ascii="Times New Roman" w:hAnsi="Times New Roman"/>
          <w:color w:val="000000"/>
          <w:sz w:val="24"/>
          <w:szCs w:val="24"/>
          <w:shd w:val="clear" w:color="auto" w:fill="FFFFFF"/>
          <w:lang w:val="sr-Cyrl-CS"/>
        </w:rPr>
        <w:t>је</w:t>
      </w:r>
      <w:r w:rsidR="008626AA" w:rsidRPr="008125BB">
        <w:rPr>
          <w:rFonts w:ascii="Times New Roman" w:hAnsi="Times New Roman"/>
          <w:color w:val="000000"/>
          <w:sz w:val="24"/>
          <w:szCs w:val="24"/>
          <w:shd w:val="clear" w:color="auto" w:fill="FFFFFF"/>
          <w:lang w:val="sr-Cyrl-CS"/>
        </w:rPr>
        <w:t xml:space="preserve"> </w:t>
      </w:r>
      <w:r w:rsidR="008125BB" w:rsidRPr="008125BB">
        <w:rPr>
          <w:rFonts w:ascii="Times New Roman" w:hAnsi="Times New Roman"/>
          <w:color w:val="000000"/>
          <w:sz w:val="24"/>
          <w:szCs w:val="24"/>
          <w:shd w:val="clear" w:color="auto" w:fill="FFFFFF"/>
          <w:lang w:val="sr-Cyrl-CS"/>
        </w:rPr>
        <w:t>противправно</w:t>
      </w:r>
      <w:r w:rsidR="008626AA" w:rsidRPr="008125BB">
        <w:rPr>
          <w:rFonts w:ascii="Times New Roman" w:hAnsi="Times New Roman"/>
          <w:color w:val="000000"/>
          <w:sz w:val="24"/>
          <w:szCs w:val="24"/>
          <w:shd w:val="clear" w:color="auto" w:fill="FFFFFF"/>
          <w:lang w:val="sr-Cyrl-CS"/>
        </w:rPr>
        <w:t xml:space="preserve"> </w:t>
      </w:r>
      <w:r w:rsidR="008125BB" w:rsidRPr="008125BB">
        <w:rPr>
          <w:rFonts w:ascii="Times New Roman" w:hAnsi="Times New Roman"/>
          <w:color w:val="000000"/>
          <w:sz w:val="24"/>
          <w:szCs w:val="24"/>
          <w:shd w:val="clear" w:color="auto" w:fill="FFFFFF"/>
          <w:lang w:val="sr-Cyrl-CS"/>
        </w:rPr>
        <w:t>и</w:t>
      </w:r>
      <w:r w:rsidR="008626AA" w:rsidRPr="008125BB">
        <w:rPr>
          <w:rFonts w:ascii="Times New Roman" w:hAnsi="Times New Roman"/>
          <w:color w:val="000000"/>
          <w:sz w:val="24"/>
          <w:szCs w:val="24"/>
          <w:shd w:val="clear" w:color="auto" w:fill="FFFFFF"/>
          <w:lang w:val="sr-Cyrl-CS"/>
        </w:rPr>
        <w:t xml:space="preserve"> </w:t>
      </w:r>
      <w:r w:rsidR="008125BB" w:rsidRPr="008125BB">
        <w:rPr>
          <w:rFonts w:ascii="Times New Roman" w:hAnsi="Times New Roman"/>
          <w:color w:val="000000"/>
          <w:sz w:val="24"/>
          <w:szCs w:val="24"/>
          <w:shd w:val="clear" w:color="auto" w:fill="FFFFFF"/>
          <w:lang w:val="sr-Cyrl-CS"/>
        </w:rPr>
        <w:t>које</w:t>
      </w:r>
      <w:r w:rsidR="008626AA" w:rsidRPr="008125BB">
        <w:rPr>
          <w:rFonts w:ascii="Times New Roman" w:hAnsi="Times New Roman"/>
          <w:color w:val="000000"/>
          <w:sz w:val="24"/>
          <w:szCs w:val="24"/>
          <w:shd w:val="clear" w:color="auto" w:fill="FFFFFF"/>
          <w:lang w:val="sr-Cyrl-CS"/>
        </w:rPr>
        <w:t xml:space="preserve"> </w:t>
      </w:r>
      <w:r w:rsidR="008125BB" w:rsidRPr="008125BB">
        <w:rPr>
          <w:rFonts w:ascii="Times New Roman" w:hAnsi="Times New Roman"/>
          <w:color w:val="000000"/>
          <w:sz w:val="24"/>
          <w:szCs w:val="24"/>
          <w:shd w:val="clear" w:color="auto" w:fill="FFFFFF"/>
          <w:lang w:val="sr-Cyrl-CS"/>
        </w:rPr>
        <w:t>је</w:t>
      </w:r>
      <w:r w:rsidR="008626AA" w:rsidRPr="008125BB">
        <w:rPr>
          <w:rFonts w:ascii="Times New Roman" w:hAnsi="Times New Roman"/>
          <w:color w:val="000000"/>
          <w:sz w:val="24"/>
          <w:szCs w:val="24"/>
          <w:shd w:val="clear" w:color="auto" w:fill="FFFFFF"/>
          <w:lang w:val="sr-Cyrl-CS"/>
        </w:rPr>
        <w:t xml:space="preserve"> </w:t>
      </w:r>
      <w:r w:rsidR="008125BB" w:rsidRPr="008125BB">
        <w:rPr>
          <w:rFonts w:ascii="Times New Roman" w:hAnsi="Times New Roman"/>
          <w:color w:val="000000"/>
          <w:sz w:val="24"/>
          <w:szCs w:val="24"/>
          <w:shd w:val="clear" w:color="auto" w:fill="FFFFFF"/>
          <w:lang w:val="sr-Cyrl-CS"/>
        </w:rPr>
        <w:t>скривљено</w:t>
      </w:r>
      <w:r w:rsidR="008626AA" w:rsidRPr="008125BB">
        <w:rPr>
          <w:rFonts w:ascii="Times New Roman" w:hAnsi="Times New Roman"/>
          <w:color w:val="000000"/>
          <w:sz w:val="24"/>
          <w:szCs w:val="24"/>
          <w:shd w:val="clear" w:color="auto" w:fill="FFFFFF"/>
          <w:lang w:val="sr-Cyrl-CS"/>
        </w:rPr>
        <w:t xml:space="preserve">. </w:t>
      </w:r>
      <w:r w:rsidR="008125BB" w:rsidRPr="008125BB">
        <w:rPr>
          <w:rFonts w:ascii="Times New Roman" w:hAnsi="Times New Roman"/>
          <w:color w:val="000000"/>
          <w:sz w:val="24"/>
          <w:szCs w:val="24"/>
          <w:shd w:val="clear" w:color="auto" w:fill="FFFFFF"/>
          <w:lang w:val="sr-Cyrl-CS"/>
        </w:rPr>
        <w:t>Нема</w:t>
      </w:r>
      <w:r w:rsidR="008626AA" w:rsidRPr="008125BB">
        <w:rPr>
          <w:rFonts w:ascii="Times New Roman" w:hAnsi="Times New Roman"/>
          <w:color w:val="000000"/>
          <w:sz w:val="24"/>
          <w:szCs w:val="24"/>
          <w:shd w:val="clear" w:color="auto" w:fill="FFFFFF"/>
          <w:lang w:val="sr-Cyrl-CS"/>
        </w:rPr>
        <w:t xml:space="preserve"> </w:t>
      </w:r>
      <w:r w:rsidR="008125BB" w:rsidRPr="008125BB">
        <w:rPr>
          <w:rFonts w:ascii="Times New Roman" w:hAnsi="Times New Roman"/>
          <w:color w:val="000000"/>
          <w:sz w:val="24"/>
          <w:szCs w:val="24"/>
          <w:shd w:val="clear" w:color="auto" w:fill="FFFFFF"/>
          <w:lang w:val="sr-Cyrl-CS"/>
        </w:rPr>
        <w:t>кривичног</w:t>
      </w:r>
      <w:r w:rsidR="008626AA" w:rsidRPr="008125BB">
        <w:rPr>
          <w:rFonts w:ascii="Times New Roman" w:hAnsi="Times New Roman"/>
          <w:color w:val="000000"/>
          <w:sz w:val="24"/>
          <w:szCs w:val="24"/>
          <w:shd w:val="clear" w:color="auto" w:fill="FFFFFF"/>
          <w:lang w:val="sr-Cyrl-CS"/>
        </w:rPr>
        <w:t xml:space="preserve"> </w:t>
      </w:r>
      <w:r w:rsidR="008125BB" w:rsidRPr="008125BB">
        <w:rPr>
          <w:rFonts w:ascii="Times New Roman" w:hAnsi="Times New Roman"/>
          <w:color w:val="000000"/>
          <w:sz w:val="24"/>
          <w:szCs w:val="24"/>
          <w:shd w:val="clear" w:color="auto" w:fill="FFFFFF"/>
          <w:lang w:val="sr-Cyrl-CS"/>
        </w:rPr>
        <w:t>дела</w:t>
      </w:r>
      <w:r w:rsidR="008626AA" w:rsidRPr="008125BB">
        <w:rPr>
          <w:rFonts w:ascii="Times New Roman" w:hAnsi="Times New Roman"/>
          <w:color w:val="000000"/>
          <w:sz w:val="24"/>
          <w:szCs w:val="24"/>
          <w:shd w:val="clear" w:color="auto" w:fill="FFFFFF"/>
          <w:lang w:val="sr-Cyrl-CS"/>
        </w:rPr>
        <w:t xml:space="preserve"> </w:t>
      </w:r>
      <w:r w:rsidR="008125BB" w:rsidRPr="008125BB">
        <w:rPr>
          <w:rFonts w:ascii="Times New Roman" w:hAnsi="Times New Roman"/>
          <w:color w:val="000000"/>
          <w:sz w:val="24"/>
          <w:szCs w:val="24"/>
          <w:shd w:val="clear" w:color="auto" w:fill="FFFFFF"/>
          <w:lang w:val="sr-Cyrl-CS"/>
        </w:rPr>
        <w:t>уколико</w:t>
      </w:r>
      <w:r w:rsidR="008626AA" w:rsidRPr="008125BB">
        <w:rPr>
          <w:rFonts w:ascii="Times New Roman" w:hAnsi="Times New Roman"/>
          <w:color w:val="000000"/>
          <w:sz w:val="24"/>
          <w:szCs w:val="24"/>
          <w:shd w:val="clear" w:color="auto" w:fill="FFFFFF"/>
          <w:lang w:val="sr-Cyrl-CS"/>
        </w:rPr>
        <w:t xml:space="preserve"> </w:t>
      </w:r>
      <w:r w:rsidR="008125BB" w:rsidRPr="008125BB">
        <w:rPr>
          <w:rFonts w:ascii="Times New Roman" w:hAnsi="Times New Roman"/>
          <w:color w:val="000000"/>
          <w:sz w:val="24"/>
          <w:szCs w:val="24"/>
          <w:shd w:val="clear" w:color="auto" w:fill="FFFFFF"/>
          <w:lang w:val="sr-Cyrl-CS"/>
        </w:rPr>
        <w:t>је</w:t>
      </w:r>
      <w:r w:rsidR="008626AA" w:rsidRPr="008125BB">
        <w:rPr>
          <w:rFonts w:ascii="Times New Roman" w:hAnsi="Times New Roman"/>
          <w:color w:val="000000"/>
          <w:sz w:val="24"/>
          <w:szCs w:val="24"/>
          <w:shd w:val="clear" w:color="auto" w:fill="FFFFFF"/>
          <w:lang w:val="sr-Cyrl-CS"/>
        </w:rPr>
        <w:t xml:space="preserve"> </w:t>
      </w:r>
      <w:r w:rsidR="008125BB" w:rsidRPr="008125BB">
        <w:rPr>
          <w:rFonts w:ascii="Times New Roman" w:hAnsi="Times New Roman"/>
          <w:color w:val="000000"/>
          <w:sz w:val="24"/>
          <w:szCs w:val="24"/>
          <w:shd w:val="clear" w:color="auto" w:fill="FFFFFF"/>
          <w:lang w:val="sr-Cyrl-CS"/>
        </w:rPr>
        <w:t>искључена</w:t>
      </w:r>
      <w:r w:rsidR="008626AA" w:rsidRPr="008125BB">
        <w:rPr>
          <w:rFonts w:ascii="Times New Roman" w:hAnsi="Times New Roman"/>
          <w:color w:val="000000"/>
          <w:sz w:val="24"/>
          <w:szCs w:val="24"/>
          <w:shd w:val="clear" w:color="auto" w:fill="FFFFFF"/>
          <w:lang w:val="sr-Cyrl-CS"/>
        </w:rPr>
        <w:t xml:space="preserve"> </w:t>
      </w:r>
      <w:r w:rsidR="008125BB" w:rsidRPr="008125BB">
        <w:rPr>
          <w:rFonts w:ascii="Times New Roman" w:hAnsi="Times New Roman"/>
          <w:color w:val="000000"/>
          <w:sz w:val="24"/>
          <w:szCs w:val="24"/>
          <w:shd w:val="clear" w:color="auto" w:fill="FFFFFF"/>
          <w:lang w:val="sr-Cyrl-CS"/>
        </w:rPr>
        <w:t>противправност</w:t>
      </w:r>
      <w:r w:rsidR="008626AA" w:rsidRPr="008125BB">
        <w:rPr>
          <w:rFonts w:ascii="Times New Roman" w:hAnsi="Times New Roman"/>
          <w:color w:val="000000"/>
          <w:sz w:val="24"/>
          <w:szCs w:val="24"/>
          <w:shd w:val="clear" w:color="auto" w:fill="FFFFFF"/>
          <w:lang w:val="sr-Cyrl-CS"/>
        </w:rPr>
        <w:t xml:space="preserve"> </w:t>
      </w:r>
      <w:r w:rsidR="008125BB" w:rsidRPr="008125BB">
        <w:rPr>
          <w:rFonts w:ascii="Times New Roman" w:hAnsi="Times New Roman"/>
          <w:color w:val="000000"/>
          <w:sz w:val="24"/>
          <w:szCs w:val="24"/>
          <w:shd w:val="clear" w:color="auto" w:fill="FFFFFF"/>
          <w:lang w:val="sr-Cyrl-CS"/>
        </w:rPr>
        <w:t>или</w:t>
      </w:r>
      <w:r w:rsidR="008626AA" w:rsidRPr="008125BB">
        <w:rPr>
          <w:rFonts w:ascii="Times New Roman" w:hAnsi="Times New Roman"/>
          <w:color w:val="000000"/>
          <w:sz w:val="24"/>
          <w:szCs w:val="24"/>
          <w:shd w:val="clear" w:color="auto" w:fill="FFFFFF"/>
          <w:lang w:val="sr-Cyrl-CS"/>
        </w:rPr>
        <w:t xml:space="preserve"> </w:t>
      </w:r>
      <w:r w:rsidR="008125BB" w:rsidRPr="008125BB">
        <w:rPr>
          <w:rFonts w:ascii="Times New Roman" w:hAnsi="Times New Roman"/>
          <w:color w:val="000000"/>
          <w:sz w:val="24"/>
          <w:szCs w:val="24"/>
          <w:shd w:val="clear" w:color="auto" w:fill="FFFFFF"/>
          <w:lang w:val="sr-Cyrl-CS"/>
        </w:rPr>
        <w:t>кривица</w:t>
      </w:r>
      <w:r w:rsidR="008626AA" w:rsidRPr="008125BB">
        <w:rPr>
          <w:rFonts w:ascii="Times New Roman" w:hAnsi="Times New Roman"/>
          <w:color w:val="000000"/>
          <w:sz w:val="24"/>
          <w:szCs w:val="24"/>
          <w:shd w:val="clear" w:color="auto" w:fill="FFFFFF"/>
          <w:lang w:val="sr-Cyrl-CS"/>
        </w:rPr>
        <w:t xml:space="preserve">, </w:t>
      </w:r>
      <w:r w:rsidR="008125BB" w:rsidRPr="008125BB">
        <w:rPr>
          <w:rFonts w:ascii="Times New Roman" w:hAnsi="Times New Roman"/>
          <w:color w:val="000000"/>
          <w:sz w:val="24"/>
          <w:szCs w:val="24"/>
          <w:shd w:val="clear" w:color="auto" w:fill="FFFFFF"/>
          <w:lang w:val="sr-Cyrl-CS"/>
        </w:rPr>
        <w:t>иако</w:t>
      </w:r>
      <w:r w:rsidR="008626AA" w:rsidRPr="008125BB">
        <w:rPr>
          <w:rFonts w:ascii="Times New Roman" w:hAnsi="Times New Roman"/>
          <w:color w:val="000000"/>
          <w:sz w:val="24"/>
          <w:szCs w:val="24"/>
          <w:shd w:val="clear" w:color="auto" w:fill="FFFFFF"/>
          <w:lang w:val="sr-Cyrl-CS"/>
        </w:rPr>
        <w:t xml:space="preserve"> </w:t>
      </w:r>
      <w:r w:rsidR="008125BB" w:rsidRPr="008125BB">
        <w:rPr>
          <w:rFonts w:ascii="Times New Roman" w:hAnsi="Times New Roman"/>
          <w:color w:val="000000"/>
          <w:sz w:val="24"/>
          <w:szCs w:val="24"/>
          <w:shd w:val="clear" w:color="auto" w:fill="FFFFFF"/>
          <w:lang w:val="sr-Cyrl-CS"/>
        </w:rPr>
        <w:t>постоје</w:t>
      </w:r>
      <w:r w:rsidR="008626AA" w:rsidRPr="008125BB">
        <w:rPr>
          <w:rFonts w:ascii="Times New Roman" w:hAnsi="Times New Roman"/>
          <w:color w:val="000000"/>
          <w:sz w:val="24"/>
          <w:szCs w:val="24"/>
          <w:shd w:val="clear" w:color="auto" w:fill="FFFFFF"/>
          <w:lang w:val="sr-Cyrl-CS"/>
        </w:rPr>
        <w:t xml:space="preserve"> </w:t>
      </w:r>
      <w:r w:rsidR="008125BB" w:rsidRPr="008125BB">
        <w:rPr>
          <w:rFonts w:ascii="Times New Roman" w:hAnsi="Times New Roman"/>
          <w:color w:val="000000"/>
          <w:sz w:val="24"/>
          <w:szCs w:val="24"/>
          <w:shd w:val="clear" w:color="auto" w:fill="FFFFFF"/>
          <w:lang w:val="sr-Cyrl-CS"/>
        </w:rPr>
        <w:t>сва</w:t>
      </w:r>
      <w:r w:rsidR="008626AA" w:rsidRPr="008125BB">
        <w:rPr>
          <w:rFonts w:ascii="Times New Roman" w:hAnsi="Times New Roman"/>
          <w:color w:val="000000"/>
          <w:sz w:val="24"/>
          <w:szCs w:val="24"/>
          <w:shd w:val="clear" w:color="auto" w:fill="FFFFFF"/>
          <w:lang w:val="sr-Cyrl-CS"/>
        </w:rPr>
        <w:t xml:space="preserve"> </w:t>
      </w:r>
      <w:r w:rsidR="008125BB" w:rsidRPr="008125BB">
        <w:rPr>
          <w:rFonts w:ascii="Times New Roman" w:hAnsi="Times New Roman"/>
          <w:color w:val="000000"/>
          <w:sz w:val="24"/>
          <w:szCs w:val="24"/>
          <w:shd w:val="clear" w:color="auto" w:fill="FFFFFF"/>
          <w:lang w:val="sr-Cyrl-CS"/>
        </w:rPr>
        <w:t>обележја</w:t>
      </w:r>
      <w:r w:rsidR="008626AA" w:rsidRPr="008125BB">
        <w:rPr>
          <w:rFonts w:ascii="Times New Roman" w:hAnsi="Times New Roman"/>
          <w:color w:val="000000"/>
          <w:sz w:val="24"/>
          <w:szCs w:val="24"/>
          <w:shd w:val="clear" w:color="auto" w:fill="FFFFFF"/>
          <w:lang w:val="sr-Cyrl-CS"/>
        </w:rPr>
        <w:t xml:space="preserve"> </w:t>
      </w:r>
      <w:r w:rsidR="008125BB" w:rsidRPr="008125BB">
        <w:rPr>
          <w:rFonts w:ascii="Times New Roman" w:hAnsi="Times New Roman"/>
          <w:color w:val="000000"/>
          <w:sz w:val="24"/>
          <w:szCs w:val="24"/>
          <w:shd w:val="clear" w:color="auto" w:fill="FFFFFF"/>
          <w:lang w:val="sr-Cyrl-CS"/>
        </w:rPr>
        <w:t>кривичног</w:t>
      </w:r>
      <w:r w:rsidR="008626AA" w:rsidRPr="008125BB">
        <w:rPr>
          <w:rFonts w:ascii="Times New Roman" w:hAnsi="Times New Roman"/>
          <w:color w:val="000000"/>
          <w:sz w:val="24"/>
          <w:szCs w:val="24"/>
          <w:shd w:val="clear" w:color="auto" w:fill="FFFFFF"/>
          <w:lang w:val="sr-Cyrl-CS"/>
        </w:rPr>
        <w:t xml:space="preserve"> </w:t>
      </w:r>
      <w:r w:rsidR="008125BB" w:rsidRPr="008125BB">
        <w:rPr>
          <w:rFonts w:ascii="Times New Roman" w:hAnsi="Times New Roman"/>
          <w:color w:val="000000"/>
          <w:sz w:val="24"/>
          <w:szCs w:val="24"/>
          <w:shd w:val="clear" w:color="auto" w:fill="FFFFFF"/>
          <w:lang w:val="sr-Cyrl-CS"/>
        </w:rPr>
        <w:t>дела</w:t>
      </w:r>
      <w:r w:rsidR="008626AA" w:rsidRPr="008125BB">
        <w:rPr>
          <w:rFonts w:ascii="Times New Roman" w:hAnsi="Times New Roman"/>
          <w:color w:val="000000"/>
          <w:sz w:val="24"/>
          <w:szCs w:val="24"/>
          <w:shd w:val="clear" w:color="auto" w:fill="FFFFFF"/>
          <w:lang w:val="sr-Cyrl-CS"/>
        </w:rPr>
        <w:t xml:space="preserve"> </w:t>
      </w:r>
      <w:r w:rsidR="008125BB" w:rsidRPr="008125BB">
        <w:rPr>
          <w:rFonts w:ascii="Times New Roman" w:hAnsi="Times New Roman"/>
          <w:color w:val="000000"/>
          <w:sz w:val="24"/>
          <w:szCs w:val="24"/>
          <w:shd w:val="clear" w:color="auto" w:fill="FFFFFF"/>
          <w:lang w:val="sr-Cyrl-CS"/>
        </w:rPr>
        <w:t>одређена</w:t>
      </w:r>
      <w:r w:rsidR="008626AA" w:rsidRPr="008125BB">
        <w:rPr>
          <w:rFonts w:ascii="Times New Roman" w:hAnsi="Times New Roman"/>
          <w:color w:val="000000"/>
          <w:sz w:val="24"/>
          <w:szCs w:val="24"/>
          <w:shd w:val="clear" w:color="auto" w:fill="FFFFFF"/>
          <w:lang w:val="sr-Cyrl-CS"/>
        </w:rPr>
        <w:t xml:space="preserve"> </w:t>
      </w:r>
      <w:r w:rsidR="008125BB" w:rsidRPr="008125BB">
        <w:rPr>
          <w:rFonts w:ascii="Times New Roman" w:hAnsi="Times New Roman"/>
          <w:color w:val="000000"/>
          <w:sz w:val="24"/>
          <w:szCs w:val="24"/>
          <w:shd w:val="clear" w:color="auto" w:fill="FFFFFF"/>
          <w:lang w:val="sr-Cyrl-CS"/>
        </w:rPr>
        <w:t>законом</w:t>
      </w:r>
      <w:r w:rsidR="008626AA">
        <w:rPr>
          <w:rFonts w:ascii="Arial" w:hAnsi="Arial" w:cs="Arial"/>
          <w:color w:val="000000"/>
          <w:sz w:val="18"/>
          <w:szCs w:val="18"/>
          <w:shd w:val="clear" w:color="auto" w:fill="FFFFFF"/>
        </w:rPr>
        <w:t>.</w:t>
      </w:r>
      <w:r w:rsidR="008626AA">
        <w:rPr>
          <w:rStyle w:val="FootnoteReference"/>
          <w:rFonts w:ascii="Arial" w:hAnsi="Arial" w:cs="Arial"/>
          <w:color w:val="000000"/>
          <w:sz w:val="18"/>
          <w:szCs w:val="18"/>
          <w:shd w:val="clear" w:color="auto" w:fill="FFFFFF"/>
        </w:rPr>
        <w:t xml:space="preserve"> </w:t>
      </w:r>
      <w:r w:rsidR="008626AA">
        <w:rPr>
          <w:rStyle w:val="FootnoteReference"/>
          <w:rFonts w:ascii="Arial" w:hAnsi="Arial" w:cs="Arial"/>
          <w:color w:val="000000"/>
          <w:sz w:val="18"/>
          <w:szCs w:val="18"/>
          <w:shd w:val="clear" w:color="auto" w:fill="FFFFFF"/>
        </w:rPr>
        <w:footnoteReference w:id="770"/>
      </w:r>
      <w:r w:rsidR="008125BB">
        <w:rPr>
          <w:rFonts w:ascii="Arial" w:hAnsi="Arial" w:cs="Arial"/>
          <w:color w:val="000000"/>
          <w:sz w:val="18"/>
          <w:szCs w:val="18"/>
          <w:shd w:val="clear" w:color="auto" w:fill="FFFFFF"/>
          <w:lang w:val="sr-Cyrl-CS"/>
        </w:rPr>
        <w:t xml:space="preserve"> </w:t>
      </w:r>
      <w:r w:rsidR="0053611E" w:rsidRPr="0053611E">
        <w:rPr>
          <w:rFonts w:ascii="Times New Roman" w:hAnsi="Times New Roman"/>
          <w:color w:val="000000"/>
          <w:sz w:val="24"/>
          <w:szCs w:val="24"/>
          <w:shd w:val="clear" w:color="auto" w:fill="FFFFFF"/>
          <w:lang w:val="sr-Cyrl-CS"/>
        </w:rPr>
        <w:t>У том погледу је</w:t>
      </w:r>
      <w:r w:rsidR="0053611E">
        <w:rPr>
          <w:rFonts w:ascii="Arial" w:hAnsi="Arial" w:cs="Arial"/>
          <w:color w:val="000000"/>
          <w:sz w:val="18"/>
          <w:szCs w:val="18"/>
          <w:shd w:val="clear" w:color="auto" w:fill="FFFFFF"/>
          <w:lang w:val="sr-Cyrl-CS"/>
        </w:rPr>
        <w:t xml:space="preserve"> </w:t>
      </w:r>
      <w:r w:rsidR="0053611E" w:rsidRPr="0053611E">
        <w:rPr>
          <w:rFonts w:ascii="Times New Roman" w:hAnsi="Times New Roman"/>
          <w:color w:val="000000"/>
          <w:sz w:val="24"/>
          <w:szCs w:val="24"/>
          <w:shd w:val="clear" w:color="auto" w:fill="FFFFFF"/>
          <w:lang w:val="sr-Cyrl-CS"/>
        </w:rPr>
        <w:t>објективно-субјективни појам кривичног дела</w:t>
      </w:r>
      <w:r w:rsidR="00496DC7">
        <w:rPr>
          <w:rFonts w:ascii="Times New Roman" w:hAnsi="Times New Roman"/>
          <w:color w:val="000000"/>
          <w:sz w:val="24"/>
          <w:szCs w:val="24"/>
          <w:shd w:val="clear" w:color="auto" w:fill="FFFFFF"/>
          <w:lang w:val="sr-Cyrl-CS"/>
        </w:rPr>
        <w:t>,</w:t>
      </w:r>
      <w:r w:rsidR="0053611E" w:rsidRPr="0053611E">
        <w:rPr>
          <w:rFonts w:ascii="Times New Roman" w:hAnsi="Times New Roman"/>
          <w:color w:val="000000"/>
          <w:sz w:val="24"/>
          <w:szCs w:val="24"/>
          <w:shd w:val="clear" w:color="auto" w:fill="FFFFFF"/>
          <w:lang w:val="sr-Cyrl-CS"/>
        </w:rPr>
        <w:t xml:space="preserve"> који је садржан одредбом чл. 14. </w:t>
      </w:r>
      <w:r w:rsidR="00630C9F">
        <w:rPr>
          <w:rFonts w:ascii="Times New Roman" w:hAnsi="Times New Roman"/>
          <w:color w:val="000000"/>
          <w:sz w:val="24"/>
          <w:szCs w:val="24"/>
          <w:shd w:val="clear" w:color="auto" w:fill="FFFFFF"/>
          <w:lang w:val="sr-Cyrl-CS"/>
        </w:rPr>
        <w:t>с</w:t>
      </w:r>
      <w:r w:rsidR="0053611E" w:rsidRPr="0053611E">
        <w:rPr>
          <w:rFonts w:ascii="Times New Roman" w:hAnsi="Times New Roman"/>
          <w:color w:val="000000"/>
          <w:sz w:val="24"/>
          <w:szCs w:val="24"/>
          <w:shd w:val="clear" w:color="auto" w:fill="FFFFFF"/>
          <w:lang w:val="sr-Cyrl-CS"/>
        </w:rPr>
        <w:t>т. 1. Кривичног законика</w:t>
      </w:r>
      <w:r w:rsidR="00061E45">
        <w:rPr>
          <w:rFonts w:ascii="Times New Roman" w:hAnsi="Times New Roman"/>
          <w:color w:val="000000"/>
          <w:sz w:val="24"/>
          <w:szCs w:val="24"/>
          <w:shd w:val="clear" w:color="auto" w:fill="FFFFFF"/>
          <w:lang w:val="sr-Cyrl-CS"/>
        </w:rPr>
        <w:t>,</w:t>
      </w:r>
      <w:r w:rsidR="0053611E" w:rsidRPr="0053611E">
        <w:rPr>
          <w:rFonts w:ascii="Times New Roman" w:hAnsi="Times New Roman"/>
          <w:color w:val="000000"/>
          <w:sz w:val="24"/>
          <w:szCs w:val="24"/>
          <w:shd w:val="clear" w:color="auto" w:fill="FFFFFF"/>
          <w:lang w:val="sr-Cyrl-CS"/>
        </w:rPr>
        <w:t xml:space="preserve"> у </w:t>
      </w:r>
      <w:r w:rsidR="0053611E" w:rsidRPr="0053611E">
        <w:rPr>
          <w:rFonts w:ascii="Times New Roman" w:hAnsi="Times New Roman"/>
          <w:color w:val="000000"/>
          <w:sz w:val="24"/>
          <w:szCs w:val="24"/>
          <w:shd w:val="clear" w:color="auto" w:fill="FFFFFF"/>
          <w:lang w:val="sr-Cyrl-CS"/>
        </w:rPr>
        <w:lastRenderedPageBreak/>
        <w:t>складу са савременом теоријом права</w:t>
      </w:r>
      <w:r w:rsidR="00061E45">
        <w:rPr>
          <w:rFonts w:ascii="Times New Roman" w:hAnsi="Times New Roman"/>
          <w:color w:val="000000"/>
          <w:sz w:val="24"/>
          <w:szCs w:val="24"/>
          <w:shd w:val="clear" w:color="auto" w:fill="FFFFFF"/>
          <w:lang w:val="sr-Cyrl-CS"/>
        </w:rPr>
        <w:t>. Истовремено</w:t>
      </w:r>
      <w:r w:rsidR="0053611E" w:rsidRPr="0053611E">
        <w:rPr>
          <w:rFonts w:ascii="Times New Roman" w:hAnsi="Times New Roman"/>
          <w:color w:val="000000"/>
          <w:sz w:val="24"/>
          <w:szCs w:val="24"/>
          <w:shd w:val="clear" w:color="auto" w:fill="FFFFFF"/>
          <w:lang w:val="sr-Cyrl-CS"/>
        </w:rPr>
        <w:t xml:space="preserve"> представља норму која није само декларативног карактера, већ се успешно може примењивати у пракси.</w:t>
      </w:r>
      <w:r w:rsidR="0053611E">
        <w:rPr>
          <w:rStyle w:val="FootnoteReference"/>
          <w:rFonts w:ascii="Times New Roman" w:hAnsi="Times New Roman"/>
          <w:color w:val="000000"/>
          <w:sz w:val="24"/>
          <w:szCs w:val="24"/>
          <w:shd w:val="clear" w:color="auto" w:fill="FFFFFF"/>
          <w:lang w:val="sr-Cyrl-CS"/>
        </w:rPr>
        <w:footnoteReference w:id="771"/>
      </w:r>
    </w:p>
    <w:p w:rsidR="006352C3" w:rsidRDefault="00B05991" w:rsidP="00B05991">
      <w:pPr>
        <w:ind w:firstLine="360"/>
        <w:jc w:val="both"/>
        <w:rPr>
          <w:rFonts w:ascii="Times New Roman" w:hAnsi="Times New Roman"/>
          <w:color w:val="000000"/>
          <w:sz w:val="24"/>
          <w:szCs w:val="24"/>
          <w:shd w:val="clear" w:color="auto" w:fill="FFFFFF"/>
          <w:lang w:val="sr-Cyrl-CS"/>
        </w:rPr>
      </w:pPr>
      <w:r>
        <w:rPr>
          <w:rFonts w:ascii="Times New Roman" w:hAnsi="Times New Roman"/>
          <w:color w:val="000000"/>
          <w:sz w:val="24"/>
          <w:szCs w:val="24"/>
          <w:shd w:val="clear" w:color="auto" w:fill="FFFFFF"/>
          <w:lang w:val="sr-Cyrl-CS"/>
        </w:rPr>
        <w:t xml:space="preserve">Привредни криминалитет и корупција обухватају скуп различитих </w:t>
      </w:r>
      <w:r w:rsidR="006352C3">
        <w:rPr>
          <w:rFonts w:ascii="Times New Roman" w:hAnsi="Times New Roman"/>
          <w:color w:val="000000"/>
          <w:sz w:val="24"/>
          <w:szCs w:val="24"/>
          <w:shd w:val="clear" w:color="auto" w:fill="FFFFFF"/>
          <w:lang w:val="sr-Cyrl-CS"/>
        </w:rPr>
        <w:t xml:space="preserve">и многобројних </w:t>
      </w:r>
      <w:r>
        <w:rPr>
          <w:rFonts w:ascii="Times New Roman" w:hAnsi="Times New Roman"/>
          <w:color w:val="000000"/>
          <w:sz w:val="24"/>
          <w:szCs w:val="24"/>
          <w:shd w:val="clear" w:color="auto" w:fill="FFFFFF"/>
          <w:lang w:val="sr-Cyrl-CS"/>
        </w:rPr>
        <w:t xml:space="preserve">незаконитих делатности </w:t>
      </w:r>
      <w:r w:rsidR="006352C3">
        <w:rPr>
          <w:rFonts w:ascii="Times New Roman" w:hAnsi="Times New Roman"/>
          <w:color w:val="000000"/>
          <w:sz w:val="24"/>
          <w:szCs w:val="24"/>
          <w:shd w:val="clear" w:color="auto" w:fill="FFFFFF"/>
          <w:lang w:val="sr-Cyrl-CS"/>
        </w:rPr>
        <w:t>са циљем брзе и лаке зараде, које су толико разноврсне да је тешко изд</w:t>
      </w:r>
      <w:r w:rsidR="007D3F49">
        <w:rPr>
          <w:rFonts w:ascii="Times New Roman" w:hAnsi="Times New Roman"/>
          <w:color w:val="000000"/>
          <w:sz w:val="24"/>
          <w:szCs w:val="24"/>
          <w:shd w:val="clear" w:color="auto" w:fill="FFFFFF"/>
          <w:lang w:val="sr-Cyrl-CS"/>
        </w:rPr>
        <w:t>во</w:t>
      </w:r>
      <w:r w:rsidR="006352C3">
        <w:rPr>
          <w:rFonts w:ascii="Times New Roman" w:hAnsi="Times New Roman"/>
          <w:color w:val="000000"/>
          <w:sz w:val="24"/>
          <w:szCs w:val="24"/>
          <w:shd w:val="clear" w:color="auto" w:fill="FFFFFF"/>
          <w:lang w:val="sr-Cyrl-CS"/>
        </w:rPr>
        <w:t>јити заједничке карактеристике.</w:t>
      </w:r>
      <w:r>
        <w:rPr>
          <w:rFonts w:ascii="Times New Roman" w:hAnsi="Times New Roman"/>
          <w:color w:val="000000"/>
          <w:sz w:val="24"/>
          <w:szCs w:val="24"/>
          <w:shd w:val="clear" w:color="auto" w:fill="FFFFFF"/>
          <w:lang w:val="sr-Cyrl-CS"/>
        </w:rPr>
        <w:t xml:space="preserve"> </w:t>
      </w:r>
      <w:r w:rsidR="006352C3">
        <w:rPr>
          <w:rFonts w:ascii="Times New Roman" w:hAnsi="Times New Roman"/>
          <w:color w:val="000000"/>
          <w:sz w:val="24"/>
          <w:szCs w:val="24"/>
          <w:shd w:val="clear" w:color="auto" w:fill="FFFFFF"/>
          <w:lang w:val="sr-Cyrl-CS"/>
        </w:rPr>
        <w:t>Поред тога, б</w:t>
      </w:r>
      <w:r>
        <w:rPr>
          <w:rFonts w:ascii="Times New Roman" w:hAnsi="Times New Roman"/>
          <w:color w:val="000000"/>
          <w:sz w:val="24"/>
          <w:szCs w:val="24"/>
          <w:shd w:val="clear" w:color="auto" w:fill="FFFFFF"/>
          <w:lang w:val="sr-Cyrl-CS"/>
        </w:rPr>
        <w:t xml:space="preserve">рзе промене у привреди доводе до промена у инкриминацији и до повећања броја кривичних дела против привреде. </w:t>
      </w:r>
    </w:p>
    <w:p w:rsidR="00B05991" w:rsidRDefault="006352C3" w:rsidP="00C46465">
      <w:pPr>
        <w:ind w:firstLine="360"/>
        <w:jc w:val="both"/>
        <w:rPr>
          <w:rFonts w:ascii="Times New Roman" w:hAnsi="Times New Roman"/>
          <w:color w:val="000000"/>
          <w:sz w:val="24"/>
          <w:szCs w:val="24"/>
          <w:shd w:val="clear" w:color="auto" w:fill="FFFFFF"/>
          <w:lang w:val="sr-Cyrl-CS"/>
        </w:rPr>
      </w:pPr>
      <w:r>
        <w:rPr>
          <w:rFonts w:ascii="Times New Roman" w:hAnsi="Times New Roman"/>
          <w:color w:val="000000"/>
          <w:sz w:val="24"/>
          <w:szCs w:val="24"/>
          <w:shd w:val="clear" w:color="auto" w:fill="FFFFFF"/>
          <w:lang w:val="sr-Cyrl-CS"/>
        </w:rPr>
        <w:t xml:space="preserve">При том, кривична дела против привреде се разликују од привредног криминалитета. </w:t>
      </w:r>
      <w:r w:rsidR="003B3B56">
        <w:rPr>
          <w:rFonts w:ascii="Times New Roman" w:hAnsi="Times New Roman"/>
          <w:color w:val="000000"/>
          <w:sz w:val="24"/>
          <w:szCs w:val="24"/>
          <w:shd w:val="clear" w:color="auto" w:fill="FFFFFF"/>
          <w:lang w:val="sr-Cyrl-CS"/>
        </w:rPr>
        <w:t xml:space="preserve">Привредни криминалитет се </w:t>
      </w:r>
      <w:r>
        <w:rPr>
          <w:rFonts w:ascii="Times New Roman" w:hAnsi="Times New Roman"/>
          <w:color w:val="000000"/>
          <w:sz w:val="24"/>
          <w:szCs w:val="24"/>
          <w:shd w:val="clear" w:color="auto" w:fill="FFFFFF"/>
          <w:lang w:val="sr-Cyrl-CS"/>
        </w:rPr>
        <w:t xml:space="preserve">као кривичноправна и </w:t>
      </w:r>
      <w:r w:rsidR="003B3B56">
        <w:rPr>
          <w:rFonts w:ascii="Times New Roman" w:hAnsi="Times New Roman"/>
          <w:color w:val="000000"/>
          <w:sz w:val="24"/>
          <w:szCs w:val="24"/>
          <w:shd w:val="clear" w:color="auto" w:fill="FFFFFF"/>
          <w:lang w:val="sr-Cyrl-CS"/>
        </w:rPr>
        <w:t>криминолошка категорија појавио</w:t>
      </w:r>
      <w:r>
        <w:rPr>
          <w:rFonts w:ascii="Times New Roman" w:hAnsi="Times New Roman"/>
          <w:color w:val="000000"/>
          <w:sz w:val="24"/>
          <w:szCs w:val="24"/>
          <w:shd w:val="clear" w:color="auto" w:fill="FFFFFF"/>
          <w:lang w:val="sr-Cyrl-CS"/>
        </w:rPr>
        <w:t xml:space="preserve"> у ве</w:t>
      </w:r>
      <w:r w:rsidR="003B3B56">
        <w:rPr>
          <w:rFonts w:ascii="Times New Roman" w:hAnsi="Times New Roman"/>
          <w:color w:val="000000"/>
          <w:sz w:val="24"/>
          <w:szCs w:val="24"/>
          <w:shd w:val="clear" w:color="auto" w:fill="FFFFFF"/>
          <w:lang w:val="sr-Cyrl-CS"/>
        </w:rPr>
        <w:t xml:space="preserve">зи са појавом привредног права и то </w:t>
      </w:r>
      <w:r>
        <w:rPr>
          <w:rFonts w:ascii="Times New Roman" w:hAnsi="Times New Roman"/>
          <w:color w:val="000000"/>
          <w:sz w:val="24"/>
          <w:szCs w:val="24"/>
          <w:shd w:val="clear" w:color="auto" w:fill="FFFFFF"/>
          <w:lang w:val="sr-Cyrl-CS"/>
        </w:rPr>
        <w:t xml:space="preserve">је шири појам од кривичних дела против привреде, јер су ова дела само један сегмент привредног криминалитета, пошто она нису једина дела којима се напада на односе у привреди, на њена добра и вредности. </w:t>
      </w:r>
      <w:r w:rsidR="003B3B56">
        <w:rPr>
          <w:rFonts w:ascii="Times New Roman" w:hAnsi="Times New Roman"/>
          <w:color w:val="000000"/>
          <w:sz w:val="24"/>
          <w:szCs w:val="24"/>
          <w:shd w:val="clear" w:color="auto" w:fill="FFFFFF"/>
          <w:lang w:val="sr-Cyrl-CS"/>
        </w:rPr>
        <w:t>Према томе, у</w:t>
      </w:r>
      <w:r>
        <w:rPr>
          <w:rFonts w:ascii="Times New Roman" w:hAnsi="Times New Roman"/>
          <w:color w:val="000000"/>
          <w:sz w:val="24"/>
          <w:szCs w:val="24"/>
          <w:shd w:val="clear" w:color="auto" w:fill="FFFFFF"/>
          <w:lang w:val="sr-Cyrl-CS"/>
        </w:rPr>
        <w:t xml:space="preserve"> привредни криминалитет спадају  кривична дела против привреде, нека кривична</w:t>
      </w:r>
      <w:r w:rsidR="00C46465">
        <w:rPr>
          <w:rFonts w:ascii="Times New Roman" w:hAnsi="Times New Roman"/>
          <w:color w:val="000000"/>
          <w:sz w:val="24"/>
          <w:szCs w:val="24"/>
          <w:shd w:val="clear" w:color="auto" w:fill="FFFFFF"/>
          <w:lang w:val="sr-Cyrl-CS"/>
        </w:rPr>
        <w:t xml:space="preserve"> дела против службене дужности и против имовине, као и поједина друга кривична дела.</w:t>
      </w:r>
      <w:r w:rsidR="0064400F">
        <w:rPr>
          <w:rFonts w:ascii="Times New Roman" w:hAnsi="Times New Roman"/>
          <w:color w:val="000000"/>
          <w:sz w:val="24"/>
          <w:szCs w:val="24"/>
          <w:shd w:val="clear" w:color="auto" w:fill="FFFFFF"/>
          <w:lang w:val="sr-Cyrl-CS"/>
        </w:rPr>
        <w:t xml:space="preserve"> </w:t>
      </w:r>
      <w:r>
        <w:rPr>
          <w:rFonts w:ascii="Times New Roman" w:hAnsi="Times New Roman"/>
          <w:color w:val="000000"/>
          <w:sz w:val="24"/>
          <w:szCs w:val="24"/>
          <w:shd w:val="clear" w:color="auto" w:fill="FFFFFF"/>
          <w:lang w:val="sr-Cyrl-CS"/>
        </w:rPr>
        <w:t xml:space="preserve">У привредни криминалитет спадају и привредни преступи </w:t>
      </w:r>
      <w:r w:rsidR="003B3B56">
        <w:rPr>
          <w:rFonts w:ascii="Times New Roman" w:hAnsi="Times New Roman"/>
          <w:color w:val="000000"/>
          <w:sz w:val="24"/>
          <w:szCs w:val="24"/>
          <w:shd w:val="clear" w:color="auto" w:fill="FFFFFF"/>
          <w:lang w:val="sr-Cyrl-CS"/>
        </w:rPr>
        <w:t>јер се њима такође</w:t>
      </w:r>
      <w:r>
        <w:rPr>
          <w:rFonts w:ascii="Times New Roman" w:hAnsi="Times New Roman"/>
          <w:color w:val="000000"/>
          <w:sz w:val="24"/>
          <w:szCs w:val="24"/>
          <w:shd w:val="clear" w:color="auto" w:fill="FFFFFF"/>
          <w:lang w:val="sr-Cyrl-CS"/>
        </w:rPr>
        <w:t xml:space="preserve"> угрожава привредни систем и његови витални односи</w:t>
      </w:r>
      <w:r w:rsidR="003B3B56">
        <w:rPr>
          <w:rFonts w:ascii="Times New Roman" w:hAnsi="Times New Roman"/>
          <w:color w:val="000000"/>
          <w:sz w:val="24"/>
          <w:szCs w:val="24"/>
          <w:shd w:val="clear" w:color="auto" w:fill="FFFFFF"/>
          <w:lang w:val="sr-Cyrl-CS"/>
        </w:rPr>
        <w:t>, а п</w:t>
      </w:r>
      <w:r>
        <w:rPr>
          <w:rFonts w:ascii="Times New Roman" w:hAnsi="Times New Roman"/>
          <w:color w:val="000000"/>
          <w:sz w:val="24"/>
          <w:szCs w:val="24"/>
          <w:shd w:val="clear" w:color="auto" w:fill="FFFFFF"/>
          <w:lang w:val="sr-Cyrl-CS"/>
        </w:rPr>
        <w:t>остоје и схватања да у појам привредног криминалитета, посматрано у криминолошко-социолошком смислу, спадају и неки привредни прекршаји, који могу да</w:t>
      </w:r>
      <w:r w:rsidR="00C46465">
        <w:rPr>
          <w:rFonts w:ascii="Times New Roman" w:hAnsi="Times New Roman"/>
          <w:color w:val="000000"/>
          <w:sz w:val="24"/>
          <w:szCs w:val="24"/>
          <w:shd w:val="clear" w:color="auto" w:fill="FFFFFF"/>
          <w:lang w:val="sr-Cyrl-CS"/>
        </w:rPr>
        <w:t xml:space="preserve"> нанесу друштву значајну штету.</w:t>
      </w:r>
      <w:r w:rsidR="00C46465">
        <w:rPr>
          <w:rStyle w:val="FootnoteReference"/>
          <w:rFonts w:ascii="Times New Roman" w:hAnsi="Times New Roman"/>
          <w:color w:val="000000"/>
          <w:sz w:val="24"/>
          <w:szCs w:val="24"/>
          <w:shd w:val="clear" w:color="auto" w:fill="FFFFFF"/>
          <w:lang w:val="sr-Cyrl-CS"/>
        </w:rPr>
        <w:footnoteReference w:id="772"/>
      </w:r>
    </w:p>
    <w:p w:rsidR="00D755B6" w:rsidRDefault="0064400F" w:rsidP="00D755B6">
      <w:pPr>
        <w:ind w:firstLine="360"/>
        <w:jc w:val="both"/>
        <w:rPr>
          <w:rFonts w:ascii="Arial" w:hAnsi="Arial" w:cs="Arial"/>
          <w:b/>
          <w:bCs/>
          <w:color w:val="000000"/>
          <w:sz w:val="20"/>
          <w:szCs w:val="20"/>
          <w:shd w:val="clear" w:color="auto" w:fill="FFFFFF"/>
          <w:lang w:val="sr-Cyrl-CS"/>
        </w:rPr>
      </w:pPr>
      <w:r>
        <w:rPr>
          <w:rFonts w:ascii="Times New Roman" w:hAnsi="Times New Roman"/>
          <w:color w:val="000000"/>
          <w:sz w:val="24"/>
          <w:szCs w:val="24"/>
          <w:shd w:val="clear" w:color="auto" w:fill="FFFFFF"/>
          <w:lang w:val="sr-Cyrl-CS"/>
        </w:rPr>
        <w:t xml:space="preserve">Кривична дела против привреде могу се различито систематизовати. </w:t>
      </w:r>
      <w:r w:rsidR="00F96591">
        <w:rPr>
          <w:rFonts w:ascii="Times New Roman" w:hAnsi="Times New Roman"/>
          <w:color w:val="000000"/>
          <w:sz w:val="24"/>
          <w:szCs w:val="24"/>
          <w:shd w:val="clear" w:color="auto" w:fill="FFFFFF"/>
          <w:lang w:val="sr-Cyrl-CS"/>
        </w:rPr>
        <w:t xml:space="preserve">Уколико се пође </w:t>
      </w:r>
      <w:r>
        <w:rPr>
          <w:rFonts w:ascii="Times New Roman" w:hAnsi="Times New Roman"/>
          <w:color w:val="000000"/>
          <w:sz w:val="24"/>
          <w:szCs w:val="24"/>
          <w:shd w:val="clear" w:color="auto" w:fill="FFFFFF"/>
          <w:lang w:val="sr-Cyrl-CS"/>
        </w:rPr>
        <w:t xml:space="preserve">од заштитног објекта могу се сврстати у неколико основних </w:t>
      </w:r>
      <w:r w:rsidR="007D3F49">
        <w:rPr>
          <w:rFonts w:ascii="Times New Roman" w:hAnsi="Times New Roman"/>
          <w:color w:val="000000"/>
          <w:sz w:val="24"/>
          <w:szCs w:val="24"/>
          <w:shd w:val="clear" w:color="auto" w:fill="FFFFFF"/>
          <w:lang w:val="sr-Cyrl-CS"/>
        </w:rPr>
        <w:t>група. Нека дела се могу изврши</w:t>
      </w:r>
      <w:r>
        <w:rPr>
          <w:rFonts w:ascii="Times New Roman" w:hAnsi="Times New Roman"/>
          <w:color w:val="000000"/>
          <w:sz w:val="24"/>
          <w:szCs w:val="24"/>
          <w:shd w:val="clear" w:color="auto" w:fill="FFFFFF"/>
          <w:lang w:val="sr-Cyrl-CS"/>
        </w:rPr>
        <w:t>ти у свим областима привреде и она се називају општим кривичним делима</w:t>
      </w:r>
      <w:r w:rsidR="00CD3D19">
        <w:rPr>
          <w:rFonts w:ascii="Times New Roman" w:hAnsi="Times New Roman"/>
          <w:color w:val="000000"/>
          <w:sz w:val="24"/>
          <w:szCs w:val="24"/>
          <w:shd w:val="clear" w:color="auto" w:fill="FFFFFF"/>
          <w:lang w:val="sr-Cyrl-CS"/>
        </w:rPr>
        <w:t xml:space="preserve">, </w:t>
      </w:r>
      <w:r w:rsidR="00D755B6">
        <w:rPr>
          <w:rFonts w:ascii="Times New Roman" w:hAnsi="Times New Roman"/>
          <w:color w:val="000000"/>
          <w:sz w:val="24"/>
          <w:szCs w:val="24"/>
          <w:shd w:val="clear" w:color="auto" w:fill="FFFFFF"/>
          <w:lang w:val="sr-Cyrl-CS"/>
        </w:rPr>
        <w:t xml:space="preserve">док се посебна кривична дела против привреде врше у </w:t>
      </w:r>
      <w:r w:rsidR="00F96591">
        <w:rPr>
          <w:rFonts w:ascii="Times New Roman" w:hAnsi="Times New Roman"/>
          <w:color w:val="000000"/>
          <w:sz w:val="24"/>
          <w:szCs w:val="24"/>
          <w:shd w:val="clear" w:color="auto" w:fill="FFFFFF"/>
          <w:lang w:val="sr-Cyrl-CS"/>
        </w:rPr>
        <w:t>вези одређених привредних грана.</w:t>
      </w:r>
      <w:r w:rsidR="00D755B6">
        <w:rPr>
          <w:rFonts w:ascii="Times New Roman" w:hAnsi="Times New Roman"/>
          <w:color w:val="000000"/>
          <w:sz w:val="24"/>
          <w:szCs w:val="24"/>
          <w:shd w:val="clear" w:color="auto" w:fill="FFFFFF"/>
          <w:lang w:val="sr-Cyrl-CS"/>
        </w:rPr>
        <w:t xml:space="preserve"> </w:t>
      </w:r>
      <w:r w:rsidR="00F96591">
        <w:rPr>
          <w:rFonts w:ascii="Times New Roman" w:hAnsi="Times New Roman"/>
          <w:color w:val="000000"/>
          <w:sz w:val="24"/>
          <w:szCs w:val="24"/>
          <w:shd w:val="clear" w:color="auto" w:fill="FFFFFF"/>
          <w:lang w:val="sr-Cyrl-CS"/>
        </w:rPr>
        <w:t>Т</w:t>
      </w:r>
      <w:r w:rsidR="00D755B6">
        <w:rPr>
          <w:rFonts w:ascii="Times New Roman" w:hAnsi="Times New Roman"/>
          <w:color w:val="000000"/>
          <w:sz w:val="24"/>
          <w:szCs w:val="24"/>
          <w:shd w:val="clear" w:color="auto" w:fill="FFFFFF"/>
          <w:lang w:val="sr-Cyrl-CS"/>
        </w:rPr>
        <w:t xml:space="preserve">ако </w:t>
      </w:r>
      <w:r w:rsidR="00F96591">
        <w:rPr>
          <w:rFonts w:ascii="Times New Roman" w:hAnsi="Times New Roman"/>
          <w:color w:val="000000"/>
          <w:sz w:val="24"/>
          <w:szCs w:val="24"/>
          <w:shd w:val="clear" w:color="auto" w:fill="FFFFFF"/>
          <w:lang w:val="sr-Cyrl-CS"/>
        </w:rPr>
        <w:t xml:space="preserve">се </w:t>
      </w:r>
      <w:r w:rsidR="00CD3D19">
        <w:rPr>
          <w:rFonts w:ascii="Times New Roman" w:hAnsi="Times New Roman"/>
          <w:color w:val="000000"/>
          <w:sz w:val="24"/>
          <w:szCs w:val="24"/>
          <w:shd w:val="clear" w:color="auto" w:fill="FFFFFF"/>
          <w:lang w:val="sr-Cyrl-CS"/>
        </w:rPr>
        <w:t xml:space="preserve">нека </w:t>
      </w:r>
      <w:r w:rsidR="00D755B6">
        <w:rPr>
          <w:rFonts w:ascii="Times New Roman" w:hAnsi="Times New Roman"/>
          <w:color w:val="000000"/>
          <w:sz w:val="24"/>
          <w:szCs w:val="24"/>
          <w:shd w:val="clear" w:color="auto" w:fill="FFFFFF"/>
          <w:lang w:val="sr-Cyrl-CS"/>
        </w:rPr>
        <w:t xml:space="preserve">кривична дела </w:t>
      </w:r>
      <w:r w:rsidR="00CD3D19">
        <w:rPr>
          <w:rFonts w:ascii="Times New Roman" w:hAnsi="Times New Roman"/>
          <w:color w:val="000000"/>
          <w:sz w:val="24"/>
          <w:szCs w:val="24"/>
          <w:shd w:val="clear" w:color="auto" w:fill="FFFFFF"/>
          <w:lang w:val="sr-Cyrl-CS"/>
        </w:rPr>
        <w:t xml:space="preserve">врше у вези са производњом и прометом робе и услуга, </w:t>
      </w:r>
      <w:r w:rsidR="00D755B6">
        <w:rPr>
          <w:rFonts w:ascii="Times New Roman" w:hAnsi="Times New Roman"/>
          <w:color w:val="000000"/>
          <w:sz w:val="24"/>
          <w:szCs w:val="24"/>
          <w:shd w:val="clear" w:color="auto" w:fill="FFFFFF"/>
          <w:lang w:val="sr-Cyrl-CS"/>
        </w:rPr>
        <w:t>а неким кривичним делима</w:t>
      </w:r>
      <w:r w:rsidR="007F3306">
        <w:rPr>
          <w:rFonts w:ascii="Times New Roman" w:hAnsi="Times New Roman"/>
          <w:color w:val="000000"/>
          <w:sz w:val="24"/>
          <w:szCs w:val="24"/>
          <w:shd w:val="clear" w:color="auto" w:fill="FFFFFF"/>
          <w:lang w:val="sr-Cyrl-CS"/>
        </w:rPr>
        <w:t xml:space="preserve"> се угрожавају државне финан</w:t>
      </w:r>
      <w:r w:rsidR="00CD3D19">
        <w:rPr>
          <w:rFonts w:ascii="Times New Roman" w:hAnsi="Times New Roman"/>
          <w:color w:val="000000"/>
          <w:sz w:val="24"/>
          <w:szCs w:val="24"/>
          <w:shd w:val="clear" w:color="auto" w:fill="FFFFFF"/>
          <w:lang w:val="sr-Cyrl-CS"/>
        </w:rPr>
        <w:t>си</w:t>
      </w:r>
      <w:r w:rsidR="00D755B6">
        <w:rPr>
          <w:rFonts w:ascii="Times New Roman" w:hAnsi="Times New Roman"/>
          <w:color w:val="000000"/>
          <w:sz w:val="24"/>
          <w:szCs w:val="24"/>
          <w:shd w:val="clear" w:color="auto" w:fill="FFFFFF"/>
          <w:lang w:val="sr-Cyrl-CS"/>
        </w:rPr>
        <w:t>је</w:t>
      </w:r>
      <w:r w:rsidR="00CD3D19">
        <w:rPr>
          <w:rFonts w:ascii="Times New Roman" w:hAnsi="Times New Roman"/>
          <w:color w:val="000000"/>
          <w:sz w:val="24"/>
          <w:szCs w:val="24"/>
          <w:shd w:val="clear" w:color="auto" w:fill="FFFFFF"/>
          <w:lang w:val="sr-Cyrl-CS"/>
        </w:rPr>
        <w:t>. У општа кривич</w:t>
      </w:r>
      <w:r w:rsidR="00A528BA">
        <w:rPr>
          <w:rFonts w:ascii="Times New Roman" w:hAnsi="Times New Roman"/>
          <w:color w:val="000000"/>
          <w:sz w:val="24"/>
          <w:szCs w:val="24"/>
          <w:shd w:val="clear" w:color="auto" w:fill="FFFFFF"/>
          <w:lang w:val="sr-Cyrl-CS"/>
        </w:rPr>
        <w:t>на дела могу се</w:t>
      </w:r>
      <w:r w:rsidR="00CD3D19">
        <w:rPr>
          <w:rFonts w:ascii="Times New Roman" w:hAnsi="Times New Roman"/>
          <w:color w:val="000000"/>
          <w:sz w:val="24"/>
          <w:szCs w:val="24"/>
          <w:shd w:val="clear" w:color="auto" w:fill="FFFFFF"/>
          <w:lang w:val="sr-Cyrl-CS"/>
        </w:rPr>
        <w:t xml:space="preserve"> сврстати кривична дела</w:t>
      </w:r>
      <w:r>
        <w:rPr>
          <w:rFonts w:ascii="Times New Roman" w:hAnsi="Times New Roman"/>
          <w:color w:val="000000"/>
          <w:sz w:val="24"/>
          <w:szCs w:val="24"/>
          <w:shd w:val="clear" w:color="auto" w:fill="FFFFFF"/>
          <w:lang w:val="sr-Cyrl-CS"/>
        </w:rPr>
        <w:t xml:space="preserve"> као што су</w:t>
      </w:r>
      <w:r w:rsidR="00CD3D19">
        <w:rPr>
          <w:rFonts w:ascii="Times New Roman" w:hAnsi="Times New Roman"/>
          <w:color w:val="000000"/>
          <w:sz w:val="24"/>
          <w:szCs w:val="24"/>
          <w:shd w:val="clear" w:color="auto" w:fill="FFFFFF"/>
          <w:lang w:val="sr-Cyrl-CS"/>
        </w:rPr>
        <w:t>:</w:t>
      </w:r>
      <w:r>
        <w:rPr>
          <w:rFonts w:ascii="Times New Roman" w:hAnsi="Times New Roman"/>
          <w:color w:val="000000"/>
          <w:sz w:val="24"/>
          <w:szCs w:val="24"/>
          <w:shd w:val="clear" w:color="auto" w:fill="FFFFFF"/>
          <w:lang w:val="sr-Cyrl-CS"/>
        </w:rPr>
        <w:t xml:space="preserve"> злоупотреба овлашћења у привреди (чл. 238 КЗ), проузроковање стечаја (чл. 235 КЗ), проузроковање лажног стечаја (чл. 236 КЗ), оштећење поверилаца (чл. 237 КЗ)</w:t>
      </w:r>
      <w:r w:rsidR="00CD3D19">
        <w:rPr>
          <w:rFonts w:ascii="Times New Roman" w:hAnsi="Times New Roman"/>
          <w:color w:val="000000"/>
          <w:sz w:val="24"/>
          <w:szCs w:val="24"/>
          <w:shd w:val="clear" w:color="auto" w:fill="FFFFFF"/>
          <w:lang w:val="sr-Cyrl-CS"/>
        </w:rPr>
        <w:t>, нарушавање пословног угледа и кре</w:t>
      </w:r>
      <w:r w:rsidR="007F3306">
        <w:rPr>
          <w:rFonts w:ascii="Times New Roman" w:hAnsi="Times New Roman"/>
          <w:color w:val="000000"/>
          <w:sz w:val="24"/>
          <w:szCs w:val="24"/>
          <w:shd w:val="clear" w:color="auto" w:fill="FFFFFF"/>
          <w:lang w:val="sr-Cyrl-CS"/>
        </w:rPr>
        <w:t xml:space="preserve">дитне способности (чл. 239 КЗ), </w:t>
      </w:r>
      <w:r w:rsidR="00734A78">
        <w:rPr>
          <w:rFonts w:ascii="Times New Roman" w:hAnsi="Times New Roman"/>
          <w:color w:val="000000"/>
          <w:sz w:val="24"/>
          <w:szCs w:val="24"/>
          <w:shd w:val="clear" w:color="auto" w:fill="FFFFFF"/>
          <w:lang w:val="sr-Cyrl-CS"/>
        </w:rPr>
        <w:t xml:space="preserve">одавање пословне тајне (чл. 240 КЗ), </w:t>
      </w:r>
      <w:r w:rsidR="00A528BA">
        <w:rPr>
          <w:rFonts w:ascii="Times New Roman" w:hAnsi="Times New Roman"/>
          <w:color w:val="000000"/>
          <w:sz w:val="24"/>
          <w:szCs w:val="24"/>
          <w:shd w:val="clear" w:color="auto" w:fill="FFFFFF"/>
          <w:lang w:val="sr-Cyrl-CS"/>
        </w:rPr>
        <w:t xml:space="preserve">злоупотреба монополистичког положаја (чл. 232 КЗ) </w:t>
      </w:r>
      <w:r w:rsidR="00734A78">
        <w:rPr>
          <w:rFonts w:ascii="Times New Roman" w:hAnsi="Times New Roman"/>
          <w:color w:val="000000"/>
          <w:sz w:val="24"/>
          <w:szCs w:val="24"/>
          <w:shd w:val="clear" w:color="auto" w:fill="FFFFFF"/>
          <w:lang w:val="sr-Cyrl-CS"/>
        </w:rPr>
        <w:t>док у групу кривичних дела кој</w:t>
      </w:r>
      <w:r w:rsidR="007F3306">
        <w:rPr>
          <w:rFonts w:ascii="Times New Roman" w:hAnsi="Times New Roman"/>
          <w:color w:val="000000"/>
          <w:sz w:val="24"/>
          <w:szCs w:val="24"/>
          <w:shd w:val="clear" w:color="auto" w:fill="FFFFFF"/>
          <w:lang w:val="sr-Cyrl-CS"/>
        </w:rPr>
        <w:t>има се угрожавају државне финан</w:t>
      </w:r>
      <w:r w:rsidR="00734A78">
        <w:rPr>
          <w:rFonts w:ascii="Times New Roman" w:hAnsi="Times New Roman"/>
          <w:color w:val="000000"/>
          <w:sz w:val="24"/>
          <w:szCs w:val="24"/>
          <w:shd w:val="clear" w:color="auto" w:fill="FFFFFF"/>
          <w:lang w:val="sr-Cyrl-CS"/>
        </w:rPr>
        <w:t>с</w:t>
      </w:r>
      <w:r w:rsidR="00D755B6">
        <w:rPr>
          <w:rFonts w:ascii="Times New Roman" w:hAnsi="Times New Roman"/>
          <w:color w:val="000000"/>
          <w:sz w:val="24"/>
          <w:szCs w:val="24"/>
          <w:shd w:val="clear" w:color="auto" w:fill="FFFFFF"/>
          <w:lang w:val="sr-Cyrl-CS"/>
        </w:rPr>
        <w:t>ије</w:t>
      </w:r>
      <w:r w:rsidR="00734A78">
        <w:rPr>
          <w:rFonts w:ascii="Times New Roman" w:hAnsi="Times New Roman"/>
          <w:color w:val="000000"/>
          <w:sz w:val="24"/>
          <w:szCs w:val="24"/>
          <w:shd w:val="clear" w:color="auto" w:fill="FFFFFF"/>
          <w:lang w:val="sr-Cyrl-CS"/>
        </w:rPr>
        <w:t xml:space="preserve"> спадају пореска утаја (чл.229 КЗ), </w:t>
      </w:r>
      <w:r w:rsidR="00734A78" w:rsidRPr="007F3306">
        <w:rPr>
          <w:rFonts w:ascii="Times New Roman" w:hAnsi="Times New Roman"/>
          <w:color w:val="000000"/>
          <w:sz w:val="24"/>
          <w:szCs w:val="24"/>
          <w:shd w:val="clear" w:color="auto" w:fill="FFFFFF"/>
          <w:lang w:val="sr-Cyrl-CS"/>
        </w:rPr>
        <w:t>фалсификовање хартија од вредности (чл. 224 КЗ),  фалсификовање знакова за вредност</w:t>
      </w:r>
      <w:r w:rsidR="00734A78">
        <w:rPr>
          <w:rFonts w:ascii="Times New Roman" w:hAnsi="Times New Roman"/>
          <w:color w:val="000000"/>
          <w:sz w:val="24"/>
          <w:szCs w:val="24"/>
          <w:shd w:val="clear" w:color="auto" w:fill="FFFFFF"/>
          <w:lang w:val="sr-Cyrl-CS"/>
        </w:rPr>
        <w:t xml:space="preserve"> (чл. 226 КЗ), прављење, набављање и давање другом средстава </w:t>
      </w:r>
      <w:r w:rsidR="00D755B6">
        <w:rPr>
          <w:rFonts w:ascii="Times New Roman" w:hAnsi="Times New Roman"/>
          <w:color w:val="000000"/>
          <w:sz w:val="24"/>
          <w:szCs w:val="24"/>
          <w:shd w:val="clear" w:color="auto" w:fill="FFFFFF"/>
          <w:lang w:val="sr-Cyrl-CS"/>
        </w:rPr>
        <w:t xml:space="preserve">за фалсификовање ( чл. 227 КЗ), онемогућавање вршења контроле (чл. 241 КЗ), фалсификовање новца (чл. 223 КЗ), фалсификовање и злоупотреба платних картица (чл. 225 КЗ), фалсификовање и злоупотреба платних картица (чл. 225 КЗ), издавање чека и коришћење платних картица без покрића (чл. 228 КЗ), </w:t>
      </w:r>
      <w:r w:rsidR="007F3306">
        <w:rPr>
          <w:rFonts w:ascii="Times New Roman" w:hAnsi="Times New Roman"/>
          <w:color w:val="000000"/>
          <w:sz w:val="24"/>
          <w:szCs w:val="24"/>
          <w:shd w:val="clear" w:color="auto" w:fill="FFFFFF"/>
          <w:lang w:val="sr-Cyrl-CS"/>
        </w:rPr>
        <w:t xml:space="preserve">фалсификовање знакова, односно државних жигова за обележавање робе, мерила и предмета од драгоцених метала (чл. 245 КЗ). </w:t>
      </w:r>
      <w:r w:rsidR="00D755B6" w:rsidRPr="00D755B6">
        <w:rPr>
          <w:rFonts w:ascii="Times New Roman" w:hAnsi="Times New Roman"/>
          <w:bCs/>
          <w:color w:val="000000"/>
          <w:sz w:val="24"/>
          <w:szCs w:val="24"/>
          <w:shd w:val="clear" w:color="auto" w:fill="FFFFFF"/>
          <w:lang w:val="sr-Cyrl-CS"/>
        </w:rPr>
        <w:t>Кривична де</w:t>
      </w:r>
      <w:r w:rsidR="00D755B6">
        <w:rPr>
          <w:rFonts w:ascii="Times New Roman" w:hAnsi="Times New Roman"/>
          <w:bCs/>
          <w:color w:val="000000"/>
          <w:sz w:val="24"/>
          <w:szCs w:val="24"/>
          <w:shd w:val="clear" w:color="auto" w:fill="FFFFFF"/>
          <w:lang w:val="sr-Cyrl-CS"/>
        </w:rPr>
        <w:t xml:space="preserve">ла у вези са производњом и прометом робе и услуга су: кријумчарење (чл. 230 КЗ), </w:t>
      </w:r>
      <w:r w:rsidR="00D755B6">
        <w:rPr>
          <w:rFonts w:ascii="Times New Roman" w:hAnsi="Times New Roman"/>
          <w:bCs/>
          <w:color w:val="000000"/>
          <w:sz w:val="24"/>
          <w:szCs w:val="24"/>
          <w:shd w:val="clear" w:color="auto" w:fill="FFFFFF"/>
          <w:lang w:val="sr-Cyrl-CS"/>
        </w:rPr>
        <w:lastRenderedPageBreak/>
        <w:t xml:space="preserve">недозвољена производња (чл. 242 КЗ), </w:t>
      </w:r>
      <w:r w:rsidR="003210E5">
        <w:rPr>
          <w:rFonts w:ascii="Times New Roman" w:hAnsi="Times New Roman"/>
          <w:bCs/>
          <w:color w:val="000000"/>
          <w:sz w:val="24"/>
          <w:szCs w:val="24"/>
          <w:shd w:val="clear" w:color="auto" w:fill="FFFFFF"/>
          <w:lang w:val="sr-Cyrl-CS"/>
        </w:rPr>
        <w:t xml:space="preserve">обмањивање купаца (чл.244 КЗ), </w:t>
      </w:r>
      <w:r w:rsidR="007F3306" w:rsidRPr="007F3306">
        <w:rPr>
          <w:rFonts w:ascii="Times New Roman" w:hAnsi="Times New Roman"/>
          <w:bCs/>
          <w:color w:val="000000"/>
          <w:sz w:val="24"/>
          <w:szCs w:val="24"/>
          <w:shd w:val="clear" w:color="auto" w:fill="FFFFFF"/>
          <w:lang w:val="sr-Cyrl-CS"/>
        </w:rPr>
        <w:t>неовлашћена употреба туђег пословног имена и друге посебне ознаке или услуга</w:t>
      </w:r>
      <w:r w:rsidR="003210E5" w:rsidRPr="007F3306">
        <w:rPr>
          <w:rFonts w:ascii="Times New Roman" w:hAnsi="Times New Roman"/>
          <w:bCs/>
          <w:color w:val="000000"/>
          <w:sz w:val="24"/>
          <w:szCs w:val="24"/>
          <w:shd w:val="clear" w:color="auto" w:fill="FFFFFF"/>
        </w:rPr>
        <w:t xml:space="preserve"> </w:t>
      </w:r>
      <w:r w:rsidR="003210E5" w:rsidRPr="007F3306">
        <w:rPr>
          <w:rFonts w:ascii="Times New Roman" w:hAnsi="Times New Roman"/>
          <w:bCs/>
          <w:color w:val="000000"/>
          <w:sz w:val="24"/>
          <w:szCs w:val="24"/>
          <w:shd w:val="clear" w:color="auto" w:fill="FFFFFF"/>
          <w:lang w:val="sr-Cyrl-CS"/>
        </w:rPr>
        <w:t>(чл. 233 КЗ)</w:t>
      </w:r>
      <w:r w:rsidR="003210E5" w:rsidRPr="007F3306">
        <w:rPr>
          <w:rFonts w:ascii="Times New Roman" w:hAnsi="Times New Roman"/>
          <w:bCs/>
          <w:color w:val="000000"/>
          <w:sz w:val="20"/>
          <w:szCs w:val="20"/>
          <w:shd w:val="clear" w:color="auto" w:fill="FFFFFF"/>
          <w:lang w:val="sr-Cyrl-CS"/>
        </w:rPr>
        <w:t>.</w:t>
      </w:r>
      <w:r w:rsidR="00477F7B" w:rsidRPr="007F3306">
        <w:rPr>
          <w:rStyle w:val="FootnoteReference"/>
          <w:rFonts w:ascii="Times New Roman" w:hAnsi="Times New Roman"/>
          <w:bCs/>
          <w:color w:val="000000"/>
          <w:sz w:val="20"/>
          <w:szCs w:val="20"/>
          <w:shd w:val="clear" w:color="auto" w:fill="FFFFFF"/>
          <w:lang w:val="sr-Cyrl-CS"/>
        </w:rPr>
        <w:footnoteReference w:id="773"/>
      </w:r>
    </w:p>
    <w:p w:rsidR="003D27DA" w:rsidRDefault="001D2C8C" w:rsidP="00D755B6">
      <w:pPr>
        <w:ind w:firstLine="360"/>
        <w:jc w:val="both"/>
        <w:rPr>
          <w:rFonts w:ascii="Times New Roman" w:hAnsi="Times New Roman"/>
          <w:color w:val="000000"/>
          <w:sz w:val="24"/>
          <w:szCs w:val="24"/>
          <w:shd w:val="clear" w:color="auto" w:fill="FFFFFF"/>
          <w:lang w:val="sr-Cyrl-CS"/>
        </w:rPr>
      </w:pPr>
      <w:r>
        <w:rPr>
          <w:rFonts w:ascii="Times New Roman" w:hAnsi="Times New Roman"/>
          <w:color w:val="000000"/>
          <w:sz w:val="24"/>
          <w:szCs w:val="24"/>
          <w:shd w:val="clear" w:color="auto" w:fill="FFFFFF"/>
          <w:lang w:val="sr-Cyrl-CS"/>
        </w:rPr>
        <w:t>Дакле, ради се о веома разноврсним кривичним делима која</w:t>
      </w:r>
      <w:r w:rsidR="00477F7B">
        <w:rPr>
          <w:rFonts w:ascii="Times New Roman" w:hAnsi="Times New Roman"/>
          <w:color w:val="000000"/>
          <w:sz w:val="24"/>
          <w:szCs w:val="24"/>
          <w:shd w:val="clear" w:color="auto" w:fill="FFFFFF"/>
          <w:lang w:val="sr-Cyrl-CS"/>
        </w:rPr>
        <w:t xml:space="preserve"> се могу класификовати</w:t>
      </w:r>
      <w:r w:rsidR="003D27DA">
        <w:rPr>
          <w:rFonts w:ascii="Times New Roman" w:hAnsi="Times New Roman"/>
          <w:color w:val="000000"/>
          <w:sz w:val="24"/>
          <w:szCs w:val="24"/>
          <w:shd w:val="clear" w:color="auto" w:fill="FFFFFF"/>
          <w:lang w:val="sr-Cyrl-CS"/>
        </w:rPr>
        <w:t xml:space="preserve"> </w:t>
      </w:r>
      <w:r w:rsidR="00477F7B">
        <w:rPr>
          <w:rFonts w:ascii="Times New Roman" w:hAnsi="Times New Roman"/>
          <w:color w:val="000000"/>
          <w:sz w:val="24"/>
          <w:szCs w:val="24"/>
          <w:shd w:val="clear" w:color="auto" w:fill="FFFFFF"/>
          <w:lang w:val="sr-Cyrl-CS"/>
        </w:rPr>
        <w:t>и на следећи начин:</w:t>
      </w:r>
    </w:p>
    <w:p w:rsidR="00477F7B" w:rsidRDefault="00477F7B" w:rsidP="008A3795">
      <w:pPr>
        <w:numPr>
          <w:ilvl w:val="0"/>
          <w:numId w:val="16"/>
        </w:numPr>
        <w:jc w:val="both"/>
        <w:rPr>
          <w:rFonts w:ascii="Times New Roman" w:hAnsi="Times New Roman"/>
          <w:color w:val="000000"/>
          <w:sz w:val="24"/>
          <w:szCs w:val="24"/>
          <w:shd w:val="clear" w:color="auto" w:fill="FFFFFF"/>
          <w:lang w:val="sr-Cyrl-CS"/>
        </w:rPr>
      </w:pPr>
      <w:r>
        <w:rPr>
          <w:rFonts w:ascii="Times New Roman" w:hAnsi="Times New Roman"/>
          <w:color w:val="000000"/>
          <w:sz w:val="24"/>
          <w:szCs w:val="24"/>
          <w:shd w:val="clear" w:color="auto" w:fill="FFFFFF"/>
          <w:lang w:val="sr-Cyrl-CS"/>
        </w:rPr>
        <w:t>кривична дела којима се нарушава стабилност монетарног система (фалсификовање новца, хартија од вредности и знакова за вредност, фалсификовање и злоупотреба платних картица),</w:t>
      </w:r>
    </w:p>
    <w:p w:rsidR="00477F7B" w:rsidRDefault="00477F7B" w:rsidP="008A3795">
      <w:pPr>
        <w:numPr>
          <w:ilvl w:val="0"/>
          <w:numId w:val="16"/>
        </w:numPr>
        <w:jc w:val="both"/>
        <w:rPr>
          <w:rFonts w:ascii="Times New Roman" w:hAnsi="Times New Roman"/>
          <w:color w:val="000000"/>
          <w:sz w:val="24"/>
          <w:szCs w:val="24"/>
          <w:shd w:val="clear" w:color="auto" w:fill="FFFFFF"/>
          <w:lang w:val="sr-Cyrl-CS"/>
        </w:rPr>
      </w:pPr>
      <w:r>
        <w:rPr>
          <w:rFonts w:ascii="Times New Roman" w:hAnsi="Times New Roman"/>
          <w:color w:val="000000"/>
          <w:sz w:val="24"/>
          <w:szCs w:val="24"/>
          <w:shd w:val="clear" w:color="auto" w:fill="FFFFFF"/>
          <w:lang w:val="sr-Cyrl-CS"/>
        </w:rPr>
        <w:t>кривична дела којима се крше законска пр</w:t>
      </w:r>
      <w:r w:rsidR="001D2C8C">
        <w:rPr>
          <w:rFonts w:ascii="Times New Roman" w:hAnsi="Times New Roman"/>
          <w:color w:val="000000"/>
          <w:sz w:val="24"/>
          <w:szCs w:val="24"/>
          <w:shd w:val="clear" w:color="auto" w:fill="FFFFFF"/>
          <w:lang w:val="sr-Cyrl-CS"/>
        </w:rPr>
        <w:t xml:space="preserve">авила пословања у привреди (као што су </w:t>
      </w:r>
      <w:r>
        <w:rPr>
          <w:rFonts w:ascii="Times New Roman" w:hAnsi="Times New Roman"/>
          <w:color w:val="000000"/>
          <w:sz w:val="24"/>
          <w:szCs w:val="24"/>
          <w:shd w:val="clear" w:color="auto" w:fill="FFFFFF"/>
          <w:lang w:val="sr-Cyrl-CS"/>
        </w:rPr>
        <w:t>проузроковање стечаја, проузроковање лажног стечаја, оштећење поверилаца, злоупотреба овлашћења у привреди),</w:t>
      </w:r>
    </w:p>
    <w:p w:rsidR="00477F7B" w:rsidRDefault="00477F7B" w:rsidP="008A3795">
      <w:pPr>
        <w:numPr>
          <w:ilvl w:val="0"/>
          <w:numId w:val="16"/>
        </w:numPr>
        <w:jc w:val="both"/>
        <w:rPr>
          <w:rFonts w:ascii="Times New Roman" w:hAnsi="Times New Roman"/>
          <w:color w:val="000000"/>
          <w:sz w:val="24"/>
          <w:szCs w:val="24"/>
          <w:shd w:val="clear" w:color="auto" w:fill="FFFFFF"/>
          <w:lang w:val="sr-Cyrl-CS"/>
        </w:rPr>
      </w:pPr>
      <w:r>
        <w:rPr>
          <w:rFonts w:ascii="Times New Roman" w:hAnsi="Times New Roman"/>
          <w:color w:val="000000"/>
          <w:sz w:val="24"/>
          <w:szCs w:val="24"/>
          <w:shd w:val="clear" w:color="auto" w:fill="FFFFFF"/>
          <w:lang w:val="sr-Cyrl-CS"/>
        </w:rPr>
        <w:t>кривична дела у вези са производњом и прометом роба и услуга (</w:t>
      </w:r>
      <w:r w:rsidR="001D2C8C">
        <w:rPr>
          <w:rFonts w:ascii="Times New Roman" w:hAnsi="Times New Roman"/>
          <w:color w:val="000000"/>
          <w:sz w:val="24"/>
          <w:szCs w:val="24"/>
          <w:shd w:val="clear" w:color="auto" w:fill="FFFFFF"/>
          <w:lang w:val="sr-Cyrl-CS"/>
        </w:rPr>
        <w:t xml:space="preserve">као што су </w:t>
      </w:r>
      <w:r>
        <w:rPr>
          <w:rFonts w:ascii="Times New Roman" w:hAnsi="Times New Roman"/>
          <w:color w:val="000000"/>
          <w:sz w:val="24"/>
          <w:szCs w:val="24"/>
          <w:shd w:val="clear" w:color="auto" w:fill="FFFFFF"/>
          <w:lang w:val="sr-Cyrl-CS"/>
        </w:rPr>
        <w:t>обмањивање купаца, недозвољена трговина,</w:t>
      </w:r>
      <w:r w:rsidR="001D2C8C">
        <w:rPr>
          <w:rFonts w:ascii="Times New Roman" w:hAnsi="Times New Roman"/>
          <w:color w:val="000000"/>
          <w:sz w:val="24"/>
          <w:szCs w:val="24"/>
          <w:shd w:val="clear" w:color="auto" w:fill="FFFFFF"/>
          <w:lang w:val="sr-Cyrl-CS"/>
        </w:rPr>
        <w:t xml:space="preserve"> недозвољена производња</w:t>
      </w:r>
      <w:r>
        <w:rPr>
          <w:rFonts w:ascii="Times New Roman" w:hAnsi="Times New Roman"/>
          <w:color w:val="000000"/>
          <w:sz w:val="24"/>
          <w:szCs w:val="24"/>
          <w:shd w:val="clear" w:color="auto" w:fill="FFFFFF"/>
          <w:lang w:val="sr-Cyrl-CS"/>
        </w:rPr>
        <w:t>),</w:t>
      </w:r>
    </w:p>
    <w:p w:rsidR="00477F7B" w:rsidRPr="003210E5" w:rsidRDefault="00477F7B" w:rsidP="008A3795">
      <w:pPr>
        <w:numPr>
          <w:ilvl w:val="0"/>
          <w:numId w:val="16"/>
        </w:numPr>
        <w:jc w:val="both"/>
        <w:rPr>
          <w:rFonts w:ascii="Times New Roman" w:hAnsi="Times New Roman"/>
          <w:color w:val="000000"/>
          <w:sz w:val="24"/>
          <w:szCs w:val="24"/>
          <w:shd w:val="clear" w:color="auto" w:fill="FFFFFF"/>
          <w:lang w:val="sr-Cyrl-CS"/>
        </w:rPr>
      </w:pPr>
      <w:r>
        <w:rPr>
          <w:rFonts w:ascii="Times New Roman" w:hAnsi="Times New Roman"/>
          <w:color w:val="000000"/>
          <w:sz w:val="24"/>
          <w:szCs w:val="24"/>
          <w:shd w:val="clear" w:color="auto" w:fill="FFFFFF"/>
          <w:lang w:val="sr-Cyrl-CS"/>
        </w:rPr>
        <w:t>остала кривична дела којима се угрожавају државне финансије и прикрива незаконито порекло имовине (пореска утаја, прање новца).</w:t>
      </w:r>
      <w:r>
        <w:rPr>
          <w:rStyle w:val="FootnoteReference"/>
          <w:rFonts w:ascii="Times New Roman" w:hAnsi="Times New Roman"/>
          <w:color w:val="000000"/>
          <w:sz w:val="24"/>
          <w:szCs w:val="24"/>
          <w:shd w:val="clear" w:color="auto" w:fill="FFFFFF"/>
          <w:lang w:val="sr-Cyrl-CS"/>
        </w:rPr>
        <w:footnoteReference w:id="774"/>
      </w:r>
    </w:p>
    <w:p w:rsidR="00315146" w:rsidRDefault="008E1FEB" w:rsidP="00B010B3">
      <w:pPr>
        <w:ind w:firstLine="708"/>
        <w:jc w:val="both"/>
        <w:rPr>
          <w:rFonts w:ascii="Times New Roman" w:hAnsi="Times New Roman"/>
          <w:sz w:val="24"/>
          <w:szCs w:val="24"/>
          <w:lang w:val="sr-Cyrl-CS"/>
        </w:rPr>
      </w:pPr>
      <w:r>
        <w:rPr>
          <w:rFonts w:ascii="Times New Roman" w:hAnsi="Times New Roman"/>
          <w:sz w:val="24"/>
          <w:szCs w:val="24"/>
          <w:lang w:val="sr-Cyrl-CS"/>
        </w:rPr>
        <w:t>Заштита јавних прихода према нашем важећем законодавству одређена је пореским кривичним делима. У Кривичном законику прописана су кривична дела пореска утаја (чл. 229 КЗ), неуплаћивање пореза по одбитку ( 229а КЗ) и кријумчарење (чл. 230 КЗ), у домену и</w:t>
      </w:r>
      <w:r w:rsidR="002D27CC">
        <w:rPr>
          <w:rFonts w:ascii="Times New Roman" w:hAnsi="Times New Roman"/>
          <w:sz w:val="24"/>
          <w:szCs w:val="24"/>
          <w:lang w:val="sr-Cyrl-CS"/>
        </w:rPr>
        <w:t>збегавања плаћања царина, док су</w:t>
      </w:r>
      <w:r>
        <w:rPr>
          <w:rFonts w:ascii="Times New Roman" w:hAnsi="Times New Roman"/>
          <w:sz w:val="24"/>
          <w:szCs w:val="24"/>
          <w:lang w:val="sr-Cyrl-CS"/>
        </w:rPr>
        <w:t xml:space="preserve"> Законом о пореском поступку и пореској администрацији</w:t>
      </w:r>
      <w:r>
        <w:rPr>
          <w:rStyle w:val="FootnoteReference"/>
          <w:rFonts w:ascii="Times New Roman" w:hAnsi="Times New Roman"/>
          <w:sz w:val="24"/>
          <w:szCs w:val="24"/>
          <w:lang w:val="sr-Cyrl-CS"/>
        </w:rPr>
        <w:footnoteReference w:id="775"/>
      </w:r>
      <w:r w:rsidR="007F3306">
        <w:rPr>
          <w:rFonts w:ascii="Times New Roman" w:hAnsi="Times New Roman"/>
          <w:sz w:val="24"/>
          <w:szCs w:val="24"/>
          <w:lang w:val="sr-Cyrl-CS"/>
        </w:rPr>
        <w:t xml:space="preserve"> прописана</w:t>
      </w:r>
      <w:r>
        <w:rPr>
          <w:rFonts w:ascii="Times New Roman" w:hAnsi="Times New Roman"/>
          <w:sz w:val="24"/>
          <w:szCs w:val="24"/>
          <w:lang w:val="sr-Cyrl-CS"/>
        </w:rPr>
        <w:t xml:space="preserve"> четири кривична дела и то: неосновано исказивање износа за повраћај пореза и порески кредит</w:t>
      </w:r>
      <w:r w:rsidR="008B2B3E">
        <w:rPr>
          <w:rFonts w:ascii="Times New Roman" w:hAnsi="Times New Roman"/>
          <w:sz w:val="24"/>
          <w:szCs w:val="24"/>
          <w:lang w:val="sr-Cyrl-CS"/>
        </w:rPr>
        <w:t xml:space="preserve"> (чл. 173а)</w:t>
      </w:r>
      <w:r>
        <w:rPr>
          <w:rFonts w:ascii="Times New Roman" w:hAnsi="Times New Roman"/>
          <w:sz w:val="24"/>
          <w:szCs w:val="24"/>
          <w:lang w:val="sr-Cyrl-CS"/>
        </w:rPr>
        <w:t>, угрожавање наплате пореза и пореске контроле</w:t>
      </w:r>
      <w:r w:rsidR="008B2B3E">
        <w:rPr>
          <w:rFonts w:ascii="Times New Roman" w:hAnsi="Times New Roman"/>
          <w:sz w:val="24"/>
          <w:szCs w:val="24"/>
          <w:lang w:val="sr-Cyrl-CS"/>
        </w:rPr>
        <w:t xml:space="preserve"> (чл. 175)</w:t>
      </w:r>
      <w:r>
        <w:rPr>
          <w:rFonts w:ascii="Times New Roman" w:hAnsi="Times New Roman"/>
          <w:sz w:val="24"/>
          <w:szCs w:val="24"/>
          <w:lang w:val="sr-Cyrl-CS"/>
        </w:rPr>
        <w:t xml:space="preserve">, недозвољен промет акцизних производа </w:t>
      </w:r>
      <w:r w:rsidR="008B2B3E">
        <w:rPr>
          <w:rFonts w:ascii="Times New Roman" w:hAnsi="Times New Roman"/>
          <w:sz w:val="24"/>
          <w:szCs w:val="24"/>
          <w:lang w:val="sr-Cyrl-CS"/>
        </w:rPr>
        <w:t xml:space="preserve">(чл. 176) </w:t>
      </w:r>
      <w:r>
        <w:rPr>
          <w:rFonts w:ascii="Times New Roman" w:hAnsi="Times New Roman"/>
          <w:sz w:val="24"/>
          <w:szCs w:val="24"/>
          <w:lang w:val="sr-Cyrl-CS"/>
        </w:rPr>
        <w:t>и недозвољено складиштење робе</w:t>
      </w:r>
      <w:r w:rsidR="008B2B3E">
        <w:rPr>
          <w:rFonts w:ascii="Times New Roman" w:hAnsi="Times New Roman"/>
          <w:sz w:val="24"/>
          <w:szCs w:val="24"/>
          <w:lang w:val="sr-Cyrl-CS"/>
        </w:rPr>
        <w:t xml:space="preserve"> (чл. 176а)</w:t>
      </w:r>
      <w:r w:rsidR="00A528BA">
        <w:rPr>
          <w:rFonts w:ascii="Times New Roman" w:hAnsi="Times New Roman"/>
          <w:sz w:val="24"/>
          <w:szCs w:val="24"/>
          <w:lang w:val="sr-Cyrl-CS"/>
        </w:rPr>
        <w:t>, док кривична дела избегавања плаћања пореза и неуплаћивање пореза по одбитку више нису регулисана овим законом.</w:t>
      </w:r>
    </w:p>
    <w:p w:rsidR="003D27DA" w:rsidRDefault="003D27DA" w:rsidP="003D27DA">
      <w:pPr>
        <w:ind w:firstLine="360"/>
        <w:jc w:val="both"/>
        <w:rPr>
          <w:rFonts w:ascii="Times New Roman" w:hAnsi="Times New Roman"/>
          <w:color w:val="000000"/>
          <w:sz w:val="24"/>
          <w:szCs w:val="24"/>
          <w:shd w:val="clear" w:color="auto" w:fill="FFFFFF"/>
          <w:lang w:val="sr-Cyrl-CS"/>
        </w:rPr>
      </w:pPr>
      <w:r>
        <w:rPr>
          <w:rFonts w:ascii="Times New Roman" w:hAnsi="Times New Roman"/>
          <w:sz w:val="24"/>
          <w:szCs w:val="24"/>
          <w:lang w:val="sr-Cyrl-CS"/>
        </w:rPr>
        <w:t xml:space="preserve">Према томе, </w:t>
      </w:r>
      <w:r>
        <w:rPr>
          <w:rFonts w:ascii="Times New Roman" w:hAnsi="Times New Roman"/>
          <w:color w:val="000000"/>
          <w:sz w:val="24"/>
          <w:szCs w:val="24"/>
          <w:shd w:val="clear" w:color="auto" w:fill="FFFFFF"/>
          <w:lang w:val="sr-Cyrl-CS"/>
        </w:rPr>
        <w:t xml:space="preserve">кривична дела којима се пружа заштита јавним приходима сврстана су осим у Кривични законик и у посебне законе (Закон </w:t>
      </w:r>
      <w:r w:rsidR="007D3F49">
        <w:rPr>
          <w:rFonts w:ascii="Times New Roman" w:hAnsi="Times New Roman"/>
          <w:color w:val="000000"/>
          <w:sz w:val="24"/>
          <w:szCs w:val="24"/>
          <w:shd w:val="clear" w:color="auto" w:fill="FFFFFF"/>
          <w:lang w:val="sr-Cyrl-CS"/>
        </w:rPr>
        <w:t>о пореском поступку и пореској администрацији</w:t>
      </w:r>
      <w:r w:rsidR="001C5051">
        <w:rPr>
          <w:rFonts w:ascii="Times New Roman" w:hAnsi="Times New Roman"/>
          <w:color w:val="000000"/>
          <w:sz w:val="24"/>
          <w:szCs w:val="24"/>
          <w:shd w:val="clear" w:color="auto" w:fill="FFFFFF"/>
          <w:lang w:val="sr-Cyrl-CS"/>
        </w:rPr>
        <w:t xml:space="preserve"> и Царинс</w:t>
      </w:r>
      <w:r>
        <w:rPr>
          <w:rFonts w:ascii="Times New Roman" w:hAnsi="Times New Roman"/>
          <w:color w:val="000000"/>
          <w:sz w:val="24"/>
          <w:szCs w:val="24"/>
          <w:shd w:val="clear" w:color="auto" w:fill="FFFFFF"/>
          <w:lang w:val="sr-Cyrl-CS"/>
        </w:rPr>
        <w:t xml:space="preserve">ки закон). Међутим, </w:t>
      </w:r>
      <w:r w:rsidR="000F61E0">
        <w:rPr>
          <w:rFonts w:ascii="Times New Roman" w:hAnsi="Times New Roman"/>
          <w:color w:val="000000"/>
          <w:sz w:val="24"/>
          <w:szCs w:val="24"/>
          <w:shd w:val="clear" w:color="auto" w:fill="FFFFFF"/>
          <w:lang w:val="sr-Cyrl-CS"/>
        </w:rPr>
        <w:t>оправдан је</w:t>
      </w:r>
      <w:r>
        <w:rPr>
          <w:rFonts w:ascii="Times New Roman" w:hAnsi="Times New Roman"/>
          <w:color w:val="000000"/>
          <w:sz w:val="24"/>
          <w:szCs w:val="24"/>
          <w:shd w:val="clear" w:color="auto" w:fill="FFFFFF"/>
          <w:lang w:val="sr-Cyrl-CS"/>
        </w:rPr>
        <w:t xml:space="preserve"> став неких аутора да ово</w:t>
      </w:r>
      <w:r w:rsidR="000F61E0">
        <w:rPr>
          <w:rFonts w:ascii="Times New Roman" w:hAnsi="Times New Roman"/>
          <w:color w:val="000000"/>
          <w:sz w:val="24"/>
          <w:szCs w:val="24"/>
          <w:shd w:val="clear" w:color="auto" w:fill="FFFFFF"/>
          <w:lang w:val="sr-Cyrl-CS"/>
        </w:rPr>
        <w:t xml:space="preserve"> </w:t>
      </w:r>
      <w:r>
        <w:rPr>
          <w:rFonts w:ascii="Times New Roman" w:hAnsi="Times New Roman"/>
          <w:color w:val="000000"/>
          <w:sz w:val="24"/>
          <w:szCs w:val="24"/>
          <w:shd w:val="clear" w:color="auto" w:fill="FFFFFF"/>
          <w:lang w:val="sr-Cyrl-CS"/>
        </w:rPr>
        <w:t xml:space="preserve">није </w:t>
      </w:r>
      <w:r w:rsidR="000F61E0">
        <w:rPr>
          <w:rFonts w:ascii="Times New Roman" w:hAnsi="Times New Roman"/>
          <w:color w:val="000000"/>
          <w:sz w:val="24"/>
          <w:szCs w:val="24"/>
          <w:shd w:val="clear" w:color="auto" w:fill="FFFFFF"/>
          <w:lang w:val="sr-Cyrl-CS"/>
        </w:rPr>
        <w:t xml:space="preserve">због тога што се придаје мањи значај </w:t>
      </w:r>
      <w:r>
        <w:rPr>
          <w:rFonts w:ascii="Times New Roman" w:hAnsi="Times New Roman"/>
          <w:color w:val="000000"/>
          <w:sz w:val="24"/>
          <w:szCs w:val="24"/>
          <w:shd w:val="clear" w:color="auto" w:fill="FFFFFF"/>
          <w:lang w:val="sr-Cyrl-CS"/>
        </w:rPr>
        <w:t>тим делима, већ то произилази из чињенице да се привредни деликти у неким земљама скоро увек прописују у споредном кривичном законодавству, док се у кривичном закону налази мањи део тих деликата или само поједина кривична дела која налаз</w:t>
      </w:r>
      <w:r w:rsidR="00813511">
        <w:rPr>
          <w:rFonts w:ascii="Times New Roman" w:hAnsi="Times New Roman"/>
          <w:color w:val="000000"/>
          <w:sz w:val="24"/>
          <w:szCs w:val="24"/>
          <w:shd w:val="clear" w:color="auto" w:fill="FFFFFF"/>
          <w:lang w:val="sr-Cyrl-CS"/>
        </w:rPr>
        <w:t>е</w:t>
      </w:r>
      <w:r>
        <w:rPr>
          <w:rFonts w:ascii="Times New Roman" w:hAnsi="Times New Roman"/>
          <w:color w:val="000000"/>
          <w:sz w:val="24"/>
          <w:szCs w:val="24"/>
          <w:shd w:val="clear" w:color="auto" w:fill="FFFFFF"/>
          <w:lang w:val="sr-Cyrl-CS"/>
        </w:rPr>
        <w:t xml:space="preserve"> своје место у оквиру других група кривичних дела. </w:t>
      </w:r>
      <w:r w:rsidR="000F61E0">
        <w:rPr>
          <w:rFonts w:ascii="Times New Roman" w:hAnsi="Times New Roman"/>
          <w:color w:val="000000"/>
          <w:sz w:val="24"/>
          <w:szCs w:val="24"/>
          <w:shd w:val="clear" w:color="auto" w:fill="FFFFFF"/>
          <w:lang w:val="sr-Cyrl-CS"/>
        </w:rPr>
        <w:t>Ово је због</w:t>
      </w:r>
      <w:r>
        <w:rPr>
          <w:rFonts w:ascii="Times New Roman" w:hAnsi="Times New Roman"/>
          <w:color w:val="000000"/>
          <w:sz w:val="24"/>
          <w:szCs w:val="24"/>
          <w:shd w:val="clear" w:color="auto" w:fill="FFFFFF"/>
          <w:lang w:val="sr-Cyrl-CS"/>
        </w:rPr>
        <w:t xml:space="preserve"> чешћих измена одредаба о привредним кривичним делима </w:t>
      </w:r>
      <w:r w:rsidR="000F61E0">
        <w:rPr>
          <w:rFonts w:ascii="Times New Roman" w:hAnsi="Times New Roman"/>
          <w:color w:val="000000"/>
          <w:sz w:val="24"/>
          <w:szCs w:val="24"/>
          <w:shd w:val="clear" w:color="auto" w:fill="FFFFFF"/>
          <w:lang w:val="sr-Cyrl-CS"/>
        </w:rPr>
        <w:t>имајући у виду</w:t>
      </w:r>
      <w:r>
        <w:rPr>
          <w:rFonts w:ascii="Times New Roman" w:hAnsi="Times New Roman"/>
          <w:color w:val="000000"/>
          <w:sz w:val="24"/>
          <w:szCs w:val="24"/>
          <w:shd w:val="clear" w:color="auto" w:fill="FFFFFF"/>
          <w:lang w:val="sr-Cyrl-CS"/>
        </w:rPr>
        <w:t xml:space="preserve"> динамику пр</w:t>
      </w:r>
      <w:r w:rsidR="007F3306">
        <w:rPr>
          <w:rFonts w:ascii="Times New Roman" w:hAnsi="Times New Roman"/>
          <w:color w:val="000000"/>
          <w:sz w:val="24"/>
          <w:szCs w:val="24"/>
          <w:shd w:val="clear" w:color="auto" w:fill="FFFFFF"/>
          <w:lang w:val="sr-Cyrl-CS"/>
        </w:rPr>
        <w:t>ивредно</w:t>
      </w:r>
      <w:r w:rsidR="00813511">
        <w:rPr>
          <w:rFonts w:ascii="Times New Roman" w:hAnsi="Times New Roman"/>
          <w:color w:val="000000"/>
          <w:sz w:val="24"/>
          <w:szCs w:val="24"/>
          <w:shd w:val="clear" w:color="auto" w:fill="FFFFFF"/>
          <w:lang w:val="sr-Cyrl-CS"/>
        </w:rPr>
        <w:t>г живота у савременим ус</w:t>
      </w:r>
      <w:r w:rsidR="000F61E0">
        <w:rPr>
          <w:rFonts w:ascii="Times New Roman" w:hAnsi="Times New Roman"/>
          <w:color w:val="000000"/>
          <w:sz w:val="24"/>
          <w:szCs w:val="24"/>
          <w:shd w:val="clear" w:color="auto" w:fill="FFFFFF"/>
          <w:lang w:val="sr-Cyrl-CS"/>
        </w:rPr>
        <w:t>ловима. Због тога је</w:t>
      </w:r>
      <w:r>
        <w:rPr>
          <w:rFonts w:ascii="Times New Roman" w:hAnsi="Times New Roman"/>
          <w:color w:val="000000"/>
          <w:sz w:val="24"/>
          <w:szCs w:val="24"/>
          <w:shd w:val="clear" w:color="auto" w:fill="FFFFFF"/>
          <w:lang w:val="sr-Cyrl-CS"/>
        </w:rPr>
        <w:t xml:space="preserve"> практичније и лакше </w:t>
      </w:r>
      <w:r>
        <w:rPr>
          <w:rFonts w:ascii="Times New Roman" w:hAnsi="Times New Roman"/>
          <w:color w:val="000000"/>
          <w:sz w:val="24"/>
          <w:szCs w:val="24"/>
          <w:shd w:val="clear" w:color="auto" w:fill="FFFFFF"/>
          <w:lang w:val="sr-Cyrl-CS"/>
        </w:rPr>
        <w:lastRenderedPageBreak/>
        <w:t>вршити измене у споредном кривичном законодавству него у кривичним законима у које се уносе само оне инкриминације код којих се не очекују честе измене.</w:t>
      </w:r>
      <w:r>
        <w:rPr>
          <w:rStyle w:val="FootnoteReference"/>
          <w:rFonts w:ascii="Times New Roman" w:hAnsi="Times New Roman"/>
          <w:color w:val="000000"/>
          <w:sz w:val="24"/>
          <w:szCs w:val="24"/>
          <w:shd w:val="clear" w:color="auto" w:fill="FFFFFF"/>
          <w:lang w:val="sr-Cyrl-CS"/>
        </w:rPr>
        <w:footnoteReference w:id="776"/>
      </w:r>
    </w:p>
    <w:p w:rsidR="001C5051" w:rsidRDefault="001C5051" w:rsidP="003D27DA">
      <w:pPr>
        <w:ind w:firstLine="360"/>
        <w:jc w:val="both"/>
        <w:rPr>
          <w:rFonts w:ascii="Times New Roman" w:hAnsi="Times New Roman"/>
          <w:color w:val="000000"/>
          <w:sz w:val="24"/>
          <w:szCs w:val="24"/>
          <w:shd w:val="clear" w:color="auto" w:fill="FFFFFF"/>
          <w:lang w:val="sr-Cyrl-CS"/>
        </w:rPr>
      </w:pPr>
      <w:r>
        <w:rPr>
          <w:rFonts w:ascii="Times New Roman" w:hAnsi="Times New Roman"/>
          <w:color w:val="000000"/>
          <w:sz w:val="24"/>
          <w:szCs w:val="24"/>
          <w:shd w:val="clear" w:color="auto" w:fill="FFFFFF"/>
          <w:lang w:val="sr-Cyrl-CS"/>
        </w:rPr>
        <w:t xml:space="preserve">Поред наведених кривичних дела постоје и друга кривична дела која су у вези са привредом и која се најчешће врше у привредном пословању, попут дела против службене дужности и имовине, као што су злоупотреба службеног положаја (чл. 359 КЗ), кршење закона од стране судије, јавног тужиоца и његовог заменика (чл. 360 КЗ), несавестан рад у служби (чл. 361 КЗ), </w:t>
      </w:r>
      <w:r w:rsidR="00C848C3">
        <w:rPr>
          <w:rFonts w:ascii="Times New Roman" w:hAnsi="Times New Roman"/>
          <w:color w:val="000000"/>
          <w:sz w:val="24"/>
          <w:szCs w:val="24"/>
          <w:shd w:val="clear" w:color="auto" w:fill="FFFFFF"/>
          <w:lang w:val="sr-Cyrl-CS"/>
        </w:rPr>
        <w:t xml:space="preserve">превара у служби (чл. 363 КЗ), проневера (чл. 364 КЗ), примање мита (чл. 367 КЗ), превара (чл. 208 КЗ), неосновано добијање и коришћење </w:t>
      </w:r>
      <w:r>
        <w:rPr>
          <w:rFonts w:ascii="Times New Roman" w:hAnsi="Times New Roman"/>
          <w:color w:val="000000"/>
          <w:sz w:val="24"/>
          <w:szCs w:val="24"/>
          <w:shd w:val="clear" w:color="auto" w:fill="FFFFFF"/>
          <w:lang w:val="sr-Cyrl-CS"/>
        </w:rPr>
        <w:t xml:space="preserve"> </w:t>
      </w:r>
      <w:r w:rsidR="00C848C3">
        <w:rPr>
          <w:rFonts w:ascii="Times New Roman" w:hAnsi="Times New Roman"/>
          <w:color w:val="000000"/>
          <w:sz w:val="24"/>
          <w:szCs w:val="24"/>
          <w:shd w:val="clear" w:color="auto" w:fill="FFFFFF"/>
          <w:lang w:val="sr-Cyrl-CS"/>
        </w:rPr>
        <w:t>кредита и друге погодности (чл. 209 КЗ).</w:t>
      </w:r>
    </w:p>
    <w:p w:rsidR="00713931" w:rsidRDefault="00C848C3" w:rsidP="007F3306">
      <w:pPr>
        <w:ind w:firstLine="360"/>
        <w:jc w:val="both"/>
        <w:rPr>
          <w:rFonts w:ascii="Times New Roman" w:hAnsi="Times New Roman"/>
          <w:color w:val="000000"/>
          <w:sz w:val="24"/>
          <w:szCs w:val="24"/>
          <w:shd w:val="clear" w:color="auto" w:fill="FFFFFF"/>
          <w:lang w:val="sr-Cyrl-CS"/>
        </w:rPr>
      </w:pPr>
      <w:r>
        <w:rPr>
          <w:rFonts w:ascii="Times New Roman" w:hAnsi="Times New Roman"/>
          <w:color w:val="000000"/>
          <w:sz w:val="24"/>
          <w:szCs w:val="24"/>
          <w:shd w:val="clear" w:color="auto" w:fill="FFFFFF"/>
          <w:lang w:val="sr-Cyrl-CS"/>
        </w:rPr>
        <w:t>Посебан проблем у пракси су стварале преваре у привредном пословању, које као такве нису инкриминисане ка</w:t>
      </w:r>
      <w:r w:rsidR="00846D8D">
        <w:rPr>
          <w:rFonts w:ascii="Times New Roman" w:hAnsi="Times New Roman"/>
          <w:color w:val="000000"/>
          <w:sz w:val="24"/>
          <w:szCs w:val="24"/>
          <w:shd w:val="clear" w:color="auto" w:fill="FFFFFF"/>
          <w:lang w:val="sr-Cyrl-CS"/>
        </w:rPr>
        <w:t xml:space="preserve">о посебно кривично дело, иако имају своје специфичности јер их врши службено или одговорно лице у правним субјектима и на штету правних субјеката. </w:t>
      </w:r>
      <w:r w:rsidR="00D714A0">
        <w:rPr>
          <w:rFonts w:ascii="Times New Roman" w:hAnsi="Times New Roman"/>
          <w:color w:val="000000"/>
          <w:sz w:val="24"/>
          <w:szCs w:val="24"/>
          <w:shd w:val="clear" w:color="auto" w:fill="FFFFFF"/>
          <w:lang w:val="sr-Cyrl-CS"/>
        </w:rPr>
        <w:t xml:space="preserve">Међутим, и поред бројних измена Кривичног законика преваре у привредном пословању </w:t>
      </w:r>
      <w:r w:rsidR="00304A6F">
        <w:rPr>
          <w:rFonts w:ascii="Times New Roman" w:hAnsi="Times New Roman"/>
          <w:color w:val="000000"/>
          <w:sz w:val="24"/>
          <w:szCs w:val="24"/>
          <w:shd w:val="clear" w:color="auto" w:fill="FFFFFF"/>
          <w:lang w:val="sr-Cyrl-CS"/>
        </w:rPr>
        <w:t>нису издвојене као</w:t>
      </w:r>
      <w:r w:rsidR="00D714A0">
        <w:rPr>
          <w:rFonts w:ascii="Times New Roman" w:hAnsi="Times New Roman"/>
          <w:color w:val="000000"/>
          <w:sz w:val="24"/>
          <w:szCs w:val="24"/>
          <w:shd w:val="clear" w:color="auto" w:fill="FFFFFF"/>
          <w:lang w:val="sr-Cyrl-CS"/>
        </w:rPr>
        <w:t xml:space="preserve"> посебно кривично дело. Злоупотреба службеног положаја се односи само на службено лице, а не и на одговорно лице, као што је било према ранијем законском решењу. </w:t>
      </w:r>
      <w:r w:rsidR="00527B79">
        <w:rPr>
          <w:rFonts w:ascii="Times New Roman" w:hAnsi="Times New Roman"/>
          <w:color w:val="000000"/>
          <w:sz w:val="24"/>
          <w:szCs w:val="24"/>
          <w:shd w:val="clear" w:color="auto" w:fill="FFFFFF"/>
          <w:lang w:val="sr-Cyrl-CS"/>
        </w:rPr>
        <w:t xml:space="preserve">Уведена су </w:t>
      </w:r>
      <w:r w:rsidR="00304A6F">
        <w:rPr>
          <w:rFonts w:ascii="Times New Roman" w:hAnsi="Times New Roman"/>
          <w:color w:val="000000"/>
          <w:sz w:val="24"/>
          <w:szCs w:val="24"/>
          <w:shd w:val="clear" w:color="auto" w:fill="FFFFFF"/>
          <w:lang w:val="sr-Cyrl-CS"/>
        </w:rPr>
        <w:t xml:space="preserve">и </w:t>
      </w:r>
      <w:r w:rsidR="00527B79">
        <w:rPr>
          <w:rFonts w:ascii="Times New Roman" w:hAnsi="Times New Roman"/>
          <w:color w:val="000000"/>
          <w:sz w:val="24"/>
          <w:szCs w:val="24"/>
          <w:shd w:val="clear" w:color="auto" w:fill="FFFFFF"/>
          <w:lang w:val="sr-Cyrl-CS"/>
        </w:rPr>
        <w:t xml:space="preserve">нова кривична дела попут злоупотребе у вези са јавном набавком, </w:t>
      </w:r>
      <w:r w:rsidR="00D714A0">
        <w:rPr>
          <w:rFonts w:ascii="Times New Roman" w:hAnsi="Times New Roman"/>
          <w:color w:val="000000"/>
          <w:sz w:val="24"/>
          <w:szCs w:val="24"/>
          <w:shd w:val="clear" w:color="auto" w:fill="FFFFFF"/>
          <w:lang w:val="sr-Cyrl-CS"/>
        </w:rPr>
        <w:t xml:space="preserve"> </w:t>
      </w:r>
      <w:r w:rsidR="00304A6F">
        <w:rPr>
          <w:rFonts w:ascii="Times New Roman" w:hAnsi="Times New Roman"/>
          <w:color w:val="000000"/>
          <w:sz w:val="24"/>
          <w:szCs w:val="24"/>
          <w:shd w:val="clear" w:color="auto" w:fill="FFFFFF"/>
          <w:lang w:val="sr-Cyrl-CS"/>
        </w:rPr>
        <w:t>злоупотребе</w:t>
      </w:r>
      <w:r w:rsidR="00527B79">
        <w:rPr>
          <w:rFonts w:ascii="Times New Roman" w:hAnsi="Times New Roman"/>
          <w:color w:val="000000"/>
          <w:sz w:val="24"/>
          <w:szCs w:val="24"/>
          <w:shd w:val="clear" w:color="auto" w:fill="FFFFFF"/>
          <w:lang w:val="sr-Cyrl-CS"/>
        </w:rPr>
        <w:t xml:space="preserve"> положаја одговорног лица и онемогућавање вршења контроле, што </w:t>
      </w:r>
      <w:r w:rsidR="007D3F49">
        <w:rPr>
          <w:rFonts w:ascii="Times New Roman" w:hAnsi="Times New Roman"/>
          <w:color w:val="000000"/>
          <w:sz w:val="24"/>
          <w:szCs w:val="24"/>
          <w:shd w:val="clear" w:color="auto" w:fill="FFFFFF"/>
          <w:lang w:val="sr-Cyrl-CS"/>
        </w:rPr>
        <w:t>представља добро законско решење</w:t>
      </w:r>
      <w:r w:rsidR="00527B79">
        <w:rPr>
          <w:rFonts w:ascii="Times New Roman" w:hAnsi="Times New Roman"/>
          <w:color w:val="000000"/>
          <w:sz w:val="24"/>
          <w:szCs w:val="24"/>
          <w:shd w:val="clear" w:color="auto" w:fill="FFFFFF"/>
          <w:lang w:val="sr-Cyrl-CS"/>
        </w:rPr>
        <w:t xml:space="preserve"> у регулисању кривичних дела против привреде. </w:t>
      </w:r>
      <w:r w:rsidR="00713931">
        <w:rPr>
          <w:rFonts w:ascii="Times New Roman" w:hAnsi="Times New Roman"/>
          <w:color w:val="000000"/>
          <w:sz w:val="24"/>
          <w:szCs w:val="24"/>
          <w:shd w:val="clear" w:color="auto" w:fill="FFFFFF"/>
          <w:lang w:val="sr-Cyrl-CS"/>
        </w:rPr>
        <w:t>Међутим, није прописано, посебно у тежим случајевима, за кривична дела против привреде и у вези са привредом, обавезно изрицање мере безбедности забране вршења позива, делатности и дужности, а која мера се и иначе у п</w:t>
      </w:r>
      <w:r w:rsidR="007F3306">
        <w:rPr>
          <w:rFonts w:ascii="Times New Roman" w:hAnsi="Times New Roman"/>
          <w:color w:val="000000"/>
          <w:sz w:val="24"/>
          <w:szCs w:val="24"/>
          <w:shd w:val="clear" w:color="auto" w:fill="FFFFFF"/>
          <w:lang w:val="sr-Cyrl-CS"/>
        </w:rPr>
        <w:t>р</w:t>
      </w:r>
      <w:r w:rsidR="00713931">
        <w:rPr>
          <w:rFonts w:ascii="Times New Roman" w:hAnsi="Times New Roman"/>
          <w:color w:val="000000"/>
          <w:sz w:val="24"/>
          <w:szCs w:val="24"/>
          <w:shd w:val="clear" w:color="auto" w:fill="FFFFFF"/>
          <w:lang w:val="sr-Cyrl-CS"/>
        </w:rPr>
        <w:t>акси ретко изриче.</w:t>
      </w:r>
    </w:p>
    <w:p w:rsidR="00630C9F" w:rsidRDefault="00630C9F" w:rsidP="00630C9F">
      <w:pPr>
        <w:pStyle w:val="normal0"/>
        <w:shd w:val="clear" w:color="auto" w:fill="FFFFFF"/>
        <w:spacing w:before="48" w:beforeAutospacing="0" w:after="48" w:afterAutospacing="0"/>
        <w:ind w:firstLine="708"/>
        <w:jc w:val="both"/>
        <w:rPr>
          <w:color w:val="000000"/>
          <w:lang w:val="sr-Cyrl-CS"/>
        </w:rPr>
      </w:pPr>
      <w:r>
        <w:rPr>
          <w:color w:val="000000"/>
          <w:lang w:val="sr-Cyrl-CS"/>
        </w:rPr>
        <w:t xml:space="preserve">Различити су фактори који утичу на кривична дела из области јавних прихода. Ови узроци се могу поделити на следећи начин </w:t>
      </w:r>
      <w:r w:rsidR="00803B14">
        <w:rPr>
          <w:color w:val="000000"/>
          <w:lang w:val="sr-Cyrl-CS"/>
        </w:rPr>
        <w:t>према томе да ли су у вези са пореским обвезником или су независни од њега</w:t>
      </w:r>
      <w:r>
        <w:rPr>
          <w:color w:val="000000"/>
          <w:lang w:val="sr-Cyrl-CS"/>
        </w:rPr>
        <w:t>:</w:t>
      </w:r>
      <w:r>
        <w:rPr>
          <w:rStyle w:val="FootnoteReference"/>
          <w:color w:val="000000"/>
          <w:lang w:val="sr-Cyrl-CS"/>
        </w:rPr>
        <w:footnoteReference w:id="777"/>
      </w:r>
    </w:p>
    <w:p w:rsidR="00630C9F" w:rsidRPr="00E01AAC" w:rsidRDefault="00630C9F" w:rsidP="00630C9F">
      <w:pPr>
        <w:pStyle w:val="normal0"/>
        <w:shd w:val="clear" w:color="auto" w:fill="FFFFFF"/>
        <w:spacing w:before="48" w:beforeAutospacing="0" w:after="48" w:afterAutospacing="0"/>
        <w:ind w:firstLine="708"/>
        <w:jc w:val="both"/>
        <w:rPr>
          <w:color w:val="000000"/>
        </w:rPr>
      </w:pPr>
    </w:p>
    <w:p w:rsidR="00630C9F" w:rsidRDefault="001B535A" w:rsidP="008A3795">
      <w:pPr>
        <w:numPr>
          <w:ilvl w:val="0"/>
          <w:numId w:val="16"/>
        </w:numPr>
        <w:jc w:val="both"/>
        <w:rPr>
          <w:rFonts w:ascii="Times New Roman" w:hAnsi="Times New Roman"/>
          <w:color w:val="000000"/>
          <w:sz w:val="24"/>
          <w:szCs w:val="24"/>
          <w:shd w:val="clear" w:color="auto" w:fill="FFFFFF"/>
          <w:lang w:val="sr-Cyrl-CS"/>
        </w:rPr>
      </w:pPr>
      <w:r>
        <w:rPr>
          <w:rFonts w:ascii="Times New Roman" w:hAnsi="Times New Roman"/>
          <w:color w:val="000000"/>
          <w:sz w:val="24"/>
          <w:szCs w:val="24"/>
          <w:shd w:val="clear" w:color="auto" w:fill="FFFFFF"/>
          <w:lang w:val="sr-Cyrl-CS"/>
        </w:rPr>
        <w:t>о</w:t>
      </w:r>
      <w:r w:rsidR="00630C9F">
        <w:rPr>
          <w:rFonts w:ascii="Times New Roman" w:hAnsi="Times New Roman"/>
          <w:color w:val="000000"/>
          <w:sz w:val="24"/>
          <w:szCs w:val="24"/>
          <w:shd w:val="clear" w:color="auto" w:fill="FFFFFF"/>
          <w:lang w:val="sr-Cyrl-CS"/>
        </w:rPr>
        <w:t>бјективни узроци који су независни од обвезника јавних прихода  као што су укупно економско стање, висина пореског оптерећења, присуство сиве економије</w:t>
      </w:r>
      <w:r w:rsidR="00803B14">
        <w:rPr>
          <w:rFonts w:ascii="Times New Roman" w:hAnsi="Times New Roman"/>
          <w:color w:val="000000"/>
          <w:sz w:val="24"/>
          <w:szCs w:val="24"/>
          <w:shd w:val="clear" w:color="auto" w:fill="FFFFFF"/>
          <w:lang w:val="sr-Cyrl-CS"/>
        </w:rPr>
        <w:t>, облик јавног прихода</w:t>
      </w:r>
      <w:r w:rsidR="00630C9F">
        <w:rPr>
          <w:rFonts w:ascii="Times New Roman" w:hAnsi="Times New Roman"/>
          <w:color w:val="000000"/>
          <w:sz w:val="24"/>
          <w:szCs w:val="24"/>
          <w:shd w:val="clear" w:color="auto" w:fill="FFFFFF"/>
          <w:lang w:val="sr-Cyrl-CS"/>
        </w:rPr>
        <w:t xml:space="preserve"> итд. </w:t>
      </w:r>
      <w:r w:rsidR="00803B14">
        <w:rPr>
          <w:rFonts w:ascii="Times New Roman" w:hAnsi="Times New Roman"/>
          <w:color w:val="000000"/>
          <w:sz w:val="24"/>
          <w:szCs w:val="24"/>
          <w:shd w:val="clear" w:color="auto" w:fill="FFFFFF"/>
          <w:lang w:val="sr-Cyrl-CS"/>
        </w:rPr>
        <w:t>Повољније и стабилније стање у привреди даје мање разлога пореским обвезницима да избегавају плаћање јавних прихода.</w:t>
      </w:r>
      <w:r w:rsidR="00630C9F">
        <w:rPr>
          <w:rFonts w:ascii="Times New Roman" w:hAnsi="Times New Roman"/>
          <w:color w:val="000000"/>
          <w:sz w:val="24"/>
          <w:szCs w:val="24"/>
          <w:shd w:val="clear" w:color="auto" w:fill="FFFFFF"/>
          <w:lang w:val="sr-Cyrl-CS"/>
        </w:rPr>
        <w:t xml:space="preserve"> </w:t>
      </w:r>
      <w:r>
        <w:rPr>
          <w:rFonts w:ascii="Times New Roman" w:hAnsi="Times New Roman"/>
          <w:color w:val="000000"/>
          <w:sz w:val="24"/>
          <w:szCs w:val="24"/>
          <w:shd w:val="clear" w:color="auto" w:fill="FFFFFF"/>
          <w:lang w:val="sr-Cyrl-CS"/>
        </w:rPr>
        <w:t>Што је веће пореско оптерећење то ће бити веће избегавање плаћања јавних прихода и</w:t>
      </w:r>
      <w:r w:rsidR="00630C9F">
        <w:rPr>
          <w:rFonts w:ascii="Times New Roman" w:hAnsi="Times New Roman"/>
          <w:color w:val="000000"/>
          <w:sz w:val="24"/>
          <w:szCs w:val="24"/>
          <w:shd w:val="clear" w:color="auto" w:fill="FFFFFF"/>
          <w:lang w:val="sr-Cyrl-CS"/>
        </w:rPr>
        <w:t xml:space="preserve"> обв</w:t>
      </w:r>
      <w:r w:rsidR="007F3306">
        <w:rPr>
          <w:rFonts w:ascii="Times New Roman" w:hAnsi="Times New Roman"/>
          <w:color w:val="000000"/>
          <w:sz w:val="24"/>
          <w:szCs w:val="24"/>
          <w:shd w:val="clear" w:color="auto" w:fill="FFFFFF"/>
          <w:lang w:val="sr-Cyrl-CS"/>
        </w:rPr>
        <w:t xml:space="preserve">езници </w:t>
      </w:r>
      <w:r>
        <w:rPr>
          <w:rFonts w:ascii="Times New Roman" w:hAnsi="Times New Roman"/>
          <w:color w:val="000000"/>
          <w:sz w:val="24"/>
          <w:szCs w:val="24"/>
          <w:shd w:val="clear" w:color="auto" w:fill="FFFFFF"/>
          <w:lang w:val="sr-Cyrl-CS"/>
        </w:rPr>
        <w:t>ће сматрати</w:t>
      </w:r>
      <w:r w:rsidR="007F3306">
        <w:rPr>
          <w:rFonts w:ascii="Times New Roman" w:hAnsi="Times New Roman"/>
          <w:color w:val="000000"/>
          <w:sz w:val="24"/>
          <w:szCs w:val="24"/>
          <w:shd w:val="clear" w:color="auto" w:fill="FFFFFF"/>
          <w:lang w:val="sr-Cyrl-CS"/>
        </w:rPr>
        <w:t xml:space="preserve"> да ће имати већу</w:t>
      </w:r>
      <w:r w:rsidR="00630C9F">
        <w:rPr>
          <w:rFonts w:ascii="Times New Roman" w:hAnsi="Times New Roman"/>
          <w:color w:val="000000"/>
          <w:sz w:val="24"/>
          <w:szCs w:val="24"/>
          <w:shd w:val="clear" w:color="auto" w:fill="FFFFFF"/>
          <w:lang w:val="sr-Cyrl-CS"/>
        </w:rPr>
        <w:t xml:space="preserve"> економску корист од евентуалних поледи</w:t>
      </w:r>
      <w:r>
        <w:rPr>
          <w:rFonts w:ascii="Times New Roman" w:hAnsi="Times New Roman"/>
          <w:color w:val="000000"/>
          <w:sz w:val="24"/>
          <w:szCs w:val="24"/>
          <w:shd w:val="clear" w:color="auto" w:fill="FFFFFF"/>
          <w:lang w:val="sr-Cyrl-CS"/>
        </w:rPr>
        <w:t>ца као извршиоци кривичних дела</w:t>
      </w:r>
      <w:r w:rsidR="00630C9F">
        <w:rPr>
          <w:rFonts w:ascii="Times New Roman" w:hAnsi="Times New Roman"/>
          <w:color w:val="000000"/>
          <w:sz w:val="24"/>
          <w:szCs w:val="24"/>
          <w:shd w:val="clear" w:color="auto" w:fill="FFFFFF"/>
          <w:lang w:val="sr-Cyrl-CS"/>
        </w:rPr>
        <w:t xml:space="preserve">. </w:t>
      </w:r>
      <w:r>
        <w:rPr>
          <w:rFonts w:ascii="Times New Roman" w:hAnsi="Times New Roman"/>
          <w:color w:val="000000"/>
          <w:sz w:val="24"/>
          <w:szCs w:val="24"/>
          <w:shd w:val="clear" w:color="auto" w:fill="FFFFFF"/>
          <w:lang w:val="sr-Cyrl-CS"/>
        </w:rPr>
        <w:t xml:space="preserve">Облик јавног прихода такође има значајан утицај јер је отпор плаћању код неких пореских облика мањи него код других (отпор је већи код плаћања директних пореза него код индиректних пореза). </w:t>
      </w:r>
      <w:r w:rsidR="00630C9F">
        <w:rPr>
          <w:rFonts w:ascii="Times New Roman" w:hAnsi="Times New Roman"/>
          <w:color w:val="000000"/>
          <w:sz w:val="24"/>
          <w:szCs w:val="24"/>
          <w:shd w:val="clear" w:color="auto" w:fill="FFFFFF"/>
          <w:lang w:val="sr-Cyrl-CS"/>
        </w:rPr>
        <w:t xml:space="preserve">Сива економија </w:t>
      </w:r>
      <w:r>
        <w:rPr>
          <w:rFonts w:ascii="Times New Roman" w:hAnsi="Times New Roman"/>
          <w:color w:val="000000"/>
          <w:sz w:val="24"/>
          <w:szCs w:val="24"/>
          <w:shd w:val="clear" w:color="auto" w:fill="FFFFFF"/>
          <w:lang w:val="sr-Cyrl-CS"/>
        </w:rPr>
        <w:t>доводи у неравноправан положај обвезнике који</w:t>
      </w:r>
      <w:r w:rsidR="00630C9F">
        <w:rPr>
          <w:rFonts w:ascii="Times New Roman" w:hAnsi="Times New Roman"/>
          <w:color w:val="000000"/>
          <w:sz w:val="24"/>
          <w:szCs w:val="24"/>
          <w:shd w:val="clear" w:color="auto" w:fill="FFFFFF"/>
          <w:lang w:val="sr-Cyrl-CS"/>
        </w:rPr>
        <w:t xml:space="preserve"> легално послују па </w:t>
      </w:r>
      <w:r>
        <w:rPr>
          <w:rFonts w:ascii="Times New Roman" w:hAnsi="Times New Roman"/>
          <w:color w:val="000000"/>
          <w:sz w:val="24"/>
          <w:szCs w:val="24"/>
          <w:shd w:val="clear" w:color="auto" w:fill="FFFFFF"/>
          <w:lang w:val="sr-Cyrl-CS"/>
        </w:rPr>
        <w:t>и они могу да почну да прикривају</w:t>
      </w:r>
      <w:r w:rsidR="007F3306">
        <w:rPr>
          <w:rFonts w:ascii="Times New Roman" w:hAnsi="Times New Roman"/>
          <w:color w:val="000000"/>
          <w:sz w:val="24"/>
          <w:szCs w:val="24"/>
          <w:shd w:val="clear" w:color="auto" w:fill="FFFFFF"/>
          <w:lang w:val="sr-Cyrl-CS"/>
        </w:rPr>
        <w:t xml:space="preserve"> </w:t>
      </w:r>
      <w:r>
        <w:rPr>
          <w:rFonts w:ascii="Times New Roman" w:hAnsi="Times New Roman"/>
          <w:color w:val="000000"/>
          <w:sz w:val="24"/>
          <w:szCs w:val="24"/>
          <w:shd w:val="clear" w:color="auto" w:fill="FFFFFF"/>
          <w:lang w:val="sr-Cyrl-CS"/>
        </w:rPr>
        <w:t>своје приходе јер им је то исплативије него да уредно испуњавају своје обавезе</w:t>
      </w:r>
      <w:r w:rsidR="00630C9F">
        <w:rPr>
          <w:rFonts w:ascii="Times New Roman" w:hAnsi="Times New Roman"/>
          <w:color w:val="000000"/>
          <w:sz w:val="24"/>
          <w:szCs w:val="24"/>
          <w:shd w:val="clear" w:color="auto" w:fill="FFFFFF"/>
          <w:lang w:val="sr-Cyrl-CS"/>
        </w:rPr>
        <w:t>.</w:t>
      </w:r>
    </w:p>
    <w:p w:rsidR="0010546A" w:rsidRPr="006E4881" w:rsidRDefault="001B535A" w:rsidP="008A3795">
      <w:pPr>
        <w:numPr>
          <w:ilvl w:val="0"/>
          <w:numId w:val="16"/>
        </w:numPr>
        <w:jc w:val="both"/>
        <w:rPr>
          <w:rFonts w:ascii="Times New Roman" w:hAnsi="Times New Roman"/>
          <w:color w:val="000000"/>
          <w:sz w:val="24"/>
          <w:szCs w:val="24"/>
          <w:shd w:val="clear" w:color="auto" w:fill="FFFFFF"/>
          <w:lang w:val="sr-Cyrl-CS"/>
        </w:rPr>
      </w:pPr>
      <w:r>
        <w:rPr>
          <w:rFonts w:ascii="Times New Roman" w:hAnsi="Times New Roman"/>
          <w:color w:val="000000"/>
          <w:sz w:val="24"/>
          <w:szCs w:val="24"/>
          <w:shd w:val="clear" w:color="auto" w:fill="FFFFFF"/>
          <w:lang w:val="sr-Cyrl-CS"/>
        </w:rPr>
        <w:lastRenderedPageBreak/>
        <w:t>с</w:t>
      </w:r>
      <w:r w:rsidR="007D3F49">
        <w:rPr>
          <w:rFonts w:ascii="Times New Roman" w:hAnsi="Times New Roman"/>
          <w:color w:val="000000"/>
          <w:sz w:val="24"/>
          <w:szCs w:val="24"/>
          <w:shd w:val="clear" w:color="auto" w:fill="FFFFFF"/>
          <w:lang w:val="sr-Cyrl-CS"/>
        </w:rPr>
        <w:t xml:space="preserve">убјективни узроци </w:t>
      </w:r>
      <w:r w:rsidR="00630C9F">
        <w:rPr>
          <w:rFonts w:ascii="Times New Roman" w:hAnsi="Times New Roman"/>
          <w:color w:val="000000"/>
          <w:sz w:val="24"/>
          <w:szCs w:val="24"/>
          <w:shd w:val="clear" w:color="auto" w:fill="FFFFFF"/>
          <w:lang w:val="sr-Cyrl-CS"/>
        </w:rPr>
        <w:t xml:space="preserve">као што су </w:t>
      </w:r>
      <w:r>
        <w:rPr>
          <w:rFonts w:ascii="Times New Roman" w:hAnsi="Times New Roman"/>
          <w:color w:val="000000"/>
          <w:sz w:val="24"/>
          <w:szCs w:val="24"/>
          <w:shd w:val="clear" w:color="auto" w:fill="FFFFFF"/>
          <w:lang w:val="sr-Cyrl-CS"/>
        </w:rPr>
        <w:t xml:space="preserve">егоизам и </w:t>
      </w:r>
      <w:r w:rsidR="00630C9F">
        <w:rPr>
          <w:rFonts w:ascii="Times New Roman" w:hAnsi="Times New Roman"/>
          <w:color w:val="000000"/>
          <w:sz w:val="24"/>
          <w:szCs w:val="24"/>
          <w:shd w:val="clear" w:color="auto" w:fill="FFFFFF"/>
          <w:lang w:val="sr-Cyrl-CS"/>
        </w:rPr>
        <w:t xml:space="preserve">тежња за </w:t>
      </w:r>
      <w:r>
        <w:rPr>
          <w:rFonts w:ascii="Times New Roman" w:hAnsi="Times New Roman"/>
          <w:color w:val="000000"/>
          <w:sz w:val="24"/>
          <w:szCs w:val="24"/>
          <w:shd w:val="clear" w:color="auto" w:fill="FFFFFF"/>
          <w:lang w:val="sr-Cyrl-CS"/>
        </w:rPr>
        <w:t>стицањем профита</w:t>
      </w:r>
      <w:r w:rsidR="00630C9F">
        <w:rPr>
          <w:rFonts w:ascii="Times New Roman" w:hAnsi="Times New Roman"/>
          <w:color w:val="000000"/>
          <w:sz w:val="24"/>
          <w:szCs w:val="24"/>
          <w:shd w:val="clear" w:color="auto" w:fill="FFFFFF"/>
          <w:lang w:val="sr-Cyrl-CS"/>
        </w:rPr>
        <w:t xml:space="preserve">, </w:t>
      </w:r>
      <w:r>
        <w:rPr>
          <w:rFonts w:ascii="Times New Roman" w:hAnsi="Times New Roman"/>
          <w:color w:val="000000"/>
          <w:sz w:val="24"/>
          <w:szCs w:val="24"/>
          <w:shd w:val="clear" w:color="auto" w:fill="FFFFFF"/>
          <w:lang w:val="sr-Cyrl-CS"/>
        </w:rPr>
        <w:t>порески морал, схватање правичности пореског система и непостојање свести о значају измиривања јавних прихода.</w:t>
      </w:r>
      <w:r w:rsidR="00630C9F">
        <w:rPr>
          <w:rFonts w:ascii="Times New Roman" w:hAnsi="Times New Roman"/>
          <w:color w:val="000000"/>
          <w:sz w:val="24"/>
          <w:szCs w:val="24"/>
          <w:shd w:val="clear" w:color="auto" w:fill="FFFFFF"/>
          <w:lang w:val="sr-Cyrl-CS"/>
        </w:rPr>
        <w:t xml:space="preserve"> </w:t>
      </w:r>
    </w:p>
    <w:p w:rsidR="0010546A" w:rsidRDefault="0010546A" w:rsidP="002A6059">
      <w:pPr>
        <w:ind w:firstLine="360"/>
        <w:jc w:val="both"/>
        <w:rPr>
          <w:rFonts w:ascii="Times New Roman" w:hAnsi="Times New Roman"/>
          <w:sz w:val="24"/>
          <w:szCs w:val="24"/>
          <w:lang w:val="sr-Cyrl-CS"/>
        </w:rPr>
      </w:pPr>
      <w:r>
        <w:rPr>
          <w:rFonts w:ascii="Times New Roman" w:hAnsi="Times New Roman"/>
          <w:sz w:val="24"/>
          <w:szCs w:val="24"/>
          <w:lang w:val="sr-Cyrl-CS"/>
        </w:rPr>
        <w:t xml:space="preserve">Кривична дела </w:t>
      </w:r>
      <w:r w:rsidRPr="007F3306">
        <w:rPr>
          <w:rFonts w:ascii="Times New Roman" w:hAnsi="Times New Roman"/>
          <w:sz w:val="24"/>
          <w:szCs w:val="24"/>
          <w:lang w:val="sr-Cyrl-CS"/>
        </w:rPr>
        <w:t>корупције</w:t>
      </w:r>
      <w:r>
        <w:rPr>
          <w:rFonts w:ascii="Times New Roman" w:hAnsi="Times New Roman"/>
          <w:sz w:val="24"/>
          <w:szCs w:val="24"/>
          <w:lang w:val="sr-Cyrl-CS"/>
        </w:rPr>
        <w:t xml:space="preserve"> </w:t>
      </w:r>
      <w:r w:rsidR="00A2794D">
        <w:rPr>
          <w:rFonts w:ascii="Times New Roman" w:hAnsi="Times New Roman"/>
          <w:sz w:val="24"/>
          <w:szCs w:val="24"/>
          <w:lang w:val="sr-Cyrl-CS"/>
        </w:rPr>
        <w:t>представљају посебну врсту</w:t>
      </w:r>
      <w:r>
        <w:rPr>
          <w:rFonts w:ascii="Times New Roman" w:hAnsi="Times New Roman"/>
          <w:sz w:val="24"/>
          <w:szCs w:val="24"/>
          <w:lang w:val="sr-Cyrl-CS"/>
        </w:rPr>
        <w:t xml:space="preserve"> кривичних дела против службене дужности </w:t>
      </w:r>
      <w:r w:rsidR="00A2794D">
        <w:rPr>
          <w:rFonts w:ascii="Times New Roman" w:hAnsi="Times New Roman"/>
          <w:sz w:val="24"/>
          <w:szCs w:val="24"/>
          <w:lang w:val="sr-Cyrl-CS"/>
        </w:rPr>
        <w:t xml:space="preserve">и </w:t>
      </w:r>
      <w:r w:rsidR="00D17D43">
        <w:rPr>
          <w:rFonts w:ascii="Times New Roman" w:hAnsi="Times New Roman"/>
          <w:sz w:val="24"/>
          <w:szCs w:val="24"/>
          <w:lang w:val="sr-Cyrl-CS"/>
        </w:rPr>
        <w:t>обухватају</w:t>
      </w:r>
      <w:r>
        <w:rPr>
          <w:rFonts w:ascii="Times New Roman" w:hAnsi="Times New Roman"/>
          <w:sz w:val="24"/>
          <w:szCs w:val="24"/>
          <w:lang w:val="sr-Cyrl-CS"/>
        </w:rPr>
        <w:t xml:space="preserve"> различите видове злоупотребе службеног положаја и јавних овлашћења у вршењу службене дужно</w:t>
      </w:r>
      <w:r w:rsidR="007F3306">
        <w:rPr>
          <w:rFonts w:ascii="Times New Roman" w:hAnsi="Times New Roman"/>
          <w:sz w:val="24"/>
          <w:szCs w:val="24"/>
          <w:lang w:val="sr-Cyrl-CS"/>
        </w:rPr>
        <w:t>сти од стране службених или одг</w:t>
      </w:r>
      <w:r>
        <w:rPr>
          <w:rFonts w:ascii="Times New Roman" w:hAnsi="Times New Roman"/>
          <w:sz w:val="24"/>
          <w:szCs w:val="24"/>
          <w:lang w:val="sr-Cyrl-CS"/>
        </w:rPr>
        <w:t>оврних лица као носилаца тих овлашћења.</w:t>
      </w:r>
      <w:r>
        <w:rPr>
          <w:rStyle w:val="FootnoteReference"/>
          <w:rFonts w:ascii="Times New Roman" w:hAnsi="Times New Roman"/>
          <w:sz w:val="24"/>
          <w:szCs w:val="24"/>
          <w:lang w:val="sr-Cyrl-CS"/>
        </w:rPr>
        <w:footnoteReference w:id="778"/>
      </w:r>
      <w:r>
        <w:rPr>
          <w:rFonts w:ascii="Times New Roman" w:hAnsi="Times New Roman"/>
          <w:sz w:val="24"/>
          <w:szCs w:val="24"/>
          <w:lang w:val="sr-Cyrl-CS"/>
        </w:rPr>
        <w:t xml:space="preserve"> </w:t>
      </w:r>
      <w:r w:rsidR="002A6059">
        <w:rPr>
          <w:rFonts w:ascii="Times New Roman" w:hAnsi="Times New Roman"/>
          <w:sz w:val="24"/>
          <w:szCs w:val="24"/>
          <w:lang w:val="sr-Cyrl-CS"/>
        </w:rPr>
        <w:t>Најпре</w:t>
      </w:r>
      <w:r w:rsidRPr="007A565B">
        <w:rPr>
          <w:rFonts w:ascii="Times New Roman" w:hAnsi="Times New Roman"/>
          <w:sz w:val="24"/>
          <w:szCs w:val="24"/>
          <w:lang w:val="sr-Cyrl-CS"/>
        </w:rPr>
        <w:t xml:space="preserve"> треба рећи да кривичноправни прописи Србије не познају појам </w:t>
      </w:r>
      <w:r w:rsidRPr="007A565B">
        <w:rPr>
          <w:rFonts w:ascii="Times New Roman" w:hAnsi="Times New Roman"/>
          <w:b/>
          <w:sz w:val="24"/>
          <w:szCs w:val="24"/>
          <w:lang w:val="sr-Cyrl-CS"/>
        </w:rPr>
        <w:t>„</w:t>
      </w:r>
      <w:r w:rsidRPr="007F3306">
        <w:rPr>
          <w:rFonts w:ascii="Times New Roman" w:hAnsi="Times New Roman"/>
          <w:sz w:val="24"/>
          <w:szCs w:val="24"/>
          <w:lang w:val="sr-Cyrl-CS"/>
        </w:rPr>
        <w:t>корупције</w:t>
      </w:r>
      <w:r w:rsidRPr="007A565B">
        <w:rPr>
          <w:rFonts w:ascii="Times New Roman" w:hAnsi="Times New Roman"/>
          <w:sz w:val="24"/>
          <w:szCs w:val="24"/>
          <w:lang w:val="sr-Cyrl-CS"/>
        </w:rPr>
        <w:t xml:space="preserve">“. </w:t>
      </w:r>
      <w:r w:rsidR="002A6059">
        <w:rPr>
          <w:rFonts w:ascii="Times New Roman" w:hAnsi="Times New Roman"/>
          <w:sz w:val="24"/>
          <w:szCs w:val="24"/>
          <w:lang w:val="sr-Cyrl-CS"/>
        </w:rPr>
        <w:t>Међутим, т</w:t>
      </w:r>
      <w:r w:rsidRPr="007A565B">
        <w:rPr>
          <w:rFonts w:ascii="Times New Roman" w:hAnsi="Times New Roman"/>
          <w:sz w:val="24"/>
          <w:szCs w:val="24"/>
          <w:lang w:val="sr-Cyrl-CS"/>
        </w:rPr>
        <w:t>о не значи да коруп</w:t>
      </w:r>
      <w:r w:rsidR="002A6059">
        <w:rPr>
          <w:rFonts w:ascii="Times New Roman" w:hAnsi="Times New Roman"/>
          <w:sz w:val="24"/>
          <w:szCs w:val="24"/>
          <w:lang w:val="sr-Cyrl-CS"/>
        </w:rPr>
        <w:t xml:space="preserve">ција није кажњива, </w:t>
      </w:r>
      <w:r w:rsidRPr="007A565B">
        <w:rPr>
          <w:rFonts w:ascii="Times New Roman" w:hAnsi="Times New Roman"/>
          <w:sz w:val="24"/>
          <w:szCs w:val="24"/>
          <w:lang w:val="sr-Cyrl-CS"/>
        </w:rPr>
        <w:t>напротив, она је то увек била.</w:t>
      </w:r>
    </w:p>
    <w:p w:rsidR="0010546A" w:rsidRPr="007A565B" w:rsidRDefault="0010546A" w:rsidP="002A6059">
      <w:pPr>
        <w:ind w:firstLine="360"/>
        <w:jc w:val="both"/>
        <w:rPr>
          <w:rFonts w:ascii="Times New Roman" w:hAnsi="Times New Roman"/>
          <w:sz w:val="24"/>
          <w:szCs w:val="24"/>
          <w:lang w:val="sr-Cyrl-CS"/>
        </w:rPr>
      </w:pPr>
      <w:r w:rsidRPr="002A6059">
        <w:rPr>
          <w:rFonts w:ascii="Times New Roman" w:hAnsi="Times New Roman"/>
          <w:sz w:val="24"/>
          <w:szCs w:val="24"/>
          <w:lang w:val="sr-Cyrl-CS"/>
        </w:rPr>
        <w:t>Кривични законик</w:t>
      </w:r>
      <w:r w:rsidR="002A6059">
        <w:rPr>
          <w:rStyle w:val="FootnoteReference"/>
          <w:rFonts w:ascii="Times New Roman" w:hAnsi="Times New Roman"/>
          <w:sz w:val="24"/>
          <w:szCs w:val="24"/>
          <w:lang w:val="sr-Cyrl-CS"/>
        </w:rPr>
        <w:footnoteReference w:id="779"/>
      </w:r>
      <w:r w:rsidR="002A6059">
        <w:rPr>
          <w:rFonts w:ascii="Times New Roman" w:hAnsi="Times New Roman"/>
          <w:sz w:val="24"/>
          <w:szCs w:val="24"/>
          <w:lang w:val="sr-Cyrl-CS"/>
        </w:rPr>
        <w:t xml:space="preserve"> </w:t>
      </w:r>
      <w:r w:rsidRPr="007A565B">
        <w:rPr>
          <w:rFonts w:ascii="Times New Roman" w:hAnsi="Times New Roman"/>
          <w:sz w:val="24"/>
          <w:szCs w:val="24"/>
          <w:lang w:val="sr-Cyrl-CS"/>
        </w:rPr>
        <w:t xml:space="preserve">прописује </w:t>
      </w:r>
      <w:r w:rsidR="00EA3C2E">
        <w:rPr>
          <w:rFonts w:ascii="Times New Roman" w:hAnsi="Times New Roman"/>
          <w:sz w:val="24"/>
          <w:szCs w:val="24"/>
          <w:lang w:val="sr-Cyrl-CS"/>
        </w:rPr>
        <w:t>бројна кривична</w:t>
      </w:r>
      <w:r w:rsidRPr="007A565B">
        <w:rPr>
          <w:rFonts w:ascii="Times New Roman" w:hAnsi="Times New Roman"/>
          <w:sz w:val="24"/>
          <w:szCs w:val="24"/>
          <w:lang w:val="sr-Cyrl-CS"/>
        </w:rPr>
        <w:t xml:space="preserve"> дела која у себи мо</w:t>
      </w:r>
      <w:r w:rsidR="002A6059">
        <w:rPr>
          <w:rFonts w:ascii="Times New Roman" w:hAnsi="Times New Roman"/>
          <w:sz w:val="24"/>
          <w:szCs w:val="24"/>
          <w:lang w:val="sr-Cyrl-CS"/>
        </w:rPr>
        <w:t>гу садржати елементе корупције.</w:t>
      </w:r>
      <w:r w:rsidR="00B13F4F">
        <w:rPr>
          <w:rStyle w:val="FootnoteReference"/>
          <w:rFonts w:ascii="Times New Roman" w:hAnsi="Times New Roman"/>
          <w:sz w:val="24"/>
          <w:szCs w:val="24"/>
          <w:lang w:val="sr-Cyrl-CS"/>
        </w:rPr>
        <w:footnoteReference w:id="780"/>
      </w:r>
      <w:r w:rsidR="002A6059">
        <w:rPr>
          <w:rFonts w:ascii="Times New Roman" w:hAnsi="Times New Roman"/>
          <w:sz w:val="24"/>
          <w:szCs w:val="24"/>
          <w:lang w:val="sr-Cyrl-CS"/>
        </w:rPr>
        <w:t xml:space="preserve"> </w:t>
      </w:r>
      <w:r w:rsidRPr="007A565B">
        <w:rPr>
          <w:rFonts w:ascii="Times New Roman" w:hAnsi="Times New Roman"/>
          <w:sz w:val="24"/>
          <w:szCs w:val="24"/>
          <w:lang w:val="sr-Cyrl-CS"/>
        </w:rPr>
        <w:t xml:space="preserve">Међу коруптивна кривична дела пре свега спадају следећа:  </w:t>
      </w:r>
    </w:p>
    <w:p w:rsidR="0010546A" w:rsidRDefault="0010546A" w:rsidP="008A3795">
      <w:pPr>
        <w:numPr>
          <w:ilvl w:val="0"/>
          <w:numId w:val="16"/>
        </w:numPr>
        <w:jc w:val="both"/>
        <w:rPr>
          <w:rFonts w:ascii="Times New Roman" w:hAnsi="Times New Roman"/>
          <w:sz w:val="24"/>
          <w:szCs w:val="24"/>
          <w:lang w:val="sr-Cyrl-CS"/>
        </w:rPr>
      </w:pPr>
      <w:r w:rsidRPr="007A565B">
        <w:rPr>
          <w:rFonts w:ascii="Times New Roman" w:hAnsi="Times New Roman"/>
          <w:sz w:val="24"/>
          <w:szCs w:val="24"/>
          <w:lang w:val="sr-Cyrl-CS"/>
        </w:rPr>
        <w:t>Злоупотреба службеног положаја</w:t>
      </w:r>
      <w:r>
        <w:rPr>
          <w:rFonts w:ascii="Times New Roman" w:hAnsi="Times New Roman"/>
          <w:sz w:val="24"/>
          <w:szCs w:val="24"/>
          <w:lang w:val="sr-Cyrl-CS"/>
        </w:rPr>
        <w:t xml:space="preserve"> (чл. 359 КЗ)</w:t>
      </w:r>
      <w:r w:rsidRPr="007A565B">
        <w:rPr>
          <w:rFonts w:ascii="Times New Roman" w:hAnsi="Times New Roman"/>
          <w:sz w:val="24"/>
          <w:szCs w:val="24"/>
          <w:lang w:val="sr-Cyrl-CS"/>
        </w:rPr>
        <w:t xml:space="preserve">, </w:t>
      </w:r>
    </w:p>
    <w:p w:rsidR="00C23222" w:rsidRPr="007A565B" w:rsidRDefault="00C23222" w:rsidP="008A3795">
      <w:pPr>
        <w:numPr>
          <w:ilvl w:val="0"/>
          <w:numId w:val="16"/>
        </w:numPr>
        <w:jc w:val="both"/>
        <w:rPr>
          <w:rFonts w:ascii="Times New Roman" w:hAnsi="Times New Roman"/>
          <w:sz w:val="24"/>
          <w:szCs w:val="24"/>
          <w:lang w:val="sr-Cyrl-CS"/>
        </w:rPr>
      </w:pPr>
      <w:r>
        <w:rPr>
          <w:rFonts w:ascii="Times New Roman" w:hAnsi="Times New Roman"/>
          <w:sz w:val="24"/>
          <w:szCs w:val="24"/>
          <w:lang w:val="sr-Cyrl-CS"/>
        </w:rPr>
        <w:t>Злоупотреба овлашћења у привреди (чл. 238 КЗ)</w:t>
      </w:r>
    </w:p>
    <w:p w:rsidR="0010546A" w:rsidRPr="007A565B" w:rsidRDefault="0010546A" w:rsidP="008A3795">
      <w:pPr>
        <w:numPr>
          <w:ilvl w:val="0"/>
          <w:numId w:val="16"/>
        </w:numPr>
        <w:jc w:val="both"/>
        <w:rPr>
          <w:rFonts w:ascii="Times New Roman" w:hAnsi="Times New Roman"/>
          <w:sz w:val="24"/>
          <w:szCs w:val="24"/>
          <w:lang w:val="sr-Cyrl-CS"/>
        </w:rPr>
      </w:pPr>
      <w:r w:rsidRPr="007A565B">
        <w:rPr>
          <w:rFonts w:ascii="Times New Roman" w:hAnsi="Times New Roman"/>
          <w:sz w:val="24"/>
          <w:szCs w:val="24"/>
          <w:lang w:val="sr-Cyrl-CS"/>
        </w:rPr>
        <w:t>Примање мита</w:t>
      </w:r>
      <w:r>
        <w:rPr>
          <w:rFonts w:ascii="Times New Roman" w:hAnsi="Times New Roman"/>
          <w:sz w:val="24"/>
          <w:szCs w:val="24"/>
          <w:lang w:val="sr-Cyrl-CS"/>
        </w:rPr>
        <w:t xml:space="preserve"> (чл. 367)</w:t>
      </w:r>
      <w:r w:rsidRPr="007A565B">
        <w:rPr>
          <w:rFonts w:ascii="Times New Roman" w:hAnsi="Times New Roman"/>
          <w:sz w:val="24"/>
          <w:szCs w:val="24"/>
          <w:lang w:val="sr-Cyrl-CS"/>
        </w:rPr>
        <w:t xml:space="preserve">, </w:t>
      </w:r>
    </w:p>
    <w:p w:rsidR="0010546A" w:rsidRPr="007A565B" w:rsidRDefault="0010546A" w:rsidP="008A3795">
      <w:pPr>
        <w:numPr>
          <w:ilvl w:val="0"/>
          <w:numId w:val="16"/>
        </w:numPr>
        <w:jc w:val="both"/>
        <w:rPr>
          <w:rFonts w:ascii="Times New Roman" w:hAnsi="Times New Roman"/>
          <w:sz w:val="24"/>
          <w:szCs w:val="24"/>
          <w:lang w:val="sr-Cyrl-CS"/>
        </w:rPr>
      </w:pPr>
      <w:r w:rsidRPr="007A565B">
        <w:rPr>
          <w:rFonts w:ascii="Times New Roman" w:hAnsi="Times New Roman"/>
          <w:sz w:val="24"/>
          <w:szCs w:val="24"/>
          <w:lang w:val="sr-Cyrl-CS"/>
        </w:rPr>
        <w:t>Давање мита</w:t>
      </w:r>
      <w:r>
        <w:rPr>
          <w:rFonts w:ascii="Times New Roman" w:hAnsi="Times New Roman"/>
          <w:sz w:val="24"/>
          <w:szCs w:val="24"/>
          <w:lang w:val="sr-Cyrl-CS"/>
        </w:rPr>
        <w:t xml:space="preserve"> (чл. 368)</w:t>
      </w:r>
      <w:r w:rsidRPr="007A565B">
        <w:rPr>
          <w:rFonts w:ascii="Times New Roman" w:hAnsi="Times New Roman"/>
          <w:sz w:val="24"/>
          <w:szCs w:val="24"/>
          <w:lang w:val="sr-Cyrl-CS"/>
        </w:rPr>
        <w:t xml:space="preserve">, </w:t>
      </w:r>
    </w:p>
    <w:p w:rsidR="0010546A" w:rsidRPr="009A5F26" w:rsidRDefault="0010546A" w:rsidP="008A3795">
      <w:pPr>
        <w:numPr>
          <w:ilvl w:val="0"/>
          <w:numId w:val="16"/>
        </w:numPr>
        <w:jc w:val="both"/>
        <w:rPr>
          <w:rFonts w:ascii="Times New Roman" w:hAnsi="Times New Roman"/>
          <w:sz w:val="24"/>
          <w:szCs w:val="24"/>
          <w:lang w:val="sr-Cyrl-CS"/>
        </w:rPr>
      </w:pPr>
      <w:r w:rsidRPr="007A565B">
        <w:rPr>
          <w:rFonts w:ascii="Times New Roman" w:hAnsi="Times New Roman"/>
          <w:sz w:val="24"/>
          <w:szCs w:val="24"/>
          <w:lang w:val="sr-Cyrl-CS"/>
        </w:rPr>
        <w:t xml:space="preserve">Кршење закона од стране судије, јавног тужиоца и </w:t>
      </w:r>
      <w:r w:rsidRPr="009A5F26">
        <w:rPr>
          <w:rFonts w:ascii="Times New Roman" w:hAnsi="Times New Roman"/>
          <w:sz w:val="24"/>
          <w:szCs w:val="24"/>
          <w:lang w:val="sr-Cyrl-CS"/>
        </w:rPr>
        <w:t>његовог заменика</w:t>
      </w:r>
      <w:r w:rsidR="00C23222" w:rsidRPr="009A5F26">
        <w:rPr>
          <w:rFonts w:ascii="Times New Roman" w:hAnsi="Times New Roman"/>
          <w:sz w:val="24"/>
          <w:szCs w:val="24"/>
          <w:lang w:val="sr-Cyrl-CS"/>
        </w:rPr>
        <w:t xml:space="preserve"> (чл. 360)</w:t>
      </w:r>
      <w:r w:rsidRPr="009A5F26">
        <w:rPr>
          <w:rFonts w:ascii="Times New Roman" w:hAnsi="Times New Roman"/>
          <w:sz w:val="24"/>
          <w:szCs w:val="24"/>
          <w:lang w:val="sr-Cyrl-CS"/>
        </w:rPr>
        <w:t xml:space="preserve">, </w:t>
      </w:r>
    </w:p>
    <w:p w:rsidR="00C23222" w:rsidRDefault="00C23222" w:rsidP="008A3795">
      <w:pPr>
        <w:numPr>
          <w:ilvl w:val="0"/>
          <w:numId w:val="16"/>
        </w:numPr>
        <w:jc w:val="both"/>
        <w:rPr>
          <w:rFonts w:ascii="Times New Roman" w:hAnsi="Times New Roman"/>
          <w:sz w:val="24"/>
          <w:szCs w:val="24"/>
          <w:lang w:val="sr-Cyrl-CS"/>
        </w:rPr>
      </w:pPr>
      <w:r>
        <w:rPr>
          <w:rFonts w:ascii="Times New Roman" w:hAnsi="Times New Roman"/>
          <w:sz w:val="24"/>
          <w:szCs w:val="24"/>
          <w:lang w:val="sr-Cyrl-CS"/>
        </w:rPr>
        <w:t>Трговина утицајем (чл. 366)</w:t>
      </w:r>
      <w:r w:rsidR="002A6059">
        <w:rPr>
          <w:rFonts w:ascii="Times New Roman" w:hAnsi="Times New Roman"/>
          <w:sz w:val="24"/>
          <w:szCs w:val="24"/>
          <w:lang w:val="sr-Cyrl-CS"/>
        </w:rPr>
        <w:t>,</w:t>
      </w:r>
    </w:p>
    <w:p w:rsidR="00C23222" w:rsidRDefault="00C23222" w:rsidP="008A3795">
      <w:pPr>
        <w:numPr>
          <w:ilvl w:val="0"/>
          <w:numId w:val="16"/>
        </w:numPr>
        <w:jc w:val="both"/>
        <w:rPr>
          <w:rFonts w:ascii="Times New Roman" w:hAnsi="Times New Roman"/>
          <w:sz w:val="24"/>
          <w:szCs w:val="24"/>
          <w:lang w:val="sr-Cyrl-CS"/>
        </w:rPr>
      </w:pPr>
      <w:r>
        <w:rPr>
          <w:rFonts w:ascii="Times New Roman" w:hAnsi="Times New Roman"/>
          <w:sz w:val="24"/>
          <w:szCs w:val="24"/>
          <w:lang w:val="sr-Cyrl-CS"/>
        </w:rPr>
        <w:t>Прање новца (чл. 231 КЗ)</w:t>
      </w:r>
      <w:r w:rsidR="002A6059">
        <w:rPr>
          <w:rFonts w:ascii="Times New Roman" w:hAnsi="Times New Roman"/>
          <w:sz w:val="24"/>
          <w:szCs w:val="24"/>
          <w:lang w:val="sr-Cyrl-CS"/>
        </w:rPr>
        <w:t>,</w:t>
      </w:r>
    </w:p>
    <w:p w:rsidR="00C23222" w:rsidRPr="007A565B" w:rsidRDefault="00C23222" w:rsidP="008A3795">
      <w:pPr>
        <w:numPr>
          <w:ilvl w:val="0"/>
          <w:numId w:val="16"/>
        </w:numPr>
        <w:jc w:val="both"/>
        <w:rPr>
          <w:rFonts w:ascii="Times New Roman" w:hAnsi="Times New Roman"/>
          <w:sz w:val="24"/>
          <w:szCs w:val="24"/>
          <w:lang w:val="sr-Cyrl-CS"/>
        </w:rPr>
      </w:pPr>
      <w:r>
        <w:rPr>
          <w:rFonts w:ascii="Times New Roman" w:hAnsi="Times New Roman"/>
          <w:sz w:val="24"/>
          <w:szCs w:val="24"/>
          <w:lang w:val="sr-Cyrl-CS"/>
        </w:rPr>
        <w:t>Давање и примање мита у вези са гласањем (чл. 156 КЗ)</w:t>
      </w:r>
      <w:r w:rsidR="002A6059">
        <w:rPr>
          <w:rFonts w:ascii="Times New Roman" w:hAnsi="Times New Roman"/>
          <w:sz w:val="24"/>
          <w:szCs w:val="24"/>
          <w:lang w:val="sr-Cyrl-CS"/>
        </w:rPr>
        <w:t>.</w:t>
      </w:r>
    </w:p>
    <w:p w:rsidR="005F56A6" w:rsidRDefault="005F56A6" w:rsidP="00B13F4F">
      <w:pPr>
        <w:ind w:left="360"/>
        <w:jc w:val="both"/>
        <w:rPr>
          <w:rFonts w:ascii="Times New Roman" w:hAnsi="Times New Roman"/>
          <w:sz w:val="24"/>
          <w:szCs w:val="24"/>
          <w:lang w:val="sr-Cyrl-CS"/>
        </w:rPr>
      </w:pPr>
    </w:p>
    <w:p w:rsidR="009A5F26" w:rsidRDefault="005F56A6" w:rsidP="009601DC">
      <w:pPr>
        <w:ind w:firstLine="360"/>
        <w:jc w:val="both"/>
        <w:rPr>
          <w:rFonts w:ascii="Times New Roman" w:hAnsi="Times New Roman"/>
          <w:sz w:val="24"/>
          <w:szCs w:val="24"/>
          <w:lang w:val="sr-Cyrl-CS"/>
        </w:rPr>
      </w:pPr>
      <w:r>
        <w:rPr>
          <w:rFonts w:ascii="Times New Roman" w:hAnsi="Times New Roman"/>
          <w:sz w:val="24"/>
          <w:szCs w:val="24"/>
          <w:lang w:val="sr-Cyrl-CS"/>
        </w:rPr>
        <w:t xml:space="preserve">То могу бити и кривична </w:t>
      </w:r>
      <w:r w:rsidR="005B417B">
        <w:rPr>
          <w:rFonts w:ascii="Times New Roman" w:hAnsi="Times New Roman"/>
          <w:sz w:val="24"/>
          <w:szCs w:val="24"/>
          <w:lang w:val="sr-Cyrl-CS"/>
        </w:rPr>
        <w:t xml:space="preserve">дела </w:t>
      </w:r>
      <w:r>
        <w:rPr>
          <w:rFonts w:ascii="Times New Roman" w:hAnsi="Times New Roman"/>
          <w:sz w:val="24"/>
          <w:szCs w:val="24"/>
          <w:lang w:val="sr-Cyrl-CS"/>
        </w:rPr>
        <w:t>прописана у посебним законима, попут кривичног дела Непријављивање имовине или давање лажних података о имовини из чл. 72. Закона о Агенцији за борбу против корупције.</w:t>
      </w:r>
      <w:r>
        <w:rPr>
          <w:rStyle w:val="FootnoteReference"/>
          <w:rFonts w:ascii="Times New Roman" w:hAnsi="Times New Roman"/>
          <w:sz w:val="24"/>
          <w:szCs w:val="24"/>
          <w:lang w:val="sr-Cyrl-CS"/>
        </w:rPr>
        <w:footnoteReference w:id="781"/>
      </w:r>
    </w:p>
    <w:p w:rsidR="00315146" w:rsidRDefault="0010546A" w:rsidP="00200E7B">
      <w:pPr>
        <w:jc w:val="both"/>
        <w:rPr>
          <w:rFonts w:ascii="Times New Roman" w:hAnsi="Times New Roman"/>
          <w:sz w:val="24"/>
          <w:szCs w:val="24"/>
          <w:lang w:val="sr-Cyrl-CS"/>
        </w:rPr>
      </w:pPr>
      <w:r w:rsidRPr="007A565B">
        <w:t xml:space="preserve"> </w:t>
      </w:r>
      <w:r w:rsidR="002A6059">
        <w:rPr>
          <w:lang w:val="sr-Cyrl-CS"/>
        </w:rPr>
        <w:tab/>
      </w:r>
      <w:r w:rsidRPr="007A565B">
        <w:rPr>
          <w:rFonts w:ascii="Times New Roman" w:hAnsi="Times New Roman"/>
          <w:sz w:val="24"/>
          <w:szCs w:val="24"/>
          <w:lang w:val="sr-Cyrl-CS"/>
        </w:rPr>
        <w:t xml:space="preserve">Иако је </w:t>
      </w:r>
      <w:r w:rsidR="002A6059">
        <w:rPr>
          <w:rFonts w:ascii="Times New Roman" w:hAnsi="Times New Roman"/>
          <w:sz w:val="24"/>
          <w:szCs w:val="24"/>
          <w:lang w:val="sr-Cyrl-CS"/>
        </w:rPr>
        <w:t>корупција у јавном сектору, односно</w:t>
      </w:r>
      <w:r w:rsidRPr="007A565B">
        <w:rPr>
          <w:rFonts w:ascii="Times New Roman" w:hAnsi="Times New Roman"/>
          <w:sz w:val="24"/>
          <w:szCs w:val="24"/>
          <w:lang w:val="sr-Cyrl-CS"/>
        </w:rPr>
        <w:t xml:space="preserve"> у вези са злоупотребом јавних ресурса</w:t>
      </w:r>
      <w:r w:rsidR="002A6059">
        <w:rPr>
          <w:rFonts w:ascii="Times New Roman" w:hAnsi="Times New Roman"/>
          <w:sz w:val="24"/>
          <w:szCs w:val="24"/>
          <w:lang w:val="sr-Cyrl-CS"/>
        </w:rPr>
        <w:t>,</w:t>
      </w:r>
      <w:r w:rsidRPr="007A565B">
        <w:rPr>
          <w:rFonts w:ascii="Times New Roman" w:hAnsi="Times New Roman"/>
          <w:sz w:val="24"/>
          <w:szCs w:val="24"/>
          <w:lang w:val="sr-Cyrl-CS"/>
        </w:rPr>
        <w:t xml:space="preserve"> лакше замислива, она се може јавити и у приватном сектору, на пример када </w:t>
      </w:r>
      <w:r w:rsidRPr="007A565B">
        <w:rPr>
          <w:rFonts w:ascii="Times New Roman" w:hAnsi="Times New Roman"/>
          <w:sz w:val="24"/>
          <w:szCs w:val="24"/>
          <w:lang w:val="sr-Cyrl-CS"/>
        </w:rPr>
        <w:lastRenderedPageBreak/>
        <w:t xml:space="preserve">директор приватног предузећа узме мито да би одао конкуренцији неке пословне тајне. </w:t>
      </w:r>
      <w:r w:rsidRPr="002A6059">
        <w:rPr>
          <w:rFonts w:ascii="Times New Roman" w:hAnsi="Times New Roman"/>
          <w:sz w:val="24"/>
          <w:szCs w:val="24"/>
          <w:lang w:val="sr-Cyrl-CS"/>
        </w:rPr>
        <w:t xml:space="preserve">Осим кроз кривична дела, корупција или неке појаве које су јој блиске могу се </w:t>
      </w:r>
      <w:r w:rsidRPr="007A565B">
        <w:rPr>
          <w:rFonts w:ascii="Times New Roman" w:hAnsi="Times New Roman"/>
          <w:sz w:val="24"/>
          <w:szCs w:val="24"/>
          <w:lang w:val="sr-Cyrl-CS"/>
        </w:rPr>
        <w:t xml:space="preserve">санкционисати и на друге начине. Многобројни прописи, који би пре свега </w:t>
      </w:r>
      <w:r w:rsidR="00D96E18">
        <w:rPr>
          <w:rFonts w:ascii="Times New Roman" w:hAnsi="Times New Roman"/>
          <w:sz w:val="24"/>
          <w:szCs w:val="24"/>
          <w:lang w:val="sr-Cyrl-CS"/>
        </w:rPr>
        <w:t>требало да пос</w:t>
      </w:r>
      <w:r w:rsidRPr="007A565B">
        <w:rPr>
          <w:rFonts w:ascii="Times New Roman" w:hAnsi="Times New Roman"/>
          <w:sz w:val="24"/>
          <w:szCs w:val="24"/>
          <w:lang w:val="sr-Cyrl-CS"/>
        </w:rPr>
        <w:t>луже да до корупције не дође или да је буде мање, садрже санкције или мере друге врсте. На пример, због кршења Закона о финансирању политичких странака и Закон</w:t>
      </w:r>
      <w:r w:rsidR="00D96E18">
        <w:rPr>
          <w:rFonts w:ascii="Times New Roman" w:hAnsi="Times New Roman"/>
          <w:sz w:val="24"/>
          <w:szCs w:val="24"/>
          <w:lang w:val="sr-Cyrl-CS"/>
        </w:rPr>
        <w:t>а</w:t>
      </w:r>
      <w:r w:rsidRPr="007A565B">
        <w:rPr>
          <w:rFonts w:ascii="Times New Roman" w:hAnsi="Times New Roman"/>
          <w:sz w:val="24"/>
          <w:szCs w:val="24"/>
          <w:lang w:val="sr-Cyrl-CS"/>
        </w:rPr>
        <w:t xml:space="preserve"> о слободном приступу информацијама од јавног значаја могу се изрећи прекршајне новчане казне, а због кршења Закона о спречавању сукоба интереса мере попут јавне опомене и препоруке за разрешење. </w:t>
      </w:r>
    </w:p>
    <w:p w:rsidR="001671E0" w:rsidRPr="004A7DA4" w:rsidRDefault="00443D7E" w:rsidP="004A7DA4">
      <w:pPr>
        <w:jc w:val="both"/>
        <w:rPr>
          <w:rFonts w:ascii="Times New Roman" w:hAnsi="Times New Roman"/>
          <w:sz w:val="24"/>
          <w:szCs w:val="24"/>
          <w:lang w:val="sr-Cyrl-CS"/>
        </w:rPr>
      </w:pPr>
      <w:r>
        <w:rPr>
          <w:lang w:val="sr-Cyrl-CS"/>
        </w:rPr>
        <w:tab/>
      </w:r>
      <w:r w:rsidR="006B555E" w:rsidRPr="001E5348">
        <w:rPr>
          <w:rFonts w:ascii="Times New Roman" w:hAnsi="Times New Roman"/>
          <w:sz w:val="24"/>
          <w:szCs w:val="24"/>
          <w:lang w:val="sr-Cyrl-CS"/>
        </w:rPr>
        <w:t>У табелама које следе приказани су статистички подаци</w:t>
      </w:r>
      <w:r w:rsidRPr="001E5348">
        <w:rPr>
          <w:rFonts w:ascii="Times New Roman" w:hAnsi="Times New Roman"/>
          <w:sz w:val="24"/>
          <w:szCs w:val="24"/>
          <w:lang w:val="sr-Cyrl-CS"/>
        </w:rPr>
        <w:t xml:space="preserve"> Републичког завода за статистику Републике Србије</w:t>
      </w:r>
      <w:r w:rsidR="006B555E" w:rsidRPr="001E5348">
        <w:rPr>
          <w:rFonts w:ascii="Times New Roman" w:hAnsi="Times New Roman"/>
          <w:sz w:val="24"/>
          <w:szCs w:val="24"/>
          <w:lang w:val="sr-Cyrl-CS"/>
        </w:rPr>
        <w:t xml:space="preserve"> </w:t>
      </w:r>
      <w:r w:rsidR="009B5120" w:rsidRPr="001E5348">
        <w:rPr>
          <w:rFonts w:ascii="Times New Roman" w:hAnsi="Times New Roman"/>
          <w:sz w:val="24"/>
          <w:szCs w:val="24"/>
          <w:lang w:val="sr-Cyrl-CS"/>
        </w:rPr>
        <w:t>за 2013. годину, везано за кривична дела против привреде и кривична дела са корупти</w:t>
      </w:r>
      <w:r w:rsidR="00795B41" w:rsidRPr="001E5348">
        <w:rPr>
          <w:rFonts w:ascii="Times New Roman" w:hAnsi="Times New Roman"/>
          <w:sz w:val="24"/>
          <w:szCs w:val="24"/>
          <w:lang w:val="sr-Cyrl-CS"/>
        </w:rPr>
        <w:t>вним елементом, у погледу броја пријављених и осуђених лица и кривичних санкција по појединим кривичним делима</w:t>
      </w:r>
      <w:r w:rsidR="00C14412">
        <w:rPr>
          <w:rFonts w:ascii="Times New Roman" w:hAnsi="Times New Roman"/>
          <w:sz w:val="24"/>
          <w:szCs w:val="24"/>
          <w:lang w:val="sr-Cyrl-CS"/>
        </w:rPr>
        <w:t>.</w:t>
      </w:r>
    </w:p>
    <w:p w:rsidR="009B5120" w:rsidRDefault="00A449F2" w:rsidP="00DC3784">
      <w:pPr>
        <w:pStyle w:val="normal0"/>
        <w:shd w:val="clear" w:color="auto" w:fill="FFFFFF"/>
        <w:spacing w:before="48" w:beforeAutospacing="0" w:after="48" w:afterAutospacing="0"/>
        <w:rPr>
          <w:b/>
          <w:color w:val="000000"/>
          <w:lang w:val="sr-Cyrl-CS"/>
        </w:rPr>
      </w:pPr>
      <w:r>
        <w:rPr>
          <w:b/>
          <w:color w:val="000000"/>
          <w:lang w:val="sr-Cyrl-CS"/>
        </w:rPr>
        <w:t xml:space="preserve">Табела  </w:t>
      </w:r>
      <w:r>
        <w:rPr>
          <w:b/>
          <w:color w:val="000000"/>
        </w:rPr>
        <w:t>30</w:t>
      </w:r>
      <w:r w:rsidR="009B5120" w:rsidRPr="009B5120">
        <w:rPr>
          <w:b/>
          <w:color w:val="000000"/>
          <w:lang w:val="sr-Cyrl-CS"/>
        </w:rPr>
        <w:t>.</w:t>
      </w:r>
      <w:r w:rsidR="00F8521F">
        <w:rPr>
          <w:b/>
          <w:color w:val="000000"/>
          <w:lang w:val="sr-Cyrl-CS"/>
        </w:rPr>
        <w:t xml:space="preserve"> Пријављена пунолетна лица према кривичном делу за 2013. годину.</w:t>
      </w:r>
    </w:p>
    <w:p w:rsidR="003D26A8" w:rsidRDefault="003D26A8" w:rsidP="00DC3784">
      <w:pPr>
        <w:pStyle w:val="normal0"/>
        <w:shd w:val="clear" w:color="auto" w:fill="FFFFFF"/>
        <w:spacing w:before="48" w:beforeAutospacing="0" w:after="48" w:afterAutospacing="0"/>
        <w:rPr>
          <w:b/>
          <w:color w:val="000000"/>
          <w:lang w:val="sr-Cyrl-CS"/>
        </w:rPr>
      </w:pPr>
    </w:p>
    <w:tbl>
      <w:tblPr>
        <w:tblStyle w:val="TableGrid"/>
        <w:tblW w:w="0" w:type="auto"/>
        <w:tblLook w:val="04A0"/>
      </w:tblPr>
      <w:tblGrid>
        <w:gridCol w:w="3070"/>
        <w:gridCol w:w="3070"/>
        <w:gridCol w:w="3071"/>
      </w:tblGrid>
      <w:tr w:rsidR="003D26A8" w:rsidTr="003D26A8">
        <w:tc>
          <w:tcPr>
            <w:tcW w:w="3070" w:type="dxa"/>
          </w:tcPr>
          <w:p w:rsidR="003D26A8" w:rsidRDefault="00C868AB" w:rsidP="00DC3784">
            <w:pPr>
              <w:pStyle w:val="normal0"/>
              <w:spacing w:before="48" w:beforeAutospacing="0" w:after="48" w:afterAutospacing="0"/>
              <w:rPr>
                <w:b/>
                <w:color w:val="000000"/>
                <w:lang w:val="sr-Cyrl-CS"/>
              </w:rPr>
            </w:pPr>
            <w:r>
              <w:rPr>
                <w:b/>
                <w:color w:val="000000"/>
                <w:lang w:val="sr-Cyrl-CS"/>
              </w:rPr>
              <w:t>Кривична дела</w:t>
            </w:r>
          </w:p>
        </w:tc>
        <w:tc>
          <w:tcPr>
            <w:tcW w:w="3070" w:type="dxa"/>
          </w:tcPr>
          <w:p w:rsidR="003D26A8" w:rsidRDefault="00C868AB" w:rsidP="00DC3784">
            <w:pPr>
              <w:pStyle w:val="normal0"/>
              <w:spacing w:before="48" w:beforeAutospacing="0" w:after="48" w:afterAutospacing="0"/>
              <w:rPr>
                <w:b/>
                <w:color w:val="000000"/>
                <w:lang w:val="sr-Cyrl-CS"/>
              </w:rPr>
            </w:pPr>
            <w:r>
              <w:rPr>
                <w:b/>
                <w:color w:val="000000"/>
                <w:lang w:val="sr-Cyrl-CS"/>
              </w:rPr>
              <w:t>пријављени</w:t>
            </w:r>
          </w:p>
        </w:tc>
        <w:tc>
          <w:tcPr>
            <w:tcW w:w="3071" w:type="dxa"/>
          </w:tcPr>
          <w:p w:rsidR="003D26A8" w:rsidRDefault="00C868AB" w:rsidP="00DC3784">
            <w:pPr>
              <w:pStyle w:val="normal0"/>
              <w:spacing w:before="48" w:beforeAutospacing="0" w:after="48" w:afterAutospacing="0"/>
              <w:rPr>
                <w:b/>
                <w:color w:val="000000"/>
                <w:lang w:val="sr-Cyrl-CS"/>
              </w:rPr>
            </w:pPr>
            <w:r>
              <w:rPr>
                <w:b/>
                <w:color w:val="000000"/>
                <w:lang w:val="sr-Cyrl-CS"/>
              </w:rPr>
              <w:t>осуђени</w:t>
            </w:r>
          </w:p>
        </w:tc>
      </w:tr>
      <w:tr w:rsidR="003D26A8" w:rsidTr="003D26A8">
        <w:tc>
          <w:tcPr>
            <w:tcW w:w="3070" w:type="dxa"/>
          </w:tcPr>
          <w:p w:rsidR="003D26A8" w:rsidRDefault="00C868AB" w:rsidP="00DC3784">
            <w:pPr>
              <w:pStyle w:val="normal0"/>
              <w:spacing w:before="48" w:beforeAutospacing="0" w:after="48" w:afterAutospacing="0"/>
              <w:rPr>
                <w:b/>
                <w:color w:val="000000"/>
                <w:lang w:val="sr-Cyrl-CS"/>
              </w:rPr>
            </w:pPr>
            <w:r>
              <w:rPr>
                <w:b/>
                <w:color w:val="000000"/>
                <w:lang w:val="sr-Cyrl-CS"/>
              </w:rPr>
              <w:t>Пореска утаја</w:t>
            </w:r>
          </w:p>
        </w:tc>
        <w:tc>
          <w:tcPr>
            <w:tcW w:w="3070" w:type="dxa"/>
          </w:tcPr>
          <w:p w:rsidR="003D26A8" w:rsidRDefault="00C868AB" w:rsidP="00DC3784">
            <w:pPr>
              <w:pStyle w:val="normal0"/>
              <w:spacing w:before="48" w:beforeAutospacing="0" w:after="48" w:afterAutospacing="0"/>
              <w:rPr>
                <w:b/>
                <w:color w:val="000000"/>
                <w:lang w:val="sr-Cyrl-CS"/>
              </w:rPr>
            </w:pPr>
            <w:r>
              <w:rPr>
                <w:b/>
                <w:color w:val="000000"/>
                <w:lang w:val="sr-Cyrl-CS"/>
              </w:rPr>
              <w:t>1051</w:t>
            </w:r>
          </w:p>
        </w:tc>
        <w:tc>
          <w:tcPr>
            <w:tcW w:w="3071" w:type="dxa"/>
          </w:tcPr>
          <w:p w:rsidR="003D26A8" w:rsidRDefault="00C868AB" w:rsidP="00DC3784">
            <w:pPr>
              <w:pStyle w:val="normal0"/>
              <w:spacing w:before="48" w:beforeAutospacing="0" w:after="48" w:afterAutospacing="0"/>
              <w:rPr>
                <w:b/>
                <w:color w:val="000000"/>
                <w:lang w:val="sr-Cyrl-CS"/>
              </w:rPr>
            </w:pPr>
            <w:r>
              <w:rPr>
                <w:b/>
                <w:color w:val="000000"/>
                <w:lang w:val="sr-Cyrl-CS"/>
              </w:rPr>
              <w:t>290</w:t>
            </w:r>
          </w:p>
        </w:tc>
      </w:tr>
      <w:tr w:rsidR="003D26A8" w:rsidTr="003D26A8">
        <w:tc>
          <w:tcPr>
            <w:tcW w:w="3070" w:type="dxa"/>
          </w:tcPr>
          <w:p w:rsidR="003D26A8" w:rsidRDefault="00C868AB" w:rsidP="00DC3784">
            <w:pPr>
              <w:pStyle w:val="normal0"/>
              <w:spacing w:before="48" w:beforeAutospacing="0" w:after="48" w:afterAutospacing="0"/>
              <w:rPr>
                <w:b/>
                <w:color w:val="000000"/>
                <w:lang w:val="sr-Cyrl-CS"/>
              </w:rPr>
            </w:pPr>
            <w:r>
              <w:rPr>
                <w:b/>
                <w:color w:val="000000"/>
                <w:lang w:val="sr-Cyrl-CS"/>
              </w:rPr>
              <w:t>Неуплаћивање пореза</w:t>
            </w:r>
          </w:p>
          <w:p w:rsidR="00C868AB" w:rsidRDefault="00C868AB" w:rsidP="00DC3784">
            <w:pPr>
              <w:pStyle w:val="normal0"/>
              <w:spacing w:before="48" w:beforeAutospacing="0" w:after="48" w:afterAutospacing="0"/>
              <w:rPr>
                <w:b/>
                <w:color w:val="000000"/>
                <w:lang w:val="sr-Cyrl-CS"/>
              </w:rPr>
            </w:pPr>
            <w:r>
              <w:rPr>
                <w:b/>
                <w:color w:val="000000"/>
                <w:lang w:val="sr-Cyrl-CS"/>
              </w:rPr>
              <w:t>по одбитку</w:t>
            </w:r>
          </w:p>
        </w:tc>
        <w:tc>
          <w:tcPr>
            <w:tcW w:w="3070" w:type="dxa"/>
          </w:tcPr>
          <w:p w:rsidR="003D26A8" w:rsidRDefault="00C868AB" w:rsidP="00DC3784">
            <w:pPr>
              <w:pStyle w:val="normal0"/>
              <w:spacing w:before="48" w:beforeAutospacing="0" w:after="48" w:afterAutospacing="0"/>
              <w:rPr>
                <w:b/>
                <w:color w:val="000000"/>
                <w:lang w:val="sr-Cyrl-CS"/>
              </w:rPr>
            </w:pPr>
            <w:r>
              <w:rPr>
                <w:b/>
                <w:color w:val="000000"/>
                <w:lang w:val="sr-Cyrl-CS"/>
              </w:rPr>
              <w:t>106</w:t>
            </w:r>
          </w:p>
        </w:tc>
        <w:tc>
          <w:tcPr>
            <w:tcW w:w="3071" w:type="dxa"/>
          </w:tcPr>
          <w:p w:rsidR="003D26A8" w:rsidRDefault="00C868AB" w:rsidP="00DC3784">
            <w:pPr>
              <w:pStyle w:val="normal0"/>
              <w:spacing w:before="48" w:beforeAutospacing="0" w:after="48" w:afterAutospacing="0"/>
              <w:rPr>
                <w:b/>
                <w:color w:val="000000"/>
                <w:lang w:val="sr-Cyrl-CS"/>
              </w:rPr>
            </w:pPr>
            <w:r>
              <w:rPr>
                <w:b/>
                <w:color w:val="000000"/>
                <w:lang w:val="sr-Cyrl-CS"/>
              </w:rPr>
              <w:t>22</w:t>
            </w:r>
          </w:p>
        </w:tc>
      </w:tr>
      <w:tr w:rsidR="003D26A8" w:rsidTr="003D26A8">
        <w:tc>
          <w:tcPr>
            <w:tcW w:w="3070" w:type="dxa"/>
          </w:tcPr>
          <w:p w:rsidR="003D26A8" w:rsidRDefault="00C868AB" w:rsidP="00DC3784">
            <w:pPr>
              <w:pStyle w:val="normal0"/>
              <w:spacing w:before="48" w:beforeAutospacing="0" w:after="48" w:afterAutospacing="0"/>
              <w:rPr>
                <w:b/>
                <w:color w:val="000000"/>
                <w:lang w:val="sr-Cyrl-CS"/>
              </w:rPr>
            </w:pPr>
            <w:r>
              <w:rPr>
                <w:b/>
                <w:color w:val="000000"/>
                <w:lang w:val="sr-Cyrl-CS"/>
              </w:rPr>
              <w:t>Прање новца</w:t>
            </w:r>
          </w:p>
        </w:tc>
        <w:tc>
          <w:tcPr>
            <w:tcW w:w="3070" w:type="dxa"/>
          </w:tcPr>
          <w:p w:rsidR="003D26A8" w:rsidRDefault="00C868AB" w:rsidP="00DC3784">
            <w:pPr>
              <w:pStyle w:val="normal0"/>
              <w:spacing w:before="48" w:beforeAutospacing="0" w:after="48" w:afterAutospacing="0"/>
              <w:rPr>
                <w:b/>
                <w:color w:val="000000"/>
                <w:lang w:val="sr-Cyrl-CS"/>
              </w:rPr>
            </w:pPr>
            <w:r>
              <w:rPr>
                <w:b/>
                <w:color w:val="000000"/>
                <w:lang w:val="sr-Cyrl-CS"/>
              </w:rPr>
              <w:t>3</w:t>
            </w:r>
          </w:p>
        </w:tc>
        <w:tc>
          <w:tcPr>
            <w:tcW w:w="3071" w:type="dxa"/>
          </w:tcPr>
          <w:p w:rsidR="003D26A8" w:rsidRDefault="00C868AB" w:rsidP="00DC3784">
            <w:pPr>
              <w:pStyle w:val="normal0"/>
              <w:spacing w:before="48" w:beforeAutospacing="0" w:after="48" w:afterAutospacing="0"/>
              <w:rPr>
                <w:b/>
                <w:color w:val="000000"/>
                <w:lang w:val="sr-Cyrl-CS"/>
              </w:rPr>
            </w:pPr>
            <w:r>
              <w:rPr>
                <w:b/>
                <w:color w:val="000000"/>
                <w:lang w:val="sr-Cyrl-CS"/>
              </w:rPr>
              <w:t>3</w:t>
            </w:r>
          </w:p>
        </w:tc>
      </w:tr>
      <w:tr w:rsidR="003D26A8" w:rsidTr="003D26A8">
        <w:tc>
          <w:tcPr>
            <w:tcW w:w="3070" w:type="dxa"/>
          </w:tcPr>
          <w:p w:rsidR="003D26A8" w:rsidRDefault="00C868AB" w:rsidP="00DC3784">
            <w:pPr>
              <w:pStyle w:val="normal0"/>
              <w:spacing w:before="48" w:beforeAutospacing="0" w:after="48" w:afterAutospacing="0"/>
              <w:rPr>
                <w:b/>
                <w:color w:val="000000"/>
                <w:lang w:val="sr-Cyrl-CS"/>
              </w:rPr>
            </w:pPr>
            <w:r>
              <w:rPr>
                <w:b/>
                <w:color w:val="000000"/>
                <w:lang w:val="sr-Cyrl-CS"/>
              </w:rPr>
              <w:t>Злоупотреба положаја</w:t>
            </w:r>
          </w:p>
          <w:p w:rsidR="00C868AB" w:rsidRDefault="00C868AB" w:rsidP="00DC3784">
            <w:pPr>
              <w:pStyle w:val="normal0"/>
              <w:spacing w:before="48" w:beforeAutospacing="0" w:after="48" w:afterAutospacing="0"/>
              <w:rPr>
                <w:b/>
                <w:color w:val="000000"/>
                <w:lang w:val="sr-Cyrl-CS"/>
              </w:rPr>
            </w:pPr>
            <w:r>
              <w:rPr>
                <w:b/>
                <w:color w:val="000000"/>
                <w:lang w:val="sr-Cyrl-CS"/>
              </w:rPr>
              <w:t>одговорног лица</w:t>
            </w:r>
          </w:p>
        </w:tc>
        <w:tc>
          <w:tcPr>
            <w:tcW w:w="3070" w:type="dxa"/>
          </w:tcPr>
          <w:p w:rsidR="003D26A8" w:rsidRDefault="00C868AB" w:rsidP="00DC3784">
            <w:pPr>
              <w:pStyle w:val="normal0"/>
              <w:spacing w:before="48" w:beforeAutospacing="0" w:after="48" w:afterAutospacing="0"/>
              <w:rPr>
                <w:b/>
                <w:color w:val="000000"/>
                <w:lang w:val="sr-Cyrl-CS"/>
              </w:rPr>
            </w:pPr>
            <w:r>
              <w:rPr>
                <w:b/>
                <w:color w:val="000000"/>
                <w:lang w:val="sr-Cyrl-CS"/>
              </w:rPr>
              <w:t>542</w:t>
            </w:r>
          </w:p>
        </w:tc>
        <w:tc>
          <w:tcPr>
            <w:tcW w:w="3071" w:type="dxa"/>
          </w:tcPr>
          <w:p w:rsidR="003D26A8" w:rsidRDefault="00C868AB" w:rsidP="00DC3784">
            <w:pPr>
              <w:pStyle w:val="normal0"/>
              <w:spacing w:before="48" w:beforeAutospacing="0" w:after="48" w:afterAutospacing="0"/>
              <w:rPr>
                <w:b/>
                <w:color w:val="000000"/>
                <w:lang w:val="sr-Cyrl-CS"/>
              </w:rPr>
            </w:pPr>
            <w:r>
              <w:rPr>
                <w:b/>
                <w:color w:val="000000"/>
                <w:lang w:val="sr-Cyrl-CS"/>
              </w:rPr>
              <w:t>94</w:t>
            </w:r>
          </w:p>
        </w:tc>
      </w:tr>
      <w:tr w:rsidR="003D26A8" w:rsidTr="003D26A8">
        <w:tc>
          <w:tcPr>
            <w:tcW w:w="3070" w:type="dxa"/>
          </w:tcPr>
          <w:p w:rsidR="003D26A8" w:rsidRDefault="00C868AB" w:rsidP="00DC3784">
            <w:pPr>
              <w:pStyle w:val="normal0"/>
              <w:spacing w:before="48" w:beforeAutospacing="0" w:after="48" w:afterAutospacing="0"/>
              <w:rPr>
                <w:b/>
                <w:color w:val="000000"/>
                <w:lang w:val="sr-Cyrl-CS"/>
              </w:rPr>
            </w:pPr>
            <w:r>
              <w:rPr>
                <w:b/>
                <w:color w:val="000000"/>
                <w:lang w:val="sr-Cyrl-CS"/>
              </w:rPr>
              <w:t>Злоупотреба овлашћења</w:t>
            </w:r>
          </w:p>
          <w:p w:rsidR="00C868AB" w:rsidRDefault="00C868AB" w:rsidP="00C868AB">
            <w:pPr>
              <w:pStyle w:val="normal0"/>
              <w:spacing w:before="48" w:beforeAutospacing="0" w:after="48" w:afterAutospacing="0"/>
              <w:rPr>
                <w:b/>
                <w:color w:val="000000"/>
                <w:lang w:val="sr-Cyrl-CS"/>
              </w:rPr>
            </w:pPr>
            <w:r>
              <w:rPr>
                <w:b/>
                <w:color w:val="000000"/>
                <w:lang w:val="sr-Cyrl-CS"/>
              </w:rPr>
              <w:t>у привреди</w:t>
            </w:r>
          </w:p>
        </w:tc>
        <w:tc>
          <w:tcPr>
            <w:tcW w:w="3070" w:type="dxa"/>
          </w:tcPr>
          <w:p w:rsidR="003D26A8" w:rsidRDefault="00C868AB" w:rsidP="00DC3784">
            <w:pPr>
              <w:pStyle w:val="normal0"/>
              <w:spacing w:before="48" w:beforeAutospacing="0" w:after="48" w:afterAutospacing="0"/>
              <w:rPr>
                <w:b/>
                <w:color w:val="000000"/>
                <w:lang w:val="sr-Cyrl-CS"/>
              </w:rPr>
            </w:pPr>
            <w:r>
              <w:rPr>
                <w:b/>
                <w:color w:val="000000"/>
                <w:lang w:val="sr-Cyrl-CS"/>
              </w:rPr>
              <w:t>478</w:t>
            </w:r>
          </w:p>
        </w:tc>
        <w:tc>
          <w:tcPr>
            <w:tcW w:w="3071" w:type="dxa"/>
          </w:tcPr>
          <w:p w:rsidR="003D26A8" w:rsidRDefault="00C868AB" w:rsidP="00DC3784">
            <w:pPr>
              <w:pStyle w:val="normal0"/>
              <w:spacing w:before="48" w:beforeAutospacing="0" w:after="48" w:afterAutospacing="0"/>
              <w:rPr>
                <w:b/>
                <w:color w:val="000000"/>
                <w:lang w:val="sr-Cyrl-CS"/>
              </w:rPr>
            </w:pPr>
            <w:r>
              <w:rPr>
                <w:b/>
                <w:color w:val="000000"/>
                <w:lang w:val="sr-Cyrl-CS"/>
              </w:rPr>
              <w:t>154</w:t>
            </w:r>
          </w:p>
        </w:tc>
      </w:tr>
      <w:tr w:rsidR="003D26A8" w:rsidTr="003D26A8">
        <w:tc>
          <w:tcPr>
            <w:tcW w:w="3070" w:type="dxa"/>
          </w:tcPr>
          <w:p w:rsidR="003D26A8" w:rsidRDefault="00C868AB" w:rsidP="00DC3784">
            <w:pPr>
              <w:pStyle w:val="normal0"/>
              <w:spacing w:before="48" w:beforeAutospacing="0" w:after="48" w:afterAutospacing="0"/>
              <w:rPr>
                <w:b/>
                <w:color w:val="000000"/>
                <w:lang w:val="sr-Cyrl-CS"/>
              </w:rPr>
            </w:pPr>
            <w:r>
              <w:rPr>
                <w:b/>
                <w:color w:val="000000"/>
                <w:lang w:val="sr-Cyrl-CS"/>
              </w:rPr>
              <w:t>Оштећење повериоца</w:t>
            </w:r>
          </w:p>
        </w:tc>
        <w:tc>
          <w:tcPr>
            <w:tcW w:w="3070" w:type="dxa"/>
          </w:tcPr>
          <w:p w:rsidR="003D26A8" w:rsidRDefault="00C868AB" w:rsidP="00DC3784">
            <w:pPr>
              <w:pStyle w:val="normal0"/>
              <w:spacing w:before="48" w:beforeAutospacing="0" w:after="48" w:afterAutospacing="0"/>
              <w:rPr>
                <w:b/>
                <w:color w:val="000000"/>
                <w:lang w:val="sr-Cyrl-CS"/>
              </w:rPr>
            </w:pPr>
            <w:r>
              <w:rPr>
                <w:b/>
                <w:color w:val="000000"/>
                <w:lang w:val="sr-Cyrl-CS"/>
              </w:rPr>
              <w:t>61</w:t>
            </w:r>
          </w:p>
        </w:tc>
        <w:tc>
          <w:tcPr>
            <w:tcW w:w="3071" w:type="dxa"/>
          </w:tcPr>
          <w:p w:rsidR="003D26A8" w:rsidRDefault="00C868AB" w:rsidP="00DC3784">
            <w:pPr>
              <w:pStyle w:val="normal0"/>
              <w:spacing w:before="48" w:beforeAutospacing="0" w:after="48" w:afterAutospacing="0"/>
              <w:rPr>
                <w:b/>
                <w:color w:val="000000"/>
                <w:lang w:val="sr-Cyrl-CS"/>
              </w:rPr>
            </w:pPr>
            <w:r>
              <w:rPr>
                <w:b/>
                <w:color w:val="000000"/>
                <w:lang w:val="sr-Cyrl-CS"/>
              </w:rPr>
              <w:t>19</w:t>
            </w:r>
          </w:p>
        </w:tc>
      </w:tr>
      <w:tr w:rsidR="003D26A8" w:rsidTr="003D26A8">
        <w:tc>
          <w:tcPr>
            <w:tcW w:w="3070" w:type="dxa"/>
          </w:tcPr>
          <w:p w:rsidR="003D26A8" w:rsidRDefault="00C868AB" w:rsidP="00DC3784">
            <w:pPr>
              <w:pStyle w:val="normal0"/>
              <w:spacing w:before="48" w:beforeAutospacing="0" w:after="48" w:afterAutospacing="0"/>
              <w:rPr>
                <w:b/>
                <w:color w:val="000000"/>
                <w:lang w:val="sr-Cyrl-CS"/>
              </w:rPr>
            </w:pPr>
            <w:r>
              <w:rPr>
                <w:b/>
                <w:color w:val="000000"/>
                <w:lang w:val="sr-Cyrl-CS"/>
              </w:rPr>
              <w:t>Кријумчарење</w:t>
            </w:r>
          </w:p>
        </w:tc>
        <w:tc>
          <w:tcPr>
            <w:tcW w:w="3070" w:type="dxa"/>
          </w:tcPr>
          <w:p w:rsidR="003D26A8" w:rsidRDefault="00C868AB" w:rsidP="00DC3784">
            <w:pPr>
              <w:pStyle w:val="normal0"/>
              <w:spacing w:before="48" w:beforeAutospacing="0" w:after="48" w:afterAutospacing="0"/>
              <w:rPr>
                <w:b/>
                <w:color w:val="000000"/>
                <w:lang w:val="sr-Cyrl-CS"/>
              </w:rPr>
            </w:pPr>
            <w:r>
              <w:rPr>
                <w:b/>
                <w:color w:val="000000"/>
                <w:lang w:val="sr-Cyrl-CS"/>
              </w:rPr>
              <w:t>106</w:t>
            </w:r>
          </w:p>
        </w:tc>
        <w:tc>
          <w:tcPr>
            <w:tcW w:w="3071" w:type="dxa"/>
          </w:tcPr>
          <w:p w:rsidR="003D26A8" w:rsidRDefault="00C868AB" w:rsidP="00DC3784">
            <w:pPr>
              <w:pStyle w:val="normal0"/>
              <w:spacing w:before="48" w:beforeAutospacing="0" w:after="48" w:afterAutospacing="0"/>
              <w:rPr>
                <w:b/>
                <w:color w:val="000000"/>
                <w:lang w:val="sr-Cyrl-CS"/>
              </w:rPr>
            </w:pPr>
            <w:r>
              <w:rPr>
                <w:b/>
                <w:color w:val="000000"/>
                <w:lang w:val="sr-Cyrl-CS"/>
              </w:rPr>
              <w:t>112</w:t>
            </w:r>
          </w:p>
        </w:tc>
      </w:tr>
      <w:tr w:rsidR="003D26A8" w:rsidTr="003D26A8">
        <w:tc>
          <w:tcPr>
            <w:tcW w:w="3070" w:type="dxa"/>
          </w:tcPr>
          <w:p w:rsidR="003D26A8" w:rsidRDefault="00C868AB" w:rsidP="00DC3784">
            <w:pPr>
              <w:pStyle w:val="normal0"/>
              <w:spacing w:before="48" w:beforeAutospacing="0" w:after="48" w:afterAutospacing="0"/>
              <w:rPr>
                <w:b/>
                <w:color w:val="000000"/>
                <w:lang w:val="sr-Cyrl-CS"/>
              </w:rPr>
            </w:pPr>
            <w:r>
              <w:rPr>
                <w:b/>
                <w:color w:val="000000"/>
                <w:lang w:val="sr-Cyrl-CS"/>
              </w:rPr>
              <w:t>Злоупотреба службеног</w:t>
            </w:r>
          </w:p>
          <w:p w:rsidR="00C868AB" w:rsidRDefault="00C868AB" w:rsidP="00DC3784">
            <w:pPr>
              <w:pStyle w:val="normal0"/>
              <w:spacing w:before="48" w:beforeAutospacing="0" w:after="48" w:afterAutospacing="0"/>
              <w:rPr>
                <w:b/>
                <w:color w:val="000000"/>
                <w:lang w:val="sr-Cyrl-CS"/>
              </w:rPr>
            </w:pPr>
            <w:r>
              <w:rPr>
                <w:b/>
                <w:color w:val="000000"/>
                <w:lang w:val="sr-Cyrl-CS"/>
              </w:rPr>
              <w:t>положаја</w:t>
            </w:r>
          </w:p>
        </w:tc>
        <w:tc>
          <w:tcPr>
            <w:tcW w:w="3070" w:type="dxa"/>
          </w:tcPr>
          <w:p w:rsidR="003D26A8" w:rsidRDefault="00C868AB" w:rsidP="00DC3784">
            <w:pPr>
              <w:pStyle w:val="normal0"/>
              <w:spacing w:before="48" w:beforeAutospacing="0" w:after="48" w:afterAutospacing="0"/>
              <w:rPr>
                <w:b/>
                <w:color w:val="000000"/>
                <w:lang w:val="sr-Cyrl-CS"/>
              </w:rPr>
            </w:pPr>
            <w:r>
              <w:rPr>
                <w:b/>
                <w:color w:val="000000"/>
                <w:lang w:val="sr-Cyrl-CS"/>
              </w:rPr>
              <w:t>1388</w:t>
            </w:r>
          </w:p>
        </w:tc>
        <w:tc>
          <w:tcPr>
            <w:tcW w:w="3071" w:type="dxa"/>
          </w:tcPr>
          <w:p w:rsidR="003D26A8" w:rsidRDefault="00C868AB" w:rsidP="00DC3784">
            <w:pPr>
              <w:pStyle w:val="normal0"/>
              <w:spacing w:before="48" w:beforeAutospacing="0" w:after="48" w:afterAutospacing="0"/>
              <w:rPr>
                <w:b/>
                <w:color w:val="000000"/>
                <w:lang w:val="sr-Cyrl-CS"/>
              </w:rPr>
            </w:pPr>
            <w:r>
              <w:rPr>
                <w:b/>
                <w:color w:val="000000"/>
                <w:lang w:val="sr-Cyrl-CS"/>
              </w:rPr>
              <w:t>354</w:t>
            </w:r>
          </w:p>
        </w:tc>
      </w:tr>
      <w:tr w:rsidR="003D26A8" w:rsidTr="003D26A8">
        <w:tc>
          <w:tcPr>
            <w:tcW w:w="3070" w:type="dxa"/>
          </w:tcPr>
          <w:p w:rsidR="003D26A8" w:rsidRDefault="00C868AB" w:rsidP="00DC3784">
            <w:pPr>
              <w:pStyle w:val="normal0"/>
              <w:spacing w:before="48" w:beforeAutospacing="0" w:after="48" w:afterAutospacing="0"/>
              <w:rPr>
                <w:b/>
                <w:color w:val="000000"/>
                <w:lang w:val="sr-Cyrl-CS"/>
              </w:rPr>
            </w:pPr>
            <w:r>
              <w:rPr>
                <w:b/>
                <w:color w:val="000000"/>
                <w:lang w:val="sr-Cyrl-CS"/>
              </w:rPr>
              <w:t>Примање мита</w:t>
            </w:r>
          </w:p>
        </w:tc>
        <w:tc>
          <w:tcPr>
            <w:tcW w:w="3070" w:type="dxa"/>
          </w:tcPr>
          <w:p w:rsidR="003D26A8" w:rsidRDefault="00C868AB" w:rsidP="00DC3784">
            <w:pPr>
              <w:pStyle w:val="normal0"/>
              <w:spacing w:before="48" w:beforeAutospacing="0" w:after="48" w:afterAutospacing="0"/>
              <w:rPr>
                <w:b/>
                <w:color w:val="000000"/>
                <w:lang w:val="sr-Cyrl-CS"/>
              </w:rPr>
            </w:pPr>
            <w:r>
              <w:rPr>
                <w:b/>
                <w:color w:val="000000"/>
                <w:lang w:val="sr-Cyrl-CS"/>
              </w:rPr>
              <w:t>61</w:t>
            </w:r>
          </w:p>
        </w:tc>
        <w:tc>
          <w:tcPr>
            <w:tcW w:w="3071" w:type="dxa"/>
          </w:tcPr>
          <w:p w:rsidR="003D26A8" w:rsidRDefault="00C868AB" w:rsidP="00DC3784">
            <w:pPr>
              <w:pStyle w:val="normal0"/>
              <w:spacing w:before="48" w:beforeAutospacing="0" w:after="48" w:afterAutospacing="0"/>
              <w:rPr>
                <w:b/>
                <w:color w:val="000000"/>
                <w:lang w:val="sr-Cyrl-CS"/>
              </w:rPr>
            </w:pPr>
            <w:r>
              <w:rPr>
                <w:b/>
                <w:color w:val="000000"/>
                <w:lang w:val="sr-Cyrl-CS"/>
              </w:rPr>
              <w:t>43</w:t>
            </w:r>
          </w:p>
        </w:tc>
      </w:tr>
      <w:tr w:rsidR="003D26A8" w:rsidTr="003D26A8">
        <w:tc>
          <w:tcPr>
            <w:tcW w:w="3070" w:type="dxa"/>
          </w:tcPr>
          <w:p w:rsidR="003D26A8" w:rsidRDefault="00C868AB" w:rsidP="00DC3784">
            <w:pPr>
              <w:pStyle w:val="normal0"/>
              <w:spacing w:before="48" w:beforeAutospacing="0" w:after="48" w:afterAutospacing="0"/>
              <w:rPr>
                <w:b/>
                <w:color w:val="000000"/>
                <w:lang w:val="sr-Cyrl-CS"/>
              </w:rPr>
            </w:pPr>
            <w:r>
              <w:rPr>
                <w:b/>
                <w:color w:val="000000"/>
                <w:lang w:val="sr-Cyrl-CS"/>
              </w:rPr>
              <w:t>Давање мита</w:t>
            </w:r>
          </w:p>
        </w:tc>
        <w:tc>
          <w:tcPr>
            <w:tcW w:w="3070" w:type="dxa"/>
          </w:tcPr>
          <w:p w:rsidR="003D26A8" w:rsidRDefault="00C868AB" w:rsidP="00DC3784">
            <w:pPr>
              <w:pStyle w:val="normal0"/>
              <w:spacing w:before="48" w:beforeAutospacing="0" w:after="48" w:afterAutospacing="0"/>
              <w:rPr>
                <w:b/>
                <w:color w:val="000000"/>
                <w:lang w:val="sr-Cyrl-CS"/>
              </w:rPr>
            </w:pPr>
            <w:r>
              <w:rPr>
                <w:b/>
                <w:color w:val="000000"/>
                <w:lang w:val="sr-Cyrl-CS"/>
              </w:rPr>
              <w:t>61</w:t>
            </w:r>
          </w:p>
        </w:tc>
        <w:tc>
          <w:tcPr>
            <w:tcW w:w="3071" w:type="dxa"/>
          </w:tcPr>
          <w:p w:rsidR="003D26A8" w:rsidRDefault="00C868AB" w:rsidP="00DC3784">
            <w:pPr>
              <w:pStyle w:val="normal0"/>
              <w:spacing w:before="48" w:beforeAutospacing="0" w:after="48" w:afterAutospacing="0"/>
              <w:rPr>
                <w:b/>
                <w:color w:val="000000"/>
                <w:lang w:val="sr-Cyrl-CS"/>
              </w:rPr>
            </w:pPr>
            <w:r>
              <w:rPr>
                <w:b/>
                <w:color w:val="000000"/>
                <w:lang w:val="sr-Cyrl-CS"/>
              </w:rPr>
              <w:t>54</w:t>
            </w:r>
          </w:p>
        </w:tc>
      </w:tr>
      <w:tr w:rsidR="003D26A8" w:rsidTr="003D26A8">
        <w:tc>
          <w:tcPr>
            <w:tcW w:w="3070" w:type="dxa"/>
          </w:tcPr>
          <w:p w:rsidR="003D26A8" w:rsidRDefault="00C868AB" w:rsidP="00DC3784">
            <w:pPr>
              <w:pStyle w:val="normal0"/>
              <w:spacing w:before="48" w:beforeAutospacing="0" w:after="48" w:afterAutospacing="0"/>
              <w:rPr>
                <w:b/>
                <w:color w:val="000000"/>
                <w:lang w:val="sr-Cyrl-CS"/>
              </w:rPr>
            </w:pPr>
            <w:r>
              <w:rPr>
                <w:b/>
                <w:color w:val="000000"/>
                <w:lang w:val="sr-Cyrl-CS"/>
              </w:rPr>
              <w:t>Трговина утицајем</w:t>
            </w:r>
          </w:p>
        </w:tc>
        <w:tc>
          <w:tcPr>
            <w:tcW w:w="3070" w:type="dxa"/>
          </w:tcPr>
          <w:p w:rsidR="003D26A8" w:rsidRDefault="00C868AB" w:rsidP="00DC3784">
            <w:pPr>
              <w:pStyle w:val="normal0"/>
              <w:spacing w:before="48" w:beforeAutospacing="0" w:after="48" w:afterAutospacing="0"/>
              <w:rPr>
                <w:b/>
                <w:color w:val="000000"/>
                <w:lang w:val="sr-Cyrl-CS"/>
              </w:rPr>
            </w:pPr>
            <w:r>
              <w:rPr>
                <w:b/>
                <w:color w:val="000000"/>
                <w:lang w:val="sr-Cyrl-CS"/>
              </w:rPr>
              <w:t>11</w:t>
            </w:r>
          </w:p>
        </w:tc>
        <w:tc>
          <w:tcPr>
            <w:tcW w:w="3071" w:type="dxa"/>
          </w:tcPr>
          <w:p w:rsidR="003D26A8" w:rsidRDefault="00C868AB" w:rsidP="00DC3784">
            <w:pPr>
              <w:pStyle w:val="normal0"/>
              <w:spacing w:before="48" w:beforeAutospacing="0" w:after="48" w:afterAutospacing="0"/>
              <w:rPr>
                <w:b/>
                <w:color w:val="000000"/>
                <w:lang w:val="sr-Cyrl-CS"/>
              </w:rPr>
            </w:pPr>
            <w:r>
              <w:rPr>
                <w:b/>
                <w:color w:val="000000"/>
                <w:lang w:val="sr-Cyrl-CS"/>
              </w:rPr>
              <w:t>8</w:t>
            </w:r>
          </w:p>
        </w:tc>
      </w:tr>
      <w:tr w:rsidR="003D26A8" w:rsidTr="003D26A8">
        <w:tc>
          <w:tcPr>
            <w:tcW w:w="3070" w:type="dxa"/>
          </w:tcPr>
          <w:p w:rsidR="003D26A8" w:rsidRDefault="00C868AB" w:rsidP="00DC3784">
            <w:pPr>
              <w:pStyle w:val="normal0"/>
              <w:spacing w:before="48" w:beforeAutospacing="0" w:after="48" w:afterAutospacing="0"/>
              <w:rPr>
                <w:b/>
                <w:color w:val="000000"/>
                <w:lang w:val="sr-Cyrl-CS"/>
              </w:rPr>
            </w:pPr>
            <w:r>
              <w:rPr>
                <w:b/>
                <w:color w:val="000000"/>
                <w:lang w:val="sr-Cyrl-CS"/>
              </w:rPr>
              <w:t>Несавестан рад у служби</w:t>
            </w:r>
          </w:p>
        </w:tc>
        <w:tc>
          <w:tcPr>
            <w:tcW w:w="3070" w:type="dxa"/>
          </w:tcPr>
          <w:p w:rsidR="003D26A8" w:rsidRDefault="00C868AB" w:rsidP="00DC3784">
            <w:pPr>
              <w:pStyle w:val="normal0"/>
              <w:spacing w:before="48" w:beforeAutospacing="0" w:after="48" w:afterAutospacing="0"/>
              <w:rPr>
                <w:b/>
                <w:color w:val="000000"/>
                <w:lang w:val="sr-Cyrl-CS"/>
              </w:rPr>
            </w:pPr>
            <w:r>
              <w:rPr>
                <w:b/>
                <w:color w:val="000000"/>
                <w:lang w:val="sr-Cyrl-CS"/>
              </w:rPr>
              <w:t>119</w:t>
            </w:r>
          </w:p>
        </w:tc>
        <w:tc>
          <w:tcPr>
            <w:tcW w:w="3071" w:type="dxa"/>
          </w:tcPr>
          <w:p w:rsidR="003D26A8" w:rsidRDefault="00C868AB" w:rsidP="00DC3784">
            <w:pPr>
              <w:pStyle w:val="normal0"/>
              <w:spacing w:before="48" w:beforeAutospacing="0" w:after="48" w:afterAutospacing="0"/>
              <w:rPr>
                <w:b/>
                <w:color w:val="000000"/>
                <w:lang w:val="sr-Cyrl-CS"/>
              </w:rPr>
            </w:pPr>
            <w:r>
              <w:rPr>
                <w:b/>
                <w:color w:val="000000"/>
                <w:lang w:val="sr-Cyrl-CS"/>
              </w:rPr>
              <w:t>8</w:t>
            </w:r>
          </w:p>
        </w:tc>
      </w:tr>
      <w:tr w:rsidR="003D26A8" w:rsidTr="003D26A8">
        <w:tc>
          <w:tcPr>
            <w:tcW w:w="3070" w:type="dxa"/>
          </w:tcPr>
          <w:p w:rsidR="003D26A8" w:rsidRDefault="00C868AB" w:rsidP="00DC3784">
            <w:pPr>
              <w:pStyle w:val="normal0"/>
              <w:spacing w:before="48" w:beforeAutospacing="0" w:after="48" w:afterAutospacing="0"/>
              <w:rPr>
                <w:b/>
                <w:color w:val="000000"/>
                <w:lang w:val="sr-Cyrl-CS"/>
              </w:rPr>
            </w:pPr>
            <w:r>
              <w:rPr>
                <w:b/>
                <w:color w:val="000000"/>
                <w:lang w:val="sr-Cyrl-CS"/>
              </w:rPr>
              <w:t xml:space="preserve">Одавање службене </w:t>
            </w:r>
          </w:p>
          <w:p w:rsidR="00C868AB" w:rsidRDefault="00C868AB" w:rsidP="00DC3784">
            <w:pPr>
              <w:pStyle w:val="normal0"/>
              <w:spacing w:before="48" w:beforeAutospacing="0" w:after="48" w:afterAutospacing="0"/>
              <w:rPr>
                <w:b/>
                <w:color w:val="000000"/>
                <w:lang w:val="sr-Cyrl-CS"/>
              </w:rPr>
            </w:pPr>
            <w:r>
              <w:rPr>
                <w:b/>
                <w:color w:val="000000"/>
                <w:lang w:val="sr-Cyrl-CS"/>
              </w:rPr>
              <w:t>тајне</w:t>
            </w:r>
          </w:p>
        </w:tc>
        <w:tc>
          <w:tcPr>
            <w:tcW w:w="3070" w:type="dxa"/>
          </w:tcPr>
          <w:p w:rsidR="003D26A8" w:rsidRDefault="00C868AB" w:rsidP="00DC3784">
            <w:pPr>
              <w:pStyle w:val="normal0"/>
              <w:spacing w:before="48" w:beforeAutospacing="0" w:after="48" w:afterAutospacing="0"/>
              <w:rPr>
                <w:b/>
                <w:color w:val="000000"/>
                <w:lang w:val="sr-Cyrl-CS"/>
              </w:rPr>
            </w:pPr>
            <w:r>
              <w:rPr>
                <w:b/>
                <w:color w:val="000000"/>
                <w:lang w:val="sr-Cyrl-CS"/>
              </w:rPr>
              <w:t>5</w:t>
            </w:r>
          </w:p>
        </w:tc>
        <w:tc>
          <w:tcPr>
            <w:tcW w:w="3071" w:type="dxa"/>
          </w:tcPr>
          <w:p w:rsidR="003D26A8" w:rsidRDefault="00C868AB" w:rsidP="00DC3784">
            <w:pPr>
              <w:pStyle w:val="normal0"/>
              <w:spacing w:before="48" w:beforeAutospacing="0" w:after="48" w:afterAutospacing="0"/>
              <w:rPr>
                <w:b/>
                <w:color w:val="000000"/>
                <w:lang w:val="sr-Cyrl-CS"/>
              </w:rPr>
            </w:pPr>
            <w:r>
              <w:rPr>
                <w:b/>
                <w:color w:val="000000"/>
                <w:lang w:val="sr-Cyrl-CS"/>
              </w:rPr>
              <w:t>1</w:t>
            </w:r>
          </w:p>
        </w:tc>
      </w:tr>
      <w:tr w:rsidR="003D26A8" w:rsidTr="003D26A8">
        <w:tc>
          <w:tcPr>
            <w:tcW w:w="3070" w:type="dxa"/>
          </w:tcPr>
          <w:p w:rsidR="003D26A8" w:rsidRDefault="00C868AB" w:rsidP="00DC3784">
            <w:pPr>
              <w:pStyle w:val="normal0"/>
              <w:spacing w:before="48" w:beforeAutospacing="0" w:after="48" w:afterAutospacing="0"/>
              <w:rPr>
                <w:b/>
                <w:color w:val="000000"/>
                <w:lang w:val="sr-Cyrl-CS"/>
              </w:rPr>
            </w:pPr>
            <w:r>
              <w:rPr>
                <w:b/>
                <w:color w:val="000000"/>
                <w:lang w:val="sr-Cyrl-CS"/>
              </w:rPr>
              <w:t>Превара у служби</w:t>
            </w:r>
          </w:p>
        </w:tc>
        <w:tc>
          <w:tcPr>
            <w:tcW w:w="3070" w:type="dxa"/>
          </w:tcPr>
          <w:p w:rsidR="003D26A8" w:rsidRDefault="00C868AB" w:rsidP="00DC3784">
            <w:pPr>
              <w:pStyle w:val="normal0"/>
              <w:spacing w:before="48" w:beforeAutospacing="0" w:after="48" w:afterAutospacing="0"/>
              <w:rPr>
                <w:b/>
                <w:color w:val="000000"/>
                <w:lang w:val="sr-Cyrl-CS"/>
              </w:rPr>
            </w:pPr>
            <w:r>
              <w:rPr>
                <w:b/>
                <w:color w:val="000000"/>
                <w:lang w:val="sr-Cyrl-CS"/>
              </w:rPr>
              <w:t>5</w:t>
            </w:r>
          </w:p>
        </w:tc>
        <w:tc>
          <w:tcPr>
            <w:tcW w:w="3071" w:type="dxa"/>
          </w:tcPr>
          <w:p w:rsidR="003D26A8" w:rsidRDefault="00C868AB" w:rsidP="00DC3784">
            <w:pPr>
              <w:pStyle w:val="normal0"/>
              <w:spacing w:before="48" w:beforeAutospacing="0" w:after="48" w:afterAutospacing="0"/>
              <w:rPr>
                <w:b/>
                <w:color w:val="000000"/>
                <w:lang w:val="sr-Cyrl-CS"/>
              </w:rPr>
            </w:pPr>
            <w:r>
              <w:rPr>
                <w:b/>
                <w:color w:val="000000"/>
                <w:lang w:val="sr-Cyrl-CS"/>
              </w:rPr>
              <w:t>1</w:t>
            </w:r>
          </w:p>
        </w:tc>
      </w:tr>
      <w:tr w:rsidR="003D26A8" w:rsidTr="003D26A8">
        <w:tc>
          <w:tcPr>
            <w:tcW w:w="3070" w:type="dxa"/>
          </w:tcPr>
          <w:p w:rsidR="003D26A8" w:rsidRDefault="00C868AB" w:rsidP="00DC3784">
            <w:pPr>
              <w:pStyle w:val="normal0"/>
              <w:spacing w:before="48" w:beforeAutospacing="0" w:after="48" w:afterAutospacing="0"/>
              <w:rPr>
                <w:b/>
                <w:color w:val="000000"/>
                <w:lang w:val="sr-Cyrl-CS"/>
              </w:rPr>
            </w:pPr>
            <w:r>
              <w:rPr>
                <w:b/>
                <w:color w:val="000000"/>
                <w:lang w:val="sr-Cyrl-CS"/>
              </w:rPr>
              <w:t xml:space="preserve">Проневера </w:t>
            </w:r>
          </w:p>
        </w:tc>
        <w:tc>
          <w:tcPr>
            <w:tcW w:w="3070" w:type="dxa"/>
          </w:tcPr>
          <w:p w:rsidR="003D26A8" w:rsidRDefault="00C868AB" w:rsidP="00DC3784">
            <w:pPr>
              <w:pStyle w:val="normal0"/>
              <w:spacing w:before="48" w:beforeAutospacing="0" w:after="48" w:afterAutospacing="0"/>
              <w:rPr>
                <w:b/>
                <w:color w:val="000000"/>
                <w:lang w:val="sr-Cyrl-CS"/>
              </w:rPr>
            </w:pPr>
            <w:r>
              <w:rPr>
                <w:b/>
                <w:color w:val="000000"/>
                <w:lang w:val="sr-Cyrl-CS"/>
              </w:rPr>
              <w:t>415</w:t>
            </w:r>
          </w:p>
        </w:tc>
        <w:tc>
          <w:tcPr>
            <w:tcW w:w="3071" w:type="dxa"/>
          </w:tcPr>
          <w:p w:rsidR="003D26A8" w:rsidRDefault="00C868AB" w:rsidP="00DC3784">
            <w:pPr>
              <w:pStyle w:val="normal0"/>
              <w:spacing w:before="48" w:beforeAutospacing="0" w:after="48" w:afterAutospacing="0"/>
              <w:rPr>
                <w:b/>
                <w:color w:val="000000"/>
                <w:lang w:val="sr-Cyrl-CS"/>
              </w:rPr>
            </w:pPr>
            <w:r>
              <w:rPr>
                <w:b/>
                <w:color w:val="000000"/>
                <w:lang w:val="sr-Cyrl-CS"/>
              </w:rPr>
              <w:t>223</w:t>
            </w:r>
          </w:p>
        </w:tc>
      </w:tr>
    </w:tbl>
    <w:p w:rsidR="001671E0" w:rsidRPr="001671E0" w:rsidRDefault="006B555E" w:rsidP="004A7DA4">
      <w:pPr>
        <w:pStyle w:val="normal0"/>
        <w:shd w:val="clear" w:color="auto" w:fill="FFFFFF"/>
        <w:spacing w:before="48" w:beforeAutospacing="0" w:after="48" w:afterAutospacing="0"/>
        <w:rPr>
          <w:lang w:val="sr-Cyrl-CS"/>
        </w:rPr>
      </w:pPr>
      <w:r>
        <w:rPr>
          <w:b/>
          <w:color w:val="000000"/>
          <w:lang w:val="sr-Cyrl-CS"/>
        </w:rPr>
        <w:t xml:space="preserve">Извор: </w:t>
      </w:r>
      <w:hyperlink r:id="rId50" w:history="1">
        <w:r w:rsidRPr="00E9770A">
          <w:rPr>
            <w:rStyle w:val="Hyperlink"/>
            <w:lang w:val="sr-Cyrl-CS"/>
          </w:rPr>
          <w:t>http://webrzs.stat.gov.rs</w:t>
        </w:r>
      </w:hyperlink>
    </w:p>
    <w:p w:rsidR="004A7DA4" w:rsidRPr="004A7DA4" w:rsidRDefault="004A7DA4" w:rsidP="004A7DA4">
      <w:pPr>
        <w:pStyle w:val="normal0"/>
        <w:shd w:val="clear" w:color="auto" w:fill="FFFFFF"/>
        <w:spacing w:before="48" w:beforeAutospacing="0" w:after="48" w:afterAutospacing="0"/>
        <w:rPr>
          <w:b/>
          <w:color w:val="000000"/>
          <w:lang w:val="sr-Cyrl-CS"/>
        </w:rPr>
      </w:pPr>
    </w:p>
    <w:p w:rsidR="009B5120" w:rsidRDefault="00A449F2" w:rsidP="00A10F0D">
      <w:pPr>
        <w:jc w:val="both"/>
        <w:rPr>
          <w:rFonts w:ascii="Times New Roman" w:hAnsi="Times New Roman"/>
          <w:b/>
          <w:sz w:val="24"/>
          <w:szCs w:val="24"/>
          <w:lang w:val="sr-Cyrl-CS"/>
        </w:rPr>
      </w:pPr>
      <w:r>
        <w:rPr>
          <w:rFonts w:ascii="Times New Roman" w:hAnsi="Times New Roman"/>
          <w:b/>
          <w:sz w:val="24"/>
          <w:szCs w:val="24"/>
          <w:lang w:val="sr-Cyrl-CS"/>
        </w:rPr>
        <w:lastRenderedPageBreak/>
        <w:t xml:space="preserve">Табела </w:t>
      </w:r>
      <w:r>
        <w:rPr>
          <w:rFonts w:ascii="Times New Roman" w:hAnsi="Times New Roman"/>
          <w:b/>
          <w:sz w:val="24"/>
          <w:szCs w:val="24"/>
        </w:rPr>
        <w:t>31</w:t>
      </w:r>
      <w:r w:rsidR="00565A37" w:rsidRPr="00565A37">
        <w:rPr>
          <w:rFonts w:ascii="Times New Roman" w:hAnsi="Times New Roman"/>
          <w:b/>
          <w:sz w:val="24"/>
          <w:szCs w:val="24"/>
          <w:lang w:val="sr-Cyrl-CS"/>
        </w:rPr>
        <w:t>.</w:t>
      </w:r>
      <w:r w:rsidR="00F8521F">
        <w:rPr>
          <w:rFonts w:ascii="Times New Roman" w:hAnsi="Times New Roman"/>
          <w:b/>
          <w:sz w:val="24"/>
          <w:szCs w:val="24"/>
          <w:lang w:val="sr-Cyrl-CS"/>
        </w:rPr>
        <w:t xml:space="preserve"> Осуђена пунолетна лица према кривичном делу и изреченим кривичним санкцијама за 2013. годину.</w:t>
      </w:r>
    </w:p>
    <w:tbl>
      <w:tblPr>
        <w:tblStyle w:val="TableGrid"/>
        <w:tblW w:w="0" w:type="auto"/>
        <w:tblLayout w:type="fixed"/>
        <w:tblLook w:val="04A0"/>
      </w:tblPr>
      <w:tblGrid>
        <w:gridCol w:w="1951"/>
        <w:gridCol w:w="1418"/>
        <w:gridCol w:w="1417"/>
        <w:gridCol w:w="1843"/>
        <w:gridCol w:w="2410"/>
      </w:tblGrid>
      <w:tr w:rsidR="00DA5C45" w:rsidTr="00DA5C45">
        <w:tc>
          <w:tcPr>
            <w:tcW w:w="1951" w:type="dxa"/>
          </w:tcPr>
          <w:p w:rsidR="00DA5C45" w:rsidRDefault="00DA5C45" w:rsidP="00537591">
            <w:pPr>
              <w:jc w:val="both"/>
              <w:rPr>
                <w:rFonts w:ascii="Times New Roman" w:hAnsi="Times New Roman"/>
                <w:b/>
                <w:lang w:val="sr-Cyrl-CS"/>
              </w:rPr>
            </w:pPr>
            <w:r>
              <w:rPr>
                <w:rFonts w:ascii="Times New Roman" w:hAnsi="Times New Roman"/>
                <w:b/>
                <w:lang w:val="sr-Cyrl-CS"/>
              </w:rPr>
              <w:t xml:space="preserve">Кривична </w:t>
            </w:r>
          </w:p>
          <w:p w:rsidR="00DA5C45" w:rsidRPr="00565A37" w:rsidRDefault="00DA5C45" w:rsidP="00537591">
            <w:pPr>
              <w:jc w:val="both"/>
              <w:rPr>
                <w:rFonts w:ascii="Times New Roman" w:hAnsi="Times New Roman"/>
                <w:b/>
                <w:lang w:val="sr-Cyrl-CS"/>
              </w:rPr>
            </w:pPr>
            <w:r>
              <w:rPr>
                <w:rFonts w:ascii="Times New Roman" w:hAnsi="Times New Roman"/>
                <w:b/>
                <w:lang w:val="sr-Cyrl-CS"/>
              </w:rPr>
              <w:t>дела</w:t>
            </w:r>
          </w:p>
        </w:tc>
        <w:tc>
          <w:tcPr>
            <w:tcW w:w="1418"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укупно</w:t>
            </w:r>
          </w:p>
        </w:tc>
        <w:tc>
          <w:tcPr>
            <w:tcW w:w="1417"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затвор</w:t>
            </w:r>
          </w:p>
        </w:tc>
        <w:tc>
          <w:tcPr>
            <w:tcW w:w="1843"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Новчана казна</w:t>
            </w:r>
          </w:p>
        </w:tc>
        <w:tc>
          <w:tcPr>
            <w:tcW w:w="2410"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Условна</w:t>
            </w:r>
          </w:p>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осуда</w:t>
            </w:r>
          </w:p>
        </w:tc>
      </w:tr>
      <w:tr w:rsidR="00DA5C45" w:rsidTr="00DA5C45">
        <w:tc>
          <w:tcPr>
            <w:tcW w:w="1951"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Пореска</w:t>
            </w:r>
          </w:p>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утаја</w:t>
            </w:r>
          </w:p>
        </w:tc>
        <w:tc>
          <w:tcPr>
            <w:tcW w:w="1418"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290</w:t>
            </w:r>
          </w:p>
          <w:p w:rsidR="00B00A33" w:rsidRDefault="00B00A33" w:rsidP="00537591">
            <w:pPr>
              <w:jc w:val="both"/>
              <w:rPr>
                <w:rFonts w:ascii="Times New Roman" w:hAnsi="Times New Roman"/>
                <w:b/>
                <w:sz w:val="24"/>
                <w:szCs w:val="24"/>
                <w:lang w:val="sr-Cyrl-CS"/>
              </w:rPr>
            </w:pPr>
          </w:p>
        </w:tc>
        <w:tc>
          <w:tcPr>
            <w:tcW w:w="1417"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53</w:t>
            </w:r>
          </w:p>
        </w:tc>
        <w:tc>
          <w:tcPr>
            <w:tcW w:w="1843"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11</w:t>
            </w:r>
          </w:p>
        </w:tc>
        <w:tc>
          <w:tcPr>
            <w:tcW w:w="2410"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225</w:t>
            </w:r>
          </w:p>
        </w:tc>
      </w:tr>
      <w:tr w:rsidR="00DA5C45" w:rsidTr="00DA5C45">
        <w:tc>
          <w:tcPr>
            <w:tcW w:w="1951"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Неуплаћивање пореза по одбитку</w:t>
            </w:r>
          </w:p>
        </w:tc>
        <w:tc>
          <w:tcPr>
            <w:tcW w:w="1418"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22</w:t>
            </w:r>
          </w:p>
        </w:tc>
        <w:tc>
          <w:tcPr>
            <w:tcW w:w="1417"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2</w:t>
            </w:r>
          </w:p>
        </w:tc>
        <w:tc>
          <w:tcPr>
            <w:tcW w:w="1843" w:type="dxa"/>
          </w:tcPr>
          <w:p w:rsidR="00DA5C45" w:rsidRDefault="00DA5C45" w:rsidP="00537591">
            <w:pPr>
              <w:jc w:val="both"/>
              <w:rPr>
                <w:rFonts w:ascii="Times New Roman" w:hAnsi="Times New Roman"/>
                <w:b/>
                <w:sz w:val="24"/>
                <w:szCs w:val="24"/>
                <w:lang w:val="sr-Cyrl-CS"/>
              </w:rPr>
            </w:pPr>
          </w:p>
        </w:tc>
        <w:tc>
          <w:tcPr>
            <w:tcW w:w="2410"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20</w:t>
            </w:r>
          </w:p>
        </w:tc>
      </w:tr>
      <w:tr w:rsidR="00DA5C45" w:rsidTr="00DA5C45">
        <w:tc>
          <w:tcPr>
            <w:tcW w:w="1951"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Прање новца</w:t>
            </w:r>
          </w:p>
        </w:tc>
        <w:tc>
          <w:tcPr>
            <w:tcW w:w="1418"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3</w:t>
            </w:r>
          </w:p>
        </w:tc>
        <w:tc>
          <w:tcPr>
            <w:tcW w:w="1417"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2</w:t>
            </w:r>
          </w:p>
        </w:tc>
        <w:tc>
          <w:tcPr>
            <w:tcW w:w="1843" w:type="dxa"/>
          </w:tcPr>
          <w:p w:rsidR="00DA5C45" w:rsidRDefault="00DA5C45" w:rsidP="00537591">
            <w:pPr>
              <w:jc w:val="both"/>
              <w:rPr>
                <w:rFonts w:ascii="Times New Roman" w:hAnsi="Times New Roman"/>
                <w:b/>
                <w:sz w:val="24"/>
                <w:szCs w:val="24"/>
                <w:lang w:val="sr-Cyrl-CS"/>
              </w:rPr>
            </w:pPr>
          </w:p>
        </w:tc>
        <w:tc>
          <w:tcPr>
            <w:tcW w:w="2410"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1</w:t>
            </w:r>
          </w:p>
        </w:tc>
      </w:tr>
      <w:tr w:rsidR="00DA5C45" w:rsidTr="00DA5C45">
        <w:tc>
          <w:tcPr>
            <w:tcW w:w="1951"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Злоупотреба положаја одговорног лица</w:t>
            </w:r>
          </w:p>
        </w:tc>
        <w:tc>
          <w:tcPr>
            <w:tcW w:w="1418"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94</w:t>
            </w:r>
          </w:p>
        </w:tc>
        <w:tc>
          <w:tcPr>
            <w:tcW w:w="1417"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48</w:t>
            </w:r>
          </w:p>
        </w:tc>
        <w:tc>
          <w:tcPr>
            <w:tcW w:w="1843"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1</w:t>
            </w:r>
          </w:p>
        </w:tc>
        <w:tc>
          <w:tcPr>
            <w:tcW w:w="2410"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45</w:t>
            </w:r>
          </w:p>
        </w:tc>
      </w:tr>
      <w:tr w:rsidR="00DA5C45" w:rsidTr="00DA5C45">
        <w:tc>
          <w:tcPr>
            <w:tcW w:w="1951"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Оштећење поверилаца</w:t>
            </w:r>
          </w:p>
        </w:tc>
        <w:tc>
          <w:tcPr>
            <w:tcW w:w="1418"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19</w:t>
            </w:r>
          </w:p>
        </w:tc>
        <w:tc>
          <w:tcPr>
            <w:tcW w:w="1417"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8</w:t>
            </w:r>
          </w:p>
        </w:tc>
        <w:tc>
          <w:tcPr>
            <w:tcW w:w="1843" w:type="dxa"/>
          </w:tcPr>
          <w:p w:rsidR="00DA5C45" w:rsidRDefault="00DA5C45" w:rsidP="00537591">
            <w:pPr>
              <w:jc w:val="both"/>
              <w:rPr>
                <w:rFonts w:ascii="Times New Roman" w:hAnsi="Times New Roman"/>
                <w:b/>
                <w:sz w:val="24"/>
                <w:szCs w:val="24"/>
                <w:lang w:val="sr-Cyrl-CS"/>
              </w:rPr>
            </w:pPr>
          </w:p>
        </w:tc>
        <w:tc>
          <w:tcPr>
            <w:tcW w:w="2410"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11</w:t>
            </w:r>
          </w:p>
        </w:tc>
      </w:tr>
      <w:tr w:rsidR="00DA5C45" w:rsidTr="00DA5C45">
        <w:tc>
          <w:tcPr>
            <w:tcW w:w="1951"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Кријумчарење</w:t>
            </w:r>
          </w:p>
        </w:tc>
        <w:tc>
          <w:tcPr>
            <w:tcW w:w="1418"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112</w:t>
            </w:r>
          </w:p>
        </w:tc>
        <w:tc>
          <w:tcPr>
            <w:tcW w:w="1417"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78</w:t>
            </w:r>
          </w:p>
        </w:tc>
        <w:tc>
          <w:tcPr>
            <w:tcW w:w="1843"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1</w:t>
            </w:r>
          </w:p>
        </w:tc>
        <w:tc>
          <w:tcPr>
            <w:tcW w:w="2410"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73</w:t>
            </w:r>
          </w:p>
        </w:tc>
      </w:tr>
      <w:tr w:rsidR="00DA5C45" w:rsidTr="00DA5C45">
        <w:tc>
          <w:tcPr>
            <w:tcW w:w="1951"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Одавање пословне тајне</w:t>
            </w:r>
          </w:p>
        </w:tc>
        <w:tc>
          <w:tcPr>
            <w:tcW w:w="1418"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1</w:t>
            </w:r>
          </w:p>
        </w:tc>
        <w:tc>
          <w:tcPr>
            <w:tcW w:w="1417"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1</w:t>
            </w:r>
          </w:p>
        </w:tc>
        <w:tc>
          <w:tcPr>
            <w:tcW w:w="1843" w:type="dxa"/>
          </w:tcPr>
          <w:p w:rsidR="00DA5C45" w:rsidRDefault="00DA5C45" w:rsidP="00537591">
            <w:pPr>
              <w:jc w:val="both"/>
              <w:rPr>
                <w:rFonts w:ascii="Times New Roman" w:hAnsi="Times New Roman"/>
                <w:b/>
                <w:sz w:val="24"/>
                <w:szCs w:val="24"/>
                <w:lang w:val="sr-Cyrl-CS"/>
              </w:rPr>
            </w:pPr>
          </w:p>
        </w:tc>
        <w:tc>
          <w:tcPr>
            <w:tcW w:w="2410" w:type="dxa"/>
          </w:tcPr>
          <w:p w:rsidR="00DA5C45" w:rsidRDefault="00DA5C45" w:rsidP="00537591">
            <w:pPr>
              <w:jc w:val="both"/>
              <w:rPr>
                <w:rFonts w:ascii="Times New Roman" w:hAnsi="Times New Roman"/>
                <w:b/>
                <w:sz w:val="24"/>
                <w:szCs w:val="24"/>
                <w:lang w:val="sr-Cyrl-CS"/>
              </w:rPr>
            </w:pPr>
          </w:p>
        </w:tc>
      </w:tr>
      <w:tr w:rsidR="00DA5C45" w:rsidTr="00DA5C45">
        <w:tc>
          <w:tcPr>
            <w:tcW w:w="1951"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Злоупотреба службеног положаја</w:t>
            </w:r>
          </w:p>
        </w:tc>
        <w:tc>
          <w:tcPr>
            <w:tcW w:w="1418"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354</w:t>
            </w:r>
          </w:p>
        </w:tc>
        <w:tc>
          <w:tcPr>
            <w:tcW w:w="1417"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138</w:t>
            </w:r>
          </w:p>
        </w:tc>
        <w:tc>
          <w:tcPr>
            <w:tcW w:w="1843" w:type="dxa"/>
          </w:tcPr>
          <w:p w:rsidR="00DA5C45" w:rsidRDefault="00DA5C45" w:rsidP="00537591">
            <w:pPr>
              <w:jc w:val="both"/>
              <w:rPr>
                <w:rFonts w:ascii="Times New Roman" w:hAnsi="Times New Roman"/>
                <w:b/>
                <w:sz w:val="24"/>
                <w:szCs w:val="24"/>
                <w:lang w:val="sr-Cyrl-CS"/>
              </w:rPr>
            </w:pPr>
          </w:p>
        </w:tc>
        <w:tc>
          <w:tcPr>
            <w:tcW w:w="2410"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215</w:t>
            </w:r>
          </w:p>
        </w:tc>
      </w:tr>
      <w:tr w:rsidR="00DA5C45" w:rsidTr="00DA5C45">
        <w:tc>
          <w:tcPr>
            <w:tcW w:w="1951"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Примање мита</w:t>
            </w:r>
          </w:p>
        </w:tc>
        <w:tc>
          <w:tcPr>
            <w:tcW w:w="1418"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43</w:t>
            </w:r>
          </w:p>
        </w:tc>
        <w:tc>
          <w:tcPr>
            <w:tcW w:w="1417"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35</w:t>
            </w:r>
          </w:p>
        </w:tc>
        <w:tc>
          <w:tcPr>
            <w:tcW w:w="1843" w:type="dxa"/>
          </w:tcPr>
          <w:p w:rsidR="00DA5C45" w:rsidRDefault="00DA5C45" w:rsidP="00537591">
            <w:pPr>
              <w:jc w:val="both"/>
              <w:rPr>
                <w:rFonts w:ascii="Times New Roman" w:hAnsi="Times New Roman"/>
                <w:b/>
                <w:sz w:val="24"/>
                <w:szCs w:val="24"/>
                <w:lang w:val="sr-Cyrl-CS"/>
              </w:rPr>
            </w:pPr>
          </w:p>
        </w:tc>
        <w:tc>
          <w:tcPr>
            <w:tcW w:w="2410"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8</w:t>
            </w:r>
          </w:p>
        </w:tc>
      </w:tr>
      <w:tr w:rsidR="00DA5C45" w:rsidTr="00DA5C45">
        <w:tc>
          <w:tcPr>
            <w:tcW w:w="1951"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Давање мита</w:t>
            </w:r>
          </w:p>
        </w:tc>
        <w:tc>
          <w:tcPr>
            <w:tcW w:w="1418"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54</w:t>
            </w:r>
          </w:p>
        </w:tc>
        <w:tc>
          <w:tcPr>
            <w:tcW w:w="1417"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27</w:t>
            </w:r>
          </w:p>
        </w:tc>
        <w:tc>
          <w:tcPr>
            <w:tcW w:w="1843" w:type="dxa"/>
          </w:tcPr>
          <w:p w:rsidR="00DA5C45" w:rsidRDefault="00DA5C45" w:rsidP="00537591">
            <w:pPr>
              <w:jc w:val="both"/>
              <w:rPr>
                <w:rFonts w:ascii="Times New Roman" w:hAnsi="Times New Roman"/>
                <w:b/>
                <w:sz w:val="24"/>
                <w:szCs w:val="24"/>
                <w:lang w:val="sr-Cyrl-CS"/>
              </w:rPr>
            </w:pPr>
          </w:p>
        </w:tc>
        <w:tc>
          <w:tcPr>
            <w:tcW w:w="2410"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26</w:t>
            </w:r>
          </w:p>
        </w:tc>
      </w:tr>
      <w:tr w:rsidR="00DA5C45" w:rsidTr="00DA5C45">
        <w:tc>
          <w:tcPr>
            <w:tcW w:w="1951"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Трговина утицајем</w:t>
            </w:r>
          </w:p>
        </w:tc>
        <w:tc>
          <w:tcPr>
            <w:tcW w:w="1418"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8</w:t>
            </w:r>
          </w:p>
        </w:tc>
        <w:tc>
          <w:tcPr>
            <w:tcW w:w="1417"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6</w:t>
            </w:r>
          </w:p>
        </w:tc>
        <w:tc>
          <w:tcPr>
            <w:tcW w:w="1843"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1</w:t>
            </w:r>
          </w:p>
        </w:tc>
        <w:tc>
          <w:tcPr>
            <w:tcW w:w="2410"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1</w:t>
            </w:r>
          </w:p>
        </w:tc>
      </w:tr>
      <w:tr w:rsidR="00DA5C45" w:rsidTr="00DA5C45">
        <w:tc>
          <w:tcPr>
            <w:tcW w:w="1951"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Неавестан рад у служби</w:t>
            </w:r>
          </w:p>
        </w:tc>
        <w:tc>
          <w:tcPr>
            <w:tcW w:w="1418"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8</w:t>
            </w:r>
          </w:p>
        </w:tc>
        <w:tc>
          <w:tcPr>
            <w:tcW w:w="1417"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2</w:t>
            </w:r>
          </w:p>
        </w:tc>
        <w:tc>
          <w:tcPr>
            <w:tcW w:w="1843"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1</w:t>
            </w:r>
          </w:p>
        </w:tc>
        <w:tc>
          <w:tcPr>
            <w:tcW w:w="2410"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5</w:t>
            </w:r>
          </w:p>
        </w:tc>
      </w:tr>
      <w:tr w:rsidR="00DA5C45" w:rsidTr="00DA5C45">
        <w:tc>
          <w:tcPr>
            <w:tcW w:w="1951"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Одавање службене тајне</w:t>
            </w:r>
          </w:p>
        </w:tc>
        <w:tc>
          <w:tcPr>
            <w:tcW w:w="1418"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1</w:t>
            </w:r>
          </w:p>
        </w:tc>
        <w:tc>
          <w:tcPr>
            <w:tcW w:w="1417" w:type="dxa"/>
          </w:tcPr>
          <w:p w:rsidR="00DA5C45" w:rsidRDefault="00DA5C45" w:rsidP="00537591">
            <w:pPr>
              <w:jc w:val="both"/>
              <w:rPr>
                <w:rFonts w:ascii="Times New Roman" w:hAnsi="Times New Roman"/>
                <w:b/>
                <w:sz w:val="24"/>
                <w:szCs w:val="24"/>
                <w:lang w:val="sr-Cyrl-CS"/>
              </w:rPr>
            </w:pPr>
          </w:p>
        </w:tc>
        <w:tc>
          <w:tcPr>
            <w:tcW w:w="1843" w:type="dxa"/>
          </w:tcPr>
          <w:p w:rsidR="00DA5C45" w:rsidRDefault="00DA5C45" w:rsidP="00537591">
            <w:pPr>
              <w:jc w:val="both"/>
              <w:rPr>
                <w:rFonts w:ascii="Times New Roman" w:hAnsi="Times New Roman"/>
                <w:b/>
                <w:sz w:val="24"/>
                <w:szCs w:val="24"/>
                <w:lang w:val="sr-Cyrl-CS"/>
              </w:rPr>
            </w:pPr>
          </w:p>
        </w:tc>
        <w:tc>
          <w:tcPr>
            <w:tcW w:w="2410"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1</w:t>
            </w:r>
          </w:p>
        </w:tc>
      </w:tr>
      <w:tr w:rsidR="00DA5C45" w:rsidTr="00DA5C45">
        <w:tc>
          <w:tcPr>
            <w:tcW w:w="1951" w:type="dxa"/>
          </w:tcPr>
          <w:p w:rsidR="00DA5C45" w:rsidRDefault="00AB7E7F" w:rsidP="00537591">
            <w:pPr>
              <w:jc w:val="both"/>
              <w:rPr>
                <w:rFonts w:ascii="Times New Roman" w:hAnsi="Times New Roman"/>
                <w:b/>
                <w:sz w:val="24"/>
                <w:szCs w:val="24"/>
                <w:lang w:val="sr-Cyrl-CS"/>
              </w:rPr>
            </w:pPr>
            <w:r>
              <w:rPr>
                <w:rFonts w:ascii="Times New Roman" w:hAnsi="Times New Roman"/>
                <w:b/>
                <w:sz w:val="24"/>
                <w:szCs w:val="24"/>
                <w:lang w:val="sr-Cyrl-CS"/>
              </w:rPr>
              <w:t>Превара  у</w:t>
            </w:r>
            <w:r w:rsidR="00DA5C45">
              <w:rPr>
                <w:rFonts w:ascii="Times New Roman" w:hAnsi="Times New Roman"/>
                <w:b/>
                <w:sz w:val="24"/>
                <w:szCs w:val="24"/>
                <w:lang w:val="sr-Cyrl-CS"/>
              </w:rPr>
              <w:t xml:space="preserve"> </w:t>
            </w:r>
            <w:r w:rsidR="00DA5C45">
              <w:rPr>
                <w:rFonts w:ascii="Times New Roman" w:hAnsi="Times New Roman"/>
                <w:b/>
                <w:sz w:val="24"/>
                <w:szCs w:val="24"/>
                <w:lang w:val="sr-Cyrl-CS"/>
              </w:rPr>
              <w:lastRenderedPageBreak/>
              <w:t>служби</w:t>
            </w:r>
          </w:p>
        </w:tc>
        <w:tc>
          <w:tcPr>
            <w:tcW w:w="1418"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lastRenderedPageBreak/>
              <w:t>2</w:t>
            </w:r>
          </w:p>
        </w:tc>
        <w:tc>
          <w:tcPr>
            <w:tcW w:w="1417" w:type="dxa"/>
          </w:tcPr>
          <w:p w:rsidR="00DA5C45" w:rsidRDefault="00DA5C45" w:rsidP="00537591">
            <w:pPr>
              <w:jc w:val="both"/>
              <w:rPr>
                <w:rFonts w:ascii="Times New Roman" w:hAnsi="Times New Roman"/>
                <w:b/>
                <w:sz w:val="24"/>
                <w:szCs w:val="24"/>
                <w:lang w:val="sr-Cyrl-CS"/>
              </w:rPr>
            </w:pPr>
          </w:p>
        </w:tc>
        <w:tc>
          <w:tcPr>
            <w:tcW w:w="1843" w:type="dxa"/>
          </w:tcPr>
          <w:p w:rsidR="00DA5C45" w:rsidRDefault="00DA5C45" w:rsidP="00537591">
            <w:pPr>
              <w:jc w:val="both"/>
              <w:rPr>
                <w:rFonts w:ascii="Times New Roman" w:hAnsi="Times New Roman"/>
                <w:b/>
                <w:sz w:val="24"/>
                <w:szCs w:val="24"/>
                <w:lang w:val="sr-Cyrl-CS"/>
              </w:rPr>
            </w:pPr>
          </w:p>
        </w:tc>
        <w:tc>
          <w:tcPr>
            <w:tcW w:w="2410" w:type="dxa"/>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2</w:t>
            </w:r>
          </w:p>
        </w:tc>
      </w:tr>
      <w:tr w:rsidR="00DA5C45" w:rsidTr="00DA5C45">
        <w:tc>
          <w:tcPr>
            <w:tcW w:w="1951" w:type="dxa"/>
            <w:tcBorders>
              <w:right w:val="single" w:sz="4" w:space="0" w:color="auto"/>
            </w:tcBorders>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lastRenderedPageBreak/>
              <w:t>Проневера</w:t>
            </w:r>
          </w:p>
        </w:tc>
        <w:tc>
          <w:tcPr>
            <w:tcW w:w="1418" w:type="dxa"/>
            <w:tcBorders>
              <w:left w:val="single" w:sz="4" w:space="0" w:color="auto"/>
              <w:right w:val="single" w:sz="4" w:space="0" w:color="auto"/>
            </w:tcBorders>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223</w:t>
            </w:r>
          </w:p>
        </w:tc>
        <w:tc>
          <w:tcPr>
            <w:tcW w:w="1417" w:type="dxa"/>
            <w:tcBorders>
              <w:left w:val="single" w:sz="4" w:space="0" w:color="auto"/>
              <w:right w:val="single" w:sz="4" w:space="0" w:color="auto"/>
            </w:tcBorders>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63</w:t>
            </w:r>
          </w:p>
        </w:tc>
        <w:tc>
          <w:tcPr>
            <w:tcW w:w="1843" w:type="dxa"/>
            <w:tcBorders>
              <w:left w:val="single" w:sz="4" w:space="0" w:color="auto"/>
            </w:tcBorders>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1</w:t>
            </w:r>
          </w:p>
        </w:tc>
        <w:tc>
          <w:tcPr>
            <w:tcW w:w="2410" w:type="dxa"/>
            <w:tcBorders>
              <w:right w:val="single" w:sz="4" w:space="0" w:color="auto"/>
            </w:tcBorders>
          </w:tcPr>
          <w:p w:rsidR="00DA5C45" w:rsidRDefault="00DA5C45" w:rsidP="00537591">
            <w:pPr>
              <w:jc w:val="both"/>
              <w:rPr>
                <w:rFonts w:ascii="Times New Roman" w:hAnsi="Times New Roman"/>
                <w:b/>
                <w:sz w:val="24"/>
                <w:szCs w:val="24"/>
                <w:lang w:val="sr-Cyrl-CS"/>
              </w:rPr>
            </w:pPr>
            <w:r>
              <w:rPr>
                <w:rFonts w:ascii="Times New Roman" w:hAnsi="Times New Roman"/>
                <w:b/>
                <w:sz w:val="24"/>
                <w:szCs w:val="24"/>
                <w:lang w:val="sr-Cyrl-CS"/>
              </w:rPr>
              <w:t>159</w:t>
            </w:r>
          </w:p>
        </w:tc>
      </w:tr>
      <w:tr w:rsidR="00DA5C45" w:rsidTr="00DA5C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525"/>
        </w:trPr>
        <w:tc>
          <w:tcPr>
            <w:tcW w:w="1951" w:type="dxa"/>
          </w:tcPr>
          <w:p w:rsidR="00DA5C45" w:rsidRDefault="00DA5C45" w:rsidP="00537591">
            <w:pPr>
              <w:ind w:left="108"/>
              <w:jc w:val="both"/>
              <w:rPr>
                <w:rFonts w:ascii="Times New Roman" w:hAnsi="Times New Roman"/>
                <w:b/>
                <w:sz w:val="24"/>
                <w:szCs w:val="24"/>
                <w:lang w:val="sr-Cyrl-CS"/>
              </w:rPr>
            </w:pPr>
            <w:r>
              <w:rPr>
                <w:rFonts w:ascii="Times New Roman" w:hAnsi="Times New Roman"/>
                <w:b/>
                <w:sz w:val="24"/>
                <w:szCs w:val="24"/>
                <w:lang w:val="sr-Cyrl-CS"/>
              </w:rPr>
              <w:t>Злоупотреба овлашћења у привреди</w:t>
            </w:r>
          </w:p>
        </w:tc>
        <w:tc>
          <w:tcPr>
            <w:tcW w:w="1418" w:type="dxa"/>
          </w:tcPr>
          <w:p w:rsidR="00DA5C45" w:rsidRDefault="00DA5C45" w:rsidP="00537591">
            <w:pPr>
              <w:ind w:left="108"/>
              <w:jc w:val="both"/>
              <w:rPr>
                <w:rFonts w:ascii="Times New Roman" w:hAnsi="Times New Roman"/>
                <w:b/>
                <w:sz w:val="24"/>
                <w:szCs w:val="24"/>
                <w:lang w:val="sr-Cyrl-CS"/>
              </w:rPr>
            </w:pPr>
            <w:r>
              <w:rPr>
                <w:rFonts w:ascii="Times New Roman" w:hAnsi="Times New Roman"/>
                <w:b/>
                <w:sz w:val="24"/>
                <w:szCs w:val="24"/>
                <w:lang w:val="sr-Cyrl-CS"/>
              </w:rPr>
              <w:t>154</w:t>
            </w:r>
          </w:p>
        </w:tc>
        <w:tc>
          <w:tcPr>
            <w:tcW w:w="1417" w:type="dxa"/>
          </w:tcPr>
          <w:p w:rsidR="00DA5C45" w:rsidRDefault="00DA5C45" w:rsidP="00537591">
            <w:pPr>
              <w:ind w:left="108"/>
              <w:jc w:val="both"/>
              <w:rPr>
                <w:rFonts w:ascii="Times New Roman" w:hAnsi="Times New Roman"/>
                <w:b/>
                <w:sz w:val="24"/>
                <w:szCs w:val="24"/>
                <w:lang w:val="sr-Cyrl-CS"/>
              </w:rPr>
            </w:pPr>
            <w:r>
              <w:rPr>
                <w:rFonts w:ascii="Times New Roman" w:hAnsi="Times New Roman"/>
                <w:b/>
                <w:sz w:val="24"/>
                <w:szCs w:val="24"/>
                <w:lang w:val="sr-Cyrl-CS"/>
              </w:rPr>
              <w:t>29</w:t>
            </w:r>
          </w:p>
        </w:tc>
        <w:tc>
          <w:tcPr>
            <w:tcW w:w="1843" w:type="dxa"/>
          </w:tcPr>
          <w:p w:rsidR="00DA5C45" w:rsidRDefault="00DA5C45" w:rsidP="00537591">
            <w:pPr>
              <w:ind w:left="108"/>
              <w:jc w:val="both"/>
              <w:rPr>
                <w:rFonts w:ascii="Times New Roman" w:hAnsi="Times New Roman"/>
                <w:b/>
                <w:sz w:val="24"/>
                <w:szCs w:val="24"/>
                <w:lang w:val="sr-Cyrl-CS"/>
              </w:rPr>
            </w:pPr>
          </w:p>
        </w:tc>
        <w:tc>
          <w:tcPr>
            <w:tcW w:w="2410" w:type="dxa"/>
          </w:tcPr>
          <w:p w:rsidR="00DA5C45" w:rsidRDefault="00DA5C45" w:rsidP="00537591">
            <w:pPr>
              <w:ind w:left="108"/>
              <w:jc w:val="both"/>
              <w:rPr>
                <w:rFonts w:ascii="Times New Roman" w:hAnsi="Times New Roman"/>
                <w:b/>
                <w:sz w:val="24"/>
                <w:szCs w:val="24"/>
                <w:lang w:val="sr-Cyrl-CS"/>
              </w:rPr>
            </w:pPr>
            <w:r>
              <w:rPr>
                <w:rFonts w:ascii="Times New Roman" w:hAnsi="Times New Roman"/>
                <w:b/>
                <w:sz w:val="24"/>
                <w:szCs w:val="24"/>
                <w:lang w:val="sr-Cyrl-CS"/>
              </w:rPr>
              <w:t>124</w:t>
            </w:r>
          </w:p>
        </w:tc>
      </w:tr>
    </w:tbl>
    <w:p w:rsidR="006E4881" w:rsidRDefault="006B555E" w:rsidP="00A10F0D">
      <w:pPr>
        <w:jc w:val="both"/>
        <w:rPr>
          <w:rFonts w:ascii="Times New Roman" w:hAnsi="Times New Roman"/>
          <w:sz w:val="24"/>
          <w:szCs w:val="24"/>
          <w:lang w:val="sr-Cyrl-CS"/>
        </w:rPr>
      </w:pPr>
      <w:r>
        <w:rPr>
          <w:rFonts w:ascii="Times New Roman" w:hAnsi="Times New Roman"/>
          <w:sz w:val="24"/>
          <w:szCs w:val="24"/>
          <w:lang w:val="sr-Cyrl-CS"/>
        </w:rPr>
        <w:t xml:space="preserve">Извор: </w:t>
      </w:r>
      <w:hyperlink r:id="rId51" w:history="1">
        <w:r w:rsidRPr="00E9770A">
          <w:rPr>
            <w:rStyle w:val="Hyperlink"/>
            <w:lang w:val="sr-Cyrl-CS"/>
          </w:rPr>
          <w:t>http://webrzs.stat.gov.rs</w:t>
        </w:r>
      </w:hyperlink>
    </w:p>
    <w:p w:rsidR="006E4881" w:rsidRDefault="00795B41" w:rsidP="00795B41">
      <w:pPr>
        <w:ind w:firstLine="708"/>
        <w:jc w:val="both"/>
        <w:rPr>
          <w:rFonts w:ascii="Times New Roman" w:hAnsi="Times New Roman"/>
          <w:sz w:val="24"/>
          <w:szCs w:val="24"/>
          <w:lang w:val="sr-Cyrl-CS"/>
        </w:rPr>
      </w:pPr>
      <w:r>
        <w:rPr>
          <w:rFonts w:ascii="Times New Roman" w:hAnsi="Times New Roman"/>
          <w:sz w:val="24"/>
          <w:szCs w:val="24"/>
          <w:lang w:val="sr-Cyrl-CS"/>
        </w:rPr>
        <w:t>Из наведених табела може се приметити упадљиво мањи број осуда у односу на број пријављених лица. Т</w:t>
      </w:r>
      <w:r w:rsidR="0089457C">
        <w:rPr>
          <w:rFonts w:ascii="Times New Roman" w:hAnsi="Times New Roman"/>
          <w:sz w:val="24"/>
          <w:szCs w:val="24"/>
          <w:lang w:val="sr-Cyrl-CS"/>
        </w:rPr>
        <w:t>ако је, на пример, код кривичних</w:t>
      </w:r>
      <w:r>
        <w:rPr>
          <w:rFonts w:ascii="Times New Roman" w:hAnsi="Times New Roman"/>
          <w:sz w:val="24"/>
          <w:szCs w:val="24"/>
          <w:lang w:val="sr-Cyrl-CS"/>
        </w:rPr>
        <w:t xml:space="preserve"> дела пореска утаја, </w:t>
      </w:r>
      <w:r w:rsidR="0089457C">
        <w:rPr>
          <w:rFonts w:ascii="Times New Roman" w:hAnsi="Times New Roman"/>
          <w:sz w:val="24"/>
          <w:szCs w:val="24"/>
          <w:lang w:val="sr-Cyrl-CS"/>
        </w:rPr>
        <w:t>злоупотреба овлашћења у привреди, оштећење поверилаца и злоупотреба службеног положаја троструко мањи број осуђених лица у односу на број пријављених, док је код кривичног дела несавестан рад у служби број осуђених лица чак четрнаест пута мањи.</w:t>
      </w:r>
    </w:p>
    <w:p w:rsidR="00D968C8" w:rsidRDefault="00F8521F" w:rsidP="00795B41">
      <w:pPr>
        <w:ind w:firstLine="708"/>
        <w:jc w:val="both"/>
        <w:rPr>
          <w:rFonts w:ascii="Times New Roman" w:hAnsi="Times New Roman"/>
          <w:sz w:val="24"/>
          <w:szCs w:val="24"/>
          <w:lang w:val="sr-Cyrl-CS"/>
        </w:rPr>
      </w:pPr>
      <w:r>
        <w:rPr>
          <w:rFonts w:ascii="Times New Roman" w:hAnsi="Times New Roman"/>
          <w:sz w:val="24"/>
          <w:szCs w:val="24"/>
          <w:lang w:val="sr-Cyrl-CS"/>
        </w:rPr>
        <w:t xml:space="preserve">У погледу казнене политике за исту годину може се приметити да убедљиво доминира условна осуда из чега се може закључити да је казнена политика блага. </w:t>
      </w:r>
    </w:p>
    <w:p w:rsidR="00C2706C" w:rsidRDefault="00D17D43" w:rsidP="00C2706C">
      <w:pPr>
        <w:ind w:firstLine="630"/>
        <w:jc w:val="both"/>
        <w:rPr>
          <w:rFonts w:ascii="Times New Roman" w:hAnsi="Times New Roman"/>
          <w:sz w:val="24"/>
          <w:szCs w:val="24"/>
          <w:lang w:val="sr-Cyrl-CS"/>
        </w:rPr>
      </w:pPr>
      <w:r>
        <w:rPr>
          <w:rFonts w:ascii="Times New Roman" w:hAnsi="Times New Roman"/>
          <w:sz w:val="24"/>
          <w:szCs w:val="24"/>
          <w:lang w:val="sr-Cyrl-CS"/>
        </w:rPr>
        <w:t>Када се има</w:t>
      </w:r>
      <w:r w:rsidR="00C2706C" w:rsidRPr="00C2706C">
        <w:rPr>
          <w:rFonts w:ascii="Times New Roman" w:hAnsi="Times New Roman"/>
          <w:sz w:val="24"/>
          <w:szCs w:val="24"/>
          <w:lang w:val="sr-Cyrl-CS"/>
        </w:rPr>
        <w:t xml:space="preserve"> </w:t>
      </w:r>
      <w:r>
        <w:rPr>
          <w:rFonts w:ascii="Times New Roman" w:hAnsi="Times New Roman"/>
          <w:sz w:val="24"/>
          <w:szCs w:val="24"/>
          <w:lang w:val="sr-Cyrl-CS"/>
        </w:rPr>
        <w:t>„</w:t>
      </w:r>
      <w:r w:rsidR="00C2706C" w:rsidRPr="00C2706C">
        <w:rPr>
          <w:rFonts w:ascii="Times New Roman" w:hAnsi="Times New Roman"/>
          <w:sz w:val="24"/>
          <w:szCs w:val="24"/>
          <w:lang w:val="sr-Cyrl-CS"/>
        </w:rPr>
        <w:t>у виду глобално кретање криминалитета и глобалне димензије поврата очигледно је да се не остварују ни циљеви генералне превенције (генерално застрашивање и позитивна генерална превенција), нити циљеви специјалне превенције (ресоцијализација и одвраћање учиниоца од криминалног понашања). Однос између изречених и запрећених кривичних санкција, при томе, отвара питање (не)усаглашености законодавне казнене политике и судске казнене политике. Уз пословично присутне проблеме (не)ефикасности судске процедуре, систем кривичног санкционисања евидентно губи на својој извесности и озбиљности, што доводи у питање и евентуални превентивни ефекат самог законског прописивања кривичних санкција.</w:t>
      </w:r>
      <w:r>
        <w:rPr>
          <w:rFonts w:ascii="Times New Roman" w:hAnsi="Times New Roman"/>
          <w:sz w:val="24"/>
          <w:szCs w:val="24"/>
          <w:lang w:val="sr-Cyrl-CS"/>
        </w:rPr>
        <w:t>“</w:t>
      </w:r>
      <w:r w:rsidR="00C2706C" w:rsidRPr="00C2706C">
        <w:rPr>
          <w:rStyle w:val="FootnoteReference"/>
          <w:rFonts w:ascii="Times New Roman" w:hAnsi="Times New Roman"/>
          <w:sz w:val="24"/>
          <w:szCs w:val="24"/>
          <w:lang w:val="sr-Cyrl-CS"/>
        </w:rPr>
        <w:footnoteReference w:id="782"/>
      </w:r>
    </w:p>
    <w:p w:rsidR="00D968C8" w:rsidRDefault="00D968C8" w:rsidP="00D968C8">
      <w:pPr>
        <w:ind w:firstLine="708"/>
        <w:jc w:val="both"/>
        <w:rPr>
          <w:rFonts w:ascii="Times New Roman" w:hAnsi="Times New Roman"/>
          <w:sz w:val="24"/>
          <w:szCs w:val="24"/>
          <w:lang w:val="sr-Cyrl-CS"/>
        </w:rPr>
      </w:pPr>
      <w:r>
        <w:rPr>
          <w:rFonts w:ascii="Times New Roman" w:hAnsi="Times New Roman"/>
          <w:sz w:val="24"/>
          <w:szCs w:val="24"/>
          <w:lang w:val="sr-Cyrl-CS"/>
        </w:rPr>
        <w:t>Блага казнена политика и доминантност условне осуде произилази и из наредне табеле у којој је према статистичким подацима Републичког завода за статистику</w:t>
      </w:r>
      <w:r w:rsidR="00837885">
        <w:rPr>
          <w:rStyle w:val="FootnoteReference"/>
          <w:rFonts w:ascii="Times New Roman" w:hAnsi="Times New Roman"/>
          <w:b/>
          <w:sz w:val="24"/>
          <w:szCs w:val="24"/>
          <w:lang w:val="sr-Cyrl-CS"/>
        </w:rPr>
        <w:footnoteReference w:id="783"/>
      </w:r>
      <w:r>
        <w:rPr>
          <w:rFonts w:ascii="Times New Roman" w:hAnsi="Times New Roman"/>
          <w:sz w:val="24"/>
          <w:szCs w:val="24"/>
          <w:lang w:val="sr-Cyrl-CS"/>
        </w:rPr>
        <w:t xml:space="preserve"> приказан период од 2007. до 2012. године везано за кривична дела против привреде и кривична дела са коруптивним елементом.</w:t>
      </w:r>
      <w:r w:rsidR="00837885">
        <w:rPr>
          <w:rFonts w:ascii="Times New Roman" w:hAnsi="Times New Roman"/>
          <w:sz w:val="24"/>
          <w:szCs w:val="24"/>
          <w:lang w:val="sr-Cyrl-CS"/>
        </w:rPr>
        <w:t xml:space="preserve"> Како би стекли потпунију слику о обиму наведених кривичних дела и интензитету опасности ових негативних појава дат је упоредни преглед броја пријављених, оптужених и осуђених лица за наведени преиод. Осим тога, дат је упоредни преглед изречених кривичних санкција. </w:t>
      </w:r>
    </w:p>
    <w:p w:rsidR="00D968C8" w:rsidRPr="00D968C8" w:rsidRDefault="00A449F2" w:rsidP="00D968C8">
      <w:pPr>
        <w:ind w:firstLine="708"/>
        <w:jc w:val="both"/>
        <w:rPr>
          <w:rFonts w:ascii="Times New Roman" w:hAnsi="Times New Roman"/>
          <w:b/>
          <w:sz w:val="24"/>
          <w:szCs w:val="24"/>
          <w:lang w:val="sr-Cyrl-CS"/>
        </w:rPr>
      </w:pPr>
      <w:r>
        <w:rPr>
          <w:rFonts w:ascii="Times New Roman" w:hAnsi="Times New Roman"/>
          <w:b/>
          <w:sz w:val="24"/>
          <w:szCs w:val="24"/>
          <w:lang w:val="sr-Cyrl-CS"/>
        </w:rPr>
        <w:t xml:space="preserve">Табела </w:t>
      </w:r>
      <w:r>
        <w:rPr>
          <w:rFonts w:ascii="Times New Roman" w:hAnsi="Times New Roman"/>
          <w:b/>
          <w:sz w:val="24"/>
          <w:szCs w:val="24"/>
        </w:rPr>
        <w:t>32</w:t>
      </w:r>
      <w:r w:rsidR="00D968C8" w:rsidRPr="00D968C8">
        <w:rPr>
          <w:rFonts w:ascii="Times New Roman" w:hAnsi="Times New Roman"/>
          <w:b/>
          <w:sz w:val="24"/>
          <w:szCs w:val="24"/>
          <w:lang w:val="sr-Cyrl-CS"/>
        </w:rPr>
        <w:t>.</w:t>
      </w:r>
      <w:r w:rsidR="00D968C8">
        <w:rPr>
          <w:rFonts w:ascii="Times New Roman" w:hAnsi="Times New Roman"/>
          <w:b/>
          <w:sz w:val="24"/>
          <w:szCs w:val="24"/>
          <w:lang w:val="sr-Cyrl-CS"/>
        </w:rPr>
        <w:t xml:space="preserve"> </w:t>
      </w:r>
      <w:r w:rsidR="001A204F">
        <w:rPr>
          <w:rFonts w:ascii="Times New Roman" w:hAnsi="Times New Roman"/>
          <w:b/>
          <w:sz w:val="24"/>
          <w:szCs w:val="24"/>
          <w:lang w:val="sr-Cyrl-CS"/>
        </w:rPr>
        <w:t>Период од 2007 до 2012. године по кривичним делима</w:t>
      </w:r>
    </w:p>
    <w:tbl>
      <w:tblPr>
        <w:tblStyle w:val="TableGrid"/>
        <w:tblW w:w="0" w:type="auto"/>
        <w:tblLook w:val="04A0"/>
      </w:tblPr>
      <w:tblGrid>
        <w:gridCol w:w="1635"/>
        <w:gridCol w:w="1338"/>
        <w:gridCol w:w="45"/>
        <w:gridCol w:w="14"/>
        <w:gridCol w:w="16"/>
        <w:gridCol w:w="1473"/>
        <w:gridCol w:w="1029"/>
        <w:gridCol w:w="45"/>
        <w:gridCol w:w="29"/>
        <w:gridCol w:w="1147"/>
        <w:gridCol w:w="10"/>
        <w:gridCol w:w="941"/>
        <w:gridCol w:w="16"/>
        <w:gridCol w:w="62"/>
        <w:gridCol w:w="26"/>
        <w:gridCol w:w="1219"/>
      </w:tblGrid>
      <w:tr w:rsidR="00AD1724" w:rsidTr="000E1089">
        <w:trPr>
          <w:trHeight w:val="167"/>
        </w:trPr>
        <w:tc>
          <w:tcPr>
            <w:tcW w:w="1635" w:type="dxa"/>
          </w:tcPr>
          <w:p w:rsidR="001841BE" w:rsidRPr="0015683D" w:rsidRDefault="001841BE" w:rsidP="00DB4188">
            <w:pPr>
              <w:jc w:val="both"/>
              <w:rPr>
                <w:rFonts w:ascii="Times New Roman" w:hAnsi="Times New Roman"/>
                <w:b/>
                <w:sz w:val="20"/>
                <w:szCs w:val="20"/>
                <w:lang w:val="sr-Cyrl-CS"/>
              </w:rPr>
            </w:pPr>
            <w:r w:rsidRPr="0015683D">
              <w:rPr>
                <w:rFonts w:ascii="Times New Roman" w:hAnsi="Times New Roman"/>
                <w:b/>
                <w:sz w:val="20"/>
                <w:szCs w:val="20"/>
                <w:lang w:val="sr-Cyrl-CS"/>
              </w:rPr>
              <w:lastRenderedPageBreak/>
              <w:t>Кривично дело</w:t>
            </w:r>
          </w:p>
        </w:tc>
        <w:tc>
          <w:tcPr>
            <w:tcW w:w="1413" w:type="dxa"/>
            <w:gridSpan w:val="4"/>
            <w:tcBorders>
              <w:right w:val="single" w:sz="4" w:space="0" w:color="auto"/>
            </w:tcBorders>
          </w:tcPr>
          <w:p w:rsidR="001841BE" w:rsidRPr="0015683D" w:rsidRDefault="007F62B4" w:rsidP="00DB4188">
            <w:pPr>
              <w:jc w:val="both"/>
              <w:rPr>
                <w:rFonts w:ascii="Times New Roman" w:hAnsi="Times New Roman"/>
                <w:b/>
                <w:sz w:val="20"/>
                <w:szCs w:val="20"/>
                <w:lang w:val="sr-Cyrl-CS"/>
              </w:rPr>
            </w:pPr>
            <w:r w:rsidRPr="0015683D">
              <w:rPr>
                <w:rFonts w:ascii="Times New Roman" w:hAnsi="Times New Roman"/>
                <w:b/>
                <w:sz w:val="20"/>
                <w:szCs w:val="20"/>
                <w:lang w:val="sr-Cyrl-CS"/>
              </w:rPr>
              <w:t>пријављени</w:t>
            </w:r>
          </w:p>
        </w:tc>
        <w:tc>
          <w:tcPr>
            <w:tcW w:w="1473" w:type="dxa"/>
            <w:tcBorders>
              <w:left w:val="single" w:sz="4" w:space="0" w:color="auto"/>
            </w:tcBorders>
          </w:tcPr>
          <w:p w:rsidR="001841BE" w:rsidRPr="0015683D" w:rsidRDefault="007F62B4" w:rsidP="00DB4188">
            <w:pPr>
              <w:jc w:val="both"/>
              <w:rPr>
                <w:rFonts w:ascii="Times New Roman" w:hAnsi="Times New Roman"/>
                <w:b/>
                <w:sz w:val="20"/>
                <w:szCs w:val="20"/>
                <w:lang w:val="sr-Cyrl-CS"/>
              </w:rPr>
            </w:pPr>
            <w:r w:rsidRPr="0015683D">
              <w:rPr>
                <w:rFonts w:ascii="Times New Roman" w:hAnsi="Times New Roman"/>
                <w:b/>
                <w:sz w:val="20"/>
                <w:szCs w:val="20"/>
                <w:lang w:val="sr-Cyrl-CS"/>
              </w:rPr>
              <w:t>оптужени</w:t>
            </w:r>
          </w:p>
        </w:tc>
        <w:tc>
          <w:tcPr>
            <w:tcW w:w="1074" w:type="dxa"/>
            <w:gridSpan w:val="2"/>
            <w:tcBorders>
              <w:right w:val="single" w:sz="4" w:space="0" w:color="auto"/>
            </w:tcBorders>
          </w:tcPr>
          <w:p w:rsidR="001841BE" w:rsidRPr="0015683D" w:rsidRDefault="007F62B4" w:rsidP="00DB4188">
            <w:pPr>
              <w:jc w:val="both"/>
              <w:rPr>
                <w:rFonts w:ascii="Times New Roman" w:hAnsi="Times New Roman"/>
                <w:b/>
                <w:sz w:val="20"/>
                <w:szCs w:val="20"/>
                <w:lang w:val="sr-Cyrl-CS"/>
              </w:rPr>
            </w:pPr>
            <w:r w:rsidRPr="0015683D">
              <w:rPr>
                <w:rFonts w:ascii="Times New Roman" w:hAnsi="Times New Roman"/>
                <w:b/>
                <w:sz w:val="20"/>
                <w:szCs w:val="20"/>
                <w:lang w:val="sr-Cyrl-CS"/>
              </w:rPr>
              <w:t>осуђени</w:t>
            </w:r>
          </w:p>
        </w:tc>
        <w:tc>
          <w:tcPr>
            <w:tcW w:w="1186" w:type="dxa"/>
            <w:gridSpan w:val="3"/>
            <w:tcBorders>
              <w:left w:val="single" w:sz="4" w:space="0" w:color="auto"/>
            </w:tcBorders>
          </w:tcPr>
          <w:p w:rsidR="001841BE" w:rsidRPr="0015683D" w:rsidRDefault="007F62B4" w:rsidP="00DB4188">
            <w:pPr>
              <w:jc w:val="both"/>
              <w:rPr>
                <w:rFonts w:ascii="Times New Roman" w:hAnsi="Times New Roman"/>
                <w:b/>
                <w:sz w:val="20"/>
                <w:szCs w:val="20"/>
                <w:lang w:val="sr-Cyrl-CS"/>
              </w:rPr>
            </w:pPr>
            <w:r w:rsidRPr="0015683D">
              <w:rPr>
                <w:rFonts w:ascii="Times New Roman" w:hAnsi="Times New Roman"/>
                <w:b/>
                <w:sz w:val="20"/>
                <w:szCs w:val="20"/>
                <w:lang w:val="sr-Cyrl-CS"/>
              </w:rPr>
              <w:t>затвор</w:t>
            </w:r>
          </w:p>
        </w:tc>
        <w:tc>
          <w:tcPr>
            <w:tcW w:w="1045" w:type="dxa"/>
            <w:gridSpan w:val="4"/>
            <w:tcBorders>
              <w:right w:val="single" w:sz="4" w:space="0" w:color="auto"/>
            </w:tcBorders>
          </w:tcPr>
          <w:p w:rsidR="001841BE" w:rsidRPr="0015683D" w:rsidRDefault="007F62B4" w:rsidP="00DB4188">
            <w:pPr>
              <w:jc w:val="both"/>
              <w:rPr>
                <w:rFonts w:ascii="Times New Roman" w:hAnsi="Times New Roman"/>
                <w:b/>
                <w:sz w:val="20"/>
                <w:szCs w:val="20"/>
                <w:lang w:val="sr-Cyrl-CS"/>
              </w:rPr>
            </w:pPr>
            <w:r w:rsidRPr="0015683D">
              <w:rPr>
                <w:rFonts w:ascii="Times New Roman" w:hAnsi="Times New Roman"/>
                <w:b/>
                <w:sz w:val="20"/>
                <w:szCs w:val="20"/>
                <w:lang w:val="sr-Cyrl-CS"/>
              </w:rPr>
              <w:t>Условна осуда</w:t>
            </w:r>
          </w:p>
        </w:tc>
        <w:tc>
          <w:tcPr>
            <w:tcW w:w="1219" w:type="dxa"/>
            <w:tcBorders>
              <w:left w:val="single" w:sz="4" w:space="0" w:color="auto"/>
            </w:tcBorders>
          </w:tcPr>
          <w:p w:rsidR="001841BE" w:rsidRPr="0015683D" w:rsidRDefault="007F62B4" w:rsidP="00DB4188">
            <w:pPr>
              <w:jc w:val="both"/>
              <w:rPr>
                <w:rFonts w:ascii="Times New Roman" w:hAnsi="Times New Roman"/>
                <w:b/>
                <w:sz w:val="20"/>
                <w:szCs w:val="20"/>
                <w:lang w:val="sr-Cyrl-CS"/>
              </w:rPr>
            </w:pPr>
            <w:r w:rsidRPr="0015683D">
              <w:rPr>
                <w:rFonts w:ascii="Times New Roman" w:hAnsi="Times New Roman"/>
                <w:b/>
                <w:sz w:val="20"/>
                <w:szCs w:val="20"/>
                <w:lang w:val="sr-Cyrl-CS"/>
              </w:rPr>
              <w:t>Новчана казна</w:t>
            </w:r>
          </w:p>
        </w:tc>
      </w:tr>
      <w:tr w:rsidR="00AD1724" w:rsidTr="000E1089">
        <w:trPr>
          <w:trHeight w:val="584"/>
        </w:trPr>
        <w:tc>
          <w:tcPr>
            <w:tcW w:w="1635" w:type="dxa"/>
            <w:tcBorders>
              <w:bottom w:val="single" w:sz="4" w:space="0" w:color="auto"/>
            </w:tcBorders>
          </w:tcPr>
          <w:p w:rsidR="001841BE" w:rsidRPr="00AD1724" w:rsidRDefault="001841BE" w:rsidP="00AD1724">
            <w:pPr>
              <w:pStyle w:val="NoSpacing"/>
              <w:rPr>
                <w:rFonts w:ascii="Times New Roman" w:hAnsi="Times New Roman"/>
                <w:b/>
                <w:sz w:val="20"/>
                <w:szCs w:val="20"/>
                <w:lang w:val="sr-Cyrl-CS"/>
              </w:rPr>
            </w:pPr>
            <w:r w:rsidRPr="00AD1724">
              <w:rPr>
                <w:rFonts w:ascii="Times New Roman" w:hAnsi="Times New Roman"/>
                <w:b/>
                <w:sz w:val="20"/>
                <w:szCs w:val="20"/>
                <w:lang w:val="sr-Cyrl-CS"/>
              </w:rPr>
              <w:t>Пореска утаја</w:t>
            </w:r>
          </w:p>
          <w:p w:rsidR="001841BE" w:rsidRPr="00142BC6" w:rsidRDefault="001841BE" w:rsidP="00AD1724">
            <w:pPr>
              <w:pStyle w:val="NoSpacing"/>
              <w:rPr>
                <w:lang w:val="sr-Cyrl-CS"/>
              </w:rPr>
            </w:pPr>
            <w:r w:rsidRPr="00AD1724">
              <w:rPr>
                <w:rFonts w:ascii="Times New Roman" w:hAnsi="Times New Roman"/>
                <w:sz w:val="20"/>
                <w:szCs w:val="20"/>
                <w:lang w:val="sr-Cyrl-CS"/>
              </w:rPr>
              <w:t>2007.</w:t>
            </w:r>
          </w:p>
        </w:tc>
        <w:tc>
          <w:tcPr>
            <w:tcW w:w="1413" w:type="dxa"/>
            <w:gridSpan w:val="4"/>
            <w:tcBorders>
              <w:bottom w:val="single" w:sz="4" w:space="0" w:color="auto"/>
              <w:right w:val="single" w:sz="4" w:space="0" w:color="auto"/>
            </w:tcBorders>
          </w:tcPr>
          <w:p w:rsidR="001841BE" w:rsidRDefault="001F5B07" w:rsidP="00DB4188">
            <w:pPr>
              <w:jc w:val="both"/>
              <w:rPr>
                <w:rFonts w:ascii="Times New Roman" w:hAnsi="Times New Roman"/>
                <w:sz w:val="24"/>
                <w:szCs w:val="24"/>
                <w:lang w:val="sr-Cyrl-CS"/>
              </w:rPr>
            </w:pPr>
            <w:r>
              <w:rPr>
                <w:rFonts w:ascii="Times New Roman" w:hAnsi="Times New Roman"/>
                <w:sz w:val="24"/>
                <w:szCs w:val="24"/>
                <w:lang w:val="sr-Cyrl-CS"/>
              </w:rPr>
              <w:t>695</w:t>
            </w:r>
          </w:p>
        </w:tc>
        <w:tc>
          <w:tcPr>
            <w:tcW w:w="1473" w:type="dxa"/>
            <w:tcBorders>
              <w:left w:val="single" w:sz="4" w:space="0" w:color="auto"/>
              <w:bottom w:val="single" w:sz="4" w:space="0" w:color="auto"/>
            </w:tcBorders>
          </w:tcPr>
          <w:p w:rsidR="001841BE" w:rsidRDefault="001F5B07" w:rsidP="00DB4188">
            <w:pPr>
              <w:jc w:val="both"/>
              <w:rPr>
                <w:rFonts w:ascii="Times New Roman" w:hAnsi="Times New Roman"/>
                <w:sz w:val="24"/>
                <w:szCs w:val="24"/>
                <w:lang w:val="sr-Cyrl-CS"/>
              </w:rPr>
            </w:pPr>
            <w:r>
              <w:rPr>
                <w:rFonts w:ascii="Times New Roman" w:hAnsi="Times New Roman"/>
                <w:sz w:val="24"/>
                <w:szCs w:val="24"/>
                <w:lang w:val="sr-Cyrl-CS"/>
              </w:rPr>
              <w:t>211</w:t>
            </w:r>
          </w:p>
        </w:tc>
        <w:tc>
          <w:tcPr>
            <w:tcW w:w="1074" w:type="dxa"/>
            <w:gridSpan w:val="2"/>
            <w:tcBorders>
              <w:bottom w:val="single" w:sz="4" w:space="0" w:color="auto"/>
              <w:right w:val="single" w:sz="4" w:space="0" w:color="auto"/>
            </w:tcBorders>
          </w:tcPr>
          <w:p w:rsidR="001841BE" w:rsidRDefault="001F5B07" w:rsidP="00DB4188">
            <w:pPr>
              <w:jc w:val="both"/>
              <w:rPr>
                <w:rFonts w:ascii="Times New Roman" w:hAnsi="Times New Roman"/>
                <w:sz w:val="24"/>
                <w:szCs w:val="24"/>
                <w:lang w:val="sr-Cyrl-CS"/>
              </w:rPr>
            </w:pPr>
            <w:r>
              <w:rPr>
                <w:rFonts w:ascii="Times New Roman" w:hAnsi="Times New Roman"/>
                <w:sz w:val="24"/>
                <w:szCs w:val="24"/>
                <w:lang w:val="sr-Cyrl-CS"/>
              </w:rPr>
              <w:t>193</w:t>
            </w:r>
          </w:p>
        </w:tc>
        <w:tc>
          <w:tcPr>
            <w:tcW w:w="1186" w:type="dxa"/>
            <w:gridSpan w:val="3"/>
            <w:tcBorders>
              <w:left w:val="single" w:sz="4" w:space="0" w:color="auto"/>
              <w:bottom w:val="single" w:sz="4" w:space="0" w:color="auto"/>
            </w:tcBorders>
          </w:tcPr>
          <w:p w:rsidR="001841BE" w:rsidRDefault="00292951" w:rsidP="00DB4188">
            <w:pPr>
              <w:jc w:val="both"/>
              <w:rPr>
                <w:rFonts w:ascii="Times New Roman" w:hAnsi="Times New Roman"/>
                <w:sz w:val="24"/>
                <w:szCs w:val="24"/>
                <w:lang w:val="sr-Cyrl-CS"/>
              </w:rPr>
            </w:pPr>
            <w:r>
              <w:rPr>
                <w:rFonts w:ascii="Times New Roman" w:hAnsi="Times New Roman"/>
                <w:sz w:val="24"/>
                <w:szCs w:val="24"/>
                <w:lang w:val="sr-Cyrl-CS"/>
              </w:rPr>
              <w:t>29</w:t>
            </w:r>
          </w:p>
        </w:tc>
        <w:tc>
          <w:tcPr>
            <w:tcW w:w="1045" w:type="dxa"/>
            <w:gridSpan w:val="4"/>
            <w:tcBorders>
              <w:bottom w:val="single" w:sz="4" w:space="0" w:color="auto"/>
              <w:right w:val="single" w:sz="4" w:space="0" w:color="auto"/>
            </w:tcBorders>
          </w:tcPr>
          <w:p w:rsidR="001841BE" w:rsidRDefault="00E63DD3" w:rsidP="00DB4188">
            <w:pPr>
              <w:jc w:val="both"/>
              <w:rPr>
                <w:rFonts w:ascii="Times New Roman" w:hAnsi="Times New Roman"/>
                <w:sz w:val="24"/>
                <w:szCs w:val="24"/>
                <w:lang w:val="sr-Cyrl-CS"/>
              </w:rPr>
            </w:pPr>
            <w:r>
              <w:rPr>
                <w:rFonts w:ascii="Times New Roman" w:hAnsi="Times New Roman"/>
                <w:sz w:val="24"/>
                <w:szCs w:val="24"/>
                <w:lang w:val="sr-Cyrl-CS"/>
              </w:rPr>
              <w:t>146</w:t>
            </w:r>
          </w:p>
        </w:tc>
        <w:tc>
          <w:tcPr>
            <w:tcW w:w="1219" w:type="dxa"/>
            <w:tcBorders>
              <w:left w:val="single" w:sz="4" w:space="0" w:color="auto"/>
              <w:bottom w:val="single" w:sz="4" w:space="0" w:color="auto"/>
            </w:tcBorders>
          </w:tcPr>
          <w:p w:rsidR="001841BE" w:rsidRDefault="001F5B07" w:rsidP="00DB4188">
            <w:pPr>
              <w:jc w:val="both"/>
              <w:rPr>
                <w:rFonts w:ascii="Times New Roman" w:hAnsi="Times New Roman"/>
                <w:sz w:val="24"/>
                <w:szCs w:val="24"/>
                <w:lang w:val="sr-Cyrl-CS"/>
              </w:rPr>
            </w:pPr>
            <w:r>
              <w:rPr>
                <w:rFonts w:ascii="Times New Roman" w:hAnsi="Times New Roman"/>
                <w:sz w:val="24"/>
                <w:szCs w:val="24"/>
                <w:lang w:val="sr-Cyrl-CS"/>
              </w:rPr>
              <w:t>18</w:t>
            </w:r>
          </w:p>
        </w:tc>
      </w:tr>
      <w:tr w:rsidR="00AD1724" w:rsidTr="000E1089">
        <w:trPr>
          <w:trHeight w:val="266"/>
        </w:trPr>
        <w:tc>
          <w:tcPr>
            <w:tcW w:w="1635" w:type="dxa"/>
            <w:tcBorders>
              <w:top w:val="single" w:sz="4" w:space="0" w:color="auto"/>
              <w:bottom w:val="single" w:sz="4" w:space="0" w:color="auto"/>
            </w:tcBorders>
          </w:tcPr>
          <w:p w:rsidR="001841BE" w:rsidRDefault="00E942F5" w:rsidP="00DB4188">
            <w:pPr>
              <w:jc w:val="both"/>
              <w:rPr>
                <w:rFonts w:ascii="Times New Roman" w:hAnsi="Times New Roman"/>
                <w:sz w:val="20"/>
                <w:szCs w:val="20"/>
                <w:lang w:val="sr-Cyrl-CS"/>
              </w:rPr>
            </w:pPr>
            <w:r>
              <w:rPr>
                <w:rFonts w:ascii="Times New Roman" w:hAnsi="Times New Roman"/>
                <w:sz w:val="20"/>
                <w:szCs w:val="20"/>
                <w:lang w:val="sr-Cyrl-CS"/>
              </w:rPr>
              <w:t>2008.</w:t>
            </w:r>
          </w:p>
        </w:tc>
        <w:tc>
          <w:tcPr>
            <w:tcW w:w="1413" w:type="dxa"/>
            <w:gridSpan w:val="4"/>
            <w:tcBorders>
              <w:top w:val="single" w:sz="4" w:space="0" w:color="auto"/>
              <w:bottom w:val="single" w:sz="4" w:space="0" w:color="auto"/>
              <w:right w:val="single" w:sz="4" w:space="0" w:color="auto"/>
            </w:tcBorders>
          </w:tcPr>
          <w:p w:rsidR="001841BE" w:rsidRDefault="001F5B07" w:rsidP="00DB4188">
            <w:pPr>
              <w:jc w:val="both"/>
              <w:rPr>
                <w:rFonts w:ascii="Times New Roman" w:hAnsi="Times New Roman"/>
                <w:sz w:val="24"/>
                <w:szCs w:val="24"/>
                <w:lang w:val="sr-Cyrl-CS"/>
              </w:rPr>
            </w:pPr>
            <w:r>
              <w:rPr>
                <w:rFonts w:ascii="Times New Roman" w:hAnsi="Times New Roman"/>
                <w:sz w:val="24"/>
                <w:szCs w:val="24"/>
                <w:lang w:val="sr-Cyrl-CS"/>
              </w:rPr>
              <w:t>940</w:t>
            </w:r>
          </w:p>
        </w:tc>
        <w:tc>
          <w:tcPr>
            <w:tcW w:w="1473" w:type="dxa"/>
            <w:tcBorders>
              <w:top w:val="single" w:sz="4" w:space="0" w:color="auto"/>
              <w:left w:val="single" w:sz="4" w:space="0" w:color="auto"/>
              <w:bottom w:val="single" w:sz="4" w:space="0" w:color="auto"/>
            </w:tcBorders>
          </w:tcPr>
          <w:p w:rsidR="001841BE" w:rsidRDefault="001F5B07" w:rsidP="00DB4188">
            <w:pPr>
              <w:jc w:val="both"/>
              <w:rPr>
                <w:rFonts w:ascii="Times New Roman" w:hAnsi="Times New Roman"/>
                <w:sz w:val="24"/>
                <w:szCs w:val="24"/>
                <w:lang w:val="sr-Cyrl-CS"/>
              </w:rPr>
            </w:pPr>
            <w:r>
              <w:rPr>
                <w:rFonts w:ascii="Times New Roman" w:hAnsi="Times New Roman"/>
                <w:sz w:val="24"/>
                <w:szCs w:val="24"/>
                <w:lang w:val="sr-Cyrl-CS"/>
              </w:rPr>
              <w:t>410</w:t>
            </w:r>
          </w:p>
        </w:tc>
        <w:tc>
          <w:tcPr>
            <w:tcW w:w="1074" w:type="dxa"/>
            <w:gridSpan w:val="2"/>
            <w:tcBorders>
              <w:top w:val="single" w:sz="4" w:space="0" w:color="auto"/>
              <w:bottom w:val="single" w:sz="4" w:space="0" w:color="auto"/>
              <w:right w:val="single" w:sz="4" w:space="0" w:color="auto"/>
            </w:tcBorders>
          </w:tcPr>
          <w:p w:rsidR="001841BE" w:rsidRDefault="001F5B07" w:rsidP="00DB4188">
            <w:pPr>
              <w:jc w:val="both"/>
              <w:rPr>
                <w:rFonts w:ascii="Times New Roman" w:hAnsi="Times New Roman"/>
                <w:sz w:val="24"/>
                <w:szCs w:val="24"/>
                <w:lang w:val="sr-Cyrl-CS"/>
              </w:rPr>
            </w:pPr>
            <w:r>
              <w:rPr>
                <w:rFonts w:ascii="Times New Roman" w:hAnsi="Times New Roman"/>
                <w:sz w:val="24"/>
                <w:szCs w:val="24"/>
                <w:lang w:val="sr-Cyrl-CS"/>
              </w:rPr>
              <w:t>279</w:t>
            </w:r>
          </w:p>
        </w:tc>
        <w:tc>
          <w:tcPr>
            <w:tcW w:w="1186" w:type="dxa"/>
            <w:gridSpan w:val="3"/>
            <w:tcBorders>
              <w:top w:val="single" w:sz="4" w:space="0" w:color="auto"/>
              <w:left w:val="single" w:sz="4" w:space="0" w:color="auto"/>
              <w:bottom w:val="single" w:sz="4" w:space="0" w:color="auto"/>
            </w:tcBorders>
          </w:tcPr>
          <w:p w:rsidR="001841BE" w:rsidRDefault="001F5B07" w:rsidP="00DB4188">
            <w:pPr>
              <w:jc w:val="both"/>
              <w:rPr>
                <w:rFonts w:ascii="Times New Roman" w:hAnsi="Times New Roman"/>
                <w:sz w:val="24"/>
                <w:szCs w:val="24"/>
                <w:lang w:val="sr-Cyrl-CS"/>
              </w:rPr>
            </w:pPr>
            <w:r>
              <w:rPr>
                <w:rFonts w:ascii="Times New Roman" w:hAnsi="Times New Roman"/>
                <w:sz w:val="24"/>
                <w:szCs w:val="24"/>
                <w:lang w:val="sr-Cyrl-CS"/>
              </w:rPr>
              <w:t>38</w:t>
            </w:r>
          </w:p>
        </w:tc>
        <w:tc>
          <w:tcPr>
            <w:tcW w:w="1045" w:type="dxa"/>
            <w:gridSpan w:val="4"/>
            <w:tcBorders>
              <w:top w:val="single" w:sz="4" w:space="0" w:color="auto"/>
              <w:bottom w:val="single" w:sz="4" w:space="0" w:color="auto"/>
              <w:right w:val="single" w:sz="4" w:space="0" w:color="auto"/>
            </w:tcBorders>
          </w:tcPr>
          <w:p w:rsidR="001841BE" w:rsidRDefault="00E63DD3" w:rsidP="00DB4188">
            <w:pPr>
              <w:jc w:val="both"/>
              <w:rPr>
                <w:rFonts w:ascii="Times New Roman" w:hAnsi="Times New Roman"/>
                <w:sz w:val="24"/>
                <w:szCs w:val="24"/>
                <w:lang w:val="sr-Cyrl-CS"/>
              </w:rPr>
            </w:pPr>
            <w:r>
              <w:rPr>
                <w:rFonts w:ascii="Times New Roman" w:hAnsi="Times New Roman"/>
                <w:sz w:val="24"/>
                <w:szCs w:val="24"/>
                <w:lang w:val="sr-Cyrl-CS"/>
              </w:rPr>
              <w:t>213</w:t>
            </w:r>
          </w:p>
        </w:tc>
        <w:tc>
          <w:tcPr>
            <w:tcW w:w="1219" w:type="dxa"/>
            <w:tcBorders>
              <w:top w:val="single" w:sz="4" w:space="0" w:color="auto"/>
              <w:left w:val="single" w:sz="4" w:space="0" w:color="auto"/>
              <w:bottom w:val="single" w:sz="4" w:space="0" w:color="auto"/>
            </w:tcBorders>
          </w:tcPr>
          <w:p w:rsidR="001841BE" w:rsidRDefault="001F5B07" w:rsidP="00DB4188">
            <w:pPr>
              <w:jc w:val="both"/>
              <w:rPr>
                <w:rFonts w:ascii="Times New Roman" w:hAnsi="Times New Roman"/>
                <w:sz w:val="24"/>
                <w:szCs w:val="24"/>
                <w:lang w:val="sr-Cyrl-CS"/>
              </w:rPr>
            </w:pPr>
            <w:r>
              <w:rPr>
                <w:rFonts w:ascii="Times New Roman" w:hAnsi="Times New Roman"/>
                <w:sz w:val="24"/>
                <w:szCs w:val="24"/>
                <w:lang w:val="sr-Cyrl-CS"/>
              </w:rPr>
              <w:t>28</w:t>
            </w:r>
          </w:p>
        </w:tc>
      </w:tr>
      <w:tr w:rsidR="00AD1724" w:rsidTr="000E1089">
        <w:trPr>
          <w:trHeight w:val="444"/>
        </w:trPr>
        <w:tc>
          <w:tcPr>
            <w:tcW w:w="1635" w:type="dxa"/>
            <w:tcBorders>
              <w:top w:val="single" w:sz="4" w:space="0" w:color="auto"/>
              <w:bottom w:val="single" w:sz="4" w:space="0" w:color="auto"/>
            </w:tcBorders>
          </w:tcPr>
          <w:p w:rsidR="001841BE" w:rsidRDefault="00E942F5" w:rsidP="00DB4188">
            <w:pPr>
              <w:jc w:val="both"/>
              <w:rPr>
                <w:rFonts w:ascii="Times New Roman" w:hAnsi="Times New Roman"/>
                <w:sz w:val="20"/>
                <w:szCs w:val="20"/>
                <w:lang w:val="sr-Cyrl-CS"/>
              </w:rPr>
            </w:pPr>
            <w:r>
              <w:rPr>
                <w:rFonts w:ascii="Times New Roman" w:hAnsi="Times New Roman"/>
                <w:sz w:val="20"/>
                <w:szCs w:val="20"/>
                <w:lang w:val="sr-Cyrl-CS"/>
              </w:rPr>
              <w:t>2009.</w:t>
            </w:r>
          </w:p>
        </w:tc>
        <w:tc>
          <w:tcPr>
            <w:tcW w:w="1413" w:type="dxa"/>
            <w:gridSpan w:val="4"/>
            <w:tcBorders>
              <w:top w:val="single" w:sz="4" w:space="0" w:color="auto"/>
              <w:bottom w:val="single" w:sz="4" w:space="0" w:color="auto"/>
              <w:right w:val="single" w:sz="4" w:space="0" w:color="auto"/>
            </w:tcBorders>
          </w:tcPr>
          <w:p w:rsidR="001841BE" w:rsidRDefault="001F5B07" w:rsidP="00DB4188">
            <w:pPr>
              <w:jc w:val="both"/>
              <w:rPr>
                <w:rFonts w:ascii="Times New Roman" w:hAnsi="Times New Roman"/>
                <w:sz w:val="24"/>
                <w:szCs w:val="24"/>
                <w:lang w:val="sr-Cyrl-CS"/>
              </w:rPr>
            </w:pPr>
            <w:r>
              <w:rPr>
                <w:rFonts w:ascii="Times New Roman" w:hAnsi="Times New Roman"/>
                <w:sz w:val="24"/>
                <w:szCs w:val="24"/>
                <w:lang w:val="sr-Cyrl-CS"/>
              </w:rPr>
              <w:t>1092</w:t>
            </w:r>
          </w:p>
        </w:tc>
        <w:tc>
          <w:tcPr>
            <w:tcW w:w="1473" w:type="dxa"/>
            <w:tcBorders>
              <w:top w:val="single" w:sz="4" w:space="0" w:color="auto"/>
              <w:left w:val="single" w:sz="4" w:space="0" w:color="auto"/>
              <w:bottom w:val="single" w:sz="4" w:space="0" w:color="auto"/>
            </w:tcBorders>
          </w:tcPr>
          <w:p w:rsidR="001841BE" w:rsidRDefault="001F5B07" w:rsidP="00DB4188">
            <w:pPr>
              <w:jc w:val="both"/>
              <w:rPr>
                <w:rFonts w:ascii="Times New Roman" w:hAnsi="Times New Roman"/>
                <w:sz w:val="24"/>
                <w:szCs w:val="24"/>
                <w:lang w:val="sr-Cyrl-CS"/>
              </w:rPr>
            </w:pPr>
            <w:r>
              <w:rPr>
                <w:rFonts w:ascii="Times New Roman" w:hAnsi="Times New Roman"/>
                <w:sz w:val="24"/>
                <w:szCs w:val="24"/>
                <w:lang w:val="sr-Cyrl-CS"/>
              </w:rPr>
              <w:t>438</w:t>
            </w:r>
          </w:p>
        </w:tc>
        <w:tc>
          <w:tcPr>
            <w:tcW w:w="1074" w:type="dxa"/>
            <w:gridSpan w:val="2"/>
            <w:tcBorders>
              <w:top w:val="single" w:sz="4" w:space="0" w:color="auto"/>
              <w:bottom w:val="single" w:sz="4" w:space="0" w:color="auto"/>
              <w:right w:val="single" w:sz="4" w:space="0" w:color="auto"/>
            </w:tcBorders>
          </w:tcPr>
          <w:p w:rsidR="001841BE" w:rsidRDefault="001F5B07" w:rsidP="00DB4188">
            <w:pPr>
              <w:jc w:val="both"/>
              <w:rPr>
                <w:rFonts w:ascii="Times New Roman" w:hAnsi="Times New Roman"/>
                <w:sz w:val="24"/>
                <w:szCs w:val="24"/>
                <w:lang w:val="sr-Cyrl-CS"/>
              </w:rPr>
            </w:pPr>
            <w:r>
              <w:rPr>
                <w:rFonts w:ascii="Times New Roman" w:hAnsi="Times New Roman"/>
                <w:sz w:val="24"/>
                <w:szCs w:val="24"/>
                <w:lang w:val="sr-Cyrl-CS"/>
              </w:rPr>
              <w:t>293</w:t>
            </w:r>
          </w:p>
        </w:tc>
        <w:tc>
          <w:tcPr>
            <w:tcW w:w="1186" w:type="dxa"/>
            <w:gridSpan w:val="3"/>
            <w:tcBorders>
              <w:top w:val="single" w:sz="4" w:space="0" w:color="auto"/>
              <w:left w:val="single" w:sz="4" w:space="0" w:color="auto"/>
              <w:bottom w:val="single" w:sz="4" w:space="0" w:color="auto"/>
            </w:tcBorders>
          </w:tcPr>
          <w:p w:rsidR="001841BE" w:rsidRDefault="001F5B07" w:rsidP="00DB4188">
            <w:pPr>
              <w:jc w:val="both"/>
              <w:rPr>
                <w:rFonts w:ascii="Times New Roman" w:hAnsi="Times New Roman"/>
                <w:sz w:val="24"/>
                <w:szCs w:val="24"/>
                <w:lang w:val="sr-Cyrl-CS"/>
              </w:rPr>
            </w:pPr>
            <w:r>
              <w:rPr>
                <w:rFonts w:ascii="Times New Roman" w:hAnsi="Times New Roman"/>
                <w:sz w:val="24"/>
                <w:szCs w:val="24"/>
                <w:lang w:val="sr-Cyrl-CS"/>
              </w:rPr>
              <w:t>49</w:t>
            </w:r>
          </w:p>
        </w:tc>
        <w:tc>
          <w:tcPr>
            <w:tcW w:w="1045" w:type="dxa"/>
            <w:gridSpan w:val="4"/>
            <w:tcBorders>
              <w:top w:val="single" w:sz="4" w:space="0" w:color="auto"/>
              <w:bottom w:val="single" w:sz="4" w:space="0" w:color="auto"/>
              <w:right w:val="single" w:sz="4" w:space="0" w:color="auto"/>
            </w:tcBorders>
          </w:tcPr>
          <w:p w:rsidR="001841BE" w:rsidRDefault="00E63DD3" w:rsidP="00DB4188">
            <w:pPr>
              <w:jc w:val="both"/>
              <w:rPr>
                <w:rFonts w:ascii="Times New Roman" w:hAnsi="Times New Roman"/>
                <w:sz w:val="24"/>
                <w:szCs w:val="24"/>
                <w:lang w:val="sr-Cyrl-CS"/>
              </w:rPr>
            </w:pPr>
            <w:r>
              <w:rPr>
                <w:rFonts w:ascii="Times New Roman" w:hAnsi="Times New Roman"/>
                <w:sz w:val="24"/>
                <w:szCs w:val="24"/>
                <w:lang w:val="sr-Cyrl-CS"/>
              </w:rPr>
              <w:t>210</w:t>
            </w:r>
          </w:p>
        </w:tc>
        <w:tc>
          <w:tcPr>
            <w:tcW w:w="1219" w:type="dxa"/>
            <w:tcBorders>
              <w:top w:val="single" w:sz="4" w:space="0" w:color="auto"/>
              <w:left w:val="single" w:sz="4" w:space="0" w:color="auto"/>
              <w:bottom w:val="single" w:sz="4" w:space="0" w:color="auto"/>
            </w:tcBorders>
          </w:tcPr>
          <w:p w:rsidR="001841BE" w:rsidRDefault="001F5B07" w:rsidP="00DB4188">
            <w:pPr>
              <w:jc w:val="both"/>
              <w:rPr>
                <w:rFonts w:ascii="Times New Roman" w:hAnsi="Times New Roman"/>
                <w:sz w:val="24"/>
                <w:szCs w:val="24"/>
                <w:lang w:val="sr-Cyrl-CS"/>
              </w:rPr>
            </w:pPr>
            <w:r>
              <w:rPr>
                <w:rFonts w:ascii="Times New Roman" w:hAnsi="Times New Roman"/>
                <w:sz w:val="24"/>
                <w:szCs w:val="24"/>
                <w:lang w:val="sr-Cyrl-CS"/>
              </w:rPr>
              <w:t>33</w:t>
            </w:r>
          </w:p>
        </w:tc>
      </w:tr>
      <w:tr w:rsidR="00AD1724" w:rsidTr="000E1089">
        <w:trPr>
          <w:trHeight w:val="352"/>
        </w:trPr>
        <w:tc>
          <w:tcPr>
            <w:tcW w:w="1635" w:type="dxa"/>
            <w:tcBorders>
              <w:top w:val="single" w:sz="4" w:space="0" w:color="auto"/>
              <w:bottom w:val="single" w:sz="4" w:space="0" w:color="auto"/>
            </w:tcBorders>
          </w:tcPr>
          <w:p w:rsidR="001841BE" w:rsidRDefault="00E942F5" w:rsidP="00DB4188">
            <w:pPr>
              <w:jc w:val="both"/>
              <w:rPr>
                <w:rFonts w:ascii="Times New Roman" w:hAnsi="Times New Roman"/>
                <w:sz w:val="20"/>
                <w:szCs w:val="20"/>
                <w:lang w:val="sr-Cyrl-CS"/>
              </w:rPr>
            </w:pPr>
            <w:r>
              <w:rPr>
                <w:rFonts w:ascii="Times New Roman" w:hAnsi="Times New Roman"/>
                <w:sz w:val="20"/>
                <w:szCs w:val="20"/>
                <w:lang w:val="sr-Cyrl-CS"/>
              </w:rPr>
              <w:t>2010.</w:t>
            </w:r>
          </w:p>
        </w:tc>
        <w:tc>
          <w:tcPr>
            <w:tcW w:w="1413" w:type="dxa"/>
            <w:gridSpan w:val="4"/>
            <w:tcBorders>
              <w:top w:val="single" w:sz="4" w:space="0" w:color="auto"/>
              <w:bottom w:val="single" w:sz="4" w:space="0" w:color="auto"/>
              <w:right w:val="single" w:sz="4" w:space="0" w:color="auto"/>
            </w:tcBorders>
          </w:tcPr>
          <w:p w:rsidR="001841BE" w:rsidRDefault="00E63DD3" w:rsidP="00DB4188">
            <w:pPr>
              <w:jc w:val="both"/>
              <w:rPr>
                <w:rFonts w:ascii="Times New Roman" w:hAnsi="Times New Roman"/>
                <w:sz w:val="24"/>
                <w:szCs w:val="24"/>
                <w:lang w:val="sr-Cyrl-CS"/>
              </w:rPr>
            </w:pPr>
            <w:r>
              <w:rPr>
                <w:rFonts w:ascii="Times New Roman" w:hAnsi="Times New Roman"/>
                <w:sz w:val="24"/>
                <w:szCs w:val="24"/>
                <w:lang w:val="sr-Cyrl-CS"/>
              </w:rPr>
              <w:t>658</w:t>
            </w:r>
          </w:p>
        </w:tc>
        <w:tc>
          <w:tcPr>
            <w:tcW w:w="1473" w:type="dxa"/>
            <w:tcBorders>
              <w:top w:val="single" w:sz="4" w:space="0" w:color="auto"/>
              <w:left w:val="single" w:sz="4" w:space="0" w:color="auto"/>
              <w:bottom w:val="single" w:sz="4" w:space="0" w:color="auto"/>
            </w:tcBorders>
          </w:tcPr>
          <w:p w:rsidR="001841BE" w:rsidRDefault="00E63DD3" w:rsidP="00DB4188">
            <w:pPr>
              <w:jc w:val="both"/>
              <w:rPr>
                <w:rFonts w:ascii="Times New Roman" w:hAnsi="Times New Roman"/>
                <w:sz w:val="24"/>
                <w:szCs w:val="24"/>
                <w:lang w:val="sr-Cyrl-CS"/>
              </w:rPr>
            </w:pPr>
            <w:r>
              <w:rPr>
                <w:rFonts w:ascii="Times New Roman" w:hAnsi="Times New Roman"/>
                <w:sz w:val="24"/>
                <w:szCs w:val="24"/>
                <w:lang w:val="sr-Cyrl-CS"/>
              </w:rPr>
              <w:t>208</w:t>
            </w:r>
          </w:p>
        </w:tc>
        <w:tc>
          <w:tcPr>
            <w:tcW w:w="1074" w:type="dxa"/>
            <w:gridSpan w:val="2"/>
            <w:tcBorders>
              <w:top w:val="single" w:sz="4" w:space="0" w:color="auto"/>
              <w:bottom w:val="single" w:sz="4" w:space="0" w:color="auto"/>
              <w:right w:val="single" w:sz="4" w:space="0" w:color="auto"/>
            </w:tcBorders>
          </w:tcPr>
          <w:p w:rsidR="001841BE" w:rsidRDefault="00E63DD3" w:rsidP="00DB4188">
            <w:pPr>
              <w:jc w:val="both"/>
              <w:rPr>
                <w:rFonts w:ascii="Times New Roman" w:hAnsi="Times New Roman"/>
                <w:sz w:val="24"/>
                <w:szCs w:val="24"/>
                <w:lang w:val="sr-Cyrl-CS"/>
              </w:rPr>
            </w:pPr>
            <w:r>
              <w:rPr>
                <w:rFonts w:ascii="Times New Roman" w:hAnsi="Times New Roman"/>
                <w:sz w:val="24"/>
                <w:szCs w:val="24"/>
                <w:lang w:val="sr-Cyrl-CS"/>
              </w:rPr>
              <w:t>119</w:t>
            </w:r>
          </w:p>
        </w:tc>
        <w:tc>
          <w:tcPr>
            <w:tcW w:w="1186" w:type="dxa"/>
            <w:gridSpan w:val="3"/>
            <w:tcBorders>
              <w:top w:val="single" w:sz="4" w:space="0" w:color="auto"/>
              <w:left w:val="single" w:sz="4" w:space="0" w:color="auto"/>
              <w:bottom w:val="single" w:sz="4" w:space="0" w:color="auto"/>
            </w:tcBorders>
          </w:tcPr>
          <w:p w:rsidR="001841BE" w:rsidRDefault="001F5B07" w:rsidP="00DB4188">
            <w:pPr>
              <w:jc w:val="both"/>
              <w:rPr>
                <w:rFonts w:ascii="Times New Roman" w:hAnsi="Times New Roman"/>
                <w:sz w:val="24"/>
                <w:szCs w:val="24"/>
                <w:lang w:val="sr-Cyrl-CS"/>
              </w:rPr>
            </w:pPr>
            <w:r>
              <w:rPr>
                <w:rFonts w:ascii="Times New Roman" w:hAnsi="Times New Roman"/>
                <w:sz w:val="24"/>
                <w:szCs w:val="24"/>
                <w:lang w:val="sr-Cyrl-CS"/>
              </w:rPr>
              <w:t>17</w:t>
            </w:r>
          </w:p>
        </w:tc>
        <w:tc>
          <w:tcPr>
            <w:tcW w:w="1045" w:type="dxa"/>
            <w:gridSpan w:val="4"/>
            <w:tcBorders>
              <w:top w:val="single" w:sz="4" w:space="0" w:color="auto"/>
              <w:bottom w:val="single" w:sz="4" w:space="0" w:color="auto"/>
              <w:right w:val="single" w:sz="4" w:space="0" w:color="auto"/>
            </w:tcBorders>
          </w:tcPr>
          <w:p w:rsidR="001841BE" w:rsidRDefault="00E63DD3" w:rsidP="00DB4188">
            <w:pPr>
              <w:jc w:val="both"/>
              <w:rPr>
                <w:rFonts w:ascii="Times New Roman" w:hAnsi="Times New Roman"/>
                <w:sz w:val="24"/>
                <w:szCs w:val="24"/>
                <w:lang w:val="sr-Cyrl-CS"/>
              </w:rPr>
            </w:pPr>
            <w:r>
              <w:rPr>
                <w:rFonts w:ascii="Times New Roman" w:hAnsi="Times New Roman"/>
                <w:sz w:val="24"/>
                <w:szCs w:val="24"/>
                <w:lang w:val="sr-Cyrl-CS"/>
              </w:rPr>
              <w:t>94</w:t>
            </w:r>
          </w:p>
        </w:tc>
        <w:tc>
          <w:tcPr>
            <w:tcW w:w="1219" w:type="dxa"/>
            <w:tcBorders>
              <w:top w:val="single" w:sz="4" w:space="0" w:color="auto"/>
              <w:left w:val="single" w:sz="4" w:space="0" w:color="auto"/>
              <w:bottom w:val="single" w:sz="4" w:space="0" w:color="auto"/>
            </w:tcBorders>
          </w:tcPr>
          <w:p w:rsidR="001841BE" w:rsidRDefault="001F5B07" w:rsidP="00DB4188">
            <w:pPr>
              <w:jc w:val="both"/>
              <w:rPr>
                <w:rFonts w:ascii="Times New Roman" w:hAnsi="Times New Roman"/>
                <w:sz w:val="24"/>
                <w:szCs w:val="24"/>
                <w:lang w:val="sr-Cyrl-CS"/>
              </w:rPr>
            </w:pPr>
            <w:r>
              <w:rPr>
                <w:rFonts w:ascii="Times New Roman" w:hAnsi="Times New Roman"/>
                <w:sz w:val="24"/>
                <w:szCs w:val="24"/>
                <w:lang w:val="sr-Cyrl-CS"/>
              </w:rPr>
              <w:t>8</w:t>
            </w:r>
          </w:p>
        </w:tc>
      </w:tr>
      <w:tr w:rsidR="00AD1724" w:rsidTr="000E1089">
        <w:trPr>
          <w:trHeight w:val="246"/>
        </w:trPr>
        <w:tc>
          <w:tcPr>
            <w:tcW w:w="1635" w:type="dxa"/>
            <w:tcBorders>
              <w:top w:val="single" w:sz="4" w:space="0" w:color="auto"/>
              <w:bottom w:val="single" w:sz="4" w:space="0" w:color="auto"/>
            </w:tcBorders>
          </w:tcPr>
          <w:p w:rsidR="001841BE" w:rsidRDefault="00E942F5" w:rsidP="00DB4188">
            <w:pPr>
              <w:jc w:val="both"/>
              <w:rPr>
                <w:rFonts w:ascii="Times New Roman" w:hAnsi="Times New Roman"/>
                <w:sz w:val="20"/>
                <w:szCs w:val="20"/>
                <w:lang w:val="sr-Cyrl-CS"/>
              </w:rPr>
            </w:pPr>
            <w:r>
              <w:rPr>
                <w:rFonts w:ascii="Times New Roman" w:hAnsi="Times New Roman"/>
                <w:sz w:val="20"/>
                <w:szCs w:val="20"/>
                <w:lang w:val="sr-Cyrl-CS"/>
              </w:rPr>
              <w:t>2011.</w:t>
            </w:r>
          </w:p>
        </w:tc>
        <w:tc>
          <w:tcPr>
            <w:tcW w:w="1413" w:type="dxa"/>
            <w:gridSpan w:val="4"/>
            <w:tcBorders>
              <w:top w:val="single" w:sz="4" w:space="0" w:color="auto"/>
              <w:bottom w:val="single" w:sz="4" w:space="0" w:color="auto"/>
              <w:right w:val="single" w:sz="4" w:space="0" w:color="auto"/>
            </w:tcBorders>
          </w:tcPr>
          <w:p w:rsidR="001841BE" w:rsidRDefault="00E63DD3" w:rsidP="00DB4188">
            <w:pPr>
              <w:jc w:val="both"/>
              <w:rPr>
                <w:rFonts w:ascii="Times New Roman" w:hAnsi="Times New Roman"/>
                <w:sz w:val="24"/>
                <w:szCs w:val="24"/>
                <w:lang w:val="sr-Cyrl-CS"/>
              </w:rPr>
            </w:pPr>
            <w:r>
              <w:rPr>
                <w:rFonts w:ascii="Times New Roman" w:hAnsi="Times New Roman"/>
                <w:sz w:val="24"/>
                <w:szCs w:val="24"/>
                <w:lang w:val="sr-Cyrl-CS"/>
              </w:rPr>
              <w:t>938</w:t>
            </w:r>
          </w:p>
        </w:tc>
        <w:tc>
          <w:tcPr>
            <w:tcW w:w="1473" w:type="dxa"/>
            <w:tcBorders>
              <w:top w:val="single" w:sz="4" w:space="0" w:color="auto"/>
              <w:left w:val="single" w:sz="4" w:space="0" w:color="auto"/>
              <w:bottom w:val="single" w:sz="4" w:space="0" w:color="auto"/>
            </w:tcBorders>
          </w:tcPr>
          <w:p w:rsidR="001841BE" w:rsidRDefault="00E63DD3" w:rsidP="00DB4188">
            <w:pPr>
              <w:jc w:val="both"/>
              <w:rPr>
                <w:rFonts w:ascii="Times New Roman" w:hAnsi="Times New Roman"/>
                <w:sz w:val="24"/>
                <w:szCs w:val="24"/>
                <w:lang w:val="sr-Cyrl-CS"/>
              </w:rPr>
            </w:pPr>
            <w:r>
              <w:rPr>
                <w:rFonts w:ascii="Times New Roman" w:hAnsi="Times New Roman"/>
                <w:sz w:val="24"/>
                <w:szCs w:val="24"/>
                <w:lang w:val="sr-Cyrl-CS"/>
              </w:rPr>
              <w:t>449</w:t>
            </w:r>
          </w:p>
        </w:tc>
        <w:tc>
          <w:tcPr>
            <w:tcW w:w="1074" w:type="dxa"/>
            <w:gridSpan w:val="2"/>
            <w:tcBorders>
              <w:top w:val="single" w:sz="4" w:space="0" w:color="auto"/>
              <w:bottom w:val="single" w:sz="4" w:space="0" w:color="auto"/>
              <w:right w:val="single" w:sz="4" w:space="0" w:color="auto"/>
            </w:tcBorders>
          </w:tcPr>
          <w:p w:rsidR="001841BE" w:rsidRDefault="00E63DD3" w:rsidP="00DB4188">
            <w:pPr>
              <w:jc w:val="both"/>
              <w:rPr>
                <w:rFonts w:ascii="Times New Roman" w:hAnsi="Times New Roman"/>
                <w:sz w:val="24"/>
                <w:szCs w:val="24"/>
                <w:lang w:val="sr-Cyrl-CS"/>
              </w:rPr>
            </w:pPr>
            <w:r>
              <w:rPr>
                <w:rFonts w:ascii="Times New Roman" w:hAnsi="Times New Roman"/>
                <w:sz w:val="24"/>
                <w:szCs w:val="24"/>
                <w:lang w:val="sr-Cyrl-CS"/>
              </w:rPr>
              <w:t>262</w:t>
            </w:r>
          </w:p>
        </w:tc>
        <w:tc>
          <w:tcPr>
            <w:tcW w:w="1186" w:type="dxa"/>
            <w:gridSpan w:val="3"/>
            <w:tcBorders>
              <w:top w:val="single" w:sz="4" w:space="0" w:color="auto"/>
              <w:left w:val="single" w:sz="4" w:space="0" w:color="auto"/>
              <w:bottom w:val="single" w:sz="4" w:space="0" w:color="auto"/>
            </w:tcBorders>
          </w:tcPr>
          <w:p w:rsidR="001841BE" w:rsidRDefault="001F5B07" w:rsidP="00DB4188">
            <w:pPr>
              <w:jc w:val="both"/>
              <w:rPr>
                <w:rFonts w:ascii="Times New Roman" w:hAnsi="Times New Roman"/>
                <w:sz w:val="24"/>
                <w:szCs w:val="24"/>
                <w:lang w:val="sr-Cyrl-CS"/>
              </w:rPr>
            </w:pPr>
            <w:r>
              <w:rPr>
                <w:rFonts w:ascii="Times New Roman" w:hAnsi="Times New Roman"/>
                <w:sz w:val="24"/>
                <w:szCs w:val="24"/>
                <w:lang w:val="sr-Cyrl-CS"/>
              </w:rPr>
              <w:t>31</w:t>
            </w:r>
          </w:p>
        </w:tc>
        <w:tc>
          <w:tcPr>
            <w:tcW w:w="1045" w:type="dxa"/>
            <w:gridSpan w:val="4"/>
            <w:tcBorders>
              <w:top w:val="single" w:sz="4" w:space="0" w:color="auto"/>
              <w:bottom w:val="single" w:sz="4" w:space="0" w:color="auto"/>
              <w:right w:val="single" w:sz="4" w:space="0" w:color="auto"/>
            </w:tcBorders>
          </w:tcPr>
          <w:p w:rsidR="001841BE" w:rsidRDefault="00E63DD3" w:rsidP="00DB4188">
            <w:pPr>
              <w:jc w:val="both"/>
              <w:rPr>
                <w:rFonts w:ascii="Times New Roman" w:hAnsi="Times New Roman"/>
                <w:sz w:val="24"/>
                <w:szCs w:val="24"/>
                <w:lang w:val="sr-Cyrl-CS"/>
              </w:rPr>
            </w:pPr>
            <w:r>
              <w:rPr>
                <w:rFonts w:ascii="Times New Roman" w:hAnsi="Times New Roman"/>
                <w:sz w:val="24"/>
                <w:szCs w:val="24"/>
                <w:lang w:val="sr-Cyrl-CS"/>
              </w:rPr>
              <w:t>212</w:t>
            </w:r>
          </w:p>
        </w:tc>
        <w:tc>
          <w:tcPr>
            <w:tcW w:w="1219" w:type="dxa"/>
            <w:tcBorders>
              <w:top w:val="single" w:sz="4" w:space="0" w:color="auto"/>
              <w:left w:val="single" w:sz="4" w:space="0" w:color="auto"/>
              <w:bottom w:val="single" w:sz="4" w:space="0" w:color="auto"/>
            </w:tcBorders>
          </w:tcPr>
          <w:p w:rsidR="001841BE" w:rsidRDefault="001F5B07" w:rsidP="00DB4188">
            <w:pPr>
              <w:jc w:val="both"/>
              <w:rPr>
                <w:rFonts w:ascii="Times New Roman" w:hAnsi="Times New Roman"/>
                <w:sz w:val="24"/>
                <w:szCs w:val="24"/>
                <w:lang w:val="sr-Cyrl-CS"/>
              </w:rPr>
            </w:pPr>
            <w:r>
              <w:rPr>
                <w:rFonts w:ascii="Times New Roman" w:hAnsi="Times New Roman"/>
                <w:sz w:val="24"/>
                <w:szCs w:val="24"/>
                <w:lang w:val="sr-Cyrl-CS"/>
              </w:rPr>
              <w:t>16</w:t>
            </w:r>
          </w:p>
        </w:tc>
      </w:tr>
      <w:tr w:rsidR="00AD1724" w:rsidTr="000E1089">
        <w:trPr>
          <w:trHeight w:val="296"/>
        </w:trPr>
        <w:tc>
          <w:tcPr>
            <w:tcW w:w="1635" w:type="dxa"/>
            <w:tcBorders>
              <w:top w:val="single" w:sz="4" w:space="0" w:color="auto"/>
            </w:tcBorders>
          </w:tcPr>
          <w:p w:rsidR="001841BE" w:rsidRDefault="00E942F5" w:rsidP="00DB4188">
            <w:pPr>
              <w:jc w:val="both"/>
              <w:rPr>
                <w:rFonts w:ascii="Times New Roman" w:hAnsi="Times New Roman"/>
                <w:sz w:val="20"/>
                <w:szCs w:val="20"/>
                <w:lang w:val="sr-Cyrl-CS"/>
              </w:rPr>
            </w:pPr>
            <w:r>
              <w:rPr>
                <w:rFonts w:ascii="Times New Roman" w:hAnsi="Times New Roman"/>
                <w:sz w:val="20"/>
                <w:szCs w:val="20"/>
                <w:lang w:val="sr-Cyrl-CS"/>
              </w:rPr>
              <w:t>2012.</w:t>
            </w:r>
          </w:p>
        </w:tc>
        <w:tc>
          <w:tcPr>
            <w:tcW w:w="1413" w:type="dxa"/>
            <w:gridSpan w:val="4"/>
            <w:tcBorders>
              <w:top w:val="single" w:sz="4" w:space="0" w:color="auto"/>
              <w:right w:val="single" w:sz="4" w:space="0" w:color="auto"/>
            </w:tcBorders>
          </w:tcPr>
          <w:p w:rsidR="001841BE" w:rsidRDefault="00E63DD3" w:rsidP="00DB4188">
            <w:pPr>
              <w:jc w:val="both"/>
              <w:rPr>
                <w:rFonts w:ascii="Times New Roman" w:hAnsi="Times New Roman"/>
                <w:sz w:val="24"/>
                <w:szCs w:val="24"/>
                <w:lang w:val="sr-Cyrl-CS"/>
              </w:rPr>
            </w:pPr>
            <w:r>
              <w:rPr>
                <w:rFonts w:ascii="Times New Roman" w:hAnsi="Times New Roman"/>
                <w:sz w:val="24"/>
                <w:szCs w:val="24"/>
                <w:lang w:val="sr-Cyrl-CS"/>
              </w:rPr>
              <w:t>1132</w:t>
            </w:r>
          </w:p>
        </w:tc>
        <w:tc>
          <w:tcPr>
            <w:tcW w:w="1473" w:type="dxa"/>
            <w:tcBorders>
              <w:top w:val="single" w:sz="4" w:space="0" w:color="auto"/>
              <w:left w:val="single" w:sz="4" w:space="0" w:color="auto"/>
            </w:tcBorders>
          </w:tcPr>
          <w:p w:rsidR="001841BE" w:rsidRDefault="00E63DD3" w:rsidP="00DB4188">
            <w:pPr>
              <w:jc w:val="both"/>
              <w:rPr>
                <w:rFonts w:ascii="Times New Roman" w:hAnsi="Times New Roman"/>
                <w:sz w:val="24"/>
                <w:szCs w:val="24"/>
                <w:lang w:val="sr-Cyrl-CS"/>
              </w:rPr>
            </w:pPr>
            <w:r>
              <w:rPr>
                <w:rFonts w:ascii="Times New Roman" w:hAnsi="Times New Roman"/>
                <w:sz w:val="24"/>
                <w:szCs w:val="24"/>
                <w:lang w:val="sr-Cyrl-CS"/>
              </w:rPr>
              <w:t>499</w:t>
            </w:r>
          </w:p>
        </w:tc>
        <w:tc>
          <w:tcPr>
            <w:tcW w:w="1074" w:type="dxa"/>
            <w:gridSpan w:val="2"/>
            <w:tcBorders>
              <w:top w:val="single" w:sz="4" w:space="0" w:color="auto"/>
              <w:right w:val="single" w:sz="4" w:space="0" w:color="auto"/>
            </w:tcBorders>
          </w:tcPr>
          <w:p w:rsidR="001841BE" w:rsidRDefault="00E63DD3" w:rsidP="00DB4188">
            <w:pPr>
              <w:jc w:val="both"/>
              <w:rPr>
                <w:rFonts w:ascii="Times New Roman" w:hAnsi="Times New Roman"/>
                <w:sz w:val="24"/>
                <w:szCs w:val="24"/>
                <w:lang w:val="sr-Cyrl-CS"/>
              </w:rPr>
            </w:pPr>
            <w:r>
              <w:rPr>
                <w:rFonts w:ascii="Times New Roman" w:hAnsi="Times New Roman"/>
                <w:sz w:val="24"/>
                <w:szCs w:val="24"/>
                <w:lang w:val="sr-Cyrl-CS"/>
              </w:rPr>
              <w:t>246</w:t>
            </w:r>
          </w:p>
        </w:tc>
        <w:tc>
          <w:tcPr>
            <w:tcW w:w="1186" w:type="dxa"/>
            <w:gridSpan w:val="3"/>
            <w:tcBorders>
              <w:top w:val="single" w:sz="4" w:space="0" w:color="auto"/>
              <w:left w:val="single" w:sz="4" w:space="0" w:color="auto"/>
            </w:tcBorders>
          </w:tcPr>
          <w:p w:rsidR="001841BE" w:rsidRDefault="001F5B07" w:rsidP="00DB4188">
            <w:pPr>
              <w:jc w:val="both"/>
              <w:rPr>
                <w:rFonts w:ascii="Times New Roman" w:hAnsi="Times New Roman"/>
                <w:sz w:val="24"/>
                <w:szCs w:val="24"/>
                <w:lang w:val="sr-Cyrl-CS"/>
              </w:rPr>
            </w:pPr>
            <w:r>
              <w:rPr>
                <w:rFonts w:ascii="Times New Roman" w:hAnsi="Times New Roman"/>
                <w:sz w:val="24"/>
                <w:szCs w:val="24"/>
                <w:lang w:val="sr-Cyrl-CS"/>
              </w:rPr>
              <w:t>44</w:t>
            </w:r>
          </w:p>
        </w:tc>
        <w:tc>
          <w:tcPr>
            <w:tcW w:w="1045" w:type="dxa"/>
            <w:gridSpan w:val="4"/>
            <w:tcBorders>
              <w:top w:val="single" w:sz="4" w:space="0" w:color="auto"/>
              <w:right w:val="single" w:sz="4" w:space="0" w:color="auto"/>
            </w:tcBorders>
          </w:tcPr>
          <w:p w:rsidR="001841BE" w:rsidRDefault="00E63DD3" w:rsidP="00DB4188">
            <w:pPr>
              <w:jc w:val="both"/>
              <w:rPr>
                <w:rFonts w:ascii="Times New Roman" w:hAnsi="Times New Roman"/>
                <w:sz w:val="24"/>
                <w:szCs w:val="24"/>
                <w:lang w:val="sr-Cyrl-CS"/>
              </w:rPr>
            </w:pPr>
            <w:r>
              <w:rPr>
                <w:rFonts w:ascii="Times New Roman" w:hAnsi="Times New Roman"/>
                <w:sz w:val="24"/>
                <w:szCs w:val="24"/>
                <w:lang w:val="sr-Cyrl-CS"/>
              </w:rPr>
              <w:t>193</w:t>
            </w:r>
          </w:p>
        </w:tc>
        <w:tc>
          <w:tcPr>
            <w:tcW w:w="1219" w:type="dxa"/>
            <w:tcBorders>
              <w:top w:val="single" w:sz="4" w:space="0" w:color="auto"/>
              <w:left w:val="single" w:sz="4" w:space="0" w:color="auto"/>
            </w:tcBorders>
          </w:tcPr>
          <w:p w:rsidR="001841BE" w:rsidRDefault="001F5B07" w:rsidP="00DB4188">
            <w:pPr>
              <w:jc w:val="both"/>
              <w:rPr>
                <w:rFonts w:ascii="Times New Roman" w:hAnsi="Times New Roman"/>
                <w:sz w:val="24"/>
                <w:szCs w:val="24"/>
                <w:lang w:val="sr-Cyrl-CS"/>
              </w:rPr>
            </w:pPr>
            <w:r>
              <w:rPr>
                <w:rFonts w:ascii="Times New Roman" w:hAnsi="Times New Roman"/>
                <w:sz w:val="24"/>
                <w:szCs w:val="24"/>
                <w:lang w:val="sr-Cyrl-CS"/>
              </w:rPr>
              <w:t>8</w:t>
            </w:r>
          </w:p>
        </w:tc>
      </w:tr>
      <w:tr w:rsidR="00AD1724" w:rsidTr="000E1089">
        <w:trPr>
          <w:trHeight w:val="460"/>
        </w:trPr>
        <w:tc>
          <w:tcPr>
            <w:tcW w:w="1635" w:type="dxa"/>
            <w:tcBorders>
              <w:bottom w:val="single" w:sz="4" w:space="0" w:color="auto"/>
            </w:tcBorders>
          </w:tcPr>
          <w:p w:rsidR="001841BE" w:rsidRPr="00AD1724" w:rsidRDefault="001841BE" w:rsidP="00AD1724">
            <w:pPr>
              <w:pStyle w:val="NoSpacing"/>
              <w:rPr>
                <w:rFonts w:ascii="Times New Roman" w:hAnsi="Times New Roman"/>
                <w:b/>
                <w:sz w:val="20"/>
                <w:szCs w:val="20"/>
                <w:lang w:val="sr-Cyrl-CS"/>
              </w:rPr>
            </w:pPr>
            <w:r w:rsidRPr="00AD1724">
              <w:rPr>
                <w:rFonts w:ascii="Times New Roman" w:hAnsi="Times New Roman"/>
                <w:b/>
                <w:sz w:val="20"/>
                <w:szCs w:val="20"/>
                <w:lang w:val="sr-Cyrl-CS"/>
              </w:rPr>
              <w:t>Прање новца</w:t>
            </w:r>
          </w:p>
          <w:p w:rsidR="001841BE" w:rsidRPr="00E83544" w:rsidRDefault="001841BE" w:rsidP="00AD1724">
            <w:pPr>
              <w:pStyle w:val="NoSpacing"/>
              <w:rPr>
                <w:lang w:val="sr-Cyrl-CS"/>
              </w:rPr>
            </w:pPr>
            <w:r w:rsidRPr="00AD1724">
              <w:rPr>
                <w:rFonts w:ascii="Times New Roman" w:hAnsi="Times New Roman"/>
                <w:sz w:val="20"/>
                <w:szCs w:val="20"/>
                <w:lang w:val="sr-Cyrl-CS"/>
              </w:rPr>
              <w:t>2007.</w:t>
            </w:r>
          </w:p>
        </w:tc>
        <w:tc>
          <w:tcPr>
            <w:tcW w:w="1413" w:type="dxa"/>
            <w:gridSpan w:val="4"/>
            <w:tcBorders>
              <w:bottom w:val="single" w:sz="4" w:space="0" w:color="auto"/>
              <w:right w:val="single" w:sz="4" w:space="0" w:color="auto"/>
            </w:tcBorders>
          </w:tcPr>
          <w:p w:rsidR="001841BE" w:rsidRDefault="00E63DD3" w:rsidP="00DB4188">
            <w:pPr>
              <w:jc w:val="both"/>
              <w:rPr>
                <w:rFonts w:ascii="Times New Roman" w:hAnsi="Times New Roman"/>
                <w:sz w:val="24"/>
                <w:szCs w:val="24"/>
                <w:lang w:val="sr-Cyrl-CS"/>
              </w:rPr>
            </w:pPr>
            <w:r>
              <w:rPr>
                <w:rFonts w:ascii="Times New Roman" w:hAnsi="Times New Roman"/>
                <w:sz w:val="24"/>
                <w:szCs w:val="24"/>
                <w:lang w:val="sr-Cyrl-CS"/>
              </w:rPr>
              <w:t>12</w:t>
            </w:r>
          </w:p>
        </w:tc>
        <w:tc>
          <w:tcPr>
            <w:tcW w:w="1473" w:type="dxa"/>
            <w:tcBorders>
              <w:left w:val="single" w:sz="4" w:space="0" w:color="auto"/>
              <w:bottom w:val="single" w:sz="4" w:space="0" w:color="auto"/>
            </w:tcBorders>
          </w:tcPr>
          <w:p w:rsidR="001841BE" w:rsidRDefault="00E63DD3" w:rsidP="00DB4188">
            <w:pPr>
              <w:jc w:val="both"/>
              <w:rPr>
                <w:rFonts w:ascii="Times New Roman" w:hAnsi="Times New Roman"/>
                <w:sz w:val="24"/>
                <w:szCs w:val="24"/>
                <w:lang w:val="sr-Cyrl-CS"/>
              </w:rPr>
            </w:pPr>
            <w:r>
              <w:rPr>
                <w:rFonts w:ascii="Times New Roman" w:hAnsi="Times New Roman"/>
                <w:sz w:val="24"/>
                <w:szCs w:val="24"/>
                <w:lang w:val="sr-Cyrl-CS"/>
              </w:rPr>
              <w:t>1</w:t>
            </w:r>
          </w:p>
        </w:tc>
        <w:tc>
          <w:tcPr>
            <w:tcW w:w="1074" w:type="dxa"/>
            <w:gridSpan w:val="2"/>
            <w:tcBorders>
              <w:bottom w:val="single" w:sz="4" w:space="0" w:color="auto"/>
              <w:right w:val="single" w:sz="4" w:space="0" w:color="auto"/>
            </w:tcBorders>
          </w:tcPr>
          <w:p w:rsidR="001841BE" w:rsidRDefault="00E63DD3" w:rsidP="00DB4188">
            <w:pPr>
              <w:jc w:val="both"/>
              <w:rPr>
                <w:rFonts w:ascii="Times New Roman" w:hAnsi="Times New Roman"/>
                <w:sz w:val="24"/>
                <w:szCs w:val="24"/>
                <w:lang w:val="sr-Cyrl-CS"/>
              </w:rPr>
            </w:pPr>
            <w:r>
              <w:rPr>
                <w:rFonts w:ascii="Times New Roman" w:hAnsi="Times New Roman"/>
                <w:sz w:val="24"/>
                <w:szCs w:val="24"/>
                <w:lang w:val="sr-Cyrl-CS"/>
              </w:rPr>
              <w:t>1</w:t>
            </w:r>
          </w:p>
        </w:tc>
        <w:tc>
          <w:tcPr>
            <w:tcW w:w="1186" w:type="dxa"/>
            <w:gridSpan w:val="3"/>
            <w:tcBorders>
              <w:left w:val="single" w:sz="4" w:space="0" w:color="auto"/>
              <w:bottom w:val="single" w:sz="4" w:space="0" w:color="auto"/>
            </w:tcBorders>
          </w:tcPr>
          <w:p w:rsidR="001841BE" w:rsidRDefault="00E63DD3" w:rsidP="00DB4188">
            <w:pPr>
              <w:jc w:val="both"/>
              <w:rPr>
                <w:rFonts w:ascii="Times New Roman" w:hAnsi="Times New Roman"/>
                <w:sz w:val="24"/>
                <w:szCs w:val="24"/>
                <w:lang w:val="sr-Cyrl-CS"/>
              </w:rPr>
            </w:pPr>
            <w:r>
              <w:rPr>
                <w:rFonts w:ascii="Times New Roman" w:hAnsi="Times New Roman"/>
                <w:sz w:val="24"/>
                <w:szCs w:val="24"/>
                <w:lang w:val="sr-Cyrl-CS"/>
              </w:rPr>
              <w:t>1</w:t>
            </w:r>
          </w:p>
        </w:tc>
        <w:tc>
          <w:tcPr>
            <w:tcW w:w="1045" w:type="dxa"/>
            <w:gridSpan w:val="4"/>
            <w:tcBorders>
              <w:bottom w:val="single" w:sz="4" w:space="0" w:color="auto"/>
              <w:right w:val="single" w:sz="4" w:space="0" w:color="auto"/>
            </w:tcBorders>
          </w:tcPr>
          <w:p w:rsidR="001841BE" w:rsidRDefault="00E63DD3" w:rsidP="00DB4188">
            <w:pPr>
              <w:jc w:val="both"/>
              <w:rPr>
                <w:rFonts w:ascii="Times New Roman" w:hAnsi="Times New Roman"/>
                <w:sz w:val="24"/>
                <w:szCs w:val="24"/>
                <w:lang w:val="sr-Cyrl-CS"/>
              </w:rPr>
            </w:pPr>
            <w:r>
              <w:rPr>
                <w:rFonts w:ascii="Times New Roman" w:hAnsi="Times New Roman"/>
                <w:sz w:val="24"/>
                <w:szCs w:val="24"/>
                <w:lang w:val="sr-Cyrl-CS"/>
              </w:rPr>
              <w:t>18</w:t>
            </w:r>
          </w:p>
        </w:tc>
        <w:tc>
          <w:tcPr>
            <w:tcW w:w="1219" w:type="dxa"/>
            <w:tcBorders>
              <w:left w:val="single" w:sz="4" w:space="0" w:color="auto"/>
              <w:bottom w:val="single" w:sz="4" w:space="0" w:color="auto"/>
            </w:tcBorders>
          </w:tcPr>
          <w:p w:rsidR="001841BE" w:rsidRDefault="005C6CB4" w:rsidP="00DB4188">
            <w:pPr>
              <w:jc w:val="both"/>
              <w:rPr>
                <w:rFonts w:ascii="Times New Roman" w:hAnsi="Times New Roman"/>
                <w:sz w:val="24"/>
                <w:szCs w:val="24"/>
                <w:lang w:val="sr-Cyrl-CS"/>
              </w:rPr>
            </w:pPr>
            <w:r>
              <w:rPr>
                <w:rFonts w:ascii="Times New Roman" w:hAnsi="Times New Roman"/>
                <w:sz w:val="24"/>
                <w:szCs w:val="24"/>
                <w:lang w:val="sr-Cyrl-CS"/>
              </w:rPr>
              <w:t>-</w:t>
            </w:r>
          </w:p>
        </w:tc>
      </w:tr>
      <w:tr w:rsidR="00AD1724" w:rsidTr="000E1089">
        <w:trPr>
          <w:trHeight w:val="354"/>
        </w:trPr>
        <w:tc>
          <w:tcPr>
            <w:tcW w:w="1635" w:type="dxa"/>
            <w:tcBorders>
              <w:top w:val="single" w:sz="4" w:space="0" w:color="auto"/>
              <w:bottom w:val="single" w:sz="4" w:space="0" w:color="auto"/>
            </w:tcBorders>
          </w:tcPr>
          <w:p w:rsidR="001841BE" w:rsidRDefault="00E942F5" w:rsidP="00DB4188">
            <w:pPr>
              <w:jc w:val="both"/>
              <w:rPr>
                <w:rFonts w:ascii="Times New Roman" w:hAnsi="Times New Roman"/>
                <w:sz w:val="24"/>
                <w:szCs w:val="24"/>
                <w:lang w:val="sr-Cyrl-CS"/>
              </w:rPr>
            </w:pPr>
            <w:r>
              <w:rPr>
                <w:rFonts w:ascii="Times New Roman" w:hAnsi="Times New Roman"/>
                <w:sz w:val="20"/>
                <w:szCs w:val="20"/>
                <w:lang w:val="sr-Cyrl-CS"/>
              </w:rPr>
              <w:t>2008.</w:t>
            </w:r>
          </w:p>
        </w:tc>
        <w:tc>
          <w:tcPr>
            <w:tcW w:w="1413" w:type="dxa"/>
            <w:gridSpan w:val="4"/>
            <w:tcBorders>
              <w:top w:val="single" w:sz="4" w:space="0" w:color="auto"/>
              <w:bottom w:val="single" w:sz="4" w:space="0" w:color="auto"/>
              <w:right w:val="single" w:sz="4" w:space="0" w:color="auto"/>
            </w:tcBorders>
          </w:tcPr>
          <w:p w:rsidR="001841BE" w:rsidRDefault="00E63DD3" w:rsidP="00DB4188">
            <w:pPr>
              <w:jc w:val="both"/>
              <w:rPr>
                <w:rFonts w:ascii="Times New Roman" w:hAnsi="Times New Roman"/>
                <w:sz w:val="24"/>
                <w:szCs w:val="24"/>
                <w:lang w:val="sr-Cyrl-CS"/>
              </w:rPr>
            </w:pPr>
            <w:r>
              <w:rPr>
                <w:rFonts w:ascii="Times New Roman" w:hAnsi="Times New Roman"/>
                <w:sz w:val="24"/>
                <w:szCs w:val="24"/>
                <w:lang w:val="sr-Cyrl-CS"/>
              </w:rPr>
              <w:t>15</w:t>
            </w:r>
          </w:p>
        </w:tc>
        <w:tc>
          <w:tcPr>
            <w:tcW w:w="1473" w:type="dxa"/>
            <w:tcBorders>
              <w:top w:val="single" w:sz="4" w:space="0" w:color="auto"/>
              <w:left w:val="single" w:sz="4" w:space="0" w:color="auto"/>
              <w:bottom w:val="single" w:sz="4" w:space="0" w:color="auto"/>
            </w:tcBorders>
          </w:tcPr>
          <w:p w:rsidR="001841BE" w:rsidRDefault="00E63DD3" w:rsidP="00DB4188">
            <w:pPr>
              <w:jc w:val="both"/>
              <w:rPr>
                <w:rFonts w:ascii="Times New Roman" w:hAnsi="Times New Roman"/>
                <w:sz w:val="24"/>
                <w:szCs w:val="24"/>
                <w:lang w:val="sr-Cyrl-CS"/>
              </w:rPr>
            </w:pPr>
            <w:r>
              <w:rPr>
                <w:rFonts w:ascii="Times New Roman" w:hAnsi="Times New Roman"/>
                <w:sz w:val="24"/>
                <w:szCs w:val="24"/>
                <w:lang w:val="sr-Cyrl-CS"/>
              </w:rPr>
              <w:t>4</w:t>
            </w:r>
          </w:p>
        </w:tc>
        <w:tc>
          <w:tcPr>
            <w:tcW w:w="1074" w:type="dxa"/>
            <w:gridSpan w:val="2"/>
            <w:tcBorders>
              <w:top w:val="single" w:sz="4" w:space="0" w:color="auto"/>
              <w:bottom w:val="single" w:sz="4" w:space="0" w:color="auto"/>
              <w:right w:val="single" w:sz="4" w:space="0" w:color="auto"/>
            </w:tcBorders>
          </w:tcPr>
          <w:p w:rsidR="001841BE" w:rsidRDefault="00E63DD3" w:rsidP="00DB4188">
            <w:pPr>
              <w:jc w:val="both"/>
              <w:rPr>
                <w:rFonts w:ascii="Times New Roman" w:hAnsi="Times New Roman"/>
                <w:sz w:val="24"/>
                <w:szCs w:val="24"/>
                <w:lang w:val="sr-Cyrl-CS"/>
              </w:rPr>
            </w:pPr>
            <w:r>
              <w:rPr>
                <w:rFonts w:ascii="Times New Roman" w:hAnsi="Times New Roman"/>
                <w:sz w:val="24"/>
                <w:szCs w:val="24"/>
                <w:lang w:val="sr-Cyrl-CS"/>
              </w:rPr>
              <w:t>4</w:t>
            </w:r>
          </w:p>
        </w:tc>
        <w:tc>
          <w:tcPr>
            <w:tcW w:w="1186" w:type="dxa"/>
            <w:gridSpan w:val="3"/>
            <w:tcBorders>
              <w:top w:val="single" w:sz="4" w:space="0" w:color="auto"/>
              <w:left w:val="single" w:sz="4" w:space="0" w:color="auto"/>
              <w:bottom w:val="single" w:sz="4" w:space="0" w:color="auto"/>
            </w:tcBorders>
          </w:tcPr>
          <w:p w:rsidR="001841BE" w:rsidRDefault="00E63DD3" w:rsidP="00DB4188">
            <w:pPr>
              <w:jc w:val="both"/>
              <w:rPr>
                <w:rFonts w:ascii="Times New Roman" w:hAnsi="Times New Roman"/>
                <w:sz w:val="24"/>
                <w:szCs w:val="24"/>
                <w:lang w:val="sr-Cyrl-CS"/>
              </w:rPr>
            </w:pPr>
            <w:r>
              <w:rPr>
                <w:rFonts w:ascii="Times New Roman" w:hAnsi="Times New Roman"/>
                <w:sz w:val="24"/>
                <w:szCs w:val="24"/>
                <w:lang w:val="sr-Cyrl-CS"/>
              </w:rPr>
              <w:t>4</w:t>
            </w:r>
          </w:p>
        </w:tc>
        <w:tc>
          <w:tcPr>
            <w:tcW w:w="1045" w:type="dxa"/>
            <w:gridSpan w:val="4"/>
            <w:tcBorders>
              <w:top w:val="single" w:sz="4" w:space="0" w:color="auto"/>
              <w:bottom w:val="single" w:sz="4" w:space="0" w:color="auto"/>
              <w:right w:val="single" w:sz="4" w:space="0" w:color="auto"/>
            </w:tcBorders>
          </w:tcPr>
          <w:p w:rsidR="001841BE" w:rsidRDefault="00E63DD3" w:rsidP="00DB4188">
            <w:pPr>
              <w:jc w:val="both"/>
              <w:rPr>
                <w:rFonts w:ascii="Times New Roman" w:hAnsi="Times New Roman"/>
                <w:sz w:val="24"/>
                <w:szCs w:val="24"/>
                <w:lang w:val="sr-Cyrl-CS"/>
              </w:rPr>
            </w:pPr>
            <w:r>
              <w:rPr>
                <w:rFonts w:ascii="Times New Roman" w:hAnsi="Times New Roman"/>
                <w:sz w:val="24"/>
                <w:szCs w:val="24"/>
                <w:lang w:val="sr-Cyrl-CS"/>
              </w:rPr>
              <w:t>28</w:t>
            </w:r>
          </w:p>
        </w:tc>
        <w:tc>
          <w:tcPr>
            <w:tcW w:w="1219" w:type="dxa"/>
            <w:tcBorders>
              <w:top w:val="single" w:sz="4" w:space="0" w:color="auto"/>
              <w:left w:val="single" w:sz="4" w:space="0" w:color="auto"/>
              <w:bottom w:val="single" w:sz="4" w:space="0" w:color="auto"/>
            </w:tcBorders>
          </w:tcPr>
          <w:p w:rsidR="001841BE" w:rsidRDefault="005C6CB4" w:rsidP="00DB4188">
            <w:pPr>
              <w:jc w:val="both"/>
              <w:rPr>
                <w:rFonts w:ascii="Times New Roman" w:hAnsi="Times New Roman"/>
                <w:sz w:val="24"/>
                <w:szCs w:val="24"/>
                <w:lang w:val="sr-Cyrl-CS"/>
              </w:rPr>
            </w:pPr>
            <w:r>
              <w:rPr>
                <w:rFonts w:ascii="Times New Roman" w:hAnsi="Times New Roman"/>
                <w:sz w:val="24"/>
                <w:szCs w:val="24"/>
                <w:lang w:val="sr-Cyrl-CS"/>
              </w:rPr>
              <w:t>-</w:t>
            </w:r>
          </w:p>
        </w:tc>
      </w:tr>
      <w:tr w:rsidR="00AD1724" w:rsidTr="000E1089">
        <w:trPr>
          <w:trHeight w:val="262"/>
        </w:trPr>
        <w:tc>
          <w:tcPr>
            <w:tcW w:w="1635" w:type="dxa"/>
            <w:tcBorders>
              <w:top w:val="single" w:sz="4" w:space="0" w:color="auto"/>
              <w:bottom w:val="single" w:sz="4" w:space="0" w:color="auto"/>
            </w:tcBorders>
          </w:tcPr>
          <w:p w:rsidR="001841BE" w:rsidRDefault="00E942F5" w:rsidP="00DB4188">
            <w:pPr>
              <w:jc w:val="both"/>
              <w:rPr>
                <w:rFonts w:ascii="Times New Roman" w:hAnsi="Times New Roman"/>
                <w:sz w:val="24"/>
                <w:szCs w:val="24"/>
                <w:lang w:val="sr-Cyrl-CS"/>
              </w:rPr>
            </w:pPr>
            <w:r>
              <w:rPr>
                <w:rFonts w:ascii="Times New Roman" w:hAnsi="Times New Roman"/>
                <w:sz w:val="20"/>
                <w:szCs w:val="20"/>
                <w:lang w:val="sr-Cyrl-CS"/>
              </w:rPr>
              <w:t>2009.</w:t>
            </w:r>
          </w:p>
        </w:tc>
        <w:tc>
          <w:tcPr>
            <w:tcW w:w="1413" w:type="dxa"/>
            <w:gridSpan w:val="4"/>
            <w:tcBorders>
              <w:top w:val="single" w:sz="4" w:space="0" w:color="auto"/>
              <w:bottom w:val="single" w:sz="4" w:space="0" w:color="auto"/>
              <w:right w:val="single" w:sz="4" w:space="0" w:color="auto"/>
            </w:tcBorders>
          </w:tcPr>
          <w:p w:rsidR="001841BE" w:rsidRDefault="00E63DD3" w:rsidP="00DB4188">
            <w:pPr>
              <w:jc w:val="both"/>
              <w:rPr>
                <w:rFonts w:ascii="Times New Roman" w:hAnsi="Times New Roman"/>
                <w:sz w:val="24"/>
                <w:szCs w:val="24"/>
                <w:lang w:val="sr-Cyrl-CS"/>
              </w:rPr>
            </w:pPr>
            <w:r>
              <w:rPr>
                <w:rFonts w:ascii="Times New Roman" w:hAnsi="Times New Roman"/>
                <w:sz w:val="24"/>
                <w:szCs w:val="24"/>
                <w:lang w:val="sr-Cyrl-CS"/>
              </w:rPr>
              <w:t>8</w:t>
            </w:r>
          </w:p>
        </w:tc>
        <w:tc>
          <w:tcPr>
            <w:tcW w:w="1473" w:type="dxa"/>
            <w:tcBorders>
              <w:top w:val="single" w:sz="4" w:space="0" w:color="auto"/>
              <w:left w:val="single" w:sz="4" w:space="0" w:color="auto"/>
              <w:bottom w:val="single" w:sz="4" w:space="0" w:color="auto"/>
            </w:tcBorders>
          </w:tcPr>
          <w:p w:rsidR="001841BE" w:rsidRDefault="00E63DD3" w:rsidP="00DB4188">
            <w:pPr>
              <w:jc w:val="both"/>
              <w:rPr>
                <w:rFonts w:ascii="Times New Roman" w:hAnsi="Times New Roman"/>
                <w:sz w:val="24"/>
                <w:szCs w:val="24"/>
                <w:lang w:val="sr-Cyrl-CS"/>
              </w:rPr>
            </w:pPr>
            <w:r>
              <w:rPr>
                <w:rFonts w:ascii="Times New Roman" w:hAnsi="Times New Roman"/>
                <w:sz w:val="24"/>
                <w:szCs w:val="24"/>
                <w:lang w:val="sr-Cyrl-CS"/>
              </w:rPr>
              <w:t>6</w:t>
            </w:r>
          </w:p>
        </w:tc>
        <w:tc>
          <w:tcPr>
            <w:tcW w:w="1074" w:type="dxa"/>
            <w:gridSpan w:val="2"/>
            <w:tcBorders>
              <w:top w:val="single" w:sz="4" w:space="0" w:color="auto"/>
              <w:bottom w:val="single" w:sz="4" w:space="0" w:color="auto"/>
              <w:right w:val="single" w:sz="4" w:space="0" w:color="auto"/>
            </w:tcBorders>
          </w:tcPr>
          <w:p w:rsidR="001841BE" w:rsidRDefault="00E63DD3" w:rsidP="00DB4188">
            <w:pPr>
              <w:jc w:val="both"/>
              <w:rPr>
                <w:rFonts w:ascii="Times New Roman" w:hAnsi="Times New Roman"/>
                <w:sz w:val="24"/>
                <w:szCs w:val="24"/>
                <w:lang w:val="sr-Cyrl-CS"/>
              </w:rPr>
            </w:pPr>
            <w:r>
              <w:rPr>
                <w:rFonts w:ascii="Times New Roman" w:hAnsi="Times New Roman"/>
                <w:sz w:val="24"/>
                <w:szCs w:val="24"/>
                <w:lang w:val="sr-Cyrl-CS"/>
              </w:rPr>
              <w:t>6</w:t>
            </w:r>
          </w:p>
        </w:tc>
        <w:tc>
          <w:tcPr>
            <w:tcW w:w="1186" w:type="dxa"/>
            <w:gridSpan w:val="3"/>
            <w:tcBorders>
              <w:top w:val="single" w:sz="4" w:space="0" w:color="auto"/>
              <w:left w:val="single" w:sz="4" w:space="0" w:color="auto"/>
              <w:bottom w:val="single" w:sz="4" w:space="0" w:color="auto"/>
            </w:tcBorders>
          </w:tcPr>
          <w:p w:rsidR="001841BE" w:rsidRDefault="00E63DD3" w:rsidP="00DB4188">
            <w:pPr>
              <w:jc w:val="both"/>
              <w:rPr>
                <w:rFonts w:ascii="Times New Roman" w:hAnsi="Times New Roman"/>
                <w:sz w:val="24"/>
                <w:szCs w:val="24"/>
                <w:lang w:val="sr-Cyrl-CS"/>
              </w:rPr>
            </w:pPr>
            <w:r>
              <w:rPr>
                <w:rFonts w:ascii="Times New Roman" w:hAnsi="Times New Roman"/>
                <w:sz w:val="24"/>
                <w:szCs w:val="24"/>
                <w:lang w:val="sr-Cyrl-CS"/>
              </w:rPr>
              <w:t>4</w:t>
            </w:r>
          </w:p>
        </w:tc>
        <w:tc>
          <w:tcPr>
            <w:tcW w:w="1045" w:type="dxa"/>
            <w:gridSpan w:val="4"/>
            <w:tcBorders>
              <w:top w:val="single" w:sz="4" w:space="0" w:color="auto"/>
              <w:bottom w:val="single" w:sz="4" w:space="0" w:color="auto"/>
              <w:right w:val="single" w:sz="4" w:space="0" w:color="auto"/>
            </w:tcBorders>
          </w:tcPr>
          <w:p w:rsidR="001841BE" w:rsidRDefault="00E63DD3" w:rsidP="00DB4188">
            <w:pPr>
              <w:jc w:val="both"/>
              <w:rPr>
                <w:rFonts w:ascii="Times New Roman" w:hAnsi="Times New Roman"/>
                <w:sz w:val="24"/>
                <w:szCs w:val="24"/>
                <w:lang w:val="sr-Cyrl-CS"/>
              </w:rPr>
            </w:pPr>
            <w:r>
              <w:rPr>
                <w:rFonts w:ascii="Times New Roman" w:hAnsi="Times New Roman"/>
                <w:sz w:val="24"/>
                <w:szCs w:val="24"/>
                <w:lang w:val="sr-Cyrl-CS"/>
              </w:rPr>
              <w:t>33</w:t>
            </w:r>
          </w:p>
        </w:tc>
        <w:tc>
          <w:tcPr>
            <w:tcW w:w="1219" w:type="dxa"/>
            <w:tcBorders>
              <w:top w:val="single" w:sz="4" w:space="0" w:color="auto"/>
              <w:left w:val="single" w:sz="4" w:space="0" w:color="auto"/>
              <w:bottom w:val="single" w:sz="4" w:space="0" w:color="auto"/>
            </w:tcBorders>
          </w:tcPr>
          <w:p w:rsidR="001841BE" w:rsidRDefault="00E63DD3" w:rsidP="00DB4188">
            <w:pPr>
              <w:jc w:val="both"/>
              <w:rPr>
                <w:rFonts w:ascii="Times New Roman" w:hAnsi="Times New Roman"/>
                <w:sz w:val="24"/>
                <w:szCs w:val="24"/>
                <w:lang w:val="sr-Cyrl-CS"/>
              </w:rPr>
            </w:pPr>
            <w:r>
              <w:rPr>
                <w:rFonts w:ascii="Times New Roman" w:hAnsi="Times New Roman"/>
                <w:sz w:val="24"/>
                <w:szCs w:val="24"/>
                <w:lang w:val="sr-Cyrl-CS"/>
              </w:rPr>
              <w:t>2</w:t>
            </w:r>
          </w:p>
        </w:tc>
      </w:tr>
      <w:tr w:rsidR="00AD1724" w:rsidTr="000E1089">
        <w:trPr>
          <w:trHeight w:val="440"/>
        </w:trPr>
        <w:tc>
          <w:tcPr>
            <w:tcW w:w="1635" w:type="dxa"/>
            <w:tcBorders>
              <w:top w:val="single" w:sz="4" w:space="0" w:color="auto"/>
              <w:bottom w:val="single" w:sz="4" w:space="0" w:color="auto"/>
            </w:tcBorders>
          </w:tcPr>
          <w:p w:rsidR="001841BE" w:rsidRDefault="00E942F5" w:rsidP="00DB4188">
            <w:pPr>
              <w:jc w:val="both"/>
              <w:rPr>
                <w:rFonts w:ascii="Times New Roman" w:hAnsi="Times New Roman"/>
                <w:sz w:val="24"/>
                <w:szCs w:val="24"/>
                <w:lang w:val="sr-Cyrl-CS"/>
              </w:rPr>
            </w:pPr>
            <w:r>
              <w:rPr>
                <w:rFonts w:ascii="Times New Roman" w:hAnsi="Times New Roman"/>
                <w:sz w:val="20"/>
                <w:szCs w:val="20"/>
                <w:lang w:val="sr-Cyrl-CS"/>
              </w:rPr>
              <w:t>2010.</w:t>
            </w:r>
          </w:p>
        </w:tc>
        <w:tc>
          <w:tcPr>
            <w:tcW w:w="1413" w:type="dxa"/>
            <w:gridSpan w:val="4"/>
            <w:tcBorders>
              <w:top w:val="single" w:sz="4" w:space="0" w:color="auto"/>
              <w:bottom w:val="single" w:sz="4" w:space="0" w:color="auto"/>
              <w:right w:val="single" w:sz="4" w:space="0" w:color="auto"/>
            </w:tcBorders>
          </w:tcPr>
          <w:p w:rsidR="001841BE" w:rsidRDefault="00E63DD3" w:rsidP="00DB4188">
            <w:pPr>
              <w:jc w:val="both"/>
              <w:rPr>
                <w:rFonts w:ascii="Times New Roman" w:hAnsi="Times New Roman"/>
                <w:sz w:val="24"/>
                <w:szCs w:val="24"/>
                <w:lang w:val="sr-Cyrl-CS"/>
              </w:rPr>
            </w:pPr>
            <w:r>
              <w:rPr>
                <w:rFonts w:ascii="Times New Roman" w:hAnsi="Times New Roman"/>
                <w:sz w:val="24"/>
                <w:szCs w:val="24"/>
                <w:lang w:val="sr-Cyrl-CS"/>
              </w:rPr>
              <w:t>34</w:t>
            </w:r>
          </w:p>
        </w:tc>
        <w:tc>
          <w:tcPr>
            <w:tcW w:w="1473" w:type="dxa"/>
            <w:tcBorders>
              <w:top w:val="single" w:sz="4" w:space="0" w:color="auto"/>
              <w:left w:val="single" w:sz="4" w:space="0" w:color="auto"/>
              <w:bottom w:val="single" w:sz="4" w:space="0" w:color="auto"/>
            </w:tcBorders>
          </w:tcPr>
          <w:p w:rsidR="001841BE" w:rsidRDefault="00292951" w:rsidP="00DB4188">
            <w:pPr>
              <w:jc w:val="both"/>
              <w:rPr>
                <w:rFonts w:ascii="Times New Roman" w:hAnsi="Times New Roman"/>
                <w:sz w:val="24"/>
                <w:szCs w:val="24"/>
                <w:lang w:val="sr-Cyrl-CS"/>
              </w:rPr>
            </w:pPr>
            <w:r>
              <w:rPr>
                <w:rFonts w:ascii="Times New Roman" w:hAnsi="Times New Roman"/>
                <w:sz w:val="24"/>
                <w:szCs w:val="24"/>
                <w:lang w:val="sr-Cyrl-CS"/>
              </w:rPr>
              <w:t>-</w:t>
            </w:r>
          </w:p>
        </w:tc>
        <w:tc>
          <w:tcPr>
            <w:tcW w:w="1074" w:type="dxa"/>
            <w:gridSpan w:val="2"/>
            <w:tcBorders>
              <w:top w:val="single" w:sz="4" w:space="0" w:color="auto"/>
              <w:bottom w:val="single" w:sz="4" w:space="0" w:color="auto"/>
              <w:right w:val="single" w:sz="4" w:space="0" w:color="auto"/>
            </w:tcBorders>
          </w:tcPr>
          <w:p w:rsidR="001841BE" w:rsidRDefault="00292951" w:rsidP="00DB4188">
            <w:pPr>
              <w:jc w:val="both"/>
              <w:rPr>
                <w:rFonts w:ascii="Times New Roman" w:hAnsi="Times New Roman"/>
                <w:sz w:val="24"/>
                <w:szCs w:val="24"/>
                <w:lang w:val="sr-Cyrl-CS"/>
              </w:rPr>
            </w:pPr>
            <w:r>
              <w:rPr>
                <w:rFonts w:ascii="Times New Roman" w:hAnsi="Times New Roman"/>
                <w:sz w:val="24"/>
                <w:szCs w:val="24"/>
                <w:lang w:val="sr-Cyrl-CS"/>
              </w:rPr>
              <w:t>-</w:t>
            </w:r>
          </w:p>
        </w:tc>
        <w:tc>
          <w:tcPr>
            <w:tcW w:w="1186" w:type="dxa"/>
            <w:gridSpan w:val="3"/>
            <w:tcBorders>
              <w:top w:val="single" w:sz="4" w:space="0" w:color="auto"/>
              <w:left w:val="single" w:sz="4" w:space="0" w:color="auto"/>
              <w:bottom w:val="single" w:sz="4" w:space="0" w:color="auto"/>
            </w:tcBorders>
          </w:tcPr>
          <w:p w:rsidR="001841BE" w:rsidRDefault="00292951" w:rsidP="00DB4188">
            <w:pPr>
              <w:jc w:val="both"/>
              <w:rPr>
                <w:rFonts w:ascii="Times New Roman" w:hAnsi="Times New Roman"/>
                <w:sz w:val="24"/>
                <w:szCs w:val="24"/>
                <w:lang w:val="sr-Cyrl-CS"/>
              </w:rPr>
            </w:pPr>
            <w:r>
              <w:rPr>
                <w:rFonts w:ascii="Times New Roman" w:hAnsi="Times New Roman"/>
                <w:sz w:val="24"/>
                <w:szCs w:val="24"/>
                <w:lang w:val="sr-Cyrl-CS"/>
              </w:rPr>
              <w:t>-</w:t>
            </w:r>
          </w:p>
        </w:tc>
        <w:tc>
          <w:tcPr>
            <w:tcW w:w="1045" w:type="dxa"/>
            <w:gridSpan w:val="4"/>
            <w:tcBorders>
              <w:top w:val="single" w:sz="4" w:space="0" w:color="auto"/>
              <w:bottom w:val="single" w:sz="4" w:space="0" w:color="auto"/>
              <w:right w:val="single" w:sz="4" w:space="0" w:color="auto"/>
            </w:tcBorders>
          </w:tcPr>
          <w:p w:rsidR="001841BE" w:rsidRDefault="00E63DD3" w:rsidP="00DB4188">
            <w:pPr>
              <w:jc w:val="both"/>
              <w:rPr>
                <w:rFonts w:ascii="Times New Roman" w:hAnsi="Times New Roman"/>
                <w:sz w:val="24"/>
                <w:szCs w:val="24"/>
                <w:lang w:val="sr-Cyrl-CS"/>
              </w:rPr>
            </w:pPr>
            <w:r>
              <w:rPr>
                <w:rFonts w:ascii="Times New Roman" w:hAnsi="Times New Roman"/>
                <w:sz w:val="24"/>
                <w:szCs w:val="24"/>
                <w:lang w:val="sr-Cyrl-CS"/>
              </w:rPr>
              <w:t>8</w:t>
            </w:r>
          </w:p>
        </w:tc>
        <w:tc>
          <w:tcPr>
            <w:tcW w:w="1219" w:type="dxa"/>
            <w:tcBorders>
              <w:top w:val="single" w:sz="4" w:space="0" w:color="auto"/>
              <w:left w:val="single" w:sz="4" w:space="0" w:color="auto"/>
              <w:bottom w:val="single" w:sz="4" w:space="0" w:color="auto"/>
            </w:tcBorders>
          </w:tcPr>
          <w:p w:rsidR="001841BE" w:rsidRDefault="005C6CB4" w:rsidP="00DB4188">
            <w:pPr>
              <w:jc w:val="both"/>
              <w:rPr>
                <w:rFonts w:ascii="Times New Roman" w:hAnsi="Times New Roman"/>
                <w:sz w:val="24"/>
                <w:szCs w:val="24"/>
                <w:lang w:val="sr-Cyrl-CS"/>
              </w:rPr>
            </w:pPr>
            <w:r>
              <w:rPr>
                <w:rFonts w:ascii="Times New Roman" w:hAnsi="Times New Roman"/>
                <w:sz w:val="24"/>
                <w:szCs w:val="24"/>
                <w:lang w:val="sr-Cyrl-CS"/>
              </w:rPr>
              <w:t>-</w:t>
            </w:r>
          </w:p>
        </w:tc>
      </w:tr>
      <w:tr w:rsidR="00AD1724" w:rsidTr="000E1089">
        <w:trPr>
          <w:trHeight w:val="348"/>
        </w:trPr>
        <w:tc>
          <w:tcPr>
            <w:tcW w:w="1635" w:type="dxa"/>
            <w:tcBorders>
              <w:top w:val="single" w:sz="4" w:space="0" w:color="auto"/>
              <w:bottom w:val="single" w:sz="4" w:space="0" w:color="auto"/>
            </w:tcBorders>
          </w:tcPr>
          <w:p w:rsidR="001841BE" w:rsidRDefault="00E942F5" w:rsidP="00DB4188">
            <w:pPr>
              <w:jc w:val="both"/>
              <w:rPr>
                <w:rFonts w:ascii="Times New Roman" w:hAnsi="Times New Roman"/>
                <w:sz w:val="24"/>
                <w:szCs w:val="24"/>
                <w:lang w:val="sr-Cyrl-CS"/>
              </w:rPr>
            </w:pPr>
            <w:r>
              <w:rPr>
                <w:rFonts w:ascii="Times New Roman" w:hAnsi="Times New Roman"/>
                <w:sz w:val="20"/>
                <w:szCs w:val="20"/>
                <w:lang w:val="sr-Cyrl-CS"/>
              </w:rPr>
              <w:t>2011.</w:t>
            </w:r>
          </w:p>
        </w:tc>
        <w:tc>
          <w:tcPr>
            <w:tcW w:w="1413" w:type="dxa"/>
            <w:gridSpan w:val="4"/>
            <w:tcBorders>
              <w:top w:val="single" w:sz="4" w:space="0" w:color="auto"/>
              <w:bottom w:val="single" w:sz="4" w:space="0" w:color="auto"/>
              <w:right w:val="single" w:sz="4" w:space="0" w:color="auto"/>
            </w:tcBorders>
          </w:tcPr>
          <w:p w:rsidR="001841BE" w:rsidRDefault="00E63DD3" w:rsidP="00DB4188">
            <w:pPr>
              <w:jc w:val="both"/>
              <w:rPr>
                <w:rFonts w:ascii="Times New Roman" w:hAnsi="Times New Roman"/>
                <w:sz w:val="24"/>
                <w:szCs w:val="24"/>
                <w:lang w:val="sr-Cyrl-CS"/>
              </w:rPr>
            </w:pPr>
            <w:r>
              <w:rPr>
                <w:rFonts w:ascii="Times New Roman" w:hAnsi="Times New Roman"/>
                <w:sz w:val="24"/>
                <w:szCs w:val="24"/>
                <w:lang w:val="sr-Cyrl-CS"/>
              </w:rPr>
              <w:t>23</w:t>
            </w:r>
          </w:p>
        </w:tc>
        <w:tc>
          <w:tcPr>
            <w:tcW w:w="1473" w:type="dxa"/>
            <w:tcBorders>
              <w:top w:val="single" w:sz="4" w:space="0" w:color="auto"/>
              <w:left w:val="single" w:sz="4" w:space="0" w:color="auto"/>
              <w:bottom w:val="single" w:sz="4" w:space="0" w:color="auto"/>
            </w:tcBorders>
          </w:tcPr>
          <w:p w:rsidR="001841BE" w:rsidRDefault="00E63DD3" w:rsidP="00DB4188">
            <w:pPr>
              <w:jc w:val="both"/>
              <w:rPr>
                <w:rFonts w:ascii="Times New Roman" w:hAnsi="Times New Roman"/>
                <w:sz w:val="24"/>
                <w:szCs w:val="24"/>
                <w:lang w:val="sr-Cyrl-CS"/>
              </w:rPr>
            </w:pPr>
            <w:r>
              <w:rPr>
                <w:rFonts w:ascii="Times New Roman" w:hAnsi="Times New Roman"/>
                <w:sz w:val="24"/>
                <w:szCs w:val="24"/>
                <w:lang w:val="sr-Cyrl-CS"/>
              </w:rPr>
              <w:t>4</w:t>
            </w:r>
          </w:p>
        </w:tc>
        <w:tc>
          <w:tcPr>
            <w:tcW w:w="1074" w:type="dxa"/>
            <w:gridSpan w:val="2"/>
            <w:tcBorders>
              <w:top w:val="single" w:sz="4" w:space="0" w:color="auto"/>
              <w:bottom w:val="single" w:sz="4" w:space="0" w:color="auto"/>
              <w:right w:val="single" w:sz="4" w:space="0" w:color="auto"/>
            </w:tcBorders>
          </w:tcPr>
          <w:p w:rsidR="001841BE" w:rsidRDefault="00E63DD3" w:rsidP="00DB4188">
            <w:pPr>
              <w:jc w:val="both"/>
              <w:rPr>
                <w:rFonts w:ascii="Times New Roman" w:hAnsi="Times New Roman"/>
                <w:sz w:val="24"/>
                <w:szCs w:val="24"/>
                <w:lang w:val="sr-Cyrl-CS"/>
              </w:rPr>
            </w:pPr>
            <w:r>
              <w:rPr>
                <w:rFonts w:ascii="Times New Roman" w:hAnsi="Times New Roman"/>
                <w:sz w:val="24"/>
                <w:szCs w:val="24"/>
                <w:lang w:val="sr-Cyrl-CS"/>
              </w:rPr>
              <w:t>3</w:t>
            </w:r>
          </w:p>
        </w:tc>
        <w:tc>
          <w:tcPr>
            <w:tcW w:w="1186" w:type="dxa"/>
            <w:gridSpan w:val="3"/>
            <w:tcBorders>
              <w:top w:val="single" w:sz="4" w:space="0" w:color="auto"/>
              <w:left w:val="single" w:sz="4" w:space="0" w:color="auto"/>
              <w:bottom w:val="single" w:sz="4" w:space="0" w:color="auto"/>
            </w:tcBorders>
          </w:tcPr>
          <w:p w:rsidR="001841BE" w:rsidRDefault="00E63DD3" w:rsidP="00DB4188">
            <w:pPr>
              <w:jc w:val="both"/>
              <w:rPr>
                <w:rFonts w:ascii="Times New Roman" w:hAnsi="Times New Roman"/>
                <w:sz w:val="24"/>
                <w:szCs w:val="24"/>
                <w:lang w:val="sr-Cyrl-CS"/>
              </w:rPr>
            </w:pPr>
            <w:r>
              <w:rPr>
                <w:rFonts w:ascii="Times New Roman" w:hAnsi="Times New Roman"/>
                <w:sz w:val="24"/>
                <w:szCs w:val="24"/>
                <w:lang w:val="sr-Cyrl-CS"/>
              </w:rPr>
              <w:t>2</w:t>
            </w:r>
          </w:p>
        </w:tc>
        <w:tc>
          <w:tcPr>
            <w:tcW w:w="1045" w:type="dxa"/>
            <w:gridSpan w:val="4"/>
            <w:tcBorders>
              <w:top w:val="single" w:sz="4" w:space="0" w:color="auto"/>
              <w:bottom w:val="single" w:sz="4" w:space="0" w:color="auto"/>
              <w:right w:val="single" w:sz="4" w:space="0" w:color="auto"/>
            </w:tcBorders>
          </w:tcPr>
          <w:p w:rsidR="001841BE" w:rsidRDefault="00E63DD3" w:rsidP="00DB4188">
            <w:pPr>
              <w:jc w:val="both"/>
              <w:rPr>
                <w:rFonts w:ascii="Times New Roman" w:hAnsi="Times New Roman"/>
                <w:sz w:val="24"/>
                <w:szCs w:val="24"/>
                <w:lang w:val="sr-Cyrl-CS"/>
              </w:rPr>
            </w:pPr>
            <w:r>
              <w:rPr>
                <w:rFonts w:ascii="Times New Roman" w:hAnsi="Times New Roman"/>
                <w:sz w:val="24"/>
                <w:szCs w:val="24"/>
                <w:lang w:val="sr-Cyrl-CS"/>
              </w:rPr>
              <w:t>16</w:t>
            </w:r>
          </w:p>
        </w:tc>
        <w:tc>
          <w:tcPr>
            <w:tcW w:w="1219" w:type="dxa"/>
            <w:tcBorders>
              <w:top w:val="single" w:sz="4" w:space="0" w:color="auto"/>
              <w:left w:val="single" w:sz="4" w:space="0" w:color="auto"/>
              <w:bottom w:val="single" w:sz="4" w:space="0" w:color="auto"/>
            </w:tcBorders>
          </w:tcPr>
          <w:p w:rsidR="001841BE" w:rsidRDefault="00E63DD3" w:rsidP="00DB4188">
            <w:pPr>
              <w:jc w:val="both"/>
              <w:rPr>
                <w:rFonts w:ascii="Times New Roman" w:hAnsi="Times New Roman"/>
                <w:sz w:val="24"/>
                <w:szCs w:val="24"/>
                <w:lang w:val="sr-Cyrl-CS"/>
              </w:rPr>
            </w:pPr>
            <w:r>
              <w:rPr>
                <w:rFonts w:ascii="Times New Roman" w:hAnsi="Times New Roman"/>
                <w:sz w:val="24"/>
                <w:szCs w:val="24"/>
                <w:lang w:val="sr-Cyrl-CS"/>
              </w:rPr>
              <w:t>1</w:t>
            </w:r>
          </w:p>
        </w:tc>
      </w:tr>
      <w:tr w:rsidR="00AD1724" w:rsidTr="000E1089">
        <w:trPr>
          <w:trHeight w:val="242"/>
        </w:trPr>
        <w:tc>
          <w:tcPr>
            <w:tcW w:w="1635" w:type="dxa"/>
            <w:tcBorders>
              <w:top w:val="single" w:sz="4" w:space="0" w:color="auto"/>
              <w:bottom w:val="single" w:sz="4" w:space="0" w:color="auto"/>
            </w:tcBorders>
          </w:tcPr>
          <w:p w:rsidR="001841BE" w:rsidRDefault="00E942F5" w:rsidP="00DB4188">
            <w:pPr>
              <w:jc w:val="both"/>
              <w:rPr>
                <w:rFonts w:ascii="Times New Roman" w:hAnsi="Times New Roman"/>
                <w:sz w:val="24"/>
                <w:szCs w:val="24"/>
                <w:lang w:val="sr-Cyrl-CS"/>
              </w:rPr>
            </w:pPr>
            <w:r>
              <w:rPr>
                <w:rFonts w:ascii="Times New Roman" w:hAnsi="Times New Roman"/>
                <w:sz w:val="20"/>
                <w:szCs w:val="20"/>
                <w:lang w:val="sr-Cyrl-CS"/>
              </w:rPr>
              <w:t>2012.</w:t>
            </w:r>
          </w:p>
        </w:tc>
        <w:tc>
          <w:tcPr>
            <w:tcW w:w="1413" w:type="dxa"/>
            <w:gridSpan w:val="4"/>
            <w:tcBorders>
              <w:top w:val="single" w:sz="4" w:space="0" w:color="auto"/>
              <w:bottom w:val="single" w:sz="4" w:space="0" w:color="auto"/>
              <w:right w:val="single" w:sz="4" w:space="0" w:color="auto"/>
            </w:tcBorders>
          </w:tcPr>
          <w:p w:rsidR="001841BE" w:rsidRDefault="00E63DD3" w:rsidP="00DB4188">
            <w:pPr>
              <w:jc w:val="both"/>
              <w:rPr>
                <w:rFonts w:ascii="Times New Roman" w:hAnsi="Times New Roman"/>
                <w:sz w:val="24"/>
                <w:szCs w:val="24"/>
                <w:lang w:val="sr-Cyrl-CS"/>
              </w:rPr>
            </w:pPr>
            <w:r>
              <w:rPr>
                <w:rFonts w:ascii="Times New Roman" w:hAnsi="Times New Roman"/>
                <w:sz w:val="24"/>
                <w:szCs w:val="24"/>
                <w:lang w:val="sr-Cyrl-CS"/>
              </w:rPr>
              <w:t>21</w:t>
            </w:r>
          </w:p>
        </w:tc>
        <w:tc>
          <w:tcPr>
            <w:tcW w:w="1473" w:type="dxa"/>
            <w:tcBorders>
              <w:top w:val="single" w:sz="4" w:space="0" w:color="auto"/>
              <w:left w:val="single" w:sz="4" w:space="0" w:color="auto"/>
              <w:bottom w:val="single" w:sz="4" w:space="0" w:color="auto"/>
            </w:tcBorders>
          </w:tcPr>
          <w:p w:rsidR="001841BE" w:rsidRDefault="00E63DD3" w:rsidP="00DB4188">
            <w:pPr>
              <w:jc w:val="both"/>
              <w:rPr>
                <w:rFonts w:ascii="Times New Roman" w:hAnsi="Times New Roman"/>
                <w:sz w:val="24"/>
                <w:szCs w:val="24"/>
                <w:lang w:val="sr-Cyrl-CS"/>
              </w:rPr>
            </w:pPr>
            <w:r>
              <w:rPr>
                <w:rFonts w:ascii="Times New Roman" w:hAnsi="Times New Roman"/>
                <w:sz w:val="24"/>
                <w:szCs w:val="24"/>
                <w:lang w:val="sr-Cyrl-CS"/>
              </w:rPr>
              <w:t>2</w:t>
            </w:r>
          </w:p>
        </w:tc>
        <w:tc>
          <w:tcPr>
            <w:tcW w:w="1074" w:type="dxa"/>
            <w:gridSpan w:val="2"/>
            <w:tcBorders>
              <w:top w:val="single" w:sz="4" w:space="0" w:color="auto"/>
              <w:bottom w:val="single" w:sz="4" w:space="0" w:color="auto"/>
              <w:right w:val="single" w:sz="4" w:space="0" w:color="auto"/>
            </w:tcBorders>
          </w:tcPr>
          <w:p w:rsidR="001841BE" w:rsidRDefault="00E63DD3" w:rsidP="00DB4188">
            <w:pPr>
              <w:jc w:val="both"/>
              <w:rPr>
                <w:rFonts w:ascii="Times New Roman" w:hAnsi="Times New Roman"/>
                <w:sz w:val="24"/>
                <w:szCs w:val="24"/>
                <w:lang w:val="sr-Cyrl-CS"/>
              </w:rPr>
            </w:pPr>
            <w:r>
              <w:rPr>
                <w:rFonts w:ascii="Times New Roman" w:hAnsi="Times New Roman"/>
                <w:sz w:val="24"/>
                <w:szCs w:val="24"/>
                <w:lang w:val="sr-Cyrl-CS"/>
              </w:rPr>
              <w:t>1</w:t>
            </w:r>
          </w:p>
        </w:tc>
        <w:tc>
          <w:tcPr>
            <w:tcW w:w="1186" w:type="dxa"/>
            <w:gridSpan w:val="3"/>
            <w:tcBorders>
              <w:top w:val="single" w:sz="4" w:space="0" w:color="auto"/>
              <w:left w:val="single" w:sz="4" w:space="0" w:color="auto"/>
              <w:bottom w:val="single" w:sz="4" w:space="0" w:color="auto"/>
            </w:tcBorders>
          </w:tcPr>
          <w:p w:rsidR="001841BE" w:rsidRDefault="00E63DD3" w:rsidP="00DB4188">
            <w:pPr>
              <w:jc w:val="both"/>
              <w:rPr>
                <w:rFonts w:ascii="Times New Roman" w:hAnsi="Times New Roman"/>
                <w:sz w:val="24"/>
                <w:szCs w:val="24"/>
                <w:lang w:val="sr-Cyrl-CS"/>
              </w:rPr>
            </w:pPr>
            <w:r>
              <w:rPr>
                <w:rFonts w:ascii="Times New Roman" w:hAnsi="Times New Roman"/>
                <w:sz w:val="24"/>
                <w:szCs w:val="24"/>
                <w:lang w:val="sr-Cyrl-CS"/>
              </w:rPr>
              <w:t>1</w:t>
            </w:r>
          </w:p>
        </w:tc>
        <w:tc>
          <w:tcPr>
            <w:tcW w:w="1045" w:type="dxa"/>
            <w:gridSpan w:val="4"/>
            <w:tcBorders>
              <w:top w:val="single" w:sz="4" w:space="0" w:color="auto"/>
              <w:bottom w:val="single" w:sz="4" w:space="0" w:color="auto"/>
              <w:right w:val="single" w:sz="4" w:space="0" w:color="auto"/>
            </w:tcBorders>
          </w:tcPr>
          <w:p w:rsidR="001841BE" w:rsidRDefault="00E63DD3" w:rsidP="00DB4188">
            <w:pPr>
              <w:jc w:val="both"/>
              <w:rPr>
                <w:rFonts w:ascii="Times New Roman" w:hAnsi="Times New Roman"/>
                <w:sz w:val="24"/>
                <w:szCs w:val="24"/>
                <w:lang w:val="sr-Cyrl-CS"/>
              </w:rPr>
            </w:pPr>
            <w:r>
              <w:rPr>
                <w:rFonts w:ascii="Times New Roman" w:hAnsi="Times New Roman"/>
                <w:sz w:val="24"/>
                <w:szCs w:val="24"/>
                <w:lang w:val="sr-Cyrl-CS"/>
              </w:rPr>
              <w:t>8</w:t>
            </w:r>
          </w:p>
        </w:tc>
        <w:tc>
          <w:tcPr>
            <w:tcW w:w="1219" w:type="dxa"/>
            <w:tcBorders>
              <w:top w:val="single" w:sz="4" w:space="0" w:color="auto"/>
              <w:left w:val="single" w:sz="4" w:space="0" w:color="auto"/>
              <w:bottom w:val="single" w:sz="4" w:space="0" w:color="auto"/>
            </w:tcBorders>
          </w:tcPr>
          <w:p w:rsidR="001841BE" w:rsidRDefault="005C6CB4" w:rsidP="00DB4188">
            <w:pPr>
              <w:jc w:val="both"/>
              <w:rPr>
                <w:rFonts w:ascii="Times New Roman" w:hAnsi="Times New Roman"/>
                <w:sz w:val="24"/>
                <w:szCs w:val="24"/>
                <w:lang w:val="sr-Cyrl-CS"/>
              </w:rPr>
            </w:pPr>
            <w:r>
              <w:rPr>
                <w:rFonts w:ascii="Times New Roman" w:hAnsi="Times New Roman"/>
                <w:sz w:val="24"/>
                <w:szCs w:val="24"/>
                <w:lang w:val="sr-Cyrl-CS"/>
              </w:rPr>
              <w:t>-</w:t>
            </w:r>
          </w:p>
        </w:tc>
      </w:tr>
      <w:tr w:rsidR="00AD1724" w:rsidTr="000E1089">
        <w:trPr>
          <w:trHeight w:val="973"/>
        </w:trPr>
        <w:tc>
          <w:tcPr>
            <w:tcW w:w="1635" w:type="dxa"/>
            <w:tcBorders>
              <w:top w:val="single" w:sz="4" w:space="0" w:color="auto"/>
              <w:bottom w:val="single" w:sz="4" w:space="0" w:color="auto"/>
            </w:tcBorders>
          </w:tcPr>
          <w:p w:rsidR="00E63DD3" w:rsidRPr="00AD1724" w:rsidRDefault="00E63DD3" w:rsidP="00AD1724">
            <w:pPr>
              <w:pStyle w:val="NoSpacing"/>
              <w:rPr>
                <w:rFonts w:ascii="Times New Roman" w:hAnsi="Times New Roman"/>
                <w:b/>
                <w:sz w:val="20"/>
                <w:szCs w:val="20"/>
                <w:lang w:val="sr-Cyrl-CS"/>
              </w:rPr>
            </w:pPr>
            <w:r w:rsidRPr="00AD1724">
              <w:rPr>
                <w:rFonts w:ascii="Times New Roman" w:hAnsi="Times New Roman"/>
                <w:b/>
                <w:sz w:val="20"/>
                <w:szCs w:val="20"/>
                <w:lang w:val="sr-Cyrl-CS"/>
              </w:rPr>
              <w:t>Несавестан рад у привредном пословању</w:t>
            </w:r>
          </w:p>
          <w:p w:rsidR="00E63DD3" w:rsidRPr="00DB4188" w:rsidRDefault="00E63DD3" w:rsidP="00AD1724">
            <w:pPr>
              <w:pStyle w:val="NoSpacing"/>
              <w:rPr>
                <w:lang w:val="sr-Cyrl-CS"/>
              </w:rPr>
            </w:pPr>
            <w:r w:rsidRPr="00AD1724">
              <w:rPr>
                <w:rFonts w:ascii="Times New Roman" w:hAnsi="Times New Roman"/>
                <w:sz w:val="20"/>
                <w:szCs w:val="20"/>
                <w:lang w:val="sr-Cyrl-CS"/>
              </w:rPr>
              <w:t>2007.</w:t>
            </w:r>
          </w:p>
        </w:tc>
        <w:tc>
          <w:tcPr>
            <w:tcW w:w="1413" w:type="dxa"/>
            <w:gridSpan w:val="4"/>
            <w:tcBorders>
              <w:top w:val="single" w:sz="4" w:space="0" w:color="auto"/>
              <w:right w:val="single" w:sz="4" w:space="0" w:color="auto"/>
            </w:tcBorders>
          </w:tcPr>
          <w:p w:rsidR="00AD1724" w:rsidRDefault="00AD1724" w:rsidP="00DB4188">
            <w:pPr>
              <w:jc w:val="both"/>
              <w:rPr>
                <w:rFonts w:ascii="Times New Roman" w:hAnsi="Times New Roman"/>
                <w:sz w:val="24"/>
                <w:szCs w:val="24"/>
                <w:lang w:val="sr-Cyrl-CS"/>
              </w:rPr>
            </w:pPr>
          </w:p>
          <w:p w:rsidR="00E63DD3" w:rsidRDefault="00292951" w:rsidP="00DB4188">
            <w:pPr>
              <w:jc w:val="both"/>
              <w:rPr>
                <w:rFonts w:ascii="Times New Roman" w:hAnsi="Times New Roman"/>
                <w:sz w:val="24"/>
                <w:szCs w:val="24"/>
                <w:lang w:val="sr-Cyrl-CS"/>
              </w:rPr>
            </w:pPr>
            <w:r>
              <w:rPr>
                <w:rFonts w:ascii="Times New Roman" w:hAnsi="Times New Roman"/>
                <w:sz w:val="24"/>
                <w:szCs w:val="24"/>
                <w:lang w:val="sr-Cyrl-CS"/>
              </w:rPr>
              <w:t>131</w:t>
            </w:r>
          </w:p>
        </w:tc>
        <w:tc>
          <w:tcPr>
            <w:tcW w:w="1473" w:type="dxa"/>
            <w:tcBorders>
              <w:top w:val="single" w:sz="4" w:space="0" w:color="auto"/>
              <w:left w:val="single" w:sz="4" w:space="0" w:color="auto"/>
            </w:tcBorders>
          </w:tcPr>
          <w:p w:rsidR="00AD1724" w:rsidRDefault="00AD1724" w:rsidP="00DB4188">
            <w:pPr>
              <w:jc w:val="both"/>
              <w:rPr>
                <w:rFonts w:ascii="Times New Roman" w:hAnsi="Times New Roman"/>
                <w:sz w:val="24"/>
                <w:szCs w:val="24"/>
                <w:lang w:val="sr-Cyrl-CS"/>
              </w:rPr>
            </w:pPr>
          </w:p>
          <w:p w:rsidR="00E63DD3" w:rsidRDefault="00292951" w:rsidP="00DB4188">
            <w:pPr>
              <w:jc w:val="both"/>
              <w:rPr>
                <w:rFonts w:ascii="Times New Roman" w:hAnsi="Times New Roman"/>
                <w:sz w:val="24"/>
                <w:szCs w:val="24"/>
                <w:lang w:val="sr-Cyrl-CS"/>
              </w:rPr>
            </w:pPr>
            <w:r>
              <w:rPr>
                <w:rFonts w:ascii="Times New Roman" w:hAnsi="Times New Roman"/>
                <w:sz w:val="24"/>
                <w:szCs w:val="24"/>
                <w:lang w:val="sr-Cyrl-CS"/>
              </w:rPr>
              <w:t>73</w:t>
            </w:r>
          </w:p>
        </w:tc>
        <w:tc>
          <w:tcPr>
            <w:tcW w:w="1074" w:type="dxa"/>
            <w:gridSpan w:val="2"/>
            <w:tcBorders>
              <w:top w:val="single" w:sz="4" w:space="0" w:color="auto"/>
              <w:right w:val="single" w:sz="4" w:space="0" w:color="auto"/>
            </w:tcBorders>
          </w:tcPr>
          <w:p w:rsidR="00AD1724" w:rsidRDefault="00AD1724" w:rsidP="00DB4188">
            <w:pPr>
              <w:jc w:val="both"/>
              <w:rPr>
                <w:rFonts w:ascii="Times New Roman" w:hAnsi="Times New Roman"/>
                <w:sz w:val="24"/>
                <w:szCs w:val="24"/>
                <w:lang w:val="sr-Cyrl-CS"/>
              </w:rPr>
            </w:pPr>
          </w:p>
          <w:p w:rsidR="00E63DD3" w:rsidRDefault="00292951" w:rsidP="00DB4188">
            <w:pPr>
              <w:jc w:val="both"/>
              <w:rPr>
                <w:rFonts w:ascii="Times New Roman" w:hAnsi="Times New Roman"/>
                <w:sz w:val="24"/>
                <w:szCs w:val="24"/>
                <w:lang w:val="sr-Cyrl-CS"/>
              </w:rPr>
            </w:pPr>
            <w:r>
              <w:rPr>
                <w:rFonts w:ascii="Times New Roman" w:hAnsi="Times New Roman"/>
                <w:sz w:val="24"/>
                <w:szCs w:val="24"/>
                <w:lang w:val="sr-Cyrl-CS"/>
              </w:rPr>
              <w:t>25</w:t>
            </w:r>
          </w:p>
        </w:tc>
        <w:tc>
          <w:tcPr>
            <w:tcW w:w="1186" w:type="dxa"/>
            <w:gridSpan w:val="3"/>
            <w:tcBorders>
              <w:top w:val="single" w:sz="4" w:space="0" w:color="auto"/>
              <w:left w:val="single" w:sz="4" w:space="0" w:color="auto"/>
            </w:tcBorders>
          </w:tcPr>
          <w:p w:rsidR="00AD1724" w:rsidRDefault="00AD1724" w:rsidP="00DB4188">
            <w:pPr>
              <w:jc w:val="both"/>
              <w:rPr>
                <w:rFonts w:ascii="Times New Roman" w:hAnsi="Times New Roman"/>
                <w:sz w:val="24"/>
                <w:szCs w:val="24"/>
                <w:lang w:val="sr-Cyrl-CS"/>
              </w:rPr>
            </w:pPr>
          </w:p>
          <w:p w:rsidR="00E63DD3" w:rsidRDefault="00292951" w:rsidP="00DB4188">
            <w:pPr>
              <w:jc w:val="both"/>
              <w:rPr>
                <w:rFonts w:ascii="Times New Roman" w:hAnsi="Times New Roman"/>
                <w:sz w:val="24"/>
                <w:szCs w:val="24"/>
                <w:lang w:val="sr-Cyrl-CS"/>
              </w:rPr>
            </w:pPr>
            <w:r>
              <w:rPr>
                <w:rFonts w:ascii="Times New Roman" w:hAnsi="Times New Roman"/>
                <w:sz w:val="24"/>
                <w:szCs w:val="24"/>
                <w:lang w:val="sr-Cyrl-CS"/>
              </w:rPr>
              <w:t>25</w:t>
            </w:r>
          </w:p>
        </w:tc>
        <w:tc>
          <w:tcPr>
            <w:tcW w:w="1045" w:type="dxa"/>
            <w:gridSpan w:val="4"/>
            <w:tcBorders>
              <w:top w:val="single" w:sz="4" w:space="0" w:color="auto"/>
              <w:right w:val="single" w:sz="4" w:space="0" w:color="auto"/>
            </w:tcBorders>
          </w:tcPr>
          <w:p w:rsidR="00AD1724" w:rsidRDefault="00AD1724" w:rsidP="00DB4188">
            <w:pPr>
              <w:jc w:val="both"/>
              <w:rPr>
                <w:rFonts w:ascii="Times New Roman" w:hAnsi="Times New Roman"/>
                <w:sz w:val="24"/>
                <w:szCs w:val="24"/>
                <w:lang w:val="sr-Cyrl-CS"/>
              </w:rPr>
            </w:pPr>
          </w:p>
          <w:p w:rsidR="00E63DD3" w:rsidRDefault="00292951" w:rsidP="00DB4188">
            <w:pPr>
              <w:jc w:val="both"/>
              <w:rPr>
                <w:rFonts w:ascii="Times New Roman" w:hAnsi="Times New Roman"/>
                <w:sz w:val="24"/>
                <w:szCs w:val="24"/>
                <w:lang w:val="sr-Cyrl-CS"/>
              </w:rPr>
            </w:pPr>
            <w:r>
              <w:rPr>
                <w:rFonts w:ascii="Times New Roman" w:hAnsi="Times New Roman"/>
                <w:sz w:val="24"/>
                <w:szCs w:val="24"/>
                <w:lang w:val="sr-Cyrl-CS"/>
              </w:rPr>
              <w:t>17</w:t>
            </w:r>
          </w:p>
        </w:tc>
        <w:tc>
          <w:tcPr>
            <w:tcW w:w="1219" w:type="dxa"/>
            <w:tcBorders>
              <w:top w:val="single" w:sz="4" w:space="0" w:color="auto"/>
              <w:left w:val="single" w:sz="4" w:space="0" w:color="auto"/>
            </w:tcBorders>
          </w:tcPr>
          <w:p w:rsidR="00AD1724" w:rsidRDefault="00AD1724" w:rsidP="00DB4188">
            <w:pPr>
              <w:jc w:val="both"/>
              <w:rPr>
                <w:rFonts w:ascii="Times New Roman" w:hAnsi="Times New Roman"/>
                <w:sz w:val="24"/>
                <w:szCs w:val="24"/>
                <w:lang w:val="sr-Cyrl-CS"/>
              </w:rPr>
            </w:pPr>
          </w:p>
          <w:p w:rsidR="00E63DD3" w:rsidRDefault="00292951" w:rsidP="00DB4188">
            <w:pPr>
              <w:jc w:val="both"/>
              <w:rPr>
                <w:rFonts w:ascii="Times New Roman" w:hAnsi="Times New Roman"/>
                <w:sz w:val="24"/>
                <w:szCs w:val="24"/>
                <w:lang w:val="sr-Cyrl-CS"/>
              </w:rPr>
            </w:pPr>
            <w:r>
              <w:rPr>
                <w:rFonts w:ascii="Times New Roman" w:hAnsi="Times New Roman"/>
                <w:sz w:val="24"/>
                <w:szCs w:val="24"/>
                <w:lang w:val="sr-Cyrl-CS"/>
              </w:rPr>
              <w:t>-</w:t>
            </w:r>
          </w:p>
        </w:tc>
      </w:tr>
      <w:tr w:rsidR="00AD1724" w:rsidTr="000E1089">
        <w:trPr>
          <w:trHeight w:val="434"/>
        </w:trPr>
        <w:tc>
          <w:tcPr>
            <w:tcW w:w="1635" w:type="dxa"/>
            <w:tcBorders>
              <w:top w:val="single" w:sz="4" w:space="0" w:color="auto"/>
              <w:bottom w:val="single" w:sz="4" w:space="0" w:color="auto"/>
            </w:tcBorders>
          </w:tcPr>
          <w:p w:rsidR="00E63DD3" w:rsidRDefault="00E942F5" w:rsidP="00DB4188">
            <w:pPr>
              <w:jc w:val="both"/>
              <w:rPr>
                <w:rFonts w:ascii="Times New Roman" w:hAnsi="Times New Roman"/>
                <w:sz w:val="20"/>
                <w:szCs w:val="20"/>
                <w:lang w:val="sr-Cyrl-CS"/>
              </w:rPr>
            </w:pPr>
            <w:r>
              <w:rPr>
                <w:rFonts w:ascii="Times New Roman" w:hAnsi="Times New Roman"/>
                <w:sz w:val="20"/>
                <w:szCs w:val="20"/>
                <w:lang w:val="sr-Cyrl-CS"/>
              </w:rPr>
              <w:t>2008.</w:t>
            </w:r>
          </w:p>
        </w:tc>
        <w:tc>
          <w:tcPr>
            <w:tcW w:w="1413" w:type="dxa"/>
            <w:gridSpan w:val="4"/>
            <w:tcBorders>
              <w:top w:val="single" w:sz="4" w:space="0" w:color="auto"/>
              <w:bottom w:val="single" w:sz="4" w:space="0" w:color="auto"/>
              <w:right w:val="single" w:sz="4" w:space="0" w:color="auto"/>
            </w:tcBorders>
          </w:tcPr>
          <w:p w:rsidR="00E63DD3" w:rsidRDefault="00292951" w:rsidP="00DB4188">
            <w:pPr>
              <w:jc w:val="both"/>
              <w:rPr>
                <w:rFonts w:ascii="Times New Roman" w:hAnsi="Times New Roman"/>
                <w:sz w:val="24"/>
                <w:szCs w:val="24"/>
                <w:lang w:val="sr-Cyrl-CS"/>
              </w:rPr>
            </w:pPr>
            <w:r>
              <w:rPr>
                <w:rFonts w:ascii="Times New Roman" w:hAnsi="Times New Roman"/>
                <w:sz w:val="24"/>
                <w:szCs w:val="24"/>
                <w:lang w:val="sr-Cyrl-CS"/>
              </w:rPr>
              <w:t>106</w:t>
            </w:r>
          </w:p>
        </w:tc>
        <w:tc>
          <w:tcPr>
            <w:tcW w:w="1473" w:type="dxa"/>
            <w:tcBorders>
              <w:top w:val="single" w:sz="4" w:space="0" w:color="auto"/>
              <w:left w:val="single" w:sz="4" w:space="0" w:color="auto"/>
              <w:bottom w:val="single" w:sz="4" w:space="0" w:color="auto"/>
            </w:tcBorders>
          </w:tcPr>
          <w:p w:rsidR="00E63DD3" w:rsidRDefault="00292951" w:rsidP="00DB4188">
            <w:pPr>
              <w:jc w:val="both"/>
              <w:rPr>
                <w:rFonts w:ascii="Times New Roman" w:hAnsi="Times New Roman"/>
                <w:sz w:val="24"/>
                <w:szCs w:val="24"/>
                <w:lang w:val="sr-Cyrl-CS"/>
              </w:rPr>
            </w:pPr>
            <w:r>
              <w:rPr>
                <w:rFonts w:ascii="Times New Roman" w:hAnsi="Times New Roman"/>
                <w:sz w:val="24"/>
                <w:szCs w:val="24"/>
                <w:lang w:val="sr-Cyrl-CS"/>
              </w:rPr>
              <w:t>65</w:t>
            </w:r>
          </w:p>
        </w:tc>
        <w:tc>
          <w:tcPr>
            <w:tcW w:w="1074" w:type="dxa"/>
            <w:gridSpan w:val="2"/>
            <w:tcBorders>
              <w:top w:val="single" w:sz="4" w:space="0" w:color="auto"/>
              <w:bottom w:val="single" w:sz="4" w:space="0" w:color="auto"/>
              <w:right w:val="single" w:sz="4" w:space="0" w:color="auto"/>
            </w:tcBorders>
          </w:tcPr>
          <w:p w:rsidR="00E63DD3" w:rsidRDefault="00292951" w:rsidP="00DB4188">
            <w:pPr>
              <w:jc w:val="both"/>
              <w:rPr>
                <w:rFonts w:ascii="Times New Roman" w:hAnsi="Times New Roman"/>
                <w:sz w:val="24"/>
                <w:szCs w:val="24"/>
                <w:lang w:val="sr-Cyrl-CS"/>
              </w:rPr>
            </w:pPr>
            <w:r>
              <w:rPr>
                <w:rFonts w:ascii="Times New Roman" w:hAnsi="Times New Roman"/>
                <w:sz w:val="24"/>
                <w:szCs w:val="24"/>
                <w:lang w:val="sr-Cyrl-CS"/>
              </w:rPr>
              <w:t>34</w:t>
            </w:r>
          </w:p>
        </w:tc>
        <w:tc>
          <w:tcPr>
            <w:tcW w:w="1186" w:type="dxa"/>
            <w:gridSpan w:val="3"/>
            <w:tcBorders>
              <w:top w:val="single" w:sz="4" w:space="0" w:color="auto"/>
              <w:left w:val="single" w:sz="4" w:space="0" w:color="auto"/>
              <w:bottom w:val="single" w:sz="4" w:space="0" w:color="auto"/>
            </w:tcBorders>
          </w:tcPr>
          <w:p w:rsidR="00E63DD3" w:rsidRDefault="00292951" w:rsidP="00DB4188">
            <w:pPr>
              <w:jc w:val="both"/>
              <w:rPr>
                <w:rFonts w:ascii="Times New Roman" w:hAnsi="Times New Roman"/>
                <w:sz w:val="24"/>
                <w:szCs w:val="24"/>
                <w:lang w:val="sr-Cyrl-CS"/>
              </w:rPr>
            </w:pPr>
            <w:r>
              <w:rPr>
                <w:rFonts w:ascii="Times New Roman" w:hAnsi="Times New Roman"/>
                <w:sz w:val="24"/>
                <w:szCs w:val="24"/>
                <w:lang w:val="sr-Cyrl-CS"/>
              </w:rPr>
              <w:t>7</w:t>
            </w:r>
          </w:p>
        </w:tc>
        <w:tc>
          <w:tcPr>
            <w:tcW w:w="1045" w:type="dxa"/>
            <w:gridSpan w:val="4"/>
            <w:tcBorders>
              <w:top w:val="single" w:sz="4" w:space="0" w:color="auto"/>
              <w:bottom w:val="single" w:sz="4" w:space="0" w:color="auto"/>
              <w:right w:val="single" w:sz="4" w:space="0" w:color="auto"/>
            </w:tcBorders>
          </w:tcPr>
          <w:p w:rsidR="00E63DD3" w:rsidRDefault="00292951" w:rsidP="00DB4188">
            <w:pPr>
              <w:jc w:val="both"/>
              <w:rPr>
                <w:rFonts w:ascii="Times New Roman" w:hAnsi="Times New Roman"/>
                <w:sz w:val="24"/>
                <w:szCs w:val="24"/>
                <w:lang w:val="sr-Cyrl-CS"/>
              </w:rPr>
            </w:pPr>
            <w:r>
              <w:rPr>
                <w:rFonts w:ascii="Times New Roman" w:hAnsi="Times New Roman"/>
                <w:sz w:val="24"/>
                <w:szCs w:val="24"/>
                <w:lang w:val="sr-Cyrl-CS"/>
              </w:rPr>
              <w:t>25</w:t>
            </w:r>
          </w:p>
        </w:tc>
        <w:tc>
          <w:tcPr>
            <w:tcW w:w="1219" w:type="dxa"/>
            <w:tcBorders>
              <w:top w:val="single" w:sz="4" w:space="0" w:color="auto"/>
              <w:left w:val="single" w:sz="4" w:space="0" w:color="auto"/>
              <w:bottom w:val="single" w:sz="4" w:space="0" w:color="auto"/>
            </w:tcBorders>
          </w:tcPr>
          <w:p w:rsidR="00E63DD3" w:rsidRDefault="00292951" w:rsidP="00DB4188">
            <w:pPr>
              <w:jc w:val="both"/>
              <w:rPr>
                <w:rFonts w:ascii="Times New Roman" w:hAnsi="Times New Roman"/>
                <w:sz w:val="24"/>
                <w:szCs w:val="24"/>
                <w:lang w:val="sr-Cyrl-CS"/>
              </w:rPr>
            </w:pPr>
            <w:r>
              <w:rPr>
                <w:rFonts w:ascii="Times New Roman" w:hAnsi="Times New Roman"/>
                <w:sz w:val="24"/>
                <w:szCs w:val="24"/>
                <w:lang w:val="sr-Cyrl-CS"/>
              </w:rPr>
              <w:t>2</w:t>
            </w:r>
          </w:p>
        </w:tc>
      </w:tr>
      <w:tr w:rsidR="00AD1724" w:rsidTr="000E1089">
        <w:trPr>
          <w:trHeight w:val="328"/>
        </w:trPr>
        <w:tc>
          <w:tcPr>
            <w:tcW w:w="1635" w:type="dxa"/>
            <w:tcBorders>
              <w:top w:val="single" w:sz="4" w:space="0" w:color="auto"/>
              <w:bottom w:val="single" w:sz="4" w:space="0" w:color="auto"/>
            </w:tcBorders>
          </w:tcPr>
          <w:p w:rsidR="00E63DD3" w:rsidRDefault="00E942F5" w:rsidP="00DB4188">
            <w:pPr>
              <w:jc w:val="both"/>
              <w:rPr>
                <w:rFonts w:ascii="Times New Roman" w:hAnsi="Times New Roman"/>
                <w:sz w:val="20"/>
                <w:szCs w:val="20"/>
                <w:lang w:val="sr-Cyrl-CS"/>
              </w:rPr>
            </w:pPr>
            <w:r>
              <w:rPr>
                <w:rFonts w:ascii="Times New Roman" w:hAnsi="Times New Roman"/>
                <w:sz w:val="20"/>
                <w:szCs w:val="20"/>
                <w:lang w:val="sr-Cyrl-CS"/>
              </w:rPr>
              <w:t>2009.</w:t>
            </w:r>
          </w:p>
        </w:tc>
        <w:tc>
          <w:tcPr>
            <w:tcW w:w="1413" w:type="dxa"/>
            <w:gridSpan w:val="4"/>
            <w:tcBorders>
              <w:top w:val="single" w:sz="4" w:space="0" w:color="auto"/>
              <w:right w:val="single" w:sz="4" w:space="0" w:color="auto"/>
            </w:tcBorders>
          </w:tcPr>
          <w:p w:rsidR="00E63DD3" w:rsidRDefault="00292951" w:rsidP="00DB4188">
            <w:pPr>
              <w:jc w:val="both"/>
              <w:rPr>
                <w:rFonts w:ascii="Times New Roman" w:hAnsi="Times New Roman"/>
                <w:sz w:val="24"/>
                <w:szCs w:val="24"/>
                <w:lang w:val="sr-Cyrl-CS"/>
              </w:rPr>
            </w:pPr>
            <w:r>
              <w:rPr>
                <w:rFonts w:ascii="Times New Roman" w:hAnsi="Times New Roman"/>
                <w:sz w:val="24"/>
                <w:szCs w:val="24"/>
                <w:lang w:val="sr-Cyrl-CS"/>
              </w:rPr>
              <w:t>76</w:t>
            </w:r>
          </w:p>
        </w:tc>
        <w:tc>
          <w:tcPr>
            <w:tcW w:w="1473" w:type="dxa"/>
            <w:tcBorders>
              <w:top w:val="single" w:sz="4" w:space="0" w:color="auto"/>
              <w:left w:val="single" w:sz="4" w:space="0" w:color="auto"/>
              <w:bottom w:val="single" w:sz="4" w:space="0" w:color="auto"/>
            </w:tcBorders>
          </w:tcPr>
          <w:p w:rsidR="00E63DD3" w:rsidRDefault="00292951" w:rsidP="00DB4188">
            <w:pPr>
              <w:jc w:val="both"/>
              <w:rPr>
                <w:rFonts w:ascii="Times New Roman" w:hAnsi="Times New Roman"/>
                <w:sz w:val="24"/>
                <w:szCs w:val="24"/>
                <w:lang w:val="sr-Cyrl-CS"/>
              </w:rPr>
            </w:pPr>
            <w:r>
              <w:rPr>
                <w:rFonts w:ascii="Times New Roman" w:hAnsi="Times New Roman"/>
                <w:sz w:val="24"/>
                <w:szCs w:val="24"/>
                <w:lang w:val="sr-Cyrl-CS"/>
              </w:rPr>
              <w:t>65</w:t>
            </w:r>
          </w:p>
        </w:tc>
        <w:tc>
          <w:tcPr>
            <w:tcW w:w="1074" w:type="dxa"/>
            <w:gridSpan w:val="2"/>
            <w:tcBorders>
              <w:top w:val="single" w:sz="4" w:space="0" w:color="auto"/>
              <w:bottom w:val="single" w:sz="4" w:space="0" w:color="auto"/>
              <w:right w:val="single" w:sz="4" w:space="0" w:color="auto"/>
            </w:tcBorders>
          </w:tcPr>
          <w:p w:rsidR="00E63DD3" w:rsidRDefault="00292951" w:rsidP="00DB4188">
            <w:pPr>
              <w:jc w:val="both"/>
              <w:rPr>
                <w:rFonts w:ascii="Times New Roman" w:hAnsi="Times New Roman"/>
                <w:sz w:val="24"/>
                <w:szCs w:val="24"/>
                <w:lang w:val="sr-Cyrl-CS"/>
              </w:rPr>
            </w:pPr>
            <w:r>
              <w:rPr>
                <w:rFonts w:ascii="Times New Roman" w:hAnsi="Times New Roman"/>
                <w:sz w:val="24"/>
                <w:szCs w:val="24"/>
                <w:lang w:val="sr-Cyrl-CS"/>
              </w:rPr>
              <w:t>16</w:t>
            </w:r>
          </w:p>
        </w:tc>
        <w:tc>
          <w:tcPr>
            <w:tcW w:w="1186" w:type="dxa"/>
            <w:gridSpan w:val="3"/>
            <w:tcBorders>
              <w:top w:val="single" w:sz="4" w:space="0" w:color="auto"/>
              <w:left w:val="single" w:sz="4" w:space="0" w:color="auto"/>
              <w:bottom w:val="single" w:sz="4" w:space="0" w:color="auto"/>
            </w:tcBorders>
          </w:tcPr>
          <w:p w:rsidR="00E63DD3" w:rsidRDefault="00292951" w:rsidP="00DB4188">
            <w:pPr>
              <w:jc w:val="both"/>
              <w:rPr>
                <w:rFonts w:ascii="Times New Roman" w:hAnsi="Times New Roman"/>
                <w:sz w:val="24"/>
                <w:szCs w:val="24"/>
                <w:lang w:val="sr-Cyrl-CS"/>
              </w:rPr>
            </w:pPr>
            <w:r>
              <w:rPr>
                <w:rFonts w:ascii="Times New Roman" w:hAnsi="Times New Roman"/>
                <w:sz w:val="24"/>
                <w:szCs w:val="24"/>
                <w:lang w:val="sr-Cyrl-CS"/>
              </w:rPr>
              <w:t>1</w:t>
            </w:r>
          </w:p>
        </w:tc>
        <w:tc>
          <w:tcPr>
            <w:tcW w:w="1045" w:type="dxa"/>
            <w:gridSpan w:val="4"/>
            <w:tcBorders>
              <w:top w:val="single" w:sz="4" w:space="0" w:color="auto"/>
              <w:bottom w:val="single" w:sz="4" w:space="0" w:color="auto"/>
              <w:right w:val="single" w:sz="4" w:space="0" w:color="auto"/>
            </w:tcBorders>
          </w:tcPr>
          <w:p w:rsidR="00E63DD3" w:rsidRDefault="00292951" w:rsidP="00DB4188">
            <w:pPr>
              <w:jc w:val="both"/>
              <w:rPr>
                <w:rFonts w:ascii="Times New Roman" w:hAnsi="Times New Roman"/>
                <w:sz w:val="24"/>
                <w:szCs w:val="24"/>
                <w:lang w:val="sr-Cyrl-CS"/>
              </w:rPr>
            </w:pPr>
            <w:r>
              <w:rPr>
                <w:rFonts w:ascii="Times New Roman" w:hAnsi="Times New Roman"/>
                <w:sz w:val="24"/>
                <w:szCs w:val="24"/>
                <w:lang w:val="sr-Cyrl-CS"/>
              </w:rPr>
              <w:t>14</w:t>
            </w:r>
          </w:p>
        </w:tc>
        <w:tc>
          <w:tcPr>
            <w:tcW w:w="1219" w:type="dxa"/>
            <w:tcBorders>
              <w:top w:val="single" w:sz="4" w:space="0" w:color="auto"/>
              <w:left w:val="single" w:sz="4" w:space="0" w:color="auto"/>
              <w:bottom w:val="single" w:sz="4" w:space="0" w:color="auto"/>
            </w:tcBorders>
          </w:tcPr>
          <w:p w:rsidR="00E63DD3" w:rsidRDefault="00292951" w:rsidP="00DB4188">
            <w:pPr>
              <w:jc w:val="both"/>
              <w:rPr>
                <w:rFonts w:ascii="Times New Roman" w:hAnsi="Times New Roman"/>
                <w:sz w:val="24"/>
                <w:szCs w:val="24"/>
                <w:lang w:val="sr-Cyrl-CS"/>
              </w:rPr>
            </w:pPr>
            <w:r>
              <w:rPr>
                <w:rFonts w:ascii="Times New Roman" w:hAnsi="Times New Roman"/>
                <w:sz w:val="24"/>
                <w:szCs w:val="24"/>
                <w:lang w:val="sr-Cyrl-CS"/>
              </w:rPr>
              <w:t>1</w:t>
            </w:r>
          </w:p>
        </w:tc>
      </w:tr>
      <w:tr w:rsidR="00AD1724" w:rsidTr="000E1089">
        <w:trPr>
          <w:trHeight w:val="378"/>
        </w:trPr>
        <w:tc>
          <w:tcPr>
            <w:tcW w:w="1635" w:type="dxa"/>
            <w:tcBorders>
              <w:top w:val="single" w:sz="4" w:space="0" w:color="auto"/>
              <w:bottom w:val="single" w:sz="4" w:space="0" w:color="auto"/>
            </w:tcBorders>
          </w:tcPr>
          <w:p w:rsidR="00E63DD3" w:rsidRDefault="00E942F5" w:rsidP="00DB4188">
            <w:pPr>
              <w:jc w:val="both"/>
              <w:rPr>
                <w:rFonts w:ascii="Times New Roman" w:hAnsi="Times New Roman"/>
                <w:sz w:val="20"/>
                <w:szCs w:val="20"/>
                <w:lang w:val="sr-Cyrl-CS"/>
              </w:rPr>
            </w:pPr>
            <w:r>
              <w:rPr>
                <w:rFonts w:ascii="Times New Roman" w:hAnsi="Times New Roman"/>
                <w:sz w:val="20"/>
                <w:szCs w:val="20"/>
                <w:lang w:val="sr-Cyrl-CS"/>
              </w:rPr>
              <w:t>2010.</w:t>
            </w:r>
          </w:p>
        </w:tc>
        <w:tc>
          <w:tcPr>
            <w:tcW w:w="1413" w:type="dxa"/>
            <w:gridSpan w:val="4"/>
            <w:tcBorders>
              <w:bottom w:val="single" w:sz="4" w:space="0" w:color="auto"/>
              <w:right w:val="single" w:sz="4" w:space="0" w:color="auto"/>
            </w:tcBorders>
          </w:tcPr>
          <w:p w:rsidR="00E63DD3" w:rsidRDefault="00292951" w:rsidP="00DB4188">
            <w:pPr>
              <w:jc w:val="both"/>
              <w:rPr>
                <w:rFonts w:ascii="Times New Roman" w:hAnsi="Times New Roman"/>
                <w:sz w:val="24"/>
                <w:szCs w:val="24"/>
                <w:lang w:val="sr-Cyrl-CS"/>
              </w:rPr>
            </w:pPr>
            <w:r>
              <w:rPr>
                <w:rFonts w:ascii="Times New Roman" w:hAnsi="Times New Roman"/>
                <w:sz w:val="24"/>
                <w:szCs w:val="24"/>
                <w:lang w:val="sr-Cyrl-CS"/>
              </w:rPr>
              <w:t>51</w:t>
            </w:r>
          </w:p>
        </w:tc>
        <w:tc>
          <w:tcPr>
            <w:tcW w:w="1473" w:type="dxa"/>
            <w:tcBorders>
              <w:top w:val="single" w:sz="4" w:space="0" w:color="auto"/>
              <w:left w:val="single" w:sz="4" w:space="0" w:color="auto"/>
            </w:tcBorders>
          </w:tcPr>
          <w:p w:rsidR="00E63DD3" w:rsidRDefault="00292951" w:rsidP="00DB4188">
            <w:pPr>
              <w:jc w:val="both"/>
              <w:rPr>
                <w:rFonts w:ascii="Times New Roman" w:hAnsi="Times New Roman"/>
                <w:sz w:val="24"/>
                <w:szCs w:val="24"/>
                <w:lang w:val="sr-Cyrl-CS"/>
              </w:rPr>
            </w:pPr>
            <w:r>
              <w:rPr>
                <w:rFonts w:ascii="Times New Roman" w:hAnsi="Times New Roman"/>
                <w:sz w:val="24"/>
                <w:szCs w:val="24"/>
                <w:lang w:val="sr-Cyrl-CS"/>
              </w:rPr>
              <w:t>23</w:t>
            </w:r>
          </w:p>
        </w:tc>
        <w:tc>
          <w:tcPr>
            <w:tcW w:w="1074" w:type="dxa"/>
            <w:gridSpan w:val="2"/>
            <w:tcBorders>
              <w:top w:val="single" w:sz="4" w:space="0" w:color="auto"/>
              <w:right w:val="single" w:sz="4" w:space="0" w:color="auto"/>
            </w:tcBorders>
          </w:tcPr>
          <w:p w:rsidR="00E63DD3" w:rsidRDefault="00292951" w:rsidP="00DB4188">
            <w:pPr>
              <w:jc w:val="both"/>
              <w:rPr>
                <w:rFonts w:ascii="Times New Roman" w:hAnsi="Times New Roman"/>
                <w:sz w:val="24"/>
                <w:szCs w:val="24"/>
                <w:lang w:val="sr-Cyrl-CS"/>
              </w:rPr>
            </w:pPr>
            <w:r>
              <w:rPr>
                <w:rFonts w:ascii="Times New Roman" w:hAnsi="Times New Roman"/>
                <w:sz w:val="24"/>
                <w:szCs w:val="24"/>
                <w:lang w:val="sr-Cyrl-CS"/>
              </w:rPr>
              <w:t>4</w:t>
            </w:r>
          </w:p>
        </w:tc>
        <w:tc>
          <w:tcPr>
            <w:tcW w:w="1186" w:type="dxa"/>
            <w:gridSpan w:val="3"/>
            <w:tcBorders>
              <w:top w:val="single" w:sz="4" w:space="0" w:color="auto"/>
              <w:left w:val="single" w:sz="4" w:space="0" w:color="auto"/>
            </w:tcBorders>
          </w:tcPr>
          <w:p w:rsidR="00E63DD3" w:rsidRDefault="00292951" w:rsidP="00DB4188">
            <w:pPr>
              <w:jc w:val="both"/>
              <w:rPr>
                <w:rFonts w:ascii="Times New Roman" w:hAnsi="Times New Roman"/>
                <w:sz w:val="24"/>
                <w:szCs w:val="24"/>
                <w:lang w:val="sr-Cyrl-CS"/>
              </w:rPr>
            </w:pPr>
            <w:r>
              <w:rPr>
                <w:rFonts w:ascii="Times New Roman" w:hAnsi="Times New Roman"/>
                <w:sz w:val="24"/>
                <w:szCs w:val="24"/>
                <w:lang w:val="sr-Cyrl-CS"/>
              </w:rPr>
              <w:t>1</w:t>
            </w:r>
          </w:p>
        </w:tc>
        <w:tc>
          <w:tcPr>
            <w:tcW w:w="1045" w:type="dxa"/>
            <w:gridSpan w:val="4"/>
            <w:tcBorders>
              <w:top w:val="single" w:sz="4" w:space="0" w:color="auto"/>
              <w:right w:val="single" w:sz="4" w:space="0" w:color="auto"/>
            </w:tcBorders>
          </w:tcPr>
          <w:p w:rsidR="00E63DD3" w:rsidRDefault="00292951" w:rsidP="00DB4188">
            <w:pPr>
              <w:jc w:val="both"/>
              <w:rPr>
                <w:rFonts w:ascii="Times New Roman" w:hAnsi="Times New Roman"/>
                <w:sz w:val="24"/>
                <w:szCs w:val="24"/>
                <w:lang w:val="sr-Cyrl-CS"/>
              </w:rPr>
            </w:pPr>
            <w:r>
              <w:rPr>
                <w:rFonts w:ascii="Times New Roman" w:hAnsi="Times New Roman"/>
                <w:sz w:val="24"/>
                <w:szCs w:val="24"/>
                <w:lang w:val="sr-Cyrl-CS"/>
              </w:rPr>
              <w:t>2</w:t>
            </w:r>
          </w:p>
        </w:tc>
        <w:tc>
          <w:tcPr>
            <w:tcW w:w="1219" w:type="dxa"/>
            <w:tcBorders>
              <w:top w:val="single" w:sz="4" w:space="0" w:color="auto"/>
              <w:left w:val="single" w:sz="4" w:space="0" w:color="auto"/>
            </w:tcBorders>
          </w:tcPr>
          <w:p w:rsidR="00E63DD3" w:rsidRDefault="00292951" w:rsidP="00DB4188">
            <w:pPr>
              <w:jc w:val="both"/>
              <w:rPr>
                <w:rFonts w:ascii="Times New Roman" w:hAnsi="Times New Roman"/>
                <w:sz w:val="24"/>
                <w:szCs w:val="24"/>
                <w:lang w:val="sr-Cyrl-CS"/>
              </w:rPr>
            </w:pPr>
            <w:r>
              <w:rPr>
                <w:rFonts w:ascii="Times New Roman" w:hAnsi="Times New Roman"/>
                <w:sz w:val="24"/>
                <w:szCs w:val="24"/>
                <w:lang w:val="sr-Cyrl-CS"/>
              </w:rPr>
              <w:t>1</w:t>
            </w:r>
          </w:p>
        </w:tc>
      </w:tr>
      <w:tr w:rsidR="00AD1724" w:rsidTr="000E1089">
        <w:trPr>
          <w:trHeight w:val="400"/>
        </w:trPr>
        <w:tc>
          <w:tcPr>
            <w:tcW w:w="1635" w:type="dxa"/>
            <w:tcBorders>
              <w:top w:val="single" w:sz="4" w:space="0" w:color="auto"/>
              <w:bottom w:val="single" w:sz="4" w:space="0" w:color="auto"/>
            </w:tcBorders>
          </w:tcPr>
          <w:p w:rsidR="00E63DD3" w:rsidRDefault="00E942F5" w:rsidP="00DB4188">
            <w:pPr>
              <w:jc w:val="both"/>
              <w:rPr>
                <w:rFonts w:ascii="Times New Roman" w:hAnsi="Times New Roman"/>
                <w:sz w:val="20"/>
                <w:szCs w:val="20"/>
                <w:lang w:val="sr-Cyrl-CS"/>
              </w:rPr>
            </w:pPr>
            <w:r>
              <w:rPr>
                <w:rFonts w:ascii="Times New Roman" w:hAnsi="Times New Roman"/>
                <w:sz w:val="20"/>
                <w:szCs w:val="20"/>
                <w:lang w:val="sr-Cyrl-CS"/>
              </w:rPr>
              <w:t>2011.</w:t>
            </w:r>
          </w:p>
        </w:tc>
        <w:tc>
          <w:tcPr>
            <w:tcW w:w="1413" w:type="dxa"/>
            <w:gridSpan w:val="4"/>
            <w:tcBorders>
              <w:top w:val="single" w:sz="4" w:space="0" w:color="auto"/>
              <w:bottom w:val="single" w:sz="4" w:space="0" w:color="auto"/>
              <w:right w:val="single" w:sz="4" w:space="0" w:color="auto"/>
            </w:tcBorders>
          </w:tcPr>
          <w:p w:rsidR="00E63DD3" w:rsidRDefault="00292951" w:rsidP="00DB4188">
            <w:pPr>
              <w:jc w:val="both"/>
              <w:rPr>
                <w:rFonts w:ascii="Times New Roman" w:hAnsi="Times New Roman"/>
                <w:sz w:val="24"/>
                <w:szCs w:val="24"/>
                <w:lang w:val="sr-Cyrl-CS"/>
              </w:rPr>
            </w:pPr>
            <w:r>
              <w:rPr>
                <w:rFonts w:ascii="Times New Roman" w:hAnsi="Times New Roman"/>
                <w:sz w:val="24"/>
                <w:szCs w:val="24"/>
                <w:lang w:val="sr-Cyrl-CS"/>
              </w:rPr>
              <w:t>51</w:t>
            </w:r>
          </w:p>
        </w:tc>
        <w:tc>
          <w:tcPr>
            <w:tcW w:w="1473" w:type="dxa"/>
            <w:tcBorders>
              <w:left w:val="single" w:sz="4" w:space="0" w:color="auto"/>
              <w:bottom w:val="single" w:sz="4" w:space="0" w:color="auto"/>
            </w:tcBorders>
          </w:tcPr>
          <w:p w:rsidR="00E63DD3" w:rsidRDefault="00292951" w:rsidP="00DB4188">
            <w:pPr>
              <w:jc w:val="both"/>
              <w:rPr>
                <w:rFonts w:ascii="Times New Roman" w:hAnsi="Times New Roman"/>
                <w:sz w:val="24"/>
                <w:szCs w:val="24"/>
                <w:lang w:val="sr-Cyrl-CS"/>
              </w:rPr>
            </w:pPr>
            <w:r>
              <w:rPr>
                <w:rFonts w:ascii="Times New Roman" w:hAnsi="Times New Roman"/>
                <w:sz w:val="24"/>
                <w:szCs w:val="24"/>
                <w:lang w:val="sr-Cyrl-CS"/>
              </w:rPr>
              <w:t>27</w:t>
            </w:r>
          </w:p>
        </w:tc>
        <w:tc>
          <w:tcPr>
            <w:tcW w:w="1074" w:type="dxa"/>
            <w:gridSpan w:val="2"/>
            <w:tcBorders>
              <w:bottom w:val="single" w:sz="4" w:space="0" w:color="auto"/>
              <w:right w:val="single" w:sz="4" w:space="0" w:color="auto"/>
            </w:tcBorders>
          </w:tcPr>
          <w:p w:rsidR="00E63DD3" w:rsidRDefault="00292951" w:rsidP="00DB4188">
            <w:pPr>
              <w:jc w:val="both"/>
              <w:rPr>
                <w:rFonts w:ascii="Times New Roman" w:hAnsi="Times New Roman"/>
                <w:sz w:val="24"/>
                <w:szCs w:val="24"/>
                <w:lang w:val="sr-Cyrl-CS"/>
              </w:rPr>
            </w:pPr>
            <w:r>
              <w:rPr>
                <w:rFonts w:ascii="Times New Roman" w:hAnsi="Times New Roman"/>
                <w:sz w:val="24"/>
                <w:szCs w:val="24"/>
                <w:lang w:val="sr-Cyrl-CS"/>
              </w:rPr>
              <w:t>11</w:t>
            </w:r>
          </w:p>
        </w:tc>
        <w:tc>
          <w:tcPr>
            <w:tcW w:w="1186" w:type="dxa"/>
            <w:gridSpan w:val="3"/>
            <w:tcBorders>
              <w:left w:val="single" w:sz="4" w:space="0" w:color="auto"/>
              <w:bottom w:val="single" w:sz="4" w:space="0" w:color="auto"/>
            </w:tcBorders>
          </w:tcPr>
          <w:p w:rsidR="00E63DD3" w:rsidRDefault="00292951" w:rsidP="00DB4188">
            <w:pPr>
              <w:jc w:val="both"/>
              <w:rPr>
                <w:rFonts w:ascii="Times New Roman" w:hAnsi="Times New Roman"/>
                <w:sz w:val="24"/>
                <w:szCs w:val="24"/>
                <w:lang w:val="sr-Cyrl-CS"/>
              </w:rPr>
            </w:pPr>
            <w:r>
              <w:rPr>
                <w:rFonts w:ascii="Times New Roman" w:hAnsi="Times New Roman"/>
                <w:sz w:val="24"/>
                <w:szCs w:val="24"/>
                <w:lang w:val="sr-Cyrl-CS"/>
              </w:rPr>
              <w:t>2</w:t>
            </w:r>
          </w:p>
        </w:tc>
        <w:tc>
          <w:tcPr>
            <w:tcW w:w="1045" w:type="dxa"/>
            <w:gridSpan w:val="4"/>
            <w:tcBorders>
              <w:bottom w:val="single" w:sz="4" w:space="0" w:color="auto"/>
              <w:right w:val="single" w:sz="4" w:space="0" w:color="auto"/>
            </w:tcBorders>
          </w:tcPr>
          <w:p w:rsidR="00E63DD3" w:rsidRDefault="00292951" w:rsidP="00DB4188">
            <w:pPr>
              <w:jc w:val="both"/>
              <w:rPr>
                <w:rFonts w:ascii="Times New Roman" w:hAnsi="Times New Roman"/>
                <w:sz w:val="24"/>
                <w:szCs w:val="24"/>
                <w:lang w:val="sr-Cyrl-CS"/>
              </w:rPr>
            </w:pPr>
            <w:r>
              <w:rPr>
                <w:rFonts w:ascii="Times New Roman" w:hAnsi="Times New Roman"/>
                <w:sz w:val="24"/>
                <w:szCs w:val="24"/>
                <w:lang w:val="sr-Cyrl-CS"/>
              </w:rPr>
              <w:t>9</w:t>
            </w:r>
          </w:p>
        </w:tc>
        <w:tc>
          <w:tcPr>
            <w:tcW w:w="1219" w:type="dxa"/>
            <w:tcBorders>
              <w:left w:val="single" w:sz="4" w:space="0" w:color="auto"/>
              <w:bottom w:val="single" w:sz="4" w:space="0" w:color="auto"/>
            </w:tcBorders>
          </w:tcPr>
          <w:p w:rsidR="00E63DD3" w:rsidRDefault="00292951" w:rsidP="00DB4188">
            <w:pPr>
              <w:jc w:val="both"/>
              <w:rPr>
                <w:rFonts w:ascii="Times New Roman" w:hAnsi="Times New Roman"/>
                <w:sz w:val="24"/>
                <w:szCs w:val="24"/>
                <w:lang w:val="sr-Cyrl-CS"/>
              </w:rPr>
            </w:pPr>
            <w:r>
              <w:rPr>
                <w:rFonts w:ascii="Times New Roman" w:hAnsi="Times New Roman"/>
                <w:sz w:val="24"/>
                <w:szCs w:val="24"/>
                <w:lang w:val="sr-Cyrl-CS"/>
              </w:rPr>
              <w:t>-</w:t>
            </w:r>
          </w:p>
        </w:tc>
      </w:tr>
      <w:tr w:rsidR="00AD1724" w:rsidTr="000E1089">
        <w:trPr>
          <w:trHeight w:val="399"/>
        </w:trPr>
        <w:tc>
          <w:tcPr>
            <w:tcW w:w="1635" w:type="dxa"/>
            <w:tcBorders>
              <w:top w:val="single" w:sz="4" w:space="0" w:color="auto"/>
            </w:tcBorders>
          </w:tcPr>
          <w:p w:rsidR="00E63DD3" w:rsidRDefault="00E942F5" w:rsidP="00DB4188">
            <w:pPr>
              <w:jc w:val="both"/>
              <w:rPr>
                <w:rFonts w:ascii="Times New Roman" w:hAnsi="Times New Roman"/>
                <w:sz w:val="20"/>
                <w:szCs w:val="20"/>
                <w:lang w:val="sr-Cyrl-CS"/>
              </w:rPr>
            </w:pPr>
            <w:r>
              <w:rPr>
                <w:rFonts w:ascii="Times New Roman" w:hAnsi="Times New Roman"/>
                <w:sz w:val="20"/>
                <w:szCs w:val="20"/>
                <w:lang w:val="sr-Cyrl-CS"/>
              </w:rPr>
              <w:t>2012.</w:t>
            </w:r>
          </w:p>
        </w:tc>
        <w:tc>
          <w:tcPr>
            <w:tcW w:w="1413" w:type="dxa"/>
            <w:gridSpan w:val="4"/>
            <w:tcBorders>
              <w:top w:val="single" w:sz="4" w:space="0" w:color="auto"/>
              <w:bottom w:val="single" w:sz="4" w:space="0" w:color="auto"/>
              <w:right w:val="single" w:sz="4" w:space="0" w:color="auto"/>
            </w:tcBorders>
          </w:tcPr>
          <w:p w:rsidR="00E63DD3" w:rsidRDefault="00292951" w:rsidP="00DB4188">
            <w:pPr>
              <w:jc w:val="both"/>
              <w:rPr>
                <w:rFonts w:ascii="Times New Roman" w:hAnsi="Times New Roman"/>
                <w:sz w:val="24"/>
                <w:szCs w:val="24"/>
                <w:lang w:val="sr-Cyrl-CS"/>
              </w:rPr>
            </w:pPr>
            <w:r>
              <w:rPr>
                <w:rFonts w:ascii="Times New Roman" w:hAnsi="Times New Roman"/>
                <w:sz w:val="24"/>
                <w:szCs w:val="24"/>
                <w:lang w:val="sr-Cyrl-CS"/>
              </w:rPr>
              <w:t>59</w:t>
            </w:r>
          </w:p>
        </w:tc>
        <w:tc>
          <w:tcPr>
            <w:tcW w:w="1473" w:type="dxa"/>
            <w:tcBorders>
              <w:top w:val="single" w:sz="4" w:space="0" w:color="auto"/>
              <w:left w:val="single" w:sz="4" w:space="0" w:color="auto"/>
              <w:bottom w:val="single" w:sz="4" w:space="0" w:color="auto"/>
            </w:tcBorders>
          </w:tcPr>
          <w:p w:rsidR="00E63DD3" w:rsidRDefault="00292951" w:rsidP="00DB4188">
            <w:pPr>
              <w:jc w:val="both"/>
              <w:rPr>
                <w:rFonts w:ascii="Times New Roman" w:hAnsi="Times New Roman"/>
                <w:sz w:val="24"/>
                <w:szCs w:val="24"/>
                <w:lang w:val="sr-Cyrl-CS"/>
              </w:rPr>
            </w:pPr>
            <w:r>
              <w:rPr>
                <w:rFonts w:ascii="Times New Roman" w:hAnsi="Times New Roman"/>
                <w:sz w:val="24"/>
                <w:szCs w:val="24"/>
                <w:lang w:val="sr-Cyrl-CS"/>
              </w:rPr>
              <w:t>36</w:t>
            </w:r>
          </w:p>
        </w:tc>
        <w:tc>
          <w:tcPr>
            <w:tcW w:w="1074" w:type="dxa"/>
            <w:gridSpan w:val="2"/>
            <w:tcBorders>
              <w:top w:val="single" w:sz="4" w:space="0" w:color="auto"/>
              <w:bottom w:val="single" w:sz="4" w:space="0" w:color="auto"/>
              <w:right w:val="single" w:sz="4" w:space="0" w:color="auto"/>
            </w:tcBorders>
          </w:tcPr>
          <w:p w:rsidR="00E63DD3" w:rsidRDefault="00292951" w:rsidP="00DB4188">
            <w:pPr>
              <w:jc w:val="both"/>
              <w:rPr>
                <w:rFonts w:ascii="Times New Roman" w:hAnsi="Times New Roman"/>
                <w:sz w:val="24"/>
                <w:szCs w:val="24"/>
                <w:lang w:val="sr-Cyrl-CS"/>
              </w:rPr>
            </w:pPr>
            <w:r>
              <w:rPr>
                <w:rFonts w:ascii="Times New Roman" w:hAnsi="Times New Roman"/>
                <w:sz w:val="24"/>
                <w:szCs w:val="24"/>
                <w:lang w:val="sr-Cyrl-CS"/>
              </w:rPr>
              <w:t>8</w:t>
            </w:r>
          </w:p>
        </w:tc>
        <w:tc>
          <w:tcPr>
            <w:tcW w:w="1186" w:type="dxa"/>
            <w:gridSpan w:val="3"/>
            <w:tcBorders>
              <w:top w:val="single" w:sz="4" w:space="0" w:color="auto"/>
              <w:left w:val="single" w:sz="4" w:space="0" w:color="auto"/>
              <w:bottom w:val="single" w:sz="4" w:space="0" w:color="auto"/>
            </w:tcBorders>
          </w:tcPr>
          <w:p w:rsidR="00E63DD3" w:rsidRDefault="00292951" w:rsidP="00DB4188">
            <w:pPr>
              <w:jc w:val="both"/>
              <w:rPr>
                <w:rFonts w:ascii="Times New Roman" w:hAnsi="Times New Roman"/>
                <w:sz w:val="24"/>
                <w:szCs w:val="24"/>
                <w:lang w:val="sr-Cyrl-CS"/>
              </w:rPr>
            </w:pPr>
            <w:r>
              <w:rPr>
                <w:rFonts w:ascii="Times New Roman" w:hAnsi="Times New Roman"/>
                <w:sz w:val="24"/>
                <w:szCs w:val="24"/>
                <w:lang w:val="sr-Cyrl-CS"/>
              </w:rPr>
              <w:t>-</w:t>
            </w:r>
          </w:p>
        </w:tc>
        <w:tc>
          <w:tcPr>
            <w:tcW w:w="1045" w:type="dxa"/>
            <w:gridSpan w:val="4"/>
            <w:tcBorders>
              <w:top w:val="single" w:sz="4" w:space="0" w:color="auto"/>
              <w:bottom w:val="single" w:sz="4" w:space="0" w:color="auto"/>
              <w:right w:val="single" w:sz="4" w:space="0" w:color="auto"/>
            </w:tcBorders>
          </w:tcPr>
          <w:p w:rsidR="00E63DD3" w:rsidRDefault="00292951" w:rsidP="00DB4188">
            <w:pPr>
              <w:jc w:val="both"/>
              <w:rPr>
                <w:rFonts w:ascii="Times New Roman" w:hAnsi="Times New Roman"/>
                <w:sz w:val="24"/>
                <w:szCs w:val="24"/>
                <w:lang w:val="sr-Cyrl-CS"/>
              </w:rPr>
            </w:pPr>
            <w:r>
              <w:rPr>
                <w:rFonts w:ascii="Times New Roman" w:hAnsi="Times New Roman"/>
                <w:sz w:val="24"/>
                <w:szCs w:val="24"/>
                <w:lang w:val="sr-Cyrl-CS"/>
              </w:rPr>
              <w:t>8</w:t>
            </w:r>
          </w:p>
        </w:tc>
        <w:tc>
          <w:tcPr>
            <w:tcW w:w="1219" w:type="dxa"/>
            <w:tcBorders>
              <w:top w:val="single" w:sz="4" w:space="0" w:color="auto"/>
              <w:left w:val="single" w:sz="4" w:space="0" w:color="auto"/>
              <w:bottom w:val="single" w:sz="4" w:space="0" w:color="auto"/>
            </w:tcBorders>
          </w:tcPr>
          <w:p w:rsidR="00E63DD3" w:rsidRDefault="00292951" w:rsidP="00DB4188">
            <w:pPr>
              <w:jc w:val="both"/>
              <w:rPr>
                <w:rFonts w:ascii="Times New Roman" w:hAnsi="Times New Roman"/>
                <w:sz w:val="24"/>
                <w:szCs w:val="24"/>
                <w:lang w:val="sr-Cyrl-CS"/>
              </w:rPr>
            </w:pPr>
            <w:r>
              <w:rPr>
                <w:rFonts w:ascii="Times New Roman" w:hAnsi="Times New Roman"/>
                <w:sz w:val="24"/>
                <w:szCs w:val="24"/>
                <w:lang w:val="sr-Cyrl-CS"/>
              </w:rPr>
              <w:t>-</w:t>
            </w:r>
          </w:p>
        </w:tc>
      </w:tr>
      <w:tr w:rsidR="00AD1724" w:rsidTr="000E1089">
        <w:trPr>
          <w:trHeight w:val="911"/>
        </w:trPr>
        <w:tc>
          <w:tcPr>
            <w:tcW w:w="1635" w:type="dxa"/>
            <w:tcBorders>
              <w:bottom w:val="single" w:sz="4" w:space="0" w:color="auto"/>
            </w:tcBorders>
          </w:tcPr>
          <w:p w:rsidR="00E63DD3" w:rsidRPr="00AD1724" w:rsidRDefault="00E63DD3" w:rsidP="00AD1724">
            <w:pPr>
              <w:pStyle w:val="NoSpacing"/>
              <w:rPr>
                <w:rFonts w:ascii="Times New Roman" w:hAnsi="Times New Roman"/>
                <w:b/>
                <w:sz w:val="20"/>
                <w:szCs w:val="20"/>
                <w:lang w:val="sr-Cyrl-CS"/>
              </w:rPr>
            </w:pPr>
            <w:r w:rsidRPr="00AD1724">
              <w:rPr>
                <w:rFonts w:ascii="Times New Roman" w:hAnsi="Times New Roman"/>
                <w:b/>
                <w:sz w:val="20"/>
                <w:szCs w:val="20"/>
                <w:lang w:val="sr-Cyrl-CS"/>
              </w:rPr>
              <w:t>Злоупотреба овлашћења у привреди</w:t>
            </w:r>
          </w:p>
          <w:p w:rsidR="00F66858" w:rsidRPr="00AD1724" w:rsidRDefault="00F66858" w:rsidP="00AD1724">
            <w:pPr>
              <w:pStyle w:val="NoSpacing"/>
              <w:rPr>
                <w:rFonts w:ascii="Times New Roman" w:hAnsi="Times New Roman"/>
                <w:sz w:val="20"/>
                <w:szCs w:val="20"/>
                <w:lang w:val="sr-Cyrl-CS"/>
              </w:rPr>
            </w:pPr>
            <w:r w:rsidRPr="00AD1724">
              <w:rPr>
                <w:rFonts w:ascii="Times New Roman" w:hAnsi="Times New Roman"/>
                <w:sz w:val="20"/>
                <w:szCs w:val="20"/>
                <w:lang w:val="sr-Cyrl-CS"/>
              </w:rPr>
              <w:t>2007.</w:t>
            </w:r>
          </w:p>
        </w:tc>
        <w:tc>
          <w:tcPr>
            <w:tcW w:w="1413" w:type="dxa"/>
            <w:gridSpan w:val="4"/>
            <w:tcBorders>
              <w:top w:val="single" w:sz="4" w:space="0" w:color="auto"/>
              <w:bottom w:val="single" w:sz="4" w:space="0" w:color="auto"/>
              <w:right w:val="single" w:sz="4" w:space="0" w:color="auto"/>
            </w:tcBorders>
          </w:tcPr>
          <w:p w:rsidR="00AD1724" w:rsidRDefault="00AD1724" w:rsidP="00DB4188">
            <w:pPr>
              <w:jc w:val="both"/>
              <w:rPr>
                <w:rFonts w:ascii="Times New Roman" w:hAnsi="Times New Roman"/>
                <w:sz w:val="24"/>
                <w:szCs w:val="24"/>
                <w:lang w:val="sr-Cyrl-CS"/>
              </w:rPr>
            </w:pPr>
          </w:p>
          <w:p w:rsidR="00E63DD3" w:rsidRDefault="00292951" w:rsidP="00DB4188">
            <w:pPr>
              <w:jc w:val="both"/>
              <w:rPr>
                <w:rFonts w:ascii="Times New Roman" w:hAnsi="Times New Roman"/>
                <w:sz w:val="24"/>
                <w:szCs w:val="24"/>
                <w:lang w:val="sr-Cyrl-CS"/>
              </w:rPr>
            </w:pPr>
            <w:r>
              <w:rPr>
                <w:rFonts w:ascii="Times New Roman" w:hAnsi="Times New Roman"/>
                <w:sz w:val="24"/>
                <w:szCs w:val="24"/>
                <w:lang w:val="sr-Cyrl-CS"/>
              </w:rPr>
              <w:t>372</w:t>
            </w:r>
          </w:p>
        </w:tc>
        <w:tc>
          <w:tcPr>
            <w:tcW w:w="1473" w:type="dxa"/>
            <w:tcBorders>
              <w:top w:val="single" w:sz="4" w:space="0" w:color="auto"/>
              <w:left w:val="single" w:sz="4" w:space="0" w:color="auto"/>
              <w:bottom w:val="single" w:sz="4" w:space="0" w:color="auto"/>
            </w:tcBorders>
          </w:tcPr>
          <w:p w:rsidR="00AD1724" w:rsidRDefault="00AD1724" w:rsidP="00DB4188">
            <w:pPr>
              <w:jc w:val="both"/>
              <w:rPr>
                <w:rFonts w:ascii="Times New Roman" w:hAnsi="Times New Roman"/>
                <w:sz w:val="24"/>
                <w:szCs w:val="24"/>
                <w:lang w:val="sr-Cyrl-CS"/>
              </w:rPr>
            </w:pPr>
          </w:p>
          <w:p w:rsidR="00E63DD3" w:rsidRDefault="00292951" w:rsidP="00DB4188">
            <w:pPr>
              <w:jc w:val="both"/>
              <w:rPr>
                <w:rFonts w:ascii="Times New Roman" w:hAnsi="Times New Roman"/>
                <w:sz w:val="24"/>
                <w:szCs w:val="24"/>
                <w:lang w:val="sr-Cyrl-CS"/>
              </w:rPr>
            </w:pPr>
            <w:r>
              <w:rPr>
                <w:rFonts w:ascii="Times New Roman" w:hAnsi="Times New Roman"/>
                <w:sz w:val="24"/>
                <w:szCs w:val="24"/>
                <w:lang w:val="sr-Cyrl-CS"/>
              </w:rPr>
              <w:t>124</w:t>
            </w:r>
          </w:p>
        </w:tc>
        <w:tc>
          <w:tcPr>
            <w:tcW w:w="1074" w:type="dxa"/>
            <w:gridSpan w:val="2"/>
            <w:tcBorders>
              <w:top w:val="single" w:sz="4" w:space="0" w:color="auto"/>
              <w:bottom w:val="single" w:sz="4" w:space="0" w:color="auto"/>
              <w:right w:val="single" w:sz="4" w:space="0" w:color="auto"/>
            </w:tcBorders>
          </w:tcPr>
          <w:p w:rsidR="00AD1724" w:rsidRDefault="00AD1724" w:rsidP="00DB4188">
            <w:pPr>
              <w:jc w:val="both"/>
              <w:rPr>
                <w:rFonts w:ascii="Times New Roman" w:hAnsi="Times New Roman"/>
                <w:sz w:val="24"/>
                <w:szCs w:val="24"/>
                <w:lang w:val="sr-Cyrl-CS"/>
              </w:rPr>
            </w:pPr>
          </w:p>
          <w:p w:rsidR="00E63DD3" w:rsidRDefault="00292951" w:rsidP="00DB4188">
            <w:pPr>
              <w:jc w:val="both"/>
              <w:rPr>
                <w:rFonts w:ascii="Times New Roman" w:hAnsi="Times New Roman"/>
                <w:sz w:val="24"/>
                <w:szCs w:val="24"/>
                <w:lang w:val="sr-Cyrl-CS"/>
              </w:rPr>
            </w:pPr>
            <w:r>
              <w:rPr>
                <w:rFonts w:ascii="Times New Roman" w:hAnsi="Times New Roman"/>
                <w:sz w:val="24"/>
                <w:szCs w:val="24"/>
                <w:lang w:val="sr-Cyrl-CS"/>
              </w:rPr>
              <w:t>140</w:t>
            </w:r>
          </w:p>
        </w:tc>
        <w:tc>
          <w:tcPr>
            <w:tcW w:w="1186" w:type="dxa"/>
            <w:gridSpan w:val="3"/>
            <w:tcBorders>
              <w:top w:val="single" w:sz="4" w:space="0" w:color="auto"/>
              <w:left w:val="single" w:sz="4" w:space="0" w:color="auto"/>
              <w:bottom w:val="single" w:sz="4" w:space="0" w:color="auto"/>
            </w:tcBorders>
          </w:tcPr>
          <w:p w:rsidR="00AD1724" w:rsidRDefault="00AD1724" w:rsidP="00DB4188">
            <w:pPr>
              <w:jc w:val="both"/>
              <w:rPr>
                <w:rFonts w:ascii="Times New Roman" w:hAnsi="Times New Roman"/>
                <w:sz w:val="24"/>
                <w:szCs w:val="24"/>
                <w:lang w:val="sr-Cyrl-CS"/>
              </w:rPr>
            </w:pPr>
          </w:p>
          <w:p w:rsidR="00E63DD3" w:rsidRDefault="0049479E" w:rsidP="00DB4188">
            <w:pPr>
              <w:jc w:val="both"/>
              <w:rPr>
                <w:rFonts w:ascii="Times New Roman" w:hAnsi="Times New Roman"/>
                <w:sz w:val="24"/>
                <w:szCs w:val="24"/>
                <w:lang w:val="sr-Cyrl-CS"/>
              </w:rPr>
            </w:pPr>
            <w:r>
              <w:rPr>
                <w:rFonts w:ascii="Times New Roman" w:hAnsi="Times New Roman"/>
                <w:sz w:val="24"/>
                <w:szCs w:val="24"/>
                <w:lang w:val="sr-Cyrl-CS"/>
              </w:rPr>
              <w:t>28</w:t>
            </w:r>
          </w:p>
        </w:tc>
        <w:tc>
          <w:tcPr>
            <w:tcW w:w="1045" w:type="dxa"/>
            <w:gridSpan w:val="4"/>
            <w:tcBorders>
              <w:top w:val="single" w:sz="4" w:space="0" w:color="auto"/>
              <w:bottom w:val="single" w:sz="4" w:space="0" w:color="auto"/>
              <w:right w:val="single" w:sz="4" w:space="0" w:color="auto"/>
            </w:tcBorders>
          </w:tcPr>
          <w:p w:rsidR="00AD1724" w:rsidRDefault="00AD1724" w:rsidP="00DB4188">
            <w:pPr>
              <w:jc w:val="both"/>
              <w:rPr>
                <w:rFonts w:ascii="Times New Roman" w:hAnsi="Times New Roman"/>
                <w:sz w:val="24"/>
                <w:szCs w:val="24"/>
                <w:lang w:val="sr-Cyrl-CS"/>
              </w:rPr>
            </w:pPr>
          </w:p>
          <w:p w:rsidR="00E63DD3" w:rsidRDefault="0049479E" w:rsidP="00DB4188">
            <w:pPr>
              <w:jc w:val="both"/>
              <w:rPr>
                <w:rFonts w:ascii="Times New Roman" w:hAnsi="Times New Roman"/>
                <w:sz w:val="24"/>
                <w:szCs w:val="24"/>
                <w:lang w:val="sr-Cyrl-CS"/>
              </w:rPr>
            </w:pPr>
            <w:r>
              <w:rPr>
                <w:rFonts w:ascii="Times New Roman" w:hAnsi="Times New Roman"/>
                <w:sz w:val="24"/>
                <w:szCs w:val="24"/>
                <w:lang w:val="sr-Cyrl-CS"/>
              </w:rPr>
              <w:t>96</w:t>
            </w:r>
          </w:p>
        </w:tc>
        <w:tc>
          <w:tcPr>
            <w:tcW w:w="1219" w:type="dxa"/>
            <w:tcBorders>
              <w:top w:val="single" w:sz="4" w:space="0" w:color="auto"/>
              <w:left w:val="single" w:sz="4" w:space="0" w:color="auto"/>
              <w:bottom w:val="single" w:sz="4" w:space="0" w:color="auto"/>
            </w:tcBorders>
          </w:tcPr>
          <w:p w:rsidR="00AD1724" w:rsidRDefault="00AD1724" w:rsidP="00DB4188">
            <w:pPr>
              <w:jc w:val="both"/>
              <w:rPr>
                <w:rFonts w:ascii="Times New Roman" w:hAnsi="Times New Roman"/>
                <w:sz w:val="24"/>
                <w:szCs w:val="24"/>
                <w:lang w:val="sr-Cyrl-CS"/>
              </w:rPr>
            </w:pPr>
          </w:p>
          <w:p w:rsidR="00E63DD3" w:rsidRDefault="0049479E" w:rsidP="00DB4188">
            <w:pPr>
              <w:jc w:val="both"/>
              <w:rPr>
                <w:rFonts w:ascii="Times New Roman" w:hAnsi="Times New Roman"/>
                <w:sz w:val="24"/>
                <w:szCs w:val="24"/>
                <w:lang w:val="sr-Cyrl-CS"/>
              </w:rPr>
            </w:pPr>
            <w:r>
              <w:rPr>
                <w:rFonts w:ascii="Times New Roman" w:hAnsi="Times New Roman"/>
                <w:sz w:val="24"/>
                <w:szCs w:val="24"/>
                <w:lang w:val="sr-Cyrl-CS"/>
              </w:rPr>
              <w:t>-</w:t>
            </w:r>
          </w:p>
        </w:tc>
      </w:tr>
      <w:tr w:rsidR="00AD1724" w:rsidTr="000E1089">
        <w:trPr>
          <w:trHeight w:val="573"/>
        </w:trPr>
        <w:tc>
          <w:tcPr>
            <w:tcW w:w="1635" w:type="dxa"/>
            <w:tcBorders>
              <w:top w:val="single" w:sz="4" w:space="0" w:color="auto"/>
              <w:bottom w:val="single" w:sz="4" w:space="0" w:color="auto"/>
            </w:tcBorders>
          </w:tcPr>
          <w:p w:rsidR="00E63DD3" w:rsidRDefault="00F66858" w:rsidP="00DB4188">
            <w:pPr>
              <w:jc w:val="both"/>
              <w:rPr>
                <w:rFonts w:ascii="Times New Roman" w:hAnsi="Times New Roman"/>
                <w:sz w:val="20"/>
                <w:szCs w:val="20"/>
                <w:lang w:val="sr-Cyrl-CS"/>
              </w:rPr>
            </w:pPr>
            <w:r>
              <w:rPr>
                <w:rFonts w:ascii="Times New Roman" w:hAnsi="Times New Roman"/>
                <w:sz w:val="20"/>
                <w:szCs w:val="20"/>
                <w:lang w:val="sr-Cyrl-CS"/>
              </w:rPr>
              <w:t>2008.</w:t>
            </w:r>
          </w:p>
        </w:tc>
        <w:tc>
          <w:tcPr>
            <w:tcW w:w="1397" w:type="dxa"/>
            <w:gridSpan w:val="3"/>
            <w:tcBorders>
              <w:top w:val="single" w:sz="4" w:space="0" w:color="auto"/>
              <w:bottom w:val="single" w:sz="4" w:space="0" w:color="auto"/>
              <w:right w:val="single" w:sz="4" w:space="0" w:color="auto"/>
            </w:tcBorders>
          </w:tcPr>
          <w:p w:rsidR="00E63DD3" w:rsidRDefault="00292951" w:rsidP="00DB4188">
            <w:pPr>
              <w:jc w:val="both"/>
              <w:rPr>
                <w:rFonts w:ascii="Times New Roman" w:hAnsi="Times New Roman"/>
                <w:sz w:val="24"/>
                <w:szCs w:val="24"/>
                <w:lang w:val="sr-Cyrl-CS"/>
              </w:rPr>
            </w:pPr>
            <w:r>
              <w:rPr>
                <w:rFonts w:ascii="Times New Roman" w:hAnsi="Times New Roman"/>
                <w:sz w:val="24"/>
                <w:szCs w:val="24"/>
                <w:lang w:val="sr-Cyrl-CS"/>
              </w:rPr>
              <w:t>443</w:t>
            </w:r>
          </w:p>
        </w:tc>
        <w:tc>
          <w:tcPr>
            <w:tcW w:w="1489" w:type="dxa"/>
            <w:gridSpan w:val="2"/>
            <w:tcBorders>
              <w:top w:val="single" w:sz="4" w:space="0" w:color="auto"/>
              <w:left w:val="single" w:sz="4" w:space="0" w:color="auto"/>
              <w:bottom w:val="single" w:sz="4" w:space="0" w:color="auto"/>
            </w:tcBorders>
          </w:tcPr>
          <w:p w:rsidR="00E63DD3" w:rsidRDefault="00292951" w:rsidP="00DB4188">
            <w:pPr>
              <w:jc w:val="both"/>
              <w:rPr>
                <w:rFonts w:ascii="Times New Roman" w:hAnsi="Times New Roman"/>
                <w:sz w:val="24"/>
                <w:szCs w:val="24"/>
                <w:lang w:val="sr-Cyrl-CS"/>
              </w:rPr>
            </w:pPr>
            <w:r>
              <w:rPr>
                <w:rFonts w:ascii="Times New Roman" w:hAnsi="Times New Roman"/>
                <w:sz w:val="24"/>
                <w:szCs w:val="24"/>
                <w:lang w:val="sr-Cyrl-CS"/>
              </w:rPr>
              <w:t>276</w:t>
            </w:r>
          </w:p>
        </w:tc>
        <w:tc>
          <w:tcPr>
            <w:tcW w:w="1103" w:type="dxa"/>
            <w:gridSpan w:val="3"/>
            <w:tcBorders>
              <w:top w:val="single" w:sz="4" w:space="0" w:color="auto"/>
              <w:bottom w:val="single" w:sz="4" w:space="0" w:color="auto"/>
              <w:right w:val="single" w:sz="4" w:space="0" w:color="auto"/>
            </w:tcBorders>
          </w:tcPr>
          <w:p w:rsidR="00E63DD3" w:rsidRDefault="00292951" w:rsidP="00DB4188">
            <w:pPr>
              <w:jc w:val="both"/>
              <w:rPr>
                <w:rFonts w:ascii="Times New Roman" w:hAnsi="Times New Roman"/>
                <w:sz w:val="24"/>
                <w:szCs w:val="24"/>
                <w:lang w:val="sr-Cyrl-CS"/>
              </w:rPr>
            </w:pPr>
            <w:r>
              <w:rPr>
                <w:rFonts w:ascii="Times New Roman" w:hAnsi="Times New Roman"/>
                <w:sz w:val="24"/>
                <w:szCs w:val="24"/>
                <w:lang w:val="sr-Cyrl-CS"/>
              </w:rPr>
              <w:t>133</w:t>
            </w:r>
          </w:p>
        </w:tc>
        <w:tc>
          <w:tcPr>
            <w:tcW w:w="1157" w:type="dxa"/>
            <w:gridSpan w:val="2"/>
            <w:tcBorders>
              <w:top w:val="single" w:sz="4" w:space="0" w:color="auto"/>
              <w:left w:val="single" w:sz="4" w:space="0" w:color="auto"/>
              <w:bottom w:val="single" w:sz="4" w:space="0" w:color="auto"/>
            </w:tcBorders>
          </w:tcPr>
          <w:p w:rsidR="00E63DD3" w:rsidRDefault="0049479E" w:rsidP="00DB4188">
            <w:pPr>
              <w:jc w:val="both"/>
              <w:rPr>
                <w:rFonts w:ascii="Times New Roman" w:hAnsi="Times New Roman"/>
                <w:sz w:val="24"/>
                <w:szCs w:val="24"/>
                <w:lang w:val="sr-Cyrl-CS"/>
              </w:rPr>
            </w:pPr>
            <w:r>
              <w:rPr>
                <w:rFonts w:ascii="Times New Roman" w:hAnsi="Times New Roman"/>
                <w:sz w:val="24"/>
                <w:szCs w:val="24"/>
                <w:lang w:val="sr-Cyrl-CS"/>
              </w:rPr>
              <w:t>28</w:t>
            </w:r>
          </w:p>
        </w:tc>
        <w:tc>
          <w:tcPr>
            <w:tcW w:w="1045" w:type="dxa"/>
            <w:gridSpan w:val="4"/>
            <w:tcBorders>
              <w:top w:val="single" w:sz="4" w:space="0" w:color="auto"/>
              <w:bottom w:val="single" w:sz="4" w:space="0" w:color="auto"/>
              <w:right w:val="single" w:sz="4" w:space="0" w:color="auto"/>
            </w:tcBorders>
          </w:tcPr>
          <w:p w:rsidR="00E63DD3" w:rsidRDefault="0049479E" w:rsidP="00DB4188">
            <w:pPr>
              <w:jc w:val="both"/>
              <w:rPr>
                <w:rFonts w:ascii="Times New Roman" w:hAnsi="Times New Roman"/>
                <w:sz w:val="24"/>
                <w:szCs w:val="24"/>
                <w:lang w:val="sr-Cyrl-CS"/>
              </w:rPr>
            </w:pPr>
            <w:r>
              <w:rPr>
                <w:rFonts w:ascii="Times New Roman" w:hAnsi="Times New Roman"/>
                <w:sz w:val="24"/>
                <w:szCs w:val="24"/>
                <w:lang w:val="sr-Cyrl-CS"/>
              </w:rPr>
              <w:t>104</w:t>
            </w:r>
          </w:p>
        </w:tc>
        <w:tc>
          <w:tcPr>
            <w:tcW w:w="1219" w:type="dxa"/>
            <w:tcBorders>
              <w:top w:val="single" w:sz="4" w:space="0" w:color="auto"/>
              <w:left w:val="single" w:sz="4" w:space="0" w:color="auto"/>
              <w:bottom w:val="single" w:sz="4" w:space="0" w:color="auto"/>
            </w:tcBorders>
          </w:tcPr>
          <w:p w:rsidR="00E63DD3" w:rsidRDefault="0049479E" w:rsidP="00DB4188">
            <w:pPr>
              <w:jc w:val="both"/>
              <w:rPr>
                <w:rFonts w:ascii="Times New Roman" w:hAnsi="Times New Roman"/>
                <w:sz w:val="24"/>
                <w:szCs w:val="24"/>
                <w:lang w:val="sr-Cyrl-CS"/>
              </w:rPr>
            </w:pPr>
            <w:r>
              <w:rPr>
                <w:rFonts w:ascii="Times New Roman" w:hAnsi="Times New Roman"/>
                <w:sz w:val="24"/>
                <w:szCs w:val="24"/>
                <w:lang w:val="sr-Cyrl-CS"/>
              </w:rPr>
              <w:t>-</w:t>
            </w:r>
          </w:p>
        </w:tc>
      </w:tr>
      <w:tr w:rsidR="00AD1724" w:rsidTr="000E1089">
        <w:trPr>
          <w:trHeight w:val="348"/>
        </w:trPr>
        <w:tc>
          <w:tcPr>
            <w:tcW w:w="1635" w:type="dxa"/>
            <w:tcBorders>
              <w:top w:val="single" w:sz="4" w:space="0" w:color="auto"/>
              <w:bottom w:val="single" w:sz="4" w:space="0" w:color="auto"/>
            </w:tcBorders>
          </w:tcPr>
          <w:p w:rsidR="00E942F5" w:rsidRDefault="00AD1724" w:rsidP="00DB4188">
            <w:pPr>
              <w:jc w:val="both"/>
              <w:rPr>
                <w:rFonts w:ascii="Times New Roman" w:hAnsi="Times New Roman"/>
                <w:sz w:val="20"/>
                <w:szCs w:val="20"/>
                <w:lang w:val="sr-Cyrl-CS"/>
              </w:rPr>
            </w:pPr>
            <w:r>
              <w:rPr>
                <w:rFonts w:ascii="Times New Roman" w:hAnsi="Times New Roman"/>
                <w:sz w:val="20"/>
                <w:szCs w:val="20"/>
                <w:lang w:val="sr-Cyrl-CS"/>
              </w:rPr>
              <w:t>2009.</w:t>
            </w:r>
          </w:p>
          <w:p w:rsidR="00E63DD3" w:rsidRDefault="00E63DD3" w:rsidP="00DB4188">
            <w:pPr>
              <w:jc w:val="both"/>
              <w:rPr>
                <w:rFonts w:ascii="Times New Roman" w:hAnsi="Times New Roman"/>
                <w:sz w:val="20"/>
                <w:szCs w:val="20"/>
                <w:lang w:val="sr-Cyrl-CS"/>
              </w:rPr>
            </w:pPr>
          </w:p>
        </w:tc>
        <w:tc>
          <w:tcPr>
            <w:tcW w:w="1397" w:type="dxa"/>
            <w:gridSpan w:val="3"/>
            <w:tcBorders>
              <w:top w:val="single" w:sz="4" w:space="0" w:color="auto"/>
              <w:bottom w:val="single" w:sz="4" w:space="0" w:color="auto"/>
              <w:right w:val="single" w:sz="4" w:space="0" w:color="auto"/>
            </w:tcBorders>
          </w:tcPr>
          <w:p w:rsidR="00E63DD3" w:rsidRDefault="00292951" w:rsidP="00DB4188">
            <w:pPr>
              <w:jc w:val="both"/>
              <w:rPr>
                <w:rFonts w:ascii="Times New Roman" w:hAnsi="Times New Roman"/>
                <w:sz w:val="24"/>
                <w:szCs w:val="24"/>
                <w:lang w:val="sr-Cyrl-CS"/>
              </w:rPr>
            </w:pPr>
            <w:r>
              <w:rPr>
                <w:rFonts w:ascii="Times New Roman" w:hAnsi="Times New Roman"/>
                <w:sz w:val="24"/>
                <w:szCs w:val="24"/>
                <w:lang w:val="sr-Cyrl-CS"/>
              </w:rPr>
              <w:t>474</w:t>
            </w:r>
          </w:p>
        </w:tc>
        <w:tc>
          <w:tcPr>
            <w:tcW w:w="1489" w:type="dxa"/>
            <w:gridSpan w:val="2"/>
            <w:tcBorders>
              <w:top w:val="single" w:sz="4" w:space="0" w:color="auto"/>
              <w:left w:val="single" w:sz="4" w:space="0" w:color="auto"/>
              <w:bottom w:val="single" w:sz="4" w:space="0" w:color="auto"/>
            </w:tcBorders>
          </w:tcPr>
          <w:p w:rsidR="00E63DD3" w:rsidRDefault="00292951" w:rsidP="00DB4188">
            <w:pPr>
              <w:jc w:val="both"/>
              <w:rPr>
                <w:rFonts w:ascii="Times New Roman" w:hAnsi="Times New Roman"/>
                <w:sz w:val="24"/>
                <w:szCs w:val="24"/>
                <w:lang w:val="sr-Cyrl-CS"/>
              </w:rPr>
            </w:pPr>
            <w:r>
              <w:rPr>
                <w:rFonts w:ascii="Times New Roman" w:hAnsi="Times New Roman"/>
                <w:sz w:val="24"/>
                <w:szCs w:val="24"/>
                <w:lang w:val="sr-Cyrl-CS"/>
              </w:rPr>
              <w:t>226</w:t>
            </w:r>
          </w:p>
        </w:tc>
        <w:tc>
          <w:tcPr>
            <w:tcW w:w="1103" w:type="dxa"/>
            <w:gridSpan w:val="3"/>
            <w:tcBorders>
              <w:top w:val="single" w:sz="4" w:space="0" w:color="auto"/>
              <w:bottom w:val="single" w:sz="4" w:space="0" w:color="auto"/>
              <w:right w:val="single" w:sz="4" w:space="0" w:color="auto"/>
            </w:tcBorders>
          </w:tcPr>
          <w:p w:rsidR="00E63DD3" w:rsidRDefault="00292951" w:rsidP="00DB4188">
            <w:pPr>
              <w:jc w:val="both"/>
              <w:rPr>
                <w:rFonts w:ascii="Times New Roman" w:hAnsi="Times New Roman"/>
                <w:sz w:val="24"/>
                <w:szCs w:val="24"/>
                <w:lang w:val="sr-Cyrl-CS"/>
              </w:rPr>
            </w:pPr>
            <w:r>
              <w:rPr>
                <w:rFonts w:ascii="Times New Roman" w:hAnsi="Times New Roman"/>
                <w:sz w:val="24"/>
                <w:szCs w:val="24"/>
                <w:lang w:val="sr-Cyrl-CS"/>
              </w:rPr>
              <w:t>120</w:t>
            </w:r>
          </w:p>
        </w:tc>
        <w:tc>
          <w:tcPr>
            <w:tcW w:w="1157" w:type="dxa"/>
            <w:gridSpan w:val="2"/>
            <w:tcBorders>
              <w:top w:val="single" w:sz="4" w:space="0" w:color="auto"/>
              <w:left w:val="single" w:sz="4" w:space="0" w:color="auto"/>
              <w:bottom w:val="single" w:sz="4" w:space="0" w:color="auto"/>
            </w:tcBorders>
          </w:tcPr>
          <w:p w:rsidR="00E63DD3" w:rsidRDefault="0049479E" w:rsidP="00DB4188">
            <w:pPr>
              <w:jc w:val="both"/>
              <w:rPr>
                <w:rFonts w:ascii="Times New Roman" w:hAnsi="Times New Roman"/>
                <w:sz w:val="24"/>
                <w:szCs w:val="24"/>
                <w:lang w:val="sr-Cyrl-CS"/>
              </w:rPr>
            </w:pPr>
            <w:r>
              <w:rPr>
                <w:rFonts w:ascii="Times New Roman" w:hAnsi="Times New Roman"/>
                <w:sz w:val="24"/>
                <w:szCs w:val="24"/>
                <w:lang w:val="sr-Cyrl-CS"/>
              </w:rPr>
              <w:t>26</w:t>
            </w:r>
          </w:p>
        </w:tc>
        <w:tc>
          <w:tcPr>
            <w:tcW w:w="1045" w:type="dxa"/>
            <w:gridSpan w:val="4"/>
            <w:tcBorders>
              <w:top w:val="single" w:sz="4" w:space="0" w:color="auto"/>
              <w:bottom w:val="single" w:sz="4" w:space="0" w:color="auto"/>
              <w:right w:val="single" w:sz="4" w:space="0" w:color="auto"/>
            </w:tcBorders>
          </w:tcPr>
          <w:p w:rsidR="00E63DD3" w:rsidRDefault="0049479E" w:rsidP="00DB4188">
            <w:pPr>
              <w:jc w:val="both"/>
              <w:rPr>
                <w:rFonts w:ascii="Times New Roman" w:hAnsi="Times New Roman"/>
                <w:sz w:val="24"/>
                <w:szCs w:val="24"/>
                <w:lang w:val="sr-Cyrl-CS"/>
              </w:rPr>
            </w:pPr>
            <w:r>
              <w:rPr>
                <w:rFonts w:ascii="Times New Roman" w:hAnsi="Times New Roman"/>
                <w:sz w:val="24"/>
                <w:szCs w:val="24"/>
                <w:lang w:val="sr-Cyrl-CS"/>
              </w:rPr>
              <w:t>93</w:t>
            </w:r>
          </w:p>
        </w:tc>
        <w:tc>
          <w:tcPr>
            <w:tcW w:w="1219" w:type="dxa"/>
            <w:tcBorders>
              <w:top w:val="single" w:sz="4" w:space="0" w:color="auto"/>
              <w:left w:val="single" w:sz="4" w:space="0" w:color="auto"/>
              <w:bottom w:val="single" w:sz="4" w:space="0" w:color="auto"/>
            </w:tcBorders>
          </w:tcPr>
          <w:p w:rsidR="00E63DD3" w:rsidRDefault="00AD1724" w:rsidP="00DB4188">
            <w:pPr>
              <w:jc w:val="both"/>
              <w:rPr>
                <w:rFonts w:ascii="Times New Roman" w:hAnsi="Times New Roman"/>
                <w:sz w:val="24"/>
                <w:szCs w:val="24"/>
                <w:lang w:val="sr-Cyrl-CS"/>
              </w:rPr>
            </w:pPr>
            <w:r>
              <w:rPr>
                <w:rFonts w:ascii="Times New Roman" w:hAnsi="Times New Roman"/>
                <w:sz w:val="24"/>
                <w:szCs w:val="24"/>
                <w:lang w:val="sr-Cyrl-CS"/>
              </w:rPr>
              <w:t>-</w:t>
            </w:r>
          </w:p>
        </w:tc>
      </w:tr>
      <w:tr w:rsidR="00AD1724" w:rsidTr="000E1089">
        <w:trPr>
          <w:trHeight w:val="503"/>
        </w:trPr>
        <w:tc>
          <w:tcPr>
            <w:tcW w:w="1635" w:type="dxa"/>
            <w:tcBorders>
              <w:top w:val="single" w:sz="4" w:space="0" w:color="auto"/>
              <w:bottom w:val="single" w:sz="4" w:space="0" w:color="auto"/>
            </w:tcBorders>
          </w:tcPr>
          <w:p w:rsidR="00E63DD3" w:rsidRDefault="00E942F5" w:rsidP="00DB4188">
            <w:pPr>
              <w:jc w:val="both"/>
              <w:rPr>
                <w:rFonts w:ascii="Times New Roman" w:hAnsi="Times New Roman"/>
                <w:sz w:val="20"/>
                <w:szCs w:val="20"/>
                <w:lang w:val="sr-Cyrl-CS"/>
              </w:rPr>
            </w:pPr>
            <w:r>
              <w:rPr>
                <w:rFonts w:ascii="Times New Roman" w:hAnsi="Times New Roman"/>
                <w:sz w:val="20"/>
                <w:szCs w:val="20"/>
                <w:lang w:val="sr-Cyrl-CS"/>
              </w:rPr>
              <w:lastRenderedPageBreak/>
              <w:t>2010.</w:t>
            </w:r>
          </w:p>
        </w:tc>
        <w:tc>
          <w:tcPr>
            <w:tcW w:w="1397" w:type="dxa"/>
            <w:gridSpan w:val="3"/>
            <w:tcBorders>
              <w:top w:val="single" w:sz="4" w:space="0" w:color="auto"/>
              <w:right w:val="single" w:sz="4" w:space="0" w:color="auto"/>
            </w:tcBorders>
          </w:tcPr>
          <w:p w:rsidR="00E63DD3" w:rsidRDefault="00292951" w:rsidP="00DB4188">
            <w:pPr>
              <w:jc w:val="both"/>
              <w:rPr>
                <w:rFonts w:ascii="Times New Roman" w:hAnsi="Times New Roman"/>
                <w:sz w:val="24"/>
                <w:szCs w:val="24"/>
                <w:lang w:val="sr-Cyrl-CS"/>
              </w:rPr>
            </w:pPr>
            <w:r>
              <w:rPr>
                <w:rFonts w:ascii="Times New Roman" w:hAnsi="Times New Roman"/>
                <w:sz w:val="24"/>
                <w:szCs w:val="24"/>
                <w:lang w:val="sr-Cyrl-CS"/>
              </w:rPr>
              <w:t>285</w:t>
            </w:r>
          </w:p>
        </w:tc>
        <w:tc>
          <w:tcPr>
            <w:tcW w:w="1489" w:type="dxa"/>
            <w:gridSpan w:val="2"/>
            <w:tcBorders>
              <w:top w:val="single" w:sz="4" w:space="0" w:color="auto"/>
              <w:left w:val="single" w:sz="4" w:space="0" w:color="auto"/>
              <w:bottom w:val="single" w:sz="4" w:space="0" w:color="auto"/>
            </w:tcBorders>
          </w:tcPr>
          <w:p w:rsidR="00E63DD3" w:rsidRDefault="00292951" w:rsidP="00DB4188">
            <w:pPr>
              <w:jc w:val="both"/>
              <w:rPr>
                <w:rFonts w:ascii="Times New Roman" w:hAnsi="Times New Roman"/>
                <w:sz w:val="24"/>
                <w:szCs w:val="24"/>
                <w:lang w:val="sr-Cyrl-CS"/>
              </w:rPr>
            </w:pPr>
            <w:r>
              <w:rPr>
                <w:rFonts w:ascii="Times New Roman" w:hAnsi="Times New Roman"/>
                <w:sz w:val="24"/>
                <w:szCs w:val="24"/>
                <w:lang w:val="sr-Cyrl-CS"/>
              </w:rPr>
              <w:t>147</w:t>
            </w:r>
          </w:p>
        </w:tc>
        <w:tc>
          <w:tcPr>
            <w:tcW w:w="1103" w:type="dxa"/>
            <w:gridSpan w:val="3"/>
            <w:tcBorders>
              <w:top w:val="single" w:sz="4" w:space="0" w:color="auto"/>
              <w:bottom w:val="single" w:sz="4" w:space="0" w:color="auto"/>
              <w:right w:val="single" w:sz="4" w:space="0" w:color="auto"/>
            </w:tcBorders>
          </w:tcPr>
          <w:p w:rsidR="00E63DD3" w:rsidRDefault="00292951" w:rsidP="00DB4188">
            <w:pPr>
              <w:jc w:val="both"/>
              <w:rPr>
                <w:rFonts w:ascii="Times New Roman" w:hAnsi="Times New Roman"/>
                <w:sz w:val="24"/>
                <w:szCs w:val="24"/>
                <w:lang w:val="sr-Cyrl-CS"/>
              </w:rPr>
            </w:pPr>
            <w:r>
              <w:rPr>
                <w:rFonts w:ascii="Times New Roman" w:hAnsi="Times New Roman"/>
                <w:sz w:val="24"/>
                <w:szCs w:val="24"/>
                <w:lang w:val="sr-Cyrl-CS"/>
              </w:rPr>
              <w:t>72</w:t>
            </w:r>
          </w:p>
        </w:tc>
        <w:tc>
          <w:tcPr>
            <w:tcW w:w="1157" w:type="dxa"/>
            <w:gridSpan w:val="2"/>
            <w:tcBorders>
              <w:top w:val="single" w:sz="4" w:space="0" w:color="auto"/>
              <w:left w:val="single" w:sz="4" w:space="0" w:color="auto"/>
              <w:bottom w:val="single" w:sz="4" w:space="0" w:color="auto"/>
            </w:tcBorders>
          </w:tcPr>
          <w:p w:rsidR="00E63DD3" w:rsidRDefault="0049479E" w:rsidP="00DB4188">
            <w:pPr>
              <w:jc w:val="both"/>
              <w:rPr>
                <w:rFonts w:ascii="Times New Roman" w:hAnsi="Times New Roman"/>
                <w:sz w:val="24"/>
                <w:szCs w:val="24"/>
                <w:lang w:val="sr-Cyrl-CS"/>
              </w:rPr>
            </w:pPr>
            <w:r>
              <w:rPr>
                <w:rFonts w:ascii="Times New Roman" w:hAnsi="Times New Roman"/>
                <w:sz w:val="24"/>
                <w:szCs w:val="24"/>
                <w:lang w:val="sr-Cyrl-CS"/>
              </w:rPr>
              <w:t>15</w:t>
            </w:r>
          </w:p>
        </w:tc>
        <w:tc>
          <w:tcPr>
            <w:tcW w:w="1045" w:type="dxa"/>
            <w:gridSpan w:val="4"/>
            <w:tcBorders>
              <w:top w:val="single" w:sz="4" w:space="0" w:color="auto"/>
              <w:bottom w:val="single" w:sz="4" w:space="0" w:color="auto"/>
              <w:right w:val="single" w:sz="4" w:space="0" w:color="auto"/>
            </w:tcBorders>
          </w:tcPr>
          <w:p w:rsidR="00E63DD3" w:rsidRDefault="0049479E" w:rsidP="00DB4188">
            <w:pPr>
              <w:jc w:val="both"/>
              <w:rPr>
                <w:rFonts w:ascii="Times New Roman" w:hAnsi="Times New Roman"/>
                <w:sz w:val="24"/>
                <w:szCs w:val="24"/>
                <w:lang w:val="sr-Cyrl-CS"/>
              </w:rPr>
            </w:pPr>
            <w:r>
              <w:rPr>
                <w:rFonts w:ascii="Times New Roman" w:hAnsi="Times New Roman"/>
                <w:sz w:val="24"/>
                <w:szCs w:val="24"/>
                <w:lang w:val="sr-Cyrl-CS"/>
              </w:rPr>
              <w:t>56</w:t>
            </w:r>
          </w:p>
        </w:tc>
        <w:tc>
          <w:tcPr>
            <w:tcW w:w="1219" w:type="dxa"/>
            <w:tcBorders>
              <w:top w:val="single" w:sz="4" w:space="0" w:color="auto"/>
              <w:left w:val="single" w:sz="4" w:space="0" w:color="auto"/>
              <w:bottom w:val="single" w:sz="4" w:space="0" w:color="auto"/>
            </w:tcBorders>
          </w:tcPr>
          <w:p w:rsidR="00E63DD3" w:rsidRDefault="0049479E" w:rsidP="00DB4188">
            <w:pPr>
              <w:jc w:val="both"/>
              <w:rPr>
                <w:rFonts w:ascii="Times New Roman" w:hAnsi="Times New Roman"/>
                <w:sz w:val="24"/>
                <w:szCs w:val="24"/>
                <w:lang w:val="sr-Cyrl-CS"/>
              </w:rPr>
            </w:pPr>
            <w:r>
              <w:rPr>
                <w:rFonts w:ascii="Times New Roman" w:hAnsi="Times New Roman"/>
                <w:sz w:val="24"/>
                <w:szCs w:val="24"/>
                <w:lang w:val="sr-Cyrl-CS"/>
              </w:rPr>
              <w:t>1</w:t>
            </w:r>
          </w:p>
        </w:tc>
      </w:tr>
      <w:tr w:rsidR="00AD1724" w:rsidTr="000E1089">
        <w:trPr>
          <w:trHeight w:val="433"/>
        </w:trPr>
        <w:tc>
          <w:tcPr>
            <w:tcW w:w="1635" w:type="dxa"/>
            <w:tcBorders>
              <w:top w:val="single" w:sz="4" w:space="0" w:color="auto"/>
              <w:bottom w:val="single" w:sz="4" w:space="0" w:color="auto"/>
            </w:tcBorders>
          </w:tcPr>
          <w:p w:rsidR="00E63DD3" w:rsidRDefault="00E942F5" w:rsidP="00DB4188">
            <w:pPr>
              <w:jc w:val="both"/>
              <w:rPr>
                <w:rFonts w:ascii="Times New Roman" w:hAnsi="Times New Roman"/>
                <w:sz w:val="20"/>
                <w:szCs w:val="20"/>
                <w:lang w:val="sr-Cyrl-CS"/>
              </w:rPr>
            </w:pPr>
            <w:r>
              <w:rPr>
                <w:rFonts w:ascii="Times New Roman" w:hAnsi="Times New Roman"/>
                <w:sz w:val="20"/>
                <w:szCs w:val="20"/>
                <w:lang w:val="sr-Cyrl-CS"/>
              </w:rPr>
              <w:t>2011.</w:t>
            </w:r>
          </w:p>
        </w:tc>
        <w:tc>
          <w:tcPr>
            <w:tcW w:w="1397" w:type="dxa"/>
            <w:gridSpan w:val="3"/>
            <w:tcBorders>
              <w:bottom w:val="single" w:sz="4" w:space="0" w:color="auto"/>
              <w:right w:val="single" w:sz="4" w:space="0" w:color="auto"/>
            </w:tcBorders>
          </w:tcPr>
          <w:p w:rsidR="00E63DD3" w:rsidRDefault="00292951" w:rsidP="00DB4188">
            <w:pPr>
              <w:jc w:val="both"/>
              <w:rPr>
                <w:rFonts w:ascii="Times New Roman" w:hAnsi="Times New Roman"/>
                <w:sz w:val="24"/>
                <w:szCs w:val="24"/>
                <w:lang w:val="sr-Cyrl-CS"/>
              </w:rPr>
            </w:pPr>
            <w:r>
              <w:rPr>
                <w:rFonts w:ascii="Times New Roman" w:hAnsi="Times New Roman"/>
                <w:sz w:val="24"/>
                <w:szCs w:val="24"/>
                <w:lang w:val="sr-Cyrl-CS"/>
              </w:rPr>
              <w:t>452</w:t>
            </w:r>
          </w:p>
        </w:tc>
        <w:tc>
          <w:tcPr>
            <w:tcW w:w="1489" w:type="dxa"/>
            <w:gridSpan w:val="2"/>
            <w:tcBorders>
              <w:top w:val="single" w:sz="4" w:space="0" w:color="auto"/>
              <w:left w:val="single" w:sz="4" w:space="0" w:color="auto"/>
            </w:tcBorders>
          </w:tcPr>
          <w:p w:rsidR="00E63DD3" w:rsidRDefault="00292951" w:rsidP="00DB4188">
            <w:pPr>
              <w:jc w:val="both"/>
              <w:rPr>
                <w:rFonts w:ascii="Times New Roman" w:hAnsi="Times New Roman"/>
                <w:sz w:val="24"/>
                <w:szCs w:val="24"/>
                <w:lang w:val="sr-Cyrl-CS"/>
              </w:rPr>
            </w:pPr>
            <w:r>
              <w:rPr>
                <w:rFonts w:ascii="Times New Roman" w:hAnsi="Times New Roman"/>
                <w:sz w:val="24"/>
                <w:szCs w:val="24"/>
                <w:lang w:val="sr-Cyrl-CS"/>
              </w:rPr>
              <w:t>192</w:t>
            </w:r>
          </w:p>
        </w:tc>
        <w:tc>
          <w:tcPr>
            <w:tcW w:w="1103" w:type="dxa"/>
            <w:gridSpan w:val="3"/>
            <w:tcBorders>
              <w:top w:val="single" w:sz="4" w:space="0" w:color="auto"/>
              <w:right w:val="single" w:sz="4" w:space="0" w:color="auto"/>
            </w:tcBorders>
          </w:tcPr>
          <w:p w:rsidR="00E63DD3" w:rsidRDefault="00292951" w:rsidP="00DB4188">
            <w:pPr>
              <w:jc w:val="both"/>
              <w:rPr>
                <w:rFonts w:ascii="Times New Roman" w:hAnsi="Times New Roman"/>
                <w:sz w:val="24"/>
                <w:szCs w:val="24"/>
                <w:lang w:val="sr-Cyrl-CS"/>
              </w:rPr>
            </w:pPr>
            <w:r>
              <w:rPr>
                <w:rFonts w:ascii="Times New Roman" w:hAnsi="Times New Roman"/>
                <w:sz w:val="24"/>
                <w:szCs w:val="24"/>
                <w:lang w:val="sr-Cyrl-CS"/>
              </w:rPr>
              <w:t>102</w:t>
            </w:r>
          </w:p>
        </w:tc>
        <w:tc>
          <w:tcPr>
            <w:tcW w:w="1157" w:type="dxa"/>
            <w:gridSpan w:val="2"/>
            <w:tcBorders>
              <w:top w:val="single" w:sz="4" w:space="0" w:color="auto"/>
              <w:left w:val="single" w:sz="4" w:space="0" w:color="auto"/>
            </w:tcBorders>
          </w:tcPr>
          <w:p w:rsidR="00E63DD3" w:rsidRDefault="0049479E" w:rsidP="00DB4188">
            <w:pPr>
              <w:jc w:val="both"/>
              <w:rPr>
                <w:rFonts w:ascii="Times New Roman" w:hAnsi="Times New Roman"/>
                <w:sz w:val="24"/>
                <w:szCs w:val="24"/>
                <w:lang w:val="sr-Cyrl-CS"/>
              </w:rPr>
            </w:pPr>
            <w:r>
              <w:rPr>
                <w:rFonts w:ascii="Times New Roman" w:hAnsi="Times New Roman"/>
                <w:sz w:val="24"/>
                <w:szCs w:val="24"/>
                <w:lang w:val="sr-Cyrl-CS"/>
              </w:rPr>
              <w:t>17</w:t>
            </w:r>
          </w:p>
        </w:tc>
        <w:tc>
          <w:tcPr>
            <w:tcW w:w="1045" w:type="dxa"/>
            <w:gridSpan w:val="4"/>
            <w:tcBorders>
              <w:top w:val="single" w:sz="4" w:space="0" w:color="auto"/>
              <w:right w:val="single" w:sz="4" w:space="0" w:color="auto"/>
            </w:tcBorders>
          </w:tcPr>
          <w:p w:rsidR="00E63DD3" w:rsidRDefault="0049479E" w:rsidP="00DB4188">
            <w:pPr>
              <w:jc w:val="both"/>
              <w:rPr>
                <w:rFonts w:ascii="Times New Roman" w:hAnsi="Times New Roman"/>
                <w:sz w:val="24"/>
                <w:szCs w:val="24"/>
                <w:lang w:val="sr-Cyrl-CS"/>
              </w:rPr>
            </w:pPr>
            <w:r>
              <w:rPr>
                <w:rFonts w:ascii="Times New Roman" w:hAnsi="Times New Roman"/>
                <w:sz w:val="24"/>
                <w:szCs w:val="24"/>
                <w:lang w:val="sr-Cyrl-CS"/>
              </w:rPr>
              <w:t>85</w:t>
            </w:r>
          </w:p>
        </w:tc>
        <w:tc>
          <w:tcPr>
            <w:tcW w:w="1219" w:type="dxa"/>
            <w:tcBorders>
              <w:top w:val="single" w:sz="4" w:space="0" w:color="auto"/>
              <w:left w:val="single" w:sz="4" w:space="0" w:color="auto"/>
            </w:tcBorders>
          </w:tcPr>
          <w:p w:rsidR="00E63DD3" w:rsidRDefault="0049479E" w:rsidP="00DB4188">
            <w:pPr>
              <w:jc w:val="both"/>
              <w:rPr>
                <w:rFonts w:ascii="Times New Roman" w:hAnsi="Times New Roman"/>
                <w:sz w:val="24"/>
                <w:szCs w:val="24"/>
                <w:lang w:val="sr-Cyrl-CS"/>
              </w:rPr>
            </w:pPr>
            <w:r>
              <w:rPr>
                <w:rFonts w:ascii="Times New Roman" w:hAnsi="Times New Roman"/>
                <w:sz w:val="24"/>
                <w:szCs w:val="24"/>
                <w:lang w:val="sr-Cyrl-CS"/>
              </w:rPr>
              <w:t>-</w:t>
            </w:r>
          </w:p>
        </w:tc>
      </w:tr>
      <w:tr w:rsidR="00AD1724" w:rsidTr="000E1089">
        <w:trPr>
          <w:trHeight w:val="333"/>
        </w:trPr>
        <w:tc>
          <w:tcPr>
            <w:tcW w:w="1635" w:type="dxa"/>
            <w:tcBorders>
              <w:top w:val="single" w:sz="4" w:space="0" w:color="auto"/>
              <w:bottom w:val="single" w:sz="4" w:space="0" w:color="auto"/>
            </w:tcBorders>
          </w:tcPr>
          <w:p w:rsidR="00E63DD3" w:rsidRDefault="00E942F5" w:rsidP="00DB4188">
            <w:pPr>
              <w:jc w:val="both"/>
              <w:rPr>
                <w:rFonts w:ascii="Times New Roman" w:hAnsi="Times New Roman"/>
                <w:sz w:val="20"/>
                <w:szCs w:val="20"/>
                <w:lang w:val="sr-Cyrl-CS"/>
              </w:rPr>
            </w:pPr>
            <w:r>
              <w:rPr>
                <w:rFonts w:ascii="Times New Roman" w:hAnsi="Times New Roman"/>
                <w:sz w:val="20"/>
                <w:szCs w:val="20"/>
                <w:lang w:val="sr-Cyrl-CS"/>
              </w:rPr>
              <w:t>2012.</w:t>
            </w:r>
          </w:p>
        </w:tc>
        <w:tc>
          <w:tcPr>
            <w:tcW w:w="1397" w:type="dxa"/>
            <w:gridSpan w:val="3"/>
            <w:tcBorders>
              <w:top w:val="single" w:sz="4" w:space="0" w:color="auto"/>
              <w:bottom w:val="single" w:sz="4" w:space="0" w:color="auto"/>
              <w:right w:val="single" w:sz="4" w:space="0" w:color="auto"/>
            </w:tcBorders>
          </w:tcPr>
          <w:p w:rsidR="00E63DD3" w:rsidRDefault="00292951" w:rsidP="00DB4188">
            <w:pPr>
              <w:jc w:val="both"/>
              <w:rPr>
                <w:rFonts w:ascii="Times New Roman" w:hAnsi="Times New Roman"/>
                <w:sz w:val="24"/>
                <w:szCs w:val="24"/>
                <w:lang w:val="sr-Cyrl-CS"/>
              </w:rPr>
            </w:pPr>
            <w:r>
              <w:rPr>
                <w:rFonts w:ascii="Times New Roman" w:hAnsi="Times New Roman"/>
                <w:sz w:val="24"/>
                <w:szCs w:val="24"/>
                <w:lang w:val="sr-Cyrl-CS"/>
              </w:rPr>
              <w:t>514</w:t>
            </w:r>
          </w:p>
        </w:tc>
        <w:tc>
          <w:tcPr>
            <w:tcW w:w="1489" w:type="dxa"/>
            <w:gridSpan w:val="2"/>
            <w:tcBorders>
              <w:left w:val="single" w:sz="4" w:space="0" w:color="auto"/>
              <w:bottom w:val="single" w:sz="4" w:space="0" w:color="auto"/>
            </w:tcBorders>
          </w:tcPr>
          <w:p w:rsidR="00E63DD3" w:rsidRDefault="00292951" w:rsidP="00DB4188">
            <w:pPr>
              <w:jc w:val="both"/>
              <w:rPr>
                <w:rFonts w:ascii="Times New Roman" w:hAnsi="Times New Roman"/>
                <w:sz w:val="24"/>
                <w:szCs w:val="24"/>
                <w:lang w:val="sr-Cyrl-CS"/>
              </w:rPr>
            </w:pPr>
            <w:r>
              <w:rPr>
                <w:rFonts w:ascii="Times New Roman" w:hAnsi="Times New Roman"/>
                <w:sz w:val="24"/>
                <w:szCs w:val="24"/>
                <w:lang w:val="sr-Cyrl-CS"/>
              </w:rPr>
              <w:t>238</w:t>
            </w:r>
          </w:p>
        </w:tc>
        <w:tc>
          <w:tcPr>
            <w:tcW w:w="1103" w:type="dxa"/>
            <w:gridSpan w:val="3"/>
            <w:tcBorders>
              <w:bottom w:val="single" w:sz="4" w:space="0" w:color="auto"/>
              <w:right w:val="single" w:sz="4" w:space="0" w:color="auto"/>
            </w:tcBorders>
          </w:tcPr>
          <w:p w:rsidR="00E63DD3" w:rsidRDefault="00292951" w:rsidP="00DB4188">
            <w:pPr>
              <w:jc w:val="both"/>
              <w:rPr>
                <w:rFonts w:ascii="Times New Roman" w:hAnsi="Times New Roman"/>
                <w:sz w:val="24"/>
                <w:szCs w:val="24"/>
                <w:lang w:val="sr-Cyrl-CS"/>
              </w:rPr>
            </w:pPr>
            <w:r>
              <w:rPr>
                <w:rFonts w:ascii="Times New Roman" w:hAnsi="Times New Roman"/>
                <w:sz w:val="24"/>
                <w:szCs w:val="24"/>
                <w:lang w:val="sr-Cyrl-CS"/>
              </w:rPr>
              <w:t>135</w:t>
            </w:r>
          </w:p>
        </w:tc>
        <w:tc>
          <w:tcPr>
            <w:tcW w:w="1157" w:type="dxa"/>
            <w:gridSpan w:val="2"/>
            <w:tcBorders>
              <w:left w:val="single" w:sz="4" w:space="0" w:color="auto"/>
              <w:bottom w:val="single" w:sz="4" w:space="0" w:color="auto"/>
            </w:tcBorders>
          </w:tcPr>
          <w:p w:rsidR="00E63DD3" w:rsidRDefault="0049479E" w:rsidP="00DB4188">
            <w:pPr>
              <w:jc w:val="both"/>
              <w:rPr>
                <w:rFonts w:ascii="Times New Roman" w:hAnsi="Times New Roman"/>
                <w:sz w:val="24"/>
                <w:szCs w:val="24"/>
                <w:lang w:val="sr-Cyrl-CS"/>
              </w:rPr>
            </w:pPr>
            <w:r>
              <w:rPr>
                <w:rFonts w:ascii="Times New Roman" w:hAnsi="Times New Roman"/>
                <w:sz w:val="24"/>
                <w:szCs w:val="24"/>
                <w:lang w:val="sr-Cyrl-CS"/>
              </w:rPr>
              <w:t>26</w:t>
            </w:r>
          </w:p>
        </w:tc>
        <w:tc>
          <w:tcPr>
            <w:tcW w:w="1045" w:type="dxa"/>
            <w:gridSpan w:val="4"/>
            <w:tcBorders>
              <w:bottom w:val="single" w:sz="4" w:space="0" w:color="auto"/>
              <w:right w:val="single" w:sz="4" w:space="0" w:color="auto"/>
            </w:tcBorders>
          </w:tcPr>
          <w:p w:rsidR="00E63DD3" w:rsidRDefault="0049479E" w:rsidP="00DB4188">
            <w:pPr>
              <w:jc w:val="both"/>
              <w:rPr>
                <w:rFonts w:ascii="Times New Roman" w:hAnsi="Times New Roman"/>
                <w:sz w:val="24"/>
                <w:szCs w:val="24"/>
                <w:lang w:val="sr-Cyrl-CS"/>
              </w:rPr>
            </w:pPr>
            <w:r>
              <w:rPr>
                <w:rFonts w:ascii="Times New Roman" w:hAnsi="Times New Roman"/>
                <w:sz w:val="24"/>
                <w:szCs w:val="24"/>
                <w:lang w:val="sr-Cyrl-CS"/>
              </w:rPr>
              <w:t>108</w:t>
            </w:r>
          </w:p>
        </w:tc>
        <w:tc>
          <w:tcPr>
            <w:tcW w:w="1219" w:type="dxa"/>
            <w:tcBorders>
              <w:left w:val="single" w:sz="4" w:space="0" w:color="auto"/>
              <w:bottom w:val="single" w:sz="4" w:space="0" w:color="auto"/>
            </w:tcBorders>
          </w:tcPr>
          <w:p w:rsidR="00E63DD3" w:rsidRDefault="0049479E" w:rsidP="00DB4188">
            <w:pPr>
              <w:jc w:val="both"/>
              <w:rPr>
                <w:rFonts w:ascii="Times New Roman" w:hAnsi="Times New Roman"/>
                <w:sz w:val="24"/>
                <w:szCs w:val="24"/>
                <w:lang w:val="sr-Cyrl-CS"/>
              </w:rPr>
            </w:pPr>
            <w:r>
              <w:rPr>
                <w:rFonts w:ascii="Times New Roman" w:hAnsi="Times New Roman"/>
                <w:sz w:val="24"/>
                <w:szCs w:val="24"/>
                <w:lang w:val="sr-Cyrl-CS"/>
              </w:rPr>
              <w:t>-</w:t>
            </w:r>
          </w:p>
        </w:tc>
      </w:tr>
      <w:tr w:rsidR="00AD1724" w:rsidTr="000E1089">
        <w:trPr>
          <w:trHeight w:val="525"/>
        </w:trPr>
        <w:tc>
          <w:tcPr>
            <w:tcW w:w="1635" w:type="dxa"/>
            <w:tcBorders>
              <w:top w:val="single" w:sz="4" w:space="0" w:color="auto"/>
              <w:bottom w:val="single" w:sz="4" w:space="0" w:color="auto"/>
            </w:tcBorders>
          </w:tcPr>
          <w:p w:rsidR="00E63DD3" w:rsidRPr="00AD1724" w:rsidRDefault="00E5704F" w:rsidP="00AD1724">
            <w:pPr>
              <w:pStyle w:val="NoSpacing"/>
              <w:rPr>
                <w:rFonts w:ascii="Times New Roman" w:hAnsi="Times New Roman"/>
                <w:b/>
                <w:sz w:val="20"/>
                <w:szCs w:val="20"/>
                <w:lang w:val="sr-Cyrl-CS"/>
              </w:rPr>
            </w:pPr>
            <w:r w:rsidRPr="00AD1724">
              <w:rPr>
                <w:rFonts w:ascii="Times New Roman" w:hAnsi="Times New Roman"/>
                <w:b/>
                <w:sz w:val="20"/>
                <w:szCs w:val="20"/>
                <w:lang w:val="sr-Cyrl-CS"/>
              </w:rPr>
              <w:t>Оштећење повериоца</w:t>
            </w:r>
          </w:p>
          <w:p w:rsidR="00C7735F" w:rsidRPr="00DB4188" w:rsidRDefault="00C7735F" w:rsidP="00AD1724">
            <w:pPr>
              <w:pStyle w:val="NoSpacing"/>
              <w:rPr>
                <w:lang w:val="sr-Cyrl-CS"/>
              </w:rPr>
            </w:pPr>
            <w:r w:rsidRPr="00AD1724">
              <w:rPr>
                <w:rFonts w:ascii="Times New Roman" w:hAnsi="Times New Roman"/>
                <w:sz w:val="20"/>
                <w:szCs w:val="20"/>
                <w:lang w:val="sr-Cyrl-CS"/>
              </w:rPr>
              <w:t>2007.</w:t>
            </w:r>
          </w:p>
        </w:tc>
        <w:tc>
          <w:tcPr>
            <w:tcW w:w="1397" w:type="dxa"/>
            <w:gridSpan w:val="3"/>
            <w:tcBorders>
              <w:top w:val="single" w:sz="4" w:space="0" w:color="auto"/>
              <w:bottom w:val="single" w:sz="4" w:space="0" w:color="auto"/>
              <w:right w:val="single" w:sz="4" w:space="0" w:color="auto"/>
            </w:tcBorders>
          </w:tcPr>
          <w:p w:rsidR="00522F35" w:rsidRDefault="00522F35" w:rsidP="00DB4188">
            <w:pPr>
              <w:jc w:val="both"/>
              <w:rPr>
                <w:rFonts w:ascii="Times New Roman" w:hAnsi="Times New Roman"/>
                <w:sz w:val="24"/>
                <w:szCs w:val="24"/>
                <w:lang w:val="sr-Cyrl-CS"/>
              </w:rPr>
            </w:pPr>
          </w:p>
          <w:p w:rsidR="00E63DD3" w:rsidRDefault="0049479E" w:rsidP="00DB4188">
            <w:pPr>
              <w:jc w:val="both"/>
              <w:rPr>
                <w:rFonts w:ascii="Times New Roman" w:hAnsi="Times New Roman"/>
                <w:sz w:val="24"/>
                <w:szCs w:val="24"/>
                <w:lang w:val="sr-Cyrl-CS"/>
              </w:rPr>
            </w:pPr>
            <w:r>
              <w:rPr>
                <w:rFonts w:ascii="Times New Roman" w:hAnsi="Times New Roman"/>
                <w:sz w:val="24"/>
                <w:szCs w:val="24"/>
                <w:lang w:val="sr-Cyrl-CS"/>
              </w:rPr>
              <w:t>70</w:t>
            </w:r>
          </w:p>
        </w:tc>
        <w:tc>
          <w:tcPr>
            <w:tcW w:w="1489" w:type="dxa"/>
            <w:gridSpan w:val="2"/>
            <w:tcBorders>
              <w:top w:val="single" w:sz="4" w:space="0" w:color="auto"/>
              <w:left w:val="single" w:sz="4" w:space="0" w:color="auto"/>
              <w:bottom w:val="single" w:sz="4" w:space="0" w:color="auto"/>
            </w:tcBorders>
          </w:tcPr>
          <w:p w:rsidR="00522F35" w:rsidRDefault="00522F35" w:rsidP="00DB4188">
            <w:pPr>
              <w:jc w:val="both"/>
              <w:rPr>
                <w:rFonts w:ascii="Times New Roman" w:hAnsi="Times New Roman"/>
                <w:sz w:val="24"/>
                <w:szCs w:val="24"/>
                <w:lang w:val="sr-Cyrl-CS"/>
              </w:rPr>
            </w:pPr>
          </w:p>
          <w:p w:rsidR="00E63DD3" w:rsidRDefault="0049479E" w:rsidP="00DB4188">
            <w:pPr>
              <w:jc w:val="both"/>
              <w:rPr>
                <w:rFonts w:ascii="Times New Roman" w:hAnsi="Times New Roman"/>
                <w:sz w:val="24"/>
                <w:szCs w:val="24"/>
                <w:lang w:val="sr-Cyrl-CS"/>
              </w:rPr>
            </w:pPr>
            <w:r>
              <w:rPr>
                <w:rFonts w:ascii="Times New Roman" w:hAnsi="Times New Roman"/>
                <w:sz w:val="24"/>
                <w:szCs w:val="24"/>
                <w:lang w:val="sr-Cyrl-CS"/>
              </w:rPr>
              <w:t>33</w:t>
            </w:r>
          </w:p>
        </w:tc>
        <w:tc>
          <w:tcPr>
            <w:tcW w:w="1103" w:type="dxa"/>
            <w:gridSpan w:val="3"/>
            <w:tcBorders>
              <w:top w:val="single" w:sz="4" w:space="0" w:color="auto"/>
              <w:bottom w:val="single" w:sz="4" w:space="0" w:color="auto"/>
              <w:right w:val="single" w:sz="4" w:space="0" w:color="auto"/>
            </w:tcBorders>
          </w:tcPr>
          <w:p w:rsidR="00522F35" w:rsidRDefault="00522F35" w:rsidP="00DB4188">
            <w:pPr>
              <w:jc w:val="both"/>
              <w:rPr>
                <w:rFonts w:ascii="Times New Roman" w:hAnsi="Times New Roman"/>
                <w:sz w:val="24"/>
                <w:szCs w:val="24"/>
                <w:lang w:val="sr-Cyrl-CS"/>
              </w:rPr>
            </w:pPr>
          </w:p>
          <w:p w:rsidR="00E63DD3" w:rsidRDefault="0049479E" w:rsidP="00DB4188">
            <w:pPr>
              <w:jc w:val="both"/>
              <w:rPr>
                <w:rFonts w:ascii="Times New Roman" w:hAnsi="Times New Roman"/>
                <w:sz w:val="24"/>
                <w:szCs w:val="24"/>
                <w:lang w:val="sr-Cyrl-CS"/>
              </w:rPr>
            </w:pPr>
            <w:r>
              <w:rPr>
                <w:rFonts w:ascii="Times New Roman" w:hAnsi="Times New Roman"/>
                <w:sz w:val="24"/>
                <w:szCs w:val="24"/>
                <w:lang w:val="sr-Cyrl-CS"/>
              </w:rPr>
              <w:t>17</w:t>
            </w:r>
          </w:p>
        </w:tc>
        <w:tc>
          <w:tcPr>
            <w:tcW w:w="1157" w:type="dxa"/>
            <w:gridSpan w:val="2"/>
            <w:tcBorders>
              <w:top w:val="single" w:sz="4" w:space="0" w:color="auto"/>
              <w:left w:val="single" w:sz="4" w:space="0" w:color="auto"/>
              <w:bottom w:val="single" w:sz="4" w:space="0" w:color="auto"/>
            </w:tcBorders>
          </w:tcPr>
          <w:p w:rsidR="00522F35" w:rsidRDefault="00522F35" w:rsidP="00DB4188">
            <w:pPr>
              <w:jc w:val="both"/>
              <w:rPr>
                <w:rFonts w:ascii="Times New Roman" w:hAnsi="Times New Roman"/>
                <w:sz w:val="24"/>
                <w:szCs w:val="24"/>
                <w:lang w:val="sr-Cyrl-CS"/>
              </w:rPr>
            </w:pPr>
          </w:p>
          <w:p w:rsidR="00E63DD3" w:rsidRDefault="0049479E" w:rsidP="00DB4188">
            <w:pPr>
              <w:jc w:val="both"/>
              <w:rPr>
                <w:rFonts w:ascii="Times New Roman" w:hAnsi="Times New Roman"/>
                <w:sz w:val="24"/>
                <w:szCs w:val="24"/>
                <w:lang w:val="sr-Cyrl-CS"/>
              </w:rPr>
            </w:pPr>
            <w:r>
              <w:rPr>
                <w:rFonts w:ascii="Times New Roman" w:hAnsi="Times New Roman"/>
                <w:sz w:val="24"/>
                <w:szCs w:val="24"/>
                <w:lang w:val="sr-Cyrl-CS"/>
              </w:rPr>
              <w:t>8</w:t>
            </w:r>
          </w:p>
        </w:tc>
        <w:tc>
          <w:tcPr>
            <w:tcW w:w="1045" w:type="dxa"/>
            <w:gridSpan w:val="4"/>
            <w:tcBorders>
              <w:top w:val="single" w:sz="4" w:space="0" w:color="auto"/>
              <w:bottom w:val="single" w:sz="4" w:space="0" w:color="auto"/>
              <w:right w:val="single" w:sz="4" w:space="0" w:color="auto"/>
            </w:tcBorders>
          </w:tcPr>
          <w:p w:rsidR="00522F35" w:rsidRDefault="00522F35" w:rsidP="00DB4188">
            <w:pPr>
              <w:jc w:val="both"/>
              <w:rPr>
                <w:rFonts w:ascii="Times New Roman" w:hAnsi="Times New Roman"/>
                <w:sz w:val="24"/>
                <w:szCs w:val="24"/>
                <w:lang w:val="sr-Cyrl-CS"/>
              </w:rPr>
            </w:pPr>
          </w:p>
          <w:p w:rsidR="00E63DD3" w:rsidRDefault="0049479E" w:rsidP="00DB4188">
            <w:pPr>
              <w:jc w:val="both"/>
              <w:rPr>
                <w:rFonts w:ascii="Times New Roman" w:hAnsi="Times New Roman"/>
                <w:sz w:val="24"/>
                <w:szCs w:val="24"/>
                <w:lang w:val="sr-Cyrl-CS"/>
              </w:rPr>
            </w:pPr>
            <w:r>
              <w:rPr>
                <w:rFonts w:ascii="Times New Roman" w:hAnsi="Times New Roman"/>
                <w:sz w:val="24"/>
                <w:szCs w:val="24"/>
                <w:lang w:val="sr-Cyrl-CS"/>
              </w:rPr>
              <w:t>9</w:t>
            </w:r>
          </w:p>
        </w:tc>
        <w:tc>
          <w:tcPr>
            <w:tcW w:w="1219" w:type="dxa"/>
            <w:tcBorders>
              <w:top w:val="single" w:sz="4" w:space="0" w:color="auto"/>
              <w:left w:val="single" w:sz="4" w:space="0" w:color="auto"/>
              <w:bottom w:val="single" w:sz="4" w:space="0" w:color="auto"/>
            </w:tcBorders>
          </w:tcPr>
          <w:p w:rsidR="00E63DD3" w:rsidRDefault="0049479E" w:rsidP="00DB4188">
            <w:pPr>
              <w:jc w:val="both"/>
              <w:rPr>
                <w:rFonts w:ascii="Times New Roman" w:hAnsi="Times New Roman"/>
                <w:sz w:val="24"/>
                <w:szCs w:val="24"/>
                <w:lang w:val="sr-Cyrl-CS"/>
              </w:rPr>
            </w:pPr>
            <w:r>
              <w:rPr>
                <w:rFonts w:ascii="Times New Roman" w:hAnsi="Times New Roman"/>
                <w:sz w:val="24"/>
                <w:szCs w:val="24"/>
                <w:lang w:val="sr-Cyrl-CS"/>
              </w:rPr>
              <w:t>-</w:t>
            </w:r>
          </w:p>
        </w:tc>
      </w:tr>
      <w:tr w:rsidR="00AD1724" w:rsidTr="000E1089">
        <w:trPr>
          <w:trHeight w:val="522"/>
        </w:trPr>
        <w:tc>
          <w:tcPr>
            <w:tcW w:w="1635" w:type="dxa"/>
            <w:tcBorders>
              <w:top w:val="single" w:sz="4" w:space="0" w:color="auto"/>
              <w:bottom w:val="single" w:sz="4" w:space="0" w:color="auto"/>
            </w:tcBorders>
          </w:tcPr>
          <w:p w:rsidR="00E63DD3" w:rsidRDefault="00C7735F" w:rsidP="00DB4188">
            <w:pPr>
              <w:jc w:val="both"/>
              <w:rPr>
                <w:rFonts w:ascii="Times New Roman" w:hAnsi="Times New Roman"/>
                <w:sz w:val="20"/>
                <w:szCs w:val="20"/>
                <w:lang w:val="sr-Cyrl-CS"/>
              </w:rPr>
            </w:pPr>
            <w:r>
              <w:rPr>
                <w:rFonts w:ascii="Times New Roman" w:hAnsi="Times New Roman"/>
                <w:sz w:val="20"/>
                <w:szCs w:val="20"/>
                <w:lang w:val="sr-Cyrl-CS"/>
              </w:rPr>
              <w:t>2008.</w:t>
            </w:r>
          </w:p>
        </w:tc>
        <w:tc>
          <w:tcPr>
            <w:tcW w:w="1397" w:type="dxa"/>
            <w:gridSpan w:val="3"/>
            <w:tcBorders>
              <w:top w:val="single" w:sz="4" w:space="0" w:color="auto"/>
              <w:bottom w:val="single" w:sz="4" w:space="0" w:color="auto"/>
              <w:right w:val="single" w:sz="4" w:space="0" w:color="auto"/>
            </w:tcBorders>
          </w:tcPr>
          <w:p w:rsidR="00E63DD3" w:rsidRDefault="0049479E" w:rsidP="00DB4188">
            <w:pPr>
              <w:jc w:val="both"/>
              <w:rPr>
                <w:rFonts w:ascii="Times New Roman" w:hAnsi="Times New Roman"/>
                <w:sz w:val="24"/>
                <w:szCs w:val="24"/>
                <w:lang w:val="sr-Cyrl-CS"/>
              </w:rPr>
            </w:pPr>
            <w:r>
              <w:rPr>
                <w:rFonts w:ascii="Times New Roman" w:hAnsi="Times New Roman"/>
                <w:sz w:val="24"/>
                <w:szCs w:val="24"/>
                <w:lang w:val="sr-Cyrl-CS"/>
              </w:rPr>
              <w:t>53</w:t>
            </w:r>
          </w:p>
        </w:tc>
        <w:tc>
          <w:tcPr>
            <w:tcW w:w="1489" w:type="dxa"/>
            <w:gridSpan w:val="2"/>
            <w:tcBorders>
              <w:top w:val="single" w:sz="4" w:space="0" w:color="auto"/>
              <w:left w:val="single" w:sz="4" w:space="0" w:color="auto"/>
              <w:bottom w:val="single" w:sz="4" w:space="0" w:color="auto"/>
            </w:tcBorders>
          </w:tcPr>
          <w:p w:rsidR="00E63DD3" w:rsidRDefault="0049479E" w:rsidP="00DB4188">
            <w:pPr>
              <w:jc w:val="both"/>
              <w:rPr>
                <w:rFonts w:ascii="Times New Roman" w:hAnsi="Times New Roman"/>
                <w:sz w:val="24"/>
                <w:szCs w:val="24"/>
                <w:lang w:val="sr-Cyrl-CS"/>
              </w:rPr>
            </w:pPr>
            <w:r>
              <w:rPr>
                <w:rFonts w:ascii="Times New Roman" w:hAnsi="Times New Roman"/>
                <w:sz w:val="24"/>
                <w:szCs w:val="24"/>
                <w:lang w:val="sr-Cyrl-CS"/>
              </w:rPr>
              <w:t>25</w:t>
            </w:r>
          </w:p>
        </w:tc>
        <w:tc>
          <w:tcPr>
            <w:tcW w:w="1103" w:type="dxa"/>
            <w:gridSpan w:val="3"/>
            <w:tcBorders>
              <w:top w:val="single" w:sz="4" w:space="0" w:color="auto"/>
              <w:bottom w:val="single" w:sz="4" w:space="0" w:color="auto"/>
              <w:right w:val="single" w:sz="4" w:space="0" w:color="auto"/>
            </w:tcBorders>
          </w:tcPr>
          <w:p w:rsidR="00E63DD3" w:rsidRDefault="0049479E" w:rsidP="00DB4188">
            <w:pPr>
              <w:jc w:val="both"/>
              <w:rPr>
                <w:rFonts w:ascii="Times New Roman" w:hAnsi="Times New Roman"/>
                <w:sz w:val="24"/>
                <w:szCs w:val="24"/>
                <w:lang w:val="sr-Cyrl-CS"/>
              </w:rPr>
            </w:pPr>
            <w:r>
              <w:rPr>
                <w:rFonts w:ascii="Times New Roman" w:hAnsi="Times New Roman"/>
                <w:sz w:val="24"/>
                <w:szCs w:val="24"/>
                <w:lang w:val="sr-Cyrl-CS"/>
              </w:rPr>
              <w:t>12</w:t>
            </w:r>
          </w:p>
        </w:tc>
        <w:tc>
          <w:tcPr>
            <w:tcW w:w="1157" w:type="dxa"/>
            <w:gridSpan w:val="2"/>
            <w:tcBorders>
              <w:top w:val="single" w:sz="4" w:space="0" w:color="auto"/>
              <w:left w:val="single" w:sz="4" w:space="0" w:color="auto"/>
              <w:bottom w:val="single" w:sz="4" w:space="0" w:color="auto"/>
            </w:tcBorders>
          </w:tcPr>
          <w:p w:rsidR="00E63DD3" w:rsidRDefault="0049479E" w:rsidP="00DB4188">
            <w:pPr>
              <w:jc w:val="both"/>
              <w:rPr>
                <w:rFonts w:ascii="Times New Roman" w:hAnsi="Times New Roman"/>
                <w:sz w:val="24"/>
                <w:szCs w:val="24"/>
                <w:lang w:val="sr-Cyrl-CS"/>
              </w:rPr>
            </w:pPr>
            <w:r>
              <w:rPr>
                <w:rFonts w:ascii="Times New Roman" w:hAnsi="Times New Roman"/>
                <w:sz w:val="24"/>
                <w:szCs w:val="24"/>
                <w:lang w:val="sr-Cyrl-CS"/>
              </w:rPr>
              <w:t>3</w:t>
            </w:r>
          </w:p>
        </w:tc>
        <w:tc>
          <w:tcPr>
            <w:tcW w:w="1045" w:type="dxa"/>
            <w:gridSpan w:val="4"/>
            <w:tcBorders>
              <w:top w:val="single" w:sz="4" w:space="0" w:color="auto"/>
              <w:bottom w:val="single" w:sz="4" w:space="0" w:color="auto"/>
              <w:right w:val="single" w:sz="4" w:space="0" w:color="auto"/>
            </w:tcBorders>
          </w:tcPr>
          <w:p w:rsidR="00E63DD3" w:rsidRDefault="0049479E" w:rsidP="00DB4188">
            <w:pPr>
              <w:jc w:val="both"/>
              <w:rPr>
                <w:rFonts w:ascii="Times New Roman" w:hAnsi="Times New Roman"/>
                <w:sz w:val="24"/>
                <w:szCs w:val="24"/>
                <w:lang w:val="sr-Cyrl-CS"/>
              </w:rPr>
            </w:pPr>
            <w:r>
              <w:rPr>
                <w:rFonts w:ascii="Times New Roman" w:hAnsi="Times New Roman"/>
                <w:sz w:val="24"/>
                <w:szCs w:val="24"/>
                <w:lang w:val="sr-Cyrl-CS"/>
              </w:rPr>
              <w:t>9</w:t>
            </w:r>
          </w:p>
        </w:tc>
        <w:tc>
          <w:tcPr>
            <w:tcW w:w="1219" w:type="dxa"/>
            <w:tcBorders>
              <w:top w:val="single" w:sz="4" w:space="0" w:color="auto"/>
              <w:left w:val="single" w:sz="4" w:space="0" w:color="auto"/>
              <w:bottom w:val="single" w:sz="4" w:space="0" w:color="auto"/>
            </w:tcBorders>
          </w:tcPr>
          <w:p w:rsidR="00E63DD3" w:rsidRDefault="0049479E" w:rsidP="00DB4188">
            <w:pPr>
              <w:jc w:val="both"/>
              <w:rPr>
                <w:rFonts w:ascii="Times New Roman" w:hAnsi="Times New Roman"/>
                <w:sz w:val="24"/>
                <w:szCs w:val="24"/>
                <w:lang w:val="sr-Cyrl-CS"/>
              </w:rPr>
            </w:pPr>
            <w:r>
              <w:rPr>
                <w:rFonts w:ascii="Times New Roman" w:hAnsi="Times New Roman"/>
                <w:sz w:val="24"/>
                <w:szCs w:val="24"/>
                <w:lang w:val="sr-Cyrl-CS"/>
              </w:rPr>
              <w:t>-</w:t>
            </w:r>
          </w:p>
        </w:tc>
      </w:tr>
      <w:tr w:rsidR="00AD1724" w:rsidTr="000E1089">
        <w:trPr>
          <w:trHeight w:val="288"/>
        </w:trPr>
        <w:tc>
          <w:tcPr>
            <w:tcW w:w="1635" w:type="dxa"/>
            <w:tcBorders>
              <w:top w:val="single" w:sz="4" w:space="0" w:color="auto"/>
              <w:bottom w:val="single" w:sz="4" w:space="0" w:color="auto"/>
            </w:tcBorders>
          </w:tcPr>
          <w:p w:rsidR="00F66858" w:rsidRDefault="00AD1724" w:rsidP="00DB4188">
            <w:pPr>
              <w:jc w:val="both"/>
              <w:rPr>
                <w:rFonts w:ascii="Times New Roman" w:hAnsi="Times New Roman"/>
                <w:sz w:val="20"/>
                <w:szCs w:val="20"/>
                <w:lang w:val="sr-Cyrl-CS"/>
              </w:rPr>
            </w:pPr>
            <w:r>
              <w:rPr>
                <w:rFonts w:ascii="Times New Roman" w:hAnsi="Times New Roman"/>
                <w:sz w:val="20"/>
                <w:szCs w:val="20"/>
                <w:lang w:val="sr-Cyrl-CS"/>
              </w:rPr>
              <w:t>2009.</w:t>
            </w:r>
          </w:p>
          <w:p w:rsidR="00E63DD3" w:rsidRDefault="00E63DD3" w:rsidP="00DB4188">
            <w:pPr>
              <w:jc w:val="both"/>
              <w:rPr>
                <w:rFonts w:ascii="Times New Roman" w:hAnsi="Times New Roman"/>
                <w:sz w:val="20"/>
                <w:szCs w:val="20"/>
                <w:lang w:val="sr-Cyrl-CS"/>
              </w:rPr>
            </w:pPr>
          </w:p>
        </w:tc>
        <w:tc>
          <w:tcPr>
            <w:tcW w:w="1397" w:type="dxa"/>
            <w:gridSpan w:val="3"/>
            <w:tcBorders>
              <w:top w:val="single" w:sz="4" w:space="0" w:color="auto"/>
              <w:bottom w:val="single" w:sz="4" w:space="0" w:color="auto"/>
              <w:right w:val="single" w:sz="4" w:space="0" w:color="auto"/>
            </w:tcBorders>
          </w:tcPr>
          <w:p w:rsidR="00E63DD3" w:rsidRDefault="0049479E" w:rsidP="00DB4188">
            <w:pPr>
              <w:jc w:val="both"/>
              <w:rPr>
                <w:rFonts w:ascii="Times New Roman" w:hAnsi="Times New Roman"/>
                <w:sz w:val="24"/>
                <w:szCs w:val="24"/>
                <w:lang w:val="sr-Cyrl-CS"/>
              </w:rPr>
            </w:pPr>
            <w:r>
              <w:rPr>
                <w:rFonts w:ascii="Times New Roman" w:hAnsi="Times New Roman"/>
                <w:sz w:val="24"/>
                <w:szCs w:val="24"/>
                <w:lang w:val="sr-Cyrl-CS"/>
              </w:rPr>
              <w:t>101</w:t>
            </w:r>
          </w:p>
        </w:tc>
        <w:tc>
          <w:tcPr>
            <w:tcW w:w="1489" w:type="dxa"/>
            <w:gridSpan w:val="2"/>
            <w:tcBorders>
              <w:top w:val="single" w:sz="4" w:space="0" w:color="auto"/>
              <w:left w:val="single" w:sz="4" w:space="0" w:color="auto"/>
              <w:bottom w:val="single" w:sz="4" w:space="0" w:color="auto"/>
            </w:tcBorders>
          </w:tcPr>
          <w:p w:rsidR="00E63DD3" w:rsidRDefault="0049479E" w:rsidP="00DB4188">
            <w:pPr>
              <w:jc w:val="both"/>
              <w:rPr>
                <w:rFonts w:ascii="Times New Roman" w:hAnsi="Times New Roman"/>
                <w:sz w:val="24"/>
                <w:szCs w:val="24"/>
                <w:lang w:val="sr-Cyrl-CS"/>
              </w:rPr>
            </w:pPr>
            <w:r>
              <w:rPr>
                <w:rFonts w:ascii="Times New Roman" w:hAnsi="Times New Roman"/>
                <w:sz w:val="24"/>
                <w:szCs w:val="24"/>
                <w:lang w:val="sr-Cyrl-CS"/>
              </w:rPr>
              <w:t>31</w:t>
            </w:r>
          </w:p>
        </w:tc>
        <w:tc>
          <w:tcPr>
            <w:tcW w:w="1103" w:type="dxa"/>
            <w:gridSpan w:val="3"/>
            <w:tcBorders>
              <w:top w:val="single" w:sz="4" w:space="0" w:color="auto"/>
              <w:bottom w:val="single" w:sz="4" w:space="0" w:color="auto"/>
              <w:right w:val="single" w:sz="4" w:space="0" w:color="auto"/>
            </w:tcBorders>
          </w:tcPr>
          <w:p w:rsidR="00E63DD3" w:rsidRDefault="0049479E" w:rsidP="00DB4188">
            <w:pPr>
              <w:jc w:val="both"/>
              <w:rPr>
                <w:rFonts w:ascii="Times New Roman" w:hAnsi="Times New Roman"/>
                <w:sz w:val="24"/>
                <w:szCs w:val="24"/>
                <w:lang w:val="sr-Cyrl-CS"/>
              </w:rPr>
            </w:pPr>
            <w:r>
              <w:rPr>
                <w:rFonts w:ascii="Times New Roman" w:hAnsi="Times New Roman"/>
                <w:sz w:val="24"/>
                <w:szCs w:val="24"/>
                <w:lang w:val="sr-Cyrl-CS"/>
              </w:rPr>
              <w:t>14</w:t>
            </w:r>
          </w:p>
        </w:tc>
        <w:tc>
          <w:tcPr>
            <w:tcW w:w="1157" w:type="dxa"/>
            <w:gridSpan w:val="2"/>
            <w:tcBorders>
              <w:top w:val="single" w:sz="4" w:space="0" w:color="auto"/>
              <w:left w:val="single" w:sz="4" w:space="0" w:color="auto"/>
              <w:bottom w:val="single" w:sz="4" w:space="0" w:color="auto"/>
            </w:tcBorders>
          </w:tcPr>
          <w:p w:rsidR="00E63DD3" w:rsidRDefault="0049479E" w:rsidP="00DB4188">
            <w:pPr>
              <w:jc w:val="both"/>
              <w:rPr>
                <w:rFonts w:ascii="Times New Roman" w:hAnsi="Times New Roman"/>
                <w:sz w:val="24"/>
                <w:szCs w:val="24"/>
                <w:lang w:val="sr-Cyrl-CS"/>
              </w:rPr>
            </w:pPr>
            <w:r>
              <w:rPr>
                <w:rFonts w:ascii="Times New Roman" w:hAnsi="Times New Roman"/>
                <w:sz w:val="24"/>
                <w:szCs w:val="24"/>
                <w:lang w:val="sr-Cyrl-CS"/>
              </w:rPr>
              <w:t>2</w:t>
            </w:r>
          </w:p>
        </w:tc>
        <w:tc>
          <w:tcPr>
            <w:tcW w:w="1045" w:type="dxa"/>
            <w:gridSpan w:val="4"/>
            <w:tcBorders>
              <w:top w:val="single" w:sz="4" w:space="0" w:color="auto"/>
              <w:bottom w:val="single" w:sz="4" w:space="0" w:color="auto"/>
              <w:right w:val="single" w:sz="4" w:space="0" w:color="auto"/>
            </w:tcBorders>
          </w:tcPr>
          <w:p w:rsidR="00E63DD3" w:rsidRDefault="0049479E" w:rsidP="00DB4188">
            <w:pPr>
              <w:jc w:val="both"/>
              <w:rPr>
                <w:rFonts w:ascii="Times New Roman" w:hAnsi="Times New Roman"/>
                <w:sz w:val="24"/>
                <w:szCs w:val="24"/>
                <w:lang w:val="sr-Cyrl-CS"/>
              </w:rPr>
            </w:pPr>
            <w:r>
              <w:rPr>
                <w:rFonts w:ascii="Times New Roman" w:hAnsi="Times New Roman"/>
                <w:sz w:val="24"/>
                <w:szCs w:val="24"/>
                <w:lang w:val="sr-Cyrl-CS"/>
              </w:rPr>
              <w:t>12</w:t>
            </w:r>
          </w:p>
        </w:tc>
        <w:tc>
          <w:tcPr>
            <w:tcW w:w="1219" w:type="dxa"/>
            <w:tcBorders>
              <w:top w:val="single" w:sz="4" w:space="0" w:color="auto"/>
              <w:left w:val="single" w:sz="4" w:space="0" w:color="auto"/>
              <w:bottom w:val="single" w:sz="4" w:space="0" w:color="auto"/>
            </w:tcBorders>
          </w:tcPr>
          <w:p w:rsidR="00E63DD3" w:rsidRDefault="0049479E" w:rsidP="00DB4188">
            <w:pPr>
              <w:jc w:val="both"/>
              <w:rPr>
                <w:rFonts w:ascii="Times New Roman" w:hAnsi="Times New Roman"/>
                <w:sz w:val="24"/>
                <w:szCs w:val="24"/>
                <w:lang w:val="sr-Cyrl-CS"/>
              </w:rPr>
            </w:pPr>
            <w:r>
              <w:rPr>
                <w:rFonts w:ascii="Times New Roman" w:hAnsi="Times New Roman"/>
                <w:sz w:val="24"/>
                <w:szCs w:val="24"/>
                <w:lang w:val="sr-Cyrl-CS"/>
              </w:rPr>
              <w:t>-</w:t>
            </w:r>
          </w:p>
        </w:tc>
      </w:tr>
      <w:tr w:rsidR="00AD1724" w:rsidTr="000E1089">
        <w:trPr>
          <w:trHeight w:val="330"/>
        </w:trPr>
        <w:tc>
          <w:tcPr>
            <w:tcW w:w="1635" w:type="dxa"/>
            <w:tcBorders>
              <w:top w:val="single" w:sz="4" w:space="0" w:color="auto"/>
              <w:bottom w:val="single" w:sz="4" w:space="0" w:color="auto"/>
            </w:tcBorders>
          </w:tcPr>
          <w:p w:rsidR="00E63DD3" w:rsidRDefault="00F66858" w:rsidP="00DB4188">
            <w:pPr>
              <w:jc w:val="both"/>
              <w:rPr>
                <w:rFonts w:ascii="Times New Roman" w:hAnsi="Times New Roman"/>
                <w:sz w:val="20"/>
                <w:szCs w:val="20"/>
                <w:lang w:val="sr-Cyrl-CS"/>
              </w:rPr>
            </w:pPr>
            <w:r>
              <w:rPr>
                <w:rFonts w:ascii="Times New Roman" w:hAnsi="Times New Roman"/>
                <w:sz w:val="20"/>
                <w:szCs w:val="20"/>
                <w:lang w:val="sr-Cyrl-CS"/>
              </w:rPr>
              <w:t>2010.</w:t>
            </w:r>
          </w:p>
        </w:tc>
        <w:tc>
          <w:tcPr>
            <w:tcW w:w="1397" w:type="dxa"/>
            <w:gridSpan w:val="3"/>
            <w:tcBorders>
              <w:top w:val="single" w:sz="4" w:space="0" w:color="auto"/>
              <w:bottom w:val="single" w:sz="4" w:space="0" w:color="auto"/>
              <w:right w:val="single" w:sz="4" w:space="0" w:color="auto"/>
            </w:tcBorders>
          </w:tcPr>
          <w:p w:rsidR="00E63DD3" w:rsidRDefault="0049479E" w:rsidP="00DB4188">
            <w:pPr>
              <w:jc w:val="both"/>
              <w:rPr>
                <w:rFonts w:ascii="Times New Roman" w:hAnsi="Times New Roman"/>
                <w:sz w:val="24"/>
                <w:szCs w:val="24"/>
                <w:lang w:val="sr-Cyrl-CS"/>
              </w:rPr>
            </w:pPr>
            <w:r>
              <w:rPr>
                <w:rFonts w:ascii="Times New Roman" w:hAnsi="Times New Roman"/>
                <w:sz w:val="24"/>
                <w:szCs w:val="24"/>
                <w:lang w:val="sr-Cyrl-CS"/>
              </w:rPr>
              <w:t>55</w:t>
            </w:r>
          </w:p>
        </w:tc>
        <w:tc>
          <w:tcPr>
            <w:tcW w:w="1489" w:type="dxa"/>
            <w:gridSpan w:val="2"/>
            <w:tcBorders>
              <w:top w:val="single" w:sz="4" w:space="0" w:color="auto"/>
              <w:left w:val="single" w:sz="4" w:space="0" w:color="auto"/>
              <w:bottom w:val="single" w:sz="4" w:space="0" w:color="auto"/>
            </w:tcBorders>
          </w:tcPr>
          <w:p w:rsidR="00E63DD3" w:rsidRDefault="00E63DD3" w:rsidP="00DB4188">
            <w:pPr>
              <w:jc w:val="both"/>
              <w:rPr>
                <w:rFonts w:ascii="Times New Roman" w:hAnsi="Times New Roman"/>
                <w:sz w:val="24"/>
                <w:szCs w:val="24"/>
                <w:lang w:val="sr-Cyrl-CS"/>
              </w:rPr>
            </w:pPr>
          </w:p>
        </w:tc>
        <w:tc>
          <w:tcPr>
            <w:tcW w:w="1103" w:type="dxa"/>
            <w:gridSpan w:val="3"/>
            <w:tcBorders>
              <w:top w:val="single" w:sz="4" w:space="0" w:color="auto"/>
              <w:bottom w:val="single" w:sz="4" w:space="0" w:color="auto"/>
              <w:right w:val="single" w:sz="4" w:space="0" w:color="auto"/>
            </w:tcBorders>
          </w:tcPr>
          <w:p w:rsidR="00E63DD3" w:rsidRDefault="0049479E" w:rsidP="00DB4188">
            <w:pPr>
              <w:jc w:val="both"/>
              <w:rPr>
                <w:rFonts w:ascii="Times New Roman" w:hAnsi="Times New Roman"/>
                <w:sz w:val="24"/>
                <w:szCs w:val="24"/>
                <w:lang w:val="sr-Cyrl-CS"/>
              </w:rPr>
            </w:pPr>
            <w:r>
              <w:rPr>
                <w:rFonts w:ascii="Times New Roman" w:hAnsi="Times New Roman"/>
                <w:sz w:val="24"/>
                <w:szCs w:val="24"/>
                <w:lang w:val="sr-Cyrl-CS"/>
              </w:rPr>
              <w:t>11</w:t>
            </w:r>
          </w:p>
        </w:tc>
        <w:tc>
          <w:tcPr>
            <w:tcW w:w="1157" w:type="dxa"/>
            <w:gridSpan w:val="2"/>
            <w:tcBorders>
              <w:top w:val="single" w:sz="4" w:space="0" w:color="auto"/>
              <w:left w:val="single" w:sz="4" w:space="0" w:color="auto"/>
              <w:bottom w:val="single" w:sz="4" w:space="0" w:color="auto"/>
            </w:tcBorders>
          </w:tcPr>
          <w:p w:rsidR="00E63DD3" w:rsidRDefault="0049479E" w:rsidP="00DB4188">
            <w:pPr>
              <w:jc w:val="both"/>
              <w:rPr>
                <w:rFonts w:ascii="Times New Roman" w:hAnsi="Times New Roman"/>
                <w:sz w:val="24"/>
                <w:szCs w:val="24"/>
                <w:lang w:val="sr-Cyrl-CS"/>
              </w:rPr>
            </w:pPr>
            <w:r>
              <w:rPr>
                <w:rFonts w:ascii="Times New Roman" w:hAnsi="Times New Roman"/>
                <w:sz w:val="24"/>
                <w:szCs w:val="24"/>
                <w:lang w:val="sr-Cyrl-CS"/>
              </w:rPr>
              <w:t>1</w:t>
            </w:r>
          </w:p>
        </w:tc>
        <w:tc>
          <w:tcPr>
            <w:tcW w:w="1045" w:type="dxa"/>
            <w:gridSpan w:val="4"/>
            <w:tcBorders>
              <w:top w:val="single" w:sz="4" w:space="0" w:color="auto"/>
              <w:bottom w:val="single" w:sz="4" w:space="0" w:color="auto"/>
              <w:right w:val="single" w:sz="4" w:space="0" w:color="auto"/>
            </w:tcBorders>
          </w:tcPr>
          <w:p w:rsidR="00E63DD3" w:rsidRDefault="0049479E" w:rsidP="00DB4188">
            <w:pPr>
              <w:jc w:val="both"/>
              <w:rPr>
                <w:rFonts w:ascii="Times New Roman" w:hAnsi="Times New Roman"/>
                <w:sz w:val="24"/>
                <w:szCs w:val="24"/>
                <w:lang w:val="sr-Cyrl-CS"/>
              </w:rPr>
            </w:pPr>
            <w:r>
              <w:rPr>
                <w:rFonts w:ascii="Times New Roman" w:hAnsi="Times New Roman"/>
                <w:sz w:val="24"/>
                <w:szCs w:val="24"/>
                <w:lang w:val="sr-Cyrl-CS"/>
              </w:rPr>
              <w:t>-</w:t>
            </w:r>
          </w:p>
        </w:tc>
        <w:tc>
          <w:tcPr>
            <w:tcW w:w="1219" w:type="dxa"/>
            <w:tcBorders>
              <w:top w:val="single" w:sz="4" w:space="0" w:color="auto"/>
              <w:left w:val="single" w:sz="4" w:space="0" w:color="auto"/>
              <w:bottom w:val="single" w:sz="4" w:space="0" w:color="auto"/>
            </w:tcBorders>
          </w:tcPr>
          <w:p w:rsidR="00E63DD3" w:rsidRDefault="0049479E" w:rsidP="00DB4188">
            <w:pPr>
              <w:jc w:val="both"/>
              <w:rPr>
                <w:rFonts w:ascii="Times New Roman" w:hAnsi="Times New Roman"/>
                <w:sz w:val="24"/>
                <w:szCs w:val="24"/>
                <w:lang w:val="sr-Cyrl-CS"/>
              </w:rPr>
            </w:pPr>
            <w:r>
              <w:rPr>
                <w:rFonts w:ascii="Times New Roman" w:hAnsi="Times New Roman"/>
                <w:sz w:val="24"/>
                <w:szCs w:val="24"/>
                <w:lang w:val="sr-Cyrl-CS"/>
              </w:rPr>
              <w:t>-</w:t>
            </w:r>
          </w:p>
        </w:tc>
      </w:tr>
      <w:tr w:rsidR="00AD1724" w:rsidTr="000E1089">
        <w:trPr>
          <w:trHeight w:val="606"/>
        </w:trPr>
        <w:tc>
          <w:tcPr>
            <w:tcW w:w="1635" w:type="dxa"/>
            <w:tcBorders>
              <w:top w:val="single" w:sz="4" w:space="0" w:color="auto"/>
              <w:bottom w:val="single" w:sz="4" w:space="0" w:color="auto"/>
            </w:tcBorders>
          </w:tcPr>
          <w:p w:rsidR="00C7735F" w:rsidRDefault="00C7735F" w:rsidP="00DB4188">
            <w:pPr>
              <w:jc w:val="both"/>
              <w:rPr>
                <w:rFonts w:ascii="Times New Roman" w:hAnsi="Times New Roman"/>
                <w:sz w:val="20"/>
                <w:szCs w:val="20"/>
                <w:lang w:val="sr-Cyrl-CS"/>
              </w:rPr>
            </w:pPr>
            <w:r>
              <w:rPr>
                <w:rFonts w:ascii="Times New Roman" w:hAnsi="Times New Roman"/>
                <w:sz w:val="20"/>
                <w:szCs w:val="20"/>
                <w:lang w:val="sr-Cyrl-CS"/>
              </w:rPr>
              <w:t>2011.</w:t>
            </w:r>
          </w:p>
        </w:tc>
        <w:tc>
          <w:tcPr>
            <w:tcW w:w="1397" w:type="dxa"/>
            <w:gridSpan w:val="3"/>
            <w:tcBorders>
              <w:top w:val="single" w:sz="4" w:space="0" w:color="auto"/>
              <w:right w:val="single" w:sz="4" w:space="0" w:color="auto"/>
            </w:tcBorders>
          </w:tcPr>
          <w:p w:rsidR="00C7735F" w:rsidRDefault="0049479E" w:rsidP="00DB4188">
            <w:pPr>
              <w:jc w:val="both"/>
              <w:rPr>
                <w:rFonts w:ascii="Times New Roman" w:hAnsi="Times New Roman"/>
                <w:sz w:val="24"/>
                <w:szCs w:val="24"/>
                <w:lang w:val="sr-Cyrl-CS"/>
              </w:rPr>
            </w:pPr>
            <w:r>
              <w:rPr>
                <w:rFonts w:ascii="Times New Roman" w:hAnsi="Times New Roman"/>
                <w:sz w:val="24"/>
                <w:szCs w:val="24"/>
                <w:lang w:val="sr-Cyrl-CS"/>
              </w:rPr>
              <w:t>61</w:t>
            </w:r>
          </w:p>
        </w:tc>
        <w:tc>
          <w:tcPr>
            <w:tcW w:w="1489" w:type="dxa"/>
            <w:gridSpan w:val="2"/>
            <w:tcBorders>
              <w:top w:val="single" w:sz="4" w:space="0" w:color="auto"/>
              <w:left w:val="single" w:sz="4" w:space="0" w:color="auto"/>
              <w:bottom w:val="single" w:sz="4" w:space="0" w:color="auto"/>
            </w:tcBorders>
          </w:tcPr>
          <w:p w:rsidR="00C7735F" w:rsidRDefault="0049479E" w:rsidP="00DB4188">
            <w:pPr>
              <w:jc w:val="both"/>
              <w:rPr>
                <w:rFonts w:ascii="Times New Roman" w:hAnsi="Times New Roman"/>
                <w:sz w:val="24"/>
                <w:szCs w:val="24"/>
                <w:lang w:val="sr-Cyrl-CS"/>
              </w:rPr>
            </w:pPr>
            <w:r>
              <w:rPr>
                <w:rFonts w:ascii="Times New Roman" w:hAnsi="Times New Roman"/>
                <w:sz w:val="24"/>
                <w:szCs w:val="24"/>
                <w:lang w:val="sr-Cyrl-CS"/>
              </w:rPr>
              <w:t>24</w:t>
            </w:r>
          </w:p>
        </w:tc>
        <w:tc>
          <w:tcPr>
            <w:tcW w:w="1103" w:type="dxa"/>
            <w:gridSpan w:val="3"/>
            <w:tcBorders>
              <w:top w:val="single" w:sz="4" w:space="0" w:color="auto"/>
              <w:bottom w:val="single" w:sz="4" w:space="0" w:color="auto"/>
              <w:right w:val="single" w:sz="4" w:space="0" w:color="auto"/>
            </w:tcBorders>
          </w:tcPr>
          <w:p w:rsidR="00C7735F" w:rsidRDefault="0049479E" w:rsidP="00DB4188">
            <w:pPr>
              <w:jc w:val="both"/>
              <w:rPr>
                <w:rFonts w:ascii="Times New Roman" w:hAnsi="Times New Roman"/>
                <w:sz w:val="24"/>
                <w:szCs w:val="24"/>
                <w:lang w:val="sr-Cyrl-CS"/>
              </w:rPr>
            </w:pPr>
            <w:r>
              <w:rPr>
                <w:rFonts w:ascii="Times New Roman" w:hAnsi="Times New Roman"/>
                <w:sz w:val="24"/>
                <w:szCs w:val="24"/>
                <w:lang w:val="sr-Cyrl-CS"/>
              </w:rPr>
              <w:t>8</w:t>
            </w:r>
          </w:p>
        </w:tc>
        <w:tc>
          <w:tcPr>
            <w:tcW w:w="1157" w:type="dxa"/>
            <w:gridSpan w:val="2"/>
            <w:tcBorders>
              <w:top w:val="single" w:sz="4" w:space="0" w:color="auto"/>
              <w:left w:val="single" w:sz="4" w:space="0" w:color="auto"/>
              <w:bottom w:val="single" w:sz="4" w:space="0" w:color="auto"/>
            </w:tcBorders>
          </w:tcPr>
          <w:p w:rsidR="00C7735F" w:rsidRDefault="0049479E" w:rsidP="00DB4188">
            <w:pPr>
              <w:jc w:val="both"/>
              <w:rPr>
                <w:rFonts w:ascii="Times New Roman" w:hAnsi="Times New Roman"/>
                <w:sz w:val="24"/>
                <w:szCs w:val="24"/>
                <w:lang w:val="sr-Cyrl-CS"/>
              </w:rPr>
            </w:pPr>
            <w:r>
              <w:rPr>
                <w:rFonts w:ascii="Times New Roman" w:hAnsi="Times New Roman"/>
                <w:sz w:val="24"/>
                <w:szCs w:val="24"/>
                <w:lang w:val="sr-Cyrl-CS"/>
              </w:rPr>
              <w:t>2</w:t>
            </w:r>
          </w:p>
        </w:tc>
        <w:tc>
          <w:tcPr>
            <w:tcW w:w="1045" w:type="dxa"/>
            <w:gridSpan w:val="4"/>
            <w:tcBorders>
              <w:top w:val="single" w:sz="4" w:space="0" w:color="auto"/>
              <w:bottom w:val="single" w:sz="4" w:space="0" w:color="auto"/>
              <w:right w:val="single" w:sz="4" w:space="0" w:color="auto"/>
            </w:tcBorders>
          </w:tcPr>
          <w:p w:rsidR="00C7735F" w:rsidRDefault="0049479E" w:rsidP="00DB4188">
            <w:pPr>
              <w:jc w:val="both"/>
              <w:rPr>
                <w:rFonts w:ascii="Times New Roman" w:hAnsi="Times New Roman"/>
                <w:sz w:val="24"/>
                <w:szCs w:val="24"/>
                <w:lang w:val="sr-Cyrl-CS"/>
              </w:rPr>
            </w:pPr>
            <w:r>
              <w:rPr>
                <w:rFonts w:ascii="Times New Roman" w:hAnsi="Times New Roman"/>
                <w:sz w:val="24"/>
                <w:szCs w:val="24"/>
                <w:lang w:val="sr-Cyrl-CS"/>
              </w:rPr>
              <w:t>6</w:t>
            </w:r>
          </w:p>
        </w:tc>
        <w:tc>
          <w:tcPr>
            <w:tcW w:w="1219" w:type="dxa"/>
            <w:tcBorders>
              <w:top w:val="single" w:sz="4" w:space="0" w:color="auto"/>
              <w:left w:val="single" w:sz="4" w:space="0" w:color="auto"/>
              <w:bottom w:val="single" w:sz="4" w:space="0" w:color="auto"/>
            </w:tcBorders>
          </w:tcPr>
          <w:p w:rsidR="00C7735F" w:rsidRDefault="0049479E" w:rsidP="00DB4188">
            <w:pPr>
              <w:jc w:val="both"/>
              <w:rPr>
                <w:rFonts w:ascii="Times New Roman" w:hAnsi="Times New Roman"/>
                <w:sz w:val="24"/>
                <w:szCs w:val="24"/>
                <w:lang w:val="sr-Cyrl-CS"/>
              </w:rPr>
            </w:pPr>
            <w:r>
              <w:rPr>
                <w:rFonts w:ascii="Times New Roman" w:hAnsi="Times New Roman"/>
                <w:sz w:val="24"/>
                <w:szCs w:val="24"/>
                <w:lang w:val="sr-Cyrl-CS"/>
              </w:rPr>
              <w:t>-</w:t>
            </w:r>
          </w:p>
        </w:tc>
      </w:tr>
      <w:tr w:rsidR="00AD1724" w:rsidTr="000E1089">
        <w:trPr>
          <w:trHeight w:val="624"/>
        </w:trPr>
        <w:tc>
          <w:tcPr>
            <w:tcW w:w="1635" w:type="dxa"/>
            <w:tcBorders>
              <w:top w:val="single" w:sz="4" w:space="0" w:color="auto"/>
              <w:bottom w:val="single" w:sz="4" w:space="0" w:color="auto"/>
            </w:tcBorders>
          </w:tcPr>
          <w:p w:rsidR="00E63DD3" w:rsidRDefault="00F66858" w:rsidP="00DB4188">
            <w:pPr>
              <w:jc w:val="both"/>
              <w:rPr>
                <w:rFonts w:ascii="Times New Roman" w:hAnsi="Times New Roman"/>
                <w:sz w:val="20"/>
                <w:szCs w:val="20"/>
                <w:lang w:val="sr-Cyrl-CS"/>
              </w:rPr>
            </w:pPr>
            <w:r>
              <w:rPr>
                <w:rFonts w:ascii="Times New Roman" w:hAnsi="Times New Roman"/>
                <w:sz w:val="20"/>
                <w:szCs w:val="20"/>
                <w:lang w:val="sr-Cyrl-CS"/>
              </w:rPr>
              <w:t>2012.</w:t>
            </w:r>
          </w:p>
        </w:tc>
        <w:tc>
          <w:tcPr>
            <w:tcW w:w="1397" w:type="dxa"/>
            <w:gridSpan w:val="3"/>
            <w:tcBorders>
              <w:bottom w:val="single" w:sz="4" w:space="0" w:color="auto"/>
              <w:right w:val="single" w:sz="4" w:space="0" w:color="auto"/>
            </w:tcBorders>
          </w:tcPr>
          <w:p w:rsidR="00E63DD3" w:rsidRDefault="0049479E" w:rsidP="00DB4188">
            <w:pPr>
              <w:jc w:val="both"/>
              <w:rPr>
                <w:rFonts w:ascii="Times New Roman" w:hAnsi="Times New Roman"/>
                <w:sz w:val="24"/>
                <w:szCs w:val="24"/>
                <w:lang w:val="sr-Cyrl-CS"/>
              </w:rPr>
            </w:pPr>
            <w:r>
              <w:rPr>
                <w:rFonts w:ascii="Times New Roman" w:hAnsi="Times New Roman"/>
                <w:sz w:val="24"/>
                <w:szCs w:val="24"/>
                <w:lang w:val="sr-Cyrl-CS"/>
              </w:rPr>
              <w:t>47</w:t>
            </w:r>
          </w:p>
        </w:tc>
        <w:tc>
          <w:tcPr>
            <w:tcW w:w="1489" w:type="dxa"/>
            <w:gridSpan w:val="2"/>
            <w:tcBorders>
              <w:top w:val="single" w:sz="4" w:space="0" w:color="auto"/>
              <w:left w:val="single" w:sz="4" w:space="0" w:color="auto"/>
            </w:tcBorders>
          </w:tcPr>
          <w:p w:rsidR="00E63DD3" w:rsidRDefault="0049479E" w:rsidP="00DB4188">
            <w:pPr>
              <w:jc w:val="both"/>
              <w:rPr>
                <w:rFonts w:ascii="Times New Roman" w:hAnsi="Times New Roman"/>
                <w:sz w:val="24"/>
                <w:szCs w:val="24"/>
                <w:lang w:val="sr-Cyrl-CS"/>
              </w:rPr>
            </w:pPr>
            <w:r>
              <w:rPr>
                <w:rFonts w:ascii="Times New Roman" w:hAnsi="Times New Roman"/>
                <w:sz w:val="24"/>
                <w:szCs w:val="24"/>
                <w:lang w:val="sr-Cyrl-CS"/>
              </w:rPr>
              <w:t>39</w:t>
            </w:r>
          </w:p>
        </w:tc>
        <w:tc>
          <w:tcPr>
            <w:tcW w:w="1103" w:type="dxa"/>
            <w:gridSpan w:val="3"/>
            <w:tcBorders>
              <w:top w:val="single" w:sz="4" w:space="0" w:color="auto"/>
              <w:right w:val="single" w:sz="4" w:space="0" w:color="auto"/>
            </w:tcBorders>
          </w:tcPr>
          <w:p w:rsidR="00E63DD3" w:rsidRDefault="0049479E" w:rsidP="00DB4188">
            <w:pPr>
              <w:jc w:val="both"/>
              <w:rPr>
                <w:rFonts w:ascii="Times New Roman" w:hAnsi="Times New Roman"/>
                <w:sz w:val="24"/>
                <w:szCs w:val="24"/>
                <w:lang w:val="sr-Cyrl-CS"/>
              </w:rPr>
            </w:pPr>
            <w:r>
              <w:rPr>
                <w:rFonts w:ascii="Times New Roman" w:hAnsi="Times New Roman"/>
                <w:sz w:val="24"/>
                <w:szCs w:val="24"/>
                <w:lang w:val="sr-Cyrl-CS"/>
              </w:rPr>
              <w:t>25</w:t>
            </w:r>
          </w:p>
        </w:tc>
        <w:tc>
          <w:tcPr>
            <w:tcW w:w="1157" w:type="dxa"/>
            <w:gridSpan w:val="2"/>
            <w:tcBorders>
              <w:top w:val="single" w:sz="4" w:space="0" w:color="auto"/>
              <w:left w:val="single" w:sz="4" w:space="0" w:color="auto"/>
            </w:tcBorders>
          </w:tcPr>
          <w:p w:rsidR="00E63DD3" w:rsidRDefault="0049479E" w:rsidP="00DB4188">
            <w:pPr>
              <w:jc w:val="both"/>
              <w:rPr>
                <w:rFonts w:ascii="Times New Roman" w:hAnsi="Times New Roman"/>
                <w:sz w:val="24"/>
                <w:szCs w:val="24"/>
                <w:lang w:val="sr-Cyrl-CS"/>
              </w:rPr>
            </w:pPr>
            <w:r>
              <w:rPr>
                <w:rFonts w:ascii="Times New Roman" w:hAnsi="Times New Roman"/>
                <w:sz w:val="24"/>
                <w:szCs w:val="24"/>
                <w:lang w:val="sr-Cyrl-CS"/>
              </w:rPr>
              <w:t>5</w:t>
            </w:r>
          </w:p>
        </w:tc>
        <w:tc>
          <w:tcPr>
            <w:tcW w:w="1045" w:type="dxa"/>
            <w:gridSpan w:val="4"/>
            <w:tcBorders>
              <w:top w:val="single" w:sz="4" w:space="0" w:color="auto"/>
              <w:right w:val="single" w:sz="4" w:space="0" w:color="auto"/>
            </w:tcBorders>
          </w:tcPr>
          <w:p w:rsidR="00E63DD3" w:rsidRDefault="0049479E" w:rsidP="00DB4188">
            <w:pPr>
              <w:jc w:val="both"/>
              <w:rPr>
                <w:rFonts w:ascii="Times New Roman" w:hAnsi="Times New Roman"/>
                <w:sz w:val="24"/>
                <w:szCs w:val="24"/>
                <w:lang w:val="sr-Cyrl-CS"/>
              </w:rPr>
            </w:pPr>
            <w:r>
              <w:rPr>
                <w:rFonts w:ascii="Times New Roman" w:hAnsi="Times New Roman"/>
                <w:sz w:val="24"/>
                <w:szCs w:val="24"/>
                <w:lang w:val="sr-Cyrl-CS"/>
              </w:rPr>
              <w:t>20</w:t>
            </w:r>
          </w:p>
        </w:tc>
        <w:tc>
          <w:tcPr>
            <w:tcW w:w="1219" w:type="dxa"/>
            <w:tcBorders>
              <w:top w:val="single" w:sz="4" w:space="0" w:color="auto"/>
              <w:left w:val="single" w:sz="4" w:space="0" w:color="auto"/>
            </w:tcBorders>
          </w:tcPr>
          <w:p w:rsidR="00E63DD3" w:rsidRDefault="0049479E" w:rsidP="00DB4188">
            <w:pPr>
              <w:jc w:val="both"/>
              <w:rPr>
                <w:rFonts w:ascii="Times New Roman" w:hAnsi="Times New Roman"/>
                <w:sz w:val="24"/>
                <w:szCs w:val="24"/>
                <w:lang w:val="sr-Cyrl-CS"/>
              </w:rPr>
            </w:pPr>
            <w:r>
              <w:rPr>
                <w:rFonts w:ascii="Times New Roman" w:hAnsi="Times New Roman"/>
                <w:sz w:val="24"/>
                <w:szCs w:val="24"/>
                <w:lang w:val="sr-Cyrl-CS"/>
              </w:rPr>
              <w:t>5</w:t>
            </w:r>
          </w:p>
        </w:tc>
      </w:tr>
      <w:tr w:rsidR="00AD1724" w:rsidTr="000E1089">
        <w:trPr>
          <w:trHeight w:val="681"/>
        </w:trPr>
        <w:tc>
          <w:tcPr>
            <w:tcW w:w="1635" w:type="dxa"/>
            <w:tcBorders>
              <w:bottom w:val="single" w:sz="4" w:space="0" w:color="auto"/>
            </w:tcBorders>
          </w:tcPr>
          <w:p w:rsidR="00C7735F" w:rsidRPr="0015683D" w:rsidRDefault="00C7735F" w:rsidP="00DB4188">
            <w:pPr>
              <w:jc w:val="both"/>
              <w:rPr>
                <w:rFonts w:ascii="Times New Roman" w:hAnsi="Times New Roman"/>
                <w:b/>
                <w:sz w:val="20"/>
                <w:szCs w:val="20"/>
                <w:lang w:val="sr-Cyrl-CS"/>
              </w:rPr>
            </w:pPr>
            <w:r w:rsidRPr="0015683D">
              <w:rPr>
                <w:rFonts w:ascii="Times New Roman" w:hAnsi="Times New Roman"/>
                <w:b/>
                <w:sz w:val="20"/>
                <w:szCs w:val="20"/>
                <w:lang w:val="sr-Cyrl-CS"/>
              </w:rPr>
              <w:t>Кријумчарење</w:t>
            </w:r>
          </w:p>
          <w:p w:rsidR="00C7735F" w:rsidRPr="00DB4188" w:rsidRDefault="00C7735F" w:rsidP="00DB4188">
            <w:pPr>
              <w:jc w:val="both"/>
              <w:rPr>
                <w:rFonts w:ascii="Times New Roman" w:hAnsi="Times New Roman"/>
                <w:sz w:val="20"/>
                <w:szCs w:val="20"/>
                <w:lang w:val="sr-Cyrl-CS"/>
              </w:rPr>
            </w:pPr>
            <w:r>
              <w:rPr>
                <w:rFonts w:ascii="Times New Roman" w:hAnsi="Times New Roman"/>
                <w:sz w:val="20"/>
                <w:szCs w:val="20"/>
                <w:lang w:val="sr-Cyrl-CS"/>
              </w:rPr>
              <w:t>2007.</w:t>
            </w:r>
          </w:p>
        </w:tc>
        <w:tc>
          <w:tcPr>
            <w:tcW w:w="1397" w:type="dxa"/>
            <w:gridSpan w:val="3"/>
            <w:tcBorders>
              <w:top w:val="single" w:sz="4" w:space="0" w:color="auto"/>
              <w:bottom w:val="single" w:sz="4" w:space="0" w:color="auto"/>
              <w:right w:val="single" w:sz="4" w:space="0" w:color="auto"/>
            </w:tcBorders>
          </w:tcPr>
          <w:p w:rsidR="00522F35" w:rsidRDefault="00522F35" w:rsidP="00DB4188">
            <w:pPr>
              <w:jc w:val="both"/>
              <w:rPr>
                <w:rFonts w:ascii="Times New Roman" w:hAnsi="Times New Roman"/>
                <w:sz w:val="24"/>
                <w:szCs w:val="24"/>
                <w:lang w:val="sr-Cyrl-CS"/>
              </w:rPr>
            </w:pPr>
          </w:p>
          <w:p w:rsidR="00C7735F" w:rsidRDefault="0049479E" w:rsidP="00DB4188">
            <w:pPr>
              <w:jc w:val="both"/>
              <w:rPr>
                <w:rFonts w:ascii="Times New Roman" w:hAnsi="Times New Roman"/>
                <w:sz w:val="24"/>
                <w:szCs w:val="24"/>
                <w:lang w:val="sr-Cyrl-CS"/>
              </w:rPr>
            </w:pPr>
            <w:r>
              <w:rPr>
                <w:rFonts w:ascii="Times New Roman" w:hAnsi="Times New Roman"/>
                <w:sz w:val="24"/>
                <w:szCs w:val="24"/>
                <w:lang w:val="sr-Cyrl-CS"/>
              </w:rPr>
              <w:t>182</w:t>
            </w:r>
          </w:p>
        </w:tc>
        <w:tc>
          <w:tcPr>
            <w:tcW w:w="1489" w:type="dxa"/>
            <w:gridSpan w:val="2"/>
            <w:tcBorders>
              <w:top w:val="single" w:sz="4" w:space="0" w:color="auto"/>
              <w:left w:val="single" w:sz="4" w:space="0" w:color="auto"/>
              <w:bottom w:val="single" w:sz="4" w:space="0" w:color="auto"/>
            </w:tcBorders>
          </w:tcPr>
          <w:p w:rsidR="00522F35" w:rsidRDefault="00522F35" w:rsidP="00DB4188">
            <w:pPr>
              <w:jc w:val="both"/>
              <w:rPr>
                <w:rFonts w:ascii="Times New Roman" w:hAnsi="Times New Roman"/>
                <w:sz w:val="24"/>
                <w:szCs w:val="24"/>
                <w:lang w:val="sr-Cyrl-CS"/>
              </w:rPr>
            </w:pPr>
          </w:p>
          <w:p w:rsidR="00C7735F" w:rsidRDefault="0049479E" w:rsidP="00DB4188">
            <w:pPr>
              <w:jc w:val="both"/>
              <w:rPr>
                <w:rFonts w:ascii="Times New Roman" w:hAnsi="Times New Roman"/>
                <w:sz w:val="24"/>
                <w:szCs w:val="24"/>
                <w:lang w:val="sr-Cyrl-CS"/>
              </w:rPr>
            </w:pPr>
            <w:r>
              <w:rPr>
                <w:rFonts w:ascii="Times New Roman" w:hAnsi="Times New Roman"/>
                <w:sz w:val="24"/>
                <w:szCs w:val="24"/>
                <w:lang w:val="sr-Cyrl-CS"/>
              </w:rPr>
              <w:t>107</w:t>
            </w:r>
          </w:p>
        </w:tc>
        <w:tc>
          <w:tcPr>
            <w:tcW w:w="1103" w:type="dxa"/>
            <w:gridSpan w:val="3"/>
            <w:tcBorders>
              <w:top w:val="single" w:sz="4" w:space="0" w:color="auto"/>
              <w:bottom w:val="single" w:sz="4" w:space="0" w:color="auto"/>
              <w:right w:val="single" w:sz="4" w:space="0" w:color="auto"/>
            </w:tcBorders>
          </w:tcPr>
          <w:p w:rsidR="00522F35" w:rsidRDefault="00522F35" w:rsidP="00DB4188">
            <w:pPr>
              <w:jc w:val="both"/>
              <w:rPr>
                <w:rFonts w:ascii="Times New Roman" w:hAnsi="Times New Roman"/>
                <w:sz w:val="24"/>
                <w:szCs w:val="24"/>
                <w:lang w:val="sr-Cyrl-CS"/>
              </w:rPr>
            </w:pPr>
          </w:p>
          <w:p w:rsidR="00C7735F" w:rsidRDefault="0049479E" w:rsidP="00DB4188">
            <w:pPr>
              <w:jc w:val="both"/>
              <w:rPr>
                <w:rFonts w:ascii="Times New Roman" w:hAnsi="Times New Roman"/>
                <w:sz w:val="24"/>
                <w:szCs w:val="24"/>
                <w:lang w:val="sr-Cyrl-CS"/>
              </w:rPr>
            </w:pPr>
            <w:r>
              <w:rPr>
                <w:rFonts w:ascii="Times New Roman" w:hAnsi="Times New Roman"/>
                <w:sz w:val="24"/>
                <w:szCs w:val="24"/>
                <w:lang w:val="sr-Cyrl-CS"/>
              </w:rPr>
              <w:t>71</w:t>
            </w:r>
          </w:p>
        </w:tc>
        <w:tc>
          <w:tcPr>
            <w:tcW w:w="1157" w:type="dxa"/>
            <w:gridSpan w:val="2"/>
            <w:tcBorders>
              <w:top w:val="single" w:sz="4" w:space="0" w:color="auto"/>
              <w:left w:val="single" w:sz="4" w:space="0" w:color="auto"/>
              <w:bottom w:val="single" w:sz="4" w:space="0" w:color="auto"/>
            </w:tcBorders>
          </w:tcPr>
          <w:p w:rsidR="00522F35" w:rsidRDefault="00522F35" w:rsidP="00DB4188">
            <w:pPr>
              <w:jc w:val="both"/>
              <w:rPr>
                <w:rFonts w:ascii="Times New Roman" w:hAnsi="Times New Roman"/>
                <w:sz w:val="24"/>
                <w:szCs w:val="24"/>
                <w:lang w:val="sr-Cyrl-CS"/>
              </w:rPr>
            </w:pPr>
          </w:p>
          <w:p w:rsidR="00C7735F" w:rsidRDefault="0049479E" w:rsidP="00DB4188">
            <w:pPr>
              <w:jc w:val="both"/>
              <w:rPr>
                <w:rFonts w:ascii="Times New Roman" w:hAnsi="Times New Roman"/>
                <w:sz w:val="24"/>
                <w:szCs w:val="24"/>
                <w:lang w:val="sr-Cyrl-CS"/>
              </w:rPr>
            </w:pPr>
            <w:r>
              <w:rPr>
                <w:rFonts w:ascii="Times New Roman" w:hAnsi="Times New Roman"/>
                <w:sz w:val="24"/>
                <w:szCs w:val="24"/>
                <w:lang w:val="sr-Cyrl-CS"/>
              </w:rPr>
              <w:t>12</w:t>
            </w:r>
          </w:p>
        </w:tc>
        <w:tc>
          <w:tcPr>
            <w:tcW w:w="1045" w:type="dxa"/>
            <w:gridSpan w:val="4"/>
            <w:tcBorders>
              <w:top w:val="single" w:sz="4" w:space="0" w:color="auto"/>
              <w:bottom w:val="single" w:sz="4" w:space="0" w:color="auto"/>
              <w:right w:val="single" w:sz="4" w:space="0" w:color="auto"/>
            </w:tcBorders>
          </w:tcPr>
          <w:p w:rsidR="00522F35" w:rsidRDefault="00522F35" w:rsidP="00DB4188">
            <w:pPr>
              <w:jc w:val="both"/>
              <w:rPr>
                <w:rFonts w:ascii="Times New Roman" w:hAnsi="Times New Roman"/>
                <w:sz w:val="24"/>
                <w:szCs w:val="24"/>
                <w:lang w:val="sr-Cyrl-CS"/>
              </w:rPr>
            </w:pPr>
          </w:p>
          <w:p w:rsidR="00C7735F" w:rsidRDefault="0049479E" w:rsidP="00DB4188">
            <w:pPr>
              <w:jc w:val="both"/>
              <w:rPr>
                <w:rFonts w:ascii="Times New Roman" w:hAnsi="Times New Roman"/>
                <w:sz w:val="24"/>
                <w:szCs w:val="24"/>
                <w:lang w:val="sr-Cyrl-CS"/>
              </w:rPr>
            </w:pPr>
            <w:r>
              <w:rPr>
                <w:rFonts w:ascii="Times New Roman" w:hAnsi="Times New Roman"/>
                <w:sz w:val="24"/>
                <w:szCs w:val="24"/>
                <w:lang w:val="sr-Cyrl-CS"/>
              </w:rPr>
              <w:t>95</w:t>
            </w:r>
          </w:p>
        </w:tc>
        <w:tc>
          <w:tcPr>
            <w:tcW w:w="1219" w:type="dxa"/>
            <w:tcBorders>
              <w:top w:val="single" w:sz="4" w:space="0" w:color="auto"/>
              <w:left w:val="single" w:sz="4" w:space="0" w:color="auto"/>
              <w:bottom w:val="single" w:sz="4" w:space="0" w:color="auto"/>
            </w:tcBorders>
          </w:tcPr>
          <w:p w:rsidR="00522F35" w:rsidRDefault="00522F35" w:rsidP="00DB4188">
            <w:pPr>
              <w:jc w:val="both"/>
              <w:rPr>
                <w:rFonts w:ascii="Times New Roman" w:hAnsi="Times New Roman"/>
                <w:sz w:val="24"/>
                <w:szCs w:val="24"/>
                <w:lang w:val="sr-Cyrl-CS"/>
              </w:rPr>
            </w:pPr>
          </w:p>
          <w:p w:rsidR="00C7735F" w:rsidRDefault="0049479E" w:rsidP="00DB4188">
            <w:pPr>
              <w:jc w:val="both"/>
              <w:rPr>
                <w:rFonts w:ascii="Times New Roman" w:hAnsi="Times New Roman"/>
                <w:sz w:val="24"/>
                <w:szCs w:val="24"/>
                <w:lang w:val="sr-Cyrl-CS"/>
              </w:rPr>
            </w:pPr>
            <w:r>
              <w:rPr>
                <w:rFonts w:ascii="Times New Roman" w:hAnsi="Times New Roman"/>
                <w:sz w:val="24"/>
                <w:szCs w:val="24"/>
                <w:lang w:val="sr-Cyrl-CS"/>
              </w:rPr>
              <w:t>-</w:t>
            </w:r>
          </w:p>
        </w:tc>
      </w:tr>
      <w:tr w:rsidR="00AD1724" w:rsidTr="000E1089">
        <w:trPr>
          <w:trHeight w:val="276"/>
        </w:trPr>
        <w:tc>
          <w:tcPr>
            <w:tcW w:w="1635" w:type="dxa"/>
            <w:tcBorders>
              <w:top w:val="single" w:sz="4" w:space="0" w:color="auto"/>
              <w:bottom w:val="single" w:sz="4" w:space="0" w:color="auto"/>
            </w:tcBorders>
          </w:tcPr>
          <w:p w:rsidR="00863F9F" w:rsidRPr="00DB4188" w:rsidRDefault="00863F9F" w:rsidP="00DB4188">
            <w:pPr>
              <w:jc w:val="both"/>
              <w:rPr>
                <w:rFonts w:ascii="Times New Roman" w:hAnsi="Times New Roman"/>
                <w:sz w:val="20"/>
                <w:szCs w:val="20"/>
                <w:lang w:val="sr-Cyrl-CS"/>
              </w:rPr>
            </w:pPr>
            <w:r>
              <w:rPr>
                <w:rFonts w:ascii="Times New Roman" w:hAnsi="Times New Roman"/>
                <w:sz w:val="20"/>
                <w:szCs w:val="20"/>
                <w:lang w:val="sr-Cyrl-CS"/>
              </w:rPr>
              <w:t>2008.</w:t>
            </w:r>
          </w:p>
        </w:tc>
        <w:tc>
          <w:tcPr>
            <w:tcW w:w="1397" w:type="dxa"/>
            <w:gridSpan w:val="3"/>
            <w:tcBorders>
              <w:top w:val="single" w:sz="4" w:space="0" w:color="auto"/>
              <w:bottom w:val="single" w:sz="4" w:space="0" w:color="auto"/>
              <w:right w:val="single" w:sz="4" w:space="0" w:color="auto"/>
            </w:tcBorders>
          </w:tcPr>
          <w:p w:rsidR="00863F9F" w:rsidRDefault="0049479E" w:rsidP="00DB4188">
            <w:pPr>
              <w:jc w:val="both"/>
              <w:rPr>
                <w:rFonts w:ascii="Times New Roman" w:hAnsi="Times New Roman"/>
                <w:sz w:val="24"/>
                <w:szCs w:val="24"/>
                <w:lang w:val="sr-Cyrl-CS"/>
              </w:rPr>
            </w:pPr>
            <w:r>
              <w:rPr>
                <w:rFonts w:ascii="Times New Roman" w:hAnsi="Times New Roman"/>
                <w:sz w:val="24"/>
                <w:szCs w:val="24"/>
                <w:lang w:val="sr-Cyrl-CS"/>
              </w:rPr>
              <w:t>249</w:t>
            </w:r>
          </w:p>
        </w:tc>
        <w:tc>
          <w:tcPr>
            <w:tcW w:w="1489" w:type="dxa"/>
            <w:gridSpan w:val="2"/>
            <w:tcBorders>
              <w:top w:val="single" w:sz="4" w:space="0" w:color="auto"/>
              <w:left w:val="single" w:sz="4" w:space="0" w:color="auto"/>
              <w:bottom w:val="single" w:sz="4" w:space="0" w:color="auto"/>
            </w:tcBorders>
          </w:tcPr>
          <w:p w:rsidR="00863F9F" w:rsidRDefault="0049479E" w:rsidP="00DB4188">
            <w:pPr>
              <w:jc w:val="both"/>
              <w:rPr>
                <w:rFonts w:ascii="Times New Roman" w:hAnsi="Times New Roman"/>
                <w:sz w:val="24"/>
                <w:szCs w:val="24"/>
                <w:lang w:val="sr-Cyrl-CS"/>
              </w:rPr>
            </w:pPr>
            <w:r>
              <w:rPr>
                <w:rFonts w:ascii="Times New Roman" w:hAnsi="Times New Roman"/>
                <w:sz w:val="24"/>
                <w:szCs w:val="24"/>
                <w:lang w:val="sr-Cyrl-CS"/>
              </w:rPr>
              <w:t>107</w:t>
            </w:r>
          </w:p>
        </w:tc>
        <w:tc>
          <w:tcPr>
            <w:tcW w:w="1103" w:type="dxa"/>
            <w:gridSpan w:val="3"/>
            <w:tcBorders>
              <w:top w:val="single" w:sz="4" w:space="0" w:color="auto"/>
              <w:bottom w:val="single" w:sz="4" w:space="0" w:color="auto"/>
              <w:right w:val="single" w:sz="4" w:space="0" w:color="auto"/>
            </w:tcBorders>
          </w:tcPr>
          <w:p w:rsidR="00863F9F" w:rsidRDefault="0049479E" w:rsidP="00DB4188">
            <w:pPr>
              <w:jc w:val="both"/>
              <w:rPr>
                <w:rFonts w:ascii="Times New Roman" w:hAnsi="Times New Roman"/>
                <w:sz w:val="24"/>
                <w:szCs w:val="24"/>
                <w:lang w:val="sr-Cyrl-CS"/>
              </w:rPr>
            </w:pPr>
            <w:r>
              <w:rPr>
                <w:rFonts w:ascii="Times New Roman" w:hAnsi="Times New Roman"/>
                <w:sz w:val="24"/>
                <w:szCs w:val="24"/>
                <w:lang w:val="sr-Cyrl-CS"/>
              </w:rPr>
              <w:t>90</w:t>
            </w:r>
          </w:p>
        </w:tc>
        <w:tc>
          <w:tcPr>
            <w:tcW w:w="1157" w:type="dxa"/>
            <w:gridSpan w:val="2"/>
            <w:tcBorders>
              <w:top w:val="single" w:sz="4" w:space="0" w:color="auto"/>
              <w:left w:val="single" w:sz="4" w:space="0" w:color="auto"/>
              <w:bottom w:val="single" w:sz="4" w:space="0" w:color="auto"/>
            </w:tcBorders>
          </w:tcPr>
          <w:p w:rsidR="00863F9F" w:rsidRDefault="0049479E" w:rsidP="00DB4188">
            <w:pPr>
              <w:jc w:val="both"/>
              <w:rPr>
                <w:rFonts w:ascii="Times New Roman" w:hAnsi="Times New Roman"/>
                <w:sz w:val="24"/>
                <w:szCs w:val="24"/>
                <w:lang w:val="sr-Cyrl-CS"/>
              </w:rPr>
            </w:pPr>
            <w:r>
              <w:rPr>
                <w:rFonts w:ascii="Times New Roman" w:hAnsi="Times New Roman"/>
                <w:sz w:val="24"/>
                <w:szCs w:val="24"/>
                <w:lang w:val="sr-Cyrl-CS"/>
              </w:rPr>
              <w:t>12</w:t>
            </w:r>
          </w:p>
        </w:tc>
        <w:tc>
          <w:tcPr>
            <w:tcW w:w="1045" w:type="dxa"/>
            <w:gridSpan w:val="4"/>
            <w:tcBorders>
              <w:top w:val="single" w:sz="4" w:space="0" w:color="auto"/>
              <w:bottom w:val="single" w:sz="4" w:space="0" w:color="auto"/>
              <w:right w:val="single" w:sz="4" w:space="0" w:color="auto"/>
            </w:tcBorders>
          </w:tcPr>
          <w:p w:rsidR="00863F9F" w:rsidRDefault="0049479E" w:rsidP="00DB4188">
            <w:pPr>
              <w:jc w:val="both"/>
              <w:rPr>
                <w:rFonts w:ascii="Times New Roman" w:hAnsi="Times New Roman"/>
                <w:sz w:val="24"/>
                <w:szCs w:val="24"/>
                <w:lang w:val="sr-Cyrl-CS"/>
              </w:rPr>
            </w:pPr>
            <w:r>
              <w:rPr>
                <w:rFonts w:ascii="Times New Roman" w:hAnsi="Times New Roman"/>
                <w:sz w:val="24"/>
                <w:szCs w:val="24"/>
                <w:lang w:val="sr-Cyrl-CS"/>
              </w:rPr>
              <w:t>78</w:t>
            </w:r>
          </w:p>
        </w:tc>
        <w:tc>
          <w:tcPr>
            <w:tcW w:w="1219" w:type="dxa"/>
            <w:tcBorders>
              <w:top w:val="single" w:sz="4" w:space="0" w:color="auto"/>
              <w:left w:val="single" w:sz="4" w:space="0" w:color="auto"/>
              <w:bottom w:val="single" w:sz="4" w:space="0" w:color="auto"/>
            </w:tcBorders>
          </w:tcPr>
          <w:p w:rsidR="00863F9F" w:rsidRDefault="0049479E" w:rsidP="00DB4188">
            <w:pPr>
              <w:jc w:val="both"/>
              <w:rPr>
                <w:rFonts w:ascii="Times New Roman" w:hAnsi="Times New Roman"/>
                <w:sz w:val="24"/>
                <w:szCs w:val="24"/>
                <w:lang w:val="sr-Cyrl-CS"/>
              </w:rPr>
            </w:pPr>
            <w:r>
              <w:rPr>
                <w:rFonts w:ascii="Times New Roman" w:hAnsi="Times New Roman"/>
                <w:sz w:val="24"/>
                <w:szCs w:val="24"/>
                <w:lang w:val="sr-Cyrl-CS"/>
              </w:rPr>
              <w:t>-</w:t>
            </w:r>
          </w:p>
        </w:tc>
      </w:tr>
      <w:tr w:rsidR="00AD1724" w:rsidTr="000E1089">
        <w:trPr>
          <w:trHeight w:val="520"/>
        </w:trPr>
        <w:tc>
          <w:tcPr>
            <w:tcW w:w="1635" w:type="dxa"/>
            <w:tcBorders>
              <w:top w:val="single" w:sz="4" w:space="0" w:color="auto"/>
              <w:bottom w:val="single" w:sz="4" w:space="0" w:color="auto"/>
            </w:tcBorders>
          </w:tcPr>
          <w:p w:rsidR="00863F9F" w:rsidRDefault="00863F9F" w:rsidP="00DB4188">
            <w:pPr>
              <w:jc w:val="both"/>
              <w:rPr>
                <w:rFonts w:ascii="Times New Roman" w:hAnsi="Times New Roman"/>
                <w:sz w:val="20"/>
                <w:szCs w:val="20"/>
                <w:lang w:val="sr-Cyrl-CS"/>
              </w:rPr>
            </w:pPr>
            <w:r>
              <w:rPr>
                <w:rFonts w:ascii="Times New Roman" w:hAnsi="Times New Roman"/>
                <w:sz w:val="20"/>
                <w:szCs w:val="20"/>
                <w:lang w:val="sr-Cyrl-CS"/>
              </w:rPr>
              <w:t>2009.</w:t>
            </w:r>
          </w:p>
        </w:tc>
        <w:tc>
          <w:tcPr>
            <w:tcW w:w="1397" w:type="dxa"/>
            <w:gridSpan w:val="3"/>
            <w:tcBorders>
              <w:top w:val="single" w:sz="4" w:space="0" w:color="auto"/>
              <w:bottom w:val="single" w:sz="4" w:space="0" w:color="auto"/>
              <w:right w:val="single" w:sz="4" w:space="0" w:color="auto"/>
            </w:tcBorders>
          </w:tcPr>
          <w:p w:rsidR="00863F9F" w:rsidRDefault="0049479E" w:rsidP="00DB4188">
            <w:pPr>
              <w:jc w:val="both"/>
              <w:rPr>
                <w:rFonts w:ascii="Times New Roman" w:hAnsi="Times New Roman"/>
                <w:sz w:val="24"/>
                <w:szCs w:val="24"/>
                <w:lang w:val="sr-Cyrl-CS"/>
              </w:rPr>
            </w:pPr>
            <w:r>
              <w:rPr>
                <w:rFonts w:ascii="Times New Roman" w:hAnsi="Times New Roman"/>
                <w:sz w:val="24"/>
                <w:szCs w:val="24"/>
                <w:lang w:val="sr-Cyrl-CS"/>
              </w:rPr>
              <w:t>252</w:t>
            </w:r>
          </w:p>
        </w:tc>
        <w:tc>
          <w:tcPr>
            <w:tcW w:w="1489" w:type="dxa"/>
            <w:gridSpan w:val="2"/>
            <w:tcBorders>
              <w:top w:val="single" w:sz="4" w:space="0" w:color="auto"/>
              <w:left w:val="single" w:sz="4" w:space="0" w:color="auto"/>
              <w:bottom w:val="single" w:sz="4" w:space="0" w:color="auto"/>
            </w:tcBorders>
          </w:tcPr>
          <w:p w:rsidR="00863F9F" w:rsidRDefault="0049479E" w:rsidP="00DB4188">
            <w:pPr>
              <w:jc w:val="both"/>
              <w:rPr>
                <w:rFonts w:ascii="Times New Roman" w:hAnsi="Times New Roman"/>
                <w:sz w:val="24"/>
                <w:szCs w:val="24"/>
                <w:lang w:val="sr-Cyrl-CS"/>
              </w:rPr>
            </w:pPr>
            <w:r>
              <w:rPr>
                <w:rFonts w:ascii="Times New Roman" w:hAnsi="Times New Roman"/>
                <w:sz w:val="24"/>
                <w:szCs w:val="24"/>
                <w:lang w:val="sr-Cyrl-CS"/>
              </w:rPr>
              <w:t>129</w:t>
            </w:r>
          </w:p>
        </w:tc>
        <w:tc>
          <w:tcPr>
            <w:tcW w:w="1103" w:type="dxa"/>
            <w:gridSpan w:val="3"/>
            <w:tcBorders>
              <w:top w:val="single" w:sz="4" w:space="0" w:color="auto"/>
              <w:bottom w:val="single" w:sz="4" w:space="0" w:color="auto"/>
              <w:right w:val="single" w:sz="4" w:space="0" w:color="auto"/>
            </w:tcBorders>
          </w:tcPr>
          <w:p w:rsidR="00863F9F" w:rsidRDefault="0049479E" w:rsidP="00DB4188">
            <w:pPr>
              <w:jc w:val="both"/>
              <w:rPr>
                <w:rFonts w:ascii="Times New Roman" w:hAnsi="Times New Roman"/>
                <w:sz w:val="24"/>
                <w:szCs w:val="24"/>
                <w:lang w:val="sr-Cyrl-CS"/>
              </w:rPr>
            </w:pPr>
            <w:r>
              <w:rPr>
                <w:rFonts w:ascii="Times New Roman" w:hAnsi="Times New Roman"/>
                <w:sz w:val="24"/>
                <w:szCs w:val="24"/>
                <w:lang w:val="sr-Cyrl-CS"/>
              </w:rPr>
              <w:t>111</w:t>
            </w:r>
          </w:p>
        </w:tc>
        <w:tc>
          <w:tcPr>
            <w:tcW w:w="1157" w:type="dxa"/>
            <w:gridSpan w:val="2"/>
            <w:tcBorders>
              <w:top w:val="single" w:sz="4" w:space="0" w:color="auto"/>
              <w:left w:val="single" w:sz="4" w:space="0" w:color="auto"/>
              <w:bottom w:val="single" w:sz="4" w:space="0" w:color="auto"/>
            </w:tcBorders>
          </w:tcPr>
          <w:p w:rsidR="00863F9F" w:rsidRDefault="0049479E" w:rsidP="00DB4188">
            <w:pPr>
              <w:jc w:val="both"/>
              <w:rPr>
                <w:rFonts w:ascii="Times New Roman" w:hAnsi="Times New Roman"/>
                <w:sz w:val="24"/>
                <w:szCs w:val="24"/>
                <w:lang w:val="sr-Cyrl-CS"/>
              </w:rPr>
            </w:pPr>
            <w:r>
              <w:rPr>
                <w:rFonts w:ascii="Times New Roman" w:hAnsi="Times New Roman"/>
                <w:sz w:val="24"/>
                <w:szCs w:val="24"/>
                <w:lang w:val="sr-Cyrl-CS"/>
              </w:rPr>
              <w:t>22</w:t>
            </w:r>
          </w:p>
        </w:tc>
        <w:tc>
          <w:tcPr>
            <w:tcW w:w="1045" w:type="dxa"/>
            <w:gridSpan w:val="4"/>
            <w:tcBorders>
              <w:top w:val="single" w:sz="4" w:space="0" w:color="auto"/>
              <w:bottom w:val="single" w:sz="4" w:space="0" w:color="auto"/>
              <w:right w:val="single" w:sz="4" w:space="0" w:color="auto"/>
            </w:tcBorders>
          </w:tcPr>
          <w:p w:rsidR="00863F9F" w:rsidRDefault="0049479E" w:rsidP="00DB4188">
            <w:pPr>
              <w:jc w:val="both"/>
              <w:rPr>
                <w:rFonts w:ascii="Times New Roman" w:hAnsi="Times New Roman"/>
                <w:sz w:val="24"/>
                <w:szCs w:val="24"/>
                <w:lang w:val="sr-Cyrl-CS"/>
              </w:rPr>
            </w:pPr>
            <w:r>
              <w:rPr>
                <w:rFonts w:ascii="Times New Roman" w:hAnsi="Times New Roman"/>
                <w:sz w:val="24"/>
                <w:szCs w:val="24"/>
                <w:lang w:val="sr-Cyrl-CS"/>
              </w:rPr>
              <w:t>89</w:t>
            </w:r>
          </w:p>
        </w:tc>
        <w:tc>
          <w:tcPr>
            <w:tcW w:w="1219" w:type="dxa"/>
            <w:tcBorders>
              <w:top w:val="single" w:sz="4" w:space="0" w:color="auto"/>
              <w:left w:val="single" w:sz="4" w:space="0" w:color="auto"/>
              <w:bottom w:val="single" w:sz="4" w:space="0" w:color="auto"/>
            </w:tcBorders>
          </w:tcPr>
          <w:p w:rsidR="00863F9F" w:rsidRDefault="0049479E" w:rsidP="00DB4188">
            <w:pPr>
              <w:jc w:val="both"/>
              <w:rPr>
                <w:rFonts w:ascii="Times New Roman" w:hAnsi="Times New Roman"/>
                <w:sz w:val="24"/>
                <w:szCs w:val="24"/>
                <w:lang w:val="sr-Cyrl-CS"/>
              </w:rPr>
            </w:pPr>
            <w:r>
              <w:rPr>
                <w:rFonts w:ascii="Times New Roman" w:hAnsi="Times New Roman"/>
                <w:sz w:val="24"/>
                <w:szCs w:val="24"/>
                <w:lang w:val="sr-Cyrl-CS"/>
              </w:rPr>
              <w:t>-</w:t>
            </w:r>
          </w:p>
        </w:tc>
      </w:tr>
      <w:tr w:rsidR="00AD1724" w:rsidTr="000E1089">
        <w:trPr>
          <w:trHeight w:val="469"/>
        </w:trPr>
        <w:tc>
          <w:tcPr>
            <w:tcW w:w="1635" w:type="dxa"/>
            <w:tcBorders>
              <w:top w:val="single" w:sz="4" w:space="0" w:color="auto"/>
              <w:bottom w:val="single" w:sz="4" w:space="0" w:color="auto"/>
            </w:tcBorders>
          </w:tcPr>
          <w:p w:rsidR="00863F9F" w:rsidRDefault="00863F9F" w:rsidP="00DB4188">
            <w:pPr>
              <w:jc w:val="both"/>
              <w:rPr>
                <w:rFonts w:ascii="Times New Roman" w:hAnsi="Times New Roman"/>
                <w:sz w:val="20"/>
                <w:szCs w:val="20"/>
                <w:lang w:val="sr-Cyrl-CS"/>
              </w:rPr>
            </w:pPr>
            <w:r>
              <w:rPr>
                <w:rFonts w:ascii="Times New Roman" w:hAnsi="Times New Roman"/>
                <w:sz w:val="20"/>
                <w:szCs w:val="20"/>
                <w:lang w:val="sr-Cyrl-CS"/>
              </w:rPr>
              <w:t>2010.</w:t>
            </w:r>
          </w:p>
        </w:tc>
        <w:tc>
          <w:tcPr>
            <w:tcW w:w="1397" w:type="dxa"/>
            <w:gridSpan w:val="3"/>
            <w:tcBorders>
              <w:top w:val="single" w:sz="4" w:space="0" w:color="auto"/>
              <w:bottom w:val="single" w:sz="4" w:space="0" w:color="auto"/>
              <w:right w:val="single" w:sz="4" w:space="0" w:color="auto"/>
            </w:tcBorders>
          </w:tcPr>
          <w:p w:rsidR="00863F9F" w:rsidRDefault="0049479E" w:rsidP="00DB4188">
            <w:pPr>
              <w:jc w:val="both"/>
              <w:rPr>
                <w:rFonts w:ascii="Times New Roman" w:hAnsi="Times New Roman"/>
                <w:sz w:val="24"/>
                <w:szCs w:val="24"/>
                <w:lang w:val="sr-Cyrl-CS"/>
              </w:rPr>
            </w:pPr>
            <w:r>
              <w:rPr>
                <w:rFonts w:ascii="Times New Roman" w:hAnsi="Times New Roman"/>
                <w:sz w:val="24"/>
                <w:szCs w:val="24"/>
                <w:lang w:val="sr-Cyrl-CS"/>
              </w:rPr>
              <w:t>414</w:t>
            </w:r>
          </w:p>
        </w:tc>
        <w:tc>
          <w:tcPr>
            <w:tcW w:w="1489" w:type="dxa"/>
            <w:gridSpan w:val="2"/>
            <w:tcBorders>
              <w:top w:val="single" w:sz="4" w:space="0" w:color="auto"/>
              <w:left w:val="single" w:sz="4" w:space="0" w:color="auto"/>
              <w:bottom w:val="single" w:sz="4" w:space="0" w:color="auto"/>
            </w:tcBorders>
          </w:tcPr>
          <w:p w:rsidR="00863F9F" w:rsidRDefault="0049479E" w:rsidP="00DB4188">
            <w:pPr>
              <w:jc w:val="both"/>
              <w:rPr>
                <w:rFonts w:ascii="Times New Roman" w:hAnsi="Times New Roman"/>
                <w:sz w:val="24"/>
                <w:szCs w:val="24"/>
                <w:lang w:val="sr-Cyrl-CS"/>
              </w:rPr>
            </w:pPr>
            <w:r>
              <w:rPr>
                <w:rFonts w:ascii="Times New Roman" w:hAnsi="Times New Roman"/>
                <w:sz w:val="24"/>
                <w:szCs w:val="24"/>
                <w:lang w:val="sr-Cyrl-CS"/>
              </w:rPr>
              <w:t>85</w:t>
            </w:r>
          </w:p>
        </w:tc>
        <w:tc>
          <w:tcPr>
            <w:tcW w:w="1103" w:type="dxa"/>
            <w:gridSpan w:val="3"/>
            <w:tcBorders>
              <w:top w:val="single" w:sz="4" w:space="0" w:color="auto"/>
              <w:bottom w:val="single" w:sz="4" w:space="0" w:color="auto"/>
              <w:right w:val="single" w:sz="4" w:space="0" w:color="auto"/>
            </w:tcBorders>
          </w:tcPr>
          <w:p w:rsidR="00863F9F" w:rsidRDefault="0049479E" w:rsidP="00DB4188">
            <w:pPr>
              <w:jc w:val="both"/>
              <w:rPr>
                <w:rFonts w:ascii="Times New Roman" w:hAnsi="Times New Roman"/>
                <w:sz w:val="24"/>
                <w:szCs w:val="24"/>
                <w:lang w:val="sr-Cyrl-CS"/>
              </w:rPr>
            </w:pPr>
            <w:r>
              <w:rPr>
                <w:rFonts w:ascii="Times New Roman" w:hAnsi="Times New Roman"/>
                <w:sz w:val="24"/>
                <w:szCs w:val="24"/>
                <w:lang w:val="sr-Cyrl-CS"/>
              </w:rPr>
              <w:t>74</w:t>
            </w:r>
          </w:p>
        </w:tc>
        <w:tc>
          <w:tcPr>
            <w:tcW w:w="1157" w:type="dxa"/>
            <w:gridSpan w:val="2"/>
            <w:tcBorders>
              <w:top w:val="single" w:sz="4" w:space="0" w:color="auto"/>
              <w:left w:val="single" w:sz="4" w:space="0" w:color="auto"/>
              <w:bottom w:val="single" w:sz="4" w:space="0" w:color="auto"/>
            </w:tcBorders>
          </w:tcPr>
          <w:p w:rsidR="00863F9F" w:rsidRDefault="0049479E" w:rsidP="00DB4188">
            <w:pPr>
              <w:jc w:val="both"/>
              <w:rPr>
                <w:rFonts w:ascii="Times New Roman" w:hAnsi="Times New Roman"/>
                <w:sz w:val="24"/>
                <w:szCs w:val="24"/>
                <w:lang w:val="sr-Cyrl-CS"/>
              </w:rPr>
            </w:pPr>
            <w:r>
              <w:rPr>
                <w:rFonts w:ascii="Times New Roman" w:hAnsi="Times New Roman"/>
                <w:sz w:val="24"/>
                <w:szCs w:val="24"/>
                <w:lang w:val="sr-Cyrl-CS"/>
              </w:rPr>
              <w:t>4</w:t>
            </w:r>
          </w:p>
        </w:tc>
        <w:tc>
          <w:tcPr>
            <w:tcW w:w="1045" w:type="dxa"/>
            <w:gridSpan w:val="4"/>
            <w:tcBorders>
              <w:top w:val="single" w:sz="4" w:space="0" w:color="auto"/>
              <w:bottom w:val="single" w:sz="4" w:space="0" w:color="auto"/>
              <w:right w:val="single" w:sz="4" w:space="0" w:color="auto"/>
            </w:tcBorders>
          </w:tcPr>
          <w:p w:rsidR="00863F9F" w:rsidRDefault="0049479E" w:rsidP="00DB4188">
            <w:pPr>
              <w:jc w:val="both"/>
              <w:rPr>
                <w:rFonts w:ascii="Times New Roman" w:hAnsi="Times New Roman"/>
                <w:sz w:val="24"/>
                <w:szCs w:val="24"/>
                <w:lang w:val="sr-Cyrl-CS"/>
              </w:rPr>
            </w:pPr>
            <w:r>
              <w:rPr>
                <w:rFonts w:ascii="Times New Roman" w:hAnsi="Times New Roman"/>
                <w:sz w:val="24"/>
                <w:szCs w:val="24"/>
                <w:lang w:val="sr-Cyrl-CS"/>
              </w:rPr>
              <w:t>69</w:t>
            </w:r>
          </w:p>
        </w:tc>
        <w:tc>
          <w:tcPr>
            <w:tcW w:w="1219" w:type="dxa"/>
            <w:tcBorders>
              <w:top w:val="single" w:sz="4" w:space="0" w:color="auto"/>
              <w:left w:val="single" w:sz="4" w:space="0" w:color="auto"/>
              <w:bottom w:val="single" w:sz="4" w:space="0" w:color="auto"/>
            </w:tcBorders>
          </w:tcPr>
          <w:p w:rsidR="00863F9F" w:rsidRDefault="0049479E" w:rsidP="00DB4188">
            <w:pPr>
              <w:jc w:val="both"/>
              <w:rPr>
                <w:rFonts w:ascii="Times New Roman" w:hAnsi="Times New Roman"/>
                <w:sz w:val="24"/>
                <w:szCs w:val="24"/>
                <w:lang w:val="sr-Cyrl-CS"/>
              </w:rPr>
            </w:pPr>
            <w:r>
              <w:rPr>
                <w:rFonts w:ascii="Times New Roman" w:hAnsi="Times New Roman"/>
                <w:sz w:val="24"/>
                <w:szCs w:val="24"/>
                <w:lang w:val="sr-Cyrl-CS"/>
              </w:rPr>
              <w:t>1</w:t>
            </w:r>
          </w:p>
        </w:tc>
      </w:tr>
      <w:tr w:rsidR="00AD1724" w:rsidTr="000E1089">
        <w:trPr>
          <w:trHeight w:val="417"/>
        </w:trPr>
        <w:tc>
          <w:tcPr>
            <w:tcW w:w="1635" w:type="dxa"/>
            <w:tcBorders>
              <w:top w:val="single" w:sz="4" w:space="0" w:color="auto"/>
              <w:bottom w:val="single" w:sz="4" w:space="0" w:color="auto"/>
            </w:tcBorders>
          </w:tcPr>
          <w:p w:rsidR="00863F9F" w:rsidRDefault="00863F9F" w:rsidP="00DB4188">
            <w:pPr>
              <w:jc w:val="both"/>
              <w:rPr>
                <w:rFonts w:ascii="Times New Roman" w:hAnsi="Times New Roman"/>
                <w:sz w:val="20"/>
                <w:szCs w:val="20"/>
                <w:lang w:val="sr-Cyrl-CS"/>
              </w:rPr>
            </w:pPr>
            <w:r>
              <w:rPr>
                <w:rFonts w:ascii="Times New Roman" w:hAnsi="Times New Roman"/>
                <w:sz w:val="20"/>
                <w:szCs w:val="20"/>
                <w:lang w:val="sr-Cyrl-CS"/>
              </w:rPr>
              <w:t>2011.</w:t>
            </w:r>
          </w:p>
        </w:tc>
        <w:tc>
          <w:tcPr>
            <w:tcW w:w="1397" w:type="dxa"/>
            <w:gridSpan w:val="3"/>
            <w:tcBorders>
              <w:top w:val="single" w:sz="4" w:space="0" w:color="auto"/>
              <w:bottom w:val="single" w:sz="4" w:space="0" w:color="auto"/>
              <w:right w:val="single" w:sz="4" w:space="0" w:color="auto"/>
            </w:tcBorders>
          </w:tcPr>
          <w:p w:rsidR="00863F9F" w:rsidRDefault="0049479E" w:rsidP="00DB4188">
            <w:pPr>
              <w:jc w:val="both"/>
              <w:rPr>
                <w:rFonts w:ascii="Times New Roman" w:hAnsi="Times New Roman"/>
                <w:sz w:val="24"/>
                <w:szCs w:val="24"/>
                <w:lang w:val="sr-Cyrl-CS"/>
              </w:rPr>
            </w:pPr>
            <w:r>
              <w:rPr>
                <w:rFonts w:ascii="Times New Roman" w:hAnsi="Times New Roman"/>
                <w:sz w:val="24"/>
                <w:szCs w:val="24"/>
                <w:lang w:val="sr-Cyrl-CS"/>
              </w:rPr>
              <w:t>249</w:t>
            </w:r>
          </w:p>
        </w:tc>
        <w:tc>
          <w:tcPr>
            <w:tcW w:w="1489" w:type="dxa"/>
            <w:gridSpan w:val="2"/>
            <w:tcBorders>
              <w:top w:val="single" w:sz="4" w:space="0" w:color="auto"/>
              <w:left w:val="single" w:sz="4" w:space="0" w:color="auto"/>
              <w:bottom w:val="single" w:sz="4" w:space="0" w:color="auto"/>
            </w:tcBorders>
          </w:tcPr>
          <w:p w:rsidR="00863F9F" w:rsidRDefault="0049479E" w:rsidP="00DB4188">
            <w:pPr>
              <w:jc w:val="both"/>
              <w:rPr>
                <w:rFonts w:ascii="Times New Roman" w:hAnsi="Times New Roman"/>
                <w:sz w:val="24"/>
                <w:szCs w:val="24"/>
                <w:lang w:val="sr-Cyrl-CS"/>
              </w:rPr>
            </w:pPr>
            <w:r>
              <w:rPr>
                <w:rFonts w:ascii="Times New Roman" w:hAnsi="Times New Roman"/>
                <w:sz w:val="24"/>
                <w:szCs w:val="24"/>
                <w:lang w:val="sr-Cyrl-CS"/>
              </w:rPr>
              <w:t>176</w:t>
            </w:r>
          </w:p>
        </w:tc>
        <w:tc>
          <w:tcPr>
            <w:tcW w:w="1103" w:type="dxa"/>
            <w:gridSpan w:val="3"/>
            <w:tcBorders>
              <w:top w:val="single" w:sz="4" w:space="0" w:color="auto"/>
              <w:bottom w:val="single" w:sz="4" w:space="0" w:color="auto"/>
              <w:right w:val="single" w:sz="4" w:space="0" w:color="auto"/>
            </w:tcBorders>
          </w:tcPr>
          <w:p w:rsidR="00863F9F" w:rsidRDefault="0049479E" w:rsidP="00DB4188">
            <w:pPr>
              <w:jc w:val="both"/>
              <w:rPr>
                <w:rFonts w:ascii="Times New Roman" w:hAnsi="Times New Roman"/>
                <w:sz w:val="24"/>
                <w:szCs w:val="24"/>
                <w:lang w:val="sr-Cyrl-CS"/>
              </w:rPr>
            </w:pPr>
            <w:r>
              <w:rPr>
                <w:rFonts w:ascii="Times New Roman" w:hAnsi="Times New Roman"/>
                <w:sz w:val="24"/>
                <w:szCs w:val="24"/>
                <w:lang w:val="sr-Cyrl-CS"/>
              </w:rPr>
              <w:t>119</w:t>
            </w:r>
          </w:p>
        </w:tc>
        <w:tc>
          <w:tcPr>
            <w:tcW w:w="1157" w:type="dxa"/>
            <w:gridSpan w:val="2"/>
            <w:tcBorders>
              <w:top w:val="single" w:sz="4" w:space="0" w:color="auto"/>
              <w:left w:val="single" w:sz="4" w:space="0" w:color="auto"/>
              <w:bottom w:val="single" w:sz="4" w:space="0" w:color="auto"/>
            </w:tcBorders>
          </w:tcPr>
          <w:p w:rsidR="00863F9F" w:rsidRDefault="0049479E" w:rsidP="00DB4188">
            <w:pPr>
              <w:jc w:val="both"/>
              <w:rPr>
                <w:rFonts w:ascii="Times New Roman" w:hAnsi="Times New Roman"/>
                <w:sz w:val="24"/>
                <w:szCs w:val="24"/>
                <w:lang w:val="sr-Cyrl-CS"/>
              </w:rPr>
            </w:pPr>
            <w:r>
              <w:rPr>
                <w:rFonts w:ascii="Times New Roman" w:hAnsi="Times New Roman"/>
                <w:sz w:val="24"/>
                <w:szCs w:val="24"/>
                <w:lang w:val="sr-Cyrl-CS"/>
              </w:rPr>
              <w:t>19</w:t>
            </w:r>
          </w:p>
        </w:tc>
        <w:tc>
          <w:tcPr>
            <w:tcW w:w="1045" w:type="dxa"/>
            <w:gridSpan w:val="4"/>
            <w:tcBorders>
              <w:top w:val="single" w:sz="4" w:space="0" w:color="auto"/>
              <w:bottom w:val="single" w:sz="4" w:space="0" w:color="auto"/>
              <w:right w:val="single" w:sz="4" w:space="0" w:color="auto"/>
            </w:tcBorders>
          </w:tcPr>
          <w:p w:rsidR="00863F9F" w:rsidRDefault="0049479E" w:rsidP="00DB4188">
            <w:pPr>
              <w:jc w:val="both"/>
              <w:rPr>
                <w:rFonts w:ascii="Times New Roman" w:hAnsi="Times New Roman"/>
                <w:sz w:val="24"/>
                <w:szCs w:val="24"/>
                <w:lang w:val="sr-Cyrl-CS"/>
              </w:rPr>
            </w:pPr>
            <w:r>
              <w:rPr>
                <w:rFonts w:ascii="Times New Roman" w:hAnsi="Times New Roman"/>
                <w:sz w:val="24"/>
                <w:szCs w:val="24"/>
                <w:lang w:val="sr-Cyrl-CS"/>
              </w:rPr>
              <w:t>97</w:t>
            </w:r>
          </w:p>
        </w:tc>
        <w:tc>
          <w:tcPr>
            <w:tcW w:w="1219" w:type="dxa"/>
            <w:tcBorders>
              <w:top w:val="single" w:sz="4" w:space="0" w:color="auto"/>
              <w:left w:val="single" w:sz="4" w:space="0" w:color="auto"/>
              <w:bottom w:val="single" w:sz="4" w:space="0" w:color="auto"/>
            </w:tcBorders>
          </w:tcPr>
          <w:p w:rsidR="00863F9F" w:rsidRDefault="0049479E" w:rsidP="00DB4188">
            <w:pPr>
              <w:jc w:val="both"/>
              <w:rPr>
                <w:rFonts w:ascii="Times New Roman" w:hAnsi="Times New Roman"/>
                <w:sz w:val="24"/>
                <w:szCs w:val="24"/>
                <w:lang w:val="sr-Cyrl-CS"/>
              </w:rPr>
            </w:pPr>
            <w:r>
              <w:rPr>
                <w:rFonts w:ascii="Times New Roman" w:hAnsi="Times New Roman"/>
                <w:sz w:val="24"/>
                <w:szCs w:val="24"/>
                <w:lang w:val="sr-Cyrl-CS"/>
              </w:rPr>
              <w:t>3</w:t>
            </w:r>
          </w:p>
        </w:tc>
      </w:tr>
      <w:tr w:rsidR="00AD1724" w:rsidTr="000E1089">
        <w:trPr>
          <w:trHeight w:val="392"/>
        </w:trPr>
        <w:tc>
          <w:tcPr>
            <w:tcW w:w="1635" w:type="dxa"/>
            <w:tcBorders>
              <w:top w:val="single" w:sz="4" w:space="0" w:color="auto"/>
              <w:bottom w:val="single" w:sz="4" w:space="0" w:color="auto"/>
            </w:tcBorders>
          </w:tcPr>
          <w:p w:rsidR="00863F9F" w:rsidRDefault="00863F9F" w:rsidP="00DB4188">
            <w:pPr>
              <w:jc w:val="both"/>
              <w:rPr>
                <w:rFonts w:ascii="Times New Roman" w:hAnsi="Times New Roman"/>
                <w:sz w:val="20"/>
                <w:szCs w:val="20"/>
                <w:lang w:val="sr-Cyrl-CS"/>
              </w:rPr>
            </w:pPr>
            <w:r>
              <w:rPr>
                <w:rFonts w:ascii="Times New Roman" w:hAnsi="Times New Roman"/>
                <w:sz w:val="20"/>
                <w:szCs w:val="20"/>
                <w:lang w:val="sr-Cyrl-CS"/>
              </w:rPr>
              <w:t>2012.</w:t>
            </w:r>
          </w:p>
        </w:tc>
        <w:tc>
          <w:tcPr>
            <w:tcW w:w="1397" w:type="dxa"/>
            <w:gridSpan w:val="3"/>
            <w:tcBorders>
              <w:top w:val="single" w:sz="4" w:space="0" w:color="auto"/>
              <w:bottom w:val="single" w:sz="4" w:space="0" w:color="auto"/>
              <w:right w:val="single" w:sz="4" w:space="0" w:color="auto"/>
            </w:tcBorders>
          </w:tcPr>
          <w:p w:rsidR="00863F9F" w:rsidRDefault="0049479E" w:rsidP="00DB4188">
            <w:pPr>
              <w:jc w:val="both"/>
              <w:rPr>
                <w:rFonts w:ascii="Times New Roman" w:hAnsi="Times New Roman"/>
                <w:sz w:val="24"/>
                <w:szCs w:val="24"/>
                <w:lang w:val="sr-Cyrl-CS"/>
              </w:rPr>
            </w:pPr>
            <w:r>
              <w:rPr>
                <w:rFonts w:ascii="Times New Roman" w:hAnsi="Times New Roman"/>
                <w:sz w:val="24"/>
                <w:szCs w:val="24"/>
                <w:lang w:val="sr-Cyrl-CS"/>
              </w:rPr>
              <w:t>141</w:t>
            </w:r>
          </w:p>
        </w:tc>
        <w:tc>
          <w:tcPr>
            <w:tcW w:w="1489" w:type="dxa"/>
            <w:gridSpan w:val="2"/>
            <w:tcBorders>
              <w:top w:val="single" w:sz="4" w:space="0" w:color="auto"/>
              <w:left w:val="single" w:sz="4" w:space="0" w:color="auto"/>
              <w:bottom w:val="single" w:sz="4" w:space="0" w:color="auto"/>
            </w:tcBorders>
          </w:tcPr>
          <w:p w:rsidR="00863F9F" w:rsidRDefault="0049479E" w:rsidP="00DB4188">
            <w:pPr>
              <w:jc w:val="both"/>
              <w:rPr>
                <w:rFonts w:ascii="Times New Roman" w:hAnsi="Times New Roman"/>
                <w:sz w:val="24"/>
                <w:szCs w:val="24"/>
                <w:lang w:val="sr-Cyrl-CS"/>
              </w:rPr>
            </w:pPr>
            <w:r>
              <w:rPr>
                <w:rFonts w:ascii="Times New Roman" w:hAnsi="Times New Roman"/>
                <w:sz w:val="24"/>
                <w:szCs w:val="24"/>
                <w:lang w:val="sr-Cyrl-CS"/>
              </w:rPr>
              <w:t>162</w:t>
            </w:r>
          </w:p>
        </w:tc>
        <w:tc>
          <w:tcPr>
            <w:tcW w:w="1103" w:type="dxa"/>
            <w:gridSpan w:val="3"/>
            <w:tcBorders>
              <w:top w:val="single" w:sz="4" w:space="0" w:color="auto"/>
              <w:bottom w:val="single" w:sz="4" w:space="0" w:color="auto"/>
              <w:right w:val="single" w:sz="4" w:space="0" w:color="auto"/>
            </w:tcBorders>
          </w:tcPr>
          <w:p w:rsidR="00863F9F" w:rsidRDefault="0049479E" w:rsidP="00DB4188">
            <w:pPr>
              <w:jc w:val="both"/>
              <w:rPr>
                <w:rFonts w:ascii="Times New Roman" w:hAnsi="Times New Roman"/>
                <w:sz w:val="24"/>
                <w:szCs w:val="24"/>
                <w:lang w:val="sr-Cyrl-CS"/>
              </w:rPr>
            </w:pPr>
            <w:r>
              <w:rPr>
                <w:rFonts w:ascii="Times New Roman" w:hAnsi="Times New Roman"/>
                <w:sz w:val="24"/>
                <w:szCs w:val="24"/>
                <w:lang w:val="sr-Cyrl-CS"/>
              </w:rPr>
              <w:t>78</w:t>
            </w:r>
          </w:p>
        </w:tc>
        <w:tc>
          <w:tcPr>
            <w:tcW w:w="1157" w:type="dxa"/>
            <w:gridSpan w:val="2"/>
            <w:tcBorders>
              <w:top w:val="single" w:sz="4" w:space="0" w:color="auto"/>
              <w:left w:val="single" w:sz="4" w:space="0" w:color="auto"/>
              <w:bottom w:val="single" w:sz="4" w:space="0" w:color="auto"/>
            </w:tcBorders>
          </w:tcPr>
          <w:p w:rsidR="00863F9F" w:rsidRDefault="0049479E" w:rsidP="00DB4188">
            <w:pPr>
              <w:jc w:val="both"/>
              <w:rPr>
                <w:rFonts w:ascii="Times New Roman" w:hAnsi="Times New Roman"/>
                <w:sz w:val="24"/>
                <w:szCs w:val="24"/>
                <w:lang w:val="sr-Cyrl-CS"/>
              </w:rPr>
            </w:pPr>
            <w:r>
              <w:rPr>
                <w:rFonts w:ascii="Times New Roman" w:hAnsi="Times New Roman"/>
                <w:sz w:val="24"/>
                <w:szCs w:val="24"/>
                <w:lang w:val="sr-Cyrl-CS"/>
              </w:rPr>
              <w:t>6</w:t>
            </w:r>
          </w:p>
        </w:tc>
        <w:tc>
          <w:tcPr>
            <w:tcW w:w="1045" w:type="dxa"/>
            <w:gridSpan w:val="4"/>
            <w:tcBorders>
              <w:top w:val="single" w:sz="4" w:space="0" w:color="auto"/>
              <w:bottom w:val="single" w:sz="4" w:space="0" w:color="auto"/>
              <w:right w:val="single" w:sz="4" w:space="0" w:color="auto"/>
            </w:tcBorders>
          </w:tcPr>
          <w:p w:rsidR="00863F9F" w:rsidRDefault="0049479E" w:rsidP="00DB4188">
            <w:pPr>
              <w:jc w:val="both"/>
              <w:rPr>
                <w:rFonts w:ascii="Times New Roman" w:hAnsi="Times New Roman"/>
                <w:sz w:val="24"/>
                <w:szCs w:val="24"/>
                <w:lang w:val="sr-Cyrl-CS"/>
              </w:rPr>
            </w:pPr>
            <w:r>
              <w:rPr>
                <w:rFonts w:ascii="Times New Roman" w:hAnsi="Times New Roman"/>
                <w:sz w:val="24"/>
                <w:szCs w:val="24"/>
                <w:lang w:val="sr-Cyrl-CS"/>
              </w:rPr>
              <w:t>68</w:t>
            </w:r>
          </w:p>
        </w:tc>
        <w:tc>
          <w:tcPr>
            <w:tcW w:w="1219" w:type="dxa"/>
            <w:tcBorders>
              <w:top w:val="single" w:sz="4" w:space="0" w:color="auto"/>
              <w:left w:val="single" w:sz="4" w:space="0" w:color="auto"/>
              <w:bottom w:val="single" w:sz="4" w:space="0" w:color="auto"/>
            </w:tcBorders>
          </w:tcPr>
          <w:p w:rsidR="00863F9F" w:rsidRDefault="0049479E" w:rsidP="00DB4188">
            <w:pPr>
              <w:jc w:val="both"/>
              <w:rPr>
                <w:rFonts w:ascii="Times New Roman" w:hAnsi="Times New Roman"/>
                <w:sz w:val="24"/>
                <w:szCs w:val="24"/>
                <w:lang w:val="sr-Cyrl-CS"/>
              </w:rPr>
            </w:pPr>
            <w:r>
              <w:rPr>
                <w:rFonts w:ascii="Times New Roman" w:hAnsi="Times New Roman"/>
                <w:sz w:val="24"/>
                <w:szCs w:val="24"/>
                <w:lang w:val="sr-Cyrl-CS"/>
              </w:rPr>
              <w:t>4</w:t>
            </w:r>
          </w:p>
        </w:tc>
      </w:tr>
      <w:tr w:rsidR="00AD1724" w:rsidTr="000E1089">
        <w:trPr>
          <w:trHeight w:val="1133"/>
        </w:trPr>
        <w:tc>
          <w:tcPr>
            <w:tcW w:w="1635" w:type="dxa"/>
            <w:tcBorders>
              <w:top w:val="single" w:sz="4" w:space="0" w:color="auto"/>
              <w:bottom w:val="single" w:sz="4" w:space="0" w:color="auto"/>
            </w:tcBorders>
          </w:tcPr>
          <w:p w:rsidR="00C7735F" w:rsidRPr="00522F35" w:rsidRDefault="00FB1C73" w:rsidP="00522F35">
            <w:pPr>
              <w:pStyle w:val="NoSpacing"/>
              <w:rPr>
                <w:rFonts w:ascii="Times New Roman" w:hAnsi="Times New Roman"/>
                <w:b/>
                <w:sz w:val="20"/>
                <w:szCs w:val="20"/>
                <w:lang w:val="sr-Cyrl-CS"/>
              </w:rPr>
            </w:pPr>
            <w:r w:rsidRPr="00522F35">
              <w:rPr>
                <w:rFonts w:ascii="Times New Roman" w:hAnsi="Times New Roman"/>
                <w:b/>
                <w:sz w:val="20"/>
                <w:szCs w:val="20"/>
                <w:lang w:val="sr-Cyrl-CS"/>
              </w:rPr>
              <w:t>Одавање пословне тајне</w:t>
            </w:r>
          </w:p>
          <w:p w:rsidR="00C301F9" w:rsidRPr="00522F35" w:rsidRDefault="00C301F9" w:rsidP="00522F35">
            <w:pPr>
              <w:pStyle w:val="NoSpacing"/>
              <w:rPr>
                <w:rFonts w:ascii="Times New Roman" w:hAnsi="Times New Roman"/>
                <w:sz w:val="20"/>
                <w:szCs w:val="20"/>
                <w:lang w:val="sr-Cyrl-CS"/>
              </w:rPr>
            </w:pPr>
          </w:p>
          <w:p w:rsidR="00FB1C73" w:rsidRPr="00522F35" w:rsidRDefault="00FB1C73" w:rsidP="00522F35">
            <w:pPr>
              <w:pStyle w:val="NoSpacing"/>
              <w:rPr>
                <w:rFonts w:ascii="Times New Roman" w:hAnsi="Times New Roman"/>
                <w:sz w:val="20"/>
                <w:szCs w:val="20"/>
                <w:lang w:val="sr-Cyrl-CS"/>
              </w:rPr>
            </w:pPr>
            <w:r w:rsidRPr="00522F35">
              <w:rPr>
                <w:rFonts w:ascii="Times New Roman" w:hAnsi="Times New Roman"/>
                <w:sz w:val="20"/>
                <w:szCs w:val="20"/>
                <w:lang w:val="sr-Cyrl-CS"/>
              </w:rPr>
              <w:t>2007.</w:t>
            </w:r>
            <w:r w:rsidR="0049479E" w:rsidRPr="00522F35">
              <w:rPr>
                <w:rFonts w:ascii="Times New Roman" w:hAnsi="Times New Roman"/>
                <w:sz w:val="20"/>
                <w:szCs w:val="20"/>
                <w:lang w:val="sr-Cyrl-CS"/>
              </w:rPr>
              <w:t xml:space="preserve">                 </w:t>
            </w:r>
          </w:p>
          <w:p w:rsidR="00C7735F" w:rsidRPr="00DB4188" w:rsidRDefault="00C7735F" w:rsidP="00DB4188">
            <w:pPr>
              <w:jc w:val="both"/>
              <w:rPr>
                <w:rFonts w:ascii="Times New Roman" w:hAnsi="Times New Roman"/>
                <w:sz w:val="20"/>
                <w:szCs w:val="20"/>
                <w:lang w:val="sr-Cyrl-CS"/>
              </w:rPr>
            </w:pPr>
          </w:p>
        </w:tc>
        <w:tc>
          <w:tcPr>
            <w:tcW w:w="1397" w:type="dxa"/>
            <w:gridSpan w:val="3"/>
            <w:tcBorders>
              <w:top w:val="single" w:sz="4" w:space="0" w:color="auto"/>
              <w:bottom w:val="single" w:sz="4" w:space="0" w:color="auto"/>
              <w:right w:val="single" w:sz="4" w:space="0" w:color="auto"/>
            </w:tcBorders>
          </w:tcPr>
          <w:p w:rsidR="00522F35" w:rsidRDefault="00522F35" w:rsidP="00DB4188">
            <w:pPr>
              <w:jc w:val="both"/>
              <w:rPr>
                <w:rFonts w:ascii="Times New Roman" w:hAnsi="Times New Roman"/>
                <w:sz w:val="24"/>
                <w:szCs w:val="24"/>
                <w:lang w:val="sr-Cyrl-CS"/>
              </w:rPr>
            </w:pPr>
          </w:p>
          <w:p w:rsidR="00C7735F" w:rsidRDefault="00C301F9" w:rsidP="00DB4188">
            <w:pPr>
              <w:jc w:val="both"/>
              <w:rPr>
                <w:rFonts w:ascii="Times New Roman" w:hAnsi="Times New Roman"/>
                <w:sz w:val="24"/>
                <w:szCs w:val="24"/>
                <w:lang w:val="sr-Cyrl-CS"/>
              </w:rPr>
            </w:pPr>
            <w:r>
              <w:rPr>
                <w:rFonts w:ascii="Times New Roman" w:hAnsi="Times New Roman"/>
                <w:sz w:val="24"/>
                <w:szCs w:val="24"/>
                <w:lang w:val="sr-Cyrl-CS"/>
              </w:rPr>
              <w:t>3</w:t>
            </w:r>
          </w:p>
        </w:tc>
        <w:tc>
          <w:tcPr>
            <w:tcW w:w="1489" w:type="dxa"/>
            <w:gridSpan w:val="2"/>
            <w:tcBorders>
              <w:top w:val="single" w:sz="4" w:space="0" w:color="auto"/>
              <w:left w:val="single" w:sz="4" w:space="0" w:color="auto"/>
              <w:bottom w:val="single" w:sz="4" w:space="0" w:color="auto"/>
            </w:tcBorders>
          </w:tcPr>
          <w:p w:rsidR="00522F35" w:rsidRDefault="00522F35" w:rsidP="00DB4188">
            <w:pPr>
              <w:jc w:val="both"/>
              <w:rPr>
                <w:rFonts w:ascii="Times New Roman" w:hAnsi="Times New Roman"/>
                <w:sz w:val="24"/>
                <w:szCs w:val="24"/>
                <w:lang w:val="sr-Cyrl-CS"/>
              </w:rPr>
            </w:pPr>
          </w:p>
          <w:p w:rsidR="00C7735F" w:rsidRDefault="00C301F9" w:rsidP="00DB4188">
            <w:pPr>
              <w:jc w:val="both"/>
              <w:rPr>
                <w:rFonts w:ascii="Times New Roman" w:hAnsi="Times New Roman"/>
                <w:sz w:val="24"/>
                <w:szCs w:val="24"/>
                <w:lang w:val="sr-Cyrl-CS"/>
              </w:rPr>
            </w:pPr>
            <w:r>
              <w:rPr>
                <w:rFonts w:ascii="Times New Roman" w:hAnsi="Times New Roman"/>
                <w:sz w:val="24"/>
                <w:szCs w:val="24"/>
                <w:lang w:val="sr-Cyrl-CS"/>
              </w:rPr>
              <w:t>4</w:t>
            </w:r>
          </w:p>
        </w:tc>
        <w:tc>
          <w:tcPr>
            <w:tcW w:w="1103" w:type="dxa"/>
            <w:gridSpan w:val="3"/>
            <w:tcBorders>
              <w:top w:val="single" w:sz="4" w:space="0" w:color="auto"/>
              <w:bottom w:val="single" w:sz="4" w:space="0" w:color="auto"/>
              <w:right w:val="single" w:sz="4" w:space="0" w:color="auto"/>
            </w:tcBorders>
          </w:tcPr>
          <w:p w:rsidR="00522F35" w:rsidRDefault="00522F35" w:rsidP="00DB4188">
            <w:pPr>
              <w:jc w:val="both"/>
              <w:rPr>
                <w:rFonts w:ascii="Times New Roman" w:hAnsi="Times New Roman"/>
                <w:sz w:val="24"/>
                <w:szCs w:val="24"/>
                <w:lang w:val="sr-Cyrl-CS"/>
              </w:rPr>
            </w:pPr>
          </w:p>
          <w:p w:rsidR="00C7735F" w:rsidRDefault="00C301F9" w:rsidP="00DB4188">
            <w:pPr>
              <w:jc w:val="both"/>
              <w:rPr>
                <w:rFonts w:ascii="Times New Roman" w:hAnsi="Times New Roman"/>
                <w:sz w:val="24"/>
                <w:szCs w:val="24"/>
                <w:lang w:val="sr-Cyrl-CS"/>
              </w:rPr>
            </w:pPr>
            <w:r>
              <w:rPr>
                <w:rFonts w:ascii="Times New Roman" w:hAnsi="Times New Roman"/>
                <w:sz w:val="24"/>
                <w:szCs w:val="24"/>
                <w:lang w:val="sr-Cyrl-CS"/>
              </w:rPr>
              <w:t>4</w:t>
            </w:r>
          </w:p>
        </w:tc>
        <w:tc>
          <w:tcPr>
            <w:tcW w:w="1157" w:type="dxa"/>
            <w:gridSpan w:val="2"/>
            <w:tcBorders>
              <w:top w:val="single" w:sz="4" w:space="0" w:color="auto"/>
              <w:left w:val="single" w:sz="4" w:space="0" w:color="auto"/>
              <w:bottom w:val="single" w:sz="4" w:space="0" w:color="auto"/>
            </w:tcBorders>
          </w:tcPr>
          <w:p w:rsidR="00C7735F" w:rsidRDefault="00C7735F" w:rsidP="00DB4188">
            <w:pPr>
              <w:jc w:val="both"/>
              <w:rPr>
                <w:rFonts w:ascii="Times New Roman" w:hAnsi="Times New Roman"/>
                <w:sz w:val="24"/>
                <w:szCs w:val="24"/>
                <w:lang w:val="sr-Cyrl-CS"/>
              </w:rPr>
            </w:pPr>
          </w:p>
          <w:p w:rsidR="00522F35" w:rsidRDefault="00522F35" w:rsidP="00DB4188">
            <w:pPr>
              <w:jc w:val="both"/>
              <w:rPr>
                <w:rFonts w:ascii="Times New Roman" w:hAnsi="Times New Roman"/>
                <w:sz w:val="24"/>
                <w:szCs w:val="24"/>
                <w:lang w:val="sr-Cyrl-CS"/>
              </w:rPr>
            </w:pPr>
            <w:r>
              <w:rPr>
                <w:rFonts w:ascii="Times New Roman" w:hAnsi="Times New Roman"/>
                <w:sz w:val="24"/>
                <w:szCs w:val="24"/>
                <w:lang w:val="sr-Cyrl-CS"/>
              </w:rPr>
              <w:t>4</w:t>
            </w:r>
          </w:p>
        </w:tc>
        <w:tc>
          <w:tcPr>
            <w:tcW w:w="1045" w:type="dxa"/>
            <w:gridSpan w:val="4"/>
            <w:tcBorders>
              <w:top w:val="single" w:sz="4" w:space="0" w:color="auto"/>
              <w:bottom w:val="single" w:sz="4" w:space="0" w:color="auto"/>
              <w:right w:val="single" w:sz="4" w:space="0" w:color="auto"/>
            </w:tcBorders>
          </w:tcPr>
          <w:p w:rsidR="00522F35" w:rsidRDefault="00522F35" w:rsidP="00DB4188">
            <w:pPr>
              <w:jc w:val="both"/>
              <w:rPr>
                <w:rFonts w:ascii="Times New Roman" w:hAnsi="Times New Roman"/>
                <w:sz w:val="24"/>
                <w:szCs w:val="24"/>
                <w:lang w:val="sr-Cyrl-CS"/>
              </w:rPr>
            </w:pPr>
          </w:p>
          <w:p w:rsidR="00C7735F" w:rsidRDefault="00F56841" w:rsidP="00DB4188">
            <w:pPr>
              <w:jc w:val="both"/>
              <w:rPr>
                <w:rFonts w:ascii="Times New Roman" w:hAnsi="Times New Roman"/>
                <w:sz w:val="24"/>
                <w:szCs w:val="24"/>
                <w:lang w:val="sr-Cyrl-CS"/>
              </w:rPr>
            </w:pPr>
            <w:r>
              <w:rPr>
                <w:rFonts w:ascii="Times New Roman" w:hAnsi="Times New Roman"/>
                <w:sz w:val="24"/>
                <w:szCs w:val="24"/>
                <w:lang w:val="sr-Cyrl-CS"/>
              </w:rPr>
              <w:t>2</w:t>
            </w:r>
          </w:p>
        </w:tc>
        <w:tc>
          <w:tcPr>
            <w:tcW w:w="1219" w:type="dxa"/>
            <w:tcBorders>
              <w:top w:val="single" w:sz="4" w:space="0" w:color="auto"/>
              <w:left w:val="single" w:sz="4" w:space="0" w:color="auto"/>
              <w:bottom w:val="single" w:sz="4" w:space="0" w:color="auto"/>
            </w:tcBorders>
          </w:tcPr>
          <w:p w:rsidR="00522F35" w:rsidRDefault="00522F35" w:rsidP="00DB4188">
            <w:pPr>
              <w:jc w:val="both"/>
              <w:rPr>
                <w:rFonts w:ascii="Times New Roman" w:hAnsi="Times New Roman"/>
                <w:sz w:val="24"/>
                <w:szCs w:val="24"/>
                <w:lang w:val="sr-Cyrl-CS"/>
              </w:rPr>
            </w:pPr>
          </w:p>
          <w:p w:rsidR="00C7735F" w:rsidRDefault="00F56841" w:rsidP="00DB4188">
            <w:pPr>
              <w:jc w:val="both"/>
              <w:rPr>
                <w:rFonts w:ascii="Times New Roman" w:hAnsi="Times New Roman"/>
                <w:sz w:val="24"/>
                <w:szCs w:val="24"/>
                <w:lang w:val="sr-Cyrl-CS"/>
              </w:rPr>
            </w:pPr>
            <w:r>
              <w:rPr>
                <w:rFonts w:ascii="Times New Roman" w:hAnsi="Times New Roman"/>
                <w:sz w:val="24"/>
                <w:szCs w:val="24"/>
                <w:lang w:val="sr-Cyrl-CS"/>
              </w:rPr>
              <w:t>-</w:t>
            </w:r>
          </w:p>
        </w:tc>
      </w:tr>
      <w:tr w:rsidR="00AD1724" w:rsidTr="000E1089">
        <w:trPr>
          <w:trHeight w:val="538"/>
        </w:trPr>
        <w:tc>
          <w:tcPr>
            <w:tcW w:w="1635" w:type="dxa"/>
            <w:tcBorders>
              <w:top w:val="single" w:sz="4" w:space="0" w:color="auto"/>
              <w:bottom w:val="single" w:sz="4" w:space="0" w:color="auto"/>
            </w:tcBorders>
          </w:tcPr>
          <w:p w:rsidR="00C7735F" w:rsidRPr="00DB4188" w:rsidRDefault="00FB1C73" w:rsidP="00DB4188">
            <w:pPr>
              <w:jc w:val="both"/>
              <w:rPr>
                <w:rFonts w:ascii="Times New Roman" w:hAnsi="Times New Roman"/>
                <w:sz w:val="20"/>
                <w:szCs w:val="20"/>
                <w:lang w:val="sr-Cyrl-CS"/>
              </w:rPr>
            </w:pPr>
            <w:r>
              <w:rPr>
                <w:rFonts w:ascii="Times New Roman" w:hAnsi="Times New Roman"/>
                <w:sz w:val="20"/>
                <w:szCs w:val="20"/>
                <w:lang w:val="sr-Cyrl-CS"/>
              </w:rPr>
              <w:t>2008.</w:t>
            </w:r>
          </w:p>
        </w:tc>
        <w:tc>
          <w:tcPr>
            <w:tcW w:w="1397" w:type="dxa"/>
            <w:gridSpan w:val="3"/>
            <w:tcBorders>
              <w:top w:val="single" w:sz="4" w:space="0" w:color="auto"/>
              <w:bottom w:val="single" w:sz="4" w:space="0" w:color="auto"/>
              <w:right w:val="single" w:sz="4" w:space="0" w:color="auto"/>
            </w:tcBorders>
          </w:tcPr>
          <w:p w:rsidR="00C7735F" w:rsidRDefault="00C301F9" w:rsidP="00DB4188">
            <w:pPr>
              <w:jc w:val="both"/>
              <w:rPr>
                <w:rFonts w:ascii="Times New Roman" w:hAnsi="Times New Roman"/>
                <w:sz w:val="24"/>
                <w:szCs w:val="24"/>
                <w:lang w:val="sr-Cyrl-CS"/>
              </w:rPr>
            </w:pPr>
            <w:r>
              <w:rPr>
                <w:rFonts w:ascii="Times New Roman" w:hAnsi="Times New Roman"/>
                <w:sz w:val="24"/>
                <w:szCs w:val="24"/>
                <w:lang w:val="sr-Cyrl-CS"/>
              </w:rPr>
              <w:t>4</w:t>
            </w:r>
          </w:p>
        </w:tc>
        <w:tc>
          <w:tcPr>
            <w:tcW w:w="1489" w:type="dxa"/>
            <w:gridSpan w:val="2"/>
            <w:tcBorders>
              <w:top w:val="single" w:sz="4" w:space="0" w:color="auto"/>
              <w:left w:val="single" w:sz="4" w:space="0" w:color="auto"/>
              <w:bottom w:val="single" w:sz="4" w:space="0" w:color="auto"/>
            </w:tcBorders>
          </w:tcPr>
          <w:p w:rsidR="00C7735F" w:rsidRDefault="00C301F9" w:rsidP="00DB4188">
            <w:pPr>
              <w:jc w:val="both"/>
              <w:rPr>
                <w:rFonts w:ascii="Times New Roman" w:hAnsi="Times New Roman"/>
                <w:sz w:val="24"/>
                <w:szCs w:val="24"/>
                <w:lang w:val="sr-Cyrl-CS"/>
              </w:rPr>
            </w:pPr>
            <w:r>
              <w:rPr>
                <w:rFonts w:ascii="Times New Roman" w:hAnsi="Times New Roman"/>
                <w:sz w:val="24"/>
                <w:szCs w:val="24"/>
                <w:lang w:val="sr-Cyrl-CS"/>
              </w:rPr>
              <w:t>2</w:t>
            </w:r>
          </w:p>
        </w:tc>
        <w:tc>
          <w:tcPr>
            <w:tcW w:w="1103" w:type="dxa"/>
            <w:gridSpan w:val="3"/>
            <w:tcBorders>
              <w:top w:val="single" w:sz="4" w:space="0" w:color="auto"/>
              <w:bottom w:val="single" w:sz="4" w:space="0" w:color="auto"/>
              <w:right w:val="single" w:sz="4" w:space="0" w:color="auto"/>
            </w:tcBorders>
          </w:tcPr>
          <w:p w:rsidR="00C7735F" w:rsidRDefault="00C301F9" w:rsidP="00DB4188">
            <w:pPr>
              <w:jc w:val="both"/>
              <w:rPr>
                <w:rFonts w:ascii="Times New Roman" w:hAnsi="Times New Roman"/>
                <w:sz w:val="24"/>
                <w:szCs w:val="24"/>
                <w:lang w:val="sr-Cyrl-CS"/>
              </w:rPr>
            </w:pPr>
            <w:r>
              <w:rPr>
                <w:rFonts w:ascii="Times New Roman" w:hAnsi="Times New Roman"/>
                <w:sz w:val="24"/>
                <w:szCs w:val="24"/>
                <w:lang w:val="sr-Cyrl-CS"/>
              </w:rPr>
              <w:t>2</w:t>
            </w:r>
          </w:p>
        </w:tc>
        <w:tc>
          <w:tcPr>
            <w:tcW w:w="1157" w:type="dxa"/>
            <w:gridSpan w:val="2"/>
            <w:tcBorders>
              <w:top w:val="single" w:sz="4" w:space="0" w:color="auto"/>
              <w:left w:val="single" w:sz="4" w:space="0" w:color="auto"/>
              <w:bottom w:val="single" w:sz="4" w:space="0" w:color="auto"/>
            </w:tcBorders>
          </w:tcPr>
          <w:p w:rsidR="00C7735F" w:rsidRDefault="00C301F9" w:rsidP="00DB4188">
            <w:pPr>
              <w:jc w:val="both"/>
              <w:rPr>
                <w:rFonts w:ascii="Times New Roman" w:hAnsi="Times New Roman"/>
                <w:sz w:val="24"/>
                <w:szCs w:val="24"/>
                <w:lang w:val="sr-Cyrl-CS"/>
              </w:rPr>
            </w:pPr>
            <w:r>
              <w:rPr>
                <w:rFonts w:ascii="Times New Roman" w:hAnsi="Times New Roman"/>
                <w:sz w:val="24"/>
                <w:szCs w:val="24"/>
                <w:lang w:val="sr-Cyrl-CS"/>
              </w:rPr>
              <w:t>1</w:t>
            </w:r>
          </w:p>
        </w:tc>
        <w:tc>
          <w:tcPr>
            <w:tcW w:w="1045" w:type="dxa"/>
            <w:gridSpan w:val="4"/>
            <w:tcBorders>
              <w:top w:val="single" w:sz="4" w:space="0" w:color="auto"/>
              <w:bottom w:val="single" w:sz="4" w:space="0" w:color="auto"/>
              <w:right w:val="single" w:sz="4" w:space="0" w:color="auto"/>
            </w:tcBorders>
          </w:tcPr>
          <w:p w:rsidR="00C7735F" w:rsidRDefault="00F56841" w:rsidP="00DB4188">
            <w:pPr>
              <w:jc w:val="both"/>
              <w:rPr>
                <w:rFonts w:ascii="Times New Roman" w:hAnsi="Times New Roman"/>
                <w:sz w:val="24"/>
                <w:szCs w:val="24"/>
                <w:lang w:val="sr-Cyrl-CS"/>
              </w:rPr>
            </w:pPr>
            <w:r>
              <w:rPr>
                <w:rFonts w:ascii="Times New Roman" w:hAnsi="Times New Roman"/>
                <w:sz w:val="24"/>
                <w:szCs w:val="24"/>
                <w:lang w:val="sr-Cyrl-CS"/>
              </w:rPr>
              <w:t>1</w:t>
            </w:r>
          </w:p>
        </w:tc>
        <w:tc>
          <w:tcPr>
            <w:tcW w:w="1219" w:type="dxa"/>
            <w:tcBorders>
              <w:top w:val="single" w:sz="4" w:space="0" w:color="auto"/>
              <w:left w:val="single" w:sz="4" w:space="0" w:color="auto"/>
              <w:bottom w:val="single" w:sz="4" w:space="0" w:color="auto"/>
            </w:tcBorders>
          </w:tcPr>
          <w:p w:rsidR="00C7735F" w:rsidRDefault="00F56841" w:rsidP="00DB4188">
            <w:pPr>
              <w:jc w:val="both"/>
              <w:rPr>
                <w:rFonts w:ascii="Times New Roman" w:hAnsi="Times New Roman"/>
                <w:sz w:val="24"/>
                <w:szCs w:val="24"/>
                <w:lang w:val="sr-Cyrl-CS"/>
              </w:rPr>
            </w:pPr>
            <w:r>
              <w:rPr>
                <w:rFonts w:ascii="Times New Roman" w:hAnsi="Times New Roman"/>
                <w:sz w:val="24"/>
                <w:szCs w:val="24"/>
                <w:lang w:val="sr-Cyrl-CS"/>
              </w:rPr>
              <w:t>-</w:t>
            </w:r>
          </w:p>
        </w:tc>
      </w:tr>
      <w:tr w:rsidR="00AD1724" w:rsidTr="000E1089">
        <w:trPr>
          <w:trHeight w:val="590"/>
        </w:trPr>
        <w:tc>
          <w:tcPr>
            <w:tcW w:w="1635" w:type="dxa"/>
            <w:tcBorders>
              <w:top w:val="single" w:sz="4" w:space="0" w:color="auto"/>
              <w:bottom w:val="single" w:sz="4" w:space="0" w:color="auto"/>
            </w:tcBorders>
          </w:tcPr>
          <w:p w:rsidR="00C7735F" w:rsidRPr="00DB4188" w:rsidRDefault="00FB1C73" w:rsidP="00DB4188">
            <w:pPr>
              <w:jc w:val="both"/>
              <w:rPr>
                <w:rFonts w:ascii="Times New Roman" w:hAnsi="Times New Roman"/>
                <w:sz w:val="20"/>
                <w:szCs w:val="20"/>
                <w:lang w:val="sr-Cyrl-CS"/>
              </w:rPr>
            </w:pPr>
            <w:r>
              <w:rPr>
                <w:rFonts w:ascii="Times New Roman" w:hAnsi="Times New Roman"/>
                <w:sz w:val="20"/>
                <w:szCs w:val="20"/>
                <w:lang w:val="sr-Cyrl-CS"/>
              </w:rPr>
              <w:t>2009.</w:t>
            </w:r>
          </w:p>
        </w:tc>
        <w:tc>
          <w:tcPr>
            <w:tcW w:w="1397" w:type="dxa"/>
            <w:gridSpan w:val="3"/>
            <w:tcBorders>
              <w:top w:val="single" w:sz="4" w:space="0" w:color="auto"/>
              <w:right w:val="single" w:sz="4" w:space="0" w:color="auto"/>
            </w:tcBorders>
          </w:tcPr>
          <w:p w:rsidR="00C7735F" w:rsidRDefault="00C301F9" w:rsidP="00DB4188">
            <w:pPr>
              <w:jc w:val="both"/>
              <w:rPr>
                <w:rFonts w:ascii="Times New Roman" w:hAnsi="Times New Roman"/>
                <w:sz w:val="24"/>
                <w:szCs w:val="24"/>
                <w:lang w:val="sr-Cyrl-CS"/>
              </w:rPr>
            </w:pPr>
            <w:r>
              <w:rPr>
                <w:rFonts w:ascii="Times New Roman" w:hAnsi="Times New Roman"/>
                <w:sz w:val="24"/>
                <w:szCs w:val="24"/>
                <w:lang w:val="sr-Cyrl-CS"/>
              </w:rPr>
              <w:t>2</w:t>
            </w:r>
          </w:p>
        </w:tc>
        <w:tc>
          <w:tcPr>
            <w:tcW w:w="1489" w:type="dxa"/>
            <w:gridSpan w:val="2"/>
            <w:tcBorders>
              <w:top w:val="single" w:sz="4" w:space="0" w:color="auto"/>
              <w:left w:val="single" w:sz="4" w:space="0" w:color="auto"/>
              <w:bottom w:val="single" w:sz="4" w:space="0" w:color="auto"/>
            </w:tcBorders>
          </w:tcPr>
          <w:p w:rsidR="00C7735F" w:rsidRDefault="00C301F9" w:rsidP="00DB4188">
            <w:pPr>
              <w:jc w:val="both"/>
              <w:rPr>
                <w:rFonts w:ascii="Times New Roman" w:hAnsi="Times New Roman"/>
                <w:sz w:val="24"/>
                <w:szCs w:val="24"/>
                <w:lang w:val="sr-Cyrl-CS"/>
              </w:rPr>
            </w:pPr>
            <w:r>
              <w:rPr>
                <w:rFonts w:ascii="Times New Roman" w:hAnsi="Times New Roman"/>
                <w:sz w:val="24"/>
                <w:szCs w:val="24"/>
                <w:lang w:val="sr-Cyrl-CS"/>
              </w:rPr>
              <w:t>2</w:t>
            </w:r>
          </w:p>
        </w:tc>
        <w:tc>
          <w:tcPr>
            <w:tcW w:w="1103" w:type="dxa"/>
            <w:gridSpan w:val="3"/>
            <w:tcBorders>
              <w:top w:val="single" w:sz="4" w:space="0" w:color="auto"/>
              <w:bottom w:val="single" w:sz="4" w:space="0" w:color="auto"/>
              <w:right w:val="single" w:sz="4" w:space="0" w:color="auto"/>
            </w:tcBorders>
          </w:tcPr>
          <w:p w:rsidR="00C7735F" w:rsidRDefault="00C301F9" w:rsidP="00DB4188">
            <w:pPr>
              <w:jc w:val="both"/>
              <w:rPr>
                <w:rFonts w:ascii="Times New Roman" w:hAnsi="Times New Roman"/>
                <w:sz w:val="24"/>
                <w:szCs w:val="24"/>
                <w:lang w:val="sr-Cyrl-CS"/>
              </w:rPr>
            </w:pPr>
            <w:r>
              <w:rPr>
                <w:rFonts w:ascii="Times New Roman" w:hAnsi="Times New Roman"/>
                <w:sz w:val="24"/>
                <w:szCs w:val="24"/>
                <w:lang w:val="sr-Cyrl-CS"/>
              </w:rPr>
              <w:t>1</w:t>
            </w:r>
          </w:p>
        </w:tc>
        <w:tc>
          <w:tcPr>
            <w:tcW w:w="1157" w:type="dxa"/>
            <w:gridSpan w:val="2"/>
            <w:tcBorders>
              <w:top w:val="single" w:sz="4" w:space="0" w:color="auto"/>
              <w:left w:val="single" w:sz="4" w:space="0" w:color="auto"/>
              <w:bottom w:val="single" w:sz="4" w:space="0" w:color="auto"/>
            </w:tcBorders>
          </w:tcPr>
          <w:p w:rsidR="00C7735F" w:rsidRDefault="00C301F9" w:rsidP="00DB4188">
            <w:pPr>
              <w:jc w:val="both"/>
              <w:rPr>
                <w:rFonts w:ascii="Times New Roman" w:hAnsi="Times New Roman"/>
                <w:sz w:val="24"/>
                <w:szCs w:val="24"/>
                <w:lang w:val="sr-Cyrl-CS"/>
              </w:rPr>
            </w:pPr>
            <w:r>
              <w:rPr>
                <w:rFonts w:ascii="Times New Roman" w:hAnsi="Times New Roman"/>
                <w:sz w:val="24"/>
                <w:szCs w:val="24"/>
                <w:lang w:val="sr-Cyrl-CS"/>
              </w:rPr>
              <w:t>-</w:t>
            </w:r>
          </w:p>
        </w:tc>
        <w:tc>
          <w:tcPr>
            <w:tcW w:w="1045" w:type="dxa"/>
            <w:gridSpan w:val="4"/>
            <w:tcBorders>
              <w:top w:val="single" w:sz="4" w:space="0" w:color="auto"/>
              <w:bottom w:val="single" w:sz="4" w:space="0" w:color="auto"/>
              <w:right w:val="single" w:sz="4" w:space="0" w:color="auto"/>
            </w:tcBorders>
          </w:tcPr>
          <w:p w:rsidR="00C7735F" w:rsidRDefault="00F56841" w:rsidP="00DB4188">
            <w:pPr>
              <w:jc w:val="both"/>
              <w:rPr>
                <w:rFonts w:ascii="Times New Roman" w:hAnsi="Times New Roman"/>
                <w:sz w:val="24"/>
                <w:szCs w:val="24"/>
                <w:lang w:val="sr-Cyrl-CS"/>
              </w:rPr>
            </w:pPr>
            <w:r>
              <w:rPr>
                <w:rFonts w:ascii="Times New Roman" w:hAnsi="Times New Roman"/>
                <w:sz w:val="24"/>
                <w:szCs w:val="24"/>
                <w:lang w:val="sr-Cyrl-CS"/>
              </w:rPr>
              <w:t>1</w:t>
            </w:r>
          </w:p>
        </w:tc>
        <w:tc>
          <w:tcPr>
            <w:tcW w:w="1219" w:type="dxa"/>
            <w:tcBorders>
              <w:top w:val="single" w:sz="4" w:space="0" w:color="auto"/>
              <w:left w:val="single" w:sz="4" w:space="0" w:color="auto"/>
              <w:bottom w:val="single" w:sz="4" w:space="0" w:color="auto"/>
            </w:tcBorders>
          </w:tcPr>
          <w:p w:rsidR="00C7735F" w:rsidRDefault="00F56841" w:rsidP="00DB4188">
            <w:pPr>
              <w:jc w:val="both"/>
              <w:rPr>
                <w:rFonts w:ascii="Times New Roman" w:hAnsi="Times New Roman"/>
                <w:sz w:val="24"/>
                <w:szCs w:val="24"/>
                <w:lang w:val="sr-Cyrl-CS"/>
              </w:rPr>
            </w:pPr>
            <w:r>
              <w:rPr>
                <w:rFonts w:ascii="Times New Roman" w:hAnsi="Times New Roman"/>
                <w:sz w:val="24"/>
                <w:szCs w:val="24"/>
                <w:lang w:val="sr-Cyrl-CS"/>
              </w:rPr>
              <w:t>-</w:t>
            </w:r>
          </w:p>
        </w:tc>
      </w:tr>
      <w:tr w:rsidR="00AD1724" w:rsidTr="000E1089">
        <w:trPr>
          <w:trHeight w:val="606"/>
        </w:trPr>
        <w:tc>
          <w:tcPr>
            <w:tcW w:w="1635" w:type="dxa"/>
            <w:tcBorders>
              <w:top w:val="single" w:sz="4" w:space="0" w:color="auto"/>
              <w:bottom w:val="single" w:sz="4" w:space="0" w:color="auto"/>
            </w:tcBorders>
          </w:tcPr>
          <w:p w:rsidR="00C7735F" w:rsidRPr="00DB4188" w:rsidRDefault="00FB1C73" w:rsidP="00DB4188">
            <w:pPr>
              <w:jc w:val="both"/>
              <w:rPr>
                <w:rFonts w:ascii="Times New Roman" w:hAnsi="Times New Roman"/>
                <w:sz w:val="20"/>
                <w:szCs w:val="20"/>
                <w:lang w:val="sr-Cyrl-CS"/>
              </w:rPr>
            </w:pPr>
            <w:r>
              <w:rPr>
                <w:rFonts w:ascii="Times New Roman" w:hAnsi="Times New Roman"/>
                <w:sz w:val="20"/>
                <w:szCs w:val="20"/>
                <w:lang w:val="sr-Cyrl-CS"/>
              </w:rPr>
              <w:t>2010.</w:t>
            </w:r>
          </w:p>
        </w:tc>
        <w:tc>
          <w:tcPr>
            <w:tcW w:w="1397" w:type="dxa"/>
            <w:gridSpan w:val="3"/>
            <w:tcBorders>
              <w:bottom w:val="single" w:sz="4" w:space="0" w:color="auto"/>
              <w:right w:val="single" w:sz="4" w:space="0" w:color="auto"/>
            </w:tcBorders>
          </w:tcPr>
          <w:p w:rsidR="00C7735F" w:rsidRDefault="00C301F9" w:rsidP="00DB4188">
            <w:pPr>
              <w:jc w:val="both"/>
              <w:rPr>
                <w:rFonts w:ascii="Times New Roman" w:hAnsi="Times New Roman"/>
                <w:sz w:val="24"/>
                <w:szCs w:val="24"/>
                <w:lang w:val="sr-Cyrl-CS"/>
              </w:rPr>
            </w:pPr>
            <w:r>
              <w:rPr>
                <w:rFonts w:ascii="Times New Roman" w:hAnsi="Times New Roman"/>
                <w:sz w:val="24"/>
                <w:szCs w:val="24"/>
                <w:lang w:val="sr-Cyrl-CS"/>
              </w:rPr>
              <w:t>5</w:t>
            </w:r>
          </w:p>
        </w:tc>
        <w:tc>
          <w:tcPr>
            <w:tcW w:w="1489" w:type="dxa"/>
            <w:gridSpan w:val="2"/>
            <w:tcBorders>
              <w:top w:val="single" w:sz="4" w:space="0" w:color="auto"/>
              <w:left w:val="single" w:sz="4" w:space="0" w:color="auto"/>
            </w:tcBorders>
          </w:tcPr>
          <w:p w:rsidR="00C7735F" w:rsidRDefault="00C301F9" w:rsidP="00DB4188">
            <w:pPr>
              <w:jc w:val="both"/>
              <w:rPr>
                <w:rFonts w:ascii="Times New Roman" w:hAnsi="Times New Roman"/>
                <w:sz w:val="24"/>
                <w:szCs w:val="24"/>
                <w:lang w:val="sr-Cyrl-CS"/>
              </w:rPr>
            </w:pPr>
            <w:r>
              <w:rPr>
                <w:rFonts w:ascii="Times New Roman" w:hAnsi="Times New Roman"/>
                <w:sz w:val="24"/>
                <w:szCs w:val="24"/>
                <w:lang w:val="sr-Cyrl-CS"/>
              </w:rPr>
              <w:t>2</w:t>
            </w:r>
          </w:p>
        </w:tc>
        <w:tc>
          <w:tcPr>
            <w:tcW w:w="1103" w:type="dxa"/>
            <w:gridSpan w:val="3"/>
            <w:tcBorders>
              <w:top w:val="single" w:sz="4" w:space="0" w:color="auto"/>
              <w:right w:val="single" w:sz="4" w:space="0" w:color="auto"/>
            </w:tcBorders>
          </w:tcPr>
          <w:p w:rsidR="00C7735F" w:rsidRDefault="00C301F9" w:rsidP="00DB4188">
            <w:pPr>
              <w:jc w:val="both"/>
              <w:rPr>
                <w:rFonts w:ascii="Times New Roman" w:hAnsi="Times New Roman"/>
                <w:sz w:val="24"/>
                <w:szCs w:val="24"/>
                <w:lang w:val="sr-Cyrl-CS"/>
              </w:rPr>
            </w:pPr>
            <w:r>
              <w:rPr>
                <w:rFonts w:ascii="Times New Roman" w:hAnsi="Times New Roman"/>
                <w:sz w:val="24"/>
                <w:szCs w:val="24"/>
                <w:lang w:val="sr-Cyrl-CS"/>
              </w:rPr>
              <w:t>2</w:t>
            </w:r>
          </w:p>
        </w:tc>
        <w:tc>
          <w:tcPr>
            <w:tcW w:w="1157" w:type="dxa"/>
            <w:gridSpan w:val="2"/>
            <w:tcBorders>
              <w:top w:val="single" w:sz="4" w:space="0" w:color="auto"/>
              <w:left w:val="single" w:sz="4" w:space="0" w:color="auto"/>
            </w:tcBorders>
          </w:tcPr>
          <w:p w:rsidR="00C7735F" w:rsidRDefault="00C301F9" w:rsidP="00DB4188">
            <w:pPr>
              <w:jc w:val="both"/>
              <w:rPr>
                <w:rFonts w:ascii="Times New Roman" w:hAnsi="Times New Roman"/>
                <w:sz w:val="24"/>
                <w:szCs w:val="24"/>
                <w:lang w:val="sr-Cyrl-CS"/>
              </w:rPr>
            </w:pPr>
            <w:r>
              <w:rPr>
                <w:rFonts w:ascii="Times New Roman" w:hAnsi="Times New Roman"/>
                <w:sz w:val="24"/>
                <w:szCs w:val="24"/>
                <w:lang w:val="sr-Cyrl-CS"/>
              </w:rPr>
              <w:t>2</w:t>
            </w:r>
          </w:p>
        </w:tc>
        <w:tc>
          <w:tcPr>
            <w:tcW w:w="1045" w:type="dxa"/>
            <w:gridSpan w:val="4"/>
            <w:tcBorders>
              <w:top w:val="single" w:sz="4" w:space="0" w:color="auto"/>
              <w:right w:val="single" w:sz="4" w:space="0" w:color="auto"/>
            </w:tcBorders>
          </w:tcPr>
          <w:p w:rsidR="00C7735F" w:rsidRDefault="00F56841" w:rsidP="00DB4188">
            <w:pPr>
              <w:jc w:val="both"/>
              <w:rPr>
                <w:rFonts w:ascii="Times New Roman" w:hAnsi="Times New Roman"/>
                <w:sz w:val="24"/>
                <w:szCs w:val="24"/>
                <w:lang w:val="sr-Cyrl-CS"/>
              </w:rPr>
            </w:pPr>
            <w:r>
              <w:rPr>
                <w:rFonts w:ascii="Times New Roman" w:hAnsi="Times New Roman"/>
                <w:sz w:val="24"/>
                <w:szCs w:val="24"/>
                <w:lang w:val="sr-Cyrl-CS"/>
              </w:rPr>
              <w:t>-</w:t>
            </w:r>
          </w:p>
        </w:tc>
        <w:tc>
          <w:tcPr>
            <w:tcW w:w="1219" w:type="dxa"/>
            <w:tcBorders>
              <w:top w:val="single" w:sz="4" w:space="0" w:color="auto"/>
              <w:left w:val="single" w:sz="4" w:space="0" w:color="auto"/>
            </w:tcBorders>
          </w:tcPr>
          <w:p w:rsidR="00C7735F" w:rsidRDefault="00F56841" w:rsidP="00DB4188">
            <w:pPr>
              <w:jc w:val="both"/>
              <w:rPr>
                <w:rFonts w:ascii="Times New Roman" w:hAnsi="Times New Roman"/>
                <w:sz w:val="24"/>
                <w:szCs w:val="24"/>
                <w:lang w:val="sr-Cyrl-CS"/>
              </w:rPr>
            </w:pPr>
            <w:r>
              <w:rPr>
                <w:rFonts w:ascii="Times New Roman" w:hAnsi="Times New Roman"/>
                <w:sz w:val="24"/>
                <w:szCs w:val="24"/>
                <w:lang w:val="sr-Cyrl-CS"/>
              </w:rPr>
              <w:t>-</w:t>
            </w:r>
          </w:p>
        </w:tc>
      </w:tr>
      <w:tr w:rsidR="00AD1724" w:rsidTr="000E1089">
        <w:trPr>
          <w:trHeight w:val="606"/>
        </w:trPr>
        <w:tc>
          <w:tcPr>
            <w:tcW w:w="1635" w:type="dxa"/>
            <w:tcBorders>
              <w:top w:val="single" w:sz="4" w:space="0" w:color="auto"/>
              <w:bottom w:val="single" w:sz="4" w:space="0" w:color="auto"/>
            </w:tcBorders>
          </w:tcPr>
          <w:p w:rsidR="00C7735F" w:rsidRPr="00DB4188" w:rsidRDefault="00FB1C73" w:rsidP="00DB4188">
            <w:pPr>
              <w:jc w:val="both"/>
              <w:rPr>
                <w:rFonts w:ascii="Times New Roman" w:hAnsi="Times New Roman"/>
                <w:sz w:val="20"/>
                <w:szCs w:val="20"/>
                <w:lang w:val="sr-Cyrl-CS"/>
              </w:rPr>
            </w:pPr>
            <w:r>
              <w:rPr>
                <w:rFonts w:ascii="Times New Roman" w:hAnsi="Times New Roman"/>
                <w:sz w:val="20"/>
                <w:szCs w:val="20"/>
                <w:lang w:val="sr-Cyrl-CS"/>
              </w:rPr>
              <w:t>2011.</w:t>
            </w:r>
          </w:p>
        </w:tc>
        <w:tc>
          <w:tcPr>
            <w:tcW w:w="1397" w:type="dxa"/>
            <w:gridSpan w:val="3"/>
            <w:tcBorders>
              <w:top w:val="single" w:sz="4" w:space="0" w:color="auto"/>
              <w:bottom w:val="single" w:sz="4" w:space="0" w:color="auto"/>
              <w:right w:val="single" w:sz="4" w:space="0" w:color="auto"/>
            </w:tcBorders>
          </w:tcPr>
          <w:p w:rsidR="00C7735F" w:rsidRDefault="00C301F9" w:rsidP="00DB4188">
            <w:pPr>
              <w:jc w:val="both"/>
              <w:rPr>
                <w:rFonts w:ascii="Times New Roman" w:hAnsi="Times New Roman"/>
                <w:sz w:val="24"/>
                <w:szCs w:val="24"/>
                <w:lang w:val="sr-Cyrl-CS"/>
              </w:rPr>
            </w:pPr>
            <w:r>
              <w:rPr>
                <w:rFonts w:ascii="Times New Roman" w:hAnsi="Times New Roman"/>
                <w:sz w:val="24"/>
                <w:szCs w:val="24"/>
                <w:lang w:val="sr-Cyrl-CS"/>
              </w:rPr>
              <w:t>12</w:t>
            </w:r>
          </w:p>
        </w:tc>
        <w:tc>
          <w:tcPr>
            <w:tcW w:w="1489" w:type="dxa"/>
            <w:gridSpan w:val="2"/>
            <w:tcBorders>
              <w:left w:val="single" w:sz="4" w:space="0" w:color="auto"/>
              <w:bottom w:val="single" w:sz="4" w:space="0" w:color="auto"/>
            </w:tcBorders>
          </w:tcPr>
          <w:p w:rsidR="00C7735F" w:rsidRDefault="00C301F9" w:rsidP="00DB4188">
            <w:pPr>
              <w:jc w:val="both"/>
              <w:rPr>
                <w:rFonts w:ascii="Times New Roman" w:hAnsi="Times New Roman"/>
                <w:sz w:val="24"/>
                <w:szCs w:val="24"/>
                <w:lang w:val="sr-Cyrl-CS"/>
              </w:rPr>
            </w:pPr>
            <w:r>
              <w:rPr>
                <w:rFonts w:ascii="Times New Roman" w:hAnsi="Times New Roman"/>
                <w:sz w:val="24"/>
                <w:szCs w:val="24"/>
                <w:lang w:val="sr-Cyrl-CS"/>
              </w:rPr>
              <w:t>-</w:t>
            </w:r>
          </w:p>
        </w:tc>
        <w:tc>
          <w:tcPr>
            <w:tcW w:w="1103" w:type="dxa"/>
            <w:gridSpan w:val="3"/>
            <w:tcBorders>
              <w:bottom w:val="single" w:sz="4" w:space="0" w:color="auto"/>
              <w:right w:val="single" w:sz="4" w:space="0" w:color="auto"/>
            </w:tcBorders>
          </w:tcPr>
          <w:p w:rsidR="00C7735F" w:rsidRDefault="00C301F9" w:rsidP="00DB4188">
            <w:pPr>
              <w:jc w:val="both"/>
              <w:rPr>
                <w:rFonts w:ascii="Times New Roman" w:hAnsi="Times New Roman"/>
                <w:sz w:val="24"/>
                <w:szCs w:val="24"/>
                <w:lang w:val="sr-Cyrl-CS"/>
              </w:rPr>
            </w:pPr>
            <w:r>
              <w:rPr>
                <w:rFonts w:ascii="Times New Roman" w:hAnsi="Times New Roman"/>
                <w:sz w:val="24"/>
                <w:szCs w:val="24"/>
                <w:lang w:val="sr-Cyrl-CS"/>
              </w:rPr>
              <w:t>-</w:t>
            </w:r>
          </w:p>
        </w:tc>
        <w:tc>
          <w:tcPr>
            <w:tcW w:w="1157" w:type="dxa"/>
            <w:gridSpan w:val="2"/>
            <w:tcBorders>
              <w:left w:val="single" w:sz="4" w:space="0" w:color="auto"/>
              <w:bottom w:val="single" w:sz="4" w:space="0" w:color="auto"/>
            </w:tcBorders>
          </w:tcPr>
          <w:p w:rsidR="00C7735F" w:rsidRDefault="00C301F9" w:rsidP="00DB4188">
            <w:pPr>
              <w:jc w:val="both"/>
              <w:rPr>
                <w:rFonts w:ascii="Times New Roman" w:hAnsi="Times New Roman"/>
                <w:sz w:val="24"/>
                <w:szCs w:val="24"/>
                <w:lang w:val="sr-Cyrl-CS"/>
              </w:rPr>
            </w:pPr>
            <w:r>
              <w:rPr>
                <w:rFonts w:ascii="Times New Roman" w:hAnsi="Times New Roman"/>
                <w:sz w:val="24"/>
                <w:szCs w:val="24"/>
                <w:lang w:val="sr-Cyrl-CS"/>
              </w:rPr>
              <w:t>-</w:t>
            </w:r>
          </w:p>
        </w:tc>
        <w:tc>
          <w:tcPr>
            <w:tcW w:w="1045" w:type="dxa"/>
            <w:gridSpan w:val="4"/>
            <w:tcBorders>
              <w:bottom w:val="single" w:sz="4" w:space="0" w:color="auto"/>
              <w:right w:val="single" w:sz="4" w:space="0" w:color="auto"/>
            </w:tcBorders>
          </w:tcPr>
          <w:p w:rsidR="00C7735F" w:rsidRDefault="00F56841" w:rsidP="00DB4188">
            <w:pPr>
              <w:jc w:val="both"/>
              <w:rPr>
                <w:rFonts w:ascii="Times New Roman" w:hAnsi="Times New Roman"/>
                <w:sz w:val="24"/>
                <w:szCs w:val="24"/>
                <w:lang w:val="sr-Cyrl-CS"/>
              </w:rPr>
            </w:pPr>
            <w:r>
              <w:rPr>
                <w:rFonts w:ascii="Times New Roman" w:hAnsi="Times New Roman"/>
                <w:sz w:val="24"/>
                <w:szCs w:val="24"/>
                <w:lang w:val="sr-Cyrl-CS"/>
              </w:rPr>
              <w:t>-</w:t>
            </w:r>
          </w:p>
        </w:tc>
        <w:tc>
          <w:tcPr>
            <w:tcW w:w="1219" w:type="dxa"/>
            <w:tcBorders>
              <w:left w:val="single" w:sz="4" w:space="0" w:color="auto"/>
              <w:bottom w:val="single" w:sz="4" w:space="0" w:color="auto"/>
            </w:tcBorders>
          </w:tcPr>
          <w:p w:rsidR="00C7735F" w:rsidRDefault="00F56841" w:rsidP="00DB4188">
            <w:pPr>
              <w:jc w:val="both"/>
              <w:rPr>
                <w:rFonts w:ascii="Times New Roman" w:hAnsi="Times New Roman"/>
                <w:sz w:val="24"/>
                <w:szCs w:val="24"/>
                <w:lang w:val="sr-Cyrl-CS"/>
              </w:rPr>
            </w:pPr>
            <w:r>
              <w:rPr>
                <w:rFonts w:ascii="Times New Roman" w:hAnsi="Times New Roman"/>
                <w:sz w:val="24"/>
                <w:szCs w:val="24"/>
                <w:lang w:val="sr-Cyrl-CS"/>
              </w:rPr>
              <w:t>-</w:t>
            </w:r>
          </w:p>
        </w:tc>
      </w:tr>
      <w:tr w:rsidR="00AD1724" w:rsidTr="000E1089">
        <w:trPr>
          <w:trHeight w:val="503"/>
        </w:trPr>
        <w:tc>
          <w:tcPr>
            <w:tcW w:w="1635" w:type="dxa"/>
            <w:tcBorders>
              <w:top w:val="single" w:sz="4" w:space="0" w:color="auto"/>
              <w:bottom w:val="single" w:sz="4" w:space="0" w:color="auto"/>
            </w:tcBorders>
          </w:tcPr>
          <w:p w:rsidR="00C7735F" w:rsidRPr="00DB4188" w:rsidRDefault="00FB1C73" w:rsidP="00DB4188">
            <w:pPr>
              <w:jc w:val="both"/>
              <w:rPr>
                <w:rFonts w:ascii="Times New Roman" w:hAnsi="Times New Roman"/>
                <w:sz w:val="20"/>
                <w:szCs w:val="20"/>
                <w:lang w:val="sr-Cyrl-CS"/>
              </w:rPr>
            </w:pPr>
            <w:r>
              <w:rPr>
                <w:rFonts w:ascii="Times New Roman" w:hAnsi="Times New Roman"/>
                <w:sz w:val="20"/>
                <w:szCs w:val="20"/>
                <w:lang w:val="sr-Cyrl-CS"/>
              </w:rPr>
              <w:lastRenderedPageBreak/>
              <w:t>2012.</w:t>
            </w:r>
          </w:p>
        </w:tc>
        <w:tc>
          <w:tcPr>
            <w:tcW w:w="1397" w:type="dxa"/>
            <w:gridSpan w:val="3"/>
            <w:tcBorders>
              <w:top w:val="single" w:sz="4" w:space="0" w:color="auto"/>
              <w:bottom w:val="single" w:sz="4" w:space="0" w:color="auto"/>
              <w:right w:val="single" w:sz="4" w:space="0" w:color="auto"/>
            </w:tcBorders>
          </w:tcPr>
          <w:p w:rsidR="00C7735F" w:rsidRDefault="00C301F9" w:rsidP="00DB4188">
            <w:pPr>
              <w:jc w:val="both"/>
              <w:rPr>
                <w:rFonts w:ascii="Times New Roman" w:hAnsi="Times New Roman"/>
                <w:sz w:val="24"/>
                <w:szCs w:val="24"/>
                <w:lang w:val="sr-Cyrl-CS"/>
              </w:rPr>
            </w:pPr>
            <w:r>
              <w:rPr>
                <w:rFonts w:ascii="Times New Roman" w:hAnsi="Times New Roman"/>
                <w:sz w:val="24"/>
                <w:szCs w:val="24"/>
                <w:lang w:val="sr-Cyrl-CS"/>
              </w:rPr>
              <w:t>8</w:t>
            </w:r>
          </w:p>
        </w:tc>
        <w:tc>
          <w:tcPr>
            <w:tcW w:w="1489" w:type="dxa"/>
            <w:gridSpan w:val="2"/>
            <w:tcBorders>
              <w:top w:val="single" w:sz="4" w:space="0" w:color="auto"/>
              <w:left w:val="single" w:sz="4" w:space="0" w:color="auto"/>
              <w:bottom w:val="single" w:sz="4" w:space="0" w:color="auto"/>
            </w:tcBorders>
          </w:tcPr>
          <w:p w:rsidR="00C7735F" w:rsidRDefault="00C301F9" w:rsidP="00DB4188">
            <w:pPr>
              <w:jc w:val="both"/>
              <w:rPr>
                <w:rFonts w:ascii="Times New Roman" w:hAnsi="Times New Roman"/>
                <w:sz w:val="24"/>
                <w:szCs w:val="24"/>
                <w:lang w:val="sr-Cyrl-CS"/>
              </w:rPr>
            </w:pPr>
            <w:r>
              <w:rPr>
                <w:rFonts w:ascii="Times New Roman" w:hAnsi="Times New Roman"/>
                <w:sz w:val="24"/>
                <w:szCs w:val="24"/>
                <w:lang w:val="sr-Cyrl-CS"/>
              </w:rPr>
              <w:t>3</w:t>
            </w:r>
          </w:p>
        </w:tc>
        <w:tc>
          <w:tcPr>
            <w:tcW w:w="1103" w:type="dxa"/>
            <w:gridSpan w:val="3"/>
            <w:tcBorders>
              <w:top w:val="single" w:sz="4" w:space="0" w:color="auto"/>
              <w:bottom w:val="single" w:sz="4" w:space="0" w:color="auto"/>
              <w:right w:val="single" w:sz="4" w:space="0" w:color="auto"/>
            </w:tcBorders>
          </w:tcPr>
          <w:p w:rsidR="00C7735F" w:rsidRDefault="00C301F9" w:rsidP="00DB4188">
            <w:pPr>
              <w:jc w:val="both"/>
              <w:rPr>
                <w:rFonts w:ascii="Times New Roman" w:hAnsi="Times New Roman"/>
                <w:sz w:val="24"/>
                <w:szCs w:val="24"/>
                <w:lang w:val="sr-Cyrl-CS"/>
              </w:rPr>
            </w:pPr>
            <w:r>
              <w:rPr>
                <w:rFonts w:ascii="Times New Roman" w:hAnsi="Times New Roman"/>
                <w:sz w:val="24"/>
                <w:szCs w:val="24"/>
                <w:lang w:val="sr-Cyrl-CS"/>
              </w:rPr>
              <w:t>2</w:t>
            </w:r>
          </w:p>
        </w:tc>
        <w:tc>
          <w:tcPr>
            <w:tcW w:w="1157" w:type="dxa"/>
            <w:gridSpan w:val="2"/>
            <w:tcBorders>
              <w:top w:val="single" w:sz="4" w:space="0" w:color="auto"/>
              <w:left w:val="single" w:sz="4" w:space="0" w:color="auto"/>
              <w:bottom w:val="single" w:sz="4" w:space="0" w:color="auto"/>
            </w:tcBorders>
          </w:tcPr>
          <w:p w:rsidR="00C7735F" w:rsidRDefault="00F56841" w:rsidP="00DB4188">
            <w:pPr>
              <w:jc w:val="both"/>
              <w:rPr>
                <w:rFonts w:ascii="Times New Roman" w:hAnsi="Times New Roman"/>
                <w:sz w:val="24"/>
                <w:szCs w:val="24"/>
                <w:lang w:val="sr-Cyrl-CS"/>
              </w:rPr>
            </w:pPr>
            <w:r>
              <w:rPr>
                <w:rFonts w:ascii="Times New Roman" w:hAnsi="Times New Roman"/>
                <w:sz w:val="24"/>
                <w:szCs w:val="24"/>
                <w:lang w:val="sr-Cyrl-CS"/>
              </w:rPr>
              <w:t>1</w:t>
            </w:r>
          </w:p>
        </w:tc>
        <w:tc>
          <w:tcPr>
            <w:tcW w:w="1045" w:type="dxa"/>
            <w:gridSpan w:val="4"/>
            <w:tcBorders>
              <w:top w:val="single" w:sz="4" w:space="0" w:color="auto"/>
              <w:bottom w:val="single" w:sz="4" w:space="0" w:color="auto"/>
              <w:right w:val="single" w:sz="4" w:space="0" w:color="auto"/>
            </w:tcBorders>
          </w:tcPr>
          <w:p w:rsidR="00C7735F" w:rsidRDefault="00F56841" w:rsidP="00DB4188">
            <w:pPr>
              <w:jc w:val="both"/>
              <w:rPr>
                <w:rFonts w:ascii="Times New Roman" w:hAnsi="Times New Roman"/>
                <w:sz w:val="24"/>
                <w:szCs w:val="24"/>
                <w:lang w:val="sr-Cyrl-CS"/>
              </w:rPr>
            </w:pPr>
            <w:r>
              <w:rPr>
                <w:rFonts w:ascii="Times New Roman" w:hAnsi="Times New Roman"/>
                <w:sz w:val="24"/>
                <w:szCs w:val="24"/>
                <w:lang w:val="sr-Cyrl-CS"/>
              </w:rPr>
              <w:t>1</w:t>
            </w:r>
          </w:p>
        </w:tc>
        <w:tc>
          <w:tcPr>
            <w:tcW w:w="1219" w:type="dxa"/>
            <w:tcBorders>
              <w:top w:val="single" w:sz="4" w:space="0" w:color="auto"/>
              <w:left w:val="single" w:sz="4" w:space="0" w:color="auto"/>
              <w:bottom w:val="single" w:sz="4" w:space="0" w:color="auto"/>
            </w:tcBorders>
          </w:tcPr>
          <w:p w:rsidR="00C7735F" w:rsidRDefault="00F56841" w:rsidP="00DB4188">
            <w:pPr>
              <w:jc w:val="both"/>
              <w:rPr>
                <w:rFonts w:ascii="Times New Roman" w:hAnsi="Times New Roman"/>
                <w:sz w:val="24"/>
                <w:szCs w:val="24"/>
                <w:lang w:val="sr-Cyrl-CS"/>
              </w:rPr>
            </w:pPr>
            <w:r>
              <w:rPr>
                <w:rFonts w:ascii="Times New Roman" w:hAnsi="Times New Roman"/>
                <w:sz w:val="24"/>
                <w:szCs w:val="24"/>
                <w:lang w:val="sr-Cyrl-CS"/>
              </w:rPr>
              <w:t>-</w:t>
            </w:r>
          </w:p>
        </w:tc>
      </w:tr>
      <w:tr w:rsidR="00AD1724" w:rsidTr="000E1089">
        <w:trPr>
          <w:trHeight w:val="1344"/>
        </w:trPr>
        <w:tc>
          <w:tcPr>
            <w:tcW w:w="1635" w:type="dxa"/>
            <w:tcBorders>
              <w:top w:val="single" w:sz="4" w:space="0" w:color="auto"/>
              <w:bottom w:val="single" w:sz="4" w:space="0" w:color="auto"/>
            </w:tcBorders>
          </w:tcPr>
          <w:p w:rsidR="00C7735F" w:rsidRPr="0015683D" w:rsidRDefault="00E228C1" w:rsidP="00DB4188">
            <w:pPr>
              <w:jc w:val="both"/>
              <w:rPr>
                <w:rFonts w:ascii="Times New Roman" w:hAnsi="Times New Roman"/>
                <w:b/>
                <w:sz w:val="20"/>
                <w:szCs w:val="20"/>
                <w:lang w:val="sr-Cyrl-CS"/>
              </w:rPr>
            </w:pPr>
            <w:r w:rsidRPr="0015683D">
              <w:rPr>
                <w:rFonts w:ascii="Times New Roman" w:hAnsi="Times New Roman"/>
                <w:b/>
                <w:sz w:val="20"/>
                <w:szCs w:val="20"/>
                <w:lang w:val="sr-Cyrl-CS"/>
              </w:rPr>
              <w:t>Злоупотреба службеног положаја</w:t>
            </w:r>
          </w:p>
          <w:p w:rsidR="00C7735F" w:rsidRDefault="00E228C1" w:rsidP="00DB4188">
            <w:pPr>
              <w:jc w:val="both"/>
              <w:rPr>
                <w:rFonts w:ascii="Times New Roman" w:hAnsi="Times New Roman"/>
                <w:sz w:val="20"/>
                <w:szCs w:val="20"/>
                <w:lang w:val="sr-Cyrl-CS"/>
              </w:rPr>
            </w:pPr>
            <w:r>
              <w:rPr>
                <w:rFonts w:ascii="Times New Roman" w:hAnsi="Times New Roman"/>
                <w:sz w:val="20"/>
                <w:szCs w:val="20"/>
                <w:lang w:val="sr-Cyrl-CS"/>
              </w:rPr>
              <w:t>2007.</w:t>
            </w:r>
          </w:p>
        </w:tc>
        <w:tc>
          <w:tcPr>
            <w:tcW w:w="1397" w:type="dxa"/>
            <w:gridSpan w:val="3"/>
            <w:tcBorders>
              <w:top w:val="single" w:sz="4" w:space="0" w:color="auto"/>
              <w:bottom w:val="single" w:sz="4" w:space="0" w:color="auto"/>
              <w:right w:val="single" w:sz="4" w:space="0" w:color="auto"/>
            </w:tcBorders>
          </w:tcPr>
          <w:p w:rsidR="00522F35" w:rsidRDefault="00522F35" w:rsidP="00DB4188">
            <w:pPr>
              <w:jc w:val="both"/>
              <w:rPr>
                <w:rFonts w:ascii="Times New Roman" w:hAnsi="Times New Roman"/>
                <w:sz w:val="24"/>
                <w:szCs w:val="24"/>
                <w:lang w:val="sr-Cyrl-CS"/>
              </w:rPr>
            </w:pPr>
          </w:p>
          <w:p w:rsidR="00C7735F" w:rsidRDefault="00F56841" w:rsidP="00DB4188">
            <w:pPr>
              <w:jc w:val="both"/>
              <w:rPr>
                <w:rFonts w:ascii="Times New Roman" w:hAnsi="Times New Roman"/>
                <w:sz w:val="24"/>
                <w:szCs w:val="24"/>
                <w:lang w:val="sr-Cyrl-CS"/>
              </w:rPr>
            </w:pPr>
            <w:r>
              <w:rPr>
                <w:rFonts w:ascii="Times New Roman" w:hAnsi="Times New Roman"/>
                <w:sz w:val="24"/>
                <w:szCs w:val="24"/>
                <w:lang w:val="sr-Cyrl-CS"/>
              </w:rPr>
              <w:t>2575</w:t>
            </w:r>
          </w:p>
        </w:tc>
        <w:tc>
          <w:tcPr>
            <w:tcW w:w="1489" w:type="dxa"/>
            <w:gridSpan w:val="2"/>
            <w:tcBorders>
              <w:top w:val="single" w:sz="4" w:space="0" w:color="auto"/>
              <w:left w:val="single" w:sz="4" w:space="0" w:color="auto"/>
              <w:bottom w:val="single" w:sz="4" w:space="0" w:color="auto"/>
            </w:tcBorders>
          </w:tcPr>
          <w:p w:rsidR="00522F35" w:rsidRDefault="00522F35" w:rsidP="00DB4188">
            <w:pPr>
              <w:jc w:val="both"/>
              <w:rPr>
                <w:rFonts w:ascii="Times New Roman" w:hAnsi="Times New Roman"/>
                <w:sz w:val="24"/>
                <w:szCs w:val="24"/>
                <w:lang w:val="sr-Cyrl-CS"/>
              </w:rPr>
            </w:pPr>
          </w:p>
          <w:p w:rsidR="00C7735F" w:rsidRDefault="00F56841" w:rsidP="00DB4188">
            <w:pPr>
              <w:jc w:val="both"/>
              <w:rPr>
                <w:rFonts w:ascii="Times New Roman" w:hAnsi="Times New Roman"/>
                <w:sz w:val="24"/>
                <w:szCs w:val="24"/>
                <w:lang w:val="sr-Cyrl-CS"/>
              </w:rPr>
            </w:pPr>
            <w:r>
              <w:rPr>
                <w:rFonts w:ascii="Times New Roman" w:hAnsi="Times New Roman"/>
                <w:sz w:val="24"/>
                <w:szCs w:val="24"/>
                <w:lang w:val="sr-Cyrl-CS"/>
              </w:rPr>
              <w:t>667</w:t>
            </w:r>
          </w:p>
        </w:tc>
        <w:tc>
          <w:tcPr>
            <w:tcW w:w="1103" w:type="dxa"/>
            <w:gridSpan w:val="3"/>
            <w:tcBorders>
              <w:top w:val="single" w:sz="4" w:space="0" w:color="auto"/>
              <w:bottom w:val="single" w:sz="4" w:space="0" w:color="auto"/>
              <w:right w:val="single" w:sz="4" w:space="0" w:color="auto"/>
            </w:tcBorders>
          </w:tcPr>
          <w:p w:rsidR="00522F35" w:rsidRDefault="00522F35" w:rsidP="00DB4188">
            <w:pPr>
              <w:jc w:val="both"/>
              <w:rPr>
                <w:rFonts w:ascii="Times New Roman" w:hAnsi="Times New Roman"/>
                <w:sz w:val="24"/>
                <w:szCs w:val="24"/>
                <w:lang w:val="sr-Cyrl-CS"/>
              </w:rPr>
            </w:pPr>
          </w:p>
          <w:p w:rsidR="00C7735F" w:rsidRDefault="00F56841" w:rsidP="00DB4188">
            <w:pPr>
              <w:jc w:val="both"/>
              <w:rPr>
                <w:rFonts w:ascii="Times New Roman" w:hAnsi="Times New Roman"/>
                <w:sz w:val="24"/>
                <w:szCs w:val="24"/>
                <w:lang w:val="sr-Cyrl-CS"/>
              </w:rPr>
            </w:pPr>
            <w:r>
              <w:rPr>
                <w:rFonts w:ascii="Times New Roman" w:hAnsi="Times New Roman"/>
                <w:sz w:val="24"/>
                <w:szCs w:val="24"/>
                <w:lang w:val="sr-Cyrl-CS"/>
              </w:rPr>
              <w:t>524</w:t>
            </w:r>
          </w:p>
        </w:tc>
        <w:tc>
          <w:tcPr>
            <w:tcW w:w="1157" w:type="dxa"/>
            <w:gridSpan w:val="2"/>
            <w:tcBorders>
              <w:top w:val="single" w:sz="4" w:space="0" w:color="auto"/>
              <w:left w:val="single" w:sz="4" w:space="0" w:color="auto"/>
              <w:bottom w:val="single" w:sz="4" w:space="0" w:color="auto"/>
            </w:tcBorders>
          </w:tcPr>
          <w:p w:rsidR="00522F35" w:rsidRDefault="00522F35" w:rsidP="00DB4188">
            <w:pPr>
              <w:jc w:val="both"/>
              <w:rPr>
                <w:rFonts w:ascii="Times New Roman" w:hAnsi="Times New Roman"/>
                <w:sz w:val="24"/>
                <w:szCs w:val="24"/>
                <w:lang w:val="sr-Cyrl-CS"/>
              </w:rPr>
            </w:pPr>
          </w:p>
          <w:p w:rsidR="00C7735F" w:rsidRDefault="00F56841" w:rsidP="00DB4188">
            <w:pPr>
              <w:jc w:val="both"/>
              <w:rPr>
                <w:rFonts w:ascii="Times New Roman" w:hAnsi="Times New Roman"/>
                <w:sz w:val="24"/>
                <w:szCs w:val="24"/>
                <w:lang w:val="sr-Cyrl-CS"/>
              </w:rPr>
            </w:pPr>
            <w:r>
              <w:rPr>
                <w:rFonts w:ascii="Times New Roman" w:hAnsi="Times New Roman"/>
                <w:sz w:val="24"/>
                <w:szCs w:val="24"/>
                <w:lang w:val="sr-Cyrl-CS"/>
              </w:rPr>
              <w:t>98</w:t>
            </w:r>
          </w:p>
        </w:tc>
        <w:tc>
          <w:tcPr>
            <w:tcW w:w="1045" w:type="dxa"/>
            <w:gridSpan w:val="4"/>
            <w:tcBorders>
              <w:top w:val="single" w:sz="4" w:space="0" w:color="auto"/>
              <w:bottom w:val="single" w:sz="4" w:space="0" w:color="auto"/>
              <w:right w:val="single" w:sz="4" w:space="0" w:color="auto"/>
            </w:tcBorders>
          </w:tcPr>
          <w:p w:rsidR="00522F35" w:rsidRDefault="00522F35" w:rsidP="00DB4188">
            <w:pPr>
              <w:jc w:val="both"/>
              <w:rPr>
                <w:rFonts w:ascii="Times New Roman" w:hAnsi="Times New Roman"/>
                <w:sz w:val="24"/>
                <w:szCs w:val="24"/>
                <w:lang w:val="sr-Cyrl-CS"/>
              </w:rPr>
            </w:pPr>
          </w:p>
          <w:p w:rsidR="00C7735F" w:rsidRDefault="00F56841" w:rsidP="00DB4188">
            <w:pPr>
              <w:jc w:val="both"/>
              <w:rPr>
                <w:rFonts w:ascii="Times New Roman" w:hAnsi="Times New Roman"/>
                <w:sz w:val="24"/>
                <w:szCs w:val="24"/>
                <w:lang w:val="sr-Cyrl-CS"/>
              </w:rPr>
            </w:pPr>
            <w:r>
              <w:rPr>
                <w:rFonts w:ascii="Times New Roman" w:hAnsi="Times New Roman"/>
                <w:sz w:val="24"/>
                <w:szCs w:val="24"/>
                <w:lang w:val="sr-Cyrl-CS"/>
              </w:rPr>
              <w:t>440</w:t>
            </w:r>
          </w:p>
        </w:tc>
        <w:tc>
          <w:tcPr>
            <w:tcW w:w="1219" w:type="dxa"/>
            <w:tcBorders>
              <w:top w:val="single" w:sz="4" w:space="0" w:color="auto"/>
              <w:left w:val="single" w:sz="4" w:space="0" w:color="auto"/>
              <w:bottom w:val="single" w:sz="4" w:space="0" w:color="auto"/>
            </w:tcBorders>
          </w:tcPr>
          <w:p w:rsidR="00522F35" w:rsidRDefault="00522F35" w:rsidP="00DB4188">
            <w:pPr>
              <w:jc w:val="both"/>
              <w:rPr>
                <w:rFonts w:ascii="Times New Roman" w:hAnsi="Times New Roman"/>
                <w:sz w:val="24"/>
                <w:szCs w:val="24"/>
                <w:lang w:val="sr-Cyrl-CS"/>
              </w:rPr>
            </w:pPr>
          </w:p>
          <w:p w:rsidR="00C7735F" w:rsidRDefault="00F56841" w:rsidP="00DB4188">
            <w:pPr>
              <w:jc w:val="both"/>
              <w:rPr>
                <w:rFonts w:ascii="Times New Roman" w:hAnsi="Times New Roman"/>
                <w:sz w:val="24"/>
                <w:szCs w:val="24"/>
                <w:lang w:val="sr-Cyrl-CS"/>
              </w:rPr>
            </w:pPr>
            <w:r>
              <w:rPr>
                <w:rFonts w:ascii="Times New Roman" w:hAnsi="Times New Roman"/>
                <w:sz w:val="24"/>
                <w:szCs w:val="24"/>
                <w:lang w:val="sr-Cyrl-CS"/>
              </w:rPr>
              <w:t>-</w:t>
            </w:r>
          </w:p>
        </w:tc>
      </w:tr>
      <w:tr w:rsidR="00AD1724" w:rsidTr="000E1089">
        <w:trPr>
          <w:trHeight w:val="624"/>
        </w:trPr>
        <w:tc>
          <w:tcPr>
            <w:tcW w:w="1635" w:type="dxa"/>
            <w:tcBorders>
              <w:top w:val="single" w:sz="4" w:space="0" w:color="auto"/>
              <w:bottom w:val="single" w:sz="4" w:space="0" w:color="auto"/>
            </w:tcBorders>
          </w:tcPr>
          <w:p w:rsidR="00C7735F" w:rsidRDefault="00E228C1" w:rsidP="00DB4188">
            <w:pPr>
              <w:jc w:val="both"/>
              <w:rPr>
                <w:rFonts w:ascii="Times New Roman" w:hAnsi="Times New Roman"/>
                <w:sz w:val="20"/>
                <w:szCs w:val="20"/>
                <w:lang w:val="sr-Cyrl-CS"/>
              </w:rPr>
            </w:pPr>
            <w:r>
              <w:rPr>
                <w:rFonts w:ascii="Times New Roman" w:hAnsi="Times New Roman"/>
                <w:sz w:val="20"/>
                <w:szCs w:val="20"/>
                <w:lang w:val="sr-Cyrl-CS"/>
              </w:rPr>
              <w:t>2008.</w:t>
            </w:r>
          </w:p>
        </w:tc>
        <w:tc>
          <w:tcPr>
            <w:tcW w:w="1397" w:type="dxa"/>
            <w:gridSpan w:val="3"/>
            <w:tcBorders>
              <w:top w:val="single" w:sz="4" w:space="0" w:color="auto"/>
              <w:bottom w:val="single" w:sz="4" w:space="0" w:color="auto"/>
              <w:right w:val="single" w:sz="4" w:space="0" w:color="auto"/>
            </w:tcBorders>
          </w:tcPr>
          <w:p w:rsidR="00C7735F" w:rsidRDefault="00F56841" w:rsidP="00DB4188">
            <w:pPr>
              <w:jc w:val="both"/>
              <w:rPr>
                <w:rFonts w:ascii="Times New Roman" w:hAnsi="Times New Roman"/>
                <w:sz w:val="24"/>
                <w:szCs w:val="24"/>
                <w:lang w:val="sr-Cyrl-CS"/>
              </w:rPr>
            </w:pPr>
            <w:r>
              <w:rPr>
                <w:rFonts w:ascii="Times New Roman" w:hAnsi="Times New Roman"/>
                <w:sz w:val="24"/>
                <w:szCs w:val="24"/>
                <w:lang w:val="sr-Cyrl-CS"/>
              </w:rPr>
              <w:t>2661</w:t>
            </w:r>
          </w:p>
        </w:tc>
        <w:tc>
          <w:tcPr>
            <w:tcW w:w="1489" w:type="dxa"/>
            <w:gridSpan w:val="2"/>
            <w:tcBorders>
              <w:top w:val="single" w:sz="4" w:space="0" w:color="auto"/>
              <w:left w:val="single" w:sz="4" w:space="0" w:color="auto"/>
              <w:bottom w:val="single" w:sz="4" w:space="0" w:color="auto"/>
            </w:tcBorders>
          </w:tcPr>
          <w:p w:rsidR="00C7735F" w:rsidRDefault="00F56841" w:rsidP="00DB4188">
            <w:pPr>
              <w:jc w:val="both"/>
              <w:rPr>
                <w:rFonts w:ascii="Times New Roman" w:hAnsi="Times New Roman"/>
                <w:sz w:val="24"/>
                <w:szCs w:val="24"/>
                <w:lang w:val="sr-Cyrl-CS"/>
              </w:rPr>
            </w:pPr>
            <w:r>
              <w:rPr>
                <w:rFonts w:ascii="Times New Roman" w:hAnsi="Times New Roman"/>
                <w:sz w:val="24"/>
                <w:szCs w:val="24"/>
                <w:lang w:val="sr-Cyrl-CS"/>
              </w:rPr>
              <w:t>966</w:t>
            </w:r>
          </w:p>
        </w:tc>
        <w:tc>
          <w:tcPr>
            <w:tcW w:w="1103" w:type="dxa"/>
            <w:gridSpan w:val="3"/>
            <w:tcBorders>
              <w:top w:val="single" w:sz="4" w:space="0" w:color="auto"/>
              <w:bottom w:val="single" w:sz="4" w:space="0" w:color="auto"/>
              <w:right w:val="single" w:sz="4" w:space="0" w:color="auto"/>
            </w:tcBorders>
          </w:tcPr>
          <w:p w:rsidR="00C7735F" w:rsidRDefault="00F56841" w:rsidP="00DB4188">
            <w:pPr>
              <w:jc w:val="both"/>
              <w:rPr>
                <w:rFonts w:ascii="Times New Roman" w:hAnsi="Times New Roman"/>
                <w:sz w:val="24"/>
                <w:szCs w:val="24"/>
                <w:lang w:val="sr-Cyrl-CS"/>
              </w:rPr>
            </w:pPr>
            <w:r>
              <w:rPr>
                <w:rFonts w:ascii="Times New Roman" w:hAnsi="Times New Roman"/>
                <w:sz w:val="24"/>
                <w:szCs w:val="24"/>
                <w:lang w:val="sr-Cyrl-CS"/>
              </w:rPr>
              <w:t>514</w:t>
            </w:r>
          </w:p>
        </w:tc>
        <w:tc>
          <w:tcPr>
            <w:tcW w:w="1157" w:type="dxa"/>
            <w:gridSpan w:val="2"/>
            <w:tcBorders>
              <w:top w:val="single" w:sz="4" w:space="0" w:color="auto"/>
              <w:left w:val="single" w:sz="4" w:space="0" w:color="auto"/>
              <w:bottom w:val="single" w:sz="4" w:space="0" w:color="auto"/>
            </w:tcBorders>
          </w:tcPr>
          <w:p w:rsidR="00C7735F" w:rsidRDefault="00F56841" w:rsidP="00DB4188">
            <w:pPr>
              <w:jc w:val="both"/>
              <w:rPr>
                <w:rFonts w:ascii="Times New Roman" w:hAnsi="Times New Roman"/>
                <w:sz w:val="24"/>
                <w:szCs w:val="24"/>
                <w:lang w:val="sr-Cyrl-CS"/>
              </w:rPr>
            </w:pPr>
            <w:r>
              <w:rPr>
                <w:rFonts w:ascii="Times New Roman" w:hAnsi="Times New Roman"/>
                <w:sz w:val="24"/>
                <w:szCs w:val="24"/>
                <w:lang w:val="sr-Cyrl-CS"/>
              </w:rPr>
              <w:t>116</w:t>
            </w:r>
          </w:p>
        </w:tc>
        <w:tc>
          <w:tcPr>
            <w:tcW w:w="1045" w:type="dxa"/>
            <w:gridSpan w:val="4"/>
            <w:tcBorders>
              <w:top w:val="single" w:sz="4" w:space="0" w:color="auto"/>
              <w:bottom w:val="single" w:sz="4" w:space="0" w:color="auto"/>
              <w:right w:val="single" w:sz="4" w:space="0" w:color="auto"/>
            </w:tcBorders>
          </w:tcPr>
          <w:p w:rsidR="00C7735F" w:rsidRDefault="00F56841" w:rsidP="00DB4188">
            <w:pPr>
              <w:jc w:val="both"/>
              <w:rPr>
                <w:rFonts w:ascii="Times New Roman" w:hAnsi="Times New Roman"/>
                <w:sz w:val="24"/>
                <w:szCs w:val="24"/>
                <w:lang w:val="sr-Cyrl-CS"/>
              </w:rPr>
            </w:pPr>
            <w:r>
              <w:rPr>
                <w:rFonts w:ascii="Times New Roman" w:hAnsi="Times New Roman"/>
                <w:sz w:val="24"/>
                <w:szCs w:val="24"/>
                <w:lang w:val="sr-Cyrl-CS"/>
              </w:rPr>
              <w:t>396</w:t>
            </w:r>
          </w:p>
        </w:tc>
        <w:tc>
          <w:tcPr>
            <w:tcW w:w="1219" w:type="dxa"/>
            <w:tcBorders>
              <w:top w:val="single" w:sz="4" w:space="0" w:color="auto"/>
              <w:left w:val="single" w:sz="4" w:space="0" w:color="auto"/>
              <w:bottom w:val="single" w:sz="4" w:space="0" w:color="auto"/>
            </w:tcBorders>
          </w:tcPr>
          <w:p w:rsidR="00C7735F" w:rsidRDefault="00F56841" w:rsidP="00DB4188">
            <w:pPr>
              <w:jc w:val="both"/>
              <w:rPr>
                <w:rFonts w:ascii="Times New Roman" w:hAnsi="Times New Roman"/>
                <w:sz w:val="24"/>
                <w:szCs w:val="24"/>
                <w:lang w:val="sr-Cyrl-CS"/>
              </w:rPr>
            </w:pPr>
            <w:r>
              <w:rPr>
                <w:rFonts w:ascii="Times New Roman" w:hAnsi="Times New Roman"/>
                <w:sz w:val="24"/>
                <w:szCs w:val="24"/>
                <w:lang w:val="sr-Cyrl-CS"/>
              </w:rPr>
              <w:t>-</w:t>
            </w:r>
          </w:p>
        </w:tc>
      </w:tr>
      <w:tr w:rsidR="00AD1724" w:rsidTr="000E1089">
        <w:trPr>
          <w:trHeight w:val="606"/>
        </w:trPr>
        <w:tc>
          <w:tcPr>
            <w:tcW w:w="1635" w:type="dxa"/>
            <w:tcBorders>
              <w:top w:val="single" w:sz="4" w:space="0" w:color="auto"/>
              <w:bottom w:val="single" w:sz="4" w:space="0" w:color="auto"/>
            </w:tcBorders>
          </w:tcPr>
          <w:p w:rsidR="00C7735F" w:rsidRDefault="00E228C1" w:rsidP="00DB4188">
            <w:pPr>
              <w:jc w:val="both"/>
              <w:rPr>
                <w:rFonts w:ascii="Times New Roman" w:hAnsi="Times New Roman"/>
                <w:sz w:val="20"/>
                <w:szCs w:val="20"/>
                <w:lang w:val="sr-Cyrl-CS"/>
              </w:rPr>
            </w:pPr>
            <w:r>
              <w:rPr>
                <w:rFonts w:ascii="Times New Roman" w:hAnsi="Times New Roman"/>
                <w:sz w:val="20"/>
                <w:szCs w:val="20"/>
                <w:lang w:val="sr-Cyrl-CS"/>
              </w:rPr>
              <w:t>2009.</w:t>
            </w:r>
          </w:p>
        </w:tc>
        <w:tc>
          <w:tcPr>
            <w:tcW w:w="1397" w:type="dxa"/>
            <w:gridSpan w:val="3"/>
            <w:tcBorders>
              <w:top w:val="single" w:sz="4" w:space="0" w:color="auto"/>
              <w:right w:val="single" w:sz="4" w:space="0" w:color="auto"/>
            </w:tcBorders>
          </w:tcPr>
          <w:p w:rsidR="00C7735F" w:rsidRDefault="00F56841" w:rsidP="00DB4188">
            <w:pPr>
              <w:jc w:val="both"/>
              <w:rPr>
                <w:rFonts w:ascii="Times New Roman" w:hAnsi="Times New Roman"/>
                <w:sz w:val="24"/>
                <w:szCs w:val="24"/>
                <w:lang w:val="sr-Cyrl-CS"/>
              </w:rPr>
            </w:pPr>
            <w:r>
              <w:rPr>
                <w:rFonts w:ascii="Times New Roman" w:hAnsi="Times New Roman"/>
                <w:sz w:val="24"/>
                <w:szCs w:val="24"/>
                <w:lang w:val="sr-Cyrl-CS"/>
              </w:rPr>
              <w:t>2523</w:t>
            </w:r>
          </w:p>
        </w:tc>
        <w:tc>
          <w:tcPr>
            <w:tcW w:w="1489" w:type="dxa"/>
            <w:gridSpan w:val="2"/>
            <w:tcBorders>
              <w:top w:val="single" w:sz="4" w:space="0" w:color="auto"/>
              <w:left w:val="single" w:sz="4" w:space="0" w:color="auto"/>
              <w:bottom w:val="single" w:sz="4" w:space="0" w:color="auto"/>
            </w:tcBorders>
          </w:tcPr>
          <w:p w:rsidR="00C7735F" w:rsidRDefault="00F56841" w:rsidP="00DB4188">
            <w:pPr>
              <w:jc w:val="both"/>
              <w:rPr>
                <w:rFonts w:ascii="Times New Roman" w:hAnsi="Times New Roman"/>
                <w:sz w:val="24"/>
                <w:szCs w:val="24"/>
                <w:lang w:val="sr-Cyrl-CS"/>
              </w:rPr>
            </w:pPr>
            <w:r>
              <w:rPr>
                <w:rFonts w:ascii="Times New Roman" w:hAnsi="Times New Roman"/>
                <w:sz w:val="24"/>
                <w:szCs w:val="24"/>
                <w:lang w:val="sr-Cyrl-CS"/>
              </w:rPr>
              <w:t>929</w:t>
            </w:r>
          </w:p>
        </w:tc>
        <w:tc>
          <w:tcPr>
            <w:tcW w:w="1103" w:type="dxa"/>
            <w:gridSpan w:val="3"/>
            <w:tcBorders>
              <w:top w:val="single" w:sz="4" w:space="0" w:color="auto"/>
              <w:bottom w:val="single" w:sz="4" w:space="0" w:color="auto"/>
              <w:right w:val="single" w:sz="4" w:space="0" w:color="auto"/>
            </w:tcBorders>
          </w:tcPr>
          <w:p w:rsidR="00C7735F" w:rsidRDefault="00F56841" w:rsidP="00DB4188">
            <w:pPr>
              <w:jc w:val="both"/>
              <w:rPr>
                <w:rFonts w:ascii="Times New Roman" w:hAnsi="Times New Roman"/>
                <w:sz w:val="24"/>
                <w:szCs w:val="24"/>
                <w:lang w:val="sr-Cyrl-CS"/>
              </w:rPr>
            </w:pPr>
            <w:r>
              <w:rPr>
                <w:rFonts w:ascii="Times New Roman" w:hAnsi="Times New Roman"/>
                <w:sz w:val="24"/>
                <w:szCs w:val="24"/>
                <w:lang w:val="sr-Cyrl-CS"/>
              </w:rPr>
              <w:t>523</w:t>
            </w:r>
          </w:p>
        </w:tc>
        <w:tc>
          <w:tcPr>
            <w:tcW w:w="1157" w:type="dxa"/>
            <w:gridSpan w:val="2"/>
            <w:tcBorders>
              <w:top w:val="single" w:sz="4" w:space="0" w:color="auto"/>
              <w:left w:val="single" w:sz="4" w:space="0" w:color="auto"/>
              <w:bottom w:val="single" w:sz="4" w:space="0" w:color="auto"/>
            </w:tcBorders>
          </w:tcPr>
          <w:p w:rsidR="00C7735F" w:rsidRDefault="00F56841" w:rsidP="00DB4188">
            <w:pPr>
              <w:jc w:val="both"/>
              <w:rPr>
                <w:rFonts w:ascii="Times New Roman" w:hAnsi="Times New Roman"/>
                <w:sz w:val="24"/>
                <w:szCs w:val="24"/>
                <w:lang w:val="sr-Cyrl-CS"/>
              </w:rPr>
            </w:pPr>
            <w:r>
              <w:rPr>
                <w:rFonts w:ascii="Times New Roman" w:hAnsi="Times New Roman"/>
                <w:sz w:val="24"/>
                <w:szCs w:val="24"/>
                <w:lang w:val="sr-Cyrl-CS"/>
              </w:rPr>
              <w:t>98</w:t>
            </w:r>
          </w:p>
        </w:tc>
        <w:tc>
          <w:tcPr>
            <w:tcW w:w="1045" w:type="dxa"/>
            <w:gridSpan w:val="4"/>
            <w:tcBorders>
              <w:top w:val="single" w:sz="4" w:space="0" w:color="auto"/>
              <w:bottom w:val="single" w:sz="4" w:space="0" w:color="auto"/>
              <w:right w:val="single" w:sz="4" w:space="0" w:color="auto"/>
            </w:tcBorders>
          </w:tcPr>
          <w:p w:rsidR="00C7735F" w:rsidRDefault="00F56841" w:rsidP="00DB4188">
            <w:pPr>
              <w:jc w:val="both"/>
              <w:rPr>
                <w:rFonts w:ascii="Times New Roman" w:hAnsi="Times New Roman"/>
                <w:sz w:val="24"/>
                <w:szCs w:val="24"/>
                <w:lang w:val="sr-Cyrl-CS"/>
              </w:rPr>
            </w:pPr>
            <w:r>
              <w:rPr>
                <w:rFonts w:ascii="Times New Roman" w:hAnsi="Times New Roman"/>
                <w:sz w:val="24"/>
                <w:szCs w:val="24"/>
                <w:lang w:val="sr-Cyrl-CS"/>
              </w:rPr>
              <w:t>424</w:t>
            </w:r>
          </w:p>
        </w:tc>
        <w:tc>
          <w:tcPr>
            <w:tcW w:w="1219" w:type="dxa"/>
            <w:tcBorders>
              <w:top w:val="single" w:sz="4" w:space="0" w:color="auto"/>
              <w:left w:val="single" w:sz="4" w:space="0" w:color="auto"/>
              <w:bottom w:val="single" w:sz="4" w:space="0" w:color="auto"/>
            </w:tcBorders>
          </w:tcPr>
          <w:p w:rsidR="00C7735F" w:rsidRDefault="00F56841" w:rsidP="00DB4188">
            <w:pPr>
              <w:jc w:val="both"/>
              <w:rPr>
                <w:rFonts w:ascii="Times New Roman" w:hAnsi="Times New Roman"/>
                <w:sz w:val="24"/>
                <w:szCs w:val="24"/>
                <w:lang w:val="sr-Cyrl-CS"/>
              </w:rPr>
            </w:pPr>
            <w:r>
              <w:rPr>
                <w:rFonts w:ascii="Times New Roman" w:hAnsi="Times New Roman"/>
                <w:sz w:val="24"/>
                <w:szCs w:val="24"/>
                <w:lang w:val="sr-Cyrl-CS"/>
              </w:rPr>
              <w:t>-</w:t>
            </w:r>
          </w:p>
        </w:tc>
      </w:tr>
      <w:tr w:rsidR="00AD1724" w:rsidTr="000E1089">
        <w:trPr>
          <w:trHeight w:val="452"/>
        </w:trPr>
        <w:tc>
          <w:tcPr>
            <w:tcW w:w="1635" w:type="dxa"/>
            <w:tcBorders>
              <w:top w:val="single" w:sz="4" w:space="0" w:color="auto"/>
              <w:bottom w:val="single" w:sz="4" w:space="0" w:color="auto"/>
            </w:tcBorders>
          </w:tcPr>
          <w:p w:rsidR="00C7735F" w:rsidRDefault="00E228C1" w:rsidP="00DB4188">
            <w:pPr>
              <w:jc w:val="both"/>
              <w:rPr>
                <w:rFonts w:ascii="Times New Roman" w:hAnsi="Times New Roman"/>
                <w:sz w:val="20"/>
                <w:szCs w:val="20"/>
                <w:lang w:val="sr-Cyrl-CS"/>
              </w:rPr>
            </w:pPr>
            <w:r>
              <w:rPr>
                <w:rFonts w:ascii="Times New Roman" w:hAnsi="Times New Roman"/>
                <w:sz w:val="20"/>
                <w:szCs w:val="20"/>
                <w:lang w:val="sr-Cyrl-CS"/>
              </w:rPr>
              <w:t>2010.</w:t>
            </w:r>
          </w:p>
        </w:tc>
        <w:tc>
          <w:tcPr>
            <w:tcW w:w="1397" w:type="dxa"/>
            <w:gridSpan w:val="3"/>
            <w:tcBorders>
              <w:bottom w:val="single" w:sz="4" w:space="0" w:color="auto"/>
              <w:right w:val="single" w:sz="4" w:space="0" w:color="auto"/>
            </w:tcBorders>
          </w:tcPr>
          <w:p w:rsidR="00C7735F" w:rsidRDefault="00F56841" w:rsidP="00DB4188">
            <w:pPr>
              <w:jc w:val="both"/>
              <w:rPr>
                <w:rFonts w:ascii="Times New Roman" w:hAnsi="Times New Roman"/>
                <w:sz w:val="24"/>
                <w:szCs w:val="24"/>
                <w:lang w:val="sr-Cyrl-CS"/>
              </w:rPr>
            </w:pPr>
            <w:r>
              <w:rPr>
                <w:rFonts w:ascii="Times New Roman" w:hAnsi="Times New Roman"/>
                <w:sz w:val="24"/>
                <w:szCs w:val="24"/>
                <w:lang w:val="sr-Cyrl-CS"/>
              </w:rPr>
              <w:t>1868</w:t>
            </w:r>
          </w:p>
        </w:tc>
        <w:tc>
          <w:tcPr>
            <w:tcW w:w="1489" w:type="dxa"/>
            <w:gridSpan w:val="2"/>
            <w:tcBorders>
              <w:top w:val="single" w:sz="4" w:space="0" w:color="auto"/>
              <w:left w:val="single" w:sz="4" w:space="0" w:color="auto"/>
            </w:tcBorders>
          </w:tcPr>
          <w:p w:rsidR="00C7735F" w:rsidRDefault="00F56841" w:rsidP="00DB4188">
            <w:pPr>
              <w:jc w:val="both"/>
              <w:rPr>
                <w:rFonts w:ascii="Times New Roman" w:hAnsi="Times New Roman"/>
                <w:sz w:val="24"/>
                <w:szCs w:val="24"/>
                <w:lang w:val="sr-Cyrl-CS"/>
              </w:rPr>
            </w:pPr>
            <w:r>
              <w:rPr>
                <w:rFonts w:ascii="Times New Roman" w:hAnsi="Times New Roman"/>
                <w:sz w:val="24"/>
                <w:szCs w:val="24"/>
                <w:lang w:val="sr-Cyrl-CS"/>
              </w:rPr>
              <w:t>503</w:t>
            </w:r>
          </w:p>
        </w:tc>
        <w:tc>
          <w:tcPr>
            <w:tcW w:w="1103" w:type="dxa"/>
            <w:gridSpan w:val="3"/>
            <w:tcBorders>
              <w:top w:val="single" w:sz="4" w:space="0" w:color="auto"/>
              <w:right w:val="single" w:sz="4" w:space="0" w:color="auto"/>
            </w:tcBorders>
          </w:tcPr>
          <w:p w:rsidR="00C7735F" w:rsidRDefault="00F56841" w:rsidP="00DB4188">
            <w:pPr>
              <w:jc w:val="both"/>
              <w:rPr>
                <w:rFonts w:ascii="Times New Roman" w:hAnsi="Times New Roman"/>
                <w:sz w:val="24"/>
                <w:szCs w:val="24"/>
                <w:lang w:val="sr-Cyrl-CS"/>
              </w:rPr>
            </w:pPr>
            <w:r>
              <w:rPr>
                <w:rFonts w:ascii="Times New Roman" w:hAnsi="Times New Roman"/>
                <w:sz w:val="24"/>
                <w:szCs w:val="24"/>
                <w:lang w:val="sr-Cyrl-CS"/>
              </w:rPr>
              <w:t>263</w:t>
            </w:r>
          </w:p>
        </w:tc>
        <w:tc>
          <w:tcPr>
            <w:tcW w:w="1157" w:type="dxa"/>
            <w:gridSpan w:val="2"/>
            <w:tcBorders>
              <w:top w:val="single" w:sz="4" w:space="0" w:color="auto"/>
              <w:left w:val="single" w:sz="4" w:space="0" w:color="auto"/>
            </w:tcBorders>
          </w:tcPr>
          <w:p w:rsidR="00C7735F" w:rsidRDefault="00F56841" w:rsidP="00DB4188">
            <w:pPr>
              <w:jc w:val="both"/>
              <w:rPr>
                <w:rFonts w:ascii="Times New Roman" w:hAnsi="Times New Roman"/>
                <w:sz w:val="24"/>
                <w:szCs w:val="24"/>
                <w:lang w:val="sr-Cyrl-CS"/>
              </w:rPr>
            </w:pPr>
            <w:r>
              <w:rPr>
                <w:rFonts w:ascii="Times New Roman" w:hAnsi="Times New Roman"/>
                <w:sz w:val="24"/>
                <w:szCs w:val="24"/>
                <w:lang w:val="sr-Cyrl-CS"/>
              </w:rPr>
              <w:t>109</w:t>
            </w:r>
          </w:p>
        </w:tc>
        <w:tc>
          <w:tcPr>
            <w:tcW w:w="1045" w:type="dxa"/>
            <w:gridSpan w:val="4"/>
            <w:tcBorders>
              <w:top w:val="single" w:sz="4" w:space="0" w:color="auto"/>
              <w:right w:val="single" w:sz="4" w:space="0" w:color="auto"/>
            </w:tcBorders>
          </w:tcPr>
          <w:p w:rsidR="00C7735F" w:rsidRDefault="00F56841" w:rsidP="00DB4188">
            <w:pPr>
              <w:jc w:val="both"/>
              <w:rPr>
                <w:rFonts w:ascii="Times New Roman" w:hAnsi="Times New Roman"/>
                <w:sz w:val="24"/>
                <w:szCs w:val="24"/>
                <w:lang w:val="sr-Cyrl-CS"/>
              </w:rPr>
            </w:pPr>
            <w:r>
              <w:rPr>
                <w:rFonts w:ascii="Times New Roman" w:hAnsi="Times New Roman"/>
                <w:sz w:val="24"/>
                <w:szCs w:val="24"/>
                <w:lang w:val="sr-Cyrl-CS"/>
              </w:rPr>
              <w:t>151</w:t>
            </w:r>
          </w:p>
        </w:tc>
        <w:tc>
          <w:tcPr>
            <w:tcW w:w="1219" w:type="dxa"/>
            <w:tcBorders>
              <w:top w:val="single" w:sz="4" w:space="0" w:color="auto"/>
              <w:left w:val="single" w:sz="4" w:space="0" w:color="auto"/>
            </w:tcBorders>
          </w:tcPr>
          <w:p w:rsidR="00C7735F" w:rsidRDefault="00F56841" w:rsidP="00DB4188">
            <w:pPr>
              <w:jc w:val="both"/>
              <w:rPr>
                <w:rFonts w:ascii="Times New Roman" w:hAnsi="Times New Roman"/>
                <w:sz w:val="24"/>
                <w:szCs w:val="24"/>
                <w:lang w:val="sr-Cyrl-CS"/>
              </w:rPr>
            </w:pPr>
            <w:r>
              <w:rPr>
                <w:rFonts w:ascii="Times New Roman" w:hAnsi="Times New Roman"/>
                <w:sz w:val="24"/>
                <w:szCs w:val="24"/>
                <w:lang w:val="sr-Cyrl-CS"/>
              </w:rPr>
              <w:t>2</w:t>
            </w:r>
          </w:p>
        </w:tc>
      </w:tr>
      <w:tr w:rsidR="00AD1724" w:rsidTr="000E1089">
        <w:trPr>
          <w:trHeight w:val="433"/>
        </w:trPr>
        <w:tc>
          <w:tcPr>
            <w:tcW w:w="1635" w:type="dxa"/>
            <w:tcBorders>
              <w:top w:val="single" w:sz="4" w:space="0" w:color="auto"/>
              <w:bottom w:val="single" w:sz="4" w:space="0" w:color="auto"/>
            </w:tcBorders>
          </w:tcPr>
          <w:p w:rsidR="00C7735F" w:rsidRDefault="00E228C1" w:rsidP="00DB4188">
            <w:pPr>
              <w:jc w:val="both"/>
              <w:rPr>
                <w:rFonts w:ascii="Times New Roman" w:hAnsi="Times New Roman"/>
                <w:sz w:val="20"/>
                <w:szCs w:val="20"/>
                <w:lang w:val="sr-Cyrl-CS"/>
              </w:rPr>
            </w:pPr>
            <w:r>
              <w:rPr>
                <w:rFonts w:ascii="Times New Roman" w:hAnsi="Times New Roman"/>
                <w:sz w:val="20"/>
                <w:szCs w:val="20"/>
                <w:lang w:val="sr-Cyrl-CS"/>
              </w:rPr>
              <w:t>2011.</w:t>
            </w:r>
          </w:p>
        </w:tc>
        <w:tc>
          <w:tcPr>
            <w:tcW w:w="1397" w:type="dxa"/>
            <w:gridSpan w:val="3"/>
            <w:tcBorders>
              <w:top w:val="single" w:sz="4" w:space="0" w:color="auto"/>
              <w:bottom w:val="single" w:sz="4" w:space="0" w:color="auto"/>
              <w:right w:val="single" w:sz="4" w:space="0" w:color="auto"/>
            </w:tcBorders>
          </w:tcPr>
          <w:p w:rsidR="00C7735F" w:rsidRDefault="00F56841" w:rsidP="00DB4188">
            <w:pPr>
              <w:jc w:val="both"/>
              <w:rPr>
                <w:rFonts w:ascii="Times New Roman" w:hAnsi="Times New Roman"/>
                <w:sz w:val="24"/>
                <w:szCs w:val="24"/>
                <w:lang w:val="sr-Cyrl-CS"/>
              </w:rPr>
            </w:pPr>
            <w:r>
              <w:rPr>
                <w:rFonts w:ascii="Times New Roman" w:hAnsi="Times New Roman"/>
                <w:sz w:val="24"/>
                <w:szCs w:val="24"/>
                <w:lang w:val="sr-Cyrl-CS"/>
              </w:rPr>
              <w:t>2247</w:t>
            </w:r>
          </w:p>
        </w:tc>
        <w:tc>
          <w:tcPr>
            <w:tcW w:w="1489" w:type="dxa"/>
            <w:gridSpan w:val="2"/>
            <w:tcBorders>
              <w:left w:val="single" w:sz="4" w:space="0" w:color="auto"/>
              <w:bottom w:val="single" w:sz="4" w:space="0" w:color="auto"/>
            </w:tcBorders>
          </w:tcPr>
          <w:p w:rsidR="00C7735F" w:rsidRDefault="00F56841" w:rsidP="00DB4188">
            <w:pPr>
              <w:jc w:val="both"/>
              <w:rPr>
                <w:rFonts w:ascii="Times New Roman" w:hAnsi="Times New Roman"/>
                <w:sz w:val="24"/>
                <w:szCs w:val="24"/>
                <w:lang w:val="sr-Cyrl-CS"/>
              </w:rPr>
            </w:pPr>
            <w:r>
              <w:rPr>
                <w:rFonts w:ascii="Times New Roman" w:hAnsi="Times New Roman"/>
                <w:sz w:val="24"/>
                <w:szCs w:val="24"/>
                <w:lang w:val="sr-Cyrl-CS"/>
              </w:rPr>
              <w:t>800</w:t>
            </w:r>
          </w:p>
        </w:tc>
        <w:tc>
          <w:tcPr>
            <w:tcW w:w="1103" w:type="dxa"/>
            <w:gridSpan w:val="3"/>
            <w:tcBorders>
              <w:bottom w:val="single" w:sz="4" w:space="0" w:color="auto"/>
              <w:right w:val="single" w:sz="4" w:space="0" w:color="auto"/>
            </w:tcBorders>
          </w:tcPr>
          <w:p w:rsidR="00C7735F" w:rsidRDefault="00F56841" w:rsidP="00DB4188">
            <w:pPr>
              <w:jc w:val="both"/>
              <w:rPr>
                <w:rFonts w:ascii="Times New Roman" w:hAnsi="Times New Roman"/>
                <w:sz w:val="24"/>
                <w:szCs w:val="24"/>
                <w:lang w:val="sr-Cyrl-CS"/>
              </w:rPr>
            </w:pPr>
            <w:r>
              <w:rPr>
                <w:rFonts w:ascii="Times New Roman" w:hAnsi="Times New Roman"/>
                <w:sz w:val="24"/>
                <w:szCs w:val="24"/>
                <w:lang w:val="sr-Cyrl-CS"/>
              </w:rPr>
              <w:t>375</w:t>
            </w:r>
          </w:p>
        </w:tc>
        <w:tc>
          <w:tcPr>
            <w:tcW w:w="1157" w:type="dxa"/>
            <w:gridSpan w:val="2"/>
            <w:tcBorders>
              <w:left w:val="single" w:sz="4" w:space="0" w:color="auto"/>
              <w:bottom w:val="single" w:sz="4" w:space="0" w:color="auto"/>
            </w:tcBorders>
          </w:tcPr>
          <w:p w:rsidR="00C7735F" w:rsidRDefault="00F56841" w:rsidP="00DB4188">
            <w:pPr>
              <w:jc w:val="both"/>
              <w:rPr>
                <w:rFonts w:ascii="Times New Roman" w:hAnsi="Times New Roman"/>
                <w:sz w:val="24"/>
                <w:szCs w:val="24"/>
                <w:lang w:val="sr-Cyrl-CS"/>
              </w:rPr>
            </w:pPr>
            <w:r>
              <w:rPr>
                <w:rFonts w:ascii="Times New Roman" w:hAnsi="Times New Roman"/>
                <w:sz w:val="24"/>
                <w:szCs w:val="24"/>
                <w:lang w:val="sr-Cyrl-CS"/>
              </w:rPr>
              <w:t>113</w:t>
            </w:r>
          </w:p>
        </w:tc>
        <w:tc>
          <w:tcPr>
            <w:tcW w:w="1045" w:type="dxa"/>
            <w:gridSpan w:val="4"/>
            <w:tcBorders>
              <w:bottom w:val="single" w:sz="4" w:space="0" w:color="auto"/>
              <w:right w:val="single" w:sz="4" w:space="0" w:color="auto"/>
            </w:tcBorders>
          </w:tcPr>
          <w:p w:rsidR="00C7735F" w:rsidRDefault="00F56841" w:rsidP="00DB4188">
            <w:pPr>
              <w:jc w:val="both"/>
              <w:rPr>
                <w:rFonts w:ascii="Times New Roman" w:hAnsi="Times New Roman"/>
                <w:sz w:val="24"/>
                <w:szCs w:val="24"/>
                <w:lang w:val="sr-Cyrl-CS"/>
              </w:rPr>
            </w:pPr>
            <w:r>
              <w:rPr>
                <w:rFonts w:ascii="Times New Roman" w:hAnsi="Times New Roman"/>
                <w:sz w:val="24"/>
                <w:szCs w:val="24"/>
                <w:lang w:val="sr-Cyrl-CS"/>
              </w:rPr>
              <w:t>257</w:t>
            </w:r>
          </w:p>
        </w:tc>
        <w:tc>
          <w:tcPr>
            <w:tcW w:w="1219" w:type="dxa"/>
            <w:tcBorders>
              <w:left w:val="single" w:sz="4" w:space="0" w:color="auto"/>
              <w:bottom w:val="single" w:sz="4" w:space="0" w:color="auto"/>
            </w:tcBorders>
          </w:tcPr>
          <w:p w:rsidR="00C7735F" w:rsidRDefault="00F56841" w:rsidP="00DB4188">
            <w:pPr>
              <w:jc w:val="both"/>
              <w:rPr>
                <w:rFonts w:ascii="Times New Roman" w:hAnsi="Times New Roman"/>
                <w:sz w:val="24"/>
                <w:szCs w:val="24"/>
                <w:lang w:val="sr-Cyrl-CS"/>
              </w:rPr>
            </w:pPr>
            <w:r>
              <w:rPr>
                <w:rFonts w:ascii="Times New Roman" w:hAnsi="Times New Roman"/>
                <w:sz w:val="24"/>
                <w:szCs w:val="24"/>
                <w:lang w:val="sr-Cyrl-CS"/>
              </w:rPr>
              <w:t>1</w:t>
            </w:r>
          </w:p>
        </w:tc>
      </w:tr>
      <w:tr w:rsidR="00AD1724" w:rsidTr="000E1089">
        <w:trPr>
          <w:trHeight w:val="694"/>
        </w:trPr>
        <w:tc>
          <w:tcPr>
            <w:tcW w:w="1635" w:type="dxa"/>
            <w:tcBorders>
              <w:top w:val="single" w:sz="4" w:space="0" w:color="auto"/>
              <w:bottom w:val="single" w:sz="4" w:space="0" w:color="auto"/>
            </w:tcBorders>
          </w:tcPr>
          <w:p w:rsidR="00C7735F" w:rsidRDefault="00E228C1" w:rsidP="00DB4188">
            <w:pPr>
              <w:jc w:val="both"/>
              <w:rPr>
                <w:rFonts w:ascii="Times New Roman" w:hAnsi="Times New Roman"/>
                <w:sz w:val="20"/>
                <w:szCs w:val="20"/>
                <w:lang w:val="sr-Cyrl-CS"/>
              </w:rPr>
            </w:pPr>
            <w:r>
              <w:rPr>
                <w:rFonts w:ascii="Times New Roman" w:hAnsi="Times New Roman"/>
                <w:sz w:val="20"/>
                <w:szCs w:val="20"/>
                <w:lang w:val="sr-Cyrl-CS"/>
              </w:rPr>
              <w:t>2012.</w:t>
            </w:r>
          </w:p>
        </w:tc>
        <w:tc>
          <w:tcPr>
            <w:tcW w:w="1397" w:type="dxa"/>
            <w:gridSpan w:val="3"/>
            <w:tcBorders>
              <w:top w:val="single" w:sz="4" w:space="0" w:color="auto"/>
              <w:bottom w:val="single" w:sz="4" w:space="0" w:color="auto"/>
              <w:right w:val="single" w:sz="4" w:space="0" w:color="auto"/>
            </w:tcBorders>
          </w:tcPr>
          <w:p w:rsidR="00C7735F" w:rsidRDefault="00F56841" w:rsidP="00DB4188">
            <w:pPr>
              <w:jc w:val="both"/>
              <w:rPr>
                <w:rFonts w:ascii="Times New Roman" w:hAnsi="Times New Roman"/>
                <w:sz w:val="24"/>
                <w:szCs w:val="24"/>
                <w:lang w:val="sr-Cyrl-CS"/>
              </w:rPr>
            </w:pPr>
            <w:r>
              <w:rPr>
                <w:rFonts w:ascii="Times New Roman" w:hAnsi="Times New Roman"/>
                <w:sz w:val="24"/>
                <w:szCs w:val="24"/>
                <w:lang w:val="sr-Cyrl-CS"/>
              </w:rPr>
              <w:t>2110</w:t>
            </w:r>
          </w:p>
        </w:tc>
        <w:tc>
          <w:tcPr>
            <w:tcW w:w="1489" w:type="dxa"/>
            <w:gridSpan w:val="2"/>
            <w:tcBorders>
              <w:top w:val="single" w:sz="4" w:space="0" w:color="auto"/>
              <w:left w:val="single" w:sz="4" w:space="0" w:color="auto"/>
              <w:bottom w:val="single" w:sz="4" w:space="0" w:color="auto"/>
            </w:tcBorders>
          </w:tcPr>
          <w:p w:rsidR="00C7735F" w:rsidRDefault="00F56841" w:rsidP="00DB4188">
            <w:pPr>
              <w:jc w:val="both"/>
              <w:rPr>
                <w:rFonts w:ascii="Times New Roman" w:hAnsi="Times New Roman"/>
                <w:sz w:val="24"/>
                <w:szCs w:val="24"/>
                <w:lang w:val="sr-Cyrl-CS"/>
              </w:rPr>
            </w:pPr>
            <w:r>
              <w:rPr>
                <w:rFonts w:ascii="Times New Roman" w:hAnsi="Times New Roman"/>
                <w:sz w:val="24"/>
                <w:szCs w:val="24"/>
                <w:lang w:val="sr-Cyrl-CS"/>
              </w:rPr>
              <w:t>1002</w:t>
            </w:r>
          </w:p>
        </w:tc>
        <w:tc>
          <w:tcPr>
            <w:tcW w:w="1103" w:type="dxa"/>
            <w:gridSpan w:val="3"/>
            <w:tcBorders>
              <w:top w:val="single" w:sz="4" w:space="0" w:color="auto"/>
              <w:bottom w:val="single" w:sz="4" w:space="0" w:color="auto"/>
              <w:right w:val="single" w:sz="4" w:space="0" w:color="auto"/>
            </w:tcBorders>
          </w:tcPr>
          <w:p w:rsidR="00C7735F" w:rsidRDefault="00F56841" w:rsidP="00DB4188">
            <w:pPr>
              <w:jc w:val="both"/>
              <w:rPr>
                <w:rFonts w:ascii="Times New Roman" w:hAnsi="Times New Roman"/>
                <w:sz w:val="24"/>
                <w:szCs w:val="24"/>
                <w:lang w:val="sr-Cyrl-CS"/>
              </w:rPr>
            </w:pPr>
            <w:r>
              <w:rPr>
                <w:rFonts w:ascii="Times New Roman" w:hAnsi="Times New Roman"/>
                <w:sz w:val="24"/>
                <w:szCs w:val="24"/>
                <w:lang w:val="sr-Cyrl-CS"/>
              </w:rPr>
              <w:t>469</w:t>
            </w:r>
          </w:p>
        </w:tc>
        <w:tc>
          <w:tcPr>
            <w:tcW w:w="1157" w:type="dxa"/>
            <w:gridSpan w:val="2"/>
            <w:tcBorders>
              <w:top w:val="single" w:sz="4" w:space="0" w:color="auto"/>
              <w:left w:val="single" w:sz="4" w:space="0" w:color="auto"/>
              <w:bottom w:val="single" w:sz="4" w:space="0" w:color="auto"/>
            </w:tcBorders>
          </w:tcPr>
          <w:p w:rsidR="00C7735F" w:rsidRDefault="00F56841" w:rsidP="00DB4188">
            <w:pPr>
              <w:jc w:val="both"/>
              <w:rPr>
                <w:rFonts w:ascii="Times New Roman" w:hAnsi="Times New Roman"/>
                <w:sz w:val="24"/>
                <w:szCs w:val="24"/>
                <w:lang w:val="sr-Cyrl-CS"/>
              </w:rPr>
            </w:pPr>
            <w:r>
              <w:rPr>
                <w:rFonts w:ascii="Times New Roman" w:hAnsi="Times New Roman"/>
                <w:sz w:val="24"/>
                <w:szCs w:val="24"/>
                <w:lang w:val="sr-Cyrl-CS"/>
              </w:rPr>
              <w:t>161</w:t>
            </w:r>
          </w:p>
        </w:tc>
        <w:tc>
          <w:tcPr>
            <w:tcW w:w="1045" w:type="dxa"/>
            <w:gridSpan w:val="4"/>
            <w:tcBorders>
              <w:top w:val="single" w:sz="4" w:space="0" w:color="auto"/>
              <w:bottom w:val="single" w:sz="4" w:space="0" w:color="auto"/>
              <w:right w:val="single" w:sz="4" w:space="0" w:color="auto"/>
            </w:tcBorders>
          </w:tcPr>
          <w:p w:rsidR="00C7735F" w:rsidRDefault="00F56841" w:rsidP="00DB4188">
            <w:pPr>
              <w:jc w:val="both"/>
              <w:rPr>
                <w:rFonts w:ascii="Times New Roman" w:hAnsi="Times New Roman"/>
                <w:sz w:val="24"/>
                <w:szCs w:val="24"/>
                <w:lang w:val="sr-Cyrl-CS"/>
              </w:rPr>
            </w:pPr>
            <w:r>
              <w:rPr>
                <w:rFonts w:ascii="Times New Roman" w:hAnsi="Times New Roman"/>
                <w:sz w:val="24"/>
                <w:szCs w:val="24"/>
                <w:lang w:val="sr-Cyrl-CS"/>
              </w:rPr>
              <w:t>297</w:t>
            </w:r>
          </w:p>
        </w:tc>
        <w:tc>
          <w:tcPr>
            <w:tcW w:w="1219" w:type="dxa"/>
            <w:tcBorders>
              <w:top w:val="single" w:sz="4" w:space="0" w:color="auto"/>
              <w:left w:val="single" w:sz="4" w:space="0" w:color="auto"/>
              <w:bottom w:val="single" w:sz="4" w:space="0" w:color="auto"/>
            </w:tcBorders>
          </w:tcPr>
          <w:p w:rsidR="00C7735F" w:rsidRDefault="00F56841" w:rsidP="00DB4188">
            <w:pPr>
              <w:jc w:val="both"/>
              <w:rPr>
                <w:rFonts w:ascii="Times New Roman" w:hAnsi="Times New Roman"/>
                <w:sz w:val="24"/>
                <w:szCs w:val="24"/>
                <w:lang w:val="sr-Cyrl-CS"/>
              </w:rPr>
            </w:pPr>
            <w:r>
              <w:rPr>
                <w:rFonts w:ascii="Times New Roman" w:hAnsi="Times New Roman"/>
                <w:sz w:val="24"/>
                <w:szCs w:val="24"/>
                <w:lang w:val="sr-Cyrl-CS"/>
              </w:rPr>
              <w:t>-</w:t>
            </w:r>
          </w:p>
        </w:tc>
      </w:tr>
      <w:tr w:rsidR="00AD1724" w:rsidTr="000E1089">
        <w:trPr>
          <w:trHeight w:val="1041"/>
        </w:trPr>
        <w:tc>
          <w:tcPr>
            <w:tcW w:w="1635" w:type="dxa"/>
            <w:tcBorders>
              <w:top w:val="single" w:sz="4" w:space="0" w:color="auto"/>
              <w:bottom w:val="single" w:sz="4" w:space="0" w:color="auto"/>
            </w:tcBorders>
          </w:tcPr>
          <w:p w:rsidR="00E228C1" w:rsidRPr="0015683D" w:rsidRDefault="00FE2CF7" w:rsidP="00DB4188">
            <w:pPr>
              <w:jc w:val="both"/>
              <w:rPr>
                <w:rFonts w:ascii="Times New Roman" w:hAnsi="Times New Roman"/>
                <w:b/>
                <w:sz w:val="20"/>
                <w:szCs w:val="20"/>
                <w:lang w:val="sr-Cyrl-CS"/>
              </w:rPr>
            </w:pPr>
            <w:r w:rsidRPr="0015683D">
              <w:rPr>
                <w:rFonts w:ascii="Times New Roman" w:hAnsi="Times New Roman"/>
                <w:b/>
                <w:sz w:val="20"/>
                <w:szCs w:val="20"/>
                <w:lang w:val="sr-Cyrl-CS"/>
              </w:rPr>
              <w:t>Примање мита</w:t>
            </w:r>
          </w:p>
          <w:p w:rsidR="00FE2CF7" w:rsidRDefault="00FE2CF7" w:rsidP="00DB4188">
            <w:pPr>
              <w:jc w:val="both"/>
              <w:rPr>
                <w:rFonts w:ascii="Times New Roman" w:hAnsi="Times New Roman"/>
                <w:sz w:val="20"/>
                <w:szCs w:val="20"/>
                <w:lang w:val="sr-Cyrl-CS"/>
              </w:rPr>
            </w:pPr>
            <w:r>
              <w:rPr>
                <w:rFonts w:ascii="Times New Roman" w:hAnsi="Times New Roman"/>
                <w:sz w:val="20"/>
                <w:szCs w:val="20"/>
                <w:lang w:val="sr-Cyrl-CS"/>
              </w:rPr>
              <w:t>2007.</w:t>
            </w:r>
          </w:p>
        </w:tc>
        <w:tc>
          <w:tcPr>
            <w:tcW w:w="1338" w:type="dxa"/>
            <w:tcBorders>
              <w:top w:val="single" w:sz="4" w:space="0" w:color="auto"/>
              <w:bottom w:val="single" w:sz="4" w:space="0" w:color="auto"/>
              <w:right w:val="single" w:sz="4" w:space="0" w:color="auto"/>
            </w:tcBorders>
          </w:tcPr>
          <w:p w:rsidR="00522F35" w:rsidRDefault="00522F35" w:rsidP="00DB4188">
            <w:pPr>
              <w:jc w:val="both"/>
              <w:rPr>
                <w:rFonts w:ascii="Times New Roman" w:hAnsi="Times New Roman"/>
                <w:sz w:val="24"/>
                <w:szCs w:val="24"/>
                <w:lang w:val="sr-Cyrl-CS"/>
              </w:rPr>
            </w:pPr>
          </w:p>
          <w:p w:rsidR="00C7735F" w:rsidRDefault="00F56841" w:rsidP="00DB4188">
            <w:pPr>
              <w:jc w:val="both"/>
              <w:rPr>
                <w:rFonts w:ascii="Times New Roman" w:hAnsi="Times New Roman"/>
                <w:sz w:val="24"/>
                <w:szCs w:val="24"/>
                <w:lang w:val="sr-Cyrl-CS"/>
              </w:rPr>
            </w:pPr>
            <w:r>
              <w:rPr>
                <w:rFonts w:ascii="Times New Roman" w:hAnsi="Times New Roman"/>
                <w:sz w:val="24"/>
                <w:szCs w:val="24"/>
                <w:lang w:val="sr-Cyrl-CS"/>
              </w:rPr>
              <w:t>129</w:t>
            </w:r>
          </w:p>
        </w:tc>
        <w:tc>
          <w:tcPr>
            <w:tcW w:w="1548" w:type="dxa"/>
            <w:gridSpan w:val="4"/>
            <w:tcBorders>
              <w:top w:val="single" w:sz="4" w:space="0" w:color="auto"/>
              <w:left w:val="single" w:sz="4" w:space="0" w:color="auto"/>
              <w:bottom w:val="single" w:sz="4" w:space="0" w:color="auto"/>
            </w:tcBorders>
          </w:tcPr>
          <w:p w:rsidR="00522F35" w:rsidRDefault="00522F35" w:rsidP="00DB4188">
            <w:pPr>
              <w:jc w:val="both"/>
              <w:rPr>
                <w:rFonts w:ascii="Times New Roman" w:hAnsi="Times New Roman"/>
                <w:sz w:val="24"/>
                <w:szCs w:val="24"/>
                <w:lang w:val="sr-Cyrl-CS"/>
              </w:rPr>
            </w:pPr>
          </w:p>
          <w:p w:rsidR="00C7735F" w:rsidRDefault="00F56841" w:rsidP="00DB4188">
            <w:pPr>
              <w:jc w:val="both"/>
              <w:rPr>
                <w:rFonts w:ascii="Times New Roman" w:hAnsi="Times New Roman"/>
                <w:sz w:val="24"/>
                <w:szCs w:val="24"/>
                <w:lang w:val="sr-Cyrl-CS"/>
              </w:rPr>
            </w:pPr>
            <w:r>
              <w:rPr>
                <w:rFonts w:ascii="Times New Roman" w:hAnsi="Times New Roman"/>
                <w:sz w:val="24"/>
                <w:szCs w:val="24"/>
                <w:lang w:val="sr-Cyrl-CS"/>
              </w:rPr>
              <w:t>31</w:t>
            </w:r>
          </w:p>
        </w:tc>
        <w:tc>
          <w:tcPr>
            <w:tcW w:w="1029" w:type="dxa"/>
            <w:tcBorders>
              <w:top w:val="single" w:sz="4" w:space="0" w:color="auto"/>
              <w:bottom w:val="single" w:sz="4" w:space="0" w:color="auto"/>
              <w:right w:val="single" w:sz="4" w:space="0" w:color="auto"/>
            </w:tcBorders>
          </w:tcPr>
          <w:p w:rsidR="00522F35" w:rsidRDefault="00522F35" w:rsidP="00DB4188">
            <w:pPr>
              <w:jc w:val="both"/>
              <w:rPr>
                <w:rFonts w:ascii="Times New Roman" w:hAnsi="Times New Roman"/>
                <w:sz w:val="24"/>
                <w:szCs w:val="24"/>
                <w:lang w:val="sr-Cyrl-CS"/>
              </w:rPr>
            </w:pPr>
          </w:p>
          <w:p w:rsidR="00C7735F" w:rsidRDefault="00F56841" w:rsidP="00DB4188">
            <w:pPr>
              <w:jc w:val="both"/>
              <w:rPr>
                <w:rFonts w:ascii="Times New Roman" w:hAnsi="Times New Roman"/>
                <w:sz w:val="24"/>
                <w:szCs w:val="24"/>
                <w:lang w:val="sr-Cyrl-CS"/>
              </w:rPr>
            </w:pPr>
            <w:r>
              <w:rPr>
                <w:rFonts w:ascii="Times New Roman" w:hAnsi="Times New Roman"/>
                <w:sz w:val="24"/>
                <w:szCs w:val="24"/>
                <w:lang w:val="sr-Cyrl-CS"/>
              </w:rPr>
              <w:t>23</w:t>
            </w:r>
          </w:p>
        </w:tc>
        <w:tc>
          <w:tcPr>
            <w:tcW w:w="1231" w:type="dxa"/>
            <w:gridSpan w:val="4"/>
            <w:tcBorders>
              <w:top w:val="single" w:sz="4" w:space="0" w:color="auto"/>
              <w:left w:val="single" w:sz="4" w:space="0" w:color="auto"/>
              <w:bottom w:val="single" w:sz="4" w:space="0" w:color="auto"/>
            </w:tcBorders>
          </w:tcPr>
          <w:p w:rsidR="00522F35" w:rsidRDefault="00522F35" w:rsidP="00DB4188">
            <w:pPr>
              <w:jc w:val="both"/>
              <w:rPr>
                <w:rFonts w:ascii="Times New Roman" w:hAnsi="Times New Roman"/>
                <w:sz w:val="24"/>
                <w:szCs w:val="24"/>
                <w:lang w:val="sr-Cyrl-CS"/>
              </w:rPr>
            </w:pPr>
          </w:p>
          <w:p w:rsidR="00C7735F" w:rsidRDefault="00515F44" w:rsidP="00DB4188">
            <w:pPr>
              <w:jc w:val="both"/>
              <w:rPr>
                <w:rFonts w:ascii="Times New Roman" w:hAnsi="Times New Roman"/>
                <w:sz w:val="24"/>
                <w:szCs w:val="24"/>
                <w:lang w:val="sr-Cyrl-CS"/>
              </w:rPr>
            </w:pPr>
            <w:r>
              <w:rPr>
                <w:rFonts w:ascii="Times New Roman" w:hAnsi="Times New Roman"/>
                <w:sz w:val="24"/>
                <w:szCs w:val="24"/>
                <w:lang w:val="sr-Cyrl-CS"/>
              </w:rPr>
              <w:t>31</w:t>
            </w:r>
          </w:p>
        </w:tc>
        <w:tc>
          <w:tcPr>
            <w:tcW w:w="1019" w:type="dxa"/>
            <w:gridSpan w:val="3"/>
            <w:tcBorders>
              <w:top w:val="single" w:sz="4" w:space="0" w:color="auto"/>
              <w:bottom w:val="single" w:sz="4" w:space="0" w:color="auto"/>
              <w:right w:val="single" w:sz="4" w:space="0" w:color="auto"/>
            </w:tcBorders>
          </w:tcPr>
          <w:p w:rsidR="00522F35" w:rsidRDefault="00522F35" w:rsidP="00DB4188">
            <w:pPr>
              <w:jc w:val="both"/>
              <w:rPr>
                <w:rFonts w:ascii="Times New Roman" w:hAnsi="Times New Roman"/>
                <w:sz w:val="24"/>
                <w:szCs w:val="24"/>
                <w:lang w:val="sr-Cyrl-CS"/>
              </w:rPr>
            </w:pPr>
          </w:p>
          <w:p w:rsidR="00C7735F" w:rsidRDefault="00515F44" w:rsidP="00DB4188">
            <w:pPr>
              <w:jc w:val="both"/>
              <w:rPr>
                <w:rFonts w:ascii="Times New Roman" w:hAnsi="Times New Roman"/>
                <w:sz w:val="24"/>
                <w:szCs w:val="24"/>
                <w:lang w:val="sr-Cyrl-CS"/>
              </w:rPr>
            </w:pPr>
            <w:r>
              <w:rPr>
                <w:rFonts w:ascii="Times New Roman" w:hAnsi="Times New Roman"/>
                <w:sz w:val="24"/>
                <w:szCs w:val="24"/>
                <w:lang w:val="sr-Cyrl-CS"/>
              </w:rPr>
              <w:t>4</w:t>
            </w:r>
          </w:p>
        </w:tc>
        <w:tc>
          <w:tcPr>
            <w:tcW w:w="1245" w:type="dxa"/>
            <w:gridSpan w:val="2"/>
            <w:tcBorders>
              <w:top w:val="single" w:sz="4" w:space="0" w:color="auto"/>
              <w:left w:val="single" w:sz="4" w:space="0" w:color="auto"/>
              <w:bottom w:val="single" w:sz="4" w:space="0" w:color="auto"/>
            </w:tcBorders>
          </w:tcPr>
          <w:p w:rsidR="00522F35" w:rsidRDefault="00522F35" w:rsidP="00DB4188">
            <w:pPr>
              <w:jc w:val="both"/>
              <w:rPr>
                <w:rFonts w:ascii="Times New Roman" w:hAnsi="Times New Roman"/>
                <w:sz w:val="24"/>
                <w:szCs w:val="24"/>
                <w:lang w:val="sr-Cyrl-CS"/>
              </w:rPr>
            </w:pPr>
          </w:p>
          <w:p w:rsidR="00C7735F" w:rsidRDefault="00515F44" w:rsidP="00DB4188">
            <w:pPr>
              <w:jc w:val="both"/>
              <w:rPr>
                <w:rFonts w:ascii="Times New Roman" w:hAnsi="Times New Roman"/>
                <w:sz w:val="24"/>
                <w:szCs w:val="24"/>
                <w:lang w:val="sr-Cyrl-CS"/>
              </w:rPr>
            </w:pPr>
            <w:r>
              <w:rPr>
                <w:rFonts w:ascii="Times New Roman" w:hAnsi="Times New Roman"/>
                <w:sz w:val="24"/>
                <w:szCs w:val="24"/>
                <w:lang w:val="sr-Cyrl-CS"/>
              </w:rPr>
              <w:t>-</w:t>
            </w:r>
          </w:p>
        </w:tc>
      </w:tr>
      <w:tr w:rsidR="00AD1724" w:rsidTr="000E1089">
        <w:trPr>
          <w:trHeight w:val="488"/>
        </w:trPr>
        <w:tc>
          <w:tcPr>
            <w:tcW w:w="1635" w:type="dxa"/>
            <w:tcBorders>
              <w:top w:val="single" w:sz="4" w:space="0" w:color="auto"/>
              <w:bottom w:val="single" w:sz="4" w:space="0" w:color="auto"/>
            </w:tcBorders>
          </w:tcPr>
          <w:p w:rsidR="00C7735F" w:rsidRDefault="00FE2CF7" w:rsidP="00DB4188">
            <w:pPr>
              <w:jc w:val="both"/>
              <w:rPr>
                <w:rFonts w:ascii="Times New Roman" w:hAnsi="Times New Roman"/>
                <w:sz w:val="20"/>
                <w:szCs w:val="20"/>
                <w:lang w:val="sr-Cyrl-CS"/>
              </w:rPr>
            </w:pPr>
            <w:r>
              <w:rPr>
                <w:rFonts w:ascii="Times New Roman" w:hAnsi="Times New Roman"/>
                <w:sz w:val="20"/>
                <w:szCs w:val="20"/>
                <w:lang w:val="sr-Cyrl-CS"/>
              </w:rPr>
              <w:t>2008.</w:t>
            </w:r>
          </w:p>
        </w:tc>
        <w:tc>
          <w:tcPr>
            <w:tcW w:w="1338" w:type="dxa"/>
            <w:tcBorders>
              <w:top w:val="single" w:sz="4" w:space="0" w:color="auto"/>
              <w:bottom w:val="single" w:sz="4" w:space="0" w:color="auto"/>
              <w:right w:val="single" w:sz="4" w:space="0" w:color="auto"/>
            </w:tcBorders>
          </w:tcPr>
          <w:p w:rsidR="00C7735F" w:rsidRDefault="00515F44" w:rsidP="00DB4188">
            <w:pPr>
              <w:jc w:val="both"/>
              <w:rPr>
                <w:rFonts w:ascii="Times New Roman" w:hAnsi="Times New Roman"/>
                <w:sz w:val="24"/>
                <w:szCs w:val="24"/>
                <w:lang w:val="sr-Cyrl-CS"/>
              </w:rPr>
            </w:pPr>
            <w:r>
              <w:rPr>
                <w:rFonts w:ascii="Times New Roman" w:hAnsi="Times New Roman"/>
                <w:sz w:val="24"/>
                <w:szCs w:val="24"/>
                <w:lang w:val="sr-Cyrl-CS"/>
              </w:rPr>
              <w:t>91</w:t>
            </w:r>
          </w:p>
        </w:tc>
        <w:tc>
          <w:tcPr>
            <w:tcW w:w="1548" w:type="dxa"/>
            <w:gridSpan w:val="4"/>
            <w:tcBorders>
              <w:top w:val="single" w:sz="4" w:space="0" w:color="auto"/>
              <w:left w:val="single" w:sz="4" w:space="0" w:color="auto"/>
              <w:bottom w:val="single" w:sz="4" w:space="0" w:color="auto"/>
            </w:tcBorders>
          </w:tcPr>
          <w:p w:rsidR="00C7735F" w:rsidRDefault="00515F44" w:rsidP="00DB4188">
            <w:pPr>
              <w:jc w:val="both"/>
              <w:rPr>
                <w:rFonts w:ascii="Times New Roman" w:hAnsi="Times New Roman"/>
                <w:sz w:val="24"/>
                <w:szCs w:val="24"/>
                <w:lang w:val="sr-Cyrl-CS"/>
              </w:rPr>
            </w:pPr>
            <w:r>
              <w:rPr>
                <w:rFonts w:ascii="Times New Roman" w:hAnsi="Times New Roman"/>
                <w:sz w:val="24"/>
                <w:szCs w:val="24"/>
                <w:lang w:val="sr-Cyrl-CS"/>
              </w:rPr>
              <w:t>33</w:t>
            </w:r>
          </w:p>
        </w:tc>
        <w:tc>
          <w:tcPr>
            <w:tcW w:w="1029" w:type="dxa"/>
            <w:tcBorders>
              <w:top w:val="single" w:sz="4" w:space="0" w:color="auto"/>
              <w:bottom w:val="single" w:sz="4" w:space="0" w:color="auto"/>
              <w:right w:val="single" w:sz="4" w:space="0" w:color="auto"/>
            </w:tcBorders>
          </w:tcPr>
          <w:p w:rsidR="00C7735F" w:rsidRDefault="00515F44" w:rsidP="00DB4188">
            <w:pPr>
              <w:jc w:val="both"/>
              <w:rPr>
                <w:rFonts w:ascii="Times New Roman" w:hAnsi="Times New Roman"/>
                <w:sz w:val="24"/>
                <w:szCs w:val="24"/>
                <w:lang w:val="sr-Cyrl-CS"/>
              </w:rPr>
            </w:pPr>
            <w:r>
              <w:rPr>
                <w:rFonts w:ascii="Times New Roman" w:hAnsi="Times New Roman"/>
                <w:sz w:val="24"/>
                <w:szCs w:val="24"/>
                <w:lang w:val="sr-Cyrl-CS"/>
              </w:rPr>
              <w:t>23</w:t>
            </w:r>
          </w:p>
        </w:tc>
        <w:tc>
          <w:tcPr>
            <w:tcW w:w="1231" w:type="dxa"/>
            <w:gridSpan w:val="4"/>
            <w:tcBorders>
              <w:top w:val="single" w:sz="4" w:space="0" w:color="auto"/>
              <w:left w:val="single" w:sz="4" w:space="0" w:color="auto"/>
              <w:bottom w:val="single" w:sz="4" w:space="0" w:color="auto"/>
            </w:tcBorders>
          </w:tcPr>
          <w:p w:rsidR="00C7735F" w:rsidRDefault="00515F44" w:rsidP="00DB4188">
            <w:pPr>
              <w:jc w:val="both"/>
              <w:rPr>
                <w:rFonts w:ascii="Times New Roman" w:hAnsi="Times New Roman"/>
                <w:sz w:val="24"/>
                <w:szCs w:val="24"/>
                <w:lang w:val="sr-Cyrl-CS"/>
              </w:rPr>
            </w:pPr>
            <w:r>
              <w:rPr>
                <w:rFonts w:ascii="Times New Roman" w:hAnsi="Times New Roman"/>
                <w:sz w:val="24"/>
                <w:szCs w:val="24"/>
                <w:lang w:val="sr-Cyrl-CS"/>
              </w:rPr>
              <w:t>12</w:t>
            </w:r>
          </w:p>
        </w:tc>
        <w:tc>
          <w:tcPr>
            <w:tcW w:w="1019" w:type="dxa"/>
            <w:gridSpan w:val="3"/>
            <w:tcBorders>
              <w:top w:val="single" w:sz="4" w:space="0" w:color="auto"/>
              <w:bottom w:val="single" w:sz="4" w:space="0" w:color="auto"/>
              <w:right w:val="single" w:sz="4" w:space="0" w:color="auto"/>
            </w:tcBorders>
          </w:tcPr>
          <w:p w:rsidR="00C7735F" w:rsidRDefault="00515F44" w:rsidP="00DB4188">
            <w:pPr>
              <w:jc w:val="both"/>
              <w:rPr>
                <w:rFonts w:ascii="Times New Roman" w:hAnsi="Times New Roman"/>
                <w:sz w:val="24"/>
                <w:szCs w:val="24"/>
                <w:lang w:val="sr-Cyrl-CS"/>
              </w:rPr>
            </w:pPr>
            <w:r>
              <w:rPr>
                <w:rFonts w:ascii="Times New Roman" w:hAnsi="Times New Roman"/>
                <w:sz w:val="24"/>
                <w:szCs w:val="24"/>
                <w:lang w:val="sr-Cyrl-CS"/>
              </w:rPr>
              <w:t>11</w:t>
            </w:r>
          </w:p>
        </w:tc>
        <w:tc>
          <w:tcPr>
            <w:tcW w:w="1245" w:type="dxa"/>
            <w:gridSpan w:val="2"/>
            <w:tcBorders>
              <w:top w:val="single" w:sz="4" w:space="0" w:color="auto"/>
              <w:left w:val="single" w:sz="4" w:space="0" w:color="auto"/>
              <w:bottom w:val="single" w:sz="4" w:space="0" w:color="auto"/>
            </w:tcBorders>
          </w:tcPr>
          <w:p w:rsidR="00C7735F" w:rsidRDefault="00515F44" w:rsidP="00DB4188">
            <w:pPr>
              <w:jc w:val="both"/>
              <w:rPr>
                <w:rFonts w:ascii="Times New Roman" w:hAnsi="Times New Roman"/>
                <w:sz w:val="24"/>
                <w:szCs w:val="24"/>
                <w:lang w:val="sr-Cyrl-CS"/>
              </w:rPr>
            </w:pPr>
            <w:r>
              <w:rPr>
                <w:rFonts w:ascii="Times New Roman" w:hAnsi="Times New Roman"/>
                <w:sz w:val="24"/>
                <w:szCs w:val="24"/>
                <w:lang w:val="sr-Cyrl-CS"/>
              </w:rPr>
              <w:t>-</w:t>
            </w:r>
          </w:p>
        </w:tc>
      </w:tr>
      <w:tr w:rsidR="00AD1724" w:rsidTr="000E1089">
        <w:trPr>
          <w:trHeight w:val="503"/>
        </w:trPr>
        <w:tc>
          <w:tcPr>
            <w:tcW w:w="1635" w:type="dxa"/>
            <w:tcBorders>
              <w:top w:val="single" w:sz="4" w:space="0" w:color="auto"/>
              <w:bottom w:val="single" w:sz="4" w:space="0" w:color="auto"/>
            </w:tcBorders>
          </w:tcPr>
          <w:p w:rsidR="00C7735F" w:rsidRDefault="00FE2CF7" w:rsidP="00DB4188">
            <w:pPr>
              <w:jc w:val="both"/>
              <w:rPr>
                <w:rFonts w:ascii="Times New Roman" w:hAnsi="Times New Roman"/>
                <w:sz w:val="20"/>
                <w:szCs w:val="20"/>
                <w:lang w:val="sr-Cyrl-CS"/>
              </w:rPr>
            </w:pPr>
            <w:r>
              <w:rPr>
                <w:rFonts w:ascii="Times New Roman" w:hAnsi="Times New Roman"/>
                <w:sz w:val="20"/>
                <w:szCs w:val="20"/>
                <w:lang w:val="sr-Cyrl-CS"/>
              </w:rPr>
              <w:t>2009.</w:t>
            </w:r>
          </w:p>
        </w:tc>
        <w:tc>
          <w:tcPr>
            <w:tcW w:w="1338" w:type="dxa"/>
            <w:tcBorders>
              <w:top w:val="single" w:sz="4" w:space="0" w:color="auto"/>
              <w:right w:val="single" w:sz="4" w:space="0" w:color="auto"/>
            </w:tcBorders>
          </w:tcPr>
          <w:p w:rsidR="00C7735F" w:rsidRDefault="00515F44" w:rsidP="00DB4188">
            <w:pPr>
              <w:jc w:val="both"/>
              <w:rPr>
                <w:rFonts w:ascii="Times New Roman" w:hAnsi="Times New Roman"/>
                <w:sz w:val="24"/>
                <w:szCs w:val="24"/>
                <w:lang w:val="sr-Cyrl-CS"/>
              </w:rPr>
            </w:pPr>
            <w:r>
              <w:rPr>
                <w:rFonts w:ascii="Times New Roman" w:hAnsi="Times New Roman"/>
                <w:sz w:val="24"/>
                <w:szCs w:val="24"/>
                <w:lang w:val="sr-Cyrl-CS"/>
              </w:rPr>
              <w:t>132</w:t>
            </w:r>
          </w:p>
        </w:tc>
        <w:tc>
          <w:tcPr>
            <w:tcW w:w="1548" w:type="dxa"/>
            <w:gridSpan w:val="4"/>
            <w:tcBorders>
              <w:top w:val="single" w:sz="4" w:space="0" w:color="auto"/>
              <w:left w:val="single" w:sz="4" w:space="0" w:color="auto"/>
              <w:bottom w:val="single" w:sz="4" w:space="0" w:color="auto"/>
            </w:tcBorders>
          </w:tcPr>
          <w:p w:rsidR="00C7735F" w:rsidRDefault="00515F44" w:rsidP="00DB4188">
            <w:pPr>
              <w:jc w:val="both"/>
              <w:rPr>
                <w:rFonts w:ascii="Times New Roman" w:hAnsi="Times New Roman"/>
                <w:sz w:val="24"/>
                <w:szCs w:val="24"/>
                <w:lang w:val="sr-Cyrl-CS"/>
              </w:rPr>
            </w:pPr>
            <w:r>
              <w:rPr>
                <w:rFonts w:ascii="Times New Roman" w:hAnsi="Times New Roman"/>
                <w:sz w:val="24"/>
                <w:szCs w:val="24"/>
                <w:lang w:val="sr-Cyrl-CS"/>
              </w:rPr>
              <w:t>43</w:t>
            </w:r>
          </w:p>
        </w:tc>
        <w:tc>
          <w:tcPr>
            <w:tcW w:w="1029" w:type="dxa"/>
            <w:tcBorders>
              <w:top w:val="single" w:sz="4" w:space="0" w:color="auto"/>
              <w:bottom w:val="single" w:sz="4" w:space="0" w:color="auto"/>
              <w:right w:val="single" w:sz="4" w:space="0" w:color="auto"/>
            </w:tcBorders>
          </w:tcPr>
          <w:p w:rsidR="00C7735F" w:rsidRDefault="00515F44" w:rsidP="00DB4188">
            <w:pPr>
              <w:jc w:val="both"/>
              <w:rPr>
                <w:rFonts w:ascii="Times New Roman" w:hAnsi="Times New Roman"/>
                <w:sz w:val="24"/>
                <w:szCs w:val="24"/>
                <w:lang w:val="sr-Cyrl-CS"/>
              </w:rPr>
            </w:pPr>
            <w:r>
              <w:rPr>
                <w:rFonts w:ascii="Times New Roman" w:hAnsi="Times New Roman"/>
                <w:sz w:val="24"/>
                <w:szCs w:val="24"/>
                <w:lang w:val="sr-Cyrl-CS"/>
              </w:rPr>
              <w:t>32</w:t>
            </w:r>
          </w:p>
        </w:tc>
        <w:tc>
          <w:tcPr>
            <w:tcW w:w="1231" w:type="dxa"/>
            <w:gridSpan w:val="4"/>
            <w:tcBorders>
              <w:top w:val="single" w:sz="4" w:space="0" w:color="auto"/>
              <w:left w:val="single" w:sz="4" w:space="0" w:color="auto"/>
              <w:bottom w:val="single" w:sz="4" w:space="0" w:color="auto"/>
            </w:tcBorders>
          </w:tcPr>
          <w:p w:rsidR="00C7735F" w:rsidRDefault="00515F44" w:rsidP="00DB4188">
            <w:pPr>
              <w:jc w:val="both"/>
              <w:rPr>
                <w:rFonts w:ascii="Times New Roman" w:hAnsi="Times New Roman"/>
                <w:sz w:val="24"/>
                <w:szCs w:val="24"/>
                <w:lang w:val="sr-Cyrl-CS"/>
              </w:rPr>
            </w:pPr>
            <w:r>
              <w:rPr>
                <w:rFonts w:ascii="Times New Roman" w:hAnsi="Times New Roman"/>
                <w:sz w:val="24"/>
                <w:szCs w:val="24"/>
                <w:lang w:val="sr-Cyrl-CS"/>
              </w:rPr>
              <w:t>25</w:t>
            </w:r>
          </w:p>
        </w:tc>
        <w:tc>
          <w:tcPr>
            <w:tcW w:w="1019" w:type="dxa"/>
            <w:gridSpan w:val="3"/>
            <w:tcBorders>
              <w:top w:val="single" w:sz="4" w:space="0" w:color="auto"/>
              <w:bottom w:val="single" w:sz="4" w:space="0" w:color="auto"/>
              <w:right w:val="single" w:sz="4" w:space="0" w:color="auto"/>
            </w:tcBorders>
          </w:tcPr>
          <w:p w:rsidR="00C7735F" w:rsidRDefault="00515F44" w:rsidP="00DB4188">
            <w:pPr>
              <w:jc w:val="both"/>
              <w:rPr>
                <w:rFonts w:ascii="Times New Roman" w:hAnsi="Times New Roman"/>
                <w:sz w:val="24"/>
                <w:szCs w:val="24"/>
                <w:lang w:val="sr-Cyrl-CS"/>
              </w:rPr>
            </w:pPr>
            <w:r>
              <w:rPr>
                <w:rFonts w:ascii="Times New Roman" w:hAnsi="Times New Roman"/>
                <w:sz w:val="24"/>
                <w:szCs w:val="24"/>
                <w:lang w:val="sr-Cyrl-CS"/>
              </w:rPr>
              <w:t>5</w:t>
            </w:r>
          </w:p>
        </w:tc>
        <w:tc>
          <w:tcPr>
            <w:tcW w:w="1245" w:type="dxa"/>
            <w:gridSpan w:val="2"/>
            <w:tcBorders>
              <w:top w:val="single" w:sz="4" w:space="0" w:color="auto"/>
              <w:left w:val="single" w:sz="4" w:space="0" w:color="auto"/>
              <w:bottom w:val="single" w:sz="4" w:space="0" w:color="auto"/>
            </w:tcBorders>
          </w:tcPr>
          <w:p w:rsidR="00C7735F" w:rsidRDefault="00515F44" w:rsidP="00DB4188">
            <w:pPr>
              <w:jc w:val="both"/>
              <w:rPr>
                <w:rFonts w:ascii="Times New Roman" w:hAnsi="Times New Roman"/>
                <w:sz w:val="24"/>
                <w:szCs w:val="24"/>
                <w:lang w:val="sr-Cyrl-CS"/>
              </w:rPr>
            </w:pPr>
            <w:r>
              <w:rPr>
                <w:rFonts w:ascii="Times New Roman" w:hAnsi="Times New Roman"/>
                <w:sz w:val="24"/>
                <w:szCs w:val="24"/>
                <w:lang w:val="sr-Cyrl-CS"/>
              </w:rPr>
              <w:t>-</w:t>
            </w:r>
          </w:p>
        </w:tc>
      </w:tr>
      <w:tr w:rsidR="00AD1724" w:rsidTr="000E1089">
        <w:trPr>
          <w:trHeight w:val="503"/>
        </w:trPr>
        <w:tc>
          <w:tcPr>
            <w:tcW w:w="1635" w:type="dxa"/>
            <w:tcBorders>
              <w:top w:val="single" w:sz="4" w:space="0" w:color="auto"/>
              <w:bottom w:val="single" w:sz="4" w:space="0" w:color="auto"/>
            </w:tcBorders>
          </w:tcPr>
          <w:p w:rsidR="00C7735F" w:rsidRDefault="00FE2CF7" w:rsidP="00DB4188">
            <w:pPr>
              <w:jc w:val="both"/>
              <w:rPr>
                <w:rFonts w:ascii="Times New Roman" w:hAnsi="Times New Roman"/>
                <w:sz w:val="20"/>
                <w:szCs w:val="20"/>
                <w:lang w:val="sr-Cyrl-CS"/>
              </w:rPr>
            </w:pPr>
            <w:r>
              <w:rPr>
                <w:rFonts w:ascii="Times New Roman" w:hAnsi="Times New Roman"/>
                <w:sz w:val="20"/>
                <w:szCs w:val="20"/>
                <w:lang w:val="sr-Cyrl-CS"/>
              </w:rPr>
              <w:t>2010.</w:t>
            </w:r>
          </w:p>
        </w:tc>
        <w:tc>
          <w:tcPr>
            <w:tcW w:w="1338" w:type="dxa"/>
            <w:tcBorders>
              <w:bottom w:val="single" w:sz="4" w:space="0" w:color="auto"/>
              <w:right w:val="single" w:sz="4" w:space="0" w:color="auto"/>
            </w:tcBorders>
          </w:tcPr>
          <w:p w:rsidR="00C7735F" w:rsidRDefault="00515F44" w:rsidP="00DB4188">
            <w:pPr>
              <w:jc w:val="both"/>
              <w:rPr>
                <w:rFonts w:ascii="Times New Roman" w:hAnsi="Times New Roman"/>
                <w:sz w:val="24"/>
                <w:szCs w:val="24"/>
                <w:lang w:val="sr-Cyrl-CS"/>
              </w:rPr>
            </w:pPr>
            <w:r>
              <w:rPr>
                <w:rFonts w:ascii="Times New Roman" w:hAnsi="Times New Roman"/>
                <w:sz w:val="24"/>
                <w:szCs w:val="24"/>
                <w:lang w:val="sr-Cyrl-CS"/>
              </w:rPr>
              <w:t>125</w:t>
            </w:r>
          </w:p>
        </w:tc>
        <w:tc>
          <w:tcPr>
            <w:tcW w:w="1548" w:type="dxa"/>
            <w:gridSpan w:val="4"/>
            <w:tcBorders>
              <w:top w:val="single" w:sz="4" w:space="0" w:color="auto"/>
              <w:left w:val="single" w:sz="4" w:space="0" w:color="auto"/>
            </w:tcBorders>
          </w:tcPr>
          <w:p w:rsidR="00C7735F" w:rsidRDefault="00515F44" w:rsidP="00DB4188">
            <w:pPr>
              <w:jc w:val="both"/>
              <w:rPr>
                <w:rFonts w:ascii="Times New Roman" w:hAnsi="Times New Roman"/>
                <w:sz w:val="24"/>
                <w:szCs w:val="24"/>
                <w:lang w:val="sr-Cyrl-CS"/>
              </w:rPr>
            </w:pPr>
            <w:r>
              <w:rPr>
                <w:rFonts w:ascii="Times New Roman" w:hAnsi="Times New Roman"/>
                <w:sz w:val="24"/>
                <w:szCs w:val="24"/>
                <w:lang w:val="sr-Cyrl-CS"/>
              </w:rPr>
              <w:t>37</w:t>
            </w:r>
          </w:p>
        </w:tc>
        <w:tc>
          <w:tcPr>
            <w:tcW w:w="1029" w:type="dxa"/>
            <w:tcBorders>
              <w:top w:val="single" w:sz="4" w:space="0" w:color="auto"/>
              <w:right w:val="single" w:sz="4" w:space="0" w:color="auto"/>
            </w:tcBorders>
          </w:tcPr>
          <w:p w:rsidR="00C7735F" w:rsidRDefault="00515F44" w:rsidP="00DB4188">
            <w:pPr>
              <w:jc w:val="both"/>
              <w:rPr>
                <w:rFonts w:ascii="Times New Roman" w:hAnsi="Times New Roman"/>
                <w:sz w:val="24"/>
                <w:szCs w:val="24"/>
                <w:lang w:val="sr-Cyrl-CS"/>
              </w:rPr>
            </w:pPr>
            <w:r>
              <w:rPr>
                <w:rFonts w:ascii="Times New Roman" w:hAnsi="Times New Roman"/>
                <w:sz w:val="24"/>
                <w:szCs w:val="24"/>
                <w:lang w:val="sr-Cyrl-CS"/>
              </w:rPr>
              <w:t>32</w:t>
            </w:r>
          </w:p>
        </w:tc>
        <w:tc>
          <w:tcPr>
            <w:tcW w:w="1231" w:type="dxa"/>
            <w:gridSpan w:val="4"/>
            <w:tcBorders>
              <w:top w:val="single" w:sz="4" w:space="0" w:color="auto"/>
              <w:left w:val="single" w:sz="4" w:space="0" w:color="auto"/>
            </w:tcBorders>
          </w:tcPr>
          <w:p w:rsidR="00C7735F" w:rsidRDefault="00515F44" w:rsidP="00DB4188">
            <w:pPr>
              <w:jc w:val="both"/>
              <w:rPr>
                <w:rFonts w:ascii="Times New Roman" w:hAnsi="Times New Roman"/>
                <w:sz w:val="24"/>
                <w:szCs w:val="24"/>
                <w:lang w:val="sr-Cyrl-CS"/>
              </w:rPr>
            </w:pPr>
            <w:r>
              <w:rPr>
                <w:rFonts w:ascii="Times New Roman" w:hAnsi="Times New Roman"/>
                <w:sz w:val="24"/>
                <w:szCs w:val="24"/>
                <w:lang w:val="sr-Cyrl-CS"/>
              </w:rPr>
              <w:t>24</w:t>
            </w:r>
          </w:p>
        </w:tc>
        <w:tc>
          <w:tcPr>
            <w:tcW w:w="1019" w:type="dxa"/>
            <w:gridSpan w:val="3"/>
            <w:tcBorders>
              <w:top w:val="single" w:sz="4" w:space="0" w:color="auto"/>
              <w:right w:val="single" w:sz="4" w:space="0" w:color="auto"/>
            </w:tcBorders>
          </w:tcPr>
          <w:p w:rsidR="00C7735F" w:rsidRDefault="00515F44" w:rsidP="00DB4188">
            <w:pPr>
              <w:jc w:val="both"/>
              <w:rPr>
                <w:rFonts w:ascii="Times New Roman" w:hAnsi="Times New Roman"/>
                <w:sz w:val="24"/>
                <w:szCs w:val="24"/>
                <w:lang w:val="sr-Cyrl-CS"/>
              </w:rPr>
            </w:pPr>
            <w:r>
              <w:rPr>
                <w:rFonts w:ascii="Times New Roman" w:hAnsi="Times New Roman"/>
                <w:sz w:val="24"/>
                <w:szCs w:val="24"/>
                <w:lang w:val="sr-Cyrl-CS"/>
              </w:rPr>
              <w:t>8</w:t>
            </w:r>
          </w:p>
        </w:tc>
        <w:tc>
          <w:tcPr>
            <w:tcW w:w="1245" w:type="dxa"/>
            <w:gridSpan w:val="2"/>
            <w:tcBorders>
              <w:top w:val="single" w:sz="4" w:space="0" w:color="auto"/>
              <w:left w:val="single" w:sz="4" w:space="0" w:color="auto"/>
            </w:tcBorders>
          </w:tcPr>
          <w:p w:rsidR="00C7735F" w:rsidRDefault="00515F44" w:rsidP="00DB4188">
            <w:pPr>
              <w:jc w:val="both"/>
              <w:rPr>
                <w:rFonts w:ascii="Times New Roman" w:hAnsi="Times New Roman"/>
                <w:sz w:val="24"/>
                <w:szCs w:val="24"/>
                <w:lang w:val="sr-Cyrl-CS"/>
              </w:rPr>
            </w:pPr>
            <w:r>
              <w:rPr>
                <w:rFonts w:ascii="Times New Roman" w:hAnsi="Times New Roman"/>
                <w:sz w:val="24"/>
                <w:szCs w:val="24"/>
                <w:lang w:val="sr-Cyrl-CS"/>
              </w:rPr>
              <w:t>-</w:t>
            </w:r>
          </w:p>
        </w:tc>
      </w:tr>
      <w:tr w:rsidR="00AD1724" w:rsidTr="000E1089">
        <w:trPr>
          <w:trHeight w:val="659"/>
        </w:trPr>
        <w:tc>
          <w:tcPr>
            <w:tcW w:w="1635" w:type="dxa"/>
            <w:tcBorders>
              <w:top w:val="single" w:sz="4" w:space="0" w:color="auto"/>
              <w:bottom w:val="single" w:sz="4" w:space="0" w:color="auto"/>
            </w:tcBorders>
          </w:tcPr>
          <w:p w:rsidR="00C7735F" w:rsidRDefault="00FE2CF7" w:rsidP="00DB4188">
            <w:pPr>
              <w:jc w:val="both"/>
              <w:rPr>
                <w:rFonts w:ascii="Times New Roman" w:hAnsi="Times New Roman"/>
                <w:sz w:val="20"/>
                <w:szCs w:val="20"/>
                <w:lang w:val="sr-Cyrl-CS"/>
              </w:rPr>
            </w:pPr>
            <w:r>
              <w:rPr>
                <w:rFonts w:ascii="Times New Roman" w:hAnsi="Times New Roman"/>
                <w:sz w:val="20"/>
                <w:szCs w:val="20"/>
                <w:lang w:val="sr-Cyrl-CS"/>
              </w:rPr>
              <w:t>2011.</w:t>
            </w:r>
          </w:p>
        </w:tc>
        <w:tc>
          <w:tcPr>
            <w:tcW w:w="1338" w:type="dxa"/>
            <w:tcBorders>
              <w:top w:val="single" w:sz="4" w:space="0" w:color="auto"/>
              <w:bottom w:val="single" w:sz="4" w:space="0" w:color="auto"/>
              <w:right w:val="single" w:sz="4" w:space="0" w:color="auto"/>
            </w:tcBorders>
          </w:tcPr>
          <w:p w:rsidR="00C7735F" w:rsidRDefault="00515F44" w:rsidP="00DB4188">
            <w:pPr>
              <w:jc w:val="both"/>
              <w:rPr>
                <w:rFonts w:ascii="Times New Roman" w:hAnsi="Times New Roman"/>
                <w:sz w:val="24"/>
                <w:szCs w:val="24"/>
                <w:lang w:val="sr-Cyrl-CS"/>
              </w:rPr>
            </w:pPr>
            <w:r>
              <w:rPr>
                <w:rFonts w:ascii="Times New Roman" w:hAnsi="Times New Roman"/>
                <w:sz w:val="24"/>
                <w:szCs w:val="24"/>
                <w:lang w:val="sr-Cyrl-CS"/>
              </w:rPr>
              <w:t>96</w:t>
            </w:r>
          </w:p>
        </w:tc>
        <w:tc>
          <w:tcPr>
            <w:tcW w:w="1548" w:type="dxa"/>
            <w:gridSpan w:val="4"/>
            <w:tcBorders>
              <w:left w:val="single" w:sz="4" w:space="0" w:color="auto"/>
              <w:bottom w:val="single" w:sz="4" w:space="0" w:color="auto"/>
            </w:tcBorders>
          </w:tcPr>
          <w:p w:rsidR="00C7735F" w:rsidRDefault="00515F44" w:rsidP="00DB4188">
            <w:pPr>
              <w:jc w:val="both"/>
              <w:rPr>
                <w:rFonts w:ascii="Times New Roman" w:hAnsi="Times New Roman"/>
                <w:sz w:val="24"/>
                <w:szCs w:val="24"/>
                <w:lang w:val="sr-Cyrl-CS"/>
              </w:rPr>
            </w:pPr>
            <w:r>
              <w:rPr>
                <w:rFonts w:ascii="Times New Roman" w:hAnsi="Times New Roman"/>
                <w:sz w:val="24"/>
                <w:szCs w:val="24"/>
                <w:lang w:val="sr-Cyrl-CS"/>
              </w:rPr>
              <w:t>49</w:t>
            </w:r>
          </w:p>
        </w:tc>
        <w:tc>
          <w:tcPr>
            <w:tcW w:w="1029" w:type="dxa"/>
            <w:tcBorders>
              <w:bottom w:val="single" w:sz="4" w:space="0" w:color="auto"/>
              <w:right w:val="single" w:sz="4" w:space="0" w:color="auto"/>
            </w:tcBorders>
          </w:tcPr>
          <w:p w:rsidR="00C7735F" w:rsidRDefault="00515F44" w:rsidP="00DB4188">
            <w:pPr>
              <w:jc w:val="both"/>
              <w:rPr>
                <w:rFonts w:ascii="Times New Roman" w:hAnsi="Times New Roman"/>
                <w:sz w:val="24"/>
                <w:szCs w:val="24"/>
                <w:lang w:val="sr-Cyrl-CS"/>
              </w:rPr>
            </w:pPr>
            <w:r>
              <w:rPr>
                <w:rFonts w:ascii="Times New Roman" w:hAnsi="Times New Roman"/>
                <w:sz w:val="24"/>
                <w:szCs w:val="24"/>
                <w:lang w:val="sr-Cyrl-CS"/>
              </w:rPr>
              <w:t>25</w:t>
            </w:r>
          </w:p>
        </w:tc>
        <w:tc>
          <w:tcPr>
            <w:tcW w:w="1231" w:type="dxa"/>
            <w:gridSpan w:val="4"/>
            <w:tcBorders>
              <w:left w:val="single" w:sz="4" w:space="0" w:color="auto"/>
              <w:bottom w:val="single" w:sz="4" w:space="0" w:color="auto"/>
            </w:tcBorders>
          </w:tcPr>
          <w:p w:rsidR="00C7735F" w:rsidRDefault="00515F44" w:rsidP="00DB4188">
            <w:pPr>
              <w:jc w:val="both"/>
              <w:rPr>
                <w:rFonts w:ascii="Times New Roman" w:hAnsi="Times New Roman"/>
                <w:sz w:val="24"/>
                <w:szCs w:val="24"/>
                <w:lang w:val="sr-Cyrl-CS"/>
              </w:rPr>
            </w:pPr>
            <w:r>
              <w:rPr>
                <w:rFonts w:ascii="Times New Roman" w:hAnsi="Times New Roman"/>
                <w:sz w:val="24"/>
                <w:szCs w:val="24"/>
                <w:lang w:val="sr-Cyrl-CS"/>
              </w:rPr>
              <w:t>21</w:t>
            </w:r>
          </w:p>
        </w:tc>
        <w:tc>
          <w:tcPr>
            <w:tcW w:w="1019" w:type="dxa"/>
            <w:gridSpan w:val="3"/>
            <w:tcBorders>
              <w:bottom w:val="single" w:sz="4" w:space="0" w:color="auto"/>
              <w:right w:val="single" w:sz="4" w:space="0" w:color="auto"/>
            </w:tcBorders>
          </w:tcPr>
          <w:p w:rsidR="00C7735F" w:rsidRDefault="00515F44" w:rsidP="00DB4188">
            <w:pPr>
              <w:jc w:val="both"/>
              <w:rPr>
                <w:rFonts w:ascii="Times New Roman" w:hAnsi="Times New Roman"/>
                <w:sz w:val="24"/>
                <w:szCs w:val="24"/>
                <w:lang w:val="sr-Cyrl-CS"/>
              </w:rPr>
            </w:pPr>
            <w:r>
              <w:rPr>
                <w:rFonts w:ascii="Times New Roman" w:hAnsi="Times New Roman"/>
                <w:sz w:val="24"/>
                <w:szCs w:val="24"/>
                <w:lang w:val="sr-Cyrl-CS"/>
              </w:rPr>
              <w:t>4</w:t>
            </w:r>
          </w:p>
        </w:tc>
        <w:tc>
          <w:tcPr>
            <w:tcW w:w="1245" w:type="dxa"/>
            <w:gridSpan w:val="2"/>
            <w:tcBorders>
              <w:left w:val="single" w:sz="4" w:space="0" w:color="auto"/>
              <w:bottom w:val="single" w:sz="4" w:space="0" w:color="auto"/>
            </w:tcBorders>
          </w:tcPr>
          <w:p w:rsidR="00C7735F" w:rsidRDefault="00515F44" w:rsidP="00DB4188">
            <w:pPr>
              <w:jc w:val="both"/>
              <w:rPr>
                <w:rFonts w:ascii="Times New Roman" w:hAnsi="Times New Roman"/>
                <w:sz w:val="24"/>
                <w:szCs w:val="24"/>
                <w:lang w:val="sr-Cyrl-CS"/>
              </w:rPr>
            </w:pPr>
            <w:r>
              <w:rPr>
                <w:rFonts w:ascii="Times New Roman" w:hAnsi="Times New Roman"/>
                <w:sz w:val="24"/>
                <w:szCs w:val="24"/>
                <w:lang w:val="sr-Cyrl-CS"/>
              </w:rPr>
              <w:t>-</w:t>
            </w:r>
          </w:p>
        </w:tc>
      </w:tr>
      <w:tr w:rsidR="00AD1724" w:rsidTr="000E1089">
        <w:trPr>
          <w:trHeight w:val="624"/>
        </w:trPr>
        <w:tc>
          <w:tcPr>
            <w:tcW w:w="1635" w:type="dxa"/>
            <w:tcBorders>
              <w:top w:val="single" w:sz="4" w:space="0" w:color="auto"/>
              <w:bottom w:val="single" w:sz="4" w:space="0" w:color="auto"/>
            </w:tcBorders>
          </w:tcPr>
          <w:p w:rsidR="00C7735F" w:rsidRDefault="00FE2CF7" w:rsidP="00DB4188">
            <w:pPr>
              <w:jc w:val="both"/>
              <w:rPr>
                <w:rFonts w:ascii="Times New Roman" w:hAnsi="Times New Roman"/>
                <w:sz w:val="20"/>
                <w:szCs w:val="20"/>
                <w:lang w:val="sr-Cyrl-CS"/>
              </w:rPr>
            </w:pPr>
            <w:r>
              <w:rPr>
                <w:rFonts w:ascii="Times New Roman" w:hAnsi="Times New Roman"/>
                <w:sz w:val="20"/>
                <w:szCs w:val="20"/>
                <w:lang w:val="sr-Cyrl-CS"/>
              </w:rPr>
              <w:t>2012.</w:t>
            </w:r>
          </w:p>
        </w:tc>
        <w:tc>
          <w:tcPr>
            <w:tcW w:w="1338" w:type="dxa"/>
            <w:tcBorders>
              <w:top w:val="single" w:sz="4" w:space="0" w:color="auto"/>
              <w:bottom w:val="single" w:sz="4" w:space="0" w:color="auto"/>
              <w:right w:val="single" w:sz="4" w:space="0" w:color="auto"/>
            </w:tcBorders>
          </w:tcPr>
          <w:p w:rsidR="00C7735F" w:rsidRDefault="00515F44" w:rsidP="00DB4188">
            <w:pPr>
              <w:jc w:val="both"/>
              <w:rPr>
                <w:rFonts w:ascii="Times New Roman" w:hAnsi="Times New Roman"/>
                <w:sz w:val="24"/>
                <w:szCs w:val="24"/>
                <w:lang w:val="sr-Cyrl-CS"/>
              </w:rPr>
            </w:pPr>
            <w:r>
              <w:rPr>
                <w:rFonts w:ascii="Times New Roman" w:hAnsi="Times New Roman"/>
                <w:sz w:val="24"/>
                <w:szCs w:val="24"/>
                <w:lang w:val="sr-Cyrl-CS"/>
              </w:rPr>
              <w:t>91</w:t>
            </w:r>
          </w:p>
        </w:tc>
        <w:tc>
          <w:tcPr>
            <w:tcW w:w="1548" w:type="dxa"/>
            <w:gridSpan w:val="4"/>
            <w:tcBorders>
              <w:top w:val="single" w:sz="4" w:space="0" w:color="auto"/>
              <w:left w:val="single" w:sz="4" w:space="0" w:color="auto"/>
              <w:bottom w:val="single" w:sz="4" w:space="0" w:color="auto"/>
              <w:right w:val="single" w:sz="4" w:space="0" w:color="auto"/>
            </w:tcBorders>
          </w:tcPr>
          <w:p w:rsidR="00C7735F" w:rsidRDefault="00515F44" w:rsidP="00DB4188">
            <w:pPr>
              <w:jc w:val="both"/>
              <w:rPr>
                <w:rFonts w:ascii="Times New Roman" w:hAnsi="Times New Roman"/>
                <w:sz w:val="24"/>
                <w:szCs w:val="24"/>
                <w:lang w:val="sr-Cyrl-CS"/>
              </w:rPr>
            </w:pPr>
            <w:r>
              <w:rPr>
                <w:rFonts w:ascii="Times New Roman" w:hAnsi="Times New Roman"/>
                <w:sz w:val="24"/>
                <w:szCs w:val="24"/>
                <w:lang w:val="sr-Cyrl-CS"/>
              </w:rPr>
              <w:t>74</w:t>
            </w:r>
          </w:p>
        </w:tc>
        <w:tc>
          <w:tcPr>
            <w:tcW w:w="1029" w:type="dxa"/>
            <w:tcBorders>
              <w:top w:val="single" w:sz="4" w:space="0" w:color="auto"/>
              <w:left w:val="single" w:sz="4" w:space="0" w:color="auto"/>
              <w:bottom w:val="single" w:sz="4" w:space="0" w:color="auto"/>
              <w:right w:val="single" w:sz="4" w:space="0" w:color="auto"/>
            </w:tcBorders>
          </w:tcPr>
          <w:p w:rsidR="00C7735F" w:rsidRDefault="00515F44" w:rsidP="00DB4188">
            <w:pPr>
              <w:jc w:val="both"/>
              <w:rPr>
                <w:rFonts w:ascii="Times New Roman" w:hAnsi="Times New Roman"/>
                <w:sz w:val="24"/>
                <w:szCs w:val="24"/>
                <w:lang w:val="sr-Cyrl-CS"/>
              </w:rPr>
            </w:pPr>
            <w:r>
              <w:rPr>
                <w:rFonts w:ascii="Times New Roman" w:hAnsi="Times New Roman"/>
                <w:sz w:val="24"/>
                <w:szCs w:val="24"/>
                <w:lang w:val="sr-Cyrl-CS"/>
              </w:rPr>
              <w:t>59</w:t>
            </w:r>
          </w:p>
        </w:tc>
        <w:tc>
          <w:tcPr>
            <w:tcW w:w="1231" w:type="dxa"/>
            <w:gridSpan w:val="4"/>
            <w:tcBorders>
              <w:top w:val="single" w:sz="4" w:space="0" w:color="auto"/>
              <w:left w:val="single" w:sz="4" w:space="0" w:color="auto"/>
              <w:bottom w:val="single" w:sz="4" w:space="0" w:color="auto"/>
            </w:tcBorders>
          </w:tcPr>
          <w:p w:rsidR="00C7735F" w:rsidRDefault="00515F44" w:rsidP="00DB4188">
            <w:pPr>
              <w:jc w:val="both"/>
              <w:rPr>
                <w:rFonts w:ascii="Times New Roman" w:hAnsi="Times New Roman"/>
                <w:sz w:val="24"/>
                <w:szCs w:val="24"/>
                <w:lang w:val="sr-Cyrl-CS"/>
              </w:rPr>
            </w:pPr>
            <w:r>
              <w:rPr>
                <w:rFonts w:ascii="Times New Roman" w:hAnsi="Times New Roman"/>
                <w:sz w:val="24"/>
                <w:szCs w:val="24"/>
                <w:lang w:val="sr-Cyrl-CS"/>
              </w:rPr>
              <w:t>53</w:t>
            </w:r>
          </w:p>
        </w:tc>
        <w:tc>
          <w:tcPr>
            <w:tcW w:w="1019" w:type="dxa"/>
            <w:gridSpan w:val="3"/>
            <w:tcBorders>
              <w:top w:val="single" w:sz="4" w:space="0" w:color="auto"/>
              <w:bottom w:val="single" w:sz="4" w:space="0" w:color="auto"/>
              <w:right w:val="single" w:sz="4" w:space="0" w:color="auto"/>
            </w:tcBorders>
          </w:tcPr>
          <w:p w:rsidR="00C7735F" w:rsidRDefault="00515F44" w:rsidP="00DB4188">
            <w:pPr>
              <w:jc w:val="both"/>
              <w:rPr>
                <w:rFonts w:ascii="Times New Roman" w:hAnsi="Times New Roman"/>
                <w:sz w:val="24"/>
                <w:szCs w:val="24"/>
                <w:lang w:val="sr-Cyrl-CS"/>
              </w:rPr>
            </w:pPr>
            <w:r>
              <w:rPr>
                <w:rFonts w:ascii="Times New Roman" w:hAnsi="Times New Roman"/>
                <w:sz w:val="24"/>
                <w:szCs w:val="24"/>
                <w:lang w:val="sr-Cyrl-CS"/>
              </w:rPr>
              <w:t>6</w:t>
            </w:r>
          </w:p>
        </w:tc>
        <w:tc>
          <w:tcPr>
            <w:tcW w:w="1245" w:type="dxa"/>
            <w:gridSpan w:val="2"/>
            <w:tcBorders>
              <w:top w:val="single" w:sz="4" w:space="0" w:color="auto"/>
              <w:left w:val="single" w:sz="4" w:space="0" w:color="auto"/>
              <w:bottom w:val="single" w:sz="4" w:space="0" w:color="auto"/>
            </w:tcBorders>
          </w:tcPr>
          <w:p w:rsidR="00C7735F" w:rsidRDefault="00515F44" w:rsidP="00DB4188">
            <w:pPr>
              <w:jc w:val="both"/>
              <w:rPr>
                <w:rFonts w:ascii="Times New Roman" w:hAnsi="Times New Roman"/>
                <w:sz w:val="24"/>
                <w:szCs w:val="24"/>
                <w:lang w:val="sr-Cyrl-CS"/>
              </w:rPr>
            </w:pPr>
            <w:r>
              <w:rPr>
                <w:rFonts w:ascii="Times New Roman" w:hAnsi="Times New Roman"/>
                <w:sz w:val="24"/>
                <w:szCs w:val="24"/>
                <w:lang w:val="sr-Cyrl-CS"/>
              </w:rPr>
              <w:t>-</w:t>
            </w:r>
          </w:p>
        </w:tc>
      </w:tr>
      <w:tr w:rsidR="00AD1724" w:rsidTr="000E1089">
        <w:trPr>
          <w:trHeight w:val="694"/>
        </w:trPr>
        <w:tc>
          <w:tcPr>
            <w:tcW w:w="1635" w:type="dxa"/>
            <w:tcBorders>
              <w:top w:val="single" w:sz="4" w:space="0" w:color="auto"/>
              <w:bottom w:val="single" w:sz="4" w:space="0" w:color="auto"/>
            </w:tcBorders>
          </w:tcPr>
          <w:p w:rsidR="005D78FA" w:rsidRPr="0015683D" w:rsidRDefault="00850EC5" w:rsidP="00DB4188">
            <w:pPr>
              <w:jc w:val="both"/>
              <w:rPr>
                <w:rFonts w:ascii="Times New Roman" w:hAnsi="Times New Roman"/>
                <w:b/>
                <w:sz w:val="20"/>
                <w:szCs w:val="20"/>
                <w:lang w:val="sr-Cyrl-CS"/>
              </w:rPr>
            </w:pPr>
            <w:r w:rsidRPr="0015683D">
              <w:rPr>
                <w:rFonts w:ascii="Times New Roman" w:hAnsi="Times New Roman"/>
                <w:b/>
                <w:sz w:val="20"/>
                <w:szCs w:val="20"/>
                <w:lang w:val="sr-Cyrl-CS"/>
              </w:rPr>
              <w:t>Давање мита</w:t>
            </w:r>
          </w:p>
          <w:p w:rsidR="00850EC5" w:rsidRDefault="00850EC5" w:rsidP="00DB4188">
            <w:pPr>
              <w:jc w:val="both"/>
              <w:rPr>
                <w:rFonts w:ascii="Times New Roman" w:hAnsi="Times New Roman"/>
                <w:sz w:val="20"/>
                <w:szCs w:val="20"/>
                <w:lang w:val="sr-Cyrl-CS"/>
              </w:rPr>
            </w:pPr>
            <w:r>
              <w:rPr>
                <w:rFonts w:ascii="Times New Roman" w:hAnsi="Times New Roman"/>
                <w:sz w:val="20"/>
                <w:szCs w:val="20"/>
                <w:lang w:val="sr-Cyrl-CS"/>
              </w:rPr>
              <w:t>2007.</w:t>
            </w:r>
          </w:p>
        </w:tc>
        <w:tc>
          <w:tcPr>
            <w:tcW w:w="1338" w:type="dxa"/>
            <w:tcBorders>
              <w:top w:val="single" w:sz="4" w:space="0" w:color="auto"/>
              <w:bottom w:val="nil"/>
              <w:right w:val="single" w:sz="4" w:space="0" w:color="auto"/>
            </w:tcBorders>
          </w:tcPr>
          <w:p w:rsidR="00522F35" w:rsidRDefault="00522F35" w:rsidP="00DB4188">
            <w:pPr>
              <w:jc w:val="both"/>
              <w:rPr>
                <w:rFonts w:ascii="Times New Roman" w:hAnsi="Times New Roman"/>
                <w:sz w:val="24"/>
                <w:szCs w:val="24"/>
                <w:lang w:val="sr-Cyrl-CS"/>
              </w:rPr>
            </w:pPr>
          </w:p>
          <w:p w:rsidR="005D78FA" w:rsidRDefault="00FA7446" w:rsidP="00DB4188">
            <w:pPr>
              <w:jc w:val="both"/>
              <w:rPr>
                <w:rFonts w:ascii="Times New Roman" w:hAnsi="Times New Roman"/>
                <w:sz w:val="24"/>
                <w:szCs w:val="24"/>
                <w:lang w:val="sr-Cyrl-CS"/>
              </w:rPr>
            </w:pPr>
            <w:r>
              <w:rPr>
                <w:rFonts w:ascii="Times New Roman" w:hAnsi="Times New Roman"/>
                <w:sz w:val="24"/>
                <w:szCs w:val="24"/>
                <w:lang w:val="sr-Cyrl-CS"/>
              </w:rPr>
              <w:t>109</w:t>
            </w:r>
          </w:p>
        </w:tc>
        <w:tc>
          <w:tcPr>
            <w:tcW w:w="1548" w:type="dxa"/>
            <w:gridSpan w:val="4"/>
            <w:tcBorders>
              <w:top w:val="single" w:sz="4" w:space="0" w:color="auto"/>
              <w:left w:val="single" w:sz="4" w:space="0" w:color="auto"/>
              <w:bottom w:val="nil"/>
              <w:right w:val="single" w:sz="4" w:space="0" w:color="auto"/>
            </w:tcBorders>
          </w:tcPr>
          <w:p w:rsidR="00522F35" w:rsidRDefault="00522F35" w:rsidP="00DB4188">
            <w:pPr>
              <w:jc w:val="both"/>
              <w:rPr>
                <w:rFonts w:ascii="Times New Roman" w:hAnsi="Times New Roman"/>
                <w:sz w:val="24"/>
                <w:szCs w:val="24"/>
                <w:lang w:val="sr-Cyrl-CS"/>
              </w:rPr>
            </w:pPr>
          </w:p>
          <w:p w:rsidR="005D78FA" w:rsidRDefault="00FA7446" w:rsidP="00DB4188">
            <w:pPr>
              <w:jc w:val="both"/>
              <w:rPr>
                <w:rFonts w:ascii="Times New Roman" w:hAnsi="Times New Roman"/>
                <w:sz w:val="24"/>
                <w:szCs w:val="24"/>
                <w:lang w:val="sr-Cyrl-CS"/>
              </w:rPr>
            </w:pPr>
            <w:r>
              <w:rPr>
                <w:rFonts w:ascii="Times New Roman" w:hAnsi="Times New Roman"/>
                <w:sz w:val="24"/>
                <w:szCs w:val="24"/>
                <w:lang w:val="sr-Cyrl-CS"/>
              </w:rPr>
              <w:t>29</w:t>
            </w:r>
          </w:p>
        </w:tc>
        <w:tc>
          <w:tcPr>
            <w:tcW w:w="1029" w:type="dxa"/>
            <w:tcBorders>
              <w:top w:val="single" w:sz="4" w:space="0" w:color="auto"/>
              <w:left w:val="single" w:sz="4" w:space="0" w:color="auto"/>
              <w:bottom w:val="nil"/>
              <w:right w:val="single" w:sz="4" w:space="0" w:color="auto"/>
            </w:tcBorders>
          </w:tcPr>
          <w:p w:rsidR="00522F35" w:rsidRDefault="00522F35" w:rsidP="00DB4188">
            <w:pPr>
              <w:jc w:val="both"/>
              <w:rPr>
                <w:rFonts w:ascii="Times New Roman" w:hAnsi="Times New Roman"/>
                <w:sz w:val="24"/>
                <w:szCs w:val="24"/>
                <w:lang w:val="sr-Cyrl-CS"/>
              </w:rPr>
            </w:pPr>
          </w:p>
          <w:p w:rsidR="005D78FA" w:rsidRDefault="00FA7446" w:rsidP="00DB4188">
            <w:pPr>
              <w:jc w:val="both"/>
              <w:rPr>
                <w:rFonts w:ascii="Times New Roman" w:hAnsi="Times New Roman"/>
                <w:sz w:val="24"/>
                <w:szCs w:val="24"/>
                <w:lang w:val="sr-Cyrl-CS"/>
              </w:rPr>
            </w:pPr>
            <w:r>
              <w:rPr>
                <w:rFonts w:ascii="Times New Roman" w:hAnsi="Times New Roman"/>
                <w:sz w:val="24"/>
                <w:szCs w:val="24"/>
                <w:lang w:val="sr-Cyrl-CS"/>
              </w:rPr>
              <w:t>28</w:t>
            </w:r>
          </w:p>
        </w:tc>
        <w:tc>
          <w:tcPr>
            <w:tcW w:w="1221" w:type="dxa"/>
            <w:gridSpan w:val="3"/>
            <w:tcBorders>
              <w:top w:val="single" w:sz="4" w:space="0" w:color="auto"/>
              <w:left w:val="single" w:sz="4" w:space="0" w:color="auto"/>
              <w:bottom w:val="nil"/>
              <w:right w:val="single" w:sz="4" w:space="0" w:color="auto"/>
            </w:tcBorders>
          </w:tcPr>
          <w:p w:rsidR="00522F35" w:rsidRDefault="00522F35" w:rsidP="00DB4188">
            <w:pPr>
              <w:jc w:val="both"/>
              <w:rPr>
                <w:rFonts w:ascii="Times New Roman" w:hAnsi="Times New Roman"/>
                <w:sz w:val="24"/>
                <w:szCs w:val="24"/>
                <w:lang w:val="sr-Cyrl-CS"/>
              </w:rPr>
            </w:pPr>
          </w:p>
          <w:p w:rsidR="005D78FA" w:rsidRDefault="00515F44" w:rsidP="00DB4188">
            <w:pPr>
              <w:jc w:val="both"/>
              <w:rPr>
                <w:rFonts w:ascii="Times New Roman" w:hAnsi="Times New Roman"/>
                <w:sz w:val="24"/>
                <w:szCs w:val="24"/>
                <w:lang w:val="sr-Cyrl-CS"/>
              </w:rPr>
            </w:pPr>
            <w:r>
              <w:rPr>
                <w:rFonts w:ascii="Times New Roman" w:hAnsi="Times New Roman"/>
                <w:sz w:val="24"/>
                <w:szCs w:val="24"/>
                <w:lang w:val="sr-Cyrl-CS"/>
              </w:rPr>
              <w:t>9</w:t>
            </w:r>
          </w:p>
        </w:tc>
        <w:tc>
          <w:tcPr>
            <w:tcW w:w="1029" w:type="dxa"/>
            <w:gridSpan w:val="4"/>
            <w:tcBorders>
              <w:top w:val="single" w:sz="4" w:space="0" w:color="auto"/>
              <w:left w:val="single" w:sz="4" w:space="0" w:color="auto"/>
              <w:bottom w:val="nil"/>
              <w:right w:val="single" w:sz="4" w:space="0" w:color="auto"/>
            </w:tcBorders>
          </w:tcPr>
          <w:p w:rsidR="00522F35" w:rsidRDefault="00522F35" w:rsidP="00DB4188">
            <w:pPr>
              <w:jc w:val="both"/>
              <w:rPr>
                <w:rFonts w:ascii="Times New Roman" w:hAnsi="Times New Roman"/>
                <w:sz w:val="24"/>
                <w:szCs w:val="24"/>
                <w:lang w:val="sr-Cyrl-CS"/>
              </w:rPr>
            </w:pPr>
          </w:p>
          <w:p w:rsidR="005D78FA" w:rsidRDefault="00515F44" w:rsidP="00DB4188">
            <w:pPr>
              <w:jc w:val="both"/>
              <w:rPr>
                <w:rFonts w:ascii="Times New Roman" w:hAnsi="Times New Roman"/>
                <w:sz w:val="24"/>
                <w:szCs w:val="24"/>
                <w:lang w:val="sr-Cyrl-CS"/>
              </w:rPr>
            </w:pPr>
            <w:r>
              <w:rPr>
                <w:rFonts w:ascii="Times New Roman" w:hAnsi="Times New Roman"/>
                <w:sz w:val="24"/>
                <w:szCs w:val="24"/>
                <w:lang w:val="sr-Cyrl-CS"/>
              </w:rPr>
              <w:t>23</w:t>
            </w:r>
          </w:p>
        </w:tc>
        <w:tc>
          <w:tcPr>
            <w:tcW w:w="1245" w:type="dxa"/>
            <w:gridSpan w:val="2"/>
            <w:tcBorders>
              <w:top w:val="single" w:sz="4" w:space="0" w:color="auto"/>
              <w:left w:val="single" w:sz="4" w:space="0" w:color="auto"/>
              <w:bottom w:val="nil"/>
            </w:tcBorders>
          </w:tcPr>
          <w:p w:rsidR="00522F35" w:rsidRDefault="00522F35" w:rsidP="00DB4188">
            <w:pPr>
              <w:jc w:val="both"/>
              <w:rPr>
                <w:rFonts w:ascii="Times New Roman" w:hAnsi="Times New Roman"/>
                <w:sz w:val="24"/>
                <w:szCs w:val="24"/>
                <w:lang w:val="sr-Cyrl-CS"/>
              </w:rPr>
            </w:pPr>
          </w:p>
          <w:p w:rsidR="005D78FA" w:rsidRDefault="00515F44" w:rsidP="00DB4188">
            <w:pPr>
              <w:jc w:val="both"/>
              <w:rPr>
                <w:rFonts w:ascii="Times New Roman" w:hAnsi="Times New Roman"/>
                <w:sz w:val="24"/>
                <w:szCs w:val="24"/>
                <w:lang w:val="sr-Cyrl-CS"/>
              </w:rPr>
            </w:pPr>
            <w:r>
              <w:rPr>
                <w:rFonts w:ascii="Times New Roman" w:hAnsi="Times New Roman"/>
                <w:sz w:val="24"/>
                <w:szCs w:val="24"/>
                <w:lang w:val="sr-Cyrl-CS"/>
              </w:rPr>
              <w:t>-</w:t>
            </w:r>
          </w:p>
        </w:tc>
      </w:tr>
      <w:tr w:rsidR="00AD1724" w:rsidTr="000E1089">
        <w:trPr>
          <w:trHeight w:val="382"/>
        </w:trPr>
        <w:tc>
          <w:tcPr>
            <w:tcW w:w="1635" w:type="dxa"/>
            <w:tcBorders>
              <w:top w:val="single" w:sz="4" w:space="0" w:color="auto"/>
              <w:bottom w:val="single" w:sz="4" w:space="0" w:color="auto"/>
            </w:tcBorders>
          </w:tcPr>
          <w:p w:rsidR="001E433F" w:rsidRDefault="00850EC5" w:rsidP="00DB4188">
            <w:pPr>
              <w:jc w:val="both"/>
              <w:rPr>
                <w:rFonts w:ascii="Times New Roman" w:hAnsi="Times New Roman"/>
                <w:sz w:val="20"/>
                <w:szCs w:val="20"/>
                <w:lang w:val="sr-Cyrl-CS"/>
              </w:rPr>
            </w:pPr>
            <w:r>
              <w:rPr>
                <w:rFonts w:ascii="Times New Roman" w:hAnsi="Times New Roman"/>
                <w:sz w:val="20"/>
                <w:szCs w:val="20"/>
                <w:lang w:val="sr-Cyrl-CS"/>
              </w:rPr>
              <w:t>2008.</w:t>
            </w:r>
          </w:p>
        </w:tc>
        <w:tc>
          <w:tcPr>
            <w:tcW w:w="1338" w:type="dxa"/>
            <w:tcBorders>
              <w:top w:val="single" w:sz="4" w:space="0" w:color="auto"/>
              <w:bottom w:val="single" w:sz="4" w:space="0" w:color="auto"/>
              <w:righ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102</w:t>
            </w:r>
          </w:p>
        </w:tc>
        <w:tc>
          <w:tcPr>
            <w:tcW w:w="1548" w:type="dxa"/>
            <w:gridSpan w:val="4"/>
            <w:tcBorders>
              <w:top w:val="single" w:sz="4" w:space="0" w:color="auto"/>
              <w:left w:val="single" w:sz="4" w:space="0" w:color="auto"/>
              <w:bottom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35</w:t>
            </w:r>
          </w:p>
        </w:tc>
        <w:tc>
          <w:tcPr>
            <w:tcW w:w="1029" w:type="dxa"/>
            <w:tcBorders>
              <w:top w:val="single" w:sz="4" w:space="0" w:color="auto"/>
              <w:bottom w:val="single" w:sz="4" w:space="0" w:color="auto"/>
              <w:righ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31</w:t>
            </w:r>
          </w:p>
        </w:tc>
        <w:tc>
          <w:tcPr>
            <w:tcW w:w="1231" w:type="dxa"/>
            <w:gridSpan w:val="4"/>
            <w:tcBorders>
              <w:top w:val="single" w:sz="4" w:space="0" w:color="auto"/>
              <w:left w:val="single" w:sz="4" w:space="0" w:color="auto"/>
              <w:bottom w:val="single" w:sz="4" w:space="0" w:color="auto"/>
              <w:right w:val="single" w:sz="4" w:space="0" w:color="auto"/>
            </w:tcBorders>
          </w:tcPr>
          <w:p w:rsidR="001E433F" w:rsidRDefault="00515F44" w:rsidP="00DB4188">
            <w:pPr>
              <w:jc w:val="both"/>
              <w:rPr>
                <w:rFonts w:ascii="Times New Roman" w:hAnsi="Times New Roman"/>
                <w:sz w:val="24"/>
                <w:szCs w:val="24"/>
                <w:lang w:val="sr-Cyrl-CS"/>
              </w:rPr>
            </w:pPr>
            <w:r>
              <w:rPr>
                <w:rFonts w:ascii="Times New Roman" w:hAnsi="Times New Roman"/>
                <w:sz w:val="24"/>
                <w:szCs w:val="24"/>
                <w:lang w:val="sr-Cyrl-CS"/>
              </w:rPr>
              <w:t>2</w:t>
            </w:r>
          </w:p>
        </w:tc>
        <w:tc>
          <w:tcPr>
            <w:tcW w:w="1019" w:type="dxa"/>
            <w:gridSpan w:val="3"/>
            <w:tcBorders>
              <w:top w:val="single" w:sz="4" w:space="0" w:color="auto"/>
              <w:left w:val="single" w:sz="4" w:space="0" w:color="auto"/>
              <w:bottom w:val="single" w:sz="4" w:space="0" w:color="auto"/>
              <w:right w:val="single" w:sz="4" w:space="0" w:color="auto"/>
            </w:tcBorders>
          </w:tcPr>
          <w:p w:rsidR="001E433F" w:rsidRDefault="00515F44" w:rsidP="00DB4188">
            <w:pPr>
              <w:jc w:val="both"/>
              <w:rPr>
                <w:rFonts w:ascii="Times New Roman" w:hAnsi="Times New Roman"/>
                <w:sz w:val="24"/>
                <w:szCs w:val="24"/>
                <w:lang w:val="sr-Cyrl-CS"/>
              </w:rPr>
            </w:pPr>
            <w:r>
              <w:rPr>
                <w:rFonts w:ascii="Times New Roman" w:hAnsi="Times New Roman"/>
                <w:sz w:val="24"/>
                <w:szCs w:val="24"/>
                <w:lang w:val="sr-Cyrl-CS"/>
              </w:rPr>
              <w:t>25</w:t>
            </w:r>
          </w:p>
        </w:tc>
        <w:tc>
          <w:tcPr>
            <w:tcW w:w="1245" w:type="dxa"/>
            <w:gridSpan w:val="2"/>
            <w:tcBorders>
              <w:top w:val="single" w:sz="4" w:space="0" w:color="auto"/>
              <w:left w:val="single" w:sz="4" w:space="0" w:color="auto"/>
              <w:bottom w:val="single" w:sz="4" w:space="0" w:color="auto"/>
            </w:tcBorders>
          </w:tcPr>
          <w:p w:rsidR="001E433F" w:rsidRDefault="00515F44" w:rsidP="00DB4188">
            <w:pPr>
              <w:jc w:val="both"/>
              <w:rPr>
                <w:rFonts w:ascii="Times New Roman" w:hAnsi="Times New Roman"/>
                <w:sz w:val="24"/>
                <w:szCs w:val="24"/>
                <w:lang w:val="sr-Cyrl-CS"/>
              </w:rPr>
            </w:pPr>
            <w:r>
              <w:rPr>
                <w:rFonts w:ascii="Times New Roman" w:hAnsi="Times New Roman"/>
                <w:sz w:val="24"/>
                <w:szCs w:val="24"/>
                <w:lang w:val="sr-Cyrl-CS"/>
              </w:rPr>
              <w:t>-</w:t>
            </w:r>
          </w:p>
        </w:tc>
      </w:tr>
      <w:tr w:rsidR="00AD1724" w:rsidTr="000E1089">
        <w:trPr>
          <w:trHeight w:val="199"/>
        </w:trPr>
        <w:tc>
          <w:tcPr>
            <w:tcW w:w="1635" w:type="dxa"/>
            <w:tcBorders>
              <w:top w:val="single" w:sz="4" w:space="0" w:color="auto"/>
              <w:bottom w:val="single" w:sz="4" w:space="0" w:color="auto"/>
            </w:tcBorders>
          </w:tcPr>
          <w:p w:rsidR="005D78FA" w:rsidRDefault="00850EC5" w:rsidP="00DB4188">
            <w:pPr>
              <w:jc w:val="both"/>
              <w:rPr>
                <w:rFonts w:ascii="Times New Roman" w:hAnsi="Times New Roman"/>
                <w:sz w:val="20"/>
                <w:szCs w:val="20"/>
                <w:lang w:val="sr-Cyrl-CS"/>
              </w:rPr>
            </w:pPr>
            <w:r>
              <w:rPr>
                <w:rFonts w:ascii="Times New Roman" w:hAnsi="Times New Roman"/>
                <w:sz w:val="20"/>
                <w:szCs w:val="20"/>
                <w:lang w:val="sr-Cyrl-CS"/>
              </w:rPr>
              <w:t>2009.</w:t>
            </w:r>
          </w:p>
        </w:tc>
        <w:tc>
          <w:tcPr>
            <w:tcW w:w="1338" w:type="dxa"/>
            <w:tcBorders>
              <w:top w:val="single" w:sz="4" w:space="0" w:color="auto"/>
              <w:right w:val="single" w:sz="4" w:space="0" w:color="auto"/>
            </w:tcBorders>
          </w:tcPr>
          <w:p w:rsidR="005D78FA" w:rsidRDefault="00FA7446" w:rsidP="00DB4188">
            <w:pPr>
              <w:jc w:val="both"/>
              <w:rPr>
                <w:rFonts w:ascii="Times New Roman" w:hAnsi="Times New Roman"/>
                <w:sz w:val="24"/>
                <w:szCs w:val="24"/>
                <w:lang w:val="sr-Cyrl-CS"/>
              </w:rPr>
            </w:pPr>
            <w:r>
              <w:rPr>
                <w:rFonts w:ascii="Times New Roman" w:hAnsi="Times New Roman"/>
                <w:sz w:val="24"/>
                <w:szCs w:val="24"/>
                <w:lang w:val="sr-Cyrl-CS"/>
              </w:rPr>
              <w:t>85</w:t>
            </w:r>
          </w:p>
        </w:tc>
        <w:tc>
          <w:tcPr>
            <w:tcW w:w="1548" w:type="dxa"/>
            <w:gridSpan w:val="4"/>
            <w:tcBorders>
              <w:top w:val="single" w:sz="4" w:space="0" w:color="auto"/>
              <w:left w:val="single" w:sz="4" w:space="0" w:color="auto"/>
              <w:bottom w:val="single" w:sz="4" w:space="0" w:color="auto"/>
            </w:tcBorders>
          </w:tcPr>
          <w:p w:rsidR="005D78FA" w:rsidRDefault="00FA7446" w:rsidP="00DB4188">
            <w:pPr>
              <w:jc w:val="both"/>
              <w:rPr>
                <w:rFonts w:ascii="Times New Roman" w:hAnsi="Times New Roman"/>
                <w:sz w:val="24"/>
                <w:szCs w:val="24"/>
                <w:lang w:val="sr-Cyrl-CS"/>
              </w:rPr>
            </w:pPr>
            <w:r>
              <w:rPr>
                <w:rFonts w:ascii="Times New Roman" w:hAnsi="Times New Roman"/>
                <w:sz w:val="24"/>
                <w:szCs w:val="24"/>
                <w:lang w:val="sr-Cyrl-CS"/>
              </w:rPr>
              <w:t>45</w:t>
            </w:r>
          </w:p>
        </w:tc>
        <w:tc>
          <w:tcPr>
            <w:tcW w:w="1029" w:type="dxa"/>
            <w:tcBorders>
              <w:top w:val="single" w:sz="4" w:space="0" w:color="auto"/>
              <w:bottom w:val="single" w:sz="4" w:space="0" w:color="auto"/>
              <w:right w:val="single" w:sz="4" w:space="0" w:color="auto"/>
            </w:tcBorders>
          </w:tcPr>
          <w:p w:rsidR="005D78FA" w:rsidRDefault="00FA7446" w:rsidP="00DB4188">
            <w:pPr>
              <w:jc w:val="both"/>
              <w:rPr>
                <w:rFonts w:ascii="Times New Roman" w:hAnsi="Times New Roman"/>
                <w:sz w:val="24"/>
                <w:szCs w:val="24"/>
                <w:lang w:val="sr-Cyrl-CS"/>
              </w:rPr>
            </w:pPr>
            <w:r>
              <w:rPr>
                <w:rFonts w:ascii="Times New Roman" w:hAnsi="Times New Roman"/>
                <w:sz w:val="24"/>
                <w:szCs w:val="24"/>
                <w:lang w:val="sr-Cyrl-CS"/>
              </w:rPr>
              <w:t>35</w:t>
            </w:r>
          </w:p>
        </w:tc>
        <w:tc>
          <w:tcPr>
            <w:tcW w:w="1231" w:type="dxa"/>
            <w:gridSpan w:val="4"/>
            <w:tcBorders>
              <w:top w:val="single" w:sz="4" w:space="0" w:color="auto"/>
              <w:left w:val="single" w:sz="4" w:space="0" w:color="auto"/>
              <w:bottom w:val="single" w:sz="4" w:space="0" w:color="auto"/>
              <w:right w:val="single" w:sz="4" w:space="0" w:color="auto"/>
            </w:tcBorders>
          </w:tcPr>
          <w:p w:rsidR="005D78FA" w:rsidRDefault="00515F44" w:rsidP="00DB4188">
            <w:pPr>
              <w:jc w:val="both"/>
              <w:rPr>
                <w:rFonts w:ascii="Times New Roman" w:hAnsi="Times New Roman"/>
                <w:sz w:val="24"/>
                <w:szCs w:val="24"/>
                <w:lang w:val="sr-Cyrl-CS"/>
              </w:rPr>
            </w:pPr>
            <w:r>
              <w:rPr>
                <w:rFonts w:ascii="Times New Roman" w:hAnsi="Times New Roman"/>
                <w:sz w:val="24"/>
                <w:szCs w:val="24"/>
                <w:lang w:val="sr-Cyrl-CS"/>
              </w:rPr>
              <w:t>4</w:t>
            </w:r>
          </w:p>
        </w:tc>
        <w:tc>
          <w:tcPr>
            <w:tcW w:w="1019" w:type="dxa"/>
            <w:gridSpan w:val="3"/>
            <w:tcBorders>
              <w:top w:val="single" w:sz="4" w:space="0" w:color="auto"/>
              <w:left w:val="single" w:sz="4" w:space="0" w:color="auto"/>
              <w:bottom w:val="single" w:sz="4" w:space="0" w:color="auto"/>
              <w:right w:val="single" w:sz="4" w:space="0" w:color="auto"/>
            </w:tcBorders>
          </w:tcPr>
          <w:p w:rsidR="005D78FA" w:rsidRDefault="00515F44" w:rsidP="00DB4188">
            <w:pPr>
              <w:jc w:val="both"/>
              <w:rPr>
                <w:rFonts w:ascii="Times New Roman" w:hAnsi="Times New Roman"/>
                <w:sz w:val="24"/>
                <w:szCs w:val="24"/>
                <w:lang w:val="sr-Cyrl-CS"/>
              </w:rPr>
            </w:pPr>
            <w:r>
              <w:rPr>
                <w:rFonts w:ascii="Times New Roman" w:hAnsi="Times New Roman"/>
                <w:sz w:val="24"/>
                <w:szCs w:val="24"/>
                <w:lang w:val="sr-Cyrl-CS"/>
              </w:rPr>
              <w:t>24</w:t>
            </w:r>
          </w:p>
        </w:tc>
        <w:tc>
          <w:tcPr>
            <w:tcW w:w="1245" w:type="dxa"/>
            <w:gridSpan w:val="2"/>
            <w:tcBorders>
              <w:top w:val="single" w:sz="4" w:space="0" w:color="auto"/>
              <w:left w:val="single" w:sz="4" w:space="0" w:color="auto"/>
              <w:bottom w:val="single" w:sz="4" w:space="0" w:color="auto"/>
            </w:tcBorders>
          </w:tcPr>
          <w:p w:rsidR="005D78FA" w:rsidRDefault="00515F44" w:rsidP="00DB4188">
            <w:pPr>
              <w:jc w:val="both"/>
              <w:rPr>
                <w:rFonts w:ascii="Times New Roman" w:hAnsi="Times New Roman"/>
                <w:sz w:val="24"/>
                <w:szCs w:val="24"/>
                <w:lang w:val="sr-Cyrl-CS"/>
              </w:rPr>
            </w:pPr>
            <w:r>
              <w:rPr>
                <w:rFonts w:ascii="Times New Roman" w:hAnsi="Times New Roman"/>
                <w:sz w:val="24"/>
                <w:szCs w:val="24"/>
                <w:lang w:val="sr-Cyrl-CS"/>
              </w:rPr>
              <w:t>1</w:t>
            </w:r>
          </w:p>
        </w:tc>
      </w:tr>
      <w:tr w:rsidR="00AD1724" w:rsidTr="000E1089">
        <w:trPr>
          <w:trHeight w:val="554"/>
        </w:trPr>
        <w:tc>
          <w:tcPr>
            <w:tcW w:w="1635" w:type="dxa"/>
            <w:tcBorders>
              <w:top w:val="single" w:sz="4" w:space="0" w:color="auto"/>
              <w:bottom w:val="single" w:sz="4" w:space="0" w:color="auto"/>
            </w:tcBorders>
          </w:tcPr>
          <w:p w:rsidR="001E433F" w:rsidRDefault="00850EC5" w:rsidP="00DB4188">
            <w:pPr>
              <w:jc w:val="both"/>
              <w:rPr>
                <w:rFonts w:ascii="Times New Roman" w:hAnsi="Times New Roman"/>
                <w:sz w:val="20"/>
                <w:szCs w:val="20"/>
                <w:lang w:val="sr-Cyrl-CS"/>
              </w:rPr>
            </w:pPr>
            <w:r>
              <w:rPr>
                <w:rFonts w:ascii="Times New Roman" w:hAnsi="Times New Roman"/>
                <w:sz w:val="20"/>
                <w:szCs w:val="20"/>
                <w:lang w:val="sr-Cyrl-CS"/>
              </w:rPr>
              <w:t>2010.</w:t>
            </w:r>
          </w:p>
        </w:tc>
        <w:tc>
          <w:tcPr>
            <w:tcW w:w="1338" w:type="dxa"/>
            <w:tcBorders>
              <w:bottom w:val="single" w:sz="4" w:space="0" w:color="auto"/>
              <w:righ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37</w:t>
            </w:r>
          </w:p>
        </w:tc>
        <w:tc>
          <w:tcPr>
            <w:tcW w:w="1548" w:type="dxa"/>
            <w:gridSpan w:val="4"/>
            <w:tcBorders>
              <w:top w:val="single" w:sz="4" w:space="0" w:color="auto"/>
              <w:lef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28</w:t>
            </w:r>
          </w:p>
        </w:tc>
        <w:tc>
          <w:tcPr>
            <w:tcW w:w="1029" w:type="dxa"/>
            <w:tcBorders>
              <w:top w:val="single" w:sz="4" w:space="0" w:color="auto"/>
              <w:righ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25</w:t>
            </w:r>
          </w:p>
        </w:tc>
        <w:tc>
          <w:tcPr>
            <w:tcW w:w="1231" w:type="dxa"/>
            <w:gridSpan w:val="4"/>
            <w:tcBorders>
              <w:top w:val="single" w:sz="4" w:space="0" w:color="auto"/>
              <w:left w:val="single" w:sz="4" w:space="0" w:color="auto"/>
            </w:tcBorders>
          </w:tcPr>
          <w:p w:rsidR="001E433F" w:rsidRDefault="00515F44" w:rsidP="00DB4188">
            <w:pPr>
              <w:jc w:val="both"/>
              <w:rPr>
                <w:rFonts w:ascii="Times New Roman" w:hAnsi="Times New Roman"/>
                <w:sz w:val="24"/>
                <w:szCs w:val="24"/>
                <w:lang w:val="sr-Cyrl-CS"/>
              </w:rPr>
            </w:pPr>
            <w:r>
              <w:rPr>
                <w:rFonts w:ascii="Times New Roman" w:hAnsi="Times New Roman"/>
                <w:sz w:val="24"/>
                <w:szCs w:val="24"/>
                <w:lang w:val="sr-Cyrl-CS"/>
              </w:rPr>
              <w:t>-</w:t>
            </w:r>
          </w:p>
        </w:tc>
        <w:tc>
          <w:tcPr>
            <w:tcW w:w="1019" w:type="dxa"/>
            <w:gridSpan w:val="3"/>
            <w:tcBorders>
              <w:top w:val="single" w:sz="4" w:space="0" w:color="auto"/>
              <w:right w:val="single" w:sz="4" w:space="0" w:color="auto"/>
            </w:tcBorders>
          </w:tcPr>
          <w:p w:rsidR="001E433F" w:rsidRDefault="00515F44" w:rsidP="00DB4188">
            <w:pPr>
              <w:jc w:val="both"/>
              <w:rPr>
                <w:rFonts w:ascii="Times New Roman" w:hAnsi="Times New Roman"/>
                <w:sz w:val="24"/>
                <w:szCs w:val="24"/>
                <w:lang w:val="sr-Cyrl-CS"/>
              </w:rPr>
            </w:pPr>
            <w:r>
              <w:rPr>
                <w:rFonts w:ascii="Times New Roman" w:hAnsi="Times New Roman"/>
                <w:sz w:val="24"/>
                <w:szCs w:val="24"/>
                <w:lang w:val="sr-Cyrl-CS"/>
              </w:rPr>
              <w:t>14</w:t>
            </w:r>
          </w:p>
        </w:tc>
        <w:tc>
          <w:tcPr>
            <w:tcW w:w="1245" w:type="dxa"/>
            <w:gridSpan w:val="2"/>
            <w:tcBorders>
              <w:top w:val="single" w:sz="4" w:space="0" w:color="auto"/>
              <w:left w:val="single" w:sz="4" w:space="0" w:color="auto"/>
            </w:tcBorders>
          </w:tcPr>
          <w:p w:rsidR="001E433F" w:rsidRDefault="00515F44" w:rsidP="00DB4188">
            <w:pPr>
              <w:jc w:val="both"/>
              <w:rPr>
                <w:rFonts w:ascii="Times New Roman" w:hAnsi="Times New Roman"/>
                <w:sz w:val="24"/>
                <w:szCs w:val="24"/>
                <w:lang w:val="sr-Cyrl-CS"/>
              </w:rPr>
            </w:pPr>
            <w:r>
              <w:rPr>
                <w:rFonts w:ascii="Times New Roman" w:hAnsi="Times New Roman"/>
                <w:sz w:val="24"/>
                <w:szCs w:val="24"/>
                <w:lang w:val="sr-Cyrl-CS"/>
              </w:rPr>
              <w:t>1</w:t>
            </w:r>
          </w:p>
        </w:tc>
      </w:tr>
      <w:tr w:rsidR="00AD1724" w:rsidTr="000E1089">
        <w:trPr>
          <w:trHeight w:val="364"/>
        </w:trPr>
        <w:tc>
          <w:tcPr>
            <w:tcW w:w="1635" w:type="dxa"/>
            <w:tcBorders>
              <w:top w:val="single" w:sz="4" w:space="0" w:color="auto"/>
              <w:bottom w:val="single" w:sz="4" w:space="0" w:color="auto"/>
            </w:tcBorders>
          </w:tcPr>
          <w:p w:rsidR="001E433F" w:rsidRDefault="00850EC5" w:rsidP="00DB4188">
            <w:pPr>
              <w:jc w:val="both"/>
              <w:rPr>
                <w:rFonts w:ascii="Times New Roman" w:hAnsi="Times New Roman"/>
                <w:sz w:val="20"/>
                <w:szCs w:val="20"/>
                <w:lang w:val="sr-Cyrl-CS"/>
              </w:rPr>
            </w:pPr>
            <w:r>
              <w:rPr>
                <w:rFonts w:ascii="Times New Roman" w:hAnsi="Times New Roman"/>
                <w:sz w:val="20"/>
                <w:szCs w:val="20"/>
                <w:lang w:val="sr-Cyrl-CS"/>
              </w:rPr>
              <w:t>2011.</w:t>
            </w:r>
          </w:p>
        </w:tc>
        <w:tc>
          <w:tcPr>
            <w:tcW w:w="1338" w:type="dxa"/>
            <w:tcBorders>
              <w:top w:val="single" w:sz="4" w:space="0" w:color="auto"/>
              <w:bottom w:val="single" w:sz="4" w:space="0" w:color="auto"/>
              <w:righ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58</w:t>
            </w:r>
          </w:p>
        </w:tc>
        <w:tc>
          <w:tcPr>
            <w:tcW w:w="1548" w:type="dxa"/>
            <w:gridSpan w:val="4"/>
            <w:tcBorders>
              <w:left w:val="single" w:sz="4" w:space="0" w:color="auto"/>
              <w:bottom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29</w:t>
            </w:r>
          </w:p>
        </w:tc>
        <w:tc>
          <w:tcPr>
            <w:tcW w:w="1029" w:type="dxa"/>
            <w:tcBorders>
              <w:bottom w:val="single" w:sz="4" w:space="0" w:color="auto"/>
              <w:righ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26</w:t>
            </w:r>
          </w:p>
        </w:tc>
        <w:tc>
          <w:tcPr>
            <w:tcW w:w="1231" w:type="dxa"/>
            <w:gridSpan w:val="4"/>
            <w:tcBorders>
              <w:left w:val="single" w:sz="4" w:space="0" w:color="auto"/>
              <w:bottom w:val="single" w:sz="4" w:space="0" w:color="auto"/>
            </w:tcBorders>
          </w:tcPr>
          <w:p w:rsidR="001E433F" w:rsidRDefault="00515F44" w:rsidP="00DB4188">
            <w:pPr>
              <w:jc w:val="both"/>
              <w:rPr>
                <w:rFonts w:ascii="Times New Roman" w:hAnsi="Times New Roman"/>
                <w:sz w:val="24"/>
                <w:szCs w:val="24"/>
                <w:lang w:val="sr-Cyrl-CS"/>
              </w:rPr>
            </w:pPr>
            <w:r>
              <w:rPr>
                <w:rFonts w:ascii="Times New Roman" w:hAnsi="Times New Roman"/>
                <w:sz w:val="24"/>
                <w:szCs w:val="24"/>
                <w:lang w:val="sr-Cyrl-CS"/>
              </w:rPr>
              <w:t>-</w:t>
            </w:r>
          </w:p>
        </w:tc>
        <w:tc>
          <w:tcPr>
            <w:tcW w:w="1019" w:type="dxa"/>
            <w:gridSpan w:val="3"/>
            <w:tcBorders>
              <w:bottom w:val="single" w:sz="4" w:space="0" w:color="auto"/>
              <w:right w:val="single" w:sz="4" w:space="0" w:color="auto"/>
            </w:tcBorders>
          </w:tcPr>
          <w:p w:rsidR="001E433F" w:rsidRDefault="00515F44" w:rsidP="00DB4188">
            <w:pPr>
              <w:jc w:val="both"/>
              <w:rPr>
                <w:rFonts w:ascii="Times New Roman" w:hAnsi="Times New Roman"/>
                <w:sz w:val="24"/>
                <w:szCs w:val="24"/>
                <w:lang w:val="sr-Cyrl-CS"/>
              </w:rPr>
            </w:pPr>
            <w:r>
              <w:rPr>
                <w:rFonts w:ascii="Times New Roman" w:hAnsi="Times New Roman"/>
                <w:sz w:val="24"/>
                <w:szCs w:val="24"/>
                <w:lang w:val="sr-Cyrl-CS"/>
              </w:rPr>
              <w:t>14</w:t>
            </w:r>
          </w:p>
        </w:tc>
        <w:tc>
          <w:tcPr>
            <w:tcW w:w="1245" w:type="dxa"/>
            <w:gridSpan w:val="2"/>
            <w:tcBorders>
              <w:left w:val="single" w:sz="4" w:space="0" w:color="auto"/>
              <w:bottom w:val="single" w:sz="4" w:space="0" w:color="auto"/>
            </w:tcBorders>
          </w:tcPr>
          <w:p w:rsidR="001E433F" w:rsidRDefault="00515F44" w:rsidP="00DB4188">
            <w:pPr>
              <w:jc w:val="both"/>
              <w:rPr>
                <w:rFonts w:ascii="Times New Roman" w:hAnsi="Times New Roman"/>
                <w:sz w:val="24"/>
                <w:szCs w:val="24"/>
                <w:lang w:val="sr-Cyrl-CS"/>
              </w:rPr>
            </w:pPr>
            <w:r>
              <w:rPr>
                <w:rFonts w:ascii="Times New Roman" w:hAnsi="Times New Roman"/>
                <w:sz w:val="24"/>
                <w:szCs w:val="24"/>
                <w:lang w:val="sr-Cyrl-CS"/>
              </w:rPr>
              <w:t>-</w:t>
            </w:r>
          </w:p>
        </w:tc>
      </w:tr>
      <w:tr w:rsidR="00AD1724" w:rsidTr="000E1089">
        <w:trPr>
          <w:trHeight w:val="735"/>
        </w:trPr>
        <w:tc>
          <w:tcPr>
            <w:tcW w:w="1635" w:type="dxa"/>
            <w:tcBorders>
              <w:top w:val="single" w:sz="4" w:space="0" w:color="auto"/>
              <w:bottom w:val="single" w:sz="4" w:space="0" w:color="auto"/>
            </w:tcBorders>
          </w:tcPr>
          <w:p w:rsidR="001E433F" w:rsidRDefault="00850EC5" w:rsidP="00DB4188">
            <w:pPr>
              <w:jc w:val="both"/>
              <w:rPr>
                <w:rFonts w:ascii="Times New Roman" w:hAnsi="Times New Roman"/>
                <w:sz w:val="20"/>
                <w:szCs w:val="20"/>
                <w:lang w:val="sr-Cyrl-CS"/>
              </w:rPr>
            </w:pPr>
            <w:r>
              <w:rPr>
                <w:rFonts w:ascii="Times New Roman" w:hAnsi="Times New Roman"/>
                <w:sz w:val="20"/>
                <w:szCs w:val="20"/>
                <w:lang w:val="sr-Cyrl-CS"/>
              </w:rPr>
              <w:t>2012.</w:t>
            </w:r>
          </w:p>
        </w:tc>
        <w:tc>
          <w:tcPr>
            <w:tcW w:w="1338" w:type="dxa"/>
            <w:tcBorders>
              <w:top w:val="single" w:sz="4" w:space="0" w:color="auto"/>
              <w:bottom w:val="single" w:sz="4" w:space="0" w:color="auto"/>
              <w:righ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66</w:t>
            </w:r>
          </w:p>
        </w:tc>
        <w:tc>
          <w:tcPr>
            <w:tcW w:w="1548" w:type="dxa"/>
            <w:gridSpan w:val="4"/>
            <w:tcBorders>
              <w:top w:val="single" w:sz="4" w:space="0" w:color="auto"/>
              <w:left w:val="single" w:sz="4" w:space="0" w:color="auto"/>
              <w:bottom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65</w:t>
            </w:r>
          </w:p>
        </w:tc>
        <w:tc>
          <w:tcPr>
            <w:tcW w:w="1029" w:type="dxa"/>
            <w:tcBorders>
              <w:top w:val="single" w:sz="4" w:space="0" w:color="auto"/>
              <w:bottom w:val="single" w:sz="4" w:space="0" w:color="auto"/>
              <w:righ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56</w:t>
            </w:r>
          </w:p>
        </w:tc>
        <w:tc>
          <w:tcPr>
            <w:tcW w:w="1231" w:type="dxa"/>
            <w:gridSpan w:val="4"/>
            <w:tcBorders>
              <w:top w:val="single" w:sz="4" w:space="0" w:color="auto"/>
              <w:left w:val="single" w:sz="4" w:space="0" w:color="auto"/>
              <w:bottom w:val="single" w:sz="4" w:space="0" w:color="auto"/>
            </w:tcBorders>
          </w:tcPr>
          <w:p w:rsidR="001E433F" w:rsidRDefault="00515F44" w:rsidP="00DB4188">
            <w:pPr>
              <w:jc w:val="both"/>
              <w:rPr>
                <w:rFonts w:ascii="Times New Roman" w:hAnsi="Times New Roman"/>
                <w:sz w:val="24"/>
                <w:szCs w:val="24"/>
                <w:lang w:val="sr-Cyrl-CS"/>
              </w:rPr>
            </w:pPr>
            <w:r>
              <w:rPr>
                <w:rFonts w:ascii="Times New Roman" w:hAnsi="Times New Roman"/>
                <w:sz w:val="24"/>
                <w:szCs w:val="24"/>
                <w:lang w:val="sr-Cyrl-CS"/>
              </w:rPr>
              <w:t>1</w:t>
            </w:r>
          </w:p>
        </w:tc>
        <w:tc>
          <w:tcPr>
            <w:tcW w:w="1019" w:type="dxa"/>
            <w:gridSpan w:val="3"/>
            <w:tcBorders>
              <w:top w:val="single" w:sz="4" w:space="0" w:color="auto"/>
              <w:bottom w:val="single" w:sz="4" w:space="0" w:color="auto"/>
              <w:right w:val="single" w:sz="4" w:space="0" w:color="auto"/>
            </w:tcBorders>
          </w:tcPr>
          <w:p w:rsidR="001E433F" w:rsidRDefault="00515F44" w:rsidP="00DB4188">
            <w:pPr>
              <w:jc w:val="both"/>
              <w:rPr>
                <w:rFonts w:ascii="Times New Roman" w:hAnsi="Times New Roman"/>
                <w:sz w:val="24"/>
                <w:szCs w:val="24"/>
                <w:lang w:val="sr-Cyrl-CS"/>
              </w:rPr>
            </w:pPr>
            <w:r>
              <w:rPr>
                <w:rFonts w:ascii="Times New Roman" w:hAnsi="Times New Roman"/>
                <w:sz w:val="24"/>
                <w:szCs w:val="24"/>
                <w:lang w:val="sr-Cyrl-CS"/>
              </w:rPr>
              <w:t>36</w:t>
            </w:r>
          </w:p>
        </w:tc>
        <w:tc>
          <w:tcPr>
            <w:tcW w:w="1245" w:type="dxa"/>
            <w:gridSpan w:val="2"/>
            <w:tcBorders>
              <w:top w:val="single" w:sz="4" w:space="0" w:color="auto"/>
              <w:left w:val="single" w:sz="4" w:space="0" w:color="auto"/>
              <w:bottom w:val="single" w:sz="4" w:space="0" w:color="auto"/>
            </w:tcBorders>
          </w:tcPr>
          <w:p w:rsidR="001E433F" w:rsidRDefault="00515F44" w:rsidP="00DB4188">
            <w:pPr>
              <w:jc w:val="both"/>
              <w:rPr>
                <w:rFonts w:ascii="Times New Roman" w:hAnsi="Times New Roman"/>
                <w:sz w:val="24"/>
                <w:szCs w:val="24"/>
                <w:lang w:val="sr-Cyrl-CS"/>
              </w:rPr>
            </w:pPr>
            <w:r>
              <w:rPr>
                <w:rFonts w:ascii="Times New Roman" w:hAnsi="Times New Roman"/>
                <w:sz w:val="24"/>
                <w:szCs w:val="24"/>
                <w:lang w:val="sr-Cyrl-CS"/>
              </w:rPr>
              <w:t>1</w:t>
            </w:r>
          </w:p>
        </w:tc>
      </w:tr>
      <w:tr w:rsidR="00AD1724" w:rsidTr="000E1089">
        <w:trPr>
          <w:trHeight w:val="889"/>
        </w:trPr>
        <w:tc>
          <w:tcPr>
            <w:tcW w:w="1635" w:type="dxa"/>
            <w:tcBorders>
              <w:bottom w:val="single" w:sz="4" w:space="0" w:color="auto"/>
            </w:tcBorders>
          </w:tcPr>
          <w:p w:rsidR="001E433F" w:rsidRPr="00522F35" w:rsidRDefault="00C13D1A" w:rsidP="00522F35">
            <w:pPr>
              <w:pStyle w:val="NoSpacing"/>
              <w:rPr>
                <w:rFonts w:ascii="Times New Roman" w:hAnsi="Times New Roman"/>
                <w:b/>
                <w:sz w:val="20"/>
                <w:szCs w:val="20"/>
                <w:lang w:val="sr-Cyrl-CS"/>
              </w:rPr>
            </w:pPr>
            <w:r w:rsidRPr="00522F35">
              <w:rPr>
                <w:rFonts w:ascii="Times New Roman" w:hAnsi="Times New Roman"/>
                <w:b/>
                <w:sz w:val="20"/>
                <w:szCs w:val="20"/>
                <w:lang w:val="sr-Cyrl-CS"/>
              </w:rPr>
              <w:lastRenderedPageBreak/>
              <w:t>Несавестан рад у служби</w:t>
            </w:r>
          </w:p>
          <w:p w:rsidR="00C13D1A" w:rsidRPr="00522F35" w:rsidRDefault="00C13D1A" w:rsidP="00522F35">
            <w:pPr>
              <w:pStyle w:val="NoSpacing"/>
              <w:rPr>
                <w:rFonts w:ascii="Times New Roman" w:hAnsi="Times New Roman"/>
                <w:sz w:val="20"/>
                <w:szCs w:val="20"/>
                <w:lang w:val="sr-Cyrl-CS"/>
              </w:rPr>
            </w:pPr>
            <w:r w:rsidRPr="00522F35">
              <w:rPr>
                <w:rFonts w:ascii="Times New Roman" w:hAnsi="Times New Roman"/>
                <w:sz w:val="20"/>
                <w:szCs w:val="20"/>
                <w:lang w:val="sr-Cyrl-CS"/>
              </w:rPr>
              <w:t>2007.</w:t>
            </w:r>
          </w:p>
          <w:p w:rsidR="001E433F" w:rsidRDefault="001E433F" w:rsidP="00DB4188">
            <w:pPr>
              <w:jc w:val="both"/>
              <w:rPr>
                <w:rFonts w:ascii="Times New Roman" w:hAnsi="Times New Roman"/>
                <w:sz w:val="20"/>
                <w:szCs w:val="20"/>
                <w:lang w:val="sr-Cyrl-CS"/>
              </w:rPr>
            </w:pPr>
          </w:p>
        </w:tc>
        <w:tc>
          <w:tcPr>
            <w:tcW w:w="1338" w:type="dxa"/>
            <w:tcBorders>
              <w:top w:val="single" w:sz="4" w:space="0" w:color="auto"/>
              <w:bottom w:val="single" w:sz="4" w:space="0" w:color="auto"/>
              <w:right w:val="single" w:sz="4" w:space="0" w:color="auto"/>
            </w:tcBorders>
          </w:tcPr>
          <w:p w:rsidR="00522F35" w:rsidRDefault="00522F35" w:rsidP="00DB4188">
            <w:pPr>
              <w:jc w:val="both"/>
              <w:rPr>
                <w:rFonts w:ascii="Times New Roman" w:hAnsi="Times New Roman"/>
                <w:sz w:val="24"/>
                <w:szCs w:val="24"/>
                <w:lang w:val="sr-Cyrl-CS"/>
              </w:rPr>
            </w:pPr>
          </w:p>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129</w:t>
            </w:r>
          </w:p>
        </w:tc>
        <w:tc>
          <w:tcPr>
            <w:tcW w:w="1548" w:type="dxa"/>
            <w:gridSpan w:val="4"/>
            <w:tcBorders>
              <w:top w:val="single" w:sz="4" w:space="0" w:color="auto"/>
              <w:left w:val="single" w:sz="4" w:space="0" w:color="auto"/>
              <w:bottom w:val="single" w:sz="4" w:space="0" w:color="auto"/>
            </w:tcBorders>
          </w:tcPr>
          <w:p w:rsidR="00522F35" w:rsidRDefault="00522F35" w:rsidP="00DB4188">
            <w:pPr>
              <w:jc w:val="both"/>
              <w:rPr>
                <w:rFonts w:ascii="Times New Roman" w:hAnsi="Times New Roman"/>
                <w:sz w:val="24"/>
                <w:szCs w:val="24"/>
                <w:lang w:val="sr-Cyrl-CS"/>
              </w:rPr>
            </w:pPr>
          </w:p>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29</w:t>
            </w:r>
          </w:p>
        </w:tc>
        <w:tc>
          <w:tcPr>
            <w:tcW w:w="1029" w:type="dxa"/>
            <w:tcBorders>
              <w:top w:val="single" w:sz="4" w:space="0" w:color="auto"/>
              <w:bottom w:val="single" w:sz="4" w:space="0" w:color="auto"/>
              <w:right w:val="single" w:sz="4" w:space="0" w:color="auto"/>
            </w:tcBorders>
          </w:tcPr>
          <w:p w:rsidR="00522F35" w:rsidRDefault="00522F35" w:rsidP="00DB4188">
            <w:pPr>
              <w:jc w:val="both"/>
              <w:rPr>
                <w:rFonts w:ascii="Times New Roman" w:hAnsi="Times New Roman"/>
                <w:sz w:val="24"/>
                <w:szCs w:val="24"/>
                <w:lang w:val="sr-Cyrl-CS"/>
              </w:rPr>
            </w:pPr>
          </w:p>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9</w:t>
            </w:r>
          </w:p>
        </w:tc>
        <w:tc>
          <w:tcPr>
            <w:tcW w:w="1231" w:type="dxa"/>
            <w:gridSpan w:val="4"/>
            <w:tcBorders>
              <w:top w:val="single" w:sz="4" w:space="0" w:color="auto"/>
              <w:left w:val="single" w:sz="4" w:space="0" w:color="auto"/>
              <w:bottom w:val="single" w:sz="4" w:space="0" w:color="auto"/>
            </w:tcBorders>
          </w:tcPr>
          <w:p w:rsidR="00522F35" w:rsidRDefault="00522F35" w:rsidP="00DB4188">
            <w:pPr>
              <w:jc w:val="both"/>
              <w:rPr>
                <w:rFonts w:ascii="Times New Roman" w:hAnsi="Times New Roman"/>
                <w:sz w:val="24"/>
                <w:szCs w:val="24"/>
                <w:lang w:val="sr-Cyrl-CS"/>
              </w:rPr>
            </w:pPr>
          </w:p>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9</w:t>
            </w:r>
          </w:p>
        </w:tc>
        <w:tc>
          <w:tcPr>
            <w:tcW w:w="1019" w:type="dxa"/>
            <w:gridSpan w:val="3"/>
            <w:tcBorders>
              <w:top w:val="single" w:sz="4" w:space="0" w:color="auto"/>
              <w:bottom w:val="single" w:sz="4" w:space="0" w:color="auto"/>
              <w:right w:val="single" w:sz="4" w:space="0" w:color="auto"/>
            </w:tcBorders>
          </w:tcPr>
          <w:p w:rsidR="00522F35" w:rsidRDefault="00522F35" w:rsidP="00DB4188">
            <w:pPr>
              <w:jc w:val="both"/>
              <w:rPr>
                <w:rFonts w:ascii="Times New Roman" w:hAnsi="Times New Roman"/>
                <w:sz w:val="24"/>
                <w:szCs w:val="24"/>
                <w:lang w:val="sr-Cyrl-CS"/>
              </w:rPr>
            </w:pPr>
          </w:p>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9</w:t>
            </w:r>
          </w:p>
        </w:tc>
        <w:tc>
          <w:tcPr>
            <w:tcW w:w="1245" w:type="dxa"/>
            <w:gridSpan w:val="2"/>
            <w:tcBorders>
              <w:top w:val="single" w:sz="4" w:space="0" w:color="auto"/>
              <w:left w:val="single" w:sz="4" w:space="0" w:color="auto"/>
              <w:bottom w:val="single" w:sz="4" w:space="0" w:color="auto"/>
            </w:tcBorders>
          </w:tcPr>
          <w:p w:rsidR="00522F35" w:rsidRDefault="00522F35" w:rsidP="00DB4188">
            <w:pPr>
              <w:jc w:val="both"/>
              <w:rPr>
                <w:rFonts w:ascii="Times New Roman" w:hAnsi="Times New Roman"/>
                <w:sz w:val="24"/>
                <w:szCs w:val="24"/>
                <w:lang w:val="sr-Cyrl-CS"/>
              </w:rPr>
            </w:pPr>
          </w:p>
          <w:p w:rsidR="001E433F" w:rsidRDefault="00070E38" w:rsidP="00DB4188">
            <w:pPr>
              <w:jc w:val="both"/>
              <w:rPr>
                <w:rFonts w:ascii="Times New Roman" w:hAnsi="Times New Roman"/>
                <w:sz w:val="24"/>
                <w:szCs w:val="24"/>
                <w:lang w:val="sr-Cyrl-CS"/>
              </w:rPr>
            </w:pPr>
            <w:r>
              <w:rPr>
                <w:rFonts w:ascii="Times New Roman" w:hAnsi="Times New Roman"/>
                <w:sz w:val="24"/>
                <w:szCs w:val="24"/>
                <w:lang w:val="sr-Cyrl-CS"/>
              </w:rPr>
              <w:t>-</w:t>
            </w:r>
          </w:p>
        </w:tc>
      </w:tr>
      <w:tr w:rsidR="00AD1724" w:rsidTr="000E1089">
        <w:trPr>
          <w:trHeight w:val="606"/>
        </w:trPr>
        <w:tc>
          <w:tcPr>
            <w:tcW w:w="1635" w:type="dxa"/>
            <w:tcBorders>
              <w:top w:val="single" w:sz="4" w:space="0" w:color="auto"/>
              <w:bottom w:val="single" w:sz="4" w:space="0" w:color="auto"/>
            </w:tcBorders>
          </w:tcPr>
          <w:p w:rsidR="001E433F" w:rsidRDefault="00C13D1A" w:rsidP="00DB4188">
            <w:pPr>
              <w:jc w:val="both"/>
              <w:rPr>
                <w:rFonts w:ascii="Times New Roman" w:hAnsi="Times New Roman"/>
                <w:sz w:val="20"/>
                <w:szCs w:val="20"/>
                <w:lang w:val="sr-Cyrl-CS"/>
              </w:rPr>
            </w:pPr>
            <w:r>
              <w:rPr>
                <w:rFonts w:ascii="Times New Roman" w:hAnsi="Times New Roman"/>
                <w:sz w:val="20"/>
                <w:szCs w:val="20"/>
                <w:lang w:val="sr-Cyrl-CS"/>
              </w:rPr>
              <w:t>2008.</w:t>
            </w:r>
          </w:p>
        </w:tc>
        <w:tc>
          <w:tcPr>
            <w:tcW w:w="1338" w:type="dxa"/>
            <w:tcBorders>
              <w:top w:val="single" w:sz="4" w:space="0" w:color="auto"/>
              <w:bottom w:val="single" w:sz="4" w:space="0" w:color="auto"/>
              <w:righ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173</w:t>
            </w:r>
          </w:p>
        </w:tc>
        <w:tc>
          <w:tcPr>
            <w:tcW w:w="1548" w:type="dxa"/>
            <w:gridSpan w:val="4"/>
            <w:tcBorders>
              <w:top w:val="single" w:sz="4" w:space="0" w:color="auto"/>
              <w:left w:val="single" w:sz="4" w:space="0" w:color="auto"/>
              <w:bottom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46</w:t>
            </w:r>
          </w:p>
        </w:tc>
        <w:tc>
          <w:tcPr>
            <w:tcW w:w="1029" w:type="dxa"/>
            <w:tcBorders>
              <w:top w:val="single" w:sz="4" w:space="0" w:color="auto"/>
              <w:bottom w:val="single" w:sz="4" w:space="0" w:color="auto"/>
              <w:righ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8</w:t>
            </w:r>
          </w:p>
        </w:tc>
        <w:tc>
          <w:tcPr>
            <w:tcW w:w="1231" w:type="dxa"/>
            <w:gridSpan w:val="4"/>
            <w:tcBorders>
              <w:top w:val="single" w:sz="4" w:space="0" w:color="auto"/>
              <w:left w:val="single" w:sz="4" w:space="0" w:color="auto"/>
              <w:bottom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2</w:t>
            </w:r>
          </w:p>
        </w:tc>
        <w:tc>
          <w:tcPr>
            <w:tcW w:w="1019" w:type="dxa"/>
            <w:gridSpan w:val="3"/>
            <w:tcBorders>
              <w:top w:val="single" w:sz="4" w:space="0" w:color="auto"/>
              <w:bottom w:val="single" w:sz="4" w:space="0" w:color="auto"/>
              <w:righ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5</w:t>
            </w:r>
          </w:p>
        </w:tc>
        <w:tc>
          <w:tcPr>
            <w:tcW w:w="1245" w:type="dxa"/>
            <w:gridSpan w:val="2"/>
            <w:tcBorders>
              <w:top w:val="single" w:sz="4" w:space="0" w:color="auto"/>
              <w:left w:val="single" w:sz="4" w:space="0" w:color="auto"/>
              <w:bottom w:val="single" w:sz="4" w:space="0" w:color="auto"/>
            </w:tcBorders>
          </w:tcPr>
          <w:p w:rsidR="001E433F" w:rsidRDefault="00070E38" w:rsidP="00DB4188">
            <w:pPr>
              <w:jc w:val="both"/>
              <w:rPr>
                <w:rFonts w:ascii="Times New Roman" w:hAnsi="Times New Roman"/>
                <w:sz w:val="24"/>
                <w:szCs w:val="24"/>
                <w:lang w:val="sr-Cyrl-CS"/>
              </w:rPr>
            </w:pPr>
            <w:r>
              <w:rPr>
                <w:rFonts w:ascii="Times New Roman" w:hAnsi="Times New Roman"/>
                <w:sz w:val="24"/>
                <w:szCs w:val="24"/>
                <w:lang w:val="sr-Cyrl-CS"/>
              </w:rPr>
              <w:t>1</w:t>
            </w:r>
          </w:p>
        </w:tc>
      </w:tr>
      <w:tr w:rsidR="00AD1724" w:rsidTr="000E1089">
        <w:trPr>
          <w:trHeight w:val="624"/>
        </w:trPr>
        <w:tc>
          <w:tcPr>
            <w:tcW w:w="1635" w:type="dxa"/>
            <w:tcBorders>
              <w:top w:val="single" w:sz="4" w:space="0" w:color="auto"/>
              <w:bottom w:val="single" w:sz="4" w:space="0" w:color="auto"/>
            </w:tcBorders>
          </w:tcPr>
          <w:p w:rsidR="001E433F" w:rsidRDefault="00C13D1A" w:rsidP="00DB4188">
            <w:pPr>
              <w:jc w:val="both"/>
              <w:rPr>
                <w:rFonts w:ascii="Times New Roman" w:hAnsi="Times New Roman"/>
                <w:sz w:val="20"/>
                <w:szCs w:val="20"/>
                <w:lang w:val="sr-Cyrl-CS"/>
              </w:rPr>
            </w:pPr>
            <w:r>
              <w:rPr>
                <w:rFonts w:ascii="Times New Roman" w:hAnsi="Times New Roman"/>
                <w:sz w:val="20"/>
                <w:szCs w:val="20"/>
                <w:lang w:val="sr-Cyrl-CS"/>
              </w:rPr>
              <w:t>2009.</w:t>
            </w:r>
          </w:p>
        </w:tc>
        <w:tc>
          <w:tcPr>
            <w:tcW w:w="1338" w:type="dxa"/>
            <w:tcBorders>
              <w:top w:val="single" w:sz="4" w:space="0" w:color="auto"/>
              <w:righ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120</w:t>
            </w:r>
          </w:p>
        </w:tc>
        <w:tc>
          <w:tcPr>
            <w:tcW w:w="1548" w:type="dxa"/>
            <w:gridSpan w:val="4"/>
            <w:tcBorders>
              <w:top w:val="single" w:sz="4" w:space="0" w:color="auto"/>
              <w:left w:val="single" w:sz="4" w:space="0" w:color="auto"/>
              <w:bottom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46</w:t>
            </w:r>
          </w:p>
        </w:tc>
        <w:tc>
          <w:tcPr>
            <w:tcW w:w="1029" w:type="dxa"/>
            <w:tcBorders>
              <w:top w:val="single" w:sz="4" w:space="0" w:color="auto"/>
              <w:bottom w:val="single" w:sz="4" w:space="0" w:color="auto"/>
              <w:righ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11</w:t>
            </w:r>
          </w:p>
        </w:tc>
        <w:tc>
          <w:tcPr>
            <w:tcW w:w="1231" w:type="dxa"/>
            <w:gridSpan w:val="4"/>
            <w:tcBorders>
              <w:top w:val="single" w:sz="4" w:space="0" w:color="auto"/>
              <w:left w:val="single" w:sz="4" w:space="0" w:color="auto"/>
              <w:bottom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4</w:t>
            </w:r>
          </w:p>
        </w:tc>
        <w:tc>
          <w:tcPr>
            <w:tcW w:w="1019" w:type="dxa"/>
            <w:gridSpan w:val="3"/>
            <w:tcBorders>
              <w:top w:val="single" w:sz="4" w:space="0" w:color="auto"/>
              <w:bottom w:val="single" w:sz="4" w:space="0" w:color="auto"/>
              <w:righ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7</w:t>
            </w:r>
          </w:p>
        </w:tc>
        <w:tc>
          <w:tcPr>
            <w:tcW w:w="1245" w:type="dxa"/>
            <w:gridSpan w:val="2"/>
            <w:tcBorders>
              <w:top w:val="single" w:sz="4" w:space="0" w:color="auto"/>
              <w:left w:val="single" w:sz="4" w:space="0" w:color="auto"/>
              <w:bottom w:val="single" w:sz="4" w:space="0" w:color="auto"/>
            </w:tcBorders>
          </w:tcPr>
          <w:p w:rsidR="001E433F" w:rsidRDefault="00070E38" w:rsidP="00DB4188">
            <w:pPr>
              <w:jc w:val="both"/>
              <w:rPr>
                <w:rFonts w:ascii="Times New Roman" w:hAnsi="Times New Roman"/>
                <w:sz w:val="24"/>
                <w:szCs w:val="24"/>
                <w:lang w:val="sr-Cyrl-CS"/>
              </w:rPr>
            </w:pPr>
            <w:r>
              <w:rPr>
                <w:rFonts w:ascii="Times New Roman" w:hAnsi="Times New Roman"/>
                <w:sz w:val="24"/>
                <w:szCs w:val="24"/>
                <w:lang w:val="sr-Cyrl-CS"/>
              </w:rPr>
              <w:t>-</w:t>
            </w:r>
          </w:p>
        </w:tc>
      </w:tr>
      <w:tr w:rsidR="00AD1724" w:rsidTr="000E1089">
        <w:trPr>
          <w:trHeight w:val="554"/>
        </w:trPr>
        <w:tc>
          <w:tcPr>
            <w:tcW w:w="1635" w:type="dxa"/>
            <w:tcBorders>
              <w:top w:val="single" w:sz="4" w:space="0" w:color="auto"/>
              <w:bottom w:val="single" w:sz="4" w:space="0" w:color="auto"/>
            </w:tcBorders>
          </w:tcPr>
          <w:p w:rsidR="001E433F" w:rsidRDefault="00C13D1A" w:rsidP="00DB4188">
            <w:pPr>
              <w:jc w:val="both"/>
              <w:rPr>
                <w:rFonts w:ascii="Times New Roman" w:hAnsi="Times New Roman"/>
                <w:sz w:val="20"/>
                <w:szCs w:val="20"/>
                <w:lang w:val="sr-Cyrl-CS"/>
              </w:rPr>
            </w:pPr>
            <w:r>
              <w:rPr>
                <w:rFonts w:ascii="Times New Roman" w:hAnsi="Times New Roman"/>
                <w:sz w:val="20"/>
                <w:szCs w:val="20"/>
                <w:lang w:val="sr-Cyrl-CS"/>
              </w:rPr>
              <w:t>2010.</w:t>
            </w:r>
          </w:p>
        </w:tc>
        <w:tc>
          <w:tcPr>
            <w:tcW w:w="1338" w:type="dxa"/>
            <w:tcBorders>
              <w:bottom w:val="single" w:sz="4" w:space="0" w:color="auto"/>
              <w:righ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98</w:t>
            </w:r>
          </w:p>
        </w:tc>
        <w:tc>
          <w:tcPr>
            <w:tcW w:w="1548" w:type="dxa"/>
            <w:gridSpan w:val="4"/>
            <w:tcBorders>
              <w:top w:val="single" w:sz="4" w:space="0" w:color="auto"/>
              <w:lef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28</w:t>
            </w:r>
          </w:p>
        </w:tc>
        <w:tc>
          <w:tcPr>
            <w:tcW w:w="1029" w:type="dxa"/>
            <w:tcBorders>
              <w:top w:val="single" w:sz="4" w:space="0" w:color="auto"/>
              <w:righ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9</w:t>
            </w:r>
          </w:p>
        </w:tc>
        <w:tc>
          <w:tcPr>
            <w:tcW w:w="1231" w:type="dxa"/>
            <w:gridSpan w:val="4"/>
            <w:tcBorders>
              <w:top w:val="single" w:sz="4" w:space="0" w:color="auto"/>
              <w:lef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w:t>
            </w:r>
          </w:p>
        </w:tc>
        <w:tc>
          <w:tcPr>
            <w:tcW w:w="1019" w:type="dxa"/>
            <w:gridSpan w:val="3"/>
            <w:tcBorders>
              <w:top w:val="single" w:sz="4" w:space="0" w:color="auto"/>
              <w:righ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4</w:t>
            </w:r>
          </w:p>
        </w:tc>
        <w:tc>
          <w:tcPr>
            <w:tcW w:w="1245" w:type="dxa"/>
            <w:gridSpan w:val="2"/>
            <w:tcBorders>
              <w:top w:val="single" w:sz="4" w:space="0" w:color="auto"/>
              <w:left w:val="single" w:sz="4" w:space="0" w:color="auto"/>
            </w:tcBorders>
          </w:tcPr>
          <w:p w:rsidR="001E433F" w:rsidRDefault="00070E38" w:rsidP="00DB4188">
            <w:pPr>
              <w:jc w:val="both"/>
              <w:rPr>
                <w:rFonts w:ascii="Times New Roman" w:hAnsi="Times New Roman"/>
                <w:sz w:val="24"/>
                <w:szCs w:val="24"/>
                <w:lang w:val="sr-Cyrl-CS"/>
              </w:rPr>
            </w:pPr>
            <w:r>
              <w:rPr>
                <w:rFonts w:ascii="Times New Roman" w:hAnsi="Times New Roman"/>
                <w:sz w:val="24"/>
                <w:szCs w:val="24"/>
                <w:lang w:val="sr-Cyrl-CS"/>
              </w:rPr>
              <w:t>2</w:t>
            </w:r>
          </w:p>
        </w:tc>
      </w:tr>
      <w:tr w:rsidR="00AD1724" w:rsidTr="000E1089">
        <w:trPr>
          <w:trHeight w:val="554"/>
        </w:trPr>
        <w:tc>
          <w:tcPr>
            <w:tcW w:w="1635" w:type="dxa"/>
            <w:tcBorders>
              <w:top w:val="single" w:sz="4" w:space="0" w:color="auto"/>
              <w:bottom w:val="single" w:sz="4" w:space="0" w:color="auto"/>
            </w:tcBorders>
          </w:tcPr>
          <w:p w:rsidR="001E433F" w:rsidRDefault="00C13D1A" w:rsidP="00DB4188">
            <w:pPr>
              <w:jc w:val="both"/>
              <w:rPr>
                <w:rFonts w:ascii="Times New Roman" w:hAnsi="Times New Roman"/>
                <w:sz w:val="20"/>
                <w:szCs w:val="20"/>
                <w:lang w:val="sr-Cyrl-CS"/>
              </w:rPr>
            </w:pPr>
            <w:r>
              <w:rPr>
                <w:rFonts w:ascii="Times New Roman" w:hAnsi="Times New Roman"/>
                <w:sz w:val="20"/>
                <w:szCs w:val="20"/>
                <w:lang w:val="sr-Cyrl-CS"/>
              </w:rPr>
              <w:t>2011.</w:t>
            </w:r>
          </w:p>
        </w:tc>
        <w:tc>
          <w:tcPr>
            <w:tcW w:w="1338" w:type="dxa"/>
            <w:tcBorders>
              <w:top w:val="single" w:sz="4" w:space="0" w:color="auto"/>
              <w:bottom w:val="single" w:sz="4" w:space="0" w:color="auto"/>
              <w:righ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127</w:t>
            </w:r>
          </w:p>
        </w:tc>
        <w:tc>
          <w:tcPr>
            <w:tcW w:w="1548" w:type="dxa"/>
            <w:gridSpan w:val="4"/>
            <w:tcBorders>
              <w:left w:val="single" w:sz="4" w:space="0" w:color="auto"/>
              <w:bottom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45</w:t>
            </w:r>
          </w:p>
        </w:tc>
        <w:tc>
          <w:tcPr>
            <w:tcW w:w="1029" w:type="dxa"/>
            <w:tcBorders>
              <w:bottom w:val="single" w:sz="4" w:space="0" w:color="auto"/>
              <w:righ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8</w:t>
            </w:r>
          </w:p>
        </w:tc>
        <w:tc>
          <w:tcPr>
            <w:tcW w:w="1231" w:type="dxa"/>
            <w:gridSpan w:val="4"/>
            <w:tcBorders>
              <w:left w:val="single" w:sz="4" w:space="0" w:color="auto"/>
              <w:bottom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w:t>
            </w:r>
          </w:p>
        </w:tc>
        <w:tc>
          <w:tcPr>
            <w:tcW w:w="1019" w:type="dxa"/>
            <w:gridSpan w:val="3"/>
            <w:tcBorders>
              <w:bottom w:val="single" w:sz="4" w:space="0" w:color="auto"/>
              <w:righ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7</w:t>
            </w:r>
          </w:p>
        </w:tc>
        <w:tc>
          <w:tcPr>
            <w:tcW w:w="1245" w:type="dxa"/>
            <w:gridSpan w:val="2"/>
            <w:tcBorders>
              <w:left w:val="single" w:sz="4" w:space="0" w:color="auto"/>
              <w:bottom w:val="single" w:sz="4" w:space="0" w:color="auto"/>
            </w:tcBorders>
          </w:tcPr>
          <w:p w:rsidR="001E433F" w:rsidRDefault="00070E38" w:rsidP="00DB4188">
            <w:pPr>
              <w:jc w:val="both"/>
              <w:rPr>
                <w:rFonts w:ascii="Times New Roman" w:hAnsi="Times New Roman"/>
                <w:sz w:val="24"/>
                <w:szCs w:val="24"/>
                <w:lang w:val="sr-Cyrl-CS"/>
              </w:rPr>
            </w:pPr>
            <w:r>
              <w:rPr>
                <w:rFonts w:ascii="Times New Roman" w:hAnsi="Times New Roman"/>
                <w:sz w:val="24"/>
                <w:szCs w:val="24"/>
                <w:lang w:val="sr-Cyrl-CS"/>
              </w:rPr>
              <w:t>1</w:t>
            </w:r>
          </w:p>
        </w:tc>
      </w:tr>
      <w:tr w:rsidR="00AD1724" w:rsidTr="000E1089">
        <w:trPr>
          <w:trHeight w:val="573"/>
        </w:trPr>
        <w:tc>
          <w:tcPr>
            <w:tcW w:w="1635" w:type="dxa"/>
            <w:tcBorders>
              <w:top w:val="single" w:sz="4" w:space="0" w:color="auto"/>
            </w:tcBorders>
          </w:tcPr>
          <w:p w:rsidR="001E433F" w:rsidRDefault="00C13D1A" w:rsidP="00DB4188">
            <w:pPr>
              <w:jc w:val="both"/>
              <w:rPr>
                <w:rFonts w:ascii="Times New Roman" w:hAnsi="Times New Roman"/>
                <w:sz w:val="20"/>
                <w:szCs w:val="20"/>
                <w:lang w:val="sr-Cyrl-CS"/>
              </w:rPr>
            </w:pPr>
            <w:r>
              <w:rPr>
                <w:rFonts w:ascii="Times New Roman" w:hAnsi="Times New Roman"/>
                <w:sz w:val="20"/>
                <w:szCs w:val="20"/>
                <w:lang w:val="sr-Cyrl-CS"/>
              </w:rPr>
              <w:t>2012.</w:t>
            </w:r>
          </w:p>
        </w:tc>
        <w:tc>
          <w:tcPr>
            <w:tcW w:w="1338" w:type="dxa"/>
            <w:tcBorders>
              <w:top w:val="single" w:sz="4" w:space="0" w:color="auto"/>
              <w:bottom w:val="single" w:sz="4" w:space="0" w:color="auto"/>
              <w:righ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103</w:t>
            </w:r>
          </w:p>
        </w:tc>
        <w:tc>
          <w:tcPr>
            <w:tcW w:w="1548" w:type="dxa"/>
            <w:gridSpan w:val="4"/>
            <w:tcBorders>
              <w:top w:val="single" w:sz="4" w:space="0" w:color="auto"/>
              <w:left w:val="single" w:sz="4" w:space="0" w:color="auto"/>
              <w:bottom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12</w:t>
            </w:r>
          </w:p>
        </w:tc>
        <w:tc>
          <w:tcPr>
            <w:tcW w:w="1029" w:type="dxa"/>
            <w:tcBorders>
              <w:top w:val="single" w:sz="4" w:space="0" w:color="auto"/>
              <w:bottom w:val="single" w:sz="4" w:space="0" w:color="auto"/>
              <w:righ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9</w:t>
            </w:r>
          </w:p>
        </w:tc>
        <w:tc>
          <w:tcPr>
            <w:tcW w:w="1231" w:type="dxa"/>
            <w:gridSpan w:val="4"/>
            <w:tcBorders>
              <w:top w:val="single" w:sz="4" w:space="0" w:color="auto"/>
              <w:left w:val="single" w:sz="4" w:space="0" w:color="auto"/>
              <w:bottom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1</w:t>
            </w:r>
          </w:p>
        </w:tc>
        <w:tc>
          <w:tcPr>
            <w:tcW w:w="1019" w:type="dxa"/>
            <w:gridSpan w:val="3"/>
            <w:tcBorders>
              <w:top w:val="single" w:sz="4" w:space="0" w:color="auto"/>
              <w:bottom w:val="single" w:sz="4" w:space="0" w:color="auto"/>
              <w:righ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9</w:t>
            </w:r>
          </w:p>
        </w:tc>
        <w:tc>
          <w:tcPr>
            <w:tcW w:w="1245" w:type="dxa"/>
            <w:gridSpan w:val="2"/>
            <w:tcBorders>
              <w:top w:val="single" w:sz="4" w:space="0" w:color="auto"/>
              <w:left w:val="single" w:sz="4" w:space="0" w:color="auto"/>
              <w:bottom w:val="single" w:sz="4" w:space="0" w:color="auto"/>
            </w:tcBorders>
          </w:tcPr>
          <w:p w:rsidR="001E433F" w:rsidRDefault="00070E38" w:rsidP="00DB4188">
            <w:pPr>
              <w:jc w:val="both"/>
              <w:rPr>
                <w:rFonts w:ascii="Times New Roman" w:hAnsi="Times New Roman"/>
                <w:sz w:val="24"/>
                <w:szCs w:val="24"/>
                <w:lang w:val="sr-Cyrl-CS"/>
              </w:rPr>
            </w:pPr>
            <w:r>
              <w:rPr>
                <w:rFonts w:ascii="Times New Roman" w:hAnsi="Times New Roman"/>
                <w:sz w:val="24"/>
                <w:szCs w:val="24"/>
                <w:lang w:val="sr-Cyrl-CS"/>
              </w:rPr>
              <w:t>2</w:t>
            </w:r>
          </w:p>
        </w:tc>
      </w:tr>
      <w:tr w:rsidR="00AD1724" w:rsidTr="000E1089">
        <w:trPr>
          <w:trHeight w:val="1018"/>
        </w:trPr>
        <w:tc>
          <w:tcPr>
            <w:tcW w:w="1635" w:type="dxa"/>
            <w:tcBorders>
              <w:bottom w:val="single" w:sz="4" w:space="0" w:color="auto"/>
            </w:tcBorders>
          </w:tcPr>
          <w:p w:rsidR="001E433F" w:rsidRPr="00522F35" w:rsidRDefault="00E5704F" w:rsidP="00522F35">
            <w:pPr>
              <w:pStyle w:val="NoSpacing"/>
              <w:rPr>
                <w:rFonts w:ascii="Times New Roman" w:hAnsi="Times New Roman"/>
                <w:b/>
                <w:sz w:val="20"/>
                <w:szCs w:val="20"/>
                <w:lang w:val="sr-Cyrl-CS"/>
              </w:rPr>
            </w:pPr>
            <w:r w:rsidRPr="00522F35">
              <w:rPr>
                <w:rFonts w:ascii="Times New Roman" w:hAnsi="Times New Roman"/>
                <w:b/>
                <w:sz w:val="20"/>
                <w:szCs w:val="20"/>
                <w:lang w:val="sr-Cyrl-CS"/>
              </w:rPr>
              <w:t>Превара у служби</w:t>
            </w:r>
          </w:p>
          <w:p w:rsidR="00E5704F" w:rsidRPr="00522F35" w:rsidRDefault="00E5704F" w:rsidP="00522F35">
            <w:pPr>
              <w:pStyle w:val="NoSpacing"/>
              <w:rPr>
                <w:rFonts w:ascii="Times New Roman" w:hAnsi="Times New Roman"/>
                <w:sz w:val="20"/>
                <w:szCs w:val="20"/>
                <w:lang w:val="sr-Cyrl-CS"/>
              </w:rPr>
            </w:pPr>
            <w:r w:rsidRPr="00522F35">
              <w:rPr>
                <w:rFonts w:ascii="Times New Roman" w:hAnsi="Times New Roman"/>
                <w:sz w:val="20"/>
                <w:szCs w:val="20"/>
                <w:lang w:val="sr-Cyrl-CS"/>
              </w:rPr>
              <w:t>2007.</w:t>
            </w:r>
          </w:p>
          <w:p w:rsidR="001E433F" w:rsidRDefault="001E433F" w:rsidP="00DB4188">
            <w:pPr>
              <w:jc w:val="both"/>
              <w:rPr>
                <w:rFonts w:ascii="Times New Roman" w:hAnsi="Times New Roman"/>
                <w:sz w:val="20"/>
                <w:szCs w:val="20"/>
                <w:lang w:val="sr-Cyrl-CS"/>
              </w:rPr>
            </w:pPr>
          </w:p>
        </w:tc>
        <w:tc>
          <w:tcPr>
            <w:tcW w:w="1338" w:type="dxa"/>
            <w:tcBorders>
              <w:top w:val="single" w:sz="4" w:space="0" w:color="auto"/>
              <w:bottom w:val="single" w:sz="4" w:space="0" w:color="auto"/>
              <w:right w:val="single" w:sz="4" w:space="0" w:color="auto"/>
            </w:tcBorders>
          </w:tcPr>
          <w:p w:rsidR="00522F35" w:rsidRDefault="00522F35" w:rsidP="00DB4188">
            <w:pPr>
              <w:jc w:val="both"/>
              <w:rPr>
                <w:rFonts w:ascii="Times New Roman" w:hAnsi="Times New Roman"/>
                <w:sz w:val="24"/>
                <w:szCs w:val="24"/>
                <w:lang w:val="sr-Cyrl-CS"/>
              </w:rPr>
            </w:pPr>
          </w:p>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13</w:t>
            </w:r>
          </w:p>
        </w:tc>
        <w:tc>
          <w:tcPr>
            <w:tcW w:w="1548" w:type="dxa"/>
            <w:gridSpan w:val="4"/>
            <w:tcBorders>
              <w:top w:val="single" w:sz="4" w:space="0" w:color="auto"/>
              <w:left w:val="single" w:sz="4" w:space="0" w:color="auto"/>
              <w:bottom w:val="single" w:sz="4" w:space="0" w:color="auto"/>
            </w:tcBorders>
          </w:tcPr>
          <w:p w:rsidR="00522F35" w:rsidRDefault="00522F35" w:rsidP="00DB4188">
            <w:pPr>
              <w:jc w:val="both"/>
              <w:rPr>
                <w:rFonts w:ascii="Times New Roman" w:hAnsi="Times New Roman"/>
                <w:sz w:val="24"/>
                <w:szCs w:val="24"/>
                <w:lang w:val="sr-Cyrl-CS"/>
              </w:rPr>
            </w:pPr>
          </w:p>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10</w:t>
            </w:r>
          </w:p>
        </w:tc>
        <w:tc>
          <w:tcPr>
            <w:tcW w:w="1029" w:type="dxa"/>
            <w:tcBorders>
              <w:top w:val="single" w:sz="4" w:space="0" w:color="auto"/>
              <w:bottom w:val="single" w:sz="4" w:space="0" w:color="auto"/>
              <w:right w:val="single" w:sz="4" w:space="0" w:color="auto"/>
            </w:tcBorders>
          </w:tcPr>
          <w:p w:rsidR="00522F35" w:rsidRDefault="00522F35" w:rsidP="00DB4188">
            <w:pPr>
              <w:jc w:val="both"/>
              <w:rPr>
                <w:rFonts w:ascii="Times New Roman" w:hAnsi="Times New Roman"/>
                <w:sz w:val="24"/>
                <w:szCs w:val="24"/>
                <w:lang w:val="sr-Cyrl-CS"/>
              </w:rPr>
            </w:pPr>
          </w:p>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7</w:t>
            </w:r>
          </w:p>
        </w:tc>
        <w:tc>
          <w:tcPr>
            <w:tcW w:w="1231" w:type="dxa"/>
            <w:gridSpan w:val="4"/>
            <w:tcBorders>
              <w:top w:val="single" w:sz="4" w:space="0" w:color="auto"/>
              <w:left w:val="single" w:sz="4" w:space="0" w:color="auto"/>
              <w:bottom w:val="single" w:sz="4" w:space="0" w:color="auto"/>
            </w:tcBorders>
          </w:tcPr>
          <w:p w:rsidR="00522F35" w:rsidRDefault="00522F35" w:rsidP="00DB4188">
            <w:pPr>
              <w:jc w:val="both"/>
              <w:rPr>
                <w:rFonts w:ascii="Times New Roman" w:hAnsi="Times New Roman"/>
                <w:sz w:val="24"/>
                <w:szCs w:val="24"/>
                <w:lang w:val="sr-Cyrl-CS"/>
              </w:rPr>
            </w:pPr>
          </w:p>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7</w:t>
            </w:r>
          </w:p>
        </w:tc>
        <w:tc>
          <w:tcPr>
            <w:tcW w:w="1019" w:type="dxa"/>
            <w:gridSpan w:val="3"/>
            <w:tcBorders>
              <w:top w:val="single" w:sz="4" w:space="0" w:color="auto"/>
              <w:bottom w:val="single" w:sz="4" w:space="0" w:color="auto"/>
              <w:right w:val="single" w:sz="4" w:space="0" w:color="auto"/>
            </w:tcBorders>
          </w:tcPr>
          <w:p w:rsidR="00522F35" w:rsidRDefault="00522F35" w:rsidP="00DB4188">
            <w:pPr>
              <w:jc w:val="both"/>
              <w:rPr>
                <w:rFonts w:ascii="Times New Roman" w:hAnsi="Times New Roman"/>
                <w:sz w:val="24"/>
                <w:szCs w:val="24"/>
                <w:lang w:val="sr-Cyrl-CS"/>
              </w:rPr>
            </w:pPr>
          </w:p>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7</w:t>
            </w:r>
          </w:p>
        </w:tc>
        <w:tc>
          <w:tcPr>
            <w:tcW w:w="1245" w:type="dxa"/>
            <w:gridSpan w:val="2"/>
            <w:tcBorders>
              <w:top w:val="single" w:sz="4" w:space="0" w:color="auto"/>
              <w:left w:val="single" w:sz="4" w:space="0" w:color="auto"/>
              <w:bottom w:val="single" w:sz="4" w:space="0" w:color="auto"/>
            </w:tcBorders>
          </w:tcPr>
          <w:p w:rsidR="00522F35" w:rsidRDefault="00522F35" w:rsidP="00DB4188">
            <w:pPr>
              <w:jc w:val="both"/>
              <w:rPr>
                <w:rFonts w:ascii="Times New Roman" w:hAnsi="Times New Roman"/>
                <w:sz w:val="24"/>
                <w:szCs w:val="24"/>
                <w:lang w:val="sr-Cyrl-CS"/>
              </w:rPr>
            </w:pPr>
          </w:p>
          <w:p w:rsidR="001E433F" w:rsidRDefault="00070E38" w:rsidP="00DB4188">
            <w:pPr>
              <w:jc w:val="both"/>
              <w:rPr>
                <w:rFonts w:ascii="Times New Roman" w:hAnsi="Times New Roman"/>
                <w:sz w:val="24"/>
                <w:szCs w:val="24"/>
                <w:lang w:val="sr-Cyrl-CS"/>
              </w:rPr>
            </w:pPr>
            <w:r>
              <w:rPr>
                <w:rFonts w:ascii="Times New Roman" w:hAnsi="Times New Roman"/>
                <w:sz w:val="24"/>
                <w:szCs w:val="24"/>
                <w:lang w:val="sr-Cyrl-CS"/>
              </w:rPr>
              <w:t>-</w:t>
            </w:r>
          </w:p>
        </w:tc>
      </w:tr>
      <w:tr w:rsidR="00AD1724" w:rsidTr="000E1089">
        <w:trPr>
          <w:trHeight w:val="624"/>
        </w:trPr>
        <w:tc>
          <w:tcPr>
            <w:tcW w:w="1635" w:type="dxa"/>
            <w:tcBorders>
              <w:top w:val="single" w:sz="4" w:space="0" w:color="auto"/>
              <w:bottom w:val="single" w:sz="4" w:space="0" w:color="auto"/>
            </w:tcBorders>
          </w:tcPr>
          <w:p w:rsidR="001E433F" w:rsidRDefault="00E5704F" w:rsidP="00DB4188">
            <w:pPr>
              <w:jc w:val="both"/>
              <w:rPr>
                <w:rFonts w:ascii="Times New Roman" w:hAnsi="Times New Roman"/>
                <w:sz w:val="20"/>
                <w:szCs w:val="20"/>
                <w:lang w:val="sr-Cyrl-CS"/>
              </w:rPr>
            </w:pPr>
            <w:r>
              <w:rPr>
                <w:rFonts w:ascii="Times New Roman" w:hAnsi="Times New Roman"/>
                <w:sz w:val="20"/>
                <w:szCs w:val="20"/>
                <w:lang w:val="sr-Cyrl-CS"/>
              </w:rPr>
              <w:t>2008.</w:t>
            </w:r>
          </w:p>
        </w:tc>
        <w:tc>
          <w:tcPr>
            <w:tcW w:w="1338" w:type="dxa"/>
            <w:tcBorders>
              <w:top w:val="single" w:sz="4" w:space="0" w:color="auto"/>
              <w:bottom w:val="single" w:sz="4" w:space="0" w:color="auto"/>
              <w:righ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23</w:t>
            </w:r>
          </w:p>
        </w:tc>
        <w:tc>
          <w:tcPr>
            <w:tcW w:w="1548" w:type="dxa"/>
            <w:gridSpan w:val="4"/>
            <w:tcBorders>
              <w:top w:val="single" w:sz="4" w:space="0" w:color="auto"/>
              <w:left w:val="single" w:sz="4" w:space="0" w:color="auto"/>
              <w:bottom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9</w:t>
            </w:r>
          </w:p>
        </w:tc>
        <w:tc>
          <w:tcPr>
            <w:tcW w:w="1029" w:type="dxa"/>
            <w:tcBorders>
              <w:top w:val="single" w:sz="4" w:space="0" w:color="auto"/>
              <w:bottom w:val="single" w:sz="4" w:space="0" w:color="auto"/>
              <w:righ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6</w:t>
            </w:r>
          </w:p>
        </w:tc>
        <w:tc>
          <w:tcPr>
            <w:tcW w:w="1231" w:type="dxa"/>
            <w:gridSpan w:val="4"/>
            <w:tcBorders>
              <w:top w:val="single" w:sz="4" w:space="0" w:color="auto"/>
              <w:left w:val="single" w:sz="4" w:space="0" w:color="auto"/>
              <w:bottom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1</w:t>
            </w:r>
          </w:p>
        </w:tc>
        <w:tc>
          <w:tcPr>
            <w:tcW w:w="1019" w:type="dxa"/>
            <w:gridSpan w:val="3"/>
            <w:tcBorders>
              <w:top w:val="single" w:sz="4" w:space="0" w:color="auto"/>
              <w:bottom w:val="single" w:sz="4" w:space="0" w:color="auto"/>
              <w:righ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5</w:t>
            </w:r>
          </w:p>
        </w:tc>
        <w:tc>
          <w:tcPr>
            <w:tcW w:w="1245" w:type="dxa"/>
            <w:gridSpan w:val="2"/>
            <w:tcBorders>
              <w:top w:val="single" w:sz="4" w:space="0" w:color="auto"/>
              <w:left w:val="single" w:sz="4" w:space="0" w:color="auto"/>
              <w:bottom w:val="single" w:sz="4" w:space="0" w:color="auto"/>
            </w:tcBorders>
          </w:tcPr>
          <w:p w:rsidR="001E433F" w:rsidRDefault="00070E38" w:rsidP="00DB4188">
            <w:pPr>
              <w:jc w:val="both"/>
              <w:rPr>
                <w:rFonts w:ascii="Times New Roman" w:hAnsi="Times New Roman"/>
                <w:sz w:val="24"/>
                <w:szCs w:val="24"/>
                <w:lang w:val="sr-Cyrl-CS"/>
              </w:rPr>
            </w:pPr>
            <w:r>
              <w:rPr>
                <w:rFonts w:ascii="Times New Roman" w:hAnsi="Times New Roman"/>
                <w:sz w:val="24"/>
                <w:szCs w:val="24"/>
                <w:lang w:val="sr-Cyrl-CS"/>
              </w:rPr>
              <w:t>-</w:t>
            </w:r>
          </w:p>
        </w:tc>
      </w:tr>
      <w:tr w:rsidR="00AD1724" w:rsidTr="000E1089">
        <w:trPr>
          <w:trHeight w:val="590"/>
        </w:trPr>
        <w:tc>
          <w:tcPr>
            <w:tcW w:w="1635" w:type="dxa"/>
            <w:tcBorders>
              <w:top w:val="single" w:sz="4" w:space="0" w:color="auto"/>
              <w:bottom w:val="single" w:sz="4" w:space="0" w:color="auto"/>
            </w:tcBorders>
          </w:tcPr>
          <w:p w:rsidR="001E433F" w:rsidRDefault="00E5704F" w:rsidP="00DB4188">
            <w:pPr>
              <w:jc w:val="both"/>
              <w:rPr>
                <w:rFonts w:ascii="Times New Roman" w:hAnsi="Times New Roman"/>
                <w:sz w:val="20"/>
                <w:szCs w:val="20"/>
                <w:lang w:val="sr-Cyrl-CS"/>
              </w:rPr>
            </w:pPr>
            <w:r>
              <w:rPr>
                <w:rFonts w:ascii="Times New Roman" w:hAnsi="Times New Roman"/>
                <w:sz w:val="20"/>
                <w:szCs w:val="20"/>
                <w:lang w:val="sr-Cyrl-CS"/>
              </w:rPr>
              <w:t>2009.</w:t>
            </w:r>
          </w:p>
        </w:tc>
        <w:tc>
          <w:tcPr>
            <w:tcW w:w="1338" w:type="dxa"/>
            <w:tcBorders>
              <w:top w:val="single" w:sz="4" w:space="0" w:color="auto"/>
              <w:righ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31</w:t>
            </w:r>
          </w:p>
        </w:tc>
        <w:tc>
          <w:tcPr>
            <w:tcW w:w="1548" w:type="dxa"/>
            <w:gridSpan w:val="4"/>
            <w:tcBorders>
              <w:top w:val="single" w:sz="4" w:space="0" w:color="auto"/>
              <w:left w:val="single" w:sz="4" w:space="0" w:color="auto"/>
              <w:bottom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26</w:t>
            </w:r>
          </w:p>
        </w:tc>
        <w:tc>
          <w:tcPr>
            <w:tcW w:w="1029" w:type="dxa"/>
            <w:tcBorders>
              <w:top w:val="single" w:sz="4" w:space="0" w:color="auto"/>
              <w:bottom w:val="single" w:sz="4" w:space="0" w:color="auto"/>
              <w:righ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6</w:t>
            </w:r>
          </w:p>
        </w:tc>
        <w:tc>
          <w:tcPr>
            <w:tcW w:w="1231" w:type="dxa"/>
            <w:gridSpan w:val="4"/>
            <w:tcBorders>
              <w:top w:val="single" w:sz="4" w:space="0" w:color="auto"/>
              <w:left w:val="single" w:sz="4" w:space="0" w:color="auto"/>
              <w:bottom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w:t>
            </w:r>
          </w:p>
        </w:tc>
        <w:tc>
          <w:tcPr>
            <w:tcW w:w="1019" w:type="dxa"/>
            <w:gridSpan w:val="3"/>
            <w:tcBorders>
              <w:top w:val="single" w:sz="4" w:space="0" w:color="auto"/>
              <w:bottom w:val="single" w:sz="4" w:space="0" w:color="auto"/>
              <w:righ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6</w:t>
            </w:r>
          </w:p>
        </w:tc>
        <w:tc>
          <w:tcPr>
            <w:tcW w:w="1245" w:type="dxa"/>
            <w:gridSpan w:val="2"/>
            <w:tcBorders>
              <w:top w:val="single" w:sz="4" w:space="0" w:color="auto"/>
              <w:left w:val="single" w:sz="4" w:space="0" w:color="auto"/>
              <w:bottom w:val="single" w:sz="4" w:space="0" w:color="auto"/>
            </w:tcBorders>
          </w:tcPr>
          <w:p w:rsidR="001E433F" w:rsidRDefault="00070E38" w:rsidP="00DB4188">
            <w:pPr>
              <w:jc w:val="both"/>
              <w:rPr>
                <w:rFonts w:ascii="Times New Roman" w:hAnsi="Times New Roman"/>
                <w:sz w:val="24"/>
                <w:szCs w:val="24"/>
                <w:lang w:val="sr-Cyrl-CS"/>
              </w:rPr>
            </w:pPr>
            <w:r>
              <w:rPr>
                <w:rFonts w:ascii="Times New Roman" w:hAnsi="Times New Roman"/>
                <w:sz w:val="24"/>
                <w:szCs w:val="24"/>
                <w:lang w:val="sr-Cyrl-CS"/>
              </w:rPr>
              <w:t>-</w:t>
            </w:r>
          </w:p>
        </w:tc>
      </w:tr>
      <w:tr w:rsidR="00AD1724" w:rsidTr="000E1089">
        <w:trPr>
          <w:trHeight w:val="469"/>
        </w:trPr>
        <w:tc>
          <w:tcPr>
            <w:tcW w:w="1635" w:type="dxa"/>
            <w:tcBorders>
              <w:top w:val="single" w:sz="4" w:space="0" w:color="auto"/>
              <w:bottom w:val="single" w:sz="4" w:space="0" w:color="auto"/>
            </w:tcBorders>
          </w:tcPr>
          <w:p w:rsidR="001E433F" w:rsidRDefault="00E5704F" w:rsidP="00DB4188">
            <w:pPr>
              <w:jc w:val="both"/>
              <w:rPr>
                <w:rFonts w:ascii="Times New Roman" w:hAnsi="Times New Roman"/>
                <w:sz w:val="20"/>
                <w:szCs w:val="20"/>
                <w:lang w:val="sr-Cyrl-CS"/>
              </w:rPr>
            </w:pPr>
            <w:r>
              <w:rPr>
                <w:rFonts w:ascii="Times New Roman" w:hAnsi="Times New Roman"/>
                <w:sz w:val="20"/>
                <w:szCs w:val="20"/>
                <w:lang w:val="sr-Cyrl-CS"/>
              </w:rPr>
              <w:t>2010.</w:t>
            </w:r>
          </w:p>
        </w:tc>
        <w:tc>
          <w:tcPr>
            <w:tcW w:w="1338" w:type="dxa"/>
            <w:tcBorders>
              <w:bottom w:val="single" w:sz="4" w:space="0" w:color="auto"/>
              <w:righ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21</w:t>
            </w:r>
          </w:p>
        </w:tc>
        <w:tc>
          <w:tcPr>
            <w:tcW w:w="1548" w:type="dxa"/>
            <w:gridSpan w:val="4"/>
            <w:tcBorders>
              <w:top w:val="single" w:sz="4" w:space="0" w:color="auto"/>
              <w:lef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6</w:t>
            </w:r>
          </w:p>
        </w:tc>
        <w:tc>
          <w:tcPr>
            <w:tcW w:w="1029" w:type="dxa"/>
            <w:tcBorders>
              <w:top w:val="single" w:sz="4" w:space="0" w:color="auto"/>
              <w:righ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3</w:t>
            </w:r>
          </w:p>
        </w:tc>
        <w:tc>
          <w:tcPr>
            <w:tcW w:w="1231" w:type="dxa"/>
            <w:gridSpan w:val="4"/>
            <w:tcBorders>
              <w:top w:val="single" w:sz="4" w:space="0" w:color="auto"/>
              <w:lef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w:t>
            </w:r>
          </w:p>
        </w:tc>
        <w:tc>
          <w:tcPr>
            <w:tcW w:w="1019" w:type="dxa"/>
            <w:gridSpan w:val="3"/>
            <w:tcBorders>
              <w:top w:val="single" w:sz="4" w:space="0" w:color="auto"/>
              <w:righ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3</w:t>
            </w:r>
          </w:p>
        </w:tc>
        <w:tc>
          <w:tcPr>
            <w:tcW w:w="1245" w:type="dxa"/>
            <w:gridSpan w:val="2"/>
            <w:tcBorders>
              <w:top w:val="single" w:sz="4" w:space="0" w:color="auto"/>
              <w:left w:val="single" w:sz="4" w:space="0" w:color="auto"/>
            </w:tcBorders>
          </w:tcPr>
          <w:p w:rsidR="001E433F" w:rsidRDefault="00070E38" w:rsidP="00DB4188">
            <w:pPr>
              <w:jc w:val="both"/>
              <w:rPr>
                <w:rFonts w:ascii="Times New Roman" w:hAnsi="Times New Roman"/>
                <w:sz w:val="24"/>
                <w:szCs w:val="24"/>
                <w:lang w:val="sr-Cyrl-CS"/>
              </w:rPr>
            </w:pPr>
            <w:r>
              <w:rPr>
                <w:rFonts w:ascii="Times New Roman" w:hAnsi="Times New Roman"/>
                <w:sz w:val="24"/>
                <w:szCs w:val="24"/>
                <w:lang w:val="sr-Cyrl-CS"/>
              </w:rPr>
              <w:t>-</w:t>
            </w:r>
          </w:p>
        </w:tc>
      </w:tr>
      <w:tr w:rsidR="00AD1724" w:rsidTr="000E1089">
        <w:trPr>
          <w:trHeight w:val="554"/>
        </w:trPr>
        <w:tc>
          <w:tcPr>
            <w:tcW w:w="1635" w:type="dxa"/>
            <w:tcBorders>
              <w:top w:val="single" w:sz="4" w:space="0" w:color="auto"/>
              <w:bottom w:val="single" w:sz="4" w:space="0" w:color="auto"/>
            </w:tcBorders>
          </w:tcPr>
          <w:p w:rsidR="001E433F" w:rsidRDefault="00E5704F" w:rsidP="00DB4188">
            <w:pPr>
              <w:jc w:val="both"/>
              <w:rPr>
                <w:rFonts w:ascii="Times New Roman" w:hAnsi="Times New Roman"/>
                <w:sz w:val="20"/>
                <w:szCs w:val="20"/>
                <w:lang w:val="sr-Cyrl-CS"/>
              </w:rPr>
            </w:pPr>
            <w:r>
              <w:rPr>
                <w:rFonts w:ascii="Times New Roman" w:hAnsi="Times New Roman"/>
                <w:sz w:val="20"/>
                <w:szCs w:val="20"/>
                <w:lang w:val="sr-Cyrl-CS"/>
              </w:rPr>
              <w:t>2011.</w:t>
            </w:r>
          </w:p>
        </w:tc>
        <w:tc>
          <w:tcPr>
            <w:tcW w:w="1338" w:type="dxa"/>
            <w:tcBorders>
              <w:top w:val="single" w:sz="4" w:space="0" w:color="auto"/>
              <w:bottom w:val="single" w:sz="4" w:space="0" w:color="auto"/>
              <w:righ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20</w:t>
            </w:r>
          </w:p>
        </w:tc>
        <w:tc>
          <w:tcPr>
            <w:tcW w:w="1548" w:type="dxa"/>
            <w:gridSpan w:val="4"/>
            <w:tcBorders>
              <w:left w:val="single" w:sz="4" w:space="0" w:color="auto"/>
              <w:bottom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19</w:t>
            </w:r>
          </w:p>
        </w:tc>
        <w:tc>
          <w:tcPr>
            <w:tcW w:w="1029" w:type="dxa"/>
            <w:tcBorders>
              <w:bottom w:val="single" w:sz="4" w:space="0" w:color="auto"/>
              <w:righ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12</w:t>
            </w:r>
          </w:p>
        </w:tc>
        <w:tc>
          <w:tcPr>
            <w:tcW w:w="1231" w:type="dxa"/>
            <w:gridSpan w:val="4"/>
            <w:tcBorders>
              <w:left w:val="single" w:sz="4" w:space="0" w:color="auto"/>
              <w:bottom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1</w:t>
            </w:r>
          </w:p>
        </w:tc>
        <w:tc>
          <w:tcPr>
            <w:tcW w:w="1019" w:type="dxa"/>
            <w:gridSpan w:val="3"/>
            <w:tcBorders>
              <w:bottom w:val="single" w:sz="4" w:space="0" w:color="auto"/>
              <w:righ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11</w:t>
            </w:r>
          </w:p>
        </w:tc>
        <w:tc>
          <w:tcPr>
            <w:tcW w:w="1245" w:type="dxa"/>
            <w:gridSpan w:val="2"/>
            <w:tcBorders>
              <w:left w:val="single" w:sz="4" w:space="0" w:color="auto"/>
              <w:bottom w:val="single" w:sz="4" w:space="0" w:color="auto"/>
            </w:tcBorders>
          </w:tcPr>
          <w:p w:rsidR="001E433F" w:rsidRDefault="00070E38" w:rsidP="00DB4188">
            <w:pPr>
              <w:jc w:val="both"/>
              <w:rPr>
                <w:rFonts w:ascii="Times New Roman" w:hAnsi="Times New Roman"/>
                <w:sz w:val="24"/>
                <w:szCs w:val="24"/>
                <w:lang w:val="sr-Cyrl-CS"/>
              </w:rPr>
            </w:pPr>
            <w:r>
              <w:rPr>
                <w:rFonts w:ascii="Times New Roman" w:hAnsi="Times New Roman"/>
                <w:sz w:val="24"/>
                <w:szCs w:val="24"/>
                <w:lang w:val="sr-Cyrl-CS"/>
              </w:rPr>
              <w:t>-</w:t>
            </w:r>
          </w:p>
        </w:tc>
      </w:tr>
      <w:tr w:rsidR="00AD1724" w:rsidTr="000E1089">
        <w:trPr>
          <w:trHeight w:val="590"/>
        </w:trPr>
        <w:tc>
          <w:tcPr>
            <w:tcW w:w="1635" w:type="dxa"/>
            <w:tcBorders>
              <w:top w:val="single" w:sz="4" w:space="0" w:color="auto"/>
            </w:tcBorders>
          </w:tcPr>
          <w:p w:rsidR="001E433F" w:rsidRDefault="00E5704F" w:rsidP="00DB4188">
            <w:pPr>
              <w:jc w:val="both"/>
              <w:rPr>
                <w:rFonts w:ascii="Times New Roman" w:hAnsi="Times New Roman"/>
                <w:sz w:val="20"/>
                <w:szCs w:val="20"/>
                <w:lang w:val="sr-Cyrl-CS"/>
              </w:rPr>
            </w:pPr>
            <w:r>
              <w:rPr>
                <w:rFonts w:ascii="Times New Roman" w:hAnsi="Times New Roman"/>
                <w:sz w:val="20"/>
                <w:szCs w:val="20"/>
                <w:lang w:val="sr-Cyrl-CS"/>
              </w:rPr>
              <w:t>2012.</w:t>
            </w:r>
          </w:p>
        </w:tc>
        <w:tc>
          <w:tcPr>
            <w:tcW w:w="1383" w:type="dxa"/>
            <w:gridSpan w:val="2"/>
            <w:tcBorders>
              <w:top w:val="single" w:sz="4" w:space="0" w:color="auto"/>
              <w:bottom w:val="single" w:sz="4" w:space="0" w:color="auto"/>
              <w:righ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32</w:t>
            </w:r>
          </w:p>
        </w:tc>
        <w:tc>
          <w:tcPr>
            <w:tcW w:w="1503" w:type="dxa"/>
            <w:gridSpan w:val="3"/>
            <w:tcBorders>
              <w:top w:val="single" w:sz="4" w:space="0" w:color="auto"/>
              <w:left w:val="single" w:sz="4" w:space="0" w:color="auto"/>
              <w:bottom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9</w:t>
            </w:r>
          </w:p>
        </w:tc>
        <w:tc>
          <w:tcPr>
            <w:tcW w:w="1029" w:type="dxa"/>
            <w:tcBorders>
              <w:top w:val="single" w:sz="4" w:space="0" w:color="auto"/>
              <w:bottom w:val="single" w:sz="4" w:space="0" w:color="auto"/>
              <w:righ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6</w:t>
            </w:r>
          </w:p>
        </w:tc>
        <w:tc>
          <w:tcPr>
            <w:tcW w:w="1231" w:type="dxa"/>
            <w:gridSpan w:val="4"/>
            <w:tcBorders>
              <w:top w:val="single" w:sz="4" w:space="0" w:color="auto"/>
              <w:left w:val="single" w:sz="4" w:space="0" w:color="auto"/>
              <w:bottom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1</w:t>
            </w:r>
          </w:p>
        </w:tc>
        <w:tc>
          <w:tcPr>
            <w:tcW w:w="957" w:type="dxa"/>
            <w:gridSpan w:val="2"/>
            <w:tcBorders>
              <w:top w:val="single" w:sz="4" w:space="0" w:color="auto"/>
              <w:bottom w:val="single" w:sz="4" w:space="0" w:color="auto"/>
              <w:righ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5</w:t>
            </w:r>
          </w:p>
        </w:tc>
        <w:tc>
          <w:tcPr>
            <w:tcW w:w="1307" w:type="dxa"/>
            <w:gridSpan w:val="3"/>
            <w:tcBorders>
              <w:top w:val="single" w:sz="4" w:space="0" w:color="auto"/>
              <w:left w:val="single" w:sz="4" w:space="0" w:color="auto"/>
              <w:bottom w:val="single" w:sz="4" w:space="0" w:color="auto"/>
            </w:tcBorders>
          </w:tcPr>
          <w:p w:rsidR="001E433F" w:rsidRDefault="00070E38" w:rsidP="00DB4188">
            <w:pPr>
              <w:jc w:val="both"/>
              <w:rPr>
                <w:rFonts w:ascii="Times New Roman" w:hAnsi="Times New Roman"/>
                <w:sz w:val="24"/>
                <w:szCs w:val="24"/>
                <w:lang w:val="sr-Cyrl-CS"/>
              </w:rPr>
            </w:pPr>
            <w:r>
              <w:rPr>
                <w:rFonts w:ascii="Times New Roman" w:hAnsi="Times New Roman"/>
                <w:sz w:val="24"/>
                <w:szCs w:val="24"/>
                <w:lang w:val="sr-Cyrl-CS"/>
              </w:rPr>
              <w:t>-</w:t>
            </w:r>
          </w:p>
        </w:tc>
      </w:tr>
      <w:tr w:rsidR="00AD1724" w:rsidTr="000E1089">
        <w:trPr>
          <w:trHeight w:val="893"/>
        </w:trPr>
        <w:tc>
          <w:tcPr>
            <w:tcW w:w="1635" w:type="dxa"/>
            <w:tcBorders>
              <w:bottom w:val="single" w:sz="4" w:space="0" w:color="auto"/>
            </w:tcBorders>
          </w:tcPr>
          <w:p w:rsidR="001E433F" w:rsidRPr="0015683D" w:rsidRDefault="00E5704F" w:rsidP="00DB4188">
            <w:pPr>
              <w:jc w:val="both"/>
              <w:rPr>
                <w:rFonts w:ascii="Times New Roman" w:hAnsi="Times New Roman"/>
                <w:b/>
                <w:sz w:val="20"/>
                <w:szCs w:val="20"/>
                <w:lang w:val="sr-Cyrl-CS"/>
              </w:rPr>
            </w:pPr>
            <w:r w:rsidRPr="0015683D">
              <w:rPr>
                <w:rFonts w:ascii="Times New Roman" w:hAnsi="Times New Roman"/>
                <w:b/>
                <w:sz w:val="20"/>
                <w:szCs w:val="20"/>
                <w:lang w:val="sr-Cyrl-CS"/>
              </w:rPr>
              <w:t>Проневера</w:t>
            </w:r>
          </w:p>
          <w:p w:rsidR="00E5704F" w:rsidRDefault="00E5704F" w:rsidP="00DB4188">
            <w:pPr>
              <w:jc w:val="both"/>
              <w:rPr>
                <w:rFonts w:ascii="Times New Roman" w:hAnsi="Times New Roman"/>
                <w:sz w:val="20"/>
                <w:szCs w:val="20"/>
                <w:lang w:val="sr-Cyrl-CS"/>
              </w:rPr>
            </w:pPr>
            <w:r>
              <w:rPr>
                <w:rFonts w:ascii="Times New Roman" w:hAnsi="Times New Roman"/>
                <w:sz w:val="20"/>
                <w:szCs w:val="20"/>
                <w:lang w:val="sr-Cyrl-CS"/>
              </w:rPr>
              <w:t>2007.</w:t>
            </w:r>
          </w:p>
          <w:p w:rsidR="001E433F" w:rsidRDefault="001E433F" w:rsidP="00DB4188">
            <w:pPr>
              <w:jc w:val="both"/>
              <w:rPr>
                <w:rFonts w:ascii="Times New Roman" w:hAnsi="Times New Roman"/>
                <w:sz w:val="20"/>
                <w:szCs w:val="20"/>
                <w:lang w:val="sr-Cyrl-CS"/>
              </w:rPr>
            </w:pPr>
          </w:p>
        </w:tc>
        <w:tc>
          <w:tcPr>
            <w:tcW w:w="1383" w:type="dxa"/>
            <w:gridSpan w:val="2"/>
            <w:tcBorders>
              <w:top w:val="single" w:sz="4" w:space="0" w:color="auto"/>
              <w:bottom w:val="single" w:sz="4" w:space="0" w:color="auto"/>
              <w:right w:val="single" w:sz="4" w:space="0" w:color="auto"/>
            </w:tcBorders>
          </w:tcPr>
          <w:p w:rsidR="00522F35" w:rsidRDefault="00522F35" w:rsidP="00DB4188">
            <w:pPr>
              <w:jc w:val="both"/>
              <w:rPr>
                <w:rFonts w:ascii="Times New Roman" w:hAnsi="Times New Roman"/>
                <w:sz w:val="24"/>
                <w:szCs w:val="24"/>
                <w:lang w:val="sr-Cyrl-CS"/>
              </w:rPr>
            </w:pPr>
          </w:p>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302</w:t>
            </w:r>
          </w:p>
        </w:tc>
        <w:tc>
          <w:tcPr>
            <w:tcW w:w="1503" w:type="dxa"/>
            <w:gridSpan w:val="3"/>
            <w:tcBorders>
              <w:top w:val="single" w:sz="4" w:space="0" w:color="auto"/>
              <w:left w:val="single" w:sz="4" w:space="0" w:color="auto"/>
              <w:bottom w:val="single" w:sz="4" w:space="0" w:color="auto"/>
            </w:tcBorders>
          </w:tcPr>
          <w:p w:rsidR="00522F35" w:rsidRDefault="00522F35" w:rsidP="00DB4188">
            <w:pPr>
              <w:jc w:val="both"/>
              <w:rPr>
                <w:rFonts w:ascii="Times New Roman" w:hAnsi="Times New Roman"/>
                <w:sz w:val="24"/>
                <w:szCs w:val="24"/>
                <w:lang w:val="sr-Cyrl-CS"/>
              </w:rPr>
            </w:pPr>
          </w:p>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319</w:t>
            </w:r>
          </w:p>
        </w:tc>
        <w:tc>
          <w:tcPr>
            <w:tcW w:w="1029" w:type="dxa"/>
            <w:tcBorders>
              <w:top w:val="single" w:sz="4" w:space="0" w:color="auto"/>
              <w:bottom w:val="single" w:sz="4" w:space="0" w:color="auto"/>
              <w:right w:val="single" w:sz="4" w:space="0" w:color="auto"/>
            </w:tcBorders>
          </w:tcPr>
          <w:p w:rsidR="00522F35" w:rsidRDefault="00522F35" w:rsidP="00DB4188">
            <w:pPr>
              <w:jc w:val="both"/>
              <w:rPr>
                <w:rFonts w:ascii="Times New Roman" w:hAnsi="Times New Roman"/>
                <w:sz w:val="24"/>
                <w:szCs w:val="24"/>
                <w:lang w:val="sr-Cyrl-CS"/>
              </w:rPr>
            </w:pPr>
          </w:p>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30</w:t>
            </w:r>
          </w:p>
        </w:tc>
        <w:tc>
          <w:tcPr>
            <w:tcW w:w="1231" w:type="dxa"/>
            <w:gridSpan w:val="4"/>
            <w:tcBorders>
              <w:top w:val="single" w:sz="4" w:space="0" w:color="auto"/>
              <w:left w:val="single" w:sz="4" w:space="0" w:color="auto"/>
              <w:bottom w:val="single" w:sz="4" w:space="0" w:color="auto"/>
            </w:tcBorders>
          </w:tcPr>
          <w:p w:rsidR="00522F35" w:rsidRDefault="00522F35" w:rsidP="00DB4188">
            <w:pPr>
              <w:jc w:val="both"/>
              <w:rPr>
                <w:rFonts w:ascii="Times New Roman" w:hAnsi="Times New Roman"/>
                <w:sz w:val="24"/>
                <w:szCs w:val="24"/>
                <w:lang w:val="sr-Cyrl-CS"/>
              </w:rPr>
            </w:pPr>
          </w:p>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62</w:t>
            </w:r>
          </w:p>
        </w:tc>
        <w:tc>
          <w:tcPr>
            <w:tcW w:w="957" w:type="dxa"/>
            <w:gridSpan w:val="2"/>
            <w:tcBorders>
              <w:top w:val="single" w:sz="4" w:space="0" w:color="auto"/>
              <w:bottom w:val="single" w:sz="4" w:space="0" w:color="auto"/>
              <w:right w:val="single" w:sz="4" w:space="0" w:color="auto"/>
            </w:tcBorders>
          </w:tcPr>
          <w:p w:rsidR="00522F35" w:rsidRDefault="00522F35" w:rsidP="00DB4188">
            <w:pPr>
              <w:jc w:val="both"/>
              <w:rPr>
                <w:rFonts w:ascii="Times New Roman" w:hAnsi="Times New Roman"/>
                <w:sz w:val="24"/>
                <w:szCs w:val="24"/>
                <w:lang w:val="sr-Cyrl-CS"/>
              </w:rPr>
            </w:pPr>
          </w:p>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257</w:t>
            </w:r>
          </w:p>
        </w:tc>
        <w:tc>
          <w:tcPr>
            <w:tcW w:w="1307" w:type="dxa"/>
            <w:gridSpan w:val="3"/>
            <w:tcBorders>
              <w:top w:val="single" w:sz="4" w:space="0" w:color="auto"/>
              <w:left w:val="single" w:sz="4" w:space="0" w:color="auto"/>
              <w:bottom w:val="single" w:sz="4" w:space="0" w:color="auto"/>
            </w:tcBorders>
          </w:tcPr>
          <w:p w:rsidR="00522F35" w:rsidRDefault="00522F35" w:rsidP="00DB4188">
            <w:pPr>
              <w:jc w:val="both"/>
              <w:rPr>
                <w:rFonts w:ascii="Times New Roman" w:hAnsi="Times New Roman"/>
                <w:sz w:val="24"/>
                <w:szCs w:val="24"/>
                <w:lang w:val="sr-Cyrl-CS"/>
              </w:rPr>
            </w:pPr>
          </w:p>
          <w:p w:rsidR="001E433F" w:rsidRDefault="00070E38" w:rsidP="00DB4188">
            <w:pPr>
              <w:jc w:val="both"/>
              <w:rPr>
                <w:rFonts w:ascii="Times New Roman" w:hAnsi="Times New Roman"/>
                <w:sz w:val="24"/>
                <w:szCs w:val="24"/>
                <w:lang w:val="sr-Cyrl-CS"/>
              </w:rPr>
            </w:pPr>
            <w:r>
              <w:rPr>
                <w:rFonts w:ascii="Times New Roman" w:hAnsi="Times New Roman"/>
                <w:sz w:val="24"/>
                <w:szCs w:val="24"/>
                <w:lang w:val="sr-Cyrl-CS"/>
              </w:rPr>
              <w:t>-</w:t>
            </w:r>
          </w:p>
        </w:tc>
      </w:tr>
      <w:tr w:rsidR="00AD1724" w:rsidTr="000E1089">
        <w:trPr>
          <w:trHeight w:val="624"/>
        </w:trPr>
        <w:tc>
          <w:tcPr>
            <w:tcW w:w="1635" w:type="dxa"/>
            <w:tcBorders>
              <w:top w:val="single" w:sz="4" w:space="0" w:color="auto"/>
              <w:bottom w:val="single" w:sz="4" w:space="0" w:color="auto"/>
            </w:tcBorders>
          </w:tcPr>
          <w:p w:rsidR="001E433F" w:rsidRDefault="00E5704F" w:rsidP="00DB4188">
            <w:pPr>
              <w:jc w:val="both"/>
              <w:rPr>
                <w:rFonts w:ascii="Times New Roman" w:hAnsi="Times New Roman"/>
                <w:sz w:val="20"/>
                <w:szCs w:val="20"/>
                <w:lang w:val="sr-Cyrl-CS"/>
              </w:rPr>
            </w:pPr>
            <w:r>
              <w:rPr>
                <w:rFonts w:ascii="Times New Roman" w:hAnsi="Times New Roman"/>
                <w:sz w:val="20"/>
                <w:szCs w:val="20"/>
                <w:lang w:val="sr-Cyrl-CS"/>
              </w:rPr>
              <w:t>2008.</w:t>
            </w:r>
          </w:p>
        </w:tc>
        <w:tc>
          <w:tcPr>
            <w:tcW w:w="1383" w:type="dxa"/>
            <w:gridSpan w:val="2"/>
            <w:tcBorders>
              <w:top w:val="single" w:sz="4" w:space="0" w:color="auto"/>
              <w:bottom w:val="single" w:sz="4" w:space="0" w:color="auto"/>
              <w:righ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401</w:t>
            </w:r>
          </w:p>
        </w:tc>
        <w:tc>
          <w:tcPr>
            <w:tcW w:w="1503" w:type="dxa"/>
            <w:gridSpan w:val="3"/>
            <w:tcBorders>
              <w:top w:val="single" w:sz="4" w:space="0" w:color="auto"/>
              <w:left w:val="single" w:sz="4" w:space="0" w:color="auto"/>
              <w:bottom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405</w:t>
            </w:r>
          </w:p>
        </w:tc>
        <w:tc>
          <w:tcPr>
            <w:tcW w:w="1029" w:type="dxa"/>
            <w:tcBorders>
              <w:top w:val="single" w:sz="4" w:space="0" w:color="auto"/>
              <w:bottom w:val="single" w:sz="4" w:space="0" w:color="auto"/>
              <w:righ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270</w:t>
            </w:r>
          </w:p>
        </w:tc>
        <w:tc>
          <w:tcPr>
            <w:tcW w:w="1231" w:type="dxa"/>
            <w:gridSpan w:val="4"/>
            <w:tcBorders>
              <w:top w:val="single" w:sz="4" w:space="0" w:color="auto"/>
              <w:left w:val="single" w:sz="4" w:space="0" w:color="auto"/>
              <w:bottom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65</w:t>
            </w:r>
          </w:p>
        </w:tc>
        <w:tc>
          <w:tcPr>
            <w:tcW w:w="957" w:type="dxa"/>
            <w:gridSpan w:val="2"/>
            <w:tcBorders>
              <w:top w:val="single" w:sz="4" w:space="0" w:color="auto"/>
              <w:bottom w:val="single" w:sz="4" w:space="0" w:color="auto"/>
              <w:righ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210</w:t>
            </w:r>
          </w:p>
        </w:tc>
        <w:tc>
          <w:tcPr>
            <w:tcW w:w="1307" w:type="dxa"/>
            <w:gridSpan w:val="3"/>
            <w:tcBorders>
              <w:top w:val="single" w:sz="4" w:space="0" w:color="auto"/>
              <w:left w:val="single" w:sz="4" w:space="0" w:color="auto"/>
              <w:bottom w:val="single" w:sz="4" w:space="0" w:color="auto"/>
            </w:tcBorders>
          </w:tcPr>
          <w:p w:rsidR="001E433F" w:rsidRDefault="00070E38" w:rsidP="00DB4188">
            <w:pPr>
              <w:jc w:val="both"/>
              <w:rPr>
                <w:rFonts w:ascii="Times New Roman" w:hAnsi="Times New Roman"/>
                <w:sz w:val="24"/>
                <w:szCs w:val="24"/>
                <w:lang w:val="sr-Cyrl-CS"/>
              </w:rPr>
            </w:pPr>
            <w:r>
              <w:rPr>
                <w:rFonts w:ascii="Times New Roman" w:hAnsi="Times New Roman"/>
                <w:sz w:val="24"/>
                <w:szCs w:val="24"/>
                <w:lang w:val="sr-Cyrl-CS"/>
              </w:rPr>
              <w:t>-</w:t>
            </w:r>
          </w:p>
        </w:tc>
      </w:tr>
      <w:tr w:rsidR="00AD1724" w:rsidTr="000E1089">
        <w:trPr>
          <w:trHeight w:val="606"/>
        </w:trPr>
        <w:tc>
          <w:tcPr>
            <w:tcW w:w="1635" w:type="dxa"/>
            <w:tcBorders>
              <w:top w:val="single" w:sz="4" w:space="0" w:color="auto"/>
              <w:bottom w:val="single" w:sz="4" w:space="0" w:color="auto"/>
            </w:tcBorders>
          </w:tcPr>
          <w:p w:rsidR="001E433F" w:rsidRDefault="00E5704F" w:rsidP="00DB4188">
            <w:pPr>
              <w:jc w:val="both"/>
              <w:rPr>
                <w:rFonts w:ascii="Times New Roman" w:hAnsi="Times New Roman"/>
                <w:sz w:val="20"/>
                <w:szCs w:val="20"/>
                <w:lang w:val="sr-Cyrl-CS"/>
              </w:rPr>
            </w:pPr>
            <w:r>
              <w:rPr>
                <w:rFonts w:ascii="Times New Roman" w:hAnsi="Times New Roman"/>
                <w:sz w:val="20"/>
                <w:szCs w:val="20"/>
                <w:lang w:val="sr-Cyrl-CS"/>
              </w:rPr>
              <w:t>2009.</w:t>
            </w:r>
          </w:p>
        </w:tc>
        <w:tc>
          <w:tcPr>
            <w:tcW w:w="1383" w:type="dxa"/>
            <w:gridSpan w:val="2"/>
            <w:tcBorders>
              <w:top w:val="single" w:sz="4" w:space="0" w:color="auto"/>
              <w:righ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475</w:t>
            </w:r>
          </w:p>
        </w:tc>
        <w:tc>
          <w:tcPr>
            <w:tcW w:w="1503" w:type="dxa"/>
            <w:gridSpan w:val="3"/>
            <w:tcBorders>
              <w:top w:val="single" w:sz="4" w:space="0" w:color="auto"/>
              <w:left w:val="single" w:sz="4" w:space="0" w:color="auto"/>
              <w:bottom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303</w:t>
            </w:r>
          </w:p>
        </w:tc>
        <w:tc>
          <w:tcPr>
            <w:tcW w:w="1029" w:type="dxa"/>
            <w:tcBorders>
              <w:top w:val="single" w:sz="4" w:space="0" w:color="auto"/>
              <w:bottom w:val="single" w:sz="4" w:space="0" w:color="auto"/>
              <w:righ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233</w:t>
            </w:r>
          </w:p>
        </w:tc>
        <w:tc>
          <w:tcPr>
            <w:tcW w:w="1231" w:type="dxa"/>
            <w:gridSpan w:val="4"/>
            <w:tcBorders>
              <w:top w:val="single" w:sz="4" w:space="0" w:color="auto"/>
              <w:left w:val="single" w:sz="4" w:space="0" w:color="auto"/>
              <w:bottom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47</w:t>
            </w:r>
          </w:p>
        </w:tc>
        <w:tc>
          <w:tcPr>
            <w:tcW w:w="957" w:type="dxa"/>
            <w:gridSpan w:val="2"/>
            <w:tcBorders>
              <w:top w:val="single" w:sz="4" w:space="0" w:color="auto"/>
              <w:bottom w:val="single" w:sz="4" w:space="0" w:color="auto"/>
              <w:righ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186</w:t>
            </w:r>
          </w:p>
        </w:tc>
        <w:tc>
          <w:tcPr>
            <w:tcW w:w="1307" w:type="dxa"/>
            <w:gridSpan w:val="3"/>
            <w:tcBorders>
              <w:top w:val="single" w:sz="4" w:space="0" w:color="auto"/>
              <w:left w:val="single" w:sz="4" w:space="0" w:color="auto"/>
              <w:bottom w:val="single" w:sz="4" w:space="0" w:color="auto"/>
            </w:tcBorders>
          </w:tcPr>
          <w:p w:rsidR="001E433F" w:rsidRDefault="00070E38" w:rsidP="00DB4188">
            <w:pPr>
              <w:jc w:val="both"/>
              <w:rPr>
                <w:rFonts w:ascii="Times New Roman" w:hAnsi="Times New Roman"/>
                <w:sz w:val="24"/>
                <w:szCs w:val="24"/>
                <w:lang w:val="sr-Cyrl-CS"/>
              </w:rPr>
            </w:pPr>
            <w:r>
              <w:rPr>
                <w:rFonts w:ascii="Times New Roman" w:hAnsi="Times New Roman"/>
                <w:sz w:val="24"/>
                <w:szCs w:val="24"/>
                <w:lang w:val="sr-Cyrl-CS"/>
              </w:rPr>
              <w:t>-</w:t>
            </w:r>
          </w:p>
        </w:tc>
      </w:tr>
      <w:tr w:rsidR="00AD1724" w:rsidTr="000E1089">
        <w:trPr>
          <w:trHeight w:val="503"/>
        </w:trPr>
        <w:tc>
          <w:tcPr>
            <w:tcW w:w="1635" w:type="dxa"/>
            <w:tcBorders>
              <w:top w:val="single" w:sz="4" w:space="0" w:color="auto"/>
              <w:bottom w:val="single" w:sz="4" w:space="0" w:color="auto"/>
            </w:tcBorders>
          </w:tcPr>
          <w:p w:rsidR="001E433F" w:rsidRDefault="00E5704F" w:rsidP="00DB4188">
            <w:pPr>
              <w:jc w:val="both"/>
              <w:rPr>
                <w:rFonts w:ascii="Times New Roman" w:hAnsi="Times New Roman"/>
                <w:sz w:val="20"/>
                <w:szCs w:val="20"/>
                <w:lang w:val="sr-Cyrl-CS"/>
              </w:rPr>
            </w:pPr>
            <w:r>
              <w:rPr>
                <w:rFonts w:ascii="Times New Roman" w:hAnsi="Times New Roman"/>
                <w:sz w:val="20"/>
                <w:szCs w:val="20"/>
                <w:lang w:val="sr-Cyrl-CS"/>
              </w:rPr>
              <w:t>2010.</w:t>
            </w:r>
          </w:p>
        </w:tc>
        <w:tc>
          <w:tcPr>
            <w:tcW w:w="1383" w:type="dxa"/>
            <w:gridSpan w:val="2"/>
            <w:tcBorders>
              <w:bottom w:val="single" w:sz="4" w:space="0" w:color="auto"/>
              <w:righ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460</w:t>
            </w:r>
          </w:p>
        </w:tc>
        <w:tc>
          <w:tcPr>
            <w:tcW w:w="1503" w:type="dxa"/>
            <w:gridSpan w:val="3"/>
            <w:tcBorders>
              <w:top w:val="single" w:sz="4" w:space="0" w:color="auto"/>
              <w:lef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134</w:t>
            </w:r>
          </w:p>
        </w:tc>
        <w:tc>
          <w:tcPr>
            <w:tcW w:w="1029" w:type="dxa"/>
            <w:tcBorders>
              <w:top w:val="single" w:sz="4" w:space="0" w:color="auto"/>
              <w:righ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114</w:t>
            </w:r>
          </w:p>
        </w:tc>
        <w:tc>
          <w:tcPr>
            <w:tcW w:w="1231" w:type="dxa"/>
            <w:gridSpan w:val="4"/>
            <w:tcBorders>
              <w:top w:val="single" w:sz="4" w:space="0" w:color="auto"/>
              <w:lef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17</w:t>
            </w:r>
          </w:p>
        </w:tc>
        <w:tc>
          <w:tcPr>
            <w:tcW w:w="957" w:type="dxa"/>
            <w:gridSpan w:val="2"/>
            <w:tcBorders>
              <w:top w:val="single" w:sz="4" w:space="0" w:color="auto"/>
              <w:righ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97</w:t>
            </w:r>
          </w:p>
        </w:tc>
        <w:tc>
          <w:tcPr>
            <w:tcW w:w="1307" w:type="dxa"/>
            <w:gridSpan w:val="3"/>
            <w:tcBorders>
              <w:top w:val="single" w:sz="4" w:space="0" w:color="auto"/>
              <w:left w:val="single" w:sz="4" w:space="0" w:color="auto"/>
            </w:tcBorders>
          </w:tcPr>
          <w:p w:rsidR="001E433F" w:rsidRDefault="00070E38" w:rsidP="00DB4188">
            <w:pPr>
              <w:jc w:val="both"/>
              <w:rPr>
                <w:rFonts w:ascii="Times New Roman" w:hAnsi="Times New Roman"/>
                <w:sz w:val="24"/>
                <w:szCs w:val="24"/>
                <w:lang w:val="sr-Cyrl-CS"/>
              </w:rPr>
            </w:pPr>
            <w:r>
              <w:rPr>
                <w:rFonts w:ascii="Times New Roman" w:hAnsi="Times New Roman"/>
                <w:sz w:val="24"/>
                <w:szCs w:val="24"/>
                <w:lang w:val="sr-Cyrl-CS"/>
              </w:rPr>
              <w:t>-</w:t>
            </w:r>
          </w:p>
        </w:tc>
      </w:tr>
      <w:tr w:rsidR="00AD1724" w:rsidTr="000E1089">
        <w:trPr>
          <w:trHeight w:val="469"/>
        </w:trPr>
        <w:tc>
          <w:tcPr>
            <w:tcW w:w="1635" w:type="dxa"/>
            <w:tcBorders>
              <w:top w:val="single" w:sz="4" w:space="0" w:color="auto"/>
              <w:bottom w:val="single" w:sz="4" w:space="0" w:color="auto"/>
            </w:tcBorders>
          </w:tcPr>
          <w:p w:rsidR="001E433F" w:rsidRDefault="00E5704F" w:rsidP="00DB4188">
            <w:pPr>
              <w:jc w:val="both"/>
              <w:rPr>
                <w:rFonts w:ascii="Times New Roman" w:hAnsi="Times New Roman"/>
                <w:sz w:val="20"/>
                <w:szCs w:val="20"/>
                <w:lang w:val="sr-Cyrl-CS"/>
              </w:rPr>
            </w:pPr>
            <w:r>
              <w:rPr>
                <w:rFonts w:ascii="Times New Roman" w:hAnsi="Times New Roman"/>
                <w:sz w:val="20"/>
                <w:szCs w:val="20"/>
                <w:lang w:val="sr-Cyrl-CS"/>
              </w:rPr>
              <w:t>2011.</w:t>
            </w:r>
          </w:p>
        </w:tc>
        <w:tc>
          <w:tcPr>
            <w:tcW w:w="1383" w:type="dxa"/>
            <w:gridSpan w:val="2"/>
            <w:tcBorders>
              <w:top w:val="single" w:sz="4" w:space="0" w:color="auto"/>
              <w:bottom w:val="single" w:sz="4" w:space="0" w:color="auto"/>
              <w:righ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555</w:t>
            </w:r>
          </w:p>
        </w:tc>
        <w:tc>
          <w:tcPr>
            <w:tcW w:w="1503" w:type="dxa"/>
            <w:gridSpan w:val="3"/>
            <w:tcBorders>
              <w:bottom w:val="single" w:sz="4" w:space="0" w:color="auto"/>
              <w:righ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221</w:t>
            </w:r>
          </w:p>
        </w:tc>
        <w:tc>
          <w:tcPr>
            <w:tcW w:w="1029" w:type="dxa"/>
            <w:tcBorders>
              <w:left w:val="single" w:sz="4" w:space="0" w:color="auto"/>
              <w:bottom w:val="single" w:sz="4" w:space="0" w:color="auto"/>
              <w:righ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178</w:t>
            </w:r>
          </w:p>
        </w:tc>
        <w:tc>
          <w:tcPr>
            <w:tcW w:w="1231" w:type="dxa"/>
            <w:gridSpan w:val="4"/>
            <w:tcBorders>
              <w:left w:val="single" w:sz="4" w:space="0" w:color="auto"/>
              <w:bottom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33</w:t>
            </w:r>
          </w:p>
        </w:tc>
        <w:tc>
          <w:tcPr>
            <w:tcW w:w="941" w:type="dxa"/>
            <w:tcBorders>
              <w:bottom w:val="single" w:sz="4" w:space="0" w:color="auto"/>
              <w:righ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144</w:t>
            </w:r>
          </w:p>
        </w:tc>
        <w:tc>
          <w:tcPr>
            <w:tcW w:w="1323" w:type="dxa"/>
            <w:gridSpan w:val="4"/>
            <w:tcBorders>
              <w:left w:val="single" w:sz="4" w:space="0" w:color="auto"/>
              <w:bottom w:val="single" w:sz="4" w:space="0" w:color="auto"/>
            </w:tcBorders>
          </w:tcPr>
          <w:p w:rsidR="001E433F" w:rsidRDefault="00070E38" w:rsidP="00DB4188">
            <w:pPr>
              <w:jc w:val="both"/>
              <w:rPr>
                <w:rFonts w:ascii="Times New Roman" w:hAnsi="Times New Roman"/>
                <w:sz w:val="24"/>
                <w:szCs w:val="24"/>
                <w:lang w:val="sr-Cyrl-CS"/>
              </w:rPr>
            </w:pPr>
            <w:r>
              <w:rPr>
                <w:rFonts w:ascii="Times New Roman" w:hAnsi="Times New Roman"/>
                <w:sz w:val="24"/>
                <w:szCs w:val="24"/>
                <w:lang w:val="sr-Cyrl-CS"/>
              </w:rPr>
              <w:t>-</w:t>
            </w:r>
          </w:p>
        </w:tc>
      </w:tr>
      <w:tr w:rsidR="00AD1724" w:rsidTr="000E1089">
        <w:trPr>
          <w:trHeight w:val="762"/>
        </w:trPr>
        <w:tc>
          <w:tcPr>
            <w:tcW w:w="1635" w:type="dxa"/>
            <w:tcBorders>
              <w:top w:val="single" w:sz="4" w:space="0" w:color="auto"/>
            </w:tcBorders>
          </w:tcPr>
          <w:p w:rsidR="001E433F" w:rsidRDefault="00E5704F" w:rsidP="00DB4188">
            <w:pPr>
              <w:jc w:val="both"/>
              <w:rPr>
                <w:rFonts w:ascii="Times New Roman" w:hAnsi="Times New Roman"/>
                <w:sz w:val="20"/>
                <w:szCs w:val="20"/>
                <w:lang w:val="sr-Cyrl-CS"/>
              </w:rPr>
            </w:pPr>
            <w:r>
              <w:rPr>
                <w:rFonts w:ascii="Times New Roman" w:hAnsi="Times New Roman"/>
                <w:sz w:val="20"/>
                <w:szCs w:val="20"/>
                <w:lang w:val="sr-Cyrl-CS"/>
              </w:rPr>
              <w:t>2012.</w:t>
            </w:r>
          </w:p>
        </w:tc>
        <w:tc>
          <w:tcPr>
            <w:tcW w:w="1383" w:type="dxa"/>
            <w:gridSpan w:val="2"/>
            <w:tcBorders>
              <w:top w:val="single" w:sz="4" w:space="0" w:color="auto"/>
              <w:bottom w:val="single" w:sz="4" w:space="0" w:color="auto"/>
              <w:righ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469</w:t>
            </w:r>
          </w:p>
        </w:tc>
        <w:tc>
          <w:tcPr>
            <w:tcW w:w="1503" w:type="dxa"/>
            <w:gridSpan w:val="3"/>
            <w:tcBorders>
              <w:top w:val="single" w:sz="4" w:space="0" w:color="auto"/>
              <w:bottom w:val="single" w:sz="4" w:space="0" w:color="auto"/>
              <w:righ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290</w:t>
            </w:r>
          </w:p>
        </w:tc>
        <w:tc>
          <w:tcPr>
            <w:tcW w:w="1029" w:type="dxa"/>
            <w:tcBorders>
              <w:top w:val="single" w:sz="4" w:space="0" w:color="auto"/>
              <w:left w:val="single" w:sz="4" w:space="0" w:color="auto"/>
              <w:bottom w:val="single" w:sz="4" w:space="0" w:color="auto"/>
              <w:righ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225</w:t>
            </w:r>
          </w:p>
        </w:tc>
        <w:tc>
          <w:tcPr>
            <w:tcW w:w="1231" w:type="dxa"/>
            <w:gridSpan w:val="4"/>
            <w:tcBorders>
              <w:top w:val="single" w:sz="4" w:space="0" w:color="auto"/>
              <w:left w:val="single" w:sz="4" w:space="0" w:color="auto"/>
              <w:bottom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46</w:t>
            </w:r>
          </w:p>
        </w:tc>
        <w:tc>
          <w:tcPr>
            <w:tcW w:w="941" w:type="dxa"/>
            <w:tcBorders>
              <w:top w:val="single" w:sz="4" w:space="0" w:color="auto"/>
              <w:bottom w:val="single" w:sz="4" w:space="0" w:color="auto"/>
              <w:right w:val="single" w:sz="4" w:space="0" w:color="auto"/>
            </w:tcBorders>
          </w:tcPr>
          <w:p w:rsidR="001E433F" w:rsidRDefault="00FA7446" w:rsidP="00DB4188">
            <w:pPr>
              <w:jc w:val="both"/>
              <w:rPr>
                <w:rFonts w:ascii="Times New Roman" w:hAnsi="Times New Roman"/>
                <w:sz w:val="24"/>
                <w:szCs w:val="24"/>
                <w:lang w:val="sr-Cyrl-CS"/>
              </w:rPr>
            </w:pPr>
            <w:r>
              <w:rPr>
                <w:rFonts w:ascii="Times New Roman" w:hAnsi="Times New Roman"/>
                <w:sz w:val="24"/>
                <w:szCs w:val="24"/>
                <w:lang w:val="sr-Cyrl-CS"/>
              </w:rPr>
              <w:t>179</w:t>
            </w:r>
          </w:p>
        </w:tc>
        <w:tc>
          <w:tcPr>
            <w:tcW w:w="1323" w:type="dxa"/>
            <w:gridSpan w:val="4"/>
            <w:tcBorders>
              <w:top w:val="single" w:sz="4" w:space="0" w:color="auto"/>
              <w:left w:val="single" w:sz="4" w:space="0" w:color="auto"/>
              <w:bottom w:val="single" w:sz="4" w:space="0" w:color="auto"/>
            </w:tcBorders>
          </w:tcPr>
          <w:p w:rsidR="001E433F" w:rsidRDefault="00070E38" w:rsidP="00DB4188">
            <w:pPr>
              <w:jc w:val="both"/>
              <w:rPr>
                <w:rFonts w:ascii="Times New Roman" w:hAnsi="Times New Roman"/>
                <w:sz w:val="24"/>
                <w:szCs w:val="24"/>
                <w:lang w:val="sr-Cyrl-CS"/>
              </w:rPr>
            </w:pPr>
            <w:r>
              <w:rPr>
                <w:rFonts w:ascii="Times New Roman" w:hAnsi="Times New Roman"/>
                <w:sz w:val="24"/>
                <w:szCs w:val="24"/>
                <w:lang w:val="sr-Cyrl-CS"/>
              </w:rPr>
              <w:t>-</w:t>
            </w:r>
          </w:p>
        </w:tc>
      </w:tr>
    </w:tbl>
    <w:p w:rsidR="00BE050B" w:rsidRPr="00D968C8" w:rsidRDefault="00BE050B" w:rsidP="00BE050B">
      <w:pPr>
        <w:rPr>
          <w:rFonts w:ascii="Times New Roman" w:hAnsi="Times New Roman"/>
          <w:sz w:val="24"/>
          <w:szCs w:val="24"/>
          <w:lang w:val="sr-Cyrl-CS"/>
        </w:rPr>
      </w:pPr>
    </w:p>
    <w:p w:rsidR="00AF492F" w:rsidRDefault="00837885" w:rsidP="00D968C8">
      <w:pPr>
        <w:ind w:firstLine="708"/>
        <w:jc w:val="both"/>
        <w:rPr>
          <w:rFonts w:ascii="Times New Roman" w:hAnsi="Times New Roman"/>
          <w:sz w:val="24"/>
          <w:szCs w:val="24"/>
          <w:lang w:val="sr-Cyrl-CS"/>
        </w:rPr>
      </w:pPr>
      <w:r>
        <w:rPr>
          <w:rFonts w:ascii="Times New Roman" w:hAnsi="Times New Roman"/>
          <w:sz w:val="24"/>
          <w:szCs w:val="24"/>
          <w:lang w:val="sr-Cyrl-CS"/>
        </w:rPr>
        <w:lastRenderedPageBreak/>
        <w:t>Расположиви статистички подаци у посматраном периоду указују да је број пресуђених дела, односно број правноснажних пресуда</w:t>
      </w:r>
      <w:r w:rsidR="000B7EF2">
        <w:rPr>
          <w:rFonts w:ascii="Times New Roman" w:hAnsi="Times New Roman"/>
          <w:sz w:val="24"/>
          <w:szCs w:val="24"/>
          <w:lang w:val="sr-Cyrl-CS"/>
        </w:rPr>
        <w:t xml:space="preserve">  знатно мањи у односу на број пријављених и оптужених. Поменути податак указује да у великом броју случајева долази до одбацивања кривичних пријава, односно до неподношења оптужног акта </w:t>
      </w:r>
      <w:r w:rsidR="00AF492F">
        <w:rPr>
          <w:rFonts w:ascii="Times New Roman" w:hAnsi="Times New Roman"/>
          <w:sz w:val="24"/>
          <w:szCs w:val="24"/>
          <w:lang w:val="sr-Cyrl-CS"/>
        </w:rPr>
        <w:t xml:space="preserve">након што је у </w:t>
      </w:r>
      <w:r w:rsidR="000B7EF2">
        <w:rPr>
          <w:rFonts w:ascii="Times New Roman" w:hAnsi="Times New Roman"/>
          <w:sz w:val="24"/>
          <w:szCs w:val="24"/>
          <w:lang w:val="sr-Cyrl-CS"/>
        </w:rPr>
        <w:t>преткривичном и претходном поступку утврђено да нема довољно основа за подизање оптужног акта. Мимо тога, након оптужења кривични поступци за ова кривична дела дуго трају</w:t>
      </w:r>
      <w:r w:rsidR="00AF492F">
        <w:rPr>
          <w:rFonts w:ascii="Times New Roman" w:hAnsi="Times New Roman"/>
          <w:sz w:val="24"/>
          <w:szCs w:val="24"/>
          <w:lang w:val="sr-Cyrl-CS"/>
        </w:rPr>
        <w:t xml:space="preserve"> што често доводи до застарелости крвичног гоњења.</w:t>
      </w:r>
      <w:r w:rsidR="000B7EF2">
        <w:rPr>
          <w:rFonts w:ascii="Times New Roman" w:hAnsi="Times New Roman"/>
          <w:sz w:val="24"/>
          <w:szCs w:val="24"/>
          <w:lang w:val="sr-Cyrl-CS"/>
        </w:rPr>
        <w:t xml:space="preserve"> Број пресуђених предмета у односу на број пријављених варира од године до године, али се ипак може запазити </w:t>
      </w:r>
      <w:r w:rsidR="00073D76">
        <w:rPr>
          <w:rFonts w:ascii="Times New Roman" w:hAnsi="Times New Roman"/>
          <w:sz w:val="24"/>
          <w:szCs w:val="24"/>
          <w:lang w:val="sr-Cyrl-CS"/>
        </w:rPr>
        <w:t xml:space="preserve">да тај број у неким случајевима значајно расте као код кривичног дела пореске утаје, примања мита, давања мита и проневере, али расте и број пријављених лица. </w:t>
      </w:r>
    </w:p>
    <w:p w:rsidR="006850EC" w:rsidRDefault="006850EC" w:rsidP="00D968C8">
      <w:pPr>
        <w:ind w:firstLine="708"/>
        <w:jc w:val="both"/>
        <w:rPr>
          <w:rFonts w:ascii="Times New Roman" w:hAnsi="Times New Roman"/>
          <w:sz w:val="24"/>
          <w:szCs w:val="24"/>
          <w:lang w:val="sr-Cyrl-CS"/>
        </w:rPr>
      </w:pPr>
      <w:r>
        <w:rPr>
          <w:rFonts w:ascii="Times New Roman" w:hAnsi="Times New Roman"/>
          <w:sz w:val="24"/>
          <w:szCs w:val="24"/>
          <w:lang w:val="sr-Cyrl-CS"/>
        </w:rPr>
        <w:t>Имајући у виду „тамну бројку“ ових кривичних дела, несумњиво је да је извршен већи број кривичних дела него што то показују статистички подаци. Из приказаних података јасно је да међу кривичним делима доминира кривично дело злоупотрба службеног положаја, док је број кривичних дела примање и давање мита знатно мањи. Како се ради о кривичним делима која су синомим за кроупцију и представљју велики проблем у нашем друштву, број откривених дела према статистици је поражавајуће мали.</w:t>
      </w:r>
    </w:p>
    <w:p w:rsidR="00837885" w:rsidRDefault="00073D76" w:rsidP="00D968C8">
      <w:pPr>
        <w:ind w:firstLine="708"/>
        <w:jc w:val="both"/>
        <w:rPr>
          <w:rFonts w:ascii="Times New Roman" w:hAnsi="Times New Roman"/>
          <w:sz w:val="24"/>
          <w:szCs w:val="24"/>
          <w:lang w:val="sr-Cyrl-CS"/>
        </w:rPr>
      </w:pPr>
      <w:r>
        <w:rPr>
          <w:rFonts w:ascii="Times New Roman" w:hAnsi="Times New Roman"/>
          <w:sz w:val="24"/>
          <w:szCs w:val="24"/>
          <w:lang w:val="sr-Cyrl-CS"/>
        </w:rPr>
        <w:t xml:space="preserve">У погледу казнене политике судова </w:t>
      </w:r>
      <w:r w:rsidR="004E2932">
        <w:rPr>
          <w:rFonts w:ascii="Times New Roman" w:hAnsi="Times New Roman"/>
          <w:sz w:val="24"/>
          <w:szCs w:val="24"/>
          <w:lang w:val="sr-Cyrl-CS"/>
        </w:rPr>
        <w:t>у великој већини су изречене условне осуде, иако се ради о озбиљним кривичним делима за која су запрећене казне затвора</w:t>
      </w:r>
      <w:r w:rsidR="00AF492F">
        <w:rPr>
          <w:rFonts w:ascii="Times New Roman" w:hAnsi="Times New Roman"/>
          <w:sz w:val="24"/>
          <w:szCs w:val="24"/>
          <w:lang w:val="sr-Cyrl-CS"/>
        </w:rPr>
        <w:t>,</w:t>
      </w:r>
      <w:r w:rsidR="004E2932">
        <w:rPr>
          <w:rFonts w:ascii="Times New Roman" w:hAnsi="Times New Roman"/>
          <w:sz w:val="24"/>
          <w:szCs w:val="24"/>
          <w:lang w:val="sr-Cyrl-CS"/>
        </w:rPr>
        <w:t xml:space="preserve"> у већини случајева у трајању до пет година за основне облике кривичних, а за квалификоване </w:t>
      </w:r>
      <w:r w:rsidR="00AF492F">
        <w:rPr>
          <w:rFonts w:ascii="Times New Roman" w:hAnsi="Times New Roman"/>
          <w:sz w:val="24"/>
          <w:szCs w:val="24"/>
          <w:lang w:val="sr-Cyrl-CS"/>
        </w:rPr>
        <w:t xml:space="preserve">облике </w:t>
      </w:r>
      <w:r w:rsidR="004E2932">
        <w:rPr>
          <w:rFonts w:ascii="Times New Roman" w:hAnsi="Times New Roman"/>
          <w:sz w:val="24"/>
          <w:szCs w:val="24"/>
          <w:lang w:val="sr-Cyrl-CS"/>
        </w:rPr>
        <w:t>и преко десет година. При том, за кривично дело примање мита и за основни облик кривичног дела је запрећена казна затвора од две до дванаест година.</w:t>
      </w:r>
      <w:r w:rsidR="00AF492F">
        <w:rPr>
          <w:rFonts w:ascii="Times New Roman" w:hAnsi="Times New Roman"/>
          <w:sz w:val="24"/>
          <w:szCs w:val="24"/>
          <w:lang w:val="sr-Cyrl-CS"/>
        </w:rPr>
        <w:t xml:space="preserve"> Ипак, и у овом случају условна осуда је доминантна. </w:t>
      </w:r>
    </w:p>
    <w:p w:rsidR="00D968C8" w:rsidRDefault="00414493" w:rsidP="00D968C8">
      <w:pPr>
        <w:ind w:firstLine="708"/>
        <w:jc w:val="both"/>
        <w:rPr>
          <w:rFonts w:ascii="Times New Roman" w:hAnsi="Times New Roman"/>
          <w:sz w:val="24"/>
          <w:szCs w:val="24"/>
          <w:lang w:val="sr-Cyrl-CS"/>
        </w:rPr>
      </w:pPr>
      <w:r>
        <w:rPr>
          <w:rFonts w:ascii="Times New Roman" w:hAnsi="Times New Roman"/>
          <w:sz w:val="24"/>
          <w:szCs w:val="24"/>
          <w:lang w:val="sr-Cyrl-CS"/>
        </w:rPr>
        <w:t>Навдено потврђује</w:t>
      </w:r>
      <w:r w:rsidR="00D968C8">
        <w:rPr>
          <w:rFonts w:ascii="Times New Roman" w:hAnsi="Times New Roman"/>
          <w:sz w:val="24"/>
          <w:szCs w:val="24"/>
          <w:lang w:val="sr-Cyrl-CS"/>
        </w:rPr>
        <w:t xml:space="preserve"> </w:t>
      </w:r>
      <w:r>
        <w:rPr>
          <w:rFonts w:ascii="Times New Roman" w:hAnsi="Times New Roman"/>
          <w:sz w:val="24"/>
          <w:szCs w:val="24"/>
          <w:lang w:val="sr-Cyrl-CS"/>
        </w:rPr>
        <w:t>мишљење</w:t>
      </w:r>
      <w:r w:rsidR="00D968C8">
        <w:rPr>
          <w:rFonts w:ascii="Times New Roman" w:hAnsi="Times New Roman"/>
          <w:sz w:val="24"/>
          <w:szCs w:val="24"/>
          <w:lang w:val="sr-Cyrl-CS"/>
        </w:rPr>
        <w:t xml:space="preserve"> да систем кривичних санкција данас погађа углавном дно друштва, док му друштвени слојеви на врху измичу.</w:t>
      </w:r>
      <w:r w:rsidR="00D968C8">
        <w:rPr>
          <w:rStyle w:val="FootnoteReference"/>
          <w:rFonts w:ascii="Times New Roman" w:hAnsi="Times New Roman"/>
          <w:sz w:val="24"/>
          <w:szCs w:val="24"/>
          <w:lang w:val="sr-Cyrl-CS"/>
        </w:rPr>
        <w:footnoteReference w:id="784"/>
      </w:r>
      <w:r w:rsidR="00D968C8">
        <w:rPr>
          <w:rFonts w:ascii="Times New Roman" w:hAnsi="Times New Roman"/>
          <w:sz w:val="24"/>
          <w:szCs w:val="24"/>
          <w:lang w:val="sr-Cyrl-CS"/>
        </w:rPr>
        <w:t xml:space="preserve"> Према томе, </w:t>
      </w:r>
      <w:r>
        <w:rPr>
          <w:rFonts w:ascii="Times New Roman" w:hAnsi="Times New Roman"/>
          <w:sz w:val="24"/>
          <w:szCs w:val="24"/>
          <w:lang w:val="sr-Cyrl-CS"/>
        </w:rPr>
        <w:t>статистички подаци указују на доминантност изрицања условне осуде, односно „</w:t>
      </w:r>
      <w:r w:rsidR="00D968C8">
        <w:rPr>
          <w:rFonts w:ascii="Times New Roman" w:hAnsi="Times New Roman"/>
          <w:sz w:val="24"/>
          <w:szCs w:val="24"/>
          <w:lang w:val="sr-Cyrl-CS"/>
        </w:rPr>
        <w:t>да домаћи судови најчешће изричу условну осуду, иза које следи казна завора, па новчана казна. Занимљиво је да се овај редослед изречених кривичних санкција са мањим осцилацијама у домаћој судској пракси задржава прилично дуг период, без обзира на врло различите временске интервале у погледу друштвене стабилности и стања криминалитета.</w:t>
      </w:r>
      <w:r>
        <w:rPr>
          <w:rFonts w:ascii="Times New Roman" w:hAnsi="Times New Roman"/>
          <w:sz w:val="24"/>
          <w:szCs w:val="24"/>
          <w:lang w:val="sr-Cyrl-CS"/>
        </w:rPr>
        <w:t>“</w:t>
      </w:r>
      <w:r w:rsidR="00D968C8">
        <w:rPr>
          <w:rStyle w:val="FootnoteReference"/>
          <w:rFonts w:ascii="Times New Roman" w:hAnsi="Times New Roman"/>
          <w:sz w:val="24"/>
          <w:szCs w:val="24"/>
          <w:lang w:val="sr-Cyrl-CS"/>
        </w:rPr>
        <w:footnoteReference w:id="785"/>
      </w:r>
      <w:r w:rsidR="00D968C8">
        <w:rPr>
          <w:rFonts w:ascii="Times New Roman" w:hAnsi="Times New Roman"/>
          <w:sz w:val="24"/>
          <w:szCs w:val="24"/>
          <w:lang w:val="sr-Cyrl-CS"/>
        </w:rPr>
        <w:t xml:space="preserve"> </w:t>
      </w:r>
    </w:p>
    <w:p w:rsidR="00D968C8" w:rsidRDefault="00414493" w:rsidP="00D968C8">
      <w:pPr>
        <w:ind w:firstLine="708"/>
        <w:jc w:val="both"/>
        <w:rPr>
          <w:rFonts w:ascii="Times New Roman" w:hAnsi="Times New Roman"/>
          <w:sz w:val="24"/>
          <w:szCs w:val="24"/>
          <w:lang w:val="sr-Cyrl-CS"/>
        </w:rPr>
      </w:pPr>
      <w:r>
        <w:rPr>
          <w:rFonts w:ascii="Times New Roman" w:hAnsi="Times New Roman"/>
          <w:sz w:val="24"/>
          <w:szCs w:val="24"/>
          <w:lang w:val="sr-Cyrl-CS"/>
        </w:rPr>
        <w:t>„</w:t>
      </w:r>
      <w:r w:rsidR="00D968C8">
        <w:rPr>
          <w:rFonts w:ascii="Times New Roman" w:hAnsi="Times New Roman"/>
          <w:sz w:val="24"/>
          <w:szCs w:val="24"/>
          <w:lang w:val="sr-Cyrl-CS"/>
        </w:rPr>
        <w:t xml:space="preserve">Док се везано за кажњавање засновано превасходно на стратегији генералне превенције показује као тачно да апсурд буде већи, да управо дела из области криминала белог оковратника и корпорацијског криминала потврђују класично учење о хедонистичким прорачуну сопствених интереса и дају класичан пример злочина као </w:t>
      </w:r>
      <w:r w:rsidR="00D968C8">
        <w:rPr>
          <w:rFonts w:ascii="Times New Roman" w:hAnsi="Times New Roman"/>
          <w:sz w:val="24"/>
          <w:szCs w:val="24"/>
          <w:lang w:val="sr-Cyrl-CS"/>
        </w:rPr>
        <w:lastRenderedPageBreak/>
        <w:t>економске опције, који на плану социјалне контроле представља доказ да је генерална превенција била неефикасна.</w:t>
      </w:r>
      <w:r>
        <w:rPr>
          <w:rFonts w:ascii="Times New Roman" w:hAnsi="Times New Roman"/>
          <w:sz w:val="24"/>
          <w:szCs w:val="24"/>
          <w:lang w:val="sr-Cyrl-CS"/>
        </w:rPr>
        <w:t>“</w:t>
      </w:r>
      <w:r w:rsidR="00D968C8">
        <w:rPr>
          <w:rStyle w:val="FootnoteReference"/>
          <w:rFonts w:ascii="Times New Roman" w:hAnsi="Times New Roman"/>
          <w:sz w:val="24"/>
          <w:szCs w:val="24"/>
          <w:lang w:val="sr-Cyrl-CS"/>
        </w:rPr>
        <w:footnoteReference w:id="786"/>
      </w:r>
    </w:p>
    <w:p w:rsidR="00D968C8" w:rsidRDefault="00D968C8" w:rsidP="00D968C8">
      <w:pPr>
        <w:jc w:val="both"/>
        <w:rPr>
          <w:rFonts w:ascii="Times New Roman" w:hAnsi="Times New Roman"/>
          <w:sz w:val="24"/>
          <w:szCs w:val="24"/>
          <w:lang w:val="sr-Cyrl-CS"/>
        </w:rPr>
      </w:pPr>
    </w:p>
    <w:p w:rsidR="00C45C2F" w:rsidRPr="00BE050B" w:rsidRDefault="00C45C2F" w:rsidP="00BE050B">
      <w:pPr>
        <w:rPr>
          <w:rFonts w:ascii="Times New Roman" w:hAnsi="Times New Roman"/>
          <w:b/>
          <w:sz w:val="20"/>
          <w:szCs w:val="20"/>
          <w:lang w:val="sr-Cyrl-CS"/>
        </w:rPr>
      </w:pPr>
    </w:p>
    <w:p w:rsidR="005E6B83" w:rsidRPr="001C7B5A" w:rsidRDefault="001C7B5A" w:rsidP="008A3795">
      <w:pPr>
        <w:pStyle w:val="ListParagraph"/>
        <w:numPr>
          <w:ilvl w:val="1"/>
          <w:numId w:val="59"/>
        </w:numPr>
        <w:jc w:val="center"/>
        <w:rPr>
          <w:rFonts w:ascii="Times New Roman" w:hAnsi="Times New Roman"/>
          <w:b/>
          <w:sz w:val="24"/>
          <w:szCs w:val="24"/>
          <w:lang w:val="sr-Cyrl-CS"/>
        </w:rPr>
      </w:pPr>
      <w:r>
        <w:rPr>
          <w:rFonts w:ascii="Times New Roman" w:hAnsi="Times New Roman"/>
          <w:b/>
          <w:sz w:val="24"/>
          <w:szCs w:val="24"/>
        </w:rPr>
        <w:t xml:space="preserve"> </w:t>
      </w:r>
      <w:r w:rsidR="00A10F0D" w:rsidRPr="001C7B5A">
        <w:rPr>
          <w:rFonts w:ascii="Times New Roman" w:hAnsi="Times New Roman"/>
          <w:b/>
          <w:sz w:val="24"/>
          <w:szCs w:val="24"/>
          <w:lang w:val="sr-Cyrl-CS"/>
        </w:rPr>
        <w:t>Пореска кривична дела</w:t>
      </w:r>
    </w:p>
    <w:p w:rsidR="00A10F0D" w:rsidRPr="00A10F0D" w:rsidRDefault="00A10F0D" w:rsidP="00A10F0D">
      <w:pPr>
        <w:ind w:firstLine="708"/>
        <w:jc w:val="center"/>
        <w:rPr>
          <w:rFonts w:ascii="Times New Roman" w:hAnsi="Times New Roman"/>
          <w:b/>
          <w:sz w:val="24"/>
          <w:szCs w:val="24"/>
          <w:lang w:val="sr-Cyrl-CS"/>
        </w:rPr>
      </w:pPr>
    </w:p>
    <w:p w:rsidR="005E6B83" w:rsidRDefault="0088405E" w:rsidP="005E6B83">
      <w:pPr>
        <w:ind w:firstLine="708"/>
        <w:jc w:val="both"/>
        <w:rPr>
          <w:rFonts w:ascii="Times New Roman" w:hAnsi="Times New Roman"/>
          <w:sz w:val="24"/>
          <w:szCs w:val="24"/>
          <w:lang w:val="sr-Cyrl-CS"/>
        </w:rPr>
      </w:pPr>
      <w:r>
        <w:rPr>
          <w:rFonts w:ascii="Times New Roman" w:hAnsi="Times New Roman"/>
          <w:sz w:val="24"/>
          <w:szCs w:val="24"/>
          <w:lang w:val="sr-Cyrl-CS"/>
        </w:rPr>
        <w:t>Пореска кривична дела се међу кривичним делима против привреде посебно издвајају по свом значају</w:t>
      </w:r>
      <w:r w:rsidR="005E6B83">
        <w:rPr>
          <w:rFonts w:ascii="Times New Roman" w:hAnsi="Times New Roman"/>
          <w:sz w:val="24"/>
          <w:szCs w:val="24"/>
          <w:lang w:val="sr-Cyrl-CS"/>
        </w:rPr>
        <w:t>, а посебно кривично дело пореске утаје, које је основно кривично дело ове врсте.</w:t>
      </w:r>
      <w:r w:rsidR="0071187B">
        <w:rPr>
          <w:rFonts w:ascii="Times New Roman" w:hAnsi="Times New Roman"/>
          <w:sz w:val="24"/>
          <w:szCs w:val="24"/>
          <w:lang w:val="sr-Cyrl-CS"/>
        </w:rPr>
        <w:t xml:space="preserve"> </w:t>
      </w:r>
      <w:r w:rsidR="005E6B83">
        <w:rPr>
          <w:rFonts w:ascii="Times New Roman" w:hAnsi="Times New Roman"/>
          <w:sz w:val="24"/>
          <w:szCs w:val="24"/>
          <w:lang w:val="sr-Cyrl-CS"/>
        </w:rPr>
        <w:t xml:space="preserve"> </w:t>
      </w:r>
      <w:r>
        <w:rPr>
          <w:rFonts w:ascii="Times New Roman" w:hAnsi="Times New Roman"/>
          <w:sz w:val="24"/>
          <w:szCs w:val="24"/>
          <w:lang w:val="sr-Cyrl-CS"/>
        </w:rPr>
        <w:t>Ова кривична дела представљају посебну врсту привредних кривичних дела, а често се називају финансијска кривична дела.</w:t>
      </w:r>
    </w:p>
    <w:p w:rsidR="005815F4" w:rsidRDefault="00F01C4C" w:rsidP="005E6B83">
      <w:pPr>
        <w:ind w:firstLine="708"/>
        <w:jc w:val="both"/>
        <w:rPr>
          <w:rFonts w:ascii="Times New Roman" w:hAnsi="Times New Roman"/>
          <w:sz w:val="24"/>
          <w:szCs w:val="24"/>
          <w:lang w:val="sr-Cyrl-CS"/>
        </w:rPr>
      </w:pPr>
      <w:r>
        <w:rPr>
          <w:rFonts w:ascii="Times New Roman" w:hAnsi="Times New Roman"/>
          <w:sz w:val="24"/>
          <w:szCs w:val="24"/>
          <w:lang w:val="sr-Cyrl-CS"/>
        </w:rPr>
        <w:t>Потпуно и уредно остваривање фискалног</w:t>
      </w:r>
      <w:r w:rsidR="005815F4">
        <w:rPr>
          <w:rFonts w:ascii="Times New Roman" w:hAnsi="Times New Roman"/>
          <w:sz w:val="24"/>
          <w:szCs w:val="24"/>
          <w:lang w:val="sr-Cyrl-CS"/>
        </w:rPr>
        <w:t xml:space="preserve"> систем</w:t>
      </w:r>
      <w:r>
        <w:rPr>
          <w:rFonts w:ascii="Times New Roman" w:hAnsi="Times New Roman"/>
          <w:sz w:val="24"/>
          <w:szCs w:val="24"/>
          <w:lang w:val="sr-Cyrl-CS"/>
        </w:rPr>
        <w:t>а</w:t>
      </w:r>
      <w:r w:rsidR="005815F4">
        <w:rPr>
          <w:rFonts w:ascii="Times New Roman" w:hAnsi="Times New Roman"/>
          <w:sz w:val="24"/>
          <w:szCs w:val="24"/>
          <w:lang w:val="sr-Cyrl-CS"/>
        </w:rPr>
        <w:t xml:space="preserve"> </w:t>
      </w:r>
      <w:r>
        <w:rPr>
          <w:rFonts w:ascii="Times New Roman" w:hAnsi="Times New Roman"/>
          <w:sz w:val="24"/>
          <w:szCs w:val="24"/>
          <w:lang w:val="sr-Cyrl-CS"/>
        </w:rPr>
        <w:t xml:space="preserve">је од великог значаја </w:t>
      </w:r>
      <w:r w:rsidR="005815F4">
        <w:rPr>
          <w:rFonts w:ascii="Times New Roman" w:hAnsi="Times New Roman"/>
          <w:sz w:val="24"/>
          <w:szCs w:val="24"/>
          <w:lang w:val="sr-Cyrl-CS"/>
        </w:rPr>
        <w:t>за постојање, одржање, па и</w:t>
      </w:r>
      <w:r>
        <w:rPr>
          <w:rFonts w:ascii="Times New Roman" w:hAnsi="Times New Roman"/>
          <w:sz w:val="24"/>
          <w:szCs w:val="24"/>
          <w:lang w:val="sr-Cyrl-CS"/>
        </w:rPr>
        <w:t xml:space="preserve"> развој државе, односно друштва. Самим тим је важно</w:t>
      </w:r>
      <w:r w:rsidR="005815F4">
        <w:rPr>
          <w:rFonts w:ascii="Times New Roman" w:hAnsi="Times New Roman"/>
          <w:sz w:val="24"/>
          <w:szCs w:val="24"/>
          <w:lang w:val="sr-Cyrl-CS"/>
        </w:rPr>
        <w:t xml:space="preserve"> да </w:t>
      </w:r>
      <w:r>
        <w:rPr>
          <w:rFonts w:ascii="Times New Roman" w:hAnsi="Times New Roman"/>
          <w:sz w:val="24"/>
          <w:szCs w:val="24"/>
          <w:lang w:val="sr-Cyrl-CS"/>
        </w:rPr>
        <w:t xml:space="preserve">се </w:t>
      </w:r>
      <w:r w:rsidR="005815F4">
        <w:rPr>
          <w:rFonts w:ascii="Times New Roman" w:hAnsi="Times New Roman"/>
          <w:sz w:val="24"/>
          <w:szCs w:val="24"/>
          <w:lang w:val="sr-Cyrl-CS"/>
        </w:rPr>
        <w:t>држава широком лепезом различитих мера, средстава и начина</w:t>
      </w:r>
      <w:r>
        <w:rPr>
          <w:rFonts w:ascii="Times New Roman" w:hAnsi="Times New Roman"/>
          <w:sz w:val="24"/>
          <w:szCs w:val="24"/>
          <w:lang w:val="sr-Cyrl-CS"/>
        </w:rPr>
        <w:t>,</w:t>
      </w:r>
      <w:r w:rsidR="005815F4">
        <w:rPr>
          <w:rFonts w:ascii="Times New Roman" w:hAnsi="Times New Roman"/>
          <w:sz w:val="24"/>
          <w:szCs w:val="24"/>
          <w:lang w:val="sr-Cyrl-CS"/>
        </w:rPr>
        <w:t xml:space="preserve"> </w:t>
      </w:r>
      <w:r>
        <w:rPr>
          <w:rFonts w:ascii="Times New Roman" w:hAnsi="Times New Roman"/>
          <w:sz w:val="24"/>
          <w:szCs w:val="24"/>
          <w:lang w:val="sr-Cyrl-CS"/>
        </w:rPr>
        <w:t>који се предузимају</w:t>
      </w:r>
      <w:r w:rsidR="005815F4">
        <w:rPr>
          <w:rFonts w:ascii="Times New Roman" w:hAnsi="Times New Roman"/>
          <w:sz w:val="24"/>
          <w:szCs w:val="24"/>
          <w:lang w:val="sr-Cyrl-CS"/>
        </w:rPr>
        <w:t xml:space="preserve"> од стране различитих субјеката на свим нивоима</w:t>
      </w:r>
      <w:r>
        <w:rPr>
          <w:rFonts w:ascii="Times New Roman" w:hAnsi="Times New Roman"/>
          <w:sz w:val="24"/>
          <w:szCs w:val="24"/>
          <w:lang w:val="sr-Cyrl-CS"/>
        </w:rPr>
        <w:t>,</w:t>
      </w:r>
      <w:r w:rsidR="005815F4">
        <w:rPr>
          <w:rFonts w:ascii="Times New Roman" w:hAnsi="Times New Roman"/>
          <w:sz w:val="24"/>
          <w:szCs w:val="24"/>
          <w:lang w:val="sr-Cyrl-CS"/>
        </w:rPr>
        <w:t xml:space="preserve"> супротстави различитим облицима и видовима неплаћања, прикривања, непријављивања или избегавања плаћања п</w:t>
      </w:r>
      <w:r w:rsidR="008423D0">
        <w:rPr>
          <w:rFonts w:ascii="Times New Roman" w:hAnsi="Times New Roman"/>
          <w:sz w:val="24"/>
          <w:szCs w:val="24"/>
          <w:lang w:val="sr-Cyrl-CS"/>
        </w:rPr>
        <w:t>ореза, доприноса и других пропис</w:t>
      </w:r>
      <w:r w:rsidR="005815F4">
        <w:rPr>
          <w:rFonts w:ascii="Times New Roman" w:hAnsi="Times New Roman"/>
          <w:sz w:val="24"/>
          <w:szCs w:val="24"/>
          <w:lang w:val="sr-Cyrl-CS"/>
        </w:rPr>
        <w:t>аних обавеза које представаљају јавни приход.</w:t>
      </w:r>
      <w:r w:rsidR="005815F4">
        <w:rPr>
          <w:rStyle w:val="FootnoteReference"/>
          <w:rFonts w:ascii="Times New Roman" w:hAnsi="Times New Roman"/>
          <w:sz w:val="24"/>
          <w:szCs w:val="24"/>
          <w:lang w:val="sr-Cyrl-CS"/>
        </w:rPr>
        <w:footnoteReference w:id="787"/>
      </w:r>
    </w:p>
    <w:p w:rsidR="005E6B83" w:rsidRDefault="005E6B83" w:rsidP="005E6B83">
      <w:pPr>
        <w:ind w:firstLine="708"/>
        <w:jc w:val="both"/>
        <w:rPr>
          <w:rFonts w:ascii="Times New Roman" w:hAnsi="Times New Roman"/>
          <w:sz w:val="24"/>
          <w:szCs w:val="24"/>
          <w:lang w:val="sr-Cyrl-CS"/>
        </w:rPr>
      </w:pPr>
      <w:r>
        <w:rPr>
          <w:rFonts w:ascii="Times New Roman" w:hAnsi="Times New Roman"/>
          <w:sz w:val="24"/>
          <w:szCs w:val="24"/>
          <w:lang w:val="sr-Cyrl-CS"/>
        </w:rPr>
        <w:t xml:space="preserve">Избегавање плаћања </w:t>
      </w:r>
      <w:r w:rsidR="00F01C4C">
        <w:rPr>
          <w:rFonts w:ascii="Times New Roman" w:hAnsi="Times New Roman"/>
          <w:sz w:val="24"/>
          <w:szCs w:val="24"/>
          <w:lang w:val="sr-Cyrl-CS"/>
        </w:rPr>
        <w:t>пореза има озбиљне последице јер се тиме наноси</w:t>
      </w:r>
      <w:r>
        <w:rPr>
          <w:rFonts w:ascii="Times New Roman" w:hAnsi="Times New Roman"/>
          <w:sz w:val="24"/>
          <w:szCs w:val="24"/>
          <w:lang w:val="sr-Cyrl-CS"/>
        </w:rPr>
        <w:t xml:space="preserve"> штета душтвеним интересима, угрожавају се фондови и установе социјалне заштите</w:t>
      </w:r>
      <w:r w:rsidR="005815F4">
        <w:rPr>
          <w:rFonts w:ascii="Times New Roman" w:hAnsi="Times New Roman"/>
          <w:sz w:val="24"/>
          <w:szCs w:val="24"/>
          <w:lang w:val="sr-Cyrl-CS"/>
        </w:rPr>
        <w:t>, односно функционисање свих буџ</w:t>
      </w:r>
      <w:r>
        <w:rPr>
          <w:rFonts w:ascii="Times New Roman" w:hAnsi="Times New Roman"/>
          <w:sz w:val="24"/>
          <w:szCs w:val="24"/>
          <w:lang w:val="sr-Cyrl-CS"/>
        </w:rPr>
        <w:t>ет</w:t>
      </w:r>
      <w:r w:rsidR="00997E5C">
        <w:rPr>
          <w:rFonts w:ascii="Times New Roman" w:hAnsi="Times New Roman"/>
          <w:sz w:val="24"/>
          <w:szCs w:val="24"/>
          <w:lang w:val="sr-Cyrl-CS"/>
        </w:rPr>
        <w:t xml:space="preserve">ских институција и послова. Међутим, </w:t>
      </w:r>
      <w:r>
        <w:rPr>
          <w:rFonts w:ascii="Times New Roman" w:hAnsi="Times New Roman"/>
          <w:sz w:val="24"/>
          <w:szCs w:val="24"/>
          <w:lang w:val="sr-Cyrl-CS"/>
        </w:rPr>
        <w:t>тек када се ради о избегавању ове пореске обавезе у већем обиму или у тежим случај</w:t>
      </w:r>
      <w:r w:rsidR="008423D0">
        <w:rPr>
          <w:rFonts w:ascii="Times New Roman" w:hAnsi="Times New Roman"/>
          <w:sz w:val="24"/>
          <w:szCs w:val="24"/>
          <w:lang w:val="sr-Cyrl-CS"/>
        </w:rPr>
        <w:t>евима, испуњени су услови за пос</w:t>
      </w:r>
      <w:r>
        <w:rPr>
          <w:rFonts w:ascii="Times New Roman" w:hAnsi="Times New Roman"/>
          <w:sz w:val="24"/>
          <w:szCs w:val="24"/>
          <w:lang w:val="sr-Cyrl-CS"/>
        </w:rPr>
        <w:t>тојање пореског кривичног дела.</w:t>
      </w:r>
      <w:r>
        <w:rPr>
          <w:rStyle w:val="FootnoteReference"/>
          <w:rFonts w:ascii="Times New Roman" w:hAnsi="Times New Roman"/>
          <w:sz w:val="24"/>
          <w:szCs w:val="24"/>
          <w:lang w:val="sr-Cyrl-CS"/>
        </w:rPr>
        <w:footnoteReference w:id="788"/>
      </w:r>
    </w:p>
    <w:p w:rsidR="006C684B" w:rsidRDefault="0087133A" w:rsidP="007D4E51">
      <w:pPr>
        <w:ind w:firstLine="708"/>
        <w:jc w:val="both"/>
        <w:rPr>
          <w:rFonts w:ascii="Times New Roman" w:hAnsi="Times New Roman"/>
          <w:sz w:val="24"/>
          <w:szCs w:val="24"/>
          <w:lang w:val="sr-Cyrl-CS"/>
        </w:rPr>
      </w:pPr>
      <w:r>
        <w:rPr>
          <w:rFonts w:ascii="Times New Roman" w:hAnsi="Times New Roman"/>
          <w:sz w:val="24"/>
          <w:szCs w:val="24"/>
          <w:lang w:val="sr-Cyrl-CS"/>
        </w:rPr>
        <w:t xml:space="preserve">Пореска кривична дела </w:t>
      </w:r>
      <w:r w:rsidR="00FF3936">
        <w:rPr>
          <w:rFonts w:ascii="Times New Roman" w:hAnsi="Times New Roman"/>
          <w:sz w:val="24"/>
          <w:szCs w:val="24"/>
          <w:lang w:val="sr-Cyrl-CS"/>
        </w:rPr>
        <w:t xml:space="preserve">се </w:t>
      </w:r>
      <w:r w:rsidR="00D35403">
        <w:rPr>
          <w:rFonts w:ascii="Times New Roman" w:hAnsi="Times New Roman"/>
          <w:sz w:val="24"/>
          <w:szCs w:val="24"/>
          <w:lang w:val="sr-Cyrl-CS"/>
        </w:rPr>
        <w:t>међу собом</w:t>
      </w:r>
      <w:r w:rsidR="00FF3936">
        <w:rPr>
          <w:rFonts w:ascii="Times New Roman" w:hAnsi="Times New Roman"/>
          <w:sz w:val="24"/>
          <w:szCs w:val="24"/>
          <w:lang w:val="sr-Cyrl-CS"/>
        </w:rPr>
        <w:t xml:space="preserve"> разликују</w:t>
      </w:r>
      <w:r>
        <w:rPr>
          <w:rFonts w:ascii="Times New Roman" w:hAnsi="Times New Roman"/>
          <w:sz w:val="24"/>
          <w:szCs w:val="24"/>
          <w:lang w:val="sr-Cyrl-CS"/>
        </w:rPr>
        <w:t xml:space="preserve">, али </w:t>
      </w:r>
      <w:r w:rsidR="00D35403">
        <w:rPr>
          <w:rFonts w:ascii="Times New Roman" w:hAnsi="Times New Roman"/>
          <w:sz w:val="24"/>
          <w:szCs w:val="24"/>
          <w:lang w:val="sr-Cyrl-CS"/>
        </w:rPr>
        <w:t>њихова најважнија заједничка обележја су:</w:t>
      </w:r>
      <w:r w:rsidR="00FF2989">
        <w:rPr>
          <w:rStyle w:val="FootnoteReference"/>
          <w:rFonts w:ascii="Times New Roman" w:hAnsi="Times New Roman"/>
          <w:sz w:val="24"/>
          <w:szCs w:val="24"/>
          <w:lang w:val="sr-Cyrl-CS"/>
        </w:rPr>
        <w:footnoteReference w:id="789"/>
      </w:r>
      <w:r w:rsidR="006C684B">
        <w:rPr>
          <w:rFonts w:ascii="Times New Roman" w:hAnsi="Times New Roman"/>
          <w:sz w:val="24"/>
          <w:szCs w:val="24"/>
          <w:lang w:val="sr-Cyrl-CS"/>
        </w:rPr>
        <w:t xml:space="preserve"> 1</w:t>
      </w:r>
      <w:r>
        <w:rPr>
          <w:rFonts w:ascii="Times New Roman" w:hAnsi="Times New Roman"/>
          <w:sz w:val="24"/>
          <w:szCs w:val="24"/>
          <w:lang w:val="sr-Cyrl-CS"/>
        </w:rPr>
        <w:t xml:space="preserve">)објекат кривичноправне заштите </w:t>
      </w:r>
      <w:r w:rsidR="006C684B">
        <w:rPr>
          <w:rFonts w:ascii="Times New Roman" w:hAnsi="Times New Roman"/>
          <w:sz w:val="24"/>
          <w:szCs w:val="24"/>
          <w:lang w:val="sr-Cyrl-CS"/>
        </w:rPr>
        <w:t>(то</w:t>
      </w:r>
      <w:r>
        <w:rPr>
          <w:rFonts w:ascii="Times New Roman" w:hAnsi="Times New Roman"/>
          <w:sz w:val="24"/>
          <w:szCs w:val="24"/>
          <w:lang w:val="sr-Cyrl-CS"/>
        </w:rPr>
        <w:t xml:space="preserve"> су право и фискални интерес државе и организација за обавезно социјално осигурање да наплате порез, доприносе и друге прописане дажбине</w:t>
      </w:r>
      <w:r w:rsidR="00FF2989">
        <w:rPr>
          <w:rFonts w:ascii="Times New Roman" w:hAnsi="Times New Roman"/>
          <w:sz w:val="24"/>
          <w:szCs w:val="24"/>
          <w:lang w:val="sr-Cyrl-CS"/>
        </w:rPr>
        <w:t>, који се испољавају кроз дужност њихових обвезн</w:t>
      </w:r>
      <w:r w:rsidR="007D4E51">
        <w:rPr>
          <w:rFonts w:ascii="Times New Roman" w:hAnsi="Times New Roman"/>
          <w:sz w:val="24"/>
          <w:szCs w:val="24"/>
          <w:lang w:val="sr-Cyrl-CS"/>
        </w:rPr>
        <w:t>ика на испуњавање ових обавеза</w:t>
      </w:r>
      <w:r w:rsidR="006C684B">
        <w:rPr>
          <w:rFonts w:ascii="Times New Roman" w:hAnsi="Times New Roman"/>
          <w:sz w:val="24"/>
          <w:szCs w:val="24"/>
          <w:lang w:val="sr-Cyrl-CS"/>
        </w:rPr>
        <w:t>), 2</w:t>
      </w:r>
      <w:r w:rsidR="00FF2989">
        <w:rPr>
          <w:rFonts w:ascii="Times New Roman" w:hAnsi="Times New Roman"/>
          <w:sz w:val="24"/>
          <w:szCs w:val="24"/>
          <w:lang w:val="sr-Cyrl-CS"/>
        </w:rPr>
        <w:t xml:space="preserve">) </w:t>
      </w:r>
      <w:r w:rsidR="006C684B">
        <w:rPr>
          <w:rFonts w:ascii="Times New Roman" w:hAnsi="Times New Roman"/>
          <w:sz w:val="24"/>
          <w:szCs w:val="24"/>
          <w:lang w:val="sr-Cyrl-CS"/>
        </w:rPr>
        <w:t>имају бланкетни карактер</w:t>
      </w:r>
      <w:r w:rsidR="00FF2989">
        <w:rPr>
          <w:rFonts w:ascii="Times New Roman" w:hAnsi="Times New Roman"/>
          <w:sz w:val="24"/>
          <w:szCs w:val="24"/>
          <w:lang w:val="sr-Cyrl-CS"/>
        </w:rPr>
        <w:t xml:space="preserve"> </w:t>
      </w:r>
      <w:r w:rsidR="006C684B">
        <w:rPr>
          <w:rFonts w:ascii="Times New Roman" w:hAnsi="Times New Roman"/>
          <w:sz w:val="24"/>
          <w:szCs w:val="24"/>
          <w:lang w:val="sr-Cyrl-CS"/>
        </w:rPr>
        <w:t>(</w:t>
      </w:r>
      <w:r w:rsidR="00FF2989">
        <w:rPr>
          <w:rFonts w:ascii="Times New Roman" w:hAnsi="Times New Roman"/>
          <w:sz w:val="24"/>
          <w:szCs w:val="24"/>
          <w:lang w:val="sr-Cyrl-CS"/>
        </w:rPr>
        <w:t xml:space="preserve">за утврђивање бића тих дела потребно </w:t>
      </w:r>
      <w:r w:rsidR="006C684B">
        <w:rPr>
          <w:rFonts w:ascii="Times New Roman" w:hAnsi="Times New Roman"/>
          <w:sz w:val="24"/>
          <w:szCs w:val="24"/>
          <w:lang w:val="sr-Cyrl-CS"/>
        </w:rPr>
        <w:t xml:space="preserve">је </w:t>
      </w:r>
      <w:r w:rsidR="00FF2989">
        <w:rPr>
          <w:rFonts w:ascii="Times New Roman" w:hAnsi="Times New Roman"/>
          <w:sz w:val="24"/>
          <w:szCs w:val="24"/>
          <w:lang w:val="sr-Cyrl-CS"/>
        </w:rPr>
        <w:t xml:space="preserve">утврдити да ли је било повреда прописа којима се регулишу порези, </w:t>
      </w:r>
      <w:r w:rsidR="006C684B">
        <w:rPr>
          <w:rFonts w:ascii="Times New Roman" w:hAnsi="Times New Roman"/>
          <w:sz w:val="24"/>
          <w:szCs w:val="24"/>
          <w:lang w:val="sr-Cyrl-CS"/>
        </w:rPr>
        <w:t>доприноси и други јавни приходи), 3</w:t>
      </w:r>
      <w:r w:rsidR="00FF2989">
        <w:rPr>
          <w:rFonts w:ascii="Times New Roman" w:hAnsi="Times New Roman"/>
          <w:sz w:val="24"/>
          <w:szCs w:val="24"/>
          <w:lang w:val="sr-Cyrl-CS"/>
        </w:rPr>
        <w:t xml:space="preserve">) врше </w:t>
      </w:r>
      <w:r w:rsidR="006C684B">
        <w:rPr>
          <w:rFonts w:ascii="Times New Roman" w:hAnsi="Times New Roman"/>
          <w:sz w:val="24"/>
          <w:szCs w:val="24"/>
          <w:lang w:val="sr-Cyrl-CS"/>
        </w:rPr>
        <w:t xml:space="preserve">се </w:t>
      </w:r>
      <w:r w:rsidR="00FF2989">
        <w:rPr>
          <w:rFonts w:ascii="Times New Roman" w:hAnsi="Times New Roman"/>
          <w:sz w:val="24"/>
          <w:szCs w:val="24"/>
          <w:lang w:val="sr-Cyrl-CS"/>
        </w:rPr>
        <w:t>са умиш</w:t>
      </w:r>
      <w:r w:rsidR="007D4E51">
        <w:rPr>
          <w:rFonts w:ascii="Times New Roman" w:hAnsi="Times New Roman"/>
          <w:sz w:val="24"/>
          <w:szCs w:val="24"/>
          <w:lang w:val="sr-Cyrl-CS"/>
        </w:rPr>
        <w:t>љајем</w:t>
      </w:r>
      <w:r w:rsidR="006C684B">
        <w:rPr>
          <w:rFonts w:ascii="Times New Roman" w:hAnsi="Times New Roman"/>
          <w:sz w:val="24"/>
          <w:szCs w:val="24"/>
          <w:lang w:val="sr-Cyrl-CS"/>
        </w:rPr>
        <w:t xml:space="preserve"> (као консит</w:t>
      </w:r>
      <w:r w:rsidR="007D4E51">
        <w:rPr>
          <w:rFonts w:ascii="Times New Roman" w:hAnsi="Times New Roman"/>
          <w:sz w:val="24"/>
          <w:szCs w:val="24"/>
          <w:lang w:val="sr-Cyrl-CS"/>
        </w:rPr>
        <w:t>утивни елемен</w:t>
      </w:r>
      <w:r w:rsidR="00FF2989">
        <w:rPr>
          <w:rFonts w:ascii="Times New Roman" w:hAnsi="Times New Roman"/>
          <w:sz w:val="24"/>
          <w:szCs w:val="24"/>
          <w:lang w:val="sr-Cyrl-CS"/>
        </w:rPr>
        <w:t>ат већине ових дела јавља се намера, односно код извршиоца тих дела у време извршења дела мора постојати одређена намера, без чијег постојањ</w:t>
      </w:r>
      <w:r w:rsidR="006C684B">
        <w:rPr>
          <w:rFonts w:ascii="Times New Roman" w:hAnsi="Times New Roman"/>
          <w:sz w:val="24"/>
          <w:szCs w:val="24"/>
          <w:lang w:val="sr-Cyrl-CS"/>
        </w:rPr>
        <w:t>а дело не може бити ни извршено и п</w:t>
      </w:r>
      <w:r w:rsidR="00FF2989">
        <w:rPr>
          <w:rFonts w:ascii="Times New Roman" w:hAnsi="Times New Roman"/>
          <w:sz w:val="24"/>
          <w:szCs w:val="24"/>
          <w:lang w:val="sr-Cyrl-CS"/>
        </w:rPr>
        <w:t xml:space="preserve">о својој садржини, намера означава јачи степен умишљаја, односно </w:t>
      </w:r>
      <w:r w:rsidR="00FF2989">
        <w:rPr>
          <w:rFonts w:ascii="Times New Roman" w:hAnsi="Times New Roman"/>
          <w:sz w:val="24"/>
          <w:szCs w:val="24"/>
          <w:lang w:val="sr-Cyrl-CS"/>
        </w:rPr>
        <w:lastRenderedPageBreak/>
        <w:t>умишљај јачег интензитета</w:t>
      </w:r>
      <w:r w:rsidR="006C684B">
        <w:rPr>
          <w:rFonts w:ascii="Times New Roman" w:hAnsi="Times New Roman"/>
          <w:sz w:val="24"/>
          <w:szCs w:val="24"/>
          <w:lang w:val="sr-Cyrl-CS"/>
        </w:rPr>
        <w:t>), 4</w:t>
      </w:r>
      <w:r w:rsidR="00FF2989">
        <w:rPr>
          <w:rFonts w:ascii="Times New Roman" w:hAnsi="Times New Roman"/>
          <w:sz w:val="24"/>
          <w:szCs w:val="24"/>
          <w:lang w:val="sr-Cyrl-CS"/>
        </w:rPr>
        <w:t xml:space="preserve">) подложна су </w:t>
      </w:r>
      <w:r w:rsidR="006C684B">
        <w:rPr>
          <w:rFonts w:ascii="Times New Roman" w:hAnsi="Times New Roman"/>
          <w:sz w:val="24"/>
          <w:szCs w:val="24"/>
          <w:lang w:val="sr-Cyrl-CS"/>
        </w:rPr>
        <w:t>честим изменама</w:t>
      </w:r>
      <w:r w:rsidR="007D4E51">
        <w:rPr>
          <w:rFonts w:ascii="Times New Roman" w:hAnsi="Times New Roman"/>
          <w:sz w:val="24"/>
          <w:szCs w:val="24"/>
          <w:lang w:val="sr-Cyrl-CS"/>
        </w:rPr>
        <w:t xml:space="preserve"> </w:t>
      </w:r>
      <w:r w:rsidR="006C684B">
        <w:rPr>
          <w:rFonts w:ascii="Times New Roman" w:hAnsi="Times New Roman"/>
          <w:sz w:val="24"/>
          <w:szCs w:val="24"/>
          <w:lang w:val="sr-Cyrl-CS"/>
        </w:rPr>
        <w:t>(</w:t>
      </w:r>
      <w:r w:rsidR="007D4E51">
        <w:rPr>
          <w:rFonts w:ascii="Times New Roman" w:hAnsi="Times New Roman"/>
          <w:sz w:val="24"/>
          <w:szCs w:val="24"/>
          <w:lang w:val="sr-Cyrl-CS"/>
        </w:rPr>
        <w:t>због динамичнос</w:t>
      </w:r>
      <w:r w:rsidR="00FF2989">
        <w:rPr>
          <w:rFonts w:ascii="Times New Roman" w:hAnsi="Times New Roman"/>
          <w:sz w:val="24"/>
          <w:szCs w:val="24"/>
          <w:lang w:val="sr-Cyrl-CS"/>
        </w:rPr>
        <w:t>ти друшт</w:t>
      </w:r>
      <w:r w:rsidR="006C684B">
        <w:rPr>
          <w:rFonts w:ascii="Times New Roman" w:hAnsi="Times New Roman"/>
          <w:sz w:val="24"/>
          <w:szCs w:val="24"/>
          <w:lang w:val="sr-Cyrl-CS"/>
        </w:rPr>
        <w:t>вених доноса који се њима штите).</w:t>
      </w:r>
      <w:r w:rsidR="00FF2989">
        <w:rPr>
          <w:rFonts w:ascii="Times New Roman" w:hAnsi="Times New Roman"/>
          <w:sz w:val="24"/>
          <w:szCs w:val="24"/>
          <w:lang w:val="sr-Cyrl-CS"/>
        </w:rPr>
        <w:t xml:space="preserve"> </w:t>
      </w:r>
    </w:p>
    <w:p w:rsidR="0035357A" w:rsidRDefault="0035357A" w:rsidP="007D4E51">
      <w:pPr>
        <w:ind w:firstLine="708"/>
        <w:jc w:val="both"/>
        <w:rPr>
          <w:rFonts w:ascii="Times New Roman" w:hAnsi="Times New Roman"/>
          <w:sz w:val="24"/>
          <w:szCs w:val="24"/>
          <w:lang w:val="sr-Cyrl-CS"/>
        </w:rPr>
      </w:pPr>
      <w:r>
        <w:rPr>
          <w:rFonts w:ascii="Times New Roman" w:hAnsi="Times New Roman"/>
          <w:sz w:val="24"/>
          <w:szCs w:val="24"/>
          <w:lang w:val="sr-Cyrl-CS"/>
        </w:rPr>
        <w:t>У пракси ова кривична дела могу бити веома тешка за откривање и доказивање, пре свега, због тога што су њихови извршиоци повезани, поседују стручна знања, а место извршења није везано само за једно правно лице, него за више правних лица, док се ради прикривања кривичног дела ствара привид легалног пословања, уз помоћ фалсификовања документације, као што су уговори, пријемнице, отпремнице, наруџбенице, фактуре, царинске декларације и сл. Због тога је веома битно да се на време реагује и пронађе документација, као и интерне евиденције, како би се касније вештачили. Уколико се не реагује на време документација као драгоцени материјални доказ ће бити уништена</w:t>
      </w:r>
      <w:r w:rsidR="00321994">
        <w:rPr>
          <w:rFonts w:ascii="Times New Roman" w:hAnsi="Times New Roman"/>
          <w:sz w:val="24"/>
          <w:szCs w:val="24"/>
          <w:lang w:val="sr-Cyrl-CS"/>
        </w:rPr>
        <w:t xml:space="preserve">. </w:t>
      </w:r>
    </w:p>
    <w:p w:rsidR="00987F3C" w:rsidRPr="001C7B5A" w:rsidRDefault="008423D0" w:rsidP="008A3795">
      <w:pPr>
        <w:pStyle w:val="ListParagraph"/>
        <w:numPr>
          <w:ilvl w:val="2"/>
          <w:numId w:val="59"/>
        </w:numPr>
        <w:jc w:val="center"/>
        <w:rPr>
          <w:rFonts w:ascii="Times New Roman" w:hAnsi="Times New Roman"/>
          <w:b/>
          <w:sz w:val="24"/>
          <w:szCs w:val="24"/>
          <w:lang w:val="sr-Cyrl-CS"/>
        </w:rPr>
      </w:pPr>
      <w:r w:rsidRPr="001C7B5A">
        <w:rPr>
          <w:rFonts w:ascii="Times New Roman" w:hAnsi="Times New Roman"/>
          <w:b/>
          <w:sz w:val="24"/>
          <w:szCs w:val="24"/>
          <w:lang w:val="sr-Cyrl-CS"/>
        </w:rPr>
        <w:t>Пореска утаја</w:t>
      </w:r>
    </w:p>
    <w:p w:rsidR="008423D0" w:rsidRPr="008423D0" w:rsidRDefault="008423D0" w:rsidP="008423D0">
      <w:pPr>
        <w:ind w:firstLine="708"/>
        <w:jc w:val="center"/>
        <w:rPr>
          <w:rFonts w:ascii="Times New Roman" w:hAnsi="Times New Roman"/>
          <w:b/>
          <w:sz w:val="24"/>
          <w:szCs w:val="24"/>
          <w:lang w:val="sr-Cyrl-CS"/>
        </w:rPr>
      </w:pPr>
    </w:p>
    <w:p w:rsidR="00B3742F" w:rsidRDefault="008067B0" w:rsidP="00B010B3">
      <w:pPr>
        <w:ind w:firstLine="708"/>
        <w:jc w:val="both"/>
        <w:rPr>
          <w:rFonts w:ascii="Times New Roman" w:hAnsi="Times New Roman"/>
          <w:sz w:val="24"/>
          <w:szCs w:val="24"/>
          <w:lang w:val="sr-Cyrl-CS"/>
        </w:rPr>
      </w:pPr>
      <w:r>
        <w:rPr>
          <w:rFonts w:ascii="Times New Roman" w:hAnsi="Times New Roman"/>
          <w:sz w:val="24"/>
          <w:szCs w:val="24"/>
          <w:lang w:val="sr-Cyrl-CS"/>
        </w:rPr>
        <w:t>Кривично дело пореске утаје се разликује од других облика пореске евазије. Наиме, као што ј</w:t>
      </w:r>
      <w:r w:rsidR="00B3742F">
        <w:rPr>
          <w:rFonts w:ascii="Times New Roman" w:hAnsi="Times New Roman"/>
          <w:sz w:val="24"/>
          <w:szCs w:val="24"/>
          <w:lang w:val="sr-Cyrl-CS"/>
        </w:rPr>
        <w:t>е наведено у претходном излагањ</w:t>
      </w:r>
      <w:r>
        <w:rPr>
          <w:rFonts w:ascii="Times New Roman" w:hAnsi="Times New Roman"/>
          <w:sz w:val="24"/>
          <w:szCs w:val="24"/>
          <w:lang w:val="sr-Cyrl-CS"/>
        </w:rPr>
        <w:t xml:space="preserve">у, пореска евазија се дели на закониту и незакониту. </w:t>
      </w:r>
      <w:r w:rsidR="00B13F4F">
        <w:rPr>
          <w:rFonts w:ascii="Times New Roman" w:hAnsi="Times New Roman"/>
          <w:sz w:val="24"/>
          <w:szCs w:val="24"/>
          <w:lang w:val="sr-Cyrl-CS"/>
        </w:rPr>
        <w:t xml:space="preserve">Сива економија представља најзначајнији модалитет пореске евазије и може се </w:t>
      </w:r>
      <w:r w:rsidR="00B3742F">
        <w:rPr>
          <w:rFonts w:ascii="Times New Roman" w:hAnsi="Times New Roman"/>
          <w:sz w:val="24"/>
          <w:szCs w:val="24"/>
          <w:lang w:val="sr-Cyrl-CS"/>
        </w:rPr>
        <w:t xml:space="preserve">појавити у различитим делатностима, али су најопаснији они облици сиве економије који се појављују у области угрожавања и повређивања фискалног система, као што је пореска евазија. </w:t>
      </w:r>
      <w:r w:rsidR="00E849E9">
        <w:rPr>
          <w:rFonts w:ascii="Times New Roman" w:hAnsi="Times New Roman"/>
          <w:sz w:val="24"/>
          <w:szCs w:val="24"/>
          <w:lang w:val="sr-Cyrl-CS"/>
        </w:rPr>
        <w:t>У те</w:t>
      </w:r>
      <w:r w:rsidR="00B13F4F">
        <w:rPr>
          <w:rFonts w:ascii="Times New Roman" w:hAnsi="Times New Roman"/>
          <w:sz w:val="24"/>
          <w:szCs w:val="24"/>
          <w:lang w:val="sr-Cyrl-CS"/>
        </w:rPr>
        <w:t>о</w:t>
      </w:r>
      <w:r w:rsidR="00E849E9">
        <w:rPr>
          <w:rFonts w:ascii="Times New Roman" w:hAnsi="Times New Roman"/>
          <w:sz w:val="24"/>
          <w:szCs w:val="24"/>
          <w:lang w:val="sr-Cyrl-CS"/>
        </w:rPr>
        <w:t>рији су заступљена и мишљења да је незаконита пореска евазија пресудан узрок постојања сиве економије. Према томе, р</w:t>
      </w:r>
      <w:r w:rsidR="00B3742F">
        <w:rPr>
          <w:rFonts w:ascii="Times New Roman" w:hAnsi="Times New Roman"/>
          <w:sz w:val="24"/>
          <w:szCs w:val="24"/>
          <w:lang w:val="sr-Cyrl-CS"/>
        </w:rPr>
        <w:t>азличити су о</w:t>
      </w:r>
      <w:r w:rsidR="008423D0">
        <w:rPr>
          <w:rFonts w:ascii="Times New Roman" w:hAnsi="Times New Roman"/>
          <w:sz w:val="24"/>
          <w:szCs w:val="24"/>
          <w:lang w:val="sr-Cyrl-CS"/>
        </w:rPr>
        <w:t xml:space="preserve">блици њеног испољавања. </w:t>
      </w:r>
      <w:r w:rsidR="00B3742F">
        <w:rPr>
          <w:rFonts w:ascii="Times New Roman" w:hAnsi="Times New Roman"/>
          <w:sz w:val="24"/>
          <w:szCs w:val="24"/>
          <w:lang w:val="sr-Cyrl-CS"/>
        </w:rPr>
        <w:t xml:space="preserve"> </w:t>
      </w:r>
    </w:p>
    <w:p w:rsidR="00F4640B" w:rsidRDefault="00B3742F" w:rsidP="00F4640B">
      <w:pPr>
        <w:ind w:firstLine="708"/>
        <w:jc w:val="both"/>
        <w:rPr>
          <w:rFonts w:ascii="Times New Roman" w:hAnsi="Times New Roman"/>
          <w:sz w:val="24"/>
          <w:szCs w:val="24"/>
          <w:lang w:val="sr-Cyrl-CS"/>
        </w:rPr>
      </w:pPr>
      <w:r>
        <w:rPr>
          <w:rFonts w:ascii="Times New Roman" w:hAnsi="Times New Roman"/>
          <w:sz w:val="24"/>
          <w:szCs w:val="24"/>
          <w:lang w:val="sr-Cyrl-CS"/>
        </w:rPr>
        <w:t>Н</w:t>
      </w:r>
      <w:r w:rsidR="008067B0">
        <w:rPr>
          <w:rFonts w:ascii="Times New Roman" w:hAnsi="Times New Roman"/>
          <w:sz w:val="24"/>
          <w:szCs w:val="24"/>
          <w:lang w:val="sr-Cyrl-CS"/>
        </w:rPr>
        <w:t xml:space="preserve">езаконита или недозвољена пореска евазија </w:t>
      </w:r>
      <w:r w:rsidR="00E12293">
        <w:rPr>
          <w:rFonts w:ascii="Times New Roman" w:hAnsi="Times New Roman"/>
          <w:sz w:val="24"/>
          <w:szCs w:val="24"/>
          <w:lang w:val="sr-Cyrl-CS"/>
        </w:rPr>
        <w:t>је усмерена на поступке избегавања плаћања пореза којима се крши закон</w:t>
      </w:r>
      <w:r w:rsidR="008067B0">
        <w:rPr>
          <w:rFonts w:ascii="Times New Roman" w:hAnsi="Times New Roman"/>
          <w:sz w:val="24"/>
          <w:szCs w:val="24"/>
          <w:lang w:val="sr-Cyrl-CS"/>
        </w:rPr>
        <w:t xml:space="preserve">. </w:t>
      </w:r>
      <w:r w:rsidR="00A155C4">
        <w:rPr>
          <w:rFonts w:ascii="Times New Roman" w:hAnsi="Times New Roman"/>
          <w:sz w:val="24"/>
          <w:szCs w:val="24"/>
          <w:lang w:val="sr-Cyrl-CS"/>
        </w:rPr>
        <w:t>Код</w:t>
      </w:r>
      <w:r w:rsidR="008067B0">
        <w:rPr>
          <w:rFonts w:ascii="Times New Roman" w:hAnsi="Times New Roman"/>
          <w:sz w:val="24"/>
          <w:szCs w:val="24"/>
          <w:lang w:val="sr-Cyrl-CS"/>
        </w:rPr>
        <w:t xml:space="preserve"> непосредни</w:t>
      </w:r>
      <w:r w:rsidR="00F373C1">
        <w:rPr>
          <w:rFonts w:ascii="Times New Roman" w:hAnsi="Times New Roman"/>
          <w:sz w:val="24"/>
          <w:szCs w:val="24"/>
          <w:lang w:val="sr-Cyrl-CS"/>
        </w:rPr>
        <w:t>х пореза</w:t>
      </w:r>
      <w:r w:rsidR="00E12293">
        <w:rPr>
          <w:rFonts w:ascii="Times New Roman" w:hAnsi="Times New Roman"/>
          <w:sz w:val="24"/>
          <w:szCs w:val="24"/>
          <w:lang w:val="sr-Cyrl-CS"/>
        </w:rPr>
        <w:t xml:space="preserve"> (порез на доходак, допринос за социјално осигурање и порез на имовину)</w:t>
      </w:r>
      <w:r w:rsidR="008067B0">
        <w:rPr>
          <w:rFonts w:ascii="Times New Roman" w:hAnsi="Times New Roman"/>
          <w:sz w:val="24"/>
          <w:szCs w:val="24"/>
          <w:lang w:val="sr-Cyrl-CS"/>
        </w:rPr>
        <w:t xml:space="preserve"> </w:t>
      </w:r>
      <w:r w:rsidR="00E12293">
        <w:rPr>
          <w:rFonts w:ascii="Times New Roman" w:hAnsi="Times New Roman"/>
          <w:sz w:val="24"/>
          <w:szCs w:val="24"/>
          <w:lang w:val="sr-Cyrl-CS"/>
        </w:rPr>
        <w:t>такво поступање</w:t>
      </w:r>
      <w:r w:rsidR="008067B0">
        <w:rPr>
          <w:rFonts w:ascii="Times New Roman" w:hAnsi="Times New Roman"/>
          <w:sz w:val="24"/>
          <w:szCs w:val="24"/>
          <w:lang w:val="sr-Cyrl-CS"/>
        </w:rPr>
        <w:t xml:space="preserve"> се назива пореском</w:t>
      </w:r>
      <w:r w:rsidR="00E12293">
        <w:rPr>
          <w:rFonts w:ascii="Times New Roman" w:hAnsi="Times New Roman"/>
          <w:sz w:val="24"/>
          <w:szCs w:val="24"/>
          <w:lang w:val="sr-Cyrl-CS"/>
        </w:rPr>
        <w:t xml:space="preserve"> утајом или дефраудацијом. Друга</w:t>
      </w:r>
      <w:r w:rsidR="008067B0">
        <w:rPr>
          <w:rFonts w:ascii="Times New Roman" w:hAnsi="Times New Roman"/>
          <w:sz w:val="24"/>
          <w:szCs w:val="24"/>
          <w:lang w:val="sr-Cyrl-CS"/>
        </w:rPr>
        <w:t xml:space="preserve"> </w:t>
      </w:r>
      <w:r w:rsidR="00E12293">
        <w:rPr>
          <w:rFonts w:ascii="Times New Roman" w:hAnsi="Times New Roman"/>
          <w:sz w:val="24"/>
          <w:szCs w:val="24"/>
          <w:lang w:val="sr-Cyrl-CS"/>
        </w:rPr>
        <w:t xml:space="preserve">врста </w:t>
      </w:r>
      <w:r w:rsidR="008067B0">
        <w:rPr>
          <w:rFonts w:ascii="Times New Roman" w:hAnsi="Times New Roman"/>
          <w:sz w:val="24"/>
          <w:szCs w:val="24"/>
          <w:lang w:val="sr-Cyrl-CS"/>
        </w:rPr>
        <w:t>незакон</w:t>
      </w:r>
      <w:r w:rsidR="00F373C1">
        <w:rPr>
          <w:rFonts w:ascii="Times New Roman" w:hAnsi="Times New Roman"/>
          <w:sz w:val="24"/>
          <w:szCs w:val="24"/>
          <w:lang w:val="sr-Cyrl-CS"/>
        </w:rPr>
        <w:t>и</w:t>
      </w:r>
      <w:r w:rsidR="008067B0">
        <w:rPr>
          <w:rFonts w:ascii="Times New Roman" w:hAnsi="Times New Roman"/>
          <w:sz w:val="24"/>
          <w:szCs w:val="24"/>
          <w:lang w:val="sr-Cyrl-CS"/>
        </w:rPr>
        <w:t>те пореске евазије кријумчарење (контрабанда) се по правилу среће код посредних пореза (акцизе, царине и порез на промет).</w:t>
      </w:r>
      <w:r w:rsidR="008067B0">
        <w:rPr>
          <w:rStyle w:val="FootnoteReference"/>
          <w:rFonts w:ascii="Times New Roman" w:hAnsi="Times New Roman"/>
          <w:sz w:val="24"/>
          <w:szCs w:val="24"/>
          <w:lang w:val="sr-Cyrl-CS"/>
        </w:rPr>
        <w:footnoteReference w:id="790"/>
      </w:r>
      <w:r>
        <w:rPr>
          <w:rFonts w:ascii="Times New Roman" w:hAnsi="Times New Roman"/>
          <w:sz w:val="24"/>
          <w:szCs w:val="24"/>
          <w:lang w:val="sr-Cyrl-CS"/>
        </w:rPr>
        <w:t xml:space="preserve"> </w:t>
      </w:r>
      <w:r w:rsidR="00556A89">
        <w:rPr>
          <w:rFonts w:ascii="Times New Roman" w:hAnsi="Times New Roman"/>
          <w:sz w:val="24"/>
          <w:szCs w:val="24"/>
          <w:lang w:val="sr-Cyrl-CS"/>
        </w:rPr>
        <w:t>Међутим</w:t>
      </w:r>
      <w:r>
        <w:rPr>
          <w:rFonts w:ascii="Times New Roman" w:hAnsi="Times New Roman"/>
          <w:sz w:val="24"/>
          <w:szCs w:val="24"/>
          <w:lang w:val="sr-Cyrl-CS"/>
        </w:rPr>
        <w:t>, ови различити облици неза</w:t>
      </w:r>
      <w:r w:rsidR="00556A89">
        <w:rPr>
          <w:rFonts w:ascii="Times New Roman" w:hAnsi="Times New Roman"/>
          <w:sz w:val="24"/>
          <w:szCs w:val="24"/>
          <w:lang w:val="sr-Cyrl-CS"/>
        </w:rPr>
        <w:t xml:space="preserve">коните пореске евазије ретко </w:t>
      </w:r>
      <w:r>
        <w:rPr>
          <w:rFonts w:ascii="Times New Roman" w:hAnsi="Times New Roman"/>
          <w:sz w:val="24"/>
          <w:szCs w:val="24"/>
          <w:lang w:val="sr-Cyrl-CS"/>
        </w:rPr>
        <w:t xml:space="preserve">када </w:t>
      </w:r>
      <w:r w:rsidR="00556A89">
        <w:rPr>
          <w:rFonts w:ascii="Times New Roman" w:hAnsi="Times New Roman"/>
          <w:sz w:val="24"/>
          <w:szCs w:val="24"/>
          <w:lang w:val="sr-Cyrl-CS"/>
        </w:rPr>
        <w:t xml:space="preserve">се </w:t>
      </w:r>
      <w:r>
        <w:rPr>
          <w:rFonts w:ascii="Times New Roman" w:hAnsi="Times New Roman"/>
          <w:sz w:val="24"/>
          <w:szCs w:val="24"/>
          <w:lang w:val="sr-Cyrl-CS"/>
        </w:rPr>
        <w:t xml:space="preserve">предузимају </w:t>
      </w:r>
      <w:r w:rsidR="00556A89">
        <w:rPr>
          <w:rFonts w:ascii="Times New Roman" w:hAnsi="Times New Roman"/>
          <w:sz w:val="24"/>
          <w:szCs w:val="24"/>
          <w:lang w:val="sr-Cyrl-CS"/>
        </w:rPr>
        <w:t>одвојено</w:t>
      </w:r>
      <w:r>
        <w:rPr>
          <w:rFonts w:ascii="Times New Roman" w:hAnsi="Times New Roman"/>
          <w:sz w:val="24"/>
          <w:szCs w:val="24"/>
          <w:lang w:val="sr-Cyrl-CS"/>
        </w:rPr>
        <w:t xml:space="preserve"> од осталих противправих активности њихових носилаца. Најчешће </w:t>
      </w:r>
      <w:r w:rsidR="00556A89">
        <w:rPr>
          <w:rFonts w:ascii="Times New Roman" w:hAnsi="Times New Roman"/>
          <w:sz w:val="24"/>
          <w:szCs w:val="24"/>
          <w:lang w:val="sr-Cyrl-CS"/>
        </w:rPr>
        <w:t>се дешава</w:t>
      </w:r>
      <w:r>
        <w:rPr>
          <w:rFonts w:ascii="Times New Roman" w:hAnsi="Times New Roman"/>
          <w:sz w:val="24"/>
          <w:szCs w:val="24"/>
          <w:lang w:val="sr-Cyrl-CS"/>
        </w:rPr>
        <w:t xml:space="preserve"> да се и ове делатности изводе у једном низу кажњивих понашања при чему учинилац, један ил</w:t>
      </w:r>
      <w:r w:rsidR="008423D0">
        <w:rPr>
          <w:rFonts w:ascii="Times New Roman" w:hAnsi="Times New Roman"/>
          <w:sz w:val="24"/>
          <w:szCs w:val="24"/>
          <w:lang w:val="sr-Cyrl-CS"/>
        </w:rPr>
        <w:t>и више њих, константно врше кажњ</w:t>
      </w:r>
      <w:r>
        <w:rPr>
          <w:rFonts w:ascii="Times New Roman" w:hAnsi="Times New Roman"/>
          <w:sz w:val="24"/>
          <w:szCs w:val="24"/>
          <w:lang w:val="sr-Cyrl-CS"/>
        </w:rPr>
        <w:t>ива, забра</w:t>
      </w:r>
      <w:r w:rsidR="008423D0">
        <w:rPr>
          <w:rFonts w:ascii="Times New Roman" w:hAnsi="Times New Roman"/>
          <w:sz w:val="24"/>
          <w:szCs w:val="24"/>
          <w:lang w:val="sr-Cyrl-CS"/>
        </w:rPr>
        <w:t>њена дела</w:t>
      </w:r>
      <w:r>
        <w:rPr>
          <w:rFonts w:ascii="Times New Roman" w:hAnsi="Times New Roman"/>
          <w:sz w:val="24"/>
          <w:szCs w:val="24"/>
          <w:lang w:val="sr-Cyrl-CS"/>
        </w:rPr>
        <w:t>.</w:t>
      </w:r>
      <w:r>
        <w:rPr>
          <w:rStyle w:val="FootnoteReference"/>
          <w:rFonts w:ascii="Times New Roman" w:hAnsi="Times New Roman"/>
          <w:sz w:val="24"/>
          <w:szCs w:val="24"/>
          <w:lang w:val="sr-Cyrl-CS"/>
        </w:rPr>
        <w:footnoteReference w:id="791"/>
      </w:r>
    </w:p>
    <w:p w:rsidR="007D4E51" w:rsidRDefault="007D4E51" w:rsidP="00F4640B">
      <w:pPr>
        <w:ind w:firstLine="708"/>
        <w:jc w:val="both"/>
        <w:rPr>
          <w:rFonts w:ascii="Times New Roman" w:hAnsi="Times New Roman"/>
          <w:sz w:val="24"/>
          <w:szCs w:val="24"/>
          <w:lang w:val="sr-Cyrl-CS"/>
        </w:rPr>
      </w:pPr>
      <w:r>
        <w:rPr>
          <w:rFonts w:ascii="Times New Roman" w:hAnsi="Times New Roman"/>
          <w:sz w:val="24"/>
          <w:szCs w:val="24"/>
          <w:lang w:val="sr-Cyrl-CS"/>
        </w:rPr>
        <w:t xml:space="preserve">Порез </w:t>
      </w:r>
      <w:r w:rsidR="00556A89">
        <w:rPr>
          <w:rFonts w:ascii="Times New Roman" w:hAnsi="Times New Roman"/>
          <w:sz w:val="24"/>
          <w:szCs w:val="24"/>
          <w:lang w:val="sr-Cyrl-CS"/>
        </w:rPr>
        <w:t>је</w:t>
      </w:r>
      <w:r>
        <w:rPr>
          <w:rFonts w:ascii="Times New Roman" w:hAnsi="Times New Roman"/>
          <w:sz w:val="24"/>
          <w:szCs w:val="24"/>
          <w:lang w:val="sr-Cyrl-CS"/>
        </w:rPr>
        <w:t xml:space="preserve"> део дохотка или имовине, који држава </w:t>
      </w:r>
      <w:r w:rsidR="00997E5C">
        <w:rPr>
          <w:rFonts w:ascii="Times New Roman" w:hAnsi="Times New Roman"/>
          <w:sz w:val="24"/>
          <w:szCs w:val="24"/>
          <w:lang w:val="sr-Cyrl-CS"/>
        </w:rPr>
        <w:t xml:space="preserve">на основу своје власти </w:t>
      </w:r>
      <w:r w:rsidR="00556A89">
        <w:rPr>
          <w:rFonts w:ascii="Times New Roman" w:hAnsi="Times New Roman"/>
          <w:sz w:val="24"/>
          <w:szCs w:val="24"/>
          <w:lang w:val="sr-Cyrl-CS"/>
        </w:rPr>
        <w:t>одузи</w:t>
      </w:r>
      <w:r w:rsidR="00997E5C">
        <w:rPr>
          <w:rFonts w:ascii="Times New Roman" w:hAnsi="Times New Roman"/>
          <w:sz w:val="24"/>
          <w:szCs w:val="24"/>
          <w:lang w:val="sr-Cyrl-CS"/>
        </w:rPr>
        <w:t>ма од физичких или правних лица</w:t>
      </w:r>
      <w:r w:rsidR="00556A89">
        <w:rPr>
          <w:rFonts w:ascii="Times New Roman" w:hAnsi="Times New Roman"/>
          <w:sz w:val="24"/>
          <w:szCs w:val="24"/>
          <w:lang w:val="sr-Cyrl-CS"/>
        </w:rPr>
        <w:t xml:space="preserve"> ради покрића</w:t>
      </w:r>
      <w:r>
        <w:rPr>
          <w:rFonts w:ascii="Times New Roman" w:hAnsi="Times New Roman"/>
          <w:sz w:val="24"/>
          <w:szCs w:val="24"/>
          <w:lang w:val="sr-Cyrl-CS"/>
        </w:rPr>
        <w:t xml:space="preserve"> својих расхода, не вршећи никакву неп</w:t>
      </w:r>
      <w:r w:rsidR="00997E5C">
        <w:rPr>
          <w:rFonts w:ascii="Times New Roman" w:hAnsi="Times New Roman"/>
          <w:sz w:val="24"/>
          <w:szCs w:val="24"/>
          <w:lang w:val="sr-Cyrl-CS"/>
        </w:rPr>
        <w:t>о</w:t>
      </w:r>
      <w:r>
        <w:rPr>
          <w:rFonts w:ascii="Times New Roman" w:hAnsi="Times New Roman"/>
          <w:sz w:val="24"/>
          <w:szCs w:val="24"/>
          <w:lang w:val="sr-Cyrl-CS"/>
        </w:rPr>
        <w:t xml:space="preserve">средну противчинидбу. Обавеза плаћања пореза утврђује се </w:t>
      </w:r>
      <w:r w:rsidR="00556A89">
        <w:rPr>
          <w:rFonts w:ascii="Times New Roman" w:hAnsi="Times New Roman"/>
          <w:sz w:val="24"/>
          <w:szCs w:val="24"/>
          <w:lang w:val="sr-Cyrl-CS"/>
        </w:rPr>
        <w:t>сходно</w:t>
      </w:r>
      <w:r>
        <w:rPr>
          <w:rFonts w:ascii="Times New Roman" w:hAnsi="Times New Roman"/>
          <w:sz w:val="24"/>
          <w:szCs w:val="24"/>
          <w:lang w:val="sr-Cyrl-CS"/>
        </w:rPr>
        <w:t xml:space="preserve"> економској снази обвезника. Избегавање плаћања пореза представља </w:t>
      </w:r>
      <w:r w:rsidR="00556A89">
        <w:rPr>
          <w:rFonts w:ascii="Times New Roman" w:hAnsi="Times New Roman"/>
          <w:sz w:val="24"/>
          <w:szCs w:val="24"/>
          <w:lang w:val="sr-Cyrl-CS"/>
        </w:rPr>
        <w:t xml:space="preserve">кажњиву </w:t>
      </w:r>
      <w:r>
        <w:rPr>
          <w:rFonts w:ascii="Times New Roman" w:hAnsi="Times New Roman"/>
          <w:sz w:val="24"/>
          <w:szCs w:val="24"/>
          <w:lang w:val="sr-Cyrl-CS"/>
        </w:rPr>
        <w:t>делатност</w:t>
      </w:r>
      <w:r w:rsidR="00556A89">
        <w:rPr>
          <w:rFonts w:ascii="Times New Roman" w:hAnsi="Times New Roman"/>
          <w:sz w:val="24"/>
          <w:szCs w:val="24"/>
          <w:lang w:val="sr-Cyrl-CS"/>
        </w:rPr>
        <w:t xml:space="preserve">. Ово </w:t>
      </w:r>
      <w:r w:rsidR="00556A89">
        <w:rPr>
          <w:rFonts w:ascii="Times New Roman" w:hAnsi="Times New Roman"/>
          <w:sz w:val="24"/>
          <w:szCs w:val="24"/>
          <w:lang w:val="sr-Cyrl-CS"/>
        </w:rPr>
        <w:lastRenderedPageBreak/>
        <w:t>значи</w:t>
      </w:r>
      <w:r>
        <w:rPr>
          <w:rFonts w:ascii="Times New Roman" w:hAnsi="Times New Roman"/>
          <w:sz w:val="24"/>
          <w:szCs w:val="24"/>
          <w:lang w:val="sr-Cyrl-CS"/>
        </w:rPr>
        <w:t xml:space="preserve"> да избегавање плаћања пореза и других даџбина може да буде и кривично дело, али под одређеним условима, и привредни преступ или прекршај.</w:t>
      </w:r>
      <w:r>
        <w:rPr>
          <w:rStyle w:val="FootnoteReference"/>
          <w:rFonts w:ascii="Times New Roman" w:hAnsi="Times New Roman"/>
          <w:sz w:val="24"/>
          <w:szCs w:val="24"/>
          <w:lang w:val="sr-Cyrl-CS"/>
        </w:rPr>
        <w:footnoteReference w:id="792"/>
      </w:r>
    </w:p>
    <w:p w:rsidR="002254DE" w:rsidRDefault="002254DE" w:rsidP="00B010B3">
      <w:pPr>
        <w:ind w:firstLine="708"/>
        <w:jc w:val="both"/>
        <w:rPr>
          <w:rFonts w:ascii="Times New Roman" w:hAnsi="Times New Roman"/>
          <w:sz w:val="24"/>
          <w:szCs w:val="24"/>
          <w:lang w:val="sr-Cyrl-CS"/>
        </w:rPr>
      </w:pPr>
      <w:r>
        <w:rPr>
          <w:rFonts w:ascii="Times New Roman" w:hAnsi="Times New Roman"/>
          <w:sz w:val="24"/>
          <w:szCs w:val="24"/>
          <w:lang w:val="sr-Cyrl-CS"/>
        </w:rPr>
        <w:t>Кривично дело пореске утаје је од 01. јануара 2006. године уврштено у Кривични законик</w:t>
      </w:r>
      <w:r w:rsidR="006246A2">
        <w:rPr>
          <w:rStyle w:val="FootnoteReference"/>
          <w:rFonts w:ascii="Times New Roman" w:hAnsi="Times New Roman"/>
          <w:sz w:val="24"/>
          <w:szCs w:val="24"/>
          <w:lang w:val="sr-Cyrl-CS"/>
        </w:rPr>
        <w:footnoteReference w:id="793"/>
      </w:r>
      <w:r>
        <w:rPr>
          <w:rFonts w:ascii="Times New Roman" w:hAnsi="Times New Roman"/>
          <w:sz w:val="24"/>
          <w:szCs w:val="24"/>
          <w:lang w:val="sr-Cyrl-CS"/>
        </w:rPr>
        <w:t>, док је пре тога било регулисано у споредном кривичном законодавству, односно у чл</w:t>
      </w:r>
      <w:r w:rsidR="00DC47BE">
        <w:rPr>
          <w:rFonts w:ascii="Times New Roman" w:hAnsi="Times New Roman"/>
          <w:sz w:val="24"/>
          <w:szCs w:val="24"/>
          <w:lang w:val="sr-Cyrl-CS"/>
        </w:rPr>
        <w:t xml:space="preserve">. 172. </w:t>
      </w:r>
      <w:r>
        <w:rPr>
          <w:rFonts w:ascii="Times New Roman" w:hAnsi="Times New Roman"/>
          <w:sz w:val="24"/>
          <w:szCs w:val="24"/>
          <w:lang w:val="sr-Cyrl-CS"/>
        </w:rPr>
        <w:t>Закона о пореском поступку и пореској администрацији („Службени гласник“ бр. 80/02).</w:t>
      </w:r>
      <w:r>
        <w:rPr>
          <w:rStyle w:val="FootnoteReference"/>
          <w:rFonts w:ascii="Times New Roman" w:hAnsi="Times New Roman"/>
          <w:sz w:val="24"/>
          <w:szCs w:val="24"/>
          <w:lang w:val="sr-Cyrl-CS"/>
        </w:rPr>
        <w:footnoteReference w:id="794"/>
      </w:r>
      <w:r w:rsidR="008423D0">
        <w:rPr>
          <w:rFonts w:ascii="Times New Roman" w:hAnsi="Times New Roman"/>
          <w:sz w:val="24"/>
          <w:szCs w:val="24"/>
          <w:lang w:val="sr-Cyrl-CS"/>
        </w:rPr>
        <w:t xml:space="preserve"> Према ранијем решењу у Закону</w:t>
      </w:r>
      <w:r w:rsidR="00857A90">
        <w:rPr>
          <w:rFonts w:ascii="Times New Roman" w:hAnsi="Times New Roman"/>
          <w:sz w:val="24"/>
          <w:szCs w:val="24"/>
          <w:lang w:val="sr-Cyrl-CS"/>
        </w:rPr>
        <w:t xml:space="preserve"> о пореском поступку и пореској админситрацији</w:t>
      </w:r>
      <w:r w:rsidR="00857A90">
        <w:rPr>
          <w:rStyle w:val="FootnoteReference"/>
          <w:rFonts w:ascii="Times New Roman" w:hAnsi="Times New Roman"/>
          <w:sz w:val="24"/>
          <w:szCs w:val="24"/>
          <w:lang w:val="sr-Cyrl-CS"/>
        </w:rPr>
        <w:footnoteReference w:id="795"/>
      </w:r>
      <w:r w:rsidR="005E6B83">
        <w:rPr>
          <w:rFonts w:ascii="Times New Roman" w:hAnsi="Times New Roman"/>
          <w:sz w:val="24"/>
          <w:szCs w:val="24"/>
          <w:lang w:val="sr-Cyrl-CS"/>
        </w:rPr>
        <w:t xml:space="preserve"> </w:t>
      </w:r>
      <w:r w:rsidR="00857A90">
        <w:rPr>
          <w:rFonts w:ascii="Times New Roman" w:hAnsi="Times New Roman"/>
          <w:sz w:val="24"/>
          <w:szCs w:val="24"/>
          <w:lang w:val="sr-Cyrl-CS"/>
        </w:rPr>
        <w:t>било је прописано обавезно изрицање мере безбедности забране вршења самосталне делатности, позива или дужности, а што није случај са садашњим законским решењем. Гоњење за ово кривично дело предузима се по службеној дужности.</w:t>
      </w:r>
    </w:p>
    <w:p w:rsidR="00EF712E" w:rsidRDefault="00EF712E" w:rsidP="00B010B3">
      <w:pPr>
        <w:ind w:firstLine="708"/>
        <w:jc w:val="both"/>
        <w:rPr>
          <w:rFonts w:ascii="Times New Roman" w:hAnsi="Times New Roman"/>
          <w:sz w:val="24"/>
          <w:szCs w:val="24"/>
          <w:lang w:val="sr-Cyrl-CS"/>
        </w:rPr>
      </w:pPr>
      <w:r>
        <w:rPr>
          <w:rFonts w:ascii="Times New Roman" w:hAnsi="Times New Roman"/>
          <w:sz w:val="24"/>
          <w:szCs w:val="24"/>
          <w:lang w:val="sr-Cyrl-CS"/>
        </w:rPr>
        <w:t xml:space="preserve">Дужност грађанина да плати порез </w:t>
      </w:r>
      <w:r w:rsidR="008E4DAF">
        <w:rPr>
          <w:rFonts w:ascii="Times New Roman" w:hAnsi="Times New Roman"/>
          <w:sz w:val="24"/>
          <w:szCs w:val="24"/>
          <w:lang w:val="sr-Cyrl-CS"/>
        </w:rPr>
        <w:t>се може посматрати са материјалне</w:t>
      </w:r>
      <w:r>
        <w:rPr>
          <w:rFonts w:ascii="Times New Roman" w:hAnsi="Times New Roman"/>
          <w:sz w:val="24"/>
          <w:szCs w:val="24"/>
          <w:lang w:val="sr-Cyrl-CS"/>
        </w:rPr>
        <w:t xml:space="preserve"> и фо</w:t>
      </w:r>
      <w:r w:rsidR="008E4DAF">
        <w:rPr>
          <w:rFonts w:ascii="Times New Roman" w:hAnsi="Times New Roman"/>
          <w:sz w:val="24"/>
          <w:szCs w:val="24"/>
          <w:lang w:val="sr-Cyrl-CS"/>
        </w:rPr>
        <w:t>рмалне</w:t>
      </w:r>
      <w:r w:rsidR="001C6EC8">
        <w:rPr>
          <w:rFonts w:ascii="Times New Roman" w:hAnsi="Times New Roman"/>
          <w:sz w:val="24"/>
          <w:szCs w:val="24"/>
          <w:lang w:val="sr-Cyrl-CS"/>
        </w:rPr>
        <w:t xml:space="preserve"> стране</w:t>
      </w:r>
      <w:r>
        <w:rPr>
          <w:rFonts w:ascii="Times New Roman" w:hAnsi="Times New Roman"/>
          <w:sz w:val="24"/>
          <w:szCs w:val="24"/>
          <w:lang w:val="sr-Cyrl-CS"/>
        </w:rPr>
        <w:t xml:space="preserve">. </w:t>
      </w:r>
      <w:r w:rsidR="008E4DAF">
        <w:rPr>
          <w:rFonts w:ascii="Times New Roman" w:hAnsi="Times New Roman"/>
          <w:sz w:val="24"/>
          <w:szCs w:val="24"/>
          <w:lang w:val="sr-Cyrl-CS"/>
        </w:rPr>
        <w:t>Материјална</w:t>
      </w:r>
      <w:r>
        <w:rPr>
          <w:rFonts w:ascii="Times New Roman" w:hAnsi="Times New Roman"/>
          <w:sz w:val="24"/>
          <w:szCs w:val="24"/>
          <w:lang w:val="sr-Cyrl-CS"/>
        </w:rPr>
        <w:t xml:space="preserve"> </w:t>
      </w:r>
      <w:r w:rsidR="008E4DAF">
        <w:rPr>
          <w:rFonts w:ascii="Times New Roman" w:hAnsi="Times New Roman"/>
          <w:sz w:val="24"/>
          <w:szCs w:val="24"/>
          <w:lang w:val="sr-Cyrl-CS"/>
        </w:rPr>
        <w:t>страна се огледа у смањењу</w:t>
      </w:r>
      <w:r>
        <w:rPr>
          <w:rFonts w:ascii="Times New Roman" w:hAnsi="Times New Roman"/>
          <w:sz w:val="24"/>
          <w:szCs w:val="24"/>
          <w:lang w:val="sr-Cyrl-CS"/>
        </w:rPr>
        <w:t xml:space="preserve"> дохотка</w:t>
      </w:r>
      <w:r w:rsidR="008E4DAF">
        <w:rPr>
          <w:rFonts w:ascii="Times New Roman" w:hAnsi="Times New Roman"/>
          <w:sz w:val="24"/>
          <w:szCs w:val="24"/>
          <w:lang w:val="sr-Cyrl-CS"/>
        </w:rPr>
        <w:t xml:space="preserve"> или имовине пореског обвезника, уз истовремено</w:t>
      </w:r>
      <w:r>
        <w:rPr>
          <w:rFonts w:ascii="Times New Roman" w:hAnsi="Times New Roman"/>
          <w:sz w:val="24"/>
          <w:szCs w:val="24"/>
          <w:lang w:val="sr-Cyrl-CS"/>
        </w:rPr>
        <w:t xml:space="preserve"> </w:t>
      </w:r>
      <w:r w:rsidR="008E4DAF">
        <w:rPr>
          <w:rFonts w:ascii="Times New Roman" w:hAnsi="Times New Roman"/>
          <w:sz w:val="24"/>
          <w:szCs w:val="24"/>
          <w:lang w:val="sr-Cyrl-CS"/>
        </w:rPr>
        <w:t>повећање</w:t>
      </w:r>
      <w:r>
        <w:rPr>
          <w:rFonts w:ascii="Times New Roman" w:hAnsi="Times New Roman"/>
          <w:sz w:val="24"/>
          <w:szCs w:val="24"/>
          <w:lang w:val="sr-Cyrl-CS"/>
        </w:rPr>
        <w:t xml:space="preserve"> јавних прихода</w:t>
      </w:r>
      <w:r w:rsidR="008E4DAF">
        <w:rPr>
          <w:rFonts w:ascii="Times New Roman" w:hAnsi="Times New Roman"/>
          <w:sz w:val="24"/>
          <w:szCs w:val="24"/>
          <w:lang w:val="sr-Cyrl-CS"/>
        </w:rPr>
        <w:t>.</w:t>
      </w:r>
      <w:r>
        <w:rPr>
          <w:rFonts w:ascii="Times New Roman" w:hAnsi="Times New Roman"/>
          <w:sz w:val="24"/>
          <w:szCs w:val="24"/>
          <w:lang w:val="sr-Cyrl-CS"/>
        </w:rPr>
        <w:t xml:space="preserve"> </w:t>
      </w:r>
      <w:r w:rsidR="008E4DAF">
        <w:rPr>
          <w:rFonts w:ascii="Times New Roman" w:hAnsi="Times New Roman"/>
          <w:sz w:val="24"/>
          <w:szCs w:val="24"/>
          <w:lang w:val="sr-Cyrl-CS"/>
        </w:rPr>
        <w:t>Формална страна се огледа у обавези</w:t>
      </w:r>
      <w:r>
        <w:rPr>
          <w:rFonts w:ascii="Times New Roman" w:hAnsi="Times New Roman"/>
          <w:sz w:val="24"/>
          <w:szCs w:val="24"/>
          <w:lang w:val="sr-Cyrl-CS"/>
        </w:rPr>
        <w:t xml:space="preserve"> пореских обвезника да морају да сарађују са пореском администрацијом при утврђивању и наплати јавних прихода.</w:t>
      </w:r>
      <w:r w:rsidR="00B73EC5">
        <w:rPr>
          <w:rStyle w:val="FootnoteReference"/>
          <w:rFonts w:ascii="Times New Roman" w:hAnsi="Times New Roman"/>
          <w:sz w:val="24"/>
          <w:szCs w:val="24"/>
          <w:lang w:val="sr-Cyrl-CS"/>
        </w:rPr>
        <w:footnoteReference w:id="796"/>
      </w:r>
    </w:p>
    <w:p w:rsidR="0071187B" w:rsidRDefault="0071187B" w:rsidP="00B010B3">
      <w:pPr>
        <w:ind w:firstLine="708"/>
        <w:jc w:val="both"/>
        <w:rPr>
          <w:rFonts w:ascii="Times New Roman" w:hAnsi="Times New Roman"/>
          <w:sz w:val="24"/>
          <w:szCs w:val="24"/>
          <w:lang w:val="sr-Cyrl-CS"/>
        </w:rPr>
      </w:pPr>
      <w:r>
        <w:rPr>
          <w:rFonts w:ascii="Times New Roman" w:hAnsi="Times New Roman"/>
          <w:sz w:val="24"/>
          <w:szCs w:val="24"/>
          <w:lang w:val="sr-Cyrl-CS"/>
        </w:rPr>
        <w:t>Пореска утаја има основни и два квалификована облика.</w:t>
      </w:r>
    </w:p>
    <w:p w:rsidR="006246A2" w:rsidRPr="006246A2" w:rsidRDefault="006246A2" w:rsidP="006246A2">
      <w:pPr>
        <w:ind w:firstLine="708"/>
        <w:jc w:val="both"/>
        <w:rPr>
          <w:rFonts w:ascii="Times New Roman" w:hAnsi="Times New Roman"/>
          <w:color w:val="000000"/>
          <w:sz w:val="24"/>
          <w:szCs w:val="24"/>
          <w:lang w:val="sr-Cyrl-CS"/>
        </w:rPr>
      </w:pPr>
      <w:r w:rsidRPr="006246A2">
        <w:rPr>
          <w:rFonts w:ascii="Times New Roman" w:hAnsi="Times New Roman"/>
          <w:sz w:val="24"/>
          <w:szCs w:val="24"/>
          <w:lang w:val="sr-Cyrl-CS"/>
        </w:rPr>
        <w:t>Основни облик овог кривичног дела чини онај</w:t>
      </w:r>
      <w:bookmarkStart w:id="67" w:name="clan_229"/>
      <w:bookmarkEnd w:id="67"/>
      <w:r w:rsidRPr="006246A2">
        <w:rPr>
          <w:rFonts w:ascii="Times New Roman" w:hAnsi="Times New Roman"/>
          <w:color w:val="000000"/>
          <w:sz w:val="24"/>
          <w:szCs w:val="24"/>
        </w:rPr>
        <w:t xml:space="preserve"> </w:t>
      </w:r>
      <w:r w:rsidRPr="006246A2">
        <w:rPr>
          <w:rFonts w:ascii="Times New Roman" w:hAnsi="Times New Roman"/>
          <w:color w:val="000000"/>
          <w:sz w:val="24"/>
          <w:szCs w:val="24"/>
          <w:lang w:val="sr-Cyrl-CS"/>
        </w:rPr>
        <w:t>к</w:t>
      </w:r>
      <w:r w:rsidRPr="006246A2">
        <w:rPr>
          <w:rFonts w:ascii="Times New Roman" w:hAnsi="Times New Roman"/>
          <w:color w:val="000000"/>
          <w:sz w:val="24"/>
          <w:szCs w:val="24"/>
        </w:rPr>
        <w:t>о</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у</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намери</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да</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потпуно</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или</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делимично</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избегне</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плаћање</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пореза</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доприноса</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или</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других</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прописаних</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дажбина</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даје</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лажне</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податке</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о</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законито</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стеченим</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приходима</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о</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предметима</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или</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другим</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чињеницама</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које</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су</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од</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утицаја</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на</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утврђивање</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оваквих</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обавеза</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или</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ко</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у</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истој</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намери</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у</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случају</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обавезне</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пријаве</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не</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пријави</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законито</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стечени</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приход</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односно</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предмете</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или</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друге</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чињенице</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које</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су</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од</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утицаја</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на</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утврђивање</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оваквих</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обавеза</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или</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ко</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у</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истој</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намери</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на</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други</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начин</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прикрива</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податке</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који</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се</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односе</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на</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утврђивање</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наведених</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обавеза</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а</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износ</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обавезе</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чије</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се</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плаћање</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избегава</w:t>
      </w:r>
      <w:r w:rsidR="0071187B" w:rsidRPr="006246A2">
        <w:rPr>
          <w:rFonts w:ascii="Times New Roman" w:hAnsi="Times New Roman"/>
          <w:color w:val="000000"/>
          <w:sz w:val="24"/>
          <w:szCs w:val="24"/>
        </w:rPr>
        <w:t xml:space="preserve"> </w:t>
      </w:r>
      <w:r w:rsidRPr="006246A2">
        <w:rPr>
          <w:rFonts w:ascii="Times New Roman" w:hAnsi="Times New Roman"/>
          <w:color w:val="000000"/>
          <w:sz w:val="24"/>
          <w:szCs w:val="24"/>
        </w:rPr>
        <w:t>прелази стопедесет хиљада динара</w:t>
      </w:r>
      <w:r w:rsidRPr="006246A2">
        <w:rPr>
          <w:rFonts w:ascii="Times New Roman" w:hAnsi="Times New Roman"/>
          <w:color w:val="000000"/>
          <w:sz w:val="24"/>
          <w:szCs w:val="24"/>
          <w:lang w:val="sr-Cyrl-CS"/>
        </w:rPr>
        <w:t>.</w:t>
      </w:r>
    </w:p>
    <w:p w:rsidR="00A66C2C" w:rsidRPr="006246A2" w:rsidRDefault="00A66C2C" w:rsidP="00A66C2C">
      <w:pPr>
        <w:ind w:firstLine="708"/>
        <w:jc w:val="both"/>
        <w:rPr>
          <w:rFonts w:ascii="Times New Roman" w:hAnsi="Times New Roman"/>
          <w:sz w:val="24"/>
          <w:szCs w:val="24"/>
          <w:lang w:val="sr-Cyrl-CS"/>
        </w:rPr>
      </w:pPr>
      <w:r w:rsidRPr="006246A2">
        <w:rPr>
          <w:rFonts w:ascii="Times New Roman" w:hAnsi="Times New Roman"/>
          <w:sz w:val="24"/>
          <w:szCs w:val="24"/>
          <w:lang w:val="sr-Cyrl-CS"/>
        </w:rPr>
        <w:t xml:space="preserve">За овај случај је кумулативно прописана </w:t>
      </w:r>
      <w:r w:rsidRPr="006246A2">
        <w:rPr>
          <w:rFonts w:ascii="Times New Roman" w:hAnsi="Times New Roman"/>
          <w:sz w:val="24"/>
          <w:szCs w:val="24"/>
        </w:rPr>
        <w:t>казн</w:t>
      </w:r>
      <w:r w:rsidRPr="006246A2">
        <w:rPr>
          <w:rFonts w:ascii="Times New Roman" w:hAnsi="Times New Roman"/>
          <w:sz w:val="24"/>
          <w:szCs w:val="24"/>
          <w:lang w:val="sr-Cyrl-CS"/>
        </w:rPr>
        <w:t>а затвора</w:t>
      </w:r>
      <w:r w:rsidRPr="006246A2">
        <w:rPr>
          <w:rFonts w:ascii="Times New Roman" w:hAnsi="Times New Roman"/>
          <w:sz w:val="24"/>
          <w:szCs w:val="24"/>
        </w:rPr>
        <w:t xml:space="preserve"> од шест </w:t>
      </w:r>
      <w:r>
        <w:rPr>
          <w:rFonts w:ascii="Times New Roman" w:hAnsi="Times New Roman"/>
          <w:sz w:val="24"/>
          <w:szCs w:val="24"/>
        </w:rPr>
        <w:t>месеци до пет година и новчан</w:t>
      </w:r>
      <w:r>
        <w:rPr>
          <w:rFonts w:ascii="Times New Roman" w:hAnsi="Times New Roman"/>
          <w:sz w:val="24"/>
          <w:szCs w:val="24"/>
          <w:lang w:val="sr-Cyrl-CS"/>
        </w:rPr>
        <w:t>а</w:t>
      </w:r>
      <w:r w:rsidRPr="006246A2">
        <w:rPr>
          <w:rFonts w:ascii="Times New Roman" w:hAnsi="Times New Roman"/>
          <w:sz w:val="24"/>
          <w:szCs w:val="24"/>
        </w:rPr>
        <w:t xml:space="preserve"> казн</w:t>
      </w:r>
      <w:r w:rsidRPr="006246A2">
        <w:rPr>
          <w:rFonts w:ascii="Times New Roman" w:hAnsi="Times New Roman"/>
          <w:sz w:val="24"/>
          <w:szCs w:val="24"/>
          <w:lang w:val="sr-Cyrl-CS"/>
        </w:rPr>
        <w:t>а</w:t>
      </w:r>
      <w:r w:rsidRPr="006246A2">
        <w:rPr>
          <w:rFonts w:ascii="Times New Roman" w:hAnsi="Times New Roman"/>
          <w:sz w:val="24"/>
          <w:szCs w:val="24"/>
        </w:rPr>
        <w:t>.</w:t>
      </w:r>
    </w:p>
    <w:p w:rsidR="00A66C2C" w:rsidRPr="006246A2" w:rsidRDefault="00A66C2C" w:rsidP="00A66C2C">
      <w:pPr>
        <w:ind w:firstLine="708"/>
        <w:jc w:val="both"/>
        <w:rPr>
          <w:rFonts w:ascii="Times New Roman" w:hAnsi="Times New Roman"/>
          <w:sz w:val="24"/>
          <w:szCs w:val="24"/>
          <w:lang w:val="sr-Cyrl-CS"/>
        </w:rPr>
      </w:pPr>
      <w:r w:rsidRPr="006246A2">
        <w:rPr>
          <w:rFonts w:ascii="Times New Roman" w:hAnsi="Times New Roman"/>
          <w:sz w:val="24"/>
          <w:szCs w:val="24"/>
          <w:lang w:val="sr-Cyrl-CS"/>
        </w:rPr>
        <w:t>Тежи облик постоји  а</w:t>
      </w:r>
      <w:r w:rsidRPr="006246A2">
        <w:rPr>
          <w:rFonts w:ascii="Times New Roman" w:hAnsi="Times New Roman"/>
          <w:sz w:val="24"/>
          <w:szCs w:val="24"/>
        </w:rPr>
        <w:t>ко износ обавезе чије се плаћање избегава прелази милион и петсто хиљада динара</w:t>
      </w:r>
      <w:r w:rsidRPr="006246A2">
        <w:rPr>
          <w:rFonts w:ascii="Times New Roman" w:hAnsi="Times New Roman"/>
          <w:sz w:val="24"/>
          <w:szCs w:val="24"/>
          <w:lang w:val="sr-Cyrl-CS"/>
        </w:rPr>
        <w:t xml:space="preserve">. У овом случају </w:t>
      </w:r>
      <w:r w:rsidRPr="006246A2">
        <w:rPr>
          <w:rFonts w:ascii="Times New Roman" w:hAnsi="Times New Roman"/>
          <w:sz w:val="24"/>
          <w:szCs w:val="24"/>
        </w:rPr>
        <w:t>учинилац ће се казнити затвором од једне до осам година и новчаном казном.</w:t>
      </w:r>
    </w:p>
    <w:p w:rsidR="00A66C2C" w:rsidRPr="006246A2" w:rsidRDefault="00A66C2C" w:rsidP="00A66C2C">
      <w:pPr>
        <w:ind w:firstLine="708"/>
        <w:jc w:val="both"/>
        <w:rPr>
          <w:rFonts w:ascii="Times New Roman" w:hAnsi="Times New Roman"/>
          <w:sz w:val="24"/>
          <w:szCs w:val="24"/>
          <w:lang w:val="sr-Cyrl-CS"/>
        </w:rPr>
      </w:pPr>
      <w:r w:rsidRPr="006246A2">
        <w:rPr>
          <w:rFonts w:ascii="Times New Roman" w:hAnsi="Times New Roman"/>
          <w:sz w:val="24"/>
          <w:szCs w:val="24"/>
          <w:lang w:val="sr-Cyrl-CS"/>
        </w:rPr>
        <w:t>Најтежи облик постоји а</w:t>
      </w:r>
      <w:r w:rsidRPr="006246A2">
        <w:rPr>
          <w:rFonts w:ascii="Times New Roman" w:hAnsi="Times New Roman"/>
          <w:sz w:val="24"/>
          <w:szCs w:val="24"/>
        </w:rPr>
        <w:t>ко износ обавезе чије се плаћање избегава прелази седам милиона и петсто хиљада</w:t>
      </w:r>
      <w:r w:rsidRPr="006246A2">
        <w:rPr>
          <w:rFonts w:ascii="Times New Roman" w:hAnsi="Times New Roman"/>
          <w:sz w:val="24"/>
          <w:szCs w:val="24"/>
          <w:lang w:val="sr-Cyrl-CS"/>
        </w:rPr>
        <w:t xml:space="preserve"> </w:t>
      </w:r>
      <w:r w:rsidRPr="006246A2">
        <w:rPr>
          <w:rFonts w:ascii="Times New Roman" w:hAnsi="Times New Roman"/>
          <w:sz w:val="24"/>
          <w:szCs w:val="24"/>
        </w:rPr>
        <w:t>динара,</w:t>
      </w:r>
      <w:r w:rsidRPr="006246A2">
        <w:rPr>
          <w:rFonts w:ascii="Times New Roman" w:hAnsi="Times New Roman"/>
          <w:sz w:val="24"/>
          <w:szCs w:val="24"/>
          <w:lang w:val="sr-Cyrl-CS"/>
        </w:rPr>
        <w:t xml:space="preserve"> у ком случају ће се </w:t>
      </w:r>
      <w:r w:rsidRPr="006246A2">
        <w:rPr>
          <w:rFonts w:ascii="Times New Roman" w:hAnsi="Times New Roman"/>
          <w:sz w:val="24"/>
          <w:szCs w:val="24"/>
        </w:rPr>
        <w:t>учинилац казнити затвором од две до десет година и новчаном казном.</w:t>
      </w:r>
      <w:r w:rsidRPr="006246A2">
        <w:rPr>
          <w:rFonts w:ascii="Times New Roman" w:hAnsi="Times New Roman"/>
          <w:sz w:val="24"/>
          <w:szCs w:val="24"/>
          <w:lang w:val="sr-Cyrl-CS"/>
        </w:rPr>
        <w:t xml:space="preserve"> </w:t>
      </w:r>
    </w:p>
    <w:p w:rsidR="00A155C4" w:rsidRDefault="001656C3" w:rsidP="001656C3">
      <w:pPr>
        <w:ind w:firstLine="708"/>
        <w:jc w:val="both"/>
        <w:rPr>
          <w:rFonts w:ascii="Times New Roman" w:hAnsi="Times New Roman"/>
          <w:sz w:val="24"/>
          <w:szCs w:val="24"/>
          <w:lang w:val="sr-Cyrl-CS"/>
        </w:rPr>
      </w:pPr>
      <w:r>
        <w:rPr>
          <w:rFonts w:ascii="Times New Roman" w:hAnsi="Times New Roman"/>
          <w:sz w:val="24"/>
          <w:szCs w:val="24"/>
          <w:lang w:val="sr-Cyrl-CS"/>
        </w:rPr>
        <w:lastRenderedPageBreak/>
        <w:t xml:space="preserve">Кривично дело пореска утаја не може бити у стицају са кривичним делом преваре </w:t>
      </w:r>
      <w:r w:rsidR="00E8382A">
        <w:rPr>
          <w:rFonts w:ascii="Times New Roman" w:hAnsi="Times New Roman"/>
          <w:sz w:val="24"/>
          <w:szCs w:val="24"/>
          <w:lang w:val="sr-Cyrl-CS"/>
        </w:rPr>
        <w:t>због тога што</w:t>
      </w:r>
      <w:r>
        <w:rPr>
          <w:rFonts w:ascii="Times New Roman" w:hAnsi="Times New Roman"/>
          <w:sz w:val="24"/>
          <w:szCs w:val="24"/>
          <w:lang w:val="sr-Cyrl-CS"/>
        </w:rPr>
        <w:t xml:space="preserve"> представља посебан облик тог кривичног дела. </w:t>
      </w:r>
      <w:r w:rsidR="00E8382A">
        <w:rPr>
          <w:rFonts w:ascii="Times New Roman" w:hAnsi="Times New Roman"/>
          <w:sz w:val="24"/>
          <w:szCs w:val="24"/>
          <w:lang w:val="sr-Cyrl-CS"/>
        </w:rPr>
        <w:t>Осим тога, н</w:t>
      </w:r>
      <w:r>
        <w:rPr>
          <w:rFonts w:ascii="Times New Roman" w:hAnsi="Times New Roman"/>
          <w:sz w:val="24"/>
          <w:szCs w:val="24"/>
          <w:lang w:val="sr-Cyrl-CS"/>
        </w:rPr>
        <w:t>ема стицаја ни са кривичним делом фалсификовање исправе јер се уношење неистинитих података појављује као радња извршења овог кривичног дела.</w:t>
      </w:r>
      <w:r>
        <w:rPr>
          <w:rStyle w:val="FootnoteReference"/>
          <w:rFonts w:ascii="Times New Roman" w:hAnsi="Times New Roman"/>
          <w:sz w:val="24"/>
          <w:szCs w:val="24"/>
          <w:lang w:val="sr-Cyrl-CS"/>
        </w:rPr>
        <w:footnoteReference w:id="797"/>
      </w:r>
      <w:r>
        <w:rPr>
          <w:rFonts w:ascii="Times New Roman" w:hAnsi="Times New Roman"/>
          <w:sz w:val="24"/>
          <w:szCs w:val="24"/>
          <w:lang w:val="sr-Cyrl-CS"/>
        </w:rPr>
        <w:t xml:space="preserve"> </w:t>
      </w:r>
      <w:r w:rsidR="00A155C4">
        <w:rPr>
          <w:rFonts w:ascii="Times New Roman" w:hAnsi="Times New Roman"/>
          <w:sz w:val="24"/>
          <w:szCs w:val="24"/>
          <w:lang w:val="sr-Cyrl-CS"/>
        </w:rPr>
        <w:t xml:space="preserve"> </w:t>
      </w:r>
    </w:p>
    <w:p w:rsidR="00F373C1" w:rsidRDefault="00F373C1" w:rsidP="001656C3">
      <w:pPr>
        <w:ind w:firstLine="708"/>
        <w:jc w:val="both"/>
        <w:rPr>
          <w:rFonts w:ascii="Times New Roman" w:hAnsi="Times New Roman"/>
          <w:sz w:val="24"/>
          <w:szCs w:val="24"/>
          <w:lang w:val="sr-Cyrl-CS"/>
        </w:rPr>
      </w:pPr>
      <w:r>
        <w:rPr>
          <w:rFonts w:ascii="Times New Roman" w:hAnsi="Times New Roman"/>
          <w:sz w:val="24"/>
          <w:szCs w:val="24"/>
          <w:lang w:val="sr-Cyrl-CS"/>
        </w:rPr>
        <w:t>Дело се може извршити само са директним умишљајем, а извршилац мора бити свестан да даје лажне податке о предметима или другим чињеницама које су од утицаја на утврђивање пореза, доприноса или дажбина.</w:t>
      </w:r>
      <w:r>
        <w:rPr>
          <w:rStyle w:val="FootnoteReference"/>
          <w:rFonts w:ascii="Times New Roman" w:hAnsi="Times New Roman"/>
          <w:sz w:val="24"/>
          <w:szCs w:val="24"/>
          <w:lang w:val="sr-Cyrl-CS"/>
        </w:rPr>
        <w:footnoteReference w:id="798"/>
      </w:r>
    </w:p>
    <w:p w:rsidR="00925D90" w:rsidRDefault="00F373C1" w:rsidP="004F3D57">
      <w:pPr>
        <w:ind w:firstLine="708"/>
        <w:jc w:val="both"/>
        <w:rPr>
          <w:rFonts w:ascii="Arial" w:hAnsi="Arial" w:cs="Arial"/>
          <w:color w:val="000000"/>
          <w:sz w:val="18"/>
          <w:szCs w:val="18"/>
          <w:lang w:val="sr-Cyrl-CS"/>
        </w:rPr>
      </w:pPr>
      <w:r>
        <w:rPr>
          <w:rFonts w:ascii="Times New Roman" w:hAnsi="Times New Roman"/>
          <w:sz w:val="24"/>
          <w:szCs w:val="24"/>
          <w:lang w:val="sr-Cyrl-CS"/>
        </w:rPr>
        <w:t>Последица неког кривичног дела, односно њиме произведена промена или стање у спољном свету састоји се у некој штети нанетој објекту тог дела. Пре свега, као последица кривичног дела може да се сматра она штета која је нанета његовом заштитном објекту. Затим, као последица кривичног дела може се означити и она штета која се наноси његовом објекту радње. Код кривичног дела пореске утаје последица није посебно наглашена у опису кривичног дела. Последица овог кривичног дела настаје у моменту извршења радње овог дела.</w:t>
      </w:r>
      <w:r w:rsidR="006F5466">
        <w:rPr>
          <w:rStyle w:val="FootnoteReference"/>
          <w:rFonts w:ascii="Times New Roman" w:hAnsi="Times New Roman"/>
          <w:sz w:val="24"/>
          <w:szCs w:val="24"/>
          <w:lang w:val="sr-Cyrl-CS"/>
        </w:rPr>
        <w:footnoteReference w:id="799"/>
      </w:r>
      <w:r>
        <w:rPr>
          <w:rFonts w:ascii="Times New Roman" w:hAnsi="Times New Roman"/>
          <w:sz w:val="24"/>
          <w:szCs w:val="24"/>
          <w:lang w:val="sr-Cyrl-CS"/>
        </w:rPr>
        <w:t xml:space="preserve"> Последица </w:t>
      </w:r>
      <w:r w:rsidR="00E75879">
        <w:rPr>
          <w:rFonts w:ascii="Times New Roman" w:hAnsi="Times New Roman"/>
          <w:sz w:val="24"/>
          <w:szCs w:val="24"/>
          <w:lang w:val="sr-Cyrl-CS"/>
        </w:rPr>
        <w:t>представља угрожавање</w:t>
      </w:r>
      <w:r>
        <w:rPr>
          <w:rFonts w:ascii="Times New Roman" w:hAnsi="Times New Roman"/>
          <w:sz w:val="24"/>
          <w:szCs w:val="24"/>
          <w:lang w:val="sr-Cyrl-CS"/>
        </w:rPr>
        <w:t xml:space="preserve"> буџета или фондова којима</w:t>
      </w:r>
      <w:r w:rsidR="00E75879">
        <w:rPr>
          <w:rFonts w:ascii="Times New Roman" w:hAnsi="Times New Roman"/>
          <w:sz w:val="24"/>
          <w:szCs w:val="24"/>
          <w:lang w:val="sr-Cyrl-CS"/>
        </w:rPr>
        <w:t xml:space="preserve"> порези или доприноси припадају и ради се о</w:t>
      </w:r>
      <w:r>
        <w:rPr>
          <w:rFonts w:ascii="Times New Roman" w:hAnsi="Times New Roman"/>
          <w:sz w:val="24"/>
          <w:szCs w:val="24"/>
          <w:lang w:val="sr-Cyrl-CS"/>
        </w:rPr>
        <w:t xml:space="preserve"> </w:t>
      </w:r>
      <w:r w:rsidR="001C6EC8">
        <w:rPr>
          <w:rFonts w:ascii="Times New Roman" w:hAnsi="Times New Roman"/>
          <w:sz w:val="24"/>
          <w:szCs w:val="24"/>
          <w:lang w:val="sr-Cyrl-CS"/>
        </w:rPr>
        <w:t>угрожавањ</w:t>
      </w:r>
      <w:r w:rsidR="00E75879">
        <w:rPr>
          <w:rFonts w:ascii="Times New Roman" w:hAnsi="Times New Roman"/>
          <w:sz w:val="24"/>
          <w:szCs w:val="24"/>
          <w:lang w:val="sr-Cyrl-CS"/>
        </w:rPr>
        <w:t>у ко</w:t>
      </w:r>
      <w:r>
        <w:rPr>
          <w:rFonts w:ascii="Times New Roman" w:hAnsi="Times New Roman"/>
          <w:sz w:val="24"/>
          <w:szCs w:val="24"/>
          <w:lang w:val="sr-Cyrl-CS"/>
        </w:rPr>
        <w:t xml:space="preserve">је </w:t>
      </w:r>
      <w:r w:rsidR="00E75879">
        <w:rPr>
          <w:rFonts w:ascii="Times New Roman" w:hAnsi="Times New Roman"/>
          <w:sz w:val="24"/>
          <w:szCs w:val="24"/>
          <w:lang w:val="sr-Cyrl-CS"/>
        </w:rPr>
        <w:t>има апстрактну природу</w:t>
      </w:r>
      <w:r>
        <w:rPr>
          <w:rFonts w:ascii="Times New Roman" w:hAnsi="Times New Roman"/>
          <w:sz w:val="24"/>
          <w:szCs w:val="24"/>
          <w:lang w:val="sr-Cyrl-CS"/>
        </w:rPr>
        <w:t xml:space="preserve">, пошто се пореском пријавом не </w:t>
      </w:r>
      <w:r w:rsidR="00E75879">
        <w:rPr>
          <w:rFonts w:ascii="Times New Roman" w:hAnsi="Times New Roman"/>
          <w:sz w:val="24"/>
          <w:szCs w:val="24"/>
          <w:lang w:val="sr-Cyrl-CS"/>
        </w:rPr>
        <w:t>ствара</w:t>
      </w:r>
      <w:r>
        <w:rPr>
          <w:rFonts w:ascii="Times New Roman" w:hAnsi="Times New Roman"/>
          <w:sz w:val="24"/>
          <w:szCs w:val="24"/>
          <w:lang w:val="sr-Cyrl-CS"/>
        </w:rPr>
        <w:t xml:space="preserve"> обавеза пореза или доприноса, већ порески орган на основу те пријаве и других расположивих доказа води поступак за утврђивање пореске обавезе и доноси решење којим се обавеза конституише. </w:t>
      </w:r>
      <w:r w:rsidR="00E75879">
        <w:rPr>
          <w:rFonts w:ascii="Times New Roman" w:hAnsi="Times New Roman"/>
          <w:sz w:val="24"/>
          <w:szCs w:val="24"/>
          <w:lang w:val="sr-Cyrl-CS"/>
        </w:rPr>
        <w:t>Неподношење пореске пријаве или давање</w:t>
      </w:r>
      <w:r>
        <w:rPr>
          <w:rFonts w:ascii="Times New Roman" w:hAnsi="Times New Roman"/>
          <w:sz w:val="24"/>
          <w:szCs w:val="24"/>
          <w:lang w:val="sr-Cyrl-CS"/>
        </w:rPr>
        <w:t xml:space="preserve"> лажн</w:t>
      </w:r>
      <w:r w:rsidR="00E75879">
        <w:rPr>
          <w:rFonts w:ascii="Times New Roman" w:hAnsi="Times New Roman"/>
          <w:sz w:val="24"/>
          <w:szCs w:val="24"/>
          <w:lang w:val="sr-Cyrl-CS"/>
        </w:rPr>
        <w:t>их података</w:t>
      </w:r>
      <w:r>
        <w:rPr>
          <w:rFonts w:ascii="Times New Roman" w:hAnsi="Times New Roman"/>
          <w:sz w:val="24"/>
          <w:szCs w:val="24"/>
          <w:lang w:val="sr-Cyrl-CS"/>
        </w:rPr>
        <w:t xml:space="preserve"> ствара опасност за </w:t>
      </w:r>
      <w:r w:rsidR="00E75879">
        <w:rPr>
          <w:rFonts w:ascii="Times New Roman" w:hAnsi="Times New Roman"/>
          <w:sz w:val="24"/>
          <w:szCs w:val="24"/>
          <w:lang w:val="sr-Cyrl-CS"/>
        </w:rPr>
        <w:t>избегавање</w:t>
      </w:r>
      <w:r>
        <w:rPr>
          <w:rFonts w:ascii="Times New Roman" w:hAnsi="Times New Roman"/>
          <w:sz w:val="24"/>
          <w:szCs w:val="24"/>
          <w:lang w:val="sr-Cyrl-CS"/>
        </w:rPr>
        <w:t xml:space="preserve"> ових обавеза. </w:t>
      </w:r>
      <w:r w:rsidRPr="00A66C2C">
        <w:rPr>
          <w:rFonts w:ascii="Times New Roman" w:hAnsi="Times New Roman"/>
          <w:color w:val="000000"/>
          <w:sz w:val="24"/>
          <w:szCs w:val="24"/>
          <w:lang w:val="sr-Cyrl-CS"/>
        </w:rPr>
        <w:t>Према томе, дело је свршено  самим подношењем лажне пријаве или протеком рока за поднош</w:t>
      </w:r>
      <w:r w:rsidR="001C6EC8">
        <w:rPr>
          <w:rFonts w:ascii="Times New Roman" w:hAnsi="Times New Roman"/>
          <w:color w:val="000000"/>
          <w:sz w:val="24"/>
          <w:szCs w:val="24"/>
          <w:lang w:val="sr-Cyrl-CS"/>
        </w:rPr>
        <w:t xml:space="preserve">ење пријаве, код радње нечињења, а не </w:t>
      </w:r>
      <w:r w:rsidRPr="00A66C2C">
        <w:rPr>
          <w:rFonts w:ascii="Times New Roman" w:hAnsi="Times New Roman"/>
          <w:color w:val="000000"/>
          <w:sz w:val="24"/>
          <w:szCs w:val="24"/>
          <w:lang w:val="sr-Cyrl-CS"/>
        </w:rPr>
        <w:t>када порески орган доведен у заблуду прихвати пореску пријаву као исправну и на основу ње донесе решење о утврђивању пореза или доприноса у мањем износу</w:t>
      </w:r>
      <w:r>
        <w:rPr>
          <w:rFonts w:ascii="Arial" w:hAnsi="Arial" w:cs="Arial"/>
          <w:color w:val="000000"/>
          <w:sz w:val="18"/>
          <w:szCs w:val="18"/>
          <w:lang w:val="sr-Cyrl-CS"/>
        </w:rPr>
        <w:t>.</w:t>
      </w:r>
      <w:r>
        <w:rPr>
          <w:rStyle w:val="FootnoteReference"/>
          <w:rFonts w:ascii="Arial" w:hAnsi="Arial" w:cs="Arial"/>
          <w:color w:val="000000"/>
          <w:sz w:val="18"/>
          <w:szCs w:val="18"/>
          <w:lang w:val="sr-Cyrl-CS"/>
        </w:rPr>
        <w:footnoteReference w:id="800"/>
      </w:r>
    </w:p>
    <w:p w:rsidR="004F3D57" w:rsidRPr="004F3D57" w:rsidRDefault="004F3D57" w:rsidP="004F3D57">
      <w:pPr>
        <w:ind w:firstLine="708"/>
        <w:jc w:val="both"/>
        <w:rPr>
          <w:rFonts w:ascii="Arial" w:hAnsi="Arial" w:cs="Arial"/>
          <w:color w:val="000000"/>
          <w:sz w:val="18"/>
          <w:szCs w:val="18"/>
          <w:lang w:val="sr-Cyrl-CS"/>
        </w:rPr>
      </w:pPr>
    </w:p>
    <w:p w:rsidR="002254DE" w:rsidRPr="001C7B5A" w:rsidRDefault="001C7B5A" w:rsidP="008A3795">
      <w:pPr>
        <w:pStyle w:val="ListParagraph"/>
        <w:numPr>
          <w:ilvl w:val="3"/>
          <w:numId w:val="59"/>
        </w:numPr>
        <w:jc w:val="center"/>
        <w:rPr>
          <w:rFonts w:ascii="Times New Roman" w:hAnsi="Times New Roman"/>
          <w:b/>
          <w:sz w:val="24"/>
          <w:szCs w:val="24"/>
          <w:lang w:val="sr-Cyrl-CS"/>
        </w:rPr>
      </w:pPr>
      <w:r>
        <w:rPr>
          <w:rFonts w:ascii="Times New Roman" w:hAnsi="Times New Roman"/>
          <w:b/>
          <w:sz w:val="24"/>
          <w:szCs w:val="24"/>
        </w:rPr>
        <w:t xml:space="preserve"> </w:t>
      </w:r>
      <w:r w:rsidR="00F66F26" w:rsidRPr="001C7B5A">
        <w:rPr>
          <w:rFonts w:ascii="Times New Roman" w:hAnsi="Times New Roman"/>
          <w:b/>
          <w:sz w:val="24"/>
          <w:szCs w:val="24"/>
          <w:lang w:val="sr-Cyrl-CS"/>
        </w:rPr>
        <w:t>Радња кривичног дела</w:t>
      </w:r>
    </w:p>
    <w:p w:rsidR="00F66F26" w:rsidRPr="00F66F26" w:rsidRDefault="00F66F26" w:rsidP="00F66F26">
      <w:pPr>
        <w:ind w:firstLine="708"/>
        <w:jc w:val="center"/>
        <w:rPr>
          <w:rFonts w:ascii="Times New Roman" w:hAnsi="Times New Roman"/>
          <w:b/>
          <w:sz w:val="24"/>
          <w:szCs w:val="24"/>
          <w:lang w:val="sr-Cyrl-CS"/>
        </w:rPr>
      </w:pPr>
    </w:p>
    <w:p w:rsidR="00B73EC5" w:rsidRDefault="001C6EC8" w:rsidP="00B010B3">
      <w:pPr>
        <w:ind w:firstLine="708"/>
        <w:jc w:val="both"/>
        <w:rPr>
          <w:rFonts w:ascii="Times New Roman" w:hAnsi="Times New Roman"/>
          <w:sz w:val="24"/>
          <w:szCs w:val="24"/>
          <w:lang w:val="sr-Cyrl-CS"/>
        </w:rPr>
      </w:pPr>
      <w:r>
        <w:rPr>
          <w:rFonts w:ascii="Times New Roman" w:hAnsi="Times New Roman"/>
          <w:sz w:val="24"/>
          <w:szCs w:val="24"/>
          <w:lang w:val="sr-Cyrl-CS"/>
        </w:rPr>
        <w:t>К</w:t>
      </w:r>
      <w:r w:rsidR="00B73EC5">
        <w:rPr>
          <w:rFonts w:ascii="Times New Roman" w:hAnsi="Times New Roman"/>
          <w:sz w:val="24"/>
          <w:szCs w:val="24"/>
          <w:lang w:val="sr-Cyrl-CS"/>
        </w:rPr>
        <w:t>ривично дело пореске утаје</w:t>
      </w:r>
      <w:r>
        <w:rPr>
          <w:rFonts w:ascii="Times New Roman" w:hAnsi="Times New Roman"/>
          <w:sz w:val="24"/>
          <w:szCs w:val="24"/>
          <w:lang w:val="sr-Cyrl-CS"/>
        </w:rPr>
        <w:t xml:space="preserve"> у погледу радње извршења се може извршити чињењем и нечињењем </w:t>
      </w:r>
      <w:r w:rsidR="00B73EC5">
        <w:rPr>
          <w:rFonts w:ascii="Times New Roman" w:hAnsi="Times New Roman"/>
          <w:sz w:val="24"/>
          <w:szCs w:val="24"/>
          <w:lang w:val="sr-Cyrl-CS"/>
        </w:rPr>
        <w:t xml:space="preserve"> </w:t>
      </w:r>
      <w:r>
        <w:rPr>
          <w:rFonts w:ascii="Times New Roman" w:hAnsi="Times New Roman"/>
          <w:sz w:val="24"/>
          <w:szCs w:val="24"/>
          <w:lang w:val="sr-Cyrl-CS"/>
        </w:rPr>
        <w:t xml:space="preserve">па </w:t>
      </w:r>
      <w:r w:rsidR="00B73EC5">
        <w:rPr>
          <w:rFonts w:ascii="Times New Roman" w:hAnsi="Times New Roman"/>
          <w:sz w:val="24"/>
          <w:szCs w:val="24"/>
          <w:lang w:val="sr-Cyrl-CS"/>
        </w:rPr>
        <w:t>спада у групу нечи</w:t>
      </w:r>
      <w:r>
        <w:rPr>
          <w:rFonts w:ascii="Times New Roman" w:hAnsi="Times New Roman"/>
          <w:sz w:val="24"/>
          <w:szCs w:val="24"/>
          <w:lang w:val="sr-Cyrl-CS"/>
        </w:rPr>
        <w:t xml:space="preserve">стих (мешовитих) кривичних дела, односно </w:t>
      </w:r>
      <w:r w:rsidR="006F5466">
        <w:rPr>
          <w:rFonts w:ascii="Times New Roman" w:hAnsi="Times New Roman"/>
          <w:sz w:val="24"/>
          <w:szCs w:val="24"/>
          <w:lang w:val="sr-Cyrl-CS"/>
        </w:rPr>
        <w:t xml:space="preserve">у </w:t>
      </w:r>
      <w:r w:rsidR="00B73EC5">
        <w:rPr>
          <w:rFonts w:ascii="Times New Roman" w:hAnsi="Times New Roman"/>
          <w:sz w:val="24"/>
          <w:szCs w:val="24"/>
          <w:lang w:val="sr-Cyrl-CS"/>
        </w:rPr>
        <w:t>комисивно-омисивна дела.</w:t>
      </w:r>
      <w:r w:rsidR="00B73EC5">
        <w:rPr>
          <w:rStyle w:val="FootnoteReference"/>
          <w:rFonts w:ascii="Times New Roman" w:hAnsi="Times New Roman"/>
          <w:sz w:val="24"/>
          <w:szCs w:val="24"/>
          <w:lang w:val="sr-Cyrl-CS"/>
        </w:rPr>
        <w:footnoteReference w:id="801"/>
      </w:r>
      <w:r w:rsidR="00B73EC5">
        <w:rPr>
          <w:rFonts w:ascii="Times New Roman" w:hAnsi="Times New Roman"/>
          <w:sz w:val="24"/>
          <w:szCs w:val="24"/>
          <w:lang w:val="sr-Cyrl-CS"/>
        </w:rPr>
        <w:t xml:space="preserve"> </w:t>
      </w:r>
    </w:p>
    <w:p w:rsidR="00F66F26" w:rsidRDefault="00925D90" w:rsidP="00B010B3">
      <w:pPr>
        <w:ind w:firstLine="708"/>
        <w:jc w:val="both"/>
        <w:rPr>
          <w:rFonts w:ascii="Times New Roman" w:hAnsi="Times New Roman"/>
          <w:color w:val="000000"/>
          <w:sz w:val="24"/>
          <w:szCs w:val="24"/>
          <w:lang w:val="sr-Cyrl-CS"/>
        </w:rPr>
      </w:pPr>
      <w:r>
        <w:rPr>
          <w:rFonts w:ascii="Times New Roman" w:hAnsi="Times New Roman"/>
          <w:sz w:val="24"/>
          <w:szCs w:val="24"/>
          <w:lang w:val="sr-Cyrl-CS"/>
        </w:rPr>
        <w:lastRenderedPageBreak/>
        <w:t>Радња овог кривичног де</w:t>
      </w:r>
      <w:r w:rsidR="00F66F26">
        <w:rPr>
          <w:rFonts w:ascii="Times New Roman" w:hAnsi="Times New Roman"/>
          <w:sz w:val="24"/>
          <w:szCs w:val="24"/>
          <w:lang w:val="sr-Cyrl-CS"/>
        </w:rPr>
        <w:t>ла је алтернативно одређена као</w:t>
      </w:r>
      <w:r>
        <w:rPr>
          <w:rFonts w:ascii="Times New Roman" w:hAnsi="Times New Roman"/>
          <w:sz w:val="24"/>
          <w:szCs w:val="24"/>
          <w:lang w:val="sr-Cyrl-CS"/>
        </w:rPr>
        <w:t xml:space="preserve"> </w:t>
      </w:r>
      <w:r w:rsidR="00F66F26">
        <w:rPr>
          <w:rFonts w:ascii="Times New Roman" w:hAnsi="Times New Roman"/>
          <w:color w:val="000000"/>
          <w:sz w:val="24"/>
          <w:szCs w:val="24"/>
        </w:rPr>
        <w:t>да</w:t>
      </w:r>
      <w:r w:rsidR="00F66F26">
        <w:rPr>
          <w:rFonts w:ascii="Times New Roman" w:hAnsi="Times New Roman"/>
          <w:color w:val="000000"/>
          <w:sz w:val="24"/>
          <w:szCs w:val="24"/>
          <w:lang w:val="sr-Cyrl-CS"/>
        </w:rPr>
        <w:t>вање</w:t>
      </w:r>
      <w:r w:rsidR="00F66F26" w:rsidRPr="006246A2">
        <w:rPr>
          <w:rFonts w:ascii="Times New Roman" w:hAnsi="Times New Roman"/>
          <w:color w:val="000000"/>
          <w:sz w:val="24"/>
          <w:szCs w:val="24"/>
        </w:rPr>
        <w:t xml:space="preserve"> </w:t>
      </w:r>
      <w:r w:rsidR="00F66F26">
        <w:rPr>
          <w:rFonts w:ascii="Times New Roman" w:hAnsi="Times New Roman"/>
          <w:color w:val="000000"/>
          <w:sz w:val="24"/>
          <w:szCs w:val="24"/>
        </w:rPr>
        <w:t>лажн</w:t>
      </w:r>
      <w:r w:rsidR="00F66F26">
        <w:rPr>
          <w:rFonts w:ascii="Times New Roman" w:hAnsi="Times New Roman"/>
          <w:color w:val="000000"/>
          <w:sz w:val="24"/>
          <w:szCs w:val="24"/>
          <w:lang w:val="sr-Cyrl-CS"/>
        </w:rPr>
        <w:t>их</w:t>
      </w:r>
      <w:r w:rsidR="00F66F26" w:rsidRPr="006246A2">
        <w:rPr>
          <w:rFonts w:ascii="Times New Roman" w:hAnsi="Times New Roman"/>
          <w:color w:val="000000"/>
          <w:sz w:val="24"/>
          <w:szCs w:val="24"/>
        </w:rPr>
        <w:t xml:space="preserve"> </w:t>
      </w:r>
      <w:r w:rsidR="00F66F26">
        <w:rPr>
          <w:rFonts w:ascii="Times New Roman" w:hAnsi="Times New Roman"/>
          <w:color w:val="000000"/>
          <w:sz w:val="24"/>
          <w:szCs w:val="24"/>
        </w:rPr>
        <w:t>подат</w:t>
      </w:r>
      <w:r w:rsidR="00F66F26">
        <w:rPr>
          <w:rFonts w:ascii="Times New Roman" w:hAnsi="Times New Roman"/>
          <w:color w:val="000000"/>
          <w:sz w:val="24"/>
          <w:szCs w:val="24"/>
          <w:lang w:val="sr-Cyrl-CS"/>
        </w:rPr>
        <w:t>а</w:t>
      </w:r>
      <w:r w:rsidR="00F66F26">
        <w:rPr>
          <w:rFonts w:ascii="Times New Roman" w:hAnsi="Times New Roman"/>
          <w:color w:val="000000"/>
          <w:sz w:val="24"/>
          <w:szCs w:val="24"/>
        </w:rPr>
        <w:t>к</w:t>
      </w:r>
      <w:r w:rsidR="00F66F26">
        <w:rPr>
          <w:rFonts w:ascii="Times New Roman" w:hAnsi="Times New Roman"/>
          <w:color w:val="000000"/>
          <w:sz w:val="24"/>
          <w:szCs w:val="24"/>
          <w:lang w:val="sr-Cyrl-CS"/>
        </w:rPr>
        <w:t>а</w:t>
      </w:r>
      <w:r w:rsidR="00F66F26" w:rsidRPr="006246A2">
        <w:rPr>
          <w:rFonts w:ascii="Times New Roman" w:hAnsi="Times New Roman"/>
          <w:color w:val="000000"/>
          <w:sz w:val="24"/>
          <w:szCs w:val="24"/>
        </w:rPr>
        <w:t xml:space="preserve"> о законито стеченим приходима, о предметима или другим чињеницама које су од утицаја на утврђивање оваквих обавеза или ко у истој намери, у случају обавезне пријаве, не пријави законито стечени приход, односно предмете или друге чињенице које су од утицаја на утврђивање оваквих обавеза или ко у истој намери на други начин прикрива податке који се односе на утврђивање наведених обавеза</w:t>
      </w:r>
      <w:r w:rsidR="00F66F26">
        <w:rPr>
          <w:rFonts w:ascii="Times New Roman" w:hAnsi="Times New Roman"/>
          <w:color w:val="000000"/>
          <w:sz w:val="24"/>
          <w:szCs w:val="24"/>
          <w:lang w:val="sr-Cyrl-CS"/>
        </w:rPr>
        <w:t xml:space="preserve">. </w:t>
      </w:r>
    </w:p>
    <w:p w:rsidR="00173D7F" w:rsidRPr="00173D7F" w:rsidRDefault="00173D7F" w:rsidP="00173D7F">
      <w:pPr>
        <w:ind w:firstLine="708"/>
        <w:jc w:val="both"/>
        <w:rPr>
          <w:rFonts w:ascii="Times New Roman" w:hAnsi="Times New Roman"/>
          <w:sz w:val="24"/>
          <w:szCs w:val="24"/>
          <w:lang w:val="sr-Cyrl-CS"/>
        </w:rPr>
      </w:pPr>
      <w:r>
        <w:rPr>
          <w:rFonts w:ascii="Times New Roman" w:hAnsi="Times New Roman"/>
          <w:sz w:val="24"/>
          <w:szCs w:val="24"/>
          <w:lang w:val="sr-Cyrl-CS"/>
        </w:rPr>
        <w:t xml:space="preserve">Давање лажних података </w:t>
      </w:r>
      <w:r w:rsidR="007E5B5A">
        <w:rPr>
          <w:rFonts w:ascii="Times New Roman" w:hAnsi="Times New Roman"/>
          <w:sz w:val="24"/>
          <w:szCs w:val="24"/>
          <w:lang w:val="sr-Cyrl-CS"/>
        </w:rPr>
        <w:t>обухвата</w:t>
      </w:r>
      <w:r>
        <w:rPr>
          <w:rFonts w:ascii="Times New Roman" w:hAnsi="Times New Roman"/>
          <w:sz w:val="24"/>
          <w:szCs w:val="24"/>
          <w:lang w:val="sr-Cyrl-CS"/>
        </w:rPr>
        <w:t xml:space="preserve"> приходе пореског обвезника или пр</w:t>
      </w:r>
      <w:r w:rsidR="00997E5C">
        <w:rPr>
          <w:rFonts w:ascii="Times New Roman" w:hAnsi="Times New Roman"/>
          <w:sz w:val="24"/>
          <w:szCs w:val="24"/>
          <w:lang w:val="sr-Cyrl-CS"/>
        </w:rPr>
        <w:t>едмете који подлежу опорезивању</w:t>
      </w:r>
      <w:r>
        <w:rPr>
          <w:rFonts w:ascii="Times New Roman" w:hAnsi="Times New Roman"/>
          <w:sz w:val="24"/>
          <w:szCs w:val="24"/>
          <w:lang w:val="sr-Cyrl-CS"/>
        </w:rPr>
        <w:t>. Код другог облика кривичног дела учинилац уопште не подноси пријаву о законито стеченом приходу, односно предметима или другим чињеницама који су од утицај</w:t>
      </w:r>
      <w:r w:rsidR="007E5B5A">
        <w:rPr>
          <w:rFonts w:ascii="Times New Roman" w:hAnsi="Times New Roman"/>
          <w:sz w:val="24"/>
          <w:szCs w:val="24"/>
          <w:lang w:val="sr-Cyrl-CS"/>
        </w:rPr>
        <w:t>а на утврђивање оваквих обавеза и о</w:t>
      </w:r>
      <w:r>
        <w:rPr>
          <w:rFonts w:ascii="Times New Roman" w:hAnsi="Times New Roman"/>
          <w:sz w:val="24"/>
          <w:szCs w:val="24"/>
          <w:lang w:val="sr-Cyrl-CS"/>
        </w:rPr>
        <w:t>вај облик</w:t>
      </w:r>
      <w:r w:rsidR="007E5B5A">
        <w:rPr>
          <w:rFonts w:ascii="Times New Roman" w:hAnsi="Times New Roman"/>
          <w:sz w:val="24"/>
          <w:szCs w:val="24"/>
          <w:lang w:val="sr-Cyrl-CS"/>
        </w:rPr>
        <w:t xml:space="preserve"> се</w:t>
      </w:r>
      <w:r>
        <w:rPr>
          <w:rFonts w:ascii="Times New Roman" w:hAnsi="Times New Roman"/>
          <w:sz w:val="24"/>
          <w:szCs w:val="24"/>
          <w:lang w:val="sr-Cyrl-CS"/>
        </w:rPr>
        <w:t>, за</w:t>
      </w:r>
      <w:r w:rsidR="007E5B5A">
        <w:rPr>
          <w:rFonts w:ascii="Times New Roman" w:hAnsi="Times New Roman"/>
          <w:sz w:val="24"/>
          <w:szCs w:val="24"/>
          <w:lang w:val="sr-Cyrl-CS"/>
        </w:rPr>
        <w:t xml:space="preserve"> разлику од претходног, врши п</w:t>
      </w:r>
      <w:r>
        <w:rPr>
          <w:rFonts w:ascii="Times New Roman" w:hAnsi="Times New Roman"/>
          <w:sz w:val="24"/>
          <w:szCs w:val="24"/>
          <w:lang w:val="sr-Cyrl-CS"/>
        </w:rPr>
        <w:t xml:space="preserve">ропуштањем подношења пријаве. </w:t>
      </w:r>
      <w:r w:rsidR="007E5B5A">
        <w:rPr>
          <w:rFonts w:ascii="Times New Roman" w:hAnsi="Times New Roman"/>
          <w:sz w:val="24"/>
          <w:szCs w:val="24"/>
          <w:lang w:val="sr-Cyrl-CS"/>
        </w:rPr>
        <w:t>К</w:t>
      </w:r>
      <w:r>
        <w:rPr>
          <w:rFonts w:ascii="Times New Roman" w:hAnsi="Times New Roman"/>
          <w:sz w:val="24"/>
          <w:szCs w:val="24"/>
          <w:lang w:val="sr-Cyrl-CS"/>
        </w:rPr>
        <w:t xml:space="preserve">ада се </w:t>
      </w:r>
      <w:r w:rsidR="007E5B5A">
        <w:rPr>
          <w:rFonts w:ascii="Times New Roman" w:hAnsi="Times New Roman"/>
          <w:sz w:val="24"/>
          <w:szCs w:val="24"/>
          <w:lang w:val="sr-Cyrl-CS"/>
        </w:rPr>
        <w:t xml:space="preserve">подаци који се односе на утврђивање обавезе пореза, доприноса или других дажбина </w:t>
      </w:r>
      <w:r>
        <w:rPr>
          <w:rFonts w:ascii="Times New Roman" w:hAnsi="Times New Roman"/>
          <w:sz w:val="24"/>
          <w:szCs w:val="24"/>
          <w:lang w:val="sr-Cyrl-CS"/>
        </w:rPr>
        <w:t>приказују мањим него што јесу, да би тиме и обавеза била мања, односно приказују се већим од стварних</w:t>
      </w:r>
      <w:r w:rsidR="007E5B5A">
        <w:rPr>
          <w:rFonts w:ascii="Times New Roman" w:hAnsi="Times New Roman"/>
          <w:sz w:val="24"/>
          <w:szCs w:val="24"/>
          <w:lang w:val="sr-Cyrl-CS"/>
        </w:rPr>
        <w:t xml:space="preserve"> ради се о прикривању.</w:t>
      </w:r>
      <w:r>
        <w:rPr>
          <w:rStyle w:val="FootnoteReference"/>
          <w:rFonts w:ascii="Times New Roman" w:hAnsi="Times New Roman"/>
          <w:sz w:val="24"/>
          <w:szCs w:val="24"/>
          <w:lang w:val="sr-Cyrl-CS"/>
        </w:rPr>
        <w:footnoteReference w:id="802"/>
      </w:r>
    </w:p>
    <w:p w:rsidR="001467DF" w:rsidRPr="001467DF" w:rsidRDefault="000B53E8" w:rsidP="001467DF">
      <w:pPr>
        <w:ind w:firstLine="708"/>
        <w:jc w:val="both"/>
        <w:rPr>
          <w:rFonts w:ascii="Times New Roman" w:hAnsi="Times New Roman"/>
          <w:color w:val="000000"/>
          <w:sz w:val="24"/>
          <w:szCs w:val="24"/>
          <w:shd w:val="clear" w:color="auto" w:fill="FFFFFF"/>
          <w:lang w:val="sr-Cyrl-CS"/>
        </w:rPr>
      </w:pPr>
      <w:r w:rsidRPr="0041111B">
        <w:rPr>
          <w:rFonts w:ascii="Times New Roman" w:hAnsi="Times New Roman"/>
          <w:color w:val="000000"/>
          <w:sz w:val="24"/>
          <w:szCs w:val="24"/>
          <w:shd w:val="clear" w:color="auto" w:fill="FFFFFF"/>
          <w:lang w:val="sr-Cyrl-CS"/>
        </w:rPr>
        <w:t xml:space="preserve">Подаци </w:t>
      </w:r>
      <w:r w:rsidR="004D5515">
        <w:rPr>
          <w:rFonts w:ascii="Times New Roman" w:hAnsi="Times New Roman"/>
          <w:color w:val="000000"/>
          <w:sz w:val="24"/>
          <w:szCs w:val="24"/>
          <w:shd w:val="clear" w:color="auto" w:fill="FFFFFF"/>
          <w:lang w:val="sr-Cyrl-CS"/>
        </w:rPr>
        <w:t>се сматрају неистинитим</w:t>
      </w:r>
      <w:r w:rsidRPr="0041111B">
        <w:rPr>
          <w:rFonts w:ascii="Times New Roman" w:hAnsi="Times New Roman"/>
          <w:color w:val="000000"/>
          <w:sz w:val="24"/>
          <w:szCs w:val="24"/>
          <w:shd w:val="clear" w:color="auto" w:fill="FFFFFF"/>
          <w:lang w:val="sr-Cyrl-CS"/>
        </w:rPr>
        <w:t xml:space="preserve"> </w:t>
      </w:r>
      <w:r w:rsidR="004D5515">
        <w:rPr>
          <w:rFonts w:ascii="Times New Roman" w:hAnsi="Times New Roman"/>
          <w:color w:val="000000"/>
          <w:sz w:val="24"/>
          <w:szCs w:val="24"/>
          <w:shd w:val="clear" w:color="auto" w:fill="FFFFFF"/>
          <w:lang w:val="sr-Cyrl-CS"/>
        </w:rPr>
        <w:t xml:space="preserve">у случају </w:t>
      </w:r>
      <w:r w:rsidRPr="0041111B">
        <w:rPr>
          <w:rFonts w:ascii="Times New Roman" w:hAnsi="Times New Roman"/>
          <w:color w:val="000000"/>
          <w:sz w:val="24"/>
          <w:szCs w:val="24"/>
          <w:shd w:val="clear" w:color="auto" w:fill="FFFFFF"/>
          <w:lang w:val="sr-Cyrl-CS"/>
        </w:rPr>
        <w:t>када не одговарају објективном стању у погледу законито стечених прихода или у погледу других чињеница које су од битног значаја за утв</w:t>
      </w:r>
      <w:r w:rsidR="006F5466">
        <w:rPr>
          <w:rFonts w:ascii="Times New Roman" w:hAnsi="Times New Roman"/>
          <w:color w:val="000000"/>
          <w:sz w:val="24"/>
          <w:szCs w:val="24"/>
          <w:shd w:val="clear" w:color="auto" w:fill="FFFFFF"/>
          <w:lang w:val="sr-Cyrl-CS"/>
        </w:rPr>
        <w:t>р</w:t>
      </w:r>
      <w:r w:rsidRPr="0041111B">
        <w:rPr>
          <w:rFonts w:ascii="Times New Roman" w:hAnsi="Times New Roman"/>
          <w:color w:val="000000"/>
          <w:sz w:val="24"/>
          <w:szCs w:val="24"/>
          <w:shd w:val="clear" w:color="auto" w:fill="FFFFFF"/>
          <w:lang w:val="sr-Cyrl-CS"/>
        </w:rPr>
        <w:t xml:space="preserve">ђивање пореске обавезе. </w:t>
      </w:r>
      <w:r w:rsidR="004D5515">
        <w:rPr>
          <w:rFonts w:ascii="Times New Roman" w:hAnsi="Times New Roman"/>
          <w:color w:val="000000"/>
          <w:sz w:val="24"/>
          <w:szCs w:val="24"/>
          <w:shd w:val="clear" w:color="auto" w:fill="FFFFFF"/>
          <w:lang w:val="sr-Cyrl-CS"/>
        </w:rPr>
        <w:t xml:space="preserve">У случају лажног приказивања </w:t>
      </w:r>
      <w:r w:rsidRPr="0041111B">
        <w:rPr>
          <w:rFonts w:ascii="Times New Roman" w:hAnsi="Times New Roman"/>
          <w:color w:val="000000"/>
          <w:sz w:val="24"/>
          <w:szCs w:val="24"/>
          <w:shd w:val="clear" w:color="auto" w:fill="FFFFFF"/>
          <w:lang w:val="sr-Cyrl-CS"/>
        </w:rPr>
        <w:t>чињеница извршилац доводи у заблуду надлежни орган у погледу висине основице за утврђивање обавезе и тиме овом делу даје карактер посебног облика преваре.</w:t>
      </w:r>
      <w:r w:rsidRPr="0041111B">
        <w:rPr>
          <w:rStyle w:val="FootnoteReference"/>
          <w:rFonts w:ascii="Times New Roman" w:hAnsi="Times New Roman"/>
          <w:color w:val="000000"/>
          <w:sz w:val="24"/>
          <w:szCs w:val="24"/>
          <w:shd w:val="clear" w:color="auto" w:fill="FFFFFF"/>
          <w:lang w:val="sr-Cyrl-CS"/>
        </w:rPr>
        <w:footnoteReference w:id="803"/>
      </w:r>
      <w:r w:rsidR="0041111B" w:rsidRPr="0041111B">
        <w:rPr>
          <w:rFonts w:ascii="Times New Roman" w:hAnsi="Times New Roman"/>
          <w:color w:val="000000"/>
          <w:sz w:val="24"/>
          <w:szCs w:val="24"/>
          <w:shd w:val="clear" w:color="auto" w:fill="FFFFFF"/>
          <w:lang w:val="sr-Cyrl-CS"/>
        </w:rPr>
        <w:t xml:space="preserve"> </w:t>
      </w:r>
      <w:r w:rsidR="000246CA">
        <w:rPr>
          <w:rFonts w:ascii="Times New Roman" w:hAnsi="Times New Roman"/>
          <w:color w:val="000000"/>
          <w:sz w:val="24"/>
          <w:szCs w:val="24"/>
          <w:shd w:val="clear" w:color="auto" w:fill="FFFFFF"/>
          <w:lang w:val="sr-Cyrl-CS"/>
        </w:rPr>
        <w:t>„</w:t>
      </w:r>
      <w:r w:rsidR="0041111B" w:rsidRPr="0041111B">
        <w:rPr>
          <w:rFonts w:ascii="Times New Roman" w:hAnsi="Times New Roman"/>
          <w:color w:val="000000"/>
          <w:sz w:val="24"/>
          <w:szCs w:val="24"/>
          <w:shd w:val="clear" w:color="auto" w:fill="FFFFFF"/>
          <w:lang w:val="sr-Cyrl-CS"/>
        </w:rPr>
        <w:t>Дело пореске утаје ће у овом облику постојати и у случају када се лажни подаци на захтев надлежног пореског органа или пак на иницијативу самог учиниоца дела дају накнадно као д</w:t>
      </w:r>
      <w:r w:rsidR="00F66F26">
        <w:rPr>
          <w:rFonts w:ascii="Times New Roman" w:hAnsi="Times New Roman"/>
          <w:color w:val="000000"/>
          <w:sz w:val="24"/>
          <w:szCs w:val="24"/>
          <w:shd w:val="clear" w:color="auto" w:fill="FFFFFF"/>
          <w:lang w:val="sr-Cyrl-CS"/>
        </w:rPr>
        <w:t>о</w:t>
      </w:r>
      <w:r w:rsidR="0041111B" w:rsidRPr="0041111B">
        <w:rPr>
          <w:rFonts w:ascii="Times New Roman" w:hAnsi="Times New Roman"/>
          <w:color w:val="000000"/>
          <w:sz w:val="24"/>
          <w:szCs w:val="24"/>
          <w:shd w:val="clear" w:color="auto" w:fill="FFFFFF"/>
          <w:lang w:val="sr-Cyrl-CS"/>
        </w:rPr>
        <w:t>пуна раније поднете пореске пријаве или у поступку контроле прихода или чак и ако су ти лажни подаци и чињенице презентирани као допуна уз п</w:t>
      </w:r>
      <w:r w:rsidR="00F66F26">
        <w:rPr>
          <w:rFonts w:ascii="Times New Roman" w:hAnsi="Times New Roman"/>
          <w:color w:val="000000"/>
          <w:sz w:val="24"/>
          <w:szCs w:val="24"/>
          <w:shd w:val="clear" w:color="auto" w:fill="FFFFFF"/>
          <w:lang w:val="sr-Cyrl-CS"/>
        </w:rPr>
        <w:t>ратећу документацију која се под</w:t>
      </w:r>
      <w:r w:rsidR="0041111B" w:rsidRPr="0041111B">
        <w:rPr>
          <w:rFonts w:ascii="Times New Roman" w:hAnsi="Times New Roman"/>
          <w:color w:val="000000"/>
          <w:sz w:val="24"/>
          <w:szCs w:val="24"/>
          <w:shd w:val="clear" w:color="auto" w:fill="FFFFFF"/>
          <w:lang w:val="sr-Cyrl-CS"/>
        </w:rPr>
        <w:t>носи уз пореску пријаву.</w:t>
      </w:r>
      <w:r w:rsidR="000246CA">
        <w:rPr>
          <w:rFonts w:ascii="Times New Roman" w:hAnsi="Times New Roman"/>
          <w:color w:val="000000"/>
          <w:sz w:val="24"/>
          <w:szCs w:val="24"/>
          <w:shd w:val="clear" w:color="auto" w:fill="FFFFFF"/>
          <w:lang w:val="sr-Cyrl-CS"/>
        </w:rPr>
        <w:t>“</w:t>
      </w:r>
      <w:r w:rsidR="0041111B">
        <w:rPr>
          <w:rStyle w:val="FootnoteReference"/>
          <w:rFonts w:ascii="Times New Roman" w:hAnsi="Times New Roman"/>
          <w:color w:val="000000"/>
          <w:sz w:val="24"/>
          <w:szCs w:val="24"/>
          <w:shd w:val="clear" w:color="auto" w:fill="FFFFFF"/>
          <w:lang w:val="sr-Cyrl-CS"/>
        </w:rPr>
        <w:footnoteReference w:id="804"/>
      </w:r>
      <w:r w:rsidR="0041111B" w:rsidRPr="0041111B">
        <w:rPr>
          <w:rFonts w:ascii="Times New Roman" w:hAnsi="Times New Roman"/>
          <w:color w:val="000000"/>
          <w:sz w:val="24"/>
          <w:szCs w:val="24"/>
          <w:shd w:val="clear" w:color="auto" w:fill="FFFFFF"/>
          <w:lang w:val="sr-Cyrl-CS"/>
        </w:rPr>
        <w:t xml:space="preserve"> </w:t>
      </w:r>
      <w:r w:rsidR="001467DF">
        <w:rPr>
          <w:rFonts w:ascii="Times New Roman" w:hAnsi="Times New Roman"/>
          <w:color w:val="000000"/>
          <w:sz w:val="24"/>
          <w:szCs w:val="24"/>
          <w:lang w:val="sr-Cyrl-CS"/>
        </w:rPr>
        <w:t>Међутим, к</w:t>
      </w:r>
      <w:r w:rsidR="001467DF" w:rsidRPr="00C5614B">
        <w:rPr>
          <w:rFonts w:ascii="Times New Roman" w:hAnsi="Times New Roman"/>
          <w:color w:val="000000"/>
          <w:sz w:val="24"/>
          <w:szCs w:val="24"/>
          <w:lang w:val="sr-Cyrl-CS"/>
        </w:rPr>
        <w:t>ривично дело пореске утаје не постоји када се радња извршења дела не везује за законито стечене приходе.</w:t>
      </w:r>
      <w:r w:rsidR="001467DF">
        <w:rPr>
          <w:rStyle w:val="FootnoteReference"/>
          <w:rFonts w:ascii="Times New Roman" w:hAnsi="Times New Roman"/>
          <w:color w:val="000000"/>
          <w:sz w:val="24"/>
          <w:szCs w:val="24"/>
          <w:lang w:val="sr-Cyrl-CS"/>
        </w:rPr>
        <w:footnoteReference w:id="805"/>
      </w:r>
    </w:p>
    <w:p w:rsidR="00321994" w:rsidRDefault="00321994" w:rsidP="00B010B3">
      <w:pPr>
        <w:ind w:firstLine="708"/>
        <w:jc w:val="both"/>
        <w:rPr>
          <w:rFonts w:ascii="Times New Roman" w:hAnsi="Times New Roman"/>
          <w:color w:val="000000"/>
          <w:sz w:val="24"/>
          <w:szCs w:val="24"/>
          <w:shd w:val="clear" w:color="auto" w:fill="FFFFFF"/>
          <w:lang w:val="sr-Cyrl-CS"/>
        </w:rPr>
      </w:pPr>
      <w:r>
        <w:rPr>
          <w:rFonts w:ascii="Times New Roman" w:hAnsi="Times New Roman"/>
          <w:color w:val="000000"/>
          <w:sz w:val="24"/>
          <w:szCs w:val="24"/>
          <w:shd w:val="clear" w:color="auto" w:fill="FFFFFF"/>
          <w:lang w:val="sr-Cyrl-CS"/>
        </w:rPr>
        <w:lastRenderedPageBreak/>
        <w:t>Код овог облика кривичног дела учинилац по од</w:t>
      </w:r>
      <w:r w:rsidR="000246CA">
        <w:rPr>
          <w:rFonts w:ascii="Times New Roman" w:hAnsi="Times New Roman"/>
          <w:color w:val="000000"/>
          <w:sz w:val="24"/>
          <w:szCs w:val="24"/>
          <w:shd w:val="clear" w:color="auto" w:fill="FFFFFF"/>
          <w:lang w:val="sr-Cyrl-CS"/>
        </w:rPr>
        <w:t>ређеној законом п</w:t>
      </w:r>
      <w:r>
        <w:rPr>
          <w:rFonts w:ascii="Times New Roman" w:hAnsi="Times New Roman"/>
          <w:color w:val="000000"/>
          <w:sz w:val="24"/>
          <w:szCs w:val="24"/>
          <w:shd w:val="clear" w:color="auto" w:fill="FFFFFF"/>
          <w:lang w:val="sr-Cyrl-CS"/>
        </w:rPr>
        <w:t>р</w:t>
      </w:r>
      <w:r w:rsidR="000246CA">
        <w:rPr>
          <w:rFonts w:ascii="Times New Roman" w:hAnsi="Times New Roman"/>
          <w:color w:val="000000"/>
          <w:sz w:val="24"/>
          <w:szCs w:val="24"/>
          <w:shd w:val="clear" w:color="auto" w:fill="FFFFFF"/>
          <w:lang w:val="sr-Cyrl-CS"/>
        </w:rPr>
        <w:t>е</w:t>
      </w:r>
      <w:r>
        <w:rPr>
          <w:rFonts w:ascii="Times New Roman" w:hAnsi="Times New Roman"/>
          <w:color w:val="000000"/>
          <w:sz w:val="24"/>
          <w:szCs w:val="24"/>
          <w:shd w:val="clear" w:color="auto" w:fill="FFFFFF"/>
          <w:lang w:val="sr-Cyrl-CS"/>
        </w:rPr>
        <w:t>двиђеној обавези да пријави чињенице које су значајне за утврђивање висине овакве обавезе</w:t>
      </w:r>
      <w:r w:rsidR="000246CA">
        <w:rPr>
          <w:rFonts w:ascii="Times New Roman" w:hAnsi="Times New Roman"/>
          <w:color w:val="000000"/>
          <w:sz w:val="24"/>
          <w:szCs w:val="24"/>
          <w:shd w:val="clear" w:color="auto" w:fill="FFFFFF"/>
          <w:lang w:val="sr-Cyrl-CS"/>
        </w:rPr>
        <w:t xml:space="preserve"> поступа у формалном смислу</w:t>
      </w:r>
      <w:r>
        <w:rPr>
          <w:rFonts w:ascii="Times New Roman" w:hAnsi="Times New Roman"/>
          <w:color w:val="000000"/>
          <w:sz w:val="24"/>
          <w:szCs w:val="24"/>
          <w:shd w:val="clear" w:color="auto" w:fill="FFFFFF"/>
          <w:lang w:val="sr-Cyrl-CS"/>
        </w:rPr>
        <w:t>, али ову своју обавезу не испуњава и у материјалном смислу јер чињенице не приказује у правом, стварном, истинитом стању.</w:t>
      </w:r>
      <w:r>
        <w:rPr>
          <w:rStyle w:val="FootnoteReference"/>
          <w:rFonts w:ascii="Times New Roman" w:hAnsi="Times New Roman"/>
          <w:color w:val="000000"/>
          <w:sz w:val="24"/>
          <w:szCs w:val="24"/>
          <w:shd w:val="clear" w:color="auto" w:fill="FFFFFF"/>
          <w:lang w:val="sr-Cyrl-CS"/>
        </w:rPr>
        <w:footnoteReference w:id="806"/>
      </w:r>
    </w:p>
    <w:p w:rsidR="00990871" w:rsidRDefault="00990871" w:rsidP="004F3D57">
      <w:pPr>
        <w:pStyle w:val="normalitalic"/>
        <w:shd w:val="clear" w:color="auto" w:fill="FFFFFF"/>
        <w:spacing w:before="48" w:beforeAutospacing="0" w:after="48" w:afterAutospacing="0"/>
        <w:ind w:firstLine="708"/>
        <w:jc w:val="both"/>
        <w:rPr>
          <w:color w:val="000000"/>
          <w:lang w:val="sr-Cyrl-CS"/>
        </w:rPr>
      </w:pPr>
      <w:r>
        <w:rPr>
          <w:lang w:val="sr-Cyrl-CS"/>
        </w:rPr>
        <w:t>Када је орган управе у тренутку доношења решења о утврђивању пореске обавезе располагао веродостојним подацима који су указивали на лажност података на поднетој пореској пријави па и поред тога решење заснује на таквој пријави, неће постојати кривично дело пореске утаје.</w:t>
      </w:r>
      <w:r w:rsidRPr="00990871">
        <w:rPr>
          <w:color w:val="000000"/>
          <w:lang w:val="sr-Cyrl-CS"/>
        </w:rPr>
        <w:t xml:space="preserve"> </w:t>
      </w:r>
      <w:r>
        <w:rPr>
          <w:color w:val="000000"/>
          <w:lang w:val="sr-Cyrl-CS"/>
        </w:rPr>
        <w:t>Према томе, ако порески орган у моменту доношења решења располаже са веродостојним подацима нема кривичног дела.</w:t>
      </w:r>
      <w:r>
        <w:rPr>
          <w:rStyle w:val="FootnoteReference"/>
          <w:color w:val="000000"/>
          <w:lang w:val="sr-Cyrl-CS"/>
        </w:rPr>
        <w:footnoteReference w:id="807"/>
      </w:r>
    </w:p>
    <w:p w:rsidR="004F3D57" w:rsidRPr="004F3D57" w:rsidRDefault="004F3D57" w:rsidP="004F3D57">
      <w:pPr>
        <w:pStyle w:val="normalitalic"/>
        <w:shd w:val="clear" w:color="auto" w:fill="FFFFFF"/>
        <w:spacing w:before="48" w:beforeAutospacing="0" w:after="48" w:afterAutospacing="0"/>
        <w:ind w:firstLine="708"/>
        <w:jc w:val="both"/>
        <w:rPr>
          <w:color w:val="000000"/>
          <w:lang w:val="sr-Cyrl-CS"/>
        </w:rPr>
      </w:pPr>
    </w:p>
    <w:p w:rsidR="00037DF1" w:rsidRPr="00B5455E" w:rsidRDefault="00B5455E" w:rsidP="00B5455E">
      <w:pPr>
        <w:ind w:firstLine="708"/>
        <w:jc w:val="both"/>
        <w:rPr>
          <w:rFonts w:ascii="Times New Roman" w:hAnsi="Times New Roman"/>
          <w:sz w:val="24"/>
          <w:szCs w:val="24"/>
          <w:lang w:val="sr-Cyrl-CS"/>
        </w:rPr>
      </w:pPr>
      <w:r>
        <w:rPr>
          <w:rFonts w:ascii="Times New Roman" w:hAnsi="Times New Roman"/>
          <w:sz w:val="24"/>
          <w:szCs w:val="24"/>
          <w:lang w:val="sr-Cyrl-CS"/>
        </w:rPr>
        <w:t xml:space="preserve">Осим тога, </w:t>
      </w:r>
      <w:r>
        <w:rPr>
          <w:rFonts w:ascii="Times New Roman" w:hAnsi="Times New Roman"/>
          <w:color w:val="000000"/>
          <w:sz w:val="24"/>
          <w:szCs w:val="24"/>
          <w:shd w:val="clear" w:color="auto" w:fill="FFFFFF"/>
          <w:lang w:val="sr-Cyrl-CS"/>
        </w:rPr>
        <w:t>с</w:t>
      </w:r>
      <w:r w:rsidR="00526FD8" w:rsidRPr="00F66F26">
        <w:rPr>
          <w:rFonts w:ascii="Times New Roman" w:hAnsi="Times New Roman"/>
          <w:color w:val="000000"/>
          <w:sz w:val="24"/>
          <w:szCs w:val="24"/>
          <w:shd w:val="clear" w:color="auto" w:fill="FFFFFF"/>
          <w:lang w:val="sr-Cyrl-CS"/>
        </w:rPr>
        <w:t>вако изостављање података из пријаве не значи да су испуњени услови за ово кривично дело. Потребно је да изостављени подаци буду релевантни за утврђивање обавезе пореза. Обавеза пријављивања прихода, предмета или других чињеница које су од значаја за утврђивање пореских обавеза настаје када се у реалном животу деси догађај који се може подвести под законити опис пореског чињеничног стања. Обавеза пријављивања прихода односи се на законито стечене приходе, предмете или друге чињенице релевантне за утврђивање обавеза плаћања пореза и доприноса што је и разумљиво, јер се незаконито стечена имовина не може опорезивати и тако одобравати оно што подлеже одузимању или кажњавању.</w:t>
      </w:r>
      <w:r w:rsidR="006F5466">
        <w:rPr>
          <w:rStyle w:val="FootnoteReference"/>
          <w:rFonts w:ascii="Times New Roman" w:hAnsi="Times New Roman"/>
          <w:color w:val="000000"/>
          <w:sz w:val="24"/>
          <w:szCs w:val="24"/>
          <w:shd w:val="clear" w:color="auto" w:fill="FFFFFF"/>
          <w:lang w:val="sr-Cyrl-CS"/>
        </w:rPr>
        <w:footnoteReference w:id="808"/>
      </w:r>
      <w:r w:rsidR="00526FD8" w:rsidRPr="00F66F26">
        <w:rPr>
          <w:rFonts w:ascii="Times New Roman" w:hAnsi="Times New Roman"/>
          <w:color w:val="000000"/>
          <w:sz w:val="24"/>
          <w:szCs w:val="24"/>
          <w:shd w:val="clear" w:color="auto" w:fill="FFFFFF"/>
          <w:lang w:val="sr-Cyrl-CS"/>
        </w:rPr>
        <w:t xml:space="preserve"> Тако неће постојати ово кривично дело ако се не пријаве приходи стечени неком противправном активношћу-извршењем прекршаја, привредног преступа или кривичног дела.</w:t>
      </w:r>
      <w:r w:rsidR="00925D90" w:rsidRPr="00F66F26">
        <w:rPr>
          <w:rFonts w:ascii="Times New Roman" w:hAnsi="Times New Roman"/>
          <w:color w:val="000000"/>
          <w:sz w:val="24"/>
          <w:szCs w:val="24"/>
          <w:shd w:val="clear" w:color="auto" w:fill="FFFFFF"/>
        </w:rPr>
        <w:t xml:space="preserve"> </w:t>
      </w:r>
      <w:r w:rsidR="00F66F26" w:rsidRPr="00F66F26">
        <w:rPr>
          <w:rFonts w:ascii="Times New Roman" w:hAnsi="Times New Roman"/>
          <w:color w:val="000000"/>
          <w:sz w:val="24"/>
          <w:szCs w:val="24"/>
          <w:shd w:val="clear" w:color="auto" w:fill="FFFFFF"/>
          <w:lang w:val="sr-Cyrl-CS"/>
        </w:rPr>
        <w:t xml:space="preserve">Дело ће </w:t>
      </w:r>
      <w:r w:rsidR="00F66F26" w:rsidRPr="00F66F26">
        <w:rPr>
          <w:rFonts w:ascii="Times New Roman" w:hAnsi="Times New Roman"/>
          <w:color w:val="000000"/>
          <w:sz w:val="24"/>
          <w:szCs w:val="24"/>
          <w:shd w:val="clear" w:color="auto" w:fill="FFFFFF"/>
          <w:lang w:val="sr-Cyrl-CS"/>
        </w:rPr>
        <w:lastRenderedPageBreak/>
        <w:t>постојати и к</w:t>
      </w:r>
      <w:r w:rsidR="00925D90" w:rsidRPr="00F66F26">
        <w:rPr>
          <w:rFonts w:ascii="Times New Roman" w:hAnsi="Times New Roman"/>
          <w:color w:val="000000"/>
          <w:sz w:val="24"/>
          <w:szCs w:val="24"/>
          <w:shd w:val="clear" w:color="auto" w:fill="FFFFFF"/>
          <w:lang w:val="sr-Cyrl-CS"/>
        </w:rPr>
        <w:t>ада се ти подаци приказују мањим него ш</w:t>
      </w:r>
      <w:r w:rsidR="00925D90">
        <w:rPr>
          <w:rFonts w:ascii="Arial" w:hAnsi="Arial" w:cs="Arial"/>
          <w:color w:val="000000"/>
          <w:sz w:val="18"/>
          <w:szCs w:val="18"/>
          <w:shd w:val="clear" w:color="auto" w:fill="FFFFFF"/>
          <w:lang w:val="sr-Cyrl-CS"/>
        </w:rPr>
        <w:t xml:space="preserve">то </w:t>
      </w:r>
      <w:r w:rsidR="00925D90" w:rsidRPr="00037DF1">
        <w:rPr>
          <w:rFonts w:ascii="Times New Roman" w:hAnsi="Times New Roman"/>
          <w:color w:val="000000"/>
          <w:sz w:val="24"/>
          <w:szCs w:val="24"/>
          <w:shd w:val="clear" w:color="auto" w:fill="FFFFFF"/>
          <w:lang w:val="sr-Cyrl-CS"/>
        </w:rPr>
        <w:t>стварно јесу или приказују већим него што стварно јесу, како би се умањила пореска обавеза.</w:t>
      </w:r>
      <w:r w:rsidR="00953B2F" w:rsidRPr="00037DF1">
        <w:rPr>
          <w:rFonts w:ascii="Times New Roman" w:hAnsi="Times New Roman"/>
          <w:color w:val="000000"/>
          <w:sz w:val="24"/>
          <w:szCs w:val="24"/>
          <w:shd w:val="clear" w:color="auto" w:fill="FFFFFF"/>
          <w:lang w:val="sr-Cyrl-CS"/>
        </w:rPr>
        <w:t xml:space="preserve"> </w:t>
      </w:r>
    </w:p>
    <w:p w:rsidR="00173D7F" w:rsidRDefault="00173D7F" w:rsidP="00037DF1">
      <w:pPr>
        <w:ind w:firstLine="708"/>
        <w:jc w:val="both"/>
        <w:rPr>
          <w:rFonts w:ascii="Times New Roman" w:hAnsi="Times New Roman"/>
          <w:color w:val="000000"/>
          <w:sz w:val="24"/>
          <w:szCs w:val="24"/>
          <w:shd w:val="clear" w:color="auto" w:fill="FFFFFF"/>
          <w:lang w:val="sr-Cyrl-CS"/>
        </w:rPr>
      </w:pPr>
      <w:r>
        <w:rPr>
          <w:rFonts w:ascii="Times New Roman" w:hAnsi="Times New Roman"/>
          <w:color w:val="000000"/>
          <w:sz w:val="24"/>
          <w:szCs w:val="24"/>
          <w:shd w:val="clear" w:color="auto" w:fill="FFFFFF"/>
          <w:lang w:val="sr-Cyrl-CS"/>
        </w:rPr>
        <w:t xml:space="preserve">Давање лажних података, непријављивање, односно прикривање на други начин релевантних података и чињеница </w:t>
      </w:r>
      <w:r w:rsidR="000246CA">
        <w:rPr>
          <w:rFonts w:ascii="Times New Roman" w:hAnsi="Times New Roman"/>
          <w:color w:val="000000"/>
          <w:sz w:val="24"/>
          <w:szCs w:val="24"/>
          <w:shd w:val="clear" w:color="auto" w:fill="FFFFFF"/>
          <w:lang w:val="sr-Cyrl-CS"/>
        </w:rPr>
        <w:t xml:space="preserve">може се </w:t>
      </w:r>
      <w:r w:rsidR="00B97349">
        <w:rPr>
          <w:rFonts w:ascii="Times New Roman" w:hAnsi="Times New Roman"/>
          <w:color w:val="000000"/>
          <w:sz w:val="24"/>
          <w:szCs w:val="24"/>
          <w:shd w:val="clear" w:color="auto" w:fill="FFFFFF"/>
          <w:lang w:val="sr-Cyrl-CS"/>
        </w:rPr>
        <w:t xml:space="preserve">предузимати </w:t>
      </w:r>
      <w:r w:rsidR="000246CA">
        <w:rPr>
          <w:rFonts w:ascii="Times New Roman" w:hAnsi="Times New Roman"/>
          <w:color w:val="000000"/>
          <w:sz w:val="24"/>
          <w:szCs w:val="24"/>
          <w:shd w:val="clear" w:color="auto" w:fill="FFFFFF"/>
          <w:lang w:val="sr-Cyrl-CS"/>
        </w:rPr>
        <w:t xml:space="preserve">на различите начине у пореском поступку, али се то пре свега чини </w:t>
      </w:r>
      <w:r>
        <w:rPr>
          <w:rFonts w:ascii="Times New Roman" w:hAnsi="Times New Roman"/>
          <w:color w:val="000000"/>
          <w:sz w:val="24"/>
          <w:szCs w:val="24"/>
          <w:shd w:val="clear" w:color="auto" w:fill="FFFFFF"/>
          <w:lang w:val="sr-Cyrl-CS"/>
        </w:rPr>
        <w:t>у пореској пријави.</w:t>
      </w:r>
      <w:r>
        <w:rPr>
          <w:rStyle w:val="FootnoteReference"/>
          <w:rFonts w:ascii="Times New Roman" w:hAnsi="Times New Roman"/>
          <w:color w:val="000000"/>
          <w:sz w:val="24"/>
          <w:szCs w:val="24"/>
          <w:shd w:val="clear" w:color="auto" w:fill="FFFFFF"/>
          <w:lang w:val="sr-Cyrl-CS"/>
        </w:rPr>
        <w:footnoteReference w:id="809"/>
      </w:r>
    </w:p>
    <w:p w:rsidR="00037DF1" w:rsidRPr="00037DF1" w:rsidRDefault="00173D7F" w:rsidP="00037DF1">
      <w:pPr>
        <w:ind w:firstLine="708"/>
        <w:jc w:val="both"/>
        <w:rPr>
          <w:rFonts w:ascii="Arial" w:hAnsi="Arial" w:cs="Arial"/>
          <w:color w:val="000000"/>
          <w:sz w:val="18"/>
          <w:szCs w:val="18"/>
          <w:shd w:val="clear" w:color="auto" w:fill="FFFFFF"/>
          <w:lang w:val="sr-Cyrl-CS"/>
        </w:rPr>
      </w:pPr>
      <w:r>
        <w:rPr>
          <w:rFonts w:ascii="Times New Roman" w:hAnsi="Times New Roman"/>
          <w:color w:val="000000"/>
          <w:sz w:val="24"/>
          <w:szCs w:val="24"/>
          <w:shd w:val="clear" w:color="auto" w:fill="FFFFFF"/>
          <w:lang w:val="sr-Cyrl-CS"/>
        </w:rPr>
        <w:t>Дакле, н</w:t>
      </w:r>
      <w:r w:rsidR="00037DF1" w:rsidRPr="00037DF1">
        <w:rPr>
          <w:rFonts w:ascii="Times New Roman" w:hAnsi="Times New Roman"/>
          <w:color w:val="000000"/>
          <w:sz w:val="24"/>
          <w:szCs w:val="24"/>
          <w:shd w:val="clear" w:color="auto" w:fill="FFFFFF"/>
          <w:lang w:val="sr-Cyrl-CS"/>
        </w:rPr>
        <w:t xml:space="preserve">еутврђивање или утврђивање пореза у мањем износу може бити учињено на различите начине. Може се радити о прикривању чињеница или неправилном обрачунавању пореских обавеза, о лажном билансирању појединих позиција, о повреди прописа из којих проистиче обавеза плаћања пореза и других дажбина које представљају јавни приход и сл. </w:t>
      </w:r>
      <w:r w:rsidR="00E64D26">
        <w:rPr>
          <w:rFonts w:ascii="Times New Roman" w:hAnsi="Times New Roman"/>
          <w:color w:val="000000"/>
          <w:sz w:val="24"/>
          <w:szCs w:val="24"/>
          <w:shd w:val="clear" w:color="auto" w:fill="FFFFFF"/>
          <w:lang w:val="sr-Cyrl-CS"/>
        </w:rPr>
        <w:t xml:space="preserve">За постојање кривичног дела </w:t>
      </w:r>
      <w:r w:rsidR="00037DF1" w:rsidRPr="00037DF1">
        <w:rPr>
          <w:rFonts w:ascii="Times New Roman" w:hAnsi="Times New Roman"/>
          <w:color w:val="000000"/>
          <w:sz w:val="24"/>
          <w:szCs w:val="24"/>
          <w:shd w:val="clear" w:color="auto" w:fill="FFFFFF"/>
          <w:lang w:val="sr-Cyrl-CS"/>
        </w:rPr>
        <w:t>потребно је да код учиниоца постоји намера да се предузимањем радње извршења прибави противправна имовинска корист. Ук</w:t>
      </w:r>
      <w:r w:rsidR="00E64D26">
        <w:rPr>
          <w:rFonts w:ascii="Times New Roman" w:hAnsi="Times New Roman"/>
          <w:color w:val="000000"/>
          <w:sz w:val="24"/>
          <w:szCs w:val="24"/>
          <w:shd w:val="clear" w:color="auto" w:fill="FFFFFF"/>
          <w:lang w:val="sr-Cyrl-CS"/>
        </w:rPr>
        <w:t>олико таква намера</w:t>
      </w:r>
      <w:r w:rsidR="00037DF1" w:rsidRPr="00037DF1">
        <w:rPr>
          <w:rFonts w:ascii="Times New Roman" w:hAnsi="Times New Roman"/>
          <w:color w:val="000000"/>
          <w:sz w:val="24"/>
          <w:szCs w:val="24"/>
          <w:shd w:val="clear" w:color="auto" w:fill="FFFFFF"/>
          <w:lang w:val="sr-Cyrl-CS"/>
        </w:rPr>
        <w:t xml:space="preserve"> </w:t>
      </w:r>
      <w:r w:rsidR="00E64D26">
        <w:rPr>
          <w:rFonts w:ascii="Times New Roman" w:hAnsi="Times New Roman"/>
          <w:color w:val="000000"/>
          <w:sz w:val="24"/>
          <w:szCs w:val="24"/>
          <w:shd w:val="clear" w:color="auto" w:fill="FFFFFF"/>
          <w:lang w:val="sr-Cyrl-CS"/>
        </w:rPr>
        <w:t>не постоји</w:t>
      </w:r>
      <w:r w:rsidR="00037DF1" w:rsidRPr="00037DF1">
        <w:rPr>
          <w:rFonts w:ascii="Times New Roman" w:hAnsi="Times New Roman"/>
          <w:color w:val="000000"/>
          <w:sz w:val="24"/>
          <w:szCs w:val="24"/>
          <w:shd w:val="clear" w:color="auto" w:fill="FFFFFF"/>
          <w:lang w:val="sr-Cyrl-CS"/>
        </w:rPr>
        <w:t xml:space="preserve">, </w:t>
      </w:r>
      <w:r w:rsidR="00E64D26">
        <w:rPr>
          <w:rFonts w:ascii="Times New Roman" w:hAnsi="Times New Roman"/>
          <w:color w:val="000000"/>
          <w:sz w:val="24"/>
          <w:szCs w:val="24"/>
          <w:shd w:val="clear" w:color="auto" w:fill="FFFFFF"/>
          <w:lang w:val="sr-Cyrl-CS"/>
        </w:rPr>
        <w:t xml:space="preserve">ни </w:t>
      </w:r>
      <w:r w:rsidR="00037DF1" w:rsidRPr="00037DF1">
        <w:rPr>
          <w:rFonts w:ascii="Times New Roman" w:hAnsi="Times New Roman"/>
          <w:color w:val="000000"/>
          <w:sz w:val="24"/>
          <w:szCs w:val="24"/>
          <w:shd w:val="clear" w:color="auto" w:fill="FFFFFF"/>
          <w:lang w:val="sr-Cyrl-CS"/>
        </w:rPr>
        <w:t>то дело не</w:t>
      </w:r>
      <w:r w:rsidR="00E64D26">
        <w:rPr>
          <w:rFonts w:ascii="Times New Roman" w:hAnsi="Times New Roman"/>
          <w:color w:val="000000"/>
          <w:sz w:val="24"/>
          <w:szCs w:val="24"/>
          <w:shd w:val="clear" w:color="auto" w:fill="FFFFFF"/>
          <w:lang w:val="sr-Cyrl-CS"/>
        </w:rPr>
        <w:t>ће постојати</w:t>
      </w:r>
      <w:r w:rsidR="00037DF1" w:rsidRPr="00037DF1">
        <w:rPr>
          <w:rFonts w:ascii="Times New Roman" w:hAnsi="Times New Roman"/>
          <w:color w:val="000000"/>
          <w:sz w:val="24"/>
          <w:szCs w:val="24"/>
          <w:shd w:val="clear" w:color="auto" w:fill="FFFFFF"/>
          <w:lang w:val="sr-Cyrl-CS"/>
        </w:rPr>
        <w:t>, већ би евентуално могао постојати привредни преступ или прекршај.</w:t>
      </w:r>
      <w:r w:rsidR="00037DF1">
        <w:rPr>
          <w:rStyle w:val="FootnoteReference"/>
          <w:rFonts w:ascii="Arial" w:hAnsi="Arial" w:cs="Arial"/>
          <w:color w:val="000000"/>
          <w:sz w:val="18"/>
          <w:szCs w:val="18"/>
          <w:shd w:val="clear" w:color="auto" w:fill="FFFFFF"/>
          <w:lang w:val="sr-Cyrl-CS"/>
        </w:rPr>
        <w:footnoteReference w:id="810"/>
      </w:r>
    </w:p>
    <w:p w:rsidR="00925D90" w:rsidRPr="00037DF1" w:rsidRDefault="00037DF1" w:rsidP="00037DF1">
      <w:pPr>
        <w:ind w:firstLine="708"/>
        <w:jc w:val="both"/>
        <w:rPr>
          <w:rFonts w:ascii="Times New Roman" w:hAnsi="Times New Roman"/>
          <w:bCs/>
          <w:iCs/>
          <w:color w:val="000000"/>
          <w:sz w:val="24"/>
          <w:szCs w:val="24"/>
          <w:lang w:val="sr-Cyrl-CS"/>
        </w:rPr>
      </w:pPr>
      <w:r w:rsidRPr="00037DF1">
        <w:rPr>
          <w:rFonts w:ascii="Times New Roman" w:hAnsi="Times New Roman"/>
          <w:bCs/>
          <w:color w:val="000000"/>
          <w:sz w:val="24"/>
          <w:szCs w:val="24"/>
        </w:rPr>
        <w:t>За</w:t>
      </w:r>
      <w:r w:rsidR="00AC0D08" w:rsidRPr="00037DF1">
        <w:rPr>
          <w:rFonts w:ascii="Times New Roman" w:hAnsi="Times New Roman"/>
          <w:bCs/>
          <w:color w:val="000000"/>
          <w:sz w:val="24"/>
          <w:szCs w:val="24"/>
        </w:rPr>
        <w:t xml:space="preserve"> </w:t>
      </w:r>
      <w:r w:rsidRPr="00037DF1">
        <w:rPr>
          <w:rFonts w:ascii="Times New Roman" w:hAnsi="Times New Roman"/>
          <w:bCs/>
          <w:color w:val="000000"/>
          <w:sz w:val="24"/>
          <w:szCs w:val="24"/>
        </w:rPr>
        <w:t>давање</w:t>
      </w:r>
      <w:r w:rsidR="00AC0D08" w:rsidRPr="00037DF1">
        <w:rPr>
          <w:rFonts w:ascii="Times New Roman" w:hAnsi="Times New Roman"/>
          <w:bCs/>
          <w:color w:val="000000"/>
          <w:sz w:val="24"/>
          <w:szCs w:val="24"/>
        </w:rPr>
        <w:t xml:space="preserve"> </w:t>
      </w:r>
      <w:r w:rsidRPr="00037DF1">
        <w:rPr>
          <w:rFonts w:ascii="Times New Roman" w:hAnsi="Times New Roman"/>
          <w:bCs/>
          <w:color w:val="000000"/>
          <w:sz w:val="24"/>
          <w:szCs w:val="24"/>
        </w:rPr>
        <w:t>лажних</w:t>
      </w:r>
      <w:r w:rsidR="00AC0D08" w:rsidRPr="00037DF1">
        <w:rPr>
          <w:rFonts w:ascii="Times New Roman" w:hAnsi="Times New Roman"/>
          <w:bCs/>
          <w:color w:val="000000"/>
          <w:sz w:val="24"/>
          <w:szCs w:val="24"/>
        </w:rPr>
        <w:t xml:space="preserve"> </w:t>
      </w:r>
      <w:r w:rsidRPr="00037DF1">
        <w:rPr>
          <w:rFonts w:ascii="Times New Roman" w:hAnsi="Times New Roman"/>
          <w:bCs/>
          <w:color w:val="000000"/>
          <w:sz w:val="24"/>
          <w:szCs w:val="24"/>
        </w:rPr>
        <w:t>података</w:t>
      </w:r>
      <w:r w:rsidR="00AC0D08" w:rsidRPr="00037DF1">
        <w:rPr>
          <w:rFonts w:ascii="Times New Roman" w:hAnsi="Times New Roman"/>
          <w:bCs/>
          <w:color w:val="000000"/>
          <w:sz w:val="24"/>
          <w:szCs w:val="24"/>
        </w:rPr>
        <w:t xml:space="preserve"> </w:t>
      </w:r>
      <w:r w:rsidRPr="00037DF1">
        <w:rPr>
          <w:rFonts w:ascii="Times New Roman" w:hAnsi="Times New Roman"/>
          <w:bCs/>
          <w:color w:val="000000"/>
          <w:sz w:val="24"/>
          <w:szCs w:val="24"/>
          <w:lang w:val="sr-Cyrl-CS"/>
        </w:rPr>
        <w:t>небитно</w:t>
      </w:r>
      <w:r w:rsidR="00AC0D08" w:rsidRPr="00037DF1">
        <w:rPr>
          <w:rFonts w:ascii="Times New Roman" w:hAnsi="Times New Roman"/>
          <w:bCs/>
          <w:color w:val="000000"/>
          <w:sz w:val="24"/>
          <w:szCs w:val="24"/>
        </w:rPr>
        <w:t xml:space="preserve"> </w:t>
      </w:r>
      <w:r w:rsidRPr="00037DF1">
        <w:rPr>
          <w:rFonts w:ascii="Times New Roman" w:hAnsi="Times New Roman"/>
          <w:bCs/>
          <w:color w:val="000000"/>
          <w:sz w:val="24"/>
          <w:szCs w:val="24"/>
        </w:rPr>
        <w:t>је</w:t>
      </w:r>
      <w:r w:rsidR="00AC0D08" w:rsidRPr="00037DF1">
        <w:rPr>
          <w:rFonts w:ascii="Times New Roman" w:hAnsi="Times New Roman"/>
          <w:bCs/>
          <w:color w:val="000000"/>
          <w:sz w:val="24"/>
          <w:szCs w:val="24"/>
        </w:rPr>
        <w:t xml:space="preserve"> </w:t>
      </w:r>
      <w:r w:rsidRPr="00037DF1">
        <w:rPr>
          <w:rFonts w:ascii="Times New Roman" w:hAnsi="Times New Roman"/>
          <w:bCs/>
          <w:color w:val="000000"/>
          <w:sz w:val="24"/>
          <w:szCs w:val="24"/>
        </w:rPr>
        <w:t>на</w:t>
      </w:r>
      <w:r w:rsidR="00AC0D08" w:rsidRPr="00037DF1">
        <w:rPr>
          <w:rFonts w:ascii="Times New Roman" w:hAnsi="Times New Roman"/>
          <w:bCs/>
          <w:color w:val="000000"/>
          <w:sz w:val="24"/>
          <w:szCs w:val="24"/>
        </w:rPr>
        <w:t xml:space="preserve"> </w:t>
      </w:r>
      <w:r w:rsidRPr="00037DF1">
        <w:rPr>
          <w:rFonts w:ascii="Times New Roman" w:hAnsi="Times New Roman"/>
          <w:bCs/>
          <w:color w:val="000000"/>
          <w:sz w:val="24"/>
          <w:szCs w:val="24"/>
        </w:rPr>
        <w:t>који</w:t>
      </w:r>
      <w:r w:rsidR="00AC0D08" w:rsidRPr="00037DF1">
        <w:rPr>
          <w:rFonts w:ascii="Times New Roman" w:hAnsi="Times New Roman"/>
          <w:bCs/>
          <w:color w:val="000000"/>
          <w:sz w:val="24"/>
          <w:szCs w:val="24"/>
        </w:rPr>
        <w:t xml:space="preserve"> </w:t>
      </w:r>
      <w:r w:rsidRPr="00037DF1">
        <w:rPr>
          <w:rFonts w:ascii="Times New Roman" w:hAnsi="Times New Roman"/>
          <w:bCs/>
          <w:color w:val="000000"/>
          <w:sz w:val="24"/>
          <w:szCs w:val="24"/>
        </w:rPr>
        <w:t>начин</w:t>
      </w:r>
      <w:r w:rsidR="00AC0D08" w:rsidRPr="00037DF1">
        <w:rPr>
          <w:rFonts w:ascii="Times New Roman" w:hAnsi="Times New Roman"/>
          <w:bCs/>
          <w:color w:val="000000"/>
          <w:sz w:val="24"/>
          <w:szCs w:val="24"/>
        </w:rPr>
        <w:t xml:space="preserve"> </w:t>
      </w:r>
      <w:r w:rsidRPr="00037DF1">
        <w:rPr>
          <w:rFonts w:ascii="Times New Roman" w:hAnsi="Times New Roman"/>
          <w:bCs/>
          <w:color w:val="000000"/>
          <w:sz w:val="24"/>
          <w:szCs w:val="24"/>
        </w:rPr>
        <w:t>се</w:t>
      </w:r>
      <w:r w:rsidR="00AC0D08" w:rsidRPr="00037DF1">
        <w:rPr>
          <w:rFonts w:ascii="Times New Roman" w:hAnsi="Times New Roman"/>
          <w:bCs/>
          <w:color w:val="000000"/>
          <w:sz w:val="24"/>
          <w:szCs w:val="24"/>
        </w:rPr>
        <w:t xml:space="preserve"> </w:t>
      </w:r>
      <w:r w:rsidRPr="00037DF1">
        <w:rPr>
          <w:rFonts w:ascii="Times New Roman" w:hAnsi="Times New Roman"/>
          <w:bCs/>
          <w:color w:val="000000"/>
          <w:sz w:val="24"/>
          <w:szCs w:val="24"/>
        </w:rPr>
        <w:t>то</w:t>
      </w:r>
      <w:r w:rsidR="00AC0D08" w:rsidRPr="00037DF1">
        <w:rPr>
          <w:rFonts w:ascii="Times New Roman" w:hAnsi="Times New Roman"/>
          <w:bCs/>
          <w:color w:val="000000"/>
          <w:sz w:val="24"/>
          <w:szCs w:val="24"/>
        </w:rPr>
        <w:t xml:space="preserve"> </w:t>
      </w:r>
      <w:r w:rsidRPr="00037DF1">
        <w:rPr>
          <w:rFonts w:ascii="Times New Roman" w:hAnsi="Times New Roman"/>
          <w:bCs/>
          <w:color w:val="000000"/>
          <w:sz w:val="24"/>
          <w:szCs w:val="24"/>
        </w:rPr>
        <w:t>чини</w:t>
      </w:r>
      <w:r w:rsidR="00AC0D08" w:rsidRPr="00037DF1">
        <w:rPr>
          <w:rFonts w:ascii="Times New Roman" w:hAnsi="Times New Roman"/>
          <w:bCs/>
          <w:color w:val="000000"/>
          <w:sz w:val="24"/>
          <w:szCs w:val="24"/>
        </w:rPr>
        <w:t xml:space="preserve"> </w:t>
      </w:r>
      <w:r w:rsidRPr="00037DF1">
        <w:rPr>
          <w:rFonts w:ascii="Times New Roman" w:hAnsi="Times New Roman"/>
          <w:bCs/>
          <w:color w:val="000000"/>
          <w:sz w:val="24"/>
          <w:szCs w:val="24"/>
        </w:rPr>
        <w:t>и</w:t>
      </w:r>
      <w:r w:rsidR="00AC0D08" w:rsidRPr="00037DF1">
        <w:rPr>
          <w:rFonts w:ascii="Times New Roman" w:hAnsi="Times New Roman"/>
          <w:bCs/>
          <w:color w:val="000000"/>
          <w:sz w:val="24"/>
          <w:szCs w:val="24"/>
        </w:rPr>
        <w:t xml:space="preserve"> </w:t>
      </w:r>
      <w:r w:rsidRPr="00037DF1">
        <w:rPr>
          <w:rFonts w:ascii="Times New Roman" w:hAnsi="Times New Roman"/>
          <w:bCs/>
          <w:color w:val="000000"/>
          <w:sz w:val="24"/>
          <w:szCs w:val="24"/>
        </w:rPr>
        <w:t>у</w:t>
      </w:r>
      <w:r w:rsidR="00AC0D08" w:rsidRPr="00037DF1">
        <w:rPr>
          <w:rFonts w:ascii="Times New Roman" w:hAnsi="Times New Roman"/>
          <w:bCs/>
          <w:color w:val="000000"/>
          <w:sz w:val="24"/>
          <w:szCs w:val="24"/>
        </w:rPr>
        <w:t xml:space="preserve"> </w:t>
      </w:r>
      <w:r w:rsidRPr="00037DF1">
        <w:rPr>
          <w:rFonts w:ascii="Times New Roman" w:hAnsi="Times New Roman"/>
          <w:bCs/>
          <w:color w:val="000000"/>
          <w:sz w:val="24"/>
          <w:szCs w:val="24"/>
        </w:rPr>
        <w:t>ком</w:t>
      </w:r>
      <w:r w:rsidR="00AC0D08" w:rsidRPr="00037DF1">
        <w:rPr>
          <w:rFonts w:ascii="Times New Roman" w:hAnsi="Times New Roman"/>
          <w:bCs/>
          <w:color w:val="000000"/>
          <w:sz w:val="24"/>
          <w:szCs w:val="24"/>
        </w:rPr>
        <w:t xml:space="preserve"> </w:t>
      </w:r>
      <w:r w:rsidRPr="00037DF1">
        <w:rPr>
          <w:rFonts w:ascii="Times New Roman" w:hAnsi="Times New Roman"/>
          <w:bCs/>
          <w:color w:val="000000"/>
          <w:sz w:val="24"/>
          <w:szCs w:val="24"/>
        </w:rPr>
        <w:t>облику</w:t>
      </w:r>
      <w:r w:rsidR="00AC0D08" w:rsidRPr="00037DF1">
        <w:rPr>
          <w:rFonts w:ascii="Times New Roman" w:hAnsi="Times New Roman"/>
          <w:bCs/>
          <w:color w:val="000000"/>
          <w:sz w:val="24"/>
          <w:szCs w:val="24"/>
        </w:rPr>
        <w:t xml:space="preserve"> </w:t>
      </w:r>
      <w:r w:rsidRPr="00037DF1">
        <w:rPr>
          <w:rFonts w:ascii="Times New Roman" w:hAnsi="Times New Roman"/>
          <w:bCs/>
          <w:color w:val="000000"/>
          <w:sz w:val="24"/>
          <w:szCs w:val="24"/>
        </w:rPr>
        <w:t>се</w:t>
      </w:r>
      <w:r w:rsidR="00AC0D08" w:rsidRPr="00037DF1">
        <w:rPr>
          <w:rFonts w:ascii="Times New Roman" w:hAnsi="Times New Roman"/>
          <w:bCs/>
          <w:color w:val="000000"/>
          <w:sz w:val="24"/>
          <w:szCs w:val="24"/>
        </w:rPr>
        <w:t xml:space="preserve"> </w:t>
      </w:r>
      <w:r w:rsidRPr="00037DF1">
        <w:rPr>
          <w:rFonts w:ascii="Times New Roman" w:hAnsi="Times New Roman"/>
          <w:bCs/>
          <w:color w:val="000000"/>
          <w:sz w:val="24"/>
          <w:szCs w:val="24"/>
        </w:rPr>
        <w:t>пореска</w:t>
      </w:r>
      <w:r w:rsidR="00AC0D08" w:rsidRPr="00037DF1">
        <w:rPr>
          <w:rFonts w:ascii="Times New Roman" w:hAnsi="Times New Roman"/>
          <w:bCs/>
          <w:color w:val="000000"/>
          <w:sz w:val="24"/>
          <w:szCs w:val="24"/>
        </w:rPr>
        <w:t xml:space="preserve"> </w:t>
      </w:r>
      <w:r w:rsidRPr="00037DF1">
        <w:rPr>
          <w:rFonts w:ascii="Times New Roman" w:hAnsi="Times New Roman"/>
          <w:bCs/>
          <w:color w:val="000000"/>
          <w:sz w:val="24"/>
          <w:szCs w:val="24"/>
        </w:rPr>
        <w:t>пријава</w:t>
      </w:r>
      <w:r w:rsidR="00AC0D08" w:rsidRPr="00037DF1">
        <w:rPr>
          <w:rFonts w:ascii="Times New Roman" w:hAnsi="Times New Roman"/>
          <w:bCs/>
          <w:color w:val="000000"/>
          <w:sz w:val="24"/>
          <w:szCs w:val="24"/>
        </w:rPr>
        <w:t xml:space="preserve"> </w:t>
      </w:r>
      <w:r w:rsidRPr="00037DF1">
        <w:rPr>
          <w:rFonts w:ascii="Times New Roman" w:hAnsi="Times New Roman"/>
          <w:bCs/>
          <w:color w:val="000000"/>
          <w:sz w:val="24"/>
          <w:szCs w:val="24"/>
        </w:rPr>
        <w:t>подноси</w:t>
      </w:r>
      <w:r w:rsidR="00AC0D08" w:rsidRPr="00037DF1">
        <w:rPr>
          <w:rFonts w:ascii="Times New Roman" w:hAnsi="Times New Roman"/>
          <w:bCs/>
          <w:color w:val="000000"/>
          <w:sz w:val="24"/>
          <w:szCs w:val="24"/>
        </w:rPr>
        <w:t xml:space="preserve">, </w:t>
      </w:r>
      <w:r w:rsidRPr="00037DF1">
        <w:rPr>
          <w:rFonts w:ascii="Times New Roman" w:hAnsi="Times New Roman"/>
          <w:bCs/>
          <w:color w:val="000000"/>
          <w:sz w:val="24"/>
          <w:szCs w:val="24"/>
        </w:rPr>
        <w:t>односно</w:t>
      </w:r>
      <w:r w:rsidR="00AC0D08" w:rsidRPr="00037DF1">
        <w:rPr>
          <w:rFonts w:ascii="Times New Roman" w:hAnsi="Times New Roman"/>
          <w:bCs/>
          <w:color w:val="000000"/>
          <w:sz w:val="24"/>
          <w:szCs w:val="24"/>
        </w:rPr>
        <w:t xml:space="preserve"> </w:t>
      </w:r>
      <w:r w:rsidRPr="00037DF1">
        <w:rPr>
          <w:rFonts w:ascii="Times New Roman" w:hAnsi="Times New Roman"/>
          <w:bCs/>
          <w:color w:val="000000"/>
          <w:sz w:val="24"/>
          <w:szCs w:val="24"/>
        </w:rPr>
        <w:t>да</w:t>
      </w:r>
      <w:r w:rsidR="00AC0D08" w:rsidRPr="00037DF1">
        <w:rPr>
          <w:rFonts w:ascii="Times New Roman" w:hAnsi="Times New Roman"/>
          <w:bCs/>
          <w:color w:val="000000"/>
          <w:sz w:val="24"/>
          <w:szCs w:val="24"/>
        </w:rPr>
        <w:t xml:space="preserve"> </w:t>
      </w:r>
      <w:r w:rsidRPr="00037DF1">
        <w:rPr>
          <w:rFonts w:ascii="Times New Roman" w:hAnsi="Times New Roman"/>
          <w:bCs/>
          <w:color w:val="000000"/>
          <w:sz w:val="24"/>
          <w:szCs w:val="24"/>
        </w:rPr>
        <w:t>ли</w:t>
      </w:r>
      <w:r w:rsidR="00AC0D08" w:rsidRPr="00037DF1">
        <w:rPr>
          <w:rFonts w:ascii="Times New Roman" w:hAnsi="Times New Roman"/>
          <w:bCs/>
          <w:color w:val="000000"/>
          <w:sz w:val="24"/>
          <w:szCs w:val="24"/>
        </w:rPr>
        <w:t xml:space="preserve"> </w:t>
      </w:r>
      <w:r w:rsidRPr="00037DF1">
        <w:rPr>
          <w:rFonts w:ascii="Times New Roman" w:hAnsi="Times New Roman"/>
          <w:bCs/>
          <w:color w:val="000000"/>
          <w:sz w:val="24"/>
          <w:szCs w:val="24"/>
        </w:rPr>
        <w:t>је</w:t>
      </w:r>
      <w:r w:rsidR="00AC0D08" w:rsidRPr="00037DF1">
        <w:rPr>
          <w:rFonts w:ascii="Times New Roman" w:hAnsi="Times New Roman"/>
          <w:bCs/>
          <w:color w:val="000000"/>
          <w:sz w:val="24"/>
          <w:szCs w:val="24"/>
        </w:rPr>
        <w:t xml:space="preserve"> </w:t>
      </w:r>
      <w:r w:rsidRPr="00037DF1">
        <w:rPr>
          <w:rFonts w:ascii="Times New Roman" w:hAnsi="Times New Roman"/>
          <w:bCs/>
          <w:color w:val="000000"/>
          <w:sz w:val="24"/>
          <w:szCs w:val="24"/>
        </w:rPr>
        <w:t>она</w:t>
      </w:r>
      <w:r w:rsidR="00AC0D08" w:rsidRPr="00037DF1">
        <w:rPr>
          <w:rFonts w:ascii="Times New Roman" w:hAnsi="Times New Roman"/>
          <w:bCs/>
          <w:color w:val="000000"/>
          <w:sz w:val="24"/>
          <w:szCs w:val="24"/>
        </w:rPr>
        <w:t xml:space="preserve"> </w:t>
      </w:r>
      <w:r w:rsidRPr="00037DF1">
        <w:rPr>
          <w:rFonts w:ascii="Times New Roman" w:hAnsi="Times New Roman"/>
          <w:bCs/>
          <w:color w:val="000000"/>
          <w:sz w:val="24"/>
          <w:szCs w:val="24"/>
        </w:rPr>
        <w:t>поднета</w:t>
      </w:r>
      <w:r w:rsidR="00AC0D08" w:rsidRPr="00037DF1">
        <w:rPr>
          <w:rFonts w:ascii="Times New Roman" w:hAnsi="Times New Roman"/>
          <w:bCs/>
          <w:color w:val="000000"/>
          <w:sz w:val="24"/>
          <w:szCs w:val="24"/>
        </w:rPr>
        <w:t xml:space="preserve"> </w:t>
      </w:r>
      <w:r w:rsidRPr="00037DF1">
        <w:rPr>
          <w:rFonts w:ascii="Times New Roman" w:hAnsi="Times New Roman"/>
          <w:bCs/>
          <w:color w:val="000000"/>
          <w:sz w:val="24"/>
          <w:szCs w:val="24"/>
        </w:rPr>
        <w:t>усмено</w:t>
      </w:r>
      <w:r w:rsidR="00AC0D08" w:rsidRPr="00037DF1">
        <w:rPr>
          <w:rFonts w:ascii="Times New Roman" w:hAnsi="Times New Roman"/>
          <w:bCs/>
          <w:color w:val="000000"/>
          <w:sz w:val="24"/>
          <w:szCs w:val="24"/>
        </w:rPr>
        <w:t xml:space="preserve"> </w:t>
      </w:r>
      <w:r w:rsidRPr="00037DF1">
        <w:rPr>
          <w:rFonts w:ascii="Times New Roman" w:hAnsi="Times New Roman"/>
          <w:bCs/>
          <w:color w:val="000000"/>
          <w:sz w:val="24"/>
          <w:szCs w:val="24"/>
        </w:rPr>
        <w:t>или</w:t>
      </w:r>
      <w:r w:rsidR="00AC0D08" w:rsidRPr="00037DF1">
        <w:rPr>
          <w:rFonts w:ascii="Times New Roman" w:hAnsi="Times New Roman"/>
          <w:bCs/>
          <w:color w:val="000000"/>
          <w:sz w:val="24"/>
          <w:szCs w:val="24"/>
        </w:rPr>
        <w:t xml:space="preserve"> </w:t>
      </w:r>
      <w:r w:rsidRPr="00037DF1">
        <w:rPr>
          <w:rFonts w:ascii="Times New Roman" w:hAnsi="Times New Roman"/>
          <w:bCs/>
          <w:color w:val="000000"/>
          <w:sz w:val="24"/>
          <w:szCs w:val="24"/>
        </w:rPr>
        <w:t>писмено</w:t>
      </w:r>
      <w:r w:rsidR="00AC0D08" w:rsidRPr="00037DF1">
        <w:rPr>
          <w:rFonts w:ascii="Times New Roman" w:hAnsi="Times New Roman"/>
          <w:bCs/>
          <w:color w:val="000000"/>
          <w:sz w:val="24"/>
          <w:szCs w:val="24"/>
        </w:rPr>
        <w:t>.</w:t>
      </w:r>
      <w:r w:rsidRPr="00037DF1">
        <w:rPr>
          <w:rFonts w:ascii="Times New Roman" w:hAnsi="Times New Roman"/>
          <w:b/>
          <w:bCs/>
          <w:color w:val="000000"/>
          <w:sz w:val="24"/>
          <w:szCs w:val="24"/>
          <w:lang w:val="sr-Cyrl-CS"/>
        </w:rPr>
        <w:t xml:space="preserve"> </w:t>
      </w:r>
      <w:r w:rsidRPr="00037DF1">
        <w:rPr>
          <w:rFonts w:ascii="Times New Roman" w:hAnsi="Times New Roman"/>
          <w:color w:val="000000"/>
          <w:sz w:val="24"/>
          <w:szCs w:val="24"/>
        </w:rPr>
        <w:t>Кривично</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дело</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постоји</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ако</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су</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дати</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лажни</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подаци</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о</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порезу</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доприносу</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или</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другим</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дажбинама</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и</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на</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захтев</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надлежног</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органа</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или на иницијативу самог обвезника</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пореза</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доприноса</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или</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других</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дажбина</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или</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су</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они</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дати</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накнадно</w:t>
      </w:r>
      <w:r w:rsidR="00AC0D08" w:rsidRPr="00037DF1">
        <w:rPr>
          <w:rFonts w:ascii="Times New Roman" w:hAnsi="Times New Roman"/>
          <w:color w:val="000000"/>
          <w:sz w:val="24"/>
          <w:szCs w:val="24"/>
        </w:rPr>
        <w:t>.</w:t>
      </w:r>
      <w:r w:rsidRPr="00037DF1">
        <w:rPr>
          <w:rFonts w:ascii="Times New Roman" w:hAnsi="Times New Roman"/>
          <w:color w:val="000000"/>
          <w:sz w:val="24"/>
          <w:szCs w:val="24"/>
          <w:lang w:val="sr-Cyrl-CS"/>
        </w:rPr>
        <w:t xml:space="preserve"> </w:t>
      </w:r>
      <w:r w:rsidRPr="00037DF1">
        <w:rPr>
          <w:rFonts w:ascii="Times New Roman" w:hAnsi="Times New Roman"/>
          <w:bCs/>
          <w:color w:val="000000"/>
          <w:sz w:val="24"/>
          <w:szCs w:val="24"/>
        </w:rPr>
        <w:t>Давање</w:t>
      </w:r>
      <w:r w:rsidR="00AC0D08" w:rsidRPr="00037DF1">
        <w:rPr>
          <w:rFonts w:ascii="Times New Roman" w:hAnsi="Times New Roman"/>
          <w:bCs/>
          <w:color w:val="000000"/>
          <w:sz w:val="24"/>
          <w:szCs w:val="24"/>
        </w:rPr>
        <w:t xml:space="preserve"> </w:t>
      </w:r>
      <w:r w:rsidRPr="00037DF1">
        <w:rPr>
          <w:rFonts w:ascii="Times New Roman" w:hAnsi="Times New Roman"/>
          <w:bCs/>
          <w:color w:val="000000"/>
          <w:sz w:val="24"/>
          <w:szCs w:val="24"/>
        </w:rPr>
        <w:t>лажних</w:t>
      </w:r>
      <w:r w:rsidR="00AC0D08" w:rsidRPr="00037DF1">
        <w:rPr>
          <w:rFonts w:ascii="Times New Roman" w:hAnsi="Times New Roman"/>
          <w:bCs/>
          <w:color w:val="000000"/>
          <w:sz w:val="24"/>
          <w:szCs w:val="24"/>
        </w:rPr>
        <w:t xml:space="preserve"> </w:t>
      </w:r>
      <w:r w:rsidRPr="00037DF1">
        <w:rPr>
          <w:rFonts w:ascii="Times New Roman" w:hAnsi="Times New Roman"/>
          <w:bCs/>
          <w:color w:val="000000"/>
          <w:sz w:val="24"/>
          <w:szCs w:val="24"/>
        </w:rPr>
        <w:t>података</w:t>
      </w:r>
      <w:r w:rsidR="00AC0D08" w:rsidRPr="00037DF1">
        <w:rPr>
          <w:rFonts w:ascii="Times New Roman" w:hAnsi="Times New Roman"/>
          <w:bCs/>
          <w:color w:val="000000"/>
          <w:sz w:val="24"/>
          <w:szCs w:val="24"/>
        </w:rPr>
        <w:t xml:space="preserve"> </w:t>
      </w:r>
      <w:r w:rsidRPr="00037DF1">
        <w:rPr>
          <w:rFonts w:ascii="Times New Roman" w:hAnsi="Times New Roman"/>
          <w:bCs/>
          <w:color w:val="000000"/>
          <w:sz w:val="24"/>
          <w:szCs w:val="24"/>
        </w:rPr>
        <w:t>чини</w:t>
      </w:r>
      <w:r w:rsidR="00AC0D08" w:rsidRPr="00037DF1">
        <w:rPr>
          <w:rFonts w:ascii="Times New Roman" w:hAnsi="Times New Roman"/>
          <w:bCs/>
          <w:color w:val="000000"/>
          <w:sz w:val="24"/>
          <w:szCs w:val="24"/>
        </w:rPr>
        <w:t xml:space="preserve"> </w:t>
      </w:r>
      <w:r w:rsidRPr="00037DF1">
        <w:rPr>
          <w:rFonts w:ascii="Times New Roman" w:hAnsi="Times New Roman"/>
          <w:bCs/>
          <w:color w:val="000000"/>
          <w:sz w:val="24"/>
          <w:szCs w:val="24"/>
        </w:rPr>
        <w:t>се</w:t>
      </w:r>
      <w:r w:rsidR="00AC0D08" w:rsidRPr="00037DF1">
        <w:rPr>
          <w:rFonts w:ascii="Times New Roman" w:hAnsi="Times New Roman"/>
          <w:bCs/>
          <w:color w:val="000000"/>
          <w:sz w:val="24"/>
          <w:szCs w:val="24"/>
        </w:rPr>
        <w:t xml:space="preserve"> </w:t>
      </w:r>
      <w:r w:rsidRPr="00037DF1">
        <w:rPr>
          <w:rFonts w:ascii="Times New Roman" w:hAnsi="Times New Roman"/>
          <w:bCs/>
          <w:color w:val="000000"/>
          <w:sz w:val="24"/>
          <w:szCs w:val="24"/>
        </w:rPr>
        <w:t>пре</w:t>
      </w:r>
      <w:r w:rsidR="00AC0D08" w:rsidRPr="00037DF1">
        <w:rPr>
          <w:rFonts w:ascii="Times New Roman" w:hAnsi="Times New Roman"/>
          <w:bCs/>
          <w:color w:val="000000"/>
          <w:sz w:val="24"/>
          <w:szCs w:val="24"/>
        </w:rPr>
        <w:t xml:space="preserve"> </w:t>
      </w:r>
      <w:r w:rsidRPr="00037DF1">
        <w:rPr>
          <w:rFonts w:ascii="Times New Roman" w:hAnsi="Times New Roman"/>
          <w:bCs/>
          <w:color w:val="000000"/>
          <w:sz w:val="24"/>
          <w:szCs w:val="24"/>
        </w:rPr>
        <w:t>свега</w:t>
      </w:r>
      <w:r w:rsidR="00AC0D08" w:rsidRPr="00037DF1">
        <w:rPr>
          <w:rFonts w:ascii="Times New Roman" w:hAnsi="Times New Roman"/>
          <w:bCs/>
          <w:color w:val="000000"/>
          <w:sz w:val="24"/>
          <w:szCs w:val="24"/>
        </w:rPr>
        <w:t xml:space="preserve"> </w:t>
      </w:r>
      <w:r w:rsidRPr="00037DF1">
        <w:rPr>
          <w:rFonts w:ascii="Times New Roman" w:hAnsi="Times New Roman"/>
          <w:bCs/>
          <w:color w:val="000000"/>
          <w:sz w:val="24"/>
          <w:szCs w:val="24"/>
        </w:rPr>
        <w:t>у</w:t>
      </w:r>
      <w:r w:rsidR="00AC0D08" w:rsidRPr="00037DF1">
        <w:rPr>
          <w:rFonts w:ascii="Times New Roman" w:hAnsi="Times New Roman"/>
          <w:bCs/>
          <w:color w:val="000000"/>
          <w:sz w:val="24"/>
          <w:szCs w:val="24"/>
        </w:rPr>
        <w:t xml:space="preserve"> </w:t>
      </w:r>
      <w:r w:rsidRPr="00037DF1">
        <w:rPr>
          <w:rFonts w:ascii="Times New Roman" w:hAnsi="Times New Roman"/>
          <w:bCs/>
          <w:color w:val="000000"/>
          <w:sz w:val="24"/>
          <w:szCs w:val="24"/>
        </w:rPr>
        <w:t>пореској</w:t>
      </w:r>
      <w:r w:rsidR="00AC0D08" w:rsidRPr="00037DF1">
        <w:rPr>
          <w:rFonts w:ascii="Times New Roman" w:hAnsi="Times New Roman"/>
          <w:bCs/>
          <w:color w:val="000000"/>
          <w:sz w:val="24"/>
          <w:szCs w:val="24"/>
        </w:rPr>
        <w:t xml:space="preserve"> </w:t>
      </w:r>
      <w:r w:rsidRPr="00037DF1">
        <w:rPr>
          <w:rFonts w:ascii="Times New Roman" w:hAnsi="Times New Roman"/>
          <w:bCs/>
          <w:color w:val="000000"/>
          <w:sz w:val="24"/>
          <w:szCs w:val="24"/>
        </w:rPr>
        <w:t>пријави</w:t>
      </w:r>
      <w:r w:rsidR="00AC0D08" w:rsidRPr="00037DF1">
        <w:rPr>
          <w:rFonts w:ascii="Times New Roman" w:hAnsi="Times New Roman"/>
          <w:bCs/>
          <w:color w:val="000000"/>
          <w:sz w:val="24"/>
          <w:szCs w:val="24"/>
        </w:rPr>
        <w:t xml:space="preserve">, </w:t>
      </w:r>
      <w:r w:rsidRPr="00037DF1">
        <w:rPr>
          <w:rFonts w:ascii="Times New Roman" w:hAnsi="Times New Roman"/>
          <w:bCs/>
          <w:color w:val="000000"/>
          <w:sz w:val="24"/>
          <w:szCs w:val="24"/>
        </w:rPr>
        <w:t>али</w:t>
      </w:r>
      <w:r w:rsidR="00AC0D08" w:rsidRPr="00037DF1">
        <w:rPr>
          <w:rFonts w:ascii="Times New Roman" w:hAnsi="Times New Roman"/>
          <w:bCs/>
          <w:color w:val="000000"/>
          <w:sz w:val="24"/>
          <w:szCs w:val="24"/>
        </w:rPr>
        <w:t xml:space="preserve"> </w:t>
      </w:r>
      <w:r w:rsidRPr="00037DF1">
        <w:rPr>
          <w:rFonts w:ascii="Times New Roman" w:hAnsi="Times New Roman"/>
          <w:bCs/>
          <w:color w:val="000000"/>
          <w:sz w:val="24"/>
          <w:szCs w:val="24"/>
        </w:rPr>
        <w:t>и</w:t>
      </w:r>
      <w:r w:rsidR="00AC0D08" w:rsidRPr="00037DF1">
        <w:rPr>
          <w:rFonts w:ascii="Times New Roman" w:hAnsi="Times New Roman"/>
          <w:bCs/>
          <w:color w:val="000000"/>
          <w:sz w:val="24"/>
          <w:szCs w:val="24"/>
        </w:rPr>
        <w:t xml:space="preserve"> </w:t>
      </w:r>
      <w:r w:rsidRPr="00037DF1">
        <w:rPr>
          <w:rFonts w:ascii="Times New Roman" w:hAnsi="Times New Roman"/>
          <w:bCs/>
          <w:color w:val="000000"/>
          <w:sz w:val="24"/>
          <w:szCs w:val="24"/>
        </w:rPr>
        <w:t>на</w:t>
      </w:r>
      <w:r w:rsidR="00AC0D08" w:rsidRPr="00037DF1">
        <w:rPr>
          <w:rFonts w:ascii="Times New Roman" w:hAnsi="Times New Roman"/>
          <w:bCs/>
          <w:color w:val="000000"/>
          <w:sz w:val="24"/>
          <w:szCs w:val="24"/>
        </w:rPr>
        <w:t xml:space="preserve"> </w:t>
      </w:r>
      <w:r w:rsidRPr="00037DF1">
        <w:rPr>
          <w:rFonts w:ascii="Times New Roman" w:hAnsi="Times New Roman"/>
          <w:bCs/>
          <w:color w:val="000000"/>
          <w:sz w:val="24"/>
          <w:szCs w:val="24"/>
        </w:rPr>
        <w:t>други</w:t>
      </w:r>
      <w:r w:rsidR="00AC0D08" w:rsidRPr="00037DF1">
        <w:rPr>
          <w:rFonts w:ascii="Times New Roman" w:hAnsi="Times New Roman"/>
          <w:bCs/>
          <w:color w:val="000000"/>
          <w:sz w:val="24"/>
          <w:szCs w:val="24"/>
        </w:rPr>
        <w:t xml:space="preserve"> </w:t>
      </w:r>
      <w:r w:rsidRPr="00037DF1">
        <w:rPr>
          <w:rFonts w:ascii="Times New Roman" w:hAnsi="Times New Roman"/>
          <w:bCs/>
          <w:color w:val="000000"/>
          <w:sz w:val="24"/>
          <w:szCs w:val="24"/>
        </w:rPr>
        <w:t>начин</w:t>
      </w:r>
      <w:r w:rsidR="00AC0D08" w:rsidRPr="00037DF1">
        <w:rPr>
          <w:rFonts w:ascii="Times New Roman" w:hAnsi="Times New Roman"/>
          <w:bCs/>
          <w:color w:val="000000"/>
          <w:sz w:val="24"/>
          <w:szCs w:val="24"/>
        </w:rPr>
        <w:t xml:space="preserve"> </w:t>
      </w:r>
      <w:r w:rsidRPr="00037DF1">
        <w:rPr>
          <w:rFonts w:ascii="Times New Roman" w:hAnsi="Times New Roman"/>
          <w:bCs/>
          <w:color w:val="000000"/>
          <w:sz w:val="24"/>
          <w:szCs w:val="24"/>
        </w:rPr>
        <w:t>у</w:t>
      </w:r>
      <w:r w:rsidR="00AC0D08" w:rsidRPr="00037DF1">
        <w:rPr>
          <w:rFonts w:ascii="Times New Roman" w:hAnsi="Times New Roman"/>
          <w:bCs/>
          <w:color w:val="000000"/>
          <w:sz w:val="24"/>
          <w:szCs w:val="24"/>
        </w:rPr>
        <w:t xml:space="preserve"> </w:t>
      </w:r>
      <w:r w:rsidRPr="00037DF1">
        <w:rPr>
          <w:rFonts w:ascii="Times New Roman" w:hAnsi="Times New Roman"/>
          <w:bCs/>
          <w:color w:val="000000"/>
          <w:sz w:val="24"/>
          <w:szCs w:val="24"/>
        </w:rPr>
        <w:t>пореском</w:t>
      </w:r>
      <w:r w:rsidR="00AC0D08" w:rsidRPr="00037DF1">
        <w:rPr>
          <w:rFonts w:ascii="Times New Roman" w:hAnsi="Times New Roman"/>
          <w:bCs/>
          <w:color w:val="000000"/>
          <w:sz w:val="24"/>
          <w:szCs w:val="24"/>
        </w:rPr>
        <w:t xml:space="preserve"> </w:t>
      </w:r>
      <w:r w:rsidRPr="00037DF1">
        <w:rPr>
          <w:rFonts w:ascii="Times New Roman" w:hAnsi="Times New Roman"/>
          <w:bCs/>
          <w:color w:val="000000"/>
          <w:sz w:val="24"/>
          <w:szCs w:val="24"/>
        </w:rPr>
        <w:t>поступку</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lang w:val="sr-Cyrl-CS"/>
        </w:rPr>
        <w:t>Ови подаци морају бити</w:t>
      </w:r>
      <w:r w:rsidRPr="00037DF1">
        <w:rPr>
          <w:rFonts w:ascii="Times New Roman" w:hAnsi="Times New Roman"/>
          <w:color w:val="000000"/>
          <w:sz w:val="24"/>
          <w:szCs w:val="24"/>
        </w:rPr>
        <w:t xml:space="preserve"> тачн</w:t>
      </w:r>
      <w:r w:rsidRPr="00037DF1">
        <w:rPr>
          <w:rFonts w:ascii="Times New Roman" w:hAnsi="Times New Roman"/>
          <w:color w:val="000000"/>
          <w:sz w:val="24"/>
          <w:szCs w:val="24"/>
          <w:lang w:val="sr-Cyrl-CS"/>
        </w:rPr>
        <w:t>и</w:t>
      </w:r>
      <w:r w:rsidRPr="00037DF1">
        <w:rPr>
          <w:rFonts w:ascii="Times New Roman" w:hAnsi="Times New Roman"/>
          <w:color w:val="000000"/>
          <w:sz w:val="24"/>
          <w:szCs w:val="24"/>
        </w:rPr>
        <w:t xml:space="preserve"> о приходима</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и</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уопште</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о</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чињеницама</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које</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су</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релевантне</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за</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утврђивање</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висине</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пореза</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Ову</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област</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регулише</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и</w:t>
      </w:r>
      <w:r w:rsidR="00AC0D08" w:rsidRPr="00037DF1">
        <w:rPr>
          <w:rStyle w:val="apple-converted-space"/>
          <w:rFonts w:ascii="Times New Roman" w:hAnsi="Times New Roman"/>
          <w:color w:val="000000"/>
          <w:sz w:val="24"/>
          <w:szCs w:val="24"/>
        </w:rPr>
        <w:t> </w:t>
      </w:r>
      <w:r w:rsidRPr="00037DF1">
        <w:rPr>
          <w:rFonts w:ascii="Times New Roman" w:hAnsi="Times New Roman"/>
          <w:bCs/>
          <w:iCs/>
          <w:color w:val="000000"/>
          <w:sz w:val="24"/>
          <w:szCs w:val="24"/>
        </w:rPr>
        <w:t>Закон</w:t>
      </w:r>
      <w:r w:rsidR="00AC0D08" w:rsidRPr="00037DF1">
        <w:rPr>
          <w:rFonts w:ascii="Times New Roman" w:hAnsi="Times New Roman"/>
          <w:bCs/>
          <w:iCs/>
          <w:color w:val="000000"/>
          <w:sz w:val="24"/>
          <w:szCs w:val="24"/>
        </w:rPr>
        <w:t xml:space="preserve"> </w:t>
      </w:r>
      <w:r w:rsidRPr="00037DF1">
        <w:rPr>
          <w:rFonts w:ascii="Times New Roman" w:hAnsi="Times New Roman"/>
          <w:bCs/>
          <w:iCs/>
          <w:color w:val="000000"/>
          <w:sz w:val="24"/>
          <w:szCs w:val="24"/>
        </w:rPr>
        <w:t>о</w:t>
      </w:r>
      <w:r w:rsidR="00AC0D08" w:rsidRPr="00037DF1">
        <w:rPr>
          <w:rFonts w:ascii="Times New Roman" w:hAnsi="Times New Roman"/>
          <w:bCs/>
          <w:iCs/>
          <w:color w:val="000000"/>
          <w:sz w:val="24"/>
          <w:szCs w:val="24"/>
        </w:rPr>
        <w:t xml:space="preserve"> </w:t>
      </w:r>
      <w:r w:rsidRPr="00037DF1">
        <w:rPr>
          <w:rFonts w:ascii="Times New Roman" w:hAnsi="Times New Roman"/>
          <w:bCs/>
          <w:iCs/>
          <w:color w:val="000000"/>
          <w:sz w:val="24"/>
          <w:szCs w:val="24"/>
        </w:rPr>
        <w:t>пореском</w:t>
      </w:r>
      <w:r w:rsidR="00AC0D08" w:rsidRPr="00037DF1">
        <w:rPr>
          <w:rFonts w:ascii="Times New Roman" w:hAnsi="Times New Roman"/>
          <w:bCs/>
          <w:iCs/>
          <w:color w:val="000000"/>
          <w:sz w:val="24"/>
          <w:szCs w:val="24"/>
        </w:rPr>
        <w:t xml:space="preserve"> </w:t>
      </w:r>
      <w:r w:rsidRPr="00037DF1">
        <w:rPr>
          <w:rFonts w:ascii="Times New Roman" w:hAnsi="Times New Roman"/>
          <w:bCs/>
          <w:iCs/>
          <w:color w:val="000000"/>
          <w:sz w:val="24"/>
          <w:szCs w:val="24"/>
        </w:rPr>
        <w:t>поступку</w:t>
      </w:r>
      <w:r w:rsidR="00AC0D08" w:rsidRPr="00037DF1">
        <w:rPr>
          <w:rFonts w:ascii="Times New Roman" w:hAnsi="Times New Roman"/>
          <w:bCs/>
          <w:iCs/>
          <w:color w:val="000000"/>
          <w:sz w:val="24"/>
          <w:szCs w:val="24"/>
        </w:rPr>
        <w:t xml:space="preserve"> </w:t>
      </w:r>
      <w:r w:rsidRPr="00037DF1">
        <w:rPr>
          <w:rFonts w:ascii="Times New Roman" w:hAnsi="Times New Roman"/>
          <w:bCs/>
          <w:iCs/>
          <w:color w:val="000000"/>
          <w:sz w:val="24"/>
          <w:szCs w:val="24"/>
        </w:rPr>
        <w:t>и</w:t>
      </w:r>
      <w:r w:rsidR="00AC0D08" w:rsidRPr="00037DF1">
        <w:rPr>
          <w:rFonts w:ascii="Times New Roman" w:hAnsi="Times New Roman"/>
          <w:bCs/>
          <w:iCs/>
          <w:color w:val="000000"/>
          <w:sz w:val="24"/>
          <w:szCs w:val="24"/>
        </w:rPr>
        <w:t xml:space="preserve"> </w:t>
      </w:r>
      <w:r w:rsidRPr="00037DF1">
        <w:rPr>
          <w:rFonts w:ascii="Times New Roman" w:hAnsi="Times New Roman"/>
          <w:bCs/>
          <w:iCs/>
          <w:color w:val="000000"/>
          <w:sz w:val="24"/>
          <w:szCs w:val="24"/>
        </w:rPr>
        <w:t>пореској</w:t>
      </w:r>
      <w:r w:rsidR="00AC0D08" w:rsidRPr="00037DF1">
        <w:rPr>
          <w:rFonts w:ascii="Times New Roman" w:hAnsi="Times New Roman"/>
          <w:bCs/>
          <w:iCs/>
          <w:color w:val="000000"/>
          <w:sz w:val="24"/>
          <w:szCs w:val="24"/>
        </w:rPr>
        <w:t xml:space="preserve"> </w:t>
      </w:r>
      <w:r w:rsidRPr="00037DF1">
        <w:rPr>
          <w:rFonts w:ascii="Times New Roman" w:hAnsi="Times New Roman"/>
          <w:bCs/>
          <w:iCs/>
          <w:color w:val="000000"/>
          <w:sz w:val="24"/>
          <w:szCs w:val="24"/>
        </w:rPr>
        <w:t>администрацији</w:t>
      </w:r>
      <w:r w:rsidRPr="00037DF1">
        <w:rPr>
          <w:rFonts w:ascii="Times New Roman" w:hAnsi="Times New Roman"/>
          <w:bCs/>
          <w:iCs/>
          <w:color w:val="000000"/>
          <w:sz w:val="24"/>
          <w:szCs w:val="24"/>
          <w:lang w:val="sr-Cyrl-CS"/>
        </w:rPr>
        <w:t>.</w:t>
      </w:r>
      <w:r w:rsidR="00AC0D08" w:rsidRPr="00037DF1">
        <w:rPr>
          <w:rFonts w:ascii="Times New Roman" w:hAnsi="Times New Roman"/>
          <w:bCs/>
          <w:iCs/>
          <w:color w:val="000000"/>
          <w:sz w:val="24"/>
          <w:szCs w:val="24"/>
        </w:rPr>
        <w:t xml:space="preserve"> </w:t>
      </w:r>
      <w:r w:rsidRPr="00037DF1">
        <w:rPr>
          <w:rFonts w:ascii="Times New Roman" w:hAnsi="Times New Roman"/>
          <w:color w:val="000000"/>
          <w:sz w:val="24"/>
          <w:szCs w:val="24"/>
        </w:rPr>
        <w:t>Код</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другог</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облика</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овог</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кривичног</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дела</w:t>
      </w:r>
      <w:r w:rsidR="00AC0D08" w:rsidRPr="00037DF1">
        <w:rPr>
          <w:rStyle w:val="apple-converted-space"/>
          <w:rFonts w:ascii="Times New Roman" w:hAnsi="Times New Roman"/>
          <w:color w:val="000000"/>
          <w:sz w:val="24"/>
          <w:szCs w:val="24"/>
        </w:rPr>
        <w:t> </w:t>
      </w:r>
      <w:r w:rsidRPr="00037DF1">
        <w:rPr>
          <w:rFonts w:ascii="Times New Roman" w:hAnsi="Times New Roman"/>
          <w:bCs/>
          <w:color w:val="000000"/>
          <w:sz w:val="24"/>
          <w:szCs w:val="24"/>
        </w:rPr>
        <w:t>учинилац</w:t>
      </w:r>
      <w:r w:rsidR="00AC0D08" w:rsidRPr="00037DF1">
        <w:rPr>
          <w:rFonts w:ascii="Times New Roman" w:hAnsi="Times New Roman"/>
          <w:bCs/>
          <w:color w:val="000000"/>
          <w:sz w:val="24"/>
          <w:szCs w:val="24"/>
        </w:rPr>
        <w:t xml:space="preserve"> </w:t>
      </w:r>
      <w:r w:rsidRPr="00037DF1">
        <w:rPr>
          <w:rFonts w:ascii="Times New Roman" w:hAnsi="Times New Roman"/>
          <w:bCs/>
          <w:color w:val="000000"/>
          <w:sz w:val="24"/>
          <w:szCs w:val="24"/>
        </w:rPr>
        <w:t>уопште</w:t>
      </w:r>
      <w:r w:rsidR="00AC0D08" w:rsidRPr="00037DF1">
        <w:rPr>
          <w:rFonts w:ascii="Times New Roman" w:hAnsi="Times New Roman"/>
          <w:bCs/>
          <w:color w:val="000000"/>
          <w:sz w:val="24"/>
          <w:szCs w:val="24"/>
        </w:rPr>
        <w:t xml:space="preserve"> </w:t>
      </w:r>
      <w:r w:rsidRPr="00037DF1">
        <w:rPr>
          <w:rFonts w:ascii="Times New Roman" w:hAnsi="Times New Roman"/>
          <w:bCs/>
          <w:color w:val="000000"/>
          <w:sz w:val="24"/>
          <w:szCs w:val="24"/>
        </w:rPr>
        <w:t>не</w:t>
      </w:r>
      <w:r w:rsidR="00AC0D08" w:rsidRPr="00037DF1">
        <w:rPr>
          <w:rFonts w:ascii="Times New Roman" w:hAnsi="Times New Roman"/>
          <w:bCs/>
          <w:color w:val="000000"/>
          <w:sz w:val="24"/>
          <w:szCs w:val="24"/>
        </w:rPr>
        <w:t xml:space="preserve"> </w:t>
      </w:r>
      <w:r w:rsidRPr="00037DF1">
        <w:rPr>
          <w:rFonts w:ascii="Times New Roman" w:hAnsi="Times New Roman"/>
          <w:bCs/>
          <w:color w:val="000000"/>
          <w:sz w:val="24"/>
          <w:szCs w:val="24"/>
        </w:rPr>
        <w:t>подноси</w:t>
      </w:r>
      <w:r w:rsidR="00AC0D08" w:rsidRPr="00037DF1">
        <w:rPr>
          <w:rFonts w:ascii="Times New Roman" w:hAnsi="Times New Roman"/>
          <w:bCs/>
          <w:color w:val="000000"/>
          <w:sz w:val="24"/>
          <w:szCs w:val="24"/>
        </w:rPr>
        <w:t xml:space="preserve"> </w:t>
      </w:r>
      <w:r w:rsidRPr="00037DF1">
        <w:rPr>
          <w:rFonts w:ascii="Times New Roman" w:hAnsi="Times New Roman"/>
          <w:bCs/>
          <w:color w:val="000000"/>
          <w:sz w:val="24"/>
          <w:szCs w:val="24"/>
        </w:rPr>
        <w:t>пореску</w:t>
      </w:r>
      <w:r w:rsidR="00AC0D08" w:rsidRPr="00037DF1">
        <w:rPr>
          <w:rFonts w:ascii="Times New Roman" w:hAnsi="Times New Roman"/>
          <w:bCs/>
          <w:color w:val="000000"/>
          <w:sz w:val="24"/>
          <w:szCs w:val="24"/>
        </w:rPr>
        <w:t xml:space="preserve"> </w:t>
      </w:r>
      <w:r w:rsidRPr="00037DF1">
        <w:rPr>
          <w:rFonts w:ascii="Times New Roman" w:hAnsi="Times New Roman"/>
          <w:bCs/>
          <w:color w:val="000000"/>
          <w:sz w:val="24"/>
          <w:szCs w:val="24"/>
        </w:rPr>
        <w:t>пријаву</w:t>
      </w:r>
      <w:r w:rsidR="00AC0D08" w:rsidRPr="00037DF1">
        <w:rPr>
          <w:rStyle w:val="apple-converted-space"/>
          <w:rFonts w:ascii="Times New Roman" w:hAnsi="Times New Roman"/>
          <w:color w:val="000000"/>
          <w:sz w:val="24"/>
          <w:szCs w:val="24"/>
        </w:rPr>
        <w:t> </w:t>
      </w:r>
      <w:r w:rsidRPr="00037DF1">
        <w:rPr>
          <w:rFonts w:ascii="Times New Roman" w:hAnsi="Times New Roman"/>
          <w:color w:val="000000"/>
          <w:sz w:val="24"/>
          <w:szCs w:val="24"/>
        </w:rPr>
        <w:t>о</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законито</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стеченом</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приходу</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односно</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предметима</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и</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другим</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чињеницама</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које</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су</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од</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утицаја</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за</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утврђивање</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висине</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оваквих</w:t>
      </w:r>
      <w:r w:rsidR="00AC0D08" w:rsidRPr="00037DF1">
        <w:rPr>
          <w:rFonts w:ascii="Times New Roman" w:hAnsi="Times New Roman"/>
          <w:color w:val="000000"/>
          <w:sz w:val="24"/>
          <w:szCs w:val="24"/>
        </w:rPr>
        <w:t xml:space="preserve"> </w:t>
      </w:r>
      <w:r w:rsidRPr="00037DF1">
        <w:rPr>
          <w:rFonts w:ascii="Times New Roman" w:hAnsi="Times New Roman"/>
          <w:color w:val="000000"/>
          <w:sz w:val="24"/>
          <w:szCs w:val="24"/>
        </w:rPr>
        <w:t>обавеза</w:t>
      </w:r>
      <w:r w:rsidR="00AC0D08" w:rsidRPr="00037DF1">
        <w:rPr>
          <w:rFonts w:ascii="Times New Roman" w:hAnsi="Times New Roman"/>
          <w:color w:val="000000"/>
          <w:sz w:val="24"/>
          <w:szCs w:val="24"/>
        </w:rPr>
        <w:t>.</w:t>
      </w:r>
      <w:r w:rsidR="00AC0D08" w:rsidRPr="00037DF1">
        <w:rPr>
          <w:rStyle w:val="apple-converted-space"/>
          <w:rFonts w:ascii="Times New Roman" w:hAnsi="Times New Roman"/>
          <w:color w:val="000000"/>
          <w:sz w:val="24"/>
          <w:szCs w:val="24"/>
        </w:rPr>
        <w:t> </w:t>
      </w:r>
      <w:r w:rsidRPr="00037DF1">
        <w:rPr>
          <w:rFonts w:ascii="Times New Roman" w:hAnsi="Times New Roman"/>
          <w:bCs/>
          <w:color w:val="000000"/>
          <w:sz w:val="24"/>
          <w:szCs w:val="24"/>
        </w:rPr>
        <w:t>Овај</w:t>
      </w:r>
      <w:r w:rsidR="00AC0D08" w:rsidRPr="00037DF1">
        <w:rPr>
          <w:rFonts w:ascii="Times New Roman" w:hAnsi="Times New Roman"/>
          <w:bCs/>
          <w:color w:val="000000"/>
          <w:sz w:val="24"/>
          <w:szCs w:val="24"/>
        </w:rPr>
        <w:t xml:space="preserve"> </w:t>
      </w:r>
      <w:r w:rsidRPr="00037DF1">
        <w:rPr>
          <w:rFonts w:ascii="Times New Roman" w:hAnsi="Times New Roman"/>
          <w:bCs/>
          <w:color w:val="000000"/>
          <w:sz w:val="24"/>
          <w:szCs w:val="24"/>
        </w:rPr>
        <w:t>облик</w:t>
      </w:r>
      <w:r w:rsidR="00AC0D08" w:rsidRPr="00037DF1">
        <w:rPr>
          <w:rFonts w:ascii="Times New Roman" w:hAnsi="Times New Roman"/>
          <w:bCs/>
          <w:color w:val="000000"/>
          <w:sz w:val="24"/>
          <w:szCs w:val="24"/>
        </w:rPr>
        <w:t xml:space="preserve"> </w:t>
      </w:r>
      <w:r w:rsidRPr="00037DF1">
        <w:rPr>
          <w:rFonts w:ascii="Times New Roman" w:hAnsi="Times New Roman"/>
          <w:bCs/>
          <w:color w:val="000000"/>
          <w:sz w:val="24"/>
          <w:szCs w:val="24"/>
        </w:rPr>
        <w:t>кривичног</w:t>
      </w:r>
      <w:r w:rsidR="00AC0D08" w:rsidRPr="00037DF1">
        <w:rPr>
          <w:rFonts w:ascii="Times New Roman" w:hAnsi="Times New Roman"/>
          <w:bCs/>
          <w:color w:val="000000"/>
          <w:sz w:val="24"/>
          <w:szCs w:val="24"/>
        </w:rPr>
        <w:t xml:space="preserve"> </w:t>
      </w:r>
      <w:r w:rsidRPr="00037DF1">
        <w:rPr>
          <w:rFonts w:ascii="Times New Roman" w:hAnsi="Times New Roman"/>
          <w:bCs/>
          <w:color w:val="000000"/>
          <w:sz w:val="24"/>
          <w:szCs w:val="24"/>
        </w:rPr>
        <w:t>дела</w:t>
      </w:r>
      <w:r w:rsidR="00AC0D08" w:rsidRPr="00037DF1">
        <w:rPr>
          <w:rStyle w:val="apple-converted-space"/>
          <w:rFonts w:ascii="Times New Roman" w:hAnsi="Times New Roman"/>
          <w:bCs/>
          <w:color w:val="000000"/>
          <w:sz w:val="24"/>
          <w:szCs w:val="24"/>
        </w:rPr>
        <w:t> </w:t>
      </w:r>
      <w:r w:rsidRPr="00037DF1">
        <w:rPr>
          <w:rFonts w:ascii="Times New Roman" w:hAnsi="Times New Roman"/>
          <w:color w:val="000000"/>
          <w:sz w:val="24"/>
          <w:szCs w:val="24"/>
          <w:lang w:val="sr-Cyrl-CS"/>
        </w:rPr>
        <w:t xml:space="preserve"> се, дакле, </w:t>
      </w:r>
      <w:r w:rsidRPr="00037DF1">
        <w:rPr>
          <w:rFonts w:ascii="Times New Roman" w:hAnsi="Times New Roman"/>
          <w:bCs/>
          <w:color w:val="000000"/>
          <w:sz w:val="24"/>
          <w:szCs w:val="24"/>
        </w:rPr>
        <w:t xml:space="preserve"> </w:t>
      </w:r>
      <w:r w:rsidRPr="00037DF1">
        <w:rPr>
          <w:rFonts w:ascii="Times New Roman" w:hAnsi="Times New Roman"/>
          <w:bCs/>
          <w:color w:val="000000"/>
          <w:sz w:val="24"/>
          <w:szCs w:val="24"/>
          <w:lang w:val="sr-Cyrl-CS"/>
        </w:rPr>
        <w:t>врши</w:t>
      </w:r>
      <w:r w:rsidR="00AC0D08" w:rsidRPr="00037DF1">
        <w:rPr>
          <w:rFonts w:ascii="Times New Roman" w:hAnsi="Times New Roman"/>
          <w:bCs/>
          <w:color w:val="000000"/>
          <w:sz w:val="24"/>
          <w:szCs w:val="24"/>
        </w:rPr>
        <w:t xml:space="preserve"> </w:t>
      </w:r>
      <w:r w:rsidRPr="00037DF1">
        <w:rPr>
          <w:rFonts w:ascii="Times New Roman" w:hAnsi="Times New Roman"/>
          <w:bCs/>
          <w:color w:val="000000"/>
          <w:sz w:val="24"/>
          <w:szCs w:val="24"/>
        </w:rPr>
        <w:t>пропуштањем</w:t>
      </w:r>
      <w:r w:rsidR="00AC0D08" w:rsidRPr="00037DF1">
        <w:rPr>
          <w:rFonts w:ascii="Times New Roman" w:hAnsi="Times New Roman"/>
          <w:bCs/>
          <w:color w:val="000000"/>
          <w:sz w:val="24"/>
          <w:szCs w:val="24"/>
        </w:rPr>
        <w:t xml:space="preserve"> </w:t>
      </w:r>
      <w:r w:rsidRPr="00037DF1">
        <w:rPr>
          <w:rFonts w:ascii="Times New Roman" w:hAnsi="Times New Roman"/>
          <w:bCs/>
          <w:color w:val="000000"/>
          <w:sz w:val="24"/>
          <w:szCs w:val="24"/>
        </w:rPr>
        <w:t>подношења</w:t>
      </w:r>
      <w:r w:rsidR="00AC0D08" w:rsidRPr="00037DF1">
        <w:rPr>
          <w:rFonts w:ascii="Times New Roman" w:hAnsi="Times New Roman"/>
          <w:bCs/>
          <w:color w:val="000000"/>
          <w:sz w:val="24"/>
          <w:szCs w:val="24"/>
        </w:rPr>
        <w:t xml:space="preserve"> </w:t>
      </w:r>
      <w:r w:rsidRPr="00037DF1">
        <w:rPr>
          <w:rFonts w:ascii="Times New Roman" w:hAnsi="Times New Roman"/>
          <w:bCs/>
          <w:color w:val="000000"/>
          <w:sz w:val="24"/>
          <w:szCs w:val="24"/>
        </w:rPr>
        <w:t>пријаве</w:t>
      </w:r>
      <w:r w:rsidR="00AC0D08" w:rsidRPr="00037DF1">
        <w:rPr>
          <w:rFonts w:ascii="Times New Roman" w:hAnsi="Times New Roman"/>
          <w:bCs/>
          <w:color w:val="000000"/>
          <w:sz w:val="24"/>
          <w:szCs w:val="24"/>
        </w:rPr>
        <w:t>.</w:t>
      </w:r>
      <w:r w:rsidRPr="00037DF1">
        <w:rPr>
          <w:rFonts w:ascii="Times New Roman" w:hAnsi="Times New Roman"/>
          <w:bCs/>
          <w:iCs/>
          <w:color w:val="000000"/>
          <w:sz w:val="24"/>
          <w:szCs w:val="24"/>
          <w:lang w:val="sr-Cyrl-CS"/>
        </w:rPr>
        <w:t xml:space="preserve"> </w:t>
      </w:r>
      <w:r w:rsidR="00925D90" w:rsidRPr="00037DF1">
        <w:rPr>
          <w:rFonts w:ascii="Times New Roman" w:hAnsi="Times New Roman"/>
          <w:color w:val="000000"/>
          <w:sz w:val="24"/>
          <w:szCs w:val="24"/>
          <w:shd w:val="clear" w:color="auto" w:fill="FFFFFF"/>
          <w:lang w:val="sr-Cyrl-CS"/>
        </w:rPr>
        <w:t>Према томе може бити у питању чињење и нечињење.</w:t>
      </w:r>
    </w:p>
    <w:p w:rsidR="004209C5" w:rsidRDefault="004209C5" w:rsidP="00B010B3">
      <w:pPr>
        <w:ind w:firstLine="708"/>
        <w:jc w:val="both"/>
        <w:rPr>
          <w:rFonts w:ascii="Times New Roman" w:hAnsi="Times New Roman"/>
          <w:sz w:val="24"/>
          <w:szCs w:val="24"/>
          <w:lang w:val="sr-Cyrl-CS"/>
        </w:rPr>
      </w:pPr>
      <w:r>
        <w:rPr>
          <w:rFonts w:ascii="Times New Roman" w:hAnsi="Times New Roman"/>
          <w:sz w:val="24"/>
          <w:szCs w:val="24"/>
          <w:lang w:val="sr-Cyrl-CS"/>
        </w:rPr>
        <w:t xml:space="preserve">Начини оваквог лажног приказивања одлучних чињеница могу бити </w:t>
      </w:r>
      <w:r w:rsidR="00D73478">
        <w:rPr>
          <w:rFonts w:ascii="Times New Roman" w:hAnsi="Times New Roman"/>
          <w:sz w:val="24"/>
          <w:szCs w:val="24"/>
          <w:lang w:val="sr-Cyrl-CS"/>
        </w:rPr>
        <w:t xml:space="preserve">веома различити </w:t>
      </w:r>
      <w:r>
        <w:rPr>
          <w:rFonts w:ascii="Times New Roman" w:hAnsi="Times New Roman"/>
          <w:sz w:val="24"/>
          <w:szCs w:val="24"/>
          <w:lang w:val="sr-Cyrl-CS"/>
        </w:rPr>
        <w:t xml:space="preserve">у реалном животу. </w:t>
      </w:r>
      <w:r w:rsidR="00D73478">
        <w:rPr>
          <w:rFonts w:ascii="Times New Roman" w:hAnsi="Times New Roman"/>
          <w:sz w:val="24"/>
          <w:szCs w:val="24"/>
          <w:lang w:val="sr-Cyrl-CS"/>
        </w:rPr>
        <w:t>„</w:t>
      </w:r>
      <w:r>
        <w:rPr>
          <w:rFonts w:ascii="Times New Roman" w:hAnsi="Times New Roman"/>
          <w:sz w:val="24"/>
          <w:szCs w:val="24"/>
          <w:lang w:val="sr-Cyrl-CS"/>
        </w:rPr>
        <w:t>Тако се могу умањити остварени приходи у целини или само одређени приходи или само приходи из одређених извора или само они приходи остварени у одређеном временском периоду или у одређеном месту или другом подручју, могу се даље умањивати остварени финансијски резултати или се пак могу увећати трошкови пословања и сл.</w:t>
      </w:r>
      <w:r w:rsidR="00D73478">
        <w:rPr>
          <w:rFonts w:ascii="Times New Roman" w:hAnsi="Times New Roman"/>
          <w:sz w:val="24"/>
          <w:szCs w:val="24"/>
          <w:lang w:val="sr-Cyrl-CS"/>
        </w:rPr>
        <w:t>“</w:t>
      </w:r>
      <w:r>
        <w:rPr>
          <w:rFonts w:ascii="Times New Roman" w:hAnsi="Times New Roman"/>
          <w:sz w:val="24"/>
          <w:szCs w:val="24"/>
          <w:lang w:val="sr-Cyrl-CS"/>
        </w:rPr>
        <w:t xml:space="preserve"> </w:t>
      </w:r>
      <w:r w:rsidR="000B53E8">
        <w:rPr>
          <w:rFonts w:ascii="Times New Roman" w:hAnsi="Times New Roman"/>
          <w:sz w:val="24"/>
          <w:szCs w:val="24"/>
          <w:lang w:val="sr-Cyrl-CS"/>
        </w:rPr>
        <w:t xml:space="preserve"> </w:t>
      </w:r>
      <w:r w:rsidR="00D73478">
        <w:rPr>
          <w:rFonts w:ascii="Times New Roman" w:hAnsi="Times New Roman"/>
          <w:sz w:val="24"/>
          <w:szCs w:val="24"/>
          <w:lang w:val="sr-Cyrl-CS"/>
        </w:rPr>
        <w:t>Оно што је од значаја је</w:t>
      </w:r>
      <w:r>
        <w:rPr>
          <w:rFonts w:ascii="Times New Roman" w:hAnsi="Times New Roman"/>
          <w:sz w:val="24"/>
          <w:szCs w:val="24"/>
          <w:lang w:val="sr-Cyrl-CS"/>
        </w:rPr>
        <w:t xml:space="preserve"> да се ово давање лажних података</w:t>
      </w:r>
      <w:r w:rsidR="00D73478">
        <w:rPr>
          <w:rFonts w:ascii="Times New Roman" w:hAnsi="Times New Roman"/>
          <w:sz w:val="24"/>
          <w:szCs w:val="24"/>
          <w:lang w:val="sr-Cyrl-CS"/>
        </w:rPr>
        <w:t>,</w:t>
      </w:r>
      <w:r>
        <w:rPr>
          <w:rFonts w:ascii="Times New Roman" w:hAnsi="Times New Roman"/>
          <w:sz w:val="24"/>
          <w:szCs w:val="24"/>
          <w:lang w:val="sr-Cyrl-CS"/>
        </w:rPr>
        <w:t xml:space="preserve"> у смислу радње извршења кривичног дела пореске утаје</w:t>
      </w:r>
      <w:r w:rsidR="00D73478">
        <w:rPr>
          <w:rFonts w:ascii="Times New Roman" w:hAnsi="Times New Roman"/>
          <w:sz w:val="24"/>
          <w:szCs w:val="24"/>
          <w:lang w:val="sr-Cyrl-CS"/>
        </w:rPr>
        <w:t>,</w:t>
      </w:r>
      <w:r>
        <w:rPr>
          <w:rFonts w:ascii="Times New Roman" w:hAnsi="Times New Roman"/>
          <w:sz w:val="24"/>
          <w:szCs w:val="24"/>
          <w:lang w:val="sr-Cyrl-CS"/>
        </w:rPr>
        <w:t xml:space="preserve"> односи на одлучне чињенице које су од значаја за утврђивање висине пореских и других обавеза. </w:t>
      </w:r>
      <w:r w:rsidR="00D73478">
        <w:rPr>
          <w:rFonts w:ascii="Times New Roman" w:hAnsi="Times New Roman"/>
          <w:sz w:val="24"/>
          <w:szCs w:val="24"/>
          <w:lang w:val="sr-Cyrl-CS"/>
        </w:rPr>
        <w:t>Уколико се ради о давању</w:t>
      </w:r>
      <w:r>
        <w:rPr>
          <w:rFonts w:ascii="Times New Roman" w:hAnsi="Times New Roman"/>
          <w:sz w:val="24"/>
          <w:szCs w:val="24"/>
          <w:lang w:val="sr-Cyrl-CS"/>
        </w:rPr>
        <w:t xml:space="preserve"> лажних података о чињеницама које немају утицај на утврђивање пореске обавезе или њене висине односно на утврђивање других прописаних обавеза </w:t>
      </w:r>
      <w:r>
        <w:rPr>
          <w:rFonts w:ascii="Times New Roman" w:hAnsi="Times New Roman"/>
          <w:sz w:val="24"/>
          <w:szCs w:val="24"/>
          <w:lang w:val="sr-Cyrl-CS"/>
        </w:rPr>
        <w:lastRenderedPageBreak/>
        <w:t>или доприноса или њихову висину не</w:t>
      </w:r>
      <w:r w:rsidR="00D73478">
        <w:rPr>
          <w:rFonts w:ascii="Times New Roman" w:hAnsi="Times New Roman"/>
          <w:sz w:val="24"/>
          <w:szCs w:val="24"/>
          <w:lang w:val="sr-Cyrl-CS"/>
        </w:rPr>
        <w:t>ће се радити</w:t>
      </w:r>
      <w:r>
        <w:rPr>
          <w:rFonts w:ascii="Times New Roman" w:hAnsi="Times New Roman"/>
          <w:sz w:val="24"/>
          <w:szCs w:val="24"/>
          <w:lang w:val="sr-Cyrl-CS"/>
        </w:rPr>
        <w:t xml:space="preserve"> </w:t>
      </w:r>
      <w:r w:rsidR="00D73478">
        <w:rPr>
          <w:rFonts w:ascii="Times New Roman" w:hAnsi="Times New Roman"/>
          <w:sz w:val="24"/>
          <w:szCs w:val="24"/>
          <w:lang w:val="sr-Cyrl-CS"/>
        </w:rPr>
        <w:t>о радњи</w:t>
      </w:r>
      <w:r>
        <w:rPr>
          <w:rFonts w:ascii="Times New Roman" w:hAnsi="Times New Roman"/>
          <w:sz w:val="24"/>
          <w:szCs w:val="24"/>
          <w:lang w:val="sr-Cyrl-CS"/>
        </w:rPr>
        <w:t xml:space="preserve"> извршења овог кривичног дела.</w:t>
      </w:r>
      <w:r>
        <w:rPr>
          <w:rStyle w:val="FootnoteReference"/>
          <w:rFonts w:ascii="Times New Roman" w:hAnsi="Times New Roman"/>
          <w:sz w:val="24"/>
          <w:szCs w:val="24"/>
          <w:lang w:val="sr-Cyrl-CS"/>
        </w:rPr>
        <w:footnoteReference w:id="811"/>
      </w:r>
    </w:p>
    <w:p w:rsidR="00037DF1" w:rsidRPr="004209C5" w:rsidRDefault="00037DF1" w:rsidP="00B010B3">
      <w:pPr>
        <w:ind w:firstLine="708"/>
        <w:jc w:val="both"/>
        <w:rPr>
          <w:rFonts w:ascii="Times New Roman" w:hAnsi="Times New Roman"/>
          <w:sz w:val="24"/>
          <w:szCs w:val="24"/>
          <w:lang w:val="sr-Cyrl-CS"/>
        </w:rPr>
      </w:pPr>
    </w:p>
    <w:p w:rsidR="002254DE" w:rsidRPr="001C7B5A" w:rsidRDefault="001C7B5A" w:rsidP="008A3795">
      <w:pPr>
        <w:pStyle w:val="ListParagraph"/>
        <w:numPr>
          <w:ilvl w:val="3"/>
          <w:numId w:val="59"/>
        </w:numPr>
        <w:jc w:val="center"/>
        <w:rPr>
          <w:rFonts w:ascii="Times New Roman" w:hAnsi="Times New Roman"/>
          <w:b/>
          <w:sz w:val="24"/>
          <w:szCs w:val="24"/>
          <w:lang w:val="sr-Cyrl-CS"/>
        </w:rPr>
      </w:pPr>
      <w:r>
        <w:rPr>
          <w:rFonts w:ascii="Times New Roman" w:hAnsi="Times New Roman"/>
          <w:b/>
          <w:sz w:val="24"/>
          <w:szCs w:val="24"/>
        </w:rPr>
        <w:t xml:space="preserve"> </w:t>
      </w:r>
      <w:r w:rsidR="009733BD" w:rsidRPr="001C7B5A">
        <w:rPr>
          <w:rFonts w:ascii="Times New Roman" w:hAnsi="Times New Roman"/>
          <w:b/>
          <w:sz w:val="24"/>
          <w:szCs w:val="24"/>
          <w:lang w:val="sr-Cyrl-CS"/>
        </w:rPr>
        <w:t>Објекат кривичноправне заштите</w:t>
      </w:r>
    </w:p>
    <w:p w:rsidR="009733BD" w:rsidRDefault="009733BD" w:rsidP="00B010B3">
      <w:pPr>
        <w:ind w:firstLine="708"/>
        <w:jc w:val="both"/>
        <w:rPr>
          <w:rFonts w:ascii="Times New Roman" w:hAnsi="Times New Roman"/>
          <w:sz w:val="24"/>
          <w:szCs w:val="24"/>
          <w:lang w:val="sr-Cyrl-CS"/>
        </w:rPr>
      </w:pPr>
    </w:p>
    <w:p w:rsidR="009733BD" w:rsidRDefault="009733BD" w:rsidP="00990871">
      <w:pPr>
        <w:ind w:firstLine="708"/>
        <w:jc w:val="both"/>
        <w:rPr>
          <w:rFonts w:ascii="Times New Roman" w:hAnsi="Times New Roman"/>
          <w:sz w:val="24"/>
          <w:szCs w:val="24"/>
          <w:lang w:val="sr-Cyrl-CS"/>
        </w:rPr>
      </w:pPr>
      <w:r>
        <w:rPr>
          <w:rFonts w:ascii="Times New Roman" w:hAnsi="Times New Roman"/>
          <w:sz w:val="24"/>
          <w:szCs w:val="24"/>
          <w:lang w:val="sr-Cyrl-CS"/>
        </w:rPr>
        <w:t>Објекат кривичноправне заштите ко</w:t>
      </w:r>
      <w:r w:rsidR="00B5455E">
        <w:rPr>
          <w:rFonts w:ascii="Times New Roman" w:hAnsi="Times New Roman"/>
          <w:sz w:val="24"/>
          <w:szCs w:val="24"/>
          <w:lang w:val="sr-Cyrl-CS"/>
        </w:rPr>
        <w:t xml:space="preserve">д овог облика кривичног дела је фискални систем, систем јавних прихода који чини основ привредног система земље. </w:t>
      </w:r>
      <w:r w:rsidR="00E64D26">
        <w:rPr>
          <w:rFonts w:ascii="Times New Roman" w:hAnsi="Times New Roman"/>
          <w:sz w:val="24"/>
          <w:szCs w:val="24"/>
          <w:lang w:val="sr-Cyrl-CS"/>
        </w:rPr>
        <w:t>Али</w:t>
      </w:r>
      <w:r w:rsidR="00B5455E">
        <w:rPr>
          <w:rFonts w:ascii="Times New Roman" w:hAnsi="Times New Roman"/>
          <w:sz w:val="24"/>
          <w:szCs w:val="24"/>
          <w:lang w:val="sr-Cyrl-CS"/>
        </w:rPr>
        <w:t>, у правној теорији се могу пронаћи и схватања према којима је објекат за</w:t>
      </w:r>
      <w:r w:rsidR="00990871">
        <w:rPr>
          <w:rFonts w:ascii="Times New Roman" w:hAnsi="Times New Roman"/>
          <w:sz w:val="24"/>
          <w:szCs w:val="24"/>
          <w:lang w:val="sr-Cyrl-CS"/>
        </w:rPr>
        <w:t>штите овог кривичног дела дужнос</w:t>
      </w:r>
      <w:r w:rsidR="00B5455E">
        <w:rPr>
          <w:rFonts w:ascii="Times New Roman" w:hAnsi="Times New Roman"/>
          <w:sz w:val="24"/>
          <w:szCs w:val="24"/>
          <w:lang w:val="sr-Cyrl-CS"/>
        </w:rPr>
        <w:t>т плаћања пореза, доп</w:t>
      </w:r>
      <w:r w:rsidR="00C148CC">
        <w:rPr>
          <w:rFonts w:ascii="Times New Roman" w:hAnsi="Times New Roman"/>
          <w:sz w:val="24"/>
          <w:szCs w:val="24"/>
          <w:lang w:val="sr-Cyrl-CS"/>
        </w:rPr>
        <w:t>риноса и других давања. К</w:t>
      </w:r>
      <w:r w:rsidR="00B5455E">
        <w:rPr>
          <w:rFonts w:ascii="Times New Roman" w:hAnsi="Times New Roman"/>
          <w:sz w:val="24"/>
          <w:szCs w:val="24"/>
          <w:lang w:val="sr-Cyrl-CS"/>
        </w:rPr>
        <w:t>ао јавна давања сматрају се</w:t>
      </w:r>
      <w:r w:rsidR="00990871">
        <w:rPr>
          <w:rFonts w:ascii="Times New Roman" w:hAnsi="Times New Roman"/>
          <w:sz w:val="24"/>
          <w:szCs w:val="24"/>
          <w:lang w:val="sr-Cyrl-CS"/>
        </w:rPr>
        <w:t>: порези, царине, таксе и допри</w:t>
      </w:r>
      <w:r w:rsidR="00B5455E">
        <w:rPr>
          <w:rFonts w:ascii="Times New Roman" w:hAnsi="Times New Roman"/>
          <w:sz w:val="24"/>
          <w:szCs w:val="24"/>
          <w:lang w:val="sr-Cyrl-CS"/>
        </w:rPr>
        <w:t>носи.</w:t>
      </w:r>
      <w:r w:rsidR="00990871">
        <w:rPr>
          <w:rFonts w:ascii="Times New Roman" w:hAnsi="Times New Roman"/>
          <w:sz w:val="24"/>
          <w:szCs w:val="24"/>
          <w:lang w:val="sr-Cyrl-CS"/>
        </w:rPr>
        <w:t xml:space="preserve"> Објекат напада је </w:t>
      </w:r>
      <w:r w:rsidR="00C148CC">
        <w:rPr>
          <w:rFonts w:ascii="Times New Roman" w:hAnsi="Times New Roman"/>
          <w:sz w:val="24"/>
          <w:szCs w:val="24"/>
          <w:lang w:val="sr-Cyrl-CS"/>
        </w:rPr>
        <w:t>одређен алтернативно и т</w:t>
      </w:r>
      <w:r w:rsidR="00990871">
        <w:rPr>
          <w:rFonts w:ascii="Times New Roman" w:hAnsi="Times New Roman"/>
          <w:sz w:val="24"/>
          <w:szCs w:val="24"/>
          <w:lang w:val="sr-Cyrl-CS"/>
        </w:rPr>
        <w:t>о може бити: порез, допринос и друге прописане даџбине.</w:t>
      </w:r>
      <w:r w:rsidR="00990871">
        <w:rPr>
          <w:rStyle w:val="FootnoteReference"/>
          <w:rFonts w:ascii="Times New Roman" w:hAnsi="Times New Roman"/>
          <w:sz w:val="24"/>
          <w:szCs w:val="24"/>
          <w:lang w:val="sr-Cyrl-CS"/>
        </w:rPr>
        <w:footnoteReference w:id="812"/>
      </w:r>
    </w:p>
    <w:p w:rsidR="00857A90" w:rsidRDefault="000030AD" w:rsidP="00B010B3">
      <w:pPr>
        <w:ind w:firstLine="708"/>
        <w:jc w:val="both"/>
        <w:rPr>
          <w:rFonts w:ascii="Times New Roman" w:hAnsi="Times New Roman"/>
          <w:sz w:val="24"/>
          <w:szCs w:val="24"/>
          <w:lang w:val="sr-Cyrl-CS"/>
        </w:rPr>
      </w:pPr>
      <w:r>
        <w:rPr>
          <w:rFonts w:ascii="Times New Roman" w:hAnsi="Times New Roman"/>
          <w:sz w:val="24"/>
          <w:szCs w:val="24"/>
          <w:lang w:val="sr-Cyrl-CS"/>
        </w:rPr>
        <w:t>Наведени јавни приходи прописани су посебним пореским законима. Диспо</w:t>
      </w:r>
      <w:r w:rsidR="00797057">
        <w:rPr>
          <w:rFonts w:ascii="Times New Roman" w:hAnsi="Times New Roman"/>
          <w:sz w:val="24"/>
          <w:szCs w:val="24"/>
          <w:lang w:val="sr-Cyrl-CS"/>
        </w:rPr>
        <w:t>зиција овог крив</w:t>
      </w:r>
      <w:r w:rsidR="006F5466">
        <w:rPr>
          <w:rFonts w:ascii="Times New Roman" w:hAnsi="Times New Roman"/>
          <w:sz w:val="24"/>
          <w:szCs w:val="24"/>
          <w:lang w:val="sr-Cyrl-CS"/>
        </w:rPr>
        <w:t>и</w:t>
      </w:r>
      <w:r w:rsidR="00797057">
        <w:rPr>
          <w:rFonts w:ascii="Times New Roman" w:hAnsi="Times New Roman"/>
          <w:sz w:val="24"/>
          <w:szCs w:val="24"/>
          <w:lang w:val="sr-Cyrl-CS"/>
        </w:rPr>
        <w:t xml:space="preserve">чног дела </w:t>
      </w:r>
      <w:r w:rsidR="00F311F8">
        <w:rPr>
          <w:rFonts w:ascii="Times New Roman" w:hAnsi="Times New Roman"/>
          <w:sz w:val="24"/>
          <w:szCs w:val="24"/>
          <w:lang w:val="sr-Cyrl-CS"/>
        </w:rPr>
        <w:t>има бланкетни карактер јер да би се она применила</w:t>
      </w:r>
      <w:r>
        <w:rPr>
          <w:rFonts w:ascii="Times New Roman" w:hAnsi="Times New Roman"/>
          <w:sz w:val="24"/>
          <w:szCs w:val="24"/>
          <w:lang w:val="sr-Cyrl-CS"/>
        </w:rPr>
        <w:t xml:space="preserve"> потребно је </w:t>
      </w:r>
      <w:r w:rsidR="00F311F8">
        <w:rPr>
          <w:rFonts w:ascii="Times New Roman" w:hAnsi="Times New Roman"/>
          <w:sz w:val="24"/>
          <w:szCs w:val="24"/>
          <w:lang w:val="sr-Cyrl-CS"/>
        </w:rPr>
        <w:t xml:space="preserve">претходно </w:t>
      </w:r>
      <w:r>
        <w:rPr>
          <w:rFonts w:ascii="Times New Roman" w:hAnsi="Times New Roman"/>
          <w:sz w:val="24"/>
          <w:szCs w:val="24"/>
          <w:lang w:val="sr-Cyrl-CS"/>
        </w:rPr>
        <w:t xml:space="preserve">утврдити да ли је од стране обвезника било повреда </w:t>
      </w:r>
      <w:r w:rsidR="006F5466">
        <w:rPr>
          <w:rFonts w:ascii="Times New Roman" w:hAnsi="Times New Roman"/>
          <w:sz w:val="24"/>
          <w:szCs w:val="24"/>
          <w:lang w:val="sr-Cyrl-CS"/>
        </w:rPr>
        <w:t>законских и других норми из обла</w:t>
      </w:r>
      <w:r>
        <w:rPr>
          <w:rFonts w:ascii="Times New Roman" w:hAnsi="Times New Roman"/>
          <w:sz w:val="24"/>
          <w:szCs w:val="24"/>
          <w:lang w:val="sr-Cyrl-CS"/>
        </w:rPr>
        <w:t xml:space="preserve">сти финансијских прописа. </w:t>
      </w:r>
      <w:r w:rsidR="00F311F8">
        <w:rPr>
          <w:rFonts w:ascii="Times New Roman" w:hAnsi="Times New Roman"/>
          <w:sz w:val="24"/>
          <w:szCs w:val="24"/>
          <w:lang w:val="sr-Cyrl-CS"/>
        </w:rPr>
        <w:t>Због тога је неопходно</w:t>
      </w:r>
      <w:r>
        <w:rPr>
          <w:rFonts w:ascii="Times New Roman" w:hAnsi="Times New Roman"/>
          <w:sz w:val="24"/>
          <w:szCs w:val="24"/>
          <w:lang w:val="sr-Cyrl-CS"/>
        </w:rPr>
        <w:t xml:space="preserve"> познавати пореске прописе који уређују материју опорезивања физичких и правних лица.</w:t>
      </w:r>
      <w:r>
        <w:rPr>
          <w:rStyle w:val="FootnoteReference"/>
          <w:rFonts w:ascii="Times New Roman" w:hAnsi="Times New Roman"/>
          <w:sz w:val="24"/>
          <w:szCs w:val="24"/>
          <w:lang w:val="sr-Cyrl-CS"/>
        </w:rPr>
        <w:footnoteReference w:id="813"/>
      </w:r>
    </w:p>
    <w:p w:rsidR="00990871" w:rsidRDefault="00797057" w:rsidP="003F41E5">
      <w:pPr>
        <w:pStyle w:val="normalitalic"/>
        <w:shd w:val="clear" w:color="auto" w:fill="FFFFFF"/>
        <w:spacing w:before="48" w:beforeAutospacing="0" w:after="48" w:afterAutospacing="0"/>
        <w:ind w:firstLine="708"/>
        <w:jc w:val="both"/>
        <w:rPr>
          <w:iCs/>
          <w:color w:val="000000"/>
          <w:lang w:val="sr-Cyrl-CS"/>
        </w:rPr>
      </w:pPr>
      <w:r w:rsidRPr="009733BD">
        <w:rPr>
          <w:iCs/>
          <w:color w:val="000000"/>
          <w:lang w:val="sr-Cyrl-CS"/>
        </w:rPr>
        <w:t>П</w:t>
      </w:r>
      <w:r w:rsidRPr="009733BD">
        <w:rPr>
          <w:iCs/>
          <w:color w:val="000000"/>
        </w:rPr>
        <w:t>од</w:t>
      </w:r>
      <w:r w:rsidR="00AC0D08" w:rsidRPr="009733BD">
        <w:rPr>
          <w:iCs/>
          <w:color w:val="000000"/>
        </w:rPr>
        <w:t xml:space="preserve"> </w:t>
      </w:r>
      <w:r w:rsidRPr="009733BD">
        <w:rPr>
          <w:iCs/>
          <w:color w:val="000000"/>
        </w:rPr>
        <w:t>појмом</w:t>
      </w:r>
      <w:r w:rsidR="00AC0D08" w:rsidRPr="009733BD">
        <w:rPr>
          <w:iCs/>
          <w:color w:val="000000"/>
        </w:rPr>
        <w:t xml:space="preserve"> </w:t>
      </w:r>
      <w:r w:rsidRPr="009733BD">
        <w:rPr>
          <w:iCs/>
          <w:color w:val="000000"/>
        </w:rPr>
        <w:t>пореза</w:t>
      </w:r>
      <w:r w:rsidR="00AC0D08" w:rsidRPr="009733BD">
        <w:rPr>
          <w:iCs/>
          <w:color w:val="000000"/>
        </w:rPr>
        <w:t xml:space="preserve"> </w:t>
      </w:r>
      <w:r w:rsidR="006F5466">
        <w:rPr>
          <w:iCs/>
          <w:color w:val="000000"/>
          <w:lang w:val="sr-Cyrl-CS"/>
        </w:rPr>
        <w:t xml:space="preserve">у судској пракси </w:t>
      </w:r>
      <w:r w:rsidRPr="009733BD">
        <w:rPr>
          <w:iCs/>
          <w:color w:val="000000"/>
        </w:rPr>
        <w:t>подразумевају</w:t>
      </w:r>
      <w:r w:rsidR="00AC0D08" w:rsidRPr="009733BD">
        <w:rPr>
          <w:iCs/>
          <w:color w:val="000000"/>
        </w:rPr>
        <w:t xml:space="preserve"> </w:t>
      </w:r>
      <w:r w:rsidRPr="009733BD">
        <w:rPr>
          <w:iCs/>
          <w:color w:val="000000"/>
        </w:rPr>
        <w:t>се</w:t>
      </w:r>
      <w:r w:rsidR="00AC0D08" w:rsidRPr="009733BD">
        <w:rPr>
          <w:iCs/>
          <w:color w:val="000000"/>
        </w:rPr>
        <w:t xml:space="preserve"> </w:t>
      </w:r>
      <w:r w:rsidRPr="009733BD">
        <w:rPr>
          <w:iCs/>
          <w:color w:val="000000"/>
        </w:rPr>
        <w:t>све</w:t>
      </w:r>
      <w:r w:rsidR="00AC0D08" w:rsidRPr="009733BD">
        <w:rPr>
          <w:iCs/>
          <w:color w:val="000000"/>
        </w:rPr>
        <w:t xml:space="preserve"> </w:t>
      </w:r>
      <w:r w:rsidRPr="009733BD">
        <w:rPr>
          <w:iCs/>
          <w:color w:val="000000"/>
        </w:rPr>
        <w:t>врсте</w:t>
      </w:r>
      <w:r w:rsidR="00AC0D08" w:rsidRPr="009733BD">
        <w:rPr>
          <w:iCs/>
          <w:color w:val="000000"/>
        </w:rPr>
        <w:t xml:space="preserve"> </w:t>
      </w:r>
      <w:r w:rsidRPr="009733BD">
        <w:rPr>
          <w:iCs/>
          <w:color w:val="000000"/>
        </w:rPr>
        <w:t>обавеза</w:t>
      </w:r>
      <w:r w:rsidR="00AC0D08" w:rsidRPr="009733BD">
        <w:rPr>
          <w:iCs/>
          <w:color w:val="000000"/>
        </w:rPr>
        <w:t xml:space="preserve"> </w:t>
      </w:r>
      <w:r w:rsidRPr="009733BD">
        <w:rPr>
          <w:iCs/>
          <w:color w:val="000000"/>
        </w:rPr>
        <w:t>према</w:t>
      </w:r>
      <w:r w:rsidR="00AC0D08" w:rsidRPr="009733BD">
        <w:rPr>
          <w:iCs/>
          <w:color w:val="000000"/>
        </w:rPr>
        <w:t xml:space="preserve"> </w:t>
      </w:r>
      <w:r w:rsidRPr="009733BD">
        <w:rPr>
          <w:iCs/>
          <w:color w:val="000000"/>
        </w:rPr>
        <w:t>друштвеној</w:t>
      </w:r>
      <w:r w:rsidR="009733BD">
        <w:rPr>
          <w:iCs/>
          <w:color w:val="000000"/>
          <w:lang w:val="sr-Cyrl-CS"/>
        </w:rPr>
        <w:t xml:space="preserve"> </w:t>
      </w:r>
      <w:r w:rsidRPr="009733BD">
        <w:rPr>
          <w:iCs/>
          <w:color w:val="000000"/>
        </w:rPr>
        <w:t>заједници</w:t>
      </w:r>
      <w:r w:rsidR="00AC0D08" w:rsidRPr="009733BD">
        <w:rPr>
          <w:iCs/>
          <w:color w:val="000000"/>
        </w:rPr>
        <w:t>.</w:t>
      </w:r>
      <w:r w:rsidR="006F5466">
        <w:rPr>
          <w:rStyle w:val="FootnoteReference"/>
          <w:iCs/>
          <w:color w:val="000000"/>
        </w:rPr>
        <w:footnoteReference w:id="814"/>
      </w:r>
      <w:r w:rsidR="006F5466">
        <w:rPr>
          <w:iCs/>
          <w:color w:val="000000"/>
          <w:lang w:val="sr-Cyrl-CS"/>
        </w:rPr>
        <w:t xml:space="preserve"> </w:t>
      </w:r>
    </w:p>
    <w:p w:rsidR="00990871" w:rsidRPr="003F41E5" w:rsidRDefault="00990871" w:rsidP="003F41E5">
      <w:pPr>
        <w:pStyle w:val="normalitalic"/>
        <w:shd w:val="clear" w:color="auto" w:fill="FFFFFF"/>
        <w:spacing w:before="48" w:beforeAutospacing="0" w:after="48" w:afterAutospacing="0"/>
        <w:ind w:firstLine="708"/>
        <w:jc w:val="both"/>
        <w:rPr>
          <w:iCs/>
          <w:color w:val="000000"/>
          <w:lang w:val="sr-Cyrl-CS"/>
        </w:rPr>
      </w:pPr>
    </w:p>
    <w:p w:rsidR="0053261E" w:rsidRPr="001C7B5A" w:rsidRDefault="001C7B5A" w:rsidP="008A3795">
      <w:pPr>
        <w:pStyle w:val="ListParagraph"/>
        <w:numPr>
          <w:ilvl w:val="3"/>
          <w:numId w:val="59"/>
        </w:numPr>
        <w:jc w:val="center"/>
        <w:rPr>
          <w:rFonts w:ascii="Times New Roman" w:hAnsi="Times New Roman"/>
          <w:b/>
          <w:sz w:val="24"/>
          <w:szCs w:val="24"/>
          <w:lang w:val="sr-Cyrl-CS"/>
        </w:rPr>
      </w:pPr>
      <w:r>
        <w:rPr>
          <w:rFonts w:ascii="Times New Roman" w:hAnsi="Times New Roman"/>
          <w:b/>
          <w:sz w:val="24"/>
          <w:szCs w:val="24"/>
        </w:rPr>
        <w:t xml:space="preserve"> </w:t>
      </w:r>
      <w:r w:rsidR="009733BD" w:rsidRPr="001C7B5A">
        <w:rPr>
          <w:rFonts w:ascii="Times New Roman" w:hAnsi="Times New Roman"/>
          <w:b/>
          <w:sz w:val="24"/>
          <w:szCs w:val="24"/>
          <w:lang w:val="sr-Cyrl-CS"/>
        </w:rPr>
        <w:t>Објективни услов инкриминације и квалификовани облици</w:t>
      </w:r>
    </w:p>
    <w:p w:rsidR="00925D90" w:rsidRPr="009733BD" w:rsidRDefault="00925D90" w:rsidP="009733BD">
      <w:pPr>
        <w:ind w:firstLine="708"/>
        <w:jc w:val="center"/>
        <w:rPr>
          <w:rFonts w:ascii="Times New Roman" w:hAnsi="Times New Roman"/>
          <w:b/>
          <w:sz w:val="24"/>
          <w:szCs w:val="24"/>
          <w:lang w:val="sr-Cyrl-CS"/>
        </w:rPr>
      </w:pPr>
    </w:p>
    <w:p w:rsidR="0053261E" w:rsidRDefault="000E68B3" w:rsidP="009733BD">
      <w:pPr>
        <w:ind w:firstLine="708"/>
        <w:jc w:val="both"/>
        <w:rPr>
          <w:rFonts w:ascii="Times New Roman" w:hAnsi="Times New Roman"/>
          <w:sz w:val="24"/>
          <w:szCs w:val="24"/>
          <w:lang w:val="sr-Cyrl-CS"/>
        </w:rPr>
      </w:pPr>
      <w:r>
        <w:rPr>
          <w:rFonts w:ascii="Times New Roman" w:hAnsi="Times New Roman"/>
          <w:sz w:val="24"/>
          <w:szCs w:val="24"/>
          <w:lang w:val="sr-Cyrl-CS"/>
        </w:rPr>
        <w:t xml:space="preserve">Износ обавезе чије се плаћање избегава треба да прелази стопедесет хиљада динара. </w:t>
      </w:r>
    </w:p>
    <w:p w:rsidR="000E68B3" w:rsidRDefault="000E68B3" w:rsidP="00B010B3">
      <w:pPr>
        <w:ind w:firstLine="708"/>
        <w:jc w:val="both"/>
        <w:rPr>
          <w:rFonts w:ascii="Times New Roman" w:hAnsi="Times New Roman"/>
          <w:sz w:val="24"/>
          <w:szCs w:val="24"/>
          <w:lang w:val="sr-Cyrl-CS"/>
        </w:rPr>
      </w:pPr>
      <w:r>
        <w:rPr>
          <w:rFonts w:ascii="Times New Roman" w:hAnsi="Times New Roman"/>
          <w:sz w:val="24"/>
          <w:szCs w:val="24"/>
          <w:lang w:val="sr-Cyrl-CS"/>
        </w:rPr>
        <w:t>Квалификовани облици овог кривичног дела постоје ако износ обавезе чије се плаћање избегава прелази милион и петсто хиљада динара</w:t>
      </w:r>
      <w:r w:rsidR="00997E5C">
        <w:rPr>
          <w:rFonts w:ascii="Times New Roman" w:hAnsi="Times New Roman"/>
          <w:sz w:val="24"/>
          <w:szCs w:val="24"/>
          <w:lang w:val="sr-Cyrl-CS"/>
        </w:rPr>
        <w:t xml:space="preserve"> (став 2)</w:t>
      </w:r>
      <w:r w:rsidR="00431669">
        <w:rPr>
          <w:rFonts w:ascii="Times New Roman" w:hAnsi="Times New Roman"/>
          <w:sz w:val="24"/>
          <w:szCs w:val="24"/>
          <w:lang w:val="sr-Cyrl-CS"/>
        </w:rPr>
        <w:t xml:space="preserve">, односно седам милиона и петсто хиљада динара (став 3). </w:t>
      </w:r>
      <w:r w:rsidR="00F311F8">
        <w:rPr>
          <w:rFonts w:ascii="Times New Roman" w:hAnsi="Times New Roman"/>
          <w:sz w:val="24"/>
          <w:szCs w:val="24"/>
          <w:lang w:val="sr-Cyrl-CS"/>
        </w:rPr>
        <w:t>Према томе, о</w:t>
      </w:r>
      <w:r w:rsidR="00431669">
        <w:rPr>
          <w:rFonts w:ascii="Times New Roman" w:hAnsi="Times New Roman"/>
          <w:sz w:val="24"/>
          <w:szCs w:val="24"/>
          <w:lang w:val="sr-Cyrl-CS"/>
        </w:rPr>
        <w:t xml:space="preserve">ва дела </w:t>
      </w:r>
      <w:r w:rsidR="00F311F8">
        <w:rPr>
          <w:rFonts w:ascii="Times New Roman" w:hAnsi="Times New Roman"/>
          <w:sz w:val="24"/>
          <w:szCs w:val="24"/>
          <w:lang w:val="sr-Cyrl-CS"/>
        </w:rPr>
        <w:t>су квалификована висином користи и</w:t>
      </w:r>
      <w:r w:rsidR="00431669">
        <w:rPr>
          <w:rFonts w:ascii="Times New Roman" w:hAnsi="Times New Roman"/>
          <w:sz w:val="24"/>
          <w:szCs w:val="24"/>
          <w:lang w:val="sr-Cyrl-CS"/>
        </w:rPr>
        <w:t xml:space="preserve"> за </w:t>
      </w:r>
      <w:r w:rsidR="00F311F8">
        <w:rPr>
          <w:rFonts w:ascii="Times New Roman" w:hAnsi="Times New Roman"/>
          <w:sz w:val="24"/>
          <w:szCs w:val="24"/>
          <w:lang w:val="sr-Cyrl-CS"/>
        </w:rPr>
        <w:t>њихово постојање потребно је да је</w:t>
      </w:r>
      <w:r w:rsidR="00431669">
        <w:rPr>
          <w:rFonts w:ascii="Times New Roman" w:hAnsi="Times New Roman"/>
          <w:sz w:val="24"/>
          <w:szCs w:val="24"/>
          <w:lang w:val="sr-Cyrl-CS"/>
        </w:rPr>
        <w:t xml:space="preserve"> учинилац свестан да врши утају већег износа, али није потребна свест о одређеној висини утајеног пореза, </w:t>
      </w:r>
      <w:r w:rsidR="00431669">
        <w:rPr>
          <w:rFonts w:ascii="Times New Roman" w:hAnsi="Times New Roman"/>
          <w:sz w:val="24"/>
          <w:szCs w:val="24"/>
          <w:lang w:val="sr-Cyrl-CS"/>
        </w:rPr>
        <w:lastRenderedPageBreak/>
        <w:t>доприноса или других дажбина.</w:t>
      </w:r>
      <w:r w:rsidR="00431669">
        <w:rPr>
          <w:rStyle w:val="FootnoteReference"/>
          <w:rFonts w:ascii="Times New Roman" w:hAnsi="Times New Roman"/>
          <w:sz w:val="24"/>
          <w:szCs w:val="24"/>
          <w:lang w:val="sr-Cyrl-CS"/>
        </w:rPr>
        <w:footnoteReference w:id="815"/>
      </w:r>
      <w:r w:rsidR="00431669">
        <w:rPr>
          <w:rFonts w:ascii="Times New Roman" w:hAnsi="Times New Roman"/>
          <w:sz w:val="24"/>
          <w:szCs w:val="24"/>
          <w:lang w:val="sr-Cyrl-CS"/>
        </w:rPr>
        <w:t xml:space="preserve"> За разлику од његовог основног облика износи прописани за постојање квалификованих облика кривичног дела пореске утаје не представљају</w:t>
      </w:r>
      <w:r w:rsidR="00F311F8">
        <w:rPr>
          <w:rFonts w:ascii="Times New Roman" w:hAnsi="Times New Roman"/>
          <w:sz w:val="24"/>
          <w:szCs w:val="24"/>
          <w:lang w:val="sr-Cyrl-CS"/>
        </w:rPr>
        <w:t xml:space="preserve"> објективан услов инкриминације, него је реч</w:t>
      </w:r>
      <w:r w:rsidR="00431669">
        <w:rPr>
          <w:rFonts w:ascii="Times New Roman" w:hAnsi="Times New Roman"/>
          <w:sz w:val="24"/>
          <w:szCs w:val="24"/>
          <w:lang w:val="sr-Cyrl-CS"/>
        </w:rPr>
        <w:t xml:space="preserve"> о квалификаторној околности која треба да буде обухваћена умишљајем извршиоца.</w:t>
      </w:r>
      <w:r w:rsidR="00431669">
        <w:rPr>
          <w:rStyle w:val="FootnoteReference"/>
          <w:rFonts w:ascii="Times New Roman" w:hAnsi="Times New Roman"/>
          <w:sz w:val="24"/>
          <w:szCs w:val="24"/>
          <w:lang w:val="sr-Cyrl-CS"/>
        </w:rPr>
        <w:footnoteReference w:id="816"/>
      </w:r>
    </w:p>
    <w:p w:rsidR="00AC0D08" w:rsidRDefault="0053261E" w:rsidP="00A66C2C">
      <w:pPr>
        <w:ind w:firstLine="708"/>
        <w:jc w:val="both"/>
        <w:rPr>
          <w:rFonts w:ascii="Times New Roman" w:hAnsi="Times New Roman"/>
          <w:sz w:val="24"/>
          <w:szCs w:val="24"/>
          <w:lang w:val="sr-Cyrl-CS"/>
        </w:rPr>
      </w:pPr>
      <w:r>
        <w:rPr>
          <w:rFonts w:ascii="Times New Roman" w:hAnsi="Times New Roman"/>
          <w:sz w:val="24"/>
          <w:szCs w:val="24"/>
          <w:lang w:val="sr-Cyrl-CS"/>
        </w:rPr>
        <w:t xml:space="preserve">Та вредност мора бити утврђена </w:t>
      </w:r>
      <w:r w:rsidR="00F311F8">
        <w:rPr>
          <w:rFonts w:ascii="Times New Roman" w:hAnsi="Times New Roman"/>
          <w:sz w:val="24"/>
          <w:szCs w:val="24"/>
          <w:lang w:val="sr-Cyrl-CS"/>
        </w:rPr>
        <w:t xml:space="preserve">у односу </w:t>
      </w:r>
      <w:r>
        <w:rPr>
          <w:rFonts w:ascii="Times New Roman" w:hAnsi="Times New Roman"/>
          <w:sz w:val="24"/>
          <w:szCs w:val="24"/>
          <w:lang w:val="sr-Cyrl-CS"/>
        </w:rPr>
        <w:t>на време предузимања радње извршења основно</w:t>
      </w:r>
      <w:r w:rsidR="009733BD">
        <w:rPr>
          <w:rFonts w:ascii="Times New Roman" w:hAnsi="Times New Roman"/>
          <w:sz w:val="24"/>
          <w:szCs w:val="24"/>
          <w:lang w:val="sr-Cyrl-CS"/>
        </w:rPr>
        <w:t>г облика кривичног дела и она мо</w:t>
      </w:r>
      <w:r>
        <w:rPr>
          <w:rFonts w:ascii="Times New Roman" w:hAnsi="Times New Roman"/>
          <w:sz w:val="24"/>
          <w:szCs w:val="24"/>
          <w:lang w:val="sr-Cyrl-CS"/>
        </w:rPr>
        <w:t>ра бити у узрочно последичној вез</w:t>
      </w:r>
      <w:r w:rsidR="00107B35">
        <w:rPr>
          <w:rFonts w:ascii="Times New Roman" w:hAnsi="Times New Roman"/>
          <w:sz w:val="24"/>
          <w:szCs w:val="24"/>
          <w:lang w:val="sr-Cyrl-CS"/>
        </w:rPr>
        <w:t xml:space="preserve">и са предузетом радњом извршења. </w:t>
      </w:r>
      <w:r w:rsidR="00F311F8">
        <w:rPr>
          <w:rFonts w:ascii="Times New Roman" w:hAnsi="Times New Roman"/>
          <w:sz w:val="24"/>
          <w:szCs w:val="24"/>
          <w:lang w:val="sr-Cyrl-CS"/>
        </w:rPr>
        <w:t xml:space="preserve">Такође, </w:t>
      </w:r>
      <w:r w:rsidR="00107B35">
        <w:rPr>
          <w:rFonts w:ascii="Times New Roman" w:hAnsi="Times New Roman"/>
          <w:sz w:val="24"/>
          <w:szCs w:val="24"/>
          <w:lang w:val="sr-Cyrl-CS"/>
        </w:rPr>
        <w:t xml:space="preserve">та квалификаторна околност мора бити обухваћена умишљајем учиниоца. </w:t>
      </w:r>
      <w:r w:rsidR="00F311F8">
        <w:rPr>
          <w:rFonts w:ascii="Times New Roman" w:hAnsi="Times New Roman"/>
          <w:sz w:val="24"/>
          <w:szCs w:val="24"/>
          <w:lang w:val="sr-Cyrl-CS"/>
        </w:rPr>
        <w:t>Према томе</w:t>
      </w:r>
      <w:r w:rsidR="00107B35">
        <w:rPr>
          <w:rFonts w:ascii="Times New Roman" w:hAnsi="Times New Roman"/>
          <w:sz w:val="24"/>
          <w:szCs w:val="24"/>
          <w:lang w:val="sr-Cyrl-CS"/>
        </w:rPr>
        <w:t xml:space="preserve">, пошто се овде ради о кривичном делу квалификованом тежом последицом, за његово постојање </w:t>
      </w:r>
      <w:r w:rsidR="00F311F8">
        <w:rPr>
          <w:rFonts w:ascii="Times New Roman" w:hAnsi="Times New Roman"/>
          <w:sz w:val="24"/>
          <w:szCs w:val="24"/>
          <w:lang w:val="sr-Cyrl-CS"/>
        </w:rPr>
        <w:t xml:space="preserve">је </w:t>
      </w:r>
      <w:r w:rsidR="00107B35">
        <w:rPr>
          <w:rFonts w:ascii="Times New Roman" w:hAnsi="Times New Roman"/>
          <w:sz w:val="24"/>
          <w:szCs w:val="24"/>
          <w:lang w:val="sr-Cyrl-CS"/>
        </w:rPr>
        <w:t>потребно да је учинилац свестан (да зна) да својом радњом управо врши утају пореза или других обавеза у већем износу, али се при томе не тражи да је баш у потпуности свестан одређене висине утајеног пореза, доприноса или других дажбина које представљају јавни приход.</w:t>
      </w:r>
      <w:r w:rsidR="00107B35">
        <w:rPr>
          <w:rStyle w:val="FootnoteReference"/>
          <w:rFonts w:ascii="Times New Roman" w:hAnsi="Times New Roman"/>
          <w:sz w:val="24"/>
          <w:szCs w:val="24"/>
          <w:lang w:val="sr-Cyrl-CS"/>
        </w:rPr>
        <w:footnoteReference w:id="817"/>
      </w:r>
    </w:p>
    <w:p w:rsidR="00420E75" w:rsidRDefault="00420E75" w:rsidP="00B010B3">
      <w:pPr>
        <w:ind w:firstLine="708"/>
        <w:jc w:val="both"/>
        <w:rPr>
          <w:rFonts w:ascii="Times New Roman" w:hAnsi="Times New Roman"/>
          <w:sz w:val="24"/>
          <w:szCs w:val="24"/>
          <w:lang w:val="sr-Cyrl-CS"/>
        </w:rPr>
      </w:pPr>
      <w:r>
        <w:rPr>
          <w:rFonts w:ascii="Times New Roman" w:hAnsi="Times New Roman"/>
          <w:sz w:val="24"/>
          <w:szCs w:val="24"/>
          <w:lang w:val="sr-Cyrl-CS"/>
        </w:rPr>
        <w:t>Између основног облика кривичног дела пореске утаје и квалификованог облика овог дела не постоји квалитативна разлика. Оба дела садрже идентична законска обележја, с</w:t>
      </w:r>
      <w:r w:rsidR="00A66C2C">
        <w:rPr>
          <w:rFonts w:ascii="Times New Roman" w:hAnsi="Times New Roman"/>
          <w:sz w:val="24"/>
          <w:szCs w:val="24"/>
          <w:lang w:val="sr-Cyrl-CS"/>
        </w:rPr>
        <w:t>а</w:t>
      </w:r>
      <w:r>
        <w:rPr>
          <w:rFonts w:ascii="Times New Roman" w:hAnsi="Times New Roman"/>
          <w:sz w:val="24"/>
          <w:szCs w:val="24"/>
          <w:lang w:val="sr-Cyrl-CS"/>
        </w:rPr>
        <w:t xml:space="preserve"> том разликом што је потребно да износ обавезе пореза или доприноса чије се плаћање избегава прелази законом прописане износ</w:t>
      </w:r>
      <w:r w:rsidR="003F41E5">
        <w:rPr>
          <w:rFonts w:ascii="Times New Roman" w:hAnsi="Times New Roman"/>
          <w:sz w:val="24"/>
          <w:szCs w:val="24"/>
          <w:lang w:val="sr-Cyrl-CS"/>
        </w:rPr>
        <w:t>е, у завис</w:t>
      </w:r>
      <w:r w:rsidR="00A66C2C">
        <w:rPr>
          <w:rFonts w:ascii="Times New Roman" w:hAnsi="Times New Roman"/>
          <w:sz w:val="24"/>
          <w:szCs w:val="24"/>
          <w:lang w:val="sr-Cyrl-CS"/>
        </w:rPr>
        <w:t>нос</w:t>
      </w:r>
      <w:r>
        <w:rPr>
          <w:rFonts w:ascii="Times New Roman" w:hAnsi="Times New Roman"/>
          <w:sz w:val="24"/>
          <w:szCs w:val="24"/>
          <w:lang w:val="sr-Cyrl-CS"/>
        </w:rPr>
        <w:t>ти од чега ће се радити о основном или квалификова</w:t>
      </w:r>
      <w:r w:rsidR="009733BD">
        <w:rPr>
          <w:rFonts w:ascii="Times New Roman" w:hAnsi="Times New Roman"/>
          <w:sz w:val="24"/>
          <w:szCs w:val="24"/>
          <w:lang w:val="sr-Cyrl-CS"/>
        </w:rPr>
        <w:t>ном облику овог кривичног дела.</w:t>
      </w:r>
    </w:p>
    <w:p w:rsidR="009733BD" w:rsidRDefault="009733BD" w:rsidP="00B010B3">
      <w:pPr>
        <w:ind w:firstLine="708"/>
        <w:jc w:val="both"/>
        <w:rPr>
          <w:rFonts w:ascii="Times New Roman" w:hAnsi="Times New Roman"/>
          <w:sz w:val="24"/>
          <w:szCs w:val="24"/>
          <w:lang w:val="sr-Cyrl-CS"/>
        </w:rPr>
      </w:pPr>
    </w:p>
    <w:p w:rsidR="00925D90" w:rsidRPr="001C7B5A" w:rsidRDefault="001C7B5A" w:rsidP="008A3795">
      <w:pPr>
        <w:pStyle w:val="ListParagraph"/>
        <w:numPr>
          <w:ilvl w:val="3"/>
          <w:numId w:val="59"/>
        </w:numPr>
        <w:jc w:val="center"/>
        <w:rPr>
          <w:rFonts w:ascii="Times New Roman" w:hAnsi="Times New Roman"/>
          <w:b/>
          <w:sz w:val="24"/>
          <w:szCs w:val="24"/>
          <w:lang w:val="sr-Cyrl-CS"/>
        </w:rPr>
      </w:pPr>
      <w:r>
        <w:rPr>
          <w:rFonts w:ascii="Times New Roman" w:hAnsi="Times New Roman"/>
          <w:b/>
          <w:sz w:val="24"/>
          <w:szCs w:val="24"/>
        </w:rPr>
        <w:t xml:space="preserve"> </w:t>
      </w:r>
      <w:r w:rsidR="009733BD" w:rsidRPr="001C7B5A">
        <w:rPr>
          <w:rFonts w:ascii="Times New Roman" w:hAnsi="Times New Roman"/>
          <w:b/>
          <w:sz w:val="24"/>
          <w:szCs w:val="24"/>
          <w:lang w:val="sr-Cyrl-CS"/>
        </w:rPr>
        <w:t>Извршилац</w:t>
      </w:r>
    </w:p>
    <w:p w:rsidR="009733BD" w:rsidRPr="009733BD" w:rsidRDefault="009733BD" w:rsidP="009733BD">
      <w:pPr>
        <w:ind w:firstLine="708"/>
        <w:jc w:val="center"/>
        <w:rPr>
          <w:rFonts w:ascii="Times New Roman" w:hAnsi="Times New Roman"/>
          <w:b/>
          <w:sz w:val="24"/>
          <w:szCs w:val="24"/>
          <w:lang w:val="sr-Cyrl-CS"/>
        </w:rPr>
      </w:pPr>
    </w:p>
    <w:p w:rsidR="00A66C2C" w:rsidRDefault="00431669" w:rsidP="006376B8">
      <w:pPr>
        <w:ind w:firstLine="708"/>
        <w:jc w:val="both"/>
        <w:rPr>
          <w:rFonts w:ascii="Times New Roman" w:hAnsi="Times New Roman"/>
          <w:sz w:val="24"/>
          <w:szCs w:val="24"/>
          <w:lang w:val="sr-Cyrl-CS"/>
        </w:rPr>
      </w:pPr>
      <w:r>
        <w:rPr>
          <w:rFonts w:ascii="Times New Roman" w:hAnsi="Times New Roman"/>
          <w:sz w:val="24"/>
          <w:szCs w:val="24"/>
          <w:lang w:val="sr-Cyrl-CS"/>
        </w:rPr>
        <w:t>Извршилац овог кривичног дела је порески обвезник али може бити и свако друго лице које је обавезано да даје податке од значаја за опорезивање.</w:t>
      </w:r>
      <w:r w:rsidR="00205CFF">
        <w:rPr>
          <w:rFonts w:ascii="Times New Roman" w:hAnsi="Times New Roman"/>
          <w:sz w:val="24"/>
          <w:szCs w:val="24"/>
          <w:lang w:val="sr-Cyrl-CS"/>
        </w:rPr>
        <w:t xml:space="preserve"> </w:t>
      </w:r>
      <w:r w:rsidR="006376B8">
        <w:rPr>
          <w:rFonts w:ascii="Times New Roman" w:hAnsi="Times New Roman"/>
          <w:sz w:val="24"/>
          <w:szCs w:val="24"/>
          <w:lang w:val="sr-Cyrl-CS"/>
        </w:rPr>
        <w:t>„</w:t>
      </w:r>
      <w:r w:rsidR="00205CFF">
        <w:rPr>
          <w:rFonts w:ascii="Times New Roman" w:hAnsi="Times New Roman"/>
          <w:sz w:val="24"/>
          <w:szCs w:val="24"/>
          <w:lang w:val="sr-Cyrl-CS"/>
        </w:rPr>
        <w:t xml:space="preserve">Извршилац овог </w:t>
      </w:r>
      <w:r w:rsidR="00A66C2C">
        <w:rPr>
          <w:rFonts w:ascii="Times New Roman" w:hAnsi="Times New Roman"/>
          <w:sz w:val="24"/>
          <w:szCs w:val="24"/>
          <w:lang w:val="sr-Cyrl-CS"/>
        </w:rPr>
        <w:t>кривичног дела може бити и зако</w:t>
      </w:r>
      <w:r w:rsidR="00205CFF">
        <w:rPr>
          <w:rFonts w:ascii="Times New Roman" w:hAnsi="Times New Roman"/>
          <w:sz w:val="24"/>
          <w:szCs w:val="24"/>
          <w:lang w:val="sr-Cyrl-CS"/>
        </w:rPr>
        <w:t>н</w:t>
      </w:r>
      <w:r w:rsidR="00A66C2C">
        <w:rPr>
          <w:rFonts w:ascii="Times New Roman" w:hAnsi="Times New Roman"/>
          <w:sz w:val="24"/>
          <w:szCs w:val="24"/>
          <w:lang w:val="sr-Cyrl-CS"/>
        </w:rPr>
        <w:t>с</w:t>
      </w:r>
      <w:r w:rsidR="00205CFF">
        <w:rPr>
          <w:rFonts w:ascii="Times New Roman" w:hAnsi="Times New Roman"/>
          <w:sz w:val="24"/>
          <w:szCs w:val="24"/>
          <w:lang w:val="sr-Cyrl-CS"/>
        </w:rPr>
        <w:t>ки заступник, пуномоћник, старатељ, сувласник, односно лице које у име другог подноси пореску пријаву са лажним подацима и чија радња има за последицу избегавање пореских обавеза. То може бити физичко лице, али и одговорно лице у пореском обвезнику.</w:t>
      </w:r>
      <w:r w:rsidR="006376B8">
        <w:rPr>
          <w:rFonts w:ascii="Times New Roman" w:hAnsi="Times New Roman"/>
          <w:sz w:val="24"/>
          <w:szCs w:val="24"/>
          <w:lang w:val="sr-Cyrl-CS"/>
        </w:rPr>
        <w:t>“</w:t>
      </w:r>
      <w:r w:rsidR="001C25EA">
        <w:rPr>
          <w:rStyle w:val="FootnoteReference"/>
          <w:rFonts w:ascii="Times New Roman" w:hAnsi="Times New Roman"/>
          <w:sz w:val="24"/>
          <w:szCs w:val="24"/>
          <w:lang w:val="sr-Cyrl-CS"/>
        </w:rPr>
        <w:footnoteReference w:id="818"/>
      </w:r>
      <w:r w:rsidR="00A66C2C">
        <w:rPr>
          <w:rFonts w:ascii="Times New Roman" w:hAnsi="Times New Roman"/>
          <w:sz w:val="24"/>
          <w:szCs w:val="24"/>
          <w:lang w:val="sr-Cyrl-CS"/>
        </w:rPr>
        <w:t xml:space="preserve"> </w:t>
      </w:r>
    </w:p>
    <w:p w:rsidR="00A66C2C" w:rsidRPr="00E76080" w:rsidRDefault="005E6B83" w:rsidP="00E25D62">
      <w:pPr>
        <w:ind w:firstLine="708"/>
        <w:jc w:val="both"/>
        <w:rPr>
          <w:rFonts w:ascii="Times New Roman" w:hAnsi="Times New Roman"/>
          <w:sz w:val="24"/>
          <w:szCs w:val="24"/>
          <w:lang w:val="sr-Cyrl-CS"/>
        </w:rPr>
      </w:pPr>
      <w:r>
        <w:rPr>
          <w:rFonts w:ascii="Times New Roman" w:hAnsi="Times New Roman"/>
          <w:sz w:val="24"/>
          <w:szCs w:val="24"/>
          <w:lang w:val="sr-Cyrl-CS"/>
        </w:rPr>
        <w:t xml:space="preserve">То може да буде и лице које само формално обавља пословну делатност </w:t>
      </w:r>
      <w:r w:rsidR="00A66C2C">
        <w:rPr>
          <w:rFonts w:ascii="Times New Roman" w:hAnsi="Times New Roman"/>
          <w:sz w:val="24"/>
          <w:szCs w:val="24"/>
          <w:lang w:val="sr-Cyrl-CS"/>
        </w:rPr>
        <w:t>која га обавезује на под</w:t>
      </w:r>
      <w:r>
        <w:rPr>
          <w:rFonts w:ascii="Times New Roman" w:hAnsi="Times New Roman"/>
          <w:sz w:val="24"/>
          <w:szCs w:val="24"/>
          <w:lang w:val="sr-Cyrl-CS"/>
        </w:rPr>
        <w:t>ношење пореске пријаве и плаћање одговарајућих</w:t>
      </w:r>
      <w:r w:rsidR="006376B8">
        <w:rPr>
          <w:rFonts w:ascii="Times New Roman" w:hAnsi="Times New Roman"/>
          <w:sz w:val="24"/>
          <w:szCs w:val="24"/>
          <w:lang w:val="sr-Cyrl-CS"/>
        </w:rPr>
        <w:t xml:space="preserve"> доприноса друштвеној заједници, што значи под туђим именом.</w:t>
      </w:r>
      <w:r>
        <w:rPr>
          <w:rFonts w:ascii="Times New Roman" w:hAnsi="Times New Roman"/>
          <w:sz w:val="24"/>
          <w:szCs w:val="24"/>
          <w:lang w:val="sr-Cyrl-CS"/>
        </w:rPr>
        <w:t xml:space="preserve"> Али у извршењу овог кривичног дела </w:t>
      </w:r>
      <w:r w:rsidR="006376B8">
        <w:rPr>
          <w:rFonts w:ascii="Times New Roman" w:hAnsi="Times New Roman"/>
          <w:sz w:val="24"/>
          <w:szCs w:val="24"/>
          <w:lang w:val="sr-Cyrl-CS"/>
        </w:rPr>
        <w:t xml:space="preserve">учинилац може бити не само </w:t>
      </w:r>
      <w:r>
        <w:rPr>
          <w:rFonts w:ascii="Times New Roman" w:hAnsi="Times New Roman"/>
          <w:sz w:val="24"/>
          <w:szCs w:val="24"/>
          <w:lang w:val="sr-Cyrl-CS"/>
        </w:rPr>
        <w:t xml:space="preserve">непосредни извршилац који је предузимао једну или више законом предвиђених делатности, већ и друга лица која учествују у овим делатностима помажући или доприносећи овоме, стварајући му повољне услове да своју радњу или оствари уопште или оствари у целости или је оствари брже, </w:t>
      </w:r>
      <w:r>
        <w:rPr>
          <w:rFonts w:ascii="Times New Roman" w:hAnsi="Times New Roman"/>
          <w:sz w:val="24"/>
          <w:szCs w:val="24"/>
          <w:lang w:val="sr-Cyrl-CS"/>
        </w:rPr>
        <w:lastRenderedPageBreak/>
        <w:t>ефикасније и једноставније.</w:t>
      </w:r>
      <w:r w:rsidR="00011D0B">
        <w:rPr>
          <w:rStyle w:val="FootnoteReference"/>
          <w:rFonts w:ascii="Times New Roman" w:hAnsi="Times New Roman"/>
          <w:sz w:val="24"/>
          <w:szCs w:val="24"/>
          <w:lang w:val="sr-Cyrl-CS"/>
        </w:rPr>
        <w:footnoteReference w:id="819"/>
      </w:r>
      <w:r w:rsidR="003F41E5">
        <w:rPr>
          <w:rFonts w:ascii="Times New Roman" w:hAnsi="Times New Roman"/>
          <w:sz w:val="24"/>
          <w:szCs w:val="24"/>
          <w:lang w:val="sr-Cyrl-CS"/>
        </w:rPr>
        <w:t xml:space="preserve"> Извршилац може бити и правно лице према Закону о одговорности правних лица за кривична дела.</w:t>
      </w:r>
      <w:r w:rsidR="008F10B4">
        <w:rPr>
          <w:rStyle w:val="FootnoteReference"/>
          <w:rFonts w:ascii="Times New Roman" w:hAnsi="Times New Roman"/>
          <w:sz w:val="24"/>
          <w:szCs w:val="24"/>
          <w:lang w:val="sr-Cyrl-CS"/>
        </w:rPr>
        <w:footnoteReference w:id="820"/>
      </w:r>
    </w:p>
    <w:p w:rsidR="00E76080" w:rsidRDefault="00E76080" w:rsidP="00B010B3">
      <w:pPr>
        <w:ind w:firstLine="708"/>
        <w:jc w:val="both"/>
        <w:rPr>
          <w:rFonts w:ascii="Times New Roman" w:hAnsi="Times New Roman"/>
          <w:sz w:val="24"/>
          <w:szCs w:val="24"/>
          <w:lang w:val="sr-Cyrl-CS"/>
        </w:rPr>
      </w:pPr>
    </w:p>
    <w:p w:rsidR="00431669" w:rsidRPr="001C7B5A" w:rsidRDefault="001C7B5A" w:rsidP="008A3795">
      <w:pPr>
        <w:pStyle w:val="ListParagraph"/>
        <w:numPr>
          <w:ilvl w:val="3"/>
          <w:numId w:val="59"/>
        </w:numPr>
        <w:jc w:val="center"/>
        <w:rPr>
          <w:rFonts w:ascii="Times New Roman" w:hAnsi="Times New Roman"/>
          <w:b/>
          <w:sz w:val="24"/>
          <w:szCs w:val="24"/>
          <w:lang w:val="sr-Cyrl-CS"/>
        </w:rPr>
      </w:pPr>
      <w:r>
        <w:rPr>
          <w:rFonts w:ascii="Times New Roman" w:hAnsi="Times New Roman"/>
          <w:b/>
          <w:sz w:val="24"/>
          <w:szCs w:val="24"/>
        </w:rPr>
        <w:t xml:space="preserve"> </w:t>
      </w:r>
      <w:r w:rsidR="009733BD" w:rsidRPr="001C7B5A">
        <w:rPr>
          <w:rFonts w:ascii="Times New Roman" w:hAnsi="Times New Roman"/>
          <w:b/>
          <w:sz w:val="24"/>
          <w:szCs w:val="24"/>
          <w:lang w:val="sr-Cyrl-CS"/>
        </w:rPr>
        <w:t>Кривичне санкције</w:t>
      </w:r>
    </w:p>
    <w:p w:rsidR="009733BD" w:rsidRPr="009733BD" w:rsidRDefault="009733BD" w:rsidP="009733BD">
      <w:pPr>
        <w:ind w:firstLine="708"/>
        <w:jc w:val="center"/>
        <w:rPr>
          <w:rFonts w:ascii="Times New Roman" w:hAnsi="Times New Roman"/>
          <w:b/>
          <w:sz w:val="24"/>
          <w:szCs w:val="24"/>
          <w:lang w:val="sr-Cyrl-CS"/>
        </w:rPr>
      </w:pPr>
    </w:p>
    <w:p w:rsidR="00A66C2C" w:rsidRPr="006246A2" w:rsidRDefault="00C01375" w:rsidP="00A66C2C">
      <w:pPr>
        <w:ind w:firstLine="708"/>
        <w:jc w:val="both"/>
        <w:rPr>
          <w:rFonts w:ascii="Times New Roman" w:hAnsi="Times New Roman"/>
          <w:sz w:val="24"/>
          <w:szCs w:val="24"/>
          <w:lang w:val="sr-Cyrl-CS"/>
        </w:rPr>
      </w:pPr>
      <w:r>
        <w:rPr>
          <w:rFonts w:ascii="Times New Roman" w:hAnsi="Times New Roman"/>
          <w:sz w:val="24"/>
          <w:szCs w:val="24"/>
          <w:lang w:val="sr-Cyrl-CS"/>
        </w:rPr>
        <w:t xml:space="preserve">За основни облик овог кривичног дела </w:t>
      </w:r>
      <w:r w:rsidR="00A66C2C" w:rsidRPr="006246A2">
        <w:rPr>
          <w:rFonts w:ascii="Times New Roman" w:hAnsi="Times New Roman"/>
          <w:sz w:val="24"/>
          <w:szCs w:val="24"/>
          <w:lang w:val="sr-Cyrl-CS"/>
        </w:rPr>
        <w:t xml:space="preserve">кумулативно </w:t>
      </w:r>
      <w:r>
        <w:rPr>
          <w:rFonts w:ascii="Times New Roman" w:hAnsi="Times New Roman"/>
          <w:sz w:val="24"/>
          <w:szCs w:val="24"/>
          <w:lang w:val="sr-Cyrl-CS"/>
        </w:rPr>
        <w:t xml:space="preserve">је </w:t>
      </w:r>
      <w:r w:rsidR="00A66C2C" w:rsidRPr="006246A2">
        <w:rPr>
          <w:rFonts w:ascii="Times New Roman" w:hAnsi="Times New Roman"/>
          <w:sz w:val="24"/>
          <w:szCs w:val="24"/>
          <w:lang w:val="sr-Cyrl-CS"/>
        </w:rPr>
        <w:t xml:space="preserve">прописана </w:t>
      </w:r>
      <w:r w:rsidR="00A66C2C" w:rsidRPr="006246A2">
        <w:rPr>
          <w:rFonts w:ascii="Times New Roman" w:hAnsi="Times New Roman"/>
          <w:sz w:val="24"/>
          <w:szCs w:val="24"/>
        </w:rPr>
        <w:t>казн</w:t>
      </w:r>
      <w:r w:rsidR="00A66C2C" w:rsidRPr="006246A2">
        <w:rPr>
          <w:rFonts w:ascii="Times New Roman" w:hAnsi="Times New Roman"/>
          <w:sz w:val="24"/>
          <w:szCs w:val="24"/>
          <w:lang w:val="sr-Cyrl-CS"/>
        </w:rPr>
        <w:t>а затвора</w:t>
      </w:r>
      <w:r w:rsidR="00A66C2C" w:rsidRPr="006246A2">
        <w:rPr>
          <w:rFonts w:ascii="Times New Roman" w:hAnsi="Times New Roman"/>
          <w:sz w:val="24"/>
          <w:szCs w:val="24"/>
        </w:rPr>
        <w:t xml:space="preserve"> од шест </w:t>
      </w:r>
      <w:r w:rsidR="00A66C2C">
        <w:rPr>
          <w:rFonts w:ascii="Times New Roman" w:hAnsi="Times New Roman"/>
          <w:sz w:val="24"/>
          <w:szCs w:val="24"/>
        </w:rPr>
        <w:t>месеци до пет година и новчан</w:t>
      </w:r>
      <w:r w:rsidR="00A66C2C">
        <w:rPr>
          <w:rFonts w:ascii="Times New Roman" w:hAnsi="Times New Roman"/>
          <w:sz w:val="24"/>
          <w:szCs w:val="24"/>
          <w:lang w:val="sr-Cyrl-CS"/>
        </w:rPr>
        <w:t>а</w:t>
      </w:r>
      <w:r w:rsidR="00A66C2C" w:rsidRPr="006246A2">
        <w:rPr>
          <w:rFonts w:ascii="Times New Roman" w:hAnsi="Times New Roman"/>
          <w:sz w:val="24"/>
          <w:szCs w:val="24"/>
        </w:rPr>
        <w:t xml:space="preserve"> казн</w:t>
      </w:r>
      <w:r w:rsidR="00A66C2C" w:rsidRPr="006246A2">
        <w:rPr>
          <w:rFonts w:ascii="Times New Roman" w:hAnsi="Times New Roman"/>
          <w:sz w:val="24"/>
          <w:szCs w:val="24"/>
          <w:lang w:val="sr-Cyrl-CS"/>
        </w:rPr>
        <w:t>а</w:t>
      </w:r>
      <w:r w:rsidR="00A66C2C" w:rsidRPr="006246A2">
        <w:rPr>
          <w:rFonts w:ascii="Times New Roman" w:hAnsi="Times New Roman"/>
          <w:sz w:val="24"/>
          <w:szCs w:val="24"/>
        </w:rPr>
        <w:t>.</w:t>
      </w:r>
    </w:p>
    <w:p w:rsidR="00A66C2C" w:rsidRPr="006246A2" w:rsidRDefault="00C01375" w:rsidP="00A66C2C">
      <w:pPr>
        <w:ind w:firstLine="708"/>
        <w:jc w:val="both"/>
        <w:rPr>
          <w:rFonts w:ascii="Times New Roman" w:hAnsi="Times New Roman"/>
          <w:sz w:val="24"/>
          <w:szCs w:val="24"/>
          <w:lang w:val="sr-Cyrl-CS"/>
        </w:rPr>
      </w:pPr>
      <w:r>
        <w:rPr>
          <w:rFonts w:ascii="Times New Roman" w:hAnsi="Times New Roman"/>
          <w:sz w:val="24"/>
          <w:szCs w:val="24"/>
          <w:lang w:val="sr-Cyrl-CS"/>
        </w:rPr>
        <w:t>За тежи олик овог кривичног дела (став 2)</w:t>
      </w:r>
      <w:r w:rsidR="00A66C2C" w:rsidRPr="006246A2">
        <w:rPr>
          <w:rFonts w:ascii="Times New Roman" w:hAnsi="Times New Roman"/>
          <w:sz w:val="24"/>
          <w:szCs w:val="24"/>
          <w:lang w:val="sr-Cyrl-CS"/>
        </w:rPr>
        <w:t xml:space="preserve"> </w:t>
      </w:r>
      <w:r w:rsidR="00A66C2C" w:rsidRPr="006246A2">
        <w:rPr>
          <w:rFonts w:ascii="Times New Roman" w:hAnsi="Times New Roman"/>
          <w:sz w:val="24"/>
          <w:szCs w:val="24"/>
        </w:rPr>
        <w:t>учинилац ће се казнити затвором од једне до осам година и новчаном казном.</w:t>
      </w:r>
    </w:p>
    <w:p w:rsidR="00A66C2C" w:rsidRPr="006246A2" w:rsidRDefault="00C01375" w:rsidP="00A66C2C">
      <w:pPr>
        <w:ind w:firstLine="708"/>
        <w:jc w:val="both"/>
        <w:rPr>
          <w:rFonts w:ascii="Times New Roman" w:hAnsi="Times New Roman"/>
          <w:sz w:val="24"/>
          <w:szCs w:val="24"/>
          <w:lang w:val="sr-Cyrl-CS"/>
        </w:rPr>
      </w:pPr>
      <w:r>
        <w:rPr>
          <w:rFonts w:ascii="Times New Roman" w:hAnsi="Times New Roman"/>
          <w:sz w:val="24"/>
          <w:szCs w:val="24"/>
          <w:lang w:val="sr-Cyrl-CS"/>
        </w:rPr>
        <w:t>За н</w:t>
      </w:r>
      <w:r w:rsidR="00A66C2C" w:rsidRPr="006246A2">
        <w:rPr>
          <w:rFonts w:ascii="Times New Roman" w:hAnsi="Times New Roman"/>
          <w:sz w:val="24"/>
          <w:szCs w:val="24"/>
          <w:lang w:val="sr-Cyrl-CS"/>
        </w:rPr>
        <w:t xml:space="preserve">ајтежи облик </w:t>
      </w:r>
      <w:r>
        <w:rPr>
          <w:rFonts w:ascii="Times New Roman" w:hAnsi="Times New Roman"/>
          <w:sz w:val="24"/>
          <w:szCs w:val="24"/>
          <w:lang w:val="sr-Cyrl-CS"/>
        </w:rPr>
        <w:t xml:space="preserve">овог кривичног дела (став 3) </w:t>
      </w:r>
      <w:r w:rsidR="00A66C2C" w:rsidRPr="006246A2">
        <w:rPr>
          <w:rFonts w:ascii="Times New Roman" w:hAnsi="Times New Roman"/>
          <w:sz w:val="24"/>
          <w:szCs w:val="24"/>
        </w:rPr>
        <w:t xml:space="preserve">учинилац </w:t>
      </w:r>
      <w:r>
        <w:rPr>
          <w:rFonts w:ascii="Times New Roman" w:hAnsi="Times New Roman"/>
          <w:sz w:val="24"/>
          <w:szCs w:val="24"/>
          <w:lang w:val="sr-Cyrl-CS"/>
        </w:rPr>
        <w:t xml:space="preserve">ће се </w:t>
      </w:r>
      <w:r w:rsidR="00A66C2C" w:rsidRPr="006246A2">
        <w:rPr>
          <w:rFonts w:ascii="Times New Roman" w:hAnsi="Times New Roman"/>
          <w:sz w:val="24"/>
          <w:szCs w:val="24"/>
        </w:rPr>
        <w:t>казнити затвором од две до десет година и новчаном казном.</w:t>
      </w:r>
      <w:r w:rsidR="00A66C2C" w:rsidRPr="006246A2">
        <w:rPr>
          <w:rFonts w:ascii="Times New Roman" w:hAnsi="Times New Roman"/>
          <w:sz w:val="24"/>
          <w:szCs w:val="24"/>
          <w:lang w:val="sr-Cyrl-CS"/>
        </w:rPr>
        <w:t xml:space="preserve"> </w:t>
      </w:r>
    </w:p>
    <w:p w:rsidR="00ED3A8A" w:rsidRDefault="00ED3A8A" w:rsidP="00925D90">
      <w:pPr>
        <w:jc w:val="both"/>
        <w:rPr>
          <w:rFonts w:ascii="Times New Roman" w:hAnsi="Times New Roman"/>
          <w:sz w:val="24"/>
          <w:szCs w:val="24"/>
        </w:rPr>
      </w:pPr>
    </w:p>
    <w:p w:rsidR="00255CEF" w:rsidRPr="00255CEF" w:rsidRDefault="00255CEF" w:rsidP="00925D90">
      <w:pPr>
        <w:jc w:val="both"/>
        <w:rPr>
          <w:rFonts w:ascii="Times New Roman" w:hAnsi="Times New Roman"/>
          <w:sz w:val="24"/>
          <w:szCs w:val="24"/>
        </w:rPr>
      </w:pPr>
    </w:p>
    <w:p w:rsidR="00261A9F" w:rsidRPr="001C7B5A" w:rsidRDefault="001656C3" w:rsidP="008A3795">
      <w:pPr>
        <w:pStyle w:val="ListParagraph"/>
        <w:numPr>
          <w:ilvl w:val="2"/>
          <w:numId w:val="59"/>
        </w:numPr>
        <w:jc w:val="center"/>
        <w:rPr>
          <w:rFonts w:ascii="Times New Roman" w:hAnsi="Times New Roman"/>
          <w:b/>
          <w:sz w:val="24"/>
          <w:szCs w:val="24"/>
          <w:lang w:val="sr-Cyrl-CS"/>
        </w:rPr>
      </w:pPr>
      <w:r w:rsidRPr="001C7B5A">
        <w:rPr>
          <w:rFonts w:ascii="Times New Roman" w:hAnsi="Times New Roman"/>
          <w:b/>
          <w:sz w:val="24"/>
          <w:szCs w:val="24"/>
          <w:lang w:val="sr-Cyrl-CS"/>
        </w:rPr>
        <w:t>Неуплаћивање пореза по одбитку</w:t>
      </w:r>
    </w:p>
    <w:p w:rsidR="00D21046" w:rsidRPr="001C7B5A" w:rsidRDefault="00D21046" w:rsidP="00925D90">
      <w:pPr>
        <w:jc w:val="both"/>
        <w:rPr>
          <w:rFonts w:ascii="Times New Roman" w:hAnsi="Times New Roman"/>
          <w:b/>
          <w:sz w:val="24"/>
          <w:szCs w:val="24"/>
        </w:rPr>
      </w:pPr>
    </w:p>
    <w:p w:rsidR="00261A9F" w:rsidRPr="004F3D57" w:rsidRDefault="001656C3" w:rsidP="004F3D57">
      <w:pPr>
        <w:ind w:firstLine="708"/>
        <w:jc w:val="both"/>
        <w:rPr>
          <w:rFonts w:ascii="Times New Roman" w:hAnsi="Times New Roman"/>
          <w:sz w:val="24"/>
          <w:szCs w:val="24"/>
          <w:lang w:val="sr-Cyrl-CS"/>
        </w:rPr>
      </w:pPr>
      <w:r w:rsidRPr="004F3D57">
        <w:rPr>
          <w:rFonts w:ascii="Times New Roman" w:hAnsi="Times New Roman"/>
          <w:sz w:val="24"/>
          <w:szCs w:val="24"/>
          <w:lang w:val="sr-Cyrl-CS"/>
        </w:rPr>
        <w:t>Кривично дело неуплаћивање пореза по одбитку Кривичног законика</w:t>
      </w:r>
      <w:r w:rsidRPr="004F3D57">
        <w:rPr>
          <w:rStyle w:val="FootnoteReference"/>
          <w:rFonts w:ascii="Times New Roman" w:hAnsi="Times New Roman"/>
          <w:sz w:val="24"/>
          <w:szCs w:val="24"/>
          <w:lang w:val="sr-Cyrl-CS"/>
        </w:rPr>
        <w:footnoteReference w:id="821"/>
      </w:r>
      <w:r w:rsidRPr="004F3D57">
        <w:rPr>
          <w:rFonts w:ascii="Times New Roman" w:hAnsi="Times New Roman"/>
          <w:sz w:val="24"/>
          <w:szCs w:val="24"/>
          <w:lang w:val="sr-Cyrl-CS"/>
        </w:rPr>
        <w:t xml:space="preserve"> </w:t>
      </w:r>
      <w:r w:rsidR="00261A9F" w:rsidRPr="004F3D57">
        <w:rPr>
          <w:rFonts w:ascii="Times New Roman" w:hAnsi="Times New Roman"/>
          <w:sz w:val="24"/>
          <w:szCs w:val="24"/>
          <w:lang w:val="sr-Cyrl-CS"/>
        </w:rPr>
        <w:t>има основни и два квалификована облика.</w:t>
      </w:r>
    </w:p>
    <w:p w:rsidR="00261A9F" w:rsidRPr="004F3D57" w:rsidRDefault="00544666" w:rsidP="004F3D57">
      <w:pPr>
        <w:jc w:val="both"/>
        <w:rPr>
          <w:rFonts w:ascii="Times New Roman" w:hAnsi="Times New Roman"/>
          <w:color w:val="000000"/>
          <w:sz w:val="24"/>
          <w:szCs w:val="24"/>
          <w:lang w:val="sr-Cyrl-CS"/>
        </w:rPr>
      </w:pPr>
      <w:r w:rsidRPr="004F3D57">
        <w:rPr>
          <w:rFonts w:ascii="Times New Roman" w:hAnsi="Times New Roman"/>
          <w:color w:val="000000"/>
          <w:sz w:val="24"/>
          <w:szCs w:val="24"/>
        </w:rPr>
        <w:t xml:space="preserve"> </w:t>
      </w:r>
      <w:r w:rsidRPr="004F3D57">
        <w:rPr>
          <w:rFonts w:ascii="Times New Roman" w:hAnsi="Times New Roman"/>
          <w:color w:val="000000"/>
          <w:sz w:val="24"/>
          <w:szCs w:val="24"/>
          <w:lang w:val="sr-Cyrl-CS"/>
        </w:rPr>
        <w:tab/>
        <w:t>Основни облик је када о</w:t>
      </w:r>
      <w:r w:rsidR="00A155C4" w:rsidRPr="004F3D57">
        <w:rPr>
          <w:rFonts w:ascii="Times New Roman" w:hAnsi="Times New Roman"/>
          <w:color w:val="000000"/>
          <w:sz w:val="24"/>
          <w:szCs w:val="24"/>
        </w:rPr>
        <w:t>дговорно</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лице</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у</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правном</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лицу</w:t>
      </w:r>
      <w:r w:rsidR="00261A9F" w:rsidRPr="004F3D57">
        <w:rPr>
          <w:rFonts w:ascii="Times New Roman" w:hAnsi="Times New Roman"/>
          <w:color w:val="000000"/>
          <w:sz w:val="24"/>
          <w:szCs w:val="24"/>
        </w:rPr>
        <w:t xml:space="preserve"> - </w:t>
      </w:r>
      <w:r w:rsidR="00A155C4" w:rsidRPr="004F3D57">
        <w:rPr>
          <w:rFonts w:ascii="Times New Roman" w:hAnsi="Times New Roman"/>
          <w:color w:val="000000"/>
          <w:sz w:val="24"/>
          <w:szCs w:val="24"/>
        </w:rPr>
        <w:t>пореском</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платцу</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као</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и</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предузетник</w:t>
      </w:r>
      <w:r w:rsidRPr="004F3D57">
        <w:rPr>
          <w:rFonts w:ascii="Times New Roman" w:hAnsi="Times New Roman"/>
          <w:color w:val="000000"/>
          <w:sz w:val="24"/>
          <w:szCs w:val="24"/>
        </w:rPr>
        <w:t xml:space="preserve"> - </w:t>
      </w:r>
      <w:r w:rsidR="00A155C4" w:rsidRPr="004F3D57">
        <w:rPr>
          <w:rFonts w:ascii="Times New Roman" w:hAnsi="Times New Roman"/>
          <w:color w:val="000000"/>
          <w:sz w:val="24"/>
          <w:szCs w:val="24"/>
        </w:rPr>
        <w:t>порески</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платац</w:t>
      </w:r>
      <w:r w:rsidRPr="004F3D57">
        <w:rPr>
          <w:rFonts w:ascii="Times New Roman" w:hAnsi="Times New Roman"/>
          <w:color w:val="000000"/>
          <w:sz w:val="24"/>
          <w:szCs w:val="24"/>
          <w:lang w:val="sr-Cyrl-CS"/>
        </w:rPr>
        <w:t xml:space="preserve">, </w:t>
      </w:r>
      <w:r w:rsidR="00A155C4" w:rsidRPr="004F3D57">
        <w:rPr>
          <w:rFonts w:ascii="Times New Roman" w:hAnsi="Times New Roman"/>
          <w:color w:val="000000"/>
          <w:sz w:val="24"/>
          <w:szCs w:val="24"/>
        </w:rPr>
        <w:t>у</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намери</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да</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избегне</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плаћање</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пореза</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по</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одбитку</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доприноса</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за</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обавезно</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социјално</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осигурање</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по</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одбитку</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или</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других</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прописаних</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дажбина</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не</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уплати</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износ</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који</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је</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обрачунат</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на</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име</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пореза</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по</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одбитку</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односно</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доприноса</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за</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обавезно</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социјално</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осигурање</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по</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одбитку</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на</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прописани</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уплатни</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рачун</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јавних</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прихода</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или</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не</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уплати</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друге</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прописане</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дажбине</w:t>
      </w:r>
      <w:r w:rsidRPr="004F3D57">
        <w:rPr>
          <w:rFonts w:ascii="Times New Roman" w:hAnsi="Times New Roman"/>
          <w:color w:val="000000"/>
          <w:sz w:val="24"/>
          <w:szCs w:val="24"/>
          <w:lang w:val="sr-Cyrl-CS"/>
        </w:rPr>
        <w:t xml:space="preserve">. </w:t>
      </w:r>
      <w:r w:rsidR="00261A9F" w:rsidRPr="004F3D57">
        <w:rPr>
          <w:rStyle w:val="apple-converted-space"/>
          <w:rFonts w:ascii="Times New Roman" w:hAnsi="Times New Roman"/>
          <w:color w:val="000000"/>
          <w:sz w:val="24"/>
          <w:szCs w:val="24"/>
        </w:rPr>
        <w:t> </w:t>
      </w:r>
      <w:r w:rsidR="00826968" w:rsidRPr="004F3D57">
        <w:rPr>
          <w:rStyle w:val="apple-converted-space"/>
          <w:rFonts w:ascii="Times New Roman" w:hAnsi="Times New Roman"/>
          <w:color w:val="000000"/>
          <w:sz w:val="24"/>
          <w:szCs w:val="24"/>
          <w:lang w:val="sr-Cyrl-CS"/>
        </w:rPr>
        <w:t>За ов</w:t>
      </w:r>
      <w:r w:rsidRPr="004F3D57">
        <w:rPr>
          <w:rStyle w:val="apple-converted-space"/>
          <w:rFonts w:ascii="Times New Roman" w:hAnsi="Times New Roman"/>
          <w:color w:val="000000"/>
          <w:sz w:val="24"/>
          <w:szCs w:val="24"/>
          <w:lang w:val="sr-Cyrl-CS"/>
        </w:rPr>
        <w:t xml:space="preserve">ај основни облик је прописана кумулативно </w:t>
      </w:r>
      <w:r w:rsidR="00A155C4" w:rsidRPr="004F3D57">
        <w:rPr>
          <w:rFonts w:ascii="Times New Roman" w:hAnsi="Times New Roman"/>
          <w:color w:val="000000"/>
          <w:sz w:val="24"/>
          <w:szCs w:val="24"/>
        </w:rPr>
        <w:t>казн</w:t>
      </w:r>
      <w:r w:rsidRPr="004F3D57">
        <w:rPr>
          <w:rFonts w:ascii="Times New Roman" w:hAnsi="Times New Roman"/>
          <w:color w:val="000000"/>
          <w:sz w:val="24"/>
          <w:szCs w:val="24"/>
          <w:lang w:val="sr-Cyrl-CS"/>
        </w:rPr>
        <w:t>а затвора</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до</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три</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године</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и</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новчан</w:t>
      </w:r>
      <w:r w:rsidRPr="004F3D57">
        <w:rPr>
          <w:rFonts w:ascii="Times New Roman" w:hAnsi="Times New Roman"/>
          <w:color w:val="000000"/>
          <w:sz w:val="24"/>
          <w:szCs w:val="24"/>
          <w:lang w:val="sr-Cyrl-CS"/>
        </w:rPr>
        <w:t>а</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казн</w:t>
      </w:r>
      <w:r w:rsidRPr="004F3D57">
        <w:rPr>
          <w:rFonts w:ascii="Times New Roman" w:hAnsi="Times New Roman"/>
          <w:color w:val="000000"/>
          <w:sz w:val="24"/>
          <w:szCs w:val="24"/>
          <w:lang w:val="sr-Cyrl-CS"/>
        </w:rPr>
        <w:t>а</w:t>
      </w:r>
      <w:r w:rsidR="00261A9F" w:rsidRPr="004F3D57">
        <w:rPr>
          <w:rFonts w:ascii="Times New Roman" w:hAnsi="Times New Roman"/>
          <w:color w:val="000000"/>
          <w:sz w:val="24"/>
          <w:szCs w:val="24"/>
        </w:rPr>
        <w:t>.</w:t>
      </w:r>
    </w:p>
    <w:p w:rsidR="00544666" w:rsidRPr="004F3D57" w:rsidRDefault="00544666" w:rsidP="004F3D57">
      <w:pPr>
        <w:jc w:val="both"/>
        <w:rPr>
          <w:rFonts w:ascii="Times New Roman" w:hAnsi="Times New Roman"/>
          <w:color w:val="000000"/>
          <w:sz w:val="24"/>
          <w:szCs w:val="24"/>
          <w:lang w:val="sr-Cyrl-CS"/>
        </w:rPr>
      </w:pPr>
    </w:p>
    <w:p w:rsidR="00544666" w:rsidRPr="004F3D57" w:rsidRDefault="00544666" w:rsidP="004F3D57">
      <w:pPr>
        <w:ind w:firstLine="708"/>
        <w:jc w:val="both"/>
        <w:rPr>
          <w:rFonts w:ascii="Times New Roman" w:hAnsi="Times New Roman"/>
          <w:color w:val="000000"/>
          <w:sz w:val="24"/>
          <w:szCs w:val="24"/>
          <w:lang w:val="sr-Cyrl-CS"/>
        </w:rPr>
      </w:pPr>
      <w:r w:rsidRPr="004F3D57">
        <w:rPr>
          <w:rFonts w:ascii="Times New Roman" w:hAnsi="Times New Roman"/>
          <w:color w:val="000000"/>
          <w:sz w:val="24"/>
          <w:szCs w:val="24"/>
          <w:lang w:val="sr-Cyrl-CS"/>
        </w:rPr>
        <w:lastRenderedPageBreak/>
        <w:t xml:space="preserve">Тежи облик  постоји  ако </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износ</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обрачунатог</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а</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неуплаћеног</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пореза</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односно</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доприноса</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прелази</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милион</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и</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петсто</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хиљада</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динара</w:t>
      </w:r>
      <w:r w:rsidRPr="004F3D57">
        <w:rPr>
          <w:rFonts w:ascii="Times New Roman" w:hAnsi="Times New Roman"/>
          <w:color w:val="000000"/>
          <w:sz w:val="24"/>
          <w:szCs w:val="24"/>
          <w:lang w:val="sr-Cyrl-CS"/>
        </w:rPr>
        <w:t>. У овом случају је проп</w:t>
      </w:r>
      <w:r w:rsidR="00826968" w:rsidRPr="004F3D57">
        <w:rPr>
          <w:rFonts w:ascii="Times New Roman" w:hAnsi="Times New Roman"/>
          <w:color w:val="000000"/>
          <w:sz w:val="24"/>
          <w:szCs w:val="24"/>
          <w:lang w:val="sr-Cyrl-CS"/>
        </w:rPr>
        <w:t>и</w:t>
      </w:r>
      <w:r w:rsidRPr="004F3D57">
        <w:rPr>
          <w:rFonts w:ascii="Times New Roman" w:hAnsi="Times New Roman"/>
          <w:color w:val="000000"/>
          <w:sz w:val="24"/>
          <w:szCs w:val="24"/>
          <w:lang w:val="sr-Cyrl-CS"/>
        </w:rPr>
        <w:t xml:space="preserve">сана казна затвора </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од</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шест</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месеци</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до</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пет</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година</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и</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новчан</w:t>
      </w:r>
      <w:r w:rsidRPr="004F3D57">
        <w:rPr>
          <w:rFonts w:ascii="Times New Roman" w:hAnsi="Times New Roman"/>
          <w:color w:val="000000"/>
          <w:sz w:val="24"/>
          <w:szCs w:val="24"/>
          <w:lang w:val="sr-Cyrl-CS"/>
        </w:rPr>
        <w:t>а</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казн</w:t>
      </w:r>
      <w:r w:rsidRPr="004F3D57">
        <w:rPr>
          <w:rFonts w:ascii="Times New Roman" w:hAnsi="Times New Roman"/>
          <w:color w:val="000000"/>
          <w:sz w:val="24"/>
          <w:szCs w:val="24"/>
          <w:lang w:val="sr-Cyrl-CS"/>
        </w:rPr>
        <w:t>а</w:t>
      </w:r>
      <w:r w:rsidR="00261A9F" w:rsidRPr="004F3D57">
        <w:rPr>
          <w:rFonts w:ascii="Times New Roman" w:hAnsi="Times New Roman"/>
          <w:color w:val="000000"/>
          <w:sz w:val="24"/>
          <w:szCs w:val="24"/>
        </w:rPr>
        <w:t>.</w:t>
      </w:r>
    </w:p>
    <w:p w:rsidR="00826968" w:rsidRPr="004F3D57" w:rsidRDefault="00544666" w:rsidP="004F3D57">
      <w:pPr>
        <w:ind w:firstLine="708"/>
        <w:jc w:val="both"/>
        <w:rPr>
          <w:rFonts w:ascii="Times New Roman" w:hAnsi="Times New Roman"/>
          <w:color w:val="000000"/>
          <w:sz w:val="24"/>
          <w:szCs w:val="24"/>
          <w:lang w:val="sr-Cyrl-CS"/>
        </w:rPr>
      </w:pPr>
      <w:r w:rsidRPr="004F3D57">
        <w:rPr>
          <w:rFonts w:ascii="Times New Roman" w:hAnsi="Times New Roman"/>
          <w:color w:val="000000"/>
          <w:sz w:val="24"/>
          <w:szCs w:val="24"/>
          <w:lang w:val="sr-Cyrl-CS"/>
        </w:rPr>
        <w:t xml:space="preserve">Најтежи облик постоји </w:t>
      </w:r>
      <w:r w:rsidRPr="004F3D57">
        <w:rPr>
          <w:rFonts w:ascii="Times New Roman" w:hAnsi="Times New Roman"/>
          <w:color w:val="000000"/>
          <w:sz w:val="24"/>
          <w:szCs w:val="24"/>
        </w:rPr>
        <w:t xml:space="preserve"> </w:t>
      </w:r>
      <w:r w:rsidRPr="004F3D57">
        <w:rPr>
          <w:rFonts w:ascii="Times New Roman" w:hAnsi="Times New Roman"/>
          <w:color w:val="000000"/>
          <w:sz w:val="24"/>
          <w:szCs w:val="24"/>
          <w:lang w:val="sr-Cyrl-CS"/>
        </w:rPr>
        <w:t>а</w:t>
      </w:r>
      <w:r w:rsidR="00A155C4" w:rsidRPr="004F3D57">
        <w:rPr>
          <w:rFonts w:ascii="Times New Roman" w:hAnsi="Times New Roman"/>
          <w:color w:val="000000"/>
          <w:sz w:val="24"/>
          <w:szCs w:val="24"/>
        </w:rPr>
        <w:t>ко</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износ</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обрачунатог</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а</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неуплаћеног</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пореза</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односно</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доприноса</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прелази</w:t>
      </w:r>
      <w:r w:rsidRPr="004F3D57">
        <w:rPr>
          <w:rFonts w:ascii="Times New Roman" w:hAnsi="Times New Roman"/>
          <w:color w:val="000000"/>
          <w:sz w:val="24"/>
          <w:szCs w:val="24"/>
          <w:lang w:val="sr-Cyrl-CS"/>
        </w:rPr>
        <w:t xml:space="preserve"> </w:t>
      </w:r>
      <w:r w:rsidR="00A155C4" w:rsidRPr="004F3D57">
        <w:rPr>
          <w:rFonts w:ascii="Times New Roman" w:hAnsi="Times New Roman"/>
          <w:color w:val="000000"/>
          <w:sz w:val="24"/>
          <w:szCs w:val="24"/>
        </w:rPr>
        <w:t>седам</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милиона</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и</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петсто</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хиљада</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динара</w:t>
      </w:r>
      <w:r w:rsidRPr="004F3D57">
        <w:rPr>
          <w:rFonts w:ascii="Times New Roman" w:hAnsi="Times New Roman"/>
          <w:color w:val="000000"/>
          <w:sz w:val="24"/>
          <w:szCs w:val="24"/>
          <w:lang w:val="sr-Cyrl-CS"/>
        </w:rPr>
        <w:t xml:space="preserve">. Учинилац ће се казнити затвором </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од</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једне</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до</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десет</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година</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и</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новчаном</w:t>
      </w:r>
      <w:r w:rsidR="00261A9F"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казном</w:t>
      </w:r>
      <w:r w:rsidR="00261A9F" w:rsidRPr="004F3D57">
        <w:rPr>
          <w:rFonts w:ascii="Times New Roman" w:hAnsi="Times New Roman"/>
          <w:color w:val="000000"/>
          <w:sz w:val="24"/>
          <w:szCs w:val="24"/>
        </w:rPr>
        <w:t>.</w:t>
      </w:r>
    </w:p>
    <w:p w:rsidR="00826968" w:rsidRPr="004F3D57" w:rsidRDefault="00826968" w:rsidP="004F3D57">
      <w:pPr>
        <w:ind w:firstLine="708"/>
        <w:jc w:val="both"/>
        <w:rPr>
          <w:rFonts w:ascii="Times New Roman" w:hAnsi="Times New Roman"/>
          <w:color w:val="000000"/>
          <w:sz w:val="24"/>
          <w:szCs w:val="24"/>
          <w:lang w:val="sr-Cyrl-CS"/>
        </w:rPr>
      </w:pPr>
      <w:r w:rsidRPr="004F3D57">
        <w:rPr>
          <w:rFonts w:ascii="Times New Roman" w:hAnsi="Times New Roman"/>
          <w:color w:val="000000"/>
          <w:sz w:val="24"/>
          <w:szCs w:val="24"/>
          <w:lang w:val="sr-Cyrl-CS"/>
        </w:rPr>
        <w:t xml:space="preserve">Према члану </w:t>
      </w:r>
      <w:r w:rsidRPr="004F3D57">
        <w:rPr>
          <w:rFonts w:ascii="Times New Roman" w:hAnsi="Times New Roman"/>
          <w:color w:val="000000"/>
          <w:sz w:val="24"/>
          <w:szCs w:val="24"/>
        </w:rPr>
        <w:t xml:space="preserve"> 41. </w:t>
      </w:r>
      <w:r w:rsidR="00A155C4" w:rsidRPr="004F3D57">
        <w:rPr>
          <w:rFonts w:ascii="Times New Roman" w:hAnsi="Times New Roman"/>
          <w:color w:val="000000"/>
          <w:sz w:val="24"/>
          <w:szCs w:val="24"/>
        </w:rPr>
        <w:t>Закона</w:t>
      </w:r>
      <w:r w:rsidRPr="004F3D57">
        <w:rPr>
          <w:rFonts w:ascii="Times New Roman" w:hAnsi="Times New Roman"/>
          <w:color w:val="000000"/>
          <w:sz w:val="24"/>
          <w:szCs w:val="24"/>
          <w:lang w:val="sr-Cyrl-CS"/>
        </w:rPr>
        <w:t xml:space="preserve"> о пореском поступку и пореској администрацији</w:t>
      </w:r>
      <w:r w:rsidRPr="004F3D57">
        <w:rPr>
          <w:rStyle w:val="FootnoteReference"/>
          <w:rFonts w:ascii="Times New Roman" w:hAnsi="Times New Roman"/>
          <w:color w:val="000000"/>
          <w:sz w:val="24"/>
          <w:szCs w:val="24"/>
          <w:lang w:val="sr-Cyrl-CS"/>
        </w:rPr>
        <w:footnoteReference w:id="822"/>
      </w:r>
      <w:r w:rsidRPr="004F3D57">
        <w:rPr>
          <w:rFonts w:ascii="Times New Roman" w:hAnsi="Times New Roman"/>
          <w:color w:val="000000"/>
          <w:sz w:val="24"/>
          <w:szCs w:val="24"/>
          <w:lang w:val="sr-Cyrl-CS"/>
        </w:rPr>
        <w:t xml:space="preserve"> </w:t>
      </w:r>
      <w:r w:rsidR="00A155C4" w:rsidRPr="004F3D57">
        <w:rPr>
          <w:rFonts w:ascii="Times New Roman" w:hAnsi="Times New Roman"/>
          <w:color w:val="000000"/>
          <w:sz w:val="24"/>
          <w:szCs w:val="24"/>
        </w:rPr>
        <w:t>прописано</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је</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да</w:t>
      </w:r>
      <w:r w:rsidRPr="004F3D57">
        <w:rPr>
          <w:rFonts w:ascii="Times New Roman" w:hAnsi="Times New Roman"/>
          <w:color w:val="000000"/>
          <w:sz w:val="24"/>
          <w:szCs w:val="24"/>
        </w:rPr>
        <w:t xml:space="preserve"> </w:t>
      </w:r>
      <w:r w:rsidRPr="004F3D57">
        <w:rPr>
          <w:rFonts w:ascii="Times New Roman" w:hAnsi="Times New Roman"/>
          <w:color w:val="000000"/>
          <w:sz w:val="24"/>
          <w:szCs w:val="24"/>
          <w:lang w:val="sr-Cyrl-CS"/>
        </w:rPr>
        <w:t xml:space="preserve">је </w:t>
      </w:r>
      <w:r w:rsidR="00A155C4" w:rsidRPr="004F3D57">
        <w:rPr>
          <w:rFonts w:ascii="Times New Roman" w:hAnsi="Times New Roman"/>
          <w:color w:val="000000"/>
          <w:sz w:val="24"/>
          <w:szCs w:val="24"/>
        </w:rPr>
        <w:t>пореска</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пријава</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за</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порез</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по</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одбитку</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уствари</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извештај</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који</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порески</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платац</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односно</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порески</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посредник</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подноси</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Пореској</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управи</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у</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којем</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су</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садржане</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информације</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о</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обрачунатом</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и</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плаћеном</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порезу</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по</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одбитку</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са</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називом</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и</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бројем</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уплатног</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рачуна</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јавних</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прихода</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на</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које</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је</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тај</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порез</w:t>
      </w:r>
      <w:r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уплаћен</w:t>
      </w:r>
      <w:r w:rsidRPr="004F3D57">
        <w:rPr>
          <w:rFonts w:ascii="Times New Roman" w:hAnsi="Times New Roman"/>
          <w:color w:val="000000"/>
          <w:sz w:val="24"/>
          <w:szCs w:val="24"/>
        </w:rPr>
        <w:t>.</w:t>
      </w:r>
    </w:p>
    <w:p w:rsidR="00826968" w:rsidRPr="004F3D57" w:rsidRDefault="00A155C4" w:rsidP="004F3D57">
      <w:pPr>
        <w:ind w:firstLine="708"/>
        <w:jc w:val="both"/>
        <w:rPr>
          <w:rFonts w:ascii="Times New Roman" w:hAnsi="Times New Roman"/>
          <w:color w:val="000000"/>
          <w:sz w:val="24"/>
          <w:szCs w:val="24"/>
          <w:lang w:val="sr-Cyrl-CS"/>
        </w:rPr>
      </w:pPr>
      <w:r w:rsidRPr="004F3D57">
        <w:rPr>
          <w:rFonts w:ascii="Times New Roman" w:hAnsi="Times New Roman"/>
          <w:color w:val="000000"/>
          <w:sz w:val="24"/>
          <w:szCs w:val="24"/>
        </w:rPr>
        <w:t>Пореска</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пријава</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за</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порез</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по</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одбитку</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може</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бити</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збирна</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и</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појединачна</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Збирна</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пореска</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пријава</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садржи</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информације</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о</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обрачунатом</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и</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плаћеном</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порезу</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по</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одбитку</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од</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стране</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једног</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пореског</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плаца</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за</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све</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примаоце</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прихода</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односно</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од</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стране</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једног</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пореског</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плаца</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за</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све</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пореске</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обвезнике</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односно</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пореске</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плаце</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који</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код</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њега</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имају</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рачун</w:t>
      </w:r>
      <w:r w:rsidR="00826968" w:rsidRPr="004F3D57">
        <w:rPr>
          <w:rFonts w:ascii="Times New Roman" w:hAnsi="Times New Roman"/>
          <w:color w:val="000000"/>
          <w:sz w:val="24"/>
          <w:szCs w:val="24"/>
        </w:rPr>
        <w:t>.</w:t>
      </w:r>
    </w:p>
    <w:p w:rsidR="00A34830" w:rsidRPr="004F3D57" w:rsidRDefault="00A155C4" w:rsidP="004F3D57">
      <w:pPr>
        <w:ind w:firstLine="708"/>
        <w:jc w:val="both"/>
        <w:rPr>
          <w:rFonts w:ascii="Times New Roman" w:hAnsi="Times New Roman"/>
          <w:color w:val="000000"/>
          <w:sz w:val="24"/>
          <w:szCs w:val="24"/>
          <w:lang w:val="sr-Cyrl-CS"/>
        </w:rPr>
      </w:pPr>
      <w:r w:rsidRPr="004F3D57">
        <w:rPr>
          <w:rFonts w:ascii="Times New Roman" w:hAnsi="Times New Roman"/>
          <w:color w:val="000000"/>
          <w:sz w:val="24"/>
          <w:szCs w:val="24"/>
        </w:rPr>
        <w:t>Појединачна</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пореска</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пријава</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је</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она</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која</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садржи</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информацију</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о</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обрачунатом</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и</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плаћеном</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порезу</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по</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одбитку</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од</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стране</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једног</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пореског</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плаца</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за</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сваког</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примаоца</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прихода</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односно</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од</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стране</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једног</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пореског</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посредника</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за</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сваког</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пореског</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обвезника</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односно</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пореског</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плаца</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који</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код</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њега</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има</w:t>
      </w:r>
      <w:r w:rsidR="00826968" w:rsidRPr="004F3D57">
        <w:rPr>
          <w:rFonts w:ascii="Times New Roman" w:hAnsi="Times New Roman"/>
          <w:color w:val="000000"/>
          <w:sz w:val="24"/>
          <w:szCs w:val="24"/>
        </w:rPr>
        <w:t xml:space="preserve"> </w:t>
      </w:r>
      <w:r w:rsidRPr="004F3D57">
        <w:rPr>
          <w:rFonts w:ascii="Times New Roman" w:hAnsi="Times New Roman"/>
          <w:color w:val="000000"/>
          <w:sz w:val="24"/>
          <w:szCs w:val="24"/>
        </w:rPr>
        <w:t>рачун</w:t>
      </w:r>
      <w:r w:rsidR="00826968" w:rsidRPr="004F3D57">
        <w:rPr>
          <w:rFonts w:ascii="Times New Roman" w:hAnsi="Times New Roman"/>
          <w:color w:val="000000"/>
          <w:sz w:val="24"/>
          <w:szCs w:val="24"/>
        </w:rPr>
        <w:t>.</w:t>
      </w:r>
      <w:r w:rsidR="00826968" w:rsidRPr="004F3D57">
        <w:rPr>
          <w:rFonts w:ascii="Times New Roman" w:hAnsi="Times New Roman"/>
          <w:color w:val="000000"/>
          <w:sz w:val="24"/>
          <w:szCs w:val="24"/>
          <w:lang w:val="sr-Cyrl-CS"/>
        </w:rPr>
        <w:t xml:space="preserve"> </w:t>
      </w:r>
    </w:p>
    <w:p w:rsidR="00A31967" w:rsidRPr="004F3D57" w:rsidRDefault="00A34830" w:rsidP="004F3D57">
      <w:pPr>
        <w:ind w:firstLine="708"/>
        <w:jc w:val="both"/>
        <w:rPr>
          <w:rFonts w:ascii="Times New Roman" w:hAnsi="Times New Roman"/>
          <w:color w:val="000000"/>
          <w:sz w:val="24"/>
          <w:szCs w:val="24"/>
          <w:lang w:val="sr-Cyrl-CS"/>
        </w:rPr>
      </w:pPr>
      <w:r w:rsidRPr="004F3D57">
        <w:rPr>
          <w:rFonts w:ascii="Times New Roman" w:hAnsi="Times New Roman"/>
          <w:color w:val="000000"/>
          <w:sz w:val="24"/>
          <w:szCs w:val="24"/>
          <w:lang w:val="sr-Cyrl-CS"/>
        </w:rPr>
        <w:t xml:space="preserve">Да би се радило о овом кривичном делу потребно је да код учиниоца постоји намера да се не </w:t>
      </w:r>
      <w:r w:rsidR="006376B8" w:rsidRPr="004F3D57">
        <w:rPr>
          <w:rFonts w:ascii="Times New Roman" w:hAnsi="Times New Roman"/>
          <w:color w:val="000000"/>
          <w:sz w:val="24"/>
          <w:szCs w:val="24"/>
          <w:lang w:val="sr-Cyrl-CS"/>
        </w:rPr>
        <w:t>у</w:t>
      </w:r>
      <w:r w:rsidRPr="004F3D57">
        <w:rPr>
          <w:rFonts w:ascii="Times New Roman" w:hAnsi="Times New Roman"/>
          <w:color w:val="000000"/>
          <w:sz w:val="24"/>
          <w:szCs w:val="24"/>
          <w:lang w:val="sr-Cyrl-CS"/>
        </w:rPr>
        <w:t>плати порез.</w:t>
      </w:r>
      <w:r w:rsidRPr="004F3D57">
        <w:rPr>
          <w:rStyle w:val="FootnoteReference"/>
          <w:rFonts w:ascii="Times New Roman" w:hAnsi="Times New Roman"/>
          <w:color w:val="000000"/>
          <w:sz w:val="24"/>
          <w:szCs w:val="24"/>
          <w:lang w:val="sr-Cyrl-CS"/>
        </w:rPr>
        <w:footnoteReference w:id="823"/>
      </w:r>
      <w:r w:rsidRPr="004F3D57">
        <w:rPr>
          <w:rFonts w:ascii="Times New Roman" w:hAnsi="Times New Roman"/>
          <w:color w:val="000000"/>
          <w:sz w:val="24"/>
          <w:szCs w:val="24"/>
          <w:lang w:val="sr-Cyrl-CS"/>
        </w:rPr>
        <w:t xml:space="preserve"> Уколико такве намере нема, ово дело не постоји</w:t>
      </w:r>
      <w:r w:rsidRPr="004F3D57">
        <w:rPr>
          <w:rFonts w:ascii="Times New Roman" w:hAnsi="Times New Roman"/>
          <w:color w:val="000000"/>
          <w:sz w:val="24"/>
          <w:szCs w:val="24"/>
        </w:rPr>
        <w:t xml:space="preserve">, </w:t>
      </w:r>
      <w:r w:rsidRPr="004F3D57">
        <w:rPr>
          <w:rFonts w:ascii="Times New Roman" w:hAnsi="Times New Roman"/>
          <w:color w:val="000000"/>
          <w:sz w:val="24"/>
          <w:szCs w:val="24"/>
          <w:lang w:val="sr-Cyrl-CS"/>
        </w:rPr>
        <w:t xml:space="preserve">односно уколико је порески обвезник објективно био у немогућности да измири своју обавезу. Код доказивања овог кривичног дела мора бити утврђено постојање намере потпуног или делимичног неплаћања пореза.  </w:t>
      </w:r>
    </w:p>
    <w:p w:rsidR="00A31967" w:rsidRPr="004F3D57" w:rsidRDefault="00BE20E5" w:rsidP="004F3D57">
      <w:pPr>
        <w:ind w:firstLine="708"/>
        <w:jc w:val="both"/>
        <w:rPr>
          <w:rFonts w:ascii="Times New Roman" w:hAnsi="Times New Roman"/>
          <w:color w:val="000000"/>
          <w:sz w:val="24"/>
          <w:szCs w:val="24"/>
          <w:lang w:val="sr-Cyrl-CS"/>
        </w:rPr>
      </w:pPr>
      <w:r w:rsidRPr="004F3D57">
        <w:rPr>
          <w:rFonts w:ascii="Times New Roman" w:hAnsi="Times New Roman"/>
          <w:color w:val="000000"/>
          <w:sz w:val="24"/>
          <w:szCs w:val="24"/>
          <w:lang w:val="sr-Cyrl-CS"/>
        </w:rPr>
        <w:t xml:space="preserve">Дело ће бити </w:t>
      </w:r>
      <w:r w:rsidR="00A31967" w:rsidRPr="004F3D57">
        <w:rPr>
          <w:rFonts w:ascii="Times New Roman" w:hAnsi="Times New Roman"/>
          <w:color w:val="000000"/>
          <w:sz w:val="24"/>
          <w:szCs w:val="24"/>
          <w:lang w:val="sr-Cyrl-CS"/>
        </w:rPr>
        <w:t>свршено када је протекао временски интервал у коме је порески платац био обавезан да на прописани порески рачун јавних прихода уплати одређени износ, а</w:t>
      </w:r>
      <w:r w:rsidRPr="004F3D57">
        <w:rPr>
          <w:rFonts w:ascii="Times New Roman" w:hAnsi="Times New Roman"/>
          <w:color w:val="000000"/>
          <w:sz w:val="24"/>
          <w:szCs w:val="24"/>
          <w:lang w:val="sr-Cyrl-CS"/>
        </w:rPr>
        <w:t>ли</w:t>
      </w:r>
      <w:r w:rsidR="00A31967" w:rsidRPr="004F3D57">
        <w:rPr>
          <w:rFonts w:ascii="Times New Roman" w:hAnsi="Times New Roman"/>
          <w:color w:val="000000"/>
          <w:sz w:val="24"/>
          <w:szCs w:val="24"/>
          <w:lang w:val="sr-Cyrl-CS"/>
        </w:rPr>
        <w:t xml:space="preserve"> он то није учинио са намером да порез уопште не уплати.</w:t>
      </w:r>
      <w:r w:rsidR="00A34830" w:rsidRPr="004F3D57">
        <w:rPr>
          <w:rStyle w:val="FootnoteReference"/>
          <w:rFonts w:ascii="Times New Roman" w:hAnsi="Times New Roman"/>
          <w:color w:val="000000"/>
          <w:sz w:val="24"/>
          <w:szCs w:val="24"/>
          <w:lang w:val="sr-Cyrl-CS"/>
        </w:rPr>
        <w:footnoteReference w:id="824"/>
      </w:r>
    </w:p>
    <w:p w:rsidR="00D51394" w:rsidRPr="005235F9" w:rsidRDefault="00D51394" w:rsidP="005235F9">
      <w:pPr>
        <w:pStyle w:val="normal0"/>
        <w:shd w:val="clear" w:color="auto" w:fill="FFFFFF"/>
        <w:spacing w:before="48" w:beforeAutospacing="0" w:after="48" w:afterAutospacing="0"/>
        <w:jc w:val="both"/>
        <w:rPr>
          <w:color w:val="000000"/>
          <w:lang w:val="sr-Cyrl-CS"/>
        </w:rPr>
      </w:pPr>
    </w:p>
    <w:p w:rsidR="00D51394" w:rsidRDefault="009807CC" w:rsidP="008A3795">
      <w:pPr>
        <w:pStyle w:val="normal0"/>
        <w:numPr>
          <w:ilvl w:val="3"/>
          <w:numId w:val="59"/>
        </w:numPr>
        <w:shd w:val="clear" w:color="auto" w:fill="FFFFFF"/>
        <w:spacing w:before="48" w:beforeAutospacing="0" w:after="48" w:afterAutospacing="0"/>
        <w:jc w:val="center"/>
        <w:rPr>
          <w:b/>
          <w:color w:val="000000"/>
          <w:lang w:val="sr-Cyrl-CS"/>
        </w:rPr>
      </w:pPr>
      <w:r w:rsidRPr="005235F9">
        <w:rPr>
          <w:b/>
          <w:color w:val="000000"/>
          <w:lang w:val="sr-Cyrl-CS"/>
        </w:rPr>
        <w:t>Радња кривичног дела</w:t>
      </w:r>
    </w:p>
    <w:p w:rsidR="009161A0" w:rsidRPr="005235F9" w:rsidRDefault="009161A0" w:rsidP="009161A0">
      <w:pPr>
        <w:pStyle w:val="normal0"/>
        <w:shd w:val="clear" w:color="auto" w:fill="FFFFFF"/>
        <w:spacing w:before="48" w:beforeAutospacing="0" w:after="48" w:afterAutospacing="0"/>
        <w:ind w:left="1428"/>
        <w:rPr>
          <w:b/>
          <w:color w:val="000000"/>
          <w:lang w:val="sr-Cyrl-CS"/>
        </w:rPr>
      </w:pPr>
    </w:p>
    <w:p w:rsidR="008008DF" w:rsidRPr="005235F9" w:rsidRDefault="008008DF" w:rsidP="005235F9">
      <w:pPr>
        <w:pStyle w:val="normal0"/>
        <w:shd w:val="clear" w:color="auto" w:fill="FFFFFF"/>
        <w:spacing w:before="48" w:beforeAutospacing="0" w:after="48" w:afterAutospacing="0"/>
        <w:jc w:val="both"/>
        <w:rPr>
          <w:color w:val="000000"/>
          <w:lang w:val="sr-Cyrl-CS"/>
        </w:rPr>
      </w:pPr>
    </w:p>
    <w:p w:rsidR="005235F9" w:rsidRPr="004F3D57" w:rsidRDefault="008008DF" w:rsidP="004F3D57">
      <w:pPr>
        <w:ind w:firstLine="708"/>
        <w:jc w:val="both"/>
        <w:rPr>
          <w:rFonts w:ascii="Times New Roman" w:hAnsi="Times New Roman"/>
          <w:sz w:val="24"/>
          <w:szCs w:val="24"/>
          <w:lang w:val="sr-Cyrl-CS"/>
        </w:rPr>
      </w:pPr>
      <w:r w:rsidRPr="004F3D57">
        <w:rPr>
          <w:rFonts w:ascii="Times New Roman" w:hAnsi="Times New Roman"/>
          <w:sz w:val="24"/>
          <w:szCs w:val="24"/>
          <w:lang w:val="sr-Cyrl-CS"/>
        </w:rPr>
        <w:t>Радња овог криви</w:t>
      </w:r>
      <w:r w:rsidR="001C7B5A" w:rsidRPr="004F3D57">
        <w:rPr>
          <w:rFonts w:ascii="Times New Roman" w:hAnsi="Times New Roman"/>
          <w:sz w:val="24"/>
          <w:szCs w:val="24"/>
          <w:lang w:val="sr-Cyrl-CS"/>
        </w:rPr>
        <w:t>чног дела се састоји у неуплаћив</w:t>
      </w:r>
      <w:r w:rsidRPr="004F3D57">
        <w:rPr>
          <w:rFonts w:ascii="Times New Roman" w:hAnsi="Times New Roman"/>
          <w:sz w:val="24"/>
          <w:szCs w:val="24"/>
          <w:lang w:val="sr-Cyrl-CS"/>
        </w:rPr>
        <w:t xml:space="preserve">ању износа који је обрачунат </w:t>
      </w:r>
      <w:r w:rsidR="00A155C4" w:rsidRPr="004F3D57">
        <w:rPr>
          <w:rFonts w:ascii="Times New Roman" w:hAnsi="Times New Roman"/>
          <w:sz w:val="24"/>
          <w:szCs w:val="24"/>
        </w:rPr>
        <w:t>на</w:t>
      </w:r>
      <w:r w:rsidRPr="004F3D57">
        <w:rPr>
          <w:rFonts w:ascii="Times New Roman" w:hAnsi="Times New Roman"/>
          <w:sz w:val="24"/>
          <w:szCs w:val="24"/>
        </w:rPr>
        <w:t xml:space="preserve"> </w:t>
      </w:r>
      <w:r w:rsidR="00A155C4" w:rsidRPr="004F3D57">
        <w:rPr>
          <w:rFonts w:ascii="Times New Roman" w:hAnsi="Times New Roman"/>
          <w:sz w:val="24"/>
          <w:szCs w:val="24"/>
        </w:rPr>
        <w:t>име</w:t>
      </w:r>
      <w:r w:rsidRPr="004F3D57">
        <w:rPr>
          <w:rFonts w:ascii="Times New Roman" w:hAnsi="Times New Roman"/>
          <w:sz w:val="24"/>
          <w:szCs w:val="24"/>
        </w:rPr>
        <w:t xml:space="preserve"> </w:t>
      </w:r>
      <w:r w:rsidR="00A155C4" w:rsidRPr="004F3D57">
        <w:rPr>
          <w:rFonts w:ascii="Times New Roman" w:hAnsi="Times New Roman"/>
          <w:sz w:val="24"/>
          <w:szCs w:val="24"/>
        </w:rPr>
        <w:t>пореза</w:t>
      </w:r>
      <w:r w:rsidRPr="004F3D57">
        <w:rPr>
          <w:rFonts w:ascii="Times New Roman" w:hAnsi="Times New Roman"/>
          <w:sz w:val="24"/>
          <w:szCs w:val="24"/>
        </w:rPr>
        <w:t xml:space="preserve"> </w:t>
      </w:r>
      <w:r w:rsidR="00A155C4" w:rsidRPr="004F3D57">
        <w:rPr>
          <w:rFonts w:ascii="Times New Roman" w:hAnsi="Times New Roman"/>
          <w:sz w:val="24"/>
          <w:szCs w:val="24"/>
        </w:rPr>
        <w:t>по</w:t>
      </w:r>
      <w:r w:rsidRPr="004F3D57">
        <w:rPr>
          <w:rFonts w:ascii="Times New Roman" w:hAnsi="Times New Roman"/>
          <w:sz w:val="24"/>
          <w:szCs w:val="24"/>
        </w:rPr>
        <w:t xml:space="preserve"> </w:t>
      </w:r>
      <w:r w:rsidR="00A155C4" w:rsidRPr="004F3D57">
        <w:rPr>
          <w:rFonts w:ascii="Times New Roman" w:hAnsi="Times New Roman"/>
          <w:sz w:val="24"/>
          <w:szCs w:val="24"/>
        </w:rPr>
        <w:t>одбитку</w:t>
      </w:r>
      <w:r w:rsidRPr="004F3D57">
        <w:rPr>
          <w:rFonts w:ascii="Times New Roman" w:hAnsi="Times New Roman"/>
          <w:sz w:val="24"/>
          <w:szCs w:val="24"/>
        </w:rPr>
        <w:t xml:space="preserve">, </w:t>
      </w:r>
      <w:r w:rsidR="00A155C4" w:rsidRPr="004F3D57">
        <w:rPr>
          <w:rFonts w:ascii="Times New Roman" w:hAnsi="Times New Roman"/>
          <w:sz w:val="24"/>
          <w:szCs w:val="24"/>
        </w:rPr>
        <w:t>односно</w:t>
      </w:r>
      <w:r w:rsidRPr="004F3D57">
        <w:rPr>
          <w:rFonts w:ascii="Times New Roman" w:hAnsi="Times New Roman"/>
          <w:sz w:val="24"/>
          <w:szCs w:val="24"/>
        </w:rPr>
        <w:t xml:space="preserve"> </w:t>
      </w:r>
      <w:r w:rsidR="00A155C4" w:rsidRPr="004F3D57">
        <w:rPr>
          <w:rFonts w:ascii="Times New Roman" w:hAnsi="Times New Roman"/>
          <w:sz w:val="24"/>
          <w:szCs w:val="24"/>
        </w:rPr>
        <w:t>доприноса</w:t>
      </w:r>
      <w:r w:rsidRPr="004F3D57">
        <w:rPr>
          <w:rFonts w:ascii="Times New Roman" w:hAnsi="Times New Roman"/>
          <w:sz w:val="24"/>
          <w:szCs w:val="24"/>
        </w:rPr>
        <w:t xml:space="preserve"> </w:t>
      </w:r>
      <w:r w:rsidR="00A155C4" w:rsidRPr="004F3D57">
        <w:rPr>
          <w:rFonts w:ascii="Times New Roman" w:hAnsi="Times New Roman"/>
          <w:sz w:val="24"/>
          <w:szCs w:val="24"/>
        </w:rPr>
        <w:t>за</w:t>
      </w:r>
      <w:r w:rsidRPr="004F3D57">
        <w:rPr>
          <w:rFonts w:ascii="Times New Roman" w:hAnsi="Times New Roman"/>
          <w:sz w:val="24"/>
          <w:szCs w:val="24"/>
        </w:rPr>
        <w:t xml:space="preserve"> </w:t>
      </w:r>
      <w:r w:rsidR="00A155C4" w:rsidRPr="004F3D57">
        <w:rPr>
          <w:rFonts w:ascii="Times New Roman" w:hAnsi="Times New Roman"/>
          <w:sz w:val="24"/>
          <w:szCs w:val="24"/>
        </w:rPr>
        <w:t>обавезно</w:t>
      </w:r>
      <w:r w:rsidRPr="004F3D57">
        <w:rPr>
          <w:rFonts w:ascii="Times New Roman" w:hAnsi="Times New Roman"/>
          <w:sz w:val="24"/>
          <w:szCs w:val="24"/>
        </w:rPr>
        <w:t xml:space="preserve"> </w:t>
      </w:r>
      <w:r w:rsidR="00A155C4" w:rsidRPr="004F3D57">
        <w:rPr>
          <w:rFonts w:ascii="Times New Roman" w:hAnsi="Times New Roman"/>
          <w:sz w:val="24"/>
          <w:szCs w:val="24"/>
        </w:rPr>
        <w:t>социјално</w:t>
      </w:r>
      <w:r w:rsidRPr="004F3D57">
        <w:rPr>
          <w:rFonts w:ascii="Times New Roman" w:hAnsi="Times New Roman"/>
          <w:sz w:val="24"/>
          <w:szCs w:val="24"/>
        </w:rPr>
        <w:t xml:space="preserve"> </w:t>
      </w:r>
      <w:r w:rsidR="00A155C4" w:rsidRPr="004F3D57">
        <w:rPr>
          <w:rFonts w:ascii="Times New Roman" w:hAnsi="Times New Roman"/>
          <w:sz w:val="24"/>
          <w:szCs w:val="24"/>
        </w:rPr>
        <w:t>осигурање</w:t>
      </w:r>
      <w:r w:rsidRPr="004F3D57">
        <w:rPr>
          <w:rFonts w:ascii="Times New Roman" w:hAnsi="Times New Roman"/>
          <w:sz w:val="24"/>
          <w:szCs w:val="24"/>
        </w:rPr>
        <w:t xml:space="preserve"> </w:t>
      </w:r>
      <w:r w:rsidR="00A155C4" w:rsidRPr="004F3D57">
        <w:rPr>
          <w:rFonts w:ascii="Times New Roman" w:hAnsi="Times New Roman"/>
          <w:sz w:val="24"/>
          <w:szCs w:val="24"/>
        </w:rPr>
        <w:t>по</w:t>
      </w:r>
      <w:r w:rsidRPr="004F3D57">
        <w:rPr>
          <w:rFonts w:ascii="Times New Roman" w:hAnsi="Times New Roman"/>
          <w:sz w:val="24"/>
          <w:szCs w:val="24"/>
        </w:rPr>
        <w:t xml:space="preserve"> </w:t>
      </w:r>
      <w:r w:rsidR="00A155C4" w:rsidRPr="004F3D57">
        <w:rPr>
          <w:rFonts w:ascii="Times New Roman" w:hAnsi="Times New Roman"/>
          <w:sz w:val="24"/>
          <w:szCs w:val="24"/>
        </w:rPr>
        <w:lastRenderedPageBreak/>
        <w:t>одбитку</w:t>
      </w:r>
      <w:r w:rsidRPr="004F3D57">
        <w:rPr>
          <w:rFonts w:ascii="Times New Roman" w:hAnsi="Times New Roman"/>
          <w:sz w:val="24"/>
          <w:szCs w:val="24"/>
        </w:rPr>
        <w:t xml:space="preserve">, </w:t>
      </w:r>
      <w:r w:rsidR="00A155C4" w:rsidRPr="004F3D57">
        <w:rPr>
          <w:rFonts w:ascii="Times New Roman" w:hAnsi="Times New Roman"/>
          <w:sz w:val="24"/>
          <w:szCs w:val="24"/>
        </w:rPr>
        <w:t>на</w:t>
      </w:r>
      <w:r w:rsidRPr="004F3D57">
        <w:rPr>
          <w:rFonts w:ascii="Times New Roman" w:hAnsi="Times New Roman"/>
          <w:sz w:val="24"/>
          <w:szCs w:val="24"/>
        </w:rPr>
        <w:t xml:space="preserve"> </w:t>
      </w:r>
      <w:r w:rsidR="00A155C4" w:rsidRPr="004F3D57">
        <w:rPr>
          <w:rFonts w:ascii="Times New Roman" w:hAnsi="Times New Roman"/>
          <w:sz w:val="24"/>
          <w:szCs w:val="24"/>
        </w:rPr>
        <w:t>прописани</w:t>
      </w:r>
      <w:r w:rsidRPr="004F3D57">
        <w:rPr>
          <w:rFonts w:ascii="Times New Roman" w:hAnsi="Times New Roman"/>
          <w:sz w:val="24"/>
          <w:szCs w:val="24"/>
        </w:rPr>
        <w:t xml:space="preserve"> </w:t>
      </w:r>
      <w:r w:rsidR="00A155C4" w:rsidRPr="004F3D57">
        <w:rPr>
          <w:rFonts w:ascii="Times New Roman" w:hAnsi="Times New Roman"/>
          <w:sz w:val="24"/>
          <w:szCs w:val="24"/>
        </w:rPr>
        <w:t>уплатни</w:t>
      </w:r>
      <w:r w:rsidRPr="004F3D57">
        <w:rPr>
          <w:rFonts w:ascii="Times New Roman" w:hAnsi="Times New Roman"/>
          <w:sz w:val="24"/>
          <w:szCs w:val="24"/>
        </w:rPr>
        <w:t xml:space="preserve"> </w:t>
      </w:r>
      <w:r w:rsidR="00A155C4" w:rsidRPr="004F3D57">
        <w:rPr>
          <w:rFonts w:ascii="Times New Roman" w:hAnsi="Times New Roman"/>
          <w:sz w:val="24"/>
          <w:szCs w:val="24"/>
        </w:rPr>
        <w:t>рачун</w:t>
      </w:r>
      <w:r w:rsidRPr="004F3D57">
        <w:rPr>
          <w:rFonts w:ascii="Times New Roman" w:hAnsi="Times New Roman"/>
          <w:sz w:val="24"/>
          <w:szCs w:val="24"/>
        </w:rPr>
        <w:t xml:space="preserve"> </w:t>
      </w:r>
      <w:r w:rsidR="00A155C4" w:rsidRPr="004F3D57">
        <w:rPr>
          <w:rFonts w:ascii="Times New Roman" w:hAnsi="Times New Roman"/>
          <w:sz w:val="24"/>
          <w:szCs w:val="24"/>
        </w:rPr>
        <w:t>јавних</w:t>
      </w:r>
      <w:r w:rsidRPr="004F3D57">
        <w:rPr>
          <w:rFonts w:ascii="Times New Roman" w:hAnsi="Times New Roman"/>
          <w:sz w:val="24"/>
          <w:szCs w:val="24"/>
        </w:rPr>
        <w:t xml:space="preserve"> </w:t>
      </w:r>
      <w:r w:rsidR="00A155C4" w:rsidRPr="004F3D57">
        <w:rPr>
          <w:rFonts w:ascii="Times New Roman" w:hAnsi="Times New Roman"/>
          <w:sz w:val="24"/>
          <w:szCs w:val="24"/>
        </w:rPr>
        <w:t>прихода</w:t>
      </w:r>
      <w:r w:rsidRPr="004F3D57">
        <w:rPr>
          <w:rFonts w:ascii="Times New Roman" w:hAnsi="Times New Roman"/>
          <w:sz w:val="24"/>
          <w:szCs w:val="24"/>
        </w:rPr>
        <w:t xml:space="preserve"> </w:t>
      </w:r>
      <w:r w:rsidR="00A155C4" w:rsidRPr="004F3D57">
        <w:rPr>
          <w:rFonts w:ascii="Times New Roman" w:hAnsi="Times New Roman"/>
          <w:sz w:val="24"/>
          <w:szCs w:val="24"/>
        </w:rPr>
        <w:t>или</w:t>
      </w:r>
      <w:r w:rsidRPr="004F3D57">
        <w:rPr>
          <w:rFonts w:ascii="Times New Roman" w:hAnsi="Times New Roman"/>
          <w:sz w:val="24"/>
          <w:szCs w:val="24"/>
        </w:rPr>
        <w:t xml:space="preserve"> </w:t>
      </w:r>
      <w:r w:rsidR="00A155C4" w:rsidRPr="004F3D57">
        <w:rPr>
          <w:rFonts w:ascii="Times New Roman" w:hAnsi="Times New Roman"/>
          <w:sz w:val="24"/>
          <w:szCs w:val="24"/>
        </w:rPr>
        <w:t>не</w:t>
      </w:r>
      <w:r w:rsidRPr="004F3D57">
        <w:rPr>
          <w:rFonts w:ascii="Times New Roman" w:hAnsi="Times New Roman"/>
          <w:sz w:val="24"/>
          <w:szCs w:val="24"/>
        </w:rPr>
        <w:t xml:space="preserve"> </w:t>
      </w:r>
      <w:r w:rsidR="00A155C4" w:rsidRPr="004F3D57">
        <w:rPr>
          <w:rFonts w:ascii="Times New Roman" w:hAnsi="Times New Roman"/>
          <w:sz w:val="24"/>
          <w:szCs w:val="24"/>
        </w:rPr>
        <w:t>уплати</w:t>
      </w:r>
      <w:r w:rsidRPr="004F3D57">
        <w:rPr>
          <w:rFonts w:ascii="Times New Roman" w:hAnsi="Times New Roman"/>
          <w:sz w:val="24"/>
          <w:szCs w:val="24"/>
        </w:rPr>
        <w:t xml:space="preserve"> </w:t>
      </w:r>
      <w:r w:rsidR="00A155C4" w:rsidRPr="004F3D57">
        <w:rPr>
          <w:rFonts w:ascii="Times New Roman" w:hAnsi="Times New Roman"/>
          <w:sz w:val="24"/>
          <w:szCs w:val="24"/>
        </w:rPr>
        <w:t>друге</w:t>
      </w:r>
      <w:r w:rsidRPr="004F3D57">
        <w:rPr>
          <w:rFonts w:ascii="Times New Roman" w:hAnsi="Times New Roman"/>
          <w:sz w:val="24"/>
          <w:szCs w:val="24"/>
        </w:rPr>
        <w:t xml:space="preserve"> </w:t>
      </w:r>
      <w:r w:rsidR="00A155C4" w:rsidRPr="004F3D57">
        <w:rPr>
          <w:rFonts w:ascii="Times New Roman" w:hAnsi="Times New Roman"/>
          <w:sz w:val="24"/>
          <w:szCs w:val="24"/>
        </w:rPr>
        <w:t>прописане</w:t>
      </w:r>
      <w:r w:rsidRPr="004F3D57">
        <w:rPr>
          <w:rFonts w:ascii="Times New Roman" w:hAnsi="Times New Roman"/>
          <w:sz w:val="24"/>
          <w:szCs w:val="24"/>
        </w:rPr>
        <w:t xml:space="preserve"> </w:t>
      </w:r>
      <w:r w:rsidR="00A155C4" w:rsidRPr="004F3D57">
        <w:rPr>
          <w:rFonts w:ascii="Times New Roman" w:hAnsi="Times New Roman"/>
          <w:sz w:val="24"/>
          <w:szCs w:val="24"/>
        </w:rPr>
        <w:t>дажбине</w:t>
      </w:r>
      <w:r w:rsidRPr="004F3D57">
        <w:rPr>
          <w:rFonts w:ascii="Times New Roman" w:hAnsi="Times New Roman"/>
          <w:sz w:val="24"/>
          <w:szCs w:val="24"/>
          <w:lang w:val="sr-Cyrl-CS"/>
        </w:rPr>
        <w:t xml:space="preserve"> потпуно или делимично. </w:t>
      </w:r>
    </w:p>
    <w:p w:rsidR="00AB087E" w:rsidRPr="004F3D57" w:rsidRDefault="00BE20E5" w:rsidP="004F3D57">
      <w:pPr>
        <w:ind w:firstLine="708"/>
        <w:jc w:val="both"/>
        <w:rPr>
          <w:rFonts w:ascii="Times New Roman" w:hAnsi="Times New Roman"/>
          <w:sz w:val="24"/>
          <w:szCs w:val="24"/>
          <w:lang w:val="sr-Cyrl-CS"/>
        </w:rPr>
      </w:pPr>
      <w:r w:rsidRPr="004F3D57">
        <w:rPr>
          <w:rFonts w:ascii="Times New Roman" w:hAnsi="Times New Roman"/>
          <w:sz w:val="24"/>
          <w:szCs w:val="24"/>
          <w:lang w:val="sr-Cyrl-CS"/>
        </w:rPr>
        <w:t>Ово кривично дело има бланкетни карактер јер се п</w:t>
      </w:r>
      <w:r w:rsidR="00C74AFA" w:rsidRPr="004F3D57">
        <w:rPr>
          <w:rFonts w:ascii="Times New Roman" w:hAnsi="Times New Roman"/>
          <w:sz w:val="24"/>
          <w:szCs w:val="24"/>
          <w:lang w:val="sr-Cyrl-CS"/>
        </w:rPr>
        <w:t xml:space="preserve">рирода и </w:t>
      </w:r>
      <w:r w:rsidRPr="004F3D57">
        <w:rPr>
          <w:rFonts w:ascii="Times New Roman" w:hAnsi="Times New Roman"/>
          <w:sz w:val="24"/>
          <w:szCs w:val="24"/>
          <w:lang w:val="sr-Cyrl-CS"/>
        </w:rPr>
        <w:t>садржај ових обавеза утврђују  другим, ванкривичним прописима.</w:t>
      </w:r>
      <w:r w:rsidR="00C74AFA" w:rsidRPr="004F3D57">
        <w:rPr>
          <w:rFonts w:ascii="Times New Roman" w:hAnsi="Times New Roman"/>
          <w:sz w:val="24"/>
          <w:szCs w:val="24"/>
          <w:lang w:val="sr-Cyrl-CS"/>
        </w:rPr>
        <w:t xml:space="preserve"> </w:t>
      </w:r>
      <w:r w:rsidR="008008DF" w:rsidRPr="004F3D57">
        <w:rPr>
          <w:rFonts w:ascii="Times New Roman" w:hAnsi="Times New Roman"/>
          <w:sz w:val="24"/>
          <w:szCs w:val="24"/>
          <w:lang w:val="sr-Cyrl-CS"/>
        </w:rPr>
        <w:t xml:space="preserve">Дело </w:t>
      </w:r>
      <w:r w:rsidRPr="004F3D57">
        <w:rPr>
          <w:rFonts w:ascii="Times New Roman" w:hAnsi="Times New Roman"/>
          <w:sz w:val="24"/>
          <w:szCs w:val="24"/>
          <w:lang w:val="sr-Cyrl-CS"/>
        </w:rPr>
        <w:t>ће бити</w:t>
      </w:r>
      <w:r w:rsidR="008008DF" w:rsidRPr="004F3D57">
        <w:rPr>
          <w:rFonts w:ascii="Times New Roman" w:hAnsi="Times New Roman"/>
          <w:sz w:val="24"/>
          <w:szCs w:val="24"/>
          <w:lang w:val="sr-Cyrl-CS"/>
        </w:rPr>
        <w:t xml:space="preserve"> свршено када учинилац изврши обрачун пореза по одбитку, задржи утврђени износ пореза, нето приход исплати пореском обвезнику, а обрачунати и задржа</w:t>
      </w:r>
      <w:r w:rsidR="009807CC" w:rsidRPr="004F3D57">
        <w:rPr>
          <w:rFonts w:ascii="Times New Roman" w:hAnsi="Times New Roman"/>
          <w:sz w:val="24"/>
          <w:szCs w:val="24"/>
          <w:lang w:val="sr-Cyrl-CS"/>
        </w:rPr>
        <w:t>ни порез истовремено не уплати н</w:t>
      </w:r>
      <w:r w:rsidR="008008DF" w:rsidRPr="004F3D57">
        <w:rPr>
          <w:rFonts w:ascii="Times New Roman" w:hAnsi="Times New Roman"/>
          <w:sz w:val="24"/>
          <w:szCs w:val="24"/>
          <w:lang w:val="sr-Cyrl-CS"/>
        </w:rPr>
        <w:t>а уплатни рачун јавних прихода.</w:t>
      </w:r>
      <w:r w:rsidR="008008DF" w:rsidRPr="004F3D57">
        <w:rPr>
          <w:rStyle w:val="FootnoteReference"/>
          <w:rFonts w:ascii="Times New Roman" w:hAnsi="Times New Roman"/>
          <w:color w:val="000000"/>
          <w:sz w:val="24"/>
          <w:szCs w:val="24"/>
          <w:lang w:val="sr-Cyrl-CS"/>
        </w:rPr>
        <w:footnoteReference w:id="825"/>
      </w:r>
    </w:p>
    <w:p w:rsidR="00AB087E" w:rsidRPr="004F3D57" w:rsidRDefault="00AB087E" w:rsidP="004F3D57">
      <w:pPr>
        <w:ind w:firstLine="708"/>
        <w:jc w:val="both"/>
        <w:rPr>
          <w:rFonts w:ascii="Times New Roman" w:hAnsi="Times New Roman"/>
          <w:sz w:val="24"/>
          <w:szCs w:val="24"/>
          <w:lang w:val="sr-Cyrl-CS"/>
        </w:rPr>
      </w:pPr>
      <w:r w:rsidRPr="004F3D57">
        <w:rPr>
          <w:rFonts w:ascii="Times New Roman" w:hAnsi="Times New Roman"/>
          <w:sz w:val="24"/>
          <w:szCs w:val="24"/>
          <w:lang w:val="sr-Cyrl-CS"/>
        </w:rPr>
        <w:t xml:space="preserve">То је радња нечињења да се у  законом прописаном року не уплати износ пореза по одбитку. Значи ово дело постоји </w:t>
      </w:r>
      <w:r w:rsidR="00CD0DE9" w:rsidRPr="004F3D57">
        <w:rPr>
          <w:rFonts w:ascii="Times New Roman" w:hAnsi="Times New Roman"/>
          <w:sz w:val="24"/>
          <w:szCs w:val="24"/>
          <w:lang w:val="sr-Cyrl-CS"/>
        </w:rPr>
        <w:t xml:space="preserve">у случају </w:t>
      </w:r>
      <w:r w:rsidRPr="004F3D57">
        <w:rPr>
          <w:rFonts w:ascii="Times New Roman" w:hAnsi="Times New Roman"/>
          <w:sz w:val="24"/>
          <w:szCs w:val="24"/>
          <w:lang w:val="sr-Cyrl-CS"/>
        </w:rPr>
        <w:t xml:space="preserve">када је износ пореза по одбитку остао неуплаћен </w:t>
      </w:r>
      <w:r w:rsidR="00CD0DE9" w:rsidRPr="004F3D57">
        <w:rPr>
          <w:rFonts w:ascii="Times New Roman" w:hAnsi="Times New Roman"/>
          <w:sz w:val="24"/>
          <w:szCs w:val="24"/>
          <w:lang w:val="sr-Cyrl-CS"/>
        </w:rPr>
        <w:t>(</w:t>
      </w:r>
      <w:r w:rsidRPr="004F3D57">
        <w:rPr>
          <w:rFonts w:ascii="Times New Roman" w:hAnsi="Times New Roman"/>
          <w:sz w:val="24"/>
          <w:szCs w:val="24"/>
          <w:lang w:val="sr-Cyrl-CS"/>
        </w:rPr>
        <w:t>у потпуности или делимично</w:t>
      </w:r>
      <w:r w:rsidR="00CD0DE9" w:rsidRPr="004F3D57">
        <w:rPr>
          <w:rFonts w:ascii="Times New Roman" w:hAnsi="Times New Roman"/>
          <w:sz w:val="24"/>
          <w:szCs w:val="24"/>
          <w:lang w:val="sr-Cyrl-CS"/>
        </w:rPr>
        <w:t>)</w:t>
      </w:r>
      <w:r w:rsidRPr="004F3D57">
        <w:rPr>
          <w:rFonts w:ascii="Times New Roman" w:hAnsi="Times New Roman"/>
          <w:sz w:val="24"/>
          <w:szCs w:val="24"/>
          <w:lang w:val="sr-Cyrl-CS"/>
        </w:rPr>
        <w:t>, као и у случају када је овај износ по</w:t>
      </w:r>
      <w:r w:rsidR="00CD0DE9" w:rsidRPr="004F3D57">
        <w:rPr>
          <w:rFonts w:ascii="Times New Roman" w:hAnsi="Times New Roman"/>
          <w:sz w:val="24"/>
          <w:szCs w:val="24"/>
          <w:lang w:val="sr-Cyrl-CS"/>
        </w:rPr>
        <w:t>реза уплаћен на погрешан рачун примаоца</w:t>
      </w:r>
      <w:r w:rsidRPr="004F3D57">
        <w:rPr>
          <w:rFonts w:ascii="Times New Roman" w:hAnsi="Times New Roman"/>
          <w:sz w:val="24"/>
          <w:szCs w:val="24"/>
          <w:lang w:val="sr-Cyrl-CS"/>
        </w:rPr>
        <w:t>.</w:t>
      </w:r>
      <w:r w:rsidRPr="004F3D57">
        <w:rPr>
          <w:rStyle w:val="FootnoteReference"/>
          <w:rFonts w:ascii="Times New Roman" w:hAnsi="Times New Roman"/>
          <w:color w:val="000000"/>
          <w:sz w:val="24"/>
          <w:szCs w:val="24"/>
          <w:lang w:val="sr-Cyrl-CS"/>
        </w:rPr>
        <w:footnoteReference w:id="826"/>
      </w:r>
      <w:r w:rsidR="009807CC" w:rsidRPr="004F3D57">
        <w:rPr>
          <w:rFonts w:ascii="Times New Roman" w:hAnsi="Times New Roman"/>
          <w:sz w:val="24"/>
          <w:szCs w:val="24"/>
          <w:lang w:val="sr-Cyrl-CS"/>
        </w:rPr>
        <w:t xml:space="preserve"> </w:t>
      </w:r>
      <w:r w:rsidR="004F3D57">
        <w:rPr>
          <w:rFonts w:ascii="Times New Roman" w:hAnsi="Times New Roman"/>
          <w:sz w:val="24"/>
          <w:szCs w:val="24"/>
          <w:lang w:val="sr-Cyrl-CS"/>
        </w:rPr>
        <w:t xml:space="preserve"> </w:t>
      </w:r>
    </w:p>
    <w:p w:rsidR="007703ED" w:rsidRPr="006376B8" w:rsidRDefault="007703ED" w:rsidP="005235F9">
      <w:pPr>
        <w:pStyle w:val="normal0"/>
        <w:shd w:val="clear" w:color="auto" w:fill="FFFFFF"/>
        <w:spacing w:before="48" w:beforeAutospacing="0" w:after="48" w:afterAutospacing="0"/>
        <w:jc w:val="both"/>
        <w:rPr>
          <w:color w:val="000000"/>
          <w:lang w:val="sr-Cyrl-CS"/>
        </w:rPr>
      </w:pPr>
    </w:p>
    <w:p w:rsidR="007703ED" w:rsidRPr="007703ED" w:rsidRDefault="007703ED" w:rsidP="005235F9">
      <w:pPr>
        <w:pStyle w:val="normal0"/>
        <w:shd w:val="clear" w:color="auto" w:fill="FFFFFF"/>
        <w:spacing w:before="48" w:beforeAutospacing="0" w:after="48" w:afterAutospacing="0"/>
        <w:jc w:val="both"/>
        <w:rPr>
          <w:color w:val="000000"/>
        </w:rPr>
      </w:pPr>
    </w:p>
    <w:p w:rsidR="00C74AFA" w:rsidRDefault="009807CC" w:rsidP="008A3795">
      <w:pPr>
        <w:pStyle w:val="normal0"/>
        <w:numPr>
          <w:ilvl w:val="3"/>
          <w:numId w:val="59"/>
        </w:numPr>
        <w:shd w:val="clear" w:color="auto" w:fill="FFFFFF"/>
        <w:spacing w:before="48" w:beforeAutospacing="0" w:after="48" w:afterAutospacing="0"/>
        <w:jc w:val="center"/>
        <w:rPr>
          <w:b/>
          <w:color w:val="000000"/>
          <w:lang w:val="sr-Cyrl-CS"/>
        </w:rPr>
      </w:pPr>
      <w:r w:rsidRPr="005235F9">
        <w:rPr>
          <w:b/>
          <w:color w:val="000000"/>
          <w:lang w:val="sr-Cyrl-CS"/>
        </w:rPr>
        <w:t>Објекат кривичноправне заштите</w:t>
      </w:r>
    </w:p>
    <w:p w:rsidR="009161A0" w:rsidRPr="005235F9" w:rsidRDefault="009161A0" w:rsidP="009161A0">
      <w:pPr>
        <w:pStyle w:val="normal0"/>
        <w:shd w:val="clear" w:color="auto" w:fill="FFFFFF"/>
        <w:spacing w:before="48" w:beforeAutospacing="0" w:after="48" w:afterAutospacing="0"/>
        <w:ind w:left="1428"/>
        <w:rPr>
          <w:b/>
          <w:color w:val="000000"/>
          <w:lang w:val="sr-Cyrl-CS"/>
        </w:rPr>
      </w:pPr>
    </w:p>
    <w:p w:rsidR="009807CC" w:rsidRPr="005235F9" w:rsidRDefault="009807CC" w:rsidP="005235F9">
      <w:pPr>
        <w:pStyle w:val="normal0"/>
        <w:shd w:val="clear" w:color="auto" w:fill="FFFFFF"/>
        <w:spacing w:before="48" w:beforeAutospacing="0" w:after="48" w:afterAutospacing="0"/>
        <w:jc w:val="both"/>
        <w:rPr>
          <w:b/>
          <w:color w:val="000000"/>
          <w:lang w:val="sr-Cyrl-CS"/>
        </w:rPr>
      </w:pPr>
    </w:p>
    <w:p w:rsidR="00C74AFA" w:rsidRDefault="00C74AFA" w:rsidP="005235F9">
      <w:pPr>
        <w:pStyle w:val="normal0"/>
        <w:shd w:val="clear" w:color="auto" w:fill="FFFFFF"/>
        <w:spacing w:before="48" w:beforeAutospacing="0" w:after="48" w:afterAutospacing="0"/>
        <w:ind w:firstLine="708"/>
        <w:jc w:val="both"/>
        <w:rPr>
          <w:lang w:val="sr-Cyrl-CS"/>
        </w:rPr>
      </w:pPr>
      <w:r w:rsidRPr="005235F9">
        <w:rPr>
          <w:color w:val="000000"/>
          <w:lang w:val="sr-Cyrl-CS"/>
        </w:rPr>
        <w:t>Објекат кривичноправн</w:t>
      </w:r>
      <w:r w:rsidR="009807CC" w:rsidRPr="005235F9">
        <w:rPr>
          <w:color w:val="000000"/>
          <w:lang w:val="sr-Cyrl-CS"/>
        </w:rPr>
        <w:t xml:space="preserve">е заштите </w:t>
      </w:r>
      <w:r w:rsidRPr="005235F9">
        <w:rPr>
          <w:color w:val="000000"/>
          <w:lang w:val="sr-Cyrl-CS"/>
        </w:rPr>
        <w:t xml:space="preserve"> код овог </w:t>
      </w:r>
      <w:r w:rsidR="00A34830">
        <w:rPr>
          <w:color w:val="000000"/>
          <w:lang w:val="sr-Cyrl-CS"/>
        </w:rPr>
        <w:t xml:space="preserve">облика </w:t>
      </w:r>
      <w:r w:rsidRPr="005235F9">
        <w:rPr>
          <w:color w:val="000000"/>
          <w:lang w:val="sr-Cyrl-CS"/>
        </w:rPr>
        <w:t>кривичног дела</w:t>
      </w:r>
      <w:r w:rsidR="00CF5FA9">
        <w:rPr>
          <w:color w:val="000000"/>
          <w:lang w:val="sr-Cyrl-CS"/>
        </w:rPr>
        <w:t xml:space="preserve"> је фискални систем, односно систем јавних прихода. Објекат напада </w:t>
      </w:r>
      <w:r w:rsidRPr="005235F9">
        <w:rPr>
          <w:lang w:val="sr-Cyrl-CS"/>
        </w:rPr>
        <w:t xml:space="preserve"> </w:t>
      </w:r>
      <w:r w:rsidR="00AB087E" w:rsidRPr="005235F9">
        <w:rPr>
          <w:lang w:val="sr-Cyrl-CS"/>
        </w:rPr>
        <w:t>је посебна врста пореза-порез по одбитку</w:t>
      </w:r>
      <w:r w:rsidR="009807CC" w:rsidRPr="005235F9">
        <w:rPr>
          <w:lang w:val="sr-Cyrl-CS"/>
        </w:rPr>
        <w:t>, доприноси за обавезно социјално осигурање и друге прописане дажбине</w:t>
      </w:r>
      <w:r w:rsidR="00AB087E" w:rsidRPr="005235F9">
        <w:rPr>
          <w:lang w:val="sr-Cyrl-CS"/>
        </w:rPr>
        <w:t>.</w:t>
      </w:r>
      <w:r w:rsidR="009807CC" w:rsidRPr="005235F9">
        <w:rPr>
          <w:lang w:val="sr-Cyrl-CS"/>
        </w:rPr>
        <w:t xml:space="preserve"> </w:t>
      </w:r>
    </w:p>
    <w:p w:rsidR="00AB087E" w:rsidRPr="005235F9" w:rsidRDefault="00AB087E" w:rsidP="005235F9">
      <w:pPr>
        <w:pStyle w:val="normal0"/>
        <w:shd w:val="clear" w:color="auto" w:fill="FFFFFF"/>
        <w:spacing w:before="48" w:beforeAutospacing="0" w:after="48" w:afterAutospacing="0"/>
        <w:jc w:val="both"/>
        <w:rPr>
          <w:color w:val="000000"/>
          <w:lang w:val="sr-Cyrl-CS"/>
        </w:rPr>
      </w:pPr>
    </w:p>
    <w:p w:rsidR="005235F9" w:rsidRPr="005235F9" w:rsidRDefault="005235F9" w:rsidP="00A34830">
      <w:pPr>
        <w:pStyle w:val="normal0"/>
        <w:shd w:val="clear" w:color="auto" w:fill="FFFFFF"/>
        <w:spacing w:before="48" w:beforeAutospacing="0" w:after="48" w:afterAutospacing="0"/>
        <w:jc w:val="both"/>
        <w:rPr>
          <w:color w:val="000000"/>
          <w:lang w:val="sr-Cyrl-CS"/>
        </w:rPr>
      </w:pPr>
    </w:p>
    <w:p w:rsidR="001D605A" w:rsidRPr="005235F9" w:rsidRDefault="001D605A" w:rsidP="005235F9">
      <w:pPr>
        <w:pStyle w:val="normal0"/>
        <w:shd w:val="clear" w:color="auto" w:fill="FFFFFF"/>
        <w:spacing w:before="48" w:beforeAutospacing="0" w:after="48" w:afterAutospacing="0"/>
        <w:jc w:val="both"/>
        <w:rPr>
          <w:color w:val="000000"/>
          <w:lang w:val="sr-Cyrl-CS"/>
        </w:rPr>
      </w:pPr>
    </w:p>
    <w:p w:rsidR="008008DF" w:rsidRPr="005235F9" w:rsidRDefault="009807CC" w:rsidP="008A3795">
      <w:pPr>
        <w:pStyle w:val="normal0"/>
        <w:numPr>
          <w:ilvl w:val="3"/>
          <w:numId w:val="59"/>
        </w:numPr>
        <w:shd w:val="clear" w:color="auto" w:fill="FFFFFF"/>
        <w:spacing w:before="48" w:beforeAutospacing="0" w:after="48" w:afterAutospacing="0"/>
        <w:jc w:val="center"/>
        <w:rPr>
          <w:b/>
          <w:color w:val="000000"/>
          <w:lang w:val="sr-Cyrl-CS"/>
        </w:rPr>
      </w:pPr>
      <w:r w:rsidRPr="005235F9">
        <w:rPr>
          <w:b/>
          <w:color w:val="000000"/>
          <w:lang w:val="sr-Cyrl-CS"/>
        </w:rPr>
        <w:t>Објективни услов инкриминације</w:t>
      </w:r>
    </w:p>
    <w:p w:rsidR="001D605A" w:rsidRPr="005235F9" w:rsidRDefault="001D605A" w:rsidP="005235F9">
      <w:pPr>
        <w:ind w:firstLine="708"/>
        <w:jc w:val="both"/>
        <w:rPr>
          <w:rFonts w:ascii="Times New Roman" w:hAnsi="Times New Roman"/>
          <w:sz w:val="24"/>
          <w:szCs w:val="24"/>
          <w:lang w:val="sr-Cyrl-CS"/>
        </w:rPr>
      </w:pPr>
    </w:p>
    <w:p w:rsidR="009807CC" w:rsidRPr="004F3D57" w:rsidRDefault="001D605A" w:rsidP="004F3D57">
      <w:pPr>
        <w:ind w:firstLine="708"/>
        <w:jc w:val="both"/>
        <w:rPr>
          <w:rFonts w:ascii="Times New Roman" w:hAnsi="Times New Roman"/>
          <w:color w:val="000000"/>
          <w:sz w:val="24"/>
          <w:szCs w:val="24"/>
          <w:lang w:val="sr-Cyrl-CS"/>
        </w:rPr>
      </w:pPr>
      <w:r w:rsidRPr="004F3D57">
        <w:rPr>
          <w:rFonts w:ascii="Times New Roman" w:hAnsi="Times New Roman"/>
          <w:sz w:val="24"/>
          <w:szCs w:val="24"/>
          <w:lang w:val="sr-Cyrl-CS"/>
        </w:rPr>
        <w:t xml:space="preserve">Квалификовани облици постоје ако неуплаћен порез по одбитку </w:t>
      </w:r>
      <w:r w:rsidR="00A155C4" w:rsidRPr="004F3D57">
        <w:rPr>
          <w:rFonts w:ascii="Times New Roman" w:hAnsi="Times New Roman"/>
          <w:color w:val="000000"/>
          <w:sz w:val="24"/>
          <w:szCs w:val="24"/>
        </w:rPr>
        <w:t>прелази</w:t>
      </w:r>
      <w:r w:rsidR="009807CC"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милион</w:t>
      </w:r>
      <w:r w:rsidR="009807CC"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и</w:t>
      </w:r>
      <w:r w:rsidR="009807CC"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петсто</w:t>
      </w:r>
      <w:r w:rsidR="009807CC"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хиљада</w:t>
      </w:r>
      <w:r w:rsidR="009807CC" w:rsidRPr="004F3D57">
        <w:rPr>
          <w:rFonts w:ascii="Times New Roman" w:hAnsi="Times New Roman"/>
          <w:color w:val="000000"/>
          <w:sz w:val="24"/>
          <w:szCs w:val="24"/>
        </w:rPr>
        <w:t xml:space="preserve"> </w:t>
      </w:r>
      <w:r w:rsidR="00A155C4" w:rsidRPr="004F3D57">
        <w:rPr>
          <w:rFonts w:ascii="Times New Roman" w:hAnsi="Times New Roman"/>
          <w:color w:val="000000"/>
          <w:sz w:val="24"/>
          <w:szCs w:val="24"/>
        </w:rPr>
        <w:t>динара</w:t>
      </w:r>
      <w:r w:rsidRPr="004F3D57">
        <w:rPr>
          <w:rFonts w:ascii="Times New Roman" w:hAnsi="Times New Roman"/>
          <w:color w:val="000000"/>
          <w:sz w:val="24"/>
          <w:szCs w:val="24"/>
          <w:lang w:val="sr-Cyrl-CS"/>
        </w:rPr>
        <w:t xml:space="preserve"> (став</w:t>
      </w:r>
      <w:r w:rsidR="009807CC" w:rsidRPr="004F3D57">
        <w:rPr>
          <w:rFonts w:ascii="Times New Roman" w:hAnsi="Times New Roman"/>
          <w:color w:val="000000"/>
          <w:sz w:val="24"/>
          <w:szCs w:val="24"/>
          <w:lang w:val="sr-Cyrl-CS"/>
        </w:rPr>
        <w:t xml:space="preserve"> </w:t>
      </w:r>
      <w:r w:rsidRPr="004F3D57">
        <w:rPr>
          <w:rFonts w:ascii="Times New Roman" w:hAnsi="Times New Roman"/>
          <w:color w:val="000000"/>
          <w:sz w:val="24"/>
          <w:szCs w:val="24"/>
          <w:lang w:val="sr-Cyrl-CS"/>
        </w:rPr>
        <w:t>2)</w:t>
      </w:r>
      <w:r w:rsidR="009807CC" w:rsidRPr="004F3D57">
        <w:rPr>
          <w:rFonts w:ascii="Times New Roman" w:hAnsi="Times New Roman"/>
          <w:color w:val="000000"/>
          <w:sz w:val="24"/>
          <w:szCs w:val="24"/>
          <w:lang w:val="sr-Cyrl-CS"/>
        </w:rPr>
        <w:t xml:space="preserve">. </w:t>
      </w:r>
    </w:p>
    <w:p w:rsidR="001D605A" w:rsidRPr="004F3D57" w:rsidRDefault="00A155C4" w:rsidP="004F3D57">
      <w:pPr>
        <w:ind w:firstLine="708"/>
        <w:jc w:val="both"/>
        <w:rPr>
          <w:rFonts w:ascii="Times New Roman" w:hAnsi="Times New Roman"/>
          <w:color w:val="000000"/>
          <w:sz w:val="24"/>
          <w:szCs w:val="24"/>
          <w:lang w:val="sr-Cyrl-CS"/>
        </w:rPr>
      </w:pPr>
      <w:r w:rsidRPr="004F3D57">
        <w:rPr>
          <w:rFonts w:ascii="Times New Roman" w:hAnsi="Times New Roman"/>
          <w:color w:val="000000"/>
          <w:sz w:val="24"/>
          <w:szCs w:val="24"/>
        </w:rPr>
        <w:t>Ако</w:t>
      </w:r>
      <w:r w:rsidR="001D605A" w:rsidRPr="004F3D57">
        <w:rPr>
          <w:rFonts w:ascii="Times New Roman" w:hAnsi="Times New Roman"/>
          <w:color w:val="000000"/>
          <w:sz w:val="24"/>
          <w:szCs w:val="24"/>
        </w:rPr>
        <w:t xml:space="preserve"> </w:t>
      </w:r>
      <w:r w:rsidRPr="004F3D57">
        <w:rPr>
          <w:rFonts w:ascii="Times New Roman" w:hAnsi="Times New Roman"/>
          <w:color w:val="000000"/>
          <w:sz w:val="24"/>
          <w:szCs w:val="24"/>
        </w:rPr>
        <w:t>износ</w:t>
      </w:r>
      <w:r w:rsidR="001D605A" w:rsidRPr="004F3D57">
        <w:rPr>
          <w:rFonts w:ascii="Times New Roman" w:hAnsi="Times New Roman"/>
          <w:color w:val="000000"/>
          <w:sz w:val="24"/>
          <w:szCs w:val="24"/>
        </w:rPr>
        <w:t xml:space="preserve"> </w:t>
      </w:r>
      <w:r w:rsidRPr="004F3D57">
        <w:rPr>
          <w:rFonts w:ascii="Times New Roman" w:hAnsi="Times New Roman"/>
          <w:color w:val="000000"/>
          <w:sz w:val="24"/>
          <w:szCs w:val="24"/>
        </w:rPr>
        <w:t>обрачунатог</w:t>
      </w:r>
      <w:r w:rsidR="001D605A" w:rsidRPr="004F3D57">
        <w:rPr>
          <w:rFonts w:ascii="Times New Roman" w:hAnsi="Times New Roman"/>
          <w:color w:val="000000"/>
          <w:sz w:val="24"/>
          <w:szCs w:val="24"/>
        </w:rPr>
        <w:t xml:space="preserve">, </w:t>
      </w:r>
      <w:r w:rsidRPr="004F3D57">
        <w:rPr>
          <w:rFonts w:ascii="Times New Roman" w:hAnsi="Times New Roman"/>
          <w:color w:val="000000"/>
          <w:sz w:val="24"/>
          <w:szCs w:val="24"/>
        </w:rPr>
        <w:t>а</w:t>
      </w:r>
      <w:r w:rsidR="001D605A" w:rsidRPr="004F3D57">
        <w:rPr>
          <w:rFonts w:ascii="Times New Roman" w:hAnsi="Times New Roman"/>
          <w:color w:val="000000"/>
          <w:sz w:val="24"/>
          <w:szCs w:val="24"/>
        </w:rPr>
        <w:t xml:space="preserve"> </w:t>
      </w:r>
      <w:r w:rsidRPr="004F3D57">
        <w:rPr>
          <w:rFonts w:ascii="Times New Roman" w:hAnsi="Times New Roman"/>
          <w:color w:val="000000"/>
          <w:sz w:val="24"/>
          <w:szCs w:val="24"/>
        </w:rPr>
        <w:t>неуплаћеног</w:t>
      </w:r>
      <w:r w:rsidR="001D605A" w:rsidRPr="004F3D57">
        <w:rPr>
          <w:rFonts w:ascii="Times New Roman" w:hAnsi="Times New Roman"/>
          <w:color w:val="000000"/>
          <w:sz w:val="24"/>
          <w:szCs w:val="24"/>
        </w:rPr>
        <w:t xml:space="preserve"> </w:t>
      </w:r>
      <w:r w:rsidRPr="004F3D57">
        <w:rPr>
          <w:rFonts w:ascii="Times New Roman" w:hAnsi="Times New Roman"/>
          <w:color w:val="000000"/>
          <w:sz w:val="24"/>
          <w:szCs w:val="24"/>
        </w:rPr>
        <w:t>пореза</w:t>
      </w:r>
      <w:r w:rsidR="001D605A" w:rsidRPr="004F3D57">
        <w:rPr>
          <w:rFonts w:ascii="Times New Roman" w:hAnsi="Times New Roman"/>
          <w:color w:val="000000"/>
          <w:sz w:val="24"/>
          <w:szCs w:val="24"/>
        </w:rPr>
        <w:t xml:space="preserve">, </w:t>
      </w:r>
      <w:r w:rsidRPr="004F3D57">
        <w:rPr>
          <w:rFonts w:ascii="Times New Roman" w:hAnsi="Times New Roman"/>
          <w:color w:val="000000"/>
          <w:sz w:val="24"/>
          <w:szCs w:val="24"/>
        </w:rPr>
        <w:t>односно</w:t>
      </w:r>
      <w:r w:rsidR="001D605A" w:rsidRPr="004F3D57">
        <w:rPr>
          <w:rFonts w:ascii="Times New Roman" w:hAnsi="Times New Roman"/>
          <w:color w:val="000000"/>
          <w:sz w:val="24"/>
          <w:szCs w:val="24"/>
        </w:rPr>
        <w:t xml:space="preserve"> </w:t>
      </w:r>
      <w:r w:rsidRPr="004F3D57">
        <w:rPr>
          <w:rFonts w:ascii="Times New Roman" w:hAnsi="Times New Roman"/>
          <w:color w:val="000000"/>
          <w:sz w:val="24"/>
          <w:szCs w:val="24"/>
        </w:rPr>
        <w:t>доприноса</w:t>
      </w:r>
      <w:r w:rsidR="001D605A" w:rsidRPr="004F3D57">
        <w:rPr>
          <w:rFonts w:ascii="Times New Roman" w:hAnsi="Times New Roman"/>
          <w:color w:val="000000"/>
          <w:sz w:val="24"/>
          <w:szCs w:val="24"/>
        </w:rPr>
        <w:t xml:space="preserve"> </w:t>
      </w:r>
      <w:r w:rsidRPr="004F3D57">
        <w:rPr>
          <w:rFonts w:ascii="Times New Roman" w:hAnsi="Times New Roman"/>
          <w:color w:val="000000"/>
          <w:sz w:val="24"/>
          <w:szCs w:val="24"/>
        </w:rPr>
        <w:t>прелази</w:t>
      </w:r>
      <w:r w:rsidR="001D605A" w:rsidRPr="004F3D57">
        <w:rPr>
          <w:rFonts w:ascii="Times New Roman" w:hAnsi="Times New Roman"/>
          <w:color w:val="000000"/>
          <w:sz w:val="24"/>
          <w:szCs w:val="24"/>
        </w:rPr>
        <w:t xml:space="preserve"> </w:t>
      </w:r>
      <w:r w:rsidRPr="004F3D57">
        <w:rPr>
          <w:rFonts w:ascii="Times New Roman" w:hAnsi="Times New Roman"/>
          <w:color w:val="000000"/>
          <w:sz w:val="24"/>
          <w:szCs w:val="24"/>
        </w:rPr>
        <w:t>седам</w:t>
      </w:r>
      <w:r w:rsidR="001D605A" w:rsidRPr="004F3D57">
        <w:rPr>
          <w:rFonts w:ascii="Times New Roman" w:hAnsi="Times New Roman"/>
          <w:color w:val="000000"/>
          <w:sz w:val="24"/>
          <w:szCs w:val="24"/>
        </w:rPr>
        <w:t xml:space="preserve"> </w:t>
      </w:r>
      <w:r w:rsidRPr="004F3D57">
        <w:rPr>
          <w:rFonts w:ascii="Times New Roman" w:hAnsi="Times New Roman"/>
          <w:color w:val="000000"/>
          <w:sz w:val="24"/>
          <w:szCs w:val="24"/>
        </w:rPr>
        <w:t>милиона</w:t>
      </w:r>
      <w:r w:rsidR="009807CC" w:rsidRPr="004F3D57">
        <w:rPr>
          <w:rFonts w:ascii="Times New Roman" w:hAnsi="Times New Roman"/>
          <w:color w:val="000000"/>
          <w:sz w:val="24"/>
          <w:szCs w:val="24"/>
        </w:rPr>
        <w:t xml:space="preserve"> </w:t>
      </w:r>
      <w:r w:rsidRPr="004F3D57">
        <w:rPr>
          <w:rFonts w:ascii="Times New Roman" w:hAnsi="Times New Roman"/>
          <w:color w:val="000000"/>
          <w:sz w:val="24"/>
          <w:szCs w:val="24"/>
        </w:rPr>
        <w:t>и</w:t>
      </w:r>
      <w:r w:rsidR="009807CC" w:rsidRPr="004F3D57">
        <w:rPr>
          <w:rFonts w:ascii="Times New Roman" w:hAnsi="Times New Roman"/>
          <w:color w:val="000000"/>
          <w:sz w:val="24"/>
          <w:szCs w:val="24"/>
        </w:rPr>
        <w:t xml:space="preserve"> </w:t>
      </w:r>
      <w:r w:rsidRPr="004F3D57">
        <w:rPr>
          <w:rFonts w:ascii="Times New Roman" w:hAnsi="Times New Roman"/>
          <w:color w:val="000000"/>
          <w:sz w:val="24"/>
          <w:szCs w:val="24"/>
        </w:rPr>
        <w:t>петсто</w:t>
      </w:r>
      <w:r w:rsidR="009807CC" w:rsidRPr="004F3D57">
        <w:rPr>
          <w:rFonts w:ascii="Times New Roman" w:hAnsi="Times New Roman"/>
          <w:color w:val="000000"/>
          <w:sz w:val="24"/>
          <w:szCs w:val="24"/>
        </w:rPr>
        <w:t xml:space="preserve"> </w:t>
      </w:r>
      <w:r w:rsidRPr="004F3D57">
        <w:rPr>
          <w:rFonts w:ascii="Times New Roman" w:hAnsi="Times New Roman"/>
          <w:color w:val="000000"/>
          <w:sz w:val="24"/>
          <w:szCs w:val="24"/>
        </w:rPr>
        <w:t>хиљада</w:t>
      </w:r>
      <w:r w:rsidR="009807CC" w:rsidRPr="004F3D57">
        <w:rPr>
          <w:rFonts w:ascii="Times New Roman" w:hAnsi="Times New Roman"/>
          <w:color w:val="000000"/>
          <w:sz w:val="24"/>
          <w:szCs w:val="24"/>
        </w:rPr>
        <w:t xml:space="preserve"> </w:t>
      </w:r>
      <w:r w:rsidRPr="004F3D57">
        <w:rPr>
          <w:rFonts w:ascii="Times New Roman" w:hAnsi="Times New Roman"/>
          <w:color w:val="000000"/>
          <w:sz w:val="24"/>
          <w:szCs w:val="24"/>
        </w:rPr>
        <w:t>динара</w:t>
      </w:r>
      <w:r w:rsidR="009807CC" w:rsidRPr="004F3D57">
        <w:rPr>
          <w:rFonts w:ascii="Times New Roman" w:hAnsi="Times New Roman"/>
          <w:color w:val="000000"/>
          <w:sz w:val="24"/>
          <w:szCs w:val="24"/>
          <w:lang w:val="sr-Cyrl-CS"/>
        </w:rPr>
        <w:t>, радиће се о најтежем облику овог кривичног дела</w:t>
      </w:r>
      <w:r w:rsidR="001D605A" w:rsidRPr="004F3D57">
        <w:rPr>
          <w:rFonts w:ascii="Times New Roman" w:hAnsi="Times New Roman"/>
          <w:color w:val="000000"/>
          <w:sz w:val="24"/>
          <w:szCs w:val="24"/>
          <w:lang w:val="sr-Cyrl-CS"/>
        </w:rPr>
        <w:t xml:space="preserve"> (став 3).</w:t>
      </w:r>
    </w:p>
    <w:p w:rsidR="005235F9" w:rsidRDefault="001D605A" w:rsidP="004F3D57">
      <w:pPr>
        <w:ind w:firstLine="708"/>
        <w:jc w:val="both"/>
        <w:rPr>
          <w:rFonts w:ascii="Times New Roman" w:hAnsi="Times New Roman"/>
          <w:color w:val="000000"/>
          <w:sz w:val="24"/>
          <w:szCs w:val="24"/>
          <w:lang w:val="sr-Cyrl-CS"/>
        </w:rPr>
      </w:pPr>
      <w:r w:rsidRPr="004F3D57">
        <w:rPr>
          <w:rFonts w:ascii="Times New Roman" w:hAnsi="Times New Roman"/>
          <w:color w:val="000000"/>
          <w:sz w:val="24"/>
          <w:szCs w:val="24"/>
          <w:lang w:val="sr-Cyrl-CS"/>
        </w:rPr>
        <w:t xml:space="preserve">Висина овог пореза се утврђује </w:t>
      </w:r>
      <w:r w:rsidR="00BE20E5" w:rsidRPr="004F3D57">
        <w:rPr>
          <w:rFonts w:ascii="Times New Roman" w:hAnsi="Times New Roman"/>
          <w:color w:val="000000"/>
          <w:sz w:val="24"/>
          <w:szCs w:val="24"/>
          <w:lang w:val="sr-Cyrl-CS"/>
        </w:rPr>
        <w:t>у односу на време</w:t>
      </w:r>
      <w:r w:rsidRPr="004F3D57">
        <w:rPr>
          <w:rFonts w:ascii="Times New Roman" w:hAnsi="Times New Roman"/>
          <w:color w:val="000000"/>
          <w:sz w:val="24"/>
          <w:szCs w:val="24"/>
          <w:lang w:val="sr-Cyrl-CS"/>
        </w:rPr>
        <w:t xml:space="preserve">  када је </w:t>
      </w:r>
      <w:r w:rsidR="009807CC" w:rsidRPr="004F3D57">
        <w:rPr>
          <w:rFonts w:ascii="Times New Roman" w:hAnsi="Times New Roman"/>
          <w:color w:val="000000"/>
          <w:sz w:val="24"/>
          <w:szCs w:val="24"/>
          <w:lang w:val="sr-Cyrl-CS"/>
        </w:rPr>
        <w:t>он</w:t>
      </w:r>
      <w:r w:rsidRPr="004F3D57">
        <w:rPr>
          <w:rFonts w:ascii="Times New Roman" w:hAnsi="Times New Roman"/>
          <w:color w:val="000000"/>
          <w:sz w:val="24"/>
          <w:szCs w:val="24"/>
          <w:lang w:val="sr-Cyrl-CS"/>
        </w:rPr>
        <w:t xml:space="preserve"> према </w:t>
      </w:r>
      <w:r w:rsidR="00BE20E5" w:rsidRPr="004F3D57">
        <w:rPr>
          <w:rFonts w:ascii="Times New Roman" w:hAnsi="Times New Roman"/>
          <w:color w:val="000000"/>
          <w:sz w:val="24"/>
          <w:szCs w:val="24"/>
          <w:lang w:val="sr-Cyrl-CS"/>
        </w:rPr>
        <w:t>закону</w:t>
      </w:r>
      <w:r w:rsidRPr="004F3D57">
        <w:rPr>
          <w:rFonts w:ascii="Times New Roman" w:hAnsi="Times New Roman"/>
          <w:color w:val="000000"/>
          <w:sz w:val="24"/>
          <w:szCs w:val="24"/>
          <w:lang w:val="sr-Cyrl-CS"/>
        </w:rPr>
        <w:t xml:space="preserve"> требао бити обрачунат, односно уплаћен. Истеком овог рока кривично дело је свршено.</w:t>
      </w:r>
      <w:r w:rsidRPr="004F3D57">
        <w:rPr>
          <w:rStyle w:val="FootnoteReference"/>
          <w:rFonts w:ascii="Times New Roman" w:hAnsi="Times New Roman"/>
          <w:color w:val="000000"/>
          <w:sz w:val="24"/>
          <w:szCs w:val="24"/>
          <w:lang w:val="sr-Cyrl-CS"/>
        </w:rPr>
        <w:footnoteReference w:id="827"/>
      </w:r>
      <w:r w:rsidR="009807CC" w:rsidRPr="004F3D57">
        <w:rPr>
          <w:rFonts w:ascii="Times New Roman" w:hAnsi="Times New Roman"/>
          <w:color w:val="000000"/>
          <w:sz w:val="24"/>
          <w:szCs w:val="24"/>
          <w:lang w:val="sr-Cyrl-CS"/>
        </w:rPr>
        <w:t xml:space="preserve"> </w:t>
      </w:r>
    </w:p>
    <w:p w:rsidR="004F3D57" w:rsidRPr="004F3D57" w:rsidRDefault="004F3D57" w:rsidP="004F3D57">
      <w:pPr>
        <w:ind w:firstLine="708"/>
        <w:jc w:val="both"/>
        <w:rPr>
          <w:rFonts w:ascii="Times New Roman" w:hAnsi="Times New Roman"/>
          <w:color w:val="000000"/>
          <w:sz w:val="24"/>
          <w:szCs w:val="24"/>
          <w:lang w:val="sr-Cyrl-CS"/>
        </w:rPr>
      </w:pPr>
    </w:p>
    <w:p w:rsidR="00C74AFA" w:rsidRPr="005235F9" w:rsidRDefault="00C74AFA" w:rsidP="005235F9">
      <w:pPr>
        <w:pStyle w:val="normal0"/>
        <w:shd w:val="clear" w:color="auto" w:fill="FFFFFF"/>
        <w:spacing w:before="48" w:beforeAutospacing="0" w:after="48" w:afterAutospacing="0"/>
        <w:jc w:val="both"/>
        <w:rPr>
          <w:color w:val="000000"/>
          <w:lang w:val="sr-Cyrl-CS"/>
        </w:rPr>
      </w:pPr>
    </w:p>
    <w:p w:rsidR="008008DF" w:rsidRDefault="009807CC" w:rsidP="008A3795">
      <w:pPr>
        <w:pStyle w:val="normal0"/>
        <w:numPr>
          <w:ilvl w:val="3"/>
          <w:numId w:val="59"/>
        </w:numPr>
        <w:shd w:val="clear" w:color="auto" w:fill="FFFFFF"/>
        <w:spacing w:before="48" w:beforeAutospacing="0" w:after="48" w:afterAutospacing="0"/>
        <w:jc w:val="center"/>
        <w:rPr>
          <w:b/>
          <w:color w:val="000000"/>
          <w:lang w:val="sr-Cyrl-CS"/>
        </w:rPr>
      </w:pPr>
      <w:r w:rsidRPr="005235F9">
        <w:rPr>
          <w:b/>
          <w:color w:val="000000"/>
          <w:lang w:val="sr-Cyrl-CS"/>
        </w:rPr>
        <w:lastRenderedPageBreak/>
        <w:t>Извршилац</w:t>
      </w:r>
    </w:p>
    <w:p w:rsidR="009161A0" w:rsidRPr="005235F9" w:rsidRDefault="009161A0" w:rsidP="009161A0">
      <w:pPr>
        <w:pStyle w:val="normal0"/>
        <w:shd w:val="clear" w:color="auto" w:fill="FFFFFF"/>
        <w:spacing w:before="48" w:beforeAutospacing="0" w:after="48" w:afterAutospacing="0"/>
        <w:ind w:left="1428"/>
        <w:rPr>
          <w:b/>
          <w:color w:val="000000"/>
          <w:lang w:val="sr-Cyrl-CS"/>
        </w:rPr>
      </w:pPr>
    </w:p>
    <w:p w:rsidR="00C74AFA" w:rsidRDefault="00C74AFA" w:rsidP="005235F9">
      <w:pPr>
        <w:pStyle w:val="normal0"/>
        <w:shd w:val="clear" w:color="auto" w:fill="FFFFFF"/>
        <w:spacing w:before="48" w:beforeAutospacing="0" w:after="48" w:afterAutospacing="0"/>
        <w:jc w:val="both"/>
        <w:rPr>
          <w:color w:val="000000"/>
          <w:lang w:val="sr-Cyrl-CS"/>
        </w:rPr>
      </w:pPr>
    </w:p>
    <w:p w:rsidR="004F3D57" w:rsidRPr="005235F9" w:rsidRDefault="004F3D57" w:rsidP="005235F9">
      <w:pPr>
        <w:pStyle w:val="normal0"/>
        <w:shd w:val="clear" w:color="auto" w:fill="FFFFFF"/>
        <w:spacing w:before="48" w:beforeAutospacing="0" w:after="48" w:afterAutospacing="0"/>
        <w:jc w:val="both"/>
        <w:rPr>
          <w:color w:val="000000"/>
          <w:lang w:val="sr-Cyrl-CS"/>
        </w:rPr>
      </w:pPr>
    </w:p>
    <w:p w:rsidR="001467DF" w:rsidRPr="001467DF" w:rsidRDefault="00C74AFA" w:rsidP="001467DF">
      <w:pPr>
        <w:pStyle w:val="normal0"/>
        <w:shd w:val="clear" w:color="auto" w:fill="FFFFFF"/>
        <w:spacing w:before="48" w:beforeAutospacing="0" w:after="48" w:afterAutospacing="0"/>
        <w:ind w:firstLine="708"/>
        <w:jc w:val="both"/>
        <w:rPr>
          <w:color w:val="000000"/>
          <w:lang w:val="sr-Cyrl-CS"/>
        </w:rPr>
      </w:pPr>
      <w:r w:rsidRPr="005235F9">
        <w:rPr>
          <w:color w:val="000000"/>
          <w:lang w:val="sr-Cyrl-CS"/>
        </w:rPr>
        <w:t xml:space="preserve">Ово дело врши </w:t>
      </w:r>
      <w:r w:rsidR="009807CC" w:rsidRPr="005235F9">
        <w:rPr>
          <w:color w:val="000000"/>
          <w:lang w:val="sr-Cyrl-CS"/>
        </w:rPr>
        <w:t>о</w:t>
      </w:r>
      <w:r w:rsidR="00A155C4" w:rsidRPr="005235F9">
        <w:rPr>
          <w:color w:val="000000"/>
        </w:rPr>
        <w:t>дговорно</w:t>
      </w:r>
      <w:r w:rsidRPr="005235F9">
        <w:rPr>
          <w:color w:val="000000"/>
        </w:rPr>
        <w:t xml:space="preserve"> </w:t>
      </w:r>
      <w:r w:rsidR="00A155C4" w:rsidRPr="005235F9">
        <w:rPr>
          <w:color w:val="000000"/>
        </w:rPr>
        <w:t>лице</w:t>
      </w:r>
      <w:r w:rsidRPr="005235F9">
        <w:rPr>
          <w:color w:val="000000"/>
        </w:rPr>
        <w:t xml:space="preserve"> </w:t>
      </w:r>
      <w:r w:rsidR="00A155C4" w:rsidRPr="005235F9">
        <w:rPr>
          <w:color w:val="000000"/>
        </w:rPr>
        <w:t>у</w:t>
      </w:r>
      <w:r w:rsidRPr="005235F9">
        <w:rPr>
          <w:color w:val="000000"/>
        </w:rPr>
        <w:t xml:space="preserve"> </w:t>
      </w:r>
      <w:r w:rsidR="00A155C4" w:rsidRPr="005235F9">
        <w:rPr>
          <w:color w:val="000000"/>
        </w:rPr>
        <w:t>правном</w:t>
      </w:r>
      <w:r w:rsidRPr="005235F9">
        <w:rPr>
          <w:color w:val="000000"/>
        </w:rPr>
        <w:t xml:space="preserve"> </w:t>
      </w:r>
      <w:r w:rsidR="00A155C4" w:rsidRPr="005235F9">
        <w:rPr>
          <w:color w:val="000000"/>
        </w:rPr>
        <w:t>лицу</w:t>
      </w:r>
      <w:r w:rsidRPr="005235F9">
        <w:rPr>
          <w:color w:val="000000"/>
        </w:rPr>
        <w:t xml:space="preserve"> - </w:t>
      </w:r>
      <w:r w:rsidR="00A155C4" w:rsidRPr="005235F9">
        <w:rPr>
          <w:color w:val="000000"/>
        </w:rPr>
        <w:t>пореском</w:t>
      </w:r>
      <w:r w:rsidRPr="005235F9">
        <w:rPr>
          <w:color w:val="000000"/>
        </w:rPr>
        <w:t xml:space="preserve"> </w:t>
      </w:r>
      <w:r w:rsidR="00A155C4" w:rsidRPr="005235F9">
        <w:rPr>
          <w:color w:val="000000"/>
        </w:rPr>
        <w:t>платцу</w:t>
      </w:r>
      <w:r w:rsidRPr="005235F9">
        <w:rPr>
          <w:color w:val="000000"/>
        </w:rPr>
        <w:t xml:space="preserve">, </w:t>
      </w:r>
      <w:r w:rsidR="00A155C4" w:rsidRPr="005235F9">
        <w:rPr>
          <w:color w:val="000000"/>
        </w:rPr>
        <w:t>као</w:t>
      </w:r>
      <w:r w:rsidRPr="005235F9">
        <w:rPr>
          <w:color w:val="000000"/>
        </w:rPr>
        <w:t xml:space="preserve"> </w:t>
      </w:r>
      <w:r w:rsidR="00A155C4" w:rsidRPr="005235F9">
        <w:rPr>
          <w:color w:val="000000"/>
        </w:rPr>
        <w:t>и</w:t>
      </w:r>
      <w:r w:rsidRPr="005235F9">
        <w:rPr>
          <w:color w:val="000000"/>
        </w:rPr>
        <w:t xml:space="preserve"> </w:t>
      </w:r>
      <w:r w:rsidR="00A155C4" w:rsidRPr="005235F9">
        <w:rPr>
          <w:color w:val="000000"/>
        </w:rPr>
        <w:t>предузетник</w:t>
      </w:r>
      <w:r w:rsidRPr="005235F9">
        <w:rPr>
          <w:color w:val="000000"/>
        </w:rPr>
        <w:t xml:space="preserve"> - </w:t>
      </w:r>
      <w:r w:rsidR="00A155C4" w:rsidRPr="005235F9">
        <w:rPr>
          <w:color w:val="000000"/>
        </w:rPr>
        <w:t>порески</w:t>
      </w:r>
      <w:r w:rsidRPr="005235F9">
        <w:rPr>
          <w:color w:val="000000"/>
        </w:rPr>
        <w:t xml:space="preserve"> </w:t>
      </w:r>
      <w:r w:rsidR="00A155C4" w:rsidRPr="005235F9">
        <w:rPr>
          <w:color w:val="000000"/>
        </w:rPr>
        <w:t>платац</w:t>
      </w:r>
      <w:r w:rsidRPr="005235F9">
        <w:rPr>
          <w:color w:val="000000"/>
          <w:lang w:val="sr-Cyrl-CS"/>
        </w:rPr>
        <w:t xml:space="preserve"> који у намери да не плати порез не уплати износ обрачунат по основу пореза по одбитку на прописани рачун јавних прихода. </w:t>
      </w:r>
      <w:r w:rsidR="00826968" w:rsidRPr="005235F9">
        <w:rPr>
          <w:color w:val="000000"/>
          <w:lang w:val="sr-Cyrl-CS"/>
        </w:rPr>
        <w:t xml:space="preserve"> </w:t>
      </w:r>
      <w:r w:rsidR="001D605A" w:rsidRPr="005235F9">
        <w:rPr>
          <w:color w:val="000000"/>
          <w:lang w:val="sr-Cyrl-CS"/>
        </w:rPr>
        <w:t>Дакле учинилац мора имати одређено  лично својство.</w:t>
      </w:r>
      <w:r w:rsidR="001467DF">
        <w:rPr>
          <w:color w:val="000000"/>
          <w:lang w:val="sr-Cyrl-CS"/>
        </w:rPr>
        <w:t xml:space="preserve"> </w:t>
      </w:r>
      <w:r w:rsidR="001467DF" w:rsidRPr="00390417">
        <w:rPr>
          <w:color w:val="000000"/>
        </w:rPr>
        <w:t xml:space="preserve">Пуномоћник предузетника - пореског платца не може бити извршилац </w:t>
      </w:r>
      <w:r w:rsidR="001467DF">
        <w:rPr>
          <w:color w:val="000000"/>
          <w:lang w:val="sr-Cyrl-CS"/>
        </w:rPr>
        <w:t xml:space="preserve">овог </w:t>
      </w:r>
      <w:r w:rsidR="001467DF" w:rsidRPr="00390417">
        <w:rPr>
          <w:color w:val="000000"/>
        </w:rPr>
        <w:t>кривичног дела</w:t>
      </w:r>
      <w:r w:rsidR="001467DF">
        <w:rPr>
          <w:color w:val="000000"/>
          <w:lang w:val="sr-Cyrl-CS"/>
        </w:rPr>
        <w:t>.</w:t>
      </w:r>
      <w:r w:rsidR="001467DF">
        <w:rPr>
          <w:rStyle w:val="FootnoteReference"/>
          <w:color w:val="000000"/>
          <w:lang w:val="sr-Cyrl-CS"/>
        </w:rPr>
        <w:footnoteReference w:id="828"/>
      </w:r>
      <w:r w:rsidR="001467DF" w:rsidRPr="00390417">
        <w:rPr>
          <w:color w:val="000000"/>
        </w:rPr>
        <w:t xml:space="preserve"> </w:t>
      </w:r>
    </w:p>
    <w:p w:rsidR="00826968" w:rsidRPr="005235F9" w:rsidRDefault="00826968" w:rsidP="009834E1">
      <w:pPr>
        <w:pStyle w:val="normal0"/>
        <w:shd w:val="clear" w:color="auto" w:fill="FFFFFF"/>
        <w:spacing w:before="48" w:beforeAutospacing="0" w:after="48" w:afterAutospacing="0"/>
        <w:jc w:val="both"/>
        <w:rPr>
          <w:color w:val="000000"/>
          <w:lang w:val="sr-Cyrl-CS"/>
        </w:rPr>
      </w:pPr>
    </w:p>
    <w:p w:rsidR="00C74AFA" w:rsidRDefault="00C74AFA" w:rsidP="005235F9">
      <w:pPr>
        <w:pStyle w:val="normal0"/>
        <w:shd w:val="clear" w:color="auto" w:fill="FFFFFF"/>
        <w:spacing w:before="48" w:beforeAutospacing="0" w:after="48" w:afterAutospacing="0"/>
        <w:jc w:val="both"/>
        <w:rPr>
          <w:color w:val="000000"/>
          <w:lang w:val="sr-Cyrl-CS"/>
        </w:rPr>
      </w:pPr>
      <w:r w:rsidRPr="005235F9">
        <w:rPr>
          <w:color w:val="000000"/>
          <w:lang w:val="sr-Cyrl-CS"/>
        </w:rPr>
        <w:t xml:space="preserve"> </w:t>
      </w:r>
      <w:r w:rsidR="00826968" w:rsidRPr="005235F9">
        <w:rPr>
          <w:color w:val="000000"/>
          <w:lang w:val="sr-Cyrl-CS"/>
        </w:rPr>
        <w:tab/>
      </w:r>
      <w:r w:rsidR="00624953">
        <w:rPr>
          <w:color w:val="000000"/>
          <w:lang w:val="sr-Cyrl-CS"/>
        </w:rPr>
        <w:t>Када исплати приход</w:t>
      </w:r>
      <w:r w:rsidRPr="005235F9">
        <w:rPr>
          <w:color w:val="000000"/>
          <w:lang w:val="sr-Cyrl-CS"/>
        </w:rPr>
        <w:t xml:space="preserve"> исплатилац је у обавези да обрачуна и уплати износ пореске обавезе на прописани рачун јавних прихода. </w:t>
      </w:r>
      <w:r w:rsidR="00624953">
        <w:rPr>
          <w:color w:val="000000"/>
          <w:lang w:val="sr-Cyrl-CS"/>
        </w:rPr>
        <w:t>Дело ће постојати у</w:t>
      </w:r>
      <w:r w:rsidRPr="005235F9">
        <w:rPr>
          <w:color w:val="000000"/>
          <w:lang w:val="sr-Cyrl-CS"/>
        </w:rPr>
        <w:t>колико исплатилац прих</w:t>
      </w:r>
      <w:r w:rsidR="00826968" w:rsidRPr="005235F9">
        <w:rPr>
          <w:color w:val="000000"/>
          <w:lang w:val="sr-Cyrl-CS"/>
        </w:rPr>
        <w:t>ода исплати приход у нето износ</w:t>
      </w:r>
      <w:r w:rsidRPr="005235F9">
        <w:rPr>
          <w:color w:val="000000"/>
          <w:lang w:val="sr-Cyrl-CS"/>
        </w:rPr>
        <w:t xml:space="preserve">у пореском обвезнику, а при томе не </w:t>
      </w:r>
      <w:r w:rsidR="0068248A">
        <w:rPr>
          <w:color w:val="000000"/>
          <w:lang w:val="sr-Cyrl-CS"/>
        </w:rPr>
        <w:t>плати порез по одбитку</w:t>
      </w:r>
      <w:r w:rsidRPr="005235F9">
        <w:rPr>
          <w:color w:val="000000"/>
          <w:lang w:val="sr-Cyrl-CS"/>
        </w:rPr>
        <w:t>. Дело постоји и ако се на уплатни рачун јавних прихода уплати износ по</w:t>
      </w:r>
      <w:r w:rsidR="0068248A">
        <w:rPr>
          <w:color w:val="000000"/>
          <w:lang w:val="sr-Cyrl-CS"/>
        </w:rPr>
        <w:t>реза у износу к</w:t>
      </w:r>
      <w:r w:rsidR="00826968" w:rsidRPr="005235F9">
        <w:rPr>
          <w:color w:val="000000"/>
          <w:lang w:val="sr-Cyrl-CS"/>
        </w:rPr>
        <w:t>оји је мањи од обрачунат</w:t>
      </w:r>
      <w:r w:rsidR="00A34830">
        <w:rPr>
          <w:color w:val="000000"/>
          <w:lang w:val="sr-Cyrl-CS"/>
        </w:rPr>
        <w:t>ог</w:t>
      </w:r>
      <w:r w:rsidRPr="005235F9">
        <w:rPr>
          <w:color w:val="000000"/>
          <w:lang w:val="sr-Cyrl-CS"/>
        </w:rPr>
        <w:t>.</w:t>
      </w:r>
      <w:r w:rsidRPr="005235F9">
        <w:rPr>
          <w:rStyle w:val="FootnoteReference"/>
          <w:color w:val="000000"/>
          <w:lang w:val="sr-Cyrl-CS"/>
        </w:rPr>
        <w:footnoteReference w:id="829"/>
      </w:r>
      <w:r w:rsidR="00826968" w:rsidRPr="005235F9">
        <w:rPr>
          <w:color w:val="000000"/>
          <w:lang w:val="sr-Cyrl-CS"/>
        </w:rPr>
        <w:t xml:space="preserve"> </w:t>
      </w:r>
    </w:p>
    <w:p w:rsidR="001467DF" w:rsidRDefault="001467DF" w:rsidP="005235F9">
      <w:pPr>
        <w:pStyle w:val="normal0"/>
        <w:shd w:val="clear" w:color="auto" w:fill="FFFFFF"/>
        <w:spacing w:before="48" w:beforeAutospacing="0" w:after="48" w:afterAutospacing="0"/>
        <w:jc w:val="both"/>
        <w:rPr>
          <w:color w:val="000000"/>
          <w:lang w:val="sr-Cyrl-CS"/>
        </w:rPr>
      </w:pPr>
    </w:p>
    <w:p w:rsidR="001467DF" w:rsidRPr="005235F9" w:rsidRDefault="001467DF" w:rsidP="005235F9">
      <w:pPr>
        <w:pStyle w:val="normal0"/>
        <w:shd w:val="clear" w:color="auto" w:fill="FFFFFF"/>
        <w:spacing w:before="48" w:beforeAutospacing="0" w:after="48" w:afterAutospacing="0"/>
        <w:jc w:val="both"/>
        <w:rPr>
          <w:color w:val="000000"/>
          <w:lang w:val="sr-Cyrl-CS"/>
        </w:rPr>
      </w:pPr>
    </w:p>
    <w:p w:rsidR="001D605A" w:rsidRPr="005235F9" w:rsidRDefault="001D605A" w:rsidP="005235F9">
      <w:pPr>
        <w:pStyle w:val="normal0"/>
        <w:shd w:val="clear" w:color="auto" w:fill="FFFFFF"/>
        <w:spacing w:before="48" w:beforeAutospacing="0" w:after="48" w:afterAutospacing="0"/>
        <w:jc w:val="both"/>
        <w:rPr>
          <w:color w:val="000000"/>
          <w:lang w:val="sr-Cyrl-CS"/>
        </w:rPr>
      </w:pPr>
    </w:p>
    <w:p w:rsidR="001D605A" w:rsidRDefault="001D605A" w:rsidP="005235F9">
      <w:pPr>
        <w:pStyle w:val="normal0"/>
        <w:shd w:val="clear" w:color="auto" w:fill="FFFFFF"/>
        <w:spacing w:before="48" w:beforeAutospacing="0" w:after="48" w:afterAutospacing="0"/>
        <w:jc w:val="both"/>
        <w:rPr>
          <w:color w:val="000000"/>
          <w:lang w:val="sr-Cyrl-CS"/>
        </w:rPr>
      </w:pPr>
    </w:p>
    <w:p w:rsidR="004F3D57" w:rsidRDefault="004F3D57" w:rsidP="005235F9">
      <w:pPr>
        <w:pStyle w:val="normal0"/>
        <w:shd w:val="clear" w:color="auto" w:fill="FFFFFF"/>
        <w:spacing w:before="48" w:beforeAutospacing="0" w:after="48" w:afterAutospacing="0"/>
        <w:jc w:val="both"/>
        <w:rPr>
          <w:color w:val="000000"/>
          <w:lang w:val="sr-Cyrl-CS"/>
        </w:rPr>
      </w:pPr>
    </w:p>
    <w:p w:rsidR="004F3D57" w:rsidRPr="005235F9" w:rsidRDefault="004F3D57" w:rsidP="005235F9">
      <w:pPr>
        <w:pStyle w:val="normal0"/>
        <w:shd w:val="clear" w:color="auto" w:fill="FFFFFF"/>
        <w:spacing w:before="48" w:beforeAutospacing="0" w:after="48" w:afterAutospacing="0"/>
        <w:jc w:val="both"/>
        <w:rPr>
          <w:color w:val="000000"/>
          <w:lang w:val="sr-Cyrl-CS"/>
        </w:rPr>
      </w:pPr>
    </w:p>
    <w:p w:rsidR="008008DF" w:rsidRDefault="009807CC" w:rsidP="008A3795">
      <w:pPr>
        <w:pStyle w:val="normal0"/>
        <w:numPr>
          <w:ilvl w:val="3"/>
          <w:numId w:val="59"/>
        </w:numPr>
        <w:shd w:val="clear" w:color="auto" w:fill="FFFFFF"/>
        <w:spacing w:before="48" w:beforeAutospacing="0" w:after="48" w:afterAutospacing="0"/>
        <w:jc w:val="center"/>
        <w:rPr>
          <w:b/>
          <w:color w:val="000000"/>
          <w:lang w:val="sr-Cyrl-CS"/>
        </w:rPr>
      </w:pPr>
      <w:r w:rsidRPr="005235F9">
        <w:rPr>
          <w:b/>
          <w:color w:val="000000"/>
          <w:lang w:val="sr-Cyrl-CS"/>
        </w:rPr>
        <w:t>Кривичне санкције</w:t>
      </w:r>
    </w:p>
    <w:p w:rsidR="009161A0" w:rsidRPr="005235F9" w:rsidRDefault="009161A0" w:rsidP="009161A0">
      <w:pPr>
        <w:pStyle w:val="normal0"/>
        <w:shd w:val="clear" w:color="auto" w:fill="FFFFFF"/>
        <w:spacing w:before="48" w:beforeAutospacing="0" w:after="48" w:afterAutospacing="0"/>
        <w:ind w:left="1428"/>
        <w:rPr>
          <w:b/>
          <w:color w:val="000000"/>
          <w:lang w:val="sr-Cyrl-CS"/>
        </w:rPr>
      </w:pPr>
    </w:p>
    <w:p w:rsidR="001D605A" w:rsidRPr="005235F9" w:rsidRDefault="001D605A" w:rsidP="005235F9">
      <w:pPr>
        <w:pStyle w:val="normal0"/>
        <w:shd w:val="clear" w:color="auto" w:fill="FFFFFF"/>
        <w:spacing w:before="48" w:beforeAutospacing="0" w:after="48" w:afterAutospacing="0"/>
        <w:jc w:val="both"/>
        <w:rPr>
          <w:color w:val="000000"/>
          <w:lang w:val="sr-Cyrl-CS"/>
        </w:rPr>
      </w:pPr>
    </w:p>
    <w:p w:rsidR="00C14412" w:rsidRPr="004F3D57" w:rsidRDefault="00826968" w:rsidP="004F3D57">
      <w:pPr>
        <w:ind w:firstLine="708"/>
        <w:jc w:val="both"/>
        <w:rPr>
          <w:rFonts w:ascii="Times New Roman" w:hAnsi="Times New Roman"/>
          <w:sz w:val="24"/>
          <w:szCs w:val="24"/>
          <w:lang w:val="sr-Cyrl-CS"/>
        </w:rPr>
      </w:pPr>
      <w:r w:rsidRPr="004F3D57">
        <w:rPr>
          <w:rStyle w:val="apple-converted-space"/>
          <w:rFonts w:ascii="Times New Roman" w:hAnsi="Times New Roman"/>
          <w:color w:val="000000"/>
          <w:sz w:val="24"/>
          <w:szCs w:val="24"/>
          <w:lang w:val="sr-Cyrl-CS"/>
        </w:rPr>
        <w:t xml:space="preserve">За  основни облик овог кривичног дела је прописана кумулативно </w:t>
      </w:r>
      <w:r w:rsidR="00A155C4" w:rsidRPr="004F3D57">
        <w:rPr>
          <w:rFonts w:ascii="Times New Roman" w:hAnsi="Times New Roman"/>
          <w:sz w:val="24"/>
          <w:szCs w:val="24"/>
        </w:rPr>
        <w:t>казн</w:t>
      </w:r>
      <w:r w:rsidRPr="004F3D57">
        <w:rPr>
          <w:rFonts w:ascii="Times New Roman" w:hAnsi="Times New Roman"/>
          <w:sz w:val="24"/>
          <w:szCs w:val="24"/>
          <w:lang w:val="sr-Cyrl-CS"/>
        </w:rPr>
        <w:t>а затвора</w:t>
      </w:r>
      <w:r w:rsidRPr="004F3D57">
        <w:rPr>
          <w:rFonts w:ascii="Times New Roman" w:hAnsi="Times New Roman"/>
          <w:sz w:val="24"/>
          <w:szCs w:val="24"/>
        </w:rPr>
        <w:t xml:space="preserve"> </w:t>
      </w:r>
      <w:r w:rsidR="00A155C4" w:rsidRPr="004F3D57">
        <w:rPr>
          <w:rFonts w:ascii="Times New Roman" w:hAnsi="Times New Roman"/>
          <w:sz w:val="24"/>
          <w:szCs w:val="24"/>
        </w:rPr>
        <w:t>до</w:t>
      </w:r>
      <w:r w:rsidRPr="004F3D57">
        <w:rPr>
          <w:rFonts w:ascii="Times New Roman" w:hAnsi="Times New Roman"/>
          <w:sz w:val="24"/>
          <w:szCs w:val="24"/>
        </w:rPr>
        <w:t xml:space="preserve"> </w:t>
      </w:r>
      <w:r w:rsidR="00A155C4" w:rsidRPr="004F3D57">
        <w:rPr>
          <w:rFonts w:ascii="Times New Roman" w:hAnsi="Times New Roman"/>
          <w:sz w:val="24"/>
          <w:szCs w:val="24"/>
        </w:rPr>
        <w:t>три</w:t>
      </w:r>
      <w:r w:rsidRPr="004F3D57">
        <w:rPr>
          <w:rFonts w:ascii="Times New Roman" w:hAnsi="Times New Roman"/>
          <w:sz w:val="24"/>
          <w:szCs w:val="24"/>
        </w:rPr>
        <w:t xml:space="preserve"> </w:t>
      </w:r>
      <w:r w:rsidR="00A155C4" w:rsidRPr="004F3D57">
        <w:rPr>
          <w:rFonts w:ascii="Times New Roman" w:hAnsi="Times New Roman"/>
          <w:sz w:val="24"/>
          <w:szCs w:val="24"/>
        </w:rPr>
        <w:t>године</w:t>
      </w:r>
      <w:r w:rsidRPr="004F3D57">
        <w:rPr>
          <w:rFonts w:ascii="Times New Roman" w:hAnsi="Times New Roman"/>
          <w:sz w:val="24"/>
          <w:szCs w:val="24"/>
        </w:rPr>
        <w:t xml:space="preserve"> </w:t>
      </w:r>
      <w:r w:rsidR="00A155C4" w:rsidRPr="004F3D57">
        <w:rPr>
          <w:rFonts w:ascii="Times New Roman" w:hAnsi="Times New Roman"/>
          <w:sz w:val="24"/>
          <w:szCs w:val="24"/>
        </w:rPr>
        <w:t>и</w:t>
      </w:r>
      <w:r w:rsidRPr="004F3D57">
        <w:rPr>
          <w:rFonts w:ascii="Times New Roman" w:hAnsi="Times New Roman"/>
          <w:sz w:val="24"/>
          <w:szCs w:val="24"/>
        </w:rPr>
        <w:t xml:space="preserve"> </w:t>
      </w:r>
      <w:r w:rsidR="00A155C4" w:rsidRPr="004F3D57">
        <w:rPr>
          <w:rFonts w:ascii="Times New Roman" w:hAnsi="Times New Roman"/>
          <w:sz w:val="24"/>
          <w:szCs w:val="24"/>
        </w:rPr>
        <w:t>новчан</w:t>
      </w:r>
      <w:r w:rsidRPr="004F3D57">
        <w:rPr>
          <w:rFonts w:ascii="Times New Roman" w:hAnsi="Times New Roman"/>
          <w:sz w:val="24"/>
          <w:szCs w:val="24"/>
          <w:lang w:val="sr-Cyrl-CS"/>
        </w:rPr>
        <w:t>а</w:t>
      </w:r>
      <w:r w:rsidRPr="004F3D57">
        <w:rPr>
          <w:rFonts w:ascii="Times New Roman" w:hAnsi="Times New Roman"/>
          <w:sz w:val="24"/>
          <w:szCs w:val="24"/>
        </w:rPr>
        <w:t xml:space="preserve"> </w:t>
      </w:r>
      <w:r w:rsidR="00A155C4" w:rsidRPr="004F3D57">
        <w:rPr>
          <w:rFonts w:ascii="Times New Roman" w:hAnsi="Times New Roman"/>
          <w:sz w:val="24"/>
          <w:szCs w:val="24"/>
        </w:rPr>
        <w:t>казн</w:t>
      </w:r>
      <w:r w:rsidRPr="004F3D57">
        <w:rPr>
          <w:rFonts w:ascii="Times New Roman" w:hAnsi="Times New Roman"/>
          <w:sz w:val="24"/>
          <w:szCs w:val="24"/>
          <w:lang w:val="sr-Cyrl-CS"/>
        </w:rPr>
        <w:t>а</w:t>
      </w:r>
      <w:r w:rsidRPr="004F3D57">
        <w:rPr>
          <w:rFonts w:ascii="Times New Roman" w:hAnsi="Times New Roman"/>
          <w:sz w:val="24"/>
          <w:szCs w:val="24"/>
        </w:rPr>
        <w:t>.</w:t>
      </w:r>
    </w:p>
    <w:p w:rsidR="00C14412" w:rsidRPr="004F3D57" w:rsidRDefault="00826968" w:rsidP="004F3D57">
      <w:pPr>
        <w:ind w:firstLine="708"/>
        <w:jc w:val="both"/>
        <w:rPr>
          <w:rFonts w:ascii="Times New Roman" w:hAnsi="Times New Roman"/>
          <w:sz w:val="24"/>
          <w:szCs w:val="24"/>
          <w:lang w:val="sr-Cyrl-CS"/>
        </w:rPr>
      </w:pPr>
      <w:r w:rsidRPr="004F3D57">
        <w:rPr>
          <w:rFonts w:ascii="Times New Roman" w:hAnsi="Times New Roman"/>
          <w:sz w:val="24"/>
          <w:szCs w:val="24"/>
          <w:lang w:val="sr-Cyrl-CS"/>
        </w:rPr>
        <w:t xml:space="preserve">За тежи облик овог кривичног дела прописана је казна затвора </w:t>
      </w:r>
      <w:r w:rsidRPr="004F3D57">
        <w:rPr>
          <w:rFonts w:ascii="Times New Roman" w:hAnsi="Times New Roman"/>
          <w:sz w:val="24"/>
          <w:szCs w:val="24"/>
        </w:rPr>
        <w:t xml:space="preserve"> </w:t>
      </w:r>
      <w:r w:rsidR="00A155C4" w:rsidRPr="004F3D57">
        <w:rPr>
          <w:rFonts w:ascii="Times New Roman" w:hAnsi="Times New Roman"/>
          <w:sz w:val="24"/>
          <w:szCs w:val="24"/>
        </w:rPr>
        <w:t>од</w:t>
      </w:r>
      <w:r w:rsidRPr="004F3D57">
        <w:rPr>
          <w:rFonts w:ascii="Times New Roman" w:hAnsi="Times New Roman"/>
          <w:sz w:val="24"/>
          <w:szCs w:val="24"/>
        </w:rPr>
        <w:t xml:space="preserve"> </w:t>
      </w:r>
      <w:r w:rsidR="00A155C4" w:rsidRPr="004F3D57">
        <w:rPr>
          <w:rFonts w:ascii="Times New Roman" w:hAnsi="Times New Roman"/>
          <w:sz w:val="24"/>
          <w:szCs w:val="24"/>
        </w:rPr>
        <w:t>шест</w:t>
      </w:r>
      <w:r w:rsidRPr="004F3D57">
        <w:rPr>
          <w:rFonts w:ascii="Times New Roman" w:hAnsi="Times New Roman"/>
          <w:sz w:val="24"/>
          <w:szCs w:val="24"/>
        </w:rPr>
        <w:t xml:space="preserve"> </w:t>
      </w:r>
      <w:r w:rsidR="00A155C4" w:rsidRPr="004F3D57">
        <w:rPr>
          <w:rFonts w:ascii="Times New Roman" w:hAnsi="Times New Roman"/>
          <w:sz w:val="24"/>
          <w:szCs w:val="24"/>
        </w:rPr>
        <w:t>месеци</w:t>
      </w:r>
      <w:r w:rsidRPr="004F3D57">
        <w:rPr>
          <w:rFonts w:ascii="Times New Roman" w:hAnsi="Times New Roman"/>
          <w:sz w:val="24"/>
          <w:szCs w:val="24"/>
        </w:rPr>
        <w:t xml:space="preserve"> </w:t>
      </w:r>
      <w:r w:rsidR="00A155C4" w:rsidRPr="004F3D57">
        <w:rPr>
          <w:rFonts w:ascii="Times New Roman" w:hAnsi="Times New Roman"/>
          <w:sz w:val="24"/>
          <w:szCs w:val="24"/>
        </w:rPr>
        <w:t>до</w:t>
      </w:r>
      <w:r w:rsidRPr="004F3D57">
        <w:rPr>
          <w:rFonts w:ascii="Times New Roman" w:hAnsi="Times New Roman"/>
          <w:sz w:val="24"/>
          <w:szCs w:val="24"/>
        </w:rPr>
        <w:t xml:space="preserve"> </w:t>
      </w:r>
      <w:r w:rsidR="00A155C4" w:rsidRPr="004F3D57">
        <w:rPr>
          <w:rFonts w:ascii="Times New Roman" w:hAnsi="Times New Roman"/>
          <w:sz w:val="24"/>
          <w:szCs w:val="24"/>
        </w:rPr>
        <w:t>пет</w:t>
      </w:r>
      <w:r w:rsidRPr="004F3D57">
        <w:rPr>
          <w:rFonts w:ascii="Times New Roman" w:hAnsi="Times New Roman"/>
          <w:sz w:val="24"/>
          <w:szCs w:val="24"/>
        </w:rPr>
        <w:t xml:space="preserve"> </w:t>
      </w:r>
      <w:r w:rsidR="00A155C4" w:rsidRPr="004F3D57">
        <w:rPr>
          <w:rFonts w:ascii="Times New Roman" w:hAnsi="Times New Roman"/>
          <w:sz w:val="24"/>
          <w:szCs w:val="24"/>
        </w:rPr>
        <w:t>година</w:t>
      </w:r>
      <w:r w:rsidRPr="004F3D57">
        <w:rPr>
          <w:rFonts w:ascii="Times New Roman" w:hAnsi="Times New Roman"/>
          <w:sz w:val="24"/>
          <w:szCs w:val="24"/>
        </w:rPr>
        <w:t xml:space="preserve"> </w:t>
      </w:r>
      <w:r w:rsidR="00A155C4" w:rsidRPr="004F3D57">
        <w:rPr>
          <w:rFonts w:ascii="Times New Roman" w:hAnsi="Times New Roman"/>
          <w:sz w:val="24"/>
          <w:szCs w:val="24"/>
        </w:rPr>
        <w:t>и</w:t>
      </w:r>
      <w:r w:rsidRPr="004F3D57">
        <w:rPr>
          <w:rFonts w:ascii="Times New Roman" w:hAnsi="Times New Roman"/>
          <w:sz w:val="24"/>
          <w:szCs w:val="24"/>
        </w:rPr>
        <w:t xml:space="preserve"> </w:t>
      </w:r>
      <w:r w:rsidR="00A155C4" w:rsidRPr="004F3D57">
        <w:rPr>
          <w:rFonts w:ascii="Times New Roman" w:hAnsi="Times New Roman"/>
          <w:sz w:val="24"/>
          <w:szCs w:val="24"/>
        </w:rPr>
        <w:t>новчан</w:t>
      </w:r>
      <w:r w:rsidRPr="004F3D57">
        <w:rPr>
          <w:rFonts w:ascii="Times New Roman" w:hAnsi="Times New Roman"/>
          <w:sz w:val="24"/>
          <w:szCs w:val="24"/>
          <w:lang w:val="sr-Cyrl-CS"/>
        </w:rPr>
        <w:t>а</w:t>
      </w:r>
      <w:r w:rsidRPr="004F3D57">
        <w:rPr>
          <w:rFonts w:ascii="Times New Roman" w:hAnsi="Times New Roman"/>
          <w:sz w:val="24"/>
          <w:szCs w:val="24"/>
        </w:rPr>
        <w:t xml:space="preserve"> </w:t>
      </w:r>
      <w:r w:rsidR="00A155C4" w:rsidRPr="004F3D57">
        <w:rPr>
          <w:rFonts w:ascii="Times New Roman" w:hAnsi="Times New Roman"/>
          <w:sz w:val="24"/>
          <w:szCs w:val="24"/>
        </w:rPr>
        <w:t>казн</w:t>
      </w:r>
      <w:r w:rsidRPr="004F3D57">
        <w:rPr>
          <w:rFonts w:ascii="Times New Roman" w:hAnsi="Times New Roman"/>
          <w:sz w:val="24"/>
          <w:szCs w:val="24"/>
          <w:lang w:val="sr-Cyrl-CS"/>
        </w:rPr>
        <w:t>а (став 2).</w:t>
      </w:r>
    </w:p>
    <w:p w:rsidR="00C14412" w:rsidRPr="004F3D57" w:rsidRDefault="00826968" w:rsidP="004F3D57">
      <w:pPr>
        <w:ind w:firstLine="708"/>
        <w:jc w:val="both"/>
        <w:rPr>
          <w:rFonts w:ascii="Times New Roman" w:hAnsi="Times New Roman"/>
          <w:sz w:val="24"/>
          <w:szCs w:val="24"/>
          <w:lang w:val="sr-Cyrl-CS"/>
        </w:rPr>
      </w:pPr>
      <w:r w:rsidRPr="004F3D57">
        <w:rPr>
          <w:rFonts w:ascii="Times New Roman" w:hAnsi="Times New Roman"/>
          <w:sz w:val="24"/>
          <w:szCs w:val="24"/>
          <w:lang w:val="sr-Cyrl-CS"/>
        </w:rPr>
        <w:t xml:space="preserve">За најтежи </w:t>
      </w:r>
      <w:r w:rsidR="00A34830" w:rsidRPr="004F3D57">
        <w:rPr>
          <w:rFonts w:ascii="Times New Roman" w:hAnsi="Times New Roman"/>
          <w:sz w:val="24"/>
          <w:szCs w:val="24"/>
          <w:lang w:val="sr-Cyrl-CS"/>
        </w:rPr>
        <w:t xml:space="preserve">облик </w:t>
      </w:r>
      <w:r w:rsidRPr="004F3D57">
        <w:rPr>
          <w:rFonts w:ascii="Times New Roman" w:hAnsi="Times New Roman"/>
          <w:sz w:val="24"/>
          <w:szCs w:val="24"/>
          <w:lang w:val="sr-Cyrl-CS"/>
        </w:rPr>
        <w:t>овог кривичног дела је проп</w:t>
      </w:r>
      <w:r w:rsidR="00A34830" w:rsidRPr="004F3D57">
        <w:rPr>
          <w:rFonts w:ascii="Times New Roman" w:hAnsi="Times New Roman"/>
          <w:sz w:val="24"/>
          <w:szCs w:val="24"/>
          <w:lang w:val="sr-Cyrl-CS"/>
        </w:rPr>
        <w:t>ис</w:t>
      </w:r>
      <w:r w:rsidRPr="004F3D57">
        <w:rPr>
          <w:rFonts w:ascii="Times New Roman" w:hAnsi="Times New Roman"/>
          <w:sz w:val="24"/>
          <w:szCs w:val="24"/>
          <w:lang w:val="sr-Cyrl-CS"/>
        </w:rPr>
        <w:t xml:space="preserve">ана казна затвора </w:t>
      </w:r>
      <w:r w:rsidRPr="004F3D57">
        <w:rPr>
          <w:rFonts w:ascii="Times New Roman" w:hAnsi="Times New Roman"/>
          <w:sz w:val="24"/>
          <w:szCs w:val="24"/>
        </w:rPr>
        <w:t xml:space="preserve"> </w:t>
      </w:r>
      <w:r w:rsidR="00A155C4" w:rsidRPr="004F3D57">
        <w:rPr>
          <w:rFonts w:ascii="Times New Roman" w:hAnsi="Times New Roman"/>
          <w:sz w:val="24"/>
          <w:szCs w:val="24"/>
        </w:rPr>
        <w:t>од</w:t>
      </w:r>
      <w:r w:rsidRPr="004F3D57">
        <w:rPr>
          <w:rFonts w:ascii="Times New Roman" w:hAnsi="Times New Roman"/>
          <w:sz w:val="24"/>
          <w:szCs w:val="24"/>
        </w:rPr>
        <w:t xml:space="preserve"> </w:t>
      </w:r>
      <w:r w:rsidR="00A155C4" w:rsidRPr="004F3D57">
        <w:rPr>
          <w:rFonts w:ascii="Times New Roman" w:hAnsi="Times New Roman"/>
          <w:sz w:val="24"/>
          <w:szCs w:val="24"/>
        </w:rPr>
        <w:t>једне</w:t>
      </w:r>
      <w:r w:rsidRPr="004F3D57">
        <w:rPr>
          <w:rFonts w:ascii="Times New Roman" w:hAnsi="Times New Roman"/>
          <w:sz w:val="24"/>
          <w:szCs w:val="24"/>
        </w:rPr>
        <w:t xml:space="preserve"> </w:t>
      </w:r>
      <w:r w:rsidR="00A155C4" w:rsidRPr="004F3D57">
        <w:rPr>
          <w:rFonts w:ascii="Times New Roman" w:hAnsi="Times New Roman"/>
          <w:sz w:val="24"/>
          <w:szCs w:val="24"/>
        </w:rPr>
        <w:t>до</w:t>
      </w:r>
      <w:r w:rsidRPr="004F3D57">
        <w:rPr>
          <w:rFonts w:ascii="Times New Roman" w:hAnsi="Times New Roman"/>
          <w:sz w:val="24"/>
          <w:szCs w:val="24"/>
        </w:rPr>
        <w:t xml:space="preserve"> </w:t>
      </w:r>
      <w:r w:rsidR="00A155C4" w:rsidRPr="004F3D57">
        <w:rPr>
          <w:rFonts w:ascii="Times New Roman" w:hAnsi="Times New Roman"/>
          <w:sz w:val="24"/>
          <w:szCs w:val="24"/>
        </w:rPr>
        <w:t>десет</w:t>
      </w:r>
      <w:r w:rsidRPr="004F3D57">
        <w:rPr>
          <w:rFonts w:ascii="Times New Roman" w:hAnsi="Times New Roman"/>
          <w:sz w:val="24"/>
          <w:szCs w:val="24"/>
        </w:rPr>
        <w:t xml:space="preserve"> </w:t>
      </w:r>
      <w:r w:rsidR="00A155C4" w:rsidRPr="004F3D57">
        <w:rPr>
          <w:rFonts w:ascii="Times New Roman" w:hAnsi="Times New Roman"/>
          <w:sz w:val="24"/>
          <w:szCs w:val="24"/>
        </w:rPr>
        <w:t>година</w:t>
      </w:r>
      <w:r w:rsidRPr="004F3D57">
        <w:rPr>
          <w:rFonts w:ascii="Times New Roman" w:hAnsi="Times New Roman"/>
          <w:sz w:val="24"/>
          <w:szCs w:val="24"/>
        </w:rPr>
        <w:t xml:space="preserve"> </w:t>
      </w:r>
      <w:r w:rsidR="00A155C4" w:rsidRPr="004F3D57">
        <w:rPr>
          <w:rFonts w:ascii="Times New Roman" w:hAnsi="Times New Roman"/>
          <w:sz w:val="24"/>
          <w:szCs w:val="24"/>
        </w:rPr>
        <w:t>и</w:t>
      </w:r>
      <w:r w:rsidRPr="004F3D57">
        <w:rPr>
          <w:rFonts w:ascii="Times New Roman" w:hAnsi="Times New Roman"/>
          <w:sz w:val="24"/>
          <w:szCs w:val="24"/>
        </w:rPr>
        <w:t xml:space="preserve"> </w:t>
      </w:r>
      <w:r w:rsidR="00A155C4" w:rsidRPr="004F3D57">
        <w:rPr>
          <w:rFonts w:ascii="Times New Roman" w:hAnsi="Times New Roman"/>
          <w:sz w:val="24"/>
          <w:szCs w:val="24"/>
        </w:rPr>
        <w:t>новчан</w:t>
      </w:r>
      <w:r w:rsidRPr="004F3D57">
        <w:rPr>
          <w:rFonts w:ascii="Times New Roman" w:hAnsi="Times New Roman"/>
          <w:sz w:val="24"/>
          <w:szCs w:val="24"/>
          <w:lang w:val="sr-Cyrl-CS"/>
        </w:rPr>
        <w:t>а</w:t>
      </w:r>
      <w:r w:rsidRPr="004F3D57">
        <w:rPr>
          <w:rFonts w:ascii="Times New Roman" w:hAnsi="Times New Roman"/>
          <w:sz w:val="24"/>
          <w:szCs w:val="24"/>
        </w:rPr>
        <w:t xml:space="preserve"> </w:t>
      </w:r>
      <w:r w:rsidR="00A155C4" w:rsidRPr="004F3D57">
        <w:rPr>
          <w:rFonts w:ascii="Times New Roman" w:hAnsi="Times New Roman"/>
          <w:sz w:val="24"/>
          <w:szCs w:val="24"/>
        </w:rPr>
        <w:t>казн</w:t>
      </w:r>
      <w:r w:rsidRPr="004F3D57">
        <w:rPr>
          <w:rFonts w:ascii="Times New Roman" w:hAnsi="Times New Roman"/>
          <w:sz w:val="24"/>
          <w:szCs w:val="24"/>
          <w:lang w:val="sr-Cyrl-CS"/>
        </w:rPr>
        <w:t>а (став 3).</w:t>
      </w:r>
    </w:p>
    <w:p w:rsidR="006317D7" w:rsidRPr="004F3D57" w:rsidRDefault="001D605A" w:rsidP="004F3D57">
      <w:pPr>
        <w:ind w:firstLine="708"/>
        <w:jc w:val="both"/>
        <w:rPr>
          <w:rFonts w:ascii="Times New Roman" w:hAnsi="Times New Roman"/>
          <w:bCs/>
          <w:sz w:val="24"/>
          <w:szCs w:val="24"/>
          <w:lang w:val="sr-Cyrl-CS"/>
        </w:rPr>
      </w:pPr>
      <w:r w:rsidRPr="004F3D57">
        <w:rPr>
          <w:rFonts w:ascii="Times New Roman" w:hAnsi="Times New Roman"/>
          <w:sz w:val="24"/>
          <w:szCs w:val="24"/>
          <w:lang w:val="sr-Cyrl-CS"/>
        </w:rPr>
        <w:t>Према</w:t>
      </w:r>
      <w:r w:rsidR="00826968" w:rsidRPr="004F3D57">
        <w:rPr>
          <w:rFonts w:ascii="Times New Roman" w:hAnsi="Times New Roman"/>
          <w:sz w:val="24"/>
          <w:szCs w:val="24"/>
          <w:lang w:val="sr-Cyrl-CS"/>
        </w:rPr>
        <w:t xml:space="preserve"> поменутом Закону о пореском пос</w:t>
      </w:r>
      <w:r w:rsidRPr="004F3D57">
        <w:rPr>
          <w:rFonts w:ascii="Times New Roman" w:hAnsi="Times New Roman"/>
          <w:sz w:val="24"/>
          <w:szCs w:val="24"/>
          <w:lang w:val="sr-Cyrl-CS"/>
        </w:rPr>
        <w:t xml:space="preserve">тупку и пореској администрацији било је обавезно </w:t>
      </w:r>
      <w:r w:rsidRPr="004F3D57">
        <w:rPr>
          <w:rFonts w:ascii="Times New Roman" w:hAnsi="Times New Roman"/>
          <w:b/>
          <w:bCs/>
          <w:sz w:val="24"/>
          <w:szCs w:val="24"/>
        </w:rPr>
        <w:t xml:space="preserve"> </w:t>
      </w:r>
      <w:r w:rsidR="00A155C4" w:rsidRPr="004F3D57">
        <w:rPr>
          <w:rFonts w:ascii="Times New Roman" w:hAnsi="Times New Roman"/>
          <w:bCs/>
          <w:sz w:val="24"/>
          <w:szCs w:val="24"/>
        </w:rPr>
        <w:t>изрицање</w:t>
      </w:r>
      <w:r w:rsidRPr="004F3D57">
        <w:rPr>
          <w:rFonts w:ascii="Times New Roman" w:hAnsi="Times New Roman"/>
          <w:bCs/>
          <w:sz w:val="24"/>
          <w:szCs w:val="24"/>
        </w:rPr>
        <w:t xml:space="preserve"> </w:t>
      </w:r>
      <w:r w:rsidR="00A155C4" w:rsidRPr="004F3D57">
        <w:rPr>
          <w:rFonts w:ascii="Times New Roman" w:hAnsi="Times New Roman"/>
          <w:bCs/>
          <w:sz w:val="24"/>
          <w:szCs w:val="24"/>
        </w:rPr>
        <w:t>мере</w:t>
      </w:r>
      <w:r w:rsidRPr="004F3D57">
        <w:rPr>
          <w:rFonts w:ascii="Times New Roman" w:hAnsi="Times New Roman"/>
          <w:bCs/>
          <w:sz w:val="24"/>
          <w:szCs w:val="24"/>
        </w:rPr>
        <w:t xml:space="preserve"> </w:t>
      </w:r>
      <w:r w:rsidR="00A155C4" w:rsidRPr="004F3D57">
        <w:rPr>
          <w:rFonts w:ascii="Times New Roman" w:hAnsi="Times New Roman"/>
          <w:bCs/>
          <w:sz w:val="24"/>
          <w:szCs w:val="24"/>
        </w:rPr>
        <w:t>безбедности</w:t>
      </w:r>
      <w:r w:rsidRPr="004F3D57">
        <w:rPr>
          <w:rFonts w:ascii="Times New Roman" w:hAnsi="Times New Roman"/>
          <w:bCs/>
          <w:sz w:val="24"/>
          <w:szCs w:val="24"/>
        </w:rPr>
        <w:t xml:space="preserve"> </w:t>
      </w:r>
      <w:r w:rsidR="00A155C4" w:rsidRPr="004F3D57">
        <w:rPr>
          <w:rFonts w:ascii="Times New Roman" w:hAnsi="Times New Roman"/>
          <w:bCs/>
          <w:sz w:val="24"/>
          <w:szCs w:val="24"/>
        </w:rPr>
        <w:t>забране</w:t>
      </w:r>
      <w:r w:rsidRPr="004F3D57">
        <w:rPr>
          <w:rFonts w:ascii="Times New Roman" w:hAnsi="Times New Roman"/>
          <w:bCs/>
          <w:sz w:val="24"/>
          <w:szCs w:val="24"/>
        </w:rPr>
        <w:t xml:space="preserve"> </w:t>
      </w:r>
      <w:r w:rsidR="00A155C4" w:rsidRPr="004F3D57">
        <w:rPr>
          <w:rFonts w:ascii="Times New Roman" w:hAnsi="Times New Roman"/>
          <w:bCs/>
          <w:sz w:val="24"/>
          <w:szCs w:val="24"/>
        </w:rPr>
        <w:t>вршења</w:t>
      </w:r>
      <w:r w:rsidRPr="004F3D57">
        <w:rPr>
          <w:rFonts w:ascii="Times New Roman" w:hAnsi="Times New Roman"/>
          <w:bCs/>
          <w:sz w:val="24"/>
          <w:szCs w:val="24"/>
        </w:rPr>
        <w:t xml:space="preserve"> </w:t>
      </w:r>
      <w:r w:rsidR="00A155C4" w:rsidRPr="004F3D57">
        <w:rPr>
          <w:rFonts w:ascii="Times New Roman" w:hAnsi="Times New Roman"/>
          <w:bCs/>
          <w:sz w:val="24"/>
          <w:szCs w:val="24"/>
        </w:rPr>
        <w:t>самосталне</w:t>
      </w:r>
      <w:r w:rsidRPr="004F3D57">
        <w:rPr>
          <w:rFonts w:ascii="Times New Roman" w:hAnsi="Times New Roman"/>
          <w:bCs/>
          <w:sz w:val="24"/>
          <w:szCs w:val="24"/>
        </w:rPr>
        <w:t xml:space="preserve"> </w:t>
      </w:r>
      <w:r w:rsidR="00A155C4" w:rsidRPr="004F3D57">
        <w:rPr>
          <w:rFonts w:ascii="Times New Roman" w:hAnsi="Times New Roman"/>
          <w:bCs/>
          <w:sz w:val="24"/>
          <w:szCs w:val="24"/>
        </w:rPr>
        <w:t>делатности</w:t>
      </w:r>
      <w:r w:rsidRPr="004F3D57">
        <w:rPr>
          <w:rFonts w:ascii="Times New Roman" w:hAnsi="Times New Roman"/>
          <w:bCs/>
          <w:sz w:val="24"/>
          <w:szCs w:val="24"/>
        </w:rPr>
        <w:t xml:space="preserve">, </w:t>
      </w:r>
      <w:r w:rsidR="00A155C4" w:rsidRPr="004F3D57">
        <w:rPr>
          <w:rFonts w:ascii="Times New Roman" w:hAnsi="Times New Roman"/>
          <w:bCs/>
          <w:sz w:val="24"/>
          <w:szCs w:val="24"/>
        </w:rPr>
        <w:t>позива</w:t>
      </w:r>
      <w:r w:rsidRPr="004F3D57">
        <w:rPr>
          <w:rFonts w:ascii="Times New Roman" w:hAnsi="Times New Roman"/>
          <w:bCs/>
          <w:sz w:val="24"/>
          <w:szCs w:val="24"/>
        </w:rPr>
        <w:t xml:space="preserve"> </w:t>
      </w:r>
      <w:r w:rsidR="00A155C4" w:rsidRPr="004F3D57">
        <w:rPr>
          <w:rFonts w:ascii="Times New Roman" w:hAnsi="Times New Roman"/>
          <w:bCs/>
          <w:sz w:val="24"/>
          <w:szCs w:val="24"/>
        </w:rPr>
        <w:t>делатности</w:t>
      </w:r>
      <w:r w:rsidRPr="004F3D57">
        <w:rPr>
          <w:rFonts w:ascii="Times New Roman" w:hAnsi="Times New Roman"/>
          <w:bCs/>
          <w:sz w:val="24"/>
          <w:szCs w:val="24"/>
        </w:rPr>
        <w:t xml:space="preserve"> </w:t>
      </w:r>
      <w:r w:rsidR="00A155C4" w:rsidRPr="004F3D57">
        <w:rPr>
          <w:rFonts w:ascii="Times New Roman" w:hAnsi="Times New Roman"/>
          <w:bCs/>
          <w:sz w:val="24"/>
          <w:szCs w:val="24"/>
        </w:rPr>
        <w:t>или</w:t>
      </w:r>
      <w:r w:rsidRPr="004F3D57">
        <w:rPr>
          <w:rFonts w:ascii="Times New Roman" w:hAnsi="Times New Roman"/>
          <w:bCs/>
          <w:sz w:val="24"/>
          <w:szCs w:val="24"/>
        </w:rPr>
        <w:t xml:space="preserve"> </w:t>
      </w:r>
      <w:r w:rsidR="00A155C4" w:rsidRPr="004F3D57">
        <w:rPr>
          <w:rFonts w:ascii="Times New Roman" w:hAnsi="Times New Roman"/>
          <w:bCs/>
          <w:sz w:val="24"/>
          <w:szCs w:val="24"/>
        </w:rPr>
        <w:t>дужности</w:t>
      </w:r>
      <w:r w:rsidRPr="004F3D57">
        <w:rPr>
          <w:rFonts w:ascii="Times New Roman" w:hAnsi="Times New Roman"/>
          <w:bCs/>
          <w:sz w:val="24"/>
          <w:szCs w:val="24"/>
        </w:rPr>
        <w:t xml:space="preserve"> </w:t>
      </w:r>
      <w:r w:rsidR="00A155C4" w:rsidRPr="004F3D57">
        <w:rPr>
          <w:rFonts w:ascii="Times New Roman" w:hAnsi="Times New Roman"/>
          <w:bCs/>
          <w:sz w:val="24"/>
          <w:szCs w:val="24"/>
        </w:rPr>
        <w:t>од</w:t>
      </w:r>
      <w:r w:rsidRPr="004F3D57">
        <w:rPr>
          <w:rFonts w:ascii="Times New Roman" w:hAnsi="Times New Roman"/>
          <w:bCs/>
          <w:sz w:val="24"/>
          <w:szCs w:val="24"/>
        </w:rPr>
        <w:t xml:space="preserve"> </w:t>
      </w:r>
      <w:r w:rsidR="00A155C4" w:rsidRPr="004F3D57">
        <w:rPr>
          <w:rFonts w:ascii="Times New Roman" w:hAnsi="Times New Roman"/>
          <w:bCs/>
          <w:sz w:val="24"/>
          <w:szCs w:val="24"/>
        </w:rPr>
        <w:t>једне</w:t>
      </w:r>
      <w:r w:rsidRPr="004F3D57">
        <w:rPr>
          <w:rFonts w:ascii="Times New Roman" w:hAnsi="Times New Roman"/>
          <w:bCs/>
          <w:sz w:val="24"/>
          <w:szCs w:val="24"/>
        </w:rPr>
        <w:t xml:space="preserve"> </w:t>
      </w:r>
      <w:r w:rsidR="00A155C4" w:rsidRPr="004F3D57">
        <w:rPr>
          <w:rFonts w:ascii="Times New Roman" w:hAnsi="Times New Roman"/>
          <w:bCs/>
          <w:sz w:val="24"/>
          <w:szCs w:val="24"/>
        </w:rPr>
        <w:t>до</w:t>
      </w:r>
      <w:r w:rsidRPr="004F3D57">
        <w:rPr>
          <w:rFonts w:ascii="Times New Roman" w:hAnsi="Times New Roman"/>
          <w:bCs/>
          <w:sz w:val="24"/>
          <w:szCs w:val="24"/>
        </w:rPr>
        <w:t xml:space="preserve"> </w:t>
      </w:r>
      <w:r w:rsidR="00A155C4" w:rsidRPr="004F3D57">
        <w:rPr>
          <w:rFonts w:ascii="Times New Roman" w:hAnsi="Times New Roman"/>
          <w:bCs/>
          <w:sz w:val="24"/>
          <w:szCs w:val="24"/>
        </w:rPr>
        <w:t>пет</w:t>
      </w:r>
      <w:r w:rsidRPr="004F3D57">
        <w:rPr>
          <w:rFonts w:ascii="Times New Roman" w:hAnsi="Times New Roman"/>
          <w:bCs/>
          <w:sz w:val="24"/>
          <w:szCs w:val="24"/>
        </w:rPr>
        <w:t xml:space="preserve"> </w:t>
      </w:r>
      <w:r w:rsidR="00A155C4" w:rsidRPr="004F3D57">
        <w:rPr>
          <w:rFonts w:ascii="Times New Roman" w:hAnsi="Times New Roman"/>
          <w:bCs/>
          <w:sz w:val="24"/>
          <w:szCs w:val="24"/>
        </w:rPr>
        <w:t>година</w:t>
      </w:r>
      <w:r w:rsidRPr="004F3D57">
        <w:rPr>
          <w:rFonts w:ascii="Times New Roman" w:hAnsi="Times New Roman"/>
          <w:bCs/>
          <w:sz w:val="24"/>
          <w:szCs w:val="24"/>
        </w:rPr>
        <w:t xml:space="preserve"> </w:t>
      </w:r>
      <w:r w:rsidR="00A155C4" w:rsidRPr="004F3D57">
        <w:rPr>
          <w:rFonts w:ascii="Times New Roman" w:hAnsi="Times New Roman"/>
          <w:bCs/>
          <w:sz w:val="24"/>
          <w:szCs w:val="24"/>
        </w:rPr>
        <w:t>предузетнику</w:t>
      </w:r>
      <w:r w:rsidRPr="004F3D57">
        <w:rPr>
          <w:rFonts w:ascii="Times New Roman" w:hAnsi="Times New Roman"/>
          <w:bCs/>
          <w:sz w:val="24"/>
          <w:szCs w:val="24"/>
        </w:rPr>
        <w:t xml:space="preserve"> </w:t>
      </w:r>
      <w:r w:rsidR="00A155C4" w:rsidRPr="004F3D57">
        <w:rPr>
          <w:rFonts w:ascii="Times New Roman" w:hAnsi="Times New Roman"/>
          <w:bCs/>
          <w:sz w:val="24"/>
          <w:szCs w:val="24"/>
        </w:rPr>
        <w:t>и</w:t>
      </w:r>
      <w:r w:rsidRPr="004F3D57">
        <w:rPr>
          <w:rFonts w:ascii="Times New Roman" w:hAnsi="Times New Roman"/>
          <w:bCs/>
          <w:sz w:val="24"/>
          <w:szCs w:val="24"/>
        </w:rPr>
        <w:t xml:space="preserve"> </w:t>
      </w:r>
      <w:r w:rsidR="00A155C4" w:rsidRPr="004F3D57">
        <w:rPr>
          <w:rFonts w:ascii="Times New Roman" w:hAnsi="Times New Roman"/>
          <w:bCs/>
          <w:sz w:val="24"/>
          <w:szCs w:val="24"/>
        </w:rPr>
        <w:t>одговорном</w:t>
      </w:r>
      <w:r w:rsidRPr="004F3D57">
        <w:rPr>
          <w:rFonts w:ascii="Times New Roman" w:hAnsi="Times New Roman"/>
          <w:bCs/>
          <w:sz w:val="24"/>
          <w:szCs w:val="24"/>
        </w:rPr>
        <w:t xml:space="preserve"> </w:t>
      </w:r>
      <w:r w:rsidR="00A155C4" w:rsidRPr="004F3D57">
        <w:rPr>
          <w:rFonts w:ascii="Times New Roman" w:hAnsi="Times New Roman"/>
          <w:bCs/>
          <w:sz w:val="24"/>
          <w:szCs w:val="24"/>
        </w:rPr>
        <w:t>лицу</w:t>
      </w:r>
      <w:r w:rsidRPr="004F3D57">
        <w:rPr>
          <w:rFonts w:ascii="Times New Roman" w:hAnsi="Times New Roman"/>
          <w:bCs/>
          <w:sz w:val="24"/>
          <w:szCs w:val="24"/>
        </w:rPr>
        <w:t xml:space="preserve"> </w:t>
      </w:r>
      <w:r w:rsidR="00A155C4" w:rsidRPr="004F3D57">
        <w:rPr>
          <w:rFonts w:ascii="Times New Roman" w:hAnsi="Times New Roman"/>
          <w:bCs/>
          <w:sz w:val="24"/>
          <w:szCs w:val="24"/>
        </w:rPr>
        <w:t>у</w:t>
      </w:r>
      <w:r w:rsidRPr="004F3D57">
        <w:rPr>
          <w:rFonts w:ascii="Times New Roman" w:hAnsi="Times New Roman"/>
          <w:bCs/>
          <w:sz w:val="24"/>
          <w:szCs w:val="24"/>
        </w:rPr>
        <w:t xml:space="preserve"> </w:t>
      </w:r>
      <w:r w:rsidR="00A155C4" w:rsidRPr="004F3D57">
        <w:rPr>
          <w:rFonts w:ascii="Times New Roman" w:hAnsi="Times New Roman"/>
          <w:bCs/>
          <w:sz w:val="24"/>
          <w:szCs w:val="24"/>
        </w:rPr>
        <w:t>пореском</w:t>
      </w:r>
      <w:r w:rsidRPr="004F3D57">
        <w:rPr>
          <w:rFonts w:ascii="Times New Roman" w:hAnsi="Times New Roman"/>
          <w:bCs/>
          <w:sz w:val="24"/>
          <w:szCs w:val="24"/>
        </w:rPr>
        <w:t xml:space="preserve"> </w:t>
      </w:r>
      <w:r w:rsidR="00A155C4" w:rsidRPr="004F3D57">
        <w:rPr>
          <w:rFonts w:ascii="Times New Roman" w:hAnsi="Times New Roman"/>
          <w:bCs/>
          <w:sz w:val="24"/>
          <w:szCs w:val="24"/>
        </w:rPr>
        <w:t>обвезнику</w:t>
      </w:r>
      <w:r w:rsidRPr="004F3D57">
        <w:rPr>
          <w:rFonts w:ascii="Times New Roman" w:hAnsi="Times New Roman"/>
          <w:bCs/>
          <w:sz w:val="24"/>
          <w:szCs w:val="24"/>
        </w:rPr>
        <w:t xml:space="preserve"> </w:t>
      </w:r>
      <w:r w:rsidR="00A155C4" w:rsidRPr="004F3D57">
        <w:rPr>
          <w:rFonts w:ascii="Times New Roman" w:hAnsi="Times New Roman"/>
          <w:bCs/>
          <w:sz w:val="24"/>
          <w:szCs w:val="24"/>
        </w:rPr>
        <w:t>за</w:t>
      </w:r>
      <w:r w:rsidRPr="004F3D57">
        <w:rPr>
          <w:rFonts w:ascii="Times New Roman" w:hAnsi="Times New Roman"/>
          <w:bCs/>
          <w:sz w:val="24"/>
          <w:szCs w:val="24"/>
        </w:rPr>
        <w:t xml:space="preserve"> </w:t>
      </w:r>
      <w:r w:rsidR="00A155C4" w:rsidRPr="004F3D57">
        <w:rPr>
          <w:rFonts w:ascii="Times New Roman" w:hAnsi="Times New Roman"/>
          <w:bCs/>
          <w:sz w:val="24"/>
          <w:szCs w:val="24"/>
        </w:rPr>
        <w:t>извршење</w:t>
      </w:r>
      <w:r w:rsidRPr="004F3D57">
        <w:rPr>
          <w:rFonts w:ascii="Times New Roman" w:hAnsi="Times New Roman"/>
          <w:bCs/>
          <w:sz w:val="24"/>
          <w:szCs w:val="24"/>
        </w:rPr>
        <w:t xml:space="preserve"> </w:t>
      </w:r>
      <w:r w:rsidR="00A155C4" w:rsidRPr="004F3D57">
        <w:rPr>
          <w:rFonts w:ascii="Times New Roman" w:hAnsi="Times New Roman"/>
          <w:bCs/>
          <w:sz w:val="24"/>
          <w:szCs w:val="24"/>
        </w:rPr>
        <w:t>овог</w:t>
      </w:r>
      <w:r w:rsidRPr="004F3D57">
        <w:rPr>
          <w:rFonts w:ascii="Times New Roman" w:hAnsi="Times New Roman"/>
          <w:bCs/>
          <w:sz w:val="24"/>
          <w:szCs w:val="24"/>
        </w:rPr>
        <w:t xml:space="preserve"> </w:t>
      </w:r>
      <w:r w:rsidR="00A155C4" w:rsidRPr="004F3D57">
        <w:rPr>
          <w:rFonts w:ascii="Times New Roman" w:hAnsi="Times New Roman"/>
          <w:bCs/>
          <w:sz w:val="24"/>
          <w:szCs w:val="24"/>
        </w:rPr>
        <w:t>кривичног</w:t>
      </w:r>
      <w:r w:rsidRPr="004F3D57">
        <w:rPr>
          <w:rFonts w:ascii="Times New Roman" w:hAnsi="Times New Roman"/>
          <w:bCs/>
          <w:sz w:val="24"/>
          <w:szCs w:val="24"/>
        </w:rPr>
        <w:t xml:space="preserve"> </w:t>
      </w:r>
      <w:r w:rsidR="00A155C4" w:rsidRPr="004F3D57">
        <w:rPr>
          <w:rFonts w:ascii="Times New Roman" w:hAnsi="Times New Roman"/>
          <w:bCs/>
          <w:sz w:val="24"/>
          <w:szCs w:val="24"/>
        </w:rPr>
        <w:t>дела</w:t>
      </w:r>
      <w:r w:rsidRPr="004F3D57">
        <w:rPr>
          <w:rFonts w:ascii="Times New Roman" w:hAnsi="Times New Roman"/>
          <w:bCs/>
          <w:sz w:val="24"/>
          <w:szCs w:val="24"/>
          <w:lang w:val="sr-Cyrl-CS"/>
        </w:rPr>
        <w:t>, што сада није случај.</w:t>
      </w:r>
      <w:r w:rsidR="00826968" w:rsidRPr="004F3D57">
        <w:rPr>
          <w:rFonts w:ascii="Times New Roman" w:hAnsi="Times New Roman"/>
          <w:bCs/>
          <w:sz w:val="24"/>
          <w:szCs w:val="24"/>
          <w:lang w:val="sr-Cyrl-CS"/>
        </w:rPr>
        <w:t xml:space="preserve"> </w:t>
      </w:r>
    </w:p>
    <w:p w:rsidR="009161A0" w:rsidRDefault="009161A0" w:rsidP="005235F9">
      <w:pPr>
        <w:pStyle w:val="normalbold"/>
        <w:shd w:val="clear" w:color="auto" w:fill="FFFFFF"/>
        <w:spacing w:before="48" w:beforeAutospacing="0" w:after="48" w:afterAutospacing="0"/>
        <w:jc w:val="both"/>
        <w:rPr>
          <w:b/>
          <w:bCs/>
          <w:color w:val="000000"/>
          <w:lang w:val="sr-Cyrl-CS"/>
        </w:rPr>
      </w:pPr>
    </w:p>
    <w:p w:rsidR="009161A0" w:rsidRPr="005235F9" w:rsidRDefault="009161A0" w:rsidP="005235F9">
      <w:pPr>
        <w:pStyle w:val="normalbold"/>
        <w:shd w:val="clear" w:color="auto" w:fill="FFFFFF"/>
        <w:spacing w:before="48" w:beforeAutospacing="0" w:after="48" w:afterAutospacing="0"/>
        <w:jc w:val="both"/>
        <w:rPr>
          <w:b/>
          <w:bCs/>
          <w:color w:val="000000"/>
          <w:lang w:val="sr-Cyrl-CS"/>
        </w:rPr>
      </w:pPr>
    </w:p>
    <w:p w:rsidR="006317D7" w:rsidRDefault="00826968" w:rsidP="008A3795">
      <w:pPr>
        <w:pStyle w:val="normalbold"/>
        <w:numPr>
          <w:ilvl w:val="2"/>
          <w:numId w:val="59"/>
        </w:numPr>
        <w:shd w:val="clear" w:color="auto" w:fill="FFFFFF"/>
        <w:spacing w:before="48" w:beforeAutospacing="0" w:after="48" w:afterAutospacing="0"/>
        <w:jc w:val="both"/>
        <w:rPr>
          <w:b/>
          <w:bCs/>
          <w:color w:val="000000"/>
          <w:lang w:val="sr-Cyrl-CS"/>
        </w:rPr>
      </w:pPr>
      <w:r w:rsidRPr="005235F9">
        <w:rPr>
          <w:b/>
          <w:bCs/>
          <w:color w:val="000000"/>
          <w:lang w:val="sr-Cyrl-CS"/>
        </w:rPr>
        <w:t>Неосновано исказивање износа за повраћај пореза и порески кредит</w:t>
      </w:r>
    </w:p>
    <w:p w:rsidR="005235F9" w:rsidRPr="005235F9" w:rsidRDefault="005235F9" w:rsidP="005235F9">
      <w:pPr>
        <w:pStyle w:val="normalbold"/>
        <w:shd w:val="clear" w:color="auto" w:fill="FFFFFF"/>
        <w:spacing w:before="48" w:beforeAutospacing="0" w:after="48" w:afterAutospacing="0"/>
        <w:ind w:left="1428"/>
        <w:jc w:val="both"/>
        <w:rPr>
          <w:b/>
          <w:bCs/>
          <w:color w:val="000000"/>
          <w:lang w:val="sr-Cyrl-CS"/>
        </w:rPr>
      </w:pPr>
    </w:p>
    <w:p w:rsidR="00826968" w:rsidRPr="005235F9" w:rsidRDefault="00826968" w:rsidP="005235F9">
      <w:pPr>
        <w:pStyle w:val="normalbold"/>
        <w:shd w:val="clear" w:color="auto" w:fill="FFFFFF"/>
        <w:spacing w:before="48" w:beforeAutospacing="0" w:after="48" w:afterAutospacing="0"/>
        <w:jc w:val="both"/>
        <w:rPr>
          <w:b/>
          <w:bCs/>
          <w:color w:val="000000"/>
          <w:lang w:val="sr-Cyrl-CS"/>
        </w:rPr>
      </w:pPr>
    </w:p>
    <w:p w:rsidR="00826968" w:rsidRPr="004F3D57" w:rsidRDefault="00826968" w:rsidP="004F3D57">
      <w:pPr>
        <w:ind w:firstLine="708"/>
        <w:jc w:val="both"/>
        <w:rPr>
          <w:rFonts w:ascii="Times New Roman" w:hAnsi="Times New Roman"/>
          <w:sz w:val="24"/>
          <w:szCs w:val="24"/>
          <w:lang w:val="sr-Cyrl-CS"/>
        </w:rPr>
      </w:pPr>
      <w:r w:rsidRPr="004F3D57">
        <w:rPr>
          <w:rFonts w:ascii="Times New Roman" w:hAnsi="Times New Roman"/>
          <w:sz w:val="24"/>
          <w:szCs w:val="24"/>
          <w:lang w:val="sr-Cyrl-CS"/>
        </w:rPr>
        <w:t>К</w:t>
      </w:r>
      <w:r w:rsidR="00821A7D" w:rsidRPr="004F3D57">
        <w:rPr>
          <w:rFonts w:ascii="Times New Roman" w:hAnsi="Times New Roman"/>
          <w:sz w:val="24"/>
          <w:szCs w:val="24"/>
          <w:lang w:val="sr-Cyrl-CS"/>
        </w:rPr>
        <w:t>ривично дело</w:t>
      </w:r>
      <w:r w:rsidRPr="004F3D57">
        <w:rPr>
          <w:rFonts w:ascii="Times New Roman" w:hAnsi="Times New Roman"/>
          <w:sz w:val="24"/>
          <w:szCs w:val="24"/>
          <w:lang w:val="sr-Cyrl-CS"/>
        </w:rPr>
        <w:t xml:space="preserve"> неосновано исказивање износа за повраћај пореза и порески кредит</w:t>
      </w:r>
      <w:r w:rsidRPr="004F3D57">
        <w:rPr>
          <w:rStyle w:val="FootnoteReference"/>
          <w:rFonts w:ascii="Times New Roman" w:hAnsi="Times New Roman"/>
          <w:bCs/>
          <w:color w:val="000000"/>
          <w:sz w:val="24"/>
          <w:szCs w:val="24"/>
          <w:lang w:val="sr-Cyrl-CS"/>
        </w:rPr>
        <w:footnoteReference w:id="830"/>
      </w:r>
      <w:r w:rsidR="00821A7D" w:rsidRPr="004F3D57">
        <w:rPr>
          <w:rFonts w:ascii="Times New Roman" w:hAnsi="Times New Roman"/>
          <w:sz w:val="24"/>
          <w:szCs w:val="24"/>
          <w:lang w:val="sr-Cyrl-CS"/>
        </w:rPr>
        <w:t xml:space="preserve"> је прописано превасходно ради спречавања злоупотреба које су везане за порез на додату вредност. Оно</w:t>
      </w:r>
      <w:r w:rsidR="006317D7" w:rsidRPr="004F3D57">
        <w:rPr>
          <w:rFonts w:ascii="Times New Roman" w:hAnsi="Times New Roman"/>
          <w:sz w:val="24"/>
          <w:szCs w:val="24"/>
          <w:lang w:val="sr-Cyrl-CS"/>
        </w:rPr>
        <w:t xml:space="preserve"> има основни и два квалификована облика</w:t>
      </w:r>
      <w:r w:rsidRPr="004F3D57">
        <w:rPr>
          <w:rFonts w:ascii="Times New Roman" w:hAnsi="Times New Roman"/>
          <w:sz w:val="24"/>
          <w:szCs w:val="24"/>
          <w:lang w:val="sr-Cyrl-CS"/>
        </w:rPr>
        <w:t xml:space="preserve">. Основни облик чини онај  </w:t>
      </w:r>
      <w:bookmarkStart w:id="68" w:name="clan_173a"/>
      <w:bookmarkEnd w:id="68"/>
      <w:r w:rsidRPr="004F3D57">
        <w:rPr>
          <w:rFonts w:ascii="Times New Roman" w:hAnsi="Times New Roman"/>
          <w:sz w:val="24"/>
          <w:szCs w:val="24"/>
          <w:lang w:val="sr-Cyrl-CS"/>
        </w:rPr>
        <w:t>к</w:t>
      </w:r>
      <w:r w:rsidR="00A155C4" w:rsidRPr="004F3D57">
        <w:rPr>
          <w:rFonts w:ascii="Times New Roman" w:hAnsi="Times New Roman"/>
          <w:sz w:val="24"/>
          <w:szCs w:val="24"/>
        </w:rPr>
        <w:t>о</w:t>
      </w:r>
      <w:r w:rsidR="006317D7" w:rsidRPr="004F3D57">
        <w:rPr>
          <w:rFonts w:ascii="Times New Roman" w:hAnsi="Times New Roman"/>
          <w:sz w:val="24"/>
          <w:szCs w:val="24"/>
        </w:rPr>
        <w:t xml:space="preserve"> </w:t>
      </w:r>
      <w:r w:rsidR="00A155C4" w:rsidRPr="004F3D57">
        <w:rPr>
          <w:rFonts w:ascii="Times New Roman" w:hAnsi="Times New Roman"/>
          <w:sz w:val="24"/>
          <w:szCs w:val="24"/>
        </w:rPr>
        <w:t>у</w:t>
      </w:r>
      <w:r w:rsidR="006317D7" w:rsidRPr="004F3D57">
        <w:rPr>
          <w:rFonts w:ascii="Times New Roman" w:hAnsi="Times New Roman"/>
          <w:sz w:val="24"/>
          <w:szCs w:val="24"/>
        </w:rPr>
        <w:t xml:space="preserve"> </w:t>
      </w:r>
      <w:r w:rsidR="00A155C4" w:rsidRPr="004F3D57">
        <w:rPr>
          <w:rFonts w:ascii="Times New Roman" w:hAnsi="Times New Roman"/>
          <w:sz w:val="24"/>
          <w:szCs w:val="24"/>
        </w:rPr>
        <w:t>намери</w:t>
      </w:r>
      <w:r w:rsidR="006317D7" w:rsidRPr="004F3D57">
        <w:rPr>
          <w:rFonts w:ascii="Times New Roman" w:hAnsi="Times New Roman"/>
          <w:sz w:val="24"/>
          <w:szCs w:val="24"/>
        </w:rPr>
        <w:t xml:space="preserve"> </w:t>
      </w:r>
      <w:r w:rsidR="00A155C4" w:rsidRPr="004F3D57">
        <w:rPr>
          <w:rFonts w:ascii="Times New Roman" w:hAnsi="Times New Roman"/>
          <w:sz w:val="24"/>
          <w:szCs w:val="24"/>
        </w:rPr>
        <w:t>да</w:t>
      </w:r>
      <w:r w:rsidR="006317D7" w:rsidRPr="004F3D57">
        <w:rPr>
          <w:rFonts w:ascii="Times New Roman" w:hAnsi="Times New Roman"/>
          <w:sz w:val="24"/>
          <w:szCs w:val="24"/>
        </w:rPr>
        <w:t xml:space="preserve"> </w:t>
      </w:r>
      <w:r w:rsidR="00A155C4" w:rsidRPr="004F3D57">
        <w:rPr>
          <w:rFonts w:ascii="Times New Roman" w:hAnsi="Times New Roman"/>
          <w:sz w:val="24"/>
          <w:szCs w:val="24"/>
        </w:rPr>
        <w:t>оствари</w:t>
      </w:r>
      <w:r w:rsidR="006317D7" w:rsidRPr="004F3D57">
        <w:rPr>
          <w:rFonts w:ascii="Times New Roman" w:hAnsi="Times New Roman"/>
          <w:sz w:val="24"/>
          <w:szCs w:val="24"/>
        </w:rPr>
        <w:t xml:space="preserve"> </w:t>
      </w:r>
      <w:r w:rsidR="00A155C4" w:rsidRPr="004F3D57">
        <w:rPr>
          <w:rFonts w:ascii="Times New Roman" w:hAnsi="Times New Roman"/>
          <w:sz w:val="24"/>
          <w:szCs w:val="24"/>
        </w:rPr>
        <w:t>право</w:t>
      </w:r>
      <w:r w:rsidR="006317D7" w:rsidRPr="004F3D57">
        <w:rPr>
          <w:rFonts w:ascii="Times New Roman" w:hAnsi="Times New Roman"/>
          <w:sz w:val="24"/>
          <w:szCs w:val="24"/>
        </w:rPr>
        <w:t xml:space="preserve"> </w:t>
      </w:r>
      <w:r w:rsidR="00A155C4" w:rsidRPr="004F3D57">
        <w:rPr>
          <w:rFonts w:ascii="Times New Roman" w:hAnsi="Times New Roman"/>
          <w:sz w:val="24"/>
          <w:szCs w:val="24"/>
        </w:rPr>
        <w:t>на</w:t>
      </w:r>
      <w:r w:rsidR="006317D7" w:rsidRPr="004F3D57">
        <w:rPr>
          <w:rFonts w:ascii="Times New Roman" w:hAnsi="Times New Roman"/>
          <w:sz w:val="24"/>
          <w:szCs w:val="24"/>
        </w:rPr>
        <w:t xml:space="preserve"> </w:t>
      </w:r>
      <w:r w:rsidR="00A155C4" w:rsidRPr="004F3D57">
        <w:rPr>
          <w:rFonts w:ascii="Times New Roman" w:hAnsi="Times New Roman"/>
          <w:sz w:val="24"/>
          <w:szCs w:val="24"/>
        </w:rPr>
        <w:t>неоснован</w:t>
      </w:r>
      <w:r w:rsidR="006317D7" w:rsidRPr="004F3D57">
        <w:rPr>
          <w:rFonts w:ascii="Times New Roman" w:hAnsi="Times New Roman"/>
          <w:sz w:val="24"/>
          <w:szCs w:val="24"/>
        </w:rPr>
        <w:t xml:space="preserve"> </w:t>
      </w:r>
      <w:r w:rsidR="00A155C4" w:rsidRPr="004F3D57">
        <w:rPr>
          <w:rFonts w:ascii="Times New Roman" w:hAnsi="Times New Roman"/>
          <w:sz w:val="24"/>
          <w:szCs w:val="24"/>
        </w:rPr>
        <w:t>повраћај</w:t>
      </w:r>
      <w:r w:rsidR="006317D7" w:rsidRPr="004F3D57">
        <w:rPr>
          <w:rFonts w:ascii="Times New Roman" w:hAnsi="Times New Roman"/>
          <w:sz w:val="24"/>
          <w:szCs w:val="24"/>
        </w:rPr>
        <w:t xml:space="preserve"> </w:t>
      </w:r>
      <w:r w:rsidR="00A155C4" w:rsidRPr="004F3D57">
        <w:rPr>
          <w:rFonts w:ascii="Times New Roman" w:hAnsi="Times New Roman"/>
          <w:sz w:val="24"/>
          <w:szCs w:val="24"/>
        </w:rPr>
        <w:t>пореза</w:t>
      </w:r>
      <w:r w:rsidR="006317D7" w:rsidRPr="004F3D57">
        <w:rPr>
          <w:rFonts w:ascii="Times New Roman" w:hAnsi="Times New Roman"/>
          <w:sz w:val="24"/>
          <w:szCs w:val="24"/>
        </w:rPr>
        <w:t xml:space="preserve"> </w:t>
      </w:r>
      <w:r w:rsidR="00A155C4" w:rsidRPr="004F3D57">
        <w:rPr>
          <w:rFonts w:ascii="Times New Roman" w:hAnsi="Times New Roman"/>
          <w:sz w:val="24"/>
          <w:szCs w:val="24"/>
        </w:rPr>
        <w:t>или</w:t>
      </w:r>
      <w:r w:rsidR="006317D7" w:rsidRPr="004F3D57">
        <w:rPr>
          <w:rFonts w:ascii="Times New Roman" w:hAnsi="Times New Roman"/>
          <w:sz w:val="24"/>
          <w:szCs w:val="24"/>
        </w:rPr>
        <w:t xml:space="preserve"> </w:t>
      </w:r>
      <w:r w:rsidR="00A155C4" w:rsidRPr="004F3D57">
        <w:rPr>
          <w:rFonts w:ascii="Times New Roman" w:hAnsi="Times New Roman"/>
          <w:sz w:val="24"/>
          <w:szCs w:val="24"/>
        </w:rPr>
        <w:t>порески</w:t>
      </w:r>
      <w:r w:rsidR="006317D7" w:rsidRPr="004F3D57">
        <w:rPr>
          <w:rFonts w:ascii="Times New Roman" w:hAnsi="Times New Roman"/>
          <w:sz w:val="24"/>
          <w:szCs w:val="24"/>
        </w:rPr>
        <w:t xml:space="preserve"> </w:t>
      </w:r>
      <w:r w:rsidR="00A155C4" w:rsidRPr="004F3D57">
        <w:rPr>
          <w:rFonts w:ascii="Times New Roman" w:hAnsi="Times New Roman"/>
          <w:sz w:val="24"/>
          <w:szCs w:val="24"/>
        </w:rPr>
        <w:t>кредит</w:t>
      </w:r>
      <w:r w:rsidR="006317D7" w:rsidRPr="004F3D57">
        <w:rPr>
          <w:rFonts w:ascii="Times New Roman" w:hAnsi="Times New Roman"/>
          <w:sz w:val="24"/>
          <w:szCs w:val="24"/>
        </w:rPr>
        <w:t xml:space="preserve">, </w:t>
      </w:r>
      <w:r w:rsidR="00A155C4" w:rsidRPr="004F3D57">
        <w:rPr>
          <w:rFonts w:ascii="Times New Roman" w:hAnsi="Times New Roman"/>
          <w:sz w:val="24"/>
          <w:szCs w:val="24"/>
        </w:rPr>
        <w:t>поднесе</w:t>
      </w:r>
      <w:r w:rsidR="006317D7" w:rsidRPr="004F3D57">
        <w:rPr>
          <w:rFonts w:ascii="Times New Roman" w:hAnsi="Times New Roman"/>
          <w:sz w:val="24"/>
          <w:szCs w:val="24"/>
        </w:rPr>
        <w:t xml:space="preserve"> </w:t>
      </w:r>
      <w:r w:rsidR="00A155C4" w:rsidRPr="004F3D57">
        <w:rPr>
          <w:rFonts w:ascii="Times New Roman" w:hAnsi="Times New Roman"/>
          <w:sz w:val="24"/>
          <w:szCs w:val="24"/>
        </w:rPr>
        <w:t>пореску</w:t>
      </w:r>
      <w:r w:rsidR="006317D7" w:rsidRPr="004F3D57">
        <w:rPr>
          <w:rFonts w:ascii="Times New Roman" w:hAnsi="Times New Roman"/>
          <w:sz w:val="24"/>
          <w:szCs w:val="24"/>
        </w:rPr>
        <w:t xml:space="preserve"> </w:t>
      </w:r>
      <w:r w:rsidR="00A155C4" w:rsidRPr="004F3D57">
        <w:rPr>
          <w:rFonts w:ascii="Times New Roman" w:hAnsi="Times New Roman"/>
          <w:sz w:val="24"/>
          <w:szCs w:val="24"/>
        </w:rPr>
        <w:t>пријаву</w:t>
      </w:r>
      <w:r w:rsidR="006317D7" w:rsidRPr="004F3D57">
        <w:rPr>
          <w:rFonts w:ascii="Times New Roman" w:hAnsi="Times New Roman"/>
          <w:sz w:val="24"/>
          <w:szCs w:val="24"/>
        </w:rPr>
        <w:t xml:space="preserve"> </w:t>
      </w:r>
      <w:r w:rsidR="00A155C4" w:rsidRPr="004F3D57">
        <w:rPr>
          <w:rFonts w:ascii="Times New Roman" w:hAnsi="Times New Roman"/>
          <w:sz w:val="24"/>
          <w:szCs w:val="24"/>
        </w:rPr>
        <w:t>неистинитог</w:t>
      </w:r>
      <w:r w:rsidR="006317D7" w:rsidRPr="004F3D57">
        <w:rPr>
          <w:rFonts w:ascii="Times New Roman" w:hAnsi="Times New Roman"/>
          <w:sz w:val="24"/>
          <w:szCs w:val="24"/>
        </w:rPr>
        <w:t xml:space="preserve"> </w:t>
      </w:r>
      <w:r w:rsidR="00A155C4" w:rsidRPr="004F3D57">
        <w:rPr>
          <w:rFonts w:ascii="Times New Roman" w:hAnsi="Times New Roman"/>
          <w:sz w:val="24"/>
          <w:szCs w:val="24"/>
        </w:rPr>
        <w:t>садржаја</w:t>
      </w:r>
      <w:r w:rsidR="006317D7" w:rsidRPr="004F3D57">
        <w:rPr>
          <w:rFonts w:ascii="Times New Roman" w:hAnsi="Times New Roman"/>
          <w:sz w:val="24"/>
          <w:szCs w:val="24"/>
        </w:rPr>
        <w:t xml:space="preserve">, </w:t>
      </w:r>
      <w:r w:rsidR="00A155C4" w:rsidRPr="004F3D57">
        <w:rPr>
          <w:rFonts w:ascii="Times New Roman" w:hAnsi="Times New Roman"/>
          <w:sz w:val="24"/>
          <w:szCs w:val="24"/>
        </w:rPr>
        <w:t>у</w:t>
      </w:r>
      <w:r w:rsidR="006317D7" w:rsidRPr="004F3D57">
        <w:rPr>
          <w:rFonts w:ascii="Times New Roman" w:hAnsi="Times New Roman"/>
          <w:sz w:val="24"/>
          <w:szCs w:val="24"/>
        </w:rPr>
        <w:t xml:space="preserve"> </w:t>
      </w:r>
      <w:r w:rsidR="00A155C4" w:rsidRPr="004F3D57">
        <w:rPr>
          <w:rFonts w:ascii="Times New Roman" w:hAnsi="Times New Roman"/>
          <w:sz w:val="24"/>
          <w:szCs w:val="24"/>
        </w:rPr>
        <w:t>којој</w:t>
      </w:r>
      <w:r w:rsidR="006317D7" w:rsidRPr="004F3D57">
        <w:rPr>
          <w:rFonts w:ascii="Times New Roman" w:hAnsi="Times New Roman"/>
          <w:sz w:val="24"/>
          <w:szCs w:val="24"/>
        </w:rPr>
        <w:t xml:space="preserve"> </w:t>
      </w:r>
      <w:r w:rsidR="00A155C4" w:rsidRPr="004F3D57">
        <w:rPr>
          <w:rFonts w:ascii="Times New Roman" w:hAnsi="Times New Roman"/>
          <w:sz w:val="24"/>
          <w:szCs w:val="24"/>
        </w:rPr>
        <w:t>искаже</w:t>
      </w:r>
      <w:r w:rsidR="006317D7" w:rsidRPr="004F3D57">
        <w:rPr>
          <w:rFonts w:ascii="Times New Roman" w:hAnsi="Times New Roman"/>
          <w:sz w:val="24"/>
          <w:szCs w:val="24"/>
        </w:rPr>
        <w:t xml:space="preserve"> </w:t>
      </w:r>
      <w:r w:rsidR="00A155C4" w:rsidRPr="004F3D57">
        <w:rPr>
          <w:rFonts w:ascii="Times New Roman" w:hAnsi="Times New Roman"/>
          <w:sz w:val="24"/>
          <w:szCs w:val="24"/>
        </w:rPr>
        <w:t>износ</w:t>
      </w:r>
      <w:r w:rsidR="006317D7" w:rsidRPr="004F3D57">
        <w:rPr>
          <w:rFonts w:ascii="Times New Roman" w:hAnsi="Times New Roman"/>
          <w:sz w:val="24"/>
          <w:szCs w:val="24"/>
        </w:rPr>
        <w:t xml:space="preserve"> </w:t>
      </w:r>
      <w:r w:rsidR="00A155C4" w:rsidRPr="004F3D57">
        <w:rPr>
          <w:rFonts w:ascii="Times New Roman" w:hAnsi="Times New Roman"/>
          <w:sz w:val="24"/>
          <w:szCs w:val="24"/>
        </w:rPr>
        <w:t>за</w:t>
      </w:r>
      <w:r w:rsidR="006317D7" w:rsidRPr="004F3D57">
        <w:rPr>
          <w:rFonts w:ascii="Times New Roman" w:hAnsi="Times New Roman"/>
          <w:sz w:val="24"/>
          <w:szCs w:val="24"/>
        </w:rPr>
        <w:t xml:space="preserve"> </w:t>
      </w:r>
      <w:r w:rsidR="00A155C4" w:rsidRPr="004F3D57">
        <w:rPr>
          <w:rFonts w:ascii="Times New Roman" w:hAnsi="Times New Roman"/>
          <w:sz w:val="24"/>
          <w:szCs w:val="24"/>
        </w:rPr>
        <w:t>повраћај</w:t>
      </w:r>
      <w:r w:rsidR="006317D7" w:rsidRPr="004F3D57">
        <w:rPr>
          <w:rFonts w:ascii="Times New Roman" w:hAnsi="Times New Roman"/>
          <w:sz w:val="24"/>
          <w:szCs w:val="24"/>
        </w:rPr>
        <w:t xml:space="preserve"> </w:t>
      </w:r>
      <w:r w:rsidR="00A155C4" w:rsidRPr="004F3D57">
        <w:rPr>
          <w:rFonts w:ascii="Times New Roman" w:hAnsi="Times New Roman"/>
          <w:sz w:val="24"/>
          <w:szCs w:val="24"/>
        </w:rPr>
        <w:t>пореза</w:t>
      </w:r>
      <w:r w:rsidR="006317D7" w:rsidRPr="004F3D57">
        <w:rPr>
          <w:rFonts w:ascii="Times New Roman" w:hAnsi="Times New Roman"/>
          <w:sz w:val="24"/>
          <w:szCs w:val="24"/>
        </w:rPr>
        <w:t xml:space="preserve"> </w:t>
      </w:r>
      <w:r w:rsidR="00A155C4" w:rsidRPr="004F3D57">
        <w:rPr>
          <w:rFonts w:ascii="Times New Roman" w:hAnsi="Times New Roman"/>
          <w:sz w:val="24"/>
          <w:szCs w:val="24"/>
        </w:rPr>
        <w:t>или</w:t>
      </w:r>
      <w:r w:rsidR="006317D7" w:rsidRPr="004F3D57">
        <w:rPr>
          <w:rFonts w:ascii="Times New Roman" w:hAnsi="Times New Roman"/>
          <w:sz w:val="24"/>
          <w:szCs w:val="24"/>
        </w:rPr>
        <w:t xml:space="preserve"> </w:t>
      </w:r>
      <w:r w:rsidR="00A155C4" w:rsidRPr="004F3D57">
        <w:rPr>
          <w:rFonts w:ascii="Times New Roman" w:hAnsi="Times New Roman"/>
          <w:sz w:val="24"/>
          <w:szCs w:val="24"/>
        </w:rPr>
        <w:t>порески</w:t>
      </w:r>
      <w:r w:rsidR="006317D7" w:rsidRPr="004F3D57">
        <w:rPr>
          <w:rFonts w:ascii="Times New Roman" w:hAnsi="Times New Roman"/>
          <w:sz w:val="24"/>
          <w:szCs w:val="24"/>
        </w:rPr>
        <w:t xml:space="preserve"> </w:t>
      </w:r>
      <w:r w:rsidR="00A155C4" w:rsidRPr="004F3D57">
        <w:rPr>
          <w:rFonts w:ascii="Times New Roman" w:hAnsi="Times New Roman"/>
          <w:sz w:val="24"/>
          <w:szCs w:val="24"/>
        </w:rPr>
        <w:t>кредит</w:t>
      </w:r>
      <w:r w:rsidR="006317D7" w:rsidRPr="004F3D57">
        <w:rPr>
          <w:rFonts w:ascii="Times New Roman" w:hAnsi="Times New Roman"/>
          <w:sz w:val="24"/>
          <w:szCs w:val="24"/>
        </w:rPr>
        <w:t xml:space="preserve"> </w:t>
      </w:r>
      <w:r w:rsidR="00A155C4" w:rsidRPr="004F3D57">
        <w:rPr>
          <w:rFonts w:ascii="Times New Roman" w:hAnsi="Times New Roman"/>
          <w:sz w:val="24"/>
          <w:szCs w:val="24"/>
        </w:rPr>
        <w:t>од</w:t>
      </w:r>
      <w:r w:rsidR="006317D7" w:rsidRPr="004F3D57">
        <w:rPr>
          <w:rFonts w:ascii="Times New Roman" w:hAnsi="Times New Roman"/>
          <w:sz w:val="24"/>
          <w:szCs w:val="24"/>
        </w:rPr>
        <w:t xml:space="preserve"> 500.000 </w:t>
      </w:r>
      <w:r w:rsidR="00A155C4" w:rsidRPr="004F3D57">
        <w:rPr>
          <w:rFonts w:ascii="Times New Roman" w:hAnsi="Times New Roman"/>
          <w:sz w:val="24"/>
          <w:szCs w:val="24"/>
        </w:rPr>
        <w:t>до</w:t>
      </w:r>
      <w:r w:rsidR="006317D7" w:rsidRPr="004F3D57">
        <w:rPr>
          <w:rFonts w:ascii="Times New Roman" w:hAnsi="Times New Roman"/>
          <w:sz w:val="24"/>
          <w:szCs w:val="24"/>
        </w:rPr>
        <w:t xml:space="preserve"> 3.000.000 </w:t>
      </w:r>
      <w:r w:rsidR="00A155C4" w:rsidRPr="004F3D57">
        <w:rPr>
          <w:rFonts w:ascii="Times New Roman" w:hAnsi="Times New Roman"/>
          <w:sz w:val="24"/>
          <w:szCs w:val="24"/>
        </w:rPr>
        <w:t>динара</w:t>
      </w:r>
      <w:r w:rsidRPr="004F3D57">
        <w:rPr>
          <w:rFonts w:ascii="Times New Roman" w:hAnsi="Times New Roman"/>
          <w:sz w:val="24"/>
          <w:szCs w:val="24"/>
          <w:lang w:val="sr-Cyrl-CS"/>
        </w:rPr>
        <w:t>. За овај случај прописана је</w:t>
      </w:r>
      <w:r w:rsidR="006317D7" w:rsidRPr="004F3D57">
        <w:rPr>
          <w:rFonts w:ascii="Times New Roman" w:hAnsi="Times New Roman"/>
          <w:sz w:val="24"/>
          <w:szCs w:val="24"/>
        </w:rPr>
        <w:t xml:space="preserve"> </w:t>
      </w:r>
      <w:r w:rsidRPr="004F3D57">
        <w:rPr>
          <w:rFonts w:ascii="Times New Roman" w:hAnsi="Times New Roman"/>
          <w:sz w:val="24"/>
          <w:szCs w:val="24"/>
          <w:lang w:val="sr-Cyrl-CS"/>
        </w:rPr>
        <w:t xml:space="preserve">кумулативно </w:t>
      </w:r>
      <w:r w:rsidR="00A155C4" w:rsidRPr="004F3D57">
        <w:rPr>
          <w:rFonts w:ascii="Times New Roman" w:hAnsi="Times New Roman"/>
          <w:sz w:val="24"/>
          <w:szCs w:val="24"/>
        </w:rPr>
        <w:t>казн</w:t>
      </w:r>
      <w:r w:rsidRPr="004F3D57">
        <w:rPr>
          <w:rFonts w:ascii="Times New Roman" w:hAnsi="Times New Roman"/>
          <w:sz w:val="24"/>
          <w:szCs w:val="24"/>
          <w:lang w:val="sr-Cyrl-CS"/>
        </w:rPr>
        <w:t>а</w:t>
      </w:r>
      <w:r w:rsidR="006317D7" w:rsidRPr="004F3D57">
        <w:rPr>
          <w:rFonts w:ascii="Times New Roman" w:hAnsi="Times New Roman"/>
          <w:sz w:val="24"/>
          <w:szCs w:val="24"/>
        </w:rPr>
        <w:t xml:space="preserve"> </w:t>
      </w:r>
      <w:r w:rsidR="00A155C4" w:rsidRPr="004F3D57">
        <w:rPr>
          <w:rFonts w:ascii="Times New Roman" w:hAnsi="Times New Roman"/>
          <w:sz w:val="24"/>
          <w:szCs w:val="24"/>
        </w:rPr>
        <w:t>затвор</w:t>
      </w:r>
      <w:r w:rsidRPr="004F3D57">
        <w:rPr>
          <w:rFonts w:ascii="Times New Roman" w:hAnsi="Times New Roman"/>
          <w:sz w:val="24"/>
          <w:szCs w:val="24"/>
          <w:lang w:val="sr-Cyrl-CS"/>
        </w:rPr>
        <w:t>а</w:t>
      </w:r>
      <w:r w:rsidR="006317D7" w:rsidRPr="004F3D57">
        <w:rPr>
          <w:rFonts w:ascii="Times New Roman" w:hAnsi="Times New Roman"/>
          <w:sz w:val="24"/>
          <w:szCs w:val="24"/>
        </w:rPr>
        <w:t xml:space="preserve"> </w:t>
      </w:r>
      <w:r w:rsidR="00A155C4" w:rsidRPr="004F3D57">
        <w:rPr>
          <w:rFonts w:ascii="Times New Roman" w:hAnsi="Times New Roman"/>
          <w:sz w:val="24"/>
          <w:szCs w:val="24"/>
        </w:rPr>
        <w:t>од</w:t>
      </w:r>
      <w:r w:rsidR="006317D7" w:rsidRPr="004F3D57">
        <w:rPr>
          <w:rFonts w:ascii="Times New Roman" w:hAnsi="Times New Roman"/>
          <w:sz w:val="24"/>
          <w:szCs w:val="24"/>
        </w:rPr>
        <w:t xml:space="preserve"> </w:t>
      </w:r>
      <w:r w:rsidR="00A155C4" w:rsidRPr="004F3D57">
        <w:rPr>
          <w:rFonts w:ascii="Times New Roman" w:hAnsi="Times New Roman"/>
          <w:sz w:val="24"/>
          <w:szCs w:val="24"/>
        </w:rPr>
        <w:t>три</w:t>
      </w:r>
      <w:r w:rsidRPr="004F3D57">
        <w:rPr>
          <w:rFonts w:ascii="Times New Roman" w:hAnsi="Times New Roman"/>
          <w:sz w:val="24"/>
          <w:szCs w:val="24"/>
        </w:rPr>
        <w:t xml:space="preserve"> </w:t>
      </w:r>
      <w:r w:rsidR="00A155C4" w:rsidRPr="004F3D57">
        <w:rPr>
          <w:rFonts w:ascii="Times New Roman" w:hAnsi="Times New Roman"/>
          <w:sz w:val="24"/>
          <w:szCs w:val="24"/>
        </w:rPr>
        <w:t>месеца</w:t>
      </w:r>
      <w:r w:rsidRPr="004F3D57">
        <w:rPr>
          <w:rFonts w:ascii="Times New Roman" w:hAnsi="Times New Roman"/>
          <w:sz w:val="24"/>
          <w:szCs w:val="24"/>
        </w:rPr>
        <w:t xml:space="preserve"> </w:t>
      </w:r>
      <w:r w:rsidR="00A155C4" w:rsidRPr="004F3D57">
        <w:rPr>
          <w:rFonts w:ascii="Times New Roman" w:hAnsi="Times New Roman"/>
          <w:sz w:val="24"/>
          <w:szCs w:val="24"/>
        </w:rPr>
        <w:t>до</w:t>
      </w:r>
      <w:r w:rsidRPr="004F3D57">
        <w:rPr>
          <w:rFonts w:ascii="Times New Roman" w:hAnsi="Times New Roman"/>
          <w:sz w:val="24"/>
          <w:szCs w:val="24"/>
        </w:rPr>
        <w:t xml:space="preserve"> </w:t>
      </w:r>
      <w:r w:rsidR="00A155C4" w:rsidRPr="004F3D57">
        <w:rPr>
          <w:rFonts w:ascii="Times New Roman" w:hAnsi="Times New Roman"/>
          <w:sz w:val="24"/>
          <w:szCs w:val="24"/>
        </w:rPr>
        <w:t>три</w:t>
      </w:r>
      <w:r w:rsidRPr="004F3D57">
        <w:rPr>
          <w:rFonts w:ascii="Times New Roman" w:hAnsi="Times New Roman"/>
          <w:sz w:val="24"/>
          <w:szCs w:val="24"/>
        </w:rPr>
        <w:t xml:space="preserve"> </w:t>
      </w:r>
      <w:r w:rsidR="00A155C4" w:rsidRPr="004F3D57">
        <w:rPr>
          <w:rFonts w:ascii="Times New Roman" w:hAnsi="Times New Roman"/>
          <w:sz w:val="24"/>
          <w:szCs w:val="24"/>
        </w:rPr>
        <w:t>године</w:t>
      </w:r>
      <w:r w:rsidRPr="004F3D57">
        <w:rPr>
          <w:rFonts w:ascii="Times New Roman" w:hAnsi="Times New Roman"/>
          <w:sz w:val="24"/>
          <w:szCs w:val="24"/>
        </w:rPr>
        <w:t xml:space="preserve"> </w:t>
      </w:r>
      <w:r w:rsidR="00A155C4" w:rsidRPr="004F3D57">
        <w:rPr>
          <w:rFonts w:ascii="Times New Roman" w:hAnsi="Times New Roman"/>
          <w:sz w:val="24"/>
          <w:szCs w:val="24"/>
        </w:rPr>
        <w:t>и</w:t>
      </w:r>
      <w:r w:rsidRPr="004F3D57">
        <w:rPr>
          <w:rFonts w:ascii="Times New Roman" w:hAnsi="Times New Roman"/>
          <w:sz w:val="24"/>
          <w:szCs w:val="24"/>
        </w:rPr>
        <w:t xml:space="preserve"> </w:t>
      </w:r>
      <w:r w:rsidR="00A155C4" w:rsidRPr="004F3D57">
        <w:rPr>
          <w:rFonts w:ascii="Times New Roman" w:hAnsi="Times New Roman"/>
          <w:sz w:val="24"/>
          <w:szCs w:val="24"/>
        </w:rPr>
        <w:t>новчан</w:t>
      </w:r>
      <w:r w:rsidRPr="004F3D57">
        <w:rPr>
          <w:rFonts w:ascii="Times New Roman" w:hAnsi="Times New Roman"/>
          <w:sz w:val="24"/>
          <w:szCs w:val="24"/>
          <w:lang w:val="sr-Cyrl-CS"/>
        </w:rPr>
        <w:t>а</w:t>
      </w:r>
      <w:r w:rsidRPr="004F3D57">
        <w:rPr>
          <w:rFonts w:ascii="Times New Roman" w:hAnsi="Times New Roman"/>
          <w:sz w:val="24"/>
          <w:szCs w:val="24"/>
        </w:rPr>
        <w:t xml:space="preserve"> </w:t>
      </w:r>
      <w:r w:rsidR="00A155C4" w:rsidRPr="004F3D57">
        <w:rPr>
          <w:rFonts w:ascii="Times New Roman" w:hAnsi="Times New Roman"/>
          <w:sz w:val="24"/>
          <w:szCs w:val="24"/>
        </w:rPr>
        <w:t>казн</w:t>
      </w:r>
      <w:r w:rsidRPr="004F3D57">
        <w:rPr>
          <w:rFonts w:ascii="Times New Roman" w:hAnsi="Times New Roman"/>
          <w:sz w:val="24"/>
          <w:szCs w:val="24"/>
          <w:lang w:val="sr-Cyrl-CS"/>
        </w:rPr>
        <w:t>а</w:t>
      </w:r>
      <w:r w:rsidR="006317D7" w:rsidRPr="004F3D57">
        <w:rPr>
          <w:rFonts w:ascii="Times New Roman" w:hAnsi="Times New Roman"/>
          <w:sz w:val="24"/>
          <w:szCs w:val="24"/>
        </w:rPr>
        <w:t>.</w:t>
      </w:r>
    </w:p>
    <w:p w:rsidR="00826968" w:rsidRPr="004F3D57" w:rsidRDefault="00826968" w:rsidP="004F3D57">
      <w:pPr>
        <w:ind w:firstLine="708"/>
        <w:jc w:val="both"/>
        <w:rPr>
          <w:rFonts w:ascii="Times New Roman" w:hAnsi="Times New Roman"/>
          <w:sz w:val="24"/>
          <w:szCs w:val="24"/>
          <w:lang w:val="sr-Cyrl-CS"/>
        </w:rPr>
      </w:pPr>
      <w:r w:rsidRPr="004F3D57">
        <w:rPr>
          <w:rFonts w:ascii="Times New Roman" w:hAnsi="Times New Roman"/>
          <w:sz w:val="24"/>
          <w:szCs w:val="24"/>
          <w:lang w:val="sr-Cyrl-CS"/>
        </w:rPr>
        <w:t xml:space="preserve">Тежи облик постоји ако </w:t>
      </w:r>
      <w:r w:rsidR="006317D7" w:rsidRPr="004F3D57">
        <w:rPr>
          <w:rFonts w:ascii="Times New Roman" w:hAnsi="Times New Roman"/>
          <w:sz w:val="24"/>
          <w:szCs w:val="24"/>
        </w:rPr>
        <w:t xml:space="preserve"> </w:t>
      </w:r>
      <w:r w:rsidR="00A155C4" w:rsidRPr="004F3D57">
        <w:rPr>
          <w:rFonts w:ascii="Times New Roman" w:hAnsi="Times New Roman"/>
          <w:sz w:val="24"/>
          <w:szCs w:val="24"/>
        </w:rPr>
        <w:t>је</w:t>
      </w:r>
      <w:r w:rsidR="006317D7" w:rsidRPr="004F3D57">
        <w:rPr>
          <w:rFonts w:ascii="Times New Roman" w:hAnsi="Times New Roman"/>
          <w:sz w:val="24"/>
          <w:szCs w:val="24"/>
        </w:rPr>
        <w:t xml:space="preserve"> </w:t>
      </w:r>
      <w:r w:rsidR="00A155C4" w:rsidRPr="004F3D57">
        <w:rPr>
          <w:rFonts w:ascii="Times New Roman" w:hAnsi="Times New Roman"/>
          <w:sz w:val="24"/>
          <w:szCs w:val="24"/>
        </w:rPr>
        <w:t>исказани</w:t>
      </w:r>
      <w:r w:rsidR="006317D7" w:rsidRPr="004F3D57">
        <w:rPr>
          <w:rFonts w:ascii="Times New Roman" w:hAnsi="Times New Roman"/>
          <w:sz w:val="24"/>
          <w:szCs w:val="24"/>
        </w:rPr>
        <w:t xml:space="preserve"> </w:t>
      </w:r>
      <w:r w:rsidR="00A155C4" w:rsidRPr="004F3D57">
        <w:rPr>
          <w:rFonts w:ascii="Times New Roman" w:hAnsi="Times New Roman"/>
          <w:sz w:val="24"/>
          <w:szCs w:val="24"/>
        </w:rPr>
        <w:t>износ</w:t>
      </w:r>
      <w:r w:rsidR="006317D7" w:rsidRPr="004F3D57">
        <w:rPr>
          <w:rFonts w:ascii="Times New Roman" w:hAnsi="Times New Roman"/>
          <w:sz w:val="24"/>
          <w:szCs w:val="24"/>
        </w:rPr>
        <w:t xml:space="preserve"> </w:t>
      </w:r>
      <w:r w:rsidR="00A155C4" w:rsidRPr="004F3D57">
        <w:rPr>
          <w:rFonts w:ascii="Times New Roman" w:hAnsi="Times New Roman"/>
          <w:sz w:val="24"/>
          <w:szCs w:val="24"/>
        </w:rPr>
        <w:t>за</w:t>
      </w:r>
      <w:r w:rsidR="006317D7" w:rsidRPr="004F3D57">
        <w:rPr>
          <w:rFonts w:ascii="Times New Roman" w:hAnsi="Times New Roman"/>
          <w:sz w:val="24"/>
          <w:szCs w:val="24"/>
        </w:rPr>
        <w:t xml:space="preserve"> </w:t>
      </w:r>
      <w:r w:rsidR="00A155C4" w:rsidRPr="004F3D57">
        <w:rPr>
          <w:rFonts w:ascii="Times New Roman" w:hAnsi="Times New Roman"/>
          <w:sz w:val="24"/>
          <w:szCs w:val="24"/>
        </w:rPr>
        <w:t>повраћај</w:t>
      </w:r>
      <w:r w:rsidR="006317D7" w:rsidRPr="004F3D57">
        <w:rPr>
          <w:rFonts w:ascii="Times New Roman" w:hAnsi="Times New Roman"/>
          <w:sz w:val="24"/>
          <w:szCs w:val="24"/>
        </w:rPr>
        <w:t xml:space="preserve"> </w:t>
      </w:r>
      <w:r w:rsidR="00A155C4" w:rsidRPr="004F3D57">
        <w:rPr>
          <w:rFonts w:ascii="Times New Roman" w:hAnsi="Times New Roman"/>
          <w:sz w:val="24"/>
          <w:szCs w:val="24"/>
        </w:rPr>
        <w:t>пореза</w:t>
      </w:r>
      <w:r w:rsidR="006317D7" w:rsidRPr="004F3D57">
        <w:rPr>
          <w:rFonts w:ascii="Times New Roman" w:hAnsi="Times New Roman"/>
          <w:sz w:val="24"/>
          <w:szCs w:val="24"/>
        </w:rPr>
        <w:t xml:space="preserve"> </w:t>
      </w:r>
      <w:r w:rsidR="00A155C4" w:rsidRPr="004F3D57">
        <w:rPr>
          <w:rFonts w:ascii="Times New Roman" w:hAnsi="Times New Roman"/>
          <w:sz w:val="24"/>
          <w:szCs w:val="24"/>
        </w:rPr>
        <w:t>или</w:t>
      </w:r>
      <w:r w:rsidR="006317D7" w:rsidRPr="004F3D57">
        <w:rPr>
          <w:rFonts w:ascii="Times New Roman" w:hAnsi="Times New Roman"/>
          <w:sz w:val="24"/>
          <w:szCs w:val="24"/>
        </w:rPr>
        <w:t xml:space="preserve"> </w:t>
      </w:r>
      <w:r w:rsidR="00A155C4" w:rsidRPr="004F3D57">
        <w:rPr>
          <w:rFonts w:ascii="Times New Roman" w:hAnsi="Times New Roman"/>
          <w:sz w:val="24"/>
          <w:szCs w:val="24"/>
        </w:rPr>
        <w:t>порески</w:t>
      </w:r>
      <w:r w:rsidR="006317D7" w:rsidRPr="004F3D57">
        <w:rPr>
          <w:rFonts w:ascii="Times New Roman" w:hAnsi="Times New Roman"/>
          <w:sz w:val="24"/>
          <w:szCs w:val="24"/>
        </w:rPr>
        <w:t xml:space="preserve"> </w:t>
      </w:r>
      <w:r w:rsidR="00A155C4" w:rsidRPr="004F3D57">
        <w:rPr>
          <w:rFonts w:ascii="Times New Roman" w:hAnsi="Times New Roman"/>
          <w:sz w:val="24"/>
          <w:szCs w:val="24"/>
        </w:rPr>
        <w:t>кредит</w:t>
      </w:r>
      <w:r w:rsidR="006317D7" w:rsidRPr="004F3D57">
        <w:rPr>
          <w:rFonts w:ascii="Times New Roman" w:hAnsi="Times New Roman"/>
          <w:sz w:val="24"/>
          <w:szCs w:val="24"/>
        </w:rPr>
        <w:t xml:space="preserve"> </w:t>
      </w:r>
      <w:r w:rsidR="00A155C4" w:rsidRPr="004F3D57">
        <w:rPr>
          <w:rFonts w:ascii="Times New Roman" w:hAnsi="Times New Roman"/>
          <w:sz w:val="24"/>
          <w:szCs w:val="24"/>
        </w:rPr>
        <w:t>преко</w:t>
      </w:r>
      <w:r w:rsidRPr="004F3D57">
        <w:rPr>
          <w:rFonts w:ascii="Times New Roman" w:hAnsi="Times New Roman"/>
          <w:sz w:val="24"/>
          <w:szCs w:val="24"/>
        </w:rPr>
        <w:t xml:space="preserve"> 3.000.000 </w:t>
      </w:r>
      <w:r w:rsidR="00A155C4" w:rsidRPr="004F3D57">
        <w:rPr>
          <w:rFonts w:ascii="Times New Roman" w:hAnsi="Times New Roman"/>
          <w:sz w:val="24"/>
          <w:szCs w:val="24"/>
        </w:rPr>
        <w:t>до</w:t>
      </w:r>
      <w:r w:rsidRPr="004F3D57">
        <w:rPr>
          <w:rFonts w:ascii="Times New Roman" w:hAnsi="Times New Roman"/>
          <w:sz w:val="24"/>
          <w:szCs w:val="24"/>
        </w:rPr>
        <w:t xml:space="preserve"> 10.000.000 </w:t>
      </w:r>
      <w:r w:rsidR="00A155C4" w:rsidRPr="004F3D57">
        <w:rPr>
          <w:rFonts w:ascii="Times New Roman" w:hAnsi="Times New Roman"/>
          <w:sz w:val="24"/>
          <w:szCs w:val="24"/>
        </w:rPr>
        <w:t>динара</w:t>
      </w:r>
      <w:r w:rsidRPr="004F3D57">
        <w:rPr>
          <w:rFonts w:ascii="Times New Roman" w:hAnsi="Times New Roman"/>
          <w:sz w:val="24"/>
          <w:szCs w:val="24"/>
          <w:lang w:val="sr-Cyrl-CS"/>
        </w:rPr>
        <w:t>. У овом случају</w:t>
      </w:r>
      <w:r w:rsidR="006317D7" w:rsidRPr="004F3D57">
        <w:rPr>
          <w:rFonts w:ascii="Times New Roman" w:hAnsi="Times New Roman"/>
          <w:sz w:val="24"/>
          <w:szCs w:val="24"/>
        </w:rPr>
        <w:t xml:space="preserve"> </w:t>
      </w:r>
      <w:r w:rsidR="00A155C4" w:rsidRPr="004F3D57">
        <w:rPr>
          <w:rFonts w:ascii="Times New Roman" w:hAnsi="Times New Roman"/>
          <w:sz w:val="24"/>
          <w:szCs w:val="24"/>
        </w:rPr>
        <w:t>учинилац</w:t>
      </w:r>
      <w:r w:rsidR="006317D7" w:rsidRPr="004F3D57">
        <w:rPr>
          <w:rFonts w:ascii="Times New Roman" w:hAnsi="Times New Roman"/>
          <w:sz w:val="24"/>
          <w:szCs w:val="24"/>
        </w:rPr>
        <w:t xml:space="preserve"> </w:t>
      </w:r>
      <w:r w:rsidR="00A155C4" w:rsidRPr="004F3D57">
        <w:rPr>
          <w:rFonts w:ascii="Times New Roman" w:hAnsi="Times New Roman"/>
          <w:sz w:val="24"/>
          <w:szCs w:val="24"/>
        </w:rPr>
        <w:t>ће</w:t>
      </w:r>
      <w:r w:rsidR="006317D7" w:rsidRPr="004F3D57">
        <w:rPr>
          <w:rFonts w:ascii="Times New Roman" w:hAnsi="Times New Roman"/>
          <w:sz w:val="24"/>
          <w:szCs w:val="24"/>
        </w:rPr>
        <w:t xml:space="preserve"> </w:t>
      </w:r>
      <w:r w:rsidR="00A155C4" w:rsidRPr="004F3D57">
        <w:rPr>
          <w:rFonts w:ascii="Times New Roman" w:hAnsi="Times New Roman"/>
          <w:sz w:val="24"/>
          <w:szCs w:val="24"/>
        </w:rPr>
        <w:t>се</w:t>
      </w:r>
      <w:r w:rsidR="006317D7" w:rsidRPr="004F3D57">
        <w:rPr>
          <w:rFonts w:ascii="Times New Roman" w:hAnsi="Times New Roman"/>
          <w:sz w:val="24"/>
          <w:szCs w:val="24"/>
        </w:rPr>
        <w:t xml:space="preserve"> </w:t>
      </w:r>
      <w:r w:rsidR="00A155C4" w:rsidRPr="004F3D57">
        <w:rPr>
          <w:rFonts w:ascii="Times New Roman" w:hAnsi="Times New Roman"/>
          <w:sz w:val="24"/>
          <w:szCs w:val="24"/>
        </w:rPr>
        <w:t>казнити</w:t>
      </w:r>
      <w:r w:rsidR="006317D7" w:rsidRPr="004F3D57">
        <w:rPr>
          <w:rFonts w:ascii="Times New Roman" w:hAnsi="Times New Roman"/>
          <w:sz w:val="24"/>
          <w:szCs w:val="24"/>
        </w:rPr>
        <w:t xml:space="preserve"> </w:t>
      </w:r>
      <w:r w:rsidR="00A155C4" w:rsidRPr="004F3D57">
        <w:rPr>
          <w:rFonts w:ascii="Times New Roman" w:hAnsi="Times New Roman"/>
          <w:sz w:val="24"/>
          <w:szCs w:val="24"/>
        </w:rPr>
        <w:t>затвором</w:t>
      </w:r>
      <w:r w:rsidR="006317D7" w:rsidRPr="004F3D57">
        <w:rPr>
          <w:rFonts w:ascii="Times New Roman" w:hAnsi="Times New Roman"/>
          <w:sz w:val="24"/>
          <w:szCs w:val="24"/>
        </w:rPr>
        <w:t xml:space="preserve"> </w:t>
      </w:r>
      <w:r w:rsidR="00A155C4" w:rsidRPr="004F3D57">
        <w:rPr>
          <w:rFonts w:ascii="Times New Roman" w:hAnsi="Times New Roman"/>
          <w:sz w:val="24"/>
          <w:szCs w:val="24"/>
        </w:rPr>
        <w:t>од</w:t>
      </w:r>
      <w:r w:rsidR="006317D7" w:rsidRPr="004F3D57">
        <w:rPr>
          <w:rFonts w:ascii="Times New Roman" w:hAnsi="Times New Roman"/>
          <w:sz w:val="24"/>
          <w:szCs w:val="24"/>
        </w:rPr>
        <w:t xml:space="preserve"> </w:t>
      </w:r>
      <w:r w:rsidR="00A155C4" w:rsidRPr="004F3D57">
        <w:rPr>
          <w:rFonts w:ascii="Times New Roman" w:hAnsi="Times New Roman"/>
          <w:sz w:val="24"/>
          <w:szCs w:val="24"/>
        </w:rPr>
        <w:t>шест</w:t>
      </w:r>
      <w:r w:rsidR="006317D7" w:rsidRPr="004F3D57">
        <w:rPr>
          <w:rFonts w:ascii="Times New Roman" w:hAnsi="Times New Roman"/>
          <w:sz w:val="24"/>
          <w:szCs w:val="24"/>
        </w:rPr>
        <w:t xml:space="preserve"> </w:t>
      </w:r>
      <w:r w:rsidR="00A155C4" w:rsidRPr="004F3D57">
        <w:rPr>
          <w:rFonts w:ascii="Times New Roman" w:hAnsi="Times New Roman"/>
          <w:sz w:val="24"/>
          <w:szCs w:val="24"/>
        </w:rPr>
        <w:t>месеци</w:t>
      </w:r>
      <w:r w:rsidR="006317D7" w:rsidRPr="004F3D57">
        <w:rPr>
          <w:rFonts w:ascii="Times New Roman" w:hAnsi="Times New Roman"/>
          <w:sz w:val="24"/>
          <w:szCs w:val="24"/>
        </w:rPr>
        <w:t xml:space="preserve"> </w:t>
      </w:r>
      <w:r w:rsidR="00A155C4" w:rsidRPr="004F3D57">
        <w:rPr>
          <w:rFonts w:ascii="Times New Roman" w:hAnsi="Times New Roman"/>
          <w:sz w:val="24"/>
          <w:szCs w:val="24"/>
        </w:rPr>
        <w:t>до</w:t>
      </w:r>
      <w:r w:rsidR="006317D7" w:rsidRPr="004F3D57">
        <w:rPr>
          <w:rFonts w:ascii="Times New Roman" w:hAnsi="Times New Roman"/>
          <w:sz w:val="24"/>
          <w:szCs w:val="24"/>
        </w:rPr>
        <w:t xml:space="preserve"> </w:t>
      </w:r>
      <w:r w:rsidR="00A155C4" w:rsidRPr="004F3D57">
        <w:rPr>
          <w:rFonts w:ascii="Times New Roman" w:hAnsi="Times New Roman"/>
          <w:sz w:val="24"/>
          <w:szCs w:val="24"/>
        </w:rPr>
        <w:t>пет</w:t>
      </w:r>
      <w:r w:rsidR="006317D7" w:rsidRPr="004F3D57">
        <w:rPr>
          <w:rFonts w:ascii="Times New Roman" w:hAnsi="Times New Roman"/>
          <w:sz w:val="24"/>
          <w:szCs w:val="24"/>
        </w:rPr>
        <w:t xml:space="preserve"> </w:t>
      </w:r>
      <w:r w:rsidR="00A155C4" w:rsidRPr="004F3D57">
        <w:rPr>
          <w:rFonts w:ascii="Times New Roman" w:hAnsi="Times New Roman"/>
          <w:sz w:val="24"/>
          <w:szCs w:val="24"/>
        </w:rPr>
        <w:t>година</w:t>
      </w:r>
      <w:r w:rsidR="006317D7" w:rsidRPr="004F3D57">
        <w:rPr>
          <w:rFonts w:ascii="Times New Roman" w:hAnsi="Times New Roman"/>
          <w:sz w:val="24"/>
          <w:szCs w:val="24"/>
        </w:rPr>
        <w:t xml:space="preserve"> </w:t>
      </w:r>
      <w:r w:rsidR="00A155C4" w:rsidRPr="004F3D57">
        <w:rPr>
          <w:rFonts w:ascii="Times New Roman" w:hAnsi="Times New Roman"/>
          <w:sz w:val="24"/>
          <w:szCs w:val="24"/>
        </w:rPr>
        <w:t>и</w:t>
      </w:r>
      <w:r w:rsidR="006317D7" w:rsidRPr="004F3D57">
        <w:rPr>
          <w:rFonts w:ascii="Times New Roman" w:hAnsi="Times New Roman"/>
          <w:sz w:val="24"/>
          <w:szCs w:val="24"/>
        </w:rPr>
        <w:t xml:space="preserve"> </w:t>
      </w:r>
      <w:r w:rsidR="00A155C4" w:rsidRPr="004F3D57">
        <w:rPr>
          <w:rFonts w:ascii="Times New Roman" w:hAnsi="Times New Roman"/>
          <w:sz w:val="24"/>
          <w:szCs w:val="24"/>
        </w:rPr>
        <w:t>новчаном</w:t>
      </w:r>
      <w:r w:rsidR="006317D7" w:rsidRPr="004F3D57">
        <w:rPr>
          <w:rFonts w:ascii="Times New Roman" w:hAnsi="Times New Roman"/>
          <w:sz w:val="24"/>
          <w:szCs w:val="24"/>
        </w:rPr>
        <w:t xml:space="preserve"> </w:t>
      </w:r>
      <w:r w:rsidR="00A155C4" w:rsidRPr="004F3D57">
        <w:rPr>
          <w:rFonts w:ascii="Times New Roman" w:hAnsi="Times New Roman"/>
          <w:sz w:val="24"/>
          <w:szCs w:val="24"/>
        </w:rPr>
        <w:t>казном</w:t>
      </w:r>
      <w:r w:rsidR="006317D7" w:rsidRPr="004F3D57">
        <w:rPr>
          <w:rFonts w:ascii="Times New Roman" w:hAnsi="Times New Roman"/>
          <w:sz w:val="24"/>
          <w:szCs w:val="24"/>
        </w:rPr>
        <w:t>.</w:t>
      </w:r>
      <w:r w:rsidRPr="004F3D57">
        <w:rPr>
          <w:rFonts w:ascii="Times New Roman" w:hAnsi="Times New Roman"/>
          <w:sz w:val="24"/>
          <w:szCs w:val="24"/>
          <w:lang w:val="sr-Cyrl-CS"/>
        </w:rPr>
        <w:t xml:space="preserve"> </w:t>
      </w:r>
    </w:p>
    <w:p w:rsidR="006317D7" w:rsidRPr="004F3D57" w:rsidRDefault="00826968" w:rsidP="004F3D57">
      <w:pPr>
        <w:ind w:firstLine="708"/>
        <w:jc w:val="both"/>
        <w:rPr>
          <w:rFonts w:ascii="Times New Roman" w:hAnsi="Times New Roman"/>
          <w:sz w:val="24"/>
          <w:szCs w:val="24"/>
          <w:lang w:val="sr-Cyrl-CS"/>
        </w:rPr>
      </w:pPr>
      <w:r w:rsidRPr="004F3D57">
        <w:rPr>
          <w:rFonts w:ascii="Times New Roman" w:hAnsi="Times New Roman"/>
          <w:sz w:val="24"/>
          <w:szCs w:val="24"/>
          <w:lang w:val="sr-Cyrl-CS"/>
        </w:rPr>
        <w:t xml:space="preserve">Најтежи облик постоји ако </w:t>
      </w:r>
      <w:r w:rsidR="006317D7" w:rsidRPr="004F3D57">
        <w:rPr>
          <w:rFonts w:ascii="Times New Roman" w:hAnsi="Times New Roman"/>
          <w:sz w:val="24"/>
          <w:szCs w:val="24"/>
        </w:rPr>
        <w:t xml:space="preserve"> </w:t>
      </w:r>
      <w:r w:rsidR="00A155C4" w:rsidRPr="004F3D57">
        <w:rPr>
          <w:rFonts w:ascii="Times New Roman" w:hAnsi="Times New Roman"/>
          <w:sz w:val="24"/>
          <w:szCs w:val="24"/>
        </w:rPr>
        <w:t>је</w:t>
      </w:r>
      <w:r w:rsidR="006317D7" w:rsidRPr="004F3D57">
        <w:rPr>
          <w:rFonts w:ascii="Times New Roman" w:hAnsi="Times New Roman"/>
          <w:sz w:val="24"/>
          <w:szCs w:val="24"/>
        </w:rPr>
        <w:t xml:space="preserve"> </w:t>
      </w:r>
      <w:r w:rsidR="00A155C4" w:rsidRPr="004F3D57">
        <w:rPr>
          <w:rFonts w:ascii="Times New Roman" w:hAnsi="Times New Roman"/>
          <w:sz w:val="24"/>
          <w:szCs w:val="24"/>
        </w:rPr>
        <w:t>исказани</w:t>
      </w:r>
      <w:r w:rsidR="006317D7" w:rsidRPr="004F3D57">
        <w:rPr>
          <w:rFonts w:ascii="Times New Roman" w:hAnsi="Times New Roman"/>
          <w:sz w:val="24"/>
          <w:szCs w:val="24"/>
        </w:rPr>
        <w:t xml:space="preserve"> </w:t>
      </w:r>
      <w:r w:rsidR="00A155C4" w:rsidRPr="004F3D57">
        <w:rPr>
          <w:rFonts w:ascii="Times New Roman" w:hAnsi="Times New Roman"/>
          <w:sz w:val="24"/>
          <w:szCs w:val="24"/>
        </w:rPr>
        <w:t>износ</w:t>
      </w:r>
      <w:r w:rsidR="006317D7" w:rsidRPr="004F3D57">
        <w:rPr>
          <w:rFonts w:ascii="Times New Roman" w:hAnsi="Times New Roman"/>
          <w:sz w:val="24"/>
          <w:szCs w:val="24"/>
        </w:rPr>
        <w:t xml:space="preserve"> </w:t>
      </w:r>
      <w:r w:rsidR="00A155C4" w:rsidRPr="004F3D57">
        <w:rPr>
          <w:rFonts w:ascii="Times New Roman" w:hAnsi="Times New Roman"/>
          <w:sz w:val="24"/>
          <w:szCs w:val="24"/>
        </w:rPr>
        <w:t>за</w:t>
      </w:r>
      <w:r w:rsidR="006317D7" w:rsidRPr="004F3D57">
        <w:rPr>
          <w:rFonts w:ascii="Times New Roman" w:hAnsi="Times New Roman"/>
          <w:sz w:val="24"/>
          <w:szCs w:val="24"/>
        </w:rPr>
        <w:t xml:space="preserve"> </w:t>
      </w:r>
      <w:r w:rsidR="00A155C4" w:rsidRPr="004F3D57">
        <w:rPr>
          <w:rFonts w:ascii="Times New Roman" w:hAnsi="Times New Roman"/>
          <w:sz w:val="24"/>
          <w:szCs w:val="24"/>
        </w:rPr>
        <w:t>повраћај</w:t>
      </w:r>
      <w:r w:rsidR="006317D7" w:rsidRPr="004F3D57">
        <w:rPr>
          <w:rFonts w:ascii="Times New Roman" w:hAnsi="Times New Roman"/>
          <w:sz w:val="24"/>
          <w:szCs w:val="24"/>
        </w:rPr>
        <w:t xml:space="preserve"> </w:t>
      </w:r>
      <w:r w:rsidR="00A155C4" w:rsidRPr="004F3D57">
        <w:rPr>
          <w:rFonts w:ascii="Times New Roman" w:hAnsi="Times New Roman"/>
          <w:sz w:val="24"/>
          <w:szCs w:val="24"/>
        </w:rPr>
        <w:t>пореза</w:t>
      </w:r>
      <w:r w:rsidR="006317D7" w:rsidRPr="004F3D57">
        <w:rPr>
          <w:rFonts w:ascii="Times New Roman" w:hAnsi="Times New Roman"/>
          <w:sz w:val="24"/>
          <w:szCs w:val="24"/>
        </w:rPr>
        <w:t xml:space="preserve"> </w:t>
      </w:r>
      <w:r w:rsidR="00A155C4" w:rsidRPr="004F3D57">
        <w:rPr>
          <w:rFonts w:ascii="Times New Roman" w:hAnsi="Times New Roman"/>
          <w:sz w:val="24"/>
          <w:szCs w:val="24"/>
        </w:rPr>
        <w:t>или</w:t>
      </w:r>
      <w:r w:rsidR="006317D7" w:rsidRPr="004F3D57">
        <w:rPr>
          <w:rFonts w:ascii="Times New Roman" w:hAnsi="Times New Roman"/>
          <w:sz w:val="24"/>
          <w:szCs w:val="24"/>
        </w:rPr>
        <w:t xml:space="preserve"> </w:t>
      </w:r>
      <w:r w:rsidR="00A155C4" w:rsidRPr="004F3D57">
        <w:rPr>
          <w:rFonts w:ascii="Times New Roman" w:hAnsi="Times New Roman"/>
          <w:sz w:val="24"/>
          <w:szCs w:val="24"/>
        </w:rPr>
        <w:t>порески</w:t>
      </w:r>
      <w:r w:rsidR="006317D7" w:rsidRPr="004F3D57">
        <w:rPr>
          <w:rFonts w:ascii="Times New Roman" w:hAnsi="Times New Roman"/>
          <w:sz w:val="24"/>
          <w:szCs w:val="24"/>
        </w:rPr>
        <w:t xml:space="preserve"> </w:t>
      </w:r>
      <w:r w:rsidR="00A155C4" w:rsidRPr="004F3D57">
        <w:rPr>
          <w:rFonts w:ascii="Times New Roman" w:hAnsi="Times New Roman"/>
          <w:sz w:val="24"/>
          <w:szCs w:val="24"/>
        </w:rPr>
        <w:t>кредит</w:t>
      </w:r>
      <w:r w:rsidRPr="004F3D57">
        <w:rPr>
          <w:rFonts w:ascii="Times New Roman" w:hAnsi="Times New Roman"/>
          <w:sz w:val="24"/>
          <w:szCs w:val="24"/>
        </w:rPr>
        <w:t xml:space="preserve"> </w:t>
      </w:r>
      <w:r w:rsidR="00A155C4" w:rsidRPr="004F3D57">
        <w:rPr>
          <w:rFonts w:ascii="Times New Roman" w:hAnsi="Times New Roman"/>
          <w:sz w:val="24"/>
          <w:szCs w:val="24"/>
        </w:rPr>
        <w:t>већи</w:t>
      </w:r>
      <w:r w:rsidRPr="004F3D57">
        <w:rPr>
          <w:rFonts w:ascii="Times New Roman" w:hAnsi="Times New Roman"/>
          <w:sz w:val="24"/>
          <w:szCs w:val="24"/>
        </w:rPr>
        <w:t xml:space="preserve"> </w:t>
      </w:r>
      <w:r w:rsidR="00A155C4" w:rsidRPr="004F3D57">
        <w:rPr>
          <w:rFonts w:ascii="Times New Roman" w:hAnsi="Times New Roman"/>
          <w:sz w:val="24"/>
          <w:szCs w:val="24"/>
        </w:rPr>
        <w:t>од</w:t>
      </w:r>
      <w:r w:rsidRPr="004F3D57">
        <w:rPr>
          <w:rFonts w:ascii="Times New Roman" w:hAnsi="Times New Roman"/>
          <w:sz w:val="24"/>
          <w:szCs w:val="24"/>
        </w:rPr>
        <w:t xml:space="preserve"> 10.000.000 </w:t>
      </w:r>
      <w:r w:rsidR="00A155C4" w:rsidRPr="004F3D57">
        <w:rPr>
          <w:rFonts w:ascii="Times New Roman" w:hAnsi="Times New Roman"/>
          <w:sz w:val="24"/>
          <w:szCs w:val="24"/>
        </w:rPr>
        <w:t>динара</w:t>
      </w:r>
      <w:r w:rsidRPr="004F3D57">
        <w:rPr>
          <w:rFonts w:ascii="Times New Roman" w:hAnsi="Times New Roman"/>
          <w:sz w:val="24"/>
          <w:szCs w:val="24"/>
          <w:lang w:val="sr-Cyrl-CS"/>
        </w:rPr>
        <w:t>. У овом случају</w:t>
      </w:r>
      <w:r w:rsidR="006317D7" w:rsidRPr="004F3D57">
        <w:rPr>
          <w:rFonts w:ascii="Times New Roman" w:hAnsi="Times New Roman"/>
          <w:sz w:val="24"/>
          <w:szCs w:val="24"/>
        </w:rPr>
        <w:t xml:space="preserve"> </w:t>
      </w:r>
      <w:r w:rsidR="00A155C4" w:rsidRPr="004F3D57">
        <w:rPr>
          <w:rFonts w:ascii="Times New Roman" w:hAnsi="Times New Roman"/>
          <w:sz w:val="24"/>
          <w:szCs w:val="24"/>
        </w:rPr>
        <w:t>учинилац</w:t>
      </w:r>
      <w:r w:rsidR="006317D7" w:rsidRPr="004F3D57">
        <w:rPr>
          <w:rFonts w:ascii="Times New Roman" w:hAnsi="Times New Roman"/>
          <w:sz w:val="24"/>
          <w:szCs w:val="24"/>
        </w:rPr>
        <w:t xml:space="preserve"> </w:t>
      </w:r>
      <w:r w:rsidR="00A155C4" w:rsidRPr="004F3D57">
        <w:rPr>
          <w:rFonts w:ascii="Times New Roman" w:hAnsi="Times New Roman"/>
          <w:sz w:val="24"/>
          <w:szCs w:val="24"/>
        </w:rPr>
        <w:t>ће</w:t>
      </w:r>
      <w:r w:rsidR="006317D7" w:rsidRPr="004F3D57">
        <w:rPr>
          <w:rFonts w:ascii="Times New Roman" w:hAnsi="Times New Roman"/>
          <w:sz w:val="24"/>
          <w:szCs w:val="24"/>
        </w:rPr>
        <w:t xml:space="preserve"> </w:t>
      </w:r>
      <w:r w:rsidR="00A155C4" w:rsidRPr="004F3D57">
        <w:rPr>
          <w:rFonts w:ascii="Times New Roman" w:hAnsi="Times New Roman"/>
          <w:sz w:val="24"/>
          <w:szCs w:val="24"/>
        </w:rPr>
        <w:t>се</w:t>
      </w:r>
      <w:r w:rsidR="006317D7" w:rsidRPr="004F3D57">
        <w:rPr>
          <w:rFonts w:ascii="Times New Roman" w:hAnsi="Times New Roman"/>
          <w:sz w:val="24"/>
          <w:szCs w:val="24"/>
        </w:rPr>
        <w:t xml:space="preserve"> </w:t>
      </w:r>
      <w:r w:rsidR="00A155C4" w:rsidRPr="004F3D57">
        <w:rPr>
          <w:rFonts w:ascii="Times New Roman" w:hAnsi="Times New Roman"/>
          <w:sz w:val="24"/>
          <w:szCs w:val="24"/>
        </w:rPr>
        <w:t>казнити</w:t>
      </w:r>
      <w:r w:rsidR="006317D7" w:rsidRPr="004F3D57">
        <w:rPr>
          <w:rFonts w:ascii="Times New Roman" w:hAnsi="Times New Roman"/>
          <w:sz w:val="24"/>
          <w:szCs w:val="24"/>
        </w:rPr>
        <w:t xml:space="preserve"> </w:t>
      </w:r>
      <w:r w:rsidR="00A155C4" w:rsidRPr="004F3D57">
        <w:rPr>
          <w:rFonts w:ascii="Times New Roman" w:hAnsi="Times New Roman"/>
          <w:sz w:val="24"/>
          <w:szCs w:val="24"/>
        </w:rPr>
        <w:t>затвором</w:t>
      </w:r>
      <w:r w:rsidR="006317D7" w:rsidRPr="004F3D57">
        <w:rPr>
          <w:rFonts w:ascii="Times New Roman" w:hAnsi="Times New Roman"/>
          <w:sz w:val="24"/>
          <w:szCs w:val="24"/>
        </w:rPr>
        <w:t xml:space="preserve"> </w:t>
      </w:r>
      <w:r w:rsidR="00A155C4" w:rsidRPr="004F3D57">
        <w:rPr>
          <w:rFonts w:ascii="Times New Roman" w:hAnsi="Times New Roman"/>
          <w:sz w:val="24"/>
          <w:szCs w:val="24"/>
        </w:rPr>
        <w:t>од</w:t>
      </w:r>
      <w:r w:rsidR="006317D7" w:rsidRPr="004F3D57">
        <w:rPr>
          <w:rFonts w:ascii="Times New Roman" w:hAnsi="Times New Roman"/>
          <w:sz w:val="24"/>
          <w:szCs w:val="24"/>
        </w:rPr>
        <w:t xml:space="preserve"> </w:t>
      </w:r>
      <w:r w:rsidR="00A155C4" w:rsidRPr="004F3D57">
        <w:rPr>
          <w:rFonts w:ascii="Times New Roman" w:hAnsi="Times New Roman"/>
          <w:sz w:val="24"/>
          <w:szCs w:val="24"/>
        </w:rPr>
        <w:t>једне</w:t>
      </w:r>
      <w:r w:rsidR="006317D7" w:rsidRPr="004F3D57">
        <w:rPr>
          <w:rFonts w:ascii="Times New Roman" w:hAnsi="Times New Roman"/>
          <w:sz w:val="24"/>
          <w:szCs w:val="24"/>
        </w:rPr>
        <w:t xml:space="preserve"> </w:t>
      </w:r>
      <w:r w:rsidR="00A155C4" w:rsidRPr="004F3D57">
        <w:rPr>
          <w:rFonts w:ascii="Times New Roman" w:hAnsi="Times New Roman"/>
          <w:sz w:val="24"/>
          <w:szCs w:val="24"/>
        </w:rPr>
        <w:t>до</w:t>
      </w:r>
      <w:r w:rsidR="006317D7" w:rsidRPr="004F3D57">
        <w:rPr>
          <w:rFonts w:ascii="Times New Roman" w:hAnsi="Times New Roman"/>
          <w:sz w:val="24"/>
          <w:szCs w:val="24"/>
        </w:rPr>
        <w:t xml:space="preserve"> </w:t>
      </w:r>
      <w:r w:rsidR="00A155C4" w:rsidRPr="004F3D57">
        <w:rPr>
          <w:rFonts w:ascii="Times New Roman" w:hAnsi="Times New Roman"/>
          <w:sz w:val="24"/>
          <w:szCs w:val="24"/>
        </w:rPr>
        <w:t>десет</w:t>
      </w:r>
      <w:r w:rsidR="006317D7" w:rsidRPr="004F3D57">
        <w:rPr>
          <w:rFonts w:ascii="Times New Roman" w:hAnsi="Times New Roman"/>
          <w:sz w:val="24"/>
          <w:szCs w:val="24"/>
        </w:rPr>
        <w:t xml:space="preserve"> </w:t>
      </w:r>
      <w:r w:rsidR="00A155C4" w:rsidRPr="004F3D57">
        <w:rPr>
          <w:rFonts w:ascii="Times New Roman" w:hAnsi="Times New Roman"/>
          <w:sz w:val="24"/>
          <w:szCs w:val="24"/>
        </w:rPr>
        <w:t>година</w:t>
      </w:r>
      <w:r w:rsidR="006317D7" w:rsidRPr="004F3D57">
        <w:rPr>
          <w:rFonts w:ascii="Times New Roman" w:hAnsi="Times New Roman"/>
          <w:sz w:val="24"/>
          <w:szCs w:val="24"/>
        </w:rPr>
        <w:t xml:space="preserve"> </w:t>
      </w:r>
      <w:r w:rsidR="00A155C4" w:rsidRPr="004F3D57">
        <w:rPr>
          <w:rFonts w:ascii="Times New Roman" w:hAnsi="Times New Roman"/>
          <w:sz w:val="24"/>
          <w:szCs w:val="24"/>
        </w:rPr>
        <w:t>и</w:t>
      </w:r>
      <w:r w:rsidR="006317D7" w:rsidRPr="004F3D57">
        <w:rPr>
          <w:rFonts w:ascii="Times New Roman" w:hAnsi="Times New Roman"/>
          <w:sz w:val="24"/>
          <w:szCs w:val="24"/>
        </w:rPr>
        <w:t xml:space="preserve"> </w:t>
      </w:r>
      <w:r w:rsidR="00A155C4" w:rsidRPr="004F3D57">
        <w:rPr>
          <w:rFonts w:ascii="Times New Roman" w:hAnsi="Times New Roman"/>
          <w:sz w:val="24"/>
          <w:szCs w:val="24"/>
        </w:rPr>
        <w:t>новчаном</w:t>
      </w:r>
      <w:r w:rsidR="006317D7" w:rsidRPr="004F3D57">
        <w:rPr>
          <w:rFonts w:ascii="Times New Roman" w:hAnsi="Times New Roman"/>
          <w:sz w:val="24"/>
          <w:szCs w:val="24"/>
        </w:rPr>
        <w:t xml:space="preserve"> </w:t>
      </w:r>
      <w:r w:rsidR="00A155C4" w:rsidRPr="004F3D57">
        <w:rPr>
          <w:rFonts w:ascii="Times New Roman" w:hAnsi="Times New Roman"/>
          <w:sz w:val="24"/>
          <w:szCs w:val="24"/>
        </w:rPr>
        <w:t>казном</w:t>
      </w:r>
      <w:r w:rsidR="006317D7" w:rsidRPr="004F3D57">
        <w:rPr>
          <w:rFonts w:ascii="Times New Roman" w:hAnsi="Times New Roman"/>
          <w:sz w:val="24"/>
          <w:szCs w:val="24"/>
        </w:rPr>
        <w:t>.</w:t>
      </w:r>
    </w:p>
    <w:p w:rsidR="00826968" w:rsidRPr="004F3D57" w:rsidRDefault="00826968" w:rsidP="004F3D57">
      <w:pPr>
        <w:jc w:val="both"/>
        <w:rPr>
          <w:rFonts w:ascii="Times New Roman" w:hAnsi="Times New Roman"/>
          <w:sz w:val="24"/>
          <w:szCs w:val="24"/>
          <w:lang w:val="sr-Cyrl-CS"/>
        </w:rPr>
      </w:pPr>
    </w:p>
    <w:p w:rsidR="00A34830" w:rsidRPr="004F3D57" w:rsidRDefault="00A155C4" w:rsidP="004F3D57">
      <w:pPr>
        <w:ind w:firstLine="708"/>
        <w:jc w:val="both"/>
        <w:rPr>
          <w:rFonts w:ascii="Times New Roman" w:hAnsi="Times New Roman"/>
          <w:sz w:val="24"/>
          <w:szCs w:val="24"/>
          <w:lang w:val="sr-Cyrl-CS"/>
        </w:rPr>
      </w:pPr>
      <w:r w:rsidRPr="004F3D57">
        <w:rPr>
          <w:rFonts w:ascii="Times New Roman" w:hAnsi="Times New Roman"/>
          <w:sz w:val="24"/>
          <w:szCs w:val="24"/>
        </w:rPr>
        <w:lastRenderedPageBreak/>
        <w:t>Физичком</w:t>
      </w:r>
      <w:r w:rsidR="006317D7" w:rsidRPr="004F3D57">
        <w:rPr>
          <w:rFonts w:ascii="Times New Roman" w:hAnsi="Times New Roman"/>
          <w:sz w:val="24"/>
          <w:szCs w:val="24"/>
        </w:rPr>
        <w:t xml:space="preserve"> </w:t>
      </w:r>
      <w:r w:rsidRPr="004F3D57">
        <w:rPr>
          <w:rFonts w:ascii="Times New Roman" w:hAnsi="Times New Roman"/>
          <w:sz w:val="24"/>
          <w:szCs w:val="24"/>
        </w:rPr>
        <w:t>лицу</w:t>
      </w:r>
      <w:r w:rsidR="006317D7" w:rsidRPr="004F3D57">
        <w:rPr>
          <w:rFonts w:ascii="Times New Roman" w:hAnsi="Times New Roman"/>
          <w:sz w:val="24"/>
          <w:szCs w:val="24"/>
        </w:rPr>
        <w:t xml:space="preserve">, </w:t>
      </w:r>
      <w:r w:rsidRPr="004F3D57">
        <w:rPr>
          <w:rFonts w:ascii="Times New Roman" w:hAnsi="Times New Roman"/>
          <w:sz w:val="24"/>
          <w:szCs w:val="24"/>
        </w:rPr>
        <w:t>предузетнику</w:t>
      </w:r>
      <w:r w:rsidR="006317D7" w:rsidRPr="004F3D57">
        <w:rPr>
          <w:rFonts w:ascii="Times New Roman" w:hAnsi="Times New Roman"/>
          <w:sz w:val="24"/>
          <w:szCs w:val="24"/>
        </w:rPr>
        <w:t xml:space="preserve"> </w:t>
      </w:r>
      <w:r w:rsidRPr="004F3D57">
        <w:rPr>
          <w:rFonts w:ascii="Times New Roman" w:hAnsi="Times New Roman"/>
          <w:sz w:val="24"/>
          <w:szCs w:val="24"/>
        </w:rPr>
        <w:t>и</w:t>
      </w:r>
      <w:r w:rsidR="006317D7" w:rsidRPr="004F3D57">
        <w:rPr>
          <w:rFonts w:ascii="Times New Roman" w:hAnsi="Times New Roman"/>
          <w:sz w:val="24"/>
          <w:szCs w:val="24"/>
        </w:rPr>
        <w:t xml:space="preserve"> </w:t>
      </w:r>
      <w:r w:rsidRPr="004F3D57">
        <w:rPr>
          <w:rFonts w:ascii="Times New Roman" w:hAnsi="Times New Roman"/>
          <w:sz w:val="24"/>
          <w:szCs w:val="24"/>
        </w:rPr>
        <w:t>одговорном</w:t>
      </w:r>
      <w:r w:rsidR="006317D7" w:rsidRPr="004F3D57">
        <w:rPr>
          <w:rFonts w:ascii="Times New Roman" w:hAnsi="Times New Roman"/>
          <w:sz w:val="24"/>
          <w:szCs w:val="24"/>
        </w:rPr>
        <w:t xml:space="preserve"> </w:t>
      </w:r>
      <w:r w:rsidRPr="004F3D57">
        <w:rPr>
          <w:rFonts w:ascii="Times New Roman" w:hAnsi="Times New Roman"/>
          <w:sz w:val="24"/>
          <w:szCs w:val="24"/>
        </w:rPr>
        <w:t>лицу</w:t>
      </w:r>
      <w:r w:rsidR="006317D7" w:rsidRPr="004F3D57">
        <w:rPr>
          <w:rFonts w:ascii="Times New Roman" w:hAnsi="Times New Roman"/>
          <w:sz w:val="24"/>
          <w:szCs w:val="24"/>
        </w:rPr>
        <w:t xml:space="preserve"> </w:t>
      </w:r>
      <w:r w:rsidRPr="004F3D57">
        <w:rPr>
          <w:rFonts w:ascii="Times New Roman" w:hAnsi="Times New Roman"/>
          <w:sz w:val="24"/>
          <w:szCs w:val="24"/>
        </w:rPr>
        <w:t>у</w:t>
      </w:r>
      <w:r w:rsidR="006317D7" w:rsidRPr="004F3D57">
        <w:rPr>
          <w:rFonts w:ascii="Times New Roman" w:hAnsi="Times New Roman"/>
          <w:sz w:val="24"/>
          <w:szCs w:val="24"/>
        </w:rPr>
        <w:t xml:space="preserve"> </w:t>
      </w:r>
      <w:r w:rsidRPr="004F3D57">
        <w:rPr>
          <w:rFonts w:ascii="Times New Roman" w:hAnsi="Times New Roman"/>
          <w:sz w:val="24"/>
          <w:szCs w:val="24"/>
        </w:rPr>
        <w:t>правном</w:t>
      </w:r>
      <w:r w:rsidR="006317D7" w:rsidRPr="004F3D57">
        <w:rPr>
          <w:rFonts w:ascii="Times New Roman" w:hAnsi="Times New Roman"/>
          <w:sz w:val="24"/>
          <w:szCs w:val="24"/>
        </w:rPr>
        <w:t xml:space="preserve"> </w:t>
      </w:r>
      <w:r w:rsidRPr="004F3D57">
        <w:rPr>
          <w:rFonts w:ascii="Times New Roman" w:hAnsi="Times New Roman"/>
          <w:sz w:val="24"/>
          <w:szCs w:val="24"/>
        </w:rPr>
        <w:t>лицу</w:t>
      </w:r>
      <w:r w:rsidR="006317D7" w:rsidRPr="004F3D57">
        <w:rPr>
          <w:rFonts w:ascii="Times New Roman" w:hAnsi="Times New Roman"/>
          <w:sz w:val="24"/>
          <w:szCs w:val="24"/>
        </w:rPr>
        <w:t xml:space="preserve"> - </w:t>
      </w:r>
      <w:r w:rsidRPr="004F3D57">
        <w:rPr>
          <w:rFonts w:ascii="Times New Roman" w:hAnsi="Times New Roman"/>
          <w:sz w:val="24"/>
          <w:szCs w:val="24"/>
        </w:rPr>
        <w:t>пореском</w:t>
      </w:r>
      <w:r w:rsidR="006317D7" w:rsidRPr="004F3D57">
        <w:rPr>
          <w:rFonts w:ascii="Times New Roman" w:hAnsi="Times New Roman"/>
          <w:sz w:val="24"/>
          <w:szCs w:val="24"/>
        </w:rPr>
        <w:t xml:space="preserve"> </w:t>
      </w:r>
      <w:r w:rsidRPr="004F3D57">
        <w:rPr>
          <w:rFonts w:ascii="Times New Roman" w:hAnsi="Times New Roman"/>
          <w:sz w:val="24"/>
          <w:szCs w:val="24"/>
        </w:rPr>
        <w:t>обвезнику</w:t>
      </w:r>
      <w:r w:rsidR="006317D7" w:rsidRPr="004F3D57">
        <w:rPr>
          <w:rFonts w:ascii="Times New Roman" w:hAnsi="Times New Roman"/>
          <w:sz w:val="24"/>
          <w:szCs w:val="24"/>
        </w:rPr>
        <w:t xml:space="preserve"> </w:t>
      </w:r>
      <w:r w:rsidRPr="004F3D57">
        <w:rPr>
          <w:rFonts w:ascii="Times New Roman" w:hAnsi="Times New Roman"/>
          <w:sz w:val="24"/>
          <w:szCs w:val="24"/>
        </w:rPr>
        <w:t>за</w:t>
      </w:r>
      <w:r w:rsidR="006317D7" w:rsidRPr="004F3D57">
        <w:rPr>
          <w:rFonts w:ascii="Times New Roman" w:hAnsi="Times New Roman"/>
          <w:sz w:val="24"/>
          <w:szCs w:val="24"/>
        </w:rPr>
        <w:t xml:space="preserve"> </w:t>
      </w:r>
      <w:r w:rsidR="00826968" w:rsidRPr="004F3D57">
        <w:rPr>
          <w:rFonts w:ascii="Times New Roman" w:hAnsi="Times New Roman"/>
          <w:sz w:val="24"/>
          <w:szCs w:val="24"/>
          <w:lang w:val="sr-Cyrl-CS"/>
        </w:rPr>
        <w:t xml:space="preserve">ово кривично дело </w:t>
      </w:r>
      <w:r w:rsidRPr="004F3D57">
        <w:rPr>
          <w:rFonts w:ascii="Times New Roman" w:hAnsi="Times New Roman"/>
          <w:sz w:val="24"/>
          <w:szCs w:val="24"/>
        </w:rPr>
        <w:t>изриче</w:t>
      </w:r>
      <w:r w:rsidR="006317D7" w:rsidRPr="004F3D57">
        <w:rPr>
          <w:rFonts w:ascii="Times New Roman" w:hAnsi="Times New Roman"/>
          <w:sz w:val="24"/>
          <w:szCs w:val="24"/>
        </w:rPr>
        <w:t xml:space="preserve"> </w:t>
      </w:r>
      <w:r w:rsidRPr="004F3D57">
        <w:rPr>
          <w:rFonts w:ascii="Times New Roman" w:hAnsi="Times New Roman"/>
          <w:sz w:val="24"/>
          <w:szCs w:val="24"/>
        </w:rPr>
        <w:t>се</w:t>
      </w:r>
      <w:r w:rsidR="006317D7" w:rsidRPr="004F3D57">
        <w:rPr>
          <w:rFonts w:ascii="Times New Roman" w:hAnsi="Times New Roman"/>
          <w:sz w:val="24"/>
          <w:szCs w:val="24"/>
        </w:rPr>
        <w:t xml:space="preserve"> </w:t>
      </w:r>
      <w:r w:rsidRPr="004F3D57">
        <w:rPr>
          <w:rFonts w:ascii="Times New Roman" w:hAnsi="Times New Roman"/>
          <w:sz w:val="24"/>
          <w:szCs w:val="24"/>
        </w:rPr>
        <w:t>и</w:t>
      </w:r>
      <w:r w:rsidR="006317D7" w:rsidRPr="004F3D57">
        <w:rPr>
          <w:rFonts w:ascii="Times New Roman" w:hAnsi="Times New Roman"/>
          <w:sz w:val="24"/>
          <w:szCs w:val="24"/>
        </w:rPr>
        <w:t xml:space="preserve"> </w:t>
      </w:r>
      <w:r w:rsidRPr="004F3D57">
        <w:rPr>
          <w:rFonts w:ascii="Times New Roman" w:hAnsi="Times New Roman"/>
          <w:sz w:val="24"/>
          <w:szCs w:val="24"/>
        </w:rPr>
        <w:t>мера</w:t>
      </w:r>
      <w:r w:rsidR="006317D7" w:rsidRPr="004F3D57">
        <w:rPr>
          <w:rFonts w:ascii="Times New Roman" w:hAnsi="Times New Roman"/>
          <w:sz w:val="24"/>
          <w:szCs w:val="24"/>
        </w:rPr>
        <w:t xml:space="preserve"> </w:t>
      </w:r>
      <w:r w:rsidRPr="004F3D57">
        <w:rPr>
          <w:rFonts w:ascii="Times New Roman" w:hAnsi="Times New Roman"/>
          <w:sz w:val="24"/>
          <w:szCs w:val="24"/>
        </w:rPr>
        <w:t>безбедности</w:t>
      </w:r>
      <w:r w:rsidR="006317D7" w:rsidRPr="004F3D57">
        <w:rPr>
          <w:rFonts w:ascii="Times New Roman" w:hAnsi="Times New Roman"/>
          <w:sz w:val="24"/>
          <w:szCs w:val="24"/>
        </w:rPr>
        <w:t xml:space="preserve"> </w:t>
      </w:r>
      <w:r w:rsidRPr="004F3D57">
        <w:rPr>
          <w:rFonts w:ascii="Times New Roman" w:hAnsi="Times New Roman"/>
          <w:sz w:val="24"/>
          <w:szCs w:val="24"/>
        </w:rPr>
        <w:t>забране</w:t>
      </w:r>
      <w:r w:rsidR="006317D7" w:rsidRPr="004F3D57">
        <w:rPr>
          <w:rFonts w:ascii="Times New Roman" w:hAnsi="Times New Roman"/>
          <w:sz w:val="24"/>
          <w:szCs w:val="24"/>
        </w:rPr>
        <w:t xml:space="preserve"> </w:t>
      </w:r>
      <w:r w:rsidRPr="004F3D57">
        <w:rPr>
          <w:rFonts w:ascii="Times New Roman" w:hAnsi="Times New Roman"/>
          <w:sz w:val="24"/>
          <w:szCs w:val="24"/>
        </w:rPr>
        <w:t>вршења</w:t>
      </w:r>
      <w:r w:rsidR="006317D7" w:rsidRPr="004F3D57">
        <w:rPr>
          <w:rFonts w:ascii="Times New Roman" w:hAnsi="Times New Roman"/>
          <w:sz w:val="24"/>
          <w:szCs w:val="24"/>
        </w:rPr>
        <w:t xml:space="preserve"> </w:t>
      </w:r>
      <w:r w:rsidRPr="004F3D57">
        <w:rPr>
          <w:rFonts w:ascii="Times New Roman" w:hAnsi="Times New Roman"/>
          <w:sz w:val="24"/>
          <w:szCs w:val="24"/>
        </w:rPr>
        <w:t>позива</w:t>
      </w:r>
      <w:r w:rsidR="006317D7" w:rsidRPr="004F3D57">
        <w:rPr>
          <w:rFonts w:ascii="Times New Roman" w:hAnsi="Times New Roman"/>
          <w:sz w:val="24"/>
          <w:szCs w:val="24"/>
        </w:rPr>
        <w:t xml:space="preserve">, </w:t>
      </w:r>
      <w:r w:rsidRPr="004F3D57">
        <w:rPr>
          <w:rFonts w:ascii="Times New Roman" w:hAnsi="Times New Roman"/>
          <w:sz w:val="24"/>
          <w:szCs w:val="24"/>
        </w:rPr>
        <w:t>делатности</w:t>
      </w:r>
      <w:r w:rsidR="006317D7" w:rsidRPr="004F3D57">
        <w:rPr>
          <w:rFonts w:ascii="Times New Roman" w:hAnsi="Times New Roman"/>
          <w:sz w:val="24"/>
          <w:szCs w:val="24"/>
        </w:rPr>
        <w:t xml:space="preserve"> </w:t>
      </w:r>
      <w:r w:rsidRPr="004F3D57">
        <w:rPr>
          <w:rFonts w:ascii="Times New Roman" w:hAnsi="Times New Roman"/>
          <w:sz w:val="24"/>
          <w:szCs w:val="24"/>
        </w:rPr>
        <w:t>и</w:t>
      </w:r>
      <w:r w:rsidR="006317D7" w:rsidRPr="004F3D57">
        <w:rPr>
          <w:rFonts w:ascii="Times New Roman" w:hAnsi="Times New Roman"/>
          <w:sz w:val="24"/>
          <w:szCs w:val="24"/>
        </w:rPr>
        <w:t xml:space="preserve"> </w:t>
      </w:r>
      <w:r w:rsidRPr="004F3D57">
        <w:rPr>
          <w:rFonts w:ascii="Times New Roman" w:hAnsi="Times New Roman"/>
          <w:sz w:val="24"/>
          <w:szCs w:val="24"/>
        </w:rPr>
        <w:t>дужности</w:t>
      </w:r>
      <w:r w:rsidR="006317D7" w:rsidRPr="004F3D57">
        <w:rPr>
          <w:rFonts w:ascii="Times New Roman" w:hAnsi="Times New Roman"/>
          <w:sz w:val="24"/>
          <w:szCs w:val="24"/>
        </w:rPr>
        <w:t xml:space="preserve"> </w:t>
      </w:r>
      <w:r w:rsidRPr="004F3D57">
        <w:rPr>
          <w:rFonts w:ascii="Times New Roman" w:hAnsi="Times New Roman"/>
          <w:sz w:val="24"/>
          <w:szCs w:val="24"/>
        </w:rPr>
        <w:t>од</w:t>
      </w:r>
      <w:r w:rsidR="006317D7" w:rsidRPr="004F3D57">
        <w:rPr>
          <w:rFonts w:ascii="Times New Roman" w:hAnsi="Times New Roman"/>
          <w:sz w:val="24"/>
          <w:szCs w:val="24"/>
        </w:rPr>
        <w:t xml:space="preserve"> </w:t>
      </w:r>
      <w:r w:rsidRPr="004F3D57">
        <w:rPr>
          <w:rFonts w:ascii="Times New Roman" w:hAnsi="Times New Roman"/>
          <w:sz w:val="24"/>
          <w:szCs w:val="24"/>
        </w:rPr>
        <w:t>једне</w:t>
      </w:r>
      <w:r w:rsidR="006317D7" w:rsidRPr="004F3D57">
        <w:rPr>
          <w:rFonts w:ascii="Times New Roman" w:hAnsi="Times New Roman"/>
          <w:sz w:val="24"/>
          <w:szCs w:val="24"/>
        </w:rPr>
        <w:t xml:space="preserve"> </w:t>
      </w:r>
      <w:r w:rsidRPr="004F3D57">
        <w:rPr>
          <w:rFonts w:ascii="Times New Roman" w:hAnsi="Times New Roman"/>
          <w:sz w:val="24"/>
          <w:szCs w:val="24"/>
        </w:rPr>
        <w:t>до</w:t>
      </w:r>
      <w:r w:rsidR="006317D7" w:rsidRPr="004F3D57">
        <w:rPr>
          <w:rFonts w:ascii="Times New Roman" w:hAnsi="Times New Roman"/>
          <w:sz w:val="24"/>
          <w:szCs w:val="24"/>
        </w:rPr>
        <w:t xml:space="preserve"> </w:t>
      </w:r>
      <w:r w:rsidRPr="004F3D57">
        <w:rPr>
          <w:rFonts w:ascii="Times New Roman" w:hAnsi="Times New Roman"/>
          <w:sz w:val="24"/>
          <w:szCs w:val="24"/>
        </w:rPr>
        <w:t>пет</w:t>
      </w:r>
      <w:r w:rsidR="006317D7" w:rsidRPr="004F3D57">
        <w:rPr>
          <w:rFonts w:ascii="Times New Roman" w:hAnsi="Times New Roman"/>
          <w:sz w:val="24"/>
          <w:szCs w:val="24"/>
        </w:rPr>
        <w:t xml:space="preserve"> </w:t>
      </w:r>
      <w:r w:rsidRPr="004F3D57">
        <w:rPr>
          <w:rFonts w:ascii="Times New Roman" w:hAnsi="Times New Roman"/>
          <w:sz w:val="24"/>
          <w:szCs w:val="24"/>
        </w:rPr>
        <w:t>година</w:t>
      </w:r>
      <w:r w:rsidR="006317D7" w:rsidRPr="004F3D57">
        <w:rPr>
          <w:rFonts w:ascii="Times New Roman" w:hAnsi="Times New Roman"/>
          <w:sz w:val="24"/>
          <w:szCs w:val="24"/>
        </w:rPr>
        <w:t>.</w:t>
      </w:r>
      <w:r w:rsidR="00826968" w:rsidRPr="004F3D57">
        <w:rPr>
          <w:rFonts w:ascii="Times New Roman" w:hAnsi="Times New Roman"/>
          <w:sz w:val="24"/>
          <w:szCs w:val="24"/>
          <w:lang w:val="sr-Cyrl-CS"/>
        </w:rPr>
        <w:t xml:space="preserve"> </w:t>
      </w:r>
    </w:p>
    <w:p w:rsidR="007703ED" w:rsidRPr="004F3D57" w:rsidRDefault="0068248A" w:rsidP="004F3D57">
      <w:pPr>
        <w:ind w:firstLine="708"/>
        <w:jc w:val="both"/>
        <w:rPr>
          <w:rFonts w:ascii="Times New Roman" w:hAnsi="Times New Roman"/>
          <w:sz w:val="24"/>
          <w:szCs w:val="24"/>
          <w:lang w:val="sr-Cyrl-CS"/>
        </w:rPr>
      </w:pPr>
      <w:r w:rsidRPr="004F3D57">
        <w:rPr>
          <w:rFonts w:ascii="Times New Roman" w:hAnsi="Times New Roman"/>
          <w:sz w:val="24"/>
          <w:szCs w:val="24"/>
          <w:lang w:val="sr-Cyrl-CS"/>
        </w:rPr>
        <w:t xml:space="preserve">Да би ово кривично дело постојало </w:t>
      </w:r>
      <w:r w:rsidR="00A34830" w:rsidRPr="004F3D57">
        <w:rPr>
          <w:rFonts w:ascii="Times New Roman" w:hAnsi="Times New Roman"/>
          <w:sz w:val="24"/>
          <w:szCs w:val="24"/>
          <w:lang w:val="sr-Cyrl-CS"/>
        </w:rPr>
        <w:t xml:space="preserve">потребно </w:t>
      </w:r>
      <w:r w:rsidRPr="004F3D57">
        <w:rPr>
          <w:rFonts w:ascii="Times New Roman" w:hAnsi="Times New Roman"/>
          <w:sz w:val="24"/>
          <w:szCs w:val="24"/>
          <w:lang w:val="sr-Cyrl-CS"/>
        </w:rPr>
        <w:t xml:space="preserve">је </w:t>
      </w:r>
      <w:r w:rsidR="00A34830" w:rsidRPr="004F3D57">
        <w:rPr>
          <w:rFonts w:ascii="Times New Roman" w:hAnsi="Times New Roman"/>
          <w:sz w:val="24"/>
          <w:szCs w:val="24"/>
          <w:lang w:val="sr-Cyrl-CS"/>
        </w:rPr>
        <w:t>да је радња извршења предузета у одређеној намери</w:t>
      </w:r>
      <w:r w:rsidRPr="004F3D57">
        <w:rPr>
          <w:rFonts w:ascii="Times New Roman" w:hAnsi="Times New Roman"/>
          <w:sz w:val="24"/>
          <w:szCs w:val="24"/>
          <w:lang w:val="sr-Cyrl-CS"/>
        </w:rPr>
        <w:t xml:space="preserve">. Дакле, потребно је да се ради о </w:t>
      </w:r>
      <w:r w:rsidR="00A34830" w:rsidRPr="004F3D57">
        <w:rPr>
          <w:rFonts w:ascii="Times New Roman" w:hAnsi="Times New Roman"/>
          <w:sz w:val="24"/>
          <w:szCs w:val="24"/>
          <w:lang w:val="sr-Cyrl-CS"/>
        </w:rPr>
        <w:t xml:space="preserve">намери да се на овај начин оствари право на неосновани повраћај пореза или порески кредит. </w:t>
      </w:r>
      <w:r w:rsidRPr="004F3D57">
        <w:rPr>
          <w:rFonts w:ascii="Times New Roman" w:hAnsi="Times New Roman"/>
          <w:sz w:val="24"/>
          <w:szCs w:val="24"/>
          <w:lang w:val="sr-Cyrl-CS"/>
        </w:rPr>
        <w:t xml:space="preserve">Битно је да ова намера мора </w:t>
      </w:r>
      <w:r w:rsidR="00A34830" w:rsidRPr="004F3D57">
        <w:rPr>
          <w:rFonts w:ascii="Times New Roman" w:hAnsi="Times New Roman"/>
          <w:sz w:val="24"/>
          <w:szCs w:val="24"/>
          <w:lang w:val="sr-Cyrl-CS"/>
        </w:rPr>
        <w:t>постојати на страни учиниоца дела у време предузимања радње извршења, али она не мора да буде остварена у сваком конкретном случају.</w:t>
      </w:r>
      <w:r w:rsidR="00A34830" w:rsidRPr="004F3D57">
        <w:rPr>
          <w:rStyle w:val="FootnoteReference"/>
          <w:rFonts w:ascii="Times New Roman" w:hAnsi="Times New Roman"/>
          <w:sz w:val="24"/>
          <w:szCs w:val="24"/>
          <w:lang w:val="sr-Cyrl-CS"/>
        </w:rPr>
        <w:footnoteReference w:id="831"/>
      </w:r>
      <w:r w:rsidR="00A34830" w:rsidRPr="004F3D57">
        <w:rPr>
          <w:rFonts w:ascii="Times New Roman" w:hAnsi="Times New Roman"/>
          <w:sz w:val="24"/>
          <w:szCs w:val="24"/>
          <w:lang w:val="sr-Cyrl-CS"/>
        </w:rPr>
        <w:t xml:space="preserve"> Дело се може извршити само са директним умишљајем</w:t>
      </w:r>
      <w:r w:rsidRPr="004F3D57">
        <w:rPr>
          <w:rFonts w:ascii="Times New Roman" w:hAnsi="Times New Roman"/>
          <w:sz w:val="24"/>
          <w:szCs w:val="24"/>
          <w:lang w:val="sr-Cyrl-CS"/>
        </w:rPr>
        <w:t>. Директан умишљај</w:t>
      </w:r>
      <w:r w:rsidR="00A34830" w:rsidRPr="004F3D57">
        <w:rPr>
          <w:rFonts w:ascii="Times New Roman" w:hAnsi="Times New Roman"/>
          <w:sz w:val="24"/>
          <w:szCs w:val="24"/>
          <w:lang w:val="sr-Cyrl-CS"/>
        </w:rPr>
        <w:t xml:space="preserve"> карактерише намера да се оствари право на неоснован повраћај пореза или порески кредит.</w:t>
      </w:r>
      <w:r w:rsidR="00A34830" w:rsidRPr="004F3D57">
        <w:rPr>
          <w:rStyle w:val="FootnoteReference"/>
          <w:rFonts w:ascii="Times New Roman" w:hAnsi="Times New Roman"/>
          <w:sz w:val="24"/>
          <w:szCs w:val="24"/>
          <w:lang w:val="sr-Cyrl-CS"/>
        </w:rPr>
        <w:footnoteReference w:id="832"/>
      </w:r>
      <w:r w:rsidR="003E460E" w:rsidRPr="004F3D57">
        <w:rPr>
          <w:rFonts w:ascii="Times New Roman" w:hAnsi="Times New Roman"/>
          <w:sz w:val="24"/>
          <w:szCs w:val="24"/>
          <w:lang w:val="sr-Cyrl-CS"/>
        </w:rPr>
        <w:t xml:space="preserve"> </w:t>
      </w:r>
      <w:r w:rsidR="004F3D57">
        <w:rPr>
          <w:rFonts w:ascii="Times New Roman" w:hAnsi="Times New Roman"/>
          <w:sz w:val="24"/>
          <w:szCs w:val="24"/>
          <w:lang w:val="sr-Cyrl-CS"/>
        </w:rPr>
        <w:t xml:space="preserve"> </w:t>
      </w:r>
    </w:p>
    <w:p w:rsidR="00D45FD1" w:rsidRPr="007703ED" w:rsidRDefault="00D45FD1" w:rsidP="005235F9">
      <w:pPr>
        <w:jc w:val="both"/>
        <w:rPr>
          <w:rFonts w:ascii="Times New Roman" w:hAnsi="Times New Roman"/>
          <w:sz w:val="24"/>
          <w:szCs w:val="24"/>
        </w:rPr>
      </w:pPr>
    </w:p>
    <w:p w:rsidR="006317D7" w:rsidRPr="005235F9" w:rsidRDefault="00826968" w:rsidP="005235F9">
      <w:pPr>
        <w:jc w:val="center"/>
        <w:rPr>
          <w:rFonts w:ascii="Times New Roman" w:hAnsi="Times New Roman"/>
          <w:b/>
          <w:sz w:val="24"/>
          <w:szCs w:val="24"/>
          <w:lang w:val="sr-Cyrl-CS"/>
        </w:rPr>
      </w:pPr>
      <w:r w:rsidRPr="005235F9">
        <w:rPr>
          <w:rFonts w:ascii="Times New Roman" w:hAnsi="Times New Roman"/>
          <w:b/>
          <w:sz w:val="24"/>
          <w:szCs w:val="24"/>
          <w:lang w:val="sr-Cyrl-CS"/>
        </w:rPr>
        <w:t>2.1.3.1. Радња кривичног дела</w:t>
      </w:r>
    </w:p>
    <w:p w:rsidR="00826968" w:rsidRPr="005235F9" w:rsidRDefault="00826968" w:rsidP="005235F9">
      <w:pPr>
        <w:jc w:val="both"/>
        <w:rPr>
          <w:rFonts w:ascii="Times New Roman" w:hAnsi="Times New Roman"/>
          <w:b/>
          <w:sz w:val="24"/>
          <w:szCs w:val="24"/>
          <w:lang w:val="sr-Cyrl-CS"/>
        </w:rPr>
      </w:pPr>
    </w:p>
    <w:p w:rsidR="006317D7" w:rsidRPr="005235F9" w:rsidRDefault="006317D7" w:rsidP="005235F9">
      <w:pPr>
        <w:ind w:firstLine="708"/>
        <w:jc w:val="both"/>
        <w:rPr>
          <w:rFonts w:ascii="Times New Roman" w:hAnsi="Times New Roman"/>
          <w:sz w:val="24"/>
          <w:szCs w:val="24"/>
          <w:lang w:val="sr-Cyrl-CS"/>
        </w:rPr>
      </w:pPr>
      <w:r w:rsidRPr="005235F9">
        <w:rPr>
          <w:rFonts w:ascii="Times New Roman" w:hAnsi="Times New Roman"/>
          <w:sz w:val="24"/>
          <w:szCs w:val="24"/>
          <w:lang w:val="sr-Cyrl-CS"/>
        </w:rPr>
        <w:t xml:space="preserve">Радња извршења </w:t>
      </w:r>
      <w:r w:rsidR="00826968" w:rsidRPr="005235F9">
        <w:rPr>
          <w:rFonts w:ascii="Times New Roman" w:hAnsi="Times New Roman"/>
          <w:sz w:val="24"/>
          <w:szCs w:val="24"/>
          <w:lang w:val="sr-Cyrl-CS"/>
        </w:rPr>
        <w:t xml:space="preserve">овог </w:t>
      </w:r>
      <w:r w:rsidRPr="005235F9">
        <w:rPr>
          <w:rFonts w:ascii="Times New Roman" w:hAnsi="Times New Roman"/>
          <w:sz w:val="24"/>
          <w:szCs w:val="24"/>
          <w:lang w:val="sr-Cyrl-CS"/>
        </w:rPr>
        <w:t>кривичног дела је подношење пореске пријаве потпуно или делимично неистинитог садржаја.</w:t>
      </w:r>
      <w:r w:rsidR="00BB684B" w:rsidRPr="005235F9">
        <w:rPr>
          <w:rFonts w:ascii="Times New Roman" w:hAnsi="Times New Roman"/>
          <w:sz w:val="24"/>
          <w:szCs w:val="24"/>
          <w:lang w:val="sr-Cyrl-CS"/>
        </w:rPr>
        <w:t xml:space="preserve"> Пријава се подноси надлежном органу пореске управе у одређеном року. </w:t>
      </w:r>
      <w:r w:rsidR="0068248A">
        <w:rPr>
          <w:rFonts w:ascii="Times New Roman" w:hAnsi="Times New Roman"/>
          <w:sz w:val="24"/>
          <w:szCs w:val="24"/>
          <w:lang w:val="sr-Cyrl-CS"/>
        </w:rPr>
        <w:t>П</w:t>
      </w:r>
      <w:r w:rsidR="00BB684B" w:rsidRPr="005235F9">
        <w:rPr>
          <w:rFonts w:ascii="Times New Roman" w:hAnsi="Times New Roman"/>
          <w:sz w:val="24"/>
          <w:szCs w:val="24"/>
          <w:lang w:val="sr-Cyrl-CS"/>
        </w:rPr>
        <w:t xml:space="preserve">ријава може бити </w:t>
      </w:r>
      <w:r w:rsidR="0068248A">
        <w:rPr>
          <w:rFonts w:ascii="Times New Roman" w:hAnsi="Times New Roman"/>
          <w:sz w:val="24"/>
          <w:szCs w:val="24"/>
          <w:lang w:val="sr-Cyrl-CS"/>
        </w:rPr>
        <w:t>поднета</w:t>
      </w:r>
      <w:r w:rsidR="00BB684B" w:rsidRPr="005235F9">
        <w:rPr>
          <w:rFonts w:ascii="Times New Roman" w:hAnsi="Times New Roman"/>
          <w:sz w:val="24"/>
          <w:szCs w:val="24"/>
          <w:lang w:val="sr-Cyrl-CS"/>
        </w:rPr>
        <w:t xml:space="preserve"> у писменом облику надлежном органу, а неистинити подаци могу бити садржина такве пореске </w:t>
      </w:r>
      <w:r w:rsidR="00821A7D" w:rsidRPr="005235F9">
        <w:rPr>
          <w:rFonts w:ascii="Times New Roman" w:hAnsi="Times New Roman"/>
          <w:sz w:val="24"/>
          <w:szCs w:val="24"/>
          <w:lang w:val="sr-Cyrl-CS"/>
        </w:rPr>
        <w:t xml:space="preserve">пријаве, али они </w:t>
      </w:r>
      <w:r w:rsidR="004A10AF" w:rsidRPr="005235F9">
        <w:rPr>
          <w:rFonts w:ascii="Times New Roman" w:hAnsi="Times New Roman"/>
          <w:sz w:val="24"/>
          <w:szCs w:val="24"/>
          <w:lang w:val="sr-Cyrl-CS"/>
        </w:rPr>
        <w:t xml:space="preserve">могу </w:t>
      </w:r>
      <w:r w:rsidR="00821A7D" w:rsidRPr="005235F9">
        <w:rPr>
          <w:rFonts w:ascii="Times New Roman" w:hAnsi="Times New Roman"/>
          <w:sz w:val="24"/>
          <w:szCs w:val="24"/>
          <w:lang w:val="sr-Cyrl-CS"/>
        </w:rPr>
        <w:t>бити такође сад</w:t>
      </w:r>
      <w:r w:rsidR="00BB684B" w:rsidRPr="005235F9">
        <w:rPr>
          <w:rFonts w:ascii="Times New Roman" w:hAnsi="Times New Roman"/>
          <w:sz w:val="24"/>
          <w:szCs w:val="24"/>
          <w:lang w:val="sr-Cyrl-CS"/>
        </w:rPr>
        <w:t xml:space="preserve">ржани у приложеној документацији уз ову пријаву. </w:t>
      </w:r>
      <w:r w:rsidR="0068248A">
        <w:rPr>
          <w:rFonts w:ascii="Times New Roman" w:hAnsi="Times New Roman"/>
          <w:sz w:val="24"/>
          <w:szCs w:val="24"/>
          <w:lang w:val="sr-Cyrl-CS"/>
        </w:rPr>
        <w:t>П</w:t>
      </w:r>
      <w:r w:rsidR="00BB684B" w:rsidRPr="005235F9">
        <w:rPr>
          <w:rFonts w:ascii="Times New Roman" w:hAnsi="Times New Roman"/>
          <w:sz w:val="24"/>
          <w:szCs w:val="24"/>
          <w:lang w:val="sr-Cyrl-CS"/>
        </w:rPr>
        <w:t>од</w:t>
      </w:r>
      <w:r w:rsidR="004A10AF" w:rsidRPr="005235F9">
        <w:rPr>
          <w:rFonts w:ascii="Times New Roman" w:hAnsi="Times New Roman"/>
          <w:sz w:val="24"/>
          <w:szCs w:val="24"/>
          <w:lang w:val="sr-Cyrl-CS"/>
        </w:rPr>
        <w:t>аци морају бити лажни у потпунос</w:t>
      </w:r>
      <w:r w:rsidR="00BB684B" w:rsidRPr="005235F9">
        <w:rPr>
          <w:rFonts w:ascii="Times New Roman" w:hAnsi="Times New Roman"/>
          <w:sz w:val="24"/>
          <w:szCs w:val="24"/>
          <w:lang w:val="sr-Cyrl-CS"/>
        </w:rPr>
        <w:t>ти или делимично</w:t>
      </w:r>
      <w:r w:rsidR="0068248A">
        <w:rPr>
          <w:rFonts w:ascii="Times New Roman" w:hAnsi="Times New Roman"/>
          <w:sz w:val="24"/>
          <w:szCs w:val="24"/>
          <w:lang w:val="sr-Cyrl-CS"/>
        </w:rPr>
        <w:t>. У</w:t>
      </w:r>
      <w:r w:rsidR="00BB684B" w:rsidRPr="005235F9">
        <w:rPr>
          <w:rFonts w:ascii="Times New Roman" w:hAnsi="Times New Roman"/>
          <w:sz w:val="24"/>
          <w:szCs w:val="24"/>
          <w:lang w:val="sr-Cyrl-CS"/>
        </w:rPr>
        <w:t>чинилац овог дела мора бити свестан њихове неистинитости.</w:t>
      </w:r>
      <w:r w:rsidR="00BB684B" w:rsidRPr="005235F9">
        <w:rPr>
          <w:rStyle w:val="FootnoteReference"/>
          <w:rFonts w:ascii="Times New Roman" w:hAnsi="Times New Roman"/>
          <w:sz w:val="24"/>
          <w:szCs w:val="24"/>
          <w:lang w:val="sr-Cyrl-CS"/>
        </w:rPr>
        <w:footnoteReference w:id="833"/>
      </w:r>
      <w:r w:rsidR="00821A7D" w:rsidRPr="005235F9">
        <w:rPr>
          <w:rFonts w:ascii="Times New Roman" w:hAnsi="Times New Roman"/>
          <w:sz w:val="24"/>
          <w:szCs w:val="24"/>
          <w:lang w:val="sr-Cyrl-CS"/>
        </w:rPr>
        <w:t xml:space="preserve"> Према томе, претходни порез се у пореској пријави може унети у већем износу од стварног или се пак могу наводити обавезе везане за остварен промет добара и услуга у нижем износу од стварног и на те начине </w:t>
      </w:r>
      <w:r w:rsidR="00E657A4" w:rsidRPr="005235F9">
        <w:rPr>
          <w:rFonts w:ascii="Times New Roman" w:hAnsi="Times New Roman"/>
          <w:sz w:val="24"/>
          <w:szCs w:val="24"/>
          <w:lang w:val="sr-Cyrl-CS"/>
        </w:rPr>
        <w:t>ум</w:t>
      </w:r>
      <w:r w:rsidR="00821A7D" w:rsidRPr="005235F9">
        <w:rPr>
          <w:rFonts w:ascii="Times New Roman" w:hAnsi="Times New Roman"/>
          <w:sz w:val="24"/>
          <w:szCs w:val="24"/>
          <w:lang w:val="sr-Cyrl-CS"/>
        </w:rPr>
        <w:t>ањивати пореска обавеза.</w:t>
      </w:r>
      <w:r w:rsidR="00966D81" w:rsidRPr="005235F9">
        <w:rPr>
          <w:rFonts w:ascii="Times New Roman" w:hAnsi="Times New Roman"/>
          <w:sz w:val="24"/>
          <w:szCs w:val="24"/>
          <w:lang w:val="sr-Cyrl-CS"/>
        </w:rPr>
        <w:t xml:space="preserve"> </w:t>
      </w:r>
      <w:r w:rsidR="00826968" w:rsidRPr="005235F9">
        <w:rPr>
          <w:rFonts w:ascii="Times New Roman" w:hAnsi="Times New Roman"/>
          <w:sz w:val="24"/>
          <w:szCs w:val="24"/>
          <w:lang w:val="sr-Cyrl-CS"/>
        </w:rPr>
        <w:t xml:space="preserve">  </w:t>
      </w:r>
    </w:p>
    <w:p w:rsidR="00966D81" w:rsidRDefault="000618D5" w:rsidP="005235F9">
      <w:pPr>
        <w:ind w:firstLine="708"/>
        <w:jc w:val="both"/>
        <w:rPr>
          <w:rFonts w:ascii="Times New Roman" w:hAnsi="Times New Roman"/>
          <w:sz w:val="24"/>
          <w:szCs w:val="24"/>
          <w:lang w:val="sr-Cyrl-CS"/>
        </w:rPr>
      </w:pPr>
      <w:r>
        <w:rPr>
          <w:rFonts w:ascii="Times New Roman" w:hAnsi="Times New Roman"/>
          <w:sz w:val="24"/>
          <w:szCs w:val="24"/>
          <w:lang w:val="sr-Cyrl-CS"/>
        </w:rPr>
        <w:t>Ово к</w:t>
      </w:r>
      <w:r w:rsidR="00966D81" w:rsidRPr="005235F9">
        <w:rPr>
          <w:rFonts w:ascii="Times New Roman" w:hAnsi="Times New Roman"/>
          <w:sz w:val="24"/>
          <w:szCs w:val="24"/>
          <w:lang w:val="sr-Cyrl-CS"/>
        </w:rPr>
        <w:t xml:space="preserve">ривично дело </w:t>
      </w:r>
      <w:r>
        <w:rPr>
          <w:rFonts w:ascii="Times New Roman" w:hAnsi="Times New Roman"/>
          <w:sz w:val="24"/>
          <w:szCs w:val="24"/>
          <w:lang w:val="sr-Cyrl-CS"/>
        </w:rPr>
        <w:t>је</w:t>
      </w:r>
      <w:r w:rsidR="00966D81" w:rsidRPr="005235F9">
        <w:rPr>
          <w:rFonts w:ascii="Times New Roman" w:hAnsi="Times New Roman"/>
          <w:sz w:val="24"/>
          <w:szCs w:val="24"/>
          <w:lang w:val="sr-Cyrl-CS"/>
        </w:rPr>
        <w:t xml:space="preserve"> свршено када је поднета пореска пријава неистинитог садржаја.</w:t>
      </w:r>
      <w:r w:rsidR="00966D81" w:rsidRPr="005235F9">
        <w:rPr>
          <w:rStyle w:val="FootnoteReference"/>
          <w:rFonts w:ascii="Times New Roman" w:hAnsi="Times New Roman"/>
          <w:sz w:val="24"/>
          <w:szCs w:val="24"/>
          <w:lang w:val="sr-Cyrl-CS"/>
        </w:rPr>
        <w:footnoteReference w:id="834"/>
      </w:r>
      <w:r w:rsidR="004A10AF" w:rsidRPr="005235F9">
        <w:rPr>
          <w:rFonts w:ascii="Times New Roman" w:hAnsi="Times New Roman"/>
          <w:sz w:val="24"/>
          <w:szCs w:val="24"/>
          <w:lang w:val="sr-Cyrl-CS"/>
        </w:rPr>
        <w:t xml:space="preserve"> </w:t>
      </w:r>
    </w:p>
    <w:p w:rsidR="005235F9" w:rsidRPr="005235F9" w:rsidRDefault="005235F9" w:rsidP="005235F9">
      <w:pPr>
        <w:ind w:firstLine="708"/>
        <w:jc w:val="both"/>
        <w:rPr>
          <w:rFonts w:ascii="Times New Roman" w:hAnsi="Times New Roman"/>
          <w:sz w:val="24"/>
          <w:szCs w:val="24"/>
          <w:lang w:val="sr-Cyrl-CS"/>
        </w:rPr>
      </w:pPr>
    </w:p>
    <w:p w:rsidR="006317D7" w:rsidRDefault="00826968" w:rsidP="005235F9">
      <w:pPr>
        <w:jc w:val="center"/>
        <w:rPr>
          <w:rFonts w:ascii="Times New Roman" w:hAnsi="Times New Roman"/>
          <w:b/>
          <w:sz w:val="24"/>
          <w:szCs w:val="24"/>
          <w:lang w:val="sr-Cyrl-CS"/>
        </w:rPr>
      </w:pPr>
      <w:r w:rsidRPr="005235F9">
        <w:rPr>
          <w:rFonts w:ascii="Times New Roman" w:hAnsi="Times New Roman"/>
          <w:b/>
          <w:sz w:val="24"/>
          <w:szCs w:val="24"/>
          <w:lang w:val="sr-Cyrl-CS"/>
        </w:rPr>
        <w:t xml:space="preserve">2.1.3.2.Објекат </w:t>
      </w:r>
      <w:r w:rsidR="00A34830">
        <w:rPr>
          <w:rFonts w:ascii="Times New Roman" w:hAnsi="Times New Roman"/>
          <w:b/>
          <w:sz w:val="24"/>
          <w:szCs w:val="24"/>
          <w:lang w:val="sr-Cyrl-CS"/>
        </w:rPr>
        <w:t xml:space="preserve">кривичноправне </w:t>
      </w:r>
      <w:r w:rsidRPr="005235F9">
        <w:rPr>
          <w:rFonts w:ascii="Times New Roman" w:hAnsi="Times New Roman"/>
          <w:b/>
          <w:sz w:val="24"/>
          <w:szCs w:val="24"/>
          <w:lang w:val="sr-Cyrl-CS"/>
        </w:rPr>
        <w:t>заштите</w:t>
      </w:r>
    </w:p>
    <w:p w:rsidR="005235F9" w:rsidRPr="005235F9" w:rsidRDefault="005235F9" w:rsidP="005235F9">
      <w:pPr>
        <w:jc w:val="center"/>
        <w:rPr>
          <w:rFonts w:ascii="Times New Roman" w:hAnsi="Times New Roman"/>
          <w:b/>
          <w:sz w:val="24"/>
          <w:szCs w:val="24"/>
          <w:lang w:val="sr-Cyrl-CS"/>
        </w:rPr>
      </w:pPr>
    </w:p>
    <w:p w:rsidR="001671E0" w:rsidRDefault="00A34830" w:rsidP="004F3D57">
      <w:pPr>
        <w:ind w:firstLine="708"/>
        <w:jc w:val="both"/>
        <w:rPr>
          <w:rFonts w:ascii="Times New Roman" w:hAnsi="Times New Roman"/>
          <w:sz w:val="24"/>
          <w:szCs w:val="24"/>
          <w:lang w:val="sr-Cyrl-CS"/>
        </w:rPr>
      </w:pPr>
      <w:r>
        <w:rPr>
          <w:rFonts w:ascii="Times New Roman" w:hAnsi="Times New Roman"/>
          <w:sz w:val="24"/>
          <w:szCs w:val="24"/>
          <w:lang w:val="sr-Cyrl-CS"/>
        </w:rPr>
        <w:t>О</w:t>
      </w:r>
      <w:r w:rsidR="004A10AF" w:rsidRPr="005235F9">
        <w:rPr>
          <w:rFonts w:ascii="Times New Roman" w:hAnsi="Times New Roman"/>
          <w:sz w:val="24"/>
          <w:szCs w:val="24"/>
          <w:lang w:val="sr-Cyrl-CS"/>
        </w:rPr>
        <w:t>бје</w:t>
      </w:r>
      <w:r w:rsidR="00821A7D" w:rsidRPr="005235F9">
        <w:rPr>
          <w:rFonts w:ascii="Times New Roman" w:hAnsi="Times New Roman"/>
          <w:sz w:val="24"/>
          <w:szCs w:val="24"/>
          <w:lang w:val="sr-Cyrl-CS"/>
        </w:rPr>
        <w:t xml:space="preserve">кат заштите </w:t>
      </w:r>
      <w:r>
        <w:rPr>
          <w:rFonts w:ascii="Times New Roman" w:hAnsi="Times New Roman"/>
          <w:sz w:val="24"/>
          <w:szCs w:val="24"/>
          <w:lang w:val="sr-Cyrl-CS"/>
        </w:rPr>
        <w:t xml:space="preserve">код овог облика кривичног дела </w:t>
      </w:r>
      <w:r w:rsidR="0068248A">
        <w:rPr>
          <w:rFonts w:ascii="Times New Roman" w:hAnsi="Times New Roman"/>
          <w:sz w:val="24"/>
          <w:szCs w:val="24"/>
          <w:lang w:val="sr-Cyrl-CS"/>
        </w:rPr>
        <w:t>представља</w:t>
      </w:r>
      <w:r w:rsidR="00036182">
        <w:rPr>
          <w:rFonts w:ascii="Times New Roman" w:hAnsi="Times New Roman"/>
          <w:sz w:val="24"/>
          <w:szCs w:val="24"/>
          <w:lang w:val="sr-Cyrl-CS"/>
        </w:rPr>
        <w:t xml:space="preserve"> законито остваривање права на повраћај пореза или права на порески кредит. </w:t>
      </w:r>
      <w:r w:rsidR="00036182">
        <w:rPr>
          <w:rStyle w:val="FootnoteReference"/>
          <w:rFonts w:ascii="Times New Roman" w:hAnsi="Times New Roman"/>
          <w:sz w:val="24"/>
          <w:szCs w:val="24"/>
          <w:lang w:val="sr-Cyrl-CS"/>
        </w:rPr>
        <w:footnoteReference w:id="835"/>
      </w:r>
      <w:r w:rsidR="00036182">
        <w:rPr>
          <w:rFonts w:ascii="Times New Roman" w:hAnsi="Times New Roman"/>
          <w:sz w:val="24"/>
          <w:szCs w:val="24"/>
          <w:lang w:val="sr-Cyrl-CS"/>
        </w:rPr>
        <w:t xml:space="preserve"> Објекат напада су</w:t>
      </w:r>
      <w:r w:rsidR="00821A7D" w:rsidRPr="005235F9">
        <w:rPr>
          <w:rFonts w:ascii="Times New Roman" w:hAnsi="Times New Roman"/>
          <w:sz w:val="24"/>
          <w:szCs w:val="24"/>
          <w:lang w:val="sr-Cyrl-CS"/>
        </w:rPr>
        <w:t xml:space="preserve"> порези, а пре свега приход од пореза на додату вредност.</w:t>
      </w:r>
    </w:p>
    <w:p w:rsidR="001671E0" w:rsidRPr="005235F9" w:rsidRDefault="001671E0" w:rsidP="005235F9">
      <w:pPr>
        <w:jc w:val="both"/>
        <w:rPr>
          <w:rFonts w:ascii="Times New Roman" w:hAnsi="Times New Roman"/>
          <w:sz w:val="24"/>
          <w:szCs w:val="24"/>
          <w:lang w:val="sr-Cyrl-CS"/>
        </w:rPr>
      </w:pPr>
    </w:p>
    <w:p w:rsidR="006317D7" w:rsidRPr="005235F9" w:rsidRDefault="00255CEF" w:rsidP="005235F9">
      <w:pPr>
        <w:jc w:val="center"/>
        <w:rPr>
          <w:rFonts w:ascii="Times New Roman" w:hAnsi="Times New Roman"/>
          <w:b/>
          <w:sz w:val="24"/>
          <w:szCs w:val="24"/>
          <w:lang w:val="sr-Cyrl-CS"/>
        </w:rPr>
      </w:pPr>
      <w:r>
        <w:rPr>
          <w:rFonts w:ascii="Times New Roman" w:hAnsi="Times New Roman"/>
          <w:b/>
          <w:sz w:val="24"/>
          <w:szCs w:val="24"/>
          <w:lang w:val="sr-Cyrl-CS"/>
        </w:rPr>
        <w:t>2.1.3.3</w:t>
      </w:r>
      <w:r w:rsidR="00826968" w:rsidRPr="005235F9">
        <w:rPr>
          <w:rFonts w:ascii="Times New Roman" w:hAnsi="Times New Roman"/>
          <w:b/>
          <w:sz w:val="24"/>
          <w:szCs w:val="24"/>
          <w:lang w:val="sr-Cyrl-CS"/>
        </w:rPr>
        <w:t>.Објективни услов инкриминације</w:t>
      </w:r>
    </w:p>
    <w:p w:rsidR="004A10AF" w:rsidRPr="005235F9" w:rsidRDefault="004A10AF" w:rsidP="005235F9">
      <w:pPr>
        <w:jc w:val="both"/>
        <w:rPr>
          <w:rFonts w:ascii="Times New Roman" w:hAnsi="Times New Roman"/>
          <w:b/>
          <w:sz w:val="24"/>
          <w:szCs w:val="24"/>
          <w:lang w:val="sr-Cyrl-CS"/>
        </w:rPr>
      </w:pPr>
    </w:p>
    <w:p w:rsidR="00E657A4" w:rsidRPr="005235F9" w:rsidRDefault="0068248A" w:rsidP="005235F9">
      <w:pPr>
        <w:ind w:firstLine="708"/>
        <w:jc w:val="both"/>
        <w:rPr>
          <w:rFonts w:ascii="Times New Roman" w:hAnsi="Times New Roman"/>
          <w:sz w:val="24"/>
          <w:szCs w:val="24"/>
          <w:lang w:val="sr-Cyrl-CS"/>
        </w:rPr>
      </w:pPr>
      <w:r>
        <w:rPr>
          <w:rFonts w:ascii="Times New Roman" w:hAnsi="Times New Roman"/>
          <w:sz w:val="24"/>
          <w:szCs w:val="24"/>
          <w:lang w:val="sr-Cyrl-CS"/>
        </w:rPr>
        <w:t>Објективан услов инкриминације представља и</w:t>
      </w:r>
      <w:r w:rsidR="00E657A4" w:rsidRPr="005235F9">
        <w:rPr>
          <w:rFonts w:ascii="Times New Roman" w:hAnsi="Times New Roman"/>
          <w:sz w:val="24"/>
          <w:szCs w:val="24"/>
          <w:lang w:val="sr-Cyrl-CS"/>
        </w:rPr>
        <w:t xml:space="preserve">знос за повраћај пореза или порески кредит који се исказује у пријави </w:t>
      </w:r>
      <w:r>
        <w:rPr>
          <w:rFonts w:ascii="Times New Roman" w:hAnsi="Times New Roman"/>
          <w:sz w:val="24"/>
          <w:szCs w:val="24"/>
          <w:lang w:val="sr-Cyrl-CS"/>
        </w:rPr>
        <w:t xml:space="preserve">и </w:t>
      </w:r>
      <w:r w:rsidR="00E657A4" w:rsidRPr="005235F9">
        <w:rPr>
          <w:rFonts w:ascii="Times New Roman" w:hAnsi="Times New Roman"/>
          <w:sz w:val="24"/>
          <w:szCs w:val="24"/>
          <w:lang w:val="sr-Cyrl-CS"/>
        </w:rPr>
        <w:t xml:space="preserve">мора бити већи од 500.000 динара, а која објективна околност не мора бити обухваћена умишљајем извршиоца, односно он не мора бити свестан висине износа за повраћај. </w:t>
      </w:r>
      <w:r>
        <w:rPr>
          <w:rFonts w:ascii="Times New Roman" w:hAnsi="Times New Roman"/>
          <w:sz w:val="24"/>
          <w:szCs w:val="24"/>
          <w:lang w:val="sr-Cyrl-CS"/>
        </w:rPr>
        <w:t>О</w:t>
      </w:r>
      <w:r w:rsidR="00E657A4" w:rsidRPr="005235F9">
        <w:rPr>
          <w:rFonts w:ascii="Times New Roman" w:hAnsi="Times New Roman"/>
          <w:sz w:val="24"/>
          <w:szCs w:val="24"/>
          <w:lang w:val="sr-Cyrl-CS"/>
        </w:rPr>
        <w:t>бјективни услов инкриминације</w:t>
      </w:r>
      <w:r>
        <w:rPr>
          <w:rFonts w:ascii="Times New Roman" w:hAnsi="Times New Roman"/>
          <w:sz w:val="24"/>
          <w:szCs w:val="24"/>
          <w:lang w:val="sr-Cyrl-CS"/>
        </w:rPr>
        <w:t xml:space="preserve"> се, при том, </w:t>
      </w:r>
      <w:r w:rsidR="00E657A4" w:rsidRPr="005235F9">
        <w:rPr>
          <w:rFonts w:ascii="Times New Roman" w:hAnsi="Times New Roman"/>
          <w:sz w:val="24"/>
          <w:szCs w:val="24"/>
          <w:lang w:val="sr-Cyrl-CS"/>
        </w:rPr>
        <w:t xml:space="preserve"> односи на цело</w:t>
      </w:r>
      <w:r w:rsidR="00ED7281">
        <w:rPr>
          <w:rFonts w:ascii="Times New Roman" w:hAnsi="Times New Roman"/>
          <w:sz w:val="24"/>
          <w:szCs w:val="24"/>
          <w:lang w:val="sr-Cyrl-CS"/>
        </w:rPr>
        <w:t xml:space="preserve">купну исказану суму за повраћај, </w:t>
      </w:r>
      <w:r w:rsidR="00E657A4" w:rsidRPr="005235F9">
        <w:rPr>
          <w:rFonts w:ascii="Times New Roman" w:hAnsi="Times New Roman"/>
          <w:sz w:val="24"/>
          <w:szCs w:val="24"/>
          <w:lang w:val="sr-Cyrl-CS"/>
        </w:rPr>
        <w:t>без обзира да ли је неки део те суме евентуално основан.</w:t>
      </w:r>
      <w:r w:rsidR="00E657A4" w:rsidRPr="005235F9">
        <w:rPr>
          <w:rStyle w:val="FootnoteReference"/>
          <w:rFonts w:ascii="Times New Roman" w:hAnsi="Times New Roman"/>
          <w:sz w:val="24"/>
          <w:szCs w:val="24"/>
          <w:lang w:val="sr-Cyrl-CS"/>
        </w:rPr>
        <w:footnoteReference w:id="836"/>
      </w:r>
      <w:r w:rsidR="004A10AF" w:rsidRPr="005235F9">
        <w:rPr>
          <w:rFonts w:ascii="Times New Roman" w:hAnsi="Times New Roman"/>
          <w:sz w:val="24"/>
          <w:szCs w:val="24"/>
          <w:lang w:val="sr-Cyrl-CS"/>
        </w:rPr>
        <w:t xml:space="preserve"> </w:t>
      </w:r>
    </w:p>
    <w:p w:rsidR="004A10AF" w:rsidRPr="004F3D57" w:rsidRDefault="00D01AEF" w:rsidP="004F3D57">
      <w:pPr>
        <w:ind w:firstLine="708"/>
        <w:jc w:val="both"/>
        <w:rPr>
          <w:rFonts w:ascii="Times New Roman" w:hAnsi="Times New Roman"/>
          <w:sz w:val="24"/>
          <w:szCs w:val="24"/>
          <w:lang w:val="sr-Cyrl-CS"/>
        </w:rPr>
      </w:pPr>
      <w:r w:rsidRPr="004F3D57">
        <w:rPr>
          <w:rFonts w:ascii="Times New Roman" w:hAnsi="Times New Roman"/>
          <w:sz w:val="24"/>
          <w:szCs w:val="24"/>
          <w:lang w:val="sr-Cyrl-CS"/>
        </w:rPr>
        <w:t xml:space="preserve">Квалификовани облици постоје ако </w:t>
      </w:r>
      <w:r w:rsidRPr="004F3D57">
        <w:rPr>
          <w:rFonts w:ascii="Times New Roman" w:hAnsi="Times New Roman"/>
          <w:sz w:val="24"/>
          <w:szCs w:val="24"/>
        </w:rPr>
        <w:t xml:space="preserve"> </w:t>
      </w:r>
      <w:r w:rsidR="00A155C4" w:rsidRPr="004F3D57">
        <w:rPr>
          <w:rFonts w:ascii="Times New Roman" w:hAnsi="Times New Roman"/>
          <w:sz w:val="24"/>
          <w:szCs w:val="24"/>
        </w:rPr>
        <w:t>је</w:t>
      </w:r>
      <w:r w:rsidRPr="004F3D57">
        <w:rPr>
          <w:rFonts w:ascii="Times New Roman" w:hAnsi="Times New Roman"/>
          <w:sz w:val="24"/>
          <w:szCs w:val="24"/>
        </w:rPr>
        <w:t xml:space="preserve"> </w:t>
      </w:r>
      <w:r w:rsidR="00A155C4" w:rsidRPr="004F3D57">
        <w:rPr>
          <w:rFonts w:ascii="Times New Roman" w:hAnsi="Times New Roman"/>
          <w:sz w:val="24"/>
          <w:szCs w:val="24"/>
        </w:rPr>
        <w:t>исказани</w:t>
      </w:r>
      <w:r w:rsidRPr="004F3D57">
        <w:rPr>
          <w:rFonts w:ascii="Times New Roman" w:hAnsi="Times New Roman"/>
          <w:sz w:val="24"/>
          <w:szCs w:val="24"/>
        </w:rPr>
        <w:t xml:space="preserve"> </w:t>
      </w:r>
      <w:r w:rsidR="00A155C4" w:rsidRPr="004F3D57">
        <w:rPr>
          <w:rFonts w:ascii="Times New Roman" w:hAnsi="Times New Roman"/>
          <w:sz w:val="24"/>
          <w:szCs w:val="24"/>
        </w:rPr>
        <w:t>износ</w:t>
      </w:r>
      <w:r w:rsidRPr="004F3D57">
        <w:rPr>
          <w:rFonts w:ascii="Times New Roman" w:hAnsi="Times New Roman"/>
          <w:sz w:val="24"/>
          <w:szCs w:val="24"/>
        </w:rPr>
        <w:t xml:space="preserve"> </w:t>
      </w:r>
      <w:r w:rsidR="00A155C4" w:rsidRPr="004F3D57">
        <w:rPr>
          <w:rFonts w:ascii="Times New Roman" w:hAnsi="Times New Roman"/>
          <w:sz w:val="24"/>
          <w:szCs w:val="24"/>
        </w:rPr>
        <w:t>за</w:t>
      </w:r>
      <w:r w:rsidRPr="004F3D57">
        <w:rPr>
          <w:rFonts w:ascii="Times New Roman" w:hAnsi="Times New Roman"/>
          <w:sz w:val="24"/>
          <w:szCs w:val="24"/>
        </w:rPr>
        <w:t xml:space="preserve"> </w:t>
      </w:r>
      <w:r w:rsidR="00A155C4" w:rsidRPr="004F3D57">
        <w:rPr>
          <w:rFonts w:ascii="Times New Roman" w:hAnsi="Times New Roman"/>
          <w:sz w:val="24"/>
          <w:szCs w:val="24"/>
        </w:rPr>
        <w:t>повраћај</w:t>
      </w:r>
      <w:r w:rsidRPr="004F3D57">
        <w:rPr>
          <w:rFonts w:ascii="Times New Roman" w:hAnsi="Times New Roman"/>
          <w:sz w:val="24"/>
          <w:szCs w:val="24"/>
        </w:rPr>
        <w:t xml:space="preserve"> </w:t>
      </w:r>
      <w:r w:rsidR="00A155C4" w:rsidRPr="004F3D57">
        <w:rPr>
          <w:rFonts w:ascii="Times New Roman" w:hAnsi="Times New Roman"/>
          <w:sz w:val="24"/>
          <w:szCs w:val="24"/>
        </w:rPr>
        <w:t>пореза</w:t>
      </w:r>
      <w:r w:rsidRPr="004F3D57">
        <w:rPr>
          <w:rFonts w:ascii="Times New Roman" w:hAnsi="Times New Roman"/>
          <w:sz w:val="24"/>
          <w:szCs w:val="24"/>
        </w:rPr>
        <w:t xml:space="preserve"> </w:t>
      </w:r>
      <w:r w:rsidR="00A155C4" w:rsidRPr="004F3D57">
        <w:rPr>
          <w:rFonts w:ascii="Times New Roman" w:hAnsi="Times New Roman"/>
          <w:sz w:val="24"/>
          <w:szCs w:val="24"/>
        </w:rPr>
        <w:t>или</w:t>
      </w:r>
      <w:r w:rsidRPr="004F3D57">
        <w:rPr>
          <w:rFonts w:ascii="Times New Roman" w:hAnsi="Times New Roman"/>
          <w:sz w:val="24"/>
          <w:szCs w:val="24"/>
        </w:rPr>
        <w:t xml:space="preserve"> </w:t>
      </w:r>
      <w:r w:rsidR="00A155C4" w:rsidRPr="004F3D57">
        <w:rPr>
          <w:rFonts w:ascii="Times New Roman" w:hAnsi="Times New Roman"/>
          <w:sz w:val="24"/>
          <w:szCs w:val="24"/>
        </w:rPr>
        <w:t>порески</w:t>
      </w:r>
      <w:r w:rsidRPr="004F3D57">
        <w:rPr>
          <w:rFonts w:ascii="Times New Roman" w:hAnsi="Times New Roman"/>
          <w:sz w:val="24"/>
          <w:szCs w:val="24"/>
        </w:rPr>
        <w:t xml:space="preserve"> </w:t>
      </w:r>
      <w:r w:rsidR="00A155C4" w:rsidRPr="004F3D57">
        <w:rPr>
          <w:rFonts w:ascii="Times New Roman" w:hAnsi="Times New Roman"/>
          <w:sz w:val="24"/>
          <w:szCs w:val="24"/>
        </w:rPr>
        <w:t>кредит</w:t>
      </w:r>
      <w:r w:rsidRPr="004F3D57">
        <w:rPr>
          <w:rFonts w:ascii="Times New Roman" w:hAnsi="Times New Roman"/>
          <w:sz w:val="24"/>
          <w:szCs w:val="24"/>
        </w:rPr>
        <w:t xml:space="preserve"> </w:t>
      </w:r>
      <w:r w:rsidR="00A155C4" w:rsidRPr="004F3D57">
        <w:rPr>
          <w:rFonts w:ascii="Times New Roman" w:hAnsi="Times New Roman"/>
          <w:sz w:val="24"/>
          <w:szCs w:val="24"/>
        </w:rPr>
        <w:t>преко</w:t>
      </w:r>
      <w:r w:rsidRPr="004F3D57">
        <w:rPr>
          <w:rFonts w:ascii="Times New Roman" w:hAnsi="Times New Roman"/>
          <w:sz w:val="24"/>
          <w:szCs w:val="24"/>
        </w:rPr>
        <w:t xml:space="preserve"> 3.</w:t>
      </w:r>
      <w:r w:rsidR="004A10AF" w:rsidRPr="004F3D57">
        <w:rPr>
          <w:rFonts w:ascii="Times New Roman" w:hAnsi="Times New Roman"/>
          <w:sz w:val="24"/>
          <w:szCs w:val="24"/>
        </w:rPr>
        <w:t xml:space="preserve">000.000 </w:t>
      </w:r>
      <w:r w:rsidR="00A155C4" w:rsidRPr="004F3D57">
        <w:rPr>
          <w:rFonts w:ascii="Times New Roman" w:hAnsi="Times New Roman"/>
          <w:sz w:val="24"/>
          <w:szCs w:val="24"/>
        </w:rPr>
        <w:t>до</w:t>
      </w:r>
      <w:r w:rsidR="004A10AF" w:rsidRPr="004F3D57">
        <w:rPr>
          <w:rFonts w:ascii="Times New Roman" w:hAnsi="Times New Roman"/>
          <w:sz w:val="24"/>
          <w:szCs w:val="24"/>
        </w:rPr>
        <w:t xml:space="preserve"> 10.000.000 </w:t>
      </w:r>
      <w:r w:rsidR="00A155C4" w:rsidRPr="004F3D57">
        <w:rPr>
          <w:rFonts w:ascii="Times New Roman" w:hAnsi="Times New Roman"/>
          <w:sz w:val="24"/>
          <w:szCs w:val="24"/>
        </w:rPr>
        <w:t>динара</w:t>
      </w:r>
      <w:r w:rsidR="004A10AF" w:rsidRPr="004F3D57">
        <w:rPr>
          <w:rFonts w:ascii="Times New Roman" w:hAnsi="Times New Roman"/>
          <w:sz w:val="24"/>
          <w:szCs w:val="24"/>
          <w:lang w:val="sr-Cyrl-CS"/>
        </w:rPr>
        <w:t xml:space="preserve"> (став 2), односно а</w:t>
      </w:r>
      <w:r w:rsidR="00A155C4" w:rsidRPr="004F3D57">
        <w:rPr>
          <w:rFonts w:ascii="Times New Roman" w:hAnsi="Times New Roman"/>
          <w:sz w:val="24"/>
          <w:szCs w:val="24"/>
        </w:rPr>
        <w:t>ко</w:t>
      </w:r>
      <w:r w:rsidRPr="004F3D57">
        <w:rPr>
          <w:rFonts w:ascii="Times New Roman" w:hAnsi="Times New Roman"/>
          <w:sz w:val="24"/>
          <w:szCs w:val="24"/>
        </w:rPr>
        <w:t xml:space="preserve"> </w:t>
      </w:r>
      <w:r w:rsidR="00A155C4" w:rsidRPr="004F3D57">
        <w:rPr>
          <w:rFonts w:ascii="Times New Roman" w:hAnsi="Times New Roman"/>
          <w:sz w:val="24"/>
          <w:szCs w:val="24"/>
        </w:rPr>
        <w:t>је</w:t>
      </w:r>
      <w:r w:rsidRPr="004F3D57">
        <w:rPr>
          <w:rFonts w:ascii="Times New Roman" w:hAnsi="Times New Roman"/>
          <w:sz w:val="24"/>
          <w:szCs w:val="24"/>
        </w:rPr>
        <w:t xml:space="preserve"> </w:t>
      </w:r>
      <w:r w:rsidR="00A155C4" w:rsidRPr="004F3D57">
        <w:rPr>
          <w:rFonts w:ascii="Times New Roman" w:hAnsi="Times New Roman"/>
          <w:sz w:val="24"/>
          <w:szCs w:val="24"/>
        </w:rPr>
        <w:t>исказани</w:t>
      </w:r>
      <w:r w:rsidRPr="004F3D57">
        <w:rPr>
          <w:rFonts w:ascii="Times New Roman" w:hAnsi="Times New Roman"/>
          <w:sz w:val="24"/>
          <w:szCs w:val="24"/>
        </w:rPr>
        <w:t xml:space="preserve"> </w:t>
      </w:r>
      <w:r w:rsidR="00A155C4" w:rsidRPr="004F3D57">
        <w:rPr>
          <w:rFonts w:ascii="Times New Roman" w:hAnsi="Times New Roman"/>
          <w:sz w:val="24"/>
          <w:szCs w:val="24"/>
        </w:rPr>
        <w:t>износ</w:t>
      </w:r>
      <w:r w:rsidRPr="004F3D57">
        <w:rPr>
          <w:rFonts w:ascii="Times New Roman" w:hAnsi="Times New Roman"/>
          <w:sz w:val="24"/>
          <w:szCs w:val="24"/>
        </w:rPr>
        <w:t xml:space="preserve"> </w:t>
      </w:r>
      <w:r w:rsidR="00A155C4" w:rsidRPr="004F3D57">
        <w:rPr>
          <w:rFonts w:ascii="Times New Roman" w:hAnsi="Times New Roman"/>
          <w:sz w:val="24"/>
          <w:szCs w:val="24"/>
        </w:rPr>
        <w:t>за</w:t>
      </w:r>
      <w:r w:rsidRPr="004F3D57">
        <w:rPr>
          <w:rFonts w:ascii="Times New Roman" w:hAnsi="Times New Roman"/>
          <w:sz w:val="24"/>
          <w:szCs w:val="24"/>
        </w:rPr>
        <w:t xml:space="preserve"> </w:t>
      </w:r>
      <w:r w:rsidR="00A155C4" w:rsidRPr="004F3D57">
        <w:rPr>
          <w:rFonts w:ascii="Times New Roman" w:hAnsi="Times New Roman"/>
          <w:sz w:val="24"/>
          <w:szCs w:val="24"/>
        </w:rPr>
        <w:t>повраћај</w:t>
      </w:r>
      <w:r w:rsidRPr="004F3D57">
        <w:rPr>
          <w:rFonts w:ascii="Times New Roman" w:hAnsi="Times New Roman"/>
          <w:sz w:val="24"/>
          <w:szCs w:val="24"/>
        </w:rPr>
        <w:t xml:space="preserve"> </w:t>
      </w:r>
      <w:r w:rsidR="00A155C4" w:rsidRPr="004F3D57">
        <w:rPr>
          <w:rFonts w:ascii="Times New Roman" w:hAnsi="Times New Roman"/>
          <w:sz w:val="24"/>
          <w:szCs w:val="24"/>
        </w:rPr>
        <w:t>пореза</w:t>
      </w:r>
      <w:r w:rsidRPr="004F3D57">
        <w:rPr>
          <w:rFonts w:ascii="Times New Roman" w:hAnsi="Times New Roman"/>
          <w:sz w:val="24"/>
          <w:szCs w:val="24"/>
        </w:rPr>
        <w:t xml:space="preserve"> </w:t>
      </w:r>
      <w:r w:rsidR="00A155C4" w:rsidRPr="004F3D57">
        <w:rPr>
          <w:rFonts w:ascii="Times New Roman" w:hAnsi="Times New Roman"/>
          <w:sz w:val="24"/>
          <w:szCs w:val="24"/>
        </w:rPr>
        <w:t>или</w:t>
      </w:r>
      <w:r w:rsidRPr="004F3D57">
        <w:rPr>
          <w:rFonts w:ascii="Times New Roman" w:hAnsi="Times New Roman"/>
          <w:sz w:val="24"/>
          <w:szCs w:val="24"/>
        </w:rPr>
        <w:t xml:space="preserve"> </w:t>
      </w:r>
      <w:r w:rsidR="00A155C4" w:rsidRPr="004F3D57">
        <w:rPr>
          <w:rFonts w:ascii="Times New Roman" w:hAnsi="Times New Roman"/>
          <w:sz w:val="24"/>
          <w:szCs w:val="24"/>
        </w:rPr>
        <w:t>порески</w:t>
      </w:r>
      <w:r w:rsidRPr="004F3D57">
        <w:rPr>
          <w:rFonts w:ascii="Times New Roman" w:hAnsi="Times New Roman"/>
          <w:sz w:val="24"/>
          <w:szCs w:val="24"/>
        </w:rPr>
        <w:t xml:space="preserve"> </w:t>
      </w:r>
      <w:r w:rsidR="00A155C4" w:rsidRPr="004F3D57">
        <w:rPr>
          <w:rFonts w:ascii="Times New Roman" w:hAnsi="Times New Roman"/>
          <w:sz w:val="24"/>
          <w:szCs w:val="24"/>
        </w:rPr>
        <w:t>кредит</w:t>
      </w:r>
      <w:r w:rsidR="004A10AF" w:rsidRPr="004F3D57">
        <w:rPr>
          <w:rFonts w:ascii="Times New Roman" w:hAnsi="Times New Roman"/>
          <w:sz w:val="24"/>
          <w:szCs w:val="24"/>
        </w:rPr>
        <w:t xml:space="preserve"> </w:t>
      </w:r>
      <w:r w:rsidR="00A155C4" w:rsidRPr="004F3D57">
        <w:rPr>
          <w:rFonts w:ascii="Times New Roman" w:hAnsi="Times New Roman"/>
          <w:sz w:val="24"/>
          <w:szCs w:val="24"/>
        </w:rPr>
        <w:t>већи</w:t>
      </w:r>
      <w:r w:rsidR="004A10AF" w:rsidRPr="004F3D57">
        <w:rPr>
          <w:rFonts w:ascii="Times New Roman" w:hAnsi="Times New Roman"/>
          <w:sz w:val="24"/>
          <w:szCs w:val="24"/>
        </w:rPr>
        <w:t xml:space="preserve"> </w:t>
      </w:r>
      <w:r w:rsidR="00A155C4" w:rsidRPr="004F3D57">
        <w:rPr>
          <w:rFonts w:ascii="Times New Roman" w:hAnsi="Times New Roman"/>
          <w:sz w:val="24"/>
          <w:szCs w:val="24"/>
        </w:rPr>
        <w:t>од</w:t>
      </w:r>
      <w:r w:rsidR="004A10AF" w:rsidRPr="004F3D57">
        <w:rPr>
          <w:rFonts w:ascii="Times New Roman" w:hAnsi="Times New Roman"/>
          <w:sz w:val="24"/>
          <w:szCs w:val="24"/>
        </w:rPr>
        <w:t xml:space="preserve"> 10.000.000 </w:t>
      </w:r>
      <w:r w:rsidR="00A155C4" w:rsidRPr="004F3D57">
        <w:rPr>
          <w:rFonts w:ascii="Times New Roman" w:hAnsi="Times New Roman"/>
          <w:sz w:val="24"/>
          <w:szCs w:val="24"/>
        </w:rPr>
        <w:t>динара</w:t>
      </w:r>
      <w:r w:rsidRPr="004F3D57">
        <w:rPr>
          <w:rFonts w:ascii="Times New Roman" w:hAnsi="Times New Roman"/>
          <w:sz w:val="24"/>
          <w:szCs w:val="24"/>
        </w:rPr>
        <w:t xml:space="preserve"> </w:t>
      </w:r>
      <w:r w:rsidR="004A10AF" w:rsidRPr="004F3D57">
        <w:rPr>
          <w:rFonts w:ascii="Times New Roman" w:hAnsi="Times New Roman"/>
          <w:sz w:val="24"/>
          <w:szCs w:val="24"/>
          <w:lang w:val="sr-Cyrl-CS"/>
        </w:rPr>
        <w:t>(став 3).</w:t>
      </w:r>
    </w:p>
    <w:p w:rsidR="00D01AEF" w:rsidRPr="005235F9" w:rsidRDefault="00D01AEF" w:rsidP="005235F9">
      <w:pPr>
        <w:ind w:firstLine="708"/>
        <w:jc w:val="both"/>
        <w:rPr>
          <w:rFonts w:ascii="Times New Roman" w:hAnsi="Times New Roman"/>
          <w:sz w:val="24"/>
          <w:szCs w:val="24"/>
          <w:lang w:val="sr-Cyrl-CS"/>
        </w:rPr>
      </w:pPr>
      <w:r w:rsidRPr="005235F9">
        <w:rPr>
          <w:rFonts w:ascii="Times New Roman" w:hAnsi="Times New Roman"/>
          <w:sz w:val="24"/>
          <w:szCs w:val="24"/>
          <w:lang w:val="sr-Cyrl-CS"/>
        </w:rPr>
        <w:t>Значи да квалификаторну околност представља висина неистинито приказаног пореза.</w:t>
      </w:r>
      <w:r w:rsidR="004A10AF" w:rsidRPr="005235F9">
        <w:rPr>
          <w:rFonts w:ascii="Times New Roman" w:hAnsi="Times New Roman"/>
          <w:sz w:val="24"/>
          <w:szCs w:val="24"/>
          <w:lang w:val="sr-Cyrl-CS"/>
        </w:rPr>
        <w:t xml:space="preserve"> </w:t>
      </w:r>
    </w:p>
    <w:p w:rsidR="006317D7" w:rsidRDefault="00255CEF" w:rsidP="005235F9">
      <w:pPr>
        <w:jc w:val="center"/>
        <w:rPr>
          <w:rFonts w:ascii="Times New Roman" w:hAnsi="Times New Roman"/>
          <w:b/>
          <w:sz w:val="24"/>
          <w:szCs w:val="24"/>
          <w:lang w:val="sr-Cyrl-CS"/>
        </w:rPr>
      </w:pPr>
      <w:r>
        <w:rPr>
          <w:rFonts w:ascii="Times New Roman" w:hAnsi="Times New Roman"/>
          <w:b/>
          <w:sz w:val="24"/>
          <w:szCs w:val="24"/>
          <w:lang w:val="sr-Cyrl-CS"/>
        </w:rPr>
        <w:t>2.1.3.4</w:t>
      </w:r>
      <w:r w:rsidR="00826968" w:rsidRPr="005235F9">
        <w:rPr>
          <w:rFonts w:ascii="Times New Roman" w:hAnsi="Times New Roman"/>
          <w:b/>
          <w:sz w:val="24"/>
          <w:szCs w:val="24"/>
          <w:lang w:val="sr-Cyrl-CS"/>
        </w:rPr>
        <w:t>.Извршилац</w:t>
      </w:r>
    </w:p>
    <w:p w:rsidR="005235F9" w:rsidRPr="005235F9" w:rsidRDefault="005235F9" w:rsidP="005235F9">
      <w:pPr>
        <w:jc w:val="center"/>
        <w:rPr>
          <w:rFonts w:ascii="Times New Roman" w:hAnsi="Times New Roman"/>
          <w:b/>
          <w:sz w:val="24"/>
          <w:szCs w:val="24"/>
          <w:lang w:val="sr-Cyrl-CS"/>
        </w:rPr>
      </w:pPr>
    </w:p>
    <w:p w:rsidR="00BB684B" w:rsidRPr="005235F9" w:rsidRDefault="00BB684B" w:rsidP="005235F9">
      <w:pPr>
        <w:ind w:firstLine="708"/>
        <w:jc w:val="both"/>
        <w:rPr>
          <w:rFonts w:ascii="Times New Roman" w:hAnsi="Times New Roman"/>
          <w:sz w:val="24"/>
          <w:szCs w:val="24"/>
          <w:lang w:val="sr-Cyrl-CS"/>
        </w:rPr>
      </w:pPr>
      <w:r w:rsidRPr="005235F9">
        <w:rPr>
          <w:rFonts w:ascii="Times New Roman" w:hAnsi="Times New Roman"/>
          <w:sz w:val="24"/>
          <w:szCs w:val="24"/>
          <w:lang w:val="sr-Cyrl-CS"/>
        </w:rPr>
        <w:t>Извршилац дела може бити свако лице</w:t>
      </w:r>
      <w:r w:rsidR="00ED7281">
        <w:rPr>
          <w:rFonts w:ascii="Times New Roman" w:hAnsi="Times New Roman"/>
          <w:sz w:val="24"/>
          <w:szCs w:val="24"/>
          <w:lang w:val="sr-Cyrl-CS"/>
        </w:rPr>
        <w:t>, при чему је потребно да</w:t>
      </w:r>
      <w:r w:rsidRPr="005235F9">
        <w:rPr>
          <w:rFonts w:ascii="Times New Roman" w:hAnsi="Times New Roman"/>
          <w:sz w:val="24"/>
          <w:szCs w:val="24"/>
          <w:lang w:val="sr-Cyrl-CS"/>
        </w:rPr>
        <w:t xml:space="preserve"> подлеже пореској обавези код које се може остварити право на повраћај пореза или право на порески кредит.</w:t>
      </w:r>
      <w:r w:rsidRPr="005235F9">
        <w:rPr>
          <w:rStyle w:val="FootnoteReference"/>
          <w:rFonts w:ascii="Times New Roman" w:hAnsi="Times New Roman"/>
          <w:sz w:val="24"/>
          <w:szCs w:val="24"/>
          <w:lang w:val="sr-Cyrl-CS"/>
        </w:rPr>
        <w:footnoteReference w:id="837"/>
      </w:r>
      <w:r w:rsidR="00966D81" w:rsidRPr="005235F9">
        <w:rPr>
          <w:rFonts w:ascii="Times New Roman" w:hAnsi="Times New Roman"/>
          <w:sz w:val="24"/>
          <w:szCs w:val="24"/>
          <w:lang w:val="sr-Cyrl-CS"/>
        </w:rPr>
        <w:t xml:space="preserve"> Дакле, то је лице које подноси пореску пријаву неистинитог садржаја у намери да оствари неоснован повраћај пореза или порески кредит.</w:t>
      </w:r>
      <w:r w:rsidR="004A10AF" w:rsidRPr="005235F9">
        <w:rPr>
          <w:rFonts w:ascii="Times New Roman" w:hAnsi="Times New Roman"/>
          <w:sz w:val="24"/>
          <w:szCs w:val="24"/>
          <w:lang w:val="sr-Cyrl-CS"/>
        </w:rPr>
        <w:t xml:space="preserve"> </w:t>
      </w:r>
      <w:r w:rsidR="00966D81" w:rsidRPr="005235F9">
        <w:rPr>
          <w:rFonts w:ascii="Times New Roman" w:hAnsi="Times New Roman"/>
          <w:sz w:val="24"/>
          <w:szCs w:val="24"/>
          <w:lang w:val="sr-Cyrl-CS"/>
        </w:rPr>
        <w:t xml:space="preserve"> </w:t>
      </w:r>
    </w:p>
    <w:p w:rsidR="004A10AF" w:rsidRPr="005235F9" w:rsidRDefault="004A10AF" w:rsidP="005235F9">
      <w:pPr>
        <w:jc w:val="both"/>
        <w:rPr>
          <w:rFonts w:ascii="Times New Roman" w:hAnsi="Times New Roman"/>
          <w:sz w:val="24"/>
          <w:szCs w:val="24"/>
          <w:lang w:val="sr-Cyrl-CS"/>
        </w:rPr>
      </w:pPr>
    </w:p>
    <w:p w:rsidR="004A10AF" w:rsidRDefault="00255CEF" w:rsidP="005235F9">
      <w:pPr>
        <w:jc w:val="center"/>
        <w:rPr>
          <w:rFonts w:ascii="Times New Roman" w:hAnsi="Times New Roman"/>
          <w:b/>
          <w:sz w:val="24"/>
          <w:szCs w:val="24"/>
          <w:lang w:val="sr-Cyrl-CS"/>
        </w:rPr>
      </w:pPr>
      <w:r>
        <w:rPr>
          <w:rFonts w:ascii="Times New Roman" w:hAnsi="Times New Roman"/>
          <w:b/>
          <w:sz w:val="24"/>
          <w:szCs w:val="24"/>
          <w:lang w:val="sr-Cyrl-CS"/>
        </w:rPr>
        <w:t>2.1.3.5</w:t>
      </w:r>
      <w:r w:rsidR="00826968" w:rsidRPr="005235F9">
        <w:rPr>
          <w:rFonts w:ascii="Times New Roman" w:hAnsi="Times New Roman"/>
          <w:b/>
          <w:sz w:val="24"/>
          <w:szCs w:val="24"/>
          <w:lang w:val="sr-Cyrl-CS"/>
        </w:rPr>
        <w:t>.Кривичне санкције</w:t>
      </w:r>
    </w:p>
    <w:p w:rsidR="005235F9" w:rsidRPr="005235F9" w:rsidRDefault="005235F9" w:rsidP="005235F9">
      <w:pPr>
        <w:jc w:val="center"/>
        <w:rPr>
          <w:rFonts w:ascii="Times New Roman" w:hAnsi="Times New Roman"/>
          <w:b/>
          <w:sz w:val="24"/>
          <w:szCs w:val="24"/>
          <w:lang w:val="sr-Cyrl-CS"/>
        </w:rPr>
      </w:pPr>
    </w:p>
    <w:p w:rsidR="004A10AF" w:rsidRPr="004F3D57" w:rsidRDefault="004A10AF" w:rsidP="004F3D57">
      <w:pPr>
        <w:ind w:firstLine="708"/>
        <w:jc w:val="both"/>
        <w:rPr>
          <w:rFonts w:ascii="Times New Roman" w:hAnsi="Times New Roman"/>
          <w:sz w:val="24"/>
          <w:szCs w:val="24"/>
          <w:lang w:val="sr-Cyrl-CS"/>
        </w:rPr>
      </w:pPr>
      <w:r w:rsidRPr="004F3D57">
        <w:rPr>
          <w:rFonts w:ascii="Times New Roman" w:hAnsi="Times New Roman"/>
          <w:sz w:val="24"/>
          <w:szCs w:val="24"/>
          <w:lang w:val="sr-Cyrl-CS"/>
        </w:rPr>
        <w:t>За основни облик овог кривичног дела прописана је</w:t>
      </w:r>
      <w:r w:rsidRPr="004F3D57">
        <w:rPr>
          <w:rFonts w:ascii="Times New Roman" w:hAnsi="Times New Roman"/>
          <w:sz w:val="24"/>
          <w:szCs w:val="24"/>
        </w:rPr>
        <w:t xml:space="preserve"> </w:t>
      </w:r>
      <w:r w:rsidRPr="004F3D57">
        <w:rPr>
          <w:rFonts w:ascii="Times New Roman" w:hAnsi="Times New Roman"/>
          <w:sz w:val="24"/>
          <w:szCs w:val="24"/>
          <w:lang w:val="sr-Cyrl-CS"/>
        </w:rPr>
        <w:t xml:space="preserve">кумулативно </w:t>
      </w:r>
      <w:r w:rsidR="00A155C4" w:rsidRPr="004F3D57">
        <w:rPr>
          <w:rFonts w:ascii="Times New Roman" w:hAnsi="Times New Roman"/>
          <w:sz w:val="24"/>
          <w:szCs w:val="24"/>
        </w:rPr>
        <w:t>казн</w:t>
      </w:r>
      <w:r w:rsidRPr="004F3D57">
        <w:rPr>
          <w:rFonts w:ascii="Times New Roman" w:hAnsi="Times New Roman"/>
          <w:sz w:val="24"/>
          <w:szCs w:val="24"/>
          <w:lang w:val="sr-Cyrl-CS"/>
        </w:rPr>
        <w:t>а</w:t>
      </w:r>
      <w:r w:rsidRPr="004F3D57">
        <w:rPr>
          <w:rFonts w:ascii="Times New Roman" w:hAnsi="Times New Roman"/>
          <w:sz w:val="24"/>
          <w:szCs w:val="24"/>
        </w:rPr>
        <w:t xml:space="preserve"> </w:t>
      </w:r>
      <w:r w:rsidR="00A155C4" w:rsidRPr="004F3D57">
        <w:rPr>
          <w:rFonts w:ascii="Times New Roman" w:hAnsi="Times New Roman"/>
          <w:sz w:val="24"/>
          <w:szCs w:val="24"/>
        </w:rPr>
        <w:t>затвор</w:t>
      </w:r>
      <w:r w:rsidRPr="004F3D57">
        <w:rPr>
          <w:rFonts w:ascii="Times New Roman" w:hAnsi="Times New Roman"/>
          <w:sz w:val="24"/>
          <w:szCs w:val="24"/>
          <w:lang w:val="sr-Cyrl-CS"/>
        </w:rPr>
        <w:t>а</w:t>
      </w:r>
      <w:r w:rsidRPr="004F3D57">
        <w:rPr>
          <w:rFonts w:ascii="Times New Roman" w:hAnsi="Times New Roman"/>
          <w:sz w:val="24"/>
          <w:szCs w:val="24"/>
        </w:rPr>
        <w:t xml:space="preserve"> </w:t>
      </w:r>
      <w:r w:rsidR="00A155C4" w:rsidRPr="004F3D57">
        <w:rPr>
          <w:rFonts w:ascii="Times New Roman" w:hAnsi="Times New Roman"/>
          <w:sz w:val="24"/>
          <w:szCs w:val="24"/>
        </w:rPr>
        <w:t>од</w:t>
      </w:r>
      <w:r w:rsidRPr="004F3D57">
        <w:rPr>
          <w:rFonts w:ascii="Times New Roman" w:hAnsi="Times New Roman"/>
          <w:sz w:val="24"/>
          <w:szCs w:val="24"/>
        </w:rPr>
        <w:t xml:space="preserve"> </w:t>
      </w:r>
      <w:r w:rsidR="00A155C4" w:rsidRPr="004F3D57">
        <w:rPr>
          <w:rFonts w:ascii="Times New Roman" w:hAnsi="Times New Roman"/>
          <w:sz w:val="24"/>
          <w:szCs w:val="24"/>
        </w:rPr>
        <w:t>три</w:t>
      </w:r>
      <w:r w:rsidRPr="004F3D57">
        <w:rPr>
          <w:rFonts w:ascii="Times New Roman" w:hAnsi="Times New Roman"/>
          <w:sz w:val="24"/>
          <w:szCs w:val="24"/>
        </w:rPr>
        <w:t xml:space="preserve"> </w:t>
      </w:r>
      <w:r w:rsidR="00A155C4" w:rsidRPr="004F3D57">
        <w:rPr>
          <w:rFonts w:ascii="Times New Roman" w:hAnsi="Times New Roman"/>
          <w:sz w:val="24"/>
          <w:szCs w:val="24"/>
        </w:rPr>
        <w:t>месеца</w:t>
      </w:r>
      <w:r w:rsidRPr="004F3D57">
        <w:rPr>
          <w:rFonts w:ascii="Times New Roman" w:hAnsi="Times New Roman"/>
          <w:sz w:val="24"/>
          <w:szCs w:val="24"/>
        </w:rPr>
        <w:t xml:space="preserve"> </w:t>
      </w:r>
      <w:r w:rsidR="00A155C4" w:rsidRPr="004F3D57">
        <w:rPr>
          <w:rFonts w:ascii="Times New Roman" w:hAnsi="Times New Roman"/>
          <w:sz w:val="24"/>
          <w:szCs w:val="24"/>
        </w:rPr>
        <w:t>до</w:t>
      </w:r>
      <w:r w:rsidRPr="004F3D57">
        <w:rPr>
          <w:rFonts w:ascii="Times New Roman" w:hAnsi="Times New Roman"/>
          <w:sz w:val="24"/>
          <w:szCs w:val="24"/>
        </w:rPr>
        <w:t xml:space="preserve"> </w:t>
      </w:r>
      <w:r w:rsidR="00A155C4" w:rsidRPr="004F3D57">
        <w:rPr>
          <w:rFonts w:ascii="Times New Roman" w:hAnsi="Times New Roman"/>
          <w:sz w:val="24"/>
          <w:szCs w:val="24"/>
        </w:rPr>
        <w:t>три</w:t>
      </w:r>
      <w:r w:rsidRPr="004F3D57">
        <w:rPr>
          <w:rFonts w:ascii="Times New Roman" w:hAnsi="Times New Roman"/>
          <w:sz w:val="24"/>
          <w:szCs w:val="24"/>
        </w:rPr>
        <w:t xml:space="preserve"> </w:t>
      </w:r>
      <w:r w:rsidR="00A155C4" w:rsidRPr="004F3D57">
        <w:rPr>
          <w:rFonts w:ascii="Times New Roman" w:hAnsi="Times New Roman"/>
          <w:sz w:val="24"/>
          <w:szCs w:val="24"/>
        </w:rPr>
        <w:t>године</w:t>
      </w:r>
      <w:r w:rsidRPr="004F3D57">
        <w:rPr>
          <w:rFonts w:ascii="Times New Roman" w:hAnsi="Times New Roman"/>
          <w:sz w:val="24"/>
          <w:szCs w:val="24"/>
        </w:rPr>
        <w:t xml:space="preserve"> </w:t>
      </w:r>
      <w:r w:rsidR="00A155C4" w:rsidRPr="004F3D57">
        <w:rPr>
          <w:rFonts w:ascii="Times New Roman" w:hAnsi="Times New Roman"/>
          <w:sz w:val="24"/>
          <w:szCs w:val="24"/>
        </w:rPr>
        <w:t>и</w:t>
      </w:r>
      <w:r w:rsidRPr="004F3D57">
        <w:rPr>
          <w:rFonts w:ascii="Times New Roman" w:hAnsi="Times New Roman"/>
          <w:sz w:val="24"/>
          <w:szCs w:val="24"/>
        </w:rPr>
        <w:t xml:space="preserve"> </w:t>
      </w:r>
      <w:r w:rsidR="00A155C4" w:rsidRPr="004F3D57">
        <w:rPr>
          <w:rFonts w:ascii="Times New Roman" w:hAnsi="Times New Roman"/>
          <w:sz w:val="24"/>
          <w:szCs w:val="24"/>
        </w:rPr>
        <w:t>новчан</w:t>
      </w:r>
      <w:r w:rsidRPr="004F3D57">
        <w:rPr>
          <w:rFonts w:ascii="Times New Roman" w:hAnsi="Times New Roman"/>
          <w:sz w:val="24"/>
          <w:szCs w:val="24"/>
          <w:lang w:val="sr-Cyrl-CS"/>
        </w:rPr>
        <w:t>а</w:t>
      </w:r>
      <w:r w:rsidRPr="004F3D57">
        <w:rPr>
          <w:rFonts w:ascii="Times New Roman" w:hAnsi="Times New Roman"/>
          <w:sz w:val="24"/>
          <w:szCs w:val="24"/>
        </w:rPr>
        <w:t xml:space="preserve"> </w:t>
      </w:r>
      <w:r w:rsidR="00A155C4" w:rsidRPr="004F3D57">
        <w:rPr>
          <w:rFonts w:ascii="Times New Roman" w:hAnsi="Times New Roman"/>
          <w:sz w:val="24"/>
          <w:szCs w:val="24"/>
        </w:rPr>
        <w:t>казн</w:t>
      </w:r>
      <w:r w:rsidRPr="004F3D57">
        <w:rPr>
          <w:rFonts w:ascii="Times New Roman" w:hAnsi="Times New Roman"/>
          <w:sz w:val="24"/>
          <w:szCs w:val="24"/>
          <w:lang w:val="sr-Cyrl-CS"/>
        </w:rPr>
        <w:t>а</w:t>
      </w:r>
      <w:r w:rsidRPr="004F3D57">
        <w:rPr>
          <w:rFonts w:ascii="Times New Roman" w:hAnsi="Times New Roman"/>
          <w:sz w:val="24"/>
          <w:szCs w:val="24"/>
        </w:rPr>
        <w:t>.</w:t>
      </w:r>
    </w:p>
    <w:p w:rsidR="004A10AF" w:rsidRPr="004F3D57" w:rsidRDefault="004A10AF" w:rsidP="004F3D57">
      <w:pPr>
        <w:ind w:firstLine="708"/>
        <w:jc w:val="both"/>
        <w:rPr>
          <w:rFonts w:ascii="Times New Roman" w:hAnsi="Times New Roman"/>
          <w:sz w:val="24"/>
          <w:szCs w:val="24"/>
          <w:lang w:val="sr-Cyrl-CS"/>
        </w:rPr>
      </w:pPr>
      <w:r w:rsidRPr="004F3D57">
        <w:rPr>
          <w:rFonts w:ascii="Times New Roman" w:hAnsi="Times New Roman"/>
          <w:sz w:val="24"/>
          <w:szCs w:val="24"/>
          <w:lang w:val="sr-Cyrl-CS"/>
        </w:rPr>
        <w:t xml:space="preserve">За тежи облик овог кривичног дела (став 2) </w:t>
      </w:r>
      <w:r w:rsidR="00A155C4" w:rsidRPr="004F3D57">
        <w:rPr>
          <w:rFonts w:ascii="Times New Roman" w:hAnsi="Times New Roman"/>
          <w:sz w:val="24"/>
          <w:szCs w:val="24"/>
        </w:rPr>
        <w:t>учинилац</w:t>
      </w:r>
      <w:r w:rsidRPr="004F3D57">
        <w:rPr>
          <w:rFonts w:ascii="Times New Roman" w:hAnsi="Times New Roman"/>
          <w:sz w:val="24"/>
          <w:szCs w:val="24"/>
        </w:rPr>
        <w:t xml:space="preserve"> </w:t>
      </w:r>
      <w:r w:rsidR="00A155C4" w:rsidRPr="004F3D57">
        <w:rPr>
          <w:rFonts w:ascii="Times New Roman" w:hAnsi="Times New Roman"/>
          <w:sz w:val="24"/>
          <w:szCs w:val="24"/>
        </w:rPr>
        <w:t>ће</w:t>
      </w:r>
      <w:r w:rsidRPr="004F3D57">
        <w:rPr>
          <w:rFonts w:ascii="Times New Roman" w:hAnsi="Times New Roman"/>
          <w:sz w:val="24"/>
          <w:szCs w:val="24"/>
        </w:rPr>
        <w:t xml:space="preserve"> </w:t>
      </w:r>
      <w:r w:rsidR="00A155C4" w:rsidRPr="004F3D57">
        <w:rPr>
          <w:rFonts w:ascii="Times New Roman" w:hAnsi="Times New Roman"/>
          <w:sz w:val="24"/>
          <w:szCs w:val="24"/>
        </w:rPr>
        <w:t>се</w:t>
      </w:r>
      <w:r w:rsidRPr="004F3D57">
        <w:rPr>
          <w:rFonts w:ascii="Times New Roman" w:hAnsi="Times New Roman"/>
          <w:sz w:val="24"/>
          <w:szCs w:val="24"/>
        </w:rPr>
        <w:t xml:space="preserve"> </w:t>
      </w:r>
      <w:r w:rsidR="00A155C4" w:rsidRPr="004F3D57">
        <w:rPr>
          <w:rFonts w:ascii="Times New Roman" w:hAnsi="Times New Roman"/>
          <w:sz w:val="24"/>
          <w:szCs w:val="24"/>
        </w:rPr>
        <w:t>казнити</w:t>
      </w:r>
      <w:r w:rsidRPr="004F3D57">
        <w:rPr>
          <w:rFonts w:ascii="Times New Roman" w:hAnsi="Times New Roman"/>
          <w:sz w:val="24"/>
          <w:szCs w:val="24"/>
        </w:rPr>
        <w:t xml:space="preserve"> </w:t>
      </w:r>
      <w:r w:rsidR="00A155C4" w:rsidRPr="004F3D57">
        <w:rPr>
          <w:rFonts w:ascii="Times New Roman" w:hAnsi="Times New Roman"/>
          <w:sz w:val="24"/>
          <w:szCs w:val="24"/>
        </w:rPr>
        <w:t>затвором</w:t>
      </w:r>
      <w:r w:rsidRPr="004F3D57">
        <w:rPr>
          <w:rFonts w:ascii="Times New Roman" w:hAnsi="Times New Roman"/>
          <w:sz w:val="24"/>
          <w:szCs w:val="24"/>
        </w:rPr>
        <w:t xml:space="preserve"> </w:t>
      </w:r>
      <w:r w:rsidR="00A155C4" w:rsidRPr="004F3D57">
        <w:rPr>
          <w:rFonts w:ascii="Times New Roman" w:hAnsi="Times New Roman"/>
          <w:sz w:val="24"/>
          <w:szCs w:val="24"/>
        </w:rPr>
        <w:t>од</w:t>
      </w:r>
      <w:r w:rsidRPr="004F3D57">
        <w:rPr>
          <w:rFonts w:ascii="Times New Roman" w:hAnsi="Times New Roman"/>
          <w:sz w:val="24"/>
          <w:szCs w:val="24"/>
        </w:rPr>
        <w:t xml:space="preserve"> </w:t>
      </w:r>
      <w:r w:rsidR="00A155C4" w:rsidRPr="004F3D57">
        <w:rPr>
          <w:rFonts w:ascii="Times New Roman" w:hAnsi="Times New Roman"/>
          <w:sz w:val="24"/>
          <w:szCs w:val="24"/>
        </w:rPr>
        <w:t>шест</w:t>
      </w:r>
      <w:r w:rsidRPr="004F3D57">
        <w:rPr>
          <w:rFonts w:ascii="Times New Roman" w:hAnsi="Times New Roman"/>
          <w:sz w:val="24"/>
          <w:szCs w:val="24"/>
        </w:rPr>
        <w:t xml:space="preserve"> </w:t>
      </w:r>
      <w:r w:rsidR="00A155C4" w:rsidRPr="004F3D57">
        <w:rPr>
          <w:rFonts w:ascii="Times New Roman" w:hAnsi="Times New Roman"/>
          <w:sz w:val="24"/>
          <w:szCs w:val="24"/>
        </w:rPr>
        <w:t>месеци</w:t>
      </w:r>
      <w:r w:rsidRPr="004F3D57">
        <w:rPr>
          <w:rFonts w:ascii="Times New Roman" w:hAnsi="Times New Roman"/>
          <w:sz w:val="24"/>
          <w:szCs w:val="24"/>
        </w:rPr>
        <w:t xml:space="preserve"> </w:t>
      </w:r>
      <w:r w:rsidR="00A155C4" w:rsidRPr="004F3D57">
        <w:rPr>
          <w:rFonts w:ascii="Times New Roman" w:hAnsi="Times New Roman"/>
          <w:sz w:val="24"/>
          <w:szCs w:val="24"/>
        </w:rPr>
        <w:t>до</w:t>
      </w:r>
      <w:r w:rsidRPr="004F3D57">
        <w:rPr>
          <w:rFonts w:ascii="Times New Roman" w:hAnsi="Times New Roman"/>
          <w:sz w:val="24"/>
          <w:szCs w:val="24"/>
        </w:rPr>
        <w:t xml:space="preserve"> </w:t>
      </w:r>
      <w:r w:rsidR="00A155C4" w:rsidRPr="004F3D57">
        <w:rPr>
          <w:rFonts w:ascii="Times New Roman" w:hAnsi="Times New Roman"/>
          <w:sz w:val="24"/>
          <w:szCs w:val="24"/>
        </w:rPr>
        <w:t>пет</w:t>
      </w:r>
      <w:r w:rsidRPr="004F3D57">
        <w:rPr>
          <w:rFonts w:ascii="Times New Roman" w:hAnsi="Times New Roman"/>
          <w:sz w:val="24"/>
          <w:szCs w:val="24"/>
        </w:rPr>
        <w:t xml:space="preserve"> </w:t>
      </w:r>
      <w:r w:rsidR="00A155C4" w:rsidRPr="004F3D57">
        <w:rPr>
          <w:rFonts w:ascii="Times New Roman" w:hAnsi="Times New Roman"/>
          <w:sz w:val="24"/>
          <w:szCs w:val="24"/>
        </w:rPr>
        <w:t>година</w:t>
      </w:r>
      <w:r w:rsidRPr="004F3D57">
        <w:rPr>
          <w:rFonts w:ascii="Times New Roman" w:hAnsi="Times New Roman"/>
          <w:sz w:val="24"/>
          <w:szCs w:val="24"/>
        </w:rPr>
        <w:t xml:space="preserve"> </w:t>
      </w:r>
      <w:r w:rsidR="00A155C4" w:rsidRPr="004F3D57">
        <w:rPr>
          <w:rFonts w:ascii="Times New Roman" w:hAnsi="Times New Roman"/>
          <w:sz w:val="24"/>
          <w:szCs w:val="24"/>
        </w:rPr>
        <w:t>и</w:t>
      </w:r>
      <w:r w:rsidRPr="004F3D57">
        <w:rPr>
          <w:rFonts w:ascii="Times New Roman" w:hAnsi="Times New Roman"/>
          <w:sz w:val="24"/>
          <w:szCs w:val="24"/>
        </w:rPr>
        <w:t xml:space="preserve"> </w:t>
      </w:r>
      <w:r w:rsidR="00A155C4" w:rsidRPr="004F3D57">
        <w:rPr>
          <w:rFonts w:ascii="Times New Roman" w:hAnsi="Times New Roman"/>
          <w:sz w:val="24"/>
          <w:szCs w:val="24"/>
        </w:rPr>
        <w:t>новчаном</w:t>
      </w:r>
      <w:r w:rsidRPr="004F3D57">
        <w:rPr>
          <w:rFonts w:ascii="Times New Roman" w:hAnsi="Times New Roman"/>
          <w:sz w:val="24"/>
          <w:szCs w:val="24"/>
        </w:rPr>
        <w:t xml:space="preserve"> </w:t>
      </w:r>
      <w:r w:rsidR="00A155C4" w:rsidRPr="004F3D57">
        <w:rPr>
          <w:rFonts w:ascii="Times New Roman" w:hAnsi="Times New Roman"/>
          <w:sz w:val="24"/>
          <w:szCs w:val="24"/>
        </w:rPr>
        <w:t>казном</w:t>
      </w:r>
      <w:r w:rsidRPr="004F3D57">
        <w:rPr>
          <w:rFonts w:ascii="Times New Roman" w:hAnsi="Times New Roman"/>
          <w:sz w:val="24"/>
          <w:szCs w:val="24"/>
        </w:rPr>
        <w:t>.</w:t>
      </w:r>
      <w:r w:rsidRPr="004F3D57">
        <w:rPr>
          <w:rFonts w:ascii="Times New Roman" w:hAnsi="Times New Roman"/>
          <w:sz w:val="24"/>
          <w:szCs w:val="24"/>
          <w:lang w:val="sr-Cyrl-CS"/>
        </w:rPr>
        <w:t xml:space="preserve"> </w:t>
      </w:r>
    </w:p>
    <w:p w:rsidR="004A10AF" w:rsidRPr="004F3D57" w:rsidRDefault="004A10AF" w:rsidP="004F3D57">
      <w:pPr>
        <w:ind w:firstLine="708"/>
        <w:jc w:val="both"/>
        <w:rPr>
          <w:rFonts w:ascii="Times New Roman" w:hAnsi="Times New Roman"/>
          <w:sz w:val="24"/>
          <w:szCs w:val="24"/>
          <w:lang w:val="sr-Cyrl-CS"/>
        </w:rPr>
      </w:pPr>
      <w:r w:rsidRPr="004F3D57">
        <w:rPr>
          <w:rFonts w:ascii="Times New Roman" w:hAnsi="Times New Roman"/>
          <w:sz w:val="24"/>
          <w:szCs w:val="24"/>
          <w:lang w:val="sr-Cyrl-CS"/>
        </w:rPr>
        <w:t xml:space="preserve">За најтежи облик овог кривичнод дела (став 3) </w:t>
      </w:r>
      <w:r w:rsidRPr="004F3D57">
        <w:rPr>
          <w:rFonts w:ascii="Times New Roman" w:hAnsi="Times New Roman"/>
          <w:sz w:val="24"/>
          <w:szCs w:val="24"/>
        </w:rPr>
        <w:t xml:space="preserve"> </w:t>
      </w:r>
      <w:r w:rsidR="00A155C4" w:rsidRPr="004F3D57">
        <w:rPr>
          <w:rFonts w:ascii="Times New Roman" w:hAnsi="Times New Roman"/>
          <w:sz w:val="24"/>
          <w:szCs w:val="24"/>
        </w:rPr>
        <w:t>учинилац</w:t>
      </w:r>
      <w:r w:rsidRPr="004F3D57">
        <w:rPr>
          <w:rFonts w:ascii="Times New Roman" w:hAnsi="Times New Roman"/>
          <w:sz w:val="24"/>
          <w:szCs w:val="24"/>
        </w:rPr>
        <w:t xml:space="preserve"> </w:t>
      </w:r>
      <w:r w:rsidR="00A155C4" w:rsidRPr="004F3D57">
        <w:rPr>
          <w:rFonts w:ascii="Times New Roman" w:hAnsi="Times New Roman"/>
          <w:sz w:val="24"/>
          <w:szCs w:val="24"/>
        </w:rPr>
        <w:t>ће</w:t>
      </w:r>
      <w:r w:rsidRPr="004F3D57">
        <w:rPr>
          <w:rFonts w:ascii="Times New Roman" w:hAnsi="Times New Roman"/>
          <w:sz w:val="24"/>
          <w:szCs w:val="24"/>
        </w:rPr>
        <w:t xml:space="preserve"> </w:t>
      </w:r>
      <w:r w:rsidR="00A155C4" w:rsidRPr="004F3D57">
        <w:rPr>
          <w:rFonts w:ascii="Times New Roman" w:hAnsi="Times New Roman"/>
          <w:sz w:val="24"/>
          <w:szCs w:val="24"/>
        </w:rPr>
        <w:t>се</w:t>
      </w:r>
      <w:r w:rsidRPr="004F3D57">
        <w:rPr>
          <w:rFonts w:ascii="Times New Roman" w:hAnsi="Times New Roman"/>
          <w:sz w:val="24"/>
          <w:szCs w:val="24"/>
        </w:rPr>
        <w:t xml:space="preserve"> </w:t>
      </w:r>
      <w:r w:rsidR="00A155C4" w:rsidRPr="004F3D57">
        <w:rPr>
          <w:rFonts w:ascii="Times New Roman" w:hAnsi="Times New Roman"/>
          <w:sz w:val="24"/>
          <w:szCs w:val="24"/>
        </w:rPr>
        <w:t>казнити</w:t>
      </w:r>
      <w:r w:rsidRPr="004F3D57">
        <w:rPr>
          <w:rFonts w:ascii="Times New Roman" w:hAnsi="Times New Roman"/>
          <w:sz w:val="24"/>
          <w:szCs w:val="24"/>
        </w:rPr>
        <w:t xml:space="preserve"> </w:t>
      </w:r>
      <w:r w:rsidR="00A155C4" w:rsidRPr="004F3D57">
        <w:rPr>
          <w:rFonts w:ascii="Times New Roman" w:hAnsi="Times New Roman"/>
          <w:sz w:val="24"/>
          <w:szCs w:val="24"/>
        </w:rPr>
        <w:t>затвором</w:t>
      </w:r>
      <w:r w:rsidRPr="004F3D57">
        <w:rPr>
          <w:rFonts w:ascii="Times New Roman" w:hAnsi="Times New Roman"/>
          <w:sz w:val="24"/>
          <w:szCs w:val="24"/>
        </w:rPr>
        <w:t xml:space="preserve"> </w:t>
      </w:r>
      <w:r w:rsidR="00A155C4" w:rsidRPr="004F3D57">
        <w:rPr>
          <w:rFonts w:ascii="Times New Roman" w:hAnsi="Times New Roman"/>
          <w:sz w:val="24"/>
          <w:szCs w:val="24"/>
        </w:rPr>
        <w:t>од</w:t>
      </w:r>
      <w:r w:rsidRPr="004F3D57">
        <w:rPr>
          <w:rFonts w:ascii="Times New Roman" w:hAnsi="Times New Roman"/>
          <w:sz w:val="24"/>
          <w:szCs w:val="24"/>
        </w:rPr>
        <w:t xml:space="preserve"> </w:t>
      </w:r>
      <w:r w:rsidR="00A155C4" w:rsidRPr="004F3D57">
        <w:rPr>
          <w:rFonts w:ascii="Times New Roman" w:hAnsi="Times New Roman"/>
          <w:sz w:val="24"/>
          <w:szCs w:val="24"/>
        </w:rPr>
        <w:t>једне</w:t>
      </w:r>
      <w:r w:rsidRPr="004F3D57">
        <w:rPr>
          <w:rFonts w:ascii="Times New Roman" w:hAnsi="Times New Roman"/>
          <w:sz w:val="24"/>
          <w:szCs w:val="24"/>
        </w:rPr>
        <w:t xml:space="preserve"> </w:t>
      </w:r>
      <w:r w:rsidR="00A155C4" w:rsidRPr="004F3D57">
        <w:rPr>
          <w:rFonts w:ascii="Times New Roman" w:hAnsi="Times New Roman"/>
          <w:sz w:val="24"/>
          <w:szCs w:val="24"/>
        </w:rPr>
        <w:t>до</w:t>
      </w:r>
      <w:r w:rsidRPr="004F3D57">
        <w:rPr>
          <w:rFonts w:ascii="Times New Roman" w:hAnsi="Times New Roman"/>
          <w:sz w:val="24"/>
          <w:szCs w:val="24"/>
        </w:rPr>
        <w:t xml:space="preserve"> </w:t>
      </w:r>
      <w:r w:rsidR="00A155C4" w:rsidRPr="004F3D57">
        <w:rPr>
          <w:rFonts w:ascii="Times New Roman" w:hAnsi="Times New Roman"/>
          <w:sz w:val="24"/>
          <w:szCs w:val="24"/>
        </w:rPr>
        <w:t>десет</w:t>
      </w:r>
      <w:r w:rsidRPr="004F3D57">
        <w:rPr>
          <w:rFonts w:ascii="Times New Roman" w:hAnsi="Times New Roman"/>
          <w:sz w:val="24"/>
          <w:szCs w:val="24"/>
        </w:rPr>
        <w:t xml:space="preserve"> </w:t>
      </w:r>
      <w:r w:rsidR="00A155C4" w:rsidRPr="004F3D57">
        <w:rPr>
          <w:rFonts w:ascii="Times New Roman" w:hAnsi="Times New Roman"/>
          <w:sz w:val="24"/>
          <w:szCs w:val="24"/>
        </w:rPr>
        <w:t>година</w:t>
      </w:r>
      <w:r w:rsidRPr="004F3D57">
        <w:rPr>
          <w:rFonts w:ascii="Times New Roman" w:hAnsi="Times New Roman"/>
          <w:sz w:val="24"/>
          <w:szCs w:val="24"/>
        </w:rPr>
        <w:t xml:space="preserve"> </w:t>
      </w:r>
      <w:r w:rsidR="00A155C4" w:rsidRPr="004F3D57">
        <w:rPr>
          <w:rFonts w:ascii="Times New Roman" w:hAnsi="Times New Roman"/>
          <w:sz w:val="24"/>
          <w:szCs w:val="24"/>
        </w:rPr>
        <w:t>и</w:t>
      </w:r>
      <w:r w:rsidRPr="004F3D57">
        <w:rPr>
          <w:rFonts w:ascii="Times New Roman" w:hAnsi="Times New Roman"/>
          <w:sz w:val="24"/>
          <w:szCs w:val="24"/>
        </w:rPr>
        <w:t xml:space="preserve"> </w:t>
      </w:r>
      <w:r w:rsidR="00A155C4" w:rsidRPr="004F3D57">
        <w:rPr>
          <w:rFonts w:ascii="Times New Roman" w:hAnsi="Times New Roman"/>
          <w:sz w:val="24"/>
          <w:szCs w:val="24"/>
        </w:rPr>
        <w:t>новчаном</w:t>
      </w:r>
      <w:r w:rsidRPr="004F3D57">
        <w:rPr>
          <w:rFonts w:ascii="Times New Roman" w:hAnsi="Times New Roman"/>
          <w:sz w:val="24"/>
          <w:szCs w:val="24"/>
        </w:rPr>
        <w:t xml:space="preserve"> </w:t>
      </w:r>
      <w:r w:rsidR="00A155C4" w:rsidRPr="004F3D57">
        <w:rPr>
          <w:rFonts w:ascii="Times New Roman" w:hAnsi="Times New Roman"/>
          <w:sz w:val="24"/>
          <w:szCs w:val="24"/>
        </w:rPr>
        <w:t>казном</w:t>
      </w:r>
      <w:r w:rsidRPr="004F3D57">
        <w:rPr>
          <w:rFonts w:ascii="Times New Roman" w:hAnsi="Times New Roman"/>
          <w:sz w:val="24"/>
          <w:szCs w:val="24"/>
        </w:rPr>
        <w:t>.</w:t>
      </w:r>
    </w:p>
    <w:p w:rsidR="004A10AF" w:rsidRPr="004F3D57" w:rsidRDefault="004A10AF" w:rsidP="004F3D57">
      <w:pPr>
        <w:jc w:val="both"/>
        <w:rPr>
          <w:rFonts w:ascii="Times New Roman" w:hAnsi="Times New Roman"/>
          <w:sz w:val="24"/>
          <w:szCs w:val="24"/>
          <w:lang w:val="sr-Cyrl-CS"/>
        </w:rPr>
      </w:pPr>
    </w:p>
    <w:p w:rsidR="000525F1" w:rsidRPr="004F3D57" w:rsidRDefault="00A155C4" w:rsidP="004F3D57">
      <w:pPr>
        <w:ind w:firstLine="708"/>
        <w:jc w:val="both"/>
        <w:rPr>
          <w:rFonts w:ascii="Times New Roman" w:hAnsi="Times New Roman"/>
          <w:sz w:val="24"/>
          <w:szCs w:val="24"/>
          <w:lang w:val="sr-Cyrl-CS"/>
        </w:rPr>
      </w:pPr>
      <w:r w:rsidRPr="004F3D57">
        <w:rPr>
          <w:rFonts w:ascii="Times New Roman" w:hAnsi="Times New Roman"/>
          <w:sz w:val="24"/>
          <w:szCs w:val="24"/>
        </w:rPr>
        <w:lastRenderedPageBreak/>
        <w:t>Физичком</w:t>
      </w:r>
      <w:r w:rsidR="004A10AF" w:rsidRPr="004F3D57">
        <w:rPr>
          <w:rFonts w:ascii="Times New Roman" w:hAnsi="Times New Roman"/>
          <w:sz w:val="24"/>
          <w:szCs w:val="24"/>
        </w:rPr>
        <w:t xml:space="preserve"> </w:t>
      </w:r>
      <w:r w:rsidRPr="004F3D57">
        <w:rPr>
          <w:rFonts w:ascii="Times New Roman" w:hAnsi="Times New Roman"/>
          <w:sz w:val="24"/>
          <w:szCs w:val="24"/>
        </w:rPr>
        <w:t>лицу</w:t>
      </w:r>
      <w:r w:rsidR="004A10AF" w:rsidRPr="004F3D57">
        <w:rPr>
          <w:rFonts w:ascii="Times New Roman" w:hAnsi="Times New Roman"/>
          <w:sz w:val="24"/>
          <w:szCs w:val="24"/>
        </w:rPr>
        <w:t xml:space="preserve">, </w:t>
      </w:r>
      <w:r w:rsidRPr="004F3D57">
        <w:rPr>
          <w:rFonts w:ascii="Times New Roman" w:hAnsi="Times New Roman"/>
          <w:sz w:val="24"/>
          <w:szCs w:val="24"/>
        </w:rPr>
        <w:t>предузетнику</w:t>
      </w:r>
      <w:r w:rsidR="004A10AF" w:rsidRPr="004F3D57">
        <w:rPr>
          <w:rFonts w:ascii="Times New Roman" w:hAnsi="Times New Roman"/>
          <w:sz w:val="24"/>
          <w:szCs w:val="24"/>
        </w:rPr>
        <w:t xml:space="preserve"> </w:t>
      </w:r>
      <w:r w:rsidRPr="004F3D57">
        <w:rPr>
          <w:rFonts w:ascii="Times New Roman" w:hAnsi="Times New Roman"/>
          <w:sz w:val="24"/>
          <w:szCs w:val="24"/>
        </w:rPr>
        <w:t>и</w:t>
      </w:r>
      <w:r w:rsidR="004A10AF" w:rsidRPr="004F3D57">
        <w:rPr>
          <w:rFonts w:ascii="Times New Roman" w:hAnsi="Times New Roman"/>
          <w:sz w:val="24"/>
          <w:szCs w:val="24"/>
        </w:rPr>
        <w:t xml:space="preserve"> </w:t>
      </w:r>
      <w:r w:rsidRPr="004F3D57">
        <w:rPr>
          <w:rFonts w:ascii="Times New Roman" w:hAnsi="Times New Roman"/>
          <w:sz w:val="24"/>
          <w:szCs w:val="24"/>
        </w:rPr>
        <w:t>одговорном</w:t>
      </w:r>
      <w:r w:rsidR="004A10AF" w:rsidRPr="004F3D57">
        <w:rPr>
          <w:rFonts w:ascii="Times New Roman" w:hAnsi="Times New Roman"/>
          <w:sz w:val="24"/>
          <w:szCs w:val="24"/>
        </w:rPr>
        <w:t xml:space="preserve"> </w:t>
      </w:r>
      <w:r w:rsidRPr="004F3D57">
        <w:rPr>
          <w:rFonts w:ascii="Times New Roman" w:hAnsi="Times New Roman"/>
          <w:sz w:val="24"/>
          <w:szCs w:val="24"/>
        </w:rPr>
        <w:t>лицу</w:t>
      </w:r>
      <w:r w:rsidR="004A10AF" w:rsidRPr="004F3D57">
        <w:rPr>
          <w:rFonts w:ascii="Times New Roman" w:hAnsi="Times New Roman"/>
          <w:sz w:val="24"/>
          <w:szCs w:val="24"/>
        </w:rPr>
        <w:t xml:space="preserve"> </w:t>
      </w:r>
      <w:r w:rsidRPr="004F3D57">
        <w:rPr>
          <w:rFonts w:ascii="Times New Roman" w:hAnsi="Times New Roman"/>
          <w:sz w:val="24"/>
          <w:szCs w:val="24"/>
        </w:rPr>
        <w:t>у</w:t>
      </w:r>
      <w:r w:rsidR="004A10AF" w:rsidRPr="004F3D57">
        <w:rPr>
          <w:rFonts w:ascii="Times New Roman" w:hAnsi="Times New Roman"/>
          <w:sz w:val="24"/>
          <w:szCs w:val="24"/>
        </w:rPr>
        <w:t xml:space="preserve"> </w:t>
      </w:r>
      <w:r w:rsidRPr="004F3D57">
        <w:rPr>
          <w:rFonts w:ascii="Times New Roman" w:hAnsi="Times New Roman"/>
          <w:sz w:val="24"/>
          <w:szCs w:val="24"/>
        </w:rPr>
        <w:t>правном</w:t>
      </w:r>
      <w:r w:rsidR="004A10AF" w:rsidRPr="004F3D57">
        <w:rPr>
          <w:rFonts w:ascii="Times New Roman" w:hAnsi="Times New Roman"/>
          <w:sz w:val="24"/>
          <w:szCs w:val="24"/>
        </w:rPr>
        <w:t xml:space="preserve"> </w:t>
      </w:r>
      <w:r w:rsidRPr="004F3D57">
        <w:rPr>
          <w:rFonts w:ascii="Times New Roman" w:hAnsi="Times New Roman"/>
          <w:sz w:val="24"/>
          <w:szCs w:val="24"/>
        </w:rPr>
        <w:t>лицу</w:t>
      </w:r>
      <w:r w:rsidR="004A10AF" w:rsidRPr="004F3D57">
        <w:rPr>
          <w:rFonts w:ascii="Times New Roman" w:hAnsi="Times New Roman"/>
          <w:sz w:val="24"/>
          <w:szCs w:val="24"/>
        </w:rPr>
        <w:t xml:space="preserve"> - </w:t>
      </w:r>
      <w:r w:rsidRPr="004F3D57">
        <w:rPr>
          <w:rFonts w:ascii="Times New Roman" w:hAnsi="Times New Roman"/>
          <w:sz w:val="24"/>
          <w:szCs w:val="24"/>
        </w:rPr>
        <w:t>пореском</w:t>
      </w:r>
      <w:r w:rsidR="004A10AF" w:rsidRPr="004F3D57">
        <w:rPr>
          <w:rFonts w:ascii="Times New Roman" w:hAnsi="Times New Roman"/>
          <w:sz w:val="24"/>
          <w:szCs w:val="24"/>
        </w:rPr>
        <w:t xml:space="preserve"> </w:t>
      </w:r>
      <w:r w:rsidRPr="004F3D57">
        <w:rPr>
          <w:rFonts w:ascii="Times New Roman" w:hAnsi="Times New Roman"/>
          <w:sz w:val="24"/>
          <w:szCs w:val="24"/>
        </w:rPr>
        <w:t>обвезнику</w:t>
      </w:r>
      <w:r w:rsidR="004A10AF" w:rsidRPr="004F3D57">
        <w:rPr>
          <w:rFonts w:ascii="Times New Roman" w:hAnsi="Times New Roman"/>
          <w:sz w:val="24"/>
          <w:szCs w:val="24"/>
        </w:rPr>
        <w:t xml:space="preserve"> </w:t>
      </w:r>
      <w:r w:rsidRPr="004F3D57">
        <w:rPr>
          <w:rFonts w:ascii="Times New Roman" w:hAnsi="Times New Roman"/>
          <w:sz w:val="24"/>
          <w:szCs w:val="24"/>
        </w:rPr>
        <w:t>за</w:t>
      </w:r>
      <w:r w:rsidR="004A10AF" w:rsidRPr="004F3D57">
        <w:rPr>
          <w:rFonts w:ascii="Times New Roman" w:hAnsi="Times New Roman"/>
          <w:sz w:val="24"/>
          <w:szCs w:val="24"/>
        </w:rPr>
        <w:t xml:space="preserve"> </w:t>
      </w:r>
      <w:r w:rsidR="004A10AF" w:rsidRPr="004F3D57">
        <w:rPr>
          <w:rFonts w:ascii="Times New Roman" w:hAnsi="Times New Roman"/>
          <w:sz w:val="24"/>
          <w:szCs w:val="24"/>
          <w:lang w:val="sr-Cyrl-CS"/>
        </w:rPr>
        <w:t xml:space="preserve">ово кривично дело </w:t>
      </w:r>
      <w:r w:rsidRPr="004F3D57">
        <w:rPr>
          <w:rFonts w:ascii="Times New Roman" w:hAnsi="Times New Roman"/>
          <w:sz w:val="24"/>
          <w:szCs w:val="24"/>
        </w:rPr>
        <w:t>изриче</w:t>
      </w:r>
      <w:r w:rsidR="004A10AF" w:rsidRPr="004F3D57">
        <w:rPr>
          <w:rFonts w:ascii="Times New Roman" w:hAnsi="Times New Roman"/>
          <w:sz w:val="24"/>
          <w:szCs w:val="24"/>
        </w:rPr>
        <w:t xml:space="preserve"> </w:t>
      </w:r>
      <w:r w:rsidRPr="004F3D57">
        <w:rPr>
          <w:rFonts w:ascii="Times New Roman" w:hAnsi="Times New Roman"/>
          <w:sz w:val="24"/>
          <w:szCs w:val="24"/>
        </w:rPr>
        <w:t>се</w:t>
      </w:r>
      <w:r w:rsidR="004A10AF" w:rsidRPr="004F3D57">
        <w:rPr>
          <w:rFonts w:ascii="Times New Roman" w:hAnsi="Times New Roman"/>
          <w:sz w:val="24"/>
          <w:szCs w:val="24"/>
        </w:rPr>
        <w:t xml:space="preserve"> </w:t>
      </w:r>
      <w:r w:rsidRPr="004F3D57">
        <w:rPr>
          <w:rFonts w:ascii="Times New Roman" w:hAnsi="Times New Roman"/>
          <w:sz w:val="24"/>
          <w:szCs w:val="24"/>
        </w:rPr>
        <w:t>и</w:t>
      </w:r>
      <w:r w:rsidR="004A10AF" w:rsidRPr="004F3D57">
        <w:rPr>
          <w:rFonts w:ascii="Times New Roman" w:hAnsi="Times New Roman"/>
          <w:sz w:val="24"/>
          <w:szCs w:val="24"/>
        </w:rPr>
        <w:t xml:space="preserve"> </w:t>
      </w:r>
      <w:r w:rsidRPr="004F3D57">
        <w:rPr>
          <w:rFonts w:ascii="Times New Roman" w:hAnsi="Times New Roman"/>
          <w:sz w:val="24"/>
          <w:szCs w:val="24"/>
        </w:rPr>
        <w:t>мера</w:t>
      </w:r>
      <w:r w:rsidR="004A10AF" w:rsidRPr="004F3D57">
        <w:rPr>
          <w:rFonts w:ascii="Times New Roman" w:hAnsi="Times New Roman"/>
          <w:sz w:val="24"/>
          <w:szCs w:val="24"/>
        </w:rPr>
        <w:t xml:space="preserve"> </w:t>
      </w:r>
      <w:r w:rsidRPr="004F3D57">
        <w:rPr>
          <w:rFonts w:ascii="Times New Roman" w:hAnsi="Times New Roman"/>
          <w:sz w:val="24"/>
          <w:szCs w:val="24"/>
        </w:rPr>
        <w:t>безбедности</w:t>
      </w:r>
      <w:r w:rsidR="004A10AF" w:rsidRPr="004F3D57">
        <w:rPr>
          <w:rFonts w:ascii="Times New Roman" w:hAnsi="Times New Roman"/>
          <w:sz w:val="24"/>
          <w:szCs w:val="24"/>
        </w:rPr>
        <w:t xml:space="preserve"> </w:t>
      </w:r>
      <w:r w:rsidRPr="004F3D57">
        <w:rPr>
          <w:rFonts w:ascii="Times New Roman" w:hAnsi="Times New Roman"/>
          <w:sz w:val="24"/>
          <w:szCs w:val="24"/>
        </w:rPr>
        <w:t>забране</w:t>
      </w:r>
      <w:r w:rsidR="004A10AF" w:rsidRPr="004F3D57">
        <w:rPr>
          <w:rFonts w:ascii="Times New Roman" w:hAnsi="Times New Roman"/>
          <w:sz w:val="24"/>
          <w:szCs w:val="24"/>
        </w:rPr>
        <w:t xml:space="preserve"> </w:t>
      </w:r>
      <w:r w:rsidRPr="004F3D57">
        <w:rPr>
          <w:rFonts w:ascii="Times New Roman" w:hAnsi="Times New Roman"/>
          <w:sz w:val="24"/>
          <w:szCs w:val="24"/>
        </w:rPr>
        <w:t>вршења</w:t>
      </w:r>
      <w:r w:rsidR="004A10AF" w:rsidRPr="004F3D57">
        <w:rPr>
          <w:rFonts w:ascii="Times New Roman" w:hAnsi="Times New Roman"/>
          <w:sz w:val="24"/>
          <w:szCs w:val="24"/>
        </w:rPr>
        <w:t xml:space="preserve"> </w:t>
      </w:r>
      <w:r w:rsidRPr="004F3D57">
        <w:rPr>
          <w:rFonts w:ascii="Times New Roman" w:hAnsi="Times New Roman"/>
          <w:sz w:val="24"/>
          <w:szCs w:val="24"/>
        </w:rPr>
        <w:t>позива</w:t>
      </w:r>
      <w:r w:rsidR="004A10AF" w:rsidRPr="004F3D57">
        <w:rPr>
          <w:rFonts w:ascii="Times New Roman" w:hAnsi="Times New Roman"/>
          <w:sz w:val="24"/>
          <w:szCs w:val="24"/>
        </w:rPr>
        <w:t xml:space="preserve">, </w:t>
      </w:r>
      <w:r w:rsidRPr="004F3D57">
        <w:rPr>
          <w:rFonts w:ascii="Times New Roman" w:hAnsi="Times New Roman"/>
          <w:sz w:val="24"/>
          <w:szCs w:val="24"/>
        </w:rPr>
        <w:t>делатности</w:t>
      </w:r>
      <w:r w:rsidR="004A10AF" w:rsidRPr="004F3D57">
        <w:rPr>
          <w:rFonts w:ascii="Times New Roman" w:hAnsi="Times New Roman"/>
          <w:sz w:val="24"/>
          <w:szCs w:val="24"/>
        </w:rPr>
        <w:t xml:space="preserve"> </w:t>
      </w:r>
      <w:r w:rsidRPr="004F3D57">
        <w:rPr>
          <w:rFonts w:ascii="Times New Roman" w:hAnsi="Times New Roman"/>
          <w:sz w:val="24"/>
          <w:szCs w:val="24"/>
        </w:rPr>
        <w:t>и</w:t>
      </w:r>
      <w:r w:rsidR="004A10AF" w:rsidRPr="004F3D57">
        <w:rPr>
          <w:rFonts w:ascii="Times New Roman" w:hAnsi="Times New Roman"/>
          <w:sz w:val="24"/>
          <w:szCs w:val="24"/>
        </w:rPr>
        <w:t xml:space="preserve"> </w:t>
      </w:r>
      <w:r w:rsidRPr="004F3D57">
        <w:rPr>
          <w:rFonts w:ascii="Times New Roman" w:hAnsi="Times New Roman"/>
          <w:sz w:val="24"/>
          <w:szCs w:val="24"/>
        </w:rPr>
        <w:t>дужности</w:t>
      </w:r>
      <w:r w:rsidR="004A10AF" w:rsidRPr="004F3D57">
        <w:rPr>
          <w:rFonts w:ascii="Times New Roman" w:hAnsi="Times New Roman"/>
          <w:sz w:val="24"/>
          <w:szCs w:val="24"/>
        </w:rPr>
        <w:t xml:space="preserve"> </w:t>
      </w:r>
      <w:r w:rsidRPr="004F3D57">
        <w:rPr>
          <w:rFonts w:ascii="Times New Roman" w:hAnsi="Times New Roman"/>
          <w:sz w:val="24"/>
          <w:szCs w:val="24"/>
        </w:rPr>
        <w:t>од</w:t>
      </w:r>
      <w:r w:rsidR="004A10AF" w:rsidRPr="004F3D57">
        <w:rPr>
          <w:rFonts w:ascii="Times New Roman" w:hAnsi="Times New Roman"/>
          <w:sz w:val="24"/>
          <w:szCs w:val="24"/>
        </w:rPr>
        <w:t xml:space="preserve"> </w:t>
      </w:r>
      <w:r w:rsidRPr="004F3D57">
        <w:rPr>
          <w:rFonts w:ascii="Times New Roman" w:hAnsi="Times New Roman"/>
          <w:sz w:val="24"/>
          <w:szCs w:val="24"/>
        </w:rPr>
        <w:t>једне</w:t>
      </w:r>
      <w:r w:rsidR="004A10AF" w:rsidRPr="004F3D57">
        <w:rPr>
          <w:rFonts w:ascii="Times New Roman" w:hAnsi="Times New Roman"/>
          <w:sz w:val="24"/>
          <w:szCs w:val="24"/>
        </w:rPr>
        <w:t xml:space="preserve"> </w:t>
      </w:r>
      <w:r w:rsidRPr="004F3D57">
        <w:rPr>
          <w:rFonts w:ascii="Times New Roman" w:hAnsi="Times New Roman"/>
          <w:sz w:val="24"/>
          <w:szCs w:val="24"/>
        </w:rPr>
        <w:t>до</w:t>
      </w:r>
      <w:r w:rsidR="004A10AF" w:rsidRPr="004F3D57">
        <w:rPr>
          <w:rFonts w:ascii="Times New Roman" w:hAnsi="Times New Roman"/>
          <w:sz w:val="24"/>
          <w:szCs w:val="24"/>
        </w:rPr>
        <w:t xml:space="preserve"> </w:t>
      </w:r>
      <w:r w:rsidRPr="004F3D57">
        <w:rPr>
          <w:rFonts w:ascii="Times New Roman" w:hAnsi="Times New Roman"/>
          <w:sz w:val="24"/>
          <w:szCs w:val="24"/>
        </w:rPr>
        <w:t>пет</w:t>
      </w:r>
      <w:r w:rsidR="004A10AF" w:rsidRPr="004F3D57">
        <w:rPr>
          <w:rFonts w:ascii="Times New Roman" w:hAnsi="Times New Roman"/>
          <w:sz w:val="24"/>
          <w:szCs w:val="24"/>
        </w:rPr>
        <w:t xml:space="preserve"> </w:t>
      </w:r>
      <w:r w:rsidRPr="004F3D57">
        <w:rPr>
          <w:rFonts w:ascii="Times New Roman" w:hAnsi="Times New Roman"/>
          <w:sz w:val="24"/>
          <w:szCs w:val="24"/>
        </w:rPr>
        <w:t>година</w:t>
      </w:r>
      <w:r w:rsidR="004A10AF" w:rsidRPr="004F3D57">
        <w:rPr>
          <w:rFonts w:ascii="Times New Roman" w:hAnsi="Times New Roman"/>
          <w:sz w:val="24"/>
          <w:szCs w:val="24"/>
        </w:rPr>
        <w:t>.</w:t>
      </w:r>
      <w:r w:rsidR="004A10AF" w:rsidRPr="004F3D57">
        <w:rPr>
          <w:rFonts w:ascii="Times New Roman" w:hAnsi="Times New Roman"/>
          <w:sz w:val="24"/>
          <w:szCs w:val="24"/>
          <w:lang w:val="sr-Cyrl-CS"/>
        </w:rPr>
        <w:t xml:space="preserve">  </w:t>
      </w:r>
    </w:p>
    <w:p w:rsidR="009663CB" w:rsidRPr="00F05F68" w:rsidRDefault="009663CB" w:rsidP="005235F9">
      <w:pPr>
        <w:jc w:val="both"/>
        <w:rPr>
          <w:rFonts w:ascii="Arial" w:hAnsi="Arial" w:cs="Arial"/>
          <w:color w:val="000000"/>
          <w:sz w:val="18"/>
          <w:szCs w:val="18"/>
          <w:shd w:val="clear" w:color="auto" w:fill="FFFFFF"/>
          <w:lang w:val="sr-Cyrl-CS"/>
        </w:rPr>
      </w:pPr>
    </w:p>
    <w:p w:rsidR="00351871" w:rsidRDefault="00255CEF" w:rsidP="00351871">
      <w:pPr>
        <w:ind w:firstLine="708"/>
        <w:jc w:val="center"/>
        <w:rPr>
          <w:rFonts w:ascii="Times New Roman" w:hAnsi="Times New Roman"/>
          <w:b/>
          <w:sz w:val="24"/>
          <w:szCs w:val="24"/>
          <w:lang w:val="sr-Cyrl-CS"/>
        </w:rPr>
      </w:pPr>
      <w:r>
        <w:rPr>
          <w:rFonts w:ascii="Times New Roman" w:hAnsi="Times New Roman"/>
          <w:b/>
          <w:sz w:val="24"/>
          <w:szCs w:val="24"/>
          <w:lang w:val="sr-Cyrl-CS"/>
        </w:rPr>
        <w:t>2.1.4</w:t>
      </w:r>
      <w:r w:rsidR="00351871" w:rsidRPr="00351871">
        <w:rPr>
          <w:rFonts w:ascii="Times New Roman" w:hAnsi="Times New Roman"/>
          <w:b/>
          <w:sz w:val="24"/>
          <w:szCs w:val="24"/>
          <w:lang w:val="sr-Cyrl-CS"/>
        </w:rPr>
        <w:t>.Порески прекршаји прописани у Закону о пореском поступку и пореској администрацији</w:t>
      </w:r>
    </w:p>
    <w:p w:rsidR="00351871" w:rsidRPr="00351871" w:rsidRDefault="00351871" w:rsidP="00351871">
      <w:pPr>
        <w:ind w:firstLine="708"/>
        <w:jc w:val="center"/>
        <w:rPr>
          <w:rFonts w:ascii="Times New Roman" w:hAnsi="Times New Roman"/>
          <w:b/>
          <w:sz w:val="24"/>
          <w:szCs w:val="24"/>
          <w:lang w:val="sr-Cyrl-CS"/>
        </w:rPr>
      </w:pPr>
    </w:p>
    <w:p w:rsidR="003B127F" w:rsidRPr="004F3D57" w:rsidRDefault="00CF5CF7" w:rsidP="004F3D57">
      <w:pPr>
        <w:ind w:firstLine="708"/>
        <w:jc w:val="both"/>
        <w:rPr>
          <w:rFonts w:ascii="Times New Roman" w:hAnsi="Times New Roman"/>
          <w:sz w:val="24"/>
          <w:szCs w:val="24"/>
          <w:lang w:val="sr-Cyrl-CS"/>
        </w:rPr>
      </w:pPr>
      <w:r w:rsidRPr="004F3D57">
        <w:rPr>
          <w:rFonts w:ascii="Times New Roman" w:hAnsi="Times New Roman"/>
          <w:sz w:val="24"/>
          <w:szCs w:val="24"/>
          <w:shd w:val="clear" w:color="auto" w:fill="FFFFFF"/>
          <w:lang w:val="sr-Cyrl-CS"/>
        </w:rPr>
        <w:t>Порески прекршаји су наведени приликом излагања везано за поједине пореске облике.  Међутим, треба поменути да су и Законом о пореском поступку и пореској администрацији</w:t>
      </w:r>
      <w:r w:rsidRPr="004F3D57">
        <w:rPr>
          <w:rStyle w:val="FootnoteReference"/>
          <w:rFonts w:ascii="Times New Roman" w:hAnsi="Times New Roman"/>
          <w:sz w:val="24"/>
          <w:szCs w:val="24"/>
          <w:shd w:val="clear" w:color="auto" w:fill="FFFFFF"/>
          <w:lang w:val="sr-Cyrl-CS"/>
        </w:rPr>
        <w:footnoteReference w:id="838"/>
      </w:r>
      <w:r w:rsidRPr="004F3D57">
        <w:rPr>
          <w:rFonts w:ascii="Times New Roman" w:hAnsi="Times New Roman"/>
          <w:sz w:val="24"/>
          <w:szCs w:val="24"/>
          <w:shd w:val="clear" w:color="auto" w:fill="FFFFFF"/>
          <w:lang w:val="sr-Cyrl-CS"/>
        </w:rPr>
        <w:t xml:space="preserve"> прописани бројни прекршаји под које се могу подвести појавни облици незаконите евазије пореза о којима смо говорили у претходном излагању. </w:t>
      </w:r>
      <w:r w:rsidRPr="004F3D57">
        <w:rPr>
          <w:rFonts w:ascii="Times New Roman" w:hAnsi="Times New Roman"/>
          <w:sz w:val="24"/>
          <w:szCs w:val="24"/>
          <w:lang w:val="sr-Cyrl-CS"/>
        </w:rPr>
        <w:t>П</w:t>
      </w:r>
      <w:r w:rsidR="003B127F" w:rsidRPr="004F3D57">
        <w:rPr>
          <w:rFonts w:ascii="Times New Roman" w:hAnsi="Times New Roman"/>
          <w:sz w:val="24"/>
          <w:szCs w:val="24"/>
          <w:lang w:val="sr-Cyrl-CS"/>
        </w:rPr>
        <w:t>ре свега</w:t>
      </w:r>
      <w:r w:rsidR="003E460E" w:rsidRPr="004F3D57">
        <w:rPr>
          <w:rFonts w:ascii="Times New Roman" w:hAnsi="Times New Roman"/>
          <w:sz w:val="24"/>
          <w:szCs w:val="24"/>
          <w:lang w:val="sr-Cyrl-CS"/>
        </w:rPr>
        <w:t>,</w:t>
      </w:r>
      <w:r w:rsidR="003B127F" w:rsidRPr="004F3D57">
        <w:rPr>
          <w:rFonts w:ascii="Times New Roman" w:hAnsi="Times New Roman"/>
          <w:sz w:val="24"/>
          <w:szCs w:val="24"/>
          <w:lang w:val="sr-Cyrl-CS"/>
        </w:rPr>
        <w:t xml:space="preserve"> ради се о прекршајима неподношење пореске пријаве, необрачунавање и неплаћање пореза (чл. 177) и пријављивање мањих износа пореза (чл. 178).</w:t>
      </w:r>
      <w:r w:rsidR="00A10F0D" w:rsidRPr="004F3D57">
        <w:rPr>
          <w:rFonts w:ascii="Times New Roman" w:hAnsi="Times New Roman"/>
          <w:sz w:val="24"/>
          <w:szCs w:val="24"/>
          <w:lang w:val="sr-Cyrl-CS"/>
        </w:rPr>
        <w:t xml:space="preserve"> </w:t>
      </w:r>
    </w:p>
    <w:p w:rsidR="003B127F" w:rsidRPr="004F3D57" w:rsidRDefault="003B127F" w:rsidP="004F3D57">
      <w:pPr>
        <w:jc w:val="both"/>
        <w:rPr>
          <w:rFonts w:ascii="Times New Roman" w:hAnsi="Times New Roman"/>
          <w:sz w:val="24"/>
          <w:szCs w:val="24"/>
          <w:lang w:val="sr-Cyrl-CS"/>
        </w:rPr>
      </w:pPr>
    </w:p>
    <w:p w:rsidR="00A10F0D" w:rsidRPr="004F3D57" w:rsidRDefault="00255CEF" w:rsidP="004F3D57">
      <w:pPr>
        <w:jc w:val="both"/>
        <w:rPr>
          <w:rFonts w:ascii="Times New Roman" w:hAnsi="Times New Roman"/>
          <w:b/>
          <w:bCs/>
          <w:color w:val="000000"/>
          <w:sz w:val="24"/>
          <w:szCs w:val="24"/>
          <w:shd w:val="clear" w:color="auto" w:fill="FFFFFF"/>
          <w:lang w:val="sr-Cyrl-CS"/>
        </w:rPr>
      </w:pPr>
      <w:r w:rsidRPr="004F3D57">
        <w:rPr>
          <w:rFonts w:ascii="Times New Roman" w:hAnsi="Times New Roman"/>
          <w:b/>
          <w:bCs/>
          <w:color w:val="000000"/>
          <w:sz w:val="24"/>
          <w:szCs w:val="24"/>
          <w:shd w:val="clear" w:color="auto" w:fill="FFFFFF"/>
          <w:lang w:val="sr-Cyrl-CS"/>
        </w:rPr>
        <w:t>2.1.4</w:t>
      </w:r>
      <w:r w:rsidR="003B127F" w:rsidRPr="004F3D57">
        <w:rPr>
          <w:rFonts w:ascii="Times New Roman" w:hAnsi="Times New Roman"/>
          <w:b/>
          <w:bCs/>
          <w:color w:val="000000"/>
          <w:sz w:val="24"/>
          <w:szCs w:val="24"/>
          <w:shd w:val="clear" w:color="auto" w:fill="FFFFFF"/>
          <w:lang w:val="sr-Cyrl-CS"/>
        </w:rPr>
        <w:t>.1.Неподношење пореске пријаве, необрачунавање и неплаћање пореза</w:t>
      </w:r>
    </w:p>
    <w:p w:rsidR="00A10F0D" w:rsidRPr="004F3D57" w:rsidRDefault="00A10F0D" w:rsidP="004F3D57">
      <w:pPr>
        <w:jc w:val="both"/>
        <w:rPr>
          <w:rFonts w:ascii="Times New Roman" w:hAnsi="Times New Roman"/>
          <w:color w:val="000000"/>
          <w:sz w:val="24"/>
          <w:szCs w:val="24"/>
          <w:lang w:val="sr-Cyrl-CS"/>
        </w:rPr>
      </w:pPr>
    </w:p>
    <w:p w:rsidR="003C0179" w:rsidRPr="004F3D57" w:rsidRDefault="003B127F" w:rsidP="004F3D57">
      <w:pPr>
        <w:ind w:firstLine="708"/>
        <w:jc w:val="both"/>
        <w:rPr>
          <w:rFonts w:ascii="Times New Roman" w:hAnsi="Times New Roman"/>
          <w:color w:val="000000"/>
          <w:sz w:val="24"/>
          <w:szCs w:val="24"/>
          <w:lang w:val="sr-Cyrl-CS"/>
        </w:rPr>
      </w:pPr>
      <w:r w:rsidRPr="004F3D57">
        <w:rPr>
          <w:rFonts w:ascii="Times New Roman" w:hAnsi="Times New Roman"/>
          <w:color w:val="000000"/>
          <w:sz w:val="24"/>
          <w:szCs w:val="24"/>
          <w:lang w:val="sr-Cyrl-CS"/>
        </w:rPr>
        <w:t xml:space="preserve">Порески прекршај </w:t>
      </w:r>
      <w:r w:rsidRPr="004F3D57">
        <w:rPr>
          <w:rFonts w:ascii="Times New Roman" w:hAnsi="Times New Roman"/>
          <w:sz w:val="24"/>
          <w:szCs w:val="24"/>
          <w:lang w:val="sr-Cyrl-CS"/>
        </w:rPr>
        <w:t xml:space="preserve">неподношење пореске пријаве, необрачунавање и неплаћање пореза </w:t>
      </w:r>
      <w:r w:rsidRPr="004F3D57">
        <w:rPr>
          <w:rFonts w:ascii="Times New Roman" w:hAnsi="Times New Roman"/>
          <w:color w:val="000000"/>
          <w:sz w:val="24"/>
          <w:szCs w:val="24"/>
          <w:lang w:val="sr-Cyrl-CS"/>
        </w:rPr>
        <w:t>ч</w:t>
      </w:r>
      <w:r w:rsidR="00A10F0D" w:rsidRPr="004F3D57">
        <w:rPr>
          <w:rFonts w:ascii="Times New Roman" w:hAnsi="Times New Roman"/>
          <w:color w:val="000000"/>
          <w:sz w:val="24"/>
          <w:szCs w:val="24"/>
          <w:lang w:val="sr-Cyrl-CS"/>
        </w:rPr>
        <w:t>ини по</w:t>
      </w:r>
      <w:r w:rsidRPr="004F3D57">
        <w:rPr>
          <w:rFonts w:ascii="Times New Roman" w:hAnsi="Times New Roman"/>
          <w:color w:val="000000"/>
          <w:sz w:val="24"/>
          <w:szCs w:val="24"/>
          <w:lang w:val="sr-Cyrl-CS"/>
        </w:rPr>
        <w:t>рески обвезник-правно лице</w:t>
      </w:r>
      <w:r w:rsidR="003C0179" w:rsidRPr="004F3D57">
        <w:rPr>
          <w:rFonts w:ascii="Times New Roman" w:hAnsi="Times New Roman"/>
          <w:color w:val="000000"/>
          <w:sz w:val="24"/>
          <w:szCs w:val="24"/>
          <w:lang w:val="sr-Cyrl-CS"/>
        </w:rPr>
        <w:t>:</w:t>
      </w:r>
    </w:p>
    <w:p w:rsidR="003C0179" w:rsidRPr="004F3D57" w:rsidRDefault="003C0179" w:rsidP="004F3D57">
      <w:pPr>
        <w:jc w:val="both"/>
        <w:rPr>
          <w:rFonts w:ascii="Times New Roman" w:hAnsi="Times New Roman"/>
          <w:color w:val="000000"/>
          <w:sz w:val="24"/>
          <w:szCs w:val="24"/>
          <w:lang w:val="sr-Cyrl-CS"/>
        </w:rPr>
      </w:pPr>
      <w:r w:rsidRPr="004F3D57">
        <w:rPr>
          <w:rFonts w:ascii="Times New Roman" w:hAnsi="Times New Roman"/>
          <w:color w:val="000000"/>
          <w:sz w:val="24"/>
          <w:szCs w:val="24"/>
          <w:lang w:val="sr-Cyrl-CS"/>
        </w:rPr>
        <w:t>-</w:t>
      </w:r>
      <w:r w:rsidR="003B127F" w:rsidRPr="004F3D57">
        <w:rPr>
          <w:rFonts w:ascii="Times New Roman" w:hAnsi="Times New Roman"/>
          <w:color w:val="000000"/>
          <w:sz w:val="24"/>
          <w:szCs w:val="24"/>
          <w:lang w:val="sr-Cyrl-CS"/>
        </w:rPr>
        <w:t xml:space="preserve"> ако </w:t>
      </w:r>
      <w:r w:rsidR="00AA381E" w:rsidRPr="004F3D57">
        <w:rPr>
          <w:rFonts w:ascii="Times New Roman" w:hAnsi="Times New Roman"/>
          <w:color w:val="000000"/>
          <w:sz w:val="24"/>
          <w:szCs w:val="24"/>
        </w:rPr>
        <w:t>не</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поднесе</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пореску</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пријаву</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прописану</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пореским</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законом</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укључујући</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и</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појединачну</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пореску</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пријаву</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не</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обрачуна</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и</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не</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плати</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порез</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у</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законом</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прописаном</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року</w:t>
      </w:r>
      <w:r w:rsidR="00A10F0D" w:rsidRPr="004F3D57">
        <w:rPr>
          <w:rFonts w:ascii="Times New Roman" w:hAnsi="Times New Roman"/>
          <w:color w:val="000000"/>
          <w:sz w:val="24"/>
          <w:szCs w:val="24"/>
        </w:rPr>
        <w:t xml:space="preserve">, </w:t>
      </w:r>
    </w:p>
    <w:p w:rsidR="003C0179" w:rsidRPr="004F3D57" w:rsidRDefault="003C0179" w:rsidP="004F3D57">
      <w:pPr>
        <w:jc w:val="both"/>
        <w:rPr>
          <w:rFonts w:ascii="Times New Roman" w:hAnsi="Times New Roman"/>
          <w:color w:val="000000"/>
          <w:sz w:val="24"/>
          <w:szCs w:val="24"/>
          <w:lang w:val="sr-Cyrl-CS"/>
        </w:rPr>
      </w:pPr>
      <w:r w:rsidRPr="004F3D57">
        <w:rPr>
          <w:rFonts w:ascii="Times New Roman" w:hAnsi="Times New Roman"/>
          <w:color w:val="000000"/>
          <w:sz w:val="24"/>
          <w:szCs w:val="24"/>
          <w:lang w:val="sr-Cyrl-CS"/>
        </w:rPr>
        <w:t>-</w:t>
      </w:r>
      <w:r w:rsidR="00AA381E" w:rsidRPr="004F3D57">
        <w:rPr>
          <w:rFonts w:ascii="Times New Roman" w:hAnsi="Times New Roman"/>
          <w:color w:val="000000"/>
          <w:sz w:val="24"/>
          <w:szCs w:val="24"/>
        </w:rPr>
        <w:t>не</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поднесе</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пореску</w:t>
      </w:r>
      <w:r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пријаву</w:t>
      </w:r>
      <w:r w:rsidRPr="004F3D57">
        <w:rPr>
          <w:rFonts w:ascii="Times New Roman" w:hAnsi="Times New Roman"/>
          <w:color w:val="000000"/>
          <w:sz w:val="24"/>
          <w:szCs w:val="24"/>
        </w:rPr>
        <w:t xml:space="preserve"> </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а</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обрачуна</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али</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не</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плати</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порез</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у</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законом</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прописаном</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року</w:t>
      </w:r>
      <w:r w:rsidR="00A10F0D" w:rsidRPr="004F3D57">
        <w:rPr>
          <w:rFonts w:ascii="Times New Roman" w:hAnsi="Times New Roman"/>
          <w:color w:val="000000"/>
          <w:sz w:val="24"/>
          <w:szCs w:val="24"/>
        </w:rPr>
        <w:t xml:space="preserve">, </w:t>
      </w:r>
    </w:p>
    <w:p w:rsidR="000C5B11" w:rsidRPr="004F3D57" w:rsidRDefault="003C0179" w:rsidP="004F3D57">
      <w:pPr>
        <w:jc w:val="both"/>
        <w:rPr>
          <w:rFonts w:ascii="Times New Roman" w:hAnsi="Times New Roman"/>
          <w:color w:val="000000"/>
          <w:sz w:val="24"/>
          <w:szCs w:val="24"/>
          <w:lang w:val="sr-Cyrl-CS"/>
        </w:rPr>
      </w:pPr>
      <w:r w:rsidRPr="004F3D57">
        <w:rPr>
          <w:rFonts w:ascii="Times New Roman" w:hAnsi="Times New Roman"/>
          <w:color w:val="000000"/>
          <w:sz w:val="24"/>
          <w:szCs w:val="24"/>
          <w:lang w:val="sr-Cyrl-CS"/>
        </w:rPr>
        <w:t>-</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поднесе</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пореску</w:t>
      </w:r>
      <w:r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пријаву</w:t>
      </w:r>
      <w:r w:rsidRPr="004F3D57">
        <w:rPr>
          <w:rFonts w:ascii="Times New Roman" w:hAnsi="Times New Roman"/>
          <w:color w:val="000000"/>
          <w:sz w:val="24"/>
          <w:szCs w:val="24"/>
        </w:rPr>
        <w:t xml:space="preserve"> </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а</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обрачуна</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али</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не</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плати</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порез</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у</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законом</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прописаном</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року</w:t>
      </w:r>
      <w:r w:rsidR="00A10F0D" w:rsidRPr="004F3D57">
        <w:rPr>
          <w:rFonts w:ascii="Times New Roman" w:hAnsi="Times New Roman"/>
          <w:color w:val="000000"/>
          <w:sz w:val="24"/>
          <w:szCs w:val="24"/>
        </w:rPr>
        <w:t xml:space="preserve">, </w:t>
      </w:r>
    </w:p>
    <w:p w:rsidR="004F3D57" w:rsidRDefault="000C5B11" w:rsidP="004F3D57">
      <w:pPr>
        <w:jc w:val="both"/>
        <w:rPr>
          <w:rFonts w:ascii="Times New Roman" w:hAnsi="Times New Roman"/>
          <w:color w:val="000000"/>
          <w:sz w:val="24"/>
          <w:szCs w:val="24"/>
          <w:lang w:val="sr-Cyrl-CS"/>
        </w:rPr>
      </w:pPr>
      <w:r w:rsidRPr="004F3D57">
        <w:rPr>
          <w:rFonts w:ascii="Times New Roman" w:hAnsi="Times New Roman"/>
          <w:color w:val="000000"/>
          <w:sz w:val="24"/>
          <w:szCs w:val="24"/>
          <w:lang w:val="sr-Cyrl-CS"/>
        </w:rPr>
        <w:t>-</w:t>
      </w:r>
      <w:r w:rsidR="00AA381E" w:rsidRPr="004F3D57">
        <w:rPr>
          <w:rFonts w:ascii="Times New Roman" w:hAnsi="Times New Roman"/>
          <w:color w:val="000000"/>
          <w:sz w:val="24"/>
          <w:szCs w:val="24"/>
        </w:rPr>
        <w:t>не</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поднесе</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пореску</w:t>
      </w:r>
      <w:r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пријаву</w:t>
      </w:r>
      <w:r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али</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обрачуна</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и</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плати</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порез</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у</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законом</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прописаном</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року</w:t>
      </w:r>
      <w:r w:rsidR="00A10F0D" w:rsidRPr="004F3D57">
        <w:rPr>
          <w:rFonts w:ascii="Times New Roman" w:hAnsi="Times New Roman"/>
          <w:color w:val="000000"/>
          <w:sz w:val="24"/>
          <w:szCs w:val="24"/>
        </w:rPr>
        <w:t>,</w:t>
      </w:r>
    </w:p>
    <w:p w:rsidR="000C5B11" w:rsidRPr="00831157" w:rsidRDefault="000C5B11" w:rsidP="004F3D57">
      <w:pPr>
        <w:jc w:val="both"/>
        <w:rPr>
          <w:rFonts w:ascii="Times New Roman" w:hAnsi="Times New Roman"/>
          <w:color w:val="000000"/>
          <w:sz w:val="24"/>
          <w:szCs w:val="24"/>
          <w:lang w:val="sr-Cyrl-CS"/>
        </w:rPr>
      </w:pPr>
      <w:r w:rsidRPr="004F3D57">
        <w:rPr>
          <w:rFonts w:ascii="Times New Roman" w:hAnsi="Times New Roman"/>
          <w:color w:val="000000"/>
          <w:sz w:val="24"/>
          <w:szCs w:val="24"/>
          <w:lang w:val="sr-Cyrl-CS"/>
        </w:rPr>
        <w:t xml:space="preserve"> -</w:t>
      </w:r>
      <w:r w:rsidR="00AA381E" w:rsidRPr="004F3D57">
        <w:rPr>
          <w:rFonts w:ascii="Times New Roman" w:hAnsi="Times New Roman"/>
          <w:color w:val="000000"/>
          <w:sz w:val="24"/>
          <w:szCs w:val="24"/>
        </w:rPr>
        <w:t>не</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поднесе</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пореску</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пријаву</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прописану</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пореским</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законом</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у</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случајевима</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када</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је</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законом</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прописано</w:t>
      </w:r>
      <w:r w:rsidR="00A10F0D"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да</w:t>
      </w:r>
      <w:r w:rsidR="00A10F0D" w:rsidRPr="004F3D57">
        <w:rPr>
          <w:rFonts w:ascii="Times New Roman" w:hAnsi="Times New Roman"/>
          <w:color w:val="000000"/>
          <w:sz w:val="24"/>
          <w:szCs w:val="24"/>
        </w:rPr>
        <w:t xml:space="preserve"> </w:t>
      </w:r>
      <w:r w:rsidRPr="004F3D57">
        <w:rPr>
          <w:rFonts w:ascii="Times New Roman" w:hAnsi="Times New Roman"/>
          <w:color w:val="000000"/>
          <w:sz w:val="24"/>
          <w:szCs w:val="24"/>
          <w:lang w:val="sr-Cyrl-CS"/>
        </w:rPr>
        <w:t xml:space="preserve">  </w:t>
      </w:r>
      <w:r w:rsidR="00AA381E" w:rsidRPr="004F3D57">
        <w:rPr>
          <w:rFonts w:ascii="Times New Roman" w:hAnsi="Times New Roman"/>
          <w:color w:val="000000"/>
          <w:sz w:val="24"/>
          <w:szCs w:val="24"/>
        </w:rPr>
        <w:t>се</w:t>
      </w:r>
      <w:r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не</w:t>
      </w:r>
      <w:r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спроводи</w:t>
      </w:r>
      <w:r w:rsidRPr="004F3D57">
        <w:rPr>
          <w:rFonts w:ascii="Times New Roman" w:hAnsi="Times New Roman"/>
          <w:color w:val="000000"/>
          <w:sz w:val="24"/>
          <w:szCs w:val="24"/>
        </w:rPr>
        <w:t xml:space="preserve"> </w:t>
      </w:r>
      <w:r w:rsidR="00AA381E" w:rsidRPr="004F3D57">
        <w:rPr>
          <w:rFonts w:ascii="Times New Roman" w:hAnsi="Times New Roman"/>
          <w:color w:val="000000"/>
          <w:sz w:val="24"/>
          <w:szCs w:val="24"/>
        </w:rPr>
        <w:t>самоопорезивање</w:t>
      </w:r>
      <w:r w:rsidRPr="004F3D57">
        <w:rPr>
          <w:rFonts w:ascii="Times New Roman" w:hAnsi="Times New Roman"/>
          <w:color w:val="000000"/>
          <w:sz w:val="24"/>
          <w:szCs w:val="24"/>
          <w:lang w:val="sr-Cyrl-CS"/>
        </w:rPr>
        <w:t>.</w:t>
      </w:r>
    </w:p>
    <w:p w:rsidR="00A10F0D" w:rsidRPr="004F3D57" w:rsidRDefault="00A10F0D" w:rsidP="00831157">
      <w:pPr>
        <w:ind w:firstLine="708"/>
        <w:jc w:val="both"/>
        <w:rPr>
          <w:rFonts w:ascii="Times New Roman" w:hAnsi="Times New Roman"/>
          <w:bCs/>
          <w:color w:val="000000"/>
          <w:sz w:val="24"/>
          <w:szCs w:val="24"/>
          <w:shd w:val="clear" w:color="auto" w:fill="FFFFFF"/>
          <w:lang w:val="sr-Cyrl-CS"/>
        </w:rPr>
      </w:pPr>
      <w:r w:rsidRPr="004F3D57">
        <w:rPr>
          <w:rFonts w:ascii="Times New Roman" w:hAnsi="Times New Roman"/>
          <w:bCs/>
          <w:color w:val="000000"/>
          <w:sz w:val="24"/>
          <w:szCs w:val="24"/>
          <w:shd w:val="clear" w:color="auto" w:fill="FFFFFF"/>
          <w:lang w:val="sr-Cyrl-CS"/>
        </w:rPr>
        <w:t>Висина новчане каз</w:t>
      </w:r>
      <w:r w:rsidR="000C5B11" w:rsidRPr="004F3D57">
        <w:rPr>
          <w:rFonts w:ascii="Times New Roman" w:hAnsi="Times New Roman"/>
          <w:bCs/>
          <w:color w:val="000000"/>
          <w:sz w:val="24"/>
          <w:szCs w:val="24"/>
          <w:shd w:val="clear" w:color="auto" w:fill="FFFFFF"/>
          <w:lang w:val="sr-Cyrl-CS"/>
        </w:rPr>
        <w:t>н</w:t>
      </w:r>
      <w:r w:rsidRPr="004F3D57">
        <w:rPr>
          <w:rFonts w:ascii="Times New Roman" w:hAnsi="Times New Roman"/>
          <w:bCs/>
          <w:color w:val="000000"/>
          <w:sz w:val="24"/>
          <w:szCs w:val="24"/>
          <w:shd w:val="clear" w:color="auto" w:fill="FFFFFF"/>
          <w:lang w:val="sr-Cyrl-CS"/>
        </w:rPr>
        <w:t xml:space="preserve">е је различита у зависности да ли се ради о правном лицу или предузетнику. За прекршај ће се казнити и одговорно лице у правном лицу. </w:t>
      </w:r>
    </w:p>
    <w:p w:rsidR="00A10F0D" w:rsidRPr="004F3D57" w:rsidRDefault="00ED7281" w:rsidP="00831157">
      <w:pPr>
        <w:ind w:firstLine="708"/>
        <w:jc w:val="both"/>
        <w:rPr>
          <w:rFonts w:ascii="Times New Roman" w:hAnsi="Times New Roman"/>
          <w:bCs/>
          <w:color w:val="000000"/>
          <w:sz w:val="24"/>
          <w:szCs w:val="24"/>
          <w:shd w:val="clear" w:color="auto" w:fill="FFFFFF"/>
          <w:lang w:val="sr-Cyrl-CS"/>
        </w:rPr>
      </w:pPr>
      <w:r w:rsidRPr="004F3D57">
        <w:rPr>
          <w:rFonts w:ascii="Times New Roman" w:hAnsi="Times New Roman"/>
          <w:bCs/>
          <w:color w:val="000000"/>
          <w:sz w:val="24"/>
          <w:szCs w:val="24"/>
          <w:shd w:val="clear" w:color="auto" w:fill="FFFFFF"/>
          <w:lang w:val="sr-Cyrl-CS"/>
        </w:rPr>
        <w:lastRenderedPageBreak/>
        <w:t xml:space="preserve">У случају да </w:t>
      </w:r>
      <w:r w:rsidR="00A10F0D" w:rsidRPr="004F3D57">
        <w:rPr>
          <w:rFonts w:ascii="Times New Roman" w:hAnsi="Times New Roman"/>
          <w:bCs/>
          <w:color w:val="000000"/>
          <w:sz w:val="24"/>
          <w:szCs w:val="24"/>
          <w:shd w:val="clear" w:color="auto" w:fill="FFFFFF"/>
          <w:lang w:val="sr-Cyrl-CS"/>
        </w:rPr>
        <w:t xml:space="preserve">порески обвезник не поднесе пријаву, пореско решење о утврђивању пореза Пореска управа ће донети на основу података из пословних књига и евиденција пореског обвезника и чињеничног стања утврђеног у поступку пореске контроле. </w:t>
      </w:r>
      <w:r w:rsidRPr="004F3D57">
        <w:rPr>
          <w:rFonts w:ascii="Times New Roman" w:hAnsi="Times New Roman"/>
          <w:bCs/>
          <w:color w:val="000000"/>
          <w:sz w:val="24"/>
          <w:szCs w:val="24"/>
          <w:shd w:val="clear" w:color="auto" w:fill="FFFFFF"/>
          <w:lang w:val="sr-Cyrl-CS"/>
        </w:rPr>
        <w:t>У случају да се</w:t>
      </w:r>
      <w:r w:rsidR="00A10F0D" w:rsidRPr="004F3D57">
        <w:rPr>
          <w:rFonts w:ascii="Times New Roman" w:hAnsi="Times New Roman"/>
          <w:bCs/>
          <w:color w:val="000000"/>
          <w:sz w:val="24"/>
          <w:szCs w:val="24"/>
          <w:shd w:val="clear" w:color="auto" w:fill="FFFFFF"/>
          <w:lang w:val="sr-Cyrl-CS"/>
        </w:rPr>
        <w:t xml:space="preserve"> у поступку доношења решења утврди да подаци из пореске пријаве, пословних књига и евиденција, не одговарају стварном стању, пореско решење о утврђивању пореза </w:t>
      </w:r>
      <w:r w:rsidRPr="004F3D57">
        <w:rPr>
          <w:rFonts w:ascii="Times New Roman" w:hAnsi="Times New Roman"/>
          <w:bCs/>
          <w:color w:val="000000"/>
          <w:sz w:val="24"/>
          <w:szCs w:val="24"/>
          <w:shd w:val="clear" w:color="auto" w:fill="FFFFFF"/>
          <w:lang w:val="sr-Cyrl-CS"/>
        </w:rPr>
        <w:t>ће се донети</w:t>
      </w:r>
      <w:r w:rsidR="00A10F0D" w:rsidRPr="004F3D57">
        <w:rPr>
          <w:rFonts w:ascii="Times New Roman" w:hAnsi="Times New Roman"/>
          <w:bCs/>
          <w:color w:val="000000"/>
          <w:sz w:val="24"/>
          <w:szCs w:val="24"/>
          <w:shd w:val="clear" w:color="auto" w:fill="FFFFFF"/>
          <w:lang w:val="sr-Cyrl-CS"/>
        </w:rPr>
        <w:t xml:space="preserve"> на основу процене пореске основице.</w:t>
      </w:r>
      <w:r w:rsidR="00A10F0D" w:rsidRPr="004F3D57">
        <w:rPr>
          <w:rStyle w:val="FootnoteReference"/>
          <w:rFonts w:ascii="Times New Roman" w:hAnsi="Times New Roman"/>
          <w:bCs/>
          <w:color w:val="000000"/>
          <w:sz w:val="24"/>
          <w:szCs w:val="24"/>
          <w:shd w:val="clear" w:color="auto" w:fill="FFFFFF"/>
          <w:lang w:val="sr-Cyrl-CS"/>
        </w:rPr>
        <w:footnoteReference w:id="839"/>
      </w:r>
    </w:p>
    <w:p w:rsidR="00A10F0D" w:rsidRPr="004F3D57" w:rsidRDefault="00AA381E" w:rsidP="00831157">
      <w:pPr>
        <w:ind w:firstLine="708"/>
        <w:jc w:val="both"/>
        <w:rPr>
          <w:rFonts w:ascii="Times New Roman" w:hAnsi="Times New Roman"/>
          <w:color w:val="000000"/>
          <w:sz w:val="24"/>
          <w:szCs w:val="24"/>
          <w:lang w:val="sr-Cyrl-CS"/>
        </w:rPr>
      </w:pPr>
      <w:r w:rsidRPr="004F3D57">
        <w:rPr>
          <w:rFonts w:ascii="Times New Roman" w:hAnsi="Times New Roman"/>
          <w:color w:val="000000"/>
          <w:sz w:val="24"/>
          <w:szCs w:val="24"/>
        </w:rPr>
        <w:t>Ако</w:t>
      </w:r>
      <w:r w:rsidR="00A10F0D" w:rsidRPr="004F3D57">
        <w:rPr>
          <w:rFonts w:ascii="Times New Roman" w:hAnsi="Times New Roman"/>
          <w:color w:val="000000"/>
          <w:sz w:val="24"/>
          <w:szCs w:val="24"/>
        </w:rPr>
        <w:t xml:space="preserve"> </w:t>
      </w:r>
      <w:r w:rsidRPr="004F3D57">
        <w:rPr>
          <w:rFonts w:ascii="Times New Roman" w:hAnsi="Times New Roman"/>
          <w:color w:val="000000"/>
          <w:sz w:val="24"/>
          <w:szCs w:val="24"/>
        </w:rPr>
        <w:t>порески</w:t>
      </w:r>
      <w:r w:rsidR="00A10F0D" w:rsidRPr="004F3D57">
        <w:rPr>
          <w:rFonts w:ascii="Times New Roman" w:hAnsi="Times New Roman"/>
          <w:color w:val="000000"/>
          <w:sz w:val="24"/>
          <w:szCs w:val="24"/>
        </w:rPr>
        <w:t xml:space="preserve"> </w:t>
      </w:r>
      <w:r w:rsidRPr="004F3D57">
        <w:rPr>
          <w:rFonts w:ascii="Times New Roman" w:hAnsi="Times New Roman"/>
          <w:color w:val="000000"/>
          <w:sz w:val="24"/>
          <w:szCs w:val="24"/>
        </w:rPr>
        <w:t>обвезник</w:t>
      </w:r>
      <w:r w:rsidR="00A10F0D" w:rsidRPr="004F3D57">
        <w:rPr>
          <w:rFonts w:ascii="Times New Roman" w:hAnsi="Times New Roman"/>
          <w:color w:val="000000"/>
          <w:sz w:val="24"/>
          <w:szCs w:val="24"/>
        </w:rPr>
        <w:t xml:space="preserve"> </w:t>
      </w:r>
      <w:r w:rsidRPr="004F3D57">
        <w:rPr>
          <w:rFonts w:ascii="Times New Roman" w:hAnsi="Times New Roman"/>
          <w:color w:val="000000"/>
          <w:sz w:val="24"/>
          <w:szCs w:val="24"/>
        </w:rPr>
        <w:t>у</w:t>
      </w:r>
      <w:r w:rsidR="00A10F0D" w:rsidRPr="004F3D57">
        <w:rPr>
          <w:rFonts w:ascii="Times New Roman" w:hAnsi="Times New Roman"/>
          <w:color w:val="000000"/>
          <w:sz w:val="24"/>
          <w:szCs w:val="24"/>
        </w:rPr>
        <w:t xml:space="preserve"> </w:t>
      </w:r>
      <w:r w:rsidRPr="004F3D57">
        <w:rPr>
          <w:rFonts w:ascii="Times New Roman" w:hAnsi="Times New Roman"/>
          <w:color w:val="000000"/>
          <w:sz w:val="24"/>
          <w:szCs w:val="24"/>
        </w:rPr>
        <w:t>року</w:t>
      </w:r>
      <w:r w:rsidR="00A10F0D" w:rsidRPr="004F3D57">
        <w:rPr>
          <w:rFonts w:ascii="Times New Roman" w:hAnsi="Times New Roman"/>
          <w:color w:val="000000"/>
          <w:sz w:val="24"/>
          <w:szCs w:val="24"/>
        </w:rPr>
        <w:t xml:space="preserve"> </w:t>
      </w:r>
      <w:r w:rsidRPr="004F3D57">
        <w:rPr>
          <w:rFonts w:ascii="Times New Roman" w:hAnsi="Times New Roman"/>
          <w:color w:val="000000"/>
          <w:sz w:val="24"/>
          <w:szCs w:val="24"/>
        </w:rPr>
        <w:t>од</w:t>
      </w:r>
      <w:r w:rsidR="00A10F0D" w:rsidRPr="004F3D57">
        <w:rPr>
          <w:rFonts w:ascii="Times New Roman" w:hAnsi="Times New Roman"/>
          <w:color w:val="000000"/>
          <w:sz w:val="24"/>
          <w:szCs w:val="24"/>
        </w:rPr>
        <w:t xml:space="preserve"> </w:t>
      </w:r>
      <w:r w:rsidRPr="004F3D57">
        <w:rPr>
          <w:rFonts w:ascii="Times New Roman" w:hAnsi="Times New Roman"/>
          <w:color w:val="000000"/>
          <w:sz w:val="24"/>
          <w:szCs w:val="24"/>
        </w:rPr>
        <w:t>две</w:t>
      </w:r>
      <w:r w:rsidR="00A10F0D" w:rsidRPr="004F3D57">
        <w:rPr>
          <w:rFonts w:ascii="Times New Roman" w:hAnsi="Times New Roman"/>
          <w:color w:val="000000"/>
          <w:sz w:val="24"/>
          <w:szCs w:val="24"/>
        </w:rPr>
        <w:t xml:space="preserve"> </w:t>
      </w:r>
      <w:r w:rsidRPr="004F3D57">
        <w:rPr>
          <w:rFonts w:ascii="Times New Roman" w:hAnsi="Times New Roman"/>
          <w:color w:val="000000"/>
          <w:sz w:val="24"/>
          <w:szCs w:val="24"/>
        </w:rPr>
        <w:t>године</w:t>
      </w:r>
      <w:r w:rsidR="00A10F0D" w:rsidRPr="004F3D57">
        <w:rPr>
          <w:rFonts w:ascii="Times New Roman" w:hAnsi="Times New Roman"/>
          <w:color w:val="000000"/>
          <w:sz w:val="24"/>
          <w:szCs w:val="24"/>
        </w:rPr>
        <w:t xml:space="preserve"> </w:t>
      </w:r>
      <w:r w:rsidRPr="004F3D57">
        <w:rPr>
          <w:rFonts w:ascii="Times New Roman" w:hAnsi="Times New Roman"/>
          <w:color w:val="000000"/>
          <w:sz w:val="24"/>
          <w:szCs w:val="24"/>
        </w:rPr>
        <w:t>од</w:t>
      </w:r>
      <w:r w:rsidR="00A10F0D" w:rsidRPr="004F3D57">
        <w:rPr>
          <w:rFonts w:ascii="Times New Roman" w:hAnsi="Times New Roman"/>
          <w:color w:val="000000"/>
          <w:sz w:val="24"/>
          <w:szCs w:val="24"/>
        </w:rPr>
        <w:t xml:space="preserve"> </w:t>
      </w:r>
      <w:r w:rsidRPr="004F3D57">
        <w:rPr>
          <w:rFonts w:ascii="Times New Roman" w:hAnsi="Times New Roman"/>
          <w:color w:val="000000"/>
          <w:sz w:val="24"/>
          <w:szCs w:val="24"/>
        </w:rPr>
        <w:t>дана</w:t>
      </w:r>
      <w:r w:rsidR="00A10F0D" w:rsidRPr="004F3D57">
        <w:rPr>
          <w:rFonts w:ascii="Times New Roman" w:hAnsi="Times New Roman"/>
          <w:color w:val="000000"/>
          <w:sz w:val="24"/>
          <w:szCs w:val="24"/>
        </w:rPr>
        <w:t xml:space="preserve"> </w:t>
      </w:r>
      <w:r w:rsidRPr="004F3D57">
        <w:rPr>
          <w:rFonts w:ascii="Times New Roman" w:hAnsi="Times New Roman"/>
          <w:color w:val="000000"/>
          <w:sz w:val="24"/>
          <w:szCs w:val="24"/>
        </w:rPr>
        <w:t>правоснажности</w:t>
      </w:r>
      <w:r w:rsidR="00A10F0D" w:rsidRPr="004F3D57">
        <w:rPr>
          <w:rFonts w:ascii="Times New Roman" w:hAnsi="Times New Roman"/>
          <w:color w:val="000000"/>
          <w:sz w:val="24"/>
          <w:szCs w:val="24"/>
        </w:rPr>
        <w:t xml:space="preserve"> </w:t>
      </w:r>
      <w:r w:rsidRPr="004F3D57">
        <w:rPr>
          <w:rFonts w:ascii="Times New Roman" w:hAnsi="Times New Roman"/>
          <w:color w:val="000000"/>
          <w:sz w:val="24"/>
          <w:szCs w:val="24"/>
        </w:rPr>
        <w:t>осуђујуће</w:t>
      </w:r>
      <w:r w:rsidR="00A10F0D" w:rsidRPr="004F3D57">
        <w:rPr>
          <w:rFonts w:ascii="Times New Roman" w:hAnsi="Times New Roman"/>
          <w:color w:val="000000"/>
          <w:sz w:val="24"/>
          <w:szCs w:val="24"/>
        </w:rPr>
        <w:t xml:space="preserve"> </w:t>
      </w:r>
      <w:r w:rsidRPr="004F3D57">
        <w:rPr>
          <w:rFonts w:ascii="Times New Roman" w:hAnsi="Times New Roman"/>
          <w:color w:val="000000"/>
          <w:sz w:val="24"/>
          <w:szCs w:val="24"/>
        </w:rPr>
        <w:t>пресуде</w:t>
      </w:r>
      <w:r w:rsidR="00A10F0D" w:rsidRPr="004F3D57">
        <w:rPr>
          <w:rFonts w:ascii="Times New Roman" w:hAnsi="Times New Roman"/>
          <w:color w:val="000000"/>
          <w:sz w:val="24"/>
          <w:szCs w:val="24"/>
        </w:rPr>
        <w:t xml:space="preserve"> </w:t>
      </w:r>
      <w:r w:rsidRPr="004F3D57">
        <w:rPr>
          <w:rFonts w:ascii="Times New Roman" w:hAnsi="Times New Roman"/>
          <w:color w:val="000000"/>
          <w:sz w:val="24"/>
          <w:szCs w:val="24"/>
        </w:rPr>
        <w:t>за</w:t>
      </w:r>
      <w:r w:rsidR="00A10F0D" w:rsidRPr="004F3D57">
        <w:rPr>
          <w:rFonts w:ascii="Times New Roman" w:hAnsi="Times New Roman"/>
          <w:color w:val="000000"/>
          <w:sz w:val="24"/>
          <w:szCs w:val="24"/>
        </w:rPr>
        <w:t xml:space="preserve"> </w:t>
      </w:r>
      <w:r w:rsidR="000C5B11" w:rsidRPr="004F3D57">
        <w:rPr>
          <w:rFonts w:ascii="Times New Roman" w:hAnsi="Times New Roman"/>
          <w:color w:val="000000"/>
          <w:sz w:val="24"/>
          <w:szCs w:val="24"/>
          <w:lang w:val="sr-Cyrl-CS"/>
        </w:rPr>
        <w:t xml:space="preserve">наведени </w:t>
      </w:r>
      <w:r w:rsidRPr="004F3D57">
        <w:rPr>
          <w:rFonts w:ascii="Times New Roman" w:hAnsi="Times New Roman"/>
          <w:color w:val="000000"/>
          <w:sz w:val="24"/>
          <w:szCs w:val="24"/>
        </w:rPr>
        <w:t>прекршај</w:t>
      </w:r>
      <w:r w:rsidR="00A10F0D" w:rsidRPr="004F3D57">
        <w:rPr>
          <w:rFonts w:ascii="Times New Roman" w:hAnsi="Times New Roman"/>
          <w:color w:val="000000"/>
          <w:sz w:val="24"/>
          <w:szCs w:val="24"/>
        </w:rPr>
        <w:t xml:space="preserve"> </w:t>
      </w:r>
      <w:r w:rsidRPr="004F3D57">
        <w:rPr>
          <w:rFonts w:ascii="Times New Roman" w:hAnsi="Times New Roman"/>
          <w:color w:val="000000"/>
          <w:sz w:val="24"/>
          <w:szCs w:val="24"/>
        </w:rPr>
        <w:t>учини</w:t>
      </w:r>
      <w:r w:rsidR="00A10F0D" w:rsidRPr="004F3D57">
        <w:rPr>
          <w:rFonts w:ascii="Times New Roman" w:hAnsi="Times New Roman"/>
          <w:color w:val="000000"/>
          <w:sz w:val="24"/>
          <w:szCs w:val="24"/>
        </w:rPr>
        <w:t xml:space="preserve"> </w:t>
      </w:r>
      <w:r w:rsidRPr="004F3D57">
        <w:rPr>
          <w:rFonts w:ascii="Times New Roman" w:hAnsi="Times New Roman"/>
          <w:color w:val="000000"/>
          <w:sz w:val="24"/>
          <w:szCs w:val="24"/>
        </w:rPr>
        <w:t>исти</w:t>
      </w:r>
      <w:r w:rsidR="00A10F0D" w:rsidRPr="004F3D57">
        <w:rPr>
          <w:rFonts w:ascii="Times New Roman" w:hAnsi="Times New Roman"/>
          <w:color w:val="000000"/>
          <w:sz w:val="24"/>
          <w:szCs w:val="24"/>
        </w:rPr>
        <w:t xml:space="preserve"> </w:t>
      </w:r>
      <w:r w:rsidRPr="004F3D57">
        <w:rPr>
          <w:rFonts w:ascii="Times New Roman" w:hAnsi="Times New Roman"/>
          <w:color w:val="000000"/>
          <w:sz w:val="24"/>
          <w:szCs w:val="24"/>
        </w:rPr>
        <w:t>прекршај</w:t>
      </w:r>
      <w:r w:rsidR="00A10F0D" w:rsidRPr="004F3D57">
        <w:rPr>
          <w:rFonts w:ascii="Times New Roman" w:hAnsi="Times New Roman"/>
          <w:color w:val="000000"/>
          <w:sz w:val="24"/>
          <w:szCs w:val="24"/>
        </w:rPr>
        <w:t xml:space="preserve">, </w:t>
      </w:r>
      <w:r w:rsidRPr="004F3D57">
        <w:rPr>
          <w:rFonts w:ascii="Times New Roman" w:hAnsi="Times New Roman"/>
          <w:color w:val="000000"/>
          <w:sz w:val="24"/>
          <w:szCs w:val="24"/>
        </w:rPr>
        <w:t>може</w:t>
      </w:r>
      <w:r w:rsidR="00A10F0D" w:rsidRPr="004F3D57">
        <w:rPr>
          <w:rFonts w:ascii="Times New Roman" w:hAnsi="Times New Roman"/>
          <w:color w:val="000000"/>
          <w:sz w:val="24"/>
          <w:szCs w:val="24"/>
        </w:rPr>
        <w:t xml:space="preserve"> </w:t>
      </w:r>
      <w:r w:rsidRPr="004F3D57">
        <w:rPr>
          <w:rFonts w:ascii="Times New Roman" w:hAnsi="Times New Roman"/>
          <w:color w:val="000000"/>
          <w:sz w:val="24"/>
          <w:szCs w:val="24"/>
        </w:rPr>
        <w:t>му</w:t>
      </w:r>
      <w:r w:rsidR="00A10F0D" w:rsidRPr="004F3D57">
        <w:rPr>
          <w:rFonts w:ascii="Times New Roman" w:hAnsi="Times New Roman"/>
          <w:color w:val="000000"/>
          <w:sz w:val="24"/>
          <w:szCs w:val="24"/>
        </w:rPr>
        <w:t xml:space="preserve"> </w:t>
      </w:r>
      <w:r w:rsidRPr="004F3D57">
        <w:rPr>
          <w:rFonts w:ascii="Times New Roman" w:hAnsi="Times New Roman"/>
          <w:color w:val="000000"/>
          <w:sz w:val="24"/>
          <w:szCs w:val="24"/>
        </w:rPr>
        <w:t>се</w:t>
      </w:r>
      <w:r w:rsidR="00A10F0D" w:rsidRPr="004F3D57">
        <w:rPr>
          <w:rFonts w:ascii="Times New Roman" w:hAnsi="Times New Roman"/>
          <w:color w:val="000000"/>
          <w:sz w:val="24"/>
          <w:szCs w:val="24"/>
        </w:rPr>
        <w:t xml:space="preserve">, </w:t>
      </w:r>
      <w:r w:rsidRPr="004F3D57">
        <w:rPr>
          <w:rFonts w:ascii="Times New Roman" w:hAnsi="Times New Roman"/>
          <w:color w:val="000000"/>
          <w:sz w:val="24"/>
          <w:szCs w:val="24"/>
        </w:rPr>
        <w:t>уз</w:t>
      </w:r>
      <w:r w:rsidR="00A10F0D" w:rsidRPr="004F3D57">
        <w:rPr>
          <w:rFonts w:ascii="Times New Roman" w:hAnsi="Times New Roman"/>
          <w:color w:val="000000"/>
          <w:sz w:val="24"/>
          <w:szCs w:val="24"/>
        </w:rPr>
        <w:t xml:space="preserve"> </w:t>
      </w:r>
      <w:r w:rsidRPr="004F3D57">
        <w:rPr>
          <w:rFonts w:ascii="Times New Roman" w:hAnsi="Times New Roman"/>
          <w:color w:val="000000"/>
          <w:sz w:val="24"/>
          <w:szCs w:val="24"/>
        </w:rPr>
        <w:t>новчану</w:t>
      </w:r>
      <w:r w:rsidR="00A10F0D" w:rsidRPr="004F3D57">
        <w:rPr>
          <w:rFonts w:ascii="Times New Roman" w:hAnsi="Times New Roman"/>
          <w:color w:val="000000"/>
          <w:sz w:val="24"/>
          <w:szCs w:val="24"/>
        </w:rPr>
        <w:t xml:space="preserve"> </w:t>
      </w:r>
      <w:r w:rsidRPr="004F3D57">
        <w:rPr>
          <w:rFonts w:ascii="Times New Roman" w:hAnsi="Times New Roman"/>
          <w:color w:val="000000"/>
          <w:sz w:val="24"/>
          <w:szCs w:val="24"/>
        </w:rPr>
        <w:t>казну</w:t>
      </w:r>
      <w:r w:rsidR="00A10F0D" w:rsidRPr="004F3D57">
        <w:rPr>
          <w:rFonts w:ascii="Times New Roman" w:hAnsi="Times New Roman"/>
          <w:color w:val="000000"/>
          <w:sz w:val="24"/>
          <w:szCs w:val="24"/>
        </w:rPr>
        <w:t xml:space="preserve">, </w:t>
      </w:r>
      <w:r w:rsidRPr="004F3D57">
        <w:rPr>
          <w:rFonts w:ascii="Times New Roman" w:hAnsi="Times New Roman"/>
          <w:color w:val="000000"/>
          <w:sz w:val="24"/>
          <w:szCs w:val="24"/>
        </w:rPr>
        <w:t>изрећи</w:t>
      </w:r>
      <w:r w:rsidR="00A10F0D" w:rsidRPr="004F3D57">
        <w:rPr>
          <w:rFonts w:ascii="Times New Roman" w:hAnsi="Times New Roman"/>
          <w:color w:val="000000"/>
          <w:sz w:val="24"/>
          <w:szCs w:val="24"/>
        </w:rPr>
        <w:t xml:space="preserve"> </w:t>
      </w:r>
      <w:r w:rsidRPr="004F3D57">
        <w:rPr>
          <w:rFonts w:ascii="Times New Roman" w:hAnsi="Times New Roman"/>
          <w:color w:val="000000"/>
          <w:sz w:val="24"/>
          <w:szCs w:val="24"/>
        </w:rPr>
        <w:t>и</w:t>
      </w:r>
      <w:r w:rsidR="00A10F0D" w:rsidRPr="004F3D57">
        <w:rPr>
          <w:rFonts w:ascii="Times New Roman" w:hAnsi="Times New Roman"/>
          <w:color w:val="000000"/>
          <w:sz w:val="24"/>
          <w:szCs w:val="24"/>
        </w:rPr>
        <w:t xml:space="preserve"> </w:t>
      </w:r>
      <w:r w:rsidRPr="004F3D57">
        <w:rPr>
          <w:rFonts w:ascii="Times New Roman" w:hAnsi="Times New Roman"/>
          <w:color w:val="000000"/>
          <w:sz w:val="24"/>
          <w:szCs w:val="24"/>
        </w:rPr>
        <w:t>заштитна</w:t>
      </w:r>
      <w:r w:rsidR="00A10F0D" w:rsidRPr="004F3D57">
        <w:rPr>
          <w:rFonts w:ascii="Times New Roman" w:hAnsi="Times New Roman"/>
          <w:color w:val="000000"/>
          <w:sz w:val="24"/>
          <w:szCs w:val="24"/>
        </w:rPr>
        <w:t xml:space="preserve"> </w:t>
      </w:r>
      <w:r w:rsidRPr="004F3D57">
        <w:rPr>
          <w:rFonts w:ascii="Times New Roman" w:hAnsi="Times New Roman"/>
          <w:color w:val="000000"/>
          <w:sz w:val="24"/>
          <w:szCs w:val="24"/>
        </w:rPr>
        <w:t>мера</w:t>
      </w:r>
      <w:r w:rsidR="00A10F0D" w:rsidRPr="004F3D57">
        <w:rPr>
          <w:rFonts w:ascii="Times New Roman" w:hAnsi="Times New Roman"/>
          <w:color w:val="000000"/>
          <w:sz w:val="24"/>
          <w:szCs w:val="24"/>
        </w:rPr>
        <w:t xml:space="preserve"> </w:t>
      </w:r>
      <w:r w:rsidRPr="004F3D57">
        <w:rPr>
          <w:rFonts w:ascii="Times New Roman" w:hAnsi="Times New Roman"/>
          <w:color w:val="000000"/>
          <w:sz w:val="24"/>
          <w:szCs w:val="24"/>
        </w:rPr>
        <w:t>забране</w:t>
      </w:r>
      <w:r w:rsidR="00A10F0D" w:rsidRPr="004F3D57">
        <w:rPr>
          <w:rFonts w:ascii="Times New Roman" w:hAnsi="Times New Roman"/>
          <w:color w:val="000000"/>
          <w:sz w:val="24"/>
          <w:szCs w:val="24"/>
        </w:rPr>
        <w:t xml:space="preserve"> </w:t>
      </w:r>
      <w:r w:rsidRPr="004F3D57">
        <w:rPr>
          <w:rFonts w:ascii="Times New Roman" w:hAnsi="Times New Roman"/>
          <w:color w:val="000000"/>
          <w:sz w:val="24"/>
          <w:szCs w:val="24"/>
        </w:rPr>
        <w:t>вршења</w:t>
      </w:r>
      <w:r w:rsidR="00A10F0D" w:rsidRPr="004F3D57">
        <w:rPr>
          <w:rFonts w:ascii="Times New Roman" w:hAnsi="Times New Roman"/>
          <w:color w:val="000000"/>
          <w:sz w:val="24"/>
          <w:szCs w:val="24"/>
        </w:rPr>
        <w:t xml:space="preserve"> </w:t>
      </w:r>
      <w:r w:rsidRPr="004F3D57">
        <w:rPr>
          <w:rFonts w:ascii="Times New Roman" w:hAnsi="Times New Roman"/>
          <w:color w:val="000000"/>
          <w:sz w:val="24"/>
          <w:szCs w:val="24"/>
        </w:rPr>
        <w:t>одређених</w:t>
      </w:r>
      <w:r w:rsidR="00A10F0D" w:rsidRPr="004F3D57">
        <w:rPr>
          <w:rFonts w:ascii="Times New Roman" w:hAnsi="Times New Roman"/>
          <w:color w:val="000000"/>
          <w:sz w:val="24"/>
          <w:szCs w:val="24"/>
        </w:rPr>
        <w:t xml:space="preserve"> </w:t>
      </w:r>
      <w:r w:rsidRPr="004F3D57">
        <w:rPr>
          <w:rFonts w:ascii="Times New Roman" w:hAnsi="Times New Roman"/>
          <w:color w:val="000000"/>
          <w:sz w:val="24"/>
          <w:szCs w:val="24"/>
        </w:rPr>
        <w:t>делатности</w:t>
      </w:r>
      <w:r w:rsidR="00A10F0D" w:rsidRPr="004F3D57">
        <w:rPr>
          <w:rFonts w:ascii="Times New Roman" w:hAnsi="Times New Roman"/>
          <w:color w:val="000000"/>
          <w:sz w:val="24"/>
          <w:szCs w:val="24"/>
        </w:rPr>
        <w:t xml:space="preserve"> </w:t>
      </w:r>
      <w:r w:rsidRPr="004F3D57">
        <w:rPr>
          <w:rFonts w:ascii="Times New Roman" w:hAnsi="Times New Roman"/>
          <w:color w:val="000000"/>
          <w:sz w:val="24"/>
          <w:szCs w:val="24"/>
        </w:rPr>
        <w:t>у</w:t>
      </w:r>
      <w:r w:rsidR="00A10F0D" w:rsidRPr="004F3D57">
        <w:rPr>
          <w:rFonts w:ascii="Times New Roman" w:hAnsi="Times New Roman"/>
          <w:color w:val="000000"/>
          <w:sz w:val="24"/>
          <w:szCs w:val="24"/>
        </w:rPr>
        <w:t xml:space="preserve"> </w:t>
      </w:r>
      <w:r w:rsidRPr="004F3D57">
        <w:rPr>
          <w:rFonts w:ascii="Times New Roman" w:hAnsi="Times New Roman"/>
          <w:color w:val="000000"/>
          <w:sz w:val="24"/>
          <w:szCs w:val="24"/>
        </w:rPr>
        <w:t>трајању</w:t>
      </w:r>
      <w:r w:rsidR="00A10F0D" w:rsidRPr="004F3D57">
        <w:rPr>
          <w:rFonts w:ascii="Times New Roman" w:hAnsi="Times New Roman"/>
          <w:color w:val="000000"/>
          <w:sz w:val="24"/>
          <w:szCs w:val="24"/>
        </w:rPr>
        <w:t xml:space="preserve"> </w:t>
      </w:r>
      <w:r w:rsidRPr="004F3D57">
        <w:rPr>
          <w:rFonts w:ascii="Times New Roman" w:hAnsi="Times New Roman"/>
          <w:color w:val="000000"/>
          <w:sz w:val="24"/>
          <w:szCs w:val="24"/>
        </w:rPr>
        <w:t>од</w:t>
      </w:r>
      <w:r w:rsidR="00A10F0D" w:rsidRPr="004F3D57">
        <w:rPr>
          <w:rFonts w:ascii="Times New Roman" w:hAnsi="Times New Roman"/>
          <w:color w:val="000000"/>
          <w:sz w:val="24"/>
          <w:szCs w:val="24"/>
        </w:rPr>
        <w:t xml:space="preserve"> </w:t>
      </w:r>
      <w:r w:rsidRPr="004F3D57">
        <w:rPr>
          <w:rFonts w:ascii="Times New Roman" w:hAnsi="Times New Roman"/>
          <w:color w:val="000000"/>
          <w:sz w:val="24"/>
          <w:szCs w:val="24"/>
        </w:rPr>
        <w:t>шест</w:t>
      </w:r>
      <w:r w:rsidR="00A10F0D" w:rsidRPr="004F3D57">
        <w:rPr>
          <w:rFonts w:ascii="Times New Roman" w:hAnsi="Times New Roman"/>
          <w:color w:val="000000"/>
          <w:sz w:val="24"/>
          <w:szCs w:val="24"/>
        </w:rPr>
        <w:t xml:space="preserve"> </w:t>
      </w:r>
      <w:r w:rsidRPr="004F3D57">
        <w:rPr>
          <w:rFonts w:ascii="Times New Roman" w:hAnsi="Times New Roman"/>
          <w:color w:val="000000"/>
          <w:sz w:val="24"/>
          <w:szCs w:val="24"/>
        </w:rPr>
        <w:t>месеци</w:t>
      </w:r>
      <w:r w:rsidR="00A10F0D" w:rsidRPr="004F3D57">
        <w:rPr>
          <w:rFonts w:ascii="Times New Roman" w:hAnsi="Times New Roman"/>
          <w:color w:val="000000"/>
          <w:sz w:val="24"/>
          <w:szCs w:val="24"/>
        </w:rPr>
        <w:t xml:space="preserve"> </w:t>
      </w:r>
      <w:r w:rsidRPr="004F3D57">
        <w:rPr>
          <w:rFonts w:ascii="Times New Roman" w:hAnsi="Times New Roman"/>
          <w:color w:val="000000"/>
          <w:sz w:val="24"/>
          <w:szCs w:val="24"/>
        </w:rPr>
        <w:t>до</w:t>
      </w:r>
      <w:r w:rsidR="00A10F0D" w:rsidRPr="004F3D57">
        <w:rPr>
          <w:rFonts w:ascii="Times New Roman" w:hAnsi="Times New Roman"/>
          <w:color w:val="000000"/>
          <w:sz w:val="24"/>
          <w:szCs w:val="24"/>
        </w:rPr>
        <w:t xml:space="preserve"> </w:t>
      </w:r>
      <w:r w:rsidRPr="004F3D57">
        <w:rPr>
          <w:rFonts w:ascii="Times New Roman" w:hAnsi="Times New Roman"/>
          <w:color w:val="000000"/>
          <w:sz w:val="24"/>
          <w:szCs w:val="24"/>
        </w:rPr>
        <w:t>три</w:t>
      </w:r>
      <w:r w:rsidR="00A10F0D" w:rsidRPr="004F3D57">
        <w:rPr>
          <w:rFonts w:ascii="Times New Roman" w:hAnsi="Times New Roman"/>
          <w:color w:val="000000"/>
          <w:sz w:val="24"/>
          <w:szCs w:val="24"/>
        </w:rPr>
        <w:t xml:space="preserve"> </w:t>
      </w:r>
      <w:r w:rsidRPr="004F3D57">
        <w:rPr>
          <w:rFonts w:ascii="Times New Roman" w:hAnsi="Times New Roman"/>
          <w:color w:val="000000"/>
          <w:sz w:val="24"/>
          <w:szCs w:val="24"/>
        </w:rPr>
        <w:t>године</w:t>
      </w:r>
      <w:r w:rsidR="00A10F0D" w:rsidRPr="004F3D57">
        <w:rPr>
          <w:rFonts w:ascii="Times New Roman" w:hAnsi="Times New Roman"/>
          <w:color w:val="000000"/>
          <w:sz w:val="24"/>
          <w:szCs w:val="24"/>
        </w:rPr>
        <w:t>.</w:t>
      </w:r>
      <w:r w:rsidR="000C5B11" w:rsidRPr="004F3D57">
        <w:rPr>
          <w:rFonts w:ascii="Times New Roman" w:hAnsi="Times New Roman"/>
          <w:color w:val="000000"/>
          <w:sz w:val="24"/>
          <w:szCs w:val="24"/>
          <w:lang w:val="sr-Cyrl-CS"/>
        </w:rPr>
        <w:t xml:space="preserve"> </w:t>
      </w:r>
    </w:p>
    <w:p w:rsidR="00A10F0D" w:rsidRPr="009768F9" w:rsidRDefault="00831157" w:rsidP="009768F9">
      <w:pPr>
        <w:ind w:firstLine="708"/>
        <w:jc w:val="both"/>
        <w:rPr>
          <w:rFonts w:ascii="Times New Roman" w:hAnsi="Times New Roman"/>
          <w:bCs/>
          <w:color w:val="000000"/>
          <w:sz w:val="24"/>
          <w:szCs w:val="24"/>
          <w:shd w:val="clear" w:color="auto" w:fill="FFFFFF"/>
          <w:lang w:val="sr-Cyrl-CS"/>
        </w:rPr>
      </w:pPr>
      <w:r>
        <w:rPr>
          <w:rFonts w:ascii="Times New Roman" w:hAnsi="Times New Roman"/>
          <w:bCs/>
          <w:color w:val="000000"/>
          <w:sz w:val="24"/>
          <w:szCs w:val="24"/>
          <w:shd w:val="clear" w:color="auto" w:fill="FFFFFF"/>
          <w:lang w:val="sr-Cyrl-CS"/>
        </w:rPr>
        <w:t xml:space="preserve"> </w:t>
      </w:r>
    </w:p>
    <w:p w:rsidR="00A10F0D" w:rsidRPr="009768F9" w:rsidRDefault="00255CEF" w:rsidP="009768F9">
      <w:pPr>
        <w:ind w:firstLine="708"/>
        <w:jc w:val="both"/>
        <w:rPr>
          <w:rFonts w:ascii="Times New Roman" w:hAnsi="Times New Roman"/>
          <w:b/>
          <w:bCs/>
          <w:color w:val="000000"/>
          <w:sz w:val="24"/>
          <w:szCs w:val="24"/>
          <w:shd w:val="clear" w:color="auto" w:fill="FFFFFF"/>
          <w:lang w:val="sr-Cyrl-CS"/>
        </w:rPr>
      </w:pPr>
      <w:r>
        <w:rPr>
          <w:rFonts w:ascii="Times New Roman" w:hAnsi="Times New Roman"/>
          <w:b/>
          <w:bCs/>
          <w:color w:val="000000"/>
          <w:sz w:val="24"/>
          <w:szCs w:val="24"/>
          <w:shd w:val="clear" w:color="auto" w:fill="FFFFFF"/>
          <w:lang w:val="sr-Cyrl-CS"/>
        </w:rPr>
        <w:t>2.1.4</w:t>
      </w:r>
      <w:r w:rsidR="000C5B11" w:rsidRPr="009768F9">
        <w:rPr>
          <w:rFonts w:ascii="Times New Roman" w:hAnsi="Times New Roman"/>
          <w:b/>
          <w:bCs/>
          <w:color w:val="000000"/>
          <w:sz w:val="24"/>
          <w:szCs w:val="24"/>
          <w:shd w:val="clear" w:color="auto" w:fill="FFFFFF"/>
          <w:lang w:val="sr-Cyrl-CS"/>
        </w:rPr>
        <w:t>.2.Пријављивање мањих износа пореза</w:t>
      </w:r>
    </w:p>
    <w:p w:rsidR="000C5B11" w:rsidRPr="009768F9" w:rsidRDefault="000C5B11" w:rsidP="009768F9">
      <w:pPr>
        <w:ind w:firstLine="708"/>
        <w:jc w:val="both"/>
        <w:rPr>
          <w:rFonts w:ascii="Times New Roman" w:hAnsi="Times New Roman"/>
          <w:b/>
          <w:bCs/>
          <w:color w:val="000000"/>
          <w:sz w:val="24"/>
          <w:szCs w:val="24"/>
          <w:shd w:val="clear" w:color="auto" w:fill="FFFFFF"/>
          <w:lang w:val="sr-Cyrl-CS"/>
        </w:rPr>
      </w:pPr>
    </w:p>
    <w:p w:rsidR="000C5B11" w:rsidRPr="009768F9" w:rsidRDefault="000C5B11" w:rsidP="009768F9">
      <w:pPr>
        <w:ind w:firstLine="708"/>
        <w:jc w:val="both"/>
        <w:rPr>
          <w:rFonts w:ascii="Times New Roman" w:hAnsi="Times New Roman"/>
          <w:color w:val="000000"/>
          <w:sz w:val="24"/>
          <w:szCs w:val="24"/>
          <w:shd w:val="clear" w:color="auto" w:fill="FFFFFF"/>
          <w:lang w:val="sr-Cyrl-CS"/>
        </w:rPr>
      </w:pPr>
      <w:r w:rsidRPr="009768F9">
        <w:rPr>
          <w:rFonts w:ascii="Times New Roman" w:hAnsi="Times New Roman"/>
          <w:bCs/>
          <w:color w:val="000000"/>
          <w:sz w:val="24"/>
          <w:szCs w:val="24"/>
          <w:shd w:val="clear" w:color="auto" w:fill="FFFFFF"/>
          <w:lang w:val="sr-Cyrl-CS"/>
        </w:rPr>
        <w:t>Порески</w:t>
      </w:r>
      <w:r w:rsidRPr="009768F9">
        <w:rPr>
          <w:rFonts w:ascii="Times New Roman" w:hAnsi="Times New Roman"/>
          <w:b/>
          <w:bCs/>
          <w:color w:val="000000"/>
          <w:sz w:val="24"/>
          <w:szCs w:val="24"/>
          <w:shd w:val="clear" w:color="auto" w:fill="FFFFFF"/>
          <w:lang w:val="sr-Cyrl-CS"/>
        </w:rPr>
        <w:t xml:space="preserve"> </w:t>
      </w:r>
      <w:r w:rsidRPr="009768F9">
        <w:rPr>
          <w:rFonts w:ascii="Times New Roman" w:hAnsi="Times New Roman"/>
          <w:bCs/>
          <w:color w:val="000000"/>
          <w:sz w:val="24"/>
          <w:szCs w:val="24"/>
          <w:shd w:val="clear" w:color="auto" w:fill="FFFFFF"/>
          <w:lang w:val="sr-Cyrl-CS"/>
        </w:rPr>
        <w:t xml:space="preserve">прекршај пријављивање мањих износа пореза чини порески обвезник-правно лице или предузетник </w:t>
      </w:r>
      <w:r w:rsidRPr="009768F9">
        <w:rPr>
          <w:rFonts w:ascii="Times New Roman" w:hAnsi="Times New Roman"/>
          <w:color w:val="000000"/>
          <w:sz w:val="24"/>
          <w:szCs w:val="24"/>
          <w:shd w:val="clear" w:color="auto" w:fill="FFFFFF"/>
          <w:lang w:val="sr-Cyrl-CS"/>
        </w:rPr>
        <w:t>а</w:t>
      </w:r>
      <w:r w:rsidR="00AA381E" w:rsidRPr="009768F9">
        <w:rPr>
          <w:rFonts w:ascii="Times New Roman" w:hAnsi="Times New Roman"/>
          <w:color w:val="000000"/>
          <w:sz w:val="24"/>
          <w:szCs w:val="24"/>
          <w:shd w:val="clear" w:color="auto" w:fill="FFFFFF"/>
        </w:rPr>
        <w:t>ко</w:t>
      </w:r>
      <w:r w:rsidR="00A10F0D" w:rsidRPr="009768F9">
        <w:rPr>
          <w:rFonts w:ascii="Times New Roman" w:hAnsi="Times New Roman"/>
          <w:color w:val="000000"/>
          <w:sz w:val="24"/>
          <w:szCs w:val="24"/>
          <w:shd w:val="clear" w:color="auto" w:fill="FFFFFF"/>
        </w:rPr>
        <w:t xml:space="preserve"> </w:t>
      </w:r>
      <w:r w:rsidR="00AA381E" w:rsidRPr="009768F9">
        <w:rPr>
          <w:rFonts w:ascii="Times New Roman" w:hAnsi="Times New Roman"/>
          <w:color w:val="000000"/>
          <w:sz w:val="24"/>
          <w:szCs w:val="24"/>
          <w:shd w:val="clear" w:color="auto" w:fill="FFFFFF"/>
        </w:rPr>
        <w:t>је</w:t>
      </w:r>
      <w:r w:rsidR="00A10F0D" w:rsidRPr="009768F9">
        <w:rPr>
          <w:rFonts w:ascii="Times New Roman" w:hAnsi="Times New Roman"/>
          <w:color w:val="000000"/>
          <w:sz w:val="24"/>
          <w:szCs w:val="24"/>
          <w:shd w:val="clear" w:color="auto" w:fill="FFFFFF"/>
        </w:rPr>
        <w:t xml:space="preserve"> </w:t>
      </w:r>
      <w:r w:rsidR="00AA381E" w:rsidRPr="009768F9">
        <w:rPr>
          <w:rFonts w:ascii="Times New Roman" w:hAnsi="Times New Roman"/>
          <w:color w:val="000000"/>
          <w:sz w:val="24"/>
          <w:szCs w:val="24"/>
          <w:shd w:val="clear" w:color="auto" w:fill="FFFFFF"/>
        </w:rPr>
        <w:t>износ</w:t>
      </w:r>
      <w:r w:rsidR="00A10F0D" w:rsidRPr="009768F9">
        <w:rPr>
          <w:rFonts w:ascii="Times New Roman" w:hAnsi="Times New Roman"/>
          <w:color w:val="000000"/>
          <w:sz w:val="24"/>
          <w:szCs w:val="24"/>
          <w:shd w:val="clear" w:color="auto" w:fill="FFFFFF"/>
        </w:rPr>
        <w:t xml:space="preserve"> </w:t>
      </w:r>
      <w:r w:rsidR="00AA381E" w:rsidRPr="009768F9">
        <w:rPr>
          <w:rFonts w:ascii="Times New Roman" w:hAnsi="Times New Roman"/>
          <w:color w:val="000000"/>
          <w:sz w:val="24"/>
          <w:szCs w:val="24"/>
          <w:shd w:val="clear" w:color="auto" w:fill="FFFFFF"/>
        </w:rPr>
        <w:t>пореза</w:t>
      </w:r>
      <w:r w:rsidR="00A10F0D" w:rsidRPr="009768F9">
        <w:rPr>
          <w:rFonts w:ascii="Times New Roman" w:hAnsi="Times New Roman"/>
          <w:color w:val="000000"/>
          <w:sz w:val="24"/>
          <w:szCs w:val="24"/>
          <w:shd w:val="clear" w:color="auto" w:fill="FFFFFF"/>
        </w:rPr>
        <w:t xml:space="preserve"> </w:t>
      </w:r>
      <w:r w:rsidR="00AA381E" w:rsidRPr="009768F9">
        <w:rPr>
          <w:rFonts w:ascii="Times New Roman" w:hAnsi="Times New Roman"/>
          <w:color w:val="000000"/>
          <w:sz w:val="24"/>
          <w:szCs w:val="24"/>
          <w:shd w:val="clear" w:color="auto" w:fill="FFFFFF"/>
        </w:rPr>
        <w:t>утврђен</w:t>
      </w:r>
      <w:r w:rsidR="00A10F0D" w:rsidRPr="009768F9">
        <w:rPr>
          <w:rFonts w:ascii="Times New Roman" w:hAnsi="Times New Roman"/>
          <w:color w:val="000000"/>
          <w:sz w:val="24"/>
          <w:szCs w:val="24"/>
          <w:shd w:val="clear" w:color="auto" w:fill="FFFFFF"/>
        </w:rPr>
        <w:t xml:space="preserve"> </w:t>
      </w:r>
      <w:r w:rsidR="00AA381E" w:rsidRPr="009768F9">
        <w:rPr>
          <w:rFonts w:ascii="Times New Roman" w:hAnsi="Times New Roman"/>
          <w:color w:val="000000"/>
          <w:sz w:val="24"/>
          <w:szCs w:val="24"/>
          <w:shd w:val="clear" w:color="auto" w:fill="FFFFFF"/>
        </w:rPr>
        <w:t>у</w:t>
      </w:r>
      <w:r w:rsidR="00A10F0D" w:rsidRPr="009768F9">
        <w:rPr>
          <w:rFonts w:ascii="Times New Roman" w:hAnsi="Times New Roman"/>
          <w:color w:val="000000"/>
          <w:sz w:val="24"/>
          <w:szCs w:val="24"/>
          <w:shd w:val="clear" w:color="auto" w:fill="FFFFFF"/>
        </w:rPr>
        <w:t xml:space="preserve"> </w:t>
      </w:r>
      <w:r w:rsidR="00AA381E" w:rsidRPr="009768F9">
        <w:rPr>
          <w:rFonts w:ascii="Times New Roman" w:hAnsi="Times New Roman"/>
          <w:color w:val="000000"/>
          <w:sz w:val="24"/>
          <w:szCs w:val="24"/>
          <w:shd w:val="clear" w:color="auto" w:fill="FFFFFF"/>
        </w:rPr>
        <w:t>пореској</w:t>
      </w:r>
      <w:r w:rsidR="00A10F0D" w:rsidRPr="009768F9">
        <w:rPr>
          <w:rFonts w:ascii="Times New Roman" w:hAnsi="Times New Roman"/>
          <w:color w:val="000000"/>
          <w:sz w:val="24"/>
          <w:szCs w:val="24"/>
          <w:shd w:val="clear" w:color="auto" w:fill="FFFFFF"/>
        </w:rPr>
        <w:t xml:space="preserve"> </w:t>
      </w:r>
      <w:r w:rsidR="00AA381E" w:rsidRPr="009768F9">
        <w:rPr>
          <w:rFonts w:ascii="Times New Roman" w:hAnsi="Times New Roman"/>
          <w:color w:val="000000"/>
          <w:sz w:val="24"/>
          <w:szCs w:val="24"/>
          <w:shd w:val="clear" w:color="auto" w:fill="FFFFFF"/>
        </w:rPr>
        <w:t>пријави</w:t>
      </w:r>
      <w:r w:rsidR="00A10F0D" w:rsidRPr="009768F9">
        <w:rPr>
          <w:rFonts w:ascii="Times New Roman" w:hAnsi="Times New Roman"/>
          <w:color w:val="000000"/>
          <w:sz w:val="24"/>
          <w:szCs w:val="24"/>
          <w:shd w:val="clear" w:color="auto" w:fill="FFFFFF"/>
        </w:rPr>
        <w:t xml:space="preserve"> </w:t>
      </w:r>
      <w:r w:rsidR="00AA381E" w:rsidRPr="009768F9">
        <w:rPr>
          <w:rFonts w:ascii="Times New Roman" w:hAnsi="Times New Roman"/>
          <w:color w:val="000000"/>
          <w:sz w:val="24"/>
          <w:szCs w:val="24"/>
          <w:shd w:val="clear" w:color="auto" w:fill="FFFFFF"/>
        </w:rPr>
        <w:t>мањи</w:t>
      </w:r>
      <w:r w:rsidR="00A10F0D" w:rsidRPr="009768F9">
        <w:rPr>
          <w:rFonts w:ascii="Times New Roman" w:hAnsi="Times New Roman"/>
          <w:color w:val="000000"/>
          <w:sz w:val="24"/>
          <w:szCs w:val="24"/>
          <w:shd w:val="clear" w:color="auto" w:fill="FFFFFF"/>
        </w:rPr>
        <w:t xml:space="preserve"> </w:t>
      </w:r>
      <w:r w:rsidR="00AA381E" w:rsidRPr="009768F9">
        <w:rPr>
          <w:rFonts w:ascii="Times New Roman" w:hAnsi="Times New Roman"/>
          <w:color w:val="000000"/>
          <w:sz w:val="24"/>
          <w:szCs w:val="24"/>
          <w:shd w:val="clear" w:color="auto" w:fill="FFFFFF"/>
        </w:rPr>
        <w:t>од</w:t>
      </w:r>
      <w:r w:rsidR="00A10F0D" w:rsidRPr="009768F9">
        <w:rPr>
          <w:rFonts w:ascii="Times New Roman" w:hAnsi="Times New Roman"/>
          <w:color w:val="000000"/>
          <w:sz w:val="24"/>
          <w:szCs w:val="24"/>
          <w:shd w:val="clear" w:color="auto" w:fill="FFFFFF"/>
        </w:rPr>
        <w:t xml:space="preserve"> </w:t>
      </w:r>
      <w:r w:rsidR="00AA381E" w:rsidRPr="009768F9">
        <w:rPr>
          <w:rFonts w:ascii="Times New Roman" w:hAnsi="Times New Roman"/>
          <w:color w:val="000000"/>
          <w:sz w:val="24"/>
          <w:szCs w:val="24"/>
          <w:shd w:val="clear" w:color="auto" w:fill="FFFFFF"/>
        </w:rPr>
        <w:t>износа</w:t>
      </w:r>
      <w:r w:rsidR="00A10F0D" w:rsidRPr="009768F9">
        <w:rPr>
          <w:rFonts w:ascii="Times New Roman" w:hAnsi="Times New Roman"/>
          <w:color w:val="000000"/>
          <w:sz w:val="24"/>
          <w:szCs w:val="24"/>
          <w:shd w:val="clear" w:color="auto" w:fill="FFFFFF"/>
        </w:rPr>
        <w:t xml:space="preserve"> </w:t>
      </w:r>
      <w:r w:rsidR="00AA381E" w:rsidRPr="009768F9">
        <w:rPr>
          <w:rFonts w:ascii="Times New Roman" w:hAnsi="Times New Roman"/>
          <w:color w:val="000000"/>
          <w:sz w:val="24"/>
          <w:szCs w:val="24"/>
          <w:shd w:val="clear" w:color="auto" w:fill="FFFFFF"/>
        </w:rPr>
        <w:t>који</w:t>
      </w:r>
      <w:r w:rsidR="00A10F0D" w:rsidRPr="009768F9">
        <w:rPr>
          <w:rFonts w:ascii="Times New Roman" w:hAnsi="Times New Roman"/>
          <w:color w:val="000000"/>
          <w:sz w:val="24"/>
          <w:szCs w:val="24"/>
          <w:shd w:val="clear" w:color="auto" w:fill="FFFFFF"/>
        </w:rPr>
        <w:t xml:space="preserve"> </w:t>
      </w:r>
      <w:r w:rsidR="00AA381E" w:rsidRPr="009768F9">
        <w:rPr>
          <w:rFonts w:ascii="Times New Roman" w:hAnsi="Times New Roman"/>
          <w:color w:val="000000"/>
          <w:sz w:val="24"/>
          <w:szCs w:val="24"/>
          <w:shd w:val="clear" w:color="auto" w:fill="FFFFFF"/>
        </w:rPr>
        <w:t>је</w:t>
      </w:r>
      <w:r w:rsidR="00A10F0D" w:rsidRPr="009768F9">
        <w:rPr>
          <w:rFonts w:ascii="Times New Roman" w:hAnsi="Times New Roman"/>
          <w:color w:val="000000"/>
          <w:sz w:val="24"/>
          <w:szCs w:val="24"/>
          <w:shd w:val="clear" w:color="auto" w:fill="FFFFFF"/>
        </w:rPr>
        <w:t xml:space="preserve"> </w:t>
      </w:r>
      <w:r w:rsidR="00AA381E" w:rsidRPr="009768F9">
        <w:rPr>
          <w:rFonts w:ascii="Times New Roman" w:hAnsi="Times New Roman"/>
          <w:color w:val="000000"/>
          <w:sz w:val="24"/>
          <w:szCs w:val="24"/>
          <w:shd w:val="clear" w:color="auto" w:fill="FFFFFF"/>
        </w:rPr>
        <w:t>требало</w:t>
      </w:r>
      <w:r w:rsidR="00A10F0D" w:rsidRPr="009768F9">
        <w:rPr>
          <w:rFonts w:ascii="Times New Roman" w:hAnsi="Times New Roman"/>
          <w:color w:val="000000"/>
          <w:sz w:val="24"/>
          <w:szCs w:val="24"/>
          <w:shd w:val="clear" w:color="auto" w:fill="FFFFFF"/>
        </w:rPr>
        <w:t xml:space="preserve"> </w:t>
      </w:r>
      <w:r w:rsidR="00AA381E" w:rsidRPr="009768F9">
        <w:rPr>
          <w:rFonts w:ascii="Times New Roman" w:hAnsi="Times New Roman"/>
          <w:color w:val="000000"/>
          <w:sz w:val="24"/>
          <w:szCs w:val="24"/>
          <w:shd w:val="clear" w:color="auto" w:fill="FFFFFF"/>
        </w:rPr>
        <w:t>утврдити</w:t>
      </w:r>
      <w:r w:rsidR="00A10F0D" w:rsidRPr="009768F9">
        <w:rPr>
          <w:rFonts w:ascii="Times New Roman" w:hAnsi="Times New Roman"/>
          <w:color w:val="000000"/>
          <w:sz w:val="24"/>
          <w:szCs w:val="24"/>
          <w:shd w:val="clear" w:color="auto" w:fill="FFFFFF"/>
        </w:rPr>
        <w:t xml:space="preserve"> </w:t>
      </w:r>
      <w:r w:rsidR="00AA381E" w:rsidRPr="009768F9">
        <w:rPr>
          <w:rFonts w:ascii="Times New Roman" w:hAnsi="Times New Roman"/>
          <w:color w:val="000000"/>
          <w:sz w:val="24"/>
          <w:szCs w:val="24"/>
          <w:shd w:val="clear" w:color="auto" w:fill="FFFFFF"/>
        </w:rPr>
        <w:t>у</w:t>
      </w:r>
      <w:r w:rsidR="00A10F0D" w:rsidRPr="009768F9">
        <w:rPr>
          <w:rFonts w:ascii="Times New Roman" w:hAnsi="Times New Roman"/>
          <w:color w:val="000000"/>
          <w:sz w:val="24"/>
          <w:szCs w:val="24"/>
          <w:shd w:val="clear" w:color="auto" w:fill="FFFFFF"/>
        </w:rPr>
        <w:t xml:space="preserve"> </w:t>
      </w:r>
      <w:r w:rsidR="00AA381E" w:rsidRPr="009768F9">
        <w:rPr>
          <w:rFonts w:ascii="Times New Roman" w:hAnsi="Times New Roman"/>
          <w:color w:val="000000"/>
          <w:sz w:val="24"/>
          <w:szCs w:val="24"/>
          <w:shd w:val="clear" w:color="auto" w:fill="FFFFFF"/>
        </w:rPr>
        <w:t>складу</w:t>
      </w:r>
      <w:r w:rsidR="00A10F0D" w:rsidRPr="009768F9">
        <w:rPr>
          <w:rFonts w:ascii="Times New Roman" w:hAnsi="Times New Roman"/>
          <w:color w:val="000000"/>
          <w:sz w:val="24"/>
          <w:szCs w:val="24"/>
          <w:shd w:val="clear" w:color="auto" w:fill="FFFFFF"/>
        </w:rPr>
        <w:t xml:space="preserve"> </w:t>
      </w:r>
      <w:r w:rsidR="00AA381E" w:rsidRPr="009768F9">
        <w:rPr>
          <w:rFonts w:ascii="Times New Roman" w:hAnsi="Times New Roman"/>
          <w:color w:val="000000"/>
          <w:sz w:val="24"/>
          <w:szCs w:val="24"/>
          <w:shd w:val="clear" w:color="auto" w:fill="FFFFFF"/>
        </w:rPr>
        <w:t>са</w:t>
      </w:r>
      <w:r w:rsidR="00A10F0D" w:rsidRPr="009768F9">
        <w:rPr>
          <w:rFonts w:ascii="Times New Roman" w:hAnsi="Times New Roman"/>
          <w:color w:val="000000"/>
          <w:sz w:val="24"/>
          <w:szCs w:val="24"/>
          <w:shd w:val="clear" w:color="auto" w:fill="FFFFFF"/>
        </w:rPr>
        <w:t xml:space="preserve"> </w:t>
      </w:r>
      <w:r w:rsidR="00AA381E" w:rsidRPr="009768F9">
        <w:rPr>
          <w:rFonts w:ascii="Times New Roman" w:hAnsi="Times New Roman"/>
          <w:color w:val="000000"/>
          <w:sz w:val="24"/>
          <w:szCs w:val="24"/>
          <w:shd w:val="clear" w:color="auto" w:fill="FFFFFF"/>
        </w:rPr>
        <w:t>законом</w:t>
      </w:r>
      <w:r w:rsidRPr="009768F9">
        <w:rPr>
          <w:rFonts w:ascii="Times New Roman" w:hAnsi="Times New Roman"/>
          <w:color w:val="000000"/>
          <w:sz w:val="24"/>
          <w:szCs w:val="24"/>
          <w:shd w:val="clear" w:color="auto" w:fill="FFFFFF"/>
          <w:lang w:val="sr-Cyrl-CS"/>
        </w:rPr>
        <w:t xml:space="preserve">. </w:t>
      </w:r>
    </w:p>
    <w:p w:rsidR="00A10F0D" w:rsidRPr="009768F9" w:rsidRDefault="00A10F0D" w:rsidP="009768F9">
      <w:pPr>
        <w:ind w:firstLine="708"/>
        <w:jc w:val="both"/>
        <w:rPr>
          <w:rFonts w:ascii="Times New Roman" w:hAnsi="Times New Roman"/>
          <w:color w:val="000000"/>
          <w:sz w:val="24"/>
          <w:szCs w:val="24"/>
          <w:shd w:val="clear" w:color="auto" w:fill="FFFFFF"/>
          <w:lang w:val="sr-Cyrl-CS"/>
        </w:rPr>
      </w:pPr>
      <w:r w:rsidRPr="009768F9">
        <w:rPr>
          <w:rFonts w:ascii="Times New Roman" w:hAnsi="Times New Roman"/>
          <w:color w:val="000000"/>
          <w:sz w:val="24"/>
          <w:szCs w:val="24"/>
          <w:shd w:val="clear" w:color="auto" w:fill="FFFFFF"/>
          <w:lang w:val="sr-Cyrl-CS"/>
        </w:rPr>
        <w:t>Новчана казна се разликује у зависности да ли прекршај чини правно лице или предузетник, као и у зависности од разлике између износа пореза у пореској пријави и оног који је у складу са законом требало утврдити.</w:t>
      </w:r>
      <w:r w:rsidR="000C5B11" w:rsidRPr="009768F9">
        <w:rPr>
          <w:rFonts w:ascii="Times New Roman" w:hAnsi="Times New Roman"/>
          <w:color w:val="000000"/>
          <w:sz w:val="24"/>
          <w:szCs w:val="24"/>
          <w:shd w:val="clear" w:color="auto" w:fill="FFFFFF"/>
          <w:lang w:val="sr-Cyrl-CS"/>
        </w:rPr>
        <w:t xml:space="preserve"> </w:t>
      </w:r>
      <w:r w:rsidRPr="009768F9">
        <w:rPr>
          <w:rFonts w:ascii="Times New Roman" w:hAnsi="Times New Roman"/>
          <w:color w:val="000000"/>
          <w:sz w:val="24"/>
          <w:szCs w:val="24"/>
          <w:shd w:val="clear" w:color="auto" w:fill="FFFFFF"/>
          <w:lang w:val="sr-Cyrl-CS"/>
        </w:rPr>
        <w:t>За прекршај ће се казнити и одговорно лице у правном лицу.</w:t>
      </w:r>
    </w:p>
    <w:p w:rsidR="0058575C" w:rsidRDefault="0058575C" w:rsidP="00743A1F">
      <w:pPr>
        <w:pStyle w:val="NormalWeb"/>
        <w:shd w:val="clear" w:color="auto" w:fill="FFFFFF"/>
        <w:spacing w:line="300" w:lineRule="atLeast"/>
        <w:jc w:val="both"/>
        <w:rPr>
          <w:rFonts w:ascii="Arial" w:hAnsi="Arial" w:cs="Arial"/>
          <w:color w:val="000000"/>
          <w:sz w:val="21"/>
          <w:szCs w:val="21"/>
          <w:lang w:val="sr-Latn-CS"/>
        </w:rPr>
      </w:pPr>
    </w:p>
    <w:p w:rsidR="00D45FD1" w:rsidRDefault="00D45FD1" w:rsidP="00743A1F">
      <w:pPr>
        <w:pStyle w:val="NormalWeb"/>
        <w:shd w:val="clear" w:color="auto" w:fill="FFFFFF"/>
        <w:spacing w:line="300" w:lineRule="atLeast"/>
        <w:jc w:val="both"/>
        <w:rPr>
          <w:rFonts w:ascii="Arial" w:hAnsi="Arial" w:cs="Arial"/>
          <w:color w:val="000000"/>
          <w:sz w:val="21"/>
          <w:szCs w:val="21"/>
          <w:lang w:val="sr-Latn-CS"/>
        </w:rPr>
      </w:pPr>
    </w:p>
    <w:p w:rsidR="00D45FD1" w:rsidRDefault="00D45FD1" w:rsidP="00743A1F">
      <w:pPr>
        <w:pStyle w:val="NormalWeb"/>
        <w:shd w:val="clear" w:color="auto" w:fill="FFFFFF"/>
        <w:spacing w:line="300" w:lineRule="atLeast"/>
        <w:jc w:val="both"/>
        <w:rPr>
          <w:rFonts w:ascii="Arial" w:hAnsi="Arial" w:cs="Arial"/>
          <w:color w:val="000000"/>
          <w:sz w:val="21"/>
          <w:szCs w:val="21"/>
          <w:lang w:val="sr-Latn-CS"/>
        </w:rPr>
      </w:pPr>
    </w:p>
    <w:p w:rsidR="00D45FD1" w:rsidRDefault="00D45FD1" w:rsidP="00743A1F">
      <w:pPr>
        <w:pStyle w:val="NormalWeb"/>
        <w:shd w:val="clear" w:color="auto" w:fill="FFFFFF"/>
        <w:spacing w:line="300" w:lineRule="atLeast"/>
        <w:jc w:val="both"/>
        <w:rPr>
          <w:rFonts w:ascii="Arial" w:hAnsi="Arial" w:cs="Arial"/>
          <w:color w:val="000000"/>
          <w:sz w:val="21"/>
          <w:szCs w:val="21"/>
          <w:lang w:val="sr-Latn-CS"/>
        </w:rPr>
      </w:pPr>
    </w:p>
    <w:p w:rsidR="00D45FD1" w:rsidRDefault="00D45FD1" w:rsidP="00743A1F">
      <w:pPr>
        <w:pStyle w:val="NormalWeb"/>
        <w:shd w:val="clear" w:color="auto" w:fill="FFFFFF"/>
        <w:spacing w:line="300" w:lineRule="atLeast"/>
        <w:jc w:val="both"/>
        <w:rPr>
          <w:rFonts w:ascii="Arial" w:hAnsi="Arial" w:cs="Arial"/>
          <w:color w:val="000000"/>
          <w:sz w:val="21"/>
          <w:szCs w:val="21"/>
          <w:lang w:val="sr-Latn-CS"/>
        </w:rPr>
      </w:pPr>
    </w:p>
    <w:p w:rsidR="00D45FD1" w:rsidRDefault="00D45FD1" w:rsidP="00743A1F">
      <w:pPr>
        <w:pStyle w:val="NormalWeb"/>
        <w:shd w:val="clear" w:color="auto" w:fill="FFFFFF"/>
        <w:spacing w:line="300" w:lineRule="atLeast"/>
        <w:jc w:val="both"/>
        <w:rPr>
          <w:rFonts w:ascii="Arial" w:hAnsi="Arial" w:cs="Arial"/>
          <w:color w:val="000000"/>
          <w:sz w:val="21"/>
          <w:szCs w:val="21"/>
          <w:lang w:val="sr-Cyrl-CS"/>
        </w:rPr>
      </w:pPr>
    </w:p>
    <w:p w:rsidR="00831157" w:rsidRDefault="00831157" w:rsidP="00743A1F">
      <w:pPr>
        <w:pStyle w:val="NormalWeb"/>
        <w:shd w:val="clear" w:color="auto" w:fill="FFFFFF"/>
        <w:spacing w:line="300" w:lineRule="atLeast"/>
        <w:jc w:val="both"/>
        <w:rPr>
          <w:rFonts w:ascii="Arial" w:hAnsi="Arial" w:cs="Arial"/>
          <w:color w:val="000000"/>
          <w:sz w:val="21"/>
          <w:szCs w:val="21"/>
          <w:lang w:val="sr-Cyrl-CS"/>
        </w:rPr>
      </w:pPr>
    </w:p>
    <w:p w:rsidR="00831157" w:rsidRPr="00831157" w:rsidRDefault="00831157" w:rsidP="00743A1F">
      <w:pPr>
        <w:pStyle w:val="NormalWeb"/>
        <w:shd w:val="clear" w:color="auto" w:fill="FFFFFF"/>
        <w:spacing w:line="300" w:lineRule="atLeast"/>
        <w:jc w:val="both"/>
        <w:rPr>
          <w:rFonts w:ascii="Arial" w:hAnsi="Arial" w:cs="Arial"/>
          <w:color w:val="000000"/>
          <w:sz w:val="21"/>
          <w:szCs w:val="21"/>
          <w:lang w:val="sr-Cyrl-CS"/>
        </w:rPr>
      </w:pPr>
    </w:p>
    <w:p w:rsidR="00D45FD1" w:rsidRPr="001671E0" w:rsidRDefault="00D45FD1" w:rsidP="00743A1F">
      <w:pPr>
        <w:pStyle w:val="NormalWeb"/>
        <w:shd w:val="clear" w:color="auto" w:fill="FFFFFF"/>
        <w:spacing w:line="300" w:lineRule="atLeast"/>
        <w:jc w:val="both"/>
        <w:rPr>
          <w:rFonts w:ascii="Arial" w:hAnsi="Arial" w:cs="Arial"/>
          <w:color w:val="000000"/>
          <w:sz w:val="21"/>
          <w:szCs w:val="21"/>
          <w:lang w:val="sr-Cyrl-CS"/>
        </w:rPr>
      </w:pPr>
    </w:p>
    <w:p w:rsidR="00A92172" w:rsidRDefault="00A92172" w:rsidP="00255CEF">
      <w:pPr>
        <w:jc w:val="center"/>
        <w:rPr>
          <w:rFonts w:ascii="Times New Roman" w:hAnsi="Times New Roman"/>
          <w:b/>
          <w:i/>
          <w:sz w:val="24"/>
          <w:szCs w:val="24"/>
          <w:lang w:val="sr-Cyrl-CS"/>
        </w:rPr>
      </w:pPr>
      <w:r>
        <w:rPr>
          <w:rFonts w:ascii="Times New Roman" w:hAnsi="Times New Roman"/>
          <w:b/>
          <w:sz w:val="24"/>
          <w:szCs w:val="24"/>
        </w:rPr>
        <w:lastRenderedPageBreak/>
        <w:t xml:space="preserve">II </w:t>
      </w:r>
      <w:r w:rsidR="00C73790" w:rsidRPr="009663CB">
        <w:rPr>
          <w:rFonts w:ascii="Times New Roman" w:hAnsi="Times New Roman"/>
          <w:b/>
          <w:i/>
          <w:sz w:val="28"/>
          <w:szCs w:val="28"/>
          <w:lang w:val="sr-Cyrl-CS"/>
        </w:rPr>
        <w:t>Учесници у откривању и сузбијању</w:t>
      </w:r>
    </w:p>
    <w:p w:rsidR="00255CEF" w:rsidRPr="00255CEF" w:rsidRDefault="00255CEF" w:rsidP="00255CEF">
      <w:pPr>
        <w:jc w:val="center"/>
        <w:rPr>
          <w:rFonts w:ascii="Times New Roman" w:hAnsi="Times New Roman"/>
          <w:b/>
          <w:i/>
          <w:sz w:val="24"/>
          <w:szCs w:val="24"/>
          <w:lang w:val="sr-Cyrl-CS"/>
        </w:rPr>
      </w:pPr>
    </w:p>
    <w:p w:rsidR="000215BC" w:rsidRDefault="00A32E1A" w:rsidP="005A6C2C">
      <w:pPr>
        <w:ind w:firstLine="630"/>
        <w:jc w:val="both"/>
        <w:rPr>
          <w:rFonts w:ascii="Times New Roman" w:hAnsi="Times New Roman"/>
          <w:sz w:val="24"/>
          <w:szCs w:val="24"/>
          <w:lang w:val="sr-Cyrl-CS"/>
        </w:rPr>
      </w:pPr>
      <w:r>
        <w:rPr>
          <w:rFonts w:ascii="Times New Roman" w:hAnsi="Times New Roman"/>
          <w:sz w:val="24"/>
          <w:szCs w:val="24"/>
          <w:lang w:val="sr-Cyrl-CS"/>
        </w:rPr>
        <w:t xml:space="preserve">Бројни су учесници у сузбијању и откривању привредног криминала и корупције попут </w:t>
      </w:r>
      <w:r w:rsidR="005A6C2C">
        <w:rPr>
          <w:rFonts w:ascii="Times New Roman" w:hAnsi="Times New Roman"/>
          <w:sz w:val="24"/>
          <w:szCs w:val="24"/>
          <w:lang w:val="sr-Cyrl-CS"/>
        </w:rPr>
        <w:t>пра</w:t>
      </w:r>
      <w:r w:rsidR="00A92172">
        <w:rPr>
          <w:rFonts w:ascii="Times New Roman" w:hAnsi="Times New Roman"/>
          <w:sz w:val="24"/>
          <w:szCs w:val="24"/>
          <w:lang w:val="sr-Cyrl-CS"/>
        </w:rPr>
        <w:t>восуђа, полиције, али и разних финанси</w:t>
      </w:r>
      <w:r w:rsidR="005A6C2C">
        <w:rPr>
          <w:rFonts w:ascii="Times New Roman" w:hAnsi="Times New Roman"/>
          <w:sz w:val="24"/>
          <w:szCs w:val="24"/>
          <w:lang w:val="sr-Cyrl-CS"/>
        </w:rPr>
        <w:t>ј</w:t>
      </w:r>
      <w:r w:rsidR="00A92172">
        <w:rPr>
          <w:rFonts w:ascii="Times New Roman" w:hAnsi="Times New Roman"/>
          <w:sz w:val="24"/>
          <w:szCs w:val="24"/>
          <w:lang w:val="sr-Cyrl-CS"/>
        </w:rPr>
        <w:t>с</w:t>
      </w:r>
      <w:r w:rsidR="005A6C2C">
        <w:rPr>
          <w:rFonts w:ascii="Times New Roman" w:hAnsi="Times New Roman"/>
          <w:sz w:val="24"/>
          <w:szCs w:val="24"/>
          <w:lang w:val="sr-Cyrl-CS"/>
        </w:rPr>
        <w:t xml:space="preserve">ких институција, невладиних организација, медија и др. </w:t>
      </w:r>
      <w:r w:rsidR="000215BC">
        <w:rPr>
          <w:rFonts w:ascii="Times New Roman" w:hAnsi="Times New Roman"/>
          <w:sz w:val="24"/>
          <w:szCs w:val="24"/>
          <w:lang w:val="sr-Cyrl-CS"/>
        </w:rPr>
        <w:t>Пошто се ради о сложеним негативним појавама које имају корене у недостатку система потребно је организовано деловање свих надлежних органа у борби против њих. Међутим, за то је потребно да сви надлежни органи законито обављају своје послове. Уколико у њиховом раду има уплива корупције то поткопава поверење грађана, ремети вредносни систем и изазива општу несигурност.</w:t>
      </w:r>
    </w:p>
    <w:p w:rsidR="00822C94" w:rsidRDefault="000215BC" w:rsidP="005A6C2C">
      <w:pPr>
        <w:ind w:firstLine="630"/>
        <w:jc w:val="both"/>
        <w:rPr>
          <w:rFonts w:ascii="Times New Roman" w:hAnsi="Times New Roman"/>
          <w:sz w:val="24"/>
          <w:szCs w:val="24"/>
          <w:lang w:val="sr-Cyrl-CS"/>
        </w:rPr>
      </w:pPr>
      <w:r>
        <w:rPr>
          <w:rFonts w:ascii="Times New Roman" w:hAnsi="Times New Roman"/>
          <w:sz w:val="24"/>
          <w:szCs w:val="24"/>
          <w:lang w:val="sr-Cyrl-CS"/>
        </w:rPr>
        <w:t>При том, п</w:t>
      </w:r>
      <w:r w:rsidR="005A6C2C">
        <w:rPr>
          <w:rFonts w:ascii="Times New Roman" w:hAnsi="Times New Roman"/>
          <w:sz w:val="24"/>
          <w:szCs w:val="24"/>
          <w:lang w:val="sr-Cyrl-CS"/>
        </w:rPr>
        <w:t>ривредни криминал и корупција привлаче велику пажњу медија и јавности</w:t>
      </w:r>
      <w:r w:rsidR="00A92172">
        <w:rPr>
          <w:rFonts w:ascii="Times New Roman" w:hAnsi="Times New Roman"/>
          <w:sz w:val="24"/>
          <w:szCs w:val="24"/>
          <w:lang w:val="sr-Cyrl-CS"/>
        </w:rPr>
        <w:t xml:space="preserve">. </w:t>
      </w:r>
      <w:r w:rsidR="005A6C2C">
        <w:rPr>
          <w:rFonts w:ascii="Times New Roman" w:hAnsi="Times New Roman"/>
          <w:sz w:val="24"/>
          <w:szCs w:val="24"/>
          <w:lang w:val="sr-Cyrl-CS"/>
        </w:rPr>
        <w:t>Често су то сензационалистички наслови који тежиште стављају на негативне аспекте борбе против ових појава и критику судских поступака, при чему се често</w:t>
      </w:r>
      <w:r w:rsidR="00D9413C">
        <w:rPr>
          <w:rFonts w:ascii="Times New Roman" w:hAnsi="Times New Roman"/>
          <w:sz w:val="24"/>
          <w:szCs w:val="24"/>
          <w:lang w:val="sr-Cyrl-CS"/>
        </w:rPr>
        <w:t xml:space="preserve"> заборављају позитивне стране и пос</w:t>
      </w:r>
      <w:r>
        <w:rPr>
          <w:rFonts w:ascii="Times New Roman" w:hAnsi="Times New Roman"/>
          <w:sz w:val="24"/>
          <w:szCs w:val="24"/>
          <w:lang w:val="sr-Cyrl-CS"/>
        </w:rPr>
        <w:t xml:space="preserve">тигнути добри резултати, што још више </w:t>
      </w:r>
      <w:r w:rsidR="00BC37A6">
        <w:rPr>
          <w:rFonts w:ascii="Times New Roman" w:hAnsi="Times New Roman"/>
          <w:sz w:val="24"/>
          <w:szCs w:val="24"/>
          <w:lang w:val="sr-Cyrl-CS"/>
        </w:rPr>
        <w:t xml:space="preserve">урушава </w:t>
      </w:r>
      <w:r>
        <w:rPr>
          <w:rFonts w:ascii="Times New Roman" w:hAnsi="Times New Roman"/>
          <w:sz w:val="24"/>
          <w:szCs w:val="24"/>
          <w:lang w:val="sr-Cyrl-CS"/>
        </w:rPr>
        <w:t>поверење јавности.</w:t>
      </w:r>
      <w:r w:rsidR="005A6C2C">
        <w:rPr>
          <w:rFonts w:ascii="Times New Roman" w:hAnsi="Times New Roman"/>
          <w:sz w:val="24"/>
          <w:szCs w:val="24"/>
          <w:lang w:val="sr-Cyrl-CS"/>
        </w:rPr>
        <w:t xml:space="preserve"> Такође, често се губе из вида поуке, а откривени случајеви не доводе до п</w:t>
      </w:r>
      <w:r w:rsidR="00D9413C">
        <w:rPr>
          <w:rFonts w:ascii="Times New Roman" w:hAnsi="Times New Roman"/>
          <w:sz w:val="24"/>
          <w:szCs w:val="24"/>
          <w:lang w:val="sr-Cyrl-CS"/>
        </w:rPr>
        <w:t>ромене прописа и организације ра</w:t>
      </w:r>
      <w:r w:rsidR="005A6C2C">
        <w:rPr>
          <w:rFonts w:ascii="Times New Roman" w:hAnsi="Times New Roman"/>
          <w:sz w:val="24"/>
          <w:szCs w:val="24"/>
          <w:lang w:val="sr-Cyrl-CS"/>
        </w:rPr>
        <w:t xml:space="preserve">ди отклањања грешака у систему. При том, имајући у виду актуелни пут ка приступању Европској унији и високе стандарде који се на том путу морају испунити, ова тема ефикасности, добре организације и сарадње учесника у откривању и спречавању привредног криминала и корупције добија још више на значају. </w:t>
      </w:r>
    </w:p>
    <w:p w:rsidR="00255CEF" w:rsidRDefault="00BA1B5D" w:rsidP="00255CEF">
      <w:pPr>
        <w:ind w:firstLine="630"/>
        <w:jc w:val="both"/>
        <w:rPr>
          <w:rFonts w:ascii="Times New Roman" w:hAnsi="Times New Roman"/>
          <w:sz w:val="24"/>
          <w:szCs w:val="24"/>
          <w:lang w:val="sr-Cyrl-CS"/>
        </w:rPr>
      </w:pPr>
      <w:r>
        <w:rPr>
          <w:rFonts w:ascii="Times New Roman" w:hAnsi="Times New Roman"/>
          <w:sz w:val="24"/>
          <w:szCs w:val="24"/>
          <w:lang w:val="sr-Cyrl-CS"/>
        </w:rPr>
        <w:t xml:space="preserve">Од великог значаја за правилно функционисање пореског система није само да </w:t>
      </w:r>
      <w:r w:rsidR="00D9413C">
        <w:rPr>
          <w:rFonts w:ascii="Times New Roman" w:hAnsi="Times New Roman"/>
          <w:sz w:val="24"/>
          <w:szCs w:val="24"/>
          <w:lang w:val="sr-Cyrl-CS"/>
        </w:rPr>
        <w:t xml:space="preserve">порески обвезници прихвате тај систем, тј. порезе њиме установљене, </w:t>
      </w:r>
      <w:r>
        <w:rPr>
          <w:rFonts w:ascii="Times New Roman" w:hAnsi="Times New Roman"/>
          <w:sz w:val="24"/>
          <w:szCs w:val="24"/>
          <w:lang w:val="sr-Cyrl-CS"/>
        </w:rPr>
        <w:t xml:space="preserve">него </w:t>
      </w:r>
      <w:r w:rsidR="00D9413C">
        <w:rPr>
          <w:rFonts w:ascii="Times New Roman" w:hAnsi="Times New Roman"/>
          <w:sz w:val="24"/>
          <w:szCs w:val="24"/>
          <w:lang w:val="sr-Cyrl-CS"/>
        </w:rPr>
        <w:t xml:space="preserve">и да имају позитиван став према пореским органима који их примењују. </w:t>
      </w:r>
      <w:r>
        <w:rPr>
          <w:rFonts w:ascii="Times New Roman" w:hAnsi="Times New Roman"/>
          <w:sz w:val="24"/>
          <w:szCs w:val="24"/>
          <w:lang w:val="sr-Cyrl-CS"/>
        </w:rPr>
        <w:t xml:space="preserve">За формирање таквог става потребно је да </w:t>
      </w:r>
      <w:r w:rsidR="00D9413C">
        <w:rPr>
          <w:rFonts w:ascii="Times New Roman" w:hAnsi="Times New Roman"/>
          <w:sz w:val="24"/>
          <w:szCs w:val="24"/>
          <w:lang w:val="sr-Cyrl-CS"/>
        </w:rPr>
        <w:t>порески органи, ради владавине права и правне сигурности, законито обавља</w:t>
      </w:r>
      <w:r>
        <w:rPr>
          <w:rFonts w:ascii="Times New Roman" w:hAnsi="Times New Roman"/>
          <w:sz w:val="24"/>
          <w:szCs w:val="24"/>
          <w:lang w:val="sr-Cyrl-CS"/>
        </w:rPr>
        <w:t>ју послове из своје надлежности, а г</w:t>
      </w:r>
      <w:r w:rsidR="00D9413C">
        <w:rPr>
          <w:rFonts w:ascii="Times New Roman" w:hAnsi="Times New Roman"/>
          <w:sz w:val="24"/>
          <w:szCs w:val="24"/>
          <w:lang w:val="sr-Cyrl-CS"/>
        </w:rPr>
        <w:t xml:space="preserve">арантије за то су механизми правне контроле њиховог рада-управна и судска контрола. </w:t>
      </w:r>
      <w:r>
        <w:rPr>
          <w:rFonts w:ascii="Times New Roman" w:hAnsi="Times New Roman"/>
          <w:sz w:val="24"/>
          <w:szCs w:val="24"/>
          <w:lang w:val="sr-Cyrl-CS"/>
        </w:rPr>
        <w:t xml:space="preserve">Уколико ови механизми нису </w:t>
      </w:r>
      <w:r w:rsidR="00D9413C">
        <w:rPr>
          <w:rFonts w:ascii="Times New Roman" w:hAnsi="Times New Roman"/>
          <w:sz w:val="24"/>
          <w:szCs w:val="24"/>
          <w:lang w:val="sr-Cyrl-CS"/>
        </w:rPr>
        <w:t>ефикасни порески обвезници губе веру у пр</w:t>
      </w:r>
      <w:r>
        <w:rPr>
          <w:rFonts w:ascii="Times New Roman" w:hAnsi="Times New Roman"/>
          <w:sz w:val="24"/>
          <w:szCs w:val="24"/>
          <w:lang w:val="sr-Cyrl-CS"/>
        </w:rPr>
        <w:t xml:space="preserve">аво и његову функцију у друштву и </w:t>
      </w:r>
      <w:r w:rsidR="009E1BF0">
        <w:rPr>
          <w:rFonts w:ascii="Times New Roman" w:hAnsi="Times New Roman"/>
          <w:sz w:val="24"/>
          <w:szCs w:val="24"/>
          <w:lang w:val="sr-Cyrl-CS"/>
        </w:rPr>
        <w:t xml:space="preserve">то даље </w:t>
      </w:r>
      <w:r>
        <w:rPr>
          <w:rFonts w:ascii="Times New Roman" w:hAnsi="Times New Roman"/>
          <w:sz w:val="24"/>
          <w:szCs w:val="24"/>
          <w:lang w:val="sr-Cyrl-CS"/>
        </w:rPr>
        <w:t xml:space="preserve">води </w:t>
      </w:r>
      <w:r w:rsidR="00D9413C">
        <w:rPr>
          <w:rFonts w:ascii="Times New Roman" w:hAnsi="Times New Roman"/>
          <w:sz w:val="24"/>
          <w:szCs w:val="24"/>
          <w:lang w:val="sr-Cyrl-CS"/>
        </w:rPr>
        <w:t>поткопава</w:t>
      </w:r>
      <w:r>
        <w:rPr>
          <w:rFonts w:ascii="Times New Roman" w:hAnsi="Times New Roman"/>
          <w:sz w:val="24"/>
          <w:szCs w:val="24"/>
          <w:lang w:val="sr-Cyrl-CS"/>
        </w:rPr>
        <w:t>њу пореског</w:t>
      </w:r>
      <w:r w:rsidR="00D9413C">
        <w:rPr>
          <w:rFonts w:ascii="Times New Roman" w:hAnsi="Times New Roman"/>
          <w:sz w:val="24"/>
          <w:szCs w:val="24"/>
          <w:lang w:val="sr-Cyrl-CS"/>
        </w:rPr>
        <w:t xml:space="preserve"> систем</w:t>
      </w:r>
      <w:r>
        <w:rPr>
          <w:rFonts w:ascii="Times New Roman" w:hAnsi="Times New Roman"/>
          <w:sz w:val="24"/>
          <w:szCs w:val="24"/>
          <w:lang w:val="sr-Cyrl-CS"/>
        </w:rPr>
        <w:t>а и поверења</w:t>
      </w:r>
      <w:r w:rsidR="00D9413C">
        <w:rPr>
          <w:rFonts w:ascii="Times New Roman" w:hAnsi="Times New Roman"/>
          <w:sz w:val="24"/>
          <w:szCs w:val="24"/>
          <w:lang w:val="sr-Cyrl-CS"/>
        </w:rPr>
        <w:t xml:space="preserve"> пореских обвезника у државну власт.</w:t>
      </w:r>
      <w:r w:rsidR="00D9413C">
        <w:rPr>
          <w:rStyle w:val="FootnoteReference"/>
          <w:rFonts w:ascii="Times New Roman" w:hAnsi="Times New Roman"/>
          <w:sz w:val="24"/>
          <w:szCs w:val="24"/>
          <w:lang w:val="sr-Cyrl-CS"/>
        </w:rPr>
        <w:footnoteReference w:id="840"/>
      </w:r>
    </w:p>
    <w:p w:rsidR="00255CEF" w:rsidRDefault="00255CEF" w:rsidP="00255CEF">
      <w:pPr>
        <w:ind w:firstLine="630"/>
        <w:jc w:val="both"/>
        <w:rPr>
          <w:rFonts w:ascii="Times New Roman" w:hAnsi="Times New Roman"/>
          <w:sz w:val="24"/>
          <w:szCs w:val="24"/>
          <w:lang w:val="sr-Cyrl-CS"/>
        </w:rPr>
      </w:pPr>
    </w:p>
    <w:p w:rsidR="00822C94" w:rsidRPr="00A92172" w:rsidRDefault="00A92172" w:rsidP="008A3795">
      <w:pPr>
        <w:pStyle w:val="ListParagraph"/>
        <w:numPr>
          <w:ilvl w:val="0"/>
          <w:numId w:val="60"/>
        </w:numPr>
        <w:jc w:val="center"/>
        <w:rPr>
          <w:rFonts w:ascii="Times New Roman" w:hAnsi="Times New Roman"/>
          <w:b/>
          <w:sz w:val="24"/>
          <w:szCs w:val="24"/>
          <w:lang w:val="sr-Cyrl-CS"/>
        </w:rPr>
      </w:pPr>
      <w:r w:rsidRPr="00A92172">
        <w:rPr>
          <w:rFonts w:ascii="Times New Roman" w:hAnsi="Times New Roman"/>
          <w:b/>
          <w:sz w:val="24"/>
          <w:szCs w:val="24"/>
        </w:rPr>
        <w:t>Пореска управа</w:t>
      </w:r>
    </w:p>
    <w:p w:rsidR="00221679" w:rsidRDefault="00221679" w:rsidP="00E72830">
      <w:pPr>
        <w:ind w:firstLine="630"/>
        <w:jc w:val="both"/>
        <w:rPr>
          <w:rFonts w:ascii="Times New Roman" w:hAnsi="Times New Roman"/>
          <w:sz w:val="24"/>
          <w:szCs w:val="24"/>
          <w:lang w:val="sr-Cyrl-CS"/>
        </w:rPr>
      </w:pPr>
    </w:p>
    <w:p w:rsidR="008B3682" w:rsidRDefault="008B3682" w:rsidP="008B3682">
      <w:pPr>
        <w:ind w:firstLine="630"/>
        <w:jc w:val="both"/>
        <w:rPr>
          <w:rFonts w:ascii="Times New Roman" w:hAnsi="Times New Roman"/>
          <w:sz w:val="24"/>
          <w:szCs w:val="24"/>
          <w:lang w:val="sr-Cyrl-CS"/>
        </w:rPr>
      </w:pPr>
      <w:r>
        <w:rPr>
          <w:rFonts w:ascii="Times New Roman" w:hAnsi="Times New Roman"/>
          <w:sz w:val="24"/>
          <w:szCs w:val="24"/>
          <w:lang w:val="sr-Cyrl-CS"/>
        </w:rPr>
        <w:t xml:space="preserve">За правилно функционисање </w:t>
      </w:r>
      <w:r w:rsidR="00F50BD2">
        <w:rPr>
          <w:rFonts w:ascii="Times New Roman" w:hAnsi="Times New Roman"/>
          <w:sz w:val="24"/>
          <w:szCs w:val="24"/>
          <w:lang w:val="sr-Cyrl-CS"/>
        </w:rPr>
        <w:t xml:space="preserve">реформисаног </w:t>
      </w:r>
      <w:r w:rsidR="00DA40FB">
        <w:rPr>
          <w:rFonts w:ascii="Times New Roman" w:hAnsi="Times New Roman"/>
          <w:sz w:val="24"/>
          <w:szCs w:val="24"/>
          <w:lang w:val="sr-Cyrl-CS"/>
        </w:rPr>
        <w:t>пореског система су</w:t>
      </w:r>
      <w:r>
        <w:rPr>
          <w:rFonts w:ascii="Times New Roman" w:hAnsi="Times New Roman"/>
          <w:sz w:val="24"/>
          <w:szCs w:val="24"/>
          <w:lang w:val="sr-Cyrl-CS"/>
        </w:rPr>
        <w:t xml:space="preserve"> од виталног значаја испуњавање пореских обавеза</w:t>
      </w:r>
      <w:r w:rsidR="00F50BD2">
        <w:rPr>
          <w:rFonts w:ascii="Times New Roman" w:hAnsi="Times New Roman"/>
          <w:sz w:val="24"/>
          <w:szCs w:val="24"/>
          <w:lang w:val="sr-Cyrl-CS"/>
        </w:rPr>
        <w:t xml:space="preserve"> и ефикасан рад пореске управе</w:t>
      </w:r>
      <w:r w:rsidR="00BE510A">
        <w:rPr>
          <w:rFonts w:ascii="Times New Roman" w:hAnsi="Times New Roman"/>
          <w:sz w:val="24"/>
          <w:szCs w:val="24"/>
          <w:lang w:val="sr-Cyrl-CS"/>
        </w:rPr>
        <w:t xml:space="preserve">. </w:t>
      </w:r>
      <w:r w:rsidR="00DA40FB">
        <w:rPr>
          <w:rFonts w:ascii="Times New Roman" w:hAnsi="Times New Roman"/>
          <w:sz w:val="24"/>
          <w:szCs w:val="24"/>
          <w:lang w:val="sr-Cyrl-CS"/>
        </w:rPr>
        <w:t>Од ефикасности поступка</w:t>
      </w:r>
      <w:r w:rsidR="00BE510A">
        <w:rPr>
          <w:rFonts w:ascii="Times New Roman" w:hAnsi="Times New Roman"/>
          <w:sz w:val="24"/>
          <w:szCs w:val="24"/>
          <w:lang w:val="sr-Cyrl-CS"/>
        </w:rPr>
        <w:t xml:space="preserve"> утврђивања, контроле и</w:t>
      </w:r>
      <w:r>
        <w:rPr>
          <w:rFonts w:ascii="Times New Roman" w:hAnsi="Times New Roman"/>
          <w:sz w:val="24"/>
          <w:szCs w:val="24"/>
          <w:lang w:val="sr-Cyrl-CS"/>
        </w:rPr>
        <w:t xml:space="preserve"> наплате зависи висина прикупљених средстава за остваривање бројних јавних потреба.</w:t>
      </w:r>
      <w:r w:rsidR="00BE510A">
        <w:rPr>
          <w:rFonts w:ascii="Times New Roman" w:hAnsi="Times New Roman"/>
          <w:sz w:val="24"/>
          <w:szCs w:val="24"/>
          <w:lang w:val="sr-Cyrl-CS"/>
        </w:rPr>
        <w:t xml:space="preserve"> Овај поступак је изложен великом ризику </w:t>
      </w:r>
      <w:r w:rsidR="00BE510A">
        <w:rPr>
          <w:rFonts w:ascii="Times New Roman" w:hAnsi="Times New Roman"/>
          <w:sz w:val="24"/>
          <w:szCs w:val="24"/>
          <w:lang w:val="sr-Cyrl-CS"/>
        </w:rPr>
        <w:lastRenderedPageBreak/>
        <w:t>корупције. Ради смањења услова који пог</w:t>
      </w:r>
      <w:r w:rsidR="00DB1BF8">
        <w:rPr>
          <w:rFonts w:ascii="Times New Roman" w:hAnsi="Times New Roman"/>
          <w:sz w:val="24"/>
          <w:szCs w:val="24"/>
          <w:lang w:val="sr-Cyrl-CS"/>
        </w:rPr>
        <w:t>од</w:t>
      </w:r>
      <w:r w:rsidR="00BE510A">
        <w:rPr>
          <w:rFonts w:ascii="Times New Roman" w:hAnsi="Times New Roman"/>
          <w:sz w:val="24"/>
          <w:szCs w:val="24"/>
          <w:lang w:val="sr-Cyrl-CS"/>
        </w:rPr>
        <w:t>ују корупцији од значаја је јасан и потпун правни оквир, смањење дискреционих овлашћења Пореске управе, добра информатичка опремљеност и обученост кадра</w:t>
      </w:r>
      <w:r w:rsidR="00AD3AD3">
        <w:rPr>
          <w:rFonts w:ascii="Times New Roman" w:hAnsi="Times New Roman"/>
          <w:sz w:val="24"/>
          <w:szCs w:val="24"/>
          <w:lang w:val="sr-Cyrl-CS"/>
        </w:rPr>
        <w:t xml:space="preserve"> и контрола рада.</w:t>
      </w:r>
    </w:p>
    <w:p w:rsidR="00AD3AD3" w:rsidRDefault="00822C94" w:rsidP="0029399D">
      <w:pPr>
        <w:ind w:firstLine="630"/>
        <w:jc w:val="both"/>
        <w:rPr>
          <w:rFonts w:ascii="Times New Roman" w:hAnsi="Times New Roman"/>
          <w:sz w:val="24"/>
          <w:szCs w:val="24"/>
          <w:lang w:val="sr-Cyrl-CS"/>
        </w:rPr>
      </w:pPr>
      <w:r>
        <w:rPr>
          <w:rFonts w:ascii="Times New Roman" w:hAnsi="Times New Roman"/>
          <w:sz w:val="24"/>
          <w:szCs w:val="24"/>
          <w:lang w:val="sr-Cyrl-CS"/>
        </w:rPr>
        <w:t xml:space="preserve">Пореска управа </w:t>
      </w:r>
      <w:r w:rsidR="00E72830">
        <w:rPr>
          <w:rFonts w:ascii="Times New Roman" w:hAnsi="Times New Roman"/>
          <w:sz w:val="24"/>
          <w:szCs w:val="24"/>
          <w:lang w:val="sr-Cyrl-CS"/>
        </w:rPr>
        <w:t xml:space="preserve">је </w:t>
      </w:r>
      <w:r w:rsidR="000B3507">
        <w:rPr>
          <w:rFonts w:ascii="Times New Roman" w:hAnsi="Times New Roman"/>
          <w:sz w:val="24"/>
          <w:szCs w:val="24"/>
          <w:lang w:val="sr-Cyrl-CS"/>
        </w:rPr>
        <w:t>ор</w:t>
      </w:r>
      <w:r w:rsidR="00207CA7">
        <w:rPr>
          <w:rFonts w:ascii="Times New Roman" w:hAnsi="Times New Roman"/>
          <w:sz w:val="24"/>
          <w:szCs w:val="24"/>
          <w:lang w:val="sr-Cyrl-CS"/>
        </w:rPr>
        <w:t>ган управе у саставу Министар</w:t>
      </w:r>
      <w:r w:rsidR="00E72830">
        <w:rPr>
          <w:rFonts w:ascii="Times New Roman" w:hAnsi="Times New Roman"/>
          <w:sz w:val="24"/>
          <w:szCs w:val="24"/>
          <w:lang w:val="sr-Cyrl-CS"/>
        </w:rPr>
        <w:t>ства финансија ко</w:t>
      </w:r>
      <w:r w:rsidR="00AD3AD3">
        <w:rPr>
          <w:rFonts w:ascii="Times New Roman" w:hAnsi="Times New Roman"/>
          <w:sz w:val="24"/>
          <w:szCs w:val="24"/>
          <w:lang w:val="sr-Cyrl-CS"/>
        </w:rPr>
        <w:t xml:space="preserve">ја има </w:t>
      </w:r>
      <w:r w:rsidR="0029399D">
        <w:rPr>
          <w:rFonts w:ascii="Times New Roman" w:hAnsi="Times New Roman"/>
          <w:sz w:val="24"/>
          <w:szCs w:val="24"/>
          <w:lang w:val="sr-Cyrl-CS"/>
        </w:rPr>
        <w:t>бројне надлежности попут</w:t>
      </w:r>
      <w:r w:rsidR="00AD3AD3">
        <w:rPr>
          <w:rFonts w:ascii="Times New Roman" w:hAnsi="Times New Roman"/>
          <w:sz w:val="24"/>
          <w:szCs w:val="24"/>
          <w:lang w:val="sr-Cyrl-CS"/>
        </w:rPr>
        <w:t xml:space="preserve"> </w:t>
      </w:r>
      <w:r w:rsidR="0029399D" w:rsidRPr="0029399D">
        <w:rPr>
          <w:rFonts w:ascii="Times New Roman" w:hAnsi="Times New Roman"/>
          <w:color w:val="000000"/>
          <w:sz w:val="24"/>
          <w:szCs w:val="24"/>
          <w:lang w:val="sr-Cyrl-CS"/>
        </w:rPr>
        <w:t>вршења</w:t>
      </w:r>
      <w:r w:rsidR="00E72830" w:rsidRPr="0029399D">
        <w:rPr>
          <w:rFonts w:ascii="Times New Roman" w:hAnsi="Times New Roman"/>
          <w:color w:val="000000"/>
          <w:sz w:val="24"/>
          <w:szCs w:val="24"/>
          <w:lang w:val="sr-Cyrl-CS"/>
        </w:rPr>
        <w:t xml:space="preserve"> </w:t>
      </w:r>
      <w:r w:rsidR="0029399D" w:rsidRPr="0029399D">
        <w:rPr>
          <w:rFonts w:ascii="Times New Roman" w:hAnsi="Times New Roman"/>
          <w:color w:val="000000"/>
          <w:sz w:val="24"/>
          <w:szCs w:val="24"/>
          <w:lang w:val="sr-Cyrl-CS"/>
        </w:rPr>
        <w:t>регистрације</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пореских</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обвезника</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додељивањем</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ПИБ</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и</w:t>
      </w:r>
      <w:r w:rsidR="00E72830" w:rsidRPr="0029399D">
        <w:rPr>
          <w:rFonts w:ascii="Times New Roman" w:hAnsi="Times New Roman"/>
          <w:color w:val="000000"/>
          <w:sz w:val="24"/>
          <w:szCs w:val="24"/>
          <w:lang w:val="sr-Cyrl-CS"/>
        </w:rPr>
        <w:t xml:space="preserve"> </w:t>
      </w:r>
      <w:r w:rsidR="0029399D" w:rsidRPr="0029399D">
        <w:rPr>
          <w:rFonts w:ascii="Times New Roman" w:hAnsi="Times New Roman"/>
          <w:color w:val="000000"/>
          <w:sz w:val="24"/>
          <w:szCs w:val="24"/>
          <w:lang w:val="sr-Cyrl-CS"/>
        </w:rPr>
        <w:t>вођења</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јединствен</w:t>
      </w:r>
      <w:r w:rsidR="0029399D" w:rsidRPr="0029399D">
        <w:rPr>
          <w:rFonts w:ascii="Times New Roman" w:hAnsi="Times New Roman"/>
          <w:color w:val="000000"/>
          <w:sz w:val="24"/>
          <w:szCs w:val="24"/>
          <w:lang w:val="sr-Cyrl-CS"/>
        </w:rPr>
        <w:t>ог</w:t>
      </w:r>
      <w:r w:rsidR="00E72830" w:rsidRPr="0029399D">
        <w:rPr>
          <w:rFonts w:ascii="Times New Roman" w:hAnsi="Times New Roman"/>
          <w:color w:val="000000"/>
          <w:sz w:val="24"/>
          <w:szCs w:val="24"/>
          <w:lang w:val="sr-Cyrl-CS"/>
        </w:rPr>
        <w:t xml:space="preserve"> </w:t>
      </w:r>
      <w:r w:rsidR="0029399D" w:rsidRPr="0029399D">
        <w:rPr>
          <w:rFonts w:ascii="Times New Roman" w:hAnsi="Times New Roman"/>
          <w:color w:val="000000"/>
          <w:sz w:val="24"/>
          <w:szCs w:val="24"/>
          <w:lang w:val="sr-Cyrl-CS"/>
        </w:rPr>
        <w:t>регистра</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пореских</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обвезника</w:t>
      </w:r>
      <w:r w:rsidR="0029399D" w:rsidRPr="0029399D">
        <w:rPr>
          <w:rFonts w:ascii="Times New Roman" w:hAnsi="Times New Roman"/>
          <w:color w:val="000000"/>
          <w:sz w:val="24"/>
          <w:szCs w:val="24"/>
          <w:lang w:val="sr-Cyrl-CS"/>
        </w:rPr>
        <w:t>, вођења</w:t>
      </w:r>
      <w:r w:rsidR="00E72830" w:rsidRPr="0029399D">
        <w:rPr>
          <w:rFonts w:ascii="Times New Roman" w:hAnsi="Times New Roman"/>
          <w:color w:val="000000"/>
          <w:sz w:val="24"/>
          <w:szCs w:val="24"/>
          <w:lang w:val="sr-Cyrl-CS"/>
        </w:rPr>
        <w:t xml:space="preserve"> </w:t>
      </w:r>
      <w:r w:rsidR="0029399D" w:rsidRPr="0029399D">
        <w:rPr>
          <w:rFonts w:ascii="Times New Roman" w:hAnsi="Times New Roman"/>
          <w:color w:val="000000"/>
          <w:sz w:val="24"/>
          <w:szCs w:val="24"/>
          <w:lang w:val="sr-Cyrl-CS"/>
        </w:rPr>
        <w:t>регистра</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у</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области</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мењачког</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пословања</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у</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складу</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са</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прописима</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којима</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се</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уређује</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девизно</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пословање</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као</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и</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у</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области</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игара</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на</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срећу</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у</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складу</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са</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прописима</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којима</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се</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уређују</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игре</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на</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срећу</w:t>
      </w:r>
      <w:r w:rsidR="0029399D" w:rsidRPr="0029399D">
        <w:rPr>
          <w:rFonts w:ascii="Times New Roman" w:hAnsi="Times New Roman"/>
          <w:color w:val="000000"/>
          <w:sz w:val="24"/>
          <w:szCs w:val="24"/>
          <w:lang w:val="sr-Cyrl-CS"/>
        </w:rPr>
        <w:t>, вршења</w:t>
      </w:r>
      <w:r w:rsidR="00E72830" w:rsidRPr="0029399D">
        <w:rPr>
          <w:rFonts w:ascii="Times New Roman" w:hAnsi="Times New Roman"/>
          <w:color w:val="000000"/>
          <w:sz w:val="24"/>
          <w:szCs w:val="24"/>
          <w:lang w:val="sr-Cyrl-CS"/>
        </w:rPr>
        <w:t xml:space="preserve"> </w:t>
      </w:r>
      <w:r w:rsidR="0029399D" w:rsidRPr="0029399D">
        <w:rPr>
          <w:rFonts w:ascii="Times New Roman" w:hAnsi="Times New Roman"/>
          <w:color w:val="000000"/>
          <w:sz w:val="24"/>
          <w:szCs w:val="24"/>
          <w:lang w:val="sr-Cyrl-CS"/>
        </w:rPr>
        <w:t>утврђивања</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пореза</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у</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складу</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са</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законом</w:t>
      </w:r>
      <w:r w:rsidR="0029399D" w:rsidRPr="0029399D">
        <w:rPr>
          <w:rFonts w:ascii="Times New Roman" w:hAnsi="Times New Roman"/>
          <w:color w:val="000000"/>
          <w:sz w:val="24"/>
          <w:szCs w:val="24"/>
          <w:lang w:val="sr-Cyrl-CS"/>
        </w:rPr>
        <w:t>, вршења</w:t>
      </w:r>
      <w:r w:rsidR="00E72830" w:rsidRPr="0029399D">
        <w:rPr>
          <w:rFonts w:ascii="Times New Roman" w:hAnsi="Times New Roman"/>
          <w:color w:val="000000"/>
          <w:sz w:val="24"/>
          <w:szCs w:val="24"/>
          <w:lang w:val="sr-Cyrl-CS"/>
        </w:rPr>
        <w:t xml:space="preserve"> </w:t>
      </w:r>
      <w:r w:rsidR="0029399D" w:rsidRPr="0029399D">
        <w:rPr>
          <w:rFonts w:ascii="Times New Roman" w:hAnsi="Times New Roman"/>
          <w:color w:val="000000"/>
          <w:sz w:val="24"/>
          <w:szCs w:val="24"/>
          <w:lang w:val="sr-Cyrl-CS"/>
        </w:rPr>
        <w:t>пореске</w:t>
      </w:r>
      <w:r w:rsidR="00E72830" w:rsidRPr="0029399D">
        <w:rPr>
          <w:rFonts w:ascii="Times New Roman" w:hAnsi="Times New Roman"/>
          <w:color w:val="000000"/>
          <w:sz w:val="24"/>
          <w:szCs w:val="24"/>
          <w:lang w:val="sr-Cyrl-CS"/>
        </w:rPr>
        <w:t xml:space="preserve"> </w:t>
      </w:r>
      <w:r w:rsidR="0029399D" w:rsidRPr="0029399D">
        <w:rPr>
          <w:rFonts w:ascii="Times New Roman" w:hAnsi="Times New Roman"/>
          <w:color w:val="000000"/>
          <w:sz w:val="24"/>
          <w:szCs w:val="24"/>
          <w:lang w:val="sr-Cyrl-CS"/>
        </w:rPr>
        <w:t>контроле</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у</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складу</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са</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законом</w:t>
      </w:r>
      <w:r w:rsidR="0029399D" w:rsidRPr="0029399D">
        <w:rPr>
          <w:rFonts w:ascii="Times New Roman" w:hAnsi="Times New Roman"/>
          <w:color w:val="000000"/>
          <w:sz w:val="24"/>
          <w:szCs w:val="24"/>
          <w:lang w:val="sr-Cyrl-CS"/>
        </w:rPr>
        <w:t>, вршења</w:t>
      </w:r>
      <w:r w:rsidR="00E72830" w:rsidRPr="0029399D">
        <w:rPr>
          <w:rFonts w:ascii="Times New Roman" w:hAnsi="Times New Roman"/>
          <w:color w:val="000000"/>
          <w:sz w:val="24"/>
          <w:szCs w:val="24"/>
          <w:lang w:val="sr-Cyrl-CS"/>
        </w:rPr>
        <w:t xml:space="preserve"> </w:t>
      </w:r>
      <w:r w:rsidR="0029399D" w:rsidRPr="0029399D">
        <w:rPr>
          <w:rFonts w:ascii="Times New Roman" w:hAnsi="Times New Roman"/>
          <w:color w:val="000000"/>
          <w:sz w:val="24"/>
          <w:szCs w:val="24"/>
          <w:lang w:val="sr-Cyrl-CS"/>
        </w:rPr>
        <w:t>редовне</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и</w:t>
      </w:r>
      <w:r w:rsidR="00E72830" w:rsidRPr="0029399D">
        <w:rPr>
          <w:rFonts w:ascii="Times New Roman" w:hAnsi="Times New Roman"/>
          <w:color w:val="000000"/>
          <w:sz w:val="24"/>
          <w:szCs w:val="24"/>
          <w:lang w:val="sr-Cyrl-CS"/>
        </w:rPr>
        <w:t xml:space="preserve"> </w:t>
      </w:r>
      <w:r w:rsidR="0029399D" w:rsidRPr="0029399D">
        <w:rPr>
          <w:rFonts w:ascii="Times New Roman" w:hAnsi="Times New Roman"/>
          <w:color w:val="000000"/>
          <w:sz w:val="24"/>
          <w:szCs w:val="24"/>
          <w:lang w:val="sr-Cyrl-CS"/>
        </w:rPr>
        <w:t>принудне</w:t>
      </w:r>
      <w:r w:rsidR="00E72830" w:rsidRPr="0029399D">
        <w:rPr>
          <w:rFonts w:ascii="Times New Roman" w:hAnsi="Times New Roman"/>
          <w:color w:val="000000"/>
          <w:sz w:val="24"/>
          <w:szCs w:val="24"/>
          <w:lang w:val="sr-Cyrl-CS"/>
        </w:rPr>
        <w:t xml:space="preserve"> </w:t>
      </w:r>
      <w:r w:rsidR="0029399D" w:rsidRPr="0029399D">
        <w:rPr>
          <w:rFonts w:ascii="Times New Roman" w:hAnsi="Times New Roman"/>
          <w:color w:val="000000"/>
          <w:sz w:val="24"/>
          <w:szCs w:val="24"/>
          <w:lang w:val="sr-Cyrl-CS"/>
        </w:rPr>
        <w:t>наплате</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пореза</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и</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споредних</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пореских</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давања</w:t>
      </w:r>
      <w:r w:rsidR="0029399D"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открива</w:t>
      </w:r>
      <w:r w:rsidR="0029399D" w:rsidRPr="0029399D">
        <w:rPr>
          <w:rFonts w:ascii="Times New Roman" w:hAnsi="Times New Roman"/>
          <w:color w:val="000000"/>
          <w:sz w:val="24"/>
          <w:szCs w:val="24"/>
          <w:lang w:val="sr-Cyrl-CS"/>
        </w:rPr>
        <w:t>ње</w:t>
      </w:r>
      <w:r w:rsidR="00E72830" w:rsidRPr="0029399D">
        <w:rPr>
          <w:rFonts w:ascii="Times New Roman" w:hAnsi="Times New Roman"/>
          <w:color w:val="000000"/>
          <w:sz w:val="24"/>
          <w:szCs w:val="24"/>
          <w:lang w:val="sr-Cyrl-CS"/>
        </w:rPr>
        <w:t xml:space="preserve"> </w:t>
      </w:r>
      <w:r w:rsidR="0029399D" w:rsidRPr="0029399D">
        <w:rPr>
          <w:rFonts w:ascii="Times New Roman" w:hAnsi="Times New Roman"/>
          <w:color w:val="000000"/>
          <w:sz w:val="24"/>
          <w:szCs w:val="24"/>
          <w:lang w:val="sr-Cyrl-CS"/>
        </w:rPr>
        <w:t>пореских</w:t>
      </w:r>
      <w:r w:rsidR="00E72830" w:rsidRPr="0029399D">
        <w:rPr>
          <w:rFonts w:ascii="Times New Roman" w:hAnsi="Times New Roman"/>
          <w:color w:val="000000"/>
          <w:sz w:val="24"/>
          <w:szCs w:val="24"/>
          <w:lang w:val="sr-Cyrl-CS"/>
        </w:rPr>
        <w:t xml:space="preserve"> </w:t>
      </w:r>
      <w:r w:rsidR="0029399D" w:rsidRPr="0029399D">
        <w:rPr>
          <w:rFonts w:ascii="Times New Roman" w:hAnsi="Times New Roman"/>
          <w:color w:val="000000"/>
          <w:sz w:val="24"/>
          <w:szCs w:val="24"/>
          <w:lang w:val="sr-Cyrl-CS"/>
        </w:rPr>
        <w:t>кривичних</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дела</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и</w:t>
      </w:r>
      <w:r w:rsidR="00E72830" w:rsidRPr="0029399D">
        <w:rPr>
          <w:rFonts w:ascii="Times New Roman" w:hAnsi="Times New Roman"/>
          <w:color w:val="000000"/>
          <w:sz w:val="24"/>
          <w:szCs w:val="24"/>
          <w:lang w:val="sr-Cyrl-CS"/>
        </w:rPr>
        <w:t xml:space="preserve"> </w:t>
      </w:r>
      <w:r w:rsidR="0029399D" w:rsidRPr="0029399D">
        <w:rPr>
          <w:rFonts w:ascii="Times New Roman" w:hAnsi="Times New Roman"/>
          <w:color w:val="000000"/>
          <w:sz w:val="24"/>
          <w:szCs w:val="24"/>
          <w:lang w:val="sr-Cyrl-CS"/>
        </w:rPr>
        <w:t>њихових</w:t>
      </w:r>
      <w:r w:rsidR="00E72830" w:rsidRPr="0029399D">
        <w:rPr>
          <w:rFonts w:ascii="Times New Roman" w:hAnsi="Times New Roman"/>
          <w:color w:val="000000"/>
          <w:sz w:val="24"/>
          <w:szCs w:val="24"/>
          <w:lang w:val="sr-Cyrl-CS"/>
        </w:rPr>
        <w:t xml:space="preserve"> </w:t>
      </w:r>
      <w:r w:rsidR="0029399D" w:rsidRPr="0029399D">
        <w:rPr>
          <w:rFonts w:ascii="Times New Roman" w:hAnsi="Times New Roman"/>
          <w:color w:val="000000"/>
          <w:sz w:val="24"/>
          <w:szCs w:val="24"/>
          <w:lang w:val="sr-Cyrl-CS"/>
        </w:rPr>
        <w:t>извршиоца</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и</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у</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вези</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са</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тим</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предузима</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законом</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прописане</w:t>
      </w:r>
      <w:r w:rsidR="00E72830" w:rsidRPr="0029399D">
        <w:rPr>
          <w:rFonts w:ascii="Times New Roman" w:hAnsi="Times New Roman"/>
          <w:color w:val="000000"/>
          <w:sz w:val="24"/>
          <w:szCs w:val="24"/>
          <w:lang w:val="sr-Cyrl-CS"/>
        </w:rPr>
        <w:t xml:space="preserve"> </w:t>
      </w:r>
      <w:r w:rsidR="00A30895" w:rsidRPr="0029399D">
        <w:rPr>
          <w:rFonts w:ascii="Times New Roman" w:hAnsi="Times New Roman"/>
          <w:color w:val="000000"/>
          <w:sz w:val="24"/>
          <w:szCs w:val="24"/>
          <w:lang w:val="sr-Cyrl-CS"/>
        </w:rPr>
        <w:t>мере</w:t>
      </w:r>
      <w:r w:rsidR="0029399D">
        <w:rPr>
          <w:color w:val="000000"/>
          <w:lang w:val="sr-Cyrl-CS"/>
        </w:rPr>
        <w:t xml:space="preserve"> </w:t>
      </w:r>
      <w:r w:rsidR="00AD3AD3">
        <w:rPr>
          <w:rFonts w:ascii="Times New Roman" w:hAnsi="Times New Roman"/>
          <w:sz w:val="24"/>
          <w:szCs w:val="24"/>
          <w:lang w:val="sr-Cyrl-CS"/>
        </w:rPr>
        <w:t>и др.</w:t>
      </w:r>
      <w:r w:rsidR="00AD3AD3">
        <w:rPr>
          <w:rStyle w:val="FootnoteReference"/>
          <w:rFonts w:ascii="Times New Roman" w:hAnsi="Times New Roman"/>
          <w:sz w:val="24"/>
          <w:szCs w:val="24"/>
          <w:lang w:val="sr-Cyrl-CS"/>
        </w:rPr>
        <w:footnoteReference w:id="841"/>
      </w:r>
      <w:r w:rsidR="00AD3AD3">
        <w:rPr>
          <w:rFonts w:ascii="Times New Roman" w:hAnsi="Times New Roman"/>
          <w:sz w:val="24"/>
          <w:szCs w:val="24"/>
          <w:lang w:val="sr-Cyrl-CS"/>
        </w:rPr>
        <w:t xml:space="preserve"> </w:t>
      </w:r>
    </w:p>
    <w:p w:rsidR="00AD3AD3" w:rsidRDefault="00AD3AD3" w:rsidP="00AD3AD3">
      <w:pPr>
        <w:pStyle w:val="normal0"/>
        <w:shd w:val="clear" w:color="auto" w:fill="FFFFFF"/>
        <w:spacing w:before="48" w:beforeAutospacing="0" w:after="48" w:afterAutospacing="0"/>
        <w:jc w:val="both"/>
        <w:rPr>
          <w:rFonts w:ascii="Arial" w:hAnsi="Arial" w:cs="Arial"/>
          <w:color w:val="000000"/>
          <w:sz w:val="18"/>
          <w:szCs w:val="18"/>
          <w:lang w:val="sr-Cyrl-CS"/>
        </w:rPr>
      </w:pPr>
    </w:p>
    <w:p w:rsidR="00BE510A" w:rsidRDefault="00D73B8B" w:rsidP="00BE510A">
      <w:pPr>
        <w:pStyle w:val="normal0"/>
        <w:shd w:val="clear" w:color="auto" w:fill="FFFFFF"/>
        <w:spacing w:before="48" w:beforeAutospacing="0" w:after="48" w:afterAutospacing="0"/>
        <w:ind w:firstLine="708"/>
        <w:jc w:val="both"/>
        <w:rPr>
          <w:color w:val="000000"/>
          <w:lang w:val="sr-Cyrl-CS"/>
        </w:rPr>
      </w:pPr>
      <w:r>
        <w:rPr>
          <w:color w:val="000000"/>
          <w:lang w:val="sr-Cyrl-CS"/>
        </w:rPr>
        <w:t>Пореска управа</w:t>
      </w:r>
      <w:r w:rsidR="004E765A">
        <w:rPr>
          <w:color w:val="000000"/>
          <w:lang w:val="sr-Cyrl-CS"/>
        </w:rPr>
        <w:t xml:space="preserve"> </w:t>
      </w:r>
      <w:r>
        <w:rPr>
          <w:color w:val="000000"/>
          <w:lang w:val="sr-Cyrl-CS"/>
        </w:rPr>
        <w:t>има следеће</w:t>
      </w:r>
      <w:r w:rsidR="004E765A">
        <w:rPr>
          <w:color w:val="000000"/>
          <w:lang w:val="sr-Cyrl-CS"/>
        </w:rPr>
        <w:t xml:space="preserve"> организационе јединице</w:t>
      </w:r>
      <w:r>
        <w:rPr>
          <w:color w:val="000000"/>
          <w:lang w:val="sr-Cyrl-CS"/>
        </w:rPr>
        <w:t xml:space="preserve"> за обављање послова из своје надлежности: Централу Пореске управе, регионалне центре</w:t>
      </w:r>
      <w:r w:rsidR="004E765A">
        <w:rPr>
          <w:color w:val="000000"/>
          <w:lang w:val="sr-Cyrl-CS"/>
        </w:rPr>
        <w:t>, Центар за велике пореске обвезнике, филијале (има их 80) и експозитуре (има их 93).</w:t>
      </w:r>
      <w:r w:rsidR="004E765A">
        <w:rPr>
          <w:rStyle w:val="FootnoteReference"/>
          <w:color w:val="000000"/>
          <w:lang w:val="sr-Cyrl-CS"/>
        </w:rPr>
        <w:footnoteReference w:id="842"/>
      </w:r>
    </w:p>
    <w:p w:rsidR="001671E0" w:rsidRDefault="001671E0" w:rsidP="00255CEF">
      <w:pPr>
        <w:pStyle w:val="normal0"/>
        <w:shd w:val="clear" w:color="auto" w:fill="FFFFFF"/>
        <w:spacing w:before="48" w:beforeAutospacing="0" w:after="48" w:afterAutospacing="0"/>
        <w:ind w:firstLine="708"/>
        <w:jc w:val="both"/>
        <w:rPr>
          <w:b/>
          <w:color w:val="000000"/>
          <w:lang w:val="sr-Cyrl-CS"/>
        </w:rPr>
      </w:pPr>
    </w:p>
    <w:p w:rsidR="00AC0246" w:rsidRDefault="00255CEF" w:rsidP="00831157">
      <w:pPr>
        <w:pStyle w:val="normal0"/>
        <w:shd w:val="clear" w:color="auto" w:fill="FFFFFF"/>
        <w:spacing w:before="48" w:beforeAutospacing="0" w:after="48" w:afterAutospacing="0"/>
        <w:ind w:firstLine="708"/>
        <w:jc w:val="both"/>
        <w:rPr>
          <w:color w:val="000000"/>
          <w:lang w:val="sr-Cyrl-CS"/>
        </w:rPr>
      </w:pPr>
      <w:r>
        <w:rPr>
          <w:b/>
          <w:color w:val="000000"/>
          <w:lang w:val="sr-Cyrl-CS"/>
        </w:rPr>
        <w:t>Слика 24</w:t>
      </w:r>
      <w:r w:rsidR="0058575C" w:rsidRPr="0058575C">
        <w:rPr>
          <w:b/>
          <w:color w:val="000000"/>
          <w:lang w:val="sr-Cyrl-CS"/>
        </w:rPr>
        <w:t xml:space="preserve">. </w:t>
      </w:r>
      <w:r w:rsidR="00B84FAE" w:rsidRPr="0058575C">
        <w:rPr>
          <w:b/>
          <w:color w:val="000000"/>
          <w:lang w:val="sr-Cyrl-CS"/>
        </w:rPr>
        <w:t>Организација П</w:t>
      </w:r>
      <w:r w:rsidR="00AC0246" w:rsidRPr="0058575C">
        <w:rPr>
          <w:b/>
          <w:color w:val="000000"/>
          <w:lang w:val="sr-Cyrl-CS"/>
        </w:rPr>
        <w:t>ореске управе</w:t>
      </w:r>
      <w:r w:rsidR="0045266F">
        <w:rPr>
          <w:color w:val="000000"/>
          <w:lang w:val="sr-Cyrl-CS"/>
        </w:rPr>
        <w:t>:</w:t>
      </w:r>
      <w:r w:rsidR="00B84FAE">
        <w:rPr>
          <w:rStyle w:val="FootnoteReference"/>
          <w:color w:val="000000"/>
          <w:lang w:val="sr-Cyrl-CS"/>
        </w:rPr>
        <w:footnoteReference w:id="843"/>
      </w:r>
    </w:p>
    <w:p w:rsidR="00AC0246" w:rsidRDefault="00616181" w:rsidP="00BE510A">
      <w:pPr>
        <w:pStyle w:val="normal0"/>
        <w:shd w:val="clear" w:color="auto" w:fill="FFFFFF"/>
        <w:spacing w:before="48" w:beforeAutospacing="0" w:after="48" w:afterAutospacing="0"/>
        <w:ind w:firstLine="708"/>
        <w:jc w:val="both"/>
        <w:rPr>
          <w:color w:val="000000"/>
          <w:lang w:val="sr-Cyrl-CS"/>
        </w:rPr>
      </w:pPr>
      <w:r>
        <w:rPr>
          <w:noProof/>
          <w:color w:val="000000"/>
        </w:rPr>
        <w:pict>
          <v:roundrect id="_x0000_s1280" style="position:absolute;left:0;text-align:left;margin-left:191.7pt;margin-top:5.5pt;width:85.5pt;height:41.25pt;z-index:251671040" arcsize="10923f">
            <v:textbox style="mso-next-textbox:#_x0000_s1280">
              <w:txbxContent>
                <w:p w:rsidR="00767127" w:rsidRPr="003804A1" w:rsidRDefault="00767127">
                  <w:pPr>
                    <w:rPr>
                      <w:lang w:val="sr-Cyrl-CS"/>
                    </w:rPr>
                  </w:pPr>
                  <w:r>
                    <w:rPr>
                      <w:lang w:val="sr-Cyrl-CS"/>
                    </w:rPr>
                    <w:t>централа</w:t>
                  </w:r>
                </w:p>
              </w:txbxContent>
            </v:textbox>
          </v:roundrect>
        </w:pict>
      </w:r>
      <w:r w:rsidR="00AC0246">
        <w:rPr>
          <w:color w:val="000000"/>
          <w:lang w:val="sr-Cyrl-CS"/>
        </w:rPr>
        <w:t xml:space="preserve">                                                    </w:t>
      </w:r>
    </w:p>
    <w:p w:rsidR="00AC0246" w:rsidRDefault="00AC0246" w:rsidP="00BE510A">
      <w:pPr>
        <w:pStyle w:val="normal0"/>
        <w:shd w:val="clear" w:color="auto" w:fill="FFFFFF"/>
        <w:spacing w:before="48" w:beforeAutospacing="0" w:after="48" w:afterAutospacing="0"/>
        <w:ind w:firstLine="708"/>
        <w:jc w:val="both"/>
        <w:rPr>
          <w:color w:val="000000"/>
          <w:lang w:val="sr-Cyrl-CS"/>
        </w:rPr>
      </w:pPr>
    </w:p>
    <w:p w:rsidR="00AC0246" w:rsidRDefault="00616181" w:rsidP="00AC0246">
      <w:pPr>
        <w:pStyle w:val="normal0"/>
        <w:shd w:val="clear" w:color="auto" w:fill="FFFFFF"/>
        <w:spacing w:before="48" w:beforeAutospacing="0" w:after="48" w:afterAutospacing="0"/>
        <w:ind w:firstLine="708"/>
        <w:jc w:val="both"/>
        <w:rPr>
          <w:color w:val="000000"/>
          <w:lang w:val="sr-Cyrl-CS"/>
        </w:rPr>
      </w:pPr>
      <w:r>
        <w:rPr>
          <w:noProof/>
          <w:color w:val="000000"/>
        </w:rPr>
        <w:pict>
          <v:shape id="_x0000_s1297" type="#_x0000_t32" style="position:absolute;left:0;text-align:left;margin-left:231.45pt;margin-top:14.35pt;width:.75pt;height:113.25pt;flip:x;z-index:251681280" o:connectortype="straight"/>
        </w:pict>
      </w:r>
      <w:r w:rsidR="00AC0246">
        <w:rPr>
          <w:color w:val="000000"/>
          <w:lang w:val="sr-Cyrl-CS"/>
        </w:rPr>
        <w:t xml:space="preserve">                                              </w:t>
      </w:r>
    </w:p>
    <w:p w:rsidR="00AC0246" w:rsidRDefault="00AC0246" w:rsidP="00BE510A">
      <w:pPr>
        <w:pStyle w:val="normal0"/>
        <w:shd w:val="clear" w:color="auto" w:fill="FFFFFF"/>
        <w:spacing w:before="48" w:beforeAutospacing="0" w:after="48" w:afterAutospacing="0"/>
        <w:ind w:firstLine="708"/>
        <w:jc w:val="both"/>
        <w:rPr>
          <w:color w:val="000000"/>
          <w:lang w:val="sr-Cyrl-CS"/>
        </w:rPr>
      </w:pPr>
    </w:p>
    <w:p w:rsidR="00AC0246" w:rsidRDefault="00AC0246" w:rsidP="00BE510A">
      <w:pPr>
        <w:pStyle w:val="normal0"/>
        <w:shd w:val="clear" w:color="auto" w:fill="FFFFFF"/>
        <w:spacing w:before="48" w:beforeAutospacing="0" w:after="48" w:afterAutospacing="0"/>
        <w:ind w:firstLine="708"/>
        <w:jc w:val="both"/>
        <w:rPr>
          <w:color w:val="000000"/>
          <w:lang w:val="sr-Cyrl-CS"/>
        </w:rPr>
      </w:pPr>
    </w:p>
    <w:p w:rsidR="00AC0246" w:rsidRDefault="00616181" w:rsidP="00BE510A">
      <w:pPr>
        <w:pStyle w:val="normal0"/>
        <w:shd w:val="clear" w:color="auto" w:fill="FFFFFF"/>
        <w:spacing w:before="48" w:beforeAutospacing="0" w:after="48" w:afterAutospacing="0"/>
        <w:ind w:firstLine="708"/>
        <w:jc w:val="both"/>
        <w:rPr>
          <w:color w:val="000000"/>
          <w:lang w:val="sr-Cyrl-CS"/>
        </w:rPr>
      </w:pPr>
      <w:r>
        <w:rPr>
          <w:noProof/>
          <w:color w:val="000000"/>
        </w:rPr>
        <w:pict>
          <v:roundrect id="_x0000_s1281" style="position:absolute;left:0;text-align:left;margin-left:125.7pt;margin-top:8.5pt;width:87pt;height:51.75pt;z-index:251672064" arcsize="10923f">
            <v:textbox>
              <w:txbxContent>
                <w:p w:rsidR="00767127" w:rsidRPr="003804A1" w:rsidRDefault="00767127">
                  <w:pPr>
                    <w:rPr>
                      <w:sz w:val="18"/>
                      <w:szCs w:val="18"/>
                      <w:lang w:val="sr-Cyrl-CS"/>
                    </w:rPr>
                  </w:pPr>
                  <w:r>
                    <w:rPr>
                      <w:sz w:val="18"/>
                      <w:szCs w:val="18"/>
                      <w:lang w:val="sr-Cyrl-CS"/>
                    </w:rPr>
                    <w:t>група за унутрашњу контролу</w:t>
                  </w:r>
                </w:p>
              </w:txbxContent>
            </v:textbox>
          </v:roundrect>
        </w:pict>
      </w:r>
      <w:r>
        <w:rPr>
          <w:noProof/>
          <w:color w:val="000000"/>
        </w:rPr>
        <w:pict>
          <v:roundrect id="_x0000_s1283" style="position:absolute;left:0;text-align:left;margin-left:272.7pt;margin-top:8.5pt;width:86.25pt;height:45pt;z-index:251673088" arcsize="10923f">
            <v:textbox>
              <w:txbxContent>
                <w:p w:rsidR="00767127" w:rsidRPr="003804A1" w:rsidRDefault="00767127">
                  <w:pPr>
                    <w:rPr>
                      <w:sz w:val="18"/>
                      <w:szCs w:val="18"/>
                      <w:lang w:val="sr-Cyrl-CS"/>
                    </w:rPr>
                  </w:pPr>
                  <w:r>
                    <w:rPr>
                      <w:sz w:val="18"/>
                      <w:szCs w:val="18"/>
                      <w:lang w:val="sr-Cyrl-CS"/>
                    </w:rPr>
                    <w:t>Група за интерну ревизију</w:t>
                  </w:r>
                </w:p>
              </w:txbxContent>
            </v:textbox>
          </v:roundrect>
        </w:pict>
      </w:r>
      <w:r w:rsidR="00AC0246">
        <w:rPr>
          <w:color w:val="000000"/>
          <w:lang w:val="sr-Cyrl-CS"/>
        </w:rPr>
        <w:t xml:space="preserve">                              </w:t>
      </w:r>
      <w:r w:rsidR="003804A1">
        <w:rPr>
          <w:color w:val="000000"/>
          <w:lang w:val="sr-Cyrl-CS"/>
        </w:rPr>
        <w:t xml:space="preserve">                                                 </w:t>
      </w:r>
    </w:p>
    <w:p w:rsidR="00AC0246" w:rsidRDefault="00AC0246" w:rsidP="00BE510A">
      <w:pPr>
        <w:pStyle w:val="normal0"/>
        <w:shd w:val="clear" w:color="auto" w:fill="FFFFFF"/>
        <w:spacing w:before="48" w:beforeAutospacing="0" w:after="48" w:afterAutospacing="0"/>
        <w:ind w:firstLine="708"/>
        <w:jc w:val="both"/>
        <w:rPr>
          <w:color w:val="000000"/>
          <w:lang w:val="sr-Cyrl-CS"/>
        </w:rPr>
      </w:pPr>
      <w:r>
        <w:rPr>
          <w:color w:val="000000"/>
          <w:lang w:val="sr-Cyrl-CS"/>
        </w:rPr>
        <w:t xml:space="preserve">                                                                                </w:t>
      </w:r>
    </w:p>
    <w:p w:rsidR="00AC0246" w:rsidRDefault="00616181" w:rsidP="00BE510A">
      <w:pPr>
        <w:pStyle w:val="normal0"/>
        <w:shd w:val="clear" w:color="auto" w:fill="FFFFFF"/>
        <w:spacing w:before="48" w:beforeAutospacing="0" w:after="48" w:afterAutospacing="0"/>
        <w:ind w:firstLine="708"/>
        <w:jc w:val="both"/>
        <w:rPr>
          <w:color w:val="000000"/>
          <w:lang w:val="sr-Cyrl-CS"/>
        </w:rPr>
      </w:pPr>
      <w:r>
        <w:rPr>
          <w:noProof/>
          <w:color w:val="000000"/>
        </w:rPr>
        <w:pict>
          <v:shape id="_x0000_s1298" type="#_x0000_t32" style="position:absolute;left:0;text-align:left;margin-left:212.7pt;margin-top:1.6pt;width:64.5pt;height:0;z-index:251682304" o:connectortype="straight"/>
        </w:pict>
      </w:r>
    </w:p>
    <w:p w:rsidR="00AC0246" w:rsidRDefault="00AC0246" w:rsidP="00BE510A">
      <w:pPr>
        <w:pStyle w:val="normal0"/>
        <w:shd w:val="clear" w:color="auto" w:fill="FFFFFF"/>
        <w:spacing w:before="48" w:beforeAutospacing="0" w:after="48" w:afterAutospacing="0"/>
        <w:ind w:firstLine="708"/>
        <w:jc w:val="both"/>
        <w:rPr>
          <w:color w:val="000000"/>
          <w:lang w:val="sr-Cyrl-CS"/>
        </w:rPr>
      </w:pPr>
    </w:p>
    <w:p w:rsidR="00AC0246" w:rsidRDefault="00616181" w:rsidP="00BE510A">
      <w:pPr>
        <w:pStyle w:val="normal0"/>
        <w:shd w:val="clear" w:color="auto" w:fill="FFFFFF"/>
        <w:spacing w:before="48" w:beforeAutospacing="0" w:after="48" w:afterAutospacing="0"/>
        <w:ind w:firstLine="708"/>
        <w:jc w:val="both"/>
        <w:rPr>
          <w:color w:val="000000"/>
          <w:lang w:val="sr-Cyrl-CS"/>
        </w:rPr>
      </w:pPr>
      <w:r>
        <w:rPr>
          <w:noProof/>
          <w:color w:val="000000"/>
        </w:rPr>
        <w:pict>
          <v:shape id="_x0000_s1305" type="#_x0000_t32" style="position:absolute;left:0;text-align:left;margin-left:343.95pt;margin-top:8.2pt;width:.75pt;height:10.5pt;z-index:251688448" o:connectortype="straight"/>
        </w:pict>
      </w:r>
      <w:r>
        <w:rPr>
          <w:noProof/>
          <w:color w:val="000000"/>
        </w:rPr>
        <w:pict>
          <v:shape id="_x0000_s1307" type="#_x0000_t32" style="position:absolute;left:0;text-align:left;margin-left:469.2pt;margin-top:8.2pt;width:0;height:14.25pt;z-index:251690496" o:connectortype="straight"/>
        </w:pict>
      </w:r>
      <w:r>
        <w:rPr>
          <w:noProof/>
          <w:color w:val="000000"/>
        </w:rPr>
        <w:pict>
          <v:shape id="_x0000_s1306" type="#_x0000_t32" style="position:absolute;left:0;text-align:left;margin-left:403.2pt;margin-top:8.2pt;width:.75pt;height:14.25pt;z-index:251689472" o:connectortype="straight"/>
        </w:pict>
      </w:r>
      <w:r>
        <w:rPr>
          <w:noProof/>
          <w:color w:val="000000"/>
        </w:rPr>
        <w:pict>
          <v:shape id="_x0000_s1304" type="#_x0000_t32" style="position:absolute;left:0;text-align:left;margin-left:282.45pt;margin-top:8.2pt;width:0;height:14.25pt;z-index:251687424" o:connectortype="straight"/>
        </w:pict>
      </w:r>
      <w:r>
        <w:rPr>
          <w:noProof/>
          <w:color w:val="000000"/>
        </w:rPr>
        <w:pict>
          <v:shape id="_x0000_s1303" type="#_x0000_t32" style="position:absolute;left:0;text-align:left;margin-left:231.45pt;margin-top:8.2pt;width:0;height:14.25pt;z-index:251686400" o:connectortype="straight"/>
        </w:pict>
      </w:r>
      <w:r>
        <w:rPr>
          <w:noProof/>
          <w:color w:val="000000"/>
        </w:rPr>
        <w:pict>
          <v:shape id="_x0000_s1302" type="#_x0000_t32" style="position:absolute;left:0;text-align:left;margin-left:155.7pt;margin-top:8.2pt;width:0;height:14.25pt;z-index:251685376" o:connectortype="straight"/>
        </w:pict>
      </w:r>
      <w:r>
        <w:rPr>
          <w:noProof/>
          <w:color w:val="000000"/>
        </w:rPr>
        <w:pict>
          <v:shape id="_x0000_s1301" type="#_x0000_t32" style="position:absolute;left:0;text-align:left;margin-left:69.45pt;margin-top:8.2pt;width:0;height:14.25pt;z-index:251684352" o:connectortype="straight"/>
        </w:pict>
      </w:r>
      <w:r>
        <w:rPr>
          <w:noProof/>
          <w:color w:val="000000"/>
        </w:rPr>
        <w:pict>
          <v:shape id="_x0000_s1300" type="#_x0000_t32" style="position:absolute;left:0;text-align:left;margin-left:69.45pt;margin-top:8.2pt;width:399.75pt;height:0;z-index:251683328" o:connectortype="straight"/>
        </w:pict>
      </w:r>
      <w:r w:rsidR="00895943">
        <w:rPr>
          <w:color w:val="000000"/>
          <w:lang w:val="sr-Cyrl-CS"/>
        </w:rPr>
        <w:t xml:space="preserve">           </w:t>
      </w:r>
    </w:p>
    <w:p w:rsidR="00AC0246" w:rsidRDefault="00616181" w:rsidP="00BE510A">
      <w:pPr>
        <w:pStyle w:val="normal0"/>
        <w:shd w:val="clear" w:color="auto" w:fill="FFFFFF"/>
        <w:spacing w:before="48" w:beforeAutospacing="0" w:after="48" w:afterAutospacing="0"/>
        <w:ind w:firstLine="708"/>
        <w:jc w:val="both"/>
        <w:rPr>
          <w:color w:val="000000"/>
          <w:lang w:val="sr-Cyrl-CS"/>
        </w:rPr>
      </w:pPr>
      <w:r>
        <w:rPr>
          <w:noProof/>
          <w:color w:val="000000"/>
        </w:rPr>
        <w:pict>
          <v:roundrect id="_x0000_s1296" style="position:absolute;left:0;text-align:left;margin-left:440.7pt;margin-top:6.25pt;width:55.5pt;height:99pt;z-index:251680256" arcsize="10923f">
            <v:textbox>
              <w:txbxContent>
                <w:p w:rsidR="00767127" w:rsidRPr="00C334CB" w:rsidRDefault="00767127">
                  <w:pPr>
                    <w:rPr>
                      <w:sz w:val="18"/>
                      <w:szCs w:val="18"/>
                      <w:lang w:val="sr-Cyrl-CS"/>
                    </w:rPr>
                  </w:pPr>
                  <w:r>
                    <w:rPr>
                      <w:sz w:val="18"/>
                      <w:szCs w:val="18"/>
                      <w:lang w:val="sr-Cyrl-CS"/>
                    </w:rPr>
                    <w:t>Сектор за људске и матери-јалне ресурсе</w:t>
                  </w:r>
                </w:p>
              </w:txbxContent>
            </v:textbox>
          </v:roundrect>
        </w:pict>
      </w:r>
      <w:r>
        <w:rPr>
          <w:noProof/>
          <w:color w:val="000000"/>
        </w:rPr>
        <w:pict>
          <v:roundrect id="_x0000_s1294" style="position:absolute;left:0;text-align:left;margin-left:380.7pt;margin-top:6.25pt;width:48.75pt;height:99pt;z-index:251679232" arcsize="10923f">
            <v:textbox>
              <w:txbxContent>
                <w:p w:rsidR="00767127" w:rsidRPr="003804A1" w:rsidRDefault="00767127">
                  <w:pPr>
                    <w:rPr>
                      <w:sz w:val="18"/>
                      <w:szCs w:val="18"/>
                      <w:lang w:val="sr-Cyrl-CS"/>
                    </w:rPr>
                  </w:pPr>
                  <w:r>
                    <w:rPr>
                      <w:sz w:val="18"/>
                      <w:szCs w:val="18"/>
                      <w:lang w:val="sr-Cyrl-CS"/>
                    </w:rPr>
                    <w:t>Сектор за образ-овање и комуникацију</w:t>
                  </w:r>
                </w:p>
              </w:txbxContent>
            </v:textbox>
          </v:roundrect>
        </w:pict>
      </w:r>
      <w:r>
        <w:rPr>
          <w:noProof/>
          <w:color w:val="000000"/>
        </w:rPr>
        <w:pict>
          <v:roundrect id="_x0000_s1293" style="position:absolute;left:0;text-align:left;margin-left:319.2pt;margin-top:6.25pt;width:54.75pt;height:85.5pt;z-index:251678208" arcsize="10923f">
            <v:textbox>
              <w:txbxContent>
                <w:p w:rsidR="00767127" w:rsidRPr="003804A1" w:rsidRDefault="00767127">
                  <w:pPr>
                    <w:rPr>
                      <w:sz w:val="18"/>
                      <w:szCs w:val="18"/>
                      <w:lang w:val="sr-Cyrl-CS"/>
                    </w:rPr>
                  </w:pPr>
                  <w:r>
                    <w:rPr>
                      <w:sz w:val="18"/>
                      <w:szCs w:val="18"/>
                      <w:lang w:val="sr-Cyrl-CS"/>
                    </w:rPr>
                    <w:t>Сектор за развој и рачуна-рску подршкуууу</w:t>
                  </w:r>
                </w:p>
              </w:txbxContent>
            </v:textbox>
          </v:roundrect>
        </w:pict>
      </w:r>
      <w:r>
        <w:rPr>
          <w:noProof/>
          <w:color w:val="000000"/>
        </w:rPr>
        <w:pict>
          <v:roundrect id="_x0000_s1291" style="position:absolute;left:0;text-align:left;margin-left:252.45pt;margin-top:6.25pt;width:57.75pt;height:81.75pt;z-index:251677184" arcsize="10923f">
            <v:textbox>
              <w:txbxContent>
                <w:p w:rsidR="00767127" w:rsidRPr="003804A1" w:rsidRDefault="00767127">
                  <w:pPr>
                    <w:rPr>
                      <w:sz w:val="18"/>
                      <w:szCs w:val="18"/>
                      <w:lang w:val="sr-Cyrl-CS"/>
                    </w:rPr>
                  </w:pPr>
                  <w:r>
                    <w:rPr>
                      <w:sz w:val="18"/>
                      <w:szCs w:val="18"/>
                      <w:lang w:val="sr-Cyrl-CS"/>
                    </w:rPr>
                    <w:t>Сектор пореске полиције</w:t>
                  </w:r>
                </w:p>
              </w:txbxContent>
            </v:textbox>
          </v:roundrect>
        </w:pict>
      </w:r>
      <w:r w:rsidRPr="00616181">
        <w:rPr>
          <w:noProof/>
          <w:color w:val="000000"/>
          <w:sz w:val="18"/>
          <w:szCs w:val="18"/>
        </w:rPr>
        <w:pict>
          <v:roundrect id="_x0000_s1287" style="position:absolute;left:0;text-align:left;margin-left:191.7pt;margin-top:6.25pt;width:53.25pt;height:81.75pt;z-index:251676160" arcsize="10923f">
            <v:textbox>
              <w:txbxContent>
                <w:p w:rsidR="00767127" w:rsidRPr="003804A1" w:rsidRDefault="00767127">
                  <w:pPr>
                    <w:rPr>
                      <w:sz w:val="18"/>
                      <w:szCs w:val="18"/>
                      <w:lang w:val="sr-Cyrl-CS"/>
                    </w:rPr>
                  </w:pPr>
                  <w:r>
                    <w:rPr>
                      <w:sz w:val="18"/>
                      <w:szCs w:val="18"/>
                      <w:lang w:val="sr-Cyrl-CS"/>
                    </w:rPr>
                    <w:t>Сектор за контро-лу</w:t>
                  </w:r>
                </w:p>
              </w:txbxContent>
            </v:textbox>
          </v:roundrect>
        </w:pict>
      </w:r>
      <w:r>
        <w:rPr>
          <w:noProof/>
          <w:color w:val="000000"/>
        </w:rPr>
        <w:pict>
          <v:roundrect id="_x0000_s1286" style="position:absolute;left:0;text-align:left;margin-left:125.7pt;margin-top:6.25pt;width:59.25pt;height:81.75pt;z-index:251675136" arcsize="10923f">
            <v:textbox>
              <w:txbxContent>
                <w:p w:rsidR="00767127" w:rsidRPr="003804A1" w:rsidRDefault="00767127">
                  <w:pPr>
                    <w:rPr>
                      <w:sz w:val="18"/>
                      <w:szCs w:val="18"/>
                      <w:lang w:val="sr-Cyrl-CS"/>
                    </w:rPr>
                  </w:pPr>
                  <w:r>
                    <w:rPr>
                      <w:sz w:val="18"/>
                      <w:szCs w:val="18"/>
                      <w:lang w:val="sr-Cyrl-CS"/>
                    </w:rPr>
                    <w:t>Сектор за контролу</w:t>
                  </w:r>
                </w:p>
              </w:txbxContent>
            </v:textbox>
          </v:roundrect>
        </w:pict>
      </w:r>
      <w:r>
        <w:rPr>
          <w:noProof/>
          <w:color w:val="000000"/>
        </w:rPr>
        <w:pict>
          <v:roundrect id="_x0000_s1284" style="position:absolute;left:0;text-align:left;margin-left:34.2pt;margin-top:6.25pt;width:79.5pt;height:81.75pt;z-index:251674112" arcsize="10923f">
            <v:textbox>
              <w:txbxContent>
                <w:p w:rsidR="00767127" w:rsidRPr="003804A1" w:rsidRDefault="00767127">
                  <w:pPr>
                    <w:rPr>
                      <w:sz w:val="18"/>
                      <w:szCs w:val="18"/>
                      <w:lang w:val="sr-Cyrl-CS"/>
                    </w:rPr>
                  </w:pPr>
                  <w:r>
                    <w:rPr>
                      <w:sz w:val="18"/>
                      <w:szCs w:val="18"/>
                      <w:lang w:val="sr-Cyrl-CS"/>
                    </w:rPr>
                    <w:t>Сектор за пореско-правне послове и координацију</w:t>
                  </w:r>
                </w:p>
              </w:txbxContent>
            </v:textbox>
          </v:roundrect>
        </w:pict>
      </w:r>
      <w:r w:rsidR="003804A1">
        <w:rPr>
          <w:color w:val="000000"/>
          <w:lang w:val="sr-Cyrl-CS"/>
        </w:rPr>
        <w:t xml:space="preserve">                                                                                                                                              </w:t>
      </w:r>
    </w:p>
    <w:p w:rsidR="00AC0246" w:rsidRDefault="003804A1" w:rsidP="00BE510A">
      <w:pPr>
        <w:pStyle w:val="normal0"/>
        <w:shd w:val="clear" w:color="auto" w:fill="FFFFFF"/>
        <w:spacing w:before="48" w:beforeAutospacing="0" w:after="48" w:afterAutospacing="0"/>
        <w:ind w:firstLine="708"/>
        <w:jc w:val="both"/>
        <w:rPr>
          <w:color w:val="000000"/>
          <w:lang w:val="sr-Cyrl-CS"/>
        </w:rPr>
      </w:pPr>
      <w:r>
        <w:rPr>
          <w:color w:val="000000"/>
          <w:lang w:val="sr-Cyrl-CS"/>
        </w:rPr>
        <w:t xml:space="preserve">                               </w:t>
      </w:r>
    </w:p>
    <w:p w:rsidR="00AC0246" w:rsidRDefault="00AC0246" w:rsidP="00BE510A">
      <w:pPr>
        <w:pStyle w:val="normal0"/>
        <w:shd w:val="clear" w:color="auto" w:fill="FFFFFF"/>
        <w:spacing w:before="48" w:beforeAutospacing="0" w:after="48" w:afterAutospacing="0"/>
        <w:ind w:firstLine="708"/>
        <w:jc w:val="both"/>
        <w:rPr>
          <w:color w:val="000000"/>
          <w:lang w:val="sr-Cyrl-CS"/>
        </w:rPr>
      </w:pPr>
    </w:p>
    <w:p w:rsidR="00AC0246" w:rsidRDefault="00AC0246" w:rsidP="00BE510A">
      <w:pPr>
        <w:pStyle w:val="normal0"/>
        <w:shd w:val="clear" w:color="auto" w:fill="FFFFFF"/>
        <w:spacing w:before="48" w:beforeAutospacing="0" w:after="48" w:afterAutospacing="0"/>
        <w:ind w:firstLine="708"/>
        <w:jc w:val="both"/>
        <w:rPr>
          <w:color w:val="000000"/>
          <w:lang w:val="sr-Cyrl-CS"/>
        </w:rPr>
      </w:pPr>
    </w:p>
    <w:p w:rsidR="00AC0246" w:rsidRDefault="00AC0246" w:rsidP="00BE510A">
      <w:pPr>
        <w:pStyle w:val="normal0"/>
        <w:shd w:val="clear" w:color="auto" w:fill="FFFFFF"/>
        <w:spacing w:before="48" w:beforeAutospacing="0" w:after="48" w:afterAutospacing="0"/>
        <w:ind w:firstLine="708"/>
        <w:jc w:val="both"/>
        <w:rPr>
          <w:color w:val="000000"/>
          <w:lang w:val="sr-Cyrl-CS"/>
        </w:rPr>
      </w:pPr>
    </w:p>
    <w:p w:rsidR="00BE510A" w:rsidRPr="00BE510A" w:rsidRDefault="00BE510A" w:rsidP="00BE510A">
      <w:pPr>
        <w:pStyle w:val="normal0"/>
        <w:shd w:val="clear" w:color="auto" w:fill="FFFFFF"/>
        <w:spacing w:before="48" w:beforeAutospacing="0" w:after="48" w:afterAutospacing="0"/>
        <w:ind w:firstLine="708"/>
        <w:jc w:val="both"/>
        <w:rPr>
          <w:color w:val="000000"/>
          <w:lang w:val="sr-Cyrl-CS"/>
        </w:rPr>
      </w:pPr>
    </w:p>
    <w:p w:rsidR="00207CA7" w:rsidRDefault="00207CA7" w:rsidP="00E72830">
      <w:pPr>
        <w:pStyle w:val="normal0"/>
        <w:shd w:val="clear" w:color="auto" w:fill="FFFFFF"/>
        <w:spacing w:before="48" w:beforeAutospacing="0" w:after="48" w:afterAutospacing="0"/>
        <w:rPr>
          <w:rFonts w:ascii="Arial" w:hAnsi="Arial" w:cs="Arial"/>
          <w:color w:val="000000"/>
          <w:sz w:val="18"/>
          <w:szCs w:val="18"/>
          <w:lang w:val="sr-Cyrl-CS"/>
        </w:rPr>
      </w:pPr>
    </w:p>
    <w:p w:rsidR="0058575C" w:rsidRDefault="0058575C" w:rsidP="00207CA7">
      <w:pPr>
        <w:pStyle w:val="normal0"/>
        <w:shd w:val="clear" w:color="auto" w:fill="FFFFFF"/>
        <w:spacing w:before="48" w:beforeAutospacing="0" w:after="48" w:afterAutospacing="0"/>
        <w:ind w:firstLine="708"/>
        <w:jc w:val="both"/>
        <w:rPr>
          <w:color w:val="000000"/>
        </w:rPr>
      </w:pPr>
    </w:p>
    <w:p w:rsidR="00D45FD1" w:rsidRPr="00D45FD1" w:rsidRDefault="00D45FD1" w:rsidP="00207CA7">
      <w:pPr>
        <w:pStyle w:val="normal0"/>
        <w:shd w:val="clear" w:color="auto" w:fill="FFFFFF"/>
        <w:spacing w:before="48" w:beforeAutospacing="0" w:after="48" w:afterAutospacing="0"/>
        <w:ind w:firstLine="708"/>
        <w:jc w:val="both"/>
        <w:rPr>
          <w:b/>
          <w:color w:val="000000"/>
        </w:rPr>
      </w:pPr>
    </w:p>
    <w:p w:rsidR="0058575C" w:rsidRDefault="0058575C" w:rsidP="00207CA7">
      <w:pPr>
        <w:pStyle w:val="normal0"/>
        <w:shd w:val="clear" w:color="auto" w:fill="FFFFFF"/>
        <w:spacing w:before="48" w:beforeAutospacing="0" w:after="48" w:afterAutospacing="0"/>
        <w:ind w:firstLine="708"/>
        <w:jc w:val="both"/>
        <w:rPr>
          <w:b/>
          <w:color w:val="000000"/>
          <w:lang w:val="sr-Cyrl-CS"/>
        </w:rPr>
      </w:pPr>
    </w:p>
    <w:p w:rsidR="00BC5C20" w:rsidRDefault="00255CEF" w:rsidP="00207CA7">
      <w:pPr>
        <w:pStyle w:val="normal0"/>
        <w:shd w:val="clear" w:color="auto" w:fill="FFFFFF"/>
        <w:spacing w:before="48" w:beforeAutospacing="0" w:after="48" w:afterAutospacing="0"/>
        <w:ind w:firstLine="708"/>
        <w:jc w:val="both"/>
        <w:rPr>
          <w:b/>
          <w:color w:val="000000"/>
          <w:lang w:val="sr-Cyrl-CS"/>
        </w:rPr>
      </w:pPr>
      <w:r>
        <w:rPr>
          <w:b/>
          <w:color w:val="000000"/>
          <w:lang w:val="sr-Cyrl-CS"/>
        </w:rPr>
        <w:t>Слика 25</w:t>
      </w:r>
      <w:r w:rsidR="0058575C" w:rsidRPr="0058575C">
        <w:rPr>
          <w:b/>
          <w:color w:val="000000"/>
          <w:lang w:val="sr-Cyrl-CS"/>
        </w:rPr>
        <w:t>.</w:t>
      </w:r>
      <w:r w:rsidR="0058575C">
        <w:rPr>
          <w:rStyle w:val="FootnoteReference"/>
          <w:b/>
          <w:color w:val="000000"/>
          <w:lang w:val="sr-Cyrl-CS"/>
        </w:rPr>
        <w:footnoteReference w:id="844"/>
      </w:r>
    </w:p>
    <w:p w:rsidR="0058575C" w:rsidRPr="0058575C" w:rsidRDefault="0058575C" w:rsidP="00207CA7">
      <w:pPr>
        <w:pStyle w:val="normal0"/>
        <w:shd w:val="clear" w:color="auto" w:fill="FFFFFF"/>
        <w:spacing w:before="48" w:beforeAutospacing="0" w:after="48" w:afterAutospacing="0"/>
        <w:ind w:firstLine="708"/>
        <w:jc w:val="both"/>
        <w:rPr>
          <w:b/>
          <w:color w:val="000000"/>
          <w:lang w:val="sr-Cyrl-CS"/>
        </w:rPr>
      </w:pPr>
    </w:p>
    <w:p w:rsidR="00BC5C20" w:rsidRDefault="00616181" w:rsidP="00207CA7">
      <w:pPr>
        <w:pStyle w:val="normal0"/>
        <w:shd w:val="clear" w:color="auto" w:fill="FFFFFF"/>
        <w:spacing w:before="48" w:beforeAutospacing="0" w:after="48" w:afterAutospacing="0"/>
        <w:ind w:firstLine="708"/>
        <w:jc w:val="both"/>
        <w:rPr>
          <w:color w:val="000000"/>
          <w:lang w:val="sr-Cyrl-CS"/>
        </w:rPr>
      </w:pPr>
      <w:r>
        <w:rPr>
          <w:noProof/>
          <w:color w:val="000000"/>
        </w:rPr>
        <w:pict>
          <v:roundrect id="_x0000_s1308" style="position:absolute;left:0;text-align:left;margin-left:191.7pt;margin-top:4.5pt;width:85.5pt;height:28.5pt;z-index:251691520" arcsize="10923f">
            <v:textbox>
              <w:txbxContent>
                <w:p w:rsidR="00767127" w:rsidRPr="004833E2" w:rsidRDefault="00767127">
                  <w:pPr>
                    <w:rPr>
                      <w:lang w:val="sr-Cyrl-CS"/>
                    </w:rPr>
                  </w:pPr>
                  <w:r>
                    <w:rPr>
                      <w:lang w:val="sr-Cyrl-CS"/>
                    </w:rPr>
                    <w:t>централа</w:t>
                  </w:r>
                </w:p>
              </w:txbxContent>
            </v:textbox>
          </v:roundrect>
        </w:pict>
      </w:r>
      <w:r w:rsidR="00BC5C20">
        <w:rPr>
          <w:color w:val="000000"/>
          <w:lang w:val="sr-Cyrl-CS"/>
        </w:rPr>
        <w:t xml:space="preserve">                                                     </w:t>
      </w:r>
    </w:p>
    <w:p w:rsidR="00BC5C20" w:rsidRDefault="00616181" w:rsidP="00207CA7">
      <w:pPr>
        <w:pStyle w:val="normal0"/>
        <w:shd w:val="clear" w:color="auto" w:fill="FFFFFF"/>
        <w:spacing w:before="48" w:beforeAutospacing="0" w:after="48" w:afterAutospacing="0"/>
        <w:ind w:firstLine="708"/>
        <w:jc w:val="both"/>
        <w:rPr>
          <w:color w:val="000000"/>
          <w:lang w:val="sr-Cyrl-CS"/>
        </w:rPr>
      </w:pPr>
      <w:r>
        <w:rPr>
          <w:noProof/>
          <w:color w:val="000000"/>
        </w:rPr>
        <w:pict>
          <v:roundrect id="_x0000_s1315" style="position:absolute;left:0;text-align:left;margin-left:421.2pt;margin-top:12.3pt;width:70.5pt;height:60.75pt;z-index:251698688" arcsize="10923f">
            <v:textbox>
              <w:txbxContent>
                <w:p w:rsidR="00767127" w:rsidRPr="004833E2" w:rsidRDefault="00767127">
                  <w:pPr>
                    <w:rPr>
                      <w:sz w:val="24"/>
                      <w:szCs w:val="24"/>
                      <w:lang w:val="sr-Cyrl-CS"/>
                    </w:rPr>
                  </w:pPr>
                  <w:r w:rsidRPr="004833E2">
                    <w:rPr>
                      <w:sz w:val="24"/>
                      <w:szCs w:val="24"/>
                      <w:lang w:val="sr-Cyrl-CS"/>
                    </w:rPr>
                    <w:t>цвпо</w:t>
                  </w:r>
                </w:p>
              </w:txbxContent>
            </v:textbox>
          </v:roundrect>
        </w:pict>
      </w:r>
      <w:r>
        <w:rPr>
          <w:noProof/>
          <w:color w:val="000000"/>
        </w:rPr>
        <w:pict>
          <v:roundrect id="_x0000_s1314" style="position:absolute;left:0;text-align:left;margin-left:344.7pt;margin-top:12.3pt;width:59.25pt;height:65.25pt;z-index:251697664" arcsize="10923f">
            <v:textbox>
              <w:txbxContent>
                <w:p w:rsidR="00767127" w:rsidRPr="004833E2" w:rsidRDefault="00767127">
                  <w:pPr>
                    <w:rPr>
                      <w:sz w:val="16"/>
                      <w:szCs w:val="16"/>
                      <w:lang w:val="sr-Cyrl-CS"/>
                    </w:rPr>
                  </w:pPr>
                  <w:r>
                    <w:rPr>
                      <w:sz w:val="16"/>
                      <w:szCs w:val="16"/>
                      <w:lang w:val="sr-Cyrl-CS"/>
                    </w:rPr>
                    <w:t>Регионални центар Приштина</w:t>
                  </w:r>
                </w:p>
              </w:txbxContent>
            </v:textbox>
          </v:roundrect>
        </w:pict>
      </w:r>
      <w:r>
        <w:rPr>
          <w:noProof/>
          <w:color w:val="000000"/>
        </w:rPr>
        <w:pict>
          <v:roundrect id="_x0000_s1311" style="position:absolute;left:0;text-align:left;margin-left:107.7pt;margin-top:12.3pt;width:62.25pt;height:65.25pt;z-index:251694592" arcsize="10923f">
            <v:textbox>
              <w:txbxContent>
                <w:p w:rsidR="00767127" w:rsidRPr="004833E2" w:rsidRDefault="00767127">
                  <w:pPr>
                    <w:rPr>
                      <w:sz w:val="18"/>
                      <w:szCs w:val="18"/>
                      <w:lang w:val="sr-Cyrl-CS"/>
                    </w:rPr>
                  </w:pPr>
                  <w:r>
                    <w:rPr>
                      <w:sz w:val="18"/>
                      <w:szCs w:val="18"/>
                      <w:lang w:val="sr-Cyrl-CS"/>
                    </w:rPr>
                    <w:t>Регионални центар Нови Сад</w:t>
                  </w:r>
                </w:p>
              </w:txbxContent>
            </v:textbox>
          </v:roundrect>
        </w:pict>
      </w:r>
      <w:r>
        <w:rPr>
          <w:noProof/>
          <w:color w:val="000000"/>
        </w:rPr>
        <w:pict>
          <v:roundrect id="_x0000_s1309" style="position:absolute;left:0;text-align:left;margin-left:28.2pt;margin-top:12.3pt;width:70.5pt;height:65.25pt;z-index:251692544" arcsize="10923f">
            <v:textbox>
              <w:txbxContent>
                <w:p w:rsidR="00767127" w:rsidRDefault="00767127">
                  <w:pPr>
                    <w:rPr>
                      <w:sz w:val="18"/>
                      <w:szCs w:val="18"/>
                      <w:lang w:val="sr-Cyrl-CS"/>
                    </w:rPr>
                  </w:pPr>
                  <w:r>
                    <w:rPr>
                      <w:sz w:val="18"/>
                      <w:szCs w:val="18"/>
                      <w:lang w:val="sr-Cyrl-CS"/>
                    </w:rPr>
                    <w:t>Регионални</w:t>
                  </w:r>
                </w:p>
                <w:p w:rsidR="00767127" w:rsidRPr="004833E2" w:rsidRDefault="00767127">
                  <w:pPr>
                    <w:rPr>
                      <w:sz w:val="18"/>
                      <w:szCs w:val="18"/>
                      <w:lang w:val="sr-Cyrl-CS"/>
                    </w:rPr>
                  </w:pPr>
                  <w:r>
                    <w:rPr>
                      <w:sz w:val="18"/>
                      <w:szCs w:val="18"/>
                      <w:lang w:val="sr-Cyrl-CS"/>
                    </w:rPr>
                    <w:t>Центар Београд</w:t>
                  </w:r>
                </w:p>
              </w:txbxContent>
            </v:textbox>
          </v:roundrect>
        </w:pict>
      </w:r>
    </w:p>
    <w:p w:rsidR="00BC5C20" w:rsidRDefault="00616181" w:rsidP="00207CA7">
      <w:pPr>
        <w:pStyle w:val="normal0"/>
        <w:shd w:val="clear" w:color="auto" w:fill="FFFFFF"/>
        <w:spacing w:before="48" w:beforeAutospacing="0" w:after="48" w:afterAutospacing="0"/>
        <w:ind w:firstLine="708"/>
        <w:jc w:val="both"/>
        <w:rPr>
          <w:color w:val="000000"/>
          <w:lang w:val="sr-Cyrl-CS"/>
        </w:rPr>
      </w:pPr>
      <w:r>
        <w:rPr>
          <w:noProof/>
          <w:color w:val="000000"/>
        </w:rPr>
        <w:pict>
          <v:shape id="_x0000_s1339" type="#_x0000_t32" style="position:absolute;left:0;text-align:left;margin-left:231.45pt;margin-top:.6pt;width:0;height:4.5pt;z-index:251719168" o:connectortype="straight"/>
        </w:pict>
      </w:r>
      <w:r>
        <w:rPr>
          <w:noProof/>
          <w:color w:val="000000"/>
        </w:rPr>
        <w:pict>
          <v:roundrect id="_x0000_s1313" style="position:absolute;left:0;text-align:left;margin-left:265.2pt;margin-top:.6pt;width:58.5pt;height:60.75pt;z-index:251696640" arcsize="10923f">
            <v:textbox>
              <w:txbxContent>
                <w:p w:rsidR="00767127" w:rsidRPr="004833E2" w:rsidRDefault="00767127">
                  <w:pPr>
                    <w:rPr>
                      <w:sz w:val="18"/>
                      <w:szCs w:val="18"/>
                      <w:lang w:val="sr-Cyrl-CS"/>
                    </w:rPr>
                  </w:pPr>
                  <w:r>
                    <w:rPr>
                      <w:sz w:val="18"/>
                      <w:szCs w:val="18"/>
                      <w:lang w:val="sr-Cyrl-CS"/>
                    </w:rPr>
                    <w:t>Региона-лни центар Ниш</w:t>
                  </w:r>
                </w:p>
              </w:txbxContent>
            </v:textbox>
          </v:roundrect>
        </w:pict>
      </w:r>
      <w:r>
        <w:rPr>
          <w:noProof/>
          <w:color w:val="000000"/>
        </w:rPr>
        <w:pict>
          <v:roundrect id="_x0000_s1312" style="position:absolute;left:0;text-align:left;margin-left:184.95pt;margin-top:5.1pt;width:60pt;height:56.25pt;z-index:251695616" arcsize="10923f">
            <v:textbox>
              <w:txbxContent>
                <w:p w:rsidR="00767127" w:rsidRPr="004833E2" w:rsidRDefault="00767127">
                  <w:pPr>
                    <w:rPr>
                      <w:sz w:val="16"/>
                      <w:szCs w:val="16"/>
                      <w:lang w:val="sr-Cyrl-CS"/>
                    </w:rPr>
                  </w:pPr>
                  <w:r>
                    <w:rPr>
                      <w:sz w:val="16"/>
                      <w:szCs w:val="16"/>
                      <w:lang w:val="sr-Cyrl-CS"/>
                    </w:rPr>
                    <w:t>Регионални центар Крагујевац</w:t>
                  </w:r>
                </w:p>
              </w:txbxContent>
            </v:textbox>
          </v:roundrect>
        </w:pict>
      </w:r>
    </w:p>
    <w:p w:rsidR="00BC5C20" w:rsidRDefault="00616181" w:rsidP="00207CA7">
      <w:pPr>
        <w:pStyle w:val="normal0"/>
        <w:shd w:val="clear" w:color="auto" w:fill="FFFFFF"/>
        <w:spacing w:before="48" w:beforeAutospacing="0" w:after="48" w:afterAutospacing="0"/>
        <w:ind w:firstLine="708"/>
        <w:jc w:val="both"/>
        <w:rPr>
          <w:color w:val="000000"/>
          <w:lang w:val="sr-Cyrl-CS"/>
        </w:rPr>
      </w:pPr>
      <w:r>
        <w:rPr>
          <w:noProof/>
          <w:color w:val="000000"/>
        </w:rPr>
        <w:pict>
          <v:shape id="_x0000_s1344" type="#_x0000_t32" style="position:absolute;left:0;text-align:left;margin-left:403.2pt;margin-top:11.8pt;width:18pt;height:0;z-index:251724288" o:connectortype="straight"/>
        </w:pict>
      </w:r>
      <w:r>
        <w:rPr>
          <w:noProof/>
          <w:color w:val="000000"/>
        </w:rPr>
        <w:pict>
          <v:shape id="_x0000_s1343" type="#_x0000_t32" style="position:absolute;left:0;text-align:left;margin-left:323.7pt;margin-top:11.8pt;width:20.25pt;height:0;z-index:251723264" o:connectortype="straight"/>
        </w:pict>
      </w:r>
      <w:r>
        <w:rPr>
          <w:noProof/>
          <w:color w:val="000000"/>
        </w:rPr>
        <w:pict>
          <v:shape id="_x0000_s1342" type="#_x0000_t32" style="position:absolute;left:0;text-align:left;margin-left:244.95pt;margin-top:11.8pt;width:20.25pt;height:0;z-index:251722240" o:connectortype="straight"/>
        </w:pict>
      </w:r>
      <w:r>
        <w:rPr>
          <w:noProof/>
          <w:color w:val="000000"/>
        </w:rPr>
        <w:pict>
          <v:shape id="_x0000_s1341" type="#_x0000_t32" style="position:absolute;left:0;text-align:left;margin-left:169.95pt;margin-top:11.8pt;width:15pt;height:0;z-index:251721216" o:connectortype="elbow" adj="-367200,-1,-367200"/>
        </w:pict>
      </w:r>
      <w:r>
        <w:rPr>
          <w:noProof/>
          <w:color w:val="000000"/>
        </w:rPr>
        <w:pict>
          <v:shape id="_x0000_s1340" type="#_x0000_t32" style="position:absolute;left:0;text-align:left;margin-left:98.7pt;margin-top:11.8pt;width:9pt;height:0;z-index:251720192" o:connectortype="straight"/>
        </w:pict>
      </w:r>
      <w:r>
        <w:rPr>
          <w:noProof/>
          <w:color w:val="000000"/>
        </w:rPr>
        <w:pict>
          <v:roundrect id="_x0000_s1310" style="position:absolute;left:0;text-align:left;margin-left:107.7pt;margin-top:4.65pt;width:7.15pt;height:7.15pt;z-index:251693568" arcsize="10923f"/>
        </w:pict>
      </w:r>
    </w:p>
    <w:p w:rsidR="00BC5C20" w:rsidRDefault="00BC5C20" w:rsidP="00207CA7">
      <w:pPr>
        <w:pStyle w:val="normal0"/>
        <w:shd w:val="clear" w:color="auto" w:fill="FFFFFF"/>
        <w:spacing w:before="48" w:beforeAutospacing="0" w:after="48" w:afterAutospacing="0"/>
        <w:ind w:firstLine="708"/>
        <w:jc w:val="both"/>
        <w:rPr>
          <w:color w:val="000000"/>
          <w:lang w:val="sr-Cyrl-CS"/>
        </w:rPr>
      </w:pPr>
    </w:p>
    <w:p w:rsidR="00BC5C20" w:rsidRDefault="00616181" w:rsidP="00207CA7">
      <w:pPr>
        <w:pStyle w:val="normal0"/>
        <w:shd w:val="clear" w:color="auto" w:fill="FFFFFF"/>
        <w:spacing w:before="48" w:beforeAutospacing="0" w:after="48" w:afterAutospacing="0"/>
        <w:ind w:firstLine="708"/>
        <w:jc w:val="both"/>
        <w:rPr>
          <w:color w:val="000000"/>
          <w:lang w:val="sr-Cyrl-CS"/>
        </w:rPr>
      </w:pPr>
      <w:r>
        <w:rPr>
          <w:noProof/>
          <w:color w:val="000000"/>
        </w:rPr>
        <w:pict>
          <v:shape id="_x0000_s1370" type="#_x0000_t32" style="position:absolute;left:0;text-align:left;margin-left:373.95pt;margin-top:12.75pt;width:0;height:9pt;z-index:251745792" o:connectortype="straight"/>
        </w:pict>
      </w:r>
      <w:r>
        <w:rPr>
          <w:noProof/>
          <w:color w:val="000000"/>
        </w:rPr>
        <w:pict>
          <v:shape id="_x0000_s1361" type="#_x0000_t32" style="position:absolute;left:0;text-align:left;margin-left:292.95pt;margin-top:12.75pt;width:.75pt;height:9pt;z-index:251740672" o:connectortype="straight"/>
        </w:pict>
      </w:r>
      <w:r>
        <w:rPr>
          <w:noProof/>
          <w:color w:val="000000"/>
        </w:rPr>
        <w:pict>
          <v:shape id="_x0000_s1356" type="#_x0000_t32" style="position:absolute;left:0;text-align:left;margin-left:212.7pt;margin-top:12.75pt;width:0;height:9pt;z-index:251735552" o:connectortype="straight"/>
        </w:pict>
      </w:r>
      <w:r>
        <w:rPr>
          <w:noProof/>
          <w:color w:val="000000"/>
        </w:rPr>
        <w:pict>
          <v:shape id="_x0000_s1351" type="#_x0000_t32" style="position:absolute;left:0;text-align:left;margin-left:142.2pt;margin-top:12.75pt;width:0;height:9pt;z-index:251730432" o:connectortype="straight"/>
        </w:pict>
      </w:r>
      <w:r>
        <w:rPr>
          <w:noProof/>
          <w:color w:val="000000"/>
        </w:rPr>
        <w:pict>
          <v:shape id="_x0000_s1346" type="#_x0000_t32" style="position:absolute;left:0;text-align:left;margin-left:64.2pt;margin-top:12.75pt;width:.75pt;height:9pt;flip:x;z-index:251725312" o:connectortype="straight"/>
        </w:pict>
      </w:r>
    </w:p>
    <w:p w:rsidR="00BC5C20" w:rsidRDefault="00616181" w:rsidP="00207CA7">
      <w:pPr>
        <w:pStyle w:val="normal0"/>
        <w:shd w:val="clear" w:color="auto" w:fill="FFFFFF"/>
        <w:spacing w:before="48" w:beforeAutospacing="0" w:after="48" w:afterAutospacing="0"/>
        <w:ind w:firstLine="708"/>
        <w:jc w:val="both"/>
        <w:rPr>
          <w:color w:val="000000"/>
          <w:lang w:val="sr-Cyrl-CS"/>
        </w:rPr>
      </w:pPr>
      <w:r>
        <w:rPr>
          <w:noProof/>
          <w:color w:val="000000"/>
        </w:rPr>
        <w:pict>
          <v:roundrect id="_x0000_s1320" style="position:absolute;left:0;text-align:left;margin-left:343.95pt;margin-top:5.55pt;width:60pt;height:33pt;z-index:251703808" arcsize="10923f">
            <v:textbox>
              <w:txbxContent>
                <w:p w:rsidR="00767127" w:rsidRPr="00760451" w:rsidRDefault="00767127">
                  <w:pPr>
                    <w:rPr>
                      <w:sz w:val="16"/>
                      <w:szCs w:val="16"/>
                      <w:lang w:val="sr-Cyrl-CS"/>
                    </w:rPr>
                  </w:pPr>
                  <w:r>
                    <w:rPr>
                      <w:sz w:val="16"/>
                      <w:szCs w:val="16"/>
                      <w:lang w:val="sr-Cyrl-CS"/>
                    </w:rPr>
                    <w:t>Филијала Ц</w:t>
                  </w:r>
                </w:p>
              </w:txbxContent>
            </v:textbox>
          </v:roundrect>
        </w:pict>
      </w:r>
      <w:r>
        <w:rPr>
          <w:noProof/>
          <w:color w:val="000000"/>
        </w:rPr>
        <w:pict>
          <v:roundrect id="_x0000_s1319" style="position:absolute;left:0;text-align:left;margin-left:272.7pt;margin-top:5.55pt;width:51pt;height:33pt;z-index:251702784" arcsize="10923f">
            <v:textbox>
              <w:txbxContent>
                <w:p w:rsidR="00767127" w:rsidRPr="00760451" w:rsidRDefault="00767127">
                  <w:pPr>
                    <w:rPr>
                      <w:sz w:val="16"/>
                      <w:szCs w:val="16"/>
                      <w:lang w:val="sr-Cyrl-CS"/>
                    </w:rPr>
                  </w:pPr>
                  <w:r>
                    <w:rPr>
                      <w:sz w:val="16"/>
                      <w:szCs w:val="16"/>
                      <w:lang w:val="sr-Cyrl-CS"/>
                    </w:rPr>
                    <w:t>Филијала А</w:t>
                  </w:r>
                </w:p>
              </w:txbxContent>
            </v:textbox>
          </v:roundrect>
        </w:pict>
      </w:r>
      <w:r>
        <w:rPr>
          <w:noProof/>
          <w:color w:val="000000"/>
        </w:rPr>
        <w:pict>
          <v:roundrect id="_x0000_s1318" style="position:absolute;left:0;text-align:left;margin-left:184.95pt;margin-top:5.55pt;width:60pt;height:33pt;z-index:251701760" arcsize="10923f">
            <v:textbox>
              <w:txbxContent>
                <w:p w:rsidR="00767127" w:rsidRPr="00760451" w:rsidRDefault="00767127">
                  <w:pPr>
                    <w:rPr>
                      <w:sz w:val="16"/>
                      <w:szCs w:val="16"/>
                      <w:lang w:val="sr-Cyrl-CS"/>
                    </w:rPr>
                  </w:pPr>
                  <w:r>
                    <w:rPr>
                      <w:sz w:val="16"/>
                      <w:szCs w:val="16"/>
                      <w:lang w:val="sr-Cyrl-CS"/>
                    </w:rPr>
                    <w:t>Филијала А</w:t>
                  </w:r>
                </w:p>
              </w:txbxContent>
            </v:textbox>
          </v:roundrect>
        </w:pict>
      </w:r>
      <w:r>
        <w:rPr>
          <w:noProof/>
          <w:color w:val="000000"/>
        </w:rPr>
        <w:pict>
          <v:roundrect id="_x0000_s1317" style="position:absolute;left:0;text-align:left;margin-left:113.7pt;margin-top:5.55pt;width:56.25pt;height:33pt;z-index:251700736" arcsize="10923f">
            <v:textbox>
              <w:txbxContent>
                <w:p w:rsidR="00767127" w:rsidRPr="004833E2" w:rsidRDefault="00767127" w:rsidP="004833E2">
                  <w:pPr>
                    <w:rPr>
                      <w:sz w:val="18"/>
                      <w:szCs w:val="18"/>
                      <w:lang w:val="sr-Cyrl-CS"/>
                    </w:rPr>
                  </w:pPr>
                  <w:r w:rsidRPr="004833E2">
                    <w:rPr>
                      <w:sz w:val="18"/>
                      <w:szCs w:val="18"/>
                      <w:lang w:val="sr-Cyrl-CS"/>
                    </w:rPr>
                    <w:t>Филијале</w:t>
                  </w:r>
                  <w:r>
                    <w:rPr>
                      <w:sz w:val="18"/>
                      <w:szCs w:val="18"/>
                      <w:lang w:val="sr-Cyrl-CS"/>
                    </w:rPr>
                    <w:t xml:space="preserve"> А</w:t>
                  </w:r>
                </w:p>
                <w:p w:rsidR="00767127" w:rsidRPr="004833E2" w:rsidRDefault="00767127">
                  <w:pPr>
                    <w:rPr>
                      <w:sz w:val="16"/>
                      <w:szCs w:val="16"/>
                    </w:rPr>
                  </w:pPr>
                </w:p>
              </w:txbxContent>
            </v:textbox>
          </v:roundrect>
        </w:pict>
      </w:r>
      <w:r>
        <w:rPr>
          <w:noProof/>
          <w:color w:val="000000"/>
        </w:rPr>
        <w:pict>
          <v:roundrect id="_x0000_s1316" style="position:absolute;left:0;text-align:left;margin-left:34.2pt;margin-top:5.55pt;width:60.75pt;height:33pt;z-index:251699712" arcsize="10923f">
            <v:textbox>
              <w:txbxContent>
                <w:p w:rsidR="00767127" w:rsidRPr="004833E2" w:rsidRDefault="00767127">
                  <w:pPr>
                    <w:rPr>
                      <w:sz w:val="18"/>
                      <w:szCs w:val="18"/>
                      <w:lang w:val="sr-Cyrl-CS"/>
                    </w:rPr>
                  </w:pPr>
                  <w:r w:rsidRPr="004833E2">
                    <w:rPr>
                      <w:sz w:val="18"/>
                      <w:szCs w:val="18"/>
                      <w:lang w:val="sr-Cyrl-CS"/>
                    </w:rPr>
                    <w:t>Филијале</w:t>
                  </w:r>
                  <w:r>
                    <w:rPr>
                      <w:sz w:val="18"/>
                      <w:szCs w:val="18"/>
                      <w:lang w:val="sr-Cyrl-CS"/>
                    </w:rPr>
                    <w:t xml:space="preserve"> А</w:t>
                  </w:r>
                </w:p>
              </w:txbxContent>
            </v:textbox>
          </v:roundrect>
        </w:pict>
      </w:r>
    </w:p>
    <w:p w:rsidR="00BC5C20" w:rsidRDefault="00BC5C20" w:rsidP="00207CA7">
      <w:pPr>
        <w:pStyle w:val="normal0"/>
        <w:shd w:val="clear" w:color="auto" w:fill="FFFFFF"/>
        <w:spacing w:before="48" w:beforeAutospacing="0" w:after="48" w:afterAutospacing="0"/>
        <w:ind w:firstLine="708"/>
        <w:jc w:val="both"/>
        <w:rPr>
          <w:color w:val="000000"/>
          <w:lang w:val="sr-Cyrl-CS"/>
        </w:rPr>
      </w:pPr>
    </w:p>
    <w:p w:rsidR="00BC5C20" w:rsidRDefault="00616181" w:rsidP="00207CA7">
      <w:pPr>
        <w:pStyle w:val="normal0"/>
        <w:shd w:val="clear" w:color="auto" w:fill="FFFFFF"/>
        <w:spacing w:before="48" w:beforeAutospacing="0" w:after="48" w:afterAutospacing="0"/>
        <w:ind w:firstLine="708"/>
        <w:jc w:val="both"/>
        <w:rPr>
          <w:color w:val="000000"/>
          <w:lang w:val="sr-Cyrl-CS"/>
        </w:rPr>
      </w:pPr>
      <w:r>
        <w:rPr>
          <w:noProof/>
          <w:color w:val="000000"/>
        </w:rPr>
        <w:pict>
          <v:shape id="_x0000_s1371" type="#_x0000_t32" style="position:absolute;left:0;text-align:left;margin-left:373.95pt;margin-top:6.15pt;width:0;height:24pt;z-index:251746816" o:connectortype="straight"/>
        </w:pict>
      </w:r>
      <w:r>
        <w:rPr>
          <w:noProof/>
          <w:color w:val="000000"/>
        </w:rPr>
        <w:pict>
          <v:shape id="_x0000_s1366" type="#_x0000_t32" style="position:absolute;left:0;text-align:left;margin-left:299.7pt;margin-top:6.15pt;width:0;height:24pt;z-index:251741696" o:connectortype="straight"/>
        </w:pict>
      </w:r>
      <w:r>
        <w:rPr>
          <w:noProof/>
          <w:color w:val="000000"/>
        </w:rPr>
        <w:pict>
          <v:shape id="_x0000_s1357" type="#_x0000_t32" style="position:absolute;left:0;text-align:left;margin-left:212.7pt;margin-top:6.15pt;width:0;height:24pt;z-index:251736576" o:connectortype="straight"/>
        </w:pict>
      </w:r>
      <w:r>
        <w:rPr>
          <w:noProof/>
          <w:color w:val="000000"/>
        </w:rPr>
        <w:pict>
          <v:shape id="_x0000_s1352" type="#_x0000_t32" style="position:absolute;left:0;text-align:left;margin-left:142.2pt;margin-top:6.15pt;width:0;height:20.25pt;z-index:251731456" o:connectortype="straight"/>
        </w:pict>
      </w:r>
      <w:r>
        <w:rPr>
          <w:noProof/>
          <w:color w:val="000000"/>
        </w:rPr>
        <w:pict>
          <v:shape id="_x0000_s1347" type="#_x0000_t32" style="position:absolute;left:0;text-align:left;margin-left:64.2pt;margin-top:6.15pt;width:0;height:24pt;z-index:251726336" o:connectortype="straight"/>
        </w:pict>
      </w:r>
    </w:p>
    <w:p w:rsidR="00BC5C20" w:rsidRDefault="00616181" w:rsidP="00207CA7">
      <w:pPr>
        <w:pStyle w:val="normal0"/>
        <w:shd w:val="clear" w:color="auto" w:fill="FFFFFF"/>
        <w:spacing w:before="48" w:beforeAutospacing="0" w:after="48" w:afterAutospacing="0"/>
        <w:ind w:firstLine="708"/>
        <w:jc w:val="both"/>
        <w:rPr>
          <w:color w:val="000000"/>
          <w:lang w:val="sr-Cyrl-CS"/>
        </w:rPr>
      </w:pPr>
      <w:r>
        <w:rPr>
          <w:noProof/>
          <w:color w:val="000000"/>
        </w:rPr>
        <w:pict>
          <v:roundrect id="_x0000_s1325" style="position:absolute;left:0;text-align:left;margin-left:114.85pt;margin-top:10.2pt;width:55.1pt;height:33.75pt;z-index:251707904" arcsize="10923f">
            <v:textbox>
              <w:txbxContent>
                <w:p w:rsidR="00767127" w:rsidRPr="00760451" w:rsidRDefault="00767127">
                  <w:pPr>
                    <w:rPr>
                      <w:sz w:val="16"/>
                      <w:szCs w:val="16"/>
                      <w:lang w:val="sr-Cyrl-CS"/>
                    </w:rPr>
                  </w:pPr>
                  <w:r>
                    <w:rPr>
                      <w:sz w:val="16"/>
                      <w:szCs w:val="16"/>
                      <w:lang w:val="sr-Cyrl-CS"/>
                    </w:rPr>
                    <w:t>Филијале Б</w:t>
                  </w:r>
                </w:p>
              </w:txbxContent>
            </v:textbox>
          </v:roundrect>
        </w:pict>
      </w:r>
      <w:r>
        <w:rPr>
          <w:noProof/>
          <w:color w:val="000000"/>
        </w:rPr>
        <w:pict>
          <v:roundrect id="_x0000_s1337" style="position:absolute;left:0;text-align:left;margin-left:352.2pt;margin-top:13.95pt;width:56.25pt;height:33.75pt;z-index:251717120" arcsize="10923f">
            <v:textbox>
              <w:txbxContent>
                <w:p w:rsidR="00767127" w:rsidRPr="00760451" w:rsidRDefault="00767127">
                  <w:pPr>
                    <w:rPr>
                      <w:sz w:val="16"/>
                      <w:szCs w:val="16"/>
                      <w:lang w:val="sr-Cyrl-CS"/>
                    </w:rPr>
                  </w:pPr>
                  <w:r>
                    <w:rPr>
                      <w:sz w:val="16"/>
                      <w:szCs w:val="16"/>
                      <w:lang w:val="sr-Cyrl-CS"/>
                    </w:rPr>
                    <w:t>Експозиту-ра</w:t>
                  </w:r>
                </w:p>
              </w:txbxContent>
            </v:textbox>
          </v:roundrect>
        </w:pict>
      </w:r>
      <w:r>
        <w:rPr>
          <w:noProof/>
          <w:color w:val="000000"/>
        </w:rPr>
        <w:pict>
          <v:roundrect id="_x0000_s1334" style="position:absolute;left:0;text-align:left;margin-left:265.2pt;margin-top:13.95pt;width:58.5pt;height:30pt;z-index:251714048" arcsize="10923f">
            <v:textbox>
              <w:txbxContent>
                <w:p w:rsidR="00767127" w:rsidRPr="00760451" w:rsidRDefault="00767127">
                  <w:pPr>
                    <w:rPr>
                      <w:sz w:val="16"/>
                      <w:szCs w:val="16"/>
                      <w:lang w:val="sr-Cyrl-CS"/>
                    </w:rPr>
                  </w:pPr>
                  <w:r>
                    <w:rPr>
                      <w:sz w:val="16"/>
                      <w:szCs w:val="16"/>
                      <w:lang w:val="sr-Cyrl-CS"/>
                    </w:rPr>
                    <w:t>Филијала Б</w:t>
                  </w:r>
                </w:p>
              </w:txbxContent>
            </v:textbox>
          </v:roundrect>
        </w:pict>
      </w:r>
      <w:r>
        <w:rPr>
          <w:noProof/>
          <w:color w:val="000000"/>
        </w:rPr>
        <w:pict>
          <v:roundrect id="_x0000_s1329" style="position:absolute;left:0;text-align:left;margin-left:191.7pt;margin-top:13.95pt;width:57pt;height:33.75pt;z-index:251710976" arcsize="10923f">
            <v:textbox>
              <w:txbxContent>
                <w:p w:rsidR="00767127" w:rsidRPr="00760451" w:rsidRDefault="00767127">
                  <w:pPr>
                    <w:rPr>
                      <w:sz w:val="16"/>
                      <w:szCs w:val="16"/>
                      <w:lang w:val="sr-Cyrl-CS"/>
                    </w:rPr>
                  </w:pPr>
                  <w:r>
                    <w:rPr>
                      <w:sz w:val="16"/>
                      <w:szCs w:val="16"/>
                      <w:lang w:val="sr-Cyrl-CS"/>
                    </w:rPr>
                    <w:t>Филијала Б</w:t>
                  </w:r>
                </w:p>
              </w:txbxContent>
            </v:textbox>
          </v:roundrect>
        </w:pict>
      </w:r>
      <w:r>
        <w:rPr>
          <w:noProof/>
          <w:color w:val="000000"/>
        </w:rPr>
        <w:pict>
          <v:roundrect id="_x0000_s1321" style="position:absolute;left:0;text-align:left;margin-left:38.7pt;margin-top:13.95pt;width:56.25pt;height:30pt;z-index:251704832" arcsize="10923f">
            <v:textbox>
              <w:txbxContent>
                <w:p w:rsidR="00767127" w:rsidRPr="004833E2" w:rsidRDefault="00767127">
                  <w:pPr>
                    <w:rPr>
                      <w:sz w:val="16"/>
                      <w:szCs w:val="16"/>
                      <w:lang w:val="sr-Cyrl-CS"/>
                    </w:rPr>
                  </w:pPr>
                  <w:r>
                    <w:rPr>
                      <w:sz w:val="16"/>
                      <w:szCs w:val="16"/>
                      <w:lang w:val="sr-Cyrl-CS"/>
                    </w:rPr>
                    <w:t>Филијале Б</w:t>
                  </w:r>
                </w:p>
              </w:txbxContent>
            </v:textbox>
          </v:roundrect>
        </w:pict>
      </w:r>
    </w:p>
    <w:p w:rsidR="00BC5C20" w:rsidRDefault="00BC5C20" w:rsidP="00207CA7">
      <w:pPr>
        <w:pStyle w:val="normal0"/>
        <w:shd w:val="clear" w:color="auto" w:fill="FFFFFF"/>
        <w:spacing w:before="48" w:beforeAutospacing="0" w:after="48" w:afterAutospacing="0"/>
        <w:ind w:firstLine="708"/>
        <w:jc w:val="both"/>
        <w:rPr>
          <w:color w:val="000000"/>
          <w:lang w:val="sr-Cyrl-CS"/>
        </w:rPr>
      </w:pPr>
    </w:p>
    <w:p w:rsidR="00BC5C20" w:rsidRDefault="00616181" w:rsidP="00207CA7">
      <w:pPr>
        <w:pStyle w:val="normal0"/>
        <w:shd w:val="clear" w:color="auto" w:fill="FFFFFF"/>
        <w:spacing w:before="48" w:beforeAutospacing="0" w:after="48" w:afterAutospacing="0"/>
        <w:ind w:firstLine="708"/>
        <w:jc w:val="both"/>
        <w:rPr>
          <w:color w:val="000000"/>
          <w:lang w:val="sr-Cyrl-CS"/>
        </w:rPr>
      </w:pPr>
      <w:r>
        <w:rPr>
          <w:noProof/>
          <w:color w:val="000000"/>
        </w:rPr>
        <w:pict>
          <v:shape id="_x0000_s1372" type="#_x0000_t32" style="position:absolute;left:0;text-align:left;margin-left:380.7pt;margin-top:15.3pt;width:0;height:39pt;z-index:251747840" o:connectortype="straight"/>
        </w:pict>
      </w:r>
      <w:r>
        <w:rPr>
          <w:noProof/>
          <w:color w:val="000000"/>
        </w:rPr>
        <w:pict>
          <v:shape id="_x0000_s1367" type="#_x0000_t32" style="position:absolute;left:0;text-align:left;margin-left:299.7pt;margin-top:11.55pt;width:0;height:30pt;z-index:251742720" o:connectortype="straight"/>
        </w:pict>
      </w:r>
      <w:r>
        <w:rPr>
          <w:noProof/>
          <w:color w:val="000000"/>
        </w:rPr>
        <w:pict>
          <v:shape id="_x0000_s1358" type="#_x0000_t32" style="position:absolute;left:0;text-align:left;margin-left:217.2pt;margin-top:15.3pt;width:0;height:26.25pt;z-index:251737600" o:connectortype="straight"/>
        </w:pict>
      </w:r>
      <w:r>
        <w:rPr>
          <w:noProof/>
          <w:color w:val="000000"/>
        </w:rPr>
        <w:pict>
          <v:shape id="_x0000_s1353" type="#_x0000_t32" style="position:absolute;left:0;text-align:left;margin-left:142.2pt;margin-top:11.55pt;width:0;height:30pt;z-index:251732480" o:connectortype="straight"/>
        </w:pict>
      </w:r>
      <w:r>
        <w:rPr>
          <w:noProof/>
          <w:color w:val="000000"/>
        </w:rPr>
        <w:pict>
          <v:shape id="_x0000_s1348" type="#_x0000_t32" style="position:absolute;left:0;text-align:left;margin-left:64.95pt;margin-top:11.55pt;width:0;height:30pt;z-index:251727360" o:connectortype="straight"/>
        </w:pict>
      </w:r>
    </w:p>
    <w:p w:rsidR="00BC5C20" w:rsidRDefault="00BC5C20" w:rsidP="00207CA7">
      <w:pPr>
        <w:pStyle w:val="normal0"/>
        <w:shd w:val="clear" w:color="auto" w:fill="FFFFFF"/>
        <w:spacing w:before="48" w:beforeAutospacing="0" w:after="48" w:afterAutospacing="0"/>
        <w:ind w:firstLine="708"/>
        <w:jc w:val="both"/>
        <w:rPr>
          <w:color w:val="000000"/>
          <w:lang w:val="sr-Cyrl-CS"/>
        </w:rPr>
      </w:pPr>
    </w:p>
    <w:p w:rsidR="00BC5C20" w:rsidRDefault="00616181" w:rsidP="00207CA7">
      <w:pPr>
        <w:pStyle w:val="normal0"/>
        <w:shd w:val="clear" w:color="auto" w:fill="FFFFFF"/>
        <w:spacing w:before="48" w:beforeAutospacing="0" w:after="48" w:afterAutospacing="0"/>
        <w:ind w:firstLine="708"/>
        <w:jc w:val="both"/>
        <w:rPr>
          <w:color w:val="000000"/>
          <w:lang w:val="sr-Cyrl-CS"/>
        </w:rPr>
      </w:pPr>
      <w:r>
        <w:rPr>
          <w:noProof/>
          <w:color w:val="000000"/>
        </w:rPr>
        <w:pict>
          <v:roundrect id="_x0000_s1338" style="position:absolute;left:0;text-align:left;margin-left:393.45pt;margin-top:9.15pt;width:65.25pt;height:35.25pt;z-index:251718144" arcsize="10923f">
            <v:textbox>
              <w:txbxContent>
                <w:p w:rsidR="00767127" w:rsidRPr="00760451" w:rsidRDefault="00767127">
                  <w:pPr>
                    <w:rPr>
                      <w:sz w:val="20"/>
                      <w:szCs w:val="20"/>
                      <w:lang w:val="sr-Cyrl-CS"/>
                    </w:rPr>
                  </w:pPr>
                  <w:r w:rsidRPr="00760451">
                    <w:rPr>
                      <w:sz w:val="20"/>
                      <w:szCs w:val="20"/>
                      <w:lang w:val="sr-Cyrl-CS"/>
                    </w:rPr>
                    <w:t>Пунктови</w:t>
                  </w:r>
                </w:p>
              </w:txbxContent>
            </v:textbox>
          </v:roundrect>
        </w:pict>
      </w:r>
      <w:r>
        <w:rPr>
          <w:noProof/>
          <w:color w:val="000000"/>
        </w:rPr>
        <w:pict>
          <v:roundrect id="_x0000_s1335" style="position:absolute;left:0;text-align:left;margin-left:272.7pt;margin-top:9.15pt;width:58.5pt;height:35.25pt;z-index:251715072" arcsize="10923f">
            <v:textbox>
              <w:txbxContent>
                <w:p w:rsidR="00767127" w:rsidRPr="00760451" w:rsidRDefault="00767127">
                  <w:pPr>
                    <w:rPr>
                      <w:sz w:val="16"/>
                      <w:szCs w:val="16"/>
                      <w:lang w:val="sr-Cyrl-CS"/>
                    </w:rPr>
                  </w:pPr>
                  <w:r>
                    <w:rPr>
                      <w:sz w:val="16"/>
                      <w:szCs w:val="16"/>
                      <w:lang w:val="sr-Cyrl-CS"/>
                    </w:rPr>
                    <w:t>Филијала Ц</w:t>
                  </w:r>
                </w:p>
              </w:txbxContent>
            </v:textbox>
          </v:roundrect>
        </w:pict>
      </w:r>
      <w:r>
        <w:rPr>
          <w:noProof/>
          <w:color w:val="000000"/>
        </w:rPr>
        <w:pict>
          <v:roundrect id="_x0000_s1331" style="position:absolute;left:0;text-align:left;margin-left:191.7pt;margin-top:9.15pt;width:57pt;height:35.25pt;z-index:251712000" arcsize="10923f">
            <v:textbox>
              <w:txbxContent>
                <w:p w:rsidR="00767127" w:rsidRPr="00760451" w:rsidRDefault="00767127">
                  <w:pPr>
                    <w:rPr>
                      <w:sz w:val="16"/>
                      <w:szCs w:val="16"/>
                      <w:lang w:val="sr-Cyrl-CS"/>
                    </w:rPr>
                  </w:pPr>
                  <w:r>
                    <w:rPr>
                      <w:sz w:val="16"/>
                      <w:szCs w:val="16"/>
                      <w:lang w:val="sr-Cyrl-CS"/>
                    </w:rPr>
                    <w:t>Филијала Ц</w:t>
                  </w:r>
                </w:p>
              </w:txbxContent>
            </v:textbox>
          </v:roundrect>
        </w:pict>
      </w:r>
      <w:r>
        <w:rPr>
          <w:noProof/>
          <w:color w:val="000000"/>
        </w:rPr>
        <w:pict>
          <v:roundrect id="_x0000_s1326" style="position:absolute;left:0;text-align:left;margin-left:114.85pt;margin-top:9.15pt;width:60.35pt;height:35.25pt;z-index:251708928" arcsize="10923f">
            <v:textbox>
              <w:txbxContent>
                <w:p w:rsidR="00767127" w:rsidRPr="00760451" w:rsidRDefault="00767127">
                  <w:pPr>
                    <w:rPr>
                      <w:sz w:val="16"/>
                      <w:szCs w:val="16"/>
                      <w:lang w:val="sr-Cyrl-CS"/>
                    </w:rPr>
                  </w:pPr>
                  <w:r>
                    <w:rPr>
                      <w:sz w:val="16"/>
                      <w:szCs w:val="16"/>
                      <w:lang w:val="sr-Cyrl-CS"/>
                    </w:rPr>
                    <w:t>Филијале Ц</w:t>
                  </w:r>
                </w:p>
              </w:txbxContent>
            </v:textbox>
          </v:roundrect>
        </w:pict>
      </w:r>
      <w:r>
        <w:rPr>
          <w:noProof/>
          <w:color w:val="000000"/>
        </w:rPr>
        <w:pict>
          <v:roundrect id="_x0000_s1323" style="position:absolute;left:0;text-align:left;margin-left:38.7pt;margin-top:9.15pt;width:56.25pt;height:35.25pt;z-index:251705856" arcsize="10923f">
            <v:textbox>
              <w:txbxContent>
                <w:p w:rsidR="00767127" w:rsidRPr="004833E2" w:rsidRDefault="00767127">
                  <w:pPr>
                    <w:rPr>
                      <w:sz w:val="16"/>
                      <w:szCs w:val="16"/>
                      <w:lang w:val="sr-Cyrl-CS"/>
                    </w:rPr>
                  </w:pPr>
                  <w:r>
                    <w:rPr>
                      <w:sz w:val="16"/>
                      <w:szCs w:val="16"/>
                      <w:lang w:val="sr-Cyrl-CS"/>
                    </w:rPr>
                    <w:t>Филијале Ц</w:t>
                  </w:r>
                </w:p>
              </w:txbxContent>
            </v:textbox>
          </v:roundrect>
        </w:pict>
      </w:r>
    </w:p>
    <w:p w:rsidR="00BC5C20" w:rsidRDefault="00616181" w:rsidP="00207CA7">
      <w:pPr>
        <w:pStyle w:val="normal0"/>
        <w:shd w:val="clear" w:color="auto" w:fill="FFFFFF"/>
        <w:spacing w:before="48" w:beforeAutospacing="0" w:after="48" w:afterAutospacing="0"/>
        <w:ind w:firstLine="708"/>
        <w:jc w:val="both"/>
        <w:rPr>
          <w:color w:val="000000"/>
          <w:lang w:val="sr-Cyrl-CS"/>
        </w:rPr>
      </w:pPr>
      <w:r>
        <w:rPr>
          <w:noProof/>
          <w:color w:val="000000"/>
        </w:rPr>
        <w:pict>
          <v:shape id="_x0000_s1373" type="#_x0000_t32" style="position:absolute;left:0;text-align:left;margin-left:380.7pt;margin-top:5.7pt;width:12.75pt;height:0;z-index:251748864" o:connectortype="straight"/>
        </w:pict>
      </w:r>
    </w:p>
    <w:p w:rsidR="00BC5C20" w:rsidRDefault="00616181" w:rsidP="00207CA7">
      <w:pPr>
        <w:pStyle w:val="normal0"/>
        <w:shd w:val="clear" w:color="auto" w:fill="FFFFFF"/>
        <w:spacing w:before="48" w:beforeAutospacing="0" w:after="48" w:afterAutospacing="0"/>
        <w:ind w:firstLine="708"/>
        <w:jc w:val="both"/>
        <w:rPr>
          <w:color w:val="000000"/>
          <w:lang w:val="sr-Cyrl-CS"/>
        </w:rPr>
      </w:pPr>
      <w:r>
        <w:rPr>
          <w:noProof/>
          <w:color w:val="000000"/>
        </w:rPr>
        <w:pict>
          <v:shape id="_x0000_s1368" type="#_x0000_t32" style="position:absolute;left:0;text-align:left;margin-left:331.2pt;margin-top:12pt;width:0;height:28.5pt;z-index:251743744" o:connectortype="straight"/>
        </w:pict>
      </w:r>
      <w:r>
        <w:rPr>
          <w:noProof/>
          <w:color w:val="000000"/>
        </w:rPr>
        <w:pict>
          <v:shape id="_x0000_s1359" type="#_x0000_t32" style="position:absolute;left:0;text-align:left;margin-left:240.45pt;margin-top:12pt;width:.75pt;height:28.5pt;flip:x;z-index:251738624" o:connectortype="straight"/>
        </w:pict>
      </w:r>
      <w:r>
        <w:rPr>
          <w:noProof/>
          <w:color w:val="000000"/>
        </w:rPr>
        <w:pict>
          <v:shape id="_x0000_s1354" type="#_x0000_t32" style="position:absolute;left:0;text-align:left;margin-left:147.45pt;margin-top:12pt;width:0;height:28.5pt;z-index:251733504" o:connectortype="straight"/>
        </w:pict>
      </w:r>
      <w:r>
        <w:rPr>
          <w:noProof/>
          <w:color w:val="000000"/>
        </w:rPr>
        <w:pict>
          <v:shape id="_x0000_s1349" type="#_x0000_t32" style="position:absolute;left:0;text-align:left;margin-left:47.7pt;margin-top:12pt;width:0;height:28.5pt;z-index:251728384" o:connectortype="straight"/>
        </w:pict>
      </w:r>
    </w:p>
    <w:p w:rsidR="00BC5C20" w:rsidRDefault="00616181" w:rsidP="00207CA7">
      <w:pPr>
        <w:pStyle w:val="normal0"/>
        <w:shd w:val="clear" w:color="auto" w:fill="FFFFFF"/>
        <w:spacing w:before="48" w:beforeAutospacing="0" w:after="48" w:afterAutospacing="0"/>
        <w:ind w:firstLine="708"/>
        <w:jc w:val="both"/>
        <w:rPr>
          <w:color w:val="000000"/>
          <w:lang w:val="sr-Cyrl-CS"/>
        </w:rPr>
      </w:pPr>
      <w:r>
        <w:rPr>
          <w:noProof/>
          <w:color w:val="000000"/>
        </w:rPr>
        <w:pict>
          <v:roundrect id="_x0000_s1336" style="position:absolute;left:0;text-align:left;margin-left:343.95pt;margin-top:10.8pt;width:64.5pt;height:33pt;z-index:251716096" arcsize="10923f">
            <v:textbox>
              <w:txbxContent>
                <w:p w:rsidR="00767127" w:rsidRPr="00760451" w:rsidRDefault="00767127">
                  <w:pPr>
                    <w:rPr>
                      <w:sz w:val="16"/>
                      <w:szCs w:val="16"/>
                      <w:lang w:val="sr-Cyrl-CS"/>
                    </w:rPr>
                  </w:pPr>
                  <w:r>
                    <w:rPr>
                      <w:sz w:val="16"/>
                      <w:szCs w:val="16"/>
                      <w:lang w:val="sr-Cyrl-CS"/>
                    </w:rPr>
                    <w:t>Експозитуре</w:t>
                  </w:r>
                </w:p>
              </w:txbxContent>
            </v:textbox>
          </v:roundrect>
        </w:pict>
      </w:r>
      <w:r>
        <w:rPr>
          <w:noProof/>
          <w:color w:val="000000"/>
        </w:rPr>
        <w:pict>
          <v:roundrect id="_x0000_s1332" style="position:absolute;left:0;text-align:left;margin-left:252.45pt;margin-top:10.8pt;width:71.25pt;height:33pt;z-index:251713024" arcsize="10923f">
            <v:textbox>
              <w:txbxContent>
                <w:p w:rsidR="00767127" w:rsidRPr="00760451" w:rsidRDefault="00767127">
                  <w:pPr>
                    <w:rPr>
                      <w:sz w:val="16"/>
                      <w:szCs w:val="16"/>
                      <w:lang w:val="sr-Cyrl-CS"/>
                    </w:rPr>
                  </w:pPr>
                  <w:r>
                    <w:rPr>
                      <w:sz w:val="16"/>
                      <w:szCs w:val="16"/>
                      <w:lang w:val="sr-Cyrl-CS"/>
                    </w:rPr>
                    <w:t>Експозитуре</w:t>
                  </w:r>
                </w:p>
              </w:txbxContent>
            </v:textbox>
          </v:roundrect>
        </w:pict>
      </w:r>
      <w:r>
        <w:rPr>
          <w:noProof/>
          <w:color w:val="000000"/>
        </w:rPr>
        <w:pict>
          <v:roundrect id="_x0000_s1328" style="position:absolute;left:0;text-align:left;margin-left:162.45pt;margin-top:10.8pt;width:69pt;height:33pt;z-index:251709952" arcsize="10923f">
            <v:textbox>
              <w:txbxContent>
                <w:p w:rsidR="00767127" w:rsidRPr="00760451" w:rsidRDefault="00767127">
                  <w:pPr>
                    <w:rPr>
                      <w:sz w:val="16"/>
                      <w:szCs w:val="16"/>
                      <w:lang w:val="sr-Cyrl-CS"/>
                    </w:rPr>
                  </w:pPr>
                  <w:r>
                    <w:rPr>
                      <w:sz w:val="16"/>
                      <w:szCs w:val="16"/>
                      <w:lang w:val="sr-Cyrl-CS"/>
                    </w:rPr>
                    <w:t>Експозитуре</w:t>
                  </w:r>
                </w:p>
              </w:txbxContent>
            </v:textbox>
          </v:roundrect>
        </w:pict>
      </w:r>
      <w:r w:rsidRPr="00616181">
        <w:rPr>
          <w:noProof/>
          <w:color w:val="000000"/>
          <w:sz w:val="16"/>
          <w:szCs w:val="16"/>
        </w:rPr>
        <w:pict>
          <v:roundrect id="_x0000_s1324" style="position:absolute;left:0;text-align:left;margin-left:76.95pt;margin-top:10.8pt;width:65.25pt;height:33pt;z-index:251706880" arcsize="10923f">
            <v:textbox>
              <w:txbxContent>
                <w:p w:rsidR="00767127" w:rsidRPr="004833E2" w:rsidRDefault="00767127">
                  <w:pPr>
                    <w:rPr>
                      <w:sz w:val="16"/>
                      <w:szCs w:val="16"/>
                      <w:lang w:val="sr-Cyrl-CS"/>
                    </w:rPr>
                  </w:pPr>
                  <w:r w:rsidRPr="004833E2">
                    <w:rPr>
                      <w:sz w:val="16"/>
                      <w:szCs w:val="16"/>
                      <w:lang w:val="sr-Cyrl-CS"/>
                    </w:rPr>
                    <w:t>Експозитуре</w:t>
                  </w:r>
                </w:p>
              </w:txbxContent>
            </v:textbox>
          </v:roundrect>
        </w:pict>
      </w:r>
    </w:p>
    <w:p w:rsidR="00BC5C20" w:rsidRDefault="00616181" w:rsidP="00207CA7">
      <w:pPr>
        <w:pStyle w:val="normal0"/>
        <w:shd w:val="clear" w:color="auto" w:fill="FFFFFF"/>
        <w:spacing w:before="48" w:beforeAutospacing="0" w:after="48" w:afterAutospacing="0"/>
        <w:ind w:firstLine="708"/>
        <w:jc w:val="both"/>
        <w:rPr>
          <w:color w:val="000000"/>
          <w:lang w:val="sr-Cyrl-CS"/>
        </w:rPr>
      </w:pPr>
      <w:r>
        <w:rPr>
          <w:noProof/>
          <w:color w:val="000000"/>
        </w:rPr>
        <w:pict>
          <v:shape id="_x0000_s1369" type="#_x0000_t32" style="position:absolute;left:0;text-align:left;margin-left:331.2pt;margin-top:8.1pt;width:12.75pt;height:0;z-index:251744768" o:connectortype="straight"/>
        </w:pict>
      </w:r>
      <w:r>
        <w:rPr>
          <w:noProof/>
          <w:color w:val="000000"/>
        </w:rPr>
        <w:pict>
          <v:shape id="_x0000_s1360" type="#_x0000_t32" style="position:absolute;left:0;text-align:left;margin-left:240.45pt;margin-top:8.1pt;width:12pt;height:0;z-index:251739648" o:connectortype="straight"/>
        </w:pict>
      </w:r>
      <w:r>
        <w:rPr>
          <w:noProof/>
          <w:color w:val="000000"/>
        </w:rPr>
        <w:pict>
          <v:shape id="_x0000_s1355" type="#_x0000_t32" style="position:absolute;left:0;text-align:left;margin-left:147.45pt;margin-top:8.1pt;width:15pt;height:0;z-index:251734528" o:connectortype="straight"/>
        </w:pict>
      </w:r>
      <w:r>
        <w:rPr>
          <w:noProof/>
          <w:color w:val="000000"/>
        </w:rPr>
        <w:pict>
          <v:shape id="_x0000_s1350" type="#_x0000_t32" style="position:absolute;left:0;text-align:left;margin-left:47.7pt;margin-top:8.1pt;width:29.25pt;height:0;z-index:251729408" o:connectortype="straight"/>
        </w:pict>
      </w:r>
    </w:p>
    <w:p w:rsidR="00BC5C20" w:rsidRDefault="00BC5C20" w:rsidP="00AD3AD3">
      <w:pPr>
        <w:pStyle w:val="normal0"/>
        <w:shd w:val="clear" w:color="auto" w:fill="FFFFFF"/>
        <w:spacing w:before="48" w:beforeAutospacing="0" w:after="48" w:afterAutospacing="0"/>
        <w:jc w:val="both"/>
        <w:rPr>
          <w:color w:val="000000"/>
          <w:lang w:val="sr-Cyrl-CS"/>
        </w:rPr>
      </w:pPr>
    </w:p>
    <w:p w:rsidR="00301FFD" w:rsidRDefault="00301FFD" w:rsidP="00DB1BF8">
      <w:pPr>
        <w:ind w:firstLine="708"/>
        <w:jc w:val="both"/>
        <w:rPr>
          <w:rFonts w:ascii="Times New Roman" w:hAnsi="Times New Roman"/>
          <w:sz w:val="24"/>
          <w:szCs w:val="24"/>
          <w:lang w:val="sr-Cyrl-CS"/>
        </w:rPr>
      </w:pPr>
    </w:p>
    <w:p w:rsidR="0029399D" w:rsidRPr="00301FFD" w:rsidRDefault="0029399D" w:rsidP="0029399D">
      <w:pPr>
        <w:ind w:firstLine="708"/>
        <w:jc w:val="both"/>
        <w:rPr>
          <w:rFonts w:ascii="Times New Roman" w:hAnsi="Times New Roman"/>
          <w:sz w:val="24"/>
          <w:szCs w:val="24"/>
          <w:lang w:val="sr-Cyrl-CS"/>
        </w:rPr>
      </w:pPr>
      <w:r w:rsidRPr="00301FFD">
        <w:rPr>
          <w:rFonts w:ascii="Times New Roman" w:hAnsi="Times New Roman"/>
          <w:sz w:val="24"/>
          <w:szCs w:val="24"/>
          <w:lang w:val="sr-Cyrl-CS"/>
        </w:rPr>
        <w:t>У групи за унутрашњу контролу се обављају: послови непосредне и посредне контроле законитости, благовремености, одговорности и ефикасности у раду и понашању запослених у организационим јединицама пореске управе по налогу директора Пореске управе и по представкама на рад запослених, послови планирања и спровођења управног надзора по динамичком плану управног надзора и по представкама и примедбама на рад организационих делова Пореске управе и послови из обаласти дисциплинске одговорности.</w:t>
      </w:r>
    </w:p>
    <w:p w:rsidR="00301FFD" w:rsidRDefault="0029399D" w:rsidP="0029399D">
      <w:pPr>
        <w:ind w:firstLine="708"/>
        <w:jc w:val="both"/>
        <w:rPr>
          <w:rFonts w:ascii="Times New Roman" w:hAnsi="Times New Roman"/>
          <w:sz w:val="24"/>
          <w:szCs w:val="24"/>
          <w:lang w:val="sr-Cyrl-CS"/>
        </w:rPr>
      </w:pPr>
      <w:r w:rsidRPr="00301FFD">
        <w:rPr>
          <w:rFonts w:ascii="Times New Roman" w:hAnsi="Times New Roman"/>
          <w:sz w:val="24"/>
          <w:szCs w:val="24"/>
          <w:lang w:val="sr-Cyrl-CS"/>
        </w:rPr>
        <w:t>У групи за интерну ревизију се обављају: интерна ревизија послова из надлежности свих организационих делова Пореске управе, по међународним стандардима интерне ревизије.</w:t>
      </w:r>
    </w:p>
    <w:p w:rsidR="0097594B" w:rsidRPr="00DB1BF8" w:rsidRDefault="0045266F" w:rsidP="00997E5C">
      <w:pPr>
        <w:ind w:firstLine="708"/>
        <w:jc w:val="both"/>
        <w:rPr>
          <w:rFonts w:ascii="Times New Roman" w:hAnsi="Times New Roman"/>
          <w:sz w:val="24"/>
          <w:szCs w:val="24"/>
          <w:lang w:val="sr-Cyrl-CS"/>
        </w:rPr>
      </w:pPr>
      <w:r w:rsidRPr="00DB1BF8">
        <w:rPr>
          <w:rFonts w:ascii="Times New Roman" w:hAnsi="Times New Roman"/>
          <w:sz w:val="24"/>
          <w:szCs w:val="24"/>
          <w:lang w:val="sr-Cyrl-CS"/>
        </w:rPr>
        <w:t>У Сектору за развој и рачуна</w:t>
      </w:r>
      <w:r w:rsidR="000B3507">
        <w:rPr>
          <w:rFonts w:ascii="Times New Roman" w:hAnsi="Times New Roman"/>
          <w:sz w:val="24"/>
          <w:szCs w:val="24"/>
          <w:lang w:val="sr-Cyrl-CS"/>
        </w:rPr>
        <w:t>рску подршку обављају се информа</w:t>
      </w:r>
      <w:r w:rsidRPr="00DB1BF8">
        <w:rPr>
          <w:rFonts w:ascii="Times New Roman" w:hAnsi="Times New Roman"/>
          <w:sz w:val="24"/>
          <w:szCs w:val="24"/>
          <w:lang w:val="sr-Cyrl-CS"/>
        </w:rPr>
        <w:t>тички, документациони, статистичко-евиденциони, стручно-</w:t>
      </w:r>
      <w:r w:rsidR="0097594B" w:rsidRPr="00DB1BF8">
        <w:rPr>
          <w:rFonts w:ascii="Times New Roman" w:hAnsi="Times New Roman"/>
          <w:sz w:val="24"/>
          <w:szCs w:val="24"/>
          <w:lang w:val="sr-Cyrl-CS"/>
        </w:rPr>
        <w:t>оперативни и канцеларијски послови у домену стандардизације, планирања, пројектовања, развоја и интеграције информационог система веза Пореске управе, послови планирања, координације и спровођења активности на увођењу система сигурности</w:t>
      </w:r>
      <w:r w:rsidR="000B3507">
        <w:rPr>
          <w:rFonts w:ascii="Times New Roman" w:hAnsi="Times New Roman"/>
          <w:sz w:val="24"/>
          <w:szCs w:val="24"/>
          <w:lang w:val="sr-Cyrl-CS"/>
        </w:rPr>
        <w:t xml:space="preserve"> информација у складу са међунар</w:t>
      </w:r>
      <w:r w:rsidR="0097594B" w:rsidRPr="00DB1BF8">
        <w:rPr>
          <w:rFonts w:ascii="Times New Roman" w:hAnsi="Times New Roman"/>
          <w:sz w:val="24"/>
          <w:szCs w:val="24"/>
          <w:lang w:val="sr-Cyrl-CS"/>
        </w:rPr>
        <w:t>одним стандардом.</w:t>
      </w:r>
    </w:p>
    <w:p w:rsidR="0097594B" w:rsidRPr="00DB1BF8" w:rsidRDefault="0097594B" w:rsidP="0029399D">
      <w:pPr>
        <w:ind w:firstLine="708"/>
        <w:jc w:val="both"/>
        <w:rPr>
          <w:rFonts w:ascii="Times New Roman" w:hAnsi="Times New Roman"/>
          <w:sz w:val="24"/>
          <w:szCs w:val="24"/>
          <w:lang w:val="sr-Cyrl-CS"/>
        </w:rPr>
      </w:pPr>
      <w:r w:rsidRPr="00DB1BF8">
        <w:rPr>
          <w:rFonts w:ascii="Times New Roman" w:hAnsi="Times New Roman"/>
          <w:sz w:val="24"/>
          <w:szCs w:val="24"/>
          <w:lang w:val="sr-Cyrl-CS"/>
        </w:rPr>
        <w:lastRenderedPageBreak/>
        <w:t>У Сектору за образовање и комуникацију обављају се послови који се односе на обуку и образовање запослених, уређење и спровођење унутрашње и спољне комуникације Пореске управе са јавношћу и осталим органима и организацијама, као и документациони послови.</w:t>
      </w:r>
    </w:p>
    <w:p w:rsidR="0097594B" w:rsidRPr="00DB1BF8" w:rsidRDefault="0097594B" w:rsidP="0029399D">
      <w:pPr>
        <w:ind w:firstLine="708"/>
        <w:jc w:val="both"/>
        <w:rPr>
          <w:rFonts w:ascii="Times New Roman" w:hAnsi="Times New Roman"/>
          <w:sz w:val="24"/>
          <w:szCs w:val="24"/>
          <w:lang w:val="sr-Cyrl-CS"/>
        </w:rPr>
      </w:pPr>
      <w:r w:rsidRPr="00DB1BF8">
        <w:rPr>
          <w:rFonts w:ascii="Times New Roman" w:hAnsi="Times New Roman"/>
          <w:sz w:val="24"/>
          <w:szCs w:val="24"/>
          <w:lang w:val="sr-Cyrl-CS"/>
        </w:rPr>
        <w:t xml:space="preserve">У Сектору за људске и материјалне ресусрсе обављају </w:t>
      </w:r>
      <w:r w:rsidR="000B3507">
        <w:rPr>
          <w:rFonts w:ascii="Times New Roman" w:hAnsi="Times New Roman"/>
          <w:sz w:val="24"/>
          <w:szCs w:val="24"/>
          <w:lang w:val="sr-Cyrl-CS"/>
        </w:rPr>
        <w:t xml:space="preserve">се </w:t>
      </w:r>
      <w:r w:rsidRPr="00DB1BF8">
        <w:rPr>
          <w:rFonts w:ascii="Times New Roman" w:hAnsi="Times New Roman"/>
          <w:sz w:val="24"/>
          <w:szCs w:val="24"/>
          <w:lang w:val="sr-Cyrl-CS"/>
        </w:rPr>
        <w:t>послови: израде унутрашњег уређења и систематизације радних места, других општих аката и програма рад</w:t>
      </w:r>
      <w:r w:rsidR="00AD3AD3" w:rsidRPr="00DB1BF8">
        <w:rPr>
          <w:rFonts w:ascii="Times New Roman" w:hAnsi="Times New Roman"/>
          <w:sz w:val="24"/>
          <w:szCs w:val="24"/>
          <w:lang w:val="sr-Cyrl-CS"/>
        </w:rPr>
        <w:t>а, остваривање п</w:t>
      </w:r>
      <w:r w:rsidRPr="00DB1BF8">
        <w:rPr>
          <w:rFonts w:ascii="Times New Roman" w:hAnsi="Times New Roman"/>
          <w:sz w:val="24"/>
          <w:szCs w:val="24"/>
          <w:lang w:val="sr-Cyrl-CS"/>
        </w:rPr>
        <w:t>рава запослених из радног односа, оцене резултата рада, планирања и страте</w:t>
      </w:r>
      <w:r w:rsidR="00AD3AD3" w:rsidRPr="00DB1BF8">
        <w:rPr>
          <w:rFonts w:ascii="Times New Roman" w:hAnsi="Times New Roman"/>
          <w:sz w:val="24"/>
          <w:szCs w:val="24"/>
          <w:lang w:val="sr-Cyrl-CS"/>
        </w:rPr>
        <w:t>гије запошљавања, израде финсијс</w:t>
      </w:r>
      <w:r w:rsidRPr="00DB1BF8">
        <w:rPr>
          <w:rFonts w:ascii="Times New Roman" w:hAnsi="Times New Roman"/>
          <w:sz w:val="24"/>
          <w:szCs w:val="24"/>
          <w:lang w:val="sr-Cyrl-CS"/>
        </w:rPr>
        <w:t>ког плана и праћење његове реализације.</w:t>
      </w:r>
    </w:p>
    <w:p w:rsidR="0031701B" w:rsidRPr="00301FFD" w:rsidRDefault="0031701B" w:rsidP="0029399D">
      <w:pPr>
        <w:ind w:firstLine="708"/>
        <w:jc w:val="both"/>
        <w:rPr>
          <w:rFonts w:ascii="Times New Roman" w:hAnsi="Times New Roman"/>
          <w:sz w:val="24"/>
          <w:szCs w:val="24"/>
          <w:lang w:val="sr-Cyrl-CS"/>
        </w:rPr>
      </w:pPr>
      <w:r w:rsidRPr="00301FFD">
        <w:rPr>
          <w:rFonts w:ascii="Times New Roman" w:hAnsi="Times New Roman"/>
          <w:sz w:val="24"/>
          <w:szCs w:val="24"/>
          <w:lang w:val="sr-Cyrl-CS"/>
        </w:rPr>
        <w:t>У сектору за пореско-правне послове и координацију обављају се следећи послови: координација и сарадња Пореске управе и ресорних министа</w:t>
      </w:r>
      <w:r w:rsidR="000B3507">
        <w:rPr>
          <w:rFonts w:ascii="Times New Roman" w:hAnsi="Times New Roman"/>
          <w:sz w:val="24"/>
          <w:szCs w:val="24"/>
          <w:lang w:val="sr-Cyrl-CS"/>
        </w:rPr>
        <w:t>рстава у припреми прописа из об</w:t>
      </w:r>
      <w:r w:rsidRPr="00301FFD">
        <w:rPr>
          <w:rFonts w:ascii="Times New Roman" w:hAnsi="Times New Roman"/>
          <w:sz w:val="24"/>
          <w:szCs w:val="24"/>
          <w:lang w:val="sr-Cyrl-CS"/>
        </w:rPr>
        <w:t>л</w:t>
      </w:r>
      <w:r w:rsidR="00FE4AB9" w:rsidRPr="00301FFD">
        <w:rPr>
          <w:rFonts w:ascii="Times New Roman" w:hAnsi="Times New Roman"/>
          <w:sz w:val="24"/>
          <w:szCs w:val="24"/>
          <w:lang w:val="sr-Cyrl-CS"/>
        </w:rPr>
        <w:t>асти</w:t>
      </w:r>
      <w:r w:rsidRPr="00301FFD">
        <w:rPr>
          <w:rFonts w:ascii="Times New Roman" w:hAnsi="Times New Roman"/>
          <w:sz w:val="24"/>
          <w:szCs w:val="24"/>
          <w:lang w:val="sr-Cyrl-CS"/>
        </w:rPr>
        <w:t xml:space="preserve"> јавних прихода, координација рада са регионалним центрима и другим организационим јединицама Пореске управе у примени пореских прописа уз припремање иницијатива за њихову измену и допуну,  остваривање сарадње у домену међународне правне помоћи у пореском поступку, припрема упутства за примену међународних ратификованих уговора о избегавању двоструког опорезивања, сарадња са Републичким јавним правобранилаштвом у вођењу спорова великих вредности и координација и сарадња са надлежним држ</w:t>
      </w:r>
      <w:r w:rsidR="000B3507">
        <w:rPr>
          <w:rFonts w:ascii="Times New Roman" w:hAnsi="Times New Roman"/>
          <w:sz w:val="24"/>
          <w:szCs w:val="24"/>
          <w:lang w:val="sr-Cyrl-CS"/>
        </w:rPr>
        <w:t>авним органима у поступку европс</w:t>
      </w:r>
      <w:r w:rsidRPr="00301FFD">
        <w:rPr>
          <w:rFonts w:ascii="Times New Roman" w:hAnsi="Times New Roman"/>
          <w:sz w:val="24"/>
          <w:szCs w:val="24"/>
          <w:lang w:val="sr-Cyrl-CS"/>
        </w:rPr>
        <w:t>ких интеграција.</w:t>
      </w:r>
    </w:p>
    <w:p w:rsidR="0031701B" w:rsidRPr="00301FFD" w:rsidRDefault="0031701B" w:rsidP="00BC37A6">
      <w:pPr>
        <w:ind w:firstLine="708"/>
        <w:jc w:val="both"/>
        <w:rPr>
          <w:rFonts w:ascii="Times New Roman" w:hAnsi="Times New Roman"/>
          <w:sz w:val="24"/>
          <w:szCs w:val="24"/>
          <w:lang w:val="sr-Cyrl-CS"/>
        </w:rPr>
      </w:pPr>
      <w:r w:rsidRPr="00301FFD">
        <w:rPr>
          <w:rFonts w:ascii="Times New Roman" w:hAnsi="Times New Roman"/>
          <w:sz w:val="24"/>
          <w:szCs w:val="24"/>
          <w:lang w:val="sr-Cyrl-CS"/>
        </w:rPr>
        <w:t>У Сектору</w:t>
      </w:r>
      <w:r w:rsidR="00FE4AB9" w:rsidRPr="00301FFD">
        <w:rPr>
          <w:rFonts w:ascii="Times New Roman" w:hAnsi="Times New Roman"/>
          <w:sz w:val="24"/>
          <w:szCs w:val="24"/>
          <w:lang w:val="sr-Cyrl-CS"/>
        </w:rPr>
        <w:t xml:space="preserve"> за контролу обављају се</w:t>
      </w:r>
      <w:r w:rsidRPr="00301FFD">
        <w:rPr>
          <w:rFonts w:ascii="Times New Roman" w:hAnsi="Times New Roman"/>
          <w:sz w:val="24"/>
          <w:szCs w:val="24"/>
          <w:lang w:val="sr-Cyrl-CS"/>
        </w:rPr>
        <w:t>: послови план</w:t>
      </w:r>
      <w:r w:rsidR="00FE4AB9" w:rsidRPr="00301FFD">
        <w:rPr>
          <w:rFonts w:ascii="Times New Roman" w:hAnsi="Times New Roman"/>
          <w:sz w:val="24"/>
          <w:szCs w:val="24"/>
          <w:lang w:val="sr-Cyrl-CS"/>
        </w:rPr>
        <w:t>и</w:t>
      </w:r>
      <w:r w:rsidRPr="00301FFD">
        <w:rPr>
          <w:rFonts w:ascii="Times New Roman" w:hAnsi="Times New Roman"/>
          <w:sz w:val="24"/>
          <w:szCs w:val="24"/>
          <w:lang w:val="sr-Cyrl-CS"/>
        </w:rPr>
        <w:t>рања, организовања и координирања порес</w:t>
      </w:r>
      <w:r w:rsidR="00FE4AB9" w:rsidRPr="00301FFD">
        <w:rPr>
          <w:rFonts w:ascii="Times New Roman" w:hAnsi="Times New Roman"/>
          <w:sz w:val="24"/>
          <w:szCs w:val="24"/>
          <w:lang w:val="sr-Cyrl-CS"/>
        </w:rPr>
        <w:t>ке контроле, законитости и прав</w:t>
      </w:r>
      <w:r w:rsidRPr="00301FFD">
        <w:rPr>
          <w:rFonts w:ascii="Times New Roman" w:hAnsi="Times New Roman"/>
          <w:sz w:val="24"/>
          <w:szCs w:val="24"/>
          <w:lang w:val="sr-Cyrl-CS"/>
        </w:rPr>
        <w:t>илности испуњавања пореске обавезе од стране пореских обвезника, припреме методолошких и других упутстава, наредби и других аката за једнообразну примену пореских прописа који уређују поступак канцеларијске и теренске контроле, евидентирањ</w:t>
      </w:r>
      <w:r w:rsidR="00FE4AB9" w:rsidRPr="00301FFD">
        <w:rPr>
          <w:rFonts w:ascii="Times New Roman" w:hAnsi="Times New Roman"/>
          <w:sz w:val="24"/>
          <w:szCs w:val="24"/>
          <w:lang w:val="sr-Cyrl-CS"/>
        </w:rPr>
        <w:t>е промета од продаје добара и ус</w:t>
      </w:r>
      <w:r w:rsidR="000B3507">
        <w:rPr>
          <w:rFonts w:ascii="Times New Roman" w:hAnsi="Times New Roman"/>
          <w:sz w:val="24"/>
          <w:szCs w:val="24"/>
          <w:lang w:val="sr-Cyrl-CS"/>
        </w:rPr>
        <w:t>луга преко фискалне ка</w:t>
      </w:r>
      <w:r w:rsidRPr="00301FFD">
        <w:rPr>
          <w:rFonts w:ascii="Times New Roman" w:hAnsi="Times New Roman"/>
          <w:sz w:val="24"/>
          <w:szCs w:val="24"/>
          <w:lang w:val="sr-Cyrl-CS"/>
        </w:rPr>
        <w:t>се, рефакција ПДВ, пружање информација пореским обвезницима о њиховим правима и обавезама у пореском поступку и њихове примене у свим унутрашњим јединицама Пореске управе које су надлежне за пореску контролу.</w:t>
      </w:r>
    </w:p>
    <w:p w:rsidR="00FE4AB9" w:rsidRDefault="0031701B" w:rsidP="0029399D">
      <w:pPr>
        <w:ind w:firstLine="708"/>
        <w:jc w:val="both"/>
        <w:rPr>
          <w:rFonts w:ascii="Times New Roman" w:hAnsi="Times New Roman"/>
          <w:sz w:val="24"/>
          <w:szCs w:val="24"/>
          <w:lang w:val="sr-Cyrl-CS"/>
        </w:rPr>
      </w:pPr>
      <w:r w:rsidRPr="00301FFD">
        <w:rPr>
          <w:rFonts w:ascii="Times New Roman" w:hAnsi="Times New Roman"/>
          <w:sz w:val="24"/>
          <w:szCs w:val="24"/>
          <w:lang w:val="sr-Cyrl-CS"/>
        </w:rPr>
        <w:t>У Сектору за наплату обављају се послови планирања, организовања, координирања наплате свих јавних прихода за чију наплату је надлежна Пореска управа</w:t>
      </w:r>
      <w:r w:rsidR="00F60B4E" w:rsidRPr="00301FFD">
        <w:rPr>
          <w:rFonts w:ascii="Times New Roman" w:hAnsi="Times New Roman"/>
          <w:sz w:val="24"/>
          <w:szCs w:val="24"/>
          <w:lang w:val="sr-Cyrl-CS"/>
        </w:rPr>
        <w:t>, као и аката за једообразну примену проеских прописа који уређује поступак редовне и принудне наплате јавних прихода и пореско-рачуноводствено праћење њихове примене.</w:t>
      </w:r>
    </w:p>
    <w:p w:rsidR="00BC37A6" w:rsidRPr="00DB1BF8" w:rsidRDefault="00BC37A6" w:rsidP="00BC37A6">
      <w:pPr>
        <w:ind w:firstLine="708"/>
        <w:jc w:val="both"/>
        <w:rPr>
          <w:rFonts w:ascii="Times New Roman" w:hAnsi="Times New Roman"/>
          <w:sz w:val="24"/>
          <w:szCs w:val="24"/>
          <w:lang w:val="sr-Cyrl-CS"/>
        </w:rPr>
      </w:pPr>
      <w:r w:rsidRPr="00DB1BF8">
        <w:rPr>
          <w:rFonts w:ascii="Times New Roman" w:hAnsi="Times New Roman"/>
          <w:sz w:val="24"/>
          <w:szCs w:val="24"/>
          <w:lang w:val="sr-Cyrl-CS"/>
        </w:rPr>
        <w:t>Центар за велике пореске обвезнике је организациона јединица Пореске управе у чијој надлежности су порески обвезници који су на основу прописаних критеријума стекли статус великих пореских обвезника и извршава послове: процене фискалног капацитета ових обвезника, прати и контролише правилност и закониост у извршавању пореских обавеза, врши принудну наплату и прати реализацију принудне наплате истих.</w:t>
      </w:r>
    </w:p>
    <w:p w:rsidR="00BC37A6" w:rsidRPr="00301FFD" w:rsidRDefault="00BC37A6" w:rsidP="00BC37A6">
      <w:pPr>
        <w:ind w:firstLine="708"/>
        <w:jc w:val="both"/>
        <w:rPr>
          <w:rFonts w:ascii="Times New Roman" w:hAnsi="Times New Roman"/>
          <w:sz w:val="24"/>
          <w:szCs w:val="24"/>
          <w:lang w:val="sr-Cyrl-CS"/>
        </w:rPr>
      </w:pPr>
      <w:r w:rsidRPr="00DB1BF8">
        <w:rPr>
          <w:rFonts w:ascii="Times New Roman" w:hAnsi="Times New Roman"/>
          <w:sz w:val="24"/>
          <w:szCs w:val="24"/>
          <w:lang w:val="sr-Cyrl-CS"/>
        </w:rPr>
        <w:t xml:space="preserve">Пореска управа одређује за које ће привредне субјекте бити надлежан Центар за велике пореске обвезнике на основу Правилника о критеријумима за одређивање </w:t>
      </w:r>
      <w:r w:rsidRPr="00DB1BF8">
        <w:rPr>
          <w:rFonts w:ascii="Times New Roman" w:hAnsi="Times New Roman"/>
          <w:sz w:val="24"/>
          <w:szCs w:val="24"/>
          <w:lang w:val="sr-Cyrl-CS"/>
        </w:rPr>
        <w:lastRenderedPageBreak/>
        <w:t>великих пореских обвезника по врстама пореза за које Центар за велике пореске обвезнике извршава послове из надлежности Пореске управе.</w:t>
      </w:r>
      <w:r w:rsidRPr="00DB1BF8">
        <w:rPr>
          <w:rStyle w:val="FootnoteReference"/>
          <w:rFonts w:ascii="Times New Roman" w:hAnsi="Times New Roman"/>
          <w:color w:val="000000"/>
          <w:sz w:val="24"/>
          <w:szCs w:val="24"/>
          <w:lang w:val="sr-Cyrl-CS"/>
        </w:rPr>
        <w:footnoteReference w:id="845"/>
      </w:r>
    </w:p>
    <w:p w:rsidR="00BD136B" w:rsidRPr="00301FFD" w:rsidRDefault="001D0728" w:rsidP="0029399D">
      <w:pPr>
        <w:ind w:firstLine="708"/>
        <w:jc w:val="both"/>
        <w:rPr>
          <w:rFonts w:ascii="Times New Roman" w:hAnsi="Times New Roman"/>
          <w:sz w:val="24"/>
          <w:szCs w:val="24"/>
          <w:lang w:val="sr-Cyrl-CS"/>
        </w:rPr>
      </w:pPr>
      <w:r w:rsidRPr="00301FFD">
        <w:rPr>
          <w:rFonts w:ascii="Times New Roman" w:hAnsi="Times New Roman"/>
          <w:sz w:val="24"/>
          <w:szCs w:val="24"/>
          <w:lang w:val="sr-Cyrl-CS"/>
        </w:rPr>
        <w:t>За сузбијање незаконите пореске евазије од значаја су евиденције које се воде у Пореској управи, а посебно регистар ПДВ обвезника, пре свега подаци о ПДВ обвезницима, о овлашћењима у другим фирмама, о фирмама на истој адреси, подаци о наплати готовине, преко текућих рачуна, о финансијским извештајима, ЈЦИ и сл. Из оваквих евиденција и преко поређењ</w:t>
      </w:r>
      <w:r w:rsidR="00FE4AB9" w:rsidRPr="00301FFD">
        <w:rPr>
          <w:rFonts w:ascii="Times New Roman" w:hAnsi="Times New Roman"/>
          <w:sz w:val="24"/>
          <w:szCs w:val="24"/>
          <w:lang w:val="sr-Cyrl-CS"/>
        </w:rPr>
        <w:t>а података о купцим</w:t>
      </w:r>
      <w:r w:rsidRPr="00301FFD">
        <w:rPr>
          <w:rFonts w:ascii="Times New Roman" w:hAnsi="Times New Roman"/>
          <w:sz w:val="24"/>
          <w:szCs w:val="24"/>
          <w:lang w:val="sr-Cyrl-CS"/>
        </w:rPr>
        <w:t>а и добављачима одређених фирми се могу добити подаци о повезаним предузећима</w:t>
      </w:r>
      <w:r w:rsidR="000A764E" w:rsidRPr="00301FFD">
        <w:rPr>
          <w:rFonts w:ascii="Times New Roman" w:hAnsi="Times New Roman"/>
          <w:sz w:val="24"/>
          <w:szCs w:val="24"/>
          <w:lang w:val="sr-Cyrl-CS"/>
        </w:rPr>
        <w:t>,</w:t>
      </w:r>
      <w:r w:rsidRPr="00301FFD">
        <w:rPr>
          <w:rFonts w:ascii="Times New Roman" w:hAnsi="Times New Roman"/>
          <w:sz w:val="24"/>
          <w:szCs w:val="24"/>
          <w:lang w:val="sr-Cyrl-CS"/>
        </w:rPr>
        <w:t xml:space="preserve"> о фантомским фирмама, односно </w:t>
      </w:r>
      <w:r w:rsidR="000A764E" w:rsidRPr="00301FFD">
        <w:rPr>
          <w:rFonts w:ascii="Times New Roman" w:hAnsi="Times New Roman"/>
          <w:sz w:val="24"/>
          <w:szCs w:val="24"/>
          <w:lang w:val="sr-Cyrl-CS"/>
        </w:rPr>
        <w:t xml:space="preserve">о </w:t>
      </w:r>
      <w:r w:rsidRPr="00301FFD">
        <w:rPr>
          <w:rFonts w:ascii="Times New Roman" w:hAnsi="Times New Roman"/>
          <w:sz w:val="24"/>
          <w:szCs w:val="24"/>
          <w:lang w:val="sr-Cyrl-CS"/>
        </w:rPr>
        <w:t xml:space="preserve">фирмама са сумњивим пословним трансакцијама.  </w:t>
      </w:r>
      <w:r w:rsidR="00847E41" w:rsidRPr="00301FFD">
        <w:rPr>
          <w:rFonts w:ascii="Times New Roman" w:hAnsi="Times New Roman"/>
          <w:sz w:val="24"/>
          <w:szCs w:val="24"/>
          <w:lang w:val="sr-Cyrl-CS"/>
        </w:rPr>
        <w:t>Овакве евиденције су битне и за процењивање пореске снаге п</w:t>
      </w:r>
      <w:r w:rsidR="00E65D93" w:rsidRPr="00301FFD">
        <w:rPr>
          <w:rFonts w:ascii="Times New Roman" w:hAnsi="Times New Roman"/>
          <w:sz w:val="24"/>
          <w:szCs w:val="24"/>
          <w:lang w:val="sr-Cyrl-CS"/>
        </w:rPr>
        <w:t>ореских обвезника, што је од зна</w:t>
      </w:r>
      <w:r w:rsidR="00847E41" w:rsidRPr="00301FFD">
        <w:rPr>
          <w:rFonts w:ascii="Times New Roman" w:hAnsi="Times New Roman"/>
          <w:sz w:val="24"/>
          <w:szCs w:val="24"/>
          <w:lang w:val="sr-Cyrl-CS"/>
        </w:rPr>
        <w:t>чаја како б</w:t>
      </w:r>
      <w:r w:rsidR="00E65D93" w:rsidRPr="00301FFD">
        <w:rPr>
          <w:rFonts w:ascii="Times New Roman" w:hAnsi="Times New Roman"/>
          <w:sz w:val="24"/>
          <w:szCs w:val="24"/>
          <w:lang w:val="sr-Cyrl-CS"/>
        </w:rPr>
        <w:t xml:space="preserve">и се открио узрок пореске евазије, док праћење и упоређивање података </w:t>
      </w:r>
      <w:r w:rsidR="00BD136B" w:rsidRPr="00301FFD">
        <w:rPr>
          <w:rFonts w:ascii="Times New Roman" w:hAnsi="Times New Roman"/>
          <w:sz w:val="24"/>
          <w:szCs w:val="24"/>
          <w:lang w:val="sr-Cyrl-CS"/>
        </w:rPr>
        <w:t xml:space="preserve"> </w:t>
      </w:r>
      <w:r w:rsidR="00E65D93" w:rsidRPr="00301FFD">
        <w:rPr>
          <w:rFonts w:ascii="Times New Roman" w:hAnsi="Times New Roman"/>
          <w:sz w:val="24"/>
          <w:szCs w:val="24"/>
          <w:lang w:val="sr-Cyrl-CS"/>
        </w:rPr>
        <w:t>доприноси и правилном утврђивању пореских обавеза.</w:t>
      </w:r>
    </w:p>
    <w:p w:rsidR="00207CA7" w:rsidRPr="00301FFD" w:rsidRDefault="009E1BF0" w:rsidP="00301FFD">
      <w:pPr>
        <w:ind w:firstLine="708"/>
        <w:jc w:val="both"/>
        <w:rPr>
          <w:lang w:val="sr-Cyrl-CS"/>
        </w:rPr>
      </w:pPr>
      <w:r>
        <w:rPr>
          <w:rFonts w:ascii="Times New Roman" w:hAnsi="Times New Roman"/>
          <w:sz w:val="24"/>
          <w:szCs w:val="24"/>
          <w:lang w:val="sr-Cyrl-CS"/>
        </w:rPr>
        <w:t>У порескоправном односу се разликује активна и пасивна страна, односно п</w:t>
      </w:r>
      <w:r w:rsidR="00207CA7" w:rsidRPr="00301FFD">
        <w:rPr>
          <w:rFonts w:ascii="Times New Roman" w:hAnsi="Times New Roman"/>
          <w:sz w:val="24"/>
          <w:szCs w:val="24"/>
          <w:lang w:val="sr-Cyrl-CS"/>
        </w:rPr>
        <w:t xml:space="preserve">ореска управа је активна страна док су порески обвезници пасивна страна. </w:t>
      </w:r>
      <w:r>
        <w:rPr>
          <w:rFonts w:ascii="Times New Roman" w:hAnsi="Times New Roman"/>
          <w:sz w:val="24"/>
          <w:szCs w:val="24"/>
          <w:lang w:val="sr-Cyrl-CS"/>
        </w:rPr>
        <w:t>Међутим, ова</w:t>
      </w:r>
      <w:r w:rsidR="00207CA7" w:rsidRPr="00301FFD">
        <w:rPr>
          <w:rFonts w:ascii="Times New Roman" w:hAnsi="Times New Roman"/>
          <w:sz w:val="24"/>
          <w:szCs w:val="24"/>
          <w:lang w:val="sr-Cyrl-CS"/>
        </w:rPr>
        <w:t xml:space="preserve"> подела страна порескоправног односа, </w:t>
      </w:r>
      <w:r>
        <w:rPr>
          <w:rFonts w:ascii="Times New Roman" w:hAnsi="Times New Roman"/>
          <w:sz w:val="24"/>
          <w:szCs w:val="24"/>
          <w:lang w:val="sr-Cyrl-CS"/>
        </w:rPr>
        <w:t xml:space="preserve">која је </w:t>
      </w:r>
      <w:r w:rsidR="00207CA7" w:rsidRPr="00301FFD">
        <w:rPr>
          <w:rFonts w:ascii="Times New Roman" w:hAnsi="Times New Roman"/>
          <w:sz w:val="24"/>
          <w:szCs w:val="24"/>
          <w:lang w:val="sr-Cyrl-CS"/>
        </w:rPr>
        <w:t xml:space="preserve">извршена у складу са традиционалним схватањем пореских управних органа који делују са позиција државне власти, у савременим условима доживљава </w:t>
      </w:r>
      <w:r w:rsidR="00FE4AB9" w:rsidRPr="00301FFD">
        <w:rPr>
          <w:rFonts w:ascii="Times New Roman" w:hAnsi="Times New Roman"/>
          <w:sz w:val="24"/>
          <w:szCs w:val="24"/>
          <w:lang w:val="sr-Cyrl-CS"/>
        </w:rPr>
        <w:t>извесне промене, чиме додатно до</w:t>
      </w:r>
      <w:r w:rsidR="00207CA7" w:rsidRPr="00301FFD">
        <w:rPr>
          <w:rFonts w:ascii="Times New Roman" w:hAnsi="Times New Roman"/>
          <w:sz w:val="24"/>
          <w:szCs w:val="24"/>
          <w:lang w:val="sr-Cyrl-CS"/>
        </w:rPr>
        <w:t xml:space="preserve">приноси актуелност права на добру управу у Европској унији. Право на добру управу </w:t>
      </w:r>
      <w:r>
        <w:rPr>
          <w:rFonts w:ascii="Times New Roman" w:hAnsi="Times New Roman"/>
          <w:sz w:val="24"/>
          <w:szCs w:val="24"/>
          <w:lang w:val="sr-Cyrl-CS"/>
        </w:rPr>
        <w:t xml:space="preserve">представља </w:t>
      </w:r>
      <w:r w:rsidR="00207CA7" w:rsidRPr="00301FFD">
        <w:rPr>
          <w:rFonts w:ascii="Times New Roman" w:hAnsi="Times New Roman"/>
          <w:sz w:val="24"/>
          <w:szCs w:val="24"/>
          <w:lang w:val="sr-Cyrl-CS"/>
        </w:rPr>
        <w:t>инструмент зашти</w:t>
      </w:r>
      <w:r w:rsidR="001525B9" w:rsidRPr="00301FFD">
        <w:rPr>
          <w:rFonts w:ascii="Times New Roman" w:hAnsi="Times New Roman"/>
          <w:sz w:val="24"/>
          <w:szCs w:val="24"/>
          <w:lang w:val="sr-Cyrl-CS"/>
        </w:rPr>
        <w:t>те права странака у управном пос</w:t>
      </w:r>
      <w:r w:rsidR="00207CA7" w:rsidRPr="00301FFD">
        <w:rPr>
          <w:rFonts w:ascii="Times New Roman" w:hAnsi="Times New Roman"/>
          <w:sz w:val="24"/>
          <w:szCs w:val="24"/>
          <w:lang w:val="sr-Cyrl-CS"/>
        </w:rPr>
        <w:t xml:space="preserve">тупку </w:t>
      </w:r>
      <w:r>
        <w:rPr>
          <w:rFonts w:ascii="Times New Roman" w:hAnsi="Times New Roman"/>
          <w:sz w:val="24"/>
          <w:szCs w:val="24"/>
          <w:lang w:val="sr-Cyrl-CS"/>
        </w:rPr>
        <w:t>као</w:t>
      </w:r>
      <w:r w:rsidR="00207CA7" w:rsidRPr="00301FFD">
        <w:rPr>
          <w:rFonts w:ascii="Times New Roman" w:hAnsi="Times New Roman"/>
          <w:sz w:val="24"/>
          <w:szCs w:val="24"/>
          <w:lang w:val="sr-Cyrl-CS"/>
        </w:rPr>
        <w:t xml:space="preserve"> и подс</w:t>
      </w:r>
      <w:r w:rsidR="00FE4AB9" w:rsidRPr="00301FFD">
        <w:rPr>
          <w:rFonts w:ascii="Times New Roman" w:hAnsi="Times New Roman"/>
          <w:sz w:val="24"/>
          <w:szCs w:val="24"/>
          <w:lang w:val="sr-Cyrl-CS"/>
        </w:rPr>
        <w:t>тицај законитом поступању управе</w:t>
      </w:r>
      <w:r w:rsidR="00207CA7" w:rsidRPr="00301FFD">
        <w:rPr>
          <w:rFonts w:ascii="Times New Roman" w:hAnsi="Times New Roman"/>
          <w:sz w:val="24"/>
          <w:szCs w:val="24"/>
          <w:lang w:val="sr-Cyrl-CS"/>
        </w:rPr>
        <w:t xml:space="preserve"> и средство надзора над њом. </w:t>
      </w:r>
      <w:r>
        <w:rPr>
          <w:rFonts w:ascii="Times New Roman" w:hAnsi="Times New Roman"/>
          <w:sz w:val="24"/>
          <w:szCs w:val="24"/>
          <w:lang w:val="sr-Cyrl-CS"/>
        </w:rPr>
        <w:t>Пред пореску управу се поставља комплексан</w:t>
      </w:r>
      <w:r w:rsidR="001525B9" w:rsidRPr="00301FFD">
        <w:rPr>
          <w:rFonts w:ascii="Times New Roman" w:hAnsi="Times New Roman"/>
          <w:sz w:val="24"/>
          <w:szCs w:val="24"/>
          <w:lang w:val="sr-Cyrl-CS"/>
        </w:rPr>
        <w:t xml:space="preserve"> задатак да кроз примену пореза (порески поступак) реализује законом уређене одно</w:t>
      </w:r>
      <w:r w:rsidR="0029399D">
        <w:rPr>
          <w:rFonts w:ascii="Times New Roman" w:hAnsi="Times New Roman"/>
          <w:sz w:val="24"/>
          <w:szCs w:val="24"/>
          <w:lang w:val="sr-Cyrl-CS"/>
        </w:rPr>
        <w:t>се фискуса и пореских обвезника</w:t>
      </w:r>
      <w:r w:rsidR="001525B9" w:rsidRPr="00301FFD">
        <w:rPr>
          <w:lang w:val="sr-Cyrl-CS"/>
        </w:rPr>
        <w:t>.</w:t>
      </w:r>
      <w:r w:rsidR="001525B9" w:rsidRPr="00301FFD">
        <w:rPr>
          <w:rStyle w:val="FootnoteReference"/>
          <w:rFonts w:ascii="Times New Roman" w:hAnsi="Times New Roman"/>
          <w:color w:val="000000"/>
          <w:sz w:val="24"/>
          <w:szCs w:val="24"/>
          <w:lang w:val="sr-Cyrl-CS"/>
        </w:rPr>
        <w:footnoteReference w:id="846"/>
      </w:r>
      <w:r w:rsidR="00FE4AB9" w:rsidRPr="00301FFD">
        <w:rPr>
          <w:lang w:val="sr-Cyrl-CS"/>
        </w:rPr>
        <w:t xml:space="preserve"> </w:t>
      </w:r>
    </w:p>
    <w:p w:rsidR="00E0054A" w:rsidRPr="00D75342" w:rsidRDefault="00E0054A" w:rsidP="00301FFD">
      <w:pPr>
        <w:pStyle w:val="normal0"/>
        <w:shd w:val="clear" w:color="auto" w:fill="FFFFFF"/>
        <w:spacing w:before="48" w:beforeAutospacing="0" w:after="48" w:afterAutospacing="0"/>
        <w:ind w:firstLine="708"/>
        <w:jc w:val="both"/>
        <w:rPr>
          <w:color w:val="000000"/>
        </w:rPr>
      </w:pPr>
    </w:p>
    <w:p w:rsidR="00E0054A" w:rsidRPr="00301FFD" w:rsidRDefault="00E0054A" w:rsidP="00301FFD">
      <w:pPr>
        <w:pStyle w:val="normal0"/>
        <w:shd w:val="clear" w:color="auto" w:fill="FFFFFF"/>
        <w:spacing w:before="48" w:beforeAutospacing="0" w:after="48" w:afterAutospacing="0"/>
        <w:ind w:firstLine="708"/>
        <w:jc w:val="both"/>
        <w:rPr>
          <w:color w:val="000000"/>
          <w:lang w:val="sr-Cyrl-CS"/>
        </w:rPr>
      </w:pPr>
      <w:r w:rsidRPr="00301FFD">
        <w:rPr>
          <w:color w:val="000000"/>
          <w:lang w:val="sr-Cyrl-CS"/>
        </w:rPr>
        <w:t xml:space="preserve">Реализација права на добру управу у пореском поступку </w:t>
      </w:r>
      <w:r w:rsidR="009E1BF0">
        <w:rPr>
          <w:color w:val="000000"/>
          <w:lang w:val="sr-Cyrl-CS"/>
        </w:rPr>
        <w:t xml:space="preserve">омогућава да </w:t>
      </w:r>
      <w:r w:rsidRPr="00301FFD">
        <w:rPr>
          <w:color w:val="000000"/>
          <w:lang w:val="sr-Cyrl-CS"/>
        </w:rPr>
        <w:t>пор</w:t>
      </w:r>
      <w:r w:rsidR="00FE4AB9" w:rsidRPr="00301FFD">
        <w:rPr>
          <w:color w:val="000000"/>
          <w:lang w:val="sr-Cyrl-CS"/>
        </w:rPr>
        <w:t>е</w:t>
      </w:r>
      <w:r w:rsidR="009E1BF0">
        <w:rPr>
          <w:color w:val="000000"/>
          <w:lang w:val="sr-Cyrl-CS"/>
        </w:rPr>
        <w:t>ски обвезници</w:t>
      </w:r>
      <w:r w:rsidRPr="00301FFD">
        <w:rPr>
          <w:color w:val="000000"/>
          <w:lang w:val="sr-Cyrl-CS"/>
        </w:rPr>
        <w:t xml:space="preserve"> </w:t>
      </w:r>
      <w:r w:rsidR="009E1BF0">
        <w:rPr>
          <w:color w:val="000000"/>
          <w:lang w:val="sr-Cyrl-CS"/>
        </w:rPr>
        <w:t>постављају следеће „захтеве</w:t>
      </w:r>
      <w:r w:rsidRPr="00301FFD">
        <w:rPr>
          <w:color w:val="000000"/>
          <w:lang w:val="sr-Cyrl-CS"/>
        </w:rPr>
        <w:t xml:space="preserve"> према Пореској управи:</w:t>
      </w:r>
      <w:r w:rsidRPr="00301FFD">
        <w:rPr>
          <w:rStyle w:val="FootnoteReference"/>
          <w:color w:val="000000"/>
          <w:lang w:val="sr-Cyrl-CS"/>
        </w:rPr>
        <w:footnoteReference w:id="847"/>
      </w:r>
    </w:p>
    <w:p w:rsidR="00E0054A" w:rsidRPr="00301FFD" w:rsidRDefault="00E0054A" w:rsidP="00301FFD">
      <w:pPr>
        <w:pStyle w:val="normal0"/>
        <w:shd w:val="clear" w:color="auto" w:fill="FFFFFF"/>
        <w:spacing w:before="48" w:beforeAutospacing="0" w:after="48" w:afterAutospacing="0"/>
        <w:ind w:firstLine="708"/>
        <w:jc w:val="both"/>
        <w:rPr>
          <w:color w:val="000000"/>
          <w:lang w:val="sr-Cyrl-CS"/>
        </w:rPr>
      </w:pPr>
    </w:p>
    <w:p w:rsidR="00E0054A" w:rsidRPr="00301FFD" w:rsidRDefault="00831157" w:rsidP="00831157">
      <w:pPr>
        <w:pStyle w:val="normal0"/>
        <w:shd w:val="clear" w:color="auto" w:fill="FFFFFF"/>
        <w:spacing w:before="48" w:beforeAutospacing="0" w:after="48" w:afterAutospacing="0"/>
        <w:jc w:val="both"/>
        <w:rPr>
          <w:color w:val="000000"/>
          <w:lang w:val="sr-Cyrl-CS"/>
        </w:rPr>
      </w:pPr>
      <w:r>
        <w:rPr>
          <w:color w:val="000000"/>
          <w:lang w:val="sr-Cyrl-CS"/>
        </w:rPr>
        <w:t>1.</w:t>
      </w:r>
      <w:r w:rsidR="00E0054A" w:rsidRPr="00301FFD">
        <w:rPr>
          <w:color w:val="000000"/>
          <w:lang w:val="sr-Cyrl-CS"/>
        </w:rPr>
        <w:t>Примена пореских закон</w:t>
      </w:r>
      <w:r w:rsidR="000B3507">
        <w:rPr>
          <w:color w:val="000000"/>
          <w:lang w:val="sr-Cyrl-CS"/>
        </w:rPr>
        <w:t>а на правичан, поуздан и транспа</w:t>
      </w:r>
      <w:r w:rsidR="00E0054A" w:rsidRPr="00301FFD">
        <w:rPr>
          <w:color w:val="000000"/>
          <w:lang w:val="sr-Cyrl-CS"/>
        </w:rPr>
        <w:t>рентан начин;</w:t>
      </w:r>
    </w:p>
    <w:p w:rsidR="00E0054A" w:rsidRPr="00301FFD" w:rsidRDefault="00831157" w:rsidP="00831157">
      <w:pPr>
        <w:pStyle w:val="normal0"/>
        <w:shd w:val="clear" w:color="auto" w:fill="FFFFFF"/>
        <w:spacing w:before="48" w:beforeAutospacing="0" w:after="48" w:afterAutospacing="0"/>
        <w:jc w:val="both"/>
        <w:rPr>
          <w:color w:val="000000"/>
          <w:lang w:val="sr-Cyrl-CS"/>
        </w:rPr>
      </w:pPr>
      <w:r>
        <w:rPr>
          <w:color w:val="000000"/>
          <w:lang w:val="sr-Cyrl-CS"/>
        </w:rPr>
        <w:t>2.</w:t>
      </w:r>
      <w:r w:rsidR="00E0054A" w:rsidRPr="00301FFD">
        <w:rPr>
          <w:color w:val="000000"/>
          <w:lang w:val="sr-Cyrl-CS"/>
        </w:rPr>
        <w:t>Упознавање пореских обвезника са њиховим правима и оба</w:t>
      </w:r>
      <w:r w:rsidR="00FE4AB9" w:rsidRPr="00301FFD">
        <w:rPr>
          <w:color w:val="000000"/>
          <w:lang w:val="sr-Cyrl-CS"/>
        </w:rPr>
        <w:t>в</w:t>
      </w:r>
      <w:r w:rsidR="000B3507">
        <w:rPr>
          <w:color w:val="000000"/>
          <w:lang w:val="sr-Cyrl-CS"/>
        </w:rPr>
        <w:t>езама у скла</w:t>
      </w:r>
      <w:r w:rsidR="00E0054A" w:rsidRPr="00301FFD">
        <w:rPr>
          <w:color w:val="000000"/>
          <w:lang w:val="sr-Cyrl-CS"/>
        </w:rPr>
        <w:t>ду са законом;</w:t>
      </w:r>
    </w:p>
    <w:p w:rsidR="00E0054A" w:rsidRPr="00301FFD" w:rsidRDefault="00831157" w:rsidP="00831157">
      <w:pPr>
        <w:pStyle w:val="normal0"/>
        <w:shd w:val="clear" w:color="auto" w:fill="FFFFFF"/>
        <w:spacing w:before="48" w:beforeAutospacing="0" w:after="48" w:afterAutospacing="0"/>
        <w:jc w:val="both"/>
        <w:rPr>
          <w:color w:val="000000"/>
          <w:lang w:val="sr-Cyrl-CS"/>
        </w:rPr>
      </w:pPr>
      <w:r>
        <w:rPr>
          <w:color w:val="000000"/>
          <w:lang w:val="sr-Cyrl-CS"/>
        </w:rPr>
        <w:t>3.</w:t>
      </w:r>
      <w:r w:rsidR="00E0054A" w:rsidRPr="00301FFD">
        <w:rPr>
          <w:color w:val="000000"/>
          <w:lang w:val="sr-Cyrl-CS"/>
        </w:rPr>
        <w:t>Континуирано пружање квалитетних информација пореским обвезницима и тачно и балог</w:t>
      </w:r>
      <w:r w:rsidR="00FE4AB9" w:rsidRPr="00301FFD">
        <w:rPr>
          <w:color w:val="000000"/>
          <w:lang w:val="sr-Cyrl-CS"/>
        </w:rPr>
        <w:t>о</w:t>
      </w:r>
      <w:r w:rsidR="00E0054A" w:rsidRPr="00301FFD">
        <w:rPr>
          <w:color w:val="000000"/>
          <w:lang w:val="sr-Cyrl-CS"/>
        </w:rPr>
        <w:t>времено одговарање на њихове захтеве, питања и жалбе;</w:t>
      </w:r>
    </w:p>
    <w:p w:rsidR="00E0054A" w:rsidRPr="00301FFD" w:rsidRDefault="00831157" w:rsidP="00831157">
      <w:pPr>
        <w:pStyle w:val="normal0"/>
        <w:shd w:val="clear" w:color="auto" w:fill="FFFFFF"/>
        <w:spacing w:before="48" w:beforeAutospacing="0" w:after="48" w:afterAutospacing="0"/>
        <w:jc w:val="both"/>
        <w:rPr>
          <w:color w:val="000000"/>
          <w:lang w:val="sr-Cyrl-CS"/>
        </w:rPr>
      </w:pPr>
      <w:r>
        <w:rPr>
          <w:color w:val="000000"/>
          <w:lang w:val="sr-Cyrl-CS"/>
        </w:rPr>
        <w:t>4.</w:t>
      </w:r>
      <w:r w:rsidR="00E0054A" w:rsidRPr="00301FFD">
        <w:rPr>
          <w:color w:val="000000"/>
          <w:lang w:val="sr-Cyrl-CS"/>
        </w:rPr>
        <w:t>Обезбеђивање доступних и поузданих информа</w:t>
      </w:r>
      <w:r w:rsidR="000B3507">
        <w:rPr>
          <w:color w:val="000000"/>
          <w:lang w:val="sr-Cyrl-CS"/>
        </w:rPr>
        <w:t>ција пореским обвезницима у скла</w:t>
      </w:r>
      <w:r w:rsidR="00E0054A" w:rsidRPr="00301FFD">
        <w:rPr>
          <w:color w:val="000000"/>
          <w:lang w:val="sr-Cyrl-CS"/>
        </w:rPr>
        <w:t>ду са пореским законом;</w:t>
      </w:r>
    </w:p>
    <w:p w:rsidR="00E0054A" w:rsidRPr="00301FFD" w:rsidRDefault="00831157" w:rsidP="00831157">
      <w:pPr>
        <w:pStyle w:val="normal0"/>
        <w:shd w:val="clear" w:color="auto" w:fill="FFFFFF"/>
        <w:spacing w:before="48" w:beforeAutospacing="0" w:after="48" w:afterAutospacing="0"/>
        <w:jc w:val="both"/>
        <w:rPr>
          <w:color w:val="000000"/>
          <w:lang w:val="sr-Cyrl-CS"/>
        </w:rPr>
      </w:pPr>
      <w:r>
        <w:rPr>
          <w:color w:val="000000"/>
          <w:lang w:val="sr-Cyrl-CS"/>
        </w:rPr>
        <w:t>5.</w:t>
      </w:r>
      <w:r w:rsidR="00E0054A" w:rsidRPr="00301FFD">
        <w:rPr>
          <w:color w:val="000000"/>
          <w:lang w:val="sr-Cyrl-CS"/>
        </w:rPr>
        <w:t>Стварање предуслова да се трошкови плаћања пореза одржавају на минималном нивоу;</w:t>
      </w:r>
    </w:p>
    <w:p w:rsidR="00831157" w:rsidRDefault="00831157" w:rsidP="00831157">
      <w:pPr>
        <w:pStyle w:val="normal0"/>
        <w:shd w:val="clear" w:color="auto" w:fill="FFFFFF"/>
        <w:spacing w:before="48" w:beforeAutospacing="0" w:after="48" w:afterAutospacing="0"/>
        <w:jc w:val="both"/>
        <w:rPr>
          <w:color w:val="000000"/>
          <w:lang w:val="sr-Cyrl-CS"/>
        </w:rPr>
      </w:pPr>
      <w:r>
        <w:rPr>
          <w:color w:val="000000"/>
          <w:lang w:val="sr-Cyrl-CS"/>
        </w:rPr>
        <w:lastRenderedPageBreak/>
        <w:t>6.</w:t>
      </w:r>
      <w:r w:rsidR="00FE4AB9" w:rsidRPr="00301FFD">
        <w:rPr>
          <w:color w:val="000000"/>
          <w:lang w:val="sr-Cyrl-CS"/>
        </w:rPr>
        <w:t>Онда када је</w:t>
      </w:r>
      <w:r w:rsidR="00E0054A" w:rsidRPr="00301FFD">
        <w:rPr>
          <w:color w:val="000000"/>
          <w:lang w:val="sr-Cyrl-CS"/>
        </w:rPr>
        <w:t xml:space="preserve"> то прикладно пружање п</w:t>
      </w:r>
      <w:r w:rsidR="00FE4AB9" w:rsidRPr="00301FFD">
        <w:rPr>
          <w:color w:val="000000"/>
          <w:lang w:val="sr-Cyrl-CS"/>
        </w:rPr>
        <w:t>рилике пореским обвезницима да к</w:t>
      </w:r>
      <w:r w:rsidR="00E0054A" w:rsidRPr="00301FFD">
        <w:rPr>
          <w:color w:val="000000"/>
          <w:lang w:val="sr-Cyrl-CS"/>
        </w:rPr>
        <w:t>оментариш</w:t>
      </w:r>
      <w:r w:rsidR="000B3507">
        <w:rPr>
          <w:color w:val="000000"/>
          <w:lang w:val="sr-Cyrl-CS"/>
        </w:rPr>
        <w:t xml:space="preserve">у промене у пореском поступку и </w:t>
      </w:r>
      <w:r w:rsidR="00E0054A" w:rsidRPr="00301FFD">
        <w:rPr>
          <w:color w:val="000000"/>
          <w:lang w:val="sr-Cyrl-CS"/>
        </w:rPr>
        <w:t>пореској политици;</w:t>
      </w:r>
    </w:p>
    <w:p w:rsidR="00E0054A" w:rsidRPr="00301FFD" w:rsidRDefault="00831157" w:rsidP="00831157">
      <w:pPr>
        <w:pStyle w:val="normal0"/>
        <w:shd w:val="clear" w:color="auto" w:fill="FFFFFF"/>
        <w:spacing w:before="48" w:beforeAutospacing="0" w:after="48" w:afterAutospacing="0"/>
        <w:jc w:val="both"/>
        <w:rPr>
          <w:color w:val="000000"/>
          <w:lang w:val="sr-Cyrl-CS"/>
        </w:rPr>
      </w:pPr>
      <w:r>
        <w:rPr>
          <w:color w:val="000000"/>
          <w:lang w:val="sr-Cyrl-CS"/>
        </w:rPr>
        <w:t>7.</w:t>
      </w:r>
      <w:r w:rsidR="00E0054A" w:rsidRPr="00301FFD">
        <w:rPr>
          <w:color w:val="000000"/>
          <w:lang w:val="sr-Cyrl-CS"/>
        </w:rPr>
        <w:t>Употребљавање података о пореским обвезницима само у сврхе које прописује закон;</w:t>
      </w:r>
    </w:p>
    <w:p w:rsidR="00E0054A" w:rsidRPr="00301FFD" w:rsidRDefault="00831157" w:rsidP="00831157">
      <w:pPr>
        <w:pStyle w:val="normal0"/>
        <w:shd w:val="clear" w:color="auto" w:fill="FFFFFF"/>
        <w:spacing w:before="48" w:beforeAutospacing="0" w:after="48" w:afterAutospacing="0"/>
        <w:jc w:val="both"/>
        <w:rPr>
          <w:color w:val="000000"/>
          <w:lang w:val="sr-Cyrl-CS"/>
        </w:rPr>
      </w:pPr>
      <w:r>
        <w:rPr>
          <w:color w:val="000000"/>
          <w:lang w:val="sr-Cyrl-CS"/>
        </w:rPr>
        <w:t>8.</w:t>
      </w:r>
      <w:r w:rsidR="00E0054A" w:rsidRPr="00301FFD">
        <w:rPr>
          <w:color w:val="000000"/>
          <w:lang w:val="sr-Cyrl-CS"/>
        </w:rPr>
        <w:t>Одржавање коректних односа не само са пореским обвезницима, већ и са др</w:t>
      </w:r>
      <w:r w:rsidR="00F50BD2" w:rsidRPr="00301FFD">
        <w:rPr>
          <w:color w:val="000000"/>
          <w:lang w:val="sr-Cyrl-CS"/>
        </w:rPr>
        <w:t>угим субјектима и широм заједницом.</w:t>
      </w:r>
      <w:r w:rsidR="009E1BF0">
        <w:rPr>
          <w:color w:val="000000"/>
          <w:lang w:val="sr-Cyrl-CS"/>
        </w:rPr>
        <w:t>“</w:t>
      </w:r>
    </w:p>
    <w:p w:rsidR="00E0054A" w:rsidRPr="00301FFD" w:rsidRDefault="00E0054A" w:rsidP="00301FFD">
      <w:pPr>
        <w:pStyle w:val="normal0"/>
        <w:shd w:val="clear" w:color="auto" w:fill="FFFFFF"/>
        <w:spacing w:before="48" w:beforeAutospacing="0" w:after="48" w:afterAutospacing="0"/>
        <w:ind w:left="2160"/>
        <w:jc w:val="both"/>
        <w:rPr>
          <w:color w:val="000000"/>
          <w:lang w:val="sr-Cyrl-CS"/>
        </w:rPr>
      </w:pPr>
    </w:p>
    <w:p w:rsidR="00270C28" w:rsidRPr="00301FFD" w:rsidRDefault="000343F8" w:rsidP="00301FFD">
      <w:pPr>
        <w:ind w:firstLine="708"/>
        <w:jc w:val="both"/>
        <w:rPr>
          <w:rFonts w:ascii="Times New Roman" w:hAnsi="Times New Roman"/>
          <w:sz w:val="24"/>
          <w:szCs w:val="24"/>
          <w:lang w:val="sr-Cyrl-CS"/>
        </w:rPr>
      </w:pPr>
      <w:r>
        <w:rPr>
          <w:rFonts w:ascii="Times New Roman" w:hAnsi="Times New Roman"/>
          <w:sz w:val="24"/>
          <w:szCs w:val="24"/>
          <w:lang w:val="sr-Cyrl-CS"/>
        </w:rPr>
        <w:t xml:space="preserve">Главна функција Пореске управе је, поред </w:t>
      </w:r>
      <w:r w:rsidR="00270C28" w:rsidRPr="00301FFD">
        <w:rPr>
          <w:rFonts w:ascii="Times New Roman" w:hAnsi="Times New Roman"/>
          <w:sz w:val="24"/>
          <w:szCs w:val="24"/>
          <w:lang w:val="sr-Cyrl-CS"/>
        </w:rPr>
        <w:t>пореске контроле и наплате пореза</w:t>
      </w:r>
      <w:r>
        <w:rPr>
          <w:rFonts w:ascii="Times New Roman" w:hAnsi="Times New Roman"/>
          <w:sz w:val="24"/>
          <w:szCs w:val="24"/>
          <w:lang w:val="sr-Cyrl-CS"/>
        </w:rPr>
        <w:t>, и утврђивање пореза</w:t>
      </w:r>
      <w:r w:rsidR="00270C28" w:rsidRPr="00301FFD">
        <w:rPr>
          <w:rFonts w:ascii="Times New Roman" w:hAnsi="Times New Roman"/>
          <w:sz w:val="24"/>
          <w:szCs w:val="24"/>
          <w:lang w:val="sr-Cyrl-CS"/>
        </w:rPr>
        <w:t xml:space="preserve">. Пореска администрација </w:t>
      </w:r>
      <w:r>
        <w:rPr>
          <w:rFonts w:ascii="Times New Roman" w:hAnsi="Times New Roman"/>
          <w:sz w:val="24"/>
          <w:szCs w:val="24"/>
          <w:lang w:val="sr-Cyrl-CS"/>
        </w:rPr>
        <w:t xml:space="preserve">обавља и </w:t>
      </w:r>
      <w:r w:rsidR="00270C28" w:rsidRPr="00301FFD">
        <w:rPr>
          <w:rFonts w:ascii="Times New Roman" w:hAnsi="Times New Roman"/>
          <w:sz w:val="24"/>
          <w:szCs w:val="24"/>
          <w:lang w:val="sr-Cyrl-CS"/>
        </w:rPr>
        <w:t>тзв. функције допунског карактера у циљу адекватног утврђивања, наплате и к</w:t>
      </w:r>
      <w:r w:rsidR="00FE4AB9" w:rsidRPr="00301FFD">
        <w:rPr>
          <w:rFonts w:ascii="Times New Roman" w:hAnsi="Times New Roman"/>
          <w:sz w:val="24"/>
          <w:szCs w:val="24"/>
          <w:lang w:val="sr-Cyrl-CS"/>
        </w:rPr>
        <w:t>о</w:t>
      </w:r>
      <w:r>
        <w:rPr>
          <w:rFonts w:ascii="Times New Roman" w:hAnsi="Times New Roman"/>
          <w:sz w:val="24"/>
          <w:szCs w:val="24"/>
          <w:lang w:val="sr-Cyrl-CS"/>
        </w:rPr>
        <w:t>нтроле пореза, а то се односи на</w:t>
      </w:r>
      <w:r w:rsidR="00270C28" w:rsidRPr="00301FFD">
        <w:rPr>
          <w:rFonts w:ascii="Times New Roman" w:hAnsi="Times New Roman"/>
          <w:sz w:val="24"/>
          <w:szCs w:val="24"/>
          <w:lang w:val="sr-Cyrl-CS"/>
        </w:rPr>
        <w:t xml:space="preserve"> </w:t>
      </w:r>
      <w:r>
        <w:rPr>
          <w:rFonts w:ascii="Times New Roman" w:hAnsi="Times New Roman"/>
          <w:sz w:val="24"/>
          <w:szCs w:val="24"/>
          <w:lang w:val="sr-Cyrl-CS"/>
        </w:rPr>
        <w:t>прикупљања и обраду</w:t>
      </w:r>
      <w:r w:rsidR="00270C28" w:rsidRPr="00301FFD">
        <w:rPr>
          <w:rFonts w:ascii="Times New Roman" w:hAnsi="Times New Roman"/>
          <w:sz w:val="24"/>
          <w:szCs w:val="24"/>
          <w:lang w:val="sr-Cyrl-CS"/>
        </w:rPr>
        <w:t xml:space="preserve"> података који своју конкретизацију добијају у функци</w:t>
      </w:r>
      <w:r w:rsidR="00FE4AB9" w:rsidRPr="00301FFD">
        <w:rPr>
          <w:rFonts w:ascii="Times New Roman" w:hAnsi="Times New Roman"/>
          <w:sz w:val="24"/>
          <w:szCs w:val="24"/>
          <w:lang w:val="sr-Cyrl-CS"/>
        </w:rPr>
        <w:t>ји иденти</w:t>
      </w:r>
      <w:r w:rsidR="00270C28" w:rsidRPr="00301FFD">
        <w:rPr>
          <w:rFonts w:ascii="Times New Roman" w:hAnsi="Times New Roman"/>
          <w:sz w:val="24"/>
          <w:szCs w:val="24"/>
          <w:lang w:val="sr-Cyrl-CS"/>
        </w:rPr>
        <w:t xml:space="preserve">фикације пореских обвезника и њиховој регистрацији, укључујући и додељивање пореског идентификационог броја пореским обвезницима. </w:t>
      </w:r>
      <w:r>
        <w:rPr>
          <w:rFonts w:ascii="Times New Roman" w:hAnsi="Times New Roman"/>
          <w:sz w:val="24"/>
          <w:szCs w:val="24"/>
          <w:lang w:val="sr-Cyrl-CS"/>
        </w:rPr>
        <w:t>Осим тог, баве се и прикупљањем</w:t>
      </w:r>
      <w:r w:rsidR="00270C28" w:rsidRPr="00301FFD">
        <w:rPr>
          <w:rFonts w:ascii="Times New Roman" w:hAnsi="Times New Roman"/>
          <w:sz w:val="24"/>
          <w:szCs w:val="24"/>
          <w:lang w:val="sr-Cyrl-CS"/>
        </w:rPr>
        <w:t xml:space="preserve"> п</w:t>
      </w:r>
      <w:r>
        <w:rPr>
          <w:rFonts w:ascii="Times New Roman" w:hAnsi="Times New Roman"/>
          <w:sz w:val="24"/>
          <w:szCs w:val="24"/>
          <w:lang w:val="sr-Cyrl-CS"/>
        </w:rPr>
        <w:t>одатака од трећих лица и њиховом обрадом</w:t>
      </w:r>
      <w:r w:rsidR="00270C28" w:rsidRPr="00301FFD">
        <w:rPr>
          <w:rFonts w:ascii="Times New Roman" w:hAnsi="Times New Roman"/>
          <w:sz w:val="24"/>
          <w:szCs w:val="24"/>
          <w:lang w:val="sr-Cyrl-CS"/>
        </w:rPr>
        <w:t xml:space="preserve"> (нпр. од исплатиоца прихода, банака, катастра, судова, других државних органа и сл.), као и о пословима пружања помоћи и услуга пореским обвезницима и њиховој едукацији у циљу подстицања добровољног плаћања.</w:t>
      </w:r>
      <w:r w:rsidR="00270C28" w:rsidRPr="00301FFD">
        <w:rPr>
          <w:rStyle w:val="FootnoteReference"/>
          <w:rFonts w:ascii="Times New Roman" w:hAnsi="Times New Roman"/>
          <w:sz w:val="24"/>
          <w:szCs w:val="24"/>
          <w:lang w:val="sr-Cyrl-CS"/>
        </w:rPr>
        <w:footnoteReference w:id="848"/>
      </w:r>
    </w:p>
    <w:p w:rsidR="00B01073" w:rsidRPr="00301FFD" w:rsidRDefault="00F50BD2" w:rsidP="0029399D">
      <w:pPr>
        <w:ind w:firstLine="708"/>
        <w:jc w:val="both"/>
        <w:rPr>
          <w:rFonts w:ascii="Times New Roman" w:hAnsi="Times New Roman"/>
          <w:sz w:val="24"/>
          <w:szCs w:val="24"/>
          <w:lang w:val="sr-Cyrl-CS"/>
        </w:rPr>
      </w:pPr>
      <w:r w:rsidRPr="00301FFD">
        <w:rPr>
          <w:rFonts w:ascii="Times New Roman" w:hAnsi="Times New Roman"/>
          <w:sz w:val="24"/>
          <w:szCs w:val="24"/>
          <w:lang w:val="sr-Cyrl-CS"/>
        </w:rPr>
        <w:t xml:space="preserve">Прва фаза у </w:t>
      </w:r>
      <w:r w:rsidR="00F528B4" w:rsidRPr="00301FFD">
        <w:rPr>
          <w:rFonts w:ascii="Times New Roman" w:hAnsi="Times New Roman"/>
          <w:sz w:val="24"/>
          <w:szCs w:val="24"/>
          <w:lang w:val="sr-Cyrl-CS"/>
        </w:rPr>
        <w:t xml:space="preserve">утврђивању пореске обавезе и </w:t>
      </w:r>
      <w:r w:rsidRPr="00301FFD">
        <w:rPr>
          <w:rFonts w:ascii="Times New Roman" w:hAnsi="Times New Roman"/>
          <w:sz w:val="24"/>
          <w:szCs w:val="24"/>
          <w:lang w:val="sr-Cyrl-CS"/>
        </w:rPr>
        <w:t>реали</w:t>
      </w:r>
      <w:r w:rsidR="00FE4AB9" w:rsidRPr="00301FFD">
        <w:rPr>
          <w:rFonts w:ascii="Times New Roman" w:hAnsi="Times New Roman"/>
          <w:sz w:val="24"/>
          <w:szCs w:val="24"/>
          <w:lang w:val="sr-Cyrl-CS"/>
        </w:rPr>
        <w:t>зације</w:t>
      </w:r>
      <w:r w:rsidRPr="00301FFD">
        <w:rPr>
          <w:rFonts w:ascii="Times New Roman" w:hAnsi="Times New Roman"/>
          <w:sz w:val="24"/>
          <w:szCs w:val="24"/>
          <w:lang w:val="sr-Cyrl-CS"/>
        </w:rPr>
        <w:t xml:space="preserve"> фискалне политике  подразумева утврђивање висине пореске обавезе. То је веома комплексан и сложен поступак који полази од релативно једност</w:t>
      </w:r>
      <w:r w:rsidR="00FE4AB9" w:rsidRPr="00301FFD">
        <w:rPr>
          <w:rFonts w:ascii="Times New Roman" w:hAnsi="Times New Roman"/>
          <w:sz w:val="24"/>
          <w:szCs w:val="24"/>
          <w:lang w:val="sr-Cyrl-CS"/>
        </w:rPr>
        <w:t>авних</w:t>
      </w:r>
      <w:r w:rsidRPr="00301FFD">
        <w:rPr>
          <w:rFonts w:ascii="Times New Roman" w:hAnsi="Times New Roman"/>
          <w:sz w:val="24"/>
          <w:szCs w:val="24"/>
          <w:lang w:val="sr-Cyrl-CS"/>
        </w:rPr>
        <w:t xml:space="preserve"> рачуноводствених и књиговодствених операција </w:t>
      </w:r>
      <w:r w:rsidR="00F528B4" w:rsidRPr="00301FFD">
        <w:rPr>
          <w:rFonts w:ascii="Times New Roman" w:hAnsi="Times New Roman"/>
          <w:sz w:val="24"/>
          <w:szCs w:val="24"/>
          <w:lang w:val="sr-Cyrl-CS"/>
        </w:rPr>
        <w:t xml:space="preserve">до веома сложених начина за утврђивања чињеница од значаја за опорезивање, што зависи од предмета опорезивања. Свакако најсложеније питање је утврђивање пореске основице, при чему се морају имати у виду законске олакшице и ослобођења. </w:t>
      </w:r>
    </w:p>
    <w:p w:rsidR="00A028C6" w:rsidRPr="00BC37A6" w:rsidRDefault="00301FFD" w:rsidP="00BC37A6">
      <w:pPr>
        <w:ind w:firstLine="708"/>
        <w:jc w:val="both"/>
        <w:rPr>
          <w:rFonts w:ascii="Times New Roman" w:hAnsi="Times New Roman"/>
          <w:sz w:val="24"/>
          <w:szCs w:val="24"/>
          <w:lang w:val="sr-Cyrl-CS"/>
        </w:rPr>
      </w:pPr>
      <w:r w:rsidRPr="00BC37A6">
        <w:rPr>
          <w:rFonts w:ascii="Times New Roman" w:hAnsi="Times New Roman"/>
          <w:sz w:val="24"/>
          <w:szCs w:val="24"/>
        </w:rPr>
        <w:t>Утврђивање</w:t>
      </w:r>
      <w:r w:rsidR="00F528B4" w:rsidRPr="00BC37A6">
        <w:rPr>
          <w:rFonts w:ascii="Times New Roman" w:hAnsi="Times New Roman"/>
          <w:sz w:val="24"/>
          <w:szCs w:val="24"/>
        </w:rPr>
        <w:t xml:space="preserve"> </w:t>
      </w:r>
      <w:r w:rsidRPr="00BC37A6">
        <w:rPr>
          <w:rFonts w:ascii="Times New Roman" w:hAnsi="Times New Roman"/>
          <w:sz w:val="24"/>
          <w:szCs w:val="24"/>
        </w:rPr>
        <w:t>пореза</w:t>
      </w:r>
      <w:r w:rsidR="00F528B4" w:rsidRPr="00BC37A6">
        <w:rPr>
          <w:rFonts w:ascii="Times New Roman" w:hAnsi="Times New Roman"/>
          <w:sz w:val="24"/>
          <w:szCs w:val="24"/>
        </w:rPr>
        <w:t xml:space="preserve"> </w:t>
      </w:r>
      <w:r w:rsidRPr="00BC37A6">
        <w:rPr>
          <w:rFonts w:ascii="Times New Roman" w:hAnsi="Times New Roman"/>
          <w:sz w:val="24"/>
          <w:szCs w:val="24"/>
        </w:rPr>
        <w:t>је</w:t>
      </w:r>
      <w:r w:rsidR="00F528B4" w:rsidRPr="00BC37A6">
        <w:rPr>
          <w:rFonts w:ascii="Times New Roman" w:hAnsi="Times New Roman"/>
          <w:sz w:val="24"/>
          <w:szCs w:val="24"/>
        </w:rPr>
        <w:t xml:space="preserve"> </w:t>
      </w:r>
      <w:r w:rsidRPr="00BC37A6">
        <w:rPr>
          <w:rFonts w:ascii="Times New Roman" w:hAnsi="Times New Roman"/>
          <w:sz w:val="24"/>
          <w:szCs w:val="24"/>
        </w:rPr>
        <w:t>делатност</w:t>
      </w:r>
      <w:r w:rsidR="00F528B4" w:rsidRPr="00BC37A6">
        <w:rPr>
          <w:rFonts w:ascii="Times New Roman" w:hAnsi="Times New Roman"/>
          <w:sz w:val="24"/>
          <w:szCs w:val="24"/>
        </w:rPr>
        <w:t xml:space="preserve"> </w:t>
      </w:r>
      <w:r w:rsidRPr="00BC37A6">
        <w:rPr>
          <w:rFonts w:ascii="Times New Roman" w:hAnsi="Times New Roman"/>
          <w:sz w:val="24"/>
          <w:szCs w:val="24"/>
        </w:rPr>
        <w:t>Пореске</w:t>
      </w:r>
      <w:r w:rsidR="00F528B4" w:rsidRPr="00BC37A6">
        <w:rPr>
          <w:rFonts w:ascii="Times New Roman" w:hAnsi="Times New Roman"/>
          <w:sz w:val="24"/>
          <w:szCs w:val="24"/>
        </w:rPr>
        <w:t xml:space="preserve"> </w:t>
      </w:r>
      <w:r w:rsidRPr="00BC37A6">
        <w:rPr>
          <w:rFonts w:ascii="Times New Roman" w:hAnsi="Times New Roman"/>
          <w:sz w:val="24"/>
          <w:szCs w:val="24"/>
        </w:rPr>
        <w:t>управе</w:t>
      </w:r>
      <w:r w:rsidR="00F528B4" w:rsidRPr="00BC37A6">
        <w:rPr>
          <w:rFonts w:ascii="Times New Roman" w:hAnsi="Times New Roman"/>
          <w:sz w:val="24"/>
          <w:szCs w:val="24"/>
        </w:rPr>
        <w:t xml:space="preserve">, </w:t>
      </w:r>
      <w:r w:rsidRPr="00BC37A6">
        <w:rPr>
          <w:rFonts w:ascii="Times New Roman" w:hAnsi="Times New Roman"/>
          <w:sz w:val="24"/>
          <w:szCs w:val="24"/>
        </w:rPr>
        <w:t>односно</w:t>
      </w:r>
      <w:r w:rsidR="00F528B4" w:rsidRPr="00BC37A6">
        <w:rPr>
          <w:rFonts w:ascii="Times New Roman" w:hAnsi="Times New Roman"/>
          <w:sz w:val="24"/>
          <w:szCs w:val="24"/>
        </w:rPr>
        <w:t xml:space="preserve"> </w:t>
      </w:r>
      <w:r w:rsidRPr="00BC37A6">
        <w:rPr>
          <w:rFonts w:ascii="Times New Roman" w:hAnsi="Times New Roman"/>
          <w:sz w:val="24"/>
          <w:szCs w:val="24"/>
        </w:rPr>
        <w:t>пореског</w:t>
      </w:r>
      <w:r w:rsidR="00F528B4" w:rsidRPr="00BC37A6">
        <w:rPr>
          <w:rFonts w:ascii="Times New Roman" w:hAnsi="Times New Roman"/>
          <w:sz w:val="24"/>
          <w:szCs w:val="24"/>
        </w:rPr>
        <w:t xml:space="preserve"> </w:t>
      </w:r>
      <w:r w:rsidRPr="00BC37A6">
        <w:rPr>
          <w:rFonts w:ascii="Times New Roman" w:hAnsi="Times New Roman"/>
          <w:sz w:val="24"/>
          <w:szCs w:val="24"/>
        </w:rPr>
        <w:t>обвезника</w:t>
      </w:r>
      <w:r w:rsidR="00F528B4" w:rsidRPr="00BC37A6">
        <w:rPr>
          <w:rFonts w:ascii="Times New Roman" w:hAnsi="Times New Roman"/>
          <w:sz w:val="24"/>
          <w:szCs w:val="24"/>
        </w:rPr>
        <w:t xml:space="preserve">, </w:t>
      </w:r>
      <w:r w:rsidRPr="00BC37A6">
        <w:rPr>
          <w:rFonts w:ascii="Times New Roman" w:hAnsi="Times New Roman"/>
          <w:sz w:val="24"/>
          <w:szCs w:val="24"/>
        </w:rPr>
        <w:t>која</w:t>
      </w:r>
      <w:r w:rsidR="00F528B4" w:rsidRPr="00BC37A6">
        <w:rPr>
          <w:rFonts w:ascii="Times New Roman" w:hAnsi="Times New Roman"/>
          <w:sz w:val="24"/>
          <w:szCs w:val="24"/>
        </w:rPr>
        <w:t xml:space="preserve"> </w:t>
      </w:r>
      <w:r w:rsidRPr="00BC37A6">
        <w:rPr>
          <w:rFonts w:ascii="Times New Roman" w:hAnsi="Times New Roman"/>
          <w:sz w:val="24"/>
          <w:szCs w:val="24"/>
        </w:rPr>
        <w:t>се</w:t>
      </w:r>
      <w:r w:rsidR="00F528B4" w:rsidRPr="00BC37A6">
        <w:rPr>
          <w:rFonts w:ascii="Times New Roman" w:hAnsi="Times New Roman"/>
          <w:sz w:val="24"/>
          <w:szCs w:val="24"/>
        </w:rPr>
        <w:t xml:space="preserve"> </w:t>
      </w:r>
      <w:r w:rsidRPr="00BC37A6">
        <w:rPr>
          <w:rFonts w:ascii="Times New Roman" w:hAnsi="Times New Roman"/>
          <w:sz w:val="24"/>
          <w:szCs w:val="24"/>
        </w:rPr>
        <w:t>састоји</w:t>
      </w:r>
      <w:r w:rsidR="00F528B4" w:rsidRPr="00BC37A6">
        <w:rPr>
          <w:rFonts w:ascii="Times New Roman" w:hAnsi="Times New Roman"/>
          <w:sz w:val="24"/>
          <w:szCs w:val="24"/>
        </w:rPr>
        <w:t xml:space="preserve"> </w:t>
      </w:r>
      <w:r w:rsidRPr="00BC37A6">
        <w:rPr>
          <w:rFonts w:ascii="Times New Roman" w:hAnsi="Times New Roman"/>
          <w:sz w:val="24"/>
          <w:szCs w:val="24"/>
        </w:rPr>
        <w:t>у</w:t>
      </w:r>
      <w:r w:rsidR="00F528B4" w:rsidRPr="00BC37A6">
        <w:rPr>
          <w:rFonts w:ascii="Times New Roman" w:hAnsi="Times New Roman"/>
          <w:sz w:val="24"/>
          <w:szCs w:val="24"/>
        </w:rPr>
        <w:t xml:space="preserve"> </w:t>
      </w:r>
      <w:r w:rsidRPr="00BC37A6">
        <w:rPr>
          <w:rFonts w:ascii="Times New Roman" w:hAnsi="Times New Roman"/>
          <w:sz w:val="24"/>
          <w:szCs w:val="24"/>
        </w:rPr>
        <w:t>издавању</w:t>
      </w:r>
      <w:r w:rsidR="00F528B4" w:rsidRPr="00BC37A6">
        <w:rPr>
          <w:rFonts w:ascii="Times New Roman" w:hAnsi="Times New Roman"/>
          <w:sz w:val="24"/>
          <w:szCs w:val="24"/>
        </w:rPr>
        <w:t xml:space="preserve"> </w:t>
      </w:r>
      <w:r w:rsidRPr="00BC37A6">
        <w:rPr>
          <w:rFonts w:ascii="Times New Roman" w:hAnsi="Times New Roman"/>
          <w:sz w:val="24"/>
          <w:szCs w:val="24"/>
        </w:rPr>
        <w:t>управних</w:t>
      </w:r>
      <w:r w:rsidR="00F528B4" w:rsidRPr="00BC37A6">
        <w:rPr>
          <w:rFonts w:ascii="Times New Roman" w:hAnsi="Times New Roman"/>
          <w:sz w:val="24"/>
          <w:szCs w:val="24"/>
        </w:rPr>
        <w:t xml:space="preserve"> </w:t>
      </w:r>
      <w:r w:rsidRPr="00BC37A6">
        <w:rPr>
          <w:rFonts w:ascii="Times New Roman" w:hAnsi="Times New Roman"/>
          <w:sz w:val="24"/>
          <w:szCs w:val="24"/>
        </w:rPr>
        <w:t>аката</w:t>
      </w:r>
      <w:r w:rsidR="00F528B4" w:rsidRPr="00BC37A6">
        <w:rPr>
          <w:rFonts w:ascii="Times New Roman" w:hAnsi="Times New Roman"/>
          <w:sz w:val="24"/>
          <w:szCs w:val="24"/>
        </w:rPr>
        <w:t xml:space="preserve">, </w:t>
      </w:r>
      <w:r w:rsidRPr="00BC37A6">
        <w:rPr>
          <w:rFonts w:ascii="Times New Roman" w:hAnsi="Times New Roman"/>
          <w:sz w:val="24"/>
          <w:szCs w:val="24"/>
        </w:rPr>
        <w:t>односно</w:t>
      </w:r>
      <w:r w:rsidR="00F528B4" w:rsidRPr="00BC37A6">
        <w:rPr>
          <w:rFonts w:ascii="Times New Roman" w:hAnsi="Times New Roman"/>
          <w:sz w:val="24"/>
          <w:szCs w:val="24"/>
        </w:rPr>
        <w:t xml:space="preserve"> </w:t>
      </w:r>
      <w:r w:rsidRPr="00BC37A6">
        <w:rPr>
          <w:rFonts w:ascii="Times New Roman" w:hAnsi="Times New Roman"/>
          <w:sz w:val="24"/>
          <w:szCs w:val="24"/>
        </w:rPr>
        <w:t>у</w:t>
      </w:r>
      <w:r w:rsidR="00F528B4" w:rsidRPr="00BC37A6">
        <w:rPr>
          <w:rFonts w:ascii="Times New Roman" w:hAnsi="Times New Roman"/>
          <w:sz w:val="24"/>
          <w:szCs w:val="24"/>
        </w:rPr>
        <w:t xml:space="preserve"> </w:t>
      </w:r>
      <w:r w:rsidRPr="00BC37A6">
        <w:rPr>
          <w:rFonts w:ascii="Times New Roman" w:hAnsi="Times New Roman"/>
          <w:sz w:val="24"/>
          <w:szCs w:val="24"/>
        </w:rPr>
        <w:t>предузимању</w:t>
      </w:r>
      <w:r w:rsidR="00F528B4" w:rsidRPr="00BC37A6">
        <w:rPr>
          <w:rFonts w:ascii="Times New Roman" w:hAnsi="Times New Roman"/>
          <w:sz w:val="24"/>
          <w:szCs w:val="24"/>
        </w:rPr>
        <w:t xml:space="preserve"> </w:t>
      </w:r>
      <w:r w:rsidRPr="00BC37A6">
        <w:rPr>
          <w:rFonts w:ascii="Times New Roman" w:hAnsi="Times New Roman"/>
          <w:sz w:val="24"/>
          <w:szCs w:val="24"/>
        </w:rPr>
        <w:t>законом</w:t>
      </w:r>
      <w:r w:rsidR="00F528B4" w:rsidRPr="00BC37A6">
        <w:rPr>
          <w:rFonts w:ascii="Times New Roman" w:hAnsi="Times New Roman"/>
          <w:sz w:val="24"/>
          <w:szCs w:val="24"/>
        </w:rPr>
        <w:t xml:space="preserve"> </w:t>
      </w:r>
      <w:r w:rsidRPr="00BC37A6">
        <w:rPr>
          <w:rFonts w:ascii="Times New Roman" w:hAnsi="Times New Roman"/>
          <w:sz w:val="24"/>
          <w:szCs w:val="24"/>
        </w:rPr>
        <w:t>прописаних</w:t>
      </w:r>
      <w:r w:rsidR="00F528B4" w:rsidRPr="00BC37A6">
        <w:rPr>
          <w:rFonts w:ascii="Times New Roman" w:hAnsi="Times New Roman"/>
          <w:sz w:val="24"/>
          <w:szCs w:val="24"/>
        </w:rPr>
        <w:t xml:space="preserve"> </w:t>
      </w:r>
      <w:r w:rsidRPr="00BC37A6">
        <w:rPr>
          <w:rFonts w:ascii="Times New Roman" w:hAnsi="Times New Roman"/>
          <w:sz w:val="24"/>
          <w:szCs w:val="24"/>
        </w:rPr>
        <w:t>радњи</w:t>
      </w:r>
      <w:r w:rsidR="00F528B4" w:rsidRPr="00BC37A6">
        <w:rPr>
          <w:rFonts w:ascii="Times New Roman" w:hAnsi="Times New Roman"/>
          <w:sz w:val="24"/>
          <w:szCs w:val="24"/>
        </w:rPr>
        <w:t xml:space="preserve">, </w:t>
      </w:r>
      <w:r w:rsidRPr="00BC37A6">
        <w:rPr>
          <w:rFonts w:ascii="Times New Roman" w:hAnsi="Times New Roman"/>
          <w:sz w:val="24"/>
          <w:szCs w:val="24"/>
        </w:rPr>
        <w:t>којима</w:t>
      </w:r>
      <w:r w:rsidR="00F528B4" w:rsidRPr="00BC37A6">
        <w:rPr>
          <w:rFonts w:ascii="Times New Roman" w:hAnsi="Times New Roman"/>
          <w:sz w:val="24"/>
          <w:szCs w:val="24"/>
        </w:rPr>
        <w:t xml:space="preserve"> </w:t>
      </w:r>
      <w:r w:rsidRPr="00BC37A6">
        <w:rPr>
          <w:rFonts w:ascii="Times New Roman" w:hAnsi="Times New Roman"/>
          <w:sz w:val="24"/>
          <w:szCs w:val="24"/>
        </w:rPr>
        <w:t>се</w:t>
      </w:r>
      <w:r w:rsidR="00F528B4" w:rsidRPr="00BC37A6">
        <w:rPr>
          <w:rFonts w:ascii="Times New Roman" w:hAnsi="Times New Roman"/>
          <w:sz w:val="24"/>
          <w:szCs w:val="24"/>
        </w:rPr>
        <w:t xml:space="preserve"> </w:t>
      </w:r>
      <w:r w:rsidRPr="00BC37A6">
        <w:rPr>
          <w:rFonts w:ascii="Times New Roman" w:hAnsi="Times New Roman"/>
          <w:sz w:val="24"/>
          <w:szCs w:val="24"/>
        </w:rPr>
        <w:t>установљава</w:t>
      </w:r>
      <w:r w:rsidR="00F528B4" w:rsidRPr="00BC37A6">
        <w:rPr>
          <w:rFonts w:ascii="Times New Roman" w:hAnsi="Times New Roman"/>
          <w:sz w:val="24"/>
          <w:szCs w:val="24"/>
        </w:rPr>
        <w:t xml:space="preserve"> </w:t>
      </w:r>
      <w:r w:rsidRPr="00BC37A6">
        <w:rPr>
          <w:rFonts w:ascii="Times New Roman" w:hAnsi="Times New Roman"/>
          <w:sz w:val="24"/>
          <w:szCs w:val="24"/>
        </w:rPr>
        <w:t>постојање</w:t>
      </w:r>
      <w:r w:rsidR="00F528B4" w:rsidRPr="00BC37A6">
        <w:rPr>
          <w:rFonts w:ascii="Times New Roman" w:hAnsi="Times New Roman"/>
          <w:sz w:val="24"/>
          <w:szCs w:val="24"/>
        </w:rPr>
        <w:t xml:space="preserve"> </w:t>
      </w:r>
      <w:r w:rsidRPr="00BC37A6">
        <w:rPr>
          <w:rFonts w:ascii="Times New Roman" w:hAnsi="Times New Roman"/>
          <w:sz w:val="24"/>
          <w:szCs w:val="24"/>
        </w:rPr>
        <w:t>појединачне</w:t>
      </w:r>
      <w:r w:rsidR="00F528B4" w:rsidRPr="00BC37A6">
        <w:rPr>
          <w:rFonts w:ascii="Times New Roman" w:hAnsi="Times New Roman"/>
          <w:sz w:val="24"/>
          <w:szCs w:val="24"/>
        </w:rPr>
        <w:t xml:space="preserve"> </w:t>
      </w:r>
      <w:r w:rsidRPr="00BC37A6">
        <w:rPr>
          <w:rFonts w:ascii="Times New Roman" w:hAnsi="Times New Roman"/>
          <w:sz w:val="24"/>
          <w:szCs w:val="24"/>
        </w:rPr>
        <w:t>пореске</w:t>
      </w:r>
      <w:r w:rsidR="00F528B4" w:rsidRPr="00BC37A6">
        <w:rPr>
          <w:rFonts w:ascii="Times New Roman" w:hAnsi="Times New Roman"/>
          <w:sz w:val="24"/>
          <w:szCs w:val="24"/>
        </w:rPr>
        <w:t xml:space="preserve"> </w:t>
      </w:r>
      <w:r w:rsidRPr="00BC37A6">
        <w:rPr>
          <w:rFonts w:ascii="Times New Roman" w:hAnsi="Times New Roman"/>
          <w:sz w:val="24"/>
          <w:szCs w:val="24"/>
        </w:rPr>
        <w:t>обавезе</w:t>
      </w:r>
      <w:r w:rsidR="00F528B4" w:rsidRPr="00BC37A6">
        <w:rPr>
          <w:rFonts w:ascii="Times New Roman" w:hAnsi="Times New Roman"/>
          <w:sz w:val="24"/>
          <w:szCs w:val="24"/>
        </w:rPr>
        <w:t xml:space="preserve"> </w:t>
      </w:r>
      <w:r w:rsidRPr="00BC37A6">
        <w:rPr>
          <w:rFonts w:ascii="Times New Roman" w:hAnsi="Times New Roman"/>
          <w:sz w:val="24"/>
          <w:szCs w:val="24"/>
        </w:rPr>
        <w:t>и</w:t>
      </w:r>
      <w:r w:rsidR="00F528B4" w:rsidRPr="00BC37A6">
        <w:rPr>
          <w:rFonts w:ascii="Times New Roman" w:hAnsi="Times New Roman"/>
          <w:sz w:val="24"/>
          <w:szCs w:val="24"/>
        </w:rPr>
        <w:t xml:space="preserve"> </w:t>
      </w:r>
      <w:r w:rsidRPr="00BC37A6">
        <w:rPr>
          <w:rFonts w:ascii="Times New Roman" w:hAnsi="Times New Roman"/>
          <w:sz w:val="24"/>
          <w:szCs w:val="24"/>
        </w:rPr>
        <w:t>одређују</w:t>
      </w:r>
      <w:r w:rsidR="00F528B4" w:rsidRPr="00BC37A6">
        <w:rPr>
          <w:rFonts w:ascii="Times New Roman" w:hAnsi="Times New Roman"/>
          <w:sz w:val="24"/>
          <w:szCs w:val="24"/>
        </w:rPr>
        <w:t xml:space="preserve"> </w:t>
      </w:r>
      <w:r w:rsidRPr="00BC37A6">
        <w:rPr>
          <w:rFonts w:ascii="Times New Roman" w:hAnsi="Times New Roman"/>
          <w:sz w:val="24"/>
          <w:szCs w:val="24"/>
        </w:rPr>
        <w:t>порески</w:t>
      </w:r>
      <w:r w:rsidR="00F528B4" w:rsidRPr="00BC37A6">
        <w:rPr>
          <w:rFonts w:ascii="Times New Roman" w:hAnsi="Times New Roman"/>
          <w:sz w:val="24"/>
          <w:szCs w:val="24"/>
        </w:rPr>
        <w:t xml:space="preserve"> </w:t>
      </w:r>
      <w:r w:rsidRPr="00BC37A6">
        <w:rPr>
          <w:rFonts w:ascii="Times New Roman" w:hAnsi="Times New Roman"/>
          <w:sz w:val="24"/>
          <w:szCs w:val="24"/>
        </w:rPr>
        <w:t>обвезник</w:t>
      </w:r>
      <w:r w:rsidR="00F528B4" w:rsidRPr="00BC37A6">
        <w:rPr>
          <w:rFonts w:ascii="Times New Roman" w:hAnsi="Times New Roman"/>
          <w:sz w:val="24"/>
          <w:szCs w:val="24"/>
        </w:rPr>
        <w:t xml:space="preserve">, </w:t>
      </w:r>
      <w:r w:rsidRPr="00BC37A6">
        <w:rPr>
          <w:rFonts w:ascii="Times New Roman" w:hAnsi="Times New Roman"/>
          <w:sz w:val="24"/>
          <w:szCs w:val="24"/>
        </w:rPr>
        <w:t>пореска</w:t>
      </w:r>
      <w:r w:rsidR="00F528B4" w:rsidRPr="00BC37A6">
        <w:rPr>
          <w:rFonts w:ascii="Times New Roman" w:hAnsi="Times New Roman"/>
          <w:sz w:val="24"/>
          <w:szCs w:val="24"/>
        </w:rPr>
        <w:t xml:space="preserve"> </w:t>
      </w:r>
      <w:r w:rsidRPr="00BC37A6">
        <w:rPr>
          <w:rFonts w:ascii="Times New Roman" w:hAnsi="Times New Roman"/>
          <w:sz w:val="24"/>
          <w:szCs w:val="24"/>
        </w:rPr>
        <w:t>основица</w:t>
      </w:r>
      <w:r w:rsidR="00F528B4" w:rsidRPr="00BC37A6">
        <w:rPr>
          <w:rFonts w:ascii="Times New Roman" w:hAnsi="Times New Roman"/>
          <w:sz w:val="24"/>
          <w:szCs w:val="24"/>
        </w:rPr>
        <w:t xml:space="preserve"> </w:t>
      </w:r>
      <w:r w:rsidRPr="00BC37A6">
        <w:rPr>
          <w:rFonts w:ascii="Times New Roman" w:hAnsi="Times New Roman"/>
          <w:sz w:val="24"/>
          <w:szCs w:val="24"/>
        </w:rPr>
        <w:t>и</w:t>
      </w:r>
      <w:r w:rsidR="00F528B4" w:rsidRPr="00BC37A6">
        <w:rPr>
          <w:rFonts w:ascii="Times New Roman" w:hAnsi="Times New Roman"/>
          <w:sz w:val="24"/>
          <w:szCs w:val="24"/>
        </w:rPr>
        <w:t xml:space="preserve"> </w:t>
      </w:r>
      <w:r w:rsidRPr="00BC37A6">
        <w:rPr>
          <w:rFonts w:ascii="Times New Roman" w:hAnsi="Times New Roman"/>
          <w:sz w:val="24"/>
          <w:szCs w:val="24"/>
        </w:rPr>
        <w:t>износ</w:t>
      </w:r>
      <w:r w:rsidR="00F528B4" w:rsidRPr="00BC37A6">
        <w:rPr>
          <w:rFonts w:ascii="Times New Roman" w:hAnsi="Times New Roman"/>
          <w:sz w:val="24"/>
          <w:szCs w:val="24"/>
        </w:rPr>
        <w:t xml:space="preserve"> </w:t>
      </w:r>
      <w:r w:rsidRPr="00BC37A6">
        <w:rPr>
          <w:rFonts w:ascii="Times New Roman" w:hAnsi="Times New Roman"/>
          <w:sz w:val="24"/>
          <w:szCs w:val="24"/>
        </w:rPr>
        <w:t>пореске</w:t>
      </w:r>
      <w:r w:rsidR="00F528B4" w:rsidRPr="00BC37A6">
        <w:rPr>
          <w:rFonts w:ascii="Times New Roman" w:hAnsi="Times New Roman"/>
          <w:sz w:val="24"/>
          <w:szCs w:val="24"/>
        </w:rPr>
        <w:t xml:space="preserve"> </w:t>
      </w:r>
      <w:r w:rsidRPr="00BC37A6">
        <w:rPr>
          <w:rFonts w:ascii="Times New Roman" w:hAnsi="Times New Roman"/>
          <w:sz w:val="24"/>
          <w:szCs w:val="24"/>
        </w:rPr>
        <w:t>обавезе</w:t>
      </w:r>
      <w:r w:rsidR="00F528B4" w:rsidRPr="00BC37A6">
        <w:rPr>
          <w:rFonts w:ascii="Times New Roman" w:hAnsi="Times New Roman"/>
          <w:sz w:val="24"/>
          <w:szCs w:val="24"/>
        </w:rPr>
        <w:t>.</w:t>
      </w:r>
    </w:p>
    <w:p w:rsidR="00F528B4" w:rsidRPr="00BC37A6" w:rsidRDefault="00301FFD" w:rsidP="00BC37A6">
      <w:pPr>
        <w:jc w:val="both"/>
        <w:rPr>
          <w:rFonts w:ascii="Times New Roman" w:hAnsi="Times New Roman"/>
          <w:sz w:val="24"/>
          <w:szCs w:val="24"/>
          <w:lang w:val="sr-Cyrl-CS"/>
        </w:rPr>
      </w:pPr>
      <w:r w:rsidRPr="00BC37A6">
        <w:rPr>
          <w:rFonts w:ascii="Times New Roman" w:hAnsi="Times New Roman"/>
          <w:sz w:val="24"/>
          <w:szCs w:val="24"/>
        </w:rPr>
        <w:t>Утврђивање</w:t>
      </w:r>
      <w:r w:rsidR="00F528B4" w:rsidRPr="00BC37A6">
        <w:rPr>
          <w:rFonts w:ascii="Times New Roman" w:hAnsi="Times New Roman"/>
          <w:sz w:val="24"/>
          <w:szCs w:val="24"/>
        </w:rPr>
        <w:t xml:space="preserve"> </w:t>
      </w:r>
      <w:r w:rsidRPr="00BC37A6">
        <w:rPr>
          <w:rFonts w:ascii="Times New Roman" w:hAnsi="Times New Roman"/>
          <w:sz w:val="24"/>
          <w:szCs w:val="24"/>
        </w:rPr>
        <w:t>пореза</w:t>
      </w:r>
      <w:r w:rsidR="00F528B4" w:rsidRPr="00BC37A6">
        <w:rPr>
          <w:rFonts w:ascii="Times New Roman" w:hAnsi="Times New Roman"/>
          <w:sz w:val="24"/>
          <w:szCs w:val="24"/>
        </w:rPr>
        <w:t xml:space="preserve"> </w:t>
      </w:r>
      <w:r w:rsidRPr="00BC37A6">
        <w:rPr>
          <w:rFonts w:ascii="Times New Roman" w:hAnsi="Times New Roman"/>
          <w:sz w:val="24"/>
          <w:szCs w:val="24"/>
        </w:rPr>
        <w:t>обавља</w:t>
      </w:r>
      <w:r w:rsidR="00F528B4" w:rsidRPr="00BC37A6">
        <w:rPr>
          <w:rFonts w:ascii="Times New Roman" w:hAnsi="Times New Roman"/>
          <w:sz w:val="24"/>
          <w:szCs w:val="24"/>
        </w:rPr>
        <w:t>:</w:t>
      </w:r>
    </w:p>
    <w:p w:rsidR="00F528B4" w:rsidRPr="00BC37A6" w:rsidRDefault="00F528B4" w:rsidP="00BC37A6">
      <w:pPr>
        <w:jc w:val="both"/>
        <w:rPr>
          <w:rFonts w:ascii="Times New Roman" w:hAnsi="Times New Roman"/>
          <w:sz w:val="24"/>
          <w:szCs w:val="24"/>
        </w:rPr>
      </w:pPr>
      <w:r w:rsidRPr="00BC37A6">
        <w:rPr>
          <w:rFonts w:ascii="Times New Roman" w:hAnsi="Times New Roman"/>
          <w:sz w:val="24"/>
          <w:szCs w:val="24"/>
        </w:rPr>
        <w:t xml:space="preserve">1) </w:t>
      </w:r>
      <w:r w:rsidR="00301FFD" w:rsidRPr="00BC37A6">
        <w:rPr>
          <w:rFonts w:ascii="Times New Roman" w:hAnsi="Times New Roman"/>
          <w:sz w:val="24"/>
          <w:szCs w:val="24"/>
        </w:rPr>
        <w:t>сам</w:t>
      </w:r>
      <w:r w:rsidRPr="00BC37A6">
        <w:rPr>
          <w:rFonts w:ascii="Times New Roman" w:hAnsi="Times New Roman"/>
          <w:sz w:val="24"/>
          <w:szCs w:val="24"/>
        </w:rPr>
        <w:t xml:space="preserve"> </w:t>
      </w:r>
      <w:r w:rsidR="00301FFD" w:rsidRPr="00BC37A6">
        <w:rPr>
          <w:rFonts w:ascii="Times New Roman" w:hAnsi="Times New Roman"/>
          <w:sz w:val="24"/>
          <w:szCs w:val="24"/>
        </w:rPr>
        <w:t>порески</w:t>
      </w:r>
      <w:r w:rsidRPr="00BC37A6">
        <w:rPr>
          <w:rFonts w:ascii="Times New Roman" w:hAnsi="Times New Roman"/>
          <w:sz w:val="24"/>
          <w:szCs w:val="24"/>
        </w:rPr>
        <w:t xml:space="preserve"> </w:t>
      </w:r>
      <w:r w:rsidR="00301FFD" w:rsidRPr="00BC37A6">
        <w:rPr>
          <w:rFonts w:ascii="Times New Roman" w:hAnsi="Times New Roman"/>
          <w:sz w:val="24"/>
          <w:szCs w:val="24"/>
        </w:rPr>
        <w:t>обвезник</w:t>
      </w:r>
      <w:r w:rsidRPr="00BC37A6">
        <w:rPr>
          <w:rFonts w:ascii="Times New Roman" w:hAnsi="Times New Roman"/>
          <w:sz w:val="24"/>
          <w:szCs w:val="24"/>
        </w:rPr>
        <w:t xml:space="preserve"> (</w:t>
      </w:r>
      <w:r w:rsidR="00301FFD" w:rsidRPr="00BC37A6">
        <w:rPr>
          <w:rFonts w:ascii="Times New Roman" w:hAnsi="Times New Roman"/>
          <w:sz w:val="24"/>
          <w:szCs w:val="24"/>
        </w:rPr>
        <w:t>самоопорезивање</w:t>
      </w:r>
      <w:r w:rsidRPr="00BC37A6">
        <w:rPr>
          <w:rFonts w:ascii="Times New Roman" w:hAnsi="Times New Roman"/>
          <w:sz w:val="24"/>
          <w:szCs w:val="24"/>
        </w:rPr>
        <w:t>);</w:t>
      </w:r>
    </w:p>
    <w:p w:rsidR="00A028C6" w:rsidRPr="00BC37A6" w:rsidRDefault="00F528B4" w:rsidP="00BC37A6">
      <w:pPr>
        <w:jc w:val="both"/>
        <w:rPr>
          <w:rFonts w:ascii="Times New Roman" w:hAnsi="Times New Roman"/>
          <w:sz w:val="24"/>
          <w:szCs w:val="24"/>
          <w:lang w:val="sr-Cyrl-CS"/>
        </w:rPr>
      </w:pPr>
      <w:r w:rsidRPr="00BC37A6">
        <w:rPr>
          <w:rFonts w:ascii="Times New Roman" w:hAnsi="Times New Roman"/>
          <w:sz w:val="24"/>
          <w:szCs w:val="24"/>
        </w:rPr>
        <w:t xml:space="preserve">2) </w:t>
      </w:r>
      <w:r w:rsidR="00301FFD" w:rsidRPr="00BC37A6">
        <w:rPr>
          <w:rFonts w:ascii="Times New Roman" w:hAnsi="Times New Roman"/>
          <w:sz w:val="24"/>
          <w:szCs w:val="24"/>
        </w:rPr>
        <w:t>Пореска</w:t>
      </w:r>
      <w:r w:rsidRPr="00BC37A6">
        <w:rPr>
          <w:rFonts w:ascii="Times New Roman" w:hAnsi="Times New Roman"/>
          <w:sz w:val="24"/>
          <w:szCs w:val="24"/>
        </w:rPr>
        <w:t xml:space="preserve"> </w:t>
      </w:r>
      <w:r w:rsidR="00301FFD" w:rsidRPr="00BC37A6">
        <w:rPr>
          <w:rFonts w:ascii="Times New Roman" w:hAnsi="Times New Roman"/>
          <w:sz w:val="24"/>
          <w:szCs w:val="24"/>
        </w:rPr>
        <w:t>управа</w:t>
      </w:r>
      <w:r w:rsidRPr="00BC37A6">
        <w:rPr>
          <w:rFonts w:ascii="Times New Roman" w:hAnsi="Times New Roman"/>
          <w:sz w:val="24"/>
          <w:szCs w:val="24"/>
        </w:rPr>
        <w:t xml:space="preserve">, </w:t>
      </w:r>
      <w:r w:rsidR="00301FFD" w:rsidRPr="00BC37A6">
        <w:rPr>
          <w:rFonts w:ascii="Times New Roman" w:hAnsi="Times New Roman"/>
          <w:sz w:val="24"/>
          <w:szCs w:val="24"/>
        </w:rPr>
        <w:t>доношењем</w:t>
      </w:r>
      <w:r w:rsidRPr="00BC37A6">
        <w:rPr>
          <w:rFonts w:ascii="Times New Roman" w:hAnsi="Times New Roman"/>
          <w:sz w:val="24"/>
          <w:szCs w:val="24"/>
        </w:rPr>
        <w:t xml:space="preserve"> </w:t>
      </w:r>
      <w:r w:rsidR="00301FFD" w:rsidRPr="00BC37A6">
        <w:rPr>
          <w:rFonts w:ascii="Times New Roman" w:hAnsi="Times New Roman"/>
          <w:sz w:val="24"/>
          <w:szCs w:val="24"/>
        </w:rPr>
        <w:t>пореског</w:t>
      </w:r>
      <w:r w:rsidRPr="00BC37A6">
        <w:rPr>
          <w:rFonts w:ascii="Times New Roman" w:hAnsi="Times New Roman"/>
          <w:sz w:val="24"/>
          <w:szCs w:val="24"/>
        </w:rPr>
        <w:t xml:space="preserve"> </w:t>
      </w:r>
      <w:r w:rsidR="00301FFD" w:rsidRPr="00BC37A6">
        <w:rPr>
          <w:rFonts w:ascii="Times New Roman" w:hAnsi="Times New Roman"/>
          <w:sz w:val="24"/>
          <w:szCs w:val="24"/>
        </w:rPr>
        <w:t>решења</w:t>
      </w:r>
      <w:r w:rsidRPr="00BC37A6">
        <w:rPr>
          <w:rFonts w:ascii="Times New Roman" w:hAnsi="Times New Roman"/>
          <w:sz w:val="24"/>
          <w:szCs w:val="24"/>
        </w:rPr>
        <w:t xml:space="preserve">, </w:t>
      </w:r>
      <w:r w:rsidR="00301FFD" w:rsidRPr="00BC37A6">
        <w:rPr>
          <w:rFonts w:ascii="Times New Roman" w:hAnsi="Times New Roman"/>
          <w:sz w:val="24"/>
          <w:szCs w:val="24"/>
        </w:rPr>
        <w:t>и</w:t>
      </w:r>
      <w:r w:rsidRPr="00BC37A6">
        <w:rPr>
          <w:rFonts w:ascii="Times New Roman" w:hAnsi="Times New Roman"/>
          <w:sz w:val="24"/>
          <w:szCs w:val="24"/>
        </w:rPr>
        <w:t xml:space="preserve"> </w:t>
      </w:r>
      <w:r w:rsidR="00301FFD" w:rsidRPr="00BC37A6">
        <w:rPr>
          <w:rFonts w:ascii="Times New Roman" w:hAnsi="Times New Roman"/>
          <w:sz w:val="24"/>
          <w:szCs w:val="24"/>
        </w:rPr>
        <w:t>то</w:t>
      </w:r>
      <w:r w:rsidRPr="00BC37A6">
        <w:rPr>
          <w:rFonts w:ascii="Times New Roman" w:hAnsi="Times New Roman"/>
          <w:sz w:val="24"/>
          <w:szCs w:val="24"/>
        </w:rPr>
        <w:t>:</w:t>
      </w:r>
    </w:p>
    <w:p w:rsidR="00F528B4" w:rsidRPr="00BC37A6" w:rsidRDefault="00F528B4" w:rsidP="00BC37A6">
      <w:pPr>
        <w:jc w:val="both"/>
        <w:rPr>
          <w:rFonts w:ascii="Times New Roman" w:hAnsi="Times New Roman"/>
          <w:sz w:val="24"/>
          <w:szCs w:val="24"/>
        </w:rPr>
      </w:pPr>
      <w:r w:rsidRPr="00BC37A6">
        <w:rPr>
          <w:rFonts w:ascii="Times New Roman" w:hAnsi="Times New Roman"/>
          <w:sz w:val="24"/>
          <w:szCs w:val="24"/>
        </w:rPr>
        <w:t xml:space="preserve">(1) </w:t>
      </w:r>
      <w:r w:rsidR="00301FFD" w:rsidRPr="00BC37A6">
        <w:rPr>
          <w:rFonts w:ascii="Times New Roman" w:hAnsi="Times New Roman"/>
          <w:sz w:val="24"/>
          <w:szCs w:val="24"/>
        </w:rPr>
        <w:t>у</w:t>
      </w:r>
      <w:r w:rsidRPr="00BC37A6">
        <w:rPr>
          <w:rFonts w:ascii="Times New Roman" w:hAnsi="Times New Roman"/>
          <w:sz w:val="24"/>
          <w:szCs w:val="24"/>
        </w:rPr>
        <w:t xml:space="preserve"> </w:t>
      </w:r>
      <w:r w:rsidR="00301FFD" w:rsidRPr="00BC37A6">
        <w:rPr>
          <w:rFonts w:ascii="Times New Roman" w:hAnsi="Times New Roman"/>
          <w:sz w:val="24"/>
          <w:szCs w:val="24"/>
        </w:rPr>
        <w:t>поступку</w:t>
      </w:r>
      <w:r w:rsidRPr="00BC37A6">
        <w:rPr>
          <w:rFonts w:ascii="Times New Roman" w:hAnsi="Times New Roman"/>
          <w:sz w:val="24"/>
          <w:szCs w:val="24"/>
        </w:rPr>
        <w:t xml:space="preserve"> </w:t>
      </w:r>
      <w:r w:rsidR="00301FFD" w:rsidRPr="00BC37A6">
        <w:rPr>
          <w:rFonts w:ascii="Times New Roman" w:hAnsi="Times New Roman"/>
          <w:sz w:val="24"/>
          <w:szCs w:val="24"/>
        </w:rPr>
        <w:t>пореске</w:t>
      </w:r>
      <w:r w:rsidRPr="00BC37A6">
        <w:rPr>
          <w:rFonts w:ascii="Times New Roman" w:hAnsi="Times New Roman"/>
          <w:sz w:val="24"/>
          <w:szCs w:val="24"/>
        </w:rPr>
        <w:t xml:space="preserve"> </w:t>
      </w:r>
      <w:r w:rsidR="00301FFD" w:rsidRPr="00BC37A6">
        <w:rPr>
          <w:rFonts w:ascii="Times New Roman" w:hAnsi="Times New Roman"/>
          <w:sz w:val="24"/>
          <w:szCs w:val="24"/>
        </w:rPr>
        <w:t>контроле</w:t>
      </w:r>
      <w:r w:rsidRPr="00BC37A6">
        <w:rPr>
          <w:rFonts w:ascii="Times New Roman" w:hAnsi="Times New Roman"/>
          <w:sz w:val="24"/>
          <w:szCs w:val="24"/>
        </w:rPr>
        <w:t xml:space="preserve"> - </w:t>
      </w:r>
      <w:r w:rsidR="00301FFD" w:rsidRPr="00BC37A6">
        <w:rPr>
          <w:rFonts w:ascii="Times New Roman" w:hAnsi="Times New Roman"/>
          <w:sz w:val="24"/>
          <w:szCs w:val="24"/>
        </w:rPr>
        <w:t>ако</w:t>
      </w:r>
      <w:r w:rsidRPr="00BC37A6">
        <w:rPr>
          <w:rFonts w:ascii="Times New Roman" w:hAnsi="Times New Roman"/>
          <w:sz w:val="24"/>
          <w:szCs w:val="24"/>
        </w:rPr>
        <w:t xml:space="preserve"> </w:t>
      </w:r>
      <w:r w:rsidR="00301FFD" w:rsidRPr="00BC37A6">
        <w:rPr>
          <w:rFonts w:ascii="Times New Roman" w:hAnsi="Times New Roman"/>
          <w:sz w:val="24"/>
          <w:szCs w:val="24"/>
        </w:rPr>
        <w:t>порески</w:t>
      </w:r>
      <w:r w:rsidRPr="00BC37A6">
        <w:rPr>
          <w:rFonts w:ascii="Times New Roman" w:hAnsi="Times New Roman"/>
          <w:sz w:val="24"/>
          <w:szCs w:val="24"/>
        </w:rPr>
        <w:t xml:space="preserve"> </w:t>
      </w:r>
      <w:r w:rsidR="00301FFD" w:rsidRPr="00BC37A6">
        <w:rPr>
          <w:rFonts w:ascii="Times New Roman" w:hAnsi="Times New Roman"/>
          <w:sz w:val="24"/>
          <w:szCs w:val="24"/>
        </w:rPr>
        <w:t>обвезник</w:t>
      </w:r>
      <w:r w:rsidRPr="00BC37A6">
        <w:rPr>
          <w:rFonts w:ascii="Times New Roman" w:hAnsi="Times New Roman"/>
          <w:sz w:val="24"/>
          <w:szCs w:val="24"/>
        </w:rPr>
        <w:t xml:space="preserve">, </w:t>
      </w:r>
      <w:r w:rsidR="00301FFD" w:rsidRPr="00BC37A6">
        <w:rPr>
          <w:rFonts w:ascii="Times New Roman" w:hAnsi="Times New Roman"/>
          <w:sz w:val="24"/>
          <w:szCs w:val="24"/>
        </w:rPr>
        <w:t>супротно</w:t>
      </w:r>
      <w:r w:rsidRPr="00BC37A6">
        <w:rPr>
          <w:rFonts w:ascii="Times New Roman" w:hAnsi="Times New Roman"/>
          <w:sz w:val="24"/>
          <w:szCs w:val="24"/>
        </w:rPr>
        <w:t xml:space="preserve"> </w:t>
      </w:r>
      <w:r w:rsidR="00301FFD" w:rsidRPr="00BC37A6">
        <w:rPr>
          <w:rFonts w:ascii="Times New Roman" w:hAnsi="Times New Roman"/>
          <w:sz w:val="24"/>
          <w:szCs w:val="24"/>
        </w:rPr>
        <w:t>закону</w:t>
      </w:r>
      <w:r w:rsidRPr="00BC37A6">
        <w:rPr>
          <w:rFonts w:ascii="Times New Roman" w:hAnsi="Times New Roman"/>
          <w:sz w:val="24"/>
          <w:szCs w:val="24"/>
        </w:rPr>
        <w:t xml:space="preserve">, </w:t>
      </w:r>
      <w:r w:rsidR="00301FFD" w:rsidRPr="00BC37A6">
        <w:rPr>
          <w:rFonts w:ascii="Times New Roman" w:hAnsi="Times New Roman"/>
          <w:sz w:val="24"/>
          <w:szCs w:val="24"/>
        </w:rPr>
        <w:t>не</w:t>
      </w:r>
      <w:r w:rsidRPr="00BC37A6">
        <w:rPr>
          <w:rFonts w:ascii="Times New Roman" w:hAnsi="Times New Roman"/>
          <w:sz w:val="24"/>
          <w:szCs w:val="24"/>
        </w:rPr>
        <w:t xml:space="preserve"> </w:t>
      </w:r>
      <w:r w:rsidR="00301FFD" w:rsidRPr="00BC37A6">
        <w:rPr>
          <w:rFonts w:ascii="Times New Roman" w:hAnsi="Times New Roman"/>
          <w:sz w:val="24"/>
          <w:szCs w:val="24"/>
        </w:rPr>
        <w:t>обави</w:t>
      </w:r>
      <w:r w:rsidRPr="00BC37A6">
        <w:rPr>
          <w:rFonts w:ascii="Times New Roman" w:hAnsi="Times New Roman"/>
          <w:sz w:val="24"/>
          <w:szCs w:val="24"/>
        </w:rPr>
        <w:t xml:space="preserve"> </w:t>
      </w:r>
      <w:r w:rsidR="00301FFD" w:rsidRPr="00BC37A6">
        <w:rPr>
          <w:rFonts w:ascii="Times New Roman" w:hAnsi="Times New Roman"/>
          <w:sz w:val="24"/>
          <w:szCs w:val="24"/>
        </w:rPr>
        <w:t>утврђивање</w:t>
      </w:r>
      <w:r w:rsidRPr="00BC37A6">
        <w:rPr>
          <w:rFonts w:ascii="Times New Roman" w:hAnsi="Times New Roman"/>
          <w:sz w:val="24"/>
          <w:szCs w:val="24"/>
        </w:rPr>
        <w:t xml:space="preserve"> </w:t>
      </w:r>
      <w:r w:rsidR="00301FFD" w:rsidRPr="00BC37A6">
        <w:rPr>
          <w:rFonts w:ascii="Times New Roman" w:hAnsi="Times New Roman"/>
          <w:sz w:val="24"/>
          <w:szCs w:val="24"/>
        </w:rPr>
        <w:t>пореске</w:t>
      </w:r>
      <w:r w:rsidRPr="00BC37A6">
        <w:rPr>
          <w:rFonts w:ascii="Times New Roman" w:hAnsi="Times New Roman"/>
          <w:sz w:val="24"/>
          <w:szCs w:val="24"/>
        </w:rPr>
        <w:t xml:space="preserve"> </w:t>
      </w:r>
      <w:r w:rsidR="00301FFD" w:rsidRPr="00BC37A6">
        <w:rPr>
          <w:rFonts w:ascii="Times New Roman" w:hAnsi="Times New Roman"/>
          <w:sz w:val="24"/>
          <w:szCs w:val="24"/>
        </w:rPr>
        <w:t>обавезе</w:t>
      </w:r>
      <w:r w:rsidRPr="00BC37A6">
        <w:rPr>
          <w:rFonts w:ascii="Times New Roman" w:hAnsi="Times New Roman"/>
          <w:sz w:val="24"/>
          <w:szCs w:val="24"/>
        </w:rPr>
        <w:t xml:space="preserve"> </w:t>
      </w:r>
      <w:r w:rsidR="00301FFD" w:rsidRPr="00BC37A6">
        <w:rPr>
          <w:rFonts w:ascii="Times New Roman" w:hAnsi="Times New Roman"/>
          <w:sz w:val="24"/>
          <w:szCs w:val="24"/>
        </w:rPr>
        <w:t>или</w:t>
      </w:r>
      <w:r w:rsidRPr="00BC37A6">
        <w:rPr>
          <w:rFonts w:ascii="Times New Roman" w:hAnsi="Times New Roman"/>
          <w:sz w:val="24"/>
          <w:szCs w:val="24"/>
        </w:rPr>
        <w:t xml:space="preserve"> </w:t>
      </w:r>
      <w:r w:rsidR="00301FFD" w:rsidRPr="00BC37A6">
        <w:rPr>
          <w:rFonts w:ascii="Times New Roman" w:hAnsi="Times New Roman"/>
          <w:sz w:val="24"/>
          <w:szCs w:val="24"/>
        </w:rPr>
        <w:t>га</w:t>
      </w:r>
      <w:r w:rsidRPr="00BC37A6">
        <w:rPr>
          <w:rFonts w:ascii="Times New Roman" w:hAnsi="Times New Roman"/>
          <w:sz w:val="24"/>
          <w:szCs w:val="24"/>
        </w:rPr>
        <w:t xml:space="preserve"> </w:t>
      </w:r>
      <w:r w:rsidR="00301FFD" w:rsidRPr="00BC37A6">
        <w:rPr>
          <w:rFonts w:ascii="Times New Roman" w:hAnsi="Times New Roman"/>
          <w:sz w:val="24"/>
          <w:szCs w:val="24"/>
        </w:rPr>
        <w:t>изврши</w:t>
      </w:r>
      <w:r w:rsidRPr="00BC37A6">
        <w:rPr>
          <w:rFonts w:ascii="Times New Roman" w:hAnsi="Times New Roman"/>
          <w:sz w:val="24"/>
          <w:szCs w:val="24"/>
        </w:rPr>
        <w:t xml:space="preserve"> </w:t>
      </w:r>
      <w:r w:rsidR="00301FFD" w:rsidRPr="00BC37A6">
        <w:rPr>
          <w:rFonts w:ascii="Times New Roman" w:hAnsi="Times New Roman"/>
          <w:sz w:val="24"/>
          <w:szCs w:val="24"/>
        </w:rPr>
        <w:t>нетачно</w:t>
      </w:r>
      <w:r w:rsidRPr="00BC37A6">
        <w:rPr>
          <w:rFonts w:ascii="Times New Roman" w:hAnsi="Times New Roman"/>
          <w:sz w:val="24"/>
          <w:szCs w:val="24"/>
        </w:rPr>
        <w:t xml:space="preserve"> </w:t>
      </w:r>
      <w:r w:rsidR="00301FFD" w:rsidRPr="00BC37A6">
        <w:rPr>
          <w:rFonts w:ascii="Times New Roman" w:hAnsi="Times New Roman"/>
          <w:sz w:val="24"/>
          <w:szCs w:val="24"/>
        </w:rPr>
        <w:t>или</w:t>
      </w:r>
      <w:r w:rsidRPr="00BC37A6">
        <w:rPr>
          <w:rFonts w:ascii="Times New Roman" w:hAnsi="Times New Roman"/>
          <w:sz w:val="24"/>
          <w:szCs w:val="24"/>
        </w:rPr>
        <w:t xml:space="preserve"> </w:t>
      </w:r>
      <w:r w:rsidR="00301FFD" w:rsidRPr="00BC37A6">
        <w:rPr>
          <w:rFonts w:ascii="Times New Roman" w:hAnsi="Times New Roman"/>
          <w:sz w:val="24"/>
          <w:szCs w:val="24"/>
        </w:rPr>
        <w:t>непотпуно</w:t>
      </w:r>
      <w:r w:rsidRPr="00BC37A6">
        <w:rPr>
          <w:rFonts w:ascii="Times New Roman" w:hAnsi="Times New Roman"/>
          <w:sz w:val="24"/>
          <w:szCs w:val="24"/>
        </w:rPr>
        <w:t>;</w:t>
      </w:r>
    </w:p>
    <w:p w:rsidR="00270C28" w:rsidRPr="00BC37A6" w:rsidRDefault="00F528B4" w:rsidP="00BC37A6">
      <w:pPr>
        <w:jc w:val="both"/>
        <w:rPr>
          <w:rFonts w:ascii="Times New Roman" w:hAnsi="Times New Roman"/>
          <w:sz w:val="24"/>
          <w:szCs w:val="24"/>
          <w:lang w:val="sr-Cyrl-CS"/>
        </w:rPr>
      </w:pPr>
      <w:r w:rsidRPr="00BC37A6">
        <w:rPr>
          <w:rFonts w:ascii="Times New Roman" w:hAnsi="Times New Roman"/>
          <w:sz w:val="24"/>
          <w:szCs w:val="24"/>
        </w:rPr>
        <w:lastRenderedPageBreak/>
        <w:t xml:space="preserve">(2) </w:t>
      </w:r>
      <w:r w:rsidR="00301FFD" w:rsidRPr="00BC37A6">
        <w:rPr>
          <w:rFonts w:ascii="Times New Roman" w:hAnsi="Times New Roman"/>
          <w:sz w:val="24"/>
          <w:szCs w:val="24"/>
        </w:rPr>
        <w:t>у</w:t>
      </w:r>
      <w:r w:rsidRPr="00BC37A6">
        <w:rPr>
          <w:rFonts w:ascii="Times New Roman" w:hAnsi="Times New Roman"/>
          <w:sz w:val="24"/>
          <w:szCs w:val="24"/>
        </w:rPr>
        <w:t xml:space="preserve"> </w:t>
      </w:r>
      <w:r w:rsidR="00301FFD" w:rsidRPr="00BC37A6">
        <w:rPr>
          <w:rFonts w:ascii="Times New Roman" w:hAnsi="Times New Roman"/>
          <w:sz w:val="24"/>
          <w:szCs w:val="24"/>
        </w:rPr>
        <w:t>случајевима</w:t>
      </w:r>
      <w:r w:rsidRPr="00BC37A6">
        <w:rPr>
          <w:rFonts w:ascii="Times New Roman" w:hAnsi="Times New Roman"/>
          <w:sz w:val="24"/>
          <w:szCs w:val="24"/>
        </w:rPr>
        <w:t xml:space="preserve"> </w:t>
      </w:r>
      <w:r w:rsidR="00301FFD" w:rsidRPr="00BC37A6">
        <w:rPr>
          <w:rFonts w:ascii="Times New Roman" w:hAnsi="Times New Roman"/>
          <w:sz w:val="24"/>
          <w:szCs w:val="24"/>
        </w:rPr>
        <w:t>када</w:t>
      </w:r>
      <w:r w:rsidRPr="00BC37A6">
        <w:rPr>
          <w:rFonts w:ascii="Times New Roman" w:hAnsi="Times New Roman"/>
          <w:sz w:val="24"/>
          <w:szCs w:val="24"/>
        </w:rPr>
        <w:t xml:space="preserve"> </w:t>
      </w:r>
      <w:r w:rsidR="00301FFD" w:rsidRPr="00BC37A6">
        <w:rPr>
          <w:rFonts w:ascii="Times New Roman" w:hAnsi="Times New Roman"/>
          <w:sz w:val="24"/>
          <w:szCs w:val="24"/>
        </w:rPr>
        <w:t>је</w:t>
      </w:r>
      <w:r w:rsidRPr="00BC37A6">
        <w:rPr>
          <w:rFonts w:ascii="Times New Roman" w:hAnsi="Times New Roman"/>
          <w:sz w:val="24"/>
          <w:szCs w:val="24"/>
        </w:rPr>
        <w:t xml:space="preserve"> </w:t>
      </w:r>
      <w:r w:rsidR="00301FFD" w:rsidRPr="00BC37A6">
        <w:rPr>
          <w:rFonts w:ascii="Times New Roman" w:hAnsi="Times New Roman"/>
          <w:sz w:val="24"/>
          <w:szCs w:val="24"/>
        </w:rPr>
        <w:t>законом</w:t>
      </w:r>
      <w:r w:rsidRPr="00BC37A6">
        <w:rPr>
          <w:rFonts w:ascii="Times New Roman" w:hAnsi="Times New Roman"/>
          <w:sz w:val="24"/>
          <w:szCs w:val="24"/>
        </w:rPr>
        <w:t xml:space="preserve"> </w:t>
      </w:r>
      <w:r w:rsidR="00301FFD" w:rsidRPr="00BC37A6">
        <w:rPr>
          <w:rFonts w:ascii="Times New Roman" w:hAnsi="Times New Roman"/>
          <w:sz w:val="24"/>
          <w:szCs w:val="24"/>
        </w:rPr>
        <w:t>прописано</w:t>
      </w:r>
      <w:r w:rsidRPr="00BC37A6">
        <w:rPr>
          <w:rFonts w:ascii="Times New Roman" w:hAnsi="Times New Roman"/>
          <w:sz w:val="24"/>
          <w:szCs w:val="24"/>
        </w:rPr>
        <w:t xml:space="preserve"> </w:t>
      </w:r>
      <w:r w:rsidR="00301FFD" w:rsidRPr="00BC37A6">
        <w:rPr>
          <w:rFonts w:ascii="Times New Roman" w:hAnsi="Times New Roman"/>
          <w:sz w:val="24"/>
          <w:szCs w:val="24"/>
        </w:rPr>
        <w:t>да</w:t>
      </w:r>
      <w:r w:rsidRPr="00BC37A6">
        <w:rPr>
          <w:rFonts w:ascii="Times New Roman" w:hAnsi="Times New Roman"/>
          <w:sz w:val="24"/>
          <w:szCs w:val="24"/>
        </w:rPr>
        <w:t xml:space="preserve"> </w:t>
      </w:r>
      <w:r w:rsidR="00301FFD" w:rsidRPr="00BC37A6">
        <w:rPr>
          <w:rFonts w:ascii="Times New Roman" w:hAnsi="Times New Roman"/>
          <w:sz w:val="24"/>
          <w:szCs w:val="24"/>
        </w:rPr>
        <w:t>се</w:t>
      </w:r>
      <w:r w:rsidRPr="00BC37A6">
        <w:rPr>
          <w:rFonts w:ascii="Times New Roman" w:hAnsi="Times New Roman"/>
          <w:sz w:val="24"/>
          <w:szCs w:val="24"/>
        </w:rPr>
        <w:t xml:space="preserve"> </w:t>
      </w:r>
      <w:r w:rsidR="00301FFD" w:rsidRPr="00BC37A6">
        <w:rPr>
          <w:rFonts w:ascii="Times New Roman" w:hAnsi="Times New Roman"/>
          <w:sz w:val="24"/>
          <w:szCs w:val="24"/>
        </w:rPr>
        <w:t>не</w:t>
      </w:r>
      <w:r w:rsidRPr="00BC37A6">
        <w:rPr>
          <w:rFonts w:ascii="Times New Roman" w:hAnsi="Times New Roman"/>
          <w:sz w:val="24"/>
          <w:szCs w:val="24"/>
        </w:rPr>
        <w:t xml:space="preserve"> </w:t>
      </w:r>
      <w:r w:rsidR="00301FFD" w:rsidRPr="00BC37A6">
        <w:rPr>
          <w:rFonts w:ascii="Times New Roman" w:hAnsi="Times New Roman"/>
          <w:sz w:val="24"/>
          <w:szCs w:val="24"/>
        </w:rPr>
        <w:t>спроводи</w:t>
      </w:r>
      <w:r w:rsidRPr="00BC37A6">
        <w:rPr>
          <w:rFonts w:ascii="Times New Roman" w:hAnsi="Times New Roman"/>
          <w:sz w:val="24"/>
          <w:szCs w:val="24"/>
        </w:rPr>
        <w:t xml:space="preserve"> </w:t>
      </w:r>
      <w:r w:rsidR="00301FFD" w:rsidRPr="00BC37A6">
        <w:rPr>
          <w:rFonts w:ascii="Times New Roman" w:hAnsi="Times New Roman"/>
          <w:sz w:val="24"/>
          <w:szCs w:val="24"/>
        </w:rPr>
        <w:t>самоопорезивање</w:t>
      </w:r>
      <w:r w:rsidRPr="00BC37A6">
        <w:rPr>
          <w:rFonts w:ascii="Times New Roman" w:hAnsi="Times New Roman"/>
          <w:sz w:val="24"/>
          <w:szCs w:val="24"/>
        </w:rPr>
        <w:t xml:space="preserve"> </w:t>
      </w:r>
      <w:r w:rsidR="00301FFD" w:rsidRPr="00BC37A6">
        <w:rPr>
          <w:rFonts w:ascii="Times New Roman" w:hAnsi="Times New Roman"/>
          <w:sz w:val="24"/>
          <w:szCs w:val="24"/>
        </w:rPr>
        <w:t>или</w:t>
      </w:r>
      <w:r w:rsidRPr="00BC37A6">
        <w:rPr>
          <w:rFonts w:ascii="Times New Roman" w:hAnsi="Times New Roman"/>
          <w:sz w:val="24"/>
          <w:szCs w:val="24"/>
        </w:rPr>
        <w:t xml:space="preserve"> </w:t>
      </w:r>
      <w:r w:rsidR="00301FFD" w:rsidRPr="00BC37A6">
        <w:rPr>
          <w:rFonts w:ascii="Times New Roman" w:hAnsi="Times New Roman"/>
          <w:sz w:val="24"/>
          <w:szCs w:val="24"/>
        </w:rPr>
        <w:t>када</w:t>
      </w:r>
      <w:r w:rsidRPr="00BC37A6">
        <w:rPr>
          <w:rFonts w:ascii="Times New Roman" w:hAnsi="Times New Roman"/>
          <w:sz w:val="24"/>
          <w:szCs w:val="24"/>
        </w:rPr>
        <w:t xml:space="preserve"> </w:t>
      </w:r>
      <w:r w:rsidR="00301FFD" w:rsidRPr="00BC37A6">
        <w:rPr>
          <w:rFonts w:ascii="Times New Roman" w:hAnsi="Times New Roman"/>
          <w:sz w:val="24"/>
          <w:szCs w:val="24"/>
        </w:rPr>
        <w:t>је</w:t>
      </w:r>
      <w:r w:rsidRPr="00BC37A6">
        <w:rPr>
          <w:rFonts w:ascii="Times New Roman" w:hAnsi="Times New Roman"/>
          <w:sz w:val="24"/>
          <w:szCs w:val="24"/>
        </w:rPr>
        <w:t xml:space="preserve"> </w:t>
      </w:r>
      <w:r w:rsidR="00301FFD" w:rsidRPr="00BC37A6">
        <w:rPr>
          <w:rFonts w:ascii="Times New Roman" w:hAnsi="Times New Roman"/>
          <w:sz w:val="24"/>
          <w:szCs w:val="24"/>
        </w:rPr>
        <w:t>законом</w:t>
      </w:r>
      <w:r w:rsidRPr="00BC37A6">
        <w:rPr>
          <w:rFonts w:ascii="Times New Roman" w:hAnsi="Times New Roman"/>
          <w:sz w:val="24"/>
          <w:szCs w:val="24"/>
        </w:rPr>
        <w:t xml:space="preserve"> </w:t>
      </w:r>
      <w:r w:rsidR="00301FFD" w:rsidRPr="00BC37A6">
        <w:rPr>
          <w:rFonts w:ascii="Times New Roman" w:hAnsi="Times New Roman"/>
          <w:sz w:val="24"/>
          <w:szCs w:val="24"/>
        </w:rPr>
        <w:t>прописано</w:t>
      </w:r>
      <w:r w:rsidRPr="00BC37A6">
        <w:rPr>
          <w:rFonts w:ascii="Times New Roman" w:hAnsi="Times New Roman"/>
          <w:sz w:val="24"/>
          <w:szCs w:val="24"/>
        </w:rPr>
        <w:t xml:space="preserve"> </w:t>
      </w:r>
      <w:r w:rsidR="00301FFD" w:rsidRPr="00BC37A6">
        <w:rPr>
          <w:rFonts w:ascii="Times New Roman" w:hAnsi="Times New Roman"/>
          <w:sz w:val="24"/>
          <w:szCs w:val="24"/>
        </w:rPr>
        <w:t>да</w:t>
      </w:r>
      <w:r w:rsidRPr="00BC37A6">
        <w:rPr>
          <w:rFonts w:ascii="Times New Roman" w:hAnsi="Times New Roman"/>
          <w:sz w:val="24"/>
          <w:szCs w:val="24"/>
        </w:rPr>
        <w:t xml:space="preserve"> </w:t>
      </w:r>
      <w:r w:rsidR="00301FFD" w:rsidRPr="00BC37A6">
        <w:rPr>
          <w:rFonts w:ascii="Times New Roman" w:hAnsi="Times New Roman"/>
          <w:sz w:val="24"/>
          <w:szCs w:val="24"/>
        </w:rPr>
        <w:t>се</w:t>
      </w:r>
      <w:r w:rsidRPr="00BC37A6">
        <w:rPr>
          <w:rFonts w:ascii="Times New Roman" w:hAnsi="Times New Roman"/>
          <w:sz w:val="24"/>
          <w:szCs w:val="24"/>
        </w:rPr>
        <w:t xml:space="preserve">, </w:t>
      </w:r>
      <w:r w:rsidR="00301FFD" w:rsidRPr="00BC37A6">
        <w:rPr>
          <w:rFonts w:ascii="Times New Roman" w:hAnsi="Times New Roman"/>
          <w:sz w:val="24"/>
          <w:szCs w:val="24"/>
        </w:rPr>
        <w:t>упркос</w:t>
      </w:r>
      <w:r w:rsidRPr="00BC37A6">
        <w:rPr>
          <w:rFonts w:ascii="Times New Roman" w:hAnsi="Times New Roman"/>
          <w:sz w:val="24"/>
          <w:szCs w:val="24"/>
        </w:rPr>
        <w:t xml:space="preserve"> </w:t>
      </w:r>
      <w:r w:rsidR="00301FFD" w:rsidRPr="00BC37A6">
        <w:rPr>
          <w:rFonts w:ascii="Times New Roman" w:hAnsi="Times New Roman"/>
          <w:sz w:val="24"/>
          <w:szCs w:val="24"/>
        </w:rPr>
        <w:t>самоопорезивању</w:t>
      </w:r>
      <w:r w:rsidR="00556132" w:rsidRPr="00BC37A6">
        <w:rPr>
          <w:rFonts w:ascii="Times New Roman" w:hAnsi="Times New Roman"/>
          <w:sz w:val="24"/>
          <w:szCs w:val="24"/>
        </w:rPr>
        <w:t xml:space="preserve">, </w:t>
      </w:r>
      <w:r w:rsidR="00301FFD" w:rsidRPr="00BC37A6">
        <w:rPr>
          <w:rFonts w:ascii="Times New Roman" w:hAnsi="Times New Roman"/>
          <w:sz w:val="24"/>
          <w:szCs w:val="24"/>
        </w:rPr>
        <w:t>пореско</w:t>
      </w:r>
      <w:r w:rsidR="00556132" w:rsidRPr="00BC37A6">
        <w:rPr>
          <w:rFonts w:ascii="Times New Roman" w:hAnsi="Times New Roman"/>
          <w:sz w:val="24"/>
          <w:szCs w:val="24"/>
        </w:rPr>
        <w:t xml:space="preserve"> </w:t>
      </w:r>
      <w:r w:rsidR="00301FFD" w:rsidRPr="00BC37A6">
        <w:rPr>
          <w:rFonts w:ascii="Times New Roman" w:hAnsi="Times New Roman"/>
          <w:sz w:val="24"/>
          <w:szCs w:val="24"/>
        </w:rPr>
        <w:t>решење</w:t>
      </w:r>
      <w:r w:rsidR="00556132" w:rsidRPr="00BC37A6">
        <w:rPr>
          <w:rFonts w:ascii="Times New Roman" w:hAnsi="Times New Roman"/>
          <w:sz w:val="24"/>
          <w:szCs w:val="24"/>
        </w:rPr>
        <w:t xml:space="preserve"> </w:t>
      </w:r>
      <w:r w:rsidR="00301FFD" w:rsidRPr="00BC37A6">
        <w:rPr>
          <w:rFonts w:ascii="Times New Roman" w:hAnsi="Times New Roman"/>
          <w:sz w:val="24"/>
          <w:szCs w:val="24"/>
        </w:rPr>
        <w:t>мора</w:t>
      </w:r>
      <w:r w:rsidR="00556132" w:rsidRPr="00BC37A6">
        <w:rPr>
          <w:rFonts w:ascii="Times New Roman" w:hAnsi="Times New Roman"/>
          <w:sz w:val="24"/>
          <w:szCs w:val="24"/>
        </w:rPr>
        <w:t xml:space="preserve"> </w:t>
      </w:r>
      <w:r w:rsidR="00301FFD" w:rsidRPr="00BC37A6">
        <w:rPr>
          <w:rFonts w:ascii="Times New Roman" w:hAnsi="Times New Roman"/>
          <w:sz w:val="24"/>
          <w:szCs w:val="24"/>
        </w:rPr>
        <w:t>донети</w:t>
      </w:r>
      <w:r w:rsidR="00556132" w:rsidRPr="00BC37A6">
        <w:rPr>
          <w:rFonts w:ascii="Times New Roman" w:hAnsi="Times New Roman"/>
          <w:sz w:val="24"/>
          <w:szCs w:val="24"/>
        </w:rPr>
        <w:t>.</w:t>
      </w:r>
      <w:r w:rsidR="00A028C6" w:rsidRPr="00BC37A6">
        <w:rPr>
          <w:rStyle w:val="FootnoteReference"/>
          <w:rFonts w:ascii="Times New Roman" w:hAnsi="Times New Roman"/>
          <w:color w:val="000000"/>
          <w:sz w:val="24"/>
          <w:szCs w:val="24"/>
        </w:rPr>
        <w:footnoteReference w:id="849"/>
      </w:r>
    </w:p>
    <w:p w:rsidR="00F528B4" w:rsidRPr="00BC37A6" w:rsidRDefault="000343F8" w:rsidP="00BC37A6">
      <w:pPr>
        <w:ind w:firstLine="708"/>
        <w:jc w:val="both"/>
        <w:rPr>
          <w:rFonts w:ascii="Times New Roman" w:hAnsi="Times New Roman"/>
          <w:sz w:val="24"/>
          <w:szCs w:val="24"/>
          <w:lang w:val="sr-Cyrl-CS"/>
        </w:rPr>
      </w:pPr>
      <w:r>
        <w:rPr>
          <w:rFonts w:ascii="Times New Roman" w:hAnsi="Times New Roman"/>
          <w:sz w:val="24"/>
          <w:szCs w:val="24"/>
          <w:lang w:val="sr-Cyrl-CS"/>
        </w:rPr>
        <w:t>Самоопорезивање је трошковно ефикаснији</w:t>
      </w:r>
      <w:r w:rsidR="00270C28" w:rsidRPr="00BC37A6">
        <w:rPr>
          <w:rFonts w:ascii="Times New Roman" w:hAnsi="Times New Roman"/>
          <w:sz w:val="24"/>
          <w:szCs w:val="24"/>
          <w:lang w:val="sr-Cyrl-CS"/>
        </w:rPr>
        <w:t xml:space="preserve"> метод утврђивања пореске о</w:t>
      </w:r>
      <w:r w:rsidR="00A028C6" w:rsidRPr="00BC37A6">
        <w:rPr>
          <w:rFonts w:ascii="Times New Roman" w:hAnsi="Times New Roman"/>
          <w:sz w:val="24"/>
          <w:szCs w:val="24"/>
          <w:lang w:val="sr-Cyrl-CS"/>
        </w:rPr>
        <w:t>бавезе у од</w:t>
      </w:r>
      <w:r w:rsidR="00270C28" w:rsidRPr="00BC37A6">
        <w:rPr>
          <w:rFonts w:ascii="Times New Roman" w:hAnsi="Times New Roman"/>
          <w:sz w:val="24"/>
          <w:szCs w:val="24"/>
          <w:lang w:val="sr-Cyrl-CS"/>
        </w:rPr>
        <w:t xml:space="preserve">носу на доношење пореског </w:t>
      </w:r>
      <w:r w:rsidR="000B3507" w:rsidRPr="00BC37A6">
        <w:rPr>
          <w:rFonts w:ascii="Times New Roman" w:hAnsi="Times New Roman"/>
          <w:sz w:val="24"/>
          <w:szCs w:val="24"/>
          <w:lang w:val="sr-Cyrl-CS"/>
        </w:rPr>
        <w:t>решења</w:t>
      </w:r>
      <w:r>
        <w:rPr>
          <w:rFonts w:ascii="Times New Roman" w:hAnsi="Times New Roman"/>
          <w:sz w:val="24"/>
          <w:szCs w:val="24"/>
          <w:lang w:val="sr-Cyrl-CS"/>
        </w:rPr>
        <w:t>, омогућава</w:t>
      </w:r>
      <w:r w:rsidR="000B3507" w:rsidRPr="00BC37A6">
        <w:rPr>
          <w:rFonts w:ascii="Times New Roman" w:hAnsi="Times New Roman"/>
          <w:sz w:val="24"/>
          <w:szCs w:val="24"/>
          <w:lang w:val="sr-Cyrl-CS"/>
        </w:rPr>
        <w:t xml:space="preserve"> пребацивање</w:t>
      </w:r>
      <w:r w:rsidR="00270C28" w:rsidRPr="00BC37A6">
        <w:rPr>
          <w:rFonts w:ascii="Times New Roman" w:hAnsi="Times New Roman"/>
          <w:sz w:val="24"/>
          <w:szCs w:val="24"/>
          <w:lang w:val="sr-Cyrl-CS"/>
        </w:rPr>
        <w:t xml:space="preserve"> одговорности за тачност по</w:t>
      </w:r>
      <w:r w:rsidR="000B3507" w:rsidRPr="00BC37A6">
        <w:rPr>
          <w:rFonts w:ascii="Times New Roman" w:hAnsi="Times New Roman"/>
          <w:sz w:val="24"/>
          <w:szCs w:val="24"/>
          <w:lang w:val="sr-Cyrl-CS"/>
        </w:rPr>
        <w:t>реске обавезе са пореске админ</w:t>
      </w:r>
      <w:r>
        <w:rPr>
          <w:rFonts w:ascii="Times New Roman" w:hAnsi="Times New Roman"/>
          <w:sz w:val="24"/>
          <w:szCs w:val="24"/>
          <w:lang w:val="sr-Cyrl-CS"/>
        </w:rPr>
        <w:t>и</w:t>
      </w:r>
      <w:r w:rsidR="000B3507" w:rsidRPr="00BC37A6">
        <w:rPr>
          <w:rFonts w:ascii="Times New Roman" w:hAnsi="Times New Roman"/>
          <w:sz w:val="24"/>
          <w:szCs w:val="24"/>
          <w:lang w:val="sr-Cyrl-CS"/>
        </w:rPr>
        <w:t>с</w:t>
      </w:r>
      <w:r w:rsidR="00270C28" w:rsidRPr="00BC37A6">
        <w:rPr>
          <w:rFonts w:ascii="Times New Roman" w:hAnsi="Times New Roman"/>
          <w:sz w:val="24"/>
          <w:szCs w:val="24"/>
          <w:lang w:val="sr-Cyrl-CS"/>
        </w:rPr>
        <w:t>трације на обвез</w:t>
      </w:r>
      <w:r>
        <w:rPr>
          <w:rFonts w:ascii="Times New Roman" w:hAnsi="Times New Roman"/>
          <w:sz w:val="24"/>
          <w:szCs w:val="24"/>
          <w:lang w:val="sr-Cyrl-CS"/>
        </w:rPr>
        <w:t>ника</w:t>
      </w:r>
      <w:r w:rsidR="00270C28" w:rsidRPr="00BC37A6">
        <w:rPr>
          <w:rFonts w:ascii="Times New Roman" w:hAnsi="Times New Roman"/>
          <w:sz w:val="24"/>
          <w:szCs w:val="24"/>
          <w:lang w:val="sr-Cyrl-CS"/>
        </w:rPr>
        <w:t xml:space="preserve"> </w:t>
      </w:r>
      <w:r>
        <w:rPr>
          <w:rFonts w:ascii="Times New Roman" w:hAnsi="Times New Roman"/>
          <w:sz w:val="24"/>
          <w:szCs w:val="24"/>
          <w:lang w:val="sr-Cyrl-CS"/>
        </w:rPr>
        <w:t>због чега има и</w:t>
      </w:r>
      <w:r w:rsidR="00270C28" w:rsidRPr="00BC37A6">
        <w:rPr>
          <w:rFonts w:ascii="Times New Roman" w:hAnsi="Times New Roman"/>
          <w:sz w:val="24"/>
          <w:szCs w:val="24"/>
          <w:lang w:val="sr-Cyrl-CS"/>
        </w:rPr>
        <w:t xml:space="preserve"> два п</w:t>
      </w:r>
      <w:r>
        <w:rPr>
          <w:rFonts w:ascii="Times New Roman" w:hAnsi="Times New Roman"/>
          <w:sz w:val="24"/>
          <w:szCs w:val="24"/>
          <w:lang w:val="sr-Cyrl-CS"/>
        </w:rPr>
        <w:t>озитивна индиректна ефекта. Најпре</w:t>
      </w:r>
      <w:r w:rsidR="00270C28" w:rsidRPr="00BC37A6">
        <w:rPr>
          <w:rFonts w:ascii="Times New Roman" w:hAnsi="Times New Roman"/>
          <w:sz w:val="24"/>
          <w:szCs w:val="24"/>
          <w:lang w:val="sr-Cyrl-CS"/>
        </w:rPr>
        <w:t>, сужававају се прилике за коруп</w:t>
      </w:r>
      <w:r>
        <w:rPr>
          <w:rFonts w:ascii="Times New Roman" w:hAnsi="Times New Roman"/>
          <w:sz w:val="24"/>
          <w:szCs w:val="24"/>
          <w:lang w:val="sr-Cyrl-CS"/>
        </w:rPr>
        <w:t>цију пореских службеника, а</w:t>
      </w:r>
      <w:r w:rsidR="00270C28" w:rsidRPr="00BC37A6">
        <w:rPr>
          <w:rFonts w:ascii="Times New Roman" w:hAnsi="Times New Roman"/>
          <w:sz w:val="24"/>
          <w:szCs w:val="24"/>
          <w:lang w:val="sr-Cyrl-CS"/>
        </w:rPr>
        <w:t xml:space="preserve"> неистинито пријављивање обавезе непосредно је повезано са намером пореске утаје, што </w:t>
      </w:r>
      <w:r w:rsidR="00556132" w:rsidRPr="00BC37A6">
        <w:rPr>
          <w:rFonts w:ascii="Times New Roman" w:hAnsi="Times New Roman"/>
          <w:sz w:val="24"/>
          <w:szCs w:val="24"/>
          <w:lang w:val="sr-Cyrl-CS"/>
        </w:rPr>
        <w:t xml:space="preserve">је </w:t>
      </w:r>
      <w:r w:rsidR="00270C28" w:rsidRPr="00BC37A6">
        <w:rPr>
          <w:rFonts w:ascii="Times New Roman" w:hAnsi="Times New Roman"/>
          <w:sz w:val="24"/>
          <w:szCs w:val="24"/>
          <w:lang w:val="sr-Cyrl-CS"/>
        </w:rPr>
        <w:t xml:space="preserve">знатно </w:t>
      </w:r>
      <w:r w:rsidR="00556132" w:rsidRPr="00BC37A6">
        <w:rPr>
          <w:rFonts w:ascii="Times New Roman" w:hAnsi="Times New Roman"/>
          <w:sz w:val="24"/>
          <w:szCs w:val="24"/>
          <w:lang w:val="sr-Cyrl-CS"/>
        </w:rPr>
        <w:t>тежа</w:t>
      </w:r>
      <w:r w:rsidR="00270C28" w:rsidRPr="00BC37A6">
        <w:rPr>
          <w:rFonts w:ascii="Times New Roman" w:hAnsi="Times New Roman"/>
          <w:sz w:val="24"/>
          <w:szCs w:val="24"/>
          <w:lang w:val="sr-Cyrl-CS"/>
        </w:rPr>
        <w:t xml:space="preserve"> и</w:t>
      </w:r>
      <w:r w:rsidR="00556132" w:rsidRPr="00BC37A6">
        <w:rPr>
          <w:rFonts w:ascii="Times New Roman" w:hAnsi="Times New Roman"/>
          <w:sz w:val="24"/>
          <w:szCs w:val="24"/>
          <w:lang w:val="sr-Cyrl-CS"/>
        </w:rPr>
        <w:t xml:space="preserve"> строжије</w:t>
      </w:r>
      <w:r w:rsidR="00270C28" w:rsidRPr="00BC37A6">
        <w:rPr>
          <w:rFonts w:ascii="Times New Roman" w:hAnsi="Times New Roman"/>
          <w:sz w:val="24"/>
          <w:szCs w:val="24"/>
          <w:lang w:val="sr-Cyrl-CS"/>
        </w:rPr>
        <w:t xml:space="preserve"> санкционисана квалификација од „обичног“</w:t>
      </w:r>
      <w:r w:rsidR="00556132" w:rsidRPr="00BC37A6">
        <w:rPr>
          <w:rFonts w:ascii="Times New Roman" w:hAnsi="Times New Roman"/>
          <w:sz w:val="24"/>
          <w:szCs w:val="24"/>
          <w:lang w:val="sr-Cyrl-CS"/>
        </w:rPr>
        <w:t xml:space="preserve"> неблаговремн</w:t>
      </w:r>
      <w:r w:rsidR="00270C28" w:rsidRPr="00BC37A6">
        <w:rPr>
          <w:rFonts w:ascii="Times New Roman" w:hAnsi="Times New Roman"/>
          <w:sz w:val="24"/>
          <w:szCs w:val="24"/>
          <w:lang w:val="sr-Cyrl-CS"/>
        </w:rPr>
        <w:t>ог или чак потпуног неплаћања ре</w:t>
      </w:r>
      <w:r w:rsidR="00556132" w:rsidRPr="00BC37A6">
        <w:rPr>
          <w:rFonts w:ascii="Times New Roman" w:hAnsi="Times New Roman"/>
          <w:sz w:val="24"/>
          <w:szCs w:val="24"/>
          <w:lang w:val="sr-Cyrl-CS"/>
        </w:rPr>
        <w:t>шењем утврђене пореске обавезе.</w:t>
      </w:r>
      <w:r w:rsidR="00556132" w:rsidRPr="00BC37A6">
        <w:rPr>
          <w:rStyle w:val="FootnoteReference"/>
          <w:rFonts w:ascii="Times New Roman" w:hAnsi="Times New Roman"/>
          <w:color w:val="000000"/>
          <w:sz w:val="24"/>
          <w:szCs w:val="24"/>
          <w:lang w:val="sr-Cyrl-CS"/>
        </w:rPr>
        <w:footnoteReference w:id="850"/>
      </w:r>
    </w:p>
    <w:p w:rsidR="00F528B4" w:rsidRPr="00BC37A6" w:rsidRDefault="000343F8" w:rsidP="00BC37A6">
      <w:pPr>
        <w:ind w:firstLine="708"/>
        <w:jc w:val="both"/>
        <w:rPr>
          <w:rFonts w:ascii="Times New Roman" w:hAnsi="Times New Roman"/>
          <w:sz w:val="24"/>
          <w:szCs w:val="24"/>
          <w:lang w:val="sr-Cyrl-CS"/>
        </w:rPr>
      </w:pPr>
      <w:r>
        <w:rPr>
          <w:rFonts w:ascii="Times New Roman" w:hAnsi="Times New Roman"/>
          <w:sz w:val="24"/>
          <w:szCs w:val="24"/>
          <w:lang w:val="sr-Cyrl-CS"/>
        </w:rPr>
        <w:t xml:space="preserve">У </w:t>
      </w:r>
      <w:r w:rsidR="00F528B4" w:rsidRPr="00BC37A6">
        <w:rPr>
          <w:rFonts w:ascii="Times New Roman" w:hAnsi="Times New Roman"/>
          <w:sz w:val="24"/>
          <w:szCs w:val="24"/>
          <w:lang w:val="sr-Cyrl-CS"/>
        </w:rPr>
        <w:t xml:space="preserve"> поступку утврђивања пореза </w:t>
      </w:r>
      <w:r>
        <w:rPr>
          <w:rFonts w:ascii="Times New Roman" w:hAnsi="Times New Roman"/>
          <w:sz w:val="24"/>
          <w:szCs w:val="24"/>
          <w:lang w:val="sr-Cyrl-CS"/>
        </w:rPr>
        <w:t xml:space="preserve">акти </w:t>
      </w:r>
      <w:r w:rsidR="00F528B4" w:rsidRPr="00BC37A6">
        <w:rPr>
          <w:rFonts w:ascii="Times New Roman" w:hAnsi="Times New Roman"/>
          <w:sz w:val="24"/>
          <w:szCs w:val="24"/>
          <w:lang w:val="sr-Cyrl-CS"/>
        </w:rPr>
        <w:t>имају декларативан, а не конститу</w:t>
      </w:r>
      <w:r w:rsidR="00784729" w:rsidRPr="00BC37A6">
        <w:rPr>
          <w:rFonts w:ascii="Times New Roman" w:hAnsi="Times New Roman"/>
          <w:sz w:val="24"/>
          <w:szCs w:val="24"/>
          <w:lang w:val="sr-Cyrl-CS"/>
        </w:rPr>
        <w:t>тив</w:t>
      </w:r>
      <w:r w:rsidR="000B3507" w:rsidRPr="00BC37A6">
        <w:rPr>
          <w:rFonts w:ascii="Times New Roman" w:hAnsi="Times New Roman"/>
          <w:sz w:val="24"/>
          <w:szCs w:val="24"/>
          <w:lang w:val="sr-Cyrl-CS"/>
        </w:rPr>
        <w:t xml:space="preserve">ан карактер. </w:t>
      </w:r>
      <w:r w:rsidR="006B6729">
        <w:rPr>
          <w:rFonts w:ascii="Times New Roman" w:hAnsi="Times New Roman"/>
          <w:sz w:val="24"/>
          <w:szCs w:val="24"/>
          <w:lang w:val="sr-Cyrl-CS"/>
        </w:rPr>
        <w:t>„</w:t>
      </w:r>
      <w:r w:rsidR="000B3507" w:rsidRPr="00BC37A6">
        <w:rPr>
          <w:rFonts w:ascii="Times New Roman" w:hAnsi="Times New Roman"/>
          <w:sz w:val="24"/>
          <w:szCs w:val="24"/>
          <w:lang w:val="sr-Cyrl-CS"/>
        </w:rPr>
        <w:t>Пореска</w:t>
      </w:r>
      <w:r w:rsidR="00F528B4" w:rsidRPr="00BC37A6">
        <w:rPr>
          <w:rFonts w:ascii="Times New Roman" w:hAnsi="Times New Roman"/>
          <w:sz w:val="24"/>
          <w:szCs w:val="24"/>
          <w:lang w:val="sr-Cyrl-CS"/>
        </w:rPr>
        <w:t xml:space="preserve"> обавеза, наиме, не настаје у моменту када је порез утврђен, већ чим се оствари </w:t>
      </w:r>
      <w:r w:rsidR="00B01073" w:rsidRPr="00BC37A6">
        <w:rPr>
          <w:rFonts w:ascii="Times New Roman" w:hAnsi="Times New Roman"/>
          <w:sz w:val="24"/>
          <w:szCs w:val="24"/>
          <w:lang w:val="sr-Cyrl-CS"/>
        </w:rPr>
        <w:t>законски опис пореског чињеничног стања (нпр. када порески обвезник пренесе уз накнаду право својине на непокретности, тј. када се у суду овери потпис странака на уговору о преносу права својине, а не када Пореска управа донесе решење о утврђивању пореза на пренос апсолутних права).</w:t>
      </w:r>
      <w:r w:rsidR="006B6729">
        <w:rPr>
          <w:rFonts w:ascii="Times New Roman" w:hAnsi="Times New Roman"/>
          <w:sz w:val="24"/>
          <w:szCs w:val="24"/>
          <w:lang w:val="sr-Cyrl-CS"/>
        </w:rPr>
        <w:t>“</w:t>
      </w:r>
      <w:r w:rsidR="00B01073" w:rsidRPr="00BC37A6">
        <w:rPr>
          <w:rStyle w:val="FootnoteReference"/>
          <w:rFonts w:ascii="Times New Roman" w:hAnsi="Times New Roman"/>
          <w:color w:val="000000"/>
          <w:sz w:val="24"/>
          <w:szCs w:val="24"/>
          <w:lang w:val="sr-Cyrl-CS"/>
        </w:rPr>
        <w:footnoteReference w:id="851"/>
      </w:r>
    </w:p>
    <w:p w:rsidR="00F528B4" w:rsidRPr="00BC37A6" w:rsidRDefault="00F528B4" w:rsidP="00BC37A6">
      <w:pPr>
        <w:jc w:val="both"/>
        <w:rPr>
          <w:rFonts w:ascii="Times New Roman" w:hAnsi="Times New Roman"/>
          <w:sz w:val="24"/>
          <w:szCs w:val="24"/>
          <w:lang w:val="sr-Cyrl-CS"/>
        </w:rPr>
      </w:pPr>
      <w:r w:rsidRPr="00BC37A6">
        <w:rPr>
          <w:rFonts w:ascii="Times New Roman" w:hAnsi="Times New Roman"/>
          <w:sz w:val="24"/>
          <w:szCs w:val="24"/>
          <w:lang w:val="sr-Cyrl-CS"/>
        </w:rPr>
        <w:t>Следећу фазу представља наплата јавних прихода.</w:t>
      </w:r>
      <w:r w:rsidR="00784729" w:rsidRPr="00BC37A6">
        <w:rPr>
          <w:rStyle w:val="FootnoteReference"/>
          <w:rFonts w:ascii="Times New Roman" w:hAnsi="Times New Roman"/>
          <w:sz w:val="24"/>
          <w:szCs w:val="24"/>
          <w:lang w:val="sr-Cyrl-CS"/>
        </w:rPr>
        <w:footnoteReference w:id="852"/>
      </w:r>
      <w:r w:rsidRPr="00BC37A6">
        <w:rPr>
          <w:rFonts w:ascii="Times New Roman" w:hAnsi="Times New Roman"/>
          <w:sz w:val="24"/>
          <w:szCs w:val="24"/>
          <w:lang w:val="sr-Cyrl-CS"/>
        </w:rPr>
        <w:t xml:space="preserve"> </w:t>
      </w:r>
    </w:p>
    <w:p w:rsidR="00B01073" w:rsidRPr="00BC37A6" w:rsidRDefault="00301FFD" w:rsidP="00BC37A6">
      <w:pPr>
        <w:ind w:firstLine="708"/>
        <w:jc w:val="both"/>
        <w:rPr>
          <w:rFonts w:ascii="Times New Roman" w:hAnsi="Times New Roman"/>
          <w:sz w:val="24"/>
          <w:szCs w:val="24"/>
          <w:lang w:val="sr-Cyrl-CS"/>
        </w:rPr>
      </w:pPr>
      <w:r w:rsidRPr="00BC37A6">
        <w:rPr>
          <w:rFonts w:ascii="Times New Roman" w:hAnsi="Times New Roman"/>
          <w:sz w:val="24"/>
          <w:szCs w:val="24"/>
        </w:rPr>
        <w:t>Наплата</w:t>
      </w:r>
      <w:r w:rsidR="00B01073" w:rsidRPr="00BC37A6">
        <w:rPr>
          <w:rFonts w:ascii="Times New Roman" w:hAnsi="Times New Roman"/>
          <w:sz w:val="24"/>
          <w:szCs w:val="24"/>
        </w:rPr>
        <w:t xml:space="preserve"> </w:t>
      </w:r>
      <w:r w:rsidRPr="00BC37A6">
        <w:rPr>
          <w:rFonts w:ascii="Times New Roman" w:hAnsi="Times New Roman"/>
          <w:sz w:val="24"/>
          <w:szCs w:val="24"/>
        </w:rPr>
        <w:t>пореза</w:t>
      </w:r>
      <w:r w:rsidR="00B01073" w:rsidRPr="00BC37A6">
        <w:rPr>
          <w:rFonts w:ascii="Times New Roman" w:hAnsi="Times New Roman"/>
          <w:sz w:val="24"/>
          <w:szCs w:val="24"/>
        </w:rPr>
        <w:t xml:space="preserve"> </w:t>
      </w:r>
      <w:r w:rsidRPr="00BC37A6">
        <w:rPr>
          <w:rFonts w:ascii="Times New Roman" w:hAnsi="Times New Roman"/>
          <w:sz w:val="24"/>
          <w:szCs w:val="24"/>
        </w:rPr>
        <w:t>је</w:t>
      </w:r>
      <w:r w:rsidR="00B01073" w:rsidRPr="00BC37A6">
        <w:rPr>
          <w:rFonts w:ascii="Times New Roman" w:hAnsi="Times New Roman"/>
          <w:sz w:val="24"/>
          <w:szCs w:val="24"/>
        </w:rPr>
        <w:t xml:space="preserve">, </w:t>
      </w:r>
      <w:r w:rsidRPr="00BC37A6">
        <w:rPr>
          <w:rFonts w:ascii="Times New Roman" w:hAnsi="Times New Roman"/>
          <w:sz w:val="24"/>
          <w:szCs w:val="24"/>
        </w:rPr>
        <w:t>у</w:t>
      </w:r>
      <w:r w:rsidR="00B01073" w:rsidRPr="00BC37A6">
        <w:rPr>
          <w:rFonts w:ascii="Times New Roman" w:hAnsi="Times New Roman"/>
          <w:sz w:val="24"/>
          <w:szCs w:val="24"/>
        </w:rPr>
        <w:t xml:space="preserve"> </w:t>
      </w:r>
      <w:r w:rsidRPr="00BC37A6">
        <w:rPr>
          <w:rFonts w:ascii="Times New Roman" w:hAnsi="Times New Roman"/>
          <w:sz w:val="24"/>
          <w:szCs w:val="24"/>
        </w:rPr>
        <w:t>смислу</w:t>
      </w:r>
      <w:r w:rsidR="00B01073" w:rsidRPr="00BC37A6">
        <w:rPr>
          <w:rFonts w:ascii="Times New Roman" w:hAnsi="Times New Roman"/>
          <w:sz w:val="24"/>
          <w:szCs w:val="24"/>
        </w:rPr>
        <w:t xml:space="preserve"> </w:t>
      </w:r>
      <w:r w:rsidRPr="00BC37A6">
        <w:rPr>
          <w:rFonts w:ascii="Times New Roman" w:hAnsi="Times New Roman"/>
          <w:sz w:val="24"/>
          <w:szCs w:val="24"/>
        </w:rPr>
        <w:t>овог</w:t>
      </w:r>
      <w:r w:rsidR="00B01073" w:rsidRPr="00BC37A6">
        <w:rPr>
          <w:rFonts w:ascii="Times New Roman" w:hAnsi="Times New Roman"/>
          <w:sz w:val="24"/>
          <w:szCs w:val="24"/>
        </w:rPr>
        <w:t xml:space="preserve"> </w:t>
      </w:r>
      <w:r w:rsidRPr="00BC37A6">
        <w:rPr>
          <w:rFonts w:ascii="Times New Roman" w:hAnsi="Times New Roman"/>
          <w:sz w:val="24"/>
          <w:szCs w:val="24"/>
        </w:rPr>
        <w:t>закона</w:t>
      </w:r>
      <w:r w:rsidR="00B01073" w:rsidRPr="00BC37A6">
        <w:rPr>
          <w:rFonts w:ascii="Times New Roman" w:hAnsi="Times New Roman"/>
          <w:sz w:val="24"/>
          <w:szCs w:val="24"/>
        </w:rPr>
        <w:t xml:space="preserve">, </w:t>
      </w:r>
      <w:r w:rsidRPr="00BC37A6">
        <w:rPr>
          <w:rFonts w:ascii="Times New Roman" w:hAnsi="Times New Roman"/>
          <w:sz w:val="24"/>
          <w:szCs w:val="24"/>
        </w:rPr>
        <w:t>редовна</w:t>
      </w:r>
      <w:r w:rsidR="00B01073" w:rsidRPr="00BC37A6">
        <w:rPr>
          <w:rFonts w:ascii="Times New Roman" w:hAnsi="Times New Roman"/>
          <w:sz w:val="24"/>
          <w:szCs w:val="24"/>
        </w:rPr>
        <w:t xml:space="preserve"> </w:t>
      </w:r>
      <w:r w:rsidRPr="00BC37A6">
        <w:rPr>
          <w:rFonts w:ascii="Times New Roman" w:hAnsi="Times New Roman"/>
          <w:sz w:val="24"/>
          <w:szCs w:val="24"/>
        </w:rPr>
        <w:t>или</w:t>
      </w:r>
      <w:r w:rsidR="00B01073" w:rsidRPr="00BC37A6">
        <w:rPr>
          <w:rFonts w:ascii="Times New Roman" w:hAnsi="Times New Roman"/>
          <w:sz w:val="24"/>
          <w:szCs w:val="24"/>
        </w:rPr>
        <w:t xml:space="preserve"> </w:t>
      </w:r>
      <w:r w:rsidRPr="00BC37A6">
        <w:rPr>
          <w:rFonts w:ascii="Times New Roman" w:hAnsi="Times New Roman"/>
          <w:sz w:val="24"/>
          <w:szCs w:val="24"/>
        </w:rPr>
        <w:t>принудна</w:t>
      </w:r>
      <w:r w:rsidR="00B01073" w:rsidRPr="00BC37A6">
        <w:rPr>
          <w:rFonts w:ascii="Times New Roman" w:hAnsi="Times New Roman"/>
          <w:sz w:val="24"/>
          <w:szCs w:val="24"/>
        </w:rPr>
        <w:t>.</w:t>
      </w:r>
      <w:r w:rsidR="00784729" w:rsidRPr="00BC37A6">
        <w:rPr>
          <w:rFonts w:ascii="Times New Roman" w:hAnsi="Times New Roman"/>
          <w:sz w:val="24"/>
          <w:szCs w:val="24"/>
          <w:lang w:val="sr-Cyrl-CS"/>
        </w:rPr>
        <w:t xml:space="preserve"> </w:t>
      </w:r>
      <w:r w:rsidRPr="00BC37A6">
        <w:rPr>
          <w:rFonts w:ascii="Times New Roman" w:hAnsi="Times New Roman"/>
          <w:sz w:val="24"/>
          <w:szCs w:val="24"/>
        </w:rPr>
        <w:t>Редовна</w:t>
      </w:r>
      <w:r w:rsidR="00B01073" w:rsidRPr="00BC37A6">
        <w:rPr>
          <w:rFonts w:ascii="Times New Roman" w:hAnsi="Times New Roman"/>
          <w:sz w:val="24"/>
          <w:szCs w:val="24"/>
        </w:rPr>
        <w:t xml:space="preserve"> </w:t>
      </w:r>
      <w:r w:rsidRPr="00BC37A6">
        <w:rPr>
          <w:rFonts w:ascii="Times New Roman" w:hAnsi="Times New Roman"/>
          <w:sz w:val="24"/>
          <w:szCs w:val="24"/>
        </w:rPr>
        <w:t>наплата</w:t>
      </w:r>
      <w:r w:rsidR="00B01073" w:rsidRPr="00BC37A6">
        <w:rPr>
          <w:rFonts w:ascii="Times New Roman" w:hAnsi="Times New Roman"/>
          <w:sz w:val="24"/>
          <w:szCs w:val="24"/>
        </w:rPr>
        <w:t xml:space="preserve"> </w:t>
      </w:r>
      <w:r w:rsidRPr="00BC37A6">
        <w:rPr>
          <w:rFonts w:ascii="Times New Roman" w:hAnsi="Times New Roman"/>
          <w:sz w:val="24"/>
          <w:szCs w:val="24"/>
        </w:rPr>
        <w:t>пореза</w:t>
      </w:r>
      <w:r w:rsidR="00B01073" w:rsidRPr="00BC37A6">
        <w:rPr>
          <w:rFonts w:ascii="Times New Roman" w:hAnsi="Times New Roman"/>
          <w:sz w:val="24"/>
          <w:szCs w:val="24"/>
        </w:rPr>
        <w:t xml:space="preserve"> </w:t>
      </w:r>
      <w:r w:rsidRPr="00BC37A6">
        <w:rPr>
          <w:rFonts w:ascii="Times New Roman" w:hAnsi="Times New Roman"/>
          <w:sz w:val="24"/>
          <w:szCs w:val="24"/>
        </w:rPr>
        <w:t>врши</w:t>
      </w:r>
      <w:r w:rsidR="00B01073" w:rsidRPr="00BC37A6">
        <w:rPr>
          <w:rFonts w:ascii="Times New Roman" w:hAnsi="Times New Roman"/>
          <w:sz w:val="24"/>
          <w:szCs w:val="24"/>
        </w:rPr>
        <w:t xml:space="preserve"> </w:t>
      </w:r>
      <w:r w:rsidRPr="00BC37A6">
        <w:rPr>
          <w:rFonts w:ascii="Times New Roman" w:hAnsi="Times New Roman"/>
          <w:sz w:val="24"/>
          <w:szCs w:val="24"/>
        </w:rPr>
        <w:t>се</w:t>
      </w:r>
      <w:r w:rsidR="00B01073" w:rsidRPr="00BC37A6">
        <w:rPr>
          <w:rFonts w:ascii="Times New Roman" w:hAnsi="Times New Roman"/>
          <w:sz w:val="24"/>
          <w:szCs w:val="24"/>
        </w:rPr>
        <w:t xml:space="preserve"> </w:t>
      </w:r>
      <w:r w:rsidRPr="00BC37A6">
        <w:rPr>
          <w:rFonts w:ascii="Times New Roman" w:hAnsi="Times New Roman"/>
          <w:sz w:val="24"/>
          <w:szCs w:val="24"/>
        </w:rPr>
        <w:t>о</w:t>
      </w:r>
      <w:r w:rsidR="00B01073" w:rsidRPr="00BC37A6">
        <w:rPr>
          <w:rFonts w:ascii="Times New Roman" w:hAnsi="Times New Roman"/>
          <w:sz w:val="24"/>
          <w:szCs w:val="24"/>
        </w:rPr>
        <w:t xml:space="preserve"> </w:t>
      </w:r>
      <w:r w:rsidRPr="00BC37A6">
        <w:rPr>
          <w:rFonts w:ascii="Times New Roman" w:hAnsi="Times New Roman"/>
          <w:sz w:val="24"/>
          <w:szCs w:val="24"/>
        </w:rPr>
        <w:t>доспелости</w:t>
      </w:r>
      <w:r w:rsidR="00B01073" w:rsidRPr="00BC37A6">
        <w:rPr>
          <w:rFonts w:ascii="Times New Roman" w:hAnsi="Times New Roman"/>
          <w:sz w:val="24"/>
          <w:szCs w:val="24"/>
        </w:rPr>
        <w:t xml:space="preserve"> </w:t>
      </w:r>
      <w:r w:rsidRPr="00BC37A6">
        <w:rPr>
          <w:rFonts w:ascii="Times New Roman" w:hAnsi="Times New Roman"/>
          <w:sz w:val="24"/>
          <w:szCs w:val="24"/>
        </w:rPr>
        <w:t>пореске</w:t>
      </w:r>
      <w:r w:rsidR="00B01073" w:rsidRPr="00BC37A6">
        <w:rPr>
          <w:rFonts w:ascii="Times New Roman" w:hAnsi="Times New Roman"/>
          <w:sz w:val="24"/>
          <w:szCs w:val="24"/>
        </w:rPr>
        <w:t xml:space="preserve"> </w:t>
      </w:r>
      <w:r w:rsidRPr="00BC37A6">
        <w:rPr>
          <w:rFonts w:ascii="Times New Roman" w:hAnsi="Times New Roman"/>
          <w:sz w:val="24"/>
          <w:szCs w:val="24"/>
        </w:rPr>
        <w:t>обавезе</w:t>
      </w:r>
      <w:r w:rsidR="00B01073" w:rsidRPr="00BC37A6">
        <w:rPr>
          <w:rFonts w:ascii="Times New Roman" w:hAnsi="Times New Roman"/>
          <w:sz w:val="24"/>
          <w:szCs w:val="24"/>
        </w:rPr>
        <w:t>.</w:t>
      </w:r>
      <w:r w:rsidR="00784729" w:rsidRPr="00BC37A6">
        <w:rPr>
          <w:rFonts w:ascii="Times New Roman" w:hAnsi="Times New Roman"/>
          <w:sz w:val="24"/>
          <w:szCs w:val="24"/>
          <w:lang w:val="sr-Cyrl-CS"/>
        </w:rPr>
        <w:t xml:space="preserve"> </w:t>
      </w:r>
      <w:r w:rsidRPr="00BC37A6">
        <w:rPr>
          <w:rFonts w:ascii="Times New Roman" w:hAnsi="Times New Roman"/>
          <w:sz w:val="24"/>
          <w:szCs w:val="24"/>
        </w:rPr>
        <w:t>Принудна</w:t>
      </w:r>
      <w:r w:rsidR="00B01073" w:rsidRPr="00BC37A6">
        <w:rPr>
          <w:rFonts w:ascii="Times New Roman" w:hAnsi="Times New Roman"/>
          <w:sz w:val="24"/>
          <w:szCs w:val="24"/>
        </w:rPr>
        <w:t xml:space="preserve"> </w:t>
      </w:r>
      <w:r w:rsidRPr="00BC37A6">
        <w:rPr>
          <w:rFonts w:ascii="Times New Roman" w:hAnsi="Times New Roman"/>
          <w:sz w:val="24"/>
          <w:szCs w:val="24"/>
        </w:rPr>
        <w:t>наплата</w:t>
      </w:r>
      <w:r w:rsidR="00B01073" w:rsidRPr="00BC37A6">
        <w:rPr>
          <w:rFonts w:ascii="Times New Roman" w:hAnsi="Times New Roman"/>
          <w:sz w:val="24"/>
          <w:szCs w:val="24"/>
        </w:rPr>
        <w:t xml:space="preserve"> </w:t>
      </w:r>
      <w:r w:rsidRPr="00BC37A6">
        <w:rPr>
          <w:rFonts w:ascii="Times New Roman" w:hAnsi="Times New Roman"/>
          <w:sz w:val="24"/>
          <w:szCs w:val="24"/>
        </w:rPr>
        <w:t>предузима</w:t>
      </w:r>
      <w:r w:rsidR="00B01073" w:rsidRPr="00BC37A6">
        <w:rPr>
          <w:rFonts w:ascii="Times New Roman" w:hAnsi="Times New Roman"/>
          <w:sz w:val="24"/>
          <w:szCs w:val="24"/>
        </w:rPr>
        <w:t xml:space="preserve"> </w:t>
      </w:r>
      <w:r w:rsidRPr="00BC37A6">
        <w:rPr>
          <w:rFonts w:ascii="Times New Roman" w:hAnsi="Times New Roman"/>
          <w:sz w:val="24"/>
          <w:szCs w:val="24"/>
        </w:rPr>
        <w:t>се</w:t>
      </w:r>
      <w:r w:rsidR="00B01073" w:rsidRPr="00BC37A6">
        <w:rPr>
          <w:rFonts w:ascii="Times New Roman" w:hAnsi="Times New Roman"/>
          <w:sz w:val="24"/>
          <w:szCs w:val="24"/>
        </w:rPr>
        <w:t xml:space="preserve"> </w:t>
      </w:r>
      <w:r w:rsidRPr="00BC37A6">
        <w:rPr>
          <w:rFonts w:ascii="Times New Roman" w:hAnsi="Times New Roman"/>
          <w:sz w:val="24"/>
          <w:szCs w:val="24"/>
        </w:rPr>
        <w:t>кад</w:t>
      </w:r>
      <w:r w:rsidR="00B01073" w:rsidRPr="00BC37A6">
        <w:rPr>
          <w:rFonts w:ascii="Times New Roman" w:hAnsi="Times New Roman"/>
          <w:sz w:val="24"/>
          <w:szCs w:val="24"/>
        </w:rPr>
        <w:t xml:space="preserve"> </w:t>
      </w:r>
      <w:r w:rsidRPr="00BC37A6">
        <w:rPr>
          <w:rFonts w:ascii="Times New Roman" w:hAnsi="Times New Roman"/>
          <w:sz w:val="24"/>
          <w:szCs w:val="24"/>
        </w:rPr>
        <w:t>доспела</w:t>
      </w:r>
      <w:r w:rsidR="00B01073" w:rsidRPr="00BC37A6">
        <w:rPr>
          <w:rFonts w:ascii="Times New Roman" w:hAnsi="Times New Roman"/>
          <w:sz w:val="24"/>
          <w:szCs w:val="24"/>
        </w:rPr>
        <w:t xml:space="preserve"> </w:t>
      </w:r>
      <w:r w:rsidRPr="00BC37A6">
        <w:rPr>
          <w:rFonts w:ascii="Times New Roman" w:hAnsi="Times New Roman"/>
          <w:sz w:val="24"/>
          <w:szCs w:val="24"/>
        </w:rPr>
        <w:t>пореска</w:t>
      </w:r>
      <w:r w:rsidR="00B01073" w:rsidRPr="00BC37A6">
        <w:rPr>
          <w:rFonts w:ascii="Times New Roman" w:hAnsi="Times New Roman"/>
          <w:sz w:val="24"/>
          <w:szCs w:val="24"/>
        </w:rPr>
        <w:t xml:space="preserve"> </w:t>
      </w:r>
      <w:r w:rsidRPr="00BC37A6">
        <w:rPr>
          <w:rFonts w:ascii="Times New Roman" w:hAnsi="Times New Roman"/>
          <w:sz w:val="24"/>
          <w:szCs w:val="24"/>
        </w:rPr>
        <w:t>обавеза</w:t>
      </w:r>
      <w:r w:rsidR="00B01073" w:rsidRPr="00BC37A6">
        <w:rPr>
          <w:rFonts w:ascii="Times New Roman" w:hAnsi="Times New Roman"/>
          <w:sz w:val="24"/>
          <w:szCs w:val="24"/>
        </w:rPr>
        <w:t xml:space="preserve"> </w:t>
      </w:r>
      <w:r w:rsidRPr="00BC37A6">
        <w:rPr>
          <w:rFonts w:ascii="Times New Roman" w:hAnsi="Times New Roman"/>
          <w:sz w:val="24"/>
          <w:szCs w:val="24"/>
        </w:rPr>
        <w:t>није</w:t>
      </w:r>
      <w:r w:rsidR="00B01073" w:rsidRPr="00BC37A6">
        <w:rPr>
          <w:rFonts w:ascii="Times New Roman" w:hAnsi="Times New Roman"/>
          <w:sz w:val="24"/>
          <w:szCs w:val="24"/>
        </w:rPr>
        <w:t xml:space="preserve"> </w:t>
      </w:r>
      <w:r w:rsidRPr="00BC37A6">
        <w:rPr>
          <w:rFonts w:ascii="Times New Roman" w:hAnsi="Times New Roman"/>
          <w:sz w:val="24"/>
          <w:szCs w:val="24"/>
        </w:rPr>
        <w:t>намирена</w:t>
      </w:r>
      <w:r w:rsidR="00B01073" w:rsidRPr="00BC37A6">
        <w:rPr>
          <w:rFonts w:ascii="Times New Roman" w:hAnsi="Times New Roman"/>
          <w:sz w:val="24"/>
          <w:szCs w:val="24"/>
        </w:rPr>
        <w:t xml:space="preserve"> </w:t>
      </w:r>
      <w:r w:rsidRPr="00BC37A6">
        <w:rPr>
          <w:rFonts w:ascii="Times New Roman" w:hAnsi="Times New Roman"/>
          <w:sz w:val="24"/>
          <w:szCs w:val="24"/>
        </w:rPr>
        <w:t>до</w:t>
      </w:r>
      <w:r w:rsidR="00B01073" w:rsidRPr="00BC37A6">
        <w:rPr>
          <w:rFonts w:ascii="Times New Roman" w:hAnsi="Times New Roman"/>
          <w:sz w:val="24"/>
          <w:szCs w:val="24"/>
        </w:rPr>
        <w:t xml:space="preserve"> </w:t>
      </w:r>
      <w:r w:rsidRPr="00BC37A6">
        <w:rPr>
          <w:rFonts w:ascii="Times New Roman" w:hAnsi="Times New Roman"/>
          <w:sz w:val="24"/>
          <w:szCs w:val="24"/>
        </w:rPr>
        <w:t>истека</w:t>
      </w:r>
      <w:r w:rsidR="00B01073" w:rsidRPr="00BC37A6">
        <w:rPr>
          <w:rFonts w:ascii="Times New Roman" w:hAnsi="Times New Roman"/>
          <w:sz w:val="24"/>
          <w:szCs w:val="24"/>
        </w:rPr>
        <w:t xml:space="preserve"> </w:t>
      </w:r>
      <w:r w:rsidRPr="00BC37A6">
        <w:rPr>
          <w:rFonts w:ascii="Times New Roman" w:hAnsi="Times New Roman"/>
          <w:sz w:val="24"/>
          <w:szCs w:val="24"/>
        </w:rPr>
        <w:t>рока</w:t>
      </w:r>
      <w:r w:rsidR="00B01073" w:rsidRPr="00BC37A6">
        <w:rPr>
          <w:rFonts w:ascii="Times New Roman" w:hAnsi="Times New Roman"/>
          <w:sz w:val="24"/>
          <w:szCs w:val="24"/>
        </w:rPr>
        <w:t xml:space="preserve"> </w:t>
      </w:r>
      <w:r w:rsidR="00784729" w:rsidRPr="00BC37A6">
        <w:rPr>
          <w:rFonts w:ascii="Times New Roman" w:hAnsi="Times New Roman"/>
          <w:sz w:val="24"/>
          <w:szCs w:val="24"/>
          <w:lang w:val="sr-Cyrl-CS"/>
        </w:rPr>
        <w:t>доспелости пореске обавезе.</w:t>
      </w:r>
    </w:p>
    <w:p w:rsidR="00B01073" w:rsidRPr="00BC37A6" w:rsidRDefault="00301FFD" w:rsidP="00BC37A6">
      <w:pPr>
        <w:ind w:firstLine="708"/>
        <w:jc w:val="both"/>
        <w:rPr>
          <w:rFonts w:ascii="Times New Roman" w:hAnsi="Times New Roman"/>
          <w:sz w:val="24"/>
          <w:szCs w:val="24"/>
          <w:lang w:val="sr-Cyrl-CS"/>
        </w:rPr>
      </w:pPr>
      <w:r w:rsidRPr="00BC37A6">
        <w:rPr>
          <w:rFonts w:ascii="Times New Roman" w:hAnsi="Times New Roman"/>
          <w:sz w:val="24"/>
          <w:szCs w:val="24"/>
        </w:rPr>
        <w:t>Наплата</w:t>
      </w:r>
      <w:r w:rsidR="00556132" w:rsidRPr="00BC37A6">
        <w:rPr>
          <w:rFonts w:ascii="Times New Roman" w:hAnsi="Times New Roman"/>
          <w:sz w:val="24"/>
          <w:szCs w:val="24"/>
        </w:rPr>
        <w:t xml:space="preserve"> </w:t>
      </w:r>
      <w:r w:rsidRPr="00BC37A6">
        <w:rPr>
          <w:rFonts w:ascii="Times New Roman" w:hAnsi="Times New Roman"/>
          <w:sz w:val="24"/>
          <w:szCs w:val="24"/>
        </w:rPr>
        <w:t>пореза</w:t>
      </w:r>
      <w:r w:rsidR="00556132" w:rsidRPr="00BC37A6">
        <w:rPr>
          <w:rFonts w:ascii="Times New Roman" w:hAnsi="Times New Roman"/>
          <w:sz w:val="24"/>
          <w:szCs w:val="24"/>
        </w:rPr>
        <w:t xml:space="preserve"> </w:t>
      </w:r>
      <w:r w:rsidRPr="00BC37A6">
        <w:rPr>
          <w:rFonts w:ascii="Times New Roman" w:hAnsi="Times New Roman"/>
          <w:sz w:val="24"/>
          <w:szCs w:val="24"/>
        </w:rPr>
        <w:t>врши</w:t>
      </w:r>
      <w:r w:rsidR="00556132" w:rsidRPr="00BC37A6">
        <w:rPr>
          <w:rFonts w:ascii="Times New Roman" w:hAnsi="Times New Roman"/>
          <w:sz w:val="24"/>
          <w:szCs w:val="24"/>
        </w:rPr>
        <w:t xml:space="preserve"> </w:t>
      </w:r>
      <w:r w:rsidRPr="00BC37A6">
        <w:rPr>
          <w:rFonts w:ascii="Times New Roman" w:hAnsi="Times New Roman"/>
          <w:sz w:val="24"/>
          <w:szCs w:val="24"/>
        </w:rPr>
        <w:t>се</w:t>
      </w:r>
      <w:r w:rsidR="00556132" w:rsidRPr="00BC37A6">
        <w:rPr>
          <w:rFonts w:ascii="Times New Roman" w:hAnsi="Times New Roman"/>
          <w:sz w:val="24"/>
          <w:szCs w:val="24"/>
        </w:rPr>
        <w:t xml:space="preserve">, </w:t>
      </w:r>
      <w:r w:rsidRPr="00BC37A6">
        <w:rPr>
          <w:rFonts w:ascii="Times New Roman" w:hAnsi="Times New Roman"/>
          <w:sz w:val="24"/>
          <w:szCs w:val="24"/>
        </w:rPr>
        <w:t>по</w:t>
      </w:r>
      <w:r w:rsidR="00556132" w:rsidRPr="00BC37A6">
        <w:rPr>
          <w:rFonts w:ascii="Times New Roman" w:hAnsi="Times New Roman"/>
          <w:sz w:val="24"/>
          <w:szCs w:val="24"/>
        </w:rPr>
        <w:t xml:space="preserve"> </w:t>
      </w:r>
      <w:r w:rsidRPr="00BC37A6">
        <w:rPr>
          <w:rFonts w:ascii="Times New Roman" w:hAnsi="Times New Roman"/>
          <w:sz w:val="24"/>
          <w:szCs w:val="24"/>
        </w:rPr>
        <w:t>правилу</w:t>
      </w:r>
      <w:r w:rsidR="00556132" w:rsidRPr="00BC37A6">
        <w:rPr>
          <w:rFonts w:ascii="Times New Roman" w:hAnsi="Times New Roman"/>
          <w:sz w:val="24"/>
          <w:szCs w:val="24"/>
        </w:rPr>
        <w:t xml:space="preserve">, </w:t>
      </w:r>
      <w:r w:rsidRPr="00BC37A6">
        <w:rPr>
          <w:rFonts w:ascii="Times New Roman" w:hAnsi="Times New Roman"/>
          <w:sz w:val="24"/>
          <w:szCs w:val="24"/>
        </w:rPr>
        <w:t>плаћањем</w:t>
      </w:r>
      <w:r w:rsidR="00556132" w:rsidRPr="00BC37A6">
        <w:rPr>
          <w:rFonts w:ascii="Times New Roman" w:hAnsi="Times New Roman"/>
          <w:sz w:val="24"/>
          <w:szCs w:val="24"/>
        </w:rPr>
        <w:t xml:space="preserve"> </w:t>
      </w:r>
      <w:r w:rsidRPr="00BC37A6">
        <w:rPr>
          <w:rFonts w:ascii="Times New Roman" w:hAnsi="Times New Roman"/>
          <w:sz w:val="24"/>
          <w:szCs w:val="24"/>
        </w:rPr>
        <w:t>новчаног</w:t>
      </w:r>
      <w:r w:rsidR="00556132" w:rsidRPr="00BC37A6">
        <w:rPr>
          <w:rFonts w:ascii="Times New Roman" w:hAnsi="Times New Roman"/>
          <w:sz w:val="24"/>
          <w:szCs w:val="24"/>
        </w:rPr>
        <w:t xml:space="preserve"> </w:t>
      </w:r>
      <w:r w:rsidRPr="00BC37A6">
        <w:rPr>
          <w:rFonts w:ascii="Times New Roman" w:hAnsi="Times New Roman"/>
          <w:sz w:val="24"/>
          <w:szCs w:val="24"/>
        </w:rPr>
        <w:t>износа</w:t>
      </w:r>
      <w:r w:rsidR="00556132" w:rsidRPr="00BC37A6">
        <w:rPr>
          <w:rFonts w:ascii="Times New Roman" w:hAnsi="Times New Roman"/>
          <w:sz w:val="24"/>
          <w:szCs w:val="24"/>
        </w:rPr>
        <w:t xml:space="preserve"> </w:t>
      </w:r>
      <w:r w:rsidRPr="00BC37A6">
        <w:rPr>
          <w:rFonts w:ascii="Times New Roman" w:hAnsi="Times New Roman"/>
          <w:sz w:val="24"/>
          <w:szCs w:val="24"/>
        </w:rPr>
        <w:t>о</w:t>
      </w:r>
      <w:r w:rsidR="00556132" w:rsidRPr="00BC37A6">
        <w:rPr>
          <w:rFonts w:ascii="Times New Roman" w:hAnsi="Times New Roman"/>
          <w:sz w:val="24"/>
          <w:szCs w:val="24"/>
        </w:rPr>
        <w:t xml:space="preserve"> </w:t>
      </w:r>
      <w:r w:rsidRPr="00BC37A6">
        <w:rPr>
          <w:rFonts w:ascii="Times New Roman" w:hAnsi="Times New Roman"/>
          <w:sz w:val="24"/>
          <w:szCs w:val="24"/>
        </w:rPr>
        <w:t>доспелости</w:t>
      </w:r>
      <w:r w:rsidR="00556132" w:rsidRPr="00BC37A6">
        <w:rPr>
          <w:rFonts w:ascii="Times New Roman" w:hAnsi="Times New Roman"/>
          <w:sz w:val="24"/>
          <w:szCs w:val="24"/>
        </w:rPr>
        <w:t xml:space="preserve"> </w:t>
      </w:r>
      <w:r w:rsidRPr="00BC37A6">
        <w:rPr>
          <w:rFonts w:ascii="Times New Roman" w:hAnsi="Times New Roman"/>
          <w:sz w:val="24"/>
          <w:szCs w:val="24"/>
        </w:rPr>
        <w:t>пореза</w:t>
      </w:r>
      <w:r w:rsidR="00556132" w:rsidRPr="00BC37A6">
        <w:rPr>
          <w:rFonts w:ascii="Times New Roman" w:hAnsi="Times New Roman"/>
          <w:sz w:val="24"/>
          <w:szCs w:val="24"/>
        </w:rPr>
        <w:t xml:space="preserve"> </w:t>
      </w:r>
      <w:r w:rsidRPr="00BC37A6">
        <w:rPr>
          <w:rFonts w:ascii="Times New Roman" w:hAnsi="Times New Roman"/>
          <w:sz w:val="24"/>
          <w:szCs w:val="24"/>
        </w:rPr>
        <w:t>на</w:t>
      </w:r>
      <w:r w:rsidR="00556132" w:rsidRPr="00BC37A6">
        <w:rPr>
          <w:rFonts w:ascii="Times New Roman" w:hAnsi="Times New Roman"/>
          <w:sz w:val="24"/>
          <w:szCs w:val="24"/>
        </w:rPr>
        <w:t xml:space="preserve"> </w:t>
      </w:r>
      <w:r w:rsidRPr="00BC37A6">
        <w:rPr>
          <w:rFonts w:ascii="Times New Roman" w:hAnsi="Times New Roman"/>
          <w:sz w:val="24"/>
          <w:szCs w:val="24"/>
        </w:rPr>
        <w:t>прописане</w:t>
      </w:r>
      <w:r w:rsidR="00556132" w:rsidRPr="00BC37A6">
        <w:rPr>
          <w:rFonts w:ascii="Times New Roman" w:hAnsi="Times New Roman"/>
          <w:sz w:val="24"/>
          <w:szCs w:val="24"/>
        </w:rPr>
        <w:t xml:space="preserve"> </w:t>
      </w:r>
      <w:r w:rsidRPr="00BC37A6">
        <w:rPr>
          <w:rFonts w:ascii="Times New Roman" w:hAnsi="Times New Roman"/>
          <w:sz w:val="24"/>
          <w:szCs w:val="24"/>
        </w:rPr>
        <w:t>уплатне</w:t>
      </w:r>
      <w:r w:rsidR="00556132" w:rsidRPr="00BC37A6">
        <w:rPr>
          <w:rFonts w:ascii="Times New Roman" w:hAnsi="Times New Roman"/>
          <w:sz w:val="24"/>
          <w:szCs w:val="24"/>
        </w:rPr>
        <w:t xml:space="preserve"> </w:t>
      </w:r>
      <w:r w:rsidRPr="00BC37A6">
        <w:rPr>
          <w:rFonts w:ascii="Times New Roman" w:hAnsi="Times New Roman"/>
          <w:sz w:val="24"/>
          <w:szCs w:val="24"/>
        </w:rPr>
        <w:t>рачуне</w:t>
      </w:r>
      <w:r w:rsidR="00556132" w:rsidRPr="00BC37A6">
        <w:rPr>
          <w:rFonts w:ascii="Times New Roman" w:hAnsi="Times New Roman"/>
          <w:sz w:val="24"/>
          <w:szCs w:val="24"/>
        </w:rPr>
        <w:t xml:space="preserve"> </w:t>
      </w:r>
      <w:r w:rsidRPr="00BC37A6">
        <w:rPr>
          <w:rFonts w:ascii="Times New Roman" w:hAnsi="Times New Roman"/>
          <w:sz w:val="24"/>
          <w:szCs w:val="24"/>
        </w:rPr>
        <w:t>јавних</w:t>
      </w:r>
      <w:r w:rsidR="00556132" w:rsidRPr="00BC37A6">
        <w:rPr>
          <w:rFonts w:ascii="Times New Roman" w:hAnsi="Times New Roman"/>
          <w:sz w:val="24"/>
          <w:szCs w:val="24"/>
        </w:rPr>
        <w:t xml:space="preserve"> </w:t>
      </w:r>
      <w:r w:rsidRPr="00BC37A6">
        <w:rPr>
          <w:rFonts w:ascii="Times New Roman" w:hAnsi="Times New Roman"/>
          <w:sz w:val="24"/>
          <w:szCs w:val="24"/>
        </w:rPr>
        <w:t>прихода</w:t>
      </w:r>
      <w:r w:rsidR="00556132" w:rsidRPr="00BC37A6">
        <w:rPr>
          <w:rFonts w:ascii="Times New Roman" w:hAnsi="Times New Roman"/>
          <w:sz w:val="24"/>
          <w:szCs w:val="24"/>
        </w:rPr>
        <w:t xml:space="preserve">, </w:t>
      </w:r>
      <w:r w:rsidRPr="00BC37A6">
        <w:rPr>
          <w:rFonts w:ascii="Times New Roman" w:hAnsi="Times New Roman"/>
          <w:sz w:val="24"/>
          <w:szCs w:val="24"/>
        </w:rPr>
        <w:t>у</w:t>
      </w:r>
      <w:r w:rsidR="00556132" w:rsidRPr="00BC37A6">
        <w:rPr>
          <w:rFonts w:ascii="Times New Roman" w:hAnsi="Times New Roman"/>
          <w:sz w:val="24"/>
          <w:szCs w:val="24"/>
        </w:rPr>
        <w:t xml:space="preserve"> </w:t>
      </w:r>
      <w:r w:rsidRPr="00BC37A6">
        <w:rPr>
          <w:rFonts w:ascii="Times New Roman" w:hAnsi="Times New Roman"/>
          <w:sz w:val="24"/>
          <w:szCs w:val="24"/>
        </w:rPr>
        <w:t>роковима</w:t>
      </w:r>
      <w:r w:rsidR="00556132" w:rsidRPr="00BC37A6">
        <w:rPr>
          <w:rFonts w:ascii="Times New Roman" w:hAnsi="Times New Roman"/>
          <w:sz w:val="24"/>
          <w:szCs w:val="24"/>
        </w:rPr>
        <w:t xml:space="preserve"> </w:t>
      </w:r>
      <w:r w:rsidRPr="00BC37A6">
        <w:rPr>
          <w:rFonts w:ascii="Times New Roman" w:hAnsi="Times New Roman"/>
          <w:sz w:val="24"/>
          <w:szCs w:val="24"/>
        </w:rPr>
        <w:t>прописаним</w:t>
      </w:r>
      <w:r w:rsidR="00556132" w:rsidRPr="00BC37A6">
        <w:rPr>
          <w:rFonts w:ascii="Times New Roman" w:hAnsi="Times New Roman"/>
          <w:sz w:val="24"/>
          <w:szCs w:val="24"/>
        </w:rPr>
        <w:t xml:space="preserve"> </w:t>
      </w:r>
      <w:r w:rsidRPr="00BC37A6">
        <w:rPr>
          <w:rFonts w:ascii="Times New Roman" w:hAnsi="Times New Roman"/>
          <w:sz w:val="24"/>
          <w:szCs w:val="24"/>
        </w:rPr>
        <w:t>законом</w:t>
      </w:r>
      <w:r w:rsidR="00556132" w:rsidRPr="00BC37A6">
        <w:rPr>
          <w:rFonts w:ascii="Times New Roman" w:hAnsi="Times New Roman"/>
          <w:sz w:val="24"/>
          <w:szCs w:val="24"/>
        </w:rPr>
        <w:t>.</w:t>
      </w:r>
      <w:r w:rsidR="00556132" w:rsidRPr="00BC37A6">
        <w:rPr>
          <w:rFonts w:ascii="Times New Roman" w:hAnsi="Times New Roman"/>
          <w:sz w:val="24"/>
          <w:szCs w:val="24"/>
          <w:lang w:val="sr-Cyrl-CS"/>
        </w:rPr>
        <w:t xml:space="preserve"> Доспелост пореза значи да  је наступио рок за испуњење пореске обавезе.</w:t>
      </w:r>
      <w:r w:rsidR="00784729" w:rsidRPr="00BC37A6">
        <w:rPr>
          <w:rFonts w:ascii="Times New Roman" w:hAnsi="Times New Roman"/>
          <w:sz w:val="24"/>
          <w:szCs w:val="24"/>
          <w:lang w:val="sr-Cyrl-CS"/>
        </w:rPr>
        <w:t xml:space="preserve">  </w:t>
      </w:r>
      <w:r w:rsidRPr="00BC37A6">
        <w:rPr>
          <w:rFonts w:ascii="Times New Roman" w:hAnsi="Times New Roman"/>
          <w:sz w:val="24"/>
          <w:szCs w:val="24"/>
        </w:rPr>
        <w:t>Пореска</w:t>
      </w:r>
      <w:r w:rsidR="00556132" w:rsidRPr="00BC37A6">
        <w:rPr>
          <w:rFonts w:ascii="Times New Roman" w:hAnsi="Times New Roman"/>
          <w:sz w:val="24"/>
          <w:szCs w:val="24"/>
        </w:rPr>
        <w:t xml:space="preserve"> </w:t>
      </w:r>
      <w:r w:rsidRPr="00BC37A6">
        <w:rPr>
          <w:rFonts w:ascii="Times New Roman" w:hAnsi="Times New Roman"/>
          <w:sz w:val="24"/>
          <w:szCs w:val="24"/>
        </w:rPr>
        <w:t>управа</w:t>
      </w:r>
      <w:r w:rsidR="00556132" w:rsidRPr="00BC37A6">
        <w:rPr>
          <w:rFonts w:ascii="Times New Roman" w:hAnsi="Times New Roman"/>
          <w:sz w:val="24"/>
          <w:szCs w:val="24"/>
        </w:rPr>
        <w:t xml:space="preserve"> </w:t>
      </w:r>
      <w:r w:rsidRPr="00BC37A6">
        <w:rPr>
          <w:rFonts w:ascii="Times New Roman" w:hAnsi="Times New Roman"/>
          <w:sz w:val="24"/>
          <w:szCs w:val="24"/>
        </w:rPr>
        <w:t>почиње</w:t>
      </w:r>
      <w:r w:rsidR="00556132" w:rsidRPr="00BC37A6">
        <w:rPr>
          <w:rFonts w:ascii="Times New Roman" w:hAnsi="Times New Roman"/>
          <w:sz w:val="24"/>
          <w:szCs w:val="24"/>
        </w:rPr>
        <w:t xml:space="preserve"> </w:t>
      </w:r>
      <w:r w:rsidRPr="00BC37A6">
        <w:rPr>
          <w:rFonts w:ascii="Times New Roman" w:hAnsi="Times New Roman"/>
          <w:sz w:val="24"/>
          <w:szCs w:val="24"/>
        </w:rPr>
        <w:t>поступак</w:t>
      </w:r>
      <w:r w:rsidR="00556132" w:rsidRPr="00BC37A6">
        <w:rPr>
          <w:rFonts w:ascii="Times New Roman" w:hAnsi="Times New Roman"/>
          <w:sz w:val="24"/>
          <w:szCs w:val="24"/>
        </w:rPr>
        <w:t xml:space="preserve"> </w:t>
      </w:r>
      <w:r w:rsidRPr="00BC37A6">
        <w:rPr>
          <w:rFonts w:ascii="Times New Roman" w:hAnsi="Times New Roman"/>
          <w:sz w:val="24"/>
          <w:szCs w:val="24"/>
        </w:rPr>
        <w:t>принудне</w:t>
      </w:r>
      <w:r w:rsidR="00556132" w:rsidRPr="00BC37A6">
        <w:rPr>
          <w:rFonts w:ascii="Times New Roman" w:hAnsi="Times New Roman"/>
          <w:sz w:val="24"/>
          <w:szCs w:val="24"/>
        </w:rPr>
        <w:t xml:space="preserve"> </w:t>
      </w:r>
      <w:r w:rsidRPr="00BC37A6">
        <w:rPr>
          <w:rFonts w:ascii="Times New Roman" w:hAnsi="Times New Roman"/>
          <w:sz w:val="24"/>
          <w:szCs w:val="24"/>
        </w:rPr>
        <w:t>наплате</w:t>
      </w:r>
      <w:r w:rsidR="00556132" w:rsidRPr="00BC37A6">
        <w:rPr>
          <w:rFonts w:ascii="Times New Roman" w:hAnsi="Times New Roman"/>
          <w:sz w:val="24"/>
          <w:szCs w:val="24"/>
        </w:rPr>
        <w:t xml:space="preserve"> </w:t>
      </w:r>
      <w:r w:rsidRPr="00BC37A6">
        <w:rPr>
          <w:rFonts w:ascii="Times New Roman" w:hAnsi="Times New Roman"/>
          <w:sz w:val="24"/>
          <w:szCs w:val="24"/>
        </w:rPr>
        <w:t>пореза</w:t>
      </w:r>
      <w:r w:rsidR="00556132" w:rsidRPr="00BC37A6">
        <w:rPr>
          <w:rFonts w:ascii="Times New Roman" w:hAnsi="Times New Roman"/>
          <w:sz w:val="24"/>
          <w:szCs w:val="24"/>
        </w:rPr>
        <w:t xml:space="preserve">, </w:t>
      </w:r>
      <w:r w:rsidRPr="00BC37A6">
        <w:rPr>
          <w:rFonts w:ascii="Times New Roman" w:hAnsi="Times New Roman"/>
          <w:sz w:val="24"/>
          <w:szCs w:val="24"/>
        </w:rPr>
        <w:t>односно</w:t>
      </w:r>
      <w:r w:rsidR="00556132" w:rsidRPr="00BC37A6">
        <w:rPr>
          <w:rFonts w:ascii="Times New Roman" w:hAnsi="Times New Roman"/>
          <w:sz w:val="24"/>
          <w:szCs w:val="24"/>
        </w:rPr>
        <w:t xml:space="preserve"> </w:t>
      </w:r>
      <w:r w:rsidRPr="00BC37A6">
        <w:rPr>
          <w:rFonts w:ascii="Times New Roman" w:hAnsi="Times New Roman"/>
          <w:sz w:val="24"/>
          <w:szCs w:val="24"/>
        </w:rPr>
        <w:t>споредних</w:t>
      </w:r>
      <w:r w:rsidR="00556132" w:rsidRPr="00BC37A6">
        <w:rPr>
          <w:rFonts w:ascii="Times New Roman" w:hAnsi="Times New Roman"/>
          <w:sz w:val="24"/>
          <w:szCs w:val="24"/>
        </w:rPr>
        <w:t xml:space="preserve"> </w:t>
      </w:r>
      <w:r w:rsidRPr="00BC37A6">
        <w:rPr>
          <w:rFonts w:ascii="Times New Roman" w:hAnsi="Times New Roman"/>
          <w:sz w:val="24"/>
          <w:szCs w:val="24"/>
        </w:rPr>
        <w:t>пореских</w:t>
      </w:r>
      <w:r w:rsidR="00556132" w:rsidRPr="00BC37A6">
        <w:rPr>
          <w:rFonts w:ascii="Times New Roman" w:hAnsi="Times New Roman"/>
          <w:sz w:val="24"/>
          <w:szCs w:val="24"/>
        </w:rPr>
        <w:t xml:space="preserve"> </w:t>
      </w:r>
      <w:r w:rsidRPr="00BC37A6">
        <w:rPr>
          <w:rFonts w:ascii="Times New Roman" w:hAnsi="Times New Roman"/>
          <w:sz w:val="24"/>
          <w:szCs w:val="24"/>
        </w:rPr>
        <w:t>давања</w:t>
      </w:r>
      <w:r w:rsidR="00556132" w:rsidRPr="00BC37A6">
        <w:rPr>
          <w:rFonts w:ascii="Times New Roman" w:hAnsi="Times New Roman"/>
          <w:sz w:val="24"/>
          <w:szCs w:val="24"/>
        </w:rPr>
        <w:t xml:space="preserve">, </w:t>
      </w:r>
      <w:r w:rsidRPr="00BC37A6">
        <w:rPr>
          <w:rFonts w:ascii="Times New Roman" w:hAnsi="Times New Roman"/>
          <w:sz w:val="24"/>
          <w:szCs w:val="24"/>
        </w:rPr>
        <w:t>доношењем</w:t>
      </w:r>
      <w:r w:rsidR="00556132" w:rsidRPr="00BC37A6">
        <w:rPr>
          <w:rFonts w:ascii="Times New Roman" w:hAnsi="Times New Roman"/>
          <w:sz w:val="24"/>
          <w:szCs w:val="24"/>
        </w:rPr>
        <w:t xml:space="preserve"> </w:t>
      </w:r>
      <w:r w:rsidRPr="00BC37A6">
        <w:rPr>
          <w:rFonts w:ascii="Times New Roman" w:hAnsi="Times New Roman"/>
          <w:sz w:val="24"/>
          <w:szCs w:val="24"/>
        </w:rPr>
        <w:t>решења</w:t>
      </w:r>
      <w:r w:rsidR="00556132" w:rsidRPr="00BC37A6">
        <w:rPr>
          <w:rFonts w:ascii="Times New Roman" w:hAnsi="Times New Roman"/>
          <w:sz w:val="24"/>
          <w:szCs w:val="24"/>
        </w:rPr>
        <w:t xml:space="preserve"> </w:t>
      </w:r>
      <w:r w:rsidRPr="00BC37A6">
        <w:rPr>
          <w:rFonts w:ascii="Times New Roman" w:hAnsi="Times New Roman"/>
          <w:sz w:val="24"/>
          <w:szCs w:val="24"/>
        </w:rPr>
        <w:t>о</w:t>
      </w:r>
      <w:r w:rsidR="00556132" w:rsidRPr="00BC37A6">
        <w:rPr>
          <w:rFonts w:ascii="Times New Roman" w:hAnsi="Times New Roman"/>
          <w:sz w:val="24"/>
          <w:szCs w:val="24"/>
        </w:rPr>
        <w:t xml:space="preserve"> </w:t>
      </w:r>
      <w:r w:rsidRPr="00BC37A6">
        <w:rPr>
          <w:rFonts w:ascii="Times New Roman" w:hAnsi="Times New Roman"/>
          <w:sz w:val="24"/>
          <w:szCs w:val="24"/>
        </w:rPr>
        <w:t>принудној</w:t>
      </w:r>
      <w:r w:rsidR="00556132" w:rsidRPr="00BC37A6">
        <w:rPr>
          <w:rFonts w:ascii="Times New Roman" w:hAnsi="Times New Roman"/>
          <w:sz w:val="24"/>
          <w:szCs w:val="24"/>
        </w:rPr>
        <w:t xml:space="preserve"> </w:t>
      </w:r>
      <w:r w:rsidRPr="00BC37A6">
        <w:rPr>
          <w:rFonts w:ascii="Times New Roman" w:hAnsi="Times New Roman"/>
          <w:sz w:val="24"/>
          <w:szCs w:val="24"/>
        </w:rPr>
        <w:t>наплати</w:t>
      </w:r>
      <w:r w:rsidR="00556132" w:rsidRPr="00BC37A6">
        <w:rPr>
          <w:rFonts w:ascii="Times New Roman" w:hAnsi="Times New Roman"/>
          <w:sz w:val="24"/>
          <w:szCs w:val="24"/>
        </w:rPr>
        <w:t xml:space="preserve"> </w:t>
      </w:r>
      <w:r w:rsidRPr="00BC37A6">
        <w:rPr>
          <w:rFonts w:ascii="Times New Roman" w:hAnsi="Times New Roman"/>
          <w:sz w:val="24"/>
          <w:szCs w:val="24"/>
        </w:rPr>
        <w:t>пореза</w:t>
      </w:r>
      <w:r w:rsidR="00556132" w:rsidRPr="00BC37A6">
        <w:rPr>
          <w:rFonts w:ascii="Times New Roman" w:hAnsi="Times New Roman"/>
          <w:sz w:val="24"/>
          <w:szCs w:val="24"/>
        </w:rPr>
        <w:t xml:space="preserve"> </w:t>
      </w:r>
      <w:r w:rsidRPr="00BC37A6">
        <w:rPr>
          <w:rFonts w:ascii="Times New Roman" w:hAnsi="Times New Roman"/>
          <w:sz w:val="24"/>
          <w:szCs w:val="24"/>
        </w:rPr>
        <w:t>ако</w:t>
      </w:r>
      <w:r w:rsidR="00556132" w:rsidRPr="00BC37A6">
        <w:rPr>
          <w:rFonts w:ascii="Times New Roman" w:hAnsi="Times New Roman"/>
          <w:sz w:val="24"/>
          <w:szCs w:val="24"/>
        </w:rPr>
        <w:t xml:space="preserve"> </w:t>
      </w:r>
      <w:r w:rsidRPr="00BC37A6">
        <w:rPr>
          <w:rFonts w:ascii="Times New Roman" w:hAnsi="Times New Roman"/>
          <w:sz w:val="24"/>
          <w:szCs w:val="24"/>
        </w:rPr>
        <w:t>порески</w:t>
      </w:r>
      <w:r w:rsidR="00556132" w:rsidRPr="00BC37A6">
        <w:rPr>
          <w:rFonts w:ascii="Times New Roman" w:hAnsi="Times New Roman"/>
          <w:sz w:val="24"/>
          <w:szCs w:val="24"/>
        </w:rPr>
        <w:t xml:space="preserve"> </w:t>
      </w:r>
      <w:r w:rsidRPr="00BC37A6">
        <w:rPr>
          <w:rFonts w:ascii="Times New Roman" w:hAnsi="Times New Roman"/>
          <w:sz w:val="24"/>
          <w:szCs w:val="24"/>
        </w:rPr>
        <w:t>обвезник</w:t>
      </w:r>
      <w:r w:rsidR="00556132" w:rsidRPr="00BC37A6">
        <w:rPr>
          <w:rFonts w:ascii="Times New Roman" w:hAnsi="Times New Roman"/>
          <w:sz w:val="24"/>
          <w:szCs w:val="24"/>
        </w:rPr>
        <w:t xml:space="preserve"> </w:t>
      </w:r>
      <w:r w:rsidRPr="00BC37A6">
        <w:rPr>
          <w:rFonts w:ascii="Times New Roman" w:hAnsi="Times New Roman"/>
          <w:sz w:val="24"/>
          <w:szCs w:val="24"/>
        </w:rPr>
        <w:t>није</w:t>
      </w:r>
      <w:r w:rsidR="00556132" w:rsidRPr="00BC37A6">
        <w:rPr>
          <w:rFonts w:ascii="Times New Roman" w:hAnsi="Times New Roman"/>
          <w:sz w:val="24"/>
          <w:szCs w:val="24"/>
        </w:rPr>
        <w:t xml:space="preserve"> </w:t>
      </w:r>
      <w:r w:rsidRPr="00BC37A6">
        <w:rPr>
          <w:rFonts w:ascii="Times New Roman" w:hAnsi="Times New Roman"/>
          <w:sz w:val="24"/>
          <w:szCs w:val="24"/>
        </w:rPr>
        <w:t>платио</w:t>
      </w:r>
      <w:r w:rsidR="00556132" w:rsidRPr="00BC37A6">
        <w:rPr>
          <w:rFonts w:ascii="Times New Roman" w:hAnsi="Times New Roman"/>
          <w:sz w:val="24"/>
          <w:szCs w:val="24"/>
        </w:rPr>
        <w:t xml:space="preserve"> </w:t>
      </w:r>
      <w:r w:rsidRPr="00BC37A6">
        <w:rPr>
          <w:rFonts w:ascii="Times New Roman" w:hAnsi="Times New Roman"/>
          <w:sz w:val="24"/>
          <w:szCs w:val="24"/>
        </w:rPr>
        <w:t>порез</w:t>
      </w:r>
      <w:r w:rsidR="00556132" w:rsidRPr="00BC37A6">
        <w:rPr>
          <w:rFonts w:ascii="Times New Roman" w:hAnsi="Times New Roman"/>
          <w:sz w:val="24"/>
          <w:szCs w:val="24"/>
        </w:rPr>
        <w:t xml:space="preserve">, </w:t>
      </w:r>
      <w:r w:rsidRPr="00BC37A6">
        <w:rPr>
          <w:rFonts w:ascii="Times New Roman" w:hAnsi="Times New Roman"/>
          <w:sz w:val="24"/>
          <w:szCs w:val="24"/>
        </w:rPr>
        <w:t>односно</w:t>
      </w:r>
      <w:r w:rsidR="00556132" w:rsidRPr="00BC37A6">
        <w:rPr>
          <w:rFonts w:ascii="Times New Roman" w:hAnsi="Times New Roman"/>
          <w:sz w:val="24"/>
          <w:szCs w:val="24"/>
        </w:rPr>
        <w:t xml:space="preserve"> </w:t>
      </w:r>
      <w:r w:rsidRPr="00BC37A6">
        <w:rPr>
          <w:rFonts w:ascii="Times New Roman" w:hAnsi="Times New Roman"/>
          <w:sz w:val="24"/>
          <w:szCs w:val="24"/>
        </w:rPr>
        <w:t>споредно</w:t>
      </w:r>
      <w:r w:rsidR="00556132" w:rsidRPr="00BC37A6">
        <w:rPr>
          <w:rFonts w:ascii="Times New Roman" w:hAnsi="Times New Roman"/>
          <w:sz w:val="24"/>
          <w:szCs w:val="24"/>
        </w:rPr>
        <w:t xml:space="preserve"> </w:t>
      </w:r>
      <w:r w:rsidRPr="00BC37A6">
        <w:rPr>
          <w:rFonts w:ascii="Times New Roman" w:hAnsi="Times New Roman"/>
          <w:sz w:val="24"/>
          <w:szCs w:val="24"/>
        </w:rPr>
        <w:t>пореско</w:t>
      </w:r>
      <w:r w:rsidR="00556132" w:rsidRPr="00BC37A6">
        <w:rPr>
          <w:rFonts w:ascii="Times New Roman" w:hAnsi="Times New Roman"/>
          <w:sz w:val="24"/>
          <w:szCs w:val="24"/>
        </w:rPr>
        <w:t xml:space="preserve"> </w:t>
      </w:r>
      <w:r w:rsidRPr="00BC37A6">
        <w:rPr>
          <w:rFonts w:ascii="Times New Roman" w:hAnsi="Times New Roman"/>
          <w:sz w:val="24"/>
          <w:szCs w:val="24"/>
        </w:rPr>
        <w:t>давање</w:t>
      </w:r>
      <w:r w:rsidR="00556132" w:rsidRPr="00BC37A6">
        <w:rPr>
          <w:rFonts w:ascii="Times New Roman" w:hAnsi="Times New Roman"/>
          <w:sz w:val="24"/>
          <w:szCs w:val="24"/>
        </w:rPr>
        <w:t xml:space="preserve"> </w:t>
      </w:r>
      <w:r w:rsidRPr="00BC37A6">
        <w:rPr>
          <w:rFonts w:ascii="Times New Roman" w:hAnsi="Times New Roman"/>
          <w:sz w:val="24"/>
          <w:szCs w:val="24"/>
        </w:rPr>
        <w:t>у</w:t>
      </w:r>
      <w:r w:rsidR="00556132" w:rsidRPr="00BC37A6">
        <w:rPr>
          <w:rFonts w:ascii="Times New Roman" w:hAnsi="Times New Roman"/>
          <w:sz w:val="24"/>
          <w:szCs w:val="24"/>
        </w:rPr>
        <w:t xml:space="preserve"> </w:t>
      </w:r>
      <w:r w:rsidRPr="00BC37A6">
        <w:rPr>
          <w:rFonts w:ascii="Times New Roman" w:hAnsi="Times New Roman"/>
          <w:sz w:val="24"/>
          <w:szCs w:val="24"/>
        </w:rPr>
        <w:t>року</w:t>
      </w:r>
      <w:r w:rsidR="00784729" w:rsidRPr="00BC37A6">
        <w:rPr>
          <w:rFonts w:ascii="Times New Roman" w:hAnsi="Times New Roman"/>
          <w:sz w:val="24"/>
          <w:szCs w:val="24"/>
          <w:lang w:val="sr-Cyrl-CS"/>
        </w:rPr>
        <w:t>.</w:t>
      </w:r>
      <w:r w:rsidR="00784729" w:rsidRPr="00BC37A6">
        <w:rPr>
          <w:rFonts w:ascii="Times New Roman" w:hAnsi="Times New Roman"/>
          <w:sz w:val="24"/>
          <w:szCs w:val="24"/>
        </w:rPr>
        <w:t xml:space="preserve"> </w:t>
      </w:r>
      <w:r w:rsidR="00556132" w:rsidRPr="00BC37A6">
        <w:rPr>
          <w:rFonts w:ascii="Times New Roman" w:hAnsi="Times New Roman"/>
          <w:sz w:val="24"/>
          <w:szCs w:val="24"/>
          <w:lang w:val="sr-Cyrl-CS"/>
        </w:rPr>
        <w:t xml:space="preserve">То је санкција за </w:t>
      </w:r>
      <w:r w:rsidR="00E97A0F" w:rsidRPr="00BC37A6">
        <w:rPr>
          <w:rFonts w:ascii="Times New Roman" w:hAnsi="Times New Roman"/>
          <w:sz w:val="24"/>
          <w:szCs w:val="24"/>
          <w:lang w:val="sr-Cyrl-CS"/>
        </w:rPr>
        <w:t>пореског обвезника.</w:t>
      </w:r>
    </w:p>
    <w:p w:rsidR="00457F75" w:rsidRPr="00301FFD" w:rsidRDefault="00457F75" w:rsidP="00301FFD">
      <w:pPr>
        <w:ind w:firstLine="708"/>
        <w:jc w:val="both"/>
        <w:rPr>
          <w:rFonts w:ascii="Times New Roman" w:hAnsi="Times New Roman"/>
          <w:sz w:val="24"/>
          <w:szCs w:val="24"/>
          <w:lang w:val="sr-Cyrl-CS"/>
        </w:rPr>
      </w:pPr>
      <w:r w:rsidRPr="00301FFD">
        <w:rPr>
          <w:rFonts w:ascii="Times New Roman" w:hAnsi="Times New Roman"/>
          <w:sz w:val="24"/>
          <w:szCs w:val="24"/>
          <w:lang w:val="sr-Cyrl-CS"/>
        </w:rPr>
        <w:t xml:space="preserve">Контролна функција Пореске управе је посебно значајна за сузбијање пореске евазије. </w:t>
      </w:r>
      <w:r w:rsidR="00BE510A" w:rsidRPr="00301FFD">
        <w:rPr>
          <w:rFonts w:ascii="Times New Roman" w:hAnsi="Times New Roman"/>
          <w:sz w:val="24"/>
          <w:szCs w:val="24"/>
          <w:lang w:val="sr-Cyrl-CS"/>
        </w:rPr>
        <w:t xml:space="preserve">Фаза контроле је </w:t>
      </w:r>
      <w:r w:rsidRPr="00301FFD">
        <w:rPr>
          <w:rFonts w:ascii="Times New Roman" w:hAnsi="Times New Roman"/>
          <w:sz w:val="24"/>
          <w:szCs w:val="24"/>
          <w:lang w:val="sr-Cyrl-CS"/>
        </w:rPr>
        <w:t xml:space="preserve">такође </w:t>
      </w:r>
      <w:r w:rsidR="000B3507">
        <w:rPr>
          <w:rFonts w:ascii="Times New Roman" w:hAnsi="Times New Roman"/>
          <w:sz w:val="24"/>
          <w:szCs w:val="24"/>
          <w:lang w:val="sr-Cyrl-CS"/>
        </w:rPr>
        <w:t>најос</w:t>
      </w:r>
      <w:r w:rsidR="00BE510A" w:rsidRPr="00301FFD">
        <w:rPr>
          <w:rFonts w:ascii="Times New Roman" w:hAnsi="Times New Roman"/>
          <w:sz w:val="24"/>
          <w:szCs w:val="24"/>
          <w:lang w:val="sr-Cyrl-CS"/>
        </w:rPr>
        <w:t>етљивија на корупцију, посебно због тога што постоји доста простора за дискреционо одлучивање, на пример у погледу висине казне која ће бити одређена.</w:t>
      </w:r>
      <w:r w:rsidRPr="00301FFD">
        <w:rPr>
          <w:rFonts w:ascii="Times New Roman" w:hAnsi="Times New Roman"/>
          <w:sz w:val="24"/>
          <w:szCs w:val="24"/>
          <w:lang w:val="sr-Cyrl-CS"/>
        </w:rPr>
        <w:t xml:space="preserve"> </w:t>
      </w:r>
    </w:p>
    <w:p w:rsidR="00314287" w:rsidRPr="00301FFD" w:rsidRDefault="00185D7B" w:rsidP="00301FFD">
      <w:pPr>
        <w:ind w:firstLine="708"/>
        <w:jc w:val="both"/>
        <w:rPr>
          <w:rFonts w:ascii="Times New Roman" w:hAnsi="Times New Roman"/>
          <w:sz w:val="24"/>
          <w:szCs w:val="24"/>
          <w:lang w:val="sr-Cyrl-CS"/>
        </w:rPr>
      </w:pPr>
      <w:r>
        <w:rPr>
          <w:rFonts w:ascii="Times New Roman" w:hAnsi="Times New Roman"/>
          <w:sz w:val="24"/>
          <w:szCs w:val="24"/>
          <w:lang w:val="sr-Cyrl-CS"/>
        </w:rPr>
        <w:lastRenderedPageBreak/>
        <w:t>Контролна функција</w:t>
      </w:r>
      <w:r w:rsidR="00997E5C">
        <w:rPr>
          <w:rFonts w:ascii="Times New Roman" w:hAnsi="Times New Roman"/>
          <w:sz w:val="24"/>
          <w:szCs w:val="24"/>
          <w:lang w:val="sr-Cyrl-CS"/>
        </w:rPr>
        <w:t xml:space="preserve"> Пореске управе</w:t>
      </w:r>
      <w:r w:rsidR="00314287" w:rsidRPr="00301FFD">
        <w:rPr>
          <w:rFonts w:ascii="Times New Roman" w:hAnsi="Times New Roman"/>
          <w:sz w:val="24"/>
          <w:szCs w:val="24"/>
          <w:lang w:val="sr-Cyrl-CS"/>
        </w:rPr>
        <w:t xml:space="preserve"> </w:t>
      </w:r>
      <w:r>
        <w:rPr>
          <w:rFonts w:ascii="Times New Roman" w:hAnsi="Times New Roman"/>
          <w:sz w:val="24"/>
          <w:szCs w:val="24"/>
          <w:lang w:val="sr-Cyrl-CS"/>
        </w:rPr>
        <w:t xml:space="preserve">може бити интерна и екстерна контрола, при чему се  интерном контолом врши </w:t>
      </w:r>
      <w:r w:rsidR="00314287" w:rsidRPr="00301FFD">
        <w:rPr>
          <w:rFonts w:ascii="Times New Roman" w:hAnsi="Times New Roman"/>
          <w:sz w:val="24"/>
          <w:szCs w:val="24"/>
          <w:lang w:val="sr-Cyrl-CS"/>
        </w:rPr>
        <w:t xml:space="preserve"> надзор над применом закона и</w:t>
      </w:r>
      <w:r>
        <w:rPr>
          <w:rFonts w:ascii="Times New Roman" w:hAnsi="Times New Roman"/>
          <w:sz w:val="24"/>
          <w:szCs w:val="24"/>
          <w:lang w:val="sr-Cyrl-CS"/>
        </w:rPr>
        <w:t xml:space="preserve"> других прописа у оквиру Управе, док се е</w:t>
      </w:r>
      <w:r w:rsidR="00314287" w:rsidRPr="00301FFD">
        <w:rPr>
          <w:rFonts w:ascii="Times New Roman" w:hAnsi="Times New Roman"/>
          <w:sz w:val="24"/>
          <w:szCs w:val="24"/>
          <w:lang w:val="sr-Cyrl-CS"/>
        </w:rPr>
        <w:t>кстерном контролом вр</w:t>
      </w:r>
      <w:r>
        <w:rPr>
          <w:rFonts w:ascii="Times New Roman" w:hAnsi="Times New Roman"/>
          <w:sz w:val="24"/>
          <w:szCs w:val="24"/>
          <w:lang w:val="sr-Cyrl-CS"/>
        </w:rPr>
        <w:t>ши</w:t>
      </w:r>
      <w:r w:rsidR="00784729" w:rsidRPr="00301FFD">
        <w:rPr>
          <w:rFonts w:ascii="Times New Roman" w:hAnsi="Times New Roman"/>
          <w:sz w:val="24"/>
          <w:szCs w:val="24"/>
          <w:lang w:val="sr-Cyrl-CS"/>
        </w:rPr>
        <w:t xml:space="preserve"> контрола тачности обрачуна</w:t>
      </w:r>
      <w:r w:rsidR="00314287" w:rsidRPr="00301FFD">
        <w:rPr>
          <w:rFonts w:ascii="Times New Roman" w:hAnsi="Times New Roman"/>
          <w:sz w:val="24"/>
          <w:szCs w:val="24"/>
          <w:lang w:val="sr-Cyrl-CS"/>
        </w:rPr>
        <w:t xml:space="preserve">вања и </w:t>
      </w:r>
      <w:r w:rsidR="000B3507">
        <w:rPr>
          <w:rFonts w:ascii="Times New Roman" w:hAnsi="Times New Roman"/>
          <w:sz w:val="24"/>
          <w:szCs w:val="24"/>
          <w:lang w:val="sr-Cyrl-CS"/>
        </w:rPr>
        <w:t>бла</w:t>
      </w:r>
      <w:r w:rsidR="00314287" w:rsidRPr="00301FFD">
        <w:rPr>
          <w:rFonts w:ascii="Times New Roman" w:hAnsi="Times New Roman"/>
          <w:sz w:val="24"/>
          <w:szCs w:val="24"/>
          <w:lang w:val="sr-Cyrl-CS"/>
        </w:rPr>
        <w:t>говремености плаћања обавеза по основу јав</w:t>
      </w:r>
      <w:r>
        <w:rPr>
          <w:rFonts w:ascii="Times New Roman" w:hAnsi="Times New Roman"/>
          <w:sz w:val="24"/>
          <w:szCs w:val="24"/>
          <w:lang w:val="sr-Cyrl-CS"/>
        </w:rPr>
        <w:t>них прихода од стране обвезника.</w:t>
      </w:r>
      <w:r w:rsidR="00314287" w:rsidRPr="00301FFD">
        <w:rPr>
          <w:rFonts w:ascii="Times New Roman" w:hAnsi="Times New Roman"/>
          <w:sz w:val="24"/>
          <w:szCs w:val="24"/>
          <w:lang w:val="sr-Cyrl-CS"/>
        </w:rPr>
        <w:t xml:space="preserve"> </w:t>
      </w:r>
      <w:r>
        <w:rPr>
          <w:rFonts w:ascii="Times New Roman" w:hAnsi="Times New Roman"/>
          <w:sz w:val="24"/>
          <w:szCs w:val="24"/>
          <w:lang w:val="sr-Cyrl-CS"/>
        </w:rPr>
        <w:t xml:space="preserve">Ову контролу врше </w:t>
      </w:r>
      <w:r w:rsidR="00314287" w:rsidRPr="00301FFD">
        <w:rPr>
          <w:rFonts w:ascii="Times New Roman" w:hAnsi="Times New Roman"/>
          <w:sz w:val="24"/>
          <w:szCs w:val="24"/>
          <w:lang w:val="sr-Cyrl-CS"/>
        </w:rPr>
        <w:t>порески инспектор и пореска полиција.</w:t>
      </w:r>
      <w:r w:rsidR="00314287" w:rsidRPr="00301FFD">
        <w:rPr>
          <w:rStyle w:val="FootnoteReference"/>
          <w:rFonts w:ascii="Times New Roman" w:hAnsi="Times New Roman"/>
          <w:sz w:val="24"/>
          <w:szCs w:val="24"/>
          <w:lang w:val="sr-Cyrl-CS"/>
        </w:rPr>
        <w:footnoteReference w:id="853"/>
      </w:r>
      <w:r w:rsidR="00BC37A6">
        <w:rPr>
          <w:rFonts w:ascii="Times New Roman" w:hAnsi="Times New Roman"/>
          <w:sz w:val="24"/>
          <w:szCs w:val="24"/>
          <w:lang w:val="sr-Cyrl-CS"/>
        </w:rPr>
        <w:t xml:space="preserve"> </w:t>
      </w:r>
    </w:p>
    <w:p w:rsidR="00457F75" w:rsidRPr="00301FFD" w:rsidRDefault="00301FFD" w:rsidP="00301FFD">
      <w:pPr>
        <w:pStyle w:val="normal0"/>
        <w:shd w:val="clear" w:color="auto" w:fill="FFFFFF"/>
        <w:ind w:firstLine="708"/>
        <w:jc w:val="both"/>
        <w:rPr>
          <w:color w:val="000000"/>
        </w:rPr>
      </w:pPr>
      <w:r w:rsidRPr="00301FFD">
        <w:rPr>
          <w:color w:val="000000"/>
        </w:rPr>
        <w:t>Пореска</w:t>
      </w:r>
      <w:r w:rsidR="00457F75" w:rsidRPr="00301FFD">
        <w:rPr>
          <w:color w:val="000000"/>
        </w:rPr>
        <w:t xml:space="preserve"> </w:t>
      </w:r>
      <w:r w:rsidRPr="00301FFD">
        <w:rPr>
          <w:color w:val="000000"/>
        </w:rPr>
        <w:t>контрола</w:t>
      </w:r>
      <w:r w:rsidR="00457F75" w:rsidRPr="00301FFD">
        <w:rPr>
          <w:color w:val="000000"/>
        </w:rPr>
        <w:t xml:space="preserve"> </w:t>
      </w:r>
      <w:r w:rsidRPr="00301FFD">
        <w:rPr>
          <w:color w:val="000000"/>
        </w:rPr>
        <w:t>је</w:t>
      </w:r>
      <w:r w:rsidR="00457F75" w:rsidRPr="00301FFD">
        <w:rPr>
          <w:color w:val="000000"/>
        </w:rPr>
        <w:t xml:space="preserve"> </w:t>
      </w:r>
      <w:r w:rsidRPr="00301FFD">
        <w:rPr>
          <w:color w:val="000000"/>
        </w:rPr>
        <w:t>поступак</w:t>
      </w:r>
      <w:r w:rsidR="00457F75" w:rsidRPr="00301FFD">
        <w:rPr>
          <w:color w:val="000000"/>
        </w:rPr>
        <w:t xml:space="preserve"> </w:t>
      </w:r>
      <w:r w:rsidRPr="00301FFD">
        <w:rPr>
          <w:color w:val="000000"/>
        </w:rPr>
        <w:t>провере</w:t>
      </w:r>
      <w:r w:rsidR="00457F75" w:rsidRPr="00301FFD">
        <w:rPr>
          <w:color w:val="000000"/>
        </w:rPr>
        <w:t xml:space="preserve"> </w:t>
      </w:r>
      <w:r w:rsidRPr="00301FFD">
        <w:rPr>
          <w:color w:val="000000"/>
        </w:rPr>
        <w:t>и</w:t>
      </w:r>
      <w:r w:rsidR="00457F75" w:rsidRPr="00301FFD">
        <w:rPr>
          <w:color w:val="000000"/>
        </w:rPr>
        <w:t xml:space="preserve"> </w:t>
      </w:r>
      <w:r w:rsidRPr="00301FFD">
        <w:rPr>
          <w:color w:val="000000"/>
        </w:rPr>
        <w:t>утврђивања</w:t>
      </w:r>
      <w:r w:rsidR="00457F75" w:rsidRPr="00301FFD">
        <w:rPr>
          <w:color w:val="000000"/>
        </w:rPr>
        <w:t xml:space="preserve"> </w:t>
      </w:r>
      <w:r w:rsidRPr="00301FFD">
        <w:rPr>
          <w:color w:val="000000"/>
        </w:rPr>
        <w:t>законитости</w:t>
      </w:r>
      <w:r w:rsidR="00457F75" w:rsidRPr="00301FFD">
        <w:rPr>
          <w:color w:val="000000"/>
        </w:rPr>
        <w:t xml:space="preserve"> </w:t>
      </w:r>
      <w:r w:rsidRPr="00301FFD">
        <w:rPr>
          <w:color w:val="000000"/>
        </w:rPr>
        <w:t>и</w:t>
      </w:r>
      <w:r w:rsidR="00457F75" w:rsidRPr="00301FFD">
        <w:rPr>
          <w:color w:val="000000"/>
        </w:rPr>
        <w:t xml:space="preserve"> </w:t>
      </w:r>
      <w:r w:rsidRPr="00301FFD">
        <w:rPr>
          <w:color w:val="000000"/>
        </w:rPr>
        <w:t>правилности</w:t>
      </w:r>
      <w:r w:rsidR="00457F75" w:rsidRPr="00301FFD">
        <w:rPr>
          <w:color w:val="000000"/>
        </w:rPr>
        <w:t xml:space="preserve"> </w:t>
      </w:r>
      <w:r w:rsidRPr="00301FFD">
        <w:rPr>
          <w:color w:val="000000"/>
        </w:rPr>
        <w:t>испуњавања</w:t>
      </w:r>
      <w:r w:rsidR="00457F75" w:rsidRPr="00301FFD">
        <w:rPr>
          <w:color w:val="000000"/>
        </w:rPr>
        <w:t xml:space="preserve"> </w:t>
      </w:r>
      <w:r w:rsidRPr="00301FFD">
        <w:rPr>
          <w:color w:val="000000"/>
        </w:rPr>
        <w:t>пореске</w:t>
      </w:r>
      <w:r w:rsidR="00457F75" w:rsidRPr="00301FFD">
        <w:rPr>
          <w:color w:val="000000"/>
        </w:rPr>
        <w:t xml:space="preserve"> </w:t>
      </w:r>
      <w:r w:rsidRPr="00301FFD">
        <w:rPr>
          <w:color w:val="000000"/>
        </w:rPr>
        <w:t>обавезе</w:t>
      </w:r>
      <w:r w:rsidR="00784729" w:rsidRPr="00301FFD">
        <w:rPr>
          <w:color w:val="000000"/>
        </w:rPr>
        <w:t xml:space="preserve">, </w:t>
      </w:r>
      <w:r w:rsidRPr="00301FFD">
        <w:rPr>
          <w:color w:val="000000"/>
        </w:rPr>
        <w:t>који</w:t>
      </w:r>
      <w:r w:rsidR="00784729" w:rsidRPr="00301FFD">
        <w:rPr>
          <w:color w:val="000000"/>
        </w:rPr>
        <w:t xml:space="preserve"> </w:t>
      </w:r>
      <w:r w:rsidRPr="00301FFD">
        <w:rPr>
          <w:color w:val="000000"/>
        </w:rPr>
        <w:t>врши</w:t>
      </w:r>
      <w:r w:rsidR="00784729" w:rsidRPr="00301FFD">
        <w:rPr>
          <w:color w:val="000000"/>
        </w:rPr>
        <w:t xml:space="preserve"> </w:t>
      </w:r>
      <w:r w:rsidRPr="00301FFD">
        <w:rPr>
          <w:color w:val="000000"/>
        </w:rPr>
        <w:t>Пореска</w:t>
      </w:r>
      <w:r w:rsidR="00784729" w:rsidRPr="00301FFD">
        <w:rPr>
          <w:color w:val="000000"/>
        </w:rPr>
        <w:t xml:space="preserve"> </w:t>
      </w:r>
      <w:r w:rsidRPr="00301FFD">
        <w:rPr>
          <w:color w:val="000000"/>
        </w:rPr>
        <w:t>управа</w:t>
      </w:r>
      <w:r w:rsidR="00784729" w:rsidRPr="00301FFD">
        <w:rPr>
          <w:color w:val="000000"/>
          <w:lang w:val="sr-Cyrl-CS"/>
        </w:rPr>
        <w:t>.</w:t>
      </w:r>
      <w:r w:rsidR="00457F75" w:rsidRPr="00301FFD">
        <w:rPr>
          <w:color w:val="000000"/>
        </w:rPr>
        <w:t xml:space="preserve"> </w:t>
      </w:r>
      <w:r w:rsidR="00784729" w:rsidRPr="00301FFD">
        <w:rPr>
          <w:color w:val="000000"/>
          <w:lang w:val="sr-Cyrl-CS"/>
        </w:rPr>
        <w:t xml:space="preserve"> </w:t>
      </w:r>
      <w:r w:rsidRPr="00301FFD">
        <w:rPr>
          <w:color w:val="000000"/>
        </w:rPr>
        <w:t>Ако</w:t>
      </w:r>
      <w:r w:rsidR="00457F75" w:rsidRPr="00301FFD">
        <w:rPr>
          <w:color w:val="000000"/>
        </w:rPr>
        <w:t xml:space="preserve"> </w:t>
      </w:r>
      <w:r w:rsidRPr="00301FFD">
        <w:rPr>
          <w:color w:val="000000"/>
        </w:rPr>
        <w:t>се</w:t>
      </w:r>
      <w:r w:rsidR="00457F75" w:rsidRPr="00301FFD">
        <w:rPr>
          <w:color w:val="000000"/>
        </w:rPr>
        <w:t xml:space="preserve"> </w:t>
      </w:r>
      <w:r w:rsidRPr="00301FFD">
        <w:rPr>
          <w:color w:val="000000"/>
        </w:rPr>
        <w:t>у</w:t>
      </w:r>
      <w:r w:rsidR="00457F75" w:rsidRPr="00301FFD">
        <w:rPr>
          <w:color w:val="000000"/>
        </w:rPr>
        <w:t xml:space="preserve"> </w:t>
      </w:r>
      <w:r w:rsidRPr="00301FFD">
        <w:rPr>
          <w:color w:val="000000"/>
        </w:rPr>
        <w:t>пореској</w:t>
      </w:r>
      <w:r w:rsidR="00457F75" w:rsidRPr="00301FFD">
        <w:rPr>
          <w:color w:val="000000"/>
        </w:rPr>
        <w:t xml:space="preserve"> </w:t>
      </w:r>
      <w:r w:rsidRPr="00301FFD">
        <w:rPr>
          <w:color w:val="000000"/>
        </w:rPr>
        <w:t>контроли</w:t>
      </w:r>
      <w:r w:rsidR="00457F75" w:rsidRPr="00301FFD">
        <w:rPr>
          <w:color w:val="000000"/>
        </w:rPr>
        <w:t xml:space="preserve"> </w:t>
      </w:r>
      <w:r w:rsidRPr="00301FFD">
        <w:rPr>
          <w:color w:val="000000"/>
        </w:rPr>
        <w:t>утврде</w:t>
      </w:r>
      <w:r w:rsidR="00457F75" w:rsidRPr="00301FFD">
        <w:rPr>
          <w:color w:val="000000"/>
        </w:rPr>
        <w:t xml:space="preserve"> </w:t>
      </w:r>
      <w:r w:rsidRPr="00301FFD">
        <w:rPr>
          <w:color w:val="000000"/>
        </w:rPr>
        <w:t>неправилности</w:t>
      </w:r>
      <w:r w:rsidR="00457F75" w:rsidRPr="00301FFD">
        <w:rPr>
          <w:color w:val="000000"/>
        </w:rPr>
        <w:t xml:space="preserve"> </w:t>
      </w:r>
      <w:r w:rsidRPr="00301FFD">
        <w:rPr>
          <w:color w:val="000000"/>
        </w:rPr>
        <w:t>или</w:t>
      </w:r>
      <w:r w:rsidR="00457F75" w:rsidRPr="00301FFD">
        <w:rPr>
          <w:color w:val="000000"/>
        </w:rPr>
        <w:t xml:space="preserve"> </w:t>
      </w:r>
      <w:r w:rsidRPr="00301FFD">
        <w:rPr>
          <w:color w:val="000000"/>
        </w:rPr>
        <w:t>пропусти</w:t>
      </w:r>
      <w:r w:rsidR="00457F75" w:rsidRPr="00301FFD">
        <w:rPr>
          <w:color w:val="000000"/>
        </w:rPr>
        <w:t xml:space="preserve"> </w:t>
      </w:r>
      <w:r w:rsidRPr="00301FFD">
        <w:rPr>
          <w:color w:val="000000"/>
        </w:rPr>
        <w:t>у</w:t>
      </w:r>
      <w:r w:rsidR="00457F75" w:rsidRPr="00301FFD">
        <w:rPr>
          <w:color w:val="000000"/>
        </w:rPr>
        <w:t xml:space="preserve"> </w:t>
      </w:r>
      <w:r w:rsidRPr="00301FFD">
        <w:rPr>
          <w:color w:val="000000"/>
        </w:rPr>
        <w:t>извршавању</w:t>
      </w:r>
      <w:r w:rsidR="00457F75" w:rsidRPr="00301FFD">
        <w:rPr>
          <w:color w:val="000000"/>
        </w:rPr>
        <w:t xml:space="preserve"> </w:t>
      </w:r>
      <w:r w:rsidRPr="00301FFD">
        <w:rPr>
          <w:color w:val="000000"/>
        </w:rPr>
        <w:t>обавеза</w:t>
      </w:r>
      <w:r w:rsidR="00457F75" w:rsidRPr="00301FFD">
        <w:rPr>
          <w:color w:val="000000"/>
        </w:rPr>
        <w:t xml:space="preserve"> </w:t>
      </w:r>
      <w:r w:rsidRPr="00301FFD">
        <w:rPr>
          <w:color w:val="000000"/>
        </w:rPr>
        <w:t>из</w:t>
      </w:r>
      <w:r w:rsidR="00457F75" w:rsidRPr="00301FFD">
        <w:rPr>
          <w:color w:val="000000"/>
        </w:rPr>
        <w:t xml:space="preserve"> </w:t>
      </w:r>
      <w:r w:rsidRPr="00301FFD">
        <w:rPr>
          <w:color w:val="000000"/>
        </w:rPr>
        <w:t>порескоправног</w:t>
      </w:r>
      <w:r w:rsidR="00457F75" w:rsidRPr="00301FFD">
        <w:rPr>
          <w:color w:val="000000"/>
        </w:rPr>
        <w:t xml:space="preserve"> </w:t>
      </w:r>
      <w:r w:rsidRPr="00301FFD">
        <w:rPr>
          <w:color w:val="000000"/>
        </w:rPr>
        <w:t>односа</w:t>
      </w:r>
      <w:r w:rsidR="00457F75" w:rsidRPr="00301FFD">
        <w:rPr>
          <w:color w:val="000000"/>
        </w:rPr>
        <w:t xml:space="preserve">, </w:t>
      </w:r>
      <w:r w:rsidRPr="00301FFD">
        <w:rPr>
          <w:color w:val="000000"/>
        </w:rPr>
        <w:t>пореском</w:t>
      </w:r>
      <w:r w:rsidR="00457F75" w:rsidRPr="00301FFD">
        <w:rPr>
          <w:color w:val="000000"/>
        </w:rPr>
        <w:t xml:space="preserve"> </w:t>
      </w:r>
      <w:r w:rsidRPr="00301FFD">
        <w:rPr>
          <w:color w:val="000000"/>
        </w:rPr>
        <w:t>обвезнику</w:t>
      </w:r>
      <w:r w:rsidR="00457F75" w:rsidRPr="00301FFD">
        <w:rPr>
          <w:color w:val="000000"/>
        </w:rPr>
        <w:t xml:space="preserve"> </w:t>
      </w:r>
      <w:r w:rsidRPr="00301FFD">
        <w:rPr>
          <w:color w:val="000000"/>
        </w:rPr>
        <w:t>се</w:t>
      </w:r>
      <w:r w:rsidR="00457F75" w:rsidRPr="00301FFD">
        <w:rPr>
          <w:color w:val="000000"/>
        </w:rPr>
        <w:t xml:space="preserve"> </w:t>
      </w:r>
      <w:r w:rsidRPr="00301FFD">
        <w:rPr>
          <w:color w:val="000000"/>
        </w:rPr>
        <w:t>налаже</w:t>
      </w:r>
      <w:r w:rsidR="00457F75" w:rsidRPr="00301FFD">
        <w:rPr>
          <w:color w:val="000000"/>
        </w:rPr>
        <w:t xml:space="preserve"> </w:t>
      </w:r>
      <w:r w:rsidRPr="00301FFD">
        <w:rPr>
          <w:color w:val="000000"/>
        </w:rPr>
        <w:t>да</w:t>
      </w:r>
      <w:r w:rsidR="00457F75" w:rsidRPr="00301FFD">
        <w:rPr>
          <w:color w:val="000000"/>
        </w:rPr>
        <w:t xml:space="preserve"> </w:t>
      </w:r>
      <w:r w:rsidRPr="00301FFD">
        <w:rPr>
          <w:color w:val="000000"/>
        </w:rPr>
        <w:t>их</w:t>
      </w:r>
      <w:r w:rsidR="00457F75" w:rsidRPr="00301FFD">
        <w:rPr>
          <w:color w:val="000000"/>
        </w:rPr>
        <w:t xml:space="preserve"> </w:t>
      </w:r>
      <w:r w:rsidRPr="00301FFD">
        <w:rPr>
          <w:color w:val="000000"/>
        </w:rPr>
        <w:t>отклони</w:t>
      </w:r>
      <w:r w:rsidR="00457F75" w:rsidRPr="00301FFD">
        <w:rPr>
          <w:color w:val="000000"/>
        </w:rPr>
        <w:t>.</w:t>
      </w:r>
    </w:p>
    <w:p w:rsidR="00457F75" w:rsidRPr="00301FFD" w:rsidRDefault="00301FFD" w:rsidP="00301FFD">
      <w:pPr>
        <w:pStyle w:val="normal0"/>
        <w:shd w:val="clear" w:color="auto" w:fill="FFFFFF"/>
        <w:ind w:firstLine="708"/>
        <w:jc w:val="both"/>
        <w:rPr>
          <w:color w:val="000000"/>
          <w:lang w:val="sr-Cyrl-CS"/>
        </w:rPr>
      </w:pPr>
      <w:r w:rsidRPr="00301FFD">
        <w:rPr>
          <w:color w:val="000000"/>
        </w:rPr>
        <w:t>У</w:t>
      </w:r>
      <w:r w:rsidR="00457F75" w:rsidRPr="00301FFD">
        <w:rPr>
          <w:color w:val="000000"/>
        </w:rPr>
        <w:t xml:space="preserve"> </w:t>
      </w:r>
      <w:r w:rsidRPr="00301FFD">
        <w:rPr>
          <w:color w:val="000000"/>
        </w:rPr>
        <w:t>поступку</w:t>
      </w:r>
      <w:r w:rsidR="00457F75" w:rsidRPr="00301FFD">
        <w:rPr>
          <w:color w:val="000000"/>
        </w:rPr>
        <w:t xml:space="preserve"> </w:t>
      </w:r>
      <w:r w:rsidRPr="00301FFD">
        <w:rPr>
          <w:color w:val="000000"/>
        </w:rPr>
        <w:t>пореске</w:t>
      </w:r>
      <w:r w:rsidR="00457F75" w:rsidRPr="00301FFD">
        <w:rPr>
          <w:color w:val="000000"/>
        </w:rPr>
        <w:t xml:space="preserve"> </w:t>
      </w:r>
      <w:r w:rsidRPr="00301FFD">
        <w:rPr>
          <w:color w:val="000000"/>
        </w:rPr>
        <w:t>контроле</w:t>
      </w:r>
      <w:r w:rsidR="00784729" w:rsidRPr="00301FFD">
        <w:rPr>
          <w:rStyle w:val="FootnoteReference"/>
          <w:color w:val="000000"/>
        </w:rPr>
        <w:footnoteReference w:id="854"/>
      </w:r>
      <w:r w:rsidR="00457F75" w:rsidRPr="00301FFD">
        <w:rPr>
          <w:color w:val="000000"/>
        </w:rPr>
        <w:t xml:space="preserve"> </w:t>
      </w:r>
      <w:r w:rsidRPr="00301FFD">
        <w:rPr>
          <w:color w:val="000000"/>
        </w:rPr>
        <w:t>Пореска</w:t>
      </w:r>
      <w:r w:rsidR="00457F75" w:rsidRPr="00301FFD">
        <w:rPr>
          <w:color w:val="000000"/>
        </w:rPr>
        <w:t xml:space="preserve"> </w:t>
      </w:r>
      <w:r w:rsidRPr="00301FFD">
        <w:rPr>
          <w:color w:val="000000"/>
        </w:rPr>
        <w:t>управа</w:t>
      </w:r>
      <w:r w:rsidR="00457F75" w:rsidRPr="00301FFD">
        <w:rPr>
          <w:color w:val="000000"/>
        </w:rPr>
        <w:t xml:space="preserve">, </w:t>
      </w:r>
      <w:r w:rsidRPr="00301FFD">
        <w:rPr>
          <w:color w:val="000000"/>
        </w:rPr>
        <w:t>у</w:t>
      </w:r>
      <w:r w:rsidR="00457F75" w:rsidRPr="00301FFD">
        <w:rPr>
          <w:color w:val="000000"/>
        </w:rPr>
        <w:t xml:space="preserve"> </w:t>
      </w:r>
      <w:r w:rsidRPr="00301FFD">
        <w:rPr>
          <w:color w:val="000000"/>
        </w:rPr>
        <w:t>складу</w:t>
      </w:r>
      <w:r w:rsidR="00457F75" w:rsidRPr="00301FFD">
        <w:rPr>
          <w:color w:val="000000"/>
        </w:rPr>
        <w:t xml:space="preserve"> </w:t>
      </w:r>
      <w:r w:rsidRPr="00301FFD">
        <w:rPr>
          <w:color w:val="000000"/>
        </w:rPr>
        <w:t>са</w:t>
      </w:r>
      <w:r w:rsidR="00457F75" w:rsidRPr="00301FFD">
        <w:rPr>
          <w:color w:val="000000"/>
        </w:rPr>
        <w:t xml:space="preserve"> </w:t>
      </w:r>
      <w:r w:rsidRPr="00301FFD">
        <w:rPr>
          <w:color w:val="000000"/>
        </w:rPr>
        <w:t>законом</w:t>
      </w:r>
      <w:r w:rsidR="00457F75" w:rsidRPr="00301FFD">
        <w:rPr>
          <w:color w:val="000000"/>
        </w:rPr>
        <w:t xml:space="preserve">, </w:t>
      </w:r>
      <w:r w:rsidRPr="00301FFD">
        <w:rPr>
          <w:color w:val="000000"/>
        </w:rPr>
        <w:t>обавља</w:t>
      </w:r>
      <w:r w:rsidR="00457F75" w:rsidRPr="00301FFD">
        <w:rPr>
          <w:color w:val="000000"/>
        </w:rPr>
        <w:t>:</w:t>
      </w:r>
      <w:r w:rsidR="00784729" w:rsidRPr="00301FFD">
        <w:rPr>
          <w:color w:val="000000"/>
          <w:lang w:val="sr-Cyrl-CS"/>
        </w:rPr>
        <w:t xml:space="preserve"> </w:t>
      </w:r>
    </w:p>
    <w:p w:rsidR="00457F75" w:rsidRPr="00301FFD" w:rsidRDefault="00457F75" w:rsidP="00301FFD">
      <w:pPr>
        <w:pStyle w:val="normal0"/>
        <w:shd w:val="clear" w:color="auto" w:fill="FFFFFF"/>
        <w:jc w:val="both"/>
        <w:rPr>
          <w:color w:val="000000"/>
        </w:rPr>
      </w:pPr>
      <w:r w:rsidRPr="00301FFD">
        <w:rPr>
          <w:color w:val="000000"/>
        </w:rPr>
        <w:t xml:space="preserve">1) </w:t>
      </w:r>
      <w:r w:rsidR="00301FFD" w:rsidRPr="00301FFD">
        <w:rPr>
          <w:color w:val="000000"/>
        </w:rPr>
        <w:t>канцеларијску</w:t>
      </w:r>
      <w:r w:rsidRPr="00301FFD">
        <w:rPr>
          <w:color w:val="000000"/>
        </w:rPr>
        <w:t xml:space="preserve"> </w:t>
      </w:r>
      <w:r w:rsidR="00301FFD" w:rsidRPr="00301FFD">
        <w:rPr>
          <w:color w:val="000000"/>
        </w:rPr>
        <w:t>контролу</w:t>
      </w:r>
      <w:r w:rsidRPr="00301FFD">
        <w:rPr>
          <w:color w:val="000000"/>
        </w:rPr>
        <w:t>;</w:t>
      </w:r>
    </w:p>
    <w:p w:rsidR="00457F75" w:rsidRPr="00301FFD" w:rsidRDefault="00457F75" w:rsidP="00301FFD">
      <w:pPr>
        <w:pStyle w:val="normal0"/>
        <w:shd w:val="clear" w:color="auto" w:fill="FFFFFF"/>
        <w:jc w:val="both"/>
        <w:rPr>
          <w:color w:val="000000"/>
        </w:rPr>
      </w:pPr>
      <w:r w:rsidRPr="00301FFD">
        <w:rPr>
          <w:color w:val="000000"/>
        </w:rPr>
        <w:t xml:space="preserve">2) </w:t>
      </w:r>
      <w:r w:rsidR="00301FFD" w:rsidRPr="00301FFD">
        <w:rPr>
          <w:color w:val="000000"/>
        </w:rPr>
        <w:t>теренску</w:t>
      </w:r>
      <w:r w:rsidRPr="00301FFD">
        <w:rPr>
          <w:color w:val="000000"/>
        </w:rPr>
        <w:t xml:space="preserve"> </w:t>
      </w:r>
      <w:r w:rsidR="00301FFD" w:rsidRPr="00301FFD">
        <w:rPr>
          <w:color w:val="000000"/>
        </w:rPr>
        <w:t>контролу</w:t>
      </w:r>
      <w:r w:rsidRPr="00301FFD">
        <w:rPr>
          <w:color w:val="000000"/>
        </w:rPr>
        <w:t>;</w:t>
      </w:r>
    </w:p>
    <w:p w:rsidR="00457F75" w:rsidRPr="00301FFD" w:rsidRDefault="00457F75" w:rsidP="00301FFD">
      <w:pPr>
        <w:pStyle w:val="normal0"/>
        <w:shd w:val="clear" w:color="auto" w:fill="FFFFFF"/>
        <w:jc w:val="both"/>
        <w:rPr>
          <w:color w:val="000000"/>
        </w:rPr>
      </w:pPr>
      <w:r w:rsidRPr="00301FFD">
        <w:rPr>
          <w:color w:val="000000"/>
        </w:rPr>
        <w:t xml:space="preserve">3) </w:t>
      </w:r>
      <w:r w:rsidR="00301FFD" w:rsidRPr="00301FFD">
        <w:rPr>
          <w:color w:val="000000"/>
        </w:rPr>
        <w:t>радње</w:t>
      </w:r>
      <w:r w:rsidRPr="00301FFD">
        <w:rPr>
          <w:color w:val="000000"/>
        </w:rPr>
        <w:t xml:space="preserve"> </w:t>
      </w:r>
      <w:r w:rsidR="00301FFD" w:rsidRPr="00301FFD">
        <w:rPr>
          <w:color w:val="000000"/>
        </w:rPr>
        <w:t>у</w:t>
      </w:r>
      <w:r w:rsidRPr="00301FFD">
        <w:rPr>
          <w:color w:val="000000"/>
        </w:rPr>
        <w:t xml:space="preserve"> </w:t>
      </w:r>
      <w:r w:rsidR="00301FFD" w:rsidRPr="00301FFD">
        <w:rPr>
          <w:color w:val="000000"/>
        </w:rPr>
        <w:t>циљу</w:t>
      </w:r>
      <w:r w:rsidRPr="00301FFD">
        <w:rPr>
          <w:color w:val="000000"/>
        </w:rPr>
        <w:t xml:space="preserve"> </w:t>
      </w:r>
      <w:r w:rsidR="00301FFD" w:rsidRPr="00301FFD">
        <w:rPr>
          <w:color w:val="000000"/>
        </w:rPr>
        <w:t>откривања</w:t>
      </w:r>
      <w:r w:rsidRPr="00301FFD">
        <w:rPr>
          <w:color w:val="000000"/>
        </w:rPr>
        <w:t xml:space="preserve"> </w:t>
      </w:r>
      <w:r w:rsidR="00301FFD" w:rsidRPr="00301FFD">
        <w:rPr>
          <w:color w:val="000000"/>
        </w:rPr>
        <w:t>пореских</w:t>
      </w:r>
      <w:r w:rsidRPr="00301FFD">
        <w:rPr>
          <w:color w:val="000000"/>
        </w:rPr>
        <w:t xml:space="preserve"> </w:t>
      </w:r>
      <w:r w:rsidR="00301FFD" w:rsidRPr="00301FFD">
        <w:rPr>
          <w:color w:val="000000"/>
        </w:rPr>
        <w:t>кривичних</w:t>
      </w:r>
      <w:r w:rsidRPr="00301FFD">
        <w:rPr>
          <w:color w:val="000000"/>
        </w:rPr>
        <w:t xml:space="preserve"> </w:t>
      </w:r>
      <w:r w:rsidR="00301FFD" w:rsidRPr="00301FFD">
        <w:rPr>
          <w:color w:val="000000"/>
        </w:rPr>
        <w:t>дела</w:t>
      </w:r>
      <w:r w:rsidRPr="00301FFD">
        <w:rPr>
          <w:color w:val="000000"/>
        </w:rPr>
        <w:t>.</w:t>
      </w:r>
    </w:p>
    <w:p w:rsidR="00457F75" w:rsidRPr="00301FFD" w:rsidRDefault="00301FFD" w:rsidP="00301FFD">
      <w:pPr>
        <w:pStyle w:val="normal0"/>
        <w:shd w:val="clear" w:color="auto" w:fill="FFFFFF"/>
        <w:ind w:firstLine="708"/>
        <w:jc w:val="both"/>
        <w:rPr>
          <w:color w:val="000000"/>
          <w:lang w:val="sr-Cyrl-CS"/>
        </w:rPr>
      </w:pPr>
      <w:r w:rsidRPr="00301FFD">
        <w:rPr>
          <w:color w:val="000000"/>
        </w:rPr>
        <w:t>Канцеларијска</w:t>
      </w:r>
      <w:r w:rsidR="00457F75" w:rsidRPr="00301FFD">
        <w:rPr>
          <w:color w:val="000000"/>
        </w:rPr>
        <w:t xml:space="preserve"> </w:t>
      </w:r>
      <w:r w:rsidRPr="00301FFD">
        <w:rPr>
          <w:color w:val="000000"/>
        </w:rPr>
        <w:t>контрола</w:t>
      </w:r>
      <w:r w:rsidR="00457F75" w:rsidRPr="00301FFD">
        <w:rPr>
          <w:color w:val="000000"/>
        </w:rPr>
        <w:t xml:space="preserve"> </w:t>
      </w:r>
      <w:r w:rsidRPr="00301FFD">
        <w:rPr>
          <w:color w:val="000000"/>
        </w:rPr>
        <w:t>представља</w:t>
      </w:r>
      <w:r w:rsidR="00457F75" w:rsidRPr="00301FFD">
        <w:rPr>
          <w:color w:val="000000"/>
        </w:rPr>
        <w:t xml:space="preserve"> </w:t>
      </w:r>
      <w:r w:rsidRPr="00301FFD">
        <w:rPr>
          <w:color w:val="000000"/>
        </w:rPr>
        <w:t>скуп</w:t>
      </w:r>
      <w:r w:rsidR="00457F75" w:rsidRPr="00301FFD">
        <w:rPr>
          <w:color w:val="000000"/>
        </w:rPr>
        <w:t xml:space="preserve"> </w:t>
      </w:r>
      <w:r w:rsidRPr="00301FFD">
        <w:rPr>
          <w:color w:val="000000"/>
        </w:rPr>
        <w:t>радњи</w:t>
      </w:r>
      <w:r w:rsidR="00457F75" w:rsidRPr="00301FFD">
        <w:rPr>
          <w:color w:val="000000"/>
        </w:rPr>
        <w:t xml:space="preserve"> </w:t>
      </w:r>
      <w:r w:rsidRPr="00301FFD">
        <w:rPr>
          <w:color w:val="000000"/>
        </w:rPr>
        <w:t>којима</w:t>
      </w:r>
      <w:r w:rsidR="00457F75" w:rsidRPr="00301FFD">
        <w:rPr>
          <w:color w:val="000000"/>
        </w:rPr>
        <w:t xml:space="preserve"> </w:t>
      </w:r>
      <w:r w:rsidRPr="00301FFD">
        <w:rPr>
          <w:color w:val="000000"/>
        </w:rPr>
        <w:t>Пореска</w:t>
      </w:r>
      <w:r w:rsidR="00457F75" w:rsidRPr="00301FFD">
        <w:rPr>
          <w:color w:val="000000"/>
        </w:rPr>
        <w:t xml:space="preserve"> </w:t>
      </w:r>
      <w:r w:rsidRPr="00301FFD">
        <w:rPr>
          <w:color w:val="000000"/>
        </w:rPr>
        <w:t>управа</w:t>
      </w:r>
      <w:r w:rsidR="00457F75" w:rsidRPr="00301FFD">
        <w:rPr>
          <w:color w:val="000000"/>
        </w:rPr>
        <w:t xml:space="preserve"> </w:t>
      </w:r>
      <w:r w:rsidRPr="00301FFD">
        <w:rPr>
          <w:color w:val="000000"/>
        </w:rPr>
        <w:t>проверава</w:t>
      </w:r>
      <w:r w:rsidR="00457F75" w:rsidRPr="00301FFD">
        <w:rPr>
          <w:color w:val="000000"/>
        </w:rPr>
        <w:t xml:space="preserve"> </w:t>
      </w:r>
      <w:r w:rsidRPr="00301FFD">
        <w:rPr>
          <w:color w:val="000000"/>
        </w:rPr>
        <w:t>тачност</w:t>
      </w:r>
      <w:r w:rsidR="00457F75" w:rsidRPr="00301FFD">
        <w:rPr>
          <w:color w:val="000000"/>
        </w:rPr>
        <w:t xml:space="preserve">, </w:t>
      </w:r>
      <w:r w:rsidRPr="00301FFD">
        <w:rPr>
          <w:color w:val="000000"/>
        </w:rPr>
        <w:t>потпуност</w:t>
      </w:r>
      <w:r w:rsidR="00457F75" w:rsidRPr="00301FFD">
        <w:rPr>
          <w:color w:val="000000"/>
        </w:rPr>
        <w:t xml:space="preserve"> </w:t>
      </w:r>
      <w:r w:rsidRPr="00301FFD">
        <w:rPr>
          <w:color w:val="000000"/>
        </w:rPr>
        <w:t>и</w:t>
      </w:r>
      <w:r w:rsidR="00457F75" w:rsidRPr="00301FFD">
        <w:rPr>
          <w:color w:val="000000"/>
        </w:rPr>
        <w:t xml:space="preserve"> </w:t>
      </w:r>
      <w:r w:rsidRPr="00301FFD">
        <w:rPr>
          <w:color w:val="000000"/>
        </w:rPr>
        <w:t>усклађеност</w:t>
      </w:r>
      <w:r w:rsidR="00457F75" w:rsidRPr="00301FFD">
        <w:rPr>
          <w:color w:val="000000"/>
        </w:rPr>
        <w:t xml:space="preserve"> </w:t>
      </w:r>
      <w:r w:rsidRPr="00301FFD">
        <w:rPr>
          <w:color w:val="000000"/>
        </w:rPr>
        <w:t>са</w:t>
      </w:r>
      <w:r w:rsidR="00457F75" w:rsidRPr="00301FFD">
        <w:rPr>
          <w:color w:val="000000"/>
        </w:rPr>
        <w:t xml:space="preserve"> </w:t>
      </w:r>
      <w:r w:rsidRPr="00301FFD">
        <w:rPr>
          <w:color w:val="000000"/>
        </w:rPr>
        <w:t>законом</w:t>
      </w:r>
      <w:r w:rsidR="00457F75" w:rsidRPr="00301FFD">
        <w:rPr>
          <w:color w:val="000000"/>
        </w:rPr>
        <w:t xml:space="preserve">, </w:t>
      </w:r>
      <w:r w:rsidRPr="00301FFD">
        <w:rPr>
          <w:color w:val="000000"/>
        </w:rPr>
        <w:t>односно</w:t>
      </w:r>
      <w:r w:rsidR="00457F75" w:rsidRPr="00301FFD">
        <w:rPr>
          <w:color w:val="000000"/>
        </w:rPr>
        <w:t xml:space="preserve"> </w:t>
      </w:r>
      <w:r w:rsidRPr="00301FFD">
        <w:rPr>
          <w:color w:val="000000"/>
        </w:rPr>
        <w:t>другим</w:t>
      </w:r>
      <w:r w:rsidR="00457F75" w:rsidRPr="00301FFD">
        <w:rPr>
          <w:color w:val="000000"/>
        </w:rPr>
        <w:t xml:space="preserve"> </w:t>
      </w:r>
      <w:r w:rsidRPr="00301FFD">
        <w:rPr>
          <w:color w:val="000000"/>
        </w:rPr>
        <w:t>прописом</w:t>
      </w:r>
      <w:r w:rsidR="00457F75" w:rsidRPr="00301FFD">
        <w:rPr>
          <w:color w:val="000000"/>
        </w:rPr>
        <w:t xml:space="preserve"> </w:t>
      </w:r>
      <w:r w:rsidRPr="00301FFD">
        <w:rPr>
          <w:color w:val="000000"/>
        </w:rPr>
        <w:t>података</w:t>
      </w:r>
      <w:r w:rsidR="00457F75" w:rsidRPr="00301FFD">
        <w:rPr>
          <w:color w:val="000000"/>
        </w:rPr>
        <w:t xml:space="preserve"> </w:t>
      </w:r>
      <w:r w:rsidRPr="00301FFD">
        <w:rPr>
          <w:color w:val="000000"/>
        </w:rPr>
        <w:t>исказаних</w:t>
      </w:r>
      <w:r w:rsidR="00457F75" w:rsidRPr="00301FFD">
        <w:rPr>
          <w:color w:val="000000"/>
        </w:rPr>
        <w:t xml:space="preserve"> </w:t>
      </w:r>
      <w:r w:rsidRPr="00301FFD">
        <w:rPr>
          <w:color w:val="000000"/>
        </w:rPr>
        <w:t>у</w:t>
      </w:r>
      <w:r w:rsidR="00457F75" w:rsidRPr="00301FFD">
        <w:rPr>
          <w:color w:val="000000"/>
        </w:rPr>
        <w:t xml:space="preserve"> </w:t>
      </w:r>
      <w:r w:rsidRPr="00301FFD">
        <w:rPr>
          <w:color w:val="000000"/>
        </w:rPr>
        <w:t>пореској</w:t>
      </w:r>
      <w:r w:rsidR="00457F75" w:rsidRPr="00301FFD">
        <w:rPr>
          <w:color w:val="000000"/>
        </w:rPr>
        <w:t xml:space="preserve"> </w:t>
      </w:r>
      <w:r w:rsidRPr="00301FFD">
        <w:rPr>
          <w:color w:val="000000"/>
        </w:rPr>
        <w:t>пријави</w:t>
      </w:r>
      <w:r w:rsidR="00457F75" w:rsidRPr="00301FFD">
        <w:rPr>
          <w:color w:val="000000"/>
        </w:rPr>
        <w:t xml:space="preserve">, </w:t>
      </w:r>
      <w:r w:rsidRPr="00301FFD">
        <w:rPr>
          <w:color w:val="000000"/>
        </w:rPr>
        <w:t>као</w:t>
      </w:r>
      <w:r w:rsidR="00457F75" w:rsidRPr="00301FFD">
        <w:rPr>
          <w:color w:val="000000"/>
        </w:rPr>
        <w:t xml:space="preserve"> </w:t>
      </w:r>
      <w:r w:rsidRPr="00301FFD">
        <w:rPr>
          <w:color w:val="000000"/>
        </w:rPr>
        <w:t>и</w:t>
      </w:r>
      <w:r w:rsidR="00457F75" w:rsidRPr="00301FFD">
        <w:rPr>
          <w:color w:val="000000"/>
        </w:rPr>
        <w:t xml:space="preserve"> </w:t>
      </w:r>
      <w:r w:rsidRPr="00301FFD">
        <w:rPr>
          <w:color w:val="000000"/>
        </w:rPr>
        <w:t>пореском</w:t>
      </w:r>
      <w:r w:rsidR="00457F75" w:rsidRPr="00301FFD">
        <w:rPr>
          <w:color w:val="000000"/>
        </w:rPr>
        <w:t xml:space="preserve"> </w:t>
      </w:r>
      <w:r w:rsidRPr="00301FFD">
        <w:rPr>
          <w:color w:val="000000"/>
        </w:rPr>
        <w:t>билансу</w:t>
      </w:r>
      <w:r w:rsidR="00457F75" w:rsidRPr="00301FFD">
        <w:rPr>
          <w:color w:val="000000"/>
        </w:rPr>
        <w:t xml:space="preserve">, </w:t>
      </w:r>
      <w:r w:rsidRPr="00301FFD">
        <w:rPr>
          <w:color w:val="000000"/>
        </w:rPr>
        <w:t>рачуноводственим</w:t>
      </w:r>
      <w:r w:rsidR="00457F75" w:rsidRPr="00301FFD">
        <w:rPr>
          <w:color w:val="000000"/>
        </w:rPr>
        <w:t xml:space="preserve"> </w:t>
      </w:r>
      <w:r w:rsidRPr="00301FFD">
        <w:rPr>
          <w:color w:val="000000"/>
        </w:rPr>
        <w:t>извештајима</w:t>
      </w:r>
      <w:r w:rsidR="00457F75" w:rsidRPr="00301FFD">
        <w:rPr>
          <w:color w:val="000000"/>
        </w:rPr>
        <w:t xml:space="preserve"> </w:t>
      </w:r>
      <w:r w:rsidRPr="00301FFD">
        <w:rPr>
          <w:color w:val="000000"/>
        </w:rPr>
        <w:t>и</w:t>
      </w:r>
      <w:r w:rsidR="00457F75" w:rsidRPr="00301FFD">
        <w:rPr>
          <w:color w:val="000000"/>
        </w:rPr>
        <w:t xml:space="preserve"> </w:t>
      </w:r>
      <w:r w:rsidRPr="00301FFD">
        <w:rPr>
          <w:color w:val="000000"/>
        </w:rPr>
        <w:t>другим</w:t>
      </w:r>
      <w:r w:rsidR="00784729" w:rsidRPr="00301FFD">
        <w:rPr>
          <w:color w:val="000000"/>
        </w:rPr>
        <w:t xml:space="preserve"> </w:t>
      </w:r>
      <w:r w:rsidRPr="00301FFD">
        <w:rPr>
          <w:color w:val="000000"/>
        </w:rPr>
        <w:t>евиденцијама</w:t>
      </w:r>
      <w:r w:rsidR="00784729" w:rsidRPr="00301FFD">
        <w:rPr>
          <w:color w:val="000000"/>
        </w:rPr>
        <w:t xml:space="preserve"> </w:t>
      </w:r>
      <w:r w:rsidRPr="00301FFD">
        <w:rPr>
          <w:color w:val="000000"/>
        </w:rPr>
        <w:t>пореског</w:t>
      </w:r>
      <w:r w:rsidR="00457F75" w:rsidRPr="00301FFD">
        <w:rPr>
          <w:color w:val="000000"/>
        </w:rPr>
        <w:t xml:space="preserve"> </w:t>
      </w:r>
      <w:r w:rsidRPr="00301FFD">
        <w:rPr>
          <w:color w:val="000000"/>
        </w:rPr>
        <w:t>обвезника</w:t>
      </w:r>
      <w:r w:rsidR="00457F75" w:rsidRPr="00301FFD">
        <w:rPr>
          <w:color w:val="000000"/>
        </w:rPr>
        <w:t xml:space="preserve">, </w:t>
      </w:r>
      <w:r w:rsidRPr="00301FFD">
        <w:rPr>
          <w:color w:val="000000"/>
        </w:rPr>
        <w:t>упоређивањем</w:t>
      </w:r>
      <w:r w:rsidR="00457F75" w:rsidRPr="00301FFD">
        <w:rPr>
          <w:color w:val="000000"/>
        </w:rPr>
        <w:t xml:space="preserve"> </w:t>
      </w:r>
      <w:r w:rsidRPr="00301FFD">
        <w:rPr>
          <w:color w:val="000000"/>
        </w:rPr>
        <w:t>са</w:t>
      </w:r>
      <w:r w:rsidR="00457F75" w:rsidRPr="00301FFD">
        <w:rPr>
          <w:color w:val="000000"/>
        </w:rPr>
        <w:t xml:space="preserve"> </w:t>
      </w:r>
      <w:r w:rsidRPr="00301FFD">
        <w:rPr>
          <w:color w:val="000000"/>
        </w:rPr>
        <w:t>подацима</w:t>
      </w:r>
      <w:r w:rsidR="00457F75" w:rsidRPr="00301FFD">
        <w:rPr>
          <w:color w:val="000000"/>
        </w:rPr>
        <w:t xml:space="preserve"> </w:t>
      </w:r>
      <w:r w:rsidRPr="00301FFD">
        <w:rPr>
          <w:color w:val="000000"/>
        </w:rPr>
        <w:t>из</w:t>
      </w:r>
      <w:r w:rsidR="00457F75" w:rsidRPr="00301FFD">
        <w:rPr>
          <w:color w:val="000000"/>
        </w:rPr>
        <w:t xml:space="preserve"> </w:t>
      </w:r>
      <w:r w:rsidRPr="00301FFD">
        <w:rPr>
          <w:color w:val="000000"/>
        </w:rPr>
        <w:t>пореског</w:t>
      </w:r>
      <w:r w:rsidR="00457F75" w:rsidRPr="00301FFD">
        <w:rPr>
          <w:color w:val="000000"/>
        </w:rPr>
        <w:t xml:space="preserve"> </w:t>
      </w:r>
      <w:r w:rsidRPr="00301FFD">
        <w:rPr>
          <w:color w:val="000000"/>
        </w:rPr>
        <w:t>рачуноводства</w:t>
      </w:r>
      <w:r w:rsidR="00457F75" w:rsidRPr="00301FFD">
        <w:rPr>
          <w:color w:val="000000"/>
        </w:rPr>
        <w:t xml:space="preserve"> </w:t>
      </w:r>
      <w:r w:rsidRPr="00301FFD">
        <w:rPr>
          <w:color w:val="000000"/>
        </w:rPr>
        <w:t>и</w:t>
      </w:r>
      <w:r w:rsidR="00457F75" w:rsidRPr="00301FFD">
        <w:rPr>
          <w:color w:val="000000"/>
        </w:rPr>
        <w:t xml:space="preserve"> </w:t>
      </w:r>
      <w:r w:rsidRPr="00301FFD">
        <w:rPr>
          <w:color w:val="000000"/>
        </w:rPr>
        <w:t>других</w:t>
      </w:r>
      <w:r w:rsidR="00457F75" w:rsidRPr="00301FFD">
        <w:rPr>
          <w:color w:val="000000"/>
        </w:rPr>
        <w:t xml:space="preserve"> </w:t>
      </w:r>
      <w:r w:rsidRPr="00301FFD">
        <w:rPr>
          <w:color w:val="000000"/>
        </w:rPr>
        <w:t>службених</w:t>
      </w:r>
      <w:r w:rsidR="00457F75" w:rsidRPr="00301FFD">
        <w:rPr>
          <w:color w:val="000000"/>
        </w:rPr>
        <w:t xml:space="preserve"> </w:t>
      </w:r>
      <w:r w:rsidRPr="00301FFD">
        <w:rPr>
          <w:color w:val="000000"/>
        </w:rPr>
        <w:t>евиденција</w:t>
      </w:r>
      <w:r w:rsidR="00457F75" w:rsidRPr="00301FFD">
        <w:rPr>
          <w:color w:val="000000"/>
        </w:rPr>
        <w:t xml:space="preserve"> </w:t>
      </w:r>
      <w:r w:rsidRPr="00301FFD">
        <w:rPr>
          <w:color w:val="000000"/>
        </w:rPr>
        <w:t>које</w:t>
      </w:r>
      <w:r w:rsidR="00457F75" w:rsidRPr="00301FFD">
        <w:rPr>
          <w:color w:val="000000"/>
        </w:rPr>
        <w:t xml:space="preserve"> </w:t>
      </w:r>
      <w:r w:rsidRPr="00301FFD">
        <w:rPr>
          <w:color w:val="000000"/>
        </w:rPr>
        <w:t>води</w:t>
      </w:r>
      <w:r w:rsidR="00457F75" w:rsidRPr="00301FFD">
        <w:rPr>
          <w:color w:val="000000"/>
        </w:rPr>
        <w:t xml:space="preserve">, </w:t>
      </w:r>
      <w:r w:rsidRPr="00301FFD">
        <w:rPr>
          <w:color w:val="000000"/>
        </w:rPr>
        <w:t>односно</w:t>
      </w:r>
      <w:r w:rsidR="00457F75" w:rsidRPr="00301FFD">
        <w:rPr>
          <w:color w:val="000000"/>
        </w:rPr>
        <w:t xml:space="preserve"> </w:t>
      </w:r>
      <w:r w:rsidRPr="00301FFD">
        <w:rPr>
          <w:color w:val="000000"/>
        </w:rPr>
        <w:t>којима</w:t>
      </w:r>
      <w:r w:rsidR="00457F75" w:rsidRPr="00301FFD">
        <w:rPr>
          <w:color w:val="000000"/>
        </w:rPr>
        <w:t xml:space="preserve"> </w:t>
      </w:r>
      <w:r w:rsidRPr="00301FFD">
        <w:rPr>
          <w:color w:val="000000"/>
        </w:rPr>
        <w:t>располаже</w:t>
      </w:r>
      <w:r w:rsidR="00457F75" w:rsidRPr="00301FFD">
        <w:rPr>
          <w:color w:val="000000"/>
        </w:rPr>
        <w:t xml:space="preserve"> </w:t>
      </w:r>
      <w:r w:rsidRPr="00301FFD">
        <w:rPr>
          <w:color w:val="000000"/>
        </w:rPr>
        <w:t>Пореска</w:t>
      </w:r>
      <w:r w:rsidR="00457F75" w:rsidRPr="00301FFD">
        <w:rPr>
          <w:color w:val="000000"/>
        </w:rPr>
        <w:t xml:space="preserve"> </w:t>
      </w:r>
      <w:r w:rsidRPr="00301FFD">
        <w:rPr>
          <w:color w:val="000000"/>
        </w:rPr>
        <w:t>управа</w:t>
      </w:r>
      <w:r w:rsidR="00457F75" w:rsidRPr="00301FFD">
        <w:rPr>
          <w:color w:val="000000"/>
        </w:rPr>
        <w:t>.</w:t>
      </w:r>
      <w:r w:rsidR="00784729" w:rsidRPr="00301FFD">
        <w:rPr>
          <w:color w:val="000000"/>
          <w:lang w:val="sr-Cyrl-CS"/>
        </w:rPr>
        <w:t xml:space="preserve"> </w:t>
      </w:r>
      <w:r w:rsidRPr="00301FFD">
        <w:rPr>
          <w:color w:val="000000"/>
        </w:rPr>
        <w:t>Канцеларијску</w:t>
      </w:r>
      <w:r w:rsidR="00457F75" w:rsidRPr="00301FFD">
        <w:rPr>
          <w:color w:val="000000"/>
        </w:rPr>
        <w:t xml:space="preserve"> </w:t>
      </w:r>
      <w:r w:rsidRPr="00301FFD">
        <w:rPr>
          <w:color w:val="000000"/>
        </w:rPr>
        <w:t>контролу</w:t>
      </w:r>
      <w:r w:rsidR="00457F75" w:rsidRPr="00301FFD">
        <w:rPr>
          <w:color w:val="000000"/>
        </w:rPr>
        <w:t xml:space="preserve"> </w:t>
      </w:r>
      <w:r w:rsidRPr="00301FFD">
        <w:rPr>
          <w:color w:val="000000"/>
        </w:rPr>
        <w:t>врши</w:t>
      </w:r>
      <w:r w:rsidR="00457F75" w:rsidRPr="00301FFD">
        <w:rPr>
          <w:color w:val="000000"/>
        </w:rPr>
        <w:t xml:space="preserve">, </w:t>
      </w:r>
      <w:r w:rsidRPr="00301FFD">
        <w:rPr>
          <w:color w:val="000000"/>
        </w:rPr>
        <w:t>у</w:t>
      </w:r>
      <w:r w:rsidR="00457F75" w:rsidRPr="00301FFD">
        <w:rPr>
          <w:color w:val="000000"/>
        </w:rPr>
        <w:t xml:space="preserve"> </w:t>
      </w:r>
      <w:r w:rsidRPr="00301FFD">
        <w:rPr>
          <w:color w:val="000000"/>
        </w:rPr>
        <w:t>просторијама</w:t>
      </w:r>
      <w:r w:rsidR="00457F75" w:rsidRPr="00301FFD">
        <w:rPr>
          <w:color w:val="000000"/>
        </w:rPr>
        <w:t xml:space="preserve"> </w:t>
      </w:r>
      <w:r w:rsidRPr="00301FFD">
        <w:rPr>
          <w:color w:val="000000"/>
        </w:rPr>
        <w:t>Пореске</w:t>
      </w:r>
      <w:r w:rsidR="00457F75" w:rsidRPr="00301FFD">
        <w:rPr>
          <w:color w:val="000000"/>
        </w:rPr>
        <w:t xml:space="preserve"> </w:t>
      </w:r>
      <w:r w:rsidRPr="00301FFD">
        <w:rPr>
          <w:color w:val="000000"/>
        </w:rPr>
        <w:t>управе</w:t>
      </w:r>
      <w:r w:rsidR="00457F75" w:rsidRPr="00301FFD">
        <w:rPr>
          <w:color w:val="000000"/>
        </w:rPr>
        <w:t xml:space="preserve">, </w:t>
      </w:r>
      <w:r w:rsidRPr="00301FFD">
        <w:rPr>
          <w:color w:val="000000"/>
        </w:rPr>
        <w:t>порески</w:t>
      </w:r>
      <w:r w:rsidR="00457F75" w:rsidRPr="00301FFD">
        <w:rPr>
          <w:color w:val="000000"/>
        </w:rPr>
        <w:t xml:space="preserve"> </w:t>
      </w:r>
      <w:r w:rsidRPr="00301FFD">
        <w:rPr>
          <w:color w:val="000000"/>
        </w:rPr>
        <w:t>инспектор</w:t>
      </w:r>
      <w:r w:rsidR="00457F75" w:rsidRPr="00301FFD">
        <w:rPr>
          <w:color w:val="000000"/>
        </w:rPr>
        <w:t xml:space="preserve">, </w:t>
      </w:r>
      <w:r w:rsidRPr="00301FFD">
        <w:rPr>
          <w:color w:val="000000"/>
        </w:rPr>
        <w:t>осим</w:t>
      </w:r>
      <w:r w:rsidR="00457F75" w:rsidRPr="00301FFD">
        <w:rPr>
          <w:color w:val="000000"/>
        </w:rPr>
        <w:t xml:space="preserve"> </w:t>
      </w:r>
      <w:r w:rsidRPr="00301FFD">
        <w:rPr>
          <w:color w:val="000000"/>
        </w:rPr>
        <w:t>радњи</w:t>
      </w:r>
      <w:r w:rsidR="00457F75" w:rsidRPr="00301FFD">
        <w:rPr>
          <w:color w:val="000000"/>
        </w:rPr>
        <w:t xml:space="preserve"> </w:t>
      </w:r>
      <w:r w:rsidRPr="00301FFD">
        <w:rPr>
          <w:color w:val="000000"/>
        </w:rPr>
        <w:t>контроле</w:t>
      </w:r>
      <w:r w:rsidR="00457F75" w:rsidRPr="00301FFD">
        <w:rPr>
          <w:color w:val="000000"/>
        </w:rPr>
        <w:t xml:space="preserve"> </w:t>
      </w:r>
      <w:r w:rsidRPr="00301FFD">
        <w:rPr>
          <w:color w:val="000000"/>
        </w:rPr>
        <w:t>пријема</w:t>
      </w:r>
      <w:r w:rsidR="00457F75" w:rsidRPr="00301FFD">
        <w:rPr>
          <w:color w:val="000000"/>
        </w:rPr>
        <w:t xml:space="preserve"> </w:t>
      </w:r>
      <w:r w:rsidRPr="00301FFD">
        <w:rPr>
          <w:color w:val="000000"/>
        </w:rPr>
        <w:t>и</w:t>
      </w:r>
      <w:r w:rsidR="00457F75" w:rsidRPr="00301FFD">
        <w:rPr>
          <w:color w:val="000000"/>
        </w:rPr>
        <w:t xml:space="preserve"> </w:t>
      </w:r>
      <w:r w:rsidRPr="00301FFD">
        <w:rPr>
          <w:color w:val="000000"/>
        </w:rPr>
        <w:t>обраде</w:t>
      </w:r>
      <w:r w:rsidR="00457F75" w:rsidRPr="00301FFD">
        <w:rPr>
          <w:color w:val="000000"/>
        </w:rPr>
        <w:t xml:space="preserve"> </w:t>
      </w:r>
      <w:r w:rsidRPr="00301FFD">
        <w:rPr>
          <w:color w:val="000000"/>
        </w:rPr>
        <w:t>пореске</w:t>
      </w:r>
      <w:r w:rsidR="00457F75" w:rsidRPr="00301FFD">
        <w:rPr>
          <w:color w:val="000000"/>
        </w:rPr>
        <w:t xml:space="preserve"> </w:t>
      </w:r>
      <w:r w:rsidRPr="00301FFD">
        <w:rPr>
          <w:color w:val="000000"/>
        </w:rPr>
        <w:t>пријаве</w:t>
      </w:r>
      <w:r w:rsidR="00457F75" w:rsidRPr="00301FFD">
        <w:rPr>
          <w:color w:val="000000"/>
        </w:rPr>
        <w:t xml:space="preserve"> </w:t>
      </w:r>
      <w:r w:rsidRPr="00301FFD">
        <w:rPr>
          <w:color w:val="000000"/>
        </w:rPr>
        <w:t>и</w:t>
      </w:r>
      <w:r w:rsidR="00457F75" w:rsidRPr="00301FFD">
        <w:rPr>
          <w:color w:val="000000"/>
        </w:rPr>
        <w:t xml:space="preserve"> </w:t>
      </w:r>
      <w:r w:rsidRPr="00301FFD">
        <w:rPr>
          <w:color w:val="000000"/>
        </w:rPr>
        <w:t>других</w:t>
      </w:r>
      <w:r w:rsidR="00457F75" w:rsidRPr="00301FFD">
        <w:rPr>
          <w:color w:val="000000"/>
        </w:rPr>
        <w:t xml:space="preserve"> </w:t>
      </w:r>
      <w:r w:rsidRPr="00301FFD">
        <w:rPr>
          <w:color w:val="000000"/>
        </w:rPr>
        <w:t>извештаја</w:t>
      </w:r>
      <w:r w:rsidR="00457F75" w:rsidRPr="00301FFD">
        <w:rPr>
          <w:color w:val="000000"/>
        </w:rPr>
        <w:t xml:space="preserve">, </w:t>
      </w:r>
      <w:r w:rsidRPr="00301FFD">
        <w:rPr>
          <w:color w:val="000000"/>
        </w:rPr>
        <w:t>које</w:t>
      </w:r>
      <w:r w:rsidR="00457F75" w:rsidRPr="00301FFD">
        <w:rPr>
          <w:color w:val="000000"/>
        </w:rPr>
        <w:t xml:space="preserve"> </w:t>
      </w:r>
      <w:r w:rsidRPr="00301FFD">
        <w:rPr>
          <w:color w:val="000000"/>
        </w:rPr>
        <w:t>врше</w:t>
      </w:r>
      <w:r w:rsidR="00457F75" w:rsidRPr="00301FFD">
        <w:rPr>
          <w:color w:val="000000"/>
        </w:rPr>
        <w:t xml:space="preserve"> </w:t>
      </w:r>
      <w:r w:rsidRPr="00301FFD">
        <w:rPr>
          <w:color w:val="000000"/>
        </w:rPr>
        <w:t>службеници</w:t>
      </w:r>
      <w:r w:rsidR="00457F75" w:rsidRPr="00301FFD">
        <w:rPr>
          <w:color w:val="000000"/>
        </w:rPr>
        <w:t xml:space="preserve"> </w:t>
      </w:r>
      <w:r w:rsidRPr="00301FFD">
        <w:rPr>
          <w:color w:val="000000"/>
        </w:rPr>
        <w:t>Пореске</w:t>
      </w:r>
      <w:r w:rsidR="00457F75" w:rsidRPr="00301FFD">
        <w:rPr>
          <w:color w:val="000000"/>
        </w:rPr>
        <w:t xml:space="preserve"> </w:t>
      </w:r>
      <w:r w:rsidRPr="00301FFD">
        <w:rPr>
          <w:color w:val="000000"/>
        </w:rPr>
        <w:t>управе</w:t>
      </w:r>
      <w:r w:rsidR="00457F75" w:rsidRPr="00301FFD">
        <w:rPr>
          <w:color w:val="000000"/>
        </w:rPr>
        <w:t xml:space="preserve"> </w:t>
      </w:r>
      <w:r w:rsidRPr="00301FFD">
        <w:rPr>
          <w:color w:val="000000"/>
        </w:rPr>
        <w:t>одређени</w:t>
      </w:r>
      <w:r w:rsidR="00457F75" w:rsidRPr="00301FFD">
        <w:rPr>
          <w:color w:val="000000"/>
        </w:rPr>
        <w:t xml:space="preserve"> </w:t>
      </w:r>
      <w:r w:rsidRPr="00301FFD">
        <w:rPr>
          <w:color w:val="000000"/>
        </w:rPr>
        <w:t>за</w:t>
      </w:r>
      <w:r w:rsidR="00457F75" w:rsidRPr="00301FFD">
        <w:rPr>
          <w:color w:val="000000"/>
        </w:rPr>
        <w:t xml:space="preserve"> </w:t>
      </w:r>
      <w:r w:rsidRPr="00301FFD">
        <w:rPr>
          <w:color w:val="000000"/>
        </w:rPr>
        <w:t>те</w:t>
      </w:r>
      <w:r w:rsidR="00457F75" w:rsidRPr="00301FFD">
        <w:rPr>
          <w:color w:val="000000"/>
        </w:rPr>
        <w:t xml:space="preserve"> </w:t>
      </w:r>
      <w:r w:rsidRPr="00301FFD">
        <w:rPr>
          <w:color w:val="000000"/>
        </w:rPr>
        <w:t>послове</w:t>
      </w:r>
      <w:r w:rsidR="00457F75" w:rsidRPr="00301FFD">
        <w:rPr>
          <w:color w:val="000000"/>
        </w:rPr>
        <w:t>.</w:t>
      </w:r>
    </w:p>
    <w:p w:rsidR="00457F75" w:rsidRPr="00301FFD" w:rsidRDefault="00301FFD" w:rsidP="00301FFD">
      <w:pPr>
        <w:pStyle w:val="normal0"/>
        <w:shd w:val="clear" w:color="auto" w:fill="FFFFFF"/>
        <w:ind w:firstLine="708"/>
        <w:jc w:val="both"/>
        <w:rPr>
          <w:color w:val="000000"/>
          <w:lang w:val="sr-Cyrl-CS"/>
        </w:rPr>
      </w:pPr>
      <w:r w:rsidRPr="00301FFD">
        <w:rPr>
          <w:color w:val="000000"/>
        </w:rPr>
        <w:t>Теренска</w:t>
      </w:r>
      <w:r w:rsidR="00457F75" w:rsidRPr="00301FFD">
        <w:rPr>
          <w:color w:val="000000"/>
        </w:rPr>
        <w:t xml:space="preserve"> </w:t>
      </w:r>
      <w:r w:rsidRPr="00301FFD">
        <w:rPr>
          <w:color w:val="000000"/>
        </w:rPr>
        <w:t>контрола</w:t>
      </w:r>
      <w:r w:rsidR="00457F75" w:rsidRPr="00301FFD">
        <w:rPr>
          <w:color w:val="000000"/>
        </w:rPr>
        <w:t xml:space="preserve"> </w:t>
      </w:r>
      <w:r w:rsidRPr="00301FFD">
        <w:rPr>
          <w:color w:val="000000"/>
        </w:rPr>
        <w:t>представља</w:t>
      </w:r>
      <w:r w:rsidR="00457F75" w:rsidRPr="00301FFD">
        <w:rPr>
          <w:color w:val="000000"/>
        </w:rPr>
        <w:t xml:space="preserve"> </w:t>
      </w:r>
      <w:r w:rsidRPr="00301FFD">
        <w:rPr>
          <w:color w:val="000000"/>
        </w:rPr>
        <w:t>скуп</w:t>
      </w:r>
      <w:r w:rsidR="00457F75" w:rsidRPr="00301FFD">
        <w:rPr>
          <w:color w:val="000000"/>
        </w:rPr>
        <w:t xml:space="preserve"> </w:t>
      </w:r>
      <w:r w:rsidRPr="00301FFD">
        <w:rPr>
          <w:color w:val="000000"/>
        </w:rPr>
        <w:t>радњи</w:t>
      </w:r>
      <w:r w:rsidR="00457F75" w:rsidRPr="00301FFD">
        <w:rPr>
          <w:color w:val="000000"/>
        </w:rPr>
        <w:t xml:space="preserve"> </w:t>
      </w:r>
      <w:r w:rsidRPr="00301FFD">
        <w:rPr>
          <w:color w:val="000000"/>
        </w:rPr>
        <w:t>којима</w:t>
      </w:r>
      <w:r w:rsidR="00457F75" w:rsidRPr="00301FFD">
        <w:rPr>
          <w:color w:val="000000"/>
        </w:rPr>
        <w:t xml:space="preserve"> </w:t>
      </w:r>
      <w:r w:rsidRPr="00301FFD">
        <w:rPr>
          <w:color w:val="000000"/>
        </w:rPr>
        <w:t>Пореска</w:t>
      </w:r>
      <w:r w:rsidR="00457F75" w:rsidRPr="00301FFD">
        <w:rPr>
          <w:color w:val="000000"/>
        </w:rPr>
        <w:t xml:space="preserve"> </w:t>
      </w:r>
      <w:r w:rsidRPr="00301FFD">
        <w:rPr>
          <w:color w:val="000000"/>
        </w:rPr>
        <w:t>управа</w:t>
      </w:r>
      <w:r w:rsidR="00457F75" w:rsidRPr="00301FFD">
        <w:rPr>
          <w:color w:val="000000"/>
        </w:rPr>
        <w:t xml:space="preserve"> </w:t>
      </w:r>
      <w:r w:rsidRPr="00301FFD">
        <w:rPr>
          <w:color w:val="000000"/>
        </w:rPr>
        <w:t>проверава</w:t>
      </w:r>
      <w:r w:rsidR="00457F75" w:rsidRPr="00301FFD">
        <w:rPr>
          <w:color w:val="000000"/>
        </w:rPr>
        <w:t xml:space="preserve"> </w:t>
      </w:r>
      <w:r w:rsidRPr="00301FFD">
        <w:rPr>
          <w:color w:val="000000"/>
        </w:rPr>
        <w:t>законитост</w:t>
      </w:r>
      <w:r w:rsidR="00457F75" w:rsidRPr="00301FFD">
        <w:rPr>
          <w:color w:val="000000"/>
        </w:rPr>
        <w:t xml:space="preserve"> </w:t>
      </w:r>
      <w:r w:rsidRPr="00301FFD">
        <w:rPr>
          <w:color w:val="000000"/>
        </w:rPr>
        <w:t>у</w:t>
      </w:r>
      <w:r w:rsidR="00457F75" w:rsidRPr="00301FFD">
        <w:rPr>
          <w:color w:val="000000"/>
        </w:rPr>
        <w:t xml:space="preserve"> </w:t>
      </w:r>
      <w:r w:rsidRPr="00301FFD">
        <w:rPr>
          <w:color w:val="000000"/>
        </w:rPr>
        <w:t>раду</w:t>
      </w:r>
      <w:r w:rsidR="00457F75" w:rsidRPr="00301FFD">
        <w:rPr>
          <w:color w:val="000000"/>
        </w:rPr>
        <w:t xml:space="preserve"> </w:t>
      </w:r>
      <w:r w:rsidRPr="00301FFD">
        <w:rPr>
          <w:color w:val="000000"/>
        </w:rPr>
        <w:t>и</w:t>
      </w:r>
      <w:r w:rsidR="00457F75" w:rsidRPr="00301FFD">
        <w:rPr>
          <w:color w:val="000000"/>
        </w:rPr>
        <w:t xml:space="preserve"> </w:t>
      </w:r>
      <w:r w:rsidRPr="00301FFD">
        <w:rPr>
          <w:color w:val="000000"/>
        </w:rPr>
        <w:t>правилност</w:t>
      </w:r>
      <w:r w:rsidR="00457F75" w:rsidRPr="00301FFD">
        <w:rPr>
          <w:color w:val="000000"/>
        </w:rPr>
        <w:t xml:space="preserve"> </w:t>
      </w:r>
      <w:r w:rsidRPr="00301FFD">
        <w:rPr>
          <w:color w:val="000000"/>
        </w:rPr>
        <w:t>испуњавања</w:t>
      </w:r>
      <w:r w:rsidR="00457F75" w:rsidRPr="00301FFD">
        <w:rPr>
          <w:color w:val="000000"/>
        </w:rPr>
        <w:t xml:space="preserve"> </w:t>
      </w:r>
      <w:r w:rsidRPr="00301FFD">
        <w:rPr>
          <w:color w:val="000000"/>
        </w:rPr>
        <w:t>пореских</w:t>
      </w:r>
      <w:r w:rsidR="00457F75" w:rsidRPr="00301FFD">
        <w:rPr>
          <w:color w:val="000000"/>
        </w:rPr>
        <w:t xml:space="preserve"> </w:t>
      </w:r>
      <w:r w:rsidRPr="00301FFD">
        <w:rPr>
          <w:color w:val="000000"/>
        </w:rPr>
        <w:t>обавеза</w:t>
      </w:r>
      <w:r w:rsidR="00457F75" w:rsidRPr="00301FFD">
        <w:rPr>
          <w:color w:val="000000"/>
        </w:rPr>
        <w:t xml:space="preserve"> </w:t>
      </w:r>
      <w:r w:rsidRPr="00301FFD">
        <w:rPr>
          <w:color w:val="000000"/>
        </w:rPr>
        <w:t>од</w:t>
      </w:r>
      <w:r w:rsidR="00457F75" w:rsidRPr="00301FFD">
        <w:rPr>
          <w:color w:val="000000"/>
        </w:rPr>
        <w:t xml:space="preserve"> </w:t>
      </w:r>
      <w:r w:rsidRPr="00301FFD">
        <w:rPr>
          <w:color w:val="000000"/>
        </w:rPr>
        <w:t>стране</w:t>
      </w:r>
      <w:r w:rsidR="00457F75" w:rsidRPr="00301FFD">
        <w:rPr>
          <w:color w:val="000000"/>
        </w:rPr>
        <w:t xml:space="preserve"> </w:t>
      </w:r>
      <w:r w:rsidRPr="00301FFD">
        <w:rPr>
          <w:color w:val="000000"/>
        </w:rPr>
        <w:t>пореских</w:t>
      </w:r>
      <w:r w:rsidR="00457F75" w:rsidRPr="00301FFD">
        <w:rPr>
          <w:color w:val="000000"/>
        </w:rPr>
        <w:t xml:space="preserve"> </w:t>
      </w:r>
      <w:r w:rsidRPr="00301FFD">
        <w:rPr>
          <w:color w:val="000000"/>
        </w:rPr>
        <w:t>обвезника</w:t>
      </w:r>
      <w:r w:rsidR="00457F75" w:rsidRPr="00301FFD">
        <w:rPr>
          <w:color w:val="000000"/>
        </w:rPr>
        <w:t>.</w:t>
      </w:r>
      <w:r w:rsidR="00784729" w:rsidRPr="00301FFD">
        <w:rPr>
          <w:color w:val="000000"/>
          <w:lang w:val="sr-Cyrl-CS"/>
        </w:rPr>
        <w:t xml:space="preserve"> </w:t>
      </w:r>
      <w:r w:rsidRPr="00301FFD">
        <w:rPr>
          <w:color w:val="000000"/>
        </w:rPr>
        <w:t>Теренску</w:t>
      </w:r>
      <w:r w:rsidR="00457F75" w:rsidRPr="00301FFD">
        <w:rPr>
          <w:color w:val="000000"/>
        </w:rPr>
        <w:t xml:space="preserve"> </w:t>
      </w:r>
      <w:r w:rsidRPr="00301FFD">
        <w:rPr>
          <w:color w:val="000000"/>
        </w:rPr>
        <w:t>контролу</w:t>
      </w:r>
      <w:r w:rsidR="00457F75" w:rsidRPr="00301FFD">
        <w:rPr>
          <w:color w:val="000000"/>
        </w:rPr>
        <w:t xml:space="preserve"> </w:t>
      </w:r>
      <w:r w:rsidRPr="00301FFD">
        <w:rPr>
          <w:color w:val="000000"/>
        </w:rPr>
        <w:t>обавља</w:t>
      </w:r>
      <w:r w:rsidR="00457F75" w:rsidRPr="00301FFD">
        <w:rPr>
          <w:color w:val="000000"/>
        </w:rPr>
        <w:t xml:space="preserve"> </w:t>
      </w:r>
      <w:r w:rsidRPr="00301FFD">
        <w:rPr>
          <w:color w:val="000000"/>
        </w:rPr>
        <w:t>порески</w:t>
      </w:r>
      <w:r w:rsidR="00457F75" w:rsidRPr="00301FFD">
        <w:rPr>
          <w:color w:val="000000"/>
        </w:rPr>
        <w:t xml:space="preserve"> </w:t>
      </w:r>
      <w:r w:rsidRPr="00301FFD">
        <w:rPr>
          <w:color w:val="000000"/>
        </w:rPr>
        <w:t>инспектор</w:t>
      </w:r>
      <w:r w:rsidR="00457F75" w:rsidRPr="00301FFD">
        <w:rPr>
          <w:color w:val="000000"/>
        </w:rPr>
        <w:t xml:space="preserve"> </w:t>
      </w:r>
      <w:r w:rsidRPr="00301FFD">
        <w:rPr>
          <w:color w:val="000000"/>
        </w:rPr>
        <w:t>на</w:t>
      </w:r>
      <w:r w:rsidR="00457F75" w:rsidRPr="00301FFD">
        <w:rPr>
          <w:color w:val="000000"/>
        </w:rPr>
        <w:t xml:space="preserve"> </w:t>
      </w:r>
      <w:r w:rsidRPr="00301FFD">
        <w:rPr>
          <w:color w:val="000000"/>
        </w:rPr>
        <w:t>основу</w:t>
      </w:r>
      <w:r w:rsidR="00457F75" w:rsidRPr="00301FFD">
        <w:rPr>
          <w:color w:val="000000"/>
        </w:rPr>
        <w:t xml:space="preserve"> </w:t>
      </w:r>
      <w:r w:rsidRPr="00301FFD">
        <w:rPr>
          <w:color w:val="000000"/>
        </w:rPr>
        <w:t>налога</w:t>
      </w:r>
      <w:r w:rsidR="00457F75" w:rsidRPr="00301FFD">
        <w:rPr>
          <w:color w:val="000000"/>
        </w:rPr>
        <w:t xml:space="preserve"> </w:t>
      </w:r>
      <w:r w:rsidRPr="00301FFD">
        <w:rPr>
          <w:color w:val="000000"/>
        </w:rPr>
        <w:t>за</w:t>
      </w:r>
      <w:r w:rsidR="00457F75" w:rsidRPr="00301FFD">
        <w:rPr>
          <w:color w:val="000000"/>
        </w:rPr>
        <w:t xml:space="preserve"> </w:t>
      </w:r>
      <w:r w:rsidRPr="00301FFD">
        <w:rPr>
          <w:color w:val="000000"/>
        </w:rPr>
        <w:t>контролу</w:t>
      </w:r>
      <w:r w:rsidR="00457F75" w:rsidRPr="00301FFD">
        <w:rPr>
          <w:color w:val="000000"/>
        </w:rPr>
        <w:t>.</w:t>
      </w:r>
      <w:r w:rsidR="00784729" w:rsidRPr="00301FFD">
        <w:rPr>
          <w:color w:val="000000"/>
          <w:lang w:val="sr-Cyrl-CS"/>
        </w:rPr>
        <w:t xml:space="preserve"> </w:t>
      </w:r>
      <w:r w:rsidRPr="00301FFD">
        <w:rPr>
          <w:color w:val="000000"/>
        </w:rPr>
        <w:t>Порески</w:t>
      </w:r>
      <w:r w:rsidR="00457F75" w:rsidRPr="00301FFD">
        <w:rPr>
          <w:color w:val="000000"/>
        </w:rPr>
        <w:t xml:space="preserve"> </w:t>
      </w:r>
      <w:r w:rsidRPr="00301FFD">
        <w:rPr>
          <w:color w:val="000000"/>
        </w:rPr>
        <w:t>инспектор</w:t>
      </w:r>
      <w:r w:rsidR="00457F75" w:rsidRPr="00301FFD">
        <w:rPr>
          <w:color w:val="000000"/>
        </w:rPr>
        <w:t xml:space="preserve"> </w:t>
      </w:r>
      <w:r w:rsidRPr="00301FFD">
        <w:rPr>
          <w:color w:val="000000"/>
        </w:rPr>
        <w:t>саставља</w:t>
      </w:r>
      <w:r w:rsidR="00457F75" w:rsidRPr="00301FFD">
        <w:rPr>
          <w:color w:val="000000"/>
        </w:rPr>
        <w:t xml:space="preserve"> </w:t>
      </w:r>
      <w:r w:rsidRPr="00301FFD">
        <w:rPr>
          <w:color w:val="000000"/>
        </w:rPr>
        <w:t>записник</w:t>
      </w:r>
      <w:r w:rsidR="00457F75" w:rsidRPr="00301FFD">
        <w:rPr>
          <w:color w:val="000000"/>
        </w:rPr>
        <w:t xml:space="preserve"> </w:t>
      </w:r>
      <w:r w:rsidRPr="00301FFD">
        <w:rPr>
          <w:color w:val="000000"/>
        </w:rPr>
        <w:t>о</w:t>
      </w:r>
      <w:r w:rsidR="00457F75" w:rsidRPr="00301FFD">
        <w:rPr>
          <w:color w:val="000000"/>
        </w:rPr>
        <w:t xml:space="preserve"> </w:t>
      </w:r>
      <w:r w:rsidRPr="00301FFD">
        <w:rPr>
          <w:color w:val="000000"/>
        </w:rPr>
        <w:t>теренској</w:t>
      </w:r>
      <w:r w:rsidR="00457F75" w:rsidRPr="00301FFD">
        <w:rPr>
          <w:color w:val="000000"/>
        </w:rPr>
        <w:t xml:space="preserve"> </w:t>
      </w:r>
      <w:r w:rsidRPr="00301FFD">
        <w:rPr>
          <w:color w:val="000000"/>
        </w:rPr>
        <w:t>контроли</w:t>
      </w:r>
      <w:r w:rsidR="00457F75" w:rsidRPr="00301FFD">
        <w:rPr>
          <w:color w:val="000000"/>
        </w:rPr>
        <w:t>.</w:t>
      </w:r>
    </w:p>
    <w:p w:rsidR="00457F75" w:rsidRDefault="00185D7B" w:rsidP="00301FFD">
      <w:pPr>
        <w:ind w:firstLine="708"/>
        <w:jc w:val="both"/>
        <w:rPr>
          <w:rFonts w:ascii="Times New Roman" w:hAnsi="Times New Roman"/>
          <w:sz w:val="24"/>
          <w:szCs w:val="24"/>
          <w:lang w:val="sr-Cyrl-CS"/>
        </w:rPr>
      </w:pPr>
      <w:r>
        <w:rPr>
          <w:rFonts w:ascii="Times New Roman" w:hAnsi="Times New Roman"/>
          <w:sz w:val="24"/>
          <w:szCs w:val="24"/>
          <w:lang w:val="sr-Cyrl-CS"/>
        </w:rPr>
        <w:t>Ради</w:t>
      </w:r>
      <w:r w:rsidRPr="00301FFD">
        <w:rPr>
          <w:rFonts w:ascii="Times New Roman" w:hAnsi="Times New Roman"/>
          <w:sz w:val="24"/>
          <w:szCs w:val="24"/>
          <w:lang w:val="sr-Cyrl-CS"/>
        </w:rPr>
        <w:t xml:space="preserve"> </w:t>
      </w:r>
      <w:r>
        <w:rPr>
          <w:rFonts w:ascii="Times New Roman" w:hAnsi="Times New Roman"/>
          <w:sz w:val="24"/>
          <w:szCs w:val="24"/>
          <w:lang w:val="sr-Cyrl-CS"/>
        </w:rPr>
        <w:t>обављања ра</w:t>
      </w:r>
      <w:r w:rsidR="00371697">
        <w:rPr>
          <w:rFonts w:ascii="Times New Roman" w:hAnsi="Times New Roman"/>
          <w:sz w:val="24"/>
          <w:szCs w:val="24"/>
          <w:lang w:val="sr-Cyrl-CS"/>
        </w:rPr>
        <w:t>д</w:t>
      </w:r>
      <w:r>
        <w:rPr>
          <w:rFonts w:ascii="Times New Roman" w:hAnsi="Times New Roman"/>
          <w:sz w:val="24"/>
          <w:szCs w:val="24"/>
          <w:lang w:val="sr-Cyrl-CS"/>
        </w:rPr>
        <w:t xml:space="preserve">њи </w:t>
      </w:r>
      <w:r w:rsidRPr="00301FFD">
        <w:rPr>
          <w:rFonts w:ascii="Times New Roman" w:hAnsi="Times New Roman"/>
          <w:sz w:val="24"/>
          <w:szCs w:val="24"/>
          <w:lang w:val="sr-Cyrl-CS"/>
        </w:rPr>
        <w:t>откривања пореских кривичних дела и њихових</w:t>
      </w:r>
      <w:r>
        <w:rPr>
          <w:rFonts w:ascii="Times New Roman" w:hAnsi="Times New Roman"/>
          <w:sz w:val="24"/>
          <w:szCs w:val="24"/>
          <w:lang w:val="sr-Cyrl-CS"/>
        </w:rPr>
        <w:t xml:space="preserve"> извршилаца форормирана је Пореска полиција као посебн</w:t>
      </w:r>
      <w:r w:rsidR="00371697">
        <w:rPr>
          <w:rFonts w:ascii="Times New Roman" w:hAnsi="Times New Roman"/>
          <w:sz w:val="24"/>
          <w:szCs w:val="24"/>
          <w:lang w:val="sr-Cyrl-CS"/>
        </w:rPr>
        <w:t>а</w:t>
      </w:r>
      <w:r>
        <w:rPr>
          <w:rFonts w:ascii="Times New Roman" w:hAnsi="Times New Roman"/>
          <w:sz w:val="24"/>
          <w:szCs w:val="24"/>
          <w:lang w:val="sr-Cyrl-CS"/>
        </w:rPr>
        <w:t xml:space="preserve"> организацион</w:t>
      </w:r>
      <w:r w:rsidR="00371697">
        <w:rPr>
          <w:rFonts w:ascii="Times New Roman" w:hAnsi="Times New Roman"/>
          <w:sz w:val="24"/>
          <w:szCs w:val="24"/>
          <w:lang w:val="sr-Cyrl-CS"/>
        </w:rPr>
        <w:t>а</w:t>
      </w:r>
      <w:r>
        <w:rPr>
          <w:rFonts w:ascii="Times New Roman" w:hAnsi="Times New Roman"/>
          <w:sz w:val="24"/>
          <w:szCs w:val="24"/>
          <w:lang w:val="sr-Cyrl-CS"/>
        </w:rPr>
        <w:t xml:space="preserve"> јединиц</w:t>
      </w:r>
      <w:r w:rsidR="00371697">
        <w:rPr>
          <w:rFonts w:ascii="Times New Roman" w:hAnsi="Times New Roman"/>
          <w:sz w:val="24"/>
          <w:szCs w:val="24"/>
          <w:lang w:val="sr-Cyrl-CS"/>
        </w:rPr>
        <w:t>а у оквиру Пореске управе, и</w:t>
      </w:r>
      <w:r w:rsidR="00371697" w:rsidRPr="00301FFD">
        <w:rPr>
          <w:rFonts w:ascii="Times New Roman" w:hAnsi="Times New Roman"/>
          <w:sz w:val="24"/>
          <w:szCs w:val="24"/>
          <w:lang w:val="sr-Cyrl-CS"/>
        </w:rPr>
        <w:t>мајући у виду заштиту фина</w:t>
      </w:r>
      <w:r w:rsidR="00371697">
        <w:rPr>
          <w:rFonts w:ascii="Times New Roman" w:hAnsi="Times New Roman"/>
          <w:sz w:val="24"/>
          <w:szCs w:val="24"/>
          <w:lang w:val="sr-Cyrl-CS"/>
        </w:rPr>
        <w:t>н</w:t>
      </w:r>
      <w:r w:rsidR="00371697" w:rsidRPr="00301FFD">
        <w:rPr>
          <w:rFonts w:ascii="Times New Roman" w:hAnsi="Times New Roman"/>
          <w:sz w:val="24"/>
          <w:szCs w:val="24"/>
          <w:lang w:val="sr-Cyrl-CS"/>
        </w:rPr>
        <w:t>сијског интереса државе, као и раширену појаву избегавања плаћања пореза</w:t>
      </w:r>
      <w:r w:rsidR="00371697">
        <w:rPr>
          <w:rFonts w:ascii="Times New Roman" w:hAnsi="Times New Roman"/>
          <w:sz w:val="24"/>
          <w:szCs w:val="24"/>
          <w:lang w:val="sr-Cyrl-CS"/>
        </w:rPr>
        <w:t>.</w:t>
      </w:r>
      <w:r w:rsidR="00E97A0F" w:rsidRPr="00301FFD">
        <w:rPr>
          <w:rStyle w:val="FootnoteReference"/>
          <w:rFonts w:ascii="Times New Roman" w:hAnsi="Times New Roman"/>
          <w:sz w:val="24"/>
          <w:szCs w:val="24"/>
          <w:lang w:val="sr-Cyrl-CS"/>
        </w:rPr>
        <w:footnoteReference w:id="855"/>
      </w:r>
    </w:p>
    <w:p w:rsidR="00036182" w:rsidRPr="00301FFD" w:rsidRDefault="00036182" w:rsidP="00301FFD">
      <w:pPr>
        <w:ind w:firstLine="708"/>
        <w:jc w:val="both"/>
        <w:rPr>
          <w:rFonts w:ascii="Times New Roman" w:hAnsi="Times New Roman"/>
          <w:sz w:val="24"/>
          <w:szCs w:val="24"/>
          <w:lang w:val="sr-Cyrl-CS"/>
        </w:rPr>
      </w:pPr>
      <w:r>
        <w:rPr>
          <w:rFonts w:ascii="Times New Roman" w:hAnsi="Times New Roman"/>
          <w:sz w:val="24"/>
          <w:szCs w:val="24"/>
          <w:lang w:val="sr-Cyrl-CS"/>
        </w:rPr>
        <w:t xml:space="preserve">Пореска полиција </w:t>
      </w:r>
      <w:r w:rsidR="00653462">
        <w:rPr>
          <w:rFonts w:ascii="Times New Roman" w:hAnsi="Times New Roman"/>
          <w:sz w:val="24"/>
          <w:szCs w:val="24"/>
          <w:lang w:val="sr-Cyrl-CS"/>
        </w:rPr>
        <w:t>је посебна организациона јединица</w:t>
      </w:r>
      <w:r>
        <w:rPr>
          <w:rFonts w:ascii="Times New Roman" w:hAnsi="Times New Roman"/>
          <w:sz w:val="24"/>
          <w:szCs w:val="24"/>
          <w:lang w:val="sr-Cyrl-CS"/>
        </w:rPr>
        <w:t xml:space="preserve"> пореске управе у чијој су надлежности послови на откривању и пријав</w:t>
      </w:r>
      <w:r w:rsidR="00653462">
        <w:rPr>
          <w:rFonts w:ascii="Times New Roman" w:hAnsi="Times New Roman"/>
          <w:sz w:val="24"/>
          <w:szCs w:val="24"/>
          <w:lang w:val="sr-Cyrl-CS"/>
        </w:rPr>
        <w:t>љивању пореских кривичних дела. Делатношћу пореске поли</w:t>
      </w:r>
      <w:r w:rsidR="00997E5C">
        <w:rPr>
          <w:rFonts w:ascii="Times New Roman" w:hAnsi="Times New Roman"/>
          <w:sz w:val="24"/>
          <w:szCs w:val="24"/>
          <w:lang w:val="sr-Cyrl-CS"/>
        </w:rPr>
        <w:t>ције мо</w:t>
      </w:r>
      <w:r w:rsidR="00653462">
        <w:rPr>
          <w:rFonts w:ascii="Times New Roman" w:hAnsi="Times New Roman"/>
          <w:sz w:val="24"/>
          <w:szCs w:val="24"/>
          <w:lang w:val="sr-Cyrl-CS"/>
        </w:rPr>
        <w:t xml:space="preserve">гу се открити и </w:t>
      </w:r>
      <w:r>
        <w:rPr>
          <w:rFonts w:ascii="Times New Roman" w:hAnsi="Times New Roman"/>
          <w:sz w:val="24"/>
          <w:szCs w:val="24"/>
          <w:lang w:val="sr-Cyrl-CS"/>
        </w:rPr>
        <w:t xml:space="preserve">разни облици злоупотреба, проневера, </w:t>
      </w:r>
      <w:r>
        <w:rPr>
          <w:rFonts w:ascii="Times New Roman" w:hAnsi="Times New Roman"/>
          <w:sz w:val="24"/>
          <w:szCs w:val="24"/>
          <w:lang w:val="sr-Cyrl-CS"/>
        </w:rPr>
        <w:lastRenderedPageBreak/>
        <w:t>прања новца, фалсификата као и других малверзација из домена привредног криминалитета.</w:t>
      </w:r>
      <w:r w:rsidR="001F5E37">
        <w:rPr>
          <w:rStyle w:val="FootnoteReference"/>
          <w:rFonts w:ascii="Times New Roman" w:hAnsi="Times New Roman"/>
          <w:sz w:val="24"/>
          <w:szCs w:val="24"/>
          <w:lang w:val="sr-Cyrl-CS"/>
        </w:rPr>
        <w:footnoteReference w:id="856"/>
      </w:r>
    </w:p>
    <w:p w:rsidR="00E97A0F" w:rsidRPr="00831157" w:rsidRDefault="00301FFD" w:rsidP="00831157">
      <w:pPr>
        <w:ind w:firstLine="708"/>
        <w:jc w:val="both"/>
        <w:rPr>
          <w:rFonts w:ascii="Times New Roman" w:hAnsi="Times New Roman"/>
          <w:sz w:val="24"/>
          <w:szCs w:val="24"/>
        </w:rPr>
      </w:pPr>
      <w:r w:rsidRPr="00831157">
        <w:rPr>
          <w:rFonts w:ascii="Times New Roman" w:hAnsi="Times New Roman"/>
          <w:sz w:val="24"/>
          <w:szCs w:val="24"/>
        </w:rPr>
        <w:t>Пореска</w:t>
      </w:r>
      <w:r w:rsidR="00E97A0F" w:rsidRPr="00831157">
        <w:rPr>
          <w:rFonts w:ascii="Times New Roman" w:hAnsi="Times New Roman"/>
          <w:sz w:val="24"/>
          <w:szCs w:val="24"/>
        </w:rPr>
        <w:t xml:space="preserve"> </w:t>
      </w:r>
      <w:r w:rsidRPr="00831157">
        <w:rPr>
          <w:rFonts w:ascii="Times New Roman" w:hAnsi="Times New Roman"/>
          <w:sz w:val="24"/>
          <w:szCs w:val="24"/>
        </w:rPr>
        <w:t>кривична</w:t>
      </w:r>
      <w:r w:rsidR="00E97A0F" w:rsidRPr="00831157">
        <w:rPr>
          <w:rFonts w:ascii="Times New Roman" w:hAnsi="Times New Roman"/>
          <w:sz w:val="24"/>
          <w:szCs w:val="24"/>
        </w:rPr>
        <w:t xml:space="preserve"> </w:t>
      </w:r>
      <w:r w:rsidRPr="00831157">
        <w:rPr>
          <w:rFonts w:ascii="Times New Roman" w:hAnsi="Times New Roman"/>
          <w:sz w:val="24"/>
          <w:szCs w:val="24"/>
        </w:rPr>
        <w:t>дела</w:t>
      </w:r>
      <w:r w:rsidR="00E97A0F" w:rsidRPr="00831157">
        <w:rPr>
          <w:rFonts w:ascii="Times New Roman" w:hAnsi="Times New Roman"/>
          <w:sz w:val="24"/>
          <w:szCs w:val="24"/>
        </w:rPr>
        <w:t xml:space="preserve"> </w:t>
      </w:r>
      <w:r w:rsidRPr="00831157">
        <w:rPr>
          <w:rFonts w:ascii="Times New Roman" w:hAnsi="Times New Roman"/>
          <w:sz w:val="24"/>
          <w:szCs w:val="24"/>
        </w:rPr>
        <w:t>су</w:t>
      </w:r>
      <w:r w:rsidR="00E97A0F" w:rsidRPr="00831157">
        <w:rPr>
          <w:rFonts w:ascii="Times New Roman" w:hAnsi="Times New Roman"/>
          <w:sz w:val="24"/>
          <w:szCs w:val="24"/>
        </w:rPr>
        <w:t xml:space="preserve"> </w:t>
      </w:r>
      <w:r w:rsidRPr="00831157">
        <w:rPr>
          <w:rFonts w:ascii="Times New Roman" w:hAnsi="Times New Roman"/>
          <w:sz w:val="24"/>
          <w:szCs w:val="24"/>
        </w:rPr>
        <w:t>кривична</w:t>
      </w:r>
      <w:r w:rsidR="00E97A0F" w:rsidRPr="00831157">
        <w:rPr>
          <w:rFonts w:ascii="Times New Roman" w:hAnsi="Times New Roman"/>
          <w:sz w:val="24"/>
          <w:szCs w:val="24"/>
        </w:rPr>
        <w:t xml:space="preserve"> </w:t>
      </w:r>
      <w:r w:rsidRPr="00831157">
        <w:rPr>
          <w:rFonts w:ascii="Times New Roman" w:hAnsi="Times New Roman"/>
          <w:sz w:val="24"/>
          <w:szCs w:val="24"/>
        </w:rPr>
        <w:t>дела</w:t>
      </w:r>
      <w:r w:rsidR="00E97A0F" w:rsidRPr="00831157">
        <w:rPr>
          <w:rFonts w:ascii="Times New Roman" w:hAnsi="Times New Roman"/>
          <w:sz w:val="24"/>
          <w:szCs w:val="24"/>
        </w:rPr>
        <w:t xml:space="preserve"> </w:t>
      </w:r>
      <w:r w:rsidRPr="00831157">
        <w:rPr>
          <w:rFonts w:ascii="Times New Roman" w:hAnsi="Times New Roman"/>
          <w:sz w:val="24"/>
          <w:szCs w:val="24"/>
        </w:rPr>
        <w:t>утврђена</w:t>
      </w:r>
      <w:r w:rsidR="00E97A0F" w:rsidRPr="00831157">
        <w:rPr>
          <w:rFonts w:ascii="Times New Roman" w:hAnsi="Times New Roman"/>
          <w:sz w:val="24"/>
          <w:szCs w:val="24"/>
        </w:rPr>
        <w:t xml:space="preserve"> </w:t>
      </w:r>
      <w:r w:rsidR="00784729" w:rsidRPr="00831157">
        <w:rPr>
          <w:rFonts w:ascii="Times New Roman" w:hAnsi="Times New Roman"/>
          <w:sz w:val="24"/>
          <w:szCs w:val="24"/>
          <w:lang w:val="sr-Cyrl-CS"/>
        </w:rPr>
        <w:t>Законом о пореском поступку и пореској администрацији и другим законом</w:t>
      </w:r>
      <w:r w:rsidR="00E97A0F" w:rsidRPr="00831157">
        <w:rPr>
          <w:rFonts w:ascii="Times New Roman" w:hAnsi="Times New Roman"/>
          <w:sz w:val="24"/>
          <w:szCs w:val="24"/>
        </w:rPr>
        <w:t xml:space="preserve">, </w:t>
      </w:r>
      <w:r w:rsidRPr="00831157">
        <w:rPr>
          <w:rFonts w:ascii="Times New Roman" w:hAnsi="Times New Roman"/>
          <w:sz w:val="24"/>
          <w:szCs w:val="24"/>
        </w:rPr>
        <w:t>која</w:t>
      </w:r>
      <w:r w:rsidR="00E97A0F" w:rsidRPr="00831157">
        <w:rPr>
          <w:rFonts w:ascii="Times New Roman" w:hAnsi="Times New Roman"/>
          <w:sz w:val="24"/>
          <w:szCs w:val="24"/>
        </w:rPr>
        <w:t xml:space="preserve"> </w:t>
      </w:r>
      <w:r w:rsidRPr="00831157">
        <w:rPr>
          <w:rFonts w:ascii="Times New Roman" w:hAnsi="Times New Roman"/>
          <w:sz w:val="24"/>
          <w:szCs w:val="24"/>
        </w:rPr>
        <w:t>као</w:t>
      </w:r>
      <w:r w:rsidR="00E97A0F" w:rsidRPr="00831157">
        <w:rPr>
          <w:rFonts w:ascii="Times New Roman" w:hAnsi="Times New Roman"/>
          <w:sz w:val="24"/>
          <w:szCs w:val="24"/>
        </w:rPr>
        <w:t xml:space="preserve"> </w:t>
      </w:r>
      <w:r w:rsidRPr="00831157">
        <w:rPr>
          <w:rFonts w:ascii="Times New Roman" w:hAnsi="Times New Roman"/>
          <w:sz w:val="24"/>
          <w:szCs w:val="24"/>
        </w:rPr>
        <w:t>могућу</w:t>
      </w:r>
      <w:r w:rsidR="00E97A0F" w:rsidRPr="00831157">
        <w:rPr>
          <w:rFonts w:ascii="Times New Roman" w:hAnsi="Times New Roman"/>
          <w:sz w:val="24"/>
          <w:szCs w:val="24"/>
        </w:rPr>
        <w:t xml:space="preserve"> </w:t>
      </w:r>
      <w:r w:rsidRPr="00831157">
        <w:rPr>
          <w:rFonts w:ascii="Times New Roman" w:hAnsi="Times New Roman"/>
          <w:sz w:val="24"/>
          <w:szCs w:val="24"/>
        </w:rPr>
        <w:t>последицу</w:t>
      </w:r>
      <w:r w:rsidR="00E97A0F" w:rsidRPr="00831157">
        <w:rPr>
          <w:rFonts w:ascii="Times New Roman" w:hAnsi="Times New Roman"/>
          <w:sz w:val="24"/>
          <w:szCs w:val="24"/>
        </w:rPr>
        <w:t xml:space="preserve"> </w:t>
      </w:r>
      <w:r w:rsidRPr="00831157">
        <w:rPr>
          <w:rFonts w:ascii="Times New Roman" w:hAnsi="Times New Roman"/>
          <w:sz w:val="24"/>
          <w:szCs w:val="24"/>
        </w:rPr>
        <w:t>имају</w:t>
      </w:r>
      <w:r w:rsidR="00E97A0F" w:rsidRPr="00831157">
        <w:rPr>
          <w:rFonts w:ascii="Times New Roman" w:hAnsi="Times New Roman"/>
          <w:sz w:val="24"/>
          <w:szCs w:val="24"/>
        </w:rPr>
        <w:t xml:space="preserve"> </w:t>
      </w:r>
      <w:r w:rsidRPr="00831157">
        <w:rPr>
          <w:rFonts w:ascii="Times New Roman" w:hAnsi="Times New Roman"/>
          <w:sz w:val="24"/>
          <w:szCs w:val="24"/>
        </w:rPr>
        <w:t>потпуно</w:t>
      </w:r>
      <w:r w:rsidR="00E97A0F" w:rsidRPr="00831157">
        <w:rPr>
          <w:rFonts w:ascii="Times New Roman" w:hAnsi="Times New Roman"/>
          <w:sz w:val="24"/>
          <w:szCs w:val="24"/>
        </w:rPr>
        <w:t xml:space="preserve"> </w:t>
      </w:r>
      <w:r w:rsidRPr="00831157">
        <w:rPr>
          <w:rFonts w:ascii="Times New Roman" w:hAnsi="Times New Roman"/>
          <w:sz w:val="24"/>
          <w:szCs w:val="24"/>
        </w:rPr>
        <w:t>или</w:t>
      </w:r>
      <w:r w:rsidR="00E97A0F" w:rsidRPr="00831157">
        <w:rPr>
          <w:rFonts w:ascii="Times New Roman" w:hAnsi="Times New Roman"/>
          <w:sz w:val="24"/>
          <w:szCs w:val="24"/>
        </w:rPr>
        <w:t xml:space="preserve"> </w:t>
      </w:r>
      <w:r w:rsidRPr="00831157">
        <w:rPr>
          <w:rFonts w:ascii="Times New Roman" w:hAnsi="Times New Roman"/>
          <w:sz w:val="24"/>
          <w:szCs w:val="24"/>
        </w:rPr>
        <w:t>делимично</w:t>
      </w:r>
      <w:r w:rsidR="00E97A0F" w:rsidRPr="00831157">
        <w:rPr>
          <w:rFonts w:ascii="Times New Roman" w:hAnsi="Times New Roman"/>
          <w:sz w:val="24"/>
          <w:szCs w:val="24"/>
        </w:rPr>
        <w:t xml:space="preserve"> </w:t>
      </w:r>
      <w:r w:rsidRPr="00831157">
        <w:rPr>
          <w:rFonts w:ascii="Times New Roman" w:hAnsi="Times New Roman"/>
          <w:sz w:val="24"/>
          <w:szCs w:val="24"/>
        </w:rPr>
        <w:t>избегавање</w:t>
      </w:r>
      <w:r w:rsidR="00E97A0F" w:rsidRPr="00831157">
        <w:rPr>
          <w:rFonts w:ascii="Times New Roman" w:hAnsi="Times New Roman"/>
          <w:sz w:val="24"/>
          <w:szCs w:val="24"/>
        </w:rPr>
        <w:t xml:space="preserve"> </w:t>
      </w:r>
      <w:r w:rsidRPr="00831157">
        <w:rPr>
          <w:rFonts w:ascii="Times New Roman" w:hAnsi="Times New Roman"/>
          <w:sz w:val="24"/>
          <w:szCs w:val="24"/>
        </w:rPr>
        <w:t>плаћања</w:t>
      </w:r>
      <w:r w:rsidR="00E97A0F" w:rsidRPr="00831157">
        <w:rPr>
          <w:rFonts w:ascii="Times New Roman" w:hAnsi="Times New Roman"/>
          <w:sz w:val="24"/>
          <w:szCs w:val="24"/>
        </w:rPr>
        <w:t xml:space="preserve"> </w:t>
      </w:r>
      <w:r w:rsidRPr="00831157">
        <w:rPr>
          <w:rFonts w:ascii="Times New Roman" w:hAnsi="Times New Roman"/>
          <w:sz w:val="24"/>
          <w:szCs w:val="24"/>
        </w:rPr>
        <w:t>пореза</w:t>
      </w:r>
      <w:r w:rsidR="00E97A0F" w:rsidRPr="00831157">
        <w:rPr>
          <w:rFonts w:ascii="Times New Roman" w:hAnsi="Times New Roman"/>
          <w:sz w:val="24"/>
          <w:szCs w:val="24"/>
        </w:rPr>
        <w:t xml:space="preserve">, </w:t>
      </w:r>
      <w:r w:rsidRPr="00831157">
        <w:rPr>
          <w:rFonts w:ascii="Times New Roman" w:hAnsi="Times New Roman"/>
          <w:sz w:val="24"/>
          <w:szCs w:val="24"/>
        </w:rPr>
        <w:t>сачињавање</w:t>
      </w:r>
      <w:r w:rsidR="00E97A0F" w:rsidRPr="00831157">
        <w:rPr>
          <w:rFonts w:ascii="Times New Roman" w:hAnsi="Times New Roman"/>
          <w:sz w:val="24"/>
          <w:szCs w:val="24"/>
        </w:rPr>
        <w:t xml:space="preserve"> </w:t>
      </w:r>
      <w:r w:rsidRPr="00831157">
        <w:rPr>
          <w:rFonts w:ascii="Times New Roman" w:hAnsi="Times New Roman"/>
          <w:sz w:val="24"/>
          <w:szCs w:val="24"/>
        </w:rPr>
        <w:t>или</w:t>
      </w:r>
      <w:r w:rsidR="00E97A0F" w:rsidRPr="00831157">
        <w:rPr>
          <w:rFonts w:ascii="Times New Roman" w:hAnsi="Times New Roman"/>
          <w:sz w:val="24"/>
          <w:szCs w:val="24"/>
        </w:rPr>
        <w:t xml:space="preserve"> </w:t>
      </w:r>
      <w:r w:rsidRPr="00831157">
        <w:rPr>
          <w:rFonts w:ascii="Times New Roman" w:hAnsi="Times New Roman"/>
          <w:sz w:val="24"/>
          <w:szCs w:val="24"/>
        </w:rPr>
        <w:t>подношење</w:t>
      </w:r>
      <w:r w:rsidR="00E97A0F" w:rsidRPr="00831157">
        <w:rPr>
          <w:rFonts w:ascii="Times New Roman" w:hAnsi="Times New Roman"/>
          <w:sz w:val="24"/>
          <w:szCs w:val="24"/>
        </w:rPr>
        <w:t xml:space="preserve"> </w:t>
      </w:r>
      <w:r w:rsidRPr="00831157">
        <w:rPr>
          <w:rFonts w:ascii="Times New Roman" w:hAnsi="Times New Roman"/>
          <w:sz w:val="24"/>
          <w:szCs w:val="24"/>
        </w:rPr>
        <w:t>фалсификованог</w:t>
      </w:r>
      <w:r w:rsidR="00E97A0F" w:rsidRPr="00831157">
        <w:rPr>
          <w:rFonts w:ascii="Times New Roman" w:hAnsi="Times New Roman"/>
          <w:sz w:val="24"/>
          <w:szCs w:val="24"/>
        </w:rPr>
        <w:t xml:space="preserve"> </w:t>
      </w:r>
      <w:r w:rsidRPr="00831157">
        <w:rPr>
          <w:rFonts w:ascii="Times New Roman" w:hAnsi="Times New Roman"/>
          <w:sz w:val="24"/>
          <w:szCs w:val="24"/>
        </w:rPr>
        <w:t>документа</w:t>
      </w:r>
      <w:r w:rsidR="00E97A0F" w:rsidRPr="00831157">
        <w:rPr>
          <w:rFonts w:ascii="Times New Roman" w:hAnsi="Times New Roman"/>
          <w:sz w:val="24"/>
          <w:szCs w:val="24"/>
        </w:rPr>
        <w:t xml:space="preserve"> </w:t>
      </w:r>
      <w:r w:rsidRPr="00831157">
        <w:rPr>
          <w:rFonts w:ascii="Times New Roman" w:hAnsi="Times New Roman"/>
          <w:sz w:val="24"/>
          <w:szCs w:val="24"/>
        </w:rPr>
        <w:t>од</w:t>
      </w:r>
      <w:r w:rsidR="00E97A0F" w:rsidRPr="00831157">
        <w:rPr>
          <w:rFonts w:ascii="Times New Roman" w:hAnsi="Times New Roman"/>
          <w:sz w:val="24"/>
          <w:szCs w:val="24"/>
        </w:rPr>
        <w:t xml:space="preserve"> </w:t>
      </w:r>
      <w:r w:rsidRPr="00831157">
        <w:rPr>
          <w:rFonts w:ascii="Times New Roman" w:hAnsi="Times New Roman"/>
          <w:sz w:val="24"/>
          <w:szCs w:val="24"/>
        </w:rPr>
        <w:t>значаја</w:t>
      </w:r>
      <w:r w:rsidR="00E97A0F" w:rsidRPr="00831157">
        <w:rPr>
          <w:rFonts w:ascii="Times New Roman" w:hAnsi="Times New Roman"/>
          <w:sz w:val="24"/>
          <w:szCs w:val="24"/>
        </w:rPr>
        <w:t xml:space="preserve"> </w:t>
      </w:r>
      <w:r w:rsidRPr="00831157">
        <w:rPr>
          <w:rFonts w:ascii="Times New Roman" w:hAnsi="Times New Roman"/>
          <w:sz w:val="24"/>
          <w:szCs w:val="24"/>
        </w:rPr>
        <w:t>за</w:t>
      </w:r>
      <w:r w:rsidR="00E97A0F" w:rsidRPr="00831157">
        <w:rPr>
          <w:rFonts w:ascii="Times New Roman" w:hAnsi="Times New Roman"/>
          <w:sz w:val="24"/>
          <w:szCs w:val="24"/>
        </w:rPr>
        <w:t xml:space="preserve"> </w:t>
      </w:r>
      <w:r w:rsidRPr="00831157">
        <w:rPr>
          <w:rFonts w:ascii="Times New Roman" w:hAnsi="Times New Roman"/>
          <w:sz w:val="24"/>
          <w:szCs w:val="24"/>
        </w:rPr>
        <w:t>опорезивање</w:t>
      </w:r>
      <w:r w:rsidR="00E97A0F" w:rsidRPr="00831157">
        <w:rPr>
          <w:rFonts w:ascii="Times New Roman" w:hAnsi="Times New Roman"/>
          <w:sz w:val="24"/>
          <w:szCs w:val="24"/>
        </w:rPr>
        <w:t xml:space="preserve">, </w:t>
      </w:r>
      <w:r w:rsidRPr="00831157">
        <w:rPr>
          <w:rFonts w:ascii="Times New Roman" w:hAnsi="Times New Roman"/>
          <w:sz w:val="24"/>
          <w:szCs w:val="24"/>
        </w:rPr>
        <w:t>угрожавање</w:t>
      </w:r>
      <w:r w:rsidR="00E97A0F" w:rsidRPr="00831157">
        <w:rPr>
          <w:rFonts w:ascii="Times New Roman" w:hAnsi="Times New Roman"/>
          <w:sz w:val="24"/>
          <w:szCs w:val="24"/>
        </w:rPr>
        <w:t xml:space="preserve"> </w:t>
      </w:r>
      <w:r w:rsidRPr="00831157">
        <w:rPr>
          <w:rFonts w:ascii="Times New Roman" w:hAnsi="Times New Roman"/>
          <w:sz w:val="24"/>
          <w:szCs w:val="24"/>
        </w:rPr>
        <w:t>наплате</w:t>
      </w:r>
      <w:r w:rsidR="00E97A0F" w:rsidRPr="00831157">
        <w:rPr>
          <w:rFonts w:ascii="Times New Roman" w:hAnsi="Times New Roman"/>
          <w:sz w:val="24"/>
          <w:szCs w:val="24"/>
        </w:rPr>
        <w:t xml:space="preserve"> </w:t>
      </w:r>
      <w:r w:rsidRPr="00831157">
        <w:rPr>
          <w:rFonts w:ascii="Times New Roman" w:hAnsi="Times New Roman"/>
          <w:sz w:val="24"/>
          <w:szCs w:val="24"/>
        </w:rPr>
        <w:t>пореза</w:t>
      </w:r>
      <w:r w:rsidR="00E97A0F" w:rsidRPr="00831157">
        <w:rPr>
          <w:rFonts w:ascii="Times New Roman" w:hAnsi="Times New Roman"/>
          <w:sz w:val="24"/>
          <w:szCs w:val="24"/>
        </w:rPr>
        <w:t xml:space="preserve"> </w:t>
      </w:r>
      <w:r w:rsidRPr="00831157">
        <w:rPr>
          <w:rFonts w:ascii="Times New Roman" w:hAnsi="Times New Roman"/>
          <w:sz w:val="24"/>
          <w:szCs w:val="24"/>
        </w:rPr>
        <w:t>и</w:t>
      </w:r>
      <w:r w:rsidR="00E97A0F" w:rsidRPr="00831157">
        <w:rPr>
          <w:rFonts w:ascii="Times New Roman" w:hAnsi="Times New Roman"/>
          <w:sz w:val="24"/>
          <w:szCs w:val="24"/>
        </w:rPr>
        <w:t xml:space="preserve"> </w:t>
      </w:r>
      <w:r w:rsidRPr="00831157">
        <w:rPr>
          <w:rFonts w:ascii="Times New Roman" w:hAnsi="Times New Roman"/>
          <w:sz w:val="24"/>
          <w:szCs w:val="24"/>
        </w:rPr>
        <w:t>пореске</w:t>
      </w:r>
      <w:r w:rsidR="00E97A0F" w:rsidRPr="00831157">
        <w:rPr>
          <w:rFonts w:ascii="Times New Roman" w:hAnsi="Times New Roman"/>
          <w:sz w:val="24"/>
          <w:szCs w:val="24"/>
        </w:rPr>
        <w:t xml:space="preserve"> </w:t>
      </w:r>
      <w:r w:rsidRPr="00831157">
        <w:rPr>
          <w:rFonts w:ascii="Times New Roman" w:hAnsi="Times New Roman"/>
          <w:sz w:val="24"/>
          <w:szCs w:val="24"/>
        </w:rPr>
        <w:t>контроле</w:t>
      </w:r>
      <w:r w:rsidR="00E97A0F" w:rsidRPr="00831157">
        <w:rPr>
          <w:rFonts w:ascii="Times New Roman" w:hAnsi="Times New Roman"/>
          <w:sz w:val="24"/>
          <w:szCs w:val="24"/>
        </w:rPr>
        <w:t xml:space="preserve">, </w:t>
      </w:r>
      <w:r w:rsidRPr="00831157">
        <w:rPr>
          <w:rFonts w:ascii="Times New Roman" w:hAnsi="Times New Roman"/>
          <w:sz w:val="24"/>
          <w:szCs w:val="24"/>
        </w:rPr>
        <w:t>недозвољен</w:t>
      </w:r>
      <w:r w:rsidR="00E97A0F" w:rsidRPr="00831157">
        <w:rPr>
          <w:rFonts w:ascii="Times New Roman" w:hAnsi="Times New Roman"/>
          <w:sz w:val="24"/>
          <w:szCs w:val="24"/>
        </w:rPr>
        <w:t xml:space="preserve"> </w:t>
      </w:r>
      <w:r w:rsidRPr="00831157">
        <w:rPr>
          <w:rFonts w:ascii="Times New Roman" w:hAnsi="Times New Roman"/>
          <w:sz w:val="24"/>
          <w:szCs w:val="24"/>
        </w:rPr>
        <w:t>промет</w:t>
      </w:r>
      <w:r w:rsidR="00E97A0F" w:rsidRPr="00831157">
        <w:rPr>
          <w:rFonts w:ascii="Times New Roman" w:hAnsi="Times New Roman"/>
          <w:sz w:val="24"/>
          <w:szCs w:val="24"/>
        </w:rPr>
        <w:t xml:space="preserve"> </w:t>
      </w:r>
      <w:r w:rsidRPr="00831157">
        <w:rPr>
          <w:rFonts w:ascii="Times New Roman" w:hAnsi="Times New Roman"/>
          <w:sz w:val="24"/>
          <w:szCs w:val="24"/>
        </w:rPr>
        <w:t>акцизних</w:t>
      </w:r>
      <w:r w:rsidR="00E97A0F" w:rsidRPr="00831157">
        <w:rPr>
          <w:rFonts w:ascii="Times New Roman" w:hAnsi="Times New Roman"/>
          <w:sz w:val="24"/>
          <w:szCs w:val="24"/>
        </w:rPr>
        <w:t xml:space="preserve"> </w:t>
      </w:r>
      <w:r w:rsidRPr="00831157">
        <w:rPr>
          <w:rFonts w:ascii="Times New Roman" w:hAnsi="Times New Roman"/>
          <w:sz w:val="24"/>
          <w:szCs w:val="24"/>
        </w:rPr>
        <w:t>производа</w:t>
      </w:r>
      <w:r w:rsidR="00E97A0F" w:rsidRPr="00831157">
        <w:rPr>
          <w:rFonts w:ascii="Times New Roman" w:hAnsi="Times New Roman"/>
          <w:sz w:val="24"/>
          <w:szCs w:val="24"/>
        </w:rPr>
        <w:t xml:space="preserve"> </w:t>
      </w:r>
      <w:r w:rsidRPr="00831157">
        <w:rPr>
          <w:rFonts w:ascii="Times New Roman" w:hAnsi="Times New Roman"/>
          <w:sz w:val="24"/>
          <w:szCs w:val="24"/>
        </w:rPr>
        <w:t>и</w:t>
      </w:r>
      <w:r w:rsidR="00E97A0F" w:rsidRPr="00831157">
        <w:rPr>
          <w:rFonts w:ascii="Times New Roman" w:hAnsi="Times New Roman"/>
          <w:sz w:val="24"/>
          <w:szCs w:val="24"/>
        </w:rPr>
        <w:t xml:space="preserve"> </w:t>
      </w:r>
      <w:r w:rsidRPr="00831157">
        <w:rPr>
          <w:rFonts w:ascii="Times New Roman" w:hAnsi="Times New Roman"/>
          <w:sz w:val="24"/>
          <w:szCs w:val="24"/>
        </w:rPr>
        <w:t>друге</w:t>
      </w:r>
      <w:r w:rsidR="00E97A0F" w:rsidRPr="00831157">
        <w:rPr>
          <w:rFonts w:ascii="Times New Roman" w:hAnsi="Times New Roman"/>
          <w:sz w:val="24"/>
          <w:szCs w:val="24"/>
        </w:rPr>
        <w:t xml:space="preserve"> </w:t>
      </w:r>
      <w:r w:rsidRPr="00831157">
        <w:rPr>
          <w:rFonts w:ascii="Times New Roman" w:hAnsi="Times New Roman"/>
          <w:sz w:val="24"/>
          <w:szCs w:val="24"/>
        </w:rPr>
        <w:t>назаконите</w:t>
      </w:r>
      <w:r w:rsidR="00E97A0F" w:rsidRPr="00831157">
        <w:rPr>
          <w:rFonts w:ascii="Times New Roman" w:hAnsi="Times New Roman"/>
          <w:sz w:val="24"/>
          <w:szCs w:val="24"/>
        </w:rPr>
        <w:t xml:space="preserve"> </w:t>
      </w:r>
      <w:r w:rsidRPr="00831157">
        <w:rPr>
          <w:rFonts w:ascii="Times New Roman" w:hAnsi="Times New Roman"/>
          <w:sz w:val="24"/>
          <w:szCs w:val="24"/>
        </w:rPr>
        <w:t>радње</w:t>
      </w:r>
      <w:r w:rsidR="00E97A0F" w:rsidRPr="00831157">
        <w:rPr>
          <w:rFonts w:ascii="Times New Roman" w:hAnsi="Times New Roman"/>
          <w:sz w:val="24"/>
          <w:szCs w:val="24"/>
        </w:rPr>
        <w:t xml:space="preserve"> </w:t>
      </w:r>
      <w:r w:rsidRPr="00831157">
        <w:rPr>
          <w:rFonts w:ascii="Times New Roman" w:hAnsi="Times New Roman"/>
          <w:sz w:val="24"/>
          <w:szCs w:val="24"/>
        </w:rPr>
        <w:t>које</w:t>
      </w:r>
      <w:r w:rsidR="00E97A0F" w:rsidRPr="00831157">
        <w:rPr>
          <w:rFonts w:ascii="Times New Roman" w:hAnsi="Times New Roman"/>
          <w:sz w:val="24"/>
          <w:szCs w:val="24"/>
        </w:rPr>
        <w:t xml:space="preserve"> </w:t>
      </w:r>
      <w:r w:rsidRPr="00831157">
        <w:rPr>
          <w:rFonts w:ascii="Times New Roman" w:hAnsi="Times New Roman"/>
          <w:sz w:val="24"/>
          <w:szCs w:val="24"/>
        </w:rPr>
        <w:t>су</w:t>
      </w:r>
      <w:r w:rsidR="00E97A0F" w:rsidRPr="00831157">
        <w:rPr>
          <w:rFonts w:ascii="Times New Roman" w:hAnsi="Times New Roman"/>
          <w:sz w:val="24"/>
          <w:szCs w:val="24"/>
        </w:rPr>
        <w:t xml:space="preserve"> </w:t>
      </w:r>
      <w:r w:rsidRPr="00831157">
        <w:rPr>
          <w:rFonts w:ascii="Times New Roman" w:hAnsi="Times New Roman"/>
          <w:sz w:val="24"/>
          <w:szCs w:val="24"/>
        </w:rPr>
        <w:t>у</w:t>
      </w:r>
      <w:r w:rsidR="00E97A0F" w:rsidRPr="00831157">
        <w:rPr>
          <w:rFonts w:ascii="Times New Roman" w:hAnsi="Times New Roman"/>
          <w:sz w:val="24"/>
          <w:szCs w:val="24"/>
        </w:rPr>
        <w:t xml:space="preserve"> </w:t>
      </w:r>
      <w:r w:rsidRPr="00831157">
        <w:rPr>
          <w:rFonts w:ascii="Times New Roman" w:hAnsi="Times New Roman"/>
          <w:sz w:val="24"/>
          <w:szCs w:val="24"/>
        </w:rPr>
        <w:t>вези</w:t>
      </w:r>
      <w:r w:rsidR="00E97A0F" w:rsidRPr="00831157">
        <w:rPr>
          <w:rFonts w:ascii="Times New Roman" w:hAnsi="Times New Roman"/>
          <w:sz w:val="24"/>
          <w:szCs w:val="24"/>
        </w:rPr>
        <w:t xml:space="preserve"> </w:t>
      </w:r>
      <w:r w:rsidRPr="00831157">
        <w:rPr>
          <w:rFonts w:ascii="Times New Roman" w:hAnsi="Times New Roman"/>
          <w:sz w:val="24"/>
          <w:szCs w:val="24"/>
        </w:rPr>
        <w:t>са</w:t>
      </w:r>
      <w:r w:rsidR="00E97A0F" w:rsidRPr="00831157">
        <w:rPr>
          <w:rFonts w:ascii="Times New Roman" w:hAnsi="Times New Roman"/>
          <w:sz w:val="24"/>
          <w:szCs w:val="24"/>
        </w:rPr>
        <w:t xml:space="preserve"> </w:t>
      </w:r>
      <w:r w:rsidRPr="00831157">
        <w:rPr>
          <w:rFonts w:ascii="Times New Roman" w:hAnsi="Times New Roman"/>
          <w:sz w:val="24"/>
          <w:szCs w:val="24"/>
        </w:rPr>
        <w:t>избегавањем</w:t>
      </w:r>
      <w:r w:rsidR="00E97A0F" w:rsidRPr="00831157">
        <w:rPr>
          <w:rFonts w:ascii="Times New Roman" w:hAnsi="Times New Roman"/>
          <w:sz w:val="24"/>
          <w:szCs w:val="24"/>
        </w:rPr>
        <w:t xml:space="preserve"> </w:t>
      </w:r>
      <w:r w:rsidRPr="00831157">
        <w:rPr>
          <w:rFonts w:ascii="Times New Roman" w:hAnsi="Times New Roman"/>
          <w:sz w:val="24"/>
          <w:szCs w:val="24"/>
        </w:rPr>
        <w:t>и</w:t>
      </w:r>
      <w:r w:rsidR="00E97A0F" w:rsidRPr="00831157">
        <w:rPr>
          <w:rFonts w:ascii="Times New Roman" w:hAnsi="Times New Roman"/>
          <w:sz w:val="24"/>
          <w:szCs w:val="24"/>
        </w:rPr>
        <w:t xml:space="preserve"> </w:t>
      </w:r>
      <w:r w:rsidRPr="00831157">
        <w:rPr>
          <w:rFonts w:ascii="Times New Roman" w:hAnsi="Times New Roman"/>
          <w:sz w:val="24"/>
          <w:szCs w:val="24"/>
        </w:rPr>
        <w:t>помагањем</w:t>
      </w:r>
      <w:r w:rsidR="00E97A0F" w:rsidRPr="00831157">
        <w:rPr>
          <w:rFonts w:ascii="Times New Roman" w:hAnsi="Times New Roman"/>
          <w:sz w:val="24"/>
          <w:szCs w:val="24"/>
        </w:rPr>
        <w:t xml:space="preserve"> </w:t>
      </w:r>
      <w:r w:rsidRPr="00831157">
        <w:rPr>
          <w:rFonts w:ascii="Times New Roman" w:hAnsi="Times New Roman"/>
          <w:sz w:val="24"/>
          <w:szCs w:val="24"/>
        </w:rPr>
        <w:t>у</w:t>
      </w:r>
      <w:r w:rsidR="00E97A0F" w:rsidRPr="00831157">
        <w:rPr>
          <w:rFonts w:ascii="Times New Roman" w:hAnsi="Times New Roman"/>
          <w:sz w:val="24"/>
          <w:szCs w:val="24"/>
        </w:rPr>
        <w:t xml:space="preserve"> </w:t>
      </w:r>
      <w:r w:rsidRPr="00831157">
        <w:rPr>
          <w:rFonts w:ascii="Times New Roman" w:hAnsi="Times New Roman"/>
          <w:sz w:val="24"/>
          <w:szCs w:val="24"/>
        </w:rPr>
        <w:t>избегавању</w:t>
      </w:r>
      <w:r w:rsidR="00E97A0F" w:rsidRPr="00831157">
        <w:rPr>
          <w:rFonts w:ascii="Times New Roman" w:hAnsi="Times New Roman"/>
          <w:sz w:val="24"/>
          <w:szCs w:val="24"/>
        </w:rPr>
        <w:t xml:space="preserve"> </w:t>
      </w:r>
      <w:r w:rsidRPr="00831157">
        <w:rPr>
          <w:rFonts w:ascii="Times New Roman" w:hAnsi="Times New Roman"/>
          <w:sz w:val="24"/>
          <w:szCs w:val="24"/>
        </w:rPr>
        <w:t>плаћања</w:t>
      </w:r>
      <w:r w:rsidR="00E97A0F" w:rsidRPr="00831157">
        <w:rPr>
          <w:rFonts w:ascii="Times New Roman" w:hAnsi="Times New Roman"/>
          <w:sz w:val="24"/>
          <w:szCs w:val="24"/>
        </w:rPr>
        <w:t xml:space="preserve"> </w:t>
      </w:r>
      <w:r w:rsidRPr="00831157">
        <w:rPr>
          <w:rFonts w:ascii="Times New Roman" w:hAnsi="Times New Roman"/>
          <w:sz w:val="24"/>
          <w:szCs w:val="24"/>
        </w:rPr>
        <w:t>пореза</w:t>
      </w:r>
      <w:r w:rsidR="00E97A0F" w:rsidRPr="00831157">
        <w:rPr>
          <w:rFonts w:ascii="Times New Roman" w:hAnsi="Times New Roman"/>
          <w:sz w:val="24"/>
          <w:szCs w:val="24"/>
        </w:rPr>
        <w:t>.</w:t>
      </w:r>
      <w:r w:rsidR="00784729" w:rsidRPr="00831157">
        <w:rPr>
          <w:rFonts w:ascii="Times New Roman" w:hAnsi="Times New Roman"/>
          <w:sz w:val="24"/>
          <w:szCs w:val="24"/>
          <w:lang w:val="sr-Cyrl-CS"/>
        </w:rPr>
        <w:t xml:space="preserve"> </w:t>
      </w:r>
      <w:r w:rsidRPr="00831157">
        <w:rPr>
          <w:rFonts w:ascii="Times New Roman" w:hAnsi="Times New Roman"/>
          <w:sz w:val="24"/>
          <w:szCs w:val="24"/>
        </w:rPr>
        <w:t>Ради</w:t>
      </w:r>
      <w:r w:rsidR="00E97A0F" w:rsidRPr="00831157">
        <w:rPr>
          <w:rFonts w:ascii="Times New Roman" w:hAnsi="Times New Roman"/>
          <w:sz w:val="24"/>
          <w:szCs w:val="24"/>
        </w:rPr>
        <w:t xml:space="preserve"> </w:t>
      </w:r>
      <w:r w:rsidRPr="00831157">
        <w:rPr>
          <w:rFonts w:ascii="Times New Roman" w:hAnsi="Times New Roman"/>
          <w:sz w:val="24"/>
          <w:szCs w:val="24"/>
        </w:rPr>
        <w:t>откривања</w:t>
      </w:r>
      <w:r w:rsidR="00E97A0F" w:rsidRPr="00831157">
        <w:rPr>
          <w:rFonts w:ascii="Times New Roman" w:hAnsi="Times New Roman"/>
          <w:sz w:val="24"/>
          <w:szCs w:val="24"/>
        </w:rPr>
        <w:t xml:space="preserve"> </w:t>
      </w:r>
      <w:r w:rsidRPr="00831157">
        <w:rPr>
          <w:rFonts w:ascii="Times New Roman" w:hAnsi="Times New Roman"/>
          <w:sz w:val="24"/>
          <w:szCs w:val="24"/>
        </w:rPr>
        <w:t>пореских</w:t>
      </w:r>
      <w:r w:rsidR="00E97A0F" w:rsidRPr="00831157">
        <w:rPr>
          <w:rFonts w:ascii="Times New Roman" w:hAnsi="Times New Roman"/>
          <w:sz w:val="24"/>
          <w:szCs w:val="24"/>
        </w:rPr>
        <w:t xml:space="preserve"> </w:t>
      </w:r>
      <w:r w:rsidRPr="00831157">
        <w:rPr>
          <w:rFonts w:ascii="Times New Roman" w:hAnsi="Times New Roman"/>
          <w:sz w:val="24"/>
          <w:szCs w:val="24"/>
        </w:rPr>
        <w:t>кривичних</w:t>
      </w:r>
      <w:r w:rsidR="00E97A0F" w:rsidRPr="00831157">
        <w:rPr>
          <w:rFonts w:ascii="Times New Roman" w:hAnsi="Times New Roman"/>
          <w:sz w:val="24"/>
          <w:szCs w:val="24"/>
        </w:rPr>
        <w:t xml:space="preserve"> </w:t>
      </w:r>
      <w:r w:rsidRPr="00831157">
        <w:rPr>
          <w:rFonts w:ascii="Times New Roman" w:hAnsi="Times New Roman"/>
          <w:sz w:val="24"/>
          <w:szCs w:val="24"/>
        </w:rPr>
        <w:t>дела</w:t>
      </w:r>
      <w:r w:rsidR="00E97A0F" w:rsidRPr="00831157">
        <w:rPr>
          <w:rFonts w:ascii="Times New Roman" w:hAnsi="Times New Roman"/>
          <w:sz w:val="24"/>
          <w:szCs w:val="24"/>
        </w:rPr>
        <w:t xml:space="preserve"> </w:t>
      </w:r>
      <w:r w:rsidRPr="00831157">
        <w:rPr>
          <w:rFonts w:ascii="Times New Roman" w:hAnsi="Times New Roman"/>
          <w:sz w:val="24"/>
          <w:szCs w:val="24"/>
        </w:rPr>
        <w:t>и</w:t>
      </w:r>
      <w:r w:rsidR="00E97A0F" w:rsidRPr="00831157">
        <w:rPr>
          <w:rFonts w:ascii="Times New Roman" w:hAnsi="Times New Roman"/>
          <w:sz w:val="24"/>
          <w:szCs w:val="24"/>
        </w:rPr>
        <w:t xml:space="preserve"> </w:t>
      </w:r>
      <w:r w:rsidRPr="00831157">
        <w:rPr>
          <w:rFonts w:ascii="Times New Roman" w:hAnsi="Times New Roman"/>
          <w:sz w:val="24"/>
          <w:szCs w:val="24"/>
        </w:rPr>
        <w:t>њихових</w:t>
      </w:r>
      <w:r w:rsidR="00E97A0F" w:rsidRPr="00831157">
        <w:rPr>
          <w:rFonts w:ascii="Times New Roman" w:hAnsi="Times New Roman"/>
          <w:sz w:val="24"/>
          <w:szCs w:val="24"/>
        </w:rPr>
        <w:t xml:space="preserve"> </w:t>
      </w:r>
      <w:r w:rsidRPr="00831157">
        <w:rPr>
          <w:rFonts w:ascii="Times New Roman" w:hAnsi="Times New Roman"/>
          <w:sz w:val="24"/>
          <w:szCs w:val="24"/>
        </w:rPr>
        <w:t>извршилаца</w:t>
      </w:r>
      <w:r w:rsidR="00E97A0F" w:rsidRPr="00831157">
        <w:rPr>
          <w:rFonts w:ascii="Times New Roman" w:hAnsi="Times New Roman"/>
          <w:sz w:val="24"/>
          <w:szCs w:val="24"/>
        </w:rPr>
        <w:t xml:space="preserve"> </w:t>
      </w:r>
      <w:r w:rsidRPr="00831157">
        <w:rPr>
          <w:rFonts w:ascii="Times New Roman" w:hAnsi="Times New Roman"/>
          <w:sz w:val="24"/>
          <w:szCs w:val="24"/>
        </w:rPr>
        <w:t>Пореска</w:t>
      </w:r>
      <w:r w:rsidR="00E97A0F" w:rsidRPr="00831157">
        <w:rPr>
          <w:rFonts w:ascii="Times New Roman" w:hAnsi="Times New Roman"/>
          <w:sz w:val="24"/>
          <w:szCs w:val="24"/>
        </w:rPr>
        <w:t xml:space="preserve"> </w:t>
      </w:r>
      <w:r w:rsidRPr="00831157">
        <w:rPr>
          <w:rFonts w:ascii="Times New Roman" w:hAnsi="Times New Roman"/>
          <w:sz w:val="24"/>
          <w:szCs w:val="24"/>
        </w:rPr>
        <w:t>полиција</w:t>
      </w:r>
      <w:r w:rsidR="00E97A0F" w:rsidRPr="00831157">
        <w:rPr>
          <w:rFonts w:ascii="Times New Roman" w:hAnsi="Times New Roman"/>
          <w:sz w:val="24"/>
          <w:szCs w:val="24"/>
        </w:rPr>
        <w:t xml:space="preserve"> </w:t>
      </w:r>
      <w:r w:rsidRPr="00831157">
        <w:rPr>
          <w:rFonts w:ascii="Times New Roman" w:hAnsi="Times New Roman"/>
          <w:sz w:val="24"/>
          <w:szCs w:val="24"/>
        </w:rPr>
        <w:t>у</w:t>
      </w:r>
      <w:r w:rsidR="00E97A0F" w:rsidRPr="00831157">
        <w:rPr>
          <w:rFonts w:ascii="Times New Roman" w:hAnsi="Times New Roman"/>
          <w:sz w:val="24"/>
          <w:szCs w:val="24"/>
        </w:rPr>
        <w:t xml:space="preserve"> </w:t>
      </w:r>
      <w:r w:rsidRPr="00831157">
        <w:rPr>
          <w:rFonts w:ascii="Times New Roman" w:hAnsi="Times New Roman"/>
          <w:sz w:val="24"/>
          <w:szCs w:val="24"/>
        </w:rPr>
        <w:t>предкривичном</w:t>
      </w:r>
      <w:r w:rsidR="00E97A0F" w:rsidRPr="00831157">
        <w:rPr>
          <w:rFonts w:ascii="Times New Roman" w:hAnsi="Times New Roman"/>
          <w:sz w:val="24"/>
          <w:szCs w:val="24"/>
        </w:rPr>
        <w:t xml:space="preserve"> </w:t>
      </w:r>
      <w:r w:rsidRPr="00831157">
        <w:rPr>
          <w:rFonts w:ascii="Times New Roman" w:hAnsi="Times New Roman"/>
          <w:sz w:val="24"/>
          <w:szCs w:val="24"/>
        </w:rPr>
        <w:t>поступку</w:t>
      </w:r>
      <w:r w:rsidR="00E97A0F" w:rsidRPr="00831157">
        <w:rPr>
          <w:rFonts w:ascii="Times New Roman" w:hAnsi="Times New Roman"/>
          <w:sz w:val="24"/>
          <w:szCs w:val="24"/>
        </w:rPr>
        <w:t xml:space="preserve"> </w:t>
      </w:r>
      <w:r w:rsidRPr="00831157">
        <w:rPr>
          <w:rFonts w:ascii="Times New Roman" w:hAnsi="Times New Roman"/>
          <w:sz w:val="24"/>
          <w:szCs w:val="24"/>
        </w:rPr>
        <w:t>поступа</w:t>
      </w:r>
      <w:r w:rsidR="00E97A0F" w:rsidRPr="00831157">
        <w:rPr>
          <w:rFonts w:ascii="Times New Roman" w:hAnsi="Times New Roman"/>
          <w:sz w:val="24"/>
          <w:szCs w:val="24"/>
        </w:rPr>
        <w:t xml:space="preserve"> </w:t>
      </w:r>
      <w:r w:rsidRPr="00831157">
        <w:rPr>
          <w:rFonts w:ascii="Times New Roman" w:hAnsi="Times New Roman"/>
          <w:sz w:val="24"/>
          <w:szCs w:val="24"/>
        </w:rPr>
        <w:t>као</w:t>
      </w:r>
      <w:r w:rsidR="00E97A0F" w:rsidRPr="00831157">
        <w:rPr>
          <w:rFonts w:ascii="Times New Roman" w:hAnsi="Times New Roman"/>
          <w:sz w:val="24"/>
          <w:szCs w:val="24"/>
        </w:rPr>
        <w:t xml:space="preserve"> </w:t>
      </w:r>
      <w:r w:rsidRPr="00831157">
        <w:rPr>
          <w:rFonts w:ascii="Times New Roman" w:hAnsi="Times New Roman"/>
          <w:sz w:val="24"/>
          <w:szCs w:val="24"/>
        </w:rPr>
        <w:t>орган</w:t>
      </w:r>
      <w:r w:rsidR="00E97A0F" w:rsidRPr="00831157">
        <w:rPr>
          <w:rFonts w:ascii="Times New Roman" w:hAnsi="Times New Roman"/>
          <w:sz w:val="24"/>
          <w:szCs w:val="24"/>
        </w:rPr>
        <w:t xml:space="preserve"> </w:t>
      </w:r>
      <w:r w:rsidRPr="00831157">
        <w:rPr>
          <w:rFonts w:ascii="Times New Roman" w:hAnsi="Times New Roman"/>
          <w:sz w:val="24"/>
          <w:szCs w:val="24"/>
        </w:rPr>
        <w:t>унутрашњих</w:t>
      </w:r>
      <w:r w:rsidR="00E97A0F" w:rsidRPr="00831157">
        <w:rPr>
          <w:rFonts w:ascii="Times New Roman" w:hAnsi="Times New Roman"/>
          <w:sz w:val="24"/>
          <w:szCs w:val="24"/>
        </w:rPr>
        <w:t xml:space="preserve"> </w:t>
      </w:r>
      <w:r w:rsidRPr="00831157">
        <w:rPr>
          <w:rFonts w:ascii="Times New Roman" w:hAnsi="Times New Roman"/>
          <w:sz w:val="24"/>
          <w:szCs w:val="24"/>
        </w:rPr>
        <w:t>послова</w:t>
      </w:r>
      <w:r w:rsidR="00E97A0F" w:rsidRPr="00831157">
        <w:rPr>
          <w:rFonts w:ascii="Times New Roman" w:hAnsi="Times New Roman"/>
          <w:sz w:val="24"/>
          <w:szCs w:val="24"/>
        </w:rPr>
        <w:t xml:space="preserve"> </w:t>
      </w:r>
      <w:r w:rsidRPr="00831157">
        <w:rPr>
          <w:rFonts w:ascii="Times New Roman" w:hAnsi="Times New Roman"/>
          <w:sz w:val="24"/>
          <w:szCs w:val="24"/>
        </w:rPr>
        <w:t>и</w:t>
      </w:r>
      <w:r w:rsidR="00E97A0F" w:rsidRPr="00831157">
        <w:rPr>
          <w:rFonts w:ascii="Times New Roman" w:hAnsi="Times New Roman"/>
          <w:sz w:val="24"/>
          <w:szCs w:val="24"/>
        </w:rPr>
        <w:t xml:space="preserve"> </w:t>
      </w:r>
      <w:r w:rsidRPr="00831157">
        <w:rPr>
          <w:rFonts w:ascii="Times New Roman" w:hAnsi="Times New Roman"/>
          <w:sz w:val="24"/>
          <w:szCs w:val="24"/>
        </w:rPr>
        <w:t>овлашћена</w:t>
      </w:r>
      <w:r w:rsidR="00E97A0F" w:rsidRPr="00831157">
        <w:rPr>
          <w:rFonts w:ascii="Times New Roman" w:hAnsi="Times New Roman"/>
          <w:sz w:val="24"/>
          <w:szCs w:val="24"/>
        </w:rPr>
        <w:t xml:space="preserve"> </w:t>
      </w:r>
      <w:r w:rsidRPr="00831157">
        <w:rPr>
          <w:rFonts w:ascii="Times New Roman" w:hAnsi="Times New Roman"/>
          <w:sz w:val="24"/>
          <w:szCs w:val="24"/>
        </w:rPr>
        <w:t>је</w:t>
      </w:r>
      <w:r w:rsidR="00E97A0F" w:rsidRPr="00831157">
        <w:rPr>
          <w:rFonts w:ascii="Times New Roman" w:hAnsi="Times New Roman"/>
          <w:sz w:val="24"/>
          <w:szCs w:val="24"/>
        </w:rPr>
        <w:t xml:space="preserve"> </w:t>
      </w:r>
      <w:r w:rsidRPr="00831157">
        <w:rPr>
          <w:rFonts w:ascii="Times New Roman" w:hAnsi="Times New Roman"/>
          <w:sz w:val="24"/>
          <w:szCs w:val="24"/>
        </w:rPr>
        <w:t>да</w:t>
      </w:r>
      <w:r w:rsidR="00E97A0F" w:rsidRPr="00831157">
        <w:rPr>
          <w:rFonts w:ascii="Times New Roman" w:hAnsi="Times New Roman"/>
          <w:sz w:val="24"/>
          <w:szCs w:val="24"/>
        </w:rPr>
        <w:t xml:space="preserve">, </w:t>
      </w:r>
      <w:r w:rsidRPr="00831157">
        <w:rPr>
          <w:rFonts w:ascii="Times New Roman" w:hAnsi="Times New Roman"/>
          <w:sz w:val="24"/>
          <w:szCs w:val="24"/>
        </w:rPr>
        <w:t>у</w:t>
      </w:r>
      <w:r w:rsidR="00E97A0F" w:rsidRPr="00831157">
        <w:rPr>
          <w:rFonts w:ascii="Times New Roman" w:hAnsi="Times New Roman"/>
          <w:sz w:val="24"/>
          <w:szCs w:val="24"/>
        </w:rPr>
        <w:t xml:space="preserve"> </w:t>
      </w:r>
      <w:r w:rsidRPr="00831157">
        <w:rPr>
          <w:rFonts w:ascii="Times New Roman" w:hAnsi="Times New Roman"/>
          <w:sz w:val="24"/>
          <w:szCs w:val="24"/>
        </w:rPr>
        <w:t>складу</w:t>
      </w:r>
      <w:r w:rsidR="00E97A0F" w:rsidRPr="00831157">
        <w:rPr>
          <w:rFonts w:ascii="Times New Roman" w:hAnsi="Times New Roman"/>
          <w:sz w:val="24"/>
          <w:szCs w:val="24"/>
        </w:rPr>
        <w:t xml:space="preserve"> </w:t>
      </w:r>
      <w:r w:rsidRPr="00831157">
        <w:rPr>
          <w:rFonts w:ascii="Times New Roman" w:hAnsi="Times New Roman"/>
          <w:sz w:val="24"/>
          <w:szCs w:val="24"/>
        </w:rPr>
        <w:t>са</w:t>
      </w:r>
      <w:r w:rsidR="00E97A0F" w:rsidRPr="00831157">
        <w:rPr>
          <w:rFonts w:ascii="Times New Roman" w:hAnsi="Times New Roman"/>
          <w:sz w:val="24"/>
          <w:szCs w:val="24"/>
        </w:rPr>
        <w:t xml:space="preserve"> </w:t>
      </w:r>
      <w:r w:rsidRPr="00831157">
        <w:rPr>
          <w:rFonts w:ascii="Times New Roman" w:hAnsi="Times New Roman"/>
          <w:sz w:val="24"/>
          <w:szCs w:val="24"/>
        </w:rPr>
        <w:t>законом</w:t>
      </w:r>
      <w:r w:rsidR="00E97A0F" w:rsidRPr="00831157">
        <w:rPr>
          <w:rFonts w:ascii="Times New Roman" w:hAnsi="Times New Roman"/>
          <w:sz w:val="24"/>
          <w:szCs w:val="24"/>
        </w:rPr>
        <w:t xml:space="preserve">, </w:t>
      </w:r>
      <w:r w:rsidRPr="00831157">
        <w:rPr>
          <w:rFonts w:ascii="Times New Roman" w:hAnsi="Times New Roman"/>
          <w:sz w:val="24"/>
          <w:szCs w:val="24"/>
        </w:rPr>
        <w:t>предузима</w:t>
      </w:r>
      <w:r w:rsidR="00E97A0F" w:rsidRPr="00831157">
        <w:rPr>
          <w:rFonts w:ascii="Times New Roman" w:hAnsi="Times New Roman"/>
          <w:sz w:val="24"/>
          <w:szCs w:val="24"/>
        </w:rPr>
        <w:t xml:space="preserve"> </w:t>
      </w:r>
      <w:r w:rsidRPr="00831157">
        <w:rPr>
          <w:rFonts w:ascii="Times New Roman" w:hAnsi="Times New Roman"/>
          <w:sz w:val="24"/>
          <w:szCs w:val="24"/>
        </w:rPr>
        <w:t>све</w:t>
      </w:r>
      <w:r w:rsidR="00E97A0F" w:rsidRPr="00831157">
        <w:rPr>
          <w:rFonts w:ascii="Times New Roman" w:hAnsi="Times New Roman"/>
          <w:sz w:val="24"/>
          <w:szCs w:val="24"/>
        </w:rPr>
        <w:t xml:space="preserve"> </w:t>
      </w:r>
      <w:r w:rsidR="000B3507" w:rsidRPr="00831157">
        <w:rPr>
          <w:rFonts w:ascii="Times New Roman" w:hAnsi="Times New Roman"/>
          <w:sz w:val="24"/>
          <w:szCs w:val="24"/>
        </w:rPr>
        <w:t>потраж</w:t>
      </w:r>
      <w:r w:rsidRPr="00831157">
        <w:rPr>
          <w:rFonts w:ascii="Times New Roman" w:hAnsi="Times New Roman"/>
          <w:sz w:val="24"/>
          <w:szCs w:val="24"/>
        </w:rPr>
        <w:t>не</w:t>
      </w:r>
      <w:r w:rsidR="00E97A0F" w:rsidRPr="00831157">
        <w:rPr>
          <w:rFonts w:ascii="Times New Roman" w:hAnsi="Times New Roman"/>
          <w:sz w:val="24"/>
          <w:szCs w:val="24"/>
        </w:rPr>
        <w:t xml:space="preserve"> </w:t>
      </w:r>
      <w:r w:rsidRPr="00831157">
        <w:rPr>
          <w:rFonts w:ascii="Times New Roman" w:hAnsi="Times New Roman"/>
          <w:sz w:val="24"/>
          <w:szCs w:val="24"/>
        </w:rPr>
        <w:t>радње</w:t>
      </w:r>
      <w:r w:rsidR="00E97A0F" w:rsidRPr="00831157">
        <w:rPr>
          <w:rFonts w:ascii="Times New Roman" w:hAnsi="Times New Roman"/>
          <w:sz w:val="24"/>
          <w:szCs w:val="24"/>
        </w:rPr>
        <w:t xml:space="preserve">, </w:t>
      </w:r>
      <w:r w:rsidRPr="00831157">
        <w:rPr>
          <w:rFonts w:ascii="Times New Roman" w:hAnsi="Times New Roman"/>
          <w:sz w:val="24"/>
          <w:szCs w:val="24"/>
        </w:rPr>
        <w:t>изузев</w:t>
      </w:r>
      <w:r w:rsidR="00E97A0F" w:rsidRPr="00831157">
        <w:rPr>
          <w:rFonts w:ascii="Times New Roman" w:hAnsi="Times New Roman"/>
          <w:sz w:val="24"/>
          <w:szCs w:val="24"/>
        </w:rPr>
        <w:t xml:space="preserve"> </w:t>
      </w:r>
      <w:r w:rsidRPr="00831157">
        <w:rPr>
          <w:rFonts w:ascii="Times New Roman" w:hAnsi="Times New Roman"/>
          <w:sz w:val="24"/>
          <w:szCs w:val="24"/>
        </w:rPr>
        <w:t>ограничења</w:t>
      </w:r>
      <w:r w:rsidR="00E97A0F" w:rsidRPr="00831157">
        <w:rPr>
          <w:rFonts w:ascii="Times New Roman" w:hAnsi="Times New Roman"/>
          <w:sz w:val="24"/>
          <w:szCs w:val="24"/>
        </w:rPr>
        <w:t xml:space="preserve"> </w:t>
      </w:r>
      <w:r w:rsidRPr="00831157">
        <w:rPr>
          <w:rFonts w:ascii="Times New Roman" w:hAnsi="Times New Roman"/>
          <w:sz w:val="24"/>
          <w:szCs w:val="24"/>
        </w:rPr>
        <w:t>кретања</w:t>
      </w:r>
      <w:r w:rsidR="00E97A0F" w:rsidRPr="00831157">
        <w:rPr>
          <w:rFonts w:ascii="Times New Roman" w:hAnsi="Times New Roman"/>
          <w:sz w:val="24"/>
          <w:szCs w:val="24"/>
        </w:rPr>
        <w:t>.</w:t>
      </w:r>
    </w:p>
    <w:p w:rsidR="0058281B" w:rsidRPr="00831157" w:rsidRDefault="0058281B" w:rsidP="00831157">
      <w:pPr>
        <w:ind w:firstLine="708"/>
        <w:jc w:val="both"/>
        <w:rPr>
          <w:rFonts w:ascii="Times New Roman" w:hAnsi="Times New Roman"/>
          <w:sz w:val="24"/>
          <w:szCs w:val="24"/>
          <w:lang w:val="sr-Cyrl-CS"/>
        </w:rPr>
      </w:pPr>
      <w:r w:rsidRPr="00831157">
        <w:rPr>
          <w:rFonts w:ascii="Times New Roman" w:hAnsi="Times New Roman"/>
          <w:sz w:val="24"/>
          <w:szCs w:val="24"/>
          <w:lang w:val="sr-Cyrl-CS"/>
        </w:rPr>
        <w:t>Пореска управа је дужна да остварује сва права и обавезе из порескоправног односа у складу са законом, а у случајевима када је овлашћена да делује на основу дискреционих овлашћења, дужна је да делује у складу са сврхом тих овлашћења и у складу са законом.</w:t>
      </w:r>
      <w:r w:rsidRPr="00831157">
        <w:rPr>
          <w:rStyle w:val="FootnoteReference"/>
          <w:rFonts w:ascii="Times New Roman" w:hAnsi="Times New Roman"/>
          <w:color w:val="000000"/>
          <w:sz w:val="24"/>
          <w:szCs w:val="24"/>
          <w:lang w:val="sr-Cyrl-CS"/>
        </w:rPr>
        <w:footnoteReference w:id="857"/>
      </w:r>
      <w:r w:rsidRPr="00831157">
        <w:rPr>
          <w:rFonts w:ascii="Times New Roman" w:hAnsi="Times New Roman"/>
          <w:sz w:val="24"/>
          <w:szCs w:val="24"/>
          <w:lang w:val="sr-Cyrl-CS"/>
        </w:rPr>
        <w:t xml:space="preserve"> Пре доношења акта којим се утврђују обавезе и права пореског обвезника, Пореска управа је дужна да на његов захтев омогући пореском обвезнику увид у правну и чињеничну основу за доношење акта.</w:t>
      </w:r>
      <w:r w:rsidRPr="00831157">
        <w:rPr>
          <w:rStyle w:val="FootnoteReference"/>
          <w:rFonts w:ascii="Times New Roman" w:hAnsi="Times New Roman"/>
          <w:color w:val="000000"/>
          <w:sz w:val="24"/>
          <w:szCs w:val="24"/>
          <w:lang w:val="sr-Cyrl-CS"/>
        </w:rPr>
        <w:footnoteReference w:id="858"/>
      </w:r>
      <w:r w:rsidRPr="00831157">
        <w:rPr>
          <w:rFonts w:ascii="Times New Roman" w:hAnsi="Times New Roman"/>
          <w:sz w:val="24"/>
          <w:szCs w:val="24"/>
          <w:lang w:val="sr-Cyrl-CS"/>
        </w:rPr>
        <w:t xml:space="preserve"> Пореске чињенице се утврђују према њиховој економској суштини. Ако се симулованим правним послом прикрива неки други правни посао, за утврђивање пореске обавезе основу чини дисимулован правни посао. </w:t>
      </w:r>
      <w:r w:rsidR="00D549D2" w:rsidRPr="00831157">
        <w:rPr>
          <w:rFonts w:ascii="Times New Roman" w:hAnsi="Times New Roman"/>
          <w:sz w:val="24"/>
          <w:szCs w:val="24"/>
          <w:lang w:val="sr-Cyrl-CS"/>
        </w:rPr>
        <w:t xml:space="preserve">У том случају симулован правни посао је ништав, а важиће дисимулован правни посао ако испуњава све прописане сулове. </w:t>
      </w:r>
      <w:r w:rsidRPr="00831157">
        <w:rPr>
          <w:rFonts w:ascii="Times New Roman" w:hAnsi="Times New Roman"/>
          <w:sz w:val="24"/>
          <w:szCs w:val="24"/>
          <w:lang w:val="sr-Cyrl-CS"/>
        </w:rPr>
        <w:t>Када су на прописима супротан начин остварени приходи, односно стечена имовина, Пореска управа ће утврдити пореску обавезу у складу са законом којим се уређује одговарајућа врста пореза.</w:t>
      </w:r>
      <w:r w:rsidR="00BD502F" w:rsidRPr="00831157">
        <w:rPr>
          <w:rFonts w:ascii="Times New Roman" w:hAnsi="Times New Roman"/>
          <w:sz w:val="24"/>
          <w:szCs w:val="24"/>
          <w:lang w:val="sr-Cyrl-CS"/>
        </w:rPr>
        <w:t xml:space="preserve"> </w:t>
      </w:r>
      <w:r w:rsidR="00D549D2" w:rsidRPr="00831157">
        <w:rPr>
          <w:rFonts w:ascii="Times New Roman" w:hAnsi="Times New Roman"/>
          <w:sz w:val="24"/>
          <w:szCs w:val="24"/>
          <w:lang w:val="sr-Cyrl-CS"/>
        </w:rPr>
        <w:t>Наведено</w:t>
      </w:r>
      <w:r w:rsidR="00BD502F" w:rsidRPr="00831157">
        <w:rPr>
          <w:rFonts w:ascii="Times New Roman" w:hAnsi="Times New Roman"/>
          <w:sz w:val="24"/>
          <w:szCs w:val="24"/>
          <w:lang w:val="sr-Cyrl-CS"/>
        </w:rPr>
        <w:t xml:space="preserve"> начело фактицитета</w:t>
      </w:r>
      <w:r w:rsidR="00BD502F" w:rsidRPr="00831157">
        <w:rPr>
          <w:rStyle w:val="FootnoteReference"/>
          <w:rFonts w:ascii="Times New Roman" w:hAnsi="Times New Roman"/>
          <w:color w:val="000000"/>
          <w:sz w:val="24"/>
          <w:szCs w:val="24"/>
          <w:lang w:val="sr-Cyrl-CS"/>
        </w:rPr>
        <w:footnoteReference w:id="859"/>
      </w:r>
      <w:r w:rsidR="00D549D2" w:rsidRPr="00831157">
        <w:rPr>
          <w:rFonts w:ascii="Times New Roman" w:hAnsi="Times New Roman"/>
          <w:sz w:val="24"/>
          <w:szCs w:val="24"/>
          <w:lang w:val="sr-Cyrl-CS"/>
        </w:rPr>
        <w:t xml:space="preserve"> у пореском праву је посебно значајно као механизам сузбијања неприхватљиве законите евазије пореза. </w:t>
      </w:r>
      <w:r w:rsidR="00306C0E" w:rsidRPr="00831157">
        <w:rPr>
          <w:rFonts w:ascii="Times New Roman" w:hAnsi="Times New Roman"/>
          <w:sz w:val="24"/>
          <w:szCs w:val="24"/>
          <w:lang w:val="sr-Cyrl-CS"/>
        </w:rPr>
        <w:t>Порески орган процењује да ли се може применити принцип да је суштина важнија од форме. Уколико у легитимном правном послу не постоји  тежња пореског обвезника да избегне плаћање пореза неће се применити принцип да је економска суштина важнија од форме. Међутим, уколико је порески обвезник изабрао једну правну форму уместо друге руковођен евазионим мотивом може се применити поменути принцип али порески орган треба да у решењу наведе разлоге за овакав став, односно због чега није прихватио правну форму него се руководио економском суштином.</w:t>
      </w:r>
    </w:p>
    <w:p w:rsidR="00053CF0" w:rsidRPr="00831157" w:rsidRDefault="00053CF0" w:rsidP="00831157">
      <w:pPr>
        <w:ind w:firstLine="708"/>
        <w:jc w:val="both"/>
        <w:rPr>
          <w:rFonts w:ascii="Times New Roman" w:hAnsi="Times New Roman"/>
          <w:sz w:val="24"/>
          <w:szCs w:val="24"/>
          <w:lang w:val="sr-Cyrl-CS"/>
        </w:rPr>
      </w:pPr>
      <w:r w:rsidRPr="00831157">
        <w:rPr>
          <w:rFonts w:ascii="Times New Roman" w:hAnsi="Times New Roman"/>
          <w:sz w:val="24"/>
          <w:szCs w:val="24"/>
          <w:lang w:val="sr-Cyrl-CS"/>
        </w:rPr>
        <w:t xml:space="preserve">Сарадња са другим органима је веома битна за ефикасан рад, па тако Пореска управа сарађује са МУП-ом кроз заједничко поступање у предметима, тужилаштвом, </w:t>
      </w:r>
      <w:r w:rsidRPr="00831157">
        <w:rPr>
          <w:rFonts w:ascii="Times New Roman" w:hAnsi="Times New Roman"/>
          <w:sz w:val="24"/>
          <w:szCs w:val="24"/>
          <w:lang w:val="sr-Cyrl-CS"/>
        </w:rPr>
        <w:lastRenderedPageBreak/>
        <w:t>Управом за спречавање прања новца, Народном банком Србије, Управом царине, Агенцијом за привредне регистре и користи податке које добија од ових органа, као и податке који су добијени од других сектора Пореске упарве.</w:t>
      </w:r>
    </w:p>
    <w:p w:rsidR="00E72830" w:rsidRPr="00831157" w:rsidRDefault="00072A45" w:rsidP="00831157">
      <w:pPr>
        <w:ind w:firstLine="708"/>
        <w:jc w:val="both"/>
        <w:rPr>
          <w:rFonts w:ascii="Times New Roman" w:hAnsi="Times New Roman"/>
          <w:sz w:val="24"/>
          <w:szCs w:val="24"/>
          <w:lang w:val="sr-Cyrl-CS"/>
        </w:rPr>
      </w:pPr>
      <w:r w:rsidRPr="00831157">
        <w:rPr>
          <w:rFonts w:ascii="Times New Roman" w:hAnsi="Times New Roman"/>
          <w:sz w:val="24"/>
          <w:szCs w:val="24"/>
          <w:lang w:val="sr-Cyrl-CS"/>
        </w:rPr>
        <w:t>Осим</w:t>
      </w:r>
      <w:r w:rsidR="002805BB" w:rsidRPr="00831157">
        <w:rPr>
          <w:rFonts w:ascii="Times New Roman" w:hAnsi="Times New Roman"/>
          <w:sz w:val="24"/>
          <w:szCs w:val="24"/>
          <w:lang w:val="sr-Cyrl-CS"/>
        </w:rPr>
        <w:t xml:space="preserve"> тога, </w:t>
      </w:r>
      <w:r w:rsidR="00E72830" w:rsidRPr="00831157">
        <w:rPr>
          <w:rFonts w:ascii="Times New Roman" w:hAnsi="Times New Roman"/>
          <w:sz w:val="24"/>
          <w:szCs w:val="24"/>
          <w:lang w:val="sr-Cyrl-CS"/>
        </w:rPr>
        <w:t xml:space="preserve">Пореска управа има право да </w:t>
      </w:r>
      <w:r w:rsidR="002805BB" w:rsidRPr="00831157">
        <w:rPr>
          <w:rFonts w:ascii="Times New Roman" w:hAnsi="Times New Roman"/>
          <w:sz w:val="24"/>
          <w:szCs w:val="24"/>
          <w:lang w:val="sr-Cyrl-CS"/>
        </w:rPr>
        <w:t>затражи међународну правну</w:t>
      </w:r>
      <w:r w:rsidR="00E72830" w:rsidRPr="00831157">
        <w:rPr>
          <w:rFonts w:ascii="Times New Roman" w:hAnsi="Times New Roman"/>
          <w:sz w:val="24"/>
          <w:szCs w:val="24"/>
          <w:lang w:val="sr-Cyrl-CS"/>
        </w:rPr>
        <w:t xml:space="preserve"> помоћ</w:t>
      </w:r>
      <w:r w:rsidR="002805BB" w:rsidRPr="00831157">
        <w:rPr>
          <w:rFonts w:ascii="Times New Roman" w:hAnsi="Times New Roman"/>
          <w:sz w:val="24"/>
          <w:szCs w:val="24"/>
          <w:lang w:val="sr-Cyrl-CS"/>
        </w:rPr>
        <w:t>, која</w:t>
      </w:r>
      <w:r w:rsidR="00E72830" w:rsidRPr="00831157">
        <w:rPr>
          <w:rFonts w:ascii="Times New Roman" w:hAnsi="Times New Roman"/>
          <w:sz w:val="24"/>
          <w:szCs w:val="24"/>
          <w:lang w:val="sr-Cyrl-CS"/>
        </w:rPr>
        <w:t xml:space="preserve"> се </w:t>
      </w:r>
      <w:r w:rsidR="002805BB" w:rsidRPr="00831157">
        <w:rPr>
          <w:rFonts w:ascii="Times New Roman" w:hAnsi="Times New Roman"/>
          <w:sz w:val="24"/>
          <w:szCs w:val="24"/>
          <w:lang w:val="sr-Cyrl-CS"/>
        </w:rPr>
        <w:t>заснива</w:t>
      </w:r>
      <w:r w:rsidR="00E72830" w:rsidRPr="00831157">
        <w:rPr>
          <w:rFonts w:ascii="Times New Roman" w:hAnsi="Times New Roman"/>
          <w:sz w:val="24"/>
          <w:szCs w:val="24"/>
          <w:lang w:val="sr-Cyrl-CS"/>
        </w:rPr>
        <w:t xml:space="preserve"> н</w:t>
      </w:r>
      <w:r w:rsidR="002805BB" w:rsidRPr="00831157">
        <w:rPr>
          <w:rFonts w:ascii="Times New Roman" w:hAnsi="Times New Roman"/>
          <w:sz w:val="24"/>
          <w:szCs w:val="24"/>
          <w:lang w:val="sr-Cyrl-CS"/>
        </w:rPr>
        <w:t>а  међународним уговорима. То је право</w:t>
      </w:r>
      <w:bookmarkStart w:id="69" w:name="clan_157"/>
      <w:bookmarkEnd w:id="69"/>
      <w:r w:rsidR="00E72830" w:rsidRPr="00831157">
        <w:rPr>
          <w:rFonts w:ascii="Times New Roman" w:hAnsi="Times New Roman"/>
          <w:sz w:val="24"/>
          <w:szCs w:val="24"/>
        </w:rPr>
        <w:t xml:space="preserve"> </w:t>
      </w:r>
      <w:r w:rsidR="00301FFD" w:rsidRPr="00831157">
        <w:rPr>
          <w:rFonts w:ascii="Times New Roman" w:hAnsi="Times New Roman"/>
          <w:sz w:val="24"/>
          <w:szCs w:val="24"/>
        </w:rPr>
        <w:t>Пореске</w:t>
      </w:r>
      <w:r w:rsidR="00E72830" w:rsidRPr="00831157">
        <w:rPr>
          <w:rFonts w:ascii="Times New Roman" w:hAnsi="Times New Roman"/>
          <w:sz w:val="24"/>
          <w:szCs w:val="24"/>
        </w:rPr>
        <w:t xml:space="preserve"> </w:t>
      </w:r>
      <w:r w:rsidR="00301FFD" w:rsidRPr="00831157">
        <w:rPr>
          <w:rFonts w:ascii="Times New Roman" w:hAnsi="Times New Roman"/>
          <w:sz w:val="24"/>
          <w:szCs w:val="24"/>
        </w:rPr>
        <w:t>управе</w:t>
      </w:r>
      <w:r w:rsidR="00E72830" w:rsidRPr="00831157">
        <w:rPr>
          <w:rFonts w:ascii="Times New Roman" w:hAnsi="Times New Roman"/>
          <w:sz w:val="24"/>
          <w:szCs w:val="24"/>
        </w:rPr>
        <w:t xml:space="preserve"> </w:t>
      </w:r>
      <w:r w:rsidR="00301FFD" w:rsidRPr="00831157">
        <w:rPr>
          <w:rFonts w:ascii="Times New Roman" w:hAnsi="Times New Roman"/>
          <w:sz w:val="24"/>
          <w:szCs w:val="24"/>
        </w:rPr>
        <w:t>да</w:t>
      </w:r>
      <w:r w:rsidR="00E72830" w:rsidRPr="00831157">
        <w:rPr>
          <w:rFonts w:ascii="Times New Roman" w:hAnsi="Times New Roman"/>
          <w:sz w:val="24"/>
          <w:szCs w:val="24"/>
        </w:rPr>
        <w:t xml:space="preserve"> </w:t>
      </w:r>
      <w:r w:rsidR="00301FFD" w:rsidRPr="00831157">
        <w:rPr>
          <w:rFonts w:ascii="Times New Roman" w:hAnsi="Times New Roman"/>
          <w:sz w:val="24"/>
          <w:szCs w:val="24"/>
        </w:rPr>
        <w:t>се</w:t>
      </w:r>
      <w:r w:rsidR="00E72830" w:rsidRPr="00831157">
        <w:rPr>
          <w:rFonts w:ascii="Times New Roman" w:hAnsi="Times New Roman"/>
          <w:sz w:val="24"/>
          <w:szCs w:val="24"/>
        </w:rPr>
        <w:t xml:space="preserve"> </w:t>
      </w:r>
      <w:r w:rsidR="00301FFD" w:rsidRPr="00831157">
        <w:rPr>
          <w:rFonts w:ascii="Times New Roman" w:hAnsi="Times New Roman"/>
          <w:sz w:val="24"/>
          <w:szCs w:val="24"/>
        </w:rPr>
        <w:t>у</w:t>
      </w:r>
      <w:r w:rsidR="00E72830" w:rsidRPr="00831157">
        <w:rPr>
          <w:rFonts w:ascii="Times New Roman" w:hAnsi="Times New Roman"/>
          <w:sz w:val="24"/>
          <w:szCs w:val="24"/>
        </w:rPr>
        <w:t xml:space="preserve"> </w:t>
      </w:r>
      <w:r w:rsidR="00301FFD" w:rsidRPr="00831157">
        <w:rPr>
          <w:rFonts w:ascii="Times New Roman" w:hAnsi="Times New Roman"/>
          <w:sz w:val="24"/>
          <w:szCs w:val="24"/>
        </w:rPr>
        <w:t>току</w:t>
      </w:r>
      <w:r w:rsidR="00E72830" w:rsidRPr="00831157">
        <w:rPr>
          <w:rFonts w:ascii="Times New Roman" w:hAnsi="Times New Roman"/>
          <w:sz w:val="24"/>
          <w:szCs w:val="24"/>
        </w:rPr>
        <w:t xml:space="preserve"> </w:t>
      </w:r>
      <w:r w:rsidR="00301FFD" w:rsidRPr="00831157">
        <w:rPr>
          <w:rFonts w:ascii="Times New Roman" w:hAnsi="Times New Roman"/>
          <w:sz w:val="24"/>
          <w:szCs w:val="24"/>
        </w:rPr>
        <w:t>пореског</w:t>
      </w:r>
      <w:r w:rsidR="00E72830" w:rsidRPr="00831157">
        <w:rPr>
          <w:rFonts w:ascii="Times New Roman" w:hAnsi="Times New Roman"/>
          <w:sz w:val="24"/>
          <w:szCs w:val="24"/>
        </w:rPr>
        <w:t xml:space="preserve"> </w:t>
      </w:r>
      <w:r w:rsidR="00301FFD" w:rsidRPr="00831157">
        <w:rPr>
          <w:rFonts w:ascii="Times New Roman" w:hAnsi="Times New Roman"/>
          <w:sz w:val="24"/>
          <w:szCs w:val="24"/>
        </w:rPr>
        <w:t>поступка</w:t>
      </w:r>
      <w:r w:rsidR="00E72830" w:rsidRPr="00831157">
        <w:rPr>
          <w:rFonts w:ascii="Times New Roman" w:hAnsi="Times New Roman"/>
          <w:sz w:val="24"/>
          <w:szCs w:val="24"/>
        </w:rPr>
        <w:t xml:space="preserve"> </w:t>
      </w:r>
      <w:r w:rsidR="00301FFD" w:rsidRPr="00831157">
        <w:rPr>
          <w:rFonts w:ascii="Times New Roman" w:hAnsi="Times New Roman"/>
          <w:sz w:val="24"/>
          <w:szCs w:val="24"/>
        </w:rPr>
        <w:t>обрати</w:t>
      </w:r>
      <w:r w:rsidR="00E72830" w:rsidRPr="00831157">
        <w:rPr>
          <w:rFonts w:ascii="Times New Roman" w:hAnsi="Times New Roman"/>
          <w:sz w:val="24"/>
          <w:szCs w:val="24"/>
        </w:rPr>
        <w:t xml:space="preserve"> </w:t>
      </w:r>
      <w:r w:rsidR="00301FFD" w:rsidRPr="00831157">
        <w:rPr>
          <w:rFonts w:ascii="Times New Roman" w:hAnsi="Times New Roman"/>
          <w:sz w:val="24"/>
          <w:szCs w:val="24"/>
        </w:rPr>
        <w:t>за</w:t>
      </w:r>
      <w:r w:rsidR="00E72830" w:rsidRPr="00831157">
        <w:rPr>
          <w:rFonts w:ascii="Times New Roman" w:hAnsi="Times New Roman"/>
          <w:sz w:val="24"/>
          <w:szCs w:val="24"/>
        </w:rPr>
        <w:t xml:space="preserve"> </w:t>
      </w:r>
      <w:r w:rsidR="00301FFD" w:rsidRPr="00831157">
        <w:rPr>
          <w:rFonts w:ascii="Times New Roman" w:hAnsi="Times New Roman"/>
          <w:sz w:val="24"/>
          <w:szCs w:val="24"/>
        </w:rPr>
        <w:t>пружање</w:t>
      </w:r>
      <w:r w:rsidR="00E72830" w:rsidRPr="00831157">
        <w:rPr>
          <w:rFonts w:ascii="Times New Roman" w:hAnsi="Times New Roman"/>
          <w:sz w:val="24"/>
          <w:szCs w:val="24"/>
        </w:rPr>
        <w:t xml:space="preserve"> </w:t>
      </w:r>
      <w:r w:rsidR="00301FFD" w:rsidRPr="00831157">
        <w:rPr>
          <w:rFonts w:ascii="Times New Roman" w:hAnsi="Times New Roman"/>
          <w:sz w:val="24"/>
          <w:szCs w:val="24"/>
        </w:rPr>
        <w:t>правне</w:t>
      </w:r>
      <w:r w:rsidR="00E72830" w:rsidRPr="00831157">
        <w:rPr>
          <w:rFonts w:ascii="Times New Roman" w:hAnsi="Times New Roman"/>
          <w:sz w:val="24"/>
          <w:szCs w:val="24"/>
        </w:rPr>
        <w:t xml:space="preserve"> </w:t>
      </w:r>
      <w:r w:rsidR="00301FFD" w:rsidRPr="00831157">
        <w:rPr>
          <w:rFonts w:ascii="Times New Roman" w:hAnsi="Times New Roman"/>
          <w:sz w:val="24"/>
          <w:szCs w:val="24"/>
        </w:rPr>
        <w:t>помоћи</w:t>
      </w:r>
      <w:r w:rsidR="00E72830" w:rsidRPr="00831157">
        <w:rPr>
          <w:rFonts w:ascii="Times New Roman" w:hAnsi="Times New Roman"/>
          <w:sz w:val="24"/>
          <w:szCs w:val="24"/>
        </w:rPr>
        <w:t xml:space="preserve"> </w:t>
      </w:r>
      <w:r w:rsidR="00301FFD" w:rsidRPr="00831157">
        <w:rPr>
          <w:rFonts w:ascii="Times New Roman" w:hAnsi="Times New Roman"/>
          <w:sz w:val="24"/>
          <w:szCs w:val="24"/>
        </w:rPr>
        <w:t>иностраном</w:t>
      </w:r>
      <w:r w:rsidR="00E72830" w:rsidRPr="00831157">
        <w:rPr>
          <w:rFonts w:ascii="Times New Roman" w:hAnsi="Times New Roman"/>
          <w:sz w:val="24"/>
          <w:szCs w:val="24"/>
        </w:rPr>
        <w:t xml:space="preserve"> </w:t>
      </w:r>
      <w:r w:rsidR="00301FFD" w:rsidRPr="00831157">
        <w:rPr>
          <w:rFonts w:ascii="Times New Roman" w:hAnsi="Times New Roman"/>
          <w:sz w:val="24"/>
          <w:szCs w:val="24"/>
        </w:rPr>
        <w:t>пореском</w:t>
      </w:r>
      <w:r w:rsidR="00E72830" w:rsidRPr="00831157">
        <w:rPr>
          <w:rFonts w:ascii="Times New Roman" w:hAnsi="Times New Roman"/>
          <w:sz w:val="24"/>
          <w:szCs w:val="24"/>
        </w:rPr>
        <w:t xml:space="preserve"> </w:t>
      </w:r>
      <w:r w:rsidR="00301FFD" w:rsidRPr="00831157">
        <w:rPr>
          <w:rFonts w:ascii="Times New Roman" w:hAnsi="Times New Roman"/>
          <w:sz w:val="24"/>
          <w:szCs w:val="24"/>
        </w:rPr>
        <w:t>органу</w:t>
      </w:r>
      <w:r w:rsidR="00E72830" w:rsidRPr="00831157">
        <w:rPr>
          <w:rFonts w:ascii="Times New Roman" w:hAnsi="Times New Roman"/>
          <w:sz w:val="24"/>
          <w:szCs w:val="24"/>
        </w:rPr>
        <w:t xml:space="preserve">, </w:t>
      </w:r>
      <w:r w:rsidR="00301FFD" w:rsidRPr="00831157">
        <w:rPr>
          <w:rFonts w:ascii="Times New Roman" w:hAnsi="Times New Roman"/>
          <w:sz w:val="24"/>
          <w:szCs w:val="24"/>
        </w:rPr>
        <w:t>као</w:t>
      </w:r>
      <w:r w:rsidR="00E72830" w:rsidRPr="00831157">
        <w:rPr>
          <w:rFonts w:ascii="Times New Roman" w:hAnsi="Times New Roman"/>
          <w:sz w:val="24"/>
          <w:szCs w:val="24"/>
        </w:rPr>
        <w:t xml:space="preserve"> </w:t>
      </w:r>
      <w:r w:rsidR="00301FFD" w:rsidRPr="00831157">
        <w:rPr>
          <w:rFonts w:ascii="Times New Roman" w:hAnsi="Times New Roman"/>
          <w:sz w:val="24"/>
          <w:szCs w:val="24"/>
        </w:rPr>
        <w:t>и</w:t>
      </w:r>
      <w:r w:rsidR="00E72830" w:rsidRPr="00831157">
        <w:rPr>
          <w:rFonts w:ascii="Times New Roman" w:hAnsi="Times New Roman"/>
          <w:sz w:val="24"/>
          <w:szCs w:val="24"/>
        </w:rPr>
        <w:t xml:space="preserve"> </w:t>
      </w:r>
      <w:r w:rsidR="00301FFD" w:rsidRPr="00831157">
        <w:rPr>
          <w:rFonts w:ascii="Times New Roman" w:hAnsi="Times New Roman"/>
          <w:sz w:val="24"/>
          <w:szCs w:val="24"/>
        </w:rPr>
        <w:t>обавеза</w:t>
      </w:r>
      <w:r w:rsidR="00E72830" w:rsidRPr="00831157">
        <w:rPr>
          <w:rFonts w:ascii="Times New Roman" w:hAnsi="Times New Roman"/>
          <w:sz w:val="24"/>
          <w:szCs w:val="24"/>
        </w:rPr>
        <w:t xml:space="preserve"> </w:t>
      </w:r>
      <w:r w:rsidR="00301FFD" w:rsidRPr="00831157">
        <w:rPr>
          <w:rFonts w:ascii="Times New Roman" w:hAnsi="Times New Roman"/>
          <w:sz w:val="24"/>
          <w:szCs w:val="24"/>
        </w:rPr>
        <w:t>Пореске</w:t>
      </w:r>
      <w:r w:rsidR="00E72830" w:rsidRPr="00831157">
        <w:rPr>
          <w:rFonts w:ascii="Times New Roman" w:hAnsi="Times New Roman"/>
          <w:sz w:val="24"/>
          <w:szCs w:val="24"/>
        </w:rPr>
        <w:t xml:space="preserve"> </w:t>
      </w:r>
      <w:r w:rsidR="00301FFD" w:rsidRPr="00831157">
        <w:rPr>
          <w:rFonts w:ascii="Times New Roman" w:hAnsi="Times New Roman"/>
          <w:sz w:val="24"/>
          <w:szCs w:val="24"/>
        </w:rPr>
        <w:t>управе</w:t>
      </w:r>
      <w:r w:rsidR="00E72830" w:rsidRPr="00831157">
        <w:rPr>
          <w:rFonts w:ascii="Times New Roman" w:hAnsi="Times New Roman"/>
          <w:sz w:val="24"/>
          <w:szCs w:val="24"/>
        </w:rPr>
        <w:t xml:space="preserve"> </w:t>
      </w:r>
      <w:r w:rsidR="00301FFD" w:rsidRPr="00831157">
        <w:rPr>
          <w:rFonts w:ascii="Times New Roman" w:hAnsi="Times New Roman"/>
          <w:sz w:val="24"/>
          <w:szCs w:val="24"/>
        </w:rPr>
        <w:t>да</w:t>
      </w:r>
      <w:r w:rsidR="00E72830" w:rsidRPr="00831157">
        <w:rPr>
          <w:rFonts w:ascii="Times New Roman" w:hAnsi="Times New Roman"/>
          <w:sz w:val="24"/>
          <w:szCs w:val="24"/>
        </w:rPr>
        <w:t xml:space="preserve"> </w:t>
      </w:r>
      <w:r w:rsidR="00301FFD" w:rsidRPr="00831157">
        <w:rPr>
          <w:rFonts w:ascii="Times New Roman" w:hAnsi="Times New Roman"/>
          <w:sz w:val="24"/>
          <w:szCs w:val="24"/>
        </w:rPr>
        <w:t>такву</w:t>
      </w:r>
      <w:r w:rsidR="00E72830" w:rsidRPr="00831157">
        <w:rPr>
          <w:rFonts w:ascii="Times New Roman" w:hAnsi="Times New Roman"/>
          <w:sz w:val="24"/>
          <w:szCs w:val="24"/>
        </w:rPr>
        <w:t xml:space="preserve"> </w:t>
      </w:r>
      <w:r w:rsidR="00301FFD" w:rsidRPr="00831157">
        <w:rPr>
          <w:rFonts w:ascii="Times New Roman" w:hAnsi="Times New Roman"/>
          <w:sz w:val="24"/>
          <w:szCs w:val="24"/>
        </w:rPr>
        <w:t>помоћ</w:t>
      </w:r>
      <w:r w:rsidR="00E72830" w:rsidRPr="00831157">
        <w:rPr>
          <w:rFonts w:ascii="Times New Roman" w:hAnsi="Times New Roman"/>
          <w:sz w:val="24"/>
          <w:szCs w:val="24"/>
        </w:rPr>
        <w:t xml:space="preserve"> </w:t>
      </w:r>
      <w:r w:rsidR="00301FFD" w:rsidRPr="00831157">
        <w:rPr>
          <w:rFonts w:ascii="Times New Roman" w:hAnsi="Times New Roman"/>
          <w:sz w:val="24"/>
          <w:szCs w:val="24"/>
        </w:rPr>
        <w:t>пружи</w:t>
      </w:r>
      <w:r w:rsidR="00E72830" w:rsidRPr="00831157">
        <w:rPr>
          <w:rFonts w:ascii="Times New Roman" w:hAnsi="Times New Roman"/>
          <w:sz w:val="24"/>
          <w:szCs w:val="24"/>
        </w:rPr>
        <w:t xml:space="preserve"> </w:t>
      </w:r>
      <w:r w:rsidR="00301FFD" w:rsidRPr="00831157">
        <w:rPr>
          <w:rFonts w:ascii="Times New Roman" w:hAnsi="Times New Roman"/>
          <w:sz w:val="24"/>
          <w:szCs w:val="24"/>
        </w:rPr>
        <w:t>иностраном</w:t>
      </w:r>
      <w:r w:rsidR="00E72830" w:rsidRPr="00831157">
        <w:rPr>
          <w:rFonts w:ascii="Times New Roman" w:hAnsi="Times New Roman"/>
          <w:sz w:val="24"/>
          <w:szCs w:val="24"/>
        </w:rPr>
        <w:t xml:space="preserve"> </w:t>
      </w:r>
      <w:r w:rsidR="00301FFD" w:rsidRPr="00831157">
        <w:rPr>
          <w:rFonts w:ascii="Times New Roman" w:hAnsi="Times New Roman"/>
          <w:sz w:val="24"/>
          <w:szCs w:val="24"/>
        </w:rPr>
        <w:t>пореском</w:t>
      </w:r>
      <w:r w:rsidR="00E72830" w:rsidRPr="00831157">
        <w:rPr>
          <w:rFonts w:ascii="Times New Roman" w:hAnsi="Times New Roman"/>
          <w:sz w:val="24"/>
          <w:szCs w:val="24"/>
        </w:rPr>
        <w:t xml:space="preserve"> </w:t>
      </w:r>
      <w:r w:rsidR="00301FFD" w:rsidRPr="00831157">
        <w:rPr>
          <w:rFonts w:ascii="Times New Roman" w:hAnsi="Times New Roman"/>
          <w:sz w:val="24"/>
          <w:szCs w:val="24"/>
        </w:rPr>
        <w:t>органу</w:t>
      </w:r>
      <w:r w:rsidR="00E72830" w:rsidRPr="00831157">
        <w:rPr>
          <w:rFonts w:ascii="Times New Roman" w:hAnsi="Times New Roman"/>
          <w:sz w:val="24"/>
          <w:szCs w:val="24"/>
        </w:rPr>
        <w:t>.</w:t>
      </w:r>
    </w:p>
    <w:p w:rsidR="002805BB" w:rsidRPr="00831157" w:rsidRDefault="001034DD" w:rsidP="00831157">
      <w:pPr>
        <w:ind w:firstLine="708"/>
        <w:jc w:val="both"/>
        <w:rPr>
          <w:rFonts w:ascii="Times New Roman" w:hAnsi="Times New Roman"/>
          <w:sz w:val="24"/>
          <w:szCs w:val="24"/>
          <w:lang w:val="sr-Cyrl-CS"/>
        </w:rPr>
      </w:pPr>
      <w:r w:rsidRPr="00831157">
        <w:rPr>
          <w:rFonts w:ascii="Times New Roman" w:hAnsi="Times New Roman"/>
          <w:sz w:val="24"/>
          <w:szCs w:val="24"/>
          <w:lang w:val="sr-Cyrl-CS"/>
        </w:rPr>
        <w:t xml:space="preserve">Повезаност свих учесника на националном и међународном плану је неопходно у откривању и сузбијању пореске утаје и предузимању мера против сиве економије, што представља основне циљеве економске политике свих земаља. У том контексту добро организована и ефикасна Пореска управа има значајуну улогу. </w:t>
      </w:r>
      <w:r w:rsidR="00F36566" w:rsidRPr="00831157">
        <w:rPr>
          <w:rFonts w:ascii="Times New Roman" w:hAnsi="Times New Roman"/>
          <w:sz w:val="24"/>
          <w:szCs w:val="24"/>
          <w:lang w:val="sr-Cyrl-CS"/>
        </w:rPr>
        <w:t xml:space="preserve">Увођење законске обавезе регистровања промета преко фискалних каса имало је значајну улогу у повећању пореских прихода и смањењу сиве економије. </w:t>
      </w:r>
      <w:r w:rsidR="009D543C" w:rsidRPr="00831157">
        <w:rPr>
          <w:rFonts w:ascii="Times New Roman" w:hAnsi="Times New Roman"/>
          <w:sz w:val="24"/>
          <w:szCs w:val="24"/>
          <w:lang w:val="sr-Cyrl-CS"/>
        </w:rPr>
        <w:t xml:space="preserve">Наиме, сваки промет на мало мора бити евидентиран преко фискалне касе и на крају радног дана мора се формирати и штампати дневни извештај који се одлаже у евиденциону књигу, а последњег дана сваког пореског периода мора се формирати периодични извештај. </w:t>
      </w:r>
      <w:r w:rsidR="00F36566" w:rsidRPr="00831157">
        <w:rPr>
          <w:rFonts w:ascii="Times New Roman" w:hAnsi="Times New Roman"/>
          <w:sz w:val="24"/>
          <w:szCs w:val="24"/>
          <w:lang w:val="sr-Cyrl-CS"/>
        </w:rPr>
        <w:t xml:space="preserve">Међутим, да би ова мера у пракси допринела ефикаснијем раду Пореске управе потребна је ефикаснија теренска контрола. </w:t>
      </w:r>
    </w:p>
    <w:p w:rsidR="00221679" w:rsidRPr="00831157" w:rsidRDefault="00434FB1" w:rsidP="00831157">
      <w:pPr>
        <w:ind w:firstLine="708"/>
        <w:jc w:val="both"/>
        <w:rPr>
          <w:rFonts w:ascii="Times New Roman" w:hAnsi="Times New Roman"/>
          <w:sz w:val="24"/>
          <w:szCs w:val="24"/>
          <w:lang w:val="sr-Cyrl-CS"/>
        </w:rPr>
      </w:pPr>
      <w:r w:rsidRPr="00831157">
        <w:rPr>
          <w:rFonts w:ascii="Times New Roman" w:hAnsi="Times New Roman"/>
          <w:sz w:val="24"/>
          <w:szCs w:val="24"/>
          <w:lang w:val="sr-Cyrl-CS"/>
        </w:rPr>
        <w:t>З</w:t>
      </w:r>
      <w:r w:rsidR="006F0DAA" w:rsidRPr="00831157">
        <w:rPr>
          <w:rFonts w:ascii="Times New Roman" w:hAnsi="Times New Roman"/>
          <w:sz w:val="24"/>
          <w:szCs w:val="24"/>
          <w:lang w:val="sr-Cyrl-CS"/>
        </w:rPr>
        <w:t>аштит</w:t>
      </w:r>
      <w:r w:rsidRPr="00831157">
        <w:rPr>
          <w:rFonts w:ascii="Times New Roman" w:hAnsi="Times New Roman"/>
          <w:sz w:val="24"/>
          <w:szCs w:val="24"/>
          <w:lang w:val="sr-Cyrl-CS"/>
        </w:rPr>
        <w:t>и</w:t>
      </w:r>
      <w:r w:rsidR="006F0DAA" w:rsidRPr="00831157">
        <w:rPr>
          <w:rFonts w:ascii="Times New Roman" w:hAnsi="Times New Roman"/>
          <w:sz w:val="24"/>
          <w:szCs w:val="24"/>
          <w:lang w:val="sr-Cyrl-CS"/>
        </w:rPr>
        <w:t xml:space="preserve"> права пореских обвезника и </w:t>
      </w:r>
      <w:r w:rsidR="000B3507" w:rsidRPr="00831157">
        <w:rPr>
          <w:rFonts w:ascii="Times New Roman" w:hAnsi="Times New Roman"/>
          <w:sz w:val="24"/>
          <w:szCs w:val="24"/>
          <w:lang w:val="sr-Cyrl-CS"/>
        </w:rPr>
        <w:t xml:space="preserve"> спречавању</w:t>
      </w:r>
      <w:r w:rsidR="00221679" w:rsidRPr="00831157">
        <w:rPr>
          <w:rFonts w:ascii="Times New Roman" w:hAnsi="Times New Roman"/>
          <w:sz w:val="24"/>
          <w:szCs w:val="24"/>
          <w:lang w:val="sr-Cyrl-CS"/>
        </w:rPr>
        <w:t xml:space="preserve"> корупције</w:t>
      </w:r>
      <w:r w:rsidRPr="00831157">
        <w:rPr>
          <w:rFonts w:ascii="Times New Roman" w:hAnsi="Times New Roman"/>
          <w:sz w:val="24"/>
          <w:szCs w:val="24"/>
          <w:lang w:val="sr-Cyrl-CS"/>
        </w:rPr>
        <w:t xml:space="preserve"> значајно доприноси успостављање механизама правне контроле поступања пореских управних органа</w:t>
      </w:r>
      <w:r w:rsidR="00221679" w:rsidRPr="00831157">
        <w:rPr>
          <w:rFonts w:ascii="Times New Roman" w:hAnsi="Times New Roman"/>
          <w:sz w:val="24"/>
          <w:szCs w:val="24"/>
          <w:lang w:val="sr-Cyrl-CS"/>
        </w:rPr>
        <w:t xml:space="preserve">. </w:t>
      </w:r>
      <w:r w:rsidRPr="00831157">
        <w:rPr>
          <w:rFonts w:ascii="Times New Roman" w:hAnsi="Times New Roman"/>
          <w:sz w:val="24"/>
          <w:szCs w:val="24"/>
          <w:lang w:val="sr-Cyrl-CS"/>
        </w:rPr>
        <w:t>Начелно</w:t>
      </w:r>
      <w:r w:rsidR="000B3507" w:rsidRPr="00831157">
        <w:rPr>
          <w:rFonts w:ascii="Times New Roman" w:hAnsi="Times New Roman"/>
          <w:sz w:val="24"/>
          <w:szCs w:val="24"/>
          <w:lang w:val="sr-Cyrl-CS"/>
        </w:rPr>
        <w:t xml:space="preserve">, </w:t>
      </w:r>
      <w:r w:rsidR="00221679" w:rsidRPr="00831157">
        <w:rPr>
          <w:rFonts w:ascii="Times New Roman" w:hAnsi="Times New Roman"/>
          <w:sz w:val="24"/>
          <w:szCs w:val="24"/>
          <w:lang w:val="sr-Cyrl-CS"/>
        </w:rPr>
        <w:t>разликују се два вида правне контроле рада пореских органа: управна и судска контрола.</w:t>
      </w:r>
      <w:r w:rsidR="00221679" w:rsidRPr="00831157">
        <w:rPr>
          <w:rStyle w:val="FootnoteReference"/>
          <w:rFonts w:ascii="Times New Roman" w:hAnsi="Times New Roman"/>
          <w:sz w:val="24"/>
          <w:szCs w:val="24"/>
          <w:lang w:val="sr-Cyrl-CS"/>
        </w:rPr>
        <w:footnoteReference w:id="860"/>
      </w:r>
      <w:r w:rsidR="00221679" w:rsidRPr="00831157">
        <w:rPr>
          <w:rFonts w:ascii="Times New Roman" w:hAnsi="Times New Roman"/>
          <w:sz w:val="24"/>
          <w:szCs w:val="24"/>
          <w:lang w:val="sr-Cyrl-CS"/>
        </w:rPr>
        <w:t xml:space="preserve"> Управна контрола </w:t>
      </w:r>
      <w:r w:rsidRPr="00831157">
        <w:rPr>
          <w:rFonts w:ascii="Times New Roman" w:hAnsi="Times New Roman"/>
          <w:sz w:val="24"/>
          <w:szCs w:val="24"/>
          <w:lang w:val="sr-Cyrl-CS"/>
        </w:rPr>
        <w:t>представља унутрашњу контролу</w:t>
      </w:r>
      <w:r w:rsidR="00221679" w:rsidRPr="00831157">
        <w:rPr>
          <w:rFonts w:ascii="Times New Roman" w:hAnsi="Times New Roman"/>
          <w:sz w:val="24"/>
          <w:szCs w:val="24"/>
          <w:lang w:val="sr-Cyrl-CS"/>
        </w:rPr>
        <w:t xml:space="preserve"> поступања пореских органа, један вид ауто-контроле, где виши порески орган врши кон</w:t>
      </w:r>
      <w:r w:rsidRPr="00831157">
        <w:rPr>
          <w:rFonts w:ascii="Times New Roman" w:hAnsi="Times New Roman"/>
          <w:sz w:val="24"/>
          <w:szCs w:val="24"/>
          <w:lang w:val="sr-Cyrl-CS"/>
        </w:rPr>
        <w:t>тролу нижег пореског органа</w:t>
      </w:r>
      <w:r w:rsidR="006F0DAA" w:rsidRPr="00831157">
        <w:rPr>
          <w:rFonts w:ascii="Times New Roman" w:hAnsi="Times New Roman"/>
          <w:sz w:val="24"/>
          <w:szCs w:val="24"/>
          <w:lang w:val="sr-Cyrl-CS"/>
        </w:rPr>
        <w:t xml:space="preserve"> </w:t>
      </w:r>
      <w:r w:rsidR="00221679" w:rsidRPr="00831157">
        <w:rPr>
          <w:rFonts w:ascii="Times New Roman" w:hAnsi="Times New Roman"/>
          <w:sz w:val="24"/>
          <w:szCs w:val="24"/>
          <w:lang w:val="sr-Cyrl-CS"/>
        </w:rPr>
        <w:t>ради провере да ли он изврш</w:t>
      </w:r>
      <w:r w:rsidR="00F431AF" w:rsidRPr="00831157">
        <w:rPr>
          <w:rFonts w:ascii="Times New Roman" w:hAnsi="Times New Roman"/>
          <w:sz w:val="24"/>
          <w:szCs w:val="24"/>
          <w:lang w:val="sr-Cyrl-CS"/>
        </w:rPr>
        <w:t>ава своје послове у скла</w:t>
      </w:r>
      <w:r w:rsidR="00221679" w:rsidRPr="00831157">
        <w:rPr>
          <w:rFonts w:ascii="Times New Roman" w:hAnsi="Times New Roman"/>
          <w:sz w:val="24"/>
          <w:szCs w:val="24"/>
          <w:lang w:val="sr-Cyrl-CS"/>
        </w:rPr>
        <w:t xml:space="preserve">ду са правним прописима, техничким и кадровским могућностима. </w:t>
      </w:r>
      <w:r w:rsidRPr="00831157">
        <w:rPr>
          <w:rFonts w:ascii="Times New Roman" w:hAnsi="Times New Roman"/>
          <w:sz w:val="24"/>
          <w:szCs w:val="24"/>
          <w:lang w:val="sr-Cyrl-CS"/>
        </w:rPr>
        <w:t xml:space="preserve">То је контрола која је усмерена </w:t>
      </w:r>
      <w:r w:rsidR="00221679" w:rsidRPr="00831157">
        <w:rPr>
          <w:rFonts w:ascii="Times New Roman" w:hAnsi="Times New Roman"/>
          <w:sz w:val="24"/>
          <w:szCs w:val="24"/>
          <w:lang w:val="sr-Cyrl-CS"/>
        </w:rPr>
        <w:t xml:space="preserve">на то да се осигура законитост, правилност и ефикасност рада пореских органа. </w:t>
      </w:r>
      <w:r w:rsidR="006F0DAA" w:rsidRPr="00831157">
        <w:rPr>
          <w:rFonts w:ascii="Times New Roman" w:hAnsi="Times New Roman"/>
          <w:sz w:val="24"/>
          <w:szCs w:val="24"/>
          <w:lang w:val="sr-Cyrl-CS"/>
        </w:rPr>
        <w:t>Предмет управне контро</w:t>
      </w:r>
      <w:r w:rsidRPr="00831157">
        <w:rPr>
          <w:rFonts w:ascii="Times New Roman" w:hAnsi="Times New Roman"/>
          <w:sz w:val="24"/>
          <w:szCs w:val="24"/>
          <w:lang w:val="sr-Cyrl-CS"/>
        </w:rPr>
        <w:t>ле су</w:t>
      </w:r>
      <w:r w:rsidR="006F0DAA" w:rsidRPr="00831157">
        <w:rPr>
          <w:rFonts w:ascii="Times New Roman" w:hAnsi="Times New Roman"/>
          <w:sz w:val="24"/>
          <w:szCs w:val="24"/>
          <w:lang w:val="sr-Cyrl-CS"/>
        </w:rPr>
        <w:t xml:space="preserve"> законитост </w:t>
      </w:r>
      <w:r w:rsidRPr="00831157">
        <w:rPr>
          <w:rFonts w:ascii="Times New Roman" w:hAnsi="Times New Roman"/>
          <w:sz w:val="24"/>
          <w:szCs w:val="24"/>
          <w:lang w:val="sr-Cyrl-CS"/>
        </w:rPr>
        <w:t xml:space="preserve">и целисходност </w:t>
      </w:r>
      <w:r w:rsidR="006F0DAA" w:rsidRPr="00831157">
        <w:rPr>
          <w:rFonts w:ascii="Times New Roman" w:hAnsi="Times New Roman"/>
          <w:sz w:val="24"/>
          <w:szCs w:val="24"/>
          <w:lang w:val="sr-Cyrl-CS"/>
        </w:rPr>
        <w:t xml:space="preserve">рада нижих пореских органа, </w:t>
      </w:r>
      <w:r w:rsidRPr="00831157">
        <w:rPr>
          <w:rFonts w:ascii="Times New Roman" w:hAnsi="Times New Roman"/>
          <w:sz w:val="24"/>
          <w:szCs w:val="24"/>
          <w:lang w:val="sr-Cyrl-CS"/>
        </w:rPr>
        <w:t>као и</w:t>
      </w:r>
      <w:r w:rsidR="006F0DAA" w:rsidRPr="00831157">
        <w:rPr>
          <w:rFonts w:ascii="Times New Roman" w:hAnsi="Times New Roman"/>
          <w:sz w:val="24"/>
          <w:szCs w:val="24"/>
          <w:lang w:val="sr-Cyrl-CS"/>
        </w:rPr>
        <w:t xml:space="preserve"> ефикасност </w:t>
      </w:r>
      <w:r w:rsidRPr="00831157">
        <w:rPr>
          <w:rFonts w:ascii="Times New Roman" w:hAnsi="Times New Roman"/>
          <w:sz w:val="24"/>
          <w:szCs w:val="24"/>
          <w:lang w:val="sr-Cyrl-CS"/>
        </w:rPr>
        <w:t>њиховог рада</w:t>
      </w:r>
      <w:r w:rsidR="006F0DAA" w:rsidRPr="00831157">
        <w:rPr>
          <w:rFonts w:ascii="Times New Roman" w:hAnsi="Times New Roman"/>
          <w:sz w:val="24"/>
          <w:szCs w:val="24"/>
          <w:lang w:val="sr-Cyrl-CS"/>
        </w:rPr>
        <w:t>.</w:t>
      </w:r>
    </w:p>
    <w:p w:rsidR="006F0DAA" w:rsidRPr="00831157" w:rsidRDefault="006F0DAA" w:rsidP="00831157">
      <w:pPr>
        <w:ind w:firstLine="708"/>
        <w:jc w:val="both"/>
        <w:rPr>
          <w:rFonts w:ascii="Times New Roman" w:hAnsi="Times New Roman"/>
          <w:sz w:val="24"/>
          <w:szCs w:val="24"/>
          <w:lang w:val="sr-Cyrl-CS"/>
        </w:rPr>
      </w:pPr>
      <w:r w:rsidRPr="00831157">
        <w:rPr>
          <w:rFonts w:ascii="Times New Roman" w:hAnsi="Times New Roman"/>
          <w:sz w:val="24"/>
          <w:szCs w:val="24"/>
          <w:lang w:val="sr-Cyrl-CS"/>
        </w:rPr>
        <w:t>Коришћењем права на жалбу у пореском поступку порески обвезник покреће механизам преиспитивања одлуке, донете у поступку, којом није задовољан па жели њено уклањање, односно измену у своју корист. Пореском жалбом порески обвезник покреће механизам управне контроле рада пореског органа, а на</w:t>
      </w:r>
      <w:r w:rsidR="00F431AF" w:rsidRPr="00831157">
        <w:rPr>
          <w:rFonts w:ascii="Times New Roman" w:hAnsi="Times New Roman"/>
          <w:sz w:val="24"/>
          <w:szCs w:val="24"/>
          <w:lang w:val="sr-Cyrl-CS"/>
        </w:rPr>
        <w:t xml:space="preserve"> располагању су му и ванредни пр</w:t>
      </w:r>
      <w:r w:rsidRPr="00831157">
        <w:rPr>
          <w:rFonts w:ascii="Times New Roman" w:hAnsi="Times New Roman"/>
          <w:sz w:val="24"/>
          <w:szCs w:val="24"/>
          <w:lang w:val="sr-Cyrl-CS"/>
        </w:rPr>
        <w:t>авни лекови у управном поступку.</w:t>
      </w:r>
    </w:p>
    <w:p w:rsidR="00BB536E" w:rsidRPr="00831157" w:rsidRDefault="00BB536E" w:rsidP="00831157">
      <w:pPr>
        <w:ind w:firstLine="708"/>
        <w:jc w:val="both"/>
        <w:rPr>
          <w:rFonts w:ascii="Times New Roman" w:hAnsi="Times New Roman"/>
          <w:sz w:val="24"/>
          <w:szCs w:val="24"/>
          <w:lang w:val="sr-Cyrl-CS"/>
        </w:rPr>
      </w:pPr>
      <w:r w:rsidRPr="00831157">
        <w:rPr>
          <w:rFonts w:ascii="Times New Roman" w:hAnsi="Times New Roman"/>
          <w:sz w:val="24"/>
          <w:szCs w:val="24"/>
          <w:lang w:val="sr-Cyrl-CS"/>
        </w:rPr>
        <w:lastRenderedPageBreak/>
        <w:t>У већини земаља ОЕЦД жалба на утврђену пореску обавезу аутоматски одлаже плаћање пореског износа, што није случај и код нас јер жалба, по правилу, нема суспензивно дејство.</w:t>
      </w:r>
      <w:r w:rsidRPr="00831157">
        <w:rPr>
          <w:rStyle w:val="FootnoteReference"/>
          <w:rFonts w:ascii="Times New Roman" w:hAnsi="Times New Roman"/>
          <w:sz w:val="24"/>
          <w:szCs w:val="24"/>
          <w:lang w:val="sr-Cyrl-CS"/>
        </w:rPr>
        <w:footnoteReference w:id="861"/>
      </w:r>
    </w:p>
    <w:p w:rsidR="00BB536E" w:rsidRPr="00831157" w:rsidRDefault="00434FB1" w:rsidP="00831157">
      <w:pPr>
        <w:ind w:firstLine="708"/>
        <w:jc w:val="both"/>
        <w:rPr>
          <w:rFonts w:ascii="Times New Roman" w:hAnsi="Times New Roman"/>
          <w:sz w:val="24"/>
          <w:szCs w:val="24"/>
          <w:lang w:val="sr-Cyrl-CS"/>
        </w:rPr>
      </w:pPr>
      <w:r w:rsidRPr="00831157">
        <w:rPr>
          <w:rFonts w:ascii="Times New Roman" w:hAnsi="Times New Roman"/>
          <w:sz w:val="24"/>
          <w:szCs w:val="24"/>
          <w:lang w:val="sr-Cyrl-CS"/>
        </w:rPr>
        <w:t>Основна</w:t>
      </w:r>
      <w:r w:rsidR="00BB536E" w:rsidRPr="00831157">
        <w:rPr>
          <w:rFonts w:ascii="Times New Roman" w:hAnsi="Times New Roman"/>
          <w:sz w:val="24"/>
          <w:szCs w:val="24"/>
          <w:lang w:val="sr-Cyrl-CS"/>
        </w:rPr>
        <w:t xml:space="preserve"> фунција судске контроле пореских органа</w:t>
      </w:r>
      <w:r w:rsidRPr="00831157">
        <w:rPr>
          <w:rFonts w:ascii="Times New Roman" w:hAnsi="Times New Roman"/>
          <w:sz w:val="24"/>
          <w:szCs w:val="24"/>
          <w:lang w:val="sr-Cyrl-CS"/>
        </w:rPr>
        <w:t xml:space="preserve"> у пореском управном спору јесте да </w:t>
      </w:r>
      <w:r w:rsidR="00BB536E" w:rsidRPr="00831157">
        <w:rPr>
          <w:rFonts w:ascii="Times New Roman" w:hAnsi="Times New Roman"/>
          <w:sz w:val="24"/>
          <w:szCs w:val="24"/>
          <w:lang w:val="sr-Cyrl-CS"/>
        </w:rPr>
        <w:t xml:space="preserve"> обезбеди</w:t>
      </w:r>
      <w:r w:rsidRPr="00831157">
        <w:rPr>
          <w:rFonts w:ascii="Times New Roman" w:hAnsi="Times New Roman"/>
          <w:sz w:val="24"/>
          <w:szCs w:val="24"/>
          <w:lang w:val="sr-Cyrl-CS"/>
        </w:rPr>
        <w:t xml:space="preserve"> правилан рад пореских органа</w:t>
      </w:r>
      <w:r w:rsidR="00BB536E" w:rsidRPr="00831157">
        <w:rPr>
          <w:rFonts w:ascii="Times New Roman" w:hAnsi="Times New Roman"/>
          <w:sz w:val="24"/>
          <w:szCs w:val="24"/>
          <w:lang w:val="sr-Cyrl-CS"/>
        </w:rPr>
        <w:t>, кроз контролу законитости, по тужби странке (пореског обвез</w:t>
      </w:r>
      <w:r w:rsidRPr="00831157">
        <w:rPr>
          <w:rFonts w:ascii="Times New Roman" w:hAnsi="Times New Roman"/>
          <w:sz w:val="24"/>
          <w:szCs w:val="24"/>
          <w:lang w:val="sr-Cyrl-CS"/>
        </w:rPr>
        <w:t>ника)</w:t>
      </w:r>
      <w:r w:rsidR="007D3822" w:rsidRPr="00831157">
        <w:rPr>
          <w:rFonts w:ascii="Times New Roman" w:hAnsi="Times New Roman"/>
          <w:sz w:val="24"/>
          <w:szCs w:val="24"/>
          <w:lang w:val="sr-Cyrl-CS"/>
        </w:rPr>
        <w:t>.</w:t>
      </w:r>
      <w:r w:rsidRPr="00831157">
        <w:rPr>
          <w:rFonts w:ascii="Times New Roman" w:hAnsi="Times New Roman"/>
          <w:sz w:val="24"/>
          <w:szCs w:val="24"/>
          <w:lang w:val="sr-Cyrl-CS"/>
        </w:rPr>
        <w:t xml:space="preserve"> </w:t>
      </w:r>
      <w:r w:rsidR="007D3822" w:rsidRPr="00831157">
        <w:rPr>
          <w:rFonts w:ascii="Times New Roman" w:hAnsi="Times New Roman"/>
          <w:sz w:val="24"/>
          <w:szCs w:val="24"/>
          <w:lang w:val="sr-Cyrl-CS"/>
        </w:rPr>
        <w:t>Према томе, судска</w:t>
      </w:r>
      <w:r w:rsidR="00BB536E" w:rsidRPr="00831157">
        <w:rPr>
          <w:rFonts w:ascii="Times New Roman" w:hAnsi="Times New Roman"/>
          <w:sz w:val="24"/>
          <w:szCs w:val="24"/>
          <w:lang w:val="sr-Cyrl-CS"/>
        </w:rPr>
        <w:t xml:space="preserve"> контроле пореских органа  </w:t>
      </w:r>
      <w:r w:rsidR="007D3822" w:rsidRPr="00831157">
        <w:rPr>
          <w:rFonts w:ascii="Times New Roman" w:hAnsi="Times New Roman"/>
          <w:sz w:val="24"/>
          <w:szCs w:val="24"/>
          <w:lang w:val="sr-Cyrl-CS"/>
        </w:rPr>
        <w:t>се бави искључиво законитошћу</w:t>
      </w:r>
      <w:r w:rsidR="00BB536E" w:rsidRPr="00831157">
        <w:rPr>
          <w:rFonts w:ascii="Times New Roman" w:hAnsi="Times New Roman"/>
          <w:sz w:val="24"/>
          <w:szCs w:val="24"/>
          <w:lang w:val="sr-Cyrl-CS"/>
        </w:rPr>
        <w:t xml:space="preserve"> њиховог рада што значи да се суд не упушта у питање целисходн</w:t>
      </w:r>
      <w:r w:rsidR="008B3682" w:rsidRPr="00831157">
        <w:rPr>
          <w:rFonts w:ascii="Times New Roman" w:hAnsi="Times New Roman"/>
          <w:sz w:val="24"/>
          <w:szCs w:val="24"/>
          <w:lang w:val="sr-Cyrl-CS"/>
        </w:rPr>
        <w:t>ости, ефика</w:t>
      </w:r>
      <w:r w:rsidR="000B3507" w:rsidRPr="00831157">
        <w:rPr>
          <w:rFonts w:ascii="Times New Roman" w:hAnsi="Times New Roman"/>
          <w:sz w:val="24"/>
          <w:szCs w:val="24"/>
          <w:lang w:val="sr-Cyrl-CS"/>
        </w:rPr>
        <w:t>с</w:t>
      </w:r>
      <w:r w:rsidR="008B3682" w:rsidRPr="00831157">
        <w:rPr>
          <w:rFonts w:ascii="Times New Roman" w:hAnsi="Times New Roman"/>
          <w:sz w:val="24"/>
          <w:szCs w:val="24"/>
          <w:lang w:val="sr-Cyrl-CS"/>
        </w:rPr>
        <w:t xml:space="preserve">ности, правичности и сл. </w:t>
      </w:r>
      <w:r w:rsidR="007D3822" w:rsidRPr="00831157">
        <w:rPr>
          <w:rFonts w:ascii="Times New Roman" w:hAnsi="Times New Roman"/>
          <w:sz w:val="24"/>
          <w:szCs w:val="24"/>
          <w:lang w:val="sr-Cyrl-CS"/>
        </w:rPr>
        <w:t>Јачању поверења пореских обвезника у државне иснституције свакако доприносе судске пресуде којима се</w:t>
      </w:r>
      <w:r w:rsidR="008B3682" w:rsidRPr="00831157">
        <w:rPr>
          <w:rFonts w:ascii="Times New Roman" w:hAnsi="Times New Roman"/>
          <w:sz w:val="24"/>
          <w:szCs w:val="24"/>
          <w:lang w:val="sr-Cyrl-CS"/>
        </w:rPr>
        <w:t xml:space="preserve"> ставља</w:t>
      </w:r>
      <w:r w:rsidR="007D3822" w:rsidRPr="00831157">
        <w:rPr>
          <w:rFonts w:ascii="Times New Roman" w:hAnsi="Times New Roman"/>
          <w:sz w:val="24"/>
          <w:szCs w:val="24"/>
          <w:lang w:val="sr-Cyrl-CS"/>
        </w:rPr>
        <w:t>ју</w:t>
      </w:r>
      <w:r w:rsidR="008B3682" w:rsidRPr="00831157">
        <w:rPr>
          <w:rFonts w:ascii="Times New Roman" w:hAnsi="Times New Roman"/>
          <w:sz w:val="24"/>
          <w:szCs w:val="24"/>
          <w:lang w:val="sr-Cyrl-CS"/>
        </w:rPr>
        <w:t xml:space="preserve"> ван снаге</w:t>
      </w:r>
      <w:r w:rsidR="007D3822" w:rsidRPr="00831157">
        <w:rPr>
          <w:rFonts w:ascii="Times New Roman" w:hAnsi="Times New Roman"/>
          <w:sz w:val="24"/>
          <w:szCs w:val="24"/>
          <w:lang w:val="sr-Cyrl-CS"/>
        </w:rPr>
        <w:t xml:space="preserve"> незаконити порески управни акти</w:t>
      </w:r>
      <w:r w:rsidR="008B3682" w:rsidRPr="00831157">
        <w:rPr>
          <w:rFonts w:ascii="Times New Roman" w:hAnsi="Times New Roman"/>
          <w:sz w:val="24"/>
          <w:szCs w:val="24"/>
          <w:lang w:val="sr-Cyrl-CS"/>
        </w:rPr>
        <w:t xml:space="preserve"> којим</w:t>
      </w:r>
      <w:r w:rsidR="007D3822" w:rsidRPr="00831157">
        <w:rPr>
          <w:rFonts w:ascii="Times New Roman" w:hAnsi="Times New Roman"/>
          <w:sz w:val="24"/>
          <w:szCs w:val="24"/>
          <w:lang w:val="sr-Cyrl-CS"/>
        </w:rPr>
        <w:t>а су повређена</w:t>
      </w:r>
      <w:r w:rsidR="008B3682" w:rsidRPr="00831157">
        <w:rPr>
          <w:rFonts w:ascii="Times New Roman" w:hAnsi="Times New Roman"/>
          <w:sz w:val="24"/>
          <w:szCs w:val="24"/>
          <w:lang w:val="sr-Cyrl-CS"/>
        </w:rPr>
        <w:t xml:space="preserve"> права и интереси пореског обвезника у пореском поступку.</w:t>
      </w:r>
      <w:r w:rsidR="008B3682" w:rsidRPr="00831157">
        <w:rPr>
          <w:rStyle w:val="FootnoteReference"/>
          <w:rFonts w:ascii="Times New Roman" w:hAnsi="Times New Roman"/>
          <w:sz w:val="24"/>
          <w:szCs w:val="24"/>
          <w:lang w:val="sr-Cyrl-CS"/>
        </w:rPr>
        <w:footnoteReference w:id="862"/>
      </w:r>
      <w:r w:rsidR="008B3682" w:rsidRPr="00831157">
        <w:rPr>
          <w:rFonts w:ascii="Times New Roman" w:hAnsi="Times New Roman"/>
          <w:sz w:val="24"/>
          <w:szCs w:val="24"/>
          <w:lang w:val="sr-Cyrl-CS"/>
        </w:rPr>
        <w:t xml:space="preserve"> Ефикасна контрола пореских органа доприноси владавини права и правној сигурности, а самим ти</w:t>
      </w:r>
      <w:r w:rsidR="000B3507" w:rsidRPr="00831157">
        <w:rPr>
          <w:rFonts w:ascii="Times New Roman" w:hAnsi="Times New Roman"/>
          <w:sz w:val="24"/>
          <w:szCs w:val="24"/>
          <w:lang w:val="sr-Cyrl-CS"/>
        </w:rPr>
        <w:t>м сма</w:t>
      </w:r>
      <w:r w:rsidR="000C02AA" w:rsidRPr="00831157">
        <w:rPr>
          <w:rFonts w:ascii="Times New Roman" w:hAnsi="Times New Roman"/>
          <w:sz w:val="24"/>
          <w:szCs w:val="24"/>
          <w:lang w:val="sr-Cyrl-CS"/>
        </w:rPr>
        <w:t>њује простор за злоупотребе</w:t>
      </w:r>
      <w:r w:rsidR="008B3682" w:rsidRPr="00831157">
        <w:rPr>
          <w:rFonts w:ascii="Times New Roman" w:hAnsi="Times New Roman"/>
          <w:sz w:val="24"/>
          <w:szCs w:val="24"/>
          <w:lang w:val="sr-Cyrl-CS"/>
        </w:rPr>
        <w:t xml:space="preserve"> и корупцију и јача позитиван однос између пореских органа и пореских обвезника, што је од значаја за ефиксно функционисање пореског система.</w:t>
      </w:r>
    </w:p>
    <w:p w:rsidR="00A72EAA" w:rsidRPr="00831157" w:rsidRDefault="007D3822" w:rsidP="00831157">
      <w:pPr>
        <w:ind w:firstLine="708"/>
        <w:jc w:val="both"/>
        <w:rPr>
          <w:rFonts w:ascii="Times New Roman" w:hAnsi="Times New Roman"/>
          <w:sz w:val="24"/>
          <w:szCs w:val="24"/>
          <w:lang w:val="sr-Cyrl-CS"/>
        </w:rPr>
      </w:pPr>
      <w:r w:rsidRPr="00831157">
        <w:rPr>
          <w:rFonts w:ascii="Times New Roman" w:hAnsi="Times New Roman"/>
          <w:sz w:val="24"/>
          <w:szCs w:val="24"/>
          <w:lang w:val="sr-Cyrl-CS"/>
        </w:rPr>
        <w:t>Б</w:t>
      </w:r>
      <w:r w:rsidR="00A72EAA" w:rsidRPr="00831157">
        <w:rPr>
          <w:rFonts w:ascii="Times New Roman" w:hAnsi="Times New Roman"/>
          <w:sz w:val="24"/>
          <w:szCs w:val="24"/>
          <w:lang w:val="sr-Cyrl-CS"/>
        </w:rPr>
        <w:t xml:space="preserve">итну улогу у </w:t>
      </w:r>
      <w:r w:rsidRPr="00831157">
        <w:rPr>
          <w:rFonts w:ascii="Times New Roman" w:hAnsi="Times New Roman"/>
          <w:sz w:val="24"/>
          <w:szCs w:val="24"/>
          <w:lang w:val="sr-Cyrl-CS"/>
        </w:rPr>
        <w:t>побољшању пружања услуга пореске управе пореским обвезницима и бољој оспособљености П</w:t>
      </w:r>
      <w:r w:rsidR="00DB1BF8" w:rsidRPr="00831157">
        <w:rPr>
          <w:rFonts w:ascii="Times New Roman" w:hAnsi="Times New Roman"/>
          <w:sz w:val="24"/>
          <w:szCs w:val="24"/>
          <w:lang w:val="sr-Cyrl-CS"/>
        </w:rPr>
        <w:t>ореске управе</w:t>
      </w:r>
      <w:r w:rsidRPr="00831157">
        <w:rPr>
          <w:rFonts w:ascii="Times New Roman" w:hAnsi="Times New Roman"/>
          <w:sz w:val="24"/>
          <w:szCs w:val="24"/>
          <w:lang w:val="sr-Cyrl-CS"/>
        </w:rPr>
        <w:t xml:space="preserve"> има информациона технологија тј. порески информациони систем, а посебно</w:t>
      </w:r>
      <w:r w:rsidR="00A72EAA" w:rsidRPr="00831157">
        <w:rPr>
          <w:rFonts w:ascii="Times New Roman" w:hAnsi="Times New Roman"/>
          <w:sz w:val="24"/>
          <w:szCs w:val="24"/>
          <w:lang w:val="sr-Cyrl-CS"/>
        </w:rPr>
        <w:t xml:space="preserve"> тзв. „електронски“ однос Пореске управе и пореских обвезника</w:t>
      </w:r>
      <w:r w:rsidRPr="00831157">
        <w:rPr>
          <w:rFonts w:ascii="Times New Roman" w:hAnsi="Times New Roman"/>
          <w:sz w:val="24"/>
          <w:szCs w:val="24"/>
          <w:lang w:val="sr-Cyrl-CS"/>
        </w:rPr>
        <w:t>,</w:t>
      </w:r>
      <w:r w:rsidR="00A72EAA" w:rsidRPr="00831157">
        <w:rPr>
          <w:rFonts w:ascii="Times New Roman" w:hAnsi="Times New Roman"/>
          <w:sz w:val="24"/>
          <w:szCs w:val="24"/>
          <w:lang w:val="sr-Cyrl-CS"/>
        </w:rPr>
        <w:t xml:space="preserve"> а он има више нивоа</w:t>
      </w:r>
      <w:r w:rsidRPr="00831157">
        <w:rPr>
          <w:rFonts w:ascii="Times New Roman" w:hAnsi="Times New Roman"/>
          <w:sz w:val="24"/>
          <w:szCs w:val="24"/>
          <w:lang w:val="sr-Cyrl-CS"/>
        </w:rPr>
        <w:t xml:space="preserve"> који се огледају од</w:t>
      </w:r>
      <w:r w:rsidR="00A72EAA" w:rsidRPr="00831157">
        <w:rPr>
          <w:rFonts w:ascii="Times New Roman" w:hAnsi="Times New Roman"/>
          <w:sz w:val="24"/>
          <w:szCs w:val="24"/>
          <w:lang w:val="sr-Cyrl-CS"/>
        </w:rPr>
        <w:t xml:space="preserve"> пружања разноврсних информација обвезницима преко </w:t>
      </w:r>
      <w:r w:rsidR="00A72EAA" w:rsidRPr="00831157">
        <w:rPr>
          <w:rFonts w:ascii="Times New Roman" w:hAnsi="Times New Roman"/>
          <w:sz w:val="24"/>
          <w:szCs w:val="24"/>
          <w:lang w:val="en-US"/>
        </w:rPr>
        <w:t xml:space="preserve">web </w:t>
      </w:r>
      <w:r w:rsidR="000C02AA" w:rsidRPr="00831157">
        <w:rPr>
          <w:rFonts w:ascii="Times New Roman" w:hAnsi="Times New Roman"/>
          <w:sz w:val="24"/>
          <w:szCs w:val="24"/>
          <w:lang w:val="en-US"/>
        </w:rPr>
        <w:t>сајта Пореске управе до могућн</w:t>
      </w:r>
      <w:r w:rsidR="000C02AA" w:rsidRPr="00831157">
        <w:rPr>
          <w:rFonts w:ascii="Times New Roman" w:hAnsi="Times New Roman"/>
          <w:sz w:val="24"/>
          <w:szCs w:val="24"/>
          <w:lang w:val="sr-Cyrl-CS"/>
        </w:rPr>
        <w:t>ос</w:t>
      </w:r>
      <w:r w:rsidR="00A72EAA" w:rsidRPr="00831157">
        <w:rPr>
          <w:rFonts w:ascii="Times New Roman" w:hAnsi="Times New Roman"/>
          <w:sz w:val="24"/>
          <w:szCs w:val="24"/>
          <w:lang w:val="en-US"/>
        </w:rPr>
        <w:t>ти подношења пријава електронским путем (“</w:t>
      </w:r>
      <w:r w:rsidR="00A72EAA" w:rsidRPr="00831157">
        <w:rPr>
          <w:rFonts w:ascii="Times New Roman" w:hAnsi="Times New Roman"/>
          <w:sz w:val="24"/>
          <w:szCs w:val="24"/>
          <w:lang w:val="sr-Cyrl-CS"/>
        </w:rPr>
        <w:t>елект</w:t>
      </w:r>
      <w:r w:rsidR="000B3507" w:rsidRPr="00831157">
        <w:rPr>
          <w:rFonts w:ascii="Times New Roman" w:hAnsi="Times New Roman"/>
          <w:sz w:val="24"/>
          <w:szCs w:val="24"/>
          <w:lang w:val="sr-Cyrl-CS"/>
        </w:rPr>
        <w:t>р</w:t>
      </w:r>
      <w:r w:rsidR="00A72EAA" w:rsidRPr="00831157">
        <w:rPr>
          <w:rFonts w:ascii="Times New Roman" w:hAnsi="Times New Roman"/>
          <w:sz w:val="24"/>
          <w:szCs w:val="24"/>
          <w:lang w:val="sr-Cyrl-CS"/>
        </w:rPr>
        <w:t>онска“ пореска пријава) и до</w:t>
      </w:r>
      <w:r w:rsidR="000B3507" w:rsidRPr="00831157">
        <w:rPr>
          <w:rFonts w:ascii="Times New Roman" w:hAnsi="Times New Roman"/>
          <w:sz w:val="24"/>
          <w:szCs w:val="24"/>
          <w:lang w:val="sr-Cyrl-CS"/>
        </w:rPr>
        <w:t>с</w:t>
      </w:r>
      <w:r w:rsidR="00A72EAA" w:rsidRPr="00831157">
        <w:rPr>
          <w:rFonts w:ascii="Times New Roman" w:hAnsi="Times New Roman"/>
          <w:sz w:val="24"/>
          <w:szCs w:val="24"/>
          <w:lang w:val="sr-Cyrl-CS"/>
        </w:rPr>
        <w:t>тављање одлука Пореске управе обвезниц</w:t>
      </w:r>
      <w:r w:rsidR="000B3507" w:rsidRPr="00831157">
        <w:rPr>
          <w:rFonts w:ascii="Times New Roman" w:hAnsi="Times New Roman"/>
          <w:sz w:val="24"/>
          <w:szCs w:val="24"/>
          <w:lang w:val="sr-Cyrl-CS"/>
        </w:rPr>
        <w:t>и</w:t>
      </w:r>
      <w:r w:rsidR="00072A45" w:rsidRPr="00831157">
        <w:rPr>
          <w:rFonts w:ascii="Times New Roman" w:hAnsi="Times New Roman"/>
          <w:sz w:val="24"/>
          <w:szCs w:val="24"/>
          <w:lang w:val="sr-Cyrl-CS"/>
        </w:rPr>
        <w:t>ма на исти начин</w:t>
      </w:r>
      <w:r w:rsidR="00F71F77" w:rsidRPr="00831157">
        <w:rPr>
          <w:rFonts w:ascii="Times New Roman" w:hAnsi="Times New Roman"/>
          <w:sz w:val="24"/>
          <w:szCs w:val="24"/>
          <w:lang w:val="sr-Cyrl-CS"/>
        </w:rPr>
        <w:t>.</w:t>
      </w:r>
      <w:r w:rsidR="00F71F77" w:rsidRPr="00831157">
        <w:rPr>
          <w:rStyle w:val="FootnoteReference"/>
          <w:rFonts w:ascii="Times New Roman" w:hAnsi="Times New Roman"/>
          <w:sz w:val="24"/>
          <w:szCs w:val="24"/>
          <w:lang w:val="sr-Cyrl-CS"/>
        </w:rPr>
        <w:footnoteReference w:id="863"/>
      </w:r>
    </w:p>
    <w:p w:rsidR="00DA40FB" w:rsidRPr="00831157" w:rsidRDefault="00DA40FB" w:rsidP="00831157">
      <w:pPr>
        <w:ind w:firstLine="708"/>
        <w:jc w:val="both"/>
        <w:rPr>
          <w:rFonts w:ascii="Times New Roman" w:hAnsi="Times New Roman"/>
          <w:sz w:val="24"/>
          <w:szCs w:val="24"/>
          <w:lang w:val="sr-Cyrl-CS"/>
        </w:rPr>
      </w:pPr>
      <w:r w:rsidRPr="00831157">
        <w:rPr>
          <w:rFonts w:ascii="Times New Roman" w:hAnsi="Times New Roman"/>
          <w:sz w:val="24"/>
          <w:szCs w:val="24"/>
          <w:lang w:val="sr-Cyrl-CS"/>
        </w:rPr>
        <w:t>Новина у раду Пореске управе је увођење новог система обједињене наплате пореза и доприноса по одб</w:t>
      </w:r>
      <w:r w:rsidR="000B3507" w:rsidRPr="00831157">
        <w:rPr>
          <w:rFonts w:ascii="Times New Roman" w:hAnsi="Times New Roman"/>
          <w:sz w:val="24"/>
          <w:szCs w:val="24"/>
          <w:lang w:val="sr-Cyrl-CS"/>
        </w:rPr>
        <w:t>итку, чији су основни циљеви сма</w:t>
      </w:r>
      <w:r w:rsidRPr="00831157">
        <w:rPr>
          <w:rFonts w:ascii="Times New Roman" w:hAnsi="Times New Roman"/>
          <w:sz w:val="24"/>
          <w:szCs w:val="24"/>
          <w:lang w:val="sr-Cyrl-CS"/>
        </w:rPr>
        <w:t>њење административних трошкова п</w:t>
      </w:r>
      <w:r w:rsidR="000C02AA" w:rsidRPr="00831157">
        <w:rPr>
          <w:rFonts w:ascii="Times New Roman" w:hAnsi="Times New Roman"/>
          <w:sz w:val="24"/>
          <w:szCs w:val="24"/>
          <w:lang w:val="sr-Cyrl-CS"/>
        </w:rPr>
        <w:t>ословања, повећање ефика</w:t>
      </w:r>
      <w:r w:rsidR="000B3507" w:rsidRPr="00831157">
        <w:rPr>
          <w:rFonts w:ascii="Times New Roman" w:hAnsi="Times New Roman"/>
          <w:sz w:val="24"/>
          <w:szCs w:val="24"/>
          <w:lang w:val="sr-Cyrl-CS"/>
        </w:rPr>
        <w:t>с</w:t>
      </w:r>
      <w:r w:rsidR="000C02AA" w:rsidRPr="00831157">
        <w:rPr>
          <w:rFonts w:ascii="Times New Roman" w:hAnsi="Times New Roman"/>
          <w:sz w:val="24"/>
          <w:szCs w:val="24"/>
          <w:lang w:val="sr-Cyrl-CS"/>
        </w:rPr>
        <w:t>но</w:t>
      </w:r>
      <w:r w:rsidR="00C5684B" w:rsidRPr="00831157">
        <w:rPr>
          <w:rFonts w:ascii="Times New Roman" w:hAnsi="Times New Roman"/>
          <w:sz w:val="24"/>
          <w:szCs w:val="24"/>
          <w:lang w:val="sr-Cyrl-CS"/>
        </w:rPr>
        <w:t>сти у контроли и наплати, као</w:t>
      </w:r>
      <w:r w:rsidR="000B3507" w:rsidRPr="00831157">
        <w:rPr>
          <w:rFonts w:ascii="Times New Roman" w:hAnsi="Times New Roman"/>
          <w:sz w:val="24"/>
          <w:szCs w:val="24"/>
          <w:lang w:val="sr-Cyrl-CS"/>
        </w:rPr>
        <w:t xml:space="preserve"> обезбеђење</w:t>
      </w:r>
      <w:r w:rsidRPr="00831157">
        <w:rPr>
          <w:rFonts w:ascii="Times New Roman" w:hAnsi="Times New Roman"/>
          <w:sz w:val="24"/>
          <w:szCs w:val="24"/>
          <w:lang w:val="sr-Cyrl-CS"/>
        </w:rPr>
        <w:t xml:space="preserve"> предуслова за раст ефика</w:t>
      </w:r>
      <w:r w:rsidR="00C5684B" w:rsidRPr="00831157">
        <w:rPr>
          <w:rFonts w:ascii="Times New Roman" w:hAnsi="Times New Roman"/>
          <w:sz w:val="24"/>
          <w:szCs w:val="24"/>
          <w:lang w:val="sr-Cyrl-CS"/>
        </w:rPr>
        <w:t>с</w:t>
      </w:r>
      <w:r w:rsidRPr="00831157">
        <w:rPr>
          <w:rFonts w:ascii="Times New Roman" w:hAnsi="Times New Roman"/>
          <w:sz w:val="24"/>
          <w:szCs w:val="24"/>
          <w:lang w:val="sr-Cyrl-CS"/>
        </w:rPr>
        <w:t xml:space="preserve">ности укупног рада Пореске управе, на чијем сајту су </w:t>
      </w:r>
      <w:r w:rsidR="000C02AA" w:rsidRPr="00831157">
        <w:rPr>
          <w:rFonts w:ascii="Times New Roman" w:hAnsi="Times New Roman"/>
          <w:sz w:val="24"/>
          <w:szCs w:val="24"/>
          <w:lang w:val="sr-Cyrl-CS"/>
        </w:rPr>
        <w:t>објављене информације о овом нов</w:t>
      </w:r>
      <w:r w:rsidRPr="00831157">
        <w:rPr>
          <w:rFonts w:ascii="Times New Roman" w:hAnsi="Times New Roman"/>
          <w:sz w:val="24"/>
          <w:szCs w:val="24"/>
          <w:lang w:val="sr-Cyrl-CS"/>
        </w:rPr>
        <w:t>ом систему, па то само говори у прилог тези да је потребно стално усавршавање и едукација у Пореској управи али у пореских обвезника. Портал „е-</w:t>
      </w:r>
      <w:r w:rsidR="000C02AA" w:rsidRPr="00831157">
        <w:rPr>
          <w:rFonts w:ascii="Times New Roman" w:hAnsi="Times New Roman"/>
          <w:sz w:val="24"/>
          <w:szCs w:val="24"/>
          <w:lang w:val="sr-Cyrl-CS"/>
        </w:rPr>
        <w:t>Порези</w:t>
      </w:r>
      <w:r w:rsidRPr="00831157">
        <w:rPr>
          <w:rFonts w:ascii="Times New Roman" w:hAnsi="Times New Roman"/>
          <w:sz w:val="24"/>
          <w:szCs w:val="24"/>
          <w:lang w:val="sr-Cyrl-CS"/>
        </w:rPr>
        <w:t>“ представља скуп електронских услуга Пореске управе који омогућава свим пореским обвезницима електронску предају електронски потписаних образаца, праћење статуса послатих образаца и увид у пореску картицу пореског обвезника,  све у циљу бржег и јендос</w:t>
      </w:r>
      <w:r w:rsidR="000C02AA" w:rsidRPr="00831157">
        <w:rPr>
          <w:rFonts w:ascii="Times New Roman" w:hAnsi="Times New Roman"/>
          <w:sz w:val="24"/>
          <w:szCs w:val="24"/>
          <w:lang w:val="sr-Cyrl-CS"/>
        </w:rPr>
        <w:t>т</w:t>
      </w:r>
      <w:r w:rsidRPr="00831157">
        <w:rPr>
          <w:rFonts w:ascii="Times New Roman" w:hAnsi="Times New Roman"/>
          <w:sz w:val="24"/>
          <w:szCs w:val="24"/>
          <w:lang w:val="sr-Cyrl-CS"/>
        </w:rPr>
        <w:t xml:space="preserve">авнијег испуњавања обавеза према Пореској управи. </w:t>
      </w:r>
      <w:r w:rsidR="000C02AA" w:rsidRPr="00831157">
        <w:rPr>
          <w:rFonts w:ascii="Times New Roman" w:hAnsi="Times New Roman"/>
          <w:sz w:val="24"/>
          <w:szCs w:val="24"/>
          <w:lang w:val="sr-Cyrl-CS"/>
        </w:rPr>
        <w:t xml:space="preserve">Путем web апликације е-Порези порески обвезници могу попуњавати, потписивати и проследити Пореској управи обрасце пореских пријава. Такође, порески обвезници могу прилагодити свој софтвер за рачуноводство, тако да аутоматски генерише фајл у одговарајућем формату и такав фајл директно проследе у апликацију </w:t>
      </w:r>
      <w:r w:rsidR="000C02AA" w:rsidRPr="00831157">
        <w:rPr>
          <w:rFonts w:ascii="Times New Roman" w:hAnsi="Times New Roman"/>
          <w:sz w:val="24"/>
          <w:szCs w:val="24"/>
          <w:lang w:val="sr-Cyrl-CS"/>
        </w:rPr>
        <w:lastRenderedPageBreak/>
        <w:t>е-Порези, потпишу и проследе Пореској управи. На порталу е-Порези могуће је остварити увид у пореске картице пореског обвезника, увид у податке Јединственог регистра пореских обвезника, као и преглед претходно послатих пореских пријава електронским путем</w:t>
      </w:r>
      <w:r w:rsidRPr="00831157">
        <w:rPr>
          <w:rStyle w:val="FootnoteReference"/>
          <w:rFonts w:ascii="Times New Roman" w:hAnsi="Times New Roman"/>
          <w:sz w:val="24"/>
          <w:szCs w:val="24"/>
          <w:lang w:val="sr-Cyrl-CS"/>
        </w:rPr>
        <w:footnoteReference w:id="864"/>
      </w:r>
    </w:p>
    <w:p w:rsidR="004F1567" w:rsidRPr="00831157" w:rsidRDefault="0027655F" w:rsidP="00831157">
      <w:pPr>
        <w:ind w:firstLine="708"/>
        <w:jc w:val="both"/>
        <w:rPr>
          <w:rFonts w:ascii="Times New Roman" w:hAnsi="Times New Roman"/>
          <w:sz w:val="24"/>
          <w:szCs w:val="24"/>
          <w:lang w:val="sr-Cyrl-CS"/>
        </w:rPr>
      </w:pPr>
      <w:r w:rsidRPr="00831157">
        <w:rPr>
          <w:rFonts w:ascii="Times New Roman" w:hAnsi="Times New Roman"/>
          <w:sz w:val="24"/>
          <w:szCs w:val="24"/>
          <w:lang w:val="sr-Cyrl-CS"/>
        </w:rPr>
        <w:t>Циљ р</w:t>
      </w:r>
      <w:r w:rsidR="00945320" w:rsidRPr="00831157">
        <w:rPr>
          <w:rFonts w:ascii="Times New Roman" w:hAnsi="Times New Roman"/>
          <w:sz w:val="24"/>
          <w:szCs w:val="24"/>
          <w:lang w:val="sr-Cyrl-CS"/>
        </w:rPr>
        <w:t>азвој</w:t>
      </w:r>
      <w:r w:rsidRPr="00831157">
        <w:rPr>
          <w:rFonts w:ascii="Times New Roman" w:hAnsi="Times New Roman"/>
          <w:sz w:val="24"/>
          <w:szCs w:val="24"/>
          <w:lang w:val="sr-Cyrl-CS"/>
        </w:rPr>
        <w:t>а</w:t>
      </w:r>
      <w:r w:rsidR="00945320" w:rsidRPr="00831157">
        <w:rPr>
          <w:rFonts w:ascii="Times New Roman" w:hAnsi="Times New Roman"/>
          <w:sz w:val="24"/>
          <w:szCs w:val="24"/>
          <w:lang w:val="sr-Cyrl-CS"/>
        </w:rPr>
        <w:t xml:space="preserve"> информационог система Управе</w:t>
      </w:r>
      <w:r w:rsidRPr="00831157">
        <w:rPr>
          <w:rFonts w:ascii="Times New Roman" w:hAnsi="Times New Roman"/>
          <w:sz w:val="24"/>
          <w:szCs w:val="24"/>
          <w:lang w:val="sr-Cyrl-CS"/>
        </w:rPr>
        <w:t xml:space="preserve"> јесте</w:t>
      </w:r>
      <w:r w:rsidR="000C02AA" w:rsidRPr="00831157">
        <w:rPr>
          <w:rFonts w:ascii="Times New Roman" w:hAnsi="Times New Roman"/>
          <w:sz w:val="24"/>
          <w:szCs w:val="24"/>
          <w:lang w:val="sr-Cyrl-CS"/>
        </w:rPr>
        <w:t xml:space="preserve"> </w:t>
      </w:r>
      <w:r w:rsidRPr="00831157">
        <w:rPr>
          <w:rFonts w:ascii="Times New Roman" w:hAnsi="Times New Roman"/>
          <w:sz w:val="24"/>
          <w:szCs w:val="24"/>
          <w:lang w:val="sr-Cyrl-CS"/>
        </w:rPr>
        <w:t>да</w:t>
      </w:r>
      <w:r w:rsidR="000C02AA" w:rsidRPr="00831157">
        <w:rPr>
          <w:rFonts w:ascii="Times New Roman" w:hAnsi="Times New Roman"/>
          <w:sz w:val="24"/>
          <w:szCs w:val="24"/>
          <w:lang w:val="sr-Cyrl-CS"/>
        </w:rPr>
        <w:t xml:space="preserve"> обезбеди ефика</w:t>
      </w:r>
      <w:r w:rsidR="00945320" w:rsidRPr="00831157">
        <w:rPr>
          <w:rFonts w:ascii="Times New Roman" w:hAnsi="Times New Roman"/>
          <w:sz w:val="24"/>
          <w:szCs w:val="24"/>
          <w:lang w:val="sr-Cyrl-CS"/>
        </w:rPr>
        <w:t>снији, квалитетнији и рационалнији рад Управе</w:t>
      </w:r>
      <w:r w:rsidRPr="00831157">
        <w:rPr>
          <w:rFonts w:ascii="Times New Roman" w:hAnsi="Times New Roman"/>
          <w:sz w:val="24"/>
          <w:szCs w:val="24"/>
          <w:lang w:val="sr-Cyrl-CS"/>
        </w:rPr>
        <w:t xml:space="preserve"> и представља подршку функционисању фискалног система у Републици Србији</w:t>
      </w:r>
      <w:r w:rsidR="00945320" w:rsidRPr="00831157">
        <w:rPr>
          <w:rFonts w:ascii="Times New Roman" w:hAnsi="Times New Roman"/>
          <w:sz w:val="24"/>
          <w:szCs w:val="24"/>
          <w:lang w:val="sr-Cyrl-CS"/>
        </w:rPr>
        <w:t xml:space="preserve">. </w:t>
      </w:r>
      <w:r w:rsidRPr="00831157">
        <w:rPr>
          <w:rFonts w:ascii="Times New Roman" w:hAnsi="Times New Roman"/>
          <w:sz w:val="24"/>
          <w:szCs w:val="24"/>
          <w:lang w:val="sr-Cyrl-CS"/>
        </w:rPr>
        <w:t xml:space="preserve">Његова значајна улога јесте и што </w:t>
      </w:r>
      <w:r w:rsidR="00945320" w:rsidRPr="00831157">
        <w:rPr>
          <w:rFonts w:ascii="Times New Roman" w:hAnsi="Times New Roman"/>
          <w:sz w:val="24"/>
          <w:szCs w:val="24"/>
          <w:lang w:val="sr-Cyrl-CS"/>
        </w:rPr>
        <w:t xml:space="preserve">омогућује размену информација са информационим системима других </w:t>
      </w:r>
      <w:r w:rsidR="000C02AA" w:rsidRPr="00831157">
        <w:rPr>
          <w:rFonts w:ascii="Times New Roman" w:hAnsi="Times New Roman"/>
          <w:sz w:val="24"/>
          <w:szCs w:val="24"/>
          <w:lang w:val="sr-Cyrl-CS"/>
        </w:rPr>
        <w:t>д</w:t>
      </w:r>
      <w:r w:rsidR="00945320" w:rsidRPr="00831157">
        <w:rPr>
          <w:rFonts w:ascii="Times New Roman" w:hAnsi="Times New Roman"/>
          <w:sz w:val="24"/>
          <w:szCs w:val="24"/>
          <w:lang w:val="sr-Cyrl-CS"/>
        </w:rPr>
        <w:t xml:space="preserve">ржавних органа. </w:t>
      </w:r>
      <w:r w:rsidRPr="00831157">
        <w:rPr>
          <w:rFonts w:ascii="Times New Roman" w:hAnsi="Times New Roman"/>
          <w:sz w:val="24"/>
          <w:szCs w:val="24"/>
          <w:lang w:val="sr-Cyrl-CS"/>
        </w:rPr>
        <w:t>„</w:t>
      </w:r>
      <w:r w:rsidR="00945320" w:rsidRPr="00831157">
        <w:rPr>
          <w:rFonts w:ascii="Times New Roman" w:hAnsi="Times New Roman"/>
          <w:sz w:val="24"/>
          <w:szCs w:val="24"/>
          <w:lang w:val="sr-Cyrl-CS"/>
        </w:rPr>
        <w:t>Под информационим системом Управе подразумева се интегрисан систе</w:t>
      </w:r>
      <w:r w:rsidR="000C02AA" w:rsidRPr="00831157">
        <w:rPr>
          <w:rFonts w:ascii="Times New Roman" w:hAnsi="Times New Roman"/>
          <w:sz w:val="24"/>
          <w:szCs w:val="24"/>
          <w:lang w:val="sr-Cyrl-CS"/>
        </w:rPr>
        <w:t>м организован на три хијерархијс</w:t>
      </w:r>
      <w:r w:rsidR="00945320" w:rsidRPr="00831157">
        <w:rPr>
          <w:rFonts w:ascii="Times New Roman" w:hAnsi="Times New Roman"/>
          <w:sz w:val="24"/>
          <w:szCs w:val="24"/>
          <w:lang w:val="sr-Cyrl-CS"/>
        </w:rPr>
        <w:t>ка нивоа (седишта, филијала и експозитура), који треба да обезбеди размену података ових нивоа, хоризонтално и вертикално.</w:t>
      </w:r>
      <w:r w:rsidRPr="00831157">
        <w:rPr>
          <w:rFonts w:ascii="Times New Roman" w:hAnsi="Times New Roman"/>
          <w:sz w:val="24"/>
          <w:szCs w:val="24"/>
          <w:lang w:val="sr-Cyrl-CS"/>
        </w:rPr>
        <w:t>“</w:t>
      </w:r>
      <w:r w:rsidR="00945320" w:rsidRPr="00831157">
        <w:rPr>
          <w:rStyle w:val="FootnoteReference"/>
          <w:rFonts w:ascii="Times New Roman" w:hAnsi="Times New Roman"/>
          <w:sz w:val="24"/>
          <w:szCs w:val="24"/>
          <w:lang w:val="sr-Cyrl-CS"/>
        </w:rPr>
        <w:footnoteReference w:id="865"/>
      </w:r>
    </w:p>
    <w:p w:rsidR="00072A45" w:rsidRPr="00831157" w:rsidRDefault="00072A45" w:rsidP="00831157">
      <w:pPr>
        <w:ind w:firstLine="708"/>
        <w:jc w:val="both"/>
        <w:rPr>
          <w:rFonts w:ascii="Times New Roman" w:hAnsi="Times New Roman"/>
          <w:sz w:val="24"/>
          <w:szCs w:val="24"/>
        </w:rPr>
      </w:pPr>
      <w:r w:rsidRPr="00831157">
        <w:rPr>
          <w:rFonts w:ascii="Times New Roman" w:hAnsi="Times New Roman"/>
          <w:sz w:val="24"/>
          <w:szCs w:val="24"/>
          <w:lang w:val="sr-Cyrl-CS"/>
        </w:rPr>
        <w:t>Према томе, чине се озбиљни напори да се реформише пореска администрација, што ће допринети већој транспарентности њеног рада, као и већој одговорности у раду. На тај начин ће се смањити не само пореска евазија него и корупција.</w:t>
      </w:r>
      <w:r w:rsidR="00831157">
        <w:rPr>
          <w:rFonts w:ascii="Times New Roman" w:hAnsi="Times New Roman"/>
          <w:sz w:val="24"/>
          <w:szCs w:val="24"/>
          <w:lang w:val="sr-Cyrl-CS"/>
        </w:rPr>
        <w:t xml:space="preserve"> </w:t>
      </w:r>
    </w:p>
    <w:p w:rsidR="00D45FD1" w:rsidRPr="00D45FD1" w:rsidRDefault="00D45FD1" w:rsidP="00945320">
      <w:pPr>
        <w:ind w:firstLine="708"/>
        <w:jc w:val="both"/>
        <w:rPr>
          <w:rFonts w:ascii="Times New Roman" w:hAnsi="Times New Roman"/>
          <w:sz w:val="24"/>
          <w:szCs w:val="24"/>
        </w:rPr>
      </w:pPr>
    </w:p>
    <w:p w:rsidR="001D05A9" w:rsidRDefault="000C02AA" w:rsidP="008A3795">
      <w:pPr>
        <w:pStyle w:val="ListParagraph"/>
        <w:numPr>
          <w:ilvl w:val="1"/>
          <w:numId w:val="25"/>
        </w:numPr>
        <w:jc w:val="center"/>
        <w:rPr>
          <w:rFonts w:ascii="Times New Roman" w:hAnsi="Times New Roman"/>
          <w:b/>
          <w:sz w:val="24"/>
          <w:szCs w:val="24"/>
          <w:lang w:val="sr-Cyrl-CS"/>
        </w:rPr>
      </w:pPr>
      <w:r>
        <w:rPr>
          <w:rFonts w:ascii="Times New Roman" w:hAnsi="Times New Roman"/>
          <w:b/>
          <w:sz w:val="24"/>
          <w:szCs w:val="24"/>
          <w:lang w:val="sr-Cyrl-CS"/>
        </w:rPr>
        <w:t>Судство и тужилаштво</w:t>
      </w:r>
    </w:p>
    <w:p w:rsidR="00DB1BF8" w:rsidRPr="000C02AA" w:rsidRDefault="00DB1BF8" w:rsidP="00DB1BF8">
      <w:pPr>
        <w:pStyle w:val="ListParagraph"/>
        <w:ind w:left="1440"/>
        <w:rPr>
          <w:rFonts w:ascii="Times New Roman" w:hAnsi="Times New Roman"/>
          <w:b/>
          <w:sz w:val="24"/>
          <w:szCs w:val="24"/>
          <w:lang w:val="sr-Cyrl-CS"/>
        </w:rPr>
      </w:pPr>
    </w:p>
    <w:p w:rsidR="00F15793" w:rsidRDefault="0027655F" w:rsidP="00945320">
      <w:pPr>
        <w:ind w:firstLine="708"/>
        <w:jc w:val="both"/>
        <w:rPr>
          <w:rFonts w:ascii="Times New Roman" w:hAnsi="Times New Roman"/>
          <w:sz w:val="24"/>
          <w:szCs w:val="24"/>
          <w:lang w:val="sr-Cyrl-CS"/>
        </w:rPr>
      </w:pPr>
      <w:r>
        <w:rPr>
          <w:rFonts w:ascii="Times New Roman" w:hAnsi="Times New Roman"/>
          <w:sz w:val="24"/>
          <w:szCs w:val="24"/>
          <w:lang w:val="sr-Cyrl-CS"/>
        </w:rPr>
        <w:t>Правосуђе се често сматра битнијим инструментом заштите права и слобода у односу на управу иако је већина грађана, током живота</w:t>
      </w:r>
      <w:r w:rsidR="00F15793">
        <w:rPr>
          <w:rFonts w:ascii="Times New Roman" w:hAnsi="Times New Roman"/>
          <w:sz w:val="24"/>
          <w:szCs w:val="24"/>
          <w:lang w:val="sr-Cyrl-CS"/>
        </w:rPr>
        <w:t xml:space="preserve"> у оквиру својих контаката с</w:t>
      </w:r>
      <w:r>
        <w:rPr>
          <w:rFonts w:ascii="Times New Roman" w:hAnsi="Times New Roman"/>
          <w:sz w:val="24"/>
          <w:szCs w:val="24"/>
          <w:lang w:val="sr-Cyrl-CS"/>
        </w:rPr>
        <w:t>а</w:t>
      </w:r>
      <w:r w:rsidR="00F15793">
        <w:rPr>
          <w:rFonts w:ascii="Times New Roman" w:hAnsi="Times New Roman"/>
          <w:sz w:val="24"/>
          <w:szCs w:val="24"/>
          <w:lang w:val="sr-Cyrl-CS"/>
        </w:rPr>
        <w:t xml:space="preserve"> јавном влашћу</w:t>
      </w:r>
      <w:r>
        <w:rPr>
          <w:rFonts w:ascii="Times New Roman" w:hAnsi="Times New Roman"/>
          <w:sz w:val="24"/>
          <w:szCs w:val="24"/>
          <w:lang w:val="sr-Cyrl-CS"/>
        </w:rPr>
        <w:t>,</w:t>
      </w:r>
      <w:r w:rsidR="00F15793">
        <w:rPr>
          <w:rFonts w:ascii="Times New Roman" w:hAnsi="Times New Roman"/>
          <w:sz w:val="24"/>
          <w:szCs w:val="24"/>
          <w:lang w:val="sr-Cyrl-CS"/>
        </w:rPr>
        <w:t xml:space="preserve"> неупоредиво чешће упућена на д</w:t>
      </w:r>
      <w:r>
        <w:rPr>
          <w:rFonts w:ascii="Times New Roman" w:hAnsi="Times New Roman"/>
          <w:sz w:val="24"/>
          <w:szCs w:val="24"/>
          <w:lang w:val="sr-Cyrl-CS"/>
        </w:rPr>
        <w:t>ржавну управу него на правосуђе</w:t>
      </w:r>
      <w:r w:rsidR="00F15793">
        <w:rPr>
          <w:rFonts w:ascii="Times New Roman" w:hAnsi="Times New Roman"/>
          <w:sz w:val="24"/>
          <w:szCs w:val="24"/>
          <w:lang w:val="sr-Cyrl-CS"/>
        </w:rPr>
        <w:t xml:space="preserve">. То је један од </w:t>
      </w:r>
      <w:r>
        <w:rPr>
          <w:rFonts w:ascii="Times New Roman" w:hAnsi="Times New Roman"/>
          <w:sz w:val="24"/>
          <w:szCs w:val="24"/>
          <w:lang w:val="sr-Cyrl-CS"/>
        </w:rPr>
        <w:t xml:space="preserve">разлога због чега је </w:t>
      </w:r>
      <w:r w:rsidR="00F15793">
        <w:rPr>
          <w:rFonts w:ascii="Times New Roman" w:hAnsi="Times New Roman"/>
          <w:sz w:val="24"/>
          <w:szCs w:val="24"/>
          <w:lang w:val="sr-Cyrl-CS"/>
        </w:rPr>
        <w:t>право на добро правосуђе (</w:t>
      </w:r>
      <w:r w:rsidR="00FA1F30">
        <w:rPr>
          <w:rFonts w:ascii="Times New Roman" w:hAnsi="Times New Roman"/>
          <w:sz w:val="24"/>
          <w:szCs w:val="24"/>
          <w:lang w:val="sr-Cyrl-CS"/>
        </w:rPr>
        <w:t>пре свега</w:t>
      </w:r>
      <w:r w:rsidR="00F15793">
        <w:rPr>
          <w:rFonts w:ascii="Times New Roman" w:hAnsi="Times New Roman"/>
          <w:sz w:val="24"/>
          <w:szCs w:val="24"/>
          <w:lang w:val="sr-Cyrl-CS"/>
        </w:rPr>
        <w:t xml:space="preserve"> путем права на поштено суђење) нашло своје место у међународним кодификацијама и уставним текстовима знатно пре права на добру управу.</w:t>
      </w:r>
      <w:r w:rsidR="00F15793">
        <w:rPr>
          <w:rStyle w:val="FootnoteReference"/>
          <w:rFonts w:ascii="Times New Roman" w:hAnsi="Times New Roman"/>
          <w:sz w:val="24"/>
          <w:szCs w:val="24"/>
          <w:lang w:val="sr-Cyrl-CS"/>
        </w:rPr>
        <w:footnoteReference w:id="866"/>
      </w:r>
    </w:p>
    <w:p w:rsidR="001F5E37" w:rsidRDefault="002758B1" w:rsidP="001F5E37">
      <w:pPr>
        <w:ind w:firstLine="708"/>
        <w:jc w:val="both"/>
        <w:rPr>
          <w:rFonts w:ascii="Times New Roman" w:hAnsi="Times New Roman"/>
          <w:sz w:val="24"/>
          <w:szCs w:val="24"/>
          <w:lang w:val="sr-Cyrl-CS"/>
        </w:rPr>
      </w:pPr>
      <w:r>
        <w:rPr>
          <w:rFonts w:ascii="Times New Roman" w:hAnsi="Times New Roman"/>
          <w:sz w:val="24"/>
          <w:szCs w:val="24"/>
          <w:lang w:val="sr-Cyrl-CS"/>
        </w:rPr>
        <w:t xml:space="preserve">Имајући у виду степен привредног криминала и корупције у нашој земљи </w:t>
      </w:r>
      <w:r w:rsidR="00F074B2">
        <w:rPr>
          <w:rFonts w:ascii="Times New Roman" w:hAnsi="Times New Roman"/>
          <w:sz w:val="24"/>
          <w:szCs w:val="24"/>
          <w:lang w:val="sr-Cyrl-CS"/>
        </w:rPr>
        <w:t>тужилаштво и судови, као и полиција, имају значајну улогу у њиховом откривању и сузбијању. Ова улога се огледа у откривању, гоњењу и пресуђењу кривичних дела са елем</w:t>
      </w:r>
      <w:r w:rsidR="004243A1">
        <w:rPr>
          <w:rFonts w:ascii="Times New Roman" w:hAnsi="Times New Roman"/>
          <w:sz w:val="24"/>
          <w:szCs w:val="24"/>
          <w:lang w:val="sr-Cyrl-CS"/>
        </w:rPr>
        <w:t>е</w:t>
      </w:r>
      <w:r w:rsidR="00F074B2">
        <w:rPr>
          <w:rFonts w:ascii="Times New Roman" w:hAnsi="Times New Roman"/>
          <w:sz w:val="24"/>
          <w:szCs w:val="24"/>
          <w:lang w:val="sr-Cyrl-CS"/>
        </w:rPr>
        <w:t xml:space="preserve">нтима привредног криминала и корупције, дакле када су се ова дела већ десила. </w:t>
      </w:r>
    </w:p>
    <w:p w:rsidR="001F5E37" w:rsidRDefault="00671801" w:rsidP="00CD2A14">
      <w:pPr>
        <w:ind w:firstLine="708"/>
        <w:jc w:val="both"/>
        <w:rPr>
          <w:rFonts w:ascii="Times New Roman" w:hAnsi="Times New Roman"/>
          <w:sz w:val="24"/>
          <w:szCs w:val="24"/>
          <w:lang w:val="sr-Cyrl-CS"/>
        </w:rPr>
      </w:pPr>
      <w:r>
        <w:rPr>
          <w:rFonts w:ascii="Times New Roman" w:hAnsi="Times New Roman"/>
          <w:sz w:val="24"/>
          <w:szCs w:val="24"/>
          <w:lang w:val="sr-Cyrl-CS"/>
        </w:rPr>
        <w:t>Наиме, улога кривичног суда у области привредног криминалитета огледа се, као и иначе, у функцији вођења кривичног поступка и кривичног санкционисања лица за која се докаже да су учинила кривична дела. Након окончања кривичног поступка, п</w:t>
      </w:r>
      <w:r w:rsidR="001F5E37">
        <w:rPr>
          <w:rFonts w:ascii="Times New Roman" w:hAnsi="Times New Roman"/>
          <w:sz w:val="24"/>
          <w:szCs w:val="24"/>
          <w:lang w:val="sr-Cyrl-CS"/>
        </w:rPr>
        <w:t>рименом репресивних мера, а касније посредством институција за извршење кривичних санкција, изолују</w:t>
      </w:r>
      <w:r w:rsidR="00CD2A14">
        <w:rPr>
          <w:rFonts w:ascii="Times New Roman" w:hAnsi="Times New Roman"/>
          <w:sz w:val="24"/>
          <w:szCs w:val="24"/>
          <w:lang w:val="sr-Cyrl-CS"/>
        </w:rPr>
        <w:t xml:space="preserve"> </w:t>
      </w:r>
      <w:r>
        <w:rPr>
          <w:rFonts w:ascii="Times New Roman" w:hAnsi="Times New Roman"/>
          <w:sz w:val="24"/>
          <w:szCs w:val="24"/>
          <w:lang w:val="sr-Cyrl-CS"/>
        </w:rPr>
        <w:t xml:space="preserve">се </w:t>
      </w:r>
      <w:r w:rsidR="001F5E37">
        <w:rPr>
          <w:rFonts w:ascii="Times New Roman" w:hAnsi="Times New Roman"/>
          <w:sz w:val="24"/>
          <w:szCs w:val="24"/>
          <w:lang w:val="sr-Cyrl-CS"/>
        </w:rPr>
        <w:t xml:space="preserve">за </w:t>
      </w:r>
      <w:r>
        <w:rPr>
          <w:rFonts w:ascii="Times New Roman" w:hAnsi="Times New Roman"/>
          <w:sz w:val="24"/>
          <w:szCs w:val="24"/>
          <w:lang w:val="sr-Cyrl-CS"/>
        </w:rPr>
        <w:t>одређени временски период</w:t>
      </w:r>
      <w:r w:rsidR="001F5E37">
        <w:rPr>
          <w:rFonts w:ascii="Times New Roman" w:hAnsi="Times New Roman"/>
          <w:sz w:val="24"/>
          <w:szCs w:val="24"/>
          <w:lang w:val="sr-Cyrl-CS"/>
        </w:rPr>
        <w:t xml:space="preserve"> учиниоц</w:t>
      </w:r>
      <w:r>
        <w:rPr>
          <w:rFonts w:ascii="Times New Roman" w:hAnsi="Times New Roman"/>
          <w:sz w:val="24"/>
          <w:szCs w:val="24"/>
          <w:lang w:val="sr-Cyrl-CS"/>
        </w:rPr>
        <w:t>и</w:t>
      </w:r>
      <w:r w:rsidR="00CD2A14">
        <w:rPr>
          <w:rFonts w:ascii="Times New Roman" w:hAnsi="Times New Roman"/>
          <w:sz w:val="24"/>
          <w:szCs w:val="24"/>
          <w:lang w:val="sr-Cyrl-CS"/>
        </w:rPr>
        <w:t xml:space="preserve"> </w:t>
      </w:r>
      <w:r w:rsidR="001F5E37">
        <w:rPr>
          <w:rFonts w:ascii="Times New Roman" w:hAnsi="Times New Roman"/>
          <w:sz w:val="24"/>
          <w:szCs w:val="24"/>
          <w:lang w:val="sr-Cyrl-CS"/>
        </w:rPr>
        <w:t>кривични</w:t>
      </w:r>
      <w:r>
        <w:rPr>
          <w:rFonts w:ascii="Times New Roman" w:hAnsi="Times New Roman"/>
          <w:sz w:val="24"/>
          <w:szCs w:val="24"/>
          <w:lang w:val="sr-Cyrl-CS"/>
        </w:rPr>
        <w:t>х дела привредног криминалитета</w:t>
      </w:r>
      <w:r w:rsidR="0053292E">
        <w:rPr>
          <w:rFonts w:ascii="Times New Roman" w:hAnsi="Times New Roman"/>
          <w:sz w:val="24"/>
          <w:szCs w:val="24"/>
          <w:lang w:val="sr-Cyrl-CS"/>
        </w:rPr>
        <w:t xml:space="preserve"> па се</w:t>
      </w:r>
      <w:r>
        <w:rPr>
          <w:rFonts w:ascii="Times New Roman" w:hAnsi="Times New Roman"/>
          <w:sz w:val="24"/>
          <w:szCs w:val="24"/>
          <w:lang w:val="sr-Cyrl-CS"/>
        </w:rPr>
        <w:t xml:space="preserve"> и на тај начин даје</w:t>
      </w:r>
      <w:r w:rsidR="001F5E37">
        <w:rPr>
          <w:rFonts w:ascii="Times New Roman" w:hAnsi="Times New Roman"/>
          <w:sz w:val="24"/>
          <w:szCs w:val="24"/>
          <w:lang w:val="sr-Cyrl-CS"/>
        </w:rPr>
        <w:t xml:space="preserve"> значајан допринос </w:t>
      </w:r>
      <w:r w:rsidR="001F5E37">
        <w:rPr>
          <w:rFonts w:ascii="Times New Roman" w:hAnsi="Times New Roman"/>
          <w:sz w:val="24"/>
          <w:szCs w:val="24"/>
          <w:lang w:val="sr-Cyrl-CS"/>
        </w:rPr>
        <w:lastRenderedPageBreak/>
        <w:t>ефикаснијем сузб</w:t>
      </w:r>
      <w:r>
        <w:rPr>
          <w:rFonts w:ascii="Times New Roman" w:hAnsi="Times New Roman"/>
          <w:sz w:val="24"/>
          <w:szCs w:val="24"/>
          <w:lang w:val="sr-Cyrl-CS"/>
        </w:rPr>
        <w:t>ијању ових видова криминалитета</w:t>
      </w:r>
      <w:r w:rsidR="001F5E37">
        <w:rPr>
          <w:rFonts w:ascii="Times New Roman" w:hAnsi="Times New Roman"/>
          <w:sz w:val="24"/>
          <w:szCs w:val="24"/>
          <w:lang w:val="sr-Cyrl-CS"/>
        </w:rPr>
        <w:t>.</w:t>
      </w:r>
      <w:r w:rsidR="00CD2A14">
        <w:rPr>
          <w:rStyle w:val="FootnoteReference"/>
          <w:rFonts w:ascii="Times New Roman" w:hAnsi="Times New Roman"/>
          <w:sz w:val="24"/>
          <w:szCs w:val="24"/>
          <w:lang w:val="sr-Cyrl-CS"/>
        </w:rPr>
        <w:footnoteReference w:id="867"/>
      </w:r>
      <w:r w:rsidR="001F5E37">
        <w:rPr>
          <w:rFonts w:ascii="Times New Roman" w:hAnsi="Times New Roman"/>
          <w:sz w:val="24"/>
          <w:szCs w:val="24"/>
          <w:lang w:val="sr-Cyrl-CS"/>
        </w:rPr>
        <w:t xml:space="preserve"> Међутим, ова </w:t>
      </w:r>
      <w:r w:rsidR="00F074B2">
        <w:rPr>
          <w:rFonts w:ascii="Times New Roman" w:hAnsi="Times New Roman"/>
          <w:sz w:val="24"/>
          <w:szCs w:val="24"/>
          <w:lang w:val="sr-Cyrl-CS"/>
        </w:rPr>
        <w:t xml:space="preserve"> улога није само репресивна, него је и превентивна кроз одвр</w:t>
      </w:r>
      <w:r w:rsidR="00951374">
        <w:rPr>
          <w:rFonts w:ascii="Times New Roman" w:hAnsi="Times New Roman"/>
          <w:sz w:val="24"/>
          <w:szCs w:val="24"/>
          <w:lang w:val="sr-Cyrl-CS"/>
        </w:rPr>
        <w:t>аћање потенцијалних учиниоца ов</w:t>
      </w:r>
      <w:r w:rsidR="00F074B2">
        <w:rPr>
          <w:rFonts w:ascii="Times New Roman" w:hAnsi="Times New Roman"/>
          <w:sz w:val="24"/>
          <w:szCs w:val="24"/>
          <w:lang w:val="sr-Cyrl-CS"/>
        </w:rPr>
        <w:t xml:space="preserve">аквих кривичних дела од њиховог даљег вршења. </w:t>
      </w:r>
    </w:p>
    <w:p w:rsidR="00877BA1" w:rsidRDefault="00877BA1" w:rsidP="00877BA1">
      <w:pPr>
        <w:ind w:firstLine="708"/>
        <w:jc w:val="both"/>
        <w:rPr>
          <w:rFonts w:ascii="Times New Roman" w:hAnsi="Times New Roman"/>
          <w:sz w:val="24"/>
          <w:szCs w:val="24"/>
          <w:lang w:val="sr-Cyrl-CS"/>
        </w:rPr>
      </w:pPr>
      <w:r w:rsidRPr="0093075D">
        <w:rPr>
          <w:rFonts w:ascii="Times New Roman" w:hAnsi="Times New Roman"/>
          <w:sz w:val="24"/>
          <w:szCs w:val="24"/>
          <w:lang w:val="sr-Cyrl-CS"/>
        </w:rPr>
        <w:t xml:space="preserve">За предметну тему битно је навести да вршећи послове из своје надлежности судови имају и одређену улогу у поступку утврђивања пореза. Тако на пример, у судовима се врши овера уговора, као и доношење решења о наслеђивању, након спроведеног оставинског поступка, при чему се врши провера аутентичности података од значаја за опорезивање. </w:t>
      </w:r>
    </w:p>
    <w:p w:rsidR="00BA7223" w:rsidRPr="00BA7223" w:rsidRDefault="00BA7223" w:rsidP="00BA7223">
      <w:pPr>
        <w:ind w:firstLine="708"/>
        <w:jc w:val="both"/>
        <w:rPr>
          <w:rFonts w:ascii="Times New Roman" w:hAnsi="Times New Roman"/>
          <w:sz w:val="24"/>
          <w:szCs w:val="24"/>
          <w:lang w:val="sr-Cyrl-CS"/>
        </w:rPr>
      </w:pPr>
      <w:r w:rsidRPr="0093075D">
        <w:rPr>
          <w:rFonts w:ascii="Times New Roman" w:hAnsi="Times New Roman"/>
          <w:sz w:val="24"/>
          <w:szCs w:val="24"/>
          <w:lang w:val="sr-Cyrl-CS"/>
        </w:rPr>
        <w:t>Према чл. 1. Закона о уређењу судова,</w:t>
      </w:r>
      <w:r w:rsidRPr="0093075D">
        <w:rPr>
          <w:rStyle w:val="FootnoteReference"/>
          <w:rFonts w:ascii="Times New Roman" w:hAnsi="Times New Roman"/>
          <w:color w:val="000000"/>
          <w:sz w:val="24"/>
          <w:szCs w:val="24"/>
          <w:lang w:val="sr-Cyrl-CS"/>
        </w:rPr>
        <w:footnoteReference w:id="868"/>
      </w:r>
      <w:r w:rsidRPr="0093075D">
        <w:rPr>
          <w:rFonts w:ascii="Times New Roman" w:hAnsi="Times New Roman"/>
          <w:sz w:val="24"/>
          <w:szCs w:val="24"/>
          <w:lang w:val="sr-Cyrl-CS"/>
        </w:rPr>
        <w:t xml:space="preserve"> прописано је да су с</w:t>
      </w:r>
      <w:r w:rsidRPr="0093075D">
        <w:rPr>
          <w:rFonts w:ascii="Times New Roman" w:hAnsi="Times New Roman"/>
          <w:sz w:val="24"/>
          <w:szCs w:val="24"/>
        </w:rPr>
        <w:t>удови самостални и независни државни органи који штите слободе и права грађана, законом утврђена права и интересе правних субјеката и обезбеђују уставност и законитост.</w:t>
      </w:r>
      <w:r w:rsidRPr="0093075D">
        <w:rPr>
          <w:rFonts w:ascii="Times New Roman" w:hAnsi="Times New Roman"/>
          <w:sz w:val="24"/>
          <w:szCs w:val="24"/>
          <w:lang w:val="sr-Cyrl-CS"/>
        </w:rPr>
        <w:t xml:space="preserve"> </w:t>
      </w:r>
      <w:r w:rsidRPr="0093075D">
        <w:rPr>
          <w:rFonts w:ascii="Times New Roman" w:hAnsi="Times New Roman"/>
          <w:sz w:val="24"/>
          <w:szCs w:val="24"/>
        </w:rPr>
        <w:t>Судови суде на основу Устава, закона и других општих аката, када је то предвиђено закон</w:t>
      </w:r>
      <w:r w:rsidR="009D6120">
        <w:rPr>
          <w:rFonts w:ascii="Times New Roman" w:hAnsi="Times New Roman"/>
          <w:sz w:val="24"/>
          <w:szCs w:val="24"/>
        </w:rPr>
        <w:t>ом, општеприхваћени</w:t>
      </w:r>
      <w:r w:rsidR="009D6120">
        <w:rPr>
          <w:rFonts w:ascii="Times New Roman" w:hAnsi="Times New Roman"/>
          <w:sz w:val="24"/>
          <w:szCs w:val="24"/>
          <w:lang w:val="sr-Cyrl-CS"/>
        </w:rPr>
        <w:t>м</w:t>
      </w:r>
      <w:r w:rsidR="009D6120">
        <w:rPr>
          <w:rFonts w:ascii="Times New Roman" w:hAnsi="Times New Roman"/>
          <w:sz w:val="24"/>
          <w:szCs w:val="24"/>
        </w:rPr>
        <w:t xml:space="preserve"> правил</w:t>
      </w:r>
      <w:r w:rsidR="009D6120">
        <w:rPr>
          <w:rFonts w:ascii="Times New Roman" w:hAnsi="Times New Roman"/>
          <w:sz w:val="24"/>
          <w:szCs w:val="24"/>
          <w:lang w:val="sr-Cyrl-CS"/>
        </w:rPr>
        <w:t>има</w:t>
      </w:r>
      <w:r w:rsidR="009D6120">
        <w:rPr>
          <w:rFonts w:ascii="Times New Roman" w:hAnsi="Times New Roman"/>
          <w:sz w:val="24"/>
          <w:szCs w:val="24"/>
        </w:rPr>
        <w:t xml:space="preserve"> међународног права и потврђени</w:t>
      </w:r>
      <w:r w:rsidR="009D6120">
        <w:rPr>
          <w:rFonts w:ascii="Times New Roman" w:hAnsi="Times New Roman"/>
          <w:sz w:val="24"/>
          <w:szCs w:val="24"/>
          <w:lang w:val="sr-Cyrl-CS"/>
        </w:rPr>
        <w:t>м</w:t>
      </w:r>
      <w:r w:rsidR="009D6120">
        <w:rPr>
          <w:rFonts w:ascii="Times New Roman" w:hAnsi="Times New Roman"/>
          <w:sz w:val="24"/>
          <w:szCs w:val="24"/>
        </w:rPr>
        <w:t xml:space="preserve"> међународни</w:t>
      </w:r>
      <w:r w:rsidR="009D6120">
        <w:rPr>
          <w:rFonts w:ascii="Times New Roman" w:hAnsi="Times New Roman"/>
          <w:sz w:val="24"/>
          <w:szCs w:val="24"/>
          <w:lang w:val="sr-Cyrl-CS"/>
        </w:rPr>
        <w:t>м</w:t>
      </w:r>
      <w:r w:rsidR="009D6120">
        <w:rPr>
          <w:rFonts w:ascii="Times New Roman" w:hAnsi="Times New Roman"/>
          <w:sz w:val="24"/>
          <w:szCs w:val="24"/>
        </w:rPr>
        <w:t xml:space="preserve"> уговор</w:t>
      </w:r>
      <w:r w:rsidR="009D6120">
        <w:rPr>
          <w:rFonts w:ascii="Times New Roman" w:hAnsi="Times New Roman"/>
          <w:sz w:val="24"/>
          <w:szCs w:val="24"/>
          <w:lang w:val="sr-Cyrl-CS"/>
        </w:rPr>
        <w:t>има</w:t>
      </w:r>
      <w:r w:rsidRPr="0093075D">
        <w:rPr>
          <w:rFonts w:ascii="Times New Roman" w:hAnsi="Times New Roman"/>
          <w:sz w:val="24"/>
          <w:szCs w:val="24"/>
        </w:rPr>
        <w:t>.</w:t>
      </w:r>
    </w:p>
    <w:p w:rsidR="00BA7223" w:rsidRPr="0093075D" w:rsidRDefault="00BA7223" w:rsidP="00BA7223">
      <w:pPr>
        <w:ind w:firstLine="708"/>
        <w:jc w:val="both"/>
        <w:rPr>
          <w:rFonts w:ascii="Times New Roman" w:hAnsi="Times New Roman"/>
          <w:sz w:val="24"/>
          <w:szCs w:val="24"/>
        </w:rPr>
      </w:pPr>
      <w:r w:rsidRPr="0093075D">
        <w:rPr>
          <w:rFonts w:ascii="Times New Roman" w:hAnsi="Times New Roman"/>
          <w:sz w:val="24"/>
          <w:szCs w:val="24"/>
          <w:lang w:val="sr-Cyrl-CS"/>
        </w:rPr>
        <w:t>Основна начела о независности судства, независности и самосталности судија, сталности судијске функције која су прокламована Уставом потврђена су и одредбама Закона о уређењу судова и Закона о судијама.</w:t>
      </w:r>
    </w:p>
    <w:p w:rsidR="00BA7223" w:rsidRDefault="00BA7223" w:rsidP="00BA7223">
      <w:pPr>
        <w:ind w:firstLine="708"/>
        <w:jc w:val="both"/>
        <w:rPr>
          <w:rFonts w:ascii="Times New Roman" w:hAnsi="Times New Roman"/>
          <w:sz w:val="24"/>
          <w:szCs w:val="24"/>
          <w:lang w:val="sr-Cyrl-CS"/>
        </w:rPr>
      </w:pPr>
      <w:r w:rsidRPr="0093075D">
        <w:rPr>
          <w:rFonts w:ascii="Times New Roman" w:hAnsi="Times New Roman"/>
          <w:sz w:val="24"/>
          <w:szCs w:val="24"/>
          <w:lang w:val="sr-Cyrl-CS"/>
        </w:rPr>
        <w:t>Наиме, према Закону о судијама</w:t>
      </w:r>
      <w:r w:rsidRPr="0093075D">
        <w:rPr>
          <w:rStyle w:val="FootnoteReference"/>
          <w:rFonts w:ascii="Times New Roman" w:hAnsi="Times New Roman"/>
          <w:color w:val="000000"/>
          <w:sz w:val="24"/>
          <w:szCs w:val="24"/>
          <w:lang w:val="sr-Cyrl-CS"/>
        </w:rPr>
        <w:footnoteReference w:id="869"/>
      </w:r>
      <w:r w:rsidRPr="0093075D">
        <w:rPr>
          <w:rFonts w:ascii="Times New Roman" w:hAnsi="Times New Roman"/>
          <w:sz w:val="24"/>
          <w:szCs w:val="24"/>
          <w:lang w:val="sr-Cyrl-CS"/>
        </w:rPr>
        <w:t xml:space="preserve"> изричито се прописује независност судија у поступању и доношењу одлука. Наиме, према чл. 1. прописано је да је  с</w:t>
      </w:r>
      <w:r w:rsidRPr="0093075D">
        <w:rPr>
          <w:rFonts w:ascii="Times New Roman" w:hAnsi="Times New Roman"/>
          <w:sz w:val="24"/>
          <w:szCs w:val="24"/>
        </w:rPr>
        <w:t>удија независан у поступању и доношењу одлуке.</w:t>
      </w:r>
      <w:r>
        <w:rPr>
          <w:rFonts w:ascii="Times New Roman" w:hAnsi="Times New Roman"/>
          <w:sz w:val="24"/>
          <w:szCs w:val="24"/>
          <w:lang w:val="sr-Cyrl-CS"/>
        </w:rPr>
        <w:t xml:space="preserve"> </w:t>
      </w:r>
      <w:r w:rsidRPr="0093075D">
        <w:rPr>
          <w:rFonts w:ascii="Times New Roman" w:hAnsi="Times New Roman"/>
          <w:sz w:val="24"/>
          <w:szCs w:val="24"/>
        </w:rPr>
        <w:t>Судија суди и пресуђује на основу Устава, закона и других општих аката, потврђених међународних уговора, општеприхваћених правила међународног права.</w:t>
      </w:r>
      <w:r w:rsidRPr="0093075D">
        <w:rPr>
          <w:rFonts w:ascii="Times New Roman" w:hAnsi="Times New Roman"/>
          <w:sz w:val="24"/>
          <w:szCs w:val="24"/>
          <w:lang w:val="sr-Cyrl-CS"/>
        </w:rPr>
        <w:t xml:space="preserve"> Према чл. 3. с</w:t>
      </w:r>
      <w:r w:rsidRPr="0093075D">
        <w:rPr>
          <w:rFonts w:ascii="Times New Roman" w:hAnsi="Times New Roman"/>
          <w:sz w:val="24"/>
          <w:szCs w:val="24"/>
        </w:rPr>
        <w:t>удија је дужан да у свакој прилици одржи поверење у своју независност и непристрасност.</w:t>
      </w:r>
      <w:r w:rsidRPr="0093075D">
        <w:rPr>
          <w:rFonts w:ascii="Times New Roman" w:hAnsi="Times New Roman"/>
          <w:sz w:val="24"/>
          <w:szCs w:val="24"/>
          <w:lang w:val="sr-Cyrl-CS"/>
        </w:rPr>
        <w:t xml:space="preserve"> </w:t>
      </w:r>
      <w:r w:rsidRPr="0093075D">
        <w:rPr>
          <w:rFonts w:ascii="Times New Roman" w:hAnsi="Times New Roman"/>
          <w:sz w:val="24"/>
          <w:szCs w:val="24"/>
        </w:rPr>
        <w:t>Судија је дужан да непристрасно води поступак по својој савести, у складу са властитом проценом чињеница и тумачењем права, уз обезбеђење правичног суђења и поштовање процесних права странака гарантованих Уставом, законом и међународним актима.</w:t>
      </w:r>
      <w:r w:rsidRPr="0093075D">
        <w:rPr>
          <w:rFonts w:ascii="Times New Roman" w:hAnsi="Times New Roman"/>
          <w:sz w:val="24"/>
          <w:szCs w:val="24"/>
          <w:lang w:val="sr-Cyrl-CS"/>
        </w:rPr>
        <w:t xml:space="preserve"> </w:t>
      </w:r>
      <w:r w:rsidRPr="0093075D">
        <w:rPr>
          <w:rFonts w:ascii="Times New Roman" w:hAnsi="Times New Roman"/>
          <w:sz w:val="24"/>
          <w:szCs w:val="24"/>
        </w:rPr>
        <w:t>Судије су дужне да се у свакој прилици придржавају Етичког кодекса, који доноси Високи савет судства</w:t>
      </w:r>
      <w:r w:rsidRPr="0093075D">
        <w:rPr>
          <w:rFonts w:ascii="Times New Roman" w:hAnsi="Times New Roman"/>
          <w:sz w:val="24"/>
          <w:szCs w:val="24"/>
          <w:lang w:val="sr-Cyrl-CS"/>
        </w:rPr>
        <w:t xml:space="preserve">. </w:t>
      </w:r>
      <w:r w:rsidRPr="0093075D">
        <w:rPr>
          <w:rFonts w:ascii="Times New Roman" w:hAnsi="Times New Roman"/>
          <w:sz w:val="24"/>
          <w:szCs w:val="24"/>
        </w:rPr>
        <w:t>Сви државни органи и функционери дужни су да својим поступањем и понашањем одржавају поверење у независност и непристрасност судија и судова.</w:t>
      </w:r>
    </w:p>
    <w:p w:rsidR="00BA7223" w:rsidRDefault="00BA7223" w:rsidP="00BA7223">
      <w:pPr>
        <w:ind w:firstLine="708"/>
        <w:jc w:val="both"/>
        <w:rPr>
          <w:rFonts w:ascii="Times New Roman" w:hAnsi="Times New Roman"/>
          <w:sz w:val="24"/>
          <w:szCs w:val="24"/>
          <w:lang w:val="sr-Cyrl-CS"/>
        </w:rPr>
      </w:pPr>
      <w:r w:rsidRPr="0093075D">
        <w:rPr>
          <w:rFonts w:ascii="Times New Roman" w:hAnsi="Times New Roman"/>
          <w:sz w:val="24"/>
          <w:szCs w:val="24"/>
          <w:shd w:val="clear" w:color="auto" w:fill="FFFFFF"/>
        </w:rPr>
        <w:t>Етичким кодексом</w:t>
      </w:r>
      <w:r w:rsidRPr="0093075D">
        <w:rPr>
          <w:rStyle w:val="FootnoteReference"/>
          <w:rFonts w:ascii="Times New Roman" w:hAnsi="Times New Roman"/>
          <w:color w:val="000000"/>
          <w:sz w:val="24"/>
          <w:szCs w:val="24"/>
          <w:shd w:val="clear" w:color="auto" w:fill="FFFFFF"/>
        </w:rPr>
        <w:footnoteReference w:id="870"/>
      </w:r>
      <w:r w:rsidRPr="0093075D">
        <w:rPr>
          <w:rFonts w:ascii="Times New Roman" w:hAnsi="Times New Roman"/>
          <w:sz w:val="24"/>
          <w:szCs w:val="24"/>
          <w:shd w:val="clear" w:color="auto" w:fill="FFFFFF"/>
        </w:rPr>
        <w:t xml:space="preserve"> утврђују се етички принципи и правила понашања судија којих се морају придржавати у циљу очувања и унапређења достојанства и угледа судије и судства. Судија је дужан да ван суда, у својим личним односима са припадницима правне професије, избегава ситуације које би оправдано могле да изазову сумњу у његову непристрасност.</w:t>
      </w:r>
      <w:r w:rsidRPr="0093075D">
        <w:rPr>
          <w:rFonts w:ascii="Times New Roman" w:hAnsi="Times New Roman"/>
          <w:sz w:val="24"/>
          <w:szCs w:val="24"/>
          <w:lang w:val="sr-Cyrl-CS"/>
        </w:rPr>
        <w:t xml:space="preserve"> Повреда начела непристрасности и независности представља дисциплински прекршај.</w:t>
      </w:r>
      <w:r w:rsidRPr="0093075D">
        <w:rPr>
          <w:rFonts w:ascii="Times New Roman" w:hAnsi="Times New Roman"/>
          <w:sz w:val="24"/>
          <w:szCs w:val="24"/>
        </w:rPr>
        <w:t xml:space="preserve"> Судија је у вршењу судијске функције независан и потчињен само Уставу и закону.</w:t>
      </w:r>
      <w:r w:rsidRPr="0093075D">
        <w:rPr>
          <w:rFonts w:ascii="Times New Roman" w:hAnsi="Times New Roman"/>
          <w:sz w:val="24"/>
          <w:szCs w:val="24"/>
          <w:lang w:val="sr-Cyrl-CS"/>
        </w:rPr>
        <w:t xml:space="preserve"> </w:t>
      </w:r>
    </w:p>
    <w:p w:rsidR="00BA7223" w:rsidRPr="00CD2A14" w:rsidRDefault="00BA7223" w:rsidP="00CD2A14">
      <w:pPr>
        <w:ind w:firstLine="708"/>
        <w:jc w:val="both"/>
        <w:rPr>
          <w:rFonts w:ascii="Times New Roman" w:hAnsi="Times New Roman"/>
          <w:sz w:val="24"/>
          <w:szCs w:val="24"/>
        </w:rPr>
      </w:pPr>
      <w:r w:rsidRPr="0093075D">
        <w:rPr>
          <w:rFonts w:ascii="Times New Roman" w:hAnsi="Times New Roman"/>
          <w:sz w:val="24"/>
          <w:szCs w:val="24"/>
          <w:lang w:val="sr-Cyrl-CS"/>
        </w:rPr>
        <w:lastRenderedPageBreak/>
        <w:t>Дисциплински тужилац ВСС именован је у децембру 2010. године, када је изабрана и дисциплинска комисија.</w:t>
      </w:r>
      <w:r w:rsidRPr="0093075D">
        <w:rPr>
          <w:rFonts w:ascii="Times New Roman" w:hAnsi="Times New Roman"/>
          <w:sz w:val="24"/>
          <w:szCs w:val="24"/>
        </w:rPr>
        <w:t xml:space="preserve"> </w:t>
      </w:r>
      <w:r w:rsidRPr="0093075D">
        <w:rPr>
          <w:rFonts w:ascii="Times New Roman" w:hAnsi="Times New Roman"/>
          <w:sz w:val="24"/>
          <w:szCs w:val="24"/>
          <w:lang w:val="sr-Cyrl-CS"/>
        </w:rPr>
        <w:t>Закон о судијама и Правилник о дисциплинском поступку и дисциплинској одговорности судија предвиђају да било ко може да поднесе дисциплинску пријаву против судије дисциплинском тужиоцу. Тужилац разматра пријаву, одбацује је или подноси Дисциплинској комисији предлог за вођење дисциплинског поступка ако сматра да постоји основана сумња да је учињен дисциплински прекршај. Комисија може одбацити предлог или га усвојити и изрећи санкцију</w:t>
      </w:r>
      <w:r>
        <w:rPr>
          <w:rFonts w:ascii="Times New Roman" w:hAnsi="Times New Roman"/>
          <w:sz w:val="24"/>
          <w:szCs w:val="24"/>
          <w:lang w:val="sr-Cyrl-CS"/>
        </w:rPr>
        <w:t>. Ако је реч о тешком пре</w:t>
      </w:r>
      <w:r w:rsidRPr="0093075D">
        <w:rPr>
          <w:rFonts w:ascii="Times New Roman" w:hAnsi="Times New Roman"/>
          <w:sz w:val="24"/>
          <w:szCs w:val="24"/>
          <w:lang w:val="sr-Cyrl-CS"/>
        </w:rPr>
        <w:t>кршају Дисциплинска комисија може Високом савету судства предложити разрешење судије. Углавном су подносиоци таквих пријава незадовољне странке.</w:t>
      </w:r>
      <w:r>
        <w:rPr>
          <w:rFonts w:ascii="Times New Roman" w:hAnsi="Times New Roman"/>
          <w:sz w:val="24"/>
          <w:szCs w:val="24"/>
          <w:lang w:val="sr-Cyrl-CS"/>
        </w:rPr>
        <w:t xml:space="preserve"> </w:t>
      </w:r>
      <w:r w:rsidRPr="0093075D">
        <w:rPr>
          <w:rFonts w:ascii="Times New Roman" w:hAnsi="Times New Roman"/>
          <w:sz w:val="24"/>
          <w:szCs w:val="24"/>
          <w:lang w:val="sr-Cyrl-CS"/>
        </w:rPr>
        <w:t>На w</w:t>
      </w:r>
      <w:r w:rsidRPr="0093075D">
        <w:rPr>
          <w:rFonts w:ascii="Times New Roman" w:hAnsi="Times New Roman"/>
          <w:sz w:val="24"/>
          <w:szCs w:val="24"/>
        </w:rPr>
        <w:t>eb</w:t>
      </w:r>
      <w:r w:rsidRPr="0093075D">
        <w:rPr>
          <w:rFonts w:ascii="Times New Roman" w:hAnsi="Times New Roman"/>
          <w:sz w:val="24"/>
          <w:szCs w:val="24"/>
          <w:lang w:val="sr-Cyrl-CS"/>
        </w:rPr>
        <w:t xml:space="preserve"> порталу судова могуће је пратити статус свих предмета у основним и вишим судовима и у привредним судовима у Србији</w:t>
      </w:r>
      <w:r>
        <w:rPr>
          <w:rFonts w:ascii="Times New Roman" w:hAnsi="Times New Roman"/>
          <w:sz w:val="24"/>
          <w:szCs w:val="24"/>
          <w:lang w:val="sr-Cyrl-CS"/>
        </w:rPr>
        <w:t>, што је значај</w:t>
      </w:r>
      <w:r w:rsidRPr="0093075D">
        <w:rPr>
          <w:rFonts w:ascii="Times New Roman" w:hAnsi="Times New Roman"/>
          <w:sz w:val="24"/>
          <w:szCs w:val="24"/>
          <w:lang w:val="sr-Cyrl-CS"/>
        </w:rPr>
        <w:t xml:space="preserve">на превентивна мера контроле њиховог рада. </w:t>
      </w:r>
    </w:p>
    <w:p w:rsidR="00F074B2" w:rsidRPr="004243A1" w:rsidRDefault="00FA1F30" w:rsidP="004243A1">
      <w:pPr>
        <w:ind w:firstLine="708"/>
        <w:jc w:val="both"/>
        <w:rPr>
          <w:rFonts w:ascii="Times New Roman" w:hAnsi="Times New Roman"/>
          <w:sz w:val="24"/>
          <w:szCs w:val="24"/>
          <w:lang w:val="sr-Cyrl-CS"/>
        </w:rPr>
      </w:pPr>
      <w:r>
        <w:rPr>
          <w:rFonts w:ascii="Times New Roman" w:hAnsi="Times New Roman"/>
          <w:sz w:val="24"/>
          <w:szCs w:val="24"/>
          <w:lang w:val="sr-Cyrl-CS"/>
        </w:rPr>
        <w:t>Правосуђе и његова реформа има битну улогу к</w:t>
      </w:r>
      <w:r w:rsidR="00F074B2">
        <w:rPr>
          <w:rFonts w:ascii="Times New Roman" w:hAnsi="Times New Roman"/>
          <w:sz w:val="24"/>
          <w:szCs w:val="24"/>
          <w:lang w:val="sr-Cyrl-CS"/>
        </w:rPr>
        <w:t xml:space="preserve">ада се говори о условима за улазак у ЕУ и о процесу европских интеграција, </w:t>
      </w:r>
      <w:r w:rsidR="00951374">
        <w:rPr>
          <w:rFonts w:ascii="Times New Roman" w:hAnsi="Times New Roman"/>
          <w:sz w:val="24"/>
          <w:szCs w:val="24"/>
          <w:lang w:val="sr-Cyrl-CS"/>
        </w:rPr>
        <w:t>а админис</w:t>
      </w:r>
      <w:r w:rsidR="00F074B2">
        <w:rPr>
          <w:rFonts w:ascii="Times New Roman" w:hAnsi="Times New Roman"/>
          <w:sz w:val="24"/>
          <w:szCs w:val="24"/>
          <w:lang w:val="sr-Cyrl-CS"/>
        </w:rPr>
        <w:t xml:space="preserve">тративни критеријум се односи на </w:t>
      </w:r>
      <w:r w:rsidR="00F35B28">
        <w:rPr>
          <w:rFonts w:ascii="Times New Roman" w:hAnsi="Times New Roman"/>
          <w:sz w:val="24"/>
          <w:szCs w:val="24"/>
          <w:lang w:val="sr-Cyrl-CS"/>
        </w:rPr>
        <w:t>способност земље чланице да преузме целокупно примарно и секундарно законодавство Уније - acquis communautar</w:t>
      </w:r>
      <w:r w:rsidR="00F35B28">
        <w:rPr>
          <w:rFonts w:ascii="Times New Roman" w:hAnsi="Times New Roman"/>
          <w:sz w:val="24"/>
          <w:szCs w:val="24"/>
        </w:rPr>
        <w:t>i</w:t>
      </w:r>
      <w:r w:rsidR="00F35B28">
        <w:rPr>
          <w:rFonts w:ascii="Times New Roman" w:hAnsi="Times New Roman"/>
          <w:sz w:val="24"/>
          <w:szCs w:val="24"/>
          <w:lang w:val="sr-Cyrl-CS"/>
        </w:rPr>
        <w:t>e и да осигура његово једообразно тумачење, примену и ефикасно санкционисање у случају неспровођења. Јасно је</w:t>
      </w:r>
      <w:r w:rsidR="004243A1">
        <w:rPr>
          <w:rFonts w:ascii="Times New Roman" w:hAnsi="Times New Roman"/>
          <w:sz w:val="24"/>
          <w:szCs w:val="24"/>
          <w:lang w:val="sr-Cyrl-CS"/>
        </w:rPr>
        <w:t xml:space="preserve"> да </w:t>
      </w:r>
      <w:r>
        <w:rPr>
          <w:rFonts w:ascii="Times New Roman" w:hAnsi="Times New Roman"/>
          <w:sz w:val="24"/>
          <w:szCs w:val="24"/>
          <w:lang w:val="sr-Cyrl-CS"/>
        </w:rPr>
        <w:t xml:space="preserve">су </w:t>
      </w:r>
      <w:r w:rsidR="004243A1">
        <w:rPr>
          <w:rFonts w:ascii="Times New Roman" w:hAnsi="Times New Roman"/>
          <w:sz w:val="24"/>
          <w:szCs w:val="24"/>
          <w:lang w:val="sr-Cyrl-CS"/>
        </w:rPr>
        <w:t>г</w:t>
      </w:r>
      <w:r w:rsidR="00F35B28">
        <w:rPr>
          <w:rFonts w:ascii="Times New Roman" w:hAnsi="Times New Roman"/>
          <w:sz w:val="24"/>
          <w:szCs w:val="24"/>
          <w:lang w:val="sr-Cyrl-CS"/>
        </w:rPr>
        <w:t xml:space="preserve">лавни </w:t>
      </w:r>
      <w:r>
        <w:rPr>
          <w:rFonts w:ascii="Times New Roman" w:hAnsi="Times New Roman"/>
          <w:sz w:val="24"/>
          <w:szCs w:val="24"/>
          <w:lang w:val="sr-Cyrl-CS"/>
        </w:rPr>
        <w:t xml:space="preserve">носиоци </w:t>
      </w:r>
      <w:r w:rsidR="00F35B28">
        <w:rPr>
          <w:rFonts w:ascii="Times New Roman" w:hAnsi="Times New Roman"/>
          <w:sz w:val="24"/>
          <w:szCs w:val="24"/>
          <w:lang w:val="sr-Cyrl-CS"/>
        </w:rPr>
        <w:t>терет</w:t>
      </w:r>
      <w:r>
        <w:rPr>
          <w:rFonts w:ascii="Times New Roman" w:hAnsi="Times New Roman"/>
          <w:sz w:val="24"/>
          <w:szCs w:val="24"/>
          <w:lang w:val="sr-Cyrl-CS"/>
        </w:rPr>
        <w:t>а</w:t>
      </w:r>
      <w:r w:rsidR="00F35B28">
        <w:rPr>
          <w:rFonts w:ascii="Times New Roman" w:hAnsi="Times New Roman"/>
          <w:sz w:val="24"/>
          <w:szCs w:val="24"/>
          <w:lang w:val="sr-Cyrl-CS"/>
        </w:rPr>
        <w:t xml:space="preserve"> спровођења овог задатка </w:t>
      </w:r>
      <w:r>
        <w:rPr>
          <w:rFonts w:ascii="Times New Roman" w:hAnsi="Times New Roman"/>
          <w:sz w:val="24"/>
          <w:szCs w:val="24"/>
          <w:lang w:val="sr-Cyrl-CS"/>
        </w:rPr>
        <w:t>државна управа</w:t>
      </w:r>
      <w:r w:rsidR="00F35B28">
        <w:rPr>
          <w:rFonts w:ascii="Times New Roman" w:hAnsi="Times New Roman"/>
          <w:sz w:val="24"/>
          <w:szCs w:val="24"/>
          <w:lang w:val="sr-Cyrl-CS"/>
        </w:rPr>
        <w:t xml:space="preserve">  и судство.</w:t>
      </w:r>
      <w:r w:rsidR="004243A1">
        <w:rPr>
          <w:rFonts w:ascii="Times New Roman" w:hAnsi="Times New Roman"/>
          <w:sz w:val="24"/>
          <w:szCs w:val="24"/>
          <w:lang w:val="sr-Cyrl-CS"/>
        </w:rPr>
        <w:t xml:space="preserve"> Јачање судства, пре свега кроз обучавање и ширење капацитета, помоћи ће да оно одигра своју улогу </w:t>
      </w:r>
      <w:r>
        <w:rPr>
          <w:rFonts w:ascii="Times New Roman" w:hAnsi="Times New Roman"/>
          <w:sz w:val="24"/>
          <w:szCs w:val="24"/>
          <w:lang w:val="sr-Cyrl-CS"/>
        </w:rPr>
        <w:t>у спровођењу правних одредби ЕУ. То ће такође</w:t>
      </w:r>
      <w:r w:rsidR="004243A1">
        <w:rPr>
          <w:rFonts w:ascii="Times New Roman" w:hAnsi="Times New Roman"/>
          <w:sz w:val="24"/>
          <w:szCs w:val="24"/>
          <w:lang w:val="sr-Cyrl-CS"/>
        </w:rPr>
        <w:t xml:space="preserve"> осигур</w:t>
      </w:r>
      <w:r>
        <w:rPr>
          <w:rFonts w:ascii="Times New Roman" w:hAnsi="Times New Roman"/>
          <w:sz w:val="24"/>
          <w:szCs w:val="24"/>
          <w:lang w:val="sr-Cyrl-CS"/>
        </w:rPr>
        <w:t>ти</w:t>
      </w:r>
      <w:r w:rsidR="004243A1">
        <w:rPr>
          <w:rFonts w:ascii="Times New Roman" w:hAnsi="Times New Roman"/>
          <w:sz w:val="24"/>
          <w:szCs w:val="24"/>
          <w:lang w:val="sr-Cyrl-CS"/>
        </w:rPr>
        <w:t xml:space="preserve"> стабилнији развој привреде и испуњење економске групе услова.</w:t>
      </w:r>
      <w:r w:rsidR="00F35B28">
        <w:rPr>
          <w:rStyle w:val="FootnoteReference"/>
          <w:rFonts w:ascii="Times New Roman" w:hAnsi="Times New Roman"/>
          <w:sz w:val="24"/>
          <w:szCs w:val="24"/>
          <w:lang w:val="sr-Cyrl-CS"/>
        </w:rPr>
        <w:footnoteReference w:id="871"/>
      </w:r>
    </w:p>
    <w:p w:rsidR="006834E5" w:rsidRDefault="004243A1" w:rsidP="00945320">
      <w:pPr>
        <w:ind w:firstLine="708"/>
        <w:jc w:val="both"/>
        <w:rPr>
          <w:rFonts w:ascii="Times New Roman" w:hAnsi="Times New Roman"/>
          <w:sz w:val="24"/>
          <w:szCs w:val="24"/>
          <w:lang w:val="sr-Cyrl-CS"/>
        </w:rPr>
      </w:pPr>
      <w:r>
        <w:rPr>
          <w:rFonts w:ascii="Times New Roman" w:hAnsi="Times New Roman"/>
          <w:sz w:val="24"/>
          <w:szCs w:val="24"/>
          <w:lang w:val="sr-Cyrl-CS"/>
        </w:rPr>
        <w:t>П</w:t>
      </w:r>
      <w:r w:rsidR="006834E5">
        <w:rPr>
          <w:rFonts w:ascii="Times New Roman" w:hAnsi="Times New Roman"/>
          <w:sz w:val="24"/>
          <w:szCs w:val="24"/>
          <w:lang w:val="sr-Cyrl-CS"/>
        </w:rPr>
        <w:t>редстојећа реформа правосуђа</w:t>
      </w:r>
      <w:r>
        <w:rPr>
          <w:rFonts w:ascii="Times New Roman" w:hAnsi="Times New Roman"/>
          <w:sz w:val="24"/>
          <w:szCs w:val="24"/>
          <w:lang w:val="sr-Cyrl-CS"/>
        </w:rPr>
        <w:t xml:space="preserve"> треба да унапреди његову ефика</w:t>
      </w:r>
      <w:r w:rsidR="006834E5">
        <w:rPr>
          <w:rFonts w:ascii="Times New Roman" w:hAnsi="Times New Roman"/>
          <w:sz w:val="24"/>
          <w:szCs w:val="24"/>
          <w:lang w:val="sr-Cyrl-CS"/>
        </w:rPr>
        <w:t xml:space="preserve">сност и самосталност, а самим тим да спречи појаву корупције, што је и предуслов </w:t>
      </w:r>
      <w:r w:rsidR="00CE72E8">
        <w:rPr>
          <w:rFonts w:ascii="Times New Roman" w:hAnsi="Times New Roman"/>
          <w:sz w:val="24"/>
          <w:szCs w:val="24"/>
          <w:lang w:val="sr-Cyrl-CS"/>
        </w:rPr>
        <w:t>за б</w:t>
      </w:r>
      <w:r>
        <w:rPr>
          <w:rFonts w:ascii="Times New Roman" w:hAnsi="Times New Roman"/>
          <w:sz w:val="24"/>
          <w:szCs w:val="24"/>
          <w:lang w:val="sr-Cyrl-CS"/>
        </w:rPr>
        <w:t>рже и ефикасније вођење поступака</w:t>
      </w:r>
      <w:r w:rsidR="00951374">
        <w:rPr>
          <w:rFonts w:ascii="Times New Roman" w:hAnsi="Times New Roman"/>
          <w:sz w:val="24"/>
          <w:szCs w:val="24"/>
          <w:lang w:val="sr-Cyrl-CS"/>
        </w:rPr>
        <w:t xml:space="preserve"> због кривичних дела прив</w:t>
      </w:r>
      <w:r w:rsidR="00CE72E8">
        <w:rPr>
          <w:rFonts w:ascii="Times New Roman" w:hAnsi="Times New Roman"/>
          <w:sz w:val="24"/>
          <w:szCs w:val="24"/>
          <w:lang w:val="sr-Cyrl-CS"/>
        </w:rPr>
        <w:t>р</w:t>
      </w:r>
      <w:r>
        <w:rPr>
          <w:rFonts w:ascii="Times New Roman" w:hAnsi="Times New Roman"/>
          <w:sz w:val="24"/>
          <w:szCs w:val="24"/>
          <w:lang w:val="sr-Cyrl-CS"/>
        </w:rPr>
        <w:t xml:space="preserve">едног криминала и корупције. </w:t>
      </w:r>
      <w:r w:rsidR="00CE72E8">
        <w:rPr>
          <w:rFonts w:ascii="Times New Roman" w:hAnsi="Times New Roman"/>
          <w:sz w:val="24"/>
          <w:szCs w:val="24"/>
          <w:lang w:val="sr-Cyrl-CS"/>
        </w:rPr>
        <w:t>Поред новог нормативног оквира (организационих закона у реформи правосуђа) битно је и стручно усавршавање носилаца правосудних функција</w:t>
      </w:r>
      <w:r>
        <w:rPr>
          <w:rFonts w:ascii="Times New Roman" w:hAnsi="Times New Roman"/>
          <w:sz w:val="24"/>
          <w:szCs w:val="24"/>
          <w:lang w:val="sr-Cyrl-CS"/>
        </w:rPr>
        <w:t>, питање материјалног статуса и ефикасног надзора над њиховим радом.</w:t>
      </w:r>
    </w:p>
    <w:p w:rsidR="007666A1" w:rsidRDefault="004A1A96" w:rsidP="00BA7223">
      <w:pPr>
        <w:jc w:val="both"/>
        <w:rPr>
          <w:rFonts w:ascii="Times New Roman" w:hAnsi="Times New Roman"/>
          <w:sz w:val="24"/>
          <w:szCs w:val="24"/>
          <w:lang w:val="sr-Cyrl-CS"/>
        </w:rPr>
      </w:pPr>
      <w:r w:rsidRPr="0093075D">
        <w:rPr>
          <w:rFonts w:ascii="Times New Roman" w:hAnsi="Times New Roman"/>
          <w:sz w:val="24"/>
          <w:szCs w:val="24"/>
          <w:lang w:val="sr-Cyrl-CS"/>
        </w:rPr>
        <w:t xml:space="preserve"> </w:t>
      </w:r>
      <w:r w:rsidRPr="0093075D">
        <w:rPr>
          <w:rFonts w:ascii="Times New Roman" w:hAnsi="Times New Roman"/>
          <w:sz w:val="24"/>
          <w:szCs w:val="24"/>
          <w:lang w:val="sr-Cyrl-CS"/>
        </w:rPr>
        <w:tab/>
        <w:t>Независно, самостално и непристрасно судство је неопходно за успешну борбу против привредног криминала и корупције, али је проблем сложенији због тога што је и само правосуђе подложно корупцији. Не постоје системске и попуно тачне анализе у којој мери је корупција заступљена у првосуђу, али свакако да је велика сумња грађана да она постоји, посебно код незадовољних странака исходима судских поступака који често неоправдано дуго трају.</w:t>
      </w:r>
    </w:p>
    <w:p w:rsidR="001E1719" w:rsidRPr="00BA7223" w:rsidRDefault="00BA7223" w:rsidP="00BA7223">
      <w:pPr>
        <w:jc w:val="both"/>
        <w:rPr>
          <w:rFonts w:ascii="Times New Roman" w:hAnsi="Times New Roman"/>
          <w:sz w:val="24"/>
          <w:szCs w:val="24"/>
          <w:lang w:val="sr-Cyrl-CS"/>
        </w:rPr>
      </w:pPr>
      <w:r>
        <w:rPr>
          <w:rFonts w:ascii="Times New Roman" w:hAnsi="Times New Roman"/>
          <w:sz w:val="24"/>
          <w:szCs w:val="24"/>
          <w:lang w:val="sr-Cyrl-CS"/>
        </w:rPr>
        <w:tab/>
        <w:t xml:space="preserve">Поред судова и тужилаштво има значајну улогу у борби против привредног криминала и корупције. </w:t>
      </w:r>
      <w:r w:rsidR="00F94182" w:rsidRPr="00BA7223">
        <w:rPr>
          <w:rFonts w:ascii="Times New Roman" w:hAnsi="Times New Roman"/>
          <w:color w:val="000000"/>
          <w:sz w:val="24"/>
          <w:szCs w:val="24"/>
          <w:lang w:val="sr-Cyrl-CS"/>
        </w:rPr>
        <w:t>Према Закону о јавном тужилаштву</w:t>
      </w:r>
      <w:r w:rsidR="00F94182" w:rsidRPr="00BA7223">
        <w:rPr>
          <w:rStyle w:val="FootnoteReference"/>
          <w:rFonts w:ascii="Times New Roman" w:hAnsi="Times New Roman"/>
          <w:color w:val="000000"/>
          <w:sz w:val="24"/>
          <w:szCs w:val="24"/>
          <w:lang w:val="sr-Cyrl-CS"/>
        </w:rPr>
        <w:footnoteReference w:id="872"/>
      </w:r>
      <w:r w:rsidR="00F94182" w:rsidRPr="00BA7223">
        <w:rPr>
          <w:rFonts w:ascii="Times New Roman" w:hAnsi="Times New Roman"/>
          <w:color w:val="000000"/>
          <w:sz w:val="24"/>
          <w:szCs w:val="24"/>
          <w:lang w:val="sr-Cyrl-CS"/>
        </w:rPr>
        <w:t xml:space="preserve"> прописано је да је ј</w:t>
      </w:r>
      <w:r w:rsidR="004C5C06" w:rsidRPr="00BA7223">
        <w:rPr>
          <w:rFonts w:ascii="Times New Roman" w:hAnsi="Times New Roman"/>
          <w:color w:val="000000"/>
          <w:sz w:val="24"/>
          <w:szCs w:val="24"/>
        </w:rPr>
        <w:t>авно</w:t>
      </w:r>
      <w:r w:rsidR="00F94182" w:rsidRPr="00BA7223">
        <w:rPr>
          <w:rFonts w:ascii="Times New Roman" w:hAnsi="Times New Roman"/>
          <w:color w:val="000000"/>
          <w:sz w:val="24"/>
          <w:szCs w:val="24"/>
        </w:rPr>
        <w:t xml:space="preserve"> </w:t>
      </w:r>
      <w:r w:rsidR="004C5C06" w:rsidRPr="00BA7223">
        <w:rPr>
          <w:rFonts w:ascii="Times New Roman" w:hAnsi="Times New Roman"/>
          <w:color w:val="000000"/>
          <w:sz w:val="24"/>
          <w:szCs w:val="24"/>
        </w:rPr>
        <w:t>тужилаштво</w:t>
      </w:r>
      <w:r w:rsidR="00F94182" w:rsidRPr="00BA7223">
        <w:rPr>
          <w:rFonts w:ascii="Times New Roman" w:hAnsi="Times New Roman"/>
          <w:color w:val="000000"/>
          <w:sz w:val="24"/>
          <w:szCs w:val="24"/>
        </w:rPr>
        <w:t xml:space="preserve"> </w:t>
      </w:r>
      <w:r w:rsidR="004C5C06" w:rsidRPr="00BA7223">
        <w:rPr>
          <w:rFonts w:ascii="Times New Roman" w:hAnsi="Times New Roman"/>
          <w:color w:val="000000"/>
          <w:sz w:val="24"/>
          <w:szCs w:val="24"/>
        </w:rPr>
        <w:t>самостални</w:t>
      </w:r>
      <w:r w:rsidR="001E1719" w:rsidRPr="00BA7223">
        <w:rPr>
          <w:rFonts w:ascii="Times New Roman" w:hAnsi="Times New Roman"/>
          <w:color w:val="000000"/>
          <w:sz w:val="24"/>
          <w:szCs w:val="24"/>
        </w:rPr>
        <w:t xml:space="preserve"> </w:t>
      </w:r>
      <w:r w:rsidR="004C5C06" w:rsidRPr="00BA7223">
        <w:rPr>
          <w:rFonts w:ascii="Times New Roman" w:hAnsi="Times New Roman"/>
          <w:color w:val="000000"/>
          <w:sz w:val="24"/>
          <w:szCs w:val="24"/>
        </w:rPr>
        <w:t>државни</w:t>
      </w:r>
      <w:r w:rsidR="001E1719" w:rsidRPr="00BA7223">
        <w:rPr>
          <w:rFonts w:ascii="Times New Roman" w:hAnsi="Times New Roman"/>
          <w:color w:val="000000"/>
          <w:sz w:val="24"/>
          <w:szCs w:val="24"/>
        </w:rPr>
        <w:t xml:space="preserve"> </w:t>
      </w:r>
      <w:r w:rsidR="004C5C06" w:rsidRPr="00BA7223">
        <w:rPr>
          <w:rFonts w:ascii="Times New Roman" w:hAnsi="Times New Roman"/>
          <w:color w:val="000000"/>
          <w:sz w:val="24"/>
          <w:szCs w:val="24"/>
        </w:rPr>
        <w:t>орган</w:t>
      </w:r>
      <w:r w:rsidR="001E1719" w:rsidRPr="00BA7223">
        <w:rPr>
          <w:rFonts w:ascii="Times New Roman" w:hAnsi="Times New Roman"/>
          <w:color w:val="000000"/>
          <w:sz w:val="24"/>
          <w:szCs w:val="24"/>
        </w:rPr>
        <w:t xml:space="preserve"> </w:t>
      </w:r>
      <w:r w:rsidR="004C5C06" w:rsidRPr="00BA7223">
        <w:rPr>
          <w:rFonts w:ascii="Times New Roman" w:hAnsi="Times New Roman"/>
          <w:color w:val="000000"/>
          <w:sz w:val="24"/>
          <w:szCs w:val="24"/>
        </w:rPr>
        <w:t>који</w:t>
      </w:r>
      <w:r w:rsidR="001E1719" w:rsidRPr="00BA7223">
        <w:rPr>
          <w:rFonts w:ascii="Times New Roman" w:hAnsi="Times New Roman"/>
          <w:color w:val="000000"/>
          <w:sz w:val="24"/>
          <w:szCs w:val="24"/>
        </w:rPr>
        <w:t xml:space="preserve"> </w:t>
      </w:r>
      <w:r w:rsidR="004C5C06" w:rsidRPr="00BA7223">
        <w:rPr>
          <w:rFonts w:ascii="Times New Roman" w:hAnsi="Times New Roman"/>
          <w:color w:val="000000"/>
          <w:sz w:val="24"/>
          <w:szCs w:val="24"/>
        </w:rPr>
        <w:t>гони</w:t>
      </w:r>
      <w:r w:rsidR="001E1719" w:rsidRPr="00BA7223">
        <w:rPr>
          <w:rFonts w:ascii="Times New Roman" w:hAnsi="Times New Roman"/>
          <w:color w:val="000000"/>
          <w:sz w:val="24"/>
          <w:szCs w:val="24"/>
        </w:rPr>
        <w:t xml:space="preserve"> </w:t>
      </w:r>
      <w:r w:rsidR="004C5C06" w:rsidRPr="00BA7223">
        <w:rPr>
          <w:rFonts w:ascii="Times New Roman" w:hAnsi="Times New Roman"/>
          <w:color w:val="000000"/>
          <w:sz w:val="24"/>
          <w:szCs w:val="24"/>
        </w:rPr>
        <w:t>учиниоце</w:t>
      </w:r>
      <w:r w:rsidR="001E1719" w:rsidRPr="00BA7223">
        <w:rPr>
          <w:rFonts w:ascii="Times New Roman" w:hAnsi="Times New Roman"/>
          <w:color w:val="000000"/>
          <w:sz w:val="24"/>
          <w:szCs w:val="24"/>
        </w:rPr>
        <w:t xml:space="preserve"> </w:t>
      </w:r>
      <w:r w:rsidR="004C5C06" w:rsidRPr="00BA7223">
        <w:rPr>
          <w:rFonts w:ascii="Times New Roman" w:hAnsi="Times New Roman"/>
          <w:color w:val="000000"/>
          <w:sz w:val="24"/>
          <w:szCs w:val="24"/>
        </w:rPr>
        <w:t>кривичних</w:t>
      </w:r>
      <w:r w:rsidR="001E1719" w:rsidRPr="00BA7223">
        <w:rPr>
          <w:rFonts w:ascii="Times New Roman" w:hAnsi="Times New Roman"/>
          <w:color w:val="000000"/>
          <w:sz w:val="24"/>
          <w:szCs w:val="24"/>
        </w:rPr>
        <w:t xml:space="preserve"> </w:t>
      </w:r>
      <w:r w:rsidR="004C5C06" w:rsidRPr="00BA7223">
        <w:rPr>
          <w:rFonts w:ascii="Times New Roman" w:hAnsi="Times New Roman"/>
          <w:color w:val="000000"/>
          <w:sz w:val="24"/>
          <w:szCs w:val="24"/>
        </w:rPr>
        <w:t>дела</w:t>
      </w:r>
      <w:r w:rsidR="001E1719" w:rsidRPr="00BA7223">
        <w:rPr>
          <w:rFonts w:ascii="Times New Roman" w:hAnsi="Times New Roman"/>
          <w:color w:val="000000"/>
          <w:sz w:val="24"/>
          <w:szCs w:val="24"/>
        </w:rPr>
        <w:t xml:space="preserve"> </w:t>
      </w:r>
      <w:r w:rsidR="004C5C06" w:rsidRPr="00BA7223">
        <w:rPr>
          <w:rFonts w:ascii="Times New Roman" w:hAnsi="Times New Roman"/>
          <w:color w:val="000000"/>
          <w:sz w:val="24"/>
          <w:szCs w:val="24"/>
        </w:rPr>
        <w:t>и</w:t>
      </w:r>
      <w:r w:rsidR="001E1719" w:rsidRPr="00BA7223">
        <w:rPr>
          <w:rFonts w:ascii="Times New Roman" w:hAnsi="Times New Roman"/>
          <w:color w:val="000000"/>
          <w:sz w:val="24"/>
          <w:szCs w:val="24"/>
        </w:rPr>
        <w:t xml:space="preserve"> </w:t>
      </w:r>
      <w:r w:rsidR="004C5C06" w:rsidRPr="00BA7223">
        <w:rPr>
          <w:rFonts w:ascii="Times New Roman" w:hAnsi="Times New Roman"/>
          <w:color w:val="000000"/>
          <w:sz w:val="24"/>
          <w:szCs w:val="24"/>
        </w:rPr>
        <w:t>других</w:t>
      </w:r>
      <w:r w:rsidR="001E1719" w:rsidRPr="00BA7223">
        <w:rPr>
          <w:rFonts w:ascii="Times New Roman" w:hAnsi="Times New Roman"/>
          <w:color w:val="000000"/>
          <w:sz w:val="24"/>
          <w:szCs w:val="24"/>
        </w:rPr>
        <w:t xml:space="preserve"> </w:t>
      </w:r>
      <w:r w:rsidR="004C5C06" w:rsidRPr="00BA7223">
        <w:rPr>
          <w:rFonts w:ascii="Times New Roman" w:hAnsi="Times New Roman"/>
          <w:color w:val="000000"/>
          <w:sz w:val="24"/>
          <w:szCs w:val="24"/>
        </w:rPr>
        <w:t>кажњивих</w:t>
      </w:r>
      <w:r w:rsidR="001E1719" w:rsidRPr="00BA7223">
        <w:rPr>
          <w:rFonts w:ascii="Times New Roman" w:hAnsi="Times New Roman"/>
          <w:color w:val="000000"/>
          <w:sz w:val="24"/>
          <w:szCs w:val="24"/>
        </w:rPr>
        <w:t xml:space="preserve"> </w:t>
      </w:r>
      <w:r w:rsidR="004C5C06" w:rsidRPr="00BA7223">
        <w:rPr>
          <w:rFonts w:ascii="Times New Roman" w:hAnsi="Times New Roman"/>
          <w:color w:val="000000"/>
          <w:sz w:val="24"/>
          <w:szCs w:val="24"/>
        </w:rPr>
        <w:t>дела</w:t>
      </w:r>
      <w:r w:rsidR="001E1719" w:rsidRPr="00BA7223">
        <w:rPr>
          <w:rFonts w:ascii="Times New Roman" w:hAnsi="Times New Roman"/>
          <w:color w:val="000000"/>
          <w:sz w:val="24"/>
          <w:szCs w:val="24"/>
        </w:rPr>
        <w:t xml:space="preserve"> </w:t>
      </w:r>
      <w:r w:rsidR="004C5C06" w:rsidRPr="00BA7223">
        <w:rPr>
          <w:rFonts w:ascii="Times New Roman" w:hAnsi="Times New Roman"/>
          <w:color w:val="000000"/>
          <w:sz w:val="24"/>
          <w:szCs w:val="24"/>
        </w:rPr>
        <w:t>и</w:t>
      </w:r>
      <w:r w:rsidR="001E1719" w:rsidRPr="00BA7223">
        <w:rPr>
          <w:rFonts w:ascii="Times New Roman" w:hAnsi="Times New Roman"/>
          <w:color w:val="000000"/>
          <w:sz w:val="24"/>
          <w:szCs w:val="24"/>
        </w:rPr>
        <w:t xml:space="preserve"> </w:t>
      </w:r>
      <w:r w:rsidR="004C5C06" w:rsidRPr="00BA7223">
        <w:rPr>
          <w:rFonts w:ascii="Times New Roman" w:hAnsi="Times New Roman"/>
          <w:color w:val="000000"/>
          <w:sz w:val="24"/>
          <w:szCs w:val="24"/>
        </w:rPr>
        <w:t>предузима</w:t>
      </w:r>
      <w:r w:rsidR="001E1719" w:rsidRPr="00BA7223">
        <w:rPr>
          <w:rFonts w:ascii="Times New Roman" w:hAnsi="Times New Roman"/>
          <w:color w:val="000000"/>
          <w:sz w:val="24"/>
          <w:szCs w:val="24"/>
        </w:rPr>
        <w:t xml:space="preserve"> </w:t>
      </w:r>
      <w:r w:rsidR="004C5C06" w:rsidRPr="00BA7223">
        <w:rPr>
          <w:rFonts w:ascii="Times New Roman" w:hAnsi="Times New Roman"/>
          <w:color w:val="000000"/>
          <w:sz w:val="24"/>
          <w:szCs w:val="24"/>
        </w:rPr>
        <w:t>мере</w:t>
      </w:r>
      <w:r w:rsidR="001E1719" w:rsidRPr="00BA7223">
        <w:rPr>
          <w:rFonts w:ascii="Times New Roman" w:hAnsi="Times New Roman"/>
          <w:color w:val="000000"/>
          <w:sz w:val="24"/>
          <w:szCs w:val="24"/>
        </w:rPr>
        <w:t xml:space="preserve"> </w:t>
      </w:r>
      <w:r w:rsidR="004C5C06" w:rsidRPr="00BA7223">
        <w:rPr>
          <w:rFonts w:ascii="Times New Roman" w:hAnsi="Times New Roman"/>
          <w:color w:val="000000"/>
          <w:sz w:val="24"/>
          <w:szCs w:val="24"/>
        </w:rPr>
        <w:t>за</w:t>
      </w:r>
      <w:r w:rsidR="001E1719" w:rsidRPr="00BA7223">
        <w:rPr>
          <w:rFonts w:ascii="Times New Roman" w:hAnsi="Times New Roman"/>
          <w:color w:val="000000"/>
          <w:sz w:val="24"/>
          <w:szCs w:val="24"/>
        </w:rPr>
        <w:t xml:space="preserve"> </w:t>
      </w:r>
      <w:r w:rsidR="004C5C06" w:rsidRPr="00BA7223">
        <w:rPr>
          <w:rFonts w:ascii="Times New Roman" w:hAnsi="Times New Roman"/>
          <w:color w:val="000000"/>
          <w:sz w:val="24"/>
          <w:szCs w:val="24"/>
        </w:rPr>
        <w:t>заштиту</w:t>
      </w:r>
      <w:r w:rsidR="001E1719" w:rsidRPr="00BA7223">
        <w:rPr>
          <w:rFonts w:ascii="Times New Roman" w:hAnsi="Times New Roman"/>
          <w:color w:val="000000"/>
          <w:sz w:val="24"/>
          <w:szCs w:val="24"/>
        </w:rPr>
        <w:t xml:space="preserve"> </w:t>
      </w:r>
      <w:r w:rsidR="004C5C06" w:rsidRPr="00BA7223">
        <w:rPr>
          <w:rFonts w:ascii="Times New Roman" w:hAnsi="Times New Roman"/>
          <w:color w:val="000000"/>
          <w:sz w:val="24"/>
          <w:szCs w:val="24"/>
        </w:rPr>
        <w:t>уставности</w:t>
      </w:r>
      <w:r w:rsidR="001E1719" w:rsidRPr="00BA7223">
        <w:rPr>
          <w:rFonts w:ascii="Times New Roman" w:hAnsi="Times New Roman"/>
          <w:color w:val="000000"/>
          <w:sz w:val="24"/>
          <w:szCs w:val="24"/>
        </w:rPr>
        <w:t xml:space="preserve"> </w:t>
      </w:r>
      <w:r w:rsidR="004C5C06" w:rsidRPr="00BA7223">
        <w:rPr>
          <w:rFonts w:ascii="Times New Roman" w:hAnsi="Times New Roman"/>
          <w:color w:val="000000"/>
          <w:sz w:val="24"/>
          <w:szCs w:val="24"/>
        </w:rPr>
        <w:t>и</w:t>
      </w:r>
      <w:r w:rsidR="001E1719" w:rsidRPr="00BA7223">
        <w:rPr>
          <w:rFonts w:ascii="Times New Roman" w:hAnsi="Times New Roman"/>
          <w:color w:val="000000"/>
          <w:sz w:val="24"/>
          <w:szCs w:val="24"/>
        </w:rPr>
        <w:t xml:space="preserve"> </w:t>
      </w:r>
      <w:r w:rsidR="004C5C06" w:rsidRPr="00BA7223">
        <w:rPr>
          <w:rFonts w:ascii="Times New Roman" w:hAnsi="Times New Roman"/>
          <w:color w:val="000000"/>
          <w:sz w:val="24"/>
          <w:szCs w:val="24"/>
        </w:rPr>
        <w:t>законитости</w:t>
      </w:r>
      <w:r w:rsidR="001E1719" w:rsidRPr="00BA7223">
        <w:rPr>
          <w:rFonts w:ascii="Times New Roman" w:hAnsi="Times New Roman"/>
          <w:color w:val="000000"/>
          <w:sz w:val="24"/>
          <w:szCs w:val="24"/>
        </w:rPr>
        <w:t>.</w:t>
      </w:r>
    </w:p>
    <w:p w:rsidR="00C5684B" w:rsidRPr="00C5684B" w:rsidRDefault="00C5684B" w:rsidP="0093075D">
      <w:pPr>
        <w:pStyle w:val="normal0"/>
        <w:shd w:val="clear" w:color="auto" w:fill="FFFFFF"/>
        <w:spacing w:before="48" w:beforeAutospacing="0" w:after="48" w:afterAutospacing="0"/>
        <w:ind w:firstLine="708"/>
        <w:jc w:val="both"/>
        <w:rPr>
          <w:color w:val="000000"/>
          <w:lang w:val="sr-Cyrl-CS"/>
        </w:rPr>
      </w:pPr>
    </w:p>
    <w:p w:rsidR="001E1719" w:rsidRPr="00CD2A14" w:rsidRDefault="004C5C06" w:rsidP="00CD2A14">
      <w:pPr>
        <w:ind w:firstLine="708"/>
        <w:jc w:val="both"/>
        <w:rPr>
          <w:rFonts w:ascii="Times New Roman" w:hAnsi="Times New Roman"/>
          <w:sz w:val="24"/>
          <w:szCs w:val="24"/>
        </w:rPr>
      </w:pPr>
      <w:r w:rsidRPr="0093075D">
        <w:rPr>
          <w:rFonts w:ascii="Times New Roman" w:hAnsi="Times New Roman"/>
          <w:sz w:val="24"/>
          <w:szCs w:val="24"/>
        </w:rPr>
        <w:t>Јавно</w:t>
      </w:r>
      <w:r w:rsidR="001E1719" w:rsidRPr="0093075D">
        <w:rPr>
          <w:rFonts w:ascii="Times New Roman" w:hAnsi="Times New Roman"/>
          <w:sz w:val="24"/>
          <w:szCs w:val="24"/>
        </w:rPr>
        <w:t xml:space="preserve"> </w:t>
      </w:r>
      <w:r w:rsidRPr="0093075D">
        <w:rPr>
          <w:rFonts w:ascii="Times New Roman" w:hAnsi="Times New Roman"/>
          <w:sz w:val="24"/>
          <w:szCs w:val="24"/>
        </w:rPr>
        <w:t>тужилаштво</w:t>
      </w:r>
      <w:r w:rsidR="001E1719" w:rsidRPr="0093075D">
        <w:rPr>
          <w:rFonts w:ascii="Times New Roman" w:hAnsi="Times New Roman"/>
          <w:sz w:val="24"/>
          <w:szCs w:val="24"/>
        </w:rPr>
        <w:t xml:space="preserve"> </w:t>
      </w:r>
      <w:r w:rsidRPr="0093075D">
        <w:rPr>
          <w:rFonts w:ascii="Times New Roman" w:hAnsi="Times New Roman"/>
          <w:sz w:val="24"/>
          <w:szCs w:val="24"/>
        </w:rPr>
        <w:t>врши</w:t>
      </w:r>
      <w:r w:rsidR="001E1719" w:rsidRPr="0093075D">
        <w:rPr>
          <w:rFonts w:ascii="Times New Roman" w:hAnsi="Times New Roman"/>
          <w:sz w:val="24"/>
          <w:szCs w:val="24"/>
        </w:rPr>
        <w:t xml:space="preserve"> </w:t>
      </w:r>
      <w:r w:rsidRPr="0093075D">
        <w:rPr>
          <w:rFonts w:ascii="Times New Roman" w:hAnsi="Times New Roman"/>
          <w:sz w:val="24"/>
          <w:szCs w:val="24"/>
        </w:rPr>
        <w:t>своју</w:t>
      </w:r>
      <w:r w:rsidR="001E1719" w:rsidRPr="0093075D">
        <w:rPr>
          <w:rFonts w:ascii="Times New Roman" w:hAnsi="Times New Roman"/>
          <w:sz w:val="24"/>
          <w:szCs w:val="24"/>
        </w:rPr>
        <w:t xml:space="preserve"> </w:t>
      </w:r>
      <w:r w:rsidRPr="0093075D">
        <w:rPr>
          <w:rFonts w:ascii="Times New Roman" w:hAnsi="Times New Roman"/>
          <w:sz w:val="24"/>
          <w:szCs w:val="24"/>
        </w:rPr>
        <w:t>функцију</w:t>
      </w:r>
      <w:r w:rsidR="001E1719" w:rsidRPr="0093075D">
        <w:rPr>
          <w:rFonts w:ascii="Times New Roman" w:hAnsi="Times New Roman"/>
          <w:sz w:val="24"/>
          <w:szCs w:val="24"/>
        </w:rPr>
        <w:t xml:space="preserve"> </w:t>
      </w:r>
      <w:r w:rsidRPr="0093075D">
        <w:rPr>
          <w:rFonts w:ascii="Times New Roman" w:hAnsi="Times New Roman"/>
          <w:sz w:val="24"/>
          <w:szCs w:val="24"/>
        </w:rPr>
        <w:t>на</w:t>
      </w:r>
      <w:r w:rsidR="001E1719" w:rsidRPr="0093075D">
        <w:rPr>
          <w:rFonts w:ascii="Times New Roman" w:hAnsi="Times New Roman"/>
          <w:sz w:val="24"/>
          <w:szCs w:val="24"/>
        </w:rPr>
        <w:t xml:space="preserve"> </w:t>
      </w:r>
      <w:r w:rsidRPr="0093075D">
        <w:rPr>
          <w:rFonts w:ascii="Times New Roman" w:hAnsi="Times New Roman"/>
          <w:sz w:val="24"/>
          <w:szCs w:val="24"/>
        </w:rPr>
        <w:t>основу</w:t>
      </w:r>
      <w:r w:rsidR="001E1719" w:rsidRPr="0093075D">
        <w:rPr>
          <w:rFonts w:ascii="Times New Roman" w:hAnsi="Times New Roman"/>
          <w:sz w:val="24"/>
          <w:szCs w:val="24"/>
        </w:rPr>
        <w:t xml:space="preserve"> </w:t>
      </w:r>
      <w:r w:rsidRPr="0093075D">
        <w:rPr>
          <w:rFonts w:ascii="Times New Roman" w:hAnsi="Times New Roman"/>
          <w:sz w:val="24"/>
          <w:szCs w:val="24"/>
        </w:rPr>
        <w:t>Устава</w:t>
      </w:r>
      <w:r w:rsidR="001E1719" w:rsidRPr="0093075D">
        <w:rPr>
          <w:rFonts w:ascii="Times New Roman" w:hAnsi="Times New Roman"/>
          <w:sz w:val="24"/>
          <w:szCs w:val="24"/>
        </w:rPr>
        <w:t xml:space="preserve">, </w:t>
      </w:r>
      <w:r w:rsidRPr="0093075D">
        <w:rPr>
          <w:rFonts w:ascii="Times New Roman" w:hAnsi="Times New Roman"/>
          <w:sz w:val="24"/>
          <w:szCs w:val="24"/>
        </w:rPr>
        <w:t>закона</w:t>
      </w:r>
      <w:r w:rsidR="001E1719" w:rsidRPr="0093075D">
        <w:rPr>
          <w:rFonts w:ascii="Times New Roman" w:hAnsi="Times New Roman"/>
          <w:sz w:val="24"/>
          <w:szCs w:val="24"/>
        </w:rPr>
        <w:t xml:space="preserve">, </w:t>
      </w:r>
      <w:r w:rsidRPr="0093075D">
        <w:rPr>
          <w:rFonts w:ascii="Times New Roman" w:hAnsi="Times New Roman"/>
          <w:sz w:val="24"/>
          <w:szCs w:val="24"/>
        </w:rPr>
        <w:t>потврђеног</w:t>
      </w:r>
      <w:r w:rsidR="001E1719" w:rsidRPr="0093075D">
        <w:rPr>
          <w:rFonts w:ascii="Times New Roman" w:hAnsi="Times New Roman"/>
          <w:sz w:val="24"/>
          <w:szCs w:val="24"/>
        </w:rPr>
        <w:t xml:space="preserve"> </w:t>
      </w:r>
      <w:r w:rsidRPr="0093075D">
        <w:rPr>
          <w:rFonts w:ascii="Times New Roman" w:hAnsi="Times New Roman"/>
          <w:sz w:val="24"/>
          <w:szCs w:val="24"/>
        </w:rPr>
        <w:t>међународног</w:t>
      </w:r>
      <w:r w:rsidR="001E1719" w:rsidRPr="0093075D">
        <w:rPr>
          <w:rFonts w:ascii="Times New Roman" w:hAnsi="Times New Roman"/>
          <w:sz w:val="24"/>
          <w:szCs w:val="24"/>
        </w:rPr>
        <w:t xml:space="preserve"> </w:t>
      </w:r>
      <w:r w:rsidRPr="0093075D">
        <w:rPr>
          <w:rFonts w:ascii="Times New Roman" w:hAnsi="Times New Roman"/>
          <w:sz w:val="24"/>
          <w:szCs w:val="24"/>
        </w:rPr>
        <w:t>уговора</w:t>
      </w:r>
      <w:r w:rsidR="001E1719" w:rsidRPr="0093075D">
        <w:rPr>
          <w:rFonts w:ascii="Times New Roman" w:hAnsi="Times New Roman"/>
          <w:sz w:val="24"/>
          <w:szCs w:val="24"/>
        </w:rPr>
        <w:t xml:space="preserve"> </w:t>
      </w:r>
      <w:r w:rsidRPr="0093075D">
        <w:rPr>
          <w:rFonts w:ascii="Times New Roman" w:hAnsi="Times New Roman"/>
          <w:sz w:val="24"/>
          <w:szCs w:val="24"/>
        </w:rPr>
        <w:t>и</w:t>
      </w:r>
      <w:r w:rsidR="001E1719" w:rsidRPr="0093075D">
        <w:rPr>
          <w:rFonts w:ascii="Times New Roman" w:hAnsi="Times New Roman"/>
          <w:sz w:val="24"/>
          <w:szCs w:val="24"/>
        </w:rPr>
        <w:t xml:space="preserve"> </w:t>
      </w:r>
      <w:r w:rsidRPr="0093075D">
        <w:rPr>
          <w:rFonts w:ascii="Times New Roman" w:hAnsi="Times New Roman"/>
          <w:sz w:val="24"/>
          <w:szCs w:val="24"/>
        </w:rPr>
        <w:t>прописа</w:t>
      </w:r>
      <w:r w:rsidR="001E1719" w:rsidRPr="0093075D">
        <w:rPr>
          <w:rFonts w:ascii="Times New Roman" w:hAnsi="Times New Roman"/>
          <w:sz w:val="24"/>
          <w:szCs w:val="24"/>
        </w:rPr>
        <w:t xml:space="preserve"> </w:t>
      </w:r>
      <w:r w:rsidRPr="0093075D">
        <w:rPr>
          <w:rFonts w:ascii="Times New Roman" w:hAnsi="Times New Roman"/>
          <w:sz w:val="24"/>
          <w:szCs w:val="24"/>
        </w:rPr>
        <w:t>донетог</w:t>
      </w:r>
      <w:r w:rsidR="001E1719" w:rsidRPr="0093075D">
        <w:rPr>
          <w:rFonts w:ascii="Times New Roman" w:hAnsi="Times New Roman"/>
          <w:sz w:val="24"/>
          <w:szCs w:val="24"/>
        </w:rPr>
        <w:t xml:space="preserve"> </w:t>
      </w:r>
      <w:r w:rsidRPr="0093075D">
        <w:rPr>
          <w:rFonts w:ascii="Times New Roman" w:hAnsi="Times New Roman"/>
          <w:sz w:val="24"/>
          <w:szCs w:val="24"/>
        </w:rPr>
        <w:t>на</w:t>
      </w:r>
      <w:r w:rsidR="001E1719" w:rsidRPr="0093075D">
        <w:rPr>
          <w:rFonts w:ascii="Times New Roman" w:hAnsi="Times New Roman"/>
          <w:sz w:val="24"/>
          <w:szCs w:val="24"/>
        </w:rPr>
        <w:t xml:space="preserve"> </w:t>
      </w:r>
      <w:r w:rsidRPr="0093075D">
        <w:rPr>
          <w:rFonts w:ascii="Times New Roman" w:hAnsi="Times New Roman"/>
          <w:sz w:val="24"/>
          <w:szCs w:val="24"/>
        </w:rPr>
        <w:t>основу</w:t>
      </w:r>
      <w:r w:rsidR="001E1719" w:rsidRPr="0093075D">
        <w:rPr>
          <w:rFonts w:ascii="Times New Roman" w:hAnsi="Times New Roman"/>
          <w:sz w:val="24"/>
          <w:szCs w:val="24"/>
        </w:rPr>
        <w:t xml:space="preserve"> </w:t>
      </w:r>
      <w:r w:rsidRPr="0093075D">
        <w:rPr>
          <w:rFonts w:ascii="Times New Roman" w:hAnsi="Times New Roman"/>
          <w:sz w:val="24"/>
          <w:szCs w:val="24"/>
        </w:rPr>
        <w:t>закона</w:t>
      </w:r>
      <w:r w:rsidR="001E1719" w:rsidRPr="0093075D">
        <w:rPr>
          <w:rFonts w:ascii="Times New Roman" w:hAnsi="Times New Roman"/>
          <w:sz w:val="24"/>
          <w:szCs w:val="24"/>
        </w:rPr>
        <w:t>.</w:t>
      </w:r>
      <w:r w:rsidR="00F94182" w:rsidRPr="0093075D">
        <w:rPr>
          <w:rFonts w:ascii="Times New Roman" w:hAnsi="Times New Roman"/>
          <w:sz w:val="24"/>
          <w:szCs w:val="24"/>
          <w:lang w:val="sr-Cyrl-CS"/>
        </w:rPr>
        <w:t xml:space="preserve">  </w:t>
      </w:r>
      <w:r w:rsidRPr="0093075D">
        <w:rPr>
          <w:rFonts w:ascii="Times New Roman" w:hAnsi="Times New Roman"/>
          <w:sz w:val="24"/>
          <w:szCs w:val="24"/>
        </w:rPr>
        <w:t>Јавни</w:t>
      </w:r>
      <w:r w:rsidR="001E1719" w:rsidRPr="0093075D">
        <w:rPr>
          <w:rFonts w:ascii="Times New Roman" w:hAnsi="Times New Roman"/>
          <w:sz w:val="24"/>
          <w:szCs w:val="24"/>
        </w:rPr>
        <w:t xml:space="preserve"> </w:t>
      </w:r>
      <w:r w:rsidRPr="0093075D">
        <w:rPr>
          <w:rFonts w:ascii="Times New Roman" w:hAnsi="Times New Roman"/>
          <w:sz w:val="24"/>
          <w:szCs w:val="24"/>
        </w:rPr>
        <w:t>тужилац</w:t>
      </w:r>
      <w:r w:rsidR="001E1719" w:rsidRPr="0093075D">
        <w:rPr>
          <w:rFonts w:ascii="Times New Roman" w:hAnsi="Times New Roman"/>
          <w:sz w:val="24"/>
          <w:szCs w:val="24"/>
        </w:rPr>
        <w:t xml:space="preserve"> </w:t>
      </w:r>
      <w:r w:rsidRPr="0093075D">
        <w:rPr>
          <w:rFonts w:ascii="Times New Roman" w:hAnsi="Times New Roman"/>
          <w:sz w:val="24"/>
          <w:szCs w:val="24"/>
        </w:rPr>
        <w:t>и</w:t>
      </w:r>
      <w:r w:rsidR="001E1719" w:rsidRPr="0093075D">
        <w:rPr>
          <w:rFonts w:ascii="Times New Roman" w:hAnsi="Times New Roman"/>
          <w:sz w:val="24"/>
          <w:szCs w:val="24"/>
        </w:rPr>
        <w:t xml:space="preserve"> </w:t>
      </w:r>
      <w:r w:rsidRPr="0093075D">
        <w:rPr>
          <w:rFonts w:ascii="Times New Roman" w:hAnsi="Times New Roman"/>
          <w:sz w:val="24"/>
          <w:szCs w:val="24"/>
        </w:rPr>
        <w:t>заменик</w:t>
      </w:r>
      <w:r w:rsidR="001E1719" w:rsidRPr="0093075D">
        <w:rPr>
          <w:rFonts w:ascii="Times New Roman" w:hAnsi="Times New Roman"/>
          <w:sz w:val="24"/>
          <w:szCs w:val="24"/>
        </w:rPr>
        <w:t xml:space="preserve"> </w:t>
      </w:r>
      <w:r w:rsidRPr="0093075D">
        <w:rPr>
          <w:rFonts w:ascii="Times New Roman" w:hAnsi="Times New Roman"/>
          <w:sz w:val="24"/>
          <w:szCs w:val="24"/>
        </w:rPr>
        <w:t>јавног</w:t>
      </w:r>
      <w:r w:rsidR="001E1719" w:rsidRPr="0093075D">
        <w:rPr>
          <w:rFonts w:ascii="Times New Roman" w:hAnsi="Times New Roman"/>
          <w:sz w:val="24"/>
          <w:szCs w:val="24"/>
        </w:rPr>
        <w:t xml:space="preserve"> </w:t>
      </w:r>
      <w:r w:rsidRPr="0093075D">
        <w:rPr>
          <w:rFonts w:ascii="Times New Roman" w:hAnsi="Times New Roman"/>
          <w:sz w:val="24"/>
          <w:szCs w:val="24"/>
        </w:rPr>
        <w:t>тужиоца</w:t>
      </w:r>
      <w:r w:rsidR="001E1719" w:rsidRPr="0093075D">
        <w:rPr>
          <w:rFonts w:ascii="Times New Roman" w:hAnsi="Times New Roman"/>
          <w:sz w:val="24"/>
          <w:szCs w:val="24"/>
        </w:rPr>
        <w:t xml:space="preserve"> </w:t>
      </w:r>
      <w:r w:rsidRPr="0093075D">
        <w:rPr>
          <w:rFonts w:ascii="Times New Roman" w:hAnsi="Times New Roman"/>
          <w:sz w:val="24"/>
          <w:szCs w:val="24"/>
        </w:rPr>
        <w:t>је</w:t>
      </w:r>
      <w:r w:rsidR="001E1719" w:rsidRPr="0093075D">
        <w:rPr>
          <w:rFonts w:ascii="Times New Roman" w:hAnsi="Times New Roman"/>
          <w:sz w:val="24"/>
          <w:szCs w:val="24"/>
        </w:rPr>
        <w:t xml:space="preserve"> </w:t>
      </w:r>
      <w:r w:rsidRPr="0093075D">
        <w:rPr>
          <w:rFonts w:ascii="Times New Roman" w:hAnsi="Times New Roman"/>
          <w:sz w:val="24"/>
          <w:szCs w:val="24"/>
        </w:rPr>
        <w:t>самосталан</w:t>
      </w:r>
      <w:r w:rsidR="001E1719" w:rsidRPr="0093075D">
        <w:rPr>
          <w:rFonts w:ascii="Times New Roman" w:hAnsi="Times New Roman"/>
          <w:sz w:val="24"/>
          <w:szCs w:val="24"/>
        </w:rPr>
        <w:t xml:space="preserve"> </w:t>
      </w:r>
      <w:r w:rsidRPr="0093075D">
        <w:rPr>
          <w:rFonts w:ascii="Times New Roman" w:hAnsi="Times New Roman"/>
          <w:sz w:val="24"/>
          <w:szCs w:val="24"/>
        </w:rPr>
        <w:t>у</w:t>
      </w:r>
      <w:r w:rsidR="001E1719" w:rsidRPr="0093075D">
        <w:rPr>
          <w:rFonts w:ascii="Times New Roman" w:hAnsi="Times New Roman"/>
          <w:sz w:val="24"/>
          <w:szCs w:val="24"/>
        </w:rPr>
        <w:t xml:space="preserve"> </w:t>
      </w:r>
      <w:r w:rsidRPr="0093075D">
        <w:rPr>
          <w:rFonts w:ascii="Times New Roman" w:hAnsi="Times New Roman"/>
          <w:sz w:val="24"/>
          <w:szCs w:val="24"/>
        </w:rPr>
        <w:t>вршењу</w:t>
      </w:r>
      <w:r w:rsidR="001E1719" w:rsidRPr="0093075D">
        <w:rPr>
          <w:rFonts w:ascii="Times New Roman" w:hAnsi="Times New Roman"/>
          <w:sz w:val="24"/>
          <w:szCs w:val="24"/>
        </w:rPr>
        <w:t xml:space="preserve"> </w:t>
      </w:r>
      <w:r w:rsidRPr="0093075D">
        <w:rPr>
          <w:rFonts w:ascii="Times New Roman" w:hAnsi="Times New Roman"/>
          <w:sz w:val="24"/>
          <w:szCs w:val="24"/>
        </w:rPr>
        <w:t>својих</w:t>
      </w:r>
      <w:r w:rsidR="001E1719" w:rsidRPr="0093075D">
        <w:rPr>
          <w:rFonts w:ascii="Times New Roman" w:hAnsi="Times New Roman"/>
          <w:sz w:val="24"/>
          <w:szCs w:val="24"/>
        </w:rPr>
        <w:t xml:space="preserve"> </w:t>
      </w:r>
      <w:r w:rsidRPr="0093075D">
        <w:rPr>
          <w:rFonts w:ascii="Times New Roman" w:hAnsi="Times New Roman"/>
          <w:sz w:val="24"/>
          <w:szCs w:val="24"/>
        </w:rPr>
        <w:t>овлашћења</w:t>
      </w:r>
      <w:r w:rsidR="001E1719" w:rsidRPr="0093075D">
        <w:rPr>
          <w:rFonts w:ascii="Times New Roman" w:hAnsi="Times New Roman"/>
          <w:sz w:val="24"/>
          <w:szCs w:val="24"/>
        </w:rPr>
        <w:t>.</w:t>
      </w:r>
      <w:r w:rsidR="00BA7223">
        <w:rPr>
          <w:rFonts w:ascii="Times New Roman" w:hAnsi="Times New Roman"/>
          <w:sz w:val="24"/>
          <w:szCs w:val="24"/>
          <w:lang w:val="sr-Cyrl-CS"/>
        </w:rPr>
        <w:t xml:space="preserve"> </w:t>
      </w:r>
      <w:r w:rsidRPr="0093075D">
        <w:rPr>
          <w:rFonts w:ascii="Times New Roman" w:hAnsi="Times New Roman"/>
          <w:sz w:val="24"/>
          <w:szCs w:val="24"/>
        </w:rPr>
        <w:t>Забрањен</w:t>
      </w:r>
      <w:r w:rsidR="001E1719" w:rsidRPr="0093075D">
        <w:rPr>
          <w:rFonts w:ascii="Times New Roman" w:hAnsi="Times New Roman"/>
          <w:sz w:val="24"/>
          <w:szCs w:val="24"/>
        </w:rPr>
        <w:t xml:space="preserve"> </w:t>
      </w:r>
      <w:r w:rsidRPr="0093075D">
        <w:rPr>
          <w:rFonts w:ascii="Times New Roman" w:hAnsi="Times New Roman"/>
          <w:sz w:val="24"/>
          <w:szCs w:val="24"/>
        </w:rPr>
        <w:t>је</w:t>
      </w:r>
      <w:r w:rsidR="001E1719" w:rsidRPr="0093075D">
        <w:rPr>
          <w:rFonts w:ascii="Times New Roman" w:hAnsi="Times New Roman"/>
          <w:sz w:val="24"/>
          <w:szCs w:val="24"/>
        </w:rPr>
        <w:t xml:space="preserve"> </w:t>
      </w:r>
      <w:r w:rsidRPr="0093075D">
        <w:rPr>
          <w:rFonts w:ascii="Times New Roman" w:hAnsi="Times New Roman"/>
          <w:sz w:val="24"/>
          <w:szCs w:val="24"/>
        </w:rPr>
        <w:t>сваки</w:t>
      </w:r>
      <w:r w:rsidR="001E1719" w:rsidRPr="0093075D">
        <w:rPr>
          <w:rFonts w:ascii="Times New Roman" w:hAnsi="Times New Roman"/>
          <w:sz w:val="24"/>
          <w:szCs w:val="24"/>
        </w:rPr>
        <w:t xml:space="preserve"> </w:t>
      </w:r>
      <w:r w:rsidRPr="0093075D">
        <w:rPr>
          <w:rFonts w:ascii="Times New Roman" w:hAnsi="Times New Roman"/>
          <w:sz w:val="24"/>
          <w:szCs w:val="24"/>
        </w:rPr>
        <w:t>утицај</w:t>
      </w:r>
      <w:r w:rsidR="001E1719" w:rsidRPr="0093075D">
        <w:rPr>
          <w:rFonts w:ascii="Times New Roman" w:hAnsi="Times New Roman"/>
          <w:sz w:val="24"/>
          <w:szCs w:val="24"/>
        </w:rPr>
        <w:t xml:space="preserve"> </w:t>
      </w:r>
      <w:r w:rsidRPr="0093075D">
        <w:rPr>
          <w:rFonts w:ascii="Times New Roman" w:hAnsi="Times New Roman"/>
          <w:sz w:val="24"/>
          <w:szCs w:val="24"/>
        </w:rPr>
        <w:t>на</w:t>
      </w:r>
      <w:r w:rsidR="001E1719" w:rsidRPr="0093075D">
        <w:rPr>
          <w:rFonts w:ascii="Times New Roman" w:hAnsi="Times New Roman"/>
          <w:sz w:val="24"/>
          <w:szCs w:val="24"/>
        </w:rPr>
        <w:t xml:space="preserve"> </w:t>
      </w:r>
      <w:r w:rsidRPr="0093075D">
        <w:rPr>
          <w:rFonts w:ascii="Times New Roman" w:hAnsi="Times New Roman"/>
          <w:sz w:val="24"/>
          <w:szCs w:val="24"/>
        </w:rPr>
        <w:t>рад</w:t>
      </w:r>
      <w:r w:rsidR="001E1719" w:rsidRPr="0093075D">
        <w:rPr>
          <w:rFonts w:ascii="Times New Roman" w:hAnsi="Times New Roman"/>
          <w:sz w:val="24"/>
          <w:szCs w:val="24"/>
        </w:rPr>
        <w:t xml:space="preserve"> </w:t>
      </w:r>
      <w:r w:rsidRPr="0093075D">
        <w:rPr>
          <w:rFonts w:ascii="Times New Roman" w:hAnsi="Times New Roman"/>
          <w:sz w:val="24"/>
          <w:szCs w:val="24"/>
        </w:rPr>
        <w:t>јавног</w:t>
      </w:r>
      <w:r w:rsidR="001E1719" w:rsidRPr="0093075D">
        <w:rPr>
          <w:rFonts w:ascii="Times New Roman" w:hAnsi="Times New Roman"/>
          <w:sz w:val="24"/>
          <w:szCs w:val="24"/>
        </w:rPr>
        <w:t xml:space="preserve"> </w:t>
      </w:r>
      <w:r w:rsidRPr="0093075D">
        <w:rPr>
          <w:rFonts w:ascii="Times New Roman" w:hAnsi="Times New Roman"/>
          <w:sz w:val="24"/>
          <w:szCs w:val="24"/>
        </w:rPr>
        <w:t>тужилаштва</w:t>
      </w:r>
      <w:r w:rsidR="001E1719" w:rsidRPr="0093075D">
        <w:rPr>
          <w:rFonts w:ascii="Times New Roman" w:hAnsi="Times New Roman"/>
          <w:sz w:val="24"/>
          <w:szCs w:val="24"/>
        </w:rPr>
        <w:t xml:space="preserve"> </w:t>
      </w:r>
      <w:r w:rsidRPr="0093075D">
        <w:rPr>
          <w:rFonts w:ascii="Times New Roman" w:hAnsi="Times New Roman"/>
          <w:sz w:val="24"/>
          <w:szCs w:val="24"/>
        </w:rPr>
        <w:t>и</w:t>
      </w:r>
      <w:r w:rsidR="001E1719" w:rsidRPr="0093075D">
        <w:rPr>
          <w:rFonts w:ascii="Times New Roman" w:hAnsi="Times New Roman"/>
          <w:sz w:val="24"/>
          <w:szCs w:val="24"/>
        </w:rPr>
        <w:t xml:space="preserve"> </w:t>
      </w:r>
      <w:r w:rsidRPr="0093075D">
        <w:rPr>
          <w:rFonts w:ascii="Times New Roman" w:hAnsi="Times New Roman"/>
          <w:sz w:val="24"/>
          <w:szCs w:val="24"/>
        </w:rPr>
        <w:t>на</w:t>
      </w:r>
      <w:r w:rsidR="001E1719" w:rsidRPr="0093075D">
        <w:rPr>
          <w:rFonts w:ascii="Times New Roman" w:hAnsi="Times New Roman"/>
          <w:sz w:val="24"/>
          <w:szCs w:val="24"/>
        </w:rPr>
        <w:t xml:space="preserve"> </w:t>
      </w:r>
      <w:r w:rsidRPr="0093075D">
        <w:rPr>
          <w:rFonts w:ascii="Times New Roman" w:hAnsi="Times New Roman"/>
          <w:sz w:val="24"/>
          <w:szCs w:val="24"/>
        </w:rPr>
        <w:t>поступање</w:t>
      </w:r>
      <w:r w:rsidR="001E1719" w:rsidRPr="0093075D">
        <w:rPr>
          <w:rFonts w:ascii="Times New Roman" w:hAnsi="Times New Roman"/>
          <w:sz w:val="24"/>
          <w:szCs w:val="24"/>
        </w:rPr>
        <w:t xml:space="preserve"> </w:t>
      </w:r>
      <w:r w:rsidRPr="0093075D">
        <w:rPr>
          <w:rFonts w:ascii="Times New Roman" w:hAnsi="Times New Roman"/>
          <w:sz w:val="24"/>
          <w:szCs w:val="24"/>
        </w:rPr>
        <w:t>у</w:t>
      </w:r>
      <w:r w:rsidR="001E1719" w:rsidRPr="0093075D">
        <w:rPr>
          <w:rFonts w:ascii="Times New Roman" w:hAnsi="Times New Roman"/>
          <w:sz w:val="24"/>
          <w:szCs w:val="24"/>
        </w:rPr>
        <w:t xml:space="preserve"> </w:t>
      </w:r>
      <w:r w:rsidRPr="0093075D">
        <w:rPr>
          <w:rFonts w:ascii="Times New Roman" w:hAnsi="Times New Roman"/>
          <w:sz w:val="24"/>
          <w:szCs w:val="24"/>
        </w:rPr>
        <w:t>предметима</w:t>
      </w:r>
      <w:r w:rsidR="001E1719" w:rsidRPr="0093075D">
        <w:rPr>
          <w:rFonts w:ascii="Times New Roman" w:hAnsi="Times New Roman"/>
          <w:sz w:val="24"/>
          <w:szCs w:val="24"/>
        </w:rPr>
        <w:t xml:space="preserve"> </w:t>
      </w:r>
      <w:r w:rsidRPr="0093075D">
        <w:rPr>
          <w:rFonts w:ascii="Times New Roman" w:hAnsi="Times New Roman"/>
          <w:sz w:val="24"/>
          <w:szCs w:val="24"/>
        </w:rPr>
        <w:t>од</w:t>
      </w:r>
      <w:r w:rsidR="001E1719" w:rsidRPr="0093075D">
        <w:rPr>
          <w:rFonts w:ascii="Times New Roman" w:hAnsi="Times New Roman"/>
          <w:sz w:val="24"/>
          <w:szCs w:val="24"/>
        </w:rPr>
        <w:t xml:space="preserve"> </w:t>
      </w:r>
      <w:r w:rsidRPr="0093075D">
        <w:rPr>
          <w:rFonts w:ascii="Times New Roman" w:hAnsi="Times New Roman"/>
          <w:sz w:val="24"/>
          <w:szCs w:val="24"/>
        </w:rPr>
        <w:t>стране</w:t>
      </w:r>
      <w:r w:rsidR="001E1719" w:rsidRPr="0093075D">
        <w:rPr>
          <w:rFonts w:ascii="Times New Roman" w:hAnsi="Times New Roman"/>
          <w:sz w:val="24"/>
          <w:szCs w:val="24"/>
        </w:rPr>
        <w:t xml:space="preserve"> </w:t>
      </w:r>
      <w:r w:rsidRPr="0093075D">
        <w:rPr>
          <w:rFonts w:ascii="Times New Roman" w:hAnsi="Times New Roman"/>
          <w:sz w:val="24"/>
          <w:szCs w:val="24"/>
        </w:rPr>
        <w:t>извршне</w:t>
      </w:r>
      <w:r w:rsidR="001E1719" w:rsidRPr="0093075D">
        <w:rPr>
          <w:rFonts w:ascii="Times New Roman" w:hAnsi="Times New Roman"/>
          <w:sz w:val="24"/>
          <w:szCs w:val="24"/>
        </w:rPr>
        <w:t xml:space="preserve"> </w:t>
      </w:r>
      <w:r w:rsidRPr="0093075D">
        <w:rPr>
          <w:rFonts w:ascii="Times New Roman" w:hAnsi="Times New Roman"/>
          <w:sz w:val="24"/>
          <w:szCs w:val="24"/>
        </w:rPr>
        <w:t>и</w:t>
      </w:r>
      <w:r w:rsidR="001E1719" w:rsidRPr="0093075D">
        <w:rPr>
          <w:rFonts w:ascii="Times New Roman" w:hAnsi="Times New Roman"/>
          <w:sz w:val="24"/>
          <w:szCs w:val="24"/>
        </w:rPr>
        <w:t xml:space="preserve"> </w:t>
      </w:r>
      <w:r w:rsidRPr="0093075D">
        <w:rPr>
          <w:rFonts w:ascii="Times New Roman" w:hAnsi="Times New Roman"/>
          <w:sz w:val="24"/>
          <w:szCs w:val="24"/>
        </w:rPr>
        <w:t>законодавне</w:t>
      </w:r>
      <w:r w:rsidR="001E1719" w:rsidRPr="0093075D">
        <w:rPr>
          <w:rFonts w:ascii="Times New Roman" w:hAnsi="Times New Roman"/>
          <w:sz w:val="24"/>
          <w:szCs w:val="24"/>
        </w:rPr>
        <w:t xml:space="preserve"> </w:t>
      </w:r>
      <w:r w:rsidRPr="0093075D">
        <w:rPr>
          <w:rFonts w:ascii="Times New Roman" w:hAnsi="Times New Roman"/>
          <w:sz w:val="24"/>
          <w:szCs w:val="24"/>
        </w:rPr>
        <w:t>власти</w:t>
      </w:r>
      <w:r w:rsidR="001E1719" w:rsidRPr="0093075D">
        <w:rPr>
          <w:rFonts w:ascii="Times New Roman" w:hAnsi="Times New Roman"/>
          <w:sz w:val="24"/>
          <w:szCs w:val="24"/>
        </w:rPr>
        <w:t xml:space="preserve">, </w:t>
      </w:r>
      <w:r w:rsidRPr="0093075D">
        <w:rPr>
          <w:rFonts w:ascii="Times New Roman" w:hAnsi="Times New Roman"/>
          <w:sz w:val="24"/>
          <w:szCs w:val="24"/>
        </w:rPr>
        <w:t>коришћењем</w:t>
      </w:r>
      <w:r w:rsidR="001E1719" w:rsidRPr="0093075D">
        <w:rPr>
          <w:rFonts w:ascii="Times New Roman" w:hAnsi="Times New Roman"/>
          <w:sz w:val="24"/>
          <w:szCs w:val="24"/>
        </w:rPr>
        <w:t xml:space="preserve"> </w:t>
      </w:r>
      <w:r w:rsidRPr="0093075D">
        <w:rPr>
          <w:rFonts w:ascii="Times New Roman" w:hAnsi="Times New Roman"/>
          <w:sz w:val="24"/>
          <w:szCs w:val="24"/>
        </w:rPr>
        <w:t>јавног</w:t>
      </w:r>
      <w:r w:rsidR="001E1719" w:rsidRPr="0093075D">
        <w:rPr>
          <w:rFonts w:ascii="Times New Roman" w:hAnsi="Times New Roman"/>
          <w:sz w:val="24"/>
          <w:szCs w:val="24"/>
        </w:rPr>
        <w:t xml:space="preserve"> </w:t>
      </w:r>
      <w:r w:rsidRPr="0093075D">
        <w:rPr>
          <w:rFonts w:ascii="Times New Roman" w:hAnsi="Times New Roman"/>
          <w:sz w:val="24"/>
          <w:szCs w:val="24"/>
        </w:rPr>
        <w:t>положаја</w:t>
      </w:r>
      <w:r w:rsidR="001E1719" w:rsidRPr="0093075D">
        <w:rPr>
          <w:rFonts w:ascii="Times New Roman" w:hAnsi="Times New Roman"/>
          <w:sz w:val="24"/>
          <w:szCs w:val="24"/>
        </w:rPr>
        <w:t xml:space="preserve">, </w:t>
      </w:r>
      <w:r w:rsidRPr="0093075D">
        <w:rPr>
          <w:rFonts w:ascii="Times New Roman" w:hAnsi="Times New Roman"/>
          <w:sz w:val="24"/>
          <w:szCs w:val="24"/>
        </w:rPr>
        <w:t>средстава</w:t>
      </w:r>
      <w:r w:rsidR="001E1719" w:rsidRPr="0093075D">
        <w:rPr>
          <w:rFonts w:ascii="Times New Roman" w:hAnsi="Times New Roman"/>
          <w:sz w:val="24"/>
          <w:szCs w:val="24"/>
        </w:rPr>
        <w:t xml:space="preserve"> </w:t>
      </w:r>
      <w:r w:rsidRPr="0093075D">
        <w:rPr>
          <w:rFonts w:ascii="Times New Roman" w:hAnsi="Times New Roman"/>
          <w:sz w:val="24"/>
          <w:szCs w:val="24"/>
        </w:rPr>
        <w:t>јавног</w:t>
      </w:r>
      <w:r w:rsidR="001E1719" w:rsidRPr="0093075D">
        <w:rPr>
          <w:rFonts w:ascii="Times New Roman" w:hAnsi="Times New Roman"/>
          <w:sz w:val="24"/>
          <w:szCs w:val="24"/>
        </w:rPr>
        <w:t xml:space="preserve"> </w:t>
      </w:r>
      <w:r w:rsidRPr="0093075D">
        <w:rPr>
          <w:rFonts w:ascii="Times New Roman" w:hAnsi="Times New Roman"/>
          <w:sz w:val="24"/>
          <w:szCs w:val="24"/>
        </w:rPr>
        <w:t>информисања</w:t>
      </w:r>
      <w:r w:rsidR="001E1719" w:rsidRPr="0093075D">
        <w:rPr>
          <w:rFonts w:ascii="Times New Roman" w:hAnsi="Times New Roman"/>
          <w:sz w:val="24"/>
          <w:szCs w:val="24"/>
        </w:rPr>
        <w:t xml:space="preserve"> </w:t>
      </w:r>
      <w:r w:rsidRPr="0093075D">
        <w:rPr>
          <w:rFonts w:ascii="Times New Roman" w:hAnsi="Times New Roman"/>
          <w:sz w:val="24"/>
          <w:szCs w:val="24"/>
        </w:rPr>
        <w:t>или</w:t>
      </w:r>
      <w:r w:rsidR="001E1719" w:rsidRPr="0093075D">
        <w:rPr>
          <w:rFonts w:ascii="Times New Roman" w:hAnsi="Times New Roman"/>
          <w:sz w:val="24"/>
          <w:szCs w:val="24"/>
        </w:rPr>
        <w:t xml:space="preserve"> </w:t>
      </w:r>
      <w:r w:rsidRPr="0093075D">
        <w:rPr>
          <w:rFonts w:ascii="Times New Roman" w:hAnsi="Times New Roman"/>
          <w:sz w:val="24"/>
          <w:szCs w:val="24"/>
        </w:rPr>
        <w:t>на</w:t>
      </w:r>
      <w:r w:rsidR="001E1719" w:rsidRPr="0093075D">
        <w:rPr>
          <w:rFonts w:ascii="Times New Roman" w:hAnsi="Times New Roman"/>
          <w:sz w:val="24"/>
          <w:szCs w:val="24"/>
        </w:rPr>
        <w:t xml:space="preserve"> </w:t>
      </w:r>
      <w:r w:rsidRPr="0093075D">
        <w:rPr>
          <w:rFonts w:ascii="Times New Roman" w:hAnsi="Times New Roman"/>
          <w:sz w:val="24"/>
          <w:szCs w:val="24"/>
        </w:rPr>
        <w:t>било</w:t>
      </w:r>
      <w:r w:rsidR="001E1719" w:rsidRPr="0093075D">
        <w:rPr>
          <w:rFonts w:ascii="Times New Roman" w:hAnsi="Times New Roman"/>
          <w:sz w:val="24"/>
          <w:szCs w:val="24"/>
        </w:rPr>
        <w:t xml:space="preserve"> </w:t>
      </w:r>
      <w:r w:rsidRPr="0093075D">
        <w:rPr>
          <w:rFonts w:ascii="Times New Roman" w:hAnsi="Times New Roman"/>
          <w:sz w:val="24"/>
          <w:szCs w:val="24"/>
        </w:rPr>
        <w:t>који</w:t>
      </w:r>
      <w:r w:rsidR="001E1719" w:rsidRPr="0093075D">
        <w:rPr>
          <w:rFonts w:ascii="Times New Roman" w:hAnsi="Times New Roman"/>
          <w:sz w:val="24"/>
          <w:szCs w:val="24"/>
        </w:rPr>
        <w:t xml:space="preserve"> </w:t>
      </w:r>
      <w:r w:rsidRPr="0093075D">
        <w:rPr>
          <w:rFonts w:ascii="Times New Roman" w:hAnsi="Times New Roman"/>
          <w:sz w:val="24"/>
          <w:szCs w:val="24"/>
        </w:rPr>
        <w:t>други</w:t>
      </w:r>
      <w:r w:rsidR="001E1719" w:rsidRPr="0093075D">
        <w:rPr>
          <w:rFonts w:ascii="Times New Roman" w:hAnsi="Times New Roman"/>
          <w:sz w:val="24"/>
          <w:szCs w:val="24"/>
        </w:rPr>
        <w:t xml:space="preserve"> </w:t>
      </w:r>
      <w:r w:rsidRPr="0093075D">
        <w:rPr>
          <w:rFonts w:ascii="Times New Roman" w:hAnsi="Times New Roman"/>
          <w:sz w:val="24"/>
          <w:szCs w:val="24"/>
        </w:rPr>
        <w:t>начин</w:t>
      </w:r>
      <w:r w:rsidR="001E1719" w:rsidRPr="0093075D">
        <w:rPr>
          <w:rFonts w:ascii="Times New Roman" w:hAnsi="Times New Roman"/>
          <w:sz w:val="24"/>
          <w:szCs w:val="24"/>
        </w:rPr>
        <w:t xml:space="preserve"> </w:t>
      </w:r>
      <w:r w:rsidRPr="0093075D">
        <w:rPr>
          <w:rFonts w:ascii="Times New Roman" w:hAnsi="Times New Roman"/>
          <w:sz w:val="24"/>
          <w:szCs w:val="24"/>
        </w:rPr>
        <w:t>којим</w:t>
      </w:r>
      <w:r w:rsidR="001E1719" w:rsidRPr="0093075D">
        <w:rPr>
          <w:rFonts w:ascii="Times New Roman" w:hAnsi="Times New Roman"/>
          <w:sz w:val="24"/>
          <w:szCs w:val="24"/>
        </w:rPr>
        <w:t xml:space="preserve"> </w:t>
      </w:r>
      <w:r w:rsidRPr="0093075D">
        <w:rPr>
          <w:rFonts w:ascii="Times New Roman" w:hAnsi="Times New Roman"/>
          <w:sz w:val="24"/>
          <w:szCs w:val="24"/>
        </w:rPr>
        <w:t>може</w:t>
      </w:r>
      <w:r w:rsidR="001E1719" w:rsidRPr="0093075D">
        <w:rPr>
          <w:rFonts w:ascii="Times New Roman" w:hAnsi="Times New Roman"/>
          <w:sz w:val="24"/>
          <w:szCs w:val="24"/>
        </w:rPr>
        <w:t xml:space="preserve"> </w:t>
      </w:r>
      <w:r w:rsidRPr="0093075D">
        <w:rPr>
          <w:rFonts w:ascii="Times New Roman" w:hAnsi="Times New Roman"/>
          <w:sz w:val="24"/>
          <w:szCs w:val="24"/>
        </w:rPr>
        <w:t>да</w:t>
      </w:r>
      <w:r w:rsidR="001E1719" w:rsidRPr="0093075D">
        <w:rPr>
          <w:rFonts w:ascii="Times New Roman" w:hAnsi="Times New Roman"/>
          <w:sz w:val="24"/>
          <w:szCs w:val="24"/>
        </w:rPr>
        <w:t xml:space="preserve"> </w:t>
      </w:r>
      <w:r w:rsidRPr="0093075D">
        <w:rPr>
          <w:rFonts w:ascii="Times New Roman" w:hAnsi="Times New Roman"/>
          <w:sz w:val="24"/>
          <w:szCs w:val="24"/>
        </w:rPr>
        <w:t>се</w:t>
      </w:r>
      <w:r w:rsidR="001E1719" w:rsidRPr="0093075D">
        <w:rPr>
          <w:rFonts w:ascii="Times New Roman" w:hAnsi="Times New Roman"/>
          <w:sz w:val="24"/>
          <w:szCs w:val="24"/>
        </w:rPr>
        <w:t xml:space="preserve"> </w:t>
      </w:r>
      <w:r w:rsidRPr="0093075D">
        <w:rPr>
          <w:rFonts w:ascii="Times New Roman" w:hAnsi="Times New Roman"/>
          <w:sz w:val="24"/>
          <w:szCs w:val="24"/>
        </w:rPr>
        <w:t>угрози</w:t>
      </w:r>
      <w:r w:rsidR="001E1719" w:rsidRPr="0093075D">
        <w:rPr>
          <w:rFonts w:ascii="Times New Roman" w:hAnsi="Times New Roman"/>
          <w:sz w:val="24"/>
          <w:szCs w:val="24"/>
        </w:rPr>
        <w:t xml:space="preserve"> </w:t>
      </w:r>
      <w:r w:rsidRPr="0093075D">
        <w:rPr>
          <w:rFonts w:ascii="Times New Roman" w:hAnsi="Times New Roman"/>
          <w:sz w:val="24"/>
          <w:szCs w:val="24"/>
        </w:rPr>
        <w:t>самосталност</w:t>
      </w:r>
      <w:r w:rsidR="001E1719" w:rsidRPr="0093075D">
        <w:rPr>
          <w:rFonts w:ascii="Times New Roman" w:hAnsi="Times New Roman"/>
          <w:sz w:val="24"/>
          <w:szCs w:val="24"/>
        </w:rPr>
        <w:t xml:space="preserve"> </w:t>
      </w:r>
      <w:r w:rsidRPr="0093075D">
        <w:rPr>
          <w:rFonts w:ascii="Times New Roman" w:hAnsi="Times New Roman"/>
          <w:sz w:val="24"/>
          <w:szCs w:val="24"/>
        </w:rPr>
        <w:t>у</w:t>
      </w:r>
      <w:r w:rsidR="001E1719" w:rsidRPr="0093075D">
        <w:rPr>
          <w:rFonts w:ascii="Times New Roman" w:hAnsi="Times New Roman"/>
          <w:sz w:val="24"/>
          <w:szCs w:val="24"/>
        </w:rPr>
        <w:t xml:space="preserve"> </w:t>
      </w:r>
      <w:r w:rsidRPr="0093075D">
        <w:rPr>
          <w:rFonts w:ascii="Times New Roman" w:hAnsi="Times New Roman"/>
          <w:sz w:val="24"/>
          <w:szCs w:val="24"/>
        </w:rPr>
        <w:t>раду</w:t>
      </w:r>
      <w:r w:rsidR="001E1719" w:rsidRPr="0093075D">
        <w:rPr>
          <w:rFonts w:ascii="Times New Roman" w:hAnsi="Times New Roman"/>
          <w:sz w:val="24"/>
          <w:szCs w:val="24"/>
        </w:rPr>
        <w:t xml:space="preserve"> </w:t>
      </w:r>
      <w:r w:rsidRPr="0093075D">
        <w:rPr>
          <w:rFonts w:ascii="Times New Roman" w:hAnsi="Times New Roman"/>
          <w:sz w:val="24"/>
          <w:szCs w:val="24"/>
        </w:rPr>
        <w:t>јавног</w:t>
      </w:r>
      <w:r w:rsidR="001E1719" w:rsidRPr="0093075D">
        <w:rPr>
          <w:rFonts w:ascii="Times New Roman" w:hAnsi="Times New Roman"/>
          <w:sz w:val="24"/>
          <w:szCs w:val="24"/>
        </w:rPr>
        <w:t xml:space="preserve"> </w:t>
      </w:r>
      <w:r w:rsidRPr="0093075D">
        <w:rPr>
          <w:rFonts w:ascii="Times New Roman" w:hAnsi="Times New Roman"/>
          <w:sz w:val="24"/>
          <w:szCs w:val="24"/>
        </w:rPr>
        <w:t>тужилаштва</w:t>
      </w:r>
      <w:r w:rsidR="001E1719" w:rsidRPr="0093075D">
        <w:rPr>
          <w:rFonts w:ascii="Times New Roman" w:hAnsi="Times New Roman"/>
          <w:sz w:val="24"/>
          <w:szCs w:val="24"/>
        </w:rPr>
        <w:t>.</w:t>
      </w:r>
      <w:r w:rsidR="00F94182" w:rsidRPr="0093075D">
        <w:rPr>
          <w:rFonts w:ascii="Times New Roman" w:hAnsi="Times New Roman"/>
          <w:sz w:val="24"/>
          <w:szCs w:val="24"/>
          <w:lang w:val="sr-Cyrl-CS"/>
        </w:rPr>
        <w:t xml:space="preserve"> </w:t>
      </w:r>
      <w:r w:rsidRPr="0093075D">
        <w:rPr>
          <w:rFonts w:ascii="Times New Roman" w:hAnsi="Times New Roman"/>
          <w:sz w:val="24"/>
          <w:szCs w:val="24"/>
        </w:rPr>
        <w:t>Јавни</w:t>
      </w:r>
      <w:r w:rsidR="001E1719" w:rsidRPr="0093075D">
        <w:rPr>
          <w:rFonts w:ascii="Times New Roman" w:hAnsi="Times New Roman"/>
          <w:sz w:val="24"/>
          <w:szCs w:val="24"/>
        </w:rPr>
        <w:t xml:space="preserve"> </w:t>
      </w:r>
      <w:r w:rsidRPr="0093075D">
        <w:rPr>
          <w:rFonts w:ascii="Times New Roman" w:hAnsi="Times New Roman"/>
          <w:sz w:val="24"/>
          <w:szCs w:val="24"/>
        </w:rPr>
        <w:t>тужилац</w:t>
      </w:r>
      <w:r w:rsidR="001E1719" w:rsidRPr="0093075D">
        <w:rPr>
          <w:rFonts w:ascii="Times New Roman" w:hAnsi="Times New Roman"/>
          <w:sz w:val="24"/>
          <w:szCs w:val="24"/>
        </w:rPr>
        <w:t xml:space="preserve"> </w:t>
      </w:r>
      <w:r w:rsidRPr="0093075D">
        <w:rPr>
          <w:rFonts w:ascii="Times New Roman" w:hAnsi="Times New Roman"/>
          <w:sz w:val="24"/>
          <w:szCs w:val="24"/>
        </w:rPr>
        <w:t>и</w:t>
      </w:r>
      <w:r w:rsidR="001E1719" w:rsidRPr="0093075D">
        <w:rPr>
          <w:rFonts w:ascii="Times New Roman" w:hAnsi="Times New Roman"/>
          <w:sz w:val="24"/>
          <w:szCs w:val="24"/>
        </w:rPr>
        <w:t xml:space="preserve"> </w:t>
      </w:r>
      <w:r w:rsidRPr="0093075D">
        <w:rPr>
          <w:rFonts w:ascii="Times New Roman" w:hAnsi="Times New Roman"/>
          <w:sz w:val="24"/>
          <w:szCs w:val="24"/>
        </w:rPr>
        <w:t>заменик</w:t>
      </w:r>
      <w:r w:rsidR="001E1719" w:rsidRPr="0093075D">
        <w:rPr>
          <w:rFonts w:ascii="Times New Roman" w:hAnsi="Times New Roman"/>
          <w:sz w:val="24"/>
          <w:szCs w:val="24"/>
        </w:rPr>
        <w:t xml:space="preserve"> </w:t>
      </w:r>
      <w:r w:rsidRPr="0093075D">
        <w:rPr>
          <w:rFonts w:ascii="Times New Roman" w:hAnsi="Times New Roman"/>
          <w:sz w:val="24"/>
          <w:szCs w:val="24"/>
        </w:rPr>
        <w:t>јавног</w:t>
      </w:r>
      <w:r w:rsidR="001E1719" w:rsidRPr="0093075D">
        <w:rPr>
          <w:rFonts w:ascii="Times New Roman" w:hAnsi="Times New Roman"/>
          <w:sz w:val="24"/>
          <w:szCs w:val="24"/>
        </w:rPr>
        <w:t xml:space="preserve"> </w:t>
      </w:r>
      <w:r w:rsidRPr="0093075D">
        <w:rPr>
          <w:rFonts w:ascii="Times New Roman" w:hAnsi="Times New Roman"/>
          <w:sz w:val="24"/>
          <w:szCs w:val="24"/>
        </w:rPr>
        <w:t>тужиоца</w:t>
      </w:r>
      <w:r w:rsidR="001E1719" w:rsidRPr="0093075D">
        <w:rPr>
          <w:rFonts w:ascii="Times New Roman" w:hAnsi="Times New Roman"/>
          <w:sz w:val="24"/>
          <w:szCs w:val="24"/>
        </w:rPr>
        <w:t xml:space="preserve"> </w:t>
      </w:r>
      <w:r w:rsidRPr="0093075D">
        <w:rPr>
          <w:rFonts w:ascii="Times New Roman" w:hAnsi="Times New Roman"/>
          <w:sz w:val="24"/>
          <w:szCs w:val="24"/>
        </w:rPr>
        <w:t>дужни</w:t>
      </w:r>
      <w:r w:rsidR="001E1719" w:rsidRPr="0093075D">
        <w:rPr>
          <w:rFonts w:ascii="Times New Roman" w:hAnsi="Times New Roman"/>
          <w:sz w:val="24"/>
          <w:szCs w:val="24"/>
        </w:rPr>
        <w:t xml:space="preserve"> </w:t>
      </w:r>
      <w:r w:rsidRPr="0093075D">
        <w:rPr>
          <w:rFonts w:ascii="Times New Roman" w:hAnsi="Times New Roman"/>
          <w:sz w:val="24"/>
          <w:szCs w:val="24"/>
        </w:rPr>
        <w:t>су</w:t>
      </w:r>
      <w:r w:rsidR="001E1719" w:rsidRPr="0093075D">
        <w:rPr>
          <w:rFonts w:ascii="Times New Roman" w:hAnsi="Times New Roman"/>
          <w:sz w:val="24"/>
          <w:szCs w:val="24"/>
        </w:rPr>
        <w:t xml:space="preserve"> </w:t>
      </w:r>
      <w:r w:rsidRPr="0093075D">
        <w:rPr>
          <w:rFonts w:ascii="Times New Roman" w:hAnsi="Times New Roman"/>
          <w:sz w:val="24"/>
          <w:szCs w:val="24"/>
        </w:rPr>
        <w:t>да</w:t>
      </w:r>
      <w:r w:rsidR="001E1719" w:rsidRPr="0093075D">
        <w:rPr>
          <w:rFonts w:ascii="Times New Roman" w:hAnsi="Times New Roman"/>
          <w:sz w:val="24"/>
          <w:szCs w:val="24"/>
        </w:rPr>
        <w:t xml:space="preserve"> </w:t>
      </w:r>
      <w:r w:rsidRPr="0093075D">
        <w:rPr>
          <w:rFonts w:ascii="Times New Roman" w:hAnsi="Times New Roman"/>
          <w:sz w:val="24"/>
          <w:szCs w:val="24"/>
        </w:rPr>
        <w:t>одбију</w:t>
      </w:r>
      <w:r w:rsidR="001E1719" w:rsidRPr="0093075D">
        <w:rPr>
          <w:rFonts w:ascii="Times New Roman" w:hAnsi="Times New Roman"/>
          <w:sz w:val="24"/>
          <w:szCs w:val="24"/>
        </w:rPr>
        <w:t xml:space="preserve"> </w:t>
      </w:r>
      <w:r w:rsidRPr="0093075D">
        <w:rPr>
          <w:rFonts w:ascii="Times New Roman" w:hAnsi="Times New Roman"/>
          <w:sz w:val="24"/>
          <w:szCs w:val="24"/>
        </w:rPr>
        <w:t>сваку</w:t>
      </w:r>
      <w:r w:rsidR="001E1719" w:rsidRPr="0093075D">
        <w:rPr>
          <w:rFonts w:ascii="Times New Roman" w:hAnsi="Times New Roman"/>
          <w:sz w:val="24"/>
          <w:szCs w:val="24"/>
        </w:rPr>
        <w:t xml:space="preserve"> </w:t>
      </w:r>
      <w:r w:rsidRPr="0093075D">
        <w:rPr>
          <w:rFonts w:ascii="Times New Roman" w:hAnsi="Times New Roman"/>
          <w:sz w:val="24"/>
          <w:szCs w:val="24"/>
        </w:rPr>
        <w:t>радњу</w:t>
      </w:r>
      <w:r w:rsidR="001E1719" w:rsidRPr="0093075D">
        <w:rPr>
          <w:rFonts w:ascii="Times New Roman" w:hAnsi="Times New Roman"/>
          <w:sz w:val="24"/>
          <w:szCs w:val="24"/>
        </w:rPr>
        <w:t xml:space="preserve"> </w:t>
      </w:r>
      <w:r w:rsidRPr="0093075D">
        <w:rPr>
          <w:rFonts w:ascii="Times New Roman" w:hAnsi="Times New Roman"/>
          <w:sz w:val="24"/>
          <w:szCs w:val="24"/>
        </w:rPr>
        <w:t>која</w:t>
      </w:r>
      <w:r w:rsidR="001E1719" w:rsidRPr="0093075D">
        <w:rPr>
          <w:rFonts w:ascii="Times New Roman" w:hAnsi="Times New Roman"/>
          <w:sz w:val="24"/>
          <w:szCs w:val="24"/>
        </w:rPr>
        <w:t xml:space="preserve"> </w:t>
      </w:r>
      <w:r w:rsidRPr="0093075D">
        <w:rPr>
          <w:rFonts w:ascii="Times New Roman" w:hAnsi="Times New Roman"/>
          <w:sz w:val="24"/>
          <w:szCs w:val="24"/>
        </w:rPr>
        <w:t>представља</w:t>
      </w:r>
      <w:r w:rsidR="001E1719" w:rsidRPr="0093075D">
        <w:rPr>
          <w:rFonts w:ascii="Times New Roman" w:hAnsi="Times New Roman"/>
          <w:sz w:val="24"/>
          <w:szCs w:val="24"/>
        </w:rPr>
        <w:t xml:space="preserve"> </w:t>
      </w:r>
      <w:r w:rsidRPr="0093075D">
        <w:rPr>
          <w:rFonts w:ascii="Times New Roman" w:hAnsi="Times New Roman"/>
          <w:sz w:val="24"/>
          <w:szCs w:val="24"/>
        </w:rPr>
        <w:t>утицај</w:t>
      </w:r>
      <w:r w:rsidR="001E1719" w:rsidRPr="0093075D">
        <w:rPr>
          <w:rFonts w:ascii="Times New Roman" w:hAnsi="Times New Roman"/>
          <w:sz w:val="24"/>
          <w:szCs w:val="24"/>
        </w:rPr>
        <w:t xml:space="preserve"> </w:t>
      </w:r>
      <w:r w:rsidRPr="0093075D">
        <w:rPr>
          <w:rFonts w:ascii="Times New Roman" w:hAnsi="Times New Roman"/>
          <w:sz w:val="24"/>
          <w:szCs w:val="24"/>
        </w:rPr>
        <w:t>на</w:t>
      </w:r>
      <w:r w:rsidR="001E1719" w:rsidRPr="0093075D">
        <w:rPr>
          <w:rFonts w:ascii="Times New Roman" w:hAnsi="Times New Roman"/>
          <w:sz w:val="24"/>
          <w:szCs w:val="24"/>
        </w:rPr>
        <w:t xml:space="preserve"> </w:t>
      </w:r>
      <w:r w:rsidRPr="0093075D">
        <w:rPr>
          <w:rFonts w:ascii="Times New Roman" w:hAnsi="Times New Roman"/>
          <w:sz w:val="24"/>
          <w:szCs w:val="24"/>
        </w:rPr>
        <w:t>самосталност</w:t>
      </w:r>
      <w:r w:rsidR="001E1719" w:rsidRPr="0093075D">
        <w:rPr>
          <w:rFonts w:ascii="Times New Roman" w:hAnsi="Times New Roman"/>
          <w:sz w:val="24"/>
          <w:szCs w:val="24"/>
        </w:rPr>
        <w:t xml:space="preserve"> </w:t>
      </w:r>
      <w:r w:rsidRPr="0093075D">
        <w:rPr>
          <w:rFonts w:ascii="Times New Roman" w:hAnsi="Times New Roman"/>
          <w:sz w:val="24"/>
          <w:szCs w:val="24"/>
        </w:rPr>
        <w:t>у</w:t>
      </w:r>
      <w:r w:rsidR="001E1719" w:rsidRPr="0093075D">
        <w:rPr>
          <w:rFonts w:ascii="Times New Roman" w:hAnsi="Times New Roman"/>
          <w:sz w:val="24"/>
          <w:szCs w:val="24"/>
        </w:rPr>
        <w:t xml:space="preserve"> </w:t>
      </w:r>
      <w:r w:rsidRPr="0093075D">
        <w:rPr>
          <w:rFonts w:ascii="Times New Roman" w:hAnsi="Times New Roman"/>
          <w:sz w:val="24"/>
          <w:szCs w:val="24"/>
        </w:rPr>
        <w:t>раду</w:t>
      </w:r>
      <w:r w:rsidR="001E1719" w:rsidRPr="0093075D">
        <w:rPr>
          <w:rFonts w:ascii="Times New Roman" w:hAnsi="Times New Roman"/>
          <w:sz w:val="24"/>
          <w:szCs w:val="24"/>
        </w:rPr>
        <w:t xml:space="preserve"> </w:t>
      </w:r>
      <w:r w:rsidRPr="0093075D">
        <w:rPr>
          <w:rFonts w:ascii="Times New Roman" w:hAnsi="Times New Roman"/>
          <w:sz w:val="24"/>
          <w:szCs w:val="24"/>
        </w:rPr>
        <w:t>јавног</w:t>
      </w:r>
      <w:r w:rsidR="001E1719" w:rsidRPr="0093075D">
        <w:rPr>
          <w:rFonts w:ascii="Times New Roman" w:hAnsi="Times New Roman"/>
          <w:sz w:val="24"/>
          <w:szCs w:val="24"/>
        </w:rPr>
        <w:t xml:space="preserve"> </w:t>
      </w:r>
      <w:r w:rsidRPr="0093075D">
        <w:rPr>
          <w:rFonts w:ascii="Times New Roman" w:hAnsi="Times New Roman"/>
          <w:sz w:val="24"/>
          <w:szCs w:val="24"/>
        </w:rPr>
        <w:t>тужилаштва</w:t>
      </w:r>
      <w:r w:rsidR="001E1719" w:rsidRPr="0093075D">
        <w:rPr>
          <w:rFonts w:ascii="Times New Roman" w:hAnsi="Times New Roman"/>
          <w:sz w:val="24"/>
          <w:szCs w:val="24"/>
        </w:rPr>
        <w:t>.</w:t>
      </w:r>
    </w:p>
    <w:p w:rsidR="0091780F" w:rsidRPr="00BA7223" w:rsidRDefault="00F94182" w:rsidP="00BA7223">
      <w:pPr>
        <w:ind w:firstLine="708"/>
        <w:jc w:val="both"/>
        <w:rPr>
          <w:rFonts w:ascii="Times New Roman" w:hAnsi="Times New Roman"/>
          <w:sz w:val="24"/>
          <w:szCs w:val="24"/>
          <w:lang w:val="sr-Cyrl-CS"/>
        </w:rPr>
      </w:pPr>
      <w:r w:rsidRPr="0093075D">
        <w:rPr>
          <w:rFonts w:ascii="Times New Roman" w:hAnsi="Times New Roman"/>
          <w:sz w:val="24"/>
          <w:szCs w:val="24"/>
          <w:lang w:val="sr-Cyrl-CS"/>
        </w:rPr>
        <w:t>Према Закону о државном већу тужилаца</w:t>
      </w:r>
      <w:r w:rsidRPr="0093075D">
        <w:rPr>
          <w:rStyle w:val="FootnoteReference"/>
          <w:rFonts w:ascii="Times New Roman" w:hAnsi="Times New Roman"/>
          <w:color w:val="000000"/>
          <w:sz w:val="24"/>
          <w:szCs w:val="24"/>
          <w:lang w:val="sr-Cyrl-CS"/>
        </w:rPr>
        <w:footnoteReference w:id="873"/>
      </w:r>
      <w:r w:rsidRPr="0093075D">
        <w:rPr>
          <w:rFonts w:ascii="Times New Roman" w:hAnsi="Times New Roman"/>
          <w:sz w:val="24"/>
          <w:szCs w:val="24"/>
          <w:lang w:val="sr-Cyrl-CS"/>
        </w:rPr>
        <w:t xml:space="preserve"> прописано је да је д</w:t>
      </w:r>
      <w:r w:rsidR="004C5C06" w:rsidRPr="0093075D">
        <w:rPr>
          <w:rFonts w:ascii="Times New Roman" w:hAnsi="Times New Roman"/>
          <w:sz w:val="24"/>
          <w:szCs w:val="24"/>
        </w:rPr>
        <w:t>ржавно</w:t>
      </w:r>
      <w:r w:rsidRPr="0093075D">
        <w:rPr>
          <w:rFonts w:ascii="Times New Roman" w:hAnsi="Times New Roman"/>
          <w:sz w:val="24"/>
          <w:szCs w:val="24"/>
        </w:rPr>
        <w:t xml:space="preserve"> </w:t>
      </w:r>
      <w:r w:rsidR="004C5C06" w:rsidRPr="0093075D">
        <w:rPr>
          <w:rFonts w:ascii="Times New Roman" w:hAnsi="Times New Roman"/>
          <w:sz w:val="24"/>
          <w:szCs w:val="24"/>
        </w:rPr>
        <w:t>веће</w:t>
      </w:r>
      <w:r w:rsidRPr="0093075D">
        <w:rPr>
          <w:rFonts w:ascii="Times New Roman" w:hAnsi="Times New Roman"/>
          <w:sz w:val="24"/>
          <w:szCs w:val="24"/>
        </w:rPr>
        <w:t xml:space="preserve"> </w:t>
      </w:r>
      <w:r w:rsidR="001E1719" w:rsidRPr="0093075D">
        <w:rPr>
          <w:rFonts w:ascii="Times New Roman" w:hAnsi="Times New Roman"/>
          <w:sz w:val="24"/>
          <w:szCs w:val="24"/>
        </w:rPr>
        <w:t xml:space="preserve"> </w:t>
      </w:r>
      <w:r w:rsidR="004C5C06" w:rsidRPr="0093075D">
        <w:rPr>
          <w:rFonts w:ascii="Times New Roman" w:hAnsi="Times New Roman"/>
          <w:sz w:val="24"/>
          <w:szCs w:val="24"/>
        </w:rPr>
        <w:t>самосталан</w:t>
      </w:r>
      <w:r w:rsidR="001E1719" w:rsidRPr="0093075D">
        <w:rPr>
          <w:rFonts w:ascii="Times New Roman" w:hAnsi="Times New Roman"/>
          <w:sz w:val="24"/>
          <w:szCs w:val="24"/>
        </w:rPr>
        <w:t xml:space="preserve"> </w:t>
      </w:r>
      <w:r w:rsidR="004C5C06" w:rsidRPr="0093075D">
        <w:rPr>
          <w:rFonts w:ascii="Times New Roman" w:hAnsi="Times New Roman"/>
          <w:sz w:val="24"/>
          <w:szCs w:val="24"/>
        </w:rPr>
        <w:t>орган</w:t>
      </w:r>
      <w:r w:rsidR="001E1719" w:rsidRPr="0093075D">
        <w:rPr>
          <w:rFonts w:ascii="Times New Roman" w:hAnsi="Times New Roman"/>
          <w:sz w:val="24"/>
          <w:szCs w:val="24"/>
        </w:rPr>
        <w:t xml:space="preserve"> </w:t>
      </w:r>
      <w:r w:rsidR="004C5C06" w:rsidRPr="0093075D">
        <w:rPr>
          <w:rFonts w:ascii="Times New Roman" w:hAnsi="Times New Roman"/>
          <w:sz w:val="24"/>
          <w:szCs w:val="24"/>
        </w:rPr>
        <w:t>који</w:t>
      </w:r>
      <w:r w:rsidR="001E1719" w:rsidRPr="0093075D">
        <w:rPr>
          <w:rFonts w:ascii="Times New Roman" w:hAnsi="Times New Roman"/>
          <w:sz w:val="24"/>
          <w:szCs w:val="24"/>
        </w:rPr>
        <w:t xml:space="preserve"> </w:t>
      </w:r>
      <w:r w:rsidR="004C5C06" w:rsidRPr="0093075D">
        <w:rPr>
          <w:rFonts w:ascii="Times New Roman" w:hAnsi="Times New Roman"/>
          <w:sz w:val="24"/>
          <w:szCs w:val="24"/>
        </w:rPr>
        <w:t>обезбеђује</w:t>
      </w:r>
      <w:r w:rsidR="001E1719" w:rsidRPr="0093075D">
        <w:rPr>
          <w:rFonts w:ascii="Times New Roman" w:hAnsi="Times New Roman"/>
          <w:sz w:val="24"/>
          <w:szCs w:val="24"/>
        </w:rPr>
        <w:t xml:space="preserve"> </w:t>
      </w:r>
      <w:r w:rsidR="004C5C06" w:rsidRPr="0093075D">
        <w:rPr>
          <w:rFonts w:ascii="Times New Roman" w:hAnsi="Times New Roman"/>
          <w:sz w:val="24"/>
          <w:szCs w:val="24"/>
        </w:rPr>
        <w:t>и</w:t>
      </w:r>
      <w:r w:rsidR="001E1719" w:rsidRPr="0093075D">
        <w:rPr>
          <w:rFonts w:ascii="Times New Roman" w:hAnsi="Times New Roman"/>
          <w:sz w:val="24"/>
          <w:szCs w:val="24"/>
        </w:rPr>
        <w:t xml:space="preserve"> </w:t>
      </w:r>
      <w:r w:rsidR="004C5C06" w:rsidRPr="0093075D">
        <w:rPr>
          <w:rFonts w:ascii="Times New Roman" w:hAnsi="Times New Roman"/>
          <w:sz w:val="24"/>
          <w:szCs w:val="24"/>
        </w:rPr>
        <w:t>гарантује</w:t>
      </w:r>
      <w:r w:rsidR="001E1719" w:rsidRPr="0093075D">
        <w:rPr>
          <w:rFonts w:ascii="Times New Roman" w:hAnsi="Times New Roman"/>
          <w:sz w:val="24"/>
          <w:szCs w:val="24"/>
        </w:rPr>
        <w:t xml:space="preserve"> </w:t>
      </w:r>
      <w:r w:rsidR="004C5C06" w:rsidRPr="0093075D">
        <w:rPr>
          <w:rFonts w:ascii="Times New Roman" w:hAnsi="Times New Roman"/>
          <w:sz w:val="24"/>
          <w:szCs w:val="24"/>
        </w:rPr>
        <w:t>самосталност</w:t>
      </w:r>
      <w:r w:rsidR="001E1719" w:rsidRPr="0093075D">
        <w:rPr>
          <w:rFonts w:ascii="Times New Roman" w:hAnsi="Times New Roman"/>
          <w:sz w:val="24"/>
          <w:szCs w:val="24"/>
        </w:rPr>
        <w:t xml:space="preserve"> </w:t>
      </w:r>
      <w:r w:rsidR="004C5C06" w:rsidRPr="0093075D">
        <w:rPr>
          <w:rFonts w:ascii="Times New Roman" w:hAnsi="Times New Roman"/>
          <w:sz w:val="24"/>
          <w:szCs w:val="24"/>
        </w:rPr>
        <w:t>јавних</w:t>
      </w:r>
      <w:r w:rsidR="001E1719" w:rsidRPr="0093075D">
        <w:rPr>
          <w:rFonts w:ascii="Times New Roman" w:hAnsi="Times New Roman"/>
          <w:sz w:val="24"/>
          <w:szCs w:val="24"/>
        </w:rPr>
        <w:t xml:space="preserve"> </w:t>
      </w:r>
      <w:r w:rsidR="004C5C06" w:rsidRPr="0093075D">
        <w:rPr>
          <w:rFonts w:ascii="Times New Roman" w:hAnsi="Times New Roman"/>
          <w:sz w:val="24"/>
          <w:szCs w:val="24"/>
        </w:rPr>
        <w:t>тужилаца</w:t>
      </w:r>
      <w:r w:rsidR="001E1719" w:rsidRPr="0093075D">
        <w:rPr>
          <w:rFonts w:ascii="Times New Roman" w:hAnsi="Times New Roman"/>
          <w:sz w:val="24"/>
          <w:szCs w:val="24"/>
        </w:rPr>
        <w:t xml:space="preserve"> </w:t>
      </w:r>
      <w:r w:rsidR="004C5C06" w:rsidRPr="0093075D">
        <w:rPr>
          <w:rFonts w:ascii="Times New Roman" w:hAnsi="Times New Roman"/>
          <w:sz w:val="24"/>
          <w:szCs w:val="24"/>
        </w:rPr>
        <w:t>и</w:t>
      </w:r>
      <w:r w:rsidR="001E1719" w:rsidRPr="0093075D">
        <w:rPr>
          <w:rFonts w:ascii="Times New Roman" w:hAnsi="Times New Roman"/>
          <w:sz w:val="24"/>
          <w:szCs w:val="24"/>
        </w:rPr>
        <w:t xml:space="preserve"> </w:t>
      </w:r>
      <w:r w:rsidR="004C5C06" w:rsidRPr="0093075D">
        <w:rPr>
          <w:rFonts w:ascii="Times New Roman" w:hAnsi="Times New Roman"/>
          <w:sz w:val="24"/>
          <w:szCs w:val="24"/>
        </w:rPr>
        <w:t>заменика</w:t>
      </w:r>
      <w:r w:rsidR="001E1719" w:rsidRPr="0093075D">
        <w:rPr>
          <w:rFonts w:ascii="Times New Roman" w:hAnsi="Times New Roman"/>
          <w:sz w:val="24"/>
          <w:szCs w:val="24"/>
        </w:rPr>
        <w:t xml:space="preserve"> </w:t>
      </w:r>
      <w:r w:rsidR="004C5C06" w:rsidRPr="0093075D">
        <w:rPr>
          <w:rFonts w:ascii="Times New Roman" w:hAnsi="Times New Roman"/>
          <w:sz w:val="24"/>
          <w:szCs w:val="24"/>
        </w:rPr>
        <w:t>јавних</w:t>
      </w:r>
      <w:r w:rsidR="001E1719" w:rsidRPr="0093075D">
        <w:rPr>
          <w:rFonts w:ascii="Times New Roman" w:hAnsi="Times New Roman"/>
          <w:sz w:val="24"/>
          <w:szCs w:val="24"/>
        </w:rPr>
        <w:t xml:space="preserve"> </w:t>
      </w:r>
      <w:r w:rsidR="004C5C06" w:rsidRPr="0093075D">
        <w:rPr>
          <w:rFonts w:ascii="Times New Roman" w:hAnsi="Times New Roman"/>
          <w:sz w:val="24"/>
          <w:szCs w:val="24"/>
        </w:rPr>
        <w:t>тужилаца</w:t>
      </w:r>
      <w:r w:rsidR="001E1719" w:rsidRPr="0093075D">
        <w:rPr>
          <w:rFonts w:ascii="Times New Roman" w:hAnsi="Times New Roman"/>
          <w:sz w:val="24"/>
          <w:szCs w:val="24"/>
        </w:rPr>
        <w:t>.</w:t>
      </w:r>
      <w:r w:rsidRPr="0093075D">
        <w:rPr>
          <w:rFonts w:ascii="Times New Roman" w:hAnsi="Times New Roman"/>
          <w:sz w:val="24"/>
          <w:szCs w:val="24"/>
          <w:lang w:val="sr-Cyrl-CS"/>
        </w:rPr>
        <w:t xml:space="preserve"> </w:t>
      </w:r>
      <w:r w:rsidR="004C5C06" w:rsidRPr="0093075D">
        <w:rPr>
          <w:rFonts w:ascii="Times New Roman" w:hAnsi="Times New Roman"/>
          <w:sz w:val="24"/>
          <w:szCs w:val="24"/>
        </w:rPr>
        <w:t>У</w:t>
      </w:r>
      <w:r w:rsidR="001E1719" w:rsidRPr="0093075D">
        <w:rPr>
          <w:rFonts w:ascii="Times New Roman" w:hAnsi="Times New Roman"/>
          <w:sz w:val="24"/>
          <w:szCs w:val="24"/>
        </w:rPr>
        <w:t xml:space="preserve"> </w:t>
      </w:r>
      <w:r w:rsidR="004C5C06" w:rsidRPr="0093075D">
        <w:rPr>
          <w:rFonts w:ascii="Times New Roman" w:hAnsi="Times New Roman"/>
          <w:sz w:val="24"/>
          <w:szCs w:val="24"/>
        </w:rPr>
        <w:t>оквиру</w:t>
      </w:r>
      <w:r w:rsidR="001E1719" w:rsidRPr="0093075D">
        <w:rPr>
          <w:rFonts w:ascii="Times New Roman" w:hAnsi="Times New Roman"/>
          <w:sz w:val="24"/>
          <w:szCs w:val="24"/>
        </w:rPr>
        <w:t xml:space="preserve"> </w:t>
      </w:r>
      <w:r w:rsidR="004C5C06" w:rsidRPr="0093075D">
        <w:rPr>
          <w:rFonts w:ascii="Times New Roman" w:hAnsi="Times New Roman"/>
          <w:sz w:val="24"/>
          <w:szCs w:val="24"/>
        </w:rPr>
        <w:t>своје</w:t>
      </w:r>
      <w:r w:rsidR="001E1719" w:rsidRPr="0093075D">
        <w:rPr>
          <w:rFonts w:ascii="Times New Roman" w:hAnsi="Times New Roman"/>
          <w:sz w:val="24"/>
          <w:szCs w:val="24"/>
        </w:rPr>
        <w:t xml:space="preserve"> </w:t>
      </w:r>
      <w:r w:rsidR="004C5C06" w:rsidRPr="0093075D">
        <w:rPr>
          <w:rFonts w:ascii="Times New Roman" w:hAnsi="Times New Roman"/>
          <w:sz w:val="24"/>
          <w:szCs w:val="24"/>
        </w:rPr>
        <w:t>надлежности</w:t>
      </w:r>
      <w:r w:rsidR="001E1719" w:rsidRPr="0093075D">
        <w:rPr>
          <w:rFonts w:ascii="Times New Roman" w:hAnsi="Times New Roman"/>
          <w:sz w:val="24"/>
          <w:szCs w:val="24"/>
        </w:rPr>
        <w:t xml:space="preserve"> </w:t>
      </w:r>
      <w:r w:rsidR="004C5C06" w:rsidRPr="0093075D">
        <w:rPr>
          <w:rFonts w:ascii="Times New Roman" w:hAnsi="Times New Roman"/>
          <w:sz w:val="24"/>
          <w:szCs w:val="24"/>
        </w:rPr>
        <w:t>Државно</w:t>
      </w:r>
      <w:r w:rsidR="001E1719" w:rsidRPr="0093075D">
        <w:rPr>
          <w:rFonts w:ascii="Times New Roman" w:hAnsi="Times New Roman"/>
          <w:sz w:val="24"/>
          <w:szCs w:val="24"/>
        </w:rPr>
        <w:t xml:space="preserve"> </w:t>
      </w:r>
      <w:r w:rsidR="004C5C06" w:rsidRPr="0093075D">
        <w:rPr>
          <w:rFonts w:ascii="Times New Roman" w:hAnsi="Times New Roman"/>
          <w:sz w:val="24"/>
          <w:szCs w:val="24"/>
        </w:rPr>
        <w:t>веће</w:t>
      </w:r>
      <w:r w:rsidR="001E1719" w:rsidRPr="0093075D">
        <w:rPr>
          <w:rFonts w:ascii="Times New Roman" w:hAnsi="Times New Roman"/>
          <w:sz w:val="24"/>
          <w:szCs w:val="24"/>
        </w:rPr>
        <w:t xml:space="preserve"> </w:t>
      </w:r>
      <w:r w:rsidR="004C5C06" w:rsidRPr="0093075D">
        <w:rPr>
          <w:rFonts w:ascii="Times New Roman" w:hAnsi="Times New Roman"/>
          <w:sz w:val="24"/>
          <w:szCs w:val="24"/>
        </w:rPr>
        <w:t>остварује</w:t>
      </w:r>
      <w:r w:rsidR="001E1719" w:rsidRPr="0093075D">
        <w:rPr>
          <w:rFonts w:ascii="Times New Roman" w:hAnsi="Times New Roman"/>
          <w:sz w:val="24"/>
          <w:szCs w:val="24"/>
        </w:rPr>
        <w:t xml:space="preserve"> </w:t>
      </w:r>
      <w:r w:rsidR="004C5C06" w:rsidRPr="0093075D">
        <w:rPr>
          <w:rFonts w:ascii="Times New Roman" w:hAnsi="Times New Roman"/>
          <w:sz w:val="24"/>
          <w:szCs w:val="24"/>
        </w:rPr>
        <w:t>сарадњу</w:t>
      </w:r>
      <w:r w:rsidR="001E1719" w:rsidRPr="0093075D">
        <w:rPr>
          <w:rFonts w:ascii="Times New Roman" w:hAnsi="Times New Roman"/>
          <w:sz w:val="24"/>
          <w:szCs w:val="24"/>
        </w:rPr>
        <w:t xml:space="preserve"> </w:t>
      </w:r>
      <w:r w:rsidR="004C5C06" w:rsidRPr="0093075D">
        <w:rPr>
          <w:rFonts w:ascii="Times New Roman" w:hAnsi="Times New Roman"/>
          <w:sz w:val="24"/>
          <w:szCs w:val="24"/>
        </w:rPr>
        <w:t>са</w:t>
      </w:r>
      <w:r w:rsidR="001E1719" w:rsidRPr="0093075D">
        <w:rPr>
          <w:rFonts w:ascii="Times New Roman" w:hAnsi="Times New Roman"/>
          <w:sz w:val="24"/>
          <w:szCs w:val="24"/>
        </w:rPr>
        <w:t xml:space="preserve"> </w:t>
      </w:r>
      <w:r w:rsidR="004C5C06" w:rsidRPr="0093075D">
        <w:rPr>
          <w:rFonts w:ascii="Times New Roman" w:hAnsi="Times New Roman"/>
          <w:sz w:val="24"/>
          <w:szCs w:val="24"/>
        </w:rPr>
        <w:t>Високим</w:t>
      </w:r>
      <w:r w:rsidR="001E1719" w:rsidRPr="0093075D">
        <w:rPr>
          <w:rFonts w:ascii="Times New Roman" w:hAnsi="Times New Roman"/>
          <w:sz w:val="24"/>
          <w:szCs w:val="24"/>
        </w:rPr>
        <w:t xml:space="preserve"> </w:t>
      </w:r>
      <w:r w:rsidR="004C5C06" w:rsidRPr="0093075D">
        <w:rPr>
          <w:rFonts w:ascii="Times New Roman" w:hAnsi="Times New Roman"/>
          <w:sz w:val="24"/>
          <w:szCs w:val="24"/>
        </w:rPr>
        <w:t>саветом</w:t>
      </w:r>
      <w:r w:rsidR="001E1719" w:rsidRPr="0093075D">
        <w:rPr>
          <w:rFonts w:ascii="Times New Roman" w:hAnsi="Times New Roman"/>
          <w:sz w:val="24"/>
          <w:szCs w:val="24"/>
        </w:rPr>
        <w:t xml:space="preserve"> </w:t>
      </w:r>
      <w:r w:rsidR="004C5C06" w:rsidRPr="0093075D">
        <w:rPr>
          <w:rFonts w:ascii="Times New Roman" w:hAnsi="Times New Roman"/>
          <w:sz w:val="24"/>
          <w:szCs w:val="24"/>
        </w:rPr>
        <w:t>судства</w:t>
      </w:r>
      <w:r w:rsidR="001E1719" w:rsidRPr="0093075D">
        <w:rPr>
          <w:rFonts w:ascii="Times New Roman" w:hAnsi="Times New Roman"/>
          <w:sz w:val="24"/>
          <w:szCs w:val="24"/>
        </w:rPr>
        <w:t xml:space="preserve">, </w:t>
      </w:r>
      <w:r w:rsidR="004C5C06" w:rsidRPr="0093075D">
        <w:rPr>
          <w:rFonts w:ascii="Times New Roman" w:hAnsi="Times New Roman"/>
          <w:sz w:val="24"/>
          <w:szCs w:val="24"/>
        </w:rPr>
        <w:t>државним</w:t>
      </w:r>
      <w:r w:rsidR="001E1719" w:rsidRPr="0093075D">
        <w:rPr>
          <w:rFonts w:ascii="Times New Roman" w:hAnsi="Times New Roman"/>
          <w:sz w:val="24"/>
          <w:szCs w:val="24"/>
        </w:rPr>
        <w:t xml:space="preserve"> </w:t>
      </w:r>
      <w:r w:rsidR="004C5C06" w:rsidRPr="0093075D">
        <w:rPr>
          <w:rFonts w:ascii="Times New Roman" w:hAnsi="Times New Roman"/>
          <w:sz w:val="24"/>
          <w:szCs w:val="24"/>
        </w:rPr>
        <w:t>и</w:t>
      </w:r>
      <w:r w:rsidR="001E1719" w:rsidRPr="0093075D">
        <w:rPr>
          <w:rFonts w:ascii="Times New Roman" w:hAnsi="Times New Roman"/>
          <w:sz w:val="24"/>
          <w:szCs w:val="24"/>
        </w:rPr>
        <w:t xml:space="preserve"> </w:t>
      </w:r>
      <w:r w:rsidR="004C5C06" w:rsidRPr="0093075D">
        <w:rPr>
          <w:rFonts w:ascii="Times New Roman" w:hAnsi="Times New Roman"/>
          <w:sz w:val="24"/>
          <w:szCs w:val="24"/>
        </w:rPr>
        <w:t>другим</w:t>
      </w:r>
      <w:r w:rsidR="001E1719" w:rsidRPr="0093075D">
        <w:rPr>
          <w:rFonts w:ascii="Times New Roman" w:hAnsi="Times New Roman"/>
          <w:sz w:val="24"/>
          <w:szCs w:val="24"/>
        </w:rPr>
        <w:t xml:space="preserve"> </w:t>
      </w:r>
      <w:r w:rsidR="004C5C06" w:rsidRPr="0093075D">
        <w:rPr>
          <w:rFonts w:ascii="Times New Roman" w:hAnsi="Times New Roman"/>
          <w:sz w:val="24"/>
          <w:szCs w:val="24"/>
        </w:rPr>
        <w:t>органима</w:t>
      </w:r>
      <w:r w:rsidR="001E1719" w:rsidRPr="0093075D">
        <w:rPr>
          <w:rFonts w:ascii="Times New Roman" w:hAnsi="Times New Roman"/>
          <w:sz w:val="24"/>
          <w:szCs w:val="24"/>
        </w:rPr>
        <w:t xml:space="preserve"> </w:t>
      </w:r>
      <w:r w:rsidR="004C5C06" w:rsidRPr="0093075D">
        <w:rPr>
          <w:rFonts w:ascii="Times New Roman" w:hAnsi="Times New Roman"/>
          <w:sz w:val="24"/>
          <w:szCs w:val="24"/>
        </w:rPr>
        <w:t>и</w:t>
      </w:r>
      <w:r w:rsidR="001E1719" w:rsidRPr="0093075D">
        <w:rPr>
          <w:rFonts w:ascii="Times New Roman" w:hAnsi="Times New Roman"/>
          <w:sz w:val="24"/>
          <w:szCs w:val="24"/>
        </w:rPr>
        <w:t xml:space="preserve"> </w:t>
      </w:r>
      <w:r w:rsidR="004C5C06" w:rsidRPr="0093075D">
        <w:rPr>
          <w:rFonts w:ascii="Times New Roman" w:hAnsi="Times New Roman"/>
          <w:sz w:val="24"/>
          <w:szCs w:val="24"/>
        </w:rPr>
        <w:t>организацијама</w:t>
      </w:r>
      <w:r w:rsidR="001E1719" w:rsidRPr="0093075D">
        <w:rPr>
          <w:rFonts w:ascii="Times New Roman" w:hAnsi="Times New Roman"/>
          <w:sz w:val="24"/>
          <w:szCs w:val="24"/>
        </w:rPr>
        <w:t xml:space="preserve">, </w:t>
      </w:r>
      <w:r w:rsidR="004C5C06" w:rsidRPr="0093075D">
        <w:rPr>
          <w:rFonts w:ascii="Times New Roman" w:hAnsi="Times New Roman"/>
          <w:sz w:val="24"/>
          <w:szCs w:val="24"/>
        </w:rPr>
        <w:t>тужилачким</w:t>
      </w:r>
      <w:r w:rsidR="001E1719" w:rsidRPr="0093075D">
        <w:rPr>
          <w:rFonts w:ascii="Times New Roman" w:hAnsi="Times New Roman"/>
          <w:sz w:val="24"/>
          <w:szCs w:val="24"/>
        </w:rPr>
        <w:t xml:space="preserve"> </w:t>
      </w:r>
      <w:r w:rsidR="004C5C06" w:rsidRPr="0093075D">
        <w:rPr>
          <w:rFonts w:ascii="Times New Roman" w:hAnsi="Times New Roman"/>
          <w:sz w:val="24"/>
          <w:szCs w:val="24"/>
        </w:rPr>
        <w:t>саветима</w:t>
      </w:r>
      <w:r w:rsidR="001E1719" w:rsidRPr="0093075D">
        <w:rPr>
          <w:rFonts w:ascii="Times New Roman" w:hAnsi="Times New Roman"/>
          <w:sz w:val="24"/>
          <w:szCs w:val="24"/>
        </w:rPr>
        <w:t xml:space="preserve"> </w:t>
      </w:r>
      <w:r w:rsidR="004C5C06" w:rsidRPr="0093075D">
        <w:rPr>
          <w:rFonts w:ascii="Times New Roman" w:hAnsi="Times New Roman"/>
          <w:sz w:val="24"/>
          <w:szCs w:val="24"/>
        </w:rPr>
        <w:t>других</w:t>
      </w:r>
      <w:r w:rsidR="001E1719" w:rsidRPr="0093075D">
        <w:rPr>
          <w:rFonts w:ascii="Times New Roman" w:hAnsi="Times New Roman"/>
          <w:sz w:val="24"/>
          <w:szCs w:val="24"/>
        </w:rPr>
        <w:t xml:space="preserve"> </w:t>
      </w:r>
      <w:r w:rsidR="004C5C06" w:rsidRPr="0093075D">
        <w:rPr>
          <w:rFonts w:ascii="Times New Roman" w:hAnsi="Times New Roman"/>
          <w:sz w:val="24"/>
          <w:szCs w:val="24"/>
        </w:rPr>
        <w:t>држава</w:t>
      </w:r>
      <w:r w:rsidR="001E1719" w:rsidRPr="0093075D">
        <w:rPr>
          <w:rFonts w:ascii="Times New Roman" w:hAnsi="Times New Roman"/>
          <w:sz w:val="24"/>
          <w:szCs w:val="24"/>
        </w:rPr>
        <w:t xml:space="preserve"> </w:t>
      </w:r>
      <w:r w:rsidR="004C5C06" w:rsidRPr="0093075D">
        <w:rPr>
          <w:rFonts w:ascii="Times New Roman" w:hAnsi="Times New Roman"/>
          <w:sz w:val="24"/>
          <w:szCs w:val="24"/>
        </w:rPr>
        <w:t>и</w:t>
      </w:r>
      <w:r w:rsidR="001E1719" w:rsidRPr="0093075D">
        <w:rPr>
          <w:rFonts w:ascii="Times New Roman" w:hAnsi="Times New Roman"/>
          <w:sz w:val="24"/>
          <w:szCs w:val="24"/>
        </w:rPr>
        <w:t xml:space="preserve"> </w:t>
      </w:r>
      <w:r w:rsidR="004C5C06" w:rsidRPr="0093075D">
        <w:rPr>
          <w:rFonts w:ascii="Times New Roman" w:hAnsi="Times New Roman"/>
          <w:sz w:val="24"/>
          <w:szCs w:val="24"/>
        </w:rPr>
        <w:t>међународним</w:t>
      </w:r>
      <w:r w:rsidR="001E1719" w:rsidRPr="0093075D">
        <w:rPr>
          <w:rFonts w:ascii="Times New Roman" w:hAnsi="Times New Roman"/>
          <w:sz w:val="24"/>
          <w:szCs w:val="24"/>
        </w:rPr>
        <w:t xml:space="preserve"> </w:t>
      </w:r>
      <w:r w:rsidR="004C5C06" w:rsidRPr="0093075D">
        <w:rPr>
          <w:rFonts w:ascii="Times New Roman" w:hAnsi="Times New Roman"/>
          <w:sz w:val="24"/>
          <w:szCs w:val="24"/>
        </w:rPr>
        <w:t>организацијама</w:t>
      </w:r>
      <w:r w:rsidR="001E1719" w:rsidRPr="0093075D">
        <w:rPr>
          <w:rFonts w:ascii="Times New Roman" w:hAnsi="Times New Roman"/>
          <w:sz w:val="24"/>
          <w:szCs w:val="24"/>
        </w:rPr>
        <w:t>.</w:t>
      </w:r>
    </w:p>
    <w:p w:rsidR="00EB75D8" w:rsidRPr="0093075D" w:rsidRDefault="0091780F" w:rsidP="00BC37A6">
      <w:pPr>
        <w:ind w:firstLine="708"/>
        <w:jc w:val="both"/>
        <w:rPr>
          <w:rFonts w:ascii="Times New Roman" w:hAnsi="Times New Roman"/>
          <w:sz w:val="24"/>
          <w:szCs w:val="24"/>
          <w:lang w:val="sr-Cyrl-CS"/>
        </w:rPr>
      </w:pPr>
      <w:r w:rsidRPr="0093075D">
        <w:rPr>
          <w:rFonts w:ascii="Times New Roman" w:hAnsi="Times New Roman"/>
          <w:sz w:val="24"/>
          <w:szCs w:val="24"/>
          <w:lang w:val="sr-Cyrl-CS"/>
        </w:rPr>
        <w:t>Улога тужиоца у ефикасном остваривању своје надлежности зависи од низа фактора и решења бројних питања као што су однос према законодавној и извршној власти, однос са полицијом, процесних решења и организације посла. Посебно када  се ова улога сагледа у</w:t>
      </w:r>
      <w:r w:rsidR="00C5684B">
        <w:rPr>
          <w:rFonts w:ascii="Times New Roman" w:hAnsi="Times New Roman"/>
          <w:sz w:val="24"/>
          <w:szCs w:val="24"/>
          <w:lang w:val="sr-Cyrl-CS"/>
        </w:rPr>
        <w:t xml:space="preserve"> светлу  значајно измењене улоге</w:t>
      </w:r>
      <w:r w:rsidRPr="0093075D">
        <w:rPr>
          <w:rFonts w:ascii="Times New Roman" w:hAnsi="Times New Roman"/>
          <w:sz w:val="24"/>
          <w:szCs w:val="24"/>
          <w:lang w:val="sr-Cyrl-CS"/>
        </w:rPr>
        <w:t xml:space="preserve"> тужиоца у кривичном поступку са најновијом изм</w:t>
      </w:r>
      <w:r w:rsidR="00EB75D8" w:rsidRPr="0093075D">
        <w:rPr>
          <w:rFonts w:ascii="Times New Roman" w:hAnsi="Times New Roman"/>
          <w:sz w:val="24"/>
          <w:szCs w:val="24"/>
          <w:lang w:val="sr-Cyrl-CS"/>
        </w:rPr>
        <w:t>еном процесног кривичног закона, која захтева већи број тужилаца и административног особља.</w:t>
      </w:r>
    </w:p>
    <w:p w:rsidR="00EB75D8" w:rsidRPr="0093075D" w:rsidRDefault="00EB75D8" w:rsidP="00BA7223">
      <w:pPr>
        <w:ind w:firstLine="708"/>
        <w:jc w:val="both"/>
        <w:rPr>
          <w:rFonts w:ascii="Times New Roman" w:hAnsi="Times New Roman"/>
          <w:sz w:val="24"/>
          <w:szCs w:val="24"/>
          <w:lang w:val="sr-Cyrl-CS"/>
        </w:rPr>
      </w:pPr>
      <w:r w:rsidRPr="0093075D">
        <w:rPr>
          <w:rFonts w:ascii="Times New Roman" w:hAnsi="Times New Roman"/>
          <w:sz w:val="24"/>
          <w:szCs w:val="24"/>
          <w:lang w:val="sr-Cyrl-CS"/>
        </w:rPr>
        <w:t xml:space="preserve">Наиме, </w:t>
      </w:r>
      <w:r w:rsidR="00FA1F30" w:rsidRPr="0093075D">
        <w:rPr>
          <w:rFonts w:ascii="Times New Roman" w:hAnsi="Times New Roman"/>
          <w:sz w:val="24"/>
          <w:szCs w:val="24"/>
          <w:lang w:val="sr-Cyrl-CS"/>
        </w:rPr>
        <w:t xml:space="preserve">у бројним земљама континенталног правног система </w:t>
      </w:r>
      <w:r w:rsidR="00FA1F30">
        <w:rPr>
          <w:rFonts w:ascii="Times New Roman" w:hAnsi="Times New Roman"/>
          <w:sz w:val="24"/>
          <w:szCs w:val="24"/>
          <w:lang w:val="sr-Cyrl-CS"/>
        </w:rPr>
        <w:t xml:space="preserve">дошло је до </w:t>
      </w:r>
      <w:r w:rsidR="00997E5C">
        <w:rPr>
          <w:rFonts w:ascii="Times New Roman" w:hAnsi="Times New Roman"/>
          <w:sz w:val="24"/>
          <w:szCs w:val="24"/>
          <w:lang w:val="sr-Cyrl-CS"/>
        </w:rPr>
        <w:t>промена</w:t>
      </w:r>
      <w:r w:rsidRPr="0093075D">
        <w:rPr>
          <w:rFonts w:ascii="Times New Roman" w:hAnsi="Times New Roman"/>
          <w:sz w:val="24"/>
          <w:szCs w:val="24"/>
          <w:lang w:val="sr-Cyrl-CS"/>
        </w:rPr>
        <w:t xml:space="preserve"> кривичног поступка </w:t>
      </w:r>
      <w:r w:rsidR="00FA1F30">
        <w:rPr>
          <w:rFonts w:ascii="Times New Roman" w:hAnsi="Times New Roman"/>
          <w:sz w:val="24"/>
          <w:szCs w:val="24"/>
          <w:lang w:val="sr-Cyrl-CS"/>
        </w:rPr>
        <w:t xml:space="preserve">и до </w:t>
      </w:r>
      <w:r w:rsidR="00FA1F30" w:rsidRPr="0093075D">
        <w:rPr>
          <w:rFonts w:ascii="Times New Roman" w:hAnsi="Times New Roman"/>
          <w:sz w:val="24"/>
          <w:szCs w:val="24"/>
          <w:lang w:val="sr-Cyrl-CS"/>
        </w:rPr>
        <w:t>укидања судске истраге као посебне фазе претходног поступк</w:t>
      </w:r>
      <w:r w:rsidR="00FA1F30">
        <w:rPr>
          <w:rFonts w:ascii="Times New Roman" w:hAnsi="Times New Roman"/>
          <w:sz w:val="24"/>
          <w:szCs w:val="24"/>
          <w:lang w:val="sr-Cyrl-CS"/>
        </w:rPr>
        <w:t xml:space="preserve">а, тако да је </w:t>
      </w:r>
      <w:r w:rsidRPr="0093075D">
        <w:rPr>
          <w:rFonts w:ascii="Times New Roman" w:hAnsi="Times New Roman"/>
          <w:sz w:val="24"/>
          <w:szCs w:val="24"/>
          <w:lang w:val="sr-Cyrl-CS"/>
        </w:rPr>
        <w:t xml:space="preserve">државни тужилац постао орган претходног поступка, </w:t>
      </w:r>
      <w:r w:rsidR="00FA1F30">
        <w:rPr>
          <w:rFonts w:ascii="Times New Roman" w:hAnsi="Times New Roman"/>
          <w:sz w:val="24"/>
          <w:szCs w:val="24"/>
          <w:lang w:val="sr-Cyrl-CS"/>
        </w:rPr>
        <w:t>а трансформисана је улога</w:t>
      </w:r>
      <w:r w:rsidRPr="0093075D">
        <w:rPr>
          <w:rFonts w:ascii="Times New Roman" w:hAnsi="Times New Roman"/>
          <w:sz w:val="24"/>
          <w:szCs w:val="24"/>
          <w:lang w:val="sr-Cyrl-CS"/>
        </w:rPr>
        <w:t xml:space="preserve"> истражног судиј</w:t>
      </w:r>
      <w:r w:rsidR="00FA1F30">
        <w:rPr>
          <w:rFonts w:ascii="Times New Roman" w:hAnsi="Times New Roman"/>
          <w:sz w:val="24"/>
          <w:szCs w:val="24"/>
          <w:lang w:val="sr-Cyrl-CS"/>
        </w:rPr>
        <w:t xml:space="preserve">е у судију претходног поступка </w:t>
      </w:r>
      <w:r w:rsidRPr="0093075D">
        <w:rPr>
          <w:rFonts w:ascii="Times New Roman" w:hAnsi="Times New Roman"/>
          <w:sz w:val="24"/>
          <w:szCs w:val="24"/>
          <w:lang w:val="sr-Cyrl-CS"/>
        </w:rPr>
        <w:t>са овлашћењима евентуалне контроле одлука јавног тужиоца.</w:t>
      </w:r>
      <w:r w:rsidRPr="0093075D">
        <w:rPr>
          <w:rStyle w:val="FootnoteReference"/>
          <w:rFonts w:ascii="Times New Roman" w:hAnsi="Times New Roman"/>
          <w:color w:val="000000"/>
          <w:sz w:val="24"/>
          <w:szCs w:val="24"/>
          <w:lang w:val="sr-Cyrl-CS"/>
        </w:rPr>
        <w:footnoteReference w:id="874"/>
      </w:r>
      <w:r w:rsidRPr="0093075D">
        <w:rPr>
          <w:rFonts w:ascii="Times New Roman" w:hAnsi="Times New Roman"/>
          <w:sz w:val="24"/>
          <w:szCs w:val="24"/>
          <w:lang w:val="sr-Cyrl-CS"/>
        </w:rPr>
        <w:t xml:space="preserve"> </w:t>
      </w:r>
    </w:p>
    <w:p w:rsidR="001F76E2" w:rsidRPr="0093075D" w:rsidRDefault="00F52CF5" w:rsidP="00FF4B07">
      <w:pPr>
        <w:ind w:firstLine="708"/>
        <w:jc w:val="both"/>
        <w:rPr>
          <w:rFonts w:ascii="Times New Roman" w:hAnsi="Times New Roman"/>
          <w:sz w:val="24"/>
          <w:szCs w:val="24"/>
          <w:lang w:val="sr-Cyrl-CS"/>
        </w:rPr>
      </w:pPr>
      <w:r>
        <w:rPr>
          <w:rFonts w:ascii="Times New Roman" w:hAnsi="Times New Roman"/>
          <w:sz w:val="24"/>
          <w:szCs w:val="24"/>
          <w:lang w:val="sr-Cyrl-CS"/>
        </w:rPr>
        <w:t>За  прелазак</w:t>
      </w:r>
      <w:r w:rsidR="00EB75D8" w:rsidRPr="0093075D">
        <w:rPr>
          <w:rFonts w:ascii="Times New Roman" w:hAnsi="Times New Roman"/>
          <w:sz w:val="24"/>
          <w:szCs w:val="24"/>
        </w:rPr>
        <w:t xml:space="preserve"> са судског на тужилачки, или тужилачко судски концепт истраге</w:t>
      </w:r>
      <w:r w:rsidR="00EB75D8" w:rsidRPr="0093075D">
        <w:rPr>
          <w:rFonts w:ascii="Times New Roman" w:hAnsi="Times New Roman"/>
          <w:sz w:val="24"/>
          <w:szCs w:val="24"/>
          <w:lang w:val="sr-Cyrl-CS"/>
        </w:rPr>
        <w:t xml:space="preserve"> </w:t>
      </w:r>
      <w:r>
        <w:rPr>
          <w:rFonts w:ascii="Times New Roman" w:hAnsi="Times New Roman"/>
          <w:sz w:val="24"/>
          <w:szCs w:val="24"/>
          <w:lang w:val="sr-Cyrl-CS"/>
        </w:rPr>
        <w:t xml:space="preserve">има </w:t>
      </w:r>
      <w:r w:rsidR="00EB75D8" w:rsidRPr="0093075D">
        <w:rPr>
          <w:rFonts w:ascii="Times New Roman" w:hAnsi="Times New Roman"/>
          <w:sz w:val="24"/>
          <w:szCs w:val="24"/>
        </w:rPr>
        <w:t xml:space="preserve">више </w:t>
      </w:r>
      <w:r>
        <w:rPr>
          <w:rFonts w:ascii="Times New Roman" w:hAnsi="Times New Roman"/>
          <w:sz w:val="24"/>
          <w:szCs w:val="24"/>
          <w:lang w:val="sr-Cyrl-CS"/>
        </w:rPr>
        <w:t>разлога</w:t>
      </w:r>
      <w:r w:rsidR="00EB75D8" w:rsidRPr="0093075D">
        <w:rPr>
          <w:rFonts w:ascii="Times New Roman" w:hAnsi="Times New Roman"/>
          <w:sz w:val="24"/>
          <w:szCs w:val="24"/>
          <w:lang w:val="sr-Cyrl-CS"/>
        </w:rPr>
        <w:t xml:space="preserve">. </w:t>
      </w:r>
      <w:r w:rsidR="00EB75D8" w:rsidRPr="0093075D">
        <w:rPr>
          <w:rFonts w:ascii="Times New Roman" w:hAnsi="Times New Roman"/>
          <w:sz w:val="24"/>
          <w:szCs w:val="24"/>
        </w:rPr>
        <w:t>Основни разлог је стварање неопходне нормативне основе за повећање</w:t>
      </w:r>
      <w:r w:rsidR="00EB75D8" w:rsidRPr="0093075D">
        <w:rPr>
          <w:rFonts w:ascii="Times New Roman" w:hAnsi="Times New Roman"/>
          <w:sz w:val="24"/>
          <w:szCs w:val="24"/>
          <w:lang w:val="sr-Cyrl-CS"/>
        </w:rPr>
        <w:t xml:space="preserve"> </w:t>
      </w:r>
      <w:r>
        <w:rPr>
          <w:rFonts w:ascii="Times New Roman" w:hAnsi="Times New Roman"/>
          <w:sz w:val="24"/>
          <w:szCs w:val="24"/>
        </w:rPr>
        <w:t>ефикасности кривичног поступка</w:t>
      </w:r>
      <w:r>
        <w:rPr>
          <w:rFonts w:ascii="Times New Roman" w:hAnsi="Times New Roman"/>
          <w:sz w:val="24"/>
          <w:szCs w:val="24"/>
          <w:lang w:val="sr-Cyrl-CS"/>
        </w:rPr>
        <w:t>. Овај аргумент је од великог значаја јер је</w:t>
      </w:r>
      <w:r w:rsidR="00EB75D8" w:rsidRPr="0093075D">
        <w:rPr>
          <w:rFonts w:ascii="Times New Roman" w:hAnsi="Times New Roman"/>
          <w:sz w:val="24"/>
          <w:szCs w:val="24"/>
        </w:rPr>
        <w:t xml:space="preserve"> </w:t>
      </w:r>
      <w:r>
        <w:rPr>
          <w:rFonts w:ascii="Times New Roman" w:hAnsi="Times New Roman"/>
          <w:sz w:val="24"/>
          <w:szCs w:val="24"/>
        </w:rPr>
        <w:t>неспорно да ј</w:t>
      </w:r>
      <w:r>
        <w:rPr>
          <w:rFonts w:ascii="Times New Roman" w:hAnsi="Times New Roman"/>
          <w:sz w:val="24"/>
          <w:szCs w:val="24"/>
          <w:lang w:val="sr-Cyrl-CS"/>
        </w:rPr>
        <w:t xml:space="preserve">е </w:t>
      </w:r>
      <w:r w:rsidR="00EB75D8" w:rsidRPr="0093075D">
        <w:rPr>
          <w:rFonts w:ascii="Times New Roman" w:hAnsi="Times New Roman"/>
          <w:sz w:val="24"/>
          <w:szCs w:val="24"/>
        </w:rPr>
        <w:t>ефикасно спроведена истрага један од веома битних фактора ефикасности</w:t>
      </w:r>
      <w:r w:rsidR="00EB75D8" w:rsidRPr="0093075D">
        <w:rPr>
          <w:rFonts w:ascii="Times New Roman" w:hAnsi="Times New Roman"/>
          <w:sz w:val="24"/>
          <w:szCs w:val="24"/>
          <w:lang w:val="sr-Cyrl-CS"/>
        </w:rPr>
        <w:t xml:space="preserve"> </w:t>
      </w:r>
      <w:r w:rsidR="00EB75D8" w:rsidRPr="0093075D">
        <w:rPr>
          <w:rFonts w:ascii="Times New Roman" w:hAnsi="Times New Roman"/>
          <w:sz w:val="24"/>
          <w:szCs w:val="24"/>
        </w:rPr>
        <w:t>кривичног поступка уопште</w:t>
      </w:r>
      <w:r w:rsidR="00EB75D8" w:rsidRPr="0093075D">
        <w:rPr>
          <w:rStyle w:val="FootnoteReference"/>
          <w:rFonts w:ascii="Times New Roman" w:hAnsi="Times New Roman"/>
          <w:sz w:val="24"/>
          <w:szCs w:val="24"/>
        </w:rPr>
        <w:footnoteReference w:id="875"/>
      </w:r>
    </w:p>
    <w:p w:rsidR="007B29AD" w:rsidRDefault="001F76E2" w:rsidP="00BA7223">
      <w:pPr>
        <w:ind w:firstLine="708"/>
        <w:jc w:val="both"/>
        <w:rPr>
          <w:rFonts w:ascii="Times New Roman" w:hAnsi="Times New Roman"/>
          <w:sz w:val="24"/>
          <w:szCs w:val="24"/>
        </w:rPr>
      </w:pPr>
      <w:r w:rsidRPr="0093075D">
        <w:rPr>
          <w:rFonts w:ascii="Times New Roman" w:hAnsi="Times New Roman"/>
          <w:sz w:val="24"/>
          <w:szCs w:val="24"/>
          <w:lang w:val="sr-Cyrl-CS"/>
        </w:rPr>
        <w:t xml:space="preserve">Према концепту тужилачке истраге, </w:t>
      </w:r>
      <w:r w:rsidR="004C5C06" w:rsidRPr="0093075D">
        <w:rPr>
          <w:rFonts w:ascii="Times New Roman" w:hAnsi="Times New Roman"/>
          <w:sz w:val="24"/>
          <w:szCs w:val="24"/>
          <w:lang w:val="sr-Cyrl-CS"/>
        </w:rPr>
        <w:t>тужилац</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је</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задужен</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за</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прикупљање</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доказа</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на</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основу</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којих</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одлучује</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да</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ли</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ће</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против</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неког</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лица</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подићи</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оптужницу</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или</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не</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Овим</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је</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промењена</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досадашња</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пракса</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према</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којој</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је</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суд</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по</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службеној</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дужности</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изводио</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доказе</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Поред</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тога</w:t>
      </w:r>
      <w:r w:rsidR="00BA7223">
        <w:rPr>
          <w:rFonts w:ascii="Times New Roman" w:hAnsi="Times New Roman"/>
          <w:sz w:val="24"/>
          <w:szCs w:val="24"/>
          <w:lang w:val="sr-Cyrl-CS"/>
        </w:rPr>
        <w:t>,</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предви</w:t>
      </w:r>
      <w:r w:rsidRPr="0093075D">
        <w:rPr>
          <w:rFonts w:ascii="Times New Roman" w:hAnsi="Times New Roman"/>
          <w:sz w:val="24"/>
          <w:szCs w:val="24"/>
          <w:lang w:val="sr-Cyrl-CS"/>
        </w:rPr>
        <w:t>ђ</w:t>
      </w:r>
      <w:r w:rsidR="004C5C06" w:rsidRPr="0093075D">
        <w:rPr>
          <w:rFonts w:ascii="Times New Roman" w:hAnsi="Times New Roman"/>
          <w:sz w:val="24"/>
          <w:szCs w:val="24"/>
          <w:lang w:val="sr-Cyrl-CS"/>
        </w:rPr>
        <w:t>ено</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ј</w:t>
      </w:r>
      <w:r w:rsidRPr="0093075D">
        <w:rPr>
          <w:rFonts w:ascii="Times New Roman" w:hAnsi="Times New Roman"/>
          <w:sz w:val="24"/>
          <w:szCs w:val="24"/>
          <w:lang w:val="sr-Cyrl-CS"/>
        </w:rPr>
        <w:t xml:space="preserve">е да јавни тужилац руководи </w:t>
      </w:r>
      <w:r w:rsidR="004C5C06" w:rsidRPr="0093075D">
        <w:rPr>
          <w:rFonts w:ascii="Times New Roman" w:hAnsi="Times New Roman"/>
          <w:sz w:val="24"/>
          <w:szCs w:val="24"/>
          <w:lang w:val="sr-Cyrl-CS"/>
        </w:rPr>
        <w:t>предистражним</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поступком</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одлучује</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о</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непредузимању</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или</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одлагању</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кривичног</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гоњења</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спроводи</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lastRenderedPageBreak/>
        <w:t>истрагу</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закључује</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са</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окривљеним</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споразум</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о</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признању</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кривице</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а</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овлашћен</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је</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и</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да</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изјави</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жалбу</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и</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подноси</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ванредне</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правне</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лекове</w:t>
      </w:r>
      <w:r w:rsidRPr="0093075D">
        <w:rPr>
          <w:rFonts w:ascii="Times New Roman" w:hAnsi="Times New Roman"/>
          <w:sz w:val="24"/>
          <w:szCs w:val="24"/>
          <w:lang w:val="sr-Cyrl-CS"/>
        </w:rPr>
        <w:t>. Посебно ће се са повећањем броја закључених споразума о признању кривице допринети ефикасности поступања и смањити простор за корупцију. Приликом закључења споразума присуствују окривљени и његовом бранилац и њиме се детаљно регулишу сви услови, док његову законитост ко</w:t>
      </w:r>
      <w:r w:rsidR="00BA7223">
        <w:rPr>
          <w:rFonts w:ascii="Times New Roman" w:hAnsi="Times New Roman"/>
          <w:sz w:val="24"/>
          <w:szCs w:val="24"/>
          <w:lang w:val="sr-Cyrl-CS"/>
        </w:rPr>
        <w:t>нтролише суд и исти може да одобри</w:t>
      </w:r>
      <w:r w:rsidRPr="0093075D">
        <w:rPr>
          <w:rFonts w:ascii="Times New Roman" w:hAnsi="Times New Roman"/>
          <w:sz w:val="24"/>
          <w:szCs w:val="24"/>
          <w:lang w:val="sr-Cyrl-CS"/>
        </w:rPr>
        <w:t>ти или не.</w:t>
      </w:r>
    </w:p>
    <w:p w:rsidR="00342DFE" w:rsidRPr="00BA7223" w:rsidRDefault="005D5E8F" w:rsidP="00BA7223">
      <w:pPr>
        <w:ind w:firstLine="708"/>
        <w:jc w:val="both"/>
        <w:rPr>
          <w:rFonts w:ascii="Times New Roman" w:hAnsi="Times New Roman"/>
          <w:sz w:val="24"/>
          <w:szCs w:val="24"/>
          <w:lang w:val="sr-Cyrl-CS"/>
        </w:rPr>
      </w:pPr>
      <w:r>
        <w:rPr>
          <w:rFonts w:ascii="Times New Roman" w:hAnsi="Times New Roman"/>
          <w:sz w:val="24"/>
          <w:szCs w:val="24"/>
          <w:lang w:val="sr-Cyrl-CS"/>
        </w:rPr>
        <w:t>Нова улога тужиоца</w:t>
      </w:r>
      <w:r w:rsidR="00CD2A14">
        <w:rPr>
          <w:rFonts w:ascii="Times New Roman" w:hAnsi="Times New Roman"/>
          <w:sz w:val="24"/>
          <w:szCs w:val="24"/>
          <w:lang w:val="sr-Cyrl-CS"/>
        </w:rPr>
        <w:t xml:space="preserve"> је </w:t>
      </w:r>
      <w:r>
        <w:rPr>
          <w:rFonts w:ascii="Times New Roman" w:hAnsi="Times New Roman"/>
          <w:sz w:val="24"/>
          <w:szCs w:val="24"/>
          <w:lang w:val="sr-Cyrl-CS"/>
        </w:rPr>
        <w:t>значајно</w:t>
      </w:r>
      <w:r w:rsidR="00CD2A14">
        <w:rPr>
          <w:rFonts w:ascii="Times New Roman" w:hAnsi="Times New Roman"/>
          <w:sz w:val="24"/>
          <w:szCs w:val="24"/>
          <w:lang w:val="sr-Cyrl-CS"/>
        </w:rPr>
        <w:t xml:space="preserve"> сложенија, оперативнија, а самим тим и одговорнија, што </w:t>
      </w:r>
      <w:r>
        <w:rPr>
          <w:rFonts w:ascii="Times New Roman" w:hAnsi="Times New Roman"/>
          <w:sz w:val="24"/>
          <w:szCs w:val="24"/>
          <w:lang w:val="sr-Cyrl-CS"/>
        </w:rPr>
        <w:t>захтева</w:t>
      </w:r>
      <w:r w:rsidR="00CD2A14">
        <w:rPr>
          <w:rFonts w:ascii="Times New Roman" w:hAnsi="Times New Roman"/>
          <w:sz w:val="24"/>
          <w:szCs w:val="24"/>
          <w:lang w:val="sr-Cyrl-CS"/>
        </w:rPr>
        <w:t xml:space="preserve"> стручност тужиоца и његово располагање новим савременим криминалистичким методама приликом њихове примене у откривању и доказивању кривичних дела привредног кримиминалитета.</w:t>
      </w:r>
      <w:r w:rsidR="00CD2A14">
        <w:rPr>
          <w:rStyle w:val="FootnoteReference"/>
          <w:rFonts w:ascii="Times New Roman" w:hAnsi="Times New Roman"/>
          <w:sz w:val="24"/>
          <w:szCs w:val="24"/>
          <w:lang w:val="sr-Cyrl-CS"/>
        </w:rPr>
        <w:footnoteReference w:id="876"/>
      </w:r>
      <w:r w:rsidR="00147D61">
        <w:rPr>
          <w:rFonts w:ascii="Times New Roman" w:hAnsi="Times New Roman"/>
          <w:sz w:val="24"/>
          <w:szCs w:val="24"/>
          <w:lang w:val="sr-Cyrl-CS"/>
        </w:rPr>
        <w:t xml:space="preserve"> </w:t>
      </w:r>
      <w:r w:rsidR="007B29AD" w:rsidRPr="0093075D">
        <w:rPr>
          <w:rFonts w:ascii="Times New Roman" w:hAnsi="Times New Roman"/>
          <w:sz w:val="24"/>
          <w:szCs w:val="24"/>
        </w:rPr>
        <w:t>Сва остала овлашћења и дужности јавног тужиоца јасно су дефинисана и</w:t>
      </w:r>
      <w:r w:rsidR="00F021BD" w:rsidRPr="0093075D">
        <w:rPr>
          <w:rFonts w:ascii="Times New Roman" w:hAnsi="Times New Roman"/>
          <w:sz w:val="24"/>
          <w:szCs w:val="24"/>
          <w:lang w:val="sr-Cyrl-CS"/>
        </w:rPr>
        <w:t xml:space="preserve"> </w:t>
      </w:r>
      <w:r w:rsidR="007B29AD" w:rsidRPr="0093075D">
        <w:rPr>
          <w:rFonts w:ascii="Times New Roman" w:hAnsi="Times New Roman"/>
          <w:sz w:val="24"/>
          <w:szCs w:val="24"/>
        </w:rPr>
        <w:t>предвиђена поменутим Закоником о кривичном поступку и Законом о јавном</w:t>
      </w:r>
      <w:r w:rsidR="00F021BD" w:rsidRPr="0093075D">
        <w:rPr>
          <w:rFonts w:ascii="Times New Roman" w:hAnsi="Times New Roman"/>
          <w:sz w:val="24"/>
          <w:szCs w:val="24"/>
          <w:lang w:val="sr-Cyrl-CS"/>
        </w:rPr>
        <w:t xml:space="preserve"> </w:t>
      </w:r>
      <w:r w:rsidR="007B29AD" w:rsidRPr="0093075D">
        <w:rPr>
          <w:rFonts w:ascii="Times New Roman" w:hAnsi="Times New Roman"/>
          <w:sz w:val="24"/>
          <w:szCs w:val="24"/>
        </w:rPr>
        <w:t>тужилаштву Републике Србије</w:t>
      </w:r>
      <w:r w:rsidR="00514F24" w:rsidRPr="0093075D">
        <w:rPr>
          <w:rFonts w:ascii="Times New Roman" w:hAnsi="Times New Roman"/>
          <w:sz w:val="24"/>
          <w:szCs w:val="24"/>
          <w:lang w:val="sr-Cyrl-CS"/>
        </w:rPr>
        <w:t>, али су уставни и законски модел избора тужилаца и заменика предмет оспоравања, па тако Удружење тужилаца  указује да је самосталност тужилаштва угрожена  уставним решењем по коме јавне тужиоце на предлог Владе бира Народна скупштина, као и чињеницом да чланове Државног већа ту</w:t>
      </w:r>
      <w:r w:rsidR="00342DFE" w:rsidRPr="0093075D">
        <w:rPr>
          <w:rFonts w:ascii="Times New Roman" w:hAnsi="Times New Roman"/>
          <w:sz w:val="24"/>
          <w:szCs w:val="24"/>
          <w:lang w:val="sr-Cyrl-CS"/>
        </w:rPr>
        <w:t>жилаца бира Народна скупштина, те да је на тај начин „потчињено извршној власти“.</w:t>
      </w:r>
      <w:r w:rsidR="00514F24" w:rsidRPr="0093075D">
        <w:rPr>
          <w:rFonts w:ascii="Times New Roman" w:hAnsi="Times New Roman"/>
          <w:sz w:val="24"/>
          <w:szCs w:val="24"/>
          <w:lang w:val="sr-Cyrl-CS"/>
        </w:rPr>
        <w:t xml:space="preserve"> </w:t>
      </w:r>
      <w:r w:rsidR="0093075D">
        <w:rPr>
          <w:rFonts w:ascii="Times New Roman" w:hAnsi="Times New Roman"/>
          <w:sz w:val="24"/>
          <w:szCs w:val="24"/>
        </w:rPr>
        <w:t xml:space="preserve"> </w:t>
      </w:r>
    </w:p>
    <w:p w:rsidR="00342DFE" w:rsidRPr="0093075D" w:rsidRDefault="00342DFE" w:rsidP="0093075D">
      <w:pPr>
        <w:ind w:firstLine="708"/>
        <w:jc w:val="both"/>
        <w:rPr>
          <w:rFonts w:ascii="Times New Roman" w:hAnsi="Times New Roman"/>
          <w:sz w:val="24"/>
          <w:szCs w:val="24"/>
          <w:lang w:val="sr-Cyrl-CS"/>
        </w:rPr>
      </w:pPr>
      <w:r w:rsidRPr="0093075D">
        <w:rPr>
          <w:rFonts w:ascii="Times New Roman" w:hAnsi="Times New Roman"/>
          <w:sz w:val="24"/>
          <w:szCs w:val="24"/>
          <w:lang w:val="sr-Cyrl-CS"/>
        </w:rPr>
        <w:t xml:space="preserve">Значајан корак у борби против корупције представља чињеница да је у Републичком јавном тужилаштву формирано одељење за борбу против корупције које координира рад свих тужилаштава у процесуирању ових кривичних дела, док при Апелационим тужилаштвима постоје заменици који прате ову врсту кривичних дела. </w:t>
      </w:r>
      <w:r w:rsidR="004C5C06" w:rsidRPr="0093075D">
        <w:rPr>
          <w:rFonts w:ascii="Times New Roman" w:hAnsi="Times New Roman"/>
          <w:sz w:val="24"/>
          <w:szCs w:val="24"/>
          <w:lang w:val="sr-Cyrl-CS"/>
        </w:rPr>
        <w:t>Нижа</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јавна</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тужилаштва</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су</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обавезна</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да</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обавештавају</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Одељење</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Републичког</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јавног</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тужилаштва</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о</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свим</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донетим</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одлукама</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у</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предметима</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са</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коруптивним</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обележјима</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које</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у</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случају</w:t>
      </w:r>
      <w:r w:rsidRPr="0093075D">
        <w:rPr>
          <w:rFonts w:ascii="Times New Roman" w:hAnsi="Times New Roman"/>
          <w:sz w:val="24"/>
          <w:szCs w:val="24"/>
          <w:lang w:val="sr-Cyrl-CS"/>
        </w:rPr>
        <w:t xml:space="preserve"> одбачаја кривичних пријава или одустанака од </w:t>
      </w:r>
      <w:r w:rsidR="004C5C06" w:rsidRPr="0093075D">
        <w:rPr>
          <w:rFonts w:ascii="Times New Roman" w:hAnsi="Times New Roman"/>
          <w:sz w:val="24"/>
          <w:szCs w:val="24"/>
          <w:lang w:val="sr-Cyrl-CS"/>
        </w:rPr>
        <w:t>гоњења</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морају</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доносити</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у</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зборном</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саставу</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уз</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обавезно</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учешће</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јавног</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тужиоца</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као</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и</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да</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доставе</w:t>
      </w:r>
      <w:r w:rsidRPr="0093075D">
        <w:rPr>
          <w:rFonts w:ascii="Times New Roman" w:hAnsi="Times New Roman"/>
          <w:sz w:val="24"/>
          <w:szCs w:val="24"/>
          <w:lang w:val="sr-Cyrl-CS"/>
        </w:rPr>
        <w:t xml:space="preserve"> </w:t>
      </w:r>
      <w:r w:rsidR="001F76E2" w:rsidRPr="0093075D">
        <w:rPr>
          <w:rFonts w:ascii="Times New Roman" w:hAnsi="Times New Roman"/>
          <w:sz w:val="24"/>
          <w:szCs w:val="24"/>
          <w:lang w:val="sr-Cyrl-CS"/>
        </w:rPr>
        <w:t>Републичком јавном тужиоцу</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првостепене</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пресуде</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и</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жалб</w:t>
      </w:r>
      <w:r w:rsidRPr="0093075D">
        <w:rPr>
          <w:rFonts w:ascii="Times New Roman" w:hAnsi="Times New Roman"/>
          <w:sz w:val="24"/>
          <w:szCs w:val="24"/>
          <w:lang w:val="sr-Cyrl-CS"/>
        </w:rPr>
        <w:t xml:space="preserve">е </w:t>
      </w:r>
      <w:r w:rsidR="004C5C06" w:rsidRPr="0093075D">
        <w:rPr>
          <w:rFonts w:ascii="Times New Roman" w:hAnsi="Times New Roman"/>
          <w:sz w:val="24"/>
          <w:szCs w:val="24"/>
          <w:lang w:val="sr-Cyrl-CS"/>
        </w:rPr>
        <w:t>тужиоца</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уколико</w:t>
      </w:r>
      <w:r w:rsidR="001F76E2" w:rsidRPr="0093075D">
        <w:rPr>
          <w:rFonts w:ascii="Times New Roman" w:hAnsi="Times New Roman"/>
          <w:sz w:val="24"/>
          <w:szCs w:val="24"/>
          <w:lang w:val="sr-Cyrl-CS"/>
        </w:rPr>
        <w:t xml:space="preserve"> су </w:t>
      </w:r>
      <w:r w:rsidR="004C5C06" w:rsidRPr="0093075D">
        <w:rPr>
          <w:rFonts w:ascii="Times New Roman" w:hAnsi="Times New Roman"/>
          <w:sz w:val="24"/>
          <w:szCs w:val="24"/>
          <w:lang w:val="sr-Cyrl-CS"/>
        </w:rPr>
        <w:t>изјављен</w:t>
      </w:r>
      <w:r w:rsidR="001F76E2" w:rsidRPr="0093075D">
        <w:rPr>
          <w:rFonts w:ascii="Times New Roman" w:hAnsi="Times New Roman"/>
          <w:sz w:val="24"/>
          <w:szCs w:val="24"/>
          <w:lang w:val="sr-Cyrl-CS"/>
        </w:rPr>
        <w:t>е</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а</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потом</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и</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другостепену</w:t>
      </w:r>
      <w:r w:rsidRPr="0093075D">
        <w:rPr>
          <w:rFonts w:ascii="Times New Roman" w:hAnsi="Times New Roman"/>
          <w:sz w:val="24"/>
          <w:szCs w:val="24"/>
          <w:lang w:val="sr-Cyrl-CS"/>
        </w:rPr>
        <w:t xml:space="preserve"> </w:t>
      </w:r>
      <w:r w:rsidR="004C5C06" w:rsidRPr="0093075D">
        <w:rPr>
          <w:rFonts w:ascii="Times New Roman" w:hAnsi="Times New Roman"/>
          <w:sz w:val="24"/>
          <w:szCs w:val="24"/>
          <w:lang w:val="sr-Cyrl-CS"/>
        </w:rPr>
        <w:t>одлуку</w:t>
      </w:r>
      <w:r w:rsidRPr="0093075D">
        <w:rPr>
          <w:rFonts w:ascii="Times New Roman" w:hAnsi="Times New Roman"/>
          <w:sz w:val="24"/>
          <w:szCs w:val="24"/>
          <w:lang w:val="sr-Cyrl-CS"/>
        </w:rPr>
        <w:t>.</w:t>
      </w:r>
    </w:p>
    <w:p w:rsidR="00DA7766" w:rsidRPr="00DA7766" w:rsidRDefault="00DA7766" w:rsidP="00DA7766">
      <w:pPr>
        <w:ind w:firstLine="708"/>
        <w:jc w:val="both"/>
        <w:rPr>
          <w:rFonts w:ascii="Times New Roman" w:hAnsi="Times New Roman"/>
          <w:sz w:val="24"/>
          <w:szCs w:val="24"/>
          <w:lang w:val="sr-Cyrl-CS"/>
        </w:rPr>
      </w:pPr>
      <w:r w:rsidRPr="00DA7766">
        <w:rPr>
          <w:rFonts w:ascii="Times New Roman" w:hAnsi="Times New Roman"/>
          <w:sz w:val="24"/>
          <w:szCs w:val="24"/>
          <w:lang w:val="sr-Cyrl-CS"/>
        </w:rPr>
        <w:t>Одељење за борбу против корупције и прања новца у тужилаштву</w:t>
      </w:r>
      <w:r>
        <w:rPr>
          <w:rFonts w:ascii="Times New Roman" w:hAnsi="Times New Roman"/>
          <w:sz w:val="24"/>
          <w:szCs w:val="24"/>
          <w:lang w:val="sr-Cyrl-CS"/>
        </w:rPr>
        <w:t xml:space="preserve"> се бави поред праћења рада нижих јавних тужилаштава и координације рада, делегацијом месне надлежности када се појави сумња у непристрасност, сарадњом са другим државним органима, као и међународном сарадњом, брине се о испуњавњу међународних стандарда, као и законодавном активношћу у смислу иницирања законодавних решења која ће допринети бољем и ефикаснијем раду у оваквим предметима. Према обавезном упутству</w:t>
      </w:r>
      <w:r>
        <w:rPr>
          <w:rStyle w:val="FootnoteReference"/>
          <w:rFonts w:ascii="Times New Roman" w:hAnsi="Times New Roman"/>
          <w:sz w:val="24"/>
          <w:szCs w:val="24"/>
          <w:lang w:val="sr-Cyrl-CS"/>
        </w:rPr>
        <w:footnoteReference w:id="877"/>
      </w:r>
      <w:r>
        <w:rPr>
          <w:rFonts w:ascii="Times New Roman" w:hAnsi="Times New Roman"/>
          <w:sz w:val="24"/>
          <w:szCs w:val="24"/>
          <w:lang w:val="sr-Cyrl-CS"/>
        </w:rPr>
        <w:t xml:space="preserve"> врши се, када су у притању кривична дела са елементима корупције, од стране оваквог Одељења у Републичком јавном тужилаштву контрола одлука тужилаштава у случају одустанка од даљег кривичног гоњења или одбачаја кривичних пријава, у оваквим предметима, а које одлуке се морају доносити у зборном саставу. Ово одељење врши и надзор  и координацију рада у специјализованим одељењима за корупцију.</w:t>
      </w:r>
    </w:p>
    <w:p w:rsidR="001671E0" w:rsidRPr="00831157" w:rsidRDefault="00342DFE" w:rsidP="00831157">
      <w:pPr>
        <w:ind w:firstLine="708"/>
        <w:jc w:val="both"/>
        <w:rPr>
          <w:rFonts w:ascii="Times New Roman" w:hAnsi="Times New Roman"/>
          <w:sz w:val="24"/>
          <w:szCs w:val="24"/>
          <w:lang w:val="sr-Cyrl-CS"/>
        </w:rPr>
      </w:pPr>
      <w:r w:rsidRPr="0093075D">
        <w:rPr>
          <w:rFonts w:ascii="Times New Roman" w:hAnsi="Times New Roman"/>
          <w:sz w:val="24"/>
          <w:szCs w:val="24"/>
          <w:lang w:val="sr-Cyrl-CS"/>
        </w:rPr>
        <w:lastRenderedPageBreak/>
        <w:t>Најсвеобухватније податке о процесуирању дела у вези са корупцијом има Републичко јавно тужилаштво, односно Одељење за борбу против корупције.</w:t>
      </w:r>
      <w:r w:rsidR="0093075D">
        <w:rPr>
          <w:rFonts w:ascii="Times New Roman" w:hAnsi="Times New Roman"/>
          <w:sz w:val="24"/>
          <w:szCs w:val="24"/>
        </w:rPr>
        <w:t xml:space="preserve"> </w:t>
      </w:r>
    </w:p>
    <w:p w:rsidR="00DA7766" w:rsidRPr="00370543" w:rsidRDefault="00255CEF" w:rsidP="00DA7766">
      <w:pPr>
        <w:jc w:val="both"/>
        <w:rPr>
          <w:rFonts w:ascii="Times New Roman" w:hAnsi="Times New Roman"/>
          <w:b/>
          <w:sz w:val="24"/>
          <w:szCs w:val="24"/>
          <w:lang w:val="sr-Cyrl-CS"/>
        </w:rPr>
      </w:pPr>
      <w:r>
        <w:rPr>
          <w:rFonts w:ascii="Times New Roman" w:hAnsi="Times New Roman"/>
          <w:b/>
          <w:sz w:val="24"/>
          <w:szCs w:val="24"/>
          <w:lang w:val="sr-Cyrl-CS"/>
        </w:rPr>
        <w:t>Табела 33</w:t>
      </w:r>
      <w:r w:rsidR="00B95075">
        <w:rPr>
          <w:rFonts w:ascii="Times New Roman" w:hAnsi="Times New Roman"/>
          <w:b/>
          <w:sz w:val="24"/>
          <w:szCs w:val="24"/>
          <w:lang w:val="sr-Cyrl-CS"/>
        </w:rPr>
        <w:t xml:space="preserve">. </w:t>
      </w:r>
      <w:r w:rsidR="00DA7766" w:rsidRPr="00370543">
        <w:rPr>
          <w:rFonts w:ascii="Times New Roman" w:hAnsi="Times New Roman"/>
          <w:b/>
          <w:sz w:val="24"/>
          <w:szCs w:val="24"/>
          <w:lang w:val="sr-Cyrl-CS"/>
        </w:rPr>
        <w:t>Табеларни преглед кривичних дела против привреде и службене дужности за период од 01.01.2012. до 31.12.2012. год. према подацима Републичког јавног тужилаштва у Београду:</w:t>
      </w:r>
    </w:p>
    <w:p w:rsidR="00DA7766" w:rsidRDefault="00DA7766" w:rsidP="00DA7766">
      <w:pPr>
        <w:jc w:val="both"/>
        <w:rPr>
          <w:rFonts w:ascii="Times New Roman" w:hAnsi="Times New Roman"/>
          <w:sz w:val="24"/>
          <w:szCs w:val="24"/>
          <w:lang w:val="sr-Cyrl-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17"/>
        <w:gridCol w:w="1001"/>
        <w:gridCol w:w="954"/>
        <w:gridCol w:w="962"/>
        <w:gridCol w:w="820"/>
        <w:gridCol w:w="880"/>
        <w:gridCol w:w="878"/>
        <w:gridCol w:w="1015"/>
        <w:gridCol w:w="824"/>
      </w:tblGrid>
      <w:tr w:rsidR="00DA7766" w:rsidRPr="00542899" w:rsidTr="00C5614B">
        <w:tc>
          <w:tcPr>
            <w:tcW w:w="1717"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чл. КЗ</w:t>
            </w:r>
          </w:p>
        </w:tc>
        <w:tc>
          <w:tcPr>
            <w:tcW w:w="1001"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18"/>
                <w:szCs w:val="18"/>
                <w:lang w:val="sr-Cyrl-CS"/>
              </w:rPr>
              <w:t>Нерешено из ранијег периода</w:t>
            </w:r>
          </w:p>
        </w:tc>
        <w:tc>
          <w:tcPr>
            <w:tcW w:w="954"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18"/>
                <w:szCs w:val="18"/>
                <w:lang w:val="sr-Cyrl-CS"/>
              </w:rPr>
              <w:t>Новопри-мљене пријаве</w:t>
            </w:r>
          </w:p>
        </w:tc>
        <w:tc>
          <w:tcPr>
            <w:tcW w:w="962" w:type="dxa"/>
          </w:tcPr>
          <w:p w:rsidR="00DA7766" w:rsidRPr="00542899" w:rsidRDefault="00DA7766" w:rsidP="00C5614B">
            <w:pPr>
              <w:jc w:val="both"/>
              <w:rPr>
                <w:rFonts w:ascii="Times New Roman" w:hAnsi="Times New Roman"/>
                <w:sz w:val="18"/>
                <w:szCs w:val="18"/>
                <w:lang w:val="sr-Cyrl-CS"/>
              </w:rPr>
            </w:pPr>
            <w:r w:rsidRPr="00542899">
              <w:rPr>
                <w:rFonts w:ascii="Times New Roman" w:hAnsi="Times New Roman"/>
                <w:sz w:val="18"/>
                <w:szCs w:val="18"/>
                <w:lang w:val="en-US"/>
              </w:rPr>
              <w:t>Укупно оптужено</w:t>
            </w:r>
          </w:p>
        </w:tc>
        <w:tc>
          <w:tcPr>
            <w:tcW w:w="820" w:type="dxa"/>
          </w:tcPr>
          <w:p w:rsidR="00DA7766" w:rsidRPr="00542899" w:rsidRDefault="00DA7766" w:rsidP="00C5614B">
            <w:pPr>
              <w:jc w:val="both"/>
              <w:rPr>
                <w:rFonts w:ascii="Times New Roman" w:hAnsi="Times New Roman"/>
                <w:sz w:val="18"/>
                <w:szCs w:val="18"/>
                <w:lang w:val="sr-Cyrl-CS"/>
              </w:rPr>
            </w:pPr>
            <w:r w:rsidRPr="00542899">
              <w:rPr>
                <w:rFonts w:ascii="Times New Roman" w:hAnsi="Times New Roman"/>
                <w:sz w:val="18"/>
                <w:szCs w:val="18"/>
                <w:lang w:val="sr-Cyrl-CS"/>
              </w:rPr>
              <w:t>Казне затвора</w:t>
            </w:r>
          </w:p>
        </w:tc>
        <w:tc>
          <w:tcPr>
            <w:tcW w:w="880" w:type="dxa"/>
          </w:tcPr>
          <w:p w:rsidR="00DA7766" w:rsidRPr="00542899" w:rsidRDefault="00DA7766" w:rsidP="00C5614B">
            <w:pPr>
              <w:jc w:val="both"/>
              <w:rPr>
                <w:rFonts w:ascii="Times New Roman" w:hAnsi="Times New Roman"/>
                <w:sz w:val="18"/>
                <w:szCs w:val="18"/>
                <w:lang w:val="sr-Cyrl-CS"/>
              </w:rPr>
            </w:pPr>
            <w:r w:rsidRPr="00542899">
              <w:rPr>
                <w:rFonts w:ascii="Times New Roman" w:hAnsi="Times New Roman"/>
                <w:sz w:val="18"/>
                <w:szCs w:val="18"/>
                <w:lang w:val="sr-Cyrl-CS"/>
              </w:rPr>
              <w:t>Новчана казна</w:t>
            </w:r>
          </w:p>
        </w:tc>
        <w:tc>
          <w:tcPr>
            <w:tcW w:w="878" w:type="dxa"/>
          </w:tcPr>
          <w:p w:rsidR="00DA7766" w:rsidRPr="00542899" w:rsidRDefault="00DA7766" w:rsidP="00C5614B">
            <w:pPr>
              <w:jc w:val="both"/>
              <w:rPr>
                <w:rFonts w:ascii="Times New Roman" w:hAnsi="Times New Roman"/>
                <w:sz w:val="18"/>
                <w:szCs w:val="18"/>
                <w:lang w:val="sr-Cyrl-CS"/>
              </w:rPr>
            </w:pPr>
            <w:r w:rsidRPr="00542899">
              <w:rPr>
                <w:rFonts w:ascii="Times New Roman" w:hAnsi="Times New Roman"/>
                <w:sz w:val="18"/>
                <w:szCs w:val="18"/>
                <w:lang w:val="sr-Cyrl-CS"/>
              </w:rPr>
              <w:t>Условна осуда</w:t>
            </w:r>
          </w:p>
        </w:tc>
        <w:tc>
          <w:tcPr>
            <w:tcW w:w="1015"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18"/>
                <w:szCs w:val="18"/>
                <w:lang w:val="sr-Cyrl-CS"/>
              </w:rPr>
              <w:t>Ослобође-но</w:t>
            </w:r>
          </w:p>
        </w:tc>
        <w:tc>
          <w:tcPr>
            <w:tcW w:w="824" w:type="dxa"/>
          </w:tcPr>
          <w:p w:rsidR="00DA7766" w:rsidRPr="00542899" w:rsidRDefault="00DA7766" w:rsidP="00C5614B">
            <w:pPr>
              <w:jc w:val="both"/>
              <w:rPr>
                <w:rFonts w:ascii="Times New Roman" w:hAnsi="Times New Roman"/>
                <w:sz w:val="18"/>
                <w:szCs w:val="18"/>
                <w:lang w:val="sr-Cyrl-CS"/>
              </w:rPr>
            </w:pPr>
            <w:r w:rsidRPr="00542899">
              <w:rPr>
                <w:rFonts w:ascii="Times New Roman" w:hAnsi="Times New Roman"/>
                <w:sz w:val="18"/>
                <w:szCs w:val="18"/>
                <w:lang w:val="sr-Cyrl-CS"/>
              </w:rPr>
              <w:t>Укупно пресуда</w:t>
            </w:r>
          </w:p>
        </w:tc>
      </w:tr>
      <w:tr w:rsidR="00DA7766" w:rsidRPr="00542899" w:rsidTr="00C5614B">
        <w:tc>
          <w:tcPr>
            <w:tcW w:w="1717" w:type="dxa"/>
          </w:tcPr>
          <w:p w:rsidR="00DA7766" w:rsidRPr="00542899" w:rsidRDefault="00DA7766" w:rsidP="00C5614B">
            <w:pPr>
              <w:jc w:val="both"/>
              <w:rPr>
                <w:rFonts w:ascii="Times New Roman" w:hAnsi="Times New Roman"/>
                <w:sz w:val="18"/>
                <w:szCs w:val="18"/>
                <w:lang w:val="sr-Cyrl-CS"/>
              </w:rPr>
            </w:pPr>
            <w:r w:rsidRPr="00542899">
              <w:rPr>
                <w:rFonts w:ascii="Times New Roman" w:hAnsi="Times New Roman"/>
                <w:sz w:val="18"/>
                <w:szCs w:val="18"/>
                <w:lang w:val="sr-Cyrl-CS"/>
              </w:rPr>
              <w:t>Крив.дела против привреде</w:t>
            </w:r>
          </w:p>
        </w:tc>
        <w:tc>
          <w:tcPr>
            <w:tcW w:w="1001" w:type="dxa"/>
          </w:tcPr>
          <w:p w:rsidR="00DA7766" w:rsidRPr="00542899" w:rsidRDefault="00DA7766" w:rsidP="00C5614B">
            <w:pPr>
              <w:jc w:val="both"/>
              <w:rPr>
                <w:rFonts w:ascii="Times New Roman" w:hAnsi="Times New Roman"/>
                <w:sz w:val="24"/>
                <w:szCs w:val="24"/>
                <w:lang w:val="sr-Cyrl-CS"/>
              </w:rPr>
            </w:pPr>
          </w:p>
        </w:tc>
        <w:tc>
          <w:tcPr>
            <w:tcW w:w="954" w:type="dxa"/>
          </w:tcPr>
          <w:p w:rsidR="00DA7766" w:rsidRPr="00542899" w:rsidRDefault="00DA7766" w:rsidP="00C5614B">
            <w:pPr>
              <w:jc w:val="both"/>
              <w:rPr>
                <w:rFonts w:ascii="Times New Roman" w:hAnsi="Times New Roman"/>
                <w:sz w:val="24"/>
                <w:szCs w:val="24"/>
                <w:lang w:val="sr-Cyrl-CS"/>
              </w:rPr>
            </w:pPr>
          </w:p>
        </w:tc>
        <w:tc>
          <w:tcPr>
            <w:tcW w:w="962" w:type="dxa"/>
          </w:tcPr>
          <w:p w:rsidR="00DA7766" w:rsidRPr="00542899" w:rsidRDefault="00DA7766" w:rsidP="00C5614B">
            <w:pPr>
              <w:jc w:val="both"/>
              <w:rPr>
                <w:rFonts w:ascii="Times New Roman" w:hAnsi="Times New Roman"/>
                <w:sz w:val="24"/>
                <w:szCs w:val="24"/>
                <w:lang w:val="sr-Cyrl-CS"/>
              </w:rPr>
            </w:pPr>
          </w:p>
        </w:tc>
        <w:tc>
          <w:tcPr>
            <w:tcW w:w="820" w:type="dxa"/>
          </w:tcPr>
          <w:p w:rsidR="00DA7766" w:rsidRPr="00542899" w:rsidRDefault="00DA7766" w:rsidP="00C5614B">
            <w:pPr>
              <w:jc w:val="both"/>
              <w:rPr>
                <w:rFonts w:ascii="Times New Roman" w:hAnsi="Times New Roman"/>
                <w:sz w:val="24"/>
                <w:szCs w:val="24"/>
                <w:lang w:val="sr-Cyrl-CS"/>
              </w:rPr>
            </w:pPr>
          </w:p>
        </w:tc>
        <w:tc>
          <w:tcPr>
            <w:tcW w:w="880" w:type="dxa"/>
          </w:tcPr>
          <w:p w:rsidR="00DA7766" w:rsidRPr="00542899" w:rsidRDefault="00DA7766" w:rsidP="00C5614B">
            <w:pPr>
              <w:jc w:val="both"/>
              <w:rPr>
                <w:rFonts w:ascii="Times New Roman" w:hAnsi="Times New Roman"/>
                <w:sz w:val="24"/>
                <w:szCs w:val="24"/>
                <w:lang w:val="sr-Cyrl-CS"/>
              </w:rPr>
            </w:pPr>
          </w:p>
        </w:tc>
        <w:tc>
          <w:tcPr>
            <w:tcW w:w="878" w:type="dxa"/>
          </w:tcPr>
          <w:p w:rsidR="00DA7766" w:rsidRPr="00542899" w:rsidRDefault="00DA7766" w:rsidP="00C5614B">
            <w:pPr>
              <w:jc w:val="both"/>
              <w:rPr>
                <w:rFonts w:ascii="Times New Roman" w:hAnsi="Times New Roman"/>
                <w:sz w:val="24"/>
                <w:szCs w:val="24"/>
                <w:lang w:val="sr-Cyrl-CS"/>
              </w:rPr>
            </w:pPr>
          </w:p>
        </w:tc>
        <w:tc>
          <w:tcPr>
            <w:tcW w:w="1015" w:type="dxa"/>
          </w:tcPr>
          <w:p w:rsidR="00DA7766" w:rsidRPr="00542899" w:rsidRDefault="00DA7766" w:rsidP="00C5614B">
            <w:pPr>
              <w:jc w:val="both"/>
              <w:rPr>
                <w:rFonts w:ascii="Times New Roman" w:hAnsi="Times New Roman"/>
                <w:sz w:val="24"/>
                <w:szCs w:val="24"/>
                <w:lang w:val="sr-Cyrl-CS"/>
              </w:rPr>
            </w:pPr>
          </w:p>
        </w:tc>
        <w:tc>
          <w:tcPr>
            <w:tcW w:w="824" w:type="dxa"/>
          </w:tcPr>
          <w:p w:rsidR="00DA7766" w:rsidRPr="00542899" w:rsidRDefault="00DA7766" w:rsidP="00C5614B">
            <w:pPr>
              <w:jc w:val="both"/>
              <w:rPr>
                <w:rFonts w:ascii="Times New Roman" w:hAnsi="Times New Roman"/>
                <w:sz w:val="24"/>
                <w:szCs w:val="24"/>
                <w:lang w:val="sr-Cyrl-CS"/>
              </w:rPr>
            </w:pPr>
          </w:p>
        </w:tc>
      </w:tr>
      <w:tr w:rsidR="00DA7766" w:rsidRPr="00542899" w:rsidTr="00C5614B">
        <w:tc>
          <w:tcPr>
            <w:tcW w:w="1717"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18"/>
                <w:szCs w:val="18"/>
                <w:lang w:val="sr-Cyrl-CS"/>
              </w:rPr>
              <w:t>Фасиф.новца (223)</w:t>
            </w:r>
          </w:p>
        </w:tc>
        <w:tc>
          <w:tcPr>
            <w:tcW w:w="1001"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35</w:t>
            </w:r>
          </w:p>
        </w:tc>
        <w:tc>
          <w:tcPr>
            <w:tcW w:w="954"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191</w:t>
            </w:r>
          </w:p>
        </w:tc>
        <w:tc>
          <w:tcPr>
            <w:tcW w:w="962"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99</w:t>
            </w:r>
          </w:p>
        </w:tc>
        <w:tc>
          <w:tcPr>
            <w:tcW w:w="820"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53</w:t>
            </w:r>
          </w:p>
        </w:tc>
        <w:tc>
          <w:tcPr>
            <w:tcW w:w="880"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13</w:t>
            </w:r>
          </w:p>
        </w:tc>
        <w:tc>
          <w:tcPr>
            <w:tcW w:w="878"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26</w:t>
            </w:r>
          </w:p>
        </w:tc>
        <w:tc>
          <w:tcPr>
            <w:tcW w:w="1015"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15</w:t>
            </w:r>
          </w:p>
        </w:tc>
        <w:tc>
          <w:tcPr>
            <w:tcW w:w="824"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95</w:t>
            </w:r>
          </w:p>
        </w:tc>
      </w:tr>
      <w:tr w:rsidR="00DA7766" w:rsidRPr="00542899" w:rsidTr="00C5614B">
        <w:tc>
          <w:tcPr>
            <w:tcW w:w="1717"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18"/>
                <w:szCs w:val="18"/>
                <w:lang w:val="sr-Cyrl-CS"/>
              </w:rPr>
              <w:t>Фалс. и злоуп. платне картице(225)</w:t>
            </w:r>
          </w:p>
        </w:tc>
        <w:tc>
          <w:tcPr>
            <w:tcW w:w="1001"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40</w:t>
            </w:r>
          </w:p>
        </w:tc>
        <w:tc>
          <w:tcPr>
            <w:tcW w:w="954"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156</w:t>
            </w:r>
          </w:p>
        </w:tc>
        <w:tc>
          <w:tcPr>
            <w:tcW w:w="962"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127</w:t>
            </w:r>
          </w:p>
        </w:tc>
        <w:tc>
          <w:tcPr>
            <w:tcW w:w="820"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41</w:t>
            </w:r>
          </w:p>
        </w:tc>
        <w:tc>
          <w:tcPr>
            <w:tcW w:w="880"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7</w:t>
            </w:r>
          </w:p>
        </w:tc>
        <w:tc>
          <w:tcPr>
            <w:tcW w:w="878"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53</w:t>
            </w:r>
          </w:p>
        </w:tc>
        <w:tc>
          <w:tcPr>
            <w:tcW w:w="1015"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3</w:t>
            </w:r>
          </w:p>
        </w:tc>
        <w:tc>
          <w:tcPr>
            <w:tcW w:w="824"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104</w:t>
            </w:r>
          </w:p>
        </w:tc>
      </w:tr>
      <w:tr w:rsidR="00DA7766" w:rsidRPr="00542899" w:rsidTr="00C5614B">
        <w:tc>
          <w:tcPr>
            <w:tcW w:w="1717" w:type="dxa"/>
          </w:tcPr>
          <w:p w:rsidR="00DA7766" w:rsidRPr="00542899" w:rsidRDefault="00DA7766" w:rsidP="00C5614B">
            <w:pPr>
              <w:jc w:val="both"/>
              <w:rPr>
                <w:rFonts w:ascii="Times New Roman" w:hAnsi="Times New Roman"/>
                <w:sz w:val="18"/>
                <w:szCs w:val="18"/>
                <w:lang w:val="sr-Cyrl-CS"/>
              </w:rPr>
            </w:pPr>
            <w:r w:rsidRPr="00542899">
              <w:rPr>
                <w:rFonts w:ascii="Times New Roman" w:hAnsi="Times New Roman"/>
                <w:sz w:val="18"/>
                <w:szCs w:val="18"/>
                <w:lang w:val="sr-Cyrl-CS"/>
              </w:rPr>
              <w:t>Издав. чека и коришћ.платне картице вез покрића(228)</w:t>
            </w:r>
          </w:p>
        </w:tc>
        <w:tc>
          <w:tcPr>
            <w:tcW w:w="1001"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643</w:t>
            </w:r>
          </w:p>
        </w:tc>
        <w:tc>
          <w:tcPr>
            <w:tcW w:w="954"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439</w:t>
            </w:r>
          </w:p>
        </w:tc>
        <w:tc>
          <w:tcPr>
            <w:tcW w:w="962"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253</w:t>
            </w:r>
          </w:p>
        </w:tc>
        <w:tc>
          <w:tcPr>
            <w:tcW w:w="820"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42</w:t>
            </w:r>
          </w:p>
        </w:tc>
        <w:tc>
          <w:tcPr>
            <w:tcW w:w="880"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11</w:t>
            </w:r>
          </w:p>
        </w:tc>
        <w:tc>
          <w:tcPr>
            <w:tcW w:w="878"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120</w:t>
            </w:r>
          </w:p>
        </w:tc>
        <w:tc>
          <w:tcPr>
            <w:tcW w:w="1015"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18</w:t>
            </w:r>
          </w:p>
        </w:tc>
        <w:tc>
          <w:tcPr>
            <w:tcW w:w="824"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174</w:t>
            </w:r>
          </w:p>
        </w:tc>
      </w:tr>
      <w:tr w:rsidR="00DA7766" w:rsidRPr="00542899" w:rsidTr="00C5614B">
        <w:tc>
          <w:tcPr>
            <w:tcW w:w="1717"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18"/>
                <w:szCs w:val="18"/>
                <w:lang w:val="sr-Cyrl-CS"/>
              </w:rPr>
              <w:t>Пореска утаја (229)</w:t>
            </w:r>
          </w:p>
        </w:tc>
        <w:tc>
          <w:tcPr>
            <w:tcW w:w="1001"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1827</w:t>
            </w:r>
          </w:p>
        </w:tc>
        <w:tc>
          <w:tcPr>
            <w:tcW w:w="954"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2101</w:t>
            </w:r>
          </w:p>
        </w:tc>
        <w:tc>
          <w:tcPr>
            <w:tcW w:w="962"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1364</w:t>
            </w:r>
          </w:p>
        </w:tc>
        <w:tc>
          <w:tcPr>
            <w:tcW w:w="820"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64</w:t>
            </w:r>
          </w:p>
        </w:tc>
        <w:tc>
          <w:tcPr>
            <w:tcW w:w="880"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29</w:t>
            </w:r>
          </w:p>
        </w:tc>
        <w:tc>
          <w:tcPr>
            <w:tcW w:w="878"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242</w:t>
            </w:r>
          </w:p>
        </w:tc>
        <w:tc>
          <w:tcPr>
            <w:tcW w:w="1015"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175</w:t>
            </w:r>
          </w:p>
        </w:tc>
        <w:tc>
          <w:tcPr>
            <w:tcW w:w="824"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342</w:t>
            </w:r>
          </w:p>
        </w:tc>
      </w:tr>
      <w:tr w:rsidR="00DA7766" w:rsidRPr="00542899" w:rsidTr="00C5614B">
        <w:tc>
          <w:tcPr>
            <w:tcW w:w="1717"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18"/>
                <w:szCs w:val="18"/>
                <w:lang w:val="sr-Cyrl-CS"/>
              </w:rPr>
              <w:t>Кријумчарење(230)</w:t>
            </w:r>
          </w:p>
        </w:tc>
        <w:tc>
          <w:tcPr>
            <w:tcW w:w="1001"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83</w:t>
            </w:r>
          </w:p>
        </w:tc>
        <w:tc>
          <w:tcPr>
            <w:tcW w:w="954"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163</w:t>
            </w:r>
          </w:p>
        </w:tc>
        <w:tc>
          <w:tcPr>
            <w:tcW w:w="962"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105</w:t>
            </w:r>
          </w:p>
        </w:tc>
        <w:tc>
          <w:tcPr>
            <w:tcW w:w="820"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10</w:t>
            </w:r>
          </w:p>
        </w:tc>
        <w:tc>
          <w:tcPr>
            <w:tcW w:w="880"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4</w:t>
            </w:r>
          </w:p>
        </w:tc>
        <w:tc>
          <w:tcPr>
            <w:tcW w:w="878"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71</w:t>
            </w:r>
          </w:p>
        </w:tc>
        <w:tc>
          <w:tcPr>
            <w:tcW w:w="1015"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23</w:t>
            </w:r>
          </w:p>
        </w:tc>
        <w:tc>
          <w:tcPr>
            <w:tcW w:w="824"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85</w:t>
            </w:r>
          </w:p>
        </w:tc>
      </w:tr>
      <w:tr w:rsidR="00DA7766" w:rsidRPr="00542899" w:rsidTr="00C5614B">
        <w:tc>
          <w:tcPr>
            <w:tcW w:w="1717"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18"/>
                <w:szCs w:val="18"/>
                <w:lang w:val="sr-Cyrl-CS"/>
              </w:rPr>
              <w:t>Прање новца (231)</w:t>
            </w:r>
          </w:p>
        </w:tc>
        <w:tc>
          <w:tcPr>
            <w:tcW w:w="1001"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6</w:t>
            </w:r>
          </w:p>
        </w:tc>
        <w:tc>
          <w:tcPr>
            <w:tcW w:w="954"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48</w:t>
            </w:r>
          </w:p>
        </w:tc>
        <w:tc>
          <w:tcPr>
            <w:tcW w:w="962"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20</w:t>
            </w:r>
          </w:p>
        </w:tc>
        <w:tc>
          <w:tcPr>
            <w:tcW w:w="820"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2</w:t>
            </w:r>
          </w:p>
        </w:tc>
        <w:tc>
          <w:tcPr>
            <w:tcW w:w="880" w:type="dxa"/>
          </w:tcPr>
          <w:p w:rsidR="00DA7766" w:rsidRPr="00542899" w:rsidRDefault="00DA7766" w:rsidP="00C5614B">
            <w:pPr>
              <w:jc w:val="both"/>
              <w:rPr>
                <w:rFonts w:ascii="Times New Roman" w:hAnsi="Times New Roman"/>
                <w:sz w:val="24"/>
                <w:szCs w:val="24"/>
                <w:lang w:val="sr-Cyrl-CS"/>
              </w:rPr>
            </w:pPr>
          </w:p>
        </w:tc>
        <w:tc>
          <w:tcPr>
            <w:tcW w:w="878" w:type="dxa"/>
          </w:tcPr>
          <w:p w:rsidR="00DA7766" w:rsidRPr="00542899" w:rsidRDefault="00DA7766" w:rsidP="00C5614B">
            <w:pPr>
              <w:jc w:val="both"/>
              <w:rPr>
                <w:rFonts w:ascii="Times New Roman" w:hAnsi="Times New Roman"/>
                <w:sz w:val="24"/>
                <w:szCs w:val="24"/>
                <w:lang w:val="sr-Cyrl-CS"/>
              </w:rPr>
            </w:pPr>
          </w:p>
        </w:tc>
        <w:tc>
          <w:tcPr>
            <w:tcW w:w="1015"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1</w:t>
            </w:r>
          </w:p>
        </w:tc>
        <w:tc>
          <w:tcPr>
            <w:tcW w:w="824"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2</w:t>
            </w:r>
          </w:p>
        </w:tc>
      </w:tr>
      <w:tr w:rsidR="00DA7766" w:rsidRPr="00542899" w:rsidTr="00C5614B">
        <w:tc>
          <w:tcPr>
            <w:tcW w:w="1717"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18"/>
                <w:szCs w:val="18"/>
                <w:lang w:val="sr-Cyrl-CS"/>
              </w:rPr>
              <w:t>Проузроков. Стечаја (235)</w:t>
            </w:r>
          </w:p>
        </w:tc>
        <w:tc>
          <w:tcPr>
            <w:tcW w:w="1001"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5</w:t>
            </w:r>
          </w:p>
        </w:tc>
        <w:tc>
          <w:tcPr>
            <w:tcW w:w="954"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44</w:t>
            </w:r>
          </w:p>
        </w:tc>
        <w:tc>
          <w:tcPr>
            <w:tcW w:w="962"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3</w:t>
            </w:r>
          </w:p>
        </w:tc>
        <w:tc>
          <w:tcPr>
            <w:tcW w:w="820"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2</w:t>
            </w:r>
          </w:p>
        </w:tc>
        <w:tc>
          <w:tcPr>
            <w:tcW w:w="880" w:type="dxa"/>
          </w:tcPr>
          <w:p w:rsidR="00DA7766" w:rsidRPr="00542899" w:rsidRDefault="00DA7766" w:rsidP="00C5614B">
            <w:pPr>
              <w:jc w:val="both"/>
              <w:rPr>
                <w:rFonts w:ascii="Times New Roman" w:hAnsi="Times New Roman"/>
                <w:sz w:val="24"/>
                <w:szCs w:val="24"/>
                <w:lang w:val="sr-Cyrl-CS"/>
              </w:rPr>
            </w:pPr>
          </w:p>
        </w:tc>
        <w:tc>
          <w:tcPr>
            <w:tcW w:w="878"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2</w:t>
            </w:r>
          </w:p>
        </w:tc>
        <w:tc>
          <w:tcPr>
            <w:tcW w:w="1015" w:type="dxa"/>
          </w:tcPr>
          <w:p w:rsidR="00DA7766" w:rsidRPr="00542899" w:rsidRDefault="00DA7766" w:rsidP="00C5614B">
            <w:pPr>
              <w:jc w:val="both"/>
              <w:rPr>
                <w:rFonts w:ascii="Times New Roman" w:hAnsi="Times New Roman"/>
                <w:sz w:val="24"/>
                <w:szCs w:val="24"/>
                <w:lang w:val="sr-Cyrl-CS"/>
              </w:rPr>
            </w:pPr>
          </w:p>
        </w:tc>
        <w:tc>
          <w:tcPr>
            <w:tcW w:w="824"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4</w:t>
            </w:r>
          </w:p>
        </w:tc>
      </w:tr>
      <w:tr w:rsidR="00DA7766" w:rsidRPr="00542899" w:rsidTr="00C5614B">
        <w:tc>
          <w:tcPr>
            <w:tcW w:w="1717"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18"/>
                <w:szCs w:val="18"/>
                <w:lang w:val="sr-Cyrl-CS"/>
              </w:rPr>
              <w:t>Злоуп.овл.у привреди (238)</w:t>
            </w:r>
          </w:p>
        </w:tc>
        <w:tc>
          <w:tcPr>
            <w:tcW w:w="1001"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666</w:t>
            </w:r>
          </w:p>
        </w:tc>
        <w:tc>
          <w:tcPr>
            <w:tcW w:w="954"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984</w:t>
            </w:r>
          </w:p>
        </w:tc>
        <w:tc>
          <w:tcPr>
            <w:tcW w:w="962"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303</w:t>
            </w:r>
          </w:p>
        </w:tc>
        <w:tc>
          <w:tcPr>
            <w:tcW w:w="820"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17</w:t>
            </w:r>
          </w:p>
        </w:tc>
        <w:tc>
          <w:tcPr>
            <w:tcW w:w="880"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2</w:t>
            </w:r>
          </w:p>
        </w:tc>
        <w:tc>
          <w:tcPr>
            <w:tcW w:w="878"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110</w:t>
            </w:r>
          </w:p>
        </w:tc>
        <w:tc>
          <w:tcPr>
            <w:tcW w:w="1015"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68</w:t>
            </w:r>
          </w:p>
        </w:tc>
        <w:tc>
          <w:tcPr>
            <w:tcW w:w="824"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129</w:t>
            </w:r>
          </w:p>
        </w:tc>
      </w:tr>
      <w:tr w:rsidR="00DA7766" w:rsidRPr="00542899" w:rsidTr="00C5614B">
        <w:tc>
          <w:tcPr>
            <w:tcW w:w="1717" w:type="dxa"/>
          </w:tcPr>
          <w:p w:rsidR="00DA7766" w:rsidRPr="00542899" w:rsidRDefault="00DA7766" w:rsidP="00C5614B">
            <w:pPr>
              <w:jc w:val="both"/>
              <w:rPr>
                <w:rFonts w:ascii="Times New Roman" w:hAnsi="Times New Roman"/>
                <w:sz w:val="18"/>
                <w:szCs w:val="18"/>
                <w:lang w:val="sr-Cyrl-CS"/>
              </w:rPr>
            </w:pPr>
            <w:r w:rsidRPr="00542899">
              <w:rPr>
                <w:rFonts w:ascii="Times New Roman" w:hAnsi="Times New Roman"/>
                <w:sz w:val="18"/>
                <w:szCs w:val="18"/>
                <w:lang w:val="sr-Cyrl-CS"/>
              </w:rPr>
              <w:t>Недозв. производња(242)</w:t>
            </w:r>
          </w:p>
        </w:tc>
        <w:tc>
          <w:tcPr>
            <w:tcW w:w="1001"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3</w:t>
            </w:r>
          </w:p>
        </w:tc>
        <w:tc>
          <w:tcPr>
            <w:tcW w:w="954"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12</w:t>
            </w:r>
          </w:p>
        </w:tc>
        <w:tc>
          <w:tcPr>
            <w:tcW w:w="962"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7</w:t>
            </w:r>
          </w:p>
        </w:tc>
        <w:tc>
          <w:tcPr>
            <w:tcW w:w="820" w:type="dxa"/>
          </w:tcPr>
          <w:p w:rsidR="00DA7766" w:rsidRPr="00542899" w:rsidRDefault="00DA7766" w:rsidP="00C5614B">
            <w:pPr>
              <w:jc w:val="both"/>
              <w:rPr>
                <w:rFonts w:ascii="Times New Roman" w:hAnsi="Times New Roman"/>
                <w:sz w:val="24"/>
                <w:szCs w:val="24"/>
                <w:lang w:val="sr-Cyrl-CS"/>
              </w:rPr>
            </w:pPr>
          </w:p>
        </w:tc>
        <w:tc>
          <w:tcPr>
            <w:tcW w:w="880"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3</w:t>
            </w:r>
          </w:p>
        </w:tc>
        <w:tc>
          <w:tcPr>
            <w:tcW w:w="878"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5</w:t>
            </w:r>
          </w:p>
        </w:tc>
        <w:tc>
          <w:tcPr>
            <w:tcW w:w="1015" w:type="dxa"/>
          </w:tcPr>
          <w:p w:rsidR="00DA7766" w:rsidRPr="00542899" w:rsidRDefault="00DA7766" w:rsidP="00C5614B">
            <w:pPr>
              <w:jc w:val="both"/>
              <w:rPr>
                <w:rFonts w:ascii="Times New Roman" w:hAnsi="Times New Roman"/>
                <w:sz w:val="24"/>
                <w:szCs w:val="24"/>
                <w:lang w:val="sr-Cyrl-CS"/>
              </w:rPr>
            </w:pPr>
          </w:p>
        </w:tc>
        <w:tc>
          <w:tcPr>
            <w:tcW w:w="824"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8</w:t>
            </w:r>
          </w:p>
        </w:tc>
      </w:tr>
      <w:tr w:rsidR="00DA7766" w:rsidRPr="00542899" w:rsidTr="00C5614B">
        <w:tc>
          <w:tcPr>
            <w:tcW w:w="1717"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18"/>
                <w:szCs w:val="18"/>
                <w:lang w:val="sr-Cyrl-CS"/>
              </w:rPr>
              <w:t>Нед. Трговина(243)</w:t>
            </w:r>
          </w:p>
        </w:tc>
        <w:tc>
          <w:tcPr>
            <w:tcW w:w="1001"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195</w:t>
            </w:r>
          </w:p>
        </w:tc>
        <w:tc>
          <w:tcPr>
            <w:tcW w:w="954"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389</w:t>
            </w:r>
          </w:p>
        </w:tc>
        <w:tc>
          <w:tcPr>
            <w:tcW w:w="962"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294</w:t>
            </w:r>
          </w:p>
        </w:tc>
        <w:tc>
          <w:tcPr>
            <w:tcW w:w="820"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5</w:t>
            </w:r>
          </w:p>
        </w:tc>
        <w:tc>
          <w:tcPr>
            <w:tcW w:w="880"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34</w:t>
            </w:r>
          </w:p>
        </w:tc>
        <w:tc>
          <w:tcPr>
            <w:tcW w:w="878"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69</w:t>
            </w:r>
          </w:p>
        </w:tc>
        <w:tc>
          <w:tcPr>
            <w:tcW w:w="1015"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27</w:t>
            </w:r>
          </w:p>
        </w:tc>
        <w:tc>
          <w:tcPr>
            <w:tcW w:w="824"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109</w:t>
            </w:r>
          </w:p>
        </w:tc>
      </w:tr>
      <w:tr w:rsidR="00DA7766" w:rsidRPr="00542899" w:rsidTr="00C5614B">
        <w:tc>
          <w:tcPr>
            <w:tcW w:w="1717"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18"/>
                <w:szCs w:val="18"/>
                <w:lang w:val="sr-Cyrl-CS"/>
              </w:rPr>
              <w:t>Остала кд. против.привреде</w:t>
            </w:r>
          </w:p>
        </w:tc>
        <w:tc>
          <w:tcPr>
            <w:tcW w:w="1001"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536</w:t>
            </w:r>
          </w:p>
        </w:tc>
        <w:tc>
          <w:tcPr>
            <w:tcW w:w="954"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492</w:t>
            </w:r>
          </w:p>
        </w:tc>
        <w:tc>
          <w:tcPr>
            <w:tcW w:w="962"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234</w:t>
            </w:r>
          </w:p>
        </w:tc>
        <w:tc>
          <w:tcPr>
            <w:tcW w:w="820"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19</w:t>
            </w:r>
          </w:p>
        </w:tc>
        <w:tc>
          <w:tcPr>
            <w:tcW w:w="880"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6</w:t>
            </w:r>
          </w:p>
        </w:tc>
        <w:tc>
          <w:tcPr>
            <w:tcW w:w="878"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114</w:t>
            </w:r>
          </w:p>
        </w:tc>
        <w:tc>
          <w:tcPr>
            <w:tcW w:w="1015"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52</w:t>
            </w:r>
          </w:p>
        </w:tc>
        <w:tc>
          <w:tcPr>
            <w:tcW w:w="824"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141</w:t>
            </w:r>
          </w:p>
        </w:tc>
      </w:tr>
      <w:tr w:rsidR="00DA7766" w:rsidRPr="00542899" w:rsidTr="00C5614B">
        <w:tc>
          <w:tcPr>
            <w:tcW w:w="1717"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Укупно I</w:t>
            </w:r>
          </w:p>
        </w:tc>
        <w:tc>
          <w:tcPr>
            <w:tcW w:w="1001"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4039</w:t>
            </w:r>
          </w:p>
        </w:tc>
        <w:tc>
          <w:tcPr>
            <w:tcW w:w="954"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5019</w:t>
            </w:r>
          </w:p>
        </w:tc>
        <w:tc>
          <w:tcPr>
            <w:tcW w:w="962"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2809</w:t>
            </w:r>
          </w:p>
        </w:tc>
        <w:tc>
          <w:tcPr>
            <w:tcW w:w="820"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255</w:t>
            </w:r>
          </w:p>
        </w:tc>
        <w:tc>
          <w:tcPr>
            <w:tcW w:w="880"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109</w:t>
            </w:r>
          </w:p>
        </w:tc>
        <w:tc>
          <w:tcPr>
            <w:tcW w:w="878"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812</w:t>
            </w:r>
          </w:p>
        </w:tc>
        <w:tc>
          <w:tcPr>
            <w:tcW w:w="1015"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382</w:t>
            </w:r>
          </w:p>
        </w:tc>
        <w:tc>
          <w:tcPr>
            <w:tcW w:w="824"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1193</w:t>
            </w:r>
          </w:p>
        </w:tc>
      </w:tr>
      <w:tr w:rsidR="00DA7766" w:rsidRPr="00542899" w:rsidTr="00C5614B">
        <w:tc>
          <w:tcPr>
            <w:tcW w:w="1717"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18"/>
                <w:szCs w:val="18"/>
                <w:lang w:val="sr-Cyrl-CS"/>
              </w:rPr>
              <w:t>кд. против сл. дужности</w:t>
            </w:r>
          </w:p>
        </w:tc>
        <w:tc>
          <w:tcPr>
            <w:tcW w:w="1001" w:type="dxa"/>
          </w:tcPr>
          <w:p w:rsidR="00DA7766" w:rsidRPr="00542899" w:rsidRDefault="00DA7766" w:rsidP="00C5614B">
            <w:pPr>
              <w:jc w:val="both"/>
              <w:rPr>
                <w:rFonts w:ascii="Times New Roman" w:hAnsi="Times New Roman"/>
                <w:sz w:val="24"/>
                <w:szCs w:val="24"/>
                <w:lang w:val="sr-Cyrl-CS"/>
              </w:rPr>
            </w:pPr>
          </w:p>
        </w:tc>
        <w:tc>
          <w:tcPr>
            <w:tcW w:w="954" w:type="dxa"/>
          </w:tcPr>
          <w:p w:rsidR="00DA7766" w:rsidRPr="00542899" w:rsidRDefault="00DA7766" w:rsidP="00C5614B">
            <w:pPr>
              <w:jc w:val="both"/>
              <w:rPr>
                <w:rFonts w:ascii="Times New Roman" w:hAnsi="Times New Roman"/>
                <w:sz w:val="24"/>
                <w:szCs w:val="24"/>
                <w:lang w:val="sr-Cyrl-CS"/>
              </w:rPr>
            </w:pPr>
          </w:p>
        </w:tc>
        <w:tc>
          <w:tcPr>
            <w:tcW w:w="962" w:type="dxa"/>
          </w:tcPr>
          <w:p w:rsidR="00DA7766" w:rsidRPr="00542899" w:rsidRDefault="00DA7766" w:rsidP="00C5614B">
            <w:pPr>
              <w:jc w:val="both"/>
              <w:rPr>
                <w:rFonts w:ascii="Times New Roman" w:hAnsi="Times New Roman"/>
                <w:sz w:val="24"/>
                <w:szCs w:val="24"/>
                <w:lang w:val="sr-Cyrl-CS"/>
              </w:rPr>
            </w:pPr>
          </w:p>
        </w:tc>
        <w:tc>
          <w:tcPr>
            <w:tcW w:w="820" w:type="dxa"/>
          </w:tcPr>
          <w:p w:rsidR="00DA7766" w:rsidRPr="00542899" w:rsidRDefault="00DA7766" w:rsidP="00C5614B">
            <w:pPr>
              <w:jc w:val="both"/>
              <w:rPr>
                <w:rFonts w:ascii="Times New Roman" w:hAnsi="Times New Roman"/>
                <w:sz w:val="24"/>
                <w:szCs w:val="24"/>
                <w:lang w:val="sr-Cyrl-CS"/>
              </w:rPr>
            </w:pPr>
          </w:p>
        </w:tc>
        <w:tc>
          <w:tcPr>
            <w:tcW w:w="880" w:type="dxa"/>
          </w:tcPr>
          <w:p w:rsidR="00DA7766" w:rsidRPr="00542899" w:rsidRDefault="00DA7766" w:rsidP="00C5614B">
            <w:pPr>
              <w:jc w:val="both"/>
              <w:rPr>
                <w:rFonts w:ascii="Times New Roman" w:hAnsi="Times New Roman"/>
                <w:sz w:val="24"/>
                <w:szCs w:val="24"/>
                <w:lang w:val="sr-Cyrl-CS"/>
              </w:rPr>
            </w:pPr>
          </w:p>
        </w:tc>
        <w:tc>
          <w:tcPr>
            <w:tcW w:w="878" w:type="dxa"/>
          </w:tcPr>
          <w:p w:rsidR="00DA7766" w:rsidRPr="00542899" w:rsidRDefault="00DA7766" w:rsidP="00C5614B">
            <w:pPr>
              <w:jc w:val="both"/>
              <w:rPr>
                <w:rFonts w:ascii="Times New Roman" w:hAnsi="Times New Roman"/>
                <w:sz w:val="24"/>
                <w:szCs w:val="24"/>
                <w:lang w:val="sr-Cyrl-CS"/>
              </w:rPr>
            </w:pPr>
          </w:p>
        </w:tc>
        <w:tc>
          <w:tcPr>
            <w:tcW w:w="1015" w:type="dxa"/>
          </w:tcPr>
          <w:p w:rsidR="00DA7766" w:rsidRPr="00542899" w:rsidRDefault="00DA7766" w:rsidP="00C5614B">
            <w:pPr>
              <w:jc w:val="both"/>
              <w:rPr>
                <w:rFonts w:ascii="Times New Roman" w:hAnsi="Times New Roman"/>
                <w:sz w:val="24"/>
                <w:szCs w:val="24"/>
                <w:lang w:val="sr-Cyrl-CS"/>
              </w:rPr>
            </w:pPr>
          </w:p>
        </w:tc>
        <w:tc>
          <w:tcPr>
            <w:tcW w:w="824" w:type="dxa"/>
          </w:tcPr>
          <w:p w:rsidR="00DA7766" w:rsidRPr="00542899" w:rsidRDefault="00DA7766" w:rsidP="00C5614B">
            <w:pPr>
              <w:jc w:val="both"/>
              <w:rPr>
                <w:rFonts w:ascii="Times New Roman" w:hAnsi="Times New Roman"/>
                <w:sz w:val="24"/>
                <w:szCs w:val="24"/>
                <w:lang w:val="sr-Cyrl-CS"/>
              </w:rPr>
            </w:pPr>
          </w:p>
        </w:tc>
      </w:tr>
      <w:tr w:rsidR="00DA7766" w:rsidRPr="00542899" w:rsidTr="00C5614B">
        <w:tc>
          <w:tcPr>
            <w:tcW w:w="1717"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18"/>
                <w:szCs w:val="18"/>
                <w:lang w:val="sr-Cyrl-CS"/>
              </w:rPr>
              <w:t>Зл. служб. пол. (359)</w:t>
            </w:r>
          </w:p>
        </w:tc>
        <w:tc>
          <w:tcPr>
            <w:tcW w:w="1001"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3287</w:t>
            </w:r>
          </w:p>
        </w:tc>
        <w:tc>
          <w:tcPr>
            <w:tcW w:w="954"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4222</w:t>
            </w:r>
          </w:p>
        </w:tc>
        <w:tc>
          <w:tcPr>
            <w:tcW w:w="962"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2011</w:t>
            </w:r>
          </w:p>
        </w:tc>
        <w:tc>
          <w:tcPr>
            <w:tcW w:w="820"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271</w:t>
            </w:r>
          </w:p>
        </w:tc>
        <w:tc>
          <w:tcPr>
            <w:tcW w:w="880"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30</w:t>
            </w:r>
          </w:p>
        </w:tc>
        <w:tc>
          <w:tcPr>
            <w:tcW w:w="878"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506</w:t>
            </w:r>
          </w:p>
        </w:tc>
        <w:tc>
          <w:tcPr>
            <w:tcW w:w="1015"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329</w:t>
            </w:r>
          </w:p>
        </w:tc>
        <w:tc>
          <w:tcPr>
            <w:tcW w:w="824"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830</w:t>
            </w:r>
          </w:p>
        </w:tc>
      </w:tr>
      <w:tr w:rsidR="00DA7766" w:rsidRPr="00542899" w:rsidTr="00C5614B">
        <w:tc>
          <w:tcPr>
            <w:tcW w:w="1717"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18"/>
                <w:szCs w:val="18"/>
                <w:lang w:val="sr-Cyrl-CS"/>
              </w:rPr>
              <w:lastRenderedPageBreak/>
              <w:t>Кршење закона од стр. судије, ЈТ или његовог заменика(360)</w:t>
            </w:r>
          </w:p>
        </w:tc>
        <w:tc>
          <w:tcPr>
            <w:tcW w:w="1001"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250</w:t>
            </w:r>
          </w:p>
        </w:tc>
        <w:tc>
          <w:tcPr>
            <w:tcW w:w="954"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1159</w:t>
            </w:r>
          </w:p>
        </w:tc>
        <w:tc>
          <w:tcPr>
            <w:tcW w:w="962"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9</w:t>
            </w:r>
          </w:p>
        </w:tc>
        <w:tc>
          <w:tcPr>
            <w:tcW w:w="820"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4</w:t>
            </w:r>
          </w:p>
        </w:tc>
        <w:tc>
          <w:tcPr>
            <w:tcW w:w="880" w:type="dxa"/>
          </w:tcPr>
          <w:p w:rsidR="00DA7766" w:rsidRPr="00542899" w:rsidRDefault="00DA7766" w:rsidP="00C5614B">
            <w:pPr>
              <w:jc w:val="both"/>
              <w:rPr>
                <w:rFonts w:ascii="Times New Roman" w:hAnsi="Times New Roman"/>
                <w:sz w:val="24"/>
                <w:szCs w:val="24"/>
                <w:lang w:val="sr-Cyrl-CS"/>
              </w:rPr>
            </w:pPr>
          </w:p>
        </w:tc>
        <w:tc>
          <w:tcPr>
            <w:tcW w:w="878"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2</w:t>
            </w:r>
          </w:p>
        </w:tc>
        <w:tc>
          <w:tcPr>
            <w:tcW w:w="1015"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1</w:t>
            </w:r>
          </w:p>
        </w:tc>
        <w:tc>
          <w:tcPr>
            <w:tcW w:w="824"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6</w:t>
            </w:r>
          </w:p>
        </w:tc>
      </w:tr>
      <w:tr w:rsidR="00DA7766" w:rsidRPr="00542899" w:rsidTr="00C5614B">
        <w:tc>
          <w:tcPr>
            <w:tcW w:w="1717"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18"/>
                <w:szCs w:val="18"/>
                <w:lang w:val="sr-Cyrl-CS"/>
              </w:rPr>
              <w:t>Проневера(364)</w:t>
            </w:r>
          </w:p>
        </w:tc>
        <w:tc>
          <w:tcPr>
            <w:tcW w:w="1001"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806</w:t>
            </w:r>
          </w:p>
        </w:tc>
        <w:tc>
          <w:tcPr>
            <w:tcW w:w="954"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694</w:t>
            </w:r>
          </w:p>
        </w:tc>
        <w:tc>
          <w:tcPr>
            <w:tcW w:w="962"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342</w:t>
            </w:r>
          </w:p>
        </w:tc>
        <w:tc>
          <w:tcPr>
            <w:tcW w:w="820"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54</w:t>
            </w:r>
          </w:p>
        </w:tc>
        <w:tc>
          <w:tcPr>
            <w:tcW w:w="880"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1</w:t>
            </w:r>
          </w:p>
        </w:tc>
        <w:tc>
          <w:tcPr>
            <w:tcW w:w="878"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222</w:t>
            </w:r>
          </w:p>
        </w:tc>
        <w:tc>
          <w:tcPr>
            <w:tcW w:w="1015"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43</w:t>
            </w:r>
          </w:p>
        </w:tc>
        <w:tc>
          <w:tcPr>
            <w:tcW w:w="824"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278</w:t>
            </w:r>
          </w:p>
        </w:tc>
      </w:tr>
      <w:tr w:rsidR="00DA7766" w:rsidRPr="00542899" w:rsidTr="00C5614B">
        <w:tc>
          <w:tcPr>
            <w:tcW w:w="1717"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18"/>
                <w:szCs w:val="18"/>
                <w:lang w:val="sr-Cyrl-CS"/>
              </w:rPr>
              <w:t>Трговина утицај (366)</w:t>
            </w:r>
          </w:p>
        </w:tc>
        <w:tc>
          <w:tcPr>
            <w:tcW w:w="1001"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6</w:t>
            </w:r>
          </w:p>
        </w:tc>
        <w:tc>
          <w:tcPr>
            <w:tcW w:w="954"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37</w:t>
            </w:r>
          </w:p>
        </w:tc>
        <w:tc>
          <w:tcPr>
            <w:tcW w:w="962"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12</w:t>
            </w:r>
          </w:p>
        </w:tc>
        <w:tc>
          <w:tcPr>
            <w:tcW w:w="820"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5</w:t>
            </w:r>
          </w:p>
        </w:tc>
        <w:tc>
          <w:tcPr>
            <w:tcW w:w="880" w:type="dxa"/>
          </w:tcPr>
          <w:p w:rsidR="00DA7766" w:rsidRPr="00542899" w:rsidRDefault="00DA7766" w:rsidP="00C5614B">
            <w:pPr>
              <w:jc w:val="both"/>
              <w:rPr>
                <w:rFonts w:ascii="Times New Roman" w:hAnsi="Times New Roman"/>
                <w:sz w:val="24"/>
                <w:szCs w:val="24"/>
                <w:lang w:val="sr-Cyrl-CS"/>
              </w:rPr>
            </w:pPr>
          </w:p>
        </w:tc>
        <w:tc>
          <w:tcPr>
            <w:tcW w:w="878"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7</w:t>
            </w:r>
          </w:p>
        </w:tc>
        <w:tc>
          <w:tcPr>
            <w:tcW w:w="1015" w:type="dxa"/>
          </w:tcPr>
          <w:p w:rsidR="00DA7766" w:rsidRPr="00542899" w:rsidRDefault="00DA7766" w:rsidP="00C5614B">
            <w:pPr>
              <w:jc w:val="both"/>
              <w:rPr>
                <w:rFonts w:ascii="Times New Roman" w:hAnsi="Times New Roman"/>
                <w:sz w:val="24"/>
                <w:szCs w:val="24"/>
                <w:lang w:val="sr-Cyrl-CS"/>
              </w:rPr>
            </w:pPr>
          </w:p>
        </w:tc>
        <w:tc>
          <w:tcPr>
            <w:tcW w:w="824"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12</w:t>
            </w:r>
          </w:p>
        </w:tc>
      </w:tr>
      <w:tr w:rsidR="00DA7766" w:rsidRPr="00542899" w:rsidTr="00C5614B">
        <w:tc>
          <w:tcPr>
            <w:tcW w:w="1717"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18"/>
                <w:szCs w:val="18"/>
                <w:lang w:val="sr-Cyrl-CS"/>
              </w:rPr>
              <w:t>Примање мита (367)</w:t>
            </w:r>
          </w:p>
        </w:tc>
        <w:tc>
          <w:tcPr>
            <w:tcW w:w="1001"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27</w:t>
            </w:r>
          </w:p>
        </w:tc>
        <w:tc>
          <w:tcPr>
            <w:tcW w:w="954"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128</w:t>
            </w:r>
          </w:p>
        </w:tc>
        <w:tc>
          <w:tcPr>
            <w:tcW w:w="962"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66</w:t>
            </w:r>
          </w:p>
        </w:tc>
        <w:tc>
          <w:tcPr>
            <w:tcW w:w="820"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42</w:t>
            </w:r>
          </w:p>
        </w:tc>
        <w:tc>
          <w:tcPr>
            <w:tcW w:w="880"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1</w:t>
            </w:r>
          </w:p>
        </w:tc>
        <w:tc>
          <w:tcPr>
            <w:tcW w:w="878"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7</w:t>
            </w:r>
          </w:p>
        </w:tc>
        <w:tc>
          <w:tcPr>
            <w:tcW w:w="1015"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3</w:t>
            </w:r>
          </w:p>
        </w:tc>
        <w:tc>
          <w:tcPr>
            <w:tcW w:w="824"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51</w:t>
            </w:r>
          </w:p>
        </w:tc>
      </w:tr>
      <w:tr w:rsidR="00DA7766" w:rsidRPr="00542899" w:rsidTr="00C5614B">
        <w:tc>
          <w:tcPr>
            <w:tcW w:w="1717"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18"/>
                <w:szCs w:val="18"/>
                <w:lang w:val="sr-Cyrl-CS"/>
              </w:rPr>
              <w:t>Давање мита (368)</w:t>
            </w:r>
          </w:p>
        </w:tc>
        <w:tc>
          <w:tcPr>
            <w:tcW w:w="1001"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51</w:t>
            </w:r>
          </w:p>
        </w:tc>
        <w:tc>
          <w:tcPr>
            <w:tcW w:w="954"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106</w:t>
            </w:r>
          </w:p>
        </w:tc>
        <w:tc>
          <w:tcPr>
            <w:tcW w:w="962"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153</w:t>
            </w:r>
          </w:p>
        </w:tc>
        <w:tc>
          <w:tcPr>
            <w:tcW w:w="820"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10</w:t>
            </w:r>
          </w:p>
        </w:tc>
        <w:tc>
          <w:tcPr>
            <w:tcW w:w="880" w:type="dxa"/>
          </w:tcPr>
          <w:p w:rsidR="00DA7766" w:rsidRPr="00542899" w:rsidRDefault="00DA7766" w:rsidP="00C5614B">
            <w:pPr>
              <w:jc w:val="both"/>
              <w:rPr>
                <w:rFonts w:ascii="Times New Roman" w:hAnsi="Times New Roman"/>
                <w:sz w:val="24"/>
                <w:szCs w:val="24"/>
                <w:lang w:val="sr-Cyrl-CS"/>
              </w:rPr>
            </w:pPr>
          </w:p>
        </w:tc>
        <w:tc>
          <w:tcPr>
            <w:tcW w:w="878"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25</w:t>
            </w:r>
          </w:p>
        </w:tc>
        <w:tc>
          <w:tcPr>
            <w:tcW w:w="1015"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8</w:t>
            </w:r>
          </w:p>
        </w:tc>
        <w:tc>
          <w:tcPr>
            <w:tcW w:w="824"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36</w:t>
            </w:r>
          </w:p>
        </w:tc>
      </w:tr>
      <w:tr w:rsidR="00DA7766" w:rsidRPr="00542899" w:rsidTr="00C5614B">
        <w:tc>
          <w:tcPr>
            <w:tcW w:w="1717"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18"/>
                <w:szCs w:val="18"/>
                <w:lang w:val="sr-Cyrl-CS"/>
              </w:rPr>
              <w:t>Остала крив.дела против служб. дужности</w:t>
            </w:r>
          </w:p>
        </w:tc>
        <w:tc>
          <w:tcPr>
            <w:tcW w:w="1001"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179</w:t>
            </w:r>
          </w:p>
        </w:tc>
        <w:tc>
          <w:tcPr>
            <w:tcW w:w="954"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354</w:t>
            </w:r>
          </w:p>
        </w:tc>
        <w:tc>
          <w:tcPr>
            <w:tcW w:w="962"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102</w:t>
            </w:r>
          </w:p>
        </w:tc>
        <w:tc>
          <w:tcPr>
            <w:tcW w:w="820"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7</w:t>
            </w:r>
          </w:p>
        </w:tc>
        <w:tc>
          <w:tcPr>
            <w:tcW w:w="880"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3</w:t>
            </w:r>
          </w:p>
        </w:tc>
        <w:tc>
          <w:tcPr>
            <w:tcW w:w="878"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39</w:t>
            </w:r>
          </w:p>
        </w:tc>
        <w:tc>
          <w:tcPr>
            <w:tcW w:w="1015"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20</w:t>
            </w:r>
          </w:p>
        </w:tc>
        <w:tc>
          <w:tcPr>
            <w:tcW w:w="824"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49</w:t>
            </w:r>
          </w:p>
        </w:tc>
      </w:tr>
      <w:tr w:rsidR="00DA7766" w:rsidRPr="00542899" w:rsidTr="00C5614B">
        <w:tc>
          <w:tcPr>
            <w:tcW w:w="1717" w:type="dxa"/>
          </w:tcPr>
          <w:p w:rsidR="00DA7766" w:rsidRPr="00542899" w:rsidRDefault="00DA7766" w:rsidP="00C5614B">
            <w:pPr>
              <w:jc w:val="both"/>
              <w:rPr>
                <w:rFonts w:ascii="Times New Roman" w:hAnsi="Times New Roman"/>
                <w:sz w:val="18"/>
                <w:szCs w:val="18"/>
                <w:lang w:val="en-US"/>
              </w:rPr>
            </w:pPr>
            <w:r w:rsidRPr="00542899">
              <w:rPr>
                <w:rFonts w:ascii="Times New Roman" w:hAnsi="Times New Roman"/>
                <w:sz w:val="18"/>
                <w:szCs w:val="18"/>
                <w:lang w:val="sr-Cyrl-CS"/>
              </w:rPr>
              <w:t>Укупно II</w:t>
            </w:r>
          </w:p>
        </w:tc>
        <w:tc>
          <w:tcPr>
            <w:tcW w:w="1001"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4606</w:t>
            </w:r>
          </w:p>
        </w:tc>
        <w:tc>
          <w:tcPr>
            <w:tcW w:w="954"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6700</w:t>
            </w:r>
          </w:p>
        </w:tc>
        <w:tc>
          <w:tcPr>
            <w:tcW w:w="962"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2534</w:t>
            </w:r>
          </w:p>
        </w:tc>
        <w:tc>
          <w:tcPr>
            <w:tcW w:w="820"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393</w:t>
            </w:r>
          </w:p>
        </w:tc>
        <w:tc>
          <w:tcPr>
            <w:tcW w:w="880"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35</w:t>
            </w:r>
          </w:p>
        </w:tc>
        <w:tc>
          <w:tcPr>
            <w:tcW w:w="878"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808</w:t>
            </w:r>
          </w:p>
        </w:tc>
        <w:tc>
          <w:tcPr>
            <w:tcW w:w="1015"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404</w:t>
            </w:r>
          </w:p>
        </w:tc>
        <w:tc>
          <w:tcPr>
            <w:tcW w:w="824"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1262</w:t>
            </w:r>
          </w:p>
        </w:tc>
      </w:tr>
      <w:tr w:rsidR="00DA7766" w:rsidRPr="00542899" w:rsidTr="00C5614B">
        <w:tc>
          <w:tcPr>
            <w:tcW w:w="1717"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Укупно</w:t>
            </w:r>
            <w:r w:rsidRPr="00542899">
              <w:rPr>
                <w:rFonts w:ascii="Times New Roman" w:hAnsi="Times New Roman"/>
                <w:sz w:val="24"/>
                <w:szCs w:val="24"/>
              </w:rPr>
              <w:t xml:space="preserve"> </w:t>
            </w:r>
            <w:r w:rsidRPr="00542899">
              <w:rPr>
                <w:rFonts w:ascii="Times New Roman" w:hAnsi="Times New Roman"/>
                <w:sz w:val="24"/>
                <w:szCs w:val="24"/>
                <w:lang w:val="sr-Cyrl-CS"/>
              </w:rPr>
              <w:t>I</w:t>
            </w:r>
            <w:r w:rsidRPr="00542899">
              <w:rPr>
                <w:rFonts w:ascii="Times New Roman" w:hAnsi="Times New Roman"/>
                <w:sz w:val="24"/>
                <w:szCs w:val="24"/>
              </w:rPr>
              <w:t xml:space="preserve"> + II</w:t>
            </w:r>
          </w:p>
        </w:tc>
        <w:tc>
          <w:tcPr>
            <w:tcW w:w="1001"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8645</w:t>
            </w:r>
          </w:p>
        </w:tc>
        <w:tc>
          <w:tcPr>
            <w:tcW w:w="954"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11719</w:t>
            </w:r>
          </w:p>
        </w:tc>
        <w:tc>
          <w:tcPr>
            <w:tcW w:w="962"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5343</w:t>
            </w:r>
          </w:p>
        </w:tc>
        <w:tc>
          <w:tcPr>
            <w:tcW w:w="820"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648</w:t>
            </w:r>
          </w:p>
        </w:tc>
        <w:tc>
          <w:tcPr>
            <w:tcW w:w="880"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144</w:t>
            </w:r>
          </w:p>
        </w:tc>
        <w:tc>
          <w:tcPr>
            <w:tcW w:w="878"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1620</w:t>
            </w:r>
          </w:p>
        </w:tc>
        <w:tc>
          <w:tcPr>
            <w:tcW w:w="1015"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786</w:t>
            </w:r>
          </w:p>
        </w:tc>
        <w:tc>
          <w:tcPr>
            <w:tcW w:w="824" w:type="dxa"/>
          </w:tcPr>
          <w:p w:rsidR="00DA7766" w:rsidRPr="00542899" w:rsidRDefault="00DA7766" w:rsidP="00C5614B">
            <w:pPr>
              <w:jc w:val="both"/>
              <w:rPr>
                <w:rFonts w:ascii="Times New Roman" w:hAnsi="Times New Roman"/>
                <w:sz w:val="24"/>
                <w:szCs w:val="24"/>
                <w:lang w:val="sr-Cyrl-CS"/>
              </w:rPr>
            </w:pPr>
            <w:r w:rsidRPr="00542899">
              <w:rPr>
                <w:rFonts w:ascii="Times New Roman" w:hAnsi="Times New Roman"/>
                <w:sz w:val="24"/>
                <w:szCs w:val="24"/>
                <w:lang w:val="sr-Cyrl-CS"/>
              </w:rPr>
              <w:t>2455</w:t>
            </w:r>
          </w:p>
        </w:tc>
      </w:tr>
    </w:tbl>
    <w:p w:rsidR="00DA7766" w:rsidRDefault="00DA7766" w:rsidP="00DA7766">
      <w:pPr>
        <w:jc w:val="both"/>
        <w:rPr>
          <w:rFonts w:ascii="Times New Roman" w:hAnsi="Times New Roman"/>
          <w:sz w:val="24"/>
          <w:szCs w:val="24"/>
          <w:lang w:val="sr-Cyrl-CS"/>
        </w:rPr>
      </w:pPr>
    </w:p>
    <w:p w:rsidR="00B95075" w:rsidRDefault="00DA7766" w:rsidP="00147D61">
      <w:pPr>
        <w:ind w:firstLine="708"/>
        <w:jc w:val="both"/>
        <w:rPr>
          <w:rFonts w:ascii="Times New Roman" w:hAnsi="Times New Roman"/>
          <w:sz w:val="24"/>
          <w:szCs w:val="24"/>
          <w:lang w:val="sr-Cyrl-CS"/>
        </w:rPr>
      </w:pPr>
      <w:r>
        <w:rPr>
          <w:rFonts w:ascii="Times New Roman" w:hAnsi="Times New Roman"/>
          <w:sz w:val="24"/>
          <w:szCs w:val="24"/>
          <w:lang w:val="sr-Cyrl-CS"/>
        </w:rPr>
        <w:t>Из претходне табеле може се приметити раскорак између броја поднетих пријава, оптужених и пресуђених, што говори у прилог спорости поступка, као и да су поступци окончавани одбацивањем кривичних пријава, обуставом или прекидом. Такође, може се закључити да по броју поднетих пријава доминирају кривична дела пореске утаје, злоупотребе овлашћења у привреди, злоупотреба службеног положаја, кријумчарења, недозвољене трговине, издавање чека и коришћење платне картице без покрића, кршење закона од стране судије, јавног тужиоца и његовог заменика. Велики број кривичних пријава за кривично дело пореске утаје говори у прилог ефикасне администрације, као и велики државни интерес да се оваква кривична дела откривају и кривично гоне. Са друге стране, упадљиво је мањи број пресуда за ово кривично дело, као и за друга значајна кривична дела против привреде и против службне дужности, попут злоупотребе овлашћења у привреди, злоупотреба службеног положаја, примање и давање мита. У погледу структуре изречених кривичних санкција најучесталија је условна осуда. Посебно је доминантна код пореске</w:t>
      </w:r>
      <w:r w:rsidR="000F6721">
        <w:rPr>
          <w:rFonts w:ascii="Times New Roman" w:hAnsi="Times New Roman"/>
          <w:sz w:val="24"/>
          <w:szCs w:val="24"/>
          <w:lang w:val="sr-Cyrl-CS"/>
        </w:rPr>
        <w:t xml:space="preserve"> утаје, злоупотребе овлашења у п</w:t>
      </w:r>
      <w:r>
        <w:rPr>
          <w:rFonts w:ascii="Times New Roman" w:hAnsi="Times New Roman"/>
          <w:sz w:val="24"/>
          <w:szCs w:val="24"/>
          <w:lang w:val="sr-Cyrl-CS"/>
        </w:rPr>
        <w:t>ривреди, злоупотребе службеног положаја, примање и давање мита. Казна затвора је најдоминантнија код кривичних дела фалсификовање новца и фалсификовање и злоупотреба платне картице. Генерално говорећи новчана казна се недовољно користи.</w:t>
      </w:r>
    </w:p>
    <w:p w:rsidR="00B95075" w:rsidRDefault="00DA7766" w:rsidP="00BA7223">
      <w:pPr>
        <w:ind w:firstLine="708"/>
        <w:jc w:val="both"/>
        <w:rPr>
          <w:rFonts w:ascii="Times New Roman" w:hAnsi="Times New Roman"/>
          <w:sz w:val="24"/>
          <w:szCs w:val="24"/>
          <w:lang w:val="sr-Cyrl-CS"/>
        </w:rPr>
      </w:pPr>
      <w:r>
        <w:rPr>
          <w:rFonts w:ascii="Times New Roman" w:hAnsi="Times New Roman"/>
          <w:sz w:val="24"/>
          <w:szCs w:val="24"/>
          <w:lang w:val="sr-Cyrl-CS"/>
        </w:rPr>
        <w:t>На основу свега изнетог може се закључити да је блага казнена политика и да се веома често користи институт ублажавања казне. Веома често је казна и ублажена и условљена, чиме се не може много допринети ни генералној ни специјалној преванцији. Због тога је потребно п</w:t>
      </w:r>
      <w:r w:rsidR="00FF4B07">
        <w:rPr>
          <w:rFonts w:ascii="Times New Roman" w:hAnsi="Times New Roman"/>
          <w:sz w:val="24"/>
          <w:szCs w:val="24"/>
          <w:lang w:val="sr-Cyrl-CS"/>
        </w:rPr>
        <w:t>ре</w:t>
      </w:r>
      <w:r>
        <w:rPr>
          <w:rFonts w:ascii="Times New Roman" w:hAnsi="Times New Roman"/>
          <w:sz w:val="24"/>
          <w:szCs w:val="24"/>
          <w:lang w:val="sr-Cyrl-CS"/>
        </w:rPr>
        <w:t>испитати казнене оквире који су прописани у закону, инс</w:t>
      </w:r>
      <w:r w:rsidR="000F6721">
        <w:rPr>
          <w:rFonts w:ascii="Times New Roman" w:hAnsi="Times New Roman"/>
          <w:sz w:val="24"/>
          <w:szCs w:val="24"/>
          <w:lang w:val="sr-Cyrl-CS"/>
        </w:rPr>
        <w:t>т</w:t>
      </w:r>
      <w:r>
        <w:rPr>
          <w:rFonts w:ascii="Times New Roman" w:hAnsi="Times New Roman"/>
          <w:sz w:val="24"/>
          <w:szCs w:val="24"/>
          <w:lang w:val="sr-Cyrl-CS"/>
        </w:rPr>
        <w:t xml:space="preserve">итут ублажавања казне, као и стимулисати изрицање новчане казне, посебно кроз </w:t>
      </w:r>
      <w:r>
        <w:rPr>
          <w:rFonts w:ascii="Times New Roman" w:hAnsi="Times New Roman"/>
          <w:sz w:val="24"/>
          <w:szCs w:val="24"/>
          <w:lang w:val="sr-Cyrl-CS"/>
        </w:rPr>
        <w:lastRenderedPageBreak/>
        <w:t>прописивање исте као споредне казне и рада у јавном интересу, која казна се ретко изриче.</w:t>
      </w:r>
    </w:p>
    <w:p w:rsidR="003C30B9" w:rsidRDefault="003C30B9" w:rsidP="00BA7223">
      <w:pPr>
        <w:ind w:firstLine="708"/>
        <w:jc w:val="both"/>
        <w:rPr>
          <w:rFonts w:ascii="Times New Roman" w:hAnsi="Times New Roman"/>
          <w:sz w:val="24"/>
          <w:szCs w:val="24"/>
          <w:lang w:val="sr-Cyrl-CS"/>
        </w:rPr>
      </w:pPr>
      <w:r>
        <w:rPr>
          <w:rFonts w:ascii="Times New Roman" w:hAnsi="Times New Roman"/>
          <w:sz w:val="24"/>
          <w:szCs w:val="24"/>
          <w:lang w:val="sr-Cyrl-CS"/>
        </w:rPr>
        <w:t>Осим тога, у овој области недостатак представља чињеница да постојећи електронски уписници у свим кривичним предметима полициј</w:t>
      </w:r>
      <w:r w:rsidR="002A68E4">
        <w:rPr>
          <w:rFonts w:ascii="Times New Roman" w:hAnsi="Times New Roman"/>
          <w:sz w:val="24"/>
          <w:szCs w:val="24"/>
          <w:lang w:val="sr-Cyrl-CS"/>
        </w:rPr>
        <w:t>е</w:t>
      </w:r>
      <w:r>
        <w:rPr>
          <w:rFonts w:ascii="Times New Roman" w:hAnsi="Times New Roman"/>
          <w:sz w:val="24"/>
          <w:szCs w:val="24"/>
          <w:lang w:val="sr-Cyrl-CS"/>
        </w:rPr>
        <w:t xml:space="preserve"> и тужилаштва </w:t>
      </w:r>
      <w:r w:rsidR="002A68E4">
        <w:rPr>
          <w:rFonts w:ascii="Times New Roman" w:hAnsi="Times New Roman"/>
          <w:sz w:val="24"/>
          <w:szCs w:val="24"/>
          <w:lang w:val="sr-Cyrl-CS"/>
        </w:rPr>
        <w:t>нису међусобно повезани и не воде се на исти начин. То отежава вршење свеобухватних анализа и израду прецизних извештаја, посебно праћење поступка по појединим кривичним делима, што ограничава ефикасност поступка. Мимо тога, то отежава проактивно деловање и планирање рада. Тако се кривично дело и његови учиниоци не могу пратити од извршења до пресуђења. Осим тога, финасијска истрага се углавном спроводи тек након подношења кривичне пријаве, током истраге, чиме се повећава ризик да имовина буде отуђена, прикривена и сл. Због специфичности материје потребно је постојање економско-финасијских стручњака у тужила</w:t>
      </w:r>
      <w:r w:rsidR="00CB2FA2">
        <w:rPr>
          <w:rFonts w:ascii="Times New Roman" w:hAnsi="Times New Roman"/>
          <w:sz w:val="24"/>
          <w:szCs w:val="24"/>
          <w:lang w:val="sr-Cyrl-CS"/>
        </w:rPr>
        <w:t>штву како би се што боље усмериле финансијске истраге,</w:t>
      </w:r>
      <w:r w:rsidR="002A68E4">
        <w:rPr>
          <w:rFonts w:ascii="Times New Roman" w:hAnsi="Times New Roman"/>
          <w:sz w:val="24"/>
          <w:szCs w:val="24"/>
          <w:lang w:val="sr-Cyrl-CS"/>
        </w:rPr>
        <w:t xml:space="preserve"> предистра</w:t>
      </w:r>
      <w:r w:rsidR="00CB2FA2">
        <w:rPr>
          <w:rFonts w:ascii="Times New Roman" w:hAnsi="Times New Roman"/>
          <w:sz w:val="24"/>
          <w:szCs w:val="24"/>
          <w:lang w:val="sr-Cyrl-CS"/>
        </w:rPr>
        <w:t>жни, а потом и истражни поступци</w:t>
      </w:r>
      <w:r w:rsidR="002A68E4">
        <w:rPr>
          <w:rFonts w:ascii="Times New Roman" w:hAnsi="Times New Roman"/>
          <w:sz w:val="24"/>
          <w:szCs w:val="24"/>
          <w:lang w:val="sr-Cyrl-CS"/>
        </w:rPr>
        <w:t xml:space="preserve">, како би се правилније формулисали задаци вештачења судских вештака приликом економсих вештачења, те како би се омогућило да се поступци не покрећу када то не би било оправдаоно. </w:t>
      </w:r>
    </w:p>
    <w:p w:rsidR="003C30B9" w:rsidRPr="006E5D94" w:rsidRDefault="002A68E4" w:rsidP="006E5D94">
      <w:pPr>
        <w:ind w:firstLine="708"/>
        <w:jc w:val="both"/>
        <w:rPr>
          <w:rFonts w:ascii="Times New Roman" w:hAnsi="Times New Roman"/>
          <w:sz w:val="24"/>
          <w:szCs w:val="24"/>
          <w:lang w:val="sr-Cyrl-CS"/>
        </w:rPr>
      </w:pPr>
      <w:r>
        <w:rPr>
          <w:rFonts w:ascii="Times New Roman" w:hAnsi="Times New Roman"/>
          <w:sz w:val="24"/>
          <w:szCs w:val="24"/>
          <w:lang w:val="sr-Cyrl-CS"/>
        </w:rPr>
        <w:t>Успостављање боље сарадње између тужила</w:t>
      </w:r>
      <w:r w:rsidR="006E5D94">
        <w:rPr>
          <w:rFonts w:ascii="Times New Roman" w:hAnsi="Times New Roman"/>
          <w:sz w:val="24"/>
          <w:szCs w:val="24"/>
          <w:lang w:val="sr-Cyrl-CS"/>
        </w:rPr>
        <w:t>штва, полиције и суда, других државних органа и инстиуција, европских и међународних институција и организација свако би допринело успешнијем супортстављању привредном криминалу и корупцији.</w:t>
      </w:r>
    </w:p>
    <w:p w:rsidR="00B95075" w:rsidRPr="00BA7223" w:rsidRDefault="005E5891" w:rsidP="00BA7223">
      <w:pPr>
        <w:ind w:firstLine="708"/>
        <w:jc w:val="both"/>
        <w:rPr>
          <w:rFonts w:ascii="Times New Roman" w:hAnsi="Times New Roman"/>
          <w:sz w:val="24"/>
          <w:szCs w:val="24"/>
          <w:lang w:val="sr-Cyrl-CS"/>
        </w:rPr>
      </w:pPr>
      <w:r w:rsidRPr="005E5891">
        <w:t xml:space="preserve"> </w:t>
      </w:r>
      <w:r w:rsidR="001408E1">
        <w:rPr>
          <w:rFonts w:ascii="Times New Roman" w:hAnsi="Times New Roman"/>
          <w:sz w:val="24"/>
          <w:szCs w:val="24"/>
          <w:lang w:val="sr-Cyrl-CS"/>
        </w:rPr>
        <w:t>Према грубој процени заснованој на подацима</w:t>
      </w:r>
      <w:r w:rsidRPr="005E5891">
        <w:rPr>
          <w:rFonts w:ascii="Times New Roman" w:hAnsi="Times New Roman"/>
          <w:sz w:val="24"/>
          <w:szCs w:val="24"/>
          <w:lang w:val="sr-Cyrl-CS"/>
        </w:rPr>
        <w:t xml:space="preserve"> </w:t>
      </w:r>
      <w:r w:rsidR="00C67B7C">
        <w:rPr>
          <w:rFonts w:ascii="Times New Roman" w:hAnsi="Times New Roman"/>
          <w:sz w:val="24"/>
          <w:szCs w:val="24"/>
          <w:lang w:val="sr-Cyrl-CS"/>
        </w:rPr>
        <w:t>из петог таласа истраживања перцепције корупције</w:t>
      </w:r>
      <w:r w:rsidRPr="005E5891">
        <w:rPr>
          <w:rFonts w:ascii="Times New Roman" w:hAnsi="Times New Roman"/>
          <w:sz w:val="24"/>
          <w:szCs w:val="24"/>
          <w:lang w:val="sr-Cyrl-CS"/>
        </w:rPr>
        <w:t xml:space="preserve"> </w:t>
      </w:r>
      <w:r w:rsidR="00C67B7C">
        <w:rPr>
          <w:rFonts w:ascii="Times New Roman" w:hAnsi="Times New Roman"/>
          <w:sz w:val="24"/>
          <w:szCs w:val="24"/>
          <w:lang w:val="sr-Cyrl-CS"/>
        </w:rPr>
        <w:t>у Србији, које је спровео</w:t>
      </w:r>
      <w:r w:rsidRPr="005E5891">
        <w:rPr>
          <w:rFonts w:ascii="Times New Roman" w:hAnsi="Times New Roman"/>
          <w:sz w:val="24"/>
          <w:szCs w:val="24"/>
          <w:lang w:val="sr-Cyrl-CS"/>
        </w:rPr>
        <w:t xml:space="preserve"> </w:t>
      </w:r>
      <w:r w:rsidRPr="00C67B7C">
        <w:rPr>
          <w:rFonts w:ascii="Times New Roman" w:hAnsi="Times New Roman"/>
          <w:sz w:val="24"/>
          <w:szCs w:val="24"/>
          <w:lang w:val="sr-Cyrl-CS"/>
        </w:rPr>
        <w:t>TNS Medium Gallup</w:t>
      </w:r>
      <w:r w:rsidRPr="005E5891">
        <w:rPr>
          <w:rFonts w:ascii="Times New Roman" w:hAnsi="Times New Roman"/>
          <w:sz w:val="24"/>
          <w:szCs w:val="24"/>
          <w:lang w:val="sr-Cyrl-CS"/>
        </w:rPr>
        <w:t xml:space="preserve"> </w:t>
      </w:r>
      <w:r w:rsidR="00C67B7C">
        <w:rPr>
          <w:rFonts w:ascii="Times New Roman" w:hAnsi="Times New Roman"/>
          <w:sz w:val="24"/>
          <w:szCs w:val="24"/>
          <w:lang w:val="sr-Cyrl-CS"/>
        </w:rPr>
        <w:t>у јуну 2012. године за</w:t>
      </w:r>
      <w:r w:rsidRPr="005E5891">
        <w:rPr>
          <w:rFonts w:ascii="Times New Roman" w:hAnsi="Times New Roman"/>
          <w:sz w:val="24"/>
          <w:szCs w:val="24"/>
          <w:lang w:val="sr-Cyrl-CS"/>
        </w:rPr>
        <w:t xml:space="preserve"> </w:t>
      </w:r>
      <w:r w:rsidRPr="00C67B7C">
        <w:rPr>
          <w:rFonts w:ascii="Times New Roman" w:hAnsi="Times New Roman"/>
          <w:sz w:val="24"/>
          <w:szCs w:val="24"/>
          <w:lang w:val="sr-Cyrl-CS"/>
        </w:rPr>
        <w:t>UNDP</w:t>
      </w:r>
      <w:r w:rsidRPr="005E5891">
        <w:rPr>
          <w:rFonts w:ascii="Times New Roman" w:hAnsi="Times New Roman"/>
          <w:sz w:val="24"/>
          <w:szCs w:val="24"/>
          <w:lang w:val="sr-Cyrl-CS"/>
        </w:rPr>
        <w:t xml:space="preserve">, </w:t>
      </w:r>
      <w:r w:rsidR="00C67B7C">
        <w:rPr>
          <w:rFonts w:ascii="Times New Roman" w:hAnsi="Times New Roman"/>
          <w:sz w:val="24"/>
          <w:szCs w:val="24"/>
          <w:lang w:val="sr-Cyrl-CS"/>
        </w:rPr>
        <w:t>око 800.000 одраслих лица</w:t>
      </w:r>
      <w:r w:rsidRPr="005E5891">
        <w:rPr>
          <w:rFonts w:ascii="Times New Roman" w:hAnsi="Times New Roman"/>
          <w:sz w:val="24"/>
          <w:szCs w:val="24"/>
          <w:lang w:val="sr-Cyrl-CS"/>
        </w:rPr>
        <w:t xml:space="preserve"> </w:t>
      </w:r>
      <w:r w:rsidR="00C67B7C">
        <w:rPr>
          <w:rFonts w:ascii="Times New Roman" w:hAnsi="Times New Roman"/>
          <w:sz w:val="24"/>
          <w:szCs w:val="24"/>
          <w:lang w:val="sr-Cyrl-CS"/>
        </w:rPr>
        <w:t>у Србији је дало мито</w:t>
      </w:r>
      <w:r w:rsidRPr="005E5891">
        <w:rPr>
          <w:rFonts w:ascii="Times New Roman" w:hAnsi="Times New Roman"/>
          <w:sz w:val="24"/>
          <w:szCs w:val="24"/>
          <w:lang w:val="sr-Cyrl-CS"/>
        </w:rPr>
        <w:t xml:space="preserve">. </w:t>
      </w:r>
      <w:r w:rsidR="00C67B7C">
        <w:rPr>
          <w:rFonts w:ascii="Times New Roman" w:hAnsi="Times New Roman"/>
          <w:sz w:val="24"/>
          <w:szCs w:val="24"/>
          <w:lang w:val="sr-Cyrl-CS"/>
        </w:rPr>
        <w:t>Међутим , у децембру 2012.</w:t>
      </w:r>
      <w:r w:rsidRPr="005E5891">
        <w:rPr>
          <w:rFonts w:ascii="Times New Roman" w:hAnsi="Times New Roman"/>
          <w:sz w:val="24"/>
          <w:szCs w:val="24"/>
          <w:lang w:val="sr-Cyrl-CS"/>
        </w:rPr>
        <w:t xml:space="preserve"> </w:t>
      </w:r>
      <w:r w:rsidRPr="00C67B7C">
        <w:rPr>
          <w:rFonts w:ascii="Times New Roman" w:hAnsi="Times New Roman"/>
          <w:sz w:val="24"/>
          <w:szCs w:val="24"/>
          <w:lang w:val="sr-Cyrl-CS"/>
        </w:rPr>
        <w:t>UNDP</w:t>
      </w:r>
      <w:r w:rsidRPr="005E5891">
        <w:rPr>
          <w:rFonts w:ascii="Times New Roman" w:hAnsi="Times New Roman"/>
          <w:sz w:val="24"/>
          <w:szCs w:val="24"/>
          <w:lang w:val="sr-Cyrl-CS"/>
        </w:rPr>
        <w:t xml:space="preserve"> </w:t>
      </w:r>
      <w:r w:rsidR="00C67B7C">
        <w:rPr>
          <w:rFonts w:ascii="Times New Roman" w:hAnsi="Times New Roman"/>
          <w:sz w:val="24"/>
          <w:szCs w:val="24"/>
          <w:lang w:val="sr-Cyrl-CS"/>
        </w:rPr>
        <w:t>је презентовао други извештај</w:t>
      </w:r>
      <w:r w:rsidRPr="005E5891">
        <w:rPr>
          <w:rFonts w:ascii="Times New Roman" w:hAnsi="Times New Roman"/>
          <w:sz w:val="24"/>
          <w:szCs w:val="24"/>
          <w:lang w:val="sr-Cyrl-CS"/>
        </w:rPr>
        <w:t>/</w:t>
      </w:r>
      <w:r w:rsidR="00C67B7C">
        <w:rPr>
          <w:rFonts w:ascii="Times New Roman" w:hAnsi="Times New Roman"/>
          <w:sz w:val="24"/>
          <w:szCs w:val="24"/>
          <w:lang w:val="sr-Cyrl-CS"/>
        </w:rPr>
        <w:t>истраживање о корупцији</w:t>
      </w:r>
      <w:r w:rsidR="00361D40">
        <w:rPr>
          <w:rFonts w:ascii="Times New Roman" w:hAnsi="Times New Roman"/>
          <w:sz w:val="24"/>
          <w:szCs w:val="24"/>
          <w:lang w:val="sr-Cyrl-CS"/>
        </w:rPr>
        <w:t>,</w:t>
      </w:r>
      <w:r w:rsidRPr="005E5891">
        <w:rPr>
          <w:rFonts w:ascii="Times New Roman" w:hAnsi="Times New Roman"/>
          <w:sz w:val="24"/>
          <w:szCs w:val="24"/>
          <w:lang w:val="sr-Cyrl-CS"/>
        </w:rPr>
        <w:t xml:space="preserve"> </w:t>
      </w:r>
      <w:r w:rsidR="00361D40">
        <w:rPr>
          <w:rFonts w:ascii="Times New Roman" w:hAnsi="Times New Roman"/>
          <w:sz w:val="24"/>
          <w:szCs w:val="24"/>
          <w:lang w:val="sr-Cyrl-CS"/>
        </w:rPr>
        <w:t>(</w:t>
      </w:r>
      <w:r w:rsidR="00C67B7C">
        <w:rPr>
          <w:rFonts w:ascii="Times New Roman" w:hAnsi="Times New Roman"/>
          <w:sz w:val="24"/>
          <w:szCs w:val="24"/>
          <w:lang w:val="sr-Cyrl-CS"/>
        </w:rPr>
        <w:t>истраживање је тог пута за њих спровела агениција</w:t>
      </w:r>
      <w:r w:rsidRPr="005E5891">
        <w:rPr>
          <w:rFonts w:ascii="Times New Roman" w:hAnsi="Times New Roman"/>
          <w:sz w:val="24"/>
          <w:szCs w:val="24"/>
          <w:lang w:val="sr-Cyrl-CS"/>
        </w:rPr>
        <w:t xml:space="preserve"> </w:t>
      </w:r>
      <w:r w:rsidRPr="00C67B7C">
        <w:rPr>
          <w:rFonts w:ascii="Times New Roman" w:hAnsi="Times New Roman"/>
          <w:sz w:val="24"/>
          <w:szCs w:val="24"/>
          <w:lang w:val="sr-Cyrl-CS"/>
        </w:rPr>
        <w:t>CeSID,</w:t>
      </w:r>
      <w:r w:rsidRPr="005E5891">
        <w:rPr>
          <w:rFonts w:ascii="Times New Roman" w:hAnsi="Times New Roman"/>
          <w:sz w:val="24"/>
          <w:szCs w:val="24"/>
          <w:lang w:val="sr-Cyrl-CS"/>
        </w:rPr>
        <w:t xml:space="preserve"> </w:t>
      </w:r>
      <w:r w:rsidR="00C67B7C">
        <w:rPr>
          <w:rFonts w:ascii="Times New Roman" w:hAnsi="Times New Roman"/>
          <w:sz w:val="24"/>
          <w:szCs w:val="24"/>
          <w:lang w:val="sr-Cyrl-CS"/>
        </w:rPr>
        <w:t>за разлику од претходних пет које је спровела</w:t>
      </w:r>
      <w:r w:rsidRPr="005E5891">
        <w:rPr>
          <w:rFonts w:ascii="Times New Roman" w:hAnsi="Times New Roman"/>
          <w:sz w:val="24"/>
          <w:szCs w:val="24"/>
          <w:lang w:val="sr-Cyrl-CS"/>
        </w:rPr>
        <w:t xml:space="preserve"> </w:t>
      </w:r>
      <w:r w:rsidR="00C67B7C">
        <w:rPr>
          <w:rFonts w:ascii="Times New Roman" w:hAnsi="Times New Roman"/>
          <w:sz w:val="24"/>
          <w:szCs w:val="24"/>
          <w:lang w:val="sr-Cyrl-CS"/>
        </w:rPr>
        <w:t>агенција</w:t>
      </w:r>
      <w:r w:rsidRPr="005E5891">
        <w:rPr>
          <w:rFonts w:ascii="Times New Roman" w:hAnsi="Times New Roman"/>
          <w:sz w:val="24"/>
          <w:szCs w:val="24"/>
          <w:lang w:val="sr-Cyrl-CS"/>
        </w:rPr>
        <w:t xml:space="preserve"> </w:t>
      </w:r>
      <w:r w:rsidRPr="00C67B7C">
        <w:rPr>
          <w:rFonts w:ascii="Times New Roman" w:hAnsi="Times New Roman"/>
          <w:sz w:val="24"/>
          <w:szCs w:val="24"/>
          <w:lang w:val="sr-Cyrl-CS"/>
        </w:rPr>
        <w:t>TNS Medium Gallup</w:t>
      </w:r>
      <w:r w:rsidRPr="005E5891">
        <w:rPr>
          <w:rFonts w:ascii="Times New Roman" w:hAnsi="Times New Roman"/>
          <w:sz w:val="24"/>
          <w:szCs w:val="24"/>
          <w:lang w:val="sr-Cyrl-CS"/>
        </w:rPr>
        <w:t xml:space="preserve">. </w:t>
      </w:r>
      <w:r w:rsidR="00C67B7C">
        <w:rPr>
          <w:rFonts w:ascii="Times New Roman" w:hAnsi="Times New Roman"/>
          <w:sz w:val="24"/>
          <w:szCs w:val="24"/>
          <w:lang w:val="sr-Cyrl-CS"/>
        </w:rPr>
        <w:t>Из тог разлога резултати можда нису у потпуности упоредиви</w:t>
      </w:r>
      <w:r w:rsidRPr="005E5891">
        <w:rPr>
          <w:rFonts w:ascii="Times New Roman" w:hAnsi="Times New Roman"/>
          <w:sz w:val="24"/>
          <w:szCs w:val="24"/>
          <w:lang w:val="sr-Cyrl-CS"/>
        </w:rPr>
        <w:t xml:space="preserve">, </w:t>
      </w:r>
      <w:r w:rsidR="00C67B7C">
        <w:rPr>
          <w:rFonts w:ascii="Times New Roman" w:hAnsi="Times New Roman"/>
          <w:sz w:val="24"/>
          <w:szCs w:val="24"/>
          <w:lang w:val="sr-Cyrl-CS"/>
        </w:rPr>
        <w:t>зато што прим</w:t>
      </w:r>
      <w:r w:rsidR="000F6721">
        <w:rPr>
          <w:rFonts w:ascii="Times New Roman" w:hAnsi="Times New Roman"/>
          <w:sz w:val="24"/>
          <w:szCs w:val="24"/>
          <w:lang w:val="sr-Cyrl-CS"/>
        </w:rPr>
        <w:t>е</w:t>
      </w:r>
      <w:r w:rsidR="00C67B7C">
        <w:rPr>
          <w:rFonts w:ascii="Times New Roman" w:hAnsi="Times New Roman"/>
          <w:sz w:val="24"/>
          <w:szCs w:val="24"/>
          <w:lang w:val="sr-Cyrl-CS"/>
        </w:rPr>
        <w:t>њена методологија није била идентична</w:t>
      </w:r>
      <w:r w:rsidR="00361D40">
        <w:rPr>
          <w:rFonts w:ascii="Times New Roman" w:hAnsi="Times New Roman"/>
          <w:sz w:val="24"/>
          <w:szCs w:val="24"/>
          <w:lang w:val="sr-Cyrl-CS"/>
        </w:rPr>
        <w:t>)</w:t>
      </w:r>
      <w:r w:rsidRPr="005E5891">
        <w:rPr>
          <w:rFonts w:ascii="Times New Roman" w:hAnsi="Times New Roman"/>
          <w:sz w:val="24"/>
          <w:szCs w:val="24"/>
          <w:lang w:val="sr-Cyrl-CS"/>
        </w:rPr>
        <w:t xml:space="preserve">. </w:t>
      </w:r>
      <w:r w:rsidR="00C67B7C">
        <w:rPr>
          <w:rFonts w:ascii="Times New Roman" w:hAnsi="Times New Roman"/>
          <w:sz w:val="24"/>
          <w:szCs w:val="24"/>
          <w:lang w:val="sr-Cyrl-CS"/>
        </w:rPr>
        <w:t>Из извештаја</w:t>
      </w:r>
      <w:r w:rsidRPr="005E5891">
        <w:rPr>
          <w:rFonts w:ascii="Times New Roman" w:hAnsi="Times New Roman"/>
          <w:sz w:val="24"/>
          <w:szCs w:val="24"/>
          <w:lang w:val="sr-Cyrl-CS"/>
        </w:rPr>
        <w:t xml:space="preserve"> CeSID-a </w:t>
      </w:r>
      <w:r w:rsidR="00C67B7C">
        <w:rPr>
          <w:rFonts w:ascii="Times New Roman" w:hAnsi="Times New Roman"/>
          <w:sz w:val="24"/>
          <w:szCs w:val="24"/>
          <w:lang w:val="sr-Cyrl-CS"/>
        </w:rPr>
        <w:t>закључује се да је проценат становништа</w:t>
      </w:r>
      <w:r w:rsidRPr="005E5891">
        <w:rPr>
          <w:rFonts w:ascii="Times New Roman" w:hAnsi="Times New Roman"/>
          <w:sz w:val="24"/>
          <w:szCs w:val="24"/>
          <w:lang w:val="sr-Cyrl-CS"/>
        </w:rPr>
        <w:t xml:space="preserve"> </w:t>
      </w:r>
      <w:r w:rsidR="00C67B7C">
        <w:rPr>
          <w:rFonts w:ascii="Times New Roman" w:hAnsi="Times New Roman"/>
          <w:sz w:val="24"/>
          <w:szCs w:val="24"/>
          <w:lang w:val="sr-Cyrl-CS"/>
        </w:rPr>
        <w:t>које је недавно платило мито</w:t>
      </w:r>
      <w:r w:rsidRPr="005E5891">
        <w:rPr>
          <w:rFonts w:ascii="Times New Roman" w:hAnsi="Times New Roman"/>
          <w:sz w:val="24"/>
          <w:szCs w:val="24"/>
          <w:lang w:val="sr-Cyrl-CS"/>
        </w:rPr>
        <w:t xml:space="preserve"> </w:t>
      </w:r>
      <w:r w:rsidR="00C67B7C">
        <w:rPr>
          <w:rFonts w:ascii="Times New Roman" w:hAnsi="Times New Roman"/>
          <w:sz w:val="24"/>
          <w:szCs w:val="24"/>
          <w:lang w:val="sr-Cyrl-CS"/>
        </w:rPr>
        <w:t>преполовљен у периоду од шест месеци</w:t>
      </w:r>
      <w:r w:rsidRPr="005E5891">
        <w:rPr>
          <w:rFonts w:ascii="Times New Roman" w:hAnsi="Times New Roman"/>
          <w:sz w:val="24"/>
          <w:szCs w:val="24"/>
          <w:lang w:val="sr-Cyrl-CS"/>
        </w:rPr>
        <w:t xml:space="preserve">. </w:t>
      </w:r>
      <w:r w:rsidR="00361D40">
        <w:rPr>
          <w:rFonts w:ascii="Times New Roman" w:hAnsi="Times New Roman"/>
          <w:sz w:val="24"/>
          <w:szCs w:val="24"/>
          <w:lang w:val="sr-Cyrl-CS"/>
        </w:rPr>
        <w:t>Подаци се наводе у следећој табели.</w:t>
      </w:r>
    </w:p>
    <w:p w:rsidR="00B95075" w:rsidRDefault="00B95075" w:rsidP="00361D40">
      <w:pPr>
        <w:ind w:firstLine="708"/>
        <w:jc w:val="both"/>
        <w:rPr>
          <w:rFonts w:ascii="Times New Roman" w:hAnsi="Times New Roman"/>
          <w:b/>
          <w:sz w:val="24"/>
          <w:szCs w:val="24"/>
          <w:lang w:val="sr-Cyrl-CS"/>
        </w:rPr>
      </w:pPr>
    </w:p>
    <w:p w:rsidR="00831157" w:rsidRDefault="00831157" w:rsidP="00361D40">
      <w:pPr>
        <w:ind w:firstLine="708"/>
        <w:jc w:val="both"/>
        <w:rPr>
          <w:rFonts w:ascii="Times New Roman" w:hAnsi="Times New Roman"/>
          <w:b/>
          <w:sz w:val="24"/>
          <w:szCs w:val="24"/>
          <w:lang w:val="sr-Cyrl-CS"/>
        </w:rPr>
      </w:pPr>
    </w:p>
    <w:p w:rsidR="00831157" w:rsidRDefault="00831157" w:rsidP="00361D40">
      <w:pPr>
        <w:ind w:firstLine="708"/>
        <w:jc w:val="both"/>
        <w:rPr>
          <w:rFonts w:ascii="Times New Roman" w:hAnsi="Times New Roman"/>
          <w:b/>
          <w:sz w:val="24"/>
          <w:szCs w:val="24"/>
          <w:lang w:val="sr-Cyrl-CS"/>
        </w:rPr>
      </w:pPr>
    </w:p>
    <w:p w:rsidR="00831157" w:rsidRDefault="00831157" w:rsidP="00361D40">
      <w:pPr>
        <w:ind w:firstLine="708"/>
        <w:jc w:val="both"/>
        <w:rPr>
          <w:rFonts w:ascii="Times New Roman" w:hAnsi="Times New Roman"/>
          <w:b/>
          <w:sz w:val="24"/>
          <w:szCs w:val="24"/>
          <w:lang w:val="sr-Cyrl-CS"/>
        </w:rPr>
      </w:pPr>
    </w:p>
    <w:p w:rsidR="00831157" w:rsidRDefault="00831157" w:rsidP="00361D40">
      <w:pPr>
        <w:ind w:firstLine="708"/>
        <w:jc w:val="both"/>
        <w:rPr>
          <w:rFonts w:ascii="Times New Roman" w:hAnsi="Times New Roman"/>
          <w:b/>
          <w:sz w:val="24"/>
          <w:szCs w:val="24"/>
          <w:lang w:val="sr-Cyrl-CS"/>
        </w:rPr>
      </w:pPr>
    </w:p>
    <w:p w:rsidR="00831157" w:rsidRDefault="00831157" w:rsidP="00361D40">
      <w:pPr>
        <w:ind w:firstLine="708"/>
        <w:jc w:val="both"/>
        <w:rPr>
          <w:rFonts w:ascii="Times New Roman" w:hAnsi="Times New Roman"/>
          <w:b/>
          <w:sz w:val="24"/>
          <w:szCs w:val="24"/>
          <w:lang w:val="sr-Cyrl-CS"/>
        </w:rPr>
      </w:pPr>
    </w:p>
    <w:p w:rsidR="00831157" w:rsidRDefault="00831157" w:rsidP="00361D40">
      <w:pPr>
        <w:ind w:firstLine="708"/>
        <w:jc w:val="both"/>
        <w:rPr>
          <w:rFonts w:ascii="Times New Roman" w:hAnsi="Times New Roman"/>
          <w:b/>
          <w:sz w:val="24"/>
          <w:szCs w:val="24"/>
          <w:lang w:val="sr-Cyrl-CS"/>
        </w:rPr>
      </w:pPr>
    </w:p>
    <w:p w:rsidR="00831157" w:rsidRDefault="00831157" w:rsidP="00361D40">
      <w:pPr>
        <w:ind w:firstLine="708"/>
        <w:jc w:val="both"/>
        <w:rPr>
          <w:rFonts w:ascii="Times New Roman" w:hAnsi="Times New Roman"/>
          <w:b/>
          <w:sz w:val="24"/>
          <w:szCs w:val="24"/>
          <w:lang w:val="sr-Cyrl-CS"/>
        </w:rPr>
      </w:pPr>
    </w:p>
    <w:p w:rsidR="00B95075" w:rsidRPr="00B95075" w:rsidRDefault="00255CEF" w:rsidP="00831157">
      <w:pPr>
        <w:ind w:firstLine="708"/>
        <w:jc w:val="both"/>
        <w:rPr>
          <w:rFonts w:ascii="Times New Roman" w:hAnsi="Times New Roman"/>
          <w:b/>
          <w:sz w:val="24"/>
          <w:szCs w:val="24"/>
          <w:lang w:val="sr-Cyrl-CS"/>
        </w:rPr>
      </w:pPr>
      <w:r>
        <w:rPr>
          <w:rFonts w:ascii="Times New Roman" w:hAnsi="Times New Roman"/>
          <w:b/>
          <w:sz w:val="24"/>
          <w:szCs w:val="24"/>
          <w:lang w:val="sr-Cyrl-CS"/>
        </w:rPr>
        <w:lastRenderedPageBreak/>
        <w:t>Табела 34</w:t>
      </w:r>
      <w:r w:rsidR="00B95075" w:rsidRPr="00B95075">
        <w:rPr>
          <w:rFonts w:ascii="Times New Roman" w:hAnsi="Times New Roman"/>
          <w:b/>
          <w:sz w:val="24"/>
          <w:szCs w:val="24"/>
          <w:lang w:val="sr-Cyrl-CS"/>
        </w:rPr>
        <w:t>.</w:t>
      </w:r>
    </w:p>
    <w:tbl>
      <w:tblPr>
        <w:tblW w:w="8865" w:type="dxa"/>
        <w:tblInd w:w="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00"/>
        <w:gridCol w:w="3420"/>
        <w:gridCol w:w="3345"/>
      </w:tblGrid>
      <w:tr w:rsidR="005E5891" w:rsidTr="005E5891">
        <w:trPr>
          <w:trHeight w:val="937"/>
        </w:trPr>
        <w:tc>
          <w:tcPr>
            <w:tcW w:w="5520" w:type="dxa"/>
            <w:gridSpan w:val="2"/>
          </w:tcPr>
          <w:p w:rsidR="005E5891" w:rsidRDefault="00C67B7C" w:rsidP="005E5891">
            <w:pPr>
              <w:ind w:firstLine="708"/>
              <w:jc w:val="both"/>
              <w:rPr>
                <w:rFonts w:ascii="Times New Roman" w:hAnsi="Times New Roman"/>
                <w:sz w:val="24"/>
                <w:szCs w:val="24"/>
                <w:lang w:val="sr-Cyrl-CS"/>
              </w:rPr>
            </w:pPr>
            <w:r>
              <w:rPr>
                <w:rFonts w:ascii="Times New Roman" w:hAnsi="Times New Roman"/>
                <w:sz w:val="24"/>
                <w:szCs w:val="24"/>
                <w:lang w:val="sr-Cyrl-CS"/>
              </w:rPr>
              <w:t>Становништво</w:t>
            </w:r>
            <w:r w:rsidR="00A23DB5">
              <w:rPr>
                <w:rFonts w:ascii="Times New Roman" w:hAnsi="Times New Roman"/>
                <w:sz w:val="24"/>
                <w:szCs w:val="24"/>
                <w:lang w:val="sr-Cyrl-CS"/>
              </w:rPr>
              <w:t xml:space="preserve">     </w:t>
            </w:r>
          </w:p>
          <w:p w:rsidR="005E5891" w:rsidRDefault="005E5891" w:rsidP="005E5891">
            <w:pPr>
              <w:ind w:firstLine="708"/>
              <w:jc w:val="both"/>
              <w:rPr>
                <w:rFonts w:ascii="Times New Roman" w:hAnsi="Times New Roman"/>
                <w:sz w:val="24"/>
                <w:szCs w:val="24"/>
                <w:lang w:val="sr-Cyrl-CS"/>
              </w:rPr>
            </w:pPr>
          </w:p>
        </w:tc>
        <w:tc>
          <w:tcPr>
            <w:tcW w:w="3345" w:type="dxa"/>
          </w:tcPr>
          <w:p w:rsidR="005E5891" w:rsidRDefault="005E5891">
            <w:pPr>
              <w:spacing w:after="0" w:line="240" w:lineRule="auto"/>
              <w:rPr>
                <w:rFonts w:ascii="Times New Roman" w:hAnsi="Times New Roman"/>
                <w:sz w:val="24"/>
                <w:szCs w:val="24"/>
                <w:lang w:val="sr-Cyrl-CS"/>
              </w:rPr>
            </w:pPr>
          </w:p>
          <w:p w:rsidR="00A23DB5" w:rsidRPr="005E5891" w:rsidRDefault="00C67B7C" w:rsidP="00A23DB5">
            <w:pPr>
              <w:jc w:val="both"/>
              <w:rPr>
                <w:rFonts w:ascii="Times New Roman" w:hAnsi="Times New Roman"/>
                <w:sz w:val="24"/>
                <w:szCs w:val="24"/>
                <w:lang w:val="sr-Cyrl-CS"/>
              </w:rPr>
            </w:pPr>
            <w:r>
              <w:rPr>
                <w:rFonts w:ascii="Times New Roman" w:hAnsi="Times New Roman"/>
                <w:sz w:val="24"/>
                <w:szCs w:val="24"/>
                <w:lang w:val="sr-Cyrl-CS"/>
              </w:rPr>
              <w:t>Укупно око</w:t>
            </w:r>
            <w:r w:rsidR="00A23DB5">
              <w:rPr>
                <w:rFonts w:ascii="Times New Roman" w:hAnsi="Times New Roman"/>
                <w:sz w:val="24"/>
                <w:szCs w:val="24"/>
                <w:lang w:val="sr-Cyrl-CS"/>
              </w:rPr>
              <w:t xml:space="preserve"> 7,2 </w:t>
            </w:r>
            <w:r>
              <w:rPr>
                <w:rFonts w:ascii="Times New Roman" w:hAnsi="Times New Roman"/>
                <w:sz w:val="24"/>
                <w:szCs w:val="24"/>
                <w:lang w:val="sr-Cyrl-CS"/>
              </w:rPr>
              <w:t>милиона</w:t>
            </w:r>
            <w:r w:rsidR="00A23DB5">
              <w:rPr>
                <w:rFonts w:ascii="Times New Roman" w:hAnsi="Times New Roman"/>
                <w:sz w:val="24"/>
                <w:szCs w:val="24"/>
                <w:lang w:val="sr-Cyrl-CS"/>
              </w:rPr>
              <w:t xml:space="preserve"> –                                                                                     </w:t>
            </w:r>
            <w:r>
              <w:rPr>
                <w:rFonts w:ascii="Times New Roman" w:hAnsi="Times New Roman"/>
                <w:sz w:val="24"/>
                <w:szCs w:val="24"/>
                <w:lang w:val="sr-Cyrl-CS"/>
              </w:rPr>
              <w:t>одраслих</w:t>
            </w:r>
            <w:r w:rsidR="00A23DB5" w:rsidRPr="005E5891">
              <w:rPr>
                <w:rFonts w:ascii="Times New Roman" w:hAnsi="Times New Roman"/>
                <w:sz w:val="24"/>
                <w:szCs w:val="24"/>
                <w:lang w:val="sr-Cyrl-CS"/>
              </w:rPr>
              <w:t xml:space="preserve"> 5,7 </w:t>
            </w:r>
            <w:r>
              <w:rPr>
                <w:rFonts w:ascii="Times New Roman" w:hAnsi="Times New Roman"/>
                <w:sz w:val="24"/>
                <w:szCs w:val="24"/>
                <w:lang w:val="sr-Cyrl-CS"/>
              </w:rPr>
              <w:t>милиона</w:t>
            </w:r>
          </w:p>
          <w:p w:rsidR="005E5891" w:rsidRDefault="005E5891" w:rsidP="005E5891">
            <w:pPr>
              <w:jc w:val="both"/>
              <w:rPr>
                <w:rFonts w:ascii="Times New Roman" w:hAnsi="Times New Roman"/>
                <w:sz w:val="24"/>
                <w:szCs w:val="24"/>
                <w:lang w:val="sr-Cyrl-CS"/>
              </w:rPr>
            </w:pPr>
          </w:p>
        </w:tc>
      </w:tr>
      <w:tr w:rsidR="00424A70" w:rsidTr="00424A70">
        <w:trPr>
          <w:trHeight w:val="1365"/>
        </w:trPr>
        <w:tc>
          <w:tcPr>
            <w:tcW w:w="2100" w:type="dxa"/>
            <w:vMerge w:val="restart"/>
          </w:tcPr>
          <w:p w:rsidR="00424A70" w:rsidRDefault="00424A70" w:rsidP="005E5891">
            <w:pPr>
              <w:ind w:firstLine="708"/>
              <w:jc w:val="both"/>
              <w:rPr>
                <w:rFonts w:ascii="Times New Roman" w:hAnsi="Times New Roman"/>
                <w:sz w:val="24"/>
                <w:szCs w:val="24"/>
                <w:lang w:val="sr-Cyrl-CS"/>
              </w:rPr>
            </w:pPr>
          </w:p>
          <w:p w:rsidR="00A23DB5" w:rsidRPr="005E5891" w:rsidRDefault="00C67B7C" w:rsidP="00A23DB5">
            <w:pPr>
              <w:ind w:firstLine="708"/>
              <w:jc w:val="both"/>
              <w:rPr>
                <w:rFonts w:ascii="Times New Roman" w:hAnsi="Times New Roman"/>
                <w:sz w:val="24"/>
                <w:szCs w:val="24"/>
                <w:lang w:val="sr-Cyrl-CS"/>
              </w:rPr>
            </w:pPr>
            <w:r>
              <w:rPr>
                <w:rFonts w:ascii="Times New Roman" w:hAnsi="Times New Roman"/>
                <w:sz w:val="24"/>
                <w:szCs w:val="24"/>
                <w:lang w:val="sr-Cyrl-CS"/>
              </w:rPr>
              <w:t>Део становништва</w:t>
            </w:r>
            <w:r w:rsidR="00A23DB5">
              <w:rPr>
                <w:rFonts w:ascii="Times New Roman" w:hAnsi="Times New Roman"/>
                <w:sz w:val="24"/>
                <w:szCs w:val="24"/>
                <w:lang w:val="sr-Cyrl-CS"/>
              </w:rPr>
              <w:t xml:space="preserve"> </w:t>
            </w:r>
            <w:r>
              <w:rPr>
                <w:rFonts w:ascii="Times New Roman" w:hAnsi="Times New Roman"/>
                <w:sz w:val="24"/>
                <w:szCs w:val="24"/>
                <w:lang w:val="sr-Cyrl-CS"/>
              </w:rPr>
              <w:t>који је у последње време платио мито</w:t>
            </w:r>
          </w:p>
          <w:p w:rsidR="00424A70" w:rsidRDefault="00424A70" w:rsidP="005E5891">
            <w:pPr>
              <w:ind w:firstLine="708"/>
              <w:jc w:val="both"/>
              <w:rPr>
                <w:rFonts w:ascii="Times New Roman" w:hAnsi="Times New Roman"/>
                <w:sz w:val="24"/>
                <w:szCs w:val="24"/>
                <w:lang w:val="sr-Cyrl-CS"/>
              </w:rPr>
            </w:pPr>
          </w:p>
          <w:p w:rsidR="00424A70" w:rsidRDefault="00424A70" w:rsidP="005E5891">
            <w:pPr>
              <w:ind w:firstLine="708"/>
              <w:jc w:val="both"/>
              <w:rPr>
                <w:rFonts w:ascii="Times New Roman" w:hAnsi="Times New Roman"/>
                <w:sz w:val="24"/>
                <w:szCs w:val="24"/>
                <w:lang w:val="sr-Cyrl-CS"/>
              </w:rPr>
            </w:pPr>
          </w:p>
          <w:p w:rsidR="00424A70" w:rsidRDefault="00424A70" w:rsidP="005E5891">
            <w:pPr>
              <w:ind w:firstLine="708"/>
              <w:jc w:val="both"/>
              <w:rPr>
                <w:rFonts w:ascii="Times New Roman" w:hAnsi="Times New Roman"/>
                <w:sz w:val="24"/>
                <w:szCs w:val="24"/>
                <w:lang w:val="sr-Cyrl-CS"/>
              </w:rPr>
            </w:pPr>
          </w:p>
          <w:p w:rsidR="00424A70" w:rsidRDefault="00424A70" w:rsidP="005E5891">
            <w:pPr>
              <w:ind w:firstLine="708"/>
              <w:jc w:val="both"/>
              <w:rPr>
                <w:rFonts w:ascii="Times New Roman" w:hAnsi="Times New Roman"/>
                <w:sz w:val="24"/>
                <w:szCs w:val="24"/>
                <w:lang w:val="sr-Cyrl-CS"/>
              </w:rPr>
            </w:pPr>
          </w:p>
        </w:tc>
        <w:tc>
          <w:tcPr>
            <w:tcW w:w="3420" w:type="dxa"/>
          </w:tcPr>
          <w:p w:rsidR="00424A70" w:rsidRDefault="00424A70">
            <w:pPr>
              <w:spacing w:after="0" w:line="240" w:lineRule="auto"/>
              <w:rPr>
                <w:rFonts w:ascii="Times New Roman" w:hAnsi="Times New Roman"/>
                <w:sz w:val="24"/>
                <w:szCs w:val="24"/>
                <w:lang w:val="sr-Cyrl-CS"/>
              </w:rPr>
            </w:pPr>
          </w:p>
          <w:p w:rsidR="00424A70" w:rsidRDefault="00A23DB5">
            <w:pPr>
              <w:spacing w:after="0" w:line="240" w:lineRule="auto"/>
              <w:rPr>
                <w:rFonts w:ascii="Times New Roman" w:hAnsi="Times New Roman"/>
                <w:sz w:val="24"/>
                <w:szCs w:val="24"/>
                <w:lang w:val="sr-Cyrl-CS"/>
              </w:rPr>
            </w:pPr>
            <w:r w:rsidRPr="005E5891">
              <w:rPr>
                <w:rFonts w:ascii="Times New Roman" w:hAnsi="Times New Roman"/>
                <w:sz w:val="24"/>
                <w:szCs w:val="24"/>
                <w:lang w:val="sr-Cyrl-CS"/>
              </w:rPr>
              <w:t>TNS</w:t>
            </w:r>
            <w:r>
              <w:rPr>
                <w:rFonts w:ascii="Times New Roman" w:hAnsi="Times New Roman"/>
                <w:sz w:val="24"/>
                <w:szCs w:val="24"/>
                <w:lang w:val="sr-Cyrl-CS"/>
              </w:rPr>
              <w:t xml:space="preserve"> </w:t>
            </w:r>
            <w:r w:rsidRPr="005E5891">
              <w:rPr>
                <w:rFonts w:ascii="Times New Roman" w:hAnsi="Times New Roman"/>
                <w:sz w:val="24"/>
                <w:szCs w:val="24"/>
                <w:lang w:val="sr-Cyrl-CS"/>
              </w:rPr>
              <w:t xml:space="preserve">Medium </w:t>
            </w:r>
            <w:r w:rsidR="00C67B7C">
              <w:rPr>
                <w:rFonts w:ascii="Times New Roman" w:hAnsi="Times New Roman"/>
                <w:sz w:val="24"/>
                <w:szCs w:val="24"/>
                <w:lang w:val="sr-Cyrl-CS"/>
              </w:rPr>
              <w:t>Gallup – јун</w:t>
            </w:r>
            <w:r>
              <w:rPr>
                <w:rFonts w:ascii="Times New Roman" w:hAnsi="Times New Roman"/>
                <w:sz w:val="24"/>
                <w:szCs w:val="24"/>
                <w:lang w:val="sr-Cyrl-CS"/>
              </w:rPr>
              <w:t xml:space="preserve"> </w:t>
            </w:r>
            <w:r w:rsidRPr="005E5891">
              <w:rPr>
                <w:rFonts w:ascii="Times New Roman" w:hAnsi="Times New Roman"/>
                <w:sz w:val="24"/>
                <w:szCs w:val="24"/>
                <w:lang w:val="sr-Cyrl-CS"/>
              </w:rPr>
              <w:t>2012.</w:t>
            </w:r>
          </w:p>
          <w:p w:rsidR="00424A70" w:rsidRDefault="00424A70">
            <w:pPr>
              <w:spacing w:after="0" w:line="240" w:lineRule="auto"/>
              <w:rPr>
                <w:rFonts w:ascii="Times New Roman" w:hAnsi="Times New Roman"/>
                <w:sz w:val="24"/>
                <w:szCs w:val="24"/>
                <w:lang w:val="sr-Cyrl-CS"/>
              </w:rPr>
            </w:pPr>
          </w:p>
          <w:p w:rsidR="00424A70" w:rsidRDefault="00424A70">
            <w:pPr>
              <w:spacing w:after="0" w:line="240" w:lineRule="auto"/>
              <w:rPr>
                <w:rFonts w:ascii="Times New Roman" w:hAnsi="Times New Roman"/>
                <w:sz w:val="24"/>
                <w:szCs w:val="24"/>
                <w:lang w:val="sr-Cyrl-CS"/>
              </w:rPr>
            </w:pPr>
          </w:p>
          <w:p w:rsidR="00424A70" w:rsidRDefault="00424A70" w:rsidP="00424A70">
            <w:pPr>
              <w:jc w:val="both"/>
              <w:rPr>
                <w:rFonts w:ascii="Times New Roman" w:hAnsi="Times New Roman"/>
                <w:sz w:val="24"/>
                <w:szCs w:val="24"/>
                <w:lang w:val="sr-Cyrl-CS"/>
              </w:rPr>
            </w:pPr>
          </w:p>
        </w:tc>
        <w:tc>
          <w:tcPr>
            <w:tcW w:w="3345" w:type="dxa"/>
          </w:tcPr>
          <w:p w:rsidR="00424A70" w:rsidRDefault="00424A70">
            <w:pPr>
              <w:spacing w:after="0" w:line="240" w:lineRule="auto"/>
              <w:rPr>
                <w:rFonts w:ascii="Times New Roman" w:hAnsi="Times New Roman"/>
                <w:sz w:val="24"/>
                <w:szCs w:val="24"/>
                <w:lang w:val="sr-Cyrl-CS"/>
              </w:rPr>
            </w:pPr>
          </w:p>
          <w:p w:rsidR="00424A70" w:rsidRDefault="00A23DB5">
            <w:pPr>
              <w:spacing w:after="0" w:line="240" w:lineRule="auto"/>
              <w:rPr>
                <w:rFonts w:ascii="Times New Roman" w:hAnsi="Times New Roman"/>
                <w:sz w:val="24"/>
                <w:szCs w:val="24"/>
                <w:lang w:val="sr-Cyrl-CS"/>
              </w:rPr>
            </w:pPr>
            <w:r w:rsidRPr="005E5891">
              <w:rPr>
                <w:rFonts w:ascii="Times New Roman" w:hAnsi="Times New Roman"/>
                <w:sz w:val="24"/>
                <w:szCs w:val="24"/>
                <w:lang w:val="sr-Cyrl-CS"/>
              </w:rPr>
              <w:t>14% (</w:t>
            </w:r>
            <w:r w:rsidR="00C67B7C">
              <w:rPr>
                <w:rFonts w:ascii="Times New Roman" w:hAnsi="Times New Roman"/>
                <w:sz w:val="24"/>
                <w:szCs w:val="24"/>
                <w:lang w:val="sr-Cyrl-CS"/>
              </w:rPr>
              <w:t>одраслих</w:t>
            </w:r>
            <w:r w:rsidRPr="005E5891">
              <w:rPr>
                <w:rFonts w:ascii="Times New Roman" w:hAnsi="Times New Roman"/>
                <w:sz w:val="24"/>
                <w:szCs w:val="24"/>
                <w:lang w:val="sr-Cyrl-CS"/>
              </w:rPr>
              <w:t>): oko 800.000</w:t>
            </w:r>
          </w:p>
          <w:p w:rsidR="00424A70" w:rsidRDefault="00424A70">
            <w:pPr>
              <w:spacing w:after="0" w:line="240" w:lineRule="auto"/>
              <w:rPr>
                <w:rFonts w:ascii="Times New Roman" w:hAnsi="Times New Roman"/>
                <w:sz w:val="24"/>
                <w:szCs w:val="24"/>
                <w:lang w:val="sr-Cyrl-CS"/>
              </w:rPr>
            </w:pPr>
          </w:p>
          <w:p w:rsidR="00424A70" w:rsidRDefault="00424A70">
            <w:pPr>
              <w:spacing w:after="0" w:line="240" w:lineRule="auto"/>
              <w:rPr>
                <w:rFonts w:ascii="Times New Roman" w:hAnsi="Times New Roman"/>
                <w:sz w:val="24"/>
                <w:szCs w:val="24"/>
                <w:lang w:val="sr-Cyrl-CS"/>
              </w:rPr>
            </w:pPr>
          </w:p>
          <w:p w:rsidR="00424A70" w:rsidRDefault="00424A70" w:rsidP="005E5891">
            <w:pPr>
              <w:jc w:val="both"/>
              <w:rPr>
                <w:rFonts w:ascii="Times New Roman" w:hAnsi="Times New Roman"/>
                <w:sz w:val="24"/>
                <w:szCs w:val="24"/>
                <w:lang w:val="sr-Cyrl-CS"/>
              </w:rPr>
            </w:pPr>
          </w:p>
        </w:tc>
      </w:tr>
      <w:tr w:rsidR="00424A70" w:rsidTr="00A23DB5">
        <w:trPr>
          <w:trHeight w:val="875"/>
        </w:trPr>
        <w:tc>
          <w:tcPr>
            <w:tcW w:w="2100" w:type="dxa"/>
            <w:vMerge/>
          </w:tcPr>
          <w:p w:rsidR="00424A70" w:rsidRDefault="00424A70" w:rsidP="005E5891">
            <w:pPr>
              <w:ind w:firstLine="708"/>
              <w:jc w:val="both"/>
              <w:rPr>
                <w:rFonts w:ascii="Times New Roman" w:hAnsi="Times New Roman"/>
                <w:sz w:val="24"/>
                <w:szCs w:val="24"/>
                <w:lang w:val="sr-Cyrl-CS"/>
              </w:rPr>
            </w:pPr>
          </w:p>
        </w:tc>
        <w:tc>
          <w:tcPr>
            <w:tcW w:w="3420" w:type="dxa"/>
          </w:tcPr>
          <w:p w:rsidR="00424A70" w:rsidRDefault="00A23DB5" w:rsidP="00C67B7C">
            <w:pPr>
              <w:jc w:val="both"/>
              <w:rPr>
                <w:rFonts w:ascii="Times New Roman" w:hAnsi="Times New Roman"/>
                <w:sz w:val="24"/>
                <w:szCs w:val="24"/>
                <w:lang w:val="sr-Cyrl-CS"/>
              </w:rPr>
            </w:pPr>
            <w:r w:rsidRPr="005E5891">
              <w:rPr>
                <w:rFonts w:ascii="Times New Roman" w:hAnsi="Times New Roman"/>
                <w:sz w:val="24"/>
                <w:szCs w:val="24"/>
                <w:lang w:val="sr-Cyrl-CS"/>
              </w:rPr>
              <w:t xml:space="preserve">CeSID – </w:t>
            </w:r>
            <w:r w:rsidR="00C67B7C">
              <w:rPr>
                <w:rFonts w:ascii="Times New Roman" w:hAnsi="Times New Roman"/>
                <w:sz w:val="24"/>
                <w:szCs w:val="24"/>
                <w:lang w:val="sr-Cyrl-CS"/>
              </w:rPr>
              <w:t>децембар</w:t>
            </w:r>
            <w:r w:rsidRPr="005E5891">
              <w:rPr>
                <w:rFonts w:ascii="Times New Roman" w:hAnsi="Times New Roman"/>
                <w:sz w:val="24"/>
                <w:szCs w:val="24"/>
                <w:lang w:val="sr-Cyrl-CS"/>
              </w:rPr>
              <w:t xml:space="preserve"> 2012</w:t>
            </w:r>
            <w:r>
              <w:rPr>
                <w:rFonts w:ascii="Times New Roman" w:hAnsi="Times New Roman"/>
                <w:sz w:val="24"/>
                <w:szCs w:val="24"/>
                <w:lang w:val="sr-Cyrl-CS"/>
              </w:rPr>
              <w:t>.</w:t>
            </w:r>
          </w:p>
        </w:tc>
        <w:tc>
          <w:tcPr>
            <w:tcW w:w="3345" w:type="dxa"/>
          </w:tcPr>
          <w:p w:rsidR="00424A70" w:rsidRDefault="00A23DB5" w:rsidP="00C67B7C">
            <w:pPr>
              <w:jc w:val="both"/>
              <w:rPr>
                <w:rFonts w:ascii="Times New Roman" w:hAnsi="Times New Roman"/>
                <w:sz w:val="24"/>
                <w:szCs w:val="24"/>
                <w:lang w:val="sr-Cyrl-CS"/>
              </w:rPr>
            </w:pPr>
            <w:r w:rsidRPr="005E5891">
              <w:rPr>
                <w:rFonts w:ascii="Times New Roman" w:hAnsi="Times New Roman"/>
                <w:sz w:val="24"/>
                <w:szCs w:val="24"/>
                <w:lang w:val="sr-Cyrl-CS"/>
              </w:rPr>
              <w:t>8% (</w:t>
            </w:r>
            <w:r w:rsidR="00C67B7C">
              <w:rPr>
                <w:rFonts w:ascii="Times New Roman" w:hAnsi="Times New Roman"/>
                <w:sz w:val="24"/>
                <w:szCs w:val="24"/>
                <w:lang w:val="sr-Cyrl-CS"/>
              </w:rPr>
              <w:t>одраслих</w:t>
            </w:r>
            <w:r w:rsidRPr="005E5891">
              <w:rPr>
                <w:rFonts w:ascii="Times New Roman" w:hAnsi="Times New Roman"/>
                <w:sz w:val="24"/>
                <w:szCs w:val="24"/>
                <w:lang w:val="sr-Cyrl-CS"/>
              </w:rPr>
              <w:t>): oko 456.000</w:t>
            </w:r>
          </w:p>
        </w:tc>
      </w:tr>
    </w:tbl>
    <w:p w:rsidR="00B95075" w:rsidRDefault="00A23DB5" w:rsidP="00831157">
      <w:pPr>
        <w:ind w:firstLine="708"/>
        <w:jc w:val="both"/>
        <w:rPr>
          <w:rFonts w:ascii="Times New Roman" w:hAnsi="Times New Roman"/>
          <w:sz w:val="24"/>
          <w:szCs w:val="24"/>
          <w:lang w:val="sr-Cyrl-CS"/>
        </w:rPr>
      </w:pPr>
      <w:r w:rsidRPr="005E5891">
        <w:rPr>
          <w:rFonts w:ascii="Times New Roman" w:hAnsi="Times New Roman"/>
          <w:sz w:val="24"/>
          <w:szCs w:val="24"/>
          <w:lang w:val="sr-Cyrl-CS"/>
        </w:rPr>
        <w:t>(</w:t>
      </w:r>
      <w:r w:rsidR="0025248F">
        <w:rPr>
          <w:rFonts w:ascii="Times New Roman" w:hAnsi="Times New Roman"/>
          <w:sz w:val="24"/>
          <w:szCs w:val="24"/>
          <w:lang w:val="sr-Cyrl-CS"/>
        </w:rPr>
        <w:t>Извор</w:t>
      </w:r>
      <w:r w:rsidRPr="005E5891">
        <w:rPr>
          <w:rFonts w:ascii="Times New Roman" w:hAnsi="Times New Roman"/>
          <w:sz w:val="24"/>
          <w:szCs w:val="24"/>
          <w:lang w:val="sr-Cyrl-CS"/>
        </w:rPr>
        <w:t xml:space="preserve">: </w:t>
      </w:r>
      <w:hyperlink r:id="rId52" w:history="1">
        <w:r w:rsidR="0025248F" w:rsidRPr="00F358CD">
          <w:rPr>
            <w:rStyle w:val="Hyperlink"/>
            <w:rFonts w:ascii="Times New Roman" w:hAnsi="Times New Roman"/>
            <w:sz w:val="24"/>
            <w:szCs w:val="24"/>
            <w:lang w:val="sr-Cyrl-CS"/>
          </w:rPr>
          <w:t>www.undp.org.rs</w:t>
        </w:r>
      </w:hyperlink>
      <w:r>
        <w:rPr>
          <w:rFonts w:ascii="Times New Roman" w:hAnsi="Times New Roman"/>
          <w:sz w:val="24"/>
          <w:szCs w:val="24"/>
          <w:lang w:val="sr-Cyrl-CS"/>
        </w:rPr>
        <w:t>)</w:t>
      </w:r>
      <w:r w:rsidR="0025248F">
        <w:rPr>
          <w:rFonts w:ascii="Times New Roman" w:hAnsi="Times New Roman"/>
          <w:sz w:val="24"/>
          <w:szCs w:val="24"/>
          <w:lang w:val="sr-Cyrl-CS"/>
        </w:rPr>
        <w:t xml:space="preserve"> </w:t>
      </w:r>
    </w:p>
    <w:p w:rsidR="00D45FD1" w:rsidRPr="00831157" w:rsidRDefault="00C67B7C" w:rsidP="00831157">
      <w:pPr>
        <w:ind w:firstLine="708"/>
        <w:jc w:val="both"/>
        <w:rPr>
          <w:rFonts w:ascii="Times New Roman" w:hAnsi="Times New Roman"/>
          <w:sz w:val="24"/>
          <w:szCs w:val="24"/>
          <w:lang w:val="sr-Cyrl-CS"/>
        </w:rPr>
      </w:pPr>
      <w:r>
        <w:rPr>
          <w:rFonts w:ascii="Times New Roman" w:hAnsi="Times New Roman"/>
          <w:sz w:val="24"/>
          <w:szCs w:val="24"/>
          <w:lang w:val="sr-Cyrl-CS"/>
        </w:rPr>
        <w:t>У поређењу са осталим секторима</w:t>
      </w:r>
      <w:r w:rsidR="00A23DB5" w:rsidRPr="00A23DB5">
        <w:rPr>
          <w:rFonts w:ascii="Times New Roman" w:hAnsi="Times New Roman"/>
          <w:sz w:val="24"/>
          <w:szCs w:val="24"/>
          <w:lang w:val="sr-Cyrl-CS"/>
        </w:rPr>
        <w:t xml:space="preserve">, </w:t>
      </w:r>
      <w:r>
        <w:rPr>
          <w:rFonts w:ascii="Times New Roman" w:hAnsi="Times New Roman"/>
          <w:sz w:val="24"/>
          <w:szCs w:val="24"/>
          <w:lang w:val="sr-Cyrl-CS"/>
        </w:rPr>
        <w:t>здравство, судство и тужилаштво</w:t>
      </w:r>
      <w:r w:rsidR="00A23DB5" w:rsidRPr="00A23DB5">
        <w:rPr>
          <w:rFonts w:ascii="Times New Roman" w:hAnsi="Times New Roman"/>
          <w:sz w:val="24"/>
          <w:szCs w:val="24"/>
          <w:lang w:val="sr-Cyrl-CS"/>
        </w:rPr>
        <w:t xml:space="preserve"> </w:t>
      </w:r>
      <w:r>
        <w:rPr>
          <w:rFonts w:ascii="Times New Roman" w:hAnsi="Times New Roman"/>
          <w:sz w:val="24"/>
          <w:szCs w:val="24"/>
          <w:lang w:val="sr-Cyrl-CS"/>
        </w:rPr>
        <w:t>стоје релативно ниско рангирани када је реч о подмићивању</w:t>
      </w:r>
      <w:r w:rsidR="00361D40">
        <w:rPr>
          <w:rFonts w:ascii="Times New Roman" w:hAnsi="Times New Roman"/>
          <w:sz w:val="24"/>
          <w:szCs w:val="24"/>
          <w:lang w:val="sr-Cyrl-CS"/>
        </w:rPr>
        <w:t xml:space="preserve">. </w:t>
      </w:r>
      <w:r>
        <w:rPr>
          <w:rFonts w:ascii="Times New Roman" w:hAnsi="Times New Roman"/>
          <w:sz w:val="24"/>
          <w:szCs w:val="24"/>
          <w:lang w:val="sr-Cyrl-CS"/>
        </w:rPr>
        <w:t>Међутим, груба процена броја</w:t>
      </w:r>
      <w:r w:rsidR="00A23DB5" w:rsidRPr="00A23DB5">
        <w:rPr>
          <w:rFonts w:ascii="Times New Roman" w:hAnsi="Times New Roman"/>
          <w:sz w:val="24"/>
          <w:szCs w:val="24"/>
          <w:lang w:val="sr-Cyrl-CS"/>
        </w:rPr>
        <w:t xml:space="preserve"> </w:t>
      </w:r>
      <w:r>
        <w:rPr>
          <w:rFonts w:ascii="Times New Roman" w:hAnsi="Times New Roman"/>
          <w:sz w:val="24"/>
          <w:szCs w:val="24"/>
          <w:lang w:val="sr-Cyrl-CS"/>
        </w:rPr>
        <w:t>подмићивања у судству израчуната</w:t>
      </w:r>
      <w:r w:rsidR="00A23DB5" w:rsidRPr="00A23DB5">
        <w:rPr>
          <w:rFonts w:ascii="Times New Roman" w:hAnsi="Times New Roman"/>
          <w:sz w:val="24"/>
          <w:szCs w:val="24"/>
          <w:lang w:val="sr-Cyrl-CS"/>
        </w:rPr>
        <w:t xml:space="preserve"> </w:t>
      </w:r>
      <w:r>
        <w:rPr>
          <w:rFonts w:ascii="Times New Roman" w:hAnsi="Times New Roman"/>
          <w:sz w:val="24"/>
          <w:szCs w:val="24"/>
          <w:lang w:val="sr-Cyrl-CS"/>
        </w:rPr>
        <w:t>на основу резултата тих истраживања</w:t>
      </w:r>
      <w:r w:rsidR="00A23DB5" w:rsidRPr="00A23DB5">
        <w:rPr>
          <w:rFonts w:ascii="Times New Roman" w:hAnsi="Times New Roman"/>
          <w:sz w:val="24"/>
          <w:szCs w:val="24"/>
          <w:lang w:val="sr-Cyrl-CS"/>
        </w:rPr>
        <w:t xml:space="preserve"> </w:t>
      </w:r>
      <w:r>
        <w:rPr>
          <w:rFonts w:ascii="Times New Roman" w:hAnsi="Times New Roman"/>
          <w:sz w:val="24"/>
          <w:szCs w:val="24"/>
          <w:lang w:val="sr-Cyrl-CS"/>
        </w:rPr>
        <w:t>још увек је релативно висока</w:t>
      </w:r>
      <w:r w:rsidR="00361D40">
        <w:rPr>
          <w:rFonts w:ascii="Times New Roman" w:hAnsi="Times New Roman"/>
          <w:sz w:val="24"/>
          <w:szCs w:val="24"/>
          <w:lang w:val="sr-Cyrl-CS"/>
        </w:rPr>
        <w:t>.</w:t>
      </w:r>
    </w:p>
    <w:p w:rsidR="00B95075" w:rsidRPr="00B95075" w:rsidRDefault="00255CEF" w:rsidP="00831157">
      <w:pPr>
        <w:ind w:firstLine="708"/>
        <w:jc w:val="both"/>
        <w:rPr>
          <w:rFonts w:ascii="Times New Roman" w:hAnsi="Times New Roman"/>
          <w:b/>
          <w:sz w:val="24"/>
          <w:szCs w:val="24"/>
          <w:lang w:val="sr-Cyrl-CS"/>
        </w:rPr>
      </w:pPr>
      <w:r>
        <w:rPr>
          <w:rFonts w:ascii="Times New Roman" w:hAnsi="Times New Roman"/>
          <w:b/>
          <w:sz w:val="24"/>
          <w:szCs w:val="24"/>
          <w:lang w:val="sr-Cyrl-CS"/>
        </w:rPr>
        <w:t>Табела 35</w:t>
      </w:r>
      <w:r w:rsidR="00B95075" w:rsidRPr="00B95075">
        <w:rPr>
          <w:rFonts w:ascii="Times New Roman" w:hAnsi="Times New Roman"/>
          <w:b/>
          <w:sz w:val="24"/>
          <w:szCs w:val="24"/>
          <w:lang w:val="sr-Cyrl-CS"/>
        </w:rPr>
        <w:t>.</w:t>
      </w:r>
    </w:p>
    <w:tbl>
      <w:tblPr>
        <w:tblW w:w="9480"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950"/>
        <w:gridCol w:w="2475"/>
        <w:gridCol w:w="2055"/>
      </w:tblGrid>
      <w:tr w:rsidR="002716AF" w:rsidTr="002716AF">
        <w:trPr>
          <w:trHeight w:val="1117"/>
        </w:trPr>
        <w:tc>
          <w:tcPr>
            <w:tcW w:w="4950" w:type="dxa"/>
          </w:tcPr>
          <w:p w:rsidR="002716AF" w:rsidRDefault="00C67B7C" w:rsidP="00A23DB5">
            <w:pPr>
              <w:ind w:left="-9"/>
              <w:jc w:val="both"/>
              <w:rPr>
                <w:rFonts w:ascii="Times New Roman" w:hAnsi="Times New Roman"/>
                <w:sz w:val="24"/>
                <w:szCs w:val="24"/>
                <w:lang w:val="sr-Cyrl-CS"/>
              </w:rPr>
            </w:pPr>
            <w:r>
              <w:rPr>
                <w:rFonts w:ascii="Times New Roman" w:hAnsi="Times New Roman"/>
                <w:sz w:val="24"/>
                <w:szCs w:val="24"/>
                <w:lang w:val="sr-Cyrl-CS"/>
              </w:rPr>
              <w:t xml:space="preserve">Становништво </w:t>
            </w:r>
          </w:p>
        </w:tc>
        <w:tc>
          <w:tcPr>
            <w:tcW w:w="4530" w:type="dxa"/>
            <w:gridSpan w:val="2"/>
          </w:tcPr>
          <w:p w:rsidR="002716AF" w:rsidRDefault="002716AF">
            <w:pPr>
              <w:spacing w:after="0" w:line="240" w:lineRule="auto"/>
              <w:rPr>
                <w:rFonts w:ascii="Times New Roman" w:hAnsi="Times New Roman"/>
                <w:sz w:val="24"/>
                <w:szCs w:val="24"/>
                <w:lang w:val="sr-Cyrl-CS"/>
              </w:rPr>
            </w:pPr>
          </w:p>
          <w:p w:rsidR="00CE5C72" w:rsidRPr="00CE5C72" w:rsidRDefault="00C67B7C" w:rsidP="00CE5C72">
            <w:pPr>
              <w:jc w:val="both"/>
              <w:rPr>
                <w:rFonts w:ascii="Times New Roman" w:hAnsi="Times New Roman"/>
                <w:sz w:val="24"/>
                <w:szCs w:val="24"/>
                <w:lang w:val="sr-Cyrl-CS"/>
              </w:rPr>
            </w:pPr>
            <w:r>
              <w:rPr>
                <w:rFonts w:ascii="Times New Roman" w:hAnsi="Times New Roman"/>
                <w:sz w:val="24"/>
                <w:szCs w:val="24"/>
                <w:lang w:val="sr-Cyrl-CS"/>
              </w:rPr>
              <w:t>Укупно око</w:t>
            </w:r>
            <w:r w:rsidR="00CE5C72" w:rsidRPr="00CE5C72">
              <w:rPr>
                <w:rFonts w:ascii="Times New Roman" w:hAnsi="Times New Roman"/>
                <w:sz w:val="24"/>
                <w:szCs w:val="24"/>
                <w:lang w:val="sr-Cyrl-CS"/>
              </w:rPr>
              <w:t xml:space="preserve"> 7,2 </w:t>
            </w:r>
            <w:r>
              <w:rPr>
                <w:rFonts w:ascii="Times New Roman" w:hAnsi="Times New Roman"/>
                <w:sz w:val="24"/>
                <w:szCs w:val="24"/>
                <w:lang w:val="sr-Cyrl-CS"/>
              </w:rPr>
              <w:t>милиона</w:t>
            </w:r>
            <w:r w:rsidR="00CE5C72" w:rsidRPr="00CE5C72">
              <w:rPr>
                <w:rFonts w:ascii="Times New Roman" w:hAnsi="Times New Roman"/>
                <w:sz w:val="24"/>
                <w:szCs w:val="24"/>
                <w:lang w:val="sr-Cyrl-CS"/>
              </w:rPr>
              <w:t xml:space="preserve"> – </w:t>
            </w:r>
            <w:r>
              <w:rPr>
                <w:rFonts w:ascii="Times New Roman" w:hAnsi="Times New Roman"/>
                <w:sz w:val="24"/>
                <w:szCs w:val="24"/>
                <w:lang w:val="sr-Cyrl-CS"/>
              </w:rPr>
              <w:t>одраслих</w:t>
            </w:r>
            <w:r w:rsidR="00CE5C72" w:rsidRPr="00CE5C72">
              <w:rPr>
                <w:rFonts w:ascii="Times New Roman" w:hAnsi="Times New Roman"/>
                <w:sz w:val="24"/>
                <w:szCs w:val="24"/>
                <w:lang w:val="sr-Cyrl-CS"/>
              </w:rPr>
              <w:t xml:space="preserve"> 5,7 </w:t>
            </w:r>
          </w:p>
          <w:p w:rsidR="002716AF" w:rsidRDefault="00C67B7C" w:rsidP="00CE5C72">
            <w:pPr>
              <w:jc w:val="both"/>
              <w:rPr>
                <w:rFonts w:ascii="Times New Roman" w:hAnsi="Times New Roman"/>
                <w:sz w:val="24"/>
                <w:szCs w:val="24"/>
                <w:lang w:val="sr-Cyrl-CS"/>
              </w:rPr>
            </w:pPr>
            <w:r>
              <w:rPr>
                <w:rFonts w:ascii="Times New Roman" w:hAnsi="Times New Roman"/>
                <w:sz w:val="24"/>
                <w:szCs w:val="24"/>
                <w:lang w:val="sr-Cyrl-CS"/>
              </w:rPr>
              <w:t>милиона</w:t>
            </w:r>
          </w:p>
        </w:tc>
      </w:tr>
      <w:tr w:rsidR="002716AF" w:rsidTr="002716AF">
        <w:trPr>
          <w:trHeight w:val="1725"/>
        </w:trPr>
        <w:tc>
          <w:tcPr>
            <w:tcW w:w="4950" w:type="dxa"/>
          </w:tcPr>
          <w:p w:rsidR="002716AF" w:rsidRDefault="002716AF" w:rsidP="00A23DB5">
            <w:pPr>
              <w:ind w:left="-9" w:firstLine="708"/>
              <w:jc w:val="both"/>
              <w:rPr>
                <w:rFonts w:ascii="Times New Roman" w:hAnsi="Times New Roman"/>
                <w:sz w:val="24"/>
                <w:szCs w:val="24"/>
                <w:lang w:val="sr-Cyrl-CS"/>
              </w:rPr>
            </w:pPr>
          </w:p>
          <w:p w:rsidR="002716AF" w:rsidRDefault="002716AF" w:rsidP="00A23DB5">
            <w:pPr>
              <w:ind w:left="-9" w:firstLine="708"/>
              <w:jc w:val="both"/>
              <w:rPr>
                <w:rFonts w:ascii="Times New Roman" w:hAnsi="Times New Roman"/>
                <w:sz w:val="24"/>
                <w:szCs w:val="24"/>
                <w:lang w:val="sr-Cyrl-CS"/>
              </w:rPr>
            </w:pPr>
          </w:p>
          <w:p w:rsidR="002716AF" w:rsidRDefault="002716AF" w:rsidP="00A23DB5">
            <w:pPr>
              <w:ind w:left="-9" w:firstLine="708"/>
              <w:jc w:val="both"/>
              <w:rPr>
                <w:rFonts w:ascii="Times New Roman" w:hAnsi="Times New Roman"/>
                <w:sz w:val="24"/>
                <w:szCs w:val="24"/>
                <w:lang w:val="sr-Cyrl-CS"/>
              </w:rPr>
            </w:pPr>
          </w:p>
          <w:p w:rsidR="002716AF" w:rsidRDefault="002716AF" w:rsidP="00A23DB5">
            <w:pPr>
              <w:ind w:left="-9"/>
              <w:jc w:val="both"/>
              <w:rPr>
                <w:rFonts w:ascii="Times New Roman" w:hAnsi="Times New Roman"/>
                <w:sz w:val="24"/>
                <w:szCs w:val="24"/>
                <w:lang w:val="sr-Cyrl-CS"/>
              </w:rPr>
            </w:pPr>
          </w:p>
        </w:tc>
        <w:tc>
          <w:tcPr>
            <w:tcW w:w="2475" w:type="dxa"/>
          </w:tcPr>
          <w:p w:rsidR="00CE5C72" w:rsidRPr="00CE5C72" w:rsidRDefault="00CE5C72" w:rsidP="00CE5C72">
            <w:pPr>
              <w:spacing w:after="0" w:line="240" w:lineRule="auto"/>
              <w:rPr>
                <w:rFonts w:ascii="Times New Roman" w:hAnsi="Times New Roman"/>
                <w:sz w:val="24"/>
                <w:szCs w:val="24"/>
                <w:lang w:val="sr-Cyrl-CS"/>
              </w:rPr>
            </w:pPr>
            <w:r w:rsidRPr="00CE5C72">
              <w:rPr>
                <w:rFonts w:ascii="Times New Roman" w:hAnsi="Times New Roman"/>
                <w:sz w:val="24"/>
                <w:szCs w:val="24"/>
                <w:lang w:val="sr-Cyrl-CS"/>
              </w:rPr>
              <w:t xml:space="preserve">TNS Medium </w:t>
            </w:r>
          </w:p>
          <w:p w:rsidR="002716AF" w:rsidRDefault="00CE5C72" w:rsidP="00CE5C72">
            <w:pPr>
              <w:spacing w:after="0" w:line="240" w:lineRule="auto"/>
              <w:rPr>
                <w:rFonts w:ascii="Times New Roman" w:hAnsi="Times New Roman"/>
                <w:sz w:val="24"/>
                <w:szCs w:val="24"/>
                <w:lang w:val="sr-Cyrl-CS"/>
              </w:rPr>
            </w:pPr>
            <w:r w:rsidRPr="00CE5C72">
              <w:rPr>
                <w:rFonts w:ascii="Times New Roman" w:hAnsi="Times New Roman"/>
                <w:sz w:val="24"/>
                <w:szCs w:val="24"/>
                <w:lang w:val="sr-Cyrl-CS"/>
              </w:rPr>
              <w:t>Gallup (</w:t>
            </w:r>
            <w:r w:rsidR="00C67B7C">
              <w:rPr>
                <w:rFonts w:ascii="Times New Roman" w:hAnsi="Times New Roman"/>
                <w:sz w:val="24"/>
                <w:szCs w:val="24"/>
                <w:lang w:val="sr-Cyrl-CS"/>
              </w:rPr>
              <w:t>јун</w:t>
            </w:r>
            <w:r w:rsidRPr="00CE5C72">
              <w:rPr>
                <w:rFonts w:ascii="Times New Roman" w:hAnsi="Times New Roman"/>
                <w:sz w:val="24"/>
                <w:szCs w:val="24"/>
                <w:lang w:val="sr-Cyrl-CS"/>
              </w:rPr>
              <w:t xml:space="preserve"> 2012)</w:t>
            </w:r>
          </w:p>
          <w:p w:rsidR="002716AF" w:rsidRDefault="002716AF">
            <w:pPr>
              <w:spacing w:after="0" w:line="240" w:lineRule="auto"/>
              <w:rPr>
                <w:rFonts w:ascii="Times New Roman" w:hAnsi="Times New Roman"/>
                <w:sz w:val="24"/>
                <w:szCs w:val="24"/>
                <w:lang w:val="sr-Cyrl-CS"/>
              </w:rPr>
            </w:pPr>
          </w:p>
          <w:p w:rsidR="002716AF" w:rsidRDefault="002716AF">
            <w:pPr>
              <w:spacing w:after="0" w:line="240" w:lineRule="auto"/>
              <w:rPr>
                <w:rFonts w:ascii="Times New Roman" w:hAnsi="Times New Roman"/>
                <w:sz w:val="24"/>
                <w:szCs w:val="24"/>
                <w:lang w:val="sr-Cyrl-CS"/>
              </w:rPr>
            </w:pPr>
          </w:p>
          <w:p w:rsidR="002716AF" w:rsidRDefault="002716AF">
            <w:pPr>
              <w:spacing w:after="0" w:line="240" w:lineRule="auto"/>
              <w:rPr>
                <w:rFonts w:ascii="Times New Roman" w:hAnsi="Times New Roman"/>
                <w:sz w:val="24"/>
                <w:szCs w:val="24"/>
                <w:lang w:val="sr-Cyrl-CS"/>
              </w:rPr>
            </w:pPr>
          </w:p>
          <w:p w:rsidR="002716AF" w:rsidRDefault="002716AF" w:rsidP="002716AF">
            <w:pPr>
              <w:jc w:val="both"/>
              <w:rPr>
                <w:rFonts w:ascii="Times New Roman" w:hAnsi="Times New Roman"/>
                <w:sz w:val="24"/>
                <w:szCs w:val="24"/>
                <w:lang w:val="sr-Cyrl-CS"/>
              </w:rPr>
            </w:pPr>
          </w:p>
        </w:tc>
        <w:tc>
          <w:tcPr>
            <w:tcW w:w="2055" w:type="dxa"/>
          </w:tcPr>
          <w:p w:rsidR="002716AF" w:rsidRDefault="002716AF">
            <w:pPr>
              <w:spacing w:after="0" w:line="240" w:lineRule="auto"/>
              <w:rPr>
                <w:rFonts w:ascii="Times New Roman" w:hAnsi="Times New Roman"/>
                <w:sz w:val="24"/>
                <w:szCs w:val="24"/>
                <w:lang w:val="sr-Cyrl-CS"/>
              </w:rPr>
            </w:pPr>
          </w:p>
          <w:p w:rsidR="00CE5C72" w:rsidRPr="00CE5C72" w:rsidRDefault="00CE5C72" w:rsidP="00CE5C72">
            <w:pPr>
              <w:spacing w:after="0" w:line="240" w:lineRule="auto"/>
              <w:rPr>
                <w:rFonts w:ascii="Times New Roman" w:hAnsi="Times New Roman"/>
                <w:sz w:val="24"/>
                <w:szCs w:val="24"/>
                <w:lang w:val="sr-Cyrl-CS"/>
              </w:rPr>
            </w:pPr>
            <w:r w:rsidRPr="00CE5C72">
              <w:rPr>
                <w:rFonts w:ascii="Times New Roman" w:hAnsi="Times New Roman"/>
                <w:sz w:val="24"/>
                <w:szCs w:val="24"/>
                <w:lang w:val="sr-Cyrl-CS"/>
              </w:rPr>
              <w:t xml:space="preserve">CeSID </w:t>
            </w:r>
          </w:p>
          <w:p w:rsidR="002716AF" w:rsidRDefault="00CE5C72" w:rsidP="00CE5C72">
            <w:pPr>
              <w:spacing w:after="0" w:line="240" w:lineRule="auto"/>
              <w:rPr>
                <w:rFonts w:ascii="Times New Roman" w:hAnsi="Times New Roman"/>
                <w:sz w:val="24"/>
                <w:szCs w:val="24"/>
                <w:lang w:val="sr-Cyrl-CS"/>
              </w:rPr>
            </w:pPr>
            <w:r w:rsidRPr="00CE5C72">
              <w:rPr>
                <w:rFonts w:ascii="Times New Roman" w:hAnsi="Times New Roman"/>
                <w:sz w:val="24"/>
                <w:szCs w:val="24"/>
                <w:lang w:val="sr-Cyrl-CS"/>
              </w:rPr>
              <w:t>(</w:t>
            </w:r>
            <w:r w:rsidR="00C67B7C">
              <w:rPr>
                <w:rFonts w:ascii="Times New Roman" w:hAnsi="Times New Roman"/>
                <w:sz w:val="24"/>
                <w:szCs w:val="24"/>
                <w:lang w:val="sr-Cyrl-CS"/>
              </w:rPr>
              <w:t>децембар</w:t>
            </w:r>
            <w:r w:rsidRPr="00CE5C72">
              <w:rPr>
                <w:rFonts w:ascii="Times New Roman" w:hAnsi="Times New Roman"/>
                <w:sz w:val="24"/>
                <w:szCs w:val="24"/>
                <w:lang w:val="sr-Cyrl-CS"/>
              </w:rPr>
              <w:t xml:space="preserve"> 2012)</w:t>
            </w:r>
          </w:p>
          <w:p w:rsidR="002716AF" w:rsidRDefault="002716AF">
            <w:pPr>
              <w:spacing w:after="0" w:line="240" w:lineRule="auto"/>
              <w:rPr>
                <w:rFonts w:ascii="Times New Roman" w:hAnsi="Times New Roman"/>
                <w:sz w:val="24"/>
                <w:szCs w:val="24"/>
                <w:lang w:val="sr-Cyrl-CS"/>
              </w:rPr>
            </w:pPr>
          </w:p>
          <w:p w:rsidR="002716AF" w:rsidRDefault="002716AF">
            <w:pPr>
              <w:spacing w:after="0" w:line="240" w:lineRule="auto"/>
              <w:rPr>
                <w:rFonts w:ascii="Times New Roman" w:hAnsi="Times New Roman"/>
                <w:sz w:val="24"/>
                <w:szCs w:val="24"/>
                <w:lang w:val="sr-Cyrl-CS"/>
              </w:rPr>
            </w:pPr>
          </w:p>
          <w:p w:rsidR="002716AF" w:rsidRDefault="002716AF" w:rsidP="002716AF">
            <w:pPr>
              <w:jc w:val="both"/>
              <w:rPr>
                <w:rFonts w:ascii="Times New Roman" w:hAnsi="Times New Roman"/>
                <w:sz w:val="24"/>
                <w:szCs w:val="24"/>
                <w:lang w:val="sr-Cyrl-CS"/>
              </w:rPr>
            </w:pPr>
          </w:p>
        </w:tc>
      </w:tr>
      <w:tr w:rsidR="002716AF" w:rsidTr="002716AF">
        <w:trPr>
          <w:trHeight w:val="847"/>
        </w:trPr>
        <w:tc>
          <w:tcPr>
            <w:tcW w:w="4950" w:type="dxa"/>
          </w:tcPr>
          <w:p w:rsidR="002716AF" w:rsidRDefault="00C67B7C" w:rsidP="00A23DB5">
            <w:pPr>
              <w:ind w:left="-9"/>
              <w:jc w:val="both"/>
              <w:rPr>
                <w:rFonts w:ascii="Times New Roman" w:hAnsi="Times New Roman"/>
                <w:sz w:val="24"/>
                <w:szCs w:val="24"/>
                <w:lang w:val="sr-Cyrl-CS"/>
              </w:rPr>
            </w:pPr>
            <w:r>
              <w:rPr>
                <w:rFonts w:ascii="Times New Roman" w:hAnsi="Times New Roman"/>
                <w:sz w:val="24"/>
                <w:szCs w:val="24"/>
                <w:lang w:val="sr-Cyrl-CS"/>
              </w:rPr>
              <w:t>Број подмићивања у новије време</w:t>
            </w:r>
          </w:p>
        </w:tc>
        <w:tc>
          <w:tcPr>
            <w:tcW w:w="2475" w:type="dxa"/>
          </w:tcPr>
          <w:p w:rsidR="002716AF" w:rsidRDefault="00C67B7C" w:rsidP="002716AF">
            <w:pPr>
              <w:jc w:val="both"/>
              <w:rPr>
                <w:rFonts w:ascii="Times New Roman" w:hAnsi="Times New Roman"/>
                <w:sz w:val="24"/>
                <w:szCs w:val="24"/>
                <w:lang w:val="sr-Cyrl-CS"/>
              </w:rPr>
            </w:pPr>
            <w:r>
              <w:rPr>
                <w:rFonts w:ascii="Times New Roman" w:hAnsi="Times New Roman"/>
                <w:sz w:val="24"/>
                <w:szCs w:val="24"/>
                <w:lang w:val="sr-Cyrl-CS"/>
              </w:rPr>
              <w:t>2% = око</w:t>
            </w:r>
            <w:r w:rsidR="00CE5C72" w:rsidRPr="00CE5C72">
              <w:rPr>
                <w:rFonts w:ascii="Times New Roman" w:hAnsi="Times New Roman"/>
                <w:sz w:val="24"/>
                <w:szCs w:val="24"/>
                <w:lang w:val="sr-Cyrl-CS"/>
              </w:rPr>
              <w:t xml:space="preserve"> 16.000</w:t>
            </w:r>
          </w:p>
        </w:tc>
        <w:tc>
          <w:tcPr>
            <w:tcW w:w="2055" w:type="dxa"/>
          </w:tcPr>
          <w:p w:rsidR="002716AF" w:rsidRDefault="00C67B7C" w:rsidP="002716AF">
            <w:pPr>
              <w:jc w:val="both"/>
              <w:rPr>
                <w:rFonts w:ascii="Times New Roman" w:hAnsi="Times New Roman"/>
                <w:sz w:val="24"/>
                <w:szCs w:val="24"/>
                <w:lang w:val="sr-Cyrl-CS"/>
              </w:rPr>
            </w:pPr>
            <w:r>
              <w:rPr>
                <w:rFonts w:ascii="Times New Roman" w:hAnsi="Times New Roman"/>
                <w:sz w:val="24"/>
                <w:szCs w:val="24"/>
                <w:lang w:val="sr-Cyrl-CS"/>
              </w:rPr>
              <w:t>5% = око</w:t>
            </w:r>
            <w:r w:rsidR="00CE5C72" w:rsidRPr="00CE5C72">
              <w:rPr>
                <w:rFonts w:ascii="Times New Roman" w:hAnsi="Times New Roman"/>
                <w:sz w:val="24"/>
                <w:szCs w:val="24"/>
                <w:lang w:val="sr-Cyrl-CS"/>
              </w:rPr>
              <w:t xml:space="preserve"> 22.750</w:t>
            </w:r>
          </w:p>
        </w:tc>
      </w:tr>
    </w:tbl>
    <w:p w:rsidR="006F1DCB" w:rsidRDefault="0025248F" w:rsidP="006F1DCB">
      <w:pPr>
        <w:ind w:firstLine="708"/>
        <w:jc w:val="both"/>
        <w:rPr>
          <w:rFonts w:ascii="Times New Roman" w:hAnsi="Times New Roman"/>
          <w:sz w:val="24"/>
          <w:szCs w:val="24"/>
          <w:lang w:val="sr-Cyrl-CS"/>
        </w:rPr>
      </w:pPr>
      <w:r>
        <w:rPr>
          <w:rFonts w:ascii="Times New Roman" w:hAnsi="Times New Roman"/>
          <w:sz w:val="24"/>
          <w:szCs w:val="24"/>
          <w:lang w:val="sr-Cyrl-CS"/>
        </w:rPr>
        <w:t xml:space="preserve">(Извор: </w:t>
      </w:r>
      <w:hyperlink r:id="rId53" w:history="1">
        <w:r w:rsidRPr="00F358CD">
          <w:rPr>
            <w:rStyle w:val="Hyperlink"/>
            <w:rFonts w:ascii="Times New Roman" w:hAnsi="Times New Roman"/>
            <w:sz w:val="24"/>
            <w:szCs w:val="24"/>
            <w:lang w:val="sr-Cyrl-CS"/>
          </w:rPr>
          <w:t>www.undp.org.rs</w:t>
        </w:r>
      </w:hyperlink>
      <w:r w:rsidR="006F1DCB">
        <w:rPr>
          <w:rFonts w:ascii="Times New Roman" w:hAnsi="Times New Roman"/>
          <w:sz w:val="24"/>
          <w:szCs w:val="24"/>
          <w:lang w:val="sr-Cyrl-CS"/>
        </w:rPr>
        <w:t>)</w:t>
      </w:r>
      <w:r>
        <w:rPr>
          <w:rFonts w:ascii="Times New Roman" w:hAnsi="Times New Roman"/>
          <w:sz w:val="24"/>
          <w:szCs w:val="24"/>
          <w:lang w:val="sr-Cyrl-CS"/>
        </w:rPr>
        <w:t xml:space="preserve"> </w:t>
      </w:r>
    </w:p>
    <w:p w:rsidR="00CE5C72" w:rsidRDefault="00CE5C72" w:rsidP="004F1567">
      <w:pPr>
        <w:jc w:val="both"/>
        <w:rPr>
          <w:rFonts w:ascii="Times New Roman" w:hAnsi="Times New Roman"/>
          <w:sz w:val="24"/>
          <w:szCs w:val="24"/>
          <w:lang w:val="sr-Cyrl-CS"/>
        </w:rPr>
      </w:pPr>
    </w:p>
    <w:p w:rsidR="00CE5C72" w:rsidRPr="00CE5C72" w:rsidRDefault="00BC7F6F" w:rsidP="00361D40">
      <w:pPr>
        <w:ind w:firstLine="708"/>
        <w:jc w:val="both"/>
        <w:rPr>
          <w:rFonts w:ascii="Times New Roman" w:hAnsi="Times New Roman"/>
          <w:sz w:val="24"/>
          <w:szCs w:val="24"/>
          <w:lang w:val="sr-Cyrl-CS"/>
        </w:rPr>
      </w:pPr>
      <w:r>
        <w:rPr>
          <w:rFonts w:ascii="Times New Roman" w:hAnsi="Times New Roman"/>
          <w:sz w:val="24"/>
          <w:szCs w:val="24"/>
          <w:lang w:val="sr-Cyrl-CS"/>
        </w:rPr>
        <w:t>У закључцима истраживања</w:t>
      </w:r>
      <w:r w:rsidR="00CE5C72" w:rsidRPr="00CE5C72">
        <w:rPr>
          <w:rFonts w:ascii="Times New Roman" w:hAnsi="Times New Roman"/>
          <w:sz w:val="24"/>
          <w:szCs w:val="24"/>
          <w:lang w:val="sr-Cyrl-CS"/>
        </w:rPr>
        <w:t xml:space="preserve"> TNS Medium Gallup </w:t>
      </w:r>
      <w:r>
        <w:rPr>
          <w:rFonts w:ascii="Times New Roman" w:hAnsi="Times New Roman"/>
          <w:sz w:val="24"/>
          <w:szCs w:val="24"/>
          <w:lang w:val="sr-Cyrl-CS"/>
        </w:rPr>
        <w:t xml:space="preserve">из јуна </w:t>
      </w:r>
      <w:r w:rsidR="00CE5C72" w:rsidRPr="00CE5C72">
        <w:rPr>
          <w:rFonts w:ascii="Times New Roman" w:hAnsi="Times New Roman"/>
          <w:sz w:val="24"/>
          <w:szCs w:val="24"/>
          <w:lang w:val="sr-Cyrl-CS"/>
        </w:rPr>
        <w:t xml:space="preserve">2012. </w:t>
      </w:r>
      <w:r>
        <w:rPr>
          <w:rFonts w:ascii="Times New Roman" w:hAnsi="Times New Roman"/>
          <w:sz w:val="24"/>
          <w:szCs w:val="24"/>
          <w:lang w:val="sr-Cyrl-CS"/>
        </w:rPr>
        <w:t>наводи се да влада</w:t>
      </w:r>
      <w:r w:rsidR="00CE5C72" w:rsidRPr="00CE5C72">
        <w:rPr>
          <w:rFonts w:ascii="Times New Roman" w:hAnsi="Times New Roman"/>
          <w:sz w:val="24"/>
          <w:szCs w:val="24"/>
          <w:lang w:val="sr-Cyrl-CS"/>
        </w:rPr>
        <w:t xml:space="preserve">, </w:t>
      </w:r>
      <w:r>
        <w:rPr>
          <w:rFonts w:ascii="Times New Roman" w:hAnsi="Times New Roman"/>
          <w:sz w:val="24"/>
          <w:szCs w:val="24"/>
          <w:lang w:val="sr-Cyrl-CS"/>
        </w:rPr>
        <w:t>судије, тужиоци и царина</w:t>
      </w:r>
      <w:r w:rsidR="00CE5C72" w:rsidRPr="00CE5C72">
        <w:rPr>
          <w:rFonts w:ascii="Times New Roman" w:hAnsi="Times New Roman"/>
          <w:sz w:val="24"/>
          <w:szCs w:val="24"/>
          <w:lang w:val="sr-Cyrl-CS"/>
        </w:rPr>
        <w:t xml:space="preserve"> </w:t>
      </w:r>
      <w:r>
        <w:rPr>
          <w:rFonts w:ascii="Times New Roman" w:hAnsi="Times New Roman"/>
          <w:sz w:val="24"/>
          <w:szCs w:val="24"/>
          <w:lang w:val="sr-Cyrl-CS"/>
        </w:rPr>
        <w:t>имају лошу репутацију међу грађанима</w:t>
      </w:r>
      <w:r w:rsidR="00CE5C72" w:rsidRPr="00CE5C72">
        <w:rPr>
          <w:rFonts w:ascii="Times New Roman" w:hAnsi="Times New Roman"/>
          <w:sz w:val="24"/>
          <w:szCs w:val="24"/>
          <w:lang w:val="sr-Cyrl-CS"/>
        </w:rPr>
        <w:t xml:space="preserve"> – </w:t>
      </w:r>
      <w:r>
        <w:rPr>
          <w:rFonts w:ascii="Times New Roman" w:hAnsi="Times New Roman"/>
          <w:sz w:val="24"/>
          <w:szCs w:val="24"/>
          <w:lang w:val="sr-Cyrl-CS"/>
        </w:rPr>
        <w:t>две трећине грађана их доживљава</w:t>
      </w:r>
      <w:r w:rsidR="00CE5C72" w:rsidRPr="00CE5C72">
        <w:rPr>
          <w:rFonts w:ascii="Times New Roman" w:hAnsi="Times New Roman"/>
          <w:sz w:val="24"/>
          <w:szCs w:val="24"/>
          <w:lang w:val="sr-Cyrl-CS"/>
        </w:rPr>
        <w:t xml:space="preserve"> </w:t>
      </w:r>
      <w:r>
        <w:rPr>
          <w:rFonts w:ascii="Times New Roman" w:hAnsi="Times New Roman"/>
          <w:sz w:val="24"/>
          <w:szCs w:val="24"/>
          <w:lang w:val="sr-Cyrl-CS"/>
        </w:rPr>
        <w:t>као прилично или веома корумпиране</w:t>
      </w:r>
      <w:r w:rsidR="00CE5C72" w:rsidRPr="00CE5C72">
        <w:rPr>
          <w:rFonts w:ascii="Times New Roman" w:hAnsi="Times New Roman"/>
          <w:sz w:val="24"/>
          <w:szCs w:val="24"/>
          <w:lang w:val="sr-Cyrl-CS"/>
        </w:rPr>
        <w:t xml:space="preserve">. </w:t>
      </w:r>
      <w:r>
        <w:rPr>
          <w:rFonts w:ascii="Times New Roman" w:hAnsi="Times New Roman"/>
          <w:sz w:val="24"/>
          <w:szCs w:val="24"/>
          <w:lang w:val="sr-Cyrl-CS"/>
        </w:rPr>
        <w:t>Парламент, градска администрација</w:t>
      </w:r>
      <w:r w:rsidR="00CE5C72" w:rsidRPr="00CE5C72">
        <w:rPr>
          <w:rFonts w:ascii="Times New Roman" w:hAnsi="Times New Roman"/>
          <w:sz w:val="24"/>
          <w:szCs w:val="24"/>
          <w:lang w:val="sr-Cyrl-CS"/>
        </w:rPr>
        <w:t xml:space="preserve">, </w:t>
      </w:r>
      <w:r>
        <w:rPr>
          <w:rFonts w:ascii="Times New Roman" w:hAnsi="Times New Roman"/>
          <w:sz w:val="24"/>
          <w:szCs w:val="24"/>
          <w:lang w:val="sr-Cyrl-CS"/>
        </w:rPr>
        <w:t>полиција и адвокати такође су</w:t>
      </w:r>
      <w:r w:rsidR="00CE5C72" w:rsidRPr="00CE5C72">
        <w:rPr>
          <w:rFonts w:ascii="Times New Roman" w:hAnsi="Times New Roman"/>
          <w:sz w:val="24"/>
          <w:szCs w:val="24"/>
          <w:lang w:val="sr-Cyrl-CS"/>
        </w:rPr>
        <w:t xml:space="preserve"> </w:t>
      </w:r>
      <w:r w:rsidR="007A52BA">
        <w:rPr>
          <w:rFonts w:ascii="Times New Roman" w:hAnsi="Times New Roman"/>
          <w:sz w:val="24"/>
          <w:szCs w:val="24"/>
          <w:lang w:val="sr-Cyrl-CS"/>
        </w:rPr>
        <w:t>у незавидном положају, јер их</w:t>
      </w:r>
      <w:r w:rsidR="00CE5C72" w:rsidRPr="00CE5C72">
        <w:rPr>
          <w:rFonts w:ascii="Times New Roman" w:hAnsi="Times New Roman"/>
          <w:sz w:val="24"/>
          <w:szCs w:val="24"/>
          <w:lang w:val="sr-Cyrl-CS"/>
        </w:rPr>
        <w:t xml:space="preserve"> </w:t>
      </w:r>
      <w:r w:rsidR="007A52BA">
        <w:rPr>
          <w:rFonts w:ascii="Times New Roman" w:hAnsi="Times New Roman"/>
          <w:sz w:val="24"/>
          <w:szCs w:val="24"/>
          <w:lang w:val="sr-Cyrl-CS"/>
        </w:rPr>
        <w:t>корумпираним сматра више од</w:t>
      </w:r>
      <w:r w:rsidR="00361D40">
        <w:rPr>
          <w:rFonts w:ascii="Times New Roman" w:hAnsi="Times New Roman"/>
          <w:sz w:val="24"/>
          <w:szCs w:val="24"/>
          <w:lang w:val="sr-Cyrl-CS"/>
        </w:rPr>
        <w:t xml:space="preserve"> 60 </w:t>
      </w:r>
      <w:r w:rsidR="007A52BA">
        <w:rPr>
          <w:rFonts w:ascii="Times New Roman" w:hAnsi="Times New Roman"/>
          <w:sz w:val="24"/>
          <w:szCs w:val="24"/>
          <w:lang w:val="sr-Cyrl-CS"/>
        </w:rPr>
        <w:t>посто грађана</w:t>
      </w:r>
      <w:r w:rsidR="00361D40">
        <w:rPr>
          <w:rFonts w:ascii="Times New Roman" w:hAnsi="Times New Roman"/>
          <w:sz w:val="24"/>
          <w:szCs w:val="24"/>
          <w:lang w:val="sr-Cyrl-CS"/>
        </w:rPr>
        <w:t xml:space="preserve">. </w:t>
      </w:r>
      <w:r w:rsidR="007A52BA">
        <w:rPr>
          <w:rFonts w:ascii="Times New Roman" w:hAnsi="Times New Roman"/>
          <w:sz w:val="24"/>
          <w:szCs w:val="24"/>
          <w:lang w:val="sr-Cyrl-CS"/>
        </w:rPr>
        <w:t>Они који су дали мито најчешће су га сами</w:t>
      </w:r>
      <w:r w:rsidR="00CE5C72" w:rsidRPr="00CE5C72">
        <w:rPr>
          <w:rFonts w:ascii="Times New Roman" w:hAnsi="Times New Roman"/>
          <w:sz w:val="24"/>
          <w:szCs w:val="24"/>
          <w:lang w:val="sr-Cyrl-CS"/>
        </w:rPr>
        <w:t xml:space="preserve"> </w:t>
      </w:r>
      <w:r w:rsidR="007A52BA">
        <w:rPr>
          <w:rFonts w:ascii="Times New Roman" w:hAnsi="Times New Roman"/>
          <w:sz w:val="24"/>
          <w:szCs w:val="24"/>
          <w:lang w:val="sr-Cyrl-CS"/>
        </w:rPr>
        <w:t>понудили како би избегли проблем с</w:t>
      </w:r>
      <w:r w:rsidR="00826412">
        <w:rPr>
          <w:rFonts w:ascii="Times New Roman" w:hAnsi="Times New Roman"/>
          <w:sz w:val="24"/>
          <w:szCs w:val="24"/>
          <w:lang w:val="sr-Cyrl-CS"/>
        </w:rPr>
        <w:t>а</w:t>
      </w:r>
      <w:r w:rsidR="007A52BA">
        <w:rPr>
          <w:rFonts w:ascii="Times New Roman" w:hAnsi="Times New Roman"/>
          <w:sz w:val="24"/>
          <w:szCs w:val="24"/>
          <w:lang w:val="sr-Cyrl-CS"/>
        </w:rPr>
        <w:t xml:space="preserve"> властима</w:t>
      </w:r>
      <w:r w:rsidR="00CE5C72" w:rsidRPr="00CE5C72">
        <w:rPr>
          <w:rFonts w:ascii="Times New Roman" w:hAnsi="Times New Roman"/>
          <w:sz w:val="24"/>
          <w:szCs w:val="24"/>
          <w:lang w:val="sr-Cyrl-CS"/>
        </w:rPr>
        <w:t xml:space="preserve"> </w:t>
      </w:r>
      <w:r w:rsidR="007A52BA">
        <w:rPr>
          <w:rFonts w:ascii="Times New Roman" w:hAnsi="Times New Roman"/>
          <w:sz w:val="24"/>
          <w:szCs w:val="24"/>
          <w:lang w:val="sr-Cyrl-CS"/>
        </w:rPr>
        <w:t>или како би добили услугу</w:t>
      </w:r>
      <w:r w:rsidR="00CE5C72" w:rsidRPr="00CE5C72">
        <w:rPr>
          <w:rFonts w:ascii="Times New Roman" w:hAnsi="Times New Roman"/>
          <w:sz w:val="24"/>
          <w:szCs w:val="24"/>
          <w:lang w:val="sr-Cyrl-CS"/>
        </w:rPr>
        <w:t xml:space="preserve"> (73%), </w:t>
      </w:r>
      <w:r w:rsidR="007A52BA">
        <w:rPr>
          <w:rFonts w:ascii="Times New Roman" w:hAnsi="Times New Roman"/>
          <w:sz w:val="24"/>
          <w:szCs w:val="24"/>
          <w:lang w:val="sr-Cyrl-CS"/>
        </w:rPr>
        <w:t>док</w:t>
      </w:r>
      <w:r w:rsidR="00CE5C72" w:rsidRPr="00CE5C72">
        <w:rPr>
          <w:rFonts w:ascii="Times New Roman" w:hAnsi="Times New Roman"/>
          <w:sz w:val="24"/>
          <w:szCs w:val="24"/>
          <w:lang w:val="sr-Cyrl-CS"/>
        </w:rPr>
        <w:t xml:space="preserve"> 33% </w:t>
      </w:r>
      <w:r w:rsidR="007A52BA">
        <w:rPr>
          <w:rFonts w:ascii="Times New Roman" w:hAnsi="Times New Roman"/>
          <w:sz w:val="24"/>
          <w:szCs w:val="24"/>
          <w:lang w:val="sr-Cyrl-CS"/>
        </w:rPr>
        <w:t>наводи да им је мито тражен</w:t>
      </w:r>
      <w:r w:rsidR="00CE5C72" w:rsidRPr="00CE5C72">
        <w:rPr>
          <w:rFonts w:ascii="Times New Roman" w:hAnsi="Times New Roman"/>
          <w:sz w:val="24"/>
          <w:szCs w:val="24"/>
          <w:lang w:val="sr-Cyrl-CS"/>
        </w:rPr>
        <w:t xml:space="preserve">. </w:t>
      </w:r>
      <w:r w:rsidR="007A52BA">
        <w:rPr>
          <w:rFonts w:ascii="Times New Roman" w:hAnsi="Times New Roman"/>
          <w:sz w:val="24"/>
          <w:szCs w:val="24"/>
          <w:lang w:val="sr-Cyrl-CS"/>
        </w:rPr>
        <w:t>У истраживањима се наводи да</w:t>
      </w:r>
      <w:r w:rsidR="00CE5C72" w:rsidRPr="00CE5C72">
        <w:rPr>
          <w:rFonts w:ascii="Times New Roman" w:hAnsi="Times New Roman"/>
          <w:sz w:val="24"/>
          <w:szCs w:val="24"/>
          <w:lang w:val="sr-Cyrl-CS"/>
        </w:rPr>
        <w:t xml:space="preserve">, </w:t>
      </w:r>
      <w:r w:rsidR="007A52BA">
        <w:rPr>
          <w:rFonts w:ascii="Times New Roman" w:hAnsi="Times New Roman"/>
          <w:sz w:val="24"/>
          <w:szCs w:val="24"/>
          <w:lang w:val="sr-Cyrl-CS"/>
        </w:rPr>
        <w:t>по мишљењу грађана Србије</w:t>
      </w:r>
      <w:r w:rsidR="00CE5C72" w:rsidRPr="00CE5C72">
        <w:rPr>
          <w:rFonts w:ascii="Times New Roman" w:hAnsi="Times New Roman"/>
          <w:sz w:val="24"/>
          <w:szCs w:val="24"/>
          <w:lang w:val="sr-Cyrl-CS"/>
        </w:rPr>
        <w:t xml:space="preserve">, </w:t>
      </w:r>
      <w:r w:rsidR="007A52BA">
        <w:rPr>
          <w:rFonts w:ascii="Times New Roman" w:hAnsi="Times New Roman"/>
          <w:sz w:val="24"/>
          <w:szCs w:val="24"/>
          <w:lang w:val="sr-Cyrl-CS"/>
        </w:rPr>
        <w:t xml:space="preserve">полиција </w:t>
      </w:r>
      <w:r w:rsidR="00CE5C72" w:rsidRPr="00CE5C72">
        <w:rPr>
          <w:rFonts w:ascii="Times New Roman" w:hAnsi="Times New Roman"/>
          <w:sz w:val="24"/>
          <w:szCs w:val="24"/>
          <w:lang w:val="sr-Cyrl-CS"/>
        </w:rPr>
        <w:t xml:space="preserve">(47%) </w:t>
      </w:r>
      <w:r w:rsidR="007A52BA">
        <w:rPr>
          <w:rFonts w:ascii="Times New Roman" w:hAnsi="Times New Roman"/>
          <w:sz w:val="24"/>
          <w:szCs w:val="24"/>
          <w:lang w:val="sr-Cyrl-CS"/>
        </w:rPr>
        <w:t>и влада</w:t>
      </w:r>
      <w:r w:rsidR="00CE5C72" w:rsidRPr="00CE5C72">
        <w:rPr>
          <w:rFonts w:ascii="Times New Roman" w:hAnsi="Times New Roman"/>
          <w:sz w:val="24"/>
          <w:szCs w:val="24"/>
          <w:lang w:val="sr-Cyrl-CS"/>
        </w:rPr>
        <w:t xml:space="preserve"> (46%) </w:t>
      </w:r>
      <w:r w:rsidR="007A52BA">
        <w:rPr>
          <w:rFonts w:ascii="Times New Roman" w:hAnsi="Times New Roman"/>
          <w:sz w:val="24"/>
          <w:szCs w:val="24"/>
          <w:lang w:val="sr-Cyrl-CS"/>
        </w:rPr>
        <w:t>треба да предводе борбу против корупције</w:t>
      </w:r>
      <w:r w:rsidR="00CE5C72" w:rsidRPr="00CE5C72">
        <w:rPr>
          <w:rFonts w:ascii="Times New Roman" w:hAnsi="Times New Roman"/>
          <w:sz w:val="24"/>
          <w:szCs w:val="24"/>
          <w:lang w:val="sr-Cyrl-CS"/>
        </w:rPr>
        <w:t xml:space="preserve">. </w:t>
      </w:r>
      <w:r w:rsidR="007A52BA">
        <w:rPr>
          <w:rFonts w:ascii="Times New Roman" w:hAnsi="Times New Roman"/>
          <w:sz w:val="24"/>
          <w:szCs w:val="24"/>
          <w:lang w:val="sr-Cyrl-CS"/>
        </w:rPr>
        <w:t>Судство се помиње као треће</w:t>
      </w:r>
      <w:r w:rsidR="00CE5C72" w:rsidRPr="00CE5C72">
        <w:rPr>
          <w:rFonts w:ascii="Times New Roman" w:hAnsi="Times New Roman"/>
          <w:sz w:val="24"/>
          <w:szCs w:val="24"/>
          <w:lang w:val="sr-Cyrl-CS"/>
        </w:rPr>
        <w:t xml:space="preserve">, </w:t>
      </w:r>
      <w:r w:rsidR="00826412">
        <w:rPr>
          <w:rFonts w:ascii="Times New Roman" w:hAnsi="Times New Roman"/>
          <w:sz w:val="24"/>
          <w:szCs w:val="24"/>
          <w:lang w:val="sr-Cyrl-CS"/>
        </w:rPr>
        <w:t>док Агенцију</w:t>
      </w:r>
      <w:r w:rsidR="007A52BA">
        <w:rPr>
          <w:rFonts w:ascii="Times New Roman" w:hAnsi="Times New Roman"/>
          <w:sz w:val="24"/>
          <w:szCs w:val="24"/>
          <w:lang w:val="sr-Cyrl-CS"/>
        </w:rPr>
        <w:t xml:space="preserve"> за борбу против корупције</w:t>
      </w:r>
      <w:r w:rsidR="00CE5C72" w:rsidRPr="00CE5C72">
        <w:rPr>
          <w:rFonts w:ascii="Times New Roman" w:hAnsi="Times New Roman"/>
          <w:sz w:val="24"/>
          <w:szCs w:val="24"/>
          <w:lang w:val="sr-Cyrl-CS"/>
        </w:rPr>
        <w:t xml:space="preserve"> </w:t>
      </w:r>
      <w:r w:rsidR="007A52BA">
        <w:rPr>
          <w:rFonts w:ascii="Times New Roman" w:hAnsi="Times New Roman"/>
          <w:sz w:val="24"/>
          <w:szCs w:val="24"/>
          <w:lang w:val="sr-Cyrl-CS"/>
        </w:rPr>
        <w:t>као четврту наводи</w:t>
      </w:r>
      <w:r w:rsidR="00CE5C72" w:rsidRPr="00CE5C72">
        <w:rPr>
          <w:rFonts w:ascii="Times New Roman" w:hAnsi="Times New Roman"/>
          <w:sz w:val="24"/>
          <w:szCs w:val="24"/>
          <w:lang w:val="sr-Cyrl-CS"/>
        </w:rPr>
        <w:t xml:space="preserve">13% </w:t>
      </w:r>
      <w:r w:rsidR="007A52BA">
        <w:rPr>
          <w:rFonts w:ascii="Times New Roman" w:hAnsi="Times New Roman"/>
          <w:sz w:val="24"/>
          <w:szCs w:val="24"/>
          <w:lang w:val="sr-Cyrl-CS"/>
        </w:rPr>
        <w:t>грађана</w:t>
      </w:r>
      <w:r w:rsidR="00CE5C72" w:rsidRPr="00CE5C72">
        <w:rPr>
          <w:rFonts w:ascii="Times New Roman" w:hAnsi="Times New Roman"/>
          <w:sz w:val="24"/>
          <w:szCs w:val="24"/>
          <w:lang w:val="sr-Cyrl-CS"/>
        </w:rPr>
        <w:t xml:space="preserve">. </w:t>
      </w:r>
      <w:r w:rsidR="007A52BA">
        <w:rPr>
          <w:rFonts w:ascii="Times New Roman" w:hAnsi="Times New Roman"/>
          <w:sz w:val="24"/>
          <w:szCs w:val="24"/>
          <w:lang w:val="sr-Cyrl-CS"/>
        </w:rPr>
        <w:t>Само</w:t>
      </w:r>
      <w:r w:rsidR="00CE5C72" w:rsidRPr="00CE5C72">
        <w:rPr>
          <w:rFonts w:ascii="Times New Roman" w:hAnsi="Times New Roman"/>
          <w:sz w:val="24"/>
          <w:szCs w:val="24"/>
          <w:lang w:val="sr-Cyrl-CS"/>
        </w:rPr>
        <w:t xml:space="preserve"> 11% </w:t>
      </w:r>
      <w:r w:rsidR="007A52BA">
        <w:rPr>
          <w:rFonts w:ascii="Times New Roman" w:hAnsi="Times New Roman"/>
          <w:sz w:val="24"/>
          <w:szCs w:val="24"/>
          <w:lang w:val="sr-Cyrl-CS"/>
        </w:rPr>
        <w:t>испитаника верује да грађанске организације</w:t>
      </w:r>
      <w:r w:rsidR="00CE5C72" w:rsidRPr="00CE5C72">
        <w:rPr>
          <w:rFonts w:ascii="Times New Roman" w:hAnsi="Times New Roman"/>
          <w:sz w:val="24"/>
          <w:szCs w:val="24"/>
          <w:lang w:val="sr-Cyrl-CS"/>
        </w:rPr>
        <w:t xml:space="preserve"> </w:t>
      </w:r>
      <w:r w:rsidR="007A52BA">
        <w:rPr>
          <w:rFonts w:ascii="Times New Roman" w:hAnsi="Times New Roman"/>
          <w:sz w:val="24"/>
          <w:szCs w:val="24"/>
          <w:lang w:val="sr-Cyrl-CS"/>
        </w:rPr>
        <w:t>или покрети треба да воде борбу против корупције</w:t>
      </w:r>
      <w:r w:rsidR="00CE5C72" w:rsidRPr="00CE5C72">
        <w:rPr>
          <w:rFonts w:ascii="Times New Roman" w:hAnsi="Times New Roman"/>
          <w:sz w:val="24"/>
          <w:szCs w:val="24"/>
          <w:lang w:val="sr-Cyrl-CS"/>
        </w:rPr>
        <w:t xml:space="preserve">, </w:t>
      </w:r>
      <w:r w:rsidR="007A52BA">
        <w:rPr>
          <w:rFonts w:ascii="Times New Roman" w:hAnsi="Times New Roman"/>
          <w:sz w:val="24"/>
          <w:szCs w:val="24"/>
          <w:lang w:val="sr-Cyrl-CS"/>
        </w:rPr>
        <w:t>док су остали потенцијални лидери</w:t>
      </w:r>
      <w:r w:rsidR="00CE5C72" w:rsidRPr="00CE5C72">
        <w:rPr>
          <w:rFonts w:ascii="Times New Roman" w:hAnsi="Times New Roman"/>
          <w:sz w:val="24"/>
          <w:szCs w:val="24"/>
          <w:lang w:val="sr-Cyrl-CS"/>
        </w:rPr>
        <w:t xml:space="preserve"> </w:t>
      </w:r>
      <w:r w:rsidR="007A52BA">
        <w:rPr>
          <w:rFonts w:ascii="Times New Roman" w:hAnsi="Times New Roman"/>
          <w:sz w:val="24"/>
          <w:szCs w:val="24"/>
          <w:lang w:val="sr-Cyrl-CS"/>
        </w:rPr>
        <w:t>добили мање од</w:t>
      </w:r>
      <w:r w:rsidR="00CE5C72" w:rsidRPr="00CE5C72">
        <w:rPr>
          <w:rFonts w:ascii="Times New Roman" w:hAnsi="Times New Roman"/>
          <w:sz w:val="24"/>
          <w:szCs w:val="24"/>
          <w:lang w:val="sr-Cyrl-CS"/>
        </w:rPr>
        <w:t xml:space="preserve"> 10% </w:t>
      </w:r>
      <w:r w:rsidR="007A52BA">
        <w:rPr>
          <w:rFonts w:ascii="Times New Roman" w:hAnsi="Times New Roman"/>
          <w:sz w:val="24"/>
          <w:szCs w:val="24"/>
          <w:lang w:val="sr-Cyrl-CS"/>
        </w:rPr>
        <w:t>гласова испитаника</w:t>
      </w:r>
      <w:r w:rsidR="00CE5C72" w:rsidRPr="00CE5C72">
        <w:rPr>
          <w:rFonts w:ascii="Times New Roman" w:hAnsi="Times New Roman"/>
          <w:sz w:val="24"/>
          <w:szCs w:val="24"/>
          <w:lang w:val="sr-Cyrl-CS"/>
        </w:rPr>
        <w:t xml:space="preserve">. </w:t>
      </w:r>
    </w:p>
    <w:p w:rsidR="003C30B9" w:rsidRDefault="007A52BA" w:rsidP="003C30B9">
      <w:pPr>
        <w:jc w:val="both"/>
        <w:rPr>
          <w:lang w:val="sr-Cyrl-CS"/>
        </w:rPr>
      </w:pPr>
      <w:r>
        <w:rPr>
          <w:rFonts w:ascii="Times New Roman" w:hAnsi="Times New Roman"/>
          <w:sz w:val="24"/>
          <w:szCs w:val="24"/>
          <w:lang w:val="sr-Cyrl-CS"/>
        </w:rPr>
        <w:t>Поред тога</w:t>
      </w:r>
      <w:r w:rsidR="00CE5C72" w:rsidRPr="00CE5C72">
        <w:rPr>
          <w:rFonts w:ascii="Times New Roman" w:hAnsi="Times New Roman"/>
          <w:sz w:val="24"/>
          <w:szCs w:val="24"/>
          <w:lang w:val="sr-Cyrl-CS"/>
        </w:rPr>
        <w:t xml:space="preserve">, </w:t>
      </w:r>
      <w:r>
        <w:rPr>
          <w:rFonts w:ascii="Times New Roman" w:hAnsi="Times New Roman"/>
          <w:sz w:val="24"/>
          <w:szCs w:val="24"/>
          <w:lang w:val="sr-Cyrl-CS"/>
        </w:rPr>
        <w:t>у истраживању које је спровео</w:t>
      </w:r>
      <w:r w:rsidR="00CE5C72" w:rsidRPr="00CE5C72">
        <w:rPr>
          <w:rFonts w:ascii="Times New Roman" w:hAnsi="Times New Roman"/>
          <w:sz w:val="24"/>
          <w:szCs w:val="24"/>
          <w:lang w:val="sr-Cyrl-CS"/>
        </w:rPr>
        <w:t xml:space="preserve"> CESID </w:t>
      </w:r>
      <w:r>
        <w:rPr>
          <w:rFonts w:ascii="Times New Roman" w:hAnsi="Times New Roman"/>
          <w:sz w:val="24"/>
          <w:szCs w:val="24"/>
          <w:lang w:val="sr-Cyrl-CS"/>
        </w:rPr>
        <w:t>у децембру</w:t>
      </w:r>
      <w:r w:rsidR="00CE5C72" w:rsidRPr="00CE5C72">
        <w:rPr>
          <w:rFonts w:ascii="Times New Roman" w:hAnsi="Times New Roman"/>
          <w:sz w:val="24"/>
          <w:szCs w:val="24"/>
          <w:lang w:val="sr-Cyrl-CS"/>
        </w:rPr>
        <w:t xml:space="preserve"> 2012. </w:t>
      </w:r>
      <w:r>
        <w:rPr>
          <w:rFonts w:ascii="Times New Roman" w:hAnsi="Times New Roman"/>
          <w:sz w:val="24"/>
          <w:szCs w:val="24"/>
          <w:lang w:val="sr-Cyrl-CS"/>
        </w:rPr>
        <w:t>године</w:t>
      </w:r>
      <w:r w:rsidR="00CE5C72" w:rsidRPr="00CE5C72">
        <w:rPr>
          <w:rFonts w:ascii="Times New Roman" w:hAnsi="Times New Roman"/>
          <w:sz w:val="24"/>
          <w:szCs w:val="24"/>
          <w:lang w:val="sr-Cyrl-CS"/>
        </w:rPr>
        <w:t xml:space="preserve">, </w:t>
      </w:r>
      <w:r>
        <w:rPr>
          <w:rFonts w:ascii="Times New Roman" w:hAnsi="Times New Roman"/>
          <w:sz w:val="24"/>
          <w:szCs w:val="24"/>
          <w:lang w:val="sr-Cyrl-CS"/>
        </w:rPr>
        <w:t>пот</w:t>
      </w:r>
      <w:r w:rsidR="000F6721">
        <w:rPr>
          <w:rFonts w:ascii="Times New Roman" w:hAnsi="Times New Roman"/>
          <w:sz w:val="24"/>
          <w:szCs w:val="24"/>
          <w:lang w:val="sr-Cyrl-CS"/>
        </w:rPr>
        <w:t>в</w:t>
      </w:r>
      <w:r>
        <w:rPr>
          <w:rFonts w:ascii="Times New Roman" w:hAnsi="Times New Roman"/>
          <w:sz w:val="24"/>
          <w:szCs w:val="24"/>
          <w:lang w:val="sr-Cyrl-CS"/>
        </w:rPr>
        <w:t>рђени су неки закључци таласа</w:t>
      </w:r>
      <w:r w:rsidR="00CE5C72" w:rsidRPr="00CE5C72">
        <w:rPr>
          <w:rFonts w:ascii="Times New Roman" w:hAnsi="Times New Roman"/>
          <w:sz w:val="24"/>
          <w:szCs w:val="24"/>
          <w:lang w:val="sr-Cyrl-CS"/>
        </w:rPr>
        <w:t xml:space="preserve"> </w:t>
      </w:r>
      <w:r>
        <w:rPr>
          <w:rFonts w:ascii="Times New Roman" w:hAnsi="Times New Roman"/>
          <w:sz w:val="24"/>
          <w:szCs w:val="24"/>
          <w:lang w:val="sr-Cyrl-CS"/>
        </w:rPr>
        <w:t>претходних истраживања</w:t>
      </w:r>
      <w:r w:rsidR="00CE5C72" w:rsidRPr="00CE5C72">
        <w:rPr>
          <w:rFonts w:ascii="Times New Roman" w:hAnsi="Times New Roman"/>
          <w:sz w:val="24"/>
          <w:szCs w:val="24"/>
          <w:lang w:val="sr-Cyrl-CS"/>
        </w:rPr>
        <w:t xml:space="preserve"> </w:t>
      </w:r>
      <w:r>
        <w:rPr>
          <w:rFonts w:ascii="Times New Roman" w:hAnsi="Times New Roman"/>
          <w:sz w:val="24"/>
          <w:szCs w:val="24"/>
          <w:lang w:val="sr-Cyrl-CS"/>
        </w:rPr>
        <w:t>и наглашено је да су налази о</w:t>
      </w:r>
      <w:r w:rsidR="00CE5C72" w:rsidRPr="00CE5C72">
        <w:rPr>
          <w:rFonts w:ascii="Times New Roman" w:hAnsi="Times New Roman"/>
          <w:sz w:val="24"/>
          <w:szCs w:val="24"/>
          <w:lang w:val="sr-Cyrl-CS"/>
        </w:rPr>
        <w:t xml:space="preserve"> </w:t>
      </w:r>
      <w:r>
        <w:rPr>
          <w:rFonts w:ascii="Times New Roman" w:hAnsi="Times New Roman"/>
          <w:sz w:val="24"/>
          <w:szCs w:val="24"/>
          <w:lang w:val="sr-Cyrl-CS"/>
        </w:rPr>
        <w:t>томе у чијем раду</w:t>
      </w:r>
      <w:r w:rsidR="00CE5C72" w:rsidRPr="00CE5C72">
        <w:rPr>
          <w:rFonts w:ascii="Times New Roman" w:hAnsi="Times New Roman"/>
          <w:sz w:val="24"/>
          <w:szCs w:val="24"/>
          <w:lang w:val="sr-Cyrl-CS"/>
        </w:rPr>
        <w:t xml:space="preserve"> </w:t>
      </w:r>
      <w:r>
        <w:rPr>
          <w:rFonts w:ascii="Times New Roman" w:hAnsi="Times New Roman"/>
          <w:sz w:val="24"/>
          <w:szCs w:val="24"/>
          <w:lang w:val="sr-Cyrl-CS"/>
        </w:rPr>
        <w:t>грађани перцепирају највиши ниво</w:t>
      </w:r>
      <w:r w:rsidR="006F1DCB">
        <w:rPr>
          <w:rFonts w:ascii="Times New Roman" w:hAnsi="Times New Roman"/>
          <w:sz w:val="24"/>
          <w:szCs w:val="24"/>
          <w:lang w:val="sr-Cyrl-CS"/>
        </w:rPr>
        <w:t xml:space="preserve"> </w:t>
      </w:r>
      <w:r>
        <w:rPr>
          <w:rFonts w:ascii="Times New Roman" w:hAnsi="Times New Roman"/>
          <w:sz w:val="24"/>
          <w:szCs w:val="24"/>
          <w:lang w:val="sr-Cyrl-CS"/>
        </w:rPr>
        <w:t>корупције веома слични</w:t>
      </w:r>
      <w:r w:rsidR="00CE5C72" w:rsidRPr="00CE5C72">
        <w:rPr>
          <w:rFonts w:ascii="Times New Roman" w:hAnsi="Times New Roman"/>
          <w:sz w:val="24"/>
          <w:szCs w:val="24"/>
          <w:lang w:val="sr-Cyrl-CS"/>
        </w:rPr>
        <w:t xml:space="preserve"> </w:t>
      </w:r>
      <w:r>
        <w:rPr>
          <w:rFonts w:ascii="Times New Roman" w:hAnsi="Times New Roman"/>
          <w:sz w:val="24"/>
          <w:szCs w:val="24"/>
          <w:lang w:val="sr-Cyrl-CS"/>
        </w:rPr>
        <w:t>већ неколико последњих година</w:t>
      </w:r>
      <w:r w:rsidR="00CE5C72" w:rsidRPr="00CE5C72">
        <w:rPr>
          <w:rFonts w:ascii="Times New Roman" w:hAnsi="Times New Roman"/>
          <w:sz w:val="24"/>
          <w:szCs w:val="24"/>
          <w:lang w:val="sr-Cyrl-CS"/>
        </w:rPr>
        <w:t xml:space="preserve">. </w:t>
      </w:r>
      <w:r>
        <w:rPr>
          <w:rFonts w:ascii="Times New Roman" w:hAnsi="Times New Roman"/>
          <w:sz w:val="24"/>
          <w:szCs w:val="24"/>
          <w:lang w:val="sr-Cyrl-CS"/>
        </w:rPr>
        <w:t>Корупција је</w:t>
      </w:r>
      <w:r w:rsidR="00CE5C72" w:rsidRPr="00CE5C72">
        <w:rPr>
          <w:rFonts w:ascii="Times New Roman" w:hAnsi="Times New Roman"/>
          <w:sz w:val="24"/>
          <w:szCs w:val="24"/>
          <w:lang w:val="sr-Cyrl-CS"/>
        </w:rPr>
        <w:t xml:space="preserve">, </w:t>
      </w:r>
      <w:r>
        <w:rPr>
          <w:rFonts w:ascii="Times New Roman" w:hAnsi="Times New Roman"/>
          <w:sz w:val="24"/>
          <w:szCs w:val="24"/>
          <w:lang w:val="sr-Cyrl-CS"/>
        </w:rPr>
        <w:t>по мишљењу грађана</w:t>
      </w:r>
      <w:r w:rsidR="00CE5C72" w:rsidRPr="00CE5C72">
        <w:rPr>
          <w:rFonts w:ascii="Times New Roman" w:hAnsi="Times New Roman"/>
          <w:sz w:val="24"/>
          <w:szCs w:val="24"/>
          <w:lang w:val="sr-Cyrl-CS"/>
        </w:rPr>
        <w:t xml:space="preserve">, </w:t>
      </w:r>
      <w:r>
        <w:rPr>
          <w:rFonts w:ascii="Times New Roman" w:hAnsi="Times New Roman"/>
          <w:sz w:val="24"/>
          <w:szCs w:val="24"/>
          <w:lang w:val="sr-Cyrl-CS"/>
        </w:rPr>
        <w:t>најизраженија у здравству</w:t>
      </w:r>
      <w:r w:rsidR="00CE5C72" w:rsidRPr="00CE5C72">
        <w:rPr>
          <w:rFonts w:ascii="Times New Roman" w:hAnsi="Times New Roman"/>
          <w:sz w:val="24"/>
          <w:szCs w:val="24"/>
          <w:lang w:val="sr-Cyrl-CS"/>
        </w:rPr>
        <w:t xml:space="preserve">, </w:t>
      </w:r>
      <w:r>
        <w:rPr>
          <w:rFonts w:ascii="Times New Roman" w:hAnsi="Times New Roman"/>
          <w:sz w:val="24"/>
          <w:szCs w:val="24"/>
          <w:lang w:val="sr-Cyrl-CS"/>
        </w:rPr>
        <w:t>правосуђу и полицији</w:t>
      </w:r>
      <w:r w:rsidR="00CE5C72" w:rsidRPr="00CE5C72">
        <w:rPr>
          <w:rFonts w:ascii="Times New Roman" w:hAnsi="Times New Roman"/>
          <w:sz w:val="24"/>
          <w:szCs w:val="24"/>
          <w:lang w:val="sr-Cyrl-CS"/>
        </w:rPr>
        <w:t xml:space="preserve">. </w:t>
      </w:r>
      <w:r>
        <w:rPr>
          <w:rFonts w:ascii="Times New Roman" w:hAnsi="Times New Roman"/>
          <w:sz w:val="24"/>
          <w:szCs w:val="24"/>
          <w:lang w:val="sr-Cyrl-CS"/>
        </w:rPr>
        <w:t>Ван свих категорија су политичари</w:t>
      </w:r>
      <w:r w:rsidR="00CE5C72" w:rsidRPr="00CE5C72">
        <w:rPr>
          <w:rFonts w:ascii="Times New Roman" w:hAnsi="Times New Roman"/>
          <w:sz w:val="24"/>
          <w:szCs w:val="24"/>
          <w:lang w:val="sr-Cyrl-CS"/>
        </w:rPr>
        <w:t xml:space="preserve">, </w:t>
      </w:r>
      <w:r>
        <w:rPr>
          <w:rFonts w:ascii="Times New Roman" w:hAnsi="Times New Roman"/>
          <w:sz w:val="24"/>
          <w:szCs w:val="24"/>
          <w:lang w:val="sr-Cyrl-CS"/>
        </w:rPr>
        <w:t>односно политичке партије</w:t>
      </w:r>
      <w:r w:rsidR="00CE5C72" w:rsidRPr="00CE5C72">
        <w:rPr>
          <w:rFonts w:ascii="Times New Roman" w:hAnsi="Times New Roman"/>
          <w:sz w:val="24"/>
          <w:szCs w:val="24"/>
          <w:lang w:val="sr-Cyrl-CS"/>
        </w:rPr>
        <w:t>.</w:t>
      </w:r>
      <w:r w:rsidR="006F1DCB">
        <w:rPr>
          <w:rStyle w:val="FootnoteReference"/>
          <w:rFonts w:ascii="Times New Roman" w:hAnsi="Times New Roman"/>
          <w:sz w:val="24"/>
          <w:szCs w:val="24"/>
          <w:lang w:val="sr-Cyrl-CS"/>
        </w:rPr>
        <w:footnoteReference w:id="878"/>
      </w:r>
      <w:r w:rsidR="003C30B9" w:rsidRPr="003C30B9">
        <w:t xml:space="preserve"> </w:t>
      </w:r>
    </w:p>
    <w:p w:rsidR="00503703" w:rsidRDefault="00503703" w:rsidP="00923697">
      <w:pPr>
        <w:jc w:val="both"/>
        <w:rPr>
          <w:rFonts w:ascii="Times New Roman" w:hAnsi="Times New Roman"/>
          <w:sz w:val="24"/>
          <w:szCs w:val="24"/>
          <w:lang w:val="sr-Cyrl-CS"/>
        </w:rPr>
      </w:pPr>
    </w:p>
    <w:p w:rsidR="00F34CAB" w:rsidRPr="006F1DCB" w:rsidRDefault="006F1DCB" w:rsidP="008A3795">
      <w:pPr>
        <w:pStyle w:val="ListParagraph"/>
        <w:numPr>
          <w:ilvl w:val="1"/>
          <w:numId w:val="25"/>
        </w:numPr>
        <w:jc w:val="both"/>
        <w:rPr>
          <w:rFonts w:ascii="Times New Roman" w:hAnsi="Times New Roman"/>
          <w:b/>
          <w:sz w:val="24"/>
          <w:szCs w:val="24"/>
          <w:lang w:val="sr-Cyrl-CS"/>
        </w:rPr>
      </w:pPr>
      <w:r>
        <w:rPr>
          <w:rFonts w:ascii="Times New Roman" w:hAnsi="Times New Roman"/>
          <w:b/>
          <w:sz w:val="24"/>
          <w:szCs w:val="24"/>
          <w:lang w:val="sr-Cyrl-CS"/>
        </w:rPr>
        <w:t>Министарство унутрашњих послова</w:t>
      </w:r>
    </w:p>
    <w:p w:rsidR="00503703" w:rsidRDefault="00503703" w:rsidP="00923697">
      <w:pPr>
        <w:jc w:val="both"/>
        <w:rPr>
          <w:rFonts w:ascii="Times New Roman" w:hAnsi="Times New Roman"/>
          <w:b/>
          <w:sz w:val="24"/>
          <w:szCs w:val="24"/>
          <w:lang w:val="sr-Cyrl-CS"/>
        </w:rPr>
      </w:pPr>
    </w:p>
    <w:p w:rsidR="00503703" w:rsidRDefault="00503703" w:rsidP="006F1DCB">
      <w:pPr>
        <w:ind w:firstLine="708"/>
        <w:jc w:val="both"/>
        <w:rPr>
          <w:rFonts w:ascii="Times New Roman" w:hAnsi="Times New Roman"/>
          <w:sz w:val="24"/>
          <w:szCs w:val="24"/>
          <w:lang w:val="sr-Cyrl-CS"/>
        </w:rPr>
      </w:pPr>
      <w:r>
        <w:rPr>
          <w:rFonts w:ascii="Times New Roman" w:hAnsi="Times New Roman"/>
          <w:sz w:val="24"/>
          <w:szCs w:val="24"/>
          <w:lang w:val="sr-Cyrl-CS"/>
        </w:rPr>
        <w:t>Надлежност и поступање Министарства унутрашњих послова су прописани Законом о пол</w:t>
      </w:r>
      <w:r w:rsidR="006F1DCB">
        <w:rPr>
          <w:rFonts w:ascii="Times New Roman" w:hAnsi="Times New Roman"/>
          <w:sz w:val="24"/>
          <w:szCs w:val="24"/>
          <w:lang w:val="sr-Cyrl-CS"/>
        </w:rPr>
        <w:t>и</w:t>
      </w:r>
      <w:r>
        <w:rPr>
          <w:rFonts w:ascii="Times New Roman" w:hAnsi="Times New Roman"/>
          <w:sz w:val="24"/>
          <w:szCs w:val="24"/>
          <w:lang w:val="sr-Cyrl-CS"/>
        </w:rPr>
        <w:t>цији</w:t>
      </w:r>
      <w:r>
        <w:rPr>
          <w:rStyle w:val="FootnoteReference"/>
          <w:rFonts w:ascii="Times New Roman" w:hAnsi="Times New Roman"/>
          <w:sz w:val="24"/>
          <w:szCs w:val="24"/>
          <w:lang w:val="sr-Cyrl-CS"/>
        </w:rPr>
        <w:footnoteReference w:id="879"/>
      </w:r>
      <w:r>
        <w:rPr>
          <w:rFonts w:ascii="Times New Roman" w:hAnsi="Times New Roman"/>
          <w:sz w:val="24"/>
          <w:szCs w:val="24"/>
          <w:lang w:val="sr-Cyrl-CS"/>
        </w:rPr>
        <w:t xml:space="preserve"> и Законом о министарствима</w:t>
      </w:r>
      <w:r>
        <w:rPr>
          <w:rStyle w:val="FootnoteReference"/>
          <w:rFonts w:ascii="Times New Roman" w:hAnsi="Times New Roman"/>
          <w:sz w:val="24"/>
          <w:szCs w:val="24"/>
          <w:lang w:val="sr-Cyrl-CS"/>
        </w:rPr>
        <w:footnoteReference w:id="880"/>
      </w:r>
      <w:r w:rsidR="00125DE5">
        <w:rPr>
          <w:rFonts w:ascii="Times New Roman" w:hAnsi="Times New Roman"/>
          <w:sz w:val="24"/>
          <w:szCs w:val="24"/>
          <w:lang w:val="sr-Cyrl-CS"/>
        </w:rPr>
        <w:t>. На основу поменутог Закона о полицији донето је више подзаконских аката којим</w:t>
      </w:r>
      <w:r w:rsidR="00BA7223">
        <w:rPr>
          <w:rFonts w:ascii="Times New Roman" w:hAnsi="Times New Roman"/>
          <w:sz w:val="24"/>
          <w:szCs w:val="24"/>
          <w:lang w:val="sr-Cyrl-CS"/>
        </w:rPr>
        <w:t>а</w:t>
      </w:r>
      <w:r w:rsidR="00125DE5">
        <w:rPr>
          <w:rFonts w:ascii="Times New Roman" w:hAnsi="Times New Roman"/>
          <w:sz w:val="24"/>
          <w:szCs w:val="24"/>
          <w:lang w:val="sr-Cyrl-CS"/>
        </w:rPr>
        <w:t xml:space="preserve"> се ближе одређује поступање и </w:t>
      </w:r>
      <w:r w:rsidR="006F1DCB">
        <w:rPr>
          <w:rFonts w:ascii="Times New Roman" w:hAnsi="Times New Roman"/>
          <w:sz w:val="24"/>
          <w:szCs w:val="24"/>
          <w:lang w:val="sr-Cyrl-CS"/>
        </w:rPr>
        <w:t>о</w:t>
      </w:r>
      <w:r w:rsidR="00125DE5">
        <w:rPr>
          <w:rFonts w:ascii="Times New Roman" w:hAnsi="Times New Roman"/>
          <w:sz w:val="24"/>
          <w:szCs w:val="24"/>
          <w:lang w:val="sr-Cyrl-CS"/>
        </w:rPr>
        <w:t>дговорност полиц</w:t>
      </w:r>
      <w:r w:rsidR="006F1DCB">
        <w:rPr>
          <w:rFonts w:ascii="Times New Roman" w:hAnsi="Times New Roman"/>
          <w:sz w:val="24"/>
          <w:szCs w:val="24"/>
          <w:lang w:val="sr-Cyrl-CS"/>
        </w:rPr>
        <w:t>и</w:t>
      </w:r>
      <w:r w:rsidR="00125DE5">
        <w:rPr>
          <w:rFonts w:ascii="Times New Roman" w:hAnsi="Times New Roman"/>
          <w:sz w:val="24"/>
          <w:szCs w:val="24"/>
          <w:lang w:val="sr-Cyrl-CS"/>
        </w:rPr>
        <w:t>је као што су: Кодекс полицијске етике,</w:t>
      </w:r>
      <w:r w:rsidR="00FB34B2">
        <w:rPr>
          <w:rStyle w:val="FootnoteReference"/>
          <w:rFonts w:ascii="Times New Roman" w:hAnsi="Times New Roman"/>
          <w:sz w:val="24"/>
          <w:szCs w:val="24"/>
          <w:lang w:val="sr-Cyrl-CS"/>
        </w:rPr>
        <w:footnoteReference w:id="881"/>
      </w:r>
      <w:r w:rsidR="00125DE5">
        <w:rPr>
          <w:rFonts w:ascii="Times New Roman" w:hAnsi="Times New Roman"/>
          <w:sz w:val="24"/>
          <w:szCs w:val="24"/>
          <w:lang w:val="sr-Cyrl-CS"/>
        </w:rPr>
        <w:t xml:space="preserve"> Правилник о начину обављања полиц</w:t>
      </w:r>
      <w:r w:rsidR="00DD1B70">
        <w:rPr>
          <w:rFonts w:ascii="Times New Roman" w:hAnsi="Times New Roman"/>
          <w:sz w:val="24"/>
          <w:szCs w:val="24"/>
          <w:lang w:val="sr-Cyrl-CS"/>
        </w:rPr>
        <w:t>и</w:t>
      </w:r>
      <w:r w:rsidR="00125DE5">
        <w:rPr>
          <w:rFonts w:ascii="Times New Roman" w:hAnsi="Times New Roman"/>
          <w:sz w:val="24"/>
          <w:szCs w:val="24"/>
          <w:lang w:val="sr-Cyrl-CS"/>
        </w:rPr>
        <w:t>јских послова,</w:t>
      </w:r>
      <w:r w:rsidR="00DD1B70">
        <w:rPr>
          <w:rStyle w:val="FootnoteReference"/>
          <w:rFonts w:ascii="Times New Roman" w:hAnsi="Times New Roman"/>
          <w:sz w:val="24"/>
          <w:szCs w:val="24"/>
          <w:lang w:val="sr-Cyrl-CS"/>
        </w:rPr>
        <w:footnoteReference w:id="882"/>
      </w:r>
      <w:r w:rsidR="00125DE5">
        <w:rPr>
          <w:rFonts w:ascii="Times New Roman" w:hAnsi="Times New Roman"/>
          <w:sz w:val="24"/>
          <w:szCs w:val="24"/>
          <w:lang w:val="sr-Cyrl-CS"/>
        </w:rPr>
        <w:t xml:space="preserve"> Уредба о начелима за унутрашње уређење МУП</w:t>
      </w:r>
      <w:r w:rsidR="00DD1B70">
        <w:rPr>
          <w:rFonts w:ascii="Times New Roman" w:hAnsi="Times New Roman"/>
          <w:sz w:val="24"/>
          <w:szCs w:val="24"/>
          <w:lang w:val="sr-Cyrl-CS"/>
        </w:rPr>
        <w:t>,</w:t>
      </w:r>
      <w:r w:rsidR="00DD1B70">
        <w:rPr>
          <w:rStyle w:val="FootnoteReference"/>
          <w:rFonts w:ascii="Times New Roman" w:hAnsi="Times New Roman"/>
          <w:sz w:val="24"/>
          <w:szCs w:val="24"/>
          <w:lang w:val="sr-Cyrl-CS"/>
        </w:rPr>
        <w:footnoteReference w:id="883"/>
      </w:r>
      <w:r w:rsidR="00125DE5">
        <w:rPr>
          <w:rFonts w:ascii="Times New Roman" w:hAnsi="Times New Roman"/>
          <w:sz w:val="24"/>
          <w:szCs w:val="24"/>
          <w:lang w:val="sr-Cyrl-CS"/>
        </w:rPr>
        <w:t xml:space="preserve"> Правилник о полицијским овлашћењима,</w:t>
      </w:r>
      <w:r w:rsidR="00DD1B70">
        <w:rPr>
          <w:rStyle w:val="FootnoteReference"/>
          <w:rFonts w:ascii="Times New Roman" w:hAnsi="Times New Roman"/>
          <w:sz w:val="24"/>
          <w:szCs w:val="24"/>
          <w:lang w:val="sr-Cyrl-CS"/>
        </w:rPr>
        <w:footnoteReference w:id="884"/>
      </w:r>
      <w:r w:rsidR="00125DE5">
        <w:rPr>
          <w:rFonts w:ascii="Times New Roman" w:hAnsi="Times New Roman"/>
          <w:sz w:val="24"/>
          <w:szCs w:val="24"/>
          <w:lang w:val="sr-Cyrl-CS"/>
        </w:rPr>
        <w:t xml:space="preserve"> Правилник о поступку решавања притужби.</w:t>
      </w:r>
      <w:r w:rsidR="00DD1B70">
        <w:rPr>
          <w:rStyle w:val="FootnoteReference"/>
          <w:rFonts w:ascii="Times New Roman" w:hAnsi="Times New Roman"/>
          <w:sz w:val="24"/>
          <w:szCs w:val="24"/>
          <w:lang w:val="sr-Cyrl-CS"/>
        </w:rPr>
        <w:footnoteReference w:id="885"/>
      </w:r>
      <w:r w:rsidR="006F1DCB">
        <w:rPr>
          <w:rFonts w:ascii="Times New Roman" w:hAnsi="Times New Roman"/>
          <w:sz w:val="24"/>
          <w:szCs w:val="24"/>
          <w:lang w:val="sr-Cyrl-CS"/>
        </w:rPr>
        <w:t xml:space="preserve"> </w:t>
      </w:r>
    </w:p>
    <w:p w:rsidR="00F34CAB" w:rsidRDefault="00A32E1A" w:rsidP="006F1DCB">
      <w:pPr>
        <w:ind w:firstLine="708"/>
        <w:jc w:val="both"/>
        <w:rPr>
          <w:rFonts w:ascii="Times New Roman" w:hAnsi="Times New Roman"/>
          <w:sz w:val="24"/>
          <w:szCs w:val="24"/>
          <w:lang w:val="sr-Cyrl-CS"/>
        </w:rPr>
      </w:pPr>
      <w:r>
        <w:rPr>
          <w:rFonts w:ascii="Times New Roman" w:hAnsi="Times New Roman"/>
          <w:sz w:val="24"/>
          <w:szCs w:val="24"/>
          <w:lang w:val="sr-Cyrl-CS"/>
        </w:rPr>
        <w:t>Ефикасна и независна пол</w:t>
      </w:r>
      <w:r w:rsidR="006F1DCB">
        <w:rPr>
          <w:rFonts w:ascii="Times New Roman" w:hAnsi="Times New Roman"/>
          <w:sz w:val="24"/>
          <w:szCs w:val="24"/>
          <w:lang w:val="sr-Cyrl-CS"/>
        </w:rPr>
        <w:t>и</w:t>
      </w:r>
      <w:r>
        <w:rPr>
          <w:rFonts w:ascii="Times New Roman" w:hAnsi="Times New Roman"/>
          <w:sz w:val="24"/>
          <w:szCs w:val="24"/>
          <w:lang w:val="sr-Cyrl-CS"/>
        </w:rPr>
        <w:t>ција је значајан учесник у борби пр</w:t>
      </w:r>
      <w:r w:rsidR="0061101E">
        <w:rPr>
          <w:rFonts w:ascii="Times New Roman" w:hAnsi="Times New Roman"/>
          <w:sz w:val="24"/>
          <w:szCs w:val="24"/>
          <w:lang w:val="sr-Cyrl-CS"/>
        </w:rPr>
        <w:t>отив привред</w:t>
      </w:r>
      <w:r w:rsidR="000F6721">
        <w:rPr>
          <w:rFonts w:ascii="Times New Roman" w:hAnsi="Times New Roman"/>
          <w:sz w:val="24"/>
          <w:szCs w:val="24"/>
          <w:lang w:val="sr-Cyrl-CS"/>
        </w:rPr>
        <w:t>ног криминала и кор</w:t>
      </w:r>
      <w:r>
        <w:rPr>
          <w:rFonts w:ascii="Times New Roman" w:hAnsi="Times New Roman"/>
          <w:sz w:val="24"/>
          <w:szCs w:val="24"/>
          <w:lang w:val="sr-Cyrl-CS"/>
        </w:rPr>
        <w:t>упције и битан део демократског друштва.</w:t>
      </w:r>
      <w:r w:rsidR="006F1DCB">
        <w:rPr>
          <w:rFonts w:ascii="Times New Roman" w:hAnsi="Times New Roman"/>
          <w:sz w:val="24"/>
          <w:szCs w:val="24"/>
          <w:lang w:val="sr-Cyrl-CS"/>
        </w:rPr>
        <w:t xml:space="preserve"> </w:t>
      </w:r>
      <w:r w:rsidR="00302D9E">
        <w:rPr>
          <w:rFonts w:ascii="Times New Roman" w:hAnsi="Times New Roman"/>
          <w:sz w:val="24"/>
          <w:szCs w:val="24"/>
          <w:lang w:val="sr-Cyrl-CS"/>
        </w:rPr>
        <w:t xml:space="preserve">Активност полиције се </w:t>
      </w:r>
      <w:r w:rsidR="00302D9E">
        <w:rPr>
          <w:rFonts w:ascii="Times New Roman" w:hAnsi="Times New Roman"/>
          <w:sz w:val="24"/>
          <w:szCs w:val="24"/>
          <w:lang w:val="sr-Cyrl-CS"/>
        </w:rPr>
        <w:lastRenderedPageBreak/>
        <w:t>испољава у два правца превентивном и репресивном, који се надопуњују и преплићу. У борби против привредног криминала и корупције од значаја је благовремено откривање кривичних дела</w:t>
      </w:r>
      <w:r w:rsidR="006F1DCB">
        <w:rPr>
          <w:rFonts w:ascii="Times New Roman" w:hAnsi="Times New Roman"/>
          <w:sz w:val="24"/>
          <w:szCs w:val="24"/>
          <w:lang w:val="sr-Cyrl-CS"/>
        </w:rPr>
        <w:t xml:space="preserve">. </w:t>
      </w:r>
      <w:r w:rsidR="00F34CAB">
        <w:rPr>
          <w:rFonts w:ascii="Times New Roman" w:hAnsi="Times New Roman"/>
          <w:sz w:val="24"/>
          <w:szCs w:val="24"/>
          <w:lang w:val="sr-Cyrl-CS"/>
        </w:rPr>
        <w:t>Полиц</w:t>
      </w:r>
      <w:r w:rsidR="006F1DCB">
        <w:rPr>
          <w:rFonts w:ascii="Times New Roman" w:hAnsi="Times New Roman"/>
          <w:sz w:val="24"/>
          <w:szCs w:val="24"/>
          <w:lang w:val="sr-Cyrl-CS"/>
        </w:rPr>
        <w:t>и</w:t>
      </w:r>
      <w:r w:rsidR="00F34CAB">
        <w:rPr>
          <w:rFonts w:ascii="Times New Roman" w:hAnsi="Times New Roman"/>
          <w:sz w:val="24"/>
          <w:szCs w:val="24"/>
          <w:lang w:val="sr-Cyrl-CS"/>
        </w:rPr>
        <w:t xml:space="preserve">ја </w:t>
      </w:r>
      <w:r w:rsidR="006F1DCB">
        <w:rPr>
          <w:rFonts w:ascii="Times New Roman" w:hAnsi="Times New Roman"/>
          <w:sz w:val="24"/>
          <w:szCs w:val="24"/>
          <w:lang w:val="sr-Cyrl-CS"/>
        </w:rPr>
        <w:t xml:space="preserve">има </w:t>
      </w:r>
      <w:r w:rsidR="00F34CAB">
        <w:rPr>
          <w:rFonts w:ascii="Times New Roman" w:hAnsi="Times New Roman"/>
          <w:sz w:val="24"/>
          <w:szCs w:val="24"/>
          <w:lang w:val="sr-Cyrl-CS"/>
        </w:rPr>
        <w:t xml:space="preserve">значајну превентивну улогу јер својим поступањем може битно да утиче на смањивање и спречавање разних облика криминала. </w:t>
      </w:r>
    </w:p>
    <w:p w:rsidR="00587721" w:rsidRDefault="00587721" w:rsidP="006F1DCB">
      <w:pPr>
        <w:ind w:firstLine="708"/>
        <w:jc w:val="both"/>
        <w:rPr>
          <w:rFonts w:ascii="Times New Roman" w:hAnsi="Times New Roman"/>
          <w:sz w:val="24"/>
          <w:szCs w:val="24"/>
          <w:lang w:val="sr-Cyrl-CS"/>
        </w:rPr>
      </w:pPr>
      <w:r>
        <w:rPr>
          <w:rFonts w:ascii="Times New Roman" w:hAnsi="Times New Roman"/>
          <w:sz w:val="24"/>
          <w:szCs w:val="24"/>
          <w:lang w:val="sr-Cyrl-CS"/>
        </w:rPr>
        <w:t xml:space="preserve">Полиција је </w:t>
      </w:r>
      <w:r w:rsidR="005D5E8F">
        <w:rPr>
          <w:rFonts w:ascii="Times New Roman" w:hAnsi="Times New Roman"/>
          <w:sz w:val="24"/>
          <w:szCs w:val="24"/>
          <w:lang w:val="sr-Cyrl-CS"/>
        </w:rPr>
        <w:t xml:space="preserve">по правилу </w:t>
      </w:r>
      <w:r>
        <w:rPr>
          <w:rFonts w:ascii="Times New Roman" w:hAnsi="Times New Roman"/>
          <w:sz w:val="24"/>
          <w:szCs w:val="24"/>
          <w:lang w:val="sr-Cyrl-CS"/>
        </w:rPr>
        <w:t>прва којој су доступне одређене информације које се односе на постојање одговарајућег степена сумње да је учињено конкретно кривично дело из сфере криминалитета</w:t>
      </w:r>
      <w:r w:rsidR="005D5E8F" w:rsidRPr="005D5E8F">
        <w:rPr>
          <w:rFonts w:ascii="Times New Roman" w:hAnsi="Times New Roman"/>
          <w:sz w:val="24"/>
          <w:szCs w:val="24"/>
          <w:lang w:val="sr-Cyrl-CS"/>
        </w:rPr>
        <w:t xml:space="preserve"> </w:t>
      </w:r>
      <w:r>
        <w:rPr>
          <w:rFonts w:ascii="Times New Roman" w:hAnsi="Times New Roman"/>
          <w:sz w:val="24"/>
          <w:szCs w:val="24"/>
          <w:lang w:val="sr-Cyrl-CS"/>
        </w:rPr>
        <w:t xml:space="preserve">и она је тада дужна да предузме све потребне мере ради његовог </w:t>
      </w:r>
      <w:r w:rsidR="00172FB4">
        <w:rPr>
          <w:rFonts w:ascii="Times New Roman" w:hAnsi="Times New Roman"/>
          <w:sz w:val="24"/>
          <w:szCs w:val="24"/>
          <w:lang w:val="sr-Cyrl-CS"/>
        </w:rPr>
        <w:t>откривања</w:t>
      </w:r>
      <w:r>
        <w:rPr>
          <w:rFonts w:ascii="Times New Roman" w:hAnsi="Times New Roman"/>
          <w:sz w:val="24"/>
          <w:szCs w:val="24"/>
          <w:lang w:val="sr-Cyrl-CS"/>
        </w:rPr>
        <w:t xml:space="preserve"> и доказивања.</w:t>
      </w:r>
      <w:r>
        <w:rPr>
          <w:rStyle w:val="FootnoteReference"/>
          <w:rFonts w:ascii="Times New Roman" w:hAnsi="Times New Roman"/>
          <w:sz w:val="24"/>
          <w:szCs w:val="24"/>
          <w:lang w:val="sr-Cyrl-CS"/>
        </w:rPr>
        <w:footnoteReference w:id="886"/>
      </w:r>
      <w:r>
        <w:rPr>
          <w:rFonts w:ascii="Times New Roman" w:hAnsi="Times New Roman"/>
          <w:sz w:val="24"/>
          <w:szCs w:val="24"/>
          <w:lang w:val="sr-Cyrl-CS"/>
        </w:rPr>
        <w:t xml:space="preserve"> </w:t>
      </w:r>
      <w:r w:rsidR="005D5E8F">
        <w:rPr>
          <w:rFonts w:ascii="Times New Roman" w:hAnsi="Times New Roman"/>
          <w:sz w:val="24"/>
          <w:szCs w:val="24"/>
          <w:lang w:val="sr-Cyrl-CS"/>
        </w:rPr>
        <w:t xml:space="preserve"> </w:t>
      </w:r>
    </w:p>
    <w:p w:rsidR="006F1DCB" w:rsidRPr="009E2574" w:rsidRDefault="006F1DCB" w:rsidP="009E2574">
      <w:pPr>
        <w:ind w:firstLine="708"/>
        <w:jc w:val="both"/>
        <w:rPr>
          <w:rFonts w:ascii="Times New Roman" w:hAnsi="Times New Roman"/>
          <w:sz w:val="24"/>
          <w:szCs w:val="24"/>
          <w:lang w:val="sr-Cyrl-CS"/>
        </w:rPr>
      </w:pPr>
      <w:r>
        <w:rPr>
          <w:rFonts w:ascii="Times New Roman" w:hAnsi="Times New Roman"/>
          <w:sz w:val="24"/>
          <w:szCs w:val="24"/>
          <w:lang w:val="sr-Cyrl-CS"/>
        </w:rPr>
        <w:t xml:space="preserve">Према поменутом </w:t>
      </w:r>
      <w:r w:rsidR="00DD1B70">
        <w:rPr>
          <w:rFonts w:ascii="Times New Roman" w:hAnsi="Times New Roman"/>
          <w:sz w:val="24"/>
          <w:szCs w:val="24"/>
          <w:lang w:val="sr-Cyrl-CS"/>
        </w:rPr>
        <w:t>Закон</w:t>
      </w:r>
      <w:r>
        <w:rPr>
          <w:rFonts w:ascii="Times New Roman" w:hAnsi="Times New Roman"/>
          <w:sz w:val="24"/>
          <w:szCs w:val="24"/>
          <w:lang w:val="sr-Cyrl-CS"/>
        </w:rPr>
        <w:t>у</w:t>
      </w:r>
      <w:r w:rsidR="00DD1B70">
        <w:rPr>
          <w:rFonts w:ascii="Times New Roman" w:hAnsi="Times New Roman"/>
          <w:sz w:val="24"/>
          <w:szCs w:val="24"/>
          <w:lang w:val="sr-Cyrl-CS"/>
        </w:rPr>
        <w:t xml:space="preserve"> о полицији</w:t>
      </w:r>
      <w:r w:rsidR="000F6721">
        <w:rPr>
          <w:rFonts w:ascii="Times New Roman" w:hAnsi="Times New Roman"/>
          <w:sz w:val="24"/>
          <w:szCs w:val="24"/>
          <w:lang w:val="sr-Cyrl-CS"/>
        </w:rPr>
        <w:t>,</w:t>
      </w:r>
      <w:r>
        <w:rPr>
          <w:rFonts w:ascii="Times New Roman" w:hAnsi="Times New Roman"/>
          <w:sz w:val="24"/>
          <w:szCs w:val="24"/>
          <w:lang w:val="sr-Cyrl-CS"/>
        </w:rPr>
        <w:t xml:space="preserve"> </w:t>
      </w:r>
      <w:r w:rsidR="00BA7223">
        <w:rPr>
          <w:rFonts w:ascii="Times New Roman" w:hAnsi="Times New Roman"/>
          <w:color w:val="000000"/>
          <w:sz w:val="24"/>
          <w:szCs w:val="24"/>
          <w:lang w:val="sr-Cyrl-CS"/>
        </w:rPr>
        <w:t>п</w:t>
      </w:r>
      <w:r w:rsidR="00313F63" w:rsidRPr="00810FFC">
        <w:rPr>
          <w:rFonts w:ascii="Times New Roman" w:hAnsi="Times New Roman"/>
          <w:color w:val="000000"/>
          <w:sz w:val="24"/>
          <w:szCs w:val="24"/>
        </w:rPr>
        <w:t>олиција</w:t>
      </w:r>
      <w:r w:rsidR="00192453"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обавља</w:t>
      </w:r>
      <w:r w:rsidR="00192453"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законом</w:t>
      </w:r>
      <w:r w:rsidR="00192453"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утврђене</w:t>
      </w:r>
      <w:r w:rsidR="00192453"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полицијске</w:t>
      </w:r>
      <w:r w:rsidR="00192453"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и</w:t>
      </w:r>
      <w:r w:rsidR="00192453"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друге</w:t>
      </w:r>
      <w:r w:rsidR="00192453"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послове</w:t>
      </w:r>
      <w:r w:rsidR="00192453"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пружа</w:t>
      </w:r>
      <w:r w:rsidR="00192453"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подршку</w:t>
      </w:r>
      <w:r w:rsidR="00192453"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владавини</w:t>
      </w:r>
      <w:r w:rsidR="00192453"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права</w:t>
      </w:r>
      <w:r w:rsidR="00192453"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у</w:t>
      </w:r>
      <w:r w:rsidR="00192453"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демократском</w:t>
      </w:r>
      <w:r w:rsidR="00192453"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друштву</w:t>
      </w:r>
      <w:r w:rsidR="00192453"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и</w:t>
      </w:r>
      <w:r w:rsidR="00192453"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одговорна</w:t>
      </w:r>
      <w:r w:rsidR="00192453"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је</w:t>
      </w:r>
      <w:r w:rsidR="00192453"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за</w:t>
      </w:r>
      <w:r w:rsidR="00192453"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остваривање</w:t>
      </w:r>
      <w:r w:rsidR="00192453"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безбедности</w:t>
      </w:r>
      <w:r w:rsidR="00192453"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у</w:t>
      </w:r>
      <w:r w:rsidR="00192453"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складу</w:t>
      </w:r>
      <w:r w:rsidR="00192453"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са</w:t>
      </w:r>
      <w:r w:rsidR="00192453"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законом</w:t>
      </w:r>
      <w:r w:rsidR="00192453" w:rsidRPr="00810FFC">
        <w:rPr>
          <w:rFonts w:ascii="Times New Roman" w:hAnsi="Times New Roman"/>
          <w:color w:val="000000"/>
          <w:sz w:val="24"/>
          <w:szCs w:val="24"/>
        </w:rPr>
        <w:t>.</w:t>
      </w:r>
      <w:r w:rsidRPr="00810FFC">
        <w:rPr>
          <w:rFonts w:ascii="Times New Roman" w:hAnsi="Times New Roman"/>
          <w:color w:val="000000"/>
          <w:sz w:val="24"/>
          <w:szCs w:val="24"/>
          <w:lang w:val="sr-Cyrl-CS"/>
        </w:rPr>
        <w:t xml:space="preserve"> </w:t>
      </w:r>
      <w:r w:rsidR="00313F63" w:rsidRPr="00810FFC">
        <w:rPr>
          <w:rFonts w:ascii="Times New Roman" w:hAnsi="Times New Roman"/>
          <w:color w:val="000000"/>
          <w:sz w:val="24"/>
          <w:szCs w:val="24"/>
        </w:rPr>
        <w:t>Обављањем</w:t>
      </w:r>
      <w:r w:rsidR="00192453"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полицијских</w:t>
      </w:r>
      <w:r w:rsidR="00192453"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послова</w:t>
      </w:r>
      <w:r w:rsidR="00192453"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полиција</w:t>
      </w:r>
      <w:r w:rsidR="00192453"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свима</w:t>
      </w:r>
      <w:r w:rsidR="00192453"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пружа</w:t>
      </w:r>
      <w:r w:rsidR="00192453"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заштиту</w:t>
      </w:r>
      <w:r w:rsidR="00192453"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њихових</w:t>
      </w:r>
      <w:r w:rsidR="00192453"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права</w:t>
      </w:r>
      <w:r w:rsidR="00192453"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и</w:t>
      </w:r>
      <w:r w:rsidR="00192453"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слобода</w:t>
      </w:r>
      <w:r w:rsidR="00192453"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Приликом</w:t>
      </w:r>
      <w:r w:rsidR="00192453"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пружања</w:t>
      </w:r>
      <w:r w:rsidR="00192453"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заштите</w:t>
      </w:r>
      <w:r w:rsidR="00192453"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полиција</w:t>
      </w:r>
      <w:r w:rsidR="00192453"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поједина</w:t>
      </w:r>
      <w:r w:rsidR="00192453"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права</w:t>
      </w:r>
      <w:r w:rsidR="00192453"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и</w:t>
      </w:r>
      <w:r w:rsidR="00192453"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слободе</w:t>
      </w:r>
      <w:r w:rsidR="00192453"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може</w:t>
      </w:r>
      <w:r w:rsidR="00192453"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ограничити</w:t>
      </w:r>
      <w:r w:rsidR="00192453"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само</w:t>
      </w:r>
      <w:r w:rsidR="00192453"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под</w:t>
      </w:r>
      <w:r w:rsidR="00192453"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условима</w:t>
      </w:r>
      <w:r w:rsidR="00192453"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и</w:t>
      </w:r>
      <w:r w:rsidR="00192453"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на</w:t>
      </w:r>
      <w:r w:rsidR="00192453"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начин</w:t>
      </w:r>
      <w:r w:rsidR="00192453"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утврђен</w:t>
      </w:r>
      <w:r w:rsidR="00192453"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Уставом</w:t>
      </w:r>
      <w:r w:rsidR="00192453"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и</w:t>
      </w:r>
      <w:r w:rsidR="00192453"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законом</w:t>
      </w:r>
      <w:r w:rsidR="00192453" w:rsidRPr="00810FFC">
        <w:rPr>
          <w:rFonts w:ascii="Times New Roman" w:hAnsi="Times New Roman"/>
          <w:color w:val="000000"/>
          <w:sz w:val="24"/>
          <w:szCs w:val="24"/>
        </w:rPr>
        <w:t>.</w:t>
      </w:r>
    </w:p>
    <w:p w:rsidR="00DD1B70" w:rsidRPr="00810FFC" w:rsidRDefault="00DD1B70" w:rsidP="006F1DCB">
      <w:pPr>
        <w:ind w:firstLine="708"/>
        <w:jc w:val="both"/>
        <w:rPr>
          <w:rFonts w:ascii="Times New Roman" w:hAnsi="Times New Roman"/>
          <w:sz w:val="24"/>
          <w:szCs w:val="24"/>
          <w:lang w:val="sr-Cyrl-CS"/>
        </w:rPr>
      </w:pPr>
      <w:r w:rsidRPr="00810FFC">
        <w:rPr>
          <w:rFonts w:ascii="Times New Roman" w:hAnsi="Times New Roman"/>
          <w:sz w:val="24"/>
          <w:szCs w:val="24"/>
          <w:lang w:val="sr-Cyrl-CS"/>
        </w:rPr>
        <w:t>Посебан значај има Сектор унутрашње контроле</w:t>
      </w:r>
      <w:r w:rsidR="006F1DCB" w:rsidRPr="00810FFC">
        <w:rPr>
          <w:rFonts w:ascii="Times New Roman" w:hAnsi="Times New Roman"/>
          <w:sz w:val="24"/>
          <w:szCs w:val="24"/>
          <w:lang w:val="sr-Cyrl-CS"/>
        </w:rPr>
        <w:t xml:space="preserve"> који врши унутрашњу контролу рада полиције. </w:t>
      </w:r>
      <w:r w:rsidR="00313F63" w:rsidRPr="00810FFC">
        <w:rPr>
          <w:rFonts w:ascii="Times New Roman" w:hAnsi="Times New Roman"/>
          <w:color w:val="000000"/>
          <w:sz w:val="24"/>
          <w:szCs w:val="24"/>
        </w:rPr>
        <w:t>Начелник</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Сектора</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унутрашње</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контроле</w:t>
      </w:r>
      <w:r w:rsidR="006F1DCB" w:rsidRPr="00810FFC">
        <w:rPr>
          <w:rFonts w:ascii="Times New Roman" w:hAnsi="Times New Roman"/>
          <w:color w:val="000000"/>
          <w:sz w:val="24"/>
          <w:szCs w:val="24"/>
          <w:lang w:val="sr-Cyrl-CS"/>
        </w:rPr>
        <w:t xml:space="preserve">, који руководи овим сектором, </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редовно</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и</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периодично</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подноси</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министру</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извештаје</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о</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раду</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Сектора</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унутрашње</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контроле</w:t>
      </w:r>
      <w:r w:rsidRPr="00810FFC">
        <w:rPr>
          <w:rFonts w:ascii="Times New Roman" w:hAnsi="Times New Roman"/>
          <w:color w:val="000000"/>
          <w:sz w:val="24"/>
          <w:szCs w:val="24"/>
        </w:rPr>
        <w:t>.</w:t>
      </w:r>
      <w:r w:rsidR="006F1DCB" w:rsidRPr="00810FFC">
        <w:rPr>
          <w:rFonts w:ascii="Times New Roman" w:hAnsi="Times New Roman"/>
          <w:color w:val="000000"/>
          <w:sz w:val="24"/>
          <w:szCs w:val="24"/>
          <w:lang w:val="sr-Cyrl-CS"/>
        </w:rPr>
        <w:t xml:space="preserve"> </w:t>
      </w:r>
      <w:r w:rsidR="00313F63" w:rsidRPr="00810FFC">
        <w:rPr>
          <w:rFonts w:ascii="Times New Roman" w:hAnsi="Times New Roman"/>
          <w:color w:val="000000"/>
          <w:sz w:val="24"/>
          <w:szCs w:val="24"/>
        </w:rPr>
        <w:t>Сектор</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унутрашње</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контроле</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полиције</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врши</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контролу</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законитости</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рада</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полиције</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а</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нарочито</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у</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погледу</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поштовања</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и</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заштите</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људских</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права</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при</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извршавању</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полицијских</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задатака</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и</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примени</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полицијских</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овлашћења</w:t>
      </w:r>
      <w:r w:rsidRPr="00810FFC">
        <w:rPr>
          <w:rFonts w:ascii="Times New Roman" w:hAnsi="Times New Roman"/>
          <w:color w:val="000000"/>
          <w:sz w:val="24"/>
          <w:szCs w:val="24"/>
        </w:rPr>
        <w:t>.</w:t>
      </w:r>
      <w:r w:rsidR="006F1DCB" w:rsidRPr="00810FFC">
        <w:rPr>
          <w:rFonts w:ascii="Times New Roman" w:hAnsi="Times New Roman"/>
          <w:color w:val="000000"/>
          <w:sz w:val="24"/>
          <w:szCs w:val="24"/>
          <w:lang w:val="sr-Cyrl-CS"/>
        </w:rPr>
        <w:t xml:space="preserve"> Овај сектор </w:t>
      </w:r>
      <w:r w:rsidR="00313F63" w:rsidRPr="00810FFC">
        <w:rPr>
          <w:rFonts w:ascii="Times New Roman" w:hAnsi="Times New Roman"/>
          <w:color w:val="000000"/>
          <w:sz w:val="24"/>
          <w:szCs w:val="24"/>
        </w:rPr>
        <w:t>поступа</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на</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основу</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предлога</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притужби</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и</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представки</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физичких</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и</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правних</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лица</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поводом</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писаних</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обраћања</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припадника</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полиције</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и</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по</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сопственој</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иницијативи</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односно</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на</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основу</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прикупљених</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обавештења</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и</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других</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сазнања</w:t>
      </w:r>
      <w:r w:rsidRPr="00810FFC">
        <w:rPr>
          <w:rFonts w:ascii="Times New Roman" w:hAnsi="Times New Roman"/>
          <w:color w:val="000000"/>
          <w:sz w:val="24"/>
          <w:szCs w:val="24"/>
        </w:rPr>
        <w:t>.</w:t>
      </w:r>
      <w:r w:rsidR="006F1DCB" w:rsidRPr="00810FFC">
        <w:rPr>
          <w:rFonts w:ascii="Times New Roman" w:hAnsi="Times New Roman"/>
          <w:color w:val="000000"/>
          <w:sz w:val="24"/>
          <w:szCs w:val="24"/>
          <w:lang w:val="sr-Cyrl-CS"/>
        </w:rPr>
        <w:t xml:space="preserve"> </w:t>
      </w:r>
      <w:r w:rsidR="00313F63" w:rsidRPr="00810FFC">
        <w:rPr>
          <w:rFonts w:ascii="Times New Roman" w:hAnsi="Times New Roman"/>
          <w:color w:val="000000"/>
          <w:sz w:val="24"/>
          <w:szCs w:val="24"/>
        </w:rPr>
        <w:t>Контролу</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рада</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начелника</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Сектора</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унутрашње</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контроле</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полиције</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полицијских</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службеника</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запослених</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у</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Сектору</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унутрашње</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контроле</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полиције</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и</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других</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полицијских</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службеника</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у</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Министарству</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задужених</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за</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унутрашњу</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контролу</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рада</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полиције</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врши</w:t>
      </w:r>
      <w:r w:rsidRPr="00810FFC">
        <w:rPr>
          <w:rFonts w:ascii="Times New Roman" w:hAnsi="Times New Roman"/>
          <w:color w:val="000000"/>
          <w:sz w:val="24"/>
          <w:szCs w:val="24"/>
        </w:rPr>
        <w:t xml:space="preserve"> </w:t>
      </w:r>
      <w:r w:rsidR="00313F63" w:rsidRPr="00810FFC">
        <w:rPr>
          <w:rFonts w:ascii="Times New Roman" w:hAnsi="Times New Roman"/>
          <w:color w:val="000000"/>
          <w:sz w:val="24"/>
          <w:szCs w:val="24"/>
        </w:rPr>
        <w:t>министар</w:t>
      </w:r>
      <w:r w:rsidR="006F1DCB" w:rsidRPr="00810FFC">
        <w:rPr>
          <w:rFonts w:ascii="Times New Roman" w:hAnsi="Times New Roman"/>
          <w:color w:val="000000"/>
          <w:sz w:val="24"/>
          <w:szCs w:val="24"/>
          <w:lang w:val="sr-Cyrl-CS"/>
        </w:rPr>
        <w:t>.</w:t>
      </w:r>
      <w:r w:rsidRPr="00810FFC">
        <w:rPr>
          <w:rFonts w:ascii="Times New Roman" w:hAnsi="Times New Roman"/>
          <w:color w:val="000000"/>
          <w:sz w:val="24"/>
          <w:szCs w:val="24"/>
        </w:rPr>
        <w:t xml:space="preserve"> </w:t>
      </w:r>
    </w:p>
    <w:p w:rsidR="006F1DCB" w:rsidRPr="00872D06" w:rsidRDefault="00313F63" w:rsidP="009E2574">
      <w:pPr>
        <w:ind w:firstLine="708"/>
        <w:jc w:val="both"/>
        <w:rPr>
          <w:rFonts w:ascii="Times New Roman" w:hAnsi="Times New Roman"/>
          <w:sz w:val="24"/>
          <w:szCs w:val="24"/>
          <w:lang w:val="sr-Cyrl-CS"/>
        </w:rPr>
      </w:pPr>
      <w:r w:rsidRPr="00872D06">
        <w:rPr>
          <w:rFonts w:ascii="Times New Roman" w:hAnsi="Times New Roman"/>
          <w:sz w:val="24"/>
          <w:szCs w:val="24"/>
        </w:rPr>
        <w:t>Полиција</w:t>
      </w:r>
      <w:r w:rsidR="006F1DCB" w:rsidRPr="00872D06">
        <w:rPr>
          <w:rFonts w:ascii="Times New Roman" w:hAnsi="Times New Roman"/>
          <w:sz w:val="24"/>
          <w:szCs w:val="24"/>
        </w:rPr>
        <w:t xml:space="preserve"> </w:t>
      </w:r>
      <w:r w:rsidRPr="00872D06">
        <w:rPr>
          <w:rFonts w:ascii="Times New Roman" w:hAnsi="Times New Roman"/>
          <w:sz w:val="24"/>
          <w:szCs w:val="24"/>
        </w:rPr>
        <w:t>има</w:t>
      </w:r>
      <w:r w:rsidR="006F1DCB" w:rsidRPr="00872D06">
        <w:rPr>
          <w:rFonts w:ascii="Times New Roman" w:hAnsi="Times New Roman"/>
          <w:sz w:val="24"/>
          <w:szCs w:val="24"/>
        </w:rPr>
        <w:t xml:space="preserve"> </w:t>
      </w:r>
      <w:r w:rsidRPr="00872D06">
        <w:rPr>
          <w:rFonts w:ascii="Times New Roman" w:hAnsi="Times New Roman"/>
          <w:sz w:val="24"/>
          <w:szCs w:val="24"/>
        </w:rPr>
        <w:t>кодекс</w:t>
      </w:r>
      <w:r w:rsidR="00FB34B2" w:rsidRPr="00872D06">
        <w:rPr>
          <w:rFonts w:ascii="Times New Roman" w:hAnsi="Times New Roman"/>
          <w:sz w:val="24"/>
          <w:szCs w:val="24"/>
        </w:rPr>
        <w:t xml:space="preserve"> </w:t>
      </w:r>
      <w:r w:rsidRPr="00872D06">
        <w:rPr>
          <w:rFonts w:ascii="Times New Roman" w:hAnsi="Times New Roman"/>
          <w:sz w:val="24"/>
          <w:szCs w:val="24"/>
        </w:rPr>
        <w:t>полицијске</w:t>
      </w:r>
      <w:r w:rsidR="006F1DCB" w:rsidRPr="00872D06">
        <w:rPr>
          <w:rFonts w:ascii="Times New Roman" w:hAnsi="Times New Roman"/>
          <w:sz w:val="24"/>
          <w:szCs w:val="24"/>
        </w:rPr>
        <w:t xml:space="preserve"> </w:t>
      </w:r>
      <w:r w:rsidRPr="00872D06">
        <w:rPr>
          <w:rFonts w:ascii="Times New Roman" w:hAnsi="Times New Roman"/>
          <w:sz w:val="24"/>
          <w:szCs w:val="24"/>
        </w:rPr>
        <w:t>етике</w:t>
      </w:r>
      <w:r w:rsidR="006F1DCB" w:rsidRPr="00872D06">
        <w:rPr>
          <w:rFonts w:ascii="Times New Roman" w:hAnsi="Times New Roman"/>
          <w:sz w:val="24"/>
          <w:szCs w:val="24"/>
        </w:rPr>
        <w:t xml:space="preserve"> </w:t>
      </w:r>
      <w:r w:rsidR="00FB34B2" w:rsidRPr="00872D06">
        <w:rPr>
          <w:rFonts w:ascii="Times New Roman" w:hAnsi="Times New Roman"/>
          <w:sz w:val="24"/>
          <w:szCs w:val="24"/>
        </w:rPr>
        <w:t xml:space="preserve"> </w:t>
      </w:r>
      <w:r w:rsidRPr="00872D06">
        <w:rPr>
          <w:rFonts w:ascii="Times New Roman" w:hAnsi="Times New Roman"/>
          <w:sz w:val="24"/>
          <w:szCs w:val="24"/>
        </w:rPr>
        <w:t>ради</w:t>
      </w:r>
      <w:r w:rsidR="00FB34B2" w:rsidRPr="00872D06">
        <w:rPr>
          <w:rFonts w:ascii="Times New Roman" w:hAnsi="Times New Roman"/>
          <w:sz w:val="24"/>
          <w:szCs w:val="24"/>
        </w:rPr>
        <w:t xml:space="preserve"> </w:t>
      </w:r>
      <w:r w:rsidRPr="00872D06">
        <w:rPr>
          <w:rFonts w:ascii="Times New Roman" w:hAnsi="Times New Roman"/>
          <w:sz w:val="24"/>
          <w:szCs w:val="24"/>
        </w:rPr>
        <w:t>остваривања</w:t>
      </w:r>
      <w:r w:rsidR="00FB34B2" w:rsidRPr="00872D06">
        <w:rPr>
          <w:rFonts w:ascii="Times New Roman" w:hAnsi="Times New Roman"/>
          <w:sz w:val="24"/>
          <w:szCs w:val="24"/>
        </w:rPr>
        <w:t xml:space="preserve"> </w:t>
      </w:r>
      <w:r w:rsidRPr="00872D06">
        <w:rPr>
          <w:rFonts w:ascii="Times New Roman" w:hAnsi="Times New Roman"/>
          <w:sz w:val="24"/>
          <w:szCs w:val="24"/>
        </w:rPr>
        <w:t>највиших</w:t>
      </w:r>
      <w:r w:rsidR="00FB34B2" w:rsidRPr="00872D06">
        <w:rPr>
          <w:rFonts w:ascii="Times New Roman" w:hAnsi="Times New Roman"/>
          <w:sz w:val="24"/>
          <w:szCs w:val="24"/>
        </w:rPr>
        <w:t xml:space="preserve"> </w:t>
      </w:r>
      <w:r w:rsidRPr="00872D06">
        <w:rPr>
          <w:rFonts w:ascii="Times New Roman" w:hAnsi="Times New Roman"/>
          <w:sz w:val="24"/>
          <w:szCs w:val="24"/>
        </w:rPr>
        <w:t>националних</w:t>
      </w:r>
      <w:r w:rsidR="00FB34B2" w:rsidRPr="00872D06">
        <w:rPr>
          <w:rFonts w:ascii="Times New Roman" w:hAnsi="Times New Roman"/>
          <w:sz w:val="24"/>
          <w:szCs w:val="24"/>
        </w:rPr>
        <w:t xml:space="preserve"> </w:t>
      </w:r>
      <w:r w:rsidRPr="00872D06">
        <w:rPr>
          <w:rFonts w:ascii="Times New Roman" w:hAnsi="Times New Roman"/>
          <w:sz w:val="24"/>
          <w:szCs w:val="24"/>
        </w:rPr>
        <w:t>и</w:t>
      </w:r>
      <w:r w:rsidR="00FB34B2" w:rsidRPr="00872D06">
        <w:rPr>
          <w:rFonts w:ascii="Times New Roman" w:hAnsi="Times New Roman"/>
          <w:sz w:val="24"/>
          <w:szCs w:val="24"/>
        </w:rPr>
        <w:t xml:space="preserve"> </w:t>
      </w:r>
      <w:r w:rsidRPr="00872D06">
        <w:rPr>
          <w:rFonts w:ascii="Times New Roman" w:hAnsi="Times New Roman"/>
          <w:sz w:val="24"/>
          <w:szCs w:val="24"/>
        </w:rPr>
        <w:t>међународних</w:t>
      </w:r>
      <w:r w:rsidR="00FB34B2" w:rsidRPr="00872D06">
        <w:rPr>
          <w:rFonts w:ascii="Times New Roman" w:hAnsi="Times New Roman"/>
          <w:sz w:val="24"/>
          <w:szCs w:val="24"/>
        </w:rPr>
        <w:t xml:space="preserve"> </w:t>
      </w:r>
      <w:r w:rsidRPr="00872D06">
        <w:rPr>
          <w:rFonts w:ascii="Times New Roman" w:hAnsi="Times New Roman"/>
          <w:sz w:val="24"/>
          <w:szCs w:val="24"/>
        </w:rPr>
        <w:t>стандарда</w:t>
      </w:r>
      <w:r w:rsidR="00FB34B2" w:rsidRPr="00872D06">
        <w:rPr>
          <w:rFonts w:ascii="Times New Roman" w:hAnsi="Times New Roman"/>
          <w:sz w:val="24"/>
          <w:szCs w:val="24"/>
        </w:rPr>
        <w:t xml:space="preserve"> </w:t>
      </w:r>
      <w:r w:rsidRPr="00872D06">
        <w:rPr>
          <w:rFonts w:ascii="Times New Roman" w:hAnsi="Times New Roman"/>
          <w:sz w:val="24"/>
          <w:szCs w:val="24"/>
        </w:rPr>
        <w:t>полицијског</w:t>
      </w:r>
      <w:r w:rsidR="00FB34B2" w:rsidRPr="00872D06">
        <w:rPr>
          <w:rFonts w:ascii="Times New Roman" w:hAnsi="Times New Roman"/>
          <w:sz w:val="24"/>
          <w:szCs w:val="24"/>
        </w:rPr>
        <w:t xml:space="preserve"> </w:t>
      </w:r>
      <w:r w:rsidRPr="00872D06">
        <w:rPr>
          <w:rFonts w:ascii="Times New Roman" w:hAnsi="Times New Roman"/>
          <w:sz w:val="24"/>
          <w:szCs w:val="24"/>
        </w:rPr>
        <w:t>поступања</w:t>
      </w:r>
      <w:r w:rsidR="00FB34B2" w:rsidRPr="00872D06">
        <w:rPr>
          <w:rFonts w:ascii="Times New Roman" w:hAnsi="Times New Roman"/>
          <w:sz w:val="24"/>
          <w:szCs w:val="24"/>
        </w:rPr>
        <w:t xml:space="preserve"> </w:t>
      </w:r>
      <w:r w:rsidRPr="00872D06">
        <w:rPr>
          <w:rFonts w:ascii="Times New Roman" w:hAnsi="Times New Roman"/>
          <w:sz w:val="24"/>
          <w:szCs w:val="24"/>
        </w:rPr>
        <w:t>и</w:t>
      </w:r>
      <w:r w:rsidR="00FB34B2" w:rsidRPr="00872D06">
        <w:rPr>
          <w:rFonts w:ascii="Times New Roman" w:hAnsi="Times New Roman"/>
          <w:sz w:val="24"/>
          <w:szCs w:val="24"/>
        </w:rPr>
        <w:t xml:space="preserve"> </w:t>
      </w:r>
      <w:r w:rsidRPr="00872D06">
        <w:rPr>
          <w:rFonts w:ascii="Times New Roman" w:hAnsi="Times New Roman"/>
          <w:sz w:val="24"/>
          <w:szCs w:val="24"/>
        </w:rPr>
        <w:t>подршке</w:t>
      </w:r>
      <w:r w:rsidR="00FB34B2" w:rsidRPr="00872D06">
        <w:rPr>
          <w:rFonts w:ascii="Times New Roman" w:hAnsi="Times New Roman"/>
          <w:sz w:val="24"/>
          <w:szCs w:val="24"/>
        </w:rPr>
        <w:t xml:space="preserve"> </w:t>
      </w:r>
      <w:r w:rsidRPr="00872D06">
        <w:rPr>
          <w:rFonts w:ascii="Times New Roman" w:hAnsi="Times New Roman"/>
          <w:sz w:val="24"/>
          <w:szCs w:val="24"/>
        </w:rPr>
        <w:t>владавини</w:t>
      </w:r>
      <w:r w:rsidR="00FB34B2" w:rsidRPr="00872D06">
        <w:rPr>
          <w:rFonts w:ascii="Times New Roman" w:hAnsi="Times New Roman"/>
          <w:sz w:val="24"/>
          <w:szCs w:val="24"/>
        </w:rPr>
        <w:t xml:space="preserve"> </w:t>
      </w:r>
      <w:r w:rsidRPr="00872D06">
        <w:rPr>
          <w:rFonts w:ascii="Times New Roman" w:hAnsi="Times New Roman"/>
          <w:sz w:val="24"/>
          <w:szCs w:val="24"/>
        </w:rPr>
        <w:t>права</w:t>
      </w:r>
      <w:r w:rsidR="00FB34B2" w:rsidRPr="00872D06">
        <w:rPr>
          <w:rFonts w:ascii="Times New Roman" w:hAnsi="Times New Roman"/>
          <w:sz w:val="24"/>
          <w:szCs w:val="24"/>
        </w:rPr>
        <w:t>.</w:t>
      </w:r>
      <w:r w:rsidR="006F1DCB" w:rsidRPr="00872D06">
        <w:rPr>
          <w:rFonts w:ascii="Times New Roman" w:hAnsi="Times New Roman"/>
          <w:sz w:val="24"/>
          <w:szCs w:val="24"/>
          <w:lang w:val="sr-Cyrl-CS"/>
        </w:rPr>
        <w:t xml:space="preserve"> </w:t>
      </w:r>
      <w:r w:rsidRPr="00872D06">
        <w:rPr>
          <w:rFonts w:ascii="Times New Roman" w:hAnsi="Times New Roman"/>
          <w:sz w:val="24"/>
          <w:szCs w:val="24"/>
        </w:rPr>
        <w:t>Полицијски</w:t>
      </w:r>
      <w:r w:rsidR="00FB34B2" w:rsidRPr="00872D06">
        <w:rPr>
          <w:rFonts w:ascii="Times New Roman" w:hAnsi="Times New Roman"/>
          <w:sz w:val="24"/>
          <w:szCs w:val="24"/>
        </w:rPr>
        <w:t xml:space="preserve"> </w:t>
      </w:r>
      <w:r w:rsidRPr="00872D06">
        <w:rPr>
          <w:rFonts w:ascii="Times New Roman" w:hAnsi="Times New Roman"/>
          <w:sz w:val="24"/>
          <w:szCs w:val="24"/>
        </w:rPr>
        <w:t>службеници</w:t>
      </w:r>
      <w:r w:rsidR="00FB34B2" w:rsidRPr="00872D06">
        <w:rPr>
          <w:rFonts w:ascii="Times New Roman" w:hAnsi="Times New Roman"/>
          <w:sz w:val="24"/>
          <w:szCs w:val="24"/>
        </w:rPr>
        <w:t xml:space="preserve"> </w:t>
      </w:r>
      <w:r w:rsidRPr="00872D06">
        <w:rPr>
          <w:rFonts w:ascii="Times New Roman" w:hAnsi="Times New Roman"/>
          <w:sz w:val="24"/>
          <w:szCs w:val="24"/>
        </w:rPr>
        <w:t>обављају</w:t>
      </w:r>
      <w:r w:rsidR="00FB34B2" w:rsidRPr="00872D06">
        <w:rPr>
          <w:rFonts w:ascii="Times New Roman" w:hAnsi="Times New Roman"/>
          <w:sz w:val="24"/>
          <w:szCs w:val="24"/>
        </w:rPr>
        <w:t xml:space="preserve"> </w:t>
      </w:r>
      <w:r w:rsidRPr="00872D06">
        <w:rPr>
          <w:rFonts w:ascii="Times New Roman" w:hAnsi="Times New Roman"/>
          <w:sz w:val="24"/>
          <w:szCs w:val="24"/>
        </w:rPr>
        <w:t>полицијске</w:t>
      </w:r>
      <w:r w:rsidR="00FB34B2" w:rsidRPr="00872D06">
        <w:rPr>
          <w:rFonts w:ascii="Times New Roman" w:hAnsi="Times New Roman"/>
          <w:sz w:val="24"/>
          <w:szCs w:val="24"/>
        </w:rPr>
        <w:t xml:space="preserve"> </w:t>
      </w:r>
      <w:r w:rsidRPr="00872D06">
        <w:rPr>
          <w:rFonts w:ascii="Times New Roman" w:hAnsi="Times New Roman"/>
          <w:sz w:val="24"/>
          <w:szCs w:val="24"/>
        </w:rPr>
        <w:t>послове</w:t>
      </w:r>
      <w:r w:rsidR="00FB34B2" w:rsidRPr="00872D06">
        <w:rPr>
          <w:rFonts w:ascii="Times New Roman" w:hAnsi="Times New Roman"/>
          <w:sz w:val="24"/>
          <w:szCs w:val="24"/>
        </w:rPr>
        <w:t xml:space="preserve"> </w:t>
      </w:r>
      <w:r w:rsidRPr="00872D06">
        <w:rPr>
          <w:rFonts w:ascii="Times New Roman" w:hAnsi="Times New Roman"/>
          <w:sz w:val="24"/>
          <w:szCs w:val="24"/>
        </w:rPr>
        <w:t>у</w:t>
      </w:r>
      <w:r w:rsidR="00FB34B2" w:rsidRPr="00872D06">
        <w:rPr>
          <w:rFonts w:ascii="Times New Roman" w:hAnsi="Times New Roman"/>
          <w:sz w:val="24"/>
          <w:szCs w:val="24"/>
        </w:rPr>
        <w:t xml:space="preserve"> </w:t>
      </w:r>
      <w:r w:rsidRPr="00872D06">
        <w:rPr>
          <w:rFonts w:ascii="Times New Roman" w:hAnsi="Times New Roman"/>
          <w:sz w:val="24"/>
          <w:szCs w:val="24"/>
        </w:rPr>
        <w:t>складу</w:t>
      </w:r>
      <w:r w:rsidR="00FB34B2" w:rsidRPr="00872D06">
        <w:rPr>
          <w:rFonts w:ascii="Times New Roman" w:hAnsi="Times New Roman"/>
          <w:sz w:val="24"/>
          <w:szCs w:val="24"/>
        </w:rPr>
        <w:t xml:space="preserve"> </w:t>
      </w:r>
      <w:r w:rsidRPr="00872D06">
        <w:rPr>
          <w:rFonts w:ascii="Times New Roman" w:hAnsi="Times New Roman"/>
          <w:sz w:val="24"/>
          <w:szCs w:val="24"/>
        </w:rPr>
        <w:t>са</w:t>
      </w:r>
      <w:r w:rsidR="00FB34B2" w:rsidRPr="00872D06">
        <w:rPr>
          <w:rFonts w:ascii="Times New Roman" w:hAnsi="Times New Roman"/>
          <w:sz w:val="24"/>
          <w:szCs w:val="24"/>
        </w:rPr>
        <w:t xml:space="preserve"> </w:t>
      </w:r>
      <w:r w:rsidRPr="00872D06">
        <w:rPr>
          <w:rFonts w:ascii="Times New Roman" w:hAnsi="Times New Roman"/>
          <w:sz w:val="24"/>
          <w:szCs w:val="24"/>
        </w:rPr>
        <w:t>законом</w:t>
      </w:r>
      <w:r w:rsidR="00FB34B2" w:rsidRPr="00872D06">
        <w:rPr>
          <w:rFonts w:ascii="Times New Roman" w:hAnsi="Times New Roman"/>
          <w:sz w:val="24"/>
          <w:szCs w:val="24"/>
        </w:rPr>
        <w:t xml:space="preserve"> </w:t>
      </w:r>
      <w:r w:rsidRPr="00872D06">
        <w:rPr>
          <w:rFonts w:ascii="Times New Roman" w:hAnsi="Times New Roman"/>
          <w:sz w:val="24"/>
          <w:szCs w:val="24"/>
        </w:rPr>
        <w:t>и</w:t>
      </w:r>
      <w:r w:rsidR="00FB34B2" w:rsidRPr="00872D06">
        <w:rPr>
          <w:rFonts w:ascii="Times New Roman" w:hAnsi="Times New Roman"/>
          <w:sz w:val="24"/>
          <w:szCs w:val="24"/>
        </w:rPr>
        <w:t xml:space="preserve"> </w:t>
      </w:r>
      <w:r w:rsidRPr="00872D06">
        <w:rPr>
          <w:rFonts w:ascii="Times New Roman" w:hAnsi="Times New Roman"/>
          <w:sz w:val="24"/>
          <w:szCs w:val="24"/>
        </w:rPr>
        <w:t>међународним</w:t>
      </w:r>
      <w:r w:rsidR="00FB34B2" w:rsidRPr="00872D06">
        <w:rPr>
          <w:rFonts w:ascii="Times New Roman" w:hAnsi="Times New Roman"/>
          <w:sz w:val="24"/>
          <w:szCs w:val="24"/>
        </w:rPr>
        <w:t xml:space="preserve"> </w:t>
      </w:r>
      <w:r w:rsidRPr="00872D06">
        <w:rPr>
          <w:rFonts w:ascii="Times New Roman" w:hAnsi="Times New Roman"/>
          <w:sz w:val="24"/>
          <w:szCs w:val="24"/>
        </w:rPr>
        <w:t>стандардима</w:t>
      </w:r>
      <w:r w:rsidR="00FB34B2" w:rsidRPr="00872D06">
        <w:rPr>
          <w:rFonts w:ascii="Times New Roman" w:hAnsi="Times New Roman"/>
          <w:sz w:val="24"/>
          <w:szCs w:val="24"/>
        </w:rPr>
        <w:t xml:space="preserve"> </w:t>
      </w:r>
      <w:r w:rsidRPr="00872D06">
        <w:rPr>
          <w:rFonts w:ascii="Times New Roman" w:hAnsi="Times New Roman"/>
          <w:sz w:val="24"/>
          <w:szCs w:val="24"/>
        </w:rPr>
        <w:t>које</w:t>
      </w:r>
      <w:r w:rsidR="00FB34B2" w:rsidRPr="00872D06">
        <w:rPr>
          <w:rFonts w:ascii="Times New Roman" w:hAnsi="Times New Roman"/>
          <w:sz w:val="24"/>
          <w:szCs w:val="24"/>
        </w:rPr>
        <w:t xml:space="preserve"> </w:t>
      </w:r>
      <w:r w:rsidRPr="00872D06">
        <w:rPr>
          <w:rFonts w:ascii="Times New Roman" w:hAnsi="Times New Roman"/>
          <w:sz w:val="24"/>
          <w:szCs w:val="24"/>
        </w:rPr>
        <w:t>је</w:t>
      </w:r>
      <w:r w:rsidR="00FB34B2" w:rsidRPr="00872D06">
        <w:rPr>
          <w:rFonts w:ascii="Times New Roman" w:hAnsi="Times New Roman"/>
          <w:sz w:val="24"/>
          <w:szCs w:val="24"/>
        </w:rPr>
        <w:t xml:space="preserve"> </w:t>
      </w:r>
      <w:r w:rsidRPr="00872D06">
        <w:rPr>
          <w:rFonts w:ascii="Times New Roman" w:hAnsi="Times New Roman"/>
          <w:sz w:val="24"/>
          <w:szCs w:val="24"/>
        </w:rPr>
        <w:t>Република</w:t>
      </w:r>
      <w:r w:rsidR="00FB34B2" w:rsidRPr="00872D06">
        <w:rPr>
          <w:rFonts w:ascii="Times New Roman" w:hAnsi="Times New Roman"/>
          <w:sz w:val="24"/>
          <w:szCs w:val="24"/>
        </w:rPr>
        <w:t xml:space="preserve"> </w:t>
      </w:r>
      <w:r w:rsidRPr="00872D06">
        <w:rPr>
          <w:rFonts w:ascii="Times New Roman" w:hAnsi="Times New Roman"/>
          <w:sz w:val="24"/>
          <w:szCs w:val="24"/>
        </w:rPr>
        <w:t>Србија</w:t>
      </w:r>
      <w:r w:rsidR="00FB34B2" w:rsidRPr="00872D06">
        <w:rPr>
          <w:rFonts w:ascii="Times New Roman" w:hAnsi="Times New Roman"/>
          <w:sz w:val="24"/>
          <w:szCs w:val="24"/>
        </w:rPr>
        <w:t xml:space="preserve"> </w:t>
      </w:r>
      <w:r w:rsidRPr="00872D06">
        <w:rPr>
          <w:rFonts w:ascii="Times New Roman" w:hAnsi="Times New Roman"/>
          <w:sz w:val="24"/>
          <w:szCs w:val="24"/>
        </w:rPr>
        <w:t>прихватила</w:t>
      </w:r>
      <w:r w:rsidR="00FB34B2" w:rsidRPr="00872D06">
        <w:rPr>
          <w:rFonts w:ascii="Times New Roman" w:hAnsi="Times New Roman"/>
          <w:sz w:val="24"/>
          <w:szCs w:val="24"/>
        </w:rPr>
        <w:t xml:space="preserve">, </w:t>
      </w:r>
      <w:r w:rsidRPr="00872D06">
        <w:rPr>
          <w:rFonts w:ascii="Times New Roman" w:hAnsi="Times New Roman"/>
          <w:sz w:val="24"/>
          <w:szCs w:val="24"/>
        </w:rPr>
        <w:t>руководећи</w:t>
      </w:r>
      <w:r w:rsidR="00FB34B2" w:rsidRPr="00872D06">
        <w:rPr>
          <w:rFonts w:ascii="Times New Roman" w:hAnsi="Times New Roman"/>
          <w:sz w:val="24"/>
          <w:szCs w:val="24"/>
        </w:rPr>
        <w:t xml:space="preserve"> </w:t>
      </w:r>
      <w:r w:rsidRPr="00872D06">
        <w:rPr>
          <w:rFonts w:ascii="Times New Roman" w:hAnsi="Times New Roman"/>
          <w:sz w:val="24"/>
          <w:szCs w:val="24"/>
        </w:rPr>
        <w:t>се</w:t>
      </w:r>
      <w:r w:rsidR="00FB34B2" w:rsidRPr="00872D06">
        <w:rPr>
          <w:rFonts w:ascii="Times New Roman" w:hAnsi="Times New Roman"/>
          <w:sz w:val="24"/>
          <w:szCs w:val="24"/>
        </w:rPr>
        <w:t xml:space="preserve"> </w:t>
      </w:r>
      <w:r w:rsidRPr="00872D06">
        <w:rPr>
          <w:rFonts w:ascii="Times New Roman" w:hAnsi="Times New Roman"/>
          <w:sz w:val="24"/>
          <w:szCs w:val="24"/>
        </w:rPr>
        <w:t>циљевима</w:t>
      </w:r>
      <w:r w:rsidR="00FB34B2" w:rsidRPr="00872D06">
        <w:rPr>
          <w:rFonts w:ascii="Times New Roman" w:hAnsi="Times New Roman"/>
          <w:sz w:val="24"/>
          <w:szCs w:val="24"/>
        </w:rPr>
        <w:t xml:space="preserve"> </w:t>
      </w:r>
      <w:r w:rsidRPr="00872D06">
        <w:rPr>
          <w:rFonts w:ascii="Times New Roman" w:hAnsi="Times New Roman"/>
          <w:sz w:val="24"/>
          <w:szCs w:val="24"/>
        </w:rPr>
        <w:t>полиције</w:t>
      </w:r>
      <w:r w:rsidR="00FB34B2" w:rsidRPr="00872D06">
        <w:rPr>
          <w:rFonts w:ascii="Times New Roman" w:hAnsi="Times New Roman"/>
          <w:sz w:val="24"/>
          <w:szCs w:val="24"/>
        </w:rPr>
        <w:t xml:space="preserve"> </w:t>
      </w:r>
      <w:r w:rsidRPr="00872D06">
        <w:rPr>
          <w:rFonts w:ascii="Times New Roman" w:hAnsi="Times New Roman"/>
          <w:sz w:val="24"/>
          <w:szCs w:val="24"/>
        </w:rPr>
        <w:t>у</w:t>
      </w:r>
      <w:r w:rsidR="00FB34B2" w:rsidRPr="00872D06">
        <w:rPr>
          <w:rFonts w:ascii="Times New Roman" w:hAnsi="Times New Roman"/>
          <w:sz w:val="24"/>
          <w:szCs w:val="24"/>
        </w:rPr>
        <w:t xml:space="preserve"> </w:t>
      </w:r>
      <w:r w:rsidRPr="00872D06">
        <w:rPr>
          <w:rFonts w:ascii="Times New Roman" w:hAnsi="Times New Roman"/>
          <w:sz w:val="24"/>
          <w:szCs w:val="24"/>
        </w:rPr>
        <w:t>демократском</w:t>
      </w:r>
      <w:r w:rsidR="00FB34B2" w:rsidRPr="00872D06">
        <w:rPr>
          <w:rFonts w:ascii="Times New Roman" w:hAnsi="Times New Roman"/>
          <w:sz w:val="24"/>
          <w:szCs w:val="24"/>
        </w:rPr>
        <w:t xml:space="preserve"> </w:t>
      </w:r>
      <w:r w:rsidRPr="00872D06">
        <w:rPr>
          <w:rFonts w:ascii="Times New Roman" w:hAnsi="Times New Roman"/>
          <w:sz w:val="24"/>
          <w:szCs w:val="24"/>
        </w:rPr>
        <w:t>друштву</w:t>
      </w:r>
      <w:r w:rsidR="00FB34B2" w:rsidRPr="00872D06">
        <w:rPr>
          <w:rFonts w:ascii="Times New Roman" w:hAnsi="Times New Roman"/>
          <w:sz w:val="24"/>
          <w:szCs w:val="24"/>
        </w:rPr>
        <w:t xml:space="preserve"> </w:t>
      </w:r>
      <w:r w:rsidRPr="00872D06">
        <w:rPr>
          <w:rFonts w:ascii="Times New Roman" w:hAnsi="Times New Roman"/>
          <w:sz w:val="24"/>
          <w:szCs w:val="24"/>
        </w:rPr>
        <w:t>и</w:t>
      </w:r>
      <w:r w:rsidR="00FB34B2" w:rsidRPr="00872D06">
        <w:rPr>
          <w:rFonts w:ascii="Times New Roman" w:hAnsi="Times New Roman"/>
          <w:sz w:val="24"/>
          <w:szCs w:val="24"/>
        </w:rPr>
        <w:t xml:space="preserve"> </w:t>
      </w:r>
      <w:r w:rsidRPr="00872D06">
        <w:rPr>
          <w:rFonts w:ascii="Times New Roman" w:hAnsi="Times New Roman"/>
          <w:sz w:val="24"/>
          <w:szCs w:val="24"/>
        </w:rPr>
        <w:t>принципом</w:t>
      </w:r>
      <w:r w:rsidR="00FB34B2" w:rsidRPr="00872D06">
        <w:rPr>
          <w:rFonts w:ascii="Times New Roman" w:hAnsi="Times New Roman"/>
          <w:sz w:val="24"/>
          <w:szCs w:val="24"/>
        </w:rPr>
        <w:t xml:space="preserve"> </w:t>
      </w:r>
      <w:r w:rsidRPr="00872D06">
        <w:rPr>
          <w:rFonts w:ascii="Times New Roman" w:hAnsi="Times New Roman"/>
          <w:sz w:val="24"/>
          <w:szCs w:val="24"/>
        </w:rPr>
        <w:t>владавине</w:t>
      </w:r>
      <w:r w:rsidR="00FB34B2" w:rsidRPr="00872D06">
        <w:rPr>
          <w:rFonts w:ascii="Times New Roman" w:hAnsi="Times New Roman"/>
          <w:sz w:val="24"/>
          <w:szCs w:val="24"/>
        </w:rPr>
        <w:t xml:space="preserve"> </w:t>
      </w:r>
      <w:r w:rsidRPr="00872D06">
        <w:rPr>
          <w:rFonts w:ascii="Times New Roman" w:hAnsi="Times New Roman"/>
          <w:sz w:val="24"/>
          <w:szCs w:val="24"/>
        </w:rPr>
        <w:t>права</w:t>
      </w:r>
      <w:r w:rsidR="00FB34B2" w:rsidRPr="00872D06">
        <w:rPr>
          <w:rFonts w:ascii="Times New Roman" w:hAnsi="Times New Roman"/>
          <w:sz w:val="24"/>
          <w:szCs w:val="24"/>
        </w:rPr>
        <w:t>.</w:t>
      </w:r>
      <w:r w:rsidR="006F1DCB" w:rsidRPr="00872D06">
        <w:rPr>
          <w:rFonts w:ascii="Times New Roman" w:hAnsi="Times New Roman"/>
          <w:sz w:val="24"/>
          <w:szCs w:val="24"/>
          <w:lang w:val="sr-Cyrl-CS"/>
        </w:rPr>
        <w:t xml:space="preserve"> </w:t>
      </w:r>
      <w:r w:rsidRPr="00872D06">
        <w:rPr>
          <w:rFonts w:ascii="Times New Roman" w:hAnsi="Times New Roman"/>
          <w:sz w:val="24"/>
          <w:szCs w:val="24"/>
        </w:rPr>
        <w:t>Главни</w:t>
      </w:r>
      <w:r w:rsidR="00FB34B2" w:rsidRPr="00872D06">
        <w:rPr>
          <w:rFonts w:ascii="Times New Roman" w:hAnsi="Times New Roman"/>
          <w:sz w:val="24"/>
          <w:szCs w:val="24"/>
        </w:rPr>
        <w:t xml:space="preserve"> </w:t>
      </w:r>
      <w:r w:rsidRPr="00872D06">
        <w:rPr>
          <w:rFonts w:ascii="Times New Roman" w:hAnsi="Times New Roman"/>
          <w:sz w:val="24"/>
          <w:szCs w:val="24"/>
        </w:rPr>
        <w:t>циљеви</w:t>
      </w:r>
      <w:r w:rsidR="00FB34B2" w:rsidRPr="00872D06">
        <w:rPr>
          <w:rFonts w:ascii="Times New Roman" w:hAnsi="Times New Roman"/>
          <w:sz w:val="24"/>
          <w:szCs w:val="24"/>
        </w:rPr>
        <w:t xml:space="preserve"> </w:t>
      </w:r>
      <w:r w:rsidRPr="00872D06">
        <w:rPr>
          <w:rFonts w:ascii="Times New Roman" w:hAnsi="Times New Roman"/>
          <w:sz w:val="24"/>
          <w:szCs w:val="24"/>
        </w:rPr>
        <w:t>полиције</w:t>
      </w:r>
      <w:r w:rsidR="00FB34B2" w:rsidRPr="00872D06">
        <w:rPr>
          <w:rFonts w:ascii="Times New Roman" w:hAnsi="Times New Roman"/>
          <w:sz w:val="24"/>
          <w:szCs w:val="24"/>
        </w:rPr>
        <w:t xml:space="preserve">, </w:t>
      </w:r>
      <w:r w:rsidRPr="00872D06">
        <w:rPr>
          <w:rFonts w:ascii="Times New Roman" w:hAnsi="Times New Roman"/>
          <w:sz w:val="24"/>
          <w:szCs w:val="24"/>
        </w:rPr>
        <w:t>као</w:t>
      </w:r>
      <w:r w:rsidR="00FB34B2" w:rsidRPr="00872D06">
        <w:rPr>
          <w:rFonts w:ascii="Times New Roman" w:hAnsi="Times New Roman"/>
          <w:sz w:val="24"/>
          <w:szCs w:val="24"/>
        </w:rPr>
        <w:t xml:space="preserve"> </w:t>
      </w:r>
      <w:r w:rsidRPr="00872D06">
        <w:rPr>
          <w:rFonts w:ascii="Times New Roman" w:hAnsi="Times New Roman"/>
          <w:sz w:val="24"/>
          <w:szCs w:val="24"/>
        </w:rPr>
        <w:t>и</w:t>
      </w:r>
      <w:r w:rsidR="00FB34B2" w:rsidRPr="00872D06">
        <w:rPr>
          <w:rFonts w:ascii="Times New Roman" w:hAnsi="Times New Roman"/>
          <w:sz w:val="24"/>
          <w:szCs w:val="24"/>
        </w:rPr>
        <w:t xml:space="preserve"> </w:t>
      </w:r>
      <w:r w:rsidRPr="00872D06">
        <w:rPr>
          <w:rFonts w:ascii="Times New Roman" w:hAnsi="Times New Roman"/>
          <w:sz w:val="24"/>
          <w:szCs w:val="24"/>
        </w:rPr>
        <w:t>полицијских</w:t>
      </w:r>
      <w:r w:rsidR="00FB34B2" w:rsidRPr="00872D06">
        <w:rPr>
          <w:rFonts w:ascii="Times New Roman" w:hAnsi="Times New Roman"/>
          <w:sz w:val="24"/>
          <w:szCs w:val="24"/>
        </w:rPr>
        <w:t xml:space="preserve"> </w:t>
      </w:r>
      <w:r w:rsidRPr="00872D06">
        <w:rPr>
          <w:rFonts w:ascii="Times New Roman" w:hAnsi="Times New Roman"/>
          <w:sz w:val="24"/>
          <w:szCs w:val="24"/>
        </w:rPr>
        <w:t>службеника</w:t>
      </w:r>
      <w:r w:rsidR="00FB34B2" w:rsidRPr="00872D06">
        <w:rPr>
          <w:rFonts w:ascii="Times New Roman" w:hAnsi="Times New Roman"/>
          <w:sz w:val="24"/>
          <w:szCs w:val="24"/>
        </w:rPr>
        <w:t xml:space="preserve">, </w:t>
      </w:r>
      <w:r w:rsidRPr="00872D06">
        <w:rPr>
          <w:rFonts w:ascii="Times New Roman" w:hAnsi="Times New Roman"/>
          <w:sz w:val="24"/>
          <w:szCs w:val="24"/>
        </w:rPr>
        <w:t>јесу</w:t>
      </w:r>
      <w:r w:rsidR="00FB34B2" w:rsidRPr="00872D06">
        <w:rPr>
          <w:rFonts w:ascii="Times New Roman" w:hAnsi="Times New Roman"/>
          <w:sz w:val="24"/>
          <w:szCs w:val="24"/>
        </w:rPr>
        <w:t xml:space="preserve"> </w:t>
      </w:r>
      <w:r w:rsidRPr="00872D06">
        <w:rPr>
          <w:rFonts w:ascii="Times New Roman" w:hAnsi="Times New Roman"/>
          <w:sz w:val="24"/>
          <w:szCs w:val="24"/>
        </w:rPr>
        <w:t>одржавање</w:t>
      </w:r>
      <w:r w:rsidR="00FB34B2" w:rsidRPr="00872D06">
        <w:rPr>
          <w:rFonts w:ascii="Times New Roman" w:hAnsi="Times New Roman"/>
          <w:sz w:val="24"/>
          <w:szCs w:val="24"/>
        </w:rPr>
        <w:t xml:space="preserve"> </w:t>
      </w:r>
      <w:r w:rsidRPr="00872D06">
        <w:rPr>
          <w:rFonts w:ascii="Times New Roman" w:hAnsi="Times New Roman"/>
          <w:sz w:val="24"/>
          <w:szCs w:val="24"/>
        </w:rPr>
        <w:t>јавног</w:t>
      </w:r>
      <w:r w:rsidR="00FB34B2" w:rsidRPr="00872D06">
        <w:rPr>
          <w:rFonts w:ascii="Times New Roman" w:hAnsi="Times New Roman"/>
          <w:sz w:val="24"/>
          <w:szCs w:val="24"/>
        </w:rPr>
        <w:t xml:space="preserve"> </w:t>
      </w:r>
      <w:r w:rsidRPr="00872D06">
        <w:rPr>
          <w:rFonts w:ascii="Times New Roman" w:hAnsi="Times New Roman"/>
          <w:sz w:val="24"/>
          <w:szCs w:val="24"/>
        </w:rPr>
        <w:t>реда</w:t>
      </w:r>
      <w:r w:rsidR="00FB34B2" w:rsidRPr="00872D06">
        <w:rPr>
          <w:rFonts w:ascii="Times New Roman" w:hAnsi="Times New Roman"/>
          <w:sz w:val="24"/>
          <w:szCs w:val="24"/>
        </w:rPr>
        <w:t xml:space="preserve"> </w:t>
      </w:r>
      <w:r w:rsidRPr="00872D06">
        <w:rPr>
          <w:rFonts w:ascii="Times New Roman" w:hAnsi="Times New Roman"/>
          <w:sz w:val="24"/>
          <w:szCs w:val="24"/>
        </w:rPr>
        <w:t>и</w:t>
      </w:r>
      <w:r w:rsidR="00FB34B2" w:rsidRPr="00872D06">
        <w:rPr>
          <w:rFonts w:ascii="Times New Roman" w:hAnsi="Times New Roman"/>
          <w:sz w:val="24"/>
          <w:szCs w:val="24"/>
        </w:rPr>
        <w:t xml:space="preserve"> </w:t>
      </w:r>
      <w:r w:rsidRPr="00872D06">
        <w:rPr>
          <w:rFonts w:ascii="Times New Roman" w:hAnsi="Times New Roman"/>
          <w:sz w:val="24"/>
          <w:szCs w:val="24"/>
        </w:rPr>
        <w:t>спровођење</w:t>
      </w:r>
      <w:r w:rsidR="00FB34B2" w:rsidRPr="00872D06">
        <w:rPr>
          <w:rFonts w:ascii="Times New Roman" w:hAnsi="Times New Roman"/>
          <w:sz w:val="24"/>
          <w:szCs w:val="24"/>
        </w:rPr>
        <w:t xml:space="preserve"> </w:t>
      </w:r>
      <w:r w:rsidRPr="00872D06">
        <w:rPr>
          <w:rFonts w:ascii="Times New Roman" w:hAnsi="Times New Roman"/>
          <w:sz w:val="24"/>
          <w:szCs w:val="24"/>
        </w:rPr>
        <w:t>закона</w:t>
      </w:r>
      <w:r w:rsidR="00FB34B2" w:rsidRPr="00872D06">
        <w:rPr>
          <w:rFonts w:ascii="Times New Roman" w:hAnsi="Times New Roman"/>
          <w:sz w:val="24"/>
          <w:szCs w:val="24"/>
        </w:rPr>
        <w:t xml:space="preserve">, </w:t>
      </w:r>
      <w:r w:rsidRPr="00872D06">
        <w:rPr>
          <w:rFonts w:ascii="Times New Roman" w:hAnsi="Times New Roman"/>
          <w:sz w:val="24"/>
          <w:szCs w:val="24"/>
        </w:rPr>
        <w:t>заштита</w:t>
      </w:r>
      <w:r w:rsidR="00FB34B2" w:rsidRPr="00872D06">
        <w:rPr>
          <w:rFonts w:ascii="Times New Roman" w:hAnsi="Times New Roman"/>
          <w:sz w:val="24"/>
          <w:szCs w:val="24"/>
        </w:rPr>
        <w:t xml:space="preserve"> </w:t>
      </w:r>
      <w:r w:rsidRPr="00872D06">
        <w:rPr>
          <w:rFonts w:ascii="Times New Roman" w:hAnsi="Times New Roman"/>
          <w:sz w:val="24"/>
          <w:szCs w:val="24"/>
        </w:rPr>
        <w:t>и</w:t>
      </w:r>
      <w:r w:rsidR="00FB34B2" w:rsidRPr="00872D06">
        <w:rPr>
          <w:rFonts w:ascii="Times New Roman" w:hAnsi="Times New Roman"/>
          <w:sz w:val="24"/>
          <w:szCs w:val="24"/>
        </w:rPr>
        <w:t xml:space="preserve"> </w:t>
      </w:r>
      <w:r w:rsidRPr="00872D06">
        <w:rPr>
          <w:rFonts w:ascii="Times New Roman" w:hAnsi="Times New Roman"/>
          <w:sz w:val="24"/>
          <w:szCs w:val="24"/>
        </w:rPr>
        <w:t>поштовање</w:t>
      </w:r>
      <w:r w:rsidR="00FB34B2" w:rsidRPr="00872D06">
        <w:rPr>
          <w:rFonts w:ascii="Times New Roman" w:hAnsi="Times New Roman"/>
          <w:sz w:val="24"/>
          <w:szCs w:val="24"/>
        </w:rPr>
        <w:t xml:space="preserve"> </w:t>
      </w:r>
      <w:r w:rsidRPr="00872D06">
        <w:rPr>
          <w:rFonts w:ascii="Times New Roman" w:hAnsi="Times New Roman"/>
          <w:sz w:val="24"/>
          <w:szCs w:val="24"/>
        </w:rPr>
        <w:t>људских</w:t>
      </w:r>
      <w:r w:rsidR="00FB34B2" w:rsidRPr="00872D06">
        <w:rPr>
          <w:rFonts w:ascii="Times New Roman" w:hAnsi="Times New Roman"/>
          <w:sz w:val="24"/>
          <w:szCs w:val="24"/>
        </w:rPr>
        <w:t xml:space="preserve"> </w:t>
      </w:r>
      <w:r w:rsidRPr="00872D06">
        <w:rPr>
          <w:rFonts w:ascii="Times New Roman" w:hAnsi="Times New Roman"/>
          <w:sz w:val="24"/>
          <w:szCs w:val="24"/>
        </w:rPr>
        <w:t>права</w:t>
      </w:r>
      <w:r w:rsidR="00FB34B2" w:rsidRPr="00872D06">
        <w:rPr>
          <w:rFonts w:ascii="Times New Roman" w:hAnsi="Times New Roman"/>
          <w:sz w:val="24"/>
          <w:szCs w:val="24"/>
        </w:rPr>
        <w:t xml:space="preserve">, </w:t>
      </w:r>
      <w:r w:rsidRPr="00872D06">
        <w:rPr>
          <w:rFonts w:ascii="Times New Roman" w:hAnsi="Times New Roman"/>
          <w:sz w:val="24"/>
          <w:szCs w:val="24"/>
        </w:rPr>
        <w:t>превенција</w:t>
      </w:r>
      <w:r w:rsidR="00FB34B2" w:rsidRPr="00872D06">
        <w:rPr>
          <w:rFonts w:ascii="Times New Roman" w:hAnsi="Times New Roman"/>
          <w:sz w:val="24"/>
          <w:szCs w:val="24"/>
        </w:rPr>
        <w:t xml:space="preserve"> </w:t>
      </w:r>
      <w:r w:rsidRPr="00872D06">
        <w:rPr>
          <w:rFonts w:ascii="Times New Roman" w:hAnsi="Times New Roman"/>
          <w:sz w:val="24"/>
          <w:szCs w:val="24"/>
        </w:rPr>
        <w:t>и</w:t>
      </w:r>
      <w:r w:rsidR="00FB34B2" w:rsidRPr="00872D06">
        <w:rPr>
          <w:rFonts w:ascii="Times New Roman" w:hAnsi="Times New Roman"/>
          <w:sz w:val="24"/>
          <w:szCs w:val="24"/>
        </w:rPr>
        <w:t xml:space="preserve"> </w:t>
      </w:r>
      <w:r w:rsidRPr="00872D06">
        <w:rPr>
          <w:rFonts w:ascii="Times New Roman" w:hAnsi="Times New Roman"/>
          <w:sz w:val="24"/>
          <w:szCs w:val="24"/>
        </w:rPr>
        <w:t>откривање</w:t>
      </w:r>
      <w:r w:rsidR="00FB34B2" w:rsidRPr="00872D06">
        <w:rPr>
          <w:rFonts w:ascii="Times New Roman" w:hAnsi="Times New Roman"/>
          <w:sz w:val="24"/>
          <w:szCs w:val="24"/>
        </w:rPr>
        <w:t xml:space="preserve"> </w:t>
      </w:r>
      <w:r w:rsidRPr="00872D06">
        <w:rPr>
          <w:rFonts w:ascii="Times New Roman" w:hAnsi="Times New Roman"/>
          <w:sz w:val="24"/>
          <w:szCs w:val="24"/>
        </w:rPr>
        <w:t>кривичних</w:t>
      </w:r>
      <w:r w:rsidR="00FB34B2" w:rsidRPr="00872D06">
        <w:rPr>
          <w:rFonts w:ascii="Times New Roman" w:hAnsi="Times New Roman"/>
          <w:sz w:val="24"/>
          <w:szCs w:val="24"/>
        </w:rPr>
        <w:t xml:space="preserve"> </w:t>
      </w:r>
      <w:r w:rsidRPr="00872D06">
        <w:rPr>
          <w:rFonts w:ascii="Times New Roman" w:hAnsi="Times New Roman"/>
          <w:sz w:val="24"/>
          <w:szCs w:val="24"/>
        </w:rPr>
        <w:t>дела</w:t>
      </w:r>
      <w:r w:rsidR="00FB34B2" w:rsidRPr="00872D06">
        <w:rPr>
          <w:rFonts w:ascii="Times New Roman" w:hAnsi="Times New Roman"/>
          <w:sz w:val="24"/>
          <w:szCs w:val="24"/>
        </w:rPr>
        <w:t xml:space="preserve"> </w:t>
      </w:r>
      <w:r w:rsidRPr="00872D06">
        <w:rPr>
          <w:rFonts w:ascii="Times New Roman" w:hAnsi="Times New Roman"/>
          <w:sz w:val="24"/>
          <w:szCs w:val="24"/>
        </w:rPr>
        <w:t>и</w:t>
      </w:r>
      <w:r w:rsidR="00FB34B2" w:rsidRPr="00872D06">
        <w:rPr>
          <w:rFonts w:ascii="Times New Roman" w:hAnsi="Times New Roman"/>
          <w:sz w:val="24"/>
          <w:szCs w:val="24"/>
        </w:rPr>
        <w:t xml:space="preserve"> </w:t>
      </w:r>
      <w:r w:rsidRPr="00872D06">
        <w:rPr>
          <w:rFonts w:ascii="Times New Roman" w:hAnsi="Times New Roman"/>
          <w:sz w:val="24"/>
          <w:szCs w:val="24"/>
        </w:rPr>
        <w:t>други</w:t>
      </w:r>
      <w:r w:rsidR="00FB34B2" w:rsidRPr="00872D06">
        <w:rPr>
          <w:rFonts w:ascii="Times New Roman" w:hAnsi="Times New Roman"/>
          <w:sz w:val="24"/>
          <w:szCs w:val="24"/>
        </w:rPr>
        <w:t xml:space="preserve"> </w:t>
      </w:r>
      <w:r w:rsidRPr="00872D06">
        <w:rPr>
          <w:rFonts w:ascii="Times New Roman" w:hAnsi="Times New Roman"/>
          <w:sz w:val="24"/>
          <w:szCs w:val="24"/>
        </w:rPr>
        <w:t>видови</w:t>
      </w:r>
      <w:r w:rsidR="00FB34B2" w:rsidRPr="00872D06">
        <w:rPr>
          <w:rFonts w:ascii="Times New Roman" w:hAnsi="Times New Roman"/>
          <w:sz w:val="24"/>
          <w:szCs w:val="24"/>
        </w:rPr>
        <w:t xml:space="preserve"> </w:t>
      </w:r>
      <w:r w:rsidRPr="00872D06">
        <w:rPr>
          <w:rFonts w:ascii="Times New Roman" w:hAnsi="Times New Roman"/>
          <w:sz w:val="24"/>
          <w:szCs w:val="24"/>
        </w:rPr>
        <w:t>борбе</w:t>
      </w:r>
      <w:r w:rsidR="00FB34B2" w:rsidRPr="00872D06">
        <w:rPr>
          <w:rFonts w:ascii="Times New Roman" w:hAnsi="Times New Roman"/>
          <w:sz w:val="24"/>
          <w:szCs w:val="24"/>
        </w:rPr>
        <w:t xml:space="preserve"> </w:t>
      </w:r>
      <w:r w:rsidRPr="00872D06">
        <w:rPr>
          <w:rFonts w:ascii="Times New Roman" w:hAnsi="Times New Roman"/>
          <w:sz w:val="24"/>
          <w:szCs w:val="24"/>
        </w:rPr>
        <w:t>против</w:t>
      </w:r>
      <w:r w:rsidR="00FB34B2" w:rsidRPr="00872D06">
        <w:rPr>
          <w:rFonts w:ascii="Times New Roman" w:hAnsi="Times New Roman"/>
          <w:sz w:val="24"/>
          <w:szCs w:val="24"/>
        </w:rPr>
        <w:t xml:space="preserve"> </w:t>
      </w:r>
      <w:r w:rsidRPr="00872D06">
        <w:rPr>
          <w:rFonts w:ascii="Times New Roman" w:hAnsi="Times New Roman"/>
          <w:sz w:val="24"/>
          <w:szCs w:val="24"/>
        </w:rPr>
        <w:t>криминала</w:t>
      </w:r>
      <w:r w:rsidR="00FB34B2" w:rsidRPr="00872D06">
        <w:rPr>
          <w:rFonts w:ascii="Times New Roman" w:hAnsi="Times New Roman"/>
          <w:sz w:val="24"/>
          <w:szCs w:val="24"/>
        </w:rPr>
        <w:t xml:space="preserve">, </w:t>
      </w:r>
      <w:r w:rsidRPr="00872D06">
        <w:rPr>
          <w:rFonts w:ascii="Times New Roman" w:hAnsi="Times New Roman"/>
          <w:sz w:val="24"/>
          <w:szCs w:val="24"/>
        </w:rPr>
        <w:t>пружање</w:t>
      </w:r>
      <w:r w:rsidR="00FB34B2" w:rsidRPr="00872D06">
        <w:rPr>
          <w:rFonts w:ascii="Times New Roman" w:hAnsi="Times New Roman"/>
          <w:sz w:val="24"/>
          <w:szCs w:val="24"/>
        </w:rPr>
        <w:t xml:space="preserve"> </w:t>
      </w:r>
      <w:r w:rsidRPr="00872D06">
        <w:rPr>
          <w:rFonts w:ascii="Times New Roman" w:hAnsi="Times New Roman"/>
          <w:sz w:val="24"/>
          <w:szCs w:val="24"/>
        </w:rPr>
        <w:t>помоћи</w:t>
      </w:r>
      <w:r w:rsidR="00FB34B2" w:rsidRPr="00872D06">
        <w:rPr>
          <w:rFonts w:ascii="Times New Roman" w:hAnsi="Times New Roman"/>
          <w:sz w:val="24"/>
          <w:szCs w:val="24"/>
        </w:rPr>
        <w:t xml:space="preserve"> </w:t>
      </w:r>
      <w:r w:rsidRPr="00872D06">
        <w:rPr>
          <w:rFonts w:ascii="Times New Roman" w:hAnsi="Times New Roman"/>
          <w:sz w:val="24"/>
          <w:szCs w:val="24"/>
        </w:rPr>
        <w:t>и</w:t>
      </w:r>
      <w:r w:rsidR="00FB34B2" w:rsidRPr="00872D06">
        <w:rPr>
          <w:rFonts w:ascii="Times New Roman" w:hAnsi="Times New Roman"/>
          <w:sz w:val="24"/>
          <w:szCs w:val="24"/>
        </w:rPr>
        <w:t xml:space="preserve"> </w:t>
      </w:r>
      <w:r w:rsidRPr="00872D06">
        <w:rPr>
          <w:rFonts w:ascii="Times New Roman" w:hAnsi="Times New Roman"/>
          <w:sz w:val="24"/>
          <w:szCs w:val="24"/>
        </w:rPr>
        <w:t>служење</w:t>
      </w:r>
      <w:r w:rsidR="00FB34B2" w:rsidRPr="00872D06">
        <w:rPr>
          <w:rFonts w:ascii="Times New Roman" w:hAnsi="Times New Roman"/>
          <w:sz w:val="24"/>
          <w:szCs w:val="24"/>
        </w:rPr>
        <w:t xml:space="preserve"> </w:t>
      </w:r>
      <w:r w:rsidRPr="00872D06">
        <w:rPr>
          <w:rFonts w:ascii="Times New Roman" w:hAnsi="Times New Roman"/>
          <w:sz w:val="24"/>
          <w:szCs w:val="24"/>
        </w:rPr>
        <w:t>људима</w:t>
      </w:r>
      <w:r w:rsidR="00FB34B2" w:rsidRPr="00872D06">
        <w:rPr>
          <w:rFonts w:ascii="Times New Roman" w:hAnsi="Times New Roman"/>
          <w:sz w:val="24"/>
          <w:szCs w:val="24"/>
        </w:rPr>
        <w:t xml:space="preserve"> </w:t>
      </w:r>
      <w:r w:rsidRPr="00872D06">
        <w:rPr>
          <w:rFonts w:ascii="Times New Roman" w:hAnsi="Times New Roman"/>
          <w:sz w:val="24"/>
          <w:szCs w:val="24"/>
        </w:rPr>
        <w:t>у</w:t>
      </w:r>
      <w:r w:rsidR="00FB34B2" w:rsidRPr="00872D06">
        <w:rPr>
          <w:rFonts w:ascii="Times New Roman" w:hAnsi="Times New Roman"/>
          <w:sz w:val="24"/>
          <w:szCs w:val="24"/>
        </w:rPr>
        <w:t xml:space="preserve"> </w:t>
      </w:r>
      <w:r w:rsidRPr="00872D06">
        <w:rPr>
          <w:rFonts w:ascii="Times New Roman" w:hAnsi="Times New Roman"/>
          <w:sz w:val="24"/>
          <w:szCs w:val="24"/>
        </w:rPr>
        <w:t>складу</w:t>
      </w:r>
      <w:r w:rsidR="00FB34B2" w:rsidRPr="00872D06">
        <w:rPr>
          <w:rFonts w:ascii="Times New Roman" w:hAnsi="Times New Roman"/>
          <w:sz w:val="24"/>
          <w:szCs w:val="24"/>
        </w:rPr>
        <w:t xml:space="preserve"> </w:t>
      </w:r>
      <w:r w:rsidRPr="00872D06">
        <w:rPr>
          <w:rFonts w:ascii="Times New Roman" w:hAnsi="Times New Roman"/>
          <w:sz w:val="24"/>
          <w:szCs w:val="24"/>
        </w:rPr>
        <w:t>са</w:t>
      </w:r>
      <w:r w:rsidR="00FB34B2" w:rsidRPr="00872D06">
        <w:rPr>
          <w:rFonts w:ascii="Times New Roman" w:hAnsi="Times New Roman"/>
          <w:sz w:val="24"/>
          <w:szCs w:val="24"/>
        </w:rPr>
        <w:t xml:space="preserve"> </w:t>
      </w:r>
      <w:r w:rsidRPr="00872D06">
        <w:rPr>
          <w:rFonts w:ascii="Times New Roman" w:hAnsi="Times New Roman"/>
          <w:sz w:val="24"/>
          <w:szCs w:val="24"/>
        </w:rPr>
        <w:t>Уставом</w:t>
      </w:r>
      <w:r w:rsidR="00FB34B2" w:rsidRPr="00872D06">
        <w:rPr>
          <w:rFonts w:ascii="Times New Roman" w:hAnsi="Times New Roman"/>
          <w:sz w:val="24"/>
          <w:szCs w:val="24"/>
        </w:rPr>
        <w:t xml:space="preserve"> </w:t>
      </w:r>
      <w:r w:rsidRPr="00872D06">
        <w:rPr>
          <w:rFonts w:ascii="Times New Roman" w:hAnsi="Times New Roman"/>
          <w:sz w:val="24"/>
          <w:szCs w:val="24"/>
        </w:rPr>
        <w:t>и</w:t>
      </w:r>
      <w:r w:rsidR="00FB34B2" w:rsidRPr="00872D06">
        <w:rPr>
          <w:rFonts w:ascii="Times New Roman" w:hAnsi="Times New Roman"/>
          <w:sz w:val="24"/>
          <w:szCs w:val="24"/>
        </w:rPr>
        <w:t xml:space="preserve"> </w:t>
      </w:r>
      <w:r w:rsidRPr="00872D06">
        <w:rPr>
          <w:rFonts w:ascii="Times New Roman" w:hAnsi="Times New Roman"/>
          <w:sz w:val="24"/>
          <w:szCs w:val="24"/>
        </w:rPr>
        <w:t>законом</w:t>
      </w:r>
      <w:r w:rsidR="00FB34B2" w:rsidRPr="00872D06">
        <w:rPr>
          <w:rFonts w:ascii="Times New Roman" w:hAnsi="Times New Roman"/>
          <w:sz w:val="24"/>
          <w:szCs w:val="24"/>
        </w:rPr>
        <w:t>.</w:t>
      </w:r>
    </w:p>
    <w:p w:rsidR="006F1DCB" w:rsidRPr="009E2574" w:rsidRDefault="00D66BDD" w:rsidP="009E2574">
      <w:pPr>
        <w:ind w:firstLine="708"/>
        <w:jc w:val="both"/>
        <w:rPr>
          <w:rFonts w:ascii="Times New Roman" w:hAnsi="Times New Roman"/>
          <w:sz w:val="24"/>
          <w:szCs w:val="24"/>
          <w:lang w:val="sr-Cyrl-CS"/>
        </w:rPr>
      </w:pPr>
      <w:r w:rsidRPr="00872D06">
        <w:rPr>
          <w:rFonts w:ascii="Times New Roman" w:hAnsi="Times New Roman"/>
          <w:sz w:val="24"/>
          <w:szCs w:val="24"/>
          <w:lang w:val="sr-Cyrl-CS"/>
        </w:rPr>
        <w:t xml:space="preserve">Такође, треба поменути Биро за међународну сарадњу и европске интеграције. То је </w:t>
      </w:r>
      <w:r w:rsidRPr="00872D06">
        <w:rPr>
          <w:rFonts w:ascii="Times New Roman" w:hAnsi="Times New Roman"/>
          <w:sz w:val="24"/>
          <w:szCs w:val="24"/>
        </w:rPr>
        <w:t xml:space="preserve">организациона јединица у Кабинету министра унутрашњих послова, која обавља </w:t>
      </w:r>
      <w:r w:rsidRPr="00872D06">
        <w:rPr>
          <w:rFonts w:ascii="Times New Roman" w:hAnsi="Times New Roman"/>
          <w:sz w:val="24"/>
          <w:szCs w:val="24"/>
        </w:rPr>
        <w:lastRenderedPageBreak/>
        <w:t>послове везане за координацију међународне сарадње Министарства. Рад Бироа усмерен је на повезивање релевантних међународних субјеката са организационим јединицама МУП</w:t>
      </w:r>
      <w:r w:rsidR="006F1DCB" w:rsidRPr="00872D06">
        <w:rPr>
          <w:rFonts w:ascii="Times New Roman" w:hAnsi="Times New Roman"/>
          <w:sz w:val="24"/>
          <w:szCs w:val="24"/>
          <w:lang w:val="sr-Cyrl-CS"/>
        </w:rPr>
        <w:t>-а</w:t>
      </w:r>
      <w:r w:rsidRPr="00872D06">
        <w:rPr>
          <w:rFonts w:ascii="Times New Roman" w:hAnsi="Times New Roman"/>
          <w:sz w:val="24"/>
          <w:szCs w:val="24"/>
        </w:rPr>
        <w:t xml:space="preserve"> Р</w:t>
      </w:r>
      <w:r w:rsidR="006F1DCB" w:rsidRPr="00872D06">
        <w:rPr>
          <w:rFonts w:ascii="Times New Roman" w:hAnsi="Times New Roman"/>
          <w:sz w:val="24"/>
          <w:szCs w:val="24"/>
          <w:lang w:val="sr-Cyrl-CS"/>
        </w:rPr>
        <w:t>епублике</w:t>
      </w:r>
      <w:r w:rsidRPr="00872D06">
        <w:rPr>
          <w:rFonts w:ascii="Times New Roman" w:hAnsi="Times New Roman"/>
          <w:sz w:val="24"/>
          <w:szCs w:val="24"/>
        </w:rPr>
        <w:t xml:space="preserve"> Србије, у циљу синхронизоване акције у правцу придруживања Европској унији, развоја и унапређења међународне сарадње. Основни циљ рада Бироа је организовање и непосредно спровођење међународне сарадње Министарства унутрашњих послова и обезбеђивање услова за несметано одвијање међународне полицијске сарадње на оперативном нивоу. Ове активности подразумевају успостављање и одржавање контаката на билатералном нивоу и са међународним организацијама, као и остваривање нових контаката и учвршћивање постојеће међународне сарадње. Такође, Биро својим деловањем обезбеђује активно учешће представника МУП</w:t>
      </w:r>
      <w:r w:rsidR="006F1DCB" w:rsidRPr="00872D06">
        <w:rPr>
          <w:rFonts w:ascii="Times New Roman" w:hAnsi="Times New Roman"/>
          <w:sz w:val="24"/>
          <w:szCs w:val="24"/>
          <w:lang w:val="sr-Cyrl-CS"/>
        </w:rPr>
        <w:t>-а</w:t>
      </w:r>
      <w:r w:rsidRPr="00872D06">
        <w:rPr>
          <w:rFonts w:ascii="Times New Roman" w:hAnsi="Times New Roman"/>
          <w:sz w:val="24"/>
          <w:szCs w:val="24"/>
        </w:rPr>
        <w:t xml:space="preserve"> Р</w:t>
      </w:r>
      <w:r w:rsidR="006F1DCB" w:rsidRPr="00872D06">
        <w:rPr>
          <w:rFonts w:ascii="Times New Roman" w:hAnsi="Times New Roman"/>
          <w:sz w:val="24"/>
          <w:szCs w:val="24"/>
          <w:lang w:val="sr-Cyrl-CS"/>
        </w:rPr>
        <w:t>епублике</w:t>
      </w:r>
      <w:r w:rsidRPr="00872D06">
        <w:rPr>
          <w:rFonts w:ascii="Times New Roman" w:hAnsi="Times New Roman"/>
          <w:sz w:val="24"/>
          <w:szCs w:val="24"/>
        </w:rPr>
        <w:t xml:space="preserve"> Србије на различитим међународним скуповима и семинарима, ради спровођења приоритета спољне политике наше земље у области унутрашњих послова.</w:t>
      </w:r>
    </w:p>
    <w:p w:rsidR="00D66BDD" w:rsidRPr="00810FFC" w:rsidRDefault="00D66BDD" w:rsidP="006F1DCB">
      <w:pPr>
        <w:ind w:firstLine="708"/>
        <w:jc w:val="both"/>
        <w:rPr>
          <w:rFonts w:ascii="Times New Roman" w:hAnsi="Times New Roman"/>
          <w:sz w:val="24"/>
          <w:szCs w:val="24"/>
          <w:lang w:val="sr-Cyrl-CS"/>
        </w:rPr>
      </w:pPr>
      <w:r w:rsidRPr="00810FFC">
        <w:rPr>
          <w:rFonts w:ascii="Times New Roman" w:hAnsi="Times New Roman"/>
          <w:bCs/>
          <w:sz w:val="24"/>
          <w:szCs w:val="24"/>
        </w:rPr>
        <w:t xml:space="preserve">Биро за притужбе и </w:t>
      </w:r>
      <w:r w:rsidRPr="00587721">
        <w:rPr>
          <w:rFonts w:ascii="Times New Roman" w:hAnsi="Times New Roman"/>
          <w:bCs/>
          <w:sz w:val="24"/>
          <w:szCs w:val="24"/>
        </w:rPr>
        <w:t>представке</w:t>
      </w:r>
      <w:r w:rsidR="00587721" w:rsidRPr="00587721">
        <w:rPr>
          <w:rFonts w:ascii="Times New Roman" w:hAnsi="Times New Roman"/>
          <w:b/>
          <w:bCs/>
          <w:sz w:val="24"/>
          <w:szCs w:val="24"/>
          <w:lang w:val="sr-Cyrl-CS"/>
        </w:rPr>
        <w:t xml:space="preserve"> </w:t>
      </w:r>
      <w:r w:rsidRPr="00587721">
        <w:rPr>
          <w:rFonts w:ascii="Times New Roman" w:hAnsi="Times New Roman"/>
          <w:sz w:val="24"/>
          <w:szCs w:val="24"/>
        </w:rPr>
        <w:t>ради</w:t>
      </w:r>
      <w:r w:rsidRPr="00810FFC">
        <w:rPr>
          <w:rFonts w:ascii="Times New Roman" w:hAnsi="Times New Roman"/>
          <w:sz w:val="24"/>
          <w:szCs w:val="24"/>
        </w:rPr>
        <w:t xml:space="preserve"> на примени прописа којима је уређен поступак решавања притужби које против полицијских службеника подносе грађани и правна лица, онда када сматрају да су им незаконитом или неправилном радњом полицијског службеника повређена права или слободе</w:t>
      </w:r>
      <w:r w:rsidR="006F1DCB" w:rsidRPr="00810FFC">
        <w:rPr>
          <w:rFonts w:ascii="Times New Roman" w:hAnsi="Times New Roman"/>
          <w:sz w:val="24"/>
          <w:szCs w:val="24"/>
          <w:lang w:val="sr-Cyrl-CS"/>
        </w:rPr>
        <w:t>.</w:t>
      </w:r>
      <w:r w:rsidR="006F1DCB" w:rsidRPr="00810FFC">
        <w:rPr>
          <w:rStyle w:val="FootnoteReference"/>
          <w:rFonts w:ascii="Times New Roman" w:hAnsi="Times New Roman"/>
          <w:sz w:val="24"/>
          <w:szCs w:val="24"/>
          <w:lang w:val="sr-Cyrl-CS"/>
        </w:rPr>
        <w:footnoteReference w:id="887"/>
      </w:r>
      <w:r w:rsidRPr="00810FFC">
        <w:rPr>
          <w:rFonts w:ascii="Times New Roman" w:hAnsi="Times New Roman"/>
          <w:sz w:val="24"/>
          <w:szCs w:val="24"/>
        </w:rPr>
        <w:t xml:space="preserve"> </w:t>
      </w:r>
    </w:p>
    <w:p w:rsidR="00D66BDD" w:rsidRPr="00810FFC" w:rsidRDefault="00D66BDD" w:rsidP="006F1DCB">
      <w:pPr>
        <w:ind w:firstLine="708"/>
        <w:jc w:val="both"/>
        <w:rPr>
          <w:rFonts w:ascii="Times New Roman" w:hAnsi="Times New Roman"/>
          <w:sz w:val="24"/>
          <w:szCs w:val="24"/>
          <w:lang w:val="sr-Cyrl-CS"/>
        </w:rPr>
      </w:pPr>
      <w:r w:rsidRPr="00810FFC">
        <w:rPr>
          <w:rFonts w:ascii="Times New Roman" w:hAnsi="Times New Roman"/>
          <w:bCs/>
          <w:sz w:val="24"/>
          <w:szCs w:val="24"/>
        </w:rPr>
        <w:t>Дирекција полиције</w:t>
      </w:r>
      <w:r w:rsidR="006F1DCB" w:rsidRPr="00810FFC">
        <w:rPr>
          <w:rFonts w:ascii="Times New Roman" w:hAnsi="Times New Roman"/>
          <w:bCs/>
          <w:sz w:val="24"/>
          <w:szCs w:val="24"/>
          <w:lang w:val="sr-Cyrl-CS"/>
        </w:rPr>
        <w:t xml:space="preserve"> </w:t>
      </w:r>
      <w:r w:rsidRPr="00810FFC">
        <w:rPr>
          <w:rFonts w:ascii="Times New Roman" w:hAnsi="Times New Roman"/>
          <w:sz w:val="24"/>
          <w:szCs w:val="24"/>
        </w:rPr>
        <w:t>обавља полицијске послове који се односе на заштиту живота, личне и имовинске сигурности грађ</w:t>
      </w:r>
      <w:r w:rsidR="006F1DCB" w:rsidRPr="00810FFC">
        <w:rPr>
          <w:rFonts w:ascii="Times New Roman" w:hAnsi="Times New Roman"/>
          <w:sz w:val="24"/>
          <w:szCs w:val="24"/>
        </w:rPr>
        <w:t>ана</w:t>
      </w:r>
      <w:r w:rsidR="006F1DCB" w:rsidRPr="00810FFC">
        <w:rPr>
          <w:rFonts w:ascii="Times New Roman" w:hAnsi="Times New Roman"/>
          <w:sz w:val="24"/>
          <w:szCs w:val="24"/>
          <w:lang w:val="sr-Cyrl-CS"/>
        </w:rPr>
        <w:t>,</w:t>
      </w:r>
      <w:r w:rsidRPr="00810FFC">
        <w:rPr>
          <w:rFonts w:ascii="Times New Roman" w:hAnsi="Times New Roman"/>
          <w:sz w:val="24"/>
          <w:szCs w:val="24"/>
        </w:rPr>
        <w:t xml:space="preserve"> спречавање и откривање кривичних дела и проналажење и хватање учинилаца кривичних дела и њихо</w:t>
      </w:r>
      <w:r w:rsidR="006F1DCB" w:rsidRPr="00810FFC">
        <w:rPr>
          <w:rFonts w:ascii="Times New Roman" w:hAnsi="Times New Roman"/>
          <w:sz w:val="24"/>
          <w:szCs w:val="24"/>
        </w:rPr>
        <w:t>во привођење надлежним органима</w:t>
      </w:r>
      <w:r w:rsidR="006F1DCB" w:rsidRPr="00810FFC">
        <w:rPr>
          <w:rFonts w:ascii="Times New Roman" w:hAnsi="Times New Roman"/>
          <w:sz w:val="24"/>
          <w:szCs w:val="24"/>
          <w:lang w:val="sr-Cyrl-CS"/>
        </w:rPr>
        <w:t>,</w:t>
      </w:r>
      <w:r w:rsidRPr="00810FFC">
        <w:rPr>
          <w:rFonts w:ascii="Times New Roman" w:hAnsi="Times New Roman"/>
          <w:sz w:val="24"/>
          <w:szCs w:val="24"/>
        </w:rPr>
        <w:t xml:space="preserve"> откривање и кривично гоњење учинилаца кривичних дела за које се у складу са законом воде посебни поступци (организовани криминал, ратни злочини, </w:t>
      </w:r>
      <w:r w:rsidR="006F1DCB" w:rsidRPr="00810FFC">
        <w:rPr>
          <w:rFonts w:ascii="Times New Roman" w:hAnsi="Times New Roman"/>
          <w:sz w:val="24"/>
          <w:szCs w:val="24"/>
        </w:rPr>
        <w:t>високотехнолошки криминал и др)</w:t>
      </w:r>
      <w:r w:rsidR="006F1DCB" w:rsidRPr="00810FFC">
        <w:rPr>
          <w:rFonts w:ascii="Times New Roman" w:hAnsi="Times New Roman"/>
          <w:sz w:val="24"/>
          <w:szCs w:val="24"/>
          <w:lang w:val="sr-Cyrl-CS"/>
        </w:rPr>
        <w:t>,</w:t>
      </w:r>
      <w:r w:rsidRPr="00810FFC">
        <w:rPr>
          <w:rFonts w:ascii="Times New Roman" w:hAnsi="Times New Roman"/>
          <w:sz w:val="24"/>
          <w:szCs w:val="24"/>
        </w:rPr>
        <w:t xml:space="preserve"> заштит</w:t>
      </w:r>
      <w:r w:rsidR="006F1DCB" w:rsidRPr="00810FFC">
        <w:rPr>
          <w:rFonts w:ascii="Times New Roman" w:hAnsi="Times New Roman"/>
          <w:sz w:val="24"/>
          <w:szCs w:val="24"/>
        </w:rPr>
        <w:t>у учесника у кривичном поступку</w:t>
      </w:r>
      <w:r w:rsidR="006F1DCB" w:rsidRPr="00810FFC">
        <w:rPr>
          <w:rFonts w:ascii="Times New Roman" w:hAnsi="Times New Roman"/>
          <w:sz w:val="24"/>
          <w:szCs w:val="24"/>
          <w:lang w:val="sr-Cyrl-CS"/>
        </w:rPr>
        <w:t>,</w:t>
      </w:r>
      <w:r w:rsidRPr="00810FFC">
        <w:rPr>
          <w:rFonts w:ascii="Times New Roman" w:hAnsi="Times New Roman"/>
          <w:sz w:val="24"/>
          <w:szCs w:val="24"/>
        </w:rPr>
        <w:t xml:space="preserve"> међународну помоћ и друге облике међународне сарад</w:t>
      </w:r>
      <w:r w:rsidR="006F1DCB" w:rsidRPr="00810FFC">
        <w:rPr>
          <w:rFonts w:ascii="Times New Roman" w:hAnsi="Times New Roman"/>
          <w:sz w:val="24"/>
          <w:szCs w:val="24"/>
        </w:rPr>
        <w:t>ње у области унутрашњих послова</w:t>
      </w:r>
      <w:r w:rsidR="006F1DCB" w:rsidRPr="00810FFC">
        <w:rPr>
          <w:rFonts w:ascii="Times New Roman" w:hAnsi="Times New Roman"/>
          <w:sz w:val="24"/>
          <w:szCs w:val="24"/>
          <w:lang w:val="sr-Cyrl-CS"/>
        </w:rPr>
        <w:t>,</w:t>
      </w:r>
      <w:r w:rsidR="006F1DCB" w:rsidRPr="00810FFC">
        <w:rPr>
          <w:rFonts w:ascii="Times New Roman" w:hAnsi="Times New Roman"/>
          <w:sz w:val="24"/>
          <w:szCs w:val="24"/>
        </w:rPr>
        <w:t xml:space="preserve"> одржавање јавног реда и мира</w:t>
      </w:r>
      <w:r w:rsidR="006F1DCB" w:rsidRPr="00810FFC">
        <w:rPr>
          <w:rFonts w:ascii="Times New Roman" w:hAnsi="Times New Roman"/>
          <w:sz w:val="24"/>
          <w:szCs w:val="24"/>
          <w:lang w:val="sr-Cyrl-CS"/>
        </w:rPr>
        <w:t>,</w:t>
      </w:r>
      <w:r w:rsidRPr="00810FFC">
        <w:rPr>
          <w:rFonts w:ascii="Times New Roman" w:hAnsi="Times New Roman"/>
          <w:sz w:val="24"/>
          <w:szCs w:val="24"/>
        </w:rPr>
        <w:t xml:space="preserve"> обезбеђивање зб</w:t>
      </w:r>
      <w:r w:rsidR="006F1DCB" w:rsidRPr="00810FFC">
        <w:rPr>
          <w:rFonts w:ascii="Times New Roman" w:hAnsi="Times New Roman"/>
          <w:sz w:val="24"/>
          <w:szCs w:val="24"/>
        </w:rPr>
        <w:t>орова и других окупљања грађана</w:t>
      </w:r>
      <w:r w:rsidR="006F1DCB" w:rsidRPr="00810FFC">
        <w:rPr>
          <w:rFonts w:ascii="Times New Roman" w:hAnsi="Times New Roman"/>
          <w:sz w:val="24"/>
          <w:szCs w:val="24"/>
          <w:lang w:val="sr-Cyrl-CS"/>
        </w:rPr>
        <w:t xml:space="preserve"> </w:t>
      </w:r>
      <w:r w:rsidRPr="00810FFC">
        <w:rPr>
          <w:rFonts w:ascii="Times New Roman" w:hAnsi="Times New Roman"/>
          <w:sz w:val="24"/>
          <w:szCs w:val="24"/>
          <w:lang w:val="sr-Cyrl-CS"/>
        </w:rPr>
        <w:t>итд.</w:t>
      </w:r>
      <w:r w:rsidR="006F1DCB" w:rsidRPr="00810FFC">
        <w:rPr>
          <w:rFonts w:ascii="Times New Roman" w:hAnsi="Times New Roman"/>
          <w:sz w:val="24"/>
          <w:szCs w:val="24"/>
          <w:lang w:val="sr-Cyrl-CS"/>
        </w:rPr>
        <w:t xml:space="preserve"> </w:t>
      </w:r>
    </w:p>
    <w:p w:rsidR="00D66BDD" w:rsidRPr="00810FFC" w:rsidRDefault="00D66BDD" w:rsidP="009E2574">
      <w:pPr>
        <w:ind w:firstLine="708"/>
        <w:jc w:val="both"/>
        <w:rPr>
          <w:rFonts w:ascii="Times New Roman" w:hAnsi="Times New Roman"/>
          <w:sz w:val="24"/>
          <w:szCs w:val="24"/>
          <w:lang w:val="sr-Cyrl-CS"/>
        </w:rPr>
      </w:pPr>
      <w:r w:rsidRPr="00810FFC">
        <w:rPr>
          <w:rFonts w:ascii="Times New Roman" w:hAnsi="Times New Roman"/>
          <w:sz w:val="24"/>
          <w:szCs w:val="24"/>
        </w:rPr>
        <w:t xml:space="preserve">У </w:t>
      </w:r>
      <w:r w:rsidR="003377FD">
        <w:rPr>
          <w:rFonts w:ascii="Times New Roman" w:hAnsi="Times New Roman"/>
          <w:sz w:val="24"/>
          <w:szCs w:val="24"/>
        </w:rPr>
        <w:t>Дирекциј</w:t>
      </w:r>
      <w:r w:rsidR="003377FD">
        <w:rPr>
          <w:rFonts w:ascii="Times New Roman" w:hAnsi="Times New Roman"/>
          <w:sz w:val="24"/>
          <w:szCs w:val="24"/>
          <w:lang w:val="sr-Cyrl-CS"/>
        </w:rPr>
        <w:t xml:space="preserve">и </w:t>
      </w:r>
      <w:r w:rsidRPr="00810FFC">
        <w:rPr>
          <w:rFonts w:ascii="Times New Roman" w:hAnsi="Times New Roman"/>
          <w:sz w:val="24"/>
          <w:szCs w:val="24"/>
        </w:rPr>
        <w:t xml:space="preserve">полиције </w:t>
      </w:r>
      <w:r w:rsidR="003377FD">
        <w:rPr>
          <w:rFonts w:ascii="Times New Roman" w:hAnsi="Times New Roman"/>
          <w:sz w:val="24"/>
          <w:szCs w:val="24"/>
          <w:lang w:val="sr-Cyrl-CS"/>
        </w:rPr>
        <w:t>утврђују</w:t>
      </w:r>
      <w:r w:rsidRPr="00810FFC">
        <w:rPr>
          <w:rFonts w:ascii="Times New Roman" w:hAnsi="Times New Roman"/>
          <w:sz w:val="24"/>
          <w:szCs w:val="24"/>
        </w:rPr>
        <w:t xml:space="preserve"> с</w:t>
      </w:r>
      <w:r w:rsidR="006F1DCB" w:rsidRPr="00810FFC">
        <w:rPr>
          <w:rFonts w:ascii="Times New Roman" w:hAnsi="Times New Roman"/>
          <w:sz w:val="24"/>
          <w:szCs w:val="24"/>
        </w:rPr>
        <w:t>е организационе јединице</w:t>
      </w:r>
      <w:r w:rsidR="009E2574">
        <w:rPr>
          <w:rFonts w:ascii="Times New Roman" w:hAnsi="Times New Roman"/>
          <w:sz w:val="24"/>
          <w:szCs w:val="24"/>
          <w:lang w:val="sr-Cyrl-CS"/>
        </w:rPr>
        <w:t>.</w:t>
      </w:r>
      <w:r w:rsidR="003377FD">
        <w:rPr>
          <w:rStyle w:val="FootnoteReference"/>
          <w:rFonts w:ascii="Times New Roman" w:hAnsi="Times New Roman"/>
          <w:sz w:val="24"/>
          <w:szCs w:val="24"/>
          <w:lang w:val="sr-Cyrl-CS"/>
        </w:rPr>
        <w:footnoteReference w:id="888"/>
      </w:r>
      <w:r w:rsidR="009E2574">
        <w:rPr>
          <w:rFonts w:ascii="Times New Roman" w:hAnsi="Times New Roman"/>
          <w:sz w:val="24"/>
          <w:szCs w:val="24"/>
          <w:lang w:val="sr-Cyrl-CS"/>
        </w:rPr>
        <w:t xml:space="preserve"> Једна од њих је</w:t>
      </w:r>
      <w:r w:rsidR="009E2574">
        <w:rPr>
          <w:rFonts w:ascii="Times New Roman" w:hAnsi="Times New Roman"/>
          <w:sz w:val="24"/>
          <w:szCs w:val="24"/>
        </w:rPr>
        <w:t xml:space="preserve"> </w:t>
      </w:r>
      <w:r w:rsidR="006F1DCB" w:rsidRPr="00810FFC">
        <w:rPr>
          <w:rFonts w:ascii="Times New Roman" w:hAnsi="Times New Roman"/>
          <w:sz w:val="24"/>
          <w:szCs w:val="24"/>
        </w:rPr>
        <w:t>Управа криминалистичке полиције</w:t>
      </w:r>
      <w:r w:rsidR="009E2574">
        <w:rPr>
          <w:rFonts w:ascii="Times New Roman" w:hAnsi="Times New Roman"/>
          <w:sz w:val="24"/>
          <w:szCs w:val="24"/>
          <w:lang w:val="sr-Cyrl-CS"/>
        </w:rPr>
        <w:t xml:space="preserve">, која има </w:t>
      </w:r>
      <w:r w:rsidR="006F1DCB" w:rsidRPr="00810FFC">
        <w:rPr>
          <w:rFonts w:ascii="Times New Roman" w:hAnsi="Times New Roman"/>
          <w:sz w:val="24"/>
          <w:szCs w:val="24"/>
          <w:lang w:val="sr-Cyrl-CS"/>
        </w:rPr>
        <w:t xml:space="preserve">у свом саставу </w:t>
      </w:r>
      <w:r w:rsidRPr="00810FFC">
        <w:rPr>
          <w:rFonts w:ascii="Times New Roman" w:hAnsi="Times New Roman"/>
          <w:sz w:val="24"/>
          <w:szCs w:val="24"/>
        </w:rPr>
        <w:t>Службу за борбу</w:t>
      </w:r>
      <w:r w:rsidR="006F1DCB" w:rsidRPr="00810FFC">
        <w:rPr>
          <w:rFonts w:ascii="Times New Roman" w:hAnsi="Times New Roman"/>
          <w:sz w:val="24"/>
          <w:szCs w:val="24"/>
        </w:rPr>
        <w:t xml:space="preserve"> против организованог криминала</w:t>
      </w:r>
      <w:r w:rsidR="006F1DCB" w:rsidRPr="00810FFC">
        <w:rPr>
          <w:rFonts w:ascii="Times New Roman" w:hAnsi="Times New Roman"/>
          <w:sz w:val="24"/>
          <w:szCs w:val="24"/>
          <w:lang w:val="sr-Cyrl-CS"/>
        </w:rPr>
        <w:t>.</w:t>
      </w:r>
      <w:r w:rsidRPr="00810FFC">
        <w:rPr>
          <w:rFonts w:ascii="Times New Roman" w:hAnsi="Times New Roman"/>
          <w:sz w:val="24"/>
          <w:szCs w:val="24"/>
        </w:rPr>
        <w:t xml:space="preserve"> </w:t>
      </w:r>
      <w:r w:rsidRPr="00810FFC">
        <w:rPr>
          <w:rFonts w:ascii="Times New Roman" w:hAnsi="Times New Roman"/>
          <w:bCs/>
          <w:sz w:val="24"/>
          <w:szCs w:val="24"/>
        </w:rPr>
        <w:t xml:space="preserve">Служба за борбу против организованог криминала </w:t>
      </w:r>
      <w:r w:rsidRPr="00810FFC">
        <w:rPr>
          <w:rFonts w:ascii="Times New Roman" w:hAnsi="Times New Roman"/>
          <w:sz w:val="24"/>
          <w:szCs w:val="24"/>
        </w:rPr>
        <w:t>у свом саставу има: Одељење за сузбијање кријумчарења наркотика, Одељење за сузбијање организованог финансијског криминала, Одељење за борбу против високотехнолошког криминала, Одељење за сузбијање организованог општег криминала, Одељење за оперативне телекомуникације, стално дежурство и обезбеђење и Јединицу за финансијске истраге</w:t>
      </w:r>
      <w:r w:rsidR="006F1DCB" w:rsidRPr="00810FFC">
        <w:rPr>
          <w:rFonts w:ascii="Times New Roman" w:hAnsi="Times New Roman"/>
          <w:sz w:val="24"/>
          <w:szCs w:val="24"/>
          <w:lang w:val="sr-Cyrl-CS"/>
        </w:rPr>
        <w:t>.</w:t>
      </w:r>
    </w:p>
    <w:p w:rsidR="00D66BDD" w:rsidRPr="00810FFC" w:rsidRDefault="00D66BDD" w:rsidP="006F1DCB">
      <w:pPr>
        <w:ind w:firstLine="708"/>
        <w:jc w:val="both"/>
        <w:rPr>
          <w:rFonts w:ascii="Times New Roman" w:hAnsi="Times New Roman"/>
          <w:sz w:val="24"/>
          <w:szCs w:val="24"/>
          <w:lang w:val="sr-Cyrl-CS"/>
        </w:rPr>
      </w:pPr>
      <w:r w:rsidRPr="00810FFC">
        <w:rPr>
          <w:rFonts w:ascii="Times New Roman" w:hAnsi="Times New Roman"/>
          <w:sz w:val="24"/>
          <w:szCs w:val="24"/>
        </w:rPr>
        <w:t>Одељење за сузбијање организованог финансијског криминала у свом саставу има: Одсек за сузбијање прања новца, Одсек за сузбијање фалсификовања новца и других средстава плаћања и Одсек за сузбијање корупције.</w:t>
      </w:r>
      <w:r w:rsidR="006F1DCB" w:rsidRPr="00810FFC">
        <w:rPr>
          <w:rFonts w:ascii="Times New Roman" w:hAnsi="Times New Roman"/>
          <w:sz w:val="24"/>
          <w:szCs w:val="24"/>
          <w:lang w:val="sr-Cyrl-CS"/>
        </w:rPr>
        <w:t xml:space="preserve"> </w:t>
      </w:r>
      <w:r w:rsidRPr="00810FFC">
        <w:rPr>
          <w:rFonts w:ascii="Times New Roman" w:hAnsi="Times New Roman"/>
          <w:sz w:val="24"/>
          <w:szCs w:val="24"/>
        </w:rPr>
        <w:t xml:space="preserve">Јединица за финансијске </w:t>
      </w:r>
      <w:r w:rsidRPr="00810FFC">
        <w:rPr>
          <w:rFonts w:ascii="Times New Roman" w:hAnsi="Times New Roman"/>
          <w:sz w:val="24"/>
          <w:szCs w:val="24"/>
        </w:rPr>
        <w:lastRenderedPageBreak/>
        <w:t>истраге у свом саставу има Одељење за финансијске истраге организованог криминала и Одељење за послове планирања и координације финансијских истрага.</w:t>
      </w:r>
    </w:p>
    <w:p w:rsidR="00D66BDD" w:rsidRPr="00810FFC" w:rsidRDefault="00D66BDD" w:rsidP="006F1DCB">
      <w:pPr>
        <w:ind w:firstLine="708"/>
        <w:jc w:val="both"/>
        <w:rPr>
          <w:rFonts w:ascii="Times New Roman" w:hAnsi="Times New Roman"/>
          <w:sz w:val="24"/>
          <w:szCs w:val="24"/>
          <w:lang w:val="sr-Cyrl-CS"/>
        </w:rPr>
      </w:pPr>
      <w:r w:rsidRPr="00810FFC">
        <w:rPr>
          <w:rFonts w:ascii="Times New Roman" w:hAnsi="Times New Roman"/>
          <w:bCs/>
          <w:sz w:val="24"/>
          <w:szCs w:val="24"/>
        </w:rPr>
        <w:t>Служба за сузбијање криминала</w:t>
      </w:r>
      <w:r w:rsidRPr="00810FFC">
        <w:rPr>
          <w:rFonts w:ascii="Times New Roman" w:hAnsi="Times New Roman"/>
          <w:b/>
          <w:bCs/>
          <w:sz w:val="24"/>
          <w:szCs w:val="24"/>
        </w:rPr>
        <w:t xml:space="preserve"> </w:t>
      </w:r>
      <w:r w:rsidR="003377FD" w:rsidRPr="003377FD">
        <w:rPr>
          <w:rFonts w:ascii="Times New Roman" w:hAnsi="Times New Roman"/>
          <w:bCs/>
          <w:sz w:val="24"/>
          <w:szCs w:val="24"/>
          <w:lang w:val="sr-Cyrl-CS"/>
        </w:rPr>
        <w:t>Управе криминал</w:t>
      </w:r>
      <w:r w:rsidR="003377FD">
        <w:rPr>
          <w:rFonts w:ascii="Times New Roman" w:hAnsi="Times New Roman"/>
          <w:bCs/>
          <w:sz w:val="24"/>
          <w:szCs w:val="24"/>
          <w:lang w:val="sr-Cyrl-CS"/>
        </w:rPr>
        <w:t>ис</w:t>
      </w:r>
      <w:r w:rsidR="003377FD" w:rsidRPr="003377FD">
        <w:rPr>
          <w:rFonts w:ascii="Times New Roman" w:hAnsi="Times New Roman"/>
          <w:bCs/>
          <w:sz w:val="24"/>
          <w:szCs w:val="24"/>
          <w:lang w:val="sr-Cyrl-CS"/>
        </w:rPr>
        <w:t>тичке полиције</w:t>
      </w:r>
      <w:r w:rsidR="003377FD">
        <w:rPr>
          <w:rFonts w:ascii="Times New Roman" w:hAnsi="Times New Roman"/>
          <w:b/>
          <w:bCs/>
          <w:sz w:val="24"/>
          <w:szCs w:val="24"/>
          <w:lang w:val="sr-Cyrl-CS"/>
        </w:rPr>
        <w:t xml:space="preserve"> </w:t>
      </w:r>
      <w:r w:rsidR="006F1DCB" w:rsidRPr="00810FFC">
        <w:rPr>
          <w:rFonts w:ascii="Times New Roman" w:hAnsi="Times New Roman"/>
          <w:sz w:val="24"/>
          <w:szCs w:val="24"/>
        </w:rPr>
        <w:t>у свом саставу има</w:t>
      </w:r>
      <w:r w:rsidRPr="00810FFC">
        <w:rPr>
          <w:rFonts w:ascii="Times New Roman" w:hAnsi="Times New Roman"/>
          <w:sz w:val="24"/>
          <w:szCs w:val="24"/>
        </w:rPr>
        <w:t xml:space="preserve"> Одељење за сузбијање привредног криминала и Одељење за сузбијање општег криминала</w:t>
      </w:r>
      <w:r w:rsidR="006F1DCB" w:rsidRPr="00810FFC">
        <w:rPr>
          <w:rFonts w:ascii="Times New Roman" w:hAnsi="Times New Roman"/>
          <w:sz w:val="24"/>
          <w:szCs w:val="24"/>
          <w:lang w:val="sr-Cyrl-CS"/>
        </w:rPr>
        <w:t xml:space="preserve">. </w:t>
      </w:r>
      <w:r w:rsidRPr="00810FFC">
        <w:rPr>
          <w:rFonts w:ascii="Times New Roman" w:hAnsi="Times New Roman"/>
          <w:sz w:val="24"/>
          <w:szCs w:val="24"/>
        </w:rPr>
        <w:t>Одељење за сузбијање привредног криминала у свом саставу има: Одсек за сузбијање привредног криминала у области производње, заштите животне средине и истраживања пожара и хаварија, Одсек за сузбијање привредног криминала у области ванпривреде и услуга, Одсек за сузбијање привредног криминала у области финансија, осталих новчаних токова и фалсификовања новца и Одсек за сузбијање привредног криминала у области превара у привредном пословању и интелектуалне својине.</w:t>
      </w:r>
    </w:p>
    <w:p w:rsidR="00D66BDD" w:rsidRPr="00810FFC" w:rsidRDefault="00D66BDD" w:rsidP="006F1DCB">
      <w:pPr>
        <w:ind w:firstLine="708"/>
        <w:jc w:val="both"/>
        <w:rPr>
          <w:rFonts w:ascii="Times New Roman" w:hAnsi="Times New Roman"/>
          <w:sz w:val="24"/>
          <w:szCs w:val="24"/>
          <w:lang w:val="sr-Cyrl-CS"/>
        </w:rPr>
      </w:pPr>
      <w:r w:rsidRPr="00810FFC">
        <w:rPr>
          <w:rFonts w:ascii="Times New Roman" w:hAnsi="Times New Roman"/>
          <w:sz w:val="24"/>
          <w:szCs w:val="24"/>
        </w:rPr>
        <w:t>Поред борбе против свих облика организованог криминала, апсолутни приоритет у раду овог Министарства јесте борба против корупције. Оно што 2012. годину издваја у овој области јесте предузимање конкретних и опсежних активности на откривању најсложенијих облика корупције (и привредног криминала) које су уследиле након формирања специјализоване Радне групе у оквиру Управе криминалистичке полиције. Задатак Радне групе је утврђивање кривичне одговорности учесника у поступку приватизације, тачније провера 24 спорне приватизације које су као такве означене у извештају Савета за борбу против корупције, а од стране ЕУ достављене Влади Републике Србије, с тим што су Радној групи поверени и предмети везани за друге незаконите радње у процесу приватизације.</w:t>
      </w:r>
      <w:r w:rsidR="00E84BC1" w:rsidRPr="00810FFC">
        <w:rPr>
          <w:rFonts w:ascii="Times New Roman" w:hAnsi="Times New Roman"/>
          <w:sz w:val="24"/>
          <w:szCs w:val="24"/>
        </w:rPr>
        <w:t xml:space="preserve"> У области сузбијања привредног криминала откривена су 8.683 кривична дела и пријављена укупно 5.863 лица. Акценат у раду у овој области био је на откривању сложенијих кривичних дела привредног криминала и са већим материјалним оштећењем о чему сведочи податак да је висина штете причињене извршењем ових кривичних дела (преко 677 милијарди динара), као и прибављене имовинске користи (преко 751 милијарде динара) знатно већа у односу на 2011. годину (материјална штета - преко 113 милијарди динара, а прибављена имовинска корист преко 97 милијарди динара).</w:t>
      </w:r>
      <w:r w:rsidR="006F1DCB" w:rsidRPr="00810FFC">
        <w:rPr>
          <w:rStyle w:val="FootnoteReference"/>
          <w:rFonts w:ascii="Times New Roman" w:hAnsi="Times New Roman"/>
          <w:sz w:val="24"/>
          <w:szCs w:val="24"/>
        </w:rPr>
        <w:footnoteReference w:id="889"/>
      </w:r>
      <w:r w:rsidR="00E84BC1" w:rsidRPr="00810FFC">
        <w:rPr>
          <w:rFonts w:ascii="Times New Roman" w:hAnsi="Times New Roman"/>
          <w:sz w:val="24"/>
          <w:szCs w:val="24"/>
        </w:rPr>
        <w:t xml:space="preserve"> </w:t>
      </w:r>
    </w:p>
    <w:p w:rsidR="00862F31" w:rsidRPr="00810FFC" w:rsidRDefault="006F1DCB" w:rsidP="006F1DCB">
      <w:pPr>
        <w:ind w:firstLine="708"/>
        <w:jc w:val="both"/>
        <w:rPr>
          <w:rFonts w:ascii="Times New Roman" w:hAnsi="Times New Roman"/>
          <w:color w:val="000000"/>
          <w:sz w:val="24"/>
          <w:szCs w:val="24"/>
          <w:lang w:val="sr-Cyrl-CS"/>
        </w:rPr>
      </w:pPr>
      <w:r w:rsidRPr="00810FFC">
        <w:rPr>
          <w:rFonts w:ascii="Times New Roman" w:hAnsi="Times New Roman"/>
          <w:color w:val="000000"/>
          <w:sz w:val="24"/>
          <w:szCs w:val="24"/>
          <w:lang w:val="sr-Cyrl-CS"/>
        </w:rPr>
        <w:t>Посебан акценат се ставља, између осталог,</w:t>
      </w:r>
      <w:r w:rsidR="0061101E">
        <w:rPr>
          <w:rFonts w:ascii="Times New Roman" w:hAnsi="Times New Roman"/>
          <w:color w:val="000000"/>
          <w:sz w:val="24"/>
          <w:szCs w:val="24"/>
        </w:rPr>
        <w:t xml:space="preserve"> </w:t>
      </w:r>
      <w:r w:rsidR="0061101E">
        <w:rPr>
          <w:rFonts w:ascii="Times New Roman" w:hAnsi="Times New Roman"/>
          <w:color w:val="000000"/>
          <w:sz w:val="24"/>
          <w:szCs w:val="24"/>
          <w:lang w:val="sr-Cyrl-CS"/>
        </w:rPr>
        <w:t>на</w:t>
      </w:r>
      <w:r w:rsidR="0061101E">
        <w:rPr>
          <w:rFonts w:ascii="Times New Roman" w:hAnsi="Times New Roman"/>
          <w:color w:val="000000"/>
          <w:sz w:val="24"/>
          <w:szCs w:val="24"/>
        </w:rPr>
        <w:t xml:space="preserve"> сарадњ</w:t>
      </w:r>
      <w:r w:rsidR="0061101E">
        <w:rPr>
          <w:rFonts w:ascii="Times New Roman" w:hAnsi="Times New Roman"/>
          <w:color w:val="000000"/>
          <w:sz w:val="24"/>
          <w:szCs w:val="24"/>
          <w:lang w:val="sr-Cyrl-CS"/>
        </w:rPr>
        <w:t>у</w:t>
      </w:r>
      <w:r w:rsidR="00E84BC1" w:rsidRPr="00810FFC">
        <w:rPr>
          <w:rFonts w:ascii="Times New Roman" w:hAnsi="Times New Roman"/>
          <w:color w:val="000000"/>
          <w:sz w:val="24"/>
          <w:szCs w:val="24"/>
        </w:rPr>
        <w:t xml:space="preserve"> са Пореском управом и Управом за спречавање прања новца </w:t>
      </w:r>
      <w:r w:rsidRPr="00810FFC">
        <w:rPr>
          <w:rFonts w:ascii="Times New Roman" w:hAnsi="Times New Roman"/>
          <w:color w:val="000000"/>
          <w:sz w:val="24"/>
          <w:szCs w:val="24"/>
          <w:lang w:val="sr-Cyrl-CS"/>
        </w:rPr>
        <w:t>на појачаној активности</w:t>
      </w:r>
      <w:r w:rsidR="00E84BC1" w:rsidRPr="00810FFC">
        <w:rPr>
          <w:rFonts w:ascii="Times New Roman" w:hAnsi="Times New Roman"/>
          <w:color w:val="000000"/>
          <w:sz w:val="24"/>
          <w:szCs w:val="24"/>
        </w:rPr>
        <w:t xml:space="preserve"> у циљу сузбијања кривичних дела којима </w:t>
      </w:r>
      <w:r w:rsidR="009E2574">
        <w:rPr>
          <w:rFonts w:ascii="Times New Roman" w:hAnsi="Times New Roman"/>
          <w:color w:val="000000"/>
          <w:sz w:val="24"/>
          <w:szCs w:val="24"/>
        </w:rPr>
        <w:t>се избегава плаћање дажбина кој</w:t>
      </w:r>
      <w:r w:rsidR="009E2574">
        <w:rPr>
          <w:rFonts w:ascii="Times New Roman" w:hAnsi="Times New Roman"/>
          <w:color w:val="000000"/>
          <w:sz w:val="24"/>
          <w:szCs w:val="24"/>
          <w:lang w:val="sr-Cyrl-CS"/>
        </w:rPr>
        <w:t>е</w:t>
      </w:r>
      <w:r w:rsidR="00E84BC1" w:rsidRPr="00810FFC">
        <w:rPr>
          <w:rFonts w:ascii="Times New Roman" w:hAnsi="Times New Roman"/>
          <w:color w:val="000000"/>
          <w:sz w:val="24"/>
          <w:szCs w:val="24"/>
        </w:rPr>
        <w:t xml:space="preserve"> представљају јавни приход (пореза на додату вредност, порези и доприноси на лична примања</w:t>
      </w:r>
      <w:r w:rsidRPr="00810FFC">
        <w:rPr>
          <w:rFonts w:ascii="Times New Roman" w:hAnsi="Times New Roman"/>
          <w:color w:val="000000"/>
          <w:sz w:val="24"/>
          <w:szCs w:val="24"/>
          <w:lang w:val="sr-Cyrl-CS"/>
        </w:rPr>
        <w:t>, акцизе</w:t>
      </w:r>
      <w:r w:rsidR="00E84BC1" w:rsidRPr="00810FFC">
        <w:rPr>
          <w:rFonts w:ascii="Times New Roman" w:hAnsi="Times New Roman"/>
          <w:color w:val="000000"/>
          <w:sz w:val="24"/>
          <w:szCs w:val="24"/>
        </w:rPr>
        <w:t xml:space="preserve"> итд), посебно у случајевима употребе фалсификоване документације од стране “фантомских” и “перачких” фирми.</w:t>
      </w:r>
      <w:r w:rsidRPr="00810FFC">
        <w:rPr>
          <w:rFonts w:ascii="Times New Roman" w:hAnsi="Times New Roman"/>
          <w:color w:val="000000"/>
          <w:sz w:val="24"/>
          <w:szCs w:val="24"/>
          <w:lang w:val="sr-Cyrl-CS"/>
        </w:rPr>
        <w:t xml:space="preserve"> </w:t>
      </w:r>
    </w:p>
    <w:p w:rsidR="00320F77" w:rsidRPr="009E2574" w:rsidRDefault="00A24B39" w:rsidP="009E2574">
      <w:pPr>
        <w:ind w:firstLine="708"/>
        <w:jc w:val="both"/>
        <w:rPr>
          <w:rFonts w:ascii="Times New Roman" w:hAnsi="Times New Roman"/>
          <w:sz w:val="24"/>
          <w:szCs w:val="24"/>
          <w:lang w:val="sr-Cyrl-CS"/>
        </w:rPr>
      </w:pPr>
      <w:r>
        <w:rPr>
          <w:rFonts w:ascii="Times New Roman" w:hAnsi="Times New Roman"/>
          <w:sz w:val="24"/>
          <w:szCs w:val="24"/>
          <w:lang w:val="sr-Cyrl-CS"/>
        </w:rPr>
        <w:t xml:space="preserve">У оквиру Одељења за сузбијање организованог финансијског криминала, </w:t>
      </w:r>
      <w:r w:rsidRPr="00810FFC">
        <w:rPr>
          <w:rFonts w:ascii="Times New Roman" w:hAnsi="Times New Roman"/>
          <w:sz w:val="24"/>
          <w:szCs w:val="24"/>
          <w:lang w:val="sr-Cyrl-CS"/>
        </w:rPr>
        <w:t xml:space="preserve">у Служби за борбу против организованог криминала </w:t>
      </w:r>
      <w:r>
        <w:rPr>
          <w:rFonts w:ascii="Times New Roman" w:hAnsi="Times New Roman"/>
          <w:sz w:val="24"/>
          <w:szCs w:val="24"/>
          <w:lang w:val="sr-Cyrl-CS"/>
        </w:rPr>
        <w:t>Управе</w:t>
      </w:r>
      <w:r w:rsidRPr="00810FFC">
        <w:rPr>
          <w:rFonts w:ascii="Times New Roman" w:hAnsi="Times New Roman"/>
          <w:sz w:val="24"/>
          <w:szCs w:val="24"/>
          <w:lang w:val="sr-Cyrl-CS"/>
        </w:rPr>
        <w:t xml:space="preserve"> криминалистичке полиције, </w:t>
      </w:r>
      <w:r w:rsidR="00313F63" w:rsidRPr="00810FFC">
        <w:rPr>
          <w:rFonts w:ascii="Times New Roman" w:hAnsi="Times New Roman"/>
          <w:sz w:val="24"/>
          <w:szCs w:val="24"/>
          <w:lang w:val="sr-Cyrl-CS"/>
        </w:rPr>
        <w:t>постоји</w:t>
      </w:r>
      <w:r w:rsidR="006F1DCB" w:rsidRPr="00810FFC">
        <w:rPr>
          <w:rFonts w:ascii="Times New Roman" w:hAnsi="Times New Roman"/>
          <w:sz w:val="24"/>
          <w:szCs w:val="24"/>
          <w:lang w:val="sr-Cyrl-CS"/>
        </w:rPr>
        <w:t xml:space="preserve"> </w:t>
      </w:r>
      <w:r w:rsidR="00313F63" w:rsidRPr="00810FFC">
        <w:rPr>
          <w:rFonts w:ascii="Times New Roman" w:hAnsi="Times New Roman"/>
          <w:sz w:val="24"/>
          <w:szCs w:val="24"/>
          <w:lang w:val="sr-Cyrl-CS"/>
        </w:rPr>
        <w:t>специјализовани</w:t>
      </w:r>
      <w:r w:rsidR="006F1DCB" w:rsidRPr="00810FFC">
        <w:rPr>
          <w:rFonts w:ascii="Times New Roman" w:hAnsi="Times New Roman"/>
          <w:sz w:val="24"/>
          <w:szCs w:val="24"/>
          <w:lang w:val="sr-Cyrl-CS"/>
        </w:rPr>
        <w:t xml:space="preserve"> </w:t>
      </w:r>
      <w:r w:rsidR="00313F63" w:rsidRPr="00810FFC">
        <w:rPr>
          <w:rFonts w:ascii="Times New Roman" w:hAnsi="Times New Roman"/>
          <w:sz w:val="24"/>
          <w:szCs w:val="24"/>
          <w:lang w:val="sr-Cyrl-CS"/>
        </w:rPr>
        <w:t>Одсе</w:t>
      </w:r>
      <w:r w:rsidR="006F1DCB" w:rsidRPr="00810FFC">
        <w:rPr>
          <w:rFonts w:ascii="Times New Roman" w:hAnsi="Times New Roman"/>
          <w:sz w:val="24"/>
          <w:szCs w:val="24"/>
          <w:lang w:val="sr-Cyrl-CS"/>
        </w:rPr>
        <w:t>к за сузбијање корупције. Поред тога,</w:t>
      </w:r>
      <w:r w:rsidR="00B95075">
        <w:rPr>
          <w:rFonts w:ascii="Times New Roman" w:hAnsi="Times New Roman"/>
          <w:sz w:val="24"/>
          <w:szCs w:val="24"/>
          <w:lang w:val="sr-Cyrl-CS"/>
        </w:rPr>
        <w:t xml:space="preserve"> </w:t>
      </w:r>
      <w:r w:rsidR="00313F63" w:rsidRPr="00810FFC">
        <w:rPr>
          <w:rFonts w:ascii="Times New Roman" w:hAnsi="Times New Roman"/>
          <w:sz w:val="24"/>
          <w:szCs w:val="24"/>
          <w:lang w:val="sr-Cyrl-CS"/>
        </w:rPr>
        <w:t>полицијски</w:t>
      </w:r>
      <w:r w:rsidR="006F1DCB" w:rsidRPr="00810FFC">
        <w:rPr>
          <w:rFonts w:ascii="Times New Roman" w:hAnsi="Times New Roman"/>
          <w:sz w:val="24"/>
          <w:szCs w:val="24"/>
          <w:lang w:val="sr-Cyrl-CS"/>
        </w:rPr>
        <w:t xml:space="preserve"> </w:t>
      </w:r>
      <w:r w:rsidR="00313F63" w:rsidRPr="00810FFC">
        <w:rPr>
          <w:rFonts w:ascii="Times New Roman" w:hAnsi="Times New Roman"/>
          <w:sz w:val="24"/>
          <w:szCs w:val="24"/>
          <w:lang w:val="sr-Cyrl-CS"/>
        </w:rPr>
        <w:t>службеници</w:t>
      </w:r>
      <w:r w:rsidR="006F1DCB" w:rsidRPr="00810FFC">
        <w:rPr>
          <w:rFonts w:ascii="Times New Roman" w:hAnsi="Times New Roman"/>
          <w:sz w:val="24"/>
          <w:szCs w:val="24"/>
          <w:lang w:val="sr-Cyrl-CS"/>
        </w:rPr>
        <w:t xml:space="preserve"> </w:t>
      </w:r>
      <w:r w:rsidR="00313F63" w:rsidRPr="00810FFC">
        <w:rPr>
          <w:rFonts w:ascii="Times New Roman" w:hAnsi="Times New Roman"/>
          <w:sz w:val="24"/>
          <w:szCs w:val="24"/>
          <w:lang w:val="sr-Cyrl-CS"/>
        </w:rPr>
        <w:t>који</w:t>
      </w:r>
      <w:r w:rsidR="006F1DCB" w:rsidRPr="00810FFC">
        <w:rPr>
          <w:rFonts w:ascii="Times New Roman" w:hAnsi="Times New Roman"/>
          <w:sz w:val="24"/>
          <w:szCs w:val="24"/>
          <w:lang w:val="sr-Cyrl-CS"/>
        </w:rPr>
        <w:t xml:space="preserve"> </w:t>
      </w:r>
      <w:r w:rsidR="00313F63" w:rsidRPr="00810FFC">
        <w:rPr>
          <w:rFonts w:ascii="Times New Roman" w:hAnsi="Times New Roman"/>
          <w:sz w:val="24"/>
          <w:szCs w:val="24"/>
          <w:lang w:val="sr-Cyrl-CS"/>
        </w:rPr>
        <w:t>се</w:t>
      </w:r>
      <w:r w:rsidR="006F1DCB" w:rsidRPr="00810FFC">
        <w:rPr>
          <w:rFonts w:ascii="Times New Roman" w:hAnsi="Times New Roman"/>
          <w:sz w:val="24"/>
          <w:szCs w:val="24"/>
          <w:lang w:val="sr-Cyrl-CS"/>
        </w:rPr>
        <w:t xml:space="preserve"> </w:t>
      </w:r>
      <w:r w:rsidR="00313F63" w:rsidRPr="00810FFC">
        <w:rPr>
          <w:rFonts w:ascii="Times New Roman" w:hAnsi="Times New Roman"/>
          <w:sz w:val="24"/>
          <w:szCs w:val="24"/>
          <w:lang w:val="sr-Cyrl-CS"/>
        </w:rPr>
        <w:t>баве</w:t>
      </w:r>
      <w:r w:rsidR="006F1DCB" w:rsidRPr="00810FFC">
        <w:rPr>
          <w:rFonts w:ascii="Times New Roman" w:hAnsi="Times New Roman"/>
          <w:sz w:val="24"/>
          <w:szCs w:val="24"/>
          <w:lang w:val="sr-Cyrl-CS"/>
        </w:rPr>
        <w:t xml:space="preserve"> </w:t>
      </w:r>
      <w:r w:rsidR="00313F63" w:rsidRPr="00810FFC">
        <w:rPr>
          <w:rFonts w:ascii="Times New Roman" w:hAnsi="Times New Roman"/>
          <w:sz w:val="24"/>
          <w:szCs w:val="24"/>
          <w:lang w:val="sr-Cyrl-CS"/>
        </w:rPr>
        <w:t>привредним</w:t>
      </w:r>
      <w:r w:rsidR="006F1DCB" w:rsidRPr="00810FFC">
        <w:rPr>
          <w:rFonts w:ascii="Times New Roman" w:hAnsi="Times New Roman"/>
          <w:sz w:val="24"/>
          <w:szCs w:val="24"/>
          <w:lang w:val="sr-Cyrl-CS"/>
        </w:rPr>
        <w:t xml:space="preserve"> </w:t>
      </w:r>
      <w:r w:rsidR="00313F63" w:rsidRPr="00810FFC">
        <w:rPr>
          <w:rFonts w:ascii="Times New Roman" w:hAnsi="Times New Roman"/>
          <w:sz w:val="24"/>
          <w:szCs w:val="24"/>
          <w:lang w:val="sr-Cyrl-CS"/>
        </w:rPr>
        <w:t>криминалом</w:t>
      </w:r>
      <w:r w:rsidR="006F1DCB" w:rsidRPr="00810FFC">
        <w:rPr>
          <w:rFonts w:ascii="Times New Roman" w:hAnsi="Times New Roman"/>
          <w:sz w:val="24"/>
          <w:szCs w:val="24"/>
          <w:lang w:val="sr-Cyrl-CS"/>
        </w:rPr>
        <w:t xml:space="preserve"> </w:t>
      </w:r>
      <w:r w:rsidR="00313F63" w:rsidRPr="00810FFC">
        <w:rPr>
          <w:rFonts w:ascii="Times New Roman" w:hAnsi="Times New Roman"/>
          <w:sz w:val="24"/>
          <w:szCs w:val="24"/>
          <w:lang w:val="sr-Cyrl-CS"/>
        </w:rPr>
        <w:t>у</w:t>
      </w:r>
      <w:r w:rsidR="006F1DCB" w:rsidRPr="00810FFC">
        <w:rPr>
          <w:rFonts w:ascii="Times New Roman" w:hAnsi="Times New Roman"/>
          <w:sz w:val="24"/>
          <w:szCs w:val="24"/>
          <w:lang w:val="sr-Cyrl-CS"/>
        </w:rPr>
        <w:t xml:space="preserve"> </w:t>
      </w:r>
      <w:r w:rsidR="00313F63" w:rsidRPr="00810FFC">
        <w:rPr>
          <w:rFonts w:ascii="Times New Roman" w:hAnsi="Times New Roman"/>
          <w:sz w:val="24"/>
          <w:szCs w:val="24"/>
          <w:lang w:val="sr-Cyrl-CS"/>
        </w:rPr>
        <w:t>Служби</w:t>
      </w:r>
      <w:r w:rsidR="006F1DCB" w:rsidRPr="00810FFC">
        <w:rPr>
          <w:rFonts w:ascii="Times New Roman" w:hAnsi="Times New Roman"/>
          <w:sz w:val="24"/>
          <w:szCs w:val="24"/>
          <w:lang w:val="sr-Cyrl-CS"/>
        </w:rPr>
        <w:t xml:space="preserve"> </w:t>
      </w:r>
      <w:r w:rsidR="00313F63" w:rsidRPr="00810FFC">
        <w:rPr>
          <w:rFonts w:ascii="Times New Roman" w:hAnsi="Times New Roman"/>
          <w:sz w:val="24"/>
          <w:szCs w:val="24"/>
          <w:lang w:val="sr-Cyrl-CS"/>
        </w:rPr>
        <w:t>за</w:t>
      </w:r>
      <w:r w:rsidR="006F1DCB" w:rsidRPr="00810FFC">
        <w:rPr>
          <w:rFonts w:ascii="Times New Roman" w:hAnsi="Times New Roman"/>
          <w:sz w:val="24"/>
          <w:szCs w:val="24"/>
          <w:lang w:val="sr-Cyrl-CS"/>
        </w:rPr>
        <w:t xml:space="preserve"> </w:t>
      </w:r>
      <w:r w:rsidR="00313F63" w:rsidRPr="00810FFC">
        <w:rPr>
          <w:rFonts w:ascii="Times New Roman" w:hAnsi="Times New Roman"/>
          <w:sz w:val="24"/>
          <w:szCs w:val="24"/>
          <w:lang w:val="sr-Cyrl-CS"/>
        </w:rPr>
        <w:t>сузбијање</w:t>
      </w:r>
      <w:r w:rsidR="006F1DCB" w:rsidRPr="00810FFC">
        <w:rPr>
          <w:rFonts w:ascii="Times New Roman" w:hAnsi="Times New Roman"/>
          <w:sz w:val="24"/>
          <w:szCs w:val="24"/>
          <w:lang w:val="sr-Cyrl-CS"/>
        </w:rPr>
        <w:t xml:space="preserve"> </w:t>
      </w:r>
      <w:r w:rsidR="00313F63" w:rsidRPr="00810FFC">
        <w:rPr>
          <w:rFonts w:ascii="Times New Roman" w:hAnsi="Times New Roman"/>
          <w:sz w:val="24"/>
          <w:szCs w:val="24"/>
          <w:lang w:val="sr-Cyrl-CS"/>
        </w:rPr>
        <w:t>криминала</w:t>
      </w:r>
      <w:r w:rsidR="006F1DCB" w:rsidRPr="00810FFC">
        <w:rPr>
          <w:rFonts w:ascii="Times New Roman" w:hAnsi="Times New Roman"/>
          <w:sz w:val="24"/>
          <w:szCs w:val="24"/>
          <w:lang w:val="sr-Cyrl-CS"/>
        </w:rPr>
        <w:t xml:space="preserve"> </w:t>
      </w:r>
      <w:r w:rsidR="00313F63" w:rsidRPr="00810FFC">
        <w:rPr>
          <w:rFonts w:ascii="Times New Roman" w:hAnsi="Times New Roman"/>
          <w:sz w:val="24"/>
          <w:szCs w:val="24"/>
          <w:lang w:val="sr-Cyrl-CS"/>
        </w:rPr>
        <w:lastRenderedPageBreak/>
        <w:t>Управе</w:t>
      </w:r>
      <w:r w:rsidR="006F1DCB" w:rsidRPr="00810FFC">
        <w:rPr>
          <w:rFonts w:ascii="Times New Roman" w:hAnsi="Times New Roman"/>
          <w:sz w:val="24"/>
          <w:szCs w:val="24"/>
          <w:lang w:val="sr-Cyrl-CS"/>
        </w:rPr>
        <w:t xml:space="preserve"> </w:t>
      </w:r>
      <w:r w:rsidR="00313F63" w:rsidRPr="00810FFC">
        <w:rPr>
          <w:rFonts w:ascii="Times New Roman" w:hAnsi="Times New Roman"/>
          <w:sz w:val="24"/>
          <w:szCs w:val="24"/>
          <w:lang w:val="sr-Cyrl-CS"/>
        </w:rPr>
        <w:t>криминалистичке</w:t>
      </w:r>
      <w:r w:rsidR="006F1DCB" w:rsidRPr="00810FFC">
        <w:rPr>
          <w:rFonts w:ascii="Times New Roman" w:hAnsi="Times New Roman"/>
          <w:sz w:val="24"/>
          <w:szCs w:val="24"/>
          <w:lang w:val="sr-Cyrl-CS"/>
        </w:rPr>
        <w:t xml:space="preserve"> </w:t>
      </w:r>
      <w:r w:rsidR="00313F63" w:rsidRPr="00810FFC">
        <w:rPr>
          <w:rFonts w:ascii="Times New Roman" w:hAnsi="Times New Roman"/>
          <w:sz w:val="24"/>
          <w:szCs w:val="24"/>
          <w:lang w:val="sr-Cyrl-CS"/>
        </w:rPr>
        <w:t>полиције</w:t>
      </w:r>
      <w:r w:rsidR="006F1DCB" w:rsidRPr="00810FFC">
        <w:rPr>
          <w:rFonts w:ascii="Times New Roman" w:hAnsi="Times New Roman"/>
          <w:sz w:val="24"/>
          <w:szCs w:val="24"/>
          <w:lang w:val="sr-Cyrl-CS"/>
        </w:rPr>
        <w:t xml:space="preserve">, </w:t>
      </w:r>
      <w:r w:rsidR="00313F63" w:rsidRPr="00810FFC">
        <w:rPr>
          <w:rFonts w:ascii="Times New Roman" w:hAnsi="Times New Roman"/>
          <w:sz w:val="24"/>
          <w:szCs w:val="24"/>
          <w:lang w:val="sr-Cyrl-CS"/>
        </w:rPr>
        <w:t>тако</w:t>
      </w:r>
      <w:r w:rsidR="006F1DCB" w:rsidRPr="00810FFC">
        <w:rPr>
          <w:rFonts w:ascii="Times New Roman" w:hAnsi="Times New Roman"/>
          <w:sz w:val="24"/>
          <w:szCs w:val="24"/>
          <w:lang w:val="sr-Cyrl-CS"/>
        </w:rPr>
        <w:t>ђ</w:t>
      </w:r>
      <w:r w:rsidR="00313F63" w:rsidRPr="00810FFC">
        <w:rPr>
          <w:rFonts w:ascii="Times New Roman" w:hAnsi="Times New Roman"/>
          <w:sz w:val="24"/>
          <w:szCs w:val="24"/>
          <w:lang w:val="sr-Cyrl-CS"/>
        </w:rPr>
        <w:t>е</w:t>
      </w:r>
      <w:r w:rsidR="006F1DCB" w:rsidRPr="00810FFC">
        <w:rPr>
          <w:rFonts w:ascii="Times New Roman" w:hAnsi="Times New Roman"/>
          <w:sz w:val="24"/>
          <w:szCs w:val="24"/>
          <w:lang w:val="sr-Cyrl-CS"/>
        </w:rPr>
        <w:t xml:space="preserve"> </w:t>
      </w:r>
      <w:r w:rsidR="00313F63" w:rsidRPr="00810FFC">
        <w:rPr>
          <w:rFonts w:ascii="Times New Roman" w:hAnsi="Times New Roman"/>
          <w:sz w:val="24"/>
          <w:szCs w:val="24"/>
          <w:lang w:val="sr-Cyrl-CS"/>
        </w:rPr>
        <w:t>се</w:t>
      </w:r>
      <w:r w:rsidR="006F1DCB" w:rsidRPr="00810FFC">
        <w:rPr>
          <w:rFonts w:ascii="Times New Roman" w:hAnsi="Times New Roman"/>
          <w:sz w:val="24"/>
          <w:szCs w:val="24"/>
          <w:lang w:val="sr-Cyrl-CS"/>
        </w:rPr>
        <w:t xml:space="preserve"> </w:t>
      </w:r>
      <w:r w:rsidR="00313F63" w:rsidRPr="00810FFC">
        <w:rPr>
          <w:rFonts w:ascii="Times New Roman" w:hAnsi="Times New Roman"/>
          <w:sz w:val="24"/>
          <w:szCs w:val="24"/>
          <w:lang w:val="sr-Cyrl-CS"/>
        </w:rPr>
        <w:t>баве</w:t>
      </w:r>
      <w:r w:rsidR="006F1DCB" w:rsidRPr="00810FFC">
        <w:rPr>
          <w:rFonts w:ascii="Times New Roman" w:hAnsi="Times New Roman"/>
          <w:sz w:val="24"/>
          <w:szCs w:val="24"/>
          <w:lang w:val="sr-Cyrl-CS"/>
        </w:rPr>
        <w:t xml:space="preserve"> </w:t>
      </w:r>
      <w:r w:rsidR="00313F63" w:rsidRPr="00810FFC">
        <w:rPr>
          <w:rFonts w:ascii="Times New Roman" w:hAnsi="Times New Roman"/>
          <w:sz w:val="24"/>
          <w:szCs w:val="24"/>
          <w:lang w:val="sr-Cyrl-CS"/>
        </w:rPr>
        <w:t>откривањем</w:t>
      </w:r>
      <w:r w:rsidR="006F1DCB" w:rsidRPr="00810FFC">
        <w:rPr>
          <w:rFonts w:ascii="Times New Roman" w:hAnsi="Times New Roman"/>
          <w:sz w:val="24"/>
          <w:szCs w:val="24"/>
          <w:lang w:val="sr-Cyrl-CS"/>
        </w:rPr>
        <w:t xml:space="preserve"> </w:t>
      </w:r>
      <w:r w:rsidR="00313F63" w:rsidRPr="00810FFC">
        <w:rPr>
          <w:rFonts w:ascii="Times New Roman" w:hAnsi="Times New Roman"/>
          <w:sz w:val="24"/>
          <w:szCs w:val="24"/>
          <w:lang w:val="sr-Cyrl-CS"/>
        </w:rPr>
        <w:t>и</w:t>
      </w:r>
      <w:r w:rsidR="006F1DCB" w:rsidRPr="00810FFC">
        <w:rPr>
          <w:rFonts w:ascii="Times New Roman" w:hAnsi="Times New Roman"/>
          <w:sz w:val="24"/>
          <w:szCs w:val="24"/>
          <w:lang w:val="sr-Cyrl-CS"/>
        </w:rPr>
        <w:t xml:space="preserve"> </w:t>
      </w:r>
      <w:r w:rsidR="00313F63" w:rsidRPr="00810FFC">
        <w:rPr>
          <w:rFonts w:ascii="Times New Roman" w:hAnsi="Times New Roman"/>
          <w:sz w:val="24"/>
          <w:szCs w:val="24"/>
          <w:lang w:val="sr-Cyrl-CS"/>
        </w:rPr>
        <w:t>сузбијањем</w:t>
      </w:r>
      <w:r w:rsidR="006F1DCB" w:rsidRPr="00810FFC">
        <w:rPr>
          <w:rFonts w:ascii="Times New Roman" w:hAnsi="Times New Roman"/>
          <w:sz w:val="24"/>
          <w:szCs w:val="24"/>
          <w:lang w:val="sr-Cyrl-CS"/>
        </w:rPr>
        <w:t xml:space="preserve"> </w:t>
      </w:r>
      <w:r w:rsidR="00313F63" w:rsidRPr="00810FFC">
        <w:rPr>
          <w:rFonts w:ascii="Times New Roman" w:hAnsi="Times New Roman"/>
          <w:sz w:val="24"/>
          <w:szCs w:val="24"/>
          <w:lang w:val="sr-Cyrl-CS"/>
        </w:rPr>
        <w:t>кривичних</w:t>
      </w:r>
      <w:r w:rsidR="006F1DCB" w:rsidRPr="00810FFC">
        <w:rPr>
          <w:rFonts w:ascii="Times New Roman" w:hAnsi="Times New Roman"/>
          <w:sz w:val="24"/>
          <w:szCs w:val="24"/>
          <w:lang w:val="sr-Cyrl-CS"/>
        </w:rPr>
        <w:t xml:space="preserve"> </w:t>
      </w:r>
      <w:r w:rsidR="00313F63" w:rsidRPr="00810FFC">
        <w:rPr>
          <w:rFonts w:ascii="Times New Roman" w:hAnsi="Times New Roman"/>
          <w:sz w:val="24"/>
          <w:szCs w:val="24"/>
          <w:lang w:val="sr-Cyrl-CS"/>
        </w:rPr>
        <w:t>дела</w:t>
      </w:r>
      <w:r w:rsidR="006F1DCB" w:rsidRPr="00810FFC">
        <w:rPr>
          <w:rFonts w:ascii="Times New Roman" w:hAnsi="Times New Roman"/>
          <w:sz w:val="24"/>
          <w:szCs w:val="24"/>
          <w:lang w:val="sr-Cyrl-CS"/>
        </w:rPr>
        <w:t xml:space="preserve"> </w:t>
      </w:r>
      <w:r w:rsidR="00313F63" w:rsidRPr="00810FFC">
        <w:rPr>
          <w:rFonts w:ascii="Times New Roman" w:hAnsi="Times New Roman"/>
          <w:sz w:val="24"/>
          <w:szCs w:val="24"/>
          <w:lang w:val="sr-Cyrl-CS"/>
        </w:rPr>
        <w:t>корупције</w:t>
      </w:r>
      <w:r w:rsidR="006F1DCB" w:rsidRPr="00810FFC">
        <w:rPr>
          <w:rFonts w:ascii="Times New Roman" w:hAnsi="Times New Roman"/>
          <w:sz w:val="24"/>
          <w:szCs w:val="24"/>
          <w:lang w:val="sr-Cyrl-CS"/>
        </w:rPr>
        <w:t xml:space="preserve">. </w:t>
      </w:r>
      <w:r w:rsidR="00313F63" w:rsidRPr="00810FFC">
        <w:rPr>
          <w:rFonts w:ascii="Times New Roman" w:hAnsi="Times New Roman"/>
          <w:sz w:val="24"/>
          <w:szCs w:val="24"/>
          <w:lang w:val="sr-Cyrl-CS"/>
        </w:rPr>
        <w:t>У</w:t>
      </w:r>
      <w:r w:rsidR="006F1DCB" w:rsidRPr="00810FFC">
        <w:rPr>
          <w:rFonts w:ascii="Times New Roman" w:hAnsi="Times New Roman"/>
          <w:sz w:val="24"/>
          <w:szCs w:val="24"/>
          <w:lang w:val="sr-Cyrl-CS"/>
        </w:rPr>
        <w:t xml:space="preserve"> </w:t>
      </w:r>
      <w:r w:rsidR="00313F63" w:rsidRPr="00810FFC">
        <w:rPr>
          <w:rFonts w:ascii="Times New Roman" w:hAnsi="Times New Roman"/>
          <w:sz w:val="24"/>
          <w:szCs w:val="24"/>
          <w:lang w:val="sr-Cyrl-CS"/>
        </w:rPr>
        <w:t>свим</w:t>
      </w:r>
      <w:r w:rsidR="006F1DCB" w:rsidRPr="00810FFC">
        <w:rPr>
          <w:rFonts w:ascii="Times New Roman" w:hAnsi="Times New Roman"/>
          <w:sz w:val="24"/>
          <w:szCs w:val="24"/>
          <w:lang w:val="sr-Cyrl-CS"/>
        </w:rPr>
        <w:t xml:space="preserve"> </w:t>
      </w:r>
      <w:r w:rsidR="00313F63" w:rsidRPr="00810FFC">
        <w:rPr>
          <w:rFonts w:ascii="Times New Roman" w:hAnsi="Times New Roman"/>
          <w:sz w:val="24"/>
          <w:szCs w:val="24"/>
          <w:lang w:val="sr-Cyrl-CS"/>
        </w:rPr>
        <w:t>Полицијским</w:t>
      </w:r>
      <w:r w:rsidR="006F1DCB" w:rsidRPr="00810FFC">
        <w:rPr>
          <w:rFonts w:ascii="Times New Roman" w:hAnsi="Times New Roman"/>
          <w:sz w:val="24"/>
          <w:szCs w:val="24"/>
          <w:lang w:val="sr-Cyrl-CS"/>
        </w:rPr>
        <w:t xml:space="preserve"> </w:t>
      </w:r>
      <w:r w:rsidR="00313F63" w:rsidRPr="00810FFC">
        <w:rPr>
          <w:rFonts w:ascii="Times New Roman" w:hAnsi="Times New Roman"/>
          <w:sz w:val="24"/>
          <w:szCs w:val="24"/>
          <w:lang w:val="sr-Cyrl-CS"/>
        </w:rPr>
        <w:t>управама</w:t>
      </w:r>
      <w:r w:rsidR="006F1DCB" w:rsidRPr="00810FFC">
        <w:rPr>
          <w:rFonts w:ascii="Times New Roman" w:hAnsi="Times New Roman"/>
          <w:sz w:val="24"/>
          <w:szCs w:val="24"/>
          <w:lang w:val="sr-Cyrl-CS"/>
        </w:rPr>
        <w:t xml:space="preserve"> </w:t>
      </w:r>
      <w:r w:rsidR="00313F63" w:rsidRPr="00810FFC">
        <w:rPr>
          <w:rFonts w:ascii="Times New Roman" w:hAnsi="Times New Roman"/>
          <w:sz w:val="24"/>
          <w:szCs w:val="24"/>
          <w:lang w:val="sr-Cyrl-CS"/>
        </w:rPr>
        <w:t>на</w:t>
      </w:r>
      <w:r w:rsidR="006F1DCB" w:rsidRPr="00810FFC">
        <w:rPr>
          <w:rFonts w:ascii="Times New Roman" w:hAnsi="Times New Roman"/>
          <w:sz w:val="24"/>
          <w:szCs w:val="24"/>
          <w:lang w:val="sr-Cyrl-CS"/>
        </w:rPr>
        <w:t xml:space="preserve"> </w:t>
      </w:r>
      <w:r w:rsidR="00313F63" w:rsidRPr="00810FFC">
        <w:rPr>
          <w:rFonts w:ascii="Times New Roman" w:hAnsi="Times New Roman"/>
          <w:sz w:val="24"/>
          <w:szCs w:val="24"/>
          <w:lang w:val="sr-Cyrl-CS"/>
        </w:rPr>
        <w:t>подручју</w:t>
      </w:r>
      <w:r w:rsidR="006F1DCB" w:rsidRPr="00810FFC">
        <w:rPr>
          <w:rFonts w:ascii="Times New Roman" w:hAnsi="Times New Roman"/>
          <w:sz w:val="24"/>
          <w:szCs w:val="24"/>
          <w:lang w:val="sr-Cyrl-CS"/>
        </w:rPr>
        <w:t xml:space="preserve"> </w:t>
      </w:r>
      <w:r w:rsidR="00313F63" w:rsidRPr="00810FFC">
        <w:rPr>
          <w:rFonts w:ascii="Times New Roman" w:hAnsi="Times New Roman"/>
          <w:sz w:val="24"/>
          <w:szCs w:val="24"/>
          <w:lang w:val="sr-Cyrl-CS"/>
        </w:rPr>
        <w:t>Републике</w:t>
      </w:r>
      <w:r w:rsidR="006F1DCB" w:rsidRPr="00810FFC">
        <w:rPr>
          <w:rFonts w:ascii="Times New Roman" w:hAnsi="Times New Roman"/>
          <w:sz w:val="24"/>
          <w:szCs w:val="24"/>
          <w:lang w:val="sr-Cyrl-CS"/>
        </w:rPr>
        <w:t xml:space="preserve"> </w:t>
      </w:r>
      <w:r w:rsidR="00313F63" w:rsidRPr="00810FFC">
        <w:rPr>
          <w:rFonts w:ascii="Times New Roman" w:hAnsi="Times New Roman"/>
          <w:sz w:val="24"/>
          <w:szCs w:val="24"/>
          <w:lang w:val="sr-Cyrl-CS"/>
        </w:rPr>
        <w:t>Србије</w:t>
      </w:r>
      <w:r w:rsidR="006F1DCB" w:rsidRPr="00810FFC">
        <w:rPr>
          <w:rFonts w:ascii="Times New Roman" w:hAnsi="Times New Roman"/>
          <w:sz w:val="24"/>
          <w:szCs w:val="24"/>
          <w:lang w:val="sr-Cyrl-CS"/>
        </w:rPr>
        <w:t xml:space="preserve"> </w:t>
      </w:r>
      <w:r w:rsidR="00313F63" w:rsidRPr="00810FFC">
        <w:rPr>
          <w:rFonts w:ascii="Times New Roman" w:hAnsi="Times New Roman"/>
          <w:sz w:val="24"/>
          <w:szCs w:val="24"/>
          <w:lang w:val="sr-Cyrl-CS"/>
        </w:rPr>
        <w:t>постоји</w:t>
      </w:r>
      <w:r w:rsidR="006F1DCB" w:rsidRPr="00810FFC">
        <w:rPr>
          <w:rFonts w:ascii="Times New Roman" w:hAnsi="Times New Roman"/>
          <w:sz w:val="24"/>
          <w:szCs w:val="24"/>
          <w:lang w:val="sr-Cyrl-CS"/>
        </w:rPr>
        <w:t xml:space="preserve"> </w:t>
      </w:r>
      <w:r w:rsidR="00313F63" w:rsidRPr="00810FFC">
        <w:rPr>
          <w:rFonts w:ascii="Times New Roman" w:hAnsi="Times New Roman"/>
          <w:sz w:val="24"/>
          <w:szCs w:val="24"/>
          <w:lang w:val="sr-Cyrl-CS"/>
        </w:rPr>
        <w:t>Одсек</w:t>
      </w:r>
      <w:r w:rsidR="006F1DCB" w:rsidRPr="00810FFC">
        <w:rPr>
          <w:rFonts w:ascii="Times New Roman" w:hAnsi="Times New Roman"/>
          <w:sz w:val="24"/>
          <w:szCs w:val="24"/>
          <w:lang w:val="sr-Cyrl-CS"/>
        </w:rPr>
        <w:t xml:space="preserve"> </w:t>
      </w:r>
      <w:r w:rsidR="00313F63" w:rsidRPr="00810FFC">
        <w:rPr>
          <w:rFonts w:ascii="Times New Roman" w:hAnsi="Times New Roman"/>
          <w:sz w:val="24"/>
          <w:szCs w:val="24"/>
          <w:lang w:val="sr-Cyrl-CS"/>
        </w:rPr>
        <w:t>за</w:t>
      </w:r>
      <w:r w:rsidR="006F1DCB" w:rsidRPr="00810FFC">
        <w:rPr>
          <w:rFonts w:ascii="Times New Roman" w:hAnsi="Times New Roman"/>
          <w:sz w:val="24"/>
          <w:szCs w:val="24"/>
          <w:lang w:val="sr-Cyrl-CS"/>
        </w:rPr>
        <w:t xml:space="preserve"> </w:t>
      </w:r>
      <w:r w:rsidR="00313F63" w:rsidRPr="00810FFC">
        <w:rPr>
          <w:rFonts w:ascii="Times New Roman" w:hAnsi="Times New Roman"/>
          <w:sz w:val="24"/>
          <w:szCs w:val="24"/>
          <w:lang w:val="sr-Cyrl-CS"/>
        </w:rPr>
        <w:t>сузбијање</w:t>
      </w:r>
      <w:r w:rsidR="006F1DCB" w:rsidRPr="00810FFC">
        <w:rPr>
          <w:rFonts w:ascii="Times New Roman" w:hAnsi="Times New Roman"/>
          <w:sz w:val="24"/>
          <w:szCs w:val="24"/>
          <w:lang w:val="sr-Cyrl-CS"/>
        </w:rPr>
        <w:t xml:space="preserve"> </w:t>
      </w:r>
      <w:r w:rsidR="00313F63" w:rsidRPr="00810FFC">
        <w:rPr>
          <w:rFonts w:ascii="Times New Roman" w:hAnsi="Times New Roman"/>
          <w:sz w:val="24"/>
          <w:szCs w:val="24"/>
          <w:lang w:val="sr-Cyrl-CS"/>
        </w:rPr>
        <w:t>корупц</w:t>
      </w:r>
      <w:r w:rsidR="006F1DCB" w:rsidRPr="00810FFC">
        <w:rPr>
          <w:rFonts w:ascii="Times New Roman" w:hAnsi="Times New Roman"/>
          <w:sz w:val="24"/>
          <w:szCs w:val="24"/>
          <w:lang w:val="sr-Cyrl-CS"/>
        </w:rPr>
        <w:t>ије.</w:t>
      </w:r>
      <w:r w:rsidR="00172FB4">
        <w:rPr>
          <w:rFonts w:ascii="Times New Roman" w:hAnsi="Times New Roman"/>
          <w:sz w:val="24"/>
          <w:szCs w:val="24"/>
          <w:lang w:val="sr-Cyrl-CS"/>
        </w:rPr>
        <w:t xml:space="preserve"> </w:t>
      </w:r>
    </w:p>
    <w:p w:rsidR="00761E5B" w:rsidRDefault="00B95075" w:rsidP="00E84BC1">
      <w:pPr>
        <w:jc w:val="both"/>
        <w:rPr>
          <w:rFonts w:ascii="Times New Roman" w:hAnsi="Times New Roman"/>
          <w:color w:val="000000"/>
          <w:sz w:val="23"/>
          <w:szCs w:val="23"/>
          <w:lang w:val="sr-Cyrl-CS"/>
        </w:rPr>
      </w:pPr>
      <w:r>
        <w:rPr>
          <w:rFonts w:ascii="Times New Roman" w:hAnsi="Times New Roman"/>
          <w:color w:val="000000"/>
          <w:sz w:val="23"/>
          <w:szCs w:val="23"/>
          <w:lang w:val="sr-Cyrl-CS"/>
        </w:rPr>
        <w:tab/>
      </w:r>
      <w:r w:rsidRPr="009E2574">
        <w:rPr>
          <w:rFonts w:ascii="Times New Roman" w:hAnsi="Times New Roman"/>
          <w:color w:val="000000"/>
          <w:sz w:val="24"/>
          <w:szCs w:val="24"/>
          <w:lang w:val="sr-Cyrl-CS"/>
        </w:rPr>
        <w:t xml:space="preserve">Посебан </w:t>
      </w:r>
      <w:r w:rsidR="00172FB4">
        <w:rPr>
          <w:rFonts w:ascii="Times New Roman" w:hAnsi="Times New Roman"/>
          <w:color w:val="000000"/>
          <w:sz w:val="24"/>
          <w:szCs w:val="24"/>
          <w:lang w:val="sr-Cyrl-CS"/>
        </w:rPr>
        <w:t xml:space="preserve">значај се придаје </w:t>
      </w:r>
      <w:r w:rsidRPr="009E2574">
        <w:rPr>
          <w:rFonts w:ascii="Times New Roman" w:hAnsi="Times New Roman"/>
          <w:color w:val="000000"/>
          <w:sz w:val="24"/>
          <w:szCs w:val="24"/>
          <w:lang w:val="sr-Cyrl-CS"/>
        </w:rPr>
        <w:t>међунаро</w:t>
      </w:r>
      <w:r w:rsidR="00172FB4">
        <w:rPr>
          <w:rFonts w:ascii="Times New Roman" w:hAnsi="Times New Roman"/>
          <w:color w:val="000000"/>
          <w:sz w:val="24"/>
          <w:szCs w:val="24"/>
          <w:lang w:val="sr-Cyrl-CS"/>
        </w:rPr>
        <w:t>дној сарадњи, при чему</w:t>
      </w:r>
      <w:r w:rsidRPr="009E2574">
        <w:rPr>
          <w:rFonts w:ascii="Times New Roman" w:hAnsi="Times New Roman"/>
          <w:color w:val="000000"/>
          <w:sz w:val="24"/>
          <w:szCs w:val="24"/>
          <w:lang w:val="sr-Cyrl-CS"/>
        </w:rPr>
        <w:t xml:space="preserve">, </w:t>
      </w:r>
      <w:r w:rsidR="00172FB4">
        <w:rPr>
          <w:rFonts w:ascii="Times New Roman" w:hAnsi="Times New Roman"/>
          <w:color w:val="000000"/>
          <w:sz w:val="24"/>
          <w:szCs w:val="24"/>
          <w:lang w:val="sr-Cyrl-CS"/>
        </w:rPr>
        <w:t>„</w:t>
      </w:r>
      <w:r w:rsidRPr="009E2574">
        <w:rPr>
          <w:rFonts w:ascii="Times New Roman" w:hAnsi="Times New Roman"/>
          <w:color w:val="000000"/>
          <w:sz w:val="24"/>
          <w:szCs w:val="24"/>
          <w:lang w:val="sr-Cyrl-CS"/>
        </w:rPr>
        <w:t>у погледу институционалног аспекта полицијске али и су</w:t>
      </w:r>
      <w:r w:rsidR="00F52533">
        <w:rPr>
          <w:rFonts w:ascii="Times New Roman" w:hAnsi="Times New Roman"/>
          <w:color w:val="000000"/>
          <w:sz w:val="24"/>
          <w:szCs w:val="24"/>
          <w:lang w:val="sr-Cyrl-CS"/>
        </w:rPr>
        <w:t>дске сарадње, треба нагласити з</w:t>
      </w:r>
      <w:r w:rsidRPr="009E2574">
        <w:rPr>
          <w:rFonts w:ascii="Times New Roman" w:hAnsi="Times New Roman"/>
          <w:color w:val="000000"/>
          <w:sz w:val="24"/>
          <w:szCs w:val="24"/>
          <w:lang w:val="sr-Cyrl-CS"/>
        </w:rPr>
        <w:t>начај стварања и развијања одређених специјализованих институција, значајних за успешну контролу тешких облика криминалитета у оквиру ЕУ. Најзначајније, настале као резултат досадашњих активности јесу: Европска полицијска мрежа (</w:t>
      </w:r>
      <w:r w:rsidRPr="009E2574">
        <w:rPr>
          <w:rFonts w:ascii="Times New Roman" w:hAnsi="Times New Roman"/>
          <w:color w:val="000000"/>
          <w:sz w:val="24"/>
          <w:szCs w:val="24"/>
        </w:rPr>
        <w:t>Europol</w:t>
      </w:r>
      <w:r w:rsidRPr="009E2574">
        <w:rPr>
          <w:rFonts w:ascii="Times New Roman" w:hAnsi="Times New Roman"/>
          <w:color w:val="000000"/>
          <w:sz w:val="24"/>
          <w:szCs w:val="24"/>
          <w:lang w:val="sr-Cyrl-CS"/>
        </w:rPr>
        <w:t>), Европска судска мрежа (</w:t>
      </w:r>
      <w:r w:rsidRPr="009E2574">
        <w:rPr>
          <w:rFonts w:ascii="Times New Roman" w:hAnsi="Times New Roman"/>
          <w:color w:val="000000"/>
          <w:sz w:val="24"/>
          <w:szCs w:val="24"/>
        </w:rPr>
        <w:t>European Judical Network</w:t>
      </w:r>
      <w:r w:rsidRPr="009E2574">
        <w:rPr>
          <w:rFonts w:ascii="Times New Roman" w:hAnsi="Times New Roman"/>
          <w:color w:val="000000"/>
          <w:sz w:val="24"/>
          <w:szCs w:val="24"/>
          <w:lang w:val="sr-Cyrl-CS"/>
        </w:rPr>
        <w:t>), Европско одељење за судску сарадњу (</w:t>
      </w:r>
      <w:r w:rsidRPr="009E2574">
        <w:rPr>
          <w:rFonts w:ascii="Times New Roman" w:hAnsi="Times New Roman"/>
          <w:color w:val="000000"/>
          <w:sz w:val="24"/>
          <w:szCs w:val="24"/>
        </w:rPr>
        <w:t>Eurojust</w:t>
      </w:r>
      <w:r w:rsidRPr="009E2574">
        <w:rPr>
          <w:rFonts w:ascii="Times New Roman" w:hAnsi="Times New Roman"/>
          <w:color w:val="000000"/>
          <w:sz w:val="24"/>
          <w:szCs w:val="24"/>
          <w:lang w:val="sr-Cyrl-CS"/>
        </w:rPr>
        <w:t>) и Европско одељење за сузбијање превара (</w:t>
      </w:r>
      <w:r w:rsidRPr="009E2574">
        <w:rPr>
          <w:rFonts w:ascii="Times New Roman" w:hAnsi="Times New Roman"/>
          <w:color w:val="000000"/>
          <w:sz w:val="24"/>
          <w:szCs w:val="24"/>
        </w:rPr>
        <w:t>OLAF-European Anti-Fraud Office</w:t>
      </w:r>
      <w:r w:rsidRPr="009E2574">
        <w:rPr>
          <w:rFonts w:ascii="Times New Roman" w:hAnsi="Times New Roman"/>
          <w:color w:val="000000"/>
          <w:sz w:val="24"/>
          <w:szCs w:val="24"/>
          <w:lang w:val="sr-Cyrl-CS"/>
        </w:rPr>
        <w:t>)</w:t>
      </w:r>
      <w:r>
        <w:rPr>
          <w:rFonts w:ascii="Times New Roman" w:hAnsi="Times New Roman"/>
          <w:color w:val="000000"/>
          <w:sz w:val="23"/>
          <w:szCs w:val="23"/>
          <w:lang w:val="sr-Cyrl-CS"/>
        </w:rPr>
        <w:t>.</w:t>
      </w:r>
      <w:r w:rsidR="00172FB4">
        <w:rPr>
          <w:rFonts w:ascii="Times New Roman" w:hAnsi="Times New Roman"/>
          <w:color w:val="000000"/>
          <w:sz w:val="23"/>
          <w:szCs w:val="23"/>
          <w:lang w:val="sr-Cyrl-CS"/>
        </w:rPr>
        <w:t>“</w:t>
      </w:r>
      <w:r>
        <w:rPr>
          <w:rStyle w:val="FootnoteReference"/>
          <w:rFonts w:ascii="Times New Roman" w:hAnsi="Times New Roman"/>
          <w:color w:val="000000"/>
          <w:sz w:val="23"/>
          <w:szCs w:val="23"/>
          <w:lang w:val="sr-Cyrl-CS"/>
        </w:rPr>
        <w:footnoteReference w:id="890"/>
      </w:r>
    </w:p>
    <w:p w:rsidR="00D45FD1" w:rsidRPr="00172FB4" w:rsidRDefault="00D45FD1" w:rsidP="00E84BC1">
      <w:pPr>
        <w:jc w:val="both"/>
        <w:rPr>
          <w:rFonts w:ascii="Times New Roman" w:hAnsi="Times New Roman"/>
          <w:color w:val="000000"/>
          <w:sz w:val="23"/>
          <w:szCs w:val="23"/>
          <w:lang w:val="sr-Cyrl-CS"/>
        </w:rPr>
      </w:pPr>
    </w:p>
    <w:p w:rsidR="00D45FD1" w:rsidRPr="00D45FD1" w:rsidRDefault="00D45FD1" w:rsidP="00E84BC1">
      <w:pPr>
        <w:jc w:val="both"/>
        <w:rPr>
          <w:rFonts w:ascii="Times New Roman" w:hAnsi="Times New Roman"/>
          <w:color w:val="000000"/>
          <w:sz w:val="23"/>
          <w:szCs w:val="23"/>
        </w:rPr>
      </w:pPr>
    </w:p>
    <w:p w:rsidR="00761E5B" w:rsidRPr="006F1DCB" w:rsidRDefault="006F1DCB" w:rsidP="008A3795">
      <w:pPr>
        <w:pStyle w:val="ListParagraph"/>
        <w:numPr>
          <w:ilvl w:val="1"/>
          <w:numId w:val="25"/>
        </w:numPr>
        <w:jc w:val="both"/>
        <w:rPr>
          <w:rFonts w:ascii="Times New Roman" w:hAnsi="Times New Roman"/>
          <w:b/>
          <w:color w:val="000000"/>
          <w:sz w:val="24"/>
          <w:szCs w:val="24"/>
          <w:lang w:val="sr-Cyrl-CS"/>
        </w:rPr>
      </w:pPr>
      <w:r>
        <w:rPr>
          <w:rFonts w:ascii="Times New Roman" w:hAnsi="Times New Roman"/>
          <w:b/>
          <w:color w:val="000000"/>
          <w:sz w:val="24"/>
          <w:szCs w:val="24"/>
          <w:lang w:val="sr-Cyrl-CS"/>
        </w:rPr>
        <w:t>Управа за спречавање прања новца</w:t>
      </w:r>
    </w:p>
    <w:p w:rsidR="006F1DCB" w:rsidRDefault="006F1DCB" w:rsidP="00E84BC1">
      <w:pPr>
        <w:jc w:val="both"/>
        <w:rPr>
          <w:rFonts w:ascii="Times New Roman" w:hAnsi="Times New Roman"/>
          <w:b/>
          <w:color w:val="000000"/>
          <w:sz w:val="24"/>
          <w:szCs w:val="24"/>
          <w:lang w:val="sr-Cyrl-CS"/>
        </w:rPr>
      </w:pPr>
    </w:p>
    <w:p w:rsidR="008045FD" w:rsidRDefault="009C6B07" w:rsidP="006F1DCB">
      <w:pPr>
        <w:ind w:firstLine="708"/>
        <w:jc w:val="both"/>
        <w:rPr>
          <w:rFonts w:ascii="Times New Roman" w:hAnsi="Times New Roman"/>
          <w:color w:val="000000"/>
          <w:sz w:val="24"/>
          <w:szCs w:val="24"/>
          <w:lang w:val="sr-Cyrl-CS"/>
        </w:rPr>
      </w:pPr>
      <w:r>
        <w:rPr>
          <w:rFonts w:ascii="Times New Roman" w:hAnsi="Times New Roman"/>
          <w:color w:val="000000"/>
          <w:sz w:val="24"/>
          <w:szCs w:val="24"/>
          <w:lang w:val="sr-Cyrl-CS"/>
        </w:rPr>
        <w:t>Управа за спречава</w:t>
      </w:r>
      <w:r w:rsidR="003D0D97">
        <w:rPr>
          <w:rFonts w:ascii="Times New Roman" w:hAnsi="Times New Roman"/>
          <w:color w:val="000000"/>
          <w:sz w:val="24"/>
          <w:szCs w:val="24"/>
          <w:lang w:val="sr-Cyrl-CS"/>
        </w:rPr>
        <w:t>ње прања новца</w:t>
      </w:r>
      <w:r w:rsidR="00260203">
        <w:rPr>
          <w:rFonts w:ascii="Times New Roman" w:hAnsi="Times New Roman"/>
          <w:color w:val="000000"/>
          <w:sz w:val="24"/>
          <w:szCs w:val="24"/>
          <w:lang w:val="sr-Cyrl-CS"/>
        </w:rPr>
        <w:t xml:space="preserve"> </w:t>
      </w:r>
      <w:r w:rsidR="005A184C">
        <w:rPr>
          <w:rFonts w:ascii="Times New Roman" w:hAnsi="Times New Roman"/>
          <w:color w:val="000000"/>
          <w:sz w:val="24"/>
          <w:szCs w:val="24"/>
          <w:lang w:val="sr-Cyrl-CS"/>
        </w:rPr>
        <w:t>представља</w:t>
      </w:r>
      <w:r w:rsidR="005A184C" w:rsidRPr="005A184C">
        <w:rPr>
          <w:rFonts w:ascii="Times New Roman" w:hAnsi="Times New Roman"/>
          <w:color w:val="000000"/>
          <w:sz w:val="24"/>
          <w:szCs w:val="24"/>
          <w:lang w:val="sr-Cyrl-CS"/>
        </w:rPr>
        <w:t xml:space="preserve"> </w:t>
      </w:r>
      <w:r w:rsidR="005A184C">
        <w:rPr>
          <w:rFonts w:ascii="Times New Roman" w:hAnsi="Times New Roman"/>
          <w:color w:val="000000"/>
          <w:sz w:val="24"/>
          <w:szCs w:val="24"/>
          <w:lang w:val="sr-Cyrl-CS"/>
        </w:rPr>
        <w:t>централни орган у систему против прања новца и финасирања тероризма. Ради се о финансијско-обавештајној служби Републике Србије</w:t>
      </w:r>
      <w:r w:rsidR="003D0D97">
        <w:rPr>
          <w:rFonts w:ascii="Times New Roman" w:hAnsi="Times New Roman"/>
          <w:color w:val="000000"/>
          <w:sz w:val="24"/>
          <w:szCs w:val="24"/>
          <w:lang w:val="sr-Cyrl-CS"/>
        </w:rPr>
        <w:t xml:space="preserve">. </w:t>
      </w:r>
      <w:r w:rsidR="005A184C">
        <w:rPr>
          <w:rFonts w:ascii="Times New Roman" w:hAnsi="Times New Roman"/>
          <w:color w:val="000000"/>
          <w:sz w:val="24"/>
          <w:szCs w:val="24"/>
          <w:lang w:val="sr-Cyrl-CS"/>
        </w:rPr>
        <w:t xml:space="preserve">Према </w:t>
      </w:r>
      <w:r w:rsidR="003D0D97">
        <w:rPr>
          <w:rFonts w:ascii="Times New Roman" w:hAnsi="Times New Roman"/>
          <w:color w:val="000000"/>
          <w:sz w:val="24"/>
          <w:szCs w:val="24"/>
          <w:lang w:val="sr-Cyrl-CS"/>
        </w:rPr>
        <w:t xml:space="preserve">Закону о спречавању прања новца и финасирања тероризма </w:t>
      </w:r>
      <w:r w:rsidR="005A184C">
        <w:rPr>
          <w:rFonts w:ascii="Times New Roman" w:hAnsi="Times New Roman"/>
          <w:color w:val="000000"/>
          <w:sz w:val="24"/>
          <w:szCs w:val="24"/>
          <w:lang w:val="sr-Cyrl-CS"/>
        </w:rPr>
        <w:t xml:space="preserve">овој службиј обвезници </w:t>
      </w:r>
      <w:r w:rsidR="003D0D97">
        <w:rPr>
          <w:rFonts w:ascii="Times New Roman" w:hAnsi="Times New Roman"/>
          <w:color w:val="000000"/>
          <w:sz w:val="24"/>
          <w:szCs w:val="24"/>
          <w:lang w:val="sr-Cyrl-CS"/>
        </w:rPr>
        <w:t>достављају извештаје о сумњивим трансакцијама и лиц</w:t>
      </w:r>
      <w:r w:rsidR="00364CA3">
        <w:rPr>
          <w:rFonts w:ascii="Times New Roman" w:hAnsi="Times New Roman"/>
          <w:color w:val="000000"/>
          <w:sz w:val="24"/>
          <w:szCs w:val="24"/>
          <w:lang w:val="sr-Cyrl-CS"/>
        </w:rPr>
        <w:t>и</w:t>
      </w:r>
      <w:r w:rsidR="003D0D97">
        <w:rPr>
          <w:rFonts w:ascii="Times New Roman" w:hAnsi="Times New Roman"/>
          <w:color w:val="000000"/>
          <w:sz w:val="24"/>
          <w:szCs w:val="24"/>
          <w:lang w:val="sr-Cyrl-CS"/>
        </w:rPr>
        <w:t>ма, које затим Управа за спреча</w:t>
      </w:r>
      <w:r w:rsidR="00C12230">
        <w:rPr>
          <w:rFonts w:ascii="Times New Roman" w:hAnsi="Times New Roman"/>
          <w:color w:val="000000"/>
          <w:sz w:val="24"/>
          <w:szCs w:val="24"/>
          <w:lang w:val="sr-Cyrl-CS"/>
        </w:rPr>
        <w:t>вање прања новца даље анализира и</w:t>
      </w:r>
      <w:r w:rsidR="003D0D97">
        <w:rPr>
          <w:rFonts w:ascii="Times New Roman" w:hAnsi="Times New Roman"/>
          <w:color w:val="000000"/>
          <w:sz w:val="24"/>
          <w:szCs w:val="24"/>
          <w:lang w:val="sr-Cyrl-CS"/>
        </w:rPr>
        <w:t xml:space="preserve"> прикупља додатне информације</w:t>
      </w:r>
      <w:r w:rsidR="00C12230">
        <w:rPr>
          <w:rFonts w:ascii="Times New Roman" w:hAnsi="Times New Roman"/>
          <w:color w:val="000000"/>
          <w:sz w:val="24"/>
          <w:szCs w:val="24"/>
          <w:lang w:val="sr-Cyrl-CS"/>
        </w:rPr>
        <w:t>.</w:t>
      </w:r>
      <w:r w:rsidR="003D0D97">
        <w:rPr>
          <w:rFonts w:ascii="Times New Roman" w:hAnsi="Times New Roman"/>
          <w:color w:val="000000"/>
          <w:sz w:val="24"/>
          <w:szCs w:val="24"/>
          <w:lang w:val="sr-Cyrl-CS"/>
        </w:rPr>
        <w:t xml:space="preserve"> </w:t>
      </w:r>
      <w:r w:rsidR="00C12230">
        <w:rPr>
          <w:rFonts w:ascii="Times New Roman" w:hAnsi="Times New Roman"/>
          <w:color w:val="000000"/>
          <w:sz w:val="24"/>
          <w:szCs w:val="24"/>
          <w:lang w:val="sr-Cyrl-CS"/>
        </w:rPr>
        <w:t xml:space="preserve">Уколико </w:t>
      </w:r>
      <w:r w:rsidR="003D0D97">
        <w:rPr>
          <w:rFonts w:ascii="Times New Roman" w:hAnsi="Times New Roman"/>
          <w:color w:val="000000"/>
          <w:sz w:val="24"/>
          <w:szCs w:val="24"/>
          <w:lang w:val="sr-Cyrl-CS"/>
        </w:rPr>
        <w:t>нађе да у конкретном случају постоји основан</w:t>
      </w:r>
      <w:r w:rsidR="00260203">
        <w:rPr>
          <w:rFonts w:ascii="Times New Roman" w:hAnsi="Times New Roman"/>
          <w:color w:val="000000"/>
          <w:sz w:val="24"/>
          <w:szCs w:val="24"/>
          <w:lang w:val="sr-Cyrl-CS"/>
        </w:rPr>
        <w:t xml:space="preserve">а сумња да неко лице пере новац, податке о томе </w:t>
      </w:r>
      <w:r w:rsidR="00C12230">
        <w:rPr>
          <w:rFonts w:ascii="Times New Roman" w:hAnsi="Times New Roman"/>
          <w:color w:val="000000"/>
          <w:sz w:val="24"/>
          <w:szCs w:val="24"/>
          <w:lang w:val="sr-Cyrl-CS"/>
        </w:rPr>
        <w:t xml:space="preserve">даље </w:t>
      </w:r>
      <w:r w:rsidR="00260203">
        <w:rPr>
          <w:rFonts w:ascii="Times New Roman" w:hAnsi="Times New Roman"/>
          <w:color w:val="000000"/>
          <w:sz w:val="24"/>
          <w:szCs w:val="24"/>
          <w:lang w:val="sr-Cyrl-CS"/>
        </w:rPr>
        <w:t xml:space="preserve">прослеђује надлежним органима, а пре свега </w:t>
      </w:r>
      <w:r w:rsidR="00C12230">
        <w:rPr>
          <w:rFonts w:ascii="Times New Roman" w:hAnsi="Times New Roman"/>
          <w:color w:val="000000"/>
          <w:sz w:val="24"/>
          <w:szCs w:val="24"/>
          <w:lang w:val="sr-Cyrl-CS"/>
        </w:rPr>
        <w:t>тужилаштву и полицији. Управа може и</w:t>
      </w:r>
      <w:r w:rsidR="00260203">
        <w:rPr>
          <w:rFonts w:ascii="Times New Roman" w:hAnsi="Times New Roman"/>
          <w:color w:val="000000"/>
          <w:sz w:val="24"/>
          <w:szCs w:val="24"/>
          <w:lang w:val="sr-Cyrl-CS"/>
        </w:rPr>
        <w:t xml:space="preserve"> без претходне пријаве</w:t>
      </w:r>
      <w:r w:rsidR="00364CA3">
        <w:rPr>
          <w:rFonts w:ascii="Times New Roman" w:hAnsi="Times New Roman"/>
          <w:color w:val="000000"/>
          <w:sz w:val="24"/>
          <w:szCs w:val="24"/>
          <w:lang w:val="sr-Cyrl-CS"/>
        </w:rPr>
        <w:t xml:space="preserve"> </w:t>
      </w:r>
      <w:r w:rsidR="00260203">
        <w:rPr>
          <w:rFonts w:ascii="Times New Roman" w:hAnsi="Times New Roman"/>
          <w:color w:val="000000"/>
          <w:sz w:val="24"/>
          <w:szCs w:val="24"/>
          <w:lang w:val="sr-Cyrl-CS"/>
        </w:rPr>
        <w:t>сама уочити да постоји основана сумња да неко лице ил</w:t>
      </w:r>
      <w:r w:rsidR="00C12230">
        <w:rPr>
          <w:rFonts w:ascii="Times New Roman" w:hAnsi="Times New Roman"/>
          <w:color w:val="000000"/>
          <w:sz w:val="24"/>
          <w:szCs w:val="24"/>
          <w:lang w:val="sr-Cyrl-CS"/>
        </w:rPr>
        <w:t>и организована група пере новац. У том случају</w:t>
      </w:r>
      <w:r w:rsidR="00260203">
        <w:rPr>
          <w:rFonts w:ascii="Times New Roman" w:hAnsi="Times New Roman"/>
          <w:color w:val="000000"/>
          <w:sz w:val="24"/>
          <w:szCs w:val="24"/>
          <w:lang w:val="sr-Cyrl-CS"/>
        </w:rPr>
        <w:t xml:space="preserve"> </w:t>
      </w:r>
      <w:r w:rsidR="00C12230">
        <w:rPr>
          <w:rFonts w:ascii="Times New Roman" w:hAnsi="Times New Roman"/>
          <w:color w:val="000000"/>
          <w:sz w:val="24"/>
          <w:szCs w:val="24"/>
          <w:lang w:val="sr-Cyrl-CS"/>
        </w:rPr>
        <w:t>може да затражи</w:t>
      </w:r>
      <w:r w:rsidR="00260203">
        <w:rPr>
          <w:rFonts w:ascii="Times New Roman" w:hAnsi="Times New Roman"/>
          <w:color w:val="000000"/>
          <w:sz w:val="24"/>
          <w:szCs w:val="24"/>
          <w:lang w:val="sr-Cyrl-CS"/>
        </w:rPr>
        <w:t xml:space="preserve"> податке од обвезника и других државних органа. </w:t>
      </w:r>
      <w:r w:rsidR="00C12230">
        <w:rPr>
          <w:rFonts w:ascii="Times New Roman" w:hAnsi="Times New Roman"/>
          <w:color w:val="000000"/>
          <w:sz w:val="24"/>
          <w:szCs w:val="24"/>
          <w:lang w:val="sr-Cyrl-CS"/>
        </w:rPr>
        <w:t>Осим тога</w:t>
      </w:r>
      <w:r w:rsidR="00260203">
        <w:rPr>
          <w:rFonts w:ascii="Times New Roman" w:hAnsi="Times New Roman"/>
          <w:color w:val="000000"/>
          <w:sz w:val="24"/>
          <w:szCs w:val="24"/>
          <w:lang w:val="sr-Cyrl-CS"/>
        </w:rPr>
        <w:t xml:space="preserve">, Управа може </w:t>
      </w:r>
      <w:r w:rsidR="00C12230">
        <w:rPr>
          <w:rFonts w:ascii="Times New Roman" w:hAnsi="Times New Roman"/>
          <w:color w:val="000000"/>
          <w:sz w:val="24"/>
          <w:szCs w:val="24"/>
          <w:lang w:val="sr-Cyrl-CS"/>
        </w:rPr>
        <w:t>да поступа</w:t>
      </w:r>
      <w:r w:rsidR="00260203">
        <w:rPr>
          <w:rFonts w:ascii="Times New Roman" w:hAnsi="Times New Roman"/>
          <w:color w:val="000000"/>
          <w:sz w:val="24"/>
          <w:szCs w:val="24"/>
          <w:lang w:val="sr-Cyrl-CS"/>
        </w:rPr>
        <w:t xml:space="preserve"> и на основу иницијативе другог државног органа, као што су судови, тужилаштва, Безбедносно-информативна аген</w:t>
      </w:r>
      <w:r w:rsidR="00364CA3">
        <w:rPr>
          <w:rFonts w:ascii="Times New Roman" w:hAnsi="Times New Roman"/>
          <w:color w:val="000000"/>
          <w:sz w:val="24"/>
          <w:szCs w:val="24"/>
          <w:lang w:val="sr-Cyrl-CS"/>
        </w:rPr>
        <w:t>ција, А</w:t>
      </w:r>
      <w:r w:rsidR="00260203">
        <w:rPr>
          <w:rFonts w:ascii="Times New Roman" w:hAnsi="Times New Roman"/>
          <w:color w:val="000000"/>
          <w:sz w:val="24"/>
          <w:szCs w:val="24"/>
          <w:lang w:val="sr-Cyrl-CS"/>
        </w:rPr>
        <w:t>генција за приватизацију, Комисија за хартије од вредности и др.</w:t>
      </w:r>
      <w:r w:rsidR="00260203">
        <w:rPr>
          <w:rStyle w:val="FootnoteReference"/>
          <w:rFonts w:ascii="Times New Roman" w:hAnsi="Times New Roman"/>
          <w:color w:val="000000"/>
          <w:sz w:val="24"/>
          <w:szCs w:val="24"/>
          <w:lang w:val="sr-Cyrl-CS"/>
        </w:rPr>
        <w:footnoteReference w:id="891"/>
      </w:r>
      <w:r w:rsidR="008045FD">
        <w:rPr>
          <w:rFonts w:ascii="Times New Roman" w:hAnsi="Times New Roman"/>
          <w:color w:val="000000"/>
          <w:sz w:val="24"/>
          <w:szCs w:val="24"/>
          <w:lang w:val="sr-Cyrl-CS"/>
        </w:rPr>
        <w:t xml:space="preserve"> </w:t>
      </w:r>
      <w:r w:rsidR="006F1DCB">
        <w:rPr>
          <w:rFonts w:ascii="Times New Roman" w:hAnsi="Times New Roman"/>
          <w:color w:val="000000"/>
          <w:sz w:val="24"/>
          <w:szCs w:val="24"/>
          <w:lang w:val="sr-Cyrl-CS"/>
        </w:rPr>
        <w:t xml:space="preserve"> </w:t>
      </w:r>
    </w:p>
    <w:p w:rsidR="003D0D97" w:rsidRPr="003D0D97" w:rsidRDefault="009C6B07" w:rsidP="008045FD">
      <w:pPr>
        <w:ind w:firstLine="708"/>
        <w:jc w:val="both"/>
        <w:rPr>
          <w:rFonts w:ascii="Times New Roman" w:hAnsi="Times New Roman"/>
          <w:color w:val="000000"/>
          <w:sz w:val="24"/>
          <w:szCs w:val="24"/>
          <w:lang w:val="sr-Cyrl-CS"/>
        </w:rPr>
      </w:pPr>
      <w:r>
        <w:rPr>
          <w:rFonts w:ascii="Times New Roman" w:hAnsi="Times New Roman"/>
          <w:color w:val="000000"/>
          <w:sz w:val="24"/>
          <w:szCs w:val="24"/>
          <w:lang w:val="sr-Cyrl-CS"/>
        </w:rPr>
        <w:t>Осим</w:t>
      </w:r>
      <w:r w:rsidR="008045FD">
        <w:rPr>
          <w:rFonts w:ascii="Times New Roman" w:hAnsi="Times New Roman"/>
          <w:color w:val="000000"/>
          <w:sz w:val="24"/>
          <w:szCs w:val="24"/>
          <w:lang w:val="sr-Cyrl-CS"/>
        </w:rPr>
        <w:t xml:space="preserve"> тога, Управа сарађује са другим органима као што су: Народна банка Србије, Пореска управа, Тржишна инспекци</w:t>
      </w:r>
      <w:r w:rsidR="00364CA3">
        <w:rPr>
          <w:rFonts w:ascii="Times New Roman" w:hAnsi="Times New Roman"/>
          <w:color w:val="000000"/>
          <w:sz w:val="24"/>
          <w:szCs w:val="24"/>
          <w:lang w:val="sr-Cyrl-CS"/>
        </w:rPr>
        <w:t>ја, Девизни иснпекторат, Комора</w:t>
      </w:r>
      <w:r w:rsidR="008045FD">
        <w:rPr>
          <w:rFonts w:ascii="Times New Roman" w:hAnsi="Times New Roman"/>
          <w:color w:val="000000"/>
          <w:sz w:val="24"/>
          <w:szCs w:val="24"/>
          <w:lang w:val="sr-Cyrl-CS"/>
        </w:rPr>
        <w:t xml:space="preserve"> овлашћених рев</w:t>
      </w:r>
      <w:r w:rsidR="00364CA3">
        <w:rPr>
          <w:rFonts w:ascii="Times New Roman" w:hAnsi="Times New Roman"/>
          <w:color w:val="000000"/>
          <w:sz w:val="24"/>
          <w:szCs w:val="24"/>
          <w:lang w:val="sr-Cyrl-CS"/>
        </w:rPr>
        <w:t>изора, Управа царина, Агенција</w:t>
      </w:r>
      <w:r w:rsidR="008045FD">
        <w:rPr>
          <w:rFonts w:ascii="Times New Roman" w:hAnsi="Times New Roman"/>
          <w:color w:val="000000"/>
          <w:sz w:val="24"/>
          <w:szCs w:val="24"/>
          <w:lang w:val="sr-Cyrl-CS"/>
        </w:rPr>
        <w:t xml:space="preserve"> за приватизацију и сл.</w:t>
      </w:r>
    </w:p>
    <w:p w:rsidR="003D0D97" w:rsidRPr="00D54BAB" w:rsidRDefault="00364CA3" w:rsidP="00D54BAB">
      <w:pPr>
        <w:ind w:firstLine="708"/>
        <w:jc w:val="both"/>
        <w:rPr>
          <w:rFonts w:ascii="Times New Roman" w:hAnsi="Times New Roman"/>
          <w:b/>
          <w:color w:val="000000"/>
          <w:sz w:val="24"/>
          <w:szCs w:val="24"/>
          <w:lang w:val="sr-Cyrl-CS"/>
        </w:rPr>
      </w:pPr>
      <w:r w:rsidRPr="00D54BAB">
        <w:rPr>
          <w:rFonts w:ascii="Times New Roman" w:hAnsi="Times New Roman"/>
          <w:color w:val="000000"/>
          <w:sz w:val="24"/>
          <w:szCs w:val="24"/>
          <w:lang w:val="sr-Cyrl-CS"/>
        </w:rPr>
        <w:lastRenderedPageBreak/>
        <w:t>Према</w:t>
      </w:r>
      <w:r>
        <w:rPr>
          <w:rFonts w:ascii="Arial" w:hAnsi="Arial" w:cs="Arial"/>
          <w:color w:val="000000"/>
          <w:sz w:val="18"/>
          <w:szCs w:val="18"/>
          <w:lang w:val="sr-Cyrl-CS"/>
        </w:rPr>
        <w:t xml:space="preserve"> </w:t>
      </w:r>
      <w:r w:rsidRPr="00364CA3">
        <w:rPr>
          <w:rFonts w:ascii="Times New Roman" w:hAnsi="Times New Roman"/>
          <w:color w:val="000000"/>
          <w:sz w:val="24"/>
          <w:szCs w:val="24"/>
          <w:lang w:val="sr-Cyrl-CS"/>
        </w:rPr>
        <w:t>Закон</w:t>
      </w:r>
      <w:r>
        <w:rPr>
          <w:rFonts w:ascii="Times New Roman" w:hAnsi="Times New Roman"/>
          <w:color w:val="000000"/>
          <w:sz w:val="24"/>
          <w:szCs w:val="24"/>
          <w:lang w:val="sr-Cyrl-CS"/>
        </w:rPr>
        <w:t>у</w:t>
      </w:r>
      <w:r w:rsidRPr="00364CA3">
        <w:rPr>
          <w:rFonts w:ascii="Times New Roman" w:hAnsi="Times New Roman"/>
          <w:color w:val="000000"/>
          <w:sz w:val="24"/>
          <w:szCs w:val="24"/>
          <w:lang w:val="sr-Cyrl-CS"/>
        </w:rPr>
        <w:t xml:space="preserve"> о спречавању прања новца и финансирања тероризма</w:t>
      </w:r>
      <w:r>
        <w:rPr>
          <w:rStyle w:val="FootnoteReference"/>
          <w:rFonts w:ascii="Times New Roman" w:hAnsi="Times New Roman"/>
          <w:color w:val="000000"/>
          <w:sz w:val="24"/>
          <w:szCs w:val="24"/>
          <w:lang w:val="sr-Cyrl-CS"/>
        </w:rPr>
        <w:footnoteReference w:id="892"/>
      </w:r>
      <w:r>
        <w:rPr>
          <w:rFonts w:ascii="Times New Roman" w:hAnsi="Times New Roman"/>
          <w:color w:val="000000"/>
          <w:sz w:val="24"/>
          <w:szCs w:val="24"/>
          <w:lang w:val="sr-Cyrl-CS"/>
        </w:rPr>
        <w:t xml:space="preserve"> </w:t>
      </w:r>
      <w:r w:rsidR="00D54BAB">
        <w:rPr>
          <w:rFonts w:ascii="Times New Roman" w:hAnsi="Times New Roman"/>
          <w:color w:val="000000"/>
          <w:sz w:val="24"/>
          <w:szCs w:val="24"/>
          <w:lang w:val="sr-Cyrl-CS"/>
        </w:rPr>
        <w:t>У</w:t>
      </w:r>
      <w:r w:rsidR="0080098E" w:rsidRPr="00D54BAB">
        <w:rPr>
          <w:rFonts w:ascii="Times New Roman" w:hAnsi="Times New Roman"/>
          <w:color w:val="000000"/>
          <w:sz w:val="24"/>
          <w:szCs w:val="24"/>
        </w:rPr>
        <w:t>права</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за</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спречавање</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прања</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новца</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образује</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се</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као</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орган</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управе</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у</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саставу</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министарства</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надлежног</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за</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послове</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финансија</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Управа</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обавља</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финансијско</w:t>
      </w:r>
      <w:r w:rsidR="003D0D97" w:rsidRPr="00D54BAB">
        <w:rPr>
          <w:rFonts w:ascii="Times New Roman" w:hAnsi="Times New Roman"/>
          <w:color w:val="000000"/>
          <w:sz w:val="24"/>
          <w:szCs w:val="24"/>
        </w:rPr>
        <w:t>-</w:t>
      </w:r>
      <w:r w:rsidR="0080098E" w:rsidRPr="00D54BAB">
        <w:rPr>
          <w:rFonts w:ascii="Times New Roman" w:hAnsi="Times New Roman"/>
          <w:color w:val="000000"/>
          <w:sz w:val="24"/>
          <w:szCs w:val="24"/>
        </w:rPr>
        <w:t>информационе</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послове</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прикупља</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обрађује</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анализира</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и</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прослеђује</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надлежним</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органима</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информације</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податке</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и</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документацију</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коју</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прибавља</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у</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складу</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са</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овим</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законом</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и</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врши</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друге</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послове</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који</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се</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односе</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на</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спречавање</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и</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откривање</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прања</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новца</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и</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финансирања</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тероризма</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у</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складу</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са</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законом</w:t>
      </w:r>
      <w:r w:rsidR="003D0D97" w:rsidRPr="00D54BAB">
        <w:rPr>
          <w:rFonts w:ascii="Times New Roman" w:hAnsi="Times New Roman"/>
          <w:color w:val="000000"/>
          <w:sz w:val="24"/>
          <w:szCs w:val="24"/>
        </w:rPr>
        <w:t>.</w:t>
      </w:r>
      <w:r w:rsidRPr="00D54BAB">
        <w:rPr>
          <w:rFonts w:ascii="Times New Roman" w:hAnsi="Times New Roman"/>
          <w:color w:val="000000"/>
          <w:sz w:val="24"/>
          <w:szCs w:val="24"/>
          <w:lang w:val="sr-Cyrl-CS"/>
        </w:rPr>
        <w:t xml:space="preserve"> </w:t>
      </w:r>
      <w:r w:rsidR="0080098E" w:rsidRPr="00D54BAB">
        <w:rPr>
          <w:rFonts w:ascii="Times New Roman" w:hAnsi="Times New Roman"/>
          <w:color w:val="000000"/>
          <w:sz w:val="24"/>
          <w:szCs w:val="24"/>
        </w:rPr>
        <w:t>Ако</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Управа</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оцени</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да</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у</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вези</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са</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одређеним</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трансакцијама</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или</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лицима</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постоје</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основи</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сумње</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да</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се</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ради</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о</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прању</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новца</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или</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финансирању</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тероризма</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може</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од</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обвезника</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да</w:t>
      </w:r>
      <w:r w:rsidR="003D0D97" w:rsidRPr="00D54BAB">
        <w:rPr>
          <w:rFonts w:ascii="Times New Roman" w:hAnsi="Times New Roman"/>
          <w:color w:val="000000"/>
          <w:sz w:val="24"/>
          <w:szCs w:val="24"/>
        </w:rPr>
        <w:t xml:space="preserve"> </w:t>
      </w:r>
      <w:r w:rsidR="0080098E" w:rsidRPr="00D54BAB">
        <w:rPr>
          <w:rFonts w:ascii="Times New Roman" w:hAnsi="Times New Roman"/>
          <w:color w:val="000000"/>
          <w:sz w:val="24"/>
          <w:szCs w:val="24"/>
        </w:rPr>
        <w:t>захтева</w:t>
      </w:r>
      <w:r w:rsidR="003D0D97" w:rsidRPr="00D54BAB">
        <w:rPr>
          <w:rFonts w:ascii="Times New Roman" w:hAnsi="Times New Roman"/>
          <w:color w:val="000000"/>
          <w:sz w:val="24"/>
          <w:szCs w:val="24"/>
        </w:rPr>
        <w:t>:</w:t>
      </w:r>
    </w:p>
    <w:p w:rsidR="003D0D97" w:rsidRDefault="003D0D97" w:rsidP="00D54BAB">
      <w:pPr>
        <w:pStyle w:val="normaluvuceni"/>
        <w:shd w:val="clear" w:color="auto" w:fill="FFFFFF"/>
        <w:spacing w:before="48" w:beforeAutospacing="0" w:after="48" w:afterAutospacing="0"/>
        <w:ind w:left="1134" w:hanging="142"/>
        <w:jc w:val="both"/>
        <w:rPr>
          <w:color w:val="000000"/>
          <w:lang w:val="sr-Cyrl-CS"/>
        </w:rPr>
      </w:pPr>
      <w:r w:rsidRPr="00D54BAB">
        <w:rPr>
          <w:color w:val="000000"/>
        </w:rPr>
        <w:t xml:space="preserve">1) </w:t>
      </w:r>
      <w:r w:rsidR="0080098E" w:rsidRPr="00D54BAB">
        <w:rPr>
          <w:color w:val="000000"/>
        </w:rPr>
        <w:t>податке</w:t>
      </w:r>
      <w:r w:rsidRPr="00D54BAB">
        <w:rPr>
          <w:color w:val="000000"/>
        </w:rPr>
        <w:t xml:space="preserve"> </w:t>
      </w:r>
      <w:r w:rsidR="0080098E" w:rsidRPr="00D54BAB">
        <w:rPr>
          <w:color w:val="000000"/>
        </w:rPr>
        <w:t>из</w:t>
      </w:r>
      <w:r w:rsidRPr="00D54BAB">
        <w:rPr>
          <w:color w:val="000000"/>
        </w:rPr>
        <w:t xml:space="preserve"> </w:t>
      </w:r>
      <w:r w:rsidR="0080098E" w:rsidRPr="00D54BAB">
        <w:rPr>
          <w:color w:val="000000"/>
        </w:rPr>
        <w:t>евиденција</w:t>
      </w:r>
      <w:r w:rsidRPr="00D54BAB">
        <w:rPr>
          <w:color w:val="000000"/>
        </w:rPr>
        <w:t xml:space="preserve"> </w:t>
      </w:r>
      <w:r w:rsidR="0080098E" w:rsidRPr="00D54BAB">
        <w:rPr>
          <w:color w:val="000000"/>
        </w:rPr>
        <w:t>о</w:t>
      </w:r>
      <w:r w:rsidRPr="00D54BAB">
        <w:rPr>
          <w:color w:val="000000"/>
        </w:rPr>
        <w:t xml:space="preserve"> </w:t>
      </w:r>
      <w:r w:rsidR="0080098E" w:rsidRPr="00D54BAB">
        <w:rPr>
          <w:color w:val="000000"/>
        </w:rPr>
        <w:t>странкама</w:t>
      </w:r>
      <w:r w:rsidRPr="00D54BAB">
        <w:rPr>
          <w:color w:val="000000"/>
        </w:rPr>
        <w:t xml:space="preserve"> </w:t>
      </w:r>
      <w:r w:rsidR="0080098E" w:rsidRPr="00D54BAB">
        <w:rPr>
          <w:color w:val="000000"/>
        </w:rPr>
        <w:t>и</w:t>
      </w:r>
      <w:r w:rsidRPr="00D54BAB">
        <w:rPr>
          <w:color w:val="000000"/>
        </w:rPr>
        <w:t xml:space="preserve"> </w:t>
      </w:r>
      <w:r w:rsidR="0080098E" w:rsidRPr="00D54BAB">
        <w:rPr>
          <w:color w:val="000000"/>
        </w:rPr>
        <w:t>трансакцијама</w:t>
      </w:r>
      <w:r w:rsidRPr="00D54BAB">
        <w:rPr>
          <w:color w:val="000000"/>
        </w:rPr>
        <w:t xml:space="preserve"> </w:t>
      </w:r>
      <w:r w:rsidR="0080098E" w:rsidRPr="00D54BAB">
        <w:rPr>
          <w:color w:val="000000"/>
        </w:rPr>
        <w:t>које</w:t>
      </w:r>
      <w:r w:rsidRPr="00D54BAB">
        <w:rPr>
          <w:color w:val="000000"/>
        </w:rPr>
        <w:t xml:space="preserve"> </w:t>
      </w:r>
      <w:r w:rsidR="0080098E" w:rsidRPr="00D54BAB">
        <w:rPr>
          <w:color w:val="000000"/>
        </w:rPr>
        <w:t>обвезник</w:t>
      </w:r>
      <w:r w:rsidRPr="00D54BAB">
        <w:rPr>
          <w:color w:val="000000"/>
        </w:rPr>
        <w:t xml:space="preserve"> </w:t>
      </w:r>
      <w:r w:rsidR="0080098E" w:rsidRPr="00D54BAB">
        <w:rPr>
          <w:color w:val="000000"/>
        </w:rPr>
        <w:t>води</w:t>
      </w:r>
      <w:r w:rsidRPr="00D54BAB">
        <w:rPr>
          <w:color w:val="000000"/>
        </w:rPr>
        <w:t>;</w:t>
      </w:r>
    </w:p>
    <w:p w:rsidR="00D54BAB" w:rsidRPr="00D54BAB" w:rsidRDefault="00D54BAB" w:rsidP="00D54BAB">
      <w:pPr>
        <w:pStyle w:val="normaluvuceni"/>
        <w:shd w:val="clear" w:color="auto" w:fill="FFFFFF"/>
        <w:spacing w:before="48" w:beforeAutospacing="0" w:after="48" w:afterAutospacing="0"/>
        <w:ind w:left="1134" w:hanging="142"/>
        <w:jc w:val="both"/>
        <w:rPr>
          <w:color w:val="000000"/>
          <w:lang w:val="sr-Cyrl-CS"/>
        </w:rPr>
      </w:pPr>
    </w:p>
    <w:p w:rsidR="003D0D97" w:rsidRPr="00D54BAB" w:rsidRDefault="003D0D97" w:rsidP="00D54BAB">
      <w:pPr>
        <w:pStyle w:val="normaluvuceni"/>
        <w:shd w:val="clear" w:color="auto" w:fill="FFFFFF"/>
        <w:spacing w:before="48" w:beforeAutospacing="0" w:after="48" w:afterAutospacing="0"/>
        <w:ind w:left="1134" w:hanging="142"/>
        <w:jc w:val="both"/>
        <w:rPr>
          <w:color w:val="000000"/>
        </w:rPr>
      </w:pPr>
      <w:r w:rsidRPr="00D54BAB">
        <w:rPr>
          <w:color w:val="000000"/>
        </w:rPr>
        <w:t xml:space="preserve">2) </w:t>
      </w:r>
      <w:r w:rsidR="0080098E" w:rsidRPr="00D54BAB">
        <w:rPr>
          <w:color w:val="000000"/>
        </w:rPr>
        <w:t>податке</w:t>
      </w:r>
      <w:r w:rsidRPr="00D54BAB">
        <w:rPr>
          <w:color w:val="000000"/>
        </w:rPr>
        <w:t xml:space="preserve"> </w:t>
      </w:r>
      <w:r w:rsidR="0080098E" w:rsidRPr="00D54BAB">
        <w:rPr>
          <w:color w:val="000000"/>
        </w:rPr>
        <w:t>о</w:t>
      </w:r>
      <w:r w:rsidRPr="00D54BAB">
        <w:rPr>
          <w:color w:val="000000"/>
        </w:rPr>
        <w:t xml:space="preserve"> </w:t>
      </w:r>
      <w:r w:rsidR="0080098E" w:rsidRPr="00D54BAB">
        <w:rPr>
          <w:color w:val="000000"/>
        </w:rPr>
        <w:t>новцу</w:t>
      </w:r>
      <w:r w:rsidRPr="00D54BAB">
        <w:rPr>
          <w:color w:val="000000"/>
        </w:rPr>
        <w:t xml:space="preserve"> </w:t>
      </w:r>
      <w:r w:rsidR="0080098E" w:rsidRPr="00D54BAB">
        <w:rPr>
          <w:color w:val="000000"/>
        </w:rPr>
        <w:t>и</w:t>
      </w:r>
      <w:r w:rsidRPr="00D54BAB">
        <w:rPr>
          <w:color w:val="000000"/>
        </w:rPr>
        <w:t xml:space="preserve"> </w:t>
      </w:r>
      <w:r w:rsidR="0080098E" w:rsidRPr="00D54BAB">
        <w:rPr>
          <w:color w:val="000000"/>
        </w:rPr>
        <w:t>имовини</w:t>
      </w:r>
      <w:r w:rsidRPr="00D54BAB">
        <w:rPr>
          <w:color w:val="000000"/>
        </w:rPr>
        <w:t xml:space="preserve"> </w:t>
      </w:r>
      <w:r w:rsidR="0080098E" w:rsidRPr="00D54BAB">
        <w:rPr>
          <w:color w:val="000000"/>
        </w:rPr>
        <w:t>странке</w:t>
      </w:r>
      <w:r w:rsidRPr="00D54BAB">
        <w:rPr>
          <w:color w:val="000000"/>
        </w:rPr>
        <w:t xml:space="preserve"> </w:t>
      </w:r>
      <w:r w:rsidR="0080098E" w:rsidRPr="00D54BAB">
        <w:rPr>
          <w:color w:val="000000"/>
        </w:rPr>
        <w:t>код</w:t>
      </w:r>
      <w:r w:rsidRPr="00D54BAB">
        <w:rPr>
          <w:color w:val="000000"/>
        </w:rPr>
        <w:t xml:space="preserve"> </w:t>
      </w:r>
      <w:r w:rsidR="0080098E" w:rsidRPr="00D54BAB">
        <w:rPr>
          <w:color w:val="000000"/>
        </w:rPr>
        <w:t>обвезника</w:t>
      </w:r>
      <w:r w:rsidRPr="00D54BAB">
        <w:rPr>
          <w:color w:val="000000"/>
        </w:rPr>
        <w:t>;</w:t>
      </w:r>
    </w:p>
    <w:p w:rsidR="003D0D97" w:rsidRDefault="003D0D97" w:rsidP="00D54BAB">
      <w:pPr>
        <w:pStyle w:val="normaluvuceni"/>
        <w:shd w:val="clear" w:color="auto" w:fill="FFFFFF"/>
        <w:spacing w:before="48" w:beforeAutospacing="0" w:after="48" w:afterAutospacing="0"/>
        <w:ind w:left="1134" w:hanging="142"/>
        <w:jc w:val="both"/>
        <w:rPr>
          <w:color w:val="000000"/>
          <w:lang w:val="sr-Cyrl-CS"/>
        </w:rPr>
      </w:pPr>
      <w:r w:rsidRPr="00D54BAB">
        <w:rPr>
          <w:color w:val="000000"/>
        </w:rPr>
        <w:t xml:space="preserve">3) </w:t>
      </w:r>
      <w:r w:rsidR="0080098E" w:rsidRPr="00D54BAB">
        <w:rPr>
          <w:color w:val="000000"/>
        </w:rPr>
        <w:t>податке</w:t>
      </w:r>
      <w:r w:rsidRPr="00D54BAB">
        <w:rPr>
          <w:color w:val="000000"/>
        </w:rPr>
        <w:t xml:space="preserve"> </w:t>
      </w:r>
      <w:r w:rsidR="0080098E" w:rsidRPr="00D54BAB">
        <w:rPr>
          <w:color w:val="000000"/>
        </w:rPr>
        <w:t>о</w:t>
      </w:r>
      <w:r w:rsidRPr="00D54BAB">
        <w:rPr>
          <w:color w:val="000000"/>
        </w:rPr>
        <w:t xml:space="preserve"> </w:t>
      </w:r>
      <w:r w:rsidR="0080098E" w:rsidRPr="00D54BAB">
        <w:rPr>
          <w:color w:val="000000"/>
        </w:rPr>
        <w:t>промету</w:t>
      </w:r>
      <w:r w:rsidRPr="00D54BAB">
        <w:rPr>
          <w:color w:val="000000"/>
        </w:rPr>
        <w:t xml:space="preserve"> </w:t>
      </w:r>
      <w:r w:rsidR="0080098E" w:rsidRPr="00D54BAB">
        <w:rPr>
          <w:color w:val="000000"/>
        </w:rPr>
        <w:t>новца</w:t>
      </w:r>
      <w:r w:rsidRPr="00D54BAB">
        <w:rPr>
          <w:color w:val="000000"/>
        </w:rPr>
        <w:t xml:space="preserve"> </w:t>
      </w:r>
      <w:r w:rsidR="0080098E" w:rsidRPr="00D54BAB">
        <w:rPr>
          <w:color w:val="000000"/>
        </w:rPr>
        <w:t>или</w:t>
      </w:r>
      <w:r w:rsidRPr="00D54BAB">
        <w:rPr>
          <w:color w:val="000000"/>
        </w:rPr>
        <w:t xml:space="preserve"> </w:t>
      </w:r>
      <w:r w:rsidR="0080098E" w:rsidRPr="00D54BAB">
        <w:rPr>
          <w:color w:val="000000"/>
        </w:rPr>
        <w:t>имовине</w:t>
      </w:r>
      <w:r w:rsidRPr="00D54BAB">
        <w:rPr>
          <w:color w:val="000000"/>
        </w:rPr>
        <w:t xml:space="preserve"> </w:t>
      </w:r>
      <w:r w:rsidR="0080098E" w:rsidRPr="00D54BAB">
        <w:rPr>
          <w:color w:val="000000"/>
        </w:rPr>
        <w:t>странке</w:t>
      </w:r>
      <w:r w:rsidRPr="00D54BAB">
        <w:rPr>
          <w:color w:val="000000"/>
        </w:rPr>
        <w:t xml:space="preserve"> </w:t>
      </w:r>
      <w:r w:rsidR="0080098E" w:rsidRPr="00D54BAB">
        <w:rPr>
          <w:color w:val="000000"/>
        </w:rPr>
        <w:t>код</w:t>
      </w:r>
      <w:r w:rsidRPr="00D54BAB">
        <w:rPr>
          <w:color w:val="000000"/>
        </w:rPr>
        <w:t xml:space="preserve"> </w:t>
      </w:r>
      <w:r w:rsidR="0080098E" w:rsidRPr="00D54BAB">
        <w:rPr>
          <w:color w:val="000000"/>
        </w:rPr>
        <w:t>обвезника</w:t>
      </w:r>
      <w:r w:rsidRPr="00D54BAB">
        <w:rPr>
          <w:color w:val="000000"/>
        </w:rPr>
        <w:t>;</w:t>
      </w:r>
    </w:p>
    <w:p w:rsidR="00D54BAB" w:rsidRPr="00D54BAB" w:rsidRDefault="00D54BAB" w:rsidP="00D54BAB">
      <w:pPr>
        <w:pStyle w:val="normaluvuceni"/>
        <w:shd w:val="clear" w:color="auto" w:fill="FFFFFF"/>
        <w:spacing w:before="48" w:beforeAutospacing="0" w:after="48" w:afterAutospacing="0"/>
        <w:ind w:left="1134" w:hanging="142"/>
        <w:jc w:val="both"/>
        <w:rPr>
          <w:color w:val="000000"/>
          <w:lang w:val="sr-Cyrl-CS"/>
        </w:rPr>
      </w:pPr>
    </w:p>
    <w:p w:rsidR="003D0D97" w:rsidRDefault="003D0D97" w:rsidP="00D54BAB">
      <w:pPr>
        <w:pStyle w:val="normaluvuceni"/>
        <w:shd w:val="clear" w:color="auto" w:fill="FFFFFF"/>
        <w:spacing w:before="48" w:beforeAutospacing="0" w:after="48" w:afterAutospacing="0"/>
        <w:ind w:left="1134" w:hanging="142"/>
        <w:jc w:val="both"/>
        <w:rPr>
          <w:color w:val="000000"/>
          <w:lang w:val="sr-Cyrl-CS"/>
        </w:rPr>
      </w:pPr>
      <w:r w:rsidRPr="00D54BAB">
        <w:rPr>
          <w:color w:val="000000"/>
        </w:rPr>
        <w:t xml:space="preserve">4) </w:t>
      </w:r>
      <w:r w:rsidR="0080098E" w:rsidRPr="00D54BAB">
        <w:rPr>
          <w:color w:val="000000"/>
        </w:rPr>
        <w:t>податке</w:t>
      </w:r>
      <w:r w:rsidRPr="00D54BAB">
        <w:rPr>
          <w:color w:val="000000"/>
        </w:rPr>
        <w:t xml:space="preserve"> </w:t>
      </w:r>
      <w:r w:rsidR="0080098E" w:rsidRPr="00D54BAB">
        <w:rPr>
          <w:color w:val="000000"/>
        </w:rPr>
        <w:t>о</w:t>
      </w:r>
      <w:r w:rsidRPr="00D54BAB">
        <w:rPr>
          <w:color w:val="000000"/>
        </w:rPr>
        <w:t xml:space="preserve"> </w:t>
      </w:r>
      <w:r w:rsidR="0080098E" w:rsidRPr="00D54BAB">
        <w:rPr>
          <w:color w:val="000000"/>
        </w:rPr>
        <w:t>другим</w:t>
      </w:r>
      <w:r w:rsidRPr="00D54BAB">
        <w:rPr>
          <w:color w:val="000000"/>
        </w:rPr>
        <w:t xml:space="preserve"> </w:t>
      </w:r>
      <w:r w:rsidR="0080098E" w:rsidRPr="00D54BAB">
        <w:rPr>
          <w:color w:val="000000"/>
        </w:rPr>
        <w:t>пословним</w:t>
      </w:r>
      <w:r w:rsidRPr="00D54BAB">
        <w:rPr>
          <w:color w:val="000000"/>
        </w:rPr>
        <w:t xml:space="preserve"> </w:t>
      </w:r>
      <w:r w:rsidR="0080098E" w:rsidRPr="00D54BAB">
        <w:rPr>
          <w:color w:val="000000"/>
        </w:rPr>
        <w:t>односима</w:t>
      </w:r>
      <w:r w:rsidRPr="00D54BAB">
        <w:rPr>
          <w:color w:val="000000"/>
        </w:rPr>
        <w:t xml:space="preserve"> </w:t>
      </w:r>
      <w:r w:rsidR="0080098E" w:rsidRPr="00D54BAB">
        <w:rPr>
          <w:color w:val="000000"/>
        </w:rPr>
        <w:t>странке</w:t>
      </w:r>
      <w:r w:rsidRPr="00D54BAB">
        <w:rPr>
          <w:color w:val="000000"/>
        </w:rPr>
        <w:t xml:space="preserve"> </w:t>
      </w:r>
      <w:r w:rsidR="0080098E" w:rsidRPr="00D54BAB">
        <w:rPr>
          <w:color w:val="000000"/>
        </w:rPr>
        <w:t>успостављеним</w:t>
      </w:r>
      <w:r w:rsidRPr="00D54BAB">
        <w:rPr>
          <w:color w:val="000000"/>
        </w:rPr>
        <w:t xml:space="preserve"> </w:t>
      </w:r>
      <w:r w:rsidR="0080098E" w:rsidRPr="00D54BAB">
        <w:rPr>
          <w:color w:val="000000"/>
        </w:rPr>
        <w:t>код</w:t>
      </w:r>
      <w:r w:rsidRPr="00D54BAB">
        <w:rPr>
          <w:color w:val="000000"/>
        </w:rPr>
        <w:t xml:space="preserve"> </w:t>
      </w:r>
      <w:r w:rsidR="0080098E" w:rsidRPr="00D54BAB">
        <w:rPr>
          <w:color w:val="000000"/>
        </w:rPr>
        <w:t>обвезника</w:t>
      </w:r>
      <w:r w:rsidRPr="00D54BAB">
        <w:rPr>
          <w:color w:val="000000"/>
        </w:rPr>
        <w:t>;</w:t>
      </w:r>
    </w:p>
    <w:p w:rsidR="00D54BAB" w:rsidRPr="00D54BAB" w:rsidRDefault="00D54BAB" w:rsidP="00D54BAB">
      <w:pPr>
        <w:pStyle w:val="normaluvuceni"/>
        <w:shd w:val="clear" w:color="auto" w:fill="FFFFFF"/>
        <w:spacing w:before="48" w:beforeAutospacing="0" w:after="48" w:afterAutospacing="0"/>
        <w:ind w:left="1134" w:hanging="142"/>
        <w:jc w:val="both"/>
        <w:rPr>
          <w:color w:val="000000"/>
          <w:lang w:val="sr-Cyrl-CS"/>
        </w:rPr>
      </w:pPr>
    </w:p>
    <w:p w:rsidR="003D0D97" w:rsidRPr="00D54BAB" w:rsidRDefault="003D0D97" w:rsidP="00D54BAB">
      <w:pPr>
        <w:pStyle w:val="normaluvuceni"/>
        <w:shd w:val="clear" w:color="auto" w:fill="FFFFFF"/>
        <w:spacing w:before="48" w:beforeAutospacing="0" w:after="48" w:afterAutospacing="0"/>
        <w:ind w:left="1134" w:hanging="142"/>
        <w:jc w:val="both"/>
        <w:rPr>
          <w:color w:val="000000"/>
          <w:lang w:val="sr-Cyrl-CS"/>
        </w:rPr>
      </w:pPr>
      <w:r w:rsidRPr="00D54BAB">
        <w:rPr>
          <w:color w:val="000000"/>
        </w:rPr>
        <w:t xml:space="preserve">5) </w:t>
      </w:r>
      <w:r w:rsidR="0080098E" w:rsidRPr="00D54BAB">
        <w:rPr>
          <w:color w:val="000000"/>
        </w:rPr>
        <w:t>друге</w:t>
      </w:r>
      <w:r w:rsidRPr="00D54BAB">
        <w:rPr>
          <w:color w:val="000000"/>
        </w:rPr>
        <w:t xml:space="preserve"> </w:t>
      </w:r>
      <w:r w:rsidR="0080098E" w:rsidRPr="00D54BAB">
        <w:rPr>
          <w:color w:val="000000"/>
        </w:rPr>
        <w:t>податке</w:t>
      </w:r>
      <w:r w:rsidRPr="00D54BAB">
        <w:rPr>
          <w:color w:val="000000"/>
        </w:rPr>
        <w:t xml:space="preserve"> </w:t>
      </w:r>
      <w:r w:rsidR="0080098E" w:rsidRPr="00D54BAB">
        <w:rPr>
          <w:color w:val="000000"/>
        </w:rPr>
        <w:t>и</w:t>
      </w:r>
      <w:r w:rsidRPr="00D54BAB">
        <w:rPr>
          <w:color w:val="000000"/>
        </w:rPr>
        <w:t xml:space="preserve"> </w:t>
      </w:r>
      <w:r w:rsidR="0080098E" w:rsidRPr="00D54BAB">
        <w:rPr>
          <w:color w:val="000000"/>
        </w:rPr>
        <w:t>информације</w:t>
      </w:r>
      <w:r w:rsidRPr="00D54BAB">
        <w:rPr>
          <w:color w:val="000000"/>
        </w:rPr>
        <w:t xml:space="preserve"> </w:t>
      </w:r>
      <w:r w:rsidR="0080098E" w:rsidRPr="00D54BAB">
        <w:rPr>
          <w:color w:val="000000"/>
        </w:rPr>
        <w:t>потребне</w:t>
      </w:r>
      <w:r w:rsidRPr="00D54BAB">
        <w:rPr>
          <w:color w:val="000000"/>
        </w:rPr>
        <w:t xml:space="preserve"> </w:t>
      </w:r>
      <w:r w:rsidR="0080098E" w:rsidRPr="00D54BAB">
        <w:rPr>
          <w:color w:val="000000"/>
        </w:rPr>
        <w:t>за</w:t>
      </w:r>
      <w:r w:rsidRPr="00D54BAB">
        <w:rPr>
          <w:color w:val="000000"/>
        </w:rPr>
        <w:t xml:space="preserve"> </w:t>
      </w:r>
      <w:r w:rsidR="0080098E" w:rsidRPr="00D54BAB">
        <w:rPr>
          <w:color w:val="000000"/>
        </w:rPr>
        <w:t>откривање</w:t>
      </w:r>
      <w:r w:rsidRPr="00D54BAB">
        <w:rPr>
          <w:color w:val="000000"/>
        </w:rPr>
        <w:t xml:space="preserve"> </w:t>
      </w:r>
      <w:r w:rsidR="0080098E" w:rsidRPr="00D54BAB">
        <w:rPr>
          <w:color w:val="000000"/>
        </w:rPr>
        <w:t>или</w:t>
      </w:r>
      <w:r w:rsidRPr="00D54BAB">
        <w:rPr>
          <w:color w:val="000000"/>
        </w:rPr>
        <w:t xml:space="preserve"> </w:t>
      </w:r>
      <w:r w:rsidR="0080098E" w:rsidRPr="00D54BAB">
        <w:rPr>
          <w:color w:val="000000"/>
        </w:rPr>
        <w:t>доказивање</w:t>
      </w:r>
      <w:r w:rsidRPr="00D54BAB">
        <w:rPr>
          <w:color w:val="000000"/>
        </w:rPr>
        <w:t xml:space="preserve"> </w:t>
      </w:r>
      <w:r w:rsidR="0080098E" w:rsidRPr="00D54BAB">
        <w:rPr>
          <w:color w:val="000000"/>
        </w:rPr>
        <w:t>прања</w:t>
      </w:r>
      <w:r w:rsidRPr="00D54BAB">
        <w:rPr>
          <w:color w:val="000000"/>
        </w:rPr>
        <w:t xml:space="preserve"> </w:t>
      </w:r>
      <w:r w:rsidR="0080098E" w:rsidRPr="00D54BAB">
        <w:rPr>
          <w:color w:val="000000"/>
        </w:rPr>
        <w:t>новца</w:t>
      </w:r>
      <w:r w:rsidRPr="00D54BAB">
        <w:rPr>
          <w:color w:val="000000"/>
        </w:rPr>
        <w:t xml:space="preserve"> </w:t>
      </w:r>
      <w:r w:rsidR="0080098E" w:rsidRPr="00D54BAB">
        <w:rPr>
          <w:color w:val="000000"/>
        </w:rPr>
        <w:t>или</w:t>
      </w:r>
      <w:r w:rsidRPr="00D54BAB">
        <w:rPr>
          <w:color w:val="000000"/>
        </w:rPr>
        <w:t xml:space="preserve"> </w:t>
      </w:r>
      <w:r w:rsidR="0080098E" w:rsidRPr="00D54BAB">
        <w:rPr>
          <w:color w:val="000000"/>
        </w:rPr>
        <w:t>финансирања</w:t>
      </w:r>
      <w:r w:rsidRPr="00D54BAB">
        <w:rPr>
          <w:color w:val="000000"/>
        </w:rPr>
        <w:t xml:space="preserve"> </w:t>
      </w:r>
      <w:r w:rsidR="0080098E" w:rsidRPr="00D54BAB">
        <w:rPr>
          <w:color w:val="000000"/>
        </w:rPr>
        <w:t>тероризма</w:t>
      </w:r>
      <w:r w:rsidRPr="00D54BAB">
        <w:rPr>
          <w:color w:val="000000"/>
        </w:rPr>
        <w:t>.</w:t>
      </w:r>
      <w:r w:rsidR="00D54BAB">
        <w:rPr>
          <w:color w:val="000000"/>
          <w:lang w:val="sr-Cyrl-CS"/>
        </w:rPr>
        <w:t xml:space="preserve"> </w:t>
      </w:r>
    </w:p>
    <w:p w:rsidR="00364CA3" w:rsidRPr="00D54BAB" w:rsidRDefault="00364CA3" w:rsidP="00D54BAB">
      <w:pPr>
        <w:pStyle w:val="normaluvuceni"/>
        <w:shd w:val="clear" w:color="auto" w:fill="FFFFFF"/>
        <w:spacing w:before="48" w:beforeAutospacing="0" w:after="48" w:afterAutospacing="0"/>
        <w:ind w:left="1134" w:hanging="142"/>
        <w:jc w:val="both"/>
        <w:rPr>
          <w:color w:val="000000"/>
          <w:lang w:val="sr-Cyrl-CS"/>
        </w:rPr>
      </w:pPr>
    </w:p>
    <w:p w:rsidR="00F87AEE" w:rsidRDefault="003D0D97" w:rsidP="009E2574">
      <w:pPr>
        <w:pStyle w:val="normal0"/>
        <w:shd w:val="clear" w:color="auto" w:fill="FFFFFF"/>
        <w:spacing w:before="48" w:beforeAutospacing="0" w:after="48" w:afterAutospacing="0"/>
        <w:ind w:firstLine="708"/>
        <w:jc w:val="both"/>
        <w:rPr>
          <w:color w:val="000000"/>
          <w:lang w:val="sr-Cyrl-CS"/>
        </w:rPr>
      </w:pPr>
      <w:r w:rsidRPr="00D54BAB">
        <w:rPr>
          <w:color w:val="000000"/>
        </w:rPr>
        <w:t xml:space="preserve"> </w:t>
      </w:r>
      <w:r w:rsidR="00364CA3" w:rsidRPr="00D54BAB">
        <w:rPr>
          <w:color w:val="000000"/>
          <w:lang w:val="sr-Cyrl-CS"/>
        </w:rPr>
        <w:t xml:space="preserve">Поред тога, </w:t>
      </w:r>
      <w:r w:rsidR="0080098E" w:rsidRPr="00D54BAB">
        <w:rPr>
          <w:color w:val="000000"/>
        </w:rPr>
        <w:t>Управа</w:t>
      </w:r>
      <w:r w:rsidRPr="00D54BAB">
        <w:rPr>
          <w:color w:val="000000"/>
        </w:rPr>
        <w:t xml:space="preserve"> </w:t>
      </w:r>
      <w:r w:rsidR="0080098E" w:rsidRPr="00D54BAB">
        <w:rPr>
          <w:color w:val="000000"/>
        </w:rPr>
        <w:t>може</w:t>
      </w:r>
      <w:r w:rsidRPr="00D54BAB">
        <w:rPr>
          <w:color w:val="000000"/>
        </w:rPr>
        <w:t xml:space="preserve"> </w:t>
      </w:r>
      <w:r w:rsidR="0080098E" w:rsidRPr="00D54BAB">
        <w:rPr>
          <w:color w:val="000000"/>
        </w:rPr>
        <w:t>да</w:t>
      </w:r>
      <w:r w:rsidRPr="00D54BAB">
        <w:rPr>
          <w:color w:val="000000"/>
        </w:rPr>
        <w:t xml:space="preserve"> </w:t>
      </w:r>
      <w:r w:rsidR="0080098E" w:rsidRPr="00D54BAB">
        <w:rPr>
          <w:color w:val="000000"/>
        </w:rPr>
        <w:t>захтева</w:t>
      </w:r>
      <w:r w:rsidRPr="00D54BAB">
        <w:rPr>
          <w:color w:val="000000"/>
        </w:rPr>
        <w:t xml:space="preserve"> </w:t>
      </w:r>
      <w:r w:rsidR="0080098E" w:rsidRPr="00D54BAB">
        <w:rPr>
          <w:color w:val="000000"/>
        </w:rPr>
        <w:t>од</w:t>
      </w:r>
      <w:r w:rsidRPr="00D54BAB">
        <w:rPr>
          <w:color w:val="000000"/>
        </w:rPr>
        <w:t xml:space="preserve"> </w:t>
      </w:r>
      <w:r w:rsidR="0080098E" w:rsidRPr="00D54BAB">
        <w:rPr>
          <w:color w:val="000000"/>
        </w:rPr>
        <w:t>обвезника</w:t>
      </w:r>
      <w:r w:rsidRPr="00D54BAB">
        <w:rPr>
          <w:color w:val="000000"/>
        </w:rPr>
        <w:t xml:space="preserve"> </w:t>
      </w:r>
      <w:r w:rsidR="0080098E" w:rsidRPr="00D54BAB">
        <w:rPr>
          <w:color w:val="000000"/>
        </w:rPr>
        <w:t>и</w:t>
      </w:r>
      <w:r w:rsidRPr="00D54BAB">
        <w:rPr>
          <w:color w:val="000000"/>
        </w:rPr>
        <w:t xml:space="preserve"> </w:t>
      </w:r>
      <w:r w:rsidR="0080098E" w:rsidRPr="00D54BAB">
        <w:rPr>
          <w:color w:val="000000"/>
        </w:rPr>
        <w:t>податке</w:t>
      </w:r>
      <w:r w:rsidRPr="00D54BAB">
        <w:rPr>
          <w:color w:val="000000"/>
        </w:rPr>
        <w:t xml:space="preserve"> </w:t>
      </w:r>
      <w:r w:rsidR="0080098E" w:rsidRPr="00D54BAB">
        <w:rPr>
          <w:color w:val="000000"/>
        </w:rPr>
        <w:t>и</w:t>
      </w:r>
      <w:r w:rsidRPr="00D54BAB">
        <w:rPr>
          <w:color w:val="000000"/>
        </w:rPr>
        <w:t xml:space="preserve"> </w:t>
      </w:r>
      <w:r w:rsidR="0080098E" w:rsidRPr="00D54BAB">
        <w:rPr>
          <w:color w:val="000000"/>
        </w:rPr>
        <w:t>информације</w:t>
      </w:r>
      <w:r w:rsidRPr="00D54BAB">
        <w:rPr>
          <w:color w:val="000000"/>
        </w:rPr>
        <w:t xml:space="preserve"> </w:t>
      </w:r>
      <w:r w:rsidR="0080098E" w:rsidRPr="00D54BAB">
        <w:rPr>
          <w:color w:val="000000"/>
        </w:rPr>
        <w:t>који</w:t>
      </w:r>
      <w:r w:rsidRPr="00D54BAB">
        <w:rPr>
          <w:color w:val="000000"/>
        </w:rPr>
        <w:t xml:space="preserve"> </w:t>
      </w:r>
      <w:r w:rsidR="0080098E" w:rsidRPr="00D54BAB">
        <w:rPr>
          <w:color w:val="000000"/>
        </w:rPr>
        <w:t>се</w:t>
      </w:r>
      <w:r w:rsidRPr="00D54BAB">
        <w:rPr>
          <w:color w:val="000000"/>
        </w:rPr>
        <w:t xml:space="preserve"> </w:t>
      </w:r>
      <w:r w:rsidR="0080098E" w:rsidRPr="00D54BAB">
        <w:rPr>
          <w:color w:val="000000"/>
        </w:rPr>
        <w:t>односе</w:t>
      </w:r>
      <w:r w:rsidRPr="00D54BAB">
        <w:rPr>
          <w:color w:val="000000"/>
        </w:rPr>
        <w:t xml:space="preserve"> </w:t>
      </w:r>
      <w:r w:rsidR="0080098E" w:rsidRPr="00D54BAB">
        <w:rPr>
          <w:color w:val="000000"/>
        </w:rPr>
        <w:t>на</w:t>
      </w:r>
      <w:r w:rsidRPr="00D54BAB">
        <w:rPr>
          <w:color w:val="000000"/>
        </w:rPr>
        <w:t xml:space="preserve"> </w:t>
      </w:r>
      <w:r w:rsidR="0080098E" w:rsidRPr="00D54BAB">
        <w:rPr>
          <w:color w:val="000000"/>
        </w:rPr>
        <w:t>лица</w:t>
      </w:r>
      <w:r w:rsidRPr="00D54BAB">
        <w:rPr>
          <w:color w:val="000000"/>
        </w:rPr>
        <w:t xml:space="preserve"> </w:t>
      </w:r>
      <w:r w:rsidR="0080098E" w:rsidRPr="00D54BAB">
        <w:rPr>
          <w:color w:val="000000"/>
        </w:rPr>
        <w:t>која</w:t>
      </w:r>
      <w:r w:rsidRPr="00D54BAB">
        <w:rPr>
          <w:color w:val="000000"/>
        </w:rPr>
        <w:t xml:space="preserve"> </w:t>
      </w:r>
      <w:r w:rsidR="0080098E" w:rsidRPr="00D54BAB">
        <w:rPr>
          <w:color w:val="000000"/>
        </w:rPr>
        <w:t>су</w:t>
      </w:r>
      <w:r w:rsidRPr="00D54BAB">
        <w:rPr>
          <w:color w:val="000000"/>
        </w:rPr>
        <w:t xml:space="preserve"> </w:t>
      </w:r>
      <w:r w:rsidR="0080098E" w:rsidRPr="00D54BAB">
        <w:rPr>
          <w:color w:val="000000"/>
        </w:rPr>
        <w:t>учествовала</w:t>
      </w:r>
      <w:r w:rsidRPr="00D54BAB">
        <w:rPr>
          <w:color w:val="000000"/>
        </w:rPr>
        <w:t xml:space="preserve"> </w:t>
      </w:r>
      <w:r w:rsidR="0080098E" w:rsidRPr="00D54BAB">
        <w:rPr>
          <w:color w:val="000000"/>
        </w:rPr>
        <w:t>или</w:t>
      </w:r>
      <w:r w:rsidRPr="00D54BAB">
        <w:rPr>
          <w:color w:val="000000"/>
        </w:rPr>
        <w:t xml:space="preserve"> </w:t>
      </w:r>
      <w:r w:rsidR="0080098E" w:rsidRPr="00D54BAB">
        <w:rPr>
          <w:color w:val="000000"/>
        </w:rPr>
        <w:t>сарађивала</w:t>
      </w:r>
      <w:r w:rsidRPr="00D54BAB">
        <w:rPr>
          <w:color w:val="000000"/>
        </w:rPr>
        <w:t xml:space="preserve"> </w:t>
      </w:r>
      <w:r w:rsidR="0080098E" w:rsidRPr="00D54BAB">
        <w:rPr>
          <w:color w:val="000000"/>
        </w:rPr>
        <w:t>у</w:t>
      </w:r>
      <w:r w:rsidRPr="00D54BAB">
        <w:rPr>
          <w:color w:val="000000"/>
        </w:rPr>
        <w:t xml:space="preserve"> </w:t>
      </w:r>
      <w:r w:rsidR="0080098E" w:rsidRPr="00D54BAB">
        <w:rPr>
          <w:color w:val="000000"/>
        </w:rPr>
        <w:t>трансакцијама</w:t>
      </w:r>
      <w:r w:rsidRPr="00D54BAB">
        <w:rPr>
          <w:color w:val="000000"/>
        </w:rPr>
        <w:t xml:space="preserve"> </w:t>
      </w:r>
      <w:r w:rsidR="0080098E" w:rsidRPr="00D54BAB">
        <w:rPr>
          <w:color w:val="000000"/>
        </w:rPr>
        <w:t>или</w:t>
      </w:r>
      <w:r w:rsidRPr="00D54BAB">
        <w:rPr>
          <w:color w:val="000000"/>
        </w:rPr>
        <w:t xml:space="preserve"> </w:t>
      </w:r>
      <w:r w:rsidR="0080098E" w:rsidRPr="00D54BAB">
        <w:rPr>
          <w:color w:val="000000"/>
        </w:rPr>
        <w:t>пословима</w:t>
      </w:r>
      <w:r w:rsidRPr="00D54BAB">
        <w:rPr>
          <w:color w:val="000000"/>
        </w:rPr>
        <w:t xml:space="preserve"> </w:t>
      </w:r>
      <w:r w:rsidR="0080098E" w:rsidRPr="00D54BAB">
        <w:rPr>
          <w:color w:val="000000"/>
        </w:rPr>
        <w:t>лица</w:t>
      </w:r>
      <w:r w:rsidRPr="00D54BAB">
        <w:rPr>
          <w:color w:val="000000"/>
        </w:rPr>
        <w:t xml:space="preserve"> </w:t>
      </w:r>
      <w:r w:rsidR="0080098E" w:rsidRPr="00D54BAB">
        <w:rPr>
          <w:color w:val="000000"/>
        </w:rPr>
        <w:t>за</w:t>
      </w:r>
      <w:r w:rsidRPr="00D54BAB">
        <w:rPr>
          <w:color w:val="000000"/>
        </w:rPr>
        <w:t xml:space="preserve"> </w:t>
      </w:r>
      <w:r w:rsidR="0080098E" w:rsidRPr="00D54BAB">
        <w:rPr>
          <w:color w:val="000000"/>
        </w:rPr>
        <w:t>које</w:t>
      </w:r>
      <w:r w:rsidRPr="00D54BAB">
        <w:rPr>
          <w:color w:val="000000"/>
        </w:rPr>
        <w:t xml:space="preserve"> </w:t>
      </w:r>
      <w:r w:rsidR="0080098E" w:rsidRPr="00D54BAB">
        <w:rPr>
          <w:color w:val="000000"/>
        </w:rPr>
        <w:t>постоје</w:t>
      </w:r>
      <w:r w:rsidRPr="00D54BAB">
        <w:rPr>
          <w:color w:val="000000"/>
        </w:rPr>
        <w:t xml:space="preserve"> </w:t>
      </w:r>
      <w:r w:rsidR="0080098E" w:rsidRPr="00D54BAB">
        <w:rPr>
          <w:color w:val="000000"/>
        </w:rPr>
        <w:t>основи</w:t>
      </w:r>
      <w:r w:rsidRPr="00D54BAB">
        <w:rPr>
          <w:color w:val="000000"/>
        </w:rPr>
        <w:t xml:space="preserve"> </w:t>
      </w:r>
      <w:r w:rsidR="0080098E" w:rsidRPr="00D54BAB">
        <w:rPr>
          <w:color w:val="000000"/>
        </w:rPr>
        <w:t>сумње</w:t>
      </w:r>
      <w:r w:rsidR="00364CA3" w:rsidRPr="00D54BAB">
        <w:rPr>
          <w:color w:val="000000"/>
        </w:rPr>
        <w:t xml:space="preserve"> </w:t>
      </w:r>
      <w:r w:rsidR="0080098E" w:rsidRPr="00D54BAB">
        <w:rPr>
          <w:color w:val="000000"/>
        </w:rPr>
        <w:t>да</w:t>
      </w:r>
      <w:r w:rsidR="00364CA3" w:rsidRPr="00D54BAB">
        <w:rPr>
          <w:color w:val="000000"/>
        </w:rPr>
        <w:t xml:space="preserve"> </w:t>
      </w:r>
      <w:r w:rsidR="0080098E" w:rsidRPr="00D54BAB">
        <w:rPr>
          <w:color w:val="000000"/>
        </w:rPr>
        <w:t>се</w:t>
      </w:r>
      <w:r w:rsidR="00364CA3" w:rsidRPr="00D54BAB">
        <w:rPr>
          <w:color w:val="000000"/>
        </w:rPr>
        <w:t xml:space="preserve"> </w:t>
      </w:r>
      <w:r w:rsidR="0080098E" w:rsidRPr="00D54BAB">
        <w:rPr>
          <w:color w:val="000000"/>
        </w:rPr>
        <w:t>ради</w:t>
      </w:r>
      <w:r w:rsidR="00364CA3" w:rsidRPr="00D54BAB">
        <w:rPr>
          <w:color w:val="000000"/>
        </w:rPr>
        <w:t xml:space="preserve"> </w:t>
      </w:r>
      <w:r w:rsidR="0080098E" w:rsidRPr="00D54BAB">
        <w:rPr>
          <w:color w:val="000000"/>
        </w:rPr>
        <w:t>о</w:t>
      </w:r>
      <w:r w:rsidR="00364CA3" w:rsidRPr="00D54BAB">
        <w:rPr>
          <w:color w:val="000000"/>
        </w:rPr>
        <w:t xml:space="preserve"> </w:t>
      </w:r>
      <w:r w:rsidR="0080098E" w:rsidRPr="00D54BAB">
        <w:rPr>
          <w:color w:val="000000"/>
        </w:rPr>
        <w:t>прању</w:t>
      </w:r>
      <w:r w:rsidR="00364CA3" w:rsidRPr="00D54BAB">
        <w:rPr>
          <w:color w:val="000000"/>
        </w:rPr>
        <w:t xml:space="preserve"> </w:t>
      </w:r>
      <w:r w:rsidR="0080098E" w:rsidRPr="00D54BAB">
        <w:rPr>
          <w:color w:val="000000"/>
        </w:rPr>
        <w:t>новца</w:t>
      </w:r>
      <w:r w:rsidR="00364CA3" w:rsidRPr="00D54BAB">
        <w:rPr>
          <w:color w:val="000000"/>
        </w:rPr>
        <w:t xml:space="preserve"> </w:t>
      </w:r>
      <w:r w:rsidR="0080098E" w:rsidRPr="00D54BAB">
        <w:rPr>
          <w:color w:val="000000"/>
        </w:rPr>
        <w:t>или</w:t>
      </w:r>
      <w:r w:rsidR="00364CA3" w:rsidRPr="00D54BAB">
        <w:rPr>
          <w:color w:val="000000"/>
          <w:lang w:val="sr-Cyrl-CS"/>
        </w:rPr>
        <w:t xml:space="preserve"> </w:t>
      </w:r>
      <w:r w:rsidR="0080098E" w:rsidRPr="00D54BAB">
        <w:rPr>
          <w:color w:val="000000"/>
        </w:rPr>
        <w:t>финансирању</w:t>
      </w:r>
      <w:r w:rsidRPr="00D54BAB">
        <w:rPr>
          <w:color w:val="000000"/>
        </w:rPr>
        <w:t xml:space="preserve"> </w:t>
      </w:r>
      <w:r w:rsidR="0080098E" w:rsidRPr="00D54BAB">
        <w:rPr>
          <w:color w:val="000000"/>
        </w:rPr>
        <w:t>тероризма</w:t>
      </w:r>
      <w:r w:rsidRPr="00D54BAB">
        <w:rPr>
          <w:color w:val="000000"/>
        </w:rPr>
        <w:t>.</w:t>
      </w:r>
      <w:r w:rsidR="00364CA3" w:rsidRPr="00D54BAB">
        <w:rPr>
          <w:color w:val="000000"/>
          <w:lang w:val="sr-Cyrl-CS"/>
        </w:rPr>
        <w:t xml:space="preserve"> </w:t>
      </w:r>
    </w:p>
    <w:p w:rsidR="009E2574" w:rsidRPr="00D54BAB" w:rsidRDefault="009E2574" w:rsidP="009E2574">
      <w:pPr>
        <w:pStyle w:val="normal0"/>
        <w:shd w:val="clear" w:color="auto" w:fill="FFFFFF"/>
        <w:spacing w:before="48" w:beforeAutospacing="0" w:after="48" w:afterAutospacing="0"/>
        <w:ind w:firstLine="708"/>
        <w:jc w:val="both"/>
        <w:rPr>
          <w:color w:val="000000"/>
          <w:lang w:val="sr-Cyrl-CS"/>
        </w:rPr>
      </w:pPr>
    </w:p>
    <w:p w:rsidR="00F87AEE" w:rsidRPr="00B479B2" w:rsidRDefault="00364CA3" w:rsidP="00D54BAB">
      <w:pPr>
        <w:jc w:val="both"/>
        <w:rPr>
          <w:rFonts w:ascii="Times New Roman" w:hAnsi="Times New Roman"/>
          <w:sz w:val="24"/>
          <w:szCs w:val="24"/>
          <w:lang w:val="sr-Cyrl-CS"/>
        </w:rPr>
      </w:pPr>
      <w:r w:rsidRPr="00D54BAB">
        <w:t xml:space="preserve"> </w:t>
      </w:r>
      <w:r w:rsidRPr="00D54BAB">
        <w:rPr>
          <w:lang w:val="sr-Cyrl-CS"/>
        </w:rPr>
        <w:tab/>
      </w:r>
      <w:r w:rsidR="003D0D97" w:rsidRPr="00D54BAB">
        <w:rPr>
          <w:rFonts w:ascii="Times New Roman" w:hAnsi="Times New Roman"/>
          <w:sz w:val="24"/>
          <w:szCs w:val="24"/>
        </w:rPr>
        <w:t xml:space="preserve"> </w:t>
      </w:r>
      <w:r w:rsidR="0080098E" w:rsidRPr="00D54BAB">
        <w:rPr>
          <w:rFonts w:ascii="Times New Roman" w:hAnsi="Times New Roman"/>
          <w:sz w:val="24"/>
          <w:szCs w:val="24"/>
        </w:rPr>
        <w:t>Управа</w:t>
      </w:r>
      <w:r w:rsidR="003D0D97" w:rsidRPr="00D54BAB">
        <w:rPr>
          <w:rFonts w:ascii="Times New Roman" w:hAnsi="Times New Roman"/>
          <w:sz w:val="24"/>
          <w:szCs w:val="24"/>
        </w:rPr>
        <w:t xml:space="preserve"> </w:t>
      </w:r>
      <w:r w:rsidR="0080098E" w:rsidRPr="00D54BAB">
        <w:rPr>
          <w:rFonts w:ascii="Times New Roman" w:hAnsi="Times New Roman"/>
          <w:sz w:val="24"/>
          <w:szCs w:val="24"/>
        </w:rPr>
        <w:t>може</w:t>
      </w:r>
      <w:r w:rsidR="003D0D97" w:rsidRPr="00D54BAB">
        <w:rPr>
          <w:rFonts w:ascii="Times New Roman" w:hAnsi="Times New Roman"/>
          <w:sz w:val="24"/>
          <w:szCs w:val="24"/>
        </w:rPr>
        <w:t xml:space="preserve">, </w:t>
      </w:r>
      <w:r w:rsidR="0080098E" w:rsidRPr="00D54BAB">
        <w:rPr>
          <w:rFonts w:ascii="Times New Roman" w:hAnsi="Times New Roman"/>
          <w:sz w:val="24"/>
          <w:szCs w:val="24"/>
        </w:rPr>
        <w:t>ради</w:t>
      </w:r>
      <w:r w:rsidR="003D0D97" w:rsidRPr="00D54BAB">
        <w:rPr>
          <w:rFonts w:ascii="Times New Roman" w:hAnsi="Times New Roman"/>
          <w:sz w:val="24"/>
          <w:szCs w:val="24"/>
        </w:rPr>
        <w:t xml:space="preserve"> </w:t>
      </w:r>
      <w:r w:rsidR="0080098E" w:rsidRPr="00D54BAB">
        <w:rPr>
          <w:rFonts w:ascii="Times New Roman" w:hAnsi="Times New Roman"/>
          <w:sz w:val="24"/>
          <w:szCs w:val="24"/>
        </w:rPr>
        <w:t>оцене</w:t>
      </w:r>
      <w:r w:rsidR="003D0D97" w:rsidRPr="00D54BAB">
        <w:rPr>
          <w:rFonts w:ascii="Times New Roman" w:hAnsi="Times New Roman"/>
          <w:sz w:val="24"/>
          <w:szCs w:val="24"/>
        </w:rPr>
        <w:t xml:space="preserve"> </w:t>
      </w:r>
      <w:r w:rsidR="0080098E" w:rsidRPr="00D54BAB">
        <w:rPr>
          <w:rFonts w:ascii="Times New Roman" w:hAnsi="Times New Roman"/>
          <w:sz w:val="24"/>
          <w:szCs w:val="24"/>
        </w:rPr>
        <w:t>да</w:t>
      </w:r>
      <w:r w:rsidR="003D0D97" w:rsidRPr="00D54BAB">
        <w:rPr>
          <w:rFonts w:ascii="Times New Roman" w:hAnsi="Times New Roman"/>
          <w:sz w:val="24"/>
          <w:szCs w:val="24"/>
        </w:rPr>
        <w:t xml:space="preserve"> </w:t>
      </w:r>
      <w:r w:rsidR="0080098E" w:rsidRPr="00D54BAB">
        <w:rPr>
          <w:rFonts w:ascii="Times New Roman" w:hAnsi="Times New Roman"/>
          <w:sz w:val="24"/>
          <w:szCs w:val="24"/>
        </w:rPr>
        <w:t>ли</w:t>
      </w:r>
      <w:r w:rsidR="003D0D97" w:rsidRPr="00D54BAB">
        <w:rPr>
          <w:rFonts w:ascii="Times New Roman" w:hAnsi="Times New Roman"/>
          <w:sz w:val="24"/>
          <w:szCs w:val="24"/>
        </w:rPr>
        <w:t xml:space="preserve"> </w:t>
      </w:r>
      <w:r w:rsidR="0080098E" w:rsidRPr="00D54BAB">
        <w:rPr>
          <w:rFonts w:ascii="Times New Roman" w:hAnsi="Times New Roman"/>
          <w:sz w:val="24"/>
          <w:szCs w:val="24"/>
        </w:rPr>
        <w:t>у</w:t>
      </w:r>
      <w:r w:rsidR="003D0D97" w:rsidRPr="00D54BAB">
        <w:rPr>
          <w:rFonts w:ascii="Times New Roman" w:hAnsi="Times New Roman"/>
          <w:sz w:val="24"/>
          <w:szCs w:val="24"/>
        </w:rPr>
        <w:t xml:space="preserve"> </w:t>
      </w:r>
      <w:r w:rsidR="0080098E" w:rsidRPr="00D54BAB">
        <w:rPr>
          <w:rFonts w:ascii="Times New Roman" w:hAnsi="Times New Roman"/>
          <w:sz w:val="24"/>
          <w:szCs w:val="24"/>
        </w:rPr>
        <w:t>вези</w:t>
      </w:r>
      <w:r w:rsidR="003D0D97" w:rsidRPr="00D54BAB">
        <w:rPr>
          <w:rFonts w:ascii="Times New Roman" w:hAnsi="Times New Roman"/>
          <w:sz w:val="24"/>
          <w:szCs w:val="24"/>
        </w:rPr>
        <w:t xml:space="preserve"> </w:t>
      </w:r>
      <w:r w:rsidR="0080098E" w:rsidRPr="00D54BAB">
        <w:rPr>
          <w:rFonts w:ascii="Times New Roman" w:hAnsi="Times New Roman"/>
          <w:sz w:val="24"/>
          <w:szCs w:val="24"/>
        </w:rPr>
        <w:t>са</w:t>
      </w:r>
      <w:r w:rsidR="003D0D97" w:rsidRPr="00D54BAB">
        <w:rPr>
          <w:rFonts w:ascii="Times New Roman" w:hAnsi="Times New Roman"/>
          <w:sz w:val="24"/>
          <w:szCs w:val="24"/>
        </w:rPr>
        <w:t xml:space="preserve"> </w:t>
      </w:r>
      <w:r w:rsidR="0080098E" w:rsidRPr="00D54BAB">
        <w:rPr>
          <w:rFonts w:ascii="Times New Roman" w:hAnsi="Times New Roman"/>
          <w:sz w:val="24"/>
          <w:szCs w:val="24"/>
        </w:rPr>
        <w:t>одређеним</w:t>
      </w:r>
      <w:r w:rsidR="003D0D97" w:rsidRPr="00D54BAB">
        <w:rPr>
          <w:rFonts w:ascii="Times New Roman" w:hAnsi="Times New Roman"/>
          <w:sz w:val="24"/>
          <w:szCs w:val="24"/>
        </w:rPr>
        <w:t xml:space="preserve"> </w:t>
      </w:r>
      <w:r w:rsidR="0080098E" w:rsidRPr="00D54BAB">
        <w:rPr>
          <w:rFonts w:ascii="Times New Roman" w:hAnsi="Times New Roman"/>
          <w:sz w:val="24"/>
          <w:szCs w:val="24"/>
        </w:rPr>
        <w:t>трансакцијама</w:t>
      </w:r>
      <w:r w:rsidR="003D0D97" w:rsidRPr="00D54BAB">
        <w:rPr>
          <w:rFonts w:ascii="Times New Roman" w:hAnsi="Times New Roman"/>
          <w:sz w:val="24"/>
          <w:szCs w:val="24"/>
        </w:rPr>
        <w:t xml:space="preserve"> </w:t>
      </w:r>
      <w:r w:rsidR="0080098E" w:rsidRPr="00D54BAB">
        <w:rPr>
          <w:rFonts w:ascii="Times New Roman" w:hAnsi="Times New Roman"/>
          <w:sz w:val="24"/>
          <w:szCs w:val="24"/>
        </w:rPr>
        <w:t>или</w:t>
      </w:r>
      <w:r w:rsidR="003D0D97" w:rsidRPr="00D54BAB">
        <w:rPr>
          <w:rFonts w:ascii="Times New Roman" w:hAnsi="Times New Roman"/>
          <w:sz w:val="24"/>
          <w:szCs w:val="24"/>
        </w:rPr>
        <w:t xml:space="preserve"> </w:t>
      </w:r>
      <w:r w:rsidR="0080098E" w:rsidRPr="00D54BAB">
        <w:rPr>
          <w:rFonts w:ascii="Times New Roman" w:hAnsi="Times New Roman"/>
          <w:sz w:val="24"/>
          <w:szCs w:val="24"/>
        </w:rPr>
        <w:t>одређеним</w:t>
      </w:r>
      <w:r w:rsidR="003D0D97" w:rsidRPr="00D54BAB">
        <w:rPr>
          <w:rFonts w:ascii="Times New Roman" w:hAnsi="Times New Roman"/>
          <w:sz w:val="24"/>
          <w:szCs w:val="24"/>
        </w:rPr>
        <w:t xml:space="preserve"> </w:t>
      </w:r>
      <w:r w:rsidR="0080098E" w:rsidRPr="00D54BAB">
        <w:rPr>
          <w:rFonts w:ascii="Times New Roman" w:hAnsi="Times New Roman"/>
          <w:sz w:val="24"/>
          <w:szCs w:val="24"/>
        </w:rPr>
        <w:t>лицима</w:t>
      </w:r>
      <w:r w:rsidR="003D0D97" w:rsidRPr="00D54BAB">
        <w:rPr>
          <w:rFonts w:ascii="Times New Roman" w:hAnsi="Times New Roman"/>
          <w:sz w:val="24"/>
          <w:szCs w:val="24"/>
        </w:rPr>
        <w:t xml:space="preserve"> </w:t>
      </w:r>
      <w:r w:rsidR="0080098E" w:rsidRPr="00D54BAB">
        <w:rPr>
          <w:rFonts w:ascii="Times New Roman" w:hAnsi="Times New Roman"/>
          <w:sz w:val="24"/>
          <w:szCs w:val="24"/>
        </w:rPr>
        <w:t>постоје</w:t>
      </w:r>
      <w:r w:rsidR="003D0D97" w:rsidRPr="00D54BAB">
        <w:rPr>
          <w:rFonts w:ascii="Times New Roman" w:hAnsi="Times New Roman"/>
          <w:sz w:val="24"/>
          <w:szCs w:val="24"/>
        </w:rPr>
        <w:t xml:space="preserve"> </w:t>
      </w:r>
      <w:r w:rsidR="0080098E" w:rsidRPr="00D54BAB">
        <w:rPr>
          <w:rFonts w:ascii="Times New Roman" w:hAnsi="Times New Roman"/>
          <w:sz w:val="24"/>
          <w:szCs w:val="24"/>
        </w:rPr>
        <w:t>основи</w:t>
      </w:r>
      <w:r w:rsidR="003D0D97" w:rsidRPr="00D54BAB">
        <w:rPr>
          <w:rFonts w:ascii="Times New Roman" w:hAnsi="Times New Roman"/>
          <w:sz w:val="24"/>
          <w:szCs w:val="24"/>
        </w:rPr>
        <w:t xml:space="preserve"> </w:t>
      </w:r>
      <w:r w:rsidR="0080098E" w:rsidRPr="00D54BAB">
        <w:rPr>
          <w:rFonts w:ascii="Times New Roman" w:hAnsi="Times New Roman"/>
          <w:sz w:val="24"/>
          <w:szCs w:val="24"/>
        </w:rPr>
        <w:t>сумње</w:t>
      </w:r>
      <w:r w:rsidRPr="00D54BAB">
        <w:rPr>
          <w:rFonts w:ascii="Times New Roman" w:hAnsi="Times New Roman"/>
          <w:sz w:val="24"/>
          <w:szCs w:val="24"/>
        </w:rPr>
        <w:t xml:space="preserve"> </w:t>
      </w:r>
      <w:r w:rsidR="0080098E" w:rsidRPr="00D54BAB">
        <w:rPr>
          <w:rFonts w:ascii="Times New Roman" w:hAnsi="Times New Roman"/>
          <w:sz w:val="24"/>
          <w:szCs w:val="24"/>
        </w:rPr>
        <w:t>да</w:t>
      </w:r>
      <w:r w:rsidRPr="00D54BAB">
        <w:rPr>
          <w:rFonts w:ascii="Times New Roman" w:hAnsi="Times New Roman"/>
          <w:sz w:val="24"/>
          <w:szCs w:val="24"/>
        </w:rPr>
        <w:t xml:space="preserve"> </w:t>
      </w:r>
      <w:r w:rsidR="0080098E" w:rsidRPr="00D54BAB">
        <w:rPr>
          <w:rFonts w:ascii="Times New Roman" w:hAnsi="Times New Roman"/>
          <w:sz w:val="24"/>
          <w:szCs w:val="24"/>
        </w:rPr>
        <w:t>се</w:t>
      </w:r>
      <w:r w:rsidRPr="00D54BAB">
        <w:rPr>
          <w:rFonts w:ascii="Times New Roman" w:hAnsi="Times New Roman"/>
          <w:sz w:val="24"/>
          <w:szCs w:val="24"/>
        </w:rPr>
        <w:t xml:space="preserve"> </w:t>
      </w:r>
      <w:r w:rsidR="0080098E" w:rsidRPr="00D54BAB">
        <w:rPr>
          <w:rFonts w:ascii="Times New Roman" w:hAnsi="Times New Roman"/>
          <w:sz w:val="24"/>
          <w:szCs w:val="24"/>
        </w:rPr>
        <w:t>ради</w:t>
      </w:r>
      <w:r w:rsidRPr="00D54BAB">
        <w:rPr>
          <w:rFonts w:ascii="Times New Roman" w:hAnsi="Times New Roman"/>
          <w:sz w:val="24"/>
          <w:szCs w:val="24"/>
        </w:rPr>
        <w:t xml:space="preserve"> </w:t>
      </w:r>
      <w:r w:rsidR="0080098E" w:rsidRPr="00D54BAB">
        <w:rPr>
          <w:rFonts w:ascii="Times New Roman" w:hAnsi="Times New Roman"/>
          <w:sz w:val="24"/>
          <w:szCs w:val="24"/>
        </w:rPr>
        <w:t>о</w:t>
      </w:r>
      <w:r w:rsidRPr="00D54BAB">
        <w:rPr>
          <w:rFonts w:ascii="Times New Roman" w:hAnsi="Times New Roman"/>
          <w:sz w:val="24"/>
          <w:szCs w:val="24"/>
        </w:rPr>
        <w:t xml:space="preserve"> </w:t>
      </w:r>
      <w:r w:rsidR="0080098E" w:rsidRPr="00D54BAB">
        <w:rPr>
          <w:rFonts w:ascii="Times New Roman" w:hAnsi="Times New Roman"/>
          <w:sz w:val="24"/>
          <w:szCs w:val="24"/>
        </w:rPr>
        <w:t>прању</w:t>
      </w:r>
      <w:r w:rsidRPr="00D54BAB">
        <w:rPr>
          <w:rFonts w:ascii="Times New Roman" w:hAnsi="Times New Roman"/>
          <w:sz w:val="24"/>
          <w:szCs w:val="24"/>
        </w:rPr>
        <w:t xml:space="preserve"> </w:t>
      </w:r>
      <w:r w:rsidR="0080098E" w:rsidRPr="00D54BAB">
        <w:rPr>
          <w:rFonts w:ascii="Times New Roman" w:hAnsi="Times New Roman"/>
          <w:sz w:val="24"/>
          <w:szCs w:val="24"/>
        </w:rPr>
        <w:t>новца</w:t>
      </w:r>
      <w:r w:rsidRPr="00D54BAB">
        <w:rPr>
          <w:rFonts w:ascii="Times New Roman" w:hAnsi="Times New Roman"/>
          <w:sz w:val="24"/>
          <w:szCs w:val="24"/>
        </w:rPr>
        <w:t xml:space="preserve"> </w:t>
      </w:r>
      <w:r w:rsidR="0080098E" w:rsidRPr="00D54BAB">
        <w:rPr>
          <w:rFonts w:ascii="Times New Roman" w:hAnsi="Times New Roman"/>
          <w:sz w:val="24"/>
          <w:szCs w:val="24"/>
        </w:rPr>
        <w:t>или</w:t>
      </w:r>
      <w:r w:rsidRPr="00D54BAB">
        <w:rPr>
          <w:rFonts w:ascii="Times New Roman" w:hAnsi="Times New Roman"/>
          <w:sz w:val="24"/>
          <w:szCs w:val="24"/>
          <w:lang w:val="sr-Cyrl-CS"/>
        </w:rPr>
        <w:t xml:space="preserve"> </w:t>
      </w:r>
      <w:r w:rsidR="0080098E" w:rsidRPr="00D54BAB">
        <w:rPr>
          <w:rFonts w:ascii="Times New Roman" w:hAnsi="Times New Roman"/>
          <w:sz w:val="24"/>
          <w:szCs w:val="24"/>
        </w:rPr>
        <w:t>финансирању</w:t>
      </w:r>
      <w:r w:rsidR="003D0D97" w:rsidRPr="00D54BAB">
        <w:rPr>
          <w:rFonts w:ascii="Times New Roman" w:hAnsi="Times New Roman"/>
          <w:sz w:val="24"/>
          <w:szCs w:val="24"/>
        </w:rPr>
        <w:t xml:space="preserve"> </w:t>
      </w:r>
      <w:r w:rsidR="0080098E" w:rsidRPr="00D54BAB">
        <w:rPr>
          <w:rFonts w:ascii="Times New Roman" w:hAnsi="Times New Roman"/>
          <w:sz w:val="24"/>
          <w:szCs w:val="24"/>
        </w:rPr>
        <w:t>тероризма</w:t>
      </w:r>
      <w:r w:rsidR="003D0D97" w:rsidRPr="00D54BAB">
        <w:rPr>
          <w:rFonts w:ascii="Times New Roman" w:hAnsi="Times New Roman"/>
          <w:sz w:val="24"/>
          <w:szCs w:val="24"/>
        </w:rPr>
        <w:t xml:space="preserve">, </w:t>
      </w:r>
      <w:r w:rsidR="0080098E" w:rsidRPr="00D54BAB">
        <w:rPr>
          <w:rFonts w:ascii="Times New Roman" w:hAnsi="Times New Roman"/>
          <w:sz w:val="24"/>
          <w:szCs w:val="24"/>
        </w:rPr>
        <w:t>да</w:t>
      </w:r>
      <w:r w:rsidR="003D0D97" w:rsidRPr="00D54BAB">
        <w:rPr>
          <w:rFonts w:ascii="Times New Roman" w:hAnsi="Times New Roman"/>
          <w:sz w:val="24"/>
          <w:szCs w:val="24"/>
        </w:rPr>
        <w:t xml:space="preserve"> </w:t>
      </w:r>
      <w:r w:rsidR="0080098E" w:rsidRPr="00D54BAB">
        <w:rPr>
          <w:rFonts w:ascii="Times New Roman" w:hAnsi="Times New Roman"/>
          <w:sz w:val="24"/>
          <w:szCs w:val="24"/>
        </w:rPr>
        <w:t>од</w:t>
      </w:r>
      <w:r w:rsidR="003D0D97" w:rsidRPr="00D54BAB">
        <w:rPr>
          <w:rFonts w:ascii="Times New Roman" w:hAnsi="Times New Roman"/>
          <w:sz w:val="24"/>
          <w:szCs w:val="24"/>
        </w:rPr>
        <w:t xml:space="preserve"> </w:t>
      </w:r>
      <w:r w:rsidR="0080098E" w:rsidRPr="00D54BAB">
        <w:rPr>
          <w:rFonts w:ascii="Times New Roman" w:hAnsi="Times New Roman"/>
          <w:sz w:val="24"/>
          <w:szCs w:val="24"/>
        </w:rPr>
        <w:t>државних</w:t>
      </w:r>
      <w:r w:rsidR="003D0D97" w:rsidRPr="00D54BAB">
        <w:rPr>
          <w:rFonts w:ascii="Times New Roman" w:hAnsi="Times New Roman"/>
          <w:sz w:val="24"/>
          <w:szCs w:val="24"/>
        </w:rPr>
        <w:t xml:space="preserve"> </w:t>
      </w:r>
      <w:r w:rsidR="0080098E" w:rsidRPr="00D54BAB">
        <w:rPr>
          <w:rFonts w:ascii="Times New Roman" w:hAnsi="Times New Roman"/>
          <w:sz w:val="24"/>
          <w:szCs w:val="24"/>
        </w:rPr>
        <w:t>органа</w:t>
      </w:r>
      <w:r w:rsidR="003D0D97" w:rsidRPr="00D54BAB">
        <w:rPr>
          <w:rFonts w:ascii="Times New Roman" w:hAnsi="Times New Roman"/>
          <w:sz w:val="24"/>
          <w:szCs w:val="24"/>
        </w:rPr>
        <w:t xml:space="preserve">, </w:t>
      </w:r>
      <w:r w:rsidR="0080098E" w:rsidRPr="00D54BAB">
        <w:rPr>
          <w:rFonts w:ascii="Times New Roman" w:hAnsi="Times New Roman"/>
          <w:sz w:val="24"/>
          <w:szCs w:val="24"/>
        </w:rPr>
        <w:t>организација</w:t>
      </w:r>
      <w:r w:rsidR="003D0D97" w:rsidRPr="00D54BAB">
        <w:rPr>
          <w:rFonts w:ascii="Times New Roman" w:hAnsi="Times New Roman"/>
          <w:sz w:val="24"/>
          <w:szCs w:val="24"/>
        </w:rPr>
        <w:t xml:space="preserve"> </w:t>
      </w:r>
      <w:r w:rsidR="0080098E" w:rsidRPr="00D54BAB">
        <w:rPr>
          <w:rFonts w:ascii="Times New Roman" w:hAnsi="Times New Roman"/>
          <w:sz w:val="24"/>
          <w:szCs w:val="24"/>
        </w:rPr>
        <w:t>и</w:t>
      </w:r>
      <w:r w:rsidR="003D0D97" w:rsidRPr="00D54BAB">
        <w:rPr>
          <w:rFonts w:ascii="Times New Roman" w:hAnsi="Times New Roman"/>
          <w:sz w:val="24"/>
          <w:szCs w:val="24"/>
        </w:rPr>
        <w:t xml:space="preserve"> </w:t>
      </w:r>
      <w:r w:rsidR="0080098E" w:rsidRPr="00D54BAB">
        <w:rPr>
          <w:rFonts w:ascii="Times New Roman" w:hAnsi="Times New Roman"/>
          <w:sz w:val="24"/>
          <w:szCs w:val="24"/>
        </w:rPr>
        <w:t>правних</w:t>
      </w:r>
      <w:r w:rsidR="003D0D97" w:rsidRPr="00D54BAB">
        <w:rPr>
          <w:rFonts w:ascii="Times New Roman" w:hAnsi="Times New Roman"/>
          <w:sz w:val="24"/>
          <w:szCs w:val="24"/>
        </w:rPr>
        <w:t xml:space="preserve"> </w:t>
      </w:r>
      <w:r w:rsidR="0080098E" w:rsidRPr="00D54BAB">
        <w:rPr>
          <w:rFonts w:ascii="Times New Roman" w:hAnsi="Times New Roman"/>
          <w:sz w:val="24"/>
          <w:szCs w:val="24"/>
        </w:rPr>
        <w:t>лица</w:t>
      </w:r>
      <w:r w:rsidR="003D0D97" w:rsidRPr="00D54BAB">
        <w:rPr>
          <w:rFonts w:ascii="Times New Roman" w:hAnsi="Times New Roman"/>
          <w:sz w:val="24"/>
          <w:szCs w:val="24"/>
        </w:rPr>
        <w:t xml:space="preserve"> </w:t>
      </w:r>
      <w:r w:rsidR="0080098E" w:rsidRPr="00D54BAB">
        <w:rPr>
          <w:rFonts w:ascii="Times New Roman" w:hAnsi="Times New Roman"/>
          <w:sz w:val="24"/>
          <w:szCs w:val="24"/>
        </w:rPr>
        <w:t>којима</w:t>
      </w:r>
      <w:r w:rsidR="003D0D97" w:rsidRPr="00D54BAB">
        <w:rPr>
          <w:rFonts w:ascii="Times New Roman" w:hAnsi="Times New Roman"/>
          <w:sz w:val="24"/>
          <w:szCs w:val="24"/>
        </w:rPr>
        <w:t xml:space="preserve"> </w:t>
      </w:r>
      <w:r w:rsidR="0080098E" w:rsidRPr="00D54BAB">
        <w:rPr>
          <w:rFonts w:ascii="Times New Roman" w:hAnsi="Times New Roman"/>
          <w:sz w:val="24"/>
          <w:szCs w:val="24"/>
        </w:rPr>
        <w:t>су</w:t>
      </w:r>
      <w:r w:rsidR="003D0D97" w:rsidRPr="00D54BAB">
        <w:rPr>
          <w:rFonts w:ascii="Times New Roman" w:hAnsi="Times New Roman"/>
          <w:sz w:val="24"/>
          <w:szCs w:val="24"/>
        </w:rPr>
        <w:t xml:space="preserve"> </w:t>
      </w:r>
      <w:r w:rsidR="0080098E" w:rsidRPr="00D54BAB">
        <w:rPr>
          <w:rFonts w:ascii="Times New Roman" w:hAnsi="Times New Roman"/>
          <w:sz w:val="24"/>
          <w:szCs w:val="24"/>
        </w:rPr>
        <w:t>поверена</w:t>
      </w:r>
      <w:r w:rsidR="003D0D97" w:rsidRPr="00D54BAB">
        <w:rPr>
          <w:rFonts w:ascii="Times New Roman" w:hAnsi="Times New Roman"/>
          <w:sz w:val="24"/>
          <w:szCs w:val="24"/>
        </w:rPr>
        <w:t xml:space="preserve"> </w:t>
      </w:r>
      <w:r w:rsidR="0080098E" w:rsidRPr="00D54BAB">
        <w:rPr>
          <w:rFonts w:ascii="Times New Roman" w:hAnsi="Times New Roman"/>
          <w:sz w:val="24"/>
          <w:szCs w:val="24"/>
        </w:rPr>
        <w:t>јавна</w:t>
      </w:r>
      <w:r w:rsidR="003D0D97" w:rsidRPr="00D54BAB">
        <w:rPr>
          <w:rFonts w:ascii="Times New Roman" w:hAnsi="Times New Roman"/>
          <w:sz w:val="24"/>
          <w:szCs w:val="24"/>
        </w:rPr>
        <w:t xml:space="preserve"> </w:t>
      </w:r>
      <w:r w:rsidR="0080098E" w:rsidRPr="00D54BAB">
        <w:rPr>
          <w:rFonts w:ascii="Times New Roman" w:hAnsi="Times New Roman"/>
          <w:sz w:val="24"/>
          <w:szCs w:val="24"/>
        </w:rPr>
        <w:t>овлашћења</w:t>
      </w:r>
      <w:r w:rsidR="003D0D97" w:rsidRPr="00D54BAB">
        <w:rPr>
          <w:rFonts w:ascii="Times New Roman" w:hAnsi="Times New Roman"/>
          <w:sz w:val="24"/>
          <w:szCs w:val="24"/>
        </w:rPr>
        <w:t xml:space="preserve">, </w:t>
      </w:r>
      <w:r w:rsidR="0080098E" w:rsidRPr="00D54BAB">
        <w:rPr>
          <w:rFonts w:ascii="Times New Roman" w:hAnsi="Times New Roman"/>
          <w:sz w:val="24"/>
          <w:szCs w:val="24"/>
        </w:rPr>
        <w:t>захтева</w:t>
      </w:r>
      <w:r w:rsidR="003D0D97" w:rsidRPr="00D54BAB">
        <w:rPr>
          <w:rFonts w:ascii="Times New Roman" w:hAnsi="Times New Roman"/>
          <w:sz w:val="24"/>
          <w:szCs w:val="24"/>
        </w:rPr>
        <w:t xml:space="preserve"> </w:t>
      </w:r>
      <w:r w:rsidR="0080098E" w:rsidRPr="00D54BAB">
        <w:rPr>
          <w:rFonts w:ascii="Times New Roman" w:hAnsi="Times New Roman"/>
          <w:sz w:val="24"/>
          <w:szCs w:val="24"/>
        </w:rPr>
        <w:t>податке</w:t>
      </w:r>
      <w:r w:rsidR="003D0D97" w:rsidRPr="00D54BAB">
        <w:rPr>
          <w:rFonts w:ascii="Times New Roman" w:hAnsi="Times New Roman"/>
          <w:sz w:val="24"/>
          <w:szCs w:val="24"/>
        </w:rPr>
        <w:t xml:space="preserve">, </w:t>
      </w:r>
      <w:r w:rsidR="0080098E" w:rsidRPr="00D54BAB">
        <w:rPr>
          <w:rFonts w:ascii="Times New Roman" w:hAnsi="Times New Roman"/>
          <w:sz w:val="24"/>
          <w:szCs w:val="24"/>
        </w:rPr>
        <w:t>информације</w:t>
      </w:r>
      <w:r w:rsidR="003D0D97" w:rsidRPr="00D54BAB">
        <w:rPr>
          <w:rFonts w:ascii="Times New Roman" w:hAnsi="Times New Roman"/>
          <w:sz w:val="24"/>
          <w:szCs w:val="24"/>
        </w:rPr>
        <w:t xml:space="preserve"> </w:t>
      </w:r>
      <w:r w:rsidR="0080098E" w:rsidRPr="00D54BAB">
        <w:rPr>
          <w:rFonts w:ascii="Times New Roman" w:hAnsi="Times New Roman"/>
          <w:sz w:val="24"/>
          <w:szCs w:val="24"/>
        </w:rPr>
        <w:t>и</w:t>
      </w:r>
      <w:r w:rsidR="003D0D97" w:rsidRPr="00D54BAB">
        <w:rPr>
          <w:rFonts w:ascii="Times New Roman" w:hAnsi="Times New Roman"/>
          <w:sz w:val="24"/>
          <w:szCs w:val="24"/>
        </w:rPr>
        <w:t xml:space="preserve"> </w:t>
      </w:r>
      <w:r w:rsidR="0080098E" w:rsidRPr="00D54BAB">
        <w:rPr>
          <w:rFonts w:ascii="Times New Roman" w:hAnsi="Times New Roman"/>
          <w:sz w:val="24"/>
          <w:szCs w:val="24"/>
        </w:rPr>
        <w:t>документацију</w:t>
      </w:r>
      <w:r w:rsidR="003D0D97" w:rsidRPr="00D54BAB">
        <w:rPr>
          <w:rFonts w:ascii="Times New Roman" w:hAnsi="Times New Roman"/>
          <w:sz w:val="24"/>
          <w:szCs w:val="24"/>
        </w:rPr>
        <w:t xml:space="preserve"> </w:t>
      </w:r>
      <w:r w:rsidR="0080098E" w:rsidRPr="00D54BAB">
        <w:rPr>
          <w:rFonts w:ascii="Times New Roman" w:hAnsi="Times New Roman"/>
          <w:sz w:val="24"/>
          <w:szCs w:val="24"/>
        </w:rPr>
        <w:t>који</w:t>
      </w:r>
      <w:r w:rsidR="003D0D97" w:rsidRPr="00D54BAB">
        <w:rPr>
          <w:rFonts w:ascii="Times New Roman" w:hAnsi="Times New Roman"/>
          <w:sz w:val="24"/>
          <w:szCs w:val="24"/>
        </w:rPr>
        <w:t xml:space="preserve"> </w:t>
      </w:r>
      <w:r w:rsidR="0080098E" w:rsidRPr="00D54BAB">
        <w:rPr>
          <w:rFonts w:ascii="Times New Roman" w:hAnsi="Times New Roman"/>
          <w:sz w:val="24"/>
          <w:szCs w:val="24"/>
        </w:rPr>
        <w:t>су</w:t>
      </w:r>
      <w:r w:rsidR="003D0D97" w:rsidRPr="00D54BAB">
        <w:rPr>
          <w:rFonts w:ascii="Times New Roman" w:hAnsi="Times New Roman"/>
          <w:sz w:val="24"/>
          <w:szCs w:val="24"/>
        </w:rPr>
        <w:t xml:space="preserve"> </w:t>
      </w:r>
      <w:r w:rsidR="0080098E" w:rsidRPr="00D54BAB">
        <w:rPr>
          <w:rFonts w:ascii="Times New Roman" w:hAnsi="Times New Roman"/>
          <w:sz w:val="24"/>
          <w:szCs w:val="24"/>
        </w:rPr>
        <w:t>потребни</w:t>
      </w:r>
      <w:r w:rsidR="003D0D97" w:rsidRPr="00D54BAB">
        <w:rPr>
          <w:rFonts w:ascii="Times New Roman" w:hAnsi="Times New Roman"/>
          <w:sz w:val="24"/>
          <w:szCs w:val="24"/>
        </w:rPr>
        <w:t xml:space="preserve"> </w:t>
      </w:r>
      <w:r w:rsidR="0080098E" w:rsidRPr="00D54BAB">
        <w:rPr>
          <w:rFonts w:ascii="Times New Roman" w:hAnsi="Times New Roman"/>
          <w:sz w:val="24"/>
          <w:szCs w:val="24"/>
        </w:rPr>
        <w:t>за</w:t>
      </w:r>
      <w:r w:rsidR="003D0D97" w:rsidRPr="00D54BAB">
        <w:rPr>
          <w:rFonts w:ascii="Times New Roman" w:hAnsi="Times New Roman"/>
          <w:sz w:val="24"/>
          <w:szCs w:val="24"/>
        </w:rPr>
        <w:t xml:space="preserve"> </w:t>
      </w:r>
      <w:r w:rsidR="0080098E" w:rsidRPr="00D54BAB">
        <w:rPr>
          <w:rFonts w:ascii="Times New Roman" w:hAnsi="Times New Roman"/>
          <w:sz w:val="24"/>
          <w:szCs w:val="24"/>
        </w:rPr>
        <w:t>откривање</w:t>
      </w:r>
      <w:r w:rsidR="003D0D97" w:rsidRPr="00D54BAB">
        <w:rPr>
          <w:rFonts w:ascii="Times New Roman" w:hAnsi="Times New Roman"/>
          <w:sz w:val="24"/>
          <w:szCs w:val="24"/>
        </w:rPr>
        <w:t xml:space="preserve"> </w:t>
      </w:r>
      <w:r w:rsidR="0080098E" w:rsidRPr="00D54BAB">
        <w:rPr>
          <w:rFonts w:ascii="Times New Roman" w:hAnsi="Times New Roman"/>
          <w:sz w:val="24"/>
          <w:szCs w:val="24"/>
        </w:rPr>
        <w:t>и</w:t>
      </w:r>
      <w:r w:rsidR="003D0D97" w:rsidRPr="00D54BAB">
        <w:rPr>
          <w:rFonts w:ascii="Times New Roman" w:hAnsi="Times New Roman"/>
          <w:sz w:val="24"/>
          <w:szCs w:val="24"/>
        </w:rPr>
        <w:t xml:space="preserve"> </w:t>
      </w:r>
      <w:r w:rsidR="0080098E" w:rsidRPr="00D54BAB">
        <w:rPr>
          <w:rFonts w:ascii="Times New Roman" w:hAnsi="Times New Roman"/>
          <w:sz w:val="24"/>
          <w:szCs w:val="24"/>
        </w:rPr>
        <w:t>доказивање</w:t>
      </w:r>
      <w:r w:rsidR="003D0D97" w:rsidRPr="00D54BAB">
        <w:rPr>
          <w:rFonts w:ascii="Times New Roman" w:hAnsi="Times New Roman"/>
          <w:sz w:val="24"/>
          <w:szCs w:val="24"/>
        </w:rPr>
        <w:t xml:space="preserve"> </w:t>
      </w:r>
      <w:r w:rsidR="0080098E" w:rsidRPr="00D54BAB">
        <w:rPr>
          <w:rFonts w:ascii="Times New Roman" w:hAnsi="Times New Roman"/>
          <w:sz w:val="24"/>
          <w:szCs w:val="24"/>
        </w:rPr>
        <w:t>прања</w:t>
      </w:r>
      <w:r w:rsidR="003D0D97" w:rsidRPr="00D54BAB">
        <w:rPr>
          <w:rFonts w:ascii="Times New Roman" w:hAnsi="Times New Roman"/>
          <w:sz w:val="24"/>
          <w:szCs w:val="24"/>
        </w:rPr>
        <w:t xml:space="preserve"> </w:t>
      </w:r>
      <w:r w:rsidR="0080098E" w:rsidRPr="00D54BAB">
        <w:rPr>
          <w:rFonts w:ascii="Times New Roman" w:hAnsi="Times New Roman"/>
          <w:sz w:val="24"/>
          <w:szCs w:val="24"/>
        </w:rPr>
        <w:t>новца</w:t>
      </w:r>
      <w:r w:rsidR="003D0D97" w:rsidRPr="00D54BAB">
        <w:rPr>
          <w:rFonts w:ascii="Times New Roman" w:hAnsi="Times New Roman"/>
          <w:sz w:val="24"/>
          <w:szCs w:val="24"/>
        </w:rPr>
        <w:t xml:space="preserve"> </w:t>
      </w:r>
      <w:r w:rsidR="0080098E" w:rsidRPr="00D54BAB">
        <w:rPr>
          <w:rFonts w:ascii="Times New Roman" w:hAnsi="Times New Roman"/>
          <w:sz w:val="24"/>
          <w:szCs w:val="24"/>
        </w:rPr>
        <w:t>или</w:t>
      </w:r>
      <w:r w:rsidR="003D0D97" w:rsidRPr="00D54BAB">
        <w:rPr>
          <w:rFonts w:ascii="Times New Roman" w:hAnsi="Times New Roman"/>
          <w:sz w:val="24"/>
          <w:szCs w:val="24"/>
        </w:rPr>
        <w:t xml:space="preserve"> </w:t>
      </w:r>
      <w:r w:rsidR="0080098E" w:rsidRPr="00D54BAB">
        <w:rPr>
          <w:rFonts w:ascii="Times New Roman" w:hAnsi="Times New Roman"/>
          <w:sz w:val="24"/>
          <w:szCs w:val="24"/>
        </w:rPr>
        <w:t>финансирања</w:t>
      </w:r>
      <w:r w:rsidR="003D0D97" w:rsidRPr="00D54BAB">
        <w:rPr>
          <w:rFonts w:ascii="Times New Roman" w:hAnsi="Times New Roman"/>
          <w:sz w:val="24"/>
          <w:szCs w:val="24"/>
        </w:rPr>
        <w:t xml:space="preserve"> </w:t>
      </w:r>
      <w:r w:rsidR="0080098E" w:rsidRPr="00D54BAB">
        <w:rPr>
          <w:rFonts w:ascii="Times New Roman" w:hAnsi="Times New Roman"/>
          <w:sz w:val="24"/>
          <w:szCs w:val="24"/>
        </w:rPr>
        <w:t>тероризм</w:t>
      </w:r>
      <w:r w:rsidR="00B479B2">
        <w:rPr>
          <w:rFonts w:ascii="Times New Roman" w:hAnsi="Times New Roman"/>
          <w:sz w:val="24"/>
          <w:szCs w:val="24"/>
          <w:lang w:val="sr-Cyrl-CS"/>
        </w:rPr>
        <w:t>а.</w:t>
      </w:r>
    </w:p>
    <w:p w:rsidR="00364CA3" w:rsidRPr="00D54BAB" w:rsidRDefault="00364CA3" w:rsidP="00D54BAB">
      <w:pPr>
        <w:jc w:val="both"/>
        <w:rPr>
          <w:rFonts w:ascii="Times New Roman" w:hAnsi="Times New Roman"/>
          <w:sz w:val="24"/>
          <w:szCs w:val="24"/>
          <w:lang w:val="sr-Cyrl-CS"/>
        </w:rPr>
      </w:pPr>
      <w:r w:rsidRPr="00D54BAB">
        <w:rPr>
          <w:rFonts w:ascii="Times New Roman" w:hAnsi="Times New Roman"/>
          <w:sz w:val="24"/>
          <w:szCs w:val="24"/>
        </w:rPr>
        <w:t xml:space="preserve"> </w:t>
      </w:r>
      <w:r w:rsidRPr="00D54BAB">
        <w:rPr>
          <w:rFonts w:ascii="Times New Roman" w:hAnsi="Times New Roman"/>
          <w:sz w:val="24"/>
          <w:szCs w:val="24"/>
          <w:lang w:val="sr-Cyrl-CS"/>
        </w:rPr>
        <w:tab/>
      </w:r>
      <w:r w:rsidR="0080098E" w:rsidRPr="00D54BAB">
        <w:rPr>
          <w:rFonts w:ascii="Times New Roman" w:hAnsi="Times New Roman"/>
          <w:sz w:val="24"/>
          <w:szCs w:val="24"/>
        </w:rPr>
        <w:t>Управа</w:t>
      </w:r>
      <w:r w:rsidR="00F87AEE" w:rsidRPr="00D54BAB">
        <w:rPr>
          <w:rFonts w:ascii="Times New Roman" w:hAnsi="Times New Roman"/>
          <w:sz w:val="24"/>
          <w:szCs w:val="24"/>
        </w:rPr>
        <w:t xml:space="preserve"> </w:t>
      </w:r>
      <w:r w:rsidR="0080098E" w:rsidRPr="00D54BAB">
        <w:rPr>
          <w:rFonts w:ascii="Times New Roman" w:hAnsi="Times New Roman"/>
          <w:sz w:val="24"/>
          <w:szCs w:val="24"/>
        </w:rPr>
        <w:t>може</w:t>
      </w:r>
      <w:r w:rsidR="00F87AEE" w:rsidRPr="00D54BAB">
        <w:rPr>
          <w:rFonts w:ascii="Times New Roman" w:hAnsi="Times New Roman"/>
          <w:sz w:val="24"/>
          <w:szCs w:val="24"/>
        </w:rPr>
        <w:t xml:space="preserve"> </w:t>
      </w:r>
      <w:r w:rsidR="0080098E" w:rsidRPr="00D54BAB">
        <w:rPr>
          <w:rFonts w:ascii="Times New Roman" w:hAnsi="Times New Roman"/>
          <w:sz w:val="24"/>
          <w:szCs w:val="24"/>
        </w:rPr>
        <w:t>издати</w:t>
      </w:r>
      <w:r w:rsidR="00F87AEE" w:rsidRPr="00D54BAB">
        <w:rPr>
          <w:rFonts w:ascii="Times New Roman" w:hAnsi="Times New Roman"/>
          <w:sz w:val="24"/>
          <w:szCs w:val="24"/>
        </w:rPr>
        <w:t xml:space="preserve"> </w:t>
      </w:r>
      <w:r w:rsidR="0080098E" w:rsidRPr="00D54BAB">
        <w:rPr>
          <w:rFonts w:ascii="Times New Roman" w:hAnsi="Times New Roman"/>
          <w:sz w:val="24"/>
          <w:szCs w:val="24"/>
        </w:rPr>
        <w:t>писмени</w:t>
      </w:r>
      <w:r w:rsidR="00F87AEE" w:rsidRPr="00D54BAB">
        <w:rPr>
          <w:rFonts w:ascii="Times New Roman" w:hAnsi="Times New Roman"/>
          <w:sz w:val="24"/>
          <w:szCs w:val="24"/>
        </w:rPr>
        <w:t xml:space="preserve"> </w:t>
      </w:r>
      <w:r w:rsidR="0080098E" w:rsidRPr="00D54BAB">
        <w:rPr>
          <w:rFonts w:ascii="Times New Roman" w:hAnsi="Times New Roman"/>
          <w:sz w:val="24"/>
          <w:szCs w:val="24"/>
        </w:rPr>
        <w:t>налог</w:t>
      </w:r>
      <w:r w:rsidR="00F87AEE" w:rsidRPr="00D54BAB">
        <w:rPr>
          <w:rFonts w:ascii="Times New Roman" w:hAnsi="Times New Roman"/>
          <w:sz w:val="24"/>
          <w:szCs w:val="24"/>
        </w:rPr>
        <w:t xml:space="preserve"> </w:t>
      </w:r>
      <w:r w:rsidR="0080098E" w:rsidRPr="00D54BAB">
        <w:rPr>
          <w:rFonts w:ascii="Times New Roman" w:hAnsi="Times New Roman"/>
          <w:sz w:val="24"/>
          <w:szCs w:val="24"/>
        </w:rPr>
        <w:t>обвезнику</w:t>
      </w:r>
      <w:r w:rsidR="00F87AEE" w:rsidRPr="00D54BAB">
        <w:rPr>
          <w:rFonts w:ascii="Times New Roman" w:hAnsi="Times New Roman"/>
          <w:sz w:val="24"/>
          <w:szCs w:val="24"/>
        </w:rPr>
        <w:t xml:space="preserve"> </w:t>
      </w:r>
      <w:r w:rsidR="0080098E" w:rsidRPr="00D54BAB">
        <w:rPr>
          <w:rFonts w:ascii="Times New Roman" w:hAnsi="Times New Roman"/>
          <w:sz w:val="24"/>
          <w:szCs w:val="24"/>
        </w:rPr>
        <w:t>којим</w:t>
      </w:r>
      <w:r w:rsidR="00F87AEE" w:rsidRPr="00D54BAB">
        <w:rPr>
          <w:rFonts w:ascii="Times New Roman" w:hAnsi="Times New Roman"/>
          <w:sz w:val="24"/>
          <w:szCs w:val="24"/>
        </w:rPr>
        <w:t xml:space="preserve"> </w:t>
      </w:r>
      <w:r w:rsidR="0080098E" w:rsidRPr="00D54BAB">
        <w:rPr>
          <w:rFonts w:ascii="Times New Roman" w:hAnsi="Times New Roman"/>
          <w:sz w:val="24"/>
          <w:szCs w:val="24"/>
        </w:rPr>
        <w:t>се</w:t>
      </w:r>
      <w:r w:rsidR="00F87AEE" w:rsidRPr="00D54BAB">
        <w:rPr>
          <w:rFonts w:ascii="Times New Roman" w:hAnsi="Times New Roman"/>
          <w:sz w:val="24"/>
          <w:szCs w:val="24"/>
        </w:rPr>
        <w:t xml:space="preserve"> </w:t>
      </w:r>
      <w:r w:rsidR="0080098E" w:rsidRPr="00D54BAB">
        <w:rPr>
          <w:rFonts w:ascii="Times New Roman" w:hAnsi="Times New Roman"/>
          <w:sz w:val="24"/>
          <w:szCs w:val="24"/>
        </w:rPr>
        <w:t>привремено</w:t>
      </w:r>
      <w:r w:rsidR="00F87AEE" w:rsidRPr="00D54BAB">
        <w:rPr>
          <w:rFonts w:ascii="Times New Roman" w:hAnsi="Times New Roman"/>
          <w:sz w:val="24"/>
          <w:szCs w:val="24"/>
        </w:rPr>
        <w:t xml:space="preserve"> </w:t>
      </w:r>
      <w:r w:rsidR="0080098E" w:rsidRPr="00D54BAB">
        <w:rPr>
          <w:rFonts w:ascii="Times New Roman" w:hAnsi="Times New Roman"/>
          <w:sz w:val="24"/>
          <w:szCs w:val="24"/>
        </w:rPr>
        <w:t>обуставља</w:t>
      </w:r>
      <w:r w:rsidR="00F87AEE" w:rsidRPr="00D54BAB">
        <w:rPr>
          <w:rFonts w:ascii="Times New Roman" w:hAnsi="Times New Roman"/>
          <w:sz w:val="24"/>
          <w:szCs w:val="24"/>
        </w:rPr>
        <w:t xml:space="preserve"> </w:t>
      </w:r>
      <w:r w:rsidR="0080098E" w:rsidRPr="00D54BAB">
        <w:rPr>
          <w:rFonts w:ascii="Times New Roman" w:hAnsi="Times New Roman"/>
          <w:sz w:val="24"/>
          <w:szCs w:val="24"/>
        </w:rPr>
        <w:t>извршење</w:t>
      </w:r>
      <w:r w:rsidR="00F87AEE" w:rsidRPr="00D54BAB">
        <w:rPr>
          <w:rFonts w:ascii="Times New Roman" w:hAnsi="Times New Roman"/>
          <w:sz w:val="24"/>
          <w:szCs w:val="24"/>
        </w:rPr>
        <w:t xml:space="preserve"> </w:t>
      </w:r>
      <w:r w:rsidR="0080098E" w:rsidRPr="00D54BAB">
        <w:rPr>
          <w:rFonts w:ascii="Times New Roman" w:hAnsi="Times New Roman"/>
          <w:sz w:val="24"/>
          <w:szCs w:val="24"/>
        </w:rPr>
        <w:t>трансакције</w:t>
      </w:r>
      <w:r w:rsidR="00F87AEE" w:rsidRPr="00D54BAB">
        <w:rPr>
          <w:rFonts w:ascii="Times New Roman" w:hAnsi="Times New Roman"/>
          <w:sz w:val="24"/>
          <w:szCs w:val="24"/>
        </w:rPr>
        <w:t xml:space="preserve">, </w:t>
      </w:r>
      <w:r w:rsidR="0080098E" w:rsidRPr="00D54BAB">
        <w:rPr>
          <w:rFonts w:ascii="Times New Roman" w:hAnsi="Times New Roman"/>
          <w:sz w:val="24"/>
          <w:szCs w:val="24"/>
        </w:rPr>
        <w:t>ако</w:t>
      </w:r>
      <w:r w:rsidR="00F87AEE" w:rsidRPr="00D54BAB">
        <w:rPr>
          <w:rFonts w:ascii="Times New Roman" w:hAnsi="Times New Roman"/>
          <w:sz w:val="24"/>
          <w:szCs w:val="24"/>
        </w:rPr>
        <w:t xml:space="preserve"> </w:t>
      </w:r>
      <w:r w:rsidR="0080098E" w:rsidRPr="00D54BAB">
        <w:rPr>
          <w:rFonts w:ascii="Times New Roman" w:hAnsi="Times New Roman"/>
          <w:sz w:val="24"/>
          <w:szCs w:val="24"/>
        </w:rPr>
        <w:t>оцени</w:t>
      </w:r>
      <w:r w:rsidR="00F87AEE" w:rsidRPr="00D54BAB">
        <w:rPr>
          <w:rFonts w:ascii="Times New Roman" w:hAnsi="Times New Roman"/>
          <w:sz w:val="24"/>
          <w:szCs w:val="24"/>
        </w:rPr>
        <w:t xml:space="preserve"> </w:t>
      </w:r>
      <w:r w:rsidR="0080098E" w:rsidRPr="00D54BAB">
        <w:rPr>
          <w:rFonts w:ascii="Times New Roman" w:hAnsi="Times New Roman"/>
          <w:sz w:val="24"/>
          <w:szCs w:val="24"/>
        </w:rPr>
        <w:t>да</w:t>
      </w:r>
      <w:r w:rsidR="00F87AEE" w:rsidRPr="00D54BAB">
        <w:rPr>
          <w:rFonts w:ascii="Times New Roman" w:hAnsi="Times New Roman"/>
          <w:sz w:val="24"/>
          <w:szCs w:val="24"/>
        </w:rPr>
        <w:t xml:space="preserve"> </w:t>
      </w:r>
      <w:r w:rsidR="0080098E" w:rsidRPr="00D54BAB">
        <w:rPr>
          <w:rFonts w:ascii="Times New Roman" w:hAnsi="Times New Roman"/>
          <w:sz w:val="24"/>
          <w:szCs w:val="24"/>
        </w:rPr>
        <w:t>у</w:t>
      </w:r>
      <w:r w:rsidR="00F87AEE" w:rsidRPr="00D54BAB">
        <w:rPr>
          <w:rFonts w:ascii="Times New Roman" w:hAnsi="Times New Roman"/>
          <w:sz w:val="24"/>
          <w:szCs w:val="24"/>
        </w:rPr>
        <w:t xml:space="preserve"> </w:t>
      </w:r>
      <w:r w:rsidR="0080098E" w:rsidRPr="00D54BAB">
        <w:rPr>
          <w:rFonts w:ascii="Times New Roman" w:hAnsi="Times New Roman"/>
          <w:sz w:val="24"/>
          <w:szCs w:val="24"/>
        </w:rPr>
        <w:t>вези</w:t>
      </w:r>
      <w:r w:rsidR="00F87AEE" w:rsidRPr="00D54BAB">
        <w:rPr>
          <w:rFonts w:ascii="Times New Roman" w:hAnsi="Times New Roman"/>
          <w:sz w:val="24"/>
          <w:szCs w:val="24"/>
        </w:rPr>
        <w:t xml:space="preserve"> </w:t>
      </w:r>
      <w:r w:rsidR="0080098E" w:rsidRPr="00D54BAB">
        <w:rPr>
          <w:rFonts w:ascii="Times New Roman" w:hAnsi="Times New Roman"/>
          <w:sz w:val="24"/>
          <w:szCs w:val="24"/>
        </w:rPr>
        <w:t>са</w:t>
      </w:r>
      <w:r w:rsidR="00F87AEE" w:rsidRPr="00D54BAB">
        <w:rPr>
          <w:rFonts w:ascii="Times New Roman" w:hAnsi="Times New Roman"/>
          <w:sz w:val="24"/>
          <w:szCs w:val="24"/>
        </w:rPr>
        <w:t xml:space="preserve"> </w:t>
      </w:r>
      <w:r w:rsidR="0080098E" w:rsidRPr="00D54BAB">
        <w:rPr>
          <w:rFonts w:ascii="Times New Roman" w:hAnsi="Times New Roman"/>
          <w:sz w:val="24"/>
          <w:szCs w:val="24"/>
        </w:rPr>
        <w:t>трансакцијом</w:t>
      </w:r>
      <w:r w:rsidR="00F87AEE" w:rsidRPr="00D54BAB">
        <w:rPr>
          <w:rFonts w:ascii="Times New Roman" w:hAnsi="Times New Roman"/>
          <w:sz w:val="24"/>
          <w:szCs w:val="24"/>
        </w:rPr>
        <w:t xml:space="preserve"> </w:t>
      </w:r>
      <w:r w:rsidR="0080098E" w:rsidRPr="00D54BAB">
        <w:rPr>
          <w:rFonts w:ascii="Times New Roman" w:hAnsi="Times New Roman"/>
          <w:sz w:val="24"/>
          <w:szCs w:val="24"/>
        </w:rPr>
        <w:t>или</w:t>
      </w:r>
      <w:r w:rsidR="00F87AEE" w:rsidRPr="00D54BAB">
        <w:rPr>
          <w:rFonts w:ascii="Times New Roman" w:hAnsi="Times New Roman"/>
          <w:sz w:val="24"/>
          <w:szCs w:val="24"/>
        </w:rPr>
        <w:t xml:space="preserve"> </w:t>
      </w:r>
      <w:r w:rsidR="0080098E" w:rsidRPr="00D54BAB">
        <w:rPr>
          <w:rFonts w:ascii="Times New Roman" w:hAnsi="Times New Roman"/>
          <w:sz w:val="24"/>
          <w:szCs w:val="24"/>
        </w:rPr>
        <w:t>лицем</w:t>
      </w:r>
      <w:r w:rsidR="00F87AEE" w:rsidRPr="00D54BAB">
        <w:rPr>
          <w:rFonts w:ascii="Times New Roman" w:hAnsi="Times New Roman"/>
          <w:sz w:val="24"/>
          <w:szCs w:val="24"/>
        </w:rPr>
        <w:t xml:space="preserve"> </w:t>
      </w:r>
      <w:r w:rsidR="0080098E" w:rsidRPr="00D54BAB">
        <w:rPr>
          <w:rFonts w:ascii="Times New Roman" w:hAnsi="Times New Roman"/>
          <w:sz w:val="24"/>
          <w:szCs w:val="24"/>
        </w:rPr>
        <w:t>које</w:t>
      </w:r>
      <w:r w:rsidR="00F87AEE" w:rsidRPr="00D54BAB">
        <w:rPr>
          <w:rFonts w:ascii="Times New Roman" w:hAnsi="Times New Roman"/>
          <w:sz w:val="24"/>
          <w:szCs w:val="24"/>
        </w:rPr>
        <w:t xml:space="preserve"> </w:t>
      </w:r>
      <w:r w:rsidR="0080098E" w:rsidRPr="00D54BAB">
        <w:rPr>
          <w:rFonts w:ascii="Times New Roman" w:hAnsi="Times New Roman"/>
          <w:sz w:val="24"/>
          <w:szCs w:val="24"/>
        </w:rPr>
        <w:t>обавља</w:t>
      </w:r>
      <w:r w:rsidR="00F87AEE" w:rsidRPr="00D54BAB">
        <w:rPr>
          <w:rFonts w:ascii="Times New Roman" w:hAnsi="Times New Roman"/>
          <w:sz w:val="24"/>
          <w:szCs w:val="24"/>
        </w:rPr>
        <w:t xml:space="preserve"> </w:t>
      </w:r>
      <w:r w:rsidR="0080098E" w:rsidRPr="00D54BAB">
        <w:rPr>
          <w:rFonts w:ascii="Times New Roman" w:hAnsi="Times New Roman"/>
          <w:sz w:val="24"/>
          <w:szCs w:val="24"/>
        </w:rPr>
        <w:t>трансакцију</w:t>
      </w:r>
      <w:r w:rsidR="00F87AEE" w:rsidRPr="00D54BAB">
        <w:rPr>
          <w:rFonts w:ascii="Times New Roman" w:hAnsi="Times New Roman"/>
          <w:sz w:val="24"/>
          <w:szCs w:val="24"/>
        </w:rPr>
        <w:t xml:space="preserve"> </w:t>
      </w:r>
      <w:r w:rsidR="0080098E" w:rsidRPr="00D54BAB">
        <w:rPr>
          <w:rFonts w:ascii="Times New Roman" w:hAnsi="Times New Roman"/>
          <w:sz w:val="24"/>
          <w:szCs w:val="24"/>
        </w:rPr>
        <w:t>постоји</w:t>
      </w:r>
      <w:r w:rsidR="00F87AEE" w:rsidRPr="00D54BAB">
        <w:rPr>
          <w:rFonts w:ascii="Times New Roman" w:hAnsi="Times New Roman"/>
          <w:sz w:val="24"/>
          <w:szCs w:val="24"/>
        </w:rPr>
        <w:t xml:space="preserve"> </w:t>
      </w:r>
      <w:r w:rsidR="0080098E" w:rsidRPr="00D54BAB">
        <w:rPr>
          <w:rFonts w:ascii="Times New Roman" w:hAnsi="Times New Roman"/>
          <w:sz w:val="24"/>
          <w:szCs w:val="24"/>
        </w:rPr>
        <w:t>основана</w:t>
      </w:r>
      <w:r w:rsidR="00F87AEE" w:rsidRPr="00D54BAB">
        <w:rPr>
          <w:rFonts w:ascii="Times New Roman" w:hAnsi="Times New Roman"/>
          <w:sz w:val="24"/>
          <w:szCs w:val="24"/>
        </w:rPr>
        <w:t xml:space="preserve"> </w:t>
      </w:r>
      <w:r w:rsidR="0080098E" w:rsidRPr="00D54BAB">
        <w:rPr>
          <w:rFonts w:ascii="Times New Roman" w:hAnsi="Times New Roman"/>
          <w:sz w:val="24"/>
          <w:szCs w:val="24"/>
        </w:rPr>
        <w:t>сумња</w:t>
      </w:r>
      <w:r w:rsidR="00F87AEE" w:rsidRPr="00D54BAB">
        <w:rPr>
          <w:rFonts w:ascii="Times New Roman" w:hAnsi="Times New Roman"/>
          <w:sz w:val="24"/>
          <w:szCs w:val="24"/>
        </w:rPr>
        <w:t xml:space="preserve"> </w:t>
      </w:r>
      <w:r w:rsidR="0080098E" w:rsidRPr="00D54BAB">
        <w:rPr>
          <w:rFonts w:ascii="Times New Roman" w:hAnsi="Times New Roman"/>
          <w:sz w:val="24"/>
          <w:szCs w:val="24"/>
        </w:rPr>
        <w:t>да</w:t>
      </w:r>
      <w:r w:rsidR="00F87AEE" w:rsidRPr="00D54BAB">
        <w:rPr>
          <w:rFonts w:ascii="Times New Roman" w:hAnsi="Times New Roman"/>
          <w:sz w:val="24"/>
          <w:szCs w:val="24"/>
        </w:rPr>
        <w:t xml:space="preserve"> </w:t>
      </w:r>
      <w:r w:rsidR="0080098E" w:rsidRPr="00D54BAB">
        <w:rPr>
          <w:rFonts w:ascii="Times New Roman" w:hAnsi="Times New Roman"/>
          <w:sz w:val="24"/>
          <w:szCs w:val="24"/>
        </w:rPr>
        <w:t>се</w:t>
      </w:r>
      <w:r w:rsidR="00F87AEE" w:rsidRPr="00D54BAB">
        <w:rPr>
          <w:rFonts w:ascii="Times New Roman" w:hAnsi="Times New Roman"/>
          <w:sz w:val="24"/>
          <w:szCs w:val="24"/>
        </w:rPr>
        <w:t xml:space="preserve"> </w:t>
      </w:r>
      <w:r w:rsidR="0080098E" w:rsidRPr="00D54BAB">
        <w:rPr>
          <w:rFonts w:ascii="Times New Roman" w:hAnsi="Times New Roman"/>
          <w:sz w:val="24"/>
          <w:szCs w:val="24"/>
        </w:rPr>
        <w:t>ради</w:t>
      </w:r>
      <w:r w:rsidR="00F87AEE" w:rsidRPr="00D54BAB">
        <w:rPr>
          <w:rFonts w:ascii="Times New Roman" w:hAnsi="Times New Roman"/>
          <w:sz w:val="24"/>
          <w:szCs w:val="24"/>
        </w:rPr>
        <w:t xml:space="preserve"> </w:t>
      </w:r>
      <w:r w:rsidR="0080098E" w:rsidRPr="00D54BAB">
        <w:rPr>
          <w:rFonts w:ascii="Times New Roman" w:hAnsi="Times New Roman"/>
          <w:sz w:val="24"/>
          <w:szCs w:val="24"/>
        </w:rPr>
        <w:t>о</w:t>
      </w:r>
      <w:r w:rsidR="00F87AEE" w:rsidRPr="00D54BAB">
        <w:rPr>
          <w:rFonts w:ascii="Times New Roman" w:hAnsi="Times New Roman"/>
          <w:sz w:val="24"/>
          <w:szCs w:val="24"/>
        </w:rPr>
        <w:t xml:space="preserve"> </w:t>
      </w:r>
      <w:r w:rsidR="0080098E" w:rsidRPr="00D54BAB">
        <w:rPr>
          <w:rFonts w:ascii="Times New Roman" w:hAnsi="Times New Roman"/>
          <w:sz w:val="24"/>
          <w:szCs w:val="24"/>
        </w:rPr>
        <w:t>прању</w:t>
      </w:r>
      <w:r w:rsidR="00F87AEE" w:rsidRPr="00D54BAB">
        <w:rPr>
          <w:rFonts w:ascii="Times New Roman" w:hAnsi="Times New Roman"/>
          <w:sz w:val="24"/>
          <w:szCs w:val="24"/>
        </w:rPr>
        <w:t xml:space="preserve"> </w:t>
      </w:r>
      <w:r w:rsidR="0080098E" w:rsidRPr="00D54BAB">
        <w:rPr>
          <w:rFonts w:ascii="Times New Roman" w:hAnsi="Times New Roman"/>
          <w:sz w:val="24"/>
          <w:szCs w:val="24"/>
        </w:rPr>
        <w:t>новца</w:t>
      </w:r>
      <w:r w:rsidR="00F87AEE" w:rsidRPr="00D54BAB">
        <w:rPr>
          <w:rFonts w:ascii="Times New Roman" w:hAnsi="Times New Roman"/>
          <w:sz w:val="24"/>
          <w:szCs w:val="24"/>
        </w:rPr>
        <w:t xml:space="preserve"> </w:t>
      </w:r>
      <w:r w:rsidR="0080098E" w:rsidRPr="00D54BAB">
        <w:rPr>
          <w:rFonts w:ascii="Times New Roman" w:hAnsi="Times New Roman"/>
          <w:sz w:val="24"/>
          <w:szCs w:val="24"/>
        </w:rPr>
        <w:t>или</w:t>
      </w:r>
      <w:r w:rsidR="00F87AEE" w:rsidRPr="00D54BAB">
        <w:rPr>
          <w:rFonts w:ascii="Times New Roman" w:hAnsi="Times New Roman"/>
          <w:sz w:val="24"/>
          <w:szCs w:val="24"/>
        </w:rPr>
        <w:t xml:space="preserve"> </w:t>
      </w:r>
      <w:r w:rsidR="0080098E" w:rsidRPr="00D54BAB">
        <w:rPr>
          <w:rFonts w:ascii="Times New Roman" w:hAnsi="Times New Roman"/>
          <w:sz w:val="24"/>
          <w:szCs w:val="24"/>
        </w:rPr>
        <w:t>финансирању</w:t>
      </w:r>
      <w:r w:rsidR="00F87AEE" w:rsidRPr="00D54BAB">
        <w:rPr>
          <w:rFonts w:ascii="Times New Roman" w:hAnsi="Times New Roman"/>
          <w:sz w:val="24"/>
          <w:szCs w:val="24"/>
        </w:rPr>
        <w:t xml:space="preserve"> </w:t>
      </w:r>
      <w:r w:rsidR="0080098E" w:rsidRPr="00D54BAB">
        <w:rPr>
          <w:rFonts w:ascii="Times New Roman" w:hAnsi="Times New Roman"/>
          <w:sz w:val="24"/>
          <w:szCs w:val="24"/>
        </w:rPr>
        <w:t>тероризма</w:t>
      </w:r>
      <w:r w:rsidR="00F87AEE" w:rsidRPr="00D54BAB">
        <w:rPr>
          <w:rFonts w:ascii="Times New Roman" w:hAnsi="Times New Roman"/>
          <w:sz w:val="24"/>
          <w:szCs w:val="24"/>
        </w:rPr>
        <w:t xml:space="preserve">, </w:t>
      </w:r>
      <w:r w:rsidR="0080098E" w:rsidRPr="00D54BAB">
        <w:rPr>
          <w:rFonts w:ascii="Times New Roman" w:hAnsi="Times New Roman"/>
          <w:sz w:val="24"/>
          <w:szCs w:val="24"/>
        </w:rPr>
        <w:t>о</w:t>
      </w:r>
      <w:r w:rsidR="00F87AEE" w:rsidRPr="00D54BAB">
        <w:rPr>
          <w:rFonts w:ascii="Times New Roman" w:hAnsi="Times New Roman"/>
          <w:sz w:val="24"/>
          <w:szCs w:val="24"/>
        </w:rPr>
        <w:t xml:space="preserve"> </w:t>
      </w:r>
      <w:r w:rsidR="0080098E" w:rsidRPr="00D54BAB">
        <w:rPr>
          <w:rFonts w:ascii="Times New Roman" w:hAnsi="Times New Roman"/>
          <w:sz w:val="24"/>
          <w:szCs w:val="24"/>
        </w:rPr>
        <w:t>чему</w:t>
      </w:r>
      <w:r w:rsidR="00F87AEE" w:rsidRPr="00D54BAB">
        <w:rPr>
          <w:rFonts w:ascii="Times New Roman" w:hAnsi="Times New Roman"/>
          <w:sz w:val="24"/>
          <w:szCs w:val="24"/>
        </w:rPr>
        <w:t xml:space="preserve"> </w:t>
      </w:r>
      <w:r w:rsidR="0080098E" w:rsidRPr="00D54BAB">
        <w:rPr>
          <w:rFonts w:ascii="Times New Roman" w:hAnsi="Times New Roman"/>
          <w:sz w:val="24"/>
          <w:szCs w:val="24"/>
        </w:rPr>
        <w:t>обавештава</w:t>
      </w:r>
      <w:r w:rsidR="00F87AEE" w:rsidRPr="00D54BAB">
        <w:rPr>
          <w:rFonts w:ascii="Times New Roman" w:hAnsi="Times New Roman"/>
          <w:sz w:val="24"/>
          <w:szCs w:val="24"/>
        </w:rPr>
        <w:t xml:space="preserve"> </w:t>
      </w:r>
      <w:r w:rsidR="0080098E" w:rsidRPr="00D54BAB">
        <w:rPr>
          <w:rFonts w:ascii="Times New Roman" w:hAnsi="Times New Roman"/>
          <w:sz w:val="24"/>
          <w:szCs w:val="24"/>
        </w:rPr>
        <w:t>надлежне</w:t>
      </w:r>
      <w:r w:rsidR="00F87AEE" w:rsidRPr="00D54BAB">
        <w:rPr>
          <w:rFonts w:ascii="Times New Roman" w:hAnsi="Times New Roman"/>
          <w:sz w:val="24"/>
          <w:szCs w:val="24"/>
        </w:rPr>
        <w:t xml:space="preserve"> </w:t>
      </w:r>
      <w:r w:rsidR="0080098E" w:rsidRPr="00D54BAB">
        <w:rPr>
          <w:rFonts w:ascii="Times New Roman" w:hAnsi="Times New Roman"/>
          <w:sz w:val="24"/>
          <w:szCs w:val="24"/>
        </w:rPr>
        <w:t>органе</w:t>
      </w:r>
      <w:r w:rsidR="00F87AEE" w:rsidRPr="00D54BAB">
        <w:rPr>
          <w:rFonts w:ascii="Times New Roman" w:hAnsi="Times New Roman"/>
          <w:sz w:val="24"/>
          <w:szCs w:val="24"/>
        </w:rPr>
        <w:t xml:space="preserve"> </w:t>
      </w:r>
      <w:r w:rsidR="0080098E" w:rsidRPr="00D54BAB">
        <w:rPr>
          <w:rFonts w:ascii="Times New Roman" w:hAnsi="Times New Roman"/>
          <w:sz w:val="24"/>
          <w:szCs w:val="24"/>
        </w:rPr>
        <w:t>ради</w:t>
      </w:r>
      <w:r w:rsidR="00F87AEE" w:rsidRPr="00D54BAB">
        <w:rPr>
          <w:rFonts w:ascii="Times New Roman" w:hAnsi="Times New Roman"/>
          <w:sz w:val="24"/>
          <w:szCs w:val="24"/>
        </w:rPr>
        <w:t xml:space="preserve"> </w:t>
      </w:r>
      <w:r w:rsidR="0080098E" w:rsidRPr="00D54BAB">
        <w:rPr>
          <w:rFonts w:ascii="Times New Roman" w:hAnsi="Times New Roman"/>
          <w:sz w:val="24"/>
          <w:szCs w:val="24"/>
        </w:rPr>
        <w:t>предузимања</w:t>
      </w:r>
      <w:r w:rsidR="00F87AEE" w:rsidRPr="00D54BAB">
        <w:rPr>
          <w:rFonts w:ascii="Times New Roman" w:hAnsi="Times New Roman"/>
          <w:sz w:val="24"/>
          <w:szCs w:val="24"/>
        </w:rPr>
        <w:t xml:space="preserve"> </w:t>
      </w:r>
      <w:r w:rsidR="0080098E" w:rsidRPr="00D54BAB">
        <w:rPr>
          <w:rFonts w:ascii="Times New Roman" w:hAnsi="Times New Roman"/>
          <w:sz w:val="24"/>
          <w:szCs w:val="24"/>
        </w:rPr>
        <w:t>мера</w:t>
      </w:r>
      <w:r w:rsidR="00F87AEE" w:rsidRPr="00D54BAB">
        <w:rPr>
          <w:rFonts w:ascii="Times New Roman" w:hAnsi="Times New Roman"/>
          <w:sz w:val="24"/>
          <w:szCs w:val="24"/>
        </w:rPr>
        <w:t xml:space="preserve"> </w:t>
      </w:r>
      <w:r w:rsidR="0080098E" w:rsidRPr="00D54BAB">
        <w:rPr>
          <w:rFonts w:ascii="Times New Roman" w:hAnsi="Times New Roman"/>
          <w:sz w:val="24"/>
          <w:szCs w:val="24"/>
        </w:rPr>
        <w:t>из</w:t>
      </w:r>
      <w:r w:rsidR="00F87AEE" w:rsidRPr="00D54BAB">
        <w:rPr>
          <w:rFonts w:ascii="Times New Roman" w:hAnsi="Times New Roman"/>
          <w:sz w:val="24"/>
          <w:szCs w:val="24"/>
        </w:rPr>
        <w:t xml:space="preserve"> </w:t>
      </w:r>
      <w:r w:rsidR="0080098E" w:rsidRPr="00D54BAB">
        <w:rPr>
          <w:rFonts w:ascii="Times New Roman" w:hAnsi="Times New Roman"/>
          <w:sz w:val="24"/>
          <w:szCs w:val="24"/>
        </w:rPr>
        <w:t>њихове</w:t>
      </w:r>
      <w:r w:rsidR="00F87AEE" w:rsidRPr="00D54BAB">
        <w:rPr>
          <w:rFonts w:ascii="Times New Roman" w:hAnsi="Times New Roman"/>
          <w:sz w:val="24"/>
          <w:szCs w:val="24"/>
        </w:rPr>
        <w:t xml:space="preserve"> </w:t>
      </w:r>
      <w:r w:rsidR="0080098E" w:rsidRPr="00D54BAB">
        <w:rPr>
          <w:rFonts w:ascii="Times New Roman" w:hAnsi="Times New Roman"/>
          <w:sz w:val="24"/>
          <w:szCs w:val="24"/>
        </w:rPr>
        <w:t>надлежности</w:t>
      </w:r>
      <w:r w:rsidR="009E2574">
        <w:rPr>
          <w:rFonts w:ascii="Times New Roman" w:hAnsi="Times New Roman"/>
          <w:sz w:val="24"/>
          <w:szCs w:val="24"/>
          <w:lang w:val="sr-Cyrl-CS"/>
        </w:rPr>
        <w:t>, а</w:t>
      </w:r>
      <w:r w:rsidRPr="00D54BAB">
        <w:rPr>
          <w:rFonts w:ascii="Times New Roman" w:hAnsi="Times New Roman"/>
          <w:sz w:val="24"/>
          <w:szCs w:val="24"/>
          <w:lang w:val="sr-Cyrl-CS"/>
        </w:rPr>
        <w:t xml:space="preserve"> </w:t>
      </w:r>
      <w:r w:rsidR="0080098E" w:rsidRPr="00D54BAB">
        <w:rPr>
          <w:rFonts w:ascii="Times New Roman" w:hAnsi="Times New Roman"/>
          <w:sz w:val="24"/>
          <w:szCs w:val="24"/>
        </w:rPr>
        <w:t>може</w:t>
      </w:r>
      <w:r w:rsidR="00F87AEE" w:rsidRPr="00D54BAB">
        <w:rPr>
          <w:rFonts w:ascii="Times New Roman" w:hAnsi="Times New Roman"/>
          <w:sz w:val="24"/>
          <w:szCs w:val="24"/>
        </w:rPr>
        <w:t xml:space="preserve"> </w:t>
      </w:r>
      <w:r w:rsidR="0080098E" w:rsidRPr="00D54BAB">
        <w:rPr>
          <w:rFonts w:ascii="Times New Roman" w:hAnsi="Times New Roman"/>
          <w:sz w:val="24"/>
          <w:szCs w:val="24"/>
        </w:rPr>
        <w:t>обвезнику</w:t>
      </w:r>
      <w:r w:rsidR="00F87AEE" w:rsidRPr="00D54BAB">
        <w:rPr>
          <w:rFonts w:ascii="Times New Roman" w:hAnsi="Times New Roman"/>
          <w:sz w:val="24"/>
          <w:szCs w:val="24"/>
        </w:rPr>
        <w:t xml:space="preserve"> </w:t>
      </w:r>
      <w:r w:rsidR="0080098E" w:rsidRPr="00D54BAB">
        <w:rPr>
          <w:rFonts w:ascii="Times New Roman" w:hAnsi="Times New Roman"/>
          <w:sz w:val="24"/>
          <w:szCs w:val="24"/>
        </w:rPr>
        <w:t>издати</w:t>
      </w:r>
      <w:r w:rsidR="00F87AEE" w:rsidRPr="00D54BAB">
        <w:rPr>
          <w:rFonts w:ascii="Times New Roman" w:hAnsi="Times New Roman"/>
          <w:sz w:val="24"/>
          <w:szCs w:val="24"/>
        </w:rPr>
        <w:t xml:space="preserve"> </w:t>
      </w:r>
      <w:r w:rsidR="0080098E" w:rsidRPr="00D54BAB">
        <w:rPr>
          <w:rFonts w:ascii="Times New Roman" w:hAnsi="Times New Roman"/>
          <w:sz w:val="24"/>
          <w:szCs w:val="24"/>
        </w:rPr>
        <w:t>писмени</w:t>
      </w:r>
      <w:r w:rsidR="00F87AEE" w:rsidRPr="00D54BAB">
        <w:rPr>
          <w:rFonts w:ascii="Times New Roman" w:hAnsi="Times New Roman"/>
          <w:sz w:val="24"/>
          <w:szCs w:val="24"/>
        </w:rPr>
        <w:t xml:space="preserve"> </w:t>
      </w:r>
      <w:r w:rsidR="0080098E" w:rsidRPr="00D54BAB">
        <w:rPr>
          <w:rFonts w:ascii="Times New Roman" w:hAnsi="Times New Roman"/>
          <w:sz w:val="24"/>
          <w:szCs w:val="24"/>
        </w:rPr>
        <w:t>налог</w:t>
      </w:r>
      <w:r w:rsidR="00F87AEE" w:rsidRPr="00D54BAB">
        <w:rPr>
          <w:rFonts w:ascii="Times New Roman" w:hAnsi="Times New Roman"/>
          <w:sz w:val="24"/>
          <w:szCs w:val="24"/>
        </w:rPr>
        <w:t xml:space="preserve"> </w:t>
      </w:r>
      <w:r w:rsidR="0080098E" w:rsidRPr="00D54BAB">
        <w:rPr>
          <w:rFonts w:ascii="Times New Roman" w:hAnsi="Times New Roman"/>
          <w:sz w:val="24"/>
          <w:szCs w:val="24"/>
        </w:rPr>
        <w:t>да</w:t>
      </w:r>
      <w:r w:rsidR="00F87AEE" w:rsidRPr="00D54BAB">
        <w:rPr>
          <w:rFonts w:ascii="Times New Roman" w:hAnsi="Times New Roman"/>
          <w:sz w:val="24"/>
          <w:szCs w:val="24"/>
        </w:rPr>
        <w:t xml:space="preserve"> </w:t>
      </w:r>
      <w:r w:rsidR="0080098E" w:rsidRPr="00D54BAB">
        <w:rPr>
          <w:rFonts w:ascii="Times New Roman" w:hAnsi="Times New Roman"/>
          <w:sz w:val="24"/>
          <w:szCs w:val="24"/>
        </w:rPr>
        <w:t>прати</w:t>
      </w:r>
      <w:r w:rsidR="00F87AEE" w:rsidRPr="00D54BAB">
        <w:rPr>
          <w:rFonts w:ascii="Times New Roman" w:hAnsi="Times New Roman"/>
          <w:sz w:val="24"/>
          <w:szCs w:val="24"/>
        </w:rPr>
        <w:t xml:space="preserve"> </w:t>
      </w:r>
      <w:r w:rsidR="0080098E" w:rsidRPr="00D54BAB">
        <w:rPr>
          <w:rFonts w:ascii="Times New Roman" w:hAnsi="Times New Roman"/>
          <w:sz w:val="24"/>
          <w:szCs w:val="24"/>
        </w:rPr>
        <w:t>све</w:t>
      </w:r>
      <w:r w:rsidR="00F87AEE" w:rsidRPr="00D54BAB">
        <w:rPr>
          <w:rFonts w:ascii="Times New Roman" w:hAnsi="Times New Roman"/>
          <w:sz w:val="24"/>
          <w:szCs w:val="24"/>
        </w:rPr>
        <w:t xml:space="preserve"> </w:t>
      </w:r>
      <w:r w:rsidR="0080098E" w:rsidRPr="00D54BAB">
        <w:rPr>
          <w:rFonts w:ascii="Times New Roman" w:hAnsi="Times New Roman"/>
          <w:sz w:val="24"/>
          <w:szCs w:val="24"/>
        </w:rPr>
        <w:t>трансакције</w:t>
      </w:r>
      <w:r w:rsidR="00F87AEE" w:rsidRPr="00D54BAB">
        <w:rPr>
          <w:rFonts w:ascii="Times New Roman" w:hAnsi="Times New Roman"/>
          <w:sz w:val="24"/>
          <w:szCs w:val="24"/>
        </w:rPr>
        <w:t xml:space="preserve"> </w:t>
      </w:r>
      <w:r w:rsidR="0080098E" w:rsidRPr="00D54BAB">
        <w:rPr>
          <w:rFonts w:ascii="Times New Roman" w:hAnsi="Times New Roman"/>
          <w:sz w:val="24"/>
          <w:szCs w:val="24"/>
        </w:rPr>
        <w:t>или</w:t>
      </w:r>
      <w:r w:rsidR="00F87AEE" w:rsidRPr="00D54BAB">
        <w:rPr>
          <w:rFonts w:ascii="Times New Roman" w:hAnsi="Times New Roman"/>
          <w:sz w:val="24"/>
          <w:szCs w:val="24"/>
        </w:rPr>
        <w:t xml:space="preserve"> </w:t>
      </w:r>
      <w:r w:rsidR="0080098E" w:rsidRPr="00D54BAB">
        <w:rPr>
          <w:rFonts w:ascii="Times New Roman" w:hAnsi="Times New Roman"/>
          <w:sz w:val="24"/>
          <w:szCs w:val="24"/>
        </w:rPr>
        <w:t>послове</w:t>
      </w:r>
      <w:r w:rsidR="00F87AEE" w:rsidRPr="00D54BAB">
        <w:rPr>
          <w:rFonts w:ascii="Times New Roman" w:hAnsi="Times New Roman"/>
          <w:sz w:val="24"/>
          <w:szCs w:val="24"/>
        </w:rPr>
        <w:t xml:space="preserve"> </w:t>
      </w:r>
      <w:r w:rsidR="0080098E" w:rsidRPr="00D54BAB">
        <w:rPr>
          <w:rFonts w:ascii="Times New Roman" w:hAnsi="Times New Roman"/>
          <w:sz w:val="24"/>
          <w:szCs w:val="24"/>
        </w:rPr>
        <w:t>тих</w:t>
      </w:r>
      <w:r w:rsidR="00F87AEE" w:rsidRPr="00D54BAB">
        <w:rPr>
          <w:rFonts w:ascii="Times New Roman" w:hAnsi="Times New Roman"/>
          <w:sz w:val="24"/>
          <w:szCs w:val="24"/>
        </w:rPr>
        <w:t xml:space="preserve"> </w:t>
      </w:r>
      <w:r w:rsidR="0080098E" w:rsidRPr="00D54BAB">
        <w:rPr>
          <w:rFonts w:ascii="Times New Roman" w:hAnsi="Times New Roman"/>
          <w:sz w:val="24"/>
          <w:szCs w:val="24"/>
        </w:rPr>
        <w:t>лица</w:t>
      </w:r>
      <w:r w:rsidRPr="00D54BAB">
        <w:rPr>
          <w:rFonts w:ascii="Times New Roman" w:hAnsi="Times New Roman"/>
          <w:sz w:val="24"/>
          <w:szCs w:val="24"/>
        </w:rPr>
        <w:t xml:space="preserve"> </w:t>
      </w:r>
      <w:r w:rsidR="0080098E" w:rsidRPr="00D54BAB">
        <w:rPr>
          <w:rFonts w:ascii="Times New Roman" w:hAnsi="Times New Roman"/>
          <w:sz w:val="24"/>
          <w:szCs w:val="24"/>
        </w:rPr>
        <w:t>који</w:t>
      </w:r>
      <w:r w:rsidRPr="00D54BAB">
        <w:rPr>
          <w:rFonts w:ascii="Times New Roman" w:hAnsi="Times New Roman"/>
          <w:sz w:val="24"/>
          <w:szCs w:val="24"/>
        </w:rPr>
        <w:t xml:space="preserve"> </w:t>
      </w:r>
      <w:r w:rsidR="0080098E" w:rsidRPr="00D54BAB">
        <w:rPr>
          <w:rFonts w:ascii="Times New Roman" w:hAnsi="Times New Roman"/>
          <w:sz w:val="24"/>
          <w:szCs w:val="24"/>
        </w:rPr>
        <w:t>се</w:t>
      </w:r>
      <w:r w:rsidRPr="00D54BAB">
        <w:rPr>
          <w:rFonts w:ascii="Times New Roman" w:hAnsi="Times New Roman"/>
          <w:sz w:val="24"/>
          <w:szCs w:val="24"/>
        </w:rPr>
        <w:t xml:space="preserve"> </w:t>
      </w:r>
      <w:r w:rsidR="0080098E" w:rsidRPr="00D54BAB">
        <w:rPr>
          <w:rFonts w:ascii="Times New Roman" w:hAnsi="Times New Roman"/>
          <w:sz w:val="24"/>
          <w:szCs w:val="24"/>
        </w:rPr>
        <w:t>врше</w:t>
      </w:r>
      <w:r w:rsidRPr="00D54BAB">
        <w:rPr>
          <w:rFonts w:ascii="Times New Roman" w:hAnsi="Times New Roman"/>
          <w:sz w:val="24"/>
          <w:szCs w:val="24"/>
        </w:rPr>
        <w:t xml:space="preserve"> </w:t>
      </w:r>
      <w:r w:rsidR="0080098E" w:rsidRPr="00D54BAB">
        <w:rPr>
          <w:rFonts w:ascii="Times New Roman" w:hAnsi="Times New Roman"/>
          <w:sz w:val="24"/>
          <w:szCs w:val="24"/>
        </w:rPr>
        <w:t>код</w:t>
      </w:r>
      <w:r w:rsidRPr="00D54BAB">
        <w:rPr>
          <w:rFonts w:ascii="Times New Roman" w:hAnsi="Times New Roman"/>
          <w:sz w:val="24"/>
          <w:szCs w:val="24"/>
        </w:rPr>
        <w:t xml:space="preserve"> </w:t>
      </w:r>
      <w:r w:rsidR="0080098E" w:rsidRPr="00D54BAB">
        <w:rPr>
          <w:rFonts w:ascii="Times New Roman" w:hAnsi="Times New Roman"/>
          <w:sz w:val="24"/>
          <w:szCs w:val="24"/>
        </w:rPr>
        <w:t>обвезника</w:t>
      </w:r>
      <w:r w:rsidRPr="00D54BAB">
        <w:rPr>
          <w:rFonts w:ascii="Times New Roman" w:hAnsi="Times New Roman"/>
          <w:sz w:val="24"/>
          <w:szCs w:val="24"/>
          <w:lang w:val="sr-Cyrl-CS"/>
        </w:rPr>
        <w:t xml:space="preserve">, а овај налог се може издати </w:t>
      </w:r>
      <w:r w:rsidR="0080098E" w:rsidRPr="00D54BAB">
        <w:rPr>
          <w:rFonts w:ascii="Times New Roman" w:hAnsi="Times New Roman"/>
          <w:sz w:val="24"/>
          <w:szCs w:val="24"/>
        </w:rPr>
        <w:t>и</w:t>
      </w:r>
      <w:r w:rsidRPr="00D54BAB">
        <w:rPr>
          <w:rFonts w:ascii="Times New Roman" w:hAnsi="Times New Roman"/>
          <w:sz w:val="24"/>
          <w:szCs w:val="24"/>
        </w:rPr>
        <w:t xml:space="preserve"> </w:t>
      </w:r>
      <w:r w:rsidR="00F87AEE" w:rsidRPr="00D54BAB">
        <w:rPr>
          <w:rFonts w:ascii="Times New Roman" w:hAnsi="Times New Roman"/>
          <w:sz w:val="24"/>
          <w:szCs w:val="24"/>
        </w:rPr>
        <w:t xml:space="preserve"> </w:t>
      </w:r>
      <w:r w:rsidR="0080098E" w:rsidRPr="00D54BAB">
        <w:rPr>
          <w:rFonts w:ascii="Times New Roman" w:hAnsi="Times New Roman"/>
          <w:sz w:val="24"/>
          <w:szCs w:val="24"/>
        </w:rPr>
        <w:t>у</w:t>
      </w:r>
      <w:r w:rsidR="00F87AEE" w:rsidRPr="00D54BAB">
        <w:rPr>
          <w:rFonts w:ascii="Times New Roman" w:hAnsi="Times New Roman"/>
          <w:sz w:val="24"/>
          <w:szCs w:val="24"/>
        </w:rPr>
        <w:t xml:space="preserve"> </w:t>
      </w:r>
      <w:r w:rsidR="0080098E" w:rsidRPr="00D54BAB">
        <w:rPr>
          <w:rFonts w:ascii="Times New Roman" w:hAnsi="Times New Roman"/>
          <w:sz w:val="24"/>
          <w:szCs w:val="24"/>
        </w:rPr>
        <w:t>односу</w:t>
      </w:r>
      <w:r w:rsidR="00F87AEE" w:rsidRPr="00D54BAB">
        <w:rPr>
          <w:rFonts w:ascii="Times New Roman" w:hAnsi="Times New Roman"/>
          <w:sz w:val="24"/>
          <w:szCs w:val="24"/>
        </w:rPr>
        <w:t xml:space="preserve"> </w:t>
      </w:r>
      <w:r w:rsidR="0080098E" w:rsidRPr="00D54BAB">
        <w:rPr>
          <w:rFonts w:ascii="Times New Roman" w:hAnsi="Times New Roman"/>
          <w:sz w:val="24"/>
          <w:szCs w:val="24"/>
        </w:rPr>
        <w:t>на</w:t>
      </w:r>
      <w:r w:rsidR="00F87AEE" w:rsidRPr="00D54BAB">
        <w:rPr>
          <w:rFonts w:ascii="Times New Roman" w:hAnsi="Times New Roman"/>
          <w:sz w:val="24"/>
          <w:szCs w:val="24"/>
        </w:rPr>
        <w:t xml:space="preserve"> </w:t>
      </w:r>
      <w:r w:rsidR="0080098E" w:rsidRPr="00D54BAB">
        <w:rPr>
          <w:rFonts w:ascii="Times New Roman" w:hAnsi="Times New Roman"/>
          <w:sz w:val="24"/>
          <w:szCs w:val="24"/>
        </w:rPr>
        <w:t>лица</w:t>
      </w:r>
      <w:r w:rsidR="00F87AEE" w:rsidRPr="00D54BAB">
        <w:rPr>
          <w:rFonts w:ascii="Times New Roman" w:hAnsi="Times New Roman"/>
          <w:sz w:val="24"/>
          <w:szCs w:val="24"/>
        </w:rPr>
        <w:t xml:space="preserve"> </w:t>
      </w:r>
      <w:r w:rsidR="0080098E" w:rsidRPr="00D54BAB">
        <w:rPr>
          <w:rFonts w:ascii="Times New Roman" w:hAnsi="Times New Roman"/>
          <w:sz w:val="24"/>
          <w:szCs w:val="24"/>
        </w:rPr>
        <w:t>која</w:t>
      </w:r>
      <w:r w:rsidR="00F87AEE" w:rsidRPr="00D54BAB">
        <w:rPr>
          <w:rFonts w:ascii="Times New Roman" w:hAnsi="Times New Roman"/>
          <w:sz w:val="24"/>
          <w:szCs w:val="24"/>
        </w:rPr>
        <w:t xml:space="preserve"> </w:t>
      </w:r>
      <w:r w:rsidR="0080098E" w:rsidRPr="00D54BAB">
        <w:rPr>
          <w:rFonts w:ascii="Times New Roman" w:hAnsi="Times New Roman"/>
          <w:sz w:val="24"/>
          <w:szCs w:val="24"/>
        </w:rPr>
        <w:t>су</w:t>
      </w:r>
      <w:r w:rsidR="00F87AEE" w:rsidRPr="00D54BAB">
        <w:rPr>
          <w:rFonts w:ascii="Times New Roman" w:hAnsi="Times New Roman"/>
          <w:sz w:val="24"/>
          <w:szCs w:val="24"/>
        </w:rPr>
        <w:t xml:space="preserve"> </w:t>
      </w:r>
      <w:r w:rsidR="0080098E" w:rsidRPr="00D54BAB">
        <w:rPr>
          <w:rFonts w:ascii="Times New Roman" w:hAnsi="Times New Roman"/>
          <w:sz w:val="24"/>
          <w:szCs w:val="24"/>
        </w:rPr>
        <w:t>учествовала</w:t>
      </w:r>
      <w:r w:rsidR="00F87AEE" w:rsidRPr="00D54BAB">
        <w:rPr>
          <w:rFonts w:ascii="Times New Roman" w:hAnsi="Times New Roman"/>
          <w:sz w:val="24"/>
          <w:szCs w:val="24"/>
        </w:rPr>
        <w:t xml:space="preserve"> </w:t>
      </w:r>
      <w:r w:rsidR="0080098E" w:rsidRPr="00D54BAB">
        <w:rPr>
          <w:rFonts w:ascii="Times New Roman" w:hAnsi="Times New Roman"/>
          <w:sz w:val="24"/>
          <w:szCs w:val="24"/>
        </w:rPr>
        <w:t>или</w:t>
      </w:r>
      <w:r w:rsidR="00F87AEE" w:rsidRPr="00D54BAB">
        <w:rPr>
          <w:rFonts w:ascii="Times New Roman" w:hAnsi="Times New Roman"/>
          <w:sz w:val="24"/>
          <w:szCs w:val="24"/>
        </w:rPr>
        <w:t xml:space="preserve"> </w:t>
      </w:r>
      <w:r w:rsidR="0080098E" w:rsidRPr="00D54BAB">
        <w:rPr>
          <w:rFonts w:ascii="Times New Roman" w:hAnsi="Times New Roman"/>
          <w:sz w:val="24"/>
          <w:szCs w:val="24"/>
        </w:rPr>
        <w:t>сарађивала</w:t>
      </w:r>
      <w:r w:rsidR="00F87AEE" w:rsidRPr="00D54BAB">
        <w:rPr>
          <w:rFonts w:ascii="Times New Roman" w:hAnsi="Times New Roman"/>
          <w:sz w:val="24"/>
          <w:szCs w:val="24"/>
        </w:rPr>
        <w:t xml:space="preserve"> </w:t>
      </w:r>
      <w:r w:rsidR="0080098E" w:rsidRPr="00D54BAB">
        <w:rPr>
          <w:rFonts w:ascii="Times New Roman" w:hAnsi="Times New Roman"/>
          <w:sz w:val="24"/>
          <w:szCs w:val="24"/>
        </w:rPr>
        <w:t>у</w:t>
      </w:r>
      <w:r w:rsidR="00F87AEE" w:rsidRPr="00D54BAB">
        <w:rPr>
          <w:rFonts w:ascii="Times New Roman" w:hAnsi="Times New Roman"/>
          <w:sz w:val="24"/>
          <w:szCs w:val="24"/>
        </w:rPr>
        <w:t xml:space="preserve"> </w:t>
      </w:r>
      <w:r w:rsidR="0080098E" w:rsidRPr="00D54BAB">
        <w:rPr>
          <w:rFonts w:ascii="Times New Roman" w:hAnsi="Times New Roman"/>
          <w:sz w:val="24"/>
          <w:szCs w:val="24"/>
        </w:rPr>
        <w:t>трансакцијама</w:t>
      </w:r>
      <w:r w:rsidR="00F87AEE" w:rsidRPr="00D54BAB">
        <w:rPr>
          <w:rFonts w:ascii="Times New Roman" w:hAnsi="Times New Roman"/>
          <w:sz w:val="24"/>
          <w:szCs w:val="24"/>
        </w:rPr>
        <w:t xml:space="preserve"> </w:t>
      </w:r>
      <w:r w:rsidR="0080098E" w:rsidRPr="00D54BAB">
        <w:rPr>
          <w:rFonts w:ascii="Times New Roman" w:hAnsi="Times New Roman"/>
          <w:sz w:val="24"/>
          <w:szCs w:val="24"/>
        </w:rPr>
        <w:t>или</w:t>
      </w:r>
      <w:r w:rsidR="00F87AEE" w:rsidRPr="00D54BAB">
        <w:rPr>
          <w:rFonts w:ascii="Times New Roman" w:hAnsi="Times New Roman"/>
          <w:sz w:val="24"/>
          <w:szCs w:val="24"/>
        </w:rPr>
        <w:t xml:space="preserve"> </w:t>
      </w:r>
      <w:r w:rsidR="0080098E" w:rsidRPr="00D54BAB">
        <w:rPr>
          <w:rFonts w:ascii="Times New Roman" w:hAnsi="Times New Roman"/>
          <w:sz w:val="24"/>
          <w:szCs w:val="24"/>
        </w:rPr>
        <w:t>пословима</w:t>
      </w:r>
      <w:r w:rsidR="00F87AEE" w:rsidRPr="00D54BAB">
        <w:rPr>
          <w:rFonts w:ascii="Times New Roman" w:hAnsi="Times New Roman"/>
          <w:sz w:val="24"/>
          <w:szCs w:val="24"/>
        </w:rPr>
        <w:t xml:space="preserve"> </w:t>
      </w:r>
      <w:r w:rsidR="0080098E" w:rsidRPr="00D54BAB">
        <w:rPr>
          <w:rFonts w:ascii="Times New Roman" w:hAnsi="Times New Roman"/>
          <w:sz w:val="24"/>
          <w:szCs w:val="24"/>
        </w:rPr>
        <w:t>лица</w:t>
      </w:r>
      <w:r w:rsidR="00F87AEE" w:rsidRPr="00D54BAB">
        <w:rPr>
          <w:rFonts w:ascii="Times New Roman" w:hAnsi="Times New Roman"/>
          <w:sz w:val="24"/>
          <w:szCs w:val="24"/>
        </w:rPr>
        <w:t xml:space="preserve"> </w:t>
      </w:r>
      <w:r w:rsidR="0080098E" w:rsidRPr="00D54BAB">
        <w:rPr>
          <w:rFonts w:ascii="Times New Roman" w:hAnsi="Times New Roman"/>
          <w:sz w:val="24"/>
          <w:szCs w:val="24"/>
        </w:rPr>
        <w:t>за</w:t>
      </w:r>
      <w:r w:rsidR="00F87AEE" w:rsidRPr="00D54BAB">
        <w:rPr>
          <w:rFonts w:ascii="Times New Roman" w:hAnsi="Times New Roman"/>
          <w:sz w:val="24"/>
          <w:szCs w:val="24"/>
        </w:rPr>
        <w:t xml:space="preserve"> </w:t>
      </w:r>
      <w:r w:rsidR="0080098E" w:rsidRPr="00D54BAB">
        <w:rPr>
          <w:rFonts w:ascii="Times New Roman" w:hAnsi="Times New Roman"/>
          <w:sz w:val="24"/>
          <w:szCs w:val="24"/>
        </w:rPr>
        <w:t>које</w:t>
      </w:r>
      <w:r w:rsidR="00F87AEE" w:rsidRPr="00D54BAB">
        <w:rPr>
          <w:rFonts w:ascii="Times New Roman" w:hAnsi="Times New Roman"/>
          <w:sz w:val="24"/>
          <w:szCs w:val="24"/>
        </w:rPr>
        <w:t xml:space="preserve"> </w:t>
      </w:r>
      <w:r w:rsidR="0080098E" w:rsidRPr="00D54BAB">
        <w:rPr>
          <w:rFonts w:ascii="Times New Roman" w:hAnsi="Times New Roman"/>
          <w:sz w:val="24"/>
          <w:szCs w:val="24"/>
        </w:rPr>
        <w:t>постоје</w:t>
      </w:r>
      <w:r w:rsidR="00F87AEE" w:rsidRPr="00D54BAB">
        <w:rPr>
          <w:rFonts w:ascii="Times New Roman" w:hAnsi="Times New Roman"/>
          <w:sz w:val="24"/>
          <w:szCs w:val="24"/>
        </w:rPr>
        <w:t xml:space="preserve"> </w:t>
      </w:r>
      <w:r w:rsidR="0080098E" w:rsidRPr="00D54BAB">
        <w:rPr>
          <w:rFonts w:ascii="Times New Roman" w:hAnsi="Times New Roman"/>
          <w:sz w:val="24"/>
          <w:szCs w:val="24"/>
        </w:rPr>
        <w:t>основи</w:t>
      </w:r>
      <w:r w:rsidR="00F87AEE" w:rsidRPr="00D54BAB">
        <w:rPr>
          <w:rFonts w:ascii="Times New Roman" w:hAnsi="Times New Roman"/>
          <w:sz w:val="24"/>
          <w:szCs w:val="24"/>
        </w:rPr>
        <w:t xml:space="preserve"> </w:t>
      </w:r>
      <w:r w:rsidR="0080098E" w:rsidRPr="00D54BAB">
        <w:rPr>
          <w:rFonts w:ascii="Times New Roman" w:hAnsi="Times New Roman"/>
          <w:sz w:val="24"/>
          <w:szCs w:val="24"/>
        </w:rPr>
        <w:t>сумње</w:t>
      </w:r>
      <w:r w:rsidR="00F87AEE" w:rsidRPr="00D54BAB">
        <w:rPr>
          <w:rFonts w:ascii="Times New Roman" w:hAnsi="Times New Roman"/>
          <w:sz w:val="24"/>
          <w:szCs w:val="24"/>
        </w:rPr>
        <w:t xml:space="preserve"> </w:t>
      </w:r>
      <w:r w:rsidR="0080098E" w:rsidRPr="00D54BAB">
        <w:rPr>
          <w:rFonts w:ascii="Times New Roman" w:hAnsi="Times New Roman"/>
          <w:sz w:val="24"/>
          <w:szCs w:val="24"/>
        </w:rPr>
        <w:t>да</w:t>
      </w:r>
      <w:r w:rsidR="00F87AEE" w:rsidRPr="00D54BAB">
        <w:rPr>
          <w:rFonts w:ascii="Times New Roman" w:hAnsi="Times New Roman"/>
          <w:sz w:val="24"/>
          <w:szCs w:val="24"/>
        </w:rPr>
        <w:t xml:space="preserve"> </w:t>
      </w:r>
      <w:r w:rsidR="0080098E" w:rsidRPr="00D54BAB">
        <w:rPr>
          <w:rFonts w:ascii="Times New Roman" w:hAnsi="Times New Roman"/>
          <w:sz w:val="24"/>
          <w:szCs w:val="24"/>
        </w:rPr>
        <w:t>се</w:t>
      </w:r>
      <w:r w:rsidR="00F87AEE" w:rsidRPr="00D54BAB">
        <w:rPr>
          <w:rFonts w:ascii="Times New Roman" w:hAnsi="Times New Roman"/>
          <w:sz w:val="24"/>
          <w:szCs w:val="24"/>
        </w:rPr>
        <w:t xml:space="preserve"> </w:t>
      </w:r>
      <w:r w:rsidR="0080098E" w:rsidRPr="00D54BAB">
        <w:rPr>
          <w:rFonts w:ascii="Times New Roman" w:hAnsi="Times New Roman"/>
          <w:sz w:val="24"/>
          <w:szCs w:val="24"/>
        </w:rPr>
        <w:t>ради</w:t>
      </w:r>
      <w:r w:rsidR="00F87AEE" w:rsidRPr="00D54BAB">
        <w:rPr>
          <w:rFonts w:ascii="Times New Roman" w:hAnsi="Times New Roman"/>
          <w:sz w:val="24"/>
          <w:szCs w:val="24"/>
        </w:rPr>
        <w:t xml:space="preserve"> </w:t>
      </w:r>
      <w:r w:rsidR="0080098E" w:rsidRPr="00D54BAB">
        <w:rPr>
          <w:rFonts w:ascii="Times New Roman" w:hAnsi="Times New Roman"/>
          <w:sz w:val="24"/>
          <w:szCs w:val="24"/>
        </w:rPr>
        <w:t>о</w:t>
      </w:r>
      <w:r w:rsidR="00F87AEE" w:rsidRPr="00D54BAB">
        <w:rPr>
          <w:rFonts w:ascii="Times New Roman" w:hAnsi="Times New Roman"/>
          <w:sz w:val="24"/>
          <w:szCs w:val="24"/>
        </w:rPr>
        <w:t xml:space="preserve"> </w:t>
      </w:r>
      <w:r w:rsidR="0080098E" w:rsidRPr="00D54BAB">
        <w:rPr>
          <w:rFonts w:ascii="Times New Roman" w:hAnsi="Times New Roman"/>
          <w:sz w:val="24"/>
          <w:szCs w:val="24"/>
        </w:rPr>
        <w:t>прању</w:t>
      </w:r>
      <w:r w:rsidR="00F87AEE" w:rsidRPr="00D54BAB">
        <w:rPr>
          <w:rFonts w:ascii="Times New Roman" w:hAnsi="Times New Roman"/>
          <w:sz w:val="24"/>
          <w:szCs w:val="24"/>
        </w:rPr>
        <w:t xml:space="preserve"> </w:t>
      </w:r>
      <w:r w:rsidR="0080098E" w:rsidRPr="00D54BAB">
        <w:rPr>
          <w:rFonts w:ascii="Times New Roman" w:hAnsi="Times New Roman"/>
          <w:sz w:val="24"/>
          <w:szCs w:val="24"/>
        </w:rPr>
        <w:t>новца</w:t>
      </w:r>
      <w:r w:rsidR="00F87AEE" w:rsidRPr="00D54BAB">
        <w:rPr>
          <w:rFonts w:ascii="Times New Roman" w:hAnsi="Times New Roman"/>
          <w:sz w:val="24"/>
          <w:szCs w:val="24"/>
        </w:rPr>
        <w:t xml:space="preserve"> </w:t>
      </w:r>
      <w:r w:rsidR="0080098E" w:rsidRPr="00D54BAB">
        <w:rPr>
          <w:rFonts w:ascii="Times New Roman" w:hAnsi="Times New Roman"/>
          <w:sz w:val="24"/>
          <w:szCs w:val="24"/>
        </w:rPr>
        <w:t>или</w:t>
      </w:r>
      <w:r w:rsidR="00F87AEE" w:rsidRPr="00D54BAB">
        <w:rPr>
          <w:rFonts w:ascii="Times New Roman" w:hAnsi="Times New Roman"/>
          <w:sz w:val="24"/>
          <w:szCs w:val="24"/>
        </w:rPr>
        <w:t xml:space="preserve"> </w:t>
      </w:r>
      <w:r w:rsidR="0080098E" w:rsidRPr="00D54BAB">
        <w:rPr>
          <w:rFonts w:ascii="Times New Roman" w:hAnsi="Times New Roman"/>
          <w:sz w:val="24"/>
          <w:szCs w:val="24"/>
        </w:rPr>
        <w:t>финансирању</w:t>
      </w:r>
      <w:r w:rsidR="00F87AEE" w:rsidRPr="00D54BAB">
        <w:rPr>
          <w:rFonts w:ascii="Times New Roman" w:hAnsi="Times New Roman"/>
          <w:sz w:val="24"/>
          <w:szCs w:val="24"/>
        </w:rPr>
        <w:t xml:space="preserve"> </w:t>
      </w:r>
      <w:r w:rsidR="0080098E" w:rsidRPr="00D54BAB">
        <w:rPr>
          <w:rFonts w:ascii="Times New Roman" w:hAnsi="Times New Roman"/>
          <w:sz w:val="24"/>
          <w:szCs w:val="24"/>
        </w:rPr>
        <w:t>тероризма</w:t>
      </w:r>
      <w:r w:rsidR="00F87AEE" w:rsidRPr="00D54BAB">
        <w:rPr>
          <w:rFonts w:ascii="Times New Roman" w:hAnsi="Times New Roman"/>
          <w:sz w:val="24"/>
          <w:szCs w:val="24"/>
        </w:rPr>
        <w:t>.</w:t>
      </w:r>
    </w:p>
    <w:p w:rsidR="00364CA3" w:rsidRPr="00D54BAB" w:rsidRDefault="00364CA3" w:rsidP="00D54BAB">
      <w:pPr>
        <w:jc w:val="both"/>
        <w:rPr>
          <w:rFonts w:ascii="Times New Roman" w:hAnsi="Times New Roman"/>
          <w:sz w:val="24"/>
          <w:szCs w:val="24"/>
          <w:lang w:val="sr-Cyrl-CS"/>
        </w:rPr>
      </w:pPr>
      <w:r w:rsidRPr="00D54BAB">
        <w:rPr>
          <w:rFonts w:ascii="Times New Roman" w:hAnsi="Times New Roman"/>
          <w:sz w:val="24"/>
          <w:szCs w:val="24"/>
        </w:rPr>
        <w:lastRenderedPageBreak/>
        <w:t xml:space="preserve"> </w:t>
      </w:r>
      <w:r w:rsidRPr="00D54BAB">
        <w:rPr>
          <w:rFonts w:ascii="Times New Roman" w:hAnsi="Times New Roman"/>
          <w:sz w:val="24"/>
          <w:szCs w:val="24"/>
          <w:lang w:val="sr-Cyrl-CS"/>
        </w:rPr>
        <w:tab/>
      </w:r>
      <w:r w:rsidR="0080098E" w:rsidRPr="00D54BAB">
        <w:rPr>
          <w:rFonts w:ascii="Times New Roman" w:hAnsi="Times New Roman"/>
          <w:sz w:val="24"/>
          <w:szCs w:val="24"/>
        </w:rPr>
        <w:t>Управа</w:t>
      </w:r>
      <w:r w:rsidR="00F87AEE" w:rsidRPr="00D54BAB">
        <w:rPr>
          <w:rFonts w:ascii="Times New Roman" w:hAnsi="Times New Roman"/>
          <w:sz w:val="24"/>
          <w:szCs w:val="24"/>
        </w:rPr>
        <w:t xml:space="preserve"> </w:t>
      </w:r>
      <w:r w:rsidR="0080098E" w:rsidRPr="00D54BAB">
        <w:rPr>
          <w:rFonts w:ascii="Times New Roman" w:hAnsi="Times New Roman"/>
          <w:sz w:val="24"/>
          <w:szCs w:val="24"/>
        </w:rPr>
        <w:t>може</w:t>
      </w:r>
      <w:r w:rsidR="00F87AEE" w:rsidRPr="00D54BAB">
        <w:rPr>
          <w:rFonts w:ascii="Times New Roman" w:hAnsi="Times New Roman"/>
          <w:sz w:val="24"/>
          <w:szCs w:val="24"/>
        </w:rPr>
        <w:t xml:space="preserve"> </w:t>
      </w:r>
      <w:r w:rsidR="0080098E" w:rsidRPr="00D54BAB">
        <w:rPr>
          <w:rFonts w:ascii="Times New Roman" w:hAnsi="Times New Roman"/>
          <w:sz w:val="24"/>
          <w:szCs w:val="24"/>
        </w:rPr>
        <w:t>започети</w:t>
      </w:r>
      <w:r w:rsidR="00F87AEE" w:rsidRPr="00D54BAB">
        <w:rPr>
          <w:rFonts w:ascii="Times New Roman" w:hAnsi="Times New Roman"/>
          <w:sz w:val="24"/>
          <w:szCs w:val="24"/>
        </w:rPr>
        <w:t xml:space="preserve"> </w:t>
      </w:r>
      <w:r w:rsidR="0080098E" w:rsidRPr="00D54BAB">
        <w:rPr>
          <w:rFonts w:ascii="Times New Roman" w:hAnsi="Times New Roman"/>
          <w:sz w:val="24"/>
          <w:szCs w:val="24"/>
        </w:rPr>
        <w:t>поступак</w:t>
      </w:r>
      <w:r w:rsidR="00F87AEE" w:rsidRPr="00D54BAB">
        <w:rPr>
          <w:rFonts w:ascii="Times New Roman" w:hAnsi="Times New Roman"/>
          <w:sz w:val="24"/>
          <w:szCs w:val="24"/>
        </w:rPr>
        <w:t xml:space="preserve"> </w:t>
      </w:r>
      <w:r w:rsidR="0080098E" w:rsidRPr="00D54BAB">
        <w:rPr>
          <w:rFonts w:ascii="Times New Roman" w:hAnsi="Times New Roman"/>
          <w:sz w:val="24"/>
          <w:szCs w:val="24"/>
        </w:rPr>
        <w:t>прикупљања</w:t>
      </w:r>
      <w:r w:rsidR="00F87AEE" w:rsidRPr="00D54BAB">
        <w:rPr>
          <w:rFonts w:ascii="Times New Roman" w:hAnsi="Times New Roman"/>
          <w:sz w:val="24"/>
          <w:szCs w:val="24"/>
        </w:rPr>
        <w:t xml:space="preserve"> </w:t>
      </w:r>
      <w:r w:rsidR="0080098E" w:rsidRPr="00D54BAB">
        <w:rPr>
          <w:rFonts w:ascii="Times New Roman" w:hAnsi="Times New Roman"/>
          <w:sz w:val="24"/>
          <w:szCs w:val="24"/>
        </w:rPr>
        <w:t>података</w:t>
      </w:r>
      <w:r w:rsidR="00F87AEE" w:rsidRPr="00D54BAB">
        <w:rPr>
          <w:rFonts w:ascii="Times New Roman" w:hAnsi="Times New Roman"/>
          <w:sz w:val="24"/>
          <w:szCs w:val="24"/>
        </w:rPr>
        <w:t xml:space="preserve">, </w:t>
      </w:r>
      <w:r w:rsidR="0080098E" w:rsidRPr="00D54BAB">
        <w:rPr>
          <w:rFonts w:ascii="Times New Roman" w:hAnsi="Times New Roman"/>
          <w:sz w:val="24"/>
          <w:szCs w:val="24"/>
        </w:rPr>
        <w:t>информација</w:t>
      </w:r>
      <w:r w:rsidR="00F87AEE" w:rsidRPr="00D54BAB">
        <w:rPr>
          <w:rFonts w:ascii="Times New Roman" w:hAnsi="Times New Roman"/>
          <w:sz w:val="24"/>
          <w:szCs w:val="24"/>
        </w:rPr>
        <w:t xml:space="preserve"> </w:t>
      </w:r>
      <w:r w:rsidR="0080098E" w:rsidRPr="00D54BAB">
        <w:rPr>
          <w:rFonts w:ascii="Times New Roman" w:hAnsi="Times New Roman"/>
          <w:sz w:val="24"/>
          <w:szCs w:val="24"/>
        </w:rPr>
        <w:t>и</w:t>
      </w:r>
      <w:r w:rsidR="00F87AEE" w:rsidRPr="00D54BAB">
        <w:rPr>
          <w:rFonts w:ascii="Times New Roman" w:hAnsi="Times New Roman"/>
          <w:sz w:val="24"/>
          <w:szCs w:val="24"/>
        </w:rPr>
        <w:t xml:space="preserve"> </w:t>
      </w:r>
      <w:r w:rsidR="0080098E" w:rsidRPr="00D54BAB">
        <w:rPr>
          <w:rFonts w:ascii="Times New Roman" w:hAnsi="Times New Roman"/>
          <w:sz w:val="24"/>
          <w:szCs w:val="24"/>
        </w:rPr>
        <w:t>документације</w:t>
      </w:r>
      <w:r w:rsidR="00F87AEE" w:rsidRPr="00D54BAB">
        <w:rPr>
          <w:rFonts w:ascii="Times New Roman" w:hAnsi="Times New Roman"/>
          <w:sz w:val="24"/>
          <w:szCs w:val="24"/>
        </w:rPr>
        <w:t xml:space="preserve"> </w:t>
      </w:r>
      <w:r w:rsidR="0080098E" w:rsidRPr="00D54BAB">
        <w:rPr>
          <w:rFonts w:ascii="Times New Roman" w:hAnsi="Times New Roman"/>
          <w:sz w:val="24"/>
          <w:szCs w:val="24"/>
        </w:rPr>
        <w:t>у</w:t>
      </w:r>
      <w:r w:rsidR="00F87AEE" w:rsidRPr="00D54BAB">
        <w:rPr>
          <w:rFonts w:ascii="Times New Roman" w:hAnsi="Times New Roman"/>
          <w:sz w:val="24"/>
          <w:szCs w:val="24"/>
        </w:rPr>
        <w:t xml:space="preserve"> </w:t>
      </w:r>
      <w:r w:rsidR="0080098E" w:rsidRPr="00D54BAB">
        <w:rPr>
          <w:rFonts w:ascii="Times New Roman" w:hAnsi="Times New Roman"/>
          <w:sz w:val="24"/>
          <w:szCs w:val="24"/>
        </w:rPr>
        <w:t>складу</w:t>
      </w:r>
      <w:r w:rsidR="00F87AEE" w:rsidRPr="00D54BAB">
        <w:rPr>
          <w:rFonts w:ascii="Times New Roman" w:hAnsi="Times New Roman"/>
          <w:sz w:val="24"/>
          <w:szCs w:val="24"/>
        </w:rPr>
        <w:t xml:space="preserve"> </w:t>
      </w:r>
      <w:r w:rsidR="0080098E" w:rsidRPr="00D54BAB">
        <w:rPr>
          <w:rFonts w:ascii="Times New Roman" w:hAnsi="Times New Roman"/>
          <w:sz w:val="24"/>
          <w:szCs w:val="24"/>
        </w:rPr>
        <w:t>са</w:t>
      </w:r>
      <w:r w:rsidR="00F87AEE" w:rsidRPr="00D54BAB">
        <w:rPr>
          <w:rFonts w:ascii="Times New Roman" w:hAnsi="Times New Roman"/>
          <w:sz w:val="24"/>
          <w:szCs w:val="24"/>
        </w:rPr>
        <w:t xml:space="preserve"> </w:t>
      </w:r>
      <w:r w:rsidR="0080098E" w:rsidRPr="00D54BAB">
        <w:rPr>
          <w:rFonts w:ascii="Times New Roman" w:hAnsi="Times New Roman"/>
          <w:sz w:val="24"/>
          <w:szCs w:val="24"/>
        </w:rPr>
        <w:t>овим</w:t>
      </w:r>
      <w:r w:rsidR="00F87AEE" w:rsidRPr="00D54BAB">
        <w:rPr>
          <w:rFonts w:ascii="Times New Roman" w:hAnsi="Times New Roman"/>
          <w:sz w:val="24"/>
          <w:szCs w:val="24"/>
        </w:rPr>
        <w:t xml:space="preserve"> </w:t>
      </w:r>
      <w:r w:rsidR="0080098E" w:rsidRPr="00D54BAB">
        <w:rPr>
          <w:rFonts w:ascii="Times New Roman" w:hAnsi="Times New Roman"/>
          <w:sz w:val="24"/>
          <w:szCs w:val="24"/>
        </w:rPr>
        <w:t>законом</w:t>
      </w:r>
      <w:r w:rsidR="00F87AEE" w:rsidRPr="00D54BAB">
        <w:rPr>
          <w:rFonts w:ascii="Times New Roman" w:hAnsi="Times New Roman"/>
          <w:sz w:val="24"/>
          <w:szCs w:val="24"/>
        </w:rPr>
        <w:t xml:space="preserve">, </w:t>
      </w:r>
      <w:r w:rsidR="0080098E" w:rsidRPr="00D54BAB">
        <w:rPr>
          <w:rFonts w:ascii="Times New Roman" w:hAnsi="Times New Roman"/>
          <w:sz w:val="24"/>
          <w:szCs w:val="24"/>
        </w:rPr>
        <w:t>као</w:t>
      </w:r>
      <w:r w:rsidR="00F87AEE" w:rsidRPr="00D54BAB">
        <w:rPr>
          <w:rFonts w:ascii="Times New Roman" w:hAnsi="Times New Roman"/>
          <w:sz w:val="24"/>
          <w:szCs w:val="24"/>
        </w:rPr>
        <w:t xml:space="preserve"> </w:t>
      </w:r>
      <w:r w:rsidR="0080098E" w:rsidRPr="00D54BAB">
        <w:rPr>
          <w:rFonts w:ascii="Times New Roman" w:hAnsi="Times New Roman"/>
          <w:sz w:val="24"/>
          <w:szCs w:val="24"/>
        </w:rPr>
        <w:t>и</w:t>
      </w:r>
      <w:r w:rsidR="00F87AEE" w:rsidRPr="00D54BAB">
        <w:rPr>
          <w:rFonts w:ascii="Times New Roman" w:hAnsi="Times New Roman"/>
          <w:sz w:val="24"/>
          <w:szCs w:val="24"/>
        </w:rPr>
        <w:t xml:space="preserve"> </w:t>
      </w:r>
      <w:r w:rsidR="0080098E" w:rsidRPr="00D54BAB">
        <w:rPr>
          <w:rFonts w:ascii="Times New Roman" w:hAnsi="Times New Roman"/>
          <w:sz w:val="24"/>
          <w:szCs w:val="24"/>
        </w:rPr>
        <w:t>извршити</w:t>
      </w:r>
      <w:r w:rsidR="00F87AEE" w:rsidRPr="00D54BAB">
        <w:rPr>
          <w:rFonts w:ascii="Times New Roman" w:hAnsi="Times New Roman"/>
          <w:sz w:val="24"/>
          <w:szCs w:val="24"/>
        </w:rPr>
        <w:t xml:space="preserve"> </w:t>
      </w:r>
      <w:r w:rsidR="0080098E" w:rsidRPr="00D54BAB">
        <w:rPr>
          <w:rFonts w:ascii="Times New Roman" w:hAnsi="Times New Roman"/>
          <w:sz w:val="24"/>
          <w:szCs w:val="24"/>
        </w:rPr>
        <w:t>друге</w:t>
      </w:r>
      <w:r w:rsidR="00F87AEE" w:rsidRPr="00D54BAB">
        <w:rPr>
          <w:rFonts w:ascii="Times New Roman" w:hAnsi="Times New Roman"/>
          <w:sz w:val="24"/>
          <w:szCs w:val="24"/>
        </w:rPr>
        <w:t xml:space="preserve"> </w:t>
      </w:r>
      <w:r w:rsidR="0080098E" w:rsidRPr="00D54BAB">
        <w:rPr>
          <w:rFonts w:ascii="Times New Roman" w:hAnsi="Times New Roman"/>
          <w:sz w:val="24"/>
          <w:szCs w:val="24"/>
        </w:rPr>
        <w:t>радње</w:t>
      </w:r>
      <w:r w:rsidR="00F87AEE" w:rsidRPr="00D54BAB">
        <w:rPr>
          <w:rFonts w:ascii="Times New Roman" w:hAnsi="Times New Roman"/>
          <w:sz w:val="24"/>
          <w:szCs w:val="24"/>
        </w:rPr>
        <w:t xml:space="preserve"> </w:t>
      </w:r>
      <w:r w:rsidR="0080098E" w:rsidRPr="00D54BAB">
        <w:rPr>
          <w:rFonts w:ascii="Times New Roman" w:hAnsi="Times New Roman"/>
          <w:sz w:val="24"/>
          <w:szCs w:val="24"/>
        </w:rPr>
        <w:t>и</w:t>
      </w:r>
      <w:r w:rsidR="00F87AEE" w:rsidRPr="00D54BAB">
        <w:rPr>
          <w:rFonts w:ascii="Times New Roman" w:hAnsi="Times New Roman"/>
          <w:sz w:val="24"/>
          <w:szCs w:val="24"/>
        </w:rPr>
        <w:t xml:space="preserve"> </w:t>
      </w:r>
      <w:r w:rsidR="0080098E" w:rsidRPr="00D54BAB">
        <w:rPr>
          <w:rFonts w:ascii="Times New Roman" w:hAnsi="Times New Roman"/>
          <w:sz w:val="24"/>
          <w:szCs w:val="24"/>
        </w:rPr>
        <w:t>мере</w:t>
      </w:r>
      <w:r w:rsidR="00F87AEE" w:rsidRPr="00D54BAB">
        <w:rPr>
          <w:rFonts w:ascii="Times New Roman" w:hAnsi="Times New Roman"/>
          <w:sz w:val="24"/>
          <w:szCs w:val="24"/>
        </w:rPr>
        <w:t xml:space="preserve"> </w:t>
      </w:r>
      <w:r w:rsidR="0080098E" w:rsidRPr="00D54BAB">
        <w:rPr>
          <w:rFonts w:ascii="Times New Roman" w:hAnsi="Times New Roman"/>
          <w:sz w:val="24"/>
          <w:szCs w:val="24"/>
        </w:rPr>
        <w:t>из</w:t>
      </w:r>
      <w:r w:rsidR="00F87AEE" w:rsidRPr="00D54BAB">
        <w:rPr>
          <w:rFonts w:ascii="Times New Roman" w:hAnsi="Times New Roman"/>
          <w:sz w:val="24"/>
          <w:szCs w:val="24"/>
        </w:rPr>
        <w:t xml:space="preserve"> </w:t>
      </w:r>
      <w:r w:rsidR="0080098E" w:rsidRPr="00D54BAB">
        <w:rPr>
          <w:rFonts w:ascii="Times New Roman" w:hAnsi="Times New Roman"/>
          <w:sz w:val="24"/>
          <w:szCs w:val="24"/>
        </w:rPr>
        <w:t>своје</w:t>
      </w:r>
      <w:r w:rsidR="00F87AEE" w:rsidRPr="00D54BAB">
        <w:rPr>
          <w:rFonts w:ascii="Times New Roman" w:hAnsi="Times New Roman"/>
          <w:sz w:val="24"/>
          <w:szCs w:val="24"/>
        </w:rPr>
        <w:t xml:space="preserve"> </w:t>
      </w:r>
      <w:r w:rsidR="0080098E" w:rsidRPr="00D54BAB">
        <w:rPr>
          <w:rFonts w:ascii="Times New Roman" w:hAnsi="Times New Roman"/>
          <w:sz w:val="24"/>
          <w:szCs w:val="24"/>
        </w:rPr>
        <w:t>надлежности</w:t>
      </w:r>
      <w:r w:rsidR="00F87AEE" w:rsidRPr="00D54BAB">
        <w:rPr>
          <w:rFonts w:ascii="Times New Roman" w:hAnsi="Times New Roman"/>
          <w:sz w:val="24"/>
          <w:szCs w:val="24"/>
        </w:rPr>
        <w:t xml:space="preserve"> </w:t>
      </w:r>
      <w:r w:rsidR="0080098E" w:rsidRPr="00D54BAB">
        <w:rPr>
          <w:rFonts w:ascii="Times New Roman" w:hAnsi="Times New Roman"/>
          <w:sz w:val="24"/>
          <w:szCs w:val="24"/>
        </w:rPr>
        <w:t>и</w:t>
      </w:r>
      <w:r w:rsidR="00F87AEE" w:rsidRPr="00D54BAB">
        <w:rPr>
          <w:rFonts w:ascii="Times New Roman" w:hAnsi="Times New Roman"/>
          <w:sz w:val="24"/>
          <w:szCs w:val="24"/>
        </w:rPr>
        <w:t xml:space="preserve"> </w:t>
      </w:r>
      <w:r w:rsidR="0080098E" w:rsidRPr="00D54BAB">
        <w:rPr>
          <w:rFonts w:ascii="Times New Roman" w:hAnsi="Times New Roman"/>
          <w:sz w:val="24"/>
          <w:szCs w:val="24"/>
        </w:rPr>
        <w:t>на</w:t>
      </w:r>
      <w:r w:rsidR="00F87AEE" w:rsidRPr="00D54BAB">
        <w:rPr>
          <w:rFonts w:ascii="Times New Roman" w:hAnsi="Times New Roman"/>
          <w:sz w:val="24"/>
          <w:szCs w:val="24"/>
        </w:rPr>
        <w:t xml:space="preserve"> </w:t>
      </w:r>
      <w:r w:rsidR="0080098E" w:rsidRPr="00D54BAB">
        <w:rPr>
          <w:rFonts w:ascii="Times New Roman" w:hAnsi="Times New Roman"/>
          <w:sz w:val="24"/>
          <w:szCs w:val="24"/>
        </w:rPr>
        <w:t>основу</w:t>
      </w:r>
      <w:r w:rsidR="00F87AEE" w:rsidRPr="00D54BAB">
        <w:rPr>
          <w:rFonts w:ascii="Times New Roman" w:hAnsi="Times New Roman"/>
          <w:sz w:val="24"/>
          <w:szCs w:val="24"/>
        </w:rPr>
        <w:t xml:space="preserve"> </w:t>
      </w:r>
      <w:r w:rsidR="0080098E" w:rsidRPr="00D54BAB">
        <w:rPr>
          <w:rFonts w:ascii="Times New Roman" w:hAnsi="Times New Roman"/>
          <w:sz w:val="24"/>
          <w:szCs w:val="24"/>
        </w:rPr>
        <w:t>писмене</w:t>
      </w:r>
      <w:r w:rsidR="00F87AEE" w:rsidRPr="00D54BAB">
        <w:rPr>
          <w:rFonts w:ascii="Times New Roman" w:hAnsi="Times New Roman"/>
          <w:sz w:val="24"/>
          <w:szCs w:val="24"/>
        </w:rPr>
        <w:t xml:space="preserve"> </w:t>
      </w:r>
      <w:r w:rsidR="0080098E" w:rsidRPr="00D54BAB">
        <w:rPr>
          <w:rFonts w:ascii="Times New Roman" w:hAnsi="Times New Roman"/>
          <w:sz w:val="24"/>
          <w:szCs w:val="24"/>
        </w:rPr>
        <w:t>и</w:t>
      </w:r>
      <w:r w:rsidR="00F87AEE" w:rsidRPr="00D54BAB">
        <w:rPr>
          <w:rFonts w:ascii="Times New Roman" w:hAnsi="Times New Roman"/>
          <w:sz w:val="24"/>
          <w:szCs w:val="24"/>
        </w:rPr>
        <w:t xml:space="preserve"> </w:t>
      </w:r>
      <w:r w:rsidR="0080098E" w:rsidRPr="00D54BAB">
        <w:rPr>
          <w:rFonts w:ascii="Times New Roman" w:hAnsi="Times New Roman"/>
          <w:sz w:val="24"/>
          <w:szCs w:val="24"/>
        </w:rPr>
        <w:t>образложене</w:t>
      </w:r>
      <w:r w:rsidR="00F87AEE" w:rsidRPr="00D54BAB">
        <w:rPr>
          <w:rFonts w:ascii="Times New Roman" w:hAnsi="Times New Roman"/>
          <w:sz w:val="24"/>
          <w:szCs w:val="24"/>
        </w:rPr>
        <w:t xml:space="preserve"> </w:t>
      </w:r>
      <w:r w:rsidR="0080098E" w:rsidRPr="00D54BAB">
        <w:rPr>
          <w:rFonts w:ascii="Times New Roman" w:hAnsi="Times New Roman"/>
          <w:sz w:val="24"/>
          <w:szCs w:val="24"/>
        </w:rPr>
        <w:t>иницијативе</w:t>
      </w:r>
      <w:r w:rsidR="00F87AEE" w:rsidRPr="00D54BAB">
        <w:rPr>
          <w:rFonts w:ascii="Times New Roman" w:hAnsi="Times New Roman"/>
          <w:sz w:val="24"/>
          <w:szCs w:val="24"/>
        </w:rPr>
        <w:t xml:space="preserve"> </w:t>
      </w:r>
      <w:r w:rsidR="0080098E" w:rsidRPr="00D54BAB">
        <w:rPr>
          <w:rFonts w:ascii="Times New Roman" w:hAnsi="Times New Roman"/>
          <w:sz w:val="24"/>
          <w:szCs w:val="24"/>
        </w:rPr>
        <w:t>суда</w:t>
      </w:r>
      <w:r w:rsidR="00F87AEE" w:rsidRPr="00D54BAB">
        <w:rPr>
          <w:rFonts w:ascii="Times New Roman" w:hAnsi="Times New Roman"/>
          <w:sz w:val="24"/>
          <w:szCs w:val="24"/>
        </w:rPr>
        <w:t xml:space="preserve">, </w:t>
      </w:r>
      <w:r w:rsidR="0080098E" w:rsidRPr="00D54BAB">
        <w:rPr>
          <w:rFonts w:ascii="Times New Roman" w:hAnsi="Times New Roman"/>
          <w:sz w:val="24"/>
          <w:szCs w:val="24"/>
        </w:rPr>
        <w:t>јавног</w:t>
      </w:r>
      <w:r w:rsidR="00F87AEE" w:rsidRPr="00D54BAB">
        <w:rPr>
          <w:rFonts w:ascii="Times New Roman" w:hAnsi="Times New Roman"/>
          <w:sz w:val="24"/>
          <w:szCs w:val="24"/>
        </w:rPr>
        <w:t xml:space="preserve"> </w:t>
      </w:r>
      <w:r w:rsidR="0080098E" w:rsidRPr="00D54BAB">
        <w:rPr>
          <w:rFonts w:ascii="Times New Roman" w:hAnsi="Times New Roman"/>
          <w:sz w:val="24"/>
          <w:szCs w:val="24"/>
        </w:rPr>
        <w:t>тужиоца</w:t>
      </w:r>
      <w:r w:rsidR="00F87AEE" w:rsidRPr="00D54BAB">
        <w:rPr>
          <w:rFonts w:ascii="Times New Roman" w:hAnsi="Times New Roman"/>
          <w:sz w:val="24"/>
          <w:szCs w:val="24"/>
        </w:rPr>
        <w:t xml:space="preserve">, </w:t>
      </w:r>
      <w:r w:rsidR="0080098E" w:rsidRPr="00D54BAB">
        <w:rPr>
          <w:rFonts w:ascii="Times New Roman" w:hAnsi="Times New Roman"/>
          <w:sz w:val="24"/>
          <w:szCs w:val="24"/>
        </w:rPr>
        <w:t>полиције</w:t>
      </w:r>
      <w:r w:rsidR="00F87AEE" w:rsidRPr="00D54BAB">
        <w:rPr>
          <w:rFonts w:ascii="Times New Roman" w:hAnsi="Times New Roman"/>
          <w:sz w:val="24"/>
          <w:szCs w:val="24"/>
        </w:rPr>
        <w:t xml:space="preserve">, </w:t>
      </w:r>
      <w:r w:rsidR="0080098E" w:rsidRPr="00D54BAB">
        <w:rPr>
          <w:rFonts w:ascii="Times New Roman" w:hAnsi="Times New Roman"/>
          <w:sz w:val="24"/>
          <w:szCs w:val="24"/>
        </w:rPr>
        <w:t>Безбедносно</w:t>
      </w:r>
      <w:r w:rsidR="00F87AEE" w:rsidRPr="00D54BAB">
        <w:rPr>
          <w:rFonts w:ascii="Times New Roman" w:hAnsi="Times New Roman"/>
          <w:sz w:val="24"/>
          <w:szCs w:val="24"/>
        </w:rPr>
        <w:t xml:space="preserve"> </w:t>
      </w:r>
      <w:r w:rsidR="0080098E" w:rsidRPr="00D54BAB">
        <w:rPr>
          <w:rFonts w:ascii="Times New Roman" w:hAnsi="Times New Roman"/>
          <w:sz w:val="24"/>
          <w:szCs w:val="24"/>
        </w:rPr>
        <w:t>информативне</w:t>
      </w:r>
      <w:r w:rsidR="00F87AEE" w:rsidRPr="00D54BAB">
        <w:rPr>
          <w:rFonts w:ascii="Times New Roman" w:hAnsi="Times New Roman"/>
          <w:sz w:val="24"/>
          <w:szCs w:val="24"/>
        </w:rPr>
        <w:t xml:space="preserve"> </w:t>
      </w:r>
      <w:r w:rsidR="0080098E" w:rsidRPr="00D54BAB">
        <w:rPr>
          <w:rFonts w:ascii="Times New Roman" w:hAnsi="Times New Roman"/>
          <w:sz w:val="24"/>
          <w:szCs w:val="24"/>
        </w:rPr>
        <w:t>агенције</w:t>
      </w:r>
      <w:r w:rsidR="00F87AEE" w:rsidRPr="00D54BAB">
        <w:rPr>
          <w:rFonts w:ascii="Times New Roman" w:hAnsi="Times New Roman"/>
          <w:sz w:val="24"/>
          <w:szCs w:val="24"/>
        </w:rPr>
        <w:t xml:space="preserve">, </w:t>
      </w:r>
      <w:r w:rsidR="0080098E" w:rsidRPr="00D54BAB">
        <w:rPr>
          <w:rFonts w:ascii="Times New Roman" w:hAnsi="Times New Roman"/>
          <w:sz w:val="24"/>
          <w:szCs w:val="24"/>
        </w:rPr>
        <w:t>Војнообавештајне</w:t>
      </w:r>
      <w:r w:rsidR="00F87AEE" w:rsidRPr="00D54BAB">
        <w:rPr>
          <w:rFonts w:ascii="Times New Roman" w:hAnsi="Times New Roman"/>
          <w:sz w:val="24"/>
          <w:szCs w:val="24"/>
        </w:rPr>
        <w:t xml:space="preserve"> </w:t>
      </w:r>
      <w:r w:rsidR="0080098E" w:rsidRPr="00D54BAB">
        <w:rPr>
          <w:rFonts w:ascii="Times New Roman" w:hAnsi="Times New Roman"/>
          <w:sz w:val="24"/>
          <w:szCs w:val="24"/>
        </w:rPr>
        <w:t>агенције</w:t>
      </w:r>
      <w:r w:rsidR="00F87AEE" w:rsidRPr="00D54BAB">
        <w:rPr>
          <w:rFonts w:ascii="Times New Roman" w:hAnsi="Times New Roman"/>
          <w:sz w:val="24"/>
          <w:szCs w:val="24"/>
        </w:rPr>
        <w:t xml:space="preserve">, </w:t>
      </w:r>
      <w:r w:rsidR="0080098E" w:rsidRPr="00D54BAB">
        <w:rPr>
          <w:rFonts w:ascii="Times New Roman" w:hAnsi="Times New Roman"/>
          <w:sz w:val="24"/>
          <w:szCs w:val="24"/>
        </w:rPr>
        <w:t>Војнобезбедносне</w:t>
      </w:r>
      <w:r w:rsidR="00F87AEE" w:rsidRPr="00D54BAB">
        <w:rPr>
          <w:rFonts w:ascii="Times New Roman" w:hAnsi="Times New Roman"/>
          <w:sz w:val="24"/>
          <w:szCs w:val="24"/>
        </w:rPr>
        <w:t xml:space="preserve"> </w:t>
      </w:r>
      <w:r w:rsidR="0080098E" w:rsidRPr="00D54BAB">
        <w:rPr>
          <w:rFonts w:ascii="Times New Roman" w:hAnsi="Times New Roman"/>
          <w:sz w:val="24"/>
          <w:szCs w:val="24"/>
        </w:rPr>
        <w:t>агенције</w:t>
      </w:r>
      <w:r w:rsidR="00F87AEE" w:rsidRPr="00D54BAB">
        <w:rPr>
          <w:rFonts w:ascii="Times New Roman" w:hAnsi="Times New Roman"/>
          <w:sz w:val="24"/>
          <w:szCs w:val="24"/>
        </w:rPr>
        <w:t xml:space="preserve">, </w:t>
      </w:r>
      <w:r w:rsidR="0080098E" w:rsidRPr="00D54BAB">
        <w:rPr>
          <w:rFonts w:ascii="Times New Roman" w:hAnsi="Times New Roman"/>
          <w:sz w:val="24"/>
          <w:szCs w:val="24"/>
        </w:rPr>
        <w:t>Пореске</w:t>
      </w:r>
      <w:r w:rsidR="00F87AEE" w:rsidRPr="00D54BAB">
        <w:rPr>
          <w:rFonts w:ascii="Times New Roman" w:hAnsi="Times New Roman"/>
          <w:sz w:val="24"/>
          <w:szCs w:val="24"/>
        </w:rPr>
        <w:t xml:space="preserve"> </w:t>
      </w:r>
      <w:r w:rsidR="0080098E" w:rsidRPr="00D54BAB">
        <w:rPr>
          <w:rFonts w:ascii="Times New Roman" w:hAnsi="Times New Roman"/>
          <w:sz w:val="24"/>
          <w:szCs w:val="24"/>
        </w:rPr>
        <w:t>управе</w:t>
      </w:r>
      <w:r w:rsidR="00F87AEE" w:rsidRPr="00D54BAB">
        <w:rPr>
          <w:rFonts w:ascii="Times New Roman" w:hAnsi="Times New Roman"/>
          <w:sz w:val="24"/>
          <w:szCs w:val="24"/>
        </w:rPr>
        <w:t xml:space="preserve">, </w:t>
      </w:r>
      <w:r w:rsidR="0080098E" w:rsidRPr="00D54BAB">
        <w:rPr>
          <w:rFonts w:ascii="Times New Roman" w:hAnsi="Times New Roman"/>
          <w:sz w:val="24"/>
          <w:szCs w:val="24"/>
        </w:rPr>
        <w:t>Управе</w:t>
      </w:r>
      <w:r w:rsidR="00F87AEE" w:rsidRPr="00D54BAB">
        <w:rPr>
          <w:rFonts w:ascii="Times New Roman" w:hAnsi="Times New Roman"/>
          <w:sz w:val="24"/>
          <w:szCs w:val="24"/>
        </w:rPr>
        <w:t xml:space="preserve"> </w:t>
      </w:r>
      <w:r w:rsidR="0080098E" w:rsidRPr="00D54BAB">
        <w:rPr>
          <w:rFonts w:ascii="Times New Roman" w:hAnsi="Times New Roman"/>
          <w:sz w:val="24"/>
          <w:szCs w:val="24"/>
        </w:rPr>
        <w:t>царина</w:t>
      </w:r>
      <w:r w:rsidR="00F87AEE" w:rsidRPr="00D54BAB">
        <w:rPr>
          <w:rFonts w:ascii="Times New Roman" w:hAnsi="Times New Roman"/>
          <w:sz w:val="24"/>
          <w:szCs w:val="24"/>
        </w:rPr>
        <w:t xml:space="preserve">, </w:t>
      </w:r>
      <w:r w:rsidR="0080098E" w:rsidRPr="00D54BAB">
        <w:rPr>
          <w:rFonts w:ascii="Times New Roman" w:hAnsi="Times New Roman"/>
          <w:sz w:val="24"/>
          <w:szCs w:val="24"/>
        </w:rPr>
        <w:t>Народне</w:t>
      </w:r>
      <w:r w:rsidR="00F87AEE" w:rsidRPr="00D54BAB">
        <w:rPr>
          <w:rFonts w:ascii="Times New Roman" w:hAnsi="Times New Roman"/>
          <w:sz w:val="24"/>
          <w:szCs w:val="24"/>
        </w:rPr>
        <w:t xml:space="preserve"> </w:t>
      </w:r>
      <w:r w:rsidR="0080098E" w:rsidRPr="00D54BAB">
        <w:rPr>
          <w:rFonts w:ascii="Times New Roman" w:hAnsi="Times New Roman"/>
          <w:sz w:val="24"/>
          <w:szCs w:val="24"/>
        </w:rPr>
        <w:t>банке</w:t>
      </w:r>
      <w:r w:rsidR="00F87AEE" w:rsidRPr="00D54BAB">
        <w:rPr>
          <w:rFonts w:ascii="Times New Roman" w:hAnsi="Times New Roman"/>
          <w:sz w:val="24"/>
          <w:szCs w:val="24"/>
        </w:rPr>
        <w:t xml:space="preserve"> </w:t>
      </w:r>
      <w:r w:rsidR="0080098E" w:rsidRPr="00D54BAB">
        <w:rPr>
          <w:rFonts w:ascii="Times New Roman" w:hAnsi="Times New Roman"/>
          <w:sz w:val="24"/>
          <w:szCs w:val="24"/>
        </w:rPr>
        <w:t>Србије</w:t>
      </w:r>
      <w:r w:rsidR="00F87AEE" w:rsidRPr="00D54BAB">
        <w:rPr>
          <w:rFonts w:ascii="Times New Roman" w:hAnsi="Times New Roman"/>
          <w:sz w:val="24"/>
          <w:szCs w:val="24"/>
        </w:rPr>
        <w:t xml:space="preserve">, </w:t>
      </w:r>
      <w:r w:rsidR="0080098E" w:rsidRPr="00D54BAB">
        <w:rPr>
          <w:rFonts w:ascii="Times New Roman" w:hAnsi="Times New Roman"/>
          <w:sz w:val="24"/>
          <w:szCs w:val="24"/>
        </w:rPr>
        <w:t>Комисије</w:t>
      </w:r>
      <w:r w:rsidR="00F87AEE" w:rsidRPr="00D54BAB">
        <w:rPr>
          <w:rFonts w:ascii="Times New Roman" w:hAnsi="Times New Roman"/>
          <w:sz w:val="24"/>
          <w:szCs w:val="24"/>
        </w:rPr>
        <w:t xml:space="preserve"> </w:t>
      </w:r>
      <w:r w:rsidR="0080098E" w:rsidRPr="00D54BAB">
        <w:rPr>
          <w:rFonts w:ascii="Times New Roman" w:hAnsi="Times New Roman"/>
          <w:sz w:val="24"/>
          <w:szCs w:val="24"/>
        </w:rPr>
        <w:t>за</w:t>
      </w:r>
      <w:r w:rsidR="00F87AEE" w:rsidRPr="00D54BAB">
        <w:rPr>
          <w:rFonts w:ascii="Times New Roman" w:hAnsi="Times New Roman"/>
          <w:sz w:val="24"/>
          <w:szCs w:val="24"/>
        </w:rPr>
        <w:t xml:space="preserve"> </w:t>
      </w:r>
      <w:r w:rsidR="0080098E" w:rsidRPr="00D54BAB">
        <w:rPr>
          <w:rFonts w:ascii="Times New Roman" w:hAnsi="Times New Roman"/>
          <w:sz w:val="24"/>
          <w:szCs w:val="24"/>
        </w:rPr>
        <w:t>хартије</w:t>
      </w:r>
      <w:r w:rsidR="00F87AEE" w:rsidRPr="00D54BAB">
        <w:rPr>
          <w:rFonts w:ascii="Times New Roman" w:hAnsi="Times New Roman"/>
          <w:sz w:val="24"/>
          <w:szCs w:val="24"/>
        </w:rPr>
        <w:t xml:space="preserve"> </w:t>
      </w:r>
      <w:r w:rsidR="0080098E" w:rsidRPr="00D54BAB">
        <w:rPr>
          <w:rFonts w:ascii="Times New Roman" w:hAnsi="Times New Roman"/>
          <w:sz w:val="24"/>
          <w:szCs w:val="24"/>
        </w:rPr>
        <w:t>од</w:t>
      </w:r>
      <w:r w:rsidR="00F87AEE" w:rsidRPr="00D54BAB">
        <w:rPr>
          <w:rFonts w:ascii="Times New Roman" w:hAnsi="Times New Roman"/>
          <w:sz w:val="24"/>
          <w:szCs w:val="24"/>
        </w:rPr>
        <w:t xml:space="preserve"> </w:t>
      </w:r>
      <w:r w:rsidR="0080098E" w:rsidRPr="00D54BAB">
        <w:rPr>
          <w:rFonts w:ascii="Times New Roman" w:hAnsi="Times New Roman"/>
          <w:sz w:val="24"/>
          <w:szCs w:val="24"/>
        </w:rPr>
        <w:t>вредности</w:t>
      </w:r>
      <w:r w:rsidR="00F87AEE" w:rsidRPr="00D54BAB">
        <w:rPr>
          <w:rFonts w:ascii="Times New Roman" w:hAnsi="Times New Roman"/>
          <w:sz w:val="24"/>
          <w:szCs w:val="24"/>
        </w:rPr>
        <w:t xml:space="preserve">, </w:t>
      </w:r>
      <w:r w:rsidR="0080098E" w:rsidRPr="00D54BAB">
        <w:rPr>
          <w:rFonts w:ascii="Times New Roman" w:hAnsi="Times New Roman"/>
          <w:sz w:val="24"/>
          <w:szCs w:val="24"/>
        </w:rPr>
        <w:t>Агенције</w:t>
      </w:r>
      <w:r w:rsidR="00F87AEE" w:rsidRPr="00D54BAB">
        <w:rPr>
          <w:rFonts w:ascii="Times New Roman" w:hAnsi="Times New Roman"/>
          <w:sz w:val="24"/>
          <w:szCs w:val="24"/>
        </w:rPr>
        <w:t xml:space="preserve"> </w:t>
      </w:r>
      <w:r w:rsidR="0080098E" w:rsidRPr="00D54BAB">
        <w:rPr>
          <w:rFonts w:ascii="Times New Roman" w:hAnsi="Times New Roman"/>
          <w:sz w:val="24"/>
          <w:szCs w:val="24"/>
        </w:rPr>
        <w:t>за</w:t>
      </w:r>
      <w:r w:rsidR="00F87AEE" w:rsidRPr="00D54BAB">
        <w:rPr>
          <w:rFonts w:ascii="Times New Roman" w:hAnsi="Times New Roman"/>
          <w:sz w:val="24"/>
          <w:szCs w:val="24"/>
        </w:rPr>
        <w:t xml:space="preserve"> </w:t>
      </w:r>
      <w:r w:rsidR="0080098E" w:rsidRPr="00D54BAB">
        <w:rPr>
          <w:rFonts w:ascii="Times New Roman" w:hAnsi="Times New Roman"/>
          <w:sz w:val="24"/>
          <w:szCs w:val="24"/>
        </w:rPr>
        <w:t>приватизацију</w:t>
      </w:r>
      <w:r w:rsidR="00F87AEE" w:rsidRPr="00D54BAB">
        <w:rPr>
          <w:rFonts w:ascii="Times New Roman" w:hAnsi="Times New Roman"/>
          <w:sz w:val="24"/>
          <w:szCs w:val="24"/>
        </w:rPr>
        <w:t xml:space="preserve">, </w:t>
      </w:r>
      <w:r w:rsidR="0080098E" w:rsidRPr="00D54BAB">
        <w:rPr>
          <w:rFonts w:ascii="Times New Roman" w:hAnsi="Times New Roman"/>
          <w:sz w:val="24"/>
          <w:szCs w:val="24"/>
        </w:rPr>
        <w:t>надлежних</w:t>
      </w:r>
      <w:r w:rsidR="00F87AEE" w:rsidRPr="00D54BAB">
        <w:rPr>
          <w:rFonts w:ascii="Times New Roman" w:hAnsi="Times New Roman"/>
          <w:sz w:val="24"/>
          <w:szCs w:val="24"/>
        </w:rPr>
        <w:t xml:space="preserve"> </w:t>
      </w:r>
      <w:r w:rsidR="0080098E" w:rsidRPr="00D54BAB">
        <w:rPr>
          <w:rFonts w:ascii="Times New Roman" w:hAnsi="Times New Roman"/>
          <w:sz w:val="24"/>
          <w:szCs w:val="24"/>
        </w:rPr>
        <w:t>инспекција</w:t>
      </w:r>
      <w:r w:rsidR="00F87AEE" w:rsidRPr="00D54BAB">
        <w:rPr>
          <w:rFonts w:ascii="Times New Roman" w:hAnsi="Times New Roman"/>
          <w:sz w:val="24"/>
          <w:szCs w:val="24"/>
        </w:rPr>
        <w:t xml:space="preserve"> </w:t>
      </w:r>
      <w:r w:rsidR="0080098E" w:rsidRPr="00D54BAB">
        <w:rPr>
          <w:rFonts w:ascii="Times New Roman" w:hAnsi="Times New Roman"/>
          <w:sz w:val="24"/>
          <w:szCs w:val="24"/>
        </w:rPr>
        <w:t>и</w:t>
      </w:r>
      <w:r w:rsidR="00F87AEE" w:rsidRPr="00D54BAB">
        <w:rPr>
          <w:rFonts w:ascii="Times New Roman" w:hAnsi="Times New Roman"/>
          <w:sz w:val="24"/>
          <w:szCs w:val="24"/>
        </w:rPr>
        <w:t xml:space="preserve"> </w:t>
      </w:r>
      <w:r w:rsidR="0080098E" w:rsidRPr="00D54BAB">
        <w:rPr>
          <w:rFonts w:ascii="Times New Roman" w:hAnsi="Times New Roman"/>
          <w:sz w:val="24"/>
          <w:szCs w:val="24"/>
        </w:rPr>
        <w:t>државних</w:t>
      </w:r>
      <w:r w:rsidR="00F87AEE" w:rsidRPr="00D54BAB">
        <w:rPr>
          <w:rFonts w:ascii="Times New Roman" w:hAnsi="Times New Roman"/>
          <w:sz w:val="24"/>
          <w:szCs w:val="24"/>
        </w:rPr>
        <w:t xml:space="preserve"> </w:t>
      </w:r>
      <w:r w:rsidR="0080098E" w:rsidRPr="00D54BAB">
        <w:rPr>
          <w:rFonts w:ascii="Times New Roman" w:hAnsi="Times New Roman"/>
          <w:sz w:val="24"/>
          <w:szCs w:val="24"/>
        </w:rPr>
        <w:t>органа</w:t>
      </w:r>
      <w:r w:rsidR="00F87AEE" w:rsidRPr="00D54BAB">
        <w:rPr>
          <w:rFonts w:ascii="Times New Roman" w:hAnsi="Times New Roman"/>
          <w:sz w:val="24"/>
          <w:szCs w:val="24"/>
        </w:rPr>
        <w:t xml:space="preserve"> </w:t>
      </w:r>
      <w:r w:rsidR="0080098E" w:rsidRPr="00D54BAB">
        <w:rPr>
          <w:rFonts w:ascii="Times New Roman" w:hAnsi="Times New Roman"/>
          <w:sz w:val="24"/>
          <w:szCs w:val="24"/>
        </w:rPr>
        <w:t>надлежних</w:t>
      </w:r>
      <w:r w:rsidR="00F87AEE" w:rsidRPr="00D54BAB">
        <w:rPr>
          <w:rFonts w:ascii="Times New Roman" w:hAnsi="Times New Roman"/>
          <w:sz w:val="24"/>
          <w:szCs w:val="24"/>
        </w:rPr>
        <w:t xml:space="preserve"> </w:t>
      </w:r>
      <w:r w:rsidR="0080098E" w:rsidRPr="00D54BAB">
        <w:rPr>
          <w:rFonts w:ascii="Times New Roman" w:hAnsi="Times New Roman"/>
          <w:sz w:val="24"/>
          <w:szCs w:val="24"/>
        </w:rPr>
        <w:t>за</w:t>
      </w:r>
      <w:r w:rsidR="00F87AEE" w:rsidRPr="00D54BAB">
        <w:rPr>
          <w:rFonts w:ascii="Times New Roman" w:hAnsi="Times New Roman"/>
          <w:sz w:val="24"/>
          <w:szCs w:val="24"/>
        </w:rPr>
        <w:t xml:space="preserve"> </w:t>
      </w:r>
      <w:r w:rsidR="0080098E" w:rsidRPr="00D54BAB">
        <w:rPr>
          <w:rFonts w:ascii="Times New Roman" w:hAnsi="Times New Roman"/>
          <w:sz w:val="24"/>
          <w:szCs w:val="24"/>
        </w:rPr>
        <w:t>државну</w:t>
      </w:r>
      <w:r w:rsidR="00F87AEE" w:rsidRPr="00D54BAB">
        <w:rPr>
          <w:rFonts w:ascii="Times New Roman" w:hAnsi="Times New Roman"/>
          <w:sz w:val="24"/>
          <w:szCs w:val="24"/>
        </w:rPr>
        <w:t xml:space="preserve"> </w:t>
      </w:r>
      <w:r w:rsidR="0080098E" w:rsidRPr="00D54BAB">
        <w:rPr>
          <w:rFonts w:ascii="Times New Roman" w:hAnsi="Times New Roman"/>
          <w:sz w:val="24"/>
          <w:szCs w:val="24"/>
        </w:rPr>
        <w:t>ревизију</w:t>
      </w:r>
      <w:r w:rsidR="00F87AEE" w:rsidRPr="00D54BAB">
        <w:rPr>
          <w:rFonts w:ascii="Times New Roman" w:hAnsi="Times New Roman"/>
          <w:sz w:val="24"/>
          <w:szCs w:val="24"/>
        </w:rPr>
        <w:t xml:space="preserve"> </w:t>
      </w:r>
      <w:r w:rsidR="0080098E" w:rsidRPr="00D54BAB">
        <w:rPr>
          <w:rFonts w:ascii="Times New Roman" w:hAnsi="Times New Roman"/>
          <w:sz w:val="24"/>
          <w:szCs w:val="24"/>
        </w:rPr>
        <w:t>и</w:t>
      </w:r>
      <w:r w:rsidR="00F87AEE" w:rsidRPr="00D54BAB">
        <w:rPr>
          <w:rFonts w:ascii="Times New Roman" w:hAnsi="Times New Roman"/>
          <w:sz w:val="24"/>
          <w:szCs w:val="24"/>
        </w:rPr>
        <w:t xml:space="preserve"> </w:t>
      </w:r>
      <w:r w:rsidR="0080098E" w:rsidRPr="00D54BAB">
        <w:rPr>
          <w:rFonts w:ascii="Times New Roman" w:hAnsi="Times New Roman"/>
          <w:sz w:val="24"/>
          <w:szCs w:val="24"/>
        </w:rPr>
        <w:t>борбу</w:t>
      </w:r>
      <w:r w:rsidR="00F87AEE" w:rsidRPr="00D54BAB">
        <w:rPr>
          <w:rFonts w:ascii="Times New Roman" w:hAnsi="Times New Roman"/>
          <w:sz w:val="24"/>
          <w:szCs w:val="24"/>
        </w:rPr>
        <w:t xml:space="preserve"> </w:t>
      </w:r>
      <w:r w:rsidR="0080098E" w:rsidRPr="00D54BAB">
        <w:rPr>
          <w:rFonts w:ascii="Times New Roman" w:hAnsi="Times New Roman"/>
          <w:sz w:val="24"/>
          <w:szCs w:val="24"/>
        </w:rPr>
        <w:t>против</w:t>
      </w:r>
      <w:r w:rsidR="00F87AEE" w:rsidRPr="00D54BAB">
        <w:rPr>
          <w:rFonts w:ascii="Times New Roman" w:hAnsi="Times New Roman"/>
          <w:sz w:val="24"/>
          <w:szCs w:val="24"/>
        </w:rPr>
        <w:t xml:space="preserve"> </w:t>
      </w:r>
      <w:r w:rsidR="0080098E" w:rsidRPr="00D54BAB">
        <w:rPr>
          <w:rFonts w:ascii="Times New Roman" w:hAnsi="Times New Roman"/>
          <w:sz w:val="24"/>
          <w:szCs w:val="24"/>
        </w:rPr>
        <w:t>корупције</w:t>
      </w:r>
      <w:r w:rsidR="00F87AEE" w:rsidRPr="00D54BAB">
        <w:rPr>
          <w:rFonts w:ascii="Times New Roman" w:hAnsi="Times New Roman"/>
          <w:sz w:val="24"/>
          <w:szCs w:val="24"/>
        </w:rPr>
        <w:t>.</w:t>
      </w:r>
      <w:r w:rsidRPr="00D54BAB">
        <w:rPr>
          <w:rFonts w:ascii="Times New Roman" w:hAnsi="Times New Roman"/>
          <w:sz w:val="24"/>
          <w:szCs w:val="24"/>
          <w:lang w:val="sr-Cyrl-CS"/>
        </w:rPr>
        <w:t xml:space="preserve"> </w:t>
      </w:r>
    </w:p>
    <w:p w:rsidR="00364CA3" w:rsidRPr="00D54BAB" w:rsidRDefault="0080098E" w:rsidP="009E2574">
      <w:pPr>
        <w:ind w:firstLine="708"/>
        <w:jc w:val="both"/>
        <w:rPr>
          <w:rFonts w:ascii="Times New Roman" w:hAnsi="Times New Roman"/>
          <w:sz w:val="24"/>
          <w:szCs w:val="24"/>
          <w:lang w:val="sr-Cyrl-CS"/>
        </w:rPr>
      </w:pPr>
      <w:r w:rsidRPr="00D54BAB">
        <w:rPr>
          <w:rFonts w:ascii="Times New Roman" w:hAnsi="Times New Roman"/>
          <w:sz w:val="24"/>
          <w:szCs w:val="24"/>
        </w:rPr>
        <w:t>Ако</w:t>
      </w:r>
      <w:r w:rsidR="00F87AEE" w:rsidRPr="00D54BAB">
        <w:rPr>
          <w:rFonts w:ascii="Times New Roman" w:hAnsi="Times New Roman"/>
          <w:sz w:val="24"/>
          <w:szCs w:val="24"/>
        </w:rPr>
        <w:t xml:space="preserve"> </w:t>
      </w:r>
      <w:r w:rsidRPr="00D54BAB">
        <w:rPr>
          <w:rFonts w:ascii="Times New Roman" w:hAnsi="Times New Roman"/>
          <w:sz w:val="24"/>
          <w:szCs w:val="24"/>
        </w:rPr>
        <w:t>Управа</w:t>
      </w:r>
      <w:r w:rsidR="00F87AEE" w:rsidRPr="00D54BAB">
        <w:rPr>
          <w:rFonts w:ascii="Times New Roman" w:hAnsi="Times New Roman"/>
          <w:sz w:val="24"/>
          <w:szCs w:val="24"/>
        </w:rPr>
        <w:t xml:space="preserve"> </w:t>
      </w:r>
      <w:r w:rsidRPr="00D54BAB">
        <w:rPr>
          <w:rFonts w:ascii="Times New Roman" w:hAnsi="Times New Roman"/>
          <w:sz w:val="24"/>
          <w:szCs w:val="24"/>
        </w:rPr>
        <w:t>на</w:t>
      </w:r>
      <w:r w:rsidR="00F87AEE" w:rsidRPr="00D54BAB">
        <w:rPr>
          <w:rFonts w:ascii="Times New Roman" w:hAnsi="Times New Roman"/>
          <w:sz w:val="24"/>
          <w:szCs w:val="24"/>
        </w:rPr>
        <w:t xml:space="preserve"> </w:t>
      </w:r>
      <w:r w:rsidRPr="00D54BAB">
        <w:rPr>
          <w:rFonts w:ascii="Times New Roman" w:hAnsi="Times New Roman"/>
          <w:sz w:val="24"/>
          <w:szCs w:val="24"/>
        </w:rPr>
        <w:t>основу</w:t>
      </w:r>
      <w:r w:rsidR="00F87AEE" w:rsidRPr="00D54BAB">
        <w:rPr>
          <w:rFonts w:ascii="Times New Roman" w:hAnsi="Times New Roman"/>
          <w:sz w:val="24"/>
          <w:szCs w:val="24"/>
        </w:rPr>
        <w:t xml:space="preserve"> </w:t>
      </w:r>
      <w:r w:rsidRPr="00D54BAB">
        <w:rPr>
          <w:rFonts w:ascii="Times New Roman" w:hAnsi="Times New Roman"/>
          <w:sz w:val="24"/>
          <w:szCs w:val="24"/>
        </w:rPr>
        <w:t>добијених</w:t>
      </w:r>
      <w:r w:rsidR="00F87AEE" w:rsidRPr="00D54BAB">
        <w:rPr>
          <w:rFonts w:ascii="Times New Roman" w:hAnsi="Times New Roman"/>
          <w:sz w:val="24"/>
          <w:szCs w:val="24"/>
        </w:rPr>
        <w:t xml:space="preserve"> </w:t>
      </w:r>
      <w:r w:rsidRPr="00D54BAB">
        <w:rPr>
          <w:rFonts w:ascii="Times New Roman" w:hAnsi="Times New Roman"/>
          <w:sz w:val="24"/>
          <w:szCs w:val="24"/>
        </w:rPr>
        <w:t>података</w:t>
      </w:r>
      <w:r w:rsidR="00F87AEE" w:rsidRPr="00D54BAB">
        <w:rPr>
          <w:rFonts w:ascii="Times New Roman" w:hAnsi="Times New Roman"/>
          <w:sz w:val="24"/>
          <w:szCs w:val="24"/>
        </w:rPr>
        <w:t xml:space="preserve">, </w:t>
      </w:r>
      <w:r w:rsidRPr="00D54BAB">
        <w:rPr>
          <w:rFonts w:ascii="Times New Roman" w:hAnsi="Times New Roman"/>
          <w:sz w:val="24"/>
          <w:szCs w:val="24"/>
        </w:rPr>
        <w:t>информација</w:t>
      </w:r>
      <w:r w:rsidR="00F87AEE" w:rsidRPr="00D54BAB">
        <w:rPr>
          <w:rFonts w:ascii="Times New Roman" w:hAnsi="Times New Roman"/>
          <w:sz w:val="24"/>
          <w:szCs w:val="24"/>
        </w:rPr>
        <w:t xml:space="preserve"> </w:t>
      </w:r>
      <w:r w:rsidRPr="00D54BAB">
        <w:rPr>
          <w:rFonts w:ascii="Times New Roman" w:hAnsi="Times New Roman"/>
          <w:sz w:val="24"/>
          <w:szCs w:val="24"/>
        </w:rPr>
        <w:t>и</w:t>
      </w:r>
      <w:r w:rsidR="00F87AEE" w:rsidRPr="00D54BAB">
        <w:rPr>
          <w:rFonts w:ascii="Times New Roman" w:hAnsi="Times New Roman"/>
          <w:sz w:val="24"/>
          <w:szCs w:val="24"/>
        </w:rPr>
        <w:t xml:space="preserve"> </w:t>
      </w:r>
      <w:r w:rsidRPr="00D54BAB">
        <w:rPr>
          <w:rFonts w:ascii="Times New Roman" w:hAnsi="Times New Roman"/>
          <w:sz w:val="24"/>
          <w:szCs w:val="24"/>
        </w:rPr>
        <w:t>документације</w:t>
      </w:r>
      <w:r w:rsidR="00F87AEE" w:rsidRPr="00D54BAB">
        <w:rPr>
          <w:rFonts w:ascii="Times New Roman" w:hAnsi="Times New Roman"/>
          <w:sz w:val="24"/>
          <w:szCs w:val="24"/>
        </w:rPr>
        <w:t xml:space="preserve">, </w:t>
      </w:r>
      <w:r w:rsidRPr="00D54BAB">
        <w:rPr>
          <w:rFonts w:ascii="Times New Roman" w:hAnsi="Times New Roman"/>
          <w:sz w:val="24"/>
          <w:szCs w:val="24"/>
        </w:rPr>
        <w:t>оцени</w:t>
      </w:r>
      <w:r w:rsidR="00F87AEE" w:rsidRPr="00D54BAB">
        <w:rPr>
          <w:rFonts w:ascii="Times New Roman" w:hAnsi="Times New Roman"/>
          <w:sz w:val="24"/>
          <w:szCs w:val="24"/>
        </w:rPr>
        <w:t xml:space="preserve"> </w:t>
      </w:r>
      <w:r w:rsidRPr="00D54BAB">
        <w:rPr>
          <w:rFonts w:ascii="Times New Roman" w:hAnsi="Times New Roman"/>
          <w:sz w:val="24"/>
          <w:szCs w:val="24"/>
        </w:rPr>
        <w:t>да</w:t>
      </w:r>
      <w:r w:rsidR="00F87AEE" w:rsidRPr="00D54BAB">
        <w:rPr>
          <w:rFonts w:ascii="Times New Roman" w:hAnsi="Times New Roman"/>
          <w:sz w:val="24"/>
          <w:szCs w:val="24"/>
        </w:rPr>
        <w:t xml:space="preserve"> </w:t>
      </w:r>
      <w:r w:rsidRPr="00D54BAB">
        <w:rPr>
          <w:rFonts w:ascii="Times New Roman" w:hAnsi="Times New Roman"/>
          <w:sz w:val="24"/>
          <w:szCs w:val="24"/>
        </w:rPr>
        <w:t>у</w:t>
      </w:r>
      <w:r w:rsidR="00F87AEE" w:rsidRPr="00D54BAB">
        <w:rPr>
          <w:rFonts w:ascii="Times New Roman" w:hAnsi="Times New Roman"/>
          <w:sz w:val="24"/>
          <w:szCs w:val="24"/>
        </w:rPr>
        <w:t xml:space="preserve"> </w:t>
      </w:r>
      <w:r w:rsidRPr="00D54BAB">
        <w:rPr>
          <w:rFonts w:ascii="Times New Roman" w:hAnsi="Times New Roman"/>
          <w:sz w:val="24"/>
          <w:szCs w:val="24"/>
        </w:rPr>
        <w:t>вези</w:t>
      </w:r>
      <w:r w:rsidR="00F87AEE" w:rsidRPr="00D54BAB">
        <w:rPr>
          <w:rFonts w:ascii="Times New Roman" w:hAnsi="Times New Roman"/>
          <w:sz w:val="24"/>
          <w:szCs w:val="24"/>
        </w:rPr>
        <w:t xml:space="preserve"> </w:t>
      </w:r>
      <w:r w:rsidRPr="00D54BAB">
        <w:rPr>
          <w:rFonts w:ascii="Times New Roman" w:hAnsi="Times New Roman"/>
          <w:sz w:val="24"/>
          <w:szCs w:val="24"/>
        </w:rPr>
        <w:t>са</w:t>
      </w:r>
      <w:r w:rsidR="00F87AEE" w:rsidRPr="00D54BAB">
        <w:rPr>
          <w:rFonts w:ascii="Times New Roman" w:hAnsi="Times New Roman"/>
          <w:sz w:val="24"/>
          <w:szCs w:val="24"/>
        </w:rPr>
        <w:t xml:space="preserve"> </w:t>
      </w:r>
      <w:r w:rsidRPr="00D54BAB">
        <w:rPr>
          <w:rFonts w:ascii="Times New Roman" w:hAnsi="Times New Roman"/>
          <w:sz w:val="24"/>
          <w:szCs w:val="24"/>
        </w:rPr>
        <w:t>одређеном</w:t>
      </w:r>
      <w:r w:rsidR="00F87AEE" w:rsidRPr="00D54BAB">
        <w:rPr>
          <w:rFonts w:ascii="Times New Roman" w:hAnsi="Times New Roman"/>
          <w:sz w:val="24"/>
          <w:szCs w:val="24"/>
        </w:rPr>
        <w:t xml:space="preserve"> </w:t>
      </w:r>
      <w:r w:rsidRPr="00D54BAB">
        <w:rPr>
          <w:rFonts w:ascii="Times New Roman" w:hAnsi="Times New Roman"/>
          <w:sz w:val="24"/>
          <w:szCs w:val="24"/>
        </w:rPr>
        <w:t>трансакцијом</w:t>
      </w:r>
      <w:r w:rsidR="00F87AEE" w:rsidRPr="00D54BAB">
        <w:rPr>
          <w:rFonts w:ascii="Times New Roman" w:hAnsi="Times New Roman"/>
          <w:sz w:val="24"/>
          <w:szCs w:val="24"/>
        </w:rPr>
        <w:t xml:space="preserve"> </w:t>
      </w:r>
      <w:r w:rsidRPr="00D54BAB">
        <w:rPr>
          <w:rFonts w:ascii="Times New Roman" w:hAnsi="Times New Roman"/>
          <w:sz w:val="24"/>
          <w:szCs w:val="24"/>
        </w:rPr>
        <w:t>или</w:t>
      </w:r>
      <w:r w:rsidR="00F87AEE" w:rsidRPr="00D54BAB">
        <w:rPr>
          <w:rFonts w:ascii="Times New Roman" w:hAnsi="Times New Roman"/>
          <w:sz w:val="24"/>
          <w:szCs w:val="24"/>
        </w:rPr>
        <w:t xml:space="preserve"> </w:t>
      </w:r>
      <w:r w:rsidRPr="00D54BAB">
        <w:rPr>
          <w:rFonts w:ascii="Times New Roman" w:hAnsi="Times New Roman"/>
          <w:sz w:val="24"/>
          <w:szCs w:val="24"/>
        </w:rPr>
        <w:t>лицем</w:t>
      </w:r>
      <w:r w:rsidR="00F87AEE" w:rsidRPr="00D54BAB">
        <w:rPr>
          <w:rFonts w:ascii="Times New Roman" w:hAnsi="Times New Roman"/>
          <w:sz w:val="24"/>
          <w:szCs w:val="24"/>
        </w:rPr>
        <w:t xml:space="preserve"> </w:t>
      </w:r>
      <w:r w:rsidRPr="00D54BAB">
        <w:rPr>
          <w:rFonts w:ascii="Times New Roman" w:hAnsi="Times New Roman"/>
          <w:sz w:val="24"/>
          <w:szCs w:val="24"/>
        </w:rPr>
        <w:t>постоје</w:t>
      </w:r>
      <w:r w:rsidR="00F87AEE" w:rsidRPr="00D54BAB">
        <w:rPr>
          <w:rFonts w:ascii="Times New Roman" w:hAnsi="Times New Roman"/>
          <w:sz w:val="24"/>
          <w:szCs w:val="24"/>
        </w:rPr>
        <w:t xml:space="preserve"> </w:t>
      </w:r>
      <w:r w:rsidRPr="00D54BAB">
        <w:rPr>
          <w:rFonts w:ascii="Times New Roman" w:hAnsi="Times New Roman"/>
          <w:sz w:val="24"/>
          <w:szCs w:val="24"/>
        </w:rPr>
        <w:t>основи</w:t>
      </w:r>
      <w:r w:rsidR="00F87AEE" w:rsidRPr="00D54BAB">
        <w:rPr>
          <w:rFonts w:ascii="Times New Roman" w:hAnsi="Times New Roman"/>
          <w:sz w:val="24"/>
          <w:szCs w:val="24"/>
        </w:rPr>
        <w:t xml:space="preserve"> </w:t>
      </w:r>
      <w:r w:rsidRPr="00D54BAB">
        <w:rPr>
          <w:rFonts w:ascii="Times New Roman" w:hAnsi="Times New Roman"/>
          <w:sz w:val="24"/>
          <w:szCs w:val="24"/>
        </w:rPr>
        <w:t>сумње</w:t>
      </w:r>
      <w:r w:rsidR="00F87AEE" w:rsidRPr="00D54BAB">
        <w:rPr>
          <w:rFonts w:ascii="Times New Roman" w:hAnsi="Times New Roman"/>
          <w:sz w:val="24"/>
          <w:szCs w:val="24"/>
        </w:rPr>
        <w:t xml:space="preserve"> </w:t>
      </w:r>
      <w:r w:rsidRPr="00D54BAB">
        <w:rPr>
          <w:rFonts w:ascii="Times New Roman" w:hAnsi="Times New Roman"/>
          <w:sz w:val="24"/>
          <w:szCs w:val="24"/>
        </w:rPr>
        <w:t>да</w:t>
      </w:r>
      <w:r w:rsidR="00F87AEE" w:rsidRPr="00D54BAB">
        <w:rPr>
          <w:rFonts w:ascii="Times New Roman" w:hAnsi="Times New Roman"/>
          <w:sz w:val="24"/>
          <w:szCs w:val="24"/>
        </w:rPr>
        <w:t xml:space="preserve"> </w:t>
      </w:r>
      <w:r w:rsidRPr="00D54BAB">
        <w:rPr>
          <w:rFonts w:ascii="Times New Roman" w:hAnsi="Times New Roman"/>
          <w:sz w:val="24"/>
          <w:szCs w:val="24"/>
        </w:rPr>
        <w:t>се</w:t>
      </w:r>
      <w:r w:rsidR="00F87AEE" w:rsidRPr="00D54BAB">
        <w:rPr>
          <w:rFonts w:ascii="Times New Roman" w:hAnsi="Times New Roman"/>
          <w:sz w:val="24"/>
          <w:szCs w:val="24"/>
        </w:rPr>
        <w:t xml:space="preserve"> </w:t>
      </w:r>
      <w:r w:rsidRPr="00D54BAB">
        <w:rPr>
          <w:rFonts w:ascii="Times New Roman" w:hAnsi="Times New Roman"/>
          <w:sz w:val="24"/>
          <w:szCs w:val="24"/>
        </w:rPr>
        <w:t>ради</w:t>
      </w:r>
      <w:r w:rsidR="00F87AEE" w:rsidRPr="00D54BAB">
        <w:rPr>
          <w:rFonts w:ascii="Times New Roman" w:hAnsi="Times New Roman"/>
          <w:sz w:val="24"/>
          <w:szCs w:val="24"/>
        </w:rPr>
        <w:t xml:space="preserve"> </w:t>
      </w:r>
      <w:r w:rsidRPr="00D54BAB">
        <w:rPr>
          <w:rFonts w:ascii="Times New Roman" w:hAnsi="Times New Roman"/>
          <w:sz w:val="24"/>
          <w:szCs w:val="24"/>
        </w:rPr>
        <w:t>о</w:t>
      </w:r>
      <w:r w:rsidR="00F87AEE" w:rsidRPr="00D54BAB">
        <w:rPr>
          <w:rFonts w:ascii="Times New Roman" w:hAnsi="Times New Roman"/>
          <w:sz w:val="24"/>
          <w:szCs w:val="24"/>
        </w:rPr>
        <w:t xml:space="preserve"> </w:t>
      </w:r>
      <w:r w:rsidRPr="00D54BAB">
        <w:rPr>
          <w:rFonts w:ascii="Times New Roman" w:hAnsi="Times New Roman"/>
          <w:sz w:val="24"/>
          <w:szCs w:val="24"/>
        </w:rPr>
        <w:t>прању</w:t>
      </w:r>
      <w:r w:rsidR="00F87AEE" w:rsidRPr="00D54BAB">
        <w:rPr>
          <w:rFonts w:ascii="Times New Roman" w:hAnsi="Times New Roman"/>
          <w:sz w:val="24"/>
          <w:szCs w:val="24"/>
        </w:rPr>
        <w:t xml:space="preserve"> </w:t>
      </w:r>
      <w:r w:rsidRPr="00D54BAB">
        <w:rPr>
          <w:rFonts w:ascii="Times New Roman" w:hAnsi="Times New Roman"/>
          <w:sz w:val="24"/>
          <w:szCs w:val="24"/>
        </w:rPr>
        <w:t>новца</w:t>
      </w:r>
      <w:r w:rsidR="00F87AEE" w:rsidRPr="00D54BAB">
        <w:rPr>
          <w:rFonts w:ascii="Times New Roman" w:hAnsi="Times New Roman"/>
          <w:sz w:val="24"/>
          <w:szCs w:val="24"/>
        </w:rPr>
        <w:t xml:space="preserve"> </w:t>
      </w:r>
      <w:r w:rsidRPr="00D54BAB">
        <w:rPr>
          <w:rFonts w:ascii="Times New Roman" w:hAnsi="Times New Roman"/>
          <w:sz w:val="24"/>
          <w:szCs w:val="24"/>
        </w:rPr>
        <w:t>или</w:t>
      </w:r>
      <w:r w:rsidR="00F87AEE" w:rsidRPr="00D54BAB">
        <w:rPr>
          <w:rFonts w:ascii="Times New Roman" w:hAnsi="Times New Roman"/>
          <w:sz w:val="24"/>
          <w:szCs w:val="24"/>
        </w:rPr>
        <w:t xml:space="preserve"> </w:t>
      </w:r>
      <w:r w:rsidRPr="00D54BAB">
        <w:rPr>
          <w:rFonts w:ascii="Times New Roman" w:hAnsi="Times New Roman"/>
          <w:sz w:val="24"/>
          <w:szCs w:val="24"/>
        </w:rPr>
        <w:t>финансирању</w:t>
      </w:r>
      <w:r w:rsidR="00F87AEE" w:rsidRPr="00D54BAB">
        <w:rPr>
          <w:rFonts w:ascii="Times New Roman" w:hAnsi="Times New Roman"/>
          <w:sz w:val="24"/>
          <w:szCs w:val="24"/>
        </w:rPr>
        <w:t xml:space="preserve"> </w:t>
      </w:r>
      <w:r w:rsidRPr="00D54BAB">
        <w:rPr>
          <w:rFonts w:ascii="Times New Roman" w:hAnsi="Times New Roman"/>
          <w:sz w:val="24"/>
          <w:szCs w:val="24"/>
        </w:rPr>
        <w:t>тероризма</w:t>
      </w:r>
      <w:r w:rsidR="00F87AEE" w:rsidRPr="00D54BAB">
        <w:rPr>
          <w:rFonts w:ascii="Times New Roman" w:hAnsi="Times New Roman"/>
          <w:sz w:val="24"/>
          <w:szCs w:val="24"/>
        </w:rPr>
        <w:t xml:space="preserve">, </w:t>
      </w:r>
      <w:r w:rsidRPr="00D54BAB">
        <w:rPr>
          <w:rFonts w:ascii="Times New Roman" w:hAnsi="Times New Roman"/>
          <w:sz w:val="24"/>
          <w:szCs w:val="24"/>
        </w:rPr>
        <w:t>дужна</w:t>
      </w:r>
      <w:r w:rsidR="00F87AEE" w:rsidRPr="00D54BAB">
        <w:rPr>
          <w:rFonts w:ascii="Times New Roman" w:hAnsi="Times New Roman"/>
          <w:sz w:val="24"/>
          <w:szCs w:val="24"/>
        </w:rPr>
        <w:t xml:space="preserve"> </w:t>
      </w:r>
      <w:r w:rsidRPr="00D54BAB">
        <w:rPr>
          <w:rFonts w:ascii="Times New Roman" w:hAnsi="Times New Roman"/>
          <w:sz w:val="24"/>
          <w:szCs w:val="24"/>
        </w:rPr>
        <w:t>је</w:t>
      </w:r>
      <w:r w:rsidR="00F87AEE" w:rsidRPr="00D54BAB">
        <w:rPr>
          <w:rFonts w:ascii="Times New Roman" w:hAnsi="Times New Roman"/>
          <w:sz w:val="24"/>
          <w:szCs w:val="24"/>
        </w:rPr>
        <w:t xml:space="preserve"> </w:t>
      </w:r>
      <w:r w:rsidRPr="00D54BAB">
        <w:rPr>
          <w:rFonts w:ascii="Times New Roman" w:hAnsi="Times New Roman"/>
          <w:sz w:val="24"/>
          <w:szCs w:val="24"/>
        </w:rPr>
        <w:t>да</w:t>
      </w:r>
      <w:r w:rsidR="00F87AEE" w:rsidRPr="00D54BAB">
        <w:rPr>
          <w:rFonts w:ascii="Times New Roman" w:hAnsi="Times New Roman"/>
          <w:sz w:val="24"/>
          <w:szCs w:val="24"/>
        </w:rPr>
        <w:t xml:space="preserve"> </w:t>
      </w:r>
      <w:r w:rsidRPr="00D54BAB">
        <w:rPr>
          <w:rFonts w:ascii="Times New Roman" w:hAnsi="Times New Roman"/>
          <w:sz w:val="24"/>
          <w:szCs w:val="24"/>
        </w:rPr>
        <w:t>у</w:t>
      </w:r>
      <w:r w:rsidR="00F87AEE" w:rsidRPr="00D54BAB">
        <w:rPr>
          <w:rFonts w:ascii="Times New Roman" w:hAnsi="Times New Roman"/>
          <w:sz w:val="24"/>
          <w:szCs w:val="24"/>
        </w:rPr>
        <w:t xml:space="preserve"> </w:t>
      </w:r>
      <w:r w:rsidRPr="00D54BAB">
        <w:rPr>
          <w:rFonts w:ascii="Times New Roman" w:hAnsi="Times New Roman"/>
          <w:sz w:val="24"/>
          <w:szCs w:val="24"/>
        </w:rPr>
        <w:t>писменој</w:t>
      </w:r>
      <w:r w:rsidR="00F87AEE" w:rsidRPr="00D54BAB">
        <w:rPr>
          <w:rFonts w:ascii="Times New Roman" w:hAnsi="Times New Roman"/>
          <w:sz w:val="24"/>
          <w:szCs w:val="24"/>
        </w:rPr>
        <w:t xml:space="preserve"> </w:t>
      </w:r>
      <w:r w:rsidRPr="00D54BAB">
        <w:rPr>
          <w:rFonts w:ascii="Times New Roman" w:hAnsi="Times New Roman"/>
          <w:sz w:val="24"/>
          <w:szCs w:val="24"/>
        </w:rPr>
        <w:t>форми</w:t>
      </w:r>
      <w:r w:rsidR="00F87AEE" w:rsidRPr="00D54BAB">
        <w:rPr>
          <w:rFonts w:ascii="Times New Roman" w:hAnsi="Times New Roman"/>
          <w:sz w:val="24"/>
          <w:szCs w:val="24"/>
        </w:rPr>
        <w:t xml:space="preserve"> </w:t>
      </w:r>
      <w:r w:rsidRPr="00D54BAB">
        <w:rPr>
          <w:rFonts w:ascii="Times New Roman" w:hAnsi="Times New Roman"/>
          <w:sz w:val="24"/>
          <w:szCs w:val="24"/>
        </w:rPr>
        <w:t>о</w:t>
      </w:r>
      <w:r w:rsidR="00F87AEE" w:rsidRPr="00D54BAB">
        <w:rPr>
          <w:rFonts w:ascii="Times New Roman" w:hAnsi="Times New Roman"/>
          <w:sz w:val="24"/>
          <w:szCs w:val="24"/>
        </w:rPr>
        <w:t xml:space="preserve"> </w:t>
      </w:r>
      <w:r w:rsidRPr="00D54BAB">
        <w:rPr>
          <w:rFonts w:ascii="Times New Roman" w:hAnsi="Times New Roman"/>
          <w:sz w:val="24"/>
          <w:szCs w:val="24"/>
        </w:rPr>
        <w:t>томе</w:t>
      </w:r>
      <w:r w:rsidR="00F87AEE" w:rsidRPr="00D54BAB">
        <w:rPr>
          <w:rFonts w:ascii="Times New Roman" w:hAnsi="Times New Roman"/>
          <w:sz w:val="24"/>
          <w:szCs w:val="24"/>
        </w:rPr>
        <w:t xml:space="preserve"> </w:t>
      </w:r>
      <w:r w:rsidRPr="00D54BAB">
        <w:rPr>
          <w:rFonts w:ascii="Times New Roman" w:hAnsi="Times New Roman"/>
          <w:sz w:val="24"/>
          <w:szCs w:val="24"/>
        </w:rPr>
        <w:t>обавести</w:t>
      </w:r>
      <w:r w:rsidR="00F87AEE" w:rsidRPr="00D54BAB">
        <w:rPr>
          <w:rFonts w:ascii="Times New Roman" w:hAnsi="Times New Roman"/>
          <w:sz w:val="24"/>
          <w:szCs w:val="24"/>
        </w:rPr>
        <w:t xml:space="preserve"> </w:t>
      </w:r>
      <w:r w:rsidRPr="00D54BAB">
        <w:rPr>
          <w:rFonts w:ascii="Times New Roman" w:hAnsi="Times New Roman"/>
          <w:sz w:val="24"/>
          <w:szCs w:val="24"/>
        </w:rPr>
        <w:t>надлежне</w:t>
      </w:r>
      <w:r w:rsidR="00F87AEE" w:rsidRPr="00D54BAB">
        <w:rPr>
          <w:rFonts w:ascii="Times New Roman" w:hAnsi="Times New Roman"/>
          <w:sz w:val="24"/>
          <w:szCs w:val="24"/>
        </w:rPr>
        <w:t xml:space="preserve"> </w:t>
      </w:r>
      <w:r w:rsidRPr="00D54BAB">
        <w:rPr>
          <w:rFonts w:ascii="Times New Roman" w:hAnsi="Times New Roman"/>
          <w:sz w:val="24"/>
          <w:szCs w:val="24"/>
        </w:rPr>
        <w:t>државне</w:t>
      </w:r>
      <w:r w:rsidR="00F87AEE" w:rsidRPr="00D54BAB">
        <w:rPr>
          <w:rFonts w:ascii="Times New Roman" w:hAnsi="Times New Roman"/>
          <w:sz w:val="24"/>
          <w:szCs w:val="24"/>
        </w:rPr>
        <w:t xml:space="preserve"> </w:t>
      </w:r>
      <w:r w:rsidRPr="00D54BAB">
        <w:rPr>
          <w:rFonts w:ascii="Times New Roman" w:hAnsi="Times New Roman"/>
          <w:sz w:val="24"/>
          <w:szCs w:val="24"/>
        </w:rPr>
        <w:t>органе</w:t>
      </w:r>
      <w:r w:rsidR="00F87AEE" w:rsidRPr="00D54BAB">
        <w:rPr>
          <w:rFonts w:ascii="Times New Roman" w:hAnsi="Times New Roman"/>
          <w:sz w:val="24"/>
          <w:szCs w:val="24"/>
        </w:rPr>
        <w:t xml:space="preserve">, </w:t>
      </w:r>
      <w:r w:rsidRPr="00D54BAB">
        <w:rPr>
          <w:rFonts w:ascii="Times New Roman" w:hAnsi="Times New Roman"/>
          <w:sz w:val="24"/>
          <w:szCs w:val="24"/>
        </w:rPr>
        <w:t>ради</w:t>
      </w:r>
      <w:r w:rsidR="00F87AEE" w:rsidRPr="00D54BAB">
        <w:rPr>
          <w:rFonts w:ascii="Times New Roman" w:hAnsi="Times New Roman"/>
          <w:sz w:val="24"/>
          <w:szCs w:val="24"/>
        </w:rPr>
        <w:t xml:space="preserve"> </w:t>
      </w:r>
      <w:r w:rsidRPr="00D54BAB">
        <w:rPr>
          <w:rFonts w:ascii="Times New Roman" w:hAnsi="Times New Roman"/>
          <w:sz w:val="24"/>
          <w:szCs w:val="24"/>
        </w:rPr>
        <w:t>предузимања</w:t>
      </w:r>
      <w:r w:rsidR="00F87AEE" w:rsidRPr="00D54BAB">
        <w:rPr>
          <w:rFonts w:ascii="Times New Roman" w:hAnsi="Times New Roman"/>
          <w:sz w:val="24"/>
          <w:szCs w:val="24"/>
        </w:rPr>
        <w:t xml:space="preserve"> </w:t>
      </w:r>
      <w:r w:rsidRPr="00D54BAB">
        <w:rPr>
          <w:rFonts w:ascii="Times New Roman" w:hAnsi="Times New Roman"/>
          <w:sz w:val="24"/>
          <w:szCs w:val="24"/>
        </w:rPr>
        <w:t>мера</w:t>
      </w:r>
      <w:r w:rsidR="00F87AEE" w:rsidRPr="00D54BAB">
        <w:rPr>
          <w:rFonts w:ascii="Times New Roman" w:hAnsi="Times New Roman"/>
          <w:sz w:val="24"/>
          <w:szCs w:val="24"/>
        </w:rPr>
        <w:t xml:space="preserve"> </w:t>
      </w:r>
      <w:r w:rsidRPr="00D54BAB">
        <w:rPr>
          <w:rFonts w:ascii="Times New Roman" w:hAnsi="Times New Roman"/>
          <w:sz w:val="24"/>
          <w:szCs w:val="24"/>
        </w:rPr>
        <w:t>из</w:t>
      </w:r>
      <w:r w:rsidR="00F87AEE" w:rsidRPr="00D54BAB">
        <w:rPr>
          <w:rFonts w:ascii="Times New Roman" w:hAnsi="Times New Roman"/>
          <w:sz w:val="24"/>
          <w:szCs w:val="24"/>
        </w:rPr>
        <w:t xml:space="preserve"> </w:t>
      </w:r>
      <w:r w:rsidRPr="00D54BAB">
        <w:rPr>
          <w:rFonts w:ascii="Times New Roman" w:hAnsi="Times New Roman"/>
          <w:sz w:val="24"/>
          <w:szCs w:val="24"/>
        </w:rPr>
        <w:t>њихове</w:t>
      </w:r>
      <w:r w:rsidR="00F87AEE" w:rsidRPr="00D54BAB">
        <w:rPr>
          <w:rFonts w:ascii="Times New Roman" w:hAnsi="Times New Roman"/>
          <w:sz w:val="24"/>
          <w:szCs w:val="24"/>
        </w:rPr>
        <w:t xml:space="preserve"> </w:t>
      </w:r>
      <w:r w:rsidRPr="00D54BAB">
        <w:rPr>
          <w:rFonts w:ascii="Times New Roman" w:hAnsi="Times New Roman"/>
          <w:sz w:val="24"/>
          <w:szCs w:val="24"/>
        </w:rPr>
        <w:t>надлежности</w:t>
      </w:r>
      <w:r w:rsidR="00F87AEE" w:rsidRPr="00D54BAB">
        <w:rPr>
          <w:rFonts w:ascii="Times New Roman" w:hAnsi="Times New Roman"/>
          <w:sz w:val="24"/>
          <w:szCs w:val="24"/>
        </w:rPr>
        <w:t xml:space="preserve">, </w:t>
      </w:r>
      <w:r w:rsidRPr="00D54BAB">
        <w:rPr>
          <w:rFonts w:ascii="Times New Roman" w:hAnsi="Times New Roman"/>
          <w:sz w:val="24"/>
          <w:szCs w:val="24"/>
        </w:rPr>
        <w:t>као</w:t>
      </w:r>
      <w:r w:rsidR="00F87AEE" w:rsidRPr="00D54BAB">
        <w:rPr>
          <w:rFonts w:ascii="Times New Roman" w:hAnsi="Times New Roman"/>
          <w:sz w:val="24"/>
          <w:szCs w:val="24"/>
        </w:rPr>
        <w:t xml:space="preserve"> </w:t>
      </w:r>
      <w:r w:rsidRPr="00D54BAB">
        <w:rPr>
          <w:rFonts w:ascii="Times New Roman" w:hAnsi="Times New Roman"/>
          <w:sz w:val="24"/>
          <w:szCs w:val="24"/>
        </w:rPr>
        <w:t>и</w:t>
      </w:r>
      <w:r w:rsidR="00F87AEE" w:rsidRPr="00D54BAB">
        <w:rPr>
          <w:rFonts w:ascii="Times New Roman" w:hAnsi="Times New Roman"/>
          <w:sz w:val="24"/>
          <w:szCs w:val="24"/>
        </w:rPr>
        <w:t xml:space="preserve"> </w:t>
      </w:r>
      <w:r w:rsidRPr="00D54BAB">
        <w:rPr>
          <w:rFonts w:ascii="Times New Roman" w:hAnsi="Times New Roman"/>
          <w:sz w:val="24"/>
          <w:szCs w:val="24"/>
        </w:rPr>
        <w:t>да</w:t>
      </w:r>
      <w:r w:rsidR="00F87AEE" w:rsidRPr="00D54BAB">
        <w:rPr>
          <w:rFonts w:ascii="Times New Roman" w:hAnsi="Times New Roman"/>
          <w:sz w:val="24"/>
          <w:szCs w:val="24"/>
        </w:rPr>
        <w:t xml:space="preserve"> </w:t>
      </w:r>
      <w:r w:rsidRPr="00D54BAB">
        <w:rPr>
          <w:rFonts w:ascii="Times New Roman" w:hAnsi="Times New Roman"/>
          <w:sz w:val="24"/>
          <w:szCs w:val="24"/>
        </w:rPr>
        <w:t>им</w:t>
      </w:r>
      <w:r w:rsidR="00F87AEE" w:rsidRPr="00D54BAB">
        <w:rPr>
          <w:rFonts w:ascii="Times New Roman" w:hAnsi="Times New Roman"/>
          <w:sz w:val="24"/>
          <w:szCs w:val="24"/>
        </w:rPr>
        <w:t xml:space="preserve"> </w:t>
      </w:r>
      <w:r w:rsidRPr="00D54BAB">
        <w:rPr>
          <w:rFonts w:ascii="Times New Roman" w:hAnsi="Times New Roman"/>
          <w:sz w:val="24"/>
          <w:szCs w:val="24"/>
        </w:rPr>
        <w:t>достави</w:t>
      </w:r>
      <w:r w:rsidR="00F87AEE" w:rsidRPr="00D54BAB">
        <w:rPr>
          <w:rFonts w:ascii="Times New Roman" w:hAnsi="Times New Roman"/>
          <w:sz w:val="24"/>
          <w:szCs w:val="24"/>
        </w:rPr>
        <w:t xml:space="preserve"> </w:t>
      </w:r>
      <w:r w:rsidRPr="00D54BAB">
        <w:rPr>
          <w:rFonts w:ascii="Times New Roman" w:hAnsi="Times New Roman"/>
          <w:sz w:val="24"/>
          <w:szCs w:val="24"/>
        </w:rPr>
        <w:t>прикупљену</w:t>
      </w:r>
      <w:r w:rsidR="00F87AEE" w:rsidRPr="00D54BAB">
        <w:rPr>
          <w:rFonts w:ascii="Times New Roman" w:hAnsi="Times New Roman"/>
          <w:sz w:val="24"/>
          <w:szCs w:val="24"/>
        </w:rPr>
        <w:t xml:space="preserve"> </w:t>
      </w:r>
      <w:r w:rsidRPr="00D54BAB">
        <w:rPr>
          <w:rFonts w:ascii="Times New Roman" w:hAnsi="Times New Roman"/>
          <w:sz w:val="24"/>
          <w:szCs w:val="24"/>
        </w:rPr>
        <w:t>документацију</w:t>
      </w:r>
      <w:r w:rsidR="00F87AEE" w:rsidRPr="00D54BAB">
        <w:rPr>
          <w:rFonts w:ascii="Times New Roman" w:hAnsi="Times New Roman"/>
          <w:sz w:val="24"/>
          <w:szCs w:val="24"/>
        </w:rPr>
        <w:t>.</w:t>
      </w:r>
      <w:r w:rsidR="00364CA3" w:rsidRPr="00D54BAB">
        <w:rPr>
          <w:rFonts w:ascii="Times New Roman" w:hAnsi="Times New Roman"/>
          <w:sz w:val="24"/>
          <w:szCs w:val="24"/>
          <w:lang w:val="sr-Cyrl-CS"/>
        </w:rPr>
        <w:t xml:space="preserve"> </w:t>
      </w:r>
    </w:p>
    <w:p w:rsidR="00364CA3" w:rsidRPr="00D54BAB" w:rsidRDefault="00364CA3" w:rsidP="009E2574">
      <w:pPr>
        <w:jc w:val="both"/>
        <w:rPr>
          <w:color w:val="000000"/>
          <w:sz w:val="18"/>
          <w:szCs w:val="18"/>
          <w:lang w:val="sr-Cyrl-CS"/>
        </w:rPr>
      </w:pPr>
      <w:r w:rsidRPr="00D54BAB">
        <w:rPr>
          <w:rFonts w:ascii="Times New Roman" w:hAnsi="Times New Roman"/>
          <w:sz w:val="24"/>
          <w:szCs w:val="24"/>
        </w:rPr>
        <w:t xml:space="preserve"> </w:t>
      </w:r>
      <w:r w:rsidRPr="00D54BAB">
        <w:rPr>
          <w:rFonts w:ascii="Times New Roman" w:hAnsi="Times New Roman"/>
          <w:sz w:val="24"/>
          <w:szCs w:val="24"/>
          <w:lang w:val="sr-Cyrl-CS"/>
        </w:rPr>
        <w:tab/>
      </w:r>
      <w:r w:rsidR="0080098E" w:rsidRPr="00D54BAB">
        <w:rPr>
          <w:rFonts w:ascii="Times New Roman" w:hAnsi="Times New Roman"/>
          <w:sz w:val="24"/>
          <w:szCs w:val="24"/>
        </w:rPr>
        <w:t>Податке</w:t>
      </w:r>
      <w:r w:rsidR="00F87AEE" w:rsidRPr="00D54BAB">
        <w:rPr>
          <w:rFonts w:ascii="Times New Roman" w:hAnsi="Times New Roman"/>
          <w:sz w:val="24"/>
          <w:szCs w:val="24"/>
        </w:rPr>
        <w:t xml:space="preserve"> </w:t>
      </w:r>
      <w:r w:rsidR="0080098E" w:rsidRPr="00D54BAB">
        <w:rPr>
          <w:rFonts w:ascii="Times New Roman" w:hAnsi="Times New Roman"/>
          <w:sz w:val="24"/>
          <w:szCs w:val="24"/>
        </w:rPr>
        <w:t>и</w:t>
      </w:r>
      <w:r w:rsidR="00F87AEE" w:rsidRPr="00D54BAB">
        <w:rPr>
          <w:rFonts w:ascii="Times New Roman" w:hAnsi="Times New Roman"/>
          <w:sz w:val="24"/>
          <w:szCs w:val="24"/>
        </w:rPr>
        <w:t xml:space="preserve"> </w:t>
      </w:r>
      <w:r w:rsidR="0080098E" w:rsidRPr="00D54BAB">
        <w:rPr>
          <w:rFonts w:ascii="Times New Roman" w:hAnsi="Times New Roman"/>
          <w:sz w:val="24"/>
          <w:szCs w:val="24"/>
        </w:rPr>
        <w:t>информације</w:t>
      </w:r>
      <w:r w:rsidR="00F87AEE" w:rsidRPr="00D54BAB">
        <w:rPr>
          <w:rFonts w:ascii="Times New Roman" w:hAnsi="Times New Roman"/>
          <w:sz w:val="24"/>
          <w:szCs w:val="24"/>
        </w:rPr>
        <w:t xml:space="preserve"> </w:t>
      </w:r>
      <w:r w:rsidR="0080098E" w:rsidRPr="00D54BAB">
        <w:rPr>
          <w:rFonts w:ascii="Times New Roman" w:hAnsi="Times New Roman"/>
          <w:sz w:val="24"/>
          <w:szCs w:val="24"/>
        </w:rPr>
        <w:t>и</w:t>
      </w:r>
      <w:r w:rsidR="00F87AEE" w:rsidRPr="00D54BAB">
        <w:rPr>
          <w:rFonts w:ascii="Times New Roman" w:hAnsi="Times New Roman"/>
          <w:sz w:val="24"/>
          <w:szCs w:val="24"/>
        </w:rPr>
        <w:t xml:space="preserve"> </w:t>
      </w:r>
      <w:r w:rsidR="0080098E" w:rsidRPr="00D54BAB">
        <w:rPr>
          <w:rFonts w:ascii="Times New Roman" w:hAnsi="Times New Roman"/>
          <w:sz w:val="24"/>
          <w:szCs w:val="24"/>
        </w:rPr>
        <w:t>документацију</w:t>
      </w:r>
      <w:r w:rsidR="00F87AEE" w:rsidRPr="00D54BAB">
        <w:rPr>
          <w:rFonts w:ascii="Times New Roman" w:hAnsi="Times New Roman"/>
          <w:sz w:val="24"/>
          <w:szCs w:val="24"/>
        </w:rPr>
        <w:t xml:space="preserve"> </w:t>
      </w:r>
      <w:r w:rsidR="0080098E" w:rsidRPr="00D54BAB">
        <w:rPr>
          <w:rFonts w:ascii="Times New Roman" w:hAnsi="Times New Roman"/>
          <w:sz w:val="24"/>
          <w:szCs w:val="24"/>
        </w:rPr>
        <w:t>у</w:t>
      </w:r>
      <w:r w:rsidR="00F87AEE" w:rsidRPr="00D54BAB">
        <w:rPr>
          <w:rFonts w:ascii="Times New Roman" w:hAnsi="Times New Roman"/>
          <w:sz w:val="24"/>
          <w:szCs w:val="24"/>
        </w:rPr>
        <w:t xml:space="preserve"> </w:t>
      </w:r>
      <w:r w:rsidR="0080098E" w:rsidRPr="00D54BAB">
        <w:rPr>
          <w:rFonts w:ascii="Times New Roman" w:hAnsi="Times New Roman"/>
          <w:sz w:val="24"/>
          <w:szCs w:val="24"/>
        </w:rPr>
        <w:t>вези</w:t>
      </w:r>
      <w:r w:rsidR="00F87AEE" w:rsidRPr="00D54BAB">
        <w:rPr>
          <w:rFonts w:ascii="Times New Roman" w:hAnsi="Times New Roman"/>
          <w:sz w:val="24"/>
          <w:szCs w:val="24"/>
        </w:rPr>
        <w:t xml:space="preserve"> </w:t>
      </w:r>
      <w:r w:rsidR="0080098E" w:rsidRPr="00D54BAB">
        <w:rPr>
          <w:rFonts w:ascii="Times New Roman" w:hAnsi="Times New Roman"/>
          <w:sz w:val="24"/>
          <w:szCs w:val="24"/>
        </w:rPr>
        <w:t>са</w:t>
      </w:r>
      <w:r w:rsidR="00F87AEE" w:rsidRPr="00D54BAB">
        <w:rPr>
          <w:rFonts w:ascii="Times New Roman" w:hAnsi="Times New Roman"/>
          <w:sz w:val="24"/>
          <w:szCs w:val="24"/>
        </w:rPr>
        <w:t xml:space="preserve"> </w:t>
      </w:r>
      <w:r w:rsidR="0080098E" w:rsidRPr="00D54BAB">
        <w:rPr>
          <w:rFonts w:ascii="Times New Roman" w:hAnsi="Times New Roman"/>
          <w:sz w:val="24"/>
          <w:szCs w:val="24"/>
        </w:rPr>
        <w:t>трансакцијама</w:t>
      </w:r>
      <w:r w:rsidR="00F87AEE" w:rsidRPr="00D54BAB">
        <w:rPr>
          <w:rFonts w:ascii="Times New Roman" w:hAnsi="Times New Roman"/>
          <w:sz w:val="24"/>
          <w:szCs w:val="24"/>
        </w:rPr>
        <w:t xml:space="preserve"> </w:t>
      </w:r>
      <w:r w:rsidR="0080098E" w:rsidRPr="00D54BAB">
        <w:rPr>
          <w:rFonts w:ascii="Times New Roman" w:hAnsi="Times New Roman"/>
          <w:sz w:val="24"/>
          <w:szCs w:val="24"/>
        </w:rPr>
        <w:t>или</w:t>
      </w:r>
      <w:r w:rsidR="00F87AEE" w:rsidRPr="00D54BAB">
        <w:rPr>
          <w:rFonts w:ascii="Times New Roman" w:hAnsi="Times New Roman"/>
          <w:sz w:val="24"/>
          <w:szCs w:val="24"/>
        </w:rPr>
        <w:t xml:space="preserve"> </w:t>
      </w:r>
      <w:r w:rsidR="0080098E" w:rsidRPr="00D54BAB">
        <w:rPr>
          <w:rFonts w:ascii="Times New Roman" w:hAnsi="Times New Roman"/>
          <w:sz w:val="24"/>
          <w:szCs w:val="24"/>
        </w:rPr>
        <w:t>лицима</w:t>
      </w:r>
      <w:r w:rsidR="00F87AEE" w:rsidRPr="00D54BAB">
        <w:rPr>
          <w:rFonts w:ascii="Times New Roman" w:hAnsi="Times New Roman"/>
          <w:sz w:val="24"/>
          <w:szCs w:val="24"/>
        </w:rPr>
        <w:t xml:space="preserve"> </w:t>
      </w:r>
      <w:r w:rsidR="0080098E" w:rsidRPr="00D54BAB">
        <w:rPr>
          <w:rFonts w:ascii="Times New Roman" w:hAnsi="Times New Roman"/>
          <w:sz w:val="24"/>
          <w:szCs w:val="24"/>
        </w:rPr>
        <w:t>за</w:t>
      </w:r>
      <w:r w:rsidR="00F87AEE" w:rsidRPr="00D54BAB">
        <w:rPr>
          <w:rFonts w:ascii="Times New Roman" w:hAnsi="Times New Roman"/>
          <w:sz w:val="24"/>
          <w:szCs w:val="24"/>
        </w:rPr>
        <w:t xml:space="preserve"> </w:t>
      </w:r>
      <w:r w:rsidR="0080098E" w:rsidRPr="00D54BAB">
        <w:rPr>
          <w:rFonts w:ascii="Times New Roman" w:hAnsi="Times New Roman"/>
          <w:sz w:val="24"/>
          <w:szCs w:val="24"/>
        </w:rPr>
        <w:t>које</w:t>
      </w:r>
      <w:r w:rsidR="00F87AEE" w:rsidRPr="00D54BAB">
        <w:rPr>
          <w:rFonts w:ascii="Times New Roman" w:hAnsi="Times New Roman"/>
          <w:sz w:val="24"/>
          <w:szCs w:val="24"/>
        </w:rPr>
        <w:t xml:space="preserve"> </w:t>
      </w:r>
      <w:r w:rsidR="0080098E" w:rsidRPr="00D54BAB">
        <w:rPr>
          <w:rFonts w:ascii="Times New Roman" w:hAnsi="Times New Roman"/>
          <w:sz w:val="24"/>
          <w:szCs w:val="24"/>
        </w:rPr>
        <w:t>постоје</w:t>
      </w:r>
      <w:r w:rsidR="00F87AEE" w:rsidRPr="00D54BAB">
        <w:rPr>
          <w:rFonts w:ascii="Times New Roman" w:hAnsi="Times New Roman"/>
          <w:sz w:val="24"/>
          <w:szCs w:val="24"/>
        </w:rPr>
        <w:t xml:space="preserve"> </w:t>
      </w:r>
      <w:r w:rsidR="0080098E" w:rsidRPr="00D54BAB">
        <w:rPr>
          <w:rFonts w:ascii="Times New Roman" w:hAnsi="Times New Roman"/>
          <w:sz w:val="24"/>
          <w:szCs w:val="24"/>
        </w:rPr>
        <w:t>основи</w:t>
      </w:r>
      <w:r w:rsidR="00F87AEE" w:rsidRPr="00D54BAB">
        <w:rPr>
          <w:rFonts w:ascii="Times New Roman" w:hAnsi="Times New Roman"/>
          <w:sz w:val="24"/>
          <w:szCs w:val="24"/>
        </w:rPr>
        <w:t xml:space="preserve"> </w:t>
      </w:r>
      <w:r w:rsidR="0080098E" w:rsidRPr="00D54BAB">
        <w:rPr>
          <w:rFonts w:ascii="Times New Roman" w:hAnsi="Times New Roman"/>
          <w:sz w:val="24"/>
          <w:szCs w:val="24"/>
        </w:rPr>
        <w:t>сумње</w:t>
      </w:r>
      <w:r w:rsidR="00F87AEE" w:rsidRPr="00D54BAB">
        <w:rPr>
          <w:rFonts w:ascii="Times New Roman" w:hAnsi="Times New Roman"/>
          <w:sz w:val="24"/>
          <w:szCs w:val="24"/>
        </w:rPr>
        <w:t xml:space="preserve"> </w:t>
      </w:r>
      <w:r w:rsidR="0080098E" w:rsidRPr="00D54BAB">
        <w:rPr>
          <w:rFonts w:ascii="Times New Roman" w:hAnsi="Times New Roman"/>
          <w:sz w:val="24"/>
          <w:szCs w:val="24"/>
        </w:rPr>
        <w:t>да</w:t>
      </w:r>
      <w:r w:rsidR="00F87AEE" w:rsidRPr="00D54BAB">
        <w:rPr>
          <w:rFonts w:ascii="Times New Roman" w:hAnsi="Times New Roman"/>
          <w:sz w:val="24"/>
          <w:szCs w:val="24"/>
        </w:rPr>
        <w:t xml:space="preserve"> </w:t>
      </w:r>
      <w:r w:rsidR="0080098E" w:rsidRPr="00D54BAB">
        <w:rPr>
          <w:rFonts w:ascii="Times New Roman" w:hAnsi="Times New Roman"/>
          <w:sz w:val="24"/>
          <w:szCs w:val="24"/>
        </w:rPr>
        <w:t>се</w:t>
      </w:r>
      <w:r w:rsidR="00F87AEE" w:rsidRPr="00D54BAB">
        <w:rPr>
          <w:rFonts w:ascii="Times New Roman" w:hAnsi="Times New Roman"/>
          <w:sz w:val="24"/>
          <w:szCs w:val="24"/>
        </w:rPr>
        <w:t xml:space="preserve"> </w:t>
      </w:r>
      <w:r w:rsidR="0080098E" w:rsidRPr="00D54BAB">
        <w:rPr>
          <w:rFonts w:ascii="Times New Roman" w:hAnsi="Times New Roman"/>
          <w:sz w:val="24"/>
          <w:szCs w:val="24"/>
        </w:rPr>
        <w:t>ради</w:t>
      </w:r>
      <w:r w:rsidR="00F87AEE" w:rsidRPr="00D54BAB">
        <w:rPr>
          <w:rFonts w:ascii="Times New Roman" w:hAnsi="Times New Roman"/>
          <w:sz w:val="24"/>
          <w:szCs w:val="24"/>
        </w:rPr>
        <w:t xml:space="preserve"> </w:t>
      </w:r>
      <w:r w:rsidR="0080098E" w:rsidRPr="00D54BAB">
        <w:rPr>
          <w:rFonts w:ascii="Times New Roman" w:hAnsi="Times New Roman"/>
          <w:sz w:val="24"/>
          <w:szCs w:val="24"/>
        </w:rPr>
        <w:t>о</w:t>
      </w:r>
      <w:r w:rsidR="00F87AEE" w:rsidRPr="00D54BAB">
        <w:rPr>
          <w:rFonts w:ascii="Times New Roman" w:hAnsi="Times New Roman"/>
          <w:sz w:val="24"/>
          <w:szCs w:val="24"/>
        </w:rPr>
        <w:t xml:space="preserve"> </w:t>
      </w:r>
      <w:r w:rsidR="0080098E" w:rsidRPr="00D54BAB">
        <w:rPr>
          <w:rFonts w:ascii="Times New Roman" w:hAnsi="Times New Roman"/>
          <w:sz w:val="24"/>
          <w:szCs w:val="24"/>
        </w:rPr>
        <w:t>прању</w:t>
      </w:r>
      <w:r w:rsidR="00F87AEE" w:rsidRPr="00D54BAB">
        <w:rPr>
          <w:rFonts w:ascii="Times New Roman" w:hAnsi="Times New Roman"/>
          <w:sz w:val="24"/>
          <w:szCs w:val="24"/>
        </w:rPr>
        <w:t xml:space="preserve"> </w:t>
      </w:r>
      <w:r w:rsidR="0080098E" w:rsidRPr="00D54BAB">
        <w:rPr>
          <w:rFonts w:ascii="Times New Roman" w:hAnsi="Times New Roman"/>
          <w:sz w:val="24"/>
          <w:szCs w:val="24"/>
        </w:rPr>
        <w:t>новца</w:t>
      </w:r>
      <w:r w:rsidR="00F87AEE" w:rsidRPr="00D54BAB">
        <w:rPr>
          <w:rFonts w:ascii="Times New Roman" w:hAnsi="Times New Roman"/>
          <w:sz w:val="24"/>
          <w:szCs w:val="24"/>
        </w:rPr>
        <w:t xml:space="preserve"> </w:t>
      </w:r>
      <w:r w:rsidR="0080098E" w:rsidRPr="00D54BAB">
        <w:rPr>
          <w:rFonts w:ascii="Times New Roman" w:hAnsi="Times New Roman"/>
          <w:sz w:val="24"/>
          <w:szCs w:val="24"/>
        </w:rPr>
        <w:t>или</w:t>
      </w:r>
      <w:r w:rsidR="00F87AEE" w:rsidRPr="00D54BAB">
        <w:rPr>
          <w:rFonts w:ascii="Times New Roman" w:hAnsi="Times New Roman"/>
          <w:sz w:val="24"/>
          <w:szCs w:val="24"/>
        </w:rPr>
        <w:t xml:space="preserve"> </w:t>
      </w:r>
      <w:r w:rsidR="0080098E" w:rsidRPr="00D54BAB">
        <w:rPr>
          <w:rFonts w:ascii="Times New Roman" w:hAnsi="Times New Roman"/>
          <w:sz w:val="24"/>
          <w:szCs w:val="24"/>
        </w:rPr>
        <w:t>финансирању</w:t>
      </w:r>
      <w:r w:rsidR="00F87AEE" w:rsidRPr="00D54BAB">
        <w:rPr>
          <w:rFonts w:ascii="Times New Roman" w:hAnsi="Times New Roman"/>
          <w:sz w:val="24"/>
          <w:szCs w:val="24"/>
        </w:rPr>
        <w:t xml:space="preserve"> </w:t>
      </w:r>
      <w:r w:rsidR="0080098E" w:rsidRPr="00D54BAB">
        <w:rPr>
          <w:rFonts w:ascii="Times New Roman" w:hAnsi="Times New Roman"/>
          <w:sz w:val="24"/>
          <w:szCs w:val="24"/>
        </w:rPr>
        <w:t>тероризма</w:t>
      </w:r>
      <w:r w:rsidR="00F87AEE" w:rsidRPr="00D54BAB">
        <w:rPr>
          <w:rFonts w:ascii="Times New Roman" w:hAnsi="Times New Roman"/>
          <w:sz w:val="24"/>
          <w:szCs w:val="24"/>
        </w:rPr>
        <w:t xml:space="preserve"> </w:t>
      </w:r>
      <w:r w:rsidR="0080098E" w:rsidRPr="00D54BAB">
        <w:rPr>
          <w:rFonts w:ascii="Times New Roman" w:hAnsi="Times New Roman"/>
          <w:sz w:val="24"/>
          <w:szCs w:val="24"/>
        </w:rPr>
        <w:t>Управа</w:t>
      </w:r>
      <w:r w:rsidR="00F87AEE" w:rsidRPr="00D54BAB">
        <w:rPr>
          <w:rFonts w:ascii="Times New Roman" w:hAnsi="Times New Roman"/>
          <w:sz w:val="24"/>
          <w:szCs w:val="24"/>
        </w:rPr>
        <w:t xml:space="preserve"> </w:t>
      </w:r>
      <w:r w:rsidR="0080098E" w:rsidRPr="00D54BAB">
        <w:rPr>
          <w:rFonts w:ascii="Times New Roman" w:hAnsi="Times New Roman"/>
          <w:sz w:val="24"/>
          <w:szCs w:val="24"/>
        </w:rPr>
        <w:t>може</w:t>
      </w:r>
      <w:r w:rsidR="00F87AEE" w:rsidRPr="00D54BAB">
        <w:rPr>
          <w:rFonts w:ascii="Times New Roman" w:hAnsi="Times New Roman"/>
          <w:sz w:val="24"/>
          <w:szCs w:val="24"/>
        </w:rPr>
        <w:t xml:space="preserve"> </w:t>
      </w:r>
      <w:r w:rsidR="0080098E" w:rsidRPr="00D54BAB">
        <w:rPr>
          <w:rFonts w:ascii="Times New Roman" w:hAnsi="Times New Roman"/>
          <w:sz w:val="24"/>
          <w:szCs w:val="24"/>
        </w:rPr>
        <w:t>да</w:t>
      </w:r>
      <w:r w:rsidR="00F87AEE" w:rsidRPr="00D54BAB">
        <w:rPr>
          <w:rFonts w:ascii="Times New Roman" w:hAnsi="Times New Roman"/>
          <w:sz w:val="24"/>
          <w:szCs w:val="24"/>
        </w:rPr>
        <w:t xml:space="preserve"> </w:t>
      </w:r>
      <w:r w:rsidR="0080098E" w:rsidRPr="00D54BAB">
        <w:rPr>
          <w:rFonts w:ascii="Times New Roman" w:hAnsi="Times New Roman"/>
          <w:sz w:val="24"/>
          <w:szCs w:val="24"/>
        </w:rPr>
        <w:t>достави</w:t>
      </w:r>
      <w:r w:rsidR="00F87AEE" w:rsidRPr="00D54BAB">
        <w:rPr>
          <w:rFonts w:ascii="Times New Roman" w:hAnsi="Times New Roman"/>
          <w:sz w:val="24"/>
          <w:szCs w:val="24"/>
        </w:rPr>
        <w:t xml:space="preserve"> </w:t>
      </w:r>
      <w:r w:rsidR="0080098E" w:rsidRPr="00D54BAB">
        <w:rPr>
          <w:rFonts w:ascii="Times New Roman" w:hAnsi="Times New Roman"/>
          <w:sz w:val="24"/>
          <w:szCs w:val="24"/>
        </w:rPr>
        <w:t>органима</w:t>
      </w:r>
      <w:r w:rsidR="00F87AEE" w:rsidRPr="00D54BAB">
        <w:rPr>
          <w:rFonts w:ascii="Times New Roman" w:hAnsi="Times New Roman"/>
          <w:sz w:val="24"/>
          <w:szCs w:val="24"/>
        </w:rPr>
        <w:t xml:space="preserve"> </w:t>
      </w:r>
      <w:r w:rsidR="0080098E" w:rsidRPr="00D54BAB">
        <w:rPr>
          <w:rFonts w:ascii="Times New Roman" w:hAnsi="Times New Roman"/>
          <w:sz w:val="24"/>
          <w:szCs w:val="24"/>
        </w:rPr>
        <w:t>страних</w:t>
      </w:r>
      <w:r w:rsidR="00F87AEE" w:rsidRPr="00D54BAB">
        <w:rPr>
          <w:rFonts w:ascii="Times New Roman" w:hAnsi="Times New Roman"/>
          <w:sz w:val="24"/>
          <w:szCs w:val="24"/>
        </w:rPr>
        <w:t xml:space="preserve"> </w:t>
      </w:r>
      <w:r w:rsidR="0080098E" w:rsidRPr="00D54BAB">
        <w:rPr>
          <w:rFonts w:ascii="Times New Roman" w:hAnsi="Times New Roman"/>
          <w:sz w:val="24"/>
          <w:szCs w:val="24"/>
        </w:rPr>
        <w:t>држава</w:t>
      </w:r>
      <w:r w:rsidR="00F87AEE" w:rsidRPr="00D54BAB">
        <w:rPr>
          <w:rFonts w:ascii="Times New Roman" w:hAnsi="Times New Roman"/>
          <w:sz w:val="24"/>
          <w:szCs w:val="24"/>
        </w:rPr>
        <w:t xml:space="preserve"> </w:t>
      </w:r>
      <w:r w:rsidR="0080098E" w:rsidRPr="00D54BAB">
        <w:rPr>
          <w:rFonts w:ascii="Times New Roman" w:hAnsi="Times New Roman"/>
          <w:sz w:val="24"/>
          <w:szCs w:val="24"/>
        </w:rPr>
        <w:t>надлежним</w:t>
      </w:r>
      <w:r w:rsidR="00F87AEE" w:rsidRPr="00D54BAB">
        <w:rPr>
          <w:rFonts w:ascii="Times New Roman" w:hAnsi="Times New Roman"/>
          <w:sz w:val="24"/>
          <w:szCs w:val="24"/>
        </w:rPr>
        <w:t xml:space="preserve"> </w:t>
      </w:r>
      <w:r w:rsidR="0080098E" w:rsidRPr="00D54BAB">
        <w:rPr>
          <w:rFonts w:ascii="Times New Roman" w:hAnsi="Times New Roman"/>
          <w:sz w:val="24"/>
          <w:szCs w:val="24"/>
        </w:rPr>
        <w:t>за</w:t>
      </w:r>
      <w:r w:rsidR="00F87AEE" w:rsidRPr="00D54BAB">
        <w:rPr>
          <w:rFonts w:ascii="Times New Roman" w:hAnsi="Times New Roman"/>
          <w:sz w:val="24"/>
          <w:szCs w:val="24"/>
        </w:rPr>
        <w:t xml:space="preserve"> </w:t>
      </w:r>
      <w:r w:rsidR="0080098E" w:rsidRPr="00D54BAB">
        <w:rPr>
          <w:rFonts w:ascii="Times New Roman" w:hAnsi="Times New Roman"/>
          <w:sz w:val="24"/>
          <w:szCs w:val="24"/>
        </w:rPr>
        <w:t>спречавање</w:t>
      </w:r>
      <w:r w:rsidR="00F87AEE" w:rsidRPr="00D54BAB">
        <w:rPr>
          <w:rFonts w:ascii="Times New Roman" w:hAnsi="Times New Roman"/>
          <w:sz w:val="24"/>
          <w:szCs w:val="24"/>
        </w:rPr>
        <w:t xml:space="preserve"> </w:t>
      </w:r>
      <w:r w:rsidR="0080098E" w:rsidRPr="00D54BAB">
        <w:rPr>
          <w:rFonts w:ascii="Times New Roman" w:hAnsi="Times New Roman"/>
          <w:sz w:val="24"/>
          <w:szCs w:val="24"/>
        </w:rPr>
        <w:t>и</w:t>
      </w:r>
      <w:r w:rsidR="00F87AEE" w:rsidRPr="00D54BAB">
        <w:rPr>
          <w:rFonts w:ascii="Times New Roman" w:hAnsi="Times New Roman"/>
          <w:sz w:val="24"/>
          <w:szCs w:val="24"/>
        </w:rPr>
        <w:t xml:space="preserve"> </w:t>
      </w:r>
      <w:r w:rsidR="0080098E" w:rsidRPr="00D54BAB">
        <w:rPr>
          <w:rFonts w:ascii="Times New Roman" w:hAnsi="Times New Roman"/>
          <w:sz w:val="24"/>
          <w:szCs w:val="24"/>
        </w:rPr>
        <w:t>откривање</w:t>
      </w:r>
      <w:r w:rsidR="00F87AEE" w:rsidRPr="00D54BAB">
        <w:rPr>
          <w:rFonts w:ascii="Times New Roman" w:hAnsi="Times New Roman"/>
          <w:sz w:val="24"/>
          <w:szCs w:val="24"/>
        </w:rPr>
        <w:t xml:space="preserve"> </w:t>
      </w:r>
      <w:r w:rsidR="0080098E" w:rsidRPr="00D54BAB">
        <w:rPr>
          <w:rFonts w:ascii="Times New Roman" w:hAnsi="Times New Roman"/>
          <w:sz w:val="24"/>
          <w:szCs w:val="24"/>
        </w:rPr>
        <w:t>прања</w:t>
      </w:r>
      <w:r w:rsidR="00F87AEE" w:rsidRPr="00D54BAB">
        <w:rPr>
          <w:rFonts w:ascii="Times New Roman" w:hAnsi="Times New Roman"/>
          <w:sz w:val="24"/>
          <w:szCs w:val="24"/>
        </w:rPr>
        <w:t xml:space="preserve"> </w:t>
      </w:r>
      <w:r w:rsidR="0080098E" w:rsidRPr="00D54BAB">
        <w:rPr>
          <w:rFonts w:ascii="Times New Roman" w:hAnsi="Times New Roman"/>
          <w:sz w:val="24"/>
          <w:szCs w:val="24"/>
        </w:rPr>
        <w:t>новца</w:t>
      </w:r>
      <w:r w:rsidR="00F87AEE" w:rsidRPr="00D54BAB">
        <w:rPr>
          <w:rFonts w:ascii="Times New Roman" w:hAnsi="Times New Roman"/>
          <w:sz w:val="24"/>
          <w:szCs w:val="24"/>
        </w:rPr>
        <w:t xml:space="preserve"> </w:t>
      </w:r>
      <w:r w:rsidR="0080098E" w:rsidRPr="00D54BAB">
        <w:rPr>
          <w:rFonts w:ascii="Times New Roman" w:hAnsi="Times New Roman"/>
          <w:sz w:val="24"/>
          <w:szCs w:val="24"/>
        </w:rPr>
        <w:t>и</w:t>
      </w:r>
      <w:r w:rsidR="00F87AEE" w:rsidRPr="00D54BAB">
        <w:rPr>
          <w:rFonts w:ascii="Times New Roman" w:hAnsi="Times New Roman"/>
          <w:sz w:val="24"/>
          <w:szCs w:val="24"/>
        </w:rPr>
        <w:t xml:space="preserve"> </w:t>
      </w:r>
      <w:r w:rsidR="0080098E" w:rsidRPr="00D54BAB">
        <w:rPr>
          <w:rFonts w:ascii="Times New Roman" w:hAnsi="Times New Roman"/>
          <w:sz w:val="24"/>
          <w:szCs w:val="24"/>
        </w:rPr>
        <w:t>финансирања</w:t>
      </w:r>
      <w:r w:rsidR="00F87AEE" w:rsidRPr="00D54BAB">
        <w:rPr>
          <w:rFonts w:ascii="Times New Roman" w:hAnsi="Times New Roman"/>
          <w:sz w:val="24"/>
          <w:szCs w:val="24"/>
        </w:rPr>
        <w:t xml:space="preserve"> </w:t>
      </w:r>
      <w:r w:rsidR="0080098E" w:rsidRPr="00D54BAB">
        <w:rPr>
          <w:rFonts w:ascii="Times New Roman" w:hAnsi="Times New Roman"/>
          <w:sz w:val="24"/>
          <w:szCs w:val="24"/>
        </w:rPr>
        <w:t>тероризма</w:t>
      </w:r>
      <w:r w:rsidR="00F87AEE" w:rsidRPr="00D54BAB">
        <w:rPr>
          <w:rFonts w:ascii="Times New Roman" w:hAnsi="Times New Roman"/>
          <w:sz w:val="24"/>
          <w:szCs w:val="24"/>
        </w:rPr>
        <w:t xml:space="preserve"> </w:t>
      </w:r>
      <w:r w:rsidR="0080098E" w:rsidRPr="00D54BAB">
        <w:rPr>
          <w:rFonts w:ascii="Times New Roman" w:hAnsi="Times New Roman"/>
          <w:sz w:val="24"/>
          <w:szCs w:val="24"/>
        </w:rPr>
        <w:t>на</w:t>
      </w:r>
      <w:r w:rsidR="00F87AEE" w:rsidRPr="00D54BAB">
        <w:rPr>
          <w:rFonts w:ascii="Times New Roman" w:hAnsi="Times New Roman"/>
          <w:sz w:val="24"/>
          <w:szCs w:val="24"/>
        </w:rPr>
        <w:t xml:space="preserve"> </w:t>
      </w:r>
      <w:r w:rsidR="0080098E" w:rsidRPr="00D54BAB">
        <w:rPr>
          <w:rFonts w:ascii="Times New Roman" w:hAnsi="Times New Roman"/>
          <w:sz w:val="24"/>
          <w:szCs w:val="24"/>
        </w:rPr>
        <w:t>њихов</w:t>
      </w:r>
      <w:r w:rsidR="00F87AEE" w:rsidRPr="00D54BAB">
        <w:rPr>
          <w:rFonts w:ascii="Times New Roman" w:hAnsi="Times New Roman"/>
          <w:sz w:val="24"/>
          <w:szCs w:val="24"/>
        </w:rPr>
        <w:t xml:space="preserve"> </w:t>
      </w:r>
      <w:r w:rsidR="0080098E" w:rsidRPr="00D54BAB">
        <w:rPr>
          <w:rFonts w:ascii="Times New Roman" w:hAnsi="Times New Roman"/>
          <w:sz w:val="24"/>
          <w:szCs w:val="24"/>
        </w:rPr>
        <w:t>писмени</w:t>
      </w:r>
      <w:r w:rsidR="00F87AEE" w:rsidRPr="00D54BAB">
        <w:rPr>
          <w:rFonts w:ascii="Times New Roman" w:hAnsi="Times New Roman"/>
          <w:sz w:val="24"/>
          <w:szCs w:val="24"/>
        </w:rPr>
        <w:t xml:space="preserve"> </w:t>
      </w:r>
      <w:r w:rsidR="0080098E" w:rsidRPr="00D54BAB">
        <w:rPr>
          <w:rFonts w:ascii="Times New Roman" w:hAnsi="Times New Roman"/>
          <w:sz w:val="24"/>
          <w:szCs w:val="24"/>
        </w:rPr>
        <w:t>и</w:t>
      </w:r>
      <w:r w:rsidR="00F87AEE" w:rsidRPr="00D54BAB">
        <w:rPr>
          <w:rFonts w:ascii="Times New Roman" w:hAnsi="Times New Roman"/>
          <w:sz w:val="24"/>
          <w:szCs w:val="24"/>
        </w:rPr>
        <w:t xml:space="preserve"> </w:t>
      </w:r>
      <w:r w:rsidR="0080098E" w:rsidRPr="00D54BAB">
        <w:rPr>
          <w:rFonts w:ascii="Times New Roman" w:hAnsi="Times New Roman"/>
          <w:sz w:val="24"/>
          <w:szCs w:val="24"/>
        </w:rPr>
        <w:t>образложени</w:t>
      </w:r>
      <w:r w:rsidR="00F87AEE" w:rsidRPr="00D54BAB">
        <w:rPr>
          <w:rFonts w:ascii="Times New Roman" w:hAnsi="Times New Roman"/>
          <w:sz w:val="24"/>
          <w:szCs w:val="24"/>
        </w:rPr>
        <w:t xml:space="preserve"> </w:t>
      </w:r>
      <w:r w:rsidR="0080098E" w:rsidRPr="00D54BAB">
        <w:rPr>
          <w:rFonts w:ascii="Times New Roman" w:hAnsi="Times New Roman"/>
          <w:sz w:val="24"/>
          <w:szCs w:val="24"/>
        </w:rPr>
        <w:t>захтев</w:t>
      </w:r>
      <w:r w:rsidR="00F87AEE" w:rsidRPr="00D54BAB">
        <w:rPr>
          <w:rFonts w:ascii="Times New Roman" w:hAnsi="Times New Roman"/>
          <w:sz w:val="24"/>
          <w:szCs w:val="24"/>
        </w:rPr>
        <w:t xml:space="preserve"> </w:t>
      </w:r>
      <w:r w:rsidR="0080098E" w:rsidRPr="00D54BAB">
        <w:rPr>
          <w:rFonts w:ascii="Times New Roman" w:hAnsi="Times New Roman"/>
          <w:sz w:val="24"/>
          <w:szCs w:val="24"/>
        </w:rPr>
        <w:t>или</w:t>
      </w:r>
      <w:r w:rsidR="00F87AEE" w:rsidRPr="00D54BAB">
        <w:rPr>
          <w:rFonts w:ascii="Times New Roman" w:hAnsi="Times New Roman"/>
          <w:sz w:val="24"/>
          <w:szCs w:val="24"/>
        </w:rPr>
        <w:t xml:space="preserve"> </w:t>
      </w:r>
      <w:r w:rsidR="0080098E" w:rsidRPr="00D54BAB">
        <w:rPr>
          <w:rFonts w:ascii="Times New Roman" w:hAnsi="Times New Roman"/>
          <w:sz w:val="24"/>
          <w:szCs w:val="24"/>
        </w:rPr>
        <w:t>на</w:t>
      </w:r>
      <w:r w:rsidR="00F87AEE" w:rsidRPr="00D54BAB">
        <w:rPr>
          <w:rFonts w:ascii="Times New Roman" w:hAnsi="Times New Roman"/>
          <w:sz w:val="24"/>
          <w:szCs w:val="24"/>
        </w:rPr>
        <w:t xml:space="preserve"> </w:t>
      </w:r>
      <w:r w:rsidR="0080098E" w:rsidRPr="00D54BAB">
        <w:rPr>
          <w:rFonts w:ascii="Times New Roman" w:hAnsi="Times New Roman"/>
          <w:sz w:val="24"/>
          <w:szCs w:val="24"/>
        </w:rPr>
        <w:t>своју</w:t>
      </w:r>
      <w:r w:rsidR="00F87AEE" w:rsidRPr="00D54BAB">
        <w:rPr>
          <w:rFonts w:ascii="Times New Roman" w:hAnsi="Times New Roman"/>
          <w:sz w:val="24"/>
          <w:szCs w:val="24"/>
        </w:rPr>
        <w:t xml:space="preserve"> </w:t>
      </w:r>
      <w:r w:rsidR="0080098E" w:rsidRPr="00D54BAB">
        <w:rPr>
          <w:rFonts w:ascii="Times New Roman" w:hAnsi="Times New Roman"/>
          <w:sz w:val="24"/>
          <w:szCs w:val="24"/>
        </w:rPr>
        <w:t>иницијативу</w:t>
      </w:r>
      <w:r w:rsidR="00F87AEE" w:rsidRPr="00D54BAB">
        <w:rPr>
          <w:rFonts w:ascii="Times New Roman" w:hAnsi="Times New Roman"/>
          <w:sz w:val="24"/>
          <w:szCs w:val="24"/>
        </w:rPr>
        <w:t xml:space="preserve">, </w:t>
      </w:r>
      <w:r w:rsidR="0080098E" w:rsidRPr="00D54BAB">
        <w:rPr>
          <w:rFonts w:ascii="Times New Roman" w:hAnsi="Times New Roman"/>
          <w:sz w:val="24"/>
          <w:szCs w:val="24"/>
        </w:rPr>
        <w:t>под</w:t>
      </w:r>
      <w:r w:rsidR="00F87AEE" w:rsidRPr="00D54BAB">
        <w:rPr>
          <w:rFonts w:ascii="Times New Roman" w:hAnsi="Times New Roman"/>
          <w:sz w:val="24"/>
          <w:szCs w:val="24"/>
        </w:rPr>
        <w:t xml:space="preserve"> </w:t>
      </w:r>
      <w:r w:rsidR="0080098E" w:rsidRPr="00D54BAB">
        <w:rPr>
          <w:rFonts w:ascii="Times New Roman" w:hAnsi="Times New Roman"/>
          <w:sz w:val="24"/>
          <w:szCs w:val="24"/>
        </w:rPr>
        <w:t>условом</w:t>
      </w:r>
      <w:r w:rsidR="00F87AEE" w:rsidRPr="00D54BAB">
        <w:rPr>
          <w:rFonts w:ascii="Times New Roman" w:hAnsi="Times New Roman"/>
          <w:sz w:val="24"/>
          <w:szCs w:val="24"/>
        </w:rPr>
        <w:t xml:space="preserve"> </w:t>
      </w:r>
      <w:r w:rsidR="0080098E" w:rsidRPr="00D54BAB">
        <w:rPr>
          <w:rFonts w:ascii="Times New Roman" w:hAnsi="Times New Roman"/>
          <w:sz w:val="24"/>
          <w:szCs w:val="24"/>
        </w:rPr>
        <w:t>узајамности</w:t>
      </w:r>
      <w:r w:rsidR="00F87AEE" w:rsidRPr="00D54BAB">
        <w:rPr>
          <w:rFonts w:ascii="Times New Roman" w:hAnsi="Times New Roman"/>
          <w:sz w:val="24"/>
          <w:szCs w:val="24"/>
        </w:rPr>
        <w:t>.</w:t>
      </w:r>
      <w:r w:rsidRPr="00D54BAB">
        <w:rPr>
          <w:rFonts w:ascii="Times New Roman" w:hAnsi="Times New Roman"/>
          <w:sz w:val="24"/>
          <w:szCs w:val="24"/>
          <w:lang w:val="sr-Cyrl-CS"/>
        </w:rPr>
        <w:t xml:space="preserve"> </w:t>
      </w:r>
    </w:p>
    <w:p w:rsidR="00761E5B" w:rsidRPr="00D54BAB" w:rsidRDefault="0080098E" w:rsidP="00D54BAB">
      <w:pPr>
        <w:ind w:firstLine="708"/>
        <w:jc w:val="both"/>
        <w:rPr>
          <w:rFonts w:ascii="Times New Roman" w:eastAsia="PalatinoLinotype" w:hAnsi="Times New Roman"/>
          <w:sz w:val="24"/>
          <w:szCs w:val="24"/>
          <w:lang w:val="sr-Cyrl-CS"/>
        </w:rPr>
      </w:pPr>
      <w:r w:rsidRPr="00D54BAB">
        <w:rPr>
          <w:rFonts w:ascii="Times New Roman" w:eastAsia="PalatinoLinotype" w:hAnsi="Times New Roman"/>
          <w:sz w:val="24"/>
          <w:szCs w:val="24"/>
        </w:rPr>
        <w:t>Према</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недавном</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извештају</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Манивала</w:t>
      </w:r>
      <w:r w:rsidR="00761E5B" w:rsidRPr="00D54BAB">
        <w:rPr>
          <w:rStyle w:val="FootnoteReference"/>
          <w:rFonts w:ascii="Times New Roman" w:eastAsia="PalatinoLinotype" w:hAnsi="Times New Roman"/>
          <w:sz w:val="24"/>
          <w:szCs w:val="24"/>
        </w:rPr>
        <w:footnoteReference w:id="893"/>
      </w:r>
      <w:r w:rsidR="00364CA3" w:rsidRPr="00D54BAB">
        <w:rPr>
          <w:rFonts w:ascii="Times New Roman" w:eastAsia="PalatinoLinotype" w:hAnsi="Times New Roman"/>
          <w:sz w:val="24"/>
          <w:szCs w:val="24"/>
          <w:lang w:val="sr-Cyrl-CS"/>
        </w:rPr>
        <w:t xml:space="preserve"> п</w:t>
      </w:r>
      <w:r w:rsidRPr="00D54BAB">
        <w:rPr>
          <w:rFonts w:ascii="Times New Roman" w:eastAsia="PalatinoLinotype" w:hAnsi="Times New Roman"/>
          <w:sz w:val="24"/>
          <w:szCs w:val="24"/>
        </w:rPr>
        <w:t>ривредни</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криминал</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карактеришу</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тешка</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и</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сложена</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кривична</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дела</w:t>
      </w:r>
      <w:r w:rsidR="00761E5B" w:rsidRPr="00D54BAB">
        <w:rPr>
          <w:rFonts w:ascii="Times New Roman" w:eastAsia="PalatinoLinotype" w:hAnsi="Times New Roman"/>
          <w:sz w:val="24"/>
          <w:szCs w:val="24"/>
        </w:rPr>
        <w:t>,</w:t>
      </w:r>
      <w:r w:rsidR="00364CA3" w:rsidRPr="00D54BAB">
        <w:rPr>
          <w:rFonts w:ascii="Times New Roman" w:eastAsia="PalatinoLinotype" w:hAnsi="Times New Roman"/>
          <w:sz w:val="24"/>
          <w:szCs w:val="24"/>
          <w:lang w:val="sr-Cyrl-CS"/>
        </w:rPr>
        <w:t xml:space="preserve"> </w:t>
      </w:r>
      <w:r w:rsidRPr="00D54BAB">
        <w:rPr>
          <w:rFonts w:ascii="Times New Roman" w:eastAsia="PalatinoLinotype" w:hAnsi="Times New Roman"/>
          <w:sz w:val="24"/>
          <w:szCs w:val="24"/>
        </w:rPr>
        <w:t>посебно</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у</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областима</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банкарског</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пословања</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спољне</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трговине</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као</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и</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у</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процесу</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приватизације</w:t>
      </w:r>
      <w:r w:rsidR="00761E5B" w:rsidRPr="00D54BAB">
        <w:rPr>
          <w:rFonts w:ascii="Times New Roman" w:eastAsia="PalatinoLinotype" w:hAnsi="Times New Roman"/>
          <w:sz w:val="24"/>
          <w:szCs w:val="24"/>
        </w:rPr>
        <w:t>.</w:t>
      </w:r>
      <w:r w:rsidR="00364CA3" w:rsidRPr="00D54BAB">
        <w:rPr>
          <w:rFonts w:ascii="Times New Roman" w:eastAsia="PalatinoLinotype" w:hAnsi="Times New Roman"/>
          <w:sz w:val="24"/>
          <w:szCs w:val="24"/>
          <w:lang w:val="sr-Cyrl-CS"/>
        </w:rPr>
        <w:t xml:space="preserve"> </w:t>
      </w:r>
      <w:r w:rsidRPr="00D54BAB">
        <w:rPr>
          <w:rFonts w:ascii="Times New Roman" w:eastAsia="PalatinoLinotype" w:hAnsi="Times New Roman"/>
          <w:sz w:val="24"/>
          <w:szCs w:val="24"/>
        </w:rPr>
        <w:t>Најраспрострањенији</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облици</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привредног</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криминала</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јесу</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разни</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облици</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злоупотребе</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службеног</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положаја</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у</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свим</w:t>
      </w:r>
      <w:r w:rsidR="00364CA3" w:rsidRPr="00D54BAB">
        <w:rPr>
          <w:rFonts w:ascii="Times New Roman" w:eastAsia="PalatinoLinotype" w:hAnsi="Times New Roman"/>
          <w:sz w:val="24"/>
          <w:szCs w:val="24"/>
          <w:lang w:val="sr-Cyrl-CS"/>
        </w:rPr>
        <w:t xml:space="preserve"> </w:t>
      </w:r>
      <w:r w:rsidRPr="00D54BAB">
        <w:rPr>
          <w:rFonts w:ascii="Times New Roman" w:eastAsia="PalatinoLinotype" w:hAnsi="Times New Roman"/>
          <w:sz w:val="24"/>
          <w:szCs w:val="24"/>
        </w:rPr>
        <w:t>областима</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привредних</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активности</w:t>
      </w:r>
      <w:r w:rsidR="00761E5B" w:rsidRPr="00D54BAB">
        <w:rPr>
          <w:rFonts w:ascii="Times New Roman" w:eastAsia="PalatinoLinotype" w:hAnsi="Times New Roman"/>
          <w:sz w:val="24"/>
          <w:szCs w:val="24"/>
        </w:rPr>
        <w:t>.</w:t>
      </w:r>
      <w:r w:rsidR="00364CA3" w:rsidRPr="00D54BAB">
        <w:rPr>
          <w:rFonts w:ascii="Times New Roman" w:eastAsia="PalatinoLinotype" w:hAnsi="Times New Roman"/>
          <w:sz w:val="24"/>
          <w:szCs w:val="24"/>
          <w:lang w:val="sr-Cyrl-CS"/>
        </w:rPr>
        <w:t xml:space="preserve"> </w:t>
      </w:r>
      <w:r w:rsidRPr="00D54BAB">
        <w:rPr>
          <w:rFonts w:ascii="Times New Roman" w:eastAsia="PalatinoLinotype" w:hAnsi="Times New Roman"/>
          <w:sz w:val="24"/>
          <w:szCs w:val="24"/>
        </w:rPr>
        <w:t>Профит</w:t>
      </w:r>
      <w:r w:rsidR="00FE25A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који</w:t>
      </w:r>
      <w:r w:rsidR="00FE25A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проистиче</w:t>
      </w:r>
      <w:r w:rsidR="00FE25A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из</w:t>
      </w:r>
      <w:r w:rsidR="00FE25A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пословних</w:t>
      </w:r>
      <w:r w:rsidR="00FE25A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активности</w:t>
      </w:r>
      <w:r w:rsidR="00FE25A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обично</w:t>
      </w:r>
      <w:r w:rsidR="00FE25A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се</w:t>
      </w:r>
      <w:r w:rsidR="00FE25A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преноси</w:t>
      </w:r>
      <w:r w:rsidR="00FE25A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из</w:t>
      </w:r>
      <w:r w:rsidR="00FE25A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предузећа</w:t>
      </w:r>
      <w:r w:rsidR="00FE25A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преко</w:t>
      </w:r>
      <w:r w:rsidR="00FE25A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фиктивних</w:t>
      </w:r>
      <w:r w:rsidR="00FE25A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домаћих</w:t>
      </w:r>
      <w:r w:rsidR="00FE25A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страних</w:t>
      </w:r>
      <w:r w:rsidR="00364CA3" w:rsidRPr="00D54BAB">
        <w:rPr>
          <w:rFonts w:ascii="Times New Roman" w:eastAsia="PalatinoLinotype" w:hAnsi="Times New Roman"/>
          <w:sz w:val="24"/>
          <w:szCs w:val="24"/>
          <w:lang w:val="sr-Cyrl-CS"/>
        </w:rPr>
        <w:t xml:space="preserve"> </w:t>
      </w:r>
      <w:r w:rsidRPr="00D54BAB">
        <w:rPr>
          <w:rFonts w:ascii="Times New Roman" w:eastAsia="PalatinoLinotype" w:hAnsi="Times New Roman"/>
          <w:sz w:val="24"/>
          <w:szCs w:val="24"/>
        </w:rPr>
        <w:t>или</w:t>
      </w:r>
      <w:r w:rsidR="00FE25A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оф</w:t>
      </w:r>
      <w:r w:rsidR="00FE25AB" w:rsidRPr="00D54BAB">
        <w:rPr>
          <w:rFonts w:ascii="Times New Roman" w:eastAsia="PalatinoLinotype" w:hAnsi="Times New Roman"/>
          <w:sz w:val="24"/>
          <w:szCs w:val="24"/>
        </w:rPr>
        <w:t>-</w:t>
      </w:r>
      <w:r w:rsidRPr="00D54BAB">
        <w:rPr>
          <w:rFonts w:ascii="Times New Roman" w:eastAsia="PalatinoLinotype" w:hAnsi="Times New Roman"/>
          <w:sz w:val="24"/>
          <w:szCs w:val="24"/>
        </w:rPr>
        <w:t>шор</w:t>
      </w:r>
      <w:r w:rsidR="00FE25A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компанија</w:t>
      </w:r>
      <w:r w:rsidR="00FE25A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помоћу</w:t>
      </w:r>
      <w:r w:rsidR="00FE25A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фиктивних</w:t>
      </w:r>
      <w:r w:rsidR="00FE25A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фактура</w:t>
      </w:r>
      <w:r w:rsidR="00FE25A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при</w:t>
      </w:r>
      <w:r w:rsidR="00FE25A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чему</w:t>
      </w:r>
      <w:r w:rsidR="00FE25A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до</w:t>
      </w:r>
      <w:r w:rsidR="00FE25A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извршавања</w:t>
      </w:r>
      <w:r w:rsidR="00FE25A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услуга</w:t>
      </w:r>
      <w:r w:rsidR="00FE25A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или</w:t>
      </w:r>
      <w:r w:rsidR="00FE25A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преноса</w:t>
      </w:r>
      <w:r w:rsidR="00FE25A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роба</w:t>
      </w:r>
      <w:r w:rsidR="00FE25A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никада</w:t>
      </w:r>
      <w:r w:rsidR="00FE25A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није</w:t>
      </w:r>
      <w:r w:rsidR="00364CA3" w:rsidRPr="00D54BAB">
        <w:rPr>
          <w:rFonts w:ascii="Times New Roman" w:eastAsia="PalatinoLinotype" w:hAnsi="Times New Roman"/>
          <w:sz w:val="24"/>
          <w:szCs w:val="24"/>
          <w:lang w:val="sr-Cyrl-CS"/>
        </w:rPr>
        <w:t xml:space="preserve"> </w:t>
      </w:r>
      <w:r w:rsidRPr="00D54BAB">
        <w:rPr>
          <w:rFonts w:ascii="Times New Roman" w:eastAsia="PalatinoLinotype" w:hAnsi="Times New Roman"/>
          <w:sz w:val="24"/>
          <w:szCs w:val="24"/>
        </w:rPr>
        <w:t>дошло</w:t>
      </w:r>
      <w:r w:rsidR="00FE25A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Затим</w:t>
      </w:r>
      <w:r w:rsidR="00FE25A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се</w:t>
      </w:r>
      <w:r w:rsidR="00FE25A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новац</w:t>
      </w:r>
      <w:r w:rsidR="00FE25A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враћа</w:t>
      </w:r>
      <w:r w:rsidR="00FE25A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у</w:t>
      </w:r>
      <w:r w:rsidR="00FE25A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Србију</w:t>
      </w:r>
      <w:r w:rsidR="00FE25A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у</w:t>
      </w:r>
      <w:r w:rsidR="00FE25A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готовини</w:t>
      </w:r>
      <w:r w:rsidR="00FE25A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где</w:t>
      </w:r>
      <w:r w:rsidR="00FE25A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се</w:t>
      </w:r>
      <w:r w:rsidR="00FE25A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врши</w:t>
      </w:r>
      <w:r w:rsidR="00FE25A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његова</w:t>
      </w:r>
      <w:r w:rsidR="00FE25A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легализација</w:t>
      </w:r>
      <w:r w:rsidR="00FE25A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Преварне</w:t>
      </w:r>
      <w:r w:rsidR="00FE25A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радње</w:t>
      </w:r>
      <w:r w:rsidR="00FE25A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незаконите</w:t>
      </w:r>
      <w:r w:rsidR="00364CA3" w:rsidRPr="00D54BAB">
        <w:rPr>
          <w:rFonts w:ascii="Times New Roman" w:eastAsia="PalatinoLinotype" w:hAnsi="Times New Roman"/>
          <w:sz w:val="24"/>
          <w:szCs w:val="24"/>
          <w:lang w:val="sr-Cyrl-CS"/>
        </w:rPr>
        <w:t xml:space="preserve"> </w:t>
      </w:r>
      <w:r w:rsidRPr="00D54BAB">
        <w:rPr>
          <w:rFonts w:ascii="Times New Roman" w:eastAsia="PalatinoLinotype" w:hAnsi="Times New Roman"/>
          <w:sz w:val="24"/>
          <w:szCs w:val="24"/>
        </w:rPr>
        <w:t>приватизације</w:t>
      </w:r>
      <w:r w:rsidR="00FE25A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и</w:t>
      </w:r>
      <w:r w:rsidR="00FE25A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разна</w:t>
      </w:r>
      <w:r w:rsidR="00FE25A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дела</w:t>
      </w:r>
      <w:r w:rsidR="00FE25A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корупције</w:t>
      </w:r>
      <w:r w:rsidR="00FE25A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такође</w:t>
      </w:r>
      <w:r w:rsidR="00FE25A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могу</w:t>
      </w:r>
      <w:r w:rsidR="00FE25A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бити</w:t>
      </w:r>
      <w:r w:rsidR="00FE25A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у</w:t>
      </w:r>
      <w:r w:rsidR="00FE25A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вези</w:t>
      </w:r>
      <w:r w:rsidR="00FE25A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са</w:t>
      </w:r>
      <w:r w:rsidR="00FE25A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случајевима</w:t>
      </w:r>
      <w:r w:rsidR="00FE25A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прања</w:t>
      </w:r>
      <w:r w:rsidR="00FE25A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новца</w:t>
      </w:r>
      <w:r w:rsidR="00FE25AB" w:rsidRPr="00D54BAB">
        <w:rPr>
          <w:rFonts w:ascii="Times New Roman" w:eastAsia="PalatinoLinotype" w:hAnsi="Times New Roman"/>
          <w:sz w:val="24"/>
          <w:szCs w:val="24"/>
        </w:rPr>
        <w:t>.</w:t>
      </w:r>
      <w:r w:rsidR="00364CA3" w:rsidRPr="00D54BAB">
        <w:rPr>
          <w:rFonts w:ascii="Times New Roman" w:eastAsia="PalatinoLinotype" w:hAnsi="Times New Roman"/>
          <w:sz w:val="24"/>
          <w:szCs w:val="24"/>
          <w:lang w:val="sr-Cyrl-CS"/>
        </w:rPr>
        <w:t xml:space="preserve"> </w:t>
      </w:r>
      <w:r w:rsidRPr="00D54BAB">
        <w:rPr>
          <w:rFonts w:ascii="Times New Roman" w:eastAsia="PalatinoLinotype" w:hAnsi="Times New Roman"/>
          <w:sz w:val="24"/>
          <w:szCs w:val="24"/>
        </w:rPr>
        <w:t>Према</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Управи</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за</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спречавање</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прања</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новца</w:t>
      </w:r>
      <w:r w:rsidR="009E2574">
        <w:rPr>
          <w:rFonts w:ascii="Times New Roman" w:eastAsia="PalatinoLinotype" w:hAnsi="Times New Roman"/>
          <w:sz w:val="24"/>
          <w:szCs w:val="24"/>
          <w:lang w:val="sr-Cyrl-CS"/>
        </w:rPr>
        <w:t xml:space="preserve">, </w:t>
      </w:r>
      <w:r w:rsidRPr="00D54BAB">
        <w:rPr>
          <w:rFonts w:ascii="Times New Roman" w:eastAsia="PalatinoLinotype" w:hAnsi="Times New Roman"/>
          <w:sz w:val="24"/>
          <w:szCs w:val="24"/>
        </w:rPr>
        <w:t>организоване</w:t>
      </w:r>
      <w:r w:rsidR="00364CA3" w:rsidRPr="00D54BAB">
        <w:rPr>
          <w:rFonts w:ascii="Times New Roman" w:eastAsia="PalatinoLinotype" w:hAnsi="Times New Roman"/>
          <w:sz w:val="24"/>
          <w:szCs w:val="24"/>
          <w:lang w:val="sr-Cyrl-CS"/>
        </w:rPr>
        <w:t xml:space="preserve"> </w:t>
      </w:r>
      <w:r w:rsidRPr="00D54BAB">
        <w:rPr>
          <w:rFonts w:ascii="Times New Roman" w:eastAsia="PalatinoLinotype" w:hAnsi="Times New Roman"/>
          <w:sz w:val="24"/>
          <w:szCs w:val="24"/>
        </w:rPr>
        <w:t>криминалне</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групе</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активне</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су</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код</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превара</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са</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хартијама</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од</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вредности</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лажног</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коришћења</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непостојећих</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фирми</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и</w:t>
      </w:r>
      <w:r w:rsidR="00D54BAB" w:rsidRPr="00D54BAB">
        <w:rPr>
          <w:rFonts w:ascii="Times New Roman" w:eastAsia="PalatinoLinotype" w:hAnsi="Times New Roman"/>
          <w:sz w:val="24"/>
          <w:szCs w:val="24"/>
          <w:lang w:val="sr-Cyrl-CS"/>
        </w:rPr>
        <w:t xml:space="preserve"> </w:t>
      </w:r>
      <w:r w:rsidRPr="00D54BAB">
        <w:rPr>
          <w:rFonts w:ascii="Times New Roman" w:eastAsia="PalatinoLinotype" w:hAnsi="Times New Roman"/>
          <w:sz w:val="24"/>
          <w:szCs w:val="24"/>
        </w:rPr>
        <w:t>код</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трансакција</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са</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оф</w:t>
      </w:r>
      <w:r w:rsidR="00761E5B" w:rsidRPr="00D54BAB">
        <w:rPr>
          <w:rFonts w:ascii="Times New Roman" w:eastAsia="PalatinoLinotype" w:hAnsi="Times New Roman"/>
          <w:sz w:val="24"/>
          <w:szCs w:val="24"/>
        </w:rPr>
        <w:t>-</w:t>
      </w:r>
      <w:r w:rsidRPr="00D54BAB">
        <w:rPr>
          <w:rFonts w:ascii="Times New Roman" w:eastAsia="PalatinoLinotype" w:hAnsi="Times New Roman"/>
          <w:sz w:val="24"/>
          <w:szCs w:val="24"/>
        </w:rPr>
        <w:t>шор</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компанијама</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Само</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прање</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новца</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кошта</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српску</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привреду</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између</w:t>
      </w:r>
      <w:r w:rsidR="00761E5B" w:rsidRPr="00D54BAB">
        <w:rPr>
          <w:rFonts w:ascii="Times New Roman" w:eastAsia="PalatinoLinotype" w:hAnsi="Times New Roman"/>
          <w:sz w:val="24"/>
          <w:szCs w:val="24"/>
        </w:rPr>
        <w:t xml:space="preserve"> 3 </w:t>
      </w:r>
      <w:r w:rsidRPr="00D54BAB">
        <w:rPr>
          <w:rFonts w:ascii="Times New Roman" w:eastAsia="PalatinoLinotype" w:hAnsi="Times New Roman"/>
          <w:sz w:val="24"/>
          <w:szCs w:val="24"/>
        </w:rPr>
        <w:t>и</w:t>
      </w:r>
      <w:r w:rsidR="00761E5B" w:rsidRPr="00D54BAB">
        <w:rPr>
          <w:rFonts w:ascii="Times New Roman" w:eastAsia="PalatinoLinotype" w:hAnsi="Times New Roman"/>
          <w:sz w:val="24"/>
          <w:szCs w:val="24"/>
        </w:rPr>
        <w:t xml:space="preserve"> 5% </w:t>
      </w:r>
      <w:r w:rsidRPr="00D54BAB">
        <w:rPr>
          <w:rFonts w:ascii="Times New Roman" w:eastAsia="PalatinoLinotype" w:hAnsi="Times New Roman"/>
          <w:sz w:val="24"/>
          <w:szCs w:val="24"/>
        </w:rPr>
        <w:t>БДП</w:t>
      </w:r>
      <w:r w:rsidR="00761E5B" w:rsidRPr="00D54BAB">
        <w:rPr>
          <w:rFonts w:ascii="Times New Roman" w:eastAsia="PalatinoLinotype" w:hAnsi="Times New Roman"/>
          <w:sz w:val="24"/>
          <w:szCs w:val="24"/>
        </w:rPr>
        <w:t>-</w:t>
      </w:r>
      <w:r w:rsidRPr="00D54BAB">
        <w:rPr>
          <w:rFonts w:ascii="Times New Roman" w:eastAsia="PalatinoLinotype" w:hAnsi="Times New Roman"/>
          <w:sz w:val="24"/>
          <w:szCs w:val="24"/>
        </w:rPr>
        <w:t>а</w:t>
      </w:r>
      <w:r w:rsidR="00761E5B" w:rsidRPr="00D54BAB">
        <w:rPr>
          <w:rFonts w:ascii="Times New Roman" w:eastAsia="PalatinoLinotype" w:hAnsi="Times New Roman"/>
          <w:sz w:val="24"/>
          <w:szCs w:val="24"/>
        </w:rPr>
        <w:t xml:space="preserve"> </w:t>
      </w:r>
      <w:r w:rsidRPr="00D54BAB">
        <w:rPr>
          <w:rFonts w:ascii="Times New Roman" w:eastAsia="PalatinoLinotype" w:hAnsi="Times New Roman"/>
          <w:sz w:val="24"/>
          <w:szCs w:val="24"/>
        </w:rPr>
        <w:t>сваке</w:t>
      </w:r>
      <w:r w:rsidR="00364CA3" w:rsidRPr="00D54BAB">
        <w:rPr>
          <w:rFonts w:ascii="Times New Roman" w:eastAsia="PalatinoLinotype" w:hAnsi="Times New Roman"/>
          <w:sz w:val="24"/>
          <w:szCs w:val="24"/>
          <w:lang w:val="sr-Cyrl-CS"/>
        </w:rPr>
        <w:t xml:space="preserve"> </w:t>
      </w:r>
      <w:r w:rsidRPr="00D54BAB">
        <w:rPr>
          <w:rFonts w:ascii="Times New Roman" w:eastAsia="PalatinoLinotype" w:hAnsi="Times New Roman"/>
          <w:sz w:val="24"/>
          <w:szCs w:val="24"/>
        </w:rPr>
        <w:t>године</w:t>
      </w:r>
      <w:r w:rsidR="00364CA3" w:rsidRPr="00D54BAB">
        <w:rPr>
          <w:rFonts w:ascii="Times New Roman" w:eastAsia="PalatinoLinotype" w:hAnsi="Times New Roman"/>
          <w:sz w:val="24"/>
          <w:szCs w:val="24"/>
          <w:lang w:val="sr-Cyrl-CS"/>
        </w:rPr>
        <w:t>.</w:t>
      </w:r>
      <w:r w:rsidR="00761E5B" w:rsidRPr="00D54BAB">
        <w:rPr>
          <w:rStyle w:val="FootnoteReference"/>
          <w:rFonts w:ascii="Times New Roman" w:eastAsia="PalatinoLinotype" w:hAnsi="Times New Roman"/>
          <w:sz w:val="24"/>
          <w:szCs w:val="24"/>
        </w:rPr>
        <w:footnoteReference w:id="894"/>
      </w:r>
      <w:r w:rsidR="00D54BAB">
        <w:rPr>
          <w:rFonts w:ascii="Times New Roman" w:eastAsia="PalatinoLinotype" w:hAnsi="Times New Roman"/>
          <w:sz w:val="24"/>
          <w:szCs w:val="24"/>
          <w:lang w:val="sr-Cyrl-CS"/>
        </w:rPr>
        <w:t xml:space="preserve"> </w:t>
      </w:r>
    </w:p>
    <w:p w:rsidR="00364CA3" w:rsidRPr="00D54BAB" w:rsidRDefault="00364CA3" w:rsidP="00364CA3">
      <w:pPr>
        <w:autoSpaceDE w:val="0"/>
        <w:autoSpaceDN w:val="0"/>
        <w:adjustRightInd w:val="0"/>
        <w:spacing w:after="0" w:line="240" w:lineRule="auto"/>
        <w:jc w:val="both"/>
        <w:rPr>
          <w:rFonts w:ascii="Times New Roman" w:eastAsia="PalatinoLinotype" w:hAnsi="Times New Roman"/>
          <w:sz w:val="24"/>
          <w:szCs w:val="24"/>
          <w:lang w:val="sr-Cyrl-CS"/>
        </w:rPr>
      </w:pPr>
    </w:p>
    <w:p w:rsidR="00364CA3" w:rsidRDefault="00364CA3" w:rsidP="00364CA3">
      <w:pPr>
        <w:autoSpaceDE w:val="0"/>
        <w:autoSpaceDN w:val="0"/>
        <w:adjustRightInd w:val="0"/>
        <w:spacing w:after="0" w:line="240" w:lineRule="auto"/>
        <w:jc w:val="both"/>
        <w:rPr>
          <w:rFonts w:ascii="Times New Roman" w:eastAsia="PalatinoLinotype" w:hAnsi="Times New Roman"/>
          <w:sz w:val="24"/>
          <w:szCs w:val="24"/>
          <w:lang w:val="sr-Cyrl-CS"/>
        </w:rPr>
      </w:pPr>
    </w:p>
    <w:p w:rsidR="00831157" w:rsidRDefault="00831157" w:rsidP="00364CA3">
      <w:pPr>
        <w:autoSpaceDE w:val="0"/>
        <w:autoSpaceDN w:val="0"/>
        <w:adjustRightInd w:val="0"/>
        <w:spacing w:after="0" w:line="240" w:lineRule="auto"/>
        <w:jc w:val="both"/>
        <w:rPr>
          <w:rFonts w:ascii="Times New Roman" w:eastAsia="PalatinoLinotype" w:hAnsi="Times New Roman"/>
          <w:sz w:val="24"/>
          <w:szCs w:val="24"/>
          <w:lang w:val="sr-Cyrl-CS"/>
        </w:rPr>
      </w:pPr>
    </w:p>
    <w:p w:rsidR="00831157" w:rsidRDefault="00831157" w:rsidP="00364CA3">
      <w:pPr>
        <w:autoSpaceDE w:val="0"/>
        <w:autoSpaceDN w:val="0"/>
        <w:adjustRightInd w:val="0"/>
        <w:spacing w:after="0" w:line="240" w:lineRule="auto"/>
        <w:jc w:val="both"/>
        <w:rPr>
          <w:rFonts w:ascii="Times New Roman" w:eastAsia="PalatinoLinotype" w:hAnsi="Times New Roman"/>
          <w:sz w:val="24"/>
          <w:szCs w:val="24"/>
          <w:lang w:val="sr-Cyrl-CS"/>
        </w:rPr>
      </w:pPr>
    </w:p>
    <w:p w:rsidR="00831157" w:rsidRPr="00D54BAB" w:rsidRDefault="00831157" w:rsidP="00364CA3">
      <w:pPr>
        <w:autoSpaceDE w:val="0"/>
        <w:autoSpaceDN w:val="0"/>
        <w:adjustRightInd w:val="0"/>
        <w:spacing w:after="0" w:line="240" w:lineRule="auto"/>
        <w:jc w:val="both"/>
        <w:rPr>
          <w:rFonts w:ascii="Times New Roman" w:eastAsia="PalatinoLinotype" w:hAnsi="Times New Roman"/>
          <w:sz w:val="24"/>
          <w:szCs w:val="24"/>
          <w:lang w:val="sr-Cyrl-CS"/>
        </w:rPr>
      </w:pPr>
    </w:p>
    <w:p w:rsidR="00F87AEE" w:rsidRPr="00D54BAB" w:rsidRDefault="00364CA3" w:rsidP="008A3795">
      <w:pPr>
        <w:pStyle w:val="ListParagraph"/>
        <w:numPr>
          <w:ilvl w:val="1"/>
          <w:numId w:val="25"/>
        </w:numPr>
        <w:jc w:val="center"/>
        <w:rPr>
          <w:rFonts w:ascii="Times New Roman" w:hAnsi="Times New Roman"/>
          <w:b/>
          <w:sz w:val="24"/>
          <w:szCs w:val="24"/>
          <w:lang w:val="sr-Cyrl-CS"/>
        </w:rPr>
      </w:pPr>
      <w:r w:rsidRPr="00D54BAB">
        <w:rPr>
          <w:rFonts w:ascii="Times New Roman" w:hAnsi="Times New Roman"/>
          <w:b/>
          <w:sz w:val="24"/>
          <w:szCs w:val="24"/>
          <w:lang w:val="sr-Cyrl-CS"/>
        </w:rPr>
        <w:lastRenderedPageBreak/>
        <w:t>Агенција за борбу против корупције</w:t>
      </w:r>
    </w:p>
    <w:p w:rsidR="000413FE" w:rsidRPr="00D54BAB" w:rsidRDefault="000413FE" w:rsidP="00364CA3">
      <w:pPr>
        <w:pStyle w:val="clan"/>
        <w:shd w:val="clear" w:color="auto" w:fill="FFFFFF"/>
        <w:spacing w:before="240" w:beforeAutospacing="0" w:after="120" w:afterAutospacing="0" w:line="240" w:lineRule="atLeast"/>
        <w:rPr>
          <w:b/>
          <w:bCs/>
          <w:color w:val="000000"/>
          <w:sz w:val="20"/>
          <w:szCs w:val="20"/>
          <w:lang w:val="sr-Cyrl-CS"/>
        </w:rPr>
      </w:pPr>
    </w:p>
    <w:p w:rsidR="00D54BAB" w:rsidRPr="00831157" w:rsidRDefault="00364CA3" w:rsidP="00831157">
      <w:pPr>
        <w:ind w:firstLine="708"/>
        <w:jc w:val="both"/>
        <w:rPr>
          <w:rFonts w:ascii="Times New Roman" w:hAnsi="Times New Roman"/>
          <w:sz w:val="24"/>
          <w:szCs w:val="24"/>
          <w:lang w:val="sr-Cyrl-CS"/>
        </w:rPr>
      </w:pPr>
      <w:r w:rsidRPr="00831157">
        <w:rPr>
          <w:rFonts w:ascii="Times New Roman" w:hAnsi="Times New Roman"/>
          <w:bCs/>
          <w:iCs/>
          <w:sz w:val="24"/>
          <w:szCs w:val="24"/>
          <w:lang w:val="sr-Cyrl-CS"/>
        </w:rPr>
        <w:t>Аген</w:t>
      </w:r>
      <w:r w:rsidR="00D54BAB" w:rsidRPr="00831157">
        <w:rPr>
          <w:rFonts w:ascii="Times New Roman" w:hAnsi="Times New Roman"/>
          <w:bCs/>
          <w:iCs/>
          <w:sz w:val="24"/>
          <w:szCs w:val="24"/>
          <w:lang w:val="sr-Cyrl-CS"/>
        </w:rPr>
        <w:t>ција за борбу против корупције је</w:t>
      </w:r>
      <w:r w:rsidR="000413FE" w:rsidRPr="00831157">
        <w:rPr>
          <w:rFonts w:ascii="Times New Roman" w:hAnsi="Times New Roman"/>
          <w:bCs/>
          <w:iCs/>
          <w:sz w:val="24"/>
          <w:szCs w:val="24"/>
          <w:lang w:val="sr-Cyrl-CS"/>
        </w:rPr>
        <w:t xml:space="preserve"> </w:t>
      </w:r>
      <w:r w:rsidR="00D54BAB" w:rsidRPr="00831157">
        <w:rPr>
          <w:rFonts w:ascii="Times New Roman" w:hAnsi="Times New Roman"/>
          <w:sz w:val="24"/>
          <w:szCs w:val="24"/>
          <w:lang w:val="sr-Cyrl-CS"/>
        </w:rPr>
        <w:t>према Закону о Агенцији за борбу против корупције</w:t>
      </w:r>
      <w:r w:rsidR="00D54BAB" w:rsidRPr="00831157">
        <w:rPr>
          <w:rStyle w:val="FootnoteReference"/>
          <w:rFonts w:ascii="Times New Roman" w:hAnsi="Times New Roman"/>
          <w:color w:val="000000"/>
          <w:sz w:val="24"/>
          <w:szCs w:val="24"/>
          <w:lang w:val="sr-Cyrl-CS"/>
        </w:rPr>
        <w:footnoteReference w:id="895"/>
      </w:r>
      <w:r w:rsidR="00D54BAB" w:rsidRPr="00831157">
        <w:rPr>
          <w:rFonts w:ascii="Times New Roman" w:hAnsi="Times New Roman"/>
          <w:sz w:val="24"/>
          <w:szCs w:val="24"/>
          <w:lang w:val="sr-Cyrl-CS"/>
        </w:rPr>
        <w:t xml:space="preserve"> </w:t>
      </w:r>
      <w:r w:rsidR="00D54BAB" w:rsidRPr="00831157">
        <w:rPr>
          <w:rFonts w:ascii="Times New Roman" w:hAnsi="Times New Roman"/>
          <w:sz w:val="24"/>
          <w:szCs w:val="24"/>
        </w:rPr>
        <w:t>самосталан и независан државни орган.</w:t>
      </w:r>
      <w:r w:rsidR="00D54BAB" w:rsidRPr="00831157">
        <w:rPr>
          <w:rFonts w:ascii="Times New Roman" w:hAnsi="Times New Roman"/>
          <w:sz w:val="24"/>
          <w:szCs w:val="24"/>
          <w:lang w:val="sr-Cyrl-CS"/>
        </w:rPr>
        <w:t xml:space="preserve"> </w:t>
      </w:r>
      <w:r w:rsidR="00D54BAB" w:rsidRPr="00831157">
        <w:rPr>
          <w:rFonts w:ascii="Times New Roman" w:hAnsi="Times New Roman"/>
          <w:sz w:val="24"/>
          <w:szCs w:val="24"/>
        </w:rPr>
        <w:t>За обављање послова из своје надлежности Агенција је одговорна Народној скупштини.</w:t>
      </w:r>
      <w:r w:rsidR="00D54BAB" w:rsidRPr="00831157">
        <w:rPr>
          <w:rFonts w:ascii="Times New Roman" w:hAnsi="Times New Roman"/>
          <w:sz w:val="24"/>
          <w:szCs w:val="24"/>
          <w:lang w:val="sr-Cyrl-CS"/>
        </w:rPr>
        <w:t xml:space="preserve"> </w:t>
      </w:r>
      <w:r w:rsidR="00D54BAB" w:rsidRPr="00831157">
        <w:rPr>
          <w:rFonts w:ascii="Times New Roman" w:hAnsi="Times New Roman"/>
          <w:sz w:val="24"/>
          <w:szCs w:val="24"/>
        </w:rPr>
        <w:t>Агенција има својство правног лица.</w:t>
      </w:r>
      <w:r w:rsidR="00D54BAB" w:rsidRPr="00831157">
        <w:rPr>
          <w:rFonts w:ascii="Times New Roman" w:hAnsi="Times New Roman"/>
          <w:sz w:val="24"/>
          <w:szCs w:val="24"/>
          <w:lang w:val="sr-Cyrl-CS"/>
        </w:rPr>
        <w:t xml:space="preserve"> </w:t>
      </w:r>
      <w:r w:rsidR="00D54BAB" w:rsidRPr="00831157">
        <w:rPr>
          <w:rFonts w:ascii="Times New Roman" w:hAnsi="Times New Roman"/>
          <w:sz w:val="24"/>
          <w:szCs w:val="24"/>
        </w:rPr>
        <w:t>У поступку пред Агенцијом који није уређен овим законом, сходно се примењују одредбе закона који уређује општи управни поступак.</w:t>
      </w:r>
      <w:r w:rsidR="00D54BAB" w:rsidRPr="00831157">
        <w:rPr>
          <w:rFonts w:ascii="Times New Roman" w:hAnsi="Times New Roman"/>
          <w:sz w:val="24"/>
          <w:szCs w:val="24"/>
          <w:lang w:val="sr-Cyrl-CS"/>
        </w:rPr>
        <w:t xml:space="preserve"> </w:t>
      </w:r>
      <w:r w:rsidR="00D54BAB" w:rsidRPr="00831157">
        <w:rPr>
          <w:rFonts w:ascii="Times New Roman" w:hAnsi="Times New Roman"/>
          <w:sz w:val="24"/>
          <w:szCs w:val="24"/>
        </w:rPr>
        <w:t>Средства за рад и функционисање Агенције обезбеђују се у буџету Републике Србије, на предлог Агенције, као и из других извора, у складу са законом.</w:t>
      </w:r>
      <w:r w:rsidR="003B6E4E" w:rsidRPr="00831157">
        <w:rPr>
          <w:rFonts w:ascii="Times New Roman" w:hAnsi="Times New Roman"/>
          <w:sz w:val="24"/>
          <w:szCs w:val="24"/>
          <w:lang w:val="sr-Cyrl-CS"/>
        </w:rPr>
        <w:t xml:space="preserve"> </w:t>
      </w:r>
    </w:p>
    <w:p w:rsidR="00235BDD" w:rsidRPr="00831157" w:rsidRDefault="009C6B07" w:rsidP="00831157">
      <w:pPr>
        <w:ind w:firstLine="708"/>
        <w:jc w:val="both"/>
        <w:rPr>
          <w:rFonts w:ascii="Times New Roman" w:hAnsi="Times New Roman"/>
          <w:bCs/>
          <w:iCs/>
          <w:color w:val="000000"/>
          <w:sz w:val="24"/>
          <w:szCs w:val="24"/>
          <w:lang w:val="sr-Cyrl-CS"/>
        </w:rPr>
      </w:pPr>
      <w:r w:rsidRPr="00831157">
        <w:rPr>
          <w:rFonts w:ascii="Times New Roman" w:hAnsi="Times New Roman"/>
          <w:bCs/>
          <w:iCs/>
          <w:color w:val="000000"/>
          <w:sz w:val="24"/>
          <w:szCs w:val="24"/>
          <w:lang w:val="sr-Cyrl-CS"/>
        </w:rPr>
        <w:t xml:space="preserve">Агенција за борбу против корупције има </w:t>
      </w:r>
      <w:r w:rsidR="000413FE" w:rsidRPr="00831157">
        <w:rPr>
          <w:rFonts w:ascii="Times New Roman" w:hAnsi="Times New Roman"/>
          <w:bCs/>
          <w:iCs/>
          <w:color w:val="000000"/>
          <w:sz w:val="24"/>
          <w:szCs w:val="24"/>
          <w:lang w:val="sr-Cyrl-CS"/>
        </w:rPr>
        <w:t>превентивну</w:t>
      </w:r>
      <w:r w:rsidR="00364CA3" w:rsidRPr="00831157">
        <w:rPr>
          <w:rFonts w:ascii="Times New Roman" w:hAnsi="Times New Roman"/>
          <w:bCs/>
          <w:iCs/>
          <w:color w:val="000000"/>
          <w:sz w:val="24"/>
          <w:szCs w:val="24"/>
          <w:lang w:val="sr-Cyrl-CS"/>
        </w:rPr>
        <w:t xml:space="preserve"> улогу </w:t>
      </w:r>
      <w:r w:rsidR="00BB32BF" w:rsidRPr="00831157">
        <w:rPr>
          <w:rFonts w:ascii="Times New Roman" w:hAnsi="Times New Roman"/>
          <w:bCs/>
          <w:iCs/>
          <w:color w:val="000000"/>
          <w:sz w:val="24"/>
          <w:szCs w:val="24"/>
          <w:lang w:val="sr-Cyrl-CS"/>
        </w:rPr>
        <w:t>(истраживање корупције и сарадња са другим органима и међународним организацијама)</w:t>
      </w:r>
      <w:r w:rsidR="00235BDD" w:rsidRPr="00831157">
        <w:rPr>
          <w:rFonts w:ascii="Times New Roman" w:hAnsi="Times New Roman"/>
          <w:bCs/>
          <w:iCs/>
          <w:color w:val="000000"/>
          <w:sz w:val="24"/>
          <w:szCs w:val="24"/>
          <w:lang w:val="sr-Cyrl-CS"/>
        </w:rPr>
        <w:t xml:space="preserve"> </w:t>
      </w:r>
      <w:r w:rsidR="000413FE" w:rsidRPr="00831157">
        <w:rPr>
          <w:rFonts w:ascii="Times New Roman" w:hAnsi="Times New Roman"/>
          <w:bCs/>
          <w:iCs/>
          <w:color w:val="000000"/>
          <w:sz w:val="24"/>
          <w:szCs w:val="24"/>
          <w:lang w:val="sr-Cyrl-CS"/>
        </w:rPr>
        <w:t>и оперативну надлежност</w:t>
      </w:r>
      <w:r w:rsidR="00235BDD" w:rsidRPr="00831157">
        <w:rPr>
          <w:rFonts w:ascii="Times New Roman" w:hAnsi="Times New Roman"/>
          <w:bCs/>
          <w:iCs/>
          <w:color w:val="000000"/>
          <w:sz w:val="24"/>
          <w:szCs w:val="24"/>
          <w:lang w:val="sr-Cyrl-CS"/>
        </w:rPr>
        <w:t xml:space="preserve"> </w:t>
      </w:r>
      <w:r w:rsidR="00BB32BF" w:rsidRPr="00831157">
        <w:rPr>
          <w:rFonts w:ascii="Times New Roman" w:hAnsi="Times New Roman"/>
          <w:bCs/>
          <w:iCs/>
          <w:color w:val="000000"/>
          <w:sz w:val="24"/>
          <w:szCs w:val="24"/>
          <w:lang w:val="sr-Cyrl-CS"/>
        </w:rPr>
        <w:t>(проверава извештаје о имовини и приходима функционера, поступа по представкама грађана)</w:t>
      </w:r>
      <w:r w:rsidR="00235BDD" w:rsidRPr="00831157">
        <w:rPr>
          <w:rFonts w:ascii="Times New Roman" w:hAnsi="Times New Roman"/>
          <w:bCs/>
          <w:iCs/>
          <w:color w:val="000000"/>
          <w:sz w:val="24"/>
          <w:szCs w:val="24"/>
          <w:lang w:val="sr-Cyrl-CS"/>
        </w:rPr>
        <w:t>.</w:t>
      </w:r>
      <w:r w:rsidRPr="00831157">
        <w:rPr>
          <w:rFonts w:ascii="Times New Roman" w:hAnsi="Times New Roman"/>
          <w:bCs/>
          <w:iCs/>
          <w:color w:val="000000"/>
          <w:sz w:val="24"/>
          <w:szCs w:val="24"/>
          <w:lang w:val="sr-Cyrl-CS"/>
        </w:rPr>
        <w:t xml:space="preserve"> </w:t>
      </w:r>
      <w:r w:rsidR="00235BDD" w:rsidRPr="00831157">
        <w:rPr>
          <w:rFonts w:ascii="Times New Roman" w:hAnsi="Times New Roman"/>
          <w:color w:val="000000"/>
          <w:sz w:val="24"/>
          <w:szCs w:val="24"/>
          <w:lang w:val="sr-Cyrl-CS"/>
        </w:rPr>
        <w:t xml:space="preserve">Наиме, надлежности </w:t>
      </w:r>
      <w:r w:rsidR="0080098E" w:rsidRPr="00831157">
        <w:rPr>
          <w:rFonts w:ascii="Times New Roman" w:hAnsi="Times New Roman"/>
          <w:color w:val="000000"/>
          <w:sz w:val="24"/>
          <w:szCs w:val="24"/>
        </w:rPr>
        <w:t>Агенција</w:t>
      </w:r>
      <w:r w:rsidR="00235BDD" w:rsidRPr="00831157">
        <w:rPr>
          <w:rFonts w:ascii="Times New Roman" w:hAnsi="Times New Roman"/>
          <w:color w:val="000000"/>
          <w:sz w:val="24"/>
          <w:szCs w:val="24"/>
          <w:lang w:val="sr-Cyrl-CS"/>
        </w:rPr>
        <w:t xml:space="preserve"> за борбу против корупције се састоје у следећем</w:t>
      </w:r>
      <w:r w:rsidR="000413FE" w:rsidRPr="00831157">
        <w:rPr>
          <w:rFonts w:ascii="Times New Roman" w:hAnsi="Times New Roman"/>
          <w:color w:val="000000"/>
          <w:sz w:val="24"/>
          <w:szCs w:val="24"/>
        </w:rPr>
        <w:t>:</w:t>
      </w:r>
    </w:p>
    <w:p w:rsidR="00D54BAB" w:rsidRPr="00831157" w:rsidRDefault="000413FE" w:rsidP="00831157">
      <w:pPr>
        <w:jc w:val="both"/>
        <w:rPr>
          <w:rFonts w:ascii="Times New Roman" w:hAnsi="Times New Roman"/>
          <w:color w:val="000000"/>
          <w:sz w:val="24"/>
          <w:szCs w:val="24"/>
          <w:lang w:val="sr-Cyrl-CS"/>
        </w:rPr>
      </w:pP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надзире</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спровођење</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Националне</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стратегије</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за</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борбу</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против</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корупције</w:t>
      </w:r>
      <w:r w:rsidR="00235BDD" w:rsidRPr="00831157">
        <w:rPr>
          <w:rFonts w:ascii="Times New Roman" w:hAnsi="Times New Roman"/>
          <w:color w:val="000000"/>
          <w:sz w:val="24"/>
          <w:szCs w:val="24"/>
        </w:rPr>
        <w:t xml:space="preserve"> </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Акционог</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плана</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за</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примену</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Националне</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стратегије</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за</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борбу</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против</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корупције</w:t>
      </w:r>
      <w:r w:rsidR="00235BDD"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и</w:t>
      </w:r>
      <w:r w:rsidR="00235BDD"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секторских</w:t>
      </w:r>
      <w:r w:rsidR="00235BDD"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акционих</w:t>
      </w:r>
      <w:r w:rsidR="00235BDD"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планова</w:t>
      </w:r>
      <w:r w:rsidR="00235BDD" w:rsidRPr="00831157">
        <w:rPr>
          <w:rFonts w:ascii="Times New Roman" w:hAnsi="Times New Roman"/>
          <w:color w:val="000000"/>
          <w:sz w:val="24"/>
          <w:szCs w:val="24"/>
          <w:lang w:val="sr-Cyrl-CS"/>
        </w:rPr>
        <w:t>;</w:t>
      </w:r>
    </w:p>
    <w:p w:rsidR="00D54BAB" w:rsidRPr="00831157" w:rsidRDefault="000413FE" w:rsidP="00831157">
      <w:pPr>
        <w:jc w:val="both"/>
        <w:rPr>
          <w:rFonts w:ascii="Times New Roman" w:hAnsi="Times New Roman"/>
          <w:color w:val="000000"/>
          <w:sz w:val="24"/>
          <w:szCs w:val="24"/>
          <w:lang w:val="sr-Cyrl-CS"/>
        </w:rPr>
      </w:pP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покреће</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поступак</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и</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изриче</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мере</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због</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повреде</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овог</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закона</w:t>
      </w:r>
      <w:r w:rsidRPr="00831157">
        <w:rPr>
          <w:rFonts w:ascii="Times New Roman" w:hAnsi="Times New Roman"/>
          <w:color w:val="000000"/>
          <w:sz w:val="24"/>
          <w:szCs w:val="24"/>
        </w:rPr>
        <w:t>;</w:t>
      </w:r>
    </w:p>
    <w:p w:rsidR="00D54BAB" w:rsidRPr="00831157" w:rsidRDefault="000413FE" w:rsidP="00831157">
      <w:pPr>
        <w:jc w:val="both"/>
        <w:rPr>
          <w:rFonts w:ascii="Times New Roman" w:hAnsi="Times New Roman"/>
          <w:color w:val="000000"/>
          <w:sz w:val="24"/>
          <w:szCs w:val="24"/>
          <w:lang w:val="sr-Cyrl-CS"/>
        </w:rPr>
      </w:pP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решава</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о</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сукобу</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интереса</w:t>
      </w:r>
      <w:r w:rsidRPr="00831157">
        <w:rPr>
          <w:rFonts w:ascii="Times New Roman" w:hAnsi="Times New Roman"/>
          <w:color w:val="000000"/>
          <w:sz w:val="24"/>
          <w:szCs w:val="24"/>
        </w:rPr>
        <w:t>;</w:t>
      </w:r>
    </w:p>
    <w:p w:rsidR="00D54BAB" w:rsidRPr="00831157" w:rsidRDefault="000413FE" w:rsidP="00831157">
      <w:pPr>
        <w:jc w:val="both"/>
        <w:rPr>
          <w:rFonts w:ascii="Times New Roman" w:hAnsi="Times New Roman"/>
          <w:color w:val="000000"/>
          <w:sz w:val="24"/>
          <w:szCs w:val="24"/>
          <w:lang w:val="sr-Cyrl-CS"/>
        </w:rPr>
      </w:pP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обавља</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послове</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у</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складу</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са</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законом</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којим</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је</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уређено</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финансирање</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политичких</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странака</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односно</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политичких</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субјеката</w:t>
      </w:r>
      <w:r w:rsidRPr="00831157">
        <w:rPr>
          <w:rFonts w:ascii="Times New Roman" w:hAnsi="Times New Roman"/>
          <w:color w:val="000000"/>
          <w:sz w:val="24"/>
          <w:szCs w:val="24"/>
        </w:rPr>
        <w:t>;</w:t>
      </w:r>
    </w:p>
    <w:p w:rsidR="000413FE" w:rsidRPr="00831157" w:rsidRDefault="000413FE" w:rsidP="00831157">
      <w:pPr>
        <w:jc w:val="both"/>
        <w:rPr>
          <w:rFonts w:ascii="Times New Roman" w:hAnsi="Times New Roman"/>
          <w:color w:val="000000"/>
          <w:sz w:val="24"/>
          <w:szCs w:val="24"/>
          <w:lang w:val="sr-Cyrl-CS"/>
        </w:rPr>
      </w:pP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даје</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иницијативе</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за</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измену</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и</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доношење</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прописа</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у</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области</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борбе</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против</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корупције</w:t>
      </w:r>
      <w:r w:rsidRPr="00831157">
        <w:rPr>
          <w:rFonts w:ascii="Times New Roman" w:hAnsi="Times New Roman"/>
          <w:color w:val="000000"/>
          <w:sz w:val="24"/>
          <w:szCs w:val="24"/>
        </w:rPr>
        <w:t>;</w:t>
      </w:r>
    </w:p>
    <w:p w:rsidR="00235BDD" w:rsidRPr="00831157" w:rsidRDefault="000413FE" w:rsidP="00831157">
      <w:pPr>
        <w:jc w:val="both"/>
        <w:rPr>
          <w:rFonts w:ascii="Times New Roman" w:hAnsi="Times New Roman"/>
          <w:color w:val="000000"/>
          <w:sz w:val="24"/>
          <w:szCs w:val="24"/>
          <w:lang w:val="sr-Cyrl-CS"/>
        </w:rPr>
      </w:pP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даје</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мишљења</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у</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вези</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са</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применом</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Стратегије</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Акционог</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плана</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и</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секторских</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акционих</w:t>
      </w:r>
      <w:r w:rsidRPr="00831157">
        <w:rPr>
          <w:rFonts w:ascii="Times New Roman" w:hAnsi="Times New Roman"/>
          <w:color w:val="000000"/>
          <w:sz w:val="24"/>
          <w:szCs w:val="24"/>
        </w:rPr>
        <w:t xml:space="preserve"> </w:t>
      </w:r>
      <w:r w:rsidR="0080098E" w:rsidRPr="00831157">
        <w:rPr>
          <w:rFonts w:ascii="Times New Roman" w:hAnsi="Times New Roman"/>
          <w:color w:val="000000"/>
          <w:sz w:val="24"/>
          <w:szCs w:val="24"/>
        </w:rPr>
        <w:t>планова</w:t>
      </w:r>
      <w:r w:rsidR="003B6E4E" w:rsidRPr="00831157">
        <w:rPr>
          <w:rFonts w:ascii="Times New Roman" w:hAnsi="Times New Roman"/>
          <w:color w:val="000000"/>
          <w:sz w:val="24"/>
          <w:szCs w:val="24"/>
          <w:lang w:val="sr-Cyrl-CS"/>
        </w:rPr>
        <w:t xml:space="preserve"> итд.</w:t>
      </w:r>
    </w:p>
    <w:p w:rsidR="003B6E4E" w:rsidRPr="00831157" w:rsidRDefault="0080098E" w:rsidP="00831157">
      <w:pPr>
        <w:ind w:firstLine="708"/>
        <w:jc w:val="both"/>
        <w:rPr>
          <w:rFonts w:ascii="Times New Roman" w:hAnsi="Times New Roman"/>
          <w:color w:val="000000"/>
          <w:sz w:val="24"/>
          <w:szCs w:val="24"/>
          <w:lang w:val="sr-Cyrl-CS"/>
        </w:rPr>
      </w:pPr>
      <w:r w:rsidRPr="00831157">
        <w:rPr>
          <w:rFonts w:ascii="Times New Roman" w:hAnsi="Times New Roman"/>
          <w:color w:val="000000"/>
          <w:sz w:val="24"/>
          <w:szCs w:val="24"/>
        </w:rPr>
        <w:t>Органи</w:t>
      </w:r>
      <w:r w:rsidR="00BB32BF" w:rsidRPr="00831157">
        <w:rPr>
          <w:rFonts w:ascii="Times New Roman" w:hAnsi="Times New Roman"/>
          <w:color w:val="000000"/>
          <w:sz w:val="24"/>
          <w:szCs w:val="24"/>
        </w:rPr>
        <w:t xml:space="preserve"> </w:t>
      </w:r>
      <w:r w:rsidRPr="00831157">
        <w:rPr>
          <w:rFonts w:ascii="Times New Roman" w:hAnsi="Times New Roman"/>
          <w:color w:val="000000"/>
          <w:sz w:val="24"/>
          <w:szCs w:val="24"/>
        </w:rPr>
        <w:t>Агенције</w:t>
      </w:r>
      <w:r w:rsidR="00BB32BF" w:rsidRPr="00831157">
        <w:rPr>
          <w:rFonts w:ascii="Times New Roman" w:hAnsi="Times New Roman"/>
          <w:color w:val="000000"/>
          <w:sz w:val="24"/>
          <w:szCs w:val="24"/>
        </w:rPr>
        <w:t xml:space="preserve"> </w:t>
      </w:r>
      <w:r w:rsidRPr="00831157">
        <w:rPr>
          <w:rFonts w:ascii="Times New Roman" w:hAnsi="Times New Roman"/>
          <w:color w:val="000000"/>
          <w:sz w:val="24"/>
          <w:szCs w:val="24"/>
        </w:rPr>
        <w:t>су</w:t>
      </w:r>
      <w:r w:rsidR="00BB32BF" w:rsidRPr="00831157">
        <w:rPr>
          <w:rFonts w:ascii="Times New Roman" w:hAnsi="Times New Roman"/>
          <w:color w:val="000000"/>
          <w:sz w:val="24"/>
          <w:szCs w:val="24"/>
        </w:rPr>
        <w:t xml:space="preserve"> </w:t>
      </w:r>
      <w:r w:rsidR="00BB32BF" w:rsidRPr="00831157">
        <w:rPr>
          <w:rFonts w:ascii="Times New Roman" w:hAnsi="Times New Roman"/>
          <w:color w:val="000000"/>
          <w:sz w:val="24"/>
          <w:szCs w:val="24"/>
          <w:lang w:val="sr-Cyrl-CS"/>
        </w:rPr>
        <w:t xml:space="preserve">канцеларија </w:t>
      </w:r>
      <w:r w:rsidR="00235BDD" w:rsidRPr="00831157">
        <w:rPr>
          <w:rFonts w:ascii="Times New Roman" w:hAnsi="Times New Roman"/>
          <w:color w:val="000000"/>
          <w:sz w:val="24"/>
          <w:szCs w:val="24"/>
          <w:lang w:val="sr-Cyrl-CS"/>
        </w:rPr>
        <w:t>о</w:t>
      </w:r>
      <w:r w:rsidRPr="00831157">
        <w:rPr>
          <w:rFonts w:ascii="Times New Roman" w:hAnsi="Times New Roman"/>
          <w:color w:val="000000"/>
          <w:sz w:val="24"/>
          <w:szCs w:val="24"/>
        </w:rPr>
        <w:t>дбор</w:t>
      </w:r>
      <w:r w:rsidR="00CE2016" w:rsidRPr="00831157">
        <w:rPr>
          <w:rFonts w:ascii="Times New Roman" w:hAnsi="Times New Roman"/>
          <w:color w:val="000000"/>
          <w:sz w:val="24"/>
          <w:szCs w:val="24"/>
          <w:lang w:val="sr-Cyrl-CS"/>
        </w:rPr>
        <w:t xml:space="preserve">а, </w:t>
      </w:r>
      <w:r w:rsidR="00BB32BF" w:rsidRPr="00831157">
        <w:rPr>
          <w:rFonts w:ascii="Times New Roman" w:hAnsi="Times New Roman"/>
          <w:color w:val="000000"/>
          <w:sz w:val="24"/>
          <w:szCs w:val="24"/>
          <w:lang w:val="sr-Cyrl-CS"/>
        </w:rPr>
        <w:t xml:space="preserve">канцеларија </w:t>
      </w:r>
      <w:r w:rsidRPr="00831157">
        <w:rPr>
          <w:rFonts w:ascii="Times New Roman" w:hAnsi="Times New Roman"/>
          <w:color w:val="000000"/>
          <w:sz w:val="24"/>
          <w:szCs w:val="24"/>
        </w:rPr>
        <w:t>директор</w:t>
      </w:r>
      <w:r w:rsidR="00BB32BF" w:rsidRPr="00831157">
        <w:rPr>
          <w:rFonts w:ascii="Times New Roman" w:hAnsi="Times New Roman"/>
          <w:color w:val="000000"/>
          <w:sz w:val="24"/>
          <w:szCs w:val="24"/>
          <w:lang w:val="sr-Cyrl-CS"/>
        </w:rPr>
        <w:t>а, служба за однос</w:t>
      </w:r>
      <w:r w:rsidR="00CE2016" w:rsidRPr="00831157">
        <w:rPr>
          <w:rFonts w:ascii="Times New Roman" w:hAnsi="Times New Roman"/>
          <w:color w:val="000000"/>
          <w:sz w:val="24"/>
          <w:szCs w:val="24"/>
          <w:lang w:val="sr-Cyrl-CS"/>
        </w:rPr>
        <w:t xml:space="preserve">е са јавношћу, </w:t>
      </w:r>
      <w:r w:rsidR="00235BDD" w:rsidRPr="00831157">
        <w:rPr>
          <w:rFonts w:ascii="Times New Roman" w:hAnsi="Times New Roman"/>
          <w:color w:val="000000"/>
          <w:sz w:val="24"/>
          <w:szCs w:val="24"/>
          <w:lang w:val="sr-Cyrl-CS"/>
        </w:rPr>
        <w:t>служба за међуна</w:t>
      </w:r>
      <w:r w:rsidR="00BB32BF" w:rsidRPr="00831157">
        <w:rPr>
          <w:rFonts w:ascii="Times New Roman" w:hAnsi="Times New Roman"/>
          <w:color w:val="000000"/>
          <w:sz w:val="24"/>
          <w:szCs w:val="24"/>
          <w:lang w:val="sr-Cyrl-CS"/>
        </w:rPr>
        <w:t>родну сарадњу</w:t>
      </w:r>
      <w:r w:rsidR="00CE2016" w:rsidRPr="00831157">
        <w:rPr>
          <w:rFonts w:ascii="Times New Roman" w:hAnsi="Times New Roman"/>
          <w:color w:val="000000"/>
          <w:sz w:val="24"/>
          <w:szCs w:val="24"/>
          <w:lang w:val="sr-Cyrl-CS"/>
        </w:rPr>
        <w:t>, служба за решавање сукоба интереса и служба за контролу финансија политичких субјеката</w:t>
      </w:r>
      <w:r w:rsidR="00BB32BF" w:rsidRPr="00831157">
        <w:rPr>
          <w:rFonts w:ascii="Times New Roman" w:hAnsi="Times New Roman"/>
          <w:color w:val="000000"/>
          <w:sz w:val="24"/>
          <w:szCs w:val="24"/>
          <w:lang w:val="sr-Cyrl-CS"/>
        </w:rPr>
        <w:t>.</w:t>
      </w:r>
      <w:r w:rsidR="00235BDD" w:rsidRPr="00831157">
        <w:rPr>
          <w:rFonts w:ascii="Times New Roman" w:hAnsi="Times New Roman"/>
          <w:color w:val="000000"/>
          <w:sz w:val="24"/>
          <w:szCs w:val="24"/>
          <w:lang w:val="sr-Cyrl-CS"/>
        </w:rPr>
        <w:t xml:space="preserve"> </w:t>
      </w:r>
    </w:p>
    <w:p w:rsidR="00235BDD" w:rsidRPr="00831157" w:rsidRDefault="0080098E" w:rsidP="00831157">
      <w:pPr>
        <w:ind w:firstLine="708"/>
        <w:jc w:val="both"/>
        <w:rPr>
          <w:rFonts w:ascii="Times New Roman" w:hAnsi="Times New Roman"/>
          <w:color w:val="000000"/>
          <w:sz w:val="24"/>
          <w:szCs w:val="24"/>
          <w:lang w:val="sr-Cyrl-CS"/>
        </w:rPr>
      </w:pPr>
      <w:r w:rsidRPr="00831157">
        <w:rPr>
          <w:rFonts w:ascii="Times New Roman" w:hAnsi="Times New Roman"/>
          <w:color w:val="000000"/>
          <w:sz w:val="24"/>
          <w:szCs w:val="24"/>
        </w:rPr>
        <w:t>Када</w:t>
      </w:r>
      <w:r w:rsidR="00FD52D9" w:rsidRPr="00831157">
        <w:rPr>
          <w:rFonts w:ascii="Times New Roman" w:hAnsi="Times New Roman"/>
          <w:color w:val="000000"/>
          <w:sz w:val="24"/>
          <w:szCs w:val="24"/>
        </w:rPr>
        <w:t xml:space="preserve"> </w:t>
      </w:r>
      <w:r w:rsidRPr="00831157">
        <w:rPr>
          <w:rFonts w:ascii="Times New Roman" w:hAnsi="Times New Roman"/>
          <w:color w:val="000000"/>
          <w:sz w:val="24"/>
          <w:szCs w:val="24"/>
        </w:rPr>
        <w:t>утврди</w:t>
      </w:r>
      <w:r w:rsidR="00FD52D9" w:rsidRPr="00831157">
        <w:rPr>
          <w:rFonts w:ascii="Times New Roman" w:hAnsi="Times New Roman"/>
          <w:color w:val="000000"/>
          <w:sz w:val="24"/>
          <w:szCs w:val="24"/>
        </w:rPr>
        <w:t xml:space="preserve"> </w:t>
      </w:r>
      <w:r w:rsidRPr="00831157">
        <w:rPr>
          <w:rFonts w:ascii="Times New Roman" w:hAnsi="Times New Roman"/>
          <w:color w:val="000000"/>
          <w:sz w:val="24"/>
          <w:szCs w:val="24"/>
        </w:rPr>
        <w:t>да</w:t>
      </w:r>
      <w:r w:rsidR="00FD52D9" w:rsidRPr="00831157">
        <w:rPr>
          <w:rFonts w:ascii="Times New Roman" w:hAnsi="Times New Roman"/>
          <w:color w:val="000000"/>
          <w:sz w:val="24"/>
          <w:szCs w:val="24"/>
        </w:rPr>
        <w:t xml:space="preserve"> </w:t>
      </w:r>
      <w:r w:rsidRPr="00831157">
        <w:rPr>
          <w:rFonts w:ascii="Times New Roman" w:hAnsi="Times New Roman"/>
          <w:color w:val="000000"/>
          <w:sz w:val="24"/>
          <w:szCs w:val="24"/>
        </w:rPr>
        <w:t>је</w:t>
      </w:r>
      <w:r w:rsidR="00FD52D9" w:rsidRPr="00831157">
        <w:rPr>
          <w:rFonts w:ascii="Times New Roman" w:hAnsi="Times New Roman"/>
          <w:color w:val="000000"/>
          <w:sz w:val="24"/>
          <w:szCs w:val="24"/>
        </w:rPr>
        <w:t xml:space="preserve"> </w:t>
      </w:r>
      <w:r w:rsidRPr="00831157">
        <w:rPr>
          <w:rFonts w:ascii="Times New Roman" w:hAnsi="Times New Roman"/>
          <w:color w:val="000000"/>
          <w:sz w:val="24"/>
          <w:szCs w:val="24"/>
        </w:rPr>
        <w:t>функционер</w:t>
      </w:r>
      <w:r w:rsidR="00FD52D9" w:rsidRPr="00831157">
        <w:rPr>
          <w:rFonts w:ascii="Times New Roman" w:hAnsi="Times New Roman"/>
          <w:color w:val="000000"/>
          <w:sz w:val="24"/>
          <w:szCs w:val="24"/>
        </w:rPr>
        <w:t xml:space="preserve"> </w:t>
      </w:r>
      <w:r w:rsidRPr="00831157">
        <w:rPr>
          <w:rFonts w:ascii="Times New Roman" w:hAnsi="Times New Roman"/>
          <w:color w:val="000000"/>
          <w:sz w:val="24"/>
          <w:szCs w:val="24"/>
        </w:rPr>
        <w:t>прекршио</w:t>
      </w:r>
      <w:r w:rsidR="00FD52D9" w:rsidRPr="00831157">
        <w:rPr>
          <w:rFonts w:ascii="Times New Roman" w:hAnsi="Times New Roman"/>
          <w:color w:val="000000"/>
          <w:sz w:val="24"/>
          <w:szCs w:val="24"/>
        </w:rPr>
        <w:t xml:space="preserve"> </w:t>
      </w:r>
      <w:r w:rsidRPr="00831157">
        <w:rPr>
          <w:rFonts w:ascii="Times New Roman" w:hAnsi="Times New Roman"/>
          <w:color w:val="000000"/>
          <w:sz w:val="24"/>
          <w:szCs w:val="24"/>
        </w:rPr>
        <w:t>одредбе</w:t>
      </w:r>
      <w:r w:rsidR="00FD52D9" w:rsidRPr="00831157">
        <w:rPr>
          <w:rFonts w:ascii="Times New Roman" w:hAnsi="Times New Roman"/>
          <w:color w:val="000000"/>
          <w:sz w:val="24"/>
          <w:szCs w:val="24"/>
        </w:rPr>
        <w:t xml:space="preserve"> </w:t>
      </w:r>
      <w:r w:rsidRPr="00831157">
        <w:rPr>
          <w:rFonts w:ascii="Times New Roman" w:hAnsi="Times New Roman"/>
          <w:color w:val="000000"/>
          <w:sz w:val="24"/>
          <w:szCs w:val="24"/>
        </w:rPr>
        <w:t>закона</w:t>
      </w:r>
      <w:r w:rsidR="00FD52D9" w:rsidRPr="00831157">
        <w:rPr>
          <w:rFonts w:ascii="Times New Roman" w:hAnsi="Times New Roman"/>
          <w:color w:val="000000"/>
          <w:sz w:val="24"/>
          <w:szCs w:val="24"/>
        </w:rPr>
        <w:t xml:space="preserve">, </w:t>
      </w:r>
      <w:r w:rsidRPr="00831157">
        <w:rPr>
          <w:rFonts w:ascii="Times New Roman" w:hAnsi="Times New Roman"/>
          <w:color w:val="000000"/>
          <w:sz w:val="24"/>
          <w:szCs w:val="24"/>
        </w:rPr>
        <w:t>Агенција</w:t>
      </w:r>
      <w:r w:rsidR="00FD52D9" w:rsidRPr="00831157">
        <w:rPr>
          <w:rFonts w:ascii="Times New Roman" w:hAnsi="Times New Roman"/>
          <w:color w:val="000000"/>
          <w:sz w:val="24"/>
          <w:szCs w:val="24"/>
        </w:rPr>
        <w:t xml:space="preserve"> </w:t>
      </w:r>
      <w:r w:rsidRPr="00831157">
        <w:rPr>
          <w:rFonts w:ascii="Times New Roman" w:hAnsi="Times New Roman"/>
          <w:color w:val="000000"/>
          <w:sz w:val="24"/>
          <w:szCs w:val="24"/>
        </w:rPr>
        <w:t>обавештава</w:t>
      </w:r>
      <w:r w:rsidR="00FD52D9" w:rsidRPr="00831157">
        <w:rPr>
          <w:rFonts w:ascii="Times New Roman" w:hAnsi="Times New Roman"/>
          <w:color w:val="000000"/>
          <w:sz w:val="24"/>
          <w:szCs w:val="24"/>
        </w:rPr>
        <w:t xml:space="preserve"> </w:t>
      </w:r>
      <w:r w:rsidRPr="00831157">
        <w:rPr>
          <w:rFonts w:ascii="Times New Roman" w:hAnsi="Times New Roman"/>
          <w:color w:val="000000"/>
          <w:sz w:val="24"/>
          <w:szCs w:val="24"/>
        </w:rPr>
        <w:t>надлежни</w:t>
      </w:r>
      <w:r w:rsidR="00FD52D9" w:rsidRPr="00831157">
        <w:rPr>
          <w:rFonts w:ascii="Times New Roman" w:hAnsi="Times New Roman"/>
          <w:color w:val="000000"/>
          <w:sz w:val="24"/>
          <w:szCs w:val="24"/>
        </w:rPr>
        <w:t xml:space="preserve"> </w:t>
      </w:r>
      <w:r w:rsidRPr="00831157">
        <w:rPr>
          <w:rFonts w:ascii="Times New Roman" w:hAnsi="Times New Roman"/>
          <w:color w:val="000000"/>
          <w:sz w:val="24"/>
          <w:szCs w:val="24"/>
        </w:rPr>
        <w:t>орган</w:t>
      </w:r>
      <w:r w:rsidR="00FD52D9" w:rsidRPr="00831157">
        <w:rPr>
          <w:rFonts w:ascii="Times New Roman" w:hAnsi="Times New Roman"/>
          <w:color w:val="000000"/>
          <w:sz w:val="24"/>
          <w:szCs w:val="24"/>
        </w:rPr>
        <w:t xml:space="preserve"> </w:t>
      </w:r>
      <w:r w:rsidRPr="00831157">
        <w:rPr>
          <w:rFonts w:ascii="Times New Roman" w:hAnsi="Times New Roman"/>
          <w:color w:val="000000"/>
          <w:sz w:val="24"/>
          <w:szCs w:val="24"/>
        </w:rPr>
        <w:t>ради</w:t>
      </w:r>
      <w:r w:rsidR="00FD52D9" w:rsidRPr="00831157">
        <w:rPr>
          <w:rFonts w:ascii="Times New Roman" w:hAnsi="Times New Roman"/>
          <w:color w:val="000000"/>
          <w:sz w:val="24"/>
          <w:szCs w:val="24"/>
        </w:rPr>
        <w:t xml:space="preserve"> </w:t>
      </w:r>
      <w:r w:rsidRPr="00831157">
        <w:rPr>
          <w:rFonts w:ascii="Times New Roman" w:hAnsi="Times New Roman"/>
          <w:color w:val="000000"/>
          <w:sz w:val="24"/>
          <w:szCs w:val="24"/>
        </w:rPr>
        <w:t>покретања</w:t>
      </w:r>
      <w:r w:rsidR="00FD52D9" w:rsidRPr="00831157">
        <w:rPr>
          <w:rFonts w:ascii="Times New Roman" w:hAnsi="Times New Roman"/>
          <w:color w:val="000000"/>
          <w:sz w:val="24"/>
          <w:szCs w:val="24"/>
        </w:rPr>
        <w:t xml:space="preserve"> </w:t>
      </w:r>
      <w:r w:rsidRPr="00831157">
        <w:rPr>
          <w:rFonts w:ascii="Times New Roman" w:hAnsi="Times New Roman"/>
          <w:color w:val="000000"/>
          <w:sz w:val="24"/>
          <w:szCs w:val="24"/>
        </w:rPr>
        <w:t>дисциплинског</w:t>
      </w:r>
      <w:r w:rsidR="00FD52D9" w:rsidRPr="00831157">
        <w:rPr>
          <w:rFonts w:ascii="Times New Roman" w:hAnsi="Times New Roman"/>
          <w:color w:val="000000"/>
          <w:sz w:val="24"/>
          <w:szCs w:val="24"/>
        </w:rPr>
        <w:t xml:space="preserve">, </w:t>
      </w:r>
      <w:r w:rsidRPr="00831157">
        <w:rPr>
          <w:rFonts w:ascii="Times New Roman" w:hAnsi="Times New Roman"/>
          <w:color w:val="000000"/>
          <w:sz w:val="24"/>
          <w:szCs w:val="24"/>
        </w:rPr>
        <w:t>прекршајног</w:t>
      </w:r>
      <w:r w:rsidR="00FD52D9" w:rsidRPr="00831157">
        <w:rPr>
          <w:rFonts w:ascii="Times New Roman" w:hAnsi="Times New Roman"/>
          <w:color w:val="000000"/>
          <w:sz w:val="24"/>
          <w:szCs w:val="24"/>
        </w:rPr>
        <w:t xml:space="preserve"> </w:t>
      </w:r>
      <w:r w:rsidRPr="00831157">
        <w:rPr>
          <w:rFonts w:ascii="Times New Roman" w:hAnsi="Times New Roman"/>
          <w:color w:val="000000"/>
          <w:sz w:val="24"/>
          <w:szCs w:val="24"/>
        </w:rPr>
        <w:t>и</w:t>
      </w:r>
      <w:r w:rsidR="00FD52D9" w:rsidRPr="00831157">
        <w:rPr>
          <w:rFonts w:ascii="Times New Roman" w:hAnsi="Times New Roman"/>
          <w:color w:val="000000"/>
          <w:sz w:val="24"/>
          <w:szCs w:val="24"/>
        </w:rPr>
        <w:t xml:space="preserve"> </w:t>
      </w:r>
      <w:r w:rsidRPr="00831157">
        <w:rPr>
          <w:rFonts w:ascii="Times New Roman" w:hAnsi="Times New Roman"/>
          <w:color w:val="000000"/>
          <w:sz w:val="24"/>
          <w:szCs w:val="24"/>
        </w:rPr>
        <w:t>кривичног</w:t>
      </w:r>
      <w:r w:rsidR="00FD52D9" w:rsidRPr="00831157">
        <w:rPr>
          <w:rFonts w:ascii="Times New Roman" w:hAnsi="Times New Roman"/>
          <w:color w:val="000000"/>
          <w:sz w:val="24"/>
          <w:szCs w:val="24"/>
        </w:rPr>
        <w:t xml:space="preserve"> </w:t>
      </w:r>
      <w:r w:rsidRPr="00831157">
        <w:rPr>
          <w:rFonts w:ascii="Times New Roman" w:hAnsi="Times New Roman"/>
          <w:color w:val="000000"/>
          <w:sz w:val="24"/>
          <w:szCs w:val="24"/>
        </w:rPr>
        <w:t>поступка</w:t>
      </w:r>
      <w:r w:rsidR="00FD52D9" w:rsidRPr="00831157">
        <w:rPr>
          <w:rFonts w:ascii="Times New Roman" w:hAnsi="Times New Roman"/>
          <w:color w:val="000000"/>
          <w:sz w:val="24"/>
          <w:szCs w:val="24"/>
        </w:rPr>
        <w:t xml:space="preserve">, </w:t>
      </w:r>
      <w:r w:rsidRPr="00831157">
        <w:rPr>
          <w:rFonts w:ascii="Times New Roman" w:hAnsi="Times New Roman"/>
          <w:color w:val="000000"/>
          <w:sz w:val="24"/>
          <w:szCs w:val="24"/>
        </w:rPr>
        <w:t>у</w:t>
      </w:r>
      <w:r w:rsidR="00FD52D9" w:rsidRPr="00831157">
        <w:rPr>
          <w:rFonts w:ascii="Times New Roman" w:hAnsi="Times New Roman"/>
          <w:color w:val="000000"/>
          <w:sz w:val="24"/>
          <w:szCs w:val="24"/>
        </w:rPr>
        <w:t xml:space="preserve"> </w:t>
      </w:r>
      <w:r w:rsidRPr="00831157">
        <w:rPr>
          <w:rFonts w:ascii="Times New Roman" w:hAnsi="Times New Roman"/>
          <w:color w:val="000000"/>
          <w:sz w:val="24"/>
          <w:szCs w:val="24"/>
        </w:rPr>
        <w:t>складу</w:t>
      </w:r>
      <w:r w:rsidR="00FD52D9" w:rsidRPr="00831157">
        <w:rPr>
          <w:rFonts w:ascii="Times New Roman" w:hAnsi="Times New Roman"/>
          <w:color w:val="000000"/>
          <w:sz w:val="24"/>
          <w:szCs w:val="24"/>
        </w:rPr>
        <w:t xml:space="preserve"> </w:t>
      </w:r>
      <w:r w:rsidRPr="00831157">
        <w:rPr>
          <w:rFonts w:ascii="Times New Roman" w:hAnsi="Times New Roman"/>
          <w:color w:val="000000"/>
          <w:sz w:val="24"/>
          <w:szCs w:val="24"/>
        </w:rPr>
        <w:t>са</w:t>
      </w:r>
      <w:r w:rsidR="00FD52D9" w:rsidRPr="00831157">
        <w:rPr>
          <w:rFonts w:ascii="Times New Roman" w:hAnsi="Times New Roman"/>
          <w:color w:val="000000"/>
          <w:sz w:val="24"/>
          <w:szCs w:val="24"/>
        </w:rPr>
        <w:t xml:space="preserve"> </w:t>
      </w:r>
      <w:r w:rsidRPr="00831157">
        <w:rPr>
          <w:rFonts w:ascii="Times New Roman" w:hAnsi="Times New Roman"/>
          <w:color w:val="000000"/>
          <w:sz w:val="24"/>
          <w:szCs w:val="24"/>
        </w:rPr>
        <w:t>законом</w:t>
      </w:r>
      <w:r w:rsidR="00FD52D9" w:rsidRPr="00831157">
        <w:rPr>
          <w:rFonts w:ascii="Times New Roman" w:hAnsi="Times New Roman"/>
          <w:color w:val="000000"/>
          <w:sz w:val="24"/>
          <w:szCs w:val="24"/>
        </w:rPr>
        <w:t>.</w:t>
      </w:r>
      <w:r w:rsidR="00235BDD" w:rsidRPr="00831157">
        <w:rPr>
          <w:rFonts w:ascii="Times New Roman" w:hAnsi="Times New Roman"/>
          <w:color w:val="000000"/>
          <w:sz w:val="24"/>
          <w:szCs w:val="24"/>
          <w:lang w:val="sr-Cyrl-CS"/>
        </w:rPr>
        <w:t xml:space="preserve"> Кривично дело </w:t>
      </w:r>
      <w:r w:rsidR="00235BDD" w:rsidRPr="00831157">
        <w:rPr>
          <w:rFonts w:ascii="Times New Roman" w:hAnsi="Times New Roman"/>
          <w:bCs/>
          <w:color w:val="000000"/>
          <w:sz w:val="24"/>
          <w:szCs w:val="24"/>
          <w:lang w:val="sr-Cyrl-CS"/>
        </w:rPr>
        <w:t>н</w:t>
      </w:r>
      <w:r w:rsidRPr="00831157">
        <w:rPr>
          <w:rFonts w:ascii="Times New Roman" w:hAnsi="Times New Roman"/>
          <w:bCs/>
          <w:color w:val="000000"/>
          <w:sz w:val="24"/>
          <w:szCs w:val="24"/>
        </w:rPr>
        <w:t>епријављивање</w:t>
      </w:r>
      <w:r w:rsidR="00212B93" w:rsidRPr="00831157">
        <w:rPr>
          <w:rFonts w:ascii="Times New Roman" w:hAnsi="Times New Roman"/>
          <w:bCs/>
          <w:color w:val="000000"/>
          <w:sz w:val="24"/>
          <w:szCs w:val="24"/>
        </w:rPr>
        <w:t xml:space="preserve"> </w:t>
      </w:r>
      <w:r w:rsidRPr="00831157">
        <w:rPr>
          <w:rFonts w:ascii="Times New Roman" w:hAnsi="Times New Roman"/>
          <w:bCs/>
          <w:color w:val="000000"/>
          <w:sz w:val="24"/>
          <w:szCs w:val="24"/>
        </w:rPr>
        <w:t>имовине</w:t>
      </w:r>
      <w:r w:rsidR="00212B93" w:rsidRPr="00831157">
        <w:rPr>
          <w:rFonts w:ascii="Times New Roman" w:hAnsi="Times New Roman"/>
          <w:bCs/>
          <w:color w:val="000000"/>
          <w:sz w:val="24"/>
          <w:szCs w:val="24"/>
        </w:rPr>
        <w:t xml:space="preserve"> </w:t>
      </w:r>
      <w:r w:rsidRPr="00831157">
        <w:rPr>
          <w:rFonts w:ascii="Times New Roman" w:hAnsi="Times New Roman"/>
          <w:bCs/>
          <w:color w:val="000000"/>
          <w:sz w:val="24"/>
          <w:szCs w:val="24"/>
        </w:rPr>
        <w:t>или</w:t>
      </w:r>
      <w:r w:rsidR="00212B93" w:rsidRPr="00831157">
        <w:rPr>
          <w:rFonts w:ascii="Times New Roman" w:hAnsi="Times New Roman"/>
          <w:bCs/>
          <w:color w:val="000000"/>
          <w:sz w:val="24"/>
          <w:szCs w:val="24"/>
        </w:rPr>
        <w:t xml:space="preserve"> </w:t>
      </w:r>
      <w:r w:rsidRPr="00831157">
        <w:rPr>
          <w:rFonts w:ascii="Times New Roman" w:hAnsi="Times New Roman"/>
          <w:bCs/>
          <w:color w:val="000000"/>
          <w:sz w:val="24"/>
          <w:szCs w:val="24"/>
        </w:rPr>
        <w:t>давање</w:t>
      </w:r>
      <w:r w:rsidR="00212B93" w:rsidRPr="00831157">
        <w:rPr>
          <w:rFonts w:ascii="Times New Roman" w:hAnsi="Times New Roman"/>
          <w:bCs/>
          <w:color w:val="000000"/>
          <w:sz w:val="24"/>
          <w:szCs w:val="24"/>
        </w:rPr>
        <w:t xml:space="preserve"> </w:t>
      </w:r>
      <w:r w:rsidRPr="00831157">
        <w:rPr>
          <w:rFonts w:ascii="Times New Roman" w:hAnsi="Times New Roman"/>
          <w:bCs/>
          <w:color w:val="000000"/>
          <w:sz w:val="24"/>
          <w:szCs w:val="24"/>
        </w:rPr>
        <w:t>лажних</w:t>
      </w:r>
      <w:r w:rsidR="00212B93" w:rsidRPr="00831157">
        <w:rPr>
          <w:rFonts w:ascii="Times New Roman" w:hAnsi="Times New Roman"/>
          <w:bCs/>
          <w:color w:val="000000"/>
          <w:sz w:val="24"/>
          <w:szCs w:val="24"/>
        </w:rPr>
        <w:t xml:space="preserve"> </w:t>
      </w:r>
      <w:r w:rsidRPr="00831157">
        <w:rPr>
          <w:rFonts w:ascii="Times New Roman" w:hAnsi="Times New Roman"/>
          <w:bCs/>
          <w:color w:val="000000"/>
          <w:sz w:val="24"/>
          <w:szCs w:val="24"/>
        </w:rPr>
        <w:t>података</w:t>
      </w:r>
      <w:r w:rsidR="00212B93" w:rsidRPr="00831157">
        <w:rPr>
          <w:rFonts w:ascii="Times New Roman" w:hAnsi="Times New Roman"/>
          <w:bCs/>
          <w:color w:val="000000"/>
          <w:sz w:val="24"/>
          <w:szCs w:val="24"/>
        </w:rPr>
        <w:t xml:space="preserve"> </w:t>
      </w:r>
      <w:r w:rsidRPr="00831157">
        <w:rPr>
          <w:rFonts w:ascii="Times New Roman" w:hAnsi="Times New Roman"/>
          <w:bCs/>
          <w:color w:val="000000"/>
          <w:sz w:val="24"/>
          <w:szCs w:val="24"/>
        </w:rPr>
        <w:t>о</w:t>
      </w:r>
      <w:r w:rsidR="00212B93" w:rsidRPr="00831157">
        <w:rPr>
          <w:rFonts w:ascii="Times New Roman" w:hAnsi="Times New Roman"/>
          <w:bCs/>
          <w:color w:val="000000"/>
          <w:sz w:val="24"/>
          <w:szCs w:val="24"/>
        </w:rPr>
        <w:t xml:space="preserve"> </w:t>
      </w:r>
      <w:r w:rsidRPr="00831157">
        <w:rPr>
          <w:rFonts w:ascii="Times New Roman" w:hAnsi="Times New Roman"/>
          <w:bCs/>
          <w:color w:val="000000"/>
          <w:sz w:val="24"/>
          <w:szCs w:val="24"/>
        </w:rPr>
        <w:t>имовини</w:t>
      </w:r>
      <w:r w:rsidR="00235BDD" w:rsidRPr="00831157">
        <w:rPr>
          <w:rFonts w:ascii="Times New Roman" w:hAnsi="Times New Roman"/>
          <w:bCs/>
          <w:color w:val="000000"/>
          <w:sz w:val="24"/>
          <w:szCs w:val="24"/>
          <w:lang w:val="sr-Cyrl-CS"/>
        </w:rPr>
        <w:t xml:space="preserve"> чини</w:t>
      </w:r>
      <w:r w:rsidR="00235BDD" w:rsidRPr="00831157">
        <w:rPr>
          <w:rFonts w:ascii="Times New Roman" w:hAnsi="Times New Roman"/>
          <w:b/>
          <w:bCs/>
          <w:color w:val="000000"/>
          <w:sz w:val="24"/>
          <w:szCs w:val="24"/>
          <w:lang w:val="sr-Cyrl-CS"/>
        </w:rPr>
        <w:t xml:space="preserve"> </w:t>
      </w:r>
      <w:r w:rsidR="00235BDD" w:rsidRPr="00831157">
        <w:rPr>
          <w:rFonts w:ascii="Times New Roman" w:hAnsi="Times New Roman"/>
          <w:color w:val="000000"/>
          <w:sz w:val="24"/>
          <w:szCs w:val="24"/>
          <w:lang w:val="sr-Cyrl-CS"/>
        </w:rPr>
        <w:t>ф</w:t>
      </w:r>
      <w:r w:rsidRPr="00831157">
        <w:rPr>
          <w:rFonts w:ascii="Times New Roman" w:hAnsi="Times New Roman"/>
          <w:color w:val="000000"/>
          <w:sz w:val="24"/>
          <w:szCs w:val="24"/>
        </w:rPr>
        <w:t>ункционер</w:t>
      </w:r>
      <w:r w:rsidR="00212B93" w:rsidRPr="00831157">
        <w:rPr>
          <w:rFonts w:ascii="Times New Roman" w:hAnsi="Times New Roman"/>
          <w:color w:val="000000"/>
          <w:sz w:val="24"/>
          <w:szCs w:val="24"/>
        </w:rPr>
        <w:t xml:space="preserve"> </w:t>
      </w:r>
      <w:r w:rsidRPr="00831157">
        <w:rPr>
          <w:rFonts w:ascii="Times New Roman" w:hAnsi="Times New Roman"/>
          <w:color w:val="000000"/>
          <w:sz w:val="24"/>
          <w:szCs w:val="24"/>
        </w:rPr>
        <w:t>који</w:t>
      </w:r>
      <w:r w:rsidR="00212B93" w:rsidRPr="00831157">
        <w:rPr>
          <w:rFonts w:ascii="Times New Roman" w:hAnsi="Times New Roman"/>
          <w:color w:val="000000"/>
          <w:sz w:val="24"/>
          <w:szCs w:val="24"/>
        </w:rPr>
        <w:t xml:space="preserve"> </w:t>
      </w:r>
      <w:r w:rsidRPr="00831157">
        <w:rPr>
          <w:rFonts w:ascii="Times New Roman" w:hAnsi="Times New Roman"/>
          <w:color w:val="000000"/>
          <w:sz w:val="24"/>
          <w:szCs w:val="24"/>
        </w:rPr>
        <w:t>не</w:t>
      </w:r>
      <w:r w:rsidR="00212B93" w:rsidRPr="00831157">
        <w:rPr>
          <w:rFonts w:ascii="Times New Roman" w:hAnsi="Times New Roman"/>
          <w:color w:val="000000"/>
          <w:sz w:val="24"/>
          <w:szCs w:val="24"/>
        </w:rPr>
        <w:t xml:space="preserve"> </w:t>
      </w:r>
      <w:r w:rsidRPr="00831157">
        <w:rPr>
          <w:rFonts w:ascii="Times New Roman" w:hAnsi="Times New Roman"/>
          <w:color w:val="000000"/>
          <w:sz w:val="24"/>
          <w:szCs w:val="24"/>
        </w:rPr>
        <w:t>пријави</w:t>
      </w:r>
      <w:r w:rsidR="00212B93" w:rsidRPr="00831157">
        <w:rPr>
          <w:rFonts w:ascii="Times New Roman" w:hAnsi="Times New Roman"/>
          <w:color w:val="000000"/>
          <w:sz w:val="24"/>
          <w:szCs w:val="24"/>
        </w:rPr>
        <w:t xml:space="preserve"> </w:t>
      </w:r>
      <w:r w:rsidRPr="00831157">
        <w:rPr>
          <w:rFonts w:ascii="Times New Roman" w:hAnsi="Times New Roman"/>
          <w:color w:val="000000"/>
          <w:sz w:val="24"/>
          <w:szCs w:val="24"/>
        </w:rPr>
        <w:t>имовину</w:t>
      </w:r>
      <w:r w:rsidR="00212B93" w:rsidRPr="00831157">
        <w:rPr>
          <w:rFonts w:ascii="Times New Roman" w:hAnsi="Times New Roman"/>
          <w:color w:val="000000"/>
          <w:sz w:val="24"/>
          <w:szCs w:val="24"/>
        </w:rPr>
        <w:t xml:space="preserve"> </w:t>
      </w:r>
      <w:r w:rsidRPr="00831157">
        <w:rPr>
          <w:rFonts w:ascii="Times New Roman" w:hAnsi="Times New Roman"/>
          <w:color w:val="000000"/>
          <w:sz w:val="24"/>
          <w:szCs w:val="24"/>
        </w:rPr>
        <w:t>Агенцији</w:t>
      </w:r>
      <w:r w:rsidR="00212B93" w:rsidRPr="00831157">
        <w:rPr>
          <w:rFonts w:ascii="Times New Roman" w:hAnsi="Times New Roman"/>
          <w:color w:val="000000"/>
          <w:sz w:val="24"/>
          <w:szCs w:val="24"/>
        </w:rPr>
        <w:t xml:space="preserve"> </w:t>
      </w:r>
      <w:r w:rsidRPr="00831157">
        <w:rPr>
          <w:rFonts w:ascii="Times New Roman" w:hAnsi="Times New Roman"/>
          <w:color w:val="000000"/>
          <w:sz w:val="24"/>
          <w:szCs w:val="24"/>
        </w:rPr>
        <w:t>или</w:t>
      </w:r>
      <w:r w:rsidR="00212B93" w:rsidRPr="00831157">
        <w:rPr>
          <w:rFonts w:ascii="Times New Roman" w:hAnsi="Times New Roman"/>
          <w:color w:val="000000"/>
          <w:sz w:val="24"/>
          <w:szCs w:val="24"/>
        </w:rPr>
        <w:t xml:space="preserve"> </w:t>
      </w:r>
      <w:r w:rsidRPr="00831157">
        <w:rPr>
          <w:rFonts w:ascii="Times New Roman" w:hAnsi="Times New Roman"/>
          <w:color w:val="000000"/>
          <w:sz w:val="24"/>
          <w:szCs w:val="24"/>
        </w:rPr>
        <w:t>даје</w:t>
      </w:r>
      <w:r w:rsidR="00212B93" w:rsidRPr="00831157">
        <w:rPr>
          <w:rFonts w:ascii="Times New Roman" w:hAnsi="Times New Roman"/>
          <w:color w:val="000000"/>
          <w:sz w:val="24"/>
          <w:szCs w:val="24"/>
        </w:rPr>
        <w:t xml:space="preserve"> </w:t>
      </w:r>
      <w:r w:rsidRPr="00831157">
        <w:rPr>
          <w:rFonts w:ascii="Times New Roman" w:hAnsi="Times New Roman"/>
          <w:color w:val="000000"/>
          <w:sz w:val="24"/>
          <w:szCs w:val="24"/>
        </w:rPr>
        <w:t>лажне</w:t>
      </w:r>
      <w:r w:rsidR="00212B93" w:rsidRPr="00831157">
        <w:rPr>
          <w:rFonts w:ascii="Times New Roman" w:hAnsi="Times New Roman"/>
          <w:color w:val="000000"/>
          <w:sz w:val="24"/>
          <w:szCs w:val="24"/>
        </w:rPr>
        <w:t xml:space="preserve"> </w:t>
      </w:r>
      <w:r w:rsidRPr="00831157">
        <w:rPr>
          <w:rFonts w:ascii="Times New Roman" w:hAnsi="Times New Roman"/>
          <w:color w:val="000000"/>
          <w:sz w:val="24"/>
          <w:szCs w:val="24"/>
        </w:rPr>
        <w:t>податке</w:t>
      </w:r>
      <w:r w:rsidR="00212B93" w:rsidRPr="00831157">
        <w:rPr>
          <w:rFonts w:ascii="Times New Roman" w:hAnsi="Times New Roman"/>
          <w:color w:val="000000"/>
          <w:sz w:val="24"/>
          <w:szCs w:val="24"/>
        </w:rPr>
        <w:t xml:space="preserve"> </w:t>
      </w:r>
      <w:r w:rsidRPr="00831157">
        <w:rPr>
          <w:rFonts w:ascii="Times New Roman" w:hAnsi="Times New Roman"/>
          <w:color w:val="000000"/>
          <w:sz w:val="24"/>
          <w:szCs w:val="24"/>
        </w:rPr>
        <w:t>о</w:t>
      </w:r>
      <w:r w:rsidR="00212B93" w:rsidRPr="00831157">
        <w:rPr>
          <w:rFonts w:ascii="Times New Roman" w:hAnsi="Times New Roman"/>
          <w:color w:val="000000"/>
          <w:sz w:val="24"/>
          <w:szCs w:val="24"/>
        </w:rPr>
        <w:t xml:space="preserve"> </w:t>
      </w:r>
      <w:r w:rsidRPr="00831157">
        <w:rPr>
          <w:rFonts w:ascii="Times New Roman" w:hAnsi="Times New Roman"/>
          <w:color w:val="000000"/>
          <w:sz w:val="24"/>
          <w:szCs w:val="24"/>
        </w:rPr>
        <w:t>имовини</w:t>
      </w:r>
      <w:r w:rsidR="00212B93" w:rsidRPr="00831157">
        <w:rPr>
          <w:rFonts w:ascii="Times New Roman" w:hAnsi="Times New Roman"/>
          <w:color w:val="000000"/>
          <w:sz w:val="24"/>
          <w:szCs w:val="24"/>
        </w:rPr>
        <w:t xml:space="preserve">, </w:t>
      </w:r>
      <w:r w:rsidRPr="00831157">
        <w:rPr>
          <w:rFonts w:ascii="Times New Roman" w:hAnsi="Times New Roman"/>
          <w:color w:val="000000"/>
          <w:sz w:val="24"/>
          <w:szCs w:val="24"/>
        </w:rPr>
        <w:t>у</w:t>
      </w:r>
      <w:r w:rsidR="00212B93" w:rsidRPr="00831157">
        <w:rPr>
          <w:rFonts w:ascii="Times New Roman" w:hAnsi="Times New Roman"/>
          <w:color w:val="000000"/>
          <w:sz w:val="24"/>
          <w:szCs w:val="24"/>
        </w:rPr>
        <w:t xml:space="preserve"> </w:t>
      </w:r>
      <w:r w:rsidRPr="00831157">
        <w:rPr>
          <w:rFonts w:ascii="Times New Roman" w:hAnsi="Times New Roman"/>
          <w:color w:val="000000"/>
          <w:sz w:val="24"/>
          <w:szCs w:val="24"/>
        </w:rPr>
        <w:t>намери</w:t>
      </w:r>
      <w:r w:rsidR="00235BDD" w:rsidRPr="00831157">
        <w:rPr>
          <w:rFonts w:ascii="Times New Roman" w:hAnsi="Times New Roman"/>
          <w:color w:val="000000"/>
          <w:sz w:val="24"/>
          <w:szCs w:val="24"/>
        </w:rPr>
        <w:t xml:space="preserve"> </w:t>
      </w:r>
      <w:r w:rsidRPr="00831157">
        <w:rPr>
          <w:rFonts w:ascii="Times New Roman" w:hAnsi="Times New Roman"/>
          <w:color w:val="000000"/>
          <w:sz w:val="24"/>
          <w:szCs w:val="24"/>
        </w:rPr>
        <w:t>да</w:t>
      </w:r>
      <w:r w:rsidR="00235BDD" w:rsidRPr="00831157">
        <w:rPr>
          <w:rFonts w:ascii="Times New Roman" w:hAnsi="Times New Roman"/>
          <w:color w:val="000000"/>
          <w:sz w:val="24"/>
          <w:szCs w:val="24"/>
        </w:rPr>
        <w:t xml:space="preserve"> </w:t>
      </w:r>
      <w:r w:rsidRPr="00831157">
        <w:rPr>
          <w:rFonts w:ascii="Times New Roman" w:hAnsi="Times New Roman"/>
          <w:color w:val="000000"/>
          <w:sz w:val="24"/>
          <w:szCs w:val="24"/>
        </w:rPr>
        <w:t>прикрије</w:t>
      </w:r>
      <w:r w:rsidR="00235BDD" w:rsidRPr="00831157">
        <w:rPr>
          <w:rFonts w:ascii="Times New Roman" w:hAnsi="Times New Roman"/>
          <w:color w:val="000000"/>
          <w:sz w:val="24"/>
          <w:szCs w:val="24"/>
        </w:rPr>
        <w:t xml:space="preserve"> </w:t>
      </w:r>
      <w:r w:rsidRPr="00831157">
        <w:rPr>
          <w:rFonts w:ascii="Times New Roman" w:hAnsi="Times New Roman"/>
          <w:color w:val="000000"/>
          <w:sz w:val="24"/>
          <w:szCs w:val="24"/>
        </w:rPr>
        <w:t>податке</w:t>
      </w:r>
      <w:r w:rsidR="00235BDD" w:rsidRPr="00831157">
        <w:rPr>
          <w:rFonts w:ascii="Times New Roman" w:hAnsi="Times New Roman"/>
          <w:color w:val="000000"/>
          <w:sz w:val="24"/>
          <w:szCs w:val="24"/>
        </w:rPr>
        <w:t xml:space="preserve"> </w:t>
      </w:r>
      <w:r w:rsidRPr="00831157">
        <w:rPr>
          <w:rFonts w:ascii="Times New Roman" w:hAnsi="Times New Roman"/>
          <w:color w:val="000000"/>
          <w:sz w:val="24"/>
          <w:szCs w:val="24"/>
        </w:rPr>
        <w:t>о</w:t>
      </w:r>
      <w:r w:rsidR="00235BDD" w:rsidRPr="00831157">
        <w:rPr>
          <w:rFonts w:ascii="Times New Roman" w:hAnsi="Times New Roman"/>
          <w:color w:val="000000"/>
          <w:sz w:val="24"/>
          <w:szCs w:val="24"/>
        </w:rPr>
        <w:t xml:space="preserve"> </w:t>
      </w:r>
      <w:r w:rsidRPr="00831157">
        <w:rPr>
          <w:rFonts w:ascii="Times New Roman" w:hAnsi="Times New Roman"/>
          <w:color w:val="000000"/>
          <w:sz w:val="24"/>
          <w:szCs w:val="24"/>
        </w:rPr>
        <w:t>имовини</w:t>
      </w:r>
      <w:r w:rsidR="00235BDD" w:rsidRPr="00831157">
        <w:rPr>
          <w:rFonts w:ascii="Times New Roman" w:hAnsi="Times New Roman"/>
          <w:color w:val="000000"/>
          <w:sz w:val="24"/>
          <w:szCs w:val="24"/>
          <w:lang w:val="sr-Cyrl-CS"/>
        </w:rPr>
        <w:t xml:space="preserve">. Прописана казна је </w:t>
      </w:r>
      <w:r w:rsidR="00212B93" w:rsidRPr="00831157">
        <w:rPr>
          <w:rFonts w:ascii="Times New Roman" w:hAnsi="Times New Roman"/>
          <w:color w:val="000000"/>
          <w:sz w:val="24"/>
          <w:szCs w:val="24"/>
        </w:rPr>
        <w:t xml:space="preserve"> </w:t>
      </w:r>
      <w:r w:rsidRPr="00831157">
        <w:rPr>
          <w:rFonts w:ascii="Times New Roman" w:hAnsi="Times New Roman"/>
          <w:color w:val="000000"/>
          <w:sz w:val="24"/>
          <w:szCs w:val="24"/>
        </w:rPr>
        <w:t>затвор</w:t>
      </w:r>
      <w:r w:rsidR="00212B93" w:rsidRPr="00831157">
        <w:rPr>
          <w:rFonts w:ascii="Times New Roman" w:hAnsi="Times New Roman"/>
          <w:color w:val="000000"/>
          <w:sz w:val="24"/>
          <w:szCs w:val="24"/>
        </w:rPr>
        <w:t xml:space="preserve"> </w:t>
      </w:r>
      <w:r w:rsidRPr="00831157">
        <w:rPr>
          <w:rFonts w:ascii="Times New Roman" w:hAnsi="Times New Roman"/>
          <w:color w:val="000000"/>
          <w:sz w:val="24"/>
          <w:szCs w:val="24"/>
        </w:rPr>
        <w:t>од</w:t>
      </w:r>
      <w:r w:rsidR="00212B93" w:rsidRPr="00831157">
        <w:rPr>
          <w:rFonts w:ascii="Times New Roman" w:hAnsi="Times New Roman"/>
          <w:color w:val="000000"/>
          <w:sz w:val="24"/>
          <w:szCs w:val="24"/>
        </w:rPr>
        <w:t xml:space="preserve"> </w:t>
      </w:r>
      <w:r w:rsidRPr="00831157">
        <w:rPr>
          <w:rFonts w:ascii="Times New Roman" w:hAnsi="Times New Roman"/>
          <w:color w:val="000000"/>
          <w:sz w:val="24"/>
          <w:szCs w:val="24"/>
        </w:rPr>
        <w:t>шест</w:t>
      </w:r>
      <w:r w:rsidR="00212B93" w:rsidRPr="00831157">
        <w:rPr>
          <w:rFonts w:ascii="Times New Roman" w:hAnsi="Times New Roman"/>
          <w:color w:val="000000"/>
          <w:sz w:val="24"/>
          <w:szCs w:val="24"/>
        </w:rPr>
        <w:t xml:space="preserve"> </w:t>
      </w:r>
      <w:r w:rsidRPr="00831157">
        <w:rPr>
          <w:rFonts w:ascii="Times New Roman" w:hAnsi="Times New Roman"/>
          <w:color w:val="000000"/>
          <w:sz w:val="24"/>
          <w:szCs w:val="24"/>
        </w:rPr>
        <w:t>месеци</w:t>
      </w:r>
      <w:r w:rsidR="00212B93" w:rsidRPr="00831157">
        <w:rPr>
          <w:rFonts w:ascii="Times New Roman" w:hAnsi="Times New Roman"/>
          <w:color w:val="000000"/>
          <w:sz w:val="24"/>
          <w:szCs w:val="24"/>
        </w:rPr>
        <w:t xml:space="preserve"> </w:t>
      </w:r>
      <w:r w:rsidRPr="00831157">
        <w:rPr>
          <w:rFonts w:ascii="Times New Roman" w:hAnsi="Times New Roman"/>
          <w:color w:val="000000"/>
          <w:sz w:val="24"/>
          <w:szCs w:val="24"/>
        </w:rPr>
        <w:t>до</w:t>
      </w:r>
      <w:r w:rsidR="00212B93" w:rsidRPr="00831157">
        <w:rPr>
          <w:rFonts w:ascii="Times New Roman" w:hAnsi="Times New Roman"/>
          <w:color w:val="000000"/>
          <w:sz w:val="24"/>
          <w:szCs w:val="24"/>
        </w:rPr>
        <w:t xml:space="preserve"> </w:t>
      </w:r>
      <w:r w:rsidRPr="00831157">
        <w:rPr>
          <w:rFonts w:ascii="Times New Roman" w:hAnsi="Times New Roman"/>
          <w:color w:val="000000"/>
          <w:sz w:val="24"/>
          <w:szCs w:val="24"/>
        </w:rPr>
        <w:t>пет</w:t>
      </w:r>
      <w:r w:rsidR="00212B93" w:rsidRPr="00831157">
        <w:rPr>
          <w:rFonts w:ascii="Times New Roman" w:hAnsi="Times New Roman"/>
          <w:color w:val="000000"/>
          <w:sz w:val="24"/>
          <w:szCs w:val="24"/>
        </w:rPr>
        <w:t xml:space="preserve"> </w:t>
      </w:r>
      <w:r w:rsidRPr="00831157">
        <w:rPr>
          <w:rFonts w:ascii="Times New Roman" w:hAnsi="Times New Roman"/>
          <w:color w:val="000000"/>
          <w:sz w:val="24"/>
          <w:szCs w:val="24"/>
        </w:rPr>
        <w:t>година</w:t>
      </w:r>
      <w:r w:rsidR="00212B93" w:rsidRPr="00831157">
        <w:rPr>
          <w:rFonts w:ascii="Times New Roman" w:hAnsi="Times New Roman"/>
          <w:color w:val="000000"/>
          <w:sz w:val="24"/>
          <w:szCs w:val="24"/>
        </w:rPr>
        <w:t>.</w:t>
      </w:r>
      <w:bookmarkStart w:id="70" w:name="str_57"/>
      <w:bookmarkEnd w:id="70"/>
      <w:r w:rsidR="00235BDD" w:rsidRPr="00831157">
        <w:rPr>
          <w:rFonts w:ascii="Times New Roman" w:hAnsi="Times New Roman"/>
          <w:color w:val="000000"/>
          <w:sz w:val="24"/>
          <w:szCs w:val="24"/>
          <w:lang w:val="sr-Cyrl-CS"/>
        </w:rPr>
        <w:t xml:space="preserve"> </w:t>
      </w:r>
      <w:r w:rsidRPr="00831157">
        <w:rPr>
          <w:rFonts w:ascii="Times New Roman" w:hAnsi="Times New Roman"/>
          <w:color w:val="000000"/>
          <w:sz w:val="24"/>
          <w:szCs w:val="24"/>
        </w:rPr>
        <w:t>Функционеру</w:t>
      </w:r>
      <w:r w:rsidR="00212B93" w:rsidRPr="00831157">
        <w:rPr>
          <w:rFonts w:ascii="Times New Roman" w:hAnsi="Times New Roman"/>
          <w:color w:val="000000"/>
          <w:sz w:val="24"/>
          <w:szCs w:val="24"/>
        </w:rPr>
        <w:t xml:space="preserve"> </w:t>
      </w:r>
      <w:r w:rsidRPr="00831157">
        <w:rPr>
          <w:rFonts w:ascii="Times New Roman" w:hAnsi="Times New Roman"/>
          <w:color w:val="000000"/>
          <w:sz w:val="24"/>
          <w:szCs w:val="24"/>
        </w:rPr>
        <w:t>који</w:t>
      </w:r>
      <w:r w:rsidR="00212B93" w:rsidRPr="00831157">
        <w:rPr>
          <w:rFonts w:ascii="Times New Roman" w:hAnsi="Times New Roman"/>
          <w:color w:val="000000"/>
          <w:sz w:val="24"/>
          <w:szCs w:val="24"/>
        </w:rPr>
        <w:t xml:space="preserve"> </w:t>
      </w:r>
      <w:r w:rsidRPr="00831157">
        <w:rPr>
          <w:rFonts w:ascii="Times New Roman" w:hAnsi="Times New Roman"/>
          <w:color w:val="000000"/>
          <w:sz w:val="24"/>
          <w:szCs w:val="24"/>
        </w:rPr>
        <w:t>је</w:t>
      </w:r>
      <w:r w:rsidR="00212B93" w:rsidRPr="00831157">
        <w:rPr>
          <w:rFonts w:ascii="Times New Roman" w:hAnsi="Times New Roman"/>
          <w:color w:val="000000"/>
          <w:sz w:val="24"/>
          <w:szCs w:val="24"/>
        </w:rPr>
        <w:t xml:space="preserve"> </w:t>
      </w:r>
      <w:r w:rsidRPr="00831157">
        <w:rPr>
          <w:rFonts w:ascii="Times New Roman" w:hAnsi="Times New Roman"/>
          <w:color w:val="000000"/>
          <w:sz w:val="24"/>
          <w:szCs w:val="24"/>
        </w:rPr>
        <w:t>осуђен</w:t>
      </w:r>
      <w:r w:rsidR="00212B93" w:rsidRPr="00831157">
        <w:rPr>
          <w:rFonts w:ascii="Times New Roman" w:hAnsi="Times New Roman"/>
          <w:color w:val="000000"/>
          <w:sz w:val="24"/>
          <w:szCs w:val="24"/>
        </w:rPr>
        <w:t xml:space="preserve"> </w:t>
      </w:r>
      <w:r w:rsidRPr="00831157">
        <w:rPr>
          <w:rFonts w:ascii="Times New Roman" w:hAnsi="Times New Roman"/>
          <w:color w:val="000000"/>
          <w:sz w:val="24"/>
          <w:szCs w:val="24"/>
        </w:rPr>
        <w:t>на</w:t>
      </w:r>
      <w:r w:rsidR="00212B93" w:rsidRPr="00831157">
        <w:rPr>
          <w:rFonts w:ascii="Times New Roman" w:hAnsi="Times New Roman"/>
          <w:color w:val="000000"/>
          <w:sz w:val="24"/>
          <w:szCs w:val="24"/>
        </w:rPr>
        <w:t xml:space="preserve"> </w:t>
      </w:r>
      <w:r w:rsidRPr="00831157">
        <w:rPr>
          <w:rFonts w:ascii="Times New Roman" w:hAnsi="Times New Roman"/>
          <w:color w:val="000000"/>
          <w:sz w:val="24"/>
          <w:szCs w:val="24"/>
        </w:rPr>
        <w:t>казну</w:t>
      </w:r>
      <w:r w:rsidR="00212B93" w:rsidRPr="00831157">
        <w:rPr>
          <w:rFonts w:ascii="Times New Roman" w:hAnsi="Times New Roman"/>
          <w:color w:val="000000"/>
          <w:sz w:val="24"/>
          <w:szCs w:val="24"/>
        </w:rPr>
        <w:t xml:space="preserve"> </w:t>
      </w:r>
      <w:r w:rsidRPr="00831157">
        <w:rPr>
          <w:rFonts w:ascii="Times New Roman" w:hAnsi="Times New Roman"/>
          <w:color w:val="000000"/>
          <w:sz w:val="24"/>
          <w:szCs w:val="24"/>
        </w:rPr>
        <w:t>затвора</w:t>
      </w:r>
      <w:r w:rsidR="00212B93" w:rsidRPr="00831157">
        <w:rPr>
          <w:rFonts w:ascii="Times New Roman" w:hAnsi="Times New Roman"/>
          <w:color w:val="000000"/>
          <w:sz w:val="24"/>
          <w:szCs w:val="24"/>
        </w:rPr>
        <w:t xml:space="preserve"> </w:t>
      </w:r>
      <w:r w:rsidRPr="00831157">
        <w:rPr>
          <w:rFonts w:ascii="Times New Roman" w:hAnsi="Times New Roman"/>
          <w:color w:val="000000"/>
          <w:sz w:val="24"/>
          <w:szCs w:val="24"/>
        </w:rPr>
        <w:t>за</w:t>
      </w:r>
      <w:r w:rsidR="00212B93" w:rsidRPr="00831157">
        <w:rPr>
          <w:rFonts w:ascii="Times New Roman" w:hAnsi="Times New Roman"/>
          <w:color w:val="000000"/>
          <w:sz w:val="24"/>
          <w:szCs w:val="24"/>
        </w:rPr>
        <w:t xml:space="preserve"> </w:t>
      </w:r>
      <w:r w:rsidR="00235BDD" w:rsidRPr="00831157">
        <w:rPr>
          <w:rFonts w:ascii="Times New Roman" w:hAnsi="Times New Roman"/>
          <w:color w:val="000000"/>
          <w:sz w:val="24"/>
          <w:szCs w:val="24"/>
          <w:lang w:val="sr-Cyrl-CS"/>
        </w:rPr>
        <w:t xml:space="preserve">наведено </w:t>
      </w:r>
      <w:r w:rsidRPr="00831157">
        <w:rPr>
          <w:rFonts w:ascii="Times New Roman" w:hAnsi="Times New Roman"/>
          <w:color w:val="000000"/>
          <w:sz w:val="24"/>
          <w:szCs w:val="24"/>
        </w:rPr>
        <w:t>кривично</w:t>
      </w:r>
      <w:r w:rsidR="00212B93" w:rsidRPr="00831157">
        <w:rPr>
          <w:rFonts w:ascii="Times New Roman" w:hAnsi="Times New Roman"/>
          <w:color w:val="000000"/>
          <w:sz w:val="24"/>
          <w:szCs w:val="24"/>
        </w:rPr>
        <w:t xml:space="preserve"> </w:t>
      </w:r>
      <w:r w:rsidRPr="00831157">
        <w:rPr>
          <w:rFonts w:ascii="Times New Roman" w:hAnsi="Times New Roman"/>
          <w:color w:val="000000"/>
          <w:sz w:val="24"/>
          <w:szCs w:val="24"/>
        </w:rPr>
        <w:t>дело</w:t>
      </w:r>
      <w:r w:rsidR="00212B93" w:rsidRPr="00831157">
        <w:rPr>
          <w:rFonts w:ascii="Times New Roman" w:hAnsi="Times New Roman"/>
          <w:color w:val="000000"/>
          <w:sz w:val="24"/>
          <w:szCs w:val="24"/>
        </w:rPr>
        <w:t xml:space="preserve"> </w:t>
      </w:r>
      <w:r w:rsidRPr="00831157">
        <w:rPr>
          <w:rFonts w:ascii="Times New Roman" w:hAnsi="Times New Roman"/>
          <w:color w:val="000000"/>
          <w:sz w:val="24"/>
          <w:szCs w:val="24"/>
        </w:rPr>
        <w:t>престаје</w:t>
      </w:r>
      <w:r w:rsidR="00212B93" w:rsidRPr="00831157">
        <w:rPr>
          <w:rFonts w:ascii="Times New Roman" w:hAnsi="Times New Roman"/>
          <w:color w:val="000000"/>
          <w:sz w:val="24"/>
          <w:szCs w:val="24"/>
        </w:rPr>
        <w:t xml:space="preserve"> </w:t>
      </w:r>
      <w:r w:rsidRPr="00831157">
        <w:rPr>
          <w:rFonts w:ascii="Times New Roman" w:hAnsi="Times New Roman"/>
          <w:color w:val="000000"/>
          <w:sz w:val="24"/>
          <w:szCs w:val="24"/>
        </w:rPr>
        <w:t>вршење</w:t>
      </w:r>
      <w:r w:rsidR="00212B93" w:rsidRPr="00831157">
        <w:rPr>
          <w:rFonts w:ascii="Times New Roman" w:hAnsi="Times New Roman"/>
          <w:color w:val="000000"/>
          <w:sz w:val="24"/>
          <w:szCs w:val="24"/>
        </w:rPr>
        <w:t xml:space="preserve"> </w:t>
      </w:r>
      <w:r w:rsidRPr="00831157">
        <w:rPr>
          <w:rFonts w:ascii="Times New Roman" w:hAnsi="Times New Roman"/>
          <w:color w:val="000000"/>
          <w:sz w:val="24"/>
          <w:szCs w:val="24"/>
        </w:rPr>
        <w:t>јавне</w:t>
      </w:r>
      <w:r w:rsidR="00212B93" w:rsidRPr="00831157">
        <w:rPr>
          <w:rFonts w:ascii="Times New Roman" w:hAnsi="Times New Roman"/>
          <w:color w:val="000000"/>
          <w:sz w:val="24"/>
          <w:szCs w:val="24"/>
        </w:rPr>
        <w:t xml:space="preserve"> </w:t>
      </w:r>
      <w:r w:rsidRPr="00831157">
        <w:rPr>
          <w:rFonts w:ascii="Times New Roman" w:hAnsi="Times New Roman"/>
          <w:color w:val="000000"/>
          <w:sz w:val="24"/>
          <w:szCs w:val="24"/>
        </w:rPr>
        <w:t>функције</w:t>
      </w:r>
      <w:r w:rsidR="00212B93" w:rsidRPr="00831157">
        <w:rPr>
          <w:rFonts w:ascii="Times New Roman" w:hAnsi="Times New Roman"/>
          <w:color w:val="000000"/>
          <w:sz w:val="24"/>
          <w:szCs w:val="24"/>
        </w:rPr>
        <w:t xml:space="preserve">, </w:t>
      </w:r>
      <w:r w:rsidRPr="00831157">
        <w:rPr>
          <w:rFonts w:ascii="Times New Roman" w:hAnsi="Times New Roman"/>
          <w:color w:val="000000"/>
          <w:sz w:val="24"/>
          <w:szCs w:val="24"/>
        </w:rPr>
        <w:t>односно</w:t>
      </w:r>
      <w:r w:rsidR="00212B93" w:rsidRPr="00831157">
        <w:rPr>
          <w:rFonts w:ascii="Times New Roman" w:hAnsi="Times New Roman"/>
          <w:color w:val="000000"/>
          <w:sz w:val="24"/>
          <w:szCs w:val="24"/>
        </w:rPr>
        <w:t xml:space="preserve"> </w:t>
      </w:r>
      <w:r w:rsidRPr="00831157">
        <w:rPr>
          <w:rFonts w:ascii="Times New Roman" w:hAnsi="Times New Roman"/>
          <w:color w:val="000000"/>
          <w:sz w:val="24"/>
          <w:szCs w:val="24"/>
        </w:rPr>
        <w:t>престаје</w:t>
      </w:r>
      <w:r w:rsidR="00212B93" w:rsidRPr="00831157">
        <w:rPr>
          <w:rFonts w:ascii="Times New Roman" w:hAnsi="Times New Roman"/>
          <w:color w:val="000000"/>
          <w:sz w:val="24"/>
          <w:szCs w:val="24"/>
        </w:rPr>
        <w:t xml:space="preserve"> </w:t>
      </w:r>
      <w:r w:rsidRPr="00831157">
        <w:rPr>
          <w:rFonts w:ascii="Times New Roman" w:hAnsi="Times New Roman"/>
          <w:color w:val="000000"/>
          <w:sz w:val="24"/>
          <w:szCs w:val="24"/>
        </w:rPr>
        <w:t>радни</w:t>
      </w:r>
      <w:r w:rsidR="00235BDD" w:rsidRPr="00831157">
        <w:rPr>
          <w:rFonts w:ascii="Times New Roman" w:hAnsi="Times New Roman"/>
          <w:color w:val="000000"/>
          <w:sz w:val="24"/>
          <w:szCs w:val="24"/>
        </w:rPr>
        <w:t xml:space="preserve"> </w:t>
      </w:r>
      <w:r w:rsidRPr="00831157">
        <w:rPr>
          <w:rFonts w:ascii="Times New Roman" w:hAnsi="Times New Roman"/>
          <w:color w:val="000000"/>
          <w:sz w:val="24"/>
          <w:szCs w:val="24"/>
        </w:rPr>
        <w:t>однос</w:t>
      </w:r>
      <w:r w:rsidR="00235BDD" w:rsidRPr="00831157">
        <w:rPr>
          <w:rFonts w:ascii="Times New Roman" w:hAnsi="Times New Roman"/>
          <w:color w:val="000000"/>
          <w:sz w:val="24"/>
          <w:szCs w:val="24"/>
          <w:lang w:val="sr-Cyrl-CS"/>
        </w:rPr>
        <w:t>.</w:t>
      </w:r>
    </w:p>
    <w:p w:rsidR="00831157" w:rsidRDefault="00831157" w:rsidP="00235BDD">
      <w:pPr>
        <w:pStyle w:val="normal0"/>
        <w:shd w:val="clear" w:color="auto" w:fill="FFFFFF"/>
        <w:spacing w:before="48" w:beforeAutospacing="0" w:after="48" w:afterAutospacing="0"/>
        <w:ind w:firstLine="708"/>
        <w:jc w:val="both"/>
        <w:rPr>
          <w:rFonts w:ascii="Arial" w:hAnsi="Arial" w:cs="Arial"/>
          <w:color w:val="000000"/>
          <w:sz w:val="18"/>
          <w:szCs w:val="18"/>
          <w:lang w:val="sr-Cyrl-CS"/>
        </w:rPr>
      </w:pPr>
    </w:p>
    <w:p w:rsidR="00831157" w:rsidRPr="00235BDD" w:rsidRDefault="00831157" w:rsidP="00235BDD">
      <w:pPr>
        <w:pStyle w:val="normal0"/>
        <w:shd w:val="clear" w:color="auto" w:fill="FFFFFF"/>
        <w:spacing w:before="48" w:beforeAutospacing="0" w:after="48" w:afterAutospacing="0"/>
        <w:ind w:firstLine="708"/>
        <w:jc w:val="both"/>
        <w:rPr>
          <w:rFonts w:ascii="Arial" w:hAnsi="Arial" w:cs="Arial"/>
          <w:color w:val="000000"/>
          <w:sz w:val="18"/>
          <w:szCs w:val="18"/>
          <w:lang w:val="sr-Cyrl-CS"/>
        </w:rPr>
      </w:pPr>
    </w:p>
    <w:p w:rsidR="00F34CAB" w:rsidRDefault="00235BDD" w:rsidP="008A3795">
      <w:pPr>
        <w:pStyle w:val="ListParagraph"/>
        <w:numPr>
          <w:ilvl w:val="1"/>
          <w:numId w:val="25"/>
        </w:numPr>
        <w:jc w:val="center"/>
        <w:rPr>
          <w:rFonts w:ascii="Times New Roman" w:hAnsi="Times New Roman"/>
          <w:b/>
          <w:sz w:val="24"/>
          <w:szCs w:val="24"/>
          <w:lang w:val="sr-Cyrl-CS"/>
        </w:rPr>
      </w:pPr>
      <w:r>
        <w:rPr>
          <w:rFonts w:ascii="Times New Roman" w:hAnsi="Times New Roman"/>
          <w:b/>
          <w:sz w:val="24"/>
          <w:szCs w:val="24"/>
          <w:lang w:val="sr-Cyrl-CS"/>
        </w:rPr>
        <w:t>Инспекцијски органи</w:t>
      </w:r>
    </w:p>
    <w:p w:rsidR="00B479B2" w:rsidRDefault="00B479B2" w:rsidP="00B479B2">
      <w:pPr>
        <w:pStyle w:val="ListParagraph"/>
        <w:ind w:left="1440"/>
        <w:rPr>
          <w:rFonts w:ascii="Times New Roman" w:hAnsi="Times New Roman"/>
          <w:b/>
          <w:sz w:val="24"/>
          <w:szCs w:val="24"/>
          <w:lang w:val="sr-Cyrl-CS"/>
        </w:rPr>
      </w:pPr>
    </w:p>
    <w:p w:rsidR="00B479B2" w:rsidRPr="00235BDD" w:rsidRDefault="00B479B2" w:rsidP="00B479B2">
      <w:pPr>
        <w:pStyle w:val="ListParagraph"/>
        <w:rPr>
          <w:rFonts w:ascii="Times New Roman" w:hAnsi="Times New Roman"/>
          <w:b/>
          <w:sz w:val="24"/>
          <w:szCs w:val="24"/>
          <w:lang w:val="sr-Cyrl-CS"/>
        </w:rPr>
      </w:pPr>
    </w:p>
    <w:p w:rsidR="00F34CAB" w:rsidRDefault="008646F9" w:rsidP="00235BDD">
      <w:pPr>
        <w:ind w:firstLine="708"/>
        <w:jc w:val="both"/>
        <w:rPr>
          <w:rFonts w:ascii="Times New Roman" w:hAnsi="Times New Roman"/>
          <w:sz w:val="24"/>
          <w:szCs w:val="24"/>
          <w:lang w:val="sr-Cyrl-CS"/>
        </w:rPr>
      </w:pPr>
      <w:r>
        <w:rPr>
          <w:rFonts w:ascii="Times New Roman" w:hAnsi="Times New Roman"/>
          <w:sz w:val="24"/>
          <w:szCs w:val="24"/>
          <w:lang w:val="sr-Cyrl-CS"/>
        </w:rPr>
        <w:t>Међу значајне учеснике у</w:t>
      </w:r>
      <w:r w:rsidR="00F34CAB" w:rsidRPr="00F34CAB">
        <w:rPr>
          <w:rFonts w:ascii="Times New Roman" w:hAnsi="Times New Roman"/>
          <w:sz w:val="24"/>
          <w:szCs w:val="24"/>
          <w:lang w:val="sr-Cyrl-CS"/>
        </w:rPr>
        <w:t xml:space="preserve"> борби </w:t>
      </w:r>
      <w:r w:rsidR="0048398A">
        <w:rPr>
          <w:rFonts w:ascii="Times New Roman" w:hAnsi="Times New Roman"/>
          <w:sz w:val="24"/>
          <w:szCs w:val="24"/>
          <w:lang w:val="sr-Cyrl-CS"/>
        </w:rPr>
        <w:t>против привредног криминала и кор</w:t>
      </w:r>
      <w:r w:rsidR="00F34CAB">
        <w:rPr>
          <w:rFonts w:ascii="Times New Roman" w:hAnsi="Times New Roman"/>
          <w:sz w:val="24"/>
          <w:szCs w:val="24"/>
          <w:lang w:val="sr-Cyrl-CS"/>
        </w:rPr>
        <w:t xml:space="preserve">упције </w:t>
      </w:r>
      <w:r w:rsidR="001D0DC4">
        <w:rPr>
          <w:rFonts w:ascii="Times New Roman" w:hAnsi="Times New Roman"/>
          <w:sz w:val="24"/>
          <w:szCs w:val="24"/>
          <w:lang w:val="sr-Cyrl-CS"/>
        </w:rPr>
        <w:t>спадају</w:t>
      </w:r>
      <w:r w:rsidR="00F34CAB">
        <w:rPr>
          <w:rFonts w:ascii="Times New Roman" w:hAnsi="Times New Roman"/>
          <w:sz w:val="24"/>
          <w:szCs w:val="24"/>
          <w:lang w:val="sr-Cyrl-CS"/>
        </w:rPr>
        <w:t xml:space="preserve"> инспекцијски органи, као што </w:t>
      </w:r>
      <w:r w:rsidR="00F3235B">
        <w:rPr>
          <w:rFonts w:ascii="Times New Roman" w:hAnsi="Times New Roman"/>
          <w:sz w:val="24"/>
          <w:szCs w:val="24"/>
          <w:lang w:val="sr-Cyrl-CS"/>
        </w:rPr>
        <w:t>су: тржишна, санитарна, грађевинска, девизна, буџетска и сличне инспекције. То су посебни органи управе који врше надзор над применом закона у оквиру свог делокруга рада. Разноврсност привредног послова</w:t>
      </w:r>
      <w:r w:rsidR="001D0DC4">
        <w:rPr>
          <w:rFonts w:ascii="Times New Roman" w:hAnsi="Times New Roman"/>
          <w:sz w:val="24"/>
          <w:szCs w:val="24"/>
          <w:lang w:val="sr-Cyrl-CS"/>
        </w:rPr>
        <w:t>ња</w:t>
      </w:r>
      <w:r w:rsidR="00F3235B">
        <w:rPr>
          <w:rFonts w:ascii="Times New Roman" w:hAnsi="Times New Roman"/>
          <w:sz w:val="24"/>
          <w:szCs w:val="24"/>
          <w:lang w:val="sr-Cyrl-CS"/>
        </w:rPr>
        <w:t xml:space="preserve"> и разне области где се може јавити корупција чини улогу оваквих инспекција значајним у сузбијању ових негативних појава. </w:t>
      </w:r>
      <w:r w:rsidR="00235BDD">
        <w:rPr>
          <w:rFonts w:ascii="Times New Roman" w:hAnsi="Times New Roman"/>
          <w:sz w:val="24"/>
          <w:szCs w:val="24"/>
          <w:lang w:val="sr-Cyrl-CS"/>
        </w:rPr>
        <w:t xml:space="preserve"> </w:t>
      </w:r>
    </w:p>
    <w:p w:rsidR="008646F9" w:rsidRPr="001B321C" w:rsidRDefault="001D0DC4" w:rsidP="00B479B2">
      <w:pPr>
        <w:jc w:val="both"/>
        <w:rPr>
          <w:rFonts w:ascii="Times New Roman" w:hAnsi="Times New Roman"/>
          <w:sz w:val="24"/>
          <w:szCs w:val="24"/>
          <w:lang w:val="sr-Cyrl-CS"/>
        </w:rPr>
      </w:pPr>
      <w:r>
        <w:rPr>
          <w:rFonts w:ascii="Times New Roman" w:hAnsi="Times New Roman"/>
          <w:sz w:val="24"/>
          <w:szCs w:val="24"/>
          <w:lang w:val="sr-Cyrl-CS"/>
        </w:rPr>
        <w:tab/>
        <w:t>Према Уредби</w:t>
      </w:r>
      <w:r w:rsidR="008646F9">
        <w:rPr>
          <w:rFonts w:ascii="Times New Roman" w:hAnsi="Times New Roman"/>
          <w:sz w:val="24"/>
          <w:szCs w:val="24"/>
          <w:lang w:val="sr-Cyrl-CS"/>
        </w:rPr>
        <w:t xml:space="preserve"> о раду, овлашћењима и обележјима буџетске инспекције</w:t>
      </w:r>
      <w:r>
        <w:rPr>
          <w:rStyle w:val="FootnoteReference"/>
          <w:rFonts w:ascii="Times New Roman" w:hAnsi="Times New Roman"/>
          <w:sz w:val="24"/>
          <w:szCs w:val="24"/>
          <w:lang w:val="sr-Cyrl-CS"/>
        </w:rPr>
        <w:footnoteReference w:id="896"/>
      </w:r>
      <w:r w:rsidR="008646F9">
        <w:rPr>
          <w:rFonts w:ascii="Times New Roman" w:hAnsi="Times New Roman"/>
          <w:sz w:val="24"/>
          <w:szCs w:val="24"/>
          <w:lang w:val="sr-Cyrl-CS"/>
        </w:rPr>
        <w:t xml:space="preserve"> </w:t>
      </w:r>
      <w:r w:rsidR="00011174" w:rsidRPr="001B321C">
        <w:rPr>
          <w:rFonts w:ascii="Times New Roman" w:hAnsi="Times New Roman"/>
          <w:color w:val="000000"/>
          <w:sz w:val="24"/>
          <w:szCs w:val="24"/>
        </w:rPr>
        <w:t>Буџетска</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инспекција</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врши</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контролу</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пословних</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књига</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извештаја</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евиденција</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и</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друге</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документације</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код</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корисника</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буџетских</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средстава</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орган</w:t>
      </w:r>
      <w:r w:rsidRPr="001B321C">
        <w:rPr>
          <w:rFonts w:ascii="Times New Roman" w:hAnsi="Times New Roman"/>
          <w:color w:val="000000"/>
          <w:sz w:val="24"/>
          <w:szCs w:val="24"/>
          <w:lang w:val="sr-Cyrl-CS"/>
        </w:rPr>
        <w:t>а</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и</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организације</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са</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циљем</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да</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утврди</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да</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ли</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су</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средства</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наменски</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и</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законито</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коришћена</w:t>
      </w:r>
      <w:r w:rsidR="008646F9" w:rsidRPr="001B321C">
        <w:rPr>
          <w:rFonts w:ascii="Times New Roman" w:hAnsi="Times New Roman"/>
          <w:color w:val="000000"/>
          <w:sz w:val="24"/>
          <w:szCs w:val="24"/>
        </w:rPr>
        <w:t>.</w:t>
      </w:r>
      <w:r w:rsidRPr="001B321C">
        <w:rPr>
          <w:rFonts w:ascii="Times New Roman" w:hAnsi="Times New Roman"/>
          <w:color w:val="000000"/>
          <w:sz w:val="24"/>
          <w:szCs w:val="24"/>
          <w:lang w:val="sr-Cyrl-CS"/>
        </w:rPr>
        <w:t xml:space="preserve"> </w:t>
      </w:r>
      <w:r w:rsidR="00011174" w:rsidRPr="001B321C">
        <w:rPr>
          <w:rFonts w:ascii="Times New Roman" w:hAnsi="Times New Roman"/>
          <w:color w:val="000000"/>
          <w:sz w:val="24"/>
          <w:szCs w:val="24"/>
        </w:rPr>
        <w:t>Буџетска</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инспекција</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има</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право</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увида</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у</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документацију</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о</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послу</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који</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је</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предмет</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контроле</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и</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код</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других</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правних</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лица</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учесника</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у</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том</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послу</w:t>
      </w:r>
      <w:r w:rsidR="008646F9" w:rsidRPr="001B321C">
        <w:rPr>
          <w:rFonts w:ascii="Times New Roman" w:hAnsi="Times New Roman"/>
          <w:color w:val="000000"/>
          <w:sz w:val="24"/>
          <w:szCs w:val="24"/>
        </w:rPr>
        <w:t>.</w:t>
      </w:r>
    </w:p>
    <w:p w:rsidR="001D0DC4" w:rsidRPr="003B6E4E" w:rsidRDefault="00011174" w:rsidP="003B6E4E">
      <w:pPr>
        <w:ind w:firstLine="708"/>
        <w:jc w:val="both"/>
        <w:rPr>
          <w:rFonts w:ascii="Times New Roman" w:hAnsi="Times New Roman"/>
          <w:sz w:val="24"/>
          <w:szCs w:val="24"/>
          <w:lang w:val="sr-Cyrl-CS"/>
        </w:rPr>
      </w:pPr>
      <w:r w:rsidRPr="003B6E4E">
        <w:rPr>
          <w:rFonts w:ascii="Times New Roman" w:hAnsi="Times New Roman"/>
          <w:sz w:val="24"/>
          <w:szCs w:val="24"/>
        </w:rPr>
        <w:t>Ако</w:t>
      </w:r>
      <w:r w:rsidR="008646F9" w:rsidRPr="003B6E4E">
        <w:rPr>
          <w:rFonts w:ascii="Times New Roman" w:hAnsi="Times New Roman"/>
          <w:sz w:val="24"/>
          <w:szCs w:val="24"/>
        </w:rPr>
        <w:t xml:space="preserve"> </w:t>
      </w:r>
      <w:r w:rsidRPr="003B6E4E">
        <w:rPr>
          <w:rFonts w:ascii="Times New Roman" w:hAnsi="Times New Roman"/>
          <w:sz w:val="24"/>
          <w:szCs w:val="24"/>
        </w:rPr>
        <w:t>се</w:t>
      </w:r>
      <w:r w:rsidR="008646F9" w:rsidRPr="003B6E4E">
        <w:rPr>
          <w:rFonts w:ascii="Times New Roman" w:hAnsi="Times New Roman"/>
          <w:sz w:val="24"/>
          <w:szCs w:val="24"/>
        </w:rPr>
        <w:t xml:space="preserve"> </w:t>
      </w:r>
      <w:r w:rsidRPr="003B6E4E">
        <w:rPr>
          <w:rFonts w:ascii="Times New Roman" w:hAnsi="Times New Roman"/>
          <w:sz w:val="24"/>
          <w:szCs w:val="24"/>
        </w:rPr>
        <w:t>у</w:t>
      </w:r>
      <w:r w:rsidR="008646F9" w:rsidRPr="003B6E4E">
        <w:rPr>
          <w:rFonts w:ascii="Times New Roman" w:hAnsi="Times New Roman"/>
          <w:sz w:val="24"/>
          <w:szCs w:val="24"/>
        </w:rPr>
        <w:t xml:space="preserve"> </w:t>
      </w:r>
      <w:r w:rsidRPr="003B6E4E">
        <w:rPr>
          <w:rFonts w:ascii="Times New Roman" w:hAnsi="Times New Roman"/>
          <w:sz w:val="24"/>
          <w:szCs w:val="24"/>
        </w:rPr>
        <w:t>поступку</w:t>
      </w:r>
      <w:r w:rsidR="008646F9" w:rsidRPr="003B6E4E">
        <w:rPr>
          <w:rFonts w:ascii="Times New Roman" w:hAnsi="Times New Roman"/>
          <w:sz w:val="24"/>
          <w:szCs w:val="24"/>
        </w:rPr>
        <w:t xml:space="preserve"> </w:t>
      </w:r>
      <w:r w:rsidRPr="003B6E4E">
        <w:rPr>
          <w:rFonts w:ascii="Times New Roman" w:hAnsi="Times New Roman"/>
          <w:sz w:val="24"/>
          <w:szCs w:val="24"/>
        </w:rPr>
        <w:t>контроле</w:t>
      </w:r>
      <w:r w:rsidR="008646F9" w:rsidRPr="003B6E4E">
        <w:rPr>
          <w:rFonts w:ascii="Times New Roman" w:hAnsi="Times New Roman"/>
          <w:sz w:val="24"/>
          <w:szCs w:val="24"/>
        </w:rPr>
        <w:t xml:space="preserve"> </w:t>
      </w:r>
      <w:r w:rsidRPr="003B6E4E">
        <w:rPr>
          <w:rFonts w:ascii="Times New Roman" w:hAnsi="Times New Roman"/>
          <w:sz w:val="24"/>
          <w:szCs w:val="24"/>
        </w:rPr>
        <w:t>органа</w:t>
      </w:r>
      <w:r w:rsidR="008646F9" w:rsidRPr="003B6E4E">
        <w:rPr>
          <w:rFonts w:ascii="Times New Roman" w:hAnsi="Times New Roman"/>
          <w:sz w:val="24"/>
          <w:szCs w:val="24"/>
        </w:rPr>
        <w:t xml:space="preserve"> </w:t>
      </w:r>
      <w:r w:rsidRPr="003B6E4E">
        <w:rPr>
          <w:rFonts w:ascii="Times New Roman" w:hAnsi="Times New Roman"/>
          <w:sz w:val="24"/>
          <w:szCs w:val="24"/>
        </w:rPr>
        <w:t>и</w:t>
      </w:r>
      <w:r w:rsidR="008646F9" w:rsidRPr="003B6E4E">
        <w:rPr>
          <w:rFonts w:ascii="Times New Roman" w:hAnsi="Times New Roman"/>
          <w:sz w:val="24"/>
          <w:szCs w:val="24"/>
        </w:rPr>
        <w:t xml:space="preserve"> </w:t>
      </w:r>
      <w:r w:rsidRPr="003B6E4E">
        <w:rPr>
          <w:rFonts w:ascii="Times New Roman" w:hAnsi="Times New Roman"/>
          <w:sz w:val="24"/>
          <w:szCs w:val="24"/>
        </w:rPr>
        <w:t>организација</w:t>
      </w:r>
      <w:r w:rsidR="008646F9" w:rsidRPr="003B6E4E">
        <w:rPr>
          <w:rFonts w:ascii="Times New Roman" w:hAnsi="Times New Roman"/>
          <w:sz w:val="24"/>
          <w:szCs w:val="24"/>
        </w:rPr>
        <w:t xml:space="preserve"> </w:t>
      </w:r>
      <w:r w:rsidRPr="003B6E4E">
        <w:rPr>
          <w:rFonts w:ascii="Times New Roman" w:hAnsi="Times New Roman"/>
          <w:sz w:val="24"/>
          <w:szCs w:val="24"/>
        </w:rPr>
        <w:t>утврди</w:t>
      </w:r>
      <w:r w:rsidR="008646F9" w:rsidRPr="003B6E4E">
        <w:rPr>
          <w:rFonts w:ascii="Times New Roman" w:hAnsi="Times New Roman"/>
          <w:sz w:val="24"/>
          <w:szCs w:val="24"/>
        </w:rPr>
        <w:t xml:space="preserve"> </w:t>
      </w:r>
      <w:r w:rsidRPr="003B6E4E">
        <w:rPr>
          <w:rFonts w:ascii="Times New Roman" w:hAnsi="Times New Roman"/>
          <w:sz w:val="24"/>
          <w:szCs w:val="24"/>
        </w:rPr>
        <w:t>да</w:t>
      </w:r>
      <w:r w:rsidR="008646F9" w:rsidRPr="003B6E4E">
        <w:rPr>
          <w:rFonts w:ascii="Times New Roman" w:hAnsi="Times New Roman"/>
          <w:sz w:val="24"/>
          <w:szCs w:val="24"/>
        </w:rPr>
        <w:t xml:space="preserve"> </w:t>
      </w:r>
      <w:r w:rsidRPr="003B6E4E">
        <w:rPr>
          <w:rFonts w:ascii="Times New Roman" w:hAnsi="Times New Roman"/>
          <w:sz w:val="24"/>
          <w:szCs w:val="24"/>
        </w:rPr>
        <w:t>није</w:t>
      </w:r>
      <w:r w:rsidR="008646F9" w:rsidRPr="003B6E4E">
        <w:rPr>
          <w:rFonts w:ascii="Times New Roman" w:hAnsi="Times New Roman"/>
          <w:sz w:val="24"/>
          <w:szCs w:val="24"/>
        </w:rPr>
        <w:t xml:space="preserve"> </w:t>
      </w:r>
      <w:r w:rsidRPr="003B6E4E">
        <w:rPr>
          <w:rFonts w:ascii="Times New Roman" w:hAnsi="Times New Roman"/>
          <w:sz w:val="24"/>
          <w:szCs w:val="24"/>
        </w:rPr>
        <w:t>извршен</w:t>
      </w:r>
      <w:r w:rsidR="008646F9" w:rsidRPr="003B6E4E">
        <w:rPr>
          <w:rFonts w:ascii="Times New Roman" w:hAnsi="Times New Roman"/>
          <w:sz w:val="24"/>
          <w:szCs w:val="24"/>
        </w:rPr>
        <w:t xml:space="preserve"> </w:t>
      </w:r>
      <w:r w:rsidRPr="003B6E4E">
        <w:rPr>
          <w:rFonts w:ascii="Times New Roman" w:hAnsi="Times New Roman"/>
          <w:sz w:val="24"/>
          <w:szCs w:val="24"/>
        </w:rPr>
        <w:t>попис</w:t>
      </w:r>
      <w:r w:rsidR="008646F9" w:rsidRPr="003B6E4E">
        <w:rPr>
          <w:rFonts w:ascii="Times New Roman" w:hAnsi="Times New Roman"/>
          <w:sz w:val="24"/>
          <w:szCs w:val="24"/>
        </w:rPr>
        <w:t xml:space="preserve">, </w:t>
      </w:r>
      <w:r w:rsidRPr="003B6E4E">
        <w:rPr>
          <w:rFonts w:ascii="Times New Roman" w:hAnsi="Times New Roman"/>
          <w:sz w:val="24"/>
          <w:szCs w:val="24"/>
        </w:rPr>
        <w:t>да</w:t>
      </w:r>
      <w:r w:rsidR="008646F9" w:rsidRPr="003B6E4E">
        <w:rPr>
          <w:rFonts w:ascii="Times New Roman" w:hAnsi="Times New Roman"/>
          <w:sz w:val="24"/>
          <w:szCs w:val="24"/>
        </w:rPr>
        <w:t xml:space="preserve"> </w:t>
      </w:r>
      <w:r w:rsidRPr="003B6E4E">
        <w:rPr>
          <w:rFonts w:ascii="Times New Roman" w:hAnsi="Times New Roman"/>
          <w:sz w:val="24"/>
          <w:szCs w:val="24"/>
        </w:rPr>
        <w:t>није</w:t>
      </w:r>
      <w:r w:rsidR="008646F9" w:rsidRPr="003B6E4E">
        <w:rPr>
          <w:rFonts w:ascii="Times New Roman" w:hAnsi="Times New Roman"/>
          <w:sz w:val="24"/>
          <w:szCs w:val="24"/>
        </w:rPr>
        <w:t xml:space="preserve"> </w:t>
      </w:r>
      <w:r w:rsidRPr="003B6E4E">
        <w:rPr>
          <w:rFonts w:ascii="Times New Roman" w:hAnsi="Times New Roman"/>
          <w:sz w:val="24"/>
          <w:szCs w:val="24"/>
        </w:rPr>
        <w:t>исказано</w:t>
      </w:r>
      <w:r w:rsidR="008646F9" w:rsidRPr="003B6E4E">
        <w:rPr>
          <w:rFonts w:ascii="Times New Roman" w:hAnsi="Times New Roman"/>
          <w:sz w:val="24"/>
          <w:szCs w:val="24"/>
        </w:rPr>
        <w:t xml:space="preserve"> </w:t>
      </w:r>
      <w:r w:rsidRPr="003B6E4E">
        <w:rPr>
          <w:rFonts w:ascii="Times New Roman" w:hAnsi="Times New Roman"/>
          <w:sz w:val="24"/>
          <w:szCs w:val="24"/>
        </w:rPr>
        <w:t>стање</w:t>
      </w:r>
      <w:r w:rsidR="008646F9" w:rsidRPr="003B6E4E">
        <w:rPr>
          <w:rFonts w:ascii="Times New Roman" w:hAnsi="Times New Roman"/>
          <w:sz w:val="24"/>
          <w:szCs w:val="24"/>
        </w:rPr>
        <w:t xml:space="preserve"> </w:t>
      </w:r>
      <w:r w:rsidRPr="003B6E4E">
        <w:rPr>
          <w:rFonts w:ascii="Times New Roman" w:hAnsi="Times New Roman"/>
          <w:sz w:val="24"/>
          <w:szCs w:val="24"/>
        </w:rPr>
        <w:t>имовине</w:t>
      </w:r>
      <w:r w:rsidR="008646F9" w:rsidRPr="003B6E4E">
        <w:rPr>
          <w:rFonts w:ascii="Times New Roman" w:hAnsi="Times New Roman"/>
          <w:sz w:val="24"/>
          <w:szCs w:val="24"/>
        </w:rPr>
        <w:t xml:space="preserve">, </w:t>
      </w:r>
      <w:r w:rsidRPr="003B6E4E">
        <w:rPr>
          <w:rFonts w:ascii="Times New Roman" w:hAnsi="Times New Roman"/>
          <w:sz w:val="24"/>
          <w:szCs w:val="24"/>
        </w:rPr>
        <w:t>капитала</w:t>
      </w:r>
      <w:r w:rsidR="008646F9" w:rsidRPr="003B6E4E">
        <w:rPr>
          <w:rFonts w:ascii="Times New Roman" w:hAnsi="Times New Roman"/>
          <w:sz w:val="24"/>
          <w:szCs w:val="24"/>
        </w:rPr>
        <w:t xml:space="preserve">, </w:t>
      </w:r>
      <w:r w:rsidRPr="003B6E4E">
        <w:rPr>
          <w:rFonts w:ascii="Times New Roman" w:hAnsi="Times New Roman"/>
          <w:sz w:val="24"/>
          <w:szCs w:val="24"/>
        </w:rPr>
        <w:t>обавеза</w:t>
      </w:r>
      <w:r w:rsidR="008646F9" w:rsidRPr="003B6E4E">
        <w:rPr>
          <w:rFonts w:ascii="Times New Roman" w:hAnsi="Times New Roman"/>
          <w:sz w:val="24"/>
          <w:szCs w:val="24"/>
        </w:rPr>
        <w:t xml:space="preserve">, </w:t>
      </w:r>
      <w:r w:rsidRPr="003B6E4E">
        <w:rPr>
          <w:rFonts w:ascii="Times New Roman" w:hAnsi="Times New Roman"/>
          <w:sz w:val="24"/>
          <w:szCs w:val="24"/>
        </w:rPr>
        <w:t>прихода</w:t>
      </w:r>
      <w:r w:rsidR="008646F9" w:rsidRPr="003B6E4E">
        <w:rPr>
          <w:rFonts w:ascii="Times New Roman" w:hAnsi="Times New Roman"/>
          <w:sz w:val="24"/>
          <w:szCs w:val="24"/>
        </w:rPr>
        <w:t xml:space="preserve"> </w:t>
      </w:r>
      <w:r w:rsidRPr="003B6E4E">
        <w:rPr>
          <w:rFonts w:ascii="Times New Roman" w:hAnsi="Times New Roman"/>
          <w:sz w:val="24"/>
          <w:szCs w:val="24"/>
        </w:rPr>
        <w:t>и</w:t>
      </w:r>
      <w:r w:rsidR="008646F9" w:rsidRPr="003B6E4E">
        <w:rPr>
          <w:rFonts w:ascii="Times New Roman" w:hAnsi="Times New Roman"/>
          <w:sz w:val="24"/>
          <w:szCs w:val="24"/>
        </w:rPr>
        <w:t xml:space="preserve"> </w:t>
      </w:r>
      <w:r w:rsidRPr="003B6E4E">
        <w:rPr>
          <w:rFonts w:ascii="Times New Roman" w:hAnsi="Times New Roman"/>
          <w:sz w:val="24"/>
          <w:szCs w:val="24"/>
        </w:rPr>
        <w:t>расхода</w:t>
      </w:r>
      <w:r w:rsidR="008646F9" w:rsidRPr="003B6E4E">
        <w:rPr>
          <w:rFonts w:ascii="Times New Roman" w:hAnsi="Times New Roman"/>
          <w:sz w:val="24"/>
          <w:szCs w:val="24"/>
        </w:rPr>
        <w:t xml:space="preserve"> </w:t>
      </w:r>
      <w:r w:rsidRPr="003B6E4E">
        <w:rPr>
          <w:rFonts w:ascii="Times New Roman" w:hAnsi="Times New Roman"/>
          <w:sz w:val="24"/>
          <w:szCs w:val="24"/>
        </w:rPr>
        <w:t>или</w:t>
      </w:r>
      <w:r w:rsidR="008646F9" w:rsidRPr="003B6E4E">
        <w:rPr>
          <w:rFonts w:ascii="Times New Roman" w:hAnsi="Times New Roman"/>
          <w:sz w:val="24"/>
          <w:szCs w:val="24"/>
        </w:rPr>
        <w:t xml:space="preserve"> </w:t>
      </w:r>
      <w:r w:rsidRPr="003B6E4E">
        <w:rPr>
          <w:rFonts w:ascii="Times New Roman" w:hAnsi="Times New Roman"/>
          <w:sz w:val="24"/>
          <w:szCs w:val="24"/>
        </w:rPr>
        <w:t>финансијског</w:t>
      </w:r>
      <w:r w:rsidR="008646F9" w:rsidRPr="003B6E4E">
        <w:rPr>
          <w:rFonts w:ascii="Times New Roman" w:hAnsi="Times New Roman"/>
          <w:sz w:val="24"/>
          <w:szCs w:val="24"/>
        </w:rPr>
        <w:t xml:space="preserve"> </w:t>
      </w:r>
      <w:r w:rsidRPr="003B6E4E">
        <w:rPr>
          <w:rFonts w:ascii="Times New Roman" w:hAnsi="Times New Roman"/>
          <w:sz w:val="24"/>
          <w:szCs w:val="24"/>
        </w:rPr>
        <w:t>резултата</w:t>
      </w:r>
      <w:r w:rsidR="008646F9" w:rsidRPr="003B6E4E">
        <w:rPr>
          <w:rFonts w:ascii="Times New Roman" w:hAnsi="Times New Roman"/>
          <w:sz w:val="24"/>
          <w:szCs w:val="24"/>
        </w:rPr>
        <w:t xml:space="preserve">, </w:t>
      </w:r>
      <w:r w:rsidRPr="003B6E4E">
        <w:rPr>
          <w:rFonts w:ascii="Times New Roman" w:hAnsi="Times New Roman"/>
          <w:sz w:val="24"/>
          <w:szCs w:val="24"/>
        </w:rPr>
        <w:t>односно</w:t>
      </w:r>
      <w:r w:rsidR="008646F9" w:rsidRPr="003B6E4E">
        <w:rPr>
          <w:rFonts w:ascii="Times New Roman" w:hAnsi="Times New Roman"/>
          <w:sz w:val="24"/>
          <w:szCs w:val="24"/>
        </w:rPr>
        <w:t xml:space="preserve"> </w:t>
      </w:r>
      <w:r w:rsidRPr="003B6E4E">
        <w:rPr>
          <w:rFonts w:ascii="Times New Roman" w:hAnsi="Times New Roman"/>
          <w:sz w:val="24"/>
          <w:szCs w:val="24"/>
        </w:rPr>
        <w:t>да</w:t>
      </w:r>
      <w:r w:rsidR="008646F9" w:rsidRPr="003B6E4E">
        <w:rPr>
          <w:rFonts w:ascii="Times New Roman" w:hAnsi="Times New Roman"/>
          <w:sz w:val="24"/>
          <w:szCs w:val="24"/>
        </w:rPr>
        <w:t xml:space="preserve"> </w:t>
      </w:r>
      <w:r w:rsidRPr="003B6E4E">
        <w:rPr>
          <w:rFonts w:ascii="Times New Roman" w:hAnsi="Times New Roman"/>
          <w:sz w:val="24"/>
          <w:szCs w:val="24"/>
        </w:rPr>
        <w:t>књиговодствене</w:t>
      </w:r>
      <w:r w:rsidR="008646F9" w:rsidRPr="003B6E4E">
        <w:rPr>
          <w:rFonts w:ascii="Times New Roman" w:hAnsi="Times New Roman"/>
          <w:sz w:val="24"/>
          <w:szCs w:val="24"/>
        </w:rPr>
        <w:t xml:space="preserve"> </w:t>
      </w:r>
      <w:r w:rsidRPr="003B6E4E">
        <w:rPr>
          <w:rFonts w:ascii="Times New Roman" w:hAnsi="Times New Roman"/>
          <w:sz w:val="24"/>
          <w:szCs w:val="24"/>
        </w:rPr>
        <w:t>евиденције</w:t>
      </w:r>
      <w:r w:rsidR="008646F9" w:rsidRPr="003B6E4E">
        <w:rPr>
          <w:rFonts w:ascii="Times New Roman" w:hAnsi="Times New Roman"/>
          <w:sz w:val="24"/>
          <w:szCs w:val="24"/>
        </w:rPr>
        <w:t xml:space="preserve"> </w:t>
      </w:r>
      <w:r w:rsidRPr="003B6E4E">
        <w:rPr>
          <w:rFonts w:ascii="Times New Roman" w:hAnsi="Times New Roman"/>
          <w:sz w:val="24"/>
          <w:szCs w:val="24"/>
        </w:rPr>
        <w:t>нису</w:t>
      </w:r>
      <w:r w:rsidR="008646F9" w:rsidRPr="003B6E4E">
        <w:rPr>
          <w:rFonts w:ascii="Times New Roman" w:hAnsi="Times New Roman"/>
          <w:sz w:val="24"/>
          <w:szCs w:val="24"/>
        </w:rPr>
        <w:t xml:space="preserve"> </w:t>
      </w:r>
      <w:r w:rsidRPr="003B6E4E">
        <w:rPr>
          <w:rFonts w:ascii="Times New Roman" w:hAnsi="Times New Roman"/>
          <w:sz w:val="24"/>
          <w:szCs w:val="24"/>
        </w:rPr>
        <w:t>потпуне</w:t>
      </w:r>
      <w:r w:rsidR="008646F9" w:rsidRPr="003B6E4E">
        <w:rPr>
          <w:rFonts w:ascii="Times New Roman" w:hAnsi="Times New Roman"/>
          <w:sz w:val="24"/>
          <w:szCs w:val="24"/>
        </w:rPr>
        <w:t xml:space="preserve">, </w:t>
      </w:r>
      <w:r w:rsidRPr="003B6E4E">
        <w:rPr>
          <w:rFonts w:ascii="Times New Roman" w:hAnsi="Times New Roman"/>
          <w:sz w:val="24"/>
          <w:szCs w:val="24"/>
        </w:rPr>
        <w:t>уредне</w:t>
      </w:r>
      <w:r w:rsidR="008646F9" w:rsidRPr="003B6E4E">
        <w:rPr>
          <w:rFonts w:ascii="Times New Roman" w:hAnsi="Times New Roman"/>
          <w:sz w:val="24"/>
          <w:szCs w:val="24"/>
        </w:rPr>
        <w:t xml:space="preserve"> </w:t>
      </w:r>
      <w:r w:rsidRPr="003B6E4E">
        <w:rPr>
          <w:rFonts w:ascii="Times New Roman" w:hAnsi="Times New Roman"/>
          <w:sz w:val="24"/>
          <w:szCs w:val="24"/>
        </w:rPr>
        <w:t>или</w:t>
      </w:r>
      <w:r w:rsidR="008646F9" w:rsidRPr="003B6E4E">
        <w:rPr>
          <w:rFonts w:ascii="Times New Roman" w:hAnsi="Times New Roman"/>
          <w:sz w:val="24"/>
          <w:szCs w:val="24"/>
        </w:rPr>
        <w:t xml:space="preserve"> </w:t>
      </w:r>
      <w:r w:rsidRPr="003B6E4E">
        <w:rPr>
          <w:rFonts w:ascii="Times New Roman" w:hAnsi="Times New Roman"/>
          <w:sz w:val="24"/>
          <w:szCs w:val="24"/>
        </w:rPr>
        <w:t>ажурне</w:t>
      </w:r>
      <w:r w:rsidR="008646F9" w:rsidRPr="003B6E4E">
        <w:rPr>
          <w:rFonts w:ascii="Times New Roman" w:hAnsi="Times New Roman"/>
          <w:sz w:val="24"/>
          <w:szCs w:val="24"/>
        </w:rPr>
        <w:t xml:space="preserve">, </w:t>
      </w:r>
      <w:r w:rsidRPr="003B6E4E">
        <w:rPr>
          <w:rFonts w:ascii="Times New Roman" w:hAnsi="Times New Roman"/>
          <w:sz w:val="24"/>
          <w:szCs w:val="24"/>
        </w:rPr>
        <w:t>или</w:t>
      </w:r>
      <w:r w:rsidR="008646F9" w:rsidRPr="003B6E4E">
        <w:rPr>
          <w:rFonts w:ascii="Times New Roman" w:hAnsi="Times New Roman"/>
          <w:sz w:val="24"/>
          <w:szCs w:val="24"/>
        </w:rPr>
        <w:t xml:space="preserve"> </w:t>
      </w:r>
      <w:r w:rsidRPr="003B6E4E">
        <w:rPr>
          <w:rFonts w:ascii="Times New Roman" w:hAnsi="Times New Roman"/>
          <w:sz w:val="24"/>
          <w:szCs w:val="24"/>
        </w:rPr>
        <w:t>да</w:t>
      </w:r>
      <w:r w:rsidR="008646F9" w:rsidRPr="003B6E4E">
        <w:rPr>
          <w:rFonts w:ascii="Times New Roman" w:hAnsi="Times New Roman"/>
          <w:sz w:val="24"/>
          <w:szCs w:val="24"/>
        </w:rPr>
        <w:t xml:space="preserve"> </w:t>
      </w:r>
      <w:r w:rsidRPr="003B6E4E">
        <w:rPr>
          <w:rFonts w:ascii="Times New Roman" w:hAnsi="Times New Roman"/>
          <w:sz w:val="24"/>
          <w:szCs w:val="24"/>
        </w:rPr>
        <w:t>обрачуни</w:t>
      </w:r>
      <w:r w:rsidR="008646F9" w:rsidRPr="003B6E4E">
        <w:rPr>
          <w:rFonts w:ascii="Times New Roman" w:hAnsi="Times New Roman"/>
          <w:sz w:val="24"/>
          <w:szCs w:val="24"/>
        </w:rPr>
        <w:t xml:space="preserve"> </w:t>
      </w:r>
      <w:r w:rsidRPr="003B6E4E">
        <w:rPr>
          <w:rFonts w:ascii="Times New Roman" w:hAnsi="Times New Roman"/>
          <w:sz w:val="24"/>
          <w:szCs w:val="24"/>
        </w:rPr>
        <w:t>нису</w:t>
      </w:r>
      <w:r w:rsidR="008646F9" w:rsidRPr="003B6E4E">
        <w:rPr>
          <w:rFonts w:ascii="Times New Roman" w:hAnsi="Times New Roman"/>
          <w:sz w:val="24"/>
          <w:szCs w:val="24"/>
        </w:rPr>
        <w:t xml:space="preserve"> </w:t>
      </w:r>
      <w:r w:rsidRPr="003B6E4E">
        <w:rPr>
          <w:rFonts w:ascii="Times New Roman" w:hAnsi="Times New Roman"/>
          <w:sz w:val="24"/>
          <w:szCs w:val="24"/>
        </w:rPr>
        <w:t>урађени</w:t>
      </w:r>
      <w:r w:rsidR="008646F9" w:rsidRPr="003B6E4E">
        <w:rPr>
          <w:rFonts w:ascii="Times New Roman" w:hAnsi="Times New Roman"/>
          <w:sz w:val="24"/>
          <w:szCs w:val="24"/>
        </w:rPr>
        <w:t xml:space="preserve"> </w:t>
      </w:r>
      <w:r w:rsidRPr="003B6E4E">
        <w:rPr>
          <w:rFonts w:ascii="Times New Roman" w:hAnsi="Times New Roman"/>
          <w:sz w:val="24"/>
          <w:szCs w:val="24"/>
        </w:rPr>
        <w:t>на</w:t>
      </w:r>
      <w:r w:rsidR="008646F9" w:rsidRPr="003B6E4E">
        <w:rPr>
          <w:rFonts w:ascii="Times New Roman" w:hAnsi="Times New Roman"/>
          <w:sz w:val="24"/>
          <w:szCs w:val="24"/>
        </w:rPr>
        <w:t xml:space="preserve"> </w:t>
      </w:r>
      <w:r w:rsidRPr="003B6E4E">
        <w:rPr>
          <w:rFonts w:ascii="Times New Roman" w:hAnsi="Times New Roman"/>
          <w:sz w:val="24"/>
          <w:szCs w:val="24"/>
        </w:rPr>
        <w:t>прописани</w:t>
      </w:r>
      <w:r w:rsidR="008646F9" w:rsidRPr="003B6E4E">
        <w:rPr>
          <w:rFonts w:ascii="Times New Roman" w:hAnsi="Times New Roman"/>
          <w:sz w:val="24"/>
          <w:szCs w:val="24"/>
        </w:rPr>
        <w:t xml:space="preserve"> </w:t>
      </w:r>
      <w:r w:rsidRPr="003B6E4E">
        <w:rPr>
          <w:rFonts w:ascii="Times New Roman" w:hAnsi="Times New Roman"/>
          <w:sz w:val="24"/>
          <w:szCs w:val="24"/>
        </w:rPr>
        <w:t>начин</w:t>
      </w:r>
      <w:r w:rsidR="008646F9" w:rsidRPr="003B6E4E">
        <w:rPr>
          <w:rFonts w:ascii="Times New Roman" w:hAnsi="Times New Roman"/>
          <w:sz w:val="24"/>
          <w:szCs w:val="24"/>
        </w:rPr>
        <w:t xml:space="preserve">, </w:t>
      </w:r>
      <w:r w:rsidRPr="003B6E4E">
        <w:rPr>
          <w:rFonts w:ascii="Times New Roman" w:hAnsi="Times New Roman"/>
          <w:sz w:val="24"/>
          <w:szCs w:val="24"/>
        </w:rPr>
        <w:t>услед</w:t>
      </w:r>
      <w:r w:rsidR="008646F9" w:rsidRPr="003B6E4E">
        <w:rPr>
          <w:rFonts w:ascii="Times New Roman" w:hAnsi="Times New Roman"/>
          <w:sz w:val="24"/>
          <w:szCs w:val="24"/>
        </w:rPr>
        <w:t xml:space="preserve"> </w:t>
      </w:r>
      <w:r w:rsidRPr="003B6E4E">
        <w:rPr>
          <w:rFonts w:ascii="Times New Roman" w:hAnsi="Times New Roman"/>
          <w:sz w:val="24"/>
          <w:szCs w:val="24"/>
        </w:rPr>
        <w:t>чега</w:t>
      </w:r>
      <w:r w:rsidR="008646F9" w:rsidRPr="003B6E4E">
        <w:rPr>
          <w:rFonts w:ascii="Times New Roman" w:hAnsi="Times New Roman"/>
          <w:sz w:val="24"/>
          <w:szCs w:val="24"/>
        </w:rPr>
        <w:t xml:space="preserve"> </w:t>
      </w:r>
      <w:r w:rsidRPr="003B6E4E">
        <w:rPr>
          <w:rFonts w:ascii="Times New Roman" w:hAnsi="Times New Roman"/>
          <w:sz w:val="24"/>
          <w:szCs w:val="24"/>
        </w:rPr>
        <w:t>није</w:t>
      </w:r>
      <w:r w:rsidR="008646F9" w:rsidRPr="003B6E4E">
        <w:rPr>
          <w:rFonts w:ascii="Times New Roman" w:hAnsi="Times New Roman"/>
          <w:sz w:val="24"/>
          <w:szCs w:val="24"/>
        </w:rPr>
        <w:t xml:space="preserve"> </w:t>
      </w:r>
      <w:r w:rsidRPr="003B6E4E">
        <w:rPr>
          <w:rFonts w:ascii="Times New Roman" w:hAnsi="Times New Roman"/>
          <w:sz w:val="24"/>
          <w:szCs w:val="24"/>
        </w:rPr>
        <w:t>могуће</w:t>
      </w:r>
      <w:r w:rsidR="008646F9" w:rsidRPr="003B6E4E">
        <w:rPr>
          <w:rFonts w:ascii="Times New Roman" w:hAnsi="Times New Roman"/>
          <w:sz w:val="24"/>
          <w:szCs w:val="24"/>
        </w:rPr>
        <w:t xml:space="preserve"> </w:t>
      </w:r>
      <w:r w:rsidRPr="003B6E4E">
        <w:rPr>
          <w:rFonts w:ascii="Times New Roman" w:hAnsi="Times New Roman"/>
          <w:sz w:val="24"/>
          <w:szCs w:val="24"/>
        </w:rPr>
        <w:t>обавити</w:t>
      </w:r>
      <w:r w:rsidR="008646F9" w:rsidRPr="003B6E4E">
        <w:rPr>
          <w:rFonts w:ascii="Times New Roman" w:hAnsi="Times New Roman"/>
          <w:sz w:val="24"/>
          <w:szCs w:val="24"/>
        </w:rPr>
        <w:t xml:space="preserve"> </w:t>
      </w:r>
      <w:r w:rsidRPr="003B6E4E">
        <w:rPr>
          <w:rFonts w:ascii="Times New Roman" w:hAnsi="Times New Roman"/>
          <w:sz w:val="24"/>
          <w:szCs w:val="24"/>
        </w:rPr>
        <w:t>контролу</w:t>
      </w:r>
      <w:r w:rsidR="008646F9" w:rsidRPr="003B6E4E">
        <w:rPr>
          <w:rFonts w:ascii="Times New Roman" w:hAnsi="Times New Roman"/>
          <w:sz w:val="24"/>
          <w:szCs w:val="24"/>
        </w:rPr>
        <w:t xml:space="preserve">, </w:t>
      </w:r>
      <w:r w:rsidRPr="003B6E4E">
        <w:rPr>
          <w:rFonts w:ascii="Times New Roman" w:hAnsi="Times New Roman"/>
          <w:sz w:val="24"/>
          <w:szCs w:val="24"/>
        </w:rPr>
        <w:t>буџетски</w:t>
      </w:r>
      <w:r w:rsidR="008646F9" w:rsidRPr="003B6E4E">
        <w:rPr>
          <w:rFonts w:ascii="Times New Roman" w:hAnsi="Times New Roman"/>
          <w:sz w:val="24"/>
          <w:szCs w:val="24"/>
        </w:rPr>
        <w:t xml:space="preserve"> </w:t>
      </w:r>
      <w:r w:rsidRPr="003B6E4E">
        <w:rPr>
          <w:rFonts w:ascii="Times New Roman" w:hAnsi="Times New Roman"/>
          <w:sz w:val="24"/>
          <w:szCs w:val="24"/>
        </w:rPr>
        <w:t>инспектор</w:t>
      </w:r>
      <w:r w:rsidR="008646F9" w:rsidRPr="003B6E4E">
        <w:rPr>
          <w:rFonts w:ascii="Times New Roman" w:hAnsi="Times New Roman"/>
          <w:sz w:val="24"/>
          <w:szCs w:val="24"/>
        </w:rPr>
        <w:t xml:space="preserve"> </w:t>
      </w:r>
      <w:r w:rsidRPr="003B6E4E">
        <w:rPr>
          <w:rFonts w:ascii="Times New Roman" w:hAnsi="Times New Roman"/>
          <w:sz w:val="24"/>
          <w:szCs w:val="24"/>
        </w:rPr>
        <w:t>ће</w:t>
      </w:r>
      <w:r w:rsidR="008646F9" w:rsidRPr="003B6E4E">
        <w:rPr>
          <w:rFonts w:ascii="Times New Roman" w:hAnsi="Times New Roman"/>
          <w:sz w:val="24"/>
          <w:szCs w:val="24"/>
        </w:rPr>
        <w:t xml:space="preserve"> </w:t>
      </w:r>
      <w:r w:rsidRPr="003B6E4E">
        <w:rPr>
          <w:rFonts w:ascii="Times New Roman" w:hAnsi="Times New Roman"/>
          <w:sz w:val="24"/>
          <w:szCs w:val="24"/>
        </w:rPr>
        <w:t>закључком</w:t>
      </w:r>
      <w:r w:rsidR="008646F9" w:rsidRPr="003B6E4E">
        <w:rPr>
          <w:rFonts w:ascii="Times New Roman" w:hAnsi="Times New Roman"/>
          <w:sz w:val="24"/>
          <w:szCs w:val="24"/>
        </w:rPr>
        <w:t xml:space="preserve"> </w:t>
      </w:r>
      <w:r w:rsidRPr="003B6E4E">
        <w:rPr>
          <w:rFonts w:ascii="Times New Roman" w:hAnsi="Times New Roman"/>
          <w:sz w:val="24"/>
          <w:szCs w:val="24"/>
        </w:rPr>
        <w:t>наложити</w:t>
      </w:r>
      <w:r w:rsidR="008646F9" w:rsidRPr="003B6E4E">
        <w:rPr>
          <w:rFonts w:ascii="Times New Roman" w:hAnsi="Times New Roman"/>
          <w:sz w:val="24"/>
          <w:szCs w:val="24"/>
        </w:rPr>
        <w:t xml:space="preserve"> </w:t>
      </w:r>
      <w:r w:rsidRPr="003B6E4E">
        <w:rPr>
          <w:rFonts w:ascii="Times New Roman" w:hAnsi="Times New Roman"/>
          <w:sz w:val="24"/>
          <w:szCs w:val="24"/>
        </w:rPr>
        <w:t>да</w:t>
      </w:r>
      <w:r w:rsidR="008646F9" w:rsidRPr="003B6E4E">
        <w:rPr>
          <w:rFonts w:ascii="Times New Roman" w:hAnsi="Times New Roman"/>
          <w:sz w:val="24"/>
          <w:szCs w:val="24"/>
        </w:rPr>
        <w:t xml:space="preserve"> </w:t>
      </w:r>
      <w:r w:rsidRPr="003B6E4E">
        <w:rPr>
          <w:rFonts w:ascii="Times New Roman" w:hAnsi="Times New Roman"/>
          <w:sz w:val="24"/>
          <w:szCs w:val="24"/>
        </w:rPr>
        <w:t>се</w:t>
      </w:r>
      <w:r w:rsidR="008646F9" w:rsidRPr="003B6E4E">
        <w:rPr>
          <w:rFonts w:ascii="Times New Roman" w:hAnsi="Times New Roman"/>
          <w:sz w:val="24"/>
          <w:szCs w:val="24"/>
        </w:rPr>
        <w:t xml:space="preserve"> </w:t>
      </w:r>
      <w:r w:rsidRPr="003B6E4E">
        <w:rPr>
          <w:rFonts w:ascii="Times New Roman" w:hAnsi="Times New Roman"/>
          <w:sz w:val="24"/>
          <w:szCs w:val="24"/>
        </w:rPr>
        <w:t>недостаци</w:t>
      </w:r>
      <w:r w:rsidR="008646F9" w:rsidRPr="003B6E4E">
        <w:rPr>
          <w:rFonts w:ascii="Times New Roman" w:hAnsi="Times New Roman"/>
          <w:sz w:val="24"/>
          <w:szCs w:val="24"/>
        </w:rPr>
        <w:t xml:space="preserve"> </w:t>
      </w:r>
      <w:r w:rsidRPr="003B6E4E">
        <w:rPr>
          <w:rFonts w:ascii="Times New Roman" w:hAnsi="Times New Roman"/>
          <w:sz w:val="24"/>
          <w:szCs w:val="24"/>
        </w:rPr>
        <w:t>отклоне</w:t>
      </w:r>
      <w:r w:rsidR="008646F9" w:rsidRPr="003B6E4E">
        <w:rPr>
          <w:rFonts w:ascii="Times New Roman" w:hAnsi="Times New Roman"/>
          <w:sz w:val="24"/>
          <w:szCs w:val="24"/>
        </w:rPr>
        <w:t>.</w:t>
      </w:r>
      <w:r w:rsidR="001D0DC4" w:rsidRPr="003B6E4E">
        <w:rPr>
          <w:rFonts w:ascii="Times New Roman" w:hAnsi="Times New Roman"/>
          <w:sz w:val="24"/>
          <w:szCs w:val="24"/>
          <w:lang w:val="sr-Cyrl-CS"/>
        </w:rPr>
        <w:t xml:space="preserve"> </w:t>
      </w:r>
    </w:p>
    <w:p w:rsidR="008646F9" w:rsidRPr="003B6E4E" w:rsidRDefault="00011174" w:rsidP="003B6E4E">
      <w:pPr>
        <w:ind w:firstLine="708"/>
        <w:jc w:val="both"/>
        <w:rPr>
          <w:rFonts w:ascii="Times New Roman" w:hAnsi="Times New Roman"/>
          <w:sz w:val="24"/>
          <w:szCs w:val="24"/>
          <w:lang w:val="sr-Cyrl-CS"/>
        </w:rPr>
      </w:pPr>
      <w:r w:rsidRPr="003B6E4E">
        <w:rPr>
          <w:rFonts w:ascii="Times New Roman" w:hAnsi="Times New Roman"/>
          <w:sz w:val="24"/>
          <w:szCs w:val="24"/>
        </w:rPr>
        <w:t>О</w:t>
      </w:r>
      <w:r w:rsidR="008646F9" w:rsidRPr="003B6E4E">
        <w:rPr>
          <w:rFonts w:ascii="Times New Roman" w:hAnsi="Times New Roman"/>
          <w:sz w:val="24"/>
          <w:szCs w:val="24"/>
        </w:rPr>
        <w:t xml:space="preserve"> </w:t>
      </w:r>
      <w:r w:rsidRPr="003B6E4E">
        <w:rPr>
          <w:rFonts w:ascii="Times New Roman" w:hAnsi="Times New Roman"/>
          <w:sz w:val="24"/>
          <w:szCs w:val="24"/>
        </w:rPr>
        <w:t>извршеној</w:t>
      </w:r>
      <w:r w:rsidR="008646F9" w:rsidRPr="003B6E4E">
        <w:rPr>
          <w:rFonts w:ascii="Times New Roman" w:hAnsi="Times New Roman"/>
          <w:sz w:val="24"/>
          <w:szCs w:val="24"/>
        </w:rPr>
        <w:t xml:space="preserve"> </w:t>
      </w:r>
      <w:r w:rsidRPr="003B6E4E">
        <w:rPr>
          <w:rFonts w:ascii="Times New Roman" w:hAnsi="Times New Roman"/>
          <w:sz w:val="24"/>
          <w:szCs w:val="24"/>
        </w:rPr>
        <w:t>контроли</w:t>
      </w:r>
      <w:r w:rsidR="008646F9" w:rsidRPr="003B6E4E">
        <w:rPr>
          <w:rFonts w:ascii="Times New Roman" w:hAnsi="Times New Roman"/>
          <w:sz w:val="24"/>
          <w:szCs w:val="24"/>
        </w:rPr>
        <w:t xml:space="preserve"> </w:t>
      </w:r>
      <w:r w:rsidRPr="003B6E4E">
        <w:rPr>
          <w:rFonts w:ascii="Times New Roman" w:hAnsi="Times New Roman"/>
          <w:sz w:val="24"/>
          <w:szCs w:val="24"/>
        </w:rPr>
        <w:t>саставља</w:t>
      </w:r>
      <w:r w:rsidR="008646F9" w:rsidRPr="003B6E4E">
        <w:rPr>
          <w:rFonts w:ascii="Times New Roman" w:hAnsi="Times New Roman"/>
          <w:sz w:val="24"/>
          <w:szCs w:val="24"/>
        </w:rPr>
        <w:t xml:space="preserve"> </w:t>
      </w:r>
      <w:r w:rsidRPr="003B6E4E">
        <w:rPr>
          <w:rFonts w:ascii="Times New Roman" w:hAnsi="Times New Roman"/>
          <w:sz w:val="24"/>
          <w:szCs w:val="24"/>
        </w:rPr>
        <w:t>се</w:t>
      </w:r>
      <w:r w:rsidR="008646F9" w:rsidRPr="003B6E4E">
        <w:rPr>
          <w:rFonts w:ascii="Times New Roman" w:hAnsi="Times New Roman"/>
          <w:sz w:val="24"/>
          <w:szCs w:val="24"/>
        </w:rPr>
        <w:t xml:space="preserve"> </w:t>
      </w:r>
      <w:r w:rsidRPr="003B6E4E">
        <w:rPr>
          <w:rFonts w:ascii="Times New Roman" w:hAnsi="Times New Roman"/>
          <w:sz w:val="24"/>
          <w:szCs w:val="24"/>
        </w:rPr>
        <w:t>записник</w:t>
      </w:r>
      <w:r w:rsidR="008646F9" w:rsidRPr="003B6E4E">
        <w:rPr>
          <w:rFonts w:ascii="Times New Roman" w:hAnsi="Times New Roman"/>
          <w:sz w:val="24"/>
          <w:szCs w:val="24"/>
        </w:rPr>
        <w:t xml:space="preserve"> </w:t>
      </w:r>
      <w:r w:rsidRPr="003B6E4E">
        <w:rPr>
          <w:rFonts w:ascii="Times New Roman" w:hAnsi="Times New Roman"/>
          <w:sz w:val="24"/>
          <w:szCs w:val="24"/>
        </w:rPr>
        <w:t>у</w:t>
      </w:r>
      <w:r w:rsidR="008646F9" w:rsidRPr="003B6E4E">
        <w:rPr>
          <w:rFonts w:ascii="Times New Roman" w:hAnsi="Times New Roman"/>
          <w:sz w:val="24"/>
          <w:szCs w:val="24"/>
        </w:rPr>
        <w:t xml:space="preserve"> </w:t>
      </w:r>
      <w:r w:rsidRPr="003B6E4E">
        <w:rPr>
          <w:rFonts w:ascii="Times New Roman" w:hAnsi="Times New Roman"/>
          <w:sz w:val="24"/>
          <w:szCs w:val="24"/>
        </w:rPr>
        <w:t>складу</w:t>
      </w:r>
      <w:r w:rsidR="008646F9" w:rsidRPr="003B6E4E">
        <w:rPr>
          <w:rFonts w:ascii="Times New Roman" w:hAnsi="Times New Roman"/>
          <w:sz w:val="24"/>
          <w:szCs w:val="24"/>
        </w:rPr>
        <w:t xml:space="preserve"> </w:t>
      </w:r>
      <w:r w:rsidRPr="003B6E4E">
        <w:rPr>
          <w:rFonts w:ascii="Times New Roman" w:hAnsi="Times New Roman"/>
          <w:sz w:val="24"/>
          <w:szCs w:val="24"/>
        </w:rPr>
        <w:t>са</w:t>
      </w:r>
      <w:r w:rsidR="008646F9" w:rsidRPr="003B6E4E">
        <w:rPr>
          <w:rFonts w:ascii="Times New Roman" w:hAnsi="Times New Roman"/>
          <w:sz w:val="24"/>
          <w:szCs w:val="24"/>
        </w:rPr>
        <w:t xml:space="preserve"> </w:t>
      </w:r>
      <w:r w:rsidRPr="003B6E4E">
        <w:rPr>
          <w:rFonts w:ascii="Times New Roman" w:hAnsi="Times New Roman"/>
          <w:sz w:val="24"/>
          <w:szCs w:val="24"/>
        </w:rPr>
        <w:t>законом</w:t>
      </w:r>
      <w:r w:rsidR="008646F9" w:rsidRPr="003B6E4E">
        <w:rPr>
          <w:rFonts w:ascii="Times New Roman" w:hAnsi="Times New Roman"/>
          <w:sz w:val="24"/>
          <w:szCs w:val="24"/>
        </w:rPr>
        <w:t>.</w:t>
      </w:r>
      <w:r w:rsidR="001D0DC4" w:rsidRPr="003B6E4E">
        <w:rPr>
          <w:rFonts w:ascii="Times New Roman" w:hAnsi="Times New Roman"/>
          <w:sz w:val="24"/>
          <w:szCs w:val="24"/>
          <w:lang w:val="sr-Cyrl-CS"/>
        </w:rPr>
        <w:t xml:space="preserve"> </w:t>
      </w:r>
      <w:r w:rsidRPr="003B6E4E">
        <w:rPr>
          <w:rFonts w:ascii="Times New Roman" w:hAnsi="Times New Roman"/>
          <w:sz w:val="24"/>
          <w:szCs w:val="24"/>
        </w:rPr>
        <w:t>Буџетски</w:t>
      </w:r>
      <w:r w:rsidR="008646F9" w:rsidRPr="003B6E4E">
        <w:rPr>
          <w:rFonts w:ascii="Times New Roman" w:hAnsi="Times New Roman"/>
          <w:sz w:val="24"/>
          <w:szCs w:val="24"/>
        </w:rPr>
        <w:t xml:space="preserve"> </w:t>
      </w:r>
      <w:r w:rsidRPr="003B6E4E">
        <w:rPr>
          <w:rFonts w:ascii="Times New Roman" w:hAnsi="Times New Roman"/>
          <w:sz w:val="24"/>
          <w:szCs w:val="24"/>
        </w:rPr>
        <w:t>инспектор</w:t>
      </w:r>
      <w:r w:rsidR="008646F9" w:rsidRPr="003B6E4E">
        <w:rPr>
          <w:rFonts w:ascii="Times New Roman" w:hAnsi="Times New Roman"/>
          <w:sz w:val="24"/>
          <w:szCs w:val="24"/>
        </w:rPr>
        <w:t xml:space="preserve"> </w:t>
      </w:r>
      <w:r w:rsidRPr="003B6E4E">
        <w:rPr>
          <w:rFonts w:ascii="Times New Roman" w:hAnsi="Times New Roman"/>
          <w:sz w:val="24"/>
          <w:szCs w:val="24"/>
        </w:rPr>
        <w:t>пре</w:t>
      </w:r>
      <w:r w:rsidR="008646F9" w:rsidRPr="003B6E4E">
        <w:rPr>
          <w:rFonts w:ascii="Times New Roman" w:hAnsi="Times New Roman"/>
          <w:sz w:val="24"/>
          <w:szCs w:val="24"/>
        </w:rPr>
        <w:t xml:space="preserve"> </w:t>
      </w:r>
      <w:r w:rsidRPr="003B6E4E">
        <w:rPr>
          <w:rFonts w:ascii="Times New Roman" w:hAnsi="Times New Roman"/>
          <w:sz w:val="24"/>
          <w:szCs w:val="24"/>
        </w:rPr>
        <w:t>достављања</w:t>
      </w:r>
      <w:r w:rsidR="008646F9" w:rsidRPr="003B6E4E">
        <w:rPr>
          <w:rFonts w:ascii="Times New Roman" w:hAnsi="Times New Roman"/>
          <w:sz w:val="24"/>
          <w:szCs w:val="24"/>
        </w:rPr>
        <w:t xml:space="preserve"> </w:t>
      </w:r>
      <w:r w:rsidRPr="003B6E4E">
        <w:rPr>
          <w:rFonts w:ascii="Times New Roman" w:hAnsi="Times New Roman"/>
          <w:sz w:val="24"/>
          <w:szCs w:val="24"/>
        </w:rPr>
        <w:t>записника</w:t>
      </w:r>
      <w:r w:rsidR="008646F9" w:rsidRPr="003B6E4E">
        <w:rPr>
          <w:rFonts w:ascii="Times New Roman" w:hAnsi="Times New Roman"/>
          <w:sz w:val="24"/>
          <w:szCs w:val="24"/>
        </w:rPr>
        <w:t xml:space="preserve"> </w:t>
      </w:r>
      <w:r w:rsidRPr="003B6E4E">
        <w:rPr>
          <w:rFonts w:ascii="Times New Roman" w:hAnsi="Times New Roman"/>
          <w:sz w:val="24"/>
          <w:szCs w:val="24"/>
        </w:rPr>
        <w:t>са</w:t>
      </w:r>
      <w:r w:rsidR="008646F9" w:rsidRPr="003B6E4E">
        <w:rPr>
          <w:rFonts w:ascii="Times New Roman" w:hAnsi="Times New Roman"/>
          <w:sz w:val="24"/>
          <w:szCs w:val="24"/>
        </w:rPr>
        <w:t xml:space="preserve"> </w:t>
      </w:r>
      <w:r w:rsidRPr="003B6E4E">
        <w:rPr>
          <w:rFonts w:ascii="Times New Roman" w:hAnsi="Times New Roman"/>
          <w:sz w:val="24"/>
          <w:szCs w:val="24"/>
        </w:rPr>
        <w:t>налазом</w:t>
      </w:r>
      <w:r w:rsidR="008646F9" w:rsidRPr="003B6E4E">
        <w:rPr>
          <w:rFonts w:ascii="Times New Roman" w:hAnsi="Times New Roman"/>
          <w:sz w:val="24"/>
          <w:szCs w:val="24"/>
        </w:rPr>
        <w:t xml:space="preserve"> </w:t>
      </w:r>
      <w:r w:rsidRPr="003B6E4E">
        <w:rPr>
          <w:rFonts w:ascii="Times New Roman" w:hAnsi="Times New Roman"/>
          <w:sz w:val="24"/>
          <w:szCs w:val="24"/>
        </w:rPr>
        <w:t>упознаје</w:t>
      </w:r>
      <w:r w:rsidR="008646F9" w:rsidRPr="003B6E4E">
        <w:rPr>
          <w:rFonts w:ascii="Times New Roman" w:hAnsi="Times New Roman"/>
          <w:sz w:val="24"/>
          <w:szCs w:val="24"/>
        </w:rPr>
        <w:t xml:space="preserve"> </w:t>
      </w:r>
      <w:r w:rsidRPr="003B6E4E">
        <w:rPr>
          <w:rFonts w:ascii="Times New Roman" w:hAnsi="Times New Roman"/>
          <w:sz w:val="24"/>
          <w:szCs w:val="24"/>
        </w:rPr>
        <w:t>одговорна</w:t>
      </w:r>
      <w:r w:rsidR="008646F9" w:rsidRPr="003B6E4E">
        <w:rPr>
          <w:rFonts w:ascii="Times New Roman" w:hAnsi="Times New Roman"/>
          <w:sz w:val="24"/>
          <w:szCs w:val="24"/>
        </w:rPr>
        <w:t xml:space="preserve"> </w:t>
      </w:r>
      <w:r w:rsidRPr="003B6E4E">
        <w:rPr>
          <w:rFonts w:ascii="Times New Roman" w:hAnsi="Times New Roman"/>
          <w:sz w:val="24"/>
          <w:szCs w:val="24"/>
        </w:rPr>
        <w:t>лица</w:t>
      </w:r>
      <w:r w:rsidR="008646F9" w:rsidRPr="003B6E4E">
        <w:rPr>
          <w:rFonts w:ascii="Times New Roman" w:hAnsi="Times New Roman"/>
          <w:sz w:val="24"/>
          <w:szCs w:val="24"/>
        </w:rPr>
        <w:t xml:space="preserve"> </w:t>
      </w:r>
      <w:r w:rsidRPr="003B6E4E">
        <w:rPr>
          <w:rFonts w:ascii="Times New Roman" w:hAnsi="Times New Roman"/>
          <w:sz w:val="24"/>
          <w:szCs w:val="24"/>
        </w:rPr>
        <w:t>у</w:t>
      </w:r>
      <w:r w:rsidR="008646F9" w:rsidRPr="003B6E4E">
        <w:rPr>
          <w:rFonts w:ascii="Times New Roman" w:hAnsi="Times New Roman"/>
          <w:sz w:val="24"/>
          <w:szCs w:val="24"/>
        </w:rPr>
        <w:t xml:space="preserve"> </w:t>
      </w:r>
      <w:r w:rsidRPr="003B6E4E">
        <w:rPr>
          <w:rFonts w:ascii="Times New Roman" w:hAnsi="Times New Roman"/>
          <w:sz w:val="24"/>
          <w:szCs w:val="24"/>
        </w:rPr>
        <w:t>органу</w:t>
      </w:r>
      <w:r w:rsidR="008646F9" w:rsidRPr="003B6E4E">
        <w:rPr>
          <w:rFonts w:ascii="Times New Roman" w:hAnsi="Times New Roman"/>
          <w:sz w:val="24"/>
          <w:szCs w:val="24"/>
        </w:rPr>
        <w:t xml:space="preserve"> </w:t>
      </w:r>
      <w:r w:rsidRPr="003B6E4E">
        <w:rPr>
          <w:rFonts w:ascii="Times New Roman" w:hAnsi="Times New Roman"/>
          <w:sz w:val="24"/>
          <w:szCs w:val="24"/>
        </w:rPr>
        <w:t>или</w:t>
      </w:r>
      <w:r w:rsidR="008646F9" w:rsidRPr="003B6E4E">
        <w:rPr>
          <w:rFonts w:ascii="Times New Roman" w:hAnsi="Times New Roman"/>
          <w:sz w:val="24"/>
          <w:szCs w:val="24"/>
        </w:rPr>
        <w:t xml:space="preserve"> </w:t>
      </w:r>
      <w:r w:rsidRPr="003B6E4E">
        <w:rPr>
          <w:rFonts w:ascii="Times New Roman" w:hAnsi="Times New Roman"/>
          <w:sz w:val="24"/>
          <w:szCs w:val="24"/>
        </w:rPr>
        <w:t>организацији</w:t>
      </w:r>
      <w:r w:rsidR="008646F9" w:rsidRPr="003B6E4E">
        <w:rPr>
          <w:rFonts w:ascii="Times New Roman" w:hAnsi="Times New Roman"/>
          <w:sz w:val="24"/>
          <w:szCs w:val="24"/>
        </w:rPr>
        <w:t xml:space="preserve"> </w:t>
      </w:r>
      <w:r w:rsidRPr="003B6E4E">
        <w:rPr>
          <w:rFonts w:ascii="Times New Roman" w:hAnsi="Times New Roman"/>
          <w:sz w:val="24"/>
          <w:szCs w:val="24"/>
        </w:rPr>
        <w:t>код</w:t>
      </w:r>
      <w:r w:rsidR="008646F9" w:rsidRPr="003B6E4E">
        <w:rPr>
          <w:rFonts w:ascii="Times New Roman" w:hAnsi="Times New Roman"/>
          <w:sz w:val="24"/>
          <w:szCs w:val="24"/>
        </w:rPr>
        <w:t xml:space="preserve"> </w:t>
      </w:r>
      <w:r w:rsidRPr="003B6E4E">
        <w:rPr>
          <w:rFonts w:ascii="Times New Roman" w:hAnsi="Times New Roman"/>
          <w:sz w:val="24"/>
          <w:szCs w:val="24"/>
        </w:rPr>
        <w:t>које</w:t>
      </w:r>
      <w:r w:rsidR="008646F9" w:rsidRPr="003B6E4E">
        <w:rPr>
          <w:rFonts w:ascii="Times New Roman" w:hAnsi="Times New Roman"/>
          <w:sz w:val="24"/>
          <w:szCs w:val="24"/>
        </w:rPr>
        <w:t xml:space="preserve"> </w:t>
      </w:r>
      <w:r w:rsidRPr="003B6E4E">
        <w:rPr>
          <w:rFonts w:ascii="Times New Roman" w:hAnsi="Times New Roman"/>
          <w:sz w:val="24"/>
          <w:szCs w:val="24"/>
        </w:rPr>
        <w:t>је</w:t>
      </w:r>
      <w:r w:rsidR="008646F9" w:rsidRPr="003B6E4E">
        <w:rPr>
          <w:rFonts w:ascii="Times New Roman" w:hAnsi="Times New Roman"/>
          <w:sz w:val="24"/>
          <w:szCs w:val="24"/>
        </w:rPr>
        <w:t xml:space="preserve"> </w:t>
      </w:r>
      <w:r w:rsidRPr="003B6E4E">
        <w:rPr>
          <w:rFonts w:ascii="Times New Roman" w:hAnsi="Times New Roman"/>
          <w:sz w:val="24"/>
          <w:szCs w:val="24"/>
        </w:rPr>
        <w:t>извршена</w:t>
      </w:r>
      <w:r w:rsidR="008646F9" w:rsidRPr="003B6E4E">
        <w:rPr>
          <w:rFonts w:ascii="Times New Roman" w:hAnsi="Times New Roman"/>
          <w:sz w:val="24"/>
          <w:szCs w:val="24"/>
        </w:rPr>
        <w:t xml:space="preserve"> </w:t>
      </w:r>
      <w:r w:rsidRPr="003B6E4E">
        <w:rPr>
          <w:rFonts w:ascii="Times New Roman" w:hAnsi="Times New Roman"/>
          <w:sz w:val="24"/>
          <w:szCs w:val="24"/>
        </w:rPr>
        <w:t>контрола</w:t>
      </w:r>
      <w:r w:rsidR="008646F9" w:rsidRPr="003B6E4E">
        <w:rPr>
          <w:rFonts w:ascii="Times New Roman" w:hAnsi="Times New Roman"/>
          <w:sz w:val="24"/>
          <w:szCs w:val="24"/>
        </w:rPr>
        <w:t>.</w:t>
      </w:r>
      <w:r w:rsidR="001D0DC4" w:rsidRPr="003B6E4E">
        <w:rPr>
          <w:rFonts w:ascii="Times New Roman" w:hAnsi="Times New Roman"/>
          <w:sz w:val="24"/>
          <w:szCs w:val="24"/>
          <w:lang w:val="sr-Cyrl-CS"/>
        </w:rPr>
        <w:t xml:space="preserve"> </w:t>
      </w:r>
      <w:r w:rsidRPr="003B6E4E">
        <w:rPr>
          <w:rFonts w:ascii="Times New Roman" w:hAnsi="Times New Roman"/>
          <w:sz w:val="24"/>
          <w:szCs w:val="24"/>
        </w:rPr>
        <w:t>Ако</w:t>
      </w:r>
      <w:r w:rsidR="008646F9" w:rsidRPr="003B6E4E">
        <w:rPr>
          <w:rFonts w:ascii="Times New Roman" w:hAnsi="Times New Roman"/>
          <w:sz w:val="24"/>
          <w:szCs w:val="24"/>
        </w:rPr>
        <w:t xml:space="preserve"> </w:t>
      </w:r>
      <w:r w:rsidRPr="003B6E4E">
        <w:rPr>
          <w:rFonts w:ascii="Times New Roman" w:hAnsi="Times New Roman"/>
          <w:sz w:val="24"/>
          <w:szCs w:val="24"/>
        </w:rPr>
        <w:t>се</w:t>
      </w:r>
      <w:r w:rsidR="008646F9" w:rsidRPr="003B6E4E">
        <w:rPr>
          <w:rFonts w:ascii="Times New Roman" w:hAnsi="Times New Roman"/>
          <w:sz w:val="24"/>
          <w:szCs w:val="24"/>
        </w:rPr>
        <w:t xml:space="preserve"> </w:t>
      </w:r>
      <w:r w:rsidRPr="003B6E4E">
        <w:rPr>
          <w:rFonts w:ascii="Times New Roman" w:hAnsi="Times New Roman"/>
          <w:sz w:val="24"/>
          <w:szCs w:val="24"/>
        </w:rPr>
        <w:t>контролом</w:t>
      </w:r>
      <w:r w:rsidR="008646F9" w:rsidRPr="003B6E4E">
        <w:rPr>
          <w:rFonts w:ascii="Times New Roman" w:hAnsi="Times New Roman"/>
          <w:sz w:val="24"/>
          <w:szCs w:val="24"/>
        </w:rPr>
        <w:t xml:space="preserve"> </w:t>
      </w:r>
      <w:r w:rsidRPr="003B6E4E">
        <w:rPr>
          <w:rFonts w:ascii="Times New Roman" w:hAnsi="Times New Roman"/>
          <w:sz w:val="24"/>
          <w:szCs w:val="24"/>
        </w:rPr>
        <w:t>утврде</w:t>
      </w:r>
      <w:r w:rsidR="008646F9" w:rsidRPr="003B6E4E">
        <w:rPr>
          <w:rFonts w:ascii="Times New Roman" w:hAnsi="Times New Roman"/>
          <w:sz w:val="24"/>
          <w:szCs w:val="24"/>
        </w:rPr>
        <w:t xml:space="preserve"> </w:t>
      </w:r>
      <w:r w:rsidRPr="003B6E4E">
        <w:rPr>
          <w:rFonts w:ascii="Times New Roman" w:hAnsi="Times New Roman"/>
          <w:sz w:val="24"/>
          <w:szCs w:val="24"/>
        </w:rPr>
        <w:t>незаконитости</w:t>
      </w:r>
      <w:r w:rsidR="008646F9" w:rsidRPr="003B6E4E">
        <w:rPr>
          <w:rFonts w:ascii="Times New Roman" w:hAnsi="Times New Roman"/>
          <w:sz w:val="24"/>
          <w:szCs w:val="24"/>
        </w:rPr>
        <w:t xml:space="preserve"> </w:t>
      </w:r>
      <w:r w:rsidRPr="003B6E4E">
        <w:rPr>
          <w:rFonts w:ascii="Times New Roman" w:hAnsi="Times New Roman"/>
          <w:sz w:val="24"/>
          <w:szCs w:val="24"/>
        </w:rPr>
        <w:t>или</w:t>
      </w:r>
      <w:r w:rsidR="008646F9" w:rsidRPr="003B6E4E">
        <w:rPr>
          <w:rFonts w:ascii="Times New Roman" w:hAnsi="Times New Roman"/>
          <w:sz w:val="24"/>
          <w:szCs w:val="24"/>
        </w:rPr>
        <w:t xml:space="preserve"> </w:t>
      </w:r>
      <w:r w:rsidRPr="003B6E4E">
        <w:rPr>
          <w:rFonts w:ascii="Times New Roman" w:hAnsi="Times New Roman"/>
          <w:sz w:val="24"/>
          <w:szCs w:val="24"/>
        </w:rPr>
        <w:t>неправилности</w:t>
      </w:r>
      <w:r w:rsidR="008646F9" w:rsidRPr="003B6E4E">
        <w:rPr>
          <w:rFonts w:ascii="Times New Roman" w:hAnsi="Times New Roman"/>
          <w:sz w:val="24"/>
          <w:szCs w:val="24"/>
        </w:rPr>
        <w:t xml:space="preserve"> </w:t>
      </w:r>
      <w:r w:rsidRPr="003B6E4E">
        <w:rPr>
          <w:rFonts w:ascii="Times New Roman" w:hAnsi="Times New Roman"/>
          <w:sz w:val="24"/>
          <w:szCs w:val="24"/>
        </w:rPr>
        <w:t>у</w:t>
      </w:r>
      <w:r w:rsidR="008646F9" w:rsidRPr="003B6E4E">
        <w:rPr>
          <w:rFonts w:ascii="Times New Roman" w:hAnsi="Times New Roman"/>
          <w:sz w:val="24"/>
          <w:szCs w:val="24"/>
        </w:rPr>
        <w:t xml:space="preserve"> </w:t>
      </w:r>
      <w:r w:rsidRPr="003B6E4E">
        <w:rPr>
          <w:rFonts w:ascii="Times New Roman" w:hAnsi="Times New Roman"/>
          <w:sz w:val="24"/>
          <w:szCs w:val="24"/>
        </w:rPr>
        <w:t>записнику</w:t>
      </w:r>
      <w:r w:rsidR="008646F9" w:rsidRPr="003B6E4E">
        <w:rPr>
          <w:rFonts w:ascii="Times New Roman" w:hAnsi="Times New Roman"/>
          <w:sz w:val="24"/>
          <w:szCs w:val="24"/>
        </w:rPr>
        <w:t xml:space="preserve"> </w:t>
      </w:r>
      <w:r w:rsidRPr="003B6E4E">
        <w:rPr>
          <w:rFonts w:ascii="Times New Roman" w:hAnsi="Times New Roman"/>
          <w:sz w:val="24"/>
          <w:szCs w:val="24"/>
        </w:rPr>
        <w:t>се</w:t>
      </w:r>
      <w:r w:rsidR="008646F9" w:rsidRPr="003B6E4E">
        <w:rPr>
          <w:rFonts w:ascii="Times New Roman" w:hAnsi="Times New Roman"/>
          <w:sz w:val="24"/>
          <w:szCs w:val="24"/>
        </w:rPr>
        <w:t xml:space="preserve"> </w:t>
      </w:r>
      <w:r w:rsidRPr="003B6E4E">
        <w:rPr>
          <w:rFonts w:ascii="Times New Roman" w:hAnsi="Times New Roman"/>
          <w:sz w:val="24"/>
          <w:szCs w:val="24"/>
        </w:rPr>
        <w:t>наводи</w:t>
      </w:r>
      <w:r w:rsidR="008646F9" w:rsidRPr="003B6E4E">
        <w:rPr>
          <w:rFonts w:ascii="Times New Roman" w:hAnsi="Times New Roman"/>
          <w:sz w:val="24"/>
          <w:szCs w:val="24"/>
        </w:rPr>
        <w:t xml:space="preserve"> </w:t>
      </w:r>
      <w:r w:rsidRPr="003B6E4E">
        <w:rPr>
          <w:rFonts w:ascii="Times New Roman" w:hAnsi="Times New Roman"/>
          <w:sz w:val="24"/>
          <w:szCs w:val="24"/>
        </w:rPr>
        <w:t>у</w:t>
      </w:r>
      <w:r w:rsidR="008646F9" w:rsidRPr="003B6E4E">
        <w:rPr>
          <w:rFonts w:ascii="Times New Roman" w:hAnsi="Times New Roman"/>
          <w:sz w:val="24"/>
          <w:szCs w:val="24"/>
        </w:rPr>
        <w:t xml:space="preserve"> </w:t>
      </w:r>
      <w:r w:rsidRPr="003B6E4E">
        <w:rPr>
          <w:rFonts w:ascii="Times New Roman" w:hAnsi="Times New Roman"/>
          <w:sz w:val="24"/>
          <w:szCs w:val="24"/>
        </w:rPr>
        <w:t>чему</w:t>
      </w:r>
      <w:r w:rsidR="008646F9" w:rsidRPr="003B6E4E">
        <w:rPr>
          <w:rFonts w:ascii="Times New Roman" w:hAnsi="Times New Roman"/>
          <w:sz w:val="24"/>
          <w:szCs w:val="24"/>
        </w:rPr>
        <w:t xml:space="preserve"> </w:t>
      </w:r>
      <w:r w:rsidRPr="003B6E4E">
        <w:rPr>
          <w:rFonts w:ascii="Times New Roman" w:hAnsi="Times New Roman"/>
          <w:sz w:val="24"/>
          <w:szCs w:val="24"/>
        </w:rPr>
        <w:t>се</w:t>
      </w:r>
      <w:r w:rsidR="008646F9" w:rsidRPr="003B6E4E">
        <w:rPr>
          <w:rFonts w:ascii="Times New Roman" w:hAnsi="Times New Roman"/>
          <w:sz w:val="24"/>
          <w:szCs w:val="24"/>
        </w:rPr>
        <w:t xml:space="preserve"> </w:t>
      </w:r>
      <w:r w:rsidRPr="003B6E4E">
        <w:rPr>
          <w:rFonts w:ascii="Times New Roman" w:hAnsi="Times New Roman"/>
          <w:sz w:val="24"/>
          <w:szCs w:val="24"/>
        </w:rPr>
        <w:t>оне</w:t>
      </w:r>
      <w:r w:rsidR="008646F9" w:rsidRPr="003B6E4E">
        <w:rPr>
          <w:rFonts w:ascii="Times New Roman" w:hAnsi="Times New Roman"/>
          <w:sz w:val="24"/>
          <w:szCs w:val="24"/>
        </w:rPr>
        <w:t xml:space="preserve"> </w:t>
      </w:r>
      <w:r w:rsidRPr="003B6E4E">
        <w:rPr>
          <w:rFonts w:ascii="Times New Roman" w:hAnsi="Times New Roman"/>
          <w:sz w:val="24"/>
          <w:szCs w:val="24"/>
        </w:rPr>
        <w:t>састоје</w:t>
      </w:r>
      <w:r w:rsidR="008646F9" w:rsidRPr="003B6E4E">
        <w:rPr>
          <w:rFonts w:ascii="Times New Roman" w:hAnsi="Times New Roman"/>
          <w:sz w:val="24"/>
          <w:szCs w:val="24"/>
        </w:rPr>
        <w:t xml:space="preserve">, </w:t>
      </w:r>
      <w:r w:rsidRPr="003B6E4E">
        <w:rPr>
          <w:rFonts w:ascii="Times New Roman" w:hAnsi="Times New Roman"/>
          <w:sz w:val="24"/>
          <w:szCs w:val="24"/>
        </w:rPr>
        <w:t>докази</w:t>
      </w:r>
      <w:r w:rsidR="008646F9" w:rsidRPr="003B6E4E">
        <w:rPr>
          <w:rFonts w:ascii="Times New Roman" w:hAnsi="Times New Roman"/>
          <w:sz w:val="24"/>
          <w:szCs w:val="24"/>
        </w:rPr>
        <w:t xml:space="preserve"> </w:t>
      </w:r>
      <w:r w:rsidRPr="003B6E4E">
        <w:rPr>
          <w:rFonts w:ascii="Times New Roman" w:hAnsi="Times New Roman"/>
          <w:sz w:val="24"/>
          <w:szCs w:val="24"/>
        </w:rPr>
        <w:t>на</w:t>
      </w:r>
      <w:r w:rsidR="008646F9" w:rsidRPr="003B6E4E">
        <w:rPr>
          <w:rFonts w:ascii="Times New Roman" w:hAnsi="Times New Roman"/>
          <w:sz w:val="24"/>
          <w:szCs w:val="24"/>
        </w:rPr>
        <w:t xml:space="preserve"> </w:t>
      </w:r>
      <w:r w:rsidRPr="003B6E4E">
        <w:rPr>
          <w:rFonts w:ascii="Times New Roman" w:hAnsi="Times New Roman"/>
          <w:sz w:val="24"/>
          <w:szCs w:val="24"/>
        </w:rPr>
        <w:t>основу</w:t>
      </w:r>
      <w:r w:rsidR="008646F9" w:rsidRPr="003B6E4E">
        <w:rPr>
          <w:rFonts w:ascii="Times New Roman" w:hAnsi="Times New Roman"/>
          <w:sz w:val="24"/>
          <w:szCs w:val="24"/>
        </w:rPr>
        <w:t xml:space="preserve"> </w:t>
      </w:r>
      <w:r w:rsidRPr="003B6E4E">
        <w:rPr>
          <w:rFonts w:ascii="Times New Roman" w:hAnsi="Times New Roman"/>
          <w:sz w:val="24"/>
          <w:szCs w:val="24"/>
        </w:rPr>
        <w:t>којих</w:t>
      </w:r>
      <w:r w:rsidR="008646F9" w:rsidRPr="003B6E4E">
        <w:rPr>
          <w:rFonts w:ascii="Times New Roman" w:hAnsi="Times New Roman"/>
          <w:sz w:val="24"/>
          <w:szCs w:val="24"/>
        </w:rPr>
        <w:t xml:space="preserve"> </w:t>
      </w:r>
      <w:r w:rsidRPr="003B6E4E">
        <w:rPr>
          <w:rFonts w:ascii="Times New Roman" w:hAnsi="Times New Roman"/>
          <w:sz w:val="24"/>
          <w:szCs w:val="24"/>
        </w:rPr>
        <w:t>су</w:t>
      </w:r>
      <w:r w:rsidR="008646F9" w:rsidRPr="003B6E4E">
        <w:rPr>
          <w:rFonts w:ascii="Times New Roman" w:hAnsi="Times New Roman"/>
          <w:sz w:val="24"/>
          <w:szCs w:val="24"/>
        </w:rPr>
        <w:t xml:space="preserve"> </w:t>
      </w:r>
      <w:r w:rsidRPr="003B6E4E">
        <w:rPr>
          <w:rFonts w:ascii="Times New Roman" w:hAnsi="Times New Roman"/>
          <w:sz w:val="24"/>
          <w:szCs w:val="24"/>
        </w:rPr>
        <w:t>утврђене</w:t>
      </w:r>
      <w:r w:rsidR="008646F9" w:rsidRPr="003B6E4E">
        <w:rPr>
          <w:rFonts w:ascii="Times New Roman" w:hAnsi="Times New Roman"/>
          <w:sz w:val="24"/>
          <w:szCs w:val="24"/>
        </w:rPr>
        <w:t xml:space="preserve">, </w:t>
      </w:r>
      <w:r w:rsidRPr="003B6E4E">
        <w:rPr>
          <w:rFonts w:ascii="Times New Roman" w:hAnsi="Times New Roman"/>
          <w:sz w:val="24"/>
          <w:szCs w:val="24"/>
        </w:rPr>
        <w:t>предлажу</w:t>
      </w:r>
      <w:r w:rsidR="008646F9" w:rsidRPr="003B6E4E">
        <w:rPr>
          <w:rFonts w:ascii="Times New Roman" w:hAnsi="Times New Roman"/>
          <w:sz w:val="24"/>
          <w:szCs w:val="24"/>
        </w:rPr>
        <w:t xml:space="preserve"> </w:t>
      </w:r>
      <w:r w:rsidRPr="003B6E4E">
        <w:rPr>
          <w:rFonts w:ascii="Times New Roman" w:hAnsi="Times New Roman"/>
          <w:sz w:val="24"/>
          <w:szCs w:val="24"/>
        </w:rPr>
        <w:t>мере</w:t>
      </w:r>
      <w:r w:rsidR="008646F9" w:rsidRPr="003B6E4E">
        <w:rPr>
          <w:rFonts w:ascii="Times New Roman" w:hAnsi="Times New Roman"/>
          <w:sz w:val="24"/>
          <w:szCs w:val="24"/>
        </w:rPr>
        <w:t xml:space="preserve"> </w:t>
      </w:r>
      <w:r w:rsidRPr="003B6E4E">
        <w:rPr>
          <w:rFonts w:ascii="Times New Roman" w:hAnsi="Times New Roman"/>
          <w:sz w:val="24"/>
          <w:szCs w:val="24"/>
        </w:rPr>
        <w:t>и</w:t>
      </w:r>
      <w:r w:rsidR="008646F9" w:rsidRPr="003B6E4E">
        <w:rPr>
          <w:rFonts w:ascii="Times New Roman" w:hAnsi="Times New Roman"/>
          <w:sz w:val="24"/>
          <w:szCs w:val="24"/>
        </w:rPr>
        <w:t xml:space="preserve"> </w:t>
      </w:r>
      <w:r w:rsidRPr="003B6E4E">
        <w:rPr>
          <w:rFonts w:ascii="Times New Roman" w:hAnsi="Times New Roman"/>
          <w:sz w:val="24"/>
          <w:szCs w:val="24"/>
        </w:rPr>
        <w:t>одређују</w:t>
      </w:r>
      <w:r w:rsidR="008646F9" w:rsidRPr="003B6E4E">
        <w:rPr>
          <w:rFonts w:ascii="Times New Roman" w:hAnsi="Times New Roman"/>
          <w:sz w:val="24"/>
          <w:szCs w:val="24"/>
        </w:rPr>
        <w:t xml:space="preserve"> </w:t>
      </w:r>
      <w:r w:rsidRPr="003B6E4E">
        <w:rPr>
          <w:rFonts w:ascii="Times New Roman" w:hAnsi="Times New Roman"/>
          <w:sz w:val="24"/>
          <w:szCs w:val="24"/>
        </w:rPr>
        <w:t>рокови</w:t>
      </w:r>
      <w:r w:rsidR="008646F9" w:rsidRPr="003B6E4E">
        <w:rPr>
          <w:rFonts w:ascii="Times New Roman" w:hAnsi="Times New Roman"/>
          <w:sz w:val="24"/>
          <w:szCs w:val="24"/>
        </w:rPr>
        <w:t xml:space="preserve"> </w:t>
      </w:r>
      <w:r w:rsidRPr="003B6E4E">
        <w:rPr>
          <w:rFonts w:ascii="Times New Roman" w:hAnsi="Times New Roman"/>
          <w:sz w:val="24"/>
          <w:szCs w:val="24"/>
        </w:rPr>
        <w:t>за</w:t>
      </w:r>
      <w:r w:rsidR="008646F9" w:rsidRPr="003B6E4E">
        <w:rPr>
          <w:rFonts w:ascii="Times New Roman" w:hAnsi="Times New Roman"/>
          <w:sz w:val="24"/>
          <w:szCs w:val="24"/>
        </w:rPr>
        <w:t xml:space="preserve"> </w:t>
      </w:r>
      <w:r w:rsidRPr="003B6E4E">
        <w:rPr>
          <w:rFonts w:ascii="Times New Roman" w:hAnsi="Times New Roman"/>
          <w:sz w:val="24"/>
          <w:szCs w:val="24"/>
        </w:rPr>
        <w:t>њихово</w:t>
      </w:r>
      <w:r w:rsidR="008646F9" w:rsidRPr="003B6E4E">
        <w:rPr>
          <w:rFonts w:ascii="Times New Roman" w:hAnsi="Times New Roman"/>
          <w:sz w:val="24"/>
          <w:szCs w:val="24"/>
        </w:rPr>
        <w:t xml:space="preserve"> </w:t>
      </w:r>
      <w:r w:rsidRPr="003B6E4E">
        <w:rPr>
          <w:rFonts w:ascii="Times New Roman" w:hAnsi="Times New Roman"/>
          <w:sz w:val="24"/>
          <w:szCs w:val="24"/>
        </w:rPr>
        <w:t>отклањање</w:t>
      </w:r>
      <w:r w:rsidR="008646F9" w:rsidRPr="003B6E4E">
        <w:rPr>
          <w:rFonts w:ascii="Times New Roman" w:hAnsi="Times New Roman"/>
          <w:sz w:val="24"/>
          <w:szCs w:val="24"/>
        </w:rPr>
        <w:t>.</w:t>
      </w:r>
      <w:r w:rsidR="003B6E4E">
        <w:rPr>
          <w:rFonts w:ascii="Times New Roman" w:hAnsi="Times New Roman"/>
          <w:sz w:val="24"/>
          <w:szCs w:val="24"/>
          <w:lang w:val="sr-Cyrl-CS"/>
        </w:rPr>
        <w:t xml:space="preserve"> </w:t>
      </w:r>
    </w:p>
    <w:p w:rsidR="00B479B2" w:rsidRPr="00B479B2" w:rsidRDefault="00B479B2" w:rsidP="00B479B2">
      <w:pPr>
        <w:pStyle w:val="normal0"/>
        <w:shd w:val="clear" w:color="auto" w:fill="FFFFFF"/>
        <w:spacing w:before="48" w:beforeAutospacing="0" w:after="48" w:afterAutospacing="0"/>
        <w:ind w:firstLine="708"/>
        <w:jc w:val="both"/>
        <w:rPr>
          <w:color w:val="000000"/>
          <w:lang w:val="sr-Cyrl-CS"/>
        </w:rPr>
      </w:pPr>
    </w:p>
    <w:p w:rsidR="008646F9" w:rsidRPr="001B321C" w:rsidRDefault="001D0DC4" w:rsidP="00B479B2">
      <w:pPr>
        <w:ind w:firstLine="708"/>
        <w:jc w:val="both"/>
        <w:rPr>
          <w:rFonts w:ascii="Times New Roman" w:hAnsi="Times New Roman"/>
          <w:b/>
          <w:bCs/>
          <w:color w:val="000000"/>
          <w:sz w:val="24"/>
          <w:szCs w:val="24"/>
        </w:rPr>
      </w:pPr>
      <w:r w:rsidRPr="001B321C">
        <w:rPr>
          <w:rFonts w:ascii="Times New Roman" w:hAnsi="Times New Roman"/>
          <w:sz w:val="24"/>
          <w:szCs w:val="24"/>
          <w:lang w:val="sr-Cyrl-CS"/>
        </w:rPr>
        <w:t xml:space="preserve">Према </w:t>
      </w:r>
      <w:r w:rsidR="008646F9" w:rsidRPr="001B321C">
        <w:rPr>
          <w:rFonts w:ascii="Times New Roman" w:hAnsi="Times New Roman"/>
          <w:sz w:val="24"/>
          <w:szCs w:val="24"/>
          <w:lang w:val="sr-Cyrl-CS"/>
        </w:rPr>
        <w:t>Зако</w:t>
      </w:r>
      <w:r w:rsidRPr="001B321C">
        <w:rPr>
          <w:rFonts w:ascii="Times New Roman" w:hAnsi="Times New Roman"/>
          <w:sz w:val="24"/>
          <w:szCs w:val="24"/>
          <w:lang w:val="sr-Cyrl-CS"/>
        </w:rPr>
        <w:t>ну</w:t>
      </w:r>
      <w:r w:rsidR="008646F9" w:rsidRPr="001B321C">
        <w:rPr>
          <w:rFonts w:ascii="Times New Roman" w:hAnsi="Times New Roman"/>
          <w:sz w:val="24"/>
          <w:szCs w:val="24"/>
          <w:lang w:val="sr-Cyrl-CS"/>
        </w:rPr>
        <w:t xml:space="preserve"> о трговини</w:t>
      </w:r>
      <w:r w:rsidRPr="001B321C">
        <w:rPr>
          <w:rStyle w:val="FootnoteReference"/>
          <w:rFonts w:ascii="Times New Roman" w:hAnsi="Times New Roman"/>
          <w:sz w:val="24"/>
          <w:szCs w:val="24"/>
          <w:lang w:val="sr-Cyrl-CS"/>
        </w:rPr>
        <w:footnoteReference w:id="897"/>
      </w:r>
      <w:r w:rsidR="00B85448" w:rsidRPr="001B321C">
        <w:rPr>
          <w:rFonts w:ascii="Times New Roman" w:hAnsi="Times New Roman"/>
          <w:color w:val="000000"/>
          <w:sz w:val="24"/>
          <w:szCs w:val="24"/>
          <w:lang w:val="sr-Cyrl-CS"/>
        </w:rPr>
        <w:t>и</w:t>
      </w:r>
      <w:r w:rsidR="00011174" w:rsidRPr="001B321C">
        <w:rPr>
          <w:rFonts w:ascii="Times New Roman" w:hAnsi="Times New Roman"/>
          <w:color w:val="000000"/>
          <w:sz w:val="24"/>
          <w:szCs w:val="24"/>
        </w:rPr>
        <w:t>нспекцијски</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надзор</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над</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спровођењем</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овог</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закона</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и</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прописа</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донетих</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на</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основу</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овог</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закона</w:t>
      </w:r>
      <w:r w:rsidR="008646F9" w:rsidRPr="001B321C">
        <w:rPr>
          <w:rFonts w:ascii="Times New Roman" w:hAnsi="Times New Roman"/>
          <w:color w:val="000000"/>
          <w:sz w:val="24"/>
          <w:szCs w:val="24"/>
        </w:rPr>
        <w:t xml:space="preserve"> </w:t>
      </w:r>
      <w:r w:rsidR="00011174" w:rsidRPr="001B321C">
        <w:rPr>
          <w:rFonts w:ascii="Times New Roman" w:hAnsi="Times New Roman"/>
          <w:color w:val="000000"/>
          <w:sz w:val="24"/>
          <w:szCs w:val="24"/>
        </w:rPr>
        <w:t>врши</w:t>
      </w:r>
      <w:r w:rsidR="008646F9" w:rsidRPr="001B321C">
        <w:rPr>
          <w:rFonts w:ascii="Times New Roman" w:hAnsi="Times New Roman"/>
          <w:color w:val="000000"/>
          <w:sz w:val="24"/>
          <w:szCs w:val="24"/>
        </w:rPr>
        <w:t>:</w:t>
      </w:r>
    </w:p>
    <w:p w:rsidR="008646F9" w:rsidRPr="00831157" w:rsidRDefault="008646F9" w:rsidP="00831157">
      <w:pPr>
        <w:jc w:val="both"/>
        <w:rPr>
          <w:rFonts w:ascii="Times New Roman" w:hAnsi="Times New Roman"/>
          <w:sz w:val="24"/>
          <w:szCs w:val="24"/>
        </w:rPr>
      </w:pPr>
      <w:r w:rsidRPr="00831157">
        <w:rPr>
          <w:rFonts w:ascii="Times New Roman" w:hAnsi="Times New Roman"/>
          <w:sz w:val="24"/>
          <w:szCs w:val="24"/>
        </w:rPr>
        <w:t xml:space="preserve">1) </w:t>
      </w:r>
      <w:r w:rsidR="00011174" w:rsidRPr="00831157">
        <w:rPr>
          <w:rFonts w:ascii="Times New Roman" w:hAnsi="Times New Roman"/>
          <w:sz w:val="24"/>
          <w:szCs w:val="24"/>
        </w:rPr>
        <w:t>министарство</w:t>
      </w:r>
      <w:r w:rsidRPr="00831157">
        <w:rPr>
          <w:rFonts w:ascii="Times New Roman" w:hAnsi="Times New Roman"/>
          <w:sz w:val="24"/>
          <w:szCs w:val="24"/>
        </w:rPr>
        <w:t xml:space="preserve">, </w:t>
      </w:r>
      <w:r w:rsidR="00011174" w:rsidRPr="00831157">
        <w:rPr>
          <w:rFonts w:ascii="Times New Roman" w:hAnsi="Times New Roman"/>
          <w:sz w:val="24"/>
          <w:szCs w:val="24"/>
        </w:rPr>
        <w:t>преко</w:t>
      </w:r>
      <w:r w:rsidRPr="00831157">
        <w:rPr>
          <w:rFonts w:ascii="Times New Roman" w:hAnsi="Times New Roman"/>
          <w:sz w:val="24"/>
          <w:szCs w:val="24"/>
        </w:rPr>
        <w:t xml:space="preserve"> </w:t>
      </w:r>
      <w:r w:rsidR="00011174" w:rsidRPr="00831157">
        <w:rPr>
          <w:rFonts w:ascii="Times New Roman" w:hAnsi="Times New Roman"/>
          <w:sz w:val="24"/>
          <w:szCs w:val="24"/>
        </w:rPr>
        <w:t>тржишних</w:t>
      </w:r>
      <w:r w:rsidRPr="00831157">
        <w:rPr>
          <w:rFonts w:ascii="Times New Roman" w:hAnsi="Times New Roman"/>
          <w:sz w:val="24"/>
          <w:szCs w:val="24"/>
        </w:rPr>
        <w:t xml:space="preserve"> </w:t>
      </w:r>
      <w:r w:rsidR="00011174" w:rsidRPr="00831157">
        <w:rPr>
          <w:rFonts w:ascii="Times New Roman" w:hAnsi="Times New Roman"/>
          <w:sz w:val="24"/>
          <w:szCs w:val="24"/>
        </w:rPr>
        <w:t>инспектора</w:t>
      </w:r>
      <w:r w:rsidRPr="00831157">
        <w:rPr>
          <w:rFonts w:ascii="Times New Roman" w:hAnsi="Times New Roman"/>
          <w:sz w:val="24"/>
          <w:szCs w:val="24"/>
        </w:rPr>
        <w:t>;</w:t>
      </w:r>
    </w:p>
    <w:p w:rsidR="008646F9" w:rsidRPr="00831157" w:rsidRDefault="008646F9" w:rsidP="00831157">
      <w:pPr>
        <w:jc w:val="both"/>
        <w:rPr>
          <w:rFonts w:ascii="Times New Roman" w:hAnsi="Times New Roman"/>
          <w:sz w:val="24"/>
          <w:szCs w:val="24"/>
        </w:rPr>
      </w:pPr>
      <w:r w:rsidRPr="00831157">
        <w:rPr>
          <w:rFonts w:ascii="Times New Roman" w:hAnsi="Times New Roman"/>
          <w:sz w:val="24"/>
          <w:szCs w:val="24"/>
        </w:rPr>
        <w:t xml:space="preserve">2) </w:t>
      </w:r>
      <w:r w:rsidR="00011174" w:rsidRPr="00831157">
        <w:rPr>
          <w:rFonts w:ascii="Times New Roman" w:hAnsi="Times New Roman"/>
          <w:sz w:val="24"/>
          <w:szCs w:val="24"/>
        </w:rPr>
        <w:t>јединице</w:t>
      </w:r>
      <w:r w:rsidRPr="00831157">
        <w:rPr>
          <w:rFonts w:ascii="Times New Roman" w:hAnsi="Times New Roman"/>
          <w:sz w:val="24"/>
          <w:szCs w:val="24"/>
        </w:rPr>
        <w:t xml:space="preserve"> </w:t>
      </w:r>
      <w:r w:rsidR="00011174" w:rsidRPr="00831157">
        <w:rPr>
          <w:rFonts w:ascii="Times New Roman" w:hAnsi="Times New Roman"/>
          <w:sz w:val="24"/>
          <w:szCs w:val="24"/>
        </w:rPr>
        <w:t>локалне</w:t>
      </w:r>
      <w:r w:rsidRPr="00831157">
        <w:rPr>
          <w:rFonts w:ascii="Times New Roman" w:hAnsi="Times New Roman"/>
          <w:sz w:val="24"/>
          <w:szCs w:val="24"/>
        </w:rPr>
        <w:t xml:space="preserve"> </w:t>
      </w:r>
      <w:r w:rsidR="00011174" w:rsidRPr="00831157">
        <w:rPr>
          <w:rFonts w:ascii="Times New Roman" w:hAnsi="Times New Roman"/>
          <w:sz w:val="24"/>
          <w:szCs w:val="24"/>
        </w:rPr>
        <w:t>самоуправе</w:t>
      </w:r>
      <w:r w:rsidRPr="00831157">
        <w:rPr>
          <w:rFonts w:ascii="Times New Roman" w:hAnsi="Times New Roman"/>
          <w:sz w:val="24"/>
          <w:szCs w:val="24"/>
        </w:rPr>
        <w:t xml:space="preserve">, </w:t>
      </w:r>
      <w:r w:rsidR="00011174" w:rsidRPr="00831157">
        <w:rPr>
          <w:rFonts w:ascii="Times New Roman" w:hAnsi="Times New Roman"/>
          <w:sz w:val="24"/>
          <w:szCs w:val="24"/>
        </w:rPr>
        <w:t>преко</w:t>
      </w:r>
      <w:r w:rsidRPr="00831157">
        <w:rPr>
          <w:rFonts w:ascii="Times New Roman" w:hAnsi="Times New Roman"/>
          <w:sz w:val="24"/>
          <w:szCs w:val="24"/>
        </w:rPr>
        <w:t xml:space="preserve"> </w:t>
      </w:r>
      <w:r w:rsidR="00011174" w:rsidRPr="00831157">
        <w:rPr>
          <w:rFonts w:ascii="Times New Roman" w:hAnsi="Times New Roman"/>
          <w:sz w:val="24"/>
          <w:szCs w:val="24"/>
        </w:rPr>
        <w:t>комуналних</w:t>
      </w:r>
      <w:r w:rsidRPr="00831157">
        <w:rPr>
          <w:rFonts w:ascii="Times New Roman" w:hAnsi="Times New Roman"/>
          <w:sz w:val="24"/>
          <w:szCs w:val="24"/>
        </w:rPr>
        <w:t xml:space="preserve"> </w:t>
      </w:r>
      <w:r w:rsidR="00011174" w:rsidRPr="00831157">
        <w:rPr>
          <w:rFonts w:ascii="Times New Roman" w:hAnsi="Times New Roman"/>
          <w:sz w:val="24"/>
          <w:szCs w:val="24"/>
        </w:rPr>
        <w:t>инспектора</w:t>
      </w:r>
      <w:r w:rsidRPr="00831157">
        <w:rPr>
          <w:rFonts w:ascii="Times New Roman" w:hAnsi="Times New Roman"/>
          <w:sz w:val="24"/>
          <w:szCs w:val="24"/>
        </w:rPr>
        <w:t xml:space="preserve"> </w:t>
      </w:r>
      <w:r w:rsidR="00011174" w:rsidRPr="00831157">
        <w:rPr>
          <w:rFonts w:ascii="Times New Roman" w:hAnsi="Times New Roman"/>
          <w:sz w:val="24"/>
          <w:szCs w:val="24"/>
        </w:rPr>
        <w:t>у</w:t>
      </w:r>
      <w:r w:rsidRPr="00831157">
        <w:rPr>
          <w:rFonts w:ascii="Times New Roman" w:hAnsi="Times New Roman"/>
          <w:sz w:val="24"/>
          <w:szCs w:val="24"/>
        </w:rPr>
        <w:t xml:space="preserve"> </w:t>
      </w:r>
      <w:r w:rsidR="00011174" w:rsidRPr="00831157">
        <w:rPr>
          <w:rFonts w:ascii="Times New Roman" w:hAnsi="Times New Roman"/>
          <w:sz w:val="24"/>
          <w:szCs w:val="24"/>
        </w:rPr>
        <w:t>делу</w:t>
      </w:r>
      <w:r w:rsidRPr="00831157">
        <w:rPr>
          <w:rFonts w:ascii="Times New Roman" w:hAnsi="Times New Roman"/>
          <w:sz w:val="24"/>
          <w:szCs w:val="24"/>
        </w:rPr>
        <w:t xml:space="preserve"> </w:t>
      </w:r>
      <w:r w:rsidR="00011174" w:rsidRPr="00831157">
        <w:rPr>
          <w:rFonts w:ascii="Times New Roman" w:hAnsi="Times New Roman"/>
          <w:sz w:val="24"/>
          <w:szCs w:val="24"/>
        </w:rPr>
        <w:t>надзора</w:t>
      </w:r>
      <w:r w:rsidRPr="00831157">
        <w:rPr>
          <w:rFonts w:ascii="Times New Roman" w:hAnsi="Times New Roman"/>
          <w:sz w:val="24"/>
          <w:szCs w:val="24"/>
        </w:rPr>
        <w:t xml:space="preserve"> </w:t>
      </w:r>
      <w:r w:rsidR="00011174" w:rsidRPr="00831157">
        <w:rPr>
          <w:rFonts w:ascii="Times New Roman" w:hAnsi="Times New Roman"/>
          <w:sz w:val="24"/>
          <w:szCs w:val="24"/>
        </w:rPr>
        <w:t>над</w:t>
      </w:r>
      <w:r w:rsidRPr="00831157">
        <w:rPr>
          <w:rFonts w:ascii="Times New Roman" w:hAnsi="Times New Roman"/>
          <w:sz w:val="24"/>
          <w:szCs w:val="24"/>
        </w:rPr>
        <w:t xml:space="preserve"> </w:t>
      </w:r>
      <w:r w:rsidR="00011174" w:rsidRPr="00831157">
        <w:rPr>
          <w:rFonts w:ascii="Times New Roman" w:hAnsi="Times New Roman"/>
          <w:sz w:val="24"/>
          <w:szCs w:val="24"/>
        </w:rPr>
        <w:t>трговином</w:t>
      </w:r>
      <w:r w:rsidRPr="00831157">
        <w:rPr>
          <w:rFonts w:ascii="Times New Roman" w:hAnsi="Times New Roman"/>
          <w:sz w:val="24"/>
          <w:szCs w:val="24"/>
        </w:rPr>
        <w:t xml:space="preserve"> </w:t>
      </w:r>
      <w:r w:rsidR="00011174" w:rsidRPr="00831157">
        <w:rPr>
          <w:rFonts w:ascii="Times New Roman" w:hAnsi="Times New Roman"/>
          <w:sz w:val="24"/>
          <w:szCs w:val="24"/>
        </w:rPr>
        <w:t>ван</w:t>
      </w:r>
      <w:r w:rsidRPr="00831157">
        <w:rPr>
          <w:rFonts w:ascii="Times New Roman" w:hAnsi="Times New Roman"/>
          <w:sz w:val="24"/>
          <w:szCs w:val="24"/>
        </w:rPr>
        <w:t xml:space="preserve"> </w:t>
      </w:r>
      <w:r w:rsidR="00011174" w:rsidRPr="00831157">
        <w:rPr>
          <w:rFonts w:ascii="Times New Roman" w:hAnsi="Times New Roman"/>
          <w:sz w:val="24"/>
          <w:szCs w:val="24"/>
        </w:rPr>
        <w:t>продајног</w:t>
      </w:r>
      <w:r w:rsidRPr="00831157">
        <w:rPr>
          <w:rFonts w:ascii="Times New Roman" w:hAnsi="Times New Roman"/>
          <w:sz w:val="24"/>
          <w:szCs w:val="24"/>
        </w:rPr>
        <w:t xml:space="preserve"> </w:t>
      </w:r>
      <w:r w:rsidR="00011174" w:rsidRPr="00831157">
        <w:rPr>
          <w:rFonts w:ascii="Times New Roman" w:hAnsi="Times New Roman"/>
          <w:sz w:val="24"/>
          <w:szCs w:val="24"/>
        </w:rPr>
        <w:t>објекта</w:t>
      </w:r>
      <w:r w:rsidRPr="00831157">
        <w:rPr>
          <w:rFonts w:ascii="Times New Roman" w:hAnsi="Times New Roman"/>
          <w:sz w:val="24"/>
          <w:szCs w:val="24"/>
        </w:rPr>
        <w:t xml:space="preserve">, </w:t>
      </w:r>
      <w:r w:rsidR="00011174" w:rsidRPr="00831157">
        <w:rPr>
          <w:rFonts w:ascii="Times New Roman" w:hAnsi="Times New Roman"/>
          <w:sz w:val="24"/>
          <w:szCs w:val="24"/>
        </w:rPr>
        <w:t>осим</w:t>
      </w:r>
      <w:r w:rsidRPr="00831157">
        <w:rPr>
          <w:rFonts w:ascii="Times New Roman" w:hAnsi="Times New Roman"/>
          <w:sz w:val="24"/>
          <w:szCs w:val="24"/>
        </w:rPr>
        <w:t xml:space="preserve"> </w:t>
      </w:r>
      <w:r w:rsidR="00011174" w:rsidRPr="00831157">
        <w:rPr>
          <w:rFonts w:ascii="Times New Roman" w:hAnsi="Times New Roman"/>
          <w:sz w:val="24"/>
          <w:szCs w:val="24"/>
        </w:rPr>
        <w:t>даљинске</w:t>
      </w:r>
      <w:r w:rsidRPr="00831157">
        <w:rPr>
          <w:rFonts w:ascii="Times New Roman" w:hAnsi="Times New Roman"/>
          <w:sz w:val="24"/>
          <w:szCs w:val="24"/>
        </w:rPr>
        <w:t xml:space="preserve"> </w:t>
      </w:r>
      <w:r w:rsidR="00011174" w:rsidRPr="00831157">
        <w:rPr>
          <w:rFonts w:ascii="Times New Roman" w:hAnsi="Times New Roman"/>
          <w:sz w:val="24"/>
          <w:szCs w:val="24"/>
        </w:rPr>
        <w:t>трговине</w:t>
      </w:r>
      <w:r w:rsidRPr="00831157">
        <w:rPr>
          <w:rFonts w:ascii="Times New Roman" w:hAnsi="Times New Roman"/>
          <w:sz w:val="24"/>
          <w:szCs w:val="24"/>
        </w:rPr>
        <w:t xml:space="preserve">, </w:t>
      </w:r>
      <w:r w:rsidR="00011174" w:rsidRPr="00831157">
        <w:rPr>
          <w:rFonts w:ascii="Times New Roman" w:hAnsi="Times New Roman"/>
          <w:sz w:val="24"/>
          <w:szCs w:val="24"/>
        </w:rPr>
        <w:t>као</w:t>
      </w:r>
      <w:r w:rsidRPr="00831157">
        <w:rPr>
          <w:rFonts w:ascii="Times New Roman" w:hAnsi="Times New Roman"/>
          <w:sz w:val="24"/>
          <w:szCs w:val="24"/>
        </w:rPr>
        <w:t xml:space="preserve"> </w:t>
      </w:r>
      <w:r w:rsidR="00011174" w:rsidRPr="00831157">
        <w:rPr>
          <w:rFonts w:ascii="Times New Roman" w:hAnsi="Times New Roman"/>
          <w:sz w:val="24"/>
          <w:szCs w:val="24"/>
        </w:rPr>
        <w:t>и</w:t>
      </w:r>
      <w:r w:rsidRPr="00831157">
        <w:rPr>
          <w:rFonts w:ascii="Times New Roman" w:hAnsi="Times New Roman"/>
          <w:sz w:val="24"/>
          <w:szCs w:val="24"/>
        </w:rPr>
        <w:t xml:space="preserve"> </w:t>
      </w:r>
      <w:r w:rsidR="00011174" w:rsidRPr="00831157">
        <w:rPr>
          <w:rFonts w:ascii="Times New Roman" w:hAnsi="Times New Roman"/>
          <w:sz w:val="24"/>
          <w:szCs w:val="24"/>
        </w:rPr>
        <w:t>у</w:t>
      </w:r>
      <w:r w:rsidRPr="00831157">
        <w:rPr>
          <w:rFonts w:ascii="Times New Roman" w:hAnsi="Times New Roman"/>
          <w:sz w:val="24"/>
          <w:szCs w:val="24"/>
        </w:rPr>
        <w:t xml:space="preserve"> </w:t>
      </w:r>
      <w:r w:rsidR="00011174" w:rsidRPr="00831157">
        <w:rPr>
          <w:rFonts w:ascii="Times New Roman" w:hAnsi="Times New Roman"/>
          <w:sz w:val="24"/>
          <w:szCs w:val="24"/>
        </w:rPr>
        <w:t>погледу</w:t>
      </w:r>
      <w:r w:rsidRPr="00831157">
        <w:rPr>
          <w:rFonts w:ascii="Times New Roman" w:hAnsi="Times New Roman"/>
          <w:sz w:val="24"/>
          <w:szCs w:val="24"/>
        </w:rPr>
        <w:t xml:space="preserve"> </w:t>
      </w:r>
      <w:r w:rsidR="00011174" w:rsidRPr="00831157">
        <w:rPr>
          <w:rFonts w:ascii="Times New Roman" w:hAnsi="Times New Roman"/>
          <w:sz w:val="24"/>
          <w:szCs w:val="24"/>
        </w:rPr>
        <w:t>истицања</w:t>
      </w:r>
      <w:r w:rsidRPr="00831157">
        <w:rPr>
          <w:rFonts w:ascii="Times New Roman" w:hAnsi="Times New Roman"/>
          <w:sz w:val="24"/>
          <w:szCs w:val="24"/>
        </w:rPr>
        <w:t xml:space="preserve"> </w:t>
      </w:r>
      <w:r w:rsidR="00011174" w:rsidRPr="00831157">
        <w:rPr>
          <w:rFonts w:ascii="Times New Roman" w:hAnsi="Times New Roman"/>
          <w:sz w:val="24"/>
          <w:szCs w:val="24"/>
        </w:rPr>
        <w:t>и</w:t>
      </w:r>
      <w:r w:rsidRPr="00831157">
        <w:rPr>
          <w:rFonts w:ascii="Times New Roman" w:hAnsi="Times New Roman"/>
          <w:sz w:val="24"/>
          <w:szCs w:val="24"/>
        </w:rPr>
        <w:t xml:space="preserve"> </w:t>
      </w:r>
      <w:r w:rsidR="00011174" w:rsidRPr="00831157">
        <w:rPr>
          <w:rFonts w:ascii="Times New Roman" w:hAnsi="Times New Roman"/>
          <w:sz w:val="24"/>
          <w:szCs w:val="24"/>
        </w:rPr>
        <w:t>придржавања</w:t>
      </w:r>
      <w:r w:rsidRPr="00831157">
        <w:rPr>
          <w:rFonts w:ascii="Times New Roman" w:hAnsi="Times New Roman"/>
          <w:sz w:val="24"/>
          <w:szCs w:val="24"/>
        </w:rPr>
        <w:t xml:space="preserve"> </w:t>
      </w:r>
      <w:r w:rsidR="00011174" w:rsidRPr="00831157">
        <w:rPr>
          <w:rFonts w:ascii="Times New Roman" w:hAnsi="Times New Roman"/>
          <w:sz w:val="24"/>
          <w:szCs w:val="24"/>
        </w:rPr>
        <w:t>радног</w:t>
      </w:r>
      <w:r w:rsidRPr="00831157">
        <w:rPr>
          <w:rFonts w:ascii="Times New Roman" w:hAnsi="Times New Roman"/>
          <w:sz w:val="24"/>
          <w:szCs w:val="24"/>
        </w:rPr>
        <w:t xml:space="preserve"> </w:t>
      </w:r>
      <w:r w:rsidR="00011174" w:rsidRPr="00831157">
        <w:rPr>
          <w:rFonts w:ascii="Times New Roman" w:hAnsi="Times New Roman"/>
          <w:sz w:val="24"/>
          <w:szCs w:val="24"/>
        </w:rPr>
        <w:t>времена</w:t>
      </w:r>
      <w:r w:rsidRPr="00831157">
        <w:rPr>
          <w:rFonts w:ascii="Times New Roman" w:hAnsi="Times New Roman"/>
          <w:sz w:val="24"/>
          <w:szCs w:val="24"/>
        </w:rPr>
        <w:t xml:space="preserve"> </w:t>
      </w:r>
      <w:r w:rsidR="00011174" w:rsidRPr="00831157">
        <w:rPr>
          <w:rFonts w:ascii="Times New Roman" w:hAnsi="Times New Roman"/>
          <w:sz w:val="24"/>
          <w:szCs w:val="24"/>
        </w:rPr>
        <w:t>и</w:t>
      </w:r>
      <w:r w:rsidRPr="00831157">
        <w:rPr>
          <w:rFonts w:ascii="Times New Roman" w:hAnsi="Times New Roman"/>
          <w:sz w:val="24"/>
          <w:szCs w:val="24"/>
        </w:rPr>
        <w:t xml:space="preserve"> </w:t>
      </w:r>
      <w:r w:rsidR="00011174" w:rsidRPr="00831157">
        <w:rPr>
          <w:rFonts w:ascii="Times New Roman" w:hAnsi="Times New Roman"/>
          <w:sz w:val="24"/>
          <w:szCs w:val="24"/>
        </w:rPr>
        <w:t>истицања</w:t>
      </w:r>
      <w:r w:rsidRPr="00831157">
        <w:rPr>
          <w:rFonts w:ascii="Times New Roman" w:hAnsi="Times New Roman"/>
          <w:sz w:val="24"/>
          <w:szCs w:val="24"/>
        </w:rPr>
        <w:t xml:space="preserve"> </w:t>
      </w:r>
      <w:r w:rsidR="00011174" w:rsidRPr="00831157">
        <w:rPr>
          <w:rFonts w:ascii="Times New Roman" w:hAnsi="Times New Roman"/>
          <w:sz w:val="24"/>
          <w:szCs w:val="24"/>
        </w:rPr>
        <w:t>пословног</w:t>
      </w:r>
      <w:r w:rsidRPr="00831157">
        <w:rPr>
          <w:rFonts w:ascii="Times New Roman" w:hAnsi="Times New Roman"/>
          <w:sz w:val="24"/>
          <w:szCs w:val="24"/>
        </w:rPr>
        <w:t xml:space="preserve"> </w:t>
      </w:r>
      <w:r w:rsidR="00011174" w:rsidRPr="00831157">
        <w:rPr>
          <w:rFonts w:ascii="Times New Roman" w:hAnsi="Times New Roman"/>
          <w:sz w:val="24"/>
          <w:szCs w:val="24"/>
        </w:rPr>
        <w:t>имена</w:t>
      </w:r>
      <w:r w:rsidRPr="00831157">
        <w:rPr>
          <w:rFonts w:ascii="Times New Roman" w:hAnsi="Times New Roman"/>
          <w:sz w:val="24"/>
          <w:szCs w:val="24"/>
        </w:rPr>
        <w:t>;</w:t>
      </w:r>
    </w:p>
    <w:p w:rsidR="00B85448" w:rsidRPr="00831157" w:rsidRDefault="008646F9" w:rsidP="00831157">
      <w:pPr>
        <w:jc w:val="both"/>
        <w:rPr>
          <w:rFonts w:ascii="Times New Roman" w:hAnsi="Times New Roman"/>
          <w:sz w:val="24"/>
          <w:szCs w:val="24"/>
          <w:lang w:val="sr-Cyrl-CS"/>
        </w:rPr>
      </w:pPr>
      <w:r w:rsidRPr="00831157">
        <w:rPr>
          <w:rFonts w:ascii="Times New Roman" w:hAnsi="Times New Roman"/>
          <w:sz w:val="24"/>
          <w:szCs w:val="24"/>
        </w:rPr>
        <w:lastRenderedPageBreak/>
        <w:t xml:space="preserve">3) </w:t>
      </w:r>
      <w:r w:rsidR="00011174" w:rsidRPr="00831157">
        <w:rPr>
          <w:rFonts w:ascii="Times New Roman" w:hAnsi="Times New Roman"/>
          <w:sz w:val="24"/>
          <w:szCs w:val="24"/>
        </w:rPr>
        <w:t>други</w:t>
      </w:r>
      <w:r w:rsidRPr="00831157">
        <w:rPr>
          <w:rFonts w:ascii="Times New Roman" w:hAnsi="Times New Roman"/>
          <w:sz w:val="24"/>
          <w:szCs w:val="24"/>
        </w:rPr>
        <w:t xml:space="preserve"> </w:t>
      </w:r>
      <w:r w:rsidR="00011174" w:rsidRPr="00831157">
        <w:rPr>
          <w:rFonts w:ascii="Times New Roman" w:hAnsi="Times New Roman"/>
          <w:sz w:val="24"/>
          <w:szCs w:val="24"/>
        </w:rPr>
        <w:t>државни</w:t>
      </w:r>
      <w:r w:rsidRPr="00831157">
        <w:rPr>
          <w:rFonts w:ascii="Times New Roman" w:hAnsi="Times New Roman"/>
          <w:sz w:val="24"/>
          <w:szCs w:val="24"/>
        </w:rPr>
        <w:t xml:space="preserve"> </w:t>
      </w:r>
      <w:r w:rsidR="00011174" w:rsidRPr="00831157">
        <w:rPr>
          <w:rFonts w:ascii="Times New Roman" w:hAnsi="Times New Roman"/>
          <w:sz w:val="24"/>
          <w:szCs w:val="24"/>
        </w:rPr>
        <w:t>органи</w:t>
      </w:r>
      <w:r w:rsidRPr="00831157">
        <w:rPr>
          <w:rFonts w:ascii="Times New Roman" w:hAnsi="Times New Roman"/>
          <w:sz w:val="24"/>
          <w:szCs w:val="24"/>
        </w:rPr>
        <w:t xml:space="preserve"> </w:t>
      </w:r>
      <w:r w:rsidR="00011174" w:rsidRPr="00831157">
        <w:rPr>
          <w:rFonts w:ascii="Times New Roman" w:hAnsi="Times New Roman"/>
          <w:sz w:val="24"/>
          <w:szCs w:val="24"/>
        </w:rPr>
        <w:t>у</w:t>
      </w:r>
      <w:r w:rsidRPr="00831157">
        <w:rPr>
          <w:rFonts w:ascii="Times New Roman" w:hAnsi="Times New Roman"/>
          <w:sz w:val="24"/>
          <w:szCs w:val="24"/>
        </w:rPr>
        <w:t xml:space="preserve"> </w:t>
      </w:r>
      <w:r w:rsidR="00011174" w:rsidRPr="00831157">
        <w:rPr>
          <w:rFonts w:ascii="Times New Roman" w:hAnsi="Times New Roman"/>
          <w:sz w:val="24"/>
          <w:szCs w:val="24"/>
        </w:rPr>
        <w:t>складу</w:t>
      </w:r>
      <w:r w:rsidRPr="00831157">
        <w:rPr>
          <w:rFonts w:ascii="Times New Roman" w:hAnsi="Times New Roman"/>
          <w:sz w:val="24"/>
          <w:szCs w:val="24"/>
        </w:rPr>
        <w:t xml:space="preserve"> </w:t>
      </w:r>
      <w:r w:rsidR="00011174" w:rsidRPr="00831157">
        <w:rPr>
          <w:rFonts w:ascii="Times New Roman" w:hAnsi="Times New Roman"/>
          <w:sz w:val="24"/>
          <w:szCs w:val="24"/>
        </w:rPr>
        <w:t>са</w:t>
      </w:r>
      <w:r w:rsidRPr="00831157">
        <w:rPr>
          <w:rFonts w:ascii="Times New Roman" w:hAnsi="Times New Roman"/>
          <w:sz w:val="24"/>
          <w:szCs w:val="24"/>
        </w:rPr>
        <w:t xml:space="preserve"> </w:t>
      </w:r>
      <w:r w:rsidR="00011174" w:rsidRPr="00831157">
        <w:rPr>
          <w:rFonts w:ascii="Times New Roman" w:hAnsi="Times New Roman"/>
          <w:sz w:val="24"/>
          <w:szCs w:val="24"/>
        </w:rPr>
        <w:t>својим</w:t>
      </w:r>
      <w:r w:rsidRPr="00831157">
        <w:rPr>
          <w:rFonts w:ascii="Times New Roman" w:hAnsi="Times New Roman"/>
          <w:sz w:val="24"/>
          <w:szCs w:val="24"/>
        </w:rPr>
        <w:t xml:space="preserve"> </w:t>
      </w:r>
      <w:r w:rsidR="00011174" w:rsidRPr="00831157">
        <w:rPr>
          <w:rFonts w:ascii="Times New Roman" w:hAnsi="Times New Roman"/>
          <w:sz w:val="24"/>
          <w:szCs w:val="24"/>
        </w:rPr>
        <w:t>делокругом</w:t>
      </w:r>
      <w:r w:rsidRPr="00831157">
        <w:rPr>
          <w:rFonts w:ascii="Times New Roman" w:hAnsi="Times New Roman"/>
          <w:sz w:val="24"/>
          <w:szCs w:val="24"/>
        </w:rPr>
        <w:t xml:space="preserve">, </w:t>
      </w:r>
      <w:r w:rsidR="00011174" w:rsidRPr="00831157">
        <w:rPr>
          <w:rFonts w:ascii="Times New Roman" w:hAnsi="Times New Roman"/>
          <w:sz w:val="24"/>
          <w:szCs w:val="24"/>
        </w:rPr>
        <w:t>према</w:t>
      </w:r>
      <w:r w:rsidRPr="00831157">
        <w:rPr>
          <w:rFonts w:ascii="Times New Roman" w:hAnsi="Times New Roman"/>
          <w:sz w:val="24"/>
          <w:szCs w:val="24"/>
        </w:rPr>
        <w:t xml:space="preserve"> </w:t>
      </w:r>
      <w:r w:rsidR="00011174" w:rsidRPr="00831157">
        <w:rPr>
          <w:rFonts w:ascii="Times New Roman" w:hAnsi="Times New Roman"/>
          <w:sz w:val="24"/>
          <w:szCs w:val="24"/>
        </w:rPr>
        <w:t>посебним</w:t>
      </w:r>
      <w:r w:rsidRPr="00831157">
        <w:rPr>
          <w:rFonts w:ascii="Times New Roman" w:hAnsi="Times New Roman"/>
          <w:sz w:val="24"/>
          <w:szCs w:val="24"/>
        </w:rPr>
        <w:t xml:space="preserve"> </w:t>
      </w:r>
      <w:r w:rsidR="00011174" w:rsidRPr="00831157">
        <w:rPr>
          <w:rFonts w:ascii="Times New Roman" w:hAnsi="Times New Roman"/>
          <w:sz w:val="24"/>
          <w:szCs w:val="24"/>
        </w:rPr>
        <w:t>прописима</w:t>
      </w:r>
      <w:r w:rsidRPr="00831157">
        <w:rPr>
          <w:rFonts w:ascii="Times New Roman" w:hAnsi="Times New Roman"/>
          <w:sz w:val="24"/>
          <w:szCs w:val="24"/>
        </w:rPr>
        <w:t>.</w:t>
      </w:r>
    </w:p>
    <w:p w:rsidR="00B85448" w:rsidRPr="00831157" w:rsidRDefault="00011174" w:rsidP="00831157">
      <w:pPr>
        <w:ind w:firstLine="708"/>
        <w:jc w:val="both"/>
        <w:rPr>
          <w:rFonts w:ascii="Times New Roman" w:hAnsi="Times New Roman"/>
          <w:sz w:val="24"/>
          <w:szCs w:val="24"/>
          <w:lang w:val="sr-Cyrl-CS"/>
        </w:rPr>
      </w:pPr>
      <w:r w:rsidRPr="00831157">
        <w:rPr>
          <w:rFonts w:ascii="Times New Roman" w:hAnsi="Times New Roman"/>
          <w:sz w:val="24"/>
          <w:szCs w:val="24"/>
        </w:rPr>
        <w:t>У</w:t>
      </w:r>
      <w:r w:rsidR="008646F9" w:rsidRPr="00831157">
        <w:rPr>
          <w:rFonts w:ascii="Times New Roman" w:hAnsi="Times New Roman"/>
          <w:sz w:val="24"/>
          <w:szCs w:val="24"/>
        </w:rPr>
        <w:t xml:space="preserve"> </w:t>
      </w:r>
      <w:r w:rsidRPr="00831157">
        <w:rPr>
          <w:rFonts w:ascii="Times New Roman" w:hAnsi="Times New Roman"/>
          <w:sz w:val="24"/>
          <w:szCs w:val="24"/>
        </w:rPr>
        <w:t>вршењу</w:t>
      </w:r>
      <w:r w:rsidR="008646F9" w:rsidRPr="00831157">
        <w:rPr>
          <w:rFonts w:ascii="Times New Roman" w:hAnsi="Times New Roman"/>
          <w:sz w:val="24"/>
          <w:szCs w:val="24"/>
        </w:rPr>
        <w:t xml:space="preserve"> </w:t>
      </w:r>
      <w:r w:rsidRPr="00831157">
        <w:rPr>
          <w:rFonts w:ascii="Times New Roman" w:hAnsi="Times New Roman"/>
          <w:sz w:val="24"/>
          <w:szCs w:val="24"/>
        </w:rPr>
        <w:t>инспекцијског</w:t>
      </w:r>
      <w:r w:rsidR="008646F9" w:rsidRPr="00831157">
        <w:rPr>
          <w:rFonts w:ascii="Times New Roman" w:hAnsi="Times New Roman"/>
          <w:sz w:val="24"/>
          <w:szCs w:val="24"/>
        </w:rPr>
        <w:t xml:space="preserve"> </w:t>
      </w:r>
      <w:r w:rsidRPr="00831157">
        <w:rPr>
          <w:rFonts w:ascii="Times New Roman" w:hAnsi="Times New Roman"/>
          <w:sz w:val="24"/>
          <w:szCs w:val="24"/>
        </w:rPr>
        <w:t>надзора</w:t>
      </w:r>
      <w:r w:rsidR="008646F9" w:rsidRPr="00831157">
        <w:rPr>
          <w:rFonts w:ascii="Times New Roman" w:hAnsi="Times New Roman"/>
          <w:sz w:val="24"/>
          <w:szCs w:val="24"/>
        </w:rPr>
        <w:t xml:space="preserve">, </w:t>
      </w:r>
      <w:r w:rsidRPr="00831157">
        <w:rPr>
          <w:rFonts w:ascii="Times New Roman" w:hAnsi="Times New Roman"/>
          <w:sz w:val="24"/>
          <w:szCs w:val="24"/>
        </w:rPr>
        <w:t>тржишни</w:t>
      </w:r>
      <w:r w:rsidR="008646F9" w:rsidRPr="00831157">
        <w:rPr>
          <w:rFonts w:ascii="Times New Roman" w:hAnsi="Times New Roman"/>
          <w:sz w:val="24"/>
          <w:szCs w:val="24"/>
        </w:rPr>
        <w:t xml:space="preserve"> </w:t>
      </w:r>
      <w:r w:rsidRPr="00831157">
        <w:rPr>
          <w:rFonts w:ascii="Times New Roman" w:hAnsi="Times New Roman"/>
          <w:sz w:val="24"/>
          <w:szCs w:val="24"/>
        </w:rPr>
        <w:t>инспектор</w:t>
      </w:r>
      <w:r w:rsidR="008646F9" w:rsidRPr="00831157">
        <w:rPr>
          <w:rFonts w:ascii="Times New Roman" w:hAnsi="Times New Roman"/>
          <w:sz w:val="24"/>
          <w:szCs w:val="24"/>
        </w:rPr>
        <w:t xml:space="preserve"> </w:t>
      </w:r>
      <w:r w:rsidRPr="00831157">
        <w:rPr>
          <w:rFonts w:ascii="Times New Roman" w:hAnsi="Times New Roman"/>
          <w:sz w:val="24"/>
          <w:szCs w:val="24"/>
        </w:rPr>
        <w:t>има</w:t>
      </w:r>
      <w:r w:rsidR="008646F9" w:rsidRPr="00831157">
        <w:rPr>
          <w:rFonts w:ascii="Times New Roman" w:hAnsi="Times New Roman"/>
          <w:sz w:val="24"/>
          <w:szCs w:val="24"/>
        </w:rPr>
        <w:t xml:space="preserve"> </w:t>
      </w:r>
      <w:r w:rsidRPr="00831157">
        <w:rPr>
          <w:rFonts w:ascii="Times New Roman" w:hAnsi="Times New Roman"/>
          <w:sz w:val="24"/>
          <w:szCs w:val="24"/>
        </w:rPr>
        <w:t>овлашћење</w:t>
      </w:r>
      <w:r w:rsidR="008646F9" w:rsidRPr="00831157">
        <w:rPr>
          <w:rFonts w:ascii="Times New Roman" w:hAnsi="Times New Roman"/>
          <w:sz w:val="24"/>
          <w:szCs w:val="24"/>
        </w:rPr>
        <w:t xml:space="preserve"> </w:t>
      </w:r>
      <w:r w:rsidRPr="00831157">
        <w:rPr>
          <w:rFonts w:ascii="Times New Roman" w:hAnsi="Times New Roman"/>
          <w:sz w:val="24"/>
          <w:szCs w:val="24"/>
        </w:rPr>
        <w:t>да</w:t>
      </w:r>
      <w:r w:rsidR="008646F9" w:rsidRPr="00831157">
        <w:rPr>
          <w:rFonts w:ascii="Times New Roman" w:hAnsi="Times New Roman"/>
          <w:sz w:val="24"/>
          <w:szCs w:val="24"/>
        </w:rPr>
        <w:t>:</w:t>
      </w:r>
    </w:p>
    <w:p w:rsidR="00B479B2" w:rsidRPr="00831157" w:rsidRDefault="003B6E4E" w:rsidP="00831157">
      <w:pPr>
        <w:jc w:val="both"/>
        <w:rPr>
          <w:rFonts w:ascii="Times New Roman" w:hAnsi="Times New Roman"/>
          <w:sz w:val="24"/>
          <w:szCs w:val="24"/>
          <w:lang w:val="sr-Cyrl-CS"/>
        </w:rPr>
      </w:pPr>
      <w:r w:rsidRPr="00831157">
        <w:rPr>
          <w:rFonts w:ascii="Times New Roman" w:hAnsi="Times New Roman"/>
          <w:sz w:val="24"/>
          <w:szCs w:val="24"/>
          <w:lang w:val="sr-Cyrl-CS"/>
        </w:rPr>
        <w:t>-</w:t>
      </w:r>
      <w:r w:rsidR="00011174" w:rsidRPr="00831157">
        <w:rPr>
          <w:rFonts w:ascii="Times New Roman" w:hAnsi="Times New Roman"/>
          <w:sz w:val="24"/>
          <w:szCs w:val="24"/>
        </w:rPr>
        <w:t>прегледа</w:t>
      </w:r>
      <w:r w:rsidR="008646F9" w:rsidRPr="00831157">
        <w:rPr>
          <w:rFonts w:ascii="Times New Roman" w:hAnsi="Times New Roman"/>
          <w:sz w:val="24"/>
          <w:szCs w:val="24"/>
        </w:rPr>
        <w:t xml:space="preserve"> </w:t>
      </w:r>
      <w:r w:rsidR="00011174" w:rsidRPr="00831157">
        <w:rPr>
          <w:rFonts w:ascii="Times New Roman" w:hAnsi="Times New Roman"/>
          <w:sz w:val="24"/>
          <w:szCs w:val="24"/>
        </w:rPr>
        <w:t>пословни</w:t>
      </w:r>
      <w:r w:rsidR="008646F9" w:rsidRPr="00831157">
        <w:rPr>
          <w:rFonts w:ascii="Times New Roman" w:hAnsi="Times New Roman"/>
          <w:sz w:val="24"/>
          <w:szCs w:val="24"/>
        </w:rPr>
        <w:t xml:space="preserve"> </w:t>
      </w:r>
      <w:r w:rsidR="00011174" w:rsidRPr="00831157">
        <w:rPr>
          <w:rFonts w:ascii="Times New Roman" w:hAnsi="Times New Roman"/>
          <w:sz w:val="24"/>
          <w:szCs w:val="24"/>
        </w:rPr>
        <w:t>простор</w:t>
      </w:r>
      <w:r w:rsidR="008646F9" w:rsidRPr="00831157">
        <w:rPr>
          <w:rFonts w:ascii="Times New Roman" w:hAnsi="Times New Roman"/>
          <w:sz w:val="24"/>
          <w:szCs w:val="24"/>
        </w:rPr>
        <w:t xml:space="preserve">, </w:t>
      </w:r>
      <w:r w:rsidR="00011174" w:rsidRPr="00831157">
        <w:rPr>
          <w:rFonts w:ascii="Times New Roman" w:hAnsi="Times New Roman"/>
          <w:sz w:val="24"/>
          <w:szCs w:val="24"/>
        </w:rPr>
        <w:t>односно</w:t>
      </w:r>
      <w:r w:rsidR="008646F9" w:rsidRPr="00831157">
        <w:rPr>
          <w:rFonts w:ascii="Times New Roman" w:hAnsi="Times New Roman"/>
          <w:sz w:val="24"/>
          <w:szCs w:val="24"/>
        </w:rPr>
        <w:t xml:space="preserve"> </w:t>
      </w:r>
      <w:r w:rsidR="00011174" w:rsidRPr="00831157">
        <w:rPr>
          <w:rFonts w:ascii="Times New Roman" w:hAnsi="Times New Roman"/>
          <w:sz w:val="24"/>
          <w:szCs w:val="24"/>
        </w:rPr>
        <w:t>простор</w:t>
      </w:r>
      <w:r w:rsidR="008646F9" w:rsidRPr="00831157">
        <w:rPr>
          <w:rFonts w:ascii="Times New Roman" w:hAnsi="Times New Roman"/>
          <w:sz w:val="24"/>
          <w:szCs w:val="24"/>
        </w:rPr>
        <w:t xml:space="preserve"> </w:t>
      </w:r>
      <w:r w:rsidR="00011174" w:rsidRPr="00831157">
        <w:rPr>
          <w:rFonts w:ascii="Times New Roman" w:hAnsi="Times New Roman"/>
          <w:sz w:val="24"/>
          <w:szCs w:val="24"/>
        </w:rPr>
        <w:t>у</w:t>
      </w:r>
      <w:r w:rsidR="008646F9" w:rsidRPr="00831157">
        <w:rPr>
          <w:rFonts w:ascii="Times New Roman" w:hAnsi="Times New Roman"/>
          <w:sz w:val="24"/>
          <w:szCs w:val="24"/>
        </w:rPr>
        <w:t xml:space="preserve"> </w:t>
      </w:r>
      <w:r w:rsidR="00011174" w:rsidRPr="00831157">
        <w:rPr>
          <w:rFonts w:ascii="Times New Roman" w:hAnsi="Times New Roman"/>
          <w:sz w:val="24"/>
          <w:szCs w:val="24"/>
        </w:rPr>
        <w:t>којем</w:t>
      </w:r>
      <w:r w:rsidR="008646F9" w:rsidRPr="00831157">
        <w:rPr>
          <w:rFonts w:ascii="Times New Roman" w:hAnsi="Times New Roman"/>
          <w:sz w:val="24"/>
          <w:szCs w:val="24"/>
        </w:rPr>
        <w:t xml:space="preserve"> </w:t>
      </w:r>
      <w:r w:rsidR="00011174" w:rsidRPr="00831157">
        <w:rPr>
          <w:rFonts w:ascii="Times New Roman" w:hAnsi="Times New Roman"/>
          <w:sz w:val="24"/>
          <w:szCs w:val="24"/>
        </w:rPr>
        <w:t>се</w:t>
      </w:r>
      <w:r w:rsidR="008646F9" w:rsidRPr="00831157">
        <w:rPr>
          <w:rFonts w:ascii="Times New Roman" w:hAnsi="Times New Roman"/>
          <w:sz w:val="24"/>
          <w:szCs w:val="24"/>
        </w:rPr>
        <w:t xml:space="preserve"> </w:t>
      </w:r>
      <w:r w:rsidR="00011174" w:rsidRPr="00831157">
        <w:rPr>
          <w:rFonts w:ascii="Times New Roman" w:hAnsi="Times New Roman"/>
          <w:sz w:val="24"/>
          <w:szCs w:val="24"/>
        </w:rPr>
        <w:t>обавља</w:t>
      </w:r>
      <w:r w:rsidR="008646F9" w:rsidRPr="00831157">
        <w:rPr>
          <w:rFonts w:ascii="Times New Roman" w:hAnsi="Times New Roman"/>
          <w:sz w:val="24"/>
          <w:szCs w:val="24"/>
        </w:rPr>
        <w:t xml:space="preserve"> </w:t>
      </w:r>
      <w:r w:rsidR="00011174" w:rsidRPr="00831157">
        <w:rPr>
          <w:rFonts w:ascii="Times New Roman" w:hAnsi="Times New Roman"/>
          <w:sz w:val="24"/>
          <w:szCs w:val="24"/>
        </w:rPr>
        <w:t>трговинска</w:t>
      </w:r>
      <w:r w:rsidR="008646F9" w:rsidRPr="00831157">
        <w:rPr>
          <w:rFonts w:ascii="Times New Roman" w:hAnsi="Times New Roman"/>
          <w:sz w:val="24"/>
          <w:szCs w:val="24"/>
        </w:rPr>
        <w:t xml:space="preserve"> </w:t>
      </w:r>
      <w:r w:rsidR="00011174" w:rsidRPr="00831157">
        <w:rPr>
          <w:rFonts w:ascii="Times New Roman" w:hAnsi="Times New Roman"/>
          <w:sz w:val="24"/>
          <w:szCs w:val="24"/>
        </w:rPr>
        <w:t>делатност</w:t>
      </w:r>
      <w:r w:rsidR="008646F9" w:rsidRPr="00831157">
        <w:rPr>
          <w:rFonts w:ascii="Times New Roman" w:hAnsi="Times New Roman"/>
          <w:sz w:val="24"/>
          <w:szCs w:val="24"/>
        </w:rPr>
        <w:t>;</w:t>
      </w:r>
    </w:p>
    <w:p w:rsidR="00B479B2" w:rsidRPr="00831157" w:rsidRDefault="003B6E4E" w:rsidP="00831157">
      <w:pPr>
        <w:jc w:val="both"/>
        <w:rPr>
          <w:rFonts w:ascii="Times New Roman" w:hAnsi="Times New Roman"/>
          <w:sz w:val="24"/>
          <w:szCs w:val="24"/>
          <w:lang w:val="sr-Cyrl-CS"/>
        </w:rPr>
      </w:pPr>
      <w:r w:rsidRPr="00831157">
        <w:rPr>
          <w:rFonts w:ascii="Times New Roman" w:hAnsi="Times New Roman"/>
          <w:sz w:val="24"/>
          <w:szCs w:val="24"/>
          <w:lang w:val="sr-Cyrl-CS"/>
        </w:rPr>
        <w:t>-</w:t>
      </w:r>
      <w:r w:rsidR="00011174" w:rsidRPr="00831157">
        <w:rPr>
          <w:rFonts w:ascii="Times New Roman" w:hAnsi="Times New Roman"/>
          <w:sz w:val="24"/>
          <w:szCs w:val="24"/>
        </w:rPr>
        <w:t>врши</w:t>
      </w:r>
      <w:r w:rsidR="008646F9" w:rsidRPr="00831157">
        <w:rPr>
          <w:rFonts w:ascii="Times New Roman" w:hAnsi="Times New Roman"/>
          <w:sz w:val="24"/>
          <w:szCs w:val="24"/>
        </w:rPr>
        <w:t xml:space="preserve"> </w:t>
      </w:r>
      <w:r w:rsidR="00011174" w:rsidRPr="00831157">
        <w:rPr>
          <w:rFonts w:ascii="Times New Roman" w:hAnsi="Times New Roman"/>
          <w:sz w:val="24"/>
          <w:szCs w:val="24"/>
        </w:rPr>
        <w:t>увид</w:t>
      </w:r>
      <w:r w:rsidR="008646F9" w:rsidRPr="00831157">
        <w:rPr>
          <w:rFonts w:ascii="Times New Roman" w:hAnsi="Times New Roman"/>
          <w:sz w:val="24"/>
          <w:szCs w:val="24"/>
        </w:rPr>
        <w:t xml:space="preserve"> </w:t>
      </w:r>
      <w:r w:rsidR="00011174" w:rsidRPr="00831157">
        <w:rPr>
          <w:rFonts w:ascii="Times New Roman" w:hAnsi="Times New Roman"/>
          <w:sz w:val="24"/>
          <w:szCs w:val="24"/>
        </w:rPr>
        <w:t>у</w:t>
      </w:r>
      <w:r w:rsidR="008646F9" w:rsidRPr="00831157">
        <w:rPr>
          <w:rFonts w:ascii="Times New Roman" w:hAnsi="Times New Roman"/>
          <w:sz w:val="24"/>
          <w:szCs w:val="24"/>
        </w:rPr>
        <w:t xml:space="preserve"> </w:t>
      </w:r>
      <w:r w:rsidR="00011174" w:rsidRPr="00831157">
        <w:rPr>
          <w:rFonts w:ascii="Times New Roman" w:hAnsi="Times New Roman"/>
          <w:sz w:val="24"/>
          <w:szCs w:val="24"/>
        </w:rPr>
        <w:t>пословне</w:t>
      </w:r>
      <w:r w:rsidR="008646F9" w:rsidRPr="00831157">
        <w:rPr>
          <w:rFonts w:ascii="Times New Roman" w:hAnsi="Times New Roman"/>
          <w:sz w:val="24"/>
          <w:szCs w:val="24"/>
        </w:rPr>
        <w:t xml:space="preserve"> </w:t>
      </w:r>
      <w:r w:rsidR="00011174" w:rsidRPr="00831157">
        <w:rPr>
          <w:rFonts w:ascii="Times New Roman" w:hAnsi="Times New Roman"/>
          <w:sz w:val="24"/>
          <w:szCs w:val="24"/>
        </w:rPr>
        <w:t>књиге</w:t>
      </w:r>
      <w:r w:rsidR="008646F9" w:rsidRPr="00831157">
        <w:rPr>
          <w:rFonts w:ascii="Times New Roman" w:hAnsi="Times New Roman"/>
          <w:sz w:val="24"/>
          <w:szCs w:val="24"/>
        </w:rPr>
        <w:t xml:space="preserve">, </w:t>
      </w:r>
      <w:r w:rsidR="00011174" w:rsidRPr="00831157">
        <w:rPr>
          <w:rFonts w:ascii="Times New Roman" w:hAnsi="Times New Roman"/>
          <w:sz w:val="24"/>
          <w:szCs w:val="24"/>
        </w:rPr>
        <w:t>евиденције</w:t>
      </w:r>
      <w:r w:rsidR="008646F9" w:rsidRPr="00831157">
        <w:rPr>
          <w:rFonts w:ascii="Times New Roman" w:hAnsi="Times New Roman"/>
          <w:sz w:val="24"/>
          <w:szCs w:val="24"/>
        </w:rPr>
        <w:t xml:space="preserve">, </w:t>
      </w:r>
      <w:r w:rsidR="00011174" w:rsidRPr="00831157">
        <w:rPr>
          <w:rFonts w:ascii="Times New Roman" w:hAnsi="Times New Roman"/>
          <w:sz w:val="24"/>
          <w:szCs w:val="24"/>
        </w:rPr>
        <w:t>исправе</w:t>
      </w:r>
      <w:r w:rsidR="008646F9" w:rsidRPr="00831157">
        <w:rPr>
          <w:rFonts w:ascii="Times New Roman" w:hAnsi="Times New Roman"/>
          <w:sz w:val="24"/>
          <w:szCs w:val="24"/>
        </w:rPr>
        <w:t xml:space="preserve">, </w:t>
      </w:r>
      <w:r w:rsidR="00011174" w:rsidRPr="00831157">
        <w:rPr>
          <w:rFonts w:ascii="Times New Roman" w:hAnsi="Times New Roman"/>
          <w:sz w:val="24"/>
          <w:szCs w:val="24"/>
        </w:rPr>
        <w:t>електронске</w:t>
      </w:r>
      <w:r w:rsidR="008646F9" w:rsidRPr="00831157">
        <w:rPr>
          <w:rFonts w:ascii="Times New Roman" w:hAnsi="Times New Roman"/>
          <w:sz w:val="24"/>
          <w:szCs w:val="24"/>
        </w:rPr>
        <w:t xml:space="preserve"> </w:t>
      </w:r>
      <w:r w:rsidR="00011174" w:rsidRPr="00831157">
        <w:rPr>
          <w:rFonts w:ascii="Times New Roman" w:hAnsi="Times New Roman"/>
          <w:sz w:val="24"/>
          <w:szCs w:val="24"/>
        </w:rPr>
        <w:t>документе</w:t>
      </w:r>
      <w:r w:rsidR="008646F9" w:rsidRPr="00831157">
        <w:rPr>
          <w:rFonts w:ascii="Times New Roman" w:hAnsi="Times New Roman"/>
          <w:sz w:val="24"/>
          <w:szCs w:val="24"/>
        </w:rPr>
        <w:t xml:space="preserve"> </w:t>
      </w:r>
      <w:r w:rsidR="00011174" w:rsidRPr="00831157">
        <w:rPr>
          <w:rFonts w:ascii="Times New Roman" w:hAnsi="Times New Roman"/>
          <w:sz w:val="24"/>
          <w:szCs w:val="24"/>
        </w:rPr>
        <w:t>као</w:t>
      </w:r>
      <w:r w:rsidR="008646F9" w:rsidRPr="00831157">
        <w:rPr>
          <w:rFonts w:ascii="Times New Roman" w:hAnsi="Times New Roman"/>
          <w:sz w:val="24"/>
          <w:szCs w:val="24"/>
        </w:rPr>
        <w:t xml:space="preserve"> </w:t>
      </w:r>
      <w:r w:rsidR="00011174" w:rsidRPr="00831157">
        <w:rPr>
          <w:rFonts w:ascii="Times New Roman" w:hAnsi="Times New Roman"/>
          <w:sz w:val="24"/>
          <w:szCs w:val="24"/>
        </w:rPr>
        <w:t>и</w:t>
      </w:r>
      <w:r w:rsidR="008646F9" w:rsidRPr="00831157">
        <w:rPr>
          <w:rFonts w:ascii="Times New Roman" w:hAnsi="Times New Roman"/>
          <w:sz w:val="24"/>
          <w:szCs w:val="24"/>
        </w:rPr>
        <w:t xml:space="preserve"> </w:t>
      </w:r>
      <w:r w:rsidR="00011174" w:rsidRPr="00831157">
        <w:rPr>
          <w:rFonts w:ascii="Times New Roman" w:hAnsi="Times New Roman"/>
          <w:sz w:val="24"/>
          <w:szCs w:val="24"/>
        </w:rPr>
        <w:t>у</w:t>
      </w:r>
      <w:r w:rsidR="008646F9" w:rsidRPr="00831157">
        <w:rPr>
          <w:rFonts w:ascii="Times New Roman" w:hAnsi="Times New Roman"/>
          <w:sz w:val="24"/>
          <w:szCs w:val="24"/>
        </w:rPr>
        <w:t xml:space="preserve"> </w:t>
      </w:r>
      <w:r w:rsidR="00011174" w:rsidRPr="00831157">
        <w:rPr>
          <w:rFonts w:ascii="Times New Roman" w:hAnsi="Times New Roman"/>
          <w:sz w:val="24"/>
          <w:szCs w:val="24"/>
        </w:rPr>
        <w:t>другу</w:t>
      </w:r>
      <w:r w:rsidR="008646F9" w:rsidRPr="00831157">
        <w:rPr>
          <w:rFonts w:ascii="Times New Roman" w:hAnsi="Times New Roman"/>
          <w:sz w:val="24"/>
          <w:szCs w:val="24"/>
        </w:rPr>
        <w:t xml:space="preserve"> </w:t>
      </w:r>
      <w:r w:rsidR="00011174" w:rsidRPr="00831157">
        <w:rPr>
          <w:rFonts w:ascii="Times New Roman" w:hAnsi="Times New Roman"/>
          <w:sz w:val="24"/>
          <w:szCs w:val="24"/>
        </w:rPr>
        <w:t>документацију</w:t>
      </w:r>
      <w:r w:rsidR="008646F9" w:rsidRPr="00831157">
        <w:rPr>
          <w:rFonts w:ascii="Times New Roman" w:hAnsi="Times New Roman"/>
          <w:sz w:val="24"/>
          <w:szCs w:val="24"/>
        </w:rPr>
        <w:t xml:space="preserve"> </w:t>
      </w:r>
      <w:r w:rsidR="00011174" w:rsidRPr="00831157">
        <w:rPr>
          <w:rFonts w:ascii="Times New Roman" w:hAnsi="Times New Roman"/>
          <w:sz w:val="24"/>
          <w:szCs w:val="24"/>
        </w:rPr>
        <w:t>у</w:t>
      </w:r>
      <w:r w:rsidR="008646F9" w:rsidRPr="00831157">
        <w:rPr>
          <w:rFonts w:ascii="Times New Roman" w:hAnsi="Times New Roman"/>
          <w:sz w:val="24"/>
          <w:szCs w:val="24"/>
        </w:rPr>
        <w:t xml:space="preserve"> </w:t>
      </w:r>
      <w:r w:rsidR="00011174" w:rsidRPr="00831157">
        <w:rPr>
          <w:rFonts w:ascii="Times New Roman" w:hAnsi="Times New Roman"/>
          <w:sz w:val="24"/>
          <w:szCs w:val="24"/>
        </w:rPr>
        <w:t>вези</w:t>
      </w:r>
      <w:r w:rsidR="008646F9" w:rsidRPr="00831157">
        <w:rPr>
          <w:rFonts w:ascii="Times New Roman" w:hAnsi="Times New Roman"/>
          <w:sz w:val="24"/>
          <w:szCs w:val="24"/>
        </w:rPr>
        <w:t xml:space="preserve"> </w:t>
      </w:r>
      <w:r w:rsidR="00011174" w:rsidRPr="00831157">
        <w:rPr>
          <w:rFonts w:ascii="Times New Roman" w:hAnsi="Times New Roman"/>
          <w:sz w:val="24"/>
          <w:szCs w:val="24"/>
        </w:rPr>
        <w:t>са</w:t>
      </w:r>
      <w:r w:rsidR="008646F9" w:rsidRPr="00831157">
        <w:rPr>
          <w:rFonts w:ascii="Times New Roman" w:hAnsi="Times New Roman"/>
          <w:sz w:val="24"/>
          <w:szCs w:val="24"/>
        </w:rPr>
        <w:t xml:space="preserve"> </w:t>
      </w:r>
      <w:r w:rsidR="00011174" w:rsidRPr="00831157">
        <w:rPr>
          <w:rFonts w:ascii="Times New Roman" w:hAnsi="Times New Roman"/>
          <w:sz w:val="24"/>
          <w:szCs w:val="24"/>
        </w:rPr>
        <w:t>обављањем</w:t>
      </w:r>
      <w:r w:rsidR="008646F9" w:rsidRPr="00831157">
        <w:rPr>
          <w:rFonts w:ascii="Times New Roman" w:hAnsi="Times New Roman"/>
          <w:sz w:val="24"/>
          <w:szCs w:val="24"/>
        </w:rPr>
        <w:t xml:space="preserve"> </w:t>
      </w:r>
      <w:r w:rsidR="00011174" w:rsidRPr="00831157">
        <w:rPr>
          <w:rFonts w:ascii="Times New Roman" w:hAnsi="Times New Roman"/>
          <w:sz w:val="24"/>
          <w:szCs w:val="24"/>
        </w:rPr>
        <w:t>трговине</w:t>
      </w:r>
      <w:r w:rsidR="008646F9" w:rsidRPr="00831157">
        <w:rPr>
          <w:rFonts w:ascii="Times New Roman" w:hAnsi="Times New Roman"/>
          <w:sz w:val="24"/>
          <w:szCs w:val="24"/>
        </w:rPr>
        <w:t>;</w:t>
      </w:r>
    </w:p>
    <w:p w:rsidR="00B479B2" w:rsidRPr="00831157" w:rsidRDefault="003B6E4E" w:rsidP="00831157">
      <w:pPr>
        <w:jc w:val="both"/>
        <w:rPr>
          <w:rFonts w:ascii="Times New Roman" w:hAnsi="Times New Roman"/>
          <w:sz w:val="24"/>
          <w:szCs w:val="24"/>
          <w:lang w:val="sr-Cyrl-CS"/>
        </w:rPr>
      </w:pPr>
      <w:r w:rsidRPr="00831157">
        <w:rPr>
          <w:rFonts w:ascii="Times New Roman" w:hAnsi="Times New Roman"/>
          <w:sz w:val="24"/>
          <w:szCs w:val="24"/>
          <w:lang w:val="sr-Cyrl-CS"/>
        </w:rPr>
        <w:t>-</w:t>
      </w:r>
      <w:r w:rsidR="00011174" w:rsidRPr="00831157">
        <w:rPr>
          <w:rFonts w:ascii="Times New Roman" w:hAnsi="Times New Roman"/>
          <w:sz w:val="24"/>
          <w:szCs w:val="24"/>
        </w:rPr>
        <w:t>врши</w:t>
      </w:r>
      <w:r w:rsidR="008646F9" w:rsidRPr="00831157">
        <w:rPr>
          <w:rFonts w:ascii="Times New Roman" w:hAnsi="Times New Roman"/>
          <w:sz w:val="24"/>
          <w:szCs w:val="24"/>
        </w:rPr>
        <w:t xml:space="preserve"> </w:t>
      </w:r>
      <w:r w:rsidR="00011174" w:rsidRPr="00831157">
        <w:rPr>
          <w:rFonts w:ascii="Times New Roman" w:hAnsi="Times New Roman"/>
          <w:sz w:val="24"/>
          <w:szCs w:val="24"/>
        </w:rPr>
        <w:t>копирање</w:t>
      </w:r>
      <w:r w:rsidR="008646F9" w:rsidRPr="00831157">
        <w:rPr>
          <w:rFonts w:ascii="Times New Roman" w:hAnsi="Times New Roman"/>
          <w:sz w:val="24"/>
          <w:szCs w:val="24"/>
        </w:rPr>
        <w:t xml:space="preserve"> </w:t>
      </w:r>
      <w:r w:rsidR="00011174" w:rsidRPr="00831157">
        <w:rPr>
          <w:rFonts w:ascii="Times New Roman" w:hAnsi="Times New Roman"/>
          <w:sz w:val="24"/>
          <w:szCs w:val="24"/>
        </w:rPr>
        <w:t>пословних</w:t>
      </w:r>
      <w:r w:rsidR="008646F9" w:rsidRPr="00831157">
        <w:rPr>
          <w:rFonts w:ascii="Times New Roman" w:hAnsi="Times New Roman"/>
          <w:sz w:val="24"/>
          <w:szCs w:val="24"/>
        </w:rPr>
        <w:t xml:space="preserve"> </w:t>
      </w:r>
      <w:r w:rsidR="00011174" w:rsidRPr="00831157">
        <w:rPr>
          <w:rFonts w:ascii="Times New Roman" w:hAnsi="Times New Roman"/>
          <w:sz w:val="24"/>
          <w:szCs w:val="24"/>
        </w:rPr>
        <w:t>књига</w:t>
      </w:r>
      <w:r w:rsidR="008646F9" w:rsidRPr="00831157">
        <w:rPr>
          <w:rFonts w:ascii="Times New Roman" w:hAnsi="Times New Roman"/>
          <w:sz w:val="24"/>
          <w:szCs w:val="24"/>
        </w:rPr>
        <w:t xml:space="preserve">, </w:t>
      </w:r>
      <w:r w:rsidR="00011174" w:rsidRPr="00831157">
        <w:rPr>
          <w:rFonts w:ascii="Times New Roman" w:hAnsi="Times New Roman"/>
          <w:sz w:val="24"/>
          <w:szCs w:val="24"/>
        </w:rPr>
        <w:t>евиденција</w:t>
      </w:r>
      <w:r w:rsidR="008646F9" w:rsidRPr="00831157">
        <w:rPr>
          <w:rFonts w:ascii="Times New Roman" w:hAnsi="Times New Roman"/>
          <w:sz w:val="24"/>
          <w:szCs w:val="24"/>
        </w:rPr>
        <w:t xml:space="preserve">, </w:t>
      </w:r>
      <w:r w:rsidR="00011174" w:rsidRPr="00831157">
        <w:rPr>
          <w:rFonts w:ascii="Times New Roman" w:hAnsi="Times New Roman"/>
          <w:sz w:val="24"/>
          <w:szCs w:val="24"/>
        </w:rPr>
        <w:t>исправа</w:t>
      </w:r>
      <w:r w:rsidR="008646F9" w:rsidRPr="00831157">
        <w:rPr>
          <w:rFonts w:ascii="Times New Roman" w:hAnsi="Times New Roman"/>
          <w:sz w:val="24"/>
          <w:szCs w:val="24"/>
        </w:rPr>
        <w:t xml:space="preserve"> </w:t>
      </w:r>
      <w:r w:rsidR="00011174" w:rsidRPr="00831157">
        <w:rPr>
          <w:rFonts w:ascii="Times New Roman" w:hAnsi="Times New Roman"/>
          <w:sz w:val="24"/>
          <w:szCs w:val="24"/>
        </w:rPr>
        <w:t>и</w:t>
      </w:r>
      <w:r w:rsidR="008646F9" w:rsidRPr="00831157">
        <w:rPr>
          <w:rFonts w:ascii="Times New Roman" w:hAnsi="Times New Roman"/>
          <w:sz w:val="24"/>
          <w:szCs w:val="24"/>
        </w:rPr>
        <w:t xml:space="preserve"> </w:t>
      </w:r>
      <w:r w:rsidR="00011174" w:rsidRPr="00831157">
        <w:rPr>
          <w:rFonts w:ascii="Times New Roman" w:hAnsi="Times New Roman"/>
          <w:sz w:val="24"/>
          <w:szCs w:val="24"/>
        </w:rPr>
        <w:t>електронских</w:t>
      </w:r>
      <w:r w:rsidR="008646F9" w:rsidRPr="00831157">
        <w:rPr>
          <w:rFonts w:ascii="Times New Roman" w:hAnsi="Times New Roman"/>
          <w:sz w:val="24"/>
          <w:szCs w:val="24"/>
        </w:rPr>
        <w:t xml:space="preserve"> </w:t>
      </w:r>
      <w:r w:rsidR="00011174" w:rsidRPr="00831157">
        <w:rPr>
          <w:rFonts w:ascii="Times New Roman" w:hAnsi="Times New Roman"/>
          <w:sz w:val="24"/>
          <w:szCs w:val="24"/>
        </w:rPr>
        <w:t>докумената</w:t>
      </w:r>
      <w:r w:rsidR="008646F9" w:rsidRPr="00831157">
        <w:rPr>
          <w:rFonts w:ascii="Times New Roman" w:hAnsi="Times New Roman"/>
          <w:sz w:val="24"/>
          <w:szCs w:val="24"/>
        </w:rPr>
        <w:t xml:space="preserve">, </w:t>
      </w:r>
      <w:r w:rsidR="00011174" w:rsidRPr="00831157">
        <w:rPr>
          <w:rFonts w:ascii="Times New Roman" w:hAnsi="Times New Roman"/>
          <w:sz w:val="24"/>
          <w:szCs w:val="24"/>
        </w:rPr>
        <w:t>које</w:t>
      </w:r>
      <w:r w:rsidR="008646F9" w:rsidRPr="00831157">
        <w:rPr>
          <w:rFonts w:ascii="Times New Roman" w:hAnsi="Times New Roman"/>
          <w:sz w:val="24"/>
          <w:szCs w:val="24"/>
        </w:rPr>
        <w:t xml:space="preserve"> </w:t>
      </w:r>
      <w:r w:rsidR="00011174" w:rsidRPr="00831157">
        <w:rPr>
          <w:rFonts w:ascii="Times New Roman" w:hAnsi="Times New Roman"/>
          <w:sz w:val="24"/>
          <w:szCs w:val="24"/>
        </w:rPr>
        <w:t>су</w:t>
      </w:r>
      <w:r w:rsidR="008646F9" w:rsidRPr="00831157">
        <w:rPr>
          <w:rFonts w:ascii="Times New Roman" w:hAnsi="Times New Roman"/>
          <w:sz w:val="24"/>
          <w:szCs w:val="24"/>
        </w:rPr>
        <w:t xml:space="preserve"> </w:t>
      </w:r>
      <w:r w:rsidR="00011174" w:rsidRPr="00831157">
        <w:rPr>
          <w:rFonts w:ascii="Times New Roman" w:hAnsi="Times New Roman"/>
          <w:sz w:val="24"/>
          <w:szCs w:val="24"/>
        </w:rPr>
        <w:t>предмет</w:t>
      </w:r>
      <w:r w:rsidR="008646F9" w:rsidRPr="00831157">
        <w:rPr>
          <w:rFonts w:ascii="Times New Roman" w:hAnsi="Times New Roman"/>
          <w:sz w:val="24"/>
          <w:szCs w:val="24"/>
        </w:rPr>
        <w:t xml:space="preserve"> </w:t>
      </w:r>
      <w:r w:rsidR="00011174" w:rsidRPr="00831157">
        <w:rPr>
          <w:rFonts w:ascii="Times New Roman" w:hAnsi="Times New Roman"/>
          <w:sz w:val="24"/>
          <w:szCs w:val="24"/>
        </w:rPr>
        <w:t>надзора</w:t>
      </w:r>
      <w:r w:rsidR="008646F9" w:rsidRPr="00831157">
        <w:rPr>
          <w:rFonts w:ascii="Times New Roman" w:hAnsi="Times New Roman"/>
          <w:sz w:val="24"/>
          <w:szCs w:val="24"/>
        </w:rPr>
        <w:t>;</w:t>
      </w:r>
    </w:p>
    <w:p w:rsidR="00B479B2" w:rsidRPr="00831157" w:rsidRDefault="003B6E4E" w:rsidP="00831157">
      <w:pPr>
        <w:jc w:val="both"/>
        <w:rPr>
          <w:rFonts w:ascii="Times New Roman" w:hAnsi="Times New Roman"/>
          <w:sz w:val="24"/>
          <w:szCs w:val="24"/>
          <w:lang w:val="sr-Cyrl-CS"/>
        </w:rPr>
      </w:pPr>
      <w:r w:rsidRPr="00831157">
        <w:rPr>
          <w:rFonts w:ascii="Times New Roman" w:hAnsi="Times New Roman"/>
          <w:sz w:val="24"/>
          <w:szCs w:val="24"/>
          <w:lang w:val="sr-Cyrl-CS"/>
        </w:rPr>
        <w:t>-</w:t>
      </w:r>
      <w:r w:rsidR="00011174" w:rsidRPr="00831157">
        <w:rPr>
          <w:rFonts w:ascii="Times New Roman" w:hAnsi="Times New Roman"/>
          <w:sz w:val="24"/>
          <w:szCs w:val="24"/>
        </w:rPr>
        <w:t>врши</w:t>
      </w:r>
      <w:r w:rsidR="008646F9" w:rsidRPr="00831157">
        <w:rPr>
          <w:rFonts w:ascii="Times New Roman" w:hAnsi="Times New Roman"/>
          <w:sz w:val="24"/>
          <w:szCs w:val="24"/>
        </w:rPr>
        <w:t xml:space="preserve"> </w:t>
      </w:r>
      <w:r w:rsidR="00011174" w:rsidRPr="00831157">
        <w:rPr>
          <w:rFonts w:ascii="Times New Roman" w:hAnsi="Times New Roman"/>
          <w:sz w:val="24"/>
          <w:szCs w:val="24"/>
        </w:rPr>
        <w:t>идентификацију</w:t>
      </w:r>
      <w:r w:rsidR="008646F9" w:rsidRPr="00831157">
        <w:rPr>
          <w:rFonts w:ascii="Times New Roman" w:hAnsi="Times New Roman"/>
          <w:sz w:val="24"/>
          <w:szCs w:val="24"/>
        </w:rPr>
        <w:t xml:space="preserve"> </w:t>
      </w:r>
      <w:r w:rsidR="00011174" w:rsidRPr="00831157">
        <w:rPr>
          <w:rFonts w:ascii="Times New Roman" w:hAnsi="Times New Roman"/>
          <w:sz w:val="24"/>
          <w:szCs w:val="24"/>
        </w:rPr>
        <w:t>лица</w:t>
      </w:r>
      <w:r w:rsidR="008646F9" w:rsidRPr="00831157">
        <w:rPr>
          <w:rFonts w:ascii="Times New Roman" w:hAnsi="Times New Roman"/>
          <w:sz w:val="24"/>
          <w:szCs w:val="24"/>
        </w:rPr>
        <w:t xml:space="preserve"> </w:t>
      </w:r>
      <w:r w:rsidR="00011174" w:rsidRPr="00831157">
        <w:rPr>
          <w:rFonts w:ascii="Times New Roman" w:hAnsi="Times New Roman"/>
          <w:sz w:val="24"/>
          <w:szCs w:val="24"/>
        </w:rPr>
        <w:t>која</w:t>
      </w:r>
      <w:r w:rsidR="008646F9" w:rsidRPr="00831157">
        <w:rPr>
          <w:rFonts w:ascii="Times New Roman" w:hAnsi="Times New Roman"/>
          <w:sz w:val="24"/>
          <w:szCs w:val="24"/>
        </w:rPr>
        <w:t xml:space="preserve"> </w:t>
      </w:r>
      <w:r w:rsidR="00011174" w:rsidRPr="00831157">
        <w:rPr>
          <w:rFonts w:ascii="Times New Roman" w:hAnsi="Times New Roman"/>
          <w:sz w:val="24"/>
          <w:szCs w:val="24"/>
        </w:rPr>
        <w:t>обављају</w:t>
      </w:r>
      <w:r w:rsidR="008646F9" w:rsidRPr="00831157">
        <w:rPr>
          <w:rFonts w:ascii="Times New Roman" w:hAnsi="Times New Roman"/>
          <w:sz w:val="24"/>
          <w:szCs w:val="24"/>
        </w:rPr>
        <w:t xml:space="preserve"> </w:t>
      </w:r>
      <w:r w:rsidR="00011174" w:rsidRPr="00831157">
        <w:rPr>
          <w:rFonts w:ascii="Times New Roman" w:hAnsi="Times New Roman"/>
          <w:sz w:val="24"/>
          <w:szCs w:val="24"/>
        </w:rPr>
        <w:t>трговинску</w:t>
      </w:r>
      <w:r w:rsidR="008646F9" w:rsidRPr="00831157">
        <w:rPr>
          <w:rFonts w:ascii="Times New Roman" w:hAnsi="Times New Roman"/>
          <w:sz w:val="24"/>
          <w:szCs w:val="24"/>
        </w:rPr>
        <w:t xml:space="preserve"> </w:t>
      </w:r>
      <w:r w:rsidR="00011174" w:rsidRPr="00831157">
        <w:rPr>
          <w:rFonts w:ascii="Times New Roman" w:hAnsi="Times New Roman"/>
          <w:sz w:val="24"/>
          <w:szCs w:val="24"/>
        </w:rPr>
        <w:t>делатност</w:t>
      </w:r>
      <w:r w:rsidR="008646F9" w:rsidRPr="00831157">
        <w:rPr>
          <w:rFonts w:ascii="Times New Roman" w:hAnsi="Times New Roman"/>
          <w:sz w:val="24"/>
          <w:szCs w:val="24"/>
        </w:rPr>
        <w:t xml:space="preserve">, </w:t>
      </w:r>
      <w:r w:rsidR="00011174" w:rsidRPr="00831157">
        <w:rPr>
          <w:rFonts w:ascii="Times New Roman" w:hAnsi="Times New Roman"/>
          <w:sz w:val="24"/>
          <w:szCs w:val="24"/>
        </w:rPr>
        <w:t>путем</w:t>
      </w:r>
      <w:r w:rsidR="008646F9" w:rsidRPr="00831157">
        <w:rPr>
          <w:rFonts w:ascii="Times New Roman" w:hAnsi="Times New Roman"/>
          <w:sz w:val="24"/>
          <w:szCs w:val="24"/>
        </w:rPr>
        <w:t xml:space="preserve"> </w:t>
      </w:r>
      <w:r w:rsidR="00011174" w:rsidRPr="00831157">
        <w:rPr>
          <w:rFonts w:ascii="Times New Roman" w:hAnsi="Times New Roman"/>
          <w:sz w:val="24"/>
          <w:szCs w:val="24"/>
        </w:rPr>
        <w:t>увида</w:t>
      </w:r>
      <w:r w:rsidR="008646F9" w:rsidRPr="00831157">
        <w:rPr>
          <w:rFonts w:ascii="Times New Roman" w:hAnsi="Times New Roman"/>
          <w:sz w:val="24"/>
          <w:szCs w:val="24"/>
        </w:rPr>
        <w:t xml:space="preserve"> </w:t>
      </w:r>
      <w:r w:rsidR="00011174" w:rsidRPr="00831157">
        <w:rPr>
          <w:rFonts w:ascii="Times New Roman" w:hAnsi="Times New Roman"/>
          <w:sz w:val="24"/>
          <w:szCs w:val="24"/>
        </w:rPr>
        <w:t>у</w:t>
      </w:r>
      <w:r w:rsidR="008646F9" w:rsidRPr="00831157">
        <w:rPr>
          <w:rFonts w:ascii="Times New Roman" w:hAnsi="Times New Roman"/>
          <w:sz w:val="24"/>
          <w:szCs w:val="24"/>
        </w:rPr>
        <w:t xml:space="preserve"> </w:t>
      </w:r>
      <w:r w:rsidR="00011174" w:rsidRPr="00831157">
        <w:rPr>
          <w:rFonts w:ascii="Times New Roman" w:hAnsi="Times New Roman"/>
          <w:sz w:val="24"/>
          <w:szCs w:val="24"/>
        </w:rPr>
        <w:t>личну</w:t>
      </w:r>
      <w:r w:rsidR="008646F9" w:rsidRPr="00831157">
        <w:rPr>
          <w:rFonts w:ascii="Times New Roman" w:hAnsi="Times New Roman"/>
          <w:sz w:val="24"/>
          <w:szCs w:val="24"/>
        </w:rPr>
        <w:t xml:space="preserve"> </w:t>
      </w:r>
      <w:r w:rsidR="00011174" w:rsidRPr="00831157">
        <w:rPr>
          <w:rFonts w:ascii="Times New Roman" w:hAnsi="Times New Roman"/>
          <w:sz w:val="24"/>
          <w:szCs w:val="24"/>
        </w:rPr>
        <w:t>исправу</w:t>
      </w:r>
      <w:r w:rsidR="008646F9" w:rsidRPr="00831157">
        <w:rPr>
          <w:rFonts w:ascii="Times New Roman" w:hAnsi="Times New Roman"/>
          <w:sz w:val="24"/>
          <w:szCs w:val="24"/>
        </w:rPr>
        <w:t xml:space="preserve"> </w:t>
      </w:r>
      <w:r w:rsidR="00011174" w:rsidRPr="00831157">
        <w:rPr>
          <w:rFonts w:ascii="Times New Roman" w:hAnsi="Times New Roman"/>
          <w:sz w:val="24"/>
          <w:szCs w:val="24"/>
        </w:rPr>
        <w:t>или</w:t>
      </w:r>
      <w:r w:rsidR="008646F9" w:rsidRPr="00831157">
        <w:rPr>
          <w:rFonts w:ascii="Times New Roman" w:hAnsi="Times New Roman"/>
          <w:sz w:val="24"/>
          <w:szCs w:val="24"/>
        </w:rPr>
        <w:t xml:space="preserve"> </w:t>
      </w:r>
      <w:r w:rsidR="00011174" w:rsidRPr="00831157">
        <w:rPr>
          <w:rFonts w:ascii="Times New Roman" w:hAnsi="Times New Roman"/>
          <w:sz w:val="24"/>
          <w:szCs w:val="24"/>
        </w:rPr>
        <w:t>другу</w:t>
      </w:r>
      <w:r w:rsidR="008646F9" w:rsidRPr="00831157">
        <w:rPr>
          <w:rFonts w:ascii="Times New Roman" w:hAnsi="Times New Roman"/>
          <w:sz w:val="24"/>
          <w:szCs w:val="24"/>
        </w:rPr>
        <w:t xml:space="preserve"> </w:t>
      </w:r>
      <w:r w:rsidR="00011174" w:rsidRPr="00831157">
        <w:rPr>
          <w:rFonts w:ascii="Times New Roman" w:hAnsi="Times New Roman"/>
          <w:sz w:val="24"/>
          <w:szCs w:val="24"/>
        </w:rPr>
        <w:t>јавну</w:t>
      </w:r>
      <w:r w:rsidR="008646F9" w:rsidRPr="00831157">
        <w:rPr>
          <w:rFonts w:ascii="Times New Roman" w:hAnsi="Times New Roman"/>
          <w:sz w:val="24"/>
          <w:szCs w:val="24"/>
        </w:rPr>
        <w:t xml:space="preserve"> </w:t>
      </w:r>
      <w:r w:rsidR="00011174" w:rsidRPr="00831157">
        <w:rPr>
          <w:rFonts w:ascii="Times New Roman" w:hAnsi="Times New Roman"/>
          <w:sz w:val="24"/>
          <w:szCs w:val="24"/>
        </w:rPr>
        <w:t>исправу</w:t>
      </w:r>
      <w:r w:rsidR="008646F9" w:rsidRPr="00831157">
        <w:rPr>
          <w:rFonts w:ascii="Times New Roman" w:hAnsi="Times New Roman"/>
          <w:sz w:val="24"/>
          <w:szCs w:val="24"/>
        </w:rPr>
        <w:t xml:space="preserve"> </w:t>
      </w:r>
      <w:r w:rsidR="00011174" w:rsidRPr="00831157">
        <w:rPr>
          <w:rFonts w:ascii="Times New Roman" w:hAnsi="Times New Roman"/>
          <w:sz w:val="24"/>
          <w:szCs w:val="24"/>
        </w:rPr>
        <w:t>са</w:t>
      </w:r>
      <w:r w:rsidR="008646F9" w:rsidRPr="00831157">
        <w:rPr>
          <w:rFonts w:ascii="Times New Roman" w:hAnsi="Times New Roman"/>
          <w:sz w:val="24"/>
          <w:szCs w:val="24"/>
        </w:rPr>
        <w:t xml:space="preserve"> </w:t>
      </w:r>
      <w:r w:rsidR="00011174" w:rsidRPr="00831157">
        <w:rPr>
          <w:rFonts w:ascii="Times New Roman" w:hAnsi="Times New Roman"/>
          <w:sz w:val="24"/>
          <w:szCs w:val="24"/>
        </w:rPr>
        <w:t>фотографијом</w:t>
      </w:r>
      <w:r w:rsidR="008646F9" w:rsidRPr="00831157">
        <w:rPr>
          <w:rFonts w:ascii="Times New Roman" w:hAnsi="Times New Roman"/>
          <w:sz w:val="24"/>
          <w:szCs w:val="24"/>
        </w:rPr>
        <w:t>;</w:t>
      </w:r>
    </w:p>
    <w:p w:rsidR="00B479B2" w:rsidRPr="00831157" w:rsidRDefault="003B6E4E" w:rsidP="00831157">
      <w:pPr>
        <w:jc w:val="both"/>
        <w:rPr>
          <w:rFonts w:ascii="Times New Roman" w:hAnsi="Times New Roman"/>
          <w:sz w:val="24"/>
          <w:szCs w:val="24"/>
          <w:lang w:val="sr-Cyrl-CS"/>
        </w:rPr>
      </w:pPr>
      <w:r w:rsidRPr="00831157">
        <w:rPr>
          <w:rFonts w:ascii="Times New Roman" w:hAnsi="Times New Roman"/>
          <w:sz w:val="24"/>
          <w:szCs w:val="24"/>
          <w:lang w:val="sr-Cyrl-CS"/>
        </w:rPr>
        <w:t>-</w:t>
      </w:r>
      <w:r w:rsidR="00011174" w:rsidRPr="00831157">
        <w:rPr>
          <w:rFonts w:ascii="Times New Roman" w:hAnsi="Times New Roman"/>
          <w:sz w:val="24"/>
          <w:szCs w:val="24"/>
        </w:rPr>
        <w:t>узима</w:t>
      </w:r>
      <w:r w:rsidR="008646F9" w:rsidRPr="00831157">
        <w:rPr>
          <w:rFonts w:ascii="Times New Roman" w:hAnsi="Times New Roman"/>
          <w:sz w:val="24"/>
          <w:szCs w:val="24"/>
        </w:rPr>
        <w:t xml:space="preserve"> </w:t>
      </w:r>
      <w:r w:rsidR="00011174" w:rsidRPr="00831157">
        <w:rPr>
          <w:rFonts w:ascii="Times New Roman" w:hAnsi="Times New Roman"/>
          <w:sz w:val="24"/>
          <w:szCs w:val="24"/>
        </w:rPr>
        <w:t>писмене</w:t>
      </w:r>
      <w:r w:rsidR="008646F9" w:rsidRPr="00831157">
        <w:rPr>
          <w:rFonts w:ascii="Times New Roman" w:hAnsi="Times New Roman"/>
          <w:sz w:val="24"/>
          <w:szCs w:val="24"/>
        </w:rPr>
        <w:t xml:space="preserve"> </w:t>
      </w:r>
      <w:r w:rsidR="00011174" w:rsidRPr="00831157">
        <w:rPr>
          <w:rFonts w:ascii="Times New Roman" w:hAnsi="Times New Roman"/>
          <w:sz w:val="24"/>
          <w:szCs w:val="24"/>
        </w:rPr>
        <w:t>и</w:t>
      </w:r>
      <w:r w:rsidR="008646F9" w:rsidRPr="00831157">
        <w:rPr>
          <w:rFonts w:ascii="Times New Roman" w:hAnsi="Times New Roman"/>
          <w:sz w:val="24"/>
          <w:szCs w:val="24"/>
        </w:rPr>
        <w:t xml:space="preserve"> </w:t>
      </w:r>
      <w:r w:rsidR="00011174" w:rsidRPr="00831157">
        <w:rPr>
          <w:rFonts w:ascii="Times New Roman" w:hAnsi="Times New Roman"/>
          <w:sz w:val="24"/>
          <w:szCs w:val="24"/>
        </w:rPr>
        <w:t>усмене</w:t>
      </w:r>
      <w:r w:rsidR="008646F9" w:rsidRPr="00831157">
        <w:rPr>
          <w:rFonts w:ascii="Times New Roman" w:hAnsi="Times New Roman"/>
          <w:sz w:val="24"/>
          <w:szCs w:val="24"/>
        </w:rPr>
        <w:t xml:space="preserve"> </w:t>
      </w:r>
      <w:r w:rsidR="00011174" w:rsidRPr="00831157">
        <w:rPr>
          <w:rFonts w:ascii="Times New Roman" w:hAnsi="Times New Roman"/>
          <w:sz w:val="24"/>
          <w:szCs w:val="24"/>
        </w:rPr>
        <w:t>изјаве</w:t>
      </w:r>
      <w:r w:rsidR="008646F9" w:rsidRPr="00831157">
        <w:rPr>
          <w:rFonts w:ascii="Times New Roman" w:hAnsi="Times New Roman"/>
          <w:sz w:val="24"/>
          <w:szCs w:val="24"/>
        </w:rPr>
        <w:t xml:space="preserve"> </w:t>
      </w:r>
      <w:r w:rsidR="00011174" w:rsidRPr="00831157">
        <w:rPr>
          <w:rFonts w:ascii="Times New Roman" w:hAnsi="Times New Roman"/>
          <w:sz w:val="24"/>
          <w:szCs w:val="24"/>
        </w:rPr>
        <w:t>лица</w:t>
      </w:r>
      <w:r w:rsidR="008646F9" w:rsidRPr="00831157">
        <w:rPr>
          <w:rFonts w:ascii="Times New Roman" w:hAnsi="Times New Roman"/>
          <w:sz w:val="24"/>
          <w:szCs w:val="24"/>
        </w:rPr>
        <w:t xml:space="preserve"> </w:t>
      </w:r>
      <w:r w:rsidR="00011174" w:rsidRPr="00831157">
        <w:rPr>
          <w:rFonts w:ascii="Times New Roman" w:hAnsi="Times New Roman"/>
          <w:sz w:val="24"/>
          <w:szCs w:val="24"/>
        </w:rPr>
        <w:t>која</w:t>
      </w:r>
      <w:r w:rsidR="008646F9" w:rsidRPr="00831157">
        <w:rPr>
          <w:rFonts w:ascii="Times New Roman" w:hAnsi="Times New Roman"/>
          <w:sz w:val="24"/>
          <w:szCs w:val="24"/>
        </w:rPr>
        <w:t xml:space="preserve"> </w:t>
      </w:r>
      <w:r w:rsidR="00011174" w:rsidRPr="00831157">
        <w:rPr>
          <w:rFonts w:ascii="Times New Roman" w:hAnsi="Times New Roman"/>
          <w:sz w:val="24"/>
          <w:szCs w:val="24"/>
        </w:rPr>
        <w:t>обављају</w:t>
      </w:r>
      <w:r w:rsidR="008646F9" w:rsidRPr="00831157">
        <w:rPr>
          <w:rFonts w:ascii="Times New Roman" w:hAnsi="Times New Roman"/>
          <w:sz w:val="24"/>
          <w:szCs w:val="24"/>
        </w:rPr>
        <w:t xml:space="preserve"> </w:t>
      </w:r>
      <w:r w:rsidR="00011174" w:rsidRPr="00831157">
        <w:rPr>
          <w:rFonts w:ascii="Times New Roman" w:hAnsi="Times New Roman"/>
          <w:sz w:val="24"/>
          <w:szCs w:val="24"/>
        </w:rPr>
        <w:t>трговинску</w:t>
      </w:r>
      <w:r w:rsidR="008646F9" w:rsidRPr="00831157">
        <w:rPr>
          <w:rFonts w:ascii="Times New Roman" w:hAnsi="Times New Roman"/>
          <w:sz w:val="24"/>
          <w:szCs w:val="24"/>
        </w:rPr>
        <w:t xml:space="preserve"> </w:t>
      </w:r>
      <w:r w:rsidR="00011174" w:rsidRPr="00831157">
        <w:rPr>
          <w:rFonts w:ascii="Times New Roman" w:hAnsi="Times New Roman"/>
          <w:sz w:val="24"/>
          <w:szCs w:val="24"/>
        </w:rPr>
        <w:t>делатност</w:t>
      </w:r>
      <w:r w:rsidR="008646F9" w:rsidRPr="00831157">
        <w:rPr>
          <w:rFonts w:ascii="Times New Roman" w:hAnsi="Times New Roman"/>
          <w:sz w:val="24"/>
          <w:szCs w:val="24"/>
        </w:rPr>
        <w:t xml:space="preserve">, </w:t>
      </w:r>
      <w:r w:rsidR="00011174" w:rsidRPr="00831157">
        <w:rPr>
          <w:rFonts w:ascii="Times New Roman" w:hAnsi="Times New Roman"/>
          <w:sz w:val="24"/>
          <w:szCs w:val="24"/>
        </w:rPr>
        <w:t>односно</w:t>
      </w:r>
      <w:r w:rsidR="008646F9" w:rsidRPr="00831157">
        <w:rPr>
          <w:rFonts w:ascii="Times New Roman" w:hAnsi="Times New Roman"/>
          <w:sz w:val="24"/>
          <w:szCs w:val="24"/>
        </w:rPr>
        <w:t xml:space="preserve"> </w:t>
      </w:r>
      <w:r w:rsidR="00011174" w:rsidRPr="00831157">
        <w:rPr>
          <w:rFonts w:ascii="Times New Roman" w:hAnsi="Times New Roman"/>
          <w:sz w:val="24"/>
          <w:szCs w:val="24"/>
        </w:rPr>
        <w:t>сведока</w:t>
      </w:r>
      <w:r w:rsidR="008646F9" w:rsidRPr="00831157">
        <w:rPr>
          <w:rFonts w:ascii="Times New Roman" w:hAnsi="Times New Roman"/>
          <w:sz w:val="24"/>
          <w:szCs w:val="24"/>
        </w:rPr>
        <w:t xml:space="preserve"> </w:t>
      </w:r>
      <w:r w:rsidR="00011174" w:rsidRPr="00831157">
        <w:rPr>
          <w:rFonts w:ascii="Times New Roman" w:hAnsi="Times New Roman"/>
          <w:sz w:val="24"/>
          <w:szCs w:val="24"/>
        </w:rPr>
        <w:t>или</w:t>
      </w:r>
      <w:r w:rsidR="008646F9" w:rsidRPr="00831157">
        <w:rPr>
          <w:rFonts w:ascii="Times New Roman" w:hAnsi="Times New Roman"/>
          <w:sz w:val="24"/>
          <w:szCs w:val="24"/>
        </w:rPr>
        <w:t xml:space="preserve"> </w:t>
      </w:r>
      <w:r w:rsidR="00011174" w:rsidRPr="00831157">
        <w:rPr>
          <w:rFonts w:ascii="Times New Roman" w:hAnsi="Times New Roman"/>
          <w:sz w:val="24"/>
          <w:szCs w:val="24"/>
        </w:rPr>
        <w:t>службених</w:t>
      </w:r>
      <w:r w:rsidR="008646F9" w:rsidRPr="00831157">
        <w:rPr>
          <w:rFonts w:ascii="Times New Roman" w:hAnsi="Times New Roman"/>
          <w:sz w:val="24"/>
          <w:szCs w:val="24"/>
        </w:rPr>
        <w:t xml:space="preserve"> </w:t>
      </w:r>
      <w:r w:rsidR="00011174" w:rsidRPr="00831157">
        <w:rPr>
          <w:rFonts w:ascii="Times New Roman" w:hAnsi="Times New Roman"/>
          <w:sz w:val="24"/>
          <w:szCs w:val="24"/>
        </w:rPr>
        <w:t>лица</w:t>
      </w:r>
      <w:r w:rsidR="008646F9" w:rsidRPr="00831157">
        <w:rPr>
          <w:rFonts w:ascii="Times New Roman" w:hAnsi="Times New Roman"/>
          <w:sz w:val="24"/>
          <w:szCs w:val="24"/>
        </w:rPr>
        <w:t xml:space="preserve">, </w:t>
      </w:r>
      <w:r w:rsidR="00011174" w:rsidRPr="00831157">
        <w:rPr>
          <w:rFonts w:ascii="Times New Roman" w:hAnsi="Times New Roman"/>
          <w:sz w:val="24"/>
          <w:szCs w:val="24"/>
        </w:rPr>
        <w:t>као</w:t>
      </w:r>
      <w:r w:rsidR="008646F9" w:rsidRPr="00831157">
        <w:rPr>
          <w:rFonts w:ascii="Times New Roman" w:hAnsi="Times New Roman"/>
          <w:sz w:val="24"/>
          <w:szCs w:val="24"/>
        </w:rPr>
        <w:t xml:space="preserve"> </w:t>
      </w:r>
      <w:r w:rsidR="00011174" w:rsidRPr="00831157">
        <w:rPr>
          <w:rFonts w:ascii="Times New Roman" w:hAnsi="Times New Roman"/>
          <w:sz w:val="24"/>
          <w:szCs w:val="24"/>
        </w:rPr>
        <w:t>и</w:t>
      </w:r>
      <w:r w:rsidR="008646F9" w:rsidRPr="00831157">
        <w:rPr>
          <w:rFonts w:ascii="Times New Roman" w:hAnsi="Times New Roman"/>
          <w:sz w:val="24"/>
          <w:szCs w:val="24"/>
        </w:rPr>
        <w:t xml:space="preserve"> </w:t>
      </w:r>
      <w:r w:rsidR="00011174" w:rsidRPr="00831157">
        <w:rPr>
          <w:rFonts w:ascii="Times New Roman" w:hAnsi="Times New Roman"/>
          <w:sz w:val="24"/>
          <w:szCs w:val="24"/>
        </w:rPr>
        <w:t>да</w:t>
      </w:r>
      <w:r w:rsidR="008646F9" w:rsidRPr="00831157">
        <w:rPr>
          <w:rFonts w:ascii="Times New Roman" w:hAnsi="Times New Roman"/>
          <w:sz w:val="24"/>
          <w:szCs w:val="24"/>
        </w:rPr>
        <w:t xml:space="preserve"> </w:t>
      </w:r>
      <w:r w:rsidR="00011174" w:rsidRPr="00831157">
        <w:rPr>
          <w:rFonts w:ascii="Times New Roman" w:hAnsi="Times New Roman"/>
          <w:sz w:val="24"/>
          <w:szCs w:val="24"/>
        </w:rPr>
        <w:t>позива</w:t>
      </w:r>
      <w:r w:rsidR="008646F9" w:rsidRPr="00831157">
        <w:rPr>
          <w:rFonts w:ascii="Times New Roman" w:hAnsi="Times New Roman"/>
          <w:sz w:val="24"/>
          <w:szCs w:val="24"/>
        </w:rPr>
        <w:t xml:space="preserve"> </w:t>
      </w:r>
      <w:r w:rsidR="00011174" w:rsidRPr="00831157">
        <w:rPr>
          <w:rFonts w:ascii="Times New Roman" w:hAnsi="Times New Roman"/>
          <w:sz w:val="24"/>
          <w:szCs w:val="24"/>
        </w:rPr>
        <w:t>ова</w:t>
      </w:r>
      <w:r w:rsidR="008646F9" w:rsidRPr="00831157">
        <w:rPr>
          <w:rFonts w:ascii="Times New Roman" w:hAnsi="Times New Roman"/>
          <w:sz w:val="24"/>
          <w:szCs w:val="24"/>
        </w:rPr>
        <w:t xml:space="preserve"> </w:t>
      </w:r>
      <w:r w:rsidR="00011174" w:rsidRPr="00831157">
        <w:rPr>
          <w:rFonts w:ascii="Times New Roman" w:hAnsi="Times New Roman"/>
          <w:sz w:val="24"/>
          <w:szCs w:val="24"/>
        </w:rPr>
        <w:t>лица</w:t>
      </w:r>
      <w:r w:rsidR="008646F9" w:rsidRPr="00831157">
        <w:rPr>
          <w:rFonts w:ascii="Times New Roman" w:hAnsi="Times New Roman"/>
          <w:sz w:val="24"/>
          <w:szCs w:val="24"/>
        </w:rPr>
        <w:t xml:space="preserve"> </w:t>
      </w:r>
      <w:r w:rsidR="00011174" w:rsidRPr="00831157">
        <w:rPr>
          <w:rFonts w:ascii="Times New Roman" w:hAnsi="Times New Roman"/>
          <w:sz w:val="24"/>
          <w:szCs w:val="24"/>
        </w:rPr>
        <w:t>да</w:t>
      </w:r>
      <w:r w:rsidR="008646F9" w:rsidRPr="00831157">
        <w:rPr>
          <w:rFonts w:ascii="Times New Roman" w:hAnsi="Times New Roman"/>
          <w:sz w:val="24"/>
          <w:szCs w:val="24"/>
        </w:rPr>
        <w:t xml:space="preserve"> </w:t>
      </w:r>
      <w:r w:rsidR="00011174" w:rsidRPr="00831157">
        <w:rPr>
          <w:rFonts w:ascii="Times New Roman" w:hAnsi="Times New Roman"/>
          <w:sz w:val="24"/>
          <w:szCs w:val="24"/>
        </w:rPr>
        <w:t>дају</w:t>
      </w:r>
      <w:r w:rsidR="008646F9" w:rsidRPr="00831157">
        <w:rPr>
          <w:rFonts w:ascii="Times New Roman" w:hAnsi="Times New Roman"/>
          <w:sz w:val="24"/>
          <w:szCs w:val="24"/>
        </w:rPr>
        <w:t xml:space="preserve"> </w:t>
      </w:r>
      <w:r w:rsidR="00011174" w:rsidRPr="00831157">
        <w:rPr>
          <w:rFonts w:ascii="Times New Roman" w:hAnsi="Times New Roman"/>
          <w:sz w:val="24"/>
          <w:szCs w:val="24"/>
        </w:rPr>
        <w:t>изјаве</w:t>
      </w:r>
      <w:r w:rsidR="008646F9" w:rsidRPr="00831157">
        <w:rPr>
          <w:rFonts w:ascii="Times New Roman" w:hAnsi="Times New Roman"/>
          <w:sz w:val="24"/>
          <w:szCs w:val="24"/>
        </w:rPr>
        <w:t xml:space="preserve">, </w:t>
      </w:r>
      <w:r w:rsidR="00011174" w:rsidRPr="00831157">
        <w:rPr>
          <w:rFonts w:ascii="Times New Roman" w:hAnsi="Times New Roman"/>
          <w:sz w:val="24"/>
          <w:szCs w:val="24"/>
        </w:rPr>
        <w:t>о</w:t>
      </w:r>
      <w:r w:rsidR="008646F9" w:rsidRPr="00831157">
        <w:rPr>
          <w:rFonts w:ascii="Times New Roman" w:hAnsi="Times New Roman"/>
          <w:sz w:val="24"/>
          <w:szCs w:val="24"/>
        </w:rPr>
        <w:t xml:space="preserve"> </w:t>
      </w:r>
      <w:r w:rsidR="00011174" w:rsidRPr="00831157">
        <w:rPr>
          <w:rFonts w:ascii="Times New Roman" w:hAnsi="Times New Roman"/>
          <w:sz w:val="24"/>
          <w:szCs w:val="24"/>
        </w:rPr>
        <w:t>питањима</w:t>
      </w:r>
      <w:r w:rsidR="008646F9" w:rsidRPr="00831157">
        <w:rPr>
          <w:rFonts w:ascii="Times New Roman" w:hAnsi="Times New Roman"/>
          <w:sz w:val="24"/>
          <w:szCs w:val="24"/>
        </w:rPr>
        <w:t xml:space="preserve"> </w:t>
      </w:r>
      <w:r w:rsidR="00011174" w:rsidRPr="00831157">
        <w:rPr>
          <w:rFonts w:ascii="Times New Roman" w:hAnsi="Times New Roman"/>
          <w:sz w:val="24"/>
          <w:szCs w:val="24"/>
        </w:rPr>
        <w:t>од</w:t>
      </w:r>
      <w:r w:rsidR="008646F9" w:rsidRPr="00831157">
        <w:rPr>
          <w:rFonts w:ascii="Times New Roman" w:hAnsi="Times New Roman"/>
          <w:sz w:val="24"/>
          <w:szCs w:val="24"/>
        </w:rPr>
        <w:t xml:space="preserve"> </w:t>
      </w:r>
      <w:r w:rsidR="00011174" w:rsidRPr="00831157">
        <w:rPr>
          <w:rFonts w:ascii="Times New Roman" w:hAnsi="Times New Roman"/>
          <w:sz w:val="24"/>
          <w:szCs w:val="24"/>
        </w:rPr>
        <w:t>значаја</w:t>
      </w:r>
      <w:r w:rsidR="008646F9" w:rsidRPr="00831157">
        <w:rPr>
          <w:rFonts w:ascii="Times New Roman" w:hAnsi="Times New Roman"/>
          <w:sz w:val="24"/>
          <w:szCs w:val="24"/>
        </w:rPr>
        <w:t xml:space="preserve"> </w:t>
      </w:r>
      <w:r w:rsidR="00011174" w:rsidRPr="00831157">
        <w:rPr>
          <w:rFonts w:ascii="Times New Roman" w:hAnsi="Times New Roman"/>
          <w:sz w:val="24"/>
          <w:szCs w:val="24"/>
        </w:rPr>
        <w:t>за</w:t>
      </w:r>
      <w:r w:rsidR="008646F9" w:rsidRPr="00831157">
        <w:rPr>
          <w:rFonts w:ascii="Times New Roman" w:hAnsi="Times New Roman"/>
          <w:sz w:val="24"/>
          <w:szCs w:val="24"/>
        </w:rPr>
        <w:t xml:space="preserve"> </w:t>
      </w:r>
      <w:r w:rsidR="00011174" w:rsidRPr="00831157">
        <w:rPr>
          <w:rFonts w:ascii="Times New Roman" w:hAnsi="Times New Roman"/>
          <w:sz w:val="24"/>
          <w:szCs w:val="24"/>
        </w:rPr>
        <w:t>предмет</w:t>
      </w:r>
      <w:r w:rsidR="008646F9" w:rsidRPr="00831157">
        <w:rPr>
          <w:rFonts w:ascii="Times New Roman" w:hAnsi="Times New Roman"/>
          <w:sz w:val="24"/>
          <w:szCs w:val="24"/>
        </w:rPr>
        <w:t xml:space="preserve"> </w:t>
      </w:r>
      <w:r w:rsidR="00011174" w:rsidRPr="00831157">
        <w:rPr>
          <w:rFonts w:ascii="Times New Roman" w:hAnsi="Times New Roman"/>
          <w:sz w:val="24"/>
          <w:szCs w:val="24"/>
        </w:rPr>
        <w:t>надзора</w:t>
      </w:r>
      <w:r w:rsidR="008646F9" w:rsidRPr="00831157">
        <w:rPr>
          <w:rFonts w:ascii="Times New Roman" w:hAnsi="Times New Roman"/>
          <w:sz w:val="24"/>
          <w:szCs w:val="24"/>
        </w:rPr>
        <w:t>;</w:t>
      </w:r>
    </w:p>
    <w:p w:rsidR="00B479B2" w:rsidRPr="00831157" w:rsidRDefault="003B6E4E" w:rsidP="00831157">
      <w:pPr>
        <w:jc w:val="both"/>
        <w:rPr>
          <w:rFonts w:ascii="Times New Roman" w:hAnsi="Times New Roman"/>
          <w:sz w:val="24"/>
          <w:szCs w:val="24"/>
          <w:lang w:val="sr-Cyrl-CS"/>
        </w:rPr>
      </w:pPr>
      <w:r w:rsidRPr="00831157">
        <w:rPr>
          <w:rFonts w:ascii="Times New Roman" w:hAnsi="Times New Roman"/>
          <w:sz w:val="24"/>
          <w:szCs w:val="24"/>
          <w:lang w:val="sr-Cyrl-CS"/>
        </w:rPr>
        <w:t>-</w:t>
      </w:r>
      <w:r w:rsidR="00011174" w:rsidRPr="00831157">
        <w:rPr>
          <w:rFonts w:ascii="Times New Roman" w:hAnsi="Times New Roman"/>
          <w:sz w:val="24"/>
          <w:szCs w:val="24"/>
        </w:rPr>
        <w:t>фотографише</w:t>
      </w:r>
      <w:r w:rsidR="008646F9" w:rsidRPr="00831157">
        <w:rPr>
          <w:rFonts w:ascii="Times New Roman" w:hAnsi="Times New Roman"/>
          <w:sz w:val="24"/>
          <w:szCs w:val="24"/>
        </w:rPr>
        <w:t xml:space="preserve">, </w:t>
      </w:r>
      <w:r w:rsidR="00011174" w:rsidRPr="00831157">
        <w:rPr>
          <w:rFonts w:ascii="Times New Roman" w:hAnsi="Times New Roman"/>
          <w:sz w:val="24"/>
          <w:szCs w:val="24"/>
        </w:rPr>
        <w:t>врши</w:t>
      </w:r>
      <w:r w:rsidR="008646F9" w:rsidRPr="00831157">
        <w:rPr>
          <w:rFonts w:ascii="Times New Roman" w:hAnsi="Times New Roman"/>
          <w:sz w:val="24"/>
          <w:szCs w:val="24"/>
        </w:rPr>
        <w:t xml:space="preserve"> </w:t>
      </w:r>
      <w:r w:rsidR="00011174" w:rsidRPr="00831157">
        <w:rPr>
          <w:rFonts w:ascii="Times New Roman" w:hAnsi="Times New Roman"/>
          <w:sz w:val="24"/>
          <w:szCs w:val="24"/>
        </w:rPr>
        <w:t>видео</w:t>
      </w:r>
      <w:r w:rsidR="008646F9" w:rsidRPr="00831157">
        <w:rPr>
          <w:rFonts w:ascii="Times New Roman" w:hAnsi="Times New Roman"/>
          <w:sz w:val="24"/>
          <w:szCs w:val="24"/>
        </w:rPr>
        <w:t>-</w:t>
      </w:r>
      <w:r w:rsidR="00011174" w:rsidRPr="00831157">
        <w:rPr>
          <w:rFonts w:ascii="Times New Roman" w:hAnsi="Times New Roman"/>
          <w:sz w:val="24"/>
          <w:szCs w:val="24"/>
        </w:rPr>
        <w:t>снимање</w:t>
      </w:r>
      <w:r w:rsidR="008646F9" w:rsidRPr="00831157">
        <w:rPr>
          <w:rFonts w:ascii="Times New Roman" w:hAnsi="Times New Roman"/>
          <w:sz w:val="24"/>
          <w:szCs w:val="24"/>
        </w:rPr>
        <w:t xml:space="preserve"> </w:t>
      </w:r>
      <w:r w:rsidR="00011174" w:rsidRPr="00831157">
        <w:rPr>
          <w:rFonts w:ascii="Times New Roman" w:hAnsi="Times New Roman"/>
          <w:sz w:val="24"/>
          <w:szCs w:val="24"/>
        </w:rPr>
        <w:t>простора</w:t>
      </w:r>
      <w:r w:rsidR="008646F9" w:rsidRPr="00831157">
        <w:rPr>
          <w:rFonts w:ascii="Times New Roman" w:hAnsi="Times New Roman"/>
          <w:sz w:val="24"/>
          <w:szCs w:val="24"/>
        </w:rPr>
        <w:t xml:space="preserve"> </w:t>
      </w:r>
      <w:r w:rsidR="00011174" w:rsidRPr="00831157">
        <w:rPr>
          <w:rFonts w:ascii="Times New Roman" w:hAnsi="Times New Roman"/>
          <w:sz w:val="24"/>
          <w:szCs w:val="24"/>
        </w:rPr>
        <w:t>у</w:t>
      </w:r>
      <w:r w:rsidR="008646F9" w:rsidRPr="00831157">
        <w:rPr>
          <w:rFonts w:ascii="Times New Roman" w:hAnsi="Times New Roman"/>
          <w:sz w:val="24"/>
          <w:szCs w:val="24"/>
        </w:rPr>
        <w:t xml:space="preserve"> </w:t>
      </w:r>
      <w:r w:rsidR="00011174" w:rsidRPr="00831157">
        <w:rPr>
          <w:rFonts w:ascii="Times New Roman" w:hAnsi="Times New Roman"/>
          <w:sz w:val="24"/>
          <w:szCs w:val="24"/>
        </w:rPr>
        <w:t>којем</w:t>
      </w:r>
      <w:r w:rsidR="008646F9" w:rsidRPr="00831157">
        <w:rPr>
          <w:rFonts w:ascii="Times New Roman" w:hAnsi="Times New Roman"/>
          <w:sz w:val="24"/>
          <w:szCs w:val="24"/>
        </w:rPr>
        <w:t xml:space="preserve"> </w:t>
      </w:r>
      <w:r w:rsidR="00011174" w:rsidRPr="00831157">
        <w:rPr>
          <w:rFonts w:ascii="Times New Roman" w:hAnsi="Times New Roman"/>
          <w:sz w:val="24"/>
          <w:szCs w:val="24"/>
        </w:rPr>
        <w:t>се</w:t>
      </w:r>
      <w:r w:rsidR="008646F9" w:rsidRPr="00831157">
        <w:rPr>
          <w:rFonts w:ascii="Times New Roman" w:hAnsi="Times New Roman"/>
          <w:sz w:val="24"/>
          <w:szCs w:val="24"/>
        </w:rPr>
        <w:t xml:space="preserve"> </w:t>
      </w:r>
      <w:r w:rsidR="00011174" w:rsidRPr="00831157">
        <w:rPr>
          <w:rFonts w:ascii="Times New Roman" w:hAnsi="Times New Roman"/>
          <w:sz w:val="24"/>
          <w:szCs w:val="24"/>
        </w:rPr>
        <w:t>врши</w:t>
      </w:r>
      <w:r w:rsidR="008646F9" w:rsidRPr="00831157">
        <w:rPr>
          <w:rFonts w:ascii="Times New Roman" w:hAnsi="Times New Roman"/>
          <w:sz w:val="24"/>
          <w:szCs w:val="24"/>
        </w:rPr>
        <w:t xml:space="preserve"> </w:t>
      </w:r>
      <w:r w:rsidR="00011174" w:rsidRPr="00831157">
        <w:rPr>
          <w:rFonts w:ascii="Times New Roman" w:hAnsi="Times New Roman"/>
          <w:sz w:val="24"/>
          <w:szCs w:val="24"/>
        </w:rPr>
        <w:t>надзор</w:t>
      </w:r>
      <w:r w:rsidR="008646F9" w:rsidRPr="00831157">
        <w:rPr>
          <w:rFonts w:ascii="Times New Roman" w:hAnsi="Times New Roman"/>
          <w:sz w:val="24"/>
          <w:szCs w:val="24"/>
        </w:rPr>
        <w:t xml:space="preserve">, </w:t>
      </w:r>
      <w:r w:rsidR="00011174" w:rsidRPr="00831157">
        <w:rPr>
          <w:rFonts w:ascii="Times New Roman" w:hAnsi="Times New Roman"/>
          <w:sz w:val="24"/>
          <w:szCs w:val="24"/>
        </w:rPr>
        <w:t>односно</w:t>
      </w:r>
      <w:r w:rsidR="008646F9" w:rsidRPr="00831157">
        <w:rPr>
          <w:rFonts w:ascii="Times New Roman" w:hAnsi="Times New Roman"/>
          <w:sz w:val="24"/>
          <w:szCs w:val="24"/>
        </w:rPr>
        <w:t xml:space="preserve"> </w:t>
      </w:r>
      <w:r w:rsidR="00011174" w:rsidRPr="00831157">
        <w:rPr>
          <w:rFonts w:ascii="Times New Roman" w:hAnsi="Times New Roman"/>
          <w:sz w:val="24"/>
          <w:szCs w:val="24"/>
        </w:rPr>
        <w:t>робе</w:t>
      </w:r>
      <w:r w:rsidR="008646F9" w:rsidRPr="00831157">
        <w:rPr>
          <w:rFonts w:ascii="Times New Roman" w:hAnsi="Times New Roman"/>
          <w:sz w:val="24"/>
          <w:szCs w:val="24"/>
        </w:rPr>
        <w:t xml:space="preserve"> </w:t>
      </w:r>
      <w:r w:rsidR="00011174" w:rsidRPr="00831157">
        <w:rPr>
          <w:rFonts w:ascii="Times New Roman" w:hAnsi="Times New Roman"/>
          <w:sz w:val="24"/>
          <w:szCs w:val="24"/>
        </w:rPr>
        <w:t>и</w:t>
      </w:r>
      <w:r w:rsidR="008646F9" w:rsidRPr="00831157">
        <w:rPr>
          <w:rFonts w:ascii="Times New Roman" w:hAnsi="Times New Roman"/>
          <w:sz w:val="24"/>
          <w:szCs w:val="24"/>
        </w:rPr>
        <w:t xml:space="preserve"> </w:t>
      </w:r>
      <w:r w:rsidR="00011174" w:rsidRPr="00831157">
        <w:rPr>
          <w:rFonts w:ascii="Times New Roman" w:hAnsi="Times New Roman"/>
          <w:sz w:val="24"/>
          <w:szCs w:val="24"/>
        </w:rPr>
        <w:t>других</w:t>
      </w:r>
      <w:r w:rsidR="008646F9" w:rsidRPr="00831157">
        <w:rPr>
          <w:rFonts w:ascii="Times New Roman" w:hAnsi="Times New Roman"/>
          <w:sz w:val="24"/>
          <w:szCs w:val="24"/>
        </w:rPr>
        <w:t xml:space="preserve"> </w:t>
      </w:r>
      <w:r w:rsidR="00011174" w:rsidRPr="00831157">
        <w:rPr>
          <w:rFonts w:ascii="Times New Roman" w:hAnsi="Times New Roman"/>
          <w:sz w:val="24"/>
          <w:szCs w:val="24"/>
        </w:rPr>
        <w:t>предмета</w:t>
      </w:r>
      <w:r w:rsidR="008646F9" w:rsidRPr="00831157">
        <w:rPr>
          <w:rFonts w:ascii="Times New Roman" w:hAnsi="Times New Roman"/>
          <w:sz w:val="24"/>
          <w:szCs w:val="24"/>
        </w:rPr>
        <w:t xml:space="preserve"> </w:t>
      </w:r>
      <w:r w:rsidR="00011174" w:rsidRPr="00831157">
        <w:rPr>
          <w:rFonts w:ascii="Times New Roman" w:hAnsi="Times New Roman"/>
          <w:sz w:val="24"/>
          <w:szCs w:val="24"/>
        </w:rPr>
        <w:t>који</w:t>
      </w:r>
      <w:r w:rsidR="008646F9" w:rsidRPr="00831157">
        <w:rPr>
          <w:rFonts w:ascii="Times New Roman" w:hAnsi="Times New Roman"/>
          <w:sz w:val="24"/>
          <w:szCs w:val="24"/>
        </w:rPr>
        <w:t xml:space="preserve"> </w:t>
      </w:r>
      <w:r w:rsidR="00011174" w:rsidRPr="00831157">
        <w:rPr>
          <w:rFonts w:ascii="Times New Roman" w:hAnsi="Times New Roman"/>
          <w:sz w:val="24"/>
          <w:szCs w:val="24"/>
        </w:rPr>
        <w:t>су</w:t>
      </w:r>
      <w:r w:rsidR="008646F9" w:rsidRPr="00831157">
        <w:rPr>
          <w:rFonts w:ascii="Times New Roman" w:hAnsi="Times New Roman"/>
          <w:sz w:val="24"/>
          <w:szCs w:val="24"/>
        </w:rPr>
        <w:t xml:space="preserve"> </w:t>
      </w:r>
      <w:r w:rsidR="00011174" w:rsidRPr="00831157">
        <w:rPr>
          <w:rFonts w:ascii="Times New Roman" w:hAnsi="Times New Roman"/>
          <w:sz w:val="24"/>
          <w:szCs w:val="24"/>
        </w:rPr>
        <w:t>предмет</w:t>
      </w:r>
      <w:r w:rsidR="008646F9" w:rsidRPr="00831157">
        <w:rPr>
          <w:rFonts w:ascii="Times New Roman" w:hAnsi="Times New Roman"/>
          <w:sz w:val="24"/>
          <w:szCs w:val="24"/>
        </w:rPr>
        <w:t xml:space="preserve"> </w:t>
      </w:r>
      <w:r w:rsidR="00011174" w:rsidRPr="00831157">
        <w:rPr>
          <w:rFonts w:ascii="Times New Roman" w:hAnsi="Times New Roman"/>
          <w:sz w:val="24"/>
          <w:szCs w:val="24"/>
        </w:rPr>
        <w:t>надзора</w:t>
      </w:r>
      <w:r w:rsidR="008646F9" w:rsidRPr="00831157">
        <w:rPr>
          <w:rFonts w:ascii="Times New Roman" w:hAnsi="Times New Roman"/>
          <w:sz w:val="24"/>
          <w:szCs w:val="24"/>
        </w:rPr>
        <w:t>;</w:t>
      </w:r>
    </w:p>
    <w:p w:rsidR="00B479B2" w:rsidRPr="00831157" w:rsidRDefault="003B6E4E" w:rsidP="00831157">
      <w:pPr>
        <w:jc w:val="both"/>
        <w:rPr>
          <w:rFonts w:ascii="Times New Roman" w:hAnsi="Times New Roman"/>
          <w:sz w:val="24"/>
          <w:szCs w:val="24"/>
          <w:lang w:val="sr-Cyrl-CS"/>
        </w:rPr>
      </w:pPr>
      <w:r w:rsidRPr="00831157">
        <w:rPr>
          <w:rFonts w:ascii="Times New Roman" w:hAnsi="Times New Roman"/>
          <w:sz w:val="24"/>
          <w:szCs w:val="24"/>
          <w:lang w:val="sr-Cyrl-CS"/>
        </w:rPr>
        <w:t>-</w:t>
      </w:r>
      <w:r w:rsidR="00011174" w:rsidRPr="00831157">
        <w:rPr>
          <w:rFonts w:ascii="Times New Roman" w:hAnsi="Times New Roman"/>
          <w:sz w:val="24"/>
          <w:szCs w:val="24"/>
        </w:rPr>
        <w:t>врши</w:t>
      </w:r>
      <w:r w:rsidR="008646F9" w:rsidRPr="00831157">
        <w:rPr>
          <w:rFonts w:ascii="Times New Roman" w:hAnsi="Times New Roman"/>
          <w:sz w:val="24"/>
          <w:szCs w:val="24"/>
        </w:rPr>
        <w:t xml:space="preserve"> </w:t>
      </w:r>
      <w:r w:rsidR="00011174" w:rsidRPr="00831157">
        <w:rPr>
          <w:rFonts w:ascii="Times New Roman" w:hAnsi="Times New Roman"/>
          <w:sz w:val="24"/>
          <w:szCs w:val="24"/>
        </w:rPr>
        <w:t>преглед</w:t>
      </w:r>
      <w:r w:rsidR="008646F9" w:rsidRPr="00831157">
        <w:rPr>
          <w:rFonts w:ascii="Times New Roman" w:hAnsi="Times New Roman"/>
          <w:sz w:val="24"/>
          <w:szCs w:val="24"/>
        </w:rPr>
        <w:t xml:space="preserve"> </w:t>
      </w:r>
      <w:r w:rsidR="00011174" w:rsidRPr="00831157">
        <w:rPr>
          <w:rFonts w:ascii="Times New Roman" w:hAnsi="Times New Roman"/>
          <w:sz w:val="24"/>
          <w:szCs w:val="24"/>
        </w:rPr>
        <w:t>возила</w:t>
      </w:r>
      <w:r w:rsidR="008646F9" w:rsidRPr="00831157">
        <w:rPr>
          <w:rFonts w:ascii="Times New Roman" w:hAnsi="Times New Roman"/>
          <w:sz w:val="24"/>
          <w:szCs w:val="24"/>
        </w:rPr>
        <w:t xml:space="preserve">, </w:t>
      </w:r>
      <w:r w:rsidR="00011174" w:rsidRPr="00831157">
        <w:rPr>
          <w:rFonts w:ascii="Times New Roman" w:hAnsi="Times New Roman"/>
          <w:sz w:val="24"/>
          <w:szCs w:val="24"/>
        </w:rPr>
        <w:t>у</w:t>
      </w:r>
      <w:r w:rsidR="008646F9" w:rsidRPr="00831157">
        <w:rPr>
          <w:rFonts w:ascii="Times New Roman" w:hAnsi="Times New Roman"/>
          <w:sz w:val="24"/>
          <w:szCs w:val="24"/>
        </w:rPr>
        <w:t xml:space="preserve"> </w:t>
      </w:r>
      <w:r w:rsidR="00011174" w:rsidRPr="00831157">
        <w:rPr>
          <w:rFonts w:ascii="Times New Roman" w:hAnsi="Times New Roman"/>
          <w:sz w:val="24"/>
          <w:szCs w:val="24"/>
        </w:rPr>
        <w:t>случају</w:t>
      </w:r>
      <w:r w:rsidR="008646F9" w:rsidRPr="00831157">
        <w:rPr>
          <w:rFonts w:ascii="Times New Roman" w:hAnsi="Times New Roman"/>
          <w:sz w:val="24"/>
          <w:szCs w:val="24"/>
        </w:rPr>
        <w:t xml:space="preserve"> </w:t>
      </w:r>
      <w:r w:rsidR="00011174" w:rsidRPr="00831157">
        <w:rPr>
          <w:rFonts w:ascii="Times New Roman" w:hAnsi="Times New Roman"/>
          <w:sz w:val="24"/>
          <w:szCs w:val="24"/>
        </w:rPr>
        <w:t>сазнања</w:t>
      </w:r>
      <w:r w:rsidR="008646F9" w:rsidRPr="00831157">
        <w:rPr>
          <w:rFonts w:ascii="Times New Roman" w:hAnsi="Times New Roman"/>
          <w:sz w:val="24"/>
          <w:szCs w:val="24"/>
        </w:rPr>
        <w:t xml:space="preserve"> </w:t>
      </w:r>
      <w:r w:rsidR="00011174" w:rsidRPr="00831157">
        <w:rPr>
          <w:rFonts w:ascii="Times New Roman" w:hAnsi="Times New Roman"/>
          <w:sz w:val="24"/>
          <w:szCs w:val="24"/>
        </w:rPr>
        <w:t>да</w:t>
      </w:r>
      <w:r w:rsidR="008646F9" w:rsidRPr="00831157">
        <w:rPr>
          <w:rFonts w:ascii="Times New Roman" w:hAnsi="Times New Roman"/>
          <w:sz w:val="24"/>
          <w:szCs w:val="24"/>
        </w:rPr>
        <w:t xml:space="preserve"> </w:t>
      </w:r>
      <w:r w:rsidR="00011174" w:rsidRPr="00831157">
        <w:rPr>
          <w:rFonts w:ascii="Times New Roman" w:hAnsi="Times New Roman"/>
          <w:sz w:val="24"/>
          <w:szCs w:val="24"/>
        </w:rPr>
        <w:t>је</w:t>
      </w:r>
      <w:r w:rsidR="008646F9" w:rsidRPr="00831157">
        <w:rPr>
          <w:rFonts w:ascii="Times New Roman" w:hAnsi="Times New Roman"/>
          <w:sz w:val="24"/>
          <w:szCs w:val="24"/>
        </w:rPr>
        <w:t xml:space="preserve"> </w:t>
      </w:r>
      <w:r w:rsidR="00011174" w:rsidRPr="00831157">
        <w:rPr>
          <w:rFonts w:ascii="Times New Roman" w:hAnsi="Times New Roman"/>
          <w:sz w:val="24"/>
          <w:szCs w:val="24"/>
        </w:rPr>
        <w:t>то</w:t>
      </w:r>
      <w:r w:rsidR="008646F9" w:rsidRPr="00831157">
        <w:rPr>
          <w:rFonts w:ascii="Times New Roman" w:hAnsi="Times New Roman"/>
          <w:sz w:val="24"/>
          <w:szCs w:val="24"/>
        </w:rPr>
        <w:t xml:space="preserve"> </w:t>
      </w:r>
      <w:r w:rsidR="00011174" w:rsidRPr="00831157">
        <w:rPr>
          <w:rFonts w:ascii="Times New Roman" w:hAnsi="Times New Roman"/>
          <w:sz w:val="24"/>
          <w:szCs w:val="24"/>
        </w:rPr>
        <w:t>возило</w:t>
      </w:r>
      <w:r w:rsidR="008646F9" w:rsidRPr="00831157">
        <w:rPr>
          <w:rFonts w:ascii="Times New Roman" w:hAnsi="Times New Roman"/>
          <w:sz w:val="24"/>
          <w:szCs w:val="24"/>
        </w:rPr>
        <w:t xml:space="preserve"> </w:t>
      </w:r>
      <w:r w:rsidR="00011174" w:rsidRPr="00831157">
        <w:rPr>
          <w:rFonts w:ascii="Times New Roman" w:hAnsi="Times New Roman"/>
          <w:sz w:val="24"/>
          <w:szCs w:val="24"/>
        </w:rPr>
        <w:t>у</w:t>
      </w:r>
      <w:r w:rsidR="008646F9" w:rsidRPr="00831157">
        <w:rPr>
          <w:rFonts w:ascii="Times New Roman" w:hAnsi="Times New Roman"/>
          <w:sz w:val="24"/>
          <w:szCs w:val="24"/>
        </w:rPr>
        <w:t xml:space="preserve"> </w:t>
      </w:r>
      <w:r w:rsidR="00011174" w:rsidRPr="00831157">
        <w:rPr>
          <w:rFonts w:ascii="Times New Roman" w:hAnsi="Times New Roman"/>
          <w:sz w:val="24"/>
          <w:szCs w:val="24"/>
        </w:rPr>
        <w:t>функцији</w:t>
      </w:r>
      <w:r w:rsidR="008646F9" w:rsidRPr="00831157">
        <w:rPr>
          <w:rFonts w:ascii="Times New Roman" w:hAnsi="Times New Roman"/>
          <w:sz w:val="24"/>
          <w:szCs w:val="24"/>
        </w:rPr>
        <w:t xml:space="preserve"> </w:t>
      </w:r>
      <w:r w:rsidR="00011174" w:rsidRPr="00831157">
        <w:rPr>
          <w:rFonts w:ascii="Times New Roman" w:hAnsi="Times New Roman"/>
          <w:sz w:val="24"/>
          <w:szCs w:val="24"/>
        </w:rPr>
        <w:t>обављања</w:t>
      </w:r>
      <w:r w:rsidR="008646F9" w:rsidRPr="00831157">
        <w:rPr>
          <w:rFonts w:ascii="Times New Roman" w:hAnsi="Times New Roman"/>
          <w:sz w:val="24"/>
          <w:szCs w:val="24"/>
        </w:rPr>
        <w:t xml:space="preserve"> </w:t>
      </w:r>
      <w:r w:rsidR="00011174" w:rsidRPr="00831157">
        <w:rPr>
          <w:rFonts w:ascii="Times New Roman" w:hAnsi="Times New Roman"/>
          <w:sz w:val="24"/>
          <w:szCs w:val="24"/>
        </w:rPr>
        <w:t>трговине</w:t>
      </w:r>
      <w:r w:rsidR="008646F9" w:rsidRPr="00831157">
        <w:rPr>
          <w:rFonts w:ascii="Times New Roman" w:hAnsi="Times New Roman"/>
          <w:sz w:val="24"/>
          <w:szCs w:val="24"/>
        </w:rPr>
        <w:t>;</w:t>
      </w:r>
    </w:p>
    <w:p w:rsidR="00B85448" w:rsidRPr="00831157" w:rsidRDefault="003B6E4E" w:rsidP="00831157">
      <w:pPr>
        <w:jc w:val="both"/>
        <w:rPr>
          <w:rFonts w:ascii="Times New Roman" w:hAnsi="Times New Roman"/>
          <w:sz w:val="24"/>
          <w:szCs w:val="24"/>
          <w:lang w:val="sr-Cyrl-CS"/>
        </w:rPr>
      </w:pPr>
      <w:r w:rsidRPr="00831157">
        <w:rPr>
          <w:rFonts w:ascii="Times New Roman" w:hAnsi="Times New Roman"/>
          <w:sz w:val="24"/>
          <w:szCs w:val="24"/>
          <w:lang w:val="sr-Cyrl-CS"/>
        </w:rPr>
        <w:t>-</w:t>
      </w:r>
      <w:r w:rsidR="00011174" w:rsidRPr="00831157">
        <w:rPr>
          <w:rFonts w:ascii="Times New Roman" w:hAnsi="Times New Roman"/>
          <w:sz w:val="24"/>
          <w:szCs w:val="24"/>
        </w:rPr>
        <w:t>предузима</w:t>
      </w:r>
      <w:r w:rsidR="008646F9" w:rsidRPr="00831157">
        <w:rPr>
          <w:rFonts w:ascii="Times New Roman" w:hAnsi="Times New Roman"/>
          <w:sz w:val="24"/>
          <w:szCs w:val="24"/>
        </w:rPr>
        <w:t xml:space="preserve"> </w:t>
      </w:r>
      <w:r w:rsidR="00011174" w:rsidRPr="00831157">
        <w:rPr>
          <w:rFonts w:ascii="Times New Roman" w:hAnsi="Times New Roman"/>
          <w:sz w:val="24"/>
          <w:szCs w:val="24"/>
        </w:rPr>
        <w:t>друге</w:t>
      </w:r>
      <w:r w:rsidR="008646F9" w:rsidRPr="00831157">
        <w:rPr>
          <w:rFonts w:ascii="Times New Roman" w:hAnsi="Times New Roman"/>
          <w:sz w:val="24"/>
          <w:szCs w:val="24"/>
        </w:rPr>
        <w:t xml:space="preserve"> </w:t>
      </w:r>
      <w:r w:rsidR="00011174" w:rsidRPr="00831157">
        <w:rPr>
          <w:rFonts w:ascii="Times New Roman" w:hAnsi="Times New Roman"/>
          <w:sz w:val="24"/>
          <w:szCs w:val="24"/>
        </w:rPr>
        <w:t>радње</w:t>
      </w:r>
      <w:r w:rsidR="008646F9" w:rsidRPr="00831157">
        <w:rPr>
          <w:rFonts w:ascii="Times New Roman" w:hAnsi="Times New Roman"/>
          <w:sz w:val="24"/>
          <w:szCs w:val="24"/>
        </w:rPr>
        <w:t xml:space="preserve"> </w:t>
      </w:r>
      <w:r w:rsidR="00011174" w:rsidRPr="00831157">
        <w:rPr>
          <w:rFonts w:ascii="Times New Roman" w:hAnsi="Times New Roman"/>
          <w:sz w:val="24"/>
          <w:szCs w:val="24"/>
        </w:rPr>
        <w:t>у</w:t>
      </w:r>
      <w:r w:rsidR="008646F9" w:rsidRPr="00831157">
        <w:rPr>
          <w:rFonts w:ascii="Times New Roman" w:hAnsi="Times New Roman"/>
          <w:sz w:val="24"/>
          <w:szCs w:val="24"/>
        </w:rPr>
        <w:t xml:space="preserve"> </w:t>
      </w:r>
      <w:r w:rsidR="00011174" w:rsidRPr="00831157">
        <w:rPr>
          <w:rFonts w:ascii="Times New Roman" w:hAnsi="Times New Roman"/>
          <w:sz w:val="24"/>
          <w:szCs w:val="24"/>
        </w:rPr>
        <w:t>складу</w:t>
      </w:r>
      <w:r w:rsidR="008646F9" w:rsidRPr="00831157">
        <w:rPr>
          <w:rFonts w:ascii="Times New Roman" w:hAnsi="Times New Roman"/>
          <w:sz w:val="24"/>
          <w:szCs w:val="24"/>
        </w:rPr>
        <w:t xml:space="preserve"> </w:t>
      </w:r>
      <w:r w:rsidR="00011174" w:rsidRPr="00831157">
        <w:rPr>
          <w:rFonts w:ascii="Times New Roman" w:hAnsi="Times New Roman"/>
          <w:sz w:val="24"/>
          <w:szCs w:val="24"/>
        </w:rPr>
        <w:t>са</w:t>
      </w:r>
      <w:r w:rsidR="008646F9" w:rsidRPr="00831157">
        <w:rPr>
          <w:rFonts w:ascii="Times New Roman" w:hAnsi="Times New Roman"/>
          <w:sz w:val="24"/>
          <w:szCs w:val="24"/>
        </w:rPr>
        <w:t xml:space="preserve"> </w:t>
      </w:r>
      <w:r w:rsidR="00011174" w:rsidRPr="00831157">
        <w:rPr>
          <w:rFonts w:ascii="Times New Roman" w:hAnsi="Times New Roman"/>
          <w:sz w:val="24"/>
          <w:szCs w:val="24"/>
        </w:rPr>
        <w:t>законом</w:t>
      </w:r>
      <w:r w:rsidR="008646F9" w:rsidRPr="00831157">
        <w:rPr>
          <w:rFonts w:ascii="Times New Roman" w:hAnsi="Times New Roman"/>
          <w:sz w:val="24"/>
          <w:szCs w:val="24"/>
        </w:rPr>
        <w:t>.</w:t>
      </w:r>
    </w:p>
    <w:p w:rsidR="00B85448" w:rsidRPr="00831157" w:rsidRDefault="00011174" w:rsidP="00831157">
      <w:pPr>
        <w:ind w:firstLine="708"/>
        <w:jc w:val="both"/>
        <w:rPr>
          <w:rFonts w:ascii="Times New Roman" w:hAnsi="Times New Roman"/>
          <w:sz w:val="24"/>
          <w:szCs w:val="24"/>
          <w:lang w:val="sr-Cyrl-CS"/>
        </w:rPr>
      </w:pPr>
      <w:r w:rsidRPr="00831157">
        <w:rPr>
          <w:rFonts w:ascii="Times New Roman" w:hAnsi="Times New Roman"/>
          <w:sz w:val="24"/>
          <w:szCs w:val="24"/>
        </w:rPr>
        <w:t>У</w:t>
      </w:r>
      <w:r w:rsidR="008646F9" w:rsidRPr="00831157">
        <w:rPr>
          <w:rFonts w:ascii="Times New Roman" w:hAnsi="Times New Roman"/>
          <w:sz w:val="24"/>
          <w:szCs w:val="24"/>
        </w:rPr>
        <w:t xml:space="preserve"> </w:t>
      </w:r>
      <w:r w:rsidRPr="00831157">
        <w:rPr>
          <w:rFonts w:ascii="Times New Roman" w:hAnsi="Times New Roman"/>
          <w:sz w:val="24"/>
          <w:szCs w:val="24"/>
        </w:rPr>
        <w:t>вршењу</w:t>
      </w:r>
      <w:r w:rsidR="008646F9" w:rsidRPr="00831157">
        <w:rPr>
          <w:rFonts w:ascii="Times New Roman" w:hAnsi="Times New Roman"/>
          <w:sz w:val="24"/>
          <w:szCs w:val="24"/>
        </w:rPr>
        <w:t xml:space="preserve"> </w:t>
      </w:r>
      <w:r w:rsidRPr="00831157">
        <w:rPr>
          <w:rFonts w:ascii="Times New Roman" w:hAnsi="Times New Roman"/>
          <w:sz w:val="24"/>
          <w:szCs w:val="24"/>
        </w:rPr>
        <w:t>инспекцијског</w:t>
      </w:r>
      <w:r w:rsidR="008646F9" w:rsidRPr="00831157">
        <w:rPr>
          <w:rFonts w:ascii="Times New Roman" w:hAnsi="Times New Roman"/>
          <w:sz w:val="24"/>
          <w:szCs w:val="24"/>
        </w:rPr>
        <w:t xml:space="preserve"> </w:t>
      </w:r>
      <w:r w:rsidRPr="00831157">
        <w:rPr>
          <w:rFonts w:ascii="Times New Roman" w:hAnsi="Times New Roman"/>
          <w:sz w:val="24"/>
          <w:szCs w:val="24"/>
        </w:rPr>
        <w:t>надзора</w:t>
      </w:r>
      <w:r w:rsidR="008646F9" w:rsidRPr="00831157">
        <w:rPr>
          <w:rFonts w:ascii="Times New Roman" w:hAnsi="Times New Roman"/>
          <w:sz w:val="24"/>
          <w:szCs w:val="24"/>
        </w:rPr>
        <w:t xml:space="preserve">, </w:t>
      </w:r>
      <w:r w:rsidRPr="00831157">
        <w:rPr>
          <w:rFonts w:ascii="Times New Roman" w:hAnsi="Times New Roman"/>
          <w:sz w:val="24"/>
          <w:szCs w:val="24"/>
        </w:rPr>
        <w:t>у</w:t>
      </w:r>
      <w:r w:rsidR="008646F9" w:rsidRPr="00831157">
        <w:rPr>
          <w:rFonts w:ascii="Times New Roman" w:hAnsi="Times New Roman"/>
          <w:sz w:val="24"/>
          <w:szCs w:val="24"/>
        </w:rPr>
        <w:t xml:space="preserve"> </w:t>
      </w:r>
      <w:r w:rsidRPr="00831157">
        <w:rPr>
          <w:rFonts w:ascii="Times New Roman" w:hAnsi="Times New Roman"/>
          <w:sz w:val="24"/>
          <w:szCs w:val="24"/>
        </w:rPr>
        <w:t>случају</w:t>
      </w:r>
      <w:r w:rsidR="008646F9" w:rsidRPr="00831157">
        <w:rPr>
          <w:rFonts w:ascii="Times New Roman" w:hAnsi="Times New Roman"/>
          <w:sz w:val="24"/>
          <w:szCs w:val="24"/>
        </w:rPr>
        <w:t xml:space="preserve"> </w:t>
      </w:r>
      <w:r w:rsidRPr="00831157">
        <w:rPr>
          <w:rFonts w:ascii="Times New Roman" w:hAnsi="Times New Roman"/>
          <w:sz w:val="24"/>
          <w:szCs w:val="24"/>
        </w:rPr>
        <w:t>утврђивања</w:t>
      </w:r>
      <w:r w:rsidR="008646F9" w:rsidRPr="00831157">
        <w:rPr>
          <w:rFonts w:ascii="Times New Roman" w:hAnsi="Times New Roman"/>
          <w:sz w:val="24"/>
          <w:szCs w:val="24"/>
        </w:rPr>
        <w:t xml:space="preserve"> </w:t>
      </w:r>
      <w:r w:rsidRPr="00831157">
        <w:rPr>
          <w:rFonts w:ascii="Times New Roman" w:hAnsi="Times New Roman"/>
          <w:sz w:val="24"/>
          <w:szCs w:val="24"/>
        </w:rPr>
        <w:t>повреде</w:t>
      </w:r>
      <w:r w:rsidR="008646F9" w:rsidRPr="00831157">
        <w:rPr>
          <w:rFonts w:ascii="Times New Roman" w:hAnsi="Times New Roman"/>
          <w:sz w:val="24"/>
          <w:szCs w:val="24"/>
        </w:rPr>
        <w:t xml:space="preserve"> </w:t>
      </w:r>
      <w:r w:rsidRPr="00831157">
        <w:rPr>
          <w:rFonts w:ascii="Times New Roman" w:hAnsi="Times New Roman"/>
          <w:sz w:val="24"/>
          <w:szCs w:val="24"/>
        </w:rPr>
        <w:t>закона</w:t>
      </w:r>
      <w:r w:rsidR="008646F9" w:rsidRPr="00831157">
        <w:rPr>
          <w:rFonts w:ascii="Times New Roman" w:hAnsi="Times New Roman"/>
          <w:sz w:val="24"/>
          <w:szCs w:val="24"/>
        </w:rPr>
        <w:t xml:space="preserve">, </w:t>
      </w:r>
      <w:r w:rsidRPr="00831157">
        <w:rPr>
          <w:rFonts w:ascii="Times New Roman" w:hAnsi="Times New Roman"/>
          <w:sz w:val="24"/>
          <w:szCs w:val="24"/>
        </w:rPr>
        <w:t>тржишни</w:t>
      </w:r>
      <w:r w:rsidR="008646F9" w:rsidRPr="00831157">
        <w:rPr>
          <w:rFonts w:ascii="Times New Roman" w:hAnsi="Times New Roman"/>
          <w:sz w:val="24"/>
          <w:szCs w:val="24"/>
        </w:rPr>
        <w:t xml:space="preserve"> </w:t>
      </w:r>
      <w:r w:rsidRPr="00831157">
        <w:rPr>
          <w:rFonts w:ascii="Times New Roman" w:hAnsi="Times New Roman"/>
          <w:sz w:val="24"/>
          <w:szCs w:val="24"/>
        </w:rPr>
        <w:t>инспектор</w:t>
      </w:r>
      <w:r w:rsidR="008646F9" w:rsidRPr="00831157">
        <w:rPr>
          <w:rFonts w:ascii="Times New Roman" w:hAnsi="Times New Roman"/>
          <w:sz w:val="24"/>
          <w:szCs w:val="24"/>
        </w:rPr>
        <w:t xml:space="preserve"> </w:t>
      </w:r>
      <w:r w:rsidRPr="00831157">
        <w:rPr>
          <w:rFonts w:ascii="Times New Roman" w:hAnsi="Times New Roman"/>
          <w:sz w:val="24"/>
          <w:szCs w:val="24"/>
        </w:rPr>
        <w:t>је</w:t>
      </w:r>
      <w:r w:rsidR="008646F9" w:rsidRPr="00831157">
        <w:rPr>
          <w:rFonts w:ascii="Times New Roman" w:hAnsi="Times New Roman"/>
          <w:sz w:val="24"/>
          <w:szCs w:val="24"/>
        </w:rPr>
        <w:t xml:space="preserve"> </w:t>
      </w:r>
      <w:r w:rsidRPr="00831157">
        <w:rPr>
          <w:rFonts w:ascii="Times New Roman" w:hAnsi="Times New Roman"/>
          <w:sz w:val="24"/>
          <w:szCs w:val="24"/>
        </w:rPr>
        <w:t>овлашћен</w:t>
      </w:r>
      <w:r w:rsidR="008646F9" w:rsidRPr="00831157">
        <w:rPr>
          <w:rFonts w:ascii="Times New Roman" w:hAnsi="Times New Roman"/>
          <w:sz w:val="24"/>
          <w:szCs w:val="24"/>
        </w:rPr>
        <w:t xml:space="preserve"> </w:t>
      </w:r>
      <w:r w:rsidRPr="00831157">
        <w:rPr>
          <w:rFonts w:ascii="Times New Roman" w:hAnsi="Times New Roman"/>
          <w:sz w:val="24"/>
          <w:szCs w:val="24"/>
        </w:rPr>
        <w:t>да</w:t>
      </w:r>
      <w:r w:rsidR="008646F9" w:rsidRPr="00831157">
        <w:rPr>
          <w:rFonts w:ascii="Times New Roman" w:hAnsi="Times New Roman"/>
          <w:sz w:val="24"/>
          <w:szCs w:val="24"/>
        </w:rPr>
        <w:t xml:space="preserve"> </w:t>
      </w:r>
      <w:r w:rsidRPr="00831157">
        <w:rPr>
          <w:rFonts w:ascii="Times New Roman" w:hAnsi="Times New Roman"/>
          <w:sz w:val="24"/>
          <w:szCs w:val="24"/>
        </w:rPr>
        <w:t>решењем</w:t>
      </w:r>
      <w:r w:rsidR="008646F9" w:rsidRPr="00831157">
        <w:rPr>
          <w:rFonts w:ascii="Times New Roman" w:hAnsi="Times New Roman"/>
          <w:sz w:val="24"/>
          <w:szCs w:val="24"/>
        </w:rPr>
        <w:t xml:space="preserve"> </w:t>
      </w:r>
      <w:r w:rsidRPr="00831157">
        <w:rPr>
          <w:rFonts w:ascii="Times New Roman" w:hAnsi="Times New Roman"/>
          <w:sz w:val="24"/>
          <w:szCs w:val="24"/>
        </w:rPr>
        <w:t>изрекне</w:t>
      </w:r>
      <w:r w:rsidR="008646F9" w:rsidRPr="00831157">
        <w:rPr>
          <w:rFonts w:ascii="Times New Roman" w:hAnsi="Times New Roman"/>
          <w:sz w:val="24"/>
          <w:szCs w:val="24"/>
        </w:rPr>
        <w:t xml:space="preserve"> </w:t>
      </w:r>
      <w:r w:rsidRPr="00831157">
        <w:rPr>
          <w:rFonts w:ascii="Times New Roman" w:hAnsi="Times New Roman"/>
          <w:sz w:val="24"/>
          <w:szCs w:val="24"/>
        </w:rPr>
        <w:t>следеће</w:t>
      </w:r>
      <w:r w:rsidR="008646F9" w:rsidRPr="00831157">
        <w:rPr>
          <w:rFonts w:ascii="Times New Roman" w:hAnsi="Times New Roman"/>
          <w:sz w:val="24"/>
          <w:szCs w:val="24"/>
        </w:rPr>
        <w:t xml:space="preserve"> </w:t>
      </w:r>
      <w:r w:rsidRPr="00831157">
        <w:rPr>
          <w:rFonts w:ascii="Times New Roman" w:hAnsi="Times New Roman"/>
          <w:sz w:val="24"/>
          <w:szCs w:val="24"/>
        </w:rPr>
        <w:t>мере</w:t>
      </w:r>
      <w:r w:rsidR="008646F9" w:rsidRPr="00831157">
        <w:rPr>
          <w:rFonts w:ascii="Times New Roman" w:hAnsi="Times New Roman"/>
          <w:sz w:val="24"/>
          <w:szCs w:val="24"/>
        </w:rPr>
        <w:t>:</w:t>
      </w:r>
    </w:p>
    <w:p w:rsidR="00B479B2" w:rsidRPr="00831157" w:rsidRDefault="008646F9" w:rsidP="00831157">
      <w:pPr>
        <w:jc w:val="both"/>
        <w:rPr>
          <w:rFonts w:ascii="Times New Roman" w:hAnsi="Times New Roman"/>
          <w:sz w:val="24"/>
          <w:szCs w:val="24"/>
          <w:lang w:val="sr-Cyrl-CS"/>
        </w:rPr>
      </w:pPr>
      <w:r w:rsidRPr="00831157">
        <w:rPr>
          <w:rFonts w:ascii="Times New Roman" w:hAnsi="Times New Roman"/>
          <w:sz w:val="24"/>
          <w:szCs w:val="24"/>
        </w:rPr>
        <w:t xml:space="preserve">1) </w:t>
      </w:r>
      <w:r w:rsidR="00011174" w:rsidRPr="00831157">
        <w:rPr>
          <w:rFonts w:ascii="Times New Roman" w:hAnsi="Times New Roman"/>
          <w:sz w:val="24"/>
          <w:szCs w:val="24"/>
        </w:rPr>
        <w:t>отклањања</w:t>
      </w:r>
      <w:r w:rsidRPr="00831157">
        <w:rPr>
          <w:rFonts w:ascii="Times New Roman" w:hAnsi="Times New Roman"/>
          <w:sz w:val="24"/>
          <w:szCs w:val="24"/>
        </w:rPr>
        <w:t xml:space="preserve"> </w:t>
      </w:r>
      <w:r w:rsidR="00011174" w:rsidRPr="00831157">
        <w:rPr>
          <w:rFonts w:ascii="Times New Roman" w:hAnsi="Times New Roman"/>
          <w:sz w:val="24"/>
          <w:szCs w:val="24"/>
        </w:rPr>
        <w:t>утврђене</w:t>
      </w:r>
      <w:r w:rsidRPr="00831157">
        <w:rPr>
          <w:rFonts w:ascii="Times New Roman" w:hAnsi="Times New Roman"/>
          <w:sz w:val="24"/>
          <w:szCs w:val="24"/>
        </w:rPr>
        <w:t xml:space="preserve"> </w:t>
      </w:r>
      <w:r w:rsidR="00011174" w:rsidRPr="00831157">
        <w:rPr>
          <w:rFonts w:ascii="Times New Roman" w:hAnsi="Times New Roman"/>
          <w:sz w:val="24"/>
          <w:szCs w:val="24"/>
        </w:rPr>
        <w:t>неправилности</w:t>
      </w:r>
      <w:r w:rsidRPr="00831157">
        <w:rPr>
          <w:rFonts w:ascii="Times New Roman" w:hAnsi="Times New Roman"/>
          <w:sz w:val="24"/>
          <w:szCs w:val="24"/>
        </w:rPr>
        <w:t>;</w:t>
      </w:r>
    </w:p>
    <w:p w:rsidR="00B479B2" w:rsidRPr="00831157" w:rsidRDefault="008646F9" w:rsidP="00831157">
      <w:pPr>
        <w:jc w:val="both"/>
        <w:rPr>
          <w:rFonts w:ascii="Times New Roman" w:hAnsi="Times New Roman"/>
          <w:sz w:val="24"/>
          <w:szCs w:val="24"/>
          <w:lang w:val="sr-Cyrl-CS"/>
        </w:rPr>
      </w:pPr>
      <w:r w:rsidRPr="00831157">
        <w:rPr>
          <w:rFonts w:ascii="Times New Roman" w:hAnsi="Times New Roman"/>
          <w:sz w:val="24"/>
          <w:szCs w:val="24"/>
        </w:rPr>
        <w:t xml:space="preserve">2) </w:t>
      </w:r>
      <w:r w:rsidR="00011174" w:rsidRPr="00831157">
        <w:rPr>
          <w:rFonts w:ascii="Times New Roman" w:hAnsi="Times New Roman"/>
          <w:sz w:val="24"/>
          <w:szCs w:val="24"/>
        </w:rPr>
        <w:t>привремене</w:t>
      </w:r>
      <w:r w:rsidRPr="00831157">
        <w:rPr>
          <w:rFonts w:ascii="Times New Roman" w:hAnsi="Times New Roman"/>
          <w:sz w:val="24"/>
          <w:szCs w:val="24"/>
        </w:rPr>
        <w:t xml:space="preserve"> </w:t>
      </w:r>
      <w:r w:rsidR="00011174" w:rsidRPr="00831157">
        <w:rPr>
          <w:rFonts w:ascii="Times New Roman" w:hAnsi="Times New Roman"/>
          <w:sz w:val="24"/>
          <w:szCs w:val="24"/>
        </w:rPr>
        <w:t>забране</w:t>
      </w:r>
      <w:r w:rsidRPr="00831157">
        <w:rPr>
          <w:rFonts w:ascii="Times New Roman" w:hAnsi="Times New Roman"/>
          <w:sz w:val="24"/>
          <w:szCs w:val="24"/>
        </w:rPr>
        <w:t xml:space="preserve"> </w:t>
      </w:r>
      <w:r w:rsidR="00011174" w:rsidRPr="00831157">
        <w:rPr>
          <w:rFonts w:ascii="Times New Roman" w:hAnsi="Times New Roman"/>
          <w:sz w:val="24"/>
          <w:szCs w:val="24"/>
        </w:rPr>
        <w:t>промета</w:t>
      </w:r>
      <w:r w:rsidRPr="00831157">
        <w:rPr>
          <w:rFonts w:ascii="Times New Roman" w:hAnsi="Times New Roman"/>
          <w:sz w:val="24"/>
          <w:szCs w:val="24"/>
        </w:rPr>
        <w:t xml:space="preserve"> </w:t>
      </w:r>
      <w:r w:rsidR="00011174" w:rsidRPr="00831157">
        <w:rPr>
          <w:rFonts w:ascii="Times New Roman" w:hAnsi="Times New Roman"/>
          <w:sz w:val="24"/>
          <w:szCs w:val="24"/>
        </w:rPr>
        <w:t>одређене</w:t>
      </w:r>
      <w:r w:rsidRPr="00831157">
        <w:rPr>
          <w:rFonts w:ascii="Times New Roman" w:hAnsi="Times New Roman"/>
          <w:sz w:val="24"/>
          <w:szCs w:val="24"/>
        </w:rPr>
        <w:t xml:space="preserve"> </w:t>
      </w:r>
      <w:r w:rsidR="00011174" w:rsidRPr="00831157">
        <w:rPr>
          <w:rFonts w:ascii="Times New Roman" w:hAnsi="Times New Roman"/>
          <w:sz w:val="24"/>
          <w:szCs w:val="24"/>
        </w:rPr>
        <w:t>робе</w:t>
      </w:r>
      <w:r w:rsidRPr="00831157">
        <w:rPr>
          <w:rFonts w:ascii="Times New Roman" w:hAnsi="Times New Roman"/>
          <w:sz w:val="24"/>
          <w:szCs w:val="24"/>
        </w:rPr>
        <w:t xml:space="preserve">, </w:t>
      </w:r>
      <w:r w:rsidR="00011174" w:rsidRPr="00831157">
        <w:rPr>
          <w:rFonts w:ascii="Times New Roman" w:hAnsi="Times New Roman"/>
          <w:sz w:val="24"/>
          <w:szCs w:val="24"/>
        </w:rPr>
        <w:t>односно</w:t>
      </w:r>
      <w:r w:rsidRPr="00831157">
        <w:rPr>
          <w:rFonts w:ascii="Times New Roman" w:hAnsi="Times New Roman"/>
          <w:sz w:val="24"/>
          <w:szCs w:val="24"/>
        </w:rPr>
        <w:t xml:space="preserve"> </w:t>
      </w:r>
      <w:r w:rsidR="00011174" w:rsidRPr="00831157">
        <w:rPr>
          <w:rFonts w:ascii="Times New Roman" w:hAnsi="Times New Roman"/>
          <w:sz w:val="24"/>
          <w:szCs w:val="24"/>
        </w:rPr>
        <w:t>вршења</w:t>
      </w:r>
      <w:r w:rsidRPr="00831157">
        <w:rPr>
          <w:rFonts w:ascii="Times New Roman" w:hAnsi="Times New Roman"/>
          <w:sz w:val="24"/>
          <w:szCs w:val="24"/>
        </w:rPr>
        <w:t xml:space="preserve"> </w:t>
      </w:r>
      <w:r w:rsidR="00011174" w:rsidRPr="00831157">
        <w:rPr>
          <w:rFonts w:ascii="Times New Roman" w:hAnsi="Times New Roman"/>
          <w:sz w:val="24"/>
          <w:szCs w:val="24"/>
        </w:rPr>
        <w:t>одређене</w:t>
      </w:r>
      <w:r w:rsidRPr="00831157">
        <w:rPr>
          <w:rFonts w:ascii="Times New Roman" w:hAnsi="Times New Roman"/>
          <w:sz w:val="24"/>
          <w:szCs w:val="24"/>
        </w:rPr>
        <w:t xml:space="preserve"> </w:t>
      </w:r>
      <w:r w:rsidR="00011174" w:rsidRPr="00831157">
        <w:rPr>
          <w:rFonts w:ascii="Times New Roman" w:hAnsi="Times New Roman"/>
          <w:sz w:val="24"/>
          <w:szCs w:val="24"/>
        </w:rPr>
        <w:t>услуге</w:t>
      </w:r>
      <w:r w:rsidRPr="00831157">
        <w:rPr>
          <w:rFonts w:ascii="Times New Roman" w:hAnsi="Times New Roman"/>
          <w:sz w:val="24"/>
          <w:szCs w:val="24"/>
        </w:rPr>
        <w:t>;</w:t>
      </w:r>
    </w:p>
    <w:p w:rsidR="00B479B2" w:rsidRPr="00831157" w:rsidRDefault="008646F9" w:rsidP="00831157">
      <w:pPr>
        <w:jc w:val="both"/>
        <w:rPr>
          <w:rFonts w:ascii="Times New Roman" w:hAnsi="Times New Roman"/>
          <w:sz w:val="24"/>
          <w:szCs w:val="24"/>
          <w:lang w:val="sr-Cyrl-CS"/>
        </w:rPr>
      </w:pPr>
      <w:r w:rsidRPr="00831157">
        <w:rPr>
          <w:rFonts w:ascii="Times New Roman" w:hAnsi="Times New Roman"/>
          <w:sz w:val="24"/>
          <w:szCs w:val="24"/>
        </w:rPr>
        <w:t xml:space="preserve">3) </w:t>
      </w:r>
      <w:r w:rsidR="00011174" w:rsidRPr="00831157">
        <w:rPr>
          <w:rFonts w:ascii="Times New Roman" w:hAnsi="Times New Roman"/>
          <w:sz w:val="24"/>
          <w:szCs w:val="24"/>
        </w:rPr>
        <w:t>привременог</w:t>
      </w:r>
      <w:r w:rsidRPr="00831157">
        <w:rPr>
          <w:rFonts w:ascii="Times New Roman" w:hAnsi="Times New Roman"/>
          <w:sz w:val="24"/>
          <w:szCs w:val="24"/>
        </w:rPr>
        <w:t xml:space="preserve"> </w:t>
      </w:r>
      <w:r w:rsidR="00011174" w:rsidRPr="00831157">
        <w:rPr>
          <w:rFonts w:ascii="Times New Roman" w:hAnsi="Times New Roman"/>
          <w:sz w:val="24"/>
          <w:szCs w:val="24"/>
        </w:rPr>
        <w:t>затварања</w:t>
      </w:r>
      <w:r w:rsidRPr="00831157">
        <w:rPr>
          <w:rFonts w:ascii="Times New Roman" w:hAnsi="Times New Roman"/>
          <w:sz w:val="24"/>
          <w:szCs w:val="24"/>
        </w:rPr>
        <w:t xml:space="preserve"> </w:t>
      </w:r>
      <w:r w:rsidR="00011174" w:rsidRPr="00831157">
        <w:rPr>
          <w:rFonts w:ascii="Times New Roman" w:hAnsi="Times New Roman"/>
          <w:sz w:val="24"/>
          <w:szCs w:val="24"/>
        </w:rPr>
        <w:t>продајног</w:t>
      </w:r>
      <w:r w:rsidRPr="00831157">
        <w:rPr>
          <w:rFonts w:ascii="Times New Roman" w:hAnsi="Times New Roman"/>
          <w:sz w:val="24"/>
          <w:szCs w:val="24"/>
        </w:rPr>
        <w:t xml:space="preserve"> </w:t>
      </w:r>
      <w:r w:rsidR="00011174" w:rsidRPr="00831157">
        <w:rPr>
          <w:rFonts w:ascii="Times New Roman" w:hAnsi="Times New Roman"/>
          <w:sz w:val="24"/>
          <w:szCs w:val="24"/>
        </w:rPr>
        <w:t>објекта</w:t>
      </w:r>
      <w:r w:rsidRPr="00831157">
        <w:rPr>
          <w:rFonts w:ascii="Times New Roman" w:hAnsi="Times New Roman"/>
          <w:sz w:val="24"/>
          <w:szCs w:val="24"/>
        </w:rPr>
        <w:t>;</w:t>
      </w:r>
    </w:p>
    <w:p w:rsidR="00B479B2" w:rsidRPr="00831157" w:rsidRDefault="008646F9" w:rsidP="00831157">
      <w:pPr>
        <w:jc w:val="both"/>
        <w:rPr>
          <w:rFonts w:ascii="Times New Roman" w:hAnsi="Times New Roman"/>
          <w:sz w:val="24"/>
          <w:szCs w:val="24"/>
          <w:lang w:val="sr-Cyrl-CS"/>
        </w:rPr>
      </w:pPr>
      <w:r w:rsidRPr="00831157">
        <w:rPr>
          <w:rFonts w:ascii="Times New Roman" w:hAnsi="Times New Roman"/>
          <w:sz w:val="24"/>
          <w:szCs w:val="24"/>
        </w:rPr>
        <w:t xml:space="preserve">4) </w:t>
      </w:r>
      <w:r w:rsidR="00011174" w:rsidRPr="00831157">
        <w:rPr>
          <w:rFonts w:ascii="Times New Roman" w:hAnsi="Times New Roman"/>
          <w:sz w:val="24"/>
          <w:szCs w:val="24"/>
        </w:rPr>
        <w:t>привремене</w:t>
      </w:r>
      <w:r w:rsidRPr="00831157">
        <w:rPr>
          <w:rFonts w:ascii="Times New Roman" w:hAnsi="Times New Roman"/>
          <w:sz w:val="24"/>
          <w:szCs w:val="24"/>
        </w:rPr>
        <w:t xml:space="preserve"> </w:t>
      </w:r>
      <w:r w:rsidR="00011174" w:rsidRPr="00831157">
        <w:rPr>
          <w:rFonts w:ascii="Times New Roman" w:hAnsi="Times New Roman"/>
          <w:sz w:val="24"/>
          <w:szCs w:val="24"/>
        </w:rPr>
        <w:t>забране</w:t>
      </w:r>
      <w:r w:rsidRPr="00831157">
        <w:rPr>
          <w:rFonts w:ascii="Times New Roman" w:hAnsi="Times New Roman"/>
          <w:sz w:val="24"/>
          <w:szCs w:val="24"/>
        </w:rPr>
        <w:t xml:space="preserve"> </w:t>
      </w:r>
      <w:r w:rsidR="00011174" w:rsidRPr="00831157">
        <w:rPr>
          <w:rFonts w:ascii="Times New Roman" w:hAnsi="Times New Roman"/>
          <w:sz w:val="24"/>
          <w:szCs w:val="24"/>
        </w:rPr>
        <w:t>обављања</w:t>
      </w:r>
      <w:r w:rsidRPr="00831157">
        <w:rPr>
          <w:rFonts w:ascii="Times New Roman" w:hAnsi="Times New Roman"/>
          <w:sz w:val="24"/>
          <w:szCs w:val="24"/>
        </w:rPr>
        <w:t xml:space="preserve"> </w:t>
      </w:r>
      <w:r w:rsidR="00011174" w:rsidRPr="00831157">
        <w:rPr>
          <w:rFonts w:ascii="Times New Roman" w:hAnsi="Times New Roman"/>
          <w:sz w:val="24"/>
          <w:szCs w:val="24"/>
        </w:rPr>
        <w:t>трговине</w:t>
      </w:r>
      <w:r w:rsidRPr="00831157">
        <w:rPr>
          <w:rFonts w:ascii="Times New Roman" w:hAnsi="Times New Roman"/>
          <w:sz w:val="24"/>
          <w:szCs w:val="24"/>
        </w:rPr>
        <w:t xml:space="preserve"> </w:t>
      </w:r>
      <w:r w:rsidR="00011174" w:rsidRPr="00831157">
        <w:rPr>
          <w:rFonts w:ascii="Times New Roman" w:hAnsi="Times New Roman"/>
          <w:sz w:val="24"/>
          <w:szCs w:val="24"/>
        </w:rPr>
        <w:t>ван</w:t>
      </w:r>
      <w:r w:rsidRPr="00831157">
        <w:rPr>
          <w:rFonts w:ascii="Times New Roman" w:hAnsi="Times New Roman"/>
          <w:sz w:val="24"/>
          <w:szCs w:val="24"/>
        </w:rPr>
        <w:t xml:space="preserve"> </w:t>
      </w:r>
      <w:r w:rsidR="00011174" w:rsidRPr="00831157">
        <w:rPr>
          <w:rFonts w:ascii="Times New Roman" w:hAnsi="Times New Roman"/>
          <w:sz w:val="24"/>
          <w:szCs w:val="24"/>
        </w:rPr>
        <w:t>продајног</w:t>
      </w:r>
      <w:r w:rsidRPr="00831157">
        <w:rPr>
          <w:rFonts w:ascii="Times New Roman" w:hAnsi="Times New Roman"/>
          <w:sz w:val="24"/>
          <w:szCs w:val="24"/>
        </w:rPr>
        <w:t xml:space="preserve"> </w:t>
      </w:r>
      <w:r w:rsidR="00011174" w:rsidRPr="00831157">
        <w:rPr>
          <w:rFonts w:ascii="Times New Roman" w:hAnsi="Times New Roman"/>
          <w:sz w:val="24"/>
          <w:szCs w:val="24"/>
        </w:rPr>
        <w:t>објекта</w:t>
      </w:r>
      <w:r w:rsidRPr="00831157">
        <w:rPr>
          <w:rFonts w:ascii="Times New Roman" w:hAnsi="Times New Roman"/>
          <w:sz w:val="24"/>
          <w:szCs w:val="24"/>
        </w:rPr>
        <w:t>;</w:t>
      </w:r>
    </w:p>
    <w:p w:rsidR="00B85448" w:rsidRPr="00831157" w:rsidRDefault="008646F9" w:rsidP="00831157">
      <w:pPr>
        <w:jc w:val="both"/>
        <w:rPr>
          <w:rFonts w:ascii="Times New Roman" w:hAnsi="Times New Roman"/>
          <w:sz w:val="24"/>
          <w:szCs w:val="24"/>
          <w:lang w:val="sr-Cyrl-CS"/>
        </w:rPr>
      </w:pPr>
      <w:r w:rsidRPr="00831157">
        <w:rPr>
          <w:rFonts w:ascii="Times New Roman" w:hAnsi="Times New Roman"/>
          <w:sz w:val="24"/>
          <w:szCs w:val="24"/>
        </w:rPr>
        <w:t xml:space="preserve">5) </w:t>
      </w:r>
      <w:r w:rsidR="00011174" w:rsidRPr="00831157">
        <w:rPr>
          <w:rFonts w:ascii="Times New Roman" w:hAnsi="Times New Roman"/>
          <w:sz w:val="24"/>
          <w:szCs w:val="24"/>
        </w:rPr>
        <w:t>одузимања</w:t>
      </w:r>
      <w:r w:rsidRPr="00831157">
        <w:rPr>
          <w:rFonts w:ascii="Times New Roman" w:hAnsi="Times New Roman"/>
          <w:sz w:val="24"/>
          <w:szCs w:val="24"/>
        </w:rPr>
        <w:t xml:space="preserve"> </w:t>
      </w:r>
      <w:r w:rsidR="00011174" w:rsidRPr="00831157">
        <w:rPr>
          <w:rFonts w:ascii="Times New Roman" w:hAnsi="Times New Roman"/>
          <w:sz w:val="24"/>
          <w:szCs w:val="24"/>
        </w:rPr>
        <w:t>робе</w:t>
      </w:r>
      <w:r w:rsidRPr="00831157">
        <w:rPr>
          <w:rFonts w:ascii="Times New Roman" w:hAnsi="Times New Roman"/>
          <w:sz w:val="24"/>
          <w:szCs w:val="24"/>
        </w:rPr>
        <w:t>.</w:t>
      </w:r>
    </w:p>
    <w:p w:rsidR="00166B45" w:rsidRPr="00831157" w:rsidRDefault="00011174" w:rsidP="00831157">
      <w:pPr>
        <w:ind w:firstLine="708"/>
        <w:jc w:val="both"/>
        <w:rPr>
          <w:rFonts w:ascii="Times New Roman" w:hAnsi="Times New Roman"/>
          <w:sz w:val="24"/>
          <w:szCs w:val="24"/>
          <w:lang w:val="sr-Cyrl-CS"/>
        </w:rPr>
      </w:pPr>
      <w:r w:rsidRPr="00831157">
        <w:rPr>
          <w:rFonts w:ascii="Times New Roman" w:hAnsi="Times New Roman"/>
          <w:sz w:val="24"/>
          <w:szCs w:val="24"/>
        </w:rPr>
        <w:t>О</w:t>
      </w:r>
      <w:r w:rsidR="00D71E74" w:rsidRPr="00831157">
        <w:rPr>
          <w:rFonts w:ascii="Times New Roman" w:hAnsi="Times New Roman"/>
          <w:sz w:val="24"/>
          <w:szCs w:val="24"/>
        </w:rPr>
        <w:t xml:space="preserve"> </w:t>
      </w:r>
      <w:r w:rsidRPr="00831157">
        <w:rPr>
          <w:rFonts w:ascii="Times New Roman" w:hAnsi="Times New Roman"/>
          <w:sz w:val="24"/>
          <w:szCs w:val="24"/>
        </w:rPr>
        <w:t>свим</w:t>
      </w:r>
      <w:r w:rsidR="00D71E74" w:rsidRPr="00831157">
        <w:rPr>
          <w:rFonts w:ascii="Times New Roman" w:hAnsi="Times New Roman"/>
          <w:sz w:val="24"/>
          <w:szCs w:val="24"/>
        </w:rPr>
        <w:t xml:space="preserve"> </w:t>
      </w:r>
      <w:r w:rsidRPr="00831157">
        <w:rPr>
          <w:rFonts w:ascii="Times New Roman" w:hAnsi="Times New Roman"/>
          <w:sz w:val="24"/>
          <w:szCs w:val="24"/>
        </w:rPr>
        <w:t>радњама</w:t>
      </w:r>
      <w:r w:rsidR="00D71E74" w:rsidRPr="00831157">
        <w:rPr>
          <w:rFonts w:ascii="Times New Roman" w:hAnsi="Times New Roman"/>
          <w:sz w:val="24"/>
          <w:szCs w:val="24"/>
        </w:rPr>
        <w:t xml:space="preserve"> </w:t>
      </w:r>
      <w:r w:rsidRPr="00831157">
        <w:rPr>
          <w:rFonts w:ascii="Times New Roman" w:hAnsi="Times New Roman"/>
          <w:sz w:val="24"/>
          <w:szCs w:val="24"/>
        </w:rPr>
        <w:t>у</w:t>
      </w:r>
      <w:r w:rsidR="00D71E74" w:rsidRPr="00831157">
        <w:rPr>
          <w:rFonts w:ascii="Times New Roman" w:hAnsi="Times New Roman"/>
          <w:sz w:val="24"/>
          <w:szCs w:val="24"/>
        </w:rPr>
        <w:t xml:space="preserve"> </w:t>
      </w:r>
      <w:r w:rsidRPr="00831157">
        <w:rPr>
          <w:rFonts w:ascii="Times New Roman" w:hAnsi="Times New Roman"/>
          <w:sz w:val="24"/>
          <w:szCs w:val="24"/>
        </w:rPr>
        <w:t>поступку</w:t>
      </w:r>
      <w:r w:rsidR="00D71E74" w:rsidRPr="00831157">
        <w:rPr>
          <w:rFonts w:ascii="Times New Roman" w:hAnsi="Times New Roman"/>
          <w:sz w:val="24"/>
          <w:szCs w:val="24"/>
        </w:rPr>
        <w:t xml:space="preserve"> </w:t>
      </w:r>
      <w:r w:rsidRPr="00831157">
        <w:rPr>
          <w:rFonts w:ascii="Times New Roman" w:hAnsi="Times New Roman"/>
          <w:sz w:val="24"/>
          <w:szCs w:val="24"/>
        </w:rPr>
        <w:t>инспекцијског</w:t>
      </w:r>
      <w:r w:rsidR="00D71E74" w:rsidRPr="00831157">
        <w:rPr>
          <w:rFonts w:ascii="Times New Roman" w:hAnsi="Times New Roman"/>
          <w:sz w:val="24"/>
          <w:szCs w:val="24"/>
        </w:rPr>
        <w:t xml:space="preserve"> </w:t>
      </w:r>
      <w:r w:rsidRPr="00831157">
        <w:rPr>
          <w:rFonts w:ascii="Times New Roman" w:hAnsi="Times New Roman"/>
          <w:sz w:val="24"/>
          <w:szCs w:val="24"/>
        </w:rPr>
        <w:t>надзора</w:t>
      </w:r>
      <w:r w:rsidR="00D71E74" w:rsidRPr="00831157">
        <w:rPr>
          <w:rFonts w:ascii="Times New Roman" w:hAnsi="Times New Roman"/>
          <w:sz w:val="24"/>
          <w:szCs w:val="24"/>
        </w:rPr>
        <w:t xml:space="preserve"> </w:t>
      </w:r>
      <w:r w:rsidRPr="00831157">
        <w:rPr>
          <w:rFonts w:ascii="Times New Roman" w:hAnsi="Times New Roman"/>
          <w:sz w:val="24"/>
          <w:szCs w:val="24"/>
        </w:rPr>
        <w:t>од</w:t>
      </w:r>
      <w:r w:rsidR="00D71E74" w:rsidRPr="00831157">
        <w:rPr>
          <w:rFonts w:ascii="Times New Roman" w:hAnsi="Times New Roman"/>
          <w:sz w:val="24"/>
          <w:szCs w:val="24"/>
        </w:rPr>
        <w:t xml:space="preserve"> </w:t>
      </w:r>
      <w:r w:rsidRPr="00831157">
        <w:rPr>
          <w:rFonts w:ascii="Times New Roman" w:hAnsi="Times New Roman"/>
          <w:sz w:val="24"/>
          <w:szCs w:val="24"/>
        </w:rPr>
        <w:t>значаја</w:t>
      </w:r>
      <w:r w:rsidR="00D71E74" w:rsidRPr="00831157">
        <w:rPr>
          <w:rFonts w:ascii="Times New Roman" w:hAnsi="Times New Roman"/>
          <w:sz w:val="24"/>
          <w:szCs w:val="24"/>
        </w:rPr>
        <w:t xml:space="preserve"> </w:t>
      </w:r>
      <w:r w:rsidRPr="00831157">
        <w:rPr>
          <w:rFonts w:ascii="Times New Roman" w:hAnsi="Times New Roman"/>
          <w:sz w:val="24"/>
          <w:szCs w:val="24"/>
        </w:rPr>
        <w:t>за</w:t>
      </w:r>
      <w:r w:rsidR="00D71E74" w:rsidRPr="00831157">
        <w:rPr>
          <w:rFonts w:ascii="Times New Roman" w:hAnsi="Times New Roman"/>
          <w:sz w:val="24"/>
          <w:szCs w:val="24"/>
        </w:rPr>
        <w:t xml:space="preserve"> </w:t>
      </w:r>
      <w:r w:rsidRPr="00831157">
        <w:rPr>
          <w:rFonts w:ascii="Times New Roman" w:hAnsi="Times New Roman"/>
          <w:sz w:val="24"/>
          <w:szCs w:val="24"/>
        </w:rPr>
        <w:t>утврђивање</w:t>
      </w:r>
      <w:r w:rsidR="00B85448" w:rsidRPr="00831157">
        <w:rPr>
          <w:rFonts w:ascii="Times New Roman" w:hAnsi="Times New Roman"/>
          <w:sz w:val="24"/>
          <w:szCs w:val="24"/>
        </w:rPr>
        <w:t xml:space="preserve"> </w:t>
      </w:r>
      <w:r w:rsidRPr="00831157">
        <w:rPr>
          <w:rFonts w:ascii="Times New Roman" w:hAnsi="Times New Roman"/>
          <w:sz w:val="24"/>
          <w:szCs w:val="24"/>
        </w:rPr>
        <w:t>чињеничног</w:t>
      </w:r>
      <w:r w:rsidR="00B85448" w:rsidRPr="00831157">
        <w:rPr>
          <w:rFonts w:ascii="Times New Roman" w:hAnsi="Times New Roman"/>
          <w:sz w:val="24"/>
          <w:szCs w:val="24"/>
        </w:rPr>
        <w:t xml:space="preserve"> </w:t>
      </w:r>
      <w:r w:rsidRPr="00831157">
        <w:rPr>
          <w:rFonts w:ascii="Times New Roman" w:hAnsi="Times New Roman"/>
          <w:sz w:val="24"/>
          <w:szCs w:val="24"/>
        </w:rPr>
        <w:t>стања</w:t>
      </w:r>
      <w:r w:rsidR="00B85448" w:rsidRPr="00831157">
        <w:rPr>
          <w:rFonts w:ascii="Times New Roman" w:hAnsi="Times New Roman"/>
          <w:sz w:val="24"/>
          <w:szCs w:val="24"/>
        </w:rPr>
        <w:t xml:space="preserve">, </w:t>
      </w:r>
      <w:r w:rsidRPr="00831157">
        <w:rPr>
          <w:rFonts w:ascii="Times New Roman" w:hAnsi="Times New Roman"/>
          <w:sz w:val="24"/>
          <w:szCs w:val="24"/>
        </w:rPr>
        <w:t>тржишни</w:t>
      </w:r>
      <w:r w:rsidR="00B85448" w:rsidRPr="00831157">
        <w:rPr>
          <w:rFonts w:ascii="Times New Roman" w:hAnsi="Times New Roman"/>
          <w:sz w:val="24"/>
          <w:szCs w:val="24"/>
          <w:lang w:val="sr-Cyrl-CS"/>
        </w:rPr>
        <w:t xml:space="preserve"> </w:t>
      </w:r>
      <w:r w:rsidRPr="00831157">
        <w:rPr>
          <w:rFonts w:ascii="Times New Roman" w:hAnsi="Times New Roman"/>
          <w:sz w:val="24"/>
          <w:szCs w:val="24"/>
        </w:rPr>
        <w:t>инспектор</w:t>
      </w:r>
      <w:r w:rsidR="00D71E74" w:rsidRPr="00831157">
        <w:rPr>
          <w:rFonts w:ascii="Times New Roman" w:hAnsi="Times New Roman"/>
          <w:sz w:val="24"/>
          <w:szCs w:val="24"/>
        </w:rPr>
        <w:t xml:space="preserve"> </w:t>
      </w:r>
      <w:r w:rsidRPr="00831157">
        <w:rPr>
          <w:rFonts w:ascii="Times New Roman" w:hAnsi="Times New Roman"/>
          <w:sz w:val="24"/>
          <w:szCs w:val="24"/>
        </w:rPr>
        <w:t>саставља</w:t>
      </w:r>
      <w:r w:rsidR="00D71E74" w:rsidRPr="00831157">
        <w:rPr>
          <w:rFonts w:ascii="Times New Roman" w:hAnsi="Times New Roman"/>
          <w:sz w:val="24"/>
          <w:szCs w:val="24"/>
        </w:rPr>
        <w:t xml:space="preserve"> </w:t>
      </w:r>
      <w:r w:rsidRPr="00831157">
        <w:rPr>
          <w:rFonts w:ascii="Times New Roman" w:hAnsi="Times New Roman"/>
          <w:sz w:val="24"/>
          <w:szCs w:val="24"/>
        </w:rPr>
        <w:t>записник</w:t>
      </w:r>
      <w:r w:rsidR="00D71E74" w:rsidRPr="00831157">
        <w:rPr>
          <w:rFonts w:ascii="Times New Roman" w:hAnsi="Times New Roman"/>
          <w:sz w:val="24"/>
          <w:szCs w:val="24"/>
        </w:rPr>
        <w:t>.</w:t>
      </w:r>
      <w:r w:rsidR="00B85448" w:rsidRPr="00831157">
        <w:rPr>
          <w:rFonts w:ascii="Times New Roman" w:hAnsi="Times New Roman"/>
          <w:sz w:val="24"/>
          <w:szCs w:val="24"/>
          <w:lang w:val="sr-Cyrl-CS"/>
        </w:rPr>
        <w:t xml:space="preserve"> </w:t>
      </w:r>
      <w:r w:rsidRPr="00831157">
        <w:rPr>
          <w:rFonts w:ascii="Times New Roman" w:hAnsi="Times New Roman"/>
          <w:sz w:val="24"/>
          <w:szCs w:val="24"/>
        </w:rPr>
        <w:t>Списи</w:t>
      </w:r>
      <w:r w:rsidR="00D71E74" w:rsidRPr="00831157">
        <w:rPr>
          <w:rFonts w:ascii="Times New Roman" w:hAnsi="Times New Roman"/>
          <w:sz w:val="24"/>
          <w:szCs w:val="24"/>
        </w:rPr>
        <w:t xml:space="preserve"> </w:t>
      </w:r>
      <w:r w:rsidRPr="00831157">
        <w:rPr>
          <w:rFonts w:ascii="Times New Roman" w:hAnsi="Times New Roman"/>
          <w:sz w:val="24"/>
          <w:szCs w:val="24"/>
        </w:rPr>
        <w:t>предмета</w:t>
      </w:r>
      <w:r w:rsidR="00D71E74" w:rsidRPr="00831157">
        <w:rPr>
          <w:rFonts w:ascii="Times New Roman" w:hAnsi="Times New Roman"/>
          <w:sz w:val="24"/>
          <w:szCs w:val="24"/>
        </w:rPr>
        <w:t xml:space="preserve"> </w:t>
      </w:r>
      <w:r w:rsidRPr="00831157">
        <w:rPr>
          <w:rFonts w:ascii="Times New Roman" w:hAnsi="Times New Roman"/>
          <w:sz w:val="24"/>
          <w:szCs w:val="24"/>
        </w:rPr>
        <w:t>инспекцијског</w:t>
      </w:r>
      <w:r w:rsidR="00D71E74" w:rsidRPr="00831157">
        <w:rPr>
          <w:rFonts w:ascii="Times New Roman" w:hAnsi="Times New Roman"/>
          <w:sz w:val="24"/>
          <w:szCs w:val="24"/>
        </w:rPr>
        <w:t xml:space="preserve"> </w:t>
      </w:r>
      <w:r w:rsidRPr="00831157">
        <w:rPr>
          <w:rFonts w:ascii="Times New Roman" w:hAnsi="Times New Roman"/>
          <w:sz w:val="24"/>
          <w:szCs w:val="24"/>
        </w:rPr>
        <w:t>надзора</w:t>
      </w:r>
      <w:r w:rsidR="00D71E74" w:rsidRPr="00831157">
        <w:rPr>
          <w:rFonts w:ascii="Times New Roman" w:hAnsi="Times New Roman"/>
          <w:sz w:val="24"/>
          <w:szCs w:val="24"/>
        </w:rPr>
        <w:t xml:space="preserve">, </w:t>
      </w:r>
      <w:r w:rsidRPr="00831157">
        <w:rPr>
          <w:rFonts w:ascii="Times New Roman" w:hAnsi="Times New Roman"/>
          <w:sz w:val="24"/>
          <w:szCs w:val="24"/>
        </w:rPr>
        <w:t>као</w:t>
      </w:r>
      <w:r w:rsidR="00D71E74" w:rsidRPr="00831157">
        <w:rPr>
          <w:rFonts w:ascii="Times New Roman" w:hAnsi="Times New Roman"/>
          <w:sz w:val="24"/>
          <w:szCs w:val="24"/>
        </w:rPr>
        <w:t xml:space="preserve"> </w:t>
      </w:r>
      <w:r w:rsidRPr="00831157">
        <w:rPr>
          <w:rFonts w:ascii="Times New Roman" w:hAnsi="Times New Roman"/>
          <w:sz w:val="24"/>
          <w:szCs w:val="24"/>
        </w:rPr>
        <w:t>и</w:t>
      </w:r>
      <w:r w:rsidR="00D71E74" w:rsidRPr="00831157">
        <w:rPr>
          <w:rFonts w:ascii="Times New Roman" w:hAnsi="Times New Roman"/>
          <w:sz w:val="24"/>
          <w:szCs w:val="24"/>
        </w:rPr>
        <w:t xml:space="preserve"> </w:t>
      </w:r>
      <w:r w:rsidRPr="00831157">
        <w:rPr>
          <w:rFonts w:ascii="Times New Roman" w:hAnsi="Times New Roman"/>
          <w:sz w:val="24"/>
          <w:szCs w:val="24"/>
        </w:rPr>
        <w:t>поједине</w:t>
      </w:r>
      <w:r w:rsidR="00D71E74" w:rsidRPr="00831157">
        <w:rPr>
          <w:rFonts w:ascii="Times New Roman" w:hAnsi="Times New Roman"/>
          <w:sz w:val="24"/>
          <w:szCs w:val="24"/>
        </w:rPr>
        <w:t xml:space="preserve"> </w:t>
      </w:r>
      <w:r w:rsidRPr="00831157">
        <w:rPr>
          <w:rFonts w:ascii="Times New Roman" w:hAnsi="Times New Roman"/>
          <w:sz w:val="24"/>
          <w:szCs w:val="24"/>
        </w:rPr>
        <w:t>исправе</w:t>
      </w:r>
      <w:r w:rsidR="00D71E74" w:rsidRPr="00831157">
        <w:rPr>
          <w:rFonts w:ascii="Times New Roman" w:hAnsi="Times New Roman"/>
          <w:sz w:val="24"/>
          <w:szCs w:val="24"/>
        </w:rPr>
        <w:t xml:space="preserve"> </w:t>
      </w:r>
      <w:r w:rsidRPr="00831157">
        <w:rPr>
          <w:rFonts w:ascii="Times New Roman" w:hAnsi="Times New Roman"/>
          <w:sz w:val="24"/>
          <w:szCs w:val="24"/>
        </w:rPr>
        <w:t>у</w:t>
      </w:r>
      <w:r w:rsidR="00D71E74" w:rsidRPr="00831157">
        <w:rPr>
          <w:rFonts w:ascii="Times New Roman" w:hAnsi="Times New Roman"/>
          <w:sz w:val="24"/>
          <w:szCs w:val="24"/>
        </w:rPr>
        <w:t xml:space="preserve"> </w:t>
      </w:r>
      <w:r w:rsidRPr="00831157">
        <w:rPr>
          <w:rFonts w:ascii="Times New Roman" w:hAnsi="Times New Roman"/>
          <w:sz w:val="24"/>
          <w:szCs w:val="24"/>
        </w:rPr>
        <w:t>списима</w:t>
      </w:r>
      <w:r w:rsidR="00D71E74" w:rsidRPr="00831157">
        <w:rPr>
          <w:rFonts w:ascii="Times New Roman" w:hAnsi="Times New Roman"/>
          <w:sz w:val="24"/>
          <w:szCs w:val="24"/>
        </w:rPr>
        <w:t xml:space="preserve"> </w:t>
      </w:r>
      <w:r w:rsidRPr="00831157">
        <w:rPr>
          <w:rFonts w:ascii="Times New Roman" w:hAnsi="Times New Roman"/>
          <w:sz w:val="24"/>
          <w:szCs w:val="24"/>
        </w:rPr>
        <w:t>могу</w:t>
      </w:r>
      <w:r w:rsidR="00D71E74" w:rsidRPr="00831157">
        <w:rPr>
          <w:rFonts w:ascii="Times New Roman" w:hAnsi="Times New Roman"/>
          <w:sz w:val="24"/>
          <w:szCs w:val="24"/>
        </w:rPr>
        <w:t xml:space="preserve"> </w:t>
      </w:r>
      <w:r w:rsidRPr="00831157">
        <w:rPr>
          <w:rFonts w:ascii="Times New Roman" w:hAnsi="Times New Roman"/>
          <w:sz w:val="24"/>
          <w:szCs w:val="24"/>
        </w:rPr>
        <w:t>да</w:t>
      </w:r>
      <w:r w:rsidR="00D71E74" w:rsidRPr="00831157">
        <w:rPr>
          <w:rFonts w:ascii="Times New Roman" w:hAnsi="Times New Roman"/>
          <w:sz w:val="24"/>
          <w:szCs w:val="24"/>
        </w:rPr>
        <w:t xml:space="preserve"> </w:t>
      </w:r>
      <w:r w:rsidRPr="00831157">
        <w:rPr>
          <w:rFonts w:ascii="Times New Roman" w:hAnsi="Times New Roman"/>
          <w:sz w:val="24"/>
          <w:szCs w:val="24"/>
        </w:rPr>
        <w:t>се</w:t>
      </w:r>
      <w:r w:rsidR="00D71E74" w:rsidRPr="00831157">
        <w:rPr>
          <w:rFonts w:ascii="Times New Roman" w:hAnsi="Times New Roman"/>
          <w:sz w:val="24"/>
          <w:szCs w:val="24"/>
        </w:rPr>
        <w:t xml:space="preserve"> </w:t>
      </w:r>
      <w:r w:rsidRPr="00831157">
        <w:rPr>
          <w:rFonts w:ascii="Times New Roman" w:hAnsi="Times New Roman"/>
          <w:sz w:val="24"/>
          <w:szCs w:val="24"/>
        </w:rPr>
        <w:t>воде</w:t>
      </w:r>
      <w:r w:rsidR="00D71E74" w:rsidRPr="00831157">
        <w:rPr>
          <w:rFonts w:ascii="Times New Roman" w:hAnsi="Times New Roman"/>
          <w:sz w:val="24"/>
          <w:szCs w:val="24"/>
        </w:rPr>
        <w:t xml:space="preserve"> </w:t>
      </w:r>
      <w:r w:rsidRPr="00831157">
        <w:rPr>
          <w:rFonts w:ascii="Times New Roman" w:hAnsi="Times New Roman"/>
          <w:sz w:val="24"/>
          <w:szCs w:val="24"/>
        </w:rPr>
        <w:t>у</w:t>
      </w:r>
      <w:r w:rsidR="00D71E74" w:rsidRPr="00831157">
        <w:rPr>
          <w:rFonts w:ascii="Times New Roman" w:hAnsi="Times New Roman"/>
          <w:sz w:val="24"/>
          <w:szCs w:val="24"/>
        </w:rPr>
        <w:t xml:space="preserve"> </w:t>
      </w:r>
      <w:r w:rsidRPr="00831157">
        <w:rPr>
          <w:rFonts w:ascii="Times New Roman" w:hAnsi="Times New Roman"/>
          <w:sz w:val="24"/>
          <w:szCs w:val="24"/>
        </w:rPr>
        <w:t>облику</w:t>
      </w:r>
      <w:r w:rsidR="00D71E74" w:rsidRPr="00831157">
        <w:rPr>
          <w:rFonts w:ascii="Times New Roman" w:hAnsi="Times New Roman"/>
          <w:sz w:val="24"/>
          <w:szCs w:val="24"/>
        </w:rPr>
        <w:t xml:space="preserve"> </w:t>
      </w:r>
      <w:r w:rsidRPr="00831157">
        <w:rPr>
          <w:rFonts w:ascii="Times New Roman" w:hAnsi="Times New Roman"/>
          <w:sz w:val="24"/>
          <w:szCs w:val="24"/>
        </w:rPr>
        <w:t>електронског</w:t>
      </w:r>
      <w:r w:rsidR="00D71E74" w:rsidRPr="00831157">
        <w:rPr>
          <w:rFonts w:ascii="Times New Roman" w:hAnsi="Times New Roman"/>
          <w:sz w:val="24"/>
          <w:szCs w:val="24"/>
        </w:rPr>
        <w:t xml:space="preserve"> </w:t>
      </w:r>
      <w:r w:rsidRPr="00831157">
        <w:rPr>
          <w:rFonts w:ascii="Times New Roman" w:hAnsi="Times New Roman"/>
          <w:sz w:val="24"/>
          <w:szCs w:val="24"/>
        </w:rPr>
        <w:t>документа</w:t>
      </w:r>
      <w:r w:rsidR="00D71E74" w:rsidRPr="00831157">
        <w:rPr>
          <w:rFonts w:ascii="Times New Roman" w:hAnsi="Times New Roman"/>
          <w:sz w:val="24"/>
          <w:szCs w:val="24"/>
        </w:rPr>
        <w:t>.</w:t>
      </w:r>
      <w:bookmarkStart w:id="71" w:name="str_42"/>
      <w:bookmarkEnd w:id="71"/>
      <w:r w:rsidR="003B6E4E" w:rsidRPr="00831157">
        <w:rPr>
          <w:rFonts w:ascii="Times New Roman" w:hAnsi="Times New Roman"/>
          <w:sz w:val="24"/>
          <w:szCs w:val="24"/>
          <w:lang w:val="sr-Cyrl-CS"/>
        </w:rPr>
        <w:t xml:space="preserve"> </w:t>
      </w:r>
      <w:r w:rsidRPr="00831157">
        <w:rPr>
          <w:rFonts w:ascii="Times New Roman" w:hAnsi="Times New Roman"/>
          <w:sz w:val="24"/>
          <w:szCs w:val="24"/>
        </w:rPr>
        <w:t>Ради</w:t>
      </w:r>
      <w:r w:rsidR="00D71E74" w:rsidRPr="00831157">
        <w:rPr>
          <w:rFonts w:ascii="Times New Roman" w:hAnsi="Times New Roman"/>
          <w:sz w:val="24"/>
          <w:szCs w:val="24"/>
        </w:rPr>
        <w:t xml:space="preserve"> </w:t>
      </w:r>
      <w:r w:rsidRPr="00831157">
        <w:rPr>
          <w:rFonts w:ascii="Times New Roman" w:hAnsi="Times New Roman"/>
          <w:sz w:val="24"/>
          <w:szCs w:val="24"/>
        </w:rPr>
        <w:t>обезбеђења</w:t>
      </w:r>
      <w:r w:rsidR="00D71E74" w:rsidRPr="00831157">
        <w:rPr>
          <w:rFonts w:ascii="Times New Roman" w:hAnsi="Times New Roman"/>
          <w:sz w:val="24"/>
          <w:szCs w:val="24"/>
        </w:rPr>
        <w:t xml:space="preserve"> </w:t>
      </w:r>
      <w:r w:rsidRPr="00831157">
        <w:rPr>
          <w:rFonts w:ascii="Times New Roman" w:hAnsi="Times New Roman"/>
          <w:sz w:val="24"/>
          <w:szCs w:val="24"/>
        </w:rPr>
        <w:t>доказа</w:t>
      </w:r>
      <w:r w:rsidR="00D71E74" w:rsidRPr="00831157">
        <w:rPr>
          <w:rFonts w:ascii="Times New Roman" w:hAnsi="Times New Roman"/>
          <w:sz w:val="24"/>
          <w:szCs w:val="24"/>
        </w:rPr>
        <w:t xml:space="preserve">, </w:t>
      </w:r>
      <w:r w:rsidRPr="00831157">
        <w:rPr>
          <w:rFonts w:ascii="Times New Roman" w:hAnsi="Times New Roman"/>
          <w:sz w:val="24"/>
          <w:szCs w:val="24"/>
        </w:rPr>
        <w:t>тржишни</w:t>
      </w:r>
      <w:r w:rsidR="00D71E74" w:rsidRPr="00831157">
        <w:rPr>
          <w:rFonts w:ascii="Times New Roman" w:hAnsi="Times New Roman"/>
          <w:sz w:val="24"/>
          <w:szCs w:val="24"/>
        </w:rPr>
        <w:t xml:space="preserve"> </w:t>
      </w:r>
      <w:r w:rsidRPr="00831157">
        <w:rPr>
          <w:rFonts w:ascii="Times New Roman" w:hAnsi="Times New Roman"/>
          <w:sz w:val="24"/>
          <w:szCs w:val="24"/>
        </w:rPr>
        <w:t>инспектор</w:t>
      </w:r>
      <w:r w:rsidR="00D71E74" w:rsidRPr="00831157">
        <w:rPr>
          <w:rFonts w:ascii="Times New Roman" w:hAnsi="Times New Roman"/>
          <w:sz w:val="24"/>
          <w:szCs w:val="24"/>
        </w:rPr>
        <w:t xml:space="preserve"> </w:t>
      </w:r>
      <w:r w:rsidRPr="00831157">
        <w:rPr>
          <w:rFonts w:ascii="Times New Roman" w:hAnsi="Times New Roman"/>
          <w:sz w:val="24"/>
          <w:szCs w:val="24"/>
        </w:rPr>
        <w:t>може</w:t>
      </w:r>
      <w:r w:rsidR="00D71E74" w:rsidRPr="00831157">
        <w:rPr>
          <w:rFonts w:ascii="Times New Roman" w:hAnsi="Times New Roman"/>
          <w:sz w:val="24"/>
          <w:szCs w:val="24"/>
        </w:rPr>
        <w:t xml:space="preserve"> </w:t>
      </w:r>
      <w:r w:rsidRPr="00831157">
        <w:rPr>
          <w:rFonts w:ascii="Times New Roman" w:hAnsi="Times New Roman"/>
          <w:sz w:val="24"/>
          <w:szCs w:val="24"/>
        </w:rPr>
        <w:t>привремено</w:t>
      </w:r>
      <w:r w:rsidR="00D71E74" w:rsidRPr="00831157">
        <w:rPr>
          <w:rFonts w:ascii="Times New Roman" w:hAnsi="Times New Roman"/>
          <w:sz w:val="24"/>
          <w:szCs w:val="24"/>
        </w:rPr>
        <w:t xml:space="preserve"> </w:t>
      </w:r>
      <w:r w:rsidRPr="00831157">
        <w:rPr>
          <w:rFonts w:ascii="Times New Roman" w:hAnsi="Times New Roman"/>
          <w:sz w:val="24"/>
          <w:szCs w:val="24"/>
        </w:rPr>
        <w:t>одузети</w:t>
      </w:r>
      <w:r w:rsidR="00D71E74" w:rsidRPr="00831157">
        <w:rPr>
          <w:rFonts w:ascii="Times New Roman" w:hAnsi="Times New Roman"/>
          <w:sz w:val="24"/>
          <w:szCs w:val="24"/>
        </w:rPr>
        <w:t xml:space="preserve"> </w:t>
      </w:r>
      <w:r w:rsidRPr="00831157">
        <w:rPr>
          <w:rFonts w:ascii="Times New Roman" w:hAnsi="Times New Roman"/>
          <w:sz w:val="24"/>
          <w:szCs w:val="24"/>
        </w:rPr>
        <w:t>одређене</w:t>
      </w:r>
      <w:r w:rsidR="00D71E74" w:rsidRPr="00831157">
        <w:rPr>
          <w:rFonts w:ascii="Times New Roman" w:hAnsi="Times New Roman"/>
          <w:sz w:val="24"/>
          <w:szCs w:val="24"/>
        </w:rPr>
        <w:t xml:space="preserve"> </w:t>
      </w:r>
      <w:r w:rsidRPr="00831157">
        <w:rPr>
          <w:rFonts w:ascii="Times New Roman" w:hAnsi="Times New Roman"/>
          <w:sz w:val="24"/>
          <w:szCs w:val="24"/>
        </w:rPr>
        <w:t>предмете</w:t>
      </w:r>
      <w:r w:rsidR="00D71E74" w:rsidRPr="00831157">
        <w:rPr>
          <w:rFonts w:ascii="Times New Roman" w:hAnsi="Times New Roman"/>
          <w:sz w:val="24"/>
          <w:szCs w:val="24"/>
        </w:rPr>
        <w:t xml:space="preserve"> (</w:t>
      </w:r>
      <w:r w:rsidRPr="00831157">
        <w:rPr>
          <w:rFonts w:ascii="Times New Roman" w:hAnsi="Times New Roman"/>
          <w:sz w:val="24"/>
          <w:szCs w:val="24"/>
        </w:rPr>
        <w:t>ствари</w:t>
      </w:r>
      <w:r w:rsidR="00D71E74" w:rsidRPr="00831157">
        <w:rPr>
          <w:rFonts w:ascii="Times New Roman" w:hAnsi="Times New Roman"/>
          <w:sz w:val="24"/>
          <w:szCs w:val="24"/>
        </w:rPr>
        <w:t xml:space="preserve">, </w:t>
      </w:r>
      <w:r w:rsidRPr="00831157">
        <w:rPr>
          <w:rFonts w:ascii="Times New Roman" w:hAnsi="Times New Roman"/>
          <w:sz w:val="24"/>
          <w:szCs w:val="24"/>
        </w:rPr>
        <w:t>опрему</w:t>
      </w:r>
      <w:r w:rsidR="00D71E74" w:rsidRPr="00831157">
        <w:rPr>
          <w:rFonts w:ascii="Times New Roman" w:hAnsi="Times New Roman"/>
          <w:sz w:val="24"/>
          <w:szCs w:val="24"/>
        </w:rPr>
        <w:t xml:space="preserve">, </w:t>
      </w:r>
      <w:r w:rsidRPr="00831157">
        <w:rPr>
          <w:rFonts w:ascii="Times New Roman" w:hAnsi="Times New Roman"/>
          <w:sz w:val="24"/>
          <w:szCs w:val="24"/>
        </w:rPr>
        <w:t>исправе</w:t>
      </w:r>
      <w:r w:rsidR="00D71E74" w:rsidRPr="00831157">
        <w:rPr>
          <w:rFonts w:ascii="Times New Roman" w:hAnsi="Times New Roman"/>
          <w:sz w:val="24"/>
          <w:szCs w:val="24"/>
        </w:rPr>
        <w:t xml:space="preserve"> </w:t>
      </w:r>
      <w:r w:rsidRPr="00831157">
        <w:rPr>
          <w:rFonts w:ascii="Times New Roman" w:hAnsi="Times New Roman"/>
          <w:sz w:val="24"/>
          <w:szCs w:val="24"/>
        </w:rPr>
        <w:t>и</w:t>
      </w:r>
      <w:r w:rsidR="00D71E74" w:rsidRPr="00831157">
        <w:rPr>
          <w:rFonts w:ascii="Times New Roman" w:hAnsi="Times New Roman"/>
          <w:sz w:val="24"/>
          <w:szCs w:val="24"/>
        </w:rPr>
        <w:t xml:space="preserve"> </w:t>
      </w:r>
      <w:r w:rsidRPr="00831157">
        <w:rPr>
          <w:rFonts w:ascii="Times New Roman" w:hAnsi="Times New Roman"/>
          <w:sz w:val="24"/>
          <w:szCs w:val="24"/>
        </w:rPr>
        <w:t>сл</w:t>
      </w:r>
      <w:r w:rsidR="00D71E74" w:rsidRPr="00831157">
        <w:rPr>
          <w:rFonts w:ascii="Times New Roman" w:hAnsi="Times New Roman"/>
          <w:sz w:val="24"/>
          <w:szCs w:val="24"/>
        </w:rPr>
        <w:t xml:space="preserve">.), </w:t>
      </w:r>
      <w:r w:rsidRPr="00831157">
        <w:rPr>
          <w:rFonts w:ascii="Times New Roman" w:hAnsi="Times New Roman"/>
          <w:sz w:val="24"/>
          <w:szCs w:val="24"/>
        </w:rPr>
        <w:t>који</w:t>
      </w:r>
      <w:r w:rsidR="00D71E74" w:rsidRPr="00831157">
        <w:rPr>
          <w:rFonts w:ascii="Times New Roman" w:hAnsi="Times New Roman"/>
          <w:sz w:val="24"/>
          <w:szCs w:val="24"/>
        </w:rPr>
        <w:t xml:space="preserve"> </w:t>
      </w:r>
      <w:r w:rsidRPr="00831157">
        <w:rPr>
          <w:rFonts w:ascii="Times New Roman" w:hAnsi="Times New Roman"/>
          <w:sz w:val="24"/>
          <w:szCs w:val="24"/>
        </w:rPr>
        <w:t>су</w:t>
      </w:r>
      <w:r w:rsidR="00D71E74" w:rsidRPr="00831157">
        <w:rPr>
          <w:rFonts w:ascii="Times New Roman" w:hAnsi="Times New Roman"/>
          <w:sz w:val="24"/>
          <w:szCs w:val="24"/>
        </w:rPr>
        <w:t xml:space="preserve"> </w:t>
      </w:r>
      <w:r w:rsidRPr="00831157">
        <w:rPr>
          <w:rFonts w:ascii="Times New Roman" w:hAnsi="Times New Roman"/>
          <w:sz w:val="24"/>
          <w:szCs w:val="24"/>
        </w:rPr>
        <w:t>у</w:t>
      </w:r>
      <w:r w:rsidR="00D71E74" w:rsidRPr="00831157">
        <w:rPr>
          <w:rFonts w:ascii="Times New Roman" w:hAnsi="Times New Roman"/>
          <w:sz w:val="24"/>
          <w:szCs w:val="24"/>
        </w:rPr>
        <w:t xml:space="preserve"> </w:t>
      </w:r>
      <w:r w:rsidRPr="00831157">
        <w:rPr>
          <w:rFonts w:ascii="Times New Roman" w:hAnsi="Times New Roman"/>
          <w:sz w:val="24"/>
          <w:szCs w:val="24"/>
        </w:rPr>
        <w:t>непосредној</w:t>
      </w:r>
      <w:r w:rsidR="00D71E74" w:rsidRPr="00831157">
        <w:rPr>
          <w:rFonts w:ascii="Times New Roman" w:hAnsi="Times New Roman"/>
          <w:sz w:val="24"/>
          <w:szCs w:val="24"/>
        </w:rPr>
        <w:t xml:space="preserve"> </w:t>
      </w:r>
      <w:r w:rsidRPr="00831157">
        <w:rPr>
          <w:rFonts w:ascii="Times New Roman" w:hAnsi="Times New Roman"/>
          <w:sz w:val="24"/>
          <w:szCs w:val="24"/>
        </w:rPr>
        <w:t>вези</w:t>
      </w:r>
      <w:r w:rsidR="00D71E74" w:rsidRPr="00831157">
        <w:rPr>
          <w:rFonts w:ascii="Times New Roman" w:hAnsi="Times New Roman"/>
          <w:sz w:val="24"/>
          <w:szCs w:val="24"/>
        </w:rPr>
        <w:t xml:space="preserve"> </w:t>
      </w:r>
      <w:r w:rsidRPr="00831157">
        <w:rPr>
          <w:rFonts w:ascii="Times New Roman" w:hAnsi="Times New Roman"/>
          <w:sz w:val="24"/>
          <w:szCs w:val="24"/>
        </w:rPr>
        <w:t>са</w:t>
      </w:r>
      <w:r w:rsidR="00D71E74" w:rsidRPr="00831157">
        <w:rPr>
          <w:rFonts w:ascii="Times New Roman" w:hAnsi="Times New Roman"/>
          <w:sz w:val="24"/>
          <w:szCs w:val="24"/>
        </w:rPr>
        <w:t xml:space="preserve"> </w:t>
      </w:r>
      <w:r w:rsidRPr="00831157">
        <w:rPr>
          <w:rFonts w:ascii="Times New Roman" w:hAnsi="Times New Roman"/>
          <w:sz w:val="24"/>
          <w:szCs w:val="24"/>
        </w:rPr>
        <w:t>утврђивањем</w:t>
      </w:r>
      <w:r w:rsidR="00D71E74" w:rsidRPr="00831157">
        <w:rPr>
          <w:rFonts w:ascii="Times New Roman" w:hAnsi="Times New Roman"/>
          <w:sz w:val="24"/>
          <w:szCs w:val="24"/>
        </w:rPr>
        <w:t xml:space="preserve"> </w:t>
      </w:r>
      <w:r w:rsidRPr="00831157">
        <w:rPr>
          <w:rFonts w:ascii="Times New Roman" w:hAnsi="Times New Roman"/>
          <w:sz w:val="24"/>
          <w:szCs w:val="24"/>
        </w:rPr>
        <w:t>чињеничног</w:t>
      </w:r>
      <w:r w:rsidR="00D71E74" w:rsidRPr="00831157">
        <w:rPr>
          <w:rFonts w:ascii="Times New Roman" w:hAnsi="Times New Roman"/>
          <w:sz w:val="24"/>
          <w:szCs w:val="24"/>
        </w:rPr>
        <w:t xml:space="preserve"> </w:t>
      </w:r>
      <w:r w:rsidRPr="00831157">
        <w:rPr>
          <w:rFonts w:ascii="Times New Roman" w:hAnsi="Times New Roman"/>
          <w:sz w:val="24"/>
          <w:szCs w:val="24"/>
        </w:rPr>
        <w:t>стања</w:t>
      </w:r>
      <w:r w:rsidR="00D71E74" w:rsidRPr="00831157">
        <w:rPr>
          <w:rFonts w:ascii="Times New Roman" w:hAnsi="Times New Roman"/>
          <w:sz w:val="24"/>
          <w:szCs w:val="24"/>
        </w:rPr>
        <w:t xml:space="preserve"> </w:t>
      </w:r>
      <w:r w:rsidRPr="00831157">
        <w:rPr>
          <w:rFonts w:ascii="Times New Roman" w:hAnsi="Times New Roman"/>
          <w:sz w:val="24"/>
          <w:szCs w:val="24"/>
        </w:rPr>
        <w:t>у</w:t>
      </w:r>
      <w:r w:rsidR="00D71E74" w:rsidRPr="00831157">
        <w:rPr>
          <w:rFonts w:ascii="Times New Roman" w:hAnsi="Times New Roman"/>
          <w:sz w:val="24"/>
          <w:szCs w:val="24"/>
        </w:rPr>
        <w:t xml:space="preserve"> </w:t>
      </w:r>
      <w:r w:rsidRPr="00831157">
        <w:rPr>
          <w:rFonts w:ascii="Times New Roman" w:hAnsi="Times New Roman"/>
          <w:sz w:val="24"/>
          <w:szCs w:val="24"/>
        </w:rPr>
        <w:t>поступку</w:t>
      </w:r>
      <w:r w:rsidR="00D71E74" w:rsidRPr="00831157">
        <w:rPr>
          <w:rFonts w:ascii="Times New Roman" w:hAnsi="Times New Roman"/>
          <w:sz w:val="24"/>
          <w:szCs w:val="24"/>
        </w:rPr>
        <w:t xml:space="preserve"> </w:t>
      </w:r>
      <w:r w:rsidRPr="00831157">
        <w:rPr>
          <w:rFonts w:ascii="Times New Roman" w:hAnsi="Times New Roman"/>
          <w:sz w:val="24"/>
          <w:szCs w:val="24"/>
        </w:rPr>
        <w:t>инспекцијског</w:t>
      </w:r>
      <w:r w:rsidR="00D71E74" w:rsidRPr="00831157">
        <w:rPr>
          <w:rFonts w:ascii="Times New Roman" w:hAnsi="Times New Roman"/>
          <w:sz w:val="24"/>
          <w:szCs w:val="24"/>
        </w:rPr>
        <w:t xml:space="preserve"> </w:t>
      </w:r>
      <w:r w:rsidRPr="00831157">
        <w:rPr>
          <w:rFonts w:ascii="Times New Roman" w:hAnsi="Times New Roman"/>
          <w:sz w:val="24"/>
          <w:szCs w:val="24"/>
        </w:rPr>
        <w:t>надзора</w:t>
      </w:r>
      <w:r w:rsidR="00D71E74" w:rsidRPr="00831157">
        <w:rPr>
          <w:rFonts w:ascii="Times New Roman" w:hAnsi="Times New Roman"/>
          <w:sz w:val="24"/>
          <w:szCs w:val="24"/>
        </w:rPr>
        <w:t xml:space="preserve">, </w:t>
      </w:r>
      <w:r w:rsidRPr="00831157">
        <w:rPr>
          <w:rFonts w:ascii="Times New Roman" w:hAnsi="Times New Roman"/>
          <w:sz w:val="24"/>
          <w:szCs w:val="24"/>
        </w:rPr>
        <w:t>и</w:t>
      </w:r>
      <w:r w:rsidR="00D71E74" w:rsidRPr="00831157">
        <w:rPr>
          <w:rFonts w:ascii="Times New Roman" w:hAnsi="Times New Roman"/>
          <w:sz w:val="24"/>
          <w:szCs w:val="24"/>
        </w:rPr>
        <w:t xml:space="preserve"> </w:t>
      </w:r>
      <w:r w:rsidRPr="00831157">
        <w:rPr>
          <w:rFonts w:ascii="Times New Roman" w:hAnsi="Times New Roman"/>
          <w:sz w:val="24"/>
          <w:szCs w:val="24"/>
        </w:rPr>
        <w:t>то</w:t>
      </w:r>
      <w:r w:rsidR="00D71E74" w:rsidRPr="00831157">
        <w:rPr>
          <w:rFonts w:ascii="Times New Roman" w:hAnsi="Times New Roman"/>
          <w:sz w:val="24"/>
          <w:szCs w:val="24"/>
        </w:rPr>
        <w:t xml:space="preserve"> </w:t>
      </w:r>
      <w:r w:rsidRPr="00831157">
        <w:rPr>
          <w:rFonts w:ascii="Times New Roman" w:hAnsi="Times New Roman"/>
          <w:sz w:val="24"/>
          <w:szCs w:val="24"/>
        </w:rPr>
        <w:t>до</w:t>
      </w:r>
      <w:r w:rsidR="00D71E74" w:rsidRPr="00831157">
        <w:rPr>
          <w:rFonts w:ascii="Times New Roman" w:hAnsi="Times New Roman"/>
          <w:sz w:val="24"/>
          <w:szCs w:val="24"/>
        </w:rPr>
        <w:t xml:space="preserve"> </w:t>
      </w:r>
      <w:r w:rsidRPr="00831157">
        <w:rPr>
          <w:rFonts w:ascii="Times New Roman" w:hAnsi="Times New Roman"/>
          <w:sz w:val="24"/>
          <w:szCs w:val="24"/>
        </w:rPr>
        <w:t>извођења</w:t>
      </w:r>
      <w:r w:rsidR="00D71E74" w:rsidRPr="00831157">
        <w:rPr>
          <w:rFonts w:ascii="Times New Roman" w:hAnsi="Times New Roman"/>
          <w:sz w:val="24"/>
          <w:szCs w:val="24"/>
        </w:rPr>
        <w:t xml:space="preserve"> </w:t>
      </w:r>
      <w:r w:rsidRPr="00831157">
        <w:rPr>
          <w:rFonts w:ascii="Times New Roman" w:hAnsi="Times New Roman"/>
          <w:sz w:val="24"/>
          <w:szCs w:val="24"/>
        </w:rPr>
        <w:t>доказа</w:t>
      </w:r>
      <w:r w:rsidR="00D71E74" w:rsidRPr="00831157">
        <w:rPr>
          <w:rFonts w:ascii="Times New Roman" w:hAnsi="Times New Roman"/>
          <w:sz w:val="24"/>
          <w:szCs w:val="24"/>
        </w:rPr>
        <w:t xml:space="preserve"> </w:t>
      </w:r>
      <w:r w:rsidRPr="00831157">
        <w:rPr>
          <w:rFonts w:ascii="Times New Roman" w:hAnsi="Times New Roman"/>
          <w:sz w:val="24"/>
          <w:szCs w:val="24"/>
        </w:rPr>
        <w:t>на</w:t>
      </w:r>
      <w:r w:rsidR="00D71E74" w:rsidRPr="00831157">
        <w:rPr>
          <w:rFonts w:ascii="Times New Roman" w:hAnsi="Times New Roman"/>
          <w:sz w:val="24"/>
          <w:szCs w:val="24"/>
        </w:rPr>
        <w:t xml:space="preserve"> </w:t>
      </w:r>
      <w:r w:rsidRPr="00831157">
        <w:rPr>
          <w:rFonts w:ascii="Times New Roman" w:hAnsi="Times New Roman"/>
          <w:sz w:val="24"/>
          <w:szCs w:val="24"/>
        </w:rPr>
        <w:t>основу</w:t>
      </w:r>
      <w:r w:rsidR="00D71E74" w:rsidRPr="00831157">
        <w:rPr>
          <w:rFonts w:ascii="Times New Roman" w:hAnsi="Times New Roman"/>
          <w:sz w:val="24"/>
          <w:szCs w:val="24"/>
        </w:rPr>
        <w:t xml:space="preserve"> </w:t>
      </w:r>
      <w:r w:rsidRPr="00831157">
        <w:rPr>
          <w:rFonts w:ascii="Times New Roman" w:hAnsi="Times New Roman"/>
          <w:sz w:val="24"/>
          <w:szCs w:val="24"/>
        </w:rPr>
        <w:t>одузетог</w:t>
      </w:r>
      <w:r w:rsidR="00D71E74" w:rsidRPr="00831157">
        <w:rPr>
          <w:rFonts w:ascii="Times New Roman" w:hAnsi="Times New Roman"/>
          <w:sz w:val="24"/>
          <w:szCs w:val="24"/>
        </w:rPr>
        <w:t xml:space="preserve"> </w:t>
      </w:r>
      <w:r w:rsidRPr="00831157">
        <w:rPr>
          <w:rFonts w:ascii="Times New Roman" w:hAnsi="Times New Roman"/>
          <w:sz w:val="24"/>
          <w:szCs w:val="24"/>
        </w:rPr>
        <w:t>предмета</w:t>
      </w:r>
      <w:r w:rsidR="00D71E74" w:rsidRPr="00831157">
        <w:rPr>
          <w:rFonts w:ascii="Times New Roman" w:hAnsi="Times New Roman"/>
          <w:sz w:val="24"/>
          <w:szCs w:val="24"/>
        </w:rPr>
        <w:t xml:space="preserve">, </w:t>
      </w:r>
      <w:r w:rsidRPr="00831157">
        <w:rPr>
          <w:rFonts w:ascii="Times New Roman" w:hAnsi="Times New Roman"/>
          <w:sz w:val="24"/>
          <w:szCs w:val="24"/>
        </w:rPr>
        <w:t>а</w:t>
      </w:r>
      <w:r w:rsidR="00D71E74" w:rsidRPr="00831157">
        <w:rPr>
          <w:rFonts w:ascii="Times New Roman" w:hAnsi="Times New Roman"/>
          <w:sz w:val="24"/>
          <w:szCs w:val="24"/>
        </w:rPr>
        <w:t xml:space="preserve"> </w:t>
      </w:r>
      <w:r w:rsidRPr="00831157">
        <w:rPr>
          <w:rFonts w:ascii="Times New Roman" w:hAnsi="Times New Roman"/>
          <w:sz w:val="24"/>
          <w:szCs w:val="24"/>
        </w:rPr>
        <w:t>најдуже</w:t>
      </w:r>
      <w:r w:rsidR="00D71E74" w:rsidRPr="00831157">
        <w:rPr>
          <w:rFonts w:ascii="Times New Roman" w:hAnsi="Times New Roman"/>
          <w:sz w:val="24"/>
          <w:szCs w:val="24"/>
        </w:rPr>
        <w:t xml:space="preserve"> </w:t>
      </w:r>
      <w:r w:rsidRPr="00831157">
        <w:rPr>
          <w:rFonts w:ascii="Times New Roman" w:hAnsi="Times New Roman"/>
          <w:sz w:val="24"/>
          <w:szCs w:val="24"/>
        </w:rPr>
        <w:t>до</w:t>
      </w:r>
      <w:r w:rsidR="00D71E74" w:rsidRPr="00831157">
        <w:rPr>
          <w:rFonts w:ascii="Times New Roman" w:hAnsi="Times New Roman"/>
          <w:sz w:val="24"/>
          <w:szCs w:val="24"/>
        </w:rPr>
        <w:t xml:space="preserve"> </w:t>
      </w:r>
      <w:r w:rsidRPr="00831157">
        <w:rPr>
          <w:rFonts w:ascii="Times New Roman" w:hAnsi="Times New Roman"/>
          <w:sz w:val="24"/>
          <w:szCs w:val="24"/>
        </w:rPr>
        <w:t>окончања</w:t>
      </w:r>
      <w:r w:rsidR="00D71E74" w:rsidRPr="00831157">
        <w:rPr>
          <w:rFonts w:ascii="Times New Roman" w:hAnsi="Times New Roman"/>
          <w:sz w:val="24"/>
          <w:szCs w:val="24"/>
        </w:rPr>
        <w:t xml:space="preserve"> </w:t>
      </w:r>
      <w:r w:rsidRPr="00831157">
        <w:rPr>
          <w:rFonts w:ascii="Times New Roman" w:hAnsi="Times New Roman"/>
          <w:sz w:val="24"/>
          <w:szCs w:val="24"/>
        </w:rPr>
        <w:t>поступка</w:t>
      </w:r>
      <w:r w:rsidR="00D71E74" w:rsidRPr="00831157">
        <w:rPr>
          <w:rFonts w:ascii="Times New Roman" w:hAnsi="Times New Roman"/>
          <w:sz w:val="24"/>
          <w:szCs w:val="24"/>
        </w:rPr>
        <w:t>.</w:t>
      </w:r>
      <w:r w:rsidR="00B85448" w:rsidRPr="00831157">
        <w:rPr>
          <w:rFonts w:ascii="Times New Roman" w:hAnsi="Times New Roman"/>
          <w:sz w:val="24"/>
          <w:szCs w:val="24"/>
          <w:lang w:val="sr-Cyrl-CS"/>
        </w:rPr>
        <w:t xml:space="preserve"> </w:t>
      </w:r>
      <w:r w:rsidRPr="00831157">
        <w:rPr>
          <w:rFonts w:ascii="Times New Roman" w:hAnsi="Times New Roman"/>
          <w:sz w:val="24"/>
          <w:szCs w:val="24"/>
        </w:rPr>
        <w:t>Ако</w:t>
      </w:r>
      <w:r w:rsidR="00D71E74" w:rsidRPr="00831157">
        <w:rPr>
          <w:rFonts w:ascii="Times New Roman" w:hAnsi="Times New Roman"/>
          <w:sz w:val="24"/>
          <w:szCs w:val="24"/>
        </w:rPr>
        <w:t xml:space="preserve"> </w:t>
      </w:r>
      <w:r w:rsidRPr="00831157">
        <w:rPr>
          <w:rFonts w:ascii="Times New Roman" w:hAnsi="Times New Roman"/>
          <w:sz w:val="24"/>
          <w:szCs w:val="24"/>
        </w:rPr>
        <w:t>утврди</w:t>
      </w:r>
      <w:r w:rsidR="00D71E74" w:rsidRPr="00831157">
        <w:rPr>
          <w:rFonts w:ascii="Times New Roman" w:hAnsi="Times New Roman"/>
          <w:sz w:val="24"/>
          <w:szCs w:val="24"/>
        </w:rPr>
        <w:t xml:space="preserve"> </w:t>
      </w:r>
      <w:r w:rsidRPr="00831157">
        <w:rPr>
          <w:rFonts w:ascii="Times New Roman" w:hAnsi="Times New Roman"/>
          <w:sz w:val="24"/>
          <w:szCs w:val="24"/>
        </w:rPr>
        <w:t>повреду</w:t>
      </w:r>
      <w:r w:rsidR="00D71E74" w:rsidRPr="00831157">
        <w:rPr>
          <w:rFonts w:ascii="Times New Roman" w:hAnsi="Times New Roman"/>
          <w:sz w:val="24"/>
          <w:szCs w:val="24"/>
        </w:rPr>
        <w:t xml:space="preserve"> </w:t>
      </w:r>
      <w:r w:rsidRPr="00831157">
        <w:rPr>
          <w:rFonts w:ascii="Times New Roman" w:hAnsi="Times New Roman"/>
          <w:sz w:val="24"/>
          <w:szCs w:val="24"/>
        </w:rPr>
        <w:t>закона</w:t>
      </w:r>
      <w:r w:rsidR="00D71E74" w:rsidRPr="00831157">
        <w:rPr>
          <w:rFonts w:ascii="Times New Roman" w:hAnsi="Times New Roman"/>
          <w:sz w:val="24"/>
          <w:szCs w:val="24"/>
        </w:rPr>
        <w:t xml:space="preserve">, </w:t>
      </w:r>
      <w:r w:rsidRPr="00831157">
        <w:rPr>
          <w:rFonts w:ascii="Times New Roman" w:hAnsi="Times New Roman"/>
          <w:sz w:val="24"/>
          <w:szCs w:val="24"/>
        </w:rPr>
        <w:t>тржишни</w:t>
      </w:r>
      <w:r w:rsidR="00D71E74" w:rsidRPr="00831157">
        <w:rPr>
          <w:rFonts w:ascii="Times New Roman" w:hAnsi="Times New Roman"/>
          <w:sz w:val="24"/>
          <w:szCs w:val="24"/>
        </w:rPr>
        <w:t xml:space="preserve"> </w:t>
      </w:r>
      <w:r w:rsidRPr="00831157">
        <w:rPr>
          <w:rFonts w:ascii="Times New Roman" w:hAnsi="Times New Roman"/>
          <w:sz w:val="24"/>
          <w:szCs w:val="24"/>
        </w:rPr>
        <w:t>инспектор</w:t>
      </w:r>
      <w:r w:rsidR="00D71E74" w:rsidRPr="00831157">
        <w:rPr>
          <w:rFonts w:ascii="Times New Roman" w:hAnsi="Times New Roman"/>
          <w:sz w:val="24"/>
          <w:szCs w:val="24"/>
        </w:rPr>
        <w:t xml:space="preserve"> </w:t>
      </w:r>
      <w:r w:rsidRPr="00831157">
        <w:rPr>
          <w:rFonts w:ascii="Times New Roman" w:hAnsi="Times New Roman"/>
          <w:sz w:val="24"/>
          <w:szCs w:val="24"/>
        </w:rPr>
        <w:t>ће</w:t>
      </w:r>
      <w:r w:rsidR="00D71E74" w:rsidRPr="00831157">
        <w:rPr>
          <w:rFonts w:ascii="Times New Roman" w:hAnsi="Times New Roman"/>
          <w:sz w:val="24"/>
          <w:szCs w:val="24"/>
        </w:rPr>
        <w:t xml:space="preserve"> </w:t>
      </w:r>
      <w:r w:rsidRPr="00831157">
        <w:rPr>
          <w:rFonts w:ascii="Times New Roman" w:hAnsi="Times New Roman"/>
          <w:sz w:val="24"/>
          <w:szCs w:val="24"/>
        </w:rPr>
        <w:t>донети</w:t>
      </w:r>
      <w:r w:rsidR="00D71E74" w:rsidRPr="00831157">
        <w:rPr>
          <w:rFonts w:ascii="Times New Roman" w:hAnsi="Times New Roman"/>
          <w:sz w:val="24"/>
          <w:szCs w:val="24"/>
        </w:rPr>
        <w:t xml:space="preserve"> </w:t>
      </w:r>
      <w:r w:rsidRPr="00831157">
        <w:rPr>
          <w:rFonts w:ascii="Times New Roman" w:hAnsi="Times New Roman"/>
          <w:sz w:val="24"/>
          <w:szCs w:val="24"/>
        </w:rPr>
        <w:t>и</w:t>
      </w:r>
      <w:r w:rsidR="00D71E74" w:rsidRPr="00831157">
        <w:rPr>
          <w:rFonts w:ascii="Times New Roman" w:hAnsi="Times New Roman"/>
          <w:sz w:val="24"/>
          <w:szCs w:val="24"/>
        </w:rPr>
        <w:t xml:space="preserve"> </w:t>
      </w:r>
      <w:r w:rsidRPr="00831157">
        <w:rPr>
          <w:rFonts w:ascii="Times New Roman" w:hAnsi="Times New Roman"/>
          <w:sz w:val="24"/>
          <w:szCs w:val="24"/>
        </w:rPr>
        <w:t>доставити</w:t>
      </w:r>
      <w:r w:rsidR="00D71E74" w:rsidRPr="00831157">
        <w:rPr>
          <w:rFonts w:ascii="Times New Roman" w:hAnsi="Times New Roman"/>
          <w:sz w:val="24"/>
          <w:szCs w:val="24"/>
        </w:rPr>
        <w:t xml:space="preserve"> </w:t>
      </w:r>
      <w:r w:rsidRPr="00831157">
        <w:rPr>
          <w:rFonts w:ascii="Times New Roman" w:hAnsi="Times New Roman"/>
          <w:sz w:val="24"/>
          <w:szCs w:val="24"/>
        </w:rPr>
        <w:t>решење</w:t>
      </w:r>
      <w:r w:rsidR="00D71E74" w:rsidRPr="00831157">
        <w:rPr>
          <w:rFonts w:ascii="Times New Roman" w:hAnsi="Times New Roman"/>
          <w:sz w:val="24"/>
          <w:szCs w:val="24"/>
        </w:rPr>
        <w:t xml:space="preserve"> </w:t>
      </w:r>
      <w:r w:rsidRPr="00831157">
        <w:rPr>
          <w:rFonts w:ascii="Times New Roman" w:hAnsi="Times New Roman"/>
          <w:sz w:val="24"/>
          <w:szCs w:val="24"/>
        </w:rPr>
        <w:t>у</w:t>
      </w:r>
      <w:r w:rsidR="00D71E74" w:rsidRPr="00831157">
        <w:rPr>
          <w:rFonts w:ascii="Times New Roman" w:hAnsi="Times New Roman"/>
          <w:sz w:val="24"/>
          <w:szCs w:val="24"/>
        </w:rPr>
        <w:t xml:space="preserve"> </w:t>
      </w:r>
      <w:r w:rsidRPr="00831157">
        <w:rPr>
          <w:rFonts w:ascii="Times New Roman" w:hAnsi="Times New Roman"/>
          <w:sz w:val="24"/>
          <w:szCs w:val="24"/>
        </w:rPr>
        <w:t>складу</w:t>
      </w:r>
      <w:r w:rsidR="00D71E74" w:rsidRPr="00831157">
        <w:rPr>
          <w:rFonts w:ascii="Times New Roman" w:hAnsi="Times New Roman"/>
          <w:sz w:val="24"/>
          <w:szCs w:val="24"/>
        </w:rPr>
        <w:t xml:space="preserve"> </w:t>
      </w:r>
      <w:r w:rsidRPr="00831157">
        <w:rPr>
          <w:rFonts w:ascii="Times New Roman" w:hAnsi="Times New Roman"/>
          <w:sz w:val="24"/>
          <w:szCs w:val="24"/>
        </w:rPr>
        <w:t>са</w:t>
      </w:r>
      <w:r w:rsidR="00D71E74" w:rsidRPr="00831157">
        <w:rPr>
          <w:rFonts w:ascii="Times New Roman" w:hAnsi="Times New Roman"/>
          <w:sz w:val="24"/>
          <w:szCs w:val="24"/>
        </w:rPr>
        <w:t xml:space="preserve"> </w:t>
      </w:r>
      <w:r w:rsidRPr="00831157">
        <w:rPr>
          <w:rFonts w:ascii="Times New Roman" w:hAnsi="Times New Roman"/>
          <w:sz w:val="24"/>
          <w:szCs w:val="24"/>
        </w:rPr>
        <w:t>својим</w:t>
      </w:r>
      <w:r w:rsidR="00D71E74" w:rsidRPr="00831157">
        <w:rPr>
          <w:rFonts w:ascii="Times New Roman" w:hAnsi="Times New Roman"/>
          <w:sz w:val="24"/>
          <w:szCs w:val="24"/>
        </w:rPr>
        <w:t xml:space="preserve"> </w:t>
      </w:r>
      <w:r w:rsidRPr="00831157">
        <w:rPr>
          <w:rFonts w:ascii="Times New Roman" w:hAnsi="Times New Roman"/>
          <w:sz w:val="24"/>
          <w:szCs w:val="24"/>
        </w:rPr>
        <w:t>овлашћењем</w:t>
      </w:r>
      <w:r w:rsidR="00D71E74" w:rsidRPr="00831157">
        <w:rPr>
          <w:rFonts w:ascii="Times New Roman" w:hAnsi="Times New Roman"/>
          <w:sz w:val="24"/>
          <w:szCs w:val="24"/>
        </w:rPr>
        <w:t xml:space="preserve">, </w:t>
      </w:r>
      <w:r w:rsidRPr="00831157">
        <w:rPr>
          <w:rFonts w:ascii="Times New Roman" w:hAnsi="Times New Roman"/>
          <w:sz w:val="24"/>
          <w:szCs w:val="24"/>
        </w:rPr>
        <w:t>у</w:t>
      </w:r>
      <w:r w:rsidR="00D71E74" w:rsidRPr="00831157">
        <w:rPr>
          <w:rFonts w:ascii="Times New Roman" w:hAnsi="Times New Roman"/>
          <w:sz w:val="24"/>
          <w:szCs w:val="24"/>
        </w:rPr>
        <w:t xml:space="preserve"> </w:t>
      </w:r>
      <w:r w:rsidRPr="00831157">
        <w:rPr>
          <w:rFonts w:ascii="Times New Roman" w:hAnsi="Times New Roman"/>
          <w:sz w:val="24"/>
          <w:szCs w:val="24"/>
        </w:rPr>
        <w:t>року</w:t>
      </w:r>
      <w:r w:rsidR="00D71E74" w:rsidRPr="00831157">
        <w:rPr>
          <w:rFonts w:ascii="Times New Roman" w:hAnsi="Times New Roman"/>
          <w:sz w:val="24"/>
          <w:szCs w:val="24"/>
        </w:rPr>
        <w:t xml:space="preserve"> </w:t>
      </w:r>
      <w:r w:rsidRPr="00831157">
        <w:rPr>
          <w:rFonts w:ascii="Times New Roman" w:hAnsi="Times New Roman"/>
          <w:sz w:val="24"/>
          <w:szCs w:val="24"/>
        </w:rPr>
        <w:t>од</w:t>
      </w:r>
      <w:r w:rsidR="00D71E74" w:rsidRPr="00831157">
        <w:rPr>
          <w:rFonts w:ascii="Times New Roman" w:hAnsi="Times New Roman"/>
          <w:sz w:val="24"/>
          <w:szCs w:val="24"/>
        </w:rPr>
        <w:t xml:space="preserve"> </w:t>
      </w:r>
      <w:r w:rsidRPr="00831157">
        <w:rPr>
          <w:rFonts w:ascii="Times New Roman" w:hAnsi="Times New Roman"/>
          <w:sz w:val="24"/>
          <w:szCs w:val="24"/>
        </w:rPr>
        <w:t>пет</w:t>
      </w:r>
      <w:r w:rsidR="00D71E74" w:rsidRPr="00831157">
        <w:rPr>
          <w:rFonts w:ascii="Times New Roman" w:hAnsi="Times New Roman"/>
          <w:sz w:val="24"/>
          <w:szCs w:val="24"/>
        </w:rPr>
        <w:t xml:space="preserve"> </w:t>
      </w:r>
      <w:r w:rsidRPr="00831157">
        <w:rPr>
          <w:rFonts w:ascii="Times New Roman" w:hAnsi="Times New Roman"/>
          <w:sz w:val="24"/>
          <w:szCs w:val="24"/>
        </w:rPr>
        <w:t>дана</w:t>
      </w:r>
      <w:r w:rsidR="00D71E74" w:rsidRPr="00831157">
        <w:rPr>
          <w:rFonts w:ascii="Times New Roman" w:hAnsi="Times New Roman"/>
          <w:sz w:val="24"/>
          <w:szCs w:val="24"/>
        </w:rPr>
        <w:t xml:space="preserve"> </w:t>
      </w:r>
      <w:r w:rsidRPr="00831157">
        <w:rPr>
          <w:rFonts w:ascii="Times New Roman" w:hAnsi="Times New Roman"/>
          <w:sz w:val="24"/>
          <w:szCs w:val="24"/>
        </w:rPr>
        <w:t>од</w:t>
      </w:r>
      <w:r w:rsidR="00D71E74" w:rsidRPr="00831157">
        <w:rPr>
          <w:rFonts w:ascii="Times New Roman" w:hAnsi="Times New Roman"/>
          <w:sz w:val="24"/>
          <w:szCs w:val="24"/>
        </w:rPr>
        <w:t xml:space="preserve"> </w:t>
      </w:r>
      <w:r w:rsidRPr="00831157">
        <w:rPr>
          <w:rFonts w:ascii="Times New Roman" w:hAnsi="Times New Roman"/>
          <w:sz w:val="24"/>
          <w:szCs w:val="24"/>
        </w:rPr>
        <w:t>дана</w:t>
      </w:r>
      <w:r w:rsidR="00D71E74" w:rsidRPr="00831157">
        <w:rPr>
          <w:rFonts w:ascii="Times New Roman" w:hAnsi="Times New Roman"/>
          <w:sz w:val="24"/>
          <w:szCs w:val="24"/>
        </w:rPr>
        <w:t xml:space="preserve"> </w:t>
      </w:r>
      <w:r w:rsidRPr="00831157">
        <w:rPr>
          <w:rFonts w:ascii="Times New Roman" w:hAnsi="Times New Roman"/>
          <w:sz w:val="24"/>
          <w:szCs w:val="24"/>
        </w:rPr>
        <w:t>издавања</w:t>
      </w:r>
      <w:r w:rsidR="00D71E74" w:rsidRPr="00831157">
        <w:rPr>
          <w:rFonts w:ascii="Times New Roman" w:hAnsi="Times New Roman"/>
          <w:sz w:val="24"/>
          <w:szCs w:val="24"/>
        </w:rPr>
        <w:t xml:space="preserve"> </w:t>
      </w:r>
      <w:r w:rsidRPr="00831157">
        <w:rPr>
          <w:rFonts w:ascii="Times New Roman" w:hAnsi="Times New Roman"/>
          <w:sz w:val="24"/>
          <w:szCs w:val="24"/>
        </w:rPr>
        <w:t>записника</w:t>
      </w:r>
      <w:r w:rsidR="00D71E74" w:rsidRPr="00831157">
        <w:rPr>
          <w:rFonts w:ascii="Times New Roman" w:hAnsi="Times New Roman"/>
          <w:sz w:val="24"/>
          <w:szCs w:val="24"/>
        </w:rPr>
        <w:t>.</w:t>
      </w:r>
      <w:r w:rsidR="00B85448" w:rsidRPr="00831157">
        <w:rPr>
          <w:rFonts w:ascii="Times New Roman" w:hAnsi="Times New Roman"/>
          <w:sz w:val="24"/>
          <w:szCs w:val="24"/>
          <w:lang w:val="sr-Cyrl-CS"/>
        </w:rPr>
        <w:t xml:space="preserve"> </w:t>
      </w:r>
      <w:r w:rsidRPr="00831157">
        <w:rPr>
          <w:rFonts w:ascii="Times New Roman" w:hAnsi="Times New Roman"/>
          <w:sz w:val="24"/>
          <w:szCs w:val="24"/>
        </w:rPr>
        <w:t>Против</w:t>
      </w:r>
      <w:r w:rsidR="00D71E74" w:rsidRPr="00831157">
        <w:rPr>
          <w:rFonts w:ascii="Times New Roman" w:hAnsi="Times New Roman"/>
          <w:sz w:val="24"/>
          <w:szCs w:val="24"/>
        </w:rPr>
        <w:t xml:space="preserve"> </w:t>
      </w:r>
      <w:r w:rsidRPr="00831157">
        <w:rPr>
          <w:rFonts w:ascii="Times New Roman" w:hAnsi="Times New Roman"/>
          <w:sz w:val="24"/>
          <w:szCs w:val="24"/>
        </w:rPr>
        <w:lastRenderedPageBreak/>
        <w:t>решења</w:t>
      </w:r>
      <w:r w:rsidR="00D71E74" w:rsidRPr="00831157">
        <w:rPr>
          <w:rFonts w:ascii="Times New Roman" w:hAnsi="Times New Roman"/>
          <w:sz w:val="24"/>
          <w:szCs w:val="24"/>
        </w:rPr>
        <w:t xml:space="preserve"> </w:t>
      </w:r>
      <w:r w:rsidRPr="00831157">
        <w:rPr>
          <w:rFonts w:ascii="Times New Roman" w:hAnsi="Times New Roman"/>
          <w:sz w:val="24"/>
          <w:szCs w:val="24"/>
        </w:rPr>
        <w:t>тржишног</w:t>
      </w:r>
      <w:r w:rsidR="00D71E74" w:rsidRPr="00831157">
        <w:rPr>
          <w:rFonts w:ascii="Times New Roman" w:hAnsi="Times New Roman"/>
          <w:sz w:val="24"/>
          <w:szCs w:val="24"/>
        </w:rPr>
        <w:t xml:space="preserve"> </w:t>
      </w:r>
      <w:r w:rsidRPr="00831157">
        <w:rPr>
          <w:rFonts w:ascii="Times New Roman" w:hAnsi="Times New Roman"/>
          <w:sz w:val="24"/>
          <w:szCs w:val="24"/>
        </w:rPr>
        <w:t>инспектора</w:t>
      </w:r>
      <w:r w:rsidR="00D71E74" w:rsidRPr="00831157">
        <w:rPr>
          <w:rFonts w:ascii="Times New Roman" w:hAnsi="Times New Roman"/>
          <w:sz w:val="24"/>
          <w:szCs w:val="24"/>
        </w:rPr>
        <w:t xml:space="preserve">, </w:t>
      </w:r>
      <w:r w:rsidRPr="00831157">
        <w:rPr>
          <w:rFonts w:ascii="Times New Roman" w:hAnsi="Times New Roman"/>
          <w:sz w:val="24"/>
          <w:szCs w:val="24"/>
        </w:rPr>
        <w:t>односно</w:t>
      </w:r>
      <w:r w:rsidR="00D71E74" w:rsidRPr="00831157">
        <w:rPr>
          <w:rFonts w:ascii="Times New Roman" w:hAnsi="Times New Roman"/>
          <w:sz w:val="24"/>
          <w:szCs w:val="24"/>
        </w:rPr>
        <w:t xml:space="preserve"> </w:t>
      </w:r>
      <w:r w:rsidRPr="00831157">
        <w:rPr>
          <w:rFonts w:ascii="Times New Roman" w:hAnsi="Times New Roman"/>
          <w:sz w:val="24"/>
          <w:szCs w:val="24"/>
        </w:rPr>
        <w:t>комуналног</w:t>
      </w:r>
      <w:r w:rsidR="00D71E74" w:rsidRPr="00831157">
        <w:rPr>
          <w:rFonts w:ascii="Times New Roman" w:hAnsi="Times New Roman"/>
          <w:sz w:val="24"/>
          <w:szCs w:val="24"/>
        </w:rPr>
        <w:t xml:space="preserve"> </w:t>
      </w:r>
      <w:r w:rsidRPr="00831157">
        <w:rPr>
          <w:rFonts w:ascii="Times New Roman" w:hAnsi="Times New Roman"/>
          <w:sz w:val="24"/>
          <w:szCs w:val="24"/>
        </w:rPr>
        <w:t>инспектора</w:t>
      </w:r>
      <w:r w:rsidR="00D71E74" w:rsidRPr="00831157">
        <w:rPr>
          <w:rFonts w:ascii="Times New Roman" w:hAnsi="Times New Roman"/>
          <w:sz w:val="24"/>
          <w:szCs w:val="24"/>
        </w:rPr>
        <w:t xml:space="preserve">, </w:t>
      </w:r>
      <w:r w:rsidRPr="00831157">
        <w:rPr>
          <w:rFonts w:ascii="Times New Roman" w:hAnsi="Times New Roman"/>
          <w:sz w:val="24"/>
          <w:szCs w:val="24"/>
        </w:rPr>
        <w:t>допуштена</w:t>
      </w:r>
      <w:r w:rsidR="00D71E74" w:rsidRPr="00831157">
        <w:rPr>
          <w:rFonts w:ascii="Times New Roman" w:hAnsi="Times New Roman"/>
          <w:sz w:val="24"/>
          <w:szCs w:val="24"/>
        </w:rPr>
        <w:t xml:space="preserve"> </w:t>
      </w:r>
      <w:r w:rsidRPr="00831157">
        <w:rPr>
          <w:rFonts w:ascii="Times New Roman" w:hAnsi="Times New Roman"/>
          <w:sz w:val="24"/>
          <w:szCs w:val="24"/>
        </w:rPr>
        <w:t>је</w:t>
      </w:r>
      <w:r w:rsidR="00D71E74" w:rsidRPr="00831157">
        <w:rPr>
          <w:rFonts w:ascii="Times New Roman" w:hAnsi="Times New Roman"/>
          <w:sz w:val="24"/>
          <w:szCs w:val="24"/>
        </w:rPr>
        <w:t xml:space="preserve"> </w:t>
      </w:r>
      <w:r w:rsidRPr="00831157">
        <w:rPr>
          <w:rFonts w:ascii="Times New Roman" w:hAnsi="Times New Roman"/>
          <w:sz w:val="24"/>
          <w:szCs w:val="24"/>
        </w:rPr>
        <w:t>жалба</w:t>
      </w:r>
      <w:r w:rsidR="00D71E74" w:rsidRPr="00831157">
        <w:rPr>
          <w:rFonts w:ascii="Times New Roman" w:hAnsi="Times New Roman"/>
          <w:sz w:val="24"/>
          <w:szCs w:val="24"/>
        </w:rPr>
        <w:t xml:space="preserve"> </w:t>
      </w:r>
      <w:r w:rsidRPr="00831157">
        <w:rPr>
          <w:rFonts w:ascii="Times New Roman" w:hAnsi="Times New Roman"/>
          <w:sz w:val="24"/>
          <w:szCs w:val="24"/>
        </w:rPr>
        <w:t>министру</w:t>
      </w:r>
      <w:r w:rsidR="00D71E74" w:rsidRPr="00831157">
        <w:rPr>
          <w:rFonts w:ascii="Times New Roman" w:hAnsi="Times New Roman"/>
          <w:sz w:val="24"/>
          <w:szCs w:val="24"/>
        </w:rPr>
        <w:t xml:space="preserve"> </w:t>
      </w:r>
      <w:r w:rsidRPr="00831157">
        <w:rPr>
          <w:rFonts w:ascii="Times New Roman" w:hAnsi="Times New Roman"/>
          <w:sz w:val="24"/>
          <w:szCs w:val="24"/>
        </w:rPr>
        <w:t>у</w:t>
      </w:r>
      <w:r w:rsidR="00D71E74" w:rsidRPr="00831157">
        <w:rPr>
          <w:rFonts w:ascii="Times New Roman" w:hAnsi="Times New Roman"/>
          <w:sz w:val="24"/>
          <w:szCs w:val="24"/>
        </w:rPr>
        <w:t xml:space="preserve"> </w:t>
      </w:r>
      <w:r w:rsidRPr="00831157">
        <w:rPr>
          <w:rFonts w:ascii="Times New Roman" w:hAnsi="Times New Roman"/>
          <w:sz w:val="24"/>
          <w:szCs w:val="24"/>
        </w:rPr>
        <w:t>року</w:t>
      </w:r>
      <w:r w:rsidR="00D71E74" w:rsidRPr="00831157">
        <w:rPr>
          <w:rFonts w:ascii="Times New Roman" w:hAnsi="Times New Roman"/>
          <w:sz w:val="24"/>
          <w:szCs w:val="24"/>
        </w:rPr>
        <w:t xml:space="preserve"> </w:t>
      </w:r>
      <w:r w:rsidRPr="00831157">
        <w:rPr>
          <w:rFonts w:ascii="Times New Roman" w:hAnsi="Times New Roman"/>
          <w:sz w:val="24"/>
          <w:szCs w:val="24"/>
        </w:rPr>
        <w:t>од</w:t>
      </w:r>
      <w:r w:rsidR="00D71E74" w:rsidRPr="00831157">
        <w:rPr>
          <w:rFonts w:ascii="Times New Roman" w:hAnsi="Times New Roman"/>
          <w:sz w:val="24"/>
          <w:szCs w:val="24"/>
        </w:rPr>
        <w:t xml:space="preserve"> </w:t>
      </w:r>
      <w:r w:rsidRPr="00831157">
        <w:rPr>
          <w:rFonts w:ascii="Times New Roman" w:hAnsi="Times New Roman"/>
          <w:sz w:val="24"/>
          <w:szCs w:val="24"/>
        </w:rPr>
        <w:t>осам</w:t>
      </w:r>
      <w:r w:rsidR="00D71E74" w:rsidRPr="00831157">
        <w:rPr>
          <w:rFonts w:ascii="Times New Roman" w:hAnsi="Times New Roman"/>
          <w:sz w:val="24"/>
          <w:szCs w:val="24"/>
        </w:rPr>
        <w:t xml:space="preserve"> </w:t>
      </w:r>
      <w:r w:rsidRPr="00831157">
        <w:rPr>
          <w:rFonts w:ascii="Times New Roman" w:hAnsi="Times New Roman"/>
          <w:sz w:val="24"/>
          <w:szCs w:val="24"/>
        </w:rPr>
        <w:t>дана</w:t>
      </w:r>
      <w:r w:rsidR="00D71E74" w:rsidRPr="00831157">
        <w:rPr>
          <w:rFonts w:ascii="Times New Roman" w:hAnsi="Times New Roman"/>
          <w:sz w:val="24"/>
          <w:szCs w:val="24"/>
        </w:rPr>
        <w:t xml:space="preserve"> </w:t>
      </w:r>
      <w:r w:rsidRPr="00831157">
        <w:rPr>
          <w:rFonts w:ascii="Times New Roman" w:hAnsi="Times New Roman"/>
          <w:sz w:val="24"/>
          <w:szCs w:val="24"/>
        </w:rPr>
        <w:t>од</w:t>
      </w:r>
      <w:r w:rsidR="00D71E74" w:rsidRPr="00831157">
        <w:rPr>
          <w:rFonts w:ascii="Times New Roman" w:hAnsi="Times New Roman"/>
          <w:sz w:val="24"/>
          <w:szCs w:val="24"/>
        </w:rPr>
        <w:t xml:space="preserve"> </w:t>
      </w:r>
      <w:r w:rsidRPr="00831157">
        <w:rPr>
          <w:rFonts w:ascii="Times New Roman" w:hAnsi="Times New Roman"/>
          <w:sz w:val="24"/>
          <w:szCs w:val="24"/>
        </w:rPr>
        <w:t>дана</w:t>
      </w:r>
      <w:r w:rsidR="00D71E74" w:rsidRPr="00831157">
        <w:rPr>
          <w:rFonts w:ascii="Times New Roman" w:hAnsi="Times New Roman"/>
          <w:sz w:val="24"/>
          <w:szCs w:val="24"/>
        </w:rPr>
        <w:t xml:space="preserve"> </w:t>
      </w:r>
      <w:r w:rsidRPr="00831157">
        <w:rPr>
          <w:rFonts w:ascii="Times New Roman" w:hAnsi="Times New Roman"/>
          <w:sz w:val="24"/>
          <w:szCs w:val="24"/>
        </w:rPr>
        <w:t>пријема</w:t>
      </w:r>
      <w:r w:rsidR="00D71E74" w:rsidRPr="00831157">
        <w:rPr>
          <w:rFonts w:ascii="Times New Roman" w:hAnsi="Times New Roman"/>
          <w:sz w:val="24"/>
          <w:szCs w:val="24"/>
        </w:rPr>
        <w:t>.</w:t>
      </w:r>
      <w:r w:rsidR="00B85448" w:rsidRPr="00831157">
        <w:rPr>
          <w:rFonts w:ascii="Times New Roman" w:hAnsi="Times New Roman"/>
          <w:sz w:val="24"/>
          <w:szCs w:val="24"/>
          <w:lang w:val="sr-Cyrl-CS"/>
        </w:rPr>
        <w:t xml:space="preserve"> </w:t>
      </w:r>
      <w:r w:rsidRPr="00831157">
        <w:rPr>
          <w:rFonts w:ascii="Times New Roman" w:hAnsi="Times New Roman"/>
          <w:sz w:val="24"/>
          <w:szCs w:val="24"/>
        </w:rPr>
        <w:t>Решење</w:t>
      </w:r>
      <w:r w:rsidR="00D71E74" w:rsidRPr="00831157">
        <w:rPr>
          <w:rFonts w:ascii="Times New Roman" w:hAnsi="Times New Roman"/>
          <w:sz w:val="24"/>
          <w:szCs w:val="24"/>
        </w:rPr>
        <w:t xml:space="preserve"> </w:t>
      </w:r>
      <w:r w:rsidRPr="00831157">
        <w:rPr>
          <w:rFonts w:ascii="Times New Roman" w:hAnsi="Times New Roman"/>
          <w:sz w:val="24"/>
          <w:szCs w:val="24"/>
        </w:rPr>
        <w:t>министра</w:t>
      </w:r>
      <w:r w:rsidR="00D71E74" w:rsidRPr="00831157">
        <w:rPr>
          <w:rFonts w:ascii="Times New Roman" w:hAnsi="Times New Roman"/>
          <w:sz w:val="24"/>
          <w:szCs w:val="24"/>
        </w:rPr>
        <w:t xml:space="preserve"> </w:t>
      </w:r>
      <w:r w:rsidRPr="00831157">
        <w:rPr>
          <w:rFonts w:ascii="Times New Roman" w:hAnsi="Times New Roman"/>
          <w:sz w:val="24"/>
          <w:szCs w:val="24"/>
        </w:rPr>
        <w:t>је</w:t>
      </w:r>
      <w:r w:rsidR="00D71E74" w:rsidRPr="00831157">
        <w:rPr>
          <w:rFonts w:ascii="Times New Roman" w:hAnsi="Times New Roman"/>
          <w:sz w:val="24"/>
          <w:szCs w:val="24"/>
        </w:rPr>
        <w:t xml:space="preserve"> </w:t>
      </w:r>
      <w:r w:rsidRPr="00831157">
        <w:rPr>
          <w:rFonts w:ascii="Times New Roman" w:hAnsi="Times New Roman"/>
          <w:sz w:val="24"/>
          <w:szCs w:val="24"/>
        </w:rPr>
        <w:t>коначно</w:t>
      </w:r>
      <w:r w:rsidR="00D71E74" w:rsidRPr="00831157">
        <w:rPr>
          <w:rFonts w:ascii="Times New Roman" w:hAnsi="Times New Roman"/>
          <w:sz w:val="24"/>
          <w:szCs w:val="24"/>
        </w:rPr>
        <w:t xml:space="preserve"> </w:t>
      </w:r>
      <w:r w:rsidRPr="00831157">
        <w:rPr>
          <w:rFonts w:ascii="Times New Roman" w:hAnsi="Times New Roman"/>
          <w:sz w:val="24"/>
          <w:szCs w:val="24"/>
        </w:rPr>
        <w:t>у</w:t>
      </w:r>
      <w:r w:rsidR="00D71E74" w:rsidRPr="00831157">
        <w:rPr>
          <w:rFonts w:ascii="Times New Roman" w:hAnsi="Times New Roman"/>
          <w:sz w:val="24"/>
          <w:szCs w:val="24"/>
        </w:rPr>
        <w:t xml:space="preserve"> </w:t>
      </w:r>
      <w:r w:rsidRPr="00831157">
        <w:rPr>
          <w:rFonts w:ascii="Times New Roman" w:hAnsi="Times New Roman"/>
          <w:sz w:val="24"/>
          <w:szCs w:val="24"/>
        </w:rPr>
        <w:t>управном</w:t>
      </w:r>
      <w:r w:rsidR="00D71E74" w:rsidRPr="00831157">
        <w:rPr>
          <w:rFonts w:ascii="Times New Roman" w:hAnsi="Times New Roman"/>
          <w:sz w:val="24"/>
          <w:szCs w:val="24"/>
        </w:rPr>
        <w:t xml:space="preserve"> </w:t>
      </w:r>
      <w:r w:rsidRPr="00831157">
        <w:rPr>
          <w:rFonts w:ascii="Times New Roman" w:hAnsi="Times New Roman"/>
          <w:sz w:val="24"/>
          <w:szCs w:val="24"/>
        </w:rPr>
        <w:t>поступку</w:t>
      </w:r>
      <w:r w:rsidR="00D71E74" w:rsidRPr="00831157">
        <w:rPr>
          <w:rFonts w:ascii="Times New Roman" w:hAnsi="Times New Roman"/>
          <w:sz w:val="24"/>
          <w:szCs w:val="24"/>
        </w:rPr>
        <w:t xml:space="preserve">, </w:t>
      </w:r>
      <w:r w:rsidRPr="00831157">
        <w:rPr>
          <w:rFonts w:ascii="Times New Roman" w:hAnsi="Times New Roman"/>
          <w:sz w:val="24"/>
          <w:szCs w:val="24"/>
        </w:rPr>
        <w:t>и</w:t>
      </w:r>
      <w:r w:rsidR="00D71E74" w:rsidRPr="00831157">
        <w:rPr>
          <w:rFonts w:ascii="Times New Roman" w:hAnsi="Times New Roman"/>
          <w:sz w:val="24"/>
          <w:szCs w:val="24"/>
        </w:rPr>
        <w:t xml:space="preserve"> </w:t>
      </w:r>
      <w:r w:rsidRPr="00831157">
        <w:rPr>
          <w:rFonts w:ascii="Times New Roman" w:hAnsi="Times New Roman"/>
          <w:sz w:val="24"/>
          <w:szCs w:val="24"/>
        </w:rPr>
        <w:t>против</w:t>
      </w:r>
      <w:r w:rsidR="00D71E74" w:rsidRPr="00831157">
        <w:rPr>
          <w:rFonts w:ascii="Times New Roman" w:hAnsi="Times New Roman"/>
          <w:sz w:val="24"/>
          <w:szCs w:val="24"/>
        </w:rPr>
        <w:t xml:space="preserve"> </w:t>
      </w:r>
      <w:r w:rsidRPr="00831157">
        <w:rPr>
          <w:rFonts w:ascii="Times New Roman" w:hAnsi="Times New Roman"/>
          <w:sz w:val="24"/>
          <w:szCs w:val="24"/>
        </w:rPr>
        <w:t>њега</w:t>
      </w:r>
      <w:r w:rsidR="00D71E74" w:rsidRPr="00831157">
        <w:rPr>
          <w:rFonts w:ascii="Times New Roman" w:hAnsi="Times New Roman"/>
          <w:sz w:val="24"/>
          <w:szCs w:val="24"/>
        </w:rPr>
        <w:t xml:space="preserve"> </w:t>
      </w:r>
      <w:r w:rsidRPr="00831157">
        <w:rPr>
          <w:rFonts w:ascii="Times New Roman" w:hAnsi="Times New Roman"/>
          <w:sz w:val="24"/>
          <w:szCs w:val="24"/>
        </w:rPr>
        <w:t>може</w:t>
      </w:r>
      <w:r w:rsidR="00D71E74" w:rsidRPr="00831157">
        <w:rPr>
          <w:rFonts w:ascii="Times New Roman" w:hAnsi="Times New Roman"/>
          <w:sz w:val="24"/>
          <w:szCs w:val="24"/>
        </w:rPr>
        <w:t xml:space="preserve"> </w:t>
      </w:r>
      <w:r w:rsidRPr="00831157">
        <w:rPr>
          <w:rFonts w:ascii="Times New Roman" w:hAnsi="Times New Roman"/>
          <w:sz w:val="24"/>
          <w:szCs w:val="24"/>
        </w:rPr>
        <w:t>да</w:t>
      </w:r>
      <w:r w:rsidR="00D71E74" w:rsidRPr="00831157">
        <w:rPr>
          <w:rFonts w:ascii="Times New Roman" w:hAnsi="Times New Roman"/>
          <w:sz w:val="24"/>
          <w:szCs w:val="24"/>
        </w:rPr>
        <w:t xml:space="preserve"> </w:t>
      </w:r>
      <w:r w:rsidRPr="00831157">
        <w:rPr>
          <w:rFonts w:ascii="Times New Roman" w:hAnsi="Times New Roman"/>
          <w:sz w:val="24"/>
          <w:szCs w:val="24"/>
        </w:rPr>
        <w:t>се</w:t>
      </w:r>
      <w:r w:rsidR="00D71E74" w:rsidRPr="00831157">
        <w:rPr>
          <w:rFonts w:ascii="Times New Roman" w:hAnsi="Times New Roman"/>
          <w:sz w:val="24"/>
          <w:szCs w:val="24"/>
        </w:rPr>
        <w:t xml:space="preserve"> </w:t>
      </w:r>
      <w:r w:rsidRPr="00831157">
        <w:rPr>
          <w:rFonts w:ascii="Times New Roman" w:hAnsi="Times New Roman"/>
          <w:sz w:val="24"/>
          <w:szCs w:val="24"/>
        </w:rPr>
        <w:t>покрене</w:t>
      </w:r>
      <w:r w:rsidR="00D71E74" w:rsidRPr="00831157">
        <w:rPr>
          <w:rFonts w:ascii="Times New Roman" w:hAnsi="Times New Roman"/>
          <w:sz w:val="24"/>
          <w:szCs w:val="24"/>
        </w:rPr>
        <w:t xml:space="preserve"> </w:t>
      </w:r>
      <w:r w:rsidRPr="00831157">
        <w:rPr>
          <w:rFonts w:ascii="Times New Roman" w:hAnsi="Times New Roman"/>
          <w:sz w:val="24"/>
          <w:szCs w:val="24"/>
        </w:rPr>
        <w:t>управни</w:t>
      </w:r>
      <w:r w:rsidR="00D71E74" w:rsidRPr="00831157">
        <w:rPr>
          <w:rFonts w:ascii="Times New Roman" w:hAnsi="Times New Roman"/>
          <w:sz w:val="24"/>
          <w:szCs w:val="24"/>
        </w:rPr>
        <w:t xml:space="preserve"> </w:t>
      </w:r>
      <w:r w:rsidRPr="00831157">
        <w:rPr>
          <w:rFonts w:ascii="Times New Roman" w:hAnsi="Times New Roman"/>
          <w:sz w:val="24"/>
          <w:szCs w:val="24"/>
        </w:rPr>
        <w:t>спор</w:t>
      </w:r>
      <w:r w:rsidR="00D71E74" w:rsidRPr="00831157">
        <w:rPr>
          <w:rFonts w:ascii="Times New Roman" w:hAnsi="Times New Roman"/>
          <w:sz w:val="24"/>
          <w:szCs w:val="24"/>
        </w:rPr>
        <w:t>.</w:t>
      </w:r>
      <w:r w:rsidR="00B85448" w:rsidRPr="00831157">
        <w:rPr>
          <w:rFonts w:ascii="Times New Roman" w:hAnsi="Times New Roman"/>
          <w:sz w:val="24"/>
          <w:szCs w:val="24"/>
          <w:lang w:val="sr-Cyrl-CS"/>
        </w:rPr>
        <w:t xml:space="preserve"> </w:t>
      </w:r>
      <w:r w:rsidRPr="00831157">
        <w:rPr>
          <w:rFonts w:ascii="Times New Roman" w:hAnsi="Times New Roman"/>
          <w:sz w:val="24"/>
          <w:szCs w:val="24"/>
        </w:rPr>
        <w:t>Жалба</w:t>
      </w:r>
      <w:r w:rsidR="00D71E74" w:rsidRPr="00831157">
        <w:rPr>
          <w:rFonts w:ascii="Times New Roman" w:hAnsi="Times New Roman"/>
          <w:sz w:val="24"/>
          <w:szCs w:val="24"/>
        </w:rPr>
        <w:t xml:space="preserve"> </w:t>
      </w:r>
      <w:r w:rsidRPr="00831157">
        <w:rPr>
          <w:rFonts w:ascii="Times New Roman" w:hAnsi="Times New Roman"/>
          <w:sz w:val="24"/>
          <w:szCs w:val="24"/>
        </w:rPr>
        <w:t>не</w:t>
      </w:r>
      <w:r w:rsidR="00D71E74" w:rsidRPr="00831157">
        <w:rPr>
          <w:rFonts w:ascii="Times New Roman" w:hAnsi="Times New Roman"/>
          <w:sz w:val="24"/>
          <w:szCs w:val="24"/>
        </w:rPr>
        <w:t xml:space="preserve"> </w:t>
      </w:r>
      <w:r w:rsidRPr="00831157">
        <w:rPr>
          <w:rFonts w:ascii="Times New Roman" w:hAnsi="Times New Roman"/>
          <w:sz w:val="24"/>
          <w:szCs w:val="24"/>
        </w:rPr>
        <w:t>одлаже</w:t>
      </w:r>
      <w:r w:rsidR="00D71E74" w:rsidRPr="00831157">
        <w:rPr>
          <w:rFonts w:ascii="Times New Roman" w:hAnsi="Times New Roman"/>
          <w:sz w:val="24"/>
          <w:szCs w:val="24"/>
        </w:rPr>
        <w:t xml:space="preserve"> </w:t>
      </w:r>
      <w:r w:rsidRPr="00831157">
        <w:rPr>
          <w:rFonts w:ascii="Times New Roman" w:hAnsi="Times New Roman"/>
          <w:sz w:val="24"/>
          <w:szCs w:val="24"/>
        </w:rPr>
        <w:t>извршење</w:t>
      </w:r>
      <w:r w:rsidR="00D71E74" w:rsidRPr="00831157">
        <w:rPr>
          <w:rFonts w:ascii="Times New Roman" w:hAnsi="Times New Roman"/>
          <w:sz w:val="24"/>
          <w:szCs w:val="24"/>
        </w:rPr>
        <w:t xml:space="preserve"> </w:t>
      </w:r>
      <w:r w:rsidRPr="00831157">
        <w:rPr>
          <w:rFonts w:ascii="Times New Roman" w:hAnsi="Times New Roman"/>
          <w:sz w:val="24"/>
          <w:szCs w:val="24"/>
        </w:rPr>
        <w:t>решења</w:t>
      </w:r>
      <w:r w:rsidR="00D71E74" w:rsidRPr="00831157">
        <w:rPr>
          <w:rFonts w:ascii="Times New Roman" w:hAnsi="Times New Roman"/>
          <w:sz w:val="24"/>
          <w:szCs w:val="24"/>
        </w:rPr>
        <w:t>.</w:t>
      </w:r>
      <w:r w:rsidR="00831157">
        <w:rPr>
          <w:rFonts w:ascii="Times New Roman" w:hAnsi="Times New Roman"/>
          <w:sz w:val="24"/>
          <w:szCs w:val="24"/>
          <w:lang w:val="sr-Cyrl-CS"/>
        </w:rPr>
        <w:t xml:space="preserve"> </w:t>
      </w:r>
    </w:p>
    <w:p w:rsidR="00166B45" w:rsidRPr="00166B45" w:rsidRDefault="00166B45" w:rsidP="00B479B2">
      <w:pPr>
        <w:jc w:val="both"/>
        <w:rPr>
          <w:rFonts w:ascii="Times New Roman" w:hAnsi="Times New Roman"/>
          <w:sz w:val="24"/>
          <w:szCs w:val="24"/>
        </w:rPr>
      </w:pPr>
    </w:p>
    <w:p w:rsidR="00F34CAB" w:rsidRPr="001F48A2" w:rsidRDefault="00235BDD" w:rsidP="008A3795">
      <w:pPr>
        <w:pStyle w:val="ListParagraph"/>
        <w:numPr>
          <w:ilvl w:val="1"/>
          <w:numId w:val="25"/>
        </w:numPr>
        <w:jc w:val="center"/>
        <w:rPr>
          <w:rFonts w:ascii="Times New Roman" w:hAnsi="Times New Roman"/>
          <w:b/>
          <w:sz w:val="24"/>
          <w:szCs w:val="24"/>
          <w:lang w:val="sr-Cyrl-CS"/>
        </w:rPr>
      </w:pPr>
      <w:r w:rsidRPr="001F48A2">
        <w:rPr>
          <w:rFonts w:ascii="Times New Roman" w:hAnsi="Times New Roman"/>
          <w:b/>
          <w:sz w:val="24"/>
          <w:szCs w:val="24"/>
          <w:lang w:val="sr-Cyrl-CS"/>
        </w:rPr>
        <w:t>Остали органи</w:t>
      </w:r>
    </w:p>
    <w:p w:rsidR="001F48A2" w:rsidRPr="001F48A2" w:rsidRDefault="001F48A2" w:rsidP="001F48A2">
      <w:pPr>
        <w:pStyle w:val="ListParagraph"/>
        <w:ind w:left="1440"/>
        <w:rPr>
          <w:rFonts w:ascii="Times New Roman" w:hAnsi="Times New Roman"/>
          <w:b/>
          <w:sz w:val="24"/>
          <w:szCs w:val="24"/>
          <w:lang w:val="sr-Cyrl-CS"/>
        </w:rPr>
      </w:pPr>
    </w:p>
    <w:p w:rsidR="00235BDD" w:rsidRPr="001B321C" w:rsidRDefault="00235BDD" w:rsidP="00B479B2">
      <w:pPr>
        <w:pStyle w:val="ListParagraph"/>
        <w:ind w:left="1440"/>
        <w:jc w:val="center"/>
        <w:rPr>
          <w:rFonts w:ascii="Times New Roman" w:hAnsi="Times New Roman"/>
          <w:b/>
          <w:sz w:val="24"/>
          <w:szCs w:val="24"/>
          <w:lang w:val="sr-Cyrl-CS"/>
        </w:rPr>
      </w:pPr>
    </w:p>
    <w:p w:rsidR="00B85448" w:rsidRPr="001B321C" w:rsidRDefault="0022417F" w:rsidP="00B479B2">
      <w:pPr>
        <w:ind w:firstLine="708"/>
        <w:jc w:val="both"/>
        <w:rPr>
          <w:rFonts w:ascii="Times New Roman" w:hAnsi="Times New Roman"/>
          <w:sz w:val="24"/>
          <w:szCs w:val="24"/>
          <w:lang w:val="sr-Cyrl-CS"/>
        </w:rPr>
      </w:pPr>
      <w:r w:rsidRPr="001B321C">
        <w:rPr>
          <w:rFonts w:ascii="Times New Roman" w:hAnsi="Times New Roman"/>
          <w:sz w:val="24"/>
          <w:szCs w:val="24"/>
          <w:lang w:val="sr-Cyrl-CS"/>
        </w:rPr>
        <w:t xml:space="preserve">Поред наведених и бројни други органи имају значајну улогу у борби против избегавања плаћања пореза, односно привредног криминала и корупције. У циљу потпунијег излагања на ову тему навешћемо неке од њих. </w:t>
      </w:r>
    </w:p>
    <w:p w:rsidR="0022417F" w:rsidRPr="001B321C" w:rsidRDefault="0022417F" w:rsidP="00B479B2">
      <w:pPr>
        <w:ind w:firstLine="708"/>
        <w:jc w:val="both"/>
        <w:rPr>
          <w:rFonts w:ascii="Times New Roman" w:hAnsi="Times New Roman"/>
          <w:sz w:val="24"/>
          <w:szCs w:val="24"/>
          <w:lang w:val="sr-Cyrl-CS"/>
        </w:rPr>
      </w:pPr>
      <w:r w:rsidRPr="001B321C">
        <w:rPr>
          <w:rFonts w:ascii="Times New Roman" w:hAnsi="Times New Roman"/>
          <w:sz w:val="24"/>
          <w:szCs w:val="24"/>
          <w:lang w:val="sr-Cyrl-CS"/>
        </w:rPr>
        <w:t>Управа царина</w:t>
      </w:r>
      <w:r w:rsidR="00CF5865">
        <w:rPr>
          <w:rStyle w:val="FootnoteReference"/>
          <w:rFonts w:ascii="Times New Roman" w:hAnsi="Times New Roman"/>
          <w:sz w:val="24"/>
          <w:szCs w:val="24"/>
          <w:lang w:val="sr-Cyrl-CS"/>
        </w:rPr>
        <w:footnoteReference w:id="898"/>
      </w:r>
      <w:r w:rsidRPr="001B321C">
        <w:rPr>
          <w:rFonts w:ascii="Times New Roman" w:hAnsi="Times New Roman"/>
          <w:sz w:val="24"/>
          <w:szCs w:val="24"/>
          <w:lang w:val="sr-Cyrl-CS"/>
        </w:rPr>
        <w:t xml:space="preserve"> </w:t>
      </w:r>
      <w:r w:rsidRPr="001B321C">
        <w:rPr>
          <w:rFonts w:ascii="Times New Roman" w:hAnsi="Times New Roman"/>
          <w:sz w:val="24"/>
          <w:szCs w:val="24"/>
        </w:rPr>
        <w:t>је извршни орган Владе Србије у саставу Министарства финансија, који спроводи царинску политику Републике Србије.</w:t>
      </w:r>
      <w:r w:rsidR="004B18A3" w:rsidRPr="001B321C">
        <w:rPr>
          <w:rFonts w:ascii="Times New Roman" w:hAnsi="Times New Roman"/>
          <w:sz w:val="24"/>
          <w:szCs w:val="24"/>
          <w:lang w:val="sr-Cyrl-CS"/>
        </w:rPr>
        <w:t xml:space="preserve"> У овиру своје надлежности спроводи мере царинског</w:t>
      </w:r>
      <w:r w:rsidR="00B85448" w:rsidRPr="001B321C">
        <w:rPr>
          <w:rFonts w:ascii="Times New Roman" w:hAnsi="Times New Roman"/>
          <w:sz w:val="24"/>
          <w:szCs w:val="24"/>
          <w:lang w:val="sr-Cyrl-CS"/>
        </w:rPr>
        <w:t xml:space="preserve"> надзора и контроле над царинс</w:t>
      </w:r>
      <w:r w:rsidR="004B18A3" w:rsidRPr="001B321C">
        <w:rPr>
          <w:rFonts w:ascii="Times New Roman" w:hAnsi="Times New Roman"/>
          <w:sz w:val="24"/>
          <w:szCs w:val="24"/>
          <w:lang w:val="sr-Cyrl-CS"/>
        </w:rPr>
        <w:t>ком робом, спров</w:t>
      </w:r>
      <w:r w:rsidR="0048398A">
        <w:rPr>
          <w:rFonts w:ascii="Times New Roman" w:hAnsi="Times New Roman"/>
          <w:sz w:val="24"/>
          <w:szCs w:val="24"/>
          <w:lang w:val="sr-Cyrl-CS"/>
        </w:rPr>
        <w:t>о</w:t>
      </w:r>
      <w:r w:rsidR="004B18A3" w:rsidRPr="001B321C">
        <w:rPr>
          <w:rFonts w:ascii="Times New Roman" w:hAnsi="Times New Roman"/>
          <w:sz w:val="24"/>
          <w:szCs w:val="24"/>
          <w:lang w:val="sr-Cyrl-CS"/>
        </w:rPr>
        <w:t xml:space="preserve">ди царинске поступке, </w:t>
      </w:r>
      <w:r w:rsidR="00B85448" w:rsidRPr="001B321C">
        <w:rPr>
          <w:rFonts w:ascii="Times New Roman" w:hAnsi="Times New Roman"/>
          <w:sz w:val="24"/>
          <w:szCs w:val="24"/>
          <w:lang w:val="sr-Cyrl-CS"/>
        </w:rPr>
        <w:t>врши обрачун, наплату и прину</w:t>
      </w:r>
      <w:r w:rsidR="004B18A3" w:rsidRPr="001B321C">
        <w:rPr>
          <w:rFonts w:ascii="Times New Roman" w:hAnsi="Times New Roman"/>
          <w:sz w:val="24"/>
          <w:szCs w:val="24"/>
          <w:lang w:val="sr-Cyrl-CS"/>
        </w:rPr>
        <w:t>дну наплату увозних и других дажбина, акциза и пореза, као и накнада за робу која се увози у складу за прописима, спроводи превентивну и накнадну контролу, врши праћење и анализирање цар</w:t>
      </w:r>
      <w:r w:rsidR="00B85448" w:rsidRPr="001B321C">
        <w:rPr>
          <w:rFonts w:ascii="Times New Roman" w:hAnsi="Times New Roman"/>
          <w:sz w:val="24"/>
          <w:szCs w:val="24"/>
          <w:lang w:val="sr-Cyrl-CS"/>
        </w:rPr>
        <w:t>инс</w:t>
      </w:r>
      <w:r w:rsidR="004B18A3" w:rsidRPr="001B321C">
        <w:rPr>
          <w:rFonts w:ascii="Times New Roman" w:hAnsi="Times New Roman"/>
          <w:sz w:val="24"/>
          <w:szCs w:val="24"/>
          <w:lang w:val="sr-Cyrl-CS"/>
        </w:rPr>
        <w:t>ких, пореских, девизних, спољнотрговисних порписа  и има бројна друга овлашћења и обавез</w:t>
      </w:r>
      <w:r w:rsidR="0048398A">
        <w:rPr>
          <w:rFonts w:ascii="Times New Roman" w:hAnsi="Times New Roman"/>
          <w:sz w:val="24"/>
          <w:szCs w:val="24"/>
          <w:lang w:val="sr-Cyrl-CS"/>
        </w:rPr>
        <w:t>е. Сарађује са другим државним о</w:t>
      </w:r>
      <w:r w:rsidR="004B18A3" w:rsidRPr="001B321C">
        <w:rPr>
          <w:rFonts w:ascii="Times New Roman" w:hAnsi="Times New Roman"/>
          <w:sz w:val="24"/>
          <w:szCs w:val="24"/>
          <w:lang w:val="sr-Cyrl-CS"/>
        </w:rPr>
        <w:t>рганима као што су: Пореска управа, МУП, Управа за спречавање прања новца, Народна банка Србије, Агенција за приватизацију.</w:t>
      </w:r>
    </w:p>
    <w:p w:rsidR="000F3B71" w:rsidRDefault="004B18A3" w:rsidP="003B6E4E">
      <w:pPr>
        <w:ind w:firstLine="708"/>
        <w:jc w:val="both"/>
        <w:rPr>
          <w:rFonts w:ascii="Times New Roman" w:hAnsi="Times New Roman"/>
          <w:sz w:val="24"/>
          <w:szCs w:val="24"/>
          <w:lang w:val="sr-Cyrl-CS"/>
        </w:rPr>
      </w:pPr>
      <w:r w:rsidRPr="00B479B2">
        <w:rPr>
          <w:rFonts w:ascii="Times New Roman" w:hAnsi="Times New Roman"/>
          <w:sz w:val="24"/>
          <w:szCs w:val="24"/>
          <w:lang w:val="sr-Cyrl-CS"/>
        </w:rPr>
        <w:t xml:space="preserve">Комисија за заштиту конкуренције </w:t>
      </w:r>
      <w:r w:rsidRPr="00B479B2">
        <w:rPr>
          <w:rFonts w:ascii="Times New Roman" w:hAnsi="Times New Roman"/>
          <w:sz w:val="24"/>
          <w:szCs w:val="24"/>
        </w:rPr>
        <w:t xml:space="preserve">је </w:t>
      </w:r>
      <w:r w:rsidR="00B85448" w:rsidRPr="00B479B2">
        <w:rPr>
          <w:rFonts w:ascii="Times New Roman" w:hAnsi="Times New Roman"/>
          <w:sz w:val="24"/>
          <w:szCs w:val="24"/>
          <w:lang w:val="sr-Cyrl-CS"/>
        </w:rPr>
        <w:t xml:space="preserve">основана </w:t>
      </w:r>
      <w:r w:rsidRPr="00B479B2">
        <w:rPr>
          <w:rFonts w:ascii="Times New Roman" w:hAnsi="Times New Roman"/>
          <w:sz w:val="24"/>
          <w:szCs w:val="24"/>
        </w:rPr>
        <w:t>Законом о заштити конкуренциј</w:t>
      </w:r>
      <w:r w:rsidR="00A75ADF" w:rsidRPr="00B479B2">
        <w:rPr>
          <w:rFonts w:ascii="Times New Roman" w:hAnsi="Times New Roman"/>
          <w:sz w:val="24"/>
          <w:szCs w:val="24"/>
        </w:rPr>
        <w:t xml:space="preserve">е („Службени гласник РС”, бр. </w:t>
      </w:r>
      <w:r w:rsidR="00A75ADF" w:rsidRPr="00B479B2">
        <w:rPr>
          <w:rFonts w:ascii="Times New Roman" w:hAnsi="Times New Roman"/>
          <w:sz w:val="24"/>
          <w:szCs w:val="24"/>
          <w:lang w:val="sr-Cyrl-CS"/>
        </w:rPr>
        <w:t>51</w:t>
      </w:r>
      <w:r w:rsidR="00A75ADF" w:rsidRPr="00B479B2">
        <w:rPr>
          <w:rFonts w:ascii="Times New Roman" w:hAnsi="Times New Roman"/>
          <w:sz w:val="24"/>
          <w:szCs w:val="24"/>
        </w:rPr>
        <w:t>/0</w:t>
      </w:r>
      <w:r w:rsidR="00A75ADF" w:rsidRPr="00B479B2">
        <w:rPr>
          <w:rFonts w:ascii="Times New Roman" w:hAnsi="Times New Roman"/>
          <w:sz w:val="24"/>
          <w:szCs w:val="24"/>
          <w:lang w:val="sr-Cyrl-CS"/>
        </w:rPr>
        <w:t>9 и 95/13</w:t>
      </w:r>
      <w:r w:rsidRPr="00B479B2">
        <w:rPr>
          <w:rFonts w:ascii="Times New Roman" w:hAnsi="Times New Roman"/>
          <w:sz w:val="24"/>
          <w:szCs w:val="24"/>
        </w:rPr>
        <w:t>), као независна и самостална организација која врши јавна овлашћења у складу са овим законом</w:t>
      </w:r>
      <w:r w:rsidR="006260F5" w:rsidRPr="00B479B2">
        <w:rPr>
          <w:rFonts w:ascii="Times New Roman" w:hAnsi="Times New Roman"/>
          <w:sz w:val="24"/>
          <w:szCs w:val="24"/>
          <w:lang w:val="sr-Cyrl-CS"/>
        </w:rPr>
        <w:t>.</w:t>
      </w:r>
      <w:r w:rsidRPr="00B479B2">
        <w:rPr>
          <w:rFonts w:ascii="Times New Roman" w:hAnsi="Times New Roman"/>
          <w:sz w:val="24"/>
          <w:szCs w:val="24"/>
          <w:lang w:val="sr-Cyrl-CS"/>
        </w:rPr>
        <w:t xml:space="preserve"> </w:t>
      </w:r>
      <w:r w:rsidRPr="00B479B2">
        <w:rPr>
          <w:rFonts w:ascii="Times New Roman" w:hAnsi="Times New Roman"/>
          <w:sz w:val="24"/>
          <w:szCs w:val="24"/>
        </w:rPr>
        <w:t>Поред наведеног закона, област заштите конкуренције регулисана је и низом уредби које је донела Влада Републике Срби</w:t>
      </w:r>
      <w:r w:rsidR="006260F5" w:rsidRPr="00B479B2">
        <w:rPr>
          <w:rFonts w:ascii="Times New Roman" w:hAnsi="Times New Roman"/>
          <w:sz w:val="24"/>
          <w:szCs w:val="24"/>
        </w:rPr>
        <w:t>је. Комисија такође има обавезу</w:t>
      </w:r>
      <w:r w:rsidRPr="00B479B2">
        <w:rPr>
          <w:rFonts w:ascii="Times New Roman" w:hAnsi="Times New Roman"/>
          <w:sz w:val="24"/>
          <w:szCs w:val="24"/>
        </w:rPr>
        <w:t xml:space="preserve"> да у складу са чланом 73. Споразума о стабилизацији и придруживању, на одговарајући начин примени и критеријуме који произлазе из правила којима се регулише конкуренција на тржишту у Европској унији.</w:t>
      </w:r>
      <w:r w:rsidR="00B85448" w:rsidRPr="00B479B2">
        <w:rPr>
          <w:rFonts w:ascii="Times New Roman" w:hAnsi="Times New Roman"/>
          <w:sz w:val="24"/>
          <w:szCs w:val="24"/>
          <w:lang w:val="sr-Cyrl-CS"/>
        </w:rPr>
        <w:t xml:space="preserve"> </w:t>
      </w:r>
    </w:p>
    <w:p w:rsidR="004B18A3" w:rsidRPr="000F3B71" w:rsidRDefault="00011174" w:rsidP="000F3B71">
      <w:pPr>
        <w:ind w:firstLine="708"/>
        <w:jc w:val="both"/>
        <w:rPr>
          <w:rFonts w:ascii="Times New Roman" w:hAnsi="Times New Roman"/>
          <w:sz w:val="24"/>
          <w:szCs w:val="24"/>
          <w:lang w:val="sr-Cyrl-CS"/>
        </w:rPr>
      </w:pPr>
      <w:r w:rsidRPr="00B479B2">
        <w:rPr>
          <w:rFonts w:ascii="Times New Roman" w:hAnsi="Times New Roman"/>
          <w:color w:val="000000"/>
          <w:sz w:val="24"/>
          <w:szCs w:val="24"/>
        </w:rPr>
        <w:t>Комисија</w:t>
      </w:r>
      <w:r w:rsidR="00A75ADF" w:rsidRPr="00B479B2">
        <w:rPr>
          <w:rFonts w:ascii="Times New Roman" w:hAnsi="Times New Roman"/>
          <w:color w:val="000000"/>
          <w:sz w:val="24"/>
          <w:szCs w:val="24"/>
        </w:rPr>
        <w:t xml:space="preserve"> </w:t>
      </w:r>
      <w:r w:rsidRPr="00B479B2">
        <w:rPr>
          <w:rFonts w:ascii="Times New Roman" w:hAnsi="Times New Roman"/>
          <w:color w:val="000000"/>
          <w:sz w:val="24"/>
          <w:szCs w:val="24"/>
        </w:rPr>
        <w:t>је</w:t>
      </w:r>
      <w:r w:rsidR="00A75ADF" w:rsidRPr="00B479B2">
        <w:rPr>
          <w:rFonts w:ascii="Times New Roman" w:hAnsi="Times New Roman"/>
          <w:color w:val="000000"/>
          <w:sz w:val="24"/>
          <w:szCs w:val="24"/>
        </w:rPr>
        <w:t xml:space="preserve"> </w:t>
      </w:r>
      <w:r w:rsidRPr="00B479B2">
        <w:rPr>
          <w:rFonts w:ascii="Times New Roman" w:hAnsi="Times New Roman"/>
          <w:color w:val="000000"/>
          <w:sz w:val="24"/>
          <w:szCs w:val="24"/>
        </w:rPr>
        <w:t>самостална</w:t>
      </w:r>
      <w:r w:rsidR="00A75ADF" w:rsidRPr="00B479B2">
        <w:rPr>
          <w:rFonts w:ascii="Times New Roman" w:hAnsi="Times New Roman"/>
          <w:color w:val="000000"/>
          <w:sz w:val="24"/>
          <w:szCs w:val="24"/>
        </w:rPr>
        <w:t xml:space="preserve"> </w:t>
      </w:r>
      <w:r w:rsidRPr="00B479B2">
        <w:rPr>
          <w:rFonts w:ascii="Times New Roman" w:hAnsi="Times New Roman"/>
          <w:color w:val="000000"/>
          <w:sz w:val="24"/>
          <w:szCs w:val="24"/>
        </w:rPr>
        <w:t>и</w:t>
      </w:r>
      <w:r w:rsidR="00A75ADF" w:rsidRPr="00B479B2">
        <w:rPr>
          <w:rFonts w:ascii="Times New Roman" w:hAnsi="Times New Roman"/>
          <w:color w:val="000000"/>
          <w:sz w:val="24"/>
          <w:szCs w:val="24"/>
        </w:rPr>
        <w:t xml:space="preserve"> </w:t>
      </w:r>
      <w:r w:rsidRPr="00B479B2">
        <w:rPr>
          <w:rFonts w:ascii="Times New Roman" w:hAnsi="Times New Roman"/>
          <w:color w:val="000000"/>
          <w:sz w:val="24"/>
          <w:szCs w:val="24"/>
        </w:rPr>
        <w:t>независна</w:t>
      </w:r>
      <w:r w:rsidR="00A75ADF" w:rsidRPr="00B479B2">
        <w:rPr>
          <w:rFonts w:ascii="Times New Roman" w:hAnsi="Times New Roman"/>
          <w:color w:val="000000"/>
          <w:sz w:val="24"/>
          <w:szCs w:val="24"/>
        </w:rPr>
        <w:t xml:space="preserve"> </w:t>
      </w:r>
      <w:r w:rsidRPr="00B479B2">
        <w:rPr>
          <w:rFonts w:ascii="Times New Roman" w:hAnsi="Times New Roman"/>
          <w:color w:val="000000"/>
          <w:sz w:val="24"/>
          <w:szCs w:val="24"/>
        </w:rPr>
        <w:t>организација</w:t>
      </w:r>
      <w:r w:rsidR="00A75ADF" w:rsidRPr="00B479B2">
        <w:rPr>
          <w:rFonts w:ascii="Times New Roman" w:hAnsi="Times New Roman"/>
          <w:color w:val="000000"/>
          <w:sz w:val="24"/>
          <w:szCs w:val="24"/>
        </w:rPr>
        <w:t xml:space="preserve"> </w:t>
      </w:r>
      <w:r w:rsidRPr="00B479B2">
        <w:rPr>
          <w:rFonts w:ascii="Times New Roman" w:hAnsi="Times New Roman"/>
          <w:color w:val="000000"/>
          <w:sz w:val="24"/>
          <w:szCs w:val="24"/>
        </w:rPr>
        <w:t>која</w:t>
      </w:r>
      <w:r w:rsidR="00A75ADF" w:rsidRPr="00B479B2">
        <w:rPr>
          <w:rFonts w:ascii="Times New Roman" w:hAnsi="Times New Roman"/>
          <w:color w:val="000000"/>
          <w:sz w:val="24"/>
          <w:szCs w:val="24"/>
        </w:rPr>
        <w:t xml:space="preserve"> </w:t>
      </w:r>
      <w:r w:rsidRPr="00B479B2">
        <w:rPr>
          <w:rFonts w:ascii="Times New Roman" w:hAnsi="Times New Roman"/>
          <w:color w:val="000000"/>
          <w:sz w:val="24"/>
          <w:szCs w:val="24"/>
        </w:rPr>
        <w:t>врши</w:t>
      </w:r>
      <w:r w:rsidR="00A75ADF" w:rsidRPr="00B479B2">
        <w:rPr>
          <w:rFonts w:ascii="Times New Roman" w:hAnsi="Times New Roman"/>
          <w:color w:val="000000"/>
          <w:sz w:val="24"/>
          <w:szCs w:val="24"/>
        </w:rPr>
        <w:t xml:space="preserve"> </w:t>
      </w:r>
      <w:r w:rsidRPr="00B479B2">
        <w:rPr>
          <w:rFonts w:ascii="Times New Roman" w:hAnsi="Times New Roman"/>
          <w:color w:val="000000"/>
          <w:sz w:val="24"/>
          <w:szCs w:val="24"/>
        </w:rPr>
        <w:t>јавна</w:t>
      </w:r>
      <w:r w:rsidR="00A75ADF" w:rsidRPr="00B479B2">
        <w:rPr>
          <w:rFonts w:ascii="Times New Roman" w:hAnsi="Times New Roman"/>
          <w:color w:val="000000"/>
          <w:sz w:val="24"/>
          <w:szCs w:val="24"/>
        </w:rPr>
        <w:t xml:space="preserve"> </w:t>
      </w:r>
      <w:r w:rsidRPr="00B479B2">
        <w:rPr>
          <w:rFonts w:ascii="Times New Roman" w:hAnsi="Times New Roman"/>
          <w:color w:val="000000"/>
          <w:sz w:val="24"/>
          <w:szCs w:val="24"/>
        </w:rPr>
        <w:t>овлашћења</w:t>
      </w:r>
      <w:r w:rsidR="00A75ADF" w:rsidRPr="00B479B2">
        <w:rPr>
          <w:rFonts w:ascii="Times New Roman" w:hAnsi="Times New Roman"/>
          <w:color w:val="000000"/>
          <w:sz w:val="24"/>
          <w:szCs w:val="24"/>
        </w:rPr>
        <w:t xml:space="preserve"> </w:t>
      </w:r>
      <w:r w:rsidRPr="00B479B2">
        <w:rPr>
          <w:rFonts w:ascii="Times New Roman" w:hAnsi="Times New Roman"/>
          <w:color w:val="000000"/>
          <w:sz w:val="24"/>
          <w:szCs w:val="24"/>
        </w:rPr>
        <w:t>у</w:t>
      </w:r>
      <w:r w:rsidR="00A75ADF" w:rsidRPr="00B479B2">
        <w:rPr>
          <w:rFonts w:ascii="Times New Roman" w:hAnsi="Times New Roman"/>
          <w:color w:val="000000"/>
          <w:sz w:val="24"/>
          <w:szCs w:val="24"/>
        </w:rPr>
        <w:t xml:space="preserve"> </w:t>
      </w:r>
      <w:r w:rsidRPr="00B479B2">
        <w:rPr>
          <w:rFonts w:ascii="Times New Roman" w:hAnsi="Times New Roman"/>
          <w:color w:val="000000"/>
          <w:sz w:val="24"/>
          <w:szCs w:val="24"/>
        </w:rPr>
        <w:t>складу</w:t>
      </w:r>
      <w:r w:rsidR="00A75ADF" w:rsidRPr="00B479B2">
        <w:rPr>
          <w:rFonts w:ascii="Times New Roman" w:hAnsi="Times New Roman"/>
          <w:color w:val="000000"/>
          <w:sz w:val="24"/>
          <w:szCs w:val="24"/>
        </w:rPr>
        <w:t xml:space="preserve"> </w:t>
      </w:r>
      <w:r w:rsidRPr="00B479B2">
        <w:rPr>
          <w:rFonts w:ascii="Times New Roman" w:hAnsi="Times New Roman"/>
          <w:color w:val="000000"/>
          <w:sz w:val="24"/>
          <w:szCs w:val="24"/>
        </w:rPr>
        <w:t>са</w:t>
      </w:r>
      <w:r w:rsidR="00A75ADF" w:rsidRPr="00B479B2">
        <w:rPr>
          <w:rFonts w:ascii="Times New Roman" w:hAnsi="Times New Roman"/>
          <w:color w:val="000000"/>
          <w:sz w:val="24"/>
          <w:szCs w:val="24"/>
        </w:rPr>
        <w:t xml:space="preserve"> </w:t>
      </w:r>
      <w:r w:rsidRPr="00B479B2">
        <w:rPr>
          <w:rFonts w:ascii="Times New Roman" w:hAnsi="Times New Roman"/>
          <w:color w:val="000000"/>
          <w:sz w:val="24"/>
          <w:szCs w:val="24"/>
        </w:rPr>
        <w:t>овим</w:t>
      </w:r>
      <w:r w:rsidR="00A75ADF" w:rsidRPr="00B479B2">
        <w:rPr>
          <w:rFonts w:ascii="Times New Roman" w:hAnsi="Times New Roman"/>
          <w:color w:val="000000"/>
          <w:sz w:val="24"/>
          <w:szCs w:val="24"/>
        </w:rPr>
        <w:t xml:space="preserve"> </w:t>
      </w:r>
      <w:r w:rsidRPr="00B479B2">
        <w:rPr>
          <w:rFonts w:ascii="Times New Roman" w:hAnsi="Times New Roman"/>
          <w:color w:val="000000"/>
          <w:sz w:val="24"/>
          <w:szCs w:val="24"/>
        </w:rPr>
        <w:t>законом</w:t>
      </w:r>
      <w:r w:rsidR="00A75ADF" w:rsidRPr="00B479B2">
        <w:rPr>
          <w:rFonts w:ascii="Times New Roman" w:hAnsi="Times New Roman"/>
          <w:color w:val="000000"/>
          <w:sz w:val="24"/>
          <w:szCs w:val="24"/>
        </w:rPr>
        <w:t>.</w:t>
      </w:r>
      <w:r w:rsidR="006260F5" w:rsidRPr="00B479B2">
        <w:rPr>
          <w:rFonts w:ascii="Times New Roman" w:hAnsi="Times New Roman"/>
          <w:color w:val="000000"/>
          <w:sz w:val="24"/>
          <w:szCs w:val="24"/>
          <w:lang w:val="sr-Cyrl-CS"/>
        </w:rPr>
        <w:t xml:space="preserve"> </w:t>
      </w:r>
      <w:r w:rsidR="00A75ADF" w:rsidRPr="00B479B2">
        <w:rPr>
          <w:rFonts w:ascii="Times New Roman" w:hAnsi="Times New Roman"/>
          <w:sz w:val="24"/>
          <w:szCs w:val="24"/>
          <w:lang w:val="sr-Cyrl-CS"/>
        </w:rPr>
        <w:t xml:space="preserve">Комисија је надлежна, између осталог, да </w:t>
      </w:r>
      <w:r w:rsidR="00A75ADF" w:rsidRPr="00B479B2">
        <w:rPr>
          <w:rFonts w:ascii="Times New Roman" w:hAnsi="Times New Roman"/>
          <w:sz w:val="24"/>
          <w:szCs w:val="24"/>
        </w:rPr>
        <w:t>води евиденцију о пријављеним споразумима, о учесницима који имају доминантан положај на тржишту, као и о концентрацијама, у складу са Законом</w:t>
      </w:r>
      <w:r w:rsidR="00A75ADF" w:rsidRPr="00B479B2">
        <w:rPr>
          <w:rFonts w:ascii="Times New Roman" w:hAnsi="Times New Roman"/>
          <w:sz w:val="24"/>
          <w:szCs w:val="24"/>
          <w:lang w:val="sr-Cyrl-CS"/>
        </w:rPr>
        <w:t xml:space="preserve">, врши контролу статусних промена, као стицање контроле над привредним друштвима, односно да </w:t>
      </w:r>
      <w:r w:rsidRPr="00B479B2">
        <w:rPr>
          <w:rFonts w:ascii="Times New Roman" w:hAnsi="Times New Roman"/>
          <w:color w:val="000000"/>
          <w:sz w:val="24"/>
          <w:szCs w:val="24"/>
          <w:shd w:val="clear" w:color="auto" w:fill="FFFFFF"/>
        </w:rPr>
        <w:t>прати</w:t>
      </w:r>
      <w:r w:rsidR="00A75ADF" w:rsidRPr="00B479B2">
        <w:rPr>
          <w:rFonts w:ascii="Times New Roman" w:hAnsi="Times New Roman"/>
          <w:color w:val="000000"/>
          <w:sz w:val="24"/>
          <w:szCs w:val="24"/>
          <w:shd w:val="clear" w:color="auto" w:fill="FFFFFF"/>
        </w:rPr>
        <w:t xml:space="preserve"> </w:t>
      </w:r>
      <w:r w:rsidRPr="00B479B2">
        <w:rPr>
          <w:rFonts w:ascii="Times New Roman" w:hAnsi="Times New Roman"/>
          <w:color w:val="000000"/>
          <w:sz w:val="24"/>
          <w:szCs w:val="24"/>
          <w:shd w:val="clear" w:color="auto" w:fill="FFFFFF"/>
        </w:rPr>
        <w:t>и</w:t>
      </w:r>
      <w:r w:rsidR="00A75ADF" w:rsidRPr="00B479B2">
        <w:rPr>
          <w:rFonts w:ascii="Times New Roman" w:hAnsi="Times New Roman"/>
          <w:color w:val="000000"/>
          <w:sz w:val="24"/>
          <w:szCs w:val="24"/>
          <w:shd w:val="clear" w:color="auto" w:fill="FFFFFF"/>
        </w:rPr>
        <w:t xml:space="preserve"> </w:t>
      </w:r>
      <w:r w:rsidRPr="00B479B2">
        <w:rPr>
          <w:rFonts w:ascii="Times New Roman" w:hAnsi="Times New Roman"/>
          <w:color w:val="000000"/>
          <w:sz w:val="24"/>
          <w:szCs w:val="24"/>
          <w:shd w:val="clear" w:color="auto" w:fill="FFFFFF"/>
        </w:rPr>
        <w:t>анализира</w:t>
      </w:r>
      <w:r w:rsidR="00A75ADF" w:rsidRPr="00B479B2">
        <w:rPr>
          <w:rFonts w:ascii="Times New Roman" w:hAnsi="Times New Roman"/>
          <w:color w:val="000000"/>
          <w:sz w:val="24"/>
          <w:szCs w:val="24"/>
          <w:shd w:val="clear" w:color="auto" w:fill="FFFFFF"/>
        </w:rPr>
        <w:t xml:space="preserve"> </w:t>
      </w:r>
      <w:r w:rsidRPr="00B479B2">
        <w:rPr>
          <w:rFonts w:ascii="Times New Roman" w:hAnsi="Times New Roman"/>
          <w:color w:val="000000"/>
          <w:sz w:val="24"/>
          <w:szCs w:val="24"/>
          <w:shd w:val="clear" w:color="auto" w:fill="FFFFFF"/>
        </w:rPr>
        <w:t>услове</w:t>
      </w:r>
      <w:r w:rsidR="00A75ADF" w:rsidRPr="00B479B2">
        <w:rPr>
          <w:rFonts w:ascii="Times New Roman" w:hAnsi="Times New Roman"/>
          <w:color w:val="000000"/>
          <w:sz w:val="24"/>
          <w:szCs w:val="24"/>
          <w:shd w:val="clear" w:color="auto" w:fill="FFFFFF"/>
        </w:rPr>
        <w:t xml:space="preserve"> </w:t>
      </w:r>
      <w:r w:rsidRPr="00B479B2">
        <w:rPr>
          <w:rFonts w:ascii="Times New Roman" w:hAnsi="Times New Roman"/>
          <w:color w:val="000000"/>
          <w:sz w:val="24"/>
          <w:szCs w:val="24"/>
          <w:shd w:val="clear" w:color="auto" w:fill="FFFFFF"/>
        </w:rPr>
        <w:t>конкуренције</w:t>
      </w:r>
      <w:r w:rsidR="00A75ADF" w:rsidRPr="00B479B2">
        <w:rPr>
          <w:rFonts w:ascii="Times New Roman" w:hAnsi="Times New Roman"/>
          <w:color w:val="000000"/>
          <w:sz w:val="24"/>
          <w:szCs w:val="24"/>
          <w:shd w:val="clear" w:color="auto" w:fill="FFFFFF"/>
        </w:rPr>
        <w:t xml:space="preserve"> </w:t>
      </w:r>
      <w:r w:rsidRPr="00B479B2">
        <w:rPr>
          <w:rFonts w:ascii="Times New Roman" w:hAnsi="Times New Roman"/>
          <w:color w:val="000000"/>
          <w:sz w:val="24"/>
          <w:szCs w:val="24"/>
          <w:shd w:val="clear" w:color="auto" w:fill="FFFFFF"/>
        </w:rPr>
        <w:t>на</w:t>
      </w:r>
      <w:r w:rsidR="00A75ADF" w:rsidRPr="00B479B2">
        <w:rPr>
          <w:rFonts w:ascii="Times New Roman" w:hAnsi="Times New Roman"/>
          <w:color w:val="000000"/>
          <w:sz w:val="24"/>
          <w:szCs w:val="24"/>
          <w:shd w:val="clear" w:color="auto" w:fill="FFFFFF"/>
        </w:rPr>
        <w:t xml:space="preserve"> </w:t>
      </w:r>
      <w:r w:rsidRPr="00B479B2">
        <w:rPr>
          <w:rFonts w:ascii="Times New Roman" w:hAnsi="Times New Roman"/>
          <w:color w:val="000000"/>
          <w:sz w:val="24"/>
          <w:szCs w:val="24"/>
          <w:shd w:val="clear" w:color="auto" w:fill="FFFFFF"/>
        </w:rPr>
        <w:t>појединачним</w:t>
      </w:r>
      <w:r w:rsidR="00A75ADF" w:rsidRPr="00B479B2">
        <w:rPr>
          <w:rFonts w:ascii="Times New Roman" w:hAnsi="Times New Roman"/>
          <w:color w:val="000000"/>
          <w:sz w:val="24"/>
          <w:szCs w:val="24"/>
          <w:shd w:val="clear" w:color="auto" w:fill="FFFFFF"/>
        </w:rPr>
        <w:t xml:space="preserve"> </w:t>
      </w:r>
      <w:r w:rsidRPr="00B479B2">
        <w:rPr>
          <w:rFonts w:ascii="Times New Roman" w:hAnsi="Times New Roman"/>
          <w:color w:val="000000"/>
          <w:sz w:val="24"/>
          <w:szCs w:val="24"/>
          <w:shd w:val="clear" w:color="auto" w:fill="FFFFFF"/>
        </w:rPr>
        <w:t>тржиштима</w:t>
      </w:r>
      <w:r w:rsidR="00A75ADF" w:rsidRPr="00B479B2">
        <w:rPr>
          <w:rFonts w:ascii="Times New Roman" w:hAnsi="Times New Roman"/>
          <w:color w:val="000000"/>
          <w:sz w:val="24"/>
          <w:szCs w:val="24"/>
          <w:shd w:val="clear" w:color="auto" w:fill="FFFFFF"/>
        </w:rPr>
        <w:t xml:space="preserve"> </w:t>
      </w:r>
      <w:r w:rsidRPr="00B479B2">
        <w:rPr>
          <w:rFonts w:ascii="Times New Roman" w:hAnsi="Times New Roman"/>
          <w:color w:val="000000"/>
          <w:sz w:val="24"/>
          <w:szCs w:val="24"/>
          <w:shd w:val="clear" w:color="auto" w:fill="FFFFFF"/>
        </w:rPr>
        <w:t>и</w:t>
      </w:r>
      <w:r w:rsidR="00A75ADF" w:rsidRPr="00B479B2">
        <w:rPr>
          <w:rFonts w:ascii="Times New Roman" w:hAnsi="Times New Roman"/>
          <w:color w:val="000000"/>
          <w:sz w:val="24"/>
          <w:szCs w:val="24"/>
          <w:shd w:val="clear" w:color="auto" w:fill="FFFFFF"/>
        </w:rPr>
        <w:t xml:space="preserve"> </w:t>
      </w:r>
      <w:r w:rsidRPr="00B479B2">
        <w:rPr>
          <w:rFonts w:ascii="Times New Roman" w:hAnsi="Times New Roman"/>
          <w:color w:val="000000"/>
          <w:sz w:val="24"/>
          <w:szCs w:val="24"/>
          <w:shd w:val="clear" w:color="auto" w:fill="FFFFFF"/>
        </w:rPr>
        <w:t>у</w:t>
      </w:r>
      <w:r w:rsidR="00A75ADF" w:rsidRPr="00B479B2">
        <w:rPr>
          <w:rFonts w:ascii="Times New Roman" w:hAnsi="Times New Roman"/>
          <w:color w:val="000000"/>
          <w:sz w:val="24"/>
          <w:szCs w:val="24"/>
          <w:shd w:val="clear" w:color="auto" w:fill="FFFFFF"/>
        </w:rPr>
        <w:t xml:space="preserve"> </w:t>
      </w:r>
      <w:r w:rsidRPr="00B479B2">
        <w:rPr>
          <w:rFonts w:ascii="Times New Roman" w:hAnsi="Times New Roman"/>
          <w:color w:val="000000"/>
          <w:sz w:val="24"/>
          <w:szCs w:val="24"/>
          <w:shd w:val="clear" w:color="auto" w:fill="FFFFFF"/>
        </w:rPr>
        <w:t>појединачним</w:t>
      </w:r>
      <w:r w:rsidR="00A75ADF" w:rsidRPr="00B479B2">
        <w:rPr>
          <w:rFonts w:ascii="Times New Roman" w:hAnsi="Times New Roman"/>
          <w:color w:val="000000"/>
          <w:sz w:val="24"/>
          <w:szCs w:val="24"/>
          <w:shd w:val="clear" w:color="auto" w:fill="FFFFFF"/>
        </w:rPr>
        <w:t xml:space="preserve"> </w:t>
      </w:r>
      <w:r w:rsidRPr="00B479B2">
        <w:rPr>
          <w:rFonts w:ascii="Times New Roman" w:hAnsi="Times New Roman"/>
          <w:color w:val="000000"/>
          <w:sz w:val="24"/>
          <w:szCs w:val="24"/>
          <w:shd w:val="clear" w:color="auto" w:fill="FFFFFF"/>
        </w:rPr>
        <w:t>секторима</w:t>
      </w:r>
      <w:r w:rsidR="00A75ADF" w:rsidRPr="00B479B2">
        <w:rPr>
          <w:rFonts w:ascii="Times New Roman" w:hAnsi="Times New Roman"/>
          <w:color w:val="000000"/>
          <w:sz w:val="24"/>
          <w:szCs w:val="24"/>
          <w:shd w:val="clear" w:color="auto" w:fill="FFFFFF"/>
        </w:rPr>
        <w:t>;</w:t>
      </w:r>
      <w:r w:rsidR="00A75ADF" w:rsidRPr="00B479B2">
        <w:rPr>
          <w:rFonts w:ascii="Times New Roman" w:hAnsi="Times New Roman"/>
          <w:color w:val="000000"/>
          <w:sz w:val="24"/>
          <w:szCs w:val="24"/>
        </w:rPr>
        <w:t xml:space="preserve"> </w:t>
      </w:r>
      <w:r w:rsidRPr="00B479B2">
        <w:rPr>
          <w:rFonts w:ascii="Times New Roman" w:hAnsi="Times New Roman"/>
          <w:color w:val="000000"/>
          <w:sz w:val="24"/>
          <w:szCs w:val="24"/>
        </w:rPr>
        <w:t>остварује</w:t>
      </w:r>
      <w:r w:rsidR="00A75ADF" w:rsidRPr="00B479B2">
        <w:rPr>
          <w:rFonts w:ascii="Times New Roman" w:hAnsi="Times New Roman"/>
          <w:color w:val="000000"/>
          <w:sz w:val="24"/>
          <w:szCs w:val="24"/>
        </w:rPr>
        <w:t xml:space="preserve"> </w:t>
      </w:r>
      <w:r w:rsidRPr="00B479B2">
        <w:rPr>
          <w:rFonts w:ascii="Times New Roman" w:hAnsi="Times New Roman"/>
          <w:color w:val="000000"/>
          <w:sz w:val="24"/>
          <w:szCs w:val="24"/>
        </w:rPr>
        <w:t>међународну</w:t>
      </w:r>
      <w:r w:rsidR="00A75ADF" w:rsidRPr="00B479B2">
        <w:rPr>
          <w:rFonts w:ascii="Times New Roman" w:hAnsi="Times New Roman"/>
          <w:color w:val="000000"/>
          <w:sz w:val="24"/>
          <w:szCs w:val="24"/>
        </w:rPr>
        <w:t xml:space="preserve"> </w:t>
      </w:r>
      <w:r w:rsidRPr="00B479B2">
        <w:rPr>
          <w:rFonts w:ascii="Times New Roman" w:hAnsi="Times New Roman"/>
          <w:color w:val="000000"/>
          <w:sz w:val="24"/>
          <w:szCs w:val="24"/>
        </w:rPr>
        <w:t>сарадњу</w:t>
      </w:r>
      <w:r w:rsidR="00A75ADF" w:rsidRPr="00B479B2">
        <w:rPr>
          <w:rFonts w:ascii="Times New Roman" w:hAnsi="Times New Roman"/>
          <w:color w:val="000000"/>
          <w:sz w:val="24"/>
          <w:szCs w:val="24"/>
        </w:rPr>
        <w:t xml:space="preserve"> </w:t>
      </w:r>
      <w:r w:rsidRPr="00B479B2">
        <w:rPr>
          <w:rFonts w:ascii="Times New Roman" w:hAnsi="Times New Roman"/>
          <w:color w:val="000000"/>
          <w:sz w:val="24"/>
          <w:szCs w:val="24"/>
        </w:rPr>
        <w:t>у</w:t>
      </w:r>
      <w:r w:rsidR="00A75ADF" w:rsidRPr="00B479B2">
        <w:rPr>
          <w:rFonts w:ascii="Times New Roman" w:hAnsi="Times New Roman"/>
          <w:color w:val="000000"/>
          <w:sz w:val="24"/>
          <w:szCs w:val="24"/>
        </w:rPr>
        <w:t xml:space="preserve"> </w:t>
      </w:r>
      <w:r w:rsidRPr="00B479B2">
        <w:rPr>
          <w:rFonts w:ascii="Times New Roman" w:hAnsi="Times New Roman"/>
          <w:color w:val="000000"/>
          <w:sz w:val="24"/>
          <w:szCs w:val="24"/>
        </w:rPr>
        <w:t>области</w:t>
      </w:r>
      <w:r w:rsidR="00A75ADF" w:rsidRPr="00B479B2">
        <w:rPr>
          <w:rFonts w:ascii="Times New Roman" w:hAnsi="Times New Roman"/>
          <w:color w:val="000000"/>
          <w:sz w:val="24"/>
          <w:szCs w:val="24"/>
        </w:rPr>
        <w:t xml:space="preserve"> </w:t>
      </w:r>
      <w:r w:rsidRPr="00B479B2">
        <w:rPr>
          <w:rFonts w:ascii="Times New Roman" w:hAnsi="Times New Roman"/>
          <w:color w:val="000000"/>
          <w:sz w:val="24"/>
          <w:szCs w:val="24"/>
        </w:rPr>
        <w:t>заштите</w:t>
      </w:r>
      <w:r w:rsidR="00A75ADF" w:rsidRPr="00B479B2">
        <w:rPr>
          <w:rFonts w:ascii="Times New Roman" w:hAnsi="Times New Roman"/>
          <w:color w:val="000000"/>
          <w:sz w:val="24"/>
          <w:szCs w:val="24"/>
        </w:rPr>
        <w:t xml:space="preserve"> </w:t>
      </w:r>
      <w:r w:rsidRPr="00B479B2">
        <w:rPr>
          <w:rFonts w:ascii="Times New Roman" w:hAnsi="Times New Roman"/>
          <w:color w:val="000000"/>
          <w:sz w:val="24"/>
          <w:szCs w:val="24"/>
        </w:rPr>
        <w:t>конкуренције</w:t>
      </w:r>
      <w:r w:rsidR="00A75ADF" w:rsidRPr="00B479B2">
        <w:rPr>
          <w:rFonts w:ascii="Times New Roman" w:hAnsi="Times New Roman"/>
          <w:color w:val="000000"/>
          <w:sz w:val="24"/>
          <w:szCs w:val="24"/>
        </w:rPr>
        <w:t xml:space="preserve">, </w:t>
      </w:r>
      <w:r w:rsidRPr="00B479B2">
        <w:rPr>
          <w:rFonts w:ascii="Times New Roman" w:hAnsi="Times New Roman"/>
          <w:color w:val="000000"/>
          <w:sz w:val="24"/>
          <w:szCs w:val="24"/>
        </w:rPr>
        <w:t>ради</w:t>
      </w:r>
      <w:r w:rsidR="00A75ADF" w:rsidRPr="00B479B2">
        <w:rPr>
          <w:rFonts w:ascii="Times New Roman" w:hAnsi="Times New Roman"/>
          <w:color w:val="000000"/>
          <w:sz w:val="24"/>
          <w:szCs w:val="24"/>
        </w:rPr>
        <w:t xml:space="preserve"> </w:t>
      </w:r>
      <w:r w:rsidRPr="00B479B2">
        <w:rPr>
          <w:rFonts w:ascii="Times New Roman" w:hAnsi="Times New Roman"/>
          <w:color w:val="000000"/>
          <w:sz w:val="24"/>
          <w:szCs w:val="24"/>
        </w:rPr>
        <w:t>извршавања</w:t>
      </w:r>
      <w:r w:rsidR="00A75ADF" w:rsidRPr="00B479B2">
        <w:rPr>
          <w:rFonts w:ascii="Times New Roman" w:hAnsi="Times New Roman"/>
          <w:color w:val="000000"/>
          <w:sz w:val="24"/>
          <w:szCs w:val="24"/>
        </w:rPr>
        <w:t xml:space="preserve"> </w:t>
      </w:r>
      <w:r w:rsidRPr="00B479B2">
        <w:rPr>
          <w:rFonts w:ascii="Times New Roman" w:hAnsi="Times New Roman"/>
          <w:color w:val="000000"/>
          <w:sz w:val="24"/>
          <w:szCs w:val="24"/>
        </w:rPr>
        <w:t>међународних</w:t>
      </w:r>
      <w:r w:rsidR="00A75ADF" w:rsidRPr="00B479B2">
        <w:rPr>
          <w:rFonts w:ascii="Times New Roman" w:hAnsi="Times New Roman"/>
          <w:color w:val="000000"/>
          <w:sz w:val="24"/>
          <w:szCs w:val="24"/>
        </w:rPr>
        <w:t xml:space="preserve"> </w:t>
      </w:r>
      <w:r w:rsidRPr="00B479B2">
        <w:rPr>
          <w:rFonts w:ascii="Times New Roman" w:hAnsi="Times New Roman"/>
          <w:color w:val="000000"/>
          <w:sz w:val="24"/>
          <w:szCs w:val="24"/>
        </w:rPr>
        <w:t>обавеза</w:t>
      </w:r>
      <w:r w:rsidR="00A75ADF" w:rsidRPr="00B479B2">
        <w:rPr>
          <w:rFonts w:ascii="Times New Roman" w:hAnsi="Times New Roman"/>
          <w:color w:val="000000"/>
          <w:sz w:val="24"/>
          <w:szCs w:val="24"/>
        </w:rPr>
        <w:t xml:space="preserve"> </w:t>
      </w:r>
      <w:r w:rsidRPr="00B479B2">
        <w:rPr>
          <w:rFonts w:ascii="Times New Roman" w:hAnsi="Times New Roman"/>
          <w:color w:val="000000"/>
          <w:sz w:val="24"/>
          <w:szCs w:val="24"/>
        </w:rPr>
        <w:t>у</w:t>
      </w:r>
      <w:r w:rsidR="00A75ADF" w:rsidRPr="00B479B2">
        <w:rPr>
          <w:rFonts w:ascii="Times New Roman" w:hAnsi="Times New Roman"/>
          <w:color w:val="000000"/>
          <w:sz w:val="24"/>
          <w:szCs w:val="24"/>
        </w:rPr>
        <w:t xml:space="preserve"> </w:t>
      </w:r>
      <w:r w:rsidRPr="00B479B2">
        <w:rPr>
          <w:rFonts w:ascii="Times New Roman" w:hAnsi="Times New Roman"/>
          <w:color w:val="000000"/>
          <w:sz w:val="24"/>
          <w:szCs w:val="24"/>
        </w:rPr>
        <w:t>овој</w:t>
      </w:r>
      <w:r w:rsidR="00A75ADF" w:rsidRPr="00B479B2">
        <w:rPr>
          <w:rFonts w:ascii="Times New Roman" w:hAnsi="Times New Roman"/>
          <w:color w:val="000000"/>
          <w:sz w:val="24"/>
          <w:szCs w:val="24"/>
        </w:rPr>
        <w:t xml:space="preserve"> </w:t>
      </w:r>
      <w:r w:rsidRPr="00B479B2">
        <w:rPr>
          <w:rFonts w:ascii="Times New Roman" w:hAnsi="Times New Roman"/>
          <w:color w:val="000000"/>
          <w:sz w:val="24"/>
          <w:szCs w:val="24"/>
        </w:rPr>
        <w:t>области</w:t>
      </w:r>
      <w:r w:rsidR="00A75ADF" w:rsidRPr="00B479B2">
        <w:rPr>
          <w:rFonts w:ascii="Times New Roman" w:hAnsi="Times New Roman"/>
          <w:color w:val="000000"/>
          <w:sz w:val="24"/>
          <w:szCs w:val="24"/>
        </w:rPr>
        <w:t xml:space="preserve"> </w:t>
      </w:r>
      <w:r w:rsidRPr="00B479B2">
        <w:rPr>
          <w:rFonts w:ascii="Times New Roman" w:hAnsi="Times New Roman"/>
          <w:color w:val="000000"/>
          <w:sz w:val="24"/>
          <w:szCs w:val="24"/>
        </w:rPr>
        <w:t>и</w:t>
      </w:r>
      <w:r w:rsidR="00A75ADF" w:rsidRPr="00B479B2">
        <w:rPr>
          <w:rFonts w:ascii="Times New Roman" w:hAnsi="Times New Roman"/>
          <w:color w:val="000000"/>
          <w:sz w:val="24"/>
          <w:szCs w:val="24"/>
        </w:rPr>
        <w:t xml:space="preserve"> </w:t>
      </w:r>
      <w:r w:rsidRPr="00B479B2">
        <w:rPr>
          <w:rFonts w:ascii="Times New Roman" w:hAnsi="Times New Roman"/>
          <w:color w:val="000000"/>
          <w:sz w:val="24"/>
          <w:szCs w:val="24"/>
        </w:rPr>
        <w:t>прикупља</w:t>
      </w:r>
      <w:r w:rsidR="00A75ADF" w:rsidRPr="00B479B2">
        <w:rPr>
          <w:rFonts w:ascii="Times New Roman" w:hAnsi="Times New Roman"/>
          <w:color w:val="000000"/>
          <w:sz w:val="24"/>
          <w:szCs w:val="24"/>
        </w:rPr>
        <w:t xml:space="preserve"> </w:t>
      </w:r>
      <w:r w:rsidRPr="00B479B2">
        <w:rPr>
          <w:rFonts w:ascii="Times New Roman" w:hAnsi="Times New Roman"/>
          <w:color w:val="000000"/>
          <w:sz w:val="24"/>
          <w:szCs w:val="24"/>
        </w:rPr>
        <w:t>информације</w:t>
      </w:r>
      <w:r w:rsidR="00A75ADF" w:rsidRPr="00B479B2">
        <w:rPr>
          <w:rFonts w:ascii="Times New Roman" w:hAnsi="Times New Roman"/>
          <w:color w:val="000000"/>
          <w:sz w:val="24"/>
          <w:szCs w:val="24"/>
        </w:rPr>
        <w:t xml:space="preserve"> </w:t>
      </w:r>
      <w:r w:rsidRPr="00B479B2">
        <w:rPr>
          <w:rFonts w:ascii="Times New Roman" w:hAnsi="Times New Roman"/>
          <w:color w:val="000000"/>
          <w:sz w:val="24"/>
          <w:szCs w:val="24"/>
        </w:rPr>
        <w:t>о</w:t>
      </w:r>
      <w:r w:rsidR="00A75ADF" w:rsidRPr="00B479B2">
        <w:rPr>
          <w:rFonts w:ascii="Times New Roman" w:hAnsi="Times New Roman"/>
          <w:color w:val="000000"/>
          <w:sz w:val="24"/>
          <w:szCs w:val="24"/>
        </w:rPr>
        <w:t xml:space="preserve"> </w:t>
      </w:r>
      <w:r w:rsidRPr="00B479B2">
        <w:rPr>
          <w:rFonts w:ascii="Times New Roman" w:hAnsi="Times New Roman"/>
          <w:color w:val="000000"/>
          <w:sz w:val="24"/>
          <w:szCs w:val="24"/>
        </w:rPr>
        <w:t>заштити</w:t>
      </w:r>
      <w:r w:rsidR="006260F5" w:rsidRPr="00B479B2">
        <w:rPr>
          <w:rFonts w:ascii="Times New Roman" w:hAnsi="Times New Roman"/>
          <w:color w:val="000000"/>
          <w:sz w:val="24"/>
          <w:szCs w:val="24"/>
        </w:rPr>
        <w:t xml:space="preserve"> </w:t>
      </w:r>
      <w:r w:rsidRPr="00B479B2">
        <w:rPr>
          <w:rFonts w:ascii="Times New Roman" w:hAnsi="Times New Roman"/>
          <w:color w:val="000000"/>
          <w:sz w:val="24"/>
          <w:szCs w:val="24"/>
        </w:rPr>
        <w:t>конкуренције</w:t>
      </w:r>
      <w:r w:rsidR="006260F5" w:rsidRPr="00B479B2">
        <w:rPr>
          <w:rFonts w:ascii="Times New Roman" w:hAnsi="Times New Roman"/>
          <w:color w:val="000000"/>
          <w:sz w:val="24"/>
          <w:szCs w:val="24"/>
        </w:rPr>
        <w:t xml:space="preserve"> </w:t>
      </w:r>
      <w:r w:rsidRPr="00B479B2">
        <w:rPr>
          <w:rFonts w:ascii="Times New Roman" w:hAnsi="Times New Roman"/>
          <w:color w:val="000000"/>
          <w:sz w:val="24"/>
          <w:szCs w:val="24"/>
        </w:rPr>
        <w:t>у</w:t>
      </w:r>
      <w:r w:rsidR="006260F5" w:rsidRPr="00B479B2">
        <w:rPr>
          <w:rFonts w:ascii="Times New Roman" w:hAnsi="Times New Roman"/>
          <w:color w:val="000000"/>
          <w:sz w:val="24"/>
          <w:szCs w:val="24"/>
        </w:rPr>
        <w:t xml:space="preserve"> </w:t>
      </w:r>
      <w:r w:rsidRPr="00B479B2">
        <w:rPr>
          <w:rFonts w:ascii="Times New Roman" w:hAnsi="Times New Roman"/>
          <w:color w:val="000000"/>
          <w:sz w:val="24"/>
          <w:szCs w:val="24"/>
        </w:rPr>
        <w:t>другим</w:t>
      </w:r>
      <w:r w:rsidR="006260F5" w:rsidRPr="00B479B2">
        <w:rPr>
          <w:rFonts w:ascii="Times New Roman" w:hAnsi="Times New Roman"/>
          <w:color w:val="000000"/>
          <w:sz w:val="24"/>
          <w:szCs w:val="24"/>
        </w:rPr>
        <w:t xml:space="preserve"> </w:t>
      </w:r>
      <w:r w:rsidRPr="00B479B2">
        <w:rPr>
          <w:rFonts w:ascii="Times New Roman" w:hAnsi="Times New Roman"/>
          <w:color w:val="000000"/>
          <w:sz w:val="24"/>
          <w:szCs w:val="24"/>
        </w:rPr>
        <w:t>државама</w:t>
      </w:r>
      <w:r w:rsidR="006260F5" w:rsidRPr="00B479B2">
        <w:rPr>
          <w:rFonts w:ascii="Times New Roman" w:hAnsi="Times New Roman"/>
          <w:color w:val="000000"/>
          <w:sz w:val="24"/>
          <w:szCs w:val="24"/>
          <w:lang w:val="sr-Cyrl-CS"/>
        </w:rPr>
        <w:t xml:space="preserve">, да </w:t>
      </w:r>
      <w:r w:rsidRPr="00B479B2">
        <w:rPr>
          <w:rFonts w:ascii="Times New Roman" w:hAnsi="Times New Roman"/>
          <w:color w:val="000000"/>
          <w:sz w:val="24"/>
          <w:szCs w:val="24"/>
        </w:rPr>
        <w:t>сарађује</w:t>
      </w:r>
      <w:r w:rsidR="00A75ADF" w:rsidRPr="00B479B2">
        <w:rPr>
          <w:rFonts w:ascii="Times New Roman" w:hAnsi="Times New Roman"/>
          <w:color w:val="000000"/>
          <w:sz w:val="24"/>
          <w:szCs w:val="24"/>
        </w:rPr>
        <w:t xml:space="preserve"> </w:t>
      </w:r>
      <w:r w:rsidRPr="00B479B2">
        <w:rPr>
          <w:rFonts w:ascii="Times New Roman" w:hAnsi="Times New Roman"/>
          <w:color w:val="000000"/>
          <w:sz w:val="24"/>
          <w:szCs w:val="24"/>
        </w:rPr>
        <w:t>са</w:t>
      </w:r>
      <w:r w:rsidR="00A75ADF" w:rsidRPr="00B479B2">
        <w:rPr>
          <w:rFonts w:ascii="Times New Roman" w:hAnsi="Times New Roman"/>
          <w:color w:val="000000"/>
          <w:sz w:val="24"/>
          <w:szCs w:val="24"/>
        </w:rPr>
        <w:t xml:space="preserve"> </w:t>
      </w:r>
      <w:r w:rsidRPr="00B479B2">
        <w:rPr>
          <w:rFonts w:ascii="Times New Roman" w:hAnsi="Times New Roman"/>
          <w:color w:val="000000"/>
          <w:sz w:val="24"/>
          <w:szCs w:val="24"/>
        </w:rPr>
        <w:t>државним</w:t>
      </w:r>
      <w:r w:rsidR="00A75ADF" w:rsidRPr="00B479B2">
        <w:rPr>
          <w:rFonts w:ascii="Times New Roman" w:hAnsi="Times New Roman"/>
          <w:color w:val="000000"/>
          <w:sz w:val="24"/>
          <w:szCs w:val="24"/>
        </w:rPr>
        <w:t xml:space="preserve"> </w:t>
      </w:r>
      <w:r w:rsidRPr="00B479B2">
        <w:rPr>
          <w:rFonts w:ascii="Times New Roman" w:hAnsi="Times New Roman"/>
          <w:color w:val="000000"/>
          <w:sz w:val="24"/>
          <w:szCs w:val="24"/>
        </w:rPr>
        <w:t>органима</w:t>
      </w:r>
      <w:r w:rsidR="00A75ADF" w:rsidRPr="00B479B2">
        <w:rPr>
          <w:rFonts w:ascii="Times New Roman" w:hAnsi="Times New Roman"/>
          <w:color w:val="000000"/>
          <w:sz w:val="24"/>
          <w:szCs w:val="24"/>
        </w:rPr>
        <w:t xml:space="preserve">, </w:t>
      </w:r>
      <w:r w:rsidRPr="00B479B2">
        <w:rPr>
          <w:rFonts w:ascii="Times New Roman" w:hAnsi="Times New Roman"/>
          <w:color w:val="000000"/>
          <w:sz w:val="24"/>
          <w:szCs w:val="24"/>
        </w:rPr>
        <w:t>органима</w:t>
      </w:r>
      <w:r w:rsidR="00A75ADF" w:rsidRPr="00B479B2">
        <w:rPr>
          <w:rFonts w:ascii="Times New Roman" w:hAnsi="Times New Roman"/>
          <w:color w:val="000000"/>
          <w:sz w:val="24"/>
          <w:szCs w:val="24"/>
        </w:rPr>
        <w:t xml:space="preserve"> </w:t>
      </w:r>
      <w:r w:rsidRPr="00B479B2">
        <w:rPr>
          <w:rFonts w:ascii="Times New Roman" w:hAnsi="Times New Roman"/>
          <w:color w:val="000000"/>
          <w:sz w:val="24"/>
          <w:szCs w:val="24"/>
        </w:rPr>
        <w:t>територијалне</w:t>
      </w:r>
      <w:r w:rsidR="00A75ADF" w:rsidRPr="00B479B2">
        <w:rPr>
          <w:rFonts w:ascii="Times New Roman" w:hAnsi="Times New Roman"/>
          <w:color w:val="000000"/>
          <w:sz w:val="24"/>
          <w:szCs w:val="24"/>
        </w:rPr>
        <w:t xml:space="preserve"> </w:t>
      </w:r>
      <w:r w:rsidRPr="00B479B2">
        <w:rPr>
          <w:rFonts w:ascii="Times New Roman" w:hAnsi="Times New Roman"/>
          <w:color w:val="000000"/>
          <w:sz w:val="24"/>
          <w:szCs w:val="24"/>
        </w:rPr>
        <w:lastRenderedPageBreak/>
        <w:t>аутономије</w:t>
      </w:r>
      <w:r w:rsidR="00A75ADF" w:rsidRPr="00B479B2">
        <w:rPr>
          <w:rFonts w:ascii="Times New Roman" w:hAnsi="Times New Roman"/>
          <w:color w:val="000000"/>
          <w:sz w:val="24"/>
          <w:szCs w:val="24"/>
        </w:rPr>
        <w:t xml:space="preserve"> </w:t>
      </w:r>
      <w:r w:rsidRPr="00B479B2">
        <w:rPr>
          <w:rFonts w:ascii="Times New Roman" w:hAnsi="Times New Roman"/>
          <w:color w:val="000000"/>
          <w:sz w:val="24"/>
          <w:szCs w:val="24"/>
        </w:rPr>
        <w:t>и</w:t>
      </w:r>
      <w:r w:rsidR="00A75ADF" w:rsidRPr="00B479B2">
        <w:rPr>
          <w:rFonts w:ascii="Times New Roman" w:hAnsi="Times New Roman"/>
          <w:color w:val="000000"/>
          <w:sz w:val="24"/>
          <w:szCs w:val="24"/>
        </w:rPr>
        <w:t xml:space="preserve"> </w:t>
      </w:r>
      <w:r w:rsidRPr="00B479B2">
        <w:rPr>
          <w:rFonts w:ascii="Times New Roman" w:hAnsi="Times New Roman"/>
          <w:color w:val="000000"/>
          <w:sz w:val="24"/>
          <w:szCs w:val="24"/>
        </w:rPr>
        <w:t>локалне</w:t>
      </w:r>
      <w:r w:rsidR="00A75ADF" w:rsidRPr="00B479B2">
        <w:rPr>
          <w:rFonts w:ascii="Times New Roman" w:hAnsi="Times New Roman"/>
          <w:color w:val="000000"/>
          <w:sz w:val="24"/>
          <w:szCs w:val="24"/>
        </w:rPr>
        <w:t xml:space="preserve"> </w:t>
      </w:r>
      <w:r w:rsidRPr="00B479B2">
        <w:rPr>
          <w:rFonts w:ascii="Times New Roman" w:hAnsi="Times New Roman"/>
          <w:color w:val="000000"/>
          <w:sz w:val="24"/>
          <w:szCs w:val="24"/>
        </w:rPr>
        <w:t>самоуправе</w:t>
      </w:r>
      <w:r w:rsidR="00A75ADF" w:rsidRPr="00B479B2">
        <w:rPr>
          <w:rFonts w:ascii="Times New Roman" w:hAnsi="Times New Roman"/>
          <w:color w:val="000000"/>
          <w:sz w:val="24"/>
          <w:szCs w:val="24"/>
        </w:rPr>
        <w:t>,</w:t>
      </w:r>
      <w:r w:rsidR="00A75ADF" w:rsidRPr="00B479B2">
        <w:rPr>
          <w:rFonts w:ascii="Times New Roman" w:hAnsi="Times New Roman"/>
          <w:color w:val="000000"/>
          <w:sz w:val="24"/>
          <w:szCs w:val="24"/>
          <w:lang w:val="sr-Cyrl-CS"/>
        </w:rPr>
        <w:t xml:space="preserve"> спречавање доминантног положаја</w:t>
      </w:r>
      <w:r w:rsidR="006260F5" w:rsidRPr="00B479B2">
        <w:rPr>
          <w:rFonts w:ascii="Times New Roman" w:hAnsi="Times New Roman"/>
          <w:color w:val="000000"/>
          <w:sz w:val="24"/>
          <w:szCs w:val="24"/>
          <w:lang w:val="sr-Cyrl-CS"/>
        </w:rPr>
        <w:t xml:space="preserve"> итд.</w:t>
      </w:r>
      <w:r w:rsidR="000F3B71">
        <w:rPr>
          <w:rFonts w:ascii="Times New Roman" w:hAnsi="Times New Roman"/>
          <w:sz w:val="24"/>
          <w:szCs w:val="24"/>
          <w:lang w:val="sr-Cyrl-CS"/>
        </w:rPr>
        <w:t xml:space="preserve"> </w:t>
      </w:r>
      <w:r w:rsidR="00313E81" w:rsidRPr="00B479B2">
        <w:rPr>
          <w:rFonts w:ascii="Times New Roman" w:hAnsi="Times New Roman"/>
          <w:color w:val="000000"/>
          <w:sz w:val="24"/>
          <w:szCs w:val="24"/>
          <w:lang w:val="sr-Cyrl-CS"/>
        </w:rPr>
        <w:t>Комисија спроводи поступак утврђивања повреде конкуренције по службеној дужности, има право вршења ненајављеног увиђаја, као и уласка у пр</w:t>
      </w:r>
      <w:r w:rsidR="006260F5" w:rsidRPr="00B479B2">
        <w:rPr>
          <w:rFonts w:ascii="Times New Roman" w:hAnsi="Times New Roman"/>
          <w:color w:val="000000"/>
          <w:sz w:val="24"/>
          <w:szCs w:val="24"/>
          <w:lang w:val="sr-Cyrl-CS"/>
        </w:rPr>
        <w:t>осторије, право да привремено од</w:t>
      </w:r>
      <w:r w:rsidR="00313E81" w:rsidRPr="00B479B2">
        <w:rPr>
          <w:rFonts w:ascii="Times New Roman" w:hAnsi="Times New Roman"/>
          <w:color w:val="000000"/>
          <w:sz w:val="24"/>
          <w:szCs w:val="24"/>
          <w:lang w:val="sr-Cyrl-CS"/>
        </w:rPr>
        <w:t>узме документа и ствари, као и да изриче привремене мере. Има овлашћења да изриче структурне мере и мере понашања, процесне пенале</w:t>
      </w:r>
      <w:r w:rsidR="006260F5" w:rsidRPr="00B479B2">
        <w:rPr>
          <w:rFonts w:ascii="Times New Roman" w:hAnsi="Times New Roman"/>
          <w:color w:val="000000"/>
          <w:sz w:val="24"/>
          <w:szCs w:val="24"/>
          <w:lang w:val="sr-Cyrl-CS"/>
        </w:rPr>
        <w:t xml:space="preserve">, </w:t>
      </w:r>
      <w:r w:rsidR="00313E81" w:rsidRPr="00B479B2">
        <w:rPr>
          <w:rFonts w:ascii="Times New Roman" w:hAnsi="Times New Roman"/>
          <w:color w:val="000000"/>
          <w:sz w:val="24"/>
          <w:szCs w:val="24"/>
          <w:lang w:val="sr-Cyrl-CS"/>
        </w:rPr>
        <w:t xml:space="preserve"> у случају непоступања по њеним налозима, као  и новчане казне.</w:t>
      </w:r>
      <w:r w:rsidR="006260F5" w:rsidRPr="00B479B2">
        <w:rPr>
          <w:rFonts w:ascii="Times New Roman" w:hAnsi="Times New Roman"/>
          <w:color w:val="000000"/>
          <w:sz w:val="24"/>
          <w:szCs w:val="24"/>
          <w:lang w:val="sr-Cyrl-CS"/>
        </w:rPr>
        <w:t xml:space="preserve"> </w:t>
      </w:r>
    </w:p>
    <w:p w:rsidR="00ED2827" w:rsidRPr="00097782" w:rsidRDefault="00ED2827" w:rsidP="00097782">
      <w:pPr>
        <w:ind w:firstLine="708"/>
        <w:jc w:val="both"/>
        <w:rPr>
          <w:rFonts w:ascii="Times New Roman" w:hAnsi="Times New Roman"/>
          <w:color w:val="000000"/>
          <w:sz w:val="24"/>
          <w:szCs w:val="24"/>
          <w:lang w:val="sr-Cyrl-CS"/>
        </w:rPr>
      </w:pPr>
      <w:r w:rsidRPr="001B321C">
        <w:rPr>
          <w:rFonts w:ascii="Times New Roman" w:hAnsi="Times New Roman"/>
          <w:sz w:val="24"/>
          <w:szCs w:val="24"/>
          <w:lang w:val="sr-Cyrl-CS"/>
        </w:rPr>
        <w:t>Заштитник грађана</w:t>
      </w:r>
      <w:r w:rsidRPr="001B321C">
        <w:rPr>
          <w:rFonts w:ascii="Times New Roman" w:hAnsi="Times New Roman"/>
          <w:color w:val="070808"/>
          <w:sz w:val="24"/>
          <w:szCs w:val="24"/>
          <w:shd w:val="clear" w:color="auto" w:fill="FFFFFF"/>
        </w:rPr>
        <w:t xml:space="preserve"> је инокосни државни орган који штити и унапређује остваривање права грађана контролишући да ли органи и организације које обављају јавна овлашћења свој посао раде законито и правилно. Поред контроле формалног поштовања закона Заштитник грађана с посебном пажњом испитује етичност, савесност, непристрасност, стручност, сврсисходност, делотворност, поштовање достојанства странке и остале особине које треба да карактеришу управу, а које грађани с пуним правом очекују од оних које као порески обвезници плаћају. У правни поредак Републике Србије институција Заштитника грађана (омбудсмана) уведена је 2005. године када је и донет Закон о Заштитнику грађана.</w:t>
      </w:r>
      <w:r w:rsidR="00097782" w:rsidRPr="00097782">
        <w:rPr>
          <w:rStyle w:val="FootnoteReference"/>
          <w:rFonts w:ascii="Times New Roman" w:hAnsi="Times New Roman"/>
          <w:sz w:val="24"/>
          <w:szCs w:val="24"/>
          <w:lang w:val="sr-Cyrl-CS"/>
        </w:rPr>
        <w:t xml:space="preserve"> </w:t>
      </w:r>
      <w:r w:rsidR="00097782" w:rsidRPr="001B321C">
        <w:rPr>
          <w:rStyle w:val="FootnoteReference"/>
          <w:rFonts w:ascii="Times New Roman" w:hAnsi="Times New Roman"/>
          <w:sz w:val="24"/>
          <w:szCs w:val="24"/>
          <w:lang w:val="sr-Cyrl-CS"/>
        </w:rPr>
        <w:footnoteReference w:id="899"/>
      </w:r>
      <w:r w:rsidRPr="001B321C">
        <w:rPr>
          <w:rFonts w:ascii="Times New Roman" w:hAnsi="Times New Roman"/>
          <w:color w:val="070808"/>
          <w:sz w:val="24"/>
          <w:szCs w:val="24"/>
          <w:shd w:val="clear" w:color="auto" w:fill="FFFFFF"/>
        </w:rPr>
        <w:t xml:space="preserve"> Постојање ове институције потврђено је и Уставом Републике Србије из 2006.</w:t>
      </w:r>
      <w:r w:rsidRPr="001B321C">
        <w:rPr>
          <w:rStyle w:val="FootnoteReference"/>
          <w:rFonts w:ascii="Times New Roman" w:hAnsi="Times New Roman"/>
          <w:color w:val="070808"/>
          <w:sz w:val="24"/>
          <w:szCs w:val="24"/>
          <w:shd w:val="clear" w:color="auto" w:fill="FFFFFF"/>
        </w:rPr>
        <w:footnoteReference w:id="900"/>
      </w:r>
      <w:r w:rsidR="006260F5" w:rsidRPr="001B321C">
        <w:rPr>
          <w:rFonts w:ascii="Times New Roman" w:hAnsi="Times New Roman"/>
          <w:color w:val="070808"/>
          <w:sz w:val="24"/>
          <w:szCs w:val="24"/>
          <w:shd w:val="clear" w:color="auto" w:fill="FFFFFF"/>
          <w:lang w:val="sr-Cyrl-CS"/>
        </w:rPr>
        <w:t xml:space="preserve"> </w:t>
      </w:r>
      <w:r w:rsidR="00097782">
        <w:rPr>
          <w:rFonts w:ascii="Times New Roman" w:hAnsi="Times New Roman"/>
          <w:color w:val="070808"/>
          <w:sz w:val="24"/>
          <w:szCs w:val="24"/>
          <w:shd w:val="clear" w:color="auto" w:fill="FFFFFF"/>
          <w:lang w:val="sr-Cyrl-CS"/>
        </w:rPr>
        <w:t xml:space="preserve">То је </w:t>
      </w:r>
      <w:r w:rsidR="00097782" w:rsidRPr="001B321C">
        <w:rPr>
          <w:rFonts w:ascii="Times New Roman" w:hAnsi="Times New Roman"/>
          <w:color w:val="000000"/>
          <w:sz w:val="24"/>
          <w:szCs w:val="24"/>
        </w:rPr>
        <w:t>независан државни орган који штити права грађана и контролише рад органа државне управе, органа надлежног за правну заштиту имовинских права и интереса Републике Србије, као и других органа и организација, предузећа и установа којима су поверена јавна овлашћења</w:t>
      </w:r>
      <w:r w:rsidR="00097782" w:rsidRPr="001B321C">
        <w:rPr>
          <w:rFonts w:ascii="Times New Roman" w:hAnsi="Times New Roman"/>
          <w:color w:val="000000"/>
          <w:sz w:val="24"/>
          <w:szCs w:val="24"/>
          <w:lang w:val="sr-Cyrl-CS"/>
        </w:rPr>
        <w:t>.</w:t>
      </w:r>
    </w:p>
    <w:p w:rsidR="00D97F54" w:rsidRPr="001B321C" w:rsidRDefault="00D97F54" w:rsidP="00B479B2">
      <w:pPr>
        <w:ind w:firstLine="708"/>
        <w:jc w:val="both"/>
        <w:rPr>
          <w:rFonts w:ascii="Times New Roman" w:hAnsi="Times New Roman"/>
          <w:sz w:val="24"/>
          <w:szCs w:val="24"/>
          <w:lang w:val="sr-Cyrl-CS"/>
        </w:rPr>
      </w:pPr>
      <w:r w:rsidRPr="001B321C">
        <w:rPr>
          <w:rFonts w:ascii="Times New Roman" w:hAnsi="Times New Roman"/>
          <w:sz w:val="24"/>
          <w:szCs w:val="24"/>
          <w:lang w:val="sr-Cyrl-CS"/>
        </w:rPr>
        <w:t>Деловање о</w:t>
      </w:r>
      <w:r w:rsidR="00097782">
        <w:rPr>
          <w:rFonts w:ascii="Times New Roman" w:hAnsi="Times New Roman"/>
          <w:sz w:val="24"/>
          <w:szCs w:val="24"/>
          <w:lang w:val="sr-Cyrl-CS"/>
        </w:rPr>
        <w:t>м</w:t>
      </w:r>
      <w:r w:rsidR="005D2E60">
        <w:rPr>
          <w:rFonts w:ascii="Times New Roman" w:hAnsi="Times New Roman"/>
          <w:sz w:val="24"/>
          <w:szCs w:val="24"/>
          <w:lang w:val="sr-Cyrl-CS"/>
        </w:rPr>
        <w:t>буд</w:t>
      </w:r>
      <w:r w:rsidRPr="001B321C">
        <w:rPr>
          <w:rFonts w:ascii="Times New Roman" w:hAnsi="Times New Roman"/>
          <w:sz w:val="24"/>
          <w:szCs w:val="24"/>
          <w:lang w:val="sr-Cyrl-CS"/>
        </w:rPr>
        <w:t xml:space="preserve">смана и сама чињеница његовог постојања </w:t>
      </w:r>
      <w:r w:rsidR="005D2E60">
        <w:rPr>
          <w:rFonts w:ascii="Times New Roman" w:hAnsi="Times New Roman"/>
          <w:sz w:val="24"/>
          <w:szCs w:val="24"/>
          <w:lang w:val="sr-Cyrl-CS"/>
        </w:rPr>
        <w:t xml:space="preserve">има велики психолошки значај за </w:t>
      </w:r>
      <w:r w:rsidRPr="001B321C">
        <w:rPr>
          <w:rFonts w:ascii="Times New Roman" w:hAnsi="Times New Roman"/>
          <w:sz w:val="24"/>
          <w:szCs w:val="24"/>
          <w:lang w:val="sr-Cyrl-CS"/>
        </w:rPr>
        <w:t>поре</w:t>
      </w:r>
      <w:r w:rsidR="005D2E60">
        <w:rPr>
          <w:rFonts w:ascii="Times New Roman" w:hAnsi="Times New Roman"/>
          <w:sz w:val="24"/>
          <w:szCs w:val="24"/>
          <w:lang w:val="sr-Cyrl-CS"/>
        </w:rPr>
        <w:t xml:space="preserve">ске органе и пореске обвезнике, јер су порески органи </w:t>
      </w:r>
      <w:r w:rsidRPr="001B321C">
        <w:rPr>
          <w:rFonts w:ascii="Times New Roman" w:hAnsi="Times New Roman"/>
          <w:sz w:val="24"/>
          <w:szCs w:val="24"/>
          <w:lang w:val="sr-Cyrl-CS"/>
        </w:rPr>
        <w:t xml:space="preserve"> свесни чињенице да постоји посебан и не</w:t>
      </w:r>
      <w:r w:rsidR="005D2E60">
        <w:rPr>
          <w:rFonts w:ascii="Times New Roman" w:hAnsi="Times New Roman"/>
          <w:sz w:val="24"/>
          <w:szCs w:val="24"/>
          <w:lang w:val="sr-Cyrl-CS"/>
        </w:rPr>
        <w:t>завистан контролор њиховог рада и</w:t>
      </w:r>
      <w:r w:rsidRPr="001B321C">
        <w:rPr>
          <w:rFonts w:ascii="Times New Roman" w:hAnsi="Times New Roman"/>
          <w:sz w:val="24"/>
          <w:szCs w:val="24"/>
          <w:lang w:val="sr-Cyrl-CS"/>
        </w:rPr>
        <w:t xml:space="preserve"> </w:t>
      </w:r>
      <w:r w:rsidR="005D2E60">
        <w:rPr>
          <w:rFonts w:ascii="Times New Roman" w:hAnsi="Times New Roman"/>
          <w:sz w:val="24"/>
          <w:szCs w:val="24"/>
          <w:lang w:val="sr-Cyrl-CS"/>
        </w:rPr>
        <w:t>због тога се</w:t>
      </w:r>
      <w:r w:rsidRPr="001B321C">
        <w:rPr>
          <w:rFonts w:ascii="Times New Roman" w:hAnsi="Times New Roman"/>
          <w:sz w:val="24"/>
          <w:szCs w:val="24"/>
          <w:lang w:val="sr-Cyrl-CS"/>
        </w:rPr>
        <w:t xml:space="preserve"> труде да не постану предмет ње</w:t>
      </w:r>
      <w:r w:rsidR="005D2E60">
        <w:rPr>
          <w:rFonts w:ascii="Times New Roman" w:hAnsi="Times New Roman"/>
          <w:sz w:val="24"/>
          <w:szCs w:val="24"/>
          <w:lang w:val="sr-Cyrl-CS"/>
        </w:rPr>
        <w:t>гове критике, те</w:t>
      </w:r>
      <w:r w:rsidRPr="001B321C">
        <w:rPr>
          <w:rFonts w:ascii="Times New Roman" w:hAnsi="Times New Roman"/>
          <w:sz w:val="24"/>
          <w:szCs w:val="24"/>
          <w:lang w:val="sr-Cyrl-CS"/>
        </w:rPr>
        <w:t xml:space="preserve"> у </w:t>
      </w:r>
      <w:r w:rsidR="005D2E60">
        <w:rPr>
          <w:rFonts w:ascii="Times New Roman" w:hAnsi="Times New Roman"/>
          <w:sz w:val="24"/>
          <w:szCs w:val="24"/>
          <w:lang w:val="sr-Cyrl-CS"/>
        </w:rPr>
        <w:t>том</w:t>
      </w:r>
      <w:r w:rsidRPr="001B321C">
        <w:rPr>
          <w:rFonts w:ascii="Times New Roman" w:hAnsi="Times New Roman"/>
          <w:sz w:val="24"/>
          <w:szCs w:val="24"/>
          <w:lang w:val="sr-Cyrl-CS"/>
        </w:rPr>
        <w:t xml:space="preserve"> смислу </w:t>
      </w:r>
      <w:r w:rsidR="005D2E60">
        <w:rPr>
          <w:rFonts w:ascii="Times New Roman" w:hAnsi="Times New Roman"/>
          <w:sz w:val="24"/>
          <w:szCs w:val="24"/>
          <w:lang w:val="sr-Cyrl-CS"/>
        </w:rPr>
        <w:t>ом</w:t>
      </w:r>
      <w:r w:rsidR="005D2E60" w:rsidRPr="001B321C">
        <w:rPr>
          <w:rFonts w:ascii="Times New Roman" w:hAnsi="Times New Roman"/>
          <w:sz w:val="24"/>
          <w:szCs w:val="24"/>
          <w:lang w:val="sr-Cyrl-CS"/>
        </w:rPr>
        <w:t>б</w:t>
      </w:r>
      <w:r w:rsidR="005D2E60">
        <w:rPr>
          <w:rFonts w:ascii="Times New Roman" w:hAnsi="Times New Roman"/>
          <w:sz w:val="24"/>
          <w:szCs w:val="24"/>
          <w:lang w:val="sr-Cyrl-CS"/>
        </w:rPr>
        <w:t>уд</w:t>
      </w:r>
      <w:r w:rsidR="005D2E60" w:rsidRPr="001B321C">
        <w:rPr>
          <w:rFonts w:ascii="Times New Roman" w:hAnsi="Times New Roman"/>
          <w:sz w:val="24"/>
          <w:szCs w:val="24"/>
          <w:lang w:val="sr-Cyrl-CS"/>
        </w:rPr>
        <w:t xml:space="preserve">сман </w:t>
      </w:r>
      <w:r w:rsidRPr="001B321C">
        <w:rPr>
          <w:rFonts w:ascii="Times New Roman" w:hAnsi="Times New Roman"/>
          <w:sz w:val="24"/>
          <w:szCs w:val="24"/>
          <w:lang w:val="sr-Cyrl-CS"/>
        </w:rPr>
        <w:t xml:space="preserve">врши </w:t>
      </w:r>
      <w:r w:rsidR="005D2E60">
        <w:rPr>
          <w:rFonts w:ascii="Times New Roman" w:hAnsi="Times New Roman"/>
          <w:sz w:val="24"/>
          <w:szCs w:val="24"/>
          <w:lang w:val="sr-Cyrl-CS"/>
        </w:rPr>
        <w:t>значајно</w:t>
      </w:r>
      <w:r w:rsidRPr="001B321C">
        <w:rPr>
          <w:rFonts w:ascii="Times New Roman" w:hAnsi="Times New Roman"/>
          <w:sz w:val="24"/>
          <w:szCs w:val="24"/>
          <w:lang w:val="sr-Cyrl-CS"/>
        </w:rPr>
        <w:t xml:space="preserve"> превентивно дејство и без великих правних овлашћења. </w:t>
      </w:r>
      <w:r w:rsidR="00DD79AD" w:rsidRPr="001B321C">
        <w:rPr>
          <w:rFonts w:ascii="Times New Roman" w:hAnsi="Times New Roman"/>
          <w:sz w:val="24"/>
          <w:szCs w:val="24"/>
          <w:lang w:val="sr-Cyrl-CS"/>
        </w:rPr>
        <w:t>С</w:t>
      </w:r>
      <w:r w:rsidR="005D2E60">
        <w:rPr>
          <w:rFonts w:ascii="Times New Roman" w:hAnsi="Times New Roman"/>
          <w:sz w:val="24"/>
          <w:szCs w:val="24"/>
          <w:lang w:val="sr-Cyrl-CS"/>
        </w:rPr>
        <w:t xml:space="preserve">а становишта пореских обвезника </w:t>
      </w:r>
      <w:r w:rsidR="005D2E60" w:rsidRPr="001B321C">
        <w:rPr>
          <w:rFonts w:ascii="Times New Roman" w:hAnsi="Times New Roman"/>
          <w:sz w:val="24"/>
          <w:szCs w:val="24"/>
          <w:lang w:val="sr-Cyrl-CS"/>
        </w:rPr>
        <w:t>о</w:t>
      </w:r>
      <w:r w:rsidR="005D2E60">
        <w:rPr>
          <w:rFonts w:ascii="Times New Roman" w:hAnsi="Times New Roman"/>
          <w:sz w:val="24"/>
          <w:szCs w:val="24"/>
          <w:lang w:val="sr-Cyrl-CS"/>
        </w:rPr>
        <w:t>мбуд</w:t>
      </w:r>
      <w:r w:rsidR="005D2E60" w:rsidRPr="001B321C">
        <w:rPr>
          <w:rFonts w:ascii="Times New Roman" w:hAnsi="Times New Roman"/>
          <w:sz w:val="24"/>
          <w:szCs w:val="24"/>
          <w:lang w:val="sr-Cyrl-CS"/>
        </w:rPr>
        <w:t>смана</w:t>
      </w:r>
      <w:r w:rsidR="00DD79AD" w:rsidRPr="001B321C">
        <w:rPr>
          <w:rFonts w:ascii="Times New Roman" w:hAnsi="Times New Roman"/>
          <w:sz w:val="24"/>
          <w:szCs w:val="24"/>
          <w:lang w:val="sr-Cyrl-CS"/>
        </w:rPr>
        <w:t xml:space="preserve"> </w:t>
      </w:r>
      <w:r w:rsidR="005D2E60">
        <w:rPr>
          <w:rFonts w:ascii="Times New Roman" w:hAnsi="Times New Roman"/>
          <w:sz w:val="24"/>
          <w:szCs w:val="24"/>
          <w:lang w:val="sr-Cyrl-CS"/>
        </w:rPr>
        <w:t>има</w:t>
      </w:r>
      <w:r w:rsidR="00DD79AD" w:rsidRPr="001B321C">
        <w:rPr>
          <w:rFonts w:ascii="Times New Roman" w:hAnsi="Times New Roman"/>
          <w:sz w:val="24"/>
          <w:szCs w:val="24"/>
          <w:lang w:val="sr-Cyrl-CS"/>
        </w:rPr>
        <w:t xml:space="preserve"> велико психолошко дејство јер су они свесни да постоји посебна и специјализована институција којој могу да се обрате са својим притужбама на рад пореских органа. </w:t>
      </w:r>
      <w:r w:rsidR="005D2E60">
        <w:rPr>
          <w:rFonts w:ascii="Times New Roman" w:hAnsi="Times New Roman"/>
          <w:sz w:val="24"/>
          <w:szCs w:val="24"/>
          <w:lang w:val="sr-Cyrl-CS"/>
        </w:rPr>
        <w:t>Могућност која стоји на располагању пореским обвезницима да се</w:t>
      </w:r>
      <w:r w:rsidR="00097782">
        <w:rPr>
          <w:rFonts w:ascii="Times New Roman" w:hAnsi="Times New Roman"/>
          <w:sz w:val="24"/>
          <w:szCs w:val="24"/>
          <w:lang w:val="sr-Cyrl-CS"/>
        </w:rPr>
        <w:t xml:space="preserve"> могу обратити омбуд</w:t>
      </w:r>
      <w:r w:rsidR="00DD79AD" w:rsidRPr="001B321C">
        <w:rPr>
          <w:rFonts w:ascii="Times New Roman" w:hAnsi="Times New Roman"/>
          <w:sz w:val="24"/>
          <w:szCs w:val="24"/>
          <w:lang w:val="sr-Cyrl-CS"/>
        </w:rPr>
        <w:t>сману</w:t>
      </w:r>
      <w:r w:rsidR="005D2E60">
        <w:rPr>
          <w:rFonts w:ascii="Times New Roman" w:hAnsi="Times New Roman"/>
          <w:sz w:val="24"/>
          <w:szCs w:val="24"/>
          <w:lang w:val="sr-Cyrl-CS"/>
        </w:rPr>
        <w:t>,</w:t>
      </w:r>
      <w:r w:rsidR="00DD79AD" w:rsidRPr="001B321C">
        <w:rPr>
          <w:rFonts w:ascii="Times New Roman" w:hAnsi="Times New Roman"/>
          <w:sz w:val="24"/>
          <w:szCs w:val="24"/>
          <w:lang w:val="sr-Cyrl-CS"/>
        </w:rPr>
        <w:t xml:space="preserve"> непосредно и без икаквих формалности, </w:t>
      </w:r>
      <w:r w:rsidR="005D2E60">
        <w:rPr>
          <w:rFonts w:ascii="Times New Roman" w:hAnsi="Times New Roman"/>
          <w:sz w:val="24"/>
          <w:szCs w:val="24"/>
          <w:lang w:val="sr-Cyrl-CS"/>
        </w:rPr>
        <w:t>значи пореским обвезницима</w:t>
      </w:r>
      <w:r w:rsidR="00DD79AD" w:rsidRPr="001B321C">
        <w:rPr>
          <w:rFonts w:ascii="Times New Roman" w:hAnsi="Times New Roman"/>
          <w:sz w:val="24"/>
          <w:szCs w:val="24"/>
          <w:lang w:val="sr-Cyrl-CS"/>
        </w:rPr>
        <w:t xml:space="preserve"> јер им пружа додатну сигурност. </w:t>
      </w:r>
      <w:r w:rsidR="005D2E60">
        <w:rPr>
          <w:rFonts w:ascii="Times New Roman" w:hAnsi="Times New Roman"/>
          <w:sz w:val="24"/>
          <w:szCs w:val="24"/>
          <w:lang w:val="sr-Cyrl-CS"/>
        </w:rPr>
        <w:t>Неке земље</w:t>
      </w:r>
      <w:r w:rsidR="00DD79AD" w:rsidRPr="001B321C">
        <w:rPr>
          <w:rFonts w:ascii="Times New Roman" w:hAnsi="Times New Roman"/>
          <w:sz w:val="24"/>
          <w:szCs w:val="24"/>
          <w:lang w:val="sr-Cyrl-CS"/>
        </w:rPr>
        <w:t xml:space="preserve"> има</w:t>
      </w:r>
      <w:r w:rsidR="005D2E60">
        <w:rPr>
          <w:rFonts w:ascii="Times New Roman" w:hAnsi="Times New Roman"/>
          <w:sz w:val="24"/>
          <w:szCs w:val="24"/>
          <w:lang w:val="sr-Cyrl-CS"/>
        </w:rPr>
        <w:t>ју</w:t>
      </w:r>
      <w:r w:rsidR="00DD79AD" w:rsidRPr="001B321C">
        <w:rPr>
          <w:rFonts w:ascii="Times New Roman" w:hAnsi="Times New Roman"/>
          <w:sz w:val="24"/>
          <w:szCs w:val="24"/>
          <w:lang w:val="sr-Cyrl-CS"/>
        </w:rPr>
        <w:t xml:space="preserve"> специјализов</w:t>
      </w:r>
      <w:r w:rsidR="000F326B" w:rsidRPr="001B321C">
        <w:rPr>
          <w:rFonts w:ascii="Times New Roman" w:hAnsi="Times New Roman"/>
          <w:sz w:val="24"/>
          <w:szCs w:val="24"/>
          <w:lang w:val="sr-Cyrl-CS"/>
        </w:rPr>
        <w:t>аног о</w:t>
      </w:r>
      <w:r w:rsidR="00097782">
        <w:rPr>
          <w:rFonts w:ascii="Times New Roman" w:hAnsi="Times New Roman"/>
          <w:sz w:val="24"/>
          <w:szCs w:val="24"/>
          <w:lang w:val="sr-Cyrl-CS"/>
        </w:rPr>
        <w:t>м</w:t>
      </w:r>
      <w:r w:rsidR="000F326B" w:rsidRPr="001B321C">
        <w:rPr>
          <w:rFonts w:ascii="Times New Roman" w:hAnsi="Times New Roman"/>
          <w:sz w:val="24"/>
          <w:szCs w:val="24"/>
          <w:lang w:val="sr-Cyrl-CS"/>
        </w:rPr>
        <w:t>б</w:t>
      </w:r>
      <w:r w:rsidR="00097782">
        <w:rPr>
          <w:rFonts w:ascii="Times New Roman" w:hAnsi="Times New Roman"/>
          <w:sz w:val="24"/>
          <w:szCs w:val="24"/>
          <w:lang w:val="sr-Cyrl-CS"/>
        </w:rPr>
        <w:t>уд</w:t>
      </w:r>
      <w:r w:rsidR="000F326B" w:rsidRPr="001B321C">
        <w:rPr>
          <w:rFonts w:ascii="Times New Roman" w:hAnsi="Times New Roman"/>
          <w:sz w:val="24"/>
          <w:szCs w:val="24"/>
          <w:lang w:val="sr-Cyrl-CS"/>
        </w:rPr>
        <w:t xml:space="preserve">смана за пореску власт - </w:t>
      </w:r>
      <w:r w:rsidR="00DD79AD" w:rsidRPr="001B321C">
        <w:rPr>
          <w:rFonts w:ascii="Times New Roman" w:hAnsi="Times New Roman"/>
          <w:sz w:val="24"/>
          <w:szCs w:val="24"/>
          <w:lang w:val="sr-Cyrl-CS"/>
        </w:rPr>
        <w:t>пореског о</w:t>
      </w:r>
      <w:r w:rsidR="00097782">
        <w:rPr>
          <w:rFonts w:ascii="Times New Roman" w:hAnsi="Times New Roman"/>
          <w:sz w:val="24"/>
          <w:szCs w:val="24"/>
          <w:lang w:val="sr-Cyrl-CS"/>
        </w:rPr>
        <w:t>м</w:t>
      </w:r>
      <w:r w:rsidR="00DD79AD" w:rsidRPr="001B321C">
        <w:rPr>
          <w:rFonts w:ascii="Times New Roman" w:hAnsi="Times New Roman"/>
          <w:sz w:val="24"/>
          <w:szCs w:val="24"/>
          <w:lang w:val="sr-Cyrl-CS"/>
        </w:rPr>
        <w:t>б</w:t>
      </w:r>
      <w:r w:rsidR="00097782">
        <w:rPr>
          <w:rFonts w:ascii="Times New Roman" w:hAnsi="Times New Roman"/>
          <w:sz w:val="24"/>
          <w:szCs w:val="24"/>
          <w:lang w:val="sr-Cyrl-CS"/>
        </w:rPr>
        <w:t>уд</w:t>
      </w:r>
      <w:r w:rsidR="00DD79AD" w:rsidRPr="001B321C">
        <w:rPr>
          <w:rFonts w:ascii="Times New Roman" w:hAnsi="Times New Roman"/>
          <w:sz w:val="24"/>
          <w:szCs w:val="24"/>
          <w:lang w:val="sr-Cyrl-CS"/>
        </w:rPr>
        <w:t>смана.</w:t>
      </w:r>
      <w:r w:rsidR="00DD79AD" w:rsidRPr="001B321C">
        <w:rPr>
          <w:rStyle w:val="FootnoteReference"/>
          <w:rFonts w:ascii="Times New Roman" w:hAnsi="Times New Roman"/>
          <w:sz w:val="24"/>
          <w:szCs w:val="24"/>
          <w:lang w:val="sr-Cyrl-CS"/>
        </w:rPr>
        <w:footnoteReference w:id="901"/>
      </w:r>
    </w:p>
    <w:p w:rsidR="0090539B" w:rsidRPr="001B321C" w:rsidRDefault="00097782" w:rsidP="00B479B2">
      <w:pPr>
        <w:ind w:firstLine="708"/>
        <w:jc w:val="both"/>
        <w:rPr>
          <w:rFonts w:ascii="Times New Roman" w:hAnsi="Times New Roman"/>
          <w:sz w:val="24"/>
          <w:szCs w:val="24"/>
          <w:lang w:val="sr-Cyrl-CS"/>
        </w:rPr>
      </w:pPr>
      <w:r>
        <w:rPr>
          <w:rFonts w:ascii="Times New Roman" w:hAnsi="Times New Roman"/>
          <w:color w:val="000000"/>
          <w:sz w:val="24"/>
          <w:szCs w:val="24"/>
          <w:lang w:val="sr-Cyrl-CS"/>
        </w:rPr>
        <w:t>Од з</w:t>
      </w:r>
      <w:r w:rsidR="003E6D27" w:rsidRPr="001B321C">
        <w:rPr>
          <w:rFonts w:ascii="Times New Roman" w:hAnsi="Times New Roman"/>
          <w:color w:val="000000"/>
          <w:sz w:val="24"/>
          <w:szCs w:val="24"/>
          <w:lang w:val="sr-Cyrl-CS"/>
        </w:rPr>
        <w:t>начаја је поменути и нестраначку невладину организацију Транспарентност Србија, која је усмерена на борбу на борбу против корупције.</w:t>
      </w:r>
      <w:r w:rsidR="003E6D27" w:rsidRPr="001B321C">
        <w:rPr>
          <w:rFonts w:ascii="Times New Roman" w:hAnsi="Times New Roman"/>
          <w:b/>
          <w:bCs/>
          <w:color w:val="000000"/>
          <w:sz w:val="24"/>
          <w:szCs w:val="24"/>
          <w:lang w:val="sr-Cyrl-CS"/>
        </w:rPr>
        <w:t xml:space="preserve"> </w:t>
      </w:r>
      <w:r w:rsidR="00011174" w:rsidRPr="001B321C">
        <w:rPr>
          <w:rFonts w:ascii="Times New Roman" w:hAnsi="Times New Roman"/>
          <w:sz w:val="24"/>
          <w:szCs w:val="24"/>
        </w:rPr>
        <w:t>Најважнији</w:t>
      </w:r>
      <w:r w:rsidR="0090539B" w:rsidRPr="001B321C">
        <w:rPr>
          <w:rFonts w:ascii="Times New Roman" w:hAnsi="Times New Roman"/>
          <w:sz w:val="24"/>
          <w:szCs w:val="24"/>
        </w:rPr>
        <w:t xml:space="preserve"> </w:t>
      </w:r>
      <w:r w:rsidR="00011174" w:rsidRPr="001B321C">
        <w:rPr>
          <w:rFonts w:ascii="Times New Roman" w:hAnsi="Times New Roman"/>
          <w:sz w:val="24"/>
          <w:szCs w:val="24"/>
        </w:rPr>
        <w:t>циљ</w:t>
      </w:r>
      <w:r w:rsidR="0090539B" w:rsidRPr="001B321C">
        <w:rPr>
          <w:rFonts w:ascii="Times New Roman" w:hAnsi="Times New Roman"/>
          <w:sz w:val="24"/>
          <w:szCs w:val="24"/>
        </w:rPr>
        <w:t xml:space="preserve"> </w:t>
      </w:r>
      <w:r w:rsidR="00011174" w:rsidRPr="001B321C">
        <w:rPr>
          <w:rFonts w:ascii="Times New Roman" w:hAnsi="Times New Roman"/>
          <w:sz w:val="24"/>
          <w:szCs w:val="24"/>
        </w:rPr>
        <w:t>који</w:t>
      </w:r>
      <w:r w:rsidR="0090539B" w:rsidRPr="001B321C">
        <w:rPr>
          <w:rFonts w:ascii="Times New Roman" w:hAnsi="Times New Roman"/>
          <w:sz w:val="24"/>
          <w:szCs w:val="24"/>
        </w:rPr>
        <w:t> </w:t>
      </w:r>
      <w:r w:rsidR="00011174" w:rsidRPr="001B321C">
        <w:rPr>
          <w:rFonts w:ascii="Times New Roman" w:hAnsi="Times New Roman"/>
          <w:iCs/>
          <w:sz w:val="24"/>
          <w:szCs w:val="24"/>
        </w:rPr>
        <w:t>Транспарентност</w:t>
      </w:r>
      <w:r w:rsidR="0090539B" w:rsidRPr="001B321C">
        <w:rPr>
          <w:rFonts w:ascii="Times New Roman" w:hAnsi="Times New Roman"/>
          <w:iCs/>
          <w:sz w:val="24"/>
          <w:szCs w:val="24"/>
        </w:rPr>
        <w:t xml:space="preserve"> </w:t>
      </w:r>
      <w:r w:rsidR="00011174" w:rsidRPr="001B321C">
        <w:rPr>
          <w:rFonts w:ascii="Times New Roman" w:hAnsi="Times New Roman"/>
          <w:iCs/>
          <w:sz w:val="24"/>
          <w:szCs w:val="24"/>
        </w:rPr>
        <w:t>Србија</w:t>
      </w:r>
      <w:r w:rsidR="0090539B" w:rsidRPr="001B321C">
        <w:rPr>
          <w:rFonts w:ascii="Times New Roman" w:hAnsi="Times New Roman"/>
          <w:i/>
          <w:iCs/>
          <w:sz w:val="24"/>
          <w:szCs w:val="24"/>
        </w:rPr>
        <w:t> </w:t>
      </w:r>
      <w:r w:rsidR="00011174" w:rsidRPr="001B321C">
        <w:rPr>
          <w:rFonts w:ascii="Times New Roman" w:hAnsi="Times New Roman"/>
          <w:sz w:val="24"/>
          <w:szCs w:val="24"/>
        </w:rPr>
        <w:t>жели</w:t>
      </w:r>
      <w:r w:rsidR="0090539B" w:rsidRPr="001B321C">
        <w:rPr>
          <w:rFonts w:ascii="Times New Roman" w:hAnsi="Times New Roman"/>
          <w:sz w:val="24"/>
          <w:szCs w:val="24"/>
        </w:rPr>
        <w:t xml:space="preserve"> </w:t>
      </w:r>
      <w:r w:rsidR="00011174" w:rsidRPr="001B321C">
        <w:rPr>
          <w:rFonts w:ascii="Times New Roman" w:hAnsi="Times New Roman"/>
          <w:sz w:val="24"/>
          <w:szCs w:val="24"/>
        </w:rPr>
        <w:t>да</w:t>
      </w:r>
      <w:r w:rsidR="0090539B" w:rsidRPr="001B321C">
        <w:rPr>
          <w:rFonts w:ascii="Times New Roman" w:hAnsi="Times New Roman"/>
          <w:sz w:val="24"/>
          <w:szCs w:val="24"/>
        </w:rPr>
        <w:t xml:space="preserve"> </w:t>
      </w:r>
      <w:r w:rsidR="00011174" w:rsidRPr="001B321C">
        <w:rPr>
          <w:rFonts w:ascii="Times New Roman" w:hAnsi="Times New Roman"/>
          <w:sz w:val="24"/>
          <w:szCs w:val="24"/>
        </w:rPr>
        <w:t>оствари</w:t>
      </w:r>
      <w:r w:rsidR="0090539B" w:rsidRPr="001B321C">
        <w:rPr>
          <w:rFonts w:ascii="Times New Roman" w:hAnsi="Times New Roman"/>
          <w:sz w:val="24"/>
          <w:szCs w:val="24"/>
        </w:rPr>
        <w:t xml:space="preserve"> </w:t>
      </w:r>
      <w:r w:rsidR="00011174" w:rsidRPr="001B321C">
        <w:rPr>
          <w:rFonts w:ascii="Times New Roman" w:hAnsi="Times New Roman"/>
          <w:sz w:val="24"/>
          <w:szCs w:val="24"/>
        </w:rPr>
        <w:t>јесте</w:t>
      </w:r>
      <w:r w:rsidR="0090539B" w:rsidRPr="001B321C">
        <w:rPr>
          <w:rFonts w:ascii="Times New Roman" w:hAnsi="Times New Roman"/>
          <w:sz w:val="24"/>
          <w:szCs w:val="24"/>
        </w:rPr>
        <w:t xml:space="preserve"> </w:t>
      </w:r>
      <w:r w:rsidR="00011174" w:rsidRPr="001B321C">
        <w:rPr>
          <w:rFonts w:ascii="Times New Roman" w:hAnsi="Times New Roman"/>
          <w:sz w:val="24"/>
          <w:szCs w:val="24"/>
        </w:rPr>
        <w:t>повећање</w:t>
      </w:r>
      <w:r w:rsidR="0090539B" w:rsidRPr="001B321C">
        <w:rPr>
          <w:rFonts w:ascii="Times New Roman" w:hAnsi="Times New Roman"/>
          <w:sz w:val="24"/>
          <w:szCs w:val="24"/>
        </w:rPr>
        <w:t xml:space="preserve"> </w:t>
      </w:r>
      <w:r w:rsidR="00011174" w:rsidRPr="001B321C">
        <w:rPr>
          <w:rFonts w:ascii="Times New Roman" w:hAnsi="Times New Roman"/>
          <w:sz w:val="24"/>
          <w:szCs w:val="24"/>
        </w:rPr>
        <w:t>транспарентности</w:t>
      </w:r>
      <w:r w:rsidR="0090539B" w:rsidRPr="001B321C">
        <w:rPr>
          <w:rFonts w:ascii="Times New Roman" w:hAnsi="Times New Roman"/>
          <w:sz w:val="24"/>
          <w:szCs w:val="24"/>
        </w:rPr>
        <w:t xml:space="preserve"> </w:t>
      </w:r>
      <w:r w:rsidR="00011174" w:rsidRPr="001B321C">
        <w:rPr>
          <w:rFonts w:ascii="Times New Roman" w:hAnsi="Times New Roman"/>
          <w:sz w:val="24"/>
          <w:szCs w:val="24"/>
        </w:rPr>
        <w:t>рада</w:t>
      </w:r>
      <w:r w:rsidR="003E6D27" w:rsidRPr="001B321C">
        <w:rPr>
          <w:rFonts w:ascii="Times New Roman" w:hAnsi="Times New Roman"/>
          <w:sz w:val="24"/>
          <w:szCs w:val="24"/>
          <w:lang w:val="sr-Cyrl-CS"/>
        </w:rPr>
        <w:t xml:space="preserve"> </w:t>
      </w:r>
      <w:r w:rsidR="00011174" w:rsidRPr="001B321C">
        <w:rPr>
          <w:rFonts w:ascii="Times New Roman" w:hAnsi="Times New Roman"/>
          <w:sz w:val="24"/>
          <w:szCs w:val="24"/>
        </w:rPr>
        <w:t>државних</w:t>
      </w:r>
      <w:r w:rsidR="0090539B" w:rsidRPr="001B321C">
        <w:rPr>
          <w:rFonts w:ascii="Times New Roman" w:hAnsi="Times New Roman"/>
          <w:sz w:val="24"/>
          <w:szCs w:val="24"/>
        </w:rPr>
        <w:t xml:space="preserve"> </w:t>
      </w:r>
      <w:r w:rsidR="00011174" w:rsidRPr="001B321C">
        <w:rPr>
          <w:rFonts w:ascii="Times New Roman" w:hAnsi="Times New Roman"/>
          <w:sz w:val="24"/>
          <w:szCs w:val="24"/>
        </w:rPr>
        <w:t>органа</w:t>
      </w:r>
      <w:r w:rsidR="0090539B" w:rsidRPr="001B321C">
        <w:rPr>
          <w:rFonts w:ascii="Times New Roman" w:hAnsi="Times New Roman"/>
          <w:sz w:val="24"/>
          <w:szCs w:val="24"/>
        </w:rPr>
        <w:t xml:space="preserve"> </w:t>
      </w:r>
      <w:r w:rsidR="00011174" w:rsidRPr="001B321C">
        <w:rPr>
          <w:rFonts w:ascii="Times New Roman" w:hAnsi="Times New Roman"/>
          <w:sz w:val="24"/>
          <w:szCs w:val="24"/>
        </w:rPr>
        <w:t>као</w:t>
      </w:r>
      <w:r w:rsidR="0090539B" w:rsidRPr="001B321C">
        <w:rPr>
          <w:rFonts w:ascii="Times New Roman" w:hAnsi="Times New Roman"/>
          <w:sz w:val="24"/>
          <w:szCs w:val="24"/>
        </w:rPr>
        <w:t xml:space="preserve"> </w:t>
      </w:r>
      <w:r w:rsidR="00011174" w:rsidRPr="001B321C">
        <w:rPr>
          <w:rFonts w:ascii="Times New Roman" w:hAnsi="Times New Roman"/>
          <w:sz w:val="24"/>
          <w:szCs w:val="24"/>
        </w:rPr>
        <w:t>начин</w:t>
      </w:r>
      <w:r w:rsidR="0090539B" w:rsidRPr="001B321C">
        <w:rPr>
          <w:rFonts w:ascii="Times New Roman" w:hAnsi="Times New Roman"/>
          <w:sz w:val="24"/>
          <w:szCs w:val="24"/>
        </w:rPr>
        <w:t xml:space="preserve"> </w:t>
      </w:r>
      <w:r w:rsidR="00011174" w:rsidRPr="001B321C">
        <w:rPr>
          <w:rFonts w:ascii="Times New Roman" w:hAnsi="Times New Roman"/>
          <w:sz w:val="24"/>
          <w:szCs w:val="24"/>
        </w:rPr>
        <w:t>да</w:t>
      </w:r>
      <w:r w:rsidR="0090539B" w:rsidRPr="001B321C">
        <w:rPr>
          <w:rFonts w:ascii="Times New Roman" w:hAnsi="Times New Roman"/>
          <w:sz w:val="24"/>
          <w:szCs w:val="24"/>
        </w:rPr>
        <w:t xml:space="preserve"> </w:t>
      </w:r>
      <w:r w:rsidR="00011174" w:rsidRPr="001B321C">
        <w:rPr>
          <w:rFonts w:ascii="Times New Roman" w:hAnsi="Times New Roman"/>
          <w:sz w:val="24"/>
          <w:szCs w:val="24"/>
        </w:rPr>
        <w:t>се</w:t>
      </w:r>
      <w:r w:rsidR="0090539B" w:rsidRPr="001B321C">
        <w:rPr>
          <w:rFonts w:ascii="Times New Roman" w:hAnsi="Times New Roman"/>
          <w:sz w:val="24"/>
          <w:szCs w:val="24"/>
        </w:rPr>
        <w:t xml:space="preserve"> </w:t>
      </w:r>
      <w:r w:rsidR="00011174" w:rsidRPr="001B321C">
        <w:rPr>
          <w:rFonts w:ascii="Times New Roman" w:hAnsi="Times New Roman"/>
          <w:sz w:val="24"/>
          <w:szCs w:val="24"/>
        </w:rPr>
        <w:t>спречи</w:t>
      </w:r>
      <w:r w:rsidR="0090539B" w:rsidRPr="001B321C">
        <w:rPr>
          <w:rFonts w:ascii="Times New Roman" w:hAnsi="Times New Roman"/>
          <w:sz w:val="24"/>
          <w:szCs w:val="24"/>
        </w:rPr>
        <w:t xml:space="preserve"> </w:t>
      </w:r>
      <w:r w:rsidR="00011174" w:rsidRPr="001B321C">
        <w:rPr>
          <w:rFonts w:ascii="Times New Roman" w:hAnsi="Times New Roman"/>
          <w:sz w:val="24"/>
          <w:szCs w:val="24"/>
        </w:rPr>
        <w:t>злоупотреба</w:t>
      </w:r>
      <w:r w:rsidR="0090539B" w:rsidRPr="001B321C">
        <w:rPr>
          <w:rFonts w:ascii="Times New Roman" w:hAnsi="Times New Roman"/>
          <w:sz w:val="24"/>
          <w:szCs w:val="24"/>
        </w:rPr>
        <w:t xml:space="preserve"> </w:t>
      </w:r>
      <w:r w:rsidR="00011174" w:rsidRPr="001B321C">
        <w:rPr>
          <w:rFonts w:ascii="Times New Roman" w:hAnsi="Times New Roman"/>
          <w:sz w:val="24"/>
          <w:szCs w:val="24"/>
        </w:rPr>
        <w:t>јавних</w:t>
      </w:r>
      <w:r w:rsidR="0090539B" w:rsidRPr="001B321C">
        <w:rPr>
          <w:rFonts w:ascii="Times New Roman" w:hAnsi="Times New Roman"/>
          <w:sz w:val="24"/>
          <w:szCs w:val="24"/>
        </w:rPr>
        <w:t xml:space="preserve"> </w:t>
      </w:r>
      <w:r w:rsidR="00011174" w:rsidRPr="001B321C">
        <w:rPr>
          <w:rFonts w:ascii="Times New Roman" w:hAnsi="Times New Roman"/>
          <w:sz w:val="24"/>
          <w:szCs w:val="24"/>
        </w:rPr>
        <w:t>овлашћења</w:t>
      </w:r>
      <w:r w:rsidR="0090539B" w:rsidRPr="001B321C">
        <w:rPr>
          <w:rFonts w:ascii="Times New Roman" w:hAnsi="Times New Roman"/>
          <w:sz w:val="24"/>
          <w:szCs w:val="24"/>
        </w:rPr>
        <w:t xml:space="preserve"> </w:t>
      </w:r>
      <w:r w:rsidR="00011174" w:rsidRPr="001B321C">
        <w:rPr>
          <w:rFonts w:ascii="Times New Roman" w:hAnsi="Times New Roman"/>
          <w:sz w:val="24"/>
          <w:szCs w:val="24"/>
        </w:rPr>
        <w:t>у</w:t>
      </w:r>
      <w:r w:rsidR="0090539B" w:rsidRPr="001B321C">
        <w:rPr>
          <w:rFonts w:ascii="Times New Roman" w:hAnsi="Times New Roman"/>
          <w:sz w:val="24"/>
          <w:szCs w:val="24"/>
        </w:rPr>
        <w:t xml:space="preserve"> </w:t>
      </w:r>
      <w:r w:rsidR="00011174" w:rsidRPr="001B321C">
        <w:rPr>
          <w:rFonts w:ascii="Times New Roman" w:hAnsi="Times New Roman"/>
          <w:sz w:val="24"/>
          <w:szCs w:val="24"/>
        </w:rPr>
        <w:t>приватне</w:t>
      </w:r>
      <w:r w:rsidR="0090539B" w:rsidRPr="001B321C">
        <w:rPr>
          <w:rFonts w:ascii="Times New Roman" w:hAnsi="Times New Roman"/>
          <w:sz w:val="24"/>
          <w:szCs w:val="24"/>
        </w:rPr>
        <w:t xml:space="preserve"> </w:t>
      </w:r>
      <w:r w:rsidR="00011174" w:rsidRPr="001B321C">
        <w:rPr>
          <w:rFonts w:ascii="Times New Roman" w:hAnsi="Times New Roman"/>
          <w:sz w:val="24"/>
          <w:szCs w:val="24"/>
        </w:rPr>
        <w:t>сврхе</w:t>
      </w:r>
      <w:r w:rsidR="0090539B" w:rsidRPr="001B321C">
        <w:rPr>
          <w:rFonts w:ascii="Times New Roman" w:hAnsi="Times New Roman"/>
          <w:sz w:val="24"/>
          <w:szCs w:val="24"/>
        </w:rPr>
        <w:t>.</w:t>
      </w:r>
      <w:r w:rsidR="003E6D27" w:rsidRPr="001B321C">
        <w:rPr>
          <w:rFonts w:ascii="Times New Roman" w:hAnsi="Times New Roman"/>
          <w:b/>
          <w:bCs/>
          <w:color w:val="000000"/>
          <w:sz w:val="24"/>
          <w:szCs w:val="24"/>
          <w:lang w:val="sr-Cyrl-CS"/>
        </w:rPr>
        <w:t xml:space="preserve"> </w:t>
      </w:r>
      <w:r w:rsidR="00011174" w:rsidRPr="001B321C">
        <w:rPr>
          <w:rFonts w:ascii="Times New Roman" w:hAnsi="Times New Roman"/>
          <w:sz w:val="24"/>
          <w:szCs w:val="24"/>
        </w:rPr>
        <w:t>Своје</w:t>
      </w:r>
      <w:r w:rsidR="0090539B" w:rsidRPr="001B321C">
        <w:rPr>
          <w:rFonts w:ascii="Times New Roman" w:hAnsi="Times New Roman"/>
          <w:sz w:val="24"/>
          <w:szCs w:val="24"/>
        </w:rPr>
        <w:t xml:space="preserve"> </w:t>
      </w:r>
      <w:r w:rsidR="00011174" w:rsidRPr="001B321C">
        <w:rPr>
          <w:rFonts w:ascii="Times New Roman" w:hAnsi="Times New Roman"/>
          <w:sz w:val="24"/>
          <w:szCs w:val="24"/>
        </w:rPr>
        <w:t>циљеве</w:t>
      </w:r>
      <w:r w:rsidR="0090539B" w:rsidRPr="001B321C">
        <w:rPr>
          <w:rFonts w:ascii="Times New Roman" w:hAnsi="Times New Roman"/>
          <w:sz w:val="24"/>
          <w:szCs w:val="24"/>
        </w:rPr>
        <w:t> </w:t>
      </w:r>
      <w:r w:rsidR="00011174" w:rsidRPr="001B321C">
        <w:rPr>
          <w:rFonts w:ascii="Times New Roman" w:hAnsi="Times New Roman"/>
          <w:iCs/>
          <w:sz w:val="24"/>
          <w:szCs w:val="24"/>
        </w:rPr>
        <w:t>Транспарентност</w:t>
      </w:r>
      <w:r w:rsidR="0090539B" w:rsidRPr="001B321C">
        <w:rPr>
          <w:rFonts w:ascii="Times New Roman" w:hAnsi="Times New Roman"/>
          <w:iCs/>
          <w:sz w:val="24"/>
          <w:szCs w:val="24"/>
        </w:rPr>
        <w:t xml:space="preserve"> </w:t>
      </w:r>
      <w:r w:rsidR="00011174" w:rsidRPr="001B321C">
        <w:rPr>
          <w:rFonts w:ascii="Times New Roman" w:hAnsi="Times New Roman"/>
          <w:iCs/>
          <w:sz w:val="24"/>
          <w:szCs w:val="24"/>
        </w:rPr>
        <w:t>Србија</w:t>
      </w:r>
      <w:r w:rsidR="0090539B" w:rsidRPr="001B321C">
        <w:rPr>
          <w:rFonts w:ascii="Times New Roman" w:hAnsi="Times New Roman"/>
          <w:i/>
          <w:iCs/>
          <w:sz w:val="24"/>
          <w:szCs w:val="24"/>
        </w:rPr>
        <w:t> </w:t>
      </w:r>
      <w:r w:rsidR="00011174" w:rsidRPr="001B321C">
        <w:rPr>
          <w:rFonts w:ascii="Times New Roman" w:hAnsi="Times New Roman"/>
          <w:sz w:val="24"/>
          <w:szCs w:val="24"/>
        </w:rPr>
        <w:t>остварује</w:t>
      </w:r>
      <w:r w:rsidR="0090539B" w:rsidRPr="001B321C">
        <w:rPr>
          <w:rFonts w:ascii="Times New Roman" w:hAnsi="Times New Roman"/>
          <w:sz w:val="24"/>
          <w:szCs w:val="24"/>
        </w:rPr>
        <w:t xml:space="preserve"> </w:t>
      </w:r>
      <w:r w:rsidR="00011174" w:rsidRPr="001B321C">
        <w:rPr>
          <w:rFonts w:ascii="Times New Roman" w:hAnsi="Times New Roman"/>
          <w:sz w:val="24"/>
          <w:szCs w:val="24"/>
        </w:rPr>
        <w:t>превентивним</w:t>
      </w:r>
      <w:r w:rsidR="0090539B" w:rsidRPr="001B321C">
        <w:rPr>
          <w:rFonts w:ascii="Times New Roman" w:hAnsi="Times New Roman"/>
          <w:sz w:val="24"/>
          <w:szCs w:val="24"/>
        </w:rPr>
        <w:t xml:space="preserve"> </w:t>
      </w:r>
      <w:r w:rsidR="00011174" w:rsidRPr="001B321C">
        <w:rPr>
          <w:rFonts w:ascii="Times New Roman" w:hAnsi="Times New Roman"/>
          <w:sz w:val="24"/>
          <w:szCs w:val="24"/>
        </w:rPr>
        <w:t>деловањем</w:t>
      </w:r>
      <w:r w:rsidR="0090539B" w:rsidRPr="001B321C">
        <w:rPr>
          <w:rFonts w:ascii="Times New Roman" w:hAnsi="Times New Roman"/>
          <w:sz w:val="24"/>
          <w:szCs w:val="24"/>
        </w:rPr>
        <w:t xml:space="preserve"> - </w:t>
      </w:r>
      <w:r w:rsidR="00011174" w:rsidRPr="001B321C">
        <w:rPr>
          <w:rFonts w:ascii="Times New Roman" w:hAnsi="Times New Roman"/>
          <w:sz w:val="24"/>
          <w:szCs w:val="24"/>
        </w:rPr>
        <w:t>подизањем</w:t>
      </w:r>
      <w:r w:rsidR="0090539B" w:rsidRPr="001B321C">
        <w:rPr>
          <w:rFonts w:ascii="Times New Roman" w:hAnsi="Times New Roman"/>
          <w:sz w:val="24"/>
          <w:szCs w:val="24"/>
        </w:rPr>
        <w:t xml:space="preserve"> </w:t>
      </w:r>
      <w:r w:rsidR="00011174" w:rsidRPr="001B321C">
        <w:rPr>
          <w:rFonts w:ascii="Times New Roman" w:hAnsi="Times New Roman"/>
          <w:sz w:val="24"/>
          <w:szCs w:val="24"/>
        </w:rPr>
        <w:t>свести</w:t>
      </w:r>
      <w:r w:rsidR="0090539B" w:rsidRPr="001B321C">
        <w:rPr>
          <w:rFonts w:ascii="Times New Roman" w:hAnsi="Times New Roman"/>
          <w:sz w:val="24"/>
          <w:szCs w:val="24"/>
        </w:rPr>
        <w:t xml:space="preserve"> </w:t>
      </w:r>
      <w:r w:rsidR="00011174" w:rsidRPr="001B321C">
        <w:rPr>
          <w:rFonts w:ascii="Times New Roman" w:hAnsi="Times New Roman"/>
          <w:sz w:val="24"/>
          <w:szCs w:val="24"/>
        </w:rPr>
        <w:t>јавности</w:t>
      </w:r>
      <w:r w:rsidR="0090539B" w:rsidRPr="001B321C">
        <w:rPr>
          <w:rFonts w:ascii="Times New Roman" w:hAnsi="Times New Roman"/>
          <w:sz w:val="24"/>
          <w:szCs w:val="24"/>
        </w:rPr>
        <w:t> </w:t>
      </w:r>
      <w:r w:rsidR="00011174" w:rsidRPr="001B321C">
        <w:rPr>
          <w:rFonts w:ascii="Times New Roman" w:hAnsi="Times New Roman"/>
          <w:sz w:val="24"/>
          <w:szCs w:val="24"/>
        </w:rPr>
        <w:t>о</w:t>
      </w:r>
      <w:r w:rsidR="0090539B" w:rsidRPr="001B321C">
        <w:rPr>
          <w:rFonts w:ascii="Times New Roman" w:hAnsi="Times New Roman"/>
          <w:sz w:val="24"/>
          <w:szCs w:val="24"/>
        </w:rPr>
        <w:t xml:space="preserve"> </w:t>
      </w:r>
      <w:r w:rsidR="00011174" w:rsidRPr="001B321C">
        <w:rPr>
          <w:rFonts w:ascii="Times New Roman" w:hAnsi="Times New Roman"/>
          <w:sz w:val="24"/>
          <w:szCs w:val="24"/>
        </w:rPr>
        <w:t>опасностима</w:t>
      </w:r>
      <w:r w:rsidR="0090539B" w:rsidRPr="001B321C">
        <w:rPr>
          <w:rFonts w:ascii="Times New Roman" w:hAnsi="Times New Roman"/>
          <w:sz w:val="24"/>
          <w:szCs w:val="24"/>
        </w:rPr>
        <w:t xml:space="preserve"> </w:t>
      </w:r>
      <w:r w:rsidR="00011174" w:rsidRPr="001B321C">
        <w:rPr>
          <w:rFonts w:ascii="Times New Roman" w:hAnsi="Times New Roman"/>
          <w:sz w:val="24"/>
          <w:szCs w:val="24"/>
        </w:rPr>
        <w:t>и</w:t>
      </w:r>
      <w:r w:rsidR="0090539B" w:rsidRPr="001B321C">
        <w:rPr>
          <w:rFonts w:ascii="Times New Roman" w:hAnsi="Times New Roman"/>
          <w:sz w:val="24"/>
          <w:szCs w:val="24"/>
        </w:rPr>
        <w:t xml:space="preserve"> </w:t>
      </w:r>
      <w:r w:rsidR="00011174" w:rsidRPr="001B321C">
        <w:rPr>
          <w:rFonts w:ascii="Times New Roman" w:hAnsi="Times New Roman"/>
          <w:sz w:val="24"/>
          <w:szCs w:val="24"/>
        </w:rPr>
        <w:t>штетама</w:t>
      </w:r>
      <w:r w:rsidR="003E6D27" w:rsidRPr="001B321C">
        <w:rPr>
          <w:rFonts w:ascii="Times New Roman" w:hAnsi="Times New Roman"/>
          <w:sz w:val="24"/>
          <w:szCs w:val="24"/>
        </w:rPr>
        <w:t xml:space="preserve"> </w:t>
      </w:r>
      <w:r w:rsidR="00011174" w:rsidRPr="001B321C">
        <w:rPr>
          <w:rFonts w:ascii="Times New Roman" w:hAnsi="Times New Roman"/>
          <w:sz w:val="24"/>
          <w:szCs w:val="24"/>
        </w:rPr>
        <w:t>које</w:t>
      </w:r>
      <w:r w:rsidR="003E6D27" w:rsidRPr="001B321C">
        <w:rPr>
          <w:rFonts w:ascii="Times New Roman" w:hAnsi="Times New Roman"/>
          <w:sz w:val="24"/>
          <w:szCs w:val="24"/>
        </w:rPr>
        <w:t xml:space="preserve"> </w:t>
      </w:r>
      <w:r w:rsidR="00011174" w:rsidRPr="001B321C">
        <w:rPr>
          <w:rFonts w:ascii="Times New Roman" w:hAnsi="Times New Roman"/>
          <w:sz w:val="24"/>
          <w:szCs w:val="24"/>
        </w:rPr>
        <w:t>корупција</w:t>
      </w:r>
      <w:r w:rsidR="003E6D27" w:rsidRPr="001B321C">
        <w:rPr>
          <w:rFonts w:ascii="Times New Roman" w:hAnsi="Times New Roman"/>
          <w:sz w:val="24"/>
          <w:szCs w:val="24"/>
        </w:rPr>
        <w:t xml:space="preserve"> </w:t>
      </w:r>
      <w:r w:rsidR="00011174" w:rsidRPr="001B321C">
        <w:rPr>
          <w:rFonts w:ascii="Times New Roman" w:hAnsi="Times New Roman"/>
          <w:sz w:val="24"/>
          <w:szCs w:val="24"/>
        </w:rPr>
        <w:t>наноси</w:t>
      </w:r>
      <w:r w:rsidR="003E6D27" w:rsidRPr="001B321C">
        <w:rPr>
          <w:rFonts w:ascii="Times New Roman" w:hAnsi="Times New Roman"/>
          <w:sz w:val="24"/>
          <w:szCs w:val="24"/>
        </w:rPr>
        <w:t xml:space="preserve"> </w:t>
      </w:r>
      <w:r w:rsidR="00011174" w:rsidRPr="001B321C">
        <w:rPr>
          <w:rFonts w:ascii="Times New Roman" w:hAnsi="Times New Roman"/>
          <w:sz w:val="24"/>
          <w:szCs w:val="24"/>
        </w:rPr>
        <w:t>друштву</w:t>
      </w:r>
      <w:r w:rsidR="0090539B" w:rsidRPr="001B321C">
        <w:rPr>
          <w:rFonts w:ascii="Times New Roman" w:hAnsi="Times New Roman"/>
          <w:sz w:val="24"/>
          <w:szCs w:val="24"/>
        </w:rPr>
        <w:t xml:space="preserve">, </w:t>
      </w:r>
      <w:r w:rsidR="00011174" w:rsidRPr="001B321C">
        <w:rPr>
          <w:rFonts w:ascii="Times New Roman" w:hAnsi="Times New Roman"/>
          <w:sz w:val="24"/>
          <w:szCs w:val="24"/>
        </w:rPr>
        <w:t>подстицањем</w:t>
      </w:r>
      <w:r w:rsidR="0090539B" w:rsidRPr="001B321C">
        <w:rPr>
          <w:rFonts w:ascii="Times New Roman" w:hAnsi="Times New Roman"/>
          <w:sz w:val="24"/>
          <w:szCs w:val="24"/>
        </w:rPr>
        <w:t xml:space="preserve"> </w:t>
      </w:r>
      <w:r w:rsidR="00011174" w:rsidRPr="001B321C">
        <w:rPr>
          <w:rFonts w:ascii="Times New Roman" w:hAnsi="Times New Roman"/>
          <w:sz w:val="24"/>
          <w:szCs w:val="24"/>
        </w:rPr>
        <w:t>реформи</w:t>
      </w:r>
      <w:r w:rsidR="0090539B" w:rsidRPr="001B321C">
        <w:rPr>
          <w:rFonts w:ascii="Times New Roman" w:hAnsi="Times New Roman"/>
          <w:sz w:val="24"/>
          <w:szCs w:val="24"/>
        </w:rPr>
        <w:t xml:space="preserve"> </w:t>
      </w:r>
      <w:r w:rsidR="00011174" w:rsidRPr="001B321C">
        <w:rPr>
          <w:rFonts w:ascii="Times New Roman" w:hAnsi="Times New Roman"/>
          <w:sz w:val="24"/>
          <w:szCs w:val="24"/>
        </w:rPr>
        <w:t>и</w:t>
      </w:r>
      <w:r w:rsidR="0090539B" w:rsidRPr="001B321C">
        <w:rPr>
          <w:rFonts w:ascii="Times New Roman" w:hAnsi="Times New Roman"/>
          <w:sz w:val="24"/>
          <w:szCs w:val="24"/>
        </w:rPr>
        <w:t xml:space="preserve"> </w:t>
      </w:r>
      <w:r w:rsidR="00011174" w:rsidRPr="001B321C">
        <w:rPr>
          <w:rFonts w:ascii="Times New Roman" w:hAnsi="Times New Roman"/>
          <w:sz w:val="24"/>
          <w:szCs w:val="24"/>
        </w:rPr>
        <w:t>предлагањем</w:t>
      </w:r>
      <w:r w:rsidR="0090539B" w:rsidRPr="001B321C">
        <w:rPr>
          <w:rFonts w:ascii="Times New Roman" w:hAnsi="Times New Roman"/>
          <w:sz w:val="24"/>
          <w:szCs w:val="24"/>
        </w:rPr>
        <w:t xml:space="preserve"> </w:t>
      </w:r>
      <w:r w:rsidR="00011174" w:rsidRPr="001B321C">
        <w:rPr>
          <w:rFonts w:ascii="Times New Roman" w:hAnsi="Times New Roman"/>
          <w:sz w:val="24"/>
          <w:szCs w:val="24"/>
        </w:rPr>
        <w:t>конкретних</w:t>
      </w:r>
      <w:r w:rsidR="0090539B" w:rsidRPr="001B321C">
        <w:rPr>
          <w:rFonts w:ascii="Times New Roman" w:hAnsi="Times New Roman"/>
          <w:sz w:val="24"/>
          <w:szCs w:val="24"/>
        </w:rPr>
        <w:t xml:space="preserve"> </w:t>
      </w:r>
      <w:r w:rsidR="00011174" w:rsidRPr="001B321C">
        <w:rPr>
          <w:rFonts w:ascii="Times New Roman" w:hAnsi="Times New Roman"/>
          <w:sz w:val="24"/>
          <w:szCs w:val="24"/>
        </w:rPr>
        <w:t>препорука</w:t>
      </w:r>
      <w:r w:rsidR="0090539B" w:rsidRPr="001B321C">
        <w:rPr>
          <w:rFonts w:ascii="Times New Roman" w:hAnsi="Times New Roman"/>
          <w:sz w:val="24"/>
          <w:szCs w:val="24"/>
        </w:rPr>
        <w:t>.</w:t>
      </w:r>
      <w:r w:rsidR="003E6D27" w:rsidRPr="001B321C">
        <w:rPr>
          <w:rFonts w:ascii="Times New Roman" w:hAnsi="Times New Roman"/>
          <w:b/>
          <w:bCs/>
          <w:color w:val="000000"/>
          <w:sz w:val="24"/>
          <w:szCs w:val="24"/>
          <w:lang w:val="sr-Cyrl-CS"/>
        </w:rPr>
        <w:t xml:space="preserve"> </w:t>
      </w:r>
      <w:r w:rsidR="00011174" w:rsidRPr="001B321C">
        <w:rPr>
          <w:rFonts w:ascii="Times New Roman" w:hAnsi="Times New Roman"/>
          <w:iCs/>
          <w:sz w:val="24"/>
          <w:szCs w:val="24"/>
        </w:rPr>
        <w:t>Транспарентност</w:t>
      </w:r>
      <w:r w:rsidR="0090539B" w:rsidRPr="001B321C">
        <w:rPr>
          <w:rFonts w:ascii="Times New Roman" w:hAnsi="Times New Roman"/>
          <w:iCs/>
          <w:sz w:val="24"/>
          <w:szCs w:val="24"/>
        </w:rPr>
        <w:t xml:space="preserve"> </w:t>
      </w:r>
      <w:r w:rsidR="00011174" w:rsidRPr="001B321C">
        <w:rPr>
          <w:rFonts w:ascii="Times New Roman" w:hAnsi="Times New Roman"/>
          <w:iCs/>
          <w:sz w:val="24"/>
          <w:szCs w:val="24"/>
        </w:rPr>
        <w:lastRenderedPageBreak/>
        <w:t>Србија</w:t>
      </w:r>
      <w:r w:rsidR="0090539B" w:rsidRPr="001B321C">
        <w:rPr>
          <w:rFonts w:ascii="Times New Roman" w:hAnsi="Times New Roman"/>
          <w:i/>
          <w:iCs/>
          <w:sz w:val="24"/>
          <w:szCs w:val="24"/>
        </w:rPr>
        <w:t> </w:t>
      </w:r>
      <w:r w:rsidR="00011174" w:rsidRPr="001B321C">
        <w:rPr>
          <w:rFonts w:ascii="Times New Roman" w:hAnsi="Times New Roman"/>
          <w:sz w:val="24"/>
          <w:szCs w:val="24"/>
        </w:rPr>
        <w:t>део</w:t>
      </w:r>
      <w:r w:rsidR="0090539B" w:rsidRPr="001B321C">
        <w:rPr>
          <w:rFonts w:ascii="Times New Roman" w:hAnsi="Times New Roman"/>
          <w:sz w:val="24"/>
          <w:szCs w:val="24"/>
        </w:rPr>
        <w:t xml:space="preserve"> </w:t>
      </w:r>
      <w:r w:rsidR="00011174" w:rsidRPr="001B321C">
        <w:rPr>
          <w:rFonts w:ascii="Times New Roman" w:hAnsi="Times New Roman"/>
          <w:sz w:val="24"/>
          <w:szCs w:val="24"/>
        </w:rPr>
        <w:t>је</w:t>
      </w:r>
      <w:r w:rsidR="0090539B" w:rsidRPr="001B321C">
        <w:rPr>
          <w:rFonts w:ascii="Times New Roman" w:hAnsi="Times New Roman"/>
          <w:sz w:val="24"/>
          <w:szCs w:val="24"/>
        </w:rPr>
        <w:t xml:space="preserve"> </w:t>
      </w:r>
      <w:r w:rsidR="00011174" w:rsidRPr="001B321C">
        <w:rPr>
          <w:rFonts w:ascii="Times New Roman" w:hAnsi="Times New Roman"/>
          <w:sz w:val="24"/>
          <w:szCs w:val="24"/>
        </w:rPr>
        <w:t>мреже</w:t>
      </w:r>
      <w:r w:rsidR="0090539B" w:rsidRPr="001B321C">
        <w:rPr>
          <w:rFonts w:ascii="Times New Roman" w:hAnsi="Times New Roman"/>
          <w:sz w:val="24"/>
          <w:szCs w:val="24"/>
        </w:rPr>
        <w:t xml:space="preserve"> </w:t>
      </w:r>
      <w:r w:rsidR="00011174" w:rsidRPr="001B321C">
        <w:rPr>
          <w:rFonts w:ascii="Times New Roman" w:hAnsi="Times New Roman"/>
          <w:sz w:val="24"/>
          <w:szCs w:val="24"/>
        </w:rPr>
        <w:t>националних</w:t>
      </w:r>
      <w:r w:rsidR="0090539B" w:rsidRPr="001B321C">
        <w:rPr>
          <w:rFonts w:ascii="Times New Roman" w:hAnsi="Times New Roman"/>
          <w:sz w:val="24"/>
          <w:szCs w:val="24"/>
        </w:rPr>
        <w:t xml:space="preserve"> </w:t>
      </w:r>
      <w:r w:rsidR="00011174" w:rsidRPr="001B321C">
        <w:rPr>
          <w:rFonts w:ascii="Times New Roman" w:hAnsi="Times New Roman"/>
          <w:sz w:val="24"/>
          <w:szCs w:val="24"/>
        </w:rPr>
        <w:t>огранака</w:t>
      </w:r>
      <w:r w:rsidR="0090539B" w:rsidRPr="001B321C">
        <w:rPr>
          <w:rFonts w:ascii="Times New Roman" w:hAnsi="Times New Roman"/>
          <w:sz w:val="24"/>
          <w:szCs w:val="24"/>
        </w:rPr>
        <w:t xml:space="preserve"> </w:t>
      </w:r>
      <w:r w:rsidR="00011174" w:rsidRPr="001B321C">
        <w:rPr>
          <w:rFonts w:ascii="Times New Roman" w:hAnsi="Times New Roman"/>
          <w:sz w:val="24"/>
          <w:szCs w:val="24"/>
        </w:rPr>
        <w:t>организације</w:t>
      </w:r>
      <w:r w:rsidR="0090539B" w:rsidRPr="001B321C">
        <w:rPr>
          <w:rFonts w:ascii="Times New Roman" w:hAnsi="Times New Roman"/>
          <w:sz w:val="24"/>
          <w:szCs w:val="24"/>
        </w:rPr>
        <w:t> </w:t>
      </w:r>
      <w:r w:rsidR="0090539B" w:rsidRPr="001B321C">
        <w:rPr>
          <w:rFonts w:ascii="Times New Roman" w:hAnsi="Times New Roman"/>
          <w:i/>
          <w:iCs/>
          <w:sz w:val="24"/>
          <w:szCs w:val="24"/>
        </w:rPr>
        <w:t> </w:t>
      </w:r>
      <w:r w:rsidR="00011174" w:rsidRPr="001B321C">
        <w:rPr>
          <w:rFonts w:ascii="Times New Roman" w:hAnsi="Times New Roman"/>
          <w:sz w:val="24"/>
          <w:szCs w:val="24"/>
        </w:rPr>
        <w:t>и</w:t>
      </w:r>
      <w:r w:rsidR="0090539B" w:rsidRPr="001B321C">
        <w:rPr>
          <w:rFonts w:ascii="Times New Roman" w:hAnsi="Times New Roman"/>
          <w:sz w:val="24"/>
          <w:szCs w:val="24"/>
        </w:rPr>
        <w:t> </w:t>
      </w:r>
      <w:r w:rsidR="00011174" w:rsidRPr="001B321C">
        <w:rPr>
          <w:rFonts w:ascii="Times New Roman" w:hAnsi="Times New Roman"/>
          <w:sz w:val="24"/>
          <w:szCs w:val="24"/>
        </w:rPr>
        <w:t>признати</w:t>
      </w:r>
      <w:r w:rsidR="0090539B" w:rsidRPr="001B321C">
        <w:rPr>
          <w:rFonts w:ascii="Times New Roman" w:hAnsi="Times New Roman"/>
          <w:sz w:val="24"/>
          <w:szCs w:val="24"/>
        </w:rPr>
        <w:t xml:space="preserve"> </w:t>
      </w:r>
      <w:r w:rsidR="00011174" w:rsidRPr="001B321C">
        <w:rPr>
          <w:rFonts w:ascii="Times New Roman" w:hAnsi="Times New Roman"/>
          <w:sz w:val="24"/>
          <w:szCs w:val="24"/>
        </w:rPr>
        <w:t>заступник</w:t>
      </w:r>
      <w:r w:rsidR="0090539B" w:rsidRPr="001B321C">
        <w:rPr>
          <w:rFonts w:ascii="Times New Roman" w:hAnsi="Times New Roman"/>
          <w:sz w:val="24"/>
          <w:szCs w:val="24"/>
        </w:rPr>
        <w:t xml:space="preserve"> </w:t>
      </w:r>
      <w:r w:rsidR="00011174" w:rsidRPr="001B321C">
        <w:rPr>
          <w:rFonts w:ascii="Times New Roman" w:hAnsi="Times New Roman"/>
          <w:sz w:val="24"/>
          <w:szCs w:val="24"/>
        </w:rPr>
        <w:t>те</w:t>
      </w:r>
      <w:r w:rsidR="0090539B" w:rsidRPr="001B321C">
        <w:rPr>
          <w:rFonts w:ascii="Times New Roman" w:hAnsi="Times New Roman"/>
          <w:sz w:val="24"/>
          <w:szCs w:val="24"/>
        </w:rPr>
        <w:t xml:space="preserve"> </w:t>
      </w:r>
      <w:r w:rsidR="00011174" w:rsidRPr="001B321C">
        <w:rPr>
          <w:rFonts w:ascii="Times New Roman" w:hAnsi="Times New Roman"/>
          <w:sz w:val="24"/>
          <w:szCs w:val="24"/>
        </w:rPr>
        <w:t>организације</w:t>
      </w:r>
      <w:r w:rsidR="0090539B" w:rsidRPr="001B321C">
        <w:rPr>
          <w:rFonts w:ascii="Times New Roman" w:hAnsi="Times New Roman"/>
          <w:sz w:val="24"/>
          <w:szCs w:val="24"/>
        </w:rPr>
        <w:t xml:space="preserve"> </w:t>
      </w:r>
      <w:r w:rsidR="00011174" w:rsidRPr="001B321C">
        <w:rPr>
          <w:rFonts w:ascii="Times New Roman" w:hAnsi="Times New Roman"/>
          <w:sz w:val="24"/>
          <w:szCs w:val="24"/>
        </w:rPr>
        <w:t>у</w:t>
      </w:r>
      <w:r w:rsidR="0090539B" w:rsidRPr="001B321C">
        <w:rPr>
          <w:rFonts w:ascii="Times New Roman" w:hAnsi="Times New Roman"/>
          <w:sz w:val="24"/>
          <w:szCs w:val="24"/>
        </w:rPr>
        <w:t xml:space="preserve"> </w:t>
      </w:r>
      <w:r w:rsidR="00011174" w:rsidRPr="001B321C">
        <w:rPr>
          <w:rFonts w:ascii="Times New Roman" w:hAnsi="Times New Roman"/>
          <w:sz w:val="24"/>
          <w:szCs w:val="24"/>
        </w:rPr>
        <w:t>Републици</w:t>
      </w:r>
      <w:r w:rsidR="0090539B" w:rsidRPr="001B321C">
        <w:rPr>
          <w:rFonts w:ascii="Times New Roman" w:hAnsi="Times New Roman"/>
          <w:sz w:val="24"/>
          <w:szCs w:val="24"/>
        </w:rPr>
        <w:t xml:space="preserve"> </w:t>
      </w:r>
      <w:r w:rsidR="00011174" w:rsidRPr="001B321C">
        <w:rPr>
          <w:rFonts w:ascii="Times New Roman" w:hAnsi="Times New Roman"/>
          <w:sz w:val="24"/>
          <w:szCs w:val="24"/>
        </w:rPr>
        <w:t>Србији</w:t>
      </w:r>
      <w:r w:rsidR="0090539B" w:rsidRPr="001B321C">
        <w:rPr>
          <w:rFonts w:ascii="Times New Roman" w:hAnsi="Times New Roman"/>
          <w:sz w:val="24"/>
          <w:szCs w:val="24"/>
        </w:rPr>
        <w:t>.</w:t>
      </w:r>
      <w:r w:rsidR="003E6D27" w:rsidRPr="001B321C">
        <w:rPr>
          <w:rStyle w:val="FootnoteReference"/>
          <w:rFonts w:ascii="Times New Roman" w:hAnsi="Times New Roman"/>
          <w:sz w:val="24"/>
          <w:szCs w:val="24"/>
        </w:rPr>
        <w:footnoteReference w:id="902"/>
      </w:r>
      <w:r w:rsidR="0090539B" w:rsidRPr="001B321C">
        <w:rPr>
          <w:rFonts w:ascii="Times New Roman" w:hAnsi="Times New Roman"/>
          <w:sz w:val="24"/>
          <w:szCs w:val="24"/>
        </w:rPr>
        <w:t> </w:t>
      </w:r>
      <w:r w:rsidR="003E6D27" w:rsidRPr="001B321C">
        <w:rPr>
          <w:rFonts w:ascii="Times New Roman" w:hAnsi="Times New Roman"/>
          <w:sz w:val="24"/>
          <w:szCs w:val="24"/>
          <w:lang w:val="sr-Cyrl-CS"/>
        </w:rPr>
        <w:t xml:space="preserve">Отворено је и саветовалиште </w:t>
      </w:r>
      <w:r w:rsidR="00011174" w:rsidRPr="001B321C">
        <w:rPr>
          <w:rFonts w:ascii="Times New Roman" w:hAnsi="Times New Roman"/>
          <w:sz w:val="24"/>
          <w:szCs w:val="24"/>
        </w:rPr>
        <w:t>у</w:t>
      </w:r>
      <w:r w:rsidR="0090539B" w:rsidRPr="001B321C">
        <w:rPr>
          <w:rFonts w:ascii="Times New Roman" w:hAnsi="Times New Roman"/>
          <w:sz w:val="24"/>
          <w:szCs w:val="24"/>
        </w:rPr>
        <w:t xml:space="preserve"> </w:t>
      </w:r>
      <w:r w:rsidR="00011174" w:rsidRPr="001B321C">
        <w:rPr>
          <w:rFonts w:ascii="Times New Roman" w:hAnsi="Times New Roman"/>
          <w:sz w:val="24"/>
          <w:szCs w:val="24"/>
        </w:rPr>
        <w:t>којем</w:t>
      </w:r>
      <w:r w:rsidR="0090539B" w:rsidRPr="001B321C">
        <w:rPr>
          <w:rFonts w:ascii="Times New Roman" w:hAnsi="Times New Roman"/>
          <w:sz w:val="24"/>
          <w:szCs w:val="24"/>
        </w:rPr>
        <w:t xml:space="preserve"> </w:t>
      </w:r>
      <w:r w:rsidR="00011174" w:rsidRPr="001B321C">
        <w:rPr>
          <w:rFonts w:ascii="Times New Roman" w:hAnsi="Times New Roman"/>
          <w:sz w:val="24"/>
          <w:szCs w:val="24"/>
        </w:rPr>
        <w:t>ће</w:t>
      </w:r>
      <w:r w:rsidR="0090539B" w:rsidRPr="001B321C">
        <w:rPr>
          <w:rFonts w:ascii="Times New Roman" w:hAnsi="Times New Roman"/>
          <w:sz w:val="24"/>
          <w:szCs w:val="24"/>
        </w:rPr>
        <w:t xml:space="preserve"> </w:t>
      </w:r>
      <w:r w:rsidR="00011174" w:rsidRPr="001B321C">
        <w:rPr>
          <w:rFonts w:ascii="Times New Roman" w:hAnsi="Times New Roman"/>
          <w:sz w:val="24"/>
          <w:szCs w:val="24"/>
        </w:rPr>
        <w:t>радити</w:t>
      </w:r>
      <w:r w:rsidR="0090539B" w:rsidRPr="001B321C">
        <w:rPr>
          <w:rFonts w:ascii="Times New Roman" w:hAnsi="Times New Roman"/>
          <w:sz w:val="24"/>
          <w:szCs w:val="24"/>
        </w:rPr>
        <w:t xml:space="preserve"> </w:t>
      </w:r>
      <w:r w:rsidR="00011174" w:rsidRPr="001B321C">
        <w:rPr>
          <w:rFonts w:ascii="Times New Roman" w:hAnsi="Times New Roman"/>
          <w:sz w:val="24"/>
          <w:szCs w:val="24"/>
        </w:rPr>
        <w:t>волонтери</w:t>
      </w:r>
      <w:r w:rsidR="0090539B" w:rsidRPr="001B321C">
        <w:rPr>
          <w:rFonts w:ascii="Times New Roman" w:hAnsi="Times New Roman"/>
          <w:sz w:val="24"/>
          <w:szCs w:val="24"/>
        </w:rPr>
        <w:t xml:space="preserve"> </w:t>
      </w:r>
      <w:r w:rsidR="00011174" w:rsidRPr="001B321C">
        <w:rPr>
          <w:rFonts w:ascii="Times New Roman" w:hAnsi="Times New Roman"/>
          <w:sz w:val="24"/>
          <w:szCs w:val="24"/>
        </w:rPr>
        <w:t>и</w:t>
      </w:r>
      <w:r w:rsidR="0090539B" w:rsidRPr="001B321C">
        <w:rPr>
          <w:rFonts w:ascii="Times New Roman" w:hAnsi="Times New Roman"/>
          <w:sz w:val="24"/>
          <w:szCs w:val="24"/>
        </w:rPr>
        <w:t xml:space="preserve"> </w:t>
      </w:r>
      <w:r w:rsidR="00011174" w:rsidRPr="001B321C">
        <w:rPr>
          <w:rFonts w:ascii="Times New Roman" w:hAnsi="Times New Roman"/>
          <w:sz w:val="24"/>
          <w:szCs w:val="24"/>
        </w:rPr>
        <w:t>са</w:t>
      </w:r>
      <w:r w:rsidR="0090539B" w:rsidRPr="001B321C">
        <w:rPr>
          <w:rFonts w:ascii="Times New Roman" w:hAnsi="Times New Roman"/>
          <w:sz w:val="24"/>
          <w:szCs w:val="24"/>
        </w:rPr>
        <w:t xml:space="preserve"> </w:t>
      </w:r>
      <w:r w:rsidR="00011174" w:rsidRPr="001B321C">
        <w:rPr>
          <w:rFonts w:ascii="Times New Roman" w:hAnsi="Times New Roman"/>
          <w:sz w:val="24"/>
          <w:szCs w:val="24"/>
        </w:rPr>
        <w:t>којим</w:t>
      </w:r>
      <w:r w:rsidR="0090539B" w:rsidRPr="001B321C">
        <w:rPr>
          <w:rFonts w:ascii="Times New Roman" w:hAnsi="Times New Roman"/>
          <w:sz w:val="24"/>
          <w:szCs w:val="24"/>
        </w:rPr>
        <w:t xml:space="preserve"> </w:t>
      </w:r>
      <w:r w:rsidR="00011174" w:rsidRPr="001B321C">
        <w:rPr>
          <w:rFonts w:ascii="Times New Roman" w:hAnsi="Times New Roman"/>
          <w:sz w:val="24"/>
          <w:szCs w:val="24"/>
        </w:rPr>
        <w:t>ће</w:t>
      </w:r>
      <w:r w:rsidR="0090539B" w:rsidRPr="001B321C">
        <w:rPr>
          <w:rFonts w:ascii="Times New Roman" w:hAnsi="Times New Roman"/>
          <w:sz w:val="24"/>
          <w:szCs w:val="24"/>
        </w:rPr>
        <w:t xml:space="preserve"> </w:t>
      </w:r>
      <w:r w:rsidR="00011174" w:rsidRPr="001B321C">
        <w:rPr>
          <w:rFonts w:ascii="Times New Roman" w:hAnsi="Times New Roman"/>
          <w:sz w:val="24"/>
          <w:szCs w:val="24"/>
        </w:rPr>
        <w:t>сарађивати</w:t>
      </w:r>
      <w:r w:rsidR="0090539B" w:rsidRPr="001B321C">
        <w:rPr>
          <w:rFonts w:ascii="Times New Roman" w:hAnsi="Times New Roman"/>
          <w:sz w:val="24"/>
          <w:szCs w:val="24"/>
        </w:rPr>
        <w:t xml:space="preserve"> </w:t>
      </w:r>
      <w:r w:rsidR="00011174" w:rsidRPr="001B321C">
        <w:rPr>
          <w:rFonts w:ascii="Times New Roman" w:hAnsi="Times New Roman"/>
          <w:sz w:val="24"/>
          <w:szCs w:val="24"/>
        </w:rPr>
        <w:t>правни</w:t>
      </w:r>
      <w:r w:rsidR="0090539B" w:rsidRPr="001B321C">
        <w:rPr>
          <w:rFonts w:ascii="Times New Roman" w:hAnsi="Times New Roman"/>
          <w:sz w:val="24"/>
          <w:szCs w:val="24"/>
        </w:rPr>
        <w:t xml:space="preserve"> </w:t>
      </w:r>
      <w:r w:rsidR="00011174" w:rsidRPr="001B321C">
        <w:rPr>
          <w:rFonts w:ascii="Times New Roman" w:hAnsi="Times New Roman"/>
          <w:sz w:val="24"/>
          <w:szCs w:val="24"/>
        </w:rPr>
        <w:t>саветници</w:t>
      </w:r>
      <w:r w:rsidR="0090539B" w:rsidRPr="001B321C">
        <w:rPr>
          <w:rFonts w:ascii="Times New Roman" w:hAnsi="Times New Roman"/>
          <w:sz w:val="24"/>
          <w:szCs w:val="24"/>
        </w:rPr>
        <w:t xml:space="preserve"> </w:t>
      </w:r>
      <w:r w:rsidR="00011174" w:rsidRPr="001B321C">
        <w:rPr>
          <w:rFonts w:ascii="Times New Roman" w:hAnsi="Times New Roman"/>
          <w:sz w:val="24"/>
          <w:szCs w:val="24"/>
        </w:rPr>
        <w:t>ће</w:t>
      </w:r>
      <w:r w:rsidR="0090539B" w:rsidRPr="001B321C">
        <w:rPr>
          <w:rFonts w:ascii="Times New Roman" w:hAnsi="Times New Roman"/>
          <w:sz w:val="24"/>
          <w:szCs w:val="24"/>
        </w:rPr>
        <w:t xml:space="preserve"> </w:t>
      </w:r>
      <w:r w:rsidR="00011174" w:rsidRPr="001B321C">
        <w:rPr>
          <w:rFonts w:ascii="Times New Roman" w:hAnsi="Times New Roman"/>
          <w:sz w:val="24"/>
          <w:szCs w:val="24"/>
        </w:rPr>
        <w:t>примати</w:t>
      </w:r>
      <w:r w:rsidR="0090539B" w:rsidRPr="001B321C">
        <w:rPr>
          <w:rFonts w:ascii="Times New Roman" w:hAnsi="Times New Roman"/>
          <w:sz w:val="24"/>
          <w:szCs w:val="24"/>
        </w:rPr>
        <w:t xml:space="preserve"> </w:t>
      </w:r>
      <w:r w:rsidR="00011174" w:rsidRPr="001B321C">
        <w:rPr>
          <w:rFonts w:ascii="Times New Roman" w:hAnsi="Times New Roman"/>
          <w:sz w:val="24"/>
          <w:szCs w:val="24"/>
        </w:rPr>
        <w:t>позиве</w:t>
      </w:r>
      <w:r w:rsidR="0090539B" w:rsidRPr="001B321C">
        <w:rPr>
          <w:rFonts w:ascii="Times New Roman" w:hAnsi="Times New Roman"/>
          <w:sz w:val="24"/>
          <w:szCs w:val="24"/>
        </w:rPr>
        <w:t xml:space="preserve"> </w:t>
      </w:r>
      <w:r w:rsidR="00011174" w:rsidRPr="001B321C">
        <w:rPr>
          <w:rFonts w:ascii="Times New Roman" w:hAnsi="Times New Roman"/>
          <w:sz w:val="24"/>
          <w:szCs w:val="24"/>
        </w:rPr>
        <w:t>од</w:t>
      </w:r>
      <w:r w:rsidR="0090539B" w:rsidRPr="001B321C">
        <w:rPr>
          <w:rFonts w:ascii="Times New Roman" w:hAnsi="Times New Roman"/>
          <w:sz w:val="24"/>
          <w:szCs w:val="24"/>
        </w:rPr>
        <w:t xml:space="preserve"> </w:t>
      </w:r>
      <w:r w:rsidR="00011174" w:rsidRPr="001B321C">
        <w:rPr>
          <w:rFonts w:ascii="Times New Roman" w:hAnsi="Times New Roman"/>
          <w:sz w:val="24"/>
          <w:szCs w:val="24"/>
        </w:rPr>
        <w:t>грађана</w:t>
      </w:r>
      <w:r w:rsidR="0090539B" w:rsidRPr="001B321C">
        <w:rPr>
          <w:rFonts w:ascii="Times New Roman" w:hAnsi="Times New Roman"/>
          <w:sz w:val="24"/>
          <w:szCs w:val="24"/>
        </w:rPr>
        <w:t xml:space="preserve"> </w:t>
      </w:r>
      <w:r w:rsidR="00011174" w:rsidRPr="001B321C">
        <w:rPr>
          <w:rFonts w:ascii="Times New Roman" w:hAnsi="Times New Roman"/>
          <w:sz w:val="24"/>
          <w:szCs w:val="24"/>
        </w:rPr>
        <w:t>који</w:t>
      </w:r>
      <w:r w:rsidR="0090539B" w:rsidRPr="001B321C">
        <w:rPr>
          <w:rFonts w:ascii="Times New Roman" w:hAnsi="Times New Roman"/>
          <w:sz w:val="24"/>
          <w:szCs w:val="24"/>
        </w:rPr>
        <w:t xml:space="preserve"> </w:t>
      </w:r>
      <w:r w:rsidR="00011174" w:rsidRPr="001B321C">
        <w:rPr>
          <w:rFonts w:ascii="Times New Roman" w:hAnsi="Times New Roman"/>
          <w:sz w:val="24"/>
          <w:szCs w:val="24"/>
        </w:rPr>
        <w:t>се</w:t>
      </w:r>
      <w:r w:rsidR="0090539B" w:rsidRPr="001B321C">
        <w:rPr>
          <w:rFonts w:ascii="Times New Roman" w:hAnsi="Times New Roman"/>
          <w:sz w:val="24"/>
          <w:szCs w:val="24"/>
        </w:rPr>
        <w:t xml:space="preserve"> </w:t>
      </w:r>
      <w:r w:rsidR="00011174" w:rsidRPr="001B321C">
        <w:rPr>
          <w:rFonts w:ascii="Times New Roman" w:hAnsi="Times New Roman"/>
          <w:sz w:val="24"/>
          <w:szCs w:val="24"/>
        </w:rPr>
        <w:t>осећају</w:t>
      </w:r>
      <w:r w:rsidR="0090539B" w:rsidRPr="001B321C">
        <w:rPr>
          <w:rFonts w:ascii="Times New Roman" w:hAnsi="Times New Roman"/>
          <w:sz w:val="24"/>
          <w:szCs w:val="24"/>
        </w:rPr>
        <w:t xml:space="preserve"> </w:t>
      </w:r>
      <w:r w:rsidR="00011174" w:rsidRPr="001B321C">
        <w:rPr>
          <w:rFonts w:ascii="Times New Roman" w:hAnsi="Times New Roman"/>
          <w:sz w:val="24"/>
          <w:szCs w:val="24"/>
        </w:rPr>
        <w:t>као</w:t>
      </w:r>
      <w:r w:rsidR="0090539B" w:rsidRPr="001B321C">
        <w:rPr>
          <w:rFonts w:ascii="Times New Roman" w:hAnsi="Times New Roman"/>
          <w:sz w:val="24"/>
          <w:szCs w:val="24"/>
        </w:rPr>
        <w:t xml:space="preserve"> </w:t>
      </w:r>
      <w:r w:rsidR="00011174" w:rsidRPr="001B321C">
        <w:rPr>
          <w:rFonts w:ascii="Times New Roman" w:hAnsi="Times New Roman"/>
          <w:sz w:val="24"/>
          <w:szCs w:val="24"/>
        </w:rPr>
        <w:t>жртве</w:t>
      </w:r>
      <w:r w:rsidR="0090539B" w:rsidRPr="001B321C">
        <w:rPr>
          <w:rFonts w:ascii="Times New Roman" w:hAnsi="Times New Roman"/>
          <w:sz w:val="24"/>
          <w:szCs w:val="24"/>
        </w:rPr>
        <w:t xml:space="preserve"> </w:t>
      </w:r>
      <w:r w:rsidR="00011174" w:rsidRPr="001B321C">
        <w:rPr>
          <w:rFonts w:ascii="Times New Roman" w:hAnsi="Times New Roman"/>
          <w:sz w:val="24"/>
          <w:szCs w:val="24"/>
        </w:rPr>
        <w:t>корупције</w:t>
      </w:r>
      <w:r w:rsidR="0090539B" w:rsidRPr="001B321C">
        <w:rPr>
          <w:rFonts w:ascii="Times New Roman" w:hAnsi="Times New Roman"/>
          <w:sz w:val="24"/>
          <w:szCs w:val="24"/>
        </w:rPr>
        <w:t xml:space="preserve"> </w:t>
      </w:r>
      <w:r w:rsidR="00011174" w:rsidRPr="001B321C">
        <w:rPr>
          <w:rFonts w:ascii="Times New Roman" w:hAnsi="Times New Roman"/>
          <w:sz w:val="24"/>
          <w:szCs w:val="24"/>
        </w:rPr>
        <w:t>или</w:t>
      </w:r>
      <w:r w:rsidR="0090539B" w:rsidRPr="001B321C">
        <w:rPr>
          <w:rFonts w:ascii="Times New Roman" w:hAnsi="Times New Roman"/>
          <w:sz w:val="24"/>
          <w:szCs w:val="24"/>
        </w:rPr>
        <w:t xml:space="preserve"> </w:t>
      </w:r>
      <w:r w:rsidR="00011174" w:rsidRPr="001B321C">
        <w:rPr>
          <w:rFonts w:ascii="Times New Roman" w:hAnsi="Times New Roman"/>
          <w:sz w:val="24"/>
          <w:szCs w:val="24"/>
        </w:rPr>
        <w:t>који</w:t>
      </w:r>
      <w:r w:rsidR="0090539B" w:rsidRPr="001B321C">
        <w:rPr>
          <w:rFonts w:ascii="Times New Roman" w:hAnsi="Times New Roman"/>
          <w:sz w:val="24"/>
          <w:szCs w:val="24"/>
        </w:rPr>
        <w:t xml:space="preserve"> </w:t>
      </w:r>
      <w:r w:rsidR="00011174" w:rsidRPr="001B321C">
        <w:rPr>
          <w:rFonts w:ascii="Times New Roman" w:hAnsi="Times New Roman"/>
          <w:sz w:val="24"/>
          <w:szCs w:val="24"/>
        </w:rPr>
        <w:t>су</w:t>
      </w:r>
      <w:r w:rsidR="0090539B" w:rsidRPr="001B321C">
        <w:rPr>
          <w:rFonts w:ascii="Times New Roman" w:hAnsi="Times New Roman"/>
          <w:sz w:val="24"/>
          <w:szCs w:val="24"/>
        </w:rPr>
        <w:t xml:space="preserve"> </w:t>
      </w:r>
      <w:r w:rsidR="00011174" w:rsidRPr="001B321C">
        <w:rPr>
          <w:rFonts w:ascii="Times New Roman" w:hAnsi="Times New Roman"/>
          <w:sz w:val="24"/>
          <w:szCs w:val="24"/>
        </w:rPr>
        <w:t>за</w:t>
      </w:r>
      <w:r w:rsidR="0090539B" w:rsidRPr="001B321C">
        <w:rPr>
          <w:rFonts w:ascii="Times New Roman" w:hAnsi="Times New Roman"/>
          <w:sz w:val="24"/>
          <w:szCs w:val="24"/>
        </w:rPr>
        <w:t xml:space="preserve"> </w:t>
      </w:r>
      <w:r w:rsidR="00011174" w:rsidRPr="001B321C">
        <w:rPr>
          <w:rFonts w:ascii="Times New Roman" w:hAnsi="Times New Roman"/>
          <w:sz w:val="24"/>
          <w:szCs w:val="24"/>
        </w:rPr>
        <w:t>коруптивно</w:t>
      </w:r>
      <w:r w:rsidR="0090539B" w:rsidRPr="001B321C">
        <w:rPr>
          <w:rFonts w:ascii="Times New Roman" w:hAnsi="Times New Roman"/>
          <w:sz w:val="24"/>
          <w:szCs w:val="24"/>
        </w:rPr>
        <w:t xml:space="preserve"> </w:t>
      </w:r>
      <w:r w:rsidR="00011174" w:rsidRPr="001B321C">
        <w:rPr>
          <w:rFonts w:ascii="Times New Roman" w:hAnsi="Times New Roman"/>
          <w:sz w:val="24"/>
          <w:szCs w:val="24"/>
        </w:rPr>
        <w:t>понашање</w:t>
      </w:r>
      <w:r w:rsidR="0090539B" w:rsidRPr="001B321C">
        <w:rPr>
          <w:rFonts w:ascii="Times New Roman" w:hAnsi="Times New Roman"/>
          <w:sz w:val="24"/>
          <w:szCs w:val="24"/>
        </w:rPr>
        <w:t xml:space="preserve"> </w:t>
      </w:r>
      <w:r w:rsidR="00011174" w:rsidRPr="001B321C">
        <w:rPr>
          <w:rFonts w:ascii="Times New Roman" w:hAnsi="Times New Roman"/>
          <w:sz w:val="24"/>
          <w:szCs w:val="24"/>
        </w:rPr>
        <w:t>сазнали</w:t>
      </w:r>
      <w:r w:rsidR="0090539B" w:rsidRPr="001B321C">
        <w:rPr>
          <w:rFonts w:ascii="Times New Roman" w:hAnsi="Times New Roman"/>
          <w:sz w:val="24"/>
          <w:szCs w:val="24"/>
        </w:rPr>
        <w:t xml:space="preserve"> </w:t>
      </w:r>
      <w:r w:rsidR="00011174" w:rsidRPr="001B321C">
        <w:rPr>
          <w:rFonts w:ascii="Times New Roman" w:hAnsi="Times New Roman"/>
          <w:sz w:val="24"/>
          <w:szCs w:val="24"/>
        </w:rPr>
        <w:t>на</w:t>
      </w:r>
      <w:r w:rsidR="0090539B" w:rsidRPr="001B321C">
        <w:rPr>
          <w:rFonts w:ascii="Times New Roman" w:hAnsi="Times New Roman"/>
          <w:sz w:val="24"/>
          <w:szCs w:val="24"/>
        </w:rPr>
        <w:t xml:space="preserve"> </w:t>
      </w:r>
      <w:r w:rsidR="00011174" w:rsidRPr="001B321C">
        <w:rPr>
          <w:rFonts w:ascii="Times New Roman" w:hAnsi="Times New Roman"/>
          <w:sz w:val="24"/>
          <w:szCs w:val="24"/>
        </w:rPr>
        <w:t>други</w:t>
      </w:r>
      <w:r w:rsidR="0090539B" w:rsidRPr="001B321C">
        <w:rPr>
          <w:rFonts w:ascii="Times New Roman" w:hAnsi="Times New Roman"/>
          <w:sz w:val="24"/>
          <w:szCs w:val="24"/>
        </w:rPr>
        <w:t xml:space="preserve"> </w:t>
      </w:r>
      <w:r w:rsidR="00011174" w:rsidRPr="001B321C">
        <w:rPr>
          <w:rFonts w:ascii="Times New Roman" w:hAnsi="Times New Roman"/>
          <w:sz w:val="24"/>
          <w:szCs w:val="24"/>
        </w:rPr>
        <w:t>начин</w:t>
      </w:r>
      <w:r w:rsidR="0090539B" w:rsidRPr="001B321C">
        <w:rPr>
          <w:rFonts w:ascii="Times New Roman" w:hAnsi="Times New Roman"/>
          <w:sz w:val="24"/>
          <w:szCs w:val="24"/>
        </w:rPr>
        <w:t xml:space="preserve"> </w:t>
      </w:r>
      <w:r w:rsidR="00011174" w:rsidRPr="001B321C">
        <w:rPr>
          <w:rFonts w:ascii="Times New Roman" w:hAnsi="Times New Roman"/>
          <w:sz w:val="24"/>
          <w:szCs w:val="24"/>
        </w:rPr>
        <w:t>и</w:t>
      </w:r>
      <w:r w:rsidR="0090539B" w:rsidRPr="001B321C">
        <w:rPr>
          <w:rFonts w:ascii="Times New Roman" w:hAnsi="Times New Roman"/>
          <w:sz w:val="24"/>
          <w:szCs w:val="24"/>
        </w:rPr>
        <w:t xml:space="preserve"> </w:t>
      </w:r>
      <w:r w:rsidR="00011174" w:rsidRPr="001B321C">
        <w:rPr>
          <w:rFonts w:ascii="Times New Roman" w:hAnsi="Times New Roman"/>
          <w:sz w:val="24"/>
          <w:szCs w:val="24"/>
        </w:rPr>
        <w:t>желе</w:t>
      </w:r>
      <w:r w:rsidR="0090539B" w:rsidRPr="001B321C">
        <w:rPr>
          <w:rFonts w:ascii="Times New Roman" w:hAnsi="Times New Roman"/>
          <w:sz w:val="24"/>
          <w:szCs w:val="24"/>
        </w:rPr>
        <w:t xml:space="preserve"> </w:t>
      </w:r>
      <w:r w:rsidR="00011174" w:rsidRPr="001B321C">
        <w:rPr>
          <w:rFonts w:ascii="Times New Roman" w:hAnsi="Times New Roman"/>
          <w:sz w:val="24"/>
          <w:szCs w:val="24"/>
        </w:rPr>
        <w:t>да</w:t>
      </w:r>
      <w:r w:rsidR="0090539B" w:rsidRPr="001B321C">
        <w:rPr>
          <w:rFonts w:ascii="Times New Roman" w:hAnsi="Times New Roman"/>
          <w:sz w:val="24"/>
          <w:szCs w:val="24"/>
        </w:rPr>
        <w:t xml:space="preserve"> </w:t>
      </w:r>
      <w:r w:rsidR="00011174" w:rsidRPr="001B321C">
        <w:rPr>
          <w:rFonts w:ascii="Times New Roman" w:hAnsi="Times New Roman"/>
          <w:sz w:val="24"/>
          <w:szCs w:val="24"/>
        </w:rPr>
        <w:t>се</w:t>
      </w:r>
      <w:r w:rsidR="0090539B" w:rsidRPr="001B321C">
        <w:rPr>
          <w:rFonts w:ascii="Times New Roman" w:hAnsi="Times New Roman"/>
          <w:sz w:val="24"/>
          <w:szCs w:val="24"/>
        </w:rPr>
        <w:t xml:space="preserve"> </w:t>
      </w:r>
      <w:r w:rsidR="00011174" w:rsidRPr="001B321C">
        <w:rPr>
          <w:rFonts w:ascii="Times New Roman" w:hAnsi="Times New Roman"/>
          <w:sz w:val="24"/>
          <w:szCs w:val="24"/>
        </w:rPr>
        <w:t>оно</w:t>
      </w:r>
      <w:r w:rsidR="0090539B" w:rsidRPr="001B321C">
        <w:rPr>
          <w:rFonts w:ascii="Times New Roman" w:hAnsi="Times New Roman"/>
          <w:sz w:val="24"/>
          <w:szCs w:val="24"/>
        </w:rPr>
        <w:t xml:space="preserve"> </w:t>
      </w:r>
      <w:r w:rsidR="00011174" w:rsidRPr="001B321C">
        <w:rPr>
          <w:rFonts w:ascii="Times New Roman" w:hAnsi="Times New Roman"/>
          <w:sz w:val="24"/>
          <w:szCs w:val="24"/>
        </w:rPr>
        <w:t>спречи</w:t>
      </w:r>
      <w:r w:rsidR="0090539B" w:rsidRPr="001B321C">
        <w:rPr>
          <w:rFonts w:ascii="Times New Roman" w:hAnsi="Times New Roman"/>
          <w:sz w:val="24"/>
          <w:szCs w:val="24"/>
        </w:rPr>
        <w:t xml:space="preserve"> </w:t>
      </w:r>
      <w:r w:rsidR="00011174" w:rsidRPr="001B321C">
        <w:rPr>
          <w:rFonts w:ascii="Times New Roman" w:hAnsi="Times New Roman"/>
          <w:sz w:val="24"/>
          <w:szCs w:val="24"/>
        </w:rPr>
        <w:t>или</w:t>
      </w:r>
      <w:r w:rsidR="0090539B" w:rsidRPr="001B321C">
        <w:rPr>
          <w:rFonts w:ascii="Times New Roman" w:hAnsi="Times New Roman"/>
          <w:sz w:val="24"/>
          <w:szCs w:val="24"/>
        </w:rPr>
        <w:t xml:space="preserve"> </w:t>
      </w:r>
      <w:r w:rsidR="00011174" w:rsidRPr="001B321C">
        <w:rPr>
          <w:rFonts w:ascii="Times New Roman" w:hAnsi="Times New Roman"/>
          <w:sz w:val="24"/>
          <w:szCs w:val="24"/>
        </w:rPr>
        <w:t>механизми</w:t>
      </w:r>
      <w:r w:rsidR="0090539B" w:rsidRPr="001B321C">
        <w:rPr>
          <w:rFonts w:ascii="Times New Roman" w:hAnsi="Times New Roman"/>
          <w:sz w:val="24"/>
          <w:szCs w:val="24"/>
        </w:rPr>
        <w:t xml:space="preserve"> </w:t>
      </w:r>
      <w:r w:rsidR="00011174" w:rsidRPr="001B321C">
        <w:rPr>
          <w:rFonts w:ascii="Times New Roman" w:hAnsi="Times New Roman"/>
          <w:sz w:val="24"/>
          <w:szCs w:val="24"/>
        </w:rPr>
        <w:t>корупције</w:t>
      </w:r>
      <w:r w:rsidR="0090539B" w:rsidRPr="001B321C">
        <w:rPr>
          <w:rFonts w:ascii="Times New Roman" w:hAnsi="Times New Roman"/>
          <w:sz w:val="24"/>
          <w:szCs w:val="24"/>
        </w:rPr>
        <w:t xml:space="preserve"> </w:t>
      </w:r>
      <w:r>
        <w:rPr>
          <w:rFonts w:ascii="Times New Roman" w:hAnsi="Times New Roman"/>
          <w:sz w:val="24"/>
          <w:szCs w:val="24"/>
        </w:rPr>
        <w:t>разот</w:t>
      </w:r>
      <w:r w:rsidR="00011174" w:rsidRPr="001B321C">
        <w:rPr>
          <w:rFonts w:ascii="Times New Roman" w:hAnsi="Times New Roman"/>
          <w:sz w:val="24"/>
          <w:szCs w:val="24"/>
        </w:rPr>
        <w:t>к</w:t>
      </w:r>
      <w:r>
        <w:rPr>
          <w:rFonts w:ascii="Times New Roman" w:hAnsi="Times New Roman"/>
          <w:sz w:val="24"/>
          <w:szCs w:val="24"/>
          <w:lang w:val="sr-Cyrl-CS"/>
        </w:rPr>
        <w:t>р</w:t>
      </w:r>
      <w:r w:rsidR="00011174" w:rsidRPr="001B321C">
        <w:rPr>
          <w:rFonts w:ascii="Times New Roman" w:hAnsi="Times New Roman"/>
          <w:sz w:val="24"/>
          <w:szCs w:val="24"/>
        </w:rPr>
        <w:t>ију</w:t>
      </w:r>
      <w:r w:rsidR="000F3B71">
        <w:rPr>
          <w:rFonts w:ascii="Times New Roman" w:hAnsi="Times New Roman"/>
          <w:sz w:val="24"/>
          <w:szCs w:val="24"/>
        </w:rPr>
        <w:t>.</w:t>
      </w:r>
      <w:r w:rsidR="00D97C82" w:rsidRPr="001B321C">
        <w:rPr>
          <w:rFonts w:ascii="Times New Roman" w:hAnsi="Times New Roman"/>
          <w:sz w:val="24"/>
          <w:szCs w:val="24"/>
        </w:rPr>
        <w:t xml:space="preserve"> </w:t>
      </w:r>
      <w:r w:rsidR="00011174" w:rsidRPr="001B321C">
        <w:rPr>
          <w:rFonts w:ascii="Times New Roman" w:hAnsi="Times New Roman"/>
          <w:sz w:val="24"/>
          <w:szCs w:val="24"/>
        </w:rPr>
        <w:t>Главни</w:t>
      </w:r>
      <w:r w:rsidR="00D97C82" w:rsidRPr="001B321C">
        <w:rPr>
          <w:rFonts w:ascii="Times New Roman" w:hAnsi="Times New Roman"/>
          <w:sz w:val="24"/>
          <w:szCs w:val="24"/>
        </w:rPr>
        <w:t xml:space="preserve"> </w:t>
      </w:r>
      <w:r w:rsidR="00011174" w:rsidRPr="001B321C">
        <w:rPr>
          <w:rFonts w:ascii="Times New Roman" w:hAnsi="Times New Roman"/>
          <w:sz w:val="24"/>
          <w:szCs w:val="24"/>
        </w:rPr>
        <w:t>циљ</w:t>
      </w:r>
      <w:r w:rsidR="00D97C82" w:rsidRPr="001B321C">
        <w:rPr>
          <w:rFonts w:ascii="Times New Roman" w:hAnsi="Times New Roman"/>
          <w:sz w:val="24"/>
          <w:szCs w:val="24"/>
        </w:rPr>
        <w:t xml:space="preserve"> </w:t>
      </w:r>
      <w:r w:rsidR="00011174" w:rsidRPr="001B321C">
        <w:rPr>
          <w:rFonts w:ascii="Times New Roman" w:hAnsi="Times New Roman"/>
          <w:sz w:val="24"/>
          <w:szCs w:val="24"/>
        </w:rPr>
        <w:t>пројекта</w:t>
      </w:r>
      <w:r w:rsidR="00D97C82" w:rsidRPr="001B321C">
        <w:rPr>
          <w:rFonts w:ascii="Times New Roman" w:hAnsi="Times New Roman"/>
          <w:sz w:val="24"/>
          <w:szCs w:val="24"/>
        </w:rPr>
        <w:t xml:space="preserve"> </w:t>
      </w:r>
      <w:r w:rsidR="00011174" w:rsidRPr="001B321C">
        <w:rPr>
          <w:rFonts w:ascii="Times New Roman" w:hAnsi="Times New Roman"/>
          <w:sz w:val="24"/>
          <w:szCs w:val="24"/>
        </w:rPr>
        <w:t>успостављања</w:t>
      </w:r>
      <w:r w:rsidR="00D97C82" w:rsidRPr="001B321C">
        <w:rPr>
          <w:rFonts w:ascii="Times New Roman" w:hAnsi="Times New Roman"/>
          <w:sz w:val="24"/>
          <w:szCs w:val="24"/>
        </w:rPr>
        <w:t xml:space="preserve"> </w:t>
      </w:r>
      <w:r w:rsidR="00011174" w:rsidRPr="001B321C">
        <w:rPr>
          <w:rFonts w:ascii="Times New Roman" w:hAnsi="Times New Roman"/>
          <w:sz w:val="24"/>
          <w:szCs w:val="24"/>
        </w:rPr>
        <w:t>правног</w:t>
      </w:r>
      <w:r w:rsidR="00D97C82" w:rsidRPr="001B321C">
        <w:rPr>
          <w:rFonts w:ascii="Times New Roman" w:hAnsi="Times New Roman"/>
          <w:sz w:val="24"/>
          <w:szCs w:val="24"/>
        </w:rPr>
        <w:t xml:space="preserve"> </w:t>
      </w:r>
      <w:r w:rsidR="00011174" w:rsidRPr="001B321C">
        <w:rPr>
          <w:rFonts w:ascii="Times New Roman" w:hAnsi="Times New Roman"/>
          <w:sz w:val="24"/>
          <w:szCs w:val="24"/>
        </w:rPr>
        <w:t>саветовалишта</w:t>
      </w:r>
      <w:r w:rsidR="00D97C82" w:rsidRPr="001B321C">
        <w:rPr>
          <w:rFonts w:ascii="Times New Roman" w:hAnsi="Times New Roman"/>
          <w:sz w:val="24"/>
          <w:szCs w:val="24"/>
        </w:rPr>
        <w:t xml:space="preserve"> </w:t>
      </w:r>
      <w:r w:rsidR="00011174" w:rsidRPr="001B321C">
        <w:rPr>
          <w:rFonts w:ascii="Times New Roman" w:hAnsi="Times New Roman"/>
          <w:sz w:val="24"/>
          <w:szCs w:val="24"/>
        </w:rPr>
        <w:t>јесте</w:t>
      </w:r>
      <w:r w:rsidR="00D97C82" w:rsidRPr="001B321C">
        <w:rPr>
          <w:rFonts w:ascii="Times New Roman" w:hAnsi="Times New Roman"/>
          <w:sz w:val="24"/>
          <w:szCs w:val="24"/>
        </w:rPr>
        <w:t xml:space="preserve"> </w:t>
      </w:r>
      <w:r w:rsidR="00011174" w:rsidRPr="001B321C">
        <w:rPr>
          <w:rFonts w:ascii="Times New Roman" w:hAnsi="Times New Roman"/>
          <w:sz w:val="24"/>
          <w:szCs w:val="24"/>
        </w:rPr>
        <w:t>зато</w:t>
      </w:r>
      <w:r w:rsidR="00D97C82" w:rsidRPr="001B321C">
        <w:rPr>
          <w:rFonts w:ascii="Times New Roman" w:hAnsi="Times New Roman"/>
          <w:sz w:val="24"/>
          <w:szCs w:val="24"/>
        </w:rPr>
        <w:t xml:space="preserve"> </w:t>
      </w:r>
      <w:r w:rsidR="00011174" w:rsidRPr="001B321C">
        <w:rPr>
          <w:rFonts w:ascii="Times New Roman" w:hAnsi="Times New Roman"/>
          <w:sz w:val="24"/>
          <w:szCs w:val="24"/>
        </w:rPr>
        <w:t>да</w:t>
      </w:r>
      <w:r w:rsidR="00D97C82" w:rsidRPr="001B321C">
        <w:rPr>
          <w:rFonts w:ascii="Times New Roman" w:hAnsi="Times New Roman"/>
          <w:sz w:val="24"/>
          <w:szCs w:val="24"/>
        </w:rPr>
        <w:t xml:space="preserve"> </w:t>
      </w:r>
      <w:r w:rsidR="00011174" w:rsidRPr="001B321C">
        <w:rPr>
          <w:rFonts w:ascii="Times New Roman" w:hAnsi="Times New Roman"/>
          <w:sz w:val="24"/>
          <w:szCs w:val="24"/>
        </w:rPr>
        <w:t>се</w:t>
      </w:r>
      <w:r w:rsidR="00D97C82" w:rsidRPr="001B321C">
        <w:rPr>
          <w:rFonts w:ascii="Times New Roman" w:hAnsi="Times New Roman"/>
          <w:sz w:val="24"/>
          <w:szCs w:val="24"/>
        </w:rPr>
        <w:t xml:space="preserve"> </w:t>
      </w:r>
      <w:r w:rsidR="00011174" w:rsidRPr="001B321C">
        <w:rPr>
          <w:rFonts w:ascii="Times New Roman" w:hAnsi="Times New Roman"/>
          <w:sz w:val="24"/>
          <w:szCs w:val="24"/>
        </w:rPr>
        <w:t>повећа</w:t>
      </w:r>
      <w:r w:rsidR="00D97C82" w:rsidRPr="001B321C">
        <w:rPr>
          <w:rFonts w:ascii="Times New Roman" w:hAnsi="Times New Roman"/>
          <w:sz w:val="24"/>
          <w:szCs w:val="24"/>
        </w:rPr>
        <w:t xml:space="preserve"> </w:t>
      </w:r>
      <w:r w:rsidR="00011174" w:rsidRPr="001B321C">
        <w:rPr>
          <w:rFonts w:ascii="Times New Roman" w:hAnsi="Times New Roman"/>
          <w:sz w:val="24"/>
          <w:szCs w:val="24"/>
        </w:rPr>
        <w:t>учешће</w:t>
      </w:r>
      <w:r w:rsidR="00D97C82" w:rsidRPr="001B321C">
        <w:rPr>
          <w:rFonts w:ascii="Times New Roman" w:hAnsi="Times New Roman"/>
          <w:sz w:val="24"/>
          <w:szCs w:val="24"/>
        </w:rPr>
        <w:t xml:space="preserve"> </w:t>
      </w:r>
      <w:r w:rsidR="00011174" w:rsidRPr="001B321C">
        <w:rPr>
          <w:rFonts w:ascii="Times New Roman" w:hAnsi="Times New Roman"/>
          <w:sz w:val="24"/>
          <w:szCs w:val="24"/>
        </w:rPr>
        <w:t>грађана</w:t>
      </w:r>
      <w:r w:rsidR="00D97C82" w:rsidRPr="001B321C">
        <w:rPr>
          <w:rFonts w:ascii="Times New Roman" w:hAnsi="Times New Roman"/>
          <w:sz w:val="24"/>
          <w:szCs w:val="24"/>
        </w:rPr>
        <w:t xml:space="preserve"> </w:t>
      </w:r>
      <w:r w:rsidR="00011174" w:rsidRPr="001B321C">
        <w:rPr>
          <w:rFonts w:ascii="Times New Roman" w:hAnsi="Times New Roman"/>
          <w:sz w:val="24"/>
          <w:szCs w:val="24"/>
        </w:rPr>
        <w:t>у</w:t>
      </w:r>
      <w:r w:rsidR="00D97C82" w:rsidRPr="001B321C">
        <w:rPr>
          <w:rFonts w:ascii="Times New Roman" w:hAnsi="Times New Roman"/>
          <w:sz w:val="24"/>
          <w:szCs w:val="24"/>
        </w:rPr>
        <w:t xml:space="preserve"> </w:t>
      </w:r>
      <w:r w:rsidR="00011174" w:rsidRPr="001B321C">
        <w:rPr>
          <w:rFonts w:ascii="Times New Roman" w:hAnsi="Times New Roman"/>
          <w:sz w:val="24"/>
          <w:szCs w:val="24"/>
        </w:rPr>
        <w:t>борби</w:t>
      </w:r>
      <w:r w:rsidR="00D97C82" w:rsidRPr="001B321C">
        <w:rPr>
          <w:rFonts w:ascii="Times New Roman" w:hAnsi="Times New Roman"/>
          <w:sz w:val="24"/>
          <w:szCs w:val="24"/>
        </w:rPr>
        <w:t xml:space="preserve"> </w:t>
      </w:r>
      <w:r w:rsidR="00011174" w:rsidRPr="001B321C">
        <w:rPr>
          <w:rFonts w:ascii="Times New Roman" w:hAnsi="Times New Roman"/>
          <w:sz w:val="24"/>
          <w:szCs w:val="24"/>
        </w:rPr>
        <w:t>против</w:t>
      </w:r>
      <w:r w:rsidR="00D97C82" w:rsidRPr="001B321C">
        <w:rPr>
          <w:rFonts w:ascii="Times New Roman" w:hAnsi="Times New Roman"/>
          <w:sz w:val="24"/>
          <w:szCs w:val="24"/>
        </w:rPr>
        <w:t xml:space="preserve"> </w:t>
      </w:r>
      <w:r w:rsidR="00011174" w:rsidRPr="001B321C">
        <w:rPr>
          <w:rFonts w:ascii="Times New Roman" w:hAnsi="Times New Roman"/>
          <w:sz w:val="24"/>
          <w:szCs w:val="24"/>
        </w:rPr>
        <w:t>корупције</w:t>
      </w:r>
      <w:r w:rsidR="00D97C82" w:rsidRPr="001B321C">
        <w:rPr>
          <w:rFonts w:ascii="Times New Roman" w:hAnsi="Times New Roman"/>
          <w:sz w:val="24"/>
          <w:szCs w:val="24"/>
        </w:rPr>
        <w:t xml:space="preserve">, </w:t>
      </w:r>
      <w:r w:rsidR="00011174" w:rsidRPr="001B321C">
        <w:rPr>
          <w:rFonts w:ascii="Times New Roman" w:hAnsi="Times New Roman"/>
          <w:sz w:val="24"/>
          <w:szCs w:val="24"/>
        </w:rPr>
        <w:t>и</w:t>
      </w:r>
      <w:r w:rsidR="00D97C82" w:rsidRPr="001B321C">
        <w:rPr>
          <w:rFonts w:ascii="Times New Roman" w:hAnsi="Times New Roman"/>
          <w:sz w:val="24"/>
          <w:szCs w:val="24"/>
        </w:rPr>
        <w:t xml:space="preserve"> </w:t>
      </w:r>
      <w:r w:rsidR="00011174" w:rsidRPr="001B321C">
        <w:rPr>
          <w:rFonts w:ascii="Times New Roman" w:hAnsi="Times New Roman"/>
          <w:sz w:val="24"/>
          <w:szCs w:val="24"/>
        </w:rPr>
        <w:t>да</w:t>
      </w:r>
      <w:r w:rsidR="00D97C82" w:rsidRPr="001B321C">
        <w:rPr>
          <w:rFonts w:ascii="Times New Roman" w:hAnsi="Times New Roman"/>
          <w:sz w:val="24"/>
          <w:szCs w:val="24"/>
        </w:rPr>
        <w:t xml:space="preserve"> </w:t>
      </w:r>
      <w:r w:rsidR="00011174" w:rsidRPr="001B321C">
        <w:rPr>
          <w:rFonts w:ascii="Times New Roman" w:hAnsi="Times New Roman"/>
          <w:sz w:val="24"/>
          <w:szCs w:val="24"/>
        </w:rPr>
        <w:t>се</w:t>
      </w:r>
      <w:r w:rsidR="00D97C82" w:rsidRPr="001B321C">
        <w:rPr>
          <w:rFonts w:ascii="Times New Roman" w:hAnsi="Times New Roman"/>
          <w:sz w:val="24"/>
          <w:szCs w:val="24"/>
        </w:rPr>
        <w:t xml:space="preserve"> </w:t>
      </w:r>
      <w:r w:rsidR="00011174" w:rsidRPr="001B321C">
        <w:rPr>
          <w:rFonts w:ascii="Times New Roman" w:hAnsi="Times New Roman"/>
          <w:sz w:val="24"/>
          <w:szCs w:val="24"/>
        </w:rPr>
        <w:t>повећа</w:t>
      </w:r>
      <w:r w:rsidR="00D97C82" w:rsidRPr="001B321C">
        <w:rPr>
          <w:rFonts w:ascii="Times New Roman" w:hAnsi="Times New Roman"/>
          <w:sz w:val="24"/>
          <w:szCs w:val="24"/>
        </w:rPr>
        <w:t xml:space="preserve"> </w:t>
      </w:r>
      <w:r w:rsidR="00011174" w:rsidRPr="001B321C">
        <w:rPr>
          <w:rFonts w:ascii="Times New Roman" w:hAnsi="Times New Roman"/>
          <w:sz w:val="24"/>
          <w:szCs w:val="24"/>
        </w:rPr>
        <w:t>како</w:t>
      </w:r>
      <w:r w:rsidR="00D97C82" w:rsidRPr="001B321C">
        <w:rPr>
          <w:rFonts w:ascii="Times New Roman" w:hAnsi="Times New Roman"/>
          <w:sz w:val="24"/>
          <w:szCs w:val="24"/>
        </w:rPr>
        <w:t xml:space="preserve"> </w:t>
      </w:r>
      <w:r w:rsidR="00011174" w:rsidRPr="001B321C">
        <w:rPr>
          <w:rFonts w:ascii="Times New Roman" w:hAnsi="Times New Roman"/>
          <w:sz w:val="24"/>
          <w:szCs w:val="24"/>
        </w:rPr>
        <w:t>број</w:t>
      </w:r>
      <w:r w:rsidR="00D97C82" w:rsidRPr="001B321C">
        <w:rPr>
          <w:rFonts w:ascii="Times New Roman" w:hAnsi="Times New Roman"/>
          <w:sz w:val="24"/>
          <w:szCs w:val="24"/>
        </w:rPr>
        <w:t xml:space="preserve"> </w:t>
      </w:r>
      <w:r w:rsidR="00011174" w:rsidRPr="001B321C">
        <w:rPr>
          <w:rFonts w:ascii="Times New Roman" w:hAnsi="Times New Roman"/>
          <w:sz w:val="24"/>
          <w:szCs w:val="24"/>
        </w:rPr>
        <w:t>пријављених</w:t>
      </w:r>
      <w:r w:rsidR="00D97C82" w:rsidRPr="001B321C">
        <w:rPr>
          <w:rFonts w:ascii="Times New Roman" w:hAnsi="Times New Roman"/>
          <w:sz w:val="24"/>
          <w:szCs w:val="24"/>
        </w:rPr>
        <w:t xml:space="preserve">, </w:t>
      </w:r>
      <w:r w:rsidR="00011174" w:rsidRPr="001B321C">
        <w:rPr>
          <w:rFonts w:ascii="Times New Roman" w:hAnsi="Times New Roman"/>
          <w:sz w:val="24"/>
          <w:szCs w:val="24"/>
        </w:rPr>
        <w:t>тако</w:t>
      </w:r>
      <w:r w:rsidR="00D97C82" w:rsidRPr="001B321C">
        <w:rPr>
          <w:rFonts w:ascii="Times New Roman" w:hAnsi="Times New Roman"/>
          <w:sz w:val="24"/>
          <w:szCs w:val="24"/>
        </w:rPr>
        <w:t xml:space="preserve"> </w:t>
      </w:r>
      <w:r w:rsidR="00011174" w:rsidRPr="001B321C">
        <w:rPr>
          <w:rFonts w:ascii="Times New Roman" w:hAnsi="Times New Roman"/>
          <w:sz w:val="24"/>
          <w:szCs w:val="24"/>
        </w:rPr>
        <w:t>и</w:t>
      </w:r>
      <w:r w:rsidR="00D97C82" w:rsidRPr="001B321C">
        <w:rPr>
          <w:rFonts w:ascii="Times New Roman" w:hAnsi="Times New Roman"/>
          <w:sz w:val="24"/>
          <w:szCs w:val="24"/>
        </w:rPr>
        <w:t xml:space="preserve"> </w:t>
      </w:r>
      <w:r w:rsidR="00011174" w:rsidRPr="001B321C">
        <w:rPr>
          <w:rFonts w:ascii="Times New Roman" w:hAnsi="Times New Roman"/>
          <w:sz w:val="24"/>
          <w:szCs w:val="24"/>
        </w:rPr>
        <w:t>број</w:t>
      </w:r>
      <w:r w:rsidR="00D97C82" w:rsidRPr="001B321C">
        <w:rPr>
          <w:rFonts w:ascii="Times New Roman" w:hAnsi="Times New Roman"/>
          <w:sz w:val="24"/>
          <w:szCs w:val="24"/>
        </w:rPr>
        <w:t xml:space="preserve"> </w:t>
      </w:r>
      <w:r w:rsidR="00011174" w:rsidRPr="001B321C">
        <w:rPr>
          <w:rFonts w:ascii="Times New Roman" w:hAnsi="Times New Roman"/>
          <w:sz w:val="24"/>
          <w:szCs w:val="24"/>
        </w:rPr>
        <w:t>решених</w:t>
      </w:r>
      <w:r w:rsidR="00D97C82" w:rsidRPr="001B321C">
        <w:rPr>
          <w:rFonts w:ascii="Times New Roman" w:hAnsi="Times New Roman"/>
          <w:sz w:val="24"/>
          <w:szCs w:val="24"/>
        </w:rPr>
        <w:t xml:space="preserve"> </w:t>
      </w:r>
      <w:r w:rsidR="00011174" w:rsidRPr="001B321C">
        <w:rPr>
          <w:rFonts w:ascii="Times New Roman" w:hAnsi="Times New Roman"/>
          <w:sz w:val="24"/>
          <w:szCs w:val="24"/>
        </w:rPr>
        <w:t>случајева</w:t>
      </w:r>
      <w:r w:rsidR="00D97C82" w:rsidRPr="001B321C">
        <w:rPr>
          <w:rFonts w:ascii="Times New Roman" w:hAnsi="Times New Roman"/>
          <w:sz w:val="24"/>
          <w:szCs w:val="24"/>
        </w:rPr>
        <w:t xml:space="preserve"> </w:t>
      </w:r>
      <w:r w:rsidR="00011174" w:rsidRPr="001B321C">
        <w:rPr>
          <w:rFonts w:ascii="Times New Roman" w:hAnsi="Times New Roman"/>
          <w:sz w:val="24"/>
          <w:szCs w:val="24"/>
        </w:rPr>
        <w:t>корупције</w:t>
      </w:r>
      <w:r w:rsidR="00D97C82" w:rsidRPr="001B321C">
        <w:rPr>
          <w:rFonts w:ascii="Times New Roman" w:hAnsi="Times New Roman"/>
          <w:sz w:val="24"/>
          <w:szCs w:val="24"/>
        </w:rPr>
        <w:t xml:space="preserve">. </w:t>
      </w:r>
    </w:p>
    <w:p w:rsidR="00ED2827" w:rsidRPr="003E6D27" w:rsidRDefault="003E6D27" w:rsidP="003E6D27">
      <w:pPr>
        <w:ind w:firstLine="708"/>
        <w:jc w:val="both"/>
        <w:rPr>
          <w:rFonts w:ascii="Times New Roman" w:hAnsi="Times New Roman"/>
          <w:sz w:val="24"/>
          <w:szCs w:val="24"/>
          <w:lang w:val="sr-Cyrl-CS"/>
        </w:rPr>
      </w:pPr>
      <w:r>
        <w:rPr>
          <w:rFonts w:ascii="Times New Roman" w:hAnsi="Times New Roman"/>
          <w:sz w:val="24"/>
          <w:szCs w:val="24"/>
          <w:lang w:val="sr-Cyrl-CS"/>
        </w:rPr>
        <w:t xml:space="preserve"> Бројни су и други учесници као што су: </w:t>
      </w:r>
      <w:r w:rsidR="00ED2827">
        <w:rPr>
          <w:rFonts w:ascii="Times New Roman" w:hAnsi="Times New Roman"/>
          <w:sz w:val="24"/>
          <w:szCs w:val="24"/>
          <w:lang w:val="sr-Cyrl-CS"/>
        </w:rPr>
        <w:t>Повереник за инфор</w:t>
      </w:r>
      <w:r>
        <w:rPr>
          <w:rFonts w:ascii="Times New Roman" w:hAnsi="Times New Roman"/>
          <w:sz w:val="24"/>
          <w:szCs w:val="24"/>
          <w:lang w:val="sr-Cyrl-CS"/>
        </w:rPr>
        <w:t xml:space="preserve">мације од јавног значаја, </w:t>
      </w:r>
      <w:r w:rsidR="00ED2827">
        <w:rPr>
          <w:rFonts w:ascii="Times New Roman" w:hAnsi="Times New Roman"/>
          <w:sz w:val="24"/>
          <w:szCs w:val="24"/>
          <w:lang w:val="sr-Cyrl-CS"/>
        </w:rPr>
        <w:t>Државна ревизорска институциј</w:t>
      </w:r>
      <w:r>
        <w:rPr>
          <w:rFonts w:ascii="Times New Roman" w:hAnsi="Times New Roman"/>
          <w:sz w:val="24"/>
          <w:szCs w:val="24"/>
          <w:lang w:val="sr-Cyrl-CS"/>
        </w:rPr>
        <w:t xml:space="preserve">а, </w:t>
      </w:r>
      <w:r w:rsidR="00ED2827">
        <w:rPr>
          <w:rFonts w:ascii="Times New Roman" w:hAnsi="Times New Roman"/>
          <w:sz w:val="24"/>
          <w:szCs w:val="24"/>
        </w:rPr>
        <w:t>Грађанско друштво против корупције и Центар за развој грађанског друштва „</w:t>
      </w:r>
      <w:r w:rsidR="00ED2827">
        <w:rPr>
          <w:rFonts w:ascii="Times New Roman" w:hAnsi="Times New Roman"/>
          <w:sz w:val="24"/>
          <w:szCs w:val="24"/>
          <w:lang w:val="sr-Cyrl-CS"/>
        </w:rPr>
        <w:t>ПРОТЕКТА“</w:t>
      </w:r>
      <w:r>
        <w:rPr>
          <w:rFonts w:ascii="Times New Roman" w:hAnsi="Times New Roman"/>
          <w:sz w:val="24"/>
          <w:szCs w:val="24"/>
          <w:lang w:val="sr-Cyrl-CS"/>
        </w:rPr>
        <w:t>.</w:t>
      </w:r>
    </w:p>
    <w:p w:rsidR="001F48A2" w:rsidRDefault="001F48A2" w:rsidP="00166B45">
      <w:pPr>
        <w:jc w:val="both"/>
        <w:rPr>
          <w:rFonts w:ascii="Times New Roman" w:hAnsi="Times New Roman"/>
          <w:sz w:val="24"/>
          <w:szCs w:val="24"/>
          <w:lang w:val="sr-Cyrl-CS"/>
        </w:rPr>
      </w:pPr>
    </w:p>
    <w:p w:rsidR="001671E0" w:rsidRDefault="001671E0" w:rsidP="00166B45">
      <w:pPr>
        <w:jc w:val="both"/>
        <w:rPr>
          <w:rFonts w:ascii="Times New Roman" w:hAnsi="Times New Roman"/>
          <w:sz w:val="24"/>
          <w:szCs w:val="24"/>
          <w:lang w:val="sr-Cyrl-CS"/>
        </w:rPr>
      </w:pPr>
    </w:p>
    <w:p w:rsidR="001671E0" w:rsidRDefault="001671E0" w:rsidP="00166B45">
      <w:pPr>
        <w:jc w:val="both"/>
        <w:rPr>
          <w:rFonts w:ascii="Times New Roman" w:hAnsi="Times New Roman"/>
          <w:sz w:val="24"/>
          <w:szCs w:val="24"/>
          <w:lang w:val="sr-Cyrl-CS"/>
        </w:rPr>
      </w:pPr>
    </w:p>
    <w:p w:rsidR="001671E0" w:rsidRDefault="001671E0" w:rsidP="00166B45">
      <w:pPr>
        <w:jc w:val="both"/>
        <w:rPr>
          <w:rFonts w:ascii="Times New Roman" w:hAnsi="Times New Roman"/>
          <w:sz w:val="24"/>
          <w:szCs w:val="24"/>
          <w:lang w:val="sr-Cyrl-CS"/>
        </w:rPr>
      </w:pPr>
    </w:p>
    <w:p w:rsidR="001671E0" w:rsidRDefault="001671E0" w:rsidP="00166B45">
      <w:pPr>
        <w:jc w:val="both"/>
        <w:rPr>
          <w:rFonts w:ascii="Times New Roman" w:hAnsi="Times New Roman"/>
          <w:sz w:val="24"/>
          <w:szCs w:val="24"/>
          <w:lang w:val="sr-Cyrl-CS"/>
        </w:rPr>
      </w:pPr>
    </w:p>
    <w:p w:rsidR="001671E0" w:rsidRDefault="001671E0" w:rsidP="00166B45">
      <w:pPr>
        <w:jc w:val="both"/>
        <w:rPr>
          <w:rFonts w:ascii="Times New Roman" w:hAnsi="Times New Roman"/>
          <w:sz w:val="24"/>
          <w:szCs w:val="24"/>
          <w:lang w:val="sr-Cyrl-CS"/>
        </w:rPr>
      </w:pPr>
    </w:p>
    <w:p w:rsidR="001671E0" w:rsidRDefault="001671E0" w:rsidP="00166B45">
      <w:pPr>
        <w:jc w:val="both"/>
        <w:rPr>
          <w:rFonts w:ascii="Times New Roman" w:hAnsi="Times New Roman"/>
          <w:sz w:val="24"/>
          <w:szCs w:val="24"/>
          <w:lang w:val="sr-Cyrl-CS"/>
        </w:rPr>
      </w:pPr>
    </w:p>
    <w:p w:rsidR="001671E0" w:rsidRDefault="001671E0" w:rsidP="00166B45">
      <w:pPr>
        <w:jc w:val="both"/>
        <w:rPr>
          <w:rFonts w:ascii="Times New Roman" w:hAnsi="Times New Roman"/>
          <w:sz w:val="24"/>
          <w:szCs w:val="24"/>
          <w:lang w:val="sr-Cyrl-CS"/>
        </w:rPr>
      </w:pPr>
    </w:p>
    <w:p w:rsidR="001671E0" w:rsidRPr="001671E0" w:rsidRDefault="001671E0" w:rsidP="00166B45">
      <w:pPr>
        <w:jc w:val="both"/>
        <w:rPr>
          <w:rFonts w:ascii="Times New Roman" w:hAnsi="Times New Roman"/>
          <w:sz w:val="24"/>
          <w:szCs w:val="24"/>
          <w:lang w:val="sr-Cyrl-CS"/>
        </w:rPr>
      </w:pPr>
    </w:p>
    <w:p w:rsidR="00894C83" w:rsidRDefault="00894C83" w:rsidP="00923697">
      <w:pPr>
        <w:jc w:val="both"/>
        <w:rPr>
          <w:rFonts w:ascii="Times New Roman" w:hAnsi="Times New Roman"/>
          <w:sz w:val="24"/>
          <w:szCs w:val="24"/>
          <w:lang w:val="sr-Cyrl-CS"/>
        </w:rPr>
      </w:pPr>
    </w:p>
    <w:p w:rsidR="00831157" w:rsidRDefault="00831157" w:rsidP="00923697">
      <w:pPr>
        <w:jc w:val="both"/>
        <w:rPr>
          <w:rFonts w:ascii="Times New Roman" w:hAnsi="Times New Roman"/>
          <w:sz w:val="24"/>
          <w:szCs w:val="24"/>
          <w:lang w:val="sr-Cyrl-CS"/>
        </w:rPr>
      </w:pPr>
    </w:p>
    <w:p w:rsidR="00831157" w:rsidRDefault="00831157" w:rsidP="00923697">
      <w:pPr>
        <w:jc w:val="both"/>
        <w:rPr>
          <w:rFonts w:ascii="Times New Roman" w:hAnsi="Times New Roman"/>
          <w:sz w:val="24"/>
          <w:szCs w:val="24"/>
          <w:lang w:val="sr-Cyrl-CS"/>
        </w:rPr>
      </w:pPr>
    </w:p>
    <w:p w:rsidR="00831157" w:rsidRDefault="00831157" w:rsidP="00923697">
      <w:pPr>
        <w:jc w:val="both"/>
        <w:rPr>
          <w:rFonts w:ascii="Times New Roman" w:hAnsi="Times New Roman"/>
          <w:sz w:val="24"/>
          <w:szCs w:val="24"/>
          <w:lang w:val="sr-Cyrl-CS"/>
        </w:rPr>
      </w:pPr>
    </w:p>
    <w:p w:rsidR="00831157" w:rsidRDefault="00831157" w:rsidP="00923697">
      <w:pPr>
        <w:jc w:val="both"/>
        <w:rPr>
          <w:rFonts w:ascii="Times New Roman" w:hAnsi="Times New Roman"/>
          <w:sz w:val="24"/>
          <w:szCs w:val="24"/>
          <w:lang w:val="sr-Cyrl-CS"/>
        </w:rPr>
      </w:pPr>
    </w:p>
    <w:p w:rsidR="00831157" w:rsidRDefault="00831157" w:rsidP="00923697">
      <w:pPr>
        <w:jc w:val="both"/>
        <w:rPr>
          <w:rFonts w:ascii="Times New Roman" w:hAnsi="Times New Roman"/>
          <w:sz w:val="24"/>
          <w:szCs w:val="24"/>
          <w:lang w:val="sr-Cyrl-CS"/>
        </w:rPr>
      </w:pPr>
    </w:p>
    <w:p w:rsidR="00831157" w:rsidRDefault="00831157" w:rsidP="00923697">
      <w:pPr>
        <w:jc w:val="both"/>
        <w:rPr>
          <w:rFonts w:ascii="Times New Roman" w:hAnsi="Times New Roman"/>
          <w:sz w:val="24"/>
          <w:szCs w:val="24"/>
          <w:lang w:val="sr-Cyrl-CS"/>
        </w:rPr>
      </w:pPr>
    </w:p>
    <w:p w:rsidR="00831157" w:rsidRDefault="00831157" w:rsidP="00923697">
      <w:pPr>
        <w:jc w:val="both"/>
        <w:rPr>
          <w:rFonts w:ascii="Times New Roman" w:hAnsi="Times New Roman"/>
          <w:sz w:val="24"/>
          <w:szCs w:val="24"/>
          <w:lang w:val="sr-Cyrl-CS"/>
        </w:rPr>
      </w:pPr>
    </w:p>
    <w:p w:rsidR="00831157" w:rsidRPr="000F3B71" w:rsidRDefault="00831157" w:rsidP="00923697">
      <w:pPr>
        <w:jc w:val="both"/>
        <w:rPr>
          <w:rFonts w:ascii="Times New Roman" w:hAnsi="Times New Roman"/>
          <w:sz w:val="24"/>
          <w:szCs w:val="24"/>
          <w:lang w:val="sr-Cyrl-CS"/>
        </w:rPr>
      </w:pPr>
    </w:p>
    <w:p w:rsidR="00C73790" w:rsidRPr="001F48A2" w:rsidRDefault="00A6384B" w:rsidP="009E6666">
      <w:pPr>
        <w:ind w:left="630"/>
        <w:jc w:val="both"/>
        <w:rPr>
          <w:rFonts w:ascii="Times New Roman" w:hAnsi="Times New Roman"/>
          <w:b/>
          <w:i/>
          <w:sz w:val="28"/>
          <w:szCs w:val="28"/>
          <w:lang w:val="sr-Cyrl-CS"/>
        </w:rPr>
      </w:pPr>
      <w:r w:rsidRPr="00A6384B">
        <w:rPr>
          <w:rFonts w:ascii="Times New Roman" w:hAnsi="Times New Roman"/>
          <w:b/>
          <w:sz w:val="24"/>
          <w:szCs w:val="24"/>
        </w:rPr>
        <w:t>III</w:t>
      </w:r>
      <w:r>
        <w:rPr>
          <w:rFonts w:ascii="Times New Roman" w:hAnsi="Times New Roman"/>
          <w:sz w:val="24"/>
          <w:szCs w:val="24"/>
        </w:rPr>
        <w:t xml:space="preserve"> </w:t>
      </w:r>
      <w:r w:rsidR="00C73790" w:rsidRPr="00C73790">
        <w:rPr>
          <w:rFonts w:ascii="Times New Roman" w:hAnsi="Times New Roman"/>
          <w:sz w:val="24"/>
          <w:szCs w:val="24"/>
          <w:lang w:val="sr-Cyrl-CS"/>
        </w:rPr>
        <w:t xml:space="preserve"> </w:t>
      </w:r>
      <w:r w:rsidR="00C73790" w:rsidRPr="001F48A2">
        <w:rPr>
          <w:rFonts w:ascii="Times New Roman" w:hAnsi="Times New Roman"/>
          <w:b/>
          <w:i/>
          <w:sz w:val="28"/>
          <w:szCs w:val="28"/>
          <w:lang w:val="sr-Cyrl-CS"/>
        </w:rPr>
        <w:t>Национална страт</w:t>
      </w:r>
      <w:r w:rsidR="009E6666" w:rsidRPr="001F48A2">
        <w:rPr>
          <w:rFonts w:ascii="Times New Roman" w:hAnsi="Times New Roman"/>
          <w:b/>
          <w:i/>
          <w:sz w:val="28"/>
          <w:szCs w:val="28"/>
          <w:lang w:val="sr-Cyrl-CS"/>
        </w:rPr>
        <w:t>егија за борбу против корупције</w:t>
      </w:r>
      <w:r w:rsidR="003C006E" w:rsidRPr="001F48A2">
        <w:rPr>
          <w:rFonts w:ascii="Times New Roman" w:hAnsi="Times New Roman"/>
          <w:b/>
          <w:i/>
          <w:sz w:val="28"/>
          <w:szCs w:val="28"/>
          <w:lang w:val="sr-Cyrl-CS"/>
        </w:rPr>
        <w:t xml:space="preserve"> </w:t>
      </w:r>
    </w:p>
    <w:p w:rsidR="00732109" w:rsidRPr="001F48A2" w:rsidRDefault="00732109" w:rsidP="009E6666">
      <w:pPr>
        <w:ind w:left="630"/>
        <w:jc w:val="both"/>
        <w:rPr>
          <w:rFonts w:ascii="Times New Roman" w:hAnsi="Times New Roman"/>
          <w:b/>
          <w:i/>
          <w:sz w:val="28"/>
          <w:szCs w:val="28"/>
          <w:lang w:val="sr-Cyrl-CS"/>
        </w:rPr>
      </w:pPr>
    </w:p>
    <w:p w:rsidR="00732109" w:rsidRDefault="00732109" w:rsidP="00FF1C68">
      <w:pPr>
        <w:ind w:firstLine="630"/>
        <w:jc w:val="both"/>
        <w:rPr>
          <w:rFonts w:ascii="Times New Roman" w:hAnsi="Times New Roman"/>
          <w:sz w:val="24"/>
          <w:szCs w:val="24"/>
          <w:lang w:val="sr-Cyrl-CS"/>
        </w:rPr>
      </w:pPr>
      <w:r>
        <w:rPr>
          <w:rFonts w:ascii="Times New Roman" w:hAnsi="Times New Roman"/>
          <w:sz w:val="24"/>
          <w:szCs w:val="24"/>
          <w:lang w:val="sr-Cyrl-CS"/>
        </w:rPr>
        <w:t>Национална стратегија за борбу против корупције (у даљем тексту: Стратегија) је усвојена у Народној скупштини Републике Србије 8. децембра 2005. године, на седмој седници другог редовног заседања, када је донета Одлука о утврђивању Националне стратегије за борбу против корупције.</w:t>
      </w:r>
      <w:r>
        <w:rPr>
          <w:rStyle w:val="FootnoteReference"/>
          <w:rFonts w:ascii="Times New Roman" w:hAnsi="Times New Roman"/>
          <w:sz w:val="24"/>
          <w:szCs w:val="24"/>
          <w:lang w:val="sr-Cyrl-CS"/>
        </w:rPr>
        <w:footnoteReference w:id="903"/>
      </w:r>
      <w:r>
        <w:rPr>
          <w:rFonts w:ascii="Times New Roman" w:hAnsi="Times New Roman"/>
          <w:sz w:val="24"/>
          <w:szCs w:val="24"/>
          <w:lang w:val="sr-Cyrl-CS"/>
        </w:rPr>
        <w:t xml:space="preserve"> </w:t>
      </w:r>
      <w:r w:rsidR="00FF1C68">
        <w:rPr>
          <w:rFonts w:ascii="Times New Roman" w:hAnsi="Times New Roman"/>
          <w:sz w:val="24"/>
          <w:szCs w:val="24"/>
          <w:lang w:val="sr-Cyrl-CS"/>
        </w:rPr>
        <w:t>Овом Одлуком је обавезана</w:t>
      </w:r>
      <w:r>
        <w:rPr>
          <w:rFonts w:ascii="Times New Roman" w:hAnsi="Times New Roman"/>
          <w:sz w:val="24"/>
          <w:szCs w:val="24"/>
          <w:lang w:val="sr-Cyrl-CS"/>
        </w:rPr>
        <w:t xml:space="preserve"> Влада Републике Србије да донесе Акциони план за спровођење Националне стратегије за борбу против корупције, </w:t>
      </w:r>
      <w:r w:rsidR="00B721C5">
        <w:rPr>
          <w:rFonts w:ascii="Times New Roman" w:hAnsi="Times New Roman"/>
          <w:sz w:val="24"/>
          <w:szCs w:val="24"/>
        </w:rPr>
        <w:t>(</w:t>
      </w:r>
      <w:r>
        <w:rPr>
          <w:rFonts w:ascii="Times New Roman" w:hAnsi="Times New Roman"/>
          <w:sz w:val="24"/>
          <w:szCs w:val="24"/>
          <w:lang w:val="sr-Cyrl-CS"/>
        </w:rPr>
        <w:t>поводом чега је оформила Комисију која је израдила поменути Акциони план</w:t>
      </w:r>
      <w:r w:rsidR="00B721C5">
        <w:rPr>
          <w:rFonts w:ascii="Times New Roman" w:hAnsi="Times New Roman"/>
          <w:sz w:val="24"/>
          <w:szCs w:val="24"/>
        </w:rPr>
        <w:t>)</w:t>
      </w:r>
      <w:r w:rsidR="00FF1C68">
        <w:rPr>
          <w:rFonts w:ascii="Times New Roman" w:hAnsi="Times New Roman"/>
          <w:sz w:val="24"/>
          <w:szCs w:val="24"/>
          <w:lang w:val="sr-Cyrl-CS"/>
        </w:rPr>
        <w:t xml:space="preserve">, </w:t>
      </w:r>
      <w:r w:rsidR="00FF1C68" w:rsidRPr="00FF1C68">
        <w:rPr>
          <w:rFonts w:ascii="Times New Roman" w:hAnsi="Times New Roman"/>
          <w:sz w:val="24"/>
          <w:szCs w:val="24"/>
          <w:lang w:val="sr-Cyrl-CS"/>
        </w:rPr>
        <w:t>обезбеди средства за његову примену, обезбеди доношење секторских акционих планова за борбу против корупције и предложи доношење закона о самосталном и независном антикорупцијском тел</w:t>
      </w:r>
      <w:r w:rsidR="00FF1C68">
        <w:rPr>
          <w:rFonts w:ascii="Times New Roman" w:hAnsi="Times New Roman"/>
          <w:sz w:val="24"/>
          <w:szCs w:val="24"/>
          <w:lang w:val="sr-Cyrl-CS"/>
        </w:rPr>
        <w:t>у. Мимо тога, с</w:t>
      </w:r>
      <w:r w:rsidR="00FF1C68" w:rsidRPr="00FF1C68">
        <w:rPr>
          <w:rFonts w:ascii="Times New Roman" w:hAnsi="Times New Roman"/>
          <w:sz w:val="24"/>
          <w:szCs w:val="24"/>
          <w:lang w:val="sr-Cyrl-CS"/>
        </w:rPr>
        <w:t xml:space="preserve">ви државни органи </w:t>
      </w:r>
      <w:r w:rsidR="00FF1C68">
        <w:rPr>
          <w:rFonts w:ascii="Times New Roman" w:hAnsi="Times New Roman"/>
          <w:sz w:val="24"/>
          <w:szCs w:val="24"/>
          <w:lang w:val="sr-Cyrl-CS"/>
        </w:rPr>
        <w:t>предвиђени Стратегијом обавезани су</w:t>
      </w:r>
      <w:r w:rsidR="00FF1C68" w:rsidRPr="00FF1C68">
        <w:rPr>
          <w:rFonts w:ascii="Times New Roman" w:hAnsi="Times New Roman"/>
          <w:sz w:val="24"/>
          <w:szCs w:val="24"/>
          <w:lang w:val="sr-Cyrl-CS"/>
        </w:rPr>
        <w:t xml:space="preserve"> да непосредно сарађују у њеној разради, као и изради и спровођењу Акционог плана и секторских акционих планова за борбу против корупције, док се самостално и независно антикорупци</w:t>
      </w:r>
      <w:r w:rsidR="00FF1C68">
        <w:rPr>
          <w:rFonts w:ascii="Times New Roman" w:hAnsi="Times New Roman"/>
          <w:sz w:val="24"/>
          <w:szCs w:val="24"/>
          <w:lang w:val="sr-Cyrl-CS"/>
        </w:rPr>
        <w:t xml:space="preserve">јско тело задужује да </w:t>
      </w:r>
      <w:r w:rsidR="00FF1C68" w:rsidRPr="00FF1C68">
        <w:rPr>
          <w:rFonts w:ascii="Times New Roman" w:hAnsi="Times New Roman"/>
          <w:sz w:val="24"/>
          <w:szCs w:val="24"/>
          <w:lang w:val="sr-Cyrl-CS"/>
        </w:rPr>
        <w:t>обавештава Скупш</w:t>
      </w:r>
      <w:r w:rsidR="00B721C5">
        <w:rPr>
          <w:rFonts w:ascii="Times New Roman" w:hAnsi="Times New Roman"/>
          <w:sz w:val="24"/>
          <w:szCs w:val="24"/>
          <w:lang w:val="sr-Cyrl-CS"/>
        </w:rPr>
        <w:t>тину Србије о спровођењу одлуке</w:t>
      </w:r>
      <w:r w:rsidR="00FF1C68" w:rsidRPr="00FF1C68">
        <w:rPr>
          <w:rFonts w:ascii="Times New Roman" w:hAnsi="Times New Roman"/>
          <w:sz w:val="24"/>
          <w:szCs w:val="24"/>
          <w:lang w:val="sr-Cyrl-CS"/>
        </w:rPr>
        <w:t xml:space="preserve"> најмање једном годишње</w:t>
      </w:r>
      <w:r w:rsidR="00FF1C68">
        <w:rPr>
          <w:rFonts w:ascii="Times New Roman" w:hAnsi="Times New Roman"/>
          <w:sz w:val="24"/>
          <w:szCs w:val="24"/>
          <w:lang w:val="sr-Cyrl-CS"/>
        </w:rPr>
        <w:t>.</w:t>
      </w:r>
      <w:r w:rsidR="00FF1C68" w:rsidRPr="00FF1C68">
        <w:rPr>
          <w:rStyle w:val="FootnoteReference"/>
          <w:rFonts w:ascii="Times New Roman" w:hAnsi="Times New Roman"/>
          <w:sz w:val="24"/>
          <w:szCs w:val="24"/>
          <w:lang w:val="sr-Cyrl-CS"/>
        </w:rPr>
        <w:t xml:space="preserve"> </w:t>
      </w:r>
      <w:r w:rsidR="00FF1C68">
        <w:rPr>
          <w:rStyle w:val="FootnoteReference"/>
          <w:rFonts w:ascii="Times New Roman" w:hAnsi="Times New Roman"/>
          <w:sz w:val="24"/>
          <w:szCs w:val="24"/>
          <w:lang w:val="sr-Cyrl-CS"/>
        </w:rPr>
        <w:footnoteReference w:id="904"/>
      </w:r>
      <w:r>
        <w:rPr>
          <w:rFonts w:ascii="Times New Roman" w:hAnsi="Times New Roman"/>
          <w:sz w:val="24"/>
          <w:szCs w:val="24"/>
          <w:lang w:val="sr-Cyrl-CS"/>
        </w:rPr>
        <w:t xml:space="preserve"> </w:t>
      </w:r>
      <w:r w:rsidR="00FF1C68" w:rsidRPr="00FF1C68">
        <w:rPr>
          <w:rFonts w:ascii="Times New Roman" w:hAnsi="Times New Roman"/>
          <w:sz w:val="24"/>
          <w:szCs w:val="24"/>
          <w:lang w:val="sr-Cyrl-CS"/>
        </w:rPr>
        <w:t>Акциони план за примену Стратегије усвојен је одл</w:t>
      </w:r>
      <w:r w:rsidR="00FF1C68">
        <w:rPr>
          <w:rFonts w:ascii="Times New Roman" w:hAnsi="Times New Roman"/>
          <w:sz w:val="24"/>
          <w:szCs w:val="24"/>
          <w:lang w:val="sr-Cyrl-CS"/>
        </w:rPr>
        <w:t xml:space="preserve">уком Владе Србије крајем 2006. </w:t>
      </w:r>
      <w:r w:rsidR="00FF1C68" w:rsidRPr="00FF1C68">
        <w:rPr>
          <w:rFonts w:ascii="Times New Roman" w:hAnsi="Times New Roman"/>
          <w:sz w:val="24"/>
          <w:szCs w:val="24"/>
          <w:lang w:val="sr-Cyrl-CS"/>
        </w:rPr>
        <w:t>године.</w:t>
      </w:r>
    </w:p>
    <w:p w:rsidR="0084137E" w:rsidRDefault="00FF1C68" w:rsidP="00FF1C68">
      <w:pPr>
        <w:ind w:firstLine="630"/>
        <w:jc w:val="both"/>
        <w:rPr>
          <w:rFonts w:ascii="Times New Roman" w:hAnsi="Times New Roman"/>
          <w:sz w:val="24"/>
          <w:szCs w:val="24"/>
          <w:lang w:val="sr-Cyrl-CS"/>
        </w:rPr>
      </w:pPr>
      <w:r>
        <w:rPr>
          <w:rFonts w:ascii="Times New Roman" w:hAnsi="Times New Roman"/>
          <w:sz w:val="24"/>
          <w:szCs w:val="24"/>
          <w:lang w:val="sr-Cyrl-CS"/>
        </w:rPr>
        <w:t xml:space="preserve">Полазну основу за поменуту Одлуку </w:t>
      </w:r>
      <w:r w:rsidR="00B721C5">
        <w:rPr>
          <w:rFonts w:ascii="Times New Roman" w:hAnsi="Times New Roman"/>
          <w:sz w:val="24"/>
          <w:szCs w:val="24"/>
          <w:lang w:val="sr-Cyrl-CS"/>
        </w:rPr>
        <w:t>Нар</w:t>
      </w:r>
      <w:r w:rsidR="0084137E">
        <w:rPr>
          <w:rFonts w:ascii="Times New Roman" w:hAnsi="Times New Roman"/>
          <w:sz w:val="24"/>
          <w:szCs w:val="24"/>
          <w:lang w:val="sr-Cyrl-CS"/>
        </w:rPr>
        <w:t xml:space="preserve">одне скупштине Републике Србије </w:t>
      </w:r>
      <w:r>
        <w:rPr>
          <w:rFonts w:ascii="Times New Roman" w:hAnsi="Times New Roman"/>
          <w:sz w:val="24"/>
          <w:szCs w:val="24"/>
          <w:lang w:val="sr-Cyrl-CS"/>
        </w:rPr>
        <w:t>представљала је „Свеобухватна политика Европске уније за борбу против корупције“</w:t>
      </w:r>
      <w:r w:rsidR="0084137E">
        <w:rPr>
          <w:rFonts w:ascii="Times New Roman" w:hAnsi="Times New Roman"/>
          <w:sz w:val="24"/>
          <w:szCs w:val="24"/>
          <w:lang w:val="sr-Cyrl-CS"/>
        </w:rPr>
        <w:t>, као и „Резолуција о придруживању Европској унији“, а имала је у виду и „Десет принципа за унапређење борбе против корупције земаља које приступају Европској унији, земаља кандидата и осталих трећих земаља“.</w:t>
      </w:r>
    </w:p>
    <w:p w:rsidR="006733F4" w:rsidRDefault="006733F4" w:rsidP="00FF1C68">
      <w:pPr>
        <w:ind w:firstLine="630"/>
        <w:jc w:val="both"/>
        <w:rPr>
          <w:rFonts w:ascii="Times New Roman" w:hAnsi="Times New Roman"/>
          <w:sz w:val="24"/>
          <w:szCs w:val="24"/>
          <w:lang w:val="sr-Cyrl-CS"/>
        </w:rPr>
      </w:pPr>
      <w:r>
        <w:rPr>
          <w:rFonts w:ascii="Times New Roman" w:hAnsi="Times New Roman"/>
          <w:sz w:val="24"/>
          <w:szCs w:val="24"/>
          <w:lang w:val="sr-Cyrl-CS"/>
        </w:rPr>
        <w:t>У уводном делу Националне стратегије за борбу против корупције се наглашава да је корупција једнако штетна појава у друштвима на свим нивоима развоја. У друштвима на путу демократског преображаја проблем је већи и тежи, јер нове п</w:t>
      </w:r>
      <w:r w:rsidR="00B721C5">
        <w:rPr>
          <w:rFonts w:ascii="Times New Roman" w:hAnsi="Times New Roman"/>
          <w:sz w:val="24"/>
          <w:szCs w:val="24"/>
        </w:rPr>
        <w:t>o</w:t>
      </w:r>
      <w:r>
        <w:rPr>
          <w:rFonts w:ascii="Times New Roman" w:hAnsi="Times New Roman"/>
          <w:sz w:val="24"/>
          <w:szCs w:val="24"/>
          <w:lang w:val="sr-Cyrl-CS"/>
        </w:rPr>
        <w:t>требе диктирају бројне задатке, а средства и начини за њихово извршавање још увек су неизграђени и недовољни. Корупција разара</w:t>
      </w:r>
      <w:r w:rsidR="00B721C5">
        <w:rPr>
          <w:rFonts w:ascii="Times New Roman" w:hAnsi="Times New Roman"/>
          <w:sz w:val="24"/>
          <w:szCs w:val="24"/>
          <w:lang w:val="sr-Cyrl-CS"/>
        </w:rPr>
        <w:t xml:space="preserve"> супстанцу сваке државе, па је </w:t>
      </w:r>
      <w:r w:rsidR="00B721C5">
        <w:rPr>
          <w:rFonts w:ascii="Times New Roman" w:hAnsi="Times New Roman"/>
          <w:sz w:val="24"/>
          <w:szCs w:val="24"/>
        </w:rPr>
        <w:t>њ</w:t>
      </w:r>
      <w:r>
        <w:rPr>
          <w:rFonts w:ascii="Times New Roman" w:hAnsi="Times New Roman"/>
          <w:sz w:val="24"/>
          <w:szCs w:val="24"/>
          <w:lang w:val="sr-Cyrl-CS"/>
        </w:rPr>
        <w:t>ено сузбијање до граница прихватљивости према стандардима света у коме живимо,</w:t>
      </w:r>
      <w:r w:rsidR="00B721C5">
        <w:rPr>
          <w:rFonts w:ascii="Times New Roman" w:hAnsi="Times New Roman"/>
          <w:sz w:val="24"/>
          <w:szCs w:val="24"/>
          <w:lang w:val="sr-Cyrl-CS"/>
        </w:rPr>
        <w:t xml:space="preserve"> у</w:t>
      </w:r>
      <w:r w:rsidR="00446638">
        <w:rPr>
          <w:rFonts w:ascii="Times New Roman" w:hAnsi="Times New Roman"/>
          <w:sz w:val="24"/>
          <w:szCs w:val="24"/>
          <w:lang w:val="sr-Cyrl-CS"/>
        </w:rPr>
        <w:t>слов без кога се држава не може легитимисати као држава владавине права. Такође се наглашава да борба против корупције мора бити организован и дуготрајан процес примене осмишљено дефинисаних мера за спречавање и сузбијање корупције. Упркос томе што су донети неки важни антикорупцијски з</w:t>
      </w:r>
      <w:r w:rsidR="003C006E">
        <w:rPr>
          <w:rFonts w:ascii="Times New Roman" w:hAnsi="Times New Roman"/>
          <w:sz w:val="24"/>
          <w:szCs w:val="24"/>
          <w:lang w:val="sr-Cyrl-CS"/>
        </w:rPr>
        <w:t>акони, борба против корупције н</w:t>
      </w:r>
      <w:r w:rsidR="00446638">
        <w:rPr>
          <w:rFonts w:ascii="Times New Roman" w:hAnsi="Times New Roman"/>
          <w:sz w:val="24"/>
          <w:szCs w:val="24"/>
          <w:lang w:val="sr-Cyrl-CS"/>
        </w:rPr>
        <w:t xml:space="preserve">ије дала довољне резултате. </w:t>
      </w:r>
      <w:r>
        <w:rPr>
          <w:rFonts w:ascii="Times New Roman" w:hAnsi="Times New Roman"/>
          <w:sz w:val="24"/>
          <w:szCs w:val="24"/>
          <w:lang w:val="sr-Cyrl-CS"/>
        </w:rPr>
        <w:t xml:space="preserve"> </w:t>
      </w:r>
      <w:r w:rsidR="003C006E">
        <w:rPr>
          <w:rFonts w:ascii="Times New Roman" w:hAnsi="Times New Roman"/>
          <w:sz w:val="24"/>
          <w:szCs w:val="24"/>
          <w:lang w:val="sr-Cyrl-CS"/>
        </w:rPr>
        <w:t xml:space="preserve">Процесуирани број случајева корупције је у несразмери са бројем појава на које је са сумњом јавно указивано. </w:t>
      </w:r>
    </w:p>
    <w:p w:rsidR="003C006E" w:rsidRDefault="003C006E" w:rsidP="00FF1C68">
      <w:pPr>
        <w:ind w:firstLine="630"/>
        <w:jc w:val="both"/>
        <w:rPr>
          <w:rFonts w:ascii="Times New Roman" w:hAnsi="Times New Roman"/>
          <w:sz w:val="24"/>
          <w:szCs w:val="24"/>
          <w:lang w:val="sr-Cyrl-CS"/>
        </w:rPr>
      </w:pPr>
      <w:r>
        <w:rPr>
          <w:rFonts w:ascii="Times New Roman" w:hAnsi="Times New Roman"/>
          <w:sz w:val="24"/>
          <w:szCs w:val="24"/>
          <w:lang w:val="sr-Cyrl-CS"/>
        </w:rPr>
        <w:lastRenderedPageBreak/>
        <w:t>Стратегија обухвата три кључна елемента:</w:t>
      </w:r>
      <w:r>
        <w:rPr>
          <w:rStyle w:val="FootnoteReference"/>
          <w:rFonts w:ascii="Times New Roman" w:hAnsi="Times New Roman"/>
          <w:sz w:val="24"/>
          <w:szCs w:val="24"/>
          <w:lang w:val="sr-Cyrl-CS"/>
        </w:rPr>
        <w:footnoteReference w:id="905"/>
      </w:r>
    </w:p>
    <w:p w:rsidR="003C006E" w:rsidRDefault="00B721C5" w:rsidP="008A3795">
      <w:pPr>
        <w:numPr>
          <w:ilvl w:val="0"/>
          <w:numId w:val="26"/>
        </w:numPr>
        <w:jc w:val="both"/>
        <w:rPr>
          <w:rFonts w:ascii="Times New Roman" w:hAnsi="Times New Roman"/>
          <w:sz w:val="24"/>
          <w:szCs w:val="24"/>
          <w:lang w:val="sr-Cyrl-CS"/>
        </w:rPr>
      </w:pPr>
      <w:r>
        <w:rPr>
          <w:rFonts w:ascii="Times New Roman" w:hAnsi="Times New Roman"/>
          <w:sz w:val="24"/>
          <w:szCs w:val="24"/>
          <w:lang w:val="sr-Cyrl-CS"/>
        </w:rPr>
        <w:t>е</w:t>
      </w:r>
      <w:r w:rsidR="003C006E">
        <w:rPr>
          <w:rFonts w:ascii="Times New Roman" w:hAnsi="Times New Roman"/>
          <w:sz w:val="24"/>
          <w:szCs w:val="24"/>
          <w:lang w:val="sr-Cyrl-CS"/>
        </w:rPr>
        <w:t>фикасну примену антикорупцијских прописа;</w:t>
      </w:r>
    </w:p>
    <w:p w:rsidR="003C006E" w:rsidRDefault="00B721C5" w:rsidP="008A3795">
      <w:pPr>
        <w:numPr>
          <w:ilvl w:val="0"/>
          <w:numId w:val="26"/>
        </w:numPr>
        <w:jc w:val="both"/>
        <w:rPr>
          <w:rFonts w:ascii="Times New Roman" w:hAnsi="Times New Roman"/>
          <w:sz w:val="24"/>
          <w:szCs w:val="24"/>
          <w:lang w:val="sr-Cyrl-CS"/>
        </w:rPr>
      </w:pPr>
      <w:r>
        <w:rPr>
          <w:rFonts w:ascii="Times New Roman" w:hAnsi="Times New Roman"/>
          <w:sz w:val="24"/>
          <w:szCs w:val="24"/>
          <w:lang w:val="sr-Cyrl-CS"/>
        </w:rPr>
        <w:t>п</w:t>
      </w:r>
      <w:r w:rsidR="003C006E">
        <w:rPr>
          <w:rFonts w:ascii="Times New Roman" w:hAnsi="Times New Roman"/>
          <w:sz w:val="24"/>
          <w:szCs w:val="24"/>
          <w:lang w:val="sr-Cyrl-CS"/>
        </w:rPr>
        <w:t>ревенцију, кој</w:t>
      </w:r>
      <w:r>
        <w:rPr>
          <w:rFonts w:ascii="Times New Roman" w:hAnsi="Times New Roman"/>
          <w:sz w:val="24"/>
          <w:szCs w:val="24"/>
          <w:lang w:val="sr-Cyrl-CS"/>
        </w:rPr>
        <w:t>а подразумева отклањање могућнос</w:t>
      </w:r>
      <w:r w:rsidR="003C006E">
        <w:rPr>
          <w:rFonts w:ascii="Times New Roman" w:hAnsi="Times New Roman"/>
          <w:sz w:val="24"/>
          <w:szCs w:val="24"/>
          <w:lang w:val="sr-Cyrl-CS"/>
        </w:rPr>
        <w:t xml:space="preserve">ти за корупцију, и </w:t>
      </w:r>
    </w:p>
    <w:p w:rsidR="003C006E" w:rsidRDefault="00B721C5" w:rsidP="008A3795">
      <w:pPr>
        <w:numPr>
          <w:ilvl w:val="0"/>
          <w:numId w:val="26"/>
        </w:numPr>
        <w:jc w:val="both"/>
        <w:rPr>
          <w:rFonts w:ascii="Times New Roman" w:hAnsi="Times New Roman"/>
          <w:sz w:val="24"/>
          <w:szCs w:val="24"/>
          <w:lang w:val="sr-Cyrl-CS"/>
        </w:rPr>
      </w:pPr>
      <w:r>
        <w:rPr>
          <w:rFonts w:ascii="Times New Roman" w:hAnsi="Times New Roman"/>
          <w:sz w:val="24"/>
          <w:szCs w:val="24"/>
          <w:lang w:val="sr-Cyrl-CS"/>
        </w:rPr>
        <w:t>п</w:t>
      </w:r>
      <w:r w:rsidR="003C006E">
        <w:rPr>
          <w:rFonts w:ascii="Times New Roman" w:hAnsi="Times New Roman"/>
          <w:sz w:val="24"/>
          <w:szCs w:val="24"/>
          <w:lang w:val="sr-Cyrl-CS"/>
        </w:rPr>
        <w:t>одизање свести и образовање јавности, ради јавне подршке</w:t>
      </w:r>
      <w:r>
        <w:rPr>
          <w:rFonts w:ascii="Times New Roman" w:hAnsi="Times New Roman"/>
          <w:sz w:val="24"/>
          <w:szCs w:val="24"/>
          <w:lang w:val="sr-Cyrl-CS"/>
        </w:rPr>
        <w:t xml:space="preserve"> за спровођење антикорупцијске </w:t>
      </w:r>
      <w:r w:rsidR="003C006E">
        <w:rPr>
          <w:rFonts w:ascii="Times New Roman" w:hAnsi="Times New Roman"/>
          <w:sz w:val="24"/>
          <w:szCs w:val="24"/>
          <w:lang w:val="sr-Cyrl-CS"/>
        </w:rPr>
        <w:t>стратегије.</w:t>
      </w:r>
    </w:p>
    <w:p w:rsidR="003C006E" w:rsidRDefault="003C006E" w:rsidP="003C006E">
      <w:pPr>
        <w:ind w:firstLine="630"/>
        <w:jc w:val="both"/>
        <w:rPr>
          <w:rFonts w:ascii="Times New Roman" w:hAnsi="Times New Roman"/>
          <w:sz w:val="24"/>
          <w:szCs w:val="24"/>
          <w:lang w:val="sr-Cyrl-CS"/>
        </w:rPr>
      </w:pPr>
      <w:r>
        <w:rPr>
          <w:rFonts w:ascii="Times New Roman" w:hAnsi="Times New Roman"/>
          <w:sz w:val="24"/>
          <w:szCs w:val="24"/>
          <w:lang w:val="sr-Cyrl-CS"/>
        </w:rPr>
        <w:t xml:space="preserve">Сви елементи Стратегије морају се примењивати истовремено и координирано. Тиме се постиже да један другог подржавају, па је њихово укупно дејство јаче. </w:t>
      </w:r>
    </w:p>
    <w:p w:rsidR="00A4332F" w:rsidRDefault="003C006E" w:rsidP="003C006E">
      <w:pPr>
        <w:ind w:firstLine="630"/>
        <w:jc w:val="both"/>
        <w:rPr>
          <w:rFonts w:ascii="Times New Roman" w:hAnsi="Times New Roman"/>
          <w:sz w:val="24"/>
          <w:szCs w:val="24"/>
          <w:lang w:val="sr-Cyrl-CS"/>
        </w:rPr>
      </w:pPr>
      <w:r>
        <w:rPr>
          <w:rFonts w:ascii="Times New Roman" w:hAnsi="Times New Roman"/>
          <w:sz w:val="24"/>
          <w:szCs w:val="24"/>
          <w:lang w:val="sr-Cyrl-CS"/>
        </w:rPr>
        <w:t>За спречавање корупције у области привреде</w:t>
      </w:r>
      <w:r w:rsidR="00F93BA6">
        <w:rPr>
          <w:rStyle w:val="FootnoteReference"/>
          <w:rFonts w:ascii="Times New Roman" w:hAnsi="Times New Roman"/>
          <w:sz w:val="24"/>
          <w:szCs w:val="24"/>
          <w:lang w:val="sr-Cyrl-CS"/>
        </w:rPr>
        <w:footnoteReference w:id="906"/>
      </w:r>
      <w:r>
        <w:rPr>
          <w:rFonts w:ascii="Times New Roman" w:hAnsi="Times New Roman"/>
          <w:sz w:val="24"/>
          <w:szCs w:val="24"/>
          <w:lang w:val="sr-Cyrl-CS"/>
        </w:rPr>
        <w:t xml:space="preserve"> према Стратегији</w:t>
      </w:r>
      <w:r w:rsidR="00F93BA6">
        <w:rPr>
          <w:rFonts w:ascii="Times New Roman" w:hAnsi="Times New Roman"/>
          <w:sz w:val="24"/>
          <w:szCs w:val="24"/>
          <w:lang w:val="sr-Cyrl-CS"/>
        </w:rPr>
        <w:t xml:space="preserve"> потребне су посебне мере, због међузависности привреде и осталих сектора и због коруптивног понашања унутар ње. Привреда је у тешком положају због дугогодишње кризе и текућих реформских процеса. </w:t>
      </w:r>
    </w:p>
    <w:p w:rsidR="003C006E" w:rsidRDefault="00F93BA6" w:rsidP="003C006E">
      <w:pPr>
        <w:ind w:firstLine="630"/>
        <w:jc w:val="both"/>
        <w:rPr>
          <w:rFonts w:ascii="Times New Roman" w:hAnsi="Times New Roman"/>
          <w:sz w:val="24"/>
          <w:szCs w:val="24"/>
          <w:lang w:val="sr-Cyrl-CS"/>
        </w:rPr>
      </w:pPr>
      <w:r>
        <w:rPr>
          <w:rFonts w:ascii="Times New Roman" w:hAnsi="Times New Roman"/>
          <w:sz w:val="24"/>
          <w:szCs w:val="24"/>
          <w:lang w:val="sr-Cyrl-CS"/>
        </w:rPr>
        <w:t xml:space="preserve">Стратегијом се дају </w:t>
      </w:r>
      <w:r w:rsidR="003C006E">
        <w:rPr>
          <w:rFonts w:ascii="Times New Roman" w:hAnsi="Times New Roman"/>
          <w:sz w:val="24"/>
          <w:szCs w:val="24"/>
          <w:lang w:val="sr-Cyrl-CS"/>
        </w:rPr>
        <w:t xml:space="preserve"> следеће препоруке</w:t>
      </w:r>
      <w:r>
        <w:rPr>
          <w:rFonts w:ascii="Times New Roman" w:hAnsi="Times New Roman"/>
          <w:sz w:val="24"/>
          <w:szCs w:val="24"/>
          <w:lang w:val="sr-Cyrl-CS"/>
        </w:rPr>
        <w:t>, које треба остварити спровођењем одређених активности из Ационог плана</w:t>
      </w:r>
      <w:r w:rsidR="003C006E">
        <w:rPr>
          <w:rFonts w:ascii="Times New Roman" w:hAnsi="Times New Roman"/>
          <w:sz w:val="24"/>
          <w:szCs w:val="24"/>
          <w:lang w:val="sr-Cyrl-CS"/>
        </w:rPr>
        <w:t>:</w:t>
      </w:r>
    </w:p>
    <w:p w:rsidR="00434A79" w:rsidRDefault="006269F7" w:rsidP="006269F7">
      <w:pPr>
        <w:jc w:val="both"/>
        <w:rPr>
          <w:rFonts w:ascii="Times New Roman" w:hAnsi="Times New Roman"/>
          <w:sz w:val="24"/>
          <w:szCs w:val="24"/>
          <w:lang w:val="sr-Cyrl-CS"/>
        </w:rPr>
      </w:pPr>
      <w:r>
        <w:rPr>
          <w:rFonts w:ascii="Times New Roman" w:hAnsi="Times New Roman"/>
          <w:sz w:val="24"/>
          <w:szCs w:val="24"/>
          <w:lang w:val="sr-Cyrl-CS"/>
        </w:rPr>
        <w:t>1.</w:t>
      </w:r>
      <w:r w:rsidR="00F93BA6">
        <w:rPr>
          <w:rFonts w:ascii="Times New Roman" w:hAnsi="Times New Roman"/>
          <w:sz w:val="24"/>
          <w:szCs w:val="24"/>
          <w:lang w:val="sr-Cyrl-CS"/>
        </w:rPr>
        <w:t>Ограничење</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улоге</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државе</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у</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привреди</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на</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постављање</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основних</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правила</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за</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поштено надметање</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слободу</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уговарања</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стварање</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окружења</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погодног</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за</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ефикасно пословање</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као</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и</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на</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регулис</w:t>
      </w:r>
      <w:r w:rsidR="00434A79">
        <w:rPr>
          <w:rFonts w:ascii="Times New Roman" w:hAnsi="Times New Roman"/>
          <w:sz w:val="24"/>
          <w:szCs w:val="24"/>
          <w:lang w:val="sr-Cyrl-CS"/>
        </w:rPr>
        <w:t>ање већих поремећаја на тржишту, која препорука треба да се оствари спровођењем следећих активности:</w:t>
      </w:r>
    </w:p>
    <w:p w:rsidR="00434A79" w:rsidRPr="00B721C5" w:rsidRDefault="00B721C5" w:rsidP="008A3795">
      <w:pPr>
        <w:numPr>
          <w:ilvl w:val="0"/>
          <w:numId w:val="27"/>
        </w:numPr>
        <w:jc w:val="both"/>
        <w:rPr>
          <w:rFonts w:ascii="Times New Roman" w:hAnsi="Times New Roman"/>
          <w:sz w:val="24"/>
          <w:szCs w:val="24"/>
          <w:lang w:val="sr-Cyrl-CS"/>
        </w:rPr>
      </w:pPr>
      <w:r>
        <w:rPr>
          <w:rFonts w:ascii="Times New Roman" w:hAnsi="Times New Roman"/>
          <w:sz w:val="24"/>
          <w:szCs w:val="24"/>
        </w:rPr>
        <w:t>п</w:t>
      </w:r>
      <w:r w:rsidR="00434A79" w:rsidRPr="00B721C5">
        <w:rPr>
          <w:rFonts w:ascii="Times New Roman" w:hAnsi="Times New Roman"/>
          <w:sz w:val="24"/>
          <w:szCs w:val="24"/>
        </w:rPr>
        <w:t>остепено повлачење државе из привредног система као активног актера и препуштање привреде „законима тр</w:t>
      </w:r>
      <w:r w:rsidR="00434A79" w:rsidRPr="00B721C5">
        <w:rPr>
          <w:rFonts w:ascii="Times New Roman" w:hAnsi="Times New Roman"/>
          <w:sz w:val="24"/>
          <w:szCs w:val="24"/>
          <w:lang w:val="sr-Cyrl-CS"/>
        </w:rPr>
        <w:t>жишта“</w:t>
      </w:r>
      <w:r>
        <w:rPr>
          <w:rFonts w:ascii="Times New Roman" w:hAnsi="Times New Roman"/>
          <w:sz w:val="24"/>
          <w:szCs w:val="24"/>
          <w:lang w:val="sr-Cyrl-CS"/>
        </w:rPr>
        <w:t>,</w:t>
      </w:r>
    </w:p>
    <w:p w:rsidR="00F93BA6" w:rsidRPr="00B721C5" w:rsidRDefault="00B721C5" w:rsidP="008A3795">
      <w:pPr>
        <w:numPr>
          <w:ilvl w:val="0"/>
          <w:numId w:val="27"/>
        </w:numPr>
        <w:jc w:val="both"/>
        <w:rPr>
          <w:rFonts w:ascii="Times New Roman" w:hAnsi="Times New Roman"/>
          <w:sz w:val="24"/>
          <w:szCs w:val="24"/>
          <w:lang w:val="sr-Cyrl-CS"/>
        </w:rPr>
      </w:pPr>
      <w:r>
        <w:rPr>
          <w:rFonts w:ascii="Times New Roman" w:hAnsi="Times New Roman"/>
          <w:sz w:val="24"/>
          <w:szCs w:val="24"/>
          <w:lang w:val="sr-Cyrl-CS"/>
        </w:rPr>
        <w:t>у</w:t>
      </w:r>
      <w:r w:rsidR="00434A79" w:rsidRPr="00B721C5">
        <w:rPr>
          <w:rFonts w:ascii="Times New Roman" w:hAnsi="Times New Roman"/>
          <w:sz w:val="24"/>
          <w:szCs w:val="24"/>
        </w:rPr>
        <w:t>лога државе треба да буде у стварању прописа који ће:</w:t>
      </w:r>
      <w:r w:rsidR="00434A79" w:rsidRPr="00B721C5">
        <w:rPr>
          <w:rFonts w:ascii="Times New Roman" w:hAnsi="Times New Roman"/>
          <w:sz w:val="24"/>
          <w:szCs w:val="24"/>
          <w:lang w:val="sr-Cyrl-CS"/>
        </w:rPr>
        <w:t xml:space="preserve"> </w:t>
      </w:r>
      <w:r w:rsidR="00434A79" w:rsidRPr="00B721C5">
        <w:rPr>
          <w:rFonts w:ascii="Times New Roman" w:hAnsi="Times New Roman"/>
          <w:sz w:val="24"/>
          <w:szCs w:val="24"/>
        </w:rPr>
        <w:t>остварити  повољност за раст привреде</w:t>
      </w:r>
      <w:r w:rsidR="00434A79" w:rsidRPr="00B721C5">
        <w:rPr>
          <w:rFonts w:ascii="Times New Roman" w:hAnsi="Times New Roman"/>
          <w:sz w:val="24"/>
          <w:szCs w:val="24"/>
          <w:lang w:val="sr-Cyrl-CS"/>
        </w:rPr>
        <w:t xml:space="preserve">, </w:t>
      </w:r>
      <w:r w:rsidR="00434A79" w:rsidRPr="00B721C5">
        <w:rPr>
          <w:rFonts w:ascii="Times New Roman" w:hAnsi="Times New Roman"/>
          <w:sz w:val="24"/>
          <w:szCs w:val="24"/>
        </w:rPr>
        <w:t>привући домаће као и стране улагаче- инвеститоре</w:t>
      </w:r>
      <w:r w:rsidR="00434A79" w:rsidRPr="00B721C5">
        <w:rPr>
          <w:rFonts w:ascii="Times New Roman" w:hAnsi="Times New Roman"/>
          <w:sz w:val="24"/>
          <w:szCs w:val="24"/>
          <w:lang w:val="sr-Cyrl-CS"/>
        </w:rPr>
        <w:t xml:space="preserve">, </w:t>
      </w:r>
      <w:r w:rsidR="00434A79" w:rsidRPr="00B721C5">
        <w:rPr>
          <w:rFonts w:ascii="Times New Roman" w:hAnsi="Times New Roman"/>
          <w:sz w:val="24"/>
          <w:szCs w:val="24"/>
        </w:rPr>
        <w:t>омогућити нормало пословање правних лица</w:t>
      </w:r>
      <w:r w:rsidR="00434A79" w:rsidRPr="00B721C5">
        <w:rPr>
          <w:rFonts w:ascii="Times New Roman" w:hAnsi="Times New Roman"/>
          <w:sz w:val="24"/>
          <w:szCs w:val="24"/>
          <w:lang w:val="sr-Cyrl-CS"/>
        </w:rPr>
        <w:t>,</w:t>
      </w:r>
      <w:r w:rsidR="00434A79" w:rsidRPr="00B721C5">
        <w:rPr>
          <w:rFonts w:ascii="Times New Roman" w:hAnsi="Times New Roman"/>
          <w:sz w:val="24"/>
          <w:szCs w:val="24"/>
        </w:rPr>
        <w:t xml:space="preserve"> смањити незапосленост</w:t>
      </w:r>
      <w:r w:rsidR="00434A79" w:rsidRPr="00B721C5">
        <w:rPr>
          <w:rFonts w:ascii="Times New Roman" w:hAnsi="Times New Roman"/>
          <w:sz w:val="24"/>
          <w:szCs w:val="24"/>
          <w:lang w:val="sr-Cyrl-CS"/>
        </w:rPr>
        <w:t>,</w:t>
      </w:r>
      <w:r w:rsidR="00434A79" w:rsidRPr="00B721C5">
        <w:rPr>
          <w:rFonts w:ascii="Times New Roman" w:hAnsi="Times New Roman"/>
          <w:sz w:val="24"/>
          <w:szCs w:val="24"/>
        </w:rPr>
        <w:t xml:space="preserve"> омогућити ред на фискалном подручју</w:t>
      </w:r>
      <w:r w:rsidR="00434A79" w:rsidRPr="00B721C5">
        <w:rPr>
          <w:rFonts w:ascii="Times New Roman" w:hAnsi="Times New Roman"/>
          <w:sz w:val="24"/>
          <w:szCs w:val="24"/>
          <w:lang w:val="sr-Cyrl-CS"/>
        </w:rPr>
        <w:t>.</w:t>
      </w:r>
      <w:r w:rsidR="00F93BA6" w:rsidRPr="00B721C5">
        <w:rPr>
          <w:rFonts w:ascii="Times New Roman" w:hAnsi="Times New Roman"/>
          <w:sz w:val="24"/>
          <w:szCs w:val="24"/>
          <w:lang w:val="sr-Cyrl-CS"/>
        </w:rPr>
        <w:t xml:space="preserve"> </w:t>
      </w:r>
    </w:p>
    <w:p w:rsidR="00F93BA6" w:rsidRPr="00F93BA6" w:rsidRDefault="006269F7" w:rsidP="00831157">
      <w:pPr>
        <w:snapToGrid w:val="0"/>
        <w:jc w:val="both"/>
        <w:rPr>
          <w:rFonts w:ascii="Times New Roman" w:hAnsi="Times New Roman"/>
          <w:sz w:val="24"/>
          <w:szCs w:val="24"/>
          <w:lang w:val="sr-Cyrl-CS"/>
        </w:rPr>
      </w:pPr>
      <w:r>
        <w:rPr>
          <w:rFonts w:ascii="Times New Roman" w:hAnsi="Times New Roman"/>
          <w:sz w:val="24"/>
          <w:szCs w:val="24"/>
          <w:lang w:val="sr-Cyrl-CS"/>
        </w:rPr>
        <w:t>2.</w:t>
      </w:r>
      <w:r w:rsidR="00F93BA6">
        <w:rPr>
          <w:rFonts w:ascii="Times New Roman" w:hAnsi="Times New Roman"/>
          <w:sz w:val="24"/>
          <w:szCs w:val="24"/>
          <w:lang w:val="sr-Cyrl-CS"/>
        </w:rPr>
        <w:t>Отклањање</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неусаглашености</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и</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противречности</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појединих</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привредно</w:t>
      </w:r>
      <w:r w:rsidR="00F93BA6" w:rsidRPr="00F93BA6">
        <w:rPr>
          <w:rFonts w:ascii="Times New Roman" w:hAnsi="Times New Roman"/>
          <w:sz w:val="24"/>
          <w:szCs w:val="24"/>
          <w:lang w:val="sr-Cyrl-CS"/>
        </w:rPr>
        <w:t>-</w:t>
      </w:r>
      <w:r w:rsidR="00F93BA6">
        <w:rPr>
          <w:rFonts w:ascii="Times New Roman" w:hAnsi="Times New Roman"/>
          <w:sz w:val="24"/>
          <w:szCs w:val="24"/>
          <w:lang w:val="sr-Cyrl-CS"/>
        </w:rPr>
        <w:t>системских</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 xml:space="preserve">прописа </w:t>
      </w:r>
      <w:r w:rsidR="00F93BA6" w:rsidRPr="00F93BA6">
        <w:rPr>
          <w:rFonts w:ascii="Times New Roman" w:hAnsi="Times New Roman"/>
          <w:sz w:val="24"/>
          <w:szCs w:val="24"/>
          <w:lang w:val="sr-Cyrl-CS"/>
        </w:rPr>
        <w:t>(</w:t>
      </w:r>
      <w:r w:rsidR="00F93BA6">
        <w:rPr>
          <w:rFonts w:ascii="Times New Roman" w:hAnsi="Times New Roman"/>
          <w:sz w:val="24"/>
          <w:szCs w:val="24"/>
          <w:lang w:val="sr-Cyrl-CS"/>
        </w:rPr>
        <w:t>Закона</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о</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привредним</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друштвима</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Закона</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о</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хартијама</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од</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вредности</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Закона</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о регистрацији привредних субјеката...)</w:t>
      </w:r>
      <w:r w:rsidR="00434A79">
        <w:rPr>
          <w:rFonts w:ascii="Times New Roman" w:hAnsi="Times New Roman"/>
          <w:sz w:val="24"/>
          <w:szCs w:val="24"/>
          <w:lang w:val="sr-Cyrl-CS"/>
        </w:rPr>
        <w:t>.</w:t>
      </w:r>
      <w:r w:rsidR="00F93BA6">
        <w:rPr>
          <w:rFonts w:ascii="Times New Roman" w:hAnsi="Times New Roman"/>
          <w:sz w:val="24"/>
          <w:szCs w:val="24"/>
          <w:lang w:val="sr-Cyrl-CS"/>
        </w:rPr>
        <w:t xml:space="preserve"> </w:t>
      </w:r>
      <w:r w:rsidR="00434A79">
        <w:rPr>
          <w:rFonts w:ascii="Times New Roman" w:hAnsi="Times New Roman"/>
          <w:sz w:val="24"/>
          <w:szCs w:val="24"/>
          <w:lang w:val="sr-Cyrl-CS"/>
        </w:rPr>
        <w:t xml:space="preserve">У Акционом плану је предвиђена </w:t>
      </w:r>
      <w:r w:rsidR="00434A79" w:rsidRPr="00B721C5">
        <w:rPr>
          <w:rFonts w:ascii="Times New Roman" w:hAnsi="Times New Roman"/>
          <w:sz w:val="24"/>
          <w:szCs w:val="24"/>
          <w:lang w:val="sr-Cyrl-CS"/>
        </w:rPr>
        <w:t>израда а</w:t>
      </w:r>
      <w:r w:rsidR="00434A79" w:rsidRPr="00B721C5">
        <w:rPr>
          <w:rFonts w:ascii="Times New Roman" w:hAnsi="Times New Roman"/>
          <w:sz w:val="24"/>
          <w:szCs w:val="24"/>
        </w:rPr>
        <w:t>нализ</w:t>
      </w:r>
      <w:r w:rsidR="00434A79" w:rsidRPr="00B721C5">
        <w:rPr>
          <w:rFonts w:ascii="Times New Roman" w:hAnsi="Times New Roman"/>
          <w:sz w:val="24"/>
          <w:szCs w:val="24"/>
          <w:lang w:val="sr-Cyrl-CS"/>
        </w:rPr>
        <w:t>а</w:t>
      </w:r>
      <w:r w:rsidR="00434A79" w:rsidRPr="00B721C5">
        <w:rPr>
          <w:rFonts w:ascii="Times New Roman" w:hAnsi="Times New Roman"/>
          <w:sz w:val="24"/>
          <w:szCs w:val="24"/>
        </w:rPr>
        <w:t xml:space="preserve"> конзистентности привредно-системских проп</w:t>
      </w:r>
      <w:r w:rsidR="00434A79" w:rsidRPr="00B721C5">
        <w:rPr>
          <w:rFonts w:ascii="Times New Roman" w:hAnsi="Times New Roman"/>
          <w:sz w:val="24"/>
          <w:szCs w:val="24"/>
          <w:lang w:val="sr-Cyrl-CS"/>
        </w:rPr>
        <w:t>и</w:t>
      </w:r>
      <w:r w:rsidR="00434A79" w:rsidRPr="00B721C5">
        <w:rPr>
          <w:rFonts w:ascii="Times New Roman" w:hAnsi="Times New Roman"/>
          <w:sz w:val="24"/>
          <w:szCs w:val="24"/>
        </w:rPr>
        <w:t>са</w:t>
      </w:r>
      <w:r w:rsidR="00434A79" w:rsidRPr="00B721C5">
        <w:rPr>
          <w:rFonts w:ascii="Times New Roman" w:hAnsi="Times New Roman"/>
          <w:sz w:val="24"/>
          <w:szCs w:val="24"/>
          <w:lang w:val="sr-Cyrl-CS"/>
        </w:rPr>
        <w:t xml:space="preserve"> и регулисање правног положаја предузетника.</w:t>
      </w:r>
    </w:p>
    <w:p w:rsidR="00B03343" w:rsidRDefault="006269F7" w:rsidP="00831157">
      <w:pPr>
        <w:jc w:val="both"/>
        <w:rPr>
          <w:rFonts w:ascii="Times New Roman" w:hAnsi="Times New Roman"/>
          <w:sz w:val="24"/>
          <w:szCs w:val="24"/>
          <w:lang w:val="sr-Cyrl-CS"/>
        </w:rPr>
      </w:pPr>
      <w:r>
        <w:rPr>
          <w:rFonts w:ascii="Times New Roman" w:hAnsi="Times New Roman"/>
          <w:sz w:val="24"/>
          <w:szCs w:val="24"/>
          <w:lang w:val="sr-Cyrl-CS"/>
        </w:rPr>
        <w:t>3.</w:t>
      </w:r>
      <w:r w:rsidR="00F93BA6">
        <w:rPr>
          <w:rFonts w:ascii="Times New Roman" w:hAnsi="Times New Roman"/>
          <w:sz w:val="24"/>
          <w:szCs w:val="24"/>
          <w:lang w:val="sr-Cyrl-CS"/>
        </w:rPr>
        <w:t>Унапређење</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транспарентности</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процеса</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и</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поступка</w:t>
      </w:r>
      <w:r w:rsidR="00F93BA6" w:rsidRPr="00F93BA6">
        <w:rPr>
          <w:rFonts w:ascii="Times New Roman" w:hAnsi="Times New Roman"/>
          <w:sz w:val="24"/>
          <w:szCs w:val="24"/>
          <w:lang w:val="sr-Cyrl-CS"/>
        </w:rPr>
        <w:t xml:space="preserve"> </w:t>
      </w:r>
      <w:r w:rsidR="00434A79">
        <w:rPr>
          <w:rFonts w:ascii="Times New Roman" w:hAnsi="Times New Roman"/>
          <w:sz w:val="24"/>
          <w:szCs w:val="24"/>
          <w:lang w:val="sr-Cyrl-CS"/>
        </w:rPr>
        <w:t>приватизације, која препорука треба да се оствари спровођењем следећих активности:</w:t>
      </w:r>
    </w:p>
    <w:p w:rsidR="00F93BA6" w:rsidRPr="00B721C5" w:rsidRDefault="00B721C5" w:rsidP="008A3795">
      <w:pPr>
        <w:numPr>
          <w:ilvl w:val="0"/>
          <w:numId w:val="28"/>
        </w:numPr>
        <w:jc w:val="both"/>
        <w:rPr>
          <w:rFonts w:ascii="Times New Roman" w:hAnsi="Times New Roman"/>
          <w:sz w:val="24"/>
          <w:szCs w:val="24"/>
          <w:lang w:val="sr-Cyrl-CS"/>
        </w:rPr>
      </w:pPr>
      <w:r>
        <w:rPr>
          <w:rFonts w:ascii="Times New Roman" w:hAnsi="Times New Roman"/>
          <w:sz w:val="24"/>
          <w:szCs w:val="24"/>
          <w:lang w:val="sr-Cyrl-CS"/>
        </w:rPr>
        <w:t>д</w:t>
      </w:r>
      <w:r w:rsidR="00434A79" w:rsidRPr="00B721C5">
        <w:rPr>
          <w:rFonts w:ascii="Times New Roman" w:hAnsi="Times New Roman"/>
          <w:sz w:val="24"/>
          <w:szCs w:val="24"/>
        </w:rPr>
        <w:t>оследна примена постојећих прописа у вези са: потпуном транспар</w:t>
      </w:r>
      <w:r w:rsidR="00B03343" w:rsidRPr="00B721C5">
        <w:rPr>
          <w:rFonts w:ascii="Times New Roman" w:hAnsi="Times New Roman"/>
          <w:sz w:val="24"/>
          <w:szCs w:val="24"/>
        </w:rPr>
        <w:t>ентношћу поступка приватизације</w:t>
      </w:r>
      <w:r w:rsidR="00B03343" w:rsidRPr="00B721C5">
        <w:rPr>
          <w:rFonts w:ascii="Times New Roman" w:hAnsi="Times New Roman"/>
          <w:sz w:val="24"/>
          <w:szCs w:val="24"/>
          <w:lang w:val="sr-Cyrl-CS"/>
        </w:rPr>
        <w:t xml:space="preserve">, </w:t>
      </w:r>
      <w:r w:rsidR="00434A79" w:rsidRPr="00B721C5">
        <w:rPr>
          <w:rFonts w:ascii="Times New Roman" w:hAnsi="Times New Roman"/>
          <w:sz w:val="24"/>
          <w:szCs w:val="24"/>
        </w:rPr>
        <w:t>обезбеђивањ</w:t>
      </w:r>
      <w:r w:rsidR="00434A79" w:rsidRPr="00B721C5">
        <w:rPr>
          <w:rFonts w:ascii="Times New Roman" w:hAnsi="Times New Roman"/>
          <w:sz w:val="24"/>
          <w:szCs w:val="24"/>
          <w:lang w:val="sr-Cyrl-CS"/>
        </w:rPr>
        <w:t>ем</w:t>
      </w:r>
      <w:r w:rsidR="00434A79" w:rsidRPr="00B721C5">
        <w:rPr>
          <w:rFonts w:ascii="Times New Roman" w:hAnsi="Times New Roman"/>
          <w:sz w:val="24"/>
          <w:szCs w:val="24"/>
        </w:rPr>
        <w:t xml:space="preserve"> ја</w:t>
      </w:r>
      <w:r w:rsidR="00B03343" w:rsidRPr="00B721C5">
        <w:rPr>
          <w:rFonts w:ascii="Times New Roman" w:hAnsi="Times New Roman"/>
          <w:sz w:val="24"/>
          <w:szCs w:val="24"/>
        </w:rPr>
        <w:t>вног објављивања намере продаје</w:t>
      </w:r>
      <w:r w:rsidR="00B03343" w:rsidRPr="00B721C5">
        <w:rPr>
          <w:rFonts w:ascii="Times New Roman" w:hAnsi="Times New Roman"/>
          <w:sz w:val="24"/>
          <w:szCs w:val="24"/>
          <w:lang w:val="sr-Cyrl-CS"/>
        </w:rPr>
        <w:t xml:space="preserve">, </w:t>
      </w:r>
      <w:r w:rsidR="00434A79" w:rsidRPr="00B721C5">
        <w:rPr>
          <w:rFonts w:ascii="Times New Roman" w:hAnsi="Times New Roman"/>
          <w:sz w:val="24"/>
          <w:szCs w:val="24"/>
        </w:rPr>
        <w:t>обезбеђивањ</w:t>
      </w:r>
      <w:r w:rsidR="00434A79" w:rsidRPr="00B721C5">
        <w:rPr>
          <w:rFonts w:ascii="Times New Roman" w:hAnsi="Times New Roman"/>
          <w:sz w:val="24"/>
          <w:szCs w:val="24"/>
          <w:lang w:val="sr-Cyrl-CS"/>
        </w:rPr>
        <w:t>ем</w:t>
      </w:r>
      <w:r w:rsidR="00434A79" w:rsidRPr="00B721C5">
        <w:rPr>
          <w:rFonts w:ascii="Times New Roman" w:hAnsi="Times New Roman"/>
          <w:sz w:val="24"/>
          <w:szCs w:val="24"/>
        </w:rPr>
        <w:t xml:space="preserve"> о</w:t>
      </w:r>
      <w:r w:rsidR="00B03343" w:rsidRPr="00B721C5">
        <w:rPr>
          <w:rFonts w:ascii="Times New Roman" w:hAnsi="Times New Roman"/>
          <w:sz w:val="24"/>
          <w:szCs w:val="24"/>
        </w:rPr>
        <w:t xml:space="preserve">бавезне   </w:t>
      </w:r>
      <w:r w:rsidR="00434A79" w:rsidRPr="00B721C5">
        <w:rPr>
          <w:rFonts w:ascii="Times New Roman" w:hAnsi="Times New Roman"/>
          <w:sz w:val="24"/>
          <w:szCs w:val="24"/>
        </w:rPr>
        <w:t>спољне ревизије субјекта који се продаје</w:t>
      </w:r>
      <w:r w:rsidR="00B03343" w:rsidRPr="00B721C5">
        <w:rPr>
          <w:rFonts w:ascii="Times New Roman" w:hAnsi="Times New Roman"/>
          <w:sz w:val="24"/>
          <w:szCs w:val="24"/>
          <w:lang w:val="sr-Cyrl-CS"/>
        </w:rPr>
        <w:t xml:space="preserve"> и</w:t>
      </w:r>
    </w:p>
    <w:p w:rsidR="00B03343" w:rsidRPr="00831157" w:rsidRDefault="00B721C5" w:rsidP="00831157">
      <w:pPr>
        <w:numPr>
          <w:ilvl w:val="0"/>
          <w:numId w:val="28"/>
        </w:numPr>
        <w:snapToGrid w:val="0"/>
        <w:rPr>
          <w:rFonts w:ascii="Times New Roman" w:hAnsi="Times New Roman"/>
          <w:sz w:val="24"/>
          <w:szCs w:val="24"/>
        </w:rPr>
      </w:pPr>
      <w:r>
        <w:rPr>
          <w:rFonts w:ascii="Times New Roman" w:hAnsi="Times New Roman"/>
          <w:sz w:val="24"/>
          <w:szCs w:val="24"/>
          <w:lang w:val="sr-Cyrl-CS"/>
        </w:rPr>
        <w:lastRenderedPageBreak/>
        <w:t>с</w:t>
      </w:r>
      <w:r w:rsidR="00B03343" w:rsidRPr="00B721C5">
        <w:rPr>
          <w:rFonts w:ascii="Times New Roman" w:hAnsi="Times New Roman"/>
          <w:sz w:val="24"/>
          <w:szCs w:val="24"/>
          <w:lang w:val="sr-Cyrl-CS"/>
        </w:rPr>
        <w:t>тал</w:t>
      </w:r>
      <w:r w:rsidR="00B03343" w:rsidRPr="00B721C5">
        <w:rPr>
          <w:rFonts w:ascii="Times New Roman" w:hAnsi="Times New Roman"/>
          <w:sz w:val="24"/>
          <w:szCs w:val="24"/>
        </w:rPr>
        <w:t>но проверавање процеса приватизације и измена прописа</w:t>
      </w:r>
      <w:r w:rsidR="00B03343" w:rsidRPr="00B721C5">
        <w:rPr>
          <w:rFonts w:ascii="Times New Roman" w:hAnsi="Times New Roman"/>
          <w:sz w:val="24"/>
          <w:szCs w:val="24"/>
          <w:lang w:val="sr-Cyrl-CS"/>
        </w:rPr>
        <w:t>.</w:t>
      </w:r>
    </w:p>
    <w:p w:rsidR="00B03343" w:rsidRDefault="006269F7" w:rsidP="006269F7">
      <w:pPr>
        <w:jc w:val="both"/>
        <w:rPr>
          <w:rFonts w:ascii="Times New Roman" w:hAnsi="Times New Roman"/>
          <w:sz w:val="24"/>
          <w:szCs w:val="24"/>
          <w:lang w:val="sr-Cyrl-CS"/>
        </w:rPr>
      </w:pPr>
      <w:r>
        <w:rPr>
          <w:rFonts w:ascii="Times New Roman" w:hAnsi="Times New Roman"/>
          <w:sz w:val="24"/>
          <w:szCs w:val="24"/>
          <w:lang w:val="sr-Cyrl-CS"/>
        </w:rPr>
        <w:t>4.</w:t>
      </w:r>
      <w:r w:rsidR="00F93BA6">
        <w:rPr>
          <w:rFonts w:ascii="Times New Roman" w:hAnsi="Times New Roman"/>
          <w:sz w:val="24"/>
          <w:szCs w:val="24"/>
          <w:lang w:val="sr-Cyrl-CS"/>
        </w:rPr>
        <w:t>Увођење</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независног</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тела</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за</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контролу процеса приватизације</w:t>
      </w:r>
      <w:r w:rsidR="00B03343">
        <w:rPr>
          <w:rFonts w:ascii="Times New Roman" w:hAnsi="Times New Roman"/>
          <w:sz w:val="24"/>
          <w:szCs w:val="24"/>
          <w:lang w:val="sr-Cyrl-CS"/>
        </w:rPr>
        <w:t>, која препорука треба да се оствари спровођењем следећих активности:</w:t>
      </w:r>
    </w:p>
    <w:p w:rsidR="00F93BA6" w:rsidRPr="00B721C5" w:rsidRDefault="00B721C5" w:rsidP="008A3795">
      <w:pPr>
        <w:numPr>
          <w:ilvl w:val="0"/>
          <w:numId w:val="29"/>
        </w:numPr>
        <w:jc w:val="both"/>
        <w:rPr>
          <w:rFonts w:ascii="Times New Roman" w:hAnsi="Times New Roman"/>
          <w:sz w:val="24"/>
          <w:szCs w:val="24"/>
          <w:lang w:val="sr-Cyrl-CS"/>
        </w:rPr>
      </w:pPr>
      <w:r>
        <w:rPr>
          <w:rFonts w:ascii="Times New Roman" w:hAnsi="Times New Roman"/>
          <w:sz w:val="24"/>
          <w:szCs w:val="24"/>
          <w:lang w:val="sr-Cyrl-CS"/>
        </w:rPr>
        <w:t>а</w:t>
      </w:r>
      <w:r w:rsidR="00B03343" w:rsidRPr="00B721C5">
        <w:rPr>
          <w:rFonts w:ascii="Times New Roman" w:hAnsi="Times New Roman"/>
          <w:sz w:val="24"/>
          <w:szCs w:val="24"/>
        </w:rPr>
        <w:t>нализа прописа и</w:t>
      </w:r>
      <w:r w:rsidR="00B03343" w:rsidRPr="00B721C5">
        <w:rPr>
          <w:rFonts w:ascii="Times New Roman" w:hAnsi="Times New Roman"/>
          <w:sz w:val="24"/>
          <w:szCs w:val="24"/>
          <w:lang w:val="sr-Cyrl-CS"/>
        </w:rPr>
        <w:t xml:space="preserve"> евентуална </w:t>
      </w:r>
      <w:r w:rsidR="00B03343" w:rsidRPr="00B721C5">
        <w:rPr>
          <w:rFonts w:ascii="Times New Roman" w:hAnsi="Times New Roman"/>
          <w:sz w:val="24"/>
          <w:szCs w:val="24"/>
        </w:rPr>
        <w:t>припрема измен</w:t>
      </w:r>
      <w:r w:rsidR="00B03343" w:rsidRPr="00B721C5">
        <w:rPr>
          <w:rFonts w:ascii="Times New Roman" w:hAnsi="Times New Roman"/>
          <w:sz w:val="24"/>
          <w:szCs w:val="24"/>
          <w:lang w:val="sr-Cyrl-CS"/>
        </w:rPr>
        <w:t>е</w:t>
      </w:r>
      <w:r w:rsidR="00B03343" w:rsidRPr="00B721C5">
        <w:rPr>
          <w:rFonts w:ascii="Times New Roman" w:hAnsi="Times New Roman"/>
          <w:sz w:val="24"/>
          <w:szCs w:val="24"/>
        </w:rPr>
        <w:t xml:space="preserve"> </w:t>
      </w:r>
      <w:r w:rsidR="00B03343" w:rsidRPr="00B721C5">
        <w:rPr>
          <w:rFonts w:ascii="Times New Roman" w:hAnsi="Times New Roman"/>
          <w:sz w:val="24"/>
          <w:szCs w:val="24"/>
          <w:lang w:val="sr-Cyrl-CS"/>
        </w:rPr>
        <w:t>прописа и њихово усвајање и</w:t>
      </w:r>
    </w:p>
    <w:p w:rsidR="00B03343" w:rsidRPr="00B721C5" w:rsidRDefault="00B721C5" w:rsidP="008A3795">
      <w:pPr>
        <w:numPr>
          <w:ilvl w:val="0"/>
          <w:numId w:val="29"/>
        </w:numPr>
        <w:jc w:val="both"/>
        <w:rPr>
          <w:rFonts w:ascii="Times New Roman" w:hAnsi="Times New Roman"/>
          <w:sz w:val="24"/>
          <w:szCs w:val="24"/>
          <w:lang w:val="sr-Cyrl-CS"/>
        </w:rPr>
      </w:pPr>
      <w:r>
        <w:rPr>
          <w:rFonts w:ascii="Times New Roman" w:hAnsi="Times New Roman"/>
          <w:sz w:val="24"/>
          <w:szCs w:val="24"/>
          <w:lang w:val="sr-Cyrl-CS"/>
        </w:rPr>
        <w:t>к</w:t>
      </w:r>
      <w:r w:rsidR="00B03343" w:rsidRPr="00B721C5">
        <w:rPr>
          <w:rFonts w:ascii="Times New Roman" w:hAnsi="Times New Roman"/>
          <w:sz w:val="24"/>
          <w:szCs w:val="24"/>
        </w:rPr>
        <w:t>онтрол</w:t>
      </w:r>
      <w:r w:rsidR="00B03343" w:rsidRPr="00B721C5">
        <w:rPr>
          <w:rFonts w:ascii="Times New Roman" w:hAnsi="Times New Roman"/>
          <w:sz w:val="24"/>
          <w:szCs w:val="24"/>
          <w:lang w:val="sr-Cyrl-CS"/>
        </w:rPr>
        <w:t>а</w:t>
      </w:r>
      <w:r w:rsidR="00B03343" w:rsidRPr="00B721C5">
        <w:rPr>
          <w:rFonts w:ascii="Times New Roman" w:hAnsi="Times New Roman"/>
          <w:sz w:val="24"/>
          <w:szCs w:val="24"/>
        </w:rPr>
        <w:t xml:space="preserve"> од стране Државне ревиз</w:t>
      </w:r>
      <w:r w:rsidR="00B03343" w:rsidRPr="00B721C5">
        <w:rPr>
          <w:rFonts w:ascii="Times New Roman" w:hAnsi="Times New Roman"/>
          <w:sz w:val="24"/>
          <w:szCs w:val="24"/>
          <w:lang w:val="sr-Cyrl-CS"/>
        </w:rPr>
        <w:t>орске</w:t>
      </w:r>
      <w:r w:rsidR="00B03343" w:rsidRPr="00B721C5">
        <w:rPr>
          <w:rFonts w:ascii="Times New Roman" w:hAnsi="Times New Roman"/>
          <w:sz w:val="24"/>
          <w:szCs w:val="24"/>
        </w:rPr>
        <w:t xml:space="preserve"> институције</w:t>
      </w:r>
      <w:r w:rsidR="00B03343" w:rsidRPr="00B721C5">
        <w:rPr>
          <w:rFonts w:ascii="Times New Roman" w:hAnsi="Times New Roman"/>
          <w:sz w:val="24"/>
          <w:szCs w:val="24"/>
          <w:lang w:val="sr-Cyrl-CS"/>
        </w:rPr>
        <w:t>.</w:t>
      </w:r>
    </w:p>
    <w:p w:rsidR="00B03343" w:rsidRDefault="006269F7" w:rsidP="006269F7">
      <w:pPr>
        <w:jc w:val="both"/>
        <w:rPr>
          <w:rFonts w:ascii="Times New Roman" w:hAnsi="Times New Roman"/>
          <w:sz w:val="24"/>
          <w:szCs w:val="24"/>
          <w:lang w:val="sr-Cyrl-CS"/>
        </w:rPr>
      </w:pPr>
      <w:r>
        <w:rPr>
          <w:rFonts w:ascii="Times New Roman" w:hAnsi="Times New Roman"/>
          <w:sz w:val="24"/>
          <w:szCs w:val="24"/>
          <w:lang w:val="sr-Cyrl-CS"/>
        </w:rPr>
        <w:t>5.</w:t>
      </w:r>
      <w:r w:rsidR="00F93BA6">
        <w:rPr>
          <w:rFonts w:ascii="Times New Roman" w:hAnsi="Times New Roman"/>
          <w:sz w:val="24"/>
          <w:szCs w:val="24"/>
          <w:lang w:val="sr-Cyrl-CS"/>
        </w:rPr>
        <w:t>Едукација</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и</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информисање</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грађана</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о</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њиховим</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правима</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и</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могућностима</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у процесу</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приватизације и о ефектима приватизације</w:t>
      </w:r>
      <w:r w:rsidR="00B03343">
        <w:rPr>
          <w:rFonts w:ascii="Times New Roman" w:hAnsi="Times New Roman"/>
          <w:sz w:val="24"/>
          <w:szCs w:val="24"/>
          <w:lang w:val="sr-Cyrl-CS"/>
        </w:rPr>
        <w:t>, која препорука треба да се оствари спровођењем следећих активности:</w:t>
      </w:r>
    </w:p>
    <w:p w:rsidR="00F93BA6" w:rsidRPr="00B721C5" w:rsidRDefault="00B03343" w:rsidP="008A3795">
      <w:pPr>
        <w:numPr>
          <w:ilvl w:val="0"/>
          <w:numId w:val="30"/>
        </w:numPr>
        <w:jc w:val="both"/>
        <w:rPr>
          <w:rFonts w:ascii="Times New Roman" w:hAnsi="Times New Roman"/>
          <w:sz w:val="24"/>
          <w:szCs w:val="24"/>
          <w:lang w:val="sr-Cyrl-CS"/>
        </w:rPr>
      </w:pPr>
      <w:r w:rsidRPr="00B721C5">
        <w:rPr>
          <w:rFonts w:ascii="Times New Roman" w:hAnsi="Times New Roman"/>
          <w:sz w:val="24"/>
          <w:szCs w:val="24"/>
        </w:rPr>
        <w:t>Јавно објављивање извештаја завршених поступака приватизације</w:t>
      </w:r>
      <w:r w:rsidRPr="00B721C5">
        <w:rPr>
          <w:rFonts w:ascii="Times New Roman" w:hAnsi="Times New Roman"/>
          <w:sz w:val="24"/>
          <w:szCs w:val="24"/>
          <w:lang w:val="sr-Cyrl-CS"/>
        </w:rPr>
        <w:t>,</w:t>
      </w:r>
    </w:p>
    <w:p w:rsidR="00B03343" w:rsidRPr="00B721C5" w:rsidRDefault="00B03343" w:rsidP="008A3795">
      <w:pPr>
        <w:numPr>
          <w:ilvl w:val="0"/>
          <w:numId w:val="30"/>
        </w:numPr>
        <w:jc w:val="both"/>
        <w:rPr>
          <w:rFonts w:ascii="Times New Roman" w:hAnsi="Times New Roman"/>
          <w:sz w:val="24"/>
          <w:szCs w:val="24"/>
          <w:lang w:val="sr-Cyrl-CS"/>
        </w:rPr>
      </w:pPr>
      <w:r w:rsidRPr="00B721C5">
        <w:rPr>
          <w:rFonts w:ascii="Times New Roman" w:hAnsi="Times New Roman"/>
          <w:sz w:val="24"/>
          <w:szCs w:val="24"/>
        </w:rPr>
        <w:t>Информисање грађана у вези са:</w:t>
      </w:r>
      <w:r w:rsidRPr="00B721C5">
        <w:rPr>
          <w:rFonts w:ascii="Times New Roman" w:hAnsi="Times New Roman"/>
          <w:sz w:val="24"/>
          <w:szCs w:val="24"/>
          <w:lang w:val="sr-Cyrl-CS"/>
        </w:rPr>
        <w:t xml:space="preserve"> </w:t>
      </w:r>
      <w:r w:rsidRPr="00B721C5">
        <w:rPr>
          <w:rFonts w:ascii="Times New Roman" w:hAnsi="Times New Roman"/>
          <w:sz w:val="24"/>
          <w:szCs w:val="24"/>
        </w:rPr>
        <w:t>могућношћу и начину пријаве надлежним органима  о противзаконитим, некоректним и неисправним поступцима пре или после процеса</w:t>
      </w:r>
      <w:r w:rsidRPr="00B721C5">
        <w:rPr>
          <w:rFonts w:ascii="Times New Roman" w:hAnsi="Times New Roman"/>
          <w:sz w:val="24"/>
          <w:szCs w:val="24"/>
          <w:lang w:val="sr-Cyrl-CS"/>
        </w:rPr>
        <w:t xml:space="preserve">, </w:t>
      </w:r>
      <w:r w:rsidRPr="00B721C5">
        <w:rPr>
          <w:rFonts w:ascii="Times New Roman" w:hAnsi="Times New Roman"/>
          <w:sz w:val="24"/>
          <w:szCs w:val="24"/>
        </w:rPr>
        <w:t>правом власништва државне имовине</w:t>
      </w:r>
      <w:r w:rsidRPr="00B721C5">
        <w:rPr>
          <w:rFonts w:ascii="Times New Roman" w:hAnsi="Times New Roman"/>
          <w:sz w:val="24"/>
          <w:szCs w:val="24"/>
          <w:lang w:val="sr-Cyrl-CS"/>
        </w:rPr>
        <w:t xml:space="preserve">, </w:t>
      </w:r>
      <w:r w:rsidRPr="00B721C5">
        <w:rPr>
          <w:rFonts w:ascii="Times New Roman" w:hAnsi="Times New Roman"/>
          <w:sz w:val="24"/>
          <w:szCs w:val="24"/>
        </w:rPr>
        <w:t>обавезом нових власника из радних односа</w:t>
      </w:r>
      <w:r w:rsidRPr="00B721C5">
        <w:rPr>
          <w:rFonts w:ascii="Times New Roman" w:hAnsi="Times New Roman"/>
          <w:sz w:val="24"/>
          <w:szCs w:val="24"/>
          <w:lang w:val="sr-Cyrl-CS"/>
        </w:rPr>
        <w:t xml:space="preserve"> </w:t>
      </w:r>
      <w:r w:rsidRPr="00B721C5">
        <w:rPr>
          <w:rFonts w:ascii="Times New Roman" w:hAnsi="Times New Roman"/>
          <w:sz w:val="24"/>
          <w:szCs w:val="24"/>
        </w:rPr>
        <w:t>и сл</w:t>
      </w:r>
      <w:r w:rsidRPr="00B721C5">
        <w:rPr>
          <w:rFonts w:ascii="Times New Roman" w:hAnsi="Times New Roman"/>
          <w:sz w:val="24"/>
          <w:szCs w:val="24"/>
          <w:lang w:val="sr-Cyrl-CS"/>
        </w:rPr>
        <w:t>.</w:t>
      </w:r>
    </w:p>
    <w:p w:rsidR="00B03343" w:rsidRDefault="006269F7" w:rsidP="006269F7">
      <w:pPr>
        <w:jc w:val="both"/>
        <w:rPr>
          <w:rFonts w:ascii="Times New Roman" w:hAnsi="Times New Roman"/>
          <w:sz w:val="24"/>
          <w:szCs w:val="24"/>
          <w:lang w:val="sr-Cyrl-CS"/>
        </w:rPr>
      </w:pPr>
      <w:r>
        <w:rPr>
          <w:rFonts w:ascii="Times New Roman" w:hAnsi="Times New Roman"/>
          <w:sz w:val="24"/>
          <w:szCs w:val="24"/>
          <w:lang w:val="sr-Cyrl-CS"/>
        </w:rPr>
        <w:t>6.</w:t>
      </w:r>
      <w:r w:rsidR="00F93BA6">
        <w:rPr>
          <w:rFonts w:ascii="Times New Roman" w:hAnsi="Times New Roman"/>
          <w:sz w:val="24"/>
          <w:szCs w:val="24"/>
          <w:lang w:val="sr-Cyrl-CS"/>
        </w:rPr>
        <w:t>Изграђивање</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јасне</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и</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делотворне</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политике</w:t>
      </w:r>
      <w:r w:rsidR="00F93BA6" w:rsidRPr="00F93BA6">
        <w:rPr>
          <w:rFonts w:ascii="Times New Roman" w:hAnsi="Times New Roman"/>
          <w:sz w:val="24"/>
          <w:szCs w:val="24"/>
          <w:lang w:val="sr-Cyrl-CS"/>
        </w:rPr>
        <w:t xml:space="preserve"> </w:t>
      </w:r>
      <w:r w:rsidR="00B03343">
        <w:rPr>
          <w:rFonts w:ascii="Times New Roman" w:hAnsi="Times New Roman"/>
          <w:sz w:val="24"/>
          <w:szCs w:val="24"/>
          <w:lang w:val="sr-Cyrl-CS"/>
        </w:rPr>
        <w:t>конкуренције, која препорука треба да се оствари спровођењем следећих активности:</w:t>
      </w:r>
    </w:p>
    <w:p w:rsidR="00B03343" w:rsidRPr="00B721C5" w:rsidRDefault="00B03343" w:rsidP="008A3795">
      <w:pPr>
        <w:numPr>
          <w:ilvl w:val="0"/>
          <w:numId w:val="31"/>
        </w:numPr>
        <w:jc w:val="both"/>
        <w:rPr>
          <w:rFonts w:ascii="Times New Roman" w:hAnsi="Times New Roman"/>
          <w:sz w:val="24"/>
          <w:szCs w:val="24"/>
          <w:lang w:val="sr-Cyrl-CS"/>
        </w:rPr>
      </w:pPr>
      <w:r w:rsidRPr="00B721C5">
        <w:rPr>
          <w:rFonts w:ascii="Times New Roman" w:hAnsi="Times New Roman"/>
          <w:sz w:val="24"/>
          <w:szCs w:val="24"/>
        </w:rPr>
        <w:t>Анализа прописа и</w:t>
      </w:r>
      <w:r w:rsidRPr="00B721C5">
        <w:rPr>
          <w:rFonts w:ascii="Times New Roman" w:hAnsi="Times New Roman"/>
          <w:sz w:val="24"/>
          <w:szCs w:val="24"/>
          <w:lang w:val="sr-Cyrl-CS"/>
        </w:rPr>
        <w:t xml:space="preserve"> евентуална </w:t>
      </w:r>
      <w:r w:rsidRPr="00B721C5">
        <w:rPr>
          <w:rFonts w:ascii="Times New Roman" w:hAnsi="Times New Roman"/>
          <w:sz w:val="24"/>
          <w:szCs w:val="24"/>
        </w:rPr>
        <w:t>припрема измен</w:t>
      </w:r>
      <w:r w:rsidRPr="00B721C5">
        <w:rPr>
          <w:rFonts w:ascii="Times New Roman" w:hAnsi="Times New Roman"/>
          <w:sz w:val="24"/>
          <w:szCs w:val="24"/>
          <w:lang w:val="sr-Cyrl-CS"/>
        </w:rPr>
        <w:t>е</w:t>
      </w:r>
      <w:r w:rsidRPr="00B721C5">
        <w:rPr>
          <w:rFonts w:ascii="Times New Roman" w:hAnsi="Times New Roman"/>
          <w:sz w:val="24"/>
          <w:szCs w:val="24"/>
        </w:rPr>
        <w:t xml:space="preserve"> </w:t>
      </w:r>
      <w:r w:rsidRPr="00B721C5">
        <w:rPr>
          <w:rFonts w:ascii="Times New Roman" w:hAnsi="Times New Roman"/>
          <w:sz w:val="24"/>
          <w:szCs w:val="24"/>
          <w:lang w:val="sr-Cyrl-CS"/>
        </w:rPr>
        <w:t>прописа и њихово усвајање</w:t>
      </w:r>
      <w:r w:rsidR="00B721C5">
        <w:rPr>
          <w:rFonts w:ascii="Times New Roman" w:hAnsi="Times New Roman"/>
          <w:sz w:val="24"/>
          <w:szCs w:val="24"/>
          <w:lang w:val="sr-Cyrl-CS"/>
        </w:rPr>
        <w:t>,</w:t>
      </w:r>
    </w:p>
    <w:p w:rsidR="00B03343" w:rsidRPr="00B721C5" w:rsidRDefault="00B03343" w:rsidP="008A3795">
      <w:pPr>
        <w:numPr>
          <w:ilvl w:val="0"/>
          <w:numId w:val="31"/>
        </w:numPr>
        <w:rPr>
          <w:rFonts w:ascii="Times New Roman" w:hAnsi="Times New Roman"/>
          <w:sz w:val="24"/>
          <w:szCs w:val="24"/>
        </w:rPr>
      </w:pPr>
      <w:r w:rsidRPr="00B721C5">
        <w:rPr>
          <w:rFonts w:ascii="Times New Roman" w:hAnsi="Times New Roman"/>
          <w:sz w:val="24"/>
          <w:szCs w:val="24"/>
        </w:rPr>
        <w:t>Доследна примена Закона о заштити конкуренције</w:t>
      </w:r>
      <w:r w:rsidR="00B721C5">
        <w:rPr>
          <w:rFonts w:ascii="Times New Roman" w:hAnsi="Times New Roman"/>
          <w:sz w:val="24"/>
          <w:szCs w:val="24"/>
          <w:lang w:val="sr-Cyrl-CS"/>
        </w:rPr>
        <w:t>,</w:t>
      </w:r>
    </w:p>
    <w:p w:rsidR="00F93BA6" w:rsidRPr="00831157" w:rsidRDefault="00B03343" w:rsidP="00831157">
      <w:pPr>
        <w:numPr>
          <w:ilvl w:val="0"/>
          <w:numId w:val="31"/>
        </w:numPr>
        <w:jc w:val="both"/>
        <w:rPr>
          <w:rFonts w:ascii="Times New Roman" w:hAnsi="Times New Roman"/>
          <w:sz w:val="24"/>
          <w:szCs w:val="24"/>
          <w:lang w:val="sr-Cyrl-CS"/>
        </w:rPr>
      </w:pPr>
      <w:r w:rsidRPr="00B721C5">
        <w:rPr>
          <w:rFonts w:ascii="Times New Roman" w:hAnsi="Times New Roman"/>
          <w:sz w:val="24"/>
          <w:szCs w:val="24"/>
          <w:lang w:val="sr-Cyrl-CS"/>
        </w:rPr>
        <w:t>С</w:t>
      </w:r>
      <w:r w:rsidRPr="00B721C5">
        <w:rPr>
          <w:rFonts w:ascii="Times New Roman" w:hAnsi="Times New Roman"/>
          <w:sz w:val="24"/>
          <w:szCs w:val="24"/>
        </w:rPr>
        <w:t>тварање конкурентности тржишта,</w:t>
      </w:r>
      <w:r w:rsidRPr="00B721C5">
        <w:rPr>
          <w:rFonts w:ascii="Times New Roman" w:hAnsi="Times New Roman"/>
          <w:sz w:val="24"/>
          <w:szCs w:val="24"/>
          <w:lang w:val="sr-Cyrl-CS"/>
        </w:rPr>
        <w:t xml:space="preserve"> спречавање настајања радњи и аката који се у смислу закона сматрају облицима повреде конкуренције – Комисија за заштиту конкуренције,</w:t>
      </w:r>
      <w:r w:rsidRPr="00B721C5">
        <w:rPr>
          <w:rFonts w:ascii="Times New Roman" w:hAnsi="Times New Roman"/>
          <w:sz w:val="24"/>
          <w:szCs w:val="24"/>
        </w:rPr>
        <w:t xml:space="preserve"> концентрације капитала и спречавања нелојалне конкуренције</w:t>
      </w:r>
      <w:r w:rsidRPr="00B721C5">
        <w:rPr>
          <w:rFonts w:ascii="Times New Roman" w:hAnsi="Times New Roman"/>
          <w:sz w:val="24"/>
          <w:szCs w:val="24"/>
          <w:lang w:val="sr-Cyrl-CS"/>
        </w:rPr>
        <w:t>.</w:t>
      </w:r>
    </w:p>
    <w:p w:rsidR="00B03343" w:rsidRDefault="006269F7" w:rsidP="006269F7">
      <w:pPr>
        <w:jc w:val="both"/>
        <w:rPr>
          <w:rFonts w:ascii="Times New Roman" w:hAnsi="Times New Roman"/>
          <w:sz w:val="24"/>
          <w:szCs w:val="24"/>
          <w:lang w:val="sr-Cyrl-CS"/>
        </w:rPr>
      </w:pPr>
      <w:r>
        <w:rPr>
          <w:rFonts w:ascii="Times New Roman" w:hAnsi="Times New Roman"/>
          <w:sz w:val="24"/>
          <w:szCs w:val="24"/>
          <w:lang w:val="sr-Cyrl-CS"/>
        </w:rPr>
        <w:t>7.</w:t>
      </w:r>
      <w:r w:rsidR="00F93BA6">
        <w:rPr>
          <w:rFonts w:ascii="Times New Roman" w:hAnsi="Times New Roman"/>
          <w:sz w:val="24"/>
          <w:szCs w:val="24"/>
          <w:lang w:val="sr-Cyrl-CS"/>
        </w:rPr>
        <w:t>Установљавање</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обавезне</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унут</w:t>
      </w:r>
      <w:r w:rsidR="00B03343">
        <w:rPr>
          <w:rFonts w:ascii="Times New Roman" w:hAnsi="Times New Roman"/>
          <w:sz w:val="24"/>
          <w:szCs w:val="24"/>
          <w:lang w:val="sr-Cyrl-CS"/>
        </w:rPr>
        <w:t>рашње контроле у јавном сектору, која препорука треба да се оствари спровођењем следећих активности:</w:t>
      </w:r>
    </w:p>
    <w:p w:rsidR="00F93BA6" w:rsidRPr="00B721C5" w:rsidRDefault="00B03343" w:rsidP="008A3795">
      <w:pPr>
        <w:numPr>
          <w:ilvl w:val="0"/>
          <w:numId w:val="32"/>
        </w:numPr>
        <w:jc w:val="both"/>
        <w:rPr>
          <w:rFonts w:ascii="Times New Roman" w:hAnsi="Times New Roman"/>
          <w:sz w:val="24"/>
          <w:szCs w:val="24"/>
          <w:lang w:val="sr-Cyrl-CS"/>
        </w:rPr>
      </w:pPr>
      <w:r w:rsidRPr="00B721C5">
        <w:rPr>
          <w:rFonts w:ascii="Times New Roman" w:hAnsi="Times New Roman"/>
          <w:sz w:val="24"/>
          <w:szCs w:val="24"/>
        </w:rPr>
        <w:t>Доношење прописа у циљу обавезног формирања сталне унутрашње контроле пословања</w:t>
      </w:r>
      <w:r w:rsidRPr="00B721C5">
        <w:rPr>
          <w:rFonts w:ascii="Times New Roman" w:hAnsi="Times New Roman"/>
          <w:sz w:val="24"/>
          <w:szCs w:val="24"/>
          <w:lang w:val="sr-Cyrl-CS"/>
        </w:rPr>
        <w:t>,</w:t>
      </w:r>
    </w:p>
    <w:p w:rsidR="00B03343" w:rsidRPr="00B721C5" w:rsidRDefault="00B03343" w:rsidP="008A3795">
      <w:pPr>
        <w:numPr>
          <w:ilvl w:val="0"/>
          <w:numId w:val="32"/>
        </w:numPr>
        <w:snapToGrid w:val="0"/>
        <w:rPr>
          <w:rFonts w:ascii="Times New Roman" w:hAnsi="Times New Roman"/>
          <w:sz w:val="24"/>
          <w:szCs w:val="24"/>
        </w:rPr>
      </w:pPr>
      <w:r w:rsidRPr="00B721C5">
        <w:rPr>
          <w:rFonts w:ascii="Times New Roman" w:hAnsi="Times New Roman"/>
          <w:sz w:val="24"/>
          <w:szCs w:val="24"/>
        </w:rPr>
        <w:t xml:space="preserve">Омогућити </w:t>
      </w:r>
      <w:r w:rsidRPr="00B721C5">
        <w:rPr>
          <w:rFonts w:ascii="Times New Roman" w:hAnsi="Times New Roman"/>
          <w:sz w:val="24"/>
          <w:szCs w:val="24"/>
          <w:lang w:val="sr-Cyrl-CS"/>
        </w:rPr>
        <w:t>стал</w:t>
      </w:r>
      <w:r w:rsidRPr="00B721C5">
        <w:rPr>
          <w:rFonts w:ascii="Times New Roman" w:hAnsi="Times New Roman"/>
          <w:sz w:val="24"/>
          <w:szCs w:val="24"/>
        </w:rPr>
        <w:t xml:space="preserve">ну едукацију </w:t>
      </w:r>
      <w:r w:rsidRPr="00B721C5">
        <w:rPr>
          <w:rFonts w:ascii="Times New Roman" w:hAnsi="Times New Roman"/>
          <w:sz w:val="24"/>
          <w:szCs w:val="24"/>
          <w:lang w:val="sr-Cyrl-CS"/>
        </w:rPr>
        <w:t>к</w:t>
      </w:r>
      <w:r w:rsidRPr="00B721C5">
        <w:rPr>
          <w:rFonts w:ascii="Times New Roman" w:hAnsi="Times New Roman"/>
          <w:sz w:val="24"/>
          <w:szCs w:val="24"/>
        </w:rPr>
        <w:t>онтролора на рачуноводственим, фискалним и осталим областима струке</w:t>
      </w:r>
      <w:r w:rsidRPr="00B721C5">
        <w:rPr>
          <w:rFonts w:ascii="Times New Roman" w:hAnsi="Times New Roman"/>
          <w:sz w:val="24"/>
          <w:szCs w:val="24"/>
          <w:lang w:val="sr-Cyrl-CS"/>
        </w:rPr>
        <w:t>,</w:t>
      </w:r>
      <w:r w:rsidRPr="00B721C5">
        <w:rPr>
          <w:rFonts w:ascii="Times New Roman" w:hAnsi="Times New Roman"/>
          <w:sz w:val="24"/>
          <w:szCs w:val="24"/>
        </w:rPr>
        <w:t xml:space="preserve">  </w:t>
      </w:r>
    </w:p>
    <w:p w:rsidR="00B03343" w:rsidRPr="00B721C5" w:rsidRDefault="00B03343" w:rsidP="008A3795">
      <w:pPr>
        <w:numPr>
          <w:ilvl w:val="0"/>
          <w:numId w:val="32"/>
        </w:numPr>
        <w:jc w:val="both"/>
        <w:rPr>
          <w:rFonts w:ascii="Times New Roman" w:hAnsi="Times New Roman"/>
          <w:sz w:val="24"/>
          <w:szCs w:val="24"/>
          <w:lang w:val="sr-Cyrl-CS"/>
        </w:rPr>
      </w:pPr>
      <w:r w:rsidRPr="00B721C5">
        <w:rPr>
          <w:rFonts w:ascii="Times New Roman" w:hAnsi="Times New Roman"/>
          <w:sz w:val="24"/>
          <w:szCs w:val="24"/>
        </w:rPr>
        <w:t>У програм едукације укључити информи</w:t>
      </w:r>
      <w:r w:rsidRPr="00B721C5">
        <w:rPr>
          <w:rFonts w:ascii="Times New Roman" w:hAnsi="Times New Roman"/>
          <w:sz w:val="24"/>
          <w:szCs w:val="24"/>
          <w:lang w:val="sr-Cyrl-CS"/>
        </w:rPr>
        <w:t>с</w:t>
      </w:r>
      <w:r w:rsidRPr="00B721C5">
        <w:rPr>
          <w:rFonts w:ascii="Times New Roman" w:hAnsi="Times New Roman"/>
          <w:sz w:val="24"/>
          <w:szCs w:val="24"/>
        </w:rPr>
        <w:t>ање запослених о штетним последицама корупције, појавним облицима и сл.</w:t>
      </w:r>
    </w:p>
    <w:p w:rsidR="00B03343" w:rsidRDefault="006269F7" w:rsidP="006269F7">
      <w:pPr>
        <w:jc w:val="both"/>
        <w:rPr>
          <w:rFonts w:ascii="Times New Roman" w:hAnsi="Times New Roman"/>
          <w:sz w:val="24"/>
          <w:szCs w:val="24"/>
          <w:lang w:val="sr-Cyrl-CS"/>
        </w:rPr>
      </w:pPr>
      <w:r>
        <w:rPr>
          <w:rFonts w:ascii="Times New Roman" w:hAnsi="Times New Roman"/>
          <w:sz w:val="24"/>
          <w:szCs w:val="24"/>
          <w:lang w:val="sr-Cyrl-CS"/>
        </w:rPr>
        <w:lastRenderedPageBreak/>
        <w:t>8.</w:t>
      </w:r>
      <w:r w:rsidR="00F93BA6">
        <w:rPr>
          <w:rFonts w:ascii="Times New Roman" w:hAnsi="Times New Roman"/>
          <w:sz w:val="24"/>
          <w:szCs w:val="24"/>
          <w:lang w:val="sr-Cyrl-CS"/>
        </w:rPr>
        <w:t>Заснивање</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независне</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спољне</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ревизије</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рачуноводственог</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пословања</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највећих привредних</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субјеката</w:t>
      </w:r>
      <w:r w:rsidR="00B03343">
        <w:rPr>
          <w:rFonts w:ascii="Times New Roman" w:hAnsi="Times New Roman"/>
          <w:sz w:val="24"/>
          <w:szCs w:val="24"/>
          <w:lang w:val="sr-Cyrl-CS"/>
        </w:rPr>
        <w:t>, која препорука треба да се оствари спровођењем следећих активности:</w:t>
      </w:r>
    </w:p>
    <w:p w:rsidR="00B03343" w:rsidRPr="00B721C5" w:rsidRDefault="00B03343" w:rsidP="008A3795">
      <w:pPr>
        <w:numPr>
          <w:ilvl w:val="0"/>
          <w:numId w:val="33"/>
        </w:numPr>
        <w:snapToGrid w:val="0"/>
        <w:rPr>
          <w:rFonts w:ascii="Times New Roman" w:hAnsi="Times New Roman"/>
          <w:sz w:val="24"/>
          <w:szCs w:val="24"/>
        </w:rPr>
      </w:pPr>
      <w:r w:rsidRPr="00B721C5">
        <w:rPr>
          <w:rFonts w:ascii="Times New Roman" w:hAnsi="Times New Roman"/>
          <w:sz w:val="24"/>
          <w:szCs w:val="24"/>
        </w:rPr>
        <w:t>Анализа прописа и</w:t>
      </w:r>
      <w:r w:rsidRPr="00B721C5">
        <w:rPr>
          <w:rFonts w:ascii="Times New Roman" w:hAnsi="Times New Roman"/>
          <w:sz w:val="24"/>
          <w:szCs w:val="24"/>
          <w:lang w:val="sr-Cyrl-CS"/>
        </w:rPr>
        <w:t xml:space="preserve"> евентуална </w:t>
      </w:r>
      <w:r w:rsidRPr="00B721C5">
        <w:rPr>
          <w:rFonts w:ascii="Times New Roman" w:hAnsi="Times New Roman"/>
          <w:sz w:val="24"/>
          <w:szCs w:val="24"/>
        </w:rPr>
        <w:t>припрема измен</w:t>
      </w:r>
      <w:r w:rsidRPr="00B721C5">
        <w:rPr>
          <w:rFonts w:ascii="Times New Roman" w:hAnsi="Times New Roman"/>
          <w:sz w:val="24"/>
          <w:szCs w:val="24"/>
          <w:lang w:val="sr-Cyrl-CS"/>
        </w:rPr>
        <w:t>е</w:t>
      </w:r>
      <w:r w:rsidRPr="00B721C5">
        <w:rPr>
          <w:rFonts w:ascii="Times New Roman" w:hAnsi="Times New Roman"/>
          <w:sz w:val="24"/>
          <w:szCs w:val="24"/>
        </w:rPr>
        <w:t xml:space="preserve"> </w:t>
      </w:r>
      <w:r w:rsidRPr="00B721C5">
        <w:rPr>
          <w:rFonts w:ascii="Times New Roman" w:hAnsi="Times New Roman"/>
          <w:sz w:val="24"/>
          <w:szCs w:val="24"/>
          <w:lang w:val="sr-Cyrl-CS"/>
        </w:rPr>
        <w:t>прописа и њихово усвајање,</w:t>
      </w:r>
      <w:r w:rsidRPr="00B721C5">
        <w:rPr>
          <w:rFonts w:ascii="Times New Roman" w:hAnsi="Times New Roman"/>
          <w:sz w:val="24"/>
          <w:szCs w:val="24"/>
        </w:rPr>
        <w:t xml:space="preserve"> </w:t>
      </w:r>
    </w:p>
    <w:p w:rsidR="00B03343" w:rsidRPr="00B721C5" w:rsidRDefault="00B03343" w:rsidP="008A3795">
      <w:pPr>
        <w:numPr>
          <w:ilvl w:val="0"/>
          <w:numId w:val="33"/>
        </w:numPr>
        <w:rPr>
          <w:rFonts w:ascii="Times New Roman" w:hAnsi="Times New Roman"/>
          <w:sz w:val="24"/>
          <w:szCs w:val="24"/>
        </w:rPr>
      </w:pPr>
      <w:r w:rsidRPr="00B721C5">
        <w:rPr>
          <w:rFonts w:ascii="Times New Roman" w:hAnsi="Times New Roman"/>
          <w:sz w:val="24"/>
          <w:szCs w:val="24"/>
        </w:rPr>
        <w:t>Одредити привредне субјекте који подлежу  обавезној спољној ревизији</w:t>
      </w:r>
      <w:r w:rsidRPr="00B721C5">
        <w:rPr>
          <w:rFonts w:ascii="Times New Roman" w:hAnsi="Times New Roman"/>
          <w:sz w:val="24"/>
          <w:szCs w:val="24"/>
          <w:lang w:val="sr-Cyrl-CS"/>
        </w:rPr>
        <w:t>,</w:t>
      </w:r>
    </w:p>
    <w:p w:rsidR="00F93BA6" w:rsidRPr="00831157" w:rsidRDefault="00B03343" w:rsidP="00831157">
      <w:pPr>
        <w:numPr>
          <w:ilvl w:val="0"/>
          <w:numId w:val="33"/>
        </w:numPr>
        <w:jc w:val="both"/>
        <w:rPr>
          <w:rFonts w:ascii="Times New Roman" w:hAnsi="Times New Roman"/>
          <w:sz w:val="24"/>
          <w:szCs w:val="24"/>
          <w:lang w:val="sr-Cyrl-CS"/>
        </w:rPr>
      </w:pPr>
      <w:r w:rsidRPr="00B721C5">
        <w:rPr>
          <w:rFonts w:ascii="Times New Roman" w:hAnsi="Times New Roman"/>
          <w:sz w:val="24"/>
          <w:szCs w:val="24"/>
          <w:lang w:val="sr-Cyrl-CS"/>
        </w:rPr>
        <w:t>Прописати да р</w:t>
      </w:r>
      <w:r w:rsidRPr="00B721C5">
        <w:rPr>
          <w:rFonts w:ascii="Times New Roman" w:hAnsi="Times New Roman"/>
          <w:sz w:val="24"/>
          <w:szCs w:val="24"/>
        </w:rPr>
        <w:t xml:space="preserve">евизијски извештај </w:t>
      </w:r>
      <w:r w:rsidRPr="00B721C5">
        <w:rPr>
          <w:rFonts w:ascii="Times New Roman" w:hAnsi="Times New Roman"/>
          <w:sz w:val="24"/>
          <w:szCs w:val="24"/>
          <w:lang w:val="sr-Cyrl-CS"/>
        </w:rPr>
        <w:t>буде</w:t>
      </w:r>
      <w:r w:rsidRPr="00B721C5">
        <w:rPr>
          <w:rFonts w:ascii="Times New Roman" w:hAnsi="Times New Roman"/>
          <w:sz w:val="24"/>
          <w:szCs w:val="24"/>
        </w:rPr>
        <w:t xml:space="preserve"> прилог годишњег финансијског извештај</w:t>
      </w:r>
      <w:r w:rsidRPr="00B721C5">
        <w:rPr>
          <w:rFonts w:ascii="Times New Roman" w:hAnsi="Times New Roman"/>
          <w:sz w:val="24"/>
          <w:szCs w:val="24"/>
          <w:lang w:val="sr-Cyrl-CS"/>
        </w:rPr>
        <w:t>а.</w:t>
      </w:r>
      <w:r>
        <w:t xml:space="preserve"> </w:t>
      </w:r>
    </w:p>
    <w:p w:rsidR="00B03343" w:rsidRDefault="006269F7" w:rsidP="006269F7">
      <w:pPr>
        <w:jc w:val="both"/>
        <w:rPr>
          <w:rFonts w:ascii="Times New Roman" w:hAnsi="Times New Roman"/>
          <w:sz w:val="24"/>
          <w:szCs w:val="24"/>
          <w:lang w:val="sr-Cyrl-CS"/>
        </w:rPr>
      </w:pPr>
      <w:r>
        <w:rPr>
          <w:rFonts w:ascii="Times New Roman" w:hAnsi="Times New Roman"/>
          <w:sz w:val="24"/>
          <w:szCs w:val="24"/>
          <w:lang w:val="sr-Cyrl-CS"/>
        </w:rPr>
        <w:t>9.</w:t>
      </w:r>
      <w:r w:rsidR="00F93BA6">
        <w:rPr>
          <w:rFonts w:ascii="Times New Roman" w:hAnsi="Times New Roman"/>
          <w:sz w:val="24"/>
          <w:szCs w:val="24"/>
          <w:lang w:val="sr-Cyrl-CS"/>
        </w:rPr>
        <w:t>Јачање</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независности</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и</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професионализма</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специјализованих</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ревизорских</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институција и</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Комисије</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за</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рачуноводство</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и</w:t>
      </w:r>
      <w:r w:rsidR="00F93BA6" w:rsidRPr="00F93BA6">
        <w:rPr>
          <w:rFonts w:ascii="Times New Roman" w:hAnsi="Times New Roman"/>
          <w:sz w:val="24"/>
          <w:szCs w:val="24"/>
          <w:lang w:val="sr-Cyrl-CS"/>
        </w:rPr>
        <w:t xml:space="preserve"> </w:t>
      </w:r>
      <w:r w:rsidR="00B03343">
        <w:rPr>
          <w:rFonts w:ascii="Times New Roman" w:hAnsi="Times New Roman"/>
          <w:sz w:val="24"/>
          <w:szCs w:val="24"/>
          <w:lang w:val="sr-Cyrl-CS"/>
        </w:rPr>
        <w:t xml:space="preserve">ревизију, </w:t>
      </w:r>
      <w:r w:rsidR="00F93BA6">
        <w:rPr>
          <w:rFonts w:ascii="Times New Roman" w:hAnsi="Times New Roman"/>
          <w:sz w:val="24"/>
          <w:szCs w:val="24"/>
          <w:lang w:val="sr-Cyrl-CS"/>
        </w:rPr>
        <w:t xml:space="preserve"> </w:t>
      </w:r>
      <w:r w:rsidR="00B03343">
        <w:rPr>
          <w:rFonts w:ascii="Times New Roman" w:hAnsi="Times New Roman"/>
          <w:sz w:val="24"/>
          <w:szCs w:val="24"/>
          <w:lang w:val="sr-Cyrl-CS"/>
        </w:rPr>
        <w:t>која препорука треба да се оствари спровођењем следећих активности:</w:t>
      </w:r>
    </w:p>
    <w:p w:rsidR="00B03343" w:rsidRPr="0026263A" w:rsidRDefault="00B03343" w:rsidP="008A3795">
      <w:pPr>
        <w:numPr>
          <w:ilvl w:val="0"/>
          <w:numId w:val="34"/>
        </w:numPr>
        <w:snapToGrid w:val="0"/>
        <w:rPr>
          <w:rFonts w:ascii="Times New Roman" w:hAnsi="Times New Roman"/>
          <w:sz w:val="24"/>
          <w:szCs w:val="24"/>
        </w:rPr>
      </w:pPr>
      <w:r w:rsidRPr="0026263A">
        <w:rPr>
          <w:rFonts w:ascii="Times New Roman" w:hAnsi="Times New Roman"/>
          <w:sz w:val="24"/>
          <w:szCs w:val="24"/>
          <w:lang w:val="sr-Cyrl-CS"/>
        </w:rPr>
        <w:t>П</w:t>
      </w:r>
      <w:r w:rsidRPr="0026263A">
        <w:rPr>
          <w:rFonts w:ascii="Times New Roman" w:hAnsi="Times New Roman"/>
          <w:sz w:val="24"/>
          <w:szCs w:val="24"/>
        </w:rPr>
        <w:t>ерманентн</w:t>
      </w:r>
      <w:r w:rsidRPr="0026263A">
        <w:rPr>
          <w:rFonts w:ascii="Times New Roman" w:hAnsi="Times New Roman"/>
          <w:sz w:val="24"/>
          <w:szCs w:val="24"/>
          <w:lang w:val="sr-Cyrl-CS"/>
        </w:rPr>
        <w:t>а</w:t>
      </w:r>
      <w:r w:rsidRPr="0026263A">
        <w:rPr>
          <w:rFonts w:ascii="Times New Roman" w:hAnsi="Times New Roman"/>
          <w:sz w:val="24"/>
          <w:szCs w:val="24"/>
        </w:rPr>
        <w:t xml:space="preserve"> едукациј</w:t>
      </w:r>
      <w:r w:rsidRPr="0026263A">
        <w:rPr>
          <w:rFonts w:ascii="Times New Roman" w:hAnsi="Times New Roman"/>
          <w:sz w:val="24"/>
          <w:szCs w:val="24"/>
          <w:lang w:val="sr-Cyrl-CS"/>
        </w:rPr>
        <w:t>а</w:t>
      </w:r>
      <w:r w:rsidRPr="0026263A">
        <w:rPr>
          <w:rFonts w:ascii="Times New Roman" w:hAnsi="Times New Roman"/>
          <w:sz w:val="24"/>
          <w:szCs w:val="24"/>
        </w:rPr>
        <w:t xml:space="preserve"> и усавршавање ревизора</w:t>
      </w:r>
      <w:r w:rsidRPr="0026263A">
        <w:rPr>
          <w:rFonts w:ascii="Times New Roman" w:hAnsi="Times New Roman"/>
          <w:sz w:val="24"/>
          <w:szCs w:val="24"/>
          <w:lang w:val="sr-Cyrl-CS"/>
        </w:rPr>
        <w:t>,</w:t>
      </w:r>
    </w:p>
    <w:p w:rsidR="00B03343" w:rsidRPr="0026263A" w:rsidRDefault="00B03343" w:rsidP="008A3795">
      <w:pPr>
        <w:numPr>
          <w:ilvl w:val="0"/>
          <w:numId w:val="34"/>
        </w:numPr>
        <w:rPr>
          <w:rFonts w:ascii="Times New Roman" w:hAnsi="Times New Roman"/>
          <w:sz w:val="24"/>
          <w:szCs w:val="24"/>
        </w:rPr>
      </w:pPr>
      <w:r w:rsidRPr="0026263A">
        <w:rPr>
          <w:rFonts w:ascii="Times New Roman" w:hAnsi="Times New Roman"/>
          <w:sz w:val="24"/>
          <w:szCs w:val="24"/>
        </w:rPr>
        <w:t>У програме лиценцирања ревизора и рачуновођа укључити теме са подручја етике, морала и сукоба интереса</w:t>
      </w:r>
      <w:r w:rsidRPr="0026263A">
        <w:rPr>
          <w:rFonts w:ascii="Times New Roman" w:hAnsi="Times New Roman"/>
          <w:sz w:val="24"/>
          <w:szCs w:val="24"/>
          <w:lang w:val="sr-Cyrl-CS"/>
        </w:rPr>
        <w:t>,</w:t>
      </w:r>
    </w:p>
    <w:p w:rsidR="00B03343" w:rsidRPr="0026263A" w:rsidRDefault="00B03343" w:rsidP="008A3795">
      <w:pPr>
        <w:numPr>
          <w:ilvl w:val="0"/>
          <w:numId w:val="34"/>
        </w:numPr>
        <w:rPr>
          <w:rFonts w:ascii="Times New Roman" w:hAnsi="Times New Roman"/>
          <w:sz w:val="24"/>
          <w:szCs w:val="24"/>
        </w:rPr>
      </w:pPr>
      <w:r w:rsidRPr="0026263A">
        <w:rPr>
          <w:rFonts w:ascii="Times New Roman" w:hAnsi="Times New Roman"/>
          <w:sz w:val="24"/>
          <w:szCs w:val="24"/>
          <w:lang w:val="sr-Cyrl-CS"/>
        </w:rPr>
        <w:t>Развијати</w:t>
      </w:r>
      <w:r w:rsidRPr="0026263A">
        <w:rPr>
          <w:rFonts w:ascii="Times New Roman" w:hAnsi="Times New Roman"/>
          <w:sz w:val="24"/>
          <w:szCs w:val="24"/>
        </w:rPr>
        <w:t xml:space="preserve"> међународну сарадњу на подручју ревизије и рачуноводства</w:t>
      </w:r>
      <w:r w:rsidRPr="0026263A">
        <w:rPr>
          <w:rFonts w:ascii="Times New Roman" w:hAnsi="Times New Roman"/>
          <w:sz w:val="24"/>
          <w:szCs w:val="24"/>
          <w:lang w:val="sr-Cyrl-CS"/>
        </w:rPr>
        <w:t>,</w:t>
      </w:r>
    </w:p>
    <w:p w:rsidR="00B03343" w:rsidRPr="0026263A" w:rsidRDefault="00B03343" w:rsidP="008A3795">
      <w:pPr>
        <w:numPr>
          <w:ilvl w:val="0"/>
          <w:numId w:val="34"/>
        </w:numPr>
        <w:rPr>
          <w:rFonts w:ascii="Times New Roman" w:hAnsi="Times New Roman"/>
          <w:sz w:val="24"/>
          <w:szCs w:val="24"/>
        </w:rPr>
      </w:pPr>
      <w:r w:rsidRPr="0026263A">
        <w:rPr>
          <w:rFonts w:ascii="Times New Roman" w:hAnsi="Times New Roman"/>
          <w:sz w:val="24"/>
          <w:szCs w:val="24"/>
          <w:lang w:val="sr-Cyrl-CS"/>
        </w:rPr>
        <w:t>У</w:t>
      </w:r>
      <w:r w:rsidRPr="0026263A">
        <w:rPr>
          <w:rFonts w:ascii="Times New Roman" w:hAnsi="Times New Roman"/>
          <w:sz w:val="24"/>
          <w:szCs w:val="24"/>
        </w:rPr>
        <w:t>вођењ</w:t>
      </w:r>
      <w:r w:rsidRPr="0026263A">
        <w:rPr>
          <w:rFonts w:ascii="Times New Roman" w:hAnsi="Times New Roman"/>
          <w:sz w:val="24"/>
          <w:szCs w:val="24"/>
          <w:lang w:val="sr-Cyrl-CS"/>
        </w:rPr>
        <w:t>е</w:t>
      </w:r>
      <w:r w:rsidRPr="0026263A">
        <w:rPr>
          <w:rFonts w:ascii="Times New Roman" w:hAnsi="Times New Roman"/>
          <w:sz w:val="24"/>
          <w:szCs w:val="24"/>
        </w:rPr>
        <w:t xml:space="preserve"> нових међународних стандарда у рад стручњака са подручја ревизије и рачуноводства</w:t>
      </w:r>
      <w:r w:rsidRPr="0026263A">
        <w:rPr>
          <w:rFonts w:ascii="Times New Roman" w:hAnsi="Times New Roman"/>
          <w:sz w:val="24"/>
          <w:szCs w:val="24"/>
          <w:lang w:val="sr-Cyrl-CS"/>
        </w:rPr>
        <w:t>,</w:t>
      </w:r>
    </w:p>
    <w:p w:rsidR="00B03343" w:rsidRPr="0026263A" w:rsidRDefault="00B03343" w:rsidP="008A3795">
      <w:pPr>
        <w:numPr>
          <w:ilvl w:val="0"/>
          <w:numId w:val="34"/>
        </w:numPr>
        <w:jc w:val="both"/>
        <w:rPr>
          <w:rFonts w:ascii="Times New Roman" w:hAnsi="Times New Roman"/>
          <w:sz w:val="24"/>
          <w:szCs w:val="24"/>
          <w:lang w:val="sr-Cyrl-CS"/>
        </w:rPr>
      </w:pPr>
      <w:r w:rsidRPr="0026263A">
        <w:rPr>
          <w:rFonts w:ascii="Times New Roman" w:hAnsi="Times New Roman"/>
          <w:sz w:val="24"/>
          <w:szCs w:val="24"/>
        </w:rPr>
        <w:t>Поштовање међународних стандарда који обезбеђују независност и професионализацију ревизора и рачуновођа</w:t>
      </w:r>
      <w:r w:rsidRPr="0026263A">
        <w:rPr>
          <w:rFonts w:ascii="Times New Roman" w:hAnsi="Times New Roman"/>
          <w:sz w:val="24"/>
          <w:szCs w:val="24"/>
          <w:lang w:val="sr-Cyrl-CS"/>
        </w:rPr>
        <w:t>,</w:t>
      </w:r>
    </w:p>
    <w:p w:rsidR="00F93BA6" w:rsidRPr="0026263A" w:rsidRDefault="00B03343" w:rsidP="008A3795">
      <w:pPr>
        <w:numPr>
          <w:ilvl w:val="0"/>
          <w:numId w:val="34"/>
        </w:numPr>
        <w:jc w:val="both"/>
        <w:rPr>
          <w:rFonts w:ascii="Times New Roman" w:hAnsi="Times New Roman"/>
          <w:sz w:val="24"/>
          <w:szCs w:val="24"/>
          <w:lang w:val="sr-Cyrl-CS"/>
        </w:rPr>
      </w:pPr>
      <w:r w:rsidRPr="0026263A">
        <w:rPr>
          <w:rFonts w:ascii="Times New Roman" w:hAnsi="Times New Roman"/>
          <w:sz w:val="24"/>
          <w:szCs w:val="24"/>
        </w:rPr>
        <w:t>Припрема  кодекса етике ревизора рачуновођа</w:t>
      </w:r>
      <w:r w:rsidRPr="0026263A">
        <w:rPr>
          <w:rFonts w:ascii="Times New Roman" w:hAnsi="Times New Roman"/>
          <w:sz w:val="24"/>
          <w:szCs w:val="24"/>
          <w:lang w:val="sr-Cyrl-CS"/>
        </w:rPr>
        <w:t>.</w:t>
      </w:r>
      <w:r w:rsidRPr="0026263A">
        <w:rPr>
          <w:rFonts w:ascii="Times New Roman" w:hAnsi="Times New Roman"/>
          <w:sz w:val="24"/>
          <w:szCs w:val="24"/>
        </w:rPr>
        <w:t xml:space="preserve">  </w:t>
      </w:r>
    </w:p>
    <w:p w:rsidR="00A321AC" w:rsidRDefault="006269F7" w:rsidP="006269F7">
      <w:pPr>
        <w:jc w:val="both"/>
        <w:rPr>
          <w:rFonts w:ascii="Times New Roman" w:hAnsi="Times New Roman"/>
          <w:sz w:val="24"/>
          <w:szCs w:val="24"/>
          <w:lang w:val="sr-Cyrl-CS"/>
        </w:rPr>
      </w:pPr>
      <w:r>
        <w:rPr>
          <w:rFonts w:ascii="Times New Roman" w:hAnsi="Times New Roman"/>
          <w:sz w:val="24"/>
          <w:szCs w:val="24"/>
          <w:lang w:val="sr-Cyrl-CS"/>
        </w:rPr>
        <w:t>10.</w:t>
      </w:r>
      <w:r w:rsidR="00F93BA6">
        <w:rPr>
          <w:rFonts w:ascii="Times New Roman" w:hAnsi="Times New Roman"/>
          <w:sz w:val="24"/>
          <w:szCs w:val="24"/>
          <w:lang w:val="sr-Cyrl-CS"/>
        </w:rPr>
        <w:t>Јачање</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потпуног</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конзистентног</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и</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ажурног</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система</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вођења</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пословних књига</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у</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складу</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са</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међународни</w:t>
      </w:r>
      <w:r w:rsidR="00A321AC">
        <w:rPr>
          <w:rFonts w:ascii="Times New Roman" w:hAnsi="Times New Roman"/>
          <w:sz w:val="24"/>
          <w:szCs w:val="24"/>
          <w:lang w:val="sr-Cyrl-CS"/>
        </w:rPr>
        <w:t>м рачуноводственим стандардима, која препорука треба да се оствари спровођењем следећих активности:</w:t>
      </w:r>
    </w:p>
    <w:p w:rsidR="00A321AC" w:rsidRPr="0026263A" w:rsidRDefault="00A321AC" w:rsidP="008A3795">
      <w:pPr>
        <w:numPr>
          <w:ilvl w:val="0"/>
          <w:numId w:val="35"/>
        </w:numPr>
        <w:snapToGrid w:val="0"/>
        <w:rPr>
          <w:rFonts w:ascii="Times New Roman" w:hAnsi="Times New Roman"/>
          <w:sz w:val="24"/>
          <w:szCs w:val="24"/>
        </w:rPr>
      </w:pPr>
      <w:r w:rsidRPr="0026263A">
        <w:rPr>
          <w:rFonts w:ascii="Times New Roman" w:hAnsi="Times New Roman"/>
          <w:sz w:val="24"/>
          <w:szCs w:val="24"/>
        </w:rPr>
        <w:t>Едукација и оспособљавање запослених у привреди на подручју рачуноводства и вођења пословних књига</w:t>
      </w:r>
      <w:r w:rsidRPr="0026263A">
        <w:rPr>
          <w:rFonts w:ascii="Times New Roman" w:hAnsi="Times New Roman"/>
          <w:sz w:val="24"/>
          <w:szCs w:val="24"/>
          <w:lang w:val="sr-Cyrl-CS"/>
        </w:rPr>
        <w:t>,</w:t>
      </w:r>
    </w:p>
    <w:p w:rsidR="00F93BA6" w:rsidRPr="0026263A" w:rsidRDefault="00A321AC" w:rsidP="008A3795">
      <w:pPr>
        <w:numPr>
          <w:ilvl w:val="0"/>
          <w:numId w:val="35"/>
        </w:numPr>
        <w:jc w:val="both"/>
        <w:rPr>
          <w:rFonts w:ascii="Times New Roman" w:hAnsi="Times New Roman"/>
          <w:sz w:val="24"/>
          <w:szCs w:val="24"/>
          <w:lang w:val="sr-Cyrl-CS"/>
        </w:rPr>
      </w:pPr>
      <w:r w:rsidRPr="0026263A">
        <w:rPr>
          <w:rFonts w:ascii="Times New Roman" w:hAnsi="Times New Roman"/>
          <w:sz w:val="24"/>
          <w:szCs w:val="24"/>
        </w:rPr>
        <w:t>У програм едукације укључити информисање запослених о штетним последицама корупције, појавним облицима корупције и сл.</w:t>
      </w:r>
      <w:r w:rsidR="0026263A">
        <w:rPr>
          <w:rFonts w:ascii="Times New Roman" w:hAnsi="Times New Roman"/>
          <w:sz w:val="24"/>
          <w:szCs w:val="24"/>
          <w:lang w:val="sr-Cyrl-CS"/>
        </w:rPr>
        <w:t>,</w:t>
      </w:r>
    </w:p>
    <w:p w:rsidR="00A321AC" w:rsidRPr="0026263A" w:rsidRDefault="00A321AC" w:rsidP="008A3795">
      <w:pPr>
        <w:numPr>
          <w:ilvl w:val="0"/>
          <w:numId w:val="35"/>
        </w:numPr>
        <w:jc w:val="both"/>
        <w:rPr>
          <w:rFonts w:ascii="Times New Roman" w:hAnsi="Times New Roman"/>
          <w:sz w:val="24"/>
          <w:szCs w:val="24"/>
          <w:lang w:val="sr-Cyrl-CS"/>
        </w:rPr>
      </w:pPr>
      <w:r w:rsidRPr="0026263A">
        <w:rPr>
          <w:rFonts w:ascii="Times New Roman" w:hAnsi="Times New Roman"/>
          <w:sz w:val="24"/>
          <w:szCs w:val="24"/>
        </w:rPr>
        <w:t>Омогућити приступ новинама на том подручју</w:t>
      </w:r>
      <w:r w:rsidRPr="0026263A">
        <w:rPr>
          <w:rFonts w:ascii="Times New Roman" w:hAnsi="Times New Roman"/>
          <w:sz w:val="24"/>
          <w:szCs w:val="24"/>
          <w:lang w:val="sr-Cyrl-CS"/>
        </w:rPr>
        <w:t>,</w:t>
      </w:r>
    </w:p>
    <w:p w:rsidR="00A321AC" w:rsidRPr="0026263A" w:rsidRDefault="00A321AC" w:rsidP="008A3795">
      <w:pPr>
        <w:numPr>
          <w:ilvl w:val="0"/>
          <w:numId w:val="35"/>
        </w:numPr>
        <w:jc w:val="both"/>
        <w:rPr>
          <w:rFonts w:ascii="Times New Roman" w:hAnsi="Times New Roman"/>
          <w:sz w:val="24"/>
          <w:szCs w:val="24"/>
          <w:lang w:val="sr-Cyrl-CS"/>
        </w:rPr>
      </w:pPr>
      <w:r w:rsidRPr="0026263A">
        <w:rPr>
          <w:rFonts w:ascii="Times New Roman" w:hAnsi="Times New Roman"/>
          <w:sz w:val="24"/>
          <w:szCs w:val="24"/>
        </w:rPr>
        <w:t xml:space="preserve">Провера оспособљења и </w:t>
      </w:r>
      <w:r w:rsidRPr="0026263A">
        <w:rPr>
          <w:rFonts w:ascii="Times New Roman" w:hAnsi="Times New Roman"/>
          <w:sz w:val="24"/>
          <w:szCs w:val="24"/>
          <w:lang w:val="sr-Cyrl-CS"/>
        </w:rPr>
        <w:t>дав</w:t>
      </w:r>
      <w:r w:rsidRPr="0026263A">
        <w:rPr>
          <w:rFonts w:ascii="Times New Roman" w:hAnsi="Times New Roman"/>
          <w:sz w:val="24"/>
          <w:szCs w:val="24"/>
        </w:rPr>
        <w:t>a</w:t>
      </w:r>
      <w:r w:rsidRPr="0026263A">
        <w:rPr>
          <w:rFonts w:ascii="Times New Roman" w:hAnsi="Times New Roman"/>
          <w:sz w:val="24"/>
          <w:szCs w:val="24"/>
          <w:lang w:val="sr-Cyrl-CS"/>
        </w:rPr>
        <w:t>ње</w:t>
      </w:r>
      <w:r w:rsidRPr="0026263A">
        <w:rPr>
          <w:rFonts w:ascii="Times New Roman" w:hAnsi="Times New Roman"/>
          <w:sz w:val="24"/>
          <w:szCs w:val="24"/>
        </w:rPr>
        <w:t xml:space="preserve"> сертификата.  </w:t>
      </w:r>
    </w:p>
    <w:p w:rsidR="00A321AC" w:rsidRDefault="006269F7" w:rsidP="006269F7">
      <w:pPr>
        <w:jc w:val="both"/>
        <w:rPr>
          <w:rFonts w:ascii="Times New Roman" w:hAnsi="Times New Roman"/>
          <w:sz w:val="24"/>
          <w:szCs w:val="24"/>
          <w:lang w:val="sr-Cyrl-CS"/>
        </w:rPr>
      </w:pPr>
      <w:r>
        <w:rPr>
          <w:rFonts w:ascii="Times New Roman" w:hAnsi="Times New Roman"/>
          <w:sz w:val="24"/>
          <w:szCs w:val="24"/>
          <w:lang w:val="sr-Cyrl-CS"/>
        </w:rPr>
        <w:t>11.</w:t>
      </w:r>
      <w:r w:rsidR="00F93BA6">
        <w:rPr>
          <w:rFonts w:ascii="Times New Roman" w:hAnsi="Times New Roman"/>
          <w:sz w:val="24"/>
          <w:szCs w:val="24"/>
          <w:lang w:val="sr-Cyrl-CS"/>
        </w:rPr>
        <w:t>Увођење</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планова</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ин</w:t>
      </w:r>
      <w:r w:rsidR="00A321AC">
        <w:rPr>
          <w:rFonts w:ascii="Times New Roman" w:hAnsi="Times New Roman"/>
          <w:sz w:val="24"/>
          <w:szCs w:val="24"/>
          <w:lang w:val="sr-Cyrl-CS"/>
        </w:rPr>
        <w:t>тегритета за привредне субјекте,  која препорука треба да се оствари спровођењем следећих активности:</w:t>
      </w:r>
    </w:p>
    <w:p w:rsidR="00A321AC" w:rsidRPr="0026263A" w:rsidRDefault="00A321AC" w:rsidP="008A3795">
      <w:pPr>
        <w:numPr>
          <w:ilvl w:val="0"/>
          <w:numId w:val="36"/>
        </w:numPr>
        <w:snapToGrid w:val="0"/>
        <w:rPr>
          <w:rFonts w:ascii="Times New Roman" w:hAnsi="Times New Roman"/>
          <w:sz w:val="24"/>
          <w:szCs w:val="24"/>
        </w:rPr>
      </w:pPr>
      <w:r w:rsidRPr="0026263A">
        <w:rPr>
          <w:rFonts w:ascii="Times New Roman" w:hAnsi="Times New Roman"/>
          <w:sz w:val="24"/>
          <w:szCs w:val="24"/>
        </w:rPr>
        <w:lastRenderedPageBreak/>
        <w:t>Јавно залагање за увођење планова интегритета за привредне субјекте</w:t>
      </w:r>
      <w:r w:rsidRPr="0026263A">
        <w:rPr>
          <w:rFonts w:ascii="Times New Roman" w:hAnsi="Times New Roman"/>
          <w:sz w:val="24"/>
          <w:szCs w:val="24"/>
          <w:lang w:val="sr-Cyrl-CS"/>
        </w:rPr>
        <w:t>,</w:t>
      </w:r>
    </w:p>
    <w:p w:rsidR="00A321AC" w:rsidRPr="0026263A" w:rsidRDefault="00A321AC" w:rsidP="008A3795">
      <w:pPr>
        <w:numPr>
          <w:ilvl w:val="0"/>
          <w:numId w:val="36"/>
        </w:numPr>
        <w:rPr>
          <w:rFonts w:ascii="Times New Roman" w:hAnsi="Times New Roman"/>
          <w:sz w:val="24"/>
          <w:szCs w:val="24"/>
        </w:rPr>
      </w:pPr>
      <w:r w:rsidRPr="0026263A">
        <w:rPr>
          <w:rFonts w:ascii="Times New Roman" w:hAnsi="Times New Roman"/>
          <w:sz w:val="24"/>
          <w:szCs w:val="24"/>
        </w:rPr>
        <w:t>Промовисање и увођење планова интегритета као стандарда у пословању привредних субјекта</w:t>
      </w:r>
      <w:r w:rsidRPr="0026263A">
        <w:rPr>
          <w:rFonts w:ascii="Times New Roman" w:hAnsi="Times New Roman"/>
          <w:sz w:val="24"/>
          <w:szCs w:val="24"/>
          <w:lang w:val="sr-Cyrl-CS"/>
        </w:rPr>
        <w:t>,</w:t>
      </w:r>
    </w:p>
    <w:p w:rsidR="00F93BA6" w:rsidRPr="0026263A" w:rsidRDefault="00A321AC" w:rsidP="008A3795">
      <w:pPr>
        <w:numPr>
          <w:ilvl w:val="0"/>
          <w:numId w:val="36"/>
        </w:numPr>
        <w:jc w:val="both"/>
        <w:rPr>
          <w:rFonts w:ascii="Times New Roman" w:hAnsi="Times New Roman"/>
          <w:sz w:val="24"/>
          <w:szCs w:val="24"/>
          <w:lang w:val="sr-Cyrl-CS"/>
        </w:rPr>
      </w:pPr>
      <w:r w:rsidRPr="0026263A">
        <w:rPr>
          <w:rFonts w:ascii="Times New Roman" w:hAnsi="Times New Roman"/>
          <w:sz w:val="24"/>
          <w:szCs w:val="24"/>
        </w:rPr>
        <w:t xml:space="preserve">Израда узорака модела </w:t>
      </w:r>
      <w:r w:rsidRPr="0026263A">
        <w:rPr>
          <w:rFonts w:ascii="Times New Roman" w:hAnsi="Times New Roman"/>
          <w:sz w:val="24"/>
          <w:szCs w:val="24"/>
          <w:lang w:val="sr-Cyrl-CS"/>
        </w:rPr>
        <w:t>споразума о</w:t>
      </w:r>
      <w:r w:rsidRPr="0026263A">
        <w:rPr>
          <w:rFonts w:ascii="Times New Roman" w:hAnsi="Times New Roman"/>
          <w:sz w:val="24"/>
          <w:szCs w:val="24"/>
        </w:rPr>
        <w:t xml:space="preserve"> ин</w:t>
      </w:r>
      <w:r w:rsidRPr="0026263A">
        <w:rPr>
          <w:rFonts w:ascii="Times New Roman" w:hAnsi="Times New Roman"/>
          <w:sz w:val="24"/>
          <w:szCs w:val="24"/>
          <w:lang w:val="sr-Cyrl-CS"/>
        </w:rPr>
        <w:t>т</w:t>
      </w:r>
      <w:r w:rsidRPr="0026263A">
        <w:rPr>
          <w:rFonts w:ascii="Times New Roman" w:hAnsi="Times New Roman"/>
          <w:sz w:val="24"/>
          <w:szCs w:val="24"/>
        </w:rPr>
        <w:t>егритет</w:t>
      </w:r>
      <w:r w:rsidRPr="0026263A">
        <w:rPr>
          <w:rFonts w:ascii="Times New Roman" w:hAnsi="Times New Roman"/>
          <w:sz w:val="24"/>
          <w:szCs w:val="24"/>
          <w:lang w:val="sr-Cyrl-CS"/>
        </w:rPr>
        <w:t>у.</w:t>
      </w:r>
    </w:p>
    <w:p w:rsidR="000658B9" w:rsidRDefault="006269F7" w:rsidP="006269F7">
      <w:pPr>
        <w:jc w:val="both"/>
        <w:rPr>
          <w:rFonts w:ascii="Times New Roman" w:hAnsi="Times New Roman"/>
          <w:sz w:val="24"/>
          <w:szCs w:val="24"/>
          <w:lang w:val="sr-Cyrl-CS"/>
        </w:rPr>
      </w:pPr>
      <w:r>
        <w:rPr>
          <w:rFonts w:ascii="Times New Roman" w:hAnsi="Times New Roman"/>
          <w:sz w:val="24"/>
          <w:szCs w:val="24"/>
          <w:lang w:val="sr-Cyrl-CS"/>
        </w:rPr>
        <w:t>12.</w:t>
      </w:r>
      <w:r w:rsidR="00F93BA6">
        <w:rPr>
          <w:rFonts w:ascii="Times New Roman" w:hAnsi="Times New Roman"/>
          <w:sz w:val="24"/>
          <w:szCs w:val="24"/>
          <w:lang w:val="sr-Cyrl-CS"/>
        </w:rPr>
        <w:t>Спровођење</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забране</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прибављања</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пореских</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олакшица</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по</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основу</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исплате средстава</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у</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незаконите</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сврхе</w:t>
      </w:r>
      <w:r w:rsidR="00A321AC">
        <w:rPr>
          <w:rFonts w:ascii="Times New Roman" w:hAnsi="Times New Roman"/>
          <w:sz w:val="24"/>
          <w:szCs w:val="24"/>
          <w:lang w:val="sr-Cyrl-CS"/>
        </w:rPr>
        <w:t xml:space="preserve">, </w:t>
      </w:r>
      <w:r w:rsidR="000658B9">
        <w:rPr>
          <w:rFonts w:ascii="Times New Roman" w:hAnsi="Times New Roman"/>
          <w:sz w:val="24"/>
          <w:szCs w:val="24"/>
          <w:lang w:val="sr-Cyrl-CS"/>
        </w:rPr>
        <w:t>која препорука треба да се оствари спровођењем следећих активности:</w:t>
      </w:r>
    </w:p>
    <w:p w:rsidR="000658B9" w:rsidRPr="00C84E93" w:rsidRDefault="000658B9" w:rsidP="008A3795">
      <w:pPr>
        <w:numPr>
          <w:ilvl w:val="0"/>
          <w:numId w:val="37"/>
        </w:numPr>
        <w:snapToGrid w:val="0"/>
        <w:rPr>
          <w:rFonts w:ascii="Times New Roman" w:hAnsi="Times New Roman"/>
          <w:sz w:val="24"/>
          <w:szCs w:val="24"/>
          <w:lang w:val="sr-Cyrl-CS"/>
        </w:rPr>
      </w:pPr>
      <w:r w:rsidRPr="00C84E93">
        <w:rPr>
          <w:rFonts w:ascii="Times New Roman" w:hAnsi="Times New Roman"/>
          <w:sz w:val="24"/>
          <w:szCs w:val="24"/>
        </w:rPr>
        <w:t>Анализа прописа и</w:t>
      </w:r>
      <w:r w:rsidRPr="00C84E93">
        <w:rPr>
          <w:rFonts w:ascii="Times New Roman" w:hAnsi="Times New Roman"/>
          <w:sz w:val="24"/>
          <w:szCs w:val="24"/>
          <w:lang w:val="sr-Cyrl-CS"/>
        </w:rPr>
        <w:t xml:space="preserve"> евентуална </w:t>
      </w:r>
      <w:r w:rsidRPr="00C84E93">
        <w:rPr>
          <w:rFonts w:ascii="Times New Roman" w:hAnsi="Times New Roman"/>
          <w:sz w:val="24"/>
          <w:szCs w:val="24"/>
        </w:rPr>
        <w:t>припрема измен</w:t>
      </w:r>
      <w:r w:rsidRPr="00C84E93">
        <w:rPr>
          <w:rFonts w:ascii="Times New Roman" w:hAnsi="Times New Roman"/>
          <w:sz w:val="24"/>
          <w:szCs w:val="24"/>
          <w:lang w:val="sr-Cyrl-CS"/>
        </w:rPr>
        <w:t>е</w:t>
      </w:r>
      <w:r w:rsidRPr="00C84E93">
        <w:rPr>
          <w:rFonts w:ascii="Times New Roman" w:hAnsi="Times New Roman"/>
          <w:sz w:val="24"/>
          <w:szCs w:val="24"/>
        </w:rPr>
        <w:t xml:space="preserve"> </w:t>
      </w:r>
      <w:r w:rsidRPr="00C84E93">
        <w:rPr>
          <w:rFonts w:ascii="Times New Roman" w:hAnsi="Times New Roman"/>
          <w:sz w:val="24"/>
          <w:szCs w:val="24"/>
          <w:lang w:val="sr-Cyrl-CS"/>
        </w:rPr>
        <w:t>прописа и њихово усвајање,</w:t>
      </w:r>
    </w:p>
    <w:p w:rsidR="00F93BA6" w:rsidRPr="00C84E93" w:rsidRDefault="000658B9" w:rsidP="008A3795">
      <w:pPr>
        <w:numPr>
          <w:ilvl w:val="0"/>
          <w:numId w:val="37"/>
        </w:numPr>
        <w:jc w:val="both"/>
        <w:rPr>
          <w:rFonts w:ascii="Times New Roman" w:hAnsi="Times New Roman"/>
          <w:sz w:val="24"/>
          <w:szCs w:val="24"/>
          <w:lang w:val="sr-Cyrl-CS"/>
        </w:rPr>
      </w:pPr>
      <w:r w:rsidRPr="00C84E93">
        <w:rPr>
          <w:rFonts w:ascii="Times New Roman" w:hAnsi="Times New Roman"/>
          <w:sz w:val="24"/>
          <w:szCs w:val="24"/>
          <w:lang w:val="sr-Cyrl-CS"/>
        </w:rPr>
        <w:t>Спровођење  семинара и осталих облика едукације са намером упознавања са финансијским трансферима која представљају изигравање правила и могућност корупције.</w:t>
      </w:r>
    </w:p>
    <w:p w:rsidR="000658B9" w:rsidRDefault="006269F7" w:rsidP="006269F7">
      <w:pPr>
        <w:jc w:val="both"/>
        <w:rPr>
          <w:rFonts w:ascii="Times New Roman" w:hAnsi="Times New Roman"/>
          <w:sz w:val="24"/>
          <w:szCs w:val="24"/>
          <w:lang w:val="sr-Cyrl-CS"/>
        </w:rPr>
      </w:pPr>
      <w:r>
        <w:rPr>
          <w:rFonts w:ascii="Times New Roman" w:hAnsi="Times New Roman"/>
          <w:sz w:val="24"/>
          <w:szCs w:val="24"/>
          <w:lang w:val="sr-Cyrl-CS"/>
        </w:rPr>
        <w:t>13.</w:t>
      </w:r>
      <w:r w:rsidR="00F93BA6">
        <w:rPr>
          <w:rFonts w:ascii="Times New Roman" w:hAnsi="Times New Roman"/>
          <w:sz w:val="24"/>
          <w:szCs w:val="24"/>
          <w:lang w:val="sr-Cyrl-CS"/>
        </w:rPr>
        <w:t>Доношење</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етичког</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кодекса</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и</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успостављање</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механизама</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за</w:t>
      </w:r>
      <w:r w:rsidR="00F93BA6" w:rsidRPr="00F93BA6">
        <w:rPr>
          <w:rFonts w:ascii="Times New Roman" w:hAnsi="Times New Roman"/>
          <w:sz w:val="24"/>
          <w:szCs w:val="24"/>
          <w:lang w:val="sr-Cyrl-CS"/>
        </w:rPr>
        <w:t xml:space="preserve"> </w:t>
      </w:r>
      <w:r w:rsidR="000658B9">
        <w:rPr>
          <w:rFonts w:ascii="Times New Roman" w:hAnsi="Times New Roman"/>
          <w:sz w:val="24"/>
          <w:szCs w:val="24"/>
          <w:lang w:val="sr-Cyrl-CS"/>
        </w:rPr>
        <w:t>његову имплементацију, која препорука треба да се оствари спровођењем следећих активности:</w:t>
      </w:r>
    </w:p>
    <w:p w:rsidR="000658B9" w:rsidRPr="00C84E93" w:rsidRDefault="000658B9" w:rsidP="008A3795">
      <w:pPr>
        <w:numPr>
          <w:ilvl w:val="0"/>
          <w:numId w:val="38"/>
        </w:numPr>
        <w:jc w:val="both"/>
        <w:rPr>
          <w:rFonts w:ascii="Times New Roman" w:hAnsi="Times New Roman"/>
          <w:sz w:val="24"/>
          <w:szCs w:val="24"/>
          <w:lang w:val="sr-Cyrl-CS"/>
        </w:rPr>
      </w:pPr>
      <w:r w:rsidRPr="00C84E93">
        <w:rPr>
          <w:rFonts w:ascii="Times New Roman" w:hAnsi="Times New Roman"/>
          <w:sz w:val="24"/>
          <w:szCs w:val="24"/>
          <w:lang w:val="sr-Cyrl-CS"/>
        </w:rPr>
        <w:t>Д</w:t>
      </w:r>
      <w:r w:rsidRPr="00C84E93">
        <w:rPr>
          <w:rFonts w:ascii="Times New Roman" w:hAnsi="Times New Roman"/>
          <w:sz w:val="24"/>
          <w:szCs w:val="24"/>
        </w:rPr>
        <w:t>оношење етичких кодекса у привредним друштвима, стручним удружењима и у другим правним лицима</w:t>
      </w:r>
      <w:r w:rsidRPr="00C84E93">
        <w:rPr>
          <w:rFonts w:ascii="Times New Roman" w:hAnsi="Times New Roman"/>
          <w:sz w:val="24"/>
          <w:szCs w:val="24"/>
          <w:lang w:val="sr-Cyrl-CS"/>
        </w:rPr>
        <w:t>,</w:t>
      </w:r>
    </w:p>
    <w:p w:rsidR="000658B9" w:rsidRPr="00C84E93" w:rsidRDefault="000658B9" w:rsidP="008A3795">
      <w:pPr>
        <w:numPr>
          <w:ilvl w:val="0"/>
          <w:numId w:val="38"/>
        </w:numPr>
        <w:snapToGrid w:val="0"/>
        <w:rPr>
          <w:rFonts w:ascii="Times New Roman" w:hAnsi="Times New Roman"/>
          <w:sz w:val="24"/>
          <w:szCs w:val="24"/>
        </w:rPr>
      </w:pPr>
      <w:r w:rsidRPr="00C84E93">
        <w:rPr>
          <w:rFonts w:ascii="Times New Roman" w:hAnsi="Times New Roman"/>
          <w:sz w:val="24"/>
          <w:szCs w:val="24"/>
        </w:rPr>
        <w:t>Промовисање доношења сертификата поштеног предузећа</w:t>
      </w:r>
      <w:r w:rsidRPr="00C84E93">
        <w:rPr>
          <w:rFonts w:ascii="Times New Roman" w:hAnsi="Times New Roman"/>
          <w:sz w:val="24"/>
          <w:szCs w:val="24"/>
          <w:lang w:val="sr-Cyrl-CS"/>
        </w:rPr>
        <w:t>,</w:t>
      </w:r>
      <w:r w:rsidRPr="00C84E93">
        <w:rPr>
          <w:rFonts w:ascii="Times New Roman" w:hAnsi="Times New Roman"/>
          <w:sz w:val="24"/>
          <w:szCs w:val="24"/>
        </w:rPr>
        <w:t xml:space="preserve"> на основу </w:t>
      </w:r>
      <w:r w:rsidRPr="00C84E93">
        <w:rPr>
          <w:rFonts w:ascii="Times New Roman" w:hAnsi="Times New Roman"/>
          <w:sz w:val="24"/>
          <w:szCs w:val="24"/>
          <w:lang w:val="sr-Cyrl-CS"/>
        </w:rPr>
        <w:t>к</w:t>
      </w:r>
      <w:r w:rsidRPr="00C84E93">
        <w:rPr>
          <w:rFonts w:ascii="Times New Roman" w:hAnsi="Times New Roman"/>
          <w:sz w:val="24"/>
          <w:szCs w:val="24"/>
        </w:rPr>
        <w:t>ритеријума</w:t>
      </w:r>
      <w:r w:rsidRPr="00C84E93">
        <w:rPr>
          <w:rFonts w:ascii="Times New Roman" w:hAnsi="Times New Roman"/>
          <w:sz w:val="24"/>
          <w:szCs w:val="24"/>
          <w:lang w:val="sr-Cyrl-CS"/>
        </w:rPr>
        <w:t>,</w:t>
      </w:r>
    </w:p>
    <w:p w:rsidR="000658B9" w:rsidRPr="00C84E93" w:rsidRDefault="000658B9" w:rsidP="008A3795">
      <w:pPr>
        <w:numPr>
          <w:ilvl w:val="0"/>
          <w:numId w:val="38"/>
        </w:numPr>
        <w:rPr>
          <w:rFonts w:ascii="Times New Roman" w:hAnsi="Times New Roman"/>
          <w:sz w:val="24"/>
          <w:szCs w:val="24"/>
        </w:rPr>
      </w:pPr>
      <w:r w:rsidRPr="00C84E93">
        <w:rPr>
          <w:rFonts w:ascii="Times New Roman" w:hAnsi="Times New Roman"/>
          <w:sz w:val="24"/>
          <w:szCs w:val="24"/>
          <w:lang w:val="sr-Cyrl-CS"/>
        </w:rPr>
        <w:t>Д</w:t>
      </w:r>
      <w:r w:rsidRPr="00C84E93">
        <w:rPr>
          <w:rFonts w:ascii="Times New Roman" w:hAnsi="Times New Roman"/>
          <w:sz w:val="24"/>
          <w:szCs w:val="24"/>
        </w:rPr>
        <w:t xml:space="preserve">оношење кодекса етике у </w:t>
      </w:r>
      <w:r w:rsidRPr="00C84E93">
        <w:rPr>
          <w:rFonts w:ascii="Times New Roman" w:hAnsi="Times New Roman"/>
          <w:sz w:val="24"/>
          <w:szCs w:val="24"/>
          <w:lang w:val="sr-Cyrl-CS"/>
        </w:rPr>
        <w:t>и</w:t>
      </w:r>
      <w:r w:rsidRPr="00C84E93">
        <w:rPr>
          <w:rFonts w:ascii="Times New Roman" w:hAnsi="Times New Roman"/>
          <w:sz w:val="24"/>
          <w:szCs w:val="24"/>
        </w:rPr>
        <w:t xml:space="preserve">зложеним струкама (директори, рачуновође, ревизори </w:t>
      </w:r>
      <w:r w:rsidRPr="00C84E93">
        <w:rPr>
          <w:rFonts w:ascii="Times New Roman" w:hAnsi="Times New Roman"/>
          <w:sz w:val="24"/>
          <w:szCs w:val="24"/>
          <w:lang w:val="sr-Cyrl-CS"/>
        </w:rPr>
        <w:t>и др</w:t>
      </w:r>
      <w:r w:rsidRPr="00C84E93">
        <w:rPr>
          <w:rFonts w:ascii="Times New Roman" w:hAnsi="Times New Roman"/>
          <w:sz w:val="24"/>
          <w:szCs w:val="24"/>
        </w:rPr>
        <w:t>)</w:t>
      </w:r>
      <w:r w:rsidRPr="00C84E93">
        <w:rPr>
          <w:rFonts w:ascii="Times New Roman" w:hAnsi="Times New Roman"/>
          <w:sz w:val="24"/>
          <w:szCs w:val="24"/>
          <w:lang w:val="sr-Cyrl-CS"/>
        </w:rPr>
        <w:t>,</w:t>
      </w:r>
    </w:p>
    <w:p w:rsidR="00F93BA6" w:rsidRPr="00831157" w:rsidRDefault="000658B9" w:rsidP="00831157">
      <w:pPr>
        <w:numPr>
          <w:ilvl w:val="0"/>
          <w:numId w:val="38"/>
        </w:numPr>
        <w:jc w:val="both"/>
        <w:rPr>
          <w:rFonts w:ascii="Times New Roman" w:hAnsi="Times New Roman"/>
          <w:sz w:val="24"/>
          <w:szCs w:val="24"/>
          <w:lang w:val="sr-Cyrl-CS"/>
        </w:rPr>
      </w:pPr>
      <w:r w:rsidRPr="00C84E93">
        <w:rPr>
          <w:rFonts w:ascii="Times New Roman" w:hAnsi="Times New Roman"/>
          <w:sz w:val="24"/>
          <w:szCs w:val="24"/>
          <w:lang w:val="sr-Cyrl-CS"/>
        </w:rPr>
        <w:t>Едукација менаџера</w:t>
      </w:r>
      <w:r>
        <w:rPr>
          <w:lang w:val="sr-Cyrl-CS"/>
        </w:rPr>
        <w:t>.</w:t>
      </w:r>
    </w:p>
    <w:p w:rsidR="000658B9" w:rsidRDefault="006269F7" w:rsidP="006269F7">
      <w:pPr>
        <w:jc w:val="both"/>
        <w:rPr>
          <w:rFonts w:ascii="Times New Roman" w:hAnsi="Times New Roman"/>
          <w:sz w:val="24"/>
          <w:szCs w:val="24"/>
          <w:lang w:val="sr-Cyrl-CS"/>
        </w:rPr>
      </w:pPr>
      <w:r>
        <w:rPr>
          <w:rFonts w:ascii="Times New Roman" w:hAnsi="Times New Roman"/>
          <w:sz w:val="24"/>
          <w:szCs w:val="24"/>
          <w:lang w:val="sr-Cyrl-CS"/>
        </w:rPr>
        <w:t>14.</w:t>
      </w:r>
      <w:r w:rsidR="00F93BA6">
        <w:rPr>
          <w:rFonts w:ascii="Times New Roman" w:hAnsi="Times New Roman"/>
          <w:sz w:val="24"/>
          <w:szCs w:val="24"/>
          <w:lang w:val="sr-Cyrl-CS"/>
        </w:rPr>
        <w:t>Стварање</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поузданих</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механизама</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у</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предузећима</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за</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запослене</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који</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желе</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да пријаве</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корупцију</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и</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обезбеђивање</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њихове</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сигурности</w:t>
      </w:r>
      <w:r w:rsidR="000658B9">
        <w:rPr>
          <w:rFonts w:ascii="Times New Roman" w:hAnsi="Times New Roman"/>
          <w:sz w:val="24"/>
          <w:szCs w:val="24"/>
          <w:lang w:val="sr-Cyrl-CS"/>
        </w:rPr>
        <w:t>, која препорука треба да се оствари спровођењем следећих активности:</w:t>
      </w:r>
    </w:p>
    <w:p w:rsidR="000658B9" w:rsidRPr="00C84E93" w:rsidRDefault="000658B9" w:rsidP="008A3795">
      <w:pPr>
        <w:numPr>
          <w:ilvl w:val="0"/>
          <w:numId w:val="39"/>
        </w:numPr>
        <w:snapToGrid w:val="0"/>
        <w:rPr>
          <w:rFonts w:ascii="Times New Roman" w:hAnsi="Times New Roman"/>
          <w:sz w:val="24"/>
          <w:szCs w:val="24"/>
        </w:rPr>
      </w:pPr>
      <w:r w:rsidRPr="00C84E93">
        <w:rPr>
          <w:rFonts w:ascii="Times New Roman" w:hAnsi="Times New Roman"/>
          <w:sz w:val="24"/>
          <w:szCs w:val="24"/>
        </w:rPr>
        <w:t>Доношење одлуке о поступцима пријаве корупцијe</w:t>
      </w:r>
      <w:r w:rsidRPr="00C84E93">
        <w:rPr>
          <w:rFonts w:ascii="Times New Roman" w:hAnsi="Times New Roman"/>
          <w:sz w:val="24"/>
          <w:szCs w:val="24"/>
          <w:lang w:val="sr-Cyrl-CS"/>
        </w:rPr>
        <w:t>,</w:t>
      </w:r>
    </w:p>
    <w:p w:rsidR="000658B9" w:rsidRPr="00C84E93" w:rsidRDefault="000658B9" w:rsidP="008A3795">
      <w:pPr>
        <w:numPr>
          <w:ilvl w:val="0"/>
          <w:numId w:val="39"/>
        </w:numPr>
        <w:rPr>
          <w:rFonts w:ascii="Times New Roman" w:hAnsi="Times New Roman"/>
          <w:sz w:val="24"/>
          <w:szCs w:val="24"/>
        </w:rPr>
      </w:pPr>
      <w:r w:rsidRPr="00C84E93">
        <w:rPr>
          <w:rFonts w:ascii="Times New Roman" w:hAnsi="Times New Roman"/>
          <w:sz w:val="24"/>
          <w:szCs w:val="24"/>
        </w:rPr>
        <w:t>Осигурати анонимност лица које пријави унутар привредног субјекта</w:t>
      </w:r>
      <w:r w:rsidRPr="00C84E93">
        <w:rPr>
          <w:rFonts w:ascii="Times New Roman" w:hAnsi="Times New Roman"/>
          <w:sz w:val="24"/>
          <w:szCs w:val="24"/>
          <w:lang w:val="sr-Cyrl-CS"/>
        </w:rPr>
        <w:t>,</w:t>
      </w:r>
    </w:p>
    <w:p w:rsidR="00F93BA6" w:rsidRPr="00C84E93" w:rsidRDefault="000658B9" w:rsidP="008A3795">
      <w:pPr>
        <w:numPr>
          <w:ilvl w:val="0"/>
          <w:numId w:val="39"/>
        </w:numPr>
        <w:jc w:val="both"/>
        <w:rPr>
          <w:rFonts w:ascii="Times New Roman" w:hAnsi="Times New Roman"/>
          <w:sz w:val="24"/>
          <w:szCs w:val="24"/>
          <w:lang w:val="sr-Cyrl-CS"/>
        </w:rPr>
      </w:pPr>
      <w:r w:rsidRPr="00C84E93">
        <w:rPr>
          <w:rFonts w:ascii="Times New Roman" w:hAnsi="Times New Roman"/>
          <w:sz w:val="24"/>
          <w:szCs w:val="24"/>
        </w:rPr>
        <w:t xml:space="preserve">Доношење осталих мера за заштиту лица које пријави </w:t>
      </w:r>
      <w:r w:rsidRPr="00C84E93">
        <w:rPr>
          <w:rFonts w:ascii="Times New Roman" w:hAnsi="Times New Roman"/>
          <w:sz w:val="24"/>
          <w:szCs w:val="24"/>
          <w:lang w:val="sr-Cyrl-CS"/>
        </w:rPr>
        <w:t>к</w:t>
      </w:r>
      <w:r w:rsidRPr="00C84E93">
        <w:rPr>
          <w:rFonts w:ascii="Times New Roman" w:hAnsi="Times New Roman"/>
          <w:sz w:val="24"/>
          <w:szCs w:val="24"/>
        </w:rPr>
        <w:t>орупциј</w:t>
      </w:r>
      <w:r w:rsidRPr="00C84E93">
        <w:rPr>
          <w:rFonts w:ascii="Times New Roman" w:hAnsi="Times New Roman"/>
          <w:sz w:val="24"/>
          <w:szCs w:val="24"/>
          <w:lang w:val="sr-Cyrl-CS"/>
        </w:rPr>
        <w:t>у.</w:t>
      </w:r>
    </w:p>
    <w:p w:rsidR="000658B9" w:rsidRDefault="006269F7" w:rsidP="006269F7">
      <w:pPr>
        <w:jc w:val="both"/>
        <w:rPr>
          <w:rFonts w:ascii="Times New Roman" w:hAnsi="Times New Roman"/>
          <w:sz w:val="24"/>
          <w:szCs w:val="24"/>
          <w:lang w:val="sr-Cyrl-CS"/>
        </w:rPr>
      </w:pPr>
      <w:r>
        <w:rPr>
          <w:rFonts w:ascii="Times New Roman" w:hAnsi="Times New Roman"/>
          <w:sz w:val="24"/>
          <w:szCs w:val="24"/>
          <w:lang w:val="sr-Cyrl-CS"/>
        </w:rPr>
        <w:t>15.</w:t>
      </w:r>
      <w:r w:rsidR="00F93BA6">
        <w:rPr>
          <w:rFonts w:ascii="Times New Roman" w:hAnsi="Times New Roman"/>
          <w:sz w:val="24"/>
          <w:szCs w:val="24"/>
          <w:lang w:val="sr-Cyrl-CS"/>
        </w:rPr>
        <w:t>Активно</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промовисање</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кодекса</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добре</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пословне</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праксе</w:t>
      </w:r>
      <w:r w:rsidR="00F93BA6" w:rsidRPr="00F93BA6">
        <w:rPr>
          <w:rFonts w:ascii="Times New Roman" w:hAnsi="Times New Roman"/>
          <w:sz w:val="24"/>
          <w:szCs w:val="24"/>
          <w:lang w:val="sr-Cyrl-CS"/>
        </w:rPr>
        <w:t xml:space="preserve"> </w:t>
      </w:r>
      <w:r w:rsidR="000658B9">
        <w:rPr>
          <w:rFonts w:ascii="Times New Roman" w:hAnsi="Times New Roman"/>
          <w:sz w:val="24"/>
          <w:szCs w:val="24"/>
          <w:lang w:val="sr-Cyrl-CS"/>
        </w:rPr>
        <w:t xml:space="preserve">Међународне трговинске коморе, </w:t>
      </w:r>
      <w:r w:rsidR="00F93BA6">
        <w:rPr>
          <w:rFonts w:ascii="Times New Roman" w:hAnsi="Times New Roman"/>
          <w:sz w:val="24"/>
          <w:szCs w:val="24"/>
          <w:lang w:val="sr-Cyrl-CS"/>
        </w:rPr>
        <w:t xml:space="preserve"> </w:t>
      </w:r>
      <w:r w:rsidR="000658B9">
        <w:rPr>
          <w:rFonts w:ascii="Times New Roman" w:hAnsi="Times New Roman"/>
          <w:sz w:val="24"/>
          <w:szCs w:val="24"/>
          <w:lang w:val="sr-Cyrl-CS"/>
        </w:rPr>
        <w:t>која препорука треба да се оствари спровођењем следећих активности:</w:t>
      </w:r>
    </w:p>
    <w:p w:rsidR="00F93BA6" w:rsidRPr="00C84E93" w:rsidRDefault="000658B9" w:rsidP="008A3795">
      <w:pPr>
        <w:numPr>
          <w:ilvl w:val="0"/>
          <w:numId w:val="40"/>
        </w:numPr>
        <w:jc w:val="both"/>
        <w:rPr>
          <w:rFonts w:ascii="Times New Roman" w:hAnsi="Times New Roman"/>
          <w:sz w:val="24"/>
          <w:szCs w:val="24"/>
          <w:lang w:val="sr-Cyrl-CS"/>
        </w:rPr>
      </w:pPr>
      <w:r w:rsidRPr="00C84E93">
        <w:rPr>
          <w:rFonts w:ascii="Times New Roman" w:hAnsi="Times New Roman"/>
          <w:sz w:val="24"/>
          <w:szCs w:val="24"/>
        </w:rPr>
        <w:t>Доношење одлуке о начину промовисања: на семинарима</w:t>
      </w:r>
      <w:r w:rsidRPr="00C84E93">
        <w:rPr>
          <w:rFonts w:ascii="Times New Roman" w:hAnsi="Times New Roman"/>
          <w:sz w:val="24"/>
          <w:szCs w:val="24"/>
          <w:lang w:val="sr-Cyrl-CS"/>
        </w:rPr>
        <w:t>,</w:t>
      </w:r>
      <w:r w:rsidRPr="00C84E93">
        <w:rPr>
          <w:rFonts w:ascii="Times New Roman" w:hAnsi="Times New Roman"/>
          <w:sz w:val="24"/>
          <w:szCs w:val="24"/>
        </w:rPr>
        <w:t xml:space="preserve"> објаве на интернет страницама</w:t>
      </w:r>
      <w:r w:rsidRPr="00C84E93">
        <w:rPr>
          <w:rFonts w:ascii="Times New Roman" w:hAnsi="Times New Roman"/>
          <w:sz w:val="24"/>
          <w:szCs w:val="24"/>
          <w:lang w:val="sr-Cyrl-CS"/>
        </w:rPr>
        <w:t>,</w:t>
      </w:r>
      <w:r w:rsidRPr="00C84E93">
        <w:rPr>
          <w:rFonts w:ascii="Times New Roman" w:hAnsi="Times New Roman"/>
          <w:sz w:val="24"/>
          <w:szCs w:val="24"/>
        </w:rPr>
        <w:t xml:space="preserve"> изда</w:t>
      </w:r>
      <w:r w:rsidRPr="00C84E93">
        <w:rPr>
          <w:rFonts w:ascii="Times New Roman" w:hAnsi="Times New Roman"/>
          <w:sz w:val="24"/>
          <w:szCs w:val="24"/>
          <w:lang w:val="sr-Cyrl-CS"/>
        </w:rPr>
        <w:t>вање</w:t>
      </w:r>
      <w:r w:rsidRPr="00C84E93">
        <w:rPr>
          <w:rFonts w:ascii="Times New Roman" w:hAnsi="Times New Roman"/>
          <w:sz w:val="24"/>
          <w:szCs w:val="24"/>
        </w:rPr>
        <w:t xml:space="preserve"> посебних брошура</w:t>
      </w:r>
      <w:r w:rsidRPr="00C84E93">
        <w:rPr>
          <w:rFonts w:ascii="Times New Roman" w:hAnsi="Times New Roman"/>
          <w:sz w:val="24"/>
          <w:szCs w:val="24"/>
          <w:lang w:val="sr-Cyrl-CS"/>
        </w:rPr>
        <w:t xml:space="preserve"> </w:t>
      </w:r>
      <w:r w:rsidRPr="00C84E93">
        <w:rPr>
          <w:rFonts w:ascii="Times New Roman" w:hAnsi="Times New Roman"/>
          <w:sz w:val="24"/>
          <w:szCs w:val="24"/>
        </w:rPr>
        <w:t>и сл</w:t>
      </w:r>
      <w:r w:rsidRPr="00C84E93">
        <w:rPr>
          <w:rFonts w:ascii="Times New Roman" w:hAnsi="Times New Roman"/>
          <w:sz w:val="24"/>
          <w:szCs w:val="24"/>
          <w:lang w:val="sr-Cyrl-CS"/>
        </w:rPr>
        <w:t>.</w:t>
      </w:r>
    </w:p>
    <w:p w:rsidR="00F93BA6" w:rsidRDefault="006269F7" w:rsidP="006269F7">
      <w:pPr>
        <w:jc w:val="both"/>
        <w:rPr>
          <w:rFonts w:ascii="Times New Roman" w:hAnsi="Times New Roman"/>
          <w:sz w:val="24"/>
          <w:szCs w:val="24"/>
          <w:lang w:val="sr-Cyrl-CS"/>
        </w:rPr>
      </w:pPr>
      <w:r>
        <w:rPr>
          <w:rFonts w:ascii="Times New Roman" w:hAnsi="Times New Roman"/>
          <w:sz w:val="24"/>
          <w:szCs w:val="24"/>
          <w:lang w:val="sr-Cyrl-CS"/>
        </w:rPr>
        <w:lastRenderedPageBreak/>
        <w:t>16.</w:t>
      </w:r>
      <w:r w:rsidR="00F93BA6">
        <w:rPr>
          <w:rFonts w:ascii="Times New Roman" w:hAnsi="Times New Roman"/>
          <w:sz w:val="24"/>
          <w:szCs w:val="24"/>
          <w:lang w:val="sr-Cyrl-CS"/>
        </w:rPr>
        <w:t>Укидање</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одредби</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о</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примању</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поклона</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као</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начину</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финансирања</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агенција</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са</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јавним о</w:t>
      </w:r>
      <w:r w:rsidR="000658B9">
        <w:rPr>
          <w:rFonts w:ascii="Times New Roman" w:hAnsi="Times New Roman"/>
          <w:sz w:val="24"/>
          <w:szCs w:val="24"/>
          <w:lang w:val="sr-Cyrl-CS"/>
        </w:rPr>
        <w:t>влашћењима, која препорука треба да се оствари спровођењем следећих активности:</w:t>
      </w:r>
    </w:p>
    <w:p w:rsidR="000658B9" w:rsidRPr="00C84E93" w:rsidRDefault="000658B9" w:rsidP="008A3795">
      <w:pPr>
        <w:numPr>
          <w:ilvl w:val="0"/>
          <w:numId w:val="40"/>
        </w:numPr>
        <w:snapToGrid w:val="0"/>
        <w:rPr>
          <w:rFonts w:ascii="Times New Roman" w:hAnsi="Times New Roman"/>
          <w:sz w:val="24"/>
          <w:szCs w:val="24"/>
        </w:rPr>
      </w:pPr>
      <w:r w:rsidRPr="00C84E93">
        <w:rPr>
          <w:rFonts w:ascii="Times New Roman" w:hAnsi="Times New Roman"/>
          <w:sz w:val="24"/>
          <w:szCs w:val="24"/>
        </w:rPr>
        <w:t>Анализа прописа и</w:t>
      </w:r>
      <w:r w:rsidRPr="00C84E93">
        <w:rPr>
          <w:rFonts w:ascii="Times New Roman" w:hAnsi="Times New Roman"/>
          <w:sz w:val="24"/>
          <w:szCs w:val="24"/>
          <w:lang w:val="sr-Cyrl-CS"/>
        </w:rPr>
        <w:t xml:space="preserve"> евентуална </w:t>
      </w:r>
      <w:r w:rsidRPr="00C84E93">
        <w:rPr>
          <w:rFonts w:ascii="Times New Roman" w:hAnsi="Times New Roman"/>
          <w:sz w:val="24"/>
          <w:szCs w:val="24"/>
        </w:rPr>
        <w:t>припрема измен</w:t>
      </w:r>
      <w:r w:rsidRPr="00C84E93">
        <w:rPr>
          <w:rFonts w:ascii="Times New Roman" w:hAnsi="Times New Roman"/>
          <w:sz w:val="24"/>
          <w:szCs w:val="24"/>
          <w:lang w:val="sr-Cyrl-CS"/>
        </w:rPr>
        <w:t>е</w:t>
      </w:r>
      <w:r w:rsidRPr="00C84E93">
        <w:rPr>
          <w:rFonts w:ascii="Times New Roman" w:hAnsi="Times New Roman"/>
          <w:sz w:val="24"/>
          <w:szCs w:val="24"/>
        </w:rPr>
        <w:t xml:space="preserve"> </w:t>
      </w:r>
      <w:r w:rsidRPr="00C84E93">
        <w:rPr>
          <w:rFonts w:ascii="Times New Roman" w:hAnsi="Times New Roman"/>
          <w:sz w:val="24"/>
          <w:szCs w:val="24"/>
          <w:lang w:val="sr-Cyrl-CS"/>
        </w:rPr>
        <w:t xml:space="preserve">прописа и њихово усвајање, </w:t>
      </w:r>
      <w:r w:rsidRPr="00C84E93">
        <w:rPr>
          <w:rFonts w:ascii="Times New Roman" w:hAnsi="Times New Roman"/>
          <w:sz w:val="24"/>
          <w:szCs w:val="24"/>
        </w:rPr>
        <w:t>у смислу мера које важе за државну управу</w:t>
      </w:r>
      <w:r w:rsidRPr="00C84E93">
        <w:rPr>
          <w:rFonts w:ascii="Times New Roman" w:hAnsi="Times New Roman"/>
          <w:sz w:val="24"/>
          <w:szCs w:val="24"/>
          <w:lang w:val="sr-Cyrl-CS"/>
        </w:rPr>
        <w:t>,</w:t>
      </w:r>
    </w:p>
    <w:p w:rsidR="000658B9" w:rsidRPr="00C84E93" w:rsidRDefault="000658B9" w:rsidP="008A3795">
      <w:pPr>
        <w:numPr>
          <w:ilvl w:val="0"/>
          <w:numId w:val="40"/>
        </w:numPr>
        <w:jc w:val="both"/>
        <w:rPr>
          <w:rFonts w:ascii="Times New Roman" w:hAnsi="Times New Roman"/>
          <w:sz w:val="24"/>
          <w:szCs w:val="24"/>
          <w:lang w:val="sr-Cyrl-CS"/>
        </w:rPr>
      </w:pPr>
      <w:r w:rsidRPr="00C84E93">
        <w:rPr>
          <w:rFonts w:ascii="Times New Roman" w:hAnsi="Times New Roman"/>
          <w:sz w:val="24"/>
          <w:szCs w:val="24"/>
        </w:rPr>
        <w:t>Утврдити услове и начин примања донација и располагање тим средствима</w:t>
      </w:r>
      <w:r w:rsidRPr="00C84E93">
        <w:rPr>
          <w:rFonts w:ascii="Times New Roman" w:hAnsi="Times New Roman"/>
          <w:sz w:val="24"/>
          <w:szCs w:val="24"/>
          <w:lang w:val="sr-Cyrl-CS"/>
        </w:rPr>
        <w:t>.</w:t>
      </w:r>
    </w:p>
    <w:p w:rsidR="000658B9" w:rsidRDefault="006269F7" w:rsidP="006269F7">
      <w:pPr>
        <w:jc w:val="both"/>
        <w:rPr>
          <w:rFonts w:ascii="Times New Roman" w:hAnsi="Times New Roman"/>
          <w:sz w:val="24"/>
          <w:szCs w:val="24"/>
          <w:lang w:val="sr-Cyrl-CS"/>
        </w:rPr>
      </w:pPr>
      <w:r>
        <w:rPr>
          <w:rFonts w:ascii="Times New Roman" w:hAnsi="Times New Roman"/>
          <w:sz w:val="24"/>
          <w:szCs w:val="24"/>
          <w:lang w:val="sr-Cyrl-CS"/>
        </w:rPr>
        <w:t>17.</w:t>
      </w:r>
      <w:r w:rsidR="00F93BA6">
        <w:rPr>
          <w:rFonts w:ascii="Times New Roman" w:hAnsi="Times New Roman"/>
          <w:sz w:val="24"/>
          <w:szCs w:val="24"/>
          <w:lang w:val="sr-Cyrl-CS"/>
        </w:rPr>
        <w:t>Побољшање</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корпоративног</w:t>
      </w:r>
      <w:r w:rsidR="00F93BA6" w:rsidRPr="00F93BA6">
        <w:rPr>
          <w:rFonts w:ascii="Times New Roman" w:hAnsi="Times New Roman"/>
          <w:sz w:val="24"/>
          <w:szCs w:val="24"/>
          <w:lang w:val="sr-Cyrl-CS"/>
        </w:rPr>
        <w:t xml:space="preserve"> </w:t>
      </w:r>
      <w:r w:rsidR="00F93BA6">
        <w:rPr>
          <w:rFonts w:ascii="Times New Roman" w:hAnsi="Times New Roman"/>
          <w:sz w:val="24"/>
          <w:szCs w:val="24"/>
          <w:lang w:val="sr-Cyrl-CS"/>
        </w:rPr>
        <w:t>управљања</w:t>
      </w:r>
      <w:r w:rsidR="000658B9">
        <w:rPr>
          <w:rFonts w:ascii="Times New Roman" w:hAnsi="Times New Roman"/>
          <w:sz w:val="24"/>
          <w:szCs w:val="24"/>
          <w:lang w:val="sr-Cyrl-CS"/>
        </w:rPr>
        <w:t>, која препорука треба да се оствари спровођењем следећих активности:</w:t>
      </w:r>
    </w:p>
    <w:p w:rsidR="000658B9" w:rsidRPr="00C84E93" w:rsidRDefault="000658B9" w:rsidP="008A3795">
      <w:pPr>
        <w:numPr>
          <w:ilvl w:val="0"/>
          <w:numId w:val="42"/>
        </w:numPr>
        <w:jc w:val="both"/>
        <w:rPr>
          <w:rFonts w:ascii="Times New Roman" w:hAnsi="Times New Roman"/>
          <w:sz w:val="24"/>
          <w:szCs w:val="24"/>
          <w:lang w:val="sr-Cyrl-CS"/>
        </w:rPr>
      </w:pPr>
      <w:r w:rsidRPr="00C84E93">
        <w:rPr>
          <w:rFonts w:ascii="Times New Roman" w:hAnsi="Times New Roman"/>
          <w:sz w:val="24"/>
          <w:szCs w:val="24"/>
        </w:rPr>
        <w:t>Стимулисање и промовисање добре пракс</w:t>
      </w:r>
      <w:r w:rsidRPr="00C84E93">
        <w:rPr>
          <w:rFonts w:ascii="Times New Roman" w:hAnsi="Times New Roman"/>
          <w:sz w:val="24"/>
          <w:szCs w:val="24"/>
          <w:lang w:val="sr-Cyrl-CS"/>
        </w:rPr>
        <w:t>е</w:t>
      </w:r>
      <w:r w:rsidRPr="00C84E93">
        <w:rPr>
          <w:rFonts w:ascii="Times New Roman" w:hAnsi="Times New Roman"/>
          <w:sz w:val="24"/>
          <w:szCs w:val="24"/>
        </w:rPr>
        <w:t xml:space="preserve"> управљања</w:t>
      </w:r>
      <w:r w:rsidRPr="00C84E93">
        <w:rPr>
          <w:rFonts w:ascii="Times New Roman" w:hAnsi="Times New Roman"/>
          <w:sz w:val="24"/>
          <w:szCs w:val="24"/>
          <w:lang w:val="sr-Cyrl-CS"/>
        </w:rPr>
        <w:t>,</w:t>
      </w:r>
    </w:p>
    <w:p w:rsidR="00F93BA6" w:rsidRPr="00C84E93" w:rsidRDefault="000658B9" w:rsidP="008A3795">
      <w:pPr>
        <w:numPr>
          <w:ilvl w:val="0"/>
          <w:numId w:val="41"/>
        </w:numPr>
        <w:jc w:val="both"/>
        <w:rPr>
          <w:rFonts w:ascii="Times New Roman" w:hAnsi="Times New Roman"/>
          <w:sz w:val="24"/>
          <w:szCs w:val="24"/>
          <w:lang w:val="sr-Cyrl-CS"/>
        </w:rPr>
      </w:pPr>
      <w:r w:rsidRPr="00C84E93">
        <w:rPr>
          <w:rFonts w:ascii="Times New Roman" w:hAnsi="Times New Roman"/>
          <w:sz w:val="24"/>
          <w:szCs w:val="24"/>
        </w:rPr>
        <w:t>Израда узорка анти-корупцијских клаузула</w:t>
      </w:r>
      <w:r w:rsidRPr="00C84E93">
        <w:rPr>
          <w:rFonts w:ascii="Times New Roman" w:hAnsi="Times New Roman"/>
          <w:sz w:val="24"/>
          <w:szCs w:val="24"/>
          <w:lang w:val="sr-Cyrl-CS"/>
        </w:rPr>
        <w:t>,</w:t>
      </w:r>
    </w:p>
    <w:p w:rsidR="000658B9" w:rsidRPr="00C84E93" w:rsidRDefault="000658B9" w:rsidP="008A3795">
      <w:pPr>
        <w:numPr>
          <w:ilvl w:val="0"/>
          <w:numId w:val="41"/>
        </w:numPr>
        <w:rPr>
          <w:rFonts w:ascii="Times New Roman" w:hAnsi="Times New Roman"/>
          <w:sz w:val="24"/>
          <w:szCs w:val="24"/>
        </w:rPr>
      </w:pPr>
      <w:r w:rsidRPr="00C84E93">
        <w:rPr>
          <w:rFonts w:ascii="Times New Roman" w:hAnsi="Times New Roman"/>
          <w:sz w:val="24"/>
          <w:szCs w:val="24"/>
        </w:rPr>
        <w:t>Стављање анти-корупцијских клаузула у уговоре пословних партнера</w:t>
      </w:r>
      <w:r w:rsidRPr="00C84E93">
        <w:rPr>
          <w:rFonts w:ascii="Times New Roman" w:hAnsi="Times New Roman"/>
          <w:sz w:val="24"/>
          <w:szCs w:val="24"/>
          <w:lang w:val="sr-Cyrl-CS"/>
        </w:rPr>
        <w:t>,</w:t>
      </w:r>
    </w:p>
    <w:p w:rsidR="000658B9" w:rsidRPr="00C84E93" w:rsidRDefault="000658B9" w:rsidP="008A3795">
      <w:pPr>
        <w:numPr>
          <w:ilvl w:val="0"/>
          <w:numId w:val="41"/>
        </w:numPr>
        <w:rPr>
          <w:rFonts w:ascii="Times New Roman" w:hAnsi="Times New Roman"/>
          <w:sz w:val="24"/>
          <w:szCs w:val="24"/>
        </w:rPr>
      </w:pPr>
      <w:r w:rsidRPr="00C84E93">
        <w:rPr>
          <w:rFonts w:ascii="Times New Roman" w:hAnsi="Times New Roman"/>
          <w:sz w:val="24"/>
          <w:szCs w:val="24"/>
          <w:lang w:val="sr-Cyrl-CS"/>
        </w:rPr>
        <w:t>Едукација</w:t>
      </w:r>
      <w:r w:rsidRPr="00C84E93">
        <w:rPr>
          <w:rFonts w:ascii="Times New Roman" w:hAnsi="Times New Roman"/>
          <w:sz w:val="24"/>
          <w:szCs w:val="24"/>
        </w:rPr>
        <w:t xml:space="preserve"> одговорни</w:t>
      </w:r>
      <w:r w:rsidRPr="00C84E93">
        <w:rPr>
          <w:rFonts w:ascii="Times New Roman" w:hAnsi="Times New Roman"/>
          <w:sz w:val="24"/>
          <w:szCs w:val="24"/>
          <w:lang w:val="sr-Cyrl-CS"/>
        </w:rPr>
        <w:t>х</w:t>
      </w:r>
      <w:r w:rsidRPr="00C84E93">
        <w:rPr>
          <w:rFonts w:ascii="Times New Roman" w:hAnsi="Times New Roman"/>
          <w:sz w:val="24"/>
          <w:szCs w:val="24"/>
        </w:rPr>
        <w:t xml:space="preserve"> лица о предностима, користима и начину израде плана интегритета (семинари, штампано градиво, округли столови и сл</w:t>
      </w:r>
      <w:r w:rsidRPr="00C84E93">
        <w:rPr>
          <w:rFonts w:ascii="Times New Roman" w:hAnsi="Times New Roman"/>
          <w:sz w:val="24"/>
          <w:szCs w:val="24"/>
          <w:lang w:val="sr-Cyrl-CS"/>
        </w:rPr>
        <w:t>.</w:t>
      </w:r>
      <w:r w:rsidRPr="00C84E93">
        <w:rPr>
          <w:rFonts w:ascii="Times New Roman" w:hAnsi="Times New Roman"/>
          <w:sz w:val="24"/>
          <w:szCs w:val="24"/>
        </w:rPr>
        <w:t>),</w:t>
      </w:r>
    </w:p>
    <w:p w:rsidR="000658B9" w:rsidRPr="00C84E93" w:rsidRDefault="000658B9" w:rsidP="008A3795">
      <w:pPr>
        <w:numPr>
          <w:ilvl w:val="0"/>
          <w:numId w:val="41"/>
        </w:numPr>
        <w:rPr>
          <w:rFonts w:ascii="Times New Roman" w:hAnsi="Times New Roman"/>
          <w:sz w:val="24"/>
          <w:szCs w:val="24"/>
        </w:rPr>
      </w:pPr>
      <w:r w:rsidRPr="00C84E93">
        <w:rPr>
          <w:rFonts w:ascii="Times New Roman" w:hAnsi="Times New Roman"/>
          <w:sz w:val="24"/>
          <w:szCs w:val="24"/>
        </w:rPr>
        <w:t xml:space="preserve">Израда узорка </w:t>
      </w:r>
      <w:r w:rsidRPr="00C84E93">
        <w:rPr>
          <w:rFonts w:ascii="Times New Roman" w:hAnsi="Times New Roman"/>
          <w:sz w:val="24"/>
          <w:szCs w:val="24"/>
          <w:lang w:val="sr-Cyrl-CS"/>
        </w:rPr>
        <w:t>споразума о</w:t>
      </w:r>
      <w:r w:rsidRPr="00C84E93">
        <w:rPr>
          <w:rFonts w:ascii="Times New Roman" w:hAnsi="Times New Roman"/>
          <w:sz w:val="24"/>
          <w:szCs w:val="24"/>
        </w:rPr>
        <w:t xml:space="preserve"> интегритет</w:t>
      </w:r>
      <w:r w:rsidRPr="00C84E93">
        <w:rPr>
          <w:rFonts w:ascii="Times New Roman" w:hAnsi="Times New Roman"/>
          <w:sz w:val="24"/>
          <w:szCs w:val="24"/>
          <w:lang w:val="sr-Cyrl-CS"/>
        </w:rPr>
        <w:t>у</w:t>
      </w:r>
      <w:r w:rsidRPr="00C84E93">
        <w:rPr>
          <w:rFonts w:ascii="Times New Roman" w:hAnsi="Times New Roman"/>
          <w:sz w:val="24"/>
          <w:szCs w:val="24"/>
        </w:rPr>
        <w:t>,</w:t>
      </w:r>
    </w:p>
    <w:p w:rsidR="000658B9" w:rsidRPr="00C84E93" w:rsidRDefault="000658B9" w:rsidP="008A3795">
      <w:pPr>
        <w:numPr>
          <w:ilvl w:val="0"/>
          <w:numId w:val="41"/>
        </w:numPr>
        <w:rPr>
          <w:rFonts w:ascii="Times New Roman" w:hAnsi="Times New Roman"/>
          <w:sz w:val="24"/>
          <w:szCs w:val="24"/>
          <w:shd w:val="clear" w:color="auto" w:fill="FFFF00"/>
        </w:rPr>
      </w:pPr>
      <w:r w:rsidRPr="00C84E93">
        <w:rPr>
          <w:rFonts w:ascii="Times New Roman" w:hAnsi="Times New Roman"/>
          <w:sz w:val="24"/>
          <w:szCs w:val="24"/>
        </w:rPr>
        <w:t xml:space="preserve">Склапање </w:t>
      </w:r>
      <w:r w:rsidRPr="00C84E93">
        <w:rPr>
          <w:rFonts w:ascii="Times New Roman" w:hAnsi="Times New Roman"/>
          <w:sz w:val="24"/>
          <w:szCs w:val="24"/>
          <w:lang w:val="sr-Cyrl-CS"/>
        </w:rPr>
        <w:t>споразума о</w:t>
      </w:r>
      <w:r w:rsidRPr="00C84E93">
        <w:rPr>
          <w:rFonts w:ascii="Times New Roman" w:hAnsi="Times New Roman"/>
          <w:sz w:val="24"/>
          <w:szCs w:val="24"/>
        </w:rPr>
        <w:t xml:space="preserve"> интегрит</w:t>
      </w:r>
      <w:r w:rsidRPr="00C84E93">
        <w:rPr>
          <w:rFonts w:ascii="Times New Roman" w:hAnsi="Times New Roman"/>
          <w:sz w:val="24"/>
          <w:szCs w:val="24"/>
          <w:lang w:val="sr-Cyrl-CS"/>
        </w:rPr>
        <w:t>е</w:t>
      </w:r>
      <w:r w:rsidRPr="00C84E93">
        <w:rPr>
          <w:rFonts w:ascii="Times New Roman" w:hAnsi="Times New Roman"/>
          <w:sz w:val="24"/>
          <w:szCs w:val="24"/>
        </w:rPr>
        <w:t>т</w:t>
      </w:r>
      <w:r w:rsidRPr="00C84E93">
        <w:rPr>
          <w:rFonts w:ascii="Times New Roman" w:hAnsi="Times New Roman"/>
          <w:sz w:val="24"/>
          <w:szCs w:val="24"/>
          <w:lang w:val="sr-Cyrl-CS"/>
        </w:rPr>
        <w:t>у</w:t>
      </w:r>
      <w:r w:rsidRPr="00C84E93">
        <w:rPr>
          <w:rFonts w:ascii="Times New Roman" w:hAnsi="Times New Roman"/>
          <w:sz w:val="24"/>
          <w:szCs w:val="24"/>
        </w:rPr>
        <w:t xml:space="preserve"> између пословних партнера</w:t>
      </w:r>
      <w:r w:rsidRPr="00C84E93">
        <w:rPr>
          <w:rFonts w:ascii="Times New Roman" w:hAnsi="Times New Roman"/>
          <w:sz w:val="24"/>
          <w:szCs w:val="24"/>
          <w:lang w:val="sr-Cyrl-CS"/>
        </w:rPr>
        <w:t>.</w:t>
      </w:r>
    </w:p>
    <w:p w:rsidR="000658B9" w:rsidRPr="00C84E93" w:rsidRDefault="000658B9" w:rsidP="000658B9">
      <w:pPr>
        <w:ind w:left="1350"/>
        <w:jc w:val="both"/>
        <w:rPr>
          <w:rFonts w:ascii="Times New Roman" w:hAnsi="Times New Roman"/>
          <w:sz w:val="24"/>
          <w:szCs w:val="24"/>
          <w:lang w:val="sr-Cyrl-CS"/>
        </w:rPr>
      </w:pPr>
    </w:p>
    <w:p w:rsidR="00A410E6" w:rsidRDefault="00A410E6" w:rsidP="00FF1C68">
      <w:pPr>
        <w:ind w:firstLine="630"/>
        <w:jc w:val="both"/>
        <w:rPr>
          <w:rFonts w:ascii="Times New Roman" w:hAnsi="Times New Roman"/>
          <w:sz w:val="24"/>
          <w:szCs w:val="24"/>
        </w:rPr>
      </w:pPr>
    </w:p>
    <w:p w:rsidR="00166B45" w:rsidRDefault="00166B45" w:rsidP="00FF1C68">
      <w:pPr>
        <w:ind w:firstLine="630"/>
        <w:jc w:val="both"/>
        <w:rPr>
          <w:rFonts w:ascii="Times New Roman" w:hAnsi="Times New Roman"/>
          <w:sz w:val="24"/>
          <w:szCs w:val="24"/>
        </w:rPr>
      </w:pPr>
    </w:p>
    <w:p w:rsidR="00166B45" w:rsidRDefault="00166B45" w:rsidP="00FF1C68">
      <w:pPr>
        <w:ind w:firstLine="630"/>
        <w:jc w:val="both"/>
        <w:rPr>
          <w:rFonts w:ascii="Times New Roman" w:hAnsi="Times New Roman"/>
          <w:sz w:val="24"/>
          <w:szCs w:val="24"/>
        </w:rPr>
      </w:pPr>
    </w:p>
    <w:p w:rsidR="00166B45" w:rsidRDefault="00166B45" w:rsidP="00FF1C68">
      <w:pPr>
        <w:ind w:firstLine="630"/>
        <w:jc w:val="both"/>
        <w:rPr>
          <w:rFonts w:ascii="Times New Roman" w:hAnsi="Times New Roman"/>
          <w:sz w:val="24"/>
          <w:szCs w:val="24"/>
        </w:rPr>
      </w:pPr>
    </w:p>
    <w:p w:rsidR="00166B45" w:rsidRDefault="00166B45" w:rsidP="00FF1C68">
      <w:pPr>
        <w:ind w:firstLine="630"/>
        <w:jc w:val="both"/>
        <w:rPr>
          <w:rFonts w:ascii="Times New Roman" w:hAnsi="Times New Roman"/>
          <w:sz w:val="24"/>
          <w:szCs w:val="24"/>
        </w:rPr>
      </w:pPr>
    </w:p>
    <w:p w:rsidR="00166B45" w:rsidRDefault="00166B45" w:rsidP="00FF1C68">
      <w:pPr>
        <w:ind w:firstLine="630"/>
        <w:jc w:val="both"/>
        <w:rPr>
          <w:rFonts w:ascii="Times New Roman" w:hAnsi="Times New Roman"/>
          <w:sz w:val="24"/>
          <w:szCs w:val="24"/>
        </w:rPr>
      </w:pPr>
    </w:p>
    <w:p w:rsidR="00166B45" w:rsidRDefault="00166B45" w:rsidP="00FF1C68">
      <w:pPr>
        <w:ind w:firstLine="630"/>
        <w:jc w:val="both"/>
        <w:rPr>
          <w:rFonts w:ascii="Times New Roman" w:hAnsi="Times New Roman"/>
          <w:sz w:val="24"/>
          <w:szCs w:val="24"/>
        </w:rPr>
      </w:pPr>
    </w:p>
    <w:p w:rsidR="00166B45" w:rsidRPr="001671E0" w:rsidRDefault="00166B45" w:rsidP="00FF1C68">
      <w:pPr>
        <w:ind w:firstLine="630"/>
        <w:jc w:val="both"/>
        <w:rPr>
          <w:rFonts w:ascii="Times New Roman" w:hAnsi="Times New Roman"/>
          <w:sz w:val="24"/>
          <w:szCs w:val="24"/>
          <w:lang w:val="sr-Cyrl-CS"/>
        </w:rPr>
      </w:pPr>
    </w:p>
    <w:p w:rsidR="00166B45" w:rsidRDefault="00166B45" w:rsidP="00FF1C68">
      <w:pPr>
        <w:ind w:firstLine="630"/>
        <w:jc w:val="both"/>
        <w:rPr>
          <w:rFonts w:ascii="Times New Roman" w:hAnsi="Times New Roman"/>
          <w:sz w:val="24"/>
          <w:szCs w:val="24"/>
          <w:lang w:val="sr-Cyrl-CS"/>
        </w:rPr>
      </w:pPr>
    </w:p>
    <w:p w:rsidR="00831157" w:rsidRDefault="00831157" w:rsidP="00FF1C68">
      <w:pPr>
        <w:ind w:firstLine="630"/>
        <w:jc w:val="both"/>
        <w:rPr>
          <w:rFonts w:ascii="Times New Roman" w:hAnsi="Times New Roman"/>
          <w:sz w:val="24"/>
          <w:szCs w:val="24"/>
          <w:lang w:val="sr-Cyrl-CS"/>
        </w:rPr>
      </w:pPr>
    </w:p>
    <w:p w:rsidR="00831157" w:rsidRDefault="00831157" w:rsidP="00FF1C68">
      <w:pPr>
        <w:ind w:firstLine="630"/>
        <w:jc w:val="both"/>
        <w:rPr>
          <w:rFonts w:ascii="Times New Roman" w:hAnsi="Times New Roman"/>
          <w:sz w:val="24"/>
          <w:szCs w:val="24"/>
          <w:lang w:val="sr-Cyrl-CS"/>
        </w:rPr>
      </w:pPr>
    </w:p>
    <w:p w:rsidR="00831157" w:rsidRDefault="00831157" w:rsidP="00FF1C68">
      <w:pPr>
        <w:ind w:firstLine="630"/>
        <w:jc w:val="both"/>
        <w:rPr>
          <w:rFonts w:ascii="Times New Roman" w:hAnsi="Times New Roman"/>
          <w:sz w:val="24"/>
          <w:szCs w:val="24"/>
          <w:lang w:val="sr-Cyrl-CS"/>
        </w:rPr>
      </w:pPr>
    </w:p>
    <w:p w:rsidR="00831157" w:rsidRDefault="00831157" w:rsidP="00FF1C68">
      <w:pPr>
        <w:ind w:firstLine="630"/>
        <w:jc w:val="both"/>
        <w:rPr>
          <w:rFonts w:ascii="Times New Roman" w:hAnsi="Times New Roman"/>
          <w:sz w:val="24"/>
          <w:szCs w:val="24"/>
          <w:lang w:val="sr-Cyrl-CS"/>
        </w:rPr>
      </w:pPr>
    </w:p>
    <w:p w:rsidR="00831157" w:rsidRPr="00831157" w:rsidRDefault="00831157" w:rsidP="00FF1C68">
      <w:pPr>
        <w:ind w:firstLine="630"/>
        <w:jc w:val="both"/>
        <w:rPr>
          <w:rFonts w:ascii="Times New Roman" w:hAnsi="Times New Roman"/>
          <w:sz w:val="24"/>
          <w:szCs w:val="24"/>
          <w:lang w:val="sr-Cyrl-CS"/>
        </w:rPr>
      </w:pPr>
    </w:p>
    <w:p w:rsidR="003B3D6B" w:rsidRPr="001F48A2" w:rsidRDefault="00E16222" w:rsidP="001F48A2">
      <w:pPr>
        <w:ind w:left="630"/>
        <w:jc w:val="both"/>
        <w:rPr>
          <w:rFonts w:ascii="Times New Roman" w:hAnsi="Times New Roman"/>
          <w:b/>
          <w:i/>
          <w:sz w:val="28"/>
          <w:szCs w:val="28"/>
          <w:lang w:val="sr-Cyrl-CS"/>
        </w:rPr>
      </w:pPr>
      <w:r w:rsidRPr="00E16222">
        <w:rPr>
          <w:rFonts w:ascii="Times New Roman" w:hAnsi="Times New Roman"/>
          <w:b/>
          <w:sz w:val="24"/>
          <w:szCs w:val="24"/>
        </w:rPr>
        <w:t>IV</w:t>
      </w:r>
      <w:r w:rsidR="009E6666">
        <w:rPr>
          <w:rFonts w:ascii="Times New Roman" w:hAnsi="Times New Roman"/>
          <w:sz w:val="24"/>
          <w:szCs w:val="24"/>
          <w:lang w:val="sr-Cyrl-CS"/>
        </w:rPr>
        <w:t xml:space="preserve"> </w:t>
      </w:r>
      <w:r w:rsidR="00C73790" w:rsidRPr="00C73790">
        <w:rPr>
          <w:rFonts w:ascii="Times New Roman" w:hAnsi="Times New Roman"/>
          <w:sz w:val="24"/>
          <w:szCs w:val="24"/>
          <w:lang w:val="sr-Cyrl-CS"/>
        </w:rPr>
        <w:t xml:space="preserve"> </w:t>
      </w:r>
      <w:r w:rsidR="00C73790" w:rsidRPr="001F48A2">
        <w:rPr>
          <w:rFonts w:ascii="Times New Roman" w:hAnsi="Times New Roman"/>
          <w:b/>
          <w:i/>
          <w:sz w:val="28"/>
          <w:szCs w:val="28"/>
          <w:lang w:val="sr-Cyrl-CS"/>
        </w:rPr>
        <w:t>Предузете мере и пос</w:t>
      </w:r>
      <w:r w:rsidR="001F48A2">
        <w:rPr>
          <w:rFonts w:ascii="Times New Roman" w:hAnsi="Times New Roman"/>
          <w:b/>
          <w:i/>
          <w:sz w:val="28"/>
          <w:szCs w:val="28"/>
          <w:lang w:val="sr-Cyrl-CS"/>
        </w:rPr>
        <w:t xml:space="preserve">тигнути резултати у остваривању </w:t>
      </w:r>
      <w:r w:rsidR="00C73790" w:rsidRPr="001F48A2">
        <w:rPr>
          <w:rFonts w:ascii="Times New Roman" w:hAnsi="Times New Roman"/>
          <w:b/>
          <w:i/>
          <w:sz w:val="28"/>
          <w:szCs w:val="28"/>
          <w:lang w:val="sr-Cyrl-CS"/>
        </w:rPr>
        <w:t>националне</w:t>
      </w:r>
      <w:r w:rsidR="001F48A2">
        <w:rPr>
          <w:rFonts w:ascii="Times New Roman" w:hAnsi="Times New Roman"/>
          <w:b/>
          <w:i/>
          <w:sz w:val="28"/>
          <w:szCs w:val="28"/>
          <w:lang w:val="sr-Cyrl-CS"/>
        </w:rPr>
        <w:t xml:space="preserve"> </w:t>
      </w:r>
      <w:r w:rsidR="00C73790" w:rsidRPr="001F48A2">
        <w:rPr>
          <w:rFonts w:ascii="Times New Roman" w:hAnsi="Times New Roman"/>
          <w:b/>
          <w:i/>
          <w:sz w:val="28"/>
          <w:szCs w:val="28"/>
          <w:lang w:val="sr-Cyrl-CS"/>
        </w:rPr>
        <w:t xml:space="preserve">стратегије као предуслова за чланство </w:t>
      </w:r>
      <w:r w:rsidR="00C73790" w:rsidRPr="001F48A2">
        <w:rPr>
          <w:rFonts w:ascii="Times New Roman" w:hAnsi="Times New Roman"/>
          <w:b/>
          <w:i/>
          <w:sz w:val="28"/>
          <w:szCs w:val="28"/>
        </w:rPr>
        <w:t>Р</w:t>
      </w:r>
      <w:r w:rsidR="00C73790" w:rsidRPr="001F48A2">
        <w:rPr>
          <w:rFonts w:ascii="Times New Roman" w:hAnsi="Times New Roman"/>
          <w:b/>
          <w:i/>
          <w:sz w:val="28"/>
          <w:szCs w:val="28"/>
          <w:lang w:val="sr-Cyrl-CS"/>
        </w:rPr>
        <w:t>епублике</w:t>
      </w:r>
      <w:r w:rsidR="00C73790" w:rsidRPr="001F48A2">
        <w:rPr>
          <w:rFonts w:ascii="Times New Roman" w:hAnsi="Times New Roman"/>
          <w:b/>
          <w:i/>
          <w:sz w:val="28"/>
          <w:szCs w:val="28"/>
        </w:rPr>
        <w:t xml:space="preserve"> С</w:t>
      </w:r>
      <w:r w:rsidR="00C73790" w:rsidRPr="001F48A2">
        <w:rPr>
          <w:rFonts w:ascii="Times New Roman" w:hAnsi="Times New Roman"/>
          <w:b/>
          <w:i/>
          <w:sz w:val="28"/>
          <w:szCs w:val="28"/>
          <w:lang w:val="sr-Cyrl-CS"/>
        </w:rPr>
        <w:t>рбије у</w:t>
      </w:r>
      <w:r w:rsidR="001F48A2">
        <w:rPr>
          <w:rFonts w:ascii="Times New Roman" w:hAnsi="Times New Roman"/>
          <w:b/>
          <w:i/>
          <w:sz w:val="28"/>
          <w:szCs w:val="28"/>
          <w:lang w:val="sr-Cyrl-CS"/>
        </w:rPr>
        <w:t xml:space="preserve"> </w:t>
      </w:r>
      <w:r w:rsidR="00C73790" w:rsidRPr="001F48A2">
        <w:rPr>
          <w:rFonts w:ascii="Times New Roman" w:hAnsi="Times New Roman"/>
          <w:b/>
          <w:i/>
          <w:sz w:val="28"/>
          <w:szCs w:val="28"/>
        </w:rPr>
        <w:t>Е</w:t>
      </w:r>
      <w:r w:rsidR="00C73790" w:rsidRPr="001F48A2">
        <w:rPr>
          <w:rFonts w:ascii="Times New Roman" w:hAnsi="Times New Roman"/>
          <w:b/>
          <w:i/>
          <w:sz w:val="28"/>
          <w:szCs w:val="28"/>
          <w:lang w:val="sr-Cyrl-CS"/>
        </w:rPr>
        <w:t>вропској</w:t>
      </w:r>
      <w:r w:rsidR="001F48A2">
        <w:rPr>
          <w:rFonts w:ascii="Times New Roman" w:hAnsi="Times New Roman"/>
          <w:b/>
          <w:i/>
          <w:sz w:val="28"/>
          <w:szCs w:val="28"/>
          <w:lang w:val="sr-Cyrl-CS"/>
        </w:rPr>
        <w:t xml:space="preserve"> </w:t>
      </w:r>
      <w:r w:rsidR="00C73790" w:rsidRPr="001F48A2">
        <w:rPr>
          <w:rFonts w:ascii="Times New Roman" w:hAnsi="Times New Roman"/>
          <w:b/>
          <w:i/>
          <w:sz w:val="28"/>
          <w:szCs w:val="28"/>
          <w:lang w:val="sr-Cyrl-CS"/>
        </w:rPr>
        <w:t>Унији</w:t>
      </w:r>
    </w:p>
    <w:p w:rsidR="00E16222" w:rsidRDefault="00E16222" w:rsidP="003B3D6B">
      <w:pPr>
        <w:ind w:left="630"/>
        <w:jc w:val="both"/>
        <w:rPr>
          <w:rFonts w:ascii="Times New Roman" w:hAnsi="Times New Roman"/>
          <w:sz w:val="24"/>
          <w:szCs w:val="24"/>
        </w:rPr>
      </w:pPr>
    </w:p>
    <w:p w:rsidR="00E16222" w:rsidRPr="00D471F9" w:rsidRDefault="00E16222" w:rsidP="00D471F9">
      <w:pPr>
        <w:ind w:firstLine="630"/>
        <w:jc w:val="both"/>
        <w:rPr>
          <w:rFonts w:ascii="Times New Roman" w:hAnsi="Times New Roman"/>
          <w:color w:val="000000"/>
          <w:sz w:val="24"/>
          <w:szCs w:val="24"/>
          <w:shd w:val="clear" w:color="auto" w:fill="FFFFFF"/>
          <w:lang w:val="sr-Cyrl-CS"/>
        </w:rPr>
      </w:pPr>
      <w:r w:rsidRPr="00D471F9">
        <w:rPr>
          <w:rFonts w:ascii="Times New Roman" w:hAnsi="Times New Roman"/>
          <w:sz w:val="24"/>
          <w:szCs w:val="24"/>
          <w:lang w:val="sr-Cyrl-CS"/>
        </w:rPr>
        <w:t>У Националној стратегији за борбу против корупције у Републици Србији за период од 2013. до 2018. године</w:t>
      </w:r>
      <w:r w:rsidRPr="00D471F9">
        <w:rPr>
          <w:rStyle w:val="FootnoteReference"/>
          <w:rFonts w:ascii="Times New Roman" w:hAnsi="Times New Roman"/>
          <w:sz w:val="24"/>
          <w:szCs w:val="24"/>
          <w:lang w:val="sr-Cyrl-CS"/>
        </w:rPr>
        <w:footnoteReference w:id="907"/>
      </w:r>
      <w:r w:rsidRPr="00D471F9">
        <w:rPr>
          <w:rFonts w:ascii="Times New Roman" w:hAnsi="Times New Roman"/>
          <w:sz w:val="24"/>
          <w:szCs w:val="24"/>
          <w:lang w:val="sr-Cyrl-CS"/>
        </w:rPr>
        <w:t xml:space="preserve">се у уводном делу наглашава озбиљност проблема присутности корупције и наводи се да се према </w:t>
      </w:r>
      <w:r w:rsidR="00360BE9" w:rsidRPr="00D471F9">
        <w:rPr>
          <w:rFonts w:ascii="Times New Roman" w:hAnsi="Times New Roman"/>
          <w:color w:val="000000"/>
          <w:sz w:val="24"/>
          <w:szCs w:val="24"/>
          <w:shd w:val="clear" w:color="auto" w:fill="FFFFFF"/>
        </w:rPr>
        <w:t>индекс</w:t>
      </w:r>
      <w:r w:rsidRPr="00D471F9">
        <w:rPr>
          <w:rFonts w:ascii="Times New Roman" w:hAnsi="Times New Roman"/>
          <w:color w:val="000000"/>
          <w:sz w:val="24"/>
          <w:szCs w:val="24"/>
          <w:shd w:val="clear" w:color="auto" w:fill="FFFFFF"/>
          <w:lang w:val="sr-Cyrl-CS"/>
        </w:rPr>
        <w:t>у</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перцепције</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корупције</w:t>
      </w:r>
      <w:r w:rsidRPr="00D471F9">
        <w:rPr>
          <w:rStyle w:val="apple-converted-space"/>
          <w:rFonts w:ascii="Times New Roman" w:hAnsi="Times New Roman"/>
          <w:color w:val="000000"/>
          <w:sz w:val="24"/>
          <w:szCs w:val="24"/>
          <w:shd w:val="clear" w:color="auto" w:fill="FFFFFF"/>
        </w:rPr>
        <w:t> </w:t>
      </w:r>
      <w:r w:rsidR="00D471F9">
        <w:rPr>
          <w:rFonts w:ascii="Times New Roman" w:hAnsi="Times New Roman"/>
          <w:iCs/>
          <w:color w:val="000000"/>
          <w:sz w:val="24"/>
          <w:szCs w:val="24"/>
          <w:shd w:val="clear" w:color="auto" w:fill="FFFFFF"/>
        </w:rPr>
        <w:t>Transparency</w:t>
      </w:r>
      <w:r w:rsidRPr="00D471F9">
        <w:rPr>
          <w:rFonts w:ascii="Times New Roman" w:hAnsi="Times New Roman"/>
          <w:iCs/>
          <w:color w:val="000000"/>
          <w:sz w:val="24"/>
          <w:szCs w:val="24"/>
          <w:shd w:val="clear" w:color="auto" w:fill="FFFFFF"/>
        </w:rPr>
        <w:t xml:space="preserve"> </w:t>
      </w:r>
      <w:r w:rsidR="00D471F9">
        <w:rPr>
          <w:rFonts w:ascii="Times New Roman" w:hAnsi="Times New Roman"/>
          <w:iCs/>
          <w:color w:val="000000"/>
          <w:sz w:val="24"/>
          <w:szCs w:val="24"/>
          <w:shd w:val="clear" w:color="auto" w:fill="FFFFFF"/>
        </w:rPr>
        <w:t>International</w:t>
      </w:r>
      <w:r w:rsidRPr="00D471F9">
        <w:rPr>
          <w:rFonts w:ascii="Times New Roman" w:hAnsi="Times New Roman"/>
          <w:color w:val="000000"/>
          <w:sz w:val="24"/>
          <w:szCs w:val="24"/>
          <w:shd w:val="clear" w:color="auto" w:fill="FFFFFF"/>
        </w:rPr>
        <w:t>-</w:t>
      </w:r>
      <w:r w:rsidR="00360BE9" w:rsidRPr="00D471F9">
        <w:rPr>
          <w:rFonts w:ascii="Times New Roman" w:hAnsi="Times New Roman"/>
          <w:color w:val="000000"/>
          <w:sz w:val="24"/>
          <w:szCs w:val="24"/>
          <w:shd w:val="clear" w:color="auto" w:fill="FFFFFF"/>
        </w:rPr>
        <w:t>а</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Србија</w:t>
      </w:r>
      <w:r w:rsidRPr="00D471F9">
        <w:rPr>
          <w:rFonts w:ascii="Times New Roman" w:hAnsi="Times New Roman"/>
          <w:color w:val="000000"/>
          <w:sz w:val="24"/>
          <w:szCs w:val="24"/>
          <w:shd w:val="clear" w:color="auto" w:fill="FFFFFF"/>
        </w:rPr>
        <w:t xml:space="preserve"> 2012. </w:t>
      </w:r>
      <w:r w:rsidR="00360BE9" w:rsidRPr="00D471F9">
        <w:rPr>
          <w:rFonts w:ascii="Times New Roman" w:hAnsi="Times New Roman"/>
          <w:color w:val="000000"/>
          <w:sz w:val="24"/>
          <w:szCs w:val="24"/>
          <w:shd w:val="clear" w:color="auto" w:fill="FFFFFF"/>
        </w:rPr>
        <w:t>године</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нашла</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на</w:t>
      </w:r>
      <w:r w:rsidRPr="00D471F9">
        <w:rPr>
          <w:rFonts w:ascii="Times New Roman" w:hAnsi="Times New Roman"/>
          <w:color w:val="000000"/>
          <w:sz w:val="24"/>
          <w:szCs w:val="24"/>
          <w:shd w:val="clear" w:color="auto" w:fill="FFFFFF"/>
        </w:rPr>
        <w:t xml:space="preserve"> 80. </w:t>
      </w:r>
      <w:r w:rsidR="00360BE9" w:rsidRPr="00D471F9">
        <w:rPr>
          <w:rFonts w:ascii="Times New Roman" w:hAnsi="Times New Roman"/>
          <w:color w:val="000000"/>
          <w:sz w:val="24"/>
          <w:szCs w:val="24"/>
          <w:shd w:val="clear" w:color="auto" w:fill="FFFFFF"/>
        </w:rPr>
        <w:t>месту</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од</w:t>
      </w:r>
      <w:r w:rsidRPr="00D471F9">
        <w:rPr>
          <w:rFonts w:ascii="Times New Roman" w:hAnsi="Times New Roman"/>
          <w:color w:val="000000"/>
          <w:sz w:val="24"/>
          <w:szCs w:val="24"/>
          <w:shd w:val="clear" w:color="auto" w:fill="FFFFFF"/>
        </w:rPr>
        <w:t xml:space="preserve"> 176 </w:t>
      </w:r>
      <w:r w:rsidR="00360BE9" w:rsidRPr="00D471F9">
        <w:rPr>
          <w:rFonts w:ascii="Times New Roman" w:hAnsi="Times New Roman"/>
          <w:color w:val="000000"/>
          <w:sz w:val="24"/>
          <w:szCs w:val="24"/>
          <w:shd w:val="clear" w:color="auto" w:fill="FFFFFF"/>
        </w:rPr>
        <w:t>земаља</w:t>
      </w:r>
      <w:r w:rsidR="00821BB0" w:rsidRPr="00D471F9">
        <w:rPr>
          <w:rFonts w:ascii="Times New Roman" w:hAnsi="Times New Roman"/>
          <w:color w:val="000000"/>
          <w:sz w:val="24"/>
          <w:szCs w:val="24"/>
          <w:shd w:val="clear" w:color="auto" w:fill="FFFFFF"/>
        </w:rPr>
        <w:t>,</w:t>
      </w:r>
      <w:r w:rsidRPr="00D471F9">
        <w:rPr>
          <w:rFonts w:ascii="Times New Roman" w:hAnsi="Times New Roman"/>
          <w:color w:val="000000"/>
          <w:sz w:val="24"/>
          <w:szCs w:val="24"/>
          <w:shd w:val="clear" w:color="auto" w:fill="FFFFFF"/>
          <w:lang w:val="sr-Cyrl-CS"/>
        </w:rPr>
        <w:t xml:space="preserve"> а</w:t>
      </w:r>
      <w:r w:rsidRPr="00D471F9">
        <w:rPr>
          <w:rFonts w:ascii="Times New Roman" w:hAnsi="Times New Roman"/>
          <w:sz w:val="24"/>
          <w:szCs w:val="24"/>
          <w:lang w:val="sr-Cyrl-CS"/>
        </w:rPr>
        <w:t xml:space="preserve"> везано за до сада постигнуте резултате се наводи </w:t>
      </w:r>
      <w:r w:rsidR="00360BE9" w:rsidRPr="00D471F9">
        <w:rPr>
          <w:rFonts w:ascii="Times New Roman" w:hAnsi="Times New Roman"/>
          <w:color w:val="000000"/>
          <w:sz w:val="24"/>
          <w:szCs w:val="24"/>
          <w:shd w:val="clear" w:color="auto" w:fill="FFFFFF"/>
        </w:rPr>
        <w:t>да</w:t>
      </w:r>
      <w:r w:rsidRPr="00D471F9">
        <w:rPr>
          <w:rFonts w:ascii="Times New Roman" w:hAnsi="Times New Roman"/>
          <w:color w:val="000000"/>
          <w:sz w:val="24"/>
          <w:szCs w:val="24"/>
          <w:shd w:val="clear" w:color="auto" w:fill="FFFFFF"/>
        </w:rPr>
        <w:t xml:space="preserve"> </w:t>
      </w:r>
      <w:r w:rsidRPr="00D471F9">
        <w:rPr>
          <w:rStyle w:val="apple-converted-space"/>
          <w:rFonts w:ascii="Times New Roman" w:hAnsi="Times New Roman"/>
          <w:color w:val="000000"/>
          <w:sz w:val="24"/>
          <w:szCs w:val="24"/>
          <w:shd w:val="clear" w:color="auto" w:fill="FFFFFF"/>
        </w:rPr>
        <w:t> </w:t>
      </w:r>
      <w:r w:rsidRPr="00D471F9">
        <w:rPr>
          <w:rFonts w:ascii="Times New Roman" w:hAnsi="Times New Roman"/>
          <w:color w:val="000000"/>
          <w:sz w:val="24"/>
          <w:szCs w:val="24"/>
          <w:shd w:val="clear" w:color="auto" w:fill="FFFFFF"/>
          <w:lang w:val="sr-Cyrl-CS"/>
        </w:rPr>
        <w:t>и</w:t>
      </w:r>
      <w:r w:rsidR="00360BE9" w:rsidRPr="00D471F9">
        <w:rPr>
          <w:rFonts w:ascii="Times New Roman" w:hAnsi="Times New Roman"/>
          <w:color w:val="000000"/>
          <w:sz w:val="24"/>
          <w:szCs w:val="24"/>
          <w:shd w:val="clear" w:color="auto" w:fill="FFFFFF"/>
        </w:rPr>
        <w:t>з</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извештаја</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Агенције</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за</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борбу</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против</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корупције</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о</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спровођењу</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Стратегије</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из</w:t>
      </w:r>
      <w:r w:rsidRPr="00D471F9">
        <w:rPr>
          <w:rFonts w:ascii="Times New Roman" w:hAnsi="Times New Roman"/>
          <w:color w:val="000000"/>
          <w:sz w:val="24"/>
          <w:szCs w:val="24"/>
          <w:shd w:val="clear" w:color="auto" w:fill="FFFFFF"/>
        </w:rPr>
        <w:t xml:space="preserve"> 2005. </w:t>
      </w:r>
      <w:r w:rsidR="00360BE9" w:rsidRPr="00D471F9">
        <w:rPr>
          <w:rFonts w:ascii="Times New Roman" w:hAnsi="Times New Roman"/>
          <w:color w:val="000000"/>
          <w:sz w:val="24"/>
          <w:szCs w:val="24"/>
          <w:shd w:val="clear" w:color="auto" w:fill="FFFFFF"/>
        </w:rPr>
        <w:t>године</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за</w:t>
      </w:r>
      <w:r w:rsidRPr="00D471F9">
        <w:rPr>
          <w:rFonts w:ascii="Times New Roman" w:hAnsi="Times New Roman"/>
          <w:color w:val="000000"/>
          <w:sz w:val="24"/>
          <w:szCs w:val="24"/>
          <w:shd w:val="clear" w:color="auto" w:fill="FFFFFF"/>
        </w:rPr>
        <w:t xml:space="preserve"> 2012. </w:t>
      </w:r>
      <w:r w:rsidR="00360BE9" w:rsidRPr="00D471F9">
        <w:rPr>
          <w:rFonts w:ascii="Times New Roman" w:hAnsi="Times New Roman"/>
          <w:color w:val="000000"/>
          <w:sz w:val="24"/>
          <w:szCs w:val="24"/>
          <w:shd w:val="clear" w:color="auto" w:fill="FFFFFF"/>
        </w:rPr>
        <w:t>годину</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произлази</w:t>
      </w:r>
      <w:r w:rsidRPr="00D471F9">
        <w:rPr>
          <w:rFonts w:ascii="Times New Roman" w:hAnsi="Times New Roman"/>
          <w:color w:val="000000"/>
          <w:sz w:val="24"/>
          <w:szCs w:val="24"/>
          <w:shd w:val="clear" w:color="auto" w:fill="FFFFFF"/>
        </w:rPr>
        <w:t xml:space="preserve"> </w:t>
      </w:r>
      <w:r w:rsidR="00281DA8" w:rsidRPr="00D471F9">
        <w:rPr>
          <w:rFonts w:ascii="Times New Roman" w:hAnsi="Times New Roman"/>
          <w:color w:val="000000"/>
          <w:sz w:val="24"/>
          <w:szCs w:val="24"/>
          <w:shd w:val="clear" w:color="auto" w:fill="FFFFFF"/>
          <w:lang w:val="sr-Cyrl-CS"/>
        </w:rPr>
        <w:t xml:space="preserve">да </w:t>
      </w:r>
      <w:r w:rsidR="00360BE9" w:rsidRPr="00D471F9">
        <w:rPr>
          <w:rFonts w:ascii="Times New Roman" w:hAnsi="Times New Roman"/>
          <w:color w:val="000000"/>
          <w:sz w:val="24"/>
          <w:szCs w:val="24"/>
          <w:shd w:val="clear" w:color="auto" w:fill="FFFFFF"/>
        </w:rPr>
        <w:t>су</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у</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највећој</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мери</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остварени</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циљеви</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у</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области</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установљавања</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правног</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и</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институционалног</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оквира</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за</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превенцију</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и</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сузбијање</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корупције</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спречавања</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сукоба</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интереса</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у</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јавном</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сектору</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укључивања</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у</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регионалну</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и</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међународну</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борбу</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против</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корупције</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као</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и</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успостављања</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етичких</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стандарда</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и</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транспарентног</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финансирања</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политичких</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странака</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С</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друге</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стране</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поједина</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питања</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која</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су</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предмет</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стратешког</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документа</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уопште</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нису</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или</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су</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само</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делимично</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решена</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Као</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пример</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се</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могу</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навести</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реформа</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правосуђа</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која</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још</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увек</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није</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заокружена</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на</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задовољавајући</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начин</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процеси</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приватизације</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и</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јавних</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набавки</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који</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и</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даље</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изазивају</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забринутост</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у</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погледу</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корупције</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недовољна</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транспарентност</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власништва</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над</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медијима</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и</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могућност</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недозвољеног</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утицаја</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на</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уређивачку</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политику</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недовољно</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учешће</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јавности</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у</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законодавном</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процесу</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и</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буџетском</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планирању</w:t>
      </w:r>
      <w:r w:rsidRPr="00D471F9">
        <w:rPr>
          <w:rFonts w:ascii="Times New Roman" w:hAnsi="Times New Roman"/>
          <w:color w:val="000000"/>
          <w:sz w:val="24"/>
          <w:szCs w:val="24"/>
          <w:shd w:val="clear" w:color="auto" w:fill="FFFFFF"/>
        </w:rPr>
        <w:t xml:space="preserve">, </w:t>
      </w:r>
      <w:r w:rsidR="00360BE9" w:rsidRPr="00D471F9">
        <w:rPr>
          <w:rFonts w:ascii="Times New Roman" w:hAnsi="Times New Roman"/>
          <w:color w:val="000000"/>
          <w:sz w:val="24"/>
          <w:szCs w:val="24"/>
          <w:shd w:val="clear" w:color="auto" w:fill="FFFFFF"/>
        </w:rPr>
        <w:t>итд</w:t>
      </w:r>
      <w:r w:rsidRPr="00D471F9">
        <w:rPr>
          <w:rFonts w:ascii="Times New Roman" w:hAnsi="Times New Roman"/>
          <w:color w:val="000000"/>
          <w:sz w:val="24"/>
          <w:szCs w:val="24"/>
          <w:shd w:val="clear" w:color="auto" w:fill="FFFFFF"/>
          <w:lang w:val="sr-Cyrl-CS"/>
        </w:rPr>
        <w:t xml:space="preserve">. </w:t>
      </w:r>
    </w:p>
    <w:p w:rsidR="00E16222" w:rsidRPr="00D471F9" w:rsidRDefault="00E16222" w:rsidP="00D471F9">
      <w:pPr>
        <w:ind w:firstLine="630"/>
        <w:jc w:val="both"/>
        <w:rPr>
          <w:rFonts w:ascii="Times New Roman" w:hAnsi="Times New Roman"/>
          <w:sz w:val="24"/>
          <w:szCs w:val="24"/>
          <w:shd w:val="clear" w:color="auto" w:fill="FFFFFF"/>
        </w:rPr>
      </w:pPr>
      <w:r w:rsidRPr="00D471F9">
        <w:rPr>
          <w:rFonts w:ascii="Times New Roman" w:hAnsi="Times New Roman"/>
          <w:sz w:val="24"/>
          <w:szCs w:val="24"/>
          <w:lang w:val="sr-Cyrl-CS"/>
        </w:rPr>
        <w:t xml:space="preserve">Како би се ови проблеми превазишли у наредном периоду постављени су циљеви и то, између осталог, да се: </w:t>
      </w:r>
      <w:r w:rsidRPr="00D471F9">
        <w:rPr>
          <w:rFonts w:ascii="Times New Roman" w:hAnsi="Times New Roman"/>
          <w:sz w:val="24"/>
          <w:szCs w:val="24"/>
          <w:shd w:val="clear" w:color="auto" w:fill="FFFFFF"/>
          <w:lang w:val="sr-Cyrl-CS"/>
        </w:rPr>
        <w:t>у</w:t>
      </w:r>
      <w:r w:rsidR="00360BE9" w:rsidRPr="00D471F9">
        <w:rPr>
          <w:rFonts w:ascii="Times New Roman" w:hAnsi="Times New Roman"/>
          <w:sz w:val="24"/>
          <w:szCs w:val="24"/>
          <w:shd w:val="clear" w:color="auto" w:fill="FFFFFF"/>
        </w:rPr>
        <w:t>спостав</w:t>
      </w:r>
      <w:r w:rsidRPr="00D471F9">
        <w:rPr>
          <w:rFonts w:ascii="Times New Roman" w:hAnsi="Times New Roman"/>
          <w:sz w:val="24"/>
          <w:szCs w:val="24"/>
          <w:shd w:val="clear" w:color="auto" w:fill="FFFFFF"/>
          <w:lang w:val="sr-Cyrl-CS"/>
        </w:rPr>
        <w:t>и</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правни</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и</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институционални</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оквир</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за</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спровођење</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система</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јединственог</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идентификационог</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пореског</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броја</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за</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физичка</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и</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правна</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лица</w:t>
      </w:r>
      <w:r w:rsidRPr="00D471F9">
        <w:rPr>
          <w:rFonts w:ascii="Times New Roman" w:hAnsi="Times New Roman"/>
          <w:sz w:val="24"/>
          <w:szCs w:val="24"/>
          <w:shd w:val="clear" w:color="auto" w:fill="FFFFFF"/>
          <w:lang w:val="sr-Cyrl-CS"/>
        </w:rPr>
        <w:t xml:space="preserve">, </w:t>
      </w:r>
      <w:r w:rsidRPr="00D471F9">
        <w:rPr>
          <w:rFonts w:ascii="Times New Roman" w:hAnsi="Times New Roman"/>
          <w:sz w:val="24"/>
          <w:szCs w:val="24"/>
          <w:lang w:val="sr-Cyrl-CS"/>
        </w:rPr>
        <w:t xml:space="preserve"> </w:t>
      </w:r>
      <w:r w:rsidRPr="00D471F9">
        <w:rPr>
          <w:rFonts w:ascii="Times New Roman" w:hAnsi="Times New Roman"/>
          <w:sz w:val="24"/>
          <w:szCs w:val="24"/>
          <w:shd w:val="clear" w:color="auto" w:fill="FFFFFF"/>
          <w:lang w:val="sr-Cyrl-CS"/>
        </w:rPr>
        <w:t>у</w:t>
      </w:r>
      <w:r w:rsidR="00360BE9" w:rsidRPr="00D471F9">
        <w:rPr>
          <w:rFonts w:ascii="Times New Roman" w:hAnsi="Times New Roman"/>
          <w:sz w:val="24"/>
          <w:szCs w:val="24"/>
          <w:shd w:val="clear" w:color="auto" w:fill="FFFFFF"/>
        </w:rPr>
        <w:t>спостав</w:t>
      </w:r>
      <w:r w:rsidRPr="00D471F9">
        <w:rPr>
          <w:rFonts w:ascii="Times New Roman" w:hAnsi="Times New Roman"/>
          <w:sz w:val="24"/>
          <w:szCs w:val="24"/>
          <w:shd w:val="clear" w:color="auto" w:fill="FFFFFF"/>
          <w:lang w:val="sr-Cyrl-CS"/>
        </w:rPr>
        <w:t>и</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ефикасна</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контрола</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примене</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царинских</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прописа</w:t>
      </w:r>
      <w:r w:rsidRPr="00D471F9">
        <w:rPr>
          <w:rFonts w:ascii="Times New Roman" w:hAnsi="Times New Roman"/>
          <w:sz w:val="24"/>
          <w:szCs w:val="24"/>
          <w:shd w:val="clear" w:color="auto" w:fill="FFFFFF"/>
          <w:lang w:val="sr-Cyrl-CS"/>
        </w:rPr>
        <w:t>, у</w:t>
      </w:r>
      <w:r w:rsidR="00360BE9" w:rsidRPr="00D471F9">
        <w:rPr>
          <w:rFonts w:ascii="Times New Roman" w:hAnsi="Times New Roman"/>
          <w:sz w:val="24"/>
          <w:szCs w:val="24"/>
          <w:shd w:val="clear" w:color="auto" w:fill="FFFFFF"/>
        </w:rPr>
        <w:t>напре</w:t>
      </w:r>
      <w:r w:rsidRPr="00D471F9">
        <w:rPr>
          <w:rFonts w:ascii="Times New Roman" w:hAnsi="Times New Roman"/>
          <w:sz w:val="24"/>
          <w:szCs w:val="24"/>
          <w:shd w:val="clear" w:color="auto" w:fill="FFFFFF"/>
          <w:lang w:val="sr-Cyrl-CS"/>
        </w:rPr>
        <w:t>ди</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учешће</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јавности</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у</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праћењу</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трошења</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буџетских</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средстава</w:t>
      </w:r>
      <w:r w:rsidRPr="00D471F9">
        <w:rPr>
          <w:rFonts w:ascii="Times New Roman" w:hAnsi="Times New Roman"/>
          <w:sz w:val="24"/>
          <w:szCs w:val="24"/>
          <w:shd w:val="clear" w:color="auto" w:fill="FFFFFF"/>
          <w:lang w:val="sr-Cyrl-CS"/>
        </w:rPr>
        <w:t xml:space="preserve">, </w:t>
      </w:r>
      <w:r w:rsidRPr="00D471F9">
        <w:rPr>
          <w:rStyle w:val="apple-converted-space"/>
          <w:rFonts w:ascii="Times New Roman" w:hAnsi="Times New Roman"/>
          <w:color w:val="000000"/>
          <w:sz w:val="24"/>
          <w:szCs w:val="24"/>
          <w:shd w:val="clear" w:color="auto" w:fill="FFFFFF"/>
        </w:rPr>
        <w:t> </w:t>
      </w:r>
      <w:r w:rsidRPr="00D471F9">
        <w:rPr>
          <w:rFonts w:ascii="Times New Roman" w:hAnsi="Times New Roman"/>
          <w:sz w:val="24"/>
          <w:szCs w:val="24"/>
          <w:shd w:val="clear" w:color="auto" w:fill="FFFFFF"/>
          <w:lang w:val="sr-Cyrl-CS"/>
        </w:rPr>
        <w:t>д</w:t>
      </w:r>
      <w:r w:rsidR="00360BE9" w:rsidRPr="00D471F9">
        <w:rPr>
          <w:rFonts w:ascii="Times New Roman" w:hAnsi="Times New Roman"/>
          <w:sz w:val="24"/>
          <w:szCs w:val="24"/>
          <w:shd w:val="clear" w:color="auto" w:fill="FFFFFF"/>
        </w:rPr>
        <w:t>оследна</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примена</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Закона</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о</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јавним</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набавкама</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и</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успостављ</w:t>
      </w:r>
      <w:r w:rsidRPr="00D471F9">
        <w:rPr>
          <w:rFonts w:ascii="Times New Roman" w:hAnsi="Times New Roman"/>
          <w:sz w:val="24"/>
          <w:szCs w:val="24"/>
          <w:shd w:val="clear" w:color="auto" w:fill="FFFFFF"/>
          <w:lang w:val="sr-Cyrl-CS"/>
        </w:rPr>
        <w:t>ање</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евиденција</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о</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поступању</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надлежних</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органа</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поводом</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неправилности</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утврђених</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у</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њиховим</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извештајима</w:t>
      </w:r>
      <w:r w:rsidRPr="00D471F9">
        <w:rPr>
          <w:rFonts w:ascii="Times New Roman" w:hAnsi="Times New Roman"/>
          <w:sz w:val="24"/>
          <w:szCs w:val="24"/>
          <w:shd w:val="clear" w:color="auto" w:fill="FFFFFF"/>
          <w:lang w:val="sr-Cyrl-CS"/>
        </w:rPr>
        <w:t>, у</w:t>
      </w:r>
      <w:r w:rsidR="00360BE9" w:rsidRPr="00D471F9">
        <w:rPr>
          <w:rFonts w:ascii="Times New Roman" w:hAnsi="Times New Roman"/>
          <w:sz w:val="24"/>
          <w:szCs w:val="24"/>
          <w:shd w:val="clear" w:color="auto" w:fill="FFFFFF"/>
        </w:rPr>
        <w:t>напређе</w:t>
      </w:r>
      <w:r w:rsidRPr="00D471F9">
        <w:rPr>
          <w:rFonts w:ascii="Times New Roman" w:hAnsi="Times New Roman"/>
          <w:sz w:val="24"/>
          <w:szCs w:val="24"/>
          <w:shd w:val="clear" w:color="auto" w:fill="FFFFFF"/>
          <w:lang w:val="sr-Cyrl-CS"/>
        </w:rPr>
        <w:t>ње</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сарадњ</w:t>
      </w:r>
      <w:r w:rsidRPr="00D471F9">
        <w:rPr>
          <w:rFonts w:ascii="Times New Roman" w:hAnsi="Times New Roman"/>
          <w:sz w:val="24"/>
          <w:szCs w:val="24"/>
          <w:shd w:val="clear" w:color="auto" w:fill="FFFFFF"/>
          <w:lang w:val="sr-Cyrl-CS"/>
        </w:rPr>
        <w:t>е</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и</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координациј</w:t>
      </w:r>
      <w:r w:rsidRPr="00D471F9">
        <w:rPr>
          <w:rFonts w:ascii="Times New Roman" w:hAnsi="Times New Roman"/>
          <w:sz w:val="24"/>
          <w:szCs w:val="24"/>
          <w:shd w:val="clear" w:color="auto" w:fill="FFFFFF"/>
          <w:lang w:val="sr-Cyrl-CS"/>
        </w:rPr>
        <w:t>е</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активности</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на</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сузбијању</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корупције</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између</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релевантних</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институција</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на</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свим</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нивоима</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власти</w:t>
      </w:r>
      <w:r w:rsidRPr="00D471F9">
        <w:rPr>
          <w:rFonts w:ascii="Times New Roman" w:hAnsi="Times New Roman"/>
          <w:sz w:val="24"/>
          <w:szCs w:val="24"/>
          <w:shd w:val="clear" w:color="auto" w:fill="FFFFFF"/>
          <w:lang w:val="sr-Cyrl-CS"/>
        </w:rPr>
        <w:t>, у</w:t>
      </w:r>
      <w:r w:rsidR="00360BE9" w:rsidRPr="00D471F9">
        <w:rPr>
          <w:rFonts w:ascii="Times New Roman" w:hAnsi="Times New Roman"/>
          <w:sz w:val="24"/>
          <w:szCs w:val="24"/>
          <w:shd w:val="clear" w:color="auto" w:fill="FFFFFF"/>
        </w:rPr>
        <w:t>спостав</w:t>
      </w:r>
      <w:r w:rsidRPr="00D471F9">
        <w:rPr>
          <w:rFonts w:ascii="Times New Roman" w:hAnsi="Times New Roman"/>
          <w:sz w:val="24"/>
          <w:szCs w:val="24"/>
          <w:shd w:val="clear" w:color="auto" w:fill="FFFFFF"/>
          <w:lang w:val="sr-Cyrl-CS"/>
        </w:rPr>
        <w:t>и</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и</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развиј</w:t>
      </w:r>
      <w:r w:rsidRPr="00D471F9">
        <w:rPr>
          <w:rFonts w:ascii="Times New Roman" w:hAnsi="Times New Roman"/>
          <w:sz w:val="24"/>
          <w:szCs w:val="24"/>
          <w:shd w:val="clear" w:color="auto" w:fill="FFFFFF"/>
          <w:lang w:val="sr-Cyrl-CS"/>
        </w:rPr>
        <w:t>а</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систем</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превенциј</w:t>
      </w:r>
      <w:r w:rsidRPr="00D471F9">
        <w:rPr>
          <w:rFonts w:ascii="Times New Roman" w:hAnsi="Times New Roman"/>
          <w:sz w:val="24"/>
          <w:szCs w:val="24"/>
          <w:shd w:val="clear" w:color="auto" w:fill="FFFFFF"/>
          <w:lang w:val="sr-Cyrl-CS"/>
        </w:rPr>
        <w:t>е</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откривања</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извештавања</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и</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поступања</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са</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неправилностима</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коришћења</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средстава</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из</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фондова</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Европске</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уније</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и</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фондова</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других</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међународних</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институција</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и</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организација</w:t>
      </w:r>
      <w:r w:rsidRPr="00D471F9">
        <w:rPr>
          <w:rFonts w:ascii="Times New Roman" w:hAnsi="Times New Roman"/>
          <w:sz w:val="24"/>
          <w:szCs w:val="24"/>
          <w:shd w:val="clear" w:color="auto" w:fill="FFFFFF"/>
          <w:lang w:val="sr-Cyrl-CS"/>
        </w:rPr>
        <w:t>, да се и</w:t>
      </w:r>
      <w:r w:rsidR="00360BE9" w:rsidRPr="00D471F9">
        <w:rPr>
          <w:rFonts w:ascii="Times New Roman" w:hAnsi="Times New Roman"/>
          <w:sz w:val="24"/>
          <w:szCs w:val="24"/>
          <w:shd w:val="clear" w:color="auto" w:fill="FFFFFF"/>
        </w:rPr>
        <w:t>змен</w:t>
      </w:r>
      <w:r w:rsidRPr="00D471F9">
        <w:rPr>
          <w:rFonts w:ascii="Times New Roman" w:hAnsi="Times New Roman"/>
          <w:sz w:val="24"/>
          <w:szCs w:val="24"/>
          <w:shd w:val="clear" w:color="auto" w:fill="FFFFFF"/>
          <w:lang w:val="sr-Cyrl-CS"/>
        </w:rPr>
        <w:t>и</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правни</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оквир</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тако</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да</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се</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отклоне</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ризици</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на</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корупцију</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у</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прописима</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којима</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се</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уређује</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поступак</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и</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контрола</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приватизације</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реорганизације</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и</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стечаја</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предузећа</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са</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државним</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и</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друштвеним</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капиталом</w:t>
      </w:r>
      <w:r w:rsidRPr="00D471F9">
        <w:rPr>
          <w:rFonts w:ascii="Times New Roman" w:hAnsi="Times New Roman"/>
          <w:sz w:val="24"/>
          <w:szCs w:val="24"/>
          <w:shd w:val="clear" w:color="auto" w:fill="FFFFFF"/>
          <w:lang w:val="sr-Cyrl-CS"/>
        </w:rPr>
        <w:t xml:space="preserve">, да се </w:t>
      </w:r>
      <w:r w:rsidRPr="00D471F9">
        <w:rPr>
          <w:rFonts w:ascii="Times New Roman" w:hAnsi="Times New Roman"/>
          <w:sz w:val="24"/>
          <w:szCs w:val="24"/>
          <w:lang w:val="sr-Cyrl-CS"/>
        </w:rPr>
        <w:t>у</w:t>
      </w:r>
      <w:r w:rsidR="00360BE9" w:rsidRPr="00D471F9">
        <w:rPr>
          <w:rFonts w:ascii="Times New Roman" w:hAnsi="Times New Roman"/>
          <w:sz w:val="24"/>
          <w:szCs w:val="24"/>
        </w:rPr>
        <w:t>спостав</w:t>
      </w:r>
      <w:r w:rsidRPr="00D471F9">
        <w:rPr>
          <w:rFonts w:ascii="Times New Roman" w:hAnsi="Times New Roman"/>
          <w:sz w:val="24"/>
          <w:szCs w:val="24"/>
          <w:lang w:val="sr-Cyrl-CS"/>
        </w:rPr>
        <w:t>и</w:t>
      </w:r>
      <w:r w:rsidRPr="00D471F9">
        <w:rPr>
          <w:rFonts w:ascii="Times New Roman" w:hAnsi="Times New Roman"/>
          <w:sz w:val="24"/>
          <w:szCs w:val="24"/>
        </w:rPr>
        <w:t xml:space="preserve"> </w:t>
      </w:r>
      <w:r w:rsidR="00360BE9" w:rsidRPr="00D471F9">
        <w:rPr>
          <w:rFonts w:ascii="Times New Roman" w:hAnsi="Times New Roman"/>
          <w:sz w:val="24"/>
          <w:szCs w:val="24"/>
        </w:rPr>
        <w:t>систем</w:t>
      </w:r>
      <w:r w:rsidRPr="00D471F9">
        <w:rPr>
          <w:rFonts w:ascii="Times New Roman" w:hAnsi="Times New Roman"/>
          <w:sz w:val="24"/>
          <w:szCs w:val="24"/>
        </w:rPr>
        <w:t xml:space="preserve"> </w:t>
      </w:r>
      <w:r w:rsidR="00360BE9" w:rsidRPr="00D471F9">
        <w:rPr>
          <w:rFonts w:ascii="Times New Roman" w:hAnsi="Times New Roman"/>
          <w:sz w:val="24"/>
          <w:szCs w:val="24"/>
        </w:rPr>
        <w:t>ефикасне</w:t>
      </w:r>
      <w:r w:rsidRPr="00D471F9">
        <w:rPr>
          <w:rFonts w:ascii="Times New Roman" w:hAnsi="Times New Roman"/>
          <w:sz w:val="24"/>
          <w:szCs w:val="24"/>
        </w:rPr>
        <w:t xml:space="preserve"> </w:t>
      </w:r>
      <w:r w:rsidR="00360BE9" w:rsidRPr="00D471F9">
        <w:rPr>
          <w:rFonts w:ascii="Times New Roman" w:hAnsi="Times New Roman"/>
          <w:sz w:val="24"/>
          <w:szCs w:val="24"/>
        </w:rPr>
        <w:t>примене</w:t>
      </w:r>
      <w:r w:rsidRPr="00D471F9">
        <w:rPr>
          <w:rFonts w:ascii="Times New Roman" w:hAnsi="Times New Roman"/>
          <w:sz w:val="24"/>
          <w:szCs w:val="24"/>
        </w:rPr>
        <w:t xml:space="preserve"> </w:t>
      </w:r>
      <w:r w:rsidR="00360BE9" w:rsidRPr="00D471F9">
        <w:rPr>
          <w:rFonts w:ascii="Times New Roman" w:hAnsi="Times New Roman"/>
          <w:sz w:val="24"/>
          <w:szCs w:val="24"/>
        </w:rPr>
        <w:t>и</w:t>
      </w:r>
      <w:r w:rsidRPr="00D471F9">
        <w:rPr>
          <w:rFonts w:ascii="Times New Roman" w:hAnsi="Times New Roman"/>
          <w:sz w:val="24"/>
          <w:szCs w:val="24"/>
        </w:rPr>
        <w:t xml:space="preserve"> </w:t>
      </w:r>
      <w:r w:rsidR="00360BE9" w:rsidRPr="00D471F9">
        <w:rPr>
          <w:rFonts w:ascii="Times New Roman" w:hAnsi="Times New Roman"/>
          <w:sz w:val="24"/>
          <w:szCs w:val="24"/>
        </w:rPr>
        <w:t>контроле</w:t>
      </w:r>
      <w:r w:rsidRPr="00D471F9">
        <w:rPr>
          <w:rFonts w:ascii="Times New Roman" w:hAnsi="Times New Roman"/>
          <w:sz w:val="24"/>
          <w:szCs w:val="24"/>
        </w:rPr>
        <w:t xml:space="preserve"> </w:t>
      </w:r>
      <w:r w:rsidR="00360BE9" w:rsidRPr="00D471F9">
        <w:rPr>
          <w:rFonts w:ascii="Times New Roman" w:hAnsi="Times New Roman"/>
          <w:sz w:val="24"/>
          <w:szCs w:val="24"/>
        </w:rPr>
        <w:t>спровођења</w:t>
      </w:r>
      <w:r w:rsidRPr="00D471F9">
        <w:rPr>
          <w:rFonts w:ascii="Times New Roman" w:hAnsi="Times New Roman"/>
          <w:sz w:val="24"/>
          <w:szCs w:val="24"/>
        </w:rPr>
        <w:t xml:space="preserve"> </w:t>
      </w:r>
      <w:r w:rsidR="00360BE9" w:rsidRPr="00D471F9">
        <w:rPr>
          <w:rFonts w:ascii="Times New Roman" w:hAnsi="Times New Roman"/>
          <w:sz w:val="24"/>
          <w:szCs w:val="24"/>
        </w:rPr>
        <w:t>позитивних</w:t>
      </w:r>
      <w:r w:rsidRPr="00D471F9">
        <w:rPr>
          <w:rFonts w:ascii="Times New Roman" w:hAnsi="Times New Roman"/>
          <w:sz w:val="24"/>
          <w:szCs w:val="24"/>
        </w:rPr>
        <w:t xml:space="preserve"> </w:t>
      </w:r>
      <w:r w:rsidR="00360BE9" w:rsidRPr="00D471F9">
        <w:rPr>
          <w:rFonts w:ascii="Times New Roman" w:hAnsi="Times New Roman"/>
          <w:sz w:val="24"/>
          <w:szCs w:val="24"/>
        </w:rPr>
        <w:t>прописа</w:t>
      </w:r>
      <w:r w:rsidRPr="00D471F9">
        <w:rPr>
          <w:rFonts w:ascii="Times New Roman" w:hAnsi="Times New Roman"/>
          <w:sz w:val="24"/>
          <w:szCs w:val="24"/>
        </w:rPr>
        <w:t xml:space="preserve"> </w:t>
      </w:r>
      <w:r w:rsidR="00360BE9" w:rsidRPr="00D471F9">
        <w:rPr>
          <w:rFonts w:ascii="Times New Roman" w:hAnsi="Times New Roman"/>
          <w:sz w:val="24"/>
          <w:szCs w:val="24"/>
        </w:rPr>
        <w:t>у</w:t>
      </w:r>
      <w:r w:rsidRPr="00D471F9">
        <w:rPr>
          <w:rFonts w:ascii="Times New Roman" w:hAnsi="Times New Roman"/>
          <w:sz w:val="24"/>
          <w:szCs w:val="24"/>
        </w:rPr>
        <w:t xml:space="preserve"> </w:t>
      </w:r>
      <w:r w:rsidR="00360BE9" w:rsidRPr="00D471F9">
        <w:rPr>
          <w:rFonts w:ascii="Times New Roman" w:hAnsi="Times New Roman"/>
          <w:sz w:val="24"/>
          <w:szCs w:val="24"/>
        </w:rPr>
        <w:t>области</w:t>
      </w:r>
      <w:r w:rsidRPr="00D471F9">
        <w:rPr>
          <w:rFonts w:ascii="Times New Roman" w:hAnsi="Times New Roman"/>
          <w:sz w:val="24"/>
          <w:szCs w:val="24"/>
        </w:rPr>
        <w:t xml:space="preserve"> </w:t>
      </w:r>
      <w:r w:rsidR="00360BE9" w:rsidRPr="00D471F9">
        <w:rPr>
          <w:rFonts w:ascii="Times New Roman" w:hAnsi="Times New Roman"/>
          <w:sz w:val="24"/>
          <w:szCs w:val="24"/>
        </w:rPr>
        <w:t>приватизације</w:t>
      </w:r>
      <w:r w:rsidRPr="00D471F9">
        <w:rPr>
          <w:rFonts w:ascii="Times New Roman" w:hAnsi="Times New Roman"/>
          <w:sz w:val="24"/>
          <w:szCs w:val="24"/>
        </w:rPr>
        <w:t xml:space="preserve">, </w:t>
      </w:r>
      <w:r w:rsidR="00360BE9" w:rsidRPr="00D471F9">
        <w:rPr>
          <w:rFonts w:ascii="Times New Roman" w:hAnsi="Times New Roman"/>
          <w:sz w:val="24"/>
          <w:szCs w:val="24"/>
        </w:rPr>
        <w:t>реорганизације</w:t>
      </w:r>
      <w:r w:rsidRPr="00D471F9">
        <w:rPr>
          <w:rFonts w:ascii="Times New Roman" w:hAnsi="Times New Roman"/>
          <w:sz w:val="24"/>
          <w:szCs w:val="24"/>
        </w:rPr>
        <w:t xml:space="preserve"> </w:t>
      </w:r>
      <w:r w:rsidR="00360BE9" w:rsidRPr="00D471F9">
        <w:rPr>
          <w:rFonts w:ascii="Times New Roman" w:hAnsi="Times New Roman"/>
          <w:sz w:val="24"/>
          <w:szCs w:val="24"/>
        </w:rPr>
        <w:t>и</w:t>
      </w:r>
      <w:r w:rsidRPr="00D471F9">
        <w:rPr>
          <w:rFonts w:ascii="Times New Roman" w:hAnsi="Times New Roman"/>
          <w:sz w:val="24"/>
          <w:szCs w:val="24"/>
        </w:rPr>
        <w:t xml:space="preserve"> </w:t>
      </w:r>
      <w:r w:rsidR="00360BE9" w:rsidRPr="00D471F9">
        <w:rPr>
          <w:rFonts w:ascii="Times New Roman" w:hAnsi="Times New Roman"/>
          <w:sz w:val="24"/>
          <w:szCs w:val="24"/>
        </w:rPr>
        <w:t>стечаја</w:t>
      </w:r>
      <w:r w:rsidRPr="00D471F9">
        <w:rPr>
          <w:rFonts w:ascii="Times New Roman" w:hAnsi="Times New Roman"/>
          <w:sz w:val="24"/>
          <w:szCs w:val="24"/>
          <w:lang w:val="sr-Cyrl-CS"/>
        </w:rPr>
        <w:t>, да се у</w:t>
      </w:r>
      <w:r w:rsidR="00360BE9" w:rsidRPr="00D471F9">
        <w:rPr>
          <w:rFonts w:ascii="Times New Roman" w:hAnsi="Times New Roman"/>
          <w:sz w:val="24"/>
          <w:szCs w:val="24"/>
        </w:rPr>
        <w:t>клон</w:t>
      </w:r>
      <w:r w:rsidRPr="00D471F9">
        <w:rPr>
          <w:rFonts w:ascii="Times New Roman" w:hAnsi="Times New Roman"/>
          <w:sz w:val="24"/>
          <w:szCs w:val="24"/>
          <w:lang w:val="sr-Cyrl-CS"/>
        </w:rPr>
        <w:t>е</w:t>
      </w:r>
      <w:r w:rsidRPr="00D471F9">
        <w:rPr>
          <w:rFonts w:ascii="Times New Roman" w:hAnsi="Times New Roman"/>
          <w:sz w:val="24"/>
          <w:szCs w:val="24"/>
        </w:rPr>
        <w:t xml:space="preserve"> </w:t>
      </w:r>
      <w:r w:rsidR="00360BE9" w:rsidRPr="00D471F9">
        <w:rPr>
          <w:rFonts w:ascii="Times New Roman" w:hAnsi="Times New Roman"/>
          <w:sz w:val="24"/>
          <w:szCs w:val="24"/>
        </w:rPr>
        <w:lastRenderedPageBreak/>
        <w:t>ризици</w:t>
      </w:r>
      <w:r w:rsidRPr="00D471F9">
        <w:rPr>
          <w:rFonts w:ascii="Times New Roman" w:hAnsi="Times New Roman"/>
          <w:sz w:val="24"/>
          <w:szCs w:val="24"/>
        </w:rPr>
        <w:t xml:space="preserve"> </w:t>
      </w:r>
      <w:r w:rsidR="00360BE9" w:rsidRPr="00D471F9">
        <w:rPr>
          <w:rFonts w:ascii="Times New Roman" w:hAnsi="Times New Roman"/>
          <w:sz w:val="24"/>
          <w:szCs w:val="24"/>
        </w:rPr>
        <w:t>од</w:t>
      </w:r>
      <w:r w:rsidRPr="00D471F9">
        <w:rPr>
          <w:rFonts w:ascii="Times New Roman" w:hAnsi="Times New Roman"/>
          <w:sz w:val="24"/>
          <w:szCs w:val="24"/>
        </w:rPr>
        <w:t xml:space="preserve"> </w:t>
      </w:r>
      <w:r w:rsidR="00360BE9" w:rsidRPr="00D471F9">
        <w:rPr>
          <w:rFonts w:ascii="Times New Roman" w:hAnsi="Times New Roman"/>
          <w:sz w:val="24"/>
          <w:szCs w:val="24"/>
        </w:rPr>
        <w:t>корупције</w:t>
      </w:r>
      <w:r w:rsidRPr="00D471F9">
        <w:rPr>
          <w:rFonts w:ascii="Times New Roman" w:hAnsi="Times New Roman"/>
          <w:sz w:val="24"/>
          <w:szCs w:val="24"/>
        </w:rPr>
        <w:t xml:space="preserve"> </w:t>
      </w:r>
      <w:r w:rsidR="00360BE9" w:rsidRPr="00D471F9">
        <w:rPr>
          <w:rFonts w:ascii="Times New Roman" w:hAnsi="Times New Roman"/>
          <w:sz w:val="24"/>
          <w:szCs w:val="24"/>
        </w:rPr>
        <w:t>у</w:t>
      </w:r>
      <w:r w:rsidRPr="00D471F9">
        <w:rPr>
          <w:rFonts w:ascii="Times New Roman" w:hAnsi="Times New Roman"/>
          <w:sz w:val="24"/>
          <w:szCs w:val="24"/>
        </w:rPr>
        <w:t xml:space="preserve"> </w:t>
      </w:r>
      <w:r w:rsidR="00360BE9" w:rsidRPr="00D471F9">
        <w:rPr>
          <w:rFonts w:ascii="Times New Roman" w:hAnsi="Times New Roman"/>
          <w:sz w:val="24"/>
          <w:szCs w:val="24"/>
        </w:rPr>
        <w:t>области</w:t>
      </w:r>
      <w:r w:rsidRPr="00D471F9">
        <w:rPr>
          <w:rFonts w:ascii="Times New Roman" w:hAnsi="Times New Roman"/>
          <w:sz w:val="24"/>
          <w:szCs w:val="24"/>
        </w:rPr>
        <w:t xml:space="preserve"> </w:t>
      </w:r>
      <w:r w:rsidR="00360BE9" w:rsidRPr="00D471F9">
        <w:rPr>
          <w:rFonts w:ascii="Times New Roman" w:hAnsi="Times New Roman"/>
          <w:sz w:val="24"/>
          <w:szCs w:val="24"/>
        </w:rPr>
        <w:t>јавно</w:t>
      </w:r>
      <w:r w:rsidRPr="00D471F9">
        <w:rPr>
          <w:rFonts w:ascii="Times New Roman" w:hAnsi="Times New Roman"/>
          <w:sz w:val="24"/>
          <w:szCs w:val="24"/>
        </w:rPr>
        <w:t>-</w:t>
      </w:r>
      <w:r w:rsidR="00360BE9" w:rsidRPr="00D471F9">
        <w:rPr>
          <w:rFonts w:ascii="Times New Roman" w:hAnsi="Times New Roman"/>
          <w:sz w:val="24"/>
          <w:szCs w:val="24"/>
        </w:rPr>
        <w:t>приватних</w:t>
      </w:r>
      <w:r w:rsidRPr="00D471F9">
        <w:rPr>
          <w:rFonts w:ascii="Times New Roman" w:hAnsi="Times New Roman"/>
          <w:sz w:val="24"/>
          <w:szCs w:val="24"/>
        </w:rPr>
        <w:t xml:space="preserve"> </w:t>
      </w:r>
      <w:r w:rsidR="00360BE9" w:rsidRPr="00D471F9">
        <w:rPr>
          <w:rFonts w:ascii="Times New Roman" w:hAnsi="Times New Roman"/>
          <w:sz w:val="24"/>
          <w:szCs w:val="24"/>
        </w:rPr>
        <w:t>партнерстава</w:t>
      </w:r>
      <w:r w:rsidRPr="00D471F9">
        <w:rPr>
          <w:rFonts w:ascii="Times New Roman" w:hAnsi="Times New Roman"/>
          <w:sz w:val="24"/>
          <w:szCs w:val="24"/>
        </w:rPr>
        <w:t xml:space="preserve"> </w:t>
      </w:r>
      <w:r w:rsidR="00360BE9" w:rsidRPr="00D471F9">
        <w:rPr>
          <w:rFonts w:ascii="Times New Roman" w:hAnsi="Times New Roman"/>
          <w:sz w:val="24"/>
          <w:szCs w:val="24"/>
        </w:rPr>
        <w:t>и</w:t>
      </w:r>
      <w:r w:rsidRPr="00D471F9">
        <w:rPr>
          <w:rFonts w:ascii="Times New Roman" w:hAnsi="Times New Roman"/>
          <w:sz w:val="24"/>
          <w:szCs w:val="24"/>
        </w:rPr>
        <w:t xml:space="preserve"> </w:t>
      </w:r>
      <w:r w:rsidR="00360BE9" w:rsidRPr="00D471F9">
        <w:rPr>
          <w:rFonts w:ascii="Times New Roman" w:hAnsi="Times New Roman"/>
          <w:sz w:val="24"/>
          <w:szCs w:val="24"/>
        </w:rPr>
        <w:t>концесија</w:t>
      </w:r>
      <w:r w:rsidRPr="00D471F9">
        <w:rPr>
          <w:rFonts w:ascii="Times New Roman" w:hAnsi="Times New Roman"/>
          <w:sz w:val="24"/>
          <w:szCs w:val="24"/>
        </w:rPr>
        <w:t xml:space="preserve"> </w:t>
      </w:r>
      <w:r w:rsidR="00360BE9" w:rsidRPr="00D471F9">
        <w:rPr>
          <w:rFonts w:ascii="Times New Roman" w:hAnsi="Times New Roman"/>
          <w:sz w:val="24"/>
          <w:szCs w:val="24"/>
        </w:rPr>
        <w:t>и</w:t>
      </w:r>
      <w:r w:rsidRPr="00D471F9">
        <w:rPr>
          <w:rFonts w:ascii="Times New Roman" w:hAnsi="Times New Roman"/>
          <w:sz w:val="24"/>
          <w:szCs w:val="24"/>
        </w:rPr>
        <w:t xml:space="preserve"> </w:t>
      </w:r>
      <w:r w:rsidR="00360BE9" w:rsidRPr="00D471F9">
        <w:rPr>
          <w:rFonts w:ascii="Times New Roman" w:hAnsi="Times New Roman"/>
          <w:sz w:val="24"/>
          <w:szCs w:val="24"/>
        </w:rPr>
        <w:t>његова</w:t>
      </w:r>
      <w:r w:rsidRPr="00D471F9">
        <w:rPr>
          <w:rFonts w:ascii="Times New Roman" w:hAnsi="Times New Roman"/>
          <w:sz w:val="24"/>
          <w:szCs w:val="24"/>
        </w:rPr>
        <w:t xml:space="preserve"> </w:t>
      </w:r>
      <w:r w:rsidR="00360BE9" w:rsidRPr="00D471F9">
        <w:rPr>
          <w:rFonts w:ascii="Times New Roman" w:hAnsi="Times New Roman"/>
          <w:sz w:val="24"/>
          <w:szCs w:val="24"/>
        </w:rPr>
        <w:t>доследна</w:t>
      </w:r>
      <w:r w:rsidRPr="00D471F9">
        <w:rPr>
          <w:rFonts w:ascii="Times New Roman" w:hAnsi="Times New Roman"/>
          <w:sz w:val="24"/>
          <w:szCs w:val="24"/>
        </w:rPr>
        <w:t xml:space="preserve"> </w:t>
      </w:r>
      <w:r w:rsidR="00360BE9" w:rsidRPr="00D471F9">
        <w:rPr>
          <w:rFonts w:ascii="Times New Roman" w:hAnsi="Times New Roman"/>
          <w:sz w:val="24"/>
          <w:szCs w:val="24"/>
        </w:rPr>
        <w:t>примена</w:t>
      </w:r>
      <w:r w:rsidRPr="00D471F9">
        <w:rPr>
          <w:rFonts w:ascii="Times New Roman" w:hAnsi="Times New Roman"/>
          <w:sz w:val="24"/>
          <w:szCs w:val="24"/>
          <w:lang w:val="sr-Cyrl-CS"/>
        </w:rPr>
        <w:t xml:space="preserve">, да се </w:t>
      </w:r>
      <w:r w:rsidRPr="00D471F9">
        <w:rPr>
          <w:rFonts w:ascii="Times New Roman" w:hAnsi="Times New Roman"/>
          <w:sz w:val="24"/>
          <w:szCs w:val="24"/>
          <w:shd w:val="clear" w:color="auto" w:fill="FFFFFF"/>
          <w:lang w:val="sr-Cyrl-CS"/>
        </w:rPr>
        <w:t>с</w:t>
      </w:r>
      <w:r w:rsidR="00360BE9" w:rsidRPr="00D471F9">
        <w:rPr>
          <w:rFonts w:ascii="Times New Roman" w:hAnsi="Times New Roman"/>
          <w:sz w:val="24"/>
          <w:szCs w:val="24"/>
          <w:shd w:val="clear" w:color="auto" w:fill="FFFFFF"/>
        </w:rPr>
        <w:t>ве</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непокретности</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у</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Републици</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Србији</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и</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са</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њима</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повезани</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подаци</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упи</w:t>
      </w:r>
      <w:r w:rsidRPr="00D471F9">
        <w:rPr>
          <w:rFonts w:ascii="Times New Roman" w:hAnsi="Times New Roman"/>
          <w:sz w:val="24"/>
          <w:szCs w:val="24"/>
          <w:shd w:val="clear" w:color="auto" w:fill="FFFFFF"/>
          <w:lang w:val="sr-Cyrl-CS"/>
        </w:rPr>
        <w:t>шу</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у</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јавни</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електронски</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Катастар</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непокретности</w:t>
      </w:r>
      <w:r w:rsidRPr="00D471F9">
        <w:rPr>
          <w:rFonts w:ascii="Times New Roman" w:hAnsi="Times New Roman"/>
          <w:sz w:val="24"/>
          <w:szCs w:val="24"/>
          <w:shd w:val="clear" w:color="auto" w:fill="FFFFFF"/>
          <w:lang w:val="sr-Cyrl-CS"/>
        </w:rPr>
        <w:t>, да се смањи</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број</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процедура</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и</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увођење</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једношалтерског</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система</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за</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издавање</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грађевинских</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и</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других</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дозвола</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и</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сагласности</w:t>
      </w:r>
      <w:r w:rsidRPr="00D471F9">
        <w:rPr>
          <w:rFonts w:ascii="Times New Roman" w:hAnsi="Times New Roman"/>
          <w:sz w:val="24"/>
          <w:szCs w:val="24"/>
          <w:shd w:val="clear" w:color="auto" w:fill="FFFFFF"/>
          <w:lang w:val="sr-Cyrl-CS"/>
        </w:rPr>
        <w:t>, успоставе т</w:t>
      </w:r>
      <w:r w:rsidR="00360BE9" w:rsidRPr="00D471F9">
        <w:rPr>
          <w:rFonts w:ascii="Times New Roman" w:hAnsi="Times New Roman"/>
          <w:sz w:val="24"/>
          <w:szCs w:val="24"/>
          <w:shd w:val="clear" w:color="auto" w:fill="FFFFFF"/>
        </w:rPr>
        <w:t>ранспарентни</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критеријуми</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и</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учешће</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јавности</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у</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поступку</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разматрања</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измена</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и</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усвајања</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просторних</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и</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урбанистичких</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планова</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на</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свим</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нивоима</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власти</w:t>
      </w:r>
      <w:r w:rsidRPr="00D471F9">
        <w:rPr>
          <w:rFonts w:ascii="Times New Roman" w:hAnsi="Times New Roman"/>
          <w:sz w:val="24"/>
          <w:szCs w:val="24"/>
          <w:shd w:val="clear" w:color="auto" w:fill="FFFFFF"/>
          <w:lang w:val="sr-Cyrl-CS"/>
        </w:rPr>
        <w:t>, да се успостави е</w:t>
      </w:r>
      <w:r w:rsidR="00360BE9" w:rsidRPr="00D471F9">
        <w:rPr>
          <w:rFonts w:ascii="Times New Roman" w:hAnsi="Times New Roman"/>
          <w:sz w:val="24"/>
          <w:szCs w:val="24"/>
          <w:shd w:val="clear" w:color="auto" w:fill="FFFFFF"/>
        </w:rPr>
        <w:t>фикасна</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интерна</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и</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екстерна</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контрола</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у</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поступку</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издавања</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грађевинских</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и</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других</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дозвола</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и</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сагласности</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у</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области</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урбанизма</w:t>
      </w:r>
      <w:r w:rsidRPr="00D471F9">
        <w:rPr>
          <w:rFonts w:ascii="Times New Roman" w:hAnsi="Times New Roman"/>
          <w:sz w:val="24"/>
          <w:szCs w:val="24"/>
          <w:shd w:val="clear" w:color="auto" w:fill="FFFFFF"/>
        </w:rPr>
        <w:t>.</w:t>
      </w:r>
      <w:r w:rsidR="00D471F9">
        <w:rPr>
          <w:rFonts w:ascii="Times New Roman" w:hAnsi="Times New Roman"/>
          <w:sz w:val="24"/>
          <w:szCs w:val="24"/>
          <w:shd w:val="clear" w:color="auto" w:fill="FFFFFF"/>
          <w:lang w:val="sr-Cyrl-CS"/>
        </w:rPr>
        <w:t xml:space="preserve"> </w:t>
      </w:r>
    </w:p>
    <w:p w:rsidR="00E16222" w:rsidRPr="00D471F9" w:rsidRDefault="00B346F8" w:rsidP="00D471F9">
      <w:pPr>
        <w:ind w:firstLine="630"/>
        <w:jc w:val="both"/>
        <w:rPr>
          <w:rFonts w:ascii="Times New Roman" w:hAnsi="Times New Roman"/>
          <w:sz w:val="24"/>
          <w:szCs w:val="24"/>
          <w:shd w:val="clear" w:color="auto" w:fill="FFFFFF"/>
          <w:lang w:val="sr-Cyrl-CS"/>
        </w:rPr>
      </w:pPr>
      <w:r w:rsidRPr="00D471F9">
        <w:rPr>
          <w:rFonts w:ascii="Times New Roman" w:hAnsi="Times New Roman"/>
          <w:sz w:val="24"/>
          <w:szCs w:val="24"/>
          <w:shd w:val="clear" w:color="auto" w:fill="FFFFFF"/>
          <w:lang w:val="sr-Cyrl-CS"/>
        </w:rPr>
        <w:t>Мимо тога, наво</w:t>
      </w:r>
      <w:r w:rsidR="00360BE9" w:rsidRPr="00D471F9">
        <w:rPr>
          <w:rFonts w:ascii="Times New Roman" w:hAnsi="Times New Roman"/>
          <w:sz w:val="24"/>
          <w:szCs w:val="24"/>
          <w:shd w:val="clear" w:color="auto" w:fill="FFFFFF"/>
        </w:rPr>
        <w:t>ди</w:t>
      </w:r>
      <w:r w:rsidR="00E16222" w:rsidRPr="00D471F9">
        <w:rPr>
          <w:rFonts w:ascii="Times New Roman" w:hAnsi="Times New Roman"/>
          <w:sz w:val="24"/>
          <w:szCs w:val="24"/>
          <w:shd w:val="clear" w:color="auto" w:fill="FFFFFF"/>
          <w:lang w:val="sr-Cyrl-CS"/>
        </w:rPr>
        <w:t xml:space="preserve"> се да </w:t>
      </w:r>
      <w:r w:rsidRPr="00D471F9">
        <w:rPr>
          <w:rFonts w:ascii="Times New Roman" w:hAnsi="Times New Roman"/>
          <w:sz w:val="24"/>
          <w:szCs w:val="24"/>
          <w:shd w:val="clear" w:color="auto" w:fill="FFFFFF"/>
          <w:lang w:val="sr-Cyrl-CS"/>
        </w:rPr>
        <w:t xml:space="preserve">су </w:t>
      </w:r>
      <w:r w:rsidR="00E16222" w:rsidRPr="00D471F9">
        <w:rPr>
          <w:rFonts w:ascii="Times New Roman" w:hAnsi="Times New Roman"/>
          <w:sz w:val="24"/>
          <w:szCs w:val="24"/>
          <w:shd w:val="clear" w:color="auto" w:fill="FFFFFF"/>
          <w:lang w:val="sr-Cyrl-CS"/>
        </w:rPr>
        <w:t>н</w:t>
      </w:r>
      <w:r w:rsidR="00360BE9" w:rsidRPr="00D471F9">
        <w:rPr>
          <w:rFonts w:ascii="Times New Roman" w:hAnsi="Times New Roman"/>
          <w:sz w:val="24"/>
          <w:szCs w:val="24"/>
          <w:shd w:val="clear" w:color="auto" w:fill="FFFFFF"/>
        </w:rPr>
        <w:t>акон</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подношења</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два</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годишња</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извештаја</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Агенције</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о</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спровођењу</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Стратегије</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из</w:t>
      </w:r>
      <w:r w:rsidR="00E16222" w:rsidRPr="00D471F9">
        <w:rPr>
          <w:rFonts w:ascii="Times New Roman" w:hAnsi="Times New Roman"/>
          <w:sz w:val="24"/>
          <w:szCs w:val="24"/>
          <w:shd w:val="clear" w:color="auto" w:fill="FFFFFF"/>
        </w:rPr>
        <w:t xml:space="preserve"> 2005. </w:t>
      </w:r>
      <w:r w:rsidR="00360BE9" w:rsidRPr="00D471F9">
        <w:rPr>
          <w:rFonts w:ascii="Times New Roman" w:hAnsi="Times New Roman"/>
          <w:sz w:val="24"/>
          <w:szCs w:val="24"/>
          <w:shd w:val="clear" w:color="auto" w:fill="FFFFFF"/>
        </w:rPr>
        <w:t>године</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за</w:t>
      </w:r>
      <w:r w:rsidR="00E16222" w:rsidRPr="00D471F9">
        <w:rPr>
          <w:rFonts w:ascii="Times New Roman" w:hAnsi="Times New Roman"/>
          <w:sz w:val="24"/>
          <w:szCs w:val="24"/>
          <w:shd w:val="clear" w:color="auto" w:fill="FFFFFF"/>
        </w:rPr>
        <w:t xml:space="preserve"> 2</w:t>
      </w:r>
      <w:r w:rsidRPr="00D471F9">
        <w:rPr>
          <w:rFonts w:ascii="Times New Roman" w:hAnsi="Times New Roman"/>
          <w:sz w:val="24"/>
          <w:szCs w:val="24"/>
          <w:shd w:val="clear" w:color="auto" w:fill="FFFFFF"/>
        </w:rPr>
        <w:t xml:space="preserve">010. </w:t>
      </w:r>
      <w:r w:rsidR="00360BE9" w:rsidRPr="00D471F9">
        <w:rPr>
          <w:rFonts w:ascii="Times New Roman" w:hAnsi="Times New Roman"/>
          <w:sz w:val="24"/>
          <w:szCs w:val="24"/>
          <w:shd w:val="clear" w:color="auto" w:fill="FFFFFF"/>
        </w:rPr>
        <w:t>и</w:t>
      </w:r>
      <w:r w:rsidRPr="00D471F9">
        <w:rPr>
          <w:rFonts w:ascii="Times New Roman" w:hAnsi="Times New Roman"/>
          <w:sz w:val="24"/>
          <w:szCs w:val="24"/>
          <w:shd w:val="clear" w:color="auto" w:fill="FFFFFF"/>
        </w:rPr>
        <w:t xml:space="preserve"> 2011. </w:t>
      </w:r>
      <w:r w:rsidR="00360BE9" w:rsidRPr="00D471F9">
        <w:rPr>
          <w:rFonts w:ascii="Times New Roman" w:hAnsi="Times New Roman"/>
          <w:sz w:val="24"/>
          <w:szCs w:val="24"/>
          <w:shd w:val="clear" w:color="auto" w:fill="FFFFFF"/>
        </w:rPr>
        <w:t>годину</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остали</w:t>
      </w:r>
      <w:r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нејасни</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механизми</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даљег</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поступања</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Народне</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скупштине</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Неопходно</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је</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Пословником</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Народне</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скупштине</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уредити</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поступак</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праћења</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примене</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закључака</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које</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је</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донела</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Народна</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скупштина</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поводом</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разматрања</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извештаја</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Агенције</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за</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борбу</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против</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корупције</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уз</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могућност</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предузимања</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мера</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у</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случају</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да</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закључци</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нису</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спроведени</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без</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оправданих</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разлога</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Поред</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тога</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потребно</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је</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да</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се</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уведе</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обавеза</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Владе</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да</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у</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року</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од</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шест</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месеци</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поднесе</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Народној</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скупштини</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извештај</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о</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спровођењу</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закључака</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Народне</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скупштине</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донетих</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поводом</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разматрања</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извештаја</w:t>
      </w:r>
      <w:r w:rsidR="00E16222" w:rsidRPr="00D471F9">
        <w:rPr>
          <w:rFonts w:ascii="Times New Roman" w:hAnsi="Times New Roman"/>
          <w:sz w:val="24"/>
          <w:szCs w:val="24"/>
          <w:shd w:val="clear" w:color="auto" w:fill="FFFFFF"/>
        </w:rPr>
        <w:t xml:space="preserve"> </w:t>
      </w:r>
      <w:r w:rsidR="00360BE9" w:rsidRPr="00D471F9">
        <w:rPr>
          <w:rFonts w:ascii="Times New Roman" w:hAnsi="Times New Roman"/>
          <w:sz w:val="24"/>
          <w:szCs w:val="24"/>
          <w:shd w:val="clear" w:color="auto" w:fill="FFFFFF"/>
        </w:rPr>
        <w:t>Агенције</w:t>
      </w:r>
      <w:r w:rsidR="00E16222" w:rsidRPr="00D471F9">
        <w:rPr>
          <w:rFonts w:ascii="Times New Roman" w:hAnsi="Times New Roman"/>
          <w:sz w:val="24"/>
          <w:szCs w:val="24"/>
          <w:shd w:val="clear" w:color="auto" w:fill="FFFFFF"/>
        </w:rPr>
        <w:t>.</w:t>
      </w:r>
      <w:r w:rsidRPr="00D471F9">
        <w:rPr>
          <w:rFonts w:ascii="Times New Roman" w:hAnsi="Times New Roman"/>
          <w:sz w:val="24"/>
          <w:szCs w:val="24"/>
          <w:shd w:val="clear" w:color="auto" w:fill="FFFFFF"/>
        </w:rPr>
        <w:t xml:space="preserve"> </w:t>
      </w:r>
    </w:p>
    <w:p w:rsidR="00E16222" w:rsidRPr="00D471F9" w:rsidRDefault="00E16222" w:rsidP="00D471F9">
      <w:pPr>
        <w:ind w:firstLine="630"/>
        <w:jc w:val="both"/>
        <w:rPr>
          <w:rFonts w:ascii="Times New Roman" w:hAnsi="Times New Roman"/>
          <w:sz w:val="24"/>
          <w:szCs w:val="24"/>
          <w:shd w:val="clear" w:color="auto" w:fill="FFFFFF"/>
        </w:rPr>
      </w:pPr>
      <w:r w:rsidRPr="00D471F9">
        <w:rPr>
          <w:rFonts w:ascii="Times New Roman" w:hAnsi="Times New Roman"/>
          <w:sz w:val="24"/>
          <w:szCs w:val="24"/>
          <w:shd w:val="clear" w:color="auto" w:fill="FFFFFF"/>
          <w:lang w:val="sr-Cyrl-CS"/>
        </w:rPr>
        <w:t xml:space="preserve">Доношењем Националне стратегије за борбу против корупције, Република Србија се определила за системску изградњу и јачање </w:t>
      </w:r>
      <w:r w:rsidR="002D63BA" w:rsidRPr="00D471F9">
        <w:rPr>
          <w:rFonts w:ascii="Times New Roman" w:hAnsi="Times New Roman"/>
          <w:sz w:val="24"/>
          <w:szCs w:val="24"/>
          <w:shd w:val="clear" w:color="auto" w:fill="FFFFFF"/>
          <w:lang w:val="sr-Cyrl-CS"/>
        </w:rPr>
        <w:t xml:space="preserve"> </w:t>
      </w:r>
      <w:r w:rsidRPr="00D471F9">
        <w:rPr>
          <w:rFonts w:ascii="Times New Roman" w:hAnsi="Times New Roman"/>
          <w:sz w:val="24"/>
          <w:szCs w:val="24"/>
          <w:shd w:val="clear" w:color="auto" w:fill="FFFFFF"/>
          <w:lang w:val="sr-Cyrl-CS"/>
        </w:rPr>
        <w:t>институција, као неопходног предуслова за ефикасну борбу против корупције. Национална стратеги</w:t>
      </w:r>
      <w:r w:rsidR="002D63BA" w:rsidRPr="00D471F9">
        <w:rPr>
          <w:rFonts w:ascii="Times New Roman" w:hAnsi="Times New Roman"/>
          <w:sz w:val="24"/>
          <w:szCs w:val="24"/>
          <w:shd w:val="clear" w:color="auto" w:fill="FFFFFF"/>
          <w:lang w:val="sr-Cyrl-CS"/>
        </w:rPr>
        <w:t>ја за борбу против корупције</w:t>
      </w:r>
      <w:r w:rsidRPr="00D471F9">
        <w:rPr>
          <w:rFonts w:ascii="Times New Roman" w:hAnsi="Times New Roman"/>
          <w:sz w:val="24"/>
          <w:szCs w:val="24"/>
          <w:shd w:val="clear" w:color="auto" w:fill="FFFFFF"/>
          <w:lang w:val="sr-Cyrl-CS"/>
        </w:rPr>
        <w:t xml:space="preserve"> представља средњорочни стратешки документ који садржи циљеве који ће се реализовати у наредних пет година. Оквир за спровођење стратешких циљева прецизиран је кроз Акциони план који ће омогућити реализацију циљева из Стратегије и системски надзор над њеним спровођењем.</w:t>
      </w:r>
      <w:r w:rsidR="00D471F9">
        <w:rPr>
          <w:rFonts w:ascii="Times New Roman" w:hAnsi="Times New Roman"/>
          <w:sz w:val="24"/>
          <w:szCs w:val="24"/>
          <w:shd w:val="clear" w:color="auto" w:fill="FFFFFF"/>
        </w:rPr>
        <w:t xml:space="preserve"> </w:t>
      </w:r>
    </w:p>
    <w:p w:rsidR="00E16222" w:rsidRPr="00D471F9" w:rsidRDefault="00E16222" w:rsidP="00D471F9">
      <w:pPr>
        <w:ind w:firstLine="630"/>
        <w:jc w:val="both"/>
        <w:rPr>
          <w:rFonts w:ascii="Times New Roman" w:hAnsi="Times New Roman"/>
          <w:sz w:val="24"/>
          <w:szCs w:val="24"/>
          <w:lang w:val="sr-Cyrl-CS"/>
        </w:rPr>
      </w:pPr>
      <w:r w:rsidRPr="00D471F9">
        <w:rPr>
          <w:rFonts w:ascii="Times New Roman" w:hAnsi="Times New Roman"/>
          <w:sz w:val="24"/>
          <w:szCs w:val="24"/>
          <w:lang w:val="sr-Cyrl-CS"/>
        </w:rPr>
        <w:t>Поменутом Стратегијом се, између осталог,  дају  следеће препоруке, које треба остварити спровођењем одређених активности из Ационог плана:</w:t>
      </w:r>
    </w:p>
    <w:p w:rsidR="00E16222" w:rsidRPr="00D471F9" w:rsidRDefault="00E16222" w:rsidP="00D471F9">
      <w:pPr>
        <w:ind w:firstLine="630"/>
        <w:jc w:val="both"/>
        <w:rPr>
          <w:rFonts w:ascii="Times New Roman" w:hAnsi="Times New Roman"/>
          <w:sz w:val="24"/>
          <w:szCs w:val="24"/>
          <w:lang w:val="sr-Cyrl-CS"/>
        </w:rPr>
      </w:pPr>
      <w:r w:rsidRPr="00D471F9">
        <w:rPr>
          <w:rFonts w:ascii="Times New Roman" w:hAnsi="Times New Roman"/>
          <w:sz w:val="24"/>
          <w:szCs w:val="24"/>
          <w:lang w:val="sr-Cyrl-CS"/>
        </w:rPr>
        <w:t>Изменити Закон о Државној ревизорској институцији тако да се пр</w:t>
      </w:r>
      <w:r w:rsidR="00360BE9" w:rsidRPr="00D471F9">
        <w:rPr>
          <w:rFonts w:ascii="Times New Roman" w:hAnsi="Times New Roman"/>
          <w:sz w:val="24"/>
          <w:szCs w:val="24"/>
          <w:lang w:val="sr-Cyrl-CS"/>
        </w:rPr>
        <w:t>о</w:t>
      </w:r>
      <w:r w:rsidRPr="00D471F9">
        <w:rPr>
          <w:rFonts w:ascii="Times New Roman" w:hAnsi="Times New Roman"/>
          <w:sz w:val="24"/>
          <w:szCs w:val="24"/>
          <w:lang w:val="sr-Cyrl-CS"/>
        </w:rPr>
        <w:t>грамом ревизије обавезно обухвати ревизија парламентарних политичких странака на републичком нивоу, која препорука треба да се оствари спровођењем следећих активности:</w:t>
      </w:r>
    </w:p>
    <w:p w:rsidR="00E16222" w:rsidRPr="00D471F9" w:rsidRDefault="00E16222" w:rsidP="008A3795">
      <w:pPr>
        <w:numPr>
          <w:ilvl w:val="0"/>
          <w:numId w:val="16"/>
        </w:numPr>
        <w:jc w:val="both"/>
        <w:rPr>
          <w:rFonts w:ascii="Times New Roman" w:hAnsi="Times New Roman"/>
          <w:sz w:val="24"/>
          <w:szCs w:val="24"/>
          <w:lang w:val="sr-Cyrl-CS"/>
        </w:rPr>
      </w:pPr>
      <w:r w:rsidRPr="00D471F9">
        <w:rPr>
          <w:rFonts w:ascii="Times New Roman" w:hAnsi="Times New Roman"/>
          <w:sz w:val="24"/>
          <w:szCs w:val="24"/>
          <w:lang w:val="sr-Cyrl-CS"/>
        </w:rPr>
        <w:t>Израдити Предлог закона о изменама и допунама Закона и доставити Влади,</w:t>
      </w:r>
    </w:p>
    <w:p w:rsidR="00E16222" w:rsidRPr="00D471F9" w:rsidRDefault="00E16222" w:rsidP="008A3795">
      <w:pPr>
        <w:numPr>
          <w:ilvl w:val="0"/>
          <w:numId w:val="16"/>
        </w:numPr>
        <w:jc w:val="both"/>
        <w:rPr>
          <w:rFonts w:ascii="Times New Roman" w:hAnsi="Times New Roman"/>
          <w:sz w:val="24"/>
          <w:szCs w:val="24"/>
          <w:lang w:val="sr-Cyrl-CS"/>
        </w:rPr>
      </w:pPr>
      <w:r w:rsidRPr="00D471F9">
        <w:rPr>
          <w:rFonts w:ascii="Times New Roman" w:hAnsi="Times New Roman"/>
          <w:sz w:val="24"/>
          <w:szCs w:val="24"/>
        </w:rPr>
        <w:t xml:space="preserve"> </w:t>
      </w:r>
      <w:r w:rsidRPr="00D471F9">
        <w:rPr>
          <w:rFonts w:ascii="Times New Roman" w:hAnsi="Times New Roman"/>
          <w:sz w:val="24"/>
          <w:szCs w:val="24"/>
          <w:lang w:val="sr-Cyrl-CS"/>
        </w:rPr>
        <w:t>Усвајање Закона о изменама и допунама Закона.</w:t>
      </w:r>
    </w:p>
    <w:p w:rsidR="00E16222" w:rsidRPr="00D471F9" w:rsidRDefault="00E16222" w:rsidP="00D471F9">
      <w:pPr>
        <w:ind w:firstLine="630"/>
        <w:jc w:val="both"/>
        <w:rPr>
          <w:rFonts w:ascii="Times New Roman" w:hAnsi="Times New Roman"/>
          <w:sz w:val="24"/>
          <w:szCs w:val="24"/>
          <w:lang w:val="sr-Cyrl-CS"/>
        </w:rPr>
      </w:pPr>
      <w:r w:rsidRPr="00D471F9">
        <w:rPr>
          <w:rFonts w:ascii="Times New Roman" w:hAnsi="Times New Roman"/>
          <w:sz w:val="24"/>
          <w:szCs w:val="24"/>
          <w:lang w:val="sr-Cyrl-CS"/>
        </w:rPr>
        <w:t>Изменити Закон о пореском поступку и пореској администрацији тако да се уведе обавеза директора Пореске управе да у годишњи или ванредни план пореске контроле обавезно уврсти даваоце финансијских средстава и других услуга политичким субјектима у складу са извештајем Агенције о финансирању политичких активности и субјеката, која препорука треба да се оствари спровођењем следећих активности:</w:t>
      </w:r>
    </w:p>
    <w:p w:rsidR="00E16222" w:rsidRPr="00D471F9" w:rsidRDefault="00E16222" w:rsidP="008A3795">
      <w:pPr>
        <w:numPr>
          <w:ilvl w:val="0"/>
          <w:numId w:val="43"/>
        </w:numPr>
        <w:jc w:val="both"/>
        <w:rPr>
          <w:rFonts w:ascii="Times New Roman" w:hAnsi="Times New Roman"/>
          <w:sz w:val="24"/>
          <w:szCs w:val="24"/>
          <w:lang w:val="sr-Cyrl-CS"/>
        </w:rPr>
      </w:pPr>
      <w:r w:rsidRPr="00D471F9">
        <w:rPr>
          <w:rFonts w:ascii="Times New Roman" w:hAnsi="Times New Roman"/>
          <w:sz w:val="24"/>
          <w:szCs w:val="24"/>
          <w:lang w:val="sr-Cyrl-CS"/>
        </w:rPr>
        <w:t>Израдити Нацрт закона о изменама и допунама Закона и доставити Влади,</w:t>
      </w:r>
    </w:p>
    <w:p w:rsidR="00E16222" w:rsidRPr="00D471F9" w:rsidRDefault="00E16222" w:rsidP="008A3795">
      <w:pPr>
        <w:numPr>
          <w:ilvl w:val="0"/>
          <w:numId w:val="43"/>
        </w:numPr>
        <w:jc w:val="both"/>
        <w:rPr>
          <w:rFonts w:ascii="Times New Roman" w:hAnsi="Times New Roman"/>
          <w:sz w:val="24"/>
          <w:szCs w:val="24"/>
          <w:lang w:val="sr-Cyrl-CS"/>
        </w:rPr>
      </w:pPr>
      <w:r w:rsidRPr="00D471F9">
        <w:rPr>
          <w:rFonts w:ascii="Times New Roman" w:hAnsi="Times New Roman"/>
          <w:sz w:val="24"/>
          <w:szCs w:val="24"/>
          <w:lang w:val="sr-Cyrl-CS"/>
        </w:rPr>
        <w:lastRenderedPageBreak/>
        <w:t>Подношење Предлога закона о изменама и допунама Закона Народној скупштини,</w:t>
      </w:r>
    </w:p>
    <w:p w:rsidR="00E16222" w:rsidRPr="00D471F9" w:rsidRDefault="00E16222" w:rsidP="008A3795">
      <w:pPr>
        <w:numPr>
          <w:ilvl w:val="0"/>
          <w:numId w:val="43"/>
        </w:numPr>
        <w:jc w:val="both"/>
        <w:rPr>
          <w:rFonts w:ascii="Times New Roman" w:hAnsi="Times New Roman"/>
          <w:sz w:val="24"/>
          <w:szCs w:val="24"/>
          <w:lang w:val="sr-Cyrl-CS"/>
        </w:rPr>
      </w:pPr>
      <w:r w:rsidRPr="00D471F9">
        <w:rPr>
          <w:rFonts w:ascii="Times New Roman" w:hAnsi="Times New Roman"/>
          <w:sz w:val="24"/>
          <w:szCs w:val="24"/>
          <w:lang w:val="sr-Cyrl-CS"/>
        </w:rPr>
        <w:t>Усвајање Закона о изменама и допунама Закона.</w:t>
      </w:r>
    </w:p>
    <w:p w:rsidR="00E16222" w:rsidRPr="00D471F9" w:rsidRDefault="00E16222" w:rsidP="00D471F9">
      <w:pPr>
        <w:ind w:firstLine="360"/>
        <w:jc w:val="both"/>
        <w:rPr>
          <w:rFonts w:ascii="Times New Roman" w:hAnsi="Times New Roman"/>
          <w:sz w:val="24"/>
          <w:szCs w:val="24"/>
          <w:lang w:val="sr-Cyrl-CS"/>
        </w:rPr>
      </w:pPr>
      <w:r w:rsidRPr="00D471F9">
        <w:rPr>
          <w:rFonts w:ascii="Times New Roman" w:hAnsi="Times New Roman"/>
          <w:sz w:val="24"/>
          <w:szCs w:val="24"/>
          <w:lang w:val="sr-Cyrl-CS"/>
        </w:rPr>
        <w:t xml:space="preserve">Ојачати капацитете Агенције за борбу против корупције за процес контроле финансирања политичких активности: </w:t>
      </w:r>
      <w:r w:rsidR="002D63BA" w:rsidRPr="00D471F9">
        <w:rPr>
          <w:rFonts w:ascii="Times New Roman" w:hAnsi="Times New Roman"/>
          <w:sz w:val="24"/>
          <w:szCs w:val="24"/>
          <w:lang w:val="sr-Cyrl-CS"/>
        </w:rPr>
        <w:t xml:space="preserve"> </w:t>
      </w:r>
    </w:p>
    <w:p w:rsidR="00E16222" w:rsidRPr="00D471F9" w:rsidRDefault="00E16222" w:rsidP="008A3795">
      <w:pPr>
        <w:numPr>
          <w:ilvl w:val="0"/>
          <w:numId w:val="44"/>
        </w:numPr>
        <w:jc w:val="both"/>
        <w:rPr>
          <w:rFonts w:ascii="Times New Roman" w:hAnsi="Times New Roman"/>
          <w:sz w:val="24"/>
          <w:szCs w:val="24"/>
          <w:lang w:val="sr-Cyrl-CS"/>
        </w:rPr>
      </w:pPr>
      <w:r w:rsidRPr="00D471F9">
        <w:rPr>
          <w:rFonts w:ascii="Times New Roman" w:hAnsi="Times New Roman"/>
          <w:sz w:val="24"/>
          <w:szCs w:val="24"/>
          <w:lang w:val="sr-Cyrl-CS"/>
        </w:rPr>
        <w:t>израдити анализу потреба, изменити систематизацију и запослити одговарајући број стручног кадра у складу са анализом,</w:t>
      </w:r>
    </w:p>
    <w:p w:rsidR="00E16222" w:rsidRPr="00D471F9" w:rsidRDefault="00E16222" w:rsidP="008A3795">
      <w:pPr>
        <w:numPr>
          <w:ilvl w:val="0"/>
          <w:numId w:val="44"/>
        </w:numPr>
        <w:jc w:val="both"/>
        <w:rPr>
          <w:rFonts w:ascii="Times New Roman" w:hAnsi="Times New Roman"/>
          <w:sz w:val="24"/>
          <w:szCs w:val="24"/>
          <w:lang w:val="sr-Cyrl-CS"/>
        </w:rPr>
      </w:pPr>
      <w:r w:rsidRPr="00D471F9">
        <w:rPr>
          <w:rFonts w:ascii="Times New Roman" w:hAnsi="Times New Roman"/>
          <w:sz w:val="24"/>
          <w:szCs w:val="24"/>
          <w:lang w:val="sr-Cyrl-CS"/>
        </w:rPr>
        <w:t>Направити и спроводити план и програм обуке запослених у складу са анализом,</w:t>
      </w:r>
    </w:p>
    <w:p w:rsidR="00E16222" w:rsidRPr="00D471F9" w:rsidRDefault="00E16222" w:rsidP="008A3795">
      <w:pPr>
        <w:numPr>
          <w:ilvl w:val="0"/>
          <w:numId w:val="44"/>
        </w:numPr>
        <w:jc w:val="both"/>
        <w:rPr>
          <w:rFonts w:ascii="Times New Roman" w:hAnsi="Times New Roman"/>
          <w:sz w:val="24"/>
          <w:szCs w:val="24"/>
          <w:lang w:val="sr-Cyrl-CS"/>
        </w:rPr>
      </w:pPr>
      <w:r w:rsidRPr="00D471F9">
        <w:rPr>
          <w:rFonts w:ascii="Times New Roman" w:hAnsi="Times New Roman"/>
          <w:sz w:val="24"/>
          <w:szCs w:val="24"/>
          <w:lang w:val="sr-Cyrl-CS"/>
        </w:rPr>
        <w:t>Набавити опрему у складу са анализом потреба.</w:t>
      </w:r>
    </w:p>
    <w:p w:rsidR="00E16222" w:rsidRPr="00D471F9" w:rsidRDefault="00E16222" w:rsidP="00D471F9">
      <w:pPr>
        <w:ind w:firstLine="360"/>
        <w:jc w:val="both"/>
        <w:rPr>
          <w:rFonts w:ascii="Times New Roman" w:hAnsi="Times New Roman"/>
          <w:sz w:val="24"/>
          <w:szCs w:val="24"/>
          <w:lang w:val="sr-Cyrl-CS"/>
        </w:rPr>
      </w:pPr>
      <w:r w:rsidRPr="00D471F9">
        <w:rPr>
          <w:rFonts w:ascii="Times New Roman" w:hAnsi="Times New Roman"/>
          <w:sz w:val="24"/>
          <w:szCs w:val="24"/>
          <w:lang w:val="sr-Cyrl-CS"/>
        </w:rPr>
        <w:t>Изменити Закон о јавним предузећима тако да се утврде јасни објективни критеријуми за избор, разрешење и начин вредновања рада директора на свим нивоима власти, као и да се уведу механизми одговорности за доследно спровођење ових критеријума, која препорука треба да се оствари спровођењем следећих активности:</w:t>
      </w:r>
    </w:p>
    <w:p w:rsidR="00E16222" w:rsidRPr="00D471F9" w:rsidRDefault="00E16222" w:rsidP="008A3795">
      <w:pPr>
        <w:numPr>
          <w:ilvl w:val="0"/>
          <w:numId w:val="45"/>
        </w:numPr>
        <w:jc w:val="both"/>
        <w:rPr>
          <w:rFonts w:ascii="Times New Roman" w:hAnsi="Times New Roman"/>
          <w:sz w:val="24"/>
          <w:szCs w:val="24"/>
          <w:lang w:val="sr-Cyrl-CS"/>
        </w:rPr>
      </w:pPr>
      <w:r w:rsidRPr="00D471F9">
        <w:rPr>
          <w:rFonts w:ascii="Times New Roman" w:hAnsi="Times New Roman"/>
          <w:sz w:val="24"/>
          <w:szCs w:val="24"/>
          <w:lang w:val="sr-Cyrl-CS"/>
        </w:rPr>
        <w:t>Израдити и доставити Влади Нацрта закона о изменама и допунама Закона тако да се утврде јасни и објективни критеријуми на основу којих надлежно министарство предлаже комисији кандидата, као и критеријуми на основу којих комисија врши коначну селекцију кандидата који су испунили све прописане услове,</w:t>
      </w:r>
    </w:p>
    <w:p w:rsidR="00E16222" w:rsidRPr="00D471F9" w:rsidRDefault="00E16222" w:rsidP="008A3795">
      <w:pPr>
        <w:numPr>
          <w:ilvl w:val="0"/>
          <w:numId w:val="45"/>
        </w:numPr>
        <w:jc w:val="both"/>
        <w:rPr>
          <w:rFonts w:ascii="Times New Roman" w:hAnsi="Times New Roman"/>
          <w:sz w:val="24"/>
          <w:szCs w:val="24"/>
          <w:lang w:val="sr-Cyrl-CS"/>
        </w:rPr>
      </w:pPr>
      <w:r w:rsidRPr="00D471F9">
        <w:rPr>
          <w:rFonts w:ascii="Times New Roman" w:hAnsi="Times New Roman"/>
          <w:sz w:val="24"/>
          <w:szCs w:val="24"/>
          <w:lang w:val="sr-Cyrl-CS"/>
        </w:rPr>
        <w:t>Утврдити објективне критеријуме за вредновање рада и разрешење директора,</w:t>
      </w:r>
    </w:p>
    <w:p w:rsidR="00E16222" w:rsidRPr="00D471F9" w:rsidRDefault="00E16222" w:rsidP="008A3795">
      <w:pPr>
        <w:numPr>
          <w:ilvl w:val="0"/>
          <w:numId w:val="45"/>
        </w:numPr>
        <w:jc w:val="both"/>
        <w:rPr>
          <w:rFonts w:ascii="Times New Roman" w:hAnsi="Times New Roman"/>
          <w:sz w:val="24"/>
          <w:szCs w:val="24"/>
          <w:lang w:val="sr-Cyrl-CS"/>
        </w:rPr>
      </w:pPr>
      <w:r w:rsidRPr="00D471F9">
        <w:rPr>
          <w:rFonts w:ascii="Times New Roman" w:hAnsi="Times New Roman"/>
          <w:sz w:val="24"/>
          <w:szCs w:val="24"/>
          <w:lang w:val="sr-Cyrl-CS"/>
        </w:rPr>
        <w:t>Подношење Предлога закона о изменама и допунама Закона Народној скупштини, на основу извршене анализе,</w:t>
      </w:r>
    </w:p>
    <w:p w:rsidR="00E16222" w:rsidRPr="00D471F9" w:rsidRDefault="00E16222" w:rsidP="008A3795">
      <w:pPr>
        <w:numPr>
          <w:ilvl w:val="0"/>
          <w:numId w:val="45"/>
        </w:numPr>
        <w:jc w:val="both"/>
        <w:rPr>
          <w:rFonts w:ascii="Times New Roman" w:hAnsi="Times New Roman"/>
          <w:sz w:val="24"/>
          <w:szCs w:val="24"/>
          <w:lang w:val="sr-Cyrl-CS"/>
        </w:rPr>
      </w:pPr>
      <w:r w:rsidRPr="00D471F9">
        <w:rPr>
          <w:rFonts w:ascii="Times New Roman" w:hAnsi="Times New Roman"/>
          <w:sz w:val="24"/>
          <w:szCs w:val="24"/>
          <w:lang w:val="sr-Cyrl-CS"/>
        </w:rPr>
        <w:t>Усвајање Закона о изменама и допунама.</w:t>
      </w:r>
    </w:p>
    <w:p w:rsidR="00E16222" w:rsidRPr="00D471F9" w:rsidRDefault="00E16222" w:rsidP="00D471F9">
      <w:pPr>
        <w:ind w:firstLine="360"/>
        <w:jc w:val="both"/>
        <w:rPr>
          <w:rFonts w:ascii="Times New Roman" w:hAnsi="Times New Roman"/>
          <w:sz w:val="24"/>
          <w:szCs w:val="24"/>
          <w:lang w:val="sr-Cyrl-CS"/>
        </w:rPr>
      </w:pPr>
      <w:r w:rsidRPr="00D471F9">
        <w:rPr>
          <w:rFonts w:ascii="Times New Roman" w:hAnsi="Times New Roman"/>
          <w:sz w:val="24"/>
          <w:szCs w:val="24"/>
          <w:lang w:val="sr-Cyrl-CS"/>
        </w:rPr>
        <w:t>Израдити моделе акционог плана за борбу против корупције за јединице локалне самоуправе и аутономне покрајине:</w:t>
      </w:r>
      <w:r w:rsidR="002D63BA" w:rsidRPr="00D471F9">
        <w:rPr>
          <w:rFonts w:ascii="Times New Roman" w:hAnsi="Times New Roman"/>
          <w:sz w:val="24"/>
          <w:szCs w:val="24"/>
          <w:lang w:val="sr-Cyrl-CS"/>
        </w:rPr>
        <w:t xml:space="preserve"> </w:t>
      </w:r>
    </w:p>
    <w:p w:rsidR="00E16222" w:rsidRPr="00D471F9" w:rsidRDefault="00E16222" w:rsidP="008A3795">
      <w:pPr>
        <w:numPr>
          <w:ilvl w:val="0"/>
          <w:numId w:val="46"/>
        </w:numPr>
        <w:jc w:val="both"/>
        <w:rPr>
          <w:rFonts w:ascii="Times New Roman" w:hAnsi="Times New Roman"/>
          <w:sz w:val="24"/>
          <w:szCs w:val="24"/>
          <w:lang w:val="sr-Cyrl-CS"/>
        </w:rPr>
      </w:pPr>
      <w:r w:rsidRPr="00D471F9">
        <w:rPr>
          <w:rFonts w:ascii="Times New Roman" w:hAnsi="Times New Roman"/>
          <w:sz w:val="24"/>
          <w:szCs w:val="24"/>
          <w:lang w:val="sr-Cyrl-CS"/>
        </w:rPr>
        <w:t>Извршити анализу појавних облика корупције на нивоу локалне самоуправе и аутономних покрајина,</w:t>
      </w:r>
    </w:p>
    <w:p w:rsidR="00E16222" w:rsidRPr="00D471F9" w:rsidRDefault="00E16222" w:rsidP="008A3795">
      <w:pPr>
        <w:numPr>
          <w:ilvl w:val="0"/>
          <w:numId w:val="46"/>
        </w:numPr>
        <w:jc w:val="both"/>
        <w:rPr>
          <w:rFonts w:ascii="Times New Roman" w:hAnsi="Times New Roman"/>
          <w:sz w:val="24"/>
          <w:szCs w:val="24"/>
          <w:lang w:val="sr-Cyrl-CS"/>
        </w:rPr>
      </w:pPr>
      <w:r w:rsidRPr="00D471F9">
        <w:rPr>
          <w:rFonts w:ascii="Times New Roman" w:hAnsi="Times New Roman"/>
          <w:sz w:val="24"/>
          <w:szCs w:val="24"/>
        </w:rPr>
        <w:t xml:space="preserve"> </w:t>
      </w:r>
      <w:r w:rsidRPr="00D471F9">
        <w:rPr>
          <w:rFonts w:ascii="Times New Roman" w:hAnsi="Times New Roman"/>
          <w:sz w:val="24"/>
          <w:szCs w:val="24"/>
          <w:lang w:val="sr-Cyrl-CS"/>
        </w:rPr>
        <w:t>Израдити моделе акционог плана за борбу против корупције на нивоу локалне самоуправе и аутономних покрајина.</w:t>
      </w:r>
    </w:p>
    <w:p w:rsidR="00E16222" w:rsidRPr="00D471F9" w:rsidRDefault="00E16222" w:rsidP="00D471F9">
      <w:pPr>
        <w:ind w:left="360"/>
        <w:jc w:val="both"/>
        <w:rPr>
          <w:rFonts w:ascii="Times New Roman" w:hAnsi="Times New Roman"/>
          <w:sz w:val="24"/>
          <w:szCs w:val="24"/>
          <w:lang w:val="sr-Cyrl-CS"/>
        </w:rPr>
      </w:pPr>
      <w:r w:rsidRPr="00D471F9">
        <w:rPr>
          <w:rFonts w:ascii="Times New Roman" w:hAnsi="Times New Roman"/>
          <w:sz w:val="24"/>
          <w:szCs w:val="24"/>
          <w:lang w:val="sr-Cyrl-CS"/>
        </w:rPr>
        <w:t>Ојачати капацитете Пореске управе за ефикасно спровођење система е-Порези:</w:t>
      </w:r>
    </w:p>
    <w:p w:rsidR="00E16222" w:rsidRPr="00D471F9" w:rsidRDefault="00E16222" w:rsidP="008A3795">
      <w:pPr>
        <w:numPr>
          <w:ilvl w:val="0"/>
          <w:numId w:val="47"/>
        </w:numPr>
        <w:jc w:val="both"/>
        <w:rPr>
          <w:rFonts w:ascii="Times New Roman" w:hAnsi="Times New Roman"/>
          <w:sz w:val="24"/>
          <w:szCs w:val="24"/>
          <w:lang w:val="sr-Cyrl-CS"/>
        </w:rPr>
      </w:pPr>
      <w:r w:rsidRPr="00D471F9">
        <w:rPr>
          <w:rFonts w:ascii="Times New Roman" w:hAnsi="Times New Roman"/>
          <w:sz w:val="24"/>
          <w:szCs w:val="24"/>
          <w:lang w:val="sr-Cyrl-CS"/>
        </w:rPr>
        <w:t>Израдити анализу потреба,</w:t>
      </w:r>
    </w:p>
    <w:p w:rsidR="00E16222" w:rsidRPr="00D471F9" w:rsidRDefault="00E16222" w:rsidP="008A3795">
      <w:pPr>
        <w:numPr>
          <w:ilvl w:val="0"/>
          <w:numId w:val="47"/>
        </w:numPr>
        <w:jc w:val="both"/>
        <w:rPr>
          <w:rFonts w:ascii="Times New Roman" w:hAnsi="Times New Roman"/>
          <w:sz w:val="24"/>
          <w:szCs w:val="24"/>
          <w:lang w:val="sr-Cyrl-CS"/>
        </w:rPr>
      </w:pPr>
      <w:r w:rsidRPr="00D471F9">
        <w:rPr>
          <w:rFonts w:ascii="Times New Roman" w:hAnsi="Times New Roman"/>
          <w:sz w:val="24"/>
          <w:szCs w:val="24"/>
          <w:lang w:val="sr-Cyrl-CS"/>
        </w:rPr>
        <w:t>Запослити кадрове у складу са анализом потреба,</w:t>
      </w:r>
    </w:p>
    <w:p w:rsidR="00E16222" w:rsidRPr="00D471F9" w:rsidRDefault="00E16222" w:rsidP="008A3795">
      <w:pPr>
        <w:numPr>
          <w:ilvl w:val="0"/>
          <w:numId w:val="47"/>
        </w:numPr>
        <w:jc w:val="both"/>
        <w:rPr>
          <w:rFonts w:ascii="Times New Roman" w:hAnsi="Times New Roman"/>
          <w:sz w:val="24"/>
          <w:szCs w:val="24"/>
          <w:lang w:val="sr-Cyrl-CS"/>
        </w:rPr>
      </w:pPr>
      <w:r w:rsidRPr="00D471F9">
        <w:rPr>
          <w:rFonts w:ascii="Times New Roman" w:hAnsi="Times New Roman"/>
          <w:sz w:val="24"/>
          <w:szCs w:val="24"/>
          <w:lang w:val="sr-Cyrl-CS"/>
        </w:rPr>
        <w:lastRenderedPageBreak/>
        <w:t>Направити план и програм обуке запослених у складу са анализом потреба и приручнике с упутствима,</w:t>
      </w:r>
    </w:p>
    <w:p w:rsidR="00E16222" w:rsidRPr="00D471F9" w:rsidRDefault="00E16222" w:rsidP="008A3795">
      <w:pPr>
        <w:numPr>
          <w:ilvl w:val="0"/>
          <w:numId w:val="47"/>
        </w:numPr>
        <w:jc w:val="both"/>
        <w:rPr>
          <w:rFonts w:ascii="Times New Roman" w:hAnsi="Times New Roman"/>
          <w:sz w:val="24"/>
          <w:szCs w:val="24"/>
          <w:lang w:val="sr-Cyrl-CS"/>
        </w:rPr>
      </w:pPr>
      <w:r w:rsidRPr="00D471F9">
        <w:rPr>
          <w:rFonts w:ascii="Times New Roman" w:hAnsi="Times New Roman"/>
          <w:sz w:val="24"/>
          <w:szCs w:val="24"/>
          <w:lang w:val="sr-Cyrl-CS"/>
        </w:rPr>
        <w:t>Спровести план и програм обуке запослених,</w:t>
      </w:r>
    </w:p>
    <w:p w:rsidR="00E16222" w:rsidRPr="00D471F9" w:rsidRDefault="00E16222" w:rsidP="008A3795">
      <w:pPr>
        <w:numPr>
          <w:ilvl w:val="0"/>
          <w:numId w:val="47"/>
        </w:numPr>
        <w:jc w:val="both"/>
        <w:rPr>
          <w:rFonts w:ascii="Times New Roman" w:hAnsi="Times New Roman"/>
          <w:sz w:val="24"/>
          <w:szCs w:val="24"/>
          <w:lang w:val="sr-Cyrl-CS"/>
        </w:rPr>
      </w:pPr>
      <w:r w:rsidRPr="00D471F9">
        <w:rPr>
          <w:rFonts w:ascii="Times New Roman" w:hAnsi="Times New Roman"/>
          <w:sz w:val="24"/>
          <w:szCs w:val="24"/>
          <w:lang w:val="sr-Cyrl-CS"/>
        </w:rPr>
        <w:t>Обезбедити потребне техничке услове и опрему у складу са претходно извршеном анализом потреба.</w:t>
      </w:r>
    </w:p>
    <w:p w:rsidR="00E16222" w:rsidRPr="00D471F9" w:rsidRDefault="00E16222" w:rsidP="00D471F9">
      <w:pPr>
        <w:ind w:firstLine="360"/>
        <w:jc w:val="both"/>
        <w:rPr>
          <w:rFonts w:ascii="Times New Roman" w:hAnsi="Times New Roman"/>
          <w:sz w:val="24"/>
          <w:szCs w:val="24"/>
          <w:lang w:val="sr-Cyrl-CS"/>
        </w:rPr>
      </w:pPr>
      <w:r w:rsidRPr="00D471F9">
        <w:rPr>
          <w:rFonts w:ascii="Times New Roman" w:hAnsi="Times New Roman"/>
          <w:sz w:val="24"/>
          <w:szCs w:val="24"/>
          <w:lang w:val="sr-Cyrl-CS"/>
        </w:rPr>
        <w:t>Усвојити закон којим се регулише систем јединственог идентификационог пореског броја, која препорука треба да се оствари спровођењем следећих активности:</w:t>
      </w:r>
      <w:r w:rsidR="002D63BA" w:rsidRPr="00D471F9">
        <w:rPr>
          <w:rFonts w:ascii="Times New Roman" w:hAnsi="Times New Roman"/>
          <w:sz w:val="24"/>
          <w:szCs w:val="24"/>
          <w:lang w:val="sr-Cyrl-CS"/>
        </w:rPr>
        <w:t xml:space="preserve"> </w:t>
      </w:r>
    </w:p>
    <w:p w:rsidR="00E16222" w:rsidRPr="00D471F9" w:rsidRDefault="00E16222" w:rsidP="008A3795">
      <w:pPr>
        <w:numPr>
          <w:ilvl w:val="0"/>
          <w:numId w:val="48"/>
        </w:numPr>
        <w:jc w:val="both"/>
        <w:rPr>
          <w:rFonts w:ascii="Times New Roman" w:hAnsi="Times New Roman"/>
          <w:sz w:val="24"/>
          <w:szCs w:val="24"/>
          <w:lang w:val="sr-Cyrl-CS"/>
        </w:rPr>
      </w:pPr>
      <w:r w:rsidRPr="00D471F9">
        <w:rPr>
          <w:rFonts w:ascii="Times New Roman" w:hAnsi="Times New Roman"/>
          <w:sz w:val="24"/>
          <w:szCs w:val="24"/>
          <w:lang w:val="sr-Cyrl-CS"/>
        </w:rPr>
        <w:t>Израдити анализу евиденција о особама и личном дохотку и моделу повезивања путем ЈИПБ,</w:t>
      </w:r>
    </w:p>
    <w:p w:rsidR="00E16222" w:rsidRPr="00D471F9" w:rsidRDefault="00E16222" w:rsidP="008A3795">
      <w:pPr>
        <w:numPr>
          <w:ilvl w:val="0"/>
          <w:numId w:val="48"/>
        </w:numPr>
        <w:jc w:val="both"/>
        <w:rPr>
          <w:rFonts w:ascii="Times New Roman" w:hAnsi="Times New Roman"/>
          <w:sz w:val="24"/>
          <w:szCs w:val="24"/>
          <w:lang w:val="sr-Cyrl-CS"/>
        </w:rPr>
      </w:pPr>
      <w:r w:rsidRPr="00D471F9">
        <w:rPr>
          <w:rFonts w:ascii="Times New Roman" w:hAnsi="Times New Roman"/>
          <w:sz w:val="24"/>
          <w:szCs w:val="24"/>
          <w:lang w:val="sr-Cyrl-CS"/>
        </w:rPr>
        <w:t>Израдити и доставити Влади Закон у складу са анализом,</w:t>
      </w:r>
    </w:p>
    <w:p w:rsidR="00E16222" w:rsidRPr="00D471F9" w:rsidRDefault="00E16222" w:rsidP="008A3795">
      <w:pPr>
        <w:numPr>
          <w:ilvl w:val="0"/>
          <w:numId w:val="48"/>
        </w:numPr>
        <w:jc w:val="both"/>
        <w:rPr>
          <w:rFonts w:ascii="Times New Roman" w:hAnsi="Times New Roman"/>
          <w:sz w:val="24"/>
          <w:szCs w:val="24"/>
          <w:lang w:val="sr-Cyrl-CS"/>
        </w:rPr>
      </w:pPr>
      <w:r w:rsidRPr="00D471F9">
        <w:rPr>
          <w:rFonts w:ascii="Times New Roman" w:hAnsi="Times New Roman"/>
          <w:sz w:val="24"/>
          <w:szCs w:val="24"/>
          <w:lang w:val="sr-Cyrl-CS"/>
        </w:rPr>
        <w:t>Поднети Предлог Закона Народној скупштини и усвојити Закон.</w:t>
      </w:r>
    </w:p>
    <w:p w:rsidR="00E16222" w:rsidRPr="00D471F9" w:rsidRDefault="00E16222" w:rsidP="00D471F9">
      <w:pPr>
        <w:ind w:firstLine="360"/>
        <w:jc w:val="both"/>
        <w:rPr>
          <w:rFonts w:ascii="Times New Roman" w:hAnsi="Times New Roman"/>
          <w:sz w:val="24"/>
          <w:szCs w:val="24"/>
          <w:lang w:val="sr-Cyrl-CS"/>
        </w:rPr>
      </w:pPr>
      <w:r w:rsidRPr="00D471F9">
        <w:rPr>
          <w:rFonts w:ascii="Times New Roman" w:hAnsi="Times New Roman"/>
          <w:sz w:val="24"/>
          <w:szCs w:val="24"/>
          <w:lang w:val="sr-Cyrl-CS"/>
        </w:rPr>
        <w:t>Усвојити закон којим се на свеобухватан начин уређује царинска служба:</w:t>
      </w:r>
    </w:p>
    <w:p w:rsidR="00E16222" w:rsidRPr="00D471F9" w:rsidRDefault="00E16222" w:rsidP="008A3795">
      <w:pPr>
        <w:numPr>
          <w:ilvl w:val="0"/>
          <w:numId w:val="49"/>
        </w:numPr>
        <w:jc w:val="both"/>
        <w:rPr>
          <w:rFonts w:ascii="Times New Roman" w:hAnsi="Times New Roman"/>
          <w:sz w:val="24"/>
          <w:szCs w:val="24"/>
          <w:lang w:val="sr-Cyrl-CS"/>
        </w:rPr>
      </w:pPr>
      <w:r w:rsidRPr="00D471F9">
        <w:rPr>
          <w:rFonts w:ascii="Times New Roman" w:hAnsi="Times New Roman"/>
          <w:sz w:val="24"/>
          <w:szCs w:val="24"/>
          <w:lang w:val="sr-Cyrl-CS"/>
        </w:rPr>
        <w:t>Израдити и доставити Влади Нацрт Закона, подношење Предлога Закона Народној скупштини и</w:t>
      </w:r>
      <w:r w:rsidRPr="00D471F9">
        <w:rPr>
          <w:rFonts w:ascii="Times New Roman" w:hAnsi="Times New Roman"/>
          <w:sz w:val="24"/>
          <w:szCs w:val="24"/>
        </w:rPr>
        <w:t xml:space="preserve"> </w:t>
      </w:r>
      <w:r w:rsidRPr="00D471F9">
        <w:rPr>
          <w:rFonts w:ascii="Times New Roman" w:hAnsi="Times New Roman"/>
          <w:sz w:val="24"/>
          <w:szCs w:val="24"/>
          <w:lang w:val="sr-Cyrl-CS"/>
        </w:rPr>
        <w:t>усвојити Закон.</w:t>
      </w:r>
    </w:p>
    <w:p w:rsidR="00E16222" w:rsidRPr="00D471F9" w:rsidRDefault="00E16222" w:rsidP="00D471F9">
      <w:pPr>
        <w:ind w:firstLine="360"/>
        <w:jc w:val="both"/>
        <w:rPr>
          <w:rFonts w:ascii="Times New Roman" w:hAnsi="Times New Roman"/>
          <w:sz w:val="24"/>
          <w:szCs w:val="24"/>
          <w:lang w:val="sr-Cyrl-CS"/>
        </w:rPr>
      </w:pPr>
      <w:r w:rsidRPr="00D471F9">
        <w:rPr>
          <w:rFonts w:ascii="Times New Roman" w:hAnsi="Times New Roman"/>
          <w:sz w:val="24"/>
          <w:szCs w:val="24"/>
          <w:lang w:val="sr-Cyrl-CS"/>
        </w:rPr>
        <w:t>Ажурирати Стратегију развоја јавних набавки у Републици Србији полазећи од актуелних промена регулаторног и институционалног оквира:</w:t>
      </w:r>
      <w:r w:rsidR="002D63BA" w:rsidRPr="00D471F9">
        <w:rPr>
          <w:rFonts w:ascii="Times New Roman" w:hAnsi="Times New Roman"/>
          <w:sz w:val="24"/>
          <w:szCs w:val="24"/>
          <w:lang w:val="sr-Cyrl-CS"/>
        </w:rPr>
        <w:t xml:space="preserve"> </w:t>
      </w:r>
    </w:p>
    <w:p w:rsidR="00E16222" w:rsidRPr="00D471F9" w:rsidRDefault="00E16222" w:rsidP="008A3795">
      <w:pPr>
        <w:numPr>
          <w:ilvl w:val="0"/>
          <w:numId w:val="49"/>
        </w:numPr>
        <w:jc w:val="both"/>
        <w:rPr>
          <w:rFonts w:ascii="Times New Roman" w:hAnsi="Times New Roman"/>
          <w:sz w:val="24"/>
          <w:szCs w:val="24"/>
          <w:lang w:val="sr-Cyrl-CS"/>
        </w:rPr>
      </w:pPr>
      <w:r w:rsidRPr="00D471F9">
        <w:rPr>
          <w:rFonts w:ascii="Times New Roman" w:hAnsi="Times New Roman"/>
          <w:sz w:val="24"/>
          <w:szCs w:val="24"/>
          <w:lang w:val="sr-Cyrl-CS"/>
        </w:rPr>
        <w:t>Израдити и доставити Влади Предлог измена и допуна Стратегије развоја јавних набавки у Републици Србији,</w:t>
      </w:r>
    </w:p>
    <w:p w:rsidR="00E16222" w:rsidRPr="00D471F9" w:rsidRDefault="00E16222" w:rsidP="008A3795">
      <w:pPr>
        <w:numPr>
          <w:ilvl w:val="0"/>
          <w:numId w:val="49"/>
        </w:numPr>
        <w:ind w:left="360"/>
        <w:jc w:val="both"/>
        <w:rPr>
          <w:rFonts w:ascii="Times New Roman" w:hAnsi="Times New Roman"/>
          <w:sz w:val="24"/>
          <w:szCs w:val="24"/>
          <w:lang w:val="sr-Cyrl-CS"/>
        </w:rPr>
      </w:pPr>
      <w:r w:rsidRPr="00D471F9">
        <w:rPr>
          <w:rFonts w:ascii="Times New Roman" w:hAnsi="Times New Roman"/>
          <w:sz w:val="24"/>
          <w:szCs w:val="24"/>
          <w:lang w:val="sr-Cyrl-CS"/>
        </w:rPr>
        <w:t>Усвајање измена и допуна Стратегије развоја јавних набавки у Републици Србији.</w:t>
      </w:r>
    </w:p>
    <w:p w:rsidR="00E16222" w:rsidRPr="00D471F9" w:rsidRDefault="00E16222" w:rsidP="00D471F9">
      <w:pPr>
        <w:ind w:firstLine="360"/>
        <w:jc w:val="both"/>
        <w:rPr>
          <w:rFonts w:ascii="Times New Roman" w:hAnsi="Times New Roman"/>
          <w:sz w:val="24"/>
          <w:szCs w:val="24"/>
          <w:lang w:val="sr-Cyrl-CS"/>
        </w:rPr>
      </w:pPr>
      <w:r w:rsidRPr="00D471F9">
        <w:rPr>
          <w:rFonts w:ascii="Times New Roman" w:hAnsi="Times New Roman"/>
          <w:sz w:val="24"/>
          <w:szCs w:val="24"/>
          <w:lang w:val="sr-Cyrl-CS"/>
        </w:rPr>
        <w:t>Координације активности на сузбијању корупције између релевантних институција у области јавних финансија:</w:t>
      </w:r>
      <w:r w:rsidR="002D63BA" w:rsidRPr="00D471F9">
        <w:rPr>
          <w:rFonts w:ascii="Times New Roman" w:hAnsi="Times New Roman"/>
          <w:sz w:val="24"/>
          <w:szCs w:val="24"/>
          <w:lang w:val="sr-Cyrl-CS"/>
        </w:rPr>
        <w:t xml:space="preserve"> </w:t>
      </w:r>
    </w:p>
    <w:p w:rsidR="00E16222" w:rsidRPr="00D471F9" w:rsidRDefault="00E16222" w:rsidP="008A3795">
      <w:pPr>
        <w:numPr>
          <w:ilvl w:val="0"/>
          <w:numId w:val="50"/>
        </w:numPr>
        <w:jc w:val="both"/>
        <w:rPr>
          <w:rFonts w:ascii="Times New Roman" w:hAnsi="Times New Roman"/>
          <w:sz w:val="24"/>
          <w:szCs w:val="24"/>
          <w:lang w:val="sr-Cyrl-CS"/>
        </w:rPr>
      </w:pPr>
      <w:r w:rsidRPr="00D471F9">
        <w:rPr>
          <w:rFonts w:ascii="Times New Roman" w:hAnsi="Times New Roman"/>
          <w:sz w:val="24"/>
          <w:szCs w:val="24"/>
          <w:lang w:val="sr-Cyrl-CS"/>
        </w:rPr>
        <w:t>Потписати меморандум о сарадњи Управе за јавне набавке, Републичке комисије за заштиту права у поступцима јавних набавки, министарства надлежног за послове финансија и привреде, Државне ревизорске институције, Агенције за борбу против корупције, Савета за борбу против корупције и Комисије за заштиту конкуренције.</w:t>
      </w:r>
    </w:p>
    <w:p w:rsidR="00E16222" w:rsidRPr="00D471F9" w:rsidRDefault="00E16222" w:rsidP="00D471F9">
      <w:pPr>
        <w:ind w:firstLine="360"/>
        <w:jc w:val="both"/>
        <w:rPr>
          <w:rFonts w:ascii="Times New Roman" w:hAnsi="Times New Roman"/>
          <w:sz w:val="24"/>
          <w:szCs w:val="24"/>
          <w:lang w:val="sr-Cyrl-CS"/>
        </w:rPr>
      </w:pPr>
      <w:r w:rsidRPr="00D471F9">
        <w:rPr>
          <w:rFonts w:ascii="Times New Roman" w:hAnsi="Times New Roman"/>
          <w:sz w:val="24"/>
          <w:szCs w:val="24"/>
          <w:lang w:val="sr-Cyrl-CS"/>
        </w:rPr>
        <w:t>Изменити Закон о приватизацији (евентуално и друге законе ако је неопходно) у складу с анализом тако да се отклоне недостаци који омогућавају корупцију у поступцима приватизације, реорганизације и стечаја:</w:t>
      </w:r>
    </w:p>
    <w:p w:rsidR="00E16222" w:rsidRPr="00D471F9" w:rsidRDefault="00E16222" w:rsidP="008A3795">
      <w:pPr>
        <w:numPr>
          <w:ilvl w:val="0"/>
          <w:numId w:val="50"/>
        </w:numPr>
        <w:jc w:val="both"/>
        <w:rPr>
          <w:rFonts w:ascii="Times New Roman" w:hAnsi="Times New Roman"/>
          <w:sz w:val="24"/>
          <w:szCs w:val="24"/>
          <w:lang w:val="sr-Cyrl-CS"/>
        </w:rPr>
      </w:pPr>
      <w:r w:rsidRPr="00D471F9">
        <w:rPr>
          <w:rFonts w:ascii="Times New Roman" w:hAnsi="Times New Roman"/>
          <w:sz w:val="24"/>
          <w:szCs w:val="24"/>
          <w:lang w:val="sr-Cyrl-CS"/>
        </w:rPr>
        <w:t>Израдити и доставити Влади Нацрт закона о изменама и допунама Закона, који је у складу са анализом</w:t>
      </w:r>
      <w:r w:rsidR="002D63BA" w:rsidRPr="00D471F9">
        <w:rPr>
          <w:rFonts w:ascii="Times New Roman" w:hAnsi="Times New Roman"/>
          <w:sz w:val="24"/>
          <w:szCs w:val="24"/>
          <w:lang w:val="sr-Cyrl-CS"/>
        </w:rPr>
        <w:t>.</w:t>
      </w:r>
      <w:r w:rsidRPr="00D471F9">
        <w:rPr>
          <w:rFonts w:ascii="Times New Roman" w:hAnsi="Times New Roman"/>
          <w:sz w:val="24"/>
          <w:szCs w:val="24"/>
        </w:rPr>
        <w:t xml:space="preserve"> </w:t>
      </w:r>
      <w:r w:rsidRPr="00D471F9">
        <w:rPr>
          <w:rFonts w:ascii="Times New Roman" w:hAnsi="Times New Roman"/>
          <w:sz w:val="24"/>
          <w:szCs w:val="24"/>
          <w:lang w:val="sr-Cyrl-CS"/>
        </w:rPr>
        <w:t>Подношење Предлога закона о изменама и допунама Закона Усвојити Закон о изменама и допунама Закона</w:t>
      </w:r>
      <w:r w:rsidR="002D63BA" w:rsidRPr="00D471F9">
        <w:rPr>
          <w:rFonts w:ascii="Times New Roman" w:hAnsi="Times New Roman"/>
          <w:sz w:val="24"/>
          <w:szCs w:val="24"/>
          <w:lang w:val="sr-Cyrl-CS"/>
        </w:rPr>
        <w:t xml:space="preserve"> </w:t>
      </w:r>
      <w:r w:rsidRPr="00D471F9">
        <w:rPr>
          <w:rFonts w:ascii="Times New Roman" w:hAnsi="Times New Roman"/>
          <w:sz w:val="24"/>
          <w:szCs w:val="24"/>
          <w:lang w:val="sr-Cyrl-CS"/>
        </w:rPr>
        <w:t>Народној скупштини</w:t>
      </w:r>
      <w:r w:rsidR="002D63BA" w:rsidRPr="00D471F9">
        <w:rPr>
          <w:rFonts w:ascii="Times New Roman" w:hAnsi="Times New Roman"/>
          <w:sz w:val="24"/>
          <w:szCs w:val="24"/>
          <w:lang w:val="sr-Cyrl-CS"/>
        </w:rPr>
        <w:t>.</w:t>
      </w:r>
    </w:p>
    <w:p w:rsidR="00E16222" w:rsidRPr="00D471F9" w:rsidRDefault="00E16222" w:rsidP="00D471F9">
      <w:pPr>
        <w:ind w:firstLine="360"/>
        <w:jc w:val="both"/>
        <w:rPr>
          <w:rFonts w:ascii="Times New Roman" w:hAnsi="Times New Roman"/>
          <w:sz w:val="24"/>
          <w:szCs w:val="24"/>
          <w:lang w:val="sr-Cyrl-CS"/>
        </w:rPr>
      </w:pPr>
      <w:r w:rsidRPr="00D471F9">
        <w:rPr>
          <w:rFonts w:ascii="Times New Roman" w:hAnsi="Times New Roman"/>
          <w:sz w:val="24"/>
          <w:szCs w:val="24"/>
          <w:lang w:val="sr-Cyrl-CS"/>
        </w:rPr>
        <w:lastRenderedPageBreak/>
        <w:t>Успоставити систем сталне и обавезне координације између Агенције за приватизацију и одговарајућих државних органа и тела у циљу успостављања проактивног приступа у спречавању ризика на корупцију у овој области:</w:t>
      </w:r>
      <w:r w:rsidR="002D63BA" w:rsidRPr="00D471F9">
        <w:rPr>
          <w:rFonts w:ascii="Times New Roman" w:hAnsi="Times New Roman"/>
          <w:sz w:val="24"/>
          <w:szCs w:val="24"/>
          <w:lang w:val="sr-Cyrl-CS"/>
        </w:rPr>
        <w:t xml:space="preserve"> </w:t>
      </w:r>
    </w:p>
    <w:p w:rsidR="00E16222" w:rsidRPr="00D471F9" w:rsidRDefault="00E16222" w:rsidP="008A3795">
      <w:pPr>
        <w:numPr>
          <w:ilvl w:val="0"/>
          <w:numId w:val="50"/>
        </w:numPr>
        <w:jc w:val="both"/>
        <w:rPr>
          <w:rFonts w:ascii="Times New Roman" w:hAnsi="Times New Roman"/>
          <w:sz w:val="24"/>
          <w:szCs w:val="24"/>
          <w:lang w:val="sr-Cyrl-CS"/>
        </w:rPr>
      </w:pPr>
      <w:r w:rsidRPr="00D471F9">
        <w:rPr>
          <w:rFonts w:ascii="Times New Roman" w:hAnsi="Times New Roman"/>
          <w:sz w:val="24"/>
          <w:szCs w:val="24"/>
          <w:lang w:val="sr-Cyrl-CS"/>
        </w:rPr>
        <w:t>Потписати меморандум о сарадњи са МУП, РЈТ, ВКС, Агенцијом и Саветом</w:t>
      </w:r>
      <w:r w:rsidR="002D63BA" w:rsidRPr="00D471F9">
        <w:rPr>
          <w:rFonts w:ascii="Times New Roman" w:hAnsi="Times New Roman"/>
          <w:sz w:val="24"/>
          <w:szCs w:val="24"/>
          <w:lang w:val="sr-Cyrl-CS"/>
        </w:rPr>
        <w:t>.</w:t>
      </w:r>
      <w:r w:rsidRPr="00D471F9">
        <w:rPr>
          <w:rFonts w:ascii="Times New Roman" w:hAnsi="Times New Roman"/>
          <w:sz w:val="24"/>
          <w:szCs w:val="24"/>
          <w:lang w:val="sr-Cyrl-CS"/>
        </w:rPr>
        <w:cr/>
      </w:r>
      <w:r w:rsidRPr="00D471F9">
        <w:rPr>
          <w:rFonts w:ascii="Times New Roman" w:hAnsi="Times New Roman"/>
          <w:sz w:val="24"/>
          <w:szCs w:val="24"/>
        </w:rPr>
        <w:t xml:space="preserve"> </w:t>
      </w:r>
      <w:r w:rsidRPr="00D471F9">
        <w:rPr>
          <w:rFonts w:ascii="Times New Roman" w:hAnsi="Times New Roman"/>
          <w:sz w:val="24"/>
          <w:szCs w:val="24"/>
          <w:lang w:val="sr-Cyrl-CS"/>
        </w:rPr>
        <w:t>Организовање полугодишњих састанак</w:t>
      </w:r>
      <w:r w:rsidR="002D63BA" w:rsidRPr="00D471F9">
        <w:rPr>
          <w:rFonts w:ascii="Times New Roman" w:hAnsi="Times New Roman"/>
          <w:sz w:val="24"/>
          <w:szCs w:val="24"/>
          <w:lang w:val="sr-Cyrl-CS"/>
        </w:rPr>
        <w:t>а.</w:t>
      </w:r>
      <w:r w:rsidRPr="00D471F9">
        <w:rPr>
          <w:rFonts w:ascii="Times New Roman" w:hAnsi="Times New Roman"/>
          <w:sz w:val="24"/>
          <w:szCs w:val="24"/>
        </w:rPr>
        <w:t xml:space="preserve"> </w:t>
      </w:r>
      <w:r w:rsidRPr="00D471F9">
        <w:rPr>
          <w:rFonts w:ascii="Times New Roman" w:hAnsi="Times New Roman"/>
          <w:sz w:val="24"/>
          <w:szCs w:val="24"/>
          <w:lang w:val="sr-Cyrl-CS"/>
        </w:rPr>
        <w:t>Дефинисати приручник примера добре праксе и начина поступања, у овој области, као механизма за превентивно деловање.</w:t>
      </w:r>
    </w:p>
    <w:p w:rsidR="00E16222" w:rsidRPr="00D471F9" w:rsidRDefault="002D63BA" w:rsidP="00D471F9">
      <w:pPr>
        <w:ind w:firstLine="360"/>
        <w:jc w:val="both"/>
        <w:rPr>
          <w:rFonts w:ascii="Times New Roman" w:hAnsi="Times New Roman"/>
          <w:sz w:val="24"/>
          <w:szCs w:val="24"/>
          <w:lang w:val="sr-Cyrl-CS"/>
        </w:rPr>
      </w:pPr>
      <w:r w:rsidRPr="00D471F9">
        <w:rPr>
          <w:rFonts w:ascii="Times New Roman" w:hAnsi="Times New Roman"/>
          <w:sz w:val="24"/>
          <w:szCs w:val="24"/>
          <w:lang w:val="sr-Cyrl-CS"/>
        </w:rPr>
        <w:t>Према томе, темељни документи</w:t>
      </w:r>
      <w:r w:rsidR="00E16222" w:rsidRPr="00D471F9">
        <w:rPr>
          <w:rFonts w:ascii="Times New Roman" w:hAnsi="Times New Roman"/>
          <w:sz w:val="24"/>
          <w:szCs w:val="24"/>
          <w:lang w:val="sr-Cyrl-CS"/>
        </w:rPr>
        <w:t xml:space="preserve"> за борбу против корупције у Републици Србији су Национална стратегија за борбу против корупције и Акциони план за њено спровођење. У спровођењу Стратегије значајну улогу </w:t>
      </w:r>
      <w:r w:rsidRPr="00D471F9">
        <w:rPr>
          <w:rFonts w:ascii="Times New Roman" w:hAnsi="Times New Roman"/>
          <w:sz w:val="24"/>
          <w:szCs w:val="24"/>
          <w:lang w:val="sr-Cyrl-CS"/>
        </w:rPr>
        <w:t xml:space="preserve">имају </w:t>
      </w:r>
      <w:r w:rsidR="00E16222" w:rsidRPr="00D471F9">
        <w:rPr>
          <w:rFonts w:ascii="Times New Roman" w:hAnsi="Times New Roman"/>
          <w:sz w:val="24"/>
          <w:szCs w:val="24"/>
          <w:lang w:val="sr-Cyrl-CS"/>
        </w:rPr>
        <w:t xml:space="preserve">одређена антикорупцијска тела и организације и то су </w:t>
      </w:r>
      <w:r w:rsidRPr="00D471F9">
        <w:rPr>
          <w:rFonts w:ascii="Times New Roman" w:hAnsi="Times New Roman"/>
          <w:sz w:val="24"/>
          <w:szCs w:val="24"/>
          <w:lang w:val="sr-Cyrl-CS"/>
        </w:rPr>
        <w:t xml:space="preserve">у </w:t>
      </w:r>
      <w:r w:rsidR="00E16222" w:rsidRPr="00D471F9">
        <w:rPr>
          <w:rFonts w:ascii="Times New Roman" w:hAnsi="Times New Roman"/>
          <w:sz w:val="24"/>
          <w:szCs w:val="24"/>
          <w:lang w:val="sr-Cyrl-CS"/>
        </w:rPr>
        <w:t xml:space="preserve">владином сектору на првом месту Агенција за борбу против корупције, затим Савет за борбу против корупције, Заштитник грађана, Повереник за информације од јавног значаја, као и Државна ревизорска институција, док у невладином сектору ту, између осталог,  спадају: </w:t>
      </w:r>
      <w:r w:rsidR="00360BE9" w:rsidRPr="00D471F9">
        <w:rPr>
          <w:rFonts w:ascii="Times New Roman" w:hAnsi="Times New Roman"/>
          <w:sz w:val="24"/>
          <w:szCs w:val="24"/>
        </w:rPr>
        <w:t>Транспаренц</w:t>
      </w:r>
      <w:r w:rsidR="00E16222" w:rsidRPr="00D471F9">
        <w:rPr>
          <w:rFonts w:ascii="Times New Roman" w:hAnsi="Times New Roman"/>
          <w:sz w:val="24"/>
          <w:szCs w:val="24"/>
        </w:rPr>
        <w:t xml:space="preserve">y </w:t>
      </w:r>
      <w:r w:rsidR="00360BE9" w:rsidRPr="00D471F9">
        <w:rPr>
          <w:rFonts w:ascii="Times New Roman" w:hAnsi="Times New Roman"/>
          <w:sz w:val="24"/>
          <w:szCs w:val="24"/>
        </w:rPr>
        <w:t>Интернационал</w:t>
      </w:r>
      <w:r w:rsidR="00E16222" w:rsidRPr="00D471F9">
        <w:rPr>
          <w:rFonts w:ascii="Times New Roman" w:hAnsi="Times New Roman"/>
          <w:sz w:val="24"/>
          <w:szCs w:val="24"/>
        </w:rPr>
        <w:t>, Грађанско друштво против корупције и Центар за развој грађанског друштва „</w:t>
      </w:r>
      <w:r w:rsidR="00E16222" w:rsidRPr="00D471F9">
        <w:rPr>
          <w:rFonts w:ascii="Times New Roman" w:hAnsi="Times New Roman"/>
          <w:sz w:val="24"/>
          <w:szCs w:val="24"/>
          <w:lang w:val="sr-Cyrl-CS"/>
        </w:rPr>
        <w:t>ПРОТЕКТА“.</w:t>
      </w:r>
    </w:p>
    <w:p w:rsidR="00424E7A" w:rsidRPr="00D471F9" w:rsidRDefault="00897FA4" w:rsidP="00D471F9">
      <w:pPr>
        <w:ind w:firstLine="630"/>
        <w:jc w:val="both"/>
        <w:rPr>
          <w:rFonts w:ascii="Times New Roman" w:hAnsi="Times New Roman"/>
          <w:sz w:val="24"/>
          <w:szCs w:val="24"/>
          <w:lang w:val="sr-Cyrl-CS"/>
        </w:rPr>
      </w:pPr>
      <w:r>
        <w:rPr>
          <w:rFonts w:ascii="Times New Roman" w:hAnsi="Times New Roman"/>
          <w:sz w:val="24"/>
          <w:szCs w:val="24"/>
          <w:lang w:val="sr-Cyrl-CS"/>
        </w:rPr>
        <w:t>Стратегија</w:t>
      </w:r>
      <w:r w:rsidR="00E16222" w:rsidRPr="00D471F9">
        <w:rPr>
          <w:rFonts w:ascii="Times New Roman" w:hAnsi="Times New Roman"/>
          <w:sz w:val="24"/>
          <w:szCs w:val="24"/>
          <w:lang w:val="sr-Cyrl-CS"/>
        </w:rPr>
        <w:t xml:space="preserve"> за борбу против корупције, израда и спровођење Акционог плана, као и доношење нових и измена постојећих закона</w:t>
      </w:r>
      <w:r>
        <w:rPr>
          <w:rFonts w:ascii="Times New Roman" w:hAnsi="Times New Roman"/>
          <w:sz w:val="24"/>
          <w:szCs w:val="24"/>
          <w:lang w:val="sr-Cyrl-CS"/>
        </w:rPr>
        <w:t>,</w:t>
      </w:r>
      <w:r w:rsidR="00E16222" w:rsidRPr="00D471F9">
        <w:rPr>
          <w:rFonts w:ascii="Times New Roman" w:hAnsi="Times New Roman"/>
          <w:sz w:val="24"/>
          <w:szCs w:val="24"/>
          <w:lang w:val="sr-Cyrl-CS"/>
        </w:rPr>
        <w:t xml:space="preserve"> само су један </w:t>
      </w:r>
      <w:r>
        <w:rPr>
          <w:rFonts w:ascii="Times New Roman" w:hAnsi="Times New Roman"/>
          <w:sz w:val="24"/>
          <w:szCs w:val="24"/>
          <w:lang w:val="sr-Cyrl-CS"/>
        </w:rPr>
        <w:t>део</w:t>
      </w:r>
      <w:r w:rsidR="00E16222" w:rsidRPr="00D471F9">
        <w:rPr>
          <w:rFonts w:ascii="Times New Roman" w:hAnsi="Times New Roman"/>
          <w:sz w:val="24"/>
          <w:szCs w:val="24"/>
          <w:lang w:val="sr-Cyrl-CS"/>
        </w:rPr>
        <w:t xml:space="preserve"> борбе против корупције. </w:t>
      </w:r>
      <w:r>
        <w:rPr>
          <w:rFonts w:ascii="Times New Roman" w:hAnsi="Times New Roman"/>
          <w:sz w:val="24"/>
          <w:szCs w:val="24"/>
          <w:lang w:val="sr-Cyrl-CS"/>
        </w:rPr>
        <w:t>Да би ова борба била ефикасна</w:t>
      </w:r>
      <w:r w:rsidR="00E16222" w:rsidRPr="00D471F9">
        <w:rPr>
          <w:rFonts w:ascii="Times New Roman" w:hAnsi="Times New Roman"/>
          <w:sz w:val="24"/>
          <w:szCs w:val="24"/>
          <w:lang w:val="sr-Cyrl-CS"/>
        </w:rPr>
        <w:t xml:space="preserve"> неопходна је најшира друштвена акција у коју се морају укључити с</w:t>
      </w:r>
      <w:r>
        <w:rPr>
          <w:rFonts w:ascii="Times New Roman" w:hAnsi="Times New Roman"/>
          <w:sz w:val="24"/>
          <w:szCs w:val="24"/>
          <w:lang w:val="sr-Cyrl-CS"/>
        </w:rPr>
        <w:t>ви чиниоци демократског друштва.</w:t>
      </w:r>
      <w:r w:rsidR="00E16222" w:rsidRPr="00D471F9">
        <w:rPr>
          <w:rFonts w:ascii="Times New Roman" w:hAnsi="Times New Roman"/>
          <w:sz w:val="24"/>
          <w:szCs w:val="24"/>
          <w:lang w:val="sr-Cyrl-CS"/>
        </w:rPr>
        <w:t xml:space="preserve"> </w:t>
      </w:r>
      <w:r>
        <w:rPr>
          <w:rFonts w:ascii="Times New Roman" w:hAnsi="Times New Roman"/>
          <w:sz w:val="24"/>
          <w:szCs w:val="24"/>
          <w:lang w:val="sr-Cyrl-CS"/>
        </w:rPr>
        <w:t xml:space="preserve">Сложености овог проблема доприноси </w:t>
      </w:r>
      <w:r w:rsidR="00E16222" w:rsidRPr="00D471F9">
        <w:rPr>
          <w:rFonts w:ascii="Times New Roman" w:hAnsi="Times New Roman"/>
          <w:sz w:val="24"/>
          <w:szCs w:val="24"/>
          <w:lang w:val="sr-Cyrl-CS"/>
        </w:rPr>
        <w:t>чињеница да су модерни облици корупције нераскидиво повезани са разним облицима међуна</w:t>
      </w:r>
      <w:r w:rsidR="00097782">
        <w:rPr>
          <w:rFonts w:ascii="Times New Roman" w:hAnsi="Times New Roman"/>
          <w:sz w:val="24"/>
          <w:szCs w:val="24"/>
          <w:lang w:val="sr-Cyrl-CS"/>
        </w:rPr>
        <w:t>родног, не само економског и фи</w:t>
      </w:r>
      <w:r w:rsidR="00E16222" w:rsidRPr="00D471F9">
        <w:rPr>
          <w:rFonts w:ascii="Times New Roman" w:hAnsi="Times New Roman"/>
          <w:sz w:val="24"/>
          <w:szCs w:val="24"/>
          <w:lang w:val="sr-Cyrl-CS"/>
        </w:rPr>
        <w:t>нсијског организованог криминала, већ и са илегалном производњом и кријумчарењем опојних дрога, оружја и других опасних материја, тргов</w:t>
      </w:r>
      <w:r w:rsidR="00097782">
        <w:rPr>
          <w:rFonts w:ascii="Times New Roman" w:hAnsi="Times New Roman"/>
          <w:sz w:val="24"/>
          <w:szCs w:val="24"/>
          <w:lang w:val="sr-Cyrl-CS"/>
        </w:rPr>
        <w:t>ином људима, прањем новца и фина</w:t>
      </w:r>
      <w:r w:rsidR="00F52533">
        <w:rPr>
          <w:rFonts w:ascii="Times New Roman" w:hAnsi="Times New Roman"/>
          <w:sz w:val="24"/>
          <w:szCs w:val="24"/>
          <w:lang w:val="sr-Cyrl-CS"/>
        </w:rPr>
        <w:t>н</w:t>
      </w:r>
      <w:r w:rsidR="00E16222" w:rsidRPr="00D471F9">
        <w:rPr>
          <w:rFonts w:ascii="Times New Roman" w:hAnsi="Times New Roman"/>
          <w:sz w:val="24"/>
          <w:szCs w:val="24"/>
          <w:lang w:val="sr-Cyrl-CS"/>
        </w:rPr>
        <w:t>сирањем међународ</w:t>
      </w:r>
      <w:r w:rsidR="007419A5">
        <w:rPr>
          <w:rFonts w:ascii="Times New Roman" w:hAnsi="Times New Roman"/>
          <w:sz w:val="24"/>
          <w:szCs w:val="24"/>
          <w:lang w:val="sr-Cyrl-CS"/>
        </w:rPr>
        <w:t>н</w:t>
      </w:r>
      <w:r w:rsidR="00E16222" w:rsidRPr="00D471F9">
        <w:rPr>
          <w:rFonts w:ascii="Times New Roman" w:hAnsi="Times New Roman"/>
          <w:sz w:val="24"/>
          <w:szCs w:val="24"/>
          <w:lang w:val="sr-Cyrl-CS"/>
        </w:rPr>
        <w:t xml:space="preserve">ог трероризма. </w:t>
      </w:r>
      <w:r>
        <w:rPr>
          <w:rFonts w:ascii="Times New Roman" w:hAnsi="Times New Roman"/>
          <w:sz w:val="24"/>
          <w:szCs w:val="24"/>
          <w:lang w:val="sr-Cyrl-CS"/>
        </w:rPr>
        <w:t>У</w:t>
      </w:r>
      <w:r w:rsidR="00E16222" w:rsidRPr="00D471F9">
        <w:rPr>
          <w:rFonts w:ascii="Times New Roman" w:hAnsi="Times New Roman"/>
          <w:sz w:val="24"/>
          <w:szCs w:val="24"/>
          <w:lang w:val="sr-Cyrl-CS"/>
        </w:rPr>
        <w:t xml:space="preserve"> вези са корупцијом </w:t>
      </w:r>
      <w:r>
        <w:rPr>
          <w:rFonts w:ascii="Times New Roman" w:hAnsi="Times New Roman"/>
          <w:sz w:val="24"/>
          <w:szCs w:val="24"/>
          <w:lang w:val="sr-Cyrl-CS"/>
        </w:rPr>
        <w:t>су и нови</w:t>
      </w:r>
      <w:r w:rsidR="00E16222" w:rsidRPr="00D471F9">
        <w:rPr>
          <w:rFonts w:ascii="Times New Roman" w:hAnsi="Times New Roman"/>
          <w:sz w:val="24"/>
          <w:szCs w:val="24"/>
          <w:lang w:val="sr-Cyrl-CS"/>
        </w:rPr>
        <w:t xml:space="preserve"> видови криминала, </w:t>
      </w:r>
      <w:r>
        <w:rPr>
          <w:rFonts w:ascii="Times New Roman" w:hAnsi="Times New Roman"/>
          <w:sz w:val="24"/>
          <w:szCs w:val="24"/>
          <w:lang w:val="sr-Cyrl-CS"/>
        </w:rPr>
        <w:t>попут</w:t>
      </w:r>
      <w:r w:rsidR="00E16222" w:rsidRPr="00D471F9">
        <w:rPr>
          <w:rFonts w:ascii="Times New Roman" w:hAnsi="Times New Roman"/>
          <w:sz w:val="24"/>
          <w:szCs w:val="24"/>
          <w:lang w:val="sr-Cyrl-CS"/>
        </w:rPr>
        <w:t xml:space="preserve"> </w:t>
      </w:r>
      <w:r w:rsidR="00616DD2">
        <w:rPr>
          <w:rFonts w:ascii="Times New Roman" w:hAnsi="Times New Roman"/>
          <w:sz w:val="24"/>
          <w:szCs w:val="24"/>
          <w:lang w:val="sr-Cyrl-CS"/>
        </w:rPr>
        <w:t>високотехнолошког</w:t>
      </w:r>
      <w:r w:rsidR="00E16222" w:rsidRPr="00D471F9">
        <w:rPr>
          <w:rFonts w:ascii="Times New Roman" w:hAnsi="Times New Roman"/>
          <w:sz w:val="24"/>
          <w:szCs w:val="24"/>
          <w:lang w:val="sr-Cyrl-CS"/>
        </w:rPr>
        <w:t xml:space="preserve"> криминал</w:t>
      </w:r>
      <w:r>
        <w:rPr>
          <w:rFonts w:ascii="Times New Roman" w:hAnsi="Times New Roman"/>
          <w:sz w:val="24"/>
          <w:szCs w:val="24"/>
          <w:lang w:val="sr-Cyrl-CS"/>
        </w:rPr>
        <w:t>а</w:t>
      </w:r>
      <w:r w:rsidR="00E16222" w:rsidRPr="00D471F9">
        <w:rPr>
          <w:rFonts w:ascii="Times New Roman" w:hAnsi="Times New Roman"/>
          <w:sz w:val="24"/>
          <w:szCs w:val="24"/>
          <w:lang w:val="sr-Cyrl-CS"/>
        </w:rPr>
        <w:t xml:space="preserve"> и ил</w:t>
      </w:r>
      <w:r w:rsidR="00616DD2">
        <w:rPr>
          <w:rFonts w:ascii="Times New Roman" w:hAnsi="Times New Roman"/>
          <w:sz w:val="24"/>
          <w:szCs w:val="24"/>
          <w:lang w:val="sr-Cyrl-CS"/>
        </w:rPr>
        <w:t>егалне</w:t>
      </w:r>
      <w:r w:rsidR="00E16222" w:rsidRPr="00D471F9">
        <w:rPr>
          <w:rFonts w:ascii="Times New Roman" w:hAnsi="Times New Roman"/>
          <w:sz w:val="24"/>
          <w:szCs w:val="24"/>
          <w:lang w:val="sr-Cyrl-CS"/>
        </w:rPr>
        <w:t xml:space="preserve"> тр</w:t>
      </w:r>
      <w:r w:rsidR="00616DD2">
        <w:rPr>
          <w:rFonts w:ascii="Times New Roman" w:hAnsi="Times New Roman"/>
          <w:sz w:val="24"/>
          <w:szCs w:val="24"/>
          <w:lang w:val="sr-Cyrl-CS"/>
        </w:rPr>
        <w:t>говине</w:t>
      </w:r>
      <w:r>
        <w:rPr>
          <w:rFonts w:ascii="Times New Roman" w:hAnsi="Times New Roman"/>
          <w:sz w:val="24"/>
          <w:szCs w:val="24"/>
          <w:lang w:val="sr-Cyrl-CS"/>
        </w:rPr>
        <w:t xml:space="preserve"> еколошки опасним отпадом.</w:t>
      </w:r>
      <w:r w:rsidR="00E16222" w:rsidRPr="00D471F9">
        <w:rPr>
          <w:rFonts w:ascii="Times New Roman" w:hAnsi="Times New Roman"/>
          <w:sz w:val="24"/>
          <w:szCs w:val="24"/>
          <w:lang w:val="sr-Cyrl-CS"/>
        </w:rPr>
        <w:t xml:space="preserve"> </w:t>
      </w:r>
      <w:r>
        <w:rPr>
          <w:rFonts w:ascii="Times New Roman" w:hAnsi="Times New Roman"/>
          <w:sz w:val="24"/>
          <w:szCs w:val="24"/>
          <w:lang w:val="sr-Cyrl-CS"/>
        </w:rPr>
        <w:t>Због свега наведеног</w:t>
      </w:r>
      <w:r w:rsidR="00E16222" w:rsidRPr="00D471F9">
        <w:rPr>
          <w:rFonts w:ascii="Times New Roman" w:hAnsi="Times New Roman"/>
          <w:sz w:val="24"/>
          <w:szCs w:val="24"/>
          <w:lang w:val="sr-Cyrl-CS"/>
        </w:rPr>
        <w:t xml:space="preserve"> без ефикасне и ефективне међународне сарадње немогуће </w:t>
      </w:r>
      <w:r>
        <w:rPr>
          <w:rFonts w:ascii="Times New Roman" w:hAnsi="Times New Roman"/>
          <w:sz w:val="24"/>
          <w:szCs w:val="24"/>
          <w:lang w:val="sr-Cyrl-CS"/>
        </w:rPr>
        <w:t xml:space="preserve">је </w:t>
      </w:r>
      <w:r w:rsidR="00E16222" w:rsidRPr="00D471F9">
        <w:rPr>
          <w:rFonts w:ascii="Times New Roman" w:hAnsi="Times New Roman"/>
          <w:sz w:val="24"/>
          <w:szCs w:val="24"/>
          <w:lang w:val="sr-Cyrl-CS"/>
        </w:rPr>
        <w:t>остварити успех у борби против корупције.</w:t>
      </w:r>
      <w:r w:rsidR="00E16222" w:rsidRPr="00D471F9">
        <w:rPr>
          <w:rStyle w:val="FootnoteReference"/>
          <w:rFonts w:ascii="Times New Roman" w:hAnsi="Times New Roman"/>
          <w:sz w:val="24"/>
          <w:szCs w:val="24"/>
          <w:lang w:val="sr-Cyrl-CS"/>
        </w:rPr>
        <w:footnoteReference w:id="908"/>
      </w:r>
      <w:r w:rsidR="00E16222" w:rsidRPr="00D471F9">
        <w:rPr>
          <w:rFonts w:ascii="Times New Roman" w:hAnsi="Times New Roman"/>
          <w:sz w:val="24"/>
          <w:szCs w:val="24"/>
          <w:lang w:val="sr-Cyrl-CS"/>
        </w:rPr>
        <w:t xml:space="preserve"> </w:t>
      </w:r>
    </w:p>
    <w:p w:rsidR="00FA09D5" w:rsidRPr="00D471F9" w:rsidRDefault="00424E7A" w:rsidP="00D471F9">
      <w:pPr>
        <w:ind w:firstLine="630"/>
        <w:jc w:val="both"/>
        <w:rPr>
          <w:rFonts w:ascii="Times New Roman" w:hAnsi="Times New Roman"/>
          <w:sz w:val="24"/>
          <w:szCs w:val="24"/>
          <w:lang w:val="sr-Cyrl-CS"/>
        </w:rPr>
      </w:pPr>
      <w:r w:rsidRPr="00D471F9">
        <w:rPr>
          <w:rFonts w:ascii="Times New Roman" w:hAnsi="Times New Roman"/>
          <w:sz w:val="24"/>
          <w:szCs w:val="24"/>
          <w:lang w:val="sr-Cyrl-CS"/>
        </w:rPr>
        <w:t xml:space="preserve">Привредни криминал и корупција представљају велики изазов за демократију и владавију права. Захваљујући великом броју својих појавних облика вешто се прилагођавају било ком систему и облику државног уређења. Ове негативне појаве вешто користе услове недоречености правне регулативе да успоставе везе са органима власти, државним, политичким и другим структурама. Сви досадашњи покушају њиховог сузбијања нису се показали довољно ефикасним и због тога је нужно побољшати правне оквире, институције и безбедносне структуре, како на националном тако и на међународном плану. </w:t>
      </w:r>
    </w:p>
    <w:p w:rsidR="009F71AD" w:rsidRPr="00D471F9" w:rsidRDefault="00891999" w:rsidP="00D471F9">
      <w:pPr>
        <w:ind w:firstLine="630"/>
        <w:jc w:val="both"/>
        <w:rPr>
          <w:rFonts w:ascii="Times New Roman" w:hAnsi="Times New Roman"/>
          <w:sz w:val="24"/>
          <w:szCs w:val="24"/>
          <w:lang w:val="sr-Cyrl-CS"/>
        </w:rPr>
      </w:pPr>
      <w:r w:rsidRPr="00D471F9">
        <w:rPr>
          <w:rFonts w:ascii="Times New Roman" w:hAnsi="Times New Roman"/>
          <w:sz w:val="24"/>
          <w:szCs w:val="24"/>
          <w:lang w:val="sr-Cyrl-CS"/>
        </w:rPr>
        <w:lastRenderedPageBreak/>
        <w:t>Србија се суочава са високим степеном привредног криминала и корупције</w:t>
      </w:r>
      <w:r w:rsidR="00171295" w:rsidRPr="00171295">
        <w:rPr>
          <w:rFonts w:ascii="Times New Roman" w:hAnsi="Times New Roman"/>
          <w:sz w:val="24"/>
          <w:szCs w:val="24"/>
          <w:lang w:val="sr-Cyrl-CS"/>
        </w:rPr>
        <w:t xml:space="preserve"> </w:t>
      </w:r>
      <w:r w:rsidR="00171295">
        <w:rPr>
          <w:rFonts w:ascii="Times New Roman" w:hAnsi="Times New Roman"/>
          <w:sz w:val="24"/>
          <w:szCs w:val="24"/>
          <w:lang w:val="sr-Cyrl-CS"/>
        </w:rPr>
        <w:t>к</w:t>
      </w:r>
      <w:r w:rsidR="00171295" w:rsidRPr="00D471F9">
        <w:rPr>
          <w:rFonts w:ascii="Times New Roman" w:hAnsi="Times New Roman"/>
          <w:sz w:val="24"/>
          <w:szCs w:val="24"/>
          <w:lang w:val="sr-Cyrl-CS"/>
        </w:rPr>
        <w:t xml:space="preserve">ао и свака земља </w:t>
      </w:r>
      <w:r w:rsidR="00171295">
        <w:rPr>
          <w:rFonts w:ascii="Times New Roman" w:hAnsi="Times New Roman"/>
          <w:sz w:val="24"/>
          <w:szCs w:val="24"/>
          <w:lang w:val="sr-Cyrl-CS"/>
        </w:rPr>
        <w:t>која пролази кроз транзицију. Т</w:t>
      </w:r>
      <w:r w:rsidR="009F71AD" w:rsidRPr="00D471F9">
        <w:rPr>
          <w:rFonts w:ascii="Times New Roman" w:hAnsi="Times New Roman"/>
          <w:sz w:val="24"/>
          <w:szCs w:val="24"/>
          <w:lang w:val="sr-Cyrl-CS"/>
        </w:rPr>
        <w:t>ранзиција</w:t>
      </w:r>
      <w:r w:rsidR="00171295">
        <w:rPr>
          <w:rFonts w:ascii="Times New Roman" w:hAnsi="Times New Roman"/>
          <w:sz w:val="24"/>
          <w:szCs w:val="24"/>
          <w:lang w:val="sr-Cyrl-CS"/>
        </w:rPr>
        <w:t>, између осталог,</w:t>
      </w:r>
      <w:r w:rsidR="009F71AD" w:rsidRPr="00D471F9">
        <w:rPr>
          <w:rFonts w:ascii="Times New Roman" w:hAnsi="Times New Roman"/>
          <w:sz w:val="24"/>
          <w:szCs w:val="24"/>
          <w:lang w:val="sr-Cyrl-CS"/>
        </w:rPr>
        <w:t xml:space="preserve"> у одређеној мери подразумева и преузимање туђег права, па и пра</w:t>
      </w:r>
      <w:r w:rsidR="00B03FC6" w:rsidRPr="00D471F9">
        <w:rPr>
          <w:rFonts w:ascii="Times New Roman" w:hAnsi="Times New Roman"/>
          <w:sz w:val="24"/>
          <w:szCs w:val="24"/>
          <w:lang w:val="sr-Cyrl-CS"/>
        </w:rPr>
        <w:t>вних установа другог великог</w:t>
      </w:r>
      <w:r w:rsidR="009F71AD" w:rsidRPr="00D471F9">
        <w:rPr>
          <w:rFonts w:ascii="Times New Roman" w:hAnsi="Times New Roman"/>
          <w:sz w:val="24"/>
          <w:szCs w:val="24"/>
          <w:lang w:val="sr-Cyrl-CS"/>
        </w:rPr>
        <w:t xml:space="preserve"> англоамеричко</w:t>
      </w:r>
      <w:r w:rsidR="007419A5">
        <w:rPr>
          <w:rFonts w:ascii="Times New Roman" w:hAnsi="Times New Roman"/>
          <w:sz w:val="24"/>
          <w:szCs w:val="24"/>
          <w:lang w:val="sr-Cyrl-CS"/>
        </w:rPr>
        <w:t xml:space="preserve">г правног система. </w:t>
      </w:r>
      <w:r w:rsidR="00171295">
        <w:rPr>
          <w:rFonts w:ascii="Times New Roman" w:hAnsi="Times New Roman"/>
          <w:sz w:val="24"/>
          <w:szCs w:val="24"/>
          <w:lang w:val="sr-Cyrl-CS"/>
        </w:rPr>
        <w:t>Посебно</w:t>
      </w:r>
      <w:r w:rsidR="00171295" w:rsidRPr="00D471F9">
        <w:rPr>
          <w:rFonts w:ascii="Times New Roman" w:hAnsi="Times New Roman"/>
          <w:sz w:val="24"/>
          <w:szCs w:val="24"/>
          <w:lang w:val="sr-Cyrl-CS"/>
        </w:rPr>
        <w:t xml:space="preserve"> после формирања кривичних судова, сталног и привремених</w:t>
      </w:r>
      <w:r w:rsidR="00171295">
        <w:rPr>
          <w:rFonts w:ascii="Times New Roman" w:hAnsi="Times New Roman"/>
          <w:sz w:val="24"/>
          <w:szCs w:val="24"/>
          <w:lang w:val="sr-Cyrl-CS"/>
        </w:rPr>
        <w:t xml:space="preserve"> п</w:t>
      </w:r>
      <w:r w:rsidR="007419A5">
        <w:rPr>
          <w:rFonts w:ascii="Times New Roman" w:hAnsi="Times New Roman"/>
          <w:sz w:val="24"/>
          <w:szCs w:val="24"/>
          <w:lang w:val="sr-Cyrl-CS"/>
        </w:rPr>
        <w:t>роцес харомони</w:t>
      </w:r>
      <w:r w:rsidR="009F71AD" w:rsidRPr="00D471F9">
        <w:rPr>
          <w:rFonts w:ascii="Times New Roman" w:hAnsi="Times New Roman"/>
          <w:sz w:val="24"/>
          <w:szCs w:val="24"/>
          <w:lang w:val="sr-Cyrl-CS"/>
        </w:rPr>
        <w:t xml:space="preserve">зације европског права и процес конвергенције два велика правна система (европског континенталног и англоамеричког) </w:t>
      </w:r>
      <w:r w:rsidR="00171295">
        <w:rPr>
          <w:rFonts w:ascii="Times New Roman" w:hAnsi="Times New Roman"/>
          <w:sz w:val="24"/>
          <w:szCs w:val="24"/>
          <w:lang w:val="sr-Cyrl-CS"/>
        </w:rPr>
        <w:t xml:space="preserve">далеко је одмакао и </w:t>
      </w:r>
      <w:r w:rsidR="009F71AD" w:rsidRPr="00D471F9">
        <w:rPr>
          <w:rFonts w:ascii="Times New Roman" w:hAnsi="Times New Roman"/>
          <w:sz w:val="24"/>
          <w:szCs w:val="24"/>
          <w:lang w:val="sr-Cyrl-CS"/>
        </w:rPr>
        <w:t xml:space="preserve">не </w:t>
      </w:r>
      <w:r w:rsidR="00171295">
        <w:rPr>
          <w:rFonts w:ascii="Times New Roman" w:hAnsi="Times New Roman"/>
          <w:sz w:val="24"/>
          <w:szCs w:val="24"/>
          <w:lang w:val="sr-Cyrl-CS"/>
        </w:rPr>
        <w:t>може се</w:t>
      </w:r>
      <w:r w:rsidR="009F71AD" w:rsidRPr="00D471F9">
        <w:rPr>
          <w:rFonts w:ascii="Times New Roman" w:hAnsi="Times New Roman"/>
          <w:sz w:val="24"/>
          <w:szCs w:val="24"/>
          <w:lang w:val="sr-Cyrl-CS"/>
        </w:rPr>
        <w:t xml:space="preserve"> зауставити, нити наше право може остати изван</w:t>
      </w:r>
      <w:r w:rsidR="00171295">
        <w:rPr>
          <w:rFonts w:ascii="Times New Roman" w:hAnsi="Times New Roman"/>
          <w:sz w:val="24"/>
          <w:szCs w:val="24"/>
          <w:lang w:val="sr-Cyrl-CS"/>
        </w:rPr>
        <w:t xml:space="preserve"> њиховог утицаја. У</w:t>
      </w:r>
      <w:r w:rsidR="009F71AD" w:rsidRPr="00D471F9">
        <w:rPr>
          <w:rFonts w:ascii="Times New Roman" w:hAnsi="Times New Roman"/>
          <w:sz w:val="24"/>
          <w:szCs w:val="24"/>
          <w:lang w:val="sr-Cyrl-CS"/>
        </w:rPr>
        <w:t xml:space="preserve"> тим процесима </w:t>
      </w:r>
      <w:r w:rsidR="00171295">
        <w:rPr>
          <w:rFonts w:ascii="Times New Roman" w:hAnsi="Times New Roman"/>
          <w:sz w:val="24"/>
          <w:szCs w:val="24"/>
          <w:lang w:val="sr-Cyrl-CS"/>
        </w:rPr>
        <w:t>велику улогу има</w:t>
      </w:r>
      <w:r w:rsidR="009F71AD" w:rsidRPr="00D471F9">
        <w:rPr>
          <w:rFonts w:ascii="Times New Roman" w:hAnsi="Times New Roman"/>
          <w:sz w:val="24"/>
          <w:szCs w:val="24"/>
          <w:lang w:val="sr-Cyrl-CS"/>
        </w:rPr>
        <w:t xml:space="preserve"> нарочито Европски суд за људска права, који је овлашћен да испитује одлу</w:t>
      </w:r>
      <w:r w:rsidR="00171295">
        <w:rPr>
          <w:rFonts w:ascii="Times New Roman" w:hAnsi="Times New Roman"/>
          <w:sz w:val="24"/>
          <w:szCs w:val="24"/>
          <w:lang w:val="sr-Cyrl-CS"/>
        </w:rPr>
        <w:t>ке судова чланица Савета Европе и на тај начин се доприноси</w:t>
      </w:r>
      <w:r w:rsidR="009F71AD" w:rsidRPr="00D471F9">
        <w:rPr>
          <w:rFonts w:ascii="Times New Roman" w:hAnsi="Times New Roman"/>
          <w:sz w:val="24"/>
          <w:szCs w:val="24"/>
          <w:lang w:val="sr-Cyrl-CS"/>
        </w:rPr>
        <w:t xml:space="preserve"> процес</w:t>
      </w:r>
      <w:r w:rsidR="00171295">
        <w:rPr>
          <w:rFonts w:ascii="Times New Roman" w:hAnsi="Times New Roman"/>
          <w:sz w:val="24"/>
          <w:szCs w:val="24"/>
          <w:lang w:val="sr-Cyrl-CS"/>
        </w:rPr>
        <w:t>у</w:t>
      </w:r>
      <w:r w:rsidR="009F71AD" w:rsidRPr="00D471F9">
        <w:rPr>
          <w:rFonts w:ascii="Times New Roman" w:hAnsi="Times New Roman"/>
          <w:sz w:val="24"/>
          <w:szCs w:val="24"/>
          <w:lang w:val="sr-Cyrl-CS"/>
        </w:rPr>
        <w:t xml:space="preserve"> стварања новог права у тим државама. Међутим, у свему томе, законодавац</w:t>
      </w:r>
      <w:r w:rsidR="00171295">
        <w:rPr>
          <w:rFonts w:ascii="Times New Roman" w:hAnsi="Times New Roman"/>
          <w:sz w:val="24"/>
          <w:szCs w:val="24"/>
          <w:lang w:val="sr-Cyrl-CS"/>
        </w:rPr>
        <w:t xml:space="preserve"> би морао да буде веома обазрив.</w:t>
      </w:r>
      <w:r w:rsidR="009F71AD" w:rsidRPr="00D471F9">
        <w:rPr>
          <w:rFonts w:ascii="Times New Roman" w:hAnsi="Times New Roman"/>
          <w:sz w:val="24"/>
          <w:szCs w:val="24"/>
          <w:lang w:val="sr-Cyrl-CS"/>
        </w:rPr>
        <w:t xml:space="preserve"> </w:t>
      </w:r>
      <w:r w:rsidR="00171295">
        <w:rPr>
          <w:rFonts w:ascii="Times New Roman" w:hAnsi="Times New Roman"/>
          <w:sz w:val="24"/>
          <w:szCs w:val="24"/>
          <w:lang w:val="sr-Cyrl-CS"/>
        </w:rPr>
        <w:t xml:space="preserve">Наиме, </w:t>
      </w:r>
      <w:r w:rsidR="009F71AD" w:rsidRPr="00D471F9">
        <w:rPr>
          <w:rFonts w:ascii="Times New Roman" w:hAnsi="Times New Roman"/>
          <w:sz w:val="24"/>
          <w:szCs w:val="24"/>
          <w:lang w:val="sr-Cyrl-CS"/>
        </w:rPr>
        <w:t>транзицији и хармонизацији</w:t>
      </w:r>
      <w:r w:rsidR="00261D1B" w:rsidRPr="00D471F9">
        <w:rPr>
          <w:rFonts w:ascii="Times New Roman" w:hAnsi="Times New Roman"/>
          <w:sz w:val="24"/>
          <w:szCs w:val="24"/>
          <w:lang w:val="sr-Cyrl-CS"/>
        </w:rPr>
        <w:t xml:space="preserve"> </w:t>
      </w:r>
      <w:r w:rsidR="00171295">
        <w:rPr>
          <w:rFonts w:ascii="Times New Roman" w:hAnsi="Times New Roman"/>
          <w:sz w:val="24"/>
          <w:szCs w:val="24"/>
          <w:lang w:val="sr-Cyrl-CS"/>
        </w:rPr>
        <w:t>треба да подвргне</w:t>
      </w:r>
      <w:r w:rsidR="00261D1B" w:rsidRPr="00D471F9">
        <w:rPr>
          <w:rFonts w:ascii="Times New Roman" w:hAnsi="Times New Roman"/>
          <w:sz w:val="24"/>
          <w:szCs w:val="24"/>
          <w:lang w:val="sr-Cyrl-CS"/>
        </w:rPr>
        <w:t xml:space="preserve"> само онај део домаћег права који је у нескладу са међународним правним стандардима, </w:t>
      </w:r>
      <w:r w:rsidR="00171295">
        <w:rPr>
          <w:rFonts w:ascii="Times New Roman" w:hAnsi="Times New Roman"/>
          <w:sz w:val="24"/>
          <w:szCs w:val="24"/>
          <w:lang w:val="sr-Cyrl-CS"/>
        </w:rPr>
        <w:t>а да</w:t>
      </w:r>
      <w:r w:rsidR="00261D1B" w:rsidRPr="00D471F9">
        <w:rPr>
          <w:rFonts w:ascii="Times New Roman" w:hAnsi="Times New Roman"/>
          <w:sz w:val="24"/>
          <w:szCs w:val="24"/>
          <w:lang w:val="sr-Cyrl-CS"/>
        </w:rPr>
        <w:t xml:space="preserve"> у домаће право не уведе оно чему нема места и што се у њега не уклапа или те</w:t>
      </w:r>
      <w:r w:rsidR="00AC292B" w:rsidRPr="00D471F9">
        <w:rPr>
          <w:rFonts w:ascii="Times New Roman" w:hAnsi="Times New Roman"/>
          <w:sz w:val="24"/>
          <w:szCs w:val="24"/>
          <w:lang w:val="sr-Cyrl-CS"/>
        </w:rPr>
        <w:t>ш</w:t>
      </w:r>
      <w:r w:rsidR="00261D1B" w:rsidRPr="00D471F9">
        <w:rPr>
          <w:rFonts w:ascii="Times New Roman" w:hAnsi="Times New Roman"/>
          <w:sz w:val="24"/>
          <w:szCs w:val="24"/>
          <w:lang w:val="sr-Cyrl-CS"/>
        </w:rPr>
        <w:t>ко уклапа.</w:t>
      </w:r>
      <w:r w:rsidR="00261D1B" w:rsidRPr="00D471F9">
        <w:rPr>
          <w:rStyle w:val="FootnoteReference"/>
          <w:rFonts w:ascii="Times New Roman" w:hAnsi="Times New Roman"/>
          <w:sz w:val="24"/>
          <w:szCs w:val="24"/>
          <w:lang w:val="sr-Cyrl-CS"/>
        </w:rPr>
        <w:footnoteReference w:id="909"/>
      </w:r>
    </w:p>
    <w:p w:rsidR="00FA09D5" w:rsidRPr="00D471F9" w:rsidRDefault="00B7422E" w:rsidP="00D471F9">
      <w:pPr>
        <w:ind w:firstLine="630"/>
        <w:jc w:val="both"/>
        <w:rPr>
          <w:rFonts w:ascii="Times New Roman" w:hAnsi="Times New Roman"/>
          <w:sz w:val="24"/>
          <w:szCs w:val="24"/>
        </w:rPr>
      </w:pPr>
      <w:r w:rsidRPr="00D471F9">
        <w:rPr>
          <w:rFonts w:ascii="Times New Roman" w:hAnsi="Times New Roman"/>
          <w:sz w:val="24"/>
          <w:szCs w:val="24"/>
          <w:lang w:val="sr-Cyrl-CS"/>
        </w:rPr>
        <w:t>Имајући у виду д</w:t>
      </w:r>
      <w:r w:rsidR="009F71AD" w:rsidRPr="00D471F9">
        <w:rPr>
          <w:rFonts w:ascii="Times New Roman" w:hAnsi="Times New Roman"/>
          <w:sz w:val="24"/>
          <w:szCs w:val="24"/>
          <w:lang w:val="sr-Cyrl-CS"/>
        </w:rPr>
        <w:t>а се Србија определила за европс</w:t>
      </w:r>
      <w:r w:rsidRPr="00D471F9">
        <w:rPr>
          <w:rFonts w:ascii="Times New Roman" w:hAnsi="Times New Roman"/>
          <w:sz w:val="24"/>
          <w:szCs w:val="24"/>
          <w:lang w:val="sr-Cyrl-CS"/>
        </w:rPr>
        <w:t xml:space="preserve">ке интеграције </w:t>
      </w:r>
      <w:r w:rsidR="00AC292B" w:rsidRPr="00D471F9">
        <w:rPr>
          <w:rFonts w:ascii="Times New Roman" w:hAnsi="Times New Roman"/>
          <w:sz w:val="24"/>
          <w:szCs w:val="24"/>
          <w:lang w:val="sr-Cyrl-CS"/>
        </w:rPr>
        <w:t xml:space="preserve">и </w:t>
      </w:r>
      <w:r w:rsidRPr="00D471F9">
        <w:rPr>
          <w:rFonts w:ascii="Times New Roman" w:hAnsi="Times New Roman"/>
          <w:sz w:val="24"/>
          <w:szCs w:val="24"/>
          <w:lang w:val="sr-Cyrl-CS"/>
        </w:rPr>
        <w:t xml:space="preserve">да се у процесу придруживања Европској унији стално инсистира на ефикасној борби против </w:t>
      </w:r>
      <w:r w:rsidR="00AC292B" w:rsidRPr="00D471F9">
        <w:rPr>
          <w:rFonts w:ascii="Times New Roman" w:hAnsi="Times New Roman"/>
          <w:sz w:val="24"/>
          <w:szCs w:val="24"/>
          <w:lang w:val="sr-Cyrl-CS"/>
        </w:rPr>
        <w:t>привредног криминала и корупције</w:t>
      </w:r>
      <w:r w:rsidRPr="00D471F9">
        <w:rPr>
          <w:rFonts w:ascii="Times New Roman" w:hAnsi="Times New Roman"/>
          <w:sz w:val="24"/>
          <w:szCs w:val="24"/>
          <w:lang w:val="sr-Cyrl-CS"/>
        </w:rPr>
        <w:t xml:space="preserve">, то је </w:t>
      </w:r>
      <w:r w:rsidR="00AC292B" w:rsidRPr="00D471F9">
        <w:rPr>
          <w:rFonts w:ascii="Times New Roman" w:hAnsi="Times New Roman"/>
          <w:sz w:val="24"/>
          <w:szCs w:val="24"/>
          <w:lang w:val="sr-Cyrl-CS"/>
        </w:rPr>
        <w:t xml:space="preserve">борба против ових појава </w:t>
      </w:r>
      <w:r w:rsidRPr="00D471F9">
        <w:rPr>
          <w:rFonts w:ascii="Times New Roman" w:hAnsi="Times New Roman"/>
          <w:sz w:val="24"/>
          <w:szCs w:val="24"/>
          <w:lang w:val="sr-Cyrl-CS"/>
        </w:rPr>
        <w:t xml:space="preserve">национални интерес наше земље, али и међународна обавеза. </w:t>
      </w:r>
      <w:r w:rsidR="00424E7A" w:rsidRPr="00D471F9">
        <w:rPr>
          <w:rFonts w:ascii="Times New Roman" w:hAnsi="Times New Roman"/>
          <w:sz w:val="24"/>
          <w:szCs w:val="24"/>
          <w:lang w:val="sr-Cyrl-CS"/>
        </w:rPr>
        <w:t xml:space="preserve">Посебно су ове појаве у Србији деведесетих година попримиле озбиљне размере, када није било одговарајућих мера против </w:t>
      </w:r>
      <w:r w:rsidR="00AC292B" w:rsidRPr="00D471F9">
        <w:rPr>
          <w:rFonts w:ascii="Times New Roman" w:hAnsi="Times New Roman"/>
          <w:sz w:val="24"/>
          <w:szCs w:val="24"/>
          <w:lang w:val="sr-Cyrl-CS"/>
        </w:rPr>
        <w:t>њих</w:t>
      </w:r>
      <w:r w:rsidR="00424E7A" w:rsidRPr="00D471F9">
        <w:rPr>
          <w:rFonts w:ascii="Times New Roman" w:hAnsi="Times New Roman"/>
          <w:sz w:val="24"/>
          <w:szCs w:val="24"/>
          <w:lang w:val="sr-Cyrl-CS"/>
        </w:rPr>
        <w:t xml:space="preserve">. Од тада је учињен знатан напредак. Прве озбиљне мере су предузете после 2000. </w:t>
      </w:r>
      <w:r w:rsidR="007E56C0" w:rsidRPr="00D471F9">
        <w:rPr>
          <w:rFonts w:ascii="Times New Roman" w:hAnsi="Times New Roman"/>
          <w:sz w:val="24"/>
          <w:szCs w:val="24"/>
          <w:lang w:val="sr-Cyrl-CS"/>
        </w:rPr>
        <w:t>г</w:t>
      </w:r>
      <w:r w:rsidR="00424E7A" w:rsidRPr="00D471F9">
        <w:rPr>
          <w:rFonts w:ascii="Times New Roman" w:hAnsi="Times New Roman"/>
          <w:sz w:val="24"/>
          <w:szCs w:val="24"/>
          <w:lang w:val="sr-Cyrl-CS"/>
        </w:rPr>
        <w:t>одине</w:t>
      </w:r>
      <w:r w:rsidR="007E56C0" w:rsidRPr="00D471F9">
        <w:rPr>
          <w:rFonts w:ascii="Times New Roman" w:hAnsi="Times New Roman"/>
          <w:sz w:val="24"/>
          <w:szCs w:val="24"/>
          <w:lang w:val="sr-Cyrl-CS"/>
        </w:rPr>
        <w:t xml:space="preserve">, после октобарских промена оснивањем Савета за борбу против корупције. Као стручно, саветодавно тело Владе Србије Савет за борбу против корупције је основан  2001. године са </w:t>
      </w:r>
      <w:r w:rsidR="007E56C0" w:rsidRPr="00D471F9">
        <w:rPr>
          <w:rFonts w:ascii="Times New Roman" w:hAnsi="Times New Roman"/>
          <w:sz w:val="24"/>
          <w:szCs w:val="24"/>
        </w:rPr>
        <w:t>задатком</w:t>
      </w:r>
      <w:r w:rsidR="00FA09D5" w:rsidRPr="00D471F9">
        <w:rPr>
          <w:rFonts w:ascii="Times New Roman" w:hAnsi="Times New Roman"/>
          <w:sz w:val="24"/>
          <w:szCs w:val="24"/>
        </w:rPr>
        <w:t xml:space="preserve"> да сагледа активности у борби против корупције, да предлаже Влади Републике Србије мере које треба предузети у циљу ефикасне борбе против корупције, као и да прати њихово спровођење и да даје иницијативе за доношење прописа, програма и других аката и мера у тој области. Међутим, Савет се бави појединачним случајевима једино уколико они указују на неку ширу појаву, која посебно истиче изворе крупне корупције у привреди и политици. Представке се прослеђују надлежним институцијама,</w:t>
      </w:r>
    </w:p>
    <w:p w:rsidR="00281DA8" w:rsidRPr="00D471F9" w:rsidRDefault="007E56C0" w:rsidP="00D471F9">
      <w:pPr>
        <w:ind w:firstLine="708"/>
        <w:jc w:val="both"/>
        <w:rPr>
          <w:rFonts w:ascii="Times New Roman" w:hAnsi="Times New Roman"/>
          <w:sz w:val="24"/>
          <w:szCs w:val="24"/>
          <w:shd w:val="clear" w:color="auto" w:fill="FFFFFF"/>
          <w:lang w:val="sr-Cyrl-CS"/>
        </w:rPr>
      </w:pPr>
      <w:r w:rsidRPr="00D471F9">
        <w:rPr>
          <w:rFonts w:ascii="Times New Roman" w:hAnsi="Times New Roman"/>
          <w:sz w:val="24"/>
          <w:szCs w:val="24"/>
          <w:shd w:val="clear" w:color="auto" w:fill="FFFFFF"/>
          <w:lang w:val="sr-Cyrl-CS"/>
        </w:rPr>
        <w:t xml:space="preserve">Формирани су и други органи попут Управе за спречавање прања новца, Управе за борбу против организованог криминала и др. као и невладине организације. После пријема Србије </w:t>
      </w:r>
      <w:r w:rsidR="00281DA8" w:rsidRPr="00D471F9">
        <w:rPr>
          <w:rFonts w:ascii="Times New Roman" w:hAnsi="Times New Roman"/>
          <w:sz w:val="24"/>
          <w:szCs w:val="24"/>
          <w:shd w:val="clear" w:color="auto" w:fill="FFFFFF"/>
          <w:lang w:val="sr-Cyrl-CS"/>
        </w:rPr>
        <w:t xml:space="preserve">2004. године </w:t>
      </w:r>
      <w:r w:rsidRPr="00D471F9">
        <w:rPr>
          <w:rFonts w:ascii="Times New Roman" w:hAnsi="Times New Roman"/>
          <w:sz w:val="24"/>
          <w:szCs w:val="24"/>
          <w:shd w:val="clear" w:color="auto" w:fill="FFFFFF"/>
          <w:lang w:val="sr-Cyrl-CS"/>
        </w:rPr>
        <w:t xml:space="preserve">у Савет Европе донето је више значајних закона као што су: </w:t>
      </w:r>
      <w:r w:rsidR="00200DD5" w:rsidRPr="00D471F9">
        <w:rPr>
          <w:rFonts w:ascii="Times New Roman" w:hAnsi="Times New Roman"/>
          <w:sz w:val="24"/>
          <w:szCs w:val="24"/>
          <w:lang w:val="sr-Cyrl-CS"/>
        </w:rPr>
        <w:t xml:space="preserve">Закон о агенцији за борбу против корупције,  </w:t>
      </w:r>
      <w:r w:rsidRPr="00D471F9">
        <w:rPr>
          <w:rFonts w:ascii="Times New Roman" w:hAnsi="Times New Roman"/>
          <w:sz w:val="24"/>
          <w:szCs w:val="24"/>
          <w:shd w:val="clear" w:color="auto" w:fill="FFFFFF"/>
          <w:lang w:val="sr-Cyrl-CS"/>
        </w:rPr>
        <w:t xml:space="preserve">Закон о финанисирању политичких партија, Закон о слободном приступу информацијама од јавног значаја, Закон о спречавању сукоба интереса, Закон о заштитнику грађана, Закон о државној </w:t>
      </w:r>
      <w:r w:rsidR="00B03FC6" w:rsidRPr="00D471F9">
        <w:rPr>
          <w:rFonts w:ascii="Times New Roman" w:hAnsi="Times New Roman"/>
          <w:sz w:val="24"/>
          <w:szCs w:val="24"/>
          <w:shd w:val="clear" w:color="auto" w:fill="FFFFFF"/>
          <w:lang w:val="sr-Cyrl-CS"/>
        </w:rPr>
        <w:t>ревизорској институцији</w:t>
      </w:r>
      <w:r w:rsidR="00200DD5" w:rsidRPr="00D471F9">
        <w:rPr>
          <w:rFonts w:ascii="Times New Roman" w:hAnsi="Times New Roman"/>
          <w:sz w:val="24"/>
          <w:szCs w:val="24"/>
          <w:shd w:val="clear" w:color="auto" w:fill="FFFFFF"/>
          <w:lang w:val="sr-Cyrl-CS"/>
        </w:rPr>
        <w:t xml:space="preserve">, </w:t>
      </w:r>
      <w:r w:rsidR="00200DD5" w:rsidRPr="00D471F9">
        <w:rPr>
          <w:rFonts w:ascii="Times New Roman" w:hAnsi="Times New Roman"/>
          <w:sz w:val="24"/>
          <w:szCs w:val="24"/>
          <w:lang w:val="sr-Cyrl-CS"/>
        </w:rPr>
        <w:t>Закон о јавним набавкама</w:t>
      </w:r>
      <w:r w:rsidR="00B03FC6" w:rsidRPr="00D471F9">
        <w:rPr>
          <w:rFonts w:ascii="Times New Roman" w:hAnsi="Times New Roman"/>
          <w:sz w:val="24"/>
          <w:szCs w:val="24"/>
          <w:shd w:val="clear" w:color="auto" w:fill="FFFFFF"/>
          <w:lang w:val="sr-Cyrl-CS"/>
        </w:rPr>
        <w:t xml:space="preserve"> и др.,</w:t>
      </w:r>
      <w:r w:rsidRPr="00D471F9">
        <w:rPr>
          <w:rFonts w:ascii="Times New Roman" w:hAnsi="Times New Roman"/>
          <w:sz w:val="24"/>
          <w:szCs w:val="24"/>
          <w:shd w:val="clear" w:color="auto" w:fill="FFFFFF"/>
          <w:lang w:val="sr-Cyrl-CS"/>
        </w:rPr>
        <w:t xml:space="preserve"> усвојена је и Национална стратегија за борбу против корупције, а израђен је и Акциони план за њену примену.</w:t>
      </w:r>
      <w:r w:rsidR="004B2237" w:rsidRPr="00D471F9">
        <w:rPr>
          <w:rFonts w:ascii="Times New Roman" w:hAnsi="Times New Roman"/>
          <w:sz w:val="24"/>
          <w:szCs w:val="24"/>
          <w:shd w:val="clear" w:color="auto" w:fill="FFFFFF"/>
          <w:lang w:val="sr-Cyrl-CS"/>
        </w:rPr>
        <w:t xml:space="preserve"> </w:t>
      </w:r>
      <w:r w:rsidR="00C76589" w:rsidRPr="00D471F9">
        <w:rPr>
          <w:rFonts w:ascii="Times New Roman" w:hAnsi="Times New Roman"/>
          <w:sz w:val="24"/>
          <w:szCs w:val="24"/>
          <w:shd w:val="clear" w:color="auto" w:fill="FFFFFF"/>
          <w:lang w:val="sr-Cyrl-CS"/>
        </w:rPr>
        <w:t xml:space="preserve">Пријемом у Савет Европе наша земља је постала чланица </w:t>
      </w:r>
      <w:r w:rsidR="00D471F9">
        <w:rPr>
          <w:rFonts w:ascii="Times New Roman" w:hAnsi="Times New Roman"/>
          <w:sz w:val="24"/>
          <w:szCs w:val="24"/>
          <w:shd w:val="clear" w:color="auto" w:fill="FFFFFF"/>
        </w:rPr>
        <w:t>GRECO</w:t>
      </w:r>
      <w:r w:rsidR="00C76589" w:rsidRPr="00D471F9">
        <w:rPr>
          <w:rFonts w:ascii="Times New Roman" w:hAnsi="Times New Roman"/>
          <w:sz w:val="24"/>
          <w:szCs w:val="24"/>
          <w:shd w:val="clear" w:color="auto" w:fill="FFFFFF"/>
          <w:lang w:val="sr-Cyrl-CS"/>
        </w:rPr>
        <w:t xml:space="preserve"> (Група земаља против корупције Савета Европе).</w:t>
      </w:r>
    </w:p>
    <w:p w:rsidR="00A74914" w:rsidRPr="00D471F9" w:rsidRDefault="00361F55" w:rsidP="00D471F9">
      <w:pPr>
        <w:ind w:firstLine="708"/>
        <w:jc w:val="both"/>
        <w:rPr>
          <w:rFonts w:ascii="Times New Roman" w:hAnsi="Times New Roman"/>
          <w:sz w:val="24"/>
          <w:szCs w:val="24"/>
          <w:shd w:val="clear" w:color="auto" w:fill="FFFFFF"/>
          <w:lang w:val="sr-Cyrl-CS"/>
        </w:rPr>
      </w:pPr>
      <w:r w:rsidRPr="00D471F9">
        <w:rPr>
          <w:rFonts w:ascii="Times New Roman" w:hAnsi="Times New Roman"/>
          <w:sz w:val="24"/>
          <w:szCs w:val="24"/>
          <w:shd w:val="clear" w:color="auto" w:fill="FFFFFF"/>
          <w:lang w:val="sr-Cyrl-CS"/>
        </w:rPr>
        <w:lastRenderedPageBreak/>
        <w:t>Изменама и допунама Кривичног законика 2002. године кривична дела корупције су прописана у посебној глави, након чега новим Кривичним закоником</w:t>
      </w:r>
      <w:r w:rsidRPr="00D471F9">
        <w:rPr>
          <w:rStyle w:val="FootnoteReference"/>
          <w:rFonts w:ascii="Times New Roman" w:hAnsi="Times New Roman"/>
          <w:sz w:val="24"/>
          <w:szCs w:val="24"/>
          <w:shd w:val="clear" w:color="auto" w:fill="FFFFFF"/>
          <w:lang w:val="sr-Cyrl-CS"/>
        </w:rPr>
        <w:footnoteReference w:id="910"/>
      </w:r>
      <w:r w:rsidRPr="00D471F9">
        <w:rPr>
          <w:rFonts w:ascii="Times New Roman" w:hAnsi="Times New Roman"/>
          <w:sz w:val="24"/>
          <w:szCs w:val="24"/>
          <w:shd w:val="clear" w:color="auto" w:fill="FFFFFF"/>
          <w:lang w:val="sr-Cyrl-CS"/>
        </w:rPr>
        <w:t xml:space="preserve"> </w:t>
      </w:r>
      <w:r w:rsidR="00B93707" w:rsidRPr="00D471F9">
        <w:rPr>
          <w:rFonts w:ascii="Times New Roman" w:hAnsi="Times New Roman"/>
          <w:sz w:val="24"/>
          <w:szCs w:val="24"/>
          <w:shd w:val="clear" w:color="auto" w:fill="FFFFFF"/>
          <w:lang w:val="sr-Cyrl-CS"/>
        </w:rPr>
        <w:t xml:space="preserve">више нису </w:t>
      </w:r>
      <w:r w:rsidR="00A74914" w:rsidRPr="00D471F9">
        <w:rPr>
          <w:rFonts w:ascii="Times New Roman" w:hAnsi="Times New Roman"/>
          <w:sz w:val="24"/>
          <w:szCs w:val="24"/>
          <w:shd w:val="clear" w:color="auto" w:fill="FFFFFF"/>
          <w:lang w:val="sr-Cyrl-CS"/>
        </w:rPr>
        <w:t xml:space="preserve">била </w:t>
      </w:r>
      <w:r w:rsidR="00B93707" w:rsidRPr="00D471F9">
        <w:rPr>
          <w:rFonts w:ascii="Times New Roman" w:hAnsi="Times New Roman"/>
          <w:sz w:val="24"/>
          <w:szCs w:val="24"/>
          <w:shd w:val="clear" w:color="auto" w:fill="FFFFFF"/>
          <w:lang w:val="sr-Cyrl-CS"/>
        </w:rPr>
        <w:t>посебно прописана кривична дела против корупције. Извршене су измене и у области процесне регулативе па се према</w:t>
      </w:r>
      <w:r w:rsidR="004B2237" w:rsidRPr="00D471F9">
        <w:rPr>
          <w:rFonts w:ascii="Times New Roman" w:hAnsi="Times New Roman"/>
          <w:sz w:val="24"/>
          <w:szCs w:val="24"/>
          <w:shd w:val="clear" w:color="auto" w:fill="FFFFFF"/>
          <w:lang w:val="sr-Cyrl-CS"/>
        </w:rPr>
        <w:t xml:space="preserve"> Законик</w:t>
      </w:r>
      <w:r w:rsidR="00B93707" w:rsidRPr="00D471F9">
        <w:rPr>
          <w:rFonts w:ascii="Times New Roman" w:hAnsi="Times New Roman"/>
          <w:sz w:val="24"/>
          <w:szCs w:val="24"/>
          <w:shd w:val="clear" w:color="auto" w:fill="FFFFFF"/>
          <w:lang w:val="sr-Cyrl-CS"/>
        </w:rPr>
        <w:t>у</w:t>
      </w:r>
      <w:r w:rsidR="004B2237" w:rsidRPr="00D471F9">
        <w:rPr>
          <w:rFonts w:ascii="Times New Roman" w:hAnsi="Times New Roman"/>
          <w:sz w:val="24"/>
          <w:szCs w:val="24"/>
          <w:shd w:val="clear" w:color="auto" w:fill="FFFFFF"/>
          <w:lang w:val="sr-Cyrl-CS"/>
        </w:rPr>
        <w:t xml:space="preserve"> о кривичном поступку</w:t>
      </w:r>
      <w:r w:rsidR="00D159C3" w:rsidRPr="00D471F9">
        <w:rPr>
          <w:rStyle w:val="FootnoteReference"/>
          <w:rFonts w:ascii="Times New Roman" w:hAnsi="Times New Roman"/>
          <w:sz w:val="24"/>
          <w:szCs w:val="24"/>
          <w:shd w:val="clear" w:color="auto" w:fill="FFFFFF"/>
          <w:lang w:val="sr-Cyrl-CS"/>
        </w:rPr>
        <w:footnoteReference w:id="911"/>
      </w:r>
      <w:r w:rsidR="00B93707" w:rsidRPr="00D471F9">
        <w:rPr>
          <w:rFonts w:ascii="Times New Roman" w:hAnsi="Times New Roman"/>
          <w:sz w:val="24"/>
          <w:szCs w:val="24"/>
          <w:shd w:val="clear" w:color="auto" w:fill="FFFFFF"/>
          <w:lang w:val="sr-Cyrl-CS"/>
        </w:rPr>
        <w:t xml:space="preserve"> посебна доказна радње тајни звучни и оптички надзор осумњиченог могла применити и за кривично дело пореске утаје као и у случају других кривичних дела против привреде и то</w:t>
      </w:r>
      <w:r w:rsidR="00A74914" w:rsidRPr="00D471F9">
        <w:rPr>
          <w:rFonts w:ascii="Times New Roman" w:hAnsi="Times New Roman"/>
          <w:sz w:val="24"/>
          <w:szCs w:val="24"/>
          <w:shd w:val="clear" w:color="auto" w:fill="FFFFFF"/>
          <w:lang w:val="sr-Cyrl-CS"/>
        </w:rPr>
        <w:t xml:space="preserve"> за</w:t>
      </w:r>
      <w:r w:rsidR="00B93707" w:rsidRPr="00D471F9">
        <w:rPr>
          <w:rFonts w:ascii="Times New Roman" w:hAnsi="Times New Roman"/>
          <w:sz w:val="24"/>
          <w:szCs w:val="24"/>
          <w:shd w:val="clear" w:color="auto" w:fill="FFFFFF"/>
          <w:lang w:val="sr-Cyrl-CS"/>
        </w:rPr>
        <w:t>: прање новца, фалсификовање новца и против службене дужности и то: злоупотреба службеног положаја и давање и примање мита. За дела која спадају у организовани криминал, поред ове, прописане су и бројне друге посебне</w:t>
      </w:r>
      <w:r w:rsidR="001136FD" w:rsidRPr="00D471F9">
        <w:rPr>
          <w:rFonts w:ascii="Times New Roman" w:hAnsi="Times New Roman"/>
          <w:sz w:val="24"/>
          <w:szCs w:val="24"/>
          <w:shd w:val="clear" w:color="auto" w:fill="FFFFFF"/>
          <w:lang w:val="sr-Cyrl-CS"/>
        </w:rPr>
        <w:t xml:space="preserve"> доказне радње као што су</w:t>
      </w:r>
      <w:r w:rsidR="00B93707" w:rsidRPr="00D471F9">
        <w:rPr>
          <w:rFonts w:ascii="Times New Roman" w:hAnsi="Times New Roman"/>
          <w:sz w:val="24"/>
          <w:szCs w:val="24"/>
          <w:shd w:val="clear" w:color="auto" w:fill="FFFFFF"/>
          <w:lang w:val="sr-Cyrl-CS"/>
        </w:rPr>
        <w:t>:</w:t>
      </w:r>
      <w:r w:rsidR="001136FD" w:rsidRPr="00D471F9">
        <w:rPr>
          <w:rFonts w:ascii="Times New Roman" w:hAnsi="Times New Roman"/>
          <w:sz w:val="24"/>
          <w:szCs w:val="24"/>
          <w:shd w:val="clear" w:color="auto" w:fill="FFFFFF"/>
          <w:lang w:val="sr-Cyrl-CS"/>
        </w:rPr>
        <w:t xml:space="preserve"> пружање симулованих пословних услуга и склапање симулованих правних послова, ангажовање прикривеног иследника, саслушање сведока сарадника. </w:t>
      </w:r>
    </w:p>
    <w:p w:rsidR="007E56C0" w:rsidRPr="00D471F9" w:rsidRDefault="001136FD" w:rsidP="00D471F9">
      <w:pPr>
        <w:ind w:firstLine="708"/>
        <w:jc w:val="both"/>
        <w:rPr>
          <w:rFonts w:ascii="Times New Roman" w:hAnsi="Times New Roman"/>
          <w:sz w:val="24"/>
          <w:szCs w:val="24"/>
          <w:shd w:val="clear" w:color="auto" w:fill="FFFFFF"/>
          <w:lang w:val="sr-Cyrl-CS"/>
        </w:rPr>
      </w:pPr>
      <w:r w:rsidRPr="00D471F9">
        <w:rPr>
          <w:rFonts w:ascii="Times New Roman" w:hAnsi="Times New Roman"/>
          <w:sz w:val="24"/>
          <w:szCs w:val="24"/>
          <w:shd w:val="clear" w:color="auto" w:fill="FFFFFF"/>
          <w:lang w:val="sr-Cyrl-CS"/>
        </w:rPr>
        <w:t>Према новим измена Кривичног законика</w:t>
      </w:r>
      <w:r w:rsidRPr="00D471F9">
        <w:rPr>
          <w:rStyle w:val="FootnoteReference"/>
          <w:rFonts w:ascii="Times New Roman" w:hAnsi="Times New Roman"/>
          <w:sz w:val="24"/>
          <w:szCs w:val="24"/>
          <w:shd w:val="clear" w:color="auto" w:fill="FFFFFF"/>
          <w:lang w:val="sr-Cyrl-CS"/>
        </w:rPr>
        <w:footnoteReference w:id="912"/>
      </w:r>
      <w:r w:rsidRPr="00D471F9">
        <w:rPr>
          <w:rFonts w:ascii="Times New Roman" w:hAnsi="Times New Roman"/>
          <w:sz w:val="24"/>
          <w:szCs w:val="24"/>
          <w:shd w:val="clear" w:color="auto" w:fill="FFFFFF"/>
          <w:lang w:val="sr-Cyrl-CS"/>
        </w:rPr>
        <w:t xml:space="preserve"> прописане се бројне доказне радње као што су: тајни надзор комуникације, тајно праћење и сн</w:t>
      </w:r>
      <w:r w:rsidR="00B03FC6" w:rsidRPr="00D471F9">
        <w:rPr>
          <w:rFonts w:ascii="Times New Roman" w:hAnsi="Times New Roman"/>
          <w:sz w:val="24"/>
          <w:szCs w:val="24"/>
          <w:shd w:val="clear" w:color="auto" w:fill="FFFFFF"/>
          <w:lang w:val="sr-Cyrl-CS"/>
        </w:rPr>
        <w:t>имање, симуловани послови, рачу</w:t>
      </w:r>
      <w:r w:rsidRPr="00D471F9">
        <w:rPr>
          <w:rFonts w:ascii="Times New Roman" w:hAnsi="Times New Roman"/>
          <w:sz w:val="24"/>
          <w:szCs w:val="24"/>
          <w:shd w:val="clear" w:color="auto" w:fill="FFFFFF"/>
          <w:lang w:val="sr-Cyrl-CS"/>
        </w:rPr>
        <w:t>нарско претраживање подтака, прикривени иследник и контролисана испорука, али се за кривично дело пореске утаје не може одредити ни једна посебна доказна радња,</w:t>
      </w:r>
      <w:r w:rsidRPr="00D471F9">
        <w:rPr>
          <w:rStyle w:val="FootnoteReference"/>
          <w:rFonts w:ascii="Times New Roman" w:hAnsi="Times New Roman"/>
          <w:sz w:val="24"/>
          <w:szCs w:val="24"/>
          <w:shd w:val="clear" w:color="auto" w:fill="FFFFFF"/>
          <w:lang w:val="sr-Cyrl-CS"/>
        </w:rPr>
        <w:footnoteReference w:id="913"/>
      </w:r>
      <w:r w:rsidRPr="00D471F9">
        <w:rPr>
          <w:rFonts w:ascii="Times New Roman" w:hAnsi="Times New Roman"/>
          <w:sz w:val="24"/>
          <w:szCs w:val="24"/>
          <w:shd w:val="clear" w:color="auto" w:fill="FFFFFF"/>
          <w:lang w:val="sr-Cyrl-CS"/>
        </w:rPr>
        <w:t xml:space="preserve"> док се могу одредити за нека кривична дела </w:t>
      </w:r>
      <w:r w:rsidR="00145D76" w:rsidRPr="00D471F9">
        <w:rPr>
          <w:rFonts w:ascii="Times New Roman" w:hAnsi="Times New Roman"/>
          <w:sz w:val="24"/>
          <w:szCs w:val="24"/>
          <w:shd w:val="clear" w:color="auto" w:fill="FFFFFF"/>
          <w:lang w:val="sr-Cyrl-CS"/>
        </w:rPr>
        <w:t>против привреде и то за: фалсификовање новца, прање новца, злоупотреба положаја одговорног лица, злоупотреба у вези са јавном набавком, као и у односу на нека кривична дела против службене дужности и то: злоупотреба службеног положаја, трговина утицајем, примање мита и давање мита.</w:t>
      </w:r>
      <w:r w:rsidR="00C76589" w:rsidRPr="00D471F9">
        <w:rPr>
          <w:rFonts w:ascii="Times New Roman" w:hAnsi="Times New Roman"/>
          <w:sz w:val="24"/>
          <w:szCs w:val="24"/>
          <w:shd w:val="clear" w:color="auto" w:fill="FFFFFF"/>
          <w:lang w:val="sr-Cyrl-CS"/>
        </w:rPr>
        <w:t xml:space="preserve"> Према овом Законику уведена је и тужилачка истрага која мења улогу тужиоца у кривичном поступку и која је у</w:t>
      </w:r>
      <w:r w:rsidR="00B03FC6" w:rsidRPr="00D471F9">
        <w:rPr>
          <w:rFonts w:ascii="Times New Roman" w:hAnsi="Times New Roman"/>
          <w:sz w:val="24"/>
          <w:szCs w:val="24"/>
          <w:shd w:val="clear" w:color="auto" w:fill="FFFFFF"/>
          <w:lang w:val="sr-Cyrl-CS"/>
        </w:rPr>
        <w:t xml:space="preserve"> </w:t>
      </w:r>
      <w:r w:rsidR="00C76589" w:rsidRPr="00D471F9">
        <w:rPr>
          <w:rFonts w:ascii="Times New Roman" w:hAnsi="Times New Roman"/>
          <w:sz w:val="24"/>
          <w:szCs w:val="24"/>
          <w:shd w:val="clear" w:color="auto" w:fill="FFFFFF"/>
          <w:lang w:val="sr-Cyrl-CS"/>
        </w:rPr>
        <w:t>примени у области ратних злочина и организованог криминала од 15. јануара 2012. године, а за остале судове и т</w:t>
      </w:r>
      <w:r w:rsidR="00B03FC6" w:rsidRPr="00D471F9">
        <w:rPr>
          <w:rFonts w:ascii="Times New Roman" w:hAnsi="Times New Roman"/>
          <w:sz w:val="24"/>
          <w:szCs w:val="24"/>
          <w:shd w:val="clear" w:color="auto" w:fill="FFFFFF"/>
          <w:lang w:val="sr-Cyrl-CS"/>
        </w:rPr>
        <w:t>ужила</w:t>
      </w:r>
      <w:r w:rsidR="00C76589" w:rsidRPr="00D471F9">
        <w:rPr>
          <w:rFonts w:ascii="Times New Roman" w:hAnsi="Times New Roman"/>
          <w:sz w:val="24"/>
          <w:szCs w:val="24"/>
          <w:shd w:val="clear" w:color="auto" w:fill="FFFFFF"/>
          <w:lang w:val="sr-Cyrl-CS"/>
        </w:rPr>
        <w:t>штва од 1. октобра 2013. године.</w:t>
      </w:r>
      <w:r w:rsidR="00891999" w:rsidRPr="00D471F9">
        <w:rPr>
          <w:rFonts w:ascii="Times New Roman" w:hAnsi="Times New Roman"/>
          <w:sz w:val="24"/>
          <w:szCs w:val="24"/>
          <w:shd w:val="clear" w:color="auto" w:fill="FFFFFF"/>
          <w:lang w:val="sr-Cyrl-CS"/>
        </w:rPr>
        <w:t xml:space="preserve"> Нова мрежа судова </w:t>
      </w:r>
      <w:r w:rsidR="00200DD5" w:rsidRPr="00D471F9">
        <w:rPr>
          <w:rFonts w:ascii="Times New Roman" w:hAnsi="Times New Roman"/>
          <w:sz w:val="24"/>
          <w:szCs w:val="24"/>
          <w:shd w:val="clear" w:color="auto" w:fill="FFFFFF"/>
          <w:lang w:val="sr-Cyrl-CS"/>
        </w:rPr>
        <w:t>ће почети да функционише од 1. ј</w:t>
      </w:r>
      <w:r w:rsidR="00891999" w:rsidRPr="00D471F9">
        <w:rPr>
          <w:rFonts w:ascii="Times New Roman" w:hAnsi="Times New Roman"/>
          <w:sz w:val="24"/>
          <w:szCs w:val="24"/>
          <w:shd w:val="clear" w:color="auto" w:fill="FFFFFF"/>
          <w:lang w:val="sr-Cyrl-CS"/>
        </w:rPr>
        <w:t xml:space="preserve">ануара 2014. године, будући да је усвојен </w:t>
      </w:r>
      <w:r w:rsidR="00200DD5" w:rsidRPr="00D471F9">
        <w:rPr>
          <w:rFonts w:ascii="Times New Roman" w:hAnsi="Times New Roman"/>
          <w:sz w:val="24"/>
          <w:szCs w:val="24"/>
          <w:shd w:val="clear" w:color="auto" w:fill="FFFFFF"/>
          <w:lang w:val="sr-Cyrl-CS"/>
        </w:rPr>
        <w:t xml:space="preserve"> Закон о седиштима и подручјима судова и јавних тужилаштава</w:t>
      </w:r>
      <w:r w:rsidR="00200DD5" w:rsidRPr="00D471F9">
        <w:rPr>
          <w:rFonts w:ascii="Times New Roman" w:hAnsi="Times New Roman"/>
          <w:color w:val="343434"/>
          <w:sz w:val="24"/>
          <w:szCs w:val="24"/>
          <w:shd w:val="clear" w:color="auto" w:fill="FFFFFF"/>
          <w:lang w:val="sr-Cyrl-CS"/>
        </w:rPr>
        <w:t>.</w:t>
      </w:r>
      <w:r w:rsidR="00891999" w:rsidRPr="00D471F9">
        <w:rPr>
          <w:rStyle w:val="FootnoteReference"/>
          <w:rFonts w:ascii="Times New Roman" w:hAnsi="Times New Roman"/>
          <w:color w:val="343434"/>
          <w:sz w:val="24"/>
          <w:szCs w:val="24"/>
          <w:shd w:val="clear" w:color="auto" w:fill="FFFFFF"/>
          <w:lang w:val="sr-Cyrl-CS"/>
        </w:rPr>
        <w:footnoteReference w:id="914"/>
      </w:r>
    </w:p>
    <w:p w:rsidR="00127366" w:rsidRPr="00D471F9" w:rsidRDefault="00A74914" w:rsidP="00D471F9">
      <w:pPr>
        <w:pStyle w:val="normal0"/>
        <w:shd w:val="clear" w:color="auto" w:fill="FFFFFF"/>
        <w:spacing w:line="408" w:lineRule="atLeast"/>
        <w:ind w:firstLine="708"/>
        <w:jc w:val="both"/>
        <w:rPr>
          <w:shd w:val="clear" w:color="auto" w:fill="FFFFFF"/>
          <w:lang w:val="sr-Cyrl-CS"/>
        </w:rPr>
      </w:pPr>
      <w:r w:rsidRPr="00D471F9">
        <w:rPr>
          <w:shd w:val="clear" w:color="auto" w:fill="FFFFFF"/>
          <w:lang w:val="sr-Cyrl-CS"/>
        </w:rPr>
        <w:t>Наша земља је преузела бројне међународне обавезе из међународних</w:t>
      </w:r>
      <w:r w:rsidR="00B6704E" w:rsidRPr="00D471F9">
        <w:rPr>
          <w:shd w:val="clear" w:color="auto" w:fill="FFFFFF"/>
          <w:lang w:val="sr-Cyrl-CS"/>
        </w:rPr>
        <w:t xml:space="preserve"> </w:t>
      </w:r>
      <w:r w:rsidRPr="00D471F9">
        <w:rPr>
          <w:shd w:val="clear" w:color="auto" w:fill="FFFFFF"/>
          <w:lang w:val="sr-Cyrl-CS"/>
        </w:rPr>
        <w:t xml:space="preserve">конвенција, као што су: </w:t>
      </w:r>
    </w:p>
    <w:p w:rsidR="00CD119D" w:rsidRPr="00831157" w:rsidRDefault="00127366" w:rsidP="00831157">
      <w:pPr>
        <w:jc w:val="both"/>
        <w:rPr>
          <w:rFonts w:ascii="Times New Roman" w:hAnsi="Times New Roman"/>
          <w:sz w:val="24"/>
          <w:szCs w:val="24"/>
        </w:rPr>
      </w:pPr>
      <w:r w:rsidRPr="00831157">
        <w:rPr>
          <w:rFonts w:ascii="Times New Roman" w:hAnsi="Times New Roman"/>
          <w:sz w:val="24"/>
          <w:szCs w:val="24"/>
          <w:shd w:val="clear" w:color="auto" w:fill="FFFFFF"/>
          <w:lang w:val="sr-Cyrl-CS"/>
        </w:rPr>
        <w:t>-</w:t>
      </w:r>
      <w:r w:rsidR="00A74914" w:rsidRPr="00831157">
        <w:rPr>
          <w:rFonts w:ascii="Times New Roman" w:hAnsi="Times New Roman"/>
          <w:sz w:val="24"/>
          <w:szCs w:val="24"/>
          <w:shd w:val="clear" w:color="auto" w:fill="FFFFFF"/>
          <w:lang w:val="sr-Cyrl-CS"/>
        </w:rPr>
        <w:t xml:space="preserve">Конвенција </w:t>
      </w:r>
      <w:r w:rsidR="00CD119D" w:rsidRPr="00831157">
        <w:rPr>
          <w:rFonts w:ascii="Times New Roman" w:hAnsi="Times New Roman"/>
          <w:sz w:val="24"/>
          <w:szCs w:val="24"/>
          <w:shd w:val="clear" w:color="auto" w:fill="FFFFFF"/>
          <w:lang w:val="sr-Cyrl-CS"/>
        </w:rPr>
        <w:t xml:space="preserve">Уједињених нација </w:t>
      </w:r>
      <w:r w:rsidR="00A74914" w:rsidRPr="00831157">
        <w:rPr>
          <w:rFonts w:ascii="Times New Roman" w:hAnsi="Times New Roman"/>
          <w:sz w:val="24"/>
          <w:szCs w:val="24"/>
          <w:shd w:val="clear" w:color="auto" w:fill="FFFFFF"/>
          <w:lang w:val="sr-Cyrl-CS"/>
        </w:rPr>
        <w:t>против корупције,</w:t>
      </w:r>
      <w:r w:rsidR="00A74914" w:rsidRPr="00831157">
        <w:rPr>
          <w:rStyle w:val="FootnoteReference"/>
          <w:rFonts w:ascii="Times New Roman" w:hAnsi="Times New Roman"/>
          <w:sz w:val="24"/>
          <w:szCs w:val="24"/>
          <w:shd w:val="clear" w:color="auto" w:fill="FFFFFF"/>
          <w:lang w:val="sr-Cyrl-CS"/>
        </w:rPr>
        <w:footnoteReference w:id="915"/>
      </w:r>
      <w:r w:rsidR="00A74914" w:rsidRPr="00831157">
        <w:rPr>
          <w:rFonts w:ascii="Times New Roman" w:hAnsi="Times New Roman"/>
          <w:sz w:val="24"/>
          <w:szCs w:val="24"/>
          <w:shd w:val="clear" w:color="auto" w:fill="FFFFFF"/>
          <w:lang w:val="sr-Cyrl-CS"/>
        </w:rPr>
        <w:t xml:space="preserve"> </w:t>
      </w:r>
      <w:r w:rsidR="00CD119D" w:rsidRPr="00831157">
        <w:rPr>
          <w:rFonts w:ascii="Times New Roman" w:hAnsi="Times New Roman"/>
          <w:sz w:val="24"/>
          <w:szCs w:val="24"/>
          <w:shd w:val="clear" w:color="auto" w:fill="FFFFFF"/>
          <w:lang w:val="sr-Cyrl-CS"/>
        </w:rPr>
        <w:t>коју је наша земља рат</w:t>
      </w:r>
      <w:r w:rsidR="00365D83" w:rsidRPr="00831157">
        <w:rPr>
          <w:rFonts w:ascii="Times New Roman" w:hAnsi="Times New Roman"/>
          <w:sz w:val="24"/>
          <w:szCs w:val="24"/>
          <w:shd w:val="clear" w:color="auto" w:fill="FFFFFF"/>
        </w:rPr>
        <w:t>и</w:t>
      </w:r>
      <w:r w:rsidR="00CD119D" w:rsidRPr="00831157">
        <w:rPr>
          <w:rFonts w:ascii="Times New Roman" w:hAnsi="Times New Roman"/>
          <w:sz w:val="24"/>
          <w:szCs w:val="24"/>
          <w:shd w:val="clear" w:color="auto" w:fill="FFFFFF"/>
          <w:lang w:val="sr-Cyrl-CS"/>
        </w:rPr>
        <w:t xml:space="preserve">фиковала, при чему се наглашва </w:t>
      </w:r>
      <w:r w:rsidR="00360BE9" w:rsidRPr="00831157">
        <w:rPr>
          <w:rFonts w:ascii="Times New Roman" w:hAnsi="Times New Roman"/>
          <w:sz w:val="24"/>
          <w:szCs w:val="24"/>
        </w:rPr>
        <w:t>озбиљност</w:t>
      </w:r>
      <w:r w:rsidR="00B6704E" w:rsidRPr="00831157">
        <w:rPr>
          <w:rFonts w:ascii="Times New Roman" w:hAnsi="Times New Roman"/>
          <w:sz w:val="24"/>
          <w:szCs w:val="24"/>
        </w:rPr>
        <w:t xml:space="preserve"> </w:t>
      </w:r>
      <w:r w:rsidR="00360BE9" w:rsidRPr="00831157">
        <w:rPr>
          <w:rFonts w:ascii="Times New Roman" w:hAnsi="Times New Roman"/>
          <w:sz w:val="24"/>
          <w:szCs w:val="24"/>
        </w:rPr>
        <w:t>проблема</w:t>
      </w:r>
      <w:r w:rsidR="00CD119D" w:rsidRPr="00831157">
        <w:rPr>
          <w:rFonts w:ascii="Times New Roman" w:hAnsi="Times New Roman"/>
          <w:sz w:val="24"/>
          <w:szCs w:val="24"/>
        </w:rPr>
        <w:t xml:space="preserve"> </w:t>
      </w:r>
      <w:r w:rsidR="00360BE9" w:rsidRPr="00831157">
        <w:rPr>
          <w:rFonts w:ascii="Times New Roman" w:hAnsi="Times New Roman"/>
          <w:sz w:val="24"/>
          <w:szCs w:val="24"/>
        </w:rPr>
        <w:t>и</w:t>
      </w:r>
      <w:r w:rsidR="00CD119D" w:rsidRPr="00831157">
        <w:rPr>
          <w:rFonts w:ascii="Times New Roman" w:hAnsi="Times New Roman"/>
          <w:sz w:val="24"/>
          <w:szCs w:val="24"/>
        </w:rPr>
        <w:t xml:space="preserve"> </w:t>
      </w:r>
      <w:r w:rsidR="00360BE9" w:rsidRPr="00831157">
        <w:rPr>
          <w:rFonts w:ascii="Times New Roman" w:hAnsi="Times New Roman"/>
          <w:sz w:val="24"/>
          <w:szCs w:val="24"/>
        </w:rPr>
        <w:t>претњи</w:t>
      </w:r>
      <w:r w:rsidR="00CD119D" w:rsidRPr="00831157">
        <w:rPr>
          <w:rFonts w:ascii="Times New Roman" w:hAnsi="Times New Roman"/>
          <w:sz w:val="24"/>
          <w:szCs w:val="24"/>
        </w:rPr>
        <w:t xml:space="preserve"> </w:t>
      </w:r>
      <w:r w:rsidR="00360BE9" w:rsidRPr="00831157">
        <w:rPr>
          <w:rFonts w:ascii="Times New Roman" w:hAnsi="Times New Roman"/>
          <w:sz w:val="24"/>
          <w:szCs w:val="24"/>
        </w:rPr>
        <w:t>које</w:t>
      </w:r>
      <w:r w:rsidR="00CD119D" w:rsidRPr="00831157">
        <w:rPr>
          <w:rFonts w:ascii="Times New Roman" w:hAnsi="Times New Roman"/>
          <w:sz w:val="24"/>
          <w:szCs w:val="24"/>
        </w:rPr>
        <w:t xml:space="preserve"> </w:t>
      </w:r>
      <w:r w:rsidR="00360BE9" w:rsidRPr="00831157">
        <w:rPr>
          <w:rFonts w:ascii="Times New Roman" w:hAnsi="Times New Roman"/>
          <w:sz w:val="24"/>
          <w:szCs w:val="24"/>
        </w:rPr>
        <w:t>корупција</w:t>
      </w:r>
      <w:r w:rsidR="00CD119D" w:rsidRPr="00831157">
        <w:rPr>
          <w:rFonts w:ascii="Times New Roman" w:hAnsi="Times New Roman"/>
          <w:sz w:val="24"/>
          <w:szCs w:val="24"/>
        </w:rPr>
        <w:t xml:space="preserve"> </w:t>
      </w:r>
      <w:r w:rsidR="00360BE9" w:rsidRPr="00831157">
        <w:rPr>
          <w:rFonts w:ascii="Times New Roman" w:hAnsi="Times New Roman"/>
          <w:sz w:val="24"/>
          <w:szCs w:val="24"/>
        </w:rPr>
        <w:t>представља</w:t>
      </w:r>
      <w:r w:rsidR="00CD119D" w:rsidRPr="00831157">
        <w:rPr>
          <w:rFonts w:ascii="Times New Roman" w:hAnsi="Times New Roman"/>
          <w:sz w:val="24"/>
          <w:szCs w:val="24"/>
        </w:rPr>
        <w:t xml:space="preserve"> </w:t>
      </w:r>
      <w:r w:rsidR="00360BE9" w:rsidRPr="00831157">
        <w:rPr>
          <w:rFonts w:ascii="Times New Roman" w:hAnsi="Times New Roman"/>
          <w:sz w:val="24"/>
          <w:szCs w:val="24"/>
        </w:rPr>
        <w:t>за</w:t>
      </w:r>
      <w:r w:rsidR="00CD119D" w:rsidRPr="00831157">
        <w:rPr>
          <w:rFonts w:ascii="Times New Roman" w:hAnsi="Times New Roman"/>
          <w:sz w:val="24"/>
          <w:szCs w:val="24"/>
        </w:rPr>
        <w:t xml:space="preserve"> </w:t>
      </w:r>
      <w:r w:rsidR="00360BE9" w:rsidRPr="00831157">
        <w:rPr>
          <w:rFonts w:ascii="Times New Roman" w:hAnsi="Times New Roman"/>
          <w:sz w:val="24"/>
          <w:szCs w:val="24"/>
        </w:rPr>
        <w:t>стабилност</w:t>
      </w:r>
      <w:r w:rsidR="00CD119D" w:rsidRPr="00831157">
        <w:rPr>
          <w:rFonts w:ascii="Times New Roman" w:hAnsi="Times New Roman"/>
          <w:sz w:val="24"/>
          <w:szCs w:val="24"/>
        </w:rPr>
        <w:t xml:space="preserve"> </w:t>
      </w:r>
      <w:r w:rsidR="00360BE9" w:rsidRPr="00831157">
        <w:rPr>
          <w:rFonts w:ascii="Times New Roman" w:hAnsi="Times New Roman"/>
          <w:sz w:val="24"/>
          <w:szCs w:val="24"/>
        </w:rPr>
        <w:t>и</w:t>
      </w:r>
      <w:r w:rsidR="00CD119D" w:rsidRPr="00831157">
        <w:rPr>
          <w:rFonts w:ascii="Times New Roman" w:hAnsi="Times New Roman"/>
          <w:sz w:val="24"/>
          <w:szCs w:val="24"/>
        </w:rPr>
        <w:t xml:space="preserve"> </w:t>
      </w:r>
      <w:r w:rsidR="00360BE9" w:rsidRPr="00831157">
        <w:rPr>
          <w:rFonts w:ascii="Times New Roman" w:hAnsi="Times New Roman"/>
          <w:sz w:val="24"/>
          <w:szCs w:val="24"/>
        </w:rPr>
        <w:t>безбедност</w:t>
      </w:r>
      <w:r w:rsidR="00CD119D" w:rsidRPr="00831157">
        <w:rPr>
          <w:rFonts w:ascii="Times New Roman" w:hAnsi="Times New Roman"/>
          <w:sz w:val="24"/>
          <w:szCs w:val="24"/>
        </w:rPr>
        <w:t xml:space="preserve"> </w:t>
      </w:r>
      <w:r w:rsidR="00360BE9" w:rsidRPr="00831157">
        <w:rPr>
          <w:rFonts w:ascii="Times New Roman" w:hAnsi="Times New Roman"/>
          <w:sz w:val="24"/>
          <w:szCs w:val="24"/>
        </w:rPr>
        <w:t>друштава</w:t>
      </w:r>
      <w:r w:rsidR="00CD119D" w:rsidRPr="00831157">
        <w:rPr>
          <w:rFonts w:ascii="Times New Roman" w:hAnsi="Times New Roman"/>
          <w:sz w:val="24"/>
          <w:szCs w:val="24"/>
        </w:rPr>
        <w:t xml:space="preserve">, </w:t>
      </w:r>
      <w:r w:rsidR="00360BE9" w:rsidRPr="00831157">
        <w:rPr>
          <w:rFonts w:ascii="Times New Roman" w:hAnsi="Times New Roman"/>
          <w:sz w:val="24"/>
          <w:szCs w:val="24"/>
        </w:rPr>
        <w:t>подривајући</w:t>
      </w:r>
      <w:r w:rsidR="00CD119D" w:rsidRPr="00831157">
        <w:rPr>
          <w:rFonts w:ascii="Times New Roman" w:hAnsi="Times New Roman"/>
          <w:sz w:val="24"/>
          <w:szCs w:val="24"/>
        </w:rPr>
        <w:t xml:space="preserve"> </w:t>
      </w:r>
      <w:r w:rsidR="00360BE9" w:rsidRPr="00831157">
        <w:rPr>
          <w:rFonts w:ascii="Times New Roman" w:hAnsi="Times New Roman"/>
          <w:sz w:val="24"/>
          <w:szCs w:val="24"/>
        </w:rPr>
        <w:t>институције</w:t>
      </w:r>
      <w:r w:rsidR="00CD119D" w:rsidRPr="00831157">
        <w:rPr>
          <w:rFonts w:ascii="Times New Roman" w:hAnsi="Times New Roman"/>
          <w:sz w:val="24"/>
          <w:szCs w:val="24"/>
        </w:rPr>
        <w:t xml:space="preserve"> </w:t>
      </w:r>
      <w:r w:rsidR="00360BE9" w:rsidRPr="00831157">
        <w:rPr>
          <w:rFonts w:ascii="Times New Roman" w:hAnsi="Times New Roman"/>
          <w:sz w:val="24"/>
          <w:szCs w:val="24"/>
        </w:rPr>
        <w:t>и</w:t>
      </w:r>
      <w:r w:rsidR="00CD119D" w:rsidRPr="00831157">
        <w:rPr>
          <w:rFonts w:ascii="Times New Roman" w:hAnsi="Times New Roman"/>
          <w:sz w:val="24"/>
          <w:szCs w:val="24"/>
        </w:rPr>
        <w:t xml:space="preserve"> </w:t>
      </w:r>
      <w:r w:rsidR="00360BE9" w:rsidRPr="00831157">
        <w:rPr>
          <w:rFonts w:ascii="Times New Roman" w:hAnsi="Times New Roman"/>
          <w:sz w:val="24"/>
          <w:szCs w:val="24"/>
        </w:rPr>
        <w:t>вредности</w:t>
      </w:r>
      <w:r w:rsidR="00CD119D" w:rsidRPr="00831157">
        <w:rPr>
          <w:rFonts w:ascii="Times New Roman" w:hAnsi="Times New Roman"/>
          <w:sz w:val="24"/>
          <w:szCs w:val="24"/>
        </w:rPr>
        <w:t xml:space="preserve"> </w:t>
      </w:r>
      <w:r w:rsidR="00360BE9" w:rsidRPr="00831157">
        <w:rPr>
          <w:rFonts w:ascii="Times New Roman" w:hAnsi="Times New Roman"/>
          <w:sz w:val="24"/>
          <w:szCs w:val="24"/>
        </w:rPr>
        <w:t>демократије</w:t>
      </w:r>
      <w:r w:rsidRPr="00831157">
        <w:rPr>
          <w:rFonts w:ascii="Times New Roman" w:hAnsi="Times New Roman"/>
          <w:sz w:val="24"/>
          <w:szCs w:val="24"/>
        </w:rPr>
        <w:t xml:space="preserve">, </w:t>
      </w:r>
      <w:r w:rsidR="00360BE9" w:rsidRPr="00831157">
        <w:rPr>
          <w:rFonts w:ascii="Times New Roman" w:hAnsi="Times New Roman"/>
          <w:sz w:val="24"/>
          <w:szCs w:val="24"/>
        </w:rPr>
        <w:t>етичке</w:t>
      </w:r>
      <w:r w:rsidRPr="00831157">
        <w:rPr>
          <w:rFonts w:ascii="Times New Roman" w:hAnsi="Times New Roman"/>
          <w:sz w:val="24"/>
          <w:szCs w:val="24"/>
        </w:rPr>
        <w:t xml:space="preserve"> </w:t>
      </w:r>
      <w:r w:rsidR="00360BE9" w:rsidRPr="00831157">
        <w:rPr>
          <w:rFonts w:ascii="Times New Roman" w:hAnsi="Times New Roman"/>
          <w:sz w:val="24"/>
          <w:szCs w:val="24"/>
        </w:rPr>
        <w:t>вредности</w:t>
      </w:r>
      <w:r w:rsidRPr="00831157">
        <w:rPr>
          <w:rFonts w:ascii="Times New Roman" w:hAnsi="Times New Roman"/>
          <w:sz w:val="24"/>
          <w:szCs w:val="24"/>
        </w:rPr>
        <w:t xml:space="preserve"> </w:t>
      </w:r>
      <w:r w:rsidR="00360BE9" w:rsidRPr="00831157">
        <w:rPr>
          <w:rFonts w:ascii="Times New Roman" w:hAnsi="Times New Roman"/>
          <w:sz w:val="24"/>
          <w:szCs w:val="24"/>
        </w:rPr>
        <w:t>и</w:t>
      </w:r>
      <w:r w:rsidRPr="00831157">
        <w:rPr>
          <w:rFonts w:ascii="Times New Roman" w:hAnsi="Times New Roman"/>
          <w:sz w:val="24"/>
          <w:szCs w:val="24"/>
        </w:rPr>
        <w:t xml:space="preserve"> </w:t>
      </w:r>
      <w:r w:rsidR="00360BE9" w:rsidRPr="00831157">
        <w:rPr>
          <w:rFonts w:ascii="Times New Roman" w:hAnsi="Times New Roman"/>
          <w:sz w:val="24"/>
          <w:szCs w:val="24"/>
        </w:rPr>
        <w:t>правду</w:t>
      </w:r>
      <w:r w:rsidRPr="00831157">
        <w:rPr>
          <w:rFonts w:ascii="Times New Roman" w:hAnsi="Times New Roman"/>
          <w:sz w:val="24"/>
          <w:szCs w:val="24"/>
        </w:rPr>
        <w:t>,  за</w:t>
      </w:r>
      <w:r w:rsidR="00CD119D" w:rsidRPr="00831157">
        <w:rPr>
          <w:rFonts w:ascii="Times New Roman" w:hAnsi="Times New Roman"/>
          <w:sz w:val="24"/>
          <w:szCs w:val="24"/>
        </w:rPr>
        <w:t xml:space="preserve"> </w:t>
      </w:r>
      <w:r w:rsidR="00360BE9" w:rsidRPr="00831157">
        <w:rPr>
          <w:rFonts w:ascii="Times New Roman" w:hAnsi="Times New Roman"/>
          <w:sz w:val="24"/>
          <w:szCs w:val="24"/>
        </w:rPr>
        <w:t>одржив</w:t>
      </w:r>
      <w:r w:rsidR="00CD119D" w:rsidRPr="00831157">
        <w:rPr>
          <w:rFonts w:ascii="Times New Roman" w:hAnsi="Times New Roman"/>
          <w:sz w:val="24"/>
          <w:szCs w:val="24"/>
        </w:rPr>
        <w:t xml:space="preserve"> </w:t>
      </w:r>
      <w:r w:rsidR="00360BE9" w:rsidRPr="00831157">
        <w:rPr>
          <w:rFonts w:ascii="Times New Roman" w:hAnsi="Times New Roman"/>
          <w:sz w:val="24"/>
          <w:szCs w:val="24"/>
        </w:rPr>
        <w:t>развој</w:t>
      </w:r>
      <w:r w:rsidR="00CD119D" w:rsidRPr="00831157">
        <w:rPr>
          <w:rFonts w:ascii="Times New Roman" w:hAnsi="Times New Roman"/>
          <w:sz w:val="24"/>
          <w:szCs w:val="24"/>
        </w:rPr>
        <w:t xml:space="preserve"> </w:t>
      </w:r>
      <w:r w:rsidR="00360BE9" w:rsidRPr="00831157">
        <w:rPr>
          <w:rFonts w:ascii="Times New Roman" w:hAnsi="Times New Roman"/>
          <w:sz w:val="24"/>
          <w:szCs w:val="24"/>
        </w:rPr>
        <w:t>и</w:t>
      </w:r>
      <w:r w:rsidR="00CD119D" w:rsidRPr="00831157">
        <w:rPr>
          <w:rFonts w:ascii="Times New Roman" w:hAnsi="Times New Roman"/>
          <w:sz w:val="24"/>
          <w:szCs w:val="24"/>
        </w:rPr>
        <w:t xml:space="preserve"> </w:t>
      </w:r>
      <w:r w:rsidR="00360BE9" w:rsidRPr="00831157">
        <w:rPr>
          <w:rFonts w:ascii="Times New Roman" w:hAnsi="Times New Roman"/>
          <w:sz w:val="24"/>
          <w:szCs w:val="24"/>
        </w:rPr>
        <w:t>владавину</w:t>
      </w:r>
      <w:r w:rsidR="00CD119D" w:rsidRPr="00831157">
        <w:rPr>
          <w:rFonts w:ascii="Times New Roman" w:hAnsi="Times New Roman"/>
          <w:sz w:val="24"/>
          <w:szCs w:val="24"/>
        </w:rPr>
        <w:t xml:space="preserve"> </w:t>
      </w:r>
      <w:r w:rsidR="00360BE9" w:rsidRPr="00831157">
        <w:rPr>
          <w:rFonts w:ascii="Times New Roman" w:hAnsi="Times New Roman"/>
          <w:sz w:val="24"/>
          <w:szCs w:val="24"/>
        </w:rPr>
        <w:t>права</w:t>
      </w:r>
      <w:r w:rsidR="00CD119D" w:rsidRPr="00831157">
        <w:rPr>
          <w:rFonts w:ascii="Times New Roman" w:hAnsi="Times New Roman"/>
          <w:sz w:val="24"/>
          <w:szCs w:val="24"/>
        </w:rPr>
        <w:t>,</w:t>
      </w:r>
      <w:r w:rsidR="00B6704E" w:rsidRPr="00831157">
        <w:rPr>
          <w:rFonts w:ascii="Times New Roman" w:hAnsi="Times New Roman"/>
          <w:sz w:val="24"/>
          <w:szCs w:val="24"/>
        </w:rPr>
        <w:t xml:space="preserve"> као и повезаност корупције са другим облицима криминала, </w:t>
      </w:r>
      <w:r w:rsidR="00360BE9" w:rsidRPr="00831157">
        <w:rPr>
          <w:rFonts w:ascii="Times New Roman" w:hAnsi="Times New Roman"/>
          <w:sz w:val="24"/>
          <w:szCs w:val="24"/>
        </w:rPr>
        <w:t>посебно</w:t>
      </w:r>
      <w:r w:rsidR="00CD119D" w:rsidRPr="00831157">
        <w:rPr>
          <w:rFonts w:ascii="Times New Roman" w:hAnsi="Times New Roman"/>
          <w:sz w:val="24"/>
          <w:szCs w:val="24"/>
        </w:rPr>
        <w:t xml:space="preserve"> </w:t>
      </w:r>
      <w:r w:rsidR="00360BE9" w:rsidRPr="00831157">
        <w:rPr>
          <w:rFonts w:ascii="Times New Roman" w:hAnsi="Times New Roman"/>
          <w:sz w:val="24"/>
          <w:szCs w:val="24"/>
        </w:rPr>
        <w:t>организованог</w:t>
      </w:r>
      <w:r w:rsidR="00CD119D" w:rsidRPr="00831157">
        <w:rPr>
          <w:rFonts w:ascii="Times New Roman" w:hAnsi="Times New Roman"/>
          <w:sz w:val="24"/>
          <w:szCs w:val="24"/>
        </w:rPr>
        <w:t xml:space="preserve"> </w:t>
      </w:r>
      <w:r w:rsidR="00360BE9" w:rsidRPr="00831157">
        <w:rPr>
          <w:rFonts w:ascii="Times New Roman" w:hAnsi="Times New Roman"/>
          <w:sz w:val="24"/>
          <w:szCs w:val="24"/>
        </w:rPr>
        <w:t>криминала</w:t>
      </w:r>
      <w:r w:rsidR="00CD119D" w:rsidRPr="00831157">
        <w:rPr>
          <w:rFonts w:ascii="Times New Roman" w:hAnsi="Times New Roman"/>
          <w:sz w:val="24"/>
          <w:szCs w:val="24"/>
        </w:rPr>
        <w:t xml:space="preserve"> </w:t>
      </w:r>
      <w:r w:rsidR="00360BE9" w:rsidRPr="00831157">
        <w:rPr>
          <w:rFonts w:ascii="Times New Roman" w:hAnsi="Times New Roman"/>
          <w:sz w:val="24"/>
          <w:szCs w:val="24"/>
        </w:rPr>
        <w:t>и</w:t>
      </w:r>
      <w:r w:rsidR="00CD119D" w:rsidRPr="00831157">
        <w:rPr>
          <w:rFonts w:ascii="Times New Roman" w:hAnsi="Times New Roman"/>
          <w:sz w:val="24"/>
          <w:szCs w:val="24"/>
        </w:rPr>
        <w:t xml:space="preserve"> </w:t>
      </w:r>
      <w:r w:rsidR="00360BE9" w:rsidRPr="00831157">
        <w:rPr>
          <w:rFonts w:ascii="Times New Roman" w:hAnsi="Times New Roman"/>
          <w:sz w:val="24"/>
          <w:szCs w:val="24"/>
        </w:rPr>
        <w:t>привредног</w:t>
      </w:r>
      <w:r w:rsidR="00CD119D" w:rsidRPr="00831157">
        <w:rPr>
          <w:rFonts w:ascii="Times New Roman" w:hAnsi="Times New Roman"/>
          <w:sz w:val="24"/>
          <w:szCs w:val="24"/>
        </w:rPr>
        <w:t xml:space="preserve"> </w:t>
      </w:r>
      <w:r w:rsidR="00360BE9" w:rsidRPr="00831157">
        <w:rPr>
          <w:rFonts w:ascii="Times New Roman" w:hAnsi="Times New Roman"/>
          <w:sz w:val="24"/>
          <w:szCs w:val="24"/>
        </w:rPr>
        <w:t>криминала</w:t>
      </w:r>
      <w:r w:rsidR="00CD119D" w:rsidRPr="00831157">
        <w:rPr>
          <w:rFonts w:ascii="Times New Roman" w:hAnsi="Times New Roman"/>
          <w:sz w:val="24"/>
          <w:szCs w:val="24"/>
        </w:rPr>
        <w:t xml:space="preserve">, </w:t>
      </w:r>
      <w:r w:rsidR="00360BE9" w:rsidRPr="00831157">
        <w:rPr>
          <w:rFonts w:ascii="Times New Roman" w:hAnsi="Times New Roman"/>
          <w:sz w:val="24"/>
          <w:szCs w:val="24"/>
        </w:rPr>
        <w:t>укључујући</w:t>
      </w:r>
      <w:r w:rsidR="00CD119D" w:rsidRPr="00831157">
        <w:rPr>
          <w:rFonts w:ascii="Times New Roman" w:hAnsi="Times New Roman"/>
          <w:sz w:val="24"/>
          <w:szCs w:val="24"/>
        </w:rPr>
        <w:t xml:space="preserve"> </w:t>
      </w:r>
      <w:r w:rsidR="00360BE9" w:rsidRPr="00831157">
        <w:rPr>
          <w:rFonts w:ascii="Times New Roman" w:hAnsi="Times New Roman"/>
          <w:sz w:val="24"/>
          <w:szCs w:val="24"/>
        </w:rPr>
        <w:t>прање</w:t>
      </w:r>
      <w:r w:rsidR="00CD119D" w:rsidRPr="00831157">
        <w:rPr>
          <w:rFonts w:ascii="Times New Roman" w:hAnsi="Times New Roman"/>
          <w:sz w:val="24"/>
          <w:szCs w:val="24"/>
        </w:rPr>
        <w:t xml:space="preserve"> </w:t>
      </w:r>
      <w:r w:rsidR="00360BE9" w:rsidRPr="00831157">
        <w:rPr>
          <w:rFonts w:ascii="Times New Roman" w:hAnsi="Times New Roman"/>
          <w:sz w:val="24"/>
          <w:szCs w:val="24"/>
        </w:rPr>
        <w:t>новца</w:t>
      </w:r>
      <w:r w:rsidR="00B6704E" w:rsidRPr="00831157">
        <w:rPr>
          <w:rFonts w:ascii="Times New Roman" w:hAnsi="Times New Roman"/>
          <w:sz w:val="24"/>
          <w:szCs w:val="24"/>
        </w:rPr>
        <w:t>.</w:t>
      </w:r>
    </w:p>
    <w:p w:rsidR="00127366" w:rsidRPr="00D471F9" w:rsidRDefault="00127366" w:rsidP="00D471F9">
      <w:pPr>
        <w:jc w:val="both"/>
        <w:rPr>
          <w:rFonts w:ascii="Times New Roman" w:hAnsi="Times New Roman"/>
          <w:sz w:val="24"/>
          <w:szCs w:val="24"/>
          <w:lang w:val="sr-Cyrl-CS"/>
        </w:rPr>
      </w:pPr>
      <w:r w:rsidRPr="00D471F9">
        <w:rPr>
          <w:rFonts w:ascii="Times New Roman" w:hAnsi="Times New Roman"/>
          <w:color w:val="666666"/>
          <w:sz w:val="24"/>
          <w:szCs w:val="24"/>
          <w:lang w:val="sr-Cyrl-CS"/>
        </w:rPr>
        <w:lastRenderedPageBreak/>
        <w:t>-</w:t>
      </w:r>
      <w:r w:rsidR="00360BE9" w:rsidRPr="00D471F9">
        <w:rPr>
          <w:rFonts w:ascii="Times New Roman" w:hAnsi="Times New Roman"/>
          <w:sz w:val="24"/>
          <w:szCs w:val="24"/>
          <w:lang w:val="sr-Cyrl-CS"/>
        </w:rPr>
        <w:t>Грађанскоправна</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конвенција</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Савета</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Европе</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о</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корупцији</w:t>
      </w:r>
      <w:r w:rsidRPr="00D471F9">
        <w:rPr>
          <w:rStyle w:val="FootnoteReference"/>
          <w:rFonts w:ascii="Times New Roman" w:hAnsi="Times New Roman"/>
          <w:sz w:val="24"/>
          <w:szCs w:val="24"/>
          <w:lang w:val="sr-Cyrl-CS"/>
        </w:rPr>
        <w:footnoteReference w:id="916"/>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ратификована</w:t>
      </w:r>
      <w:r w:rsidRPr="00D471F9">
        <w:rPr>
          <w:rFonts w:ascii="Times New Roman" w:hAnsi="Times New Roman"/>
          <w:sz w:val="24"/>
          <w:szCs w:val="24"/>
          <w:lang w:val="sr-Cyrl-CS"/>
        </w:rPr>
        <w:t xml:space="preserve"> 9. </w:t>
      </w:r>
      <w:r w:rsidR="00360BE9" w:rsidRPr="00D471F9">
        <w:rPr>
          <w:rFonts w:ascii="Times New Roman" w:hAnsi="Times New Roman"/>
          <w:sz w:val="24"/>
          <w:szCs w:val="24"/>
          <w:lang w:val="sr-Cyrl-CS"/>
        </w:rPr>
        <w:t>јануара</w:t>
      </w:r>
      <w:r w:rsidRPr="00D471F9">
        <w:rPr>
          <w:rFonts w:ascii="Times New Roman" w:hAnsi="Times New Roman"/>
          <w:sz w:val="24"/>
          <w:szCs w:val="24"/>
          <w:lang w:val="sr-Cyrl-CS"/>
        </w:rPr>
        <w:t xml:space="preserve"> </w:t>
      </w:r>
      <w:r w:rsidR="00200DD5" w:rsidRPr="00D471F9">
        <w:rPr>
          <w:rFonts w:ascii="Times New Roman" w:hAnsi="Times New Roman"/>
          <w:sz w:val="24"/>
          <w:szCs w:val="24"/>
          <w:lang w:val="sr-Cyrl-CS"/>
        </w:rPr>
        <w:t xml:space="preserve"> </w:t>
      </w:r>
      <w:r w:rsidRPr="00D471F9">
        <w:rPr>
          <w:rFonts w:ascii="Times New Roman" w:hAnsi="Times New Roman"/>
          <w:sz w:val="24"/>
          <w:szCs w:val="24"/>
          <w:lang w:val="sr-Cyrl-CS"/>
        </w:rPr>
        <w:t xml:space="preserve">2008. </w:t>
      </w:r>
      <w:r w:rsidR="00360BE9" w:rsidRPr="00D471F9">
        <w:rPr>
          <w:rFonts w:ascii="Times New Roman" w:hAnsi="Times New Roman"/>
          <w:sz w:val="24"/>
          <w:szCs w:val="24"/>
          <w:lang w:val="sr-Cyrl-CS"/>
        </w:rPr>
        <w:t>и</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ступила</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на</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снагу</w:t>
      </w:r>
      <w:r w:rsidRPr="00D471F9">
        <w:rPr>
          <w:rFonts w:ascii="Times New Roman" w:hAnsi="Times New Roman"/>
          <w:sz w:val="24"/>
          <w:szCs w:val="24"/>
          <w:lang w:val="sr-Cyrl-CS"/>
        </w:rPr>
        <w:t xml:space="preserve"> 1. </w:t>
      </w:r>
      <w:r w:rsidR="00360BE9" w:rsidRPr="00D471F9">
        <w:rPr>
          <w:rFonts w:ascii="Times New Roman" w:hAnsi="Times New Roman"/>
          <w:sz w:val="24"/>
          <w:szCs w:val="24"/>
          <w:lang w:val="sr-Cyrl-CS"/>
        </w:rPr>
        <w:t>маја</w:t>
      </w:r>
      <w:r w:rsidRPr="00D471F9">
        <w:rPr>
          <w:rFonts w:ascii="Times New Roman" w:hAnsi="Times New Roman"/>
          <w:sz w:val="24"/>
          <w:szCs w:val="24"/>
          <w:lang w:val="sr-Cyrl-CS"/>
        </w:rPr>
        <w:t xml:space="preserve"> 2008. </w:t>
      </w:r>
      <w:r w:rsidR="00360BE9" w:rsidRPr="00D471F9">
        <w:rPr>
          <w:rFonts w:ascii="Times New Roman" w:hAnsi="Times New Roman"/>
          <w:sz w:val="24"/>
          <w:szCs w:val="24"/>
          <w:lang w:val="sr-Cyrl-CS"/>
        </w:rPr>
        <w:t>године</w:t>
      </w:r>
      <w:r w:rsidRPr="00D471F9">
        <w:rPr>
          <w:rFonts w:ascii="Times New Roman" w:hAnsi="Times New Roman"/>
          <w:sz w:val="24"/>
          <w:szCs w:val="24"/>
          <w:lang w:val="sr-Cyrl-CS"/>
        </w:rPr>
        <w:t xml:space="preserve">); </w:t>
      </w:r>
    </w:p>
    <w:p w:rsidR="00C76589" w:rsidRPr="00D471F9" w:rsidRDefault="00127366" w:rsidP="00D471F9">
      <w:pPr>
        <w:jc w:val="both"/>
        <w:rPr>
          <w:rFonts w:ascii="Times New Roman" w:hAnsi="Times New Roman"/>
          <w:sz w:val="24"/>
          <w:szCs w:val="24"/>
          <w:lang w:val="sr-Cyrl-CS"/>
        </w:rPr>
      </w:pP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Кривичноправна</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конвенција</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Савета</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Европе</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о</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корупцији</w:t>
      </w:r>
      <w:r w:rsidR="00CD119D" w:rsidRPr="00D471F9">
        <w:rPr>
          <w:rFonts w:ascii="Times New Roman" w:hAnsi="Times New Roman"/>
          <w:sz w:val="24"/>
          <w:szCs w:val="24"/>
          <w:lang w:val="sr-Cyrl-CS"/>
        </w:rPr>
        <w:t>,</w:t>
      </w:r>
      <w:r w:rsidR="00CD119D" w:rsidRPr="00D471F9">
        <w:rPr>
          <w:rStyle w:val="FootnoteReference"/>
          <w:rFonts w:ascii="Times New Roman" w:hAnsi="Times New Roman"/>
          <w:sz w:val="24"/>
          <w:szCs w:val="24"/>
          <w:lang w:val="sr-Cyrl-CS"/>
        </w:rPr>
        <w:footnoteReference w:id="917"/>
      </w:r>
      <w:r w:rsidR="00CD119D" w:rsidRPr="00D471F9">
        <w:rPr>
          <w:rFonts w:ascii="Times New Roman" w:hAnsi="Times New Roman"/>
          <w:sz w:val="24"/>
          <w:szCs w:val="24"/>
          <w:lang w:val="sr-Cyrl-CS"/>
        </w:rPr>
        <w:t xml:space="preserve"> </w:t>
      </w:r>
    </w:p>
    <w:p w:rsidR="00C76589" w:rsidRPr="00D471F9" w:rsidRDefault="00127366" w:rsidP="00D471F9">
      <w:pPr>
        <w:jc w:val="both"/>
        <w:rPr>
          <w:rFonts w:ascii="Times New Roman" w:hAnsi="Times New Roman"/>
          <w:sz w:val="24"/>
          <w:szCs w:val="24"/>
          <w:lang w:val="sr-Cyrl-CS"/>
        </w:rPr>
      </w:pPr>
      <w:r w:rsidRPr="00D471F9">
        <w:rPr>
          <w:rFonts w:ascii="Times New Roman" w:hAnsi="Times New Roman"/>
          <w:sz w:val="24"/>
          <w:szCs w:val="24"/>
          <w:lang w:val="sr-Cyrl-CS"/>
        </w:rPr>
        <w:t>-</w:t>
      </w:r>
      <w:r w:rsidR="00360BE9" w:rsidRPr="00D471F9">
        <w:rPr>
          <w:rFonts w:ascii="Times New Roman" w:hAnsi="Times New Roman"/>
          <w:sz w:val="24"/>
          <w:szCs w:val="24"/>
          <w:lang w:val="sr-Cyrl-CS"/>
        </w:rPr>
        <w:t>Додатни</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протокол</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уз</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Кривичноправну</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конвенцију</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о</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корупцији</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ратификован</w:t>
      </w:r>
      <w:r w:rsidRPr="00D471F9">
        <w:rPr>
          <w:rFonts w:ascii="Times New Roman" w:hAnsi="Times New Roman"/>
          <w:sz w:val="24"/>
          <w:szCs w:val="24"/>
          <w:lang w:val="sr-Cyrl-CS"/>
        </w:rPr>
        <w:t xml:space="preserve"> 9. </w:t>
      </w:r>
      <w:r w:rsidR="00360BE9" w:rsidRPr="00D471F9">
        <w:rPr>
          <w:rFonts w:ascii="Times New Roman" w:hAnsi="Times New Roman"/>
          <w:sz w:val="24"/>
          <w:szCs w:val="24"/>
          <w:lang w:val="sr-Cyrl-CS"/>
        </w:rPr>
        <w:t>јануара</w:t>
      </w:r>
      <w:r w:rsidRPr="00D471F9">
        <w:rPr>
          <w:rFonts w:ascii="Times New Roman" w:hAnsi="Times New Roman"/>
          <w:sz w:val="24"/>
          <w:szCs w:val="24"/>
          <w:lang w:val="sr-Cyrl-CS"/>
        </w:rPr>
        <w:t xml:space="preserve"> 2008. </w:t>
      </w:r>
      <w:r w:rsidR="00360BE9" w:rsidRPr="00D471F9">
        <w:rPr>
          <w:rFonts w:ascii="Times New Roman" w:hAnsi="Times New Roman"/>
          <w:sz w:val="24"/>
          <w:szCs w:val="24"/>
          <w:lang w:val="sr-Cyrl-CS"/>
        </w:rPr>
        <w:t>и</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ступио</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на</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снагу</w:t>
      </w:r>
      <w:r w:rsidRPr="00D471F9">
        <w:rPr>
          <w:rFonts w:ascii="Times New Roman" w:hAnsi="Times New Roman"/>
          <w:sz w:val="24"/>
          <w:szCs w:val="24"/>
          <w:lang w:val="sr-Cyrl-CS"/>
        </w:rPr>
        <w:t xml:space="preserve"> 1. </w:t>
      </w:r>
      <w:r w:rsidR="00360BE9" w:rsidRPr="00D471F9">
        <w:rPr>
          <w:rFonts w:ascii="Times New Roman" w:hAnsi="Times New Roman"/>
          <w:sz w:val="24"/>
          <w:szCs w:val="24"/>
          <w:lang w:val="sr-Cyrl-CS"/>
        </w:rPr>
        <w:t>маја</w:t>
      </w:r>
      <w:r w:rsidRPr="00D471F9">
        <w:rPr>
          <w:rFonts w:ascii="Times New Roman" w:hAnsi="Times New Roman"/>
          <w:sz w:val="24"/>
          <w:szCs w:val="24"/>
          <w:lang w:val="sr-Cyrl-CS"/>
        </w:rPr>
        <w:t xml:space="preserve"> 2008. </w:t>
      </w:r>
      <w:r w:rsidR="00360BE9" w:rsidRPr="00D471F9">
        <w:rPr>
          <w:rFonts w:ascii="Times New Roman" w:hAnsi="Times New Roman"/>
          <w:sz w:val="24"/>
          <w:szCs w:val="24"/>
          <w:lang w:val="sr-Cyrl-CS"/>
        </w:rPr>
        <w:t>године</w:t>
      </w:r>
      <w:r w:rsidRPr="00D471F9">
        <w:rPr>
          <w:rFonts w:ascii="Times New Roman" w:hAnsi="Times New Roman"/>
          <w:sz w:val="24"/>
          <w:szCs w:val="24"/>
          <w:lang w:val="sr-Cyrl-CS"/>
        </w:rPr>
        <w:t xml:space="preserve">); </w:t>
      </w:r>
    </w:p>
    <w:p w:rsidR="00C76589" w:rsidRPr="00D471F9" w:rsidRDefault="00E95EEA" w:rsidP="00D471F9">
      <w:pPr>
        <w:ind w:firstLine="708"/>
        <w:jc w:val="both"/>
        <w:rPr>
          <w:rFonts w:ascii="Times New Roman" w:hAnsi="Times New Roman"/>
          <w:sz w:val="24"/>
          <w:szCs w:val="24"/>
          <w:lang w:val="sr-Cyrl-CS"/>
        </w:rPr>
      </w:pPr>
      <w:r w:rsidRPr="00D471F9">
        <w:rPr>
          <w:rFonts w:ascii="Times New Roman" w:hAnsi="Times New Roman"/>
          <w:sz w:val="24"/>
          <w:szCs w:val="24"/>
          <w:lang w:val="sr-Cyrl-CS"/>
        </w:rPr>
        <w:t xml:space="preserve">У периоду </w:t>
      </w:r>
      <w:r w:rsidR="00360BE9" w:rsidRPr="00D471F9">
        <w:rPr>
          <w:rFonts w:ascii="Times New Roman" w:hAnsi="Times New Roman"/>
          <w:sz w:val="24"/>
          <w:szCs w:val="24"/>
          <w:lang w:val="sr-Cyrl-CS"/>
        </w:rPr>
        <w:t>од</w:t>
      </w:r>
      <w:r w:rsidR="00C76589" w:rsidRPr="00D471F9">
        <w:rPr>
          <w:rFonts w:ascii="Times New Roman" w:hAnsi="Times New Roman"/>
          <w:sz w:val="24"/>
          <w:szCs w:val="24"/>
          <w:lang w:val="sr-Cyrl-CS"/>
        </w:rPr>
        <w:t xml:space="preserve"> 2008. </w:t>
      </w:r>
      <w:r w:rsidR="00360BE9" w:rsidRPr="00D471F9">
        <w:rPr>
          <w:rFonts w:ascii="Times New Roman" w:hAnsi="Times New Roman"/>
          <w:sz w:val="24"/>
          <w:szCs w:val="24"/>
          <w:lang w:val="sr-Cyrl-CS"/>
        </w:rPr>
        <w:t>до</w:t>
      </w:r>
      <w:r w:rsidR="00C76589" w:rsidRPr="00D471F9">
        <w:rPr>
          <w:rFonts w:ascii="Times New Roman" w:hAnsi="Times New Roman"/>
          <w:sz w:val="24"/>
          <w:szCs w:val="24"/>
          <w:lang w:val="sr-Cyrl-CS"/>
        </w:rPr>
        <w:t xml:space="preserve"> 2012. </w:t>
      </w:r>
      <w:r w:rsidR="00360BE9" w:rsidRPr="00D471F9">
        <w:rPr>
          <w:rFonts w:ascii="Times New Roman" w:hAnsi="Times New Roman"/>
          <w:sz w:val="24"/>
          <w:szCs w:val="24"/>
          <w:lang w:val="sr-Cyrl-CS"/>
        </w:rPr>
        <w:t>године</w:t>
      </w:r>
      <w:r w:rsidR="00C76589"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у</w:t>
      </w:r>
      <w:r w:rsidR="00C76589"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Србији</w:t>
      </w:r>
      <w:r w:rsidR="00C76589"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су</w:t>
      </w:r>
      <w:r w:rsidR="00C76589"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донети</w:t>
      </w:r>
      <w:r w:rsidR="00C76589"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неки</w:t>
      </w:r>
      <w:r w:rsidR="00C76589"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важни</w:t>
      </w:r>
      <w:r w:rsidR="00C76589"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закони</w:t>
      </w:r>
      <w:r w:rsidR="00C76589"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којима</w:t>
      </w:r>
      <w:r w:rsidR="00C76589"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је</w:t>
      </w:r>
      <w:r w:rsidR="00C76589"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циљ</w:t>
      </w:r>
      <w:r w:rsidR="00200DD5" w:rsidRPr="00D471F9">
        <w:rPr>
          <w:rFonts w:ascii="Times New Roman" w:hAnsi="Times New Roman"/>
          <w:sz w:val="24"/>
          <w:szCs w:val="24"/>
          <w:lang w:val="sr-Cyrl-CS"/>
        </w:rPr>
        <w:t>, између осталог,</w:t>
      </w:r>
      <w:r w:rsidR="00C76589"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спречавање</w:t>
      </w:r>
      <w:r w:rsidR="00C76589"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корупције</w:t>
      </w:r>
      <w:r w:rsidR="00C76589"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и</w:t>
      </w:r>
      <w:r w:rsidR="00C76589"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борба</w:t>
      </w:r>
      <w:r w:rsidR="00C76589"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против</w:t>
      </w:r>
      <w:r w:rsidR="00C76589"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ње</w:t>
      </w:r>
      <w:r w:rsidRPr="00D471F9">
        <w:rPr>
          <w:rFonts w:ascii="Times New Roman" w:hAnsi="Times New Roman"/>
          <w:sz w:val="24"/>
          <w:szCs w:val="24"/>
          <w:lang w:val="sr-Cyrl-CS"/>
        </w:rPr>
        <w:t xml:space="preserve">, као и против  </w:t>
      </w:r>
      <w:r w:rsidR="00360BE9" w:rsidRPr="00D471F9">
        <w:rPr>
          <w:rFonts w:ascii="Times New Roman" w:hAnsi="Times New Roman"/>
          <w:sz w:val="24"/>
          <w:szCs w:val="24"/>
          <w:lang w:val="sr-Cyrl-CS"/>
        </w:rPr>
        <w:t>привредног</w:t>
      </w:r>
      <w:r w:rsidR="00C76589"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криминала</w:t>
      </w:r>
      <w:r w:rsidR="00C76589"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То</w:t>
      </w:r>
      <w:r w:rsidR="00C76589"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су</w:t>
      </w:r>
      <w:r w:rsidR="00C76589"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пре</w:t>
      </w:r>
      <w:r w:rsidR="00C76589"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свега</w:t>
      </w:r>
      <w:r w:rsidR="00C76589"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следећи</w:t>
      </w:r>
      <w:r w:rsidR="00C76589"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закони</w:t>
      </w:r>
      <w:r w:rsidR="00C76589" w:rsidRPr="00D471F9">
        <w:rPr>
          <w:rFonts w:ascii="Times New Roman" w:hAnsi="Times New Roman"/>
          <w:sz w:val="24"/>
          <w:szCs w:val="24"/>
          <w:lang w:val="sr-Cyrl-CS"/>
        </w:rPr>
        <w:t xml:space="preserve">: </w:t>
      </w:r>
    </w:p>
    <w:p w:rsidR="00C76589" w:rsidRPr="00D471F9" w:rsidRDefault="00C76589" w:rsidP="00D471F9">
      <w:pPr>
        <w:jc w:val="both"/>
        <w:rPr>
          <w:rFonts w:ascii="Times New Roman" w:hAnsi="Times New Roman"/>
          <w:sz w:val="24"/>
          <w:szCs w:val="24"/>
          <w:lang w:val="sr-Cyrl-CS"/>
        </w:rPr>
      </w:pP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Закон</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о</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одузимању</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имовине</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проистекле</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из</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кривичног</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дела</w:t>
      </w:r>
      <w:r w:rsidRPr="00D471F9">
        <w:rPr>
          <w:rFonts w:ascii="Times New Roman" w:hAnsi="Times New Roman"/>
          <w:sz w:val="24"/>
          <w:szCs w:val="24"/>
          <w:lang w:val="sr-Cyrl-CS"/>
        </w:rPr>
        <w:t xml:space="preserve">; </w:t>
      </w:r>
    </w:p>
    <w:p w:rsidR="00C76589" w:rsidRPr="00D471F9" w:rsidRDefault="00C76589" w:rsidP="00D471F9">
      <w:pPr>
        <w:jc w:val="both"/>
        <w:rPr>
          <w:rFonts w:ascii="Times New Roman" w:hAnsi="Times New Roman"/>
          <w:sz w:val="24"/>
          <w:szCs w:val="24"/>
          <w:lang w:val="sr-Cyrl-CS"/>
        </w:rPr>
      </w:pP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Закон</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о</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одговорности</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правних</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лица</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за</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кривична</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дела</w:t>
      </w:r>
      <w:r w:rsidRPr="00D471F9">
        <w:rPr>
          <w:rFonts w:ascii="Times New Roman" w:hAnsi="Times New Roman"/>
          <w:sz w:val="24"/>
          <w:szCs w:val="24"/>
          <w:lang w:val="sr-Cyrl-CS"/>
        </w:rPr>
        <w:t xml:space="preserve">; </w:t>
      </w:r>
    </w:p>
    <w:p w:rsidR="00C76589" w:rsidRPr="00D471F9" w:rsidRDefault="00C76589" w:rsidP="00D471F9">
      <w:pPr>
        <w:jc w:val="both"/>
        <w:rPr>
          <w:rFonts w:ascii="Times New Roman" w:hAnsi="Times New Roman"/>
          <w:sz w:val="24"/>
          <w:szCs w:val="24"/>
          <w:lang w:val="sr-Cyrl-CS"/>
        </w:rPr>
      </w:pP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Закон</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о</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Правосудној</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академији</w:t>
      </w:r>
      <w:r w:rsidRPr="00D471F9">
        <w:rPr>
          <w:rFonts w:ascii="Times New Roman" w:hAnsi="Times New Roman"/>
          <w:sz w:val="24"/>
          <w:szCs w:val="24"/>
          <w:lang w:val="sr-Cyrl-CS"/>
        </w:rPr>
        <w:t xml:space="preserve">; </w:t>
      </w:r>
    </w:p>
    <w:p w:rsidR="00C76589" w:rsidRPr="00D471F9" w:rsidRDefault="00C76589" w:rsidP="00D471F9">
      <w:pPr>
        <w:jc w:val="both"/>
        <w:rPr>
          <w:rFonts w:ascii="Times New Roman" w:hAnsi="Times New Roman"/>
          <w:sz w:val="24"/>
          <w:szCs w:val="24"/>
          <w:lang w:val="sr-Cyrl-CS"/>
        </w:rPr>
      </w:pP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Законик</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о</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кривичном</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поступку</w:t>
      </w:r>
      <w:r w:rsidRPr="00D471F9">
        <w:rPr>
          <w:rFonts w:ascii="Times New Roman" w:hAnsi="Times New Roman"/>
          <w:sz w:val="24"/>
          <w:szCs w:val="24"/>
          <w:lang w:val="sr-Cyrl-CS"/>
        </w:rPr>
        <w:t xml:space="preserve">; </w:t>
      </w:r>
    </w:p>
    <w:p w:rsidR="00C76589" w:rsidRPr="00D471F9" w:rsidRDefault="00C76589" w:rsidP="00D471F9">
      <w:pPr>
        <w:jc w:val="both"/>
        <w:rPr>
          <w:rFonts w:ascii="Times New Roman" w:hAnsi="Times New Roman"/>
          <w:sz w:val="24"/>
          <w:szCs w:val="24"/>
          <w:lang w:val="sr-Cyrl-CS"/>
        </w:rPr>
      </w:pP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Законик</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о</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парничном</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поступку</w:t>
      </w:r>
      <w:r w:rsidRPr="00D471F9">
        <w:rPr>
          <w:rFonts w:ascii="Times New Roman" w:hAnsi="Times New Roman"/>
          <w:sz w:val="24"/>
          <w:szCs w:val="24"/>
          <w:lang w:val="sr-Cyrl-CS"/>
        </w:rPr>
        <w:t xml:space="preserve">;   </w:t>
      </w:r>
    </w:p>
    <w:p w:rsidR="00C76589" w:rsidRPr="00D471F9" w:rsidRDefault="00C76589" w:rsidP="00D471F9">
      <w:pPr>
        <w:jc w:val="both"/>
        <w:rPr>
          <w:rFonts w:ascii="Times New Roman" w:hAnsi="Times New Roman"/>
          <w:sz w:val="24"/>
          <w:szCs w:val="24"/>
          <w:lang w:val="sr-Cyrl-CS"/>
        </w:rPr>
      </w:pP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Закон</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о</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спречавању</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прања</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новца</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и</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финансирања</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тероризма</w:t>
      </w:r>
      <w:r w:rsidRPr="00D471F9">
        <w:rPr>
          <w:rFonts w:ascii="Times New Roman" w:hAnsi="Times New Roman"/>
          <w:sz w:val="24"/>
          <w:szCs w:val="24"/>
          <w:lang w:val="sr-Cyrl-CS"/>
        </w:rPr>
        <w:t xml:space="preserve">; </w:t>
      </w:r>
    </w:p>
    <w:p w:rsidR="00C76589" w:rsidRPr="00D471F9" w:rsidRDefault="00C76589" w:rsidP="00D471F9">
      <w:pPr>
        <w:jc w:val="both"/>
        <w:rPr>
          <w:rFonts w:ascii="Times New Roman" w:hAnsi="Times New Roman"/>
          <w:sz w:val="24"/>
          <w:szCs w:val="24"/>
          <w:lang w:val="sr-Cyrl-CS"/>
        </w:rPr>
      </w:pP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Закон</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о</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финансирању</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политичких</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активности</w:t>
      </w:r>
      <w:r w:rsidRPr="00D471F9">
        <w:rPr>
          <w:rFonts w:ascii="Times New Roman" w:hAnsi="Times New Roman"/>
          <w:sz w:val="24"/>
          <w:szCs w:val="24"/>
          <w:lang w:val="sr-Cyrl-CS"/>
        </w:rPr>
        <w:t xml:space="preserve">; </w:t>
      </w:r>
    </w:p>
    <w:p w:rsidR="00C76589" w:rsidRPr="00D471F9" w:rsidRDefault="00C76589" w:rsidP="00D471F9">
      <w:pPr>
        <w:jc w:val="both"/>
        <w:rPr>
          <w:rFonts w:ascii="Times New Roman" w:hAnsi="Times New Roman"/>
          <w:sz w:val="24"/>
          <w:szCs w:val="24"/>
          <w:lang w:val="sr-Cyrl-CS"/>
        </w:rPr>
      </w:pP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Закон</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о</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изменама</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и</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допунама</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Кривичног</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законика</w:t>
      </w:r>
      <w:r w:rsidRPr="00D471F9">
        <w:rPr>
          <w:rFonts w:ascii="Times New Roman" w:hAnsi="Times New Roman"/>
          <w:sz w:val="24"/>
          <w:szCs w:val="24"/>
          <w:lang w:val="sr-Cyrl-CS"/>
        </w:rPr>
        <w:t xml:space="preserve">; </w:t>
      </w:r>
    </w:p>
    <w:p w:rsidR="00C76589" w:rsidRPr="00D471F9" w:rsidRDefault="00C76589" w:rsidP="00D471F9">
      <w:pPr>
        <w:jc w:val="both"/>
        <w:rPr>
          <w:rFonts w:ascii="Times New Roman" w:hAnsi="Times New Roman"/>
          <w:sz w:val="24"/>
          <w:szCs w:val="24"/>
          <w:lang w:val="sr-Cyrl-CS"/>
        </w:rPr>
      </w:pP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Закон</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о</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јавним</w:t>
      </w:r>
      <w:r w:rsidRPr="00D471F9">
        <w:rPr>
          <w:rFonts w:ascii="Times New Roman" w:hAnsi="Times New Roman"/>
          <w:sz w:val="24"/>
          <w:szCs w:val="24"/>
          <w:lang w:val="sr-Cyrl-CS"/>
        </w:rPr>
        <w:t xml:space="preserve"> </w:t>
      </w:r>
      <w:r w:rsidR="00360BE9" w:rsidRPr="00D471F9">
        <w:rPr>
          <w:rFonts w:ascii="Times New Roman" w:hAnsi="Times New Roman"/>
          <w:sz w:val="24"/>
          <w:szCs w:val="24"/>
          <w:lang w:val="sr-Cyrl-CS"/>
        </w:rPr>
        <w:t>набавкама</w:t>
      </w:r>
      <w:r w:rsidRPr="00D471F9">
        <w:rPr>
          <w:rFonts w:ascii="Times New Roman" w:hAnsi="Times New Roman"/>
          <w:sz w:val="24"/>
          <w:szCs w:val="24"/>
          <w:lang w:val="sr-Cyrl-CS"/>
        </w:rPr>
        <w:t xml:space="preserve">. </w:t>
      </w:r>
      <w:r w:rsidRPr="00D471F9">
        <w:rPr>
          <w:rFonts w:ascii="Times New Roman" w:hAnsi="Times New Roman"/>
          <w:sz w:val="24"/>
          <w:szCs w:val="24"/>
          <w:lang w:val="sr-Cyrl-CS"/>
        </w:rPr>
        <w:cr/>
      </w:r>
    </w:p>
    <w:p w:rsidR="00BC0CF4" w:rsidRPr="00D471F9" w:rsidRDefault="00113B40" w:rsidP="00D471F9">
      <w:pPr>
        <w:ind w:firstLine="708"/>
        <w:jc w:val="both"/>
        <w:rPr>
          <w:rFonts w:ascii="Times New Roman" w:hAnsi="Times New Roman"/>
          <w:sz w:val="24"/>
          <w:szCs w:val="24"/>
          <w:lang w:val="sr-Cyrl-CS"/>
        </w:rPr>
      </w:pPr>
      <w:r w:rsidRPr="00D471F9">
        <w:rPr>
          <w:rFonts w:ascii="Times New Roman" w:hAnsi="Times New Roman"/>
          <w:sz w:val="24"/>
          <w:szCs w:val="24"/>
        </w:rPr>
        <w:t xml:space="preserve">У </w:t>
      </w:r>
      <w:r w:rsidR="001C6EC8">
        <w:rPr>
          <w:rFonts w:ascii="Times New Roman" w:hAnsi="Times New Roman"/>
          <w:sz w:val="24"/>
          <w:szCs w:val="24"/>
          <w:lang w:val="sr-Cyrl-CS"/>
        </w:rPr>
        <w:t xml:space="preserve">домену </w:t>
      </w:r>
      <w:r w:rsidRPr="00D471F9">
        <w:rPr>
          <w:rFonts w:ascii="Times New Roman" w:hAnsi="Times New Roman"/>
          <w:sz w:val="24"/>
          <w:szCs w:val="24"/>
        </w:rPr>
        <w:t>зако</w:t>
      </w:r>
      <w:r w:rsidRPr="00D471F9">
        <w:rPr>
          <w:rFonts w:ascii="Times New Roman" w:hAnsi="Times New Roman"/>
          <w:sz w:val="24"/>
          <w:szCs w:val="24"/>
          <w:lang w:val="sr-Cyrl-CS"/>
        </w:rPr>
        <w:t>нс</w:t>
      </w:r>
      <w:r w:rsidR="001C6EC8">
        <w:rPr>
          <w:rFonts w:ascii="Times New Roman" w:hAnsi="Times New Roman"/>
          <w:sz w:val="24"/>
          <w:szCs w:val="24"/>
        </w:rPr>
        <w:t>к</w:t>
      </w:r>
      <w:r w:rsidR="001C6EC8">
        <w:rPr>
          <w:rFonts w:ascii="Times New Roman" w:hAnsi="Times New Roman"/>
          <w:sz w:val="24"/>
          <w:szCs w:val="24"/>
          <w:lang w:val="sr-Cyrl-CS"/>
        </w:rPr>
        <w:t>е</w:t>
      </w:r>
      <w:r w:rsidR="001C6EC8">
        <w:rPr>
          <w:rFonts w:ascii="Times New Roman" w:hAnsi="Times New Roman"/>
          <w:sz w:val="24"/>
          <w:szCs w:val="24"/>
        </w:rPr>
        <w:t xml:space="preserve"> регулатив</w:t>
      </w:r>
      <w:r w:rsidR="001C6EC8">
        <w:rPr>
          <w:rFonts w:ascii="Times New Roman" w:hAnsi="Times New Roman"/>
          <w:sz w:val="24"/>
          <w:szCs w:val="24"/>
          <w:lang w:val="sr-Cyrl-CS"/>
        </w:rPr>
        <w:t>е</w:t>
      </w:r>
      <w:r w:rsidR="006B440D" w:rsidRPr="00D471F9">
        <w:rPr>
          <w:rFonts w:ascii="Times New Roman" w:hAnsi="Times New Roman"/>
          <w:sz w:val="24"/>
          <w:szCs w:val="24"/>
        </w:rPr>
        <w:t xml:space="preserve"> </w:t>
      </w:r>
      <w:r w:rsidR="001C6EC8">
        <w:rPr>
          <w:rFonts w:ascii="Times New Roman" w:hAnsi="Times New Roman"/>
          <w:sz w:val="24"/>
          <w:szCs w:val="24"/>
          <w:lang w:val="sr-Cyrl-CS"/>
        </w:rPr>
        <w:t xml:space="preserve">најзначајније је </w:t>
      </w:r>
      <w:r w:rsidR="006B440D" w:rsidRPr="00D471F9">
        <w:rPr>
          <w:rFonts w:ascii="Times New Roman" w:hAnsi="Times New Roman"/>
          <w:sz w:val="24"/>
          <w:szCs w:val="24"/>
        </w:rPr>
        <w:t>извршити одговарајуће промене</w:t>
      </w:r>
      <w:r w:rsidR="001C6EC8">
        <w:rPr>
          <w:rFonts w:ascii="Times New Roman" w:hAnsi="Times New Roman"/>
          <w:sz w:val="24"/>
          <w:szCs w:val="24"/>
          <w:lang w:val="sr-Cyrl-CS"/>
        </w:rPr>
        <w:t xml:space="preserve"> јер с</w:t>
      </w:r>
      <w:r w:rsidRPr="00D471F9">
        <w:rPr>
          <w:rFonts w:ascii="Times New Roman" w:hAnsi="Times New Roman"/>
          <w:sz w:val="24"/>
          <w:szCs w:val="24"/>
          <w:lang w:val="sr-Cyrl-CS"/>
        </w:rPr>
        <w:t>адашње стање у погле</w:t>
      </w:r>
      <w:r w:rsidR="00200DD5" w:rsidRPr="00D471F9">
        <w:rPr>
          <w:rFonts w:ascii="Times New Roman" w:hAnsi="Times New Roman"/>
          <w:sz w:val="24"/>
          <w:szCs w:val="24"/>
          <w:lang w:val="sr-Cyrl-CS"/>
        </w:rPr>
        <w:t>ду откривања ових видова кримина</w:t>
      </w:r>
      <w:r w:rsidRPr="00D471F9">
        <w:rPr>
          <w:rFonts w:ascii="Times New Roman" w:hAnsi="Times New Roman"/>
          <w:sz w:val="24"/>
          <w:szCs w:val="24"/>
          <w:lang w:val="sr-Cyrl-CS"/>
        </w:rPr>
        <w:t xml:space="preserve">литета није задовољавајуће. </w:t>
      </w:r>
      <w:r w:rsidR="001C6EC8">
        <w:rPr>
          <w:rFonts w:ascii="Times New Roman" w:hAnsi="Times New Roman"/>
          <w:sz w:val="24"/>
          <w:szCs w:val="24"/>
          <w:lang w:val="sr-Cyrl-CS"/>
        </w:rPr>
        <w:t>За спречавање ових кривичних дела од великог је значаја е</w:t>
      </w:r>
      <w:r w:rsidRPr="00D471F9">
        <w:rPr>
          <w:rFonts w:ascii="Times New Roman" w:hAnsi="Times New Roman"/>
          <w:sz w:val="24"/>
          <w:szCs w:val="24"/>
          <w:lang w:val="sr-Cyrl-CS"/>
        </w:rPr>
        <w:t xml:space="preserve">фикасност </w:t>
      </w:r>
      <w:r w:rsidR="001C6EC8">
        <w:rPr>
          <w:rFonts w:ascii="Times New Roman" w:hAnsi="Times New Roman"/>
          <w:sz w:val="24"/>
          <w:szCs w:val="24"/>
          <w:lang w:val="sr-Cyrl-CS"/>
        </w:rPr>
        <w:t xml:space="preserve">њиховог откривања </w:t>
      </w:r>
      <w:r w:rsidRPr="00D471F9">
        <w:rPr>
          <w:rFonts w:ascii="Times New Roman" w:hAnsi="Times New Roman"/>
          <w:sz w:val="24"/>
          <w:szCs w:val="24"/>
          <w:lang w:val="sr-Cyrl-CS"/>
        </w:rPr>
        <w:t>јер потенцијални учинилац ових дела при дон</w:t>
      </w:r>
      <w:r w:rsidR="001C6EC8">
        <w:rPr>
          <w:rFonts w:ascii="Times New Roman" w:hAnsi="Times New Roman"/>
          <w:sz w:val="24"/>
          <w:szCs w:val="24"/>
          <w:lang w:val="sr-Cyrl-CS"/>
        </w:rPr>
        <w:t>ошењу одлуке за њихово извршење,</w:t>
      </w:r>
      <w:r w:rsidRPr="00D471F9">
        <w:rPr>
          <w:rFonts w:ascii="Times New Roman" w:hAnsi="Times New Roman"/>
          <w:sz w:val="24"/>
          <w:szCs w:val="24"/>
          <w:lang w:val="sr-Cyrl-CS"/>
        </w:rPr>
        <w:t xml:space="preserve"> осим </w:t>
      </w:r>
      <w:r w:rsidR="00331FB6">
        <w:rPr>
          <w:rFonts w:ascii="Times New Roman" w:hAnsi="Times New Roman"/>
          <w:sz w:val="24"/>
          <w:szCs w:val="24"/>
          <w:lang w:val="sr-Cyrl-CS"/>
        </w:rPr>
        <w:t xml:space="preserve">од </w:t>
      </w:r>
      <w:r w:rsidRPr="00D471F9">
        <w:rPr>
          <w:rFonts w:ascii="Times New Roman" w:hAnsi="Times New Roman"/>
          <w:sz w:val="24"/>
          <w:szCs w:val="24"/>
          <w:lang w:val="sr-Cyrl-CS"/>
        </w:rPr>
        <w:t xml:space="preserve">висине казне која му може бити изречена, полази од вероватноће да ли ће бити откривен. </w:t>
      </w:r>
      <w:r w:rsidR="001C6EC8">
        <w:rPr>
          <w:rFonts w:ascii="Times New Roman" w:hAnsi="Times New Roman"/>
          <w:sz w:val="24"/>
          <w:szCs w:val="24"/>
          <w:lang w:val="sr-Cyrl-CS"/>
        </w:rPr>
        <w:t>Према томе, в</w:t>
      </w:r>
      <w:r w:rsidRPr="00D471F9">
        <w:rPr>
          <w:rFonts w:ascii="Times New Roman" w:hAnsi="Times New Roman"/>
          <w:sz w:val="24"/>
          <w:szCs w:val="24"/>
          <w:lang w:val="sr-Cyrl-CS"/>
        </w:rPr>
        <w:t xml:space="preserve">исоке казне не могу </w:t>
      </w:r>
      <w:r w:rsidR="001C6EC8">
        <w:rPr>
          <w:rFonts w:ascii="Times New Roman" w:hAnsi="Times New Roman"/>
          <w:sz w:val="24"/>
          <w:szCs w:val="24"/>
          <w:lang w:val="sr-Cyrl-CS"/>
        </w:rPr>
        <w:t>дати очекиване резултате</w:t>
      </w:r>
      <w:r w:rsidRPr="00D471F9">
        <w:rPr>
          <w:rFonts w:ascii="Times New Roman" w:hAnsi="Times New Roman"/>
          <w:sz w:val="24"/>
          <w:szCs w:val="24"/>
          <w:lang w:val="sr-Cyrl-CS"/>
        </w:rPr>
        <w:t xml:space="preserve"> ако вероватноћа откри</w:t>
      </w:r>
      <w:r w:rsidR="001C6EC8">
        <w:rPr>
          <w:rFonts w:ascii="Times New Roman" w:hAnsi="Times New Roman"/>
          <w:sz w:val="24"/>
          <w:szCs w:val="24"/>
          <w:lang w:val="sr-Cyrl-CS"/>
        </w:rPr>
        <w:t>вања кривичног дела није велика.</w:t>
      </w:r>
      <w:r w:rsidRPr="00D471F9">
        <w:rPr>
          <w:rFonts w:ascii="Times New Roman" w:hAnsi="Times New Roman"/>
          <w:sz w:val="24"/>
          <w:szCs w:val="24"/>
          <w:lang w:val="sr-Cyrl-CS"/>
        </w:rPr>
        <w:t xml:space="preserve"> </w:t>
      </w:r>
      <w:r w:rsidR="001C6EC8">
        <w:rPr>
          <w:rFonts w:ascii="Times New Roman" w:hAnsi="Times New Roman"/>
          <w:sz w:val="24"/>
          <w:szCs w:val="24"/>
          <w:lang w:val="sr-Cyrl-CS"/>
        </w:rPr>
        <w:t>Због тога је неопходно</w:t>
      </w:r>
      <w:r w:rsidRPr="00D471F9">
        <w:rPr>
          <w:rFonts w:ascii="Times New Roman" w:hAnsi="Times New Roman"/>
          <w:sz w:val="24"/>
          <w:szCs w:val="24"/>
          <w:lang w:val="sr-Cyrl-CS"/>
        </w:rPr>
        <w:t xml:space="preserve"> интензивирање рада надлежних органа преко обезбеђивања стручних кадрова, награђивања, непредовања у служби као </w:t>
      </w:r>
      <w:r w:rsidR="00B86A74" w:rsidRPr="00D471F9">
        <w:rPr>
          <w:rFonts w:ascii="Times New Roman" w:hAnsi="Times New Roman"/>
          <w:sz w:val="24"/>
          <w:szCs w:val="24"/>
          <w:lang w:val="sr-Cyrl-CS"/>
        </w:rPr>
        <w:t xml:space="preserve">и </w:t>
      </w:r>
      <w:r w:rsidRPr="00D471F9">
        <w:rPr>
          <w:rFonts w:ascii="Times New Roman" w:hAnsi="Times New Roman"/>
          <w:sz w:val="24"/>
          <w:szCs w:val="24"/>
          <w:lang w:val="sr-Cyrl-CS"/>
        </w:rPr>
        <w:t xml:space="preserve">решавање материјалног положаја запослених. </w:t>
      </w:r>
      <w:r w:rsidR="001C6EC8">
        <w:rPr>
          <w:rFonts w:ascii="Times New Roman" w:hAnsi="Times New Roman"/>
          <w:sz w:val="24"/>
          <w:szCs w:val="24"/>
          <w:lang w:val="sr-Cyrl-CS"/>
        </w:rPr>
        <w:t>Неопходно је обезбедити</w:t>
      </w:r>
      <w:r w:rsidRPr="00D471F9">
        <w:rPr>
          <w:rFonts w:ascii="Times New Roman" w:hAnsi="Times New Roman"/>
          <w:sz w:val="24"/>
          <w:szCs w:val="24"/>
          <w:lang w:val="sr-Cyrl-CS"/>
        </w:rPr>
        <w:t xml:space="preserve"> и сталну контролу рада органа на откривању и сузбијању ових кривичних дела, чиме ће </w:t>
      </w:r>
      <w:r w:rsidR="001C6EC8">
        <w:rPr>
          <w:rFonts w:ascii="Times New Roman" w:hAnsi="Times New Roman"/>
          <w:sz w:val="24"/>
          <w:szCs w:val="24"/>
          <w:lang w:val="sr-Cyrl-CS"/>
        </w:rPr>
        <w:t>квалитет и законитост њиховог рада бити боља.</w:t>
      </w:r>
      <w:r w:rsidRPr="00D471F9">
        <w:rPr>
          <w:rStyle w:val="FootnoteReference"/>
          <w:rFonts w:ascii="Times New Roman" w:hAnsi="Times New Roman"/>
          <w:sz w:val="24"/>
          <w:szCs w:val="24"/>
          <w:lang w:val="sr-Cyrl-CS"/>
        </w:rPr>
        <w:footnoteReference w:id="918"/>
      </w:r>
      <w:r w:rsidR="00E95EEA" w:rsidRPr="00D471F9">
        <w:rPr>
          <w:rFonts w:ascii="Times New Roman" w:hAnsi="Times New Roman"/>
          <w:sz w:val="24"/>
          <w:szCs w:val="24"/>
          <w:lang w:val="sr-Cyrl-CS"/>
        </w:rPr>
        <w:t xml:space="preserve"> </w:t>
      </w:r>
    </w:p>
    <w:p w:rsidR="00801D93" w:rsidRPr="00D471F9" w:rsidRDefault="00360BE9" w:rsidP="00D471F9">
      <w:pPr>
        <w:pStyle w:val="NormalWeb"/>
        <w:shd w:val="clear" w:color="auto" w:fill="FFFFFF"/>
        <w:spacing w:before="0" w:beforeAutospacing="0" w:after="150" w:afterAutospacing="0"/>
        <w:ind w:firstLine="630"/>
        <w:jc w:val="both"/>
        <w:textAlignment w:val="baseline"/>
        <w:rPr>
          <w:b/>
          <w:color w:val="000000"/>
          <w:lang w:val="sr-Cyrl-CS"/>
        </w:rPr>
      </w:pPr>
      <w:r w:rsidRPr="00D471F9">
        <w:rPr>
          <w:rStyle w:val="Strong"/>
          <w:b w:val="0"/>
          <w:color w:val="000000"/>
          <w:shd w:val="clear" w:color="auto" w:fill="FFFFFF"/>
        </w:rPr>
        <w:lastRenderedPageBreak/>
        <w:t>Међу</w:t>
      </w:r>
      <w:r w:rsidR="00801D93" w:rsidRPr="00D471F9">
        <w:rPr>
          <w:rStyle w:val="Strong"/>
          <w:b w:val="0"/>
          <w:color w:val="000000"/>
          <w:shd w:val="clear" w:color="auto" w:fill="FFFFFF"/>
        </w:rPr>
        <w:t xml:space="preserve"> </w:t>
      </w:r>
      <w:r w:rsidRPr="00D471F9">
        <w:rPr>
          <w:rStyle w:val="Strong"/>
          <w:b w:val="0"/>
          <w:color w:val="000000"/>
          <w:shd w:val="clear" w:color="auto" w:fill="FFFFFF"/>
        </w:rPr>
        <w:t>многим</w:t>
      </w:r>
      <w:r w:rsidR="00801D93" w:rsidRPr="00D471F9">
        <w:rPr>
          <w:rStyle w:val="Strong"/>
          <w:b w:val="0"/>
          <w:color w:val="000000"/>
          <w:shd w:val="clear" w:color="auto" w:fill="FFFFFF"/>
        </w:rPr>
        <w:t xml:space="preserve"> </w:t>
      </w:r>
      <w:r w:rsidRPr="00D471F9">
        <w:rPr>
          <w:rStyle w:val="Strong"/>
          <w:b w:val="0"/>
          <w:color w:val="000000"/>
          <w:shd w:val="clear" w:color="auto" w:fill="FFFFFF"/>
        </w:rPr>
        <w:t>условима</w:t>
      </w:r>
      <w:r w:rsidR="00801D93" w:rsidRPr="00D471F9">
        <w:rPr>
          <w:rStyle w:val="Strong"/>
          <w:b w:val="0"/>
          <w:color w:val="000000"/>
          <w:shd w:val="clear" w:color="auto" w:fill="FFFFFF"/>
        </w:rPr>
        <w:t xml:space="preserve"> </w:t>
      </w:r>
      <w:r w:rsidRPr="00D471F9">
        <w:rPr>
          <w:rStyle w:val="Strong"/>
          <w:b w:val="0"/>
          <w:color w:val="000000"/>
          <w:shd w:val="clear" w:color="auto" w:fill="FFFFFF"/>
        </w:rPr>
        <w:t>које</w:t>
      </w:r>
      <w:r w:rsidR="00801D93" w:rsidRPr="00D471F9">
        <w:rPr>
          <w:rStyle w:val="Strong"/>
          <w:b w:val="0"/>
          <w:color w:val="000000"/>
          <w:shd w:val="clear" w:color="auto" w:fill="FFFFFF"/>
        </w:rPr>
        <w:t xml:space="preserve"> </w:t>
      </w:r>
      <w:r w:rsidRPr="00D471F9">
        <w:rPr>
          <w:rStyle w:val="Strong"/>
          <w:b w:val="0"/>
          <w:color w:val="000000"/>
          <w:shd w:val="clear" w:color="auto" w:fill="FFFFFF"/>
        </w:rPr>
        <w:t>један</w:t>
      </w:r>
      <w:r w:rsidR="00801D93" w:rsidRPr="00D471F9">
        <w:rPr>
          <w:rStyle w:val="Strong"/>
          <w:b w:val="0"/>
          <w:color w:val="000000"/>
          <w:shd w:val="clear" w:color="auto" w:fill="FFFFFF"/>
        </w:rPr>
        <w:t xml:space="preserve"> </w:t>
      </w:r>
      <w:r w:rsidRPr="00D471F9">
        <w:rPr>
          <w:rStyle w:val="Strong"/>
          <w:b w:val="0"/>
          <w:color w:val="000000"/>
          <w:shd w:val="clear" w:color="auto" w:fill="FFFFFF"/>
        </w:rPr>
        <w:t>порески</w:t>
      </w:r>
      <w:r w:rsidR="00801D93" w:rsidRPr="00D471F9">
        <w:rPr>
          <w:rStyle w:val="Strong"/>
          <w:b w:val="0"/>
          <w:color w:val="000000"/>
          <w:shd w:val="clear" w:color="auto" w:fill="FFFFFF"/>
        </w:rPr>
        <w:t xml:space="preserve"> </w:t>
      </w:r>
      <w:r w:rsidRPr="00D471F9">
        <w:rPr>
          <w:rStyle w:val="Strong"/>
          <w:b w:val="0"/>
          <w:color w:val="000000"/>
          <w:shd w:val="clear" w:color="auto" w:fill="FFFFFF"/>
        </w:rPr>
        <w:t>систем</w:t>
      </w:r>
      <w:r w:rsidR="00801D93" w:rsidRPr="00D471F9">
        <w:rPr>
          <w:rStyle w:val="Strong"/>
          <w:b w:val="0"/>
          <w:color w:val="000000"/>
          <w:shd w:val="clear" w:color="auto" w:fill="FFFFFF"/>
        </w:rPr>
        <w:t xml:space="preserve"> </w:t>
      </w:r>
      <w:r w:rsidRPr="00D471F9">
        <w:rPr>
          <w:rStyle w:val="Strong"/>
          <w:b w:val="0"/>
          <w:color w:val="000000"/>
          <w:shd w:val="clear" w:color="auto" w:fill="FFFFFF"/>
        </w:rPr>
        <w:t>треба</w:t>
      </w:r>
      <w:r w:rsidR="00801D93" w:rsidRPr="00D471F9">
        <w:rPr>
          <w:rStyle w:val="Strong"/>
          <w:b w:val="0"/>
          <w:color w:val="000000"/>
          <w:shd w:val="clear" w:color="auto" w:fill="FFFFFF"/>
        </w:rPr>
        <w:t xml:space="preserve"> </w:t>
      </w:r>
      <w:r w:rsidRPr="00D471F9">
        <w:rPr>
          <w:rStyle w:val="Strong"/>
          <w:b w:val="0"/>
          <w:color w:val="000000"/>
          <w:shd w:val="clear" w:color="auto" w:fill="FFFFFF"/>
        </w:rPr>
        <w:t>да</w:t>
      </w:r>
      <w:r w:rsidR="00801D93" w:rsidRPr="00D471F9">
        <w:rPr>
          <w:rStyle w:val="Strong"/>
          <w:b w:val="0"/>
          <w:color w:val="000000"/>
          <w:shd w:val="clear" w:color="auto" w:fill="FFFFFF"/>
        </w:rPr>
        <w:t xml:space="preserve"> </w:t>
      </w:r>
      <w:r w:rsidRPr="00D471F9">
        <w:rPr>
          <w:rStyle w:val="Strong"/>
          <w:b w:val="0"/>
          <w:color w:val="000000"/>
          <w:shd w:val="clear" w:color="auto" w:fill="FFFFFF"/>
        </w:rPr>
        <w:t>испуни</w:t>
      </w:r>
      <w:r w:rsidR="00801D93" w:rsidRPr="00D471F9">
        <w:rPr>
          <w:rStyle w:val="Strong"/>
          <w:b w:val="0"/>
          <w:color w:val="000000"/>
          <w:shd w:val="clear" w:color="auto" w:fill="FFFFFF"/>
          <w:lang w:val="sr-Cyrl-CS"/>
        </w:rPr>
        <w:t xml:space="preserve"> спадају, пре свега, </w:t>
      </w:r>
      <w:r w:rsidRPr="00D471F9">
        <w:rPr>
          <w:rStyle w:val="Strong"/>
          <w:b w:val="0"/>
          <w:color w:val="000000"/>
          <w:shd w:val="clear" w:color="auto" w:fill="FFFFFF"/>
        </w:rPr>
        <w:t>да</w:t>
      </w:r>
      <w:r w:rsidR="00801D93" w:rsidRPr="00D471F9">
        <w:rPr>
          <w:rStyle w:val="Strong"/>
          <w:b w:val="0"/>
          <w:color w:val="000000"/>
          <w:shd w:val="clear" w:color="auto" w:fill="FFFFFF"/>
        </w:rPr>
        <w:t xml:space="preserve"> </w:t>
      </w:r>
      <w:r w:rsidRPr="00D471F9">
        <w:rPr>
          <w:rStyle w:val="Strong"/>
          <w:b w:val="0"/>
          <w:color w:val="000000"/>
          <w:shd w:val="clear" w:color="auto" w:fill="FFFFFF"/>
        </w:rPr>
        <w:t>буде</w:t>
      </w:r>
      <w:r w:rsidR="00801D93" w:rsidRPr="00D471F9">
        <w:rPr>
          <w:rStyle w:val="Strong"/>
          <w:b w:val="0"/>
          <w:color w:val="000000"/>
          <w:shd w:val="clear" w:color="auto" w:fill="FFFFFF"/>
        </w:rPr>
        <w:t xml:space="preserve"> </w:t>
      </w:r>
      <w:r w:rsidRPr="00D471F9">
        <w:rPr>
          <w:rStyle w:val="Strong"/>
          <w:b w:val="0"/>
          <w:color w:val="000000"/>
          <w:shd w:val="clear" w:color="auto" w:fill="FFFFFF"/>
        </w:rPr>
        <w:t>ефикасан</w:t>
      </w:r>
      <w:r w:rsidR="00801D93" w:rsidRPr="00D471F9">
        <w:rPr>
          <w:rStyle w:val="Strong"/>
          <w:b w:val="0"/>
          <w:color w:val="000000"/>
          <w:shd w:val="clear" w:color="auto" w:fill="FFFFFF"/>
        </w:rPr>
        <w:t xml:space="preserve">, </w:t>
      </w:r>
      <w:r w:rsidRPr="00D471F9">
        <w:rPr>
          <w:rStyle w:val="Strong"/>
          <w:b w:val="0"/>
          <w:color w:val="000000"/>
          <w:shd w:val="clear" w:color="auto" w:fill="FFFFFF"/>
        </w:rPr>
        <w:t>флексибилан</w:t>
      </w:r>
      <w:r w:rsidR="00801D93" w:rsidRPr="00D471F9">
        <w:rPr>
          <w:rStyle w:val="Strong"/>
          <w:b w:val="0"/>
          <w:color w:val="000000"/>
          <w:shd w:val="clear" w:color="auto" w:fill="FFFFFF"/>
        </w:rPr>
        <w:t xml:space="preserve">, </w:t>
      </w:r>
      <w:r w:rsidRPr="00D471F9">
        <w:rPr>
          <w:rStyle w:val="Strong"/>
          <w:b w:val="0"/>
          <w:color w:val="000000"/>
          <w:shd w:val="clear" w:color="auto" w:fill="FFFFFF"/>
        </w:rPr>
        <w:t>економичан</w:t>
      </w:r>
      <w:r w:rsidR="00801D93" w:rsidRPr="00D471F9">
        <w:rPr>
          <w:rStyle w:val="Strong"/>
          <w:b w:val="0"/>
          <w:color w:val="000000"/>
          <w:shd w:val="clear" w:color="auto" w:fill="FFFFFF"/>
        </w:rPr>
        <w:t xml:space="preserve"> </w:t>
      </w:r>
      <w:r w:rsidRPr="00D471F9">
        <w:rPr>
          <w:rStyle w:val="Strong"/>
          <w:b w:val="0"/>
          <w:color w:val="000000"/>
          <w:shd w:val="clear" w:color="auto" w:fill="FFFFFF"/>
        </w:rPr>
        <w:t>и</w:t>
      </w:r>
      <w:r w:rsidR="00801D93" w:rsidRPr="00D471F9">
        <w:rPr>
          <w:rStyle w:val="Strong"/>
          <w:b w:val="0"/>
          <w:color w:val="000000"/>
          <w:shd w:val="clear" w:color="auto" w:fill="FFFFFF"/>
        </w:rPr>
        <w:t xml:space="preserve"> </w:t>
      </w:r>
      <w:r w:rsidRPr="00D471F9">
        <w:rPr>
          <w:rStyle w:val="Strong"/>
          <w:b w:val="0"/>
          <w:color w:val="000000"/>
          <w:shd w:val="clear" w:color="auto" w:fill="FFFFFF"/>
        </w:rPr>
        <w:t>транспаретан</w:t>
      </w:r>
      <w:r w:rsidR="00801D93" w:rsidRPr="00D471F9">
        <w:rPr>
          <w:rStyle w:val="Strong"/>
          <w:b w:val="0"/>
          <w:color w:val="000000"/>
          <w:shd w:val="clear" w:color="auto" w:fill="FFFFFF"/>
        </w:rPr>
        <w:t xml:space="preserve">, </w:t>
      </w:r>
      <w:r w:rsidR="00801D93" w:rsidRPr="00D471F9">
        <w:rPr>
          <w:rStyle w:val="Strong"/>
          <w:b w:val="0"/>
          <w:color w:val="000000"/>
          <w:shd w:val="clear" w:color="auto" w:fill="FFFFFF"/>
          <w:lang w:val="sr-Cyrl-CS"/>
        </w:rPr>
        <w:t xml:space="preserve">али је </w:t>
      </w:r>
      <w:r w:rsidRPr="00D471F9">
        <w:rPr>
          <w:rStyle w:val="Strong"/>
          <w:b w:val="0"/>
          <w:color w:val="000000"/>
          <w:shd w:val="clear" w:color="auto" w:fill="FFFFFF"/>
        </w:rPr>
        <w:t>понекад</w:t>
      </w:r>
      <w:r w:rsidR="00801D93" w:rsidRPr="00D471F9">
        <w:rPr>
          <w:rStyle w:val="Strong"/>
          <w:b w:val="0"/>
          <w:color w:val="000000"/>
          <w:shd w:val="clear" w:color="auto" w:fill="FFFFFF"/>
        </w:rPr>
        <w:t xml:space="preserve"> </w:t>
      </w:r>
      <w:r w:rsidRPr="00D471F9">
        <w:rPr>
          <w:rStyle w:val="Strong"/>
          <w:b w:val="0"/>
          <w:color w:val="000000"/>
          <w:shd w:val="clear" w:color="auto" w:fill="FFFFFF"/>
        </w:rPr>
        <w:t>најтеже</w:t>
      </w:r>
      <w:r w:rsidR="00801D93" w:rsidRPr="00D471F9">
        <w:rPr>
          <w:rStyle w:val="Strong"/>
          <w:b w:val="0"/>
          <w:color w:val="000000"/>
          <w:shd w:val="clear" w:color="auto" w:fill="FFFFFF"/>
        </w:rPr>
        <w:t xml:space="preserve"> </w:t>
      </w:r>
      <w:r w:rsidRPr="00D471F9">
        <w:rPr>
          <w:rStyle w:val="Strong"/>
          <w:b w:val="0"/>
          <w:color w:val="000000"/>
          <w:shd w:val="clear" w:color="auto" w:fill="FFFFFF"/>
        </w:rPr>
        <w:t>испунити</w:t>
      </w:r>
      <w:r w:rsidR="00801D93" w:rsidRPr="00D471F9">
        <w:rPr>
          <w:rStyle w:val="Strong"/>
          <w:b w:val="0"/>
          <w:color w:val="000000"/>
          <w:shd w:val="clear" w:color="auto" w:fill="FFFFFF"/>
        </w:rPr>
        <w:t xml:space="preserve"> </w:t>
      </w:r>
      <w:r w:rsidRPr="00D471F9">
        <w:rPr>
          <w:rStyle w:val="Strong"/>
          <w:b w:val="0"/>
          <w:color w:val="000000"/>
          <w:shd w:val="clear" w:color="auto" w:fill="FFFFFF"/>
        </w:rPr>
        <w:t>потребу</w:t>
      </w:r>
      <w:r w:rsidR="00801D93" w:rsidRPr="00D471F9">
        <w:rPr>
          <w:rStyle w:val="Strong"/>
          <w:b w:val="0"/>
          <w:color w:val="000000"/>
          <w:shd w:val="clear" w:color="auto" w:fill="FFFFFF"/>
        </w:rPr>
        <w:t xml:space="preserve"> </w:t>
      </w:r>
      <w:r w:rsidRPr="00D471F9">
        <w:rPr>
          <w:rStyle w:val="Strong"/>
          <w:b w:val="0"/>
          <w:color w:val="000000"/>
          <w:shd w:val="clear" w:color="auto" w:fill="FFFFFF"/>
        </w:rPr>
        <w:t>да</w:t>
      </w:r>
      <w:r w:rsidR="00801D93" w:rsidRPr="00D471F9">
        <w:rPr>
          <w:rStyle w:val="Strong"/>
          <w:b w:val="0"/>
          <w:color w:val="000000"/>
          <w:shd w:val="clear" w:color="auto" w:fill="FFFFFF"/>
        </w:rPr>
        <w:t xml:space="preserve"> </w:t>
      </w:r>
      <w:r w:rsidRPr="00D471F9">
        <w:rPr>
          <w:rStyle w:val="Strong"/>
          <w:b w:val="0"/>
          <w:color w:val="000000"/>
          <w:shd w:val="clear" w:color="auto" w:fill="FFFFFF"/>
        </w:rPr>
        <w:t>буде</w:t>
      </w:r>
      <w:r w:rsidR="00801D93" w:rsidRPr="00D471F9">
        <w:rPr>
          <w:rStyle w:val="Strong"/>
          <w:b w:val="0"/>
          <w:color w:val="000000"/>
          <w:shd w:val="clear" w:color="auto" w:fill="FFFFFF"/>
        </w:rPr>
        <w:t xml:space="preserve"> </w:t>
      </w:r>
      <w:r w:rsidRPr="00D471F9">
        <w:rPr>
          <w:rStyle w:val="Strong"/>
          <w:b w:val="0"/>
          <w:color w:val="000000"/>
          <w:shd w:val="clear" w:color="auto" w:fill="FFFFFF"/>
        </w:rPr>
        <w:t>правичан</w:t>
      </w:r>
      <w:r w:rsidR="00801D93" w:rsidRPr="00D471F9">
        <w:rPr>
          <w:rStyle w:val="Strong"/>
          <w:b w:val="0"/>
          <w:color w:val="000000"/>
          <w:shd w:val="clear" w:color="auto" w:fill="FFFFFF"/>
        </w:rPr>
        <w:t xml:space="preserve">. </w:t>
      </w:r>
    </w:p>
    <w:p w:rsidR="00592E1D" w:rsidRPr="00D471F9" w:rsidRDefault="00C81E1E" w:rsidP="00D471F9">
      <w:pPr>
        <w:ind w:firstLine="630"/>
        <w:jc w:val="both"/>
        <w:rPr>
          <w:rFonts w:ascii="Times New Roman" w:hAnsi="Times New Roman"/>
          <w:sz w:val="24"/>
          <w:szCs w:val="24"/>
          <w:lang w:val="sr-Cyrl-CS"/>
        </w:rPr>
      </w:pPr>
      <w:r>
        <w:rPr>
          <w:rFonts w:ascii="Times New Roman" w:hAnsi="Times New Roman"/>
          <w:sz w:val="24"/>
          <w:szCs w:val="24"/>
          <w:lang w:val="sr-Cyrl-CS"/>
        </w:rPr>
        <w:t>У целини посамтрано</w:t>
      </w:r>
      <w:r w:rsidR="006D57B4" w:rsidRPr="00D471F9">
        <w:rPr>
          <w:rFonts w:ascii="Times New Roman" w:hAnsi="Times New Roman"/>
          <w:sz w:val="24"/>
          <w:szCs w:val="24"/>
          <w:lang w:val="sr-Cyrl-CS"/>
        </w:rPr>
        <w:t xml:space="preserve"> наше опорезивање </w:t>
      </w:r>
      <w:r w:rsidR="00F52533">
        <w:rPr>
          <w:rFonts w:ascii="Times New Roman" w:hAnsi="Times New Roman"/>
          <w:sz w:val="24"/>
          <w:szCs w:val="24"/>
          <w:lang w:val="sr-Cyrl-CS"/>
        </w:rPr>
        <w:t xml:space="preserve">се </w:t>
      </w:r>
      <w:r>
        <w:rPr>
          <w:rFonts w:ascii="Times New Roman" w:hAnsi="Times New Roman"/>
          <w:sz w:val="24"/>
          <w:szCs w:val="24"/>
          <w:lang w:val="sr-Cyrl-CS"/>
        </w:rPr>
        <w:t xml:space="preserve"> значајним делом</w:t>
      </w:r>
      <w:r w:rsidR="006D57B4" w:rsidRPr="00D471F9">
        <w:rPr>
          <w:rFonts w:ascii="Times New Roman" w:hAnsi="Times New Roman"/>
          <w:sz w:val="24"/>
          <w:szCs w:val="24"/>
          <w:lang w:val="sr-Cyrl-CS"/>
        </w:rPr>
        <w:t xml:space="preserve"> ослања на порезе на п</w:t>
      </w:r>
      <w:r w:rsidR="00E95EEA" w:rsidRPr="00D471F9">
        <w:rPr>
          <w:rFonts w:ascii="Times New Roman" w:hAnsi="Times New Roman"/>
          <w:sz w:val="24"/>
          <w:szCs w:val="24"/>
          <w:lang w:val="sr-Cyrl-CS"/>
        </w:rPr>
        <w:t>отрошњу (порез на додату вреднос</w:t>
      </w:r>
      <w:r w:rsidR="006D57B4" w:rsidRPr="00D471F9">
        <w:rPr>
          <w:rFonts w:ascii="Times New Roman" w:hAnsi="Times New Roman"/>
          <w:sz w:val="24"/>
          <w:szCs w:val="24"/>
          <w:lang w:val="sr-Cyrl-CS"/>
        </w:rPr>
        <w:t>т и акцизе) и порезе на зар</w:t>
      </w:r>
      <w:r w:rsidR="00E95EEA" w:rsidRPr="00D471F9">
        <w:rPr>
          <w:rFonts w:ascii="Times New Roman" w:hAnsi="Times New Roman"/>
          <w:sz w:val="24"/>
          <w:szCs w:val="24"/>
          <w:lang w:val="sr-Cyrl-CS"/>
        </w:rPr>
        <w:t>аде, а то указује на неправичнос</w:t>
      </w:r>
      <w:r w:rsidR="006D57B4" w:rsidRPr="00D471F9">
        <w:rPr>
          <w:rFonts w:ascii="Times New Roman" w:hAnsi="Times New Roman"/>
          <w:sz w:val="24"/>
          <w:szCs w:val="24"/>
          <w:lang w:val="sr-Cyrl-CS"/>
        </w:rPr>
        <w:t>т опорезивања и на постојање дела економске снаге који је неопорезован или н</w:t>
      </w:r>
      <w:r w:rsidR="00E95EEA" w:rsidRPr="00D471F9">
        <w:rPr>
          <w:rFonts w:ascii="Times New Roman" w:hAnsi="Times New Roman"/>
          <w:sz w:val="24"/>
          <w:szCs w:val="24"/>
          <w:lang w:val="sr-Cyrl-CS"/>
        </w:rPr>
        <w:t xml:space="preserve">еадекватно опорезован. </w:t>
      </w:r>
      <w:r>
        <w:rPr>
          <w:rFonts w:ascii="Times New Roman" w:hAnsi="Times New Roman"/>
          <w:sz w:val="24"/>
          <w:szCs w:val="24"/>
          <w:lang w:val="sr-Cyrl-CS"/>
        </w:rPr>
        <w:t>Из тог разлога би</w:t>
      </w:r>
      <w:r w:rsidR="006D57B4" w:rsidRPr="00D471F9">
        <w:rPr>
          <w:rFonts w:ascii="Times New Roman" w:hAnsi="Times New Roman"/>
          <w:sz w:val="24"/>
          <w:szCs w:val="24"/>
          <w:lang w:val="sr-Cyrl-CS"/>
        </w:rPr>
        <w:t xml:space="preserve"> установљење и увођење синтетичког пореза на дох</w:t>
      </w:r>
      <w:r w:rsidR="00E95EEA" w:rsidRPr="00D471F9">
        <w:rPr>
          <w:rFonts w:ascii="Times New Roman" w:hAnsi="Times New Roman"/>
          <w:sz w:val="24"/>
          <w:szCs w:val="24"/>
          <w:lang w:val="sr-Cyrl-CS"/>
        </w:rPr>
        <w:t>одак грађана у Србији, омогућило</w:t>
      </w:r>
      <w:r w:rsidR="006D57B4" w:rsidRPr="00D471F9">
        <w:rPr>
          <w:rFonts w:ascii="Times New Roman" w:hAnsi="Times New Roman"/>
          <w:sz w:val="24"/>
          <w:szCs w:val="24"/>
          <w:lang w:val="sr-Cyrl-CS"/>
        </w:rPr>
        <w:t xml:space="preserve"> да се базично начело опорезивања о расподели  пореског терета сходно економској снази спроведе доследније </w:t>
      </w:r>
      <w:r>
        <w:rPr>
          <w:rFonts w:ascii="Times New Roman" w:hAnsi="Times New Roman"/>
          <w:sz w:val="24"/>
          <w:szCs w:val="24"/>
          <w:lang w:val="sr-Cyrl-CS"/>
        </w:rPr>
        <w:t xml:space="preserve">као и да </w:t>
      </w:r>
      <w:r w:rsidR="006D57B4" w:rsidRPr="00D471F9">
        <w:rPr>
          <w:rFonts w:ascii="Times New Roman" w:hAnsi="Times New Roman"/>
          <w:sz w:val="24"/>
          <w:szCs w:val="24"/>
          <w:lang w:val="sr-Cyrl-CS"/>
        </w:rPr>
        <w:t>пореска политика оствари социјално-политичку функцију</w:t>
      </w:r>
      <w:r>
        <w:rPr>
          <w:rFonts w:ascii="Times New Roman" w:hAnsi="Times New Roman"/>
          <w:sz w:val="24"/>
          <w:szCs w:val="24"/>
          <w:lang w:val="sr-Cyrl-CS"/>
        </w:rPr>
        <w:t>, која је једна од њених најважнијих функција</w:t>
      </w:r>
      <w:r w:rsidR="006D57B4" w:rsidRPr="00D471F9">
        <w:rPr>
          <w:rFonts w:ascii="Times New Roman" w:hAnsi="Times New Roman"/>
          <w:sz w:val="24"/>
          <w:szCs w:val="24"/>
          <w:lang w:val="sr-Cyrl-CS"/>
        </w:rPr>
        <w:t>.</w:t>
      </w:r>
      <w:r w:rsidR="006D57B4" w:rsidRPr="00D471F9">
        <w:rPr>
          <w:rStyle w:val="FootnoteReference"/>
          <w:rFonts w:ascii="Times New Roman" w:hAnsi="Times New Roman"/>
          <w:sz w:val="24"/>
          <w:szCs w:val="24"/>
          <w:lang w:val="sr-Cyrl-CS"/>
        </w:rPr>
        <w:footnoteReference w:id="919"/>
      </w:r>
      <w:r w:rsidR="00801D93" w:rsidRPr="00D471F9">
        <w:rPr>
          <w:rFonts w:ascii="Times New Roman" w:hAnsi="Times New Roman"/>
          <w:sz w:val="24"/>
          <w:szCs w:val="24"/>
          <w:lang w:val="sr-Cyrl-CS"/>
        </w:rPr>
        <w:t xml:space="preserve"> </w:t>
      </w:r>
    </w:p>
    <w:p w:rsidR="00D43FCB" w:rsidRPr="00D471F9" w:rsidRDefault="00F050BC" w:rsidP="00D471F9">
      <w:pPr>
        <w:ind w:firstLine="630"/>
        <w:jc w:val="both"/>
        <w:rPr>
          <w:rFonts w:ascii="Times New Roman" w:hAnsi="Times New Roman"/>
          <w:sz w:val="24"/>
          <w:szCs w:val="24"/>
          <w:lang w:val="sr-Cyrl-CS"/>
        </w:rPr>
      </w:pPr>
      <w:r>
        <w:rPr>
          <w:rFonts w:ascii="Times New Roman" w:hAnsi="Times New Roman"/>
          <w:sz w:val="24"/>
          <w:szCs w:val="24"/>
          <w:lang w:val="sr-Cyrl-CS"/>
        </w:rPr>
        <w:t>Карактерис</w:t>
      </w:r>
      <w:r w:rsidRPr="00D471F9">
        <w:rPr>
          <w:rFonts w:ascii="Times New Roman" w:hAnsi="Times New Roman"/>
          <w:sz w:val="24"/>
          <w:szCs w:val="24"/>
          <w:lang w:val="sr-Cyrl-CS"/>
        </w:rPr>
        <w:t>тика већине земаља у транзицији</w:t>
      </w:r>
      <w:r>
        <w:rPr>
          <w:rFonts w:ascii="Times New Roman" w:hAnsi="Times New Roman"/>
          <w:sz w:val="24"/>
          <w:szCs w:val="24"/>
          <w:lang w:val="sr-Cyrl-CS"/>
        </w:rPr>
        <w:t>, па и српског друштва, је да се</w:t>
      </w:r>
      <w:r w:rsidRPr="00D471F9">
        <w:rPr>
          <w:rFonts w:ascii="Times New Roman" w:hAnsi="Times New Roman"/>
          <w:sz w:val="24"/>
          <w:szCs w:val="24"/>
          <w:lang w:val="sr-Cyrl-CS"/>
        </w:rPr>
        <w:t xml:space="preserve"> </w:t>
      </w:r>
      <w:r>
        <w:rPr>
          <w:rFonts w:ascii="Times New Roman" w:hAnsi="Times New Roman"/>
          <w:sz w:val="24"/>
          <w:szCs w:val="24"/>
          <w:lang w:val="sr-Cyrl-CS"/>
        </w:rPr>
        <w:t>б</w:t>
      </w:r>
      <w:r w:rsidR="00D43FCB" w:rsidRPr="00D471F9">
        <w:rPr>
          <w:rFonts w:ascii="Times New Roman" w:hAnsi="Times New Roman"/>
          <w:sz w:val="24"/>
          <w:szCs w:val="24"/>
          <w:lang w:val="sr-Cyrl-CS"/>
        </w:rPr>
        <w:t>орба против незаконите пореске евазије још увек не доживљава на аде</w:t>
      </w:r>
      <w:r>
        <w:rPr>
          <w:rFonts w:ascii="Times New Roman" w:hAnsi="Times New Roman"/>
          <w:sz w:val="24"/>
          <w:szCs w:val="24"/>
          <w:lang w:val="sr-Cyrl-CS"/>
        </w:rPr>
        <w:t>кватан начин.</w:t>
      </w:r>
      <w:r w:rsidR="007419A5">
        <w:rPr>
          <w:rFonts w:ascii="Times New Roman" w:hAnsi="Times New Roman"/>
          <w:sz w:val="24"/>
          <w:szCs w:val="24"/>
          <w:lang w:val="sr-Cyrl-CS"/>
        </w:rPr>
        <w:t xml:space="preserve"> </w:t>
      </w:r>
      <w:r>
        <w:rPr>
          <w:rFonts w:ascii="Times New Roman" w:hAnsi="Times New Roman"/>
          <w:sz w:val="24"/>
          <w:szCs w:val="24"/>
          <w:lang w:val="sr-Cyrl-CS"/>
        </w:rPr>
        <w:t>У оваквим земљама</w:t>
      </w:r>
      <w:r w:rsidR="00D43FCB" w:rsidRPr="00D471F9">
        <w:rPr>
          <w:rFonts w:ascii="Times New Roman" w:hAnsi="Times New Roman"/>
          <w:sz w:val="24"/>
          <w:szCs w:val="24"/>
          <w:lang w:val="sr-Cyrl-CS"/>
        </w:rPr>
        <w:t xml:space="preserve"> се новокомпонована друштвена елита обогатила управо на утаји пореза и шверцу. </w:t>
      </w:r>
      <w:r>
        <w:rPr>
          <w:rFonts w:ascii="Times New Roman" w:hAnsi="Times New Roman"/>
          <w:sz w:val="24"/>
          <w:szCs w:val="24"/>
          <w:lang w:val="sr-Cyrl-CS"/>
        </w:rPr>
        <w:t>Често изостаје друштвена осуда</w:t>
      </w:r>
      <w:r w:rsidRPr="00D471F9">
        <w:rPr>
          <w:rFonts w:ascii="Times New Roman" w:hAnsi="Times New Roman"/>
          <w:sz w:val="24"/>
          <w:szCs w:val="24"/>
          <w:lang w:val="sr-Cyrl-CS"/>
        </w:rPr>
        <w:t xml:space="preserve"> </w:t>
      </w:r>
      <w:r>
        <w:rPr>
          <w:rFonts w:ascii="Times New Roman" w:hAnsi="Times New Roman"/>
          <w:sz w:val="24"/>
          <w:szCs w:val="24"/>
          <w:lang w:val="sr-Cyrl-CS"/>
        </w:rPr>
        <w:t>и о</w:t>
      </w:r>
      <w:r w:rsidR="00D43FCB" w:rsidRPr="00D471F9">
        <w:rPr>
          <w:rFonts w:ascii="Times New Roman" w:hAnsi="Times New Roman"/>
          <w:sz w:val="24"/>
          <w:szCs w:val="24"/>
          <w:lang w:val="sr-Cyrl-CS"/>
        </w:rPr>
        <w:t xml:space="preserve">ва врста криминала наилази на благонаклон став и одобравање, уз </w:t>
      </w:r>
      <w:r w:rsidRPr="00D471F9">
        <w:rPr>
          <w:rFonts w:ascii="Times New Roman" w:hAnsi="Times New Roman"/>
          <w:sz w:val="24"/>
          <w:szCs w:val="24"/>
          <w:lang w:val="sr-Cyrl-CS"/>
        </w:rPr>
        <w:t xml:space="preserve">одсуство свести већине друштвених структура </w:t>
      </w:r>
      <w:r w:rsidR="00D43FCB" w:rsidRPr="00D471F9">
        <w:rPr>
          <w:rFonts w:ascii="Times New Roman" w:hAnsi="Times New Roman"/>
          <w:sz w:val="24"/>
          <w:szCs w:val="24"/>
          <w:lang w:val="sr-Cyrl-CS"/>
        </w:rPr>
        <w:t>да је</w:t>
      </w:r>
      <w:r w:rsidR="007419A5">
        <w:rPr>
          <w:rFonts w:ascii="Times New Roman" w:hAnsi="Times New Roman"/>
          <w:sz w:val="24"/>
          <w:szCs w:val="24"/>
          <w:lang w:val="sr-Cyrl-CS"/>
        </w:rPr>
        <w:t xml:space="preserve"> таква врста криминала бар једна</w:t>
      </w:r>
      <w:r w:rsidR="00D43FCB" w:rsidRPr="00D471F9">
        <w:rPr>
          <w:rFonts w:ascii="Times New Roman" w:hAnsi="Times New Roman"/>
          <w:sz w:val="24"/>
          <w:szCs w:val="24"/>
          <w:lang w:val="sr-Cyrl-CS"/>
        </w:rPr>
        <w:t xml:space="preserve">ко штетна као што су штетне крађе, преваре, корупција и слично. </w:t>
      </w:r>
      <w:r>
        <w:rPr>
          <w:rFonts w:ascii="Times New Roman" w:hAnsi="Times New Roman"/>
          <w:sz w:val="24"/>
          <w:szCs w:val="24"/>
          <w:lang w:val="sr-Cyrl-CS"/>
        </w:rPr>
        <w:t>„</w:t>
      </w:r>
      <w:r w:rsidR="00D43FCB" w:rsidRPr="00D471F9">
        <w:rPr>
          <w:rFonts w:ascii="Times New Roman" w:hAnsi="Times New Roman"/>
          <w:sz w:val="24"/>
          <w:szCs w:val="24"/>
          <w:lang w:val="sr-Cyrl-CS"/>
        </w:rPr>
        <w:t>Друштвена свест о штетности једног таквог понашања драматично помера границе одговорности у јавном и политичком животу на коју друштво у транзицији, попут нашег, још увек није спремно.</w:t>
      </w:r>
      <w:r>
        <w:rPr>
          <w:rFonts w:ascii="Times New Roman" w:hAnsi="Times New Roman"/>
          <w:sz w:val="24"/>
          <w:szCs w:val="24"/>
          <w:lang w:val="sr-Cyrl-CS"/>
        </w:rPr>
        <w:t>“</w:t>
      </w:r>
      <w:r w:rsidR="00D43FCB" w:rsidRPr="00D471F9">
        <w:rPr>
          <w:rStyle w:val="FootnoteReference"/>
          <w:rFonts w:ascii="Times New Roman" w:hAnsi="Times New Roman"/>
          <w:color w:val="000000"/>
          <w:sz w:val="24"/>
          <w:szCs w:val="24"/>
          <w:lang w:val="sr-Cyrl-CS"/>
        </w:rPr>
        <w:footnoteReference w:id="920"/>
      </w:r>
      <w:r w:rsidR="00D43FCB" w:rsidRPr="00D471F9">
        <w:rPr>
          <w:rFonts w:ascii="Times New Roman" w:hAnsi="Times New Roman"/>
          <w:sz w:val="24"/>
          <w:szCs w:val="24"/>
          <w:lang w:val="sr-Cyrl-CS"/>
        </w:rPr>
        <w:t xml:space="preserve"> </w:t>
      </w:r>
    </w:p>
    <w:p w:rsidR="00166B45" w:rsidRPr="00663066" w:rsidRDefault="00FF672D" w:rsidP="00663066">
      <w:pPr>
        <w:ind w:firstLine="630"/>
        <w:jc w:val="both"/>
        <w:rPr>
          <w:rFonts w:ascii="Times New Roman" w:hAnsi="Times New Roman"/>
          <w:sz w:val="24"/>
          <w:szCs w:val="24"/>
          <w:lang w:val="sr-Cyrl-CS"/>
        </w:rPr>
      </w:pPr>
      <w:r w:rsidRPr="00D471F9">
        <w:rPr>
          <w:rFonts w:ascii="Times New Roman" w:hAnsi="Times New Roman"/>
          <w:sz w:val="24"/>
          <w:szCs w:val="24"/>
          <w:lang w:val="sr-Cyrl-CS"/>
        </w:rPr>
        <w:t xml:space="preserve">Управо због тога је битно поверење грађана према институцијама, које се тешко стиче </w:t>
      </w:r>
      <w:r w:rsidR="0058007E">
        <w:rPr>
          <w:rFonts w:ascii="Times New Roman" w:hAnsi="Times New Roman"/>
          <w:sz w:val="24"/>
          <w:szCs w:val="24"/>
          <w:lang w:val="sr-Cyrl-CS"/>
        </w:rPr>
        <w:t>али се лако</w:t>
      </w:r>
      <w:r w:rsidRPr="00D471F9">
        <w:rPr>
          <w:rFonts w:ascii="Times New Roman" w:hAnsi="Times New Roman"/>
          <w:sz w:val="24"/>
          <w:szCs w:val="24"/>
          <w:lang w:val="sr-Cyrl-CS"/>
        </w:rPr>
        <w:t xml:space="preserve"> губи</w:t>
      </w:r>
      <w:r>
        <w:rPr>
          <w:rFonts w:ascii="Times New Roman" w:hAnsi="Times New Roman"/>
          <w:sz w:val="24"/>
          <w:szCs w:val="24"/>
          <w:lang w:val="sr-Cyrl-CS"/>
        </w:rPr>
        <w:t xml:space="preserve">. Не треба заборавити да </w:t>
      </w:r>
      <w:r w:rsidRPr="00D471F9">
        <w:rPr>
          <w:rFonts w:ascii="Times New Roman" w:hAnsi="Times New Roman"/>
          <w:sz w:val="24"/>
          <w:szCs w:val="24"/>
          <w:lang w:val="sr-Cyrl-CS"/>
        </w:rPr>
        <w:t>иза сваке и</w:t>
      </w:r>
      <w:r w:rsidRPr="00D471F9">
        <w:rPr>
          <w:rFonts w:ascii="Times New Roman" w:hAnsi="Times New Roman"/>
          <w:sz w:val="24"/>
          <w:szCs w:val="24"/>
        </w:rPr>
        <w:t>нс</w:t>
      </w:r>
      <w:r w:rsidRPr="00D471F9">
        <w:rPr>
          <w:rFonts w:ascii="Times New Roman" w:hAnsi="Times New Roman"/>
          <w:sz w:val="24"/>
          <w:szCs w:val="24"/>
          <w:lang w:val="sr-Cyrl-CS"/>
        </w:rPr>
        <w:t>титуције стоје људи</w:t>
      </w:r>
      <w:r>
        <w:rPr>
          <w:rFonts w:ascii="Times New Roman" w:hAnsi="Times New Roman"/>
          <w:sz w:val="24"/>
          <w:szCs w:val="24"/>
          <w:lang w:val="sr-Cyrl-CS"/>
        </w:rPr>
        <w:t xml:space="preserve"> и они су ти који доносе одлуке у финансијском систему, па због </w:t>
      </w:r>
      <w:r w:rsidR="0086476B">
        <w:rPr>
          <w:rFonts w:ascii="Times New Roman" w:hAnsi="Times New Roman"/>
          <w:sz w:val="24"/>
          <w:szCs w:val="24"/>
          <w:lang w:val="sr-Cyrl-CS"/>
        </w:rPr>
        <w:t xml:space="preserve">значаја те чињенице </w:t>
      </w:r>
      <w:r>
        <w:rPr>
          <w:rFonts w:ascii="Times New Roman" w:hAnsi="Times New Roman"/>
          <w:sz w:val="24"/>
          <w:szCs w:val="24"/>
          <w:lang w:val="sr-Cyrl-CS"/>
        </w:rPr>
        <w:t xml:space="preserve">неки аутори </w:t>
      </w:r>
      <w:r w:rsidR="0086476B">
        <w:rPr>
          <w:rFonts w:ascii="Times New Roman" w:hAnsi="Times New Roman"/>
          <w:sz w:val="24"/>
          <w:szCs w:val="24"/>
          <w:lang w:val="sr-Cyrl-CS"/>
        </w:rPr>
        <w:t xml:space="preserve">чак </w:t>
      </w:r>
      <w:r w:rsidR="000321D0" w:rsidRPr="00D471F9">
        <w:rPr>
          <w:rFonts w:ascii="Times New Roman" w:hAnsi="Times New Roman"/>
          <w:sz w:val="24"/>
          <w:szCs w:val="24"/>
          <w:lang w:val="sr-Cyrl-CS"/>
        </w:rPr>
        <w:t>сматрају да би психологија требала да има веома зна</w:t>
      </w:r>
      <w:r>
        <w:rPr>
          <w:rFonts w:ascii="Times New Roman" w:hAnsi="Times New Roman"/>
          <w:sz w:val="24"/>
          <w:szCs w:val="24"/>
          <w:lang w:val="sr-Cyrl-CS"/>
        </w:rPr>
        <w:t>чајно место и улогу у економији.</w:t>
      </w:r>
      <w:r w:rsidR="000321D0" w:rsidRPr="00D471F9">
        <w:rPr>
          <w:rStyle w:val="FootnoteReference"/>
          <w:rFonts w:ascii="Times New Roman" w:hAnsi="Times New Roman"/>
          <w:color w:val="000000"/>
          <w:sz w:val="24"/>
          <w:szCs w:val="24"/>
          <w:lang w:val="sr-Cyrl-CS"/>
        </w:rPr>
        <w:footnoteReference w:id="921"/>
      </w:r>
      <w:r w:rsidR="00633D21">
        <w:rPr>
          <w:rFonts w:ascii="Times New Roman" w:hAnsi="Times New Roman"/>
          <w:sz w:val="24"/>
          <w:szCs w:val="24"/>
          <w:lang w:val="sr-Cyrl-CS"/>
        </w:rPr>
        <w:t xml:space="preserve"> </w:t>
      </w:r>
      <w:r w:rsidR="00D43FCB" w:rsidRPr="00D471F9">
        <w:rPr>
          <w:rFonts w:ascii="Times New Roman" w:hAnsi="Times New Roman"/>
          <w:sz w:val="24"/>
          <w:szCs w:val="24"/>
          <w:lang w:val="sr-Cyrl-CS"/>
        </w:rPr>
        <w:t>Међутим, све док има уплива корупције и разних других злоупотреба у раду пореске админ</w:t>
      </w:r>
      <w:r w:rsidR="007419A5">
        <w:rPr>
          <w:rFonts w:ascii="Times New Roman" w:hAnsi="Times New Roman"/>
          <w:sz w:val="24"/>
          <w:szCs w:val="24"/>
          <w:lang w:val="sr-Cyrl-CS"/>
        </w:rPr>
        <w:t>и</w:t>
      </w:r>
      <w:r w:rsidR="00D43FCB" w:rsidRPr="00D471F9">
        <w:rPr>
          <w:rFonts w:ascii="Times New Roman" w:hAnsi="Times New Roman"/>
          <w:sz w:val="24"/>
          <w:szCs w:val="24"/>
          <w:lang w:val="sr-Cyrl-CS"/>
        </w:rPr>
        <w:t>страције, полиције, судова, тужилаштава итд., то неће допринети ни јачању културе плаћања пореза.</w:t>
      </w:r>
      <w:r w:rsidR="00D471F9">
        <w:rPr>
          <w:rFonts w:ascii="Times New Roman" w:hAnsi="Times New Roman"/>
          <w:sz w:val="24"/>
          <w:szCs w:val="24"/>
        </w:rPr>
        <w:t xml:space="preserve"> </w:t>
      </w:r>
    </w:p>
    <w:p w:rsidR="00166B45" w:rsidRDefault="00166B45" w:rsidP="003B3D6B">
      <w:pPr>
        <w:ind w:left="630"/>
        <w:jc w:val="both"/>
        <w:rPr>
          <w:rFonts w:ascii="Times New Roman" w:hAnsi="Times New Roman"/>
          <w:b/>
          <w:i/>
          <w:sz w:val="24"/>
          <w:szCs w:val="24"/>
          <w:lang w:val="sr-Cyrl-CS"/>
        </w:rPr>
      </w:pPr>
    </w:p>
    <w:p w:rsidR="002E473E" w:rsidRDefault="002E473E" w:rsidP="003B3D6B">
      <w:pPr>
        <w:ind w:left="630"/>
        <w:jc w:val="both"/>
        <w:rPr>
          <w:rFonts w:ascii="Times New Roman" w:hAnsi="Times New Roman"/>
          <w:b/>
          <w:i/>
          <w:sz w:val="24"/>
          <w:szCs w:val="24"/>
          <w:lang w:val="sr-Cyrl-CS"/>
        </w:rPr>
      </w:pPr>
    </w:p>
    <w:p w:rsidR="002E473E" w:rsidRDefault="002E473E" w:rsidP="003B3D6B">
      <w:pPr>
        <w:ind w:left="630"/>
        <w:jc w:val="both"/>
        <w:rPr>
          <w:rFonts w:ascii="Times New Roman" w:hAnsi="Times New Roman"/>
          <w:b/>
          <w:i/>
          <w:sz w:val="24"/>
          <w:szCs w:val="24"/>
          <w:lang w:val="sr-Cyrl-CS"/>
        </w:rPr>
      </w:pPr>
    </w:p>
    <w:p w:rsidR="002E473E" w:rsidRDefault="002E473E" w:rsidP="003B3D6B">
      <w:pPr>
        <w:ind w:left="630"/>
        <w:jc w:val="both"/>
        <w:rPr>
          <w:rFonts w:ascii="Times New Roman" w:hAnsi="Times New Roman"/>
          <w:b/>
          <w:i/>
          <w:sz w:val="24"/>
          <w:szCs w:val="24"/>
          <w:lang w:val="sr-Cyrl-CS"/>
        </w:rPr>
      </w:pPr>
    </w:p>
    <w:p w:rsidR="002E473E" w:rsidRDefault="002E473E" w:rsidP="003B3D6B">
      <w:pPr>
        <w:ind w:left="630"/>
        <w:jc w:val="both"/>
        <w:rPr>
          <w:rFonts w:ascii="Times New Roman" w:hAnsi="Times New Roman"/>
          <w:b/>
          <w:i/>
          <w:sz w:val="24"/>
          <w:szCs w:val="24"/>
          <w:lang w:val="sr-Cyrl-CS"/>
        </w:rPr>
      </w:pPr>
    </w:p>
    <w:p w:rsidR="002E473E" w:rsidRPr="005B52CB" w:rsidRDefault="002E473E" w:rsidP="005B52CB">
      <w:pPr>
        <w:jc w:val="both"/>
        <w:rPr>
          <w:rFonts w:ascii="Times New Roman" w:hAnsi="Times New Roman"/>
          <w:sz w:val="24"/>
          <w:szCs w:val="24"/>
          <w:lang w:val="sr-Cyrl-CS"/>
        </w:rPr>
      </w:pPr>
    </w:p>
    <w:p w:rsidR="009542F7" w:rsidRPr="00A276DA" w:rsidRDefault="00C73790" w:rsidP="00C73790">
      <w:pPr>
        <w:ind w:left="630"/>
        <w:jc w:val="both"/>
        <w:rPr>
          <w:rFonts w:ascii="Times New Roman" w:hAnsi="Times New Roman"/>
          <w:b/>
          <w:sz w:val="24"/>
          <w:szCs w:val="24"/>
          <w:lang w:val="sr-Cyrl-CS"/>
        </w:rPr>
      </w:pPr>
      <w:r w:rsidRPr="00C73790">
        <w:rPr>
          <w:rFonts w:ascii="Times New Roman" w:hAnsi="Times New Roman"/>
          <w:b/>
          <w:sz w:val="24"/>
          <w:szCs w:val="24"/>
        </w:rPr>
        <w:lastRenderedPageBreak/>
        <w:t>ГЛАВА</w:t>
      </w:r>
      <w:r w:rsidR="009542F7" w:rsidRPr="009542F7">
        <w:rPr>
          <w:rFonts w:ascii="Times New Roman" w:hAnsi="Times New Roman"/>
          <w:b/>
          <w:sz w:val="24"/>
          <w:szCs w:val="24"/>
        </w:rPr>
        <w:t xml:space="preserve"> </w:t>
      </w:r>
      <w:r w:rsidR="009542F7" w:rsidRPr="00C73790">
        <w:rPr>
          <w:rFonts w:ascii="Times New Roman" w:hAnsi="Times New Roman"/>
          <w:b/>
          <w:sz w:val="24"/>
          <w:szCs w:val="24"/>
        </w:rPr>
        <w:t>VI</w:t>
      </w:r>
      <w:r w:rsidR="00A276DA">
        <w:rPr>
          <w:rFonts w:ascii="Times New Roman" w:hAnsi="Times New Roman"/>
          <w:b/>
          <w:sz w:val="24"/>
          <w:szCs w:val="24"/>
        </w:rPr>
        <w:t>I</w:t>
      </w:r>
    </w:p>
    <w:p w:rsidR="00C73790" w:rsidRDefault="00C73790" w:rsidP="00C73790">
      <w:pPr>
        <w:ind w:left="630"/>
        <w:jc w:val="both"/>
        <w:rPr>
          <w:rFonts w:ascii="Times New Roman" w:hAnsi="Times New Roman"/>
          <w:b/>
          <w:sz w:val="24"/>
          <w:szCs w:val="24"/>
          <w:lang w:val="sr-Cyrl-CS"/>
        </w:rPr>
      </w:pPr>
      <w:r w:rsidRPr="00C73790">
        <w:rPr>
          <w:rFonts w:ascii="Times New Roman" w:hAnsi="Times New Roman"/>
          <w:b/>
          <w:sz w:val="24"/>
          <w:szCs w:val="24"/>
        </w:rPr>
        <w:t xml:space="preserve"> ПРИМЕРИ ИЗ ПОСЛОВНО-ПРАВНЕ ПРАКСЕ</w:t>
      </w:r>
    </w:p>
    <w:p w:rsidR="00C5614B" w:rsidRDefault="00C5614B" w:rsidP="00C73790">
      <w:pPr>
        <w:ind w:left="630"/>
        <w:jc w:val="both"/>
        <w:rPr>
          <w:rFonts w:ascii="Times New Roman" w:hAnsi="Times New Roman"/>
          <w:b/>
          <w:sz w:val="24"/>
          <w:szCs w:val="24"/>
          <w:lang w:val="sr-Cyrl-CS"/>
        </w:rPr>
      </w:pPr>
    </w:p>
    <w:p w:rsidR="00C5614B" w:rsidRPr="00390417" w:rsidRDefault="00390417" w:rsidP="00390417">
      <w:pPr>
        <w:ind w:firstLine="630"/>
        <w:jc w:val="both"/>
        <w:rPr>
          <w:rFonts w:ascii="Times New Roman" w:hAnsi="Times New Roman"/>
          <w:sz w:val="24"/>
          <w:szCs w:val="24"/>
          <w:lang w:val="sr-Cyrl-CS"/>
        </w:rPr>
      </w:pPr>
      <w:r>
        <w:rPr>
          <w:rFonts w:ascii="Times New Roman" w:hAnsi="Times New Roman"/>
          <w:sz w:val="24"/>
          <w:szCs w:val="24"/>
          <w:lang w:val="sr-Cyrl-CS"/>
        </w:rPr>
        <w:t>У досадашњем излагању смо се бавили негативним појавама, односно разним облицима избегавања плаћања пореза,  привредног криминила и корупције, углавном у теоријском контексту. Ради целине посматрања ћемо у наставку излагања навести неке случајеве из досадашње праксе.</w:t>
      </w:r>
      <w:r>
        <w:rPr>
          <w:rStyle w:val="FootnoteReference"/>
          <w:rFonts w:ascii="Times New Roman" w:hAnsi="Times New Roman"/>
          <w:sz w:val="24"/>
          <w:szCs w:val="24"/>
          <w:lang w:val="sr-Cyrl-CS"/>
        </w:rPr>
        <w:footnoteReference w:id="922"/>
      </w:r>
    </w:p>
    <w:p w:rsidR="00C5614B" w:rsidRDefault="00C5614B" w:rsidP="00C5614B">
      <w:pPr>
        <w:shd w:val="clear" w:color="auto" w:fill="FFFFFF"/>
        <w:spacing w:before="48" w:after="48" w:line="240" w:lineRule="auto"/>
        <w:rPr>
          <w:rFonts w:ascii="Arial" w:hAnsi="Arial" w:cs="Arial"/>
          <w:b/>
          <w:bCs/>
          <w:color w:val="000000"/>
          <w:sz w:val="21"/>
          <w:szCs w:val="21"/>
          <w:lang w:val="sr-Cyrl-CS"/>
        </w:rPr>
      </w:pPr>
    </w:p>
    <w:p w:rsidR="00D06E30" w:rsidRDefault="001467DF" w:rsidP="00390417">
      <w:pPr>
        <w:shd w:val="clear" w:color="auto" w:fill="FFFFFF"/>
        <w:spacing w:before="48" w:after="48" w:line="240" w:lineRule="auto"/>
        <w:jc w:val="both"/>
        <w:rPr>
          <w:rFonts w:ascii="Times New Roman" w:hAnsi="Times New Roman"/>
          <w:color w:val="000000"/>
          <w:sz w:val="24"/>
          <w:szCs w:val="24"/>
          <w:lang w:val="sr-Cyrl-CS"/>
        </w:rPr>
      </w:pPr>
      <w:r>
        <w:rPr>
          <w:rFonts w:ascii="Times New Roman" w:hAnsi="Times New Roman"/>
          <w:color w:val="000000"/>
          <w:sz w:val="24"/>
          <w:szCs w:val="24"/>
          <w:lang w:val="sr-Cyrl-CS"/>
        </w:rPr>
        <w:t>1</w:t>
      </w:r>
      <w:r w:rsidR="00C5614B" w:rsidRPr="00390417">
        <w:rPr>
          <w:rFonts w:ascii="Times New Roman" w:hAnsi="Times New Roman"/>
          <w:color w:val="000000"/>
          <w:sz w:val="24"/>
          <w:szCs w:val="24"/>
          <w:lang w:val="sr-Cyrl-CS"/>
        </w:rPr>
        <w:t>)</w:t>
      </w:r>
    </w:p>
    <w:p w:rsidR="00C5614B" w:rsidRDefault="00C5614B" w:rsidP="00390417">
      <w:pPr>
        <w:shd w:val="clear" w:color="auto" w:fill="FFFFFF"/>
        <w:spacing w:before="48" w:after="48" w:line="240" w:lineRule="auto"/>
        <w:jc w:val="both"/>
        <w:rPr>
          <w:rFonts w:ascii="Times New Roman" w:hAnsi="Times New Roman"/>
          <w:color w:val="000000"/>
          <w:sz w:val="24"/>
          <w:szCs w:val="24"/>
          <w:lang w:val="sr-Cyrl-CS"/>
        </w:rPr>
      </w:pPr>
      <w:r w:rsidRPr="00390417">
        <w:rPr>
          <w:rFonts w:ascii="Times New Roman" w:hAnsi="Times New Roman"/>
          <w:color w:val="000000"/>
          <w:sz w:val="24"/>
          <w:szCs w:val="24"/>
        </w:rPr>
        <w:t>Радња кривичног дела пореска утаја је одређена трајним глаголом: "даје" лажне податке о законито стеченим приходима, тако да у смислу члана 112. став 30. Кривичног законика, постоји једно кривично дело иако је радња истог извршена више пута, а не као продужено кривично дело.</w:t>
      </w:r>
    </w:p>
    <w:p w:rsidR="00390417" w:rsidRPr="00390417" w:rsidRDefault="00390417" w:rsidP="00390417">
      <w:pPr>
        <w:shd w:val="clear" w:color="auto" w:fill="FFFFFF"/>
        <w:spacing w:before="48" w:after="48" w:line="240" w:lineRule="auto"/>
        <w:jc w:val="both"/>
        <w:rPr>
          <w:rFonts w:ascii="Times New Roman" w:hAnsi="Times New Roman"/>
          <w:color w:val="000000"/>
          <w:sz w:val="24"/>
          <w:szCs w:val="24"/>
          <w:lang w:val="sr-Cyrl-CS"/>
        </w:rPr>
      </w:pPr>
    </w:p>
    <w:p w:rsidR="00C5614B" w:rsidRDefault="00C5614B" w:rsidP="00390417">
      <w:pPr>
        <w:shd w:val="clear" w:color="auto" w:fill="FFFFFF"/>
        <w:spacing w:before="48" w:after="48" w:line="240" w:lineRule="auto"/>
        <w:jc w:val="both"/>
        <w:rPr>
          <w:rFonts w:ascii="Times New Roman" w:hAnsi="Times New Roman"/>
          <w:color w:val="000000"/>
          <w:sz w:val="24"/>
          <w:szCs w:val="24"/>
          <w:lang w:val="sr-Cyrl-CS"/>
        </w:rPr>
      </w:pPr>
      <w:r w:rsidRPr="00390417">
        <w:rPr>
          <w:rFonts w:ascii="Times New Roman" w:hAnsi="Times New Roman"/>
          <w:color w:val="000000"/>
          <w:sz w:val="24"/>
          <w:szCs w:val="24"/>
        </w:rPr>
        <w:t>Из образложења:</w:t>
      </w:r>
    </w:p>
    <w:p w:rsidR="00390417" w:rsidRPr="00390417" w:rsidRDefault="00390417" w:rsidP="00390417">
      <w:pPr>
        <w:shd w:val="clear" w:color="auto" w:fill="FFFFFF"/>
        <w:spacing w:before="48" w:after="48" w:line="240" w:lineRule="auto"/>
        <w:jc w:val="both"/>
        <w:rPr>
          <w:rFonts w:ascii="Times New Roman" w:hAnsi="Times New Roman"/>
          <w:color w:val="000000"/>
          <w:sz w:val="24"/>
          <w:szCs w:val="24"/>
          <w:lang w:val="sr-Cyrl-CS"/>
        </w:rPr>
      </w:pPr>
    </w:p>
    <w:p w:rsidR="00C5614B" w:rsidRDefault="00C5614B" w:rsidP="00390417">
      <w:pPr>
        <w:shd w:val="clear" w:color="auto" w:fill="FFFFFF"/>
        <w:spacing w:before="48" w:after="48" w:line="240" w:lineRule="auto"/>
        <w:jc w:val="both"/>
        <w:rPr>
          <w:rFonts w:ascii="Times New Roman" w:hAnsi="Times New Roman"/>
          <w:iCs/>
          <w:color w:val="000000"/>
          <w:sz w:val="24"/>
          <w:szCs w:val="24"/>
          <w:lang w:val="sr-Cyrl-CS"/>
        </w:rPr>
      </w:pPr>
      <w:r w:rsidRPr="00911A0C">
        <w:rPr>
          <w:rFonts w:ascii="Times New Roman" w:hAnsi="Times New Roman"/>
          <w:iCs/>
          <w:color w:val="000000"/>
          <w:sz w:val="24"/>
          <w:szCs w:val="24"/>
        </w:rPr>
        <w:t>"Оцењујући правну квалификацију кривичног дела а на основу правилно утврђеног чињеничног стања, Окружни суд налази, да је радња извршења кривичног дела пореска утаја из члана 229. став 1. Кривичног законика - даље: КЗ, у смислу члана 112. став 30. КЗ, одређена трајним глаголом "даје", тако да је радња извршења остварена када извршилац даје лажне податке о законито стеченим приходима, о предметима или другим чињеницама које су од утицаја на утврђивање оваквих обавеза, што значи да радња извршења овог кривичног дела подразумева предузимање како само једне делатности, тако и предузимање више делатности које код овог дела представљају јединствену радњу извршења. У конкретном случају привидног реалног стицаја, радња извршења је одређена тако да може да се предузме једном или више пута и да у сваком случају проузрокује последицу, тако да поступање окривљеног сваког месеца и при свим исплатама радницима у периоду од 10.6.2005. године до 25.8.2005. године, у току исте фискалне године, је извршено са умишљајем у намери да сукцесивно при месечним исплатама са више незаконитих исплата, давањем лажних података, оствари последицу дела, избегавањем плаћања пореза, доприноса и других прописаних дажбина, што је проузроковало наступање последице избегавањем плаћања обавеза од 404.015,00 динара, тако да се поступањем окривљеног не остварују обележја више кривичних дела, већ једног кривичног дела пореска утаја из члана 229. став 1. КЗ.</w:t>
      </w:r>
    </w:p>
    <w:p w:rsidR="00911A0C" w:rsidRPr="00911A0C" w:rsidRDefault="00911A0C" w:rsidP="00390417">
      <w:pPr>
        <w:shd w:val="clear" w:color="auto" w:fill="FFFFFF"/>
        <w:spacing w:before="48" w:after="48" w:line="240" w:lineRule="auto"/>
        <w:jc w:val="both"/>
        <w:rPr>
          <w:rFonts w:ascii="Times New Roman" w:hAnsi="Times New Roman"/>
          <w:iCs/>
          <w:color w:val="000000"/>
          <w:sz w:val="24"/>
          <w:szCs w:val="24"/>
          <w:lang w:val="sr-Cyrl-CS"/>
        </w:rPr>
      </w:pPr>
    </w:p>
    <w:p w:rsidR="00C5614B" w:rsidRPr="00911A0C" w:rsidRDefault="00C5614B" w:rsidP="00390417">
      <w:pPr>
        <w:shd w:val="clear" w:color="auto" w:fill="FFFFFF"/>
        <w:spacing w:before="48" w:after="48" w:line="240" w:lineRule="auto"/>
        <w:jc w:val="both"/>
        <w:rPr>
          <w:rFonts w:ascii="Times New Roman" w:hAnsi="Times New Roman"/>
          <w:iCs/>
          <w:color w:val="000000"/>
          <w:sz w:val="24"/>
          <w:szCs w:val="24"/>
        </w:rPr>
      </w:pPr>
      <w:r w:rsidRPr="00911A0C">
        <w:rPr>
          <w:rFonts w:ascii="Times New Roman" w:hAnsi="Times New Roman"/>
          <w:iCs/>
          <w:color w:val="000000"/>
          <w:sz w:val="24"/>
          <w:szCs w:val="24"/>
        </w:rPr>
        <w:t xml:space="preserve">Правилно примењујући кривични закон, Окружни суд је извршио правну оцену дела окривљеног и исто квалификовао као једно кривично дело пореска утаја из члана 229. став 1. КЗ, налазећи да у овом случају није било основа за примену одредбе члана 61. КЗ којом је предвиђено да продужено кривично дело чине више истих или истоврсних кривичних дела учињених у временској повезаности од стране истог учиниоца која представљају целину уколико стоје најмање две од законом одређених околности, јер </w:t>
      </w:r>
      <w:r w:rsidRPr="00911A0C">
        <w:rPr>
          <w:rFonts w:ascii="Times New Roman" w:hAnsi="Times New Roman"/>
          <w:iCs/>
          <w:color w:val="000000"/>
          <w:sz w:val="24"/>
          <w:szCs w:val="24"/>
        </w:rPr>
        <w:lastRenderedPageBreak/>
        <w:t>поступци окривљеног представљају јединствену радњу а не самостална посебна кривична дела која би могла да уђу у састав продуженог кривичног дела."</w:t>
      </w:r>
    </w:p>
    <w:p w:rsidR="00C5614B" w:rsidRPr="00390417" w:rsidRDefault="00C5614B" w:rsidP="00390417">
      <w:pPr>
        <w:shd w:val="clear" w:color="auto" w:fill="FFFFFF"/>
        <w:spacing w:before="48" w:after="48" w:line="240" w:lineRule="auto"/>
        <w:jc w:val="both"/>
        <w:rPr>
          <w:rFonts w:ascii="Times New Roman" w:hAnsi="Times New Roman"/>
          <w:color w:val="000000"/>
          <w:sz w:val="24"/>
          <w:szCs w:val="24"/>
        </w:rPr>
      </w:pPr>
      <w:r w:rsidRPr="00390417">
        <w:rPr>
          <w:rFonts w:ascii="Times New Roman" w:hAnsi="Times New Roman"/>
          <w:color w:val="000000"/>
          <w:sz w:val="24"/>
          <w:szCs w:val="24"/>
        </w:rPr>
        <w:t> </w:t>
      </w:r>
    </w:p>
    <w:p w:rsidR="00C5614B" w:rsidRPr="00390417" w:rsidRDefault="00C5614B" w:rsidP="00390417">
      <w:pPr>
        <w:shd w:val="clear" w:color="auto" w:fill="FFFFFF"/>
        <w:spacing w:before="48" w:after="48" w:line="240" w:lineRule="auto"/>
        <w:jc w:val="both"/>
        <w:rPr>
          <w:rFonts w:ascii="Times New Roman" w:hAnsi="Times New Roman"/>
          <w:b/>
          <w:bCs/>
          <w:color w:val="000000"/>
          <w:sz w:val="24"/>
          <w:szCs w:val="24"/>
        </w:rPr>
      </w:pPr>
      <w:r w:rsidRPr="00390417">
        <w:rPr>
          <w:rFonts w:ascii="Times New Roman" w:hAnsi="Times New Roman"/>
          <w:b/>
          <w:bCs/>
          <w:color w:val="000000"/>
          <w:sz w:val="24"/>
          <w:szCs w:val="24"/>
        </w:rPr>
        <w:t>(Пресуда Окружног суда у Нишу, Кж. 1001/2006 од 7.11.2006. године)</w:t>
      </w:r>
    </w:p>
    <w:p w:rsidR="00C5614B" w:rsidRPr="00390417" w:rsidRDefault="00C5614B" w:rsidP="00390417">
      <w:pPr>
        <w:shd w:val="clear" w:color="auto" w:fill="FFFFFF"/>
        <w:spacing w:before="48" w:after="48" w:line="240" w:lineRule="auto"/>
        <w:jc w:val="both"/>
        <w:rPr>
          <w:rFonts w:ascii="Times New Roman" w:hAnsi="Times New Roman"/>
          <w:color w:val="000000"/>
          <w:sz w:val="24"/>
          <w:szCs w:val="24"/>
          <w:lang w:val="sr-Cyrl-CS"/>
        </w:rPr>
      </w:pPr>
    </w:p>
    <w:p w:rsidR="00D06E30" w:rsidRDefault="001467DF" w:rsidP="00390417">
      <w:pPr>
        <w:shd w:val="clear" w:color="auto" w:fill="FFFFFF"/>
        <w:spacing w:before="100" w:beforeAutospacing="1" w:after="100" w:afterAutospacing="1" w:line="240" w:lineRule="auto"/>
        <w:jc w:val="both"/>
        <w:rPr>
          <w:rFonts w:ascii="Times New Roman" w:hAnsi="Times New Roman"/>
          <w:color w:val="000000"/>
          <w:sz w:val="24"/>
          <w:szCs w:val="24"/>
          <w:lang w:val="sr-Cyrl-CS"/>
        </w:rPr>
      </w:pPr>
      <w:r>
        <w:rPr>
          <w:rFonts w:ascii="Times New Roman" w:hAnsi="Times New Roman"/>
          <w:color w:val="000000"/>
          <w:sz w:val="24"/>
          <w:szCs w:val="24"/>
          <w:lang w:val="sr-Cyrl-CS"/>
        </w:rPr>
        <w:t>2</w:t>
      </w:r>
      <w:r w:rsidR="00390417">
        <w:rPr>
          <w:rFonts w:ascii="Times New Roman" w:hAnsi="Times New Roman"/>
          <w:color w:val="000000"/>
          <w:sz w:val="24"/>
          <w:szCs w:val="24"/>
          <w:lang w:val="sr-Cyrl-CS"/>
        </w:rPr>
        <w:t>)</w:t>
      </w:r>
    </w:p>
    <w:p w:rsidR="00EB616D" w:rsidRPr="00390417" w:rsidRDefault="00D714A0" w:rsidP="00390417">
      <w:pPr>
        <w:shd w:val="clear" w:color="auto" w:fill="FFFFFF"/>
        <w:spacing w:before="100" w:beforeAutospacing="1" w:after="100" w:afterAutospacing="1" w:line="240" w:lineRule="auto"/>
        <w:jc w:val="both"/>
        <w:rPr>
          <w:rFonts w:ascii="Times New Roman" w:hAnsi="Times New Roman"/>
          <w:color w:val="000000"/>
          <w:sz w:val="24"/>
          <w:szCs w:val="24"/>
          <w:lang w:val="sr-Cyrl-CS"/>
        </w:rPr>
      </w:pPr>
      <w:r w:rsidRPr="00390417">
        <w:rPr>
          <w:rFonts w:ascii="Times New Roman" w:hAnsi="Times New Roman"/>
          <w:color w:val="000000"/>
          <w:sz w:val="24"/>
          <w:szCs w:val="24"/>
          <w:lang w:val="sr-Cyrl-CS"/>
        </w:rPr>
        <w:t>Битан</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елемент</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кривичног</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дела</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злоупотребе</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службеног</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положаја</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је</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искоришћавање</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службеног</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положаја</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при</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чему</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је</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од</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значаја</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управо</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положај</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окривљеног</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приликом</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извршења</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кривичног</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дела</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те</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је</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битно</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утврдити</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у</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чему</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се</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састоји</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искоришћавање</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тог</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положаја</w:t>
      </w:r>
      <w:r w:rsidR="00EB616D" w:rsidRPr="00390417">
        <w:rPr>
          <w:rFonts w:ascii="Times New Roman" w:hAnsi="Times New Roman"/>
          <w:color w:val="000000"/>
          <w:sz w:val="24"/>
          <w:szCs w:val="24"/>
          <w:lang w:val="sr-Cyrl-CS"/>
        </w:rPr>
        <w:t>.</w:t>
      </w:r>
    </w:p>
    <w:p w:rsidR="00EB616D" w:rsidRDefault="00D714A0" w:rsidP="00390417">
      <w:pPr>
        <w:shd w:val="clear" w:color="auto" w:fill="FFFFFF"/>
        <w:spacing w:before="48" w:after="48" w:line="240" w:lineRule="auto"/>
        <w:jc w:val="both"/>
        <w:rPr>
          <w:rFonts w:ascii="Times New Roman" w:hAnsi="Times New Roman"/>
          <w:color w:val="000000"/>
          <w:sz w:val="24"/>
          <w:szCs w:val="24"/>
          <w:lang w:val="sr-Cyrl-CS"/>
        </w:rPr>
      </w:pPr>
      <w:r w:rsidRPr="00390417">
        <w:rPr>
          <w:rFonts w:ascii="Times New Roman" w:hAnsi="Times New Roman"/>
          <w:color w:val="000000"/>
          <w:sz w:val="24"/>
          <w:szCs w:val="24"/>
          <w:lang w:val="sr-Cyrl-CS"/>
        </w:rPr>
        <w:t>Из</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образложења</w:t>
      </w:r>
      <w:r w:rsidR="00EB616D" w:rsidRPr="00390417">
        <w:rPr>
          <w:rFonts w:ascii="Times New Roman" w:hAnsi="Times New Roman"/>
          <w:color w:val="000000"/>
          <w:sz w:val="24"/>
          <w:szCs w:val="24"/>
          <w:lang w:val="sr-Cyrl-CS"/>
        </w:rPr>
        <w:t>:</w:t>
      </w:r>
    </w:p>
    <w:p w:rsidR="00390417" w:rsidRPr="00911A0C" w:rsidRDefault="00390417" w:rsidP="00390417">
      <w:pPr>
        <w:shd w:val="clear" w:color="auto" w:fill="FFFFFF"/>
        <w:spacing w:before="48" w:after="48" w:line="240" w:lineRule="auto"/>
        <w:jc w:val="both"/>
        <w:rPr>
          <w:rFonts w:ascii="Times New Roman" w:hAnsi="Times New Roman"/>
          <w:color w:val="000000"/>
          <w:sz w:val="24"/>
          <w:szCs w:val="24"/>
          <w:lang w:val="sr-Cyrl-CS"/>
        </w:rPr>
      </w:pPr>
    </w:p>
    <w:p w:rsidR="00EB616D" w:rsidRPr="00911A0C" w:rsidRDefault="00EB616D" w:rsidP="00390417">
      <w:pPr>
        <w:shd w:val="clear" w:color="auto" w:fill="FFFFFF"/>
        <w:spacing w:before="48" w:after="48" w:line="240" w:lineRule="auto"/>
        <w:jc w:val="both"/>
        <w:rPr>
          <w:rFonts w:ascii="Times New Roman" w:hAnsi="Times New Roman"/>
          <w:color w:val="000000"/>
          <w:sz w:val="24"/>
          <w:szCs w:val="24"/>
          <w:lang w:val="sr-Cyrl-CS"/>
        </w:rPr>
      </w:pPr>
      <w:r w:rsidRPr="00911A0C">
        <w:rPr>
          <w:rFonts w:ascii="Times New Roman" w:hAnsi="Times New Roman"/>
          <w:iCs/>
          <w:color w:val="000000"/>
          <w:sz w:val="24"/>
          <w:szCs w:val="24"/>
          <w:lang w:val="sr-Cyrl-CS"/>
        </w:rPr>
        <w:t>"</w:t>
      </w:r>
      <w:r w:rsidR="00D714A0" w:rsidRPr="00911A0C">
        <w:rPr>
          <w:rFonts w:ascii="Times New Roman" w:hAnsi="Times New Roman"/>
          <w:iCs/>
          <w:color w:val="000000"/>
          <w:sz w:val="24"/>
          <w:szCs w:val="24"/>
          <w:lang w:val="sr-Cyrl-CS"/>
        </w:rPr>
        <w:t>По</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налажењу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Апелационог</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суда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Б</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првостепени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суд</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образложењу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првостепене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пресуде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пропушта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да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утврди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да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о</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томе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да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јасне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аргументоване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разлоге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зашто</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сматра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да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је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питању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кривично</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дело</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злоупотребе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службеног</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положаја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Наиме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одредбом</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члана</w:t>
      </w:r>
      <w:r w:rsidRPr="00911A0C">
        <w:rPr>
          <w:rFonts w:ascii="Times New Roman" w:hAnsi="Times New Roman"/>
          <w:iCs/>
          <w:color w:val="000000"/>
          <w:sz w:val="24"/>
          <w:szCs w:val="24"/>
          <w:lang w:val="sr-Cyrl-CS"/>
        </w:rPr>
        <w:t xml:space="preserve"> 359. </w:t>
      </w:r>
      <w:r w:rsidR="00D714A0" w:rsidRPr="00911A0C">
        <w:rPr>
          <w:rFonts w:ascii="Times New Roman" w:hAnsi="Times New Roman"/>
          <w:iCs/>
          <w:color w:val="000000"/>
          <w:sz w:val="24"/>
          <w:szCs w:val="24"/>
          <w:lang w:val="sr-Cyrl-CS"/>
        </w:rPr>
        <w:t>став</w:t>
      </w:r>
      <w:r w:rsidRPr="00911A0C">
        <w:rPr>
          <w:rFonts w:ascii="Times New Roman" w:hAnsi="Times New Roman"/>
          <w:iCs/>
          <w:color w:val="000000"/>
          <w:sz w:val="24"/>
          <w:szCs w:val="24"/>
          <w:lang w:val="sr-Cyrl-CS"/>
        </w:rPr>
        <w:t xml:space="preserve"> 1. </w:t>
      </w:r>
      <w:r w:rsidR="00D714A0" w:rsidRPr="00911A0C">
        <w:rPr>
          <w:rFonts w:ascii="Times New Roman" w:hAnsi="Times New Roman"/>
          <w:iCs/>
          <w:color w:val="000000"/>
          <w:sz w:val="24"/>
          <w:szCs w:val="24"/>
          <w:lang w:val="sr-Cyrl-CS"/>
        </w:rPr>
        <w:t>Кривичног</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законика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даље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КЗ</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је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прописано</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да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ће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службено</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или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одговорно</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лице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које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искоришћавањем</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свог</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службеног</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положаја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или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овлашћења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прекорачењем</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граница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свог</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службеног</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овлашћења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или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невршењем</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своје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службене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дужности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прибави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себи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или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другом</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физичком</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или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правном</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лицу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какву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корист</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или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другом</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нанесе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какву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штету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или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теже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повреди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права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другога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казнити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Према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опису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чињеничног</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стања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које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је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оптуженом</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Т</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В</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стављено</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на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терет</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произлази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да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је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оптужени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Т</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искоришћавањем</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свог</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положаја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одговорног</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лица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прибавио</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за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себе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имовинску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корист</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укупном</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износу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од</w:t>
      </w:r>
      <w:r w:rsidRPr="00911A0C">
        <w:rPr>
          <w:rFonts w:ascii="Times New Roman" w:hAnsi="Times New Roman"/>
          <w:iCs/>
          <w:color w:val="000000"/>
          <w:sz w:val="24"/>
          <w:szCs w:val="24"/>
          <w:lang w:val="sr-Cyrl-CS"/>
        </w:rPr>
        <w:t xml:space="preserve"> 9.497.540,60 </w:t>
      </w:r>
      <w:r w:rsidR="00D714A0" w:rsidRPr="00911A0C">
        <w:rPr>
          <w:rFonts w:ascii="Times New Roman" w:hAnsi="Times New Roman"/>
          <w:iCs/>
          <w:color w:val="000000"/>
          <w:sz w:val="24"/>
          <w:szCs w:val="24"/>
          <w:lang w:val="sr-Cyrl-CS"/>
        </w:rPr>
        <w:t>динара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међутим</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првостепени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суд</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не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образлаже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на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који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начин</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је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оптужени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искористио</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службени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положај</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Кроз</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утврђено</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чињенично</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стање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неспорно</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је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да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оптужени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Т</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преузету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робу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од</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оштећених</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није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платио</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нити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је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својим</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књигама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каснију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продају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те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робе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евидентирао</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али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из</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тако</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утврђеног</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чињеничног</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стања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не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види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чему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састоји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искоришћавање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службеног</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положаја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који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је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битан</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елемент</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овог</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кривичног</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дела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где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је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од</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значаја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управо</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тај</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положај</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оптуженог</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приликом</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извршења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кривичног</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дела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супротном</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свако</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лице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које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наручену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робу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не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би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платило</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извршило</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би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ово</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кривично</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дело</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из</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члана</w:t>
      </w:r>
      <w:r w:rsidRPr="00911A0C">
        <w:rPr>
          <w:rFonts w:ascii="Times New Roman" w:hAnsi="Times New Roman"/>
          <w:iCs/>
          <w:color w:val="000000"/>
          <w:sz w:val="24"/>
          <w:szCs w:val="24"/>
          <w:lang w:val="sr-Cyrl-CS"/>
        </w:rPr>
        <w:t xml:space="preserve"> 359. </w:t>
      </w:r>
      <w:r w:rsidR="00D714A0" w:rsidRPr="00911A0C">
        <w:rPr>
          <w:rFonts w:ascii="Times New Roman" w:hAnsi="Times New Roman"/>
          <w:iCs/>
          <w:color w:val="000000"/>
          <w:sz w:val="24"/>
          <w:szCs w:val="24"/>
          <w:lang w:val="sr-Cyrl-CS"/>
        </w:rPr>
        <w:t>став</w:t>
      </w:r>
      <w:r w:rsidRPr="00911A0C">
        <w:rPr>
          <w:rFonts w:ascii="Times New Roman" w:hAnsi="Times New Roman"/>
          <w:iCs/>
          <w:color w:val="000000"/>
          <w:sz w:val="24"/>
          <w:szCs w:val="24"/>
          <w:lang w:val="sr-Cyrl-CS"/>
        </w:rPr>
        <w:t xml:space="preserve"> 1. </w:t>
      </w:r>
      <w:r w:rsidR="00D714A0" w:rsidRPr="00911A0C">
        <w:rPr>
          <w:rFonts w:ascii="Times New Roman" w:hAnsi="Times New Roman"/>
          <w:iCs/>
          <w:color w:val="000000"/>
          <w:sz w:val="24"/>
          <w:szCs w:val="24"/>
          <w:lang w:val="sr-Cyrl-CS"/>
        </w:rPr>
        <w:t>КЗ</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При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томе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је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суд</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пропустио</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да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цени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неспорну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чињеницу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да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је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он</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не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само</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директор</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већ</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једини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оснивач</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тог</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предузећа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једини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запослени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њему</w:t>
      </w:r>
      <w:r w:rsidRPr="00911A0C">
        <w:rPr>
          <w:rFonts w:ascii="Times New Roman" w:hAnsi="Times New Roman"/>
          <w:iCs/>
          <w:color w:val="000000"/>
          <w:sz w:val="24"/>
          <w:szCs w:val="24"/>
          <w:lang w:val="sr-Cyrl-CS"/>
        </w:rPr>
        <w:t>."</w:t>
      </w:r>
    </w:p>
    <w:p w:rsidR="00EB616D" w:rsidRPr="00390417" w:rsidRDefault="00EB616D" w:rsidP="00390417">
      <w:pPr>
        <w:shd w:val="clear" w:color="auto" w:fill="FFFFFF"/>
        <w:spacing w:after="0" w:line="240" w:lineRule="auto"/>
        <w:jc w:val="both"/>
        <w:rPr>
          <w:rFonts w:ascii="Times New Roman" w:hAnsi="Times New Roman"/>
          <w:color w:val="000000"/>
          <w:sz w:val="24"/>
          <w:szCs w:val="24"/>
          <w:lang w:val="sr-Cyrl-CS"/>
        </w:rPr>
      </w:pPr>
      <w:r w:rsidRPr="00390417">
        <w:rPr>
          <w:rFonts w:ascii="Times New Roman" w:hAnsi="Times New Roman"/>
          <w:color w:val="000000"/>
          <w:sz w:val="24"/>
          <w:szCs w:val="24"/>
          <w:lang w:val="sr-Cyrl-CS"/>
        </w:rPr>
        <w:t> </w:t>
      </w:r>
    </w:p>
    <w:p w:rsidR="00C5614B" w:rsidRDefault="00EB616D" w:rsidP="00390417">
      <w:pPr>
        <w:shd w:val="clear" w:color="auto" w:fill="FFFFFF"/>
        <w:spacing w:before="48" w:after="48" w:line="240" w:lineRule="auto"/>
        <w:jc w:val="both"/>
        <w:rPr>
          <w:rFonts w:ascii="Times New Roman" w:hAnsi="Times New Roman"/>
          <w:b/>
          <w:bCs/>
          <w:color w:val="000000"/>
          <w:sz w:val="24"/>
          <w:szCs w:val="24"/>
          <w:lang w:val="sr-Cyrl-CS"/>
        </w:rPr>
      </w:pPr>
      <w:r w:rsidRPr="00390417">
        <w:rPr>
          <w:rFonts w:ascii="Times New Roman" w:hAnsi="Times New Roman"/>
          <w:b/>
          <w:bCs/>
          <w:color w:val="000000"/>
          <w:sz w:val="24"/>
          <w:szCs w:val="24"/>
          <w:lang w:val="sr-Cyrl-CS"/>
        </w:rPr>
        <w:t>(</w:t>
      </w:r>
      <w:r w:rsidR="00D714A0" w:rsidRPr="00390417">
        <w:rPr>
          <w:rFonts w:ascii="Times New Roman" w:hAnsi="Times New Roman"/>
          <w:b/>
          <w:bCs/>
          <w:color w:val="000000"/>
          <w:sz w:val="24"/>
          <w:szCs w:val="24"/>
          <w:lang w:val="sr-Cyrl-CS"/>
        </w:rPr>
        <w:t>Решење</w:t>
      </w:r>
      <w:r w:rsidRPr="00390417">
        <w:rPr>
          <w:rFonts w:ascii="Times New Roman" w:hAnsi="Times New Roman"/>
          <w:b/>
          <w:bCs/>
          <w:color w:val="000000"/>
          <w:sz w:val="24"/>
          <w:szCs w:val="24"/>
          <w:lang w:val="sr-Cyrl-CS"/>
        </w:rPr>
        <w:t xml:space="preserve"> </w:t>
      </w:r>
      <w:r w:rsidR="00D714A0" w:rsidRPr="00390417">
        <w:rPr>
          <w:rFonts w:ascii="Times New Roman" w:hAnsi="Times New Roman"/>
          <w:b/>
          <w:bCs/>
          <w:color w:val="000000"/>
          <w:sz w:val="24"/>
          <w:szCs w:val="24"/>
          <w:lang w:val="sr-Cyrl-CS"/>
        </w:rPr>
        <w:t>Апелационог</w:t>
      </w:r>
      <w:r w:rsidRPr="00390417">
        <w:rPr>
          <w:rFonts w:ascii="Times New Roman" w:hAnsi="Times New Roman"/>
          <w:b/>
          <w:bCs/>
          <w:color w:val="000000"/>
          <w:sz w:val="24"/>
          <w:szCs w:val="24"/>
          <w:lang w:val="sr-Cyrl-CS"/>
        </w:rPr>
        <w:t xml:space="preserve"> </w:t>
      </w:r>
      <w:r w:rsidR="00D714A0" w:rsidRPr="00390417">
        <w:rPr>
          <w:rFonts w:ascii="Times New Roman" w:hAnsi="Times New Roman"/>
          <w:b/>
          <w:bCs/>
          <w:color w:val="000000"/>
          <w:sz w:val="24"/>
          <w:szCs w:val="24"/>
          <w:lang w:val="sr-Cyrl-CS"/>
        </w:rPr>
        <w:t>суда</w:t>
      </w:r>
      <w:r w:rsidRPr="00390417">
        <w:rPr>
          <w:rFonts w:ascii="Times New Roman" w:hAnsi="Times New Roman"/>
          <w:b/>
          <w:bCs/>
          <w:color w:val="000000"/>
          <w:sz w:val="24"/>
          <w:szCs w:val="24"/>
          <w:lang w:val="sr-Cyrl-CS"/>
        </w:rPr>
        <w:t xml:space="preserve"> </w:t>
      </w:r>
      <w:r w:rsidR="00D714A0" w:rsidRPr="00390417">
        <w:rPr>
          <w:rFonts w:ascii="Times New Roman" w:hAnsi="Times New Roman"/>
          <w:b/>
          <w:bCs/>
          <w:color w:val="000000"/>
          <w:sz w:val="24"/>
          <w:szCs w:val="24"/>
          <w:lang w:val="sr-Cyrl-CS"/>
        </w:rPr>
        <w:t>у</w:t>
      </w:r>
      <w:r w:rsidRPr="00390417">
        <w:rPr>
          <w:rFonts w:ascii="Times New Roman" w:hAnsi="Times New Roman"/>
          <w:b/>
          <w:bCs/>
          <w:color w:val="000000"/>
          <w:sz w:val="24"/>
          <w:szCs w:val="24"/>
          <w:lang w:val="sr-Cyrl-CS"/>
        </w:rPr>
        <w:t xml:space="preserve"> </w:t>
      </w:r>
      <w:r w:rsidR="00D714A0" w:rsidRPr="00390417">
        <w:rPr>
          <w:rFonts w:ascii="Times New Roman" w:hAnsi="Times New Roman"/>
          <w:b/>
          <w:bCs/>
          <w:color w:val="000000"/>
          <w:sz w:val="24"/>
          <w:szCs w:val="24"/>
          <w:lang w:val="sr-Cyrl-CS"/>
        </w:rPr>
        <w:t>Београду</w:t>
      </w:r>
      <w:r w:rsidRPr="00390417">
        <w:rPr>
          <w:rFonts w:ascii="Times New Roman" w:hAnsi="Times New Roman"/>
          <w:b/>
          <w:bCs/>
          <w:color w:val="000000"/>
          <w:sz w:val="24"/>
          <w:szCs w:val="24"/>
          <w:lang w:val="sr-Cyrl-CS"/>
        </w:rPr>
        <w:t xml:space="preserve">, </w:t>
      </w:r>
      <w:r w:rsidR="00D714A0" w:rsidRPr="00390417">
        <w:rPr>
          <w:rFonts w:ascii="Times New Roman" w:hAnsi="Times New Roman"/>
          <w:b/>
          <w:bCs/>
          <w:color w:val="000000"/>
          <w:sz w:val="24"/>
          <w:szCs w:val="24"/>
          <w:lang w:val="sr-Cyrl-CS"/>
        </w:rPr>
        <w:t>Кж</w:t>
      </w:r>
      <w:r w:rsidRPr="00390417">
        <w:rPr>
          <w:rFonts w:ascii="Times New Roman" w:hAnsi="Times New Roman"/>
          <w:b/>
          <w:bCs/>
          <w:color w:val="000000"/>
          <w:sz w:val="24"/>
          <w:szCs w:val="24"/>
          <w:lang w:val="sr-Cyrl-CS"/>
        </w:rPr>
        <w:t xml:space="preserve">1. 5818/2011 </w:t>
      </w:r>
      <w:r w:rsidR="00D714A0" w:rsidRPr="00390417">
        <w:rPr>
          <w:rFonts w:ascii="Times New Roman" w:hAnsi="Times New Roman"/>
          <w:b/>
          <w:bCs/>
          <w:color w:val="000000"/>
          <w:sz w:val="24"/>
          <w:szCs w:val="24"/>
          <w:lang w:val="sr-Cyrl-CS"/>
        </w:rPr>
        <w:t>од</w:t>
      </w:r>
      <w:r w:rsidRPr="00390417">
        <w:rPr>
          <w:rFonts w:ascii="Times New Roman" w:hAnsi="Times New Roman"/>
          <w:b/>
          <w:bCs/>
          <w:color w:val="000000"/>
          <w:sz w:val="24"/>
          <w:szCs w:val="24"/>
          <w:lang w:val="sr-Cyrl-CS"/>
        </w:rPr>
        <w:t xml:space="preserve"> 7.2.2012. </w:t>
      </w:r>
      <w:r w:rsidR="00D714A0" w:rsidRPr="00390417">
        <w:rPr>
          <w:rFonts w:ascii="Times New Roman" w:hAnsi="Times New Roman"/>
          <w:b/>
          <w:bCs/>
          <w:color w:val="000000"/>
          <w:sz w:val="24"/>
          <w:szCs w:val="24"/>
          <w:lang w:val="sr-Cyrl-CS"/>
        </w:rPr>
        <w:t>године</w:t>
      </w:r>
    </w:p>
    <w:p w:rsidR="00390417" w:rsidRPr="00390417" w:rsidRDefault="00390417" w:rsidP="00390417">
      <w:pPr>
        <w:shd w:val="clear" w:color="auto" w:fill="FFFFFF"/>
        <w:spacing w:before="48" w:after="48" w:line="240" w:lineRule="auto"/>
        <w:jc w:val="both"/>
        <w:rPr>
          <w:rFonts w:ascii="Times New Roman" w:hAnsi="Times New Roman"/>
          <w:b/>
          <w:bCs/>
          <w:color w:val="000000"/>
          <w:sz w:val="24"/>
          <w:szCs w:val="24"/>
          <w:lang w:val="sr-Cyrl-CS"/>
        </w:rPr>
      </w:pPr>
    </w:p>
    <w:p w:rsidR="00D06E30" w:rsidRDefault="001467DF" w:rsidP="00390417">
      <w:pPr>
        <w:shd w:val="clear" w:color="auto" w:fill="FFFFFF"/>
        <w:spacing w:before="100" w:beforeAutospacing="1" w:after="100" w:afterAutospacing="1" w:line="240" w:lineRule="auto"/>
        <w:jc w:val="both"/>
        <w:rPr>
          <w:rFonts w:ascii="Times New Roman" w:hAnsi="Times New Roman"/>
          <w:color w:val="000000"/>
          <w:sz w:val="24"/>
          <w:szCs w:val="24"/>
          <w:lang w:val="sr-Cyrl-CS"/>
        </w:rPr>
      </w:pPr>
      <w:r>
        <w:rPr>
          <w:rFonts w:ascii="Times New Roman" w:hAnsi="Times New Roman"/>
          <w:color w:val="000000"/>
          <w:sz w:val="24"/>
          <w:szCs w:val="24"/>
          <w:lang w:val="sr-Cyrl-CS"/>
        </w:rPr>
        <w:t>3</w:t>
      </w:r>
      <w:r w:rsidR="00390417">
        <w:rPr>
          <w:rFonts w:ascii="Times New Roman" w:hAnsi="Times New Roman"/>
          <w:color w:val="000000"/>
          <w:sz w:val="24"/>
          <w:szCs w:val="24"/>
          <w:lang w:val="sr-Cyrl-CS"/>
        </w:rPr>
        <w:t>)</w:t>
      </w:r>
    </w:p>
    <w:p w:rsidR="00390417" w:rsidRDefault="00C5614B" w:rsidP="00390417">
      <w:pPr>
        <w:shd w:val="clear" w:color="auto" w:fill="FFFFFF"/>
        <w:spacing w:before="100" w:beforeAutospacing="1" w:after="100" w:afterAutospacing="1" w:line="240" w:lineRule="auto"/>
        <w:jc w:val="both"/>
        <w:rPr>
          <w:rFonts w:ascii="Times New Roman" w:hAnsi="Times New Roman"/>
          <w:color w:val="000000"/>
          <w:sz w:val="24"/>
          <w:szCs w:val="24"/>
          <w:lang w:val="sr-Cyrl-CS"/>
        </w:rPr>
      </w:pPr>
      <w:r w:rsidRPr="00390417">
        <w:rPr>
          <w:rFonts w:ascii="Times New Roman" w:hAnsi="Times New Roman"/>
          <w:color w:val="000000"/>
          <w:sz w:val="24"/>
          <w:szCs w:val="24"/>
        </w:rPr>
        <w:t>Кривично дело пореске утаје из члана 154 КЗ РС може се извршити само давањем лажних података у погледу својих законито стечених прихода и предмета.</w:t>
      </w:r>
    </w:p>
    <w:p w:rsidR="00390417" w:rsidRDefault="00390417" w:rsidP="00390417">
      <w:pPr>
        <w:shd w:val="clear" w:color="auto" w:fill="FFFFFF"/>
        <w:spacing w:before="100" w:beforeAutospacing="1" w:after="100" w:afterAutospacing="1" w:line="240" w:lineRule="auto"/>
        <w:jc w:val="both"/>
        <w:rPr>
          <w:rFonts w:ascii="Times New Roman" w:hAnsi="Times New Roman"/>
          <w:color w:val="000000"/>
          <w:sz w:val="24"/>
          <w:szCs w:val="24"/>
        </w:rPr>
      </w:pPr>
    </w:p>
    <w:p w:rsidR="00166B45" w:rsidRPr="00166B45" w:rsidRDefault="00166B45" w:rsidP="00390417">
      <w:pPr>
        <w:shd w:val="clear" w:color="auto" w:fill="FFFFFF"/>
        <w:spacing w:before="100" w:beforeAutospacing="1" w:after="100" w:afterAutospacing="1" w:line="240" w:lineRule="auto"/>
        <w:jc w:val="both"/>
        <w:rPr>
          <w:rFonts w:ascii="Times New Roman" w:hAnsi="Times New Roman"/>
          <w:color w:val="000000"/>
          <w:sz w:val="24"/>
          <w:szCs w:val="24"/>
        </w:rPr>
      </w:pPr>
    </w:p>
    <w:p w:rsidR="00390417" w:rsidRPr="00390417" w:rsidRDefault="00C5614B" w:rsidP="00390417">
      <w:pPr>
        <w:shd w:val="clear" w:color="auto" w:fill="FFFFFF"/>
        <w:spacing w:before="100" w:beforeAutospacing="1" w:after="100" w:afterAutospacing="1" w:line="240" w:lineRule="auto"/>
        <w:jc w:val="both"/>
        <w:rPr>
          <w:rFonts w:ascii="Times New Roman" w:hAnsi="Times New Roman"/>
          <w:color w:val="000000"/>
          <w:sz w:val="24"/>
          <w:szCs w:val="24"/>
          <w:lang w:val="sr-Cyrl-CS"/>
        </w:rPr>
      </w:pPr>
      <w:r w:rsidRPr="00390417">
        <w:rPr>
          <w:rFonts w:ascii="Times New Roman" w:hAnsi="Times New Roman"/>
          <w:color w:val="000000"/>
          <w:sz w:val="24"/>
          <w:szCs w:val="24"/>
        </w:rPr>
        <w:lastRenderedPageBreak/>
        <w:t>Из образложења:</w:t>
      </w:r>
    </w:p>
    <w:p w:rsidR="00C5614B" w:rsidRDefault="00C5614B" w:rsidP="00390417">
      <w:pPr>
        <w:shd w:val="clear" w:color="auto" w:fill="FFFFFF"/>
        <w:spacing w:before="48" w:after="48" w:line="240" w:lineRule="auto"/>
        <w:jc w:val="both"/>
        <w:rPr>
          <w:rFonts w:ascii="Times New Roman" w:hAnsi="Times New Roman"/>
          <w:iCs/>
          <w:color w:val="000000"/>
          <w:sz w:val="24"/>
          <w:szCs w:val="24"/>
          <w:lang w:val="sr-Cyrl-CS"/>
        </w:rPr>
      </w:pPr>
      <w:r w:rsidRPr="00911A0C">
        <w:rPr>
          <w:rFonts w:ascii="Times New Roman" w:hAnsi="Times New Roman"/>
          <w:iCs/>
          <w:color w:val="000000"/>
          <w:sz w:val="24"/>
          <w:szCs w:val="24"/>
        </w:rPr>
        <w:t>"Осуђена је оглашена кривом због кривичног дела пореске утаје из члана 154 став 1 КЗ РС што је у току 1997. године у намери да избегне плаћање акциза и пореза на промет набавила и у својој приватној продавници држала ради продаје 1.800 паковања цигарета страног порекла и то тако што је на овој роби требало да плати 2.331,10 динара на име акцизе и 3.791,90 динара на име пореза на промет, па је тржишна инспекција на дан 13. априла 1997. године поменуту робу одузела. Неспорно је да је осуђена предметне цигарете набавила на црно, тј. без одговарајуће пратеће документације дакле незаконито.</w:t>
      </w:r>
    </w:p>
    <w:p w:rsidR="00911A0C" w:rsidRPr="00911A0C" w:rsidRDefault="00911A0C" w:rsidP="00390417">
      <w:pPr>
        <w:shd w:val="clear" w:color="auto" w:fill="FFFFFF"/>
        <w:spacing w:before="48" w:after="48" w:line="240" w:lineRule="auto"/>
        <w:jc w:val="both"/>
        <w:rPr>
          <w:rFonts w:ascii="Times New Roman" w:hAnsi="Times New Roman"/>
          <w:iCs/>
          <w:color w:val="000000"/>
          <w:sz w:val="24"/>
          <w:szCs w:val="24"/>
          <w:lang w:val="sr-Cyrl-CS"/>
        </w:rPr>
      </w:pPr>
    </w:p>
    <w:p w:rsidR="00C5614B" w:rsidRPr="00911A0C" w:rsidRDefault="00C5614B" w:rsidP="00390417">
      <w:pPr>
        <w:shd w:val="clear" w:color="auto" w:fill="FFFFFF"/>
        <w:spacing w:before="48" w:after="48" w:line="240" w:lineRule="auto"/>
        <w:jc w:val="both"/>
        <w:rPr>
          <w:rFonts w:ascii="Times New Roman" w:hAnsi="Times New Roman"/>
          <w:iCs/>
          <w:color w:val="000000"/>
          <w:sz w:val="24"/>
          <w:szCs w:val="24"/>
        </w:rPr>
      </w:pPr>
      <w:r w:rsidRPr="00911A0C">
        <w:rPr>
          <w:rFonts w:ascii="Times New Roman" w:hAnsi="Times New Roman"/>
          <w:iCs/>
          <w:color w:val="000000"/>
          <w:sz w:val="24"/>
          <w:szCs w:val="24"/>
        </w:rPr>
        <w:t>Како се кривично дело пореске утаје може извршити само у погледу оних прихода или предмета који су законито стечени, то су нижестепени судови на штету осуђене повредили кривични закон када су је огласили кривом за кривично дело пореске утаје из члана 154 став 1 КЗ РС, јер из описа радње извршења кривичног дела у побијаним пресудама не произлазе сва његова битна и законом предвиђена обележја.</w:t>
      </w:r>
    </w:p>
    <w:p w:rsidR="00C5614B" w:rsidRPr="00911A0C" w:rsidRDefault="00C5614B" w:rsidP="00390417">
      <w:pPr>
        <w:shd w:val="clear" w:color="auto" w:fill="FFFFFF"/>
        <w:spacing w:before="48" w:after="48" w:line="240" w:lineRule="auto"/>
        <w:jc w:val="both"/>
        <w:rPr>
          <w:rFonts w:ascii="Times New Roman" w:hAnsi="Times New Roman"/>
          <w:iCs/>
          <w:color w:val="000000"/>
          <w:sz w:val="24"/>
          <w:szCs w:val="24"/>
        </w:rPr>
      </w:pPr>
      <w:r w:rsidRPr="00911A0C">
        <w:rPr>
          <w:rFonts w:ascii="Times New Roman" w:hAnsi="Times New Roman"/>
          <w:iCs/>
          <w:color w:val="000000"/>
          <w:sz w:val="24"/>
          <w:szCs w:val="24"/>
        </w:rPr>
        <w:t>По налажењу Врховног суда о правилној примени кривичног закона лице које не поднесе пријаву о приходима који потичу од вршења кривичног дела, прекршаја или друге незаконите делатности (обављање самосталне делатности за коју лице нема потребно одобрење) не чини кривично дело пореске утаје из члана 154 став 1 КЗ РС јер приходи који по том основу стекне нису законито стечени приходи о којима давање лажних података представља битан елеменат овог кривичног дела."</w:t>
      </w:r>
    </w:p>
    <w:p w:rsidR="00C5614B" w:rsidRPr="00390417" w:rsidRDefault="00C5614B" w:rsidP="00390417">
      <w:pPr>
        <w:shd w:val="clear" w:color="auto" w:fill="FFFFFF"/>
        <w:spacing w:before="48" w:after="48" w:line="240" w:lineRule="auto"/>
        <w:jc w:val="both"/>
        <w:rPr>
          <w:rFonts w:ascii="Times New Roman" w:hAnsi="Times New Roman"/>
          <w:color w:val="000000"/>
          <w:sz w:val="24"/>
          <w:szCs w:val="24"/>
        </w:rPr>
      </w:pPr>
      <w:r w:rsidRPr="00390417">
        <w:rPr>
          <w:rFonts w:ascii="Times New Roman" w:hAnsi="Times New Roman"/>
          <w:color w:val="000000"/>
          <w:sz w:val="24"/>
          <w:szCs w:val="24"/>
        </w:rPr>
        <w:t> </w:t>
      </w:r>
    </w:p>
    <w:p w:rsidR="00C5614B" w:rsidRDefault="00C5614B" w:rsidP="00390417">
      <w:pPr>
        <w:shd w:val="clear" w:color="auto" w:fill="FFFFFF"/>
        <w:spacing w:before="48" w:after="48" w:line="240" w:lineRule="auto"/>
        <w:jc w:val="both"/>
        <w:rPr>
          <w:rFonts w:ascii="Times New Roman" w:hAnsi="Times New Roman"/>
          <w:b/>
          <w:bCs/>
          <w:color w:val="000000"/>
          <w:sz w:val="24"/>
          <w:szCs w:val="24"/>
        </w:rPr>
      </w:pPr>
      <w:r w:rsidRPr="00390417">
        <w:rPr>
          <w:rFonts w:ascii="Times New Roman" w:hAnsi="Times New Roman"/>
          <w:b/>
          <w:bCs/>
          <w:color w:val="000000"/>
          <w:sz w:val="24"/>
          <w:szCs w:val="24"/>
        </w:rPr>
        <w:t>(Пресуда Врховног суда Србије Кзз. 44/98 од 5.11.1998. године, Југословенска ревија за криминологију и кривично право, Београд, бр. 1/1999. године, страна 145)</w:t>
      </w:r>
    </w:p>
    <w:p w:rsidR="00166B45" w:rsidRPr="00390417" w:rsidRDefault="00166B45" w:rsidP="00390417">
      <w:pPr>
        <w:shd w:val="clear" w:color="auto" w:fill="FFFFFF"/>
        <w:spacing w:before="48" w:after="48" w:line="240" w:lineRule="auto"/>
        <w:jc w:val="both"/>
        <w:rPr>
          <w:rFonts w:ascii="Times New Roman" w:hAnsi="Times New Roman"/>
          <w:b/>
          <w:bCs/>
          <w:color w:val="000000"/>
          <w:sz w:val="24"/>
          <w:szCs w:val="24"/>
        </w:rPr>
      </w:pPr>
    </w:p>
    <w:p w:rsidR="00D06E30" w:rsidRDefault="001467DF" w:rsidP="00390417">
      <w:pPr>
        <w:shd w:val="clear" w:color="auto" w:fill="FFFFFF"/>
        <w:spacing w:before="100" w:beforeAutospacing="1" w:after="100" w:afterAutospacing="1" w:line="240" w:lineRule="auto"/>
        <w:jc w:val="both"/>
        <w:rPr>
          <w:rFonts w:ascii="Times New Roman" w:hAnsi="Times New Roman"/>
          <w:color w:val="000000"/>
          <w:sz w:val="24"/>
          <w:szCs w:val="24"/>
          <w:lang w:val="sr-Cyrl-CS"/>
        </w:rPr>
      </w:pPr>
      <w:r>
        <w:rPr>
          <w:rFonts w:ascii="Times New Roman" w:hAnsi="Times New Roman"/>
          <w:color w:val="000000"/>
          <w:sz w:val="24"/>
          <w:szCs w:val="24"/>
          <w:lang w:val="sr-Cyrl-CS"/>
        </w:rPr>
        <w:t>4)</w:t>
      </w:r>
    </w:p>
    <w:p w:rsidR="00390417" w:rsidRPr="00166B45" w:rsidRDefault="00D714A0" w:rsidP="00390417">
      <w:pPr>
        <w:shd w:val="clear" w:color="auto" w:fill="FFFFFF"/>
        <w:spacing w:before="100" w:beforeAutospacing="1" w:after="100" w:afterAutospacing="1" w:line="240" w:lineRule="auto"/>
        <w:jc w:val="both"/>
        <w:rPr>
          <w:rFonts w:ascii="Times New Roman" w:hAnsi="Times New Roman"/>
          <w:color w:val="000000"/>
          <w:sz w:val="24"/>
          <w:szCs w:val="24"/>
        </w:rPr>
      </w:pPr>
      <w:r w:rsidRPr="00390417">
        <w:rPr>
          <w:rFonts w:ascii="Times New Roman" w:hAnsi="Times New Roman"/>
          <w:color w:val="000000"/>
          <w:sz w:val="24"/>
          <w:szCs w:val="24"/>
          <w:lang w:val="sr-Cyrl-CS"/>
        </w:rPr>
        <w:t>За</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постојање</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кривичног</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дела</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несавестан</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рад</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у</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служби</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потребан</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је</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већи</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интензитет</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несавесног</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поступања</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у</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вршењу</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службе</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од</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несмотрености</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и</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грешака</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до</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којих</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повремено</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долази</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у</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раду</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већине</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запослених</w:t>
      </w:r>
      <w:r w:rsidR="00EB616D" w:rsidRPr="00390417">
        <w:rPr>
          <w:rFonts w:ascii="Times New Roman" w:hAnsi="Times New Roman"/>
          <w:color w:val="000000"/>
          <w:sz w:val="24"/>
          <w:szCs w:val="24"/>
          <w:lang w:val="sr-Cyrl-CS"/>
        </w:rPr>
        <w:t>.</w:t>
      </w:r>
    </w:p>
    <w:p w:rsidR="00EB616D" w:rsidRDefault="00D714A0" w:rsidP="00390417">
      <w:pPr>
        <w:shd w:val="clear" w:color="auto" w:fill="FFFFFF"/>
        <w:spacing w:before="48" w:after="48" w:line="240" w:lineRule="auto"/>
        <w:jc w:val="both"/>
        <w:rPr>
          <w:rFonts w:ascii="Times New Roman" w:hAnsi="Times New Roman"/>
          <w:color w:val="000000"/>
          <w:sz w:val="24"/>
          <w:szCs w:val="24"/>
        </w:rPr>
      </w:pPr>
      <w:r w:rsidRPr="00390417">
        <w:rPr>
          <w:rFonts w:ascii="Times New Roman" w:hAnsi="Times New Roman"/>
          <w:color w:val="000000"/>
          <w:sz w:val="24"/>
          <w:szCs w:val="24"/>
          <w:lang w:val="sr-Cyrl-CS"/>
        </w:rPr>
        <w:t>Из</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образложења</w:t>
      </w:r>
      <w:r w:rsidR="00EB616D" w:rsidRPr="00390417">
        <w:rPr>
          <w:rFonts w:ascii="Times New Roman" w:hAnsi="Times New Roman"/>
          <w:color w:val="000000"/>
          <w:sz w:val="24"/>
          <w:szCs w:val="24"/>
          <w:lang w:val="sr-Cyrl-CS"/>
        </w:rPr>
        <w:t>:</w:t>
      </w:r>
    </w:p>
    <w:p w:rsidR="00390417" w:rsidRPr="002E473E" w:rsidRDefault="00390417" w:rsidP="00390417">
      <w:pPr>
        <w:shd w:val="clear" w:color="auto" w:fill="FFFFFF"/>
        <w:spacing w:before="48" w:after="48" w:line="240" w:lineRule="auto"/>
        <w:jc w:val="both"/>
        <w:rPr>
          <w:rFonts w:ascii="Times New Roman" w:hAnsi="Times New Roman"/>
          <w:color w:val="000000"/>
          <w:sz w:val="24"/>
          <w:szCs w:val="24"/>
          <w:lang w:val="sr-Cyrl-CS"/>
        </w:rPr>
      </w:pPr>
    </w:p>
    <w:p w:rsidR="00EB616D" w:rsidRDefault="00EB616D" w:rsidP="00390417">
      <w:pPr>
        <w:shd w:val="clear" w:color="auto" w:fill="FFFFFF"/>
        <w:spacing w:before="48" w:after="48" w:line="240" w:lineRule="auto"/>
        <w:jc w:val="both"/>
        <w:rPr>
          <w:rFonts w:ascii="Times New Roman" w:hAnsi="Times New Roman"/>
          <w:iCs/>
          <w:color w:val="000000"/>
          <w:sz w:val="24"/>
          <w:szCs w:val="24"/>
          <w:lang w:val="sr-Cyrl-CS"/>
        </w:rPr>
      </w:pPr>
      <w:r w:rsidRPr="00911A0C">
        <w:rPr>
          <w:rFonts w:ascii="Times New Roman" w:hAnsi="Times New Roman"/>
          <w:iCs/>
          <w:color w:val="000000"/>
          <w:sz w:val="24"/>
          <w:szCs w:val="24"/>
          <w:lang w:val="sr-Cyrl-CS"/>
        </w:rPr>
        <w:t>"</w:t>
      </w:r>
      <w:r w:rsidR="00D714A0" w:rsidRPr="00911A0C">
        <w:rPr>
          <w:rFonts w:ascii="Times New Roman" w:hAnsi="Times New Roman"/>
          <w:iCs/>
          <w:color w:val="000000"/>
          <w:sz w:val="24"/>
          <w:szCs w:val="24"/>
          <w:lang w:val="sr-Cyrl-CS"/>
        </w:rPr>
        <w:t>Неспорно</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је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да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је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конкретном</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случају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дошло</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до</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пропуста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те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да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конкретном</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случају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ради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о</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очигледној</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грешци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али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обзиром</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да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је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окривљена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критичном</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приликом</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проверу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извршила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на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уобичајан</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начин</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те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да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због</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гужве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која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је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тог</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дана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била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банци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то</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није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учинила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детаљно</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већ</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летимично</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те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чињенице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да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је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спорни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налог</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предао</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клијент</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којима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никада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нису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имали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проблема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који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је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био</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уважен</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при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том</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ако</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има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виду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чињеница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да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је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тек</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неколико</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дана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пре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предаје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тог</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налога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дошло</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до</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промене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лица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овлашћеног</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за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заступање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располагање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средствима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предузећа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Апелациони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суд</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Б</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налази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да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из</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изведених</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доказа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не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произилази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да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је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окривљена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предметне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радње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предузела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очигледно</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несавесно</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интезитету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који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би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представљао</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елемент</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кривичног</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дела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питању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већ</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насупрот</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томе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Апелациони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суд</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Б</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налази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да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нема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доказа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да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радње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које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је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окривљена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предузела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садрже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такав</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интезитет</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очигледног</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несавесног</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поступања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који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подразумева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извршење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кривичног</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дела</w:t>
      </w:r>
      <w:r w:rsidRPr="00911A0C">
        <w:rPr>
          <w:rFonts w:ascii="Times New Roman" w:hAnsi="Times New Roman"/>
          <w:iCs/>
          <w:color w:val="000000"/>
          <w:sz w:val="24"/>
          <w:szCs w:val="24"/>
          <w:lang w:val="sr-Cyrl-CS"/>
        </w:rPr>
        <w:t>.</w:t>
      </w:r>
    </w:p>
    <w:p w:rsidR="00911A0C" w:rsidRPr="00911A0C" w:rsidRDefault="00911A0C" w:rsidP="00390417">
      <w:pPr>
        <w:shd w:val="clear" w:color="auto" w:fill="FFFFFF"/>
        <w:spacing w:before="48" w:after="48" w:line="240" w:lineRule="auto"/>
        <w:jc w:val="both"/>
        <w:rPr>
          <w:rFonts w:ascii="Times New Roman" w:hAnsi="Times New Roman"/>
          <w:color w:val="000000"/>
          <w:sz w:val="24"/>
          <w:szCs w:val="24"/>
          <w:lang w:val="sr-Cyrl-CS"/>
        </w:rPr>
      </w:pPr>
    </w:p>
    <w:p w:rsidR="00EB616D" w:rsidRPr="00911A0C" w:rsidRDefault="00D714A0" w:rsidP="00390417">
      <w:pPr>
        <w:shd w:val="clear" w:color="auto" w:fill="FFFFFF"/>
        <w:spacing w:before="48" w:after="48" w:line="240" w:lineRule="auto"/>
        <w:jc w:val="both"/>
        <w:rPr>
          <w:rFonts w:ascii="Times New Roman" w:hAnsi="Times New Roman"/>
          <w:color w:val="000000"/>
          <w:sz w:val="24"/>
          <w:szCs w:val="24"/>
          <w:lang w:val="sr-Cyrl-CS"/>
        </w:rPr>
      </w:pPr>
      <w:r w:rsidRPr="00911A0C">
        <w:rPr>
          <w:rFonts w:ascii="Times New Roman" w:hAnsi="Times New Roman"/>
          <w:iCs/>
          <w:color w:val="000000"/>
          <w:sz w:val="24"/>
          <w:szCs w:val="24"/>
          <w:lang w:val="sr-Cyrl-CS"/>
        </w:rPr>
        <w:t>Имајући</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у</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виду</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све</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напред</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наведено</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Апелациони</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суд</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у</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Б</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је</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схватања</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да</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је</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за</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постојање</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кривичног</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дела</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несавестан</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рад</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у</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служби</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из</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члана</w:t>
      </w:r>
      <w:r w:rsidR="00EB616D" w:rsidRPr="00911A0C">
        <w:rPr>
          <w:rFonts w:ascii="Times New Roman" w:hAnsi="Times New Roman"/>
          <w:iCs/>
          <w:color w:val="000000"/>
          <w:sz w:val="24"/>
          <w:szCs w:val="24"/>
          <w:lang w:val="sr-Cyrl-CS"/>
        </w:rPr>
        <w:t xml:space="preserve"> 361. </w:t>
      </w:r>
      <w:r w:rsidRPr="00911A0C">
        <w:rPr>
          <w:rFonts w:ascii="Times New Roman" w:hAnsi="Times New Roman"/>
          <w:iCs/>
          <w:color w:val="000000"/>
          <w:sz w:val="24"/>
          <w:szCs w:val="24"/>
          <w:lang w:val="sr-Cyrl-CS"/>
        </w:rPr>
        <w:t>став</w:t>
      </w:r>
      <w:r w:rsidR="00EB616D" w:rsidRPr="00911A0C">
        <w:rPr>
          <w:rFonts w:ascii="Times New Roman" w:hAnsi="Times New Roman"/>
          <w:iCs/>
          <w:color w:val="000000"/>
          <w:sz w:val="24"/>
          <w:szCs w:val="24"/>
          <w:lang w:val="sr-Cyrl-CS"/>
        </w:rPr>
        <w:t xml:space="preserve"> 1. </w:t>
      </w:r>
      <w:r w:rsidRPr="00911A0C">
        <w:rPr>
          <w:rFonts w:ascii="Times New Roman" w:hAnsi="Times New Roman"/>
          <w:iCs/>
          <w:color w:val="000000"/>
          <w:sz w:val="24"/>
          <w:szCs w:val="24"/>
          <w:lang w:val="sr-Cyrl-CS"/>
        </w:rPr>
        <w:t>Кривичног</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законика</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потребан</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већи</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интезитет</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несавесног</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поступања</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у</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вршењу</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службе</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од</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несмотрености</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и</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грешака</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до</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којих</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повремено</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долази</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у</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раду</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већине</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запослених</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па</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како</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је</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на</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основу</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доказа</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изведених</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на</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претресу</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утврђено</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да</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код</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окривљене</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Д</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Д</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не</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постоји</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већи</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интезитет</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несавесног</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поступања</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у</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вршењу</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службе</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који</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је</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потребан</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за</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постојање</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овог</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кривичног</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дела</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већ</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да</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се</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у</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конкретном</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случају</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ради</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о</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пропусту</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који</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не</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одудара</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од</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уобичајених</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пропуста</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у</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раду</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то</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је</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Апелациони</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суд</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у</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Б</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окривљену</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и</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ослободио</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од</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оптужбе</w:t>
      </w:r>
      <w:r w:rsidR="00EB616D" w:rsidRPr="00911A0C">
        <w:rPr>
          <w:rFonts w:ascii="Times New Roman" w:hAnsi="Times New Roman"/>
          <w:iCs/>
          <w:color w:val="000000"/>
          <w:sz w:val="24"/>
          <w:szCs w:val="24"/>
          <w:lang w:val="sr-Cyrl-CS"/>
        </w:rPr>
        <w:t>."</w:t>
      </w:r>
    </w:p>
    <w:p w:rsidR="00EB616D" w:rsidRPr="00390417" w:rsidRDefault="00EB616D" w:rsidP="00390417">
      <w:pPr>
        <w:shd w:val="clear" w:color="auto" w:fill="FFFFFF"/>
        <w:spacing w:before="48" w:after="48" w:line="240" w:lineRule="auto"/>
        <w:jc w:val="both"/>
        <w:rPr>
          <w:rFonts w:ascii="Times New Roman" w:hAnsi="Times New Roman"/>
          <w:color w:val="000000"/>
          <w:sz w:val="24"/>
          <w:szCs w:val="24"/>
          <w:lang w:val="sr-Cyrl-CS"/>
        </w:rPr>
      </w:pPr>
      <w:r w:rsidRPr="00390417">
        <w:rPr>
          <w:rFonts w:ascii="Times New Roman" w:hAnsi="Times New Roman"/>
          <w:i/>
          <w:iCs/>
          <w:color w:val="000000"/>
          <w:sz w:val="24"/>
          <w:szCs w:val="24"/>
          <w:lang w:val="sr-Cyrl-CS"/>
        </w:rPr>
        <w:t> </w:t>
      </w:r>
    </w:p>
    <w:p w:rsidR="00EB616D" w:rsidRPr="00390417" w:rsidRDefault="00EB616D" w:rsidP="00390417">
      <w:pPr>
        <w:shd w:val="clear" w:color="auto" w:fill="FFFFFF"/>
        <w:spacing w:before="48" w:after="48" w:line="240" w:lineRule="auto"/>
        <w:jc w:val="both"/>
        <w:rPr>
          <w:rFonts w:ascii="Times New Roman" w:hAnsi="Times New Roman"/>
          <w:color w:val="000000"/>
          <w:sz w:val="24"/>
          <w:szCs w:val="24"/>
          <w:lang w:val="sr-Cyrl-CS"/>
        </w:rPr>
      </w:pPr>
      <w:r w:rsidRPr="00390417">
        <w:rPr>
          <w:rFonts w:ascii="Times New Roman" w:hAnsi="Times New Roman"/>
          <w:b/>
          <w:bCs/>
          <w:color w:val="000000"/>
          <w:sz w:val="24"/>
          <w:szCs w:val="24"/>
          <w:lang w:val="sr-Cyrl-CS"/>
        </w:rPr>
        <w:t>(</w:t>
      </w:r>
      <w:r w:rsidR="00D714A0" w:rsidRPr="00390417">
        <w:rPr>
          <w:rFonts w:ascii="Times New Roman" w:hAnsi="Times New Roman"/>
          <w:b/>
          <w:bCs/>
          <w:color w:val="000000"/>
          <w:sz w:val="24"/>
          <w:szCs w:val="24"/>
          <w:lang w:val="sr-Cyrl-CS"/>
        </w:rPr>
        <w:t>Пресуда</w:t>
      </w:r>
      <w:r w:rsidRPr="00390417">
        <w:rPr>
          <w:rFonts w:ascii="Times New Roman" w:hAnsi="Times New Roman"/>
          <w:b/>
          <w:bCs/>
          <w:color w:val="000000"/>
          <w:sz w:val="24"/>
          <w:szCs w:val="24"/>
          <w:lang w:val="sr-Cyrl-CS"/>
        </w:rPr>
        <w:t xml:space="preserve"> </w:t>
      </w:r>
      <w:r w:rsidR="00D714A0" w:rsidRPr="00390417">
        <w:rPr>
          <w:rFonts w:ascii="Times New Roman" w:hAnsi="Times New Roman"/>
          <w:b/>
          <w:bCs/>
          <w:color w:val="000000"/>
          <w:sz w:val="24"/>
          <w:szCs w:val="24"/>
          <w:lang w:val="sr-Cyrl-CS"/>
        </w:rPr>
        <w:t>Апелационог</w:t>
      </w:r>
      <w:r w:rsidRPr="00390417">
        <w:rPr>
          <w:rFonts w:ascii="Times New Roman" w:hAnsi="Times New Roman"/>
          <w:b/>
          <w:bCs/>
          <w:color w:val="000000"/>
          <w:sz w:val="24"/>
          <w:szCs w:val="24"/>
          <w:lang w:val="sr-Cyrl-CS"/>
        </w:rPr>
        <w:t xml:space="preserve"> </w:t>
      </w:r>
      <w:r w:rsidR="00D714A0" w:rsidRPr="00390417">
        <w:rPr>
          <w:rFonts w:ascii="Times New Roman" w:hAnsi="Times New Roman"/>
          <w:b/>
          <w:bCs/>
          <w:color w:val="000000"/>
          <w:sz w:val="24"/>
          <w:szCs w:val="24"/>
          <w:lang w:val="sr-Cyrl-CS"/>
        </w:rPr>
        <w:t>суда</w:t>
      </w:r>
      <w:r w:rsidRPr="00390417">
        <w:rPr>
          <w:rFonts w:ascii="Times New Roman" w:hAnsi="Times New Roman"/>
          <w:b/>
          <w:bCs/>
          <w:color w:val="000000"/>
          <w:sz w:val="24"/>
          <w:szCs w:val="24"/>
          <w:lang w:val="sr-Cyrl-CS"/>
        </w:rPr>
        <w:t xml:space="preserve"> </w:t>
      </w:r>
      <w:r w:rsidR="00D714A0" w:rsidRPr="00390417">
        <w:rPr>
          <w:rFonts w:ascii="Times New Roman" w:hAnsi="Times New Roman"/>
          <w:b/>
          <w:bCs/>
          <w:color w:val="000000"/>
          <w:sz w:val="24"/>
          <w:szCs w:val="24"/>
          <w:lang w:val="sr-Cyrl-CS"/>
        </w:rPr>
        <w:t>у</w:t>
      </w:r>
      <w:r w:rsidRPr="00390417">
        <w:rPr>
          <w:rFonts w:ascii="Times New Roman" w:hAnsi="Times New Roman"/>
          <w:b/>
          <w:bCs/>
          <w:color w:val="000000"/>
          <w:sz w:val="24"/>
          <w:szCs w:val="24"/>
          <w:lang w:val="sr-Cyrl-CS"/>
        </w:rPr>
        <w:t xml:space="preserve"> </w:t>
      </w:r>
      <w:r w:rsidR="00D714A0" w:rsidRPr="00390417">
        <w:rPr>
          <w:rFonts w:ascii="Times New Roman" w:hAnsi="Times New Roman"/>
          <w:b/>
          <w:bCs/>
          <w:color w:val="000000"/>
          <w:sz w:val="24"/>
          <w:szCs w:val="24"/>
          <w:lang w:val="sr-Cyrl-CS"/>
        </w:rPr>
        <w:t>Београду</w:t>
      </w:r>
      <w:r w:rsidRPr="00390417">
        <w:rPr>
          <w:rFonts w:ascii="Times New Roman" w:hAnsi="Times New Roman"/>
          <w:b/>
          <w:bCs/>
          <w:color w:val="000000"/>
          <w:sz w:val="24"/>
          <w:szCs w:val="24"/>
          <w:lang w:val="sr-Cyrl-CS"/>
        </w:rPr>
        <w:t xml:space="preserve">, </w:t>
      </w:r>
      <w:r w:rsidR="00D714A0" w:rsidRPr="00390417">
        <w:rPr>
          <w:rFonts w:ascii="Times New Roman" w:hAnsi="Times New Roman"/>
          <w:b/>
          <w:bCs/>
          <w:color w:val="000000"/>
          <w:sz w:val="24"/>
          <w:szCs w:val="24"/>
          <w:lang w:val="sr-Cyrl-CS"/>
        </w:rPr>
        <w:t>Кж</w:t>
      </w:r>
      <w:r w:rsidRPr="00390417">
        <w:rPr>
          <w:rFonts w:ascii="Times New Roman" w:hAnsi="Times New Roman"/>
          <w:b/>
          <w:bCs/>
          <w:color w:val="000000"/>
          <w:sz w:val="24"/>
          <w:szCs w:val="24"/>
          <w:lang w:val="sr-Cyrl-CS"/>
        </w:rPr>
        <w:t xml:space="preserve">1. 1089/2012 </w:t>
      </w:r>
      <w:r w:rsidR="00D714A0" w:rsidRPr="00390417">
        <w:rPr>
          <w:rFonts w:ascii="Times New Roman" w:hAnsi="Times New Roman"/>
          <w:b/>
          <w:bCs/>
          <w:color w:val="000000"/>
          <w:sz w:val="24"/>
          <w:szCs w:val="24"/>
          <w:lang w:val="sr-Cyrl-CS"/>
        </w:rPr>
        <w:t>од</w:t>
      </w:r>
      <w:r w:rsidRPr="00390417">
        <w:rPr>
          <w:rFonts w:ascii="Times New Roman" w:hAnsi="Times New Roman"/>
          <w:b/>
          <w:bCs/>
          <w:color w:val="000000"/>
          <w:sz w:val="24"/>
          <w:szCs w:val="24"/>
          <w:lang w:val="sr-Cyrl-CS"/>
        </w:rPr>
        <w:t xml:space="preserve"> 5.4.2012. </w:t>
      </w:r>
      <w:r w:rsidR="00D714A0" w:rsidRPr="00390417">
        <w:rPr>
          <w:rFonts w:ascii="Times New Roman" w:hAnsi="Times New Roman"/>
          <w:b/>
          <w:bCs/>
          <w:color w:val="000000"/>
          <w:sz w:val="24"/>
          <w:szCs w:val="24"/>
          <w:lang w:val="sr-Cyrl-CS"/>
        </w:rPr>
        <w:t>године</w:t>
      </w:r>
      <w:r w:rsidRPr="00390417">
        <w:rPr>
          <w:rFonts w:ascii="Times New Roman" w:hAnsi="Times New Roman"/>
          <w:b/>
          <w:bCs/>
          <w:color w:val="000000"/>
          <w:sz w:val="24"/>
          <w:szCs w:val="24"/>
          <w:lang w:val="sr-Cyrl-CS"/>
        </w:rPr>
        <w:t>)</w:t>
      </w:r>
    </w:p>
    <w:p w:rsidR="00EB616D" w:rsidRPr="00390417" w:rsidRDefault="00EB616D" w:rsidP="00390417">
      <w:pPr>
        <w:shd w:val="clear" w:color="auto" w:fill="FFFFFF"/>
        <w:spacing w:before="48" w:after="48" w:line="240" w:lineRule="auto"/>
        <w:jc w:val="both"/>
        <w:rPr>
          <w:rFonts w:ascii="Times New Roman" w:hAnsi="Times New Roman"/>
          <w:color w:val="000000"/>
          <w:sz w:val="24"/>
          <w:szCs w:val="24"/>
          <w:lang w:val="sr-Cyrl-CS"/>
        </w:rPr>
      </w:pPr>
    </w:p>
    <w:p w:rsidR="00D06E30" w:rsidRDefault="001467DF" w:rsidP="00390417">
      <w:pPr>
        <w:shd w:val="clear" w:color="auto" w:fill="FFFFFF"/>
        <w:spacing w:before="100" w:beforeAutospacing="1" w:after="100" w:afterAutospacing="1" w:line="240" w:lineRule="auto"/>
        <w:jc w:val="both"/>
        <w:rPr>
          <w:rFonts w:ascii="Times New Roman" w:hAnsi="Times New Roman"/>
          <w:color w:val="000000"/>
          <w:sz w:val="24"/>
          <w:szCs w:val="24"/>
          <w:lang w:val="sr-Cyrl-CS"/>
        </w:rPr>
      </w:pPr>
      <w:r>
        <w:rPr>
          <w:rFonts w:ascii="Times New Roman" w:hAnsi="Times New Roman"/>
          <w:color w:val="000000"/>
          <w:sz w:val="24"/>
          <w:szCs w:val="24"/>
          <w:lang w:val="sr-Cyrl-CS"/>
        </w:rPr>
        <w:t>5</w:t>
      </w:r>
      <w:r w:rsidR="00390417">
        <w:rPr>
          <w:rFonts w:ascii="Times New Roman" w:hAnsi="Times New Roman"/>
          <w:color w:val="000000"/>
          <w:sz w:val="24"/>
          <w:szCs w:val="24"/>
          <w:lang w:val="sr-Cyrl-CS"/>
        </w:rPr>
        <w:t>)</w:t>
      </w:r>
    </w:p>
    <w:p w:rsidR="00390417" w:rsidRPr="00166B45" w:rsidRDefault="00D714A0" w:rsidP="00390417">
      <w:pPr>
        <w:shd w:val="clear" w:color="auto" w:fill="FFFFFF"/>
        <w:spacing w:before="100" w:beforeAutospacing="1" w:after="100" w:afterAutospacing="1" w:line="240" w:lineRule="auto"/>
        <w:jc w:val="both"/>
        <w:rPr>
          <w:rFonts w:ascii="Times New Roman" w:hAnsi="Times New Roman"/>
          <w:color w:val="000000"/>
          <w:sz w:val="24"/>
          <w:szCs w:val="24"/>
        </w:rPr>
      </w:pPr>
      <w:r w:rsidRPr="00390417">
        <w:rPr>
          <w:rFonts w:ascii="Times New Roman" w:hAnsi="Times New Roman"/>
          <w:color w:val="000000"/>
          <w:sz w:val="24"/>
          <w:szCs w:val="24"/>
          <w:lang w:val="sr-Cyrl-CS"/>
        </w:rPr>
        <w:t>Без</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обзира</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на</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то</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што</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оштећени</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није</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истакао</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имовинскоправни</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захтев</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суд</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је</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у</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обавези</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да</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од</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окривљеног</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одузме</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имовинску</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корист</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коју</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је</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стекао</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извршењем</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кривичног</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дела</w:t>
      </w:r>
      <w:r w:rsidR="00EB616D" w:rsidRPr="00390417">
        <w:rPr>
          <w:rFonts w:ascii="Times New Roman" w:hAnsi="Times New Roman"/>
          <w:color w:val="000000"/>
          <w:sz w:val="24"/>
          <w:szCs w:val="24"/>
          <w:lang w:val="sr-Cyrl-CS"/>
        </w:rPr>
        <w:t>.</w:t>
      </w:r>
    </w:p>
    <w:p w:rsidR="00EB616D" w:rsidRDefault="00D714A0" w:rsidP="00390417">
      <w:pPr>
        <w:shd w:val="clear" w:color="auto" w:fill="FFFFFF"/>
        <w:spacing w:before="48" w:after="48" w:line="240" w:lineRule="auto"/>
        <w:jc w:val="both"/>
        <w:rPr>
          <w:rFonts w:ascii="Times New Roman" w:hAnsi="Times New Roman"/>
          <w:color w:val="000000"/>
          <w:sz w:val="24"/>
          <w:szCs w:val="24"/>
          <w:lang w:val="sr-Cyrl-CS"/>
        </w:rPr>
      </w:pPr>
      <w:r w:rsidRPr="00390417">
        <w:rPr>
          <w:rFonts w:ascii="Times New Roman" w:hAnsi="Times New Roman"/>
          <w:color w:val="000000"/>
          <w:sz w:val="24"/>
          <w:szCs w:val="24"/>
          <w:lang w:val="sr-Cyrl-CS"/>
        </w:rPr>
        <w:t>Из</w:t>
      </w:r>
      <w:r w:rsidR="00EB616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образложења</w:t>
      </w:r>
      <w:r w:rsidR="00EB616D" w:rsidRPr="00390417">
        <w:rPr>
          <w:rFonts w:ascii="Times New Roman" w:hAnsi="Times New Roman"/>
          <w:color w:val="000000"/>
          <w:sz w:val="24"/>
          <w:szCs w:val="24"/>
          <w:lang w:val="sr-Cyrl-CS"/>
        </w:rPr>
        <w:t>:</w:t>
      </w:r>
    </w:p>
    <w:p w:rsidR="00390417" w:rsidRPr="00390417" w:rsidRDefault="00390417" w:rsidP="00390417">
      <w:pPr>
        <w:shd w:val="clear" w:color="auto" w:fill="FFFFFF"/>
        <w:spacing w:before="48" w:after="48" w:line="240" w:lineRule="auto"/>
        <w:jc w:val="both"/>
        <w:rPr>
          <w:rFonts w:ascii="Times New Roman" w:hAnsi="Times New Roman"/>
          <w:color w:val="000000"/>
          <w:sz w:val="24"/>
          <w:szCs w:val="24"/>
          <w:lang w:val="sr-Cyrl-CS"/>
        </w:rPr>
      </w:pPr>
    </w:p>
    <w:p w:rsidR="00EB616D" w:rsidRPr="00911A0C" w:rsidRDefault="00EB616D" w:rsidP="00390417">
      <w:pPr>
        <w:shd w:val="clear" w:color="auto" w:fill="FFFFFF"/>
        <w:spacing w:before="48" w:after="48" w:line="240" w:lineRule="auto"/>
        <w:jc w:val="both"/>
        <w:rPr>
          <w:rFonts w:ascii="Times New Roman" w:hAnsi="Times New Roman"/>
          <w:color w:val="000000"/>
          <w:sz w:val="24"/>
          <w:szCs w:val="24"/>
          <w:lang w:val="sr-Cyrl-CS"/>
        </w:rPr>
      </w:pPr>
      <w:r w:rsidRPr="00911A0C">
        <w:rPr>
          <w:rFonts w:ascii="Times New Roman" w:hAnsi="Times New Roman"/>
          <w:iCs/>
          <w:color w:val="000000"/>
          <w:sz w:val="24"/>
          <w:szCs w:val="24"/>
          <w:lang w:val="sr-Cyrl-CS"/>
        </w:rPr>
        <w:t>"</w:t>
      </w:r>
      <w:r w:rsidR="00D714A0" w:rsidRPr="00911A0C">
        <w:rPr>
          <w:rFonts w:ascii="Times New Roman" w:hAnsi="Times New Roman"/>
          <w:iCs/>
          <w:color w:val="000000"/>
          <w:sz w:val="24"/>
          <w:szCs w:val="24"/>
          <w:lang w:val="sr-Cyrl-CS"/>
        </w:rPr>
        <w:t>Наиме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приликом</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доношења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пресуде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првостепени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суд</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је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био</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обавези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да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од</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окривљеног</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одузме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имовинску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корист</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стечену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извршењем</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кривичног</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дела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на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штету</w:t>
      </w:r>
      <w:r w:rsidRPr="00911A0C">
        <w:rPr>
          <w:rFonts w:ascii="Times New Roman" w:hAnsi="Times New Roman"/>
          <w:iCs/>
          <w:color w:val="000000"/>
          <w:sz w:val="24"/>
          <w:szCs w:val="24"/>
          <w:lang w:val="sr-Cyrl-CS"/>
        </w:rPr>
        <w:t xml:space="preserve"> ... </w:t>
      </w:r>
      <w:r w:rsidR="00D714A0" w:rsidRPr="00911A0C">
        <w:rPr>
          <w:rFonts w:ascii="Times New Roman" w:hAnsi="Times New Roman"/>
          <w:iCs/>
          <w:color w:val="000000"/>
          <w:sz w:val="24"/>
          <w:szCs w:val="24"/>
          <w:lang w:val="sr-Cyrl-CS"/>
        </w:rPr>
        <w:t>сходно</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члану</w:t>
      </w:r>
      <w:r w:rsidRPr="00911A0C">
        <w:rPr>
          <w:rFonts w:ascii="Times New Roman" w:hAnsi="Times New Roman"/>
          <w:iCs/>
          <w:color w:val="000000"/>
          <w:sz w:val="24"/>
          <w:szCs w:val="24"/>
          <w:lang w:val="sr-Cyrl-CS"/>
        </w:rPr>
        <w:t xml:space="preserve"> 91. </w:t>
      </w:r>
      <w:r w:rsidR="00D714A0" w:rsidRPr="00911A0C">
        <w:rPr>
          <w:rFonts w:ascii="Times New Roman" w:hAnsi="Times New Roman"/>
          <w:iCs/>
          <w:color w:val="000000"/>
          <w:sz w:val="24"/>
          <w:szCs w:val="24"/>
          <w:lang w:val="sr-Cyrl-CS"/>
        </w:rPr>
        <w:t>Кривичног</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законика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који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прописује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да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нико</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не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може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задржати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имовинску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корист</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прибављену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кривичним</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делом</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ставу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првом</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да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ће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корист</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из</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поменутог</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члана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одузети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под</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условима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предвиђеним</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овим</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закоником</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судском</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одлуком</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којом</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је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утврђено</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извршење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кривичног</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дела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Наиме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то</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што</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оштећени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није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истакао</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имовинскоправни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захтев</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не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значи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да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окривљени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има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право</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да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задржи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стечену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имовиску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корист</w:t>
      </w:r>
      <w:r w:rsidRPr="00911A0C">
        <w:rPr>
          <w:rFonts w:ascii="Times New Roman" w:hAnsi="Times New Roman"/>
          <w:iCs/>
          <w:color w:val="000000"/>
          <w:sz w:val="24"/>
          <w:szCs w:val="24"/>
          <w:lang w:val="sr-Cyrl-CS"/>
        </w:rPr>
        <w:t>.</w:t>
      </w:r>
    </w:p>
    <w:p w:rsidR="00EB616D" w:rsidRPr="00911A0C" w:rsidRDefault="00EB616D" w:rsidP="00390417">
      <w:pPr>
        <w:shd w:val="clear" w:color="auto" w:fill="FFFFFF"/>
        <w:spacing w:before="48" w:after="48" w:line="240" w:lineRule="auto"/>
        <w:jc w:val="both"/>
        <w:rPr>
          <w:rFonts w:ascii="Times New Roman" w:hAnsi="Times New Roman"/>
          <w:color w:val="000000"/>
          <w:sz w:val="24"/>
          <w:szCs w:val="24"/>
          <w:lang w:val="sr-Cyrl-CS"/>
        </w:rPr>
      </w:pPr>
      <w:r w:rsidRPr="00911A0C">
        <w:rPr>
          <w:rFonts w:ascii="Times New Roman" w:hAnsi="Times New Roman"/>
          <w:iCs/>
          <w:color w:val="000000"/>
          <w:sz w:val="24"/>
          <w:szCs w:val="24"/>
          <w:lang w:val="sr-Cyrl-CS"/>
        </w:rPr>
        <w:t>(...)</w:t>
      </w:r>
    </w:p>
    <w:p w:rsidR="00EB616D" w:rsidRPr="00911A0C" w:rsidRDefault="00D714A0" w:rsidP="00390417">
      <w:pPr>
        <w:shd w:val="clear" w:color="auto" w:fill="FFFFFF"/>
        <w:spacing w:before="48" w:after="48" w:line="240" w:lineRule="auto"/>
        <w:jc w:val="both"/>
        <w:rPr>
          <w:rFonts w:ascii="Times New Roman" w:hAnsi="Times New Roman"/>
          <w:color w:val="000000"/>
          <w:sz w:val="24"/>
          <w:szCs w:val="24"/>
          <w:lang w:val="sr-Cyrl-CS"/>
        </w:rPr>
      </w:pPr>
      <w:r w:rsidRPr="00911A0C">
        <w:rPr>
          <w:rFonts w:ascii="Times New Roman" w:hAnsi="Times New Roman"/>
          <w:iCs/>
          <w:color w:val="000000"/>
          <w:sz w:val="24"/>
          <w:szCs w:val="24"/>
          <w:lang w:val="sr-Cyrl-CS"/>
        </w:rPr>
        <w:t>На</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поновном</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суђењу</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првостепени</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суд</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ће</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отклонити</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наведене</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повреде</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на</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које</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је</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овим</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решењем</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указано</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и</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при</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том</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имати</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у</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виду</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и</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друге</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жалбене</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наводе</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окривљеног</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након</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чега</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ће</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бити</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у</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могућности</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да</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донесе</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правилну</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и</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закониту</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одлуку</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у</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овој</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кривичноправној</w:t>
      </w:r>
      <w:r w:rsidR="00EB616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ствари</w:t>
      </w:r>
      <w:r w:rsidR="00EB616D" w:rsidRPr="00911A0C">
        <w:rPr>
          <w:rFonts w:ascii="Times New Roman" w:hAnsi="Times New Roman"/>
          <w:iCs/>
          <w:color w:val="000000"/>
          <w:sz w:val="24"/>
          <w:szCs w:val="24"/>
          <w:lang w:val="sr-Cyrl-CS"/>
        </w:rPr>
        <w:t>."</w:t>
      </w:r>
    </w:p>
    <w:p w:rsidR="00EB616D" w:rsidRPr="00390417" w:rsidRDefault="00EB616D" w:rsidP="00390417">
      <w:pPr>
        <w:shd w:val="clear" w:color="auto" w:fill="FFFFFF"/>
        <w:spacing w:before="48" w:after="48" w:line="240" w:lineRule="auto"/>
        <w:jc w:val="both"/>
        <w:rPr>
          <w:rFonts w:ascii="Times New Roman" w:hAnsi="Times New Roman"/>
          <w:color w:val="000000"/>
          <w:sz w:val="24"/>
          <w:szCs w:val="24"/>
          <w:lang w:val="sr-Cyrl-CS"/>
        </w:rPr>
      </w:pPr>
      <w:r w:rsidRPr="00390417">
        <w:rPr>
          <w:rFonts w:ascii="Times New Roman" w:hAnsi="Times New Roman"/>
          <w:i/>
          <w:iCs/>
          <w:color w:val="000000"/>
          <w:sz w:val="24"/>
          <w:szCs w:val="24"/>
          <w:lang w:val="sr-Cyrl-CS"/>
        </w:rPr>
        <w:t> </w:t>
      </w:r>
    </w:p>
    <w:p w:rsidR="00C5614B" w:rsidRDefault="00EB616D" w:rsidP="00390417">
      <w:pPr>
        <w:shd w:val="clear" w:color="auto" w:fill="FFFFFF"/>
        <w:spacing w:before="48" w:after="48" w:line="240" w:lineRule="auto"/>
        <w:jc w:val="both"/>
        <w:rPr>
          <w:rFonts w:ascii="Times New Roman" w:hAnsi="Times New Roman"/>
          <w:b/>
          <w:bCs/>
          <w:color w:val="000000"/>
          <w:sz w:val="24"/>
          <w:szCs w:val="24"/>
        </w:rPr>
      </w:pPr>
      <w:r w:rsidRPr="00390417">
        <w:rPr>
          <w:rFonts w:ascii="Times New Roman" w:hAnsi="Times New Roman"/>
          <w:b/>
          <w:bCs/>
          <w:color w:val="000000"/>
          <w:sz w:val="24"/>
          <w:szCs w:val="24"/>
          <w:lang w:val="sr-Cyrl-CS"/>
        </w:rPr>
        <w:t>(</w:t>
      </w:r>
      <w:r w:rsidR="00D714A0" w:rsidRPr="00390417">
        <w:rPr>
          <w:rFonts w:ascii="Times New Roman" w:hAnsi="Times New Roman"/>
          <w:b/>
          <w:bCs/>
          <w:color w:val="000000"/>
          <w:sz w:val="24"/>
          <w:szCs w:val="24"/>
          <w:lang w:val="sr-Cyrl-CS"/>
        </w:rPr>
        <w:t>Решење</w:t>
      </w:r>
      <w:r w:rsidRPr="00390417">
        <w:rPr>
          <w:rFonts w:ascii="Times New Roman" w:hAnsi="Times New Roman"/>
          <w:b/>
          <w:bCs/>
          <w:color w:val="000000"/>
          <w:sz w:val="24"/>
          <w:szCs w:val="24"/>
          <w:lang w:val="sr-Cyrl-CS"/>
        </w:rPr>
        <w:t xml:space="preserve"> </w:t>
      </w:r>
      <w:r w:rsidR="00D714A0" w:rsidRPr="00390417">
        <w:rPr>
          <w:rFonts w:ascii="Times New Roman" w:hAnsi="Times New Roman"/>
          <w:b/>
          <w:bCs/>
          <w:color w:val="000000"/>
          <w:sz w:val="24"/>
          <w:szCs w:val="24"/>
          <w:lang w:val="sr-Cyrl-CS"/>
        </w:rPr>
        <w:t>Апелационог</w:t>
      </w:r>
      <w:r w:rsidRPr="00390417">
        <w:rPr>
          <w:rFonts w:ascii="Times New Roman" w:hAnsi="Times New Roman"/>
          <w:b/>
          <w:bCs/>
          <w:color w:val="000000"/>
          <w:sz w:val="24"/>
          <w:szCs w:val="24"/>
          <w:lang w:val="sr-Cyrl-CS"/>
        </w:rPr>
        <w:t xml:space="preserve"> </w:t>
      </w:r>
      <w:r w:rsidR="00D714A0" w:rsidRPr="00390417">
        <w:rPr>
          <w:rFonts w:ascii="Times New Roman" w:hAnsi="Times New Roman"/>
          <w:b/>
          <w:bCs/>
          <w:color w:val="000000"/>
          <w:sz w:val="24"/>
          <w:szCs w:val="24"/>
          <w:lang w:val="sr-Cyrl-CS"/>
        </w:rPr>
        <w:t>суда</w:t>
      </w:r>
      <w:r w:rsidRPr="00390417">
        <w:rPr>
          <w:rFonts w:ascii="Times New Roman" w:hAnsi="Times New Roman"/>
          <w:b/>
          <w:bCs/>
          <w:color w:val="000000"/>
          <w:sz w:val="24"/>
          <w:szCs w:val="24"/>
          <w:lang w:val="sr-Cyrl-CS"/>
        </w:rPr>
        <w:t xml:space="preserve"> </w:t>
      </w:r>
      <w:r w:rsidR="00D714A0" w:rsidRPr="00390417">
        <w:rPr>
          <w:rFonts w:ascii="Times New Roman" w:hAnsi="Times New Roman"/>
          <w:b/>
          <w:bCs/>
          <w:color w:val="000000"/>
          <w:sz w:val="24"/>
          <w:szCs w:val="24"/>
          <w:lang w:val="sr-Cyrl-CS"/>
        </w:rPr>
        <w:t>у</w:t>
      </w:r>
      <w:r w:rsidRPr="00390417">
        <w:rPr>
          <w:rFonts w:ascii="Times New Roman" w:hAnsi="Times New Roman"/>
          <w:b/>
          <w:bCs/>
          <w:color w:val="000000"/>
          <w:sz w:val="24"/>
          <w:szCs w:val="24"/>
          <w:lang w:val="sr-Cyrl-CS"/>
        </w:rPr>
        <w:t xml:space="preserve"> </w:t>
      </w:r>
      <w:r w:rsidR="00D714A0" w:rsidRPr="00390417">
        <w:rPr>
          <w:rFonts w:ascii="Times New Roman" w:hAnsi="Times New Roman"/>
          <w:b/>
          <w:bCs/>
          <w:color w:val="000000"/>
          <w:sz w:val="24"/>
          <w:szCs w:val="24"/>
          <w:lang w:val="sr-Cyrl-CS"/>
        </w:rPr>
        <w:t>Београду</w:t>
      </w:r>
      <w:r w:rsidRPr="00390417">
        <w:rPr>
          <w:rFonts w:ascii="Times New Roman" w:hAnsi="Times New Roman"/>
          <w:b/>
          <w:bCs/>
          <w:color w:val="000000"/>
          <w:sz w:val="24"/>
          <w:szCs w:val="24"/>
          <w:lang w:val="sr-Cyrl-CS"/>
        </w:rPr>
        <w:t xml:space="preserve">, </w:t>
      </w:r>
      <w:r w:rsidR="00D714A0" w:rsidRPr="00390417">
        <w:rPr>
          <w:rFonts w:ascii="Times New Roman" w:hAnsi="Times New Roman"/>
          <w:b/>
          <w:bCs/>
          <w:color w:val="000000"/>
          <w:sz w:val="24"/>
          <w:szCs w:val="24"/>
          <w:lang w:val="sr-Cyrl-CS"/>
        </w:rPr>
        <w:t>Кж</w:t>
      </w:r>
      <w:r w:rsidRPr="00390417">
        <w:rPr>
          <w:rFonts w:ascii="Times New Roman" w:hAnsi="Times New Roman"/>
          <w:b/>
          <w:bCs/>
          <w:color w:val="000000"/>
          <w:sz w:val="24"/>
          <w:szCs w:val="24"/>
          <w:lang w:val="sr-Cyrl-CS"/>
        </w:rPr>
        <w:t xml:space="preserve">1. 2036/2012 </w:t>
      </w:r>
      <w:r w:rsidR="00D714A0" w:rsidRPr="00390417">
        <w:rPr>
          <w:rFonts w:ascii="Times New Roman" w:hAnsi="Times New Roman"/>
          <w:b/>
          <w:bCs/>
          <w:color w:val="000000"/>
          <w:sz w:val="24"/>
          <w:szCs w:val="24"/>
          <w:lang w:val="sr-Cyrl-CS"/>
        </w:rPr>
        <w:t>од</w:t>
      </w:r>
      <w:r w:rsidRPr="00390417">
        <w:rPr>
          <w:rFonts w:ascii="Times New Roman" w:hAnsi="Times New Roman"/>
          <w:b/>
          <w:bCs/>
          <w:color w:val="000000"/>
          <w:sz w:val="24"/>
          <w:szCs w:val="24"/>
          <w:lang w:val="sr-Cyrl-CS"/>
        </w:rPr>
        <w:t xml:space="preserve"> 18.7.2012. </w:t>
      </w:r>
      <w:r w:rsidR="00D714A0" w:rsidRPr="00390417">
        <w:rPr>
          <w:rFonts w:ascii="Times New Roman" w:hAnsi="Times New Roman"/>
          <w:b/>
          <w:bCs/>
          <w:color w:val="000000"/>
          <w:sz w:val="24"/>
          <w:szCs w:val="24"/>
          <w:lang w:val="sr-Cyrl-CS"/>
        </w:rPr>
        <w:t>године</w:t>
      </w:r>
      <w:r w:rsidR="00166B45">
        <w:rPr>
          <w:rFonts w:ascii="Times New Roman" w:hAnsi="Times New Roman"/>
          <w:b/>
          <w:bCs/>
          <w:color w:val="000000"/>
          <w:sz w:val="24"/>
          <w:szCs w:val="24"/>
        </w:rPr>
        <w:t>)</w:t>
      </w:r>
    </w:p>
    <w:p w:rsidR="00166B45" w:rsidRPr="00166B45" w:rsidRDefault="00166B45" w:rsidP="00390417">
      <w:pPr>
        <w:shd w:val="clear" w:color="auto" w:fill="FFFFFF"/>
        <w:spacing w:before="48" w:after="48" w:line="240" w:lineRule="auto"/>
        <w:jc w:val="both"/>
        <w:rPr>
          <w:rFonts w:ascii="Times New Roman" w:hAnsi="Times New Roman"/>
          <w:b/>
          <w:bCs/>
          <w:color w:val="000000"/>
          <w:sz w:val="24"/>
          <w:szCs w:val="24"/>
        </w:rPr>
      </w:pPr>
    </w:p>
    <w:p w:rsidR="00D06E30" w:rsidRDefault="001467DF" w:rsidP="00390417">
      <w:pPr>
        <w:shd w:val="clear" w:color="auto" w:fill="FFFFFF"/>
        <w:spacing w:before="100" w:beforeAutospacing="1" w:after="100" w:afterAutospacing="1" w:line="240" w:lineRule="auto"/>
        <w:jc w:val="both"/>
        <w:rPr>
          <w:rFonts w:ascii="Times New Roman" w:hAnsi="Times New Roman"/>
          <w:color w:val="000000"/>
          <w:sz w:val="24"/>
          <w:szCs w:val="24"/>
          <w:lang w:val="sr-Cyrl-CS"/>
        </w:rPr>
      </w:pPr>
      <w:r>
        <w:rPr>
          <w:rFonts w:ascii="Times New Roman" w:hAnsi="Times New Roman"/>
          <w:color w:val="000000"/>
          <w:sz w:val="24"/>
          <w:szCs w:val="24"/>
          <w:lang w:val="sr-Cyrl-CS"/>
        </w:rPr>
        <w:t>6</w:t>
      </w:r>
      <w:r w:rsidR="00390417">
        <w:rPr>
          <w:rFonts w:ascii="Times New Roman" w:hAnsi="Times New Roman"/>
          <w:color w:val="000000"/>
          <w:sz w:val="24"/>
          <w:szCs w:val="24"/>
          <w:lang w:val="sr-Cyrl-CS"/>
        </w:rPr>
        <w:t>)</w:t>
      </w:r>
    </w:p>
    <w:p w:rsidR="00C5614B" w:rsidRDefault="00C5614B" w:rsidP="00390417">
      <w:pPr>
        <w:shd w:val="clear" w:color="auto" w:fill="FFFFFF"/>
        <w:spacing w:before="100" w:beforeAutospacing="1" w:after="100" w:afterAutospacing="1" w:line="240" w:lineRule="auto"/>
        <w:jc w:val="both"/>
        <w:rPr>
          <w:rFonts w:ascii="Times New Roman" w:hAnsi="Times New Roman"/>
          <w:color w:val="000000"/>
          <w:sz w:val="24"/>
          <w:szCs w:val="24"/>
        </w:rPr>
      </w:pPr>
      <w:r w:rsidRPr="00390417">
        <w:rPr>
          <w:rFonts w:ascii="Times New Roman" w:hAnsi="Times New Roman"/>
          <w:color w:val="000000"/>
          <w:sz w:val="24"/>
          <w:szCs w:val="24"/>
        </w:rPr>
        <w:t>Покретање истраге против царинског службеника због сумње да је извршио кривично дело примања мита представља законски разлог за његову суспензију.</w:t>
      </w:r>
    </w:p>
    <w:p w:rsidR="00166B45" w:rsidRDefault="00166B45" w:rsidP="00390417">
      <w:pPr>
        <w:shd w:val="clear" w:color="auto" w:fill="FFFFFF"/>
        <w:spacing w:before="100" w:beforeAutospacing="1" w:after="100" w:afterAutospacing="1" w:line="240" w:lineRule="auto"/>
        <w:jc w:val="both"/>
        <w:rPr>
          <w:rFonts w:ascii="Times New Roman" w:hAnsi="Times New Roman"/>
          <w:color w:val="000000"/>
          <w:sz w:val="24"/>
          <w:szCs w:val="24"/>
          <w:lang w:val="sr-Cyrl-CS"/>
        </w:rPr>
      </w:pPr>
    </w:p>
    <w:p w:rsidR="002E473E" w:rsidRPr="002E473E" w:rsidRDefault="002E473E" w:rsidP="00390417">
      <w:pPr>
        <w:shd w:val="clear" w:color="auto" w:fill="FFFFFF"/>
        <w:spacing w:before="100" w:beforeAutospacing="1" w:after="100" w:afterAutospacing="1" w:line="240" w:lineRule="auto"/>
        <w:jc w:val="both"/>
        <w:rPr>
          <w:rFonts w:ascii="Times New Roman" w:hAnsi="Times New Roman"/>
          <w:color w:val="000000"/>
          <w:sz w:val="24"/>
          <w:szCs w:val="24"/>
          <w:lang w:val="sr-Cyrl-CS"/>
        </w:rPr>
      </w:pPr>
    </w:p>
    <w:p w:rsidR="00C5614B" w:rsidRDefault="00C5614B" w:rsidP="00390417">
      <w:pPr>
        <w:shd w:val="clear" w:color="auto" w:fill="FFFFFF"/>
        <w:spacing w:before="48" w:after="48" w:line="240" w:lineRule="auto"/>
        <w:jc w:val="both"/>
        <w:rPr>
          <w:rFonts w:ascii="Times New Roman" w:hAnsi="Times New Roman"/>
          <w:color w:val="000000"/>
          <w:sz w:val="24"/>
          <w:szCs w:val="24"/>
          <w:lang w:val="sr-Cyrl-CS"/>
        </w:rPr>
      </w:pPr>
      <w:r w:rsidRPr="00390417">
        <w:rPr>
          <w:rFonts w:ascii="Times New Roman" w:hAnsi="Times New Roman"/>
          <w:color w:val="000000"/>
          <w:sz w:val="24"/>
          <w:szCs w:val="24"/>
        </w:rPr>
        <w:lastRenderedPageBreak/>
        <w:t>Из образложења:</w:t>
      </w:r>
    </w:p>
    <w:p w:rsidR="00390417" w:rsidRPr="00390417" w:rsidRDefault="00390417" w:rsidP="00390417">
      <w:pPr>
        <w:shd w:val="clear" w:color="auto" w:fill="FFFFFF"/>
        <w:spacing w:before="48" w:after="48" w:line="240" w:lineRule="auto"/>
        <w:jc w:val="both"/>
        <w:rPr>
          <w:rFonts w:ascii="Times New Roman" w:hAnsi="Times New Roman"/>
          <w:color w:val="000000"/>
          <w:sz w:val="24"/>
          <w:szCs w:val="24"/>
          <w:lang w:val="sr-Cyrl-CS"/>
        </w:rPr>
      </w:pPr>
    </w:p>
    <w:p w:rsidR="00C5614B" w:rsidRDefault="00C5614B" w:rsidP="00390417">
      <w:pPr>
        <w:shd w:val="clear" w:color="auto" w:fill="FFFFFF"/>
        <w:spacing w:before="48" w:after="48" w:line="240" w:lineRule="auto"/>
        <w:jc w:val="both"/>
        <w:rPr>
          <w:rFonts w:ascii="Times New Roman" w:hAnsi="Times New Roman"/>
          <w:iCs/>
          <w:color w:val="000000"/>
          <w:sz w:val="24"/>
          <w:szCs w:val="24"/>
          <w:lang w:val="sr-Cyrl-CS"/>
        </w:rPr>
      </w:pPr>
      <w:r w:rsidRPr="00911A0C">
        <w:rPr>
          <w:rFonts w:ascii="Times New Roman" w:hAnsi="Times New Roman"/>
          <w:iCs/>
          <w:color w:val="000000"/>
          <w:sz w:val="24"/>
          <w:szCs w:val="24"/>
        </w:rPr>
        <w:t>"Правилно је поступио тужени орган када је у поступку по приговору одбио као неоснован приговор тужиље и потврдио првостепено решење, правилно се позивајући на одредбу 265. Царинског закона који се, као "леx специалис", примењује на државне службенике у Управи царина, а којим је прописано да директор може да суспендује царинског службеника, у складу са одредбама тог закона и акта о дисциплинској одговорности, као и на одредбу члана 61. став 1. тач. 1) и 2) Правилника о правима, обавезама и одговорностима запослених у Министарству финансија и економије - Управи царина, којом одредбом је одређено да царински службеник може бити суспендован ако је против њега покренут кривични поступак због кривичног дела учињеног на раду или у вези са радом, као и ако је против њега покренут дисциплински поступак, и одредбу члана 61. став 2. истог правилника, који прописује да суспензија из става 1. тог члана траје до окончања дисциплинског односно кривичног поступка.</w:t>
      </w:r>
    </w:p>
    <w:p w:rsidR="00911A0C" w:rsidRPr="00911A0C" w:rsidRDefault="00911A0C" w:rsidP="00390417">
      <w:pPr>
        <w:shd w:val="clear" w:color="auto" w:fill="FFFFFF"/>
        <w:spacing w:before="48" w:after="48" w:line="240" w:lineRule="auto"/>
        <w:jc w:val="both"/>
        <w:rPr>
          <w:rFonts w:ascii="Times New Roman" w:hAnsi="Times New Roman"/>
          <w:color w:val="000000"/>
          <w:sz w:val="24"/>
          <w:szCs w:val="24"/>
          <w:lang w:val="sr-Cyrl-CS"/>
        </w:rPr>
      </w:pPr>
    </w:p>
    <w:p w:rsidR="00C5614B" w:rsidRPr="00911A0C" w:rsidRDefault="00C5614B" w:rsidP="00390417">
      <w:pPr>
        <w:shd w:val="clear" w:color="auto" w:fill="FFFFFF"/>
        <w:spacing w:before="48" w:after="48" w:line="240" w:lineRule="auto"/>
        <w:jc w:val="both"/>
        <w:rPr>
          <w:rFonts w:ascii="Times New Roman" w:hAnsi="Times New Roman"/>
          <w:color w:val="000000"/>
          <w:sz w:val="24"/>
          <w:szCs w:val="24"/>
        </w:rPr>
      </w:pPr>
      <w:r w:rsidRPr="00911A0C">
        <w:rPr>
          <w:rFonts w:ascii="Times New Roman" w:hAnsi="Times New Roman"/>
          <w:iCs/>
          <w:color w:val="000000"/>
          <w:sz w:val="24"/>
          <w:szCs w:val="24"/>
        </w:rPr>
        <w:t>Како је у првостпеном поступку утврђено да је против тужиље покренута истрага због сумње да је извршила кривично дело примања мита ..., а услов за одређивање привременог удаљења са рада у конкретном случају није утврђена кривична одговорност за извршење кривичног дела, већ је довољно само покретање кривичног односно дисциплинског поступка, то су правилно, по оцени Управног суда, поступили првостепени и тужени орган."</w:t>
      </w:r>
    </w:p>
    <w:p w:rsidR="00C5614B" w:rsidRPr="00911A0C" w:rsidRDefault="00C5614B" w:rsidP="00390417">
      <w:pPr>
        <w:shd w:val="clear" w:color="auto" w:fill="FFFFFF"/>
        <w:spacing w:before="48" w:after="48" w:line="240" w:lineRule="auto"/>
        <w:jc w:val="both"/>
        <w:rPr>
          <w:rFonts w:ascii="Times New Roman" w:hAnsi="Times New Roman"/>
          <w:color w:val="000000"/>
          <w:sz w:val="24"/>
          <w:szCs w:val="24"/>
        </w:rPr>
      </w:pPr>
      <w:r w:rsidRPr="00911A0C">
        <w:rPr>
          <w:rFonts w:ascii="Times New Roman" w:hAnsi="Times New Roman"/>
          <w:b/>
          <w:bCs/>
          <w:color w:val="000000"/>
          <w:sz w:val="24"/>
          <w:szCs w:val="24"/>
        </w:rPr>
        <w:t> </w:t>
      </w:r>
    </w:p>
    <w:p w:rsidR="00C5614B" w:rsidRDefault="00C5614B" w:rsidP="00390417">
      <w:pPr>
        <w:shd w:val="clear" w:color="auto" w:fill="FFFFFF"/>
        <w:spacing w:before="48" w:after="48" w:line="240" w:lineRule="auto"/>
        <w:jc w:val="both"/>
        <w:rPr>
          <w:rFonts w:ascii="Times New Roman" w:hAnsi="Times New Roman"/>
          <w:b/>
          <w:bCs/>
          <w:color w:val="000000"/>
          <w:sz w:val="24"/>
          <w:szCs w:val="24"/>
        </w:rPr>
      </w:pPr>
      <w:r w:rsidRPr="00390417">
        <w:rPr>
          <w:rFonts w:ascii="Times New Roman" w:hAnsi="Times New Roman"/>
          <w:b/>
          <w:bCs/>
          <w:color w:val="000000"/>
          <w:sz w:val="24"/>
          <w:szCs w:val="24"/>
        </w:rPr>
        <w:t>(Пресуда Управног суда, И-1 У. 11267/2010(2009) од 22.9.2011. године)</w:t>
      </w:r>
    </w:p>
    <w:p w:rsidR="00166B45" w:rsidRPr="00166B45" w:rsidRDefault="00166B45" w:rsidP="00390417">
      <w:pPr>
        <w:shd w:val="clear" w:color="auto" w:fill="FFFFFF"/>
        <w:spacing w:before="48" w:after="48" w:line="240" w:lineRule="auto"/>
        <w:jc w:val="both"/>
        <w:rPr>
          <w:rFonts w:ascii="Times New Roman" w:hAnsi="Times New Roman"/>
          <w:color w:val="000000"/>
          <w:sz w:val="24"/>
          <w:szCs w:val="24"/>
        </w:rPr>
      </w:pPr>
    </w:p>
    <w:p w:rsidR="00166B45" w:rsidRPr="002E473E" w:rsidRDefault="001467DF" w:rsidP="00390417">
      <w:pPr>
        <w:shd w:val="clear" w:color="auto" w:fill="FFFFFF"/>
        <w:spacing w:before="100" w:beforeAutospacing="1" w:after="100" w:afterAutospacing="1" w:line="240" w:lineRule="auto"/>
        <w:jc w:val="both"/>
        <w:rPr>
          <w:rFonts w:ascii="Times New Roman" w:hAnsi="Times New Roman"/>
          <w:bCs/>
          <w:color w:val="000000"/>
          <w:sz w:val="24"/>
          <w:szCs w:val="24"/>
          <w:lang w:val="sr-Cyrl-CS"/>
        </w:rPr>
      </w:pPr>
      <w:r>
        <w:rPr>
          <w:rFonts w:ascii="Times New Roman" w:hAnsi="Times New Roman"/>
          <w:bCs/>
          <w:color w:val="000000"/>
          <w:sz w:val="24"/>
          <w:szCs w:val="24"/>
          <w:lang w:val="sr-Cyrl-CS"/>
        </w:rPr>
        <w:t>7</w:t>
      </w:r>
      <w:r w:rsidR="00390417" w:rsidRPr="00390417">
        <w:rPr>
          <w:rFonts w:ascii="Times New Roman" w:hAnsi="Times New Roman"/>
          <w:bCs/>
          <w:color w:val="000000"/>
          <w:sz w:val="24"/>
          <w:szCs w:val="24"/>
          <w:lang w:val="sr-Cyrl-CS"/>
        </w:rPr>
        <w:t>)</w:t>
      </w:r>
    </w:p>
    <w:p w:rsidR="00390417" w:rsidRPr="00166B45" w:rsidRDefault="00C5614B" w:rsidP="00390417">
      <w:pPr>
        <w:shd w:val="clear" w:color="auto" w:fill="FFFFFF"/>
        <w:spacing w:before="100" w:beforeAutospacing="1" w:after="100" w:afterAutospacing="1" w:line="240" w:lineRule="auto"/>
        <w:jc w:val="both"/>
        <w:rPr>
          <w:rFonts w:ascii="Times New Roman" w:hAnsi="Times New Roman"/>
          <w:color w:val="000000"/>
          <w:sz w:val="24"/>
          <w:szCs w:val="24"/>
        </w:rPr>
      </w:pPr>
      <w:r w:rsidRPr="00390417">
        <w:rPr>
          <w:rFonts w:ascii="Times New Roman" w:hAnsi="Times New Roman"/>
          <w:color w:val="000000"/>
          <w:sz w:val="24"/>
          <w:szCs w:val="24"/>
        </w:rPr>
        <w:t>Чињеница да је окривљени држао цигарете у приручном магацину свог малопродајног објекта и да је цигарете допремао својим сталним муштеријама на кућну адресу, да их је некада поклањао или продавао уз минималну надокнаду, али да их никад није продавао у свом малопродајном објекту, не представља стављање цигарета у промет, у смислу кривичног дела недозвољен промет акцизних производа из члана 176. став 1. Закона о пореском поступку и пореској администрацији.</w:t>
      </w:r>
    </w:p>
    <w:p w:rsidR="00C5614B" w:rsidRDefault="00C5614B" w:rsidP="00390417">
      <w:pPr>
        <w:shd w:val="clear" w:color="auto" w:fill="FFFFFF"/>
        <w:spacing w:before="48" w:after="48" w:line="240" w:lineRule="auto"/>
        <w:jc w:val="both"/>
        <w:rPr>
          <w:rFonts w:ascii="Times New Roman" w:hAnsi="Times New Roman"/>
          <w:color w:val="000000"/>
          <w:sz w:val="24"/>
          <w:szCs w:val="24"/>
          <w:lang w:val="sr-Cyrl-CS"/>
        </w:rPr>
      </w:pPr>
      <w:r w:rsidRPr="00390417">
        <w:rPr>
          <w:rFonts w:ascii="Times New Roman" w:hAnsi="Times New Roman"/>
          <w:color w:val="000000"/>
          <w:sz w:val="24"/>
          <w:szCs w:val="24"/>
        </w:rPr>
        <w:t>Из образложења:</w:t>
      </w:r>
    </w:p>
    <w:p w:rsidR="00390417" w:rsidRPr="00390417" w:rsidRDefault="00390417" w:rsidP="00390417">
      <w:pPr>
        <w:shd w:val="clear" w:color="auto" w:fill="FFFFFF"/>
        <w:spacing w:before="48" w:after="48" w:line="240" w:lineRule="auto"/>
        <w:jc w:val="both"/>
        <w:rPr>
          <w:rFonts w:ascii="Times New Roman" w:hAnsi="Times New Roman"/>
          <w:color w:val="000000"/>
          <w:sz w:val="24"/>
          <w:szCs w:val="24"/>
          <w:lang w:val="sr-Cyrl-CS"/>
        </w:rPr>
      </w:pPr>
    </w:p>
    <w:p w:rsidR="00C5614B" w:rsidRDefault="00C5614B" w:rsidP="00390417">
      <w:pPr>
        <w:shd w:val="clear" w:color="auto" w:fill="FFFFFF"/>
        <w:spacing w:before="48" w:after="48" w:line="240" w:lineRule="auto"/>
        <w:jc w:val="both"/>
        <w:rPr>
          <w:rFonts w:ascii="Times New Roman" w:hAnsi="Times New Roman"/>
          <w:iCs/>
          <w:color w:val="000000"/>
          <w:sz w:val="24"/>
          <w:szCs w:val="24"/>
          <w:lang w:val="sr-Cyrl-CS"/>
        </w:rPr>
      </w:pPr>
      <w:r w:rsidRPr="00911A0C">
        <w:rPr>
          <w:rFonts w:ascii="Times New Roman" w:hAnsi="Times New Roman"/>
          <w:iCs/>
          <w:color w:val="000000"/>
          <w:sz w:val="24"/>
          <w:szCs w:val="24"/>
        </w:rPr>
        <w:t>"Побијаном пресудом окривљени Ђ.М, на основу члана 355. тачка 3) Законика о кривичном поступку, ослобођен је од оптужбе да је извршио кривично дело недозвољен промет акцизних производа из члана 176. став 1. Закона о пореском поступку и пореској администрацији, те је одређено да трошкови кривичног поступка у износу од 60.000,00 динара падају на терет буџетских средстава Општинског суда у В.</w:t>
      </w:r>
    </w:p>
    <w:p w:rsidR="00911A0C" w:rsidRPr="00911A0C" w:rsidRDefault="00911A0C" w:rsidP="00390417">
      <w:pPr>
        <w:shd w:val="clear" w:color="auto" w:fill="FFFFFF"/>
        <w:spacing w:before="48" w:after="48" w:line="240" w:lineRule="auto"/>
        <w:jc w:val="both"/>
        <w:rPr>
          <w:rFonts w:ascii="Times New Roman" w:hAnsi="Times New Roman"/>
          <w:iCs/>
          <w:color w:val="000000"/>
          <w:sz w:val="24"/>
          <w:szCs w:val="24"/>
          <w:lang w:val="sr-Cyrl-CS"/>
        </w:rPr>
      </w:pPr>
    </w:p>
    <w:p w:rsidR="00C5614B" w:rsidRDefault="00C5614B" w:rsidP="00390417">
      <w:pPr>
        <w:shd w:val="clear" w:color="auto" w:fill="FFFFFF"/>
        <w:spacing w:before="48" w:after="48" w:line="240" w:lineRule="auto"/>
        <w:jc w:val="both"/>
        <w:rPr>
          <w:rFonts w:ascii="Times New Roman" w:hAnsi="Times New Roman"/>
          <w:iCs/>
          <w:color w:val="000000"/>
          <w:sz w:val="24"/>
          <w:szCs w:val="24"/>
          <w:lang w:val="sr-Cyrl-CS"/>
        </w:rPr>
      </w:pPr>
      <w:r w:rsidRPr="00911A0C">
        <w:rPr>
          <w:rFonts w:ascii="Times New Roman" w:hAnsi="Times New Roman"/>
          <w:iCs/>
          <w:color w:val="000000"/>
          <w:sz w:val="24"/>
          <w:szCs w:val="24"/>
        </w:rPr>
        <w:t>Против наведене пресуде жалбу је изјавио јавни тужилац Општинског јавног тужилаштва у В, због битних повреда одредаба кривичног поступка, погрешне примене материјалног права и погрешно утврђеног чињеничног стања, са предлогом да другостепени суд уважи жалбу јавног тужиоца, а побијану пресуду укине и врати Општинском суду у В. на поновно суђење.</w:t>
      </w:r>
    </w:p>
    <w:p w:rsidR="00911A0C" w:rsidRPr="00911A0C" w:rsidRDefault="00911A0C" w:rsidP="00390417">
      <w:pPr>
        <w:shd w:val="clear" w:color="auto" w:fill="FFFFFF"/>
        <w:spacing w:before="48" w:after="48" w:line="240" w:lineRule="auto"/>
        <w:jc w:val="both"/>
        <w:rPr>
          <w:rFonts w:ascii="Times New Roman" w:hAnsi="Times New Roman"/>
          <w:iCs/>
          <w:color w:val="000000"/>
          <w:sz w:val="24"/>
          <w:szCs w:val="24"/>
          <w:lang w:val="sr-Cyrl-CS"/>
        </w:rPr>
      </w:pPr>
    </w:p>
    <w:p w:rsidR="00C5614B" w:rsidRDefault="00C5614B" w:rsidP="00390417">
      <w:pPr>
        <w:shd w:val="clear" w:color="auto" w:fill="FFFFFF"/>
        <w:spacing w:before="48" w:after="48" w:line="240" w:lineRule="auto"/>
        <w:jc w:val="both"/>
        <w:rPr>
          <w:rFonts w:ascii="Times New Roman" w:hAnsi="Times New Roman"/>
          <w:iCs/>
          <w:color w:val="000000"/>
          <w:sz w:val="24"/>
          <w:szCs w:val="24"/>
          <w:lang w:val="sr-Cyrl-CS"/>
        </w:rPr>
      </w:pPr>
      <w:r w:rsidRPr="00911A0C">
        <w:rPr>
          <w:rFonts w:ascii="Times New Roman" w:hAnsi="Times New Roman"/>
          <w:iCs/>
          <w:color w:val="000000"/>
          <w:sz w:val="24"/>
          <w:szCs w:val="24"/>
        </w:rPr>
        <w:t>Ово стога што је првостепени суд на основу изведених доказа дошао до несумњивог закључка да није доказано да је окривљени учинио кривично дело које му је оптужницом јавног тужиоца стављено на терет, имајући у виду исказе сведока З.О. и Љ.Р, из којих је правилно утврђено да је окривљени заустављен ван свог малопродајног објекта са кутијом у којој су се налазиле цигарете које нису имале прописану акцизну маркицу, али да није могло бити утврђено да ли је окривљени предметну кутију изнео из продајног објекта или из приручног магацина, с обзиром да сведок О. није могао са сигурношћу да определи одакле је кутија изнета.</w:t>
      </w:r>
    </w:p>
    <w:p w:rsidR="00911A0C" w:rsidRPr="00911A0C" w:rsidRDefault="00911A0C" w:rsidP="00390417">
      <w:pPr>
        <w:shd w:val="clear" w:color="auto" w:fill="FFFFFF"/>
        <w:spacing w:before="48" w:after="48" w:line="240" w:lineRule="auto"/>
        <w:jc w:val="both"/>
        <w:rPr>
          <w:rFonts w:ascii="Times New Roman" w:hAnsi="Times New Roman"/>
          <w:iCs/>
          <w:color w:val="000000"/>
          <w:sz w:val="24"/>
          <w:szCs w:val="24"/>
          <w:lang w:val="sr-Cyrl-CS"/>
        </w:rPr>
      </w:pPr>
    </w:p>
    <w:p w:rsidR="00C5614B" w:rsidRPr="00911A0C" w:rsidRDefault="00C5614B" w:rsidP="00390417">
      <w:pPr>
        <w:shd w:val="clear" w:color="auto" w:fill="FFFFFF"/>
        <w:spacing w:before="48" w:after="48" w:line="240" w:lineRule="auto"/>
        <w:jc w:val="both"/>
        <w:rPr>
          <w:rFonts w:ascii="Times New Roman" w:hAnsi="Times New Roman"/>
          <w:iCs/>
          <w:color w:val="000000"/>
          <w:sz w:val="24"/>
          <w:szCs w:val="24"/>
        </w:rPr>
      </w:pPr>
      <w:r w:rsidRPr="00911A0C">
        <w:rPr>
          <w:rFonts w:ascii="Times New Roman" w:hAnsi="Times New Roman"/>
          <w:iCs/>
          <w:color w:val="000000"/>
          <w:sz w:val="24"/>
          <w:szCs w:val="24"/>
        </w:rPr>
        <w:t>Такође, из исказа сведока З.О. и Љ.Р, као и осталих изведених доказа, није утврђено да је окривљени предметне цигарете држао у малопродајном објекту, па је правилна оцена првостепеног суда да чињеница да је окривљени евентуално држао цигарете у приручном магацину није довољан доказ да би те цигарете биле стављене у промет у продајном објекту, а што је елемент бића кривичног дела које се окривљеном ставља на терет поготово имајући у виду неспорну чињеницу да је сведок Љ.Р. истога дана пре критичног догађаја извршила контролу акцизних производа у продајном објекту окривљеног којом приликом нису пронађене цигарете без акцизне маркице. Чињеница да је из одбране окривљеног утврђено да је окривљени наведене цигарете допремао својим сталним муштеријама на кућну адресу, те да је исте некада поклањао или продавао уз минималну надокнаду, али да их никад није продавао у свом малопродајном објекту, и према оцени овог суда не представља стављање наведених цигарета у промет, па су неосновани наводи јавног тужиоца да свака дистрибуција представља промет."</w:t>
      </w:r>
    </w:p>
    <w:p w:rsidR="00C5614B" w:rsidRPr="00911A0C" w:rsidRDefault="00C5614B" w:rsidP="00390417">
      <w:pPr>
        <w:shd w:val="clear" w:color="auto" w:fill="FFFFFF"/>
        <w:spacing w:before="48" w:after="48" w:line="240" w:lineRule="auto"/>
        <w:jc w:val="both"/>
        <w:rPr>
          <w:rFonts w:ascii="Times New Roman" w:hAnsi="Times New Roman"/>
          <w:iCs/>
          <w:color w:val="000000"/>
          <w:sz w:val="24"/>
          <w:szCs w:val="24"/>
        </w:rPr>
      </w:pPr>
      <w:r w:rsidRPr="00911A0C">
        <w:rPr>
          <w:rFonts w:ascii="Times New Roman" w:hAnsi="Times New Roman"/>
          <w:iCs/>
          <w:color w:val="000000"/>
          <w:sz w:val="24"/>
          <w:szCs w:val="24"/>
        </w:rPr>
        <w:t> </w:t>
      </w:r>
    </w:p>
    <w:p w:rsidR="00390417" w:rsidRDefault="00C5614B" w:rsidP="00390417">
      <w:pPr>
        <w:shd w:val="clear" w:color="auto" w:fill="FFFFFF"/>
        <w:spacing w:before="48" w:after="48" w:line="240" w:lineRule="auto"/>
        <w:jc w:val="both"/>
        <w:rPr>
          <w:rFonts w:ascii="Times New Roman" w:hAnsi="Times New Roman"/>
          <w:b/>
          <w:bCs/>
          <w:color w:val="000000"/>
          <w:sz w:val="24"/>
          <w:szCs w:val="24"/>
        </w:rPr>
      </w:pPr>
      <w:r w:rsidRPr="00390417">
        <w:rPr>
          <w:rFonts w:ascii="Times New Roman" w:hAnsi="Times New Roman"/>
          <w:b/>
          <w:bCs/>
          <w:color w:val="000000"/>
          <w:sz w:val="24"/>
          <w:szCs w:val="24"/>
        </w:rPr>
        <w:t>(Пресуда Апелационог суда у Београду, Кж1. 1466/2010 од 27.5.2010. године)</w:t>
      </w:r>
    </w:p>
    <w:p w:rsidR="00166B45" w:rsidRPr="00166B45" w:rsidRDefault="00166B45" w:rsidP="00390417">
      <w:pPr>
        <w:shd w:val="clear" w:color="auto" w:fill="FFFFFF"/>
        <w:spacing w:before="48" w:after="48" w:line="240" w:lineRule="auto"/>
        <w:jc w:val="both"/>
        <w:rPr>
          <w:rFonts w:ascii="Times New Roman" w:hAnsi="Times New Roman"/>
          <w:b/>
          <w:bCs/>
          <w:color w:val="000000"/>
          <w:sz w:val="24"/>
          <w:szCs w:val="24"/>
        </w:rPr>
      </w:pPr>
    </w:p>
    <w:p w:rsidR="00166B45" w:rsidRPr="002E473E" w:rsidRDefault="001467DF" w:rsidP="00390417">
      <w:pPr>
        <w:shd w:val="clear" w:color="auto" w:fill="FFFFFF"/>
        <w:spacing w:before="100" w:beforeAutospacing="1" w:after="100" w:afterAutospacing="1" w:line="240" w:lineRule="auto"/>
        <w:jc w:val="both"/>
        <w:rPr>
          <w:rFonts w:ascii="Times New Roman" w:hAnsi="Times New Roman"/>
          <w:color w:val="000000"/>
          <w:sz w:val="24"/>
          <w:szCs w:val="24"/>
          <w:lang w:val="sr-Cyrl-CS"/>
        </w:rPr>
      </w:pPr>
      <w:r>
        <w:rPr>
          <w:rFonts w:ascii="Times New Roman" w:hAnsi="Times New Roman"/>
          <w:color w:val="000000"/>
          <w:sz w:val="24"/>
          <w:szCs w:val="24"/>
          <w:lang w:val="sr-Cyrl-CS"/>
        </w:rPr>
        <w:t>8</w:t>
      </w:r>
      <w:r w:rsidR="00390417">
        <w:rPr>
          <w:rFonts w:ascii="Times New Roman" w:hAnsi="Times New Roman"/>
          <w:color w:val="000000"/>
          <w:sz w:val="24"/>
          <w:szCs w:val="24"/>
          <w:lang w:val="sr-Cyrl-CS"/>
        </w:rPr>
        <w:t>)</w:t>
      </w:r>
    </w:p>
    <w:p w:rsidR="00C5614B" w:rsidRPr="00390417" w:rsidRDefault="00C5614B" w:rsidP="00390417">
      <w:pPr>
        <w:shd w:val="clear" w:color="auto" w:fill="FFFFFF"/>
        <w:spacing w:before="100" w:beforeAutospacing="1" w:after="100" w:afterAutospacing="1" w:line="240" w:lineRule="auto"/>
        <w:jc w:val="both"/>
        <w:rPr>
          <w:rFonts w:ascii="Times New Roman" w:hAnsi="Times New Roman"/>
          <w:color w:val="000000"/>
          <w:sz w:val="24"/>
          <w:szCs w:val="24"/>
        </w:rPr>
      </w:pPr>
      <w:r w:rsidRPr="00390417">
        <w:rPr>
          <w:rFonts w:ascii="Times New Roman" w:hAnsi="Times New Roman"/>
          <w:color w:val="000000"/>
          <w:sz w:val="24"/>
          <w:szCs w:val="24"/>
        </w:rPr>
        <w:t>Директор предузећа који у својој трафици стави у промет 106 паклица различитих цигарета које нису биле посебно обележене прописаним акцизним маркицама врши кривично дело недозвољеног промета акцизних производа.</w:t>
      </w:r>
    </w:p>
    <w:p w:rsidR="00C5614B" w:rsidRDefault="00C5614B" w:rsidP="00390417">
      <w:pPr>
        <w:shd w:val="clear" w:color="auto" w:fill="FFFFFF"/>
        <w:spacing w:before="48" w:after="48" w:line="240" w:lineRule="auto"/>
        <w:jc w:val="both"/>
        <w:rPr>
          <w:rFonts w:ascii="Times New Roman" w:hAnsi="Times New Roman"/>
          <w:color w:val="000000"/>
          <w:sz w:val="24"/>
          <w:szCs w:val="24"/>
          <w:lang w:val="sr-Cyrl-CS"/>
        </w:rPr>
      </w:pPr>
      <w:r w:rsidRPr="00390417">
        <w:rPr>
          <w:rFonts w:ascii="Times New Roman" w:hAnsi="Times New Roman"/>
          <w:color w:val="000000"/>
          <w:sz w:val="24"/>
          <w:szCs w:val="24"/>
        </w:rPr>
        <w:t>Из образложења:</w:t>
      </w:r>
    </w:p>
    <w:p w:rsidR="00390417" w:rsidRPr="00390417" w:rsidRDefault="00390417" w:rsidP="00390417">
      <w:pPr>
        <w:shd w:val="clear" w:color="auto" w:fill="FFFFFF"/>
        <w:spacing w:before="48" w:after="48" w:line="240" w:lineRule="auto"/>
        <w:jc w:val="both"/>
        <w:rPr>
          <w:rFonts w:ascii="Times New Roman" w:hAnsi="Times New Roman"/>
          <w:color w:val="000000"/>
          <w:sz w:val="24"/>
          <w:szCs w:val="24"/>
          <w:lang w:val="sr-Cyrl-CS"/>
        </w:rPr>
      </w:pPr>
    </w:p>
    <w:p w:rsidR="00C5614B" w:rsidRDefault="00C5614B" w:rsidP="00390417">
      <w:pPr>
        <w:shd w:val="clear" w:color="auto" w:fill="FFFFFF"/>
        <w:spacing w:before="48" w:after="48" w:line="240" w:lineRule="auto"/>
        <w:jc w:val="both"/>
        <w:rPr>
          <w:rFonts w:ascii="Times New Roman" w:hAnsi="Times New Roman"/>
          <w:iCs/>
          <w:color w:val="000000"/>
          <w:sz w:val="24"/>
          <w:szCs w:val="24"/>
          <w:lang w:val="sr-Cyrl-CS"/>
        </w:rPr>
      </w:pPr>
      <w:r w:rsidRPr="00911A0C">
        <w:rPr>
          <w:rFonts w:ascii="Times New Roman" w:hAnsi="Times New Roman"/>
          <w:iCs/>
          <w:color w:val="000000"/>
          <w:sz w:val="24"/>
          <w:szCs w:val="24"/>
        </w:rPr>
        <w:t>"Окривљени је оглашен кривим због извршења кривичног дела недозвољеног промета акцизних производа из члана 176. став 1. Закона о пореском поступку и пореској администрацији и осуђен на условну осуду, а изречена му је и мера безбедности одузимања предмета и забране вршења позива у трајању од једне године.</w:t>
      </w:r>
    </w:p>
    <w:p w:rsidR="00911A0C" w:rsidRPr="00911A0C" w:rsidRDefault="00911A0C" w:rsidP="00390417">
      <w:pPr>
        <w:shd w:val="clear" w:color="auto" w:fill="FFFFFF"/>
        <w:spacing w:before="48" w:after="48" w:line="240" w:lineRule="auto"/>
        <w:jc w:val="both"/>
        <w:rPr>
          <w:rFonts w:ascii="Times New Roman" w:hAnsi="Times New Roman"/>
          <w:iCs/>
          <w:color w:val="000000"/>
          <w:sz w:val="24"/>
          <w:szCs w:val="24"/>
          <w:lang w:val="sr-Cyrl-CS"/>
        </w:rPr>
      </w:pPr>
    </w:p>
    <w:p w:rsidR="00C5614B" w:rsidRDefault="00C5614B" w:rsidP="00390417">
      <w:pPr>
        <w:shd w:val="clear" w:color="auto" w:fill="FFFFFF"/>
        <w:spacing w:before="48" w:after="48" w:line="240" w:lineRule="auto"/>
        <w:jc w:val="both"/>
        <w:rPr>
          <w:rFonts w:ascii="Times New Roman" w:hAnsi="Times New Roman"/>
          <w:iCs/>
          <w:color w:val="000000"/>
          <w:sz w:val="24"/>
          <w:szCs w:val="24"/>
          <w:lang w:val="sr-Cyrl-CS"/>
        </w:rPr>
      </w:pPr>
      <w:r w:rsidRPr="00911A0C">
        <w:rPr>
          <w:rFonts w:ascii="Times New Roman" w:hAnsi="Times New Roman"/>
          <w:iCs/>
          <w:color w:val="000000"/>
          <w:sz w:val="24"/>
          <w:szCs w:val="24"/>
        </w:rPr>
        <w:t>Окривљени је као директор ставио у промет 106 паклица цигарета у својој трафици које нису биле посебно обележене прописаним акцизним маркицама.</w:t>
      </w:r>
    </w:p>
    <w:p w:rsidR="00911A0C" w:rsidRPr="00911A0C" w:rsidRDefault="00911A0C" w:rsidP="00390417">
      <w:pPr>
        <w:shd w:val="clear" w:color="auto" w:fill="FFFFFF"/>
        <w:spacing w:before="48" w:after="48" w:line="240" w:lineRule="auto"/>
        <w:jc w:val="both"/>
        <w:rPr>
          <w:rFonts w:ascii="Times New Roman" w:hAnsi="Times New Roman"/>
          <w:iCs/>
          <w:color w:val="000000"/>
          <w:sz w:val="24"/>
          <w:szCs w:val="24"/>
          <w:lang w:val="sr-Cyrl-CS"/>
        </w:rPr>
      </w:pPr>
    </w:p>
    <w:p w:rsidR="00C5614B" w:rsidRPr="00911A0C" w:rsidRDefault="00C5614B" w:rsidP="00390417">
      <w:pPr>
        <w:shd w:val="clear" w:color="auto" w:fill="FFFFFF"/>
        <w:spacing w:before="48" w:after="48" w:line="240" w:lineRule="auto"/>
        <w:jc w:val="both"/>
        <w:rPr>
          <w:rFonts w:ascii="Times New Roman" w:hAnsi="Times New Roman"/>
          <w:iCs/>
          <w:color w:val="000000"/>
          <w:sz w:val="24"/>
          <w:szCs w:val="24"/>
        </w:rPr>
      </w:pPr>
      <w:r w:rsidRPr="00911A0C">
        <w:rPr>
          <w:rFonts w:ascii="Times New Roman" w:hAnsi="Times New Roman"/>
          <w:iCs/>
          <w:color w:val="000000"/>
          <w:sz w:val="24"/>
          <w:szCs w:val="24"/>
        </w:rPr>
        <w:t>Обзиром да се радило о страним производима обавеза је окривљеног била да ти производи - цигарете буду обележене акцизним маркицама у складу са чланом 18. ст. 2. и 4. Закона о акцизама."</w:t>
      </w:r>
    </w:p>
    <w:p w:rsidR="00C5614B" w:rsidRPr="00390417" w:rsidRDefault="00C5614B" w:rsidP="00390417">
      <w:pPr>
        <w:shd w:val="clear" w:color="auto" w:fill="FFFFFF"/>
        <w:spacing w:before="48" w:after="48" w:line="240" w:lineRule="auto"/>
        <w:jc w:val="both"/>
        <w:rPr>
          <w:rFonts w:ascii="Times New Roman" w:hAnsi="Times New Roman"/>
          <w:i/>
          <w:iCs/>
          <w:color w:val="000000"/>
          <w:sz w:val="24"/>
          <w:szCs w:val="24"/>
        </w:rPr>
      </w:pPr>
      <w:r w:rsidRPr="00390417">
        <w:rPr>
          <w:rFonts w:ascii="Times New Roman" w:hAnsi="Times New Roman"/>
          <w:i/>
          <w:iCs/>
          <w:color w:val="000000"/>
          <w:sz w:val="24"/>
          <w:szCs w:val="24"/>
        </w:rPr>
        <w:lastRenderedPageBreak/>
        <w:t> </w:t>
      </w:r>
    </w:p>
    <w:p w:rsidR="00C5614B" w:rsidRPr="00390417" w:rsidRDefault="00C5614B" w:rsidP="00390417">
      <w:pPr>
        <w:shd w:val="clear" w:color="auto" w:fill="FFFFFF"/>
        <w:spacing w:before="48" w:after="48" w:line="240" w:lineRule="auto"/>
        <w:jc w:val="both"/>
        <w:rPr>
          <w:rFonts w:ascii="Times New Roman" w:hAnsi="Times New Roman"/>
          <w:b/>
          <w:bCs/>
          <w:color w:val="000000"/>
          <w:sz w:val="24"/>
          <w:szCs w:val="24"/>
        </w:rPr>
      </w:pPr>
      <w:r w:rsidRPr="00390417">
        <w:rPr>
          <w:rFonts w:ascii="Times New Roman" w:hAnsi="Times New Roman"/>
          <w:b/>
          <w:bCs/>
          <w:color w:val="000000"/>
          <w:sz w:val="24"/>
          <w:szCs w:val="24"/>
        </w:rPr>
        <w:t>(Пресуда Окружног суда у Београду, Кж. 1544/2005 од 22.6.2005. године)</w:t>
      </w:r>
    </w:p>
    <w:p w:rsidR="00C5614B" w:rsidRPr="00166B45" w:rsidRDefault="00C5614B" w:rsidP="00390417">
      <w:pPr>
        <w:shd w:val="clear" w:color="auto" w:fill="FFFFFF"/>
        <w:spacing w:before="48" w:after="48" w:line="240" w:lineRule="auto"/>
        <w:jc w:val="both"/>
        <w:rPr>
          <w:rFonts w:ascii="Times New Roman" w:hAnsi="Times New Roman"/>
          <w:b/>
          <w:bCs/>
          <w:color w:val="000000"/>
          <w:sz w:val="24"/>
          <w:szCs w:val="24"/>
        </w:rPr>
      </w:pPr>
    </w:p>
    <w:p w:rsidR="00166B45" w:rsidRPr="00166B45" w:rsidRDefault="001467DF" w:rsidP="00390417">
      <w:pPr>
        <w:shd w:val="clear" w:color="auto" w:fill="FFFFFF"/>
        <w:spacing w:before="100" w:beforeAutospacing="1" w:after="100" w:afterAutospacing="1" w:line="240" w:lineRule="auto"/>
        <w:jc w:val="both"/>
        <w:rPr>
          <w:rFonts w:ascii="Times New Roman" w:hAnsi="Times New Roman"/>
          <w:bCs/>
          <w:color w:val="000000"/>
          <w:sz w:val="24"/>
          <w:szCs w:val="24"/>
        </w:rPr>
      </w:pPr>
      <w:r>
        <w:rPr>
          <w:rFonts w:ascii="Times New Roman" w:hAnsi="Times New Roman"/>
          <w:bCs/>
          <w:color w:val="000000"/>
          <w:sz w:val="24"/>
          <w:szCs w:val="24"/>
          <w:lang w:val="sr-Cyrl-CS"/>
        </w:rPr>
        <w:t>9</w:t>
      </w:r>
      <w:r w:rsidR="00390417" w:rsidRPr="00D06E30">
        <w:rPr>
          <w:rFonts w:ascii="Times New Roman" w:hAnsi="Times New Roman"/>
          <w:bCs/>
          <w:color w:val="000000"/>
          <w:sz w:val="24"/>
          <w:szCs w:val="24"/>
          <w:lang w:val="sr-Cyrl-CS"/>
        </w:rPr>
        <w:t>)</w:t>
      </w:r>
    </w:p>
    <w:p w:rsidR="00C5614B" w:rsidRPr="00390417" w:rsidRDefault="00C5614B" w:rsidP="00390417">
      <w:pPr>
        <w:shd w:val="clear" w:color="auto" w:fill="FFFFFF"/>
        <w:spacing w:before="100" w:beforeAutospacing="1" w:after="100" w:afterAutospacing="1" w:line="240" w:lineRule="auto"/>
        <w:jc w:val="both"/>
        <w:rPr>
          <w:rFonts w:ascii="Times New Roman" w:hAnsi="Times New Roman"/>
          <w:color w:val="000000"/>
          <w:sz w:val="24"/>
          <w:szCs w:val="24"/>
        </w:rPr>
      </w:pPr>
      <w:r w:rsidRPr="00390417">
        <w:rPr>
          <w:rFonts w:ascii="Times New Roman" w:hAnsi="Times New Roman"/>
          <w:color w:val="000000"/>
          <w:sz w:val="24"/>
          <w:szCs w:val="24"/>
        </w:rPr>
        <w:t>Када окривљени у својој трафици, која се води као самостална трговачка радња, продаје цигарете без акцизне маркице, извршио је кривично дело недозвољеног промета акцизних производа.</w:t>
      </w:r>
    </w:p>
    <w:p w:rsidR="00C5614B" w:rsidRDefault="00C5614B" w:rsidP="00390417">
      <w:pPr>
        <w:shd w:val="clear" w:color="auto" w:fill="FFFFFF"/>
        <w:spacing w:before="48" w:after="48" w:line="240" w:lineRule="auto"/>
        <w:jc w:val="both"/>
        <w:rPr>
          <w:rFonts w:ascii="Times New Roman" w:hAnsi="Times New Roman"/>
          <w:color w:val="000000"/>
          <w:sz w:val="24"/>
          <w:szCs w:val="24"/>
          <w:lang w:val="sr-Cyrl-CS"/>
        </w:rPr>
      </w:pPr>
      <w:r w:rsidRPr="00390417">
        <w:rPr>
          <w:rFonts w:ascii="Times New Roman" w:hAnsi="Times New Roman"/>
          <w:color w:val="000000"/>
          <w:sz w:val="24"/>
          <w:szCs w:val="24"/>
        </w:rPr>
        <w:t>Из образложења:</w:t>
      </w:r>
    </w:p>
    <w:p w:rsidR="00390417" w:rsidRPr="00390417" w:rsidRDefault="00390417" w:rsidP="00390417">
      <w:pPr>
        <w:shd w:val="clear" w:color="auto" w:fill="FFFFFF"/>
        <w:spacing w:before="48" w:after="48" w:line="240" w:lineRule="auto"/>
        <w:jc w:val="both"/>
        <w:rPr>
          <w:rFonts w:ascii="Times New Roman" w:hAnsi="Times New Roman"/>
          <w:color w:val="000000"/>
          <w:sz w:val="24"/>
          <w:szCs w:val="24"/>
          <w:lang w:val="sr-Cyrl-CS"/>
        </w:rPr>
      </w:pPr>
    </w:p>
    <w:p w:rsidR="00C5614B" w:rsidRDefault="00C5614B" w:rsidP="00390417">
      <w:pPr>
        <w:shd w:val="clear" w:color="auto" w:fill="FFFFFF"/>
        <w:spacing w:before="48" w:after="48" w:line="240" w:lineRule="auto"/>
        <w:jc w:val="both"/>
        <w:rPr>
          <w:rFonts w:ascii="Times New Roman" w:hAnsi="Times New Roman"/>
          <w:iCs/>
          <w:color w:val="000000"/>
          <w:sz w:val="24"/>
          <w:szCs w:val="24"/>
          <w:lang w:val="sr-Cyrl-CS"/>
        </w:rPr>
      </w:pPr>
      <w:r w:rsidRPr="00911A0C">
        <w:rPr>
          <w:rFonts w:ascii="Times New Roman" w:hAnsi="Times New Roman"/>
          <w:iCs/>
          <w:color w:val="000000"/>
          <w:sz w:val="24"/>
          <w:szCs w:val="24"/>
        </w:rPr>
        <w:t>"Окривљена је првостепеном пресудом оглашена кривом да је као власник самосталне трговачке радње ставила у промет 96 паклица цигарета стране производње, које нису биле обележене посебно прописаним контролним акцизним маркицама у складу са Законом о акцизама.</w:t>
      </w:r>
    </w:p>
    <w:p w:rsidR="00911A0C" w:rsidRPr="00911A0C" w:rsidRDefault="00911A0C" w:rsidP="00390417">
      <w:pPr>
        <w:shd w:val="clear" w:color="auto" w:fill="FFFFFF"/>
        <w:spacing w:before="48" w:after="48" w:line="240" w:lineRule="auto"/>
        <w:jc w:val="both"/>
        <w:rPr>
          <w:rFonts w:ascii="Times New Roman" w:hAnsi="Times New Roman"/>
          <w:iCs/>
          <w:color w:val="000000"/>
          <w:sz w:val="24"/>
          <w:szCs w:val="24"/>
          <w:lang w:val="sr-Cyrl-CS"/>
        </w:rPr>
      </w:pPr>
    </w:p>
    <w:p w:rsidR="00C5614B" w:rsidRPr="00911A0C" w:rsidRDefault="00C5614B" w:rsidP="00390417">
      <w:pPr>
        <w:shd w:val="clear" w:color="auto" w:fill="FFFFFF"/>
        <w:spacing w:before="48" w:after="48" w:line="240" w:lineRule="auto"/>
        <w:jc w:val="both"/>
        <w:rPr>
          <w:rFonts w:ascii="Times New Roman" w:hAnsi="Times New Roman"/>
          <w:iCs/>
          <w:color w:val="000000"/>
          <w:sz w:val="24"/>
          <w:szCs w:val="24"/>
        </w:rPr>
      </w:pPr>
      <w:r w:rsidRPr="00911A0C">
        <w:rPr>
          <w:rFonts w:ascii="Times New Roman" w:hAnsi="Times New Roman"/>
          <w:iCs/>
          <w:color w:val="000000"/>
          <w:sz w:val="24"/>
          <w:szCs w:val="24"/>
        </w:rPr>
        <w:t>Окривљеној је уз условну осуду изречена и мера безбедности забране вршења делатности промета робе на мало у смислу члана 176 став 3 Закона о пореском поступку и пореској администрацији."</w:t>
      </w:r>
    </w:p>
    <w:p w:rsidR="00C5614B" w:rsidRPr="00390417" w:rsidRDefault="00C5614B" w:rsidP="00390417">
      <w:pPr>
        <w:shd w:val="clear" w:color="auto" w:fill="FFFFFF"/>
        <w:spacing w:before="48" w:after="48" w:line="240" w:lineRule="auto"/>
        <w:jc w:val="both"/>
        <w:rPr>
          <w:rFonts w:ascii="Times New Roman" w:hAnsi="Times New Roman"/>
          <w:i/>
          <w:iCs/>
          <w:color w:val="000000"/>
          <w:sz w:val="24"/>
          <w:szCs w:val="24"/>
        </w:rPr>
      </w:pPr>
      <w:r w:rsidRPr="00390417">
        <w:rPr>
          <w:rFonts w:ascii="Times New Roman" w:hAnsi="Times New Roman"/>
          <w:i/>
          <w:iCs/>
          <w:color w:val="000000"/>
          <w:sz w:val="24"/>
          <w:szCs w:val="24"/>
        </w:rPr>
        <w:t> </w:t>
      </w:r>
    </w:p>
    <w:p w:rsidR="00C5614B" w:rsidRPr="00390417" w:rsidRDefault="00C5614B" w:rsidP="00390417">
      <w:pPr>
        <w:shd w:val="clear" w:color="auto" w:fill="FFFFFF"/>
        <w:spacing w:before="48" w:after="48" w:line="240" w:lineRule="auto"/>
        <w:jc w:val="both"/>
        <w:rPr>
          <w:rFonts w:ascii="Times New Roman" w:hAnsi="Times New Roman"/>
          <w:b/>
          <w:bCs/>
          <w:color w:val="000000"/>
          <w:sz w:val="24"/>
          <w:szCs w:val="24"/>
        </w:rPr>
      </w:pPr>
      <w:r w:rsidRPr="00390417">
        <w:rPr>
          <w:rFonts w:ascii="Times New Roman" w:hAnsi="Times New Roman"/>
          <w:b/>
          <w:bCs/>
          <w:color w:val="000000"/>
          <w:sz w:val="24"/>
          <w:szCs w:val="24"/>
        </w:rPr>
        <w:t>(Пресуда Окружног суда у Београду, Кж. 2649/2003 од 23.9.2003. године)</w:t>
      </w:r>
    </w:p>
    <w:p w:rsidR="001467DF" w:rsidRPr="00166B45" w:rsidRDefault="001467DF" w:rsidP="00390417">
      <w:pPr>
        <w:shd w:val="clear" w:color="auto" w:fill="FFFFFF"/>
        <w:spacing w:before="48" w:after="48" w:line="240" w:lineRule="auto"/>
        <w:jc w:val="both"/>
        <w:rPr>
          <w:rFonts w:ascii="Times New Roman" w:hAnsi="Times New Roman"/>
          <w:b/>
          <w:bCs/>
          <w:color w:val="000000"/>
          <w:sz w:val="24"/>
          <w:szCs w:val="24"/>
        </w:rPr>
      </w:pPr>
    </w:p>
    <w:p w:rsidR="00166B45" w:rsidRPr="002E473E" w:rsidRDefault="001467DF" w:rsidP="00390417">
      <w:pPr>
        <w:shd w:val="clear" w:color="auto" w:fill="FFFFFF"/>
        <w:spacing w:before="100" w:beforeAutospacing="1" w:after="100" w:afterAutospacing="1" w:line="240" w:lineRule="auto"/>
        <w:jc w:val="both"/>
        <w:rPr>
          <w:rFonts w:ascii="Times New Roman" w:hAnsi="Times New Roman"/>
          <w:bCs/>
          <w:color w:val="000000"/>
          <w:sz w:val="24"/>
          <w:szCs w:val="24"/>
          <w:lang w:val="sr-Cyrl-CS"/>
        </w:rPr>
      </w:pPr>
      <w:r>
        <w:rPr>
          <w:rFonts w:ascii="Times New Roman" w:hAnsi="Times New Roman"/>
          <w:bCs/>
          <w:color w:val="000000"/>
          <w:sz w:val="24"/>
          <w:szCs w:val="24"/>
          <w:lang w:val="sr-Cyrl-CS"/>
        </w:rPr>
        <w:t>10</w:t>
      </w:r>
      <w:r w:rsidR="00390417" w:rsidRPr="00D06E30">
        <w:rPr>
          <w:rFonts w:ascii="Times New Roman" w:hAnsi="Times New Roman"/>
          <w:bCs/>
          <w:color w:val="000000"/>
          <w:sz w:val="24"/>
          <w:szCs w:val="24"/>
          <w:lang w:val="sr-Cyrl-CS"/>
        </w:rPr>
        <w:t>)</w:t>
      </w:r>
    </w:p>
    <w:p w:rsidR="00390417" w:rsidRPr="00166B45" w:rsidRDefault="00C5614B" w:rsidP="00390417">
      <w:pPr>
        <w:shd w:val="clear" w:color="auto" w:fill="FFFFFF"/>
        <w:spacing w:before="100" w:beforeAutospacing="1" w:after="100" w:afterAutospacing="1" w:line="240" w:lineRule="auto"/>
        <w:jc w:val="both"/>
        <w:rPr>
          <w:rFonts w:ascii="Times New Roman" w:hAnsi="Times New Roman"/>
          <w:color w:val="000000"/>
          <w:sz w:val="24"/>
          <w:szCs w:val="24"/>
        </w:rPr>
      </w:pPr>
      <w:r w:rsidRPr="00390417">
        <w:rPr>
          <w:rFonts w:ascii="Times New Roman" w:hAnsi="Times New Roman"/>
          <w:color w:val="000000"/>
          <w:sz w:val="24"/>
          <w:szCs w:val="24"/>
        </w:rPr>
        <w:t>Постојање кривичног дела недозвољено складиштење робе није одређено својством извршиоца као одговорног лица у правном лицу, односно предузетника, тако да извршилац овог кривичног дела може бити свако лице.</w:t>
      </w:r>
    </w:p>
    <w:p w:rsidR="00C5614B" w:rsidRDefault="00C5614B" w:rsidP="00390417">
      <w:pPr>
        <w:shd w:val="clear" w:color="auto" w:fill="FFFFFF"/>
        <w:spacing w:before="48" w:after="48" w:line="240" w:lineRule="auto"/>
        <w:jc w:val="both"/>
        <w:rPr>
          <w:rFonts w:ascii="Times New Roman" w:hAnsi="Times New Roman"/>
          <w:color w:val="000000"/>
          <w:sz w:val="24"/>
          <w:szCs w:val="24"/>
          <w:lang w:val="sr-Cyrl-CS"/>
        </w:rPr>
      </w:pPr>
      <w:r w:rsidRPr="00390417">
        <w:rPr>
          <w:rFonts w:ascii="Times New Roman" w:hAnsi="Times New Roman"/>
          <w:color w:val="000000"/>
          <w:sz w:val="24"/>
          <w:szCs w:val="24"/>
        </w:rPr>
        <w:t>Из образложења:</w:t>
      </w:r>
    </w:p>
    <w:p w:rsidR="00390417" w:rsidRPr="00911A0C" w:rsidRDefault="00390417" w:rsidP="00390417">
      <w:pPr>
        <w:shd w:val="clear" w:color="auto" w:fill="FFFFFF"/>
        <w:spacing w:before="48" w:after="48" w:line="240" w:lineRule="auto"/>
        <w:jc w:val="both"/>
        <w:rPr>
          <w:rFonts w:ascii="Times New Roman" w:hAnsi="Times New Roman"/>
          <w:color w:val="000000"/>
          <w:sz w:val="24"/>
          <w:szCs w:val="24"/>
          <w:lang w:val="sr-Cyrl-CS"/>
        </w:rPr>
      </w:pPr>
    </w:p>
    <w:p w:rsidR="00C5614B" w:rsidRDefault="00C5614B" w:rsidP="00390417">
      <w:pPr>
        <w:shd w:val="clear" w:color="auto" w:fill="FFFFFF"/>
        <w:spacing w:before="48" w:after="48" w:line="240" w:lineRule="auto"/>
        <w:jc w:val="both"/>
        <w:rPr>
          <w:rFonts w:ascii="Times New Roman" w:hAnsi="Times New Roman"/>
          <w:iCs/>
          <w:color w:val="000000"/>
          <w:sz w:val="24"/>
          <w:szCs w:val="24"/>
          <w:lang w:val="sr-Cyrl-CS"/>
        </w:rPr>
      </w:pPr>
      <w:r w:rsidRPr="00911A0C">
        <w:rPr>
          <w:rFonts w:ascii="Times New Roman" w:hAnsi="Times New Roman"/>
          <w:iCs/>
          <w:color w:val="000000"/>
          <w:sz w:val="24"/>
          <w:szCs w:val="24"/>
        </w:rPr>
        <w:t>"Одредбом члана 176а. став 1. Закона о пореском поступку и пореској администрацији је прописано да, ко складишти робу на коју се плаћа порез у просторији која није регистрована за ту намену, или ко дозволи да се у његовој просторији складишти роба, а просторија није за то регистрована, казниће се затвором од три месеца до три године и новчаном казном. Одредбом става 2. наведеног члана је прописано да ће се казном из става 1. овог члана казнити ко у регистрованој просторији за складиштење робе ускладишти робу на коју се плаћа порез, за коју не постоји прописана документација о пореклу робе и плаћеном порезу, а ставом 3. наведене одредбе је прописано да, за кривично дело из ст. 1. и 2. овог члана, одговорном лицу у правном лицу и предузетнику изриче се мера безбедности забране вршења позива, делатности или дужности у трајању од једне до пет година.</w:t>
      </w:r>
    </w:p>
    <w:p w:rsidR="00911A0C" w:rsidRPr="00911A0C" w:rsidRDefault="00911A0C" w:rsidP="00390417">
      <w:pPr>
        <w:shd w:val="clear" w:color="auto" w:fill="FFFFFF"/>
        <w:spacing w:before="48" w:after="48" w:line="240" w:lineRule="auto"/>
        <w:jc w:val="both"/>
        <w:rPr>
          <w:rFonts w:ascii="Times New Roman" w:hAnsi="Times New Roman"/>
          <w:color w:val="000000"/>
          <w:sz w:val="24"/>
          <w:szCs w:val="24"/>
          <w:lang w:val="sr-Cyrl-CS"/>
        </w:rPr>
      </w:pPr>
    </w:p>
    <w:p w:rsidR="00C5614B" w:rsidRDefault="00C5614B" w:rsidP="00390417">
      <w:pPr>
        <w:shd w:val="clear" w:color="auto" w:fill="FFFFFF"/>
        <w:spacing w:before="48" w:after="48" w:line="240" w:lineRule="auto"/>
        <w:jc w:val="both"/>
        <w:rPr>
          <w:rFonts w:ascii="Times New Roman" w:hAnsi="Times New Roman"/>
          <w:iCs/>
          <w:color w:val="000000"/>
          <w:sz w:val="24"/>
          <w:szCs w:val="24"/>
          <w:lang w:val="sr-Cyrl-CS"/>
        </w:rPr>
      </w:pPr>
      <w:r w:rsidRPr="00911A0C">
        <w:rPr>
          <w:rFonts w:ascii="Times New Roman" w:hAnsi="Times New Roman"/>
          <w:iCs/>
          <w:color w:val="000000"/>
          <w:sz w:val="24"/>
          <w:szCs w:val="24"/>
        </w:rPr>
        <w:t xml:space="preserve">Дакле, правилним тумачењем наведене законске одредбе произилази да извршилац кривичног дела може бити свако лице, односно да постојање кривичног дела није одређено својством извршиоца, а уколико извршилац кривичног дела буде одговорно </w:t>
      </w:r>
      <w:r w:rsidRPr="00911A0C">
        <w:rPr>
          <w:rFonts w:ascii="Times New Roman" w:hAnsi="Times New Roman"/>
          <w:iCs/>
          <w:color w:val="000000"/>
          <w:sz w:val="24"/>
          <w:szCs w:val="24"/>
        </w:rPr>
        <w:lastRenderedPageBreak/>
        <w:t>лице у правном лицу или предузетник истом се изриче и мера безбедности забране вршења позива, делатности или дужности. За постојање кривичног дела је довољно да извршилац складишти робу на коју се плаћа порез у просторији која није регистрована за ту намену, да је свестан свога дела и да хоће његово извршење или на то пристаје, и да је свестан забрањености свог дела.</w:t>
      </w:r>
    </w:p>
    <w:p w:rsidR="00911A0C" w:rsidRPr="00911A0C" w:rsidRDefault="00911A0C" w:rsidP="00390417">
      <w:pPr>
        <w:shd w:val="clear" w:color="auto" w:fill="FFFFFF"/>
        <w:spacing w:before="48" w:after="48" w:line="240" w:lineRule="auto"/>
        <w:jc w:val="both"/>
        <w:rPr>
          <w:rFonts w:ascii="Times New Roman" w:hAnsi="Times New Roman"/>
          <w:color w:val="000000"/>
          <w:sz w:val="24"/>
          <w:szCs w:val="24"/>
          <w:lang w:val="sr-Cyrl-CS"/>
        </w:rPr>
      </w:pPr>
    </w:p>
    <w:p w:rsidR="00C5614B" w:rsidRPr="00390417" w:rsidRDefault="00C5614B" w:rsidP="00390417">
      <w:pPr>
        <w:shd w:val="clear" w:color="auto" w:fill="FFFFFF"/>
        <w:spacing w:before="48" w:after="48" w:line="240" w:lineRule="auto"/>
        <w:jc w:val="both"/>
        <w:rPr>
          <w:rFonts w:ascii="Times New Roman" w:hAnsi="Times New Roman"/>
          <w:color w:val="000000"/>
          <w:sz w:val="24"/>
          <w:szCs w:val="24"/>
        </w:rPr>
      </w:pPr>
      <w:r w:rsidRPr="00911A0C">
        <w:rPr>
          <w:rFonts w:ascii="Times New Roman" w:hAnsi="Times New Roman"/>
          <w:iCs/>
          <w:color w:val="000000"/>
          <w:sz w:val="24"/>
          <w:szCs w:val="24"/>
        </w:rPr>
        <w:t>Неправилно тумачење наведене одредбе довело је до погрешног закључка првостепеног суда да физичко лице не може бити извршилац предметног кривичног дела, већ само одговорно лице у правном лицу или предузетник."</w:t>
      </w:r>
    </w:p>
    <w:p w:rsidR="00C5614B" w:rsidRPr="00390417" w:rsidRDefault="00C5614B" w:rsidP="00390417">
      <w:pPr>
        <w:shd w:val="clear" w:color="auto" w:fill="FFFFFF"/>
        <w:spacing w:before="48" w:after="48" w:line="240" w:lineRule="auto"/>
        <w:jc w:val="both"/>
        <w:rPr>
          <w:rFonts w:ascii="Times New Roman" w:hAnsi="Times New Roman"/>
          <w:color w:val="000000"/>
          <w:sz w:val="24"/>
          <w:szCs w:val="24"/>
        </w:rPr>
      </w:pPr>
      <w:r w:rsidRPr="00390417">
        <w:rPr>
          <w:rFonts w:ascii="Times New Roman" w:hAnsi="Times New Roman"/>
          <w:i/>
          <w:iCs/>
          <w:color w:val="000000"/>
          <w:sz w:val="24"/>
          <w:szCs w:val="24"/>
        </w:rPr>
        <w:t> </w:t>
      </w:r>
    </w:p>
    <w:p w:rsidR="00846D8D" w:rsidRDefault="00C5614B" w:rsidP="00390417">
      <w:pPr>
        <w:shd w:val="clear" w:color="auto" w:fill="FFFFFF"/>
        <w:spacing w:before="48" w:after="48" w:line="240" w:lineRule="auto"/>
        <w:jc w:val="both"/>
        <w:rPr>
          <w:rFonts w:ascii="Times New Roman" w:hAnsi="Times New Roman"/>
          <w:b/>
          <w:bCs/>
          <w:color w:val="000000"/>
          <w:sz w:val="24"/>
          <w:szCs w:val="24"/>
        </w:rPr>
      </w:pPr>
      <w:r w:rsidRPr="00390417">
        <w:rPr>
          <w:rFonts w:ascii="Times New Roman" w:hAnsi="Times New Roman"/>
          <w:b/>
          <w:bCs/>
          <w:color w:val="000000"/>
          <w:sz w:val="24"/>
          <w:szCs w:val="24"/>
        </w:rPr>
        <w:t>(Решење Апелационог суда у Крагујевцу, Кж1. 2903/2011 од 23.8.2011. године</w:t>
      </w:r>
      <w:r w:rsidR="00166B45">
        <w:rPr>
          <w:rFonts w:ascii="Times New Roman" w:hAnsi="Times New Roman"/>
          <w:b/>
          <w:bCs/>
          <w:color w:val="000000"/>
          <w:sz w:val="24"/>
          <w:szCs w:val="24"/>
        </w:rPr>
        <w:t>)</w:t>
      </w:r>
    </w:p>
    <w:p w:rsidR="00166B45" w:rsidRPr="00166B45" w:rsidRDefault="00166B45" w:rsidP="00390417">
      <w:pPr>
        <w:shd w:val="clear" w:color="auto" w:fill="FFFFFF"/>
        <w:spacing w:before="48" w:after="48" w:line="240" w:lineRule="auto"/>
        <w:jc w:val="both"/>
        <w:rPr>
          <w:rFonts w:ascii="Times New Roman" w:hAnsi="Times New Roman"/>
          <w:b/>
          <w:bCs/>
          <w:color w:val="000000"/>
          <w:sz w:val="24"/>
          <w:szCs w:val="24"/>
        </w:rPr>
      </w:pPr>
    </w:p>
    <w:p w:rsidR="00166B45" w:rsidRPr="002E473E" w:rsidRDefault="001467DF" w:rsidP="00390417">
      <w:pPr>
        <w:shd w:val="clear" w:color="auto" w:fill="FFFFFF"/>
        <w:spacing w:before="100" w:beforeAutospacing="1" w:after="100" w:afterAutospacing="1" w:line="240" w:lineRule="auto"/>
        <w:jc w:val="both"/>
        <w:rPr>
          <w:rFonts w:ascii="Times New Roman" w:hAnsi="Times New Roman"/>
          <w:color w:val="000000"/>
          <w:sz w:val="24"/>
          <w:szCs w:val="24"/>
          <w:lang w:val="sr-Cyrl-CS"/>
        </w:rPr>
      </w:pPr>
      <w:r>
        <w:rPr>
          <w:rFonts w:ascii="Times New Roman" w:hAnsi="Times New Roman"/>
          <w:color w:val="000000"/>
          <w:sz w:val="24"/>
          <w:szCs w:val="24"/>
          <w:lang w:val="sr-Cyrl-CS"/>
        </w:rPr>
        <w:t>11</w:t>
      </w:r>
      <w:r w:rsidR="00390417">
        <w:rPr>
          <w:rFonts w:ascii="Times New Roman" w:hAnsi="Times New Roman"/>
          <w:color w:val="000000"/>
          <w:sz w:val="24"/>
          <w:szCs w:val="24"/>
          <w:lang w:val="sr-Cyrl-CS"/>
        </w:rPr>
        <w:t>)</w:t>
      </w:r>
    </w:p>
    <w:p w:rsidR="00390417" w:rsidRPr="00166B45" w:rsidRDefault="00D714A0" w:rsidP="00390417">
      <w:pPr>
        <w:shd w:val="clear" w:color="auto" w:fill="FFFFFF"/>
        <w:spacing w:before="100" w:beforeAutospacing="1" w:after="100" w:afterAutospacing="1" w:line="240" w:lineRule="auto"/>
        <w:jc w:val="both"/>
        <w:rPr>
          <w:rFonts w:ascii="Times New Roman" w:hAnsi="Times New Roman"/>
          <w:color w:val="000000"/>
          <w:sz w:val="24"/>
          <w:szCs w:val="24"/>
        </w:rPr>
      </w:pPr>
      <w:r w:rsidRPr="00390417">
        <w:rPr>
          <w:rFonts w:ascii="Times New Roman" w:hAnsi="Times New Roman"/>
          <w:color w:val="000000"/>
          <w:sz w:val="24"/>
          <w:szCs w:val="24"/>
          <w:lang w:val="sr-Cyrl-CS"/>
        </w:rPr>
        <w:t>За</w:t>
      </w:r>
      <w:r w:rsidR="00846D8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постојање</w:t>
      </w:r>
      <w:r w:rsidR="00846D8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кривичног</w:t>
      </w:r>
      <w:r w:rsidR="00846D8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дела</w:t>
      </w:r>
      <w:r w:rsidR="00846D8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злоупотребе</w:t>
      </w:r>
      <w:r w:rsidR="00846D8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службеног</w:t>
      </w:r>
      <w:r w:rsidR="00846D8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положаја</w:t>
      </w:r>
      <w:r w:rsidR="00846D8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не</w:t>
      </w:r>
      <w:r w:rsidR="00846D8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тражи</w:t>
      </w:r>
      <w:r w:rsidR="00846D8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се</w:t>
      </w:r>
      <w:r w:rsidR="00846D8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да</w:t>
      </w:r>
      <w:r w:rsidR="00846D8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окривљени</w:t>
      </w:r>
      <w:r w:rsidR="00846D8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злоупотребљава</w:t>
      </w:r>
      <w:r w:rsidR="00846D8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службени</w:t>
      </w:r>
      <w:r w:rsidR="00846D8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положај</w:t>
      </w:r>
      <w:r w:rsidR="00846D8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у</w:t>
      </w:r>
      <w:r w:rsidR="00846D8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намери</w:t>
      </w:r>
      <w:r w:rsidR="00846D8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да</w:t>
      </w:r>
      <w:r w:rsidR="00846D8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себи</w:t>
      </w:r>
      <w:r w:rsidR="00846D8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или</w:t>
      </w:r>
      <w:r w:rsidR="00846D8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другоме</w:t>
      </w:r>
      <w:r w:rsidR="00846D8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прибави</w:t>
      </w:r>
      <w:r w:rsidR="00846D8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противправну</w:t>
      </w:r>
      <w:r w:rsidR="00846D8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имовинску</w:t>
      </w:r>
      <w:r w:rsidR="00846D8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корист</w:t>
      </w:r>
      <w:r w:rsidR="00846D8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већ</w:t>
      </w:r>
      <w:r w:rsidR="00846D8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само</w:t>
      </w:r>
      <w:r w:rsidR="00846D8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да</w:t>
      </w:r>
      <w:r w:rsidR="00846D8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злоупотребом</w:t>
      </w:r>
      <w:r w:rsidR="00846D8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службеног</w:t>
      </w:r>
      <w:r w:rsidR="00846D8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положаја</w:t>
      </w:r>
      <w:r w:rsidR="00846D8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прибави</w:t>
      </w:r>
      <w:r w:rsidR="00846D8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себи</w:t>
      </w:r>
      <w:r w:rsidR="00846D8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или</w:t>
      </w:r>
      <w:r w:rsidR="00846D8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другом</w:t>
      </w:r>
      <w:r w:rsidR="00846D8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какву</w:t>
      </w:r>
      <w:r w:rsidR="00846D8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корист</w:t>
      </w:r>
      <w:r w:rsidR="00846D8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односно</w:t>
      </w:r>
      <w:r w:rsidR="00846D8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имовинску</w:t>
      </w:r>
      <w:r w:rsidR="00846D8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корист</w:t>
      </w:r>
      <w:r w:rsidR="00846D8D" w:rsidRPr="00390417">
        <w:rPr>
          <w:rFonts w:ascii="Times New Roman" w:hAnsi="Times New Roman"/>
          <w:color w:val="000000"/>
          <w:sz w:val="24"/>
          <w:szCs w:val="24"/>
          <w:lang w:val="sr-Cyrl-CS"/>
        </w:rPr>
        <w:t>.</w:t>
      </w:r>
    </w:p>
    <w:p w:rsidR="00846D8D" w:rsidRDefault="00D714A0" w:rsidP="00390417">
      <w:pPr>
        <w:shd w:val="clear" w:color="auto" w:fill="FFFFFF"/>
        <w:spacing w:before="48" w:after="48" w:line="240" w:lineRule="auto"/>
        <w:jc w:val="both"/>
        <w:rPr>
          <w:rFonts w:ascii="Times New Roman" w:hAnsi="Times New Roman"/>
          <w:color w:val="000000"/>
          <w:sz w:val="24"/>
          <w:szCs w:val="24"/>
          <w:lang w:val="sr-Cyrl-CS"/>
        </w:rPr>
      </w:pPr>
      <w:r w:rsidRPr="00390417">
        <w:rPr>
          <w:rFonts w:ascii="Times New Roman" w:hAnsi="Times New Roman"/>
          <w:color w:val="000000"/>
          <w:sz w:val="24"/>
          <w:szCs w:val="24"/>
          <w:lang w:val="sr-Cyrl-CS"/>
        </w:rPr>
        <w:t>Из</w:t>
      </w:r>
      <w:r w:rsidR="00846D8D" w:rsidRPr="00390417">
        <w:rPr>
          <w:rFonts w:ascii="Times New Roman" w:hAnsi="Times New Roman"/>
          <w:color w:val="000000"/>
          <w:sz w:val="24"/>
          <w:szCs w:val="24"/>
          <w:lang w:val="sr-Cyrl-CS"/>
        </w:rPr>
        <w:t xml:space="preserve"> </w:t>
      </w:r>
      <w:r w:rsidRPr="00390417">
        <w:rPr>
          <w:rFonts w:ascii="Times New Roman" w:hAnsi="Times New Roman"/>
          <w:color w:val="000000"/>
          <w:sz w:val="24"/>
          <w:szCs w:val="24"/>
          <w:lang w:val="sr-Cyrl-CS"/>
        </w:rPr>
        <w:t>образложења</w:t>
      </w:r>
      <w:r w:rsidR="00846D8D" w:rsidRPr="00390417">
        <w:rPr>
          <w:rFonts w:ascii="Times New Roman" w:hAnsi="Times New Roman"/>
          <w:color w:val="000000"/>
          <w:sz w:val="24"/>
          <w:szCs w:val="24"/>
          <w:lang w:val="sr-Cyrl-CS"/>
        </w:rPr>
        <w:t xml:space="preserve">: </w:t>
      </w:r>
    </w:p>
    <w:p w:rsidR="00390417" w:rsidRPr="00390417" w:rsidRDefault="00390417" w:rsidP="00390417">
      <w:pPr>
        <w:shd w:val="clear" w:color="auto" w:fill="FFFFFF"/>
        <w:spacing w:before="48" w:after="48" w:line="240" w:lineRule="auto"/>
        <w:jc w:val="both"/>
        <w:rPr>
          <w:rFonts w:ascii="Times New Roman" w:hAnsi="Times New Roman"/>
          <w:color w:val="000000"/>
          <w:sz w:val="24"/>
          <w:szCs w:val="24"/>
          <w:lang w:val="sr-Cyrl-CS"/>
        </w:rPr>
      </w:pPr>
    </w:p>
    <w:p w:rsidR="00846D8D" w:rsidRDefault="00846D8D" w:rsidP="00390417">
      <w:pPr>
        <w:shd w:val="clear" w:color="auto" w:fill="FFFFFF"/>
        <w:spacing w:before="48" w:after="48" w:line="240" w:lineRule="auto"/>
        <w:jc w:val="both"/>
        <w:rPr>
          <w:rFonts w:ascii="Times New Roman" w:hAnsi="Times New Roman"/>
          <w:iCs/>
          <w:color w:val="000000"/>
          <w:sz w:val="24"/>
          <w:szCs w:val="24"/>
          <w:lang w:val="sr-Cyrl-CS"/>
        </w:rPr>
      </w:pPr>
      <w:r w:rsidRPr="00911A0C">
        <w:rPr>
          <w:rFonts w:ascii="Times New Roman" w:hAnsi="Times New Roman"/>
          <w:iCs/>
          <w:color w:val="000000"/>
          <w:sz w:val="24"/>
          <w:szCs w:val="24"/>
          <w:lang w:val="sr-Cyrl-CS"/>
        </w:rPr>
        <w:t>"</w:t>
      </w:r>
      <w:r w:rsidR="00D714A0" w:rsidRPr="00911A0C">
        <w:rPr>
          <w:rFonts w:ascii="Times New Roman" w:hAnsi="Times New Roman"/>
          <w:iCs/>
          <w:color w:val="000000"/>
          <w:sz w:val="24"/>
          <w:szCs w:val="24"/>
          <w:lang w:val="sr-Cyrl-CS"/>
        </w:rPr>
        <w:t>Даље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изреци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првостепене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пресуде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наводи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да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је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оптужени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намери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да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себи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другима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прибави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противправну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имовинску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корист</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злоупотребио</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службени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положај</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својству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одговорног</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лица</w:t>
      </w:r>
      <w:r w:rsidRPr="00911A0C">
        <w:rPr>
          <w:rFonts w:ascii="Times New Roman" w:hAnsi="Times New Roman"/>
          <w:iCs/>
          <w:color w:val="000000"/>
          <w:sz w:val="24"/>
          <w:szCs w:val="24"/>
          <w:lang w:val="sr-Cyrl-CS"/>
        </w:rPr>
        <w:t xml:space="preserve"> - </w:t>
      </w:r>
      <w:r w:rsidR="00D714A0" w:rsidRPr="00911A0C">
        <w:rPr>
          <w:rFonts w:ascii="Times New Roman" w:hAnsi="Times New Roman"/>
          <w:iCs/>
          <w:color w:val="000000"/>
          <w:sz w:val="24"/>
          <w:szCs w:val="24"/>
          <w:lang w:val="sr-Cyrl-CS"/>
        </w:rPr>
        <w:t>власника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директора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предузећа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М</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искоришћавањем</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свог</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службеног</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положаја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уговарао</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купопродају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цигарета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име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свог</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предузећа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на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име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непостојећег</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предузећа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из</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Н</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које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цигарете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увезене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на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територију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тадашње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СРЈ</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без</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евидентирања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Савезној</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управи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царина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СРЈ</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смештене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закупљене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магацине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одакле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је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вршена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продаја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цигарета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крајњим</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корисницима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физичким</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лицима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на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територији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Републике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Србије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за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готов</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новац</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без</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икаквог</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књиговодственог</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евидентирања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овог</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промета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књиговодственој</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евиденцији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предузећа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је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продајом</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цигарета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крајњим</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корисницима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на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територији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Републике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Србије</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без</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обрачуна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плаћања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држави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царина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других</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јавних</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прихода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прибавио</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себи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другима</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противправну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имовинску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корист</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износу</w:t>
      </w:r>
      <w:r w:rsidRPr="00911A0C">
        <w:rPr>
          <w:rFonts w:ascii="Times New Roman" w:hAnsi="Times New Roman"/>
          <w:iCs/>
          <w:color w:val="000000"/>
          <w:sz w:val="24"/>
          <w:szCs w:val="24"/>
          <w:lang w:val="sr-Cyrl-CS"/>
        </w:rPr>
        <w:t xml:space="preserve"> </w:t>
      </w:r>
      <w:r w:rsidR="00D714A0" w:rsidRPr="00911A0C">
        <w:rPr>
          <w:rFonts w:ascii="Times New Roman" w:hAnsi="Times New Roman"/>
          <w:iCs/>
          <w:color w:val="000000"/>
          <w:sz w:val="24"/>
          <w:szCs w:val="24"/>
          <w:lang w:val="sr-Cyrl-CS"/>
        </w:rPr>
        <w:t>од</w:t>
      </w:r>
      <w:r w:rsidRPr="00911A0C">
        <w:rPr>
          <w:rFonts w:ascii="Times New Roman" w:hAnsi="Times New Roman"/>
          <w:iCs/>
          <w:color w:val="000000"/>
          <w:sz w:val="24"/>
          <w:szCs w:val="24"/>
          <w:lang w:val="sr-Cyrl-CS"/>
        </w:rPr>
        <w:t xml:space="preserve"> 75.821.404,49 </w:t>
      </w:r>
      <w:r w:rsidR="00D714A0" w:rsidRPr="00911A0C">
        <w:rPr>
          <w:rFonts w:ascii="Times New Roman" w:hAnsi="Times New Roman"/>
          <w:iCs/>
          <w:color w:val="000000"/>
          <w:sz w:val="24"/>
          <w:szCs w:val="24"/>
          <w:lang w:val="sr-Cyrl-CS"/>
        </w:rPr>
        <w:t>динара</w:t>
      </w:r>
      <w:r w:rsidRPr="00911A0C">
        <w:rPr>
          <w:rFonts w:ascii="Times New Roman" w:hAnsi="Times New Roman"/>
          <w:iCs/>
          <w:color w:val="000000"/>
          <w:sz w:val="24"/>
          <w:szCs w:val="24"/>
          <w:lang w:val="sr-Cyrl-CS"/>
        </w:rPr>
        <w:t xml:space="preserve">. </w:t>
      </w:r>
    </w:p>
    <w:p w:rsidR="00911A0C" w:rsidRPr="00911A0C" w:rsidRDefault="00911A0C" w:rsidP="00390417">
      <w:pPr>
        <w:shd w:val="clear" w:color="auto" w:fill="FFFFFF"/>
        <w:spacing w:before="48" w:after="48" w:line="240" w:lineRule="auto"/>
        <w:jc w:val="both"/>
        <w:rPr>
          <w:rFonts w:ascii="Times New Roman" w:hAnsi="Times New Roman"/>
          <w:color w:val="000000"/>
          <w:sz w:val="24"/>
          <w:szCs w:val="24"/>
          <w:lang w:val="sr-Cyrl-CS"/>
        </w:rPr>
      </w:pPr>
    </w:p>
    <w:p w:rsidR="00846D8D" w:rsidRDefault="00D714A0" w:rsidP="00390417">
      <w:pPr>
        <w:shd w:val="clear" w:color="auto" w:fill="FFFFFF"/>
        <w:spacing w:before="48" w:after="48" w:line="240" w:lineRule="auto"/>
        <w:jc w:val="both"/>
        <w:rPr>
          <w:rFonts w:ascii="Times New Roman" w:hAnsi="Times New Roman"/>
          <w:iCs/>
          <w:color w:val="000000"/>
          <w:sz w:val="24"/>
          <w:szCs w:val="24"/>
          <w:lang w:val="sr-Cyrl-CS"/>
        </w:rPr>
      </w:pPr>
      <w:r w:rsidRPr="00911A0C">
        <w:rPr>
          <w:rFonts w:ascii="Times New Roman" w:hAnsi="Times New Roman"/>
          <w:iCs/>
          <w:color w:val="000000"/>
          <w:sz w:val="24"/>
          <w:szCs w:val="24"/>
          <w:lang w:val="sr-Cyrl-CS"/>
        </w:rPr>
        <w:t>У</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вези</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са</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тим</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основани</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су</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жалбени</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наводи</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да</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законска</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одредба</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члана</w:t>
      </w:r>
      <w:r w:rsidR="00846D8D" w:rsidRPr="00911A0C">
        <w:rPr>
          <w:rFonts w:ascii="Times New Roman" w:hAnsi="Times New Roman"/>
          <w:iCs/>
          <w:color w:val="000000"/>
          <w:sz w:val="24"/>
          <w:szCs w:val="24"/>
          <w:lang w:val="sr-Cyrl-CS"/>
        </w:rPr>
        <w:t xml:space="preserve"> 359. </w:t>
      </w:r>
      <w:r w:rsidRPr="00911A0C">
        <w:rPr>
          <w:rFonts w:ascii="Times New Roman" w:hAnsi="Times New Roman"/>
          <w:iCs/>
          <w:color w:val="000000"/>
          <w:sz w:val="24"/>
          <w:szCs w:val="24"/>
          <w:lang w:val="sr-Cyrl-CS"/>
        </w:rPr>
        <w:t>став</w:t>
      </w:r>
      <w:r w:rsidR="00846D8D" w:rsidRPr="00911A0C">
        <w:rPr>
          <w:rFonts w:ascii="Times New Roman" w:hAnsi="Times New Roman"/>
          <w:iCs/>
          <w:color w:val="000000"/>
          <w:sz w:val="24"/>
          <w:szCs w:val="24"/>
          <w:lang w:val="sr-Cyrl-CS"/>
        </w:rPr>
        <w:t xml:space="preserve"> 1. </w:t>
      </w:r>
      <w:r w:rsidRPr="00911A0C">
        <w:rPr>
          <w:rFonts w:ascii="Times New Roman" w:hAnsi="Times New Roman"/>
          <w:iCs/>
          <w:color w:val="000000"/>
          <w:sz w:val="24"/>
          <w:szCs w:val="24"/>
          <w:lang w:val="sr-Cyrl-CS"/>
        </w:rPr>
        <w:t>Кривичног</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законика</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не</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предвиђа</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намеру</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као</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посебан</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субјективан</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однос</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према</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радњама</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извршења</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кривичног</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дела</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нити</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прибављање</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себи</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и</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другима</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противправне</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имовинске</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користи</w:t>
      </w:r>
      <w:r w:rsidR="00846D8D" w:rsidRPr="00911A0C">
        <w:rPr>
          <w:rFonts w:ascii="Times New Roman" w:hAnsi="Times New Roman"/>
          <w:iCs/>
          <w:color w:val="000000"/>
          <w:sz w:val="24"/>
          <w:szCs w:val="24"/>
          <w:lang w:val="sr-Cyrl-CS"/>
        </w:rPr>
        <w:t xml:space="preserve">. </w:t>
      </w:r>
    </w:p>
    <w:p w:rsidR="00911A0C" w:rsidRPr="00911A0C" w:rsidRDefault="00911A0C" w:rsidP="00390417">
      <w:pPr>
        <w:shd w:val="clear" w:color="auto" w:fill="FFFFFF"/>
        <w:spacing w:before="48" w:after="48" w:line="240" w:lineRule="auto"/>
        <w:jc w:val="both"/>
        <w:rPr>
          <w:rFonts w:ascii="Times New Roman" w:hAnsi="Times New Roman"/>
          <w:color w:val="000000"/>
          <w:sz w:val="24"/>
          <w:szCs w:val="24"/>
          <w:lang w:val="sr-Cyrl-CS"/>
        </w:rPr>
      </w:pPr>
    </w:p>
    <w:p w:rsidR="00846D8D" w:rsidRPr="00911A0C" w:rsidRDefault="00D714A0" w:rsidP="00390417">
      <w:pPr>
        <w:shd w:val="clear" w:color="auto" w:fill="FFFFFF"/>
        <w:spacing w:before="48" w:after="48" w:line="240" w:lineRule="auto"/>
        <w:jc w:val="both"/>
        <w:rPr>
          <w:rFonts w:ascii="Times New Roman" w:hAnsi="Times New Roman"/>
          <w:color w:val="000000"/>
          <w:sz w:val="24"/>
          <w:szCs w:val="24"/>
          <w:lang w:val="sr-Cyrl-CS"/>
        </w:rPr>
      </w:pPr>
      <w:r w:rsidRPr="00911A0C">
        <w:rPr>
          <w:rFonts w:ascii="Times New Roman" w:hAnsi="Times New Roman"/>
          <w:iCs/>
          <w:color w:val="000000"/>
          <w:sz w:val="24"/>
          <w:szCs w:val="24"/>
          <w:lang w:val="sr-Cyrl-CS"/>
        </w:rPr>
        <w:t>Како</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се</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дакле</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у</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изреци</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пресуде</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наводи</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намера</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оптуженог</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као</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већи</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степен</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умишљаја</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и</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прибављање</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противправне</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имовинске</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користи</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злоупотребом</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службеног</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положаја</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што</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није</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елеменат</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овог</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кривичног</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дела</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нити</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је</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за</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то</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тужено</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то</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је</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тиме</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учињена</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битна</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повреда</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одредаба</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кривичног</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поступка</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која</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се</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састоји</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у</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томе</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што</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је</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оптужба</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прекорачена</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и</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што</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је</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изрека</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побијане</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пресуде</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неразумљива</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Ово</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са</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разлога</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што</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предметно</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кривично</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дело</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за</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које</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је</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оглашен</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кривим</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оптужени</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С</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С</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може</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бити</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извршено</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или</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неизвршено</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наведеним</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радњама</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без</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обзира</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на</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то</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да</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ли</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су</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исте</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lastRenderedPageBreak/>
        <w:t>предузимане</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у</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намери</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или</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без</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намере</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да</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себи</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или</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другима</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прибави</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имовинску</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корист</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с</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обзиром</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да</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се</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не</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тражи</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да</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извршилац</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овог</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кривичног</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дела</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злоупотребљава</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службени</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положај</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у</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намери</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да</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себи</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или</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другоме</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прибави</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противправну</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имовинску</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корист</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већ</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само</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да</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злоупотребом</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службеног</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положаја</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прибави</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себи</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или</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другом</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какву</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корист</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односно</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имовинску</w:t>
      </w:r>
      <w:r w:rsidR="00846D8D" w:rsidRPr="00911A0C">
        <w:rPr>
          <w:rFonts w:ascii="Times New Roman" w:hAnsi="Times New Roman"/>
          <w:iCs/>
          <w:color w:val="000000"/>
          <w:sz w:val="24"/>
          <w:szCs w:val="24"/>
          <w:lang w:val="sr-Cyrl-CS"/>
        </w:rPr>
        <w:t xml:space="preserve"> </w:t>
      </w:r>
      <w:r w:rsidRPr="00911A0C">
        <w:rPr>
          <w:rFonts w:ascii="Times New Roman" w:hAnsi="Times New Roman"/>
          <w:iCs/>
          <w:color w:val="000000"/>
          <w:sz w:val="24"/>
          <w:szCs w:val="24"/>
          <w:lang w:val="sr-Cyrl-CS"/>
        </w:rPr>
        <w:t>корист</w:t>
      </w:r>
      <w:r w:rsidR="00846D8D" w:rsidRPr="00911A0C">
        <w:rPr>
          <w:rFonts w:ascii="Times New Roman" w:hAnsi="Times New Roman"/>
          <w:iCs/>
          <w:color w:val="000000"/>
          <w:sz w:val="24"/>
          <w:szCs w:val="24"/>
          <w:lang w:val="sr-Cyrl-CS"/>
        </w:rPr>
        <w:t xml:space="preserve">." </w:t>
      </w:r>
    </w:p>
    <w:p w:rsidR="00846D8D" w:rsidRPr="00390417" w:rsidRDefault="00846D8D" w:rsidP="00390417">
      <w:pPr>
        <w:shd w:val="clear" w:color="auto" w:fill="FFFFFF"/>
        <w:spacing w:before="48" w:after="48" w:line="240" w:lineRule="auto"/>
        <w:jc w:val="both"/>
        <w:rPr>
          <w:rFonts w:ascii="Times New Roman" w:hAnsi="Times New Roman"/>
          <w:color w:val="000000"/>
          <w:sz w:val="24"/>
          <w:szCs w:val="24"/>
          <w:lang w:val="sr-Cyrl-CS"/>
        </w:rPr>
      </w:pPr>
      <w:r w:rsidRPr="00390417">
        <w:rPr>
          <w:rFonts w:ascii="Times New Roman" w:hAnsi="Times New Roman"/>
          <w:i/>
          <w:iCs/>
          <w:color w:val="000000"/>
          <w:sz w:val="24"/>
          <w:szCs w:val="24"/>
          <w:lang w:val="sr-Cyrl-CS"/>
        </w:rPr>
        <w:t> </w:t>
      </w:r>
    </w:p>
    <w:p w:rsidR="00846D8D" w:rsidRDefault="00846D8D" w:rsidP="00390417">
      <w:pPr>
        <w:shd w:val="clear" w:color="auto" w:fill="FFFFFF"/>
        <w:spacing w:before="48" w:after="48" w:line="240" w:lineRule="auto"/>
        <w:jc w:val="both"/>
        <w:rPr>
          <w:rFonts w:ascii="Times New Roman" w:hAnsi="Times New Roman"/>
          <w:b/>
          <w:bCs/>
          <w:color w:val="000000"/>
          <w:sz w:val="24"/>
          <w:szCs w:val="24"/>
        </w:rPr>
      </w:pPr>
      <w:r w:rsidRPr="00390417">
        <w:rPr>
          <w:rFonts w:ascii="Times New Roman" w:hAnsi="Times New Roman"/>
          <w:b/>
          <w:bCs/>
          <w:color w:val="000000"/>
          <w:sz w:val="24"/>
          <w:szCs w:val="24"/>
          <w:lang w:val="sr-Cyrl-CS"/>
        </w:rPr>
        <w:t>(</w:t>
      </w:r>
      <w:r w:rsidR="00D714A0" w:rsidRPr="00390417">
        <w:rPr>
          <w:rFonts w:ascii="Times New Roman" w:hAnsi="Times New Roman"/>
          <w:b/>
          <w:bCs/>
          <w:color w:val="000000"/>
          <w:sz w:val="24"/>
          <w:szCs w:val="24"/>
          <w:lang w:val="sr-Cyrl-CS"/>
        </w:rPr>
        <w:t>Решење</w:t>
      </w:r>
      <w:r w:rsidRPr="00390417">
        <w:rPr>
          <w:rFonts w:ascii="Times New Roman" w:hAnsi="Times New Roman"/>
          <w:b/>
          <w:bCs/>
          <w:color w:val="000000"/>
          <w:sz w:val="24"/>
          <w:szCs w:val="24"/>
          <w:lang w:val="sr-Cyrl-CS"/>
        </w:rPr>
        <w:t xml:space="preserve"> </w:t>
      </w:r>
      <w:r w:rsidR="00D714A0" w:rsidRPr="00390417">
        <w:rPr>
          <w:rFonts w:ascii="Times New Roman" w:hAnsi="Times New Roman"/>
          <w:b/>
          <w:bCs/>
          <w:color w:val="000000"/>
          <w:sz w:val="24"/>
          <w:szCs w:val="24"/>
          <w:lang w:val="sr-Cyrl-CS"/>
        </w:rPr>
        <w:t>Апелационог</w:t>
      </w:r>
      <w:r w:rsidRPr="00390417">
        <w:rPr>
          <w:rFonts w:ascii="Times New Roman" w:hAnsi="Times New Roman"/>
          <w:b/>
          <w:bCs/>
          <w:color w:val="000000"/>
          <w:sz w:val="24"/>
          <w:szCs w:val="24"/>
          <w:lang w:val="sr-Cyrl-CS"/>
        </w:rPr>
        <w:t xml:space="preserve"> </w:t>
      </w:r>
      <w:r w:rsidR="00D714A0" w:rsidRPr="00390417">
        <w:rPr>
          <w:rFonts w:ascii="Times New Roman" w:hAnsi="Times New Roman"/>
          <w:b/>
          <w:bCs/>
          <w:color w:val="000000"/>
          <w:sz w:val="24"/>
          <w:szCs w:val="24"/>
          <w:lang w:val="sr-Cyrl-CS"/>
        </w:rPr>
        <w:t>суда</w:t>
      </w:r>
      <w:r w:rsidRPr="00390417">
        <w:rPr>
          <w:rFonts w:ascii="Times New Roman" w:hAnsi="Times New Roman"/>
          <w:b/>
          <w:bCs/>
          <w:color w:val="000000"/>
          <w:sz w:val="24"/>
          <w:szCs w:val="24"/>
          <w:lang w:val="sr-Cyrl-CS"/>
        </w:rPr>
        <w:t xml:space="preserve"> </w:t>
      </w:r>
      <w:r w:rsidR="00D714A0" w:rsidRPr="00390417">
        <w:rPr>
          <w:rFonts w:ascii="Times New Roman" w:hAnsi="Times New Roman"/>
          <w:b/>
          <w:bCs/>
          <w:color w:val="000000"/>
          <w:sz w:val="24"/>
          <w:szCs w:val="24"/>
          <w:lang w:val="sr-Cyrl-CS"/>
        </w:rPr>
        <w:t>у</w:t>
      </w:r>
      <w:r w:rsidRPr="00390417">
        <w:rPr>
          <w:rFonts w:ascii="Times New Roman" w:hAnsi="Times New Roman"/>
          <w:b/>
          <w:bCs/>
          <w:color w:val="000000"/>
          <w:sz w:val="24"/>
          <w:szCs w:val="24"/>
          <w:lang w:val="sr-Cyrl-CS"/>
        </w:rPr>
        <w:t xml:space="preserve"> </w:t>
      </w:r>
      <w:r w:rsidR="00D714A0" w:rsidRPr="00390417">
        <w:rPr>
          <w:rFonts w:ascii="Times New Roman" w:hAnsi="Times New Roman"/>
          <w:b/>
          <w:bCs/>
          <w:color w:val="000000"/>
          <w:sz w:val="24"/>
          <w:szCs w:val="24"/>
          <w:lang w:val="sr-Cyrl-CS"/>
        </w:rPr>
        <w:t>Београду</w:t>
      </w:r>
      <w:r w:rsidRPr="00390417">
        <w:rPr>
          <w:rFonts w:ascii="Times New Roman" w:hAnsi="Times New Roman"/>
          <w:b/>
          <w:bCs/>
          <w:color w:val="000000"/>
          <w:sz w:val="24"/>
          <w:szCs w:val="24"/>
          <w:lang w:val="sr-Cyrl-CS"/>
        </w:rPr>
        <w:t xml:space="preserve">, </w:t>
      </w:r>
      <w:r w:rsidR="00D714A0" w:rsidRPr="00390417">
        <w:rPr>
          <w:rFonts w:ascii="Times New Roman" w:hAnsi="Times New Roman"/>
          <w:b/>
          <w:bCs/>
          <w:color w:val="000000"/>
          <w:sz w:val="24"/>
          <w:szCs w:val="24"/>
          <w:lang w:val="sr-Cyrl-CS"/>
        </w:rPr>
        <w:t>Кж</w:t>
      </w:r>
      <w:r w:rsidRPr="00390417">
        <w:rPr>
          <w:rFonts w:ascii="Times New Roman" w:hAnsi="Times New Roman"/>
          <w:b/>
          <w:bCs/>
          <w:color w:val="000000"/>
          <w:sz w:val="24"/>
          <w:szCs w:val="24"/>
          <w:lang w:val="sr-Cyrl-CS"/>
        </w:rPr>
        <w:t xml:space="preserve">1. </w:t>
      </w:r>
      <w:r w:rsidR="00D714A0" w:rsidRPr="00390417">
        <w:rPr>
          <w:rFonts w:ascii="Times New Roman" w:hAnsi="Times New Roman"/>
          <w:b/>
          <w:bCs/>
          <w:color w:val="000000"/>
          <w:sz w:val="24"/>
          <w:szCs w:val="24"/>
          <w:lang w:val="sr-Cyrl-CS"/>
        </w:rPr>
        <w:t>По</w:t>
      </w:r>
      <w:r w:rsidRPr="00390417">
        <w:rPr>
          <w:rFonts w:ascii="Times New Roman" w:hAnsi="Times New Roman"/>
          <w:b/>
          <w:bCs/>
          <w:color w:val="000000"/>
          <w:sz w:val="24"/>
          <w:szCs w:val="24"/>
          <w:lang w:val="sr-Cyrl-CS"/>
        </w:rPr>
        <w:t xml:space="preserve">1 8/2012(4) </w:t>
      </w:r>
      <w:r w:rsidR="00D714A0" w:rsidRPr="00390417">
        <w:rPr>
          <w:rFonts w:ascii="Times New Roman" w:hAnsi="Times New Roman"/>
          <w:b/>
          <w:bCs/>
          <w:color w:val="000000"/>
          <w:sz w:val="24"/>
          <w:szCs w:val="24"/>
          <w:lang w:val="sr-Cyrl-CS"/>
        </w:rPr>
        <w:t>од</w:t>
      </w:r>
      <w:r w:rsidRPr="00390417">
        <w:rPr>
          <w:rFonts w:ascii="Times New Roman" w:hAnsi="Times New Roman"/>
          <w:b/>
          <w:bCs/>
          <w:color w:val="000000"/>
          <w:sz w:val="24"/>
          <w:szCs w:val="24"/>
          <w:lang w:val="sr-Cyrl-CS"/>
        </w:rPr>
        <w:t xml:space="preserve"> 8.2.2013. </w:t>
      </w:r>
      <w:r w:rsidR="00D714A0" w:rsidRPr="00390417">
        <w:rPr>
          <w:rFonts w:ascii="Times New Roman" w:hAnsi="Times New Roman"/>
          <w:b/>
          <w:bCs/>
          <w:color w:val="000000"/>
          <w:sz w:val="24"/>
          <w:szCs w:val="24"/>
          <w:lang w:val="sr-Cyrl-CS"/>
        </w:rPr>
        <w:t>године</w:t>
      </w:r>
      <w:r w:rsidRPr="00390417">
        <w:rPr>
          <w:rFonts w:ascii="Times New Roman" w:hAnsi="Times New Roman"/>
          <w:b/>
          <w:bCs/>
          <w:color w:val="000000"/>
          <w:sz w:val="24"/>
          <w:szCs w:val="24"/>
          <w:lang w:val="sr-Cyrl-CS"/>
        </w:rPr>
        <w:t xml:space="preserve">) </w:t>
      </w:r>
    </w:p>
    <w:p w:rsidR="00166B45" w:rsidRPr="00166B45" w:rsidRDefault="00166B45" w:rsidP="00390417">
      <w:pPr>
        <w:shd w:val="clear" w:color="auto" w:fill="FFFFFF"/>
        <w:spacing w:before="48" w:after="48" w:line="240" w:lineRule="auto"/>
        <w:jc w:val="both"/>
        <w:rPr>
          <w:rFonts w:ascii="Times New Roman" w:hAnsi="Times New Roman"/>
          <w:b/>
          <w:bCs/>
          <w:color w:val="000000"/>
          <w:sz w:val="24"/>
          <w:szCs w:val="24"/>
        </w:rPr>
      </w:pPr>
    </w:p>
    <w:p w:rsidR="00846D8D" w:rsidRPr="00166B45" w:rsidRDefault="00846D8D" w:rsidP="00390417">
      <w:pPr>
        <w:shd w:val="clear" w:color="auto" w:fill="FFFFFF"/>
        <w:spacing w:before="48" w:after="48" w:line="240" w:lineRule="auto"/>
        <w:jc w:val="both"/>
        <w:rPr>
          <w:rFonts w:ascii="Times New Roman" w:hAnsi="Times New Roman"/>
          <w:color w:val="000000"/>
          <w:sz w:val="24"/>
          <w:szCs w:val="24"/>
        </w:rPr>
      </w:pPr>
    </w:p>
    <w:p w:rsidR="00D06E30" w:rsidRDefault="001467DF" w:rsidP="00390417">
      <w:pPr>
        <w:pStyle w:val="normal0"/>
        <w:shd w:val="clear" w:color="auto" w:fill="FFFFFF"/>
        <w:spacing w:before="48" w:beforeAutospacing="0" w:after="48" w:afterAutospacing="0"/>
        <w:jc w:val="both"/>
        <w:rPr>
          <w:color w:val="000000"/>
        </w:rPr>
      </w:pPr>
      <w:r>
        <w:rPr>
          <w:color w:val="000000"/>
          <w:lang w:val="sr-Cyrl-CS"/>
        </w:rPr>
        <w:t>12</w:t>
      </w:r>
      <w:r w:rsidR="00390417" w:rsidRPr="00390417">
        <w:rPr>
          <w:color w:val="000000"/>
          <w:lang w:val="sr-Cyrl-CS"/>
        </w:rPr>
        <w:t>)</w:t>
      </w:r>
    </w:p>
    <w:p w:rsidR="00166B45" w:rsidRPr="00166B45" w:rsidRDefault="00166B45" w:rsidP="00390417">
      <w:pPr>
        <w:pStyle w:val="normal0"/>
        <w:shd w:val="clear" w:color="auto" w:fill="FFFFFF"/>
        <w:spacing w:before="48" w:beforeAutospacing="0" w:after="48" w:afterAutospacing="0"/>
        <w:jc w:val="both"/>
        <w:rPr>
          <w:color w:val="000000"/>
        </w:rPr>
      </w:pPr>
    </w:p>
    <w:p w:rsidR="00AC0D08" w:rsidRDefault="00C5614B" w:rsidP="00390417">
      <w:pPr>
        <w:pStyle w:val="normal0"/>
        <w:shd w:val="clear" w:color="auto" w:fill="FFFFFF"/>
        <w:spacing w:before="48" w:beforeAutospacing="0" w:after="48" w:afterAutospacing="0"/>
        <w:jc w:val="both"/>
        <w:rPr>
          <w:color w:val="000000"/>
          <w:lang w:val="sr-Cyrl-CS"/>
        </w:rPr>
      </w:pPr>
      <w:r w:rsidRPr="00390417">
        <w:rPr>
          <w:color w:val="000000"/>
        </w:rPr>
        <w:t>Пореска</w:t>
      </w:r>
      <w:r w:rsidR="00AC0D08" w:rsidRPr="00390417">
        <w:rPr>
          <w:color w:val="000000"/>
        </w:rPr>
        <w:t xml:space="preserve"> </w:t>
      </w:r>
      <w:r w:rsidRPr="00390417">
        <w:rPr>
          <w:color w:val="000000"/>
        </w:rPr>
        <w:t>управа</w:t>
      </w:r>
      <w:r w:rsidR="00AC0D08" w:rsidRPr="00390417">
        <w:rPr>
          <w:color w:val="000000"/>
        </w:rPr>
        <w:t xml:space="preserve"> - </w:t>
      </w:r>
      <w:r w:rsidRPr="00390417">
        <w:rPr>
          <w:color w:val="000000"/>
        </w:rPr>
        <w:t>Сектор</w:t>
      </w:r>
      <w:r w:rsidR="00AC0D08" w:rsidRPr="00390417">
        <w:rPr>
          <w:color w:val="000000"/>
        </w:rPr>
        <w:t xml:space="preserve"> </w:t>
      </w:r>
      <w:r w:rsidRPr="00390417">
        <w:rPr>
          <w:color w:val="000000"/>
        </w:rPr>
        <w:t>пореске</w:t>
      </w:r>
      <w:r w:rsidR="00AC0D08" w:rsidRPr="00390417">
        <w:rPr>
          <w:color w:val="000000"/>
        </w:rPr>
        <w:t xml:space="preserve"> </w:t>
      </w:r>
      <w:r w:rsidRPr="00390417">
        <w:rPr>
          <w:color w:val="000000"/>
        </w:rPr>
        <w:t>полиције</w:t>
      </w:r>
      <w:r w:rsidR="00AC0D08" w:rsidRPr="00390417">
        <w:rPr>
          <w:color w:val="000000"/>
        </w:rPr>
        <w:t xml:space="preserve"> </w:t>
      </w:r>
      <w:r w:rsidRPr="00390417">
        <w:rPr>
          <w:color w:val="000000"/>
        </w:rPr>
        <w:t>поднела</w:t>
      </w:r>
      <w:r w:rsidR="00AC0D08" w:rsidRPr="00390417">
        <w:rPr>
          <w:color w:val="000000"/>
        </w:rPr>
        <w:t xml:space="preserve"> </w:t>
      </w:r>
      <w:r w:rsidRPr="00390417">
        <w:rPr>
          <w:color w:val="000000"/>
        </w:rPr>
        <w:t>је</w:t>
      </w:r>
      <w:r w:rsidR="00AC0D08" w:rsidRPr="00390417">
        <w:rPr>
          <w:color w:val="000000"/>
        </w:rPr>
        <w:t xml:space="preserve"> </w:t>
      </w:r>
      <w:r w:rsidRPr="00390417">
        <w:rPr>
          <w:color w:val="000000"/>
        </w:rPr>
        <w:t>Основном</w:t>
      </w:r>
      <w:r w:rsidR="00AC0D08" w:rsidRPr="00390417">
        <w:rPr>
          <w:color w:val="000000"/>
        </w:rPr>
        <w:t xml:space="preserve"> </w:t>
      </w:r>
      <w:r w:rsidRPr="00390417">
        <w:rPr>
          <w:color w:val="000000"/>
        </w:rPr>
        <w:t>јавном</w:t>
      </w:r>
      <w:r w:rsidR="00AC0D08" w:rsidRPr="00390417">
        <w:rPr>
          <w:color w:val="000000"/>
        </w:rPr>
        <w:t xml:space="preserve"> </w:t>
      </w:r>
      <w:r w:rsidRPr="00390417">
        <w:rPr>
          <w:color w:val="000000"/>
        </w:rPr>
        <w:t>тужилаштву</w:t>
      </w:r>
      <w:r w:rsidR="00AC0D08" w:rsidRPr="00390417">
        <w:rPr>
          <w:color w:val="000000"/>
        </w:rPr>
        <w:t xml:space="preserve"> </w:t>
      </w:r>
      <w:r w:rsidRPr="00390417">
        <w:rPr>
          <w:color w:val="000000"/>
        </w:rPr>
        <w:t>у</w:t>
      </w:r>
      <w:r w:rsidR="00AC0D08" w:rsidRPr="00390417">
        <w:rPr>
          <w:color w:val="000000"/>
        </w:rPr>
        <w:t xml:space="preserve"> </w:t>
      </w:r>
      <w:r w:rsidRPr="00390417">
        <w:rPr>
          <w:color w:val="000000"/>
        </w:rPr>
        <w:t>Нишу</w:t>
      </w:r>
      <w:r w:rsidR="00AC0D08" w:rsidRPr="00390417">
        <w:rPr>
          <w:color w:val="000000"/>
        </w:rPr>
        <w:t xml:space="preserve"> </w:t>
      </w:r>
      <w:r w:rsidRPr="00390417">
        <w:rPr>
          <w:color w:val="000000"/>
        </w:rPr>
        <w:t>кривичну</w:t>
      </w:r>
      <w:r w:rsidR="00AC0D08" w:rsidRPr="00390417">
        <w:rPr>
          <w:color w:val="000000"/>
        </w:rPr>
        <w:t xml:space="preserve"> </w:t>
      </w:r>
      <w:r w:rsidRPr="00390417">
        <w:rPr>
          <w:color w:val="000000"/>
        </w:rPr>
        <w:t>пријаву</w:t>
      </w:r>
      <w:r w:rsidR="00AC0D08" w:rsidRPr="00390417">
        <w:rPr>
          <w:color w:val="000000"/>
        </w:rPr>
        <w:t xml:space="preserve"> </w:t>
      </w:r>
      <w:r w:rsidRPr="00390417">
        <w:rPr>
          <w:color w:val="000000"/>
        </w:rPr>
        <w:t>против</w:t>
      </w:r>
      <w:r w:rsidR="00AC0D08" w:rsidRPr="00390417">
        <w:rPr>
          <w:color w:val="000000"/>
        </w:rPr>
        <w:t xml:space="preserve"> </w:t>
      </w:r>
      <w:r w:rsidRPr="00390417">
        <w:rPr>
          <w:color w:val="000000"/>
        </w:rPr>
        <w:t>Д</w:t>
      </w:r>
      <w:r w:rsidR="00AC0D08" w:rsidRPr="00390417">
        <w:rPr>
          <w:color w:val="000000"/>
        </w:rPr>
        <w:t>.</w:t>
      </w:r>
      <w:r w:rsidRPr="00390417">
        <w:rPr>
          <w:color w:val="000000"/>
        </w:rPr>
        <w:t>С</w:t>
      </w:r>
      <w:r w:rsidR="00AC0D08" w:rsidRPr="00390417">
        <w:rPr>
          <w:color w:val="000000"/>
        </w:rPr>
        <w:t xml:space="preserve">., </w:t>
      </w:r>
      <w:r w:rsidRPr="00390417">
        <w:rPr>
          <w:color w:val="000000"/>
        </w:rPr>
        <w:t>директора</w:t>
      </w:r>
      <w:r w:rsidR="00AC0D08" w:rsidRPr="00390417">
        <w:rPr>
          <w:color w:val="000000"/>
        </w:rPr>
        <w:t xml:space="preserve"> </w:t>
      </w:r>
      <w:r w:rsidRPr="00390417">
        <w:rPr>
          <w:color w:val="000000"/>
        </w:rPr>
        <w:t>и</w:t>
      </w:r>
      <w:r w:rsidR="00AC0D08" w:rsidRPr="00390417">
        <w:rPr>
          <w:color w:val="000000"/>
        </w:rPr>
        <w:t xml:space="preserve"> </w:t>
      </w:r>
      <w:r w:rsidRPr="00390417">
        <w:rPr>
          <w:color w:val="000000"/>
        </w:rPr>
        <w:t>оснивача</w:t>
      </w:r>
      <w:r w:rsidR="00AC0D08" w:rsidRPr="00390417">
        <w:rPr>
          <w:color w:val="000000"/>
        </w:rPr>
        <w:t xml:space="preserve"> </w:t>
      </w:r>
      <w:r w:rsidRPr="00390417">
        <w:rPr>
          <w:color w:val="000000"/>
        </w:rPr>
        <w:t>и</w:t>
      </w:r>
      <w:r w:rsidR="00AC0D08" w:rsidRPr="00390417">
        <w:rPr>
          <w:color w:val="000000"/>
        </w:rPr>
        <w:t xml:space="preserve"> </w:t>
      </w:r>
      <w:r w:rsidRPr="00390417">
        <w:rPr>
          <w:color w:val="000000"/>
        </w:rPr>
        <w:t>М</w:t>
      </w:r>
      <w:r w:rsidR="00AC0D08" w:rsidRPr="00390417">
        <w:rPr>
          <w:color w:val="000000"/>
        </w:rPr>
        <w:t>.</w:t>
      </w:r>
      <w:r w:rsidRPr="00390417">
        <w:rPr>
          <w:color w:val="000000"/>
        </w:rPr>
        <w:t>Р</w:t>
      </w:r>
      <w:r w:rsidR="00AC0D08" w:rsidRPr="00390417">
        <w:rPr>
          <w:color w:val="000000"/>
        </w:rPr>
        <w:t xml:space="preserve">., </w:t>
      </w:r>
      <w:r w:rsidRPr="00390417">
        <w:rPr>
          <w:color w:val="000000"/>
        </w:rPr>
        <w:t>суоснивача</w:t>
      </w:r>
      <w:r w:rsidR="00AC0D08" w:rsidRPr="00390417">
        <w:rPr>
          <w:color w:val="000000"/>
        </w:rPr>
        <w:t xml:space="preserve"> </w:t>
      </w:r>
      <w:r w:rsidRPr="00390417">
        <w:rPr>
          <w:color w:val="000000"/>
        </w:rPr>
        <w:t>привредног</w:t>
      </w:r>
      <w:r w:rsidR="00AC0D08" w:rsidRPr="00390417">
        <w:rPr>
          <w:color w:val="000000"/>
        </w:rPr>
        <w:t xml:space="preserve"> </w:t>
      </w:r>
      <w:r w:rsidRPr="00390417">
        <w:rPr>
          <w:color w:val="000000"/>
        </w:rPr>
        <w:t>друштва</w:t>
      </w:r>
      <w:r w:rsidR="00AC0D08" w:rsidRPr="00390417">
        <w:rPr>
          <w:color w:val="000000"/>
        </w:rPr>
        <w:t xml:space="preserve"> </w:t>
      </w:r>
      <w:r w:rsidRPr="00390417">
        <w:rPr>
          <w:color w:val="000000"/>
        </w:rPr>
        <w:t>из</w:t>
      </w:r>
      <w:r w:rsidR="00AC0D08" w:rsidRPr="00390417">
        <w:rPr>
          <w:color w:val="000000"/>
        </w:rPr>
        <w:t xml:space="preserve"> </w:t>
      </w:r>
      <w:r w:rsidRPr="00390417">
        <w:rPr>
          <w:color w:val="000000"/>
        </w:rPr>
        <w:t>Алексиначких</w:t>
      </w:r>
      <w:r w:rsidR="00AC0D08" w:rsidRPr="00390417">
        <w:rPr>
          <w:color w:val="000000"/>
        </w:rPr>
        <w:t xml:space="preserve"> </w:t>
      </w:r>
      <w:r w:rsidRPr="00390417">
        <w:rPr>
          <w:color w:val="000000"/>
        </w:rPr>
        <w:t>рудника</w:t>
      </w:r>
      <w:r w:rsidR="00AC0D08" w:rsidRPr="00390417">
        <w:rPr>
          <w:color w:val="000000"/>
        </w:rPr>
        <w:t xml:space="preserve">, </w:t>
      </w:r>
      <w:r w:rsidRPr="00390417">
        <w:rPr>
          <w:color w:val="000000"/>
        </w:rPr>
        <w:t>због</w:t>
      </w:r>
      <w:r w:rsidR="00AC0D08" w:rsidRPr="00390417">
        <w:rPr>
          <w:color w:val="000000"/>
        </w:rPr>
        <w:t xml:space="preserve"> </w:t>
      </w:r>
      <w:r w:rsidRPr="00390417">
        <w:rPr>
          <w:color w:val="000000"/>
        </w:rPr>
        <w:t>основане</w:t>
      </w:r>
      <w:r w:rsidR="00AC0D08" w:rsidRPr="00390417">
        <w:rPr>
          <w:color w:val="000000"/>
        </w:rPr>
        <w:t xml:space="preserve"> </w:t>
      </w:r>
      <w:r w:rsidRPr="00390417">
        <w:rPr>
          <w:color w:val="000000"/>
        </w:rPr>
        <w:t>сумње</w:t>
      </w:r>
      <w:r w:rsidR="00AC0D08" w:rsidRPr="00390417">
        <w:rPr>
          <w:color w:val="000000"/>
        </w:rPr>
        <w:t xml:space="preserve"> </w:t>
      </w:r>
      <w:r w:rsidRPr="00390417">
        <w:rPr>
          <w:color w:val="000000"/>
        </w:rPr>
        <w:t>да</w:t>
      </w:r>
      <w:r w:rsidR="00AC0D08" w:rsidRPr="00390417">
        <w:rPr>
          <w:color w:val="000000"/>
        </w:rPr>
        <w:t xml:space="preserve"> </w:t>
      </w:r>
      <w:r w:rsidRPr="00390417">
        <w:rPr>
          <w:color w:val="000000"/>
        </w:rPr>
        <w:t>су</w:t>
      </w:r>
      <w:r w:rsidR="00AC0D08" w:rsidRPr="00390417">
        <w:rPr>
          <w:color w:val="000000"/>
        </w:rPr>
        <w:t xml:space="preserve"> </w:t>
      </w:r>
      <w:r w:rsidRPr="00390417">
        <w:rPr>
          <w:color w:val="000000"/>
        </w:rPr>
        <w:t>извршили</w:t>
      </w:r>
      <w:r w:rsidR="00AC0D08" w:rsidRPr="00390417">
        <w:rPr>
          <w:color w:val="000000"/>
        </w:rPr>
        <w:t xml:space="preserve"> </w:t>
      </w:r>
      <w:r w:rsidRPr="00390417">
        <w:rPr>
          <w:color w:val="000000"/>
        </w:rPr>
        <w:t>кривично</w:t>
      </w:r>
      <w:r w:rsidR="00AC0D08" w:rsidRPr="00390417">
        <w:rPr>
          <w:color w:val="000000"/>
        </w:rPr>
        <w:t xml:space="preserve"> </w:t>
      </w:r>
      <w:r w:rsidRPr="00390417">
        <w:rPr>
          <w:color w:val="000000"/>
        </w:rPr>
        <w:t>дело</w:t>
      </w:r>
      <w:r w:rsidR="00AC0D08" w:rsidRPr="00390417">
        <w:rPr>
          <w:color w:val="000000"/>
        </w:rPr>
        <w:t xml:space="preserve"> </w:t>
      </w:r>
      <w:r w:rsidRPr="00390417">
        <w:rPr>
          <w:color w:val="000000"/>
        </w:rPr>
        <w:t>Пореска</w:t>
      </w:r>
      <w:r w:rsidR="00AC0D08" w:rsidRPr="00390417">
        <w:rPr>
          <w:color w:val="000000"/>
        </w:rPr>
        <w:t xml:space="preserve"> </w:t>
      </w:r>
      <w:r w:rsidRPr="00390417">
        <w:rPr>
          <w:color w:val="000000"/>
        </w:rPr>
        <w:t>утаја</w:t>
      </w:r>
      <w:r w:rsidR="00AC0D08" w:rsidRPr="00390417">
        <w:rPr>
          <w:color w:val="000000"/>
        </w:rPr>
        <w:t>.</w:t>
      </w:r>
    </w:p>
    <w:p w:rsidR="00911A0C" w:rsidRPr="00911A0C" w:rsidRDefault="00911A0C" w:rsidP="00390417">
      <w:pPr>
        <w:pStyle w:val="normal0"/>
        <w:shd w:val="clear" w:color="auto" w:fill="FFFFFF"/>
        <w:spacing w:before="48" w:beforeAutospacing="0" w:after="48" w:afterAutospacing="0"/>
        <w:jc w:val="both"/>
        <w:rPr>
          <w:color w:val="000000"/>
          <w:lang w:val="sr-Cyrl-CS"/>
        </w:rPr>
      </w:pPr>
    </w:p>
    <w:p w:rsidR="00AC0D08" w:rsidRDefault="00C5614B" w:rsidP="00390417">
      <w:pPr>
        <w:pStyle w:val="normal0"/>
        <w:shd w:val="clear" w:color="auto" w:fill="FFFFFF"/>
        <w:spacing w:before="48" w:beforeAutospacing="0" w:after="48" w:afterAutospacing="0"/>
        <w:jc w:val="both"/>
        <w:rPr>
          <w:color w:val="000000"/>
          <w:lang w:val="sr-Cyrl-CS"/>
        </w:rPr>
      </w:pPr>
      <w:r w:rsidRPr="00390417">
        <w:rPr>
          <w:color w:val="000000"/>
        </w:rPr>
        <w:t>Д</w:t>
      </w:r>
      <w:r w:rsidR="00AC0D08" w:rsidRPr="00390417">
        <w:rPr>
          <w:color w:val="000000"/>
        </w:rPr>
        <w:t>.</w:t>
      </w:r>
      <w:r w:rsidRPr="00390417">
        <w:rPr>
          <w:color w:val="000000"/>
        </w:rPr>
        <w:t>С</w:t>
      </w:r>
      <w:r w:rsidR="00AC0D08" w:rsidRPr="00390417">
        <w:rPr>
          <w:color w:val="000000"/>
        </w:rPr>
        <w:t xml:space="preserve">. </w:t>
      </w:r>
      <w:r w:rsidRPr="00390417">
        <w:rPr>
          <w:color w:val="000000"/>
        </w:rPr>
        <w:t>у</w:t>
      </w:r>
      <w:r w:rsidR="00AC0D08" w:rsidRPr="00390417">
        <w:rPr>
          <w:color w:val="000000"/>
        </w:rPr>
        <w:t xml:space="preserve"> </w:t>
      </w:r>
      <w:r w:rsidRPr="00390417">
        <w:rPr>
          <w:color w:val="000000"/>
        </w:rPr>
        <w:t>саизвршилаштву</w:t>
      </w:r>
      <w:r w:rsidR="00AC0D08" w:rsidRPr="00390417">
        <w:rPr>
          <w:color w:val="000000"/>
        </w:rPr>
        <w:t xml:space="preserve"> </w:t>
      </w:r>
      <w:r w:rsidRPr="00390417">
        <w:rPr>
          <w:color w:val="000000"/>
        </w:rPr>
        <w:t>са</w:t>
      </w:r>
      <w:r w:rsidR="00AC0D08" w:rsidRPr="00390417">
        <w:rPr>
          <w:color w:val="000000"/>
        </w:rPr>
        <w:t xml:space="preserve"> </w:t>
      </w:r>
      <w:r w:rsidRPr="00390417">
        <w:rPr>
          <w:color w:val="000000"/>
        </w:rPr>
        <w:t>М</w:t>
      </w:r>
      <w:r w:rsidR="00AC0D08" w:rsidRPr="00390417">
        <w:rPr>
          <w:color w:val="000000"/>
        </w:rPr>
        <w:t>.</w:t>
      </w:r>
      <w:r w:rsidRPr="00390417">
        <w:rPr>
          <w:color w:val="000000"/>
        </w:rPr>
        <w:t>Р</w:t>
      </w:r>
      <w:r w:rsidR="00AC0D08" w:rsidRPr="00390417">
        <w:rPr>
          <w:color w:val="000000"/>
        </w:rPr>
        <w:t xml:space="preserve">. </w:t>
      </w:r>
      <w:r w:rsidRPr="00390417">
        <w:rPr>
          <w:color w:val="000000"/>
        </w:rPr>
        <w:t>у</w:t>
      </w:r>
      <w:r w:rsidR="00AC0D08" w:rsidRPr="00390417">
        <w:rPr>
          <w:color w:val="000000"/>
        </w:rPr>
        <w:t xml:space="preserve"> </w:t>
      </w:r>
      <w:r w:rsidRPr="00390417">
        <w:rPr>
          <w:color w:val="000000"/>
        </w:rPr>
        <w:t>намери</w:t>
      </w:r>
      <w:r w:rsidR="00AC0D08" w:rsidRPr="00390417">
        <w:rPr>
          <w:color w:val="000000"/>
        </w:rPr>
        <w:t xml:space="preserve"> </w:t>
      </w:r>
      <w:r w:rsidRPr="00390417">
        <w:rPr>
          <w:color w:val="000000"/>
        </w:rPr>
        <w:t>да</w:t>
      </w:r>
      <w:r w:rsidR="00AC0D08" w:rsidRPr="00390417">
        <w:rPr>
          <w:color w:val="000000"/>
        </w:rPr>
        <w:t xml:space="preserve"> </w:t>
      </w:r>
      <w:r w:rsidRPr="00390417">
        <w:rPr>
          <w:color w:val="000000"/>
        </w:rPr>
        <w:t>у</w:t>
      </w:r>
      <w:r w:rsidR="00AC0D08" w:rsidRPr="00390417">
        <w:rPr>
          <w:color w:val="000000"/>
        </w:rPr>
        <w:t xml:space="preserve"> </w:t>
      </w:r>
      <w:r w:rsidRPr="00390417">
        <w:rPr>
          <w:color w:val="000000"/>
        </w:rPr>
        <w:t>потпуности</w:t>
      </w:r>
      <w:r w:rsidR="00AC0D08" w:rsidRPr="00390417">
        <w:rPr>
          <w:color w:val="000000"/>
        </w:rPr>
        <w:t xml:space="preserve"> </w:t>
      </w:r>
      <w:r w:rsidRPr="00390417">
        <w:rPr>
          <w:color w:val="000000"/>
        </w:rPr>
        <w:t>избегну</w:t>
      </w:r>
      <w:r w:rsidR="00AC0D08" w:rsidRPr="00390417">
        <w:rPr>
          <w:color w:val="000000"/>
        </w:rPr>
        <w:t xml:space="preserve"> </w:t>
      </w:r>
      <w:r w:rsidRPr="00390417">
        <w:rPr>
          <w:color w:val="000000"/>
        </w:rPr>
        <w:t>плаћање</w:t>
      </w:r>
      <w:r w:rsidR="00AC0D08" w:rsidRPr="00390417">
        <w:rPr>
          <w:color w:val="000000"/>
        </w:rPr>
        <w:t xml:space="preserve"> </w:t>
      </w:r>
      <w:r w:rsidRPr="00390417">
        <w:rPr>
          <w:color w:val="000000"/>
        </w:rPr>
        <w:t>пореза</w:t>
      </w:r>
      <w:r w:rsidR="00AC0D08" w:rsidRPr="00390417">
        <w:rPr>
          <w:color w:val="000000"/>
        </w:rPr>
        <w:t xml:space="preserve"> </w:t>
      </w:r>
      <w:r w:rsidRPr="00390417">
        <w:rPr>
          <w:color w:val="000000"/>
        </w:rPr>
        <w:t>у</w:t>
      </w:r>
      <w:r w:rsidR="00AC0D08" w:rsidRPr="00390417">
        <w:rPr>
          <w:color w:val="000000"/>
        </w:rPr>
        <w:t xml:space="preserve"> </w:t>
      </w:r>
      <w:r w:rsidRPr="00390417">
        <w:rPr>
          <w:color w:val="000000"/>
        </w:rPr>
        <w:t>децембру</w:t>
      </w:r>
      <w:r w:rsidR="00AC0D08" w:rsidRPr="00390417">
        <w:rPr>
          <w:color w:val="000000"/>
        </w:rPr>
        <w:t xml:space="preserve"> </w:t>
      </w:r>
      <w:r w:rsidRPr="00390417">
        <w:rPr>
          <w:color w:val="000000"/>
        </w:rPr>
        <w:t>месецу</w:t>
      </w:r>
      <w:r w:rsidR="00AC0D08" w:rsidRPr="00390417">
        <w:rPr>
          <w:color w:val="000000"/>
        </w:rPr>
        <w:t xml:space="preserve"> 2010. </w:t>
      </w:r>
      <w:r w:rsidRPr="00390417">
        <w:rPr>
          <w:color w:val="000000"/>
        </w:rPr>
        <w:t>године</w:t>
      </w:r>
      <w:r w:rsidR="00AC0D08" w:rsidRPr="00390417">
        <w:rPr>
          <w:color w:val="000000"/>
        </w:rPr>
        <w:t xml:space="preserve">, </w:t>
      </w:r>
      <w:r w:rsidRPr="00390417">
        <w:rPr>
          <w:color w:val="000000"/>
        </w:rPr>
        <w:t>извршили</w:t>
      </w:r>
      <w:r w:rsidR="00AC0D08" w:rsidRPr="00390417">
        <w:rPr>
          <w:color w:val="000000"/>
        </w:rPr>
        <w:t xml:space="preserve"> </w:t>
      </w:r>
      <w:r w:rsidRPr="00390417">
        <w:rPr>
          <w:color w:val="000000"/>
        </w:rPr>
        <w:t>су</w:t>
      </w:r>
      <w:r w:rsidR="00AC0D08" w:rsidRPr="00390417">
        <w:rPr>
          <w:color w:val="000000"/>
        </w:rPr>
        <w:t xml:space="preserve"> </w:t>
      </w:r>
      <w:r w:rsidRPr="00390417">
        <w:rPr>
          <w:color w:val="000000"/>
        </w:rPr>
        <w:t>набавку</w:t>
      </w:r>
      <w:r w:rsidR="00AC0D08" w:rsidRPr="00390417">
        <w:rPr>
          <w:color w:val="000000"/>
        </w:rPr>
        <w:t xml:space="preserve"> </w:t>
      </w:r>
      <w:r w:rsidRPr="00390417">
        <w:rPr>
          <w:color w:val="000000"/>
        </w:rPr>
        <w:t>добара</w:t>
      </w:r>
      <w:r w:rsidR="00AC0D08" w:rsidRPr="00390417">
        <w:rPr>
          <w:color w:val="000000"/>
        </w:rPr>
        <w:t xml:space="preserve"> </w:t>
      </w:r>
      <w:r w:rsidRPr="00390417">
        <w:rPr>
          <w:color w:val="000000"/>
        </w:rPr>
        <w:t>укупне</w:t>
      </w:r>
      <w:r w:rsidR="00AC0D08" w:rsidRPr="00390417">
        <w:rPr>
          <w:color w:val="000000"/>
        </w:rPr>
        <w:t xml:space="preserve"> </w:t>
      </w:r>
      <w:r w:rsidRPr="00390417">
        <w:rPr>
          <w:color w:val="000000"/>
        </w:rPr>
        <w:t>вредности</w:t>
      </w:r>
      <w:r w:rsidR="00AC0D08" w:rsidRPr="00390417">
        <w:rPr>
          <w:color w:val="000000"/>
        </w:rPr>
        <w:t xml:space="preserve"> </w:t>
      </w:r>
      <w:r w:rsidRPr="00390417">
        <w:rPr>
          <w:color w:val="000000"/>
        </w:rPr>
        <w:t>од</w:t>
      </w:r>
      <w:r w:rsidR="00AC0D08" w:rsidRPr="00390417">
        <w:rPr>
          <w:color w:val="000000"/>
        </w:rPr>
        <w:t xml:space="preserve"> 77.220.490 </w:t>
      </w:r>
      <w:r w:rsidRPr="00390417">
        <w:rPr>
          <w:color w:val="000000"/>
        </w:rPr>
        <w:t>динара</w:t>
      </w:r>
      <w:r w:rsidR="00AC0D08" w:rsidRPr="00390417">
        <w:rPr>
          <w:color w:val="000000"/>
        </w:rPr>
        <w:t xml:space="preserve">, </w:t>
      </w:r>
      <w:r w:rsidRPr="00390417">
        <w:rPr>
          <w:color w:val="000000"/>
        </w:rPr>
        <w:t>искористили</w:t>
      </w:r>
      <w:r w:rsidR="00AC0D08" w:rsidRPr="00390417">
        <w:rPr>
          <w:color w:val="000000"/>
        </w:rPr>
        <w:t xml:space="preserve"> </w:t>
      </w:r>
      <w:r w:rsidRPr="00390417">
        <w:rPr>
          <w:color w:val="000000"/>
        </w:rPr>
        <w:t>су</w:t>
      </w:r>
      <w:r w:rsidR="00AC0D08" w:rsidRPr="00390417">
        <w:rPr>
          <w:color w:val="000000"/>
        </w:rPr>
        <w:t xml:space="preserve"> </w:t>
      </w:r>
      <w:r w:rsidRPr="00390417">
        <w:rPr>
          <w:color w:val="000000"/>
        </w:rPr>
        <w:t>право</w:t>
      </w:r>
      <w:r w:rsidR="00AC0D08" w:rsidRPr="00390417">
        <w:rPr>
          <w:color w:val="000000"/>
        </w:rPr>
        <w:t xml:space="preserve"> </w:t>
      </w:r>
      <w:r w:rsidRPr="00390417">
        <w:rPr>
          <w:color w:val="000000"/>
        </w:rPr>
        <w:t>на</w:t>
      </w:r>
      <w:r w:rsidR="00AC0D08" w:rsidRPr="00390417">
        <w:rPr>
          <w:color w:val="000000"/>
        </w:rPr>
        <w:t xml:space="preserve"> </w:t>
      </w:r>
      <w:r w:rsidRPr="00390417">
        <w:rPr>
          <w:color w:val="000000"/>
        </w:rPr>
        <w:t>одбитак</w:t>
      </w:r>
      <w:r w:rsidR="00AC0D08" w:rsidRPr="00390417">
        <w:rPr>
          <w:color w:val="000000"/>
        </w:rPr>
        <w:t xml:space="preserve"> </w:t>
      </w:r>
      <w:r w:rsidRPr="00390417">
        <w:rPr>
          <w:color w:val="000000"/>
        </w:rPr>
        <w:t>претходног</w:t>
      </w:r>
      <w:r w:rsidR="00AC0D08" w:rsidRPr="00390417">
        <w:rPr>
          <w:color w:val="000000"/>
        </w:rPr>
        <w:t xml:space="preserve"> </w:t>
      </w:r>
      <w:r w:rsidRPr="00390417">
        <w:rPr>
          <w:color w:val="000000"/>
        </w:rPr>
        <w:t>пореза</w:t>
      </w:r>
      <w:r w:rsidR="00AC0D08" w:rsidRPr="00390417">
        <w:rPr>
          <w:color w:val="000000"/>
        </w:rPr>
        <w:t xml:space="preserve">, </w:t>
      </w:r>
      <w:r w:rsidRPr="00390417">
        <w:rPr>
          <w:color w:val="000000"/>
        </w:rPr>
        <w:t>потом</w:t>
      </w:r>
      <w:r w:rsidR="00AC0D08" w:rsidRPr="00390417">
        <w:rPr>
          <w:color w:val="000000"/>
        </w:rPr>
        <w:t xml:space="preserve"> </w:t>
      </w:r>
      <w:r w:rsidRPr="00390417">
        <w:rPr>
          <w:color w:val="000000"/>
        </w:rPr>
        <w:t>иста</w:t>
      </w:r>
      <w:r w:rsidR="00AC0D08" w:rsidRPr="00390417">
        <w:rPr>
          <w:color w:val="000000"/>
        </w:rPr>
        <w:t xml:space="preserve"> </w:t>
      </w:r>
      <w:r w:rsidRPr="00390417">
        <w:rPr>
          <w:color w:val="000000"/>
        </w:rPr>
        <w:t>добра</w:t>
      </w:r>
      <w:r w:rsidR="00AC0D08" w:rsidRPr="00390417">
        <w:rPr>
          <w:color w:val="000000"/>
        </w:rPr>
        <w:t xml:space="preserve"> </w:t>
      </w:r>
      <w:r w:rsidRPr="00390417">
        <w:rPr>
          <w:color w:val="000000"/>
        </w:rPr>
        <w:t>продали</w:t>
      </w:r>
      <w:r w:rsidR="00AC0D08" w:rsidRPr="00390417">
        <w:rPr>
          <w:color w:val="000000"/>
        </w:rPr>
        <w:t xml:space="preserve"> </w:t>
      </w:r>
      <w:r w:rsidRPr="00390417">
        <w:rPr>
          <w:color w:val="000000"/>
        </w:rPr>
        <w:t>непознатим</w:t>
      </w:r>
      <w:r w:rsidR="00AC0D08" w:rsidRPr="00390417">
        <w:rPr>
          <w:color w:val="000000"/>
        </w:rPr>
        <w:t xml:space="preserve"> </w:t>
      </w:r>
      <w:r w:rsidRPr="00390417">
        <w:rPr>
          <w:color w:val="000000"/>
        </w:rPr>
        <w:t>купцима</w:t>
      </w:r>
      <w:r w:rsidR="00AC0D08" w:rsidRPr="00390417">
        <w:rPr>
          <w:color w:val="000000"/>
        </w:rPr>
        <w:t xml:space="preserve">, </w:t>
      </w:r>
      <w:r w:rsidRPr="00390417">
        <w:rPr>
          <w:color w:val="000000"/>
        </w:rPr>
        <w:t>без</w:t>
      </w:r>
      <w:r w:rsidR="00AC0D08" w:rsidRPr="00390417">
        <w:rPr>
          <w:color w:val="000000"/>
        </w:rPr>
        <w:t xml:space="preserve"> </w:t>
      </w:r>
      <w:r w:rsidRPr="00390417">
        <w:rPr>
          <w:color w:val="000000"/>
        </w:rPr>
        <w:t>сачињавања</w:t>
      </w:r>
      <w:r w:rsidR="00AC0D08" w:rsidRPr="00390417">
        <w:rPr>
          <w:color w:val="000000"/>
        </w:rPr>
        <w:t xml:space="preserve"> </w:t>
      </w:r>
      <w:r w:rsidRPr="00390417">
        <w:rPr>
          <w:color w:val="000000"/>
        </w:rPr>
        <w:t>пратеће</w:t>
      </w:r>
      <w:r w:rsidR="00AC0D08" w:rsidRPr="00390417">
        <w:rPr>
          <w:color w:val="000000"/>
        </w:rPr>
        <w:t xml:space="preserve"> </w:t>
      </w:r>
      <w:r w:rsidRPr="00390417">
        <w:rPr>
          <w:color w:val="000000"/>
        </w:rPr>
        <w:t>документације</w:t>
      </w:r>
      <w:r w:rsidR="00AC0D08" w:rsidRPr="00390417">
        <w:rPr>
          <w:color w:val="000000"/>
        </w:rPr>
        <w:t xml:space="preserve"> </w:t>
      </w:r>
      <w:r w:rsidRPr="00390417">
        <w:rPr>
          <w:color w:val="000000"/>
        </w:rPr>
        <w:t>и</w:t>
      </w:r>
      <w:r w:rsidR="00AC0D08" w:rsidRPr="00390417">
        <w:rPr>
          <w:color w:val="000000"/>
        </w:rPr>
        <w:t xml:space="preserve"> </w:t>
      </w:r>
      <w:r w:rsidRPr="00390417">
        <w:rPr>
          <w:color w:val="000000"/>
        </w:rPr>
        <w:t>евидентирања</w:t>
      </w:r>
      <w:r w:rsidR="00AC0D08" w:rsidRPr="00390417">
        <w:rPr>
          <w:color w:val="000000"/>
        </w:rPr>
        <w:t xml:space="preserve"> </w:t>
      </w:r>
      <w:r w:rsidRPr="00390417">
        <w:rPr>
          <w:color w:val="000000"/>
        </w:rPr>
        <w:t>промета</w:t>
      </w:r>
      <w:r w:rsidR="00AC0D08" w:rsidRPr="00390417">
        <w:rPr>
          <w:color w:val="000000"/>
        </w:rPr>
        <w:t xml:space="preserve"> </w:t>
      </w:r>
      <w:r w:rsidRPr="00390417">
        <w:rPr>
          <w:color w:val="000000"/>
        </w:rPr>
        <w:t>у</w:t>
      </w:r>
      <w:r w:rsidR="00AC0D08" w:rsidRPr="00390417">
        <w:rPr>
          <w:color w:val="000000"/>
        </w:rPr>
        <w:t xml:space="preserve"> </w:t>
      </w:r>
      <w:r w:rsidRPr="00390417">
        <w:rPr>
          <w:color w:val="000000"/>
        </w:rPr>
        <w:t>пословним</w:t>
      </w:r>
      <w:r w:rsidR="00AC0D08" w:rsidRPr="00390417">
        <w:rPr>
          <w:color w:val="000000"/>
        </w:rPr>
        <w:t xml:space="preserve"> </w:t>
      </w:r>
      <w:r w:rsidRPr="00390417">
        <w:rPr>
          <w:color w:val="000000"/>
        </w:rPr>
        <w:t>књигама</w:t>
      </w:r>
      <w:r w:rsidR="00AC0D08" w:rsidRPr="00390417">
        <w:rPr>
          <w:color w:val="000000"/>
        </w:rPr>
        <w:t xml:space="preserve">. </w:t>
      </w:r>
      <w:r w:rsidRPr="00390417">
        <w:rPr>
          <w:color w:val="000000"/>
        </w:rPr>
        <w:t>Како</w:t>
      </w:r>
      <w:r w:rsidR="00AC0D08" w:rsidRPr="00390417">
        <w:rPr>
          <w:color w:val="000000"/>
        </w:rPr>
        <w:t xml:space="preserve"> </w:t>
      </w:r>
      <w:r w:rsidRPr="00390417">
        <w:rPr>
          <w:color w:val="000000"/>
        </w:rPr>
        <w:t>у</w:t>
      </w:r>
      <w:r w:rsidR="00AC0D08" w:rsidRPr="00390417">
        <w:rPr>
          <w:color w:val="000000"/>
        </w:rPr>
        <w:t xml:space="preserve"> </w:t>
      </w:r>
      <w:r w:rsidRPr="00390417">
        <w:rPr>
          <w:color w:val="000000"/>
        </w:rPr>
        <w:t>поднетој</w:t>
      </w:r>
      <w:r w:rsidR="00AC0D08" w:rsidRPr="00390417">
        <w:rPr>
          <w:color w:val="000000"/>
        </w:rPr>
        <w:t xml:space="preserve"> </w:t>
      </w:r>
      <w:r w:rsidRPr="00390417">
        <w:rPr>
          <w:color w:val="000000"/>
        </w:rPr>
        <w:t>пореској</w:t>
      </w:r>
      <w:r w:rsidR="00AC0D08" w:rsidRPr="00390417">
        <w:rPr>
          <w:color w:val="000000"/>
        </w:rPr>
        <w:t xml:space="preserve"> </w:t>
      </w:r>
      <w:r w:rsidRPr="00390417">
        <w:rPr>
          <w:color w:val="000000"/>
        </w:rPr>
        <w:t>пријави</w:t>
      </w:r>
      <w:r w:rsidR="00AC0D08" w:rsidRPr="00390417">
        <w:rPr>
          <w:color w:val="000000"/>
        </w:rPr>
        <w:t xml:space="preserve"> </w:t>
      </w:r>
      <w:r w:rsidRPr="00390417">
        <w:rPr>
          <w:color w:val="000000"/>
        </w:rPr>
        <w:t>нису</w:t>
      </w:r>
      <w:r w:rsidR="00AC0D08" w:rsidRPr="00390417">
        <w:rPr>
          <w:color w:val="000000"/>
        </w:rPr>
        <w:t xml:space="preserve"> </w:t>
      </w:r>
      <w:r w:rsidRPr="00390417">
        <w:rPr>
          <w:color w:val="000000"/>
        </w:rPr>
        <w:t>исказали</w:t>
      </w:r>
      <w:r w:rsidR="00AC0D08" w:rsidRPr="00390417">
        <w:rPr>
          <w:color w:val="000000"/>
        </w:rPr>
        <w:t xml:space="preserve"> </w:t>
      </w:r>
      <w:r w:rsidRPr="00390417">
        <w:rPr>
          <w:color w:val="000000"/>
        </w:rPr>
        <w:t>остварени</w:t>
      </w:r>
      <w:r w:rsidR="00AC0D08" w:rsidRPr="00390417">
        <w:rPr>
          <w:color w:val="000000"/>
        </w:rPr>
        <w:t xml:space="preserve"> </w:t>
      </w:r>
      <w:r w:rsidRPr="00390417">
        <w:rPr>
          <w:color w:val="000000"/>
        </w:rPr>
        <w:t>промет</w:t>
      </w:r>
      <w:r w:rsidR="00AC0D08" w:rsidRPr="00390417">
        <w:rPr>
          <w:color w:val="000000"/>
        </w:rPr>
        <w:t xml:space="preserve">, </w:t>
      </w:r>
      <w:r w:rsidRPr="00390417">
        <w:rPr>
          <w:color w:val="000000"/>
        </w:rPr>
        <w:t>на</w:t>
      </w:r>
      <w:r w:rsidR="00AC0D08" w:rsidRPr="00390417">
        <w:rPr>
          <w:color w:val="000000"/>
        </w:rPr>
        <w:t xml:space="preserve"> </w:t>
      </w:r>
      <w:r w:rsidRPr="00390417">
        <w:rPr>
          <w:color w:val="000000"/>
        </w:rPr>
        <w:t>описани</w:t>
      </w:r>
      <w:r w:rsidR="00AC0D08" w:rsidRPr="00390417">
        <w:rPr>
          <w:color w:val="000000"/>
        </w:rPr>
        <w:t xml:space="preserve"> </w:t>
      </w:r>
      <w:r w:rsidRPr="00390417">
        <w:rPr>
          <w:color w:val="000000"/>
        </w:rPr>
        <w:t>начин</w:t>
      </w:r>
      <w:r w:rsidR="00AC0D08" w:rsidRPr="00390417">
        <w:rPr>
          <w:color w:val="000000"/>
        </w:rPr>
        <w:t xml:space="preserve"> </w:t>
      </w:r>
      <w:r w:rsidRPr="00390417">
        <w:rPr>
          <w:color w:val="000000"/>
        </w:rPr>
        <w:t>избегли</w:t>
      </w:r>
      <w:r w:rsidR="00AC0D08" w:rsidRPr="00390417">
        <w:rPr>
          <w:color w:val="000000"/>
        </w:rPr>
        <w:t xml:space="preserve"> </w:t>
      </w:r>
      <w:r w:rsidRPr="00390417">
        <w:rPr>
          <w:color w:val="000000"/>
        </w:rPr>
        <w:t>су</w:t>
      </w:r>
      <w:r w:rsidR="00AC0D08" w:rsidRPr="00390417">
        <w:rPr>
          <w:color w:val="000000"/>
        </w:rPr>
        <w:t xml:space="preserve"> </w:t>
      </w:r>
      <w:r w:rsidRPr="00390417">
        <w:rPr>
          <w:color w:val="000000"/>
        </w:rPr>
        <w:t>обрачун</w:t>
      </w:r>
      <w:r w:rsidR="00AC0D08" w:rsidRPr="00390417">
        <w:rPr>
          <w:color w:val="000000"/>
        </w:rPr>
        <w:t xml:space="preserve"> </w:t>
      </w:r>
      <w:r w:rsidRPr="00390417">
        <w:rPr>
          <w:color w:val="000000"/>
        </w:rPr>
        <w:t>и</w:t>
      </w:r>
      <w:r w:rsidR="00AC0D08" w:rsidRPr="00390417">
        <w:rPr>
          <w:color w:val="000000"/>
        </w:rPr>
        <w:t xml:space="preserve"> </w:t>
      </w:r>
      <w:r w:rsidRPr="00390417">
        <w:rPr>
          <w:color w:val="000000"/>
        </w:rPr>
        <w:t>плаћање</w:t>
      </w:r>
      <w:r w:rsidR="00AC0D08" w:rsidRPr="00390417">
        <w:rPr>
          <w:color w:val="000000"/>
        </w:rPr>
        <w:t xml:space="preserve"> </w:t>
      </w:r>
      <w:r w:rsidRPr="00390417">
        <w:rPr>
          <w:color w:val="000000"/>
        </w:rPr>
        <w:t>ПДВ</w:t>
      </w:r>
      <w:r w:rsidR="00AC0D08" w:rsidRPr="00390417">
        <w:rPr>
          <w:color w:val="000000"/>
        </w:rPr>
        <w:t xml:space="preserve"> </w:t>
      </w:r>
      <w:r w:rsidRPr="00390417">
        <w:rPr>
          <w:color w:val="000000"/>
        </w:rPr>
        <w:t>у</w:t>
      </w:r>
      <w:r w:rsidR="00AC0D08" w:rsidRPr="00390417">
        <w:rPr>
          <w:color w:val="000000"/>
        </w:rPr>
        <w:t xml:space="preserve"> </w:t>
      </w:r>
      <w:r w:rsidRPr="00390417">
        <w:rPr>
          <w:color w:val="000000"/>
        </w:rPr>
        <w:t>износу</w:t>
      </w:r>
      <w:r w:rsidR="00AC0D08" w:rsidRPr="00390417">
        <w:rPr>
          <w:color w:val="000000"/>
        </w:rPr>
        <w:t xml:space="preserve"> </w:t>
      </w:r>
      <w:r w:rsidRPr="00390417">
        <w:rPr>
          <w:color w:val="000000"/>
        </w:rPr>
        <w:t>од</w:t>
      </w:r>
      <w:r w:rsidR="00AC0D08" w:rsidRPr="00390417">
        <w:rPr>
          <w:color w:val="000000"/>
        </w:rPr>
        <w:t xml:space="preserve"> 7.472.728 </w:t>
      </w:r>
      <w:r w:rsidRPr="00390417">
        <w:rPr>
          <w:color w:val="000000"/>
        </w:rPr>
        <w:t>динара</w:t>
      </w:r>
      <w:r w:rsidR="00AC0D08" w:rsidRPr="00390417">
        <w:rPr>
          <w:color w:val="000000"/>
        </w:rPr>
        <w:t>.</w:t>
      </w:r>
    </w:p>
    <w:p w:rsidR="00911A0C" w:rsidRPr="00911A0C" w:rsidRDefault="00911A0C" w:rsidP="00390417">
      <w:pPr>
        <w:pStyle w:val="normal0"/>
        <w:shd w:val="clear" w:color="auto" w:fill="FFFFFF"/>
        <w:spacing w:before="48" w:beforeAutospacing="0" w:after="48" w:afterAutospacing="0"/>
        <w:jc w:val="both"/>
        <w:rPr>
          <w:color w:val="000000"/>
          <w:lang w:val="sr-Cyrl-CS"/>
        </w:rPr>
      </w:pPr>
    </w:p>
    <w:p w:rsidR="00AC0D08" w:rsidRDefault="00C5614B" w:rsidP="00390417">
      <w:pPr>
        <w:pStyle w:val="normal0"/>
        <w:shd w:val="clear" w:color="auto" w:fill="FFFFFF"/>
        <w:spacing w:before="48" w:beforeAutospacing="0" w:after="48" w:afterAutospacing="0"/>
        <w:jc w:val="both"/>
        <w:rPr>
          <w:color w:val="000000"/>
          <w:lang w:val="sr-Cyrl-CS"/>
        </w:rPr>
      </w:pPr>
      <w:r w:rsidRPr="00390417">
        <w:rPr>
          <w:color w:val="000000"/>
        </w:rPr>
        <w:t>Наплаћена</w:t>
      </w:r>
      <w:r w:rsidR="00AC0D08" w:rsidRPr="00390417">
        <w:rPr>
          <w:color w:val="000000"/>
        </w:rPr>
        <w:t xml:space="preserve"> </w:t>
      </w:r>
      <w:r w:rsidRPr="00390417">
        <w:rPr>
          <w:color w:val="000000"/>
        </w:rPr>
        <w:t>новчана</w:t>
      </w:r>
      <w:r w:rsidR="00AC0D08" w:rsidRPr="00390417">
        <w:rPr>
          <w:color w:val="000000"/>
        </w:rPr>
        <w:t xml:space="preserve"> </w:t>
      </w:r>
      <w:r w:rsidRPr="00390417">
        <w:rPr>
          <w:color w:val="000000"/>
        </w:rPr>
        <w:t>средства</w:t>
      </w:r>
      <w:r w:rsidR="00AC0D08" w:rsidRPr="00390417">
        <w:rPr>
          <w:color w:val="000000"/>
        </w:rPr>
        <w:t xml:space="preserve"> </w:t>
      </w:r>
      <w:r w:rsidRPr="00390417">
        <w:rPr>
          <w:color w:val="000000"/>
        </w:rPr>
        <w:t>нису</w:t>
      </w:r>
      <w:r w:rsidR="00AC0D08" w:rsidRPr="00390417">
        <w:rPr>
          <w:color w:val="000000"/>
        </w:rPr>
        <w:t xml:space="preserve"> </w:t>
      </w:r>
      <w:r w:rsidRPr="00390417">
        <w:rPr>
          <w:color w:val="000000"/>
        </w:rPr>
        <w:t>уплатили</w:t>
      </w:r>
      <w:r w:rsidR="00AC0D08" w:rsidRPr="00390417">
        <w:rPr>
          <w:color w:val="000000"/>
        </w:rPr>
        <w:t xml:space="preserve"> </w:t>
      </w:r>
      <w:r w:rsidRPr="00390417">
        <w:rPr>
          <w:color w:val="000000"/>
        </w:rPr>
        <w:t>на</w:t>
      </w:r>
      <w:r w:rsidR="00AC0D08" w:rsidRPr="00390417">
        <w:rPr>
          <w:color w:val="000000"/>
        </w:rPr>
        <w:t xml:space="preserve"> </w:t>
      </w:r>
      <w:r w:rsidRPr="00390417">
        <w:rPr>
          <w:color w:val="000000"/>
        </w:rPr>
        <w:t>текући</w:t>
      </w:r>
      <w:r w:rsidR="00AC0D08" w:rsidRPr="00390417">
        <w:rPr>
          <w:color w:val="000000"/>
        </w:rPr>
        <w:t xml:space="preserve"> </w:t>
      </w:r>
      <w:r w:rsidRPr="00390417">
        <w:rPr>
          <w:color w:val="000000"/>
        </w:rPr>
        <w:t>рачун</w:t>
      </w:r>
      <w:r w:rsidR="00AC0D08" w:rsidRPr="00390417">
        <w:rPr>
          <w:color w:val="000000"/>
        </w:rPr>
        <w:t xml:space="preserve"> </w:t>
      </w:r>
      <w:r w:rsidRPr="00390417">
        <w:rPr>
          <w:color w:val="000000"/>
        </w:rPr>
        <w:t>привредног</w:t>
      </w:r>
      <w:r w:rsidR="00AC0D08" w:rsidRPr="00390417">
        <w:rPr>
          <w:color w:val="000000"/>
        </w:rPr>
        <w:t xml:space="preserve"> </w:t>
      </w:r>
      <w:r w:rsidRPr="00390417">
        <w:rPr>
          <w:color w:val="000000"/>
        </w:rPr>
        <w:t>друштва</w:t>
      </w:r>
      <w:r w:rsidR="00AC0D08" w:rsidRPr="00390417">
        <w:rPr>
          <w:color w:val="000000"/>
        </w:rPr>
        <w:t xml:space="preserve">, </w:t>
      </w:r>
      <w:r w:rsidRPr="00390417">
        <w:rPr>
          <w:color w:val="000000"/>
        </w:rPr>
        <w:t>већ</w:t>
      </w:r>
      <w:r w:rsidR="00AC0D08" w:rsidRPr="00390417">
        <w:rPr>
          <w:color w:val="000000"/>
        </w:rPr>
        <w:t xml:space="preserve"> </w:t>
      </w:r>
      <w:r w:rsidRPr="00390417">
        <w:rPr>
          <w:color w:val="000000"/>
        </w:rPr>
        <w:t>су</w:t>
      </w:r>
      <w:r w:rsidR="00AC0D08" w:rsidRPr="00390417">
        <w:rPr>
          <w:color w:val="000000"/>
        </w:rPr>
        <w:t xml:space="preserve"> </w:t>
      </w:r>
      <w:r w:rsidRPr="00390417">
        <w:rPr>
          <w:color w:val="000000"/>
        </w:rPr>
        <w:t>утрошили</w:t>
      </w:r>
      <w:r w:rsidR="00AC0D08" w:rsidRPr="00390417">
        <w:rPr>
          <w:color w:val="000000"/>
        </w:rPr>
        <w:t xml:space="preserve"> </w:t>
      </w:r>
      <w:r w:rsidRPr="00390417">
        <w:rPr>
          <w:color w:val="000000"/>
        </w:rPr>
        <w:t>за</w:t>
      </w:r>
      <w:r w:rsidR="00AC0D08" w:rsidRPr="00390417">
        <w:rPr>
          <w:color w:val="000000"/>
        </w:rPr>
        <w:t xml:space="preserve"> </w:t>
      </w:r>
      <w:r w:rsidRPr="00390417">
        <w:rPr>
          <w:color w:val="000000"/>
        </w:rPr>
        <w:t>сопствене</w:t>
      </w:r>
      <w:r w:rsidR="00AC0D08" w:rsidRPr="00390417">
        <w:rPr>
          <w:color w:val="000000"/>
        </w:rPr>
        <w:t xml:space="preserve"> </w:t>
      </w:r>
      <w:r w:rsidRPr="00390417">
        <w:rPr>
          <w:color w:val="000000"/>
        </w:rPr>
        <w:t>потребе</w:t>
      </w:r>
      <w:r w:rsidR="00AC0D08" w:rsidRPr="00390417">
        <w:rPr>
          <w:color w:val="000000"/>
        </w:rPr>
        <w:t xml:space="preserve">, </w:t>
      </w:r>
      <w:r w:rsidRPr="00390417">
        <w:rPr>
          <w:color w:val="000000"/>
        </w:rPr>
        <w:t>па</w:t>
      </w:r>
      <w:r w:rsidR="00AC0D08" w:rsidRPr="00390417">
        <w:rPr>
          <w:color w:val="000000"/>
        </w:rPr>
        <w:t xml:space="preserve"> </w:t>
      </w:r>
      <w:r w:rsidRPr="00390417">
        <w:rPr>
          <w:color w:val="000000"/>
        </w:rPr>
        <w:t>иста</w:t>
      </w:r>
      <w:r w:rsidR="00AC0D08" w:rsidRPr="00390417">
        <w:rPr>
          <w:color w:val="000000"/>
        </w:rPr>
        <w:t xml:space="preserve"> </w:t>
      </w:r>
      <w:r w:rsidRPr="00390417">
        <w:rPr>
          <w:color w:val="000000"/>
        </w:rPr>
        <w:t>представљају</w:t>
      </w:r>
      <w:r w:rsidR="00AC0D08" w:rsidRPr="00390417">
        <w:rPr>
          <w:color w:val="000000"/>
        </w:rPr>
        <w:t xml:space="preserve"> </w:t>
      </w:r>
      <w:r w:rsidRPr="00390417">
        <w:rPr>
          <w:color w:val="000000"/>
        </w:rPr>
        <w:t>остале</w:t>
      </w:r>
      <w:r w:rsidR="00AC0D08" w:rsidRPr="00390417">
        <w:rPr>
          <w:color w:val="000000"/>
        </w:rPr>
        <w:t xml:space="preserve"> </w:t>
      </w:r>
      <w:r w:rsidRPr="00390417">
        <w:rPr>
          <w:color w:val="000000"/>
        </w:rPr>
        <w:t>приходе</w:t>
      </w:r>
      <w:r w:rsidR="00AC0D08" w:rsidRPr="00390417">
        <w:rPr>
          <w:color w:val="000000"/>
        </w:rPr>
        <w:t xml:space="preserve"> </w:t>
      </w:r>
      <w:r w:rsidRPr="00390417">
        <w:rPr>
          <w:color w:val="000000"/>
        </w:rPr>
        <w:t>који</w:t>
      </w:r>
      <w:r w:rsidR="00AC0D08" w:rsidRPr="00390417">
        <w:rPr>
          <w:color w:val="000000"/>
        </w:rPr>
        <w:t xml:space="preserve"> </w:t>
      </w:r>
      <w:r w:rsidRPr="00390417">
        <w:rPr>
          <w:color w:val="000000"/>
        </w:rPr>
        <w:t>се</w:t>
      </w:r>
      <w:r w:rsidR="00AC0D08" w:rsidRPr="00390417">
        <w:rPr>
          <w:color w:val="000000"/>
        </w:rPr>
        <w:t xml:space="preserve"> </w:t>
      </w:r>
      <w:r w:rsidRPr="00390417">
        <w:rPr>
          <w:color w:val="000000"/>
        </w:rPr>
        <w:t>опорезују</w:t>
      </w:r>
      <w:r w:rsidR="00AC0D08" w:rsidRPr="00390417">
        <w:rPr>
          <w:color w:val="000000"/>
        </w:rPr>
        <w:t xml:space="preserve">, </w:t>
      </w:r>
      <w:r w:rsidRPr="00390417">
        <w:rPr>
          <w:color w:val="000000"/>
        </w:rPr>
        <w:t>чиме</w:t>
      </w:r>
      <w:r w:rsidR="00AC0D08" w:rsidRPr="00390417">
        <w:rPr>
          <w:color w:val="000000"/>
        </w:rPr>
        <w:t xml:space="preserve"> </w:t>
      </w:r>
      <w:r w:rsidRPr="00390417">
        <w:rPr>
          <w:color w:val="000000"/>
        </w:rPr>
        <w:t>је</w:t>
      </w:r>
      <w:r w:rsidR="00AC0D08" w:rsidRPr="00390417">
        <w:rPr>
          <w:color w:val="000000"/>
        </w:rPr>
        <w:t xml:space="preserve"> </w:t>
      </w:r>
      <w:r w:rsidRPr="00390417">
        <w:rPr>
          <w:color w:val="000000"/>
        </w:rPr>
        <w:t>избегнута</w:t>
      </w:r>
      <w:r w:rsidR="00AC0D08" w:rsidRPr="00390417">
        <w:rPr>
          <w:color w:val="000000"/>
        </w:rPr>
        <w:t xml:space="preserve"> </w:t>
      </w:r>
      <w:r w:rsidRPr="00390417">
        <w:rPr>
          <w:color w:val="000000"/>
        </w:rPr>
        <w:t>обавеза</w:t>
      </w:r>
      <w:r w:rsidR="00AC0D08" w:rsidRPr="00390417">
        <w:rPr>
          <w:color w:val="000000"/>
        </w:rPr>
        <w:t xml:space="preserve"> </w:t>
      </w:r>
      <w:r w:rsidRPr="00390417">
        <w:rPr>
          <w:color w:val="000000"/>
        </w:rPr>
        <w:t>обрачуна</w:t>
      </w:r>
      <w:r w:rsidR="00AC0D08" w:rsidRPr="00390417">
        <w:rPr>
          <w:color w:val="000000"/>
        </w:rPr>
        <w:t xml:space="preserve"> </w:t>
      </w:r>
      <w:r w:rsidRPr="00390417">
        <w:rPr>
          <w:color w:val="000000"/>
        </w:rPr>
        <w:t>и</w:t>
      </w:r>
      <w:r w:rsidR="00AC0D08" w:rsidRPr="00390417">
        <w:rPr>
          <w:color w:val="000000"/>
        </w:rPr>
        <w:t xml:space="preserve"> </w:t>
      </w:r>
      <w:r w:rsidRPr="00390417">
        <w:rPr>
          <w:color w:val="000000"/>
        </w:rPr>
        <w:t>плаћања</w:t>
      </w:r>
      <w:r w:rsidR="00AC0D08" w:rsidRPr="00390417">
        <w:rPr>
          <w:color w:val="000000"/>
        </w:rPr>
        <w:t xml:space="preserve"> </w:t>
      </w:r>
      <w:r w:rsidRPr="00390417">
        <w:rPr>
          <w:color w:val="000000"/>
        </w:rPr>
        <w:t>пореза</w:t>
      </w:r>
      <w:r w:rsidR="00AC0D08" w:rsidRPr="00390417">
        <w:rPr>
          <w:color w:val="000000"/>
        </w:rPr>
        <w:t xml:space="preserve"> </w:t>
      </w:r>
      <w:r w:rsidRPr="00390417">
        <w:rPr>
          <w:color w:val="000000"/>
        </w:rPr>
        <w:t>на</w:t>
      </w:r>
      <w:r w:rsidR="00AC0D08" w:rsidRPr="00390417">
        <w:rPr>
          <w:color w:val="000000"/>
        </w:rPr>
        <w:t xml:space="preserve"> </w:t>
      </w:r>
      <w:r w:rsidRPr="00390417">
        <w:rPr>
          <w:color w:val="000000"/>
        </w:rPr>
        <w:t>остале</w:t>
      </w:r>
      <w:r w:rsidR="00AC0D08" w:rsidRPr="00390417">
        <w:rPr>
          <w:color w:val="000000"/>
        </w:rPr>
        <w:t xml:space="preserve"> </w:t>
      </w:r>
      <w:r w:rsidRPr="00390417">
        <w:rPr>
          <w:color w:val="000000"/>
        </w:rPr>
        <w:t>приходе</w:t>
      </w:r>
      <w:r w:rsidR="00AC0D08" w:rsidRPr="00390417">
        <w:rPr>
          <w:color w:val="000000"/>
        </w:rPr>
        <w:t xml:space="preserve"> </w:t>
      </w:r>
      <w:r w:rsidRPr="00390417">
        <w:rPr>
          <w:color w:val="000000"/>
        </w:rPr>
        <w:t>у</w:t>
      </w:r>
      <w:r w:rsidR="00AC0D08" w:rsidRPr="00390417">
        <w:rPr>
          <w:color w:val="000000"/>
        </w:rPr>
        <w:t xml:space="preserve"> </w:t>
      </w:r>
      <w:r w:rsidRPr="00390417">
        <w:rPr>
          <w:color w:val="000000"/>
        </w:rPr>
        <w:t>износу</w:t>
      </w:r>
      <w:r w:rsidR="00AC0D08" w:rsidRPr="00390417">
        <w:rPr>
          <w:color w:val="000000"/>
        </w:rPr>
        <w:t xml:space="preserve"> </w:t>
      </w:r>
      <w:r w:rsidRPr="00390417">
        <w:rPr>
          <w:color w:val="000000"/>
        </w:rPr>
        <w:t>од</w:t>
      </w:r>
      <w:r w:rsidR="00AC0D08" w:rsidRPr="00390417">
        <w:rPr>
          <w:color w:val="000000"/>
        </w:rPr>
        <w:t xml:space="preserve"> 14.708.664 </w:t>
      </w:r>
      <w:r w:rsidRPr="00390417">
        <w:rPr>
          <w:color w:val="000000"/>
        </w:rPr>
        <w:t>динара</w:t>
      </w:r>
      <w:r w:rsidR="00AC0D08" w:rsidRPr="00390417">
        <w:rPr>
          <w:color w:val="000000"/>
        </w:rPr>
        <w:t>.</w:t>
      </w:r>
    </w:p>
    <w:p w:rsidR="00911A0C" w:rsidRPr="00911A0C" w:rsidRDefault="00911A0C" w:rsidP="00390417">
      <w:pPr>
        <w:pStyle w:val="normal0"/>
        <w:shd w:val="clear" w:color="auto" w:fill="FFFFFF"/>
        <w:spacing w:before="48" w:beforeAutospacing="0" w:after="48" w:afterAutospacing="0"/>
        <w:jc w:val="both"/>
        <w:rPr>
          <w:color w:val="000000"/>
          <w:lang w:val="sr-Cyrl-CS"/>
        </w:rPr>
      </w:pPr>
    </w:p>
    <w:p w:rsidR="00AC0D08" w:rsidRPr="00390417" w:rsidRDefault="00C5614B" w:rsidP="00390417">
      <w:pPr>
        <w:pStyle w:val="normal0"/>
        <w:shd w:val="clear" w:color="auto" w:fill="FFFFFF"/>
        <w:spacing w:before="48" w:beforeAutospacing="0" w:after="48" w:afterAutospacing="0"/>
        <w:jc w:val="both"/>
        <w:rPr>
          <w:color w:val="000000"/>
        </w:rPr>
      </w:pPr>
      <w:r w:rsidRPr="00390417">
        <w:rPr>
          <w:color w:val="000000"/>
        </w:rPr>
        <w:t>Поменутим</w:t>
      </w:r>
      <w:r w:rsidR="00AC0D08" w:rsidRPr="00390417">
        <w:rPr>
          <w:color w:val="000000"/>
        </w:rPr>
        <w:t xml:space="preserve"> </w:t>
      </w:r>
      <w:r w:rsidRPr="00390417">
        <w:rPr>
          <w:color w:val="000000"/>
        </w:rPr>
        <w:t>радњама</w:t>
      </w:r>
      <w:r w:rsidR="00AC0D08" w:rsidRPr="00390417">
        <w:rPr>
          <w:color w:val="000000"/>
        </w:rPr>
        <w:t xml:space="preserve"> </w:t>
      </w:r>
      <w:r w:rsidRPr="00390417">
        <w:rPr>
          <w:color w:val="000000"/>
        </w:rPr>
        <w:t>пријављени</w:t>
      </w:r>
      <w:r w:rsidR="00AC0D08" w:rsidRPr="00390417">
        <w:rPr>
          <w:color w:val="000000"/>
        </w:rPr>
        <w:t xml:space="preserve"> </w:t>
      </w:r>
      <w:r w:rsidRPr="00390417">
        <w:rPr>
          <w:color w:val="000000"/>
        </w:rPr>
        <w:t>су</w:t>
      </w:r>
      <w:r w:rsidR="00AC0D08" w:rsidRPr="00390417">
        <w:rPr>
          <w:color w:val="000000"/>
        </w:rPr>
        <w:t xml:space="preserve"> </w:t>
      </w:r>
      <w:r w:rsidRPr="00390417">
        <w:rPr>
          <w:color w:val="000000"/>
        </w:rPr>
        <w:t>оштетили</w:t>
      </w:r>
      <w:r w:rsidR="00AC0D08" w:rsidRPr="00390417">
        <w:rPr>
          <w:color w:val="000000"/>
        </w:rPr>
        <w:t xml:space="preserve"> </w:t>
      </w:r>
      <w:r w:rsidRPr="00390417">
        <w:rPr>
          <w:color w:val="000000"/>
        </w:rPr>
        <w:t>буџет</w:t>
      </w:r>
      <w:r w:rsidR="00AC0D08" w:rsidRPr="00390417">
        <w:rPr>
          <w:color w:val="000000"/>
        </w:rPr>
        <w:t xml:space="preserve"> </w:t>
      </w:r>
      <w:r w:rsidRPr="00390417">
        <w:rPr>
          <w:color w:val="000000"/>
        </w:rPr>
        <w:t>Републике</w:t>
      </w:r>
      <w:r w:rsidR="00AC0D08" w:rsidRPr="00390417">
        <w:rPr>
          <w:color w:val="000000"/>
        </w:rPr>
        <w:t xml:space="preserve"> </w:t>
      </w:r>
      <w:r w:rsidRPr="00390417">
        <w:rPr>
          <w:color w:val="000000"/>
        </w:rPr>
        <w:t>Србије</w:t>
      </w:r>
      <w:r w:rsidR="00AC0D08" w:rsidRPr="00390417">
        <w:rPr>
          <w:color w:val="000000"/>
        </w:rPr>
        <w:t xml:space="preserve"> </w:t>
      </w:r>
      <w:r w:rsidRPr="00390417">
        <w:rPr>
          <w:color w:val="000000"/>
        </w:rPr>
        <w:t>за</w:t>
      </w:r>
      <w:r w:rsidR="00AC0D08" w:rsidRPr="00390417">
        <w:rPr>
          <w:color w:val="000000"/>
        </w:rPr>
        <w:t xml:space="preserve"> </w:t>
      </w:r>
      <w:r w:rsidRPr="00390417">
        <w:rPr>
          <w:color w:val="000000"/>
        </w:rPr>
        <w:t>износ</w:t>
      </w:r>
      <w:r w:rsidR="00AC0D08" w:rsidRPr="00390417">
        <w:rPr>
          <w:color w:val="000000"/>
        </w:rPr>
        <w:t xml:space="preserve"> </w:t>
      </w:r>
      <w:r w:rsidRPr="00390417">
        <w:rPr>
          <w:color w:val="000000"/>
        </w:rPr>
        <w:t>од</w:t>
      </w:r>
      <w:r w:rsidR="00AC0D08" w:rsidRPr="00390417">
        <w:rPr>
          <w:color w:val="000000"/>
        </w:rPr>
        <w:t xml:space="preserve"> 22.181.392 </w:t>
      </w:r>
      <w:r w:rsidRPr="00390417">
        <w:rPr>
          <w:color w:val="000000"/>
        </w:rPr>
        <w:t>динара</w:t>
      </w:r>
      <w:r w:rsidR="00AC0D08" w:rsidRPr="00390417">
        <w:rPr>
          <w:color w:val="000000"/>
        </w:rPr>
        <w:t>.</w:t>
      </w:r>
    </w:p>
    <w:p w:rsidR="00AC0D08" w:rsidRDefault="00C5614B" w:rsidP="00390417">
      <w:pPr>
        <w:pStyle w:val="normal0"/>
        <w:shd w:val="clear" w:color="auto" w:fill="FFFFFF"/>
        <w:spacing w:before="48" w:beforeAutospacing="0" w:after="48" w:afterAutospacing="0"/>
        <w:jc w:val="both"/>
        <w:rPr>
          <w:i/>
          <w:iCs/>
          <w:color w:val="000000"/>
        </w:rPr>
      </w:pPr>
      <w:r w:rsidRPr="00390417">
        <w:rPr>
          <w:i/>
          <w:iCs/>
          <w:color w:val="000000"/>
        </w:rPr>
        <w:t>Извор</w:t>
      </w:r>
      <w:r w:rsidR="00AC0D08" w:rsidRPr="00390417">
        <w:rPr>
          <w:i/>
          <w:iCs/>
          <w:color w:val="000000"/>
        </w:rPr>
        <w:t xml:space="preserve">: </w:t>
      </w:r>
      <w:r w:rsidRPr="00390417">
        <w:rPr>
          <w:i/>
          <w:iCs/>
          <w:color w:val="000000"/>
        </w:rPr>
        <w:t>Вебсајт</w:t>
      </w:r>
      <w:r w:rsidR="00AC0D08" w:rsidRPr="00390417">
        <w:rPr>
          <w:i/>
          <w:iCs/>
          <w:color w:val="000000"/>
        </w:rPr>
        <w:t xml:space="preserve"> </w:t>
      </w:r>
      <w:r w:rsidRPr="00390417">
        <w:rPr>
          <w:i/>
          <w:iCs/>
          <w:color w:val="000000"/>
        </w:rPr>
        <w:t>Пореске</w:t>
      </w:r>
      <w:r w:rsidR="00AC0D08" w:rsidRPr="00390417">
        <w:rPr>
          <w:i/>
          <w:iCs/>
          <w:color w:val="000000"/>
        </w:rPr>
        <w:t xml:space="preserve"> </w:t>
      </w:r>
      <w:r w:rsidRPr="00390417">
        <w:rPr>
          <w:i/>
          <w:iCs/>
          <w:color w:val="000000"/>
        </w:rPr>
        <w:t>управе</w:t>
      </w:r>
      <w:r w:rsidR="00AC0D08" w:rsidRPr="00390417">
        <w:rPr>
          <w:i/>
          <w:iCs/>
          <w:color w:val="000000"/>
        </w:rPr>
        <w:t>, 20.5.2012.</w:t>
      </w:r>
    </w:p>
    <w:p w:rsidR="00166B45" w:rsidRPr="00390417" w:rsidRDefault="00166B45" w:rsidP="00390417">
      <w:pPr>
        <w:pStyle w:val="normal0"/>
        <w:shd w:val="clear" w:color="auto" w:fill="FFFFFF"/>
        <w:spacing w:before="48" w:beforeAutospacing="0" w:after="48" w:afterAutospacing="0"/>
        <w:jc w:val="both"/>
        <w:rPr>
          <w:color w:val="000000"/>
        </w:rPr>
      </w:pPr>
    </w:p>
    <w:p w:rsidR="00390417" w:rsidRPr="00166B45" w:rsidRDefault="00390417" w:rsidP="00390417">
      <w:pPr>
        <w:shd w:val="clear" w:color="auto" w:fill="FFFFFF"/>
        <w:spacing w:before="48" w:after="48" w:line="240" w:lineRule="auto"/>
        <w:jc w:val="both"/>
        <w:rPr>
          <w:rFonts w:ascii="Times New Roman" w:hAnsi="Times New Roman"/>
          <w:color w:val="000000"/>
          <w:sz w:val="24"/>
          <w:szCs w:val="24"/>
        </w:rPr>
      </w:pPr>
    </w:p>
    <w:p w:rsidR="00D06E30" w:rsidRDefault="001467DF" w:rsidP="00390417">
      <w:pPr>
        <w:pStyle w:val="normal0"/>
        <w:shd w:val="clear" w:color="auto" w:fill="FFFFFF"/>
        <w:spacing w:before="48" w:beforeAutospacing="0" w:after="48" w:afterAutospacing="0"/>
        <w:jc w:val="both"/>
        <w:rPr>
          <w:color w:val="000000"/>
        </w:rPr>
      </w:pPr>
      <w:r>
        <w:rPr>
          <w:color w:val="000000"/>
          <w:lang w:val="sr-Cyrl-CS"/>
        </w:rPr>
        <w:t>13</w:t>
      </w:r>
      <w:r w:rsidR="00390417">
        <w:rPr>
          <w:color w:val="000000"/>
          <w:lang w:val="sr-Cyrl-CS"/>
        </w:rPr>
        <w:t>)</w:t>
      </w:r>
    </w:p>
    <w:p w:rsidR="00166B45" w:rsidRPr="002E473E" w:rsidRDefault="00166B45" w:rsidP="00390417">
      <w:pPr>
        <w:pStyle w:val="normal0"/>
        <w:shd w:val="clear" w:color="auto" w:fill="FFFFFF"/>
        <w:spacing w:before="48" w:beforeAutospacing="0" w:after="48" w:afterAutospacing="0"/>
        <w:jc w:val="both"/>
        <w:rPr>
          <w:color w:val="000000"/>
          <w:lang w:val="sr-Cyrl-CS"/>
        </w:rPr>
      </w:pPr>
    </w:p>
    <w:p w:rsidR="00AC0D08" w:rsidRDefault="00C5614B" w:rsidP="00390417">
      <w:pPr>
        <w:pStyle w:val="normal0"/>
        <w:shd w:val="clear" w:color="auto" w:fill="FFFFFF"/>
        <w:spacing w:before="48" w:beforeAutospacing="0" w:after="48" w:afterAutospacing="0"/>
        <w:jc w:val="both"/>
        <w:rPr>
          <w:color w:val="000000"/>
          <w:lang w:val="sr-Cyrl-CS"/>
        </w:rPr>
      </w:pPr>
      <w:r w:rsidRPr="00390417">
        <w:rPr>
          <w:color w:val="000000"/>
        </w:rPr>
        <w:t>Пореска</w:t>
      </w:r>
      <w:r w:rsidR="00AC0D08" w:rsidRPr="00390417">
        <w:rPr>
          <w:color w:val="000000"/>
        </w:rPr>
        <w:t xml:space="preserve"> </w:t>
      </w:r>
      <w:r w:rsidRPr="00390417">
        <w:rPr>
          <w:color w:val="000000"/>
        </w:rPr>
        <w:t>управа</w:t>
      </w:r>
      <w:r w:rsidR="00AC0D08" w:rsidRPr="00390417">
        <w:rPr>
          <w:color w:val="000000"/>
        </w:rPr>
        <w:t xml:space="preserve"> - </w:t>
      </w:r>
      <w:r w:rsidRPr="00390417">
        <w:rPr>
          <w:color w:val="000000"/>
        </w:rPr>
        <w:t>Сектор</w:t>
      </w:r>
      <w:r w:rsidR="00AC0D08" w:rsidRPr="00390417">
        <w:rPr>
          <w:color w:val="000000"/>
        </w:rPr>
        <w:t xml:space="preserve"> </w:t>
      </w:r>
      <w:r w:rsidRPr="00390417">
        <w:rPr>
          <w:color w:val="000000"/>
        </w:rPr>
        <w:t>пореске</w:t>
      </w:r>
      <w:r w:rsidR="00AC0D08" w:rsidRPr="00390417">
        <w:rPr>
          <w:color w:val="000000"/>
        </w:rPr>
        <w:t xml:space="preserve"> </w:t>
      </w:r>
      <w:r w:rsidRPr="00390417">
        <w:rPr>
          <w:color w:val="000000"/>
        </w:rPr>
        <w:t>полиције</w:t>
      </w:r>
      <w:r w:rsidR="00AC0D08" w:rsidRPr="00390417">
        <w:rPr>
          <w:color w:val="000000"/>
        </w:rPr>
        <w:t xml:space="preserve"> </w:t>
      </w:r>
      <w:r w:rsidRPr="00390417">
        <w:rPr>
          <w:color w:val="000000"/>
        </w:rPr>
        <w:t>поднела</w:t>
      </w:r>
      <w:r w:rsidR="00AC0D08" w:rsidRPr="00390417">
        <w:rPr>
          <w:color w:val="000000"/>
        </w:rPr>
        <w:t xml:space="preserve"> </w:t>
      </w:r>
      <w:r w:rsidRPr="00390417">
        <w:rPr>
          <w:color w:val="000000"/>
        </w:rPr>
        <w:t>је</w:t>
      </w:r>
      <w:r w:rsidR="00AC0D08" w:rsidRPr="00390417">
        <w:rPr>
          <w:color w:val="000000"/>
        </w:rPr>
        <w:t xml:space="preserve"> </w:t>
      </w:r>
      <w:r w:rsidRPr="00390417">
        <w:rPr>
          <w:color w:val="000000"/>
        </w:rPr>
        <w:t>Основном</w:t>
      </w:r>
      <w:r w:rsidR="00AC0D08" w:rsidRPr="00390417">
        <w:rPr>
          <w:color w:val="000000"/>
        </w:rPr>
        <w:t xml:space="preserve"> </w:t>
      </w:r>
      <w:r w:rsidRPr="00390417">
        <w:rPr>
          <w:color w:val="000000"/>
        </w:rPr>
        <w:t>јавном</w:t>
      </w:r>
      <w:r w:rsidR="00AC0D08" w:rsidRPr="00390417">
        <w:rPr>
          <w:color w:val="000000"/>
        </w:rPr>
        <w:t xml:space="preserve"> </w:t>
      </w:r>
      <w:r w:rsidRPr="00390417">
        <w:rPr>
          <w:color w:val="000000"/>
        </w:rPr>
        <w:t>тужилаштву</w:t>
      </w:r>
      <w:r w:rsidR="00AC0D08" w:rsidRPr="00390417">
        <w:rPr>
          <w:color w:val="000000"/>
        </w:rPr>
        <w:t xml:space="preserve"> </w:t>
      </w:r>
      <w:r w:rsidRPr="00390417">
        <w:rPr>
          <w:color w:val="000000"/>
        </w:rPr>
        <w:t>у</w:t>
      </w:r>
      <w:r w:rsidR="00AC0D08" w:rsidRPr="00390417">
        <w:rPr>
          <w:color w:val="000000"/>
        </w:rPr>
        <w:t xml:space="preserve"> </w:t>
      </w:r>
      <w:r w:rsidRPr="00390417">
        <w:rPr>
          <w:color w:val="000000"/>
        </w:rPr>
        <w:t>Лесковцу</w:t>
      </w:r>
      <w:r w:rsidR="00AC0D08" w:rsidRPr="00390417">
        <w:rPr>
          <w:color w:val="000000"/>
        </w:rPr>
        <w:t xml:space="preserve"> </w:t>
      </w:r>
      <w:r w:rsidRPr="00390417">
        <w:rPr>
          <w:color w:val="000000"/>
        </w:rPr>
        <w:t>кривичну</w:t>
      </w:r>
      <w:r w:rsidR="00AC0D08" w:rsidRPr="00390417">
        <w:rPr>
          <w:color w:val="000000"/>
        </w:rPr>
        <w:t xml:space="preserve"> </w:t>
      </w:r>
      <w:r w:rsidRPr="00390417">
        <w:rPr>
          <w:color w:val="000000"/>
        </w:rPr>
        <w:t>пријаву</w:t>
      </w:r>
      <w:r w:rsidR="00AC0D08" w:rsidRPr="00390417">
        <w:rPr>
          <w:color w:val="000000"/>
        </w:rPr>
        <w:t xml:space="preserve"> </w:t>
      </w:r>
      <w:r w:rsidRPr="00390417">
        <w:rPr>
          <w:color w:val="000000"/>
        </w:rPr>
        <w:t>против</w:t>
      </w:r>
      <w:r w:rsidR="00AC0D08" w:rsidRPr="00390417">
        <w:rPr>
          <w:color w:val="000000"/>
        </w:rPr>
        <w:t xml:space="preserve"> </w:t>
      </w:r>
      <w:r w:rsidRPr="00390417">
        <w:rPr>
          <w:color w:val="000000"/>
        </w:rPr>
        <w:t>Р</w:t>
      </w:r>
      <w:r w:rsidR="00AC0D08" w:rsidRPr="00390417">
        <w:rPr>
          <w:color w:val="000000"/>
        </w:rPr>
        <w:t>.</w:t>
      </w:r>
      <w:r w:rsidRPr="00390417">
        <w:rPr>
          <w:color w:val="000000"/>
        </w:rPr>
        <w:t>Ј</w:t>
      </w:r>
      <w:r w:rsidR="00AC0D08" w:rsidRPr="00390417">
        <w:rPr>
          <w:color w:val="000000"/>
        </w:rPr>
        <w:t xml:space="preserve">., </w:t>
      </w:r>
      <w:r w:rsidRPr="00390417">
        <w:rPr>
          <w:color w:val="000000"/>
        </w:rPr>
        <w:t>власника</w:t>
      </w:r>
      <w:r w:rsidR="00AC0D08" w:rsidRPr="00390417">
        <w:rPr>
          <w:color w:val="000000"/>
        </w:rPr>
        <w:t xml:space="preserve"> </w:t>
      </w:r>
      <w:r w:rsidRPr="00390417">
        <w:rPr>
          <w:color w:val="000000"/>
        </w:rPr>
        <w:t>и</w:t>
      </w:r>
      <w:r w:rsidR="00AC0D08" w:rsidRPr="00390417">
        <w:rPr>
          <w:color w:val="000000"/>
        </w:rPr>
        <w:t xml:space="preserve"> </w:t>
      </w:r>
      <w:r w:rsidRPr="00390417">
        <w:rPr>
          <w:color w:val="000000"/>
        </w:rPr>
        <w:t>директора</w:t>
      </w:r>
      <w:r w:rsidR="00AC0D08" w:rsidRPr="00390417">
        <w:rPr>
          <w:color w:val="000000"/>
        </w:rPr>
        <w:t xml:space="preserve"> </w:t>
      </w:r>
      <w:r w:rsidRPr="00390417">
        <w:rPr>
          <w:color w:val="000000"/>
        </w:rPr>
        <w:t>привредног</w:t>
      </w:r>
      <w:r w:rsidR="00AC0D08" w:rsidRPr="00390417">
        <w:rPr>
          <w:color w:val="000000"/>
        </w:rPr>
        <w:t xml:space="preserve"> </w:t>
      </w:r>
      <w:r w:rsidRPr="00390417">
        <w:rPr>
          <w:color w:val="000000"/>
        </w:rPr>
        <w:t>друштва</w:t>
      </w:r>
      <w:r w:rsidR="00AC0D08" w:rsidRPr="00390417">
        <w:rPr>
          <w:color w:val="000000"/>
        </w:rPr>
        <w:t xml:space="preserve"> </w:t>
      </w:r>
      <w:r w:rsidRPr="00390417">
        <w:rPr>
          <w:color w:val="000000"/>
        </w:rPr>
        <w:t>Лесковца</w:t>
      </w:r>
      <w:r w:rsidR="00AC0D08" w:rsidRPr="00390417">
        <w:rPr>
          <w:color w:val="000000"/>
        </w:rPr>
        <w:t xml:space="preserve">, </w:t>
      </w:r>
      <w:r w:rsidRPr="00390417">
        <w:rPr>
          <w:color w:val="000000"/>
        </w:rPr>
        <w:t>због</w:t>
      </w:r>
      <w:r w:rsidR="00AC0D08" w:rsidRPr="00390417">
        <w:rPr>
          <w:color w:val="000000"/>
        </w:rPr>
        <w:t xml:space="preserve"> </w:t>
      </w:r>
      <w:r w:rsidRPr="00390417">
        <w:rPr>
          <w:color w:val="000000"/>
        </w:rPr>
        <w:t>основане</w:t>
      </w:r>
      <w:r w:rsidR="00AC0D08" w:rsidRPr="00390417">
        <w:rPr>
          <w:color w:val="000000"/>
        </w:rPr>
        <w:t xml:space="preserve"> </w:t>
      </w:r>
      <w:r w:rsidRPr="00390417">
        <w:rPr>
          <w:color w:val="000000"/>
        </w:rPr>
        <w:t>сумње</w:t>
      </w:r>
      <w:r w:rsidR="00AC0D08" w:rsidRPr="00390417">
        <w:rPr>
          <w:color w:val="000000"/>
        </w:rPr>
        <w:t xml:space="preserve"> </w:t>
      </w:r>
      <w:r w:rsidRPr="00390417">
        <w:rPr>
          <w:color w:val="000000"/>
        </w:rPr>
        <w:t>да</w:t>
      </w:r>
      <w:r w:rsidR="00AC0D08" w:rsidRPr="00390417">
        <w:rPr>
          <w:color w:val="000000"/>
        </w:rPr>
        <w:t xml:space="preserve"> </w:t>
      </w:r>
      <w:r w:rsidRPr="00390417">
        <w:rPr>
          <w:color w:val="000000"/>
        </w:rPr>
        <w:t>је</w:t>
      </w:r>
      <w:r w:rsidR="00AC0D08" w:rsidRPr="00390417">
        <w:rPr>
          <w:color w:val="000000"/>
        </w:rPr>
        <w:t xml:space="preserve"> </w:t>
      </w:r>
      <w:r w:rsidRPr="00390417">
        <w:rPr>
          <w:color w:val="000000"/>
        </w:rPr>
        <w:t>извршио</w:t>
      </w:r>
      <w:r w:rsidR="00AC0D08" w:rsidRPr="00390417">
        <w:rPr>
          <w:color w:val="000000"/>
        </w:rPr>
        <w:t xml:space="preserve"> </w:t>
      </w:r>
      <w:r w:rsidRPr="00390417">
        <w:rPr>
          <w:color w:val="000000"/>
        </w:rPr>
        <w:t>кривична</w:t>
      </w:r>
      <w:r w:rsidR="00AC0D08" w:rsidRPr="00390417">
        <w:rPr>
          <w:color w:val="000000"/>
        </w:rPr>
        <w:t xml:space="preserve"> </w:t>
      </w:r>
      <w:r w:rsidRPr="00390417">
        <w:rPr>
          <w:color w:val="000000"/>
        </w:rPr>
        <w:t>дела</w:t>
      </w:r>
      <w:r w:rsidR="00AC0D08" w:rsidRPr="00390417">
        <w:rPr>
          <w:color w:val="000000"/>
        </w:rPr>
        <w:t xml:space="preserve"> </w:t>
      </w:r>
      <w:r w:rsidRPr="00390417">
        <w:rPr>
          <w:color w:val="000000"/>
        </w:rPr>
        <w:t>Пореска</w:t>
      </w:r>
      <w:r w:rsidR="00AC0D08" w:rsidRPr="00390417">
        <w:rPr>
          <w:color w:val="000000"/>
        </w:rPr>
        <w:t xml:space="preserve"> </w:t>
      </w:r>
      <w:r w:rsidRPr="00390417">
        <w:rPr>
          <w:color w:val="000000"/>
        </w:rPr>
        <w:t>утаја</w:t>
      </w:r>
      <w:r w:rsidR="00AC0D08" w:rsidRPr="00390417">
        <w:rPr>
          <w:color w:val="000000"/>
        </w:rPr>
        <w:t xml:space="preserve"> </w:t>
      </w:r>
      <w:r w:rsidRPr="00390417">
        <w:rPr>
          <w:color w:val="000000"/>
        </w:rPr>
        <w:t>и</w:t>
      </w:r>
      <w:r w:rsidR="00AC0D08" w:rsidRPr="00390417">
        <w:rPr>
          <w:color w:val="000000"/>
        </w:rPr>
        <w:t xml:space="preserve"> </w:t>
      </w:r>
      <w:r w:rsidRPr="00390417">
        <w:rPr>
          <w:color w:val="000000"/>
        </w:rPr>
        <w:t>Фалсификовање</w:t>
      </w:r>
      <w:r w:rsidR="00AC0D08" w:rsidRPr="00390417">
        <w:rPr>
          <w:color w:val="000000"/>
        </w:rPr>
        <w:t xml:space="preserve"> </w:t>
      </w:r>
      <w:r w:rsidRPr="00390417">
        <w:rPr>
          <w:color w:val="000000"/>
        </w:rPr>
        <w:t>службене</w:t>
      </w:r>
      <w:r w:rsidR="00AC0D08" w:rsidRPr="00390417">
        <w:rPr>
          <w:color w:val="000000"/>
        </w:rPr>
        <w:t xml:space="preserve"> </w:t>
      </w:r>
      <w:r w:rsidRPr="00390417">
        <w:rPr>
          <w:color w:val="000000"/>
        </w:rPr>
        <w:t>исправе</w:t>
      </w:r>
      <w:r w:rsidR="00AC0D08" w:rsidRPr="00390417">
        <w:rPr>
          <w:color w:val="000000"/>
        </w:rPr>
        <w:t>.</w:t>
      </w:r>
    </w:p>
    <w:p w:rsidR="00911A0C" w:rsidRPr="00911A0C" w:rsidRDefault="00911A0C" w:rsidP="00390417">
      <w:pPr>
        <w:pStyle w:val="normal0"/>
        <w:shd w:val="clear" w:color="auto" w:fill="FFFFFF"/>
        <w:spacing w:before="48" w:beforeAutospacing="0" w:after="48" w:afterAutospacing="0"/>
        <w:jc w:val="both"/>
        <w:rPr>
          <w:color w:val="000000"/>
          <w:lang w:val="sr-Cyrl-CS"/>
        </w:rPr>
      </w:pPr>
    </w:p>
    <w:p w:rsidR="00AC0D08" w:rsidRDefault="00C5614B" w:rsidP="00390417">
      <w:pPr>
        <w:pStyle w:val="normal0"/>
        <w:shd w:val="clear" w:color="auto" w:fill="FFFFFF"/>
        <w:spacing w:before="48" w:beforeAutospacing="0" w:after="48" w:afterAutospacing="0"/>
        <w:jc w:val="both"/>
        <w:rPr>
          <w:bCs/>
          <w:color w:val="000000"/>
          <w:lang w:val="sr-Cyrl-CS"/>
        </w:rPr>
      </w:pPr>
      <w:r w:rsidRPr="00390417">
        <w:rPr>
          <w:bCs/>
          <w:color w:val="000000"/>
        </w:rPr>
        <w:t>Р</w:t>
      </w:r>
      <w:r w:rsidR="00AC0D08" w:rsidRPr="00390417">
        <w:rPr>
          <w:bCs/>
          <w:color w:val="000000"/>
        </w:rPr>
        <w:t>.</w:t>
      </w:r>
      <w:r w:rsidRPr="00390417">
        <w:rPr>
          <w:bCs/>
          <w:color w:val="000000"/>
        </w:rPr>
        <w:t>Ј</w:t>
      </w:r>
      <w:r w:rsidR="00AC0D08" w:rsidRPr="00390417">
        <w:rPr>
          <w:bCs/>
          <w:color w:val="000000"/>
        </w:rPr>
        <w:t xml:space="preserve">. </w:t>
      </w:r>
      <w:r w:rsidRPr="00390417">
        <w:rPr>
          <w:bCs/>
          <w:color w:val="000000"/>
        </w:rPr>
        <w:t>је</w:t>
      </w:r>
      <w:r w:rsidR="00AC0D08" w:rsidRPr="00390417">
        <w:rPr>
          <w:bCs/>
          <w:color w:val="000000"/>
        </w:rPr>
        <w:t xml:space="preserve"> </w:t>
      </w:r>
      <w:r w:rsidRPr="00390417">
        <w:rPr>
          <w:bCs/>
          <w:color w:val="000000"/>
        </w:rPr>
        <w:t>у</w:t>
      </w:r>
      <w:r w:rsidR="00AC0D08" w:rsidRPr="00390417">
        <w:rPr>
          <w:bCs/>
          <w:color w:val="000000"/>
        </w:rPr>
        <w:t xml:space="preserve"> </w:t>
      </w:r>
      <w:r w:rsidRPr="00390417">
        <w:rPr>
          <w:bCs/>
          <w:color w:val="000000"/>
        </w:rPr>
        <w:t>намери</w:t>
      </w:r>
      <w:r w:rsidR="00AC0D08" w:rsidRPr="00390417">
        <w:rPr>
          <w:bCs/>
          <w:color w:val="000000"/>
        </w:rPr>
        <w:t xml:space="preserve"> </w:t>
      </w:r>
      <w:r w:rsidRPr="00390417">
        <w:rPr>
          <w:bCs/>
          <w:color w:val="000000"/>
        </w:rPr>
        <w:t>да</w:t>
      </w:r>
      <w:r w:rsidR="00AC0D08" w:rsidRPr="00390417">
        <w:rPr>
          <w:bCs/>
          <w:color w:val="000000"/>
        </w:rPr>
        <w:t xml:space="preserve"> </w:t>
      </w:r>
      <w:r w:rsidRPr="00390417">
        <w:rPr>
          <w:bCs/>
          <w:color w:val="000000"/>
        </w:rPr>
        <w:t>избегне</w:t>
      </w:r>
      <w:r w:rsidR="00AC0D08" w:rsidRPr="00390417">
        <w:rPr>
          <w:bCs/>
          <w:color w:val="000000"/>
        </w:rPr>
        <w:t xml:space="preserve"> </w:t>
      </w:r>
      <w:r w:rsidRPr="00390417">
        <w:rPr>
          <w:bCs/>
          <w:color w:val="000000"/>
        </w:rPr>
        <w:t>плаћање</w:t>
      </w:r>
      <w:r w:rsidR="00AC0D08" w:rsidRPr="00390417">
        <w:rPr>
          <w:bCs/>
          <w:color w:val="000000"/>
        </w:rPr>
        <w:t xml:space="preserve"> </w:t>
      </w:r>
      <w:r w:rsidRPr="00390417">
        <w:rPr>
          <w:bCs/>
          <w:color w:val="000000"/>
        </w:rPr>
        <w:t>пореза</w:t>
      </w:r>
      <w:r w:rsidR="00AC0D08" w:rsidRPr="00390417">
        <w:rPr>
          <w:bCs/>
          <w:color w:val="000000"/>
        </w:rPr>
        <w:t xml:space="preserve">, </w:t>
      </w:r>
      <w:r w:rsidRPr="00390417">
        <w:rPr>
          <w:bCs/>
          <w:color w:val="000000"/>
        </w:rPr>
        <w:t>у</w:t>
      </w:r>
      <w:r w:rsidR="00AC0D08" w:rsidRPr="00390417">
        <w:rPr>
          <w:bCs/>
          <w:color w:val="000000"/>
        </w:rPr>
        <w:t xml:space="preserve"> </w:t>
      </w:r>
      <w:r w:rsidRPr="00390417">
        <w:rPr>
          <w:bCs/>
          <w:color w:val="000000"/>
        </w:rPr>
        <w:t>периоду</w:t>
      </w:r>
      <w:r w:rsidR="00AC0D08" w:rsidRPr="00390417">
        <w:rPr>
          <w:bCs/>
          <w:color w:val="000000"/>
        </w:rPr>
        <w:t xml:space="preserve"> </w:t>
      </w:r>
      <w:r w:rsidRPr="00390417">
        <w:rPr>
          <w:bCs/>
          <w:color w:val="000000"/>
        </w:rPr>
        <w:t>од</w:t>
      </w:r>
      <w:r w:rsidR="00AC0D08" w:rsidRPr="00390417">
        <w:rPr>
          <w:bCs/>
          <w:color w:val="000000"/>
        </w:rPr>
        <w:t xml:space="preserve"> </w:t>
      </w:r>
      <w:r w:rsidRPr="00390417">
        <w:rPr>
          <w:bCs/>
          <w:color w:val="000000"/>
        </w:rPr>
        <w:t>новембра</w:t>
      </w:r>
      <w:r w:rsidR="00AC0D08" w:rsidRPr="00390417">
        <w:rPr>
          <w:bCs/>
          <w:color w:val="000000"/>
        </w:rPr>
        <w:t xml:space="preserve"> 2010. </w:t>
      </w:r>
      <w:r w:rsidRPr="00390417">
        <w:rPr>
          <w:bCs/>
          <w:color w:val="000000"/>
        </w:rPr>
        <w:t>до</w:t>
      </w:r>
      <w:r w:rsidR="00AC0D08" w:rsidRPr="00390417">
        <w:rPr>
          <w:bCs/>
          <w:color w:val="000000"/>
        </w:rPr>
        <w:t xml:space="preserve"> </w:t>
      </w:r>
      <w:r w:rsidRPr="00390417">
        <w:rPr>
          <w:bCs/>
          <w:color w:val="000000"/>
        </w:rPr>
        <w:t>марта</w:t>
      </w:r>
      <w:r w:rsidR="00AC0D08" w:rsidRPr="00390417">
        <w:rPr>
          <w:bCs/>
          <w:color w:val="000000"/>
        </w:rPr>
        <w:t xml:space="preserve"> 2011. </w:t>
      </w:r>
      <w:r w:rsidRPr="00390417">
        <w:rPr>
          <w:bCs/>
          <w:color w:val="000000"/>
        </w:rPr>
        <w:t>године</w:t>
      </w:r>
      <w:r w:rsidR="00AC0D08" w:rsidRPr="00390417">
        <w:rPr>
          <w:bCs/>
          <w:color w:val="000000"/>
        </w:rPr>
        <w:t xml:space="preserve">, </w:t>
      </w:r>
      <w:r w:rsidRPr="00390417">
        <w:rPr>
          <w:bCs/>
          <w:color w:val="000000"/>
        </w:rPr>
        <w:t>прибавио</w:t>
      </w:r>
      <w:r w:rsidR="00AC0D08" w:rsidRPr="00390417">
        <w:rPr>
          <w:bCs/>
          <w:color w:val="000000"/>
        </w:rPr>
        <w:t xml:space="preserve"> </w:t>
      </w:r>
      <w:r w:rsidRPr="00390417">
        <w:rPr>
          <w:bCs/>
          <w:color w:val="000000"/>
        </w:rPr>
        <w:t>и</w:t>
      </w:r>
      <w:r w:rsidR="00AC0D08" w:rsidRPr="00390417">
        <w:rPr>
          <w:bCs/>
          <w:color w:val="000000"/>
        </w:rPr>
        <w:t xml:space="preserve"> </w:t>
      </w:r>
      <w:r w:rsidRPr="00390417">
        <w:rPr>
          <w:bCs/>
          <w:color w:val="000000"/>
        </w:rPr>
        <w:t>евидентирао</w:t>
      </w:r>
      <w:r w:rsidR="00AC0D08" w:rsidRPr="00390417">
        <w:rPr>
          <w:bCs/>
          <w:color w:val="000000"/>
        </w:rPr>
        <w:t xml:space="preserve"> </w:t>
      </w:r>
      <w:r w:rsidRPr="00390417">
        <w:rPr>
          <w:bCs/>
          <w:color w:val="000000"/>
        </w:rPr>
        <w:t>у</w:t>
      </w:r>
      <w:r w:rsidR="00AC0D08" w:rsidRPr="00390417">
        <w:rPr>
          <w:bCs/>
          <w:color w:val="000000"/>
        </w:rPr>
        <w:t xml:space="preserve"> </w:t>
      </w:r>
      <w:r w:rsidRPr="00390417">
        <w:rPr>
          <w:bCs/>
          <w:color w:val="000000"/>
        </w:rPr>
        <w:t>пословним</w:t>
      </w:r>
      <w:r w:rsidR="00AC0D08" w:rsidRPr="00390417">
        <w:rPr>
          <w:bCs/>
          <w:color w:val="000000"/>
        </w:rPr>
        <w:t xml:space="preserve"> </w:t>
      </w:r>
      <w:r w:rsidRPr="00390417">
        <w:rPr>
          <w:bCs/>
          <w:color w:val="000000"/>
        </w:rPr>
        <w:t>књигама</w:t>
      </w:r>
      <w:r w:rsidR="00AC0D08" w:rsidRPr="00390417">
        <w:rPr>
          <w:bCs/>
          <w:color w:val="000000"/>
        </w:rPr>
        <w:t xml:space="preserve"> </w:t>
      </w:r>
      <w:r w:rsidRPr="00390417">
        <w:rPr>
          <w:bCs/>
          <w:color w:val="000000"/>
        </w:rPr>
        <w:t>лажне</w:t>
      </w:r>
      <w:r w:rsidR="00AC0D08" w:rsidRPr="00390417">
        <w:rPr>
          <w:bCs/>
          <w:color w:val="000000"/>
        </w:rPr>
        <w:t xml:space="preserve"> </w:t>
      </w:r>
      <w:r w:rsidRPr="00390417">
        <w:rPr>
          <w:bCs/>
          <w:color w:val="000000"/>
        </w:rPr>
        <w:t>фактуре</w:t>
      </w:r>
      <w:r w:rsidR="00AC0D08" w:rsidRPr="00390417">
        <w:rPr>
          <w:bCs/>
          <w:color w:val="000000"/>
        </w:rPr>
        <w:t xml:space="preserve"> </w:t>
      </w:r>
      <w:r w:rsidRPr="00390417">
        <w:rPr>
          <w:bCs/>
          <w:color w:val="000000"/>
        </w:rPr>
        <w:t>више</w:t>
      </w:r>
      <w:r w:rsidR="00AC0D08" w:rsidRPr="00390417">
        <w:rPr>
          <w:bCs/>
          <w:color w:val="000000"/>
        </w:rPr>
        <w:t xml:space="preserve"> </w:t>
      </w:r>
      <w:r w:rsidRPr="00390417">
        <w:rPr>
          <w:bCs/>
          <w:color w:val="000000"/>
        </w:rPr>
        <w:t>добављача</w:t>
      </w:r>
      <w:r w:rsidR="00AC0D08" w:rsidRPr="00390417">
        <w:rPr>
          <w:bCs/>
          <w:color w:val="000000"/>
        </w:rPr>
        <w:t xml:space="preserve"> </w:t>
      </w:r>
      <w:r w:rsidRPr="00390417">
        <w:rPr>
          <w:bCs/>
          <w:color w:val="000000"/>
        </w:rPr>
        <w:t>укупне</w:t>
      </w:r>
      <w:r w:rsidR="00AC0D08" w:rsidRPr="00390417">
        <w:rPr>
          <w:bCs/>
          <w:color w:val="000000"/>
        </w:rPr>
        <w:t xml:space="preserve"> </w:t>
      </w:r>
      <w:r w:rsidRPr="00390417">
        <w:rPr>
          <w:bCs/>
          <w:color w:val="000000"/>
        </w:rPr>
        <w:t>вредности</w:t>
      </w:r>
      <w:r w:rsidR="00AC0D08" w:rsidRPr="00390417">
        <w:rPr>
          <w:bCs/>
          <w:color w:val="000000"/>
        </w:rPr>
        <w:t xml:space="preserve"> </w:t>
      </w:r>
      <w:r w:rsidRPr="00390417">
        <w:rPr>
          <w:bCs/>
          <w:color w:val="000000"/>
        </w:rPr>
        <w:t>од</w:t>
      </w:r>
      <w:r w:rsidR="00AC0D08" w:rsidRPr="00390417">
        <w:rPr>
          <w:bCs/>
          <w:color w:val="000000"/>
        </w:rPr>
        <w:t xml:space="preserve"> 43.555.706,82 </w:t>
      </w:r>
      <w:r w:rsidRPr="00390417">
        <w:rPr>
          <w:bCs/>
          <w:color w:val="000000"/>
        </w:rPr>
        <w:t>динара</w:t>
      </w:r>
      <w:r w:rsidR="00AC0D08" w:rsidRPr="00390417">
        <w:rPr>
          <w:bCs/>
          <w:color w:val="000000"/>
        </w:rPr>
        <w:t xml:space="preserve">, </w:t>
      </w:r>
      <w:r w:rsidRPr="00390417">
        <w:rPr>
          <w:bCs/>
          <w:color w:val="000000"/>
        </w:rPr>
        <w:t>са</w:t>
      </w:r>
      <w:r w:rsidR="00AC0D08" w:rsidRPr="00390417">
        <w:rPr>
          <w:bCs/>
          <w:color w:val="000000"/>
        </w:rPr>
        <w:t xml:space="preserve"> </w:t>
      </w:r>
      <w:r w:rsidRPr="00390417">
        <w:rPr>
          <w:bCs/>
          <w:color w:val="000000"/>
        </w:rPr>
        <w:t>исказаним</w:t>
      </w:r>
      <w:r w:rsidR="00AC0D08" w:rsidRPr="00390417">
        <w:rPr>
          <w:bCs/>
          <w:color w:val="000000"/>
        </w:rPr>
        <w:t xml:space="preserve"> </w:t>
      </w:r>
      <w:r w:rsidRPr="00390417">
        <w:rPr>
          <w:bCs/>
          <w:color w:val="000000"/>
        </w:rPr>
        <w:t>ПДВ</w:t>
      </w:r>
      <w:r w:rsidR="00AC0D08" w:rsidRPr="00390417">
        <w:rPr>
          <w:bCs/>
          <w:color w:val="000000"/>
        </w:rPr>
        <w:t xml:space="preserve"> </w:t>
      </w:r>
      <w:r w:rsidRPr="00390417">
        <w:rPr>
          <w:bCs/>
          <w:color w:val="000000"/>
        </w:rPr>
        <w:t>у</w:t>
      </w:r>
      <w:r w:rsidR="00AC0D08" w:rsidRPr="00390417">
        <w:rPr>
          <w:bCs/>
          <w:color w:val="000000"/>
        </w:rPr>
        <w:t xml:space="preserve"> </w:t>
      </w:r>
      <w:r w:rsidRPr="00390417">
        <w:rPr>
          <w:bCs/>
          <w:color w:val="000000"/>
        </w:rPr>
        <w:t>износу</w:t>
      </w:r>
      <w:r w:rsidR="00AC0D08" w:rsidRPr="00390417">
        <w:rPr>
          <w:bCs/>
          <w:color w:val="000000"/>
        </w:rPr>
        <w:t xml:space="preserve"> </w:t>
      </w:r>
      <w:r w:rsidRPr="00390417">
        <w:rPr>
          <w:bCs/>
          <w:color w:val="000000"/>
        </w:rPr>
        <w:t>од</w:t>
      </w:r>
      <w:r w:rsidR="00AC0D08" w:rsidRPr="00390417">
        <w:rPr>
          <w:bCs/>
          <w:color w:val="000000"/>
        </w:rPr>
        <w:t xml:space="preserve"> 5.443.980,22 </w:t>
      </w:r>
      <w:r w:rsidRPr="00390417">
        <w:rPr>
          <w:bCs/>
          <w:color w:val="000000"/>
        </w:rPr>
        <w:t>динара</w:t>
      </w:r>
      <w:r w:rsidR="00AC0D08" w:rsidRPr="00390417">
        <w:rPr>
          <w:bCs/>
          <w:color w:val="000000"/>
        </w:rPr>
        <w:t xml:space="preserve">. </w:t>
      </w:r>
      <w:r w:rsidRPr="00390417">
        <w:rPr>
          <w:bCs/>
          <w:color w:val="000000"/>
        </w:rPr>
        <w:t>У</w:t>
      </w:r>
      <w:r w:rsidR="00AC0D08" w:rsidRPr="00390417">
        <w:rPr>
          <w:bCs/>
          <w:color w:val="000000"/>
        </w:rPr>
        <w:t xml:space="preserve"> </w:t>
      </w:r>
      <w:r w:rsidRPr="00390417">
        <w:rPr>
          <w:bCs/>
          <w:color w:val="000000"/>
        </w:rPr>
        <w:t>поднетим</w:t>
      </w:r>
      <w:r w:rsidR="00AC0D08" w:rsidRPr="00390417">
        <w:rPr>
          <w:bCs/>
          <w:color w:val="000000"/>
        </w:rPr>
        <w:t xml:space="preserve"> </w:t>
      </w:r>
      <w:r w:rsidRPr="00390417">
        <w:rPr>
          <w:bCs/>
          <w:color w:val="000000"/>
        </w:rPr>
        <w:t>пореским</w:t>
      </w:r>
      <w:r w:rsidR="00AC0D08" w:rsidRPr="00390417">
        <w:rPr>
          <w:bCs/>
          <w:color w:val="000000"/>
        </w:rPr>
        <w:t xml:space="preserve"> </w:t>
      </w:r>
      <w:r w:rsidRPr="00390417">
        <w:rPr>
          <w:bCs/>
          <w:color w:val="000000"/>
        </w:rPr>
        <w:t>пријавама</w:t>
      </w:r>
      <w:r w:rsidR="00AC0D08" w:rsidRPr="00390417">
        <w:rPr>
          <w:bCs/>
          <w:color w:val="000000"/>
        </w:rPr>
        <w:t xml:space="preserve"> </w:t>
      </w:r>
      <w:r w:rsidRPr="00390417">
        <w:rPr>
          <w:bCs/>
          <w:color w:val="000000"/>
        </w:rPr>
        <w:t>неосновано</w:t>
      </w:r>
      <w:r w:rsidR="00AC0D08" w:rsidRPr="00390417">
        <w:rPr>
          <w:bCs/>
          <w:color w:val="000000"/>
        </w:rPr>
        <w:t xml:space="preserve"> </w:t>
      </w:r>
      <w:r w:rsidRPr="00390417">
        <w:rPr>
          <w:bCs/>
          <w:color w:val="000000"/>
        </w:rPr>
        <w:t>је</w:t>
      </w:r>
      <w:r w:rsidR="00AC0D08" w:rsidRPr="00390417">
        <w:rPr>
          <w:bCs/>
          <w:color w:val="000000"/>
        </w:rPr>
        <w:t xml:space="preserve"> </w:t>
      </w:r>
      <w:r w:rsidRPr="00390417">
        <w:rPr>
          <w:bCs/>
          <w:color w:val="000000"/>
        </w:rPr>
        <w:t>користио</w:t>
      </w:r>
      <w:r w:rsidR="00AC0D08" w:rsidRPr="00390417">
        <w:rPr>
          <w:bCs/>
          <w:color w:val="000000"/>
        </w:rPr>
        <w:t xml:space="preserve"> </w:t>
      </w:r>
      <w:r w:rsidRPr="00390417">
        <w:rPr>
          <w:bCs/>
          <w:color w:val="000000"/>
        </w:rPr>
        <w:t>претходни</w:t>
      </w:r>
      <w:r w:rsidR="00AC0D08" w:rsidRPr="00390417">
        <w:rPr>
          <w:bCs/>
          <w:color w:val="000000"/>
        </w:rPr>
        <w:t xml:space="preserve"> </w:t>
      </w:r>
      <w:r w:rsidRPr="00390417">
        <w:rPr>
          <w:bCs/>
          <w:color w:val="000000"/>
        </w:rPr>
        <w:t>порез</w:t>
      </w:r>
      <w:r w:rsidR="00AC0D08" w:rsidRPr="00390417">
        <w:rPr>
          <w:bCs/>
          <w:color w:val="000000"/>
        </w:rPr>
        <w:t xml:space="preserve"> </w:t>
      </w:r>
      <w:r w:rsidRPr="00390417">
        <w:rPr>
          <w:bCs/>
          <w:color w:val="000000"/>
        </w:rPr>
        <w:lastRenderedPageBreak/>
        <w:t>садржан</w:t>
      </w:r>
      <w:r w:rsidR="00AC0D08" w:rsidRPr="00390417">
        <w:rPr>
          <w:bCs/>
          <w:color w:val="000000"/>
        </w:rPr>
        <w:t xml:space="preserve"> </w:t>
      </w:r>
      <w:r w:rsidRPr="00390417">
        <w:rPr>
          <w:bCs/>
          <w:color w:val="000000"/>
        </w:rPr>
        <w:t>у</w:t>
      </w:r>
      <w:r w:rsidR="00AC0D08" w:rsidRPr="00390417">
        <w:rPr>
          <w:bCs/>
          <w:color w:val="000000"/>
        </w:rPr>
        <w:t xml:space="preserve"> </w:t>
      </w:r>
      <w:r w:rsidRPr="00390417">
        <w:rPr>
          <w:bCs/>
          <w:color w:val="000000"/>
        </w:rPr>
        <w:t>издатим</w:t>
      </w:r>
      <w:r w:rsidR="00AC0D08" w:rsidRPr="00390417">
        <w:rPr>
          <w:bCs/>
          <w:color w:val="000000"/>
        </w:rPr>
        <w:t xml:space="preserve"> </w:t>
      </w:r>
      <w:r w:rsidRPr="00390417">
        <w:rPr>
          <w:bCs/>
          <w:color w:val="000000"/>
        </w:rPr>
        <w:t>рачунима</w:t>
      </w:r>
      <w:r w:rsidR="00AC0D08" w:rsidRPr="00390417">
        <w:rPr>
          <w:bCs/>
          <w:color w:val="000000"/>
        </w:rPr>
        <w:t xml:space="preserve"> </w:t>
      </w:r>
      <w:r w:rsidRPr="00390417">
        <w:rPr>
          <w:bCs/>
          <w:color w:val="000000"/>
        </w:rPr>
        <w:t>као</w:t>
      </w:r>
      <w:r w:rsidR="00AC0D08" w:rsidRPr="00390417">
        <w:rPr>
          <w:bCs/>
          <w:color w:val="000000"/>
        </w:rPr>
        <w:t xml:space="preserve"> </w:t>
      </w:r>
      <w:r w:rsidRPr="00390417">
        <w:rPr>
          <w:bCs/>
          <w:color w:val="000000"/>
        </w:rPr>
        <w:t>претходно</w:t>
      </w:r>
      <w:r w:rsidR="00AC0D08" w:rsidRPr="00390417">
        <w:rPr>
          <w:bCs/>
          <w:color w:val="000000"/>
        </w:rPr>
        <w:t xml:space="preserve"> </w:t>
      </w:r>
      <w:r w:rsidRPr="00390417">
        <w:rPr>
          <w:bCs/>
          <w:color w:val="000000"/>
        </w:rPr>
        <w:t>плаћен</w:t>
      </w:r>
      <w:r w:rsidR="00AC0D08" w:rsidRPr="00390417">
        <w:rPr>
          <w:bCs/>
          <w:color w:val="000000"/>
        </w:rPr>
        <w:t xml:space="preserve">, </w:t>
      </w:r>
      <w:r w:rsidRPr="00390417">
        <w:rPr>
          <w:bCs/>
          <w:color w:val="000000"/>
        </w:rPr>
        <w:t>са</w:t>
      </w:r>
      <w:r w:rsidR="00AC0D08" w:rsidRPr="00390417">
        <w:rPr>
          <w:bCs/>
          <w:color w:val="000000"/>
        </w:rPr>
        <w:t xml:space="preserve"> </w:t>
      </w:r>
      <w:r w:rsidRPr="00390417">
        <w:rPr>
          <w:bCs/>
          <w:color w:val="000000"/>
        </w:rPr>
        <w:t>правом</w:t>
      </w:r>
      <w:r w:rsidR="00AC0D08" w:rsidRPr="00390417">
        <w:rPr>
          <w:bCs/>
          <w:color w:val="000000"/>
        </w:rPr>
        <w:t xml:space="preserve"> </w:t>
      </w:r>
      <w:r w:rsidRPr="00390417">
        <w:rPr>
          <w:bCs/>
          <w:color w:val="000000"/>
        </w:rPr>
        <w:t>на</w:t>
      </w:r>
      <w:r w:rsidR="00AC0D08" w:rsidRPr="00390417">
        <w:rPr>
          <w:bCs/>
          <w:color w:val="000000"/>
        </w:rPr>
        <w:t xml:space="preserve"> </w:t>
      </w:r>
      <w:r w:rsidRPr="00390417">
        <w:rPr>
          <w:bCs/>
          <w:color w:val="000000"/>
        </w:rPr>
        <w:t>одбитак</w:t>
      </w:r>
      <w:r w:rsidR="00AC0D08" w:rsidRPr="00390417">
        <w:rPr>
          <w:bCs/>
          <w:color w:val="000000"/>
        </w:rPr>
        <w:t xml:space="preserve">, </w:t>
      </w:r>
      <w:r w:rsidRPr="00390417">
        <w:rPr>
          <w:bCs/>
          <w:color w:val="000000"/>
        </w:rPr>
        <w:t>иако</w:t>
      </w:r>
      <w:r w:rsidR="00AC0D08" w:rsidRPr="00390417">
        <w:rPr>
          <w:bCs/>
          <w:color w:val="000000"/>
        </w:rPr>
        <w:t xml:space="preserve"> </w:t>
      </w:r>
      <w:r w:rsidRPr="00390417">
        <w:rPr>
          <w:bCs/>
          <w:color w:val="000000"/>
        </w:rPr>
        <w:t>промет</w:t>
      </w:r>
      <w:r w:rsidR="00AC0D08" w:rsidRPr="00390417">
        <w:rPr>
          <w:bCs/>
          <w:color w:val="000000"/>
        </w:rPr>
        <w:t xml:space="preserve"> </w:t>
      </w:r>
      <w:r w:rsidRPr="00390417">
        <w:rPr>
          <w:bCs/>
          <w:color w:val="000000"/>
        </w:rPr>
        <w:t>добара</w:t>
      </w:r>
      <w:r w:rsidR="00AC0D08" w:rsidRPr="00390417">
        <w:rPr>
          <w:bCs/>
          <w:color w:val="000000"/>
        </w:rPr>
        <w:t xml:space="preserve"> </w:t>
      </w:r>
      <w:r w:rsidRPr="00390417">
        <w:rPr>
          <w:bCs/>
          <w:color w:val="000000"/>
        </w:rPr>
        <w:t>није</w:t>
      </w:r>
      <w:r w:rsidR="00AC0D08" w:rsidRPr="00390417">
        <w:rPr>
          <w:bCs/>
          <w:color w:val="000000"/>
        </w:rPr>
        <w:t xml:space="preserve"> </w:t>
      </w:r>
      <w:r w:rsidRPr="00390417">
        <w:rPr>
          <w:bCs/>
          <w:color w:val="000000"/>
        </w:rPr>
        <w:t>извршен</w:t>
      </w:r>
      <w:r w:rsidR="00AC0D08" w:rsidRPr="00390417">
        <w:rPr>
          <w:bCs/>
          <w:color w:val="000000"/>
        </w:rPr>
        <w:t xml:space="preserve">, </w:t>
      </w:r>
      <w:r w:rsidRPr="00390417">
        <w:rPr>
          <w:bCs/>
          <w:color w:val="000000"/>
        </w:rPr>
        <w:t>по</w:t>
      </w:r>
      <w:r w:rsidR="00AC0D08" w:rsidRPr="00390417">
        <w:rPr>
          <w:bCs/>
          <w:color w:val="000000"/>
        </w:rPr>
        <w:t xml:space="preserve"> </w:t>
      </w:r>
      <w:r w:rsidRPr="00390417">
        <w:rPr>
          <w:bCs/>
          <w:color w:val="000000"/>
        </w:rPr>
        <w:t>ком</w:t>
      </w:r>
      <w:r w:rsidR="00AC0D08" w:rsidRPr="00390417">
        <w:rPr>
          <w:bCs/>
          <w:color w:val="000000"/>
        </w:rPr>
        <w:t xml:space="preserve"> </w:t>
      </w:r>
      <w:r w:rsidRPr="00390417">
        <w:rPr>
          <w:bCs/>
          <w:color w:val="000000"/>
        </w:rPr>
        <w:t>основу</w:t>
      </w:r>
      <w:r w:rsidR="00AC0D08" w:rsidRPr="00390417">
        <w:rPr>
          <w:bCs/>
          <w:color w:val="000000"/>
        </w:rPr>
        <w:t xml:space="preserve"> </w:t>
      </w:r>
      <w:r w:rsidRPr="00390417">
        <w:rPr>
          <w:bCs/>
          <w:color w:val="000000"/>
        </w:rPr>
        <w:t>је</w:t>
      </w:r>
      <w:r w:rsidR="00AC0D08" w:rsidRPr="00390417">
        <w:rPr>
          <w:bCs/>
          <w:color w:val="000000"/>
        </w:rPr>
        <w:t xml:space="preserve"> </w:t>
      </w:r>
      <w:r w:rsidRPr="00390417">
        <w:rPr>
          <w:bCs/>
          <w:color w:val="000000"/>
        </w:rPr>
        <w:t>умањио</w:t>
      </w:r>
      <w:r w:rsidR="00AC0D08" w:rsidRPr="00390417">
        <w:rPr>
          <w:bCs/>
          <w:color w:val="000000"/>
        </w:rPr>
        <w:t xml:space="preserve"> </w:t>
      </w:r>
      <w:r w:rsidRPr="00390417">
        <w:rPr>
          <w:bCs/>
          <w:color w:val="000000"/>
        </w:rPr>
        <w:t>обавезу</w:t>
      </w:r>
      <w:r w:rsidR="00AC0D08" w:rsidRPr="00390417">
        <w:rPr>
          <w:bCs/>
          <w:color w:val="000000"/>
        </w:rPr>
        <w:t xml:space="preserve"> </w:t>
      </w:r>
      <w:r w:rsidRPr="00390417">
        <w:rPr>
          <w:bCs/>
          <w:color w:val="000000"/>
        </w:rPr>
        <w:t>за</w:t>
      </w:r>
      <w:r w:rsidR="00AC0D08" w:rsidRPr="00390417">
        <w:rPr>
          <w:bCs/>
          <w:color w:val="000000"/>
        </w:rPr>
        <w:t xml:space="preserve"> </w:t>
      </w:r>
      <w:r w:rsidRPr="00390417">
        <w:rPr>
          <w:bCs/>
          <w:color w:val="000000"/>
        </w:rPr>
        <w:t>обрачун</w:t>
      </w:r>
      <w:r w:rsidR="00AC0D08" w:rsidRPr="00390417">
        <w:rPr>
          <w:bCs/>
          <w:color w:val="000000"/>
        </w:rPr>
        <w:t xml:space="preserve"> </w:t>
      </w:r>
      <w:r w:rsidRPr="00390417">
        <w:rPr>
          <w:bCs/>
          <w:color w:val="000000"/>
        </w:rPr>
        <w:t>и</w:t>
      </w:r>
      <w:r w:rsidR="00AC0D08" w:rsidRPr="00390417">
        <w:rPr>
          <w:bCs/>
          <w:color w:val="000000"/>
        </w:rPr>
        <w:t xml:space="preserve"> </w:t>
      </w:r>
      <w:r w:rsidRPr="00390417">
        <w:rPr>
          <w:bCs/>
          <w:color w:val="000000"/>
        </w:rPr>
        <w:t>плаћање</w:t>
      </w:r>
      <w:r w:rsidR="00AC0D08" w:rsidRPr="00390417">
        <w:rPr>
          <w:bCs/>
          <w:color w:val="000000"/>
        </w:rPr>
        <w:t xml:space="preserve"> </w:t>
      </w:r>
      <w:r w:rsidRPr="00390417">
        <w:rPr>
          <w:bCs/>
          <w:color w:val="000000"/>
        </w:rPr>
        <w:t>ПДВ</w:t>
      </w:r>
      <w:r w:rsidR="00AC0D08" w:rsidRPr="00390417">
        <w:rPr>
          <w:bCs/>
          <w:color w:val="000000"/>
        </w:rPr>
        <w:t xml:space="preserve"> </w:t>
      </w:r>
      <w:r w:rsidRPr="00390417">
        <w:rPr>
          <w:bCs/>
          <w:color w:val="000000"/>
        </w:rPr>
        <w:t>у</w:t>
      </w:r>
      <w:r w:rsidR="00AC0D08" w:rsidRPr="00390417">
        <w:rPr>
          <w:bCs/>
          <w:color w:val="000000"/>
        </w:rPr>
        <w:t xml:space="preserve"> </w:t>
      </w:r>
      <w:r w:rsidRPr="00390417">
        <w:rPr>
          <w:bCs/>
          <w:color w:val="000000"/>
        </w:rPr>
        <w:t>наведеном</w:t>
      </w:r>
      <w:r w:rsidR="00AC0D08" w:rsidRPr="00390417">
        <w:rPr>
          <w:bCs/>
          <w:color w:val="000000"/>
        </w:rPr>
        <w:t xml:space="preserve"> </w:t>
      </w:r>
      <w:r w:rsidRPr="00390417">
        <w:rPr>
          <w:bCs/>
          <w:color w:val="000000"/>
        </w:rPr>
        <w:t>износу</w:t>
      </w:r>
      <w:r w:rsidR="00AC0D08" w:rsidRPr="00390417">
        <w:rPr>
          <w:bCs/>
          <w:color w:val="000000"/>
        </w:rPr>
        <w:t>.</w:t>
      </w:r>
    </w:p>
    <w:p w:rsidR="00911A0C" w:rsidRPr="00911A0C" w:rsidRDefault="00911A0C" w:rsidP="00390417">
      <w:pPr>
        <w:pStyle w:val="normal0"/>
        <w:shd w:val="clear" w:color="auto" w:fill="FFFFFF"/>
        <w:spacing w:before="48" w:beforeAutospacing="0" w:after="48" w:afterAutospacing="0"/>
        <w:jc w:val="both"/>
        <w:rPr>
          <w:color w:val="000000"/>
          <w:lang w:val="sr-Cyrl-CS"/>
        </w:rPr>
      </w:pPr>
    </w:p>
    <w:p w:rsidR="00AC0D08" w:rsidRPr="00390417" w:rsidRDefault="00C5614B" w:rsidP="00390417">
      <w:pPr>
        <w:pStyle w:val="normal0"/>
        <w:shd w:val="clear" w:color="auto" w:fill="FFFFFF"/>
        <w:spacing w:before="48" w:beforeAutospacing="0" w:after="48" w:afterAutospacing="0"/>
        <w:jc w:val="both"/>
        <w:rPr>
          <w:color w:val="000000"/>
        </w:rPr>
      </w:pPr>
      <w:r w:rsidRPr="00390417">
        <w:rPr>
          <w:color w:val="000000"/>
        </w:rPr>
        <w:t>Са</w:t>
      </w:r>
      <w:r w:rsidR="00AC0D08" w:rsidRPr="00390417">
        <w:rPr>
          <w:color w:val="000000"/>
        </w:rPr>
        <w:t xml:space="preserve"> </w:t>
      </w:r>
      <w:r w:rsidRPr="00390417">
        <w:rPr>
          <w:color w:val="000000"/>
        </w:rPr>
        <w:t>пословног</w:t>
      </w:r>
      <w:r w:rsidR="00AC0D08" w:rsidRPr="00390417">
        <w:rPr>
          <w:color w:val="000000"/>
        </w:rPr>
        <w:t xml:space="preserve"> </w:t>
      </w:r>
      <w:r w:rsidRPr="00390417">
        <w:rPr>
          <w:color w:val="000000"/>
        </w:rPr>
        <w:t>рачуна</w:t>
      </w:r>
      <w:r w:rsidR="00AC0D08" w:rsidRPr="00390417">
        <w:rPr>
          <w:color w:val="000000"/>
        </w:rPr>
        <w:t xml:space="preserve"> </w:t>
      </w:r>
      <w:r w:rsidRPr="00390417">
        <w:rPr>
          <w:color w:val="000000"/>
        </w:rPr>
        <w:t>привредног</w:t>
      </w:r>
      <w:r w:rsidR="00AC0D08" w:rsidRPr="00390417">
        <w:rPr>
          <w:color w:val="000000"/>
        </w:rPr>
        <w:t xml:space="preserve"> </w:t>
      </w:r>
      <w:r w:rsidRPr="00390417">
        <w:rPr>
          <w:color w:val="000000"/>
        </w:rPr>
        <w:t>друштва</w:t>
      </w:r>
      <w:r w:rsidR="00AC0D08" w:rsidRPr="00390417">
        <w:rPr>
          <w:color w:val="000000"/>
        </w:rPr>
        <w:t xml:space="preserve"> </w:t>
      </w:r>
      <w:r w:rsidRPr="00390417">
        <w:rPr>
          <w:color w:val="000000"/>
        </w:rPr>
        <w:t>Р</w:t>
      </w:r>
      <w:r w:rsidR="00AC0D08" w:rsidRPr="00390417">
        <w:rPr>
          <w:color w:val="000000"/>
        </w:rPr>
        <w:t>.</w:t>
      </w:r>
      <w:r w:rsidRPr="00390417">
        <w:rPr>
          <w:color w:val="000000"/>
        </w:rPr>
        <w:t>Ј</w:t>
      </w:r>
      <w:r w:rsidR="00AC0D08" w:rsidRPr="00390417">
        <w:rPr>
          <w:color w:val="000000"/>
        </w:rPr>
        <w:t xml:space="preserve">. </w:t>
      </w:r>
      <w:r w:rsidRPr="00390417">
        <w:rPr>
          <w:color w:val="000000"/>
        </w:rPr>
        <w:t>је</w:t>
      </w:r>
      <w:r w:rsidR="00AC0D08" w:rsidRPr="00390417">
        <w:rPr>
          <w:color w:val="000000"/>
        </w:rPr>
        <w:t xml:space="preserve"> </w:t>
      </w:r>
      <w:r w:rsidRPr="00390417">
        <w:rPr>
          <w:color w:val="000000"/>
        </w:rPr>
        <w:t>подигао</w:t>
      </w:r>
      <w:r w:rsidR="00AC0D08" w:rsidRPr="00390417">
        <w:rPr>
          <w:color w:val="000000"/>
        </w:rPr>
        <w:t xml:space="preserve"> </w:t>
      </w:r>
      <w:r w:rsidRPr="00390417">
        <w:rPr>
          <w:color w:val="000000"/>
        </w:rPr>
        <w:t>готов</w:t>
      </w:r>
      <w:r w:rsidR="00AC0D08" w:rsidRPr="00390417">
        <w:rPr>
          <w:color w:val="000000"/>
        </w:rPr>
        <w:t xml:space="preserve"> </w:t>
      </w:r>
      <w:r w:rsidRPr="00390417">
        <w:rPr>
          <w:color w:val="000000"/>
        </w:rPr>
        <w:t>новац</w:t>
      </w:r>
      <w:r w:rsidR="00AC0D08" w:rsidRPr="00390417">
        <w:rPr>
          <w:color w:val="000000"/>
        </w:rPr>
        <w:t xml:space="preserve"> </w:t>
      </w:r>
      <w:r w:rsidRPr="00390417">
        <w:rPr>
          <w:color w:val="000000"/>
        </w:rPr>
        <w:t>у</w:t>
      </w:r>
      <w:r w:rsidR="00AC0D08" w:rsidRPr="00390417">
        <w:rPr>
          <w:color w:val="000000"/>
        </w:rPr>
        <w:t xml:space="preserve"> </w:t>
      </w:r>
      <w:r w:rsidRPr="00390417">
        <w:rPr>
          <w:color w:val="000000"/>
        </w:rPr>
        <w:t>укупном</w:t>
      </w:r>
      <w:r w:rsidR="00AC0D08" w:rsidRPr="00390417">
        <w:rPr>
          <w:color w:val="000000"/>
        </w:rPr>
        <w:t xml:space="preserve"> </w:t>
      </w:r>
      <w:r w:rsidRPr="00390417">
        <w:rPr>
          <w:color w:val="000000"/>
        </w:rPr>
        <w:t>износу</w:t>
      </w:r>
      <w:r w:rsidR="00AC0D08" w:rsidRPr="00390417">
        <w:rPr>
          <w:color w:val="000000"/>
        </w:rPr>
        <w:t xml:space="preserve"> </w:t>
      </w:r>
      <w:r w:rsidRPr="00390417">
        <w:rPr>
          <w:color w:val="000000"/>
        </w:rPr>
        <w:t>од</w:t>
      </w:r>
      <w:r w:rsidR="00AC0D08" w:rsidRPr="00390417">
        <w:rPr>
          <w:color w:val="000000"/>
        </w:rPr>
        <w:t xml:space="preserve"> 134.340.298,08 </w:t>
      </w:r>
      <w:r w:rsidRPr="00390417">
        <w:rPr>
          <w:color w:val="000000"/>
        </w:rPr>
        <w:t>динара</w:t>
      </w:r>
      <w:r w:rsidR="00AC0D08" w:rsidRPr="00390417">
        <w:rPr>
          <w:color w:val="000000"/>
        </w:rPr>
        <w:t xml:space="preserve">, </w:t>
      </w:r>
      <w:r w:rsidRPr="00390417">
        <w:rPr>
          <w:color w:val="000000"/>
        </w:rPr>
        <w:t>исти</w:t>
      </w:r>
      <w:r w:rsidR="00AC0D08" w:rsidRPr="00390417">
        <w:rPr>
          <w:color w:val="000000"/>
        </w:rPr>
        <w:t xml:space="preserve"> </w:t>
      </w:r>
      <w:r w:rsidRPr="00390417">
        <w:rPr>
          <w:color w:val="000000"/>
        </w:rPr>
        <w:t>задржао</w:t>
      </w:r>
      <w:r w:rsidR="00AC0D08" w:rsidRPr="00390417">
        <w:rPr>
          <w:color w:val="000000"/>
        </w:rPr>
        <w:t xml:space="preserve"> </w:t>
      </w:r>
      <w:r w:rsidRPr="00390417">
        <w:rPr>
          <w:color w:val="000000"/>
        </w:rPr>
        <w:t>и</w:t>
      </w:r>
      <w:r w:rsidR="00AC0D08" w:rsidRPr="00390417">
        <w:rPr>
          <w:color w:val="000000"/>
        </w:rPr>
        <w:t xml:space="preserve"> </w:t>
      </w:r>
      <w:r w:rsidRPr="00390417">
        <w:rPr>
          <w:color w:val="000000"/>
        </w:rPr>
        <w:t>искористио</w:t>
      </w:r>
      <w:r w:rsidR="00AC0D08" w:rsidRPr="00390417">
        <w:rPr>
          <w:color w:val="000000"/>
        </w:rPr>
        <w:t xml:space="preserve"> </w:t>
      </w:r>
      <w:r w:rsidRPr="00390417">
        <w:rPr>
          <w:color w:val="000000"/>
        </w:rPr>
        <w:t>за</w:t>
      </w:r>
      <w:r w:rsidR="00AC0D08" w:rsidRPr="00390417">
        <w:rPr>
          <w:color w:val="000000"/>
        </w:rPr>
        <w:t xml:space="preserve"> </w:t>
      </w:r>
      <w:r w:rsidRPr="00390417">
        <w:rPr>
          <w:color w:val="000000"/>
        </w:rPr>
        <w:t>сопствене</w:t>
      </w:r>
      <w:r w:rsidR="00AC0D08" w:rsidRPr="00390417">
        <w:rPr>
          <w:color w:val="000000"/>
        </w:rPr>
        <w:t xml:space="preserve"> </w:t>
      </w:r>
      <w:r w:rsidRPr="00390417">
        <w:rPr>
          <w:color w:val="000000"/>
        </w:rPr>
        <w:t>потребе</w:t>
      </w:r>
      <w:r w:rsidR="00AC0D08" w:rsidRPr="00390417">
        <w:rPr>
          <w:color w:val="000000"/>
        </w:rPr>
        <w:t xml:space="preserve">, </w:t>
      </w:r>
      <w:r w:rsidRPr="00390417">
        <w:rPr>
          <w:color w:val="000000"/>
        </w:rPr>
        <w:t>при</w:t>
      </w:r>
      <w:r w:rsidR="00AC0D08" w:rsidRPr="00390417">
        <w:rPr>
          <w:color w:val="000000"/>
        </w:rPr>
        <w:t xml:space="preserve"> </w:t>
      </w:r>
      <w:r w:rsidRPr="00390417">
        <w:rPr>
          <w:color w:val="000000"/>
        </w:rPr>
        <w:t>чему</w:t>
      </w:r>
      <w:r w:rsidR="00AC0D08" w:rsidRPr="00390417">
        <w:rPr>
          <w:color w:val="000000"/>
        </w:rPr>
        <w:t xml:space="preserve"> </w:t>
      </w:r>
      <w:r w:rsidRPr="00390417">
        <w:rPr>
          <w:color w:val="000000"/>
        </w:rPr>
        <w:t>је</w:t>
      </w:r>
      <w:r w:rsidR="00AC0D08" w:rsidRPr="00390417">
        <w:rPr>
          <w:color w:val="000000"/>
        </w:rPr>
        <w:t xml:space="preserve"> </w:t>
      </w:r>
      <w:r w:rsidRPr="00390417">
        <w:rPr>
          <w:color w:val="000000"/>
        </w:rPr>
        <w:t>износ</w:t>
      </w:r>
      <w:r w:rsidR="00AC0D08" w:rsidRPr="00390417">
        <w:rPr>
          <w:color w:val="000000"/>
        </w:rPr>
        <w:t xml:space="preserve"> </w:t>
      </w:r>
      <w:r w:rsidRPr="00390417">
        <w:rPr>
          <w:color w:val="000000"/>
        </w:rPr>
        <w:t>од</w:t>
      </w:r>
      <w:r w:rsidR="00AC0D08" w:rsidRPr="00390417">
        <w:rPr>
          <w:color w:val="000000"/>
        </w:rPr>
        <w:t xml:space="preserve"> 130.721.298,08 </w:t>
      </w:r>
      <w:r w:rsidRPr="00390417">
        <w:rPr>
          <w:color w:val="000000"/>
        </w:rPr>
        <w:t>динара</w:t>
      </w:r>
      <w:r w:rsidR="00AC0D08" w:rsidRPr="00390417">
        <w:rPr>
          <w:color w:val="000000"/>
        </w:rPr>
        <w:t xml:space="preserve"> </w:t>
      </w:r>
      <w:r w:rsidRPr="00390417">
        <w:rPr>
          <w:color w:val="000000"/>
        </w:rPr>
        <w:t>употребио</w:t>
      </w:r>
      <w:r w:rsidR="00AC0D08" w:rsidRPr="00390417">
        <w:rPr>
          <w:color w:val="000000"/>
        </w:rPr>
        <w:t xml:space="preserve"> </w:t>
      </w:r>
      <w:r w:rsidRPr="00390417">
        <w:rPr>
          <w:color w:val="000000"/>
        </w:rPr>
        <w:t>за</w:t>
      </w:r>
      <w:r w:rsidR="00AC0D08" w:rsidRPr="00390417">
        <w:rPr>
          <w:color w:val="000000"/>
        </w:rPr>
        <w:t xml:space="preserve"> </w:t>
      </w:r>
      <w:r w:rsidRPr="00390417">
        <w:rPr>
          <w:color w:val="000000"/>
        </w:rPr>
        <w:t>куповину</w:t>
      </w:r>
      <w:r w:rsidR="00AC0D08" w:rsidRPr="00390417">
        <w:rPr>
          <w:color w:val="000000"/>
        </w:rPr>
        <w:t xml:space="preserve"> </w:t>
      </w:r>
      <w:r w:rsidRPr="00390417">
        <w:rPr>
          <w:color w:val="000000"/>
        </w:rPr>
        <w:t>девизних</w:t>
      </w:r>
      <w:r w:rsidR="00AC0D08" w:rsidRPr="00390417">
        <w:rPr>
          <w:color w:val="000000"/>
        </w:rPr>
        <w:t xml:space="preserve"> </w:t>
      </w:r>
      <w:r w:rsidRPr="00390417">
        <w:rPr>
          <w:color w:val="000000"/>
        </w:rPr>
        <w:t>средстава</w:t>
      </w:r>
      <w:r w:rsidR="00AC0D08" w:rsidRPr="00390417">
        <w:rPr>
          <w:color w:val="000000"/>
        </w:rPr>
        <w:t xml:space="preserve"> </w:t>
      </w:r>
      <w:r w:rsidRPr="00390417">
        <w:rPr>
          <w:color w:val="000000"/>
        </w:rPr>
        <w:t>а</w:t>
      </w:r>
      <w:r w:rsidR="00AC0D08" w:rsidRPr="00390417">
        <w:rPr>
          <w:color w:val="000000"/>
        </w:rPr>
        <w:t xml:space="preserve"> </w:t>
      </w:r>
      <w:r w:rsidRPr="00390417">
        <w:rPr>
          <w:color w:val="000000"/>
        </w:rPr>
        <w:t>не</w:t>
      </w:r>
      <w:r w:rsidR="00AC0D08" w:rsidRPr="00390417">
        <w:rPr>
          <w:color w:val="000000"/>
        </w:rPr>
        <w:t xml:space="preserve"> </w:t>
      </w:r>
      <w:r w:rsidRPr="00390417">
        <w:rPr>
          <w:color w:val="000000"/>
        </w:rPr>
        <w:t>за</w:t>
      </w:r>
      <w:r w:rsidR="00AC0D08" w:rsidRPr="00390417">
        <w:rPr>
          <w:color w:val="000000"/>
        </w:rPr>
        <w:t xml:space="preserve"> </w:t>
      </w:r>
      <w:r w:rsidRPr="00390417">
        <w:rPr>
          <w:color w:val="000000"/>
        </w:rPr>
        <w:t>обављање</w:t>
      </w:r>
      <w:r w:rsidR="00AC0D08" w:rsidRPr="00390417">
        <w:rPr>
          <w:color w:val="000000"/>
        </w:rPr>
        <w:t xml:space="preserve"> </w:t>
      </w:r>
      <w:r w:rsidRPr="00390417">
        <w:rPr>
          <w:color w:val="000000"/>
        </w:rPr>
        <w:t>делатности</w:t>
      </w:r>
      <w:r w:rsidR="00AC0D08" w:rsidRPr="00390417">
        <w:rPr>
          <w:color w:val="000000"/>
        </w:rPr>
        <w:t xml:space="preserve"> </w:t>
      </w:r>
      <w:r w:rsidRPr="00390417">
        <w:rPr>
          <w:color w:val="000000"/>
        </w:rPr>
        <w:t>привредног</w:t>
      </w:r>
      <w:r w:rsidR="00AC0D08" w:rsidRPr="00390417">
        <w:rPr>
          <w:color w:val="000000"/>
        </w:rPr>
        <w:t xml:space="preserve"> </w:t>
      </w:r>
      <w:r w:rsidRPr="00390417">
        <w:rPr>
          <w:color w:val="000000"/>
        </w:rPr>
        <w:t>друштва</w:t>
      </w:r>
      <w:r w:rsidR="00AC0D08" w:rsidRPr="00390417">
        <w:rPr>
          <w:color w:val="000000"/>
        </w:rPr>
        <w:t xml:space="preserve">, </w:t>
      </w:r>
      <w:r w:rsidRPr="00390417">
        <w:rPr>
          <w:color w:val="000000"/>
        </w:rPr>
        <w:t>без</w:t>
      </w:r>
      <w:r w:rsidR="00AC0D08" w:rsidRPr="00390417">
        <w:rPr>
          <w:color w:val="000000"/>
        </w:rPr>
        <w:t xml:space="preserve"> </w:t>
      </w:r>
      <w:r w:rsidRPr="00390417">
        <w:rPr>
          <w:color w:val="000000"/>
        </w:rPr>
        <w:t>обрачуна</w:t>
      </w:r>
      <w:r w:rsidR="00AC0D08" w:rsidRPr="00390417">
        <w:rPr>
          <w:color w:val="000000"/>
        </w:rPr>
        <w:t xml:space="preserve"> </w:t>
      </w:r>
      <w:r w:rsidRPr="00390417">
        <w:rPr>
          <w:color w:val="000000"/>
        </w:rPr>
        <w:t>и</w:t>
      </w:r>
      <w:r w:rsidR="00AC0D08" w:rsidRPr="00390417">
        <w:rPr>
          <w:color w:val="000000"/>
        </w:rPr>
        <w:t xml:space="preserve"> </w:t>
      </w:r>
      <w:r w:rsidRPr="00390417">
        <w:rPr>
          <w:color w:val="000000"/>
        </w:rPr>
        <w:t>плаћања</w:t>
      </w:r>
      <w:r w:rsidR="00AC0D08" w:rsidRPr="00390417">
        <w:rPr>
          <w:color w:val="000000"/>
        </w:rPr>
        <w:t xml:space="preserve"> </w:t>
      </w:r>
      <w:r w:rsidRPr="00390417">
        <w:rPr>
          <w:color w:val="000000"/>
        </w:rPr>
        <w:t>пореза</w:t>
      </w:r>
      <w:r w:rsidR="00AC0D08" w:rsidRPr="00390417">
        <w:rPr>
          <w:color w:val="000000"/>
        </w:rPr>
        <w:t xml:space="preserve"> </w:t>
      </w:r>
      <w:r w:rsidRPr="00390417">
        <w:rPr>
          <w:color w:val="000000"/>
        </w:rPr>
        <w:t>на</w:t>
      </w:r>
      <w:r w:rsidR="00AC0D08" w:rsidRPr="00390417">
        <w:rPr>
          <w:color w:val="000000"/>
        </w:rPr>
        <w:t xml:space="preserve"> </w:t>
      </w:r>
      <w:r w:rsidRPr="00390417">
        <w:rPr>
          <w:color w:val="000000"/>
        </w:rPr>
        <w:t>приходе</w:t>
      </w:r>
      <w:r w:rsidR="00AC0D08" w:rsidRPr="00390417">
        <w:rPr>
          <w:color w:val="000000"/>
        </w:rPr>
        <w:t xml:space="preserve"> </w:t>
      </w:r>
      <w:r w:rsidRPr="00390417">
        <w:rPr>
          <w:color w:val="000000"/>
        </w:rPr>
        <w:t>од</w:t>
      </w:r>
      <w:r w:rsidR="00AC0D08" w:rsidRPr="00390417">
        <w:rPr>
          <w:color w:val="000000"/>
        </w:rPr>
        <w:t xml:space="preserve"> </w:t>
      </w:r>
      <w:r w:rsidRPr="00390417">
        <w:rPr>
          <w:color w:val="000000"/>
        </w:rPr>
        <w:t>капитала</w:t>
      </w:r>
      <w:r w:rsidR="00AC0D08" w:rsidRPr="00390417">
        <w:rPr>
          <w:color w:val="000000"/>
        </w:rPr>
        <w:t xml:space="preserve"> </w:t>
      </w:r>
      <w:r w:rsidRPr="00390417">
        <w:rPr>
          <w:color w:val="000000"/>
        </w:rPr>
        <w:t>у</w:t>
      </w:r>
      <w:r w:rsidR="00AC0D08" w:rsidRPr="00390417">
        <w:rPr>
          <w:color w:val="000000"/>
        </w:rPr>
        <w:t xml:space="preserve"> </w:t>
      </w:r>
      <w:r w:rsidRPr="00390417">
        <w:rPr>
          <w:color w:val="000000"/>
        </w:rPr>
        <w:t>износу</w:t>
      </w:r>
      <w:r w:rsidR="00AC0D08" w:rsidRPr="00390417">
        <w:rPr>
          <w:color w:val="000000"/>
        </w:rPr>
        <w:t xml:space="preserve"> </w:t>
      </w:r>
      <w:r w:rsidRPr="00390417">
        <w:rPr>
          <w:color w:val="000000"/>
        </w:rPr>
        <w:t>од</w:t>
      </w:r>
      <w:r w:rsidR="00AC0D08" w:rsidRPr="00390417">
        <w:rPr>
          <w:color w:val="000000"/>
        </w:rPr>
        <w:t xml:space="preserve"> 14.524.574,15 </w:t>
      </w:r>
      <w:r w:rsidRPr="00390417">
        <w:rPr>
          <w:color w:val="000000"/>
        </w:rPr>
        <w:t>динара</w:t>
      </w:r>
      <w:r w:rsidR="00AC0D08" w:rsidRPr="00390417">
        <w:rPr>
          <w:color w:val="000000"/>
        </w:rPr>
        <w:t xml:space="preserve">. </w:t>
      </w:r>
      <w:r w:rsidRPr="00390417">
        <w:rPr>
          <w:color w:val="000000"/>
        </w:rPr>
        <w:t>Како</w:t>
      </w:r>
      <w:r w:rsidR="00AC0D08" w:rsidRPr="00390417">
        <w:rPr>
          <w:color w:val="000000"/>
        </w:rPr>
        <w:t xml:space="preserve"> </w:t>
      </w:r>
      <w:r w:rsidRPr="00390417">
        <w:rPr>
          <w:color w:val="000000"/>
        </w:rPr>
        <w:t>је</w:t>
      </w:r>
      <w:r w:rsidR="00AC0D08" w:rsidRPr="00390417">
        <w:rPr>
          <w:color w:val="000000"/>
        </w:rPr>
        <w:t xml:space="preserve"> </w:t>
      </w:r>
      <w:r w:rsidRPr="00390417">
        <w:rPr>
          <w:color w:val="000000"/>
        </w:rPr>
        <w:t>у</w:t>
      </w:r>
      <w:r w:rsidR="00AC0D08" w:rsidRPr="00390417">
        <w:rPr>
          <w:color w:val="000000"/>
        </w:rPr>
        <w:t xml:space="preserve"> </w:t>
      </w:r>
      <w:r w:rsidRPr="00390417">
        <w:rPr>
          <w:color w:val="000000"/>
        </w:rPr>
        <w:t>пословним</w:t>
      </w:r>
      <w:r w:rsidR="00AC0D08" w:rsidRPr="00390417">
        <w:rPr>
          <w:color w:val="000000"/>
        </w:rPr>
        <w:t xml:space="preserve"> </w:t>
      </w:r>
      <w:r w:rsidRPr="00390417">
        <w:rPr>
          <w:color w:val="000000"/>
        </w:rPr>
        <w:t>књигама</w:t>
      </w:r>
      <w:r w:rsidR="00AC0D08" w:rsidRPr="00390417">
        <w:rPr>
          <w:color w:val="000000"/>
        </w:rPr>
        <w:t xml:space="preserve"> </w:t>
      </w:r>
      <w:r w:rsidRPr="00390417">
        <w:rPr>
          <w:color w:val="000000"/>
        </w:rPr>
        <w:t>лажно</w:t>
      </w:r>
      <w:r w:rsidR="00AC0D08" w:rsidRPr="00390417">
        <w:rPr>
          <w:color w:val="000000"/>
        </w:rPr>
        <w:t xml:space="preserve"> </w:t>
      </w:r>
      <w:r w:rsidRPr="00390417">
        <w:rPr>
          <w:color w:val="000000"/>
        </w:rPr>
        <w:t>приказао</w:t>
      </w:r>
      <w:r w:rsidR="00AC0D08" w:rsidRPr="00390417">
        <w:rPr>
          <w:color w:val="000000"/>
        </w:rPr>
        <w:t xml:space="preserve"> </w:t>
      </w:r>
      <w:r w:rsidRPr="00390417">
        <w:rPr>
          <w:color w:val="000000"/>
        </w:rPr>
        <w:t>да</w:t>
      </w:r>
      <w:r w:rsidR="00AC0D08" w:rsidRPr="00390417">
        <w:rPr>
          <w:color w:val="000000"/>
        </w:rPr>
        <w:t xml:space="preserve"> </w:t>
      </w:r>
      <w:r w:rsidRPr="00390417">
        <w:rPr>
          <w:color w:val="000000"/>
        </w:rPr>
        <w:t>је</w:t>
      </w:r>
      <w:r w:rsidR="00AC0D08" w:rsidRPr="00390417">
        <w:rPr>
          <w:color w:val="000000"/>
        </w:rPr>
        <w:t xml:space="preserve"> </w:t>
      </w:r>
      <w:r w:rsidRPr="00390417">
        <w:rPr>
          <w:color w:val="000000"/>
        </w:rPr>
        <w:t>готов</w:t>
      </w:r>
      <w:r w:rsidR="00AC0D08" w:rsidRPr="00390417">
        <w:rPr>
          <w:color w:val="000000"/>
        </w:rPr>
        <w:t xml:space="preserve"> </w:t>
      </w:r>
      <w:r w:rsidRPr="00390417">
        <w:rPr>
          <w:color w:val="000000"/>
        </w:rPr>
        <w:t>новац</w:t>
      </w:r>
      <w:r w:rsidR="00AC0D08" w:rsidRPr="00390417">
        <w:rPr>
          <w:color w:val="000000"/>
        </w:rPr>
        <w:t xml:space="preserve"> </w:t>
      </w:r>
      <w:r w:rsidRPr="00390417">
        <w:rPr>
          <w:color w:val="000000"/>
        </w:rPr>
        <w:t>од</w:t>
      </w:r>
      <w:r w:rsidR="00AC0D08" w:rsidRPr="00390417">
        <w:rPr>
          <w:color w:val="000000"/>
        </w:rPr>
        <w:t xml:space="preserve"> 3.619.000 </w:t>
      </w:r>
      <w:r w:rsidRPr="00390417">
        <w:rPr>
          <w:color w:val="000000"/>
        </w:rPr>
        <w:t>динара</w:t>
      </w:r>
      <w:r w:rsidR="00AC0D08" w:rsidRPr="00390417">
        <w:rPr>
          <w:color w:val="000000"/>
        </w:rPr>
        <w:t xml:space="preserve"> </w:t>
      </w:r>
      <w:r w:rsidRPr="00390417">
        <w:rPr>
          <w:color w:val="000000"/>
        </w:rPr>
        <w:t>исплатио</w:t>
      </w:r>
      <w:r w:rsidR="00AC0D08" w:rsidRPr="00390417">
        <w:rPr>
          <w:color w:val="000000"/>
        </w:rPr>
        <w:t xml:space="preserve"> </w:t>
      </w:r>
      <w:r w:rsidRPr="00390417">
        <w:rPr>
          <w:color w:val="000000"/>
        </w:rPr>
        <w:t>физичким</w:t>
      </w:r>
      <w:r w:rsidR="00AC0D08" w:rsidRPr="00390417">
        <w:rPr>
          <w:color w:val="000000"/>
        </w:rPr>
        <w:t xml:space="preserve"> </w:t>
      </w:r>
      <w:r w:rsidRPr="00390417">
        <w:rPr>
          <w:color w:val="000000"/>
        </w:rPr>
        <w:t>лицима</w:t>
      </w:r>
      <w:r w:rsidR="00AC0D08" w:rsidRPr="00390417">
        <w:rPr>
          <w:color w:val="000000"/>
        </w:rPr>
        <w:t xml:space="preserve"> </w:t>
      </w:r>
      <w:r w:rsidRPr="00390417">
        <w:rPr>
          <w:color w:val="000000"/>
        </w:rPr>
        <w:t>на</w:t>
      </w:r>
      <w:r w:rsidR="00AC0D08" w:rsidRPr="00390417">
        <w:rPr>
          <w:color w:val="000000"/>
        </w:rPr>
        <w:t xml:space="preserve"> </w:t>
      </w:r>
      <w:r w:rsidRPr="00390417">
        <w:rPr>
          <w:color w:val="000000"/>
        </w:rPr>
        <w:t>име</w:t>
      </w:r>
      <w:r w:rsidR="00AC0D08" w:rsidRPr="00390417">
        <w:rPr>
          <w:color w:val="000000"/>
        </w:rPr>
        <w:t xml:space="preserve"> </w:t>
      </w:r>
      <w:r w:rsidRPr="00390417">
        <w:rPr>
          <w:color w:val="000000"/>
        </w:rPr>
        <w:t>наводног</w:t>
      </w:r>
      <w:r w:rsidR="00AC0D08" w:rsidRPr="00390417">
        <w:rPr>
          <w:color w:val="000000"/>
        </w:rPr>
        <w:t xml:space="preserve"> </w:t>
      </w:r>
      <w:r w:rsidRPr="00390417">
        <w:rPr>
          <w:color w:val="000000"/>
        </w:rPr>
        <w:t>откупа</w:t>
      </w:r>
      <w:r w:rsidR="00AC0D08" w:rsidRPr="00390417">
        <w:rPr>
          <w:color w:val="000000"/>
        </w:rPr>
        <w:t xml:space="preserve"> </w:t>
      </w:r>
      <w:r w:rsidRPr="00390417">
        <w:rPr>
          <w:color w:val="000000"/>
        </w:rPr>
        <w:t>пољопривредних</w:t>
      </w:r>
      <w:r w:rsidR="00AC0D08" w:rsidRPr="00390417">
        <w:rPr>
          <w:color w:val="000000"/>
        </w:rPr>
        <w:t xml:space="preserve"> </w:t>
      </w:r>
      <w:r w:rsidRPr="00390417">
        <w:rPr>
          <w:color w:val="000000"/>
        </w:rPr>
        <w:t>производа</w:t>
      </w:r>
      <w:r w:rsidR="00AC0D08" w:rsidRPr="00390417">
        <w:rPr>
          <w:color w:val="000000"/>
        </w:rPr>
        <w:t xml:space="preserve">, </w:t>
      </w:r>
      <w:r w:rsidRPr="00390417">
        <w:rPr>
          <w:color w:val="000000"/>
        </w:rPr>
        <w:t>пријављени</w:t>
      </w:r>
      <w:r w:rsidR="00AC0D08" w:rsidRPr="00390417">
        <w:rPr>
          <w:color w:val="000000"/>
        </w:rPr>
        <w:t xml:space="preserve"> </w:t>
      </w:r>
      <w:r w:rsidRPr="00390417">
        <w:rPr>
          <w:color w:val="000000"/>
        </w:rPr>
        <w:t>је</w:t>
      </w:r>
      <w:r w:rsidR="00AC0D08" w:rsidRPr="00390417">
        <w:rPr>
          <w:color w:val="000000"/>
        </w:rPr>
        <w:t xml:space="preserve"> </w:t>
      </w:r>
      <w:r w:rsidRPr="00390417">
        <w:rPr>
          <w:color w:val="000000"/>
        </w:rPr>
        <w:t>избегао</w:t>
      </w:r>
      <w:r w:rsidR="00AC0D08" w:rsidRPr="00390417">
        <w:rPr>
          <w:color w:val="000000"/>
        </w:rPr>
        <w:t xml:space="preserve"> </w:t>
      </w:r>
      <w:r w:rsidRPr="00390417">
        <w:rPr>
          <w:color w:val="000000"/>
        </w:rPr>
        <w:t>и</w:t>
      </w:r>
      <w:r w:rsidR="00AC0D08" w:rsidRPr="00390417">
        <w:rPr>
          <w:color w:val="000000"/>
        </w:rPr>
        <w:t xml:space="preserve"> </w:t>
      </w:r>
      <w:r w:rsidRPr="00390417">
        <w:rPr>
          <w:color w:val="000000"/>
        </w:rPr>
        <w:t>обавезу</w:t>
      </w:r>
      <w:r w:rsidR="00AC0D08" w:rsidRPr="00390417">
        <w:rPr>
          <w:color w:val="000000"/>
        </w:rPr>
        <w:t xml:space="preserve"> </w:t>
      </w:r>
      <w:r w:rsidRPr="00390417">
        <w:rPr>
          <w:color w:val="000000"/>
        </w:rPr>
        <w:t>за</w:t>
      </w:r>
      <w:r w:rsidR="00AC0D08" w:rsidRPr="00390417">
        <w:rPr>
          <w:color w:val="000000"/>
        </w:rPr>
        <w:t xml:space="preserve"> </w:t>
      </w:r>
      <w:r w:rsidRPr="00390417">
        <w:rPr>
          <w:color w:val="000000"/>
        </w:rPr>
        <w:t>обрачун</w:t>
      </w:r>
      <w:r w:rsidR="00AC0D08" w:rsidRPr="00390417">
        <w:rPr>
          <w:color w:val="000000"/>
        </w:rPr>
        <w:t xml:space="preserve"> </w:t>
      </w:r>
      <w:r w:rsidRPr="00390417">
        <w:rPr>
          <w:color w:val="000000"/>
        </w:rPr>
        <w:t>и</w:t>
      </w:r>
      <w:r w:rsidR="00AC0D08" w:rsidRPr="00390417">
        <w:rPr>
          <w:color w:val="000000"/>
        </w:rPr>
        <w:t xml:space="preserve"> </w:t>
      </w:r>
      <w:r w:rsidRPr="00390417">
        <w:rPr>
          <w:color w:val="000000"/>
        </w:rPr>
        <w:t>плаћање</w:t>
      </w:r>
      <w:r w:rsidR="00AC0D08" w:rsidRPr="00390417">
        <w:rPr>
          <w:color w:val="000000"/>
        </w:rPr>
        <w:t xml:space="preserve"> </w:t>
      </w:r>
      <w:r w:rsidRPr="00390417">
        <w:rPr>
          <w:color w:val="000000"/>
        </w:rPr>
        <w:t>пореза</w:t>
      </w:r>
      <w:r w:rsidR="00AC0D08" w:rsidRPr="00390417">
        <w:rPr>
          <w:color w:val="000000"/>
        </w:rPr>
        <w:t xml:space="preserve"> </w:t>
      </w:r>
      <w:r w:rsidRPr="00390417">
        <w:rPr>
          <w:color w:val="000000"/>
        </w:rPr>
        <w:t>на</w:t>
      </w:r>
      <w:r w:rsidR="00AC0D08" w:rsidRPr="00390417">
        <w:rPr>
          <w:color w:val="000000"/>
        </w:rPr>
        <w:t xml:space="preserve"> </w:t>
      </w:r>
      <w:r w:rsidRPr="00390417">
        <w:rPr>
          <w:color w:val="000000"/>
        </w:rPr>
        <w:t>остале</w:t>
      </w:r>
      <w:r w:rsidR="00AC0D08" w:rsidRPr="00390417">
        <w:rPr>
          <w:color w:val="000000"/>
        </w:rPr>
        <w:t xml:space="preserve"> </w:t>
      </w:r>
      <w:r w:rsidRPr="00390417">
        <w:rPr>
          <w:color w:val="000000"/>
        </w:rPr>
        <w:t>приходе</w:t>
      </w:r>
      <w:r w:rsidR="00AC0D08" w:rsidRPr="00390417">
        <w:rPr>
          <w:color w:val="000000"/>
        </w:rPr>
        <w:t xml:space="preserve"> </w:t>
      </w:r>
      <w:r w:rsidRPr="00390417">
        <w:rPr>
          <w:color w:val="000000"/>
        </w:rPr>
        <w:t>у</w:t>
      </w:r>
      <w:r w:rsidR="00AC0D08" w:rsidRPr="00390417">
        <w:rPr>
          <w:color w:val="000000"/>
        </w:rPr>
        <w:t xml:space="preserve"> </w:t>
      </w:r>
      <w:r w:rsidRPr="00390417">
        <w:rPr>
          <w:color w:val="000000"/>
        </w:rPr>
        <w:t>износу</w:t>
      </w:r>
      <w:r w:rsidR="00AC0D08" w:rsidRPr="00390417">
        <w:rPr>
          <w:color w:val="000000"/>
        </w:rPr>
        <w:t xml:space="preserve"> </w:t>
      </w:r>
      <w:r w:rsidRPr="00390417">
        <w:rPr>
          <w:color w:val="000000"/>
        </w:rPr>
        <w:t>од</w:t>
      </w:r>
      <w:r w:rsidR="00AC0D08" w:rsidRPr="00390417">
        <w:rPr>
          <w:color w:val="000000"/>
        </w:rPr>
        <w:t xml:space="preserve"> 689.333,23 </w:t>
      </w:r>
      <w:r w:rsidRPr="00390417">
        <w:rPr>
          <w:color w:val="000000"/>
        </w:rPr>
        <w:t>динара</w:t>
      </w:r>
      <w:r w:rsidR="00AC0D08" w:rsidRPr="00390417">
        <w:rPr>
          <w:color w:val="000000"/>
        </w:rPr>
        <w:t xml:space="preserve">. </w:t>
      </w:r>
      <w:r w:rsidRPr="00390417">
        <w:rPr>
          <w:color w:val="000000"/>
        </w:rPr>
        <w:t>У</w:t>
      </w:r>
      <w:r w:rsidR="00AC0D08" w:rsidRPr="00390417">
        <w:rPr>
          <w:color w:val="000000"/>
        </w:rPr>
        <w:t xml:space="preserve"> </w:t>
      </w:r>
      <w:r w:rsidRPr="00390417">
        <w:rPr>
          <w:color w:val="000000"/>
        </w:rPr>
        <w:t>пореском</w:t>
      </w:r>
      <w:r w:rsidR="00AC0D08" w:rsidRPr="00390417">
        <w:rPr>
          <w:color w:val="000000"/>
        </w:rPr>
        <w:t xml:space="preserve"> </w:t>
      </w:r>
      <w:r w:rsidRPr="00390417">
        <w:rPr>
          <w:color w:val="000000"/>
        </w:rPr>
        <w:t>билансу</w:t>
      </w:r>
      <w:r w:rsidR="00AC0D08" w:rsidRPr="00390417">
        <w:rPr>
          <w:color w:val="000000"/>
        </w:rPr>
        <w:t xml:space="preserve"> </w:t>
      </w:r>
      <w:r w:rsidRPr="00390417">
        <w:rPr>
          <w:color w:val="000000"/>
        </w:rPr>
        <w:t>за</w:t>
      </w:r>
      <w:r w:rsidR="00AC0D08" w:rsidRPr="00390417">
        <w:rPr>
          <w:color w:val="000000"/>
        </w:rPr>
        <w:t xml:space="preserve"> 2010. </w:t>
      </w:r>
      <w:r w:rsidRPr="00390417">
        <w:rPr>
          <w:color w:val="000000"/>
        </w:rPr>
        <w:t>годину</w:t>
      </w:r>
      <w:r w:rsidR="00AC0D08" w:rsidRPr="00390417">
        <w:rPr>
          <w:color w:val="000000"/>
        </w:rPr>
        <w:t xml:space="preserve"> </w:t>
      </w:r>
      <w:r w:rsidRPr="00390417">
        <w:rPr>
          <w:color w:val="000000"/>
        </w:rPr>
        <w:t>Р</w:t>
      </w:r>
      <w:r w:rsidR="00AC0D08" w:rsidRPr="00390417">
        <w:rPr>
          <w:color w:val="000000"/>
        </w:rPr>
        <w:t>.</w:t>
      </w:r>
      <w:r w:rsidRPr="00390417">
        <w:rPr>
          <w:color w:val="000000"/>
        </w:rPr>
        <w:t>Ј</w:t>
      </w:r>
      <w:r w:rsidR="00AC0D08" w:rsidRPr="00390417">
        <w:rPr>
          <w:color w:val="000000"/>
        </w:rPr>
        <w:t xml:space="preserve">. </w:t>
      </w:r>
      <w:r w:rsidRPr="00390417">
        <w:rPr>
          <w:color w:val="000000"/>
        </w:rPr>
        <w:t>је</w:t>
      </w:r>
      <w:r w:rsidR="00AC0D08" w:rsidRPr="00390417">
        <w:rPr>
          <w:color w:val="000000"/>
        </w:rPr>
        <w:t xml:space="preserve"> </w:t>
      </w:r>
      <w:r w:rsidRPr="00390417">
        <w:rPr>
          <w:color w:val="000000"/>
        </w:rPr>
        <w:t>на</w:t>
      </w:r>
      <w:r w:rsidR="00AC0D08" w:rsidRPr="00390417">
        <w:rPr>
          <w:color w:val="000000"/>
        </w:rPr>
        <w:t xml:space="preserve"> </w:t>
      </w:r>
      <w:r w:rsidRPr="00390417">
        <w:rPr>
          <w:color w:val="000000"/>
        </w:rPr>
        <w:t>основу</w:t>
      </w:r>
      <w:r w:rsidR="00AC0D08" w:rsidRPr="00390417">
        <w:rPr>
          <w:color w:val="000000"/>
        </w:rPr>
        <w:t xml:space="preserve"> </w:t>
      </w:r>
      <w:r w:rsidRPr="00390417">
        <w:rPr>
          <w:color w:val="000000"/>
        </w:rPr>
        <w:t>лажно</w:t>
      </w:r>
      <w:r w:rsidR="00AC0D08" w:rsidRPr="00390417">
        <w:rPr>
          <w:color w:val="000000"/>
        </w:rPr>
        <w:t xml:space="preserve"> </w:t>
      </w:r>
      <w:r w:rsidRPr="00390417">
        <w:rPr>
          <w:color w:val="000000"/>
        </w:rPr>
        <w:t>прибављених</w:t>
      </w:r>
      <w:r w:rsidR="00AC0D08" w:rsidRPr="00390417">
        <w:rPr>
          <w:color w:val="000000"/>
        </w:rPr>
        <w:t xml:space="preserve"> </w:t>
      </w:r>
      <w:r w:rsidRPr="00390417">
        <w:rPr>
          <w:color w:val="000000"/>
        </w:rPr>
        <w:t>и</w:t>
      </w:r>
      <w:r w:rsidR="00AC0D08" w:rsidRPr="00390417">
        <w:rPr>
          <w:color w:val="000000"/>
        </w:rPr>
        <w:t xml:space="preserve"> </w:t>
      </w:r>
      <w:r w:rsidRPr="00390417">
        <w:rPr>
          <w:color w:val="000000"/>
        </w:rPr>
        <w:t>евидентираних</w:t>
      </w:r>
      <w:r w:rsidR="00AC0D08" w:rsidRPr="00390417">
        <w:rPr>
          <w:color w:val="000000"/>
        </w:rPr>
        <w:t xml:space="preserve"> </w:t>
      </w:r>
      <w:r w:rsidRPr="00390417">
        <w:rPr>
          <w:color w:val="000000"/>
        </w:rPr>
        <w:t>улазних</w:t>
      </w:r>
      <w:r w:rsidR="00AC0D08" w:rsidRPr="00390417">
        <w:rPr>
          <w:color w:val="000000"/>
        </w:rPr>
        <w:t xml:space="preserve"> </w:t>
      </w:r>
      <w:r w:rsidRPr="00390417">
        <w:rPr>
          <w:color w:val="000000"/>
        </w:rPr>
        <w:t>рачуна</w:t>
      </w:r>
      <w:r w:rsidR="00AC0D08" w:rsidRPr="00390417">
        <w:rPr>
          <w:color w:val="000000"/>
        </w:rPr>
        <w:t xml:space="preserve">, </w:t>
      </w:r>
      <w:r w:rsidRPr="00390417">
        <w:rPr>
          <w:color w:val="000000"/>
        </w:rPr>
        <w:t>умањио</w:t>
      </w:r>
      <w:r w:rsidR="00AC0D08" w:rsidRPr="00390417">
        <w:rPr>
          <w:color w:val="000000"/>
        </w:rPr>
        <w:t xml:space="preserve"> </w:t>
      </w:r>
      <w:r w:rsidRPr="00390417">
        <w:rPr>
          <w:color w:val="000000"/>
        </w:rPr>
        <w:t>основицу</w:t>
      </w:r>
      <w:r w:rsidR="00AC0D08" w:rsidRPr="00390417">
        <w:rPr>
          <w:color w:val="000000"/>
        </w:rPr>
        <w:t xml:space="preserve"> </w:t>
      </w:r>
      <w:r w:rsidRPr="00390417">
        <w:rPr>
          <w:color w:val="000000"/>
        </w:rPr>
        <w:t>за</w:t>
      </w:r>
      <w:r w:rsidR="00AC0D08" w:rsidRPr="00390417">
        <w:rPr>
          <w:color w:val="000000"/>
        </w:rPr>
        <w:t xml:space="preserve"> </w:t>
      </w:r>
      <w:r w:rsidRPr="00390417">
        <w:rPr>
          <w:color w:val="000000"/>
        </w:rPr>
        <w:t>обрачун</w:t>
      </w:r>
      <w:r w:rsidR="00AC0D08" w:rsidRPr="00390417">
        <w:rPr>
          <w:color w:val="000000"/>
        </w:rPr>
        <w:t xml:space="preserve"> </w:t>
      </w:r>
      <w:r w:rsidRPr="00390417">
        <w:rPr>
          <w:color w:val="000000"/>
        </w:rPr>
        <w:t>пореза</w:t>
      </w:r>
      <w:r w:rsidR="00AC0D08" w:rsidRPr="00390417">
        <w:rPr>
          <w:color w:val="000000"/>
        </w:rPr>
        <w:t xml:space="preserve">, </w:t>
      </w:r>
      <w:r w:rsidRPr="00390417">
        <w:rPr>
          <w:color w:val="000000"/>
        </w:rPr>
        <w:t>па</w:t>
      </w:r>
      <w:r w:rsidR="00AC0D08" w:rsidRPr="00390417">
        <w:rPr>
          <w:color w:val="000000"/>
        </w:rPr>
        <w:t xml:space="preserve"> </w:t>
      </w:r>
      <w:r w:rsidRPr="00390417">
        <w:rPr>
          <w:color w:val="000000"/>
        </w:rPr>
        <w:t>је</w:t>
      </w:r>
      <w:r w:rsidR="00AC0D08" w:rsidRPr="00390417">
        <w:rPr>
          <w:color w:val="000000"/>
        </w:rPr>
        <w:t xml:space="preserve"> </w:t>
      </w:r>
      <w:r w:rsidRPr="00390417">
        <w:rPr>
          <w:color w:val="000000"/>
        </w:rPr>
        <w:t>на</w:t>
      </w:r>
      <w:r w:rsidR="00AC0D08" w:rsidRPr="00390417">
        <w:rPr>
          <w:color w:val="000000"/>
        </w:rPr>
        <w:t xml:space="preserve"> </w:t>
      </w:r>
      <w:r w:rsidRPr="00390417">
        <w:rPr>
          <w:color w:val="000000"/>
        </w:rPr>
        <w:t>овај</w:t>
      </w:r>
      <w:r w:rsidR="00AC0D08" w:rsidRPr="00390417">
        <w:rPr>
          <w:color w:val="000000"/>
        </w:rPr>
        <w:t xml:space="preserve"> </w:t>
      </w:r>
      <w:r w:rsidRPr="00390417">
        <w:rPr>
          <w:color w:val="000000"/>
        </w:rPr>
        <w:t>начин</w:t>
      </w:r>
      <w:r w:rsidR="00AC0D08" w:rsidRPr="00390417">
        <w:rPr>
          <w:color w:val="000000"/>
        </w:rPr>
        <w:t xml:space="preserve"> </w:t>
      </w:r>
      <w:r w:rsidRPr="00390417">
        <w:rPr>
          <w:color w:val="000000"/>
        </w:rPr>
        <w:t>избегао</w:t>
      </w:r>
      <w:r w:rsidR="00AC0D08" w:rsidRPr="00390417">
        <w:rPr>
          <w:color w:val="000000"/>
        </w:rPr>
        <w:t xml:space="preserve"> </w:t>
      </w:r>
      <w:r w:rsidRPr="00390417">
        <w:rPr>
          <w:color w:val="000000"/>
        </w:rPr>
        <w:t>да</w:t>
      </w:r>
      <w:r w:rsidR="00AC0D08" w:rsidRPr="00390417">
        <w:rPr>
          <w:color w:val="000000"/>
        </w:rPr>
        <w:t xml:space="preserve"> </w:t>
      </w:r>
      <w:r w:rsidRPr="00390417">
        <w:rPr>
          <w:color w:val="000000"/>
        </w:rPr>
        <w:t>обрачуна</w:t>
      </w:r>
      <w:r w:rsidR="00AC0D08" w:rsidRPr="00390417">
        <w:rPr>
          <w:color w:val="000000"/>
        </w:rPr>
        <w:t xml:space="preserve"> </w:t>
      </w:r>
      <w:r w:rsidRPr="00390417">
        <w:rPr>
          <w:color w:val="000000"/>
        </w:rPr>
        <w:t>и</w:t>
      </w:r>
      <w:r w:rsidR="00AC0D08" w:rsidRPr="00390417">
        <w:rPr>
          <w:color w:val="000000"/>
        </w:rPr>
        <w:t xml:space="preserve"> </w:t>
      </w:r>
      <w:r w:rsidRPr="00390417">
        <w:rPr>
          <w:color w:val="000000"/>
        </w:rPr>
        <w:t>плати</w:t>
      </w:r>
      <w:r w:rsidR="00AC0D08" w:rsidRPr="00390417">
        <w:rPr>
          <w:color w:val="000000"/>
        </w:rPr>
        <w:t xml:space="preserve"> </w:t>
      </w:r>
      <w:r w:rsidRPr="00390417">
        <w:rPr>
          <w:color w:val="000000"/>
        </w:rPr>
        <w:t>порез</w:t>
      </w:r>
      <w:r w:rsidR="00AC0D08" w:rsidRPr="00390417">
        <w:rPr>
          <w:color w:val="000000"/>
        </w:rPr>
        <w:t xml:space="preserve"> </w:t>
      </w:r>
      <w:r w:rsidRPr="00390417">
        <w:rPr>
          <w:color w:val="000000"/>
        </w:rPr>
        <w:t>на</w:t>
      </w:r>
      <w:r w:rsidR="00AC0D08" w:rsidRPr="00390417">
        <w:rPr>
          <w:color w:val="000000"/>
        </w:rPr>
        <w:t xml:space="preserve"> </w:t>
      </w:r>
      <w:r w:rsidRPr="00390417">
        <w:rPr>
          <w:color w:val="000000"/>
        </w:rPr>
        <w:t>добит</w:t>
      </w:r>
      <w:r w:rsidR="00AC0D08" w:rsidRPr="00390417">
        <w:rPr>
          <w:color w:val="000000"/>
        </w:rPr>
        <w:t xml:space="preserve"> </w:t>
      </w:r>
      <w:r w:rsidRPr="00390417">
        <w:rPr>
          <w:color w:val="000000"/>
        </w:rPr>
        <w:t>у</w:t>
      </w:r>
      <w:r w:rsidR="00AC0D08" w:rsidRPr="00390417">
        <w:rPr>
          <w:color w:val="000000"/>
        </w:rPr>
        <w:t xml:space="preserve"> </w:t>
      </w:r>
      <w:r w:rsidRPr="00390417">
        <w:rPr>
          <w:color w:val="000000"/>
        </w:rPr>
        <w:t>укупном</w:t>
      </w:r>
      <w:r w:rsidR="00AC0D08" w:rsidRPr="00390417">
        <w:rPr>
          <w:color w:val="000000"/>
        </w:rPr>
        <w:t xml:space="preserve"> </w:t>
      </w:r>
      <w:r w:rsidRPr="00390417">
        <w:rPr>
          <w:color w:val="000000"/>
        </w:rPr>
        <w:t>износу</w:t>
      </w:r>
      <w:r w:rsidR="00AC0D08" w:rsidRPr="00390417">
        <w:rPr>
          <w:color w:val="000000"/>
        </w:rPr>
        <w:t xml:space="preserve"> </w:t>
      </w:r>
      <w:r w:rsidRPr="00390417">
        <w:rPr>
          <w:color w:val="000000"/>
        </w:rPr>
        <w:t>од</w:t>
      </w:r>
      <w:r w:rsidR="00AC0D08" w:rsidRPr="00390417">
        <w:rPr>
          <w:color w:val="000000"/>
        </w:rPr>
        <w:t xml:space="preserve"> 2.014.965,65 </w:t>
      </w:r>
      <w:r w:rsidRPr="00390417">
        <w:rPr>
          <w:color w:val="000000"/>
        </w:rPr>
        <w:t>динара</w:t>
      </w:r>
      <w:r w:rsidR="00AC0D08" w:rsidRPr="00390417">
        <w:rPr>
          <w:color w:val="000000"/>
        </w:rPr>
        <w:t>.</w:t>
      </w:r>
    </w:p>
    <w:p w:rsidR="00AC0D08" w:rsidRPr="00390417" w:rsidRDefault="00C5614B" w:rsidP="00390417">
      <w:pPr>
        <w:pStyle w:val="normal0"/>
        <w:shd w:val="clear" w:color="auto" w:fill="FFFFFF"/>
        <w:spacing w:before="48" w:beforeAutospacing="0" w:after="48" w:afterAutospacing="0"/>
        <w:jc w:val="both"/>
        <w:rPr>
          <w:color w:val="000000"/>
        </w:rPr>
      </w:pPr>
      <w:r w:rsidRPr="00390417">
        <w:rPr>
          <w:color w:val="000000"/>
        </w:rPr>
        <w:t>Кривично</w:t>
      </w:r>
      <w:r w:rsidR="00AC0D08" w:rsidRPr="00390417">
        <w:rPr>
          <w:color w:val="000000"/>
        </w:rPr>
        <w:t xml:space="preserve"> </w:t>
      </w:r>
      <w:r w:rsidRPr="00390417">
        <w:rPr>
          <w:color w:val="000000"/>
        </w:rPr>
        <w:t>дело</w:t>
      </w:r>
      <w:r w:rsidR="00AC0D08" w:rsidRPr="00390417">
        <w:rPr>
          <w:color w:val="000000"/>
        </w:rPr>
        <w:t xml:space="preserve"> </w:t>
      </w:r>
      <w:r w:rsidRPr="00390417">
        <w:rPr>
          <w:color w:val="000000"/>
        </w:rPr>
        <w:t>Фалсификовање</w:t>
      </w:r>
      <w:r w:rsidR="00AC0D08" w:rsidRPr="00390417">
        <w:rPr>
          <w:color w:val="000000"/>
        </w:rPr>
        <w:t xml:space="preserve"> </w:t>
      </w:r>
      <w:r w:rsidRPr="00390417">
        <w:rPr>
          <w:color w:val="000000"/>
        </w:rPr>
        <w:t>службене</w:t>
      </w:r>
      <w:r w:rsidR="00AC0D08" w:rsidRPr="00390417">
        <w:rPr>
          <w:color w:val="000000"/>
        </w:rPr>
        <w:t xml:space="preserve"> </w:t>
      </w:r>
      <w:r w:rsidRPr="00390417">
        <w:rPr>
          <w:color w:val="000000"/>
        </w:rPr>
        <w:t>исправе</w:t>
      </w:r>
      <w:r w:rsidR="00AC0D08" w:rsidRPr="00390417">
        <w:rPr>
          <w:color w:val="000000"/>
        </w:rPr>
        <w:t xml:space="preserve"> </w:t>
      </w:r>
      <w:r w:rsidRPr="00390417">
        <w:rPr>
          <w:color w:val="000000"/>
        </w:rPr>
        <w:t>пријављени</w:t>
      </w:r>
      <w:r w:rsidR="00AC0D08" w:rsidRPr="00390417">
        <w:rPr>
          <w:color w:val="000000"/>
        </w:rPr>
        <w:t xml:space="preserve"> </w:t>
      </w:r>
      <w:r w:rsidRPr="00390417">
        <w:rPr>
          <w:color w:val="000000"/>
        </w:rPr>
        <w:t>је</w:t>
      </w:r>
      <w:r w:rsidR="00AC0D08" w:rsidRPr="00390417">
        <w:rPr>
          <w:color w:val="000000"/>
        </w:rPr>
        <w:t xml:space="preserve"> </w:t>
      </w:r>
      <w:r w:rsidRPr="00390417">
        <w:rPr>
          <w:color w:val="000000"/>
        </w:rPr>
        <w:t>извршио</w:t>
      </w:r>
      <w:r w:rsidR="00AC0D08" w:rsidRPr="00390417">
        <w:rPr>
          <w:color w:val="000000"/>
        </w:rPr>
        <w:t xml:space="preserve"> </w:t>
      </w:r>
      <w:r w:rsidRPr="00390417">
        <w:rPr>
          <w:color w:val="000000"/>
        </w:rPr>
        <w:t>на</w:t>
      </w:r>
      <w:r w:rsidR="00AC0D08" w:rsidRPr="00390417">
        <w:rPr>
          <w:color w:val="000000"/>
        </w:rPr>
        <w:t xml:space="preserve"> </w:t>
      </w:r>
      <w:r w:rsidRPr="00390417">
        <w:rPr>
          <w:color w:val="000000"/>
        </w:rPr>
        <w:t>тај</w:t>
      </w:r>
      <w:r w:rsidR="00AC0D08" w:rsidRPr="00390417">
        <w:rPr>
          <w:color w:val="000000"/>
        </w:rPr>
        <w:t xml:space="preserve"> </w:t>
      </w:r>
      <w:r w:rsidRPr="00390417">
        <w:rPr>
          <w:color w:val="000000"/>
        </w:rPr>
        <w:t>начин</w:t>
      </w:r>
      <w:r w:rsidR="00AC0D08" w:rsidRPr="00390417">
        <w:rPr>
          <w:color w:val="000000"/>
        </w:rPr>
        <w:t xml:space="preserve"> </w:t>
      </w:r>
      <w:r w:rsidRPr="00390417">
        <w:rPr>
          <w:color w:val="000000"/>
        </w:rPr>
        <w:t>што</w:t>
      </w:r>
      <w:r w:rsidR="00AC0D08" w:rsidRPr="00390417">
        <w:rPr>
          <w:color w:val="000000"/>
        </w:rPr>
        <w:t xml:space="preserve"> </w:t>
      </w:r>
      <w:r w:rsidRPr="00390417">
        <w:rPr>
          <w:color w:val="000000"/>
        </w:rPr>
        <w:t>је</w:t>
      </w:r>
      <w:r w:rsidR="00AC0D08" w:rsidRPr="00390417">
        <w:rPr>
          <w:color w:val="000000"/>
        </w:rPr>
        <w:t xml:space="preserve"> </w:t>
      </w:r>
      <w:r w:rsidRPr="00390417">
        <w:rPr>
          <w:color w:val="000000"/>
        </w:rPr>
        <w:t>сачинио</w:t>
      </w:r>
      <w:r w:rsidR="00AC0D08" w:rsidRPr="00390417">
        <w:rPr>
          <w:color w:val="000000"/>
        </w:rPr>
        <w:t xml:space="preserve">, </w:t>
      </w:r>
      <w:r w:rsidRPr="00390417">
        <w:rPr>
          <w:color w:val="000000"/>
        </w:rPr>
        <w:t>својим</w:t>
      </w:r>
      <w:r w:rsidR="00AC0D08" w:rsidRPr="00390417">
        <w:rPr>
          <w:color w:val="000000"/>
        </w:rPr>
        <w:t xml:space="preserve"> </w:t>
      </w:r>
      <w:r w:rsidRPr="00390417">
        <w:rPr>
          <w:color w:val="000000"/>
        </w:rPr>
        <w:t>потписом</w:t>
      </w:r>
      <w:r w:rsidR="00AC0D08" w:rsidRPr="00390417">
        <w:rPr>
          <w:color w:val="000000"/>
        </w:rPr>
        <w:t xml:space="preserve"> </w:t>
      </w:r>
      <w:r w:rsidRPr="00390417">
        <w:rPr>
          <w:color w:val="000000"/>
        </w:rPr>
        <w:t>и</w:t>
      </w:r>
      <w:r w:rsidR="00AC0D08" w:rsidRPr="00390417">
        <w:rPr>
          <w:color w:val="000000"/>
        </w:rPr>
        <w:t xml:space="preserve"> </w:t>
      </w:r>
      <w:r w:rsidRPr="00390417">
        <w:rPr>
          <w:color w:val="000000"/>
        </w:rPr>
        <w:t>печатом</w:t>
      </w:r>
      <w:r w:rsidR="00AC0D08" w:rsidRPr="00390417">
        <w:rPr>
          <w:color w:val="000000"/>
        </w:rPr>
        <w:t xml:space="preserve"> </w:t>
      </w:r>
      <w:r w:rsidRPr="00390417">
        <w:rPr>
          <w:color w:val="000000"/>
        </w:rPr>
        <w:t>оверио</w:t>
      </w:r>
      <w:r w:rsidR="00AC0D08" w:rsidRPr="00390417">
        <w:rPr>
          <w:color w:val="000000"/>
        </w:rPr>
        <w:t xml:space="preserve"> </w:t>
      </w:r>
      <w:r w:rsidRPr="00390417">
        <w:rPr>
          <w:color w:val="000000"/>
        </w:rPr>
        <w:t>ПДВ</w:t>
      </w:r>
      <w:r w:rsidR="00AC0D08" w:rsidRPr="00390417">
        <w:rPr>
          <w:color w:val="000000"/>
        </w:rPr>
        <w:t xml:space="preserve"> </w:t>
      </w:r>
      <w:r w:rsidRPr="00390417">
        <w:rPr>
          <w:color w:val="000000"/>
        </w:rPr>
        <w:t>пријаву</w:t>
      </w:r>
      <w:r w:rsidR="00AC0D08" w:rsidRPr="00390417">
        <w:rPr>
          <w:color w:val="000000"/>
        </w:rPr>
        <w:t xml:space="preserve"> </w:t>
      </w:r>
      <w:r w:rsidRPr="00390417">
        <w:rPr>
          <w:color w:val="000000"/>
        </w:rPr>
        <w:t>неистинитог</w:t>
      </w:r>
      <w:r w:rsidR="00AC0D08" w:rsidRPr="00390417">
        <w:rPr>
          <w:color w:val="000000"/>
        </w:rPr>
        <w:t xml:space="preserve"> </w:t>
      </w:r>
      <w:r w:rsidRPr="00390417">
        <w:rPr>
          <w:color w:val="000000"/>
        </w:rPr>
        <w:t>садржаја</w:t>
      </w:r>
      <w:r w:rsidR="00AC0D08" w:rsidRPr="00390417">
        <w:rPr>
          <w:color w:val="000000"/>
        </w:rPr>
        <w:t>.</w:t>
      </w:r>
    </w:p>
    <w:p w:rsidR="00AC0D08" w:rsidRPr="00390417" w:rsidRDefault="00C5614B" w:rsidP="00390417">
      <w:pPr>
        <w:pStyle w:val="normal0"/>
        <w:shd w:val="clear" w:color="auto" w:fill="FFFFFF"/>
        <w:spacing w:before="48" w:beforeAutospacing="0" w:after="48" w:afterAutospacing="0"/>
        <w:jc w:val="both"/>
        <w:rPr>
          <w:color w:val="000000"/>
        </w:rPr>
      </w:pPr>
      <w:r w:rsidRPr="00390417">
        <w:rPr>
          <w:color w:val="000000"/>
        </w:rPr>
        <w:t>Поменутим</w:t>
      </w:r>
      <w:r w:rsidR="00AC0D08" w:rsidRPr="00390417">
        <w:rPr>
          <w:color w:val="000000"/>
        </w:rPr>
        <w:t xml:space="preserve"> </w:t>
      </w:r>
      <w:r w:rsidRPr="00390417">
        <w:rPr>
          <w:color w:val="000000"/>
        </w:rPr>
        <w:t>радњама</w:t>
      </w:r>
      <w:r w:rsidR="00AC0D08" w:rsidRPr="00390417">
        <w:rPr>
          <w:color w:val="000000"/>
        </w:rPr>
        <w:t xml:space="preserve"> </w:t>
      </w:r>
      <w:r w:rsidRPr="00390417">
        <w:rPr>
          <w:color w:val="000000"/>
        </w:rPr>
        <w:t>пријављени</w:t>
      </w:r>
      <w:r w:rsidR="00AC0D08" w:rsidRPr="00390417">
        <w:rPr>
          <w:color w:val="000000"/>
        </w:rPr>
        <w:t xml:space="preserve"> </w:t>
      </w:r>
      <w:r w:rsidRPr="00390417">
        <w:rPr>
          <w:color w:val="000000"/>
        </w:rPr>
        <w:t>је</w:t>
      </w:r>
      <w:r w:rsidR="00AC0D08" w:rsidRPr="00390417">
        <w:rPr>
          <w:color w:val="000000"/>
        </w:rPr>
        <w:t xml:space="preserve"> </w:t>
      </w:r>
      <w:r w:rsidRPr="00390417">
        <w:rPr>
          <w:color w:val="000000"/>
        </w:rPr>
        <w:t>оштетио</w:t>
      </w:r>
      <w:r w:rsidR="00AC0D08" w:rsidRPr="00390417">
        <w:rPr>
          <w:color w:val="000000"/>
        </w:rPr>
        <w:t xml:space="preserve"> </w:t>
      </w:r>
      <w:r w:rsidRPr="00390417">
        <w:rPr>
          <w:color w:val="000000"/>
        </w:rPr>
        <w:t>буџет</w:t>
      </w:r>
      <w:r w:rsidR="00AC0D08" w:rsidRPr="00390417">
        <w:rPr>
          <w:color w:val="000000"/>
        </w:rPr>
        <w:t xml:space="preserve"> </w:t>
      </w:r>
      <w:r w:rsidRPr="00390417">
        <w:rPr>
          <w:color w:val="000000"/>
        </w:rPr>
        <w:t>Републике</w:t>
      </w:r>
      <w:r w:rsidR="00AC0D08" w:rsidRPr="00390417">
        <w:rPr>
          <w:color w:val="000000"/>
        </w:rPr>
        <w:t xml:space="preserve"> </w:t>
      </w:r>
      <w:r w:rsidRPr="00390417">
        <w:rPr>
          <w:color w:val="000000"/>
        </w:rPr>
        <w:t>Србије</w:t>
      </w:r>
      <w:r w:rsidR="00AC0D08" w:rsidRPr="00390417">
        <w:rPr>
          <w:color w:val="000000"/>
        </w:rPr>
        <w:t xml:space="preserve"> </w:t>
      </w:r>
      <w:r w:rsidRPr="00390417">
        <w:rPr>
          <w:color w:val="000000"/>
        </w:rPr>
        <w:t>за</w:t>
      </w:r>
      <w:r w:rsidR="00AC0D08" w:rsidRPr="00390417">
        <w:rPr>
          <w:color w:val="000000"/>
        </w:rPr>
        <w:t xml:space="preserve"> </w:t>
      </w:r>
      <w:r w:rsidRPr="00390417">
        <w:rPr>
          <w:color w:val="000000"/>
        </w:rPr>
        <w:t>износ</w:t>
      </w:r>
      <w:r w:rsidR="00AC0D08" w:rsidRPr="00390417">
        <w:rPr>
          <w:color w:val="000000"/>
        </w:rPr>
        <w:t xml:space="preserve"> </w:t>
      </w:r>
      <w:r w:rsidRPr="00390417">
        <w:rPr>
          <w:color w:val="000000"/>
        </w:rPr>
        <w:t>од</w:t>
      </w:r>
      <w:r w:rsidR="00AC0D08" w:rsidRPr="00390417">
        <w:rPr>
          <w:color w:val="000000"/>
        </w:rPr>
        <w:t xml:space="preserve"> 22.672.853,25 </w:t>
      </w:r>
      <w:r w:rsidRPr="00390417">
        <w:rPr>
          <w:color w:val="000000"/>
        </w:rPr>
        <w:t>динара</w:t>
      </w:r>
      <w:r w:rsidR="00AC0D08" w:rsidRPr="00390417">
        <w:rPr>
          <w:color w:val="000000"/>
        </w:rPr>
        <w:t>.</w:t>
      </w:r>
    </w:p>
    <w:p w:rsidR="00AC0D08" w:rsidRDefault="00C5614B" w:rsidP="00390417">
      <w:pPr>
        <w:pStyle w:val="normal0"/>
        <w:shd w:val="clear" w:color="auto" w:fill="FFFFFF"/>
        <w:spacing w:before="48" w:beforeAutospacing="0" w:after="48" w:afterAutospacing="0"/>
        <w:jc w:val="both"/>
        <w:rPr>
          <w:i/>
          <w:iCs/>
          <w:color w:val="000000"/>
        </w:rPr>
      </w:pPr>
      <w:r w:rsidRPr="00390417">
        <w:rPr>
          <w:i/>
          <w:iCs/>
          <w:color w:val="000000"/>
        </w:rPr>
        <w:t>Извор</w:t>
      </w:r>
      <w:r w:rsidR="00AC0D08" w:rsidRPr="00390417">
        <w:rPr>
          <w:i/>
          <w:iCs/>
          <w:color w:val="000000"/>
        </w:rPr>
        <w:t xml:space="preserve">: </w:t>
      </w:r>
      <w:r w:rsidRPr="00390417">
        <w:rPr>
          <w:i/>
          <w:iCs/>
          <w:color w:val="000000"/>
        </w:rPr>
        <w:t>Вебсајт</w:t>
      </w:r>
      <w:r w:rsidR="00AC0D08" w:rsidRPr="00390417">
        <w:rPr>
          <w:i/>
          <w:iCs/>
          <w:color w:val="000000"/>
        </w:rPr>
        <w:t xml:space="preserve"> </w:t>
      </w:r>
      <w:r w:rsidRPr="00390417">
        <w:rPr>
          <w:i/>
          <w:iCs/>
          <w:color w:val="000000"/>
        </w:rPr>
        <w:t>Пореске</w:t>
      </w:r>
      <w:r w:rsidR="00AC0D08" w:rsidRPr="00390417">
        <w:rPr>
          <w:i/>
          <w:iCs/>
          <w:color w:val="000000"/>
        </w:rPr>
        <w:t xml:space="preserve"> </w:t>
      </w:r>
      <w:r w:rsidRPr="00390417">
        <w:rPr>
          <w:i/>
          <w:iCs/>
          <w:color w:val="000000"/>
        </w:rPr>
        <w:t>управе</w:t>
      </w:r>
      <w:r w:rsidR="00AC0D08" w:rsidRPr="00390417">
        <w:rPr>
          <w:i/>
          <w:iCs/>
          <w:color w:val="000000"/>
        </w:rPr>
        <w:t>, 17.5.2012.</w:t>
      </w:r>
    </w:p>
    <w:p w:rsidR="00166B45" w:rsidRPr="00390417" w:rsidRDefault="00166B45" w:rsidP="00390417">
      <w:pPr>
        <w:pStyle w:val="normal0"/>
        <w:shd w:val="clear" w:color="auto" w:fill="FFFFFF"/>
        <w:spacing w:before="48" w:beforeAutospacing="0" w:after="48" w:afterAutospacing="0"/>
        <w:jc w:val="both"/>
        <w:rPr>
          <w:color w:val="000000"/>
        </w:rPr>
      </w:pPr>
    </w:p>
    <w:p w:rsidR="00390417" w:rsidRPr="00166B45" w:rsidRDefault="00390417" w:rsidP="00390417">
      <w:pPr>
        <w:pStyle w:val="normal0"/>
        <w:shd w:val="clear" w:color="auto" w:fill="FFFFFF"/>
        <w:spacing w:before="48" w:beforeAutospacing="0" w:after="48" w:afterAutospacing="0"/>
        <w:jc w:val="both"/>
        <w:rPr>
          <w:color w:val="000000"/>
        </w:rPr>
      </w:pPr>
    </w:p>
    <w:p w:rsidR="00D06E30" w:rsidRDefault="001467DF" w:rsidP="00390417">
      <w:pPr>
        <w:pStyle w:val="normal0"/>
        <w:shd w:val="clear" w:color="auto" w:fill="FFFFFF"/>
        <w:spacing w:before="48" w:beforeAutospacing="0" w:after="48" w:afterAutospacing="0"/>
        <w:jc w:val="both"/>
        <w:rPr>
          <w:color w:val="000000"/>
        </w:rPr>
      </w:pPr>
      <w:r>
        <w:rPr>
          <w:color w:val="000000"/>
          <w:lang w:val="sr-Cyrl-CS"/>
        </w:rPr>
        <w:t>14</w:t>
      </w:r>
      <w:r w:rsidR="00390417">
        <w:rPr>
          <w:color w:val="000000"/>
          <w:lang w:val="sr-Cyrl-CS"/>
        </w:rPr>
        <w:t>)</w:t>
      </w:r>
    </w:p>
    <w:p w:rsidR="00166B45" w:rsidRPr="00166B45" w:rsidRDefault="00166B45" w:rsidP="00390417">
      <w:pPr>
        <w:pStyle w:val="normal0"/>
        <w:shd w:val="clear" w:color="auto" w:fill="FFFFFF"/>
        <w:spacing w:before="48" w:beforeAutospacing="0" w:after="48" w:afterAutospacing="0"/>
        <w:jc w:val="both"/>
        <w:rPr>
          <w:color w:val="000000"/>
        </w:rPr>
      </w:pPr>
    </w:p>
    <w:p w:rsidR="00AC0D08" w:rsidRDefault="00C5614B" w:rsidP="00390417">
      <w:pPr>
        <w:pStyle w:val="normal0"/>
        <w:shd w:val="clear" w:color="auto" w:fill="FFFFFF"/>
        <w:spacing w:before="48" w:beforeAutospacing="0" w:after="48" w:afterAutospacing="0"/>
        <w:jc w:val="both"/>
        <w:rPr>
          <w:color w:val="000000"/>
          <w:lang w:val="sr-Cyrl-CS"/>
        </w:rPr>
      </w:pPr>
      <w:r w:rsidRPr="00390417">
        <w:rPr>
          <w:color w:val="000000"/>
        </w:rPr>
        <w:t>Пореска</w:t>
      </w:r>
      <w:r w:rsidR="00AC0D08" w:rsidRPr="00390417">
        <w:rPr>
          <w:color w:val="000000"/>
        </w:rPr>
        <w:t xml:space="preserve"> </w:t>
      </w:r>
      <w:r w:rsidRPr="00390417">
        <w:rPr>
          <w:color w:val="000000"/>
        </w:rPr>
        <w:t>управа</w:t>
      </w:r>
      <w:r w:rsidR="00AC0D08" w:rsidRPr="00390417">
        <w:rPr>
          <w:color w:val="000000"/>
        </w:rPr>
        <w:t xml:space="preserve"> - </w:t>
      </w:r>
      <w:r w:rsidRPr="00390417">
        <w:rPr>
          <w:color w:val="000000"/>
        </w:rPr>
        <w:t>Сектор</w:t>
      </w:r>
      <w:r w:rsidR="00AC0D08" w:rsidRPr="00390417">
        <w:rPr>
          <w:color w:val="000000"/>
        </w:rPr>
        <w:t xml:space="preserve"> </w:t>
      </w:r>
      <w:r w:rsidRPr="00390417">
        <w:rPr>
          <w:color w:val="000000"/>
        </w:rPr>
        <w:t>пореске</w:t>
      </w:r>
      <w:r w:rsidR="00AC0D08" w:rsidRPr="00390417">
        <w:rPr>
          <w:color w:val="000000"/>
        </w:rPr>
        <w:t xml:space="preserve"> </w:t>
      </w:r>
      <w:r w:rsidRPr="00390417">
        <w:rPr>
          <w:color w:val="000000"/>
        </w:rPr>
        <w:t>полиције</w:t>
      </w:r>
      <w:r w:rsidR="00AC0D08" w:rsidRPr="00390417">
        <w:rPr>
          <w:color w:val="000000"/>
        </w:rPr>
        <w:t xml:space="preserve"> </w:t>
      </w:r>
      <w:r w:rsidRPr="00390417">
        <w:rPr>
          <w:color w:val="000000"/>
        </w:rPr>
        <w:t>поднела</w:t>
      </w:r>
      <w:r w:rsidR="00AC0D08" w:rsidRPr="00390417">
        <w:rPr>
          <w:color w:val="000000"/>
        </w:rPr>
        <w:t xml:space="preserve"> </w:t>
      </w:r>
      <w:r w:rsidRPr="00390417">
        <w:rPr>
          <w:color w:val="000000"/>
        </w:rPr>
        <w:t>је</w:t>
      </w:r>
      <w:r w:rsidR="00AC0D08" w:rsidRPr="00390417">
        <w:rPr>
          <w:color w:val="000000"/>
        </w:rPr>
        <w:t xml:space="preserve"> </w:t>
      </w:r>
      <w:r w:rsidRPr="00390417">
        <w:rPr>
          <w:color w:val="000000"/>
        </w:rPr>
        <w:t>Основном</w:t>
      </w:r>
      <w:r w:rsidR="00AC0D08" w:rsidRPr="00390417">
        <w:rPr>
          <w:color w:val="000000"/>
        </w:rPr>
        <w:t xml:space="preserve"> </w:t>
      </w:r>
      <w:r w:rsidRPr="00390417">
        <w:rPr>
          <w:color w:val="000000"/>
        </w:rPr>
        <w:t>јавном</w:t>
      </w:r>
      <w:r w:rsidR="00AC0D08" w:rsidRPr="00390417">
        <w:rPr>
          <w:color w:val="000000"/>
        </w:rPr>
        <w:t xml:space="preserve"> </w:t>
      </w:r>
      <w:r w:rsidRPr="00390417">
        <w:rPr>
          <w:color w:val="000000"/>
        </w:rPr>
        <w:t>тужилаштву</w:t>
      </w:r>
      <w:r w:rsidR="00AC0D08" w:rsidRPr="00390417">
        <w:rPr>
          <w:color w:val="000000"/>
        </w:rPr>
        <w:t xml:space="preserve"> </w:t>
      </w:r>
      <w:r w:rsidRPr="00390417">
        <w:rPr>
          <w:color w:val="000000"/>
        </w:rPr>
        <w:t>у</w:t>
      </w:r>
      <w:r w:rsidR="00AC0D08" w:rsidRPr="00390417">
        <w:rPr>
          <w:color w:val="000000"/>
        </w:rPr>
        <w:t xml:space="preserve"> </w:t>
      </w:r>
      <w:r w:rsidRPr="00390417">
        <w:rPr>
          <w:color w:val="000000"/>
        </w:rPr>
        <w:t>Новом</w:t>
      </w:r>
      <w:r w:rsidR="00AC0D08" w:rsidRPr="00390417">
        <w:rPr>
          <w:color w:val="000000"/>
        </w:rPr>
        <w:t xml:space="preserve"> </w:t>
      </w:r>
      <w:r w:rsidRPr="00390417">
        <w:rPr>
          <w:color w:val="000000"/>
        </w:rPr>
        <w:t>Пазару</w:t>
      </w:r>
      <w:r w:rsidR="00AC0D08" w:rsidRPr="00390417">
        <w:rPr>
          <w:color w:val="000000"/>
        </w:rPr>
        <w:t xml:space="preserve"> </w:t>
      </w:r>
      <w:r w:rsidRPr="00390417">
        <w:rPr>
          <w:color w:val="000000"/>
        </w:rPr>
        <w:t>кривичну</w:t>
      </w:r>
      <w:r w:rsidR="00AC0D08" w:rsidRPr="00390417">
        <w:rPr>
          <w:color w:val="000000"/>
        </w:rPr>
        <w:t xml:space="preserve"> </w:t>
      </w:r>
      <w:r w:rsidRPr="00390417">
        <w:rPr>
          <w:color w:val="000000"/>
        </w:rPr>
        <w:t>пријаву</w:t>
      </w:r>
      <w:r w:rsidR="00AC0D08" w:rsidRPr="00390417">
        <w:rPr>
          <w:color w:val="000000"/>
        </w:rPr>
        <w:t xml:space="preserve"> </w:t>
      </w:r>
      <w:r w:rsidRPr="00390417">
        <w:rPr>
          <w:color w:val="000000"/>
        </w:rPr>
        <w:t>против</w:t>
      </w:r>
      <w:r w:rsidR="00AC0D08" w:rsidRPr="00390417">
        <w:rPr>
          <w:color w:val="000000"/>
        </w:rPr>
        <w:t xml:space="preserve"> </w:t>
      </w:r>
      <w:r w:rsidRPr="00390417">
        <w:rPr>
          <w:color w:val="000000"/>
        </w:rPr>
        <w:t>Н</w:t>
      </w:r>
      <w:r w:rsidR="00AC0D08" w:rsidRPr="00390417">
        <w:rPr>
          <w:color w:val="000000"/>
        </w:rPr>
        <w:t>.</w:t>
      </w:r>
      <w:r w:rsidRPr="00390417">
        <w:rPr>
          <w:color w:val="000000"/>
        </w:rPr>
        <w:t>Ц</w:t>
      </w:r>
      <w:r w:rsidR="00AC0D08" w:rsidRPr="00390417">
        <w:rPr>
          <w:color w:val="000000"/>
        </w:rPr>
        <w:t xml:space="preserve">., </w:t>
      </w:r>
      <w:r w:rsidRPr="00390417">
        <w:rPr>
          <w:color w:val="000000"/>
        </w:rPr>
        <w:t>оснивача</w:t>
      </w:r>
      <w:r w:rsidR="00AC0D08" w:rsidRPr="00390417">
        <w:rPr>
          <w:color w:val="000000"/>
        </w:rPr>
        <w:t xml:space="preserve"> </w:t>
      </w:r>
      <w:r w:rsidRPr="00390417">
        <w:rPr>
          <w:color w:val="000000"/>
        </w:rPr>
        <w:t>и</w:t>
      </w:r>
      <w:r w:rsidR="00AC0D08" w:rsidRPr="00390417">
        <w:rPr>
          <w:color w:val="000000"/>
        </w:rPr>
        <w:t xml:space="preserve"> </w:t>
      </w:r>
      <w:r w:rsidRPr="00390417">
        <w:rPr>
          <w:color w:val="000000"/>
        </w:rPr>
        <w:t>директора</w:t>
      </w:r>
      <w:r w:rsidR="00AC0D08" w:rsidRPr="00390417">
        <w:rPr>
          <w:color w:val="000000"/>
        </w:rPr>
        <w:t xml:space="preserve"> </w:t>
      </w:r>
      <w:r w:rsidRPr="00390417">
        <w:rPr>
          <w:color w:val="000000"/>
        </w:rPr>
        <w:t>привредног</w:t>
      </w:r>
      <w:r w:rsidR="00AC0D08" w:rsidRPr="00390417">
        <w:rPr>
          <w:color w:val="000000"/>
        </w:rPr>
        <w:t xml:space="preserve"> </w:t>
      </w:r>
      <w:r w:rsidRPr="00390417">
        <w:rPr>
          <w:color w:val="000000"/>
        </w:rPr>
        <w:t>друштва</w:t>
      </w:r>
      <w:r w:rsidR="00AC0D08" w:rsidRPr="00390417">
        <w:rPr>
          <w:color w:val="000000"/>
        </w:rPr>
        <w:t xml:space="preserve"> </w:t>
      </w:r>
      <w:r w:rsidRPr="00390417">
        <w:rPr>
          <w:color w:val="000000"/>
        </w:rPr>
        <w:t>из</w:t>
      </w:r>
      <w:r w:rsidR="00AC0D08" w:rsidRPr="00390417">
        <w:rPr>
          <w:color w:val="000000"/>
        </w:rPr>
        <w:t xml:space="preserve"> </w:t>
      </w:r>
      <w:r w:rsidRPr="00390417">
        <w:rPr>
          <w:color w:val="000000"/>
        </w:rPr>
        <w:t>Новог</w:t>
      </w:r>
      <w:r w:rsidR="00AC0D08" w:rsidRPr="00390417">
        <w:rPr>
          <w:color w:val="000000"/>
        </w:rPr>
        <w:t xml:space="preserve"> </w:t>
      </w:r>
      <w:r w:rsidRPr="00390417">
        <w:rPr>
          <w:color w:val="000000"/>
        </w:rPr>
        <w:t>Пазара</w:t>
      </w:r>
      <w:r w:rsidR="00AC0D08" w:rsidRPr="00390417">
        <w:rPr>
          <w:color w:val="000000"/>
        </w:rPr>
        <w:t xml:space="preserve">, </w:t>
      </w:r>
      <w:r w:rsidRPr="00390417">
        <w:rPr>
          <w:color w:val="000000"/>
        </w:rPr>
        <w:t>због</w:t>
      </w:r>
      <w:r w:rsidR="00AC0D08" w:rsidRPr="00390417">
        <w:rPr>
          <w:color w:val="000000"/>
        </w:rPr>
        <w:t xml:space="preserve"> </w:t>
      </w:r>
      <w:r w:rsidRPr="00390417">
        <w:rPr>
          <w:color w:val="000000"/>
        </w:rPr>
        <w:t>основане</w:t>
      </w:r>
      <w:r w:rsidR="00AC0D08" w:rsidRPr="00390417">
        <w:rPr>
          <w:color w:val="000000"/>
        </w:rPr>
        <w:t xml:space="preserve"> </w:t>
      </w:r>
      <w:r w:rsidRPr="00390417">
        <w:rPr>
          <w:color w:val="000000"/>
        </w:rPr>
        <w:t>сумње</w:t>
      </w:r>
      <w:r w:rsidR="00AC0D08" w:rsidRPr="00390417">
        <w:rPr>
          <w:color w:val="000000"/>
        </w:rPr>
        <w:t xml:space="preserve"> </w:t>
      </w:r>
      <w:r w:rsidRPr="00390417">
        <w:rPr>
          <w:color w:val="000000"/>
        </w:rPr>
        <w:t>да</w:t>
      </w:r>
      <w:r w:rsidR="00AC0D08" w:rsidRPr="00390417">
        <w:rPr>
          <w:color w:val="000000"/>
        </w:rPr>
        <w:t xml:space="preserve"> </w:t>
      </w:r>
      <w:r w:rsidRPr="00390417">
        <w:rPr>
          <w:color w:val="000000"/>
        </w:rPr>
        <w:t>је</w:t>
      </w:r>
      <w:r w:rsidR="00AC0D08" w:rsidRPr="00390417">
        <w:rPr>
          <w:color w:val="000000"/>
        </w:rPr>
        <w:t xml:space="preserve"> </w:t>
      </w:r>
      <w:r w:rsidRPr="00390417">
        <w:rPr>
          <w:color w:val="000000"/>
        </w:rPr>
        <w:t>извршила</w:t>
      </w:r>
      <w:r w:rsidR="00AC0D08" w:rsidRPr="00390417">
        <w:rPr>
          <w:color w:val="000000"/>
        </w:rPr>
        <w:t xml:space="preserve"> </w:t>
      </w:r>
      <w:r w:rsidRPr="00390417">
        <w:rPr>
          <w:color w:val="000000"/>
        </w:rPr>
        <w:t>кривично</w:t>
      </w:r>
      <w:r w:rsidR="00AC0D08" w:rsidRPr="00390417">
        <w:rPr>
          <w:color w:val="000000"/>
        </w:rPr>
        <w:t xml:space="preserve"> </w:t>
      </w:r>
      <w:r w:rsidRPr="00390417">
        <w:rPr>
          <w:color w:val="000000"/>
        </w:rPr>
        <w:t>дело</w:t>
      </w:r>
      <w:r w:rsidR="00AC0D08" w:rsidRPr="00390417">
        <w:rPr>
          <w:color w:val="000000"/>
        </w:rPr>
        <w:t xml:space="preserve"> </w:t>
      </w:r>
      <w:r w:rsidRPr="00390417">
        <w:rPr>
          <w:color w:val="000000"/>
        </w:rPr>
        <w:t>Пореска</w:t>
      </w:r>
      <w:r w:rsidR="00AC0D08" w:rsidRPr="00390417">
        <w:rPr>
          <w:color w:val="000000"/>
        </w:rPr>
        <w:t xml:space="preserve"> </w:t>
      </w:r>
      <w:r w:rsidRPr="00390417">
        <w:rPr>
          <w:color w:val="000000"/>
        </w:rPr>
        <w:t>утаја</w:t>
      </w:r>
      <w:r w:rsidR="00AC0D08" w:rsidRPr="00390417">
        <w:rPr>
          <w:color w:val="000000"/>
        </w:rPr>
        <w:t>.</w:t>
      </w:r>
    </w:p>
    <w:p w:rsidR="00911A0C" w:rsidRPr="00911A0C" w:rsidRDefault="00911A0C" w:rsidP="00390417">
      <w:pPr>
        <w:pStyle w:val="normal0"/>
        <w:shd w:val="clear" w:color="auto" w:fill="FFFFFF"/>
        <w:spacing w:before="48" w:beforeAutospacing="0" w:after="48" w:afterAutospacing="0"/>
        <w:jc w:val="both"/>
        <w:rPr>
          <w:color w:val="000000"/>
          <w:lang w:val="sr-Cyrl-CS"/>
        </w:rPr>
      </w:pPr>
    </w:p>
    <w:p w:rsidR="00AC0D08" w:rsidRPr="00390417" w:rsidRDefault="00C5614B" w:rsidP="00390417">
      <w:pPr>
        <w:pStyle w:val="normal0"/>
        <w:shd w:val="clear" w:color="auto" w:fill="FFFFFF"/>
        <w:spacing w:before="48" w:beforeAutospacing="0" w:after="48" w:afterAutospacing="0"/>
        <w:jc w:val="both"/>
        <w:rPr>
          <w:color w:val="000000"/>
        </w:rPr>
      </w:pPr>
      <w:r w:rsidRPr="00390417">
        <w:rPr>
          <w:color w:val="000000"/>
        </w:rPr>
        <w:t>Н</w:t>
      </w:r>
      <w:r w:rsidR="00AC0D08" w:rsidRPr="00390417">
        <w:rPr>
          <w:color w:val="000000"/>
        </w:rPr>
        <w:t>.</w:t>
      </w:r>
      <w:r w:rsidRPr="00390417">
        <w:rPr>
          <w:color w:val="000000"/>
        </w:rPr>
        <w:t>Ц</w:t>
      </w:r>
      <w:r w:rsidR="00AC0D08" w:rsidRPr="00390417">
        <w:rPr>
          <w:color w:val="000000"/>
        </w:rPr>
        <w:t xml:space="preserve">. </w:t>
      </w:r>
      <w:r w:rsidRPr="00390417">
        <w:rPr>
          <w:color w:val="000000"/>
        </w:rPr>
        <w:t>је</w:t>
      </w:r>
      <w:r w:rsidR="00AC0D08" w:rsidRPr="00390417">
        <w:rPr>
          <w:color w:val="000000"/>
        </w:rPr>
        <w:t xml:space="preserve"> </w:t>
      </w:r>
      <w:r w:rsidRPr="00390417">
        <w:rPr>
          <w:color w:val="000000"/>
        </w:rPr>
        <w:t>у</w:t>
      </w:r>
      <w:r w:rsidR="00AC0D08" w:rsidRPr="00390417">
        <w:rPr>
          <w:color w:val="000000"/>
        </w:rPr>
        <w:t xml:space="preserve"> </w:t>
      </w:r>
      <w:r w:rsidRPr="00390417">
        <w:rPr>
          <w:color w:val="000000"/>
        </w:rPr>
        <w:t>намери</w:t>
      </w:r>
      <w:r w:rsidR="00AC0D08" w:rsidRPr="00390417">
        <w:rPr>
          <w:color w:val="000000"/>
        </w:rPr>
        <w:t xml:space="preserve"> </w:t>
      </w:r>
      <w:r w:rsidRPr="00390417">
        <w:rPr>
          <w:color w:val="000000"/>
        </w:rPr>
        <w:t>да</w:t>
      </w:r>
      <w:r w:rsidR="00AC0D08" w:rsidRPr="00390417">
        <w:rPr>
          <w:color w:val="000000"/>
        </w:rPr>
        <w:t xml:space="preserve"> </w:t>
      </w:r>
      <w:r w:rsidRPr="00390417">
        <w:rPr>
          <w:color w:val="000000"/>
        </w:rPr>
        <w:t>делимично</w:t>
      </w:r>
      <w:r w:rsidR="00AC0D08" w:rsidRPr="00390417">
        <w:rPr>
          <w:color w:val="000000"/>
        </w:rPr>
        <w:t xml:space="preserve"> </w:t>
      </w:r>
      <w:r w:rsidRPr="00390417">
        <w:rPr>
          <w:color w:val="000000"/>
        </w:rPr>
        <w:t>избегне</w:t>
      </w:r>
      <w:r w:rsidR="00AC0D08" w:rsidRPr="00390417">
        <w:rPr>
          <w:color w:val="000000"/>
        </w:rPr>
        <w:t xml:space="preserve"> </w:t>
      </w:r>
      <w:r w:rsidRPr="00390417">
        <w:rPr>
          <w:color w:val="000000"/>
        </w:rPr>
        <w:t>плаћање</w:t>
      </w:r>
      <w:r w:rsidR="00AC0D08" w:rsidRPr="00390417">
        <w:rPr>
          <w:color w:val="000000"/>
        </w:rPr>
        <w:t xml:space="preserve"> </w:t>
      </w:r>
      <w:r w:rsidRPr="00390417">
        <w:rPr>
          <w:color w:val="000000"/>
        </w:rPr>
        <w:t>пореза</w:t>
      </w:r>
      <w:r w:rsidR="00AC0D08" w:rsidRPr="00390417">
        <w:rPr>
          <w:color w:val="000000"/>
        </w:rPr>
        <w:t xml:space="preserve">, </w:t>
      </w:r>
      <w:r w:rsidRPr="00390417">
        <w:rPr>
          <w:color w:val="000000"/>
        </w:rPr>
        <w:t>у</w:t>
      </w:r>
      <w:r w:rsidR="00AC0D08" w:rsidRPr="00390417">
        <w:rPr>
          <w:color w:val="000000"/>
        </w:rPr>
        <w:t xml:space="preserve"> </w:t>
      </w:r>
      <w:r w:rsidRPr="00390417">
        <w:rPr>
          <w:color w:val="000000"/>
        </w:rPr>
        <w:t>периоду</w:t>
      </w:r>
      <w:r w:rsidR="00AC0D08" w:rsidRPr="00390417">
        <w:rPr>
          <w:color w:val="000000"/>
        </w:rPr>
        <w:t xml:space="preserve"> </w:t>
      </w:r>
      <w:r w:rsidRPr="00390417">
        <w:rPr>
          <w:color w:val="000000"/>
        </w:rPr>
        <w:t>од</w:t>
      </w:r>
      <w:r w:rsidR="00AC0D08" w:rsidRPr="00390417">
        <w:rPr>
          <w:color w:val="000000"/>
        </w:rPr>
        <w:t xml:space="preserve"> </w:t>
      </w:r>
      <w:r w:rsidRPr="00390417">
        <w:rPr>
          <w:color w:val="000000"/>
        </w:rPr>
        <w:t>априла</w:t>
      </w:r>
      <w:r w:rsidR="00AC0D08" w:rsidRPr="00390417">
        <w:rPr>
          <w:color w:val="000000"/>
        </w:rPr>
        <w:t xml:space="preserve"> </w:t>
      </w:r>
      <w:r w:rsidRPr="00390417">
        <w:rPr>
          <w:color w:val="000000"/>
        </w:rPr>
        <w:t>до</w:t>
      </w:r>
      <w:r w:rsidR="00AC0D08" w:rsidRPr="00390417">
        <w:rPr>
          <w:color w:val="000000"/>
        </w:rPr>
        <w:t xml:space="preserve"> </w:t>
      </w:r>
      <w:r w:rsidRPr="00390417">
        <w:rPr>
          <w:color w:val="000000"/>
        </w:rPr>
        <w:t>јуна</w:t>
      </w:r>
      <w:r w:rsidR="00AC0D08" w:rsidRPr="00390417">
        <w:rPr>
          <w:color w:val="000000"/>
        </w:rPr>
        <w:t xml:space="preserve"> 2009. </w:t>
      </w:r>
      <w:r w:rsidRPr="00390417">
        <w:rPr>
          <w:color w:val="000000"/>
        </w:rPr>
        <w:t>године</w:t>
      </w:r>
      <w:r w:rsidR="00AC0D08" w:rsidRPr="00390417">
        <w:rPr>
          <w:color w:val="000000"/>
        </w:rPr>
        <w:t xml:space="preserve">, </w:t>
      </w:r>
      <w:r w:rsidRPr="00390417">
        <w:rPr>
          <w:color w:val="000000"/>
        </w:rPr>
        <w:t>извршила</w:t>
      </w:r>
      <w:r w:rsidR="00AC0D08" w:rsidRPr="00390417">
        <w:rPr>
          <w:color w:val="000000"/>
        </w:rPr>
        <w:t xml:space="preserve"> </w:t>
      </w:r>
      <w:r w:rsidRPr="00390417">
        <w:rPr>
          <w:color w:val="000000"/>
        </w:rPr>
        <w:t>продају</w:t>
      </w:r>
      <w:r w:rsidR="00AC0D08" w:rsidRPr="00390417">
        <w:rPr>
          <w:color w:val="000000"/>
        </w:rPr>
        <w:t xml:space="preserve"> </w:t>
      </w:r>
      <w:r w:rsidRPr="00390417">
        <w:rPr>
          <w:color w:val="000000"/>
        </w:rPr>
        <w:t>добара</w:t>
      </w:r>
      <w:r w:rsidR="00AC0D08" w:rsidRPr="00390417">
        <w:rPr>
          <w:color w:val="000000"/>
        </w:rPr>
        <w:t xml:space="preserve"> </w:t>
      </w:r>
      <w:r w:rsidRPr="00390417">
        <w:rPr>
          <w:color w:val="000000"/>
        </w:rPr>
        <w:t>укупне</w:t>
      </w:r>
      <w:r w:rsidR="00AC0D08" w:rsidRPr="00390417">
        <w:rPr>
          <w:color w:val="000000"/>
        </w:rPr>
        <w:t xml:space="preserve"> </w:t>
      </w:r>
      <w:r w:rsidRPr="00390417">
        <w:rPr>
          <w:color w:val="000000"/>
        </w:rPr>
        <w:t>вредности</w:t>
      </w:r>
      <w:r w:rsidR="00AC0D08" w:rsidRPr="00390417">
        <w:rPr>
          <w:color w:val="000000"/>
        </w:rPr>
        <w:t xml:space="preserve"> </w:t>
      </w:r>
      <w:r w:rsidRPr="00390417">
        <w:rPr>
          <w:color w:val="000000"/>
        </w:rPr>
        <w:t>од</w:t>
      </w:r>
      <w:r w:rsidR="00AC0D08" w:rsidRPr="00390417">
        <w:rPr>
          <w:color w:val="000000"/>
        </w:rPr>
        <w:t xml:space="preserve"> 328.463.751 </w:t>
      </w:r>
      <w:r w:rsidRPr="00390417">
        <w:rPr>
          <w:color w:val="000000"/>
        </w:rPr>
        <w:t>динар</w:t>
      </w:r>
      <w:r w:rsidR="00AC0D08" w:rsidRPr="00390417">
        <w:rPr>
          <w:color w:val="000000"/>
        </w:rPr>
        <w:t xml:space="preserve">, </w:t>
      </w:r>
      <w:r w:rsidRPr="00390417">
        <w:rPr>
          <w:color w:val="000000"/>
        </w:rPr>
        <w:t>са</w:t>
      </w:r>
      <w:r w:rsidR="00AC0D08" w:rsidRPr="00390417">
        <w:rPr>
          <w:color w:val="000000"/>
        </w:rPr>
        <w:t xml:space="preserve"> </w:t>
      </w:r>
      <w:r w:rsidRPr="00390417">
        <w:rPr>
          <w:color w:val="000000"/>
        </w:rPr>
        <w:t>исказаним</w:t>
      </w:r>
      <w:r w:rsidR="00AC0D08" w:rsidRPr="00390417">
        <w:rPr>
          <w:color w:val="000000"/>
        </w:rPr>
        <w:t xml:space="preserve"> </w:t>
      </w:r>
      <w:r w:rsidRPr="00390417">
        <w:rPr>
          <w:color w:val="000000"/>
        </w:rPr>
        <w:t>ПДВ</w:t>
      </w:r>
      <w:r w:rsidR="00AC0D08" w:rsidRPr="00390417">
        <w:rPr>
          <w:color w:val="000000"/>
        </w:rPr>
        <w:t xml:space="preserve"> </w:t>
      </w:r>
      <w:r w:rsidRPr="00390417">
        <w:rPr>
          <w:color w:val="000000"/>
        </w:rPr>
        <w:t>у</w:t>
      </w:r>
      <w:r w:rsidR="00AC0D08" w:rsidRPr="00390417">
        <w:rPr>
          <w:color w:val="000000"/>
        </w:rPr>
        <w:t xml:space="preserve"> </w:t>
      </w:r>
      <w:r w:rsidRPr="00390417">
        <w:rPr>
          <w:color w:val="000000"/>
        </w:rPr>
        <w:t>износу</w:t>
      </w:r>
      <w:r w:rsidR="00AC0D08" w:rsidRPr="00390417">
        <w:rPr>
          <w:color w:val="000000"/>
        </w:rPr>
        <w:t xml:space="preserve"> </w:t>
      </w:r>
      <w:r w:rsidRPr="00390417">
        <w:rPr>
          <w:color w:val="000000"/>
        </w:rPr>
        <w:t>од</w:t>
      </w:r>
      <w:r w:rsidR="00AC0D08" w:rsidRPr="00390417">
        <w:rPr>
          <w:color w:val="000000"/>
        </w:rPr>
        <w:t xml:space="preserve"> 50.103.860 </w:t>
      </w:r>
      <w:r w:rsidRPr="00390417">
        <w:rPr>
          <w:color w:val="000000"/>
        </w:rPr>
        <w:t>динара</w:t>
      </w:r>
      <w:r w:rsidR="00AC0D08" w:rsidRPr="00390417">
        <w:rPr>
          <w:color w:val="000000"/>
        </w:rPr>
        <w:t xml:space="preserve">, </w:t>
      </w:r>
      <w:r w:rsidRPr="00390417">
        <w:rPr>
          <w:color w:val="000000"/>
        </w:rPr>
        <w:t>остварени</w:t>
      </w:r>
      <w:r w:rsidR="00AC0D08" w:rsidRPr="00390417">
        <w:rPr>
          <w:color w:val="000000"/>
        </w:rPr>
        <w:t xml:space="preserve"> </w:t>
      </w:r>
      <w:r w:rsidRPr="00390417">
        <w:rPr>
          <w:color w:val="000000"/>
        </w:rPr>
        <w:t>промет</w:t>
      </w:r>
      <w:r w:rsidR="00AC0D08" w:rsidRPr="00390417">
        <w:rPr>
          <w:color w:val="000000"/>
        </w:rPr>
        <w:t xml:space="preserve"> </w:t>
      </w:r>
      <w:r w:rsidRPr="00390417">
        <w:rPr>
          <w:color w:val="000000"/>
        </w:rPr>
        <w:t>није</w:t>
      </w:r>
      <w:r w:rsidR="00AC0D08" w:rsidRPr="00390417">
        <w:rPr>
          <w:color w:val="000000"/>
        </w:rPr>
        <w:t xml:space="preserve"> </w:t>
      </w:r>
      <w:r w:rsidRPr="00390417">
        <w:rPr>
          <w:color w:val="000000"/>
        </w:rPr>
        <w:t>евидентирала</w:t>
      </w:r>
      <w:r w:rsidR="00AC0D08" w:rsidRPr="00390417">
        <w:rPr>
          <w:color w:val="000000"/>
        </w:rPr>
        <w:t xml:space="preserve"> </w:t>
      </w:r>
      <w:r w:rsidRPr="00390417">
        <w:rPr>
          <w:color w:val="000000"/>
        </w:rPr>
        <w:t>у</w:t>
      </w:r>
      <w:r w:rsidR="00AC0D08" w:rsidRPr="00390417">
        <w:rPr>
          <w:color w:val="000000"/>
        </w:rPr>
        <w:t xml:space="preserve"> </w:t>
      </w:r>
      <w:r w:rsidRPr="00390417">
        <w:rPr>
          <w:color w:val="000000"/>
        </w:rPr>
        <w:t>пословним</w:t>
      </w:r>
      <w:r w:rsidR="00AC0D08" w:rsidRPr="00390417">
        <w:rPr>
          <w:color w:val="000000"/>
        </w:rPr>
        <w:t xml:space="preserve"> </w:t>
      </w:r>
      <w:r w:rsidRPr="00390417">
        <w:rPr>
          <w:color w:val="000000"/>
        </w:rPr>
        <w:t>књигама</w:t>
      </w:r>
      <w:r w:rsidR="00AC0D08" w:rsidRPr="00390417">
        <w:rPr>
          <w:color w:val="000000"/>
        </w:rPr>
        <w:t xml:space="preserve"> </w:t>
      </w:r>
      <w:r w:rsidRPr="00390417">
        <w:rPr>
          <w:color w:val="000000"/>
        </w:rPr>
        <w:t>нити</w:t>
      </w:r>
      <w:r w:rsidR="00AC0D08" w:rsidRPr="00390417">
        <w:rPr>
          <w:color w:val="000000"/>
        </w:rPr>
        <w:t xml:space="preserve"> </w:t>
      </w:r>
      <w:r w:rsidRPr="00390417">
        <w:rPr>
          <w:color w:val="000000"/>
        </w:rPr>
        <w:t>је</w:t>
      </w:r>
      <w:r w:rsidR="00AC0D08" w:rsidRPr="00390417">
        <w:rPr>
          <w:color w:val="000000"/>
        </w:rPr>
        <w:t xml:space="preserve"> </w:t>
      </w:r>
      <w:r w:rsidRPr="00390417">
        <w:rPr>
          <w:color w:val="000000"/>
        </w:rPr>
        <w:t>исти</w:t>
      </w:r>
      <w:r w:rsidR="00AC0D08" w:rsidRPr="00390417">
        <w:rPr>
          <w:color w:val="000000"/>
        </w:rPr>
        <w:t xml:space="preserve"> </w:t>
      </w:r>
      <w:r w:rsidRPr="00390417">
        <w:rPr>
          <w:color w:val="000000"/>
        </w:rPr>
        <w:t>исказала</w:t>
      </w:r>
      <w:r w:rsidR="00AC0D08" w:rsidRPr="00390417">
        <w:rPr>
          <w:color w:val="000000"/>
        </w:rPr>
        <w:t xml:space="preserve"> </w:t>
      </w:r>
      <w:r w:rsidRPr="00390417">
        <w:rPr>
          <w:color w:val="000000"/>
        </w:rPr>
        <w:t>у</w:t>
      </w:r>
      <w:r w:rsidR="00AC0D08" w:rsidRPr="00390417">
        <w:rPr>
          <w:color w:val="000000"/>
        </w:rPr>
        <w:t xml:space="preserve"> </w:t>
      </w:r>
      <w:r w:rsidRPr="00390417">
        <w:rPr>
          <w:color w:val="000000"/>
        </w:rPr>
        <w:t>поднетим</w:t>
      </w:r>
      <w:r w:rsidR="00AC0D08" w:rsidRPr="00390417">
        <w:rPr>
          <w:color w:val="000000"/>
        </w:rPr>
        <w:t xml:space="preserve"> </w:t>
      </w:r>
      <w:r w:rsidRPr="00390417">
        <w:rPr>
          <w:color w:val="000000"/>
        </w:rPr>
        <w:t>ПДВ</w:t>
      </w:r>
      <w:r w:rsidR="00AC0D08" w:rsidRPr="00390417">
        <w:rPr>
          <w:color w:val="000000"/>
        </w:rPr>
        <w:t xml:space="preserve"> </w:t>
      </w:r>
      <w:r w:rsidRPr="00390417">
        <w:rPr>
          <w:color w:val="000000"/>
        </w:rPr>
        <w:t>пријавама</w:t>
      </w:r>
      <w:r w:rsidR="00AC0D08" w:rsidRPr="00390417">
        <w:rPr>
          <w:color w:val="000000"/>
        </w:rPr>
        <w:t xml:space="preserve">, </w:t>
      </w:r>
      <w:r w:rsidRPr="00390417">
        <w:rPr>
          <w:color w:val="000000"/>
        </w:rPr>
        <w:t>чиме</w:t>
      </w:r>
      <w:r w:rsidR="00AC0D08" w:rsidRPr="00390417">
        <w:rPr>
          <w:color w:val="000000"/>
        </w:rPr>
        <w:t xml:space="preserve"> </w:t>
      </w:r>
      <w:r w:rsidRPr="00390417">
        <w:rPr>
          <w:color w:val="000000"/>
        </w:rPr>
        <w:t>је</w:t>
      </w:r>
      <w:r w:rsidR="00AC0D08" w:rsidRPr="00390417">
        <w:rPr>
          <w:color w:val="000000"/>
        </w:rPr>
        <w:t xml:space="preserve"> </w:t>
      </w:r>
      <w:r w:rsidRPr="00390417">
        <w:rPr>
          <w:color w:val="000000"/>
        </w:rPr>
        <w:t>избегла</w:t>
      </w:r>
      <w:r w:rsidR="00AC0D08" w:rsidRPr="00390417">
        <w:rPr>
          <w:color w:val="000000"/>
        </w:rPr>
        <w:t xml:space="preserve"> </w:t>
      </w:r>
      <w:r w:rsidRPr="00390417">
        <w:rPr>
          <w:color w:val="000000"/>
        </w:rPr>
        <w:t>обавезу</w:t>
      </w:r>
      <w:r w:rsidR="00AC0D08" w:rsidRPr="00390417">
        <w:rPr>
          <w:color w:val="000000"/>
        </w:rPr>
        <w:t xml:space="preserve"> </w:t>
      </w:r>
      <w:r w:rsidRPr="00390417">
        <w:rPr>
          <w:color w:val="000000"/>
        </w:rPr>
        <w:t>за</w:t>
      </w:r>
      <w:r w:rsidR="00AC0D08" w:rsidRPr="00390417">
        <w:rPr>
          <w:color w:val="000000"/>
        </w:rPr>
        <w:t xml:space="preserve"> </w:t>
      </w:r>
      <w:r w:rsidRPr="00390417">
        <w:rPr>
          <w:color w:val="000000"/>
        </w:rPr>
        <w:t>обрачун</w:t>
      </w:r>
      <w:r w:rsidR="00AC0D08" w:rsidRPr="00390417">
        <w:rPr>
          <w:color w:val="000000"/>
        </w:rPr>
        <w:t xml:space="preserve"> </w:t>
      </w:r>
      <w:r w:rsidRPr="00390417">
        <w:rPr>
          <w:color w:val="000000"/>
        </w:rPr>
        <w:t>и</w:t>
      </w:r>
      <w:r w:rsidR="00AC0D08" w:rsidRPr="00390417">
        <w:rPr>
          <w:color w:val="000000"/>
        </w:rPr>
        <w:t xml:space="preserve"> </w:t>
      </w:r>
      <w:r w:rsidRPr="00390417">
        <w:rPr>
          <w:color w:val="000000"/>
        </w:rPr>
        <w:t>плаћање</w:t>
      </w:r>
      <w:r w:rsidR="00AC0D08" w:rsidRPr="00390417">
        <w:rPr>
          <w:color w:val="000000"/>
        </w:rPr>
        <w:t xml:space="preserve"> </w:t>
      </w:r>
      <w:r w:rsidRPr="00390417">
        <w:rPr>
          <w:color w:val="000000"/>
        </w:rPr>
        <w:t>ПДВ</w:t>
      </w:r>
      <w:r w:rsidR="00AC0D08" w:rsidRPr="00390417">
        <w:rPr>
          <w:color w:val="000000"/>
        </w:rPr>
        <w:t xml:space="preserve"> </w:t>
      </w:r>
      <w:r w:rsidRPr="00390417">
        <w:rPr>
          <w:color w:val="000000"/>
        </w:rPr>
        <w:t>у</w:t>
      </w:r>
      <w:r w:rsidR="00AC0D08" w:rsidRPr="00390417">
        <w:rPr>
          <w:color w:val="000000"/>
        </w:rPr>
        <w:t xml:space="preserve"> </w:t>
      </w:r>
      <w:r w:rsidRPr="00390417">
        <w:rPr>
          <w:color w:val="000000"/>
        </w:rPr>
        <w:t>наведеном</w:t>
      </w:r>
      <w:r w:rsidR="00AC0D08" w:rsidRPr="00390417">
        <w:rPr>
          <w:color w:val="000000"/>
        </w:rPr>
        <w:t xml:space="preserve"> </w:t>
      </w:r>
      <w:r w:rsidRPr="00390417">
        <w:rPr>
          <w:color w:val="000000"/>
        </w:rPr>
        <w:t>износу</w:t>
      </w:r>
      <w:r w:rsidR="00AC0D08" w:rsidRPr="00390417">
        <w:rPr>
          <w:color w:val="000000"/>
        </w:rPr>
        <w:t>.</w:t>
      </w:r>
    </w:p>
    <w:p w:rsidR="00AC0D08" w:rsidRDefault="00C5614B" w:rsidP="00390417">
      <w:pPr>
        <w:pStyle w:val="normal0"/>
        <w:shd w:val="clear" w:color="auto" w:fill="FFFFFF"/>
        <w:spacing w:before="48" w:beforeAutospacing="0" w:after="48" w:afterAutospacing="0"/>
        <w:jc w:val="both"/>
        <w:rPr>
          <w:color w:val="000000"/>
          <w:lang w:val="sr-Cyrl-CS"/>
        </w:rPr>
      </w:pPr>
      <w:r w:rsidRPr="00390417">
        <w:rPr>
          <w:color w:val="000000"/>
        </w:rPr>
        <w:t>Новчана</w:t>
      </w:r>
      <w:r w:rsidR="00AC0D08" w:rsidRPr="00390417">
        <w:rPr>
          <w:color w:val="000000"/>
        </w:rPr>
        <w:t xml:space="preserve"> </w:t>
      </w:r>
      <w:r w:rsidRPr="00390417">
        <w:rPr>
          <w:color w:val="000000"/>
        </w:rPr>
        <w:t>средства</w:t>
      </w:r>
      <w:r w:rsidR="00AC0D08" w:rsidRPr="00390417">
        <w:rPr>
          <w:color w:val="000000"/>
        </w:rPr>
        <w:t xml:space="preserve"> </w:t>
      </w:r>
      <w:r w:rsidRPr="00390417">
        <w:rPr>
          <w:color w:val="000000"/>
        </w:rPr>
        <w:t>од</w:t>
      </w:r>
      <w:r w:rsidR="00AC0D08" w:rsidRPr="00390417">
        <w:rPr>
          <w:color w:val="000000"/>
        </w:rPr>
        <w:t xml:space="preserve"> </w:t>
      </w:r>
      <w:r w:rsidRPr="00390417">
        <w:rPr>
          <w:color w:val="000000"/>
        </w:rPr>
        <w:t>продаје</w:t>
      </w:r>
      <w:r w:rsidR="00AC0D08" w:rsidRPr="00390417">
        <w:rPr>
          <w:color w:val="000000"/>
        </w:rPr>
        <w:t xml:space="preserve"> </w:t>
      </w:r>
      <w:r w:rsidRPr="00390417">
        <w:rPr>
          <w:color w:val="000000"/>
        </w:rPr>
        <w:t>добара</w:t>
      </w:r>
      <w:r w:rsidR="00AC0D08" w:rsidRPr="00390417">
        <w:rPr>
          <w:color w:val="000000"/>
        </w:rPr>
        <w:t xml:space="preserve"> </w:t>
      </w:r>
      <w:r w:rsidRPr="00390417">
        <w:rPr>
          <w:color w:val="000000"/>
        </w:rPr>
        <w:t>није</w:t>
      </w:r>
      <w:r w:rsidR="00AC0D08" w:rsidRPr="00390417">
        <w:rPr>
          <w:color w:val="000000"/>
        </w:rPr>
        <w:t xml:space="preserve"> </w:t>
      </w:r>
      <w:r w:rsidRPr="00390417">
        <w:rPr>
          <w:color w:val="000000"/>
        </w:rPr>
        <w:t>уплатила</w:t>
      </w:r>
      <w:r w:rsidR="00AC0D08" w:rsidRPr="00390417">
        <w:rPr>
          <w:color w:val="000000"/>
        </w:rPr>
        <w:t xml:space="preserve"> </w:t>
      </w:r>
      <w:r w:rsidRPr="00390417">
        <w:rPr>
          <w:color w:val="000000"/>
        </w:rPr>
        <w:t>на</w:t>
      </w:r>
      <w:r w:rsidR="00AC0D08" w:rsidRPr="00390417">
        <w:rPr>
          <w:color w:val="000000"/>
        </w:rPr>
        <w:t xml:space="preserve"> </w:t>
      </w:r>
      <w:r w:rsidRPr="00390417">
        <w:rPr>
          <w:color w:val="000000"/>
        </w:rPr>
        <w:t>текући</w:t>
      </w:r>
      <w:r w:rsidR="00AC0D08" w:rsidRPr="00390417">
        <w:rPr>
          <w:color w:val="000000"/>
        </w:rPr>
        <w:t xml:space="preserve"> </w:t>
      </w:r>
      <w:r w:rsidRPr="00390417">
        <w:rPr>
          <w:color w:val="000000"/>
        </w:rPr>
        <w:t>рачун</w:t>
      </w:r>
      <w:r w:rsidR="00AC0D08" w:rsidRPr="00390417">
        <w:rPr>
          <w:color w:val="000000"/>
        </w:rPr>
        <w:t xml:space="preserve"> </w:t>
      </w:r>
      <w:r w:rsidRPr="00390417">
        <w:rPr>
          <w:color w:val="000000"/>
        </w:rPr>
        <w:t>привредног</w:t>
      </w:r>
      <w:r w:rsidR="00AC0D08" w:rsidRPr="00390417">
        <w:rPr>
          <w:color w:val="000000"/>
        </w:rPr>
        <w:t xml:space="preserve"> </w:t>
      </w:r>
      <w:r w:rsidRPr="00390417">
        <w:rPr>
          <w:color w:val="000000"/>
        </w:rPr>
        <w:t>друштва</w:t>
      </w:r>
      <w:r w:rsidR="00AC0D08" w:rsidRPr="00390417">
        <w:rPr>
          <w:color w:val="000000"/>
        </w:rPr>
        <w:t xml:space="preserve">, </w:t>
      </w:r>
      <w:r w:rsidRPr="00390417">
        <w:rPr>
          <w:color w:val="000000"/>
        </w:rPr>
        <w:t>већ</w:t>
      </w:r>
      <w:r w:rsidR="00AC0D08" w:rsidRPr="00390417">
        <w:rPr>
          <w:color w:val="000000"/>
        </w:rPr>
        <w:t xml:space="preserve"> </w:t>
      </w:r>
      <w:r w:rsidRPr="00390417">
        <w:rPr>
          <w:color w:val="000000"/>
        </w:rPr>
        <w:t>је</w:t>
      </w:r>
      <w:r w:rsidR="00AC0D08" w:rsidRPr="00390417">
        <w:rPr>
          <w:color w:val="000000"/>
        </w:rPr>
        <w:t xml:space="preserve"> </w:t>
      </w:r>
      <w:r w:rsidRPr="00390417">
        <w:rPr>
          <w:color w:val="000000"/>
        </w:rPr>
        <w:t>иста</w:t>
      </w:r>
      <w:r w:rsidR="00AC0D08" w:rsidRPr="00390417">
        <w:rPr>
          <w:color w:val="000000"/>
        </w:rPr>
        <w:t xml:space="preserve"> </w:t>
      </w:r>
      <w:r w:rsidRPr="00390417">
        <w:rPr>
          <w:color w:val="000000"/>
        </w:rPr>
        <w:t>употребила</w:t>
      </w:r>
      <w:r w:rsidR="00AC0D08" w:rsidRPr="00390417">
        <w:rPr>
          <w:color w:val="000000"/>
        </w:rPr>
        <w:t xml:space="preserve"> </w:t>
      </w:r>
      <w:r w:rsidRPr="00390417">
        <w:rPr>
          <w:color w:val="000000"/>
        </w:rPr>
        <w:t>за</w:t>
      </w:r>
      <w:r w:rsidR="00AC0D08" w:rsidRPr="00390417">
        <w:rPr>
          <w:color w:val="000000"/>
        </w:rPr>
        <w:t xml:space="preserve"> </w:t>
      </w:r>
      <w:r w:rsidRPr="00390417">
        <w:rPr>
          <w:color w:val="000000"/>
        </w:rPr>
        <w:t>сопствене</w:t>
      </w:r>
      <w:r w:rsidR="00AC0D08" w:rsidRPr="00390417">
        <w:rPr>
          <w:color w:val="000000"/>
        </w:rPr>
        <w:t xml:space="preserve"> </w:t>
      </w:r>
      <w:r w:rsidRPr="00390417">
        <w:rPr>
          <w:color w:val="000000"/>
        </w:rPr>
        <w:t>потребе</w:t>
      </w:r>
      <w:r w:rsidR="00AC0D08" w:rsidRPr="00390417">
        <w:rPr>
          <w:color w:val="000000"/>
        </w:rPr>
        <w:t xml:space="preserve">, </w:t>
      </w:r>
      <w:r w:rsidRPr="00390417">
        <w:rPr>
          <w:color w:val="000000"/>
        </w:rPr>
        <w:t>а</w:t>
      </w:r>
      <w:r w:rsidR="00AC0D08" w:rsidRPr="00390417">
        <w:rPr>
          <w:color w:val="000000"/>
        </w:rPr>
        <w:t xml:space="preserve"> </w:t>
      </w:r>
      <w:r w:rsidRPr="00390417">
        <w:rPr>
          <w:color w:val="000000"/>
        </w:rPr>
        <w:t>која</w:t>
      </w:r>
      <w:r w:rsidR="00AC0D08" w:rsidRPr="00390417">
        <w:rPr>
          <w:color w:val="000000"/>
        </w:rPr>
        <w:t xml:space="preserve"> </w:t>
      </w:r>
      <w:r w:rsidRPr="00390417">
        <w:rPr>
          <w:color w:val="000000"/>
        </w:rPr>
        <w:t>представљају</w:t>
      </w:r>
      <w:r w:rsidR="00AC0D08" w:rsidRPr="00390417">
        <w:rPr>
          <w:color w:val="000000"/>
        </w:rPr>
        <w:t xml:space="preserve"> </w:t>
      </w:r>
      <w:r w:rsidRPr="00390417">
        <w:rPr>
          <w:color w:val="000000"/>
        </w:rPr>
        <w:t>приход</w:t>
      </w:r>
      <w:r w:rsidR="00AC0D08" w:rsidRPr="00390417">
        <w:rPr>
          <w:color w:val="000000"/>
        </w:rPr>
        <w:t xml:space="preserve"> </w:t>
      </w:r>
      <w:r w:rsidRPr="00390417">
        <w:rPr>
          <w:color w:val="000000"/>
        </w:rPr>
        <w:t>од</w:t>
      </w:r>
      <w:r w:rsidR="00AC0D08" w:rsidRPr="00390417">
        <w:rPr>
          <w:color w:val="000000"/>
        </w:rPr>
        <w:t xml:space="preserve"> </w:t>
      </w:r>
      <w:r w:rsidRPr="00390417">
        <w:rPr>
          <w:color w:val="000000"/>
        </w:rPr>
        <w:t>капитала</w:t>
      </w:r>
      <w:r w:rsidR="00AC0D08" w:rsidRPr="00390417">
        <w:rPr>
          <w:color w:val="000000"/>
        </w:rPr>
        <w:t xml:space="preserve"> </w:t>
      </w:r>
      <w:r w:rsidRPr="00390417">
        <w:rPr>
          <w:color w:val="000000"/>
        </w:rPr>
        <w:t>власника</w:t>
      </w:r>
      <w:r w:rsidR="00AC0D08" w:rsidRPr="00390417">
        <w:rPr>
          <w:color w:val="000000"/>
        </w:rPr>
        <w:t xml:space="preserve"> </w:t>
      </w:r>
      <w:r w:rsidRPr="00390417">
        <w:rPr>
          <w:color w:val="000000"/>
        </w:rPr>
        <w:t>остварен</w:t>
      </w:r>
      <w:r w:rsidR="00AC0D08" w:rsidRPr="00390417">
        <w:rPr>
          <w:color w:val="000000"/>
        </w:rPr>
        <w:t xml:space="preserve"> </w:t>
      </w:r>
      <w:r w:rsidRPr="00390417">
        <w:rPr>
          <w:color w:val="000000"/>
        </w:rPr>
        <w:t>узимањем</w:t>
      </w:r>
      <w:r w:rsidR="00AC0D08" w:rsidRPr="00390417">
        <w:rPr>
          <w:color w:val="000000"/>
        </w:rPr>
        <w:t xml:space="preserve"> </w:t>
      </w:r>
      <w:r w:rsidRPr="00390417">
        <w:rPr>
          <w:color w:val="000000"/>
        </w:rPr>
        <w:t>имовине</w:t>
      </w:r>
      <w:r w:rsidR="00AC0D08" w:rsidRPr="00390417">
        <w:rPr>
          <w:color w:val="000000"/>
        </w:rPr>
        <w:t xml:space="preserve"> </w:t>
      </w:r>
      <w:r w:rsidRPr="00390417">
        <w:rPr>
          <w:color w:val="000000"/>
        </w:rPr>
        <w:t>из</w:t>
      </w:r>
      <w:r w:rsidR="00AC0D08" w:rsidRPr="00390417">
        <w:rPr>
          <w:color w:val="000000"/>
        </w:rPr>
        <w:t xml:space="preserve"> </w:t>
      </w:r>
      <w:r w:rsidRPr="00390417">
        <w:rPr>
          <w:color w:val="000000"/>
        </w:rPr>
        <w:t>привредног</w:t>
      </w:r>
      <w:r w:rsidR="00AC0D08" w:rsidRPr="00390417">
        <w:rPr>
          <w:color w:val="000000"/>
        </w:rPr>
        <w:t xml:space="preserve"> </w:t>
      </w:r>
      <w:r w:rsidRPr="00390417">
        <w:rPr>
          <w:color w:val="000000"/>
        </w:rPr>
        <w:t>друштва</w:t>
      </w:r>
      <w:r w:rsidR="00AC0D08" w:rsidRPr="00390417">
        <w:rPr>
          <w:color w:val="000000"/>
        </w:rPr>
        <w:t xml:space="preserve"> </w:t>
      </w:r>
      <w:r w:rsidRPr="00390417">
        <w:rPr>
          <w:color w:val="000000"/>
        </w:rPr>
        <w:t>који</w:t>
      </w:r>
      <w:r w:rsidR="00AC0D08" w:rsidRPr="00390417">
        <w:rPr>
          <w:color w:val="000000"/>
        </w:rPr>
        <w:t xml:space="preserve"> </w:t>
      </w:r>
      <w:r w:rsidRPr="00390417">
        <w:rPr>
          <w:color w:val="000000"/>
        </w:rPr>
        <w:t>се</w:t>
      </w:r>
      <w:r w:rsidR="00AC0D08" w:rsidRPr="00390417">
        <w:rPr>
          <w:color w:val="000000"/>
        </w:rPr>
        <w:t xml:space="preserve"> </w:t>
      </w:r>
      <w:r w:rsidRPr="00390417">
        <w:rPr>
          <w:color w:val="000000"/>
        </w:rPr>
        <w:t>опорезује</w:t>
      </w:r>
      <w:r w:rsidR="00AC0D08" w:rsidRPr="00390417">
        <w:rPr>
          <w:color w:val="000000"/>
        </w:rPr>
        <w:t xml:space="preserve">, </w:t>
      </w:r>
      <w:r w:rsidRPr="00390417">
        <w:rPr>
          <w:color w:val="000000"/>
        </w:rPr>
        <w:t>чиме</w:t>
      </w:r>
      <w:r w:rsidR="00AC0D08" w:rsidRPr="00390417">
        <w:rPr>
          <w:color w:val="000000"/>
        </w:rPr>
        <w:t xml:space="preserve"> </w:t>
      </w:r>
      <w:r w:rsidRPr="00390417">
        <w:rPr>
          <w:color w:val="000000"/>
        </w:rPr>
        <w:t>је</w:t>
      </w:r>
      <w:r w:rsidR="00AC0D08" w:rsidRPr="00390417">
        <w:rPr>
          <w:color w:val="000000"/>
        </w:rPr>
        <w:t xml:space="preserve"> </w:t>
      </w:r>
      <w:r w:rsidRPr="00390417">
        <w:rPr>
          <w:color w:val="000000"/>
        </w:rPr>
        <w:t>избегла</w:t>
      </w:r>
      <w:r w:rsidR="00AC0D08" w:rsidRPr="00390417">
        <w:rPr>
          <w:color w:val="000000"/>
        </w:rPr>
        <w:t xml:space="preserve"> </w:t>
      </w:r>
      <w:r w:rsidRPr="00390417">
        <w:rPr>
          <w:color w:val="000000"/>
        </w:rPr>
        <w:t>и</w:t>
      </w:r>
      <w:r w:rsidR="00AC0D08" w:rsidRPr="00390417">
        <w:rPr>
          <w:color w:val="000000"/>
        </w:rPr>
        <w:t xml:space="preserve"> </w:t>
      </w:r>
      <w:r w:rsidRPr="00390417">
        <w:rPr>
          <w:color w:val="000000"/>
        </w:rPr>
        <w:t>обавезу</w:t>
      </w:r>
      <w:r w:rsidR="00AC0D08" w:rsidRPr="00390417">
        <w:rPr>
          <w:color w:val="000000"/>
        </w:rPr>
        <w:t xml:space="preserve"> </w:t>
      </w:r>
      <w:r w:rsidRPr="00390417">
        <w:rPr>
          <w:color w:val="000000"/>
        </w:rPr>
        <w:t>обрачуна</w:t>
      </w:r>
      <w:r w:rsidR="00AC0D08" w:rsidRPr="00390417">
        <w:rPr>
          <w:color w:val="000000"/>
        </w:rPr>
        <w:t xml:space="preserve"> </w:t>
      </w:r>
      <w:r w:rsidRPr="00390417">
        <w:rPr>
          <w:color w:val="000000"/>
        </w:rPr>
        <w:t>и</w:t>
      </w:r>
      <w:r w:rsidR="00AC0D08" w:rsidRPr="00390417">
        <w:rPr>
          <w:color w:val="000000"/>
        </w:rPr>
        <w:t xml:space="preserve"> </w:t>
      </w:r>
      <w:r w:rsidRPr="00390417">
        <w:rPr>
          <w:color w:val="000000"/>
        </w:rPr>
        <w:t>плаћања</w:t>
      </w:r>
      <w:r w:rsidR="00AC0D08" w:rsidRPr="00390417">
        <w:rPr>
          <w:color w:val="000000"/>
        </w:rPr>
        <w:t xml:space="preserve"> </w:t>
      </w:r>
      <w:r w:rsidRPr="00390417">
        <w:rPr>
          <w:color w:val="000000"/>
        </w:rPr>
        <w:t>пореза</w:t>
      </w:r>
      <w:r w:rsidR="00AC0D08" w:rsidRPr="00390417">
        <w:rPr>
          <w:color w:val="000000"/>
        </w:rPr>
        <w:t xml:space="preserve"> </w:t>
      </w:r>
      <w:r w:rsidRPr="00390417">
        <w:rPr>
          <w:color w:val="000000"/>
        </w:rPr>
        <w:t>на</w:t>
      </w:r>
      <w:r w:rsidR="00AC0D08" w:rsidRPr="00390417">
        <w:rPr>
          <w:color w:val="000000"/>
        </w:rPr>
        <w:t xml:space="preserve"> </w:t>
      </w:r>
      <w:r w:rsidRPr="00390417">
        <w:rPr>
          <w:color w:val="000000"/>
        </w:rPr>
        <w:t>приходе</w:t>
      </w:r>
      <w:r w:rsidR="00AC0D08" w:rsidRPr="00390417">
        <w:rPr>
          <w:color w:val="000000"/>
        </w:rPr>
        <w:t xml:space="preserve"> </w:t>
      </w:r>
      <w:r w:rsidRPr="00390417">
        <w:rPr>
          <w:color w:val="000000"/>
        </w:rPr>
        <w:t>од</w:t>
      </w:r>
      <w:r w:rsidR="00AC0D08" w:rsidRPr="00390417">
        <w:rPr>
          <w:color w:val="000000"/>
        </w:rPr>
        <w:t xml:space="preserve"> </w:t>
      </w:r>
      <w:r w:rsidRPr="00390417">
        <w:rPr>
          <w:color w:val="000000"/>
        </w:rPr>
        <w:t>капитала</w:t>
      </w:r>
      <w:r w:rsidR="00AC0D08" w:rsidRPr="00390417">
        <w:rPr>
          <w:color w:val="000000"/>
        </w:rPr>
        <w:t xml:space="preserve"> </w:t>
      </w:r>
      <w:r w:rsidRPr="00390417">
        <w:rPr>
          <w:color w:val="000000"/>
        </w:rPr>
        <w:t>у</w:t>
      </w:r>
      <w:r w:rsidR="00AC0D08" w:rsidRPr="00390417">
        <w:rPr>
          <w:color w:val="000000"/>
        </w:rPr>
        <w:t xml:space="preserve"> </w:t>
      </w:r>
      <w:r w:rsidRPr="00390417">
        <w:rPr>
          <w:color w:val="000000"/>
        </w:rPr>
        <w:t>износу</w:t>
      </w:r>
      <w:r w:rsidR="00AC0D08" w:rsidRPr="00390417">
        <w:rPr>
          <w:color w:val="000000"/>
        </w:rPr>
        <w:t xml:space="preserve"> </w:t>
      </w:r>
      <w:r w:rsidRPr="00390417">
        <w:rPr>
          <w:color w:val="000000"/>
        </w:rPr>
        <w:t>од</w:t>
      </w:r>
      <w:r w:rsidR="00AC0D08" w:rsidRPr="00390417">
        <w:rPr>
          <w:color w:val="000000"/>
        </w:rPr>
        <w:t xml:space="preserve"> 82.115.937 </w:t>
      </w:r>
      <w:r w:rsidRPr="00390417">
        <w:rPr>
          <w:color w:val="000000"/>
        </w:rPr>
        <w:t>динара</w:t>
      </w:r>
      <w:r w:rsidR="00AC0D08" w:rsidRPr="00390417">
        <w:rPr>
          <w:color w:val="000000"/>
        </w:rPr>
        <w:t>.</w:t>
      </w:r>
    </w:p>
    <w:p w:rsidR="00911A0C" w:rsidRPr="00911A0C" w:rsidRDefault="00911A0C" w:rsidP="00390417">
      <w:pPr>
        <w:pStyle w:val="normal0"/>
        <w:shd w:val="clear" w:color="auto" w:fill="FFFFFF"/>
        <w:spacing w:before="48" w:beforeAutospacing="0" w:after="48" w:afterAutospacing="0"/>
        <w:jc w:val="both"/>
        <w:rPr>
          <w:color w:val="000000"/>
          <w:lang w:val="sr-Cyrl-CS"/>
        </w:rPr>
      </w:pPr>
    </w:p>
    <w:p w:rsidR="00AC0D08" w:rsidRPr="00390417" w:rsidRDefault="00C5614B" w:rsidP="00390417">
      <w:pPr>
        <w:pStyle w:val="normal0"/>
        <w:shd w:val="clear" w:color="auto" w:fill="FFFFFF"/>
        <w:spacing w:before="48" w:beforeAutospacing="0" w:after="48" w:afterAutospacing="0"/>
        <w:jc w:val="both"/>
        <w:rPr>
          <w:color w:val="000000"/>
        </w:rPr>
      </w:pPr>
      <w:r w:rsidRPr="00390417">
        <w:rPr>
          <w:color w:val="000000"/>
        </w:rPr>
        <w:t>Поменутим</w:t>
      </w:r>
      <w:r w:rsidR="00AC0D08" w:rsidRPr="00390417">
        <w:rPr>
          <w:color w:val="000000"/>
        </w:rPr>
        <w:t xml:space="preserve"> </w:t>
      </w:r>
      <w:r w:rsidRPr="00390417">
        <w:rPr>
          <w:color w:val="000000"/>
        </w:rPr>
        <w:t>радњама</w:t>
      </w:r>
      <w:r w:rsidR="00AC0D08" w:rsidRPr="00390417">
        <w:rPr>
          <w:color w:val="000000"/>
        </w:rPr>
        <w:t xml:space="preserve"> </w:t>
      </w:r>
      <w:r w:rsidRPr="00390417">
        <w:rPr>
          <w:color w:val="000000"/>
        </w:rPr>
        <w:t>пријављена</w:t>
      </w:r>
      <w:r w:rsidR="00AC0D08" w:rsidRPr="00390417">
        <w:rPr>
          <w:color w:val="000000"/>
        </w:rPr>
        <w:t xml:space="preserve"> </w:t>
      </w:r>
      <w:r w:rsidRPr="00390417">
        <w:rPr>
          <w:color w:val="000000"/>
        </w:rPr>
        <w:t>је</w:t>
      </w:r>
      <w:r w:rsidR="00AC0D08" w:rsidRPr="00390417">
        <w:rPr>
          <w:color w:val="000000"/>
        </w:rPr>
        <w:t xml:space="preserve"> </w:t>
      </w:r>
      <w:r w:rsidRPr="00390417">
        <w:rPr>
          <w:color w:val="000000"/>
        </w:rPr>
        <w:t>оштетила</w:t>
      </w:r>
      <w:r w:rsidR="00AC0D08" w:rsidRPr="00390417">
        <w:rPr>
          <w:color w:val="000000"/>
        </w:rPr>
        <w:t xml:space="preserve"> </w:t>
      </w:r>
      <w:r w:rsidRPr="00390417">
        <w:rPr>
          <w:color w:val="000000"/>
        </w:rPr>
        <w:t>буџет</w:t>
      </w:r>
      <w:r w:rsidR="00AC0D08" w:rsidRPr="00390417">
        <w:rPr>
          <w:color w:val="000000"/>
        </w:rPr>
        <w:t xml:space="preserve"> </w:t>
      </w:r>
      <w:r w:rsidRPr="00390417">
        <w:rPr>
          <w:color w:val="000000"/>
        </w:rPr>
        <w:t>Републике</w:t>
      </w:r>
      <w:r w:rsidR="00AC0D08" w:rsidRPr="00390417">
        <w:rPr>
          <w:color w:val="000000"/>
        </w:rPr>
        <w:t xml:space="preserve"> </w:t>
      </w:r>
      <w:r w:rsidRPr="00390417">
        <w:rPr>
          <w:color w:val="000000"/>
        </w:rPr>
        <w:t>Србије</w:t>
      </w:r>
      <w:r w:rsidR="00AC0D08" w:rsidRPr="00390417">
        <w:rPr>
          <w:color w:val="000000"/>
        </w:rPr>
        <w:t xml:space="preserve"> </w:t>
      </w:r>
      <w:r w:rsidRPr="00390417">
        <w:rPr>
          <w:color w:val="000000"/>
        </w:rPr>
        <w:t>за</w:t>
      </w:r>
      <w:r w:rsidR="00AC0D08" w:rsidRPr="00390417">
        <w:rPr>
          <w:color w:val="000000"/>
        </w:rPr>
        <w:t xml:space="preserve"> </w:t>
      </w:r>
      <w:r w:rsidRPr="00390417">
        <w:rPr>
          <w:color w:val="000000"/>
        </w:rPr>
        <w:t>износ</w:t>
      </w:r>
      <w:r w:rsidR="00AC0D08" w:rsidRPr="00390417">
        <w:rPr>
          <w:color w:val="000000"/>
        </w:rPr>
        <w:t xml:space="preserve"> </w:t>
      </w:r>
      <w:r w:rsidRPr="00390417">
        <w:rPr>
          <w:color w:val="000000"/>
        </w:rPr>
        <w:t>од</w:t>
      </w:r>
      <w:r w:rsidR="00AC0D08" w:rsidRPr="00390417">
        <w:rPr>
          <w:color w:val="000000"/>
        </w:rPr>
        <w:t xml:space="preserve"> 132.219.797 </w:t>
      </w:r>
      <w:r w:rsidRPr="00390417">
        <w:rPr>
          <w:color w:val="000000"/>
        </w:rPr>
        <w:t>динара</w:t>
      </w:r>
      <w:r w:rsidR="00AC0D08" w:rsidRPr="00390417">
        <w:rPr>
          <w:color w:val="000000"/>
        </w:rPr>
        <w:t>.</w:t>
      </w:r>
    </w:p>
    <w:p w:rsidR="00ED3A8A" w:rsidRDefault="00C5614B" w:rsidP="00166B45">
      <w:pPr>
        <w:pStyle w:val="normalitalic"/>
        <w:shd w:val="clear" w:color="auto" w:fill="FFFFFF"/>
        <w:spacing w:before="48" w:beforeAutospacing="0" w:after="48" w:afterAutospacing="0"/>
        <w:jc w:val="both"/>
        <w:rPr>
          <w:i/>
          <w:iCs/>
          <w:color w:val="000000"/>
          <w:lang w:val="sr-Cyrl-CS"/>
        </w:rPr>
      </w:pPr>
      <w:r w:rsidRPr="00390417">
        <w:rPr>
          <w:i/>
          <w:iCs/>
          <w:color w:val="000000"/>
        </w:rPr>
        <w:t>Извор</w:t>
      </w:r>
      <w:r w:rsidR="00AC0D08" w:rsidRPr="00390417">
        <w:rPr>
          <w:i/>
          <w:iCs/>
          <w:color w:val="000000"/>
        </w:rPr>
        <w:t xml:space="preserve">: </w:t>
      </w:r>
      <w:r w:rsidRPr="00390417">
        <w:rPr>
          <w:i/>
          <w:iCs/>
          <w:color w:val="000000"/>
        </w:rPr>
        <w:t>Вебсајт</w:t>
      </w:r>
      <w:r w:rsidR="00AC0D08" w:rsidRPr="00390417">
        <w:rPr>
          <w:i/>
          <w:iCs/>
          <w:color w:val="000000"/>
        </w:rPr>
        <w:t xml:space="preserve"> </w:t>
      </w:r>
      <w:r w:rsidRPr="00390417">
        <w:rPr>
          <w:i/>
          <w:iCs/>
          <w:color w:val="000000"/>
        </w:rPr>
        <w:t>Пореске</w:t>
      </w:r>
      <w:r w:rsidR="00AC0D08" w:rsidRPr="00390417">
        <w:rPr>
          <w:i/>
          <w:iCs/>
          <w:color w:val="000000"/>
        </w:rPr>
        <w:t xml:space="preserve"> </w:t>
      </w:r>
      <w:r w:rsidRPr="00390417">
        <w:rPr>
          <w:i/>
          <w:iCs/>
          <w:color w:val="000000"/>
        </w:rPr>
        <w:t>управе</w:t>
      </w:r>
      <w:r w:rsidR="00AC0D08" w:rsidRPr="00390417">
        <w:rPr>
          <w:i/>
          <w:iCs/>
          <w:color w:val="000000"/>
        </w:rPr>
        <w:t>, 15.5.2012.</w:t>
      </w:r>
    </w:p>
    <w:p w:rsidR="002E473E" w:rsidRPr="002E473E" w:rsidRDefault="002E473E" w:rsidP="00166B45">
      <w:pPr>
        <w:pStyle w:val="normalitalic"/>
        <w:shd w:val="clear" w:color="auto" w:fill="FFFFFF"/>
        <w:spacing w:before="48" w:beforeAutospacing="0" w:after="48" w:afterAutospacing="0"/>
        <w:jc w:val="both"/>
        <w:rPr>
          <w:i/>
          <w:iCs/>
          <w:color w:val="000000"/>
          <w:lang w:val="sr-Cyrl-CS"/>
        </w:rPr>
      </w:pPr>
    </w:p>
    <w:p w:rsidR="00166B45" w:rsidRPr="00166B45" w:rsidRDefault="00166B45" w:rsidP="00166B45">
      <w:pPr>
        <w:pStyle w:val="normalitalic"/>
        <w:shd w:val="clear" w:color="auto" w:fill="FFFFFF"/>
        <w:spacing w:before="48" w:beforeAutospacing="0" w:after="48" w:afterAutospacing="0"/>
        <w:jc w:val="both"/>
        <w:rPr>
          <w:i/>
          <w:iCs/>
          <w:color w:val="000000"/>
          <w:lang w:val="sr-Cyrl-CS"/>
        </w:rPr>
      </w:pPr>
    </w:p>
    <w:p w:rsidR="00D06E30" w:rsidRDefault="00390417" w:rsidP="00390417">
      <w:pPr>
        <w:shd w:val="clear" w:color="auto" w:fill="FFFFFF"/>
        <w:spacing w:before="100" w:beforeAutospacing="1" w:after="100" w:afterAutospacing="1" w:line="240" w:lineRule="auto"/>
        <w:jc w:val="both"/>
        <w:rPr>
          <w:rFonts w:ascii="Times New Roman" w:hAnsi="Times New Roman"/>
          <w:bCs/>
          <w:color w:val="000000"/>
          <w:sz w:val="24"/>
          <w:szCs w:val="24"/>
          <w:lang w:val="sr-Cyrl-CS"/>
        </w:rPr>
      </w:pPr>
      <w:r w:rsidRPr="00390417">
        <w:rPr>
          <w:rFonts w:ascii="Times New Roman" w:hAnsi="Times New Roman"/>
          <w:bCs/>
          <w:color w:val="000000"/>
          <w:sz w:val="24"/>
          <w:szCs w:val="24"/>
          <w:lang w:val="sr-Cyrl-CS"/>
        </w:rPr>
        <w:lastRenderedPageBreak/>
        <w:t>1</w:t>
      </w:r>
      <w:r w:rsidR="001467DF">
        <w:rPr>
          <w:rFonts w:ascii="Times New Roman" w:hAnsi="Times New Roman"/>
          <w:bCs/>
          <w:color w:val="000000"/>
          <w:sz w:val="24"/>
          <w:szCs w:val="24"/>
          <w:lang w:val="sr-Cyrl-CS"/>
        </w:rPr>
        <w:t>5</w:t>
      </w:r>
      <w:r w:rsidRPr="00390417">
        <w:rPr>
          <w:rFonts w:ascii="Times New Roman" w:hAnsi="Times New Roman"/>
          <w:bCs/>
          <w:color w:val="000000"/>
          <w:sz w:val="24"/>
          <w:szCs w:val="24"/>
          <w:lang w:val="sr-Cyrl-CS"/>
        </w:rPr>
        <w:t>)</w:t>
      </w:r>
    </w:p>
    <w:p w:rsidR="00166B45" w:rsidRPr="00390417" w:rsidRDefault="00C5614B" w:rsidP="00390417">
      <w:pPr>
        <w:shd w:val="clear" w:color="auto" w:fill="FFFFFF"/>
        <w:spacing w:before="100" w:beforeAutospacing="1" w:after="100" w:afterAutospacing="1" w:line="240" w:lineRule="auto"/>
        <w:jc w:val="both"/>
        <w:rPr>
          <w:rFonts w:ascii="Times New Roman" w:hAnsi="Times New Roman"/>
          <w:color w:val="000000"/>
          <w:sz w:val="24"/>
          <w:szCs w:val="24"/>
        </w:rPr>
      </w:pPr>
      <w:r w:rsidRPr="00390417">
        <w:rPr>
          <w:rFonts w:ascii="Times New Roman" w:hAnsi="Times New Roman"/>
          <w:color w:val="000000"/>
          <w:sz w:val="24"/>
          <w:szCs w:val="24"/>
        </w:rPr>
        <w:t>Услов</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да</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радња</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кривичног</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дела</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примање</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мита</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из</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члана</w:t>
      </w:r>
      <w:r w:rsidR="00ED3A8A" w:rsidRPr="00390417">
        <w:rPr>
          <w:rFonts w:ascii="Times New Roman" w:hAnsi="Times New Roman"/>
          <w:color w:val="000000"/>
          <w:sz w:val="24"/>
          <w:szCs w:val="24"/>
        </w:rPr>
        <w:t xml:space="preserve"> 254. </w:t>
      </w:r>
      <w:r w:rsidRPr="00390417">
        <w:rPr>
          <w:rFonts w:ascii="Times New Roman" w:hAnsi="Times New Roman"/>
          <w:color w:val="000000"/>
          <w:sz w:val="24"/>
          <w:szCs w:val="24"/>
        </w:rPr>
        <w:t>Кривичног</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закона</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Републике</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Србије</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мора</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бити</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предузета</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у</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оквиру</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службеног</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овлашћења</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учиниоца</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је</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испуњен</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и</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уколико</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је</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у</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конкретном</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случају</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суд</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утврдио</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да</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постоји</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фактичко</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овлашћење</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на</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предузимање</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радње</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давањем</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факсимила</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и</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печата</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од</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стране</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формално</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овлашћеног</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лица</w:t>
      </w:r>
      <w:r w:rsidR="00ED3A8A" w:rsidRPr="00390417">
        <w:rPr>
          <w:rFonts w:ascii="Times New Roman" w:hAnsi="Times New Roman"/>
          <w:color w:val="000000"/>
          <w:sz w:val="24"/>
          <w:szCs w:val="24"/>
        </w:rPr>
        <w:t>.</w:t>
      </w:r>
    </w:p>
    <w:p w:rsidR="00ED3A8A" w:rsidRDefault="00C5614B" w:rsidP="00390417">
      <w:pPr>
        <w:shd w:val="clear" w:color="auto" w:fill="FFFFFF"/>
        <w:spacing w:before="48" w:after="48" w:line="240" w:lineRule="auto"/>
        <w:jc w:val="both"/>
        <w:rPr>
          <w:rFonts w:ascii="Times New Roman" w:hAnsi="Times New Roman"/>
          <w:color w:val="000000"/>
          <w:sz w:val="24"/>
          <w:szCs w:val="24"/>
          <w:lang w:val="sr-Cyrl-CS"/>
        </w:rPr>
      </w:pPr>
      <w:r w:rsidRPr="00390417">
        <w:rPr>
          <w:rFonts w:ascii="Times New Roman" w:hAnsi="Times New Roman"/>
          <w:color w:val="000000"/>
          <w:sz w:val="24"/>
          <w:szCs w:val="24"/>
        </w:rPr>
        <w:t>Из</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образложења</w:t>
      </w:r>
      <w:r w:rsidR="00ED3A8A" w:rsidRPr="00390417">
        <w:rPr>
          <w:rFonts w:ascii="Times New Roman" w:hAnsi="Times New Roman"/>
          <w:color w:val="000000"/>
          <w:sz w:val="24"/>
          <w:szCs w:val="24"/>
        </w:rPr>
        <w:t>:</w:t>
      </w:r>
    </w:p>
    <w:p w:rsidR="00390417" w:rsidRPr="00166B45" w:rsidRDefault="00390417" w:rsidP="00390417">
      <w:pPr>
        <w:shd w:val="clear" w:color="auto" w:fill="FFFFFF"/>
        <w:spacing w:before="48" w:after="48" w:line="240" w:lineRule="auto"/>
        <w:jc w:val="both"/>
        <w:rPr>
          <w:rFonts w:ascii="Times New Roman" w:hAnsi="Times New Roman"/>
          <w:color w:val="000000"/>
          <w:sz w:val="24"/>
          <w:szCs w:val="24"/>
        </w:rPr>
      </w:pPr>
    </w:p>
    <w:p w:rsidR="00ED3A8A" w:rsidRDefault="00ED3A8A" w:rsidP="00390417">
      <w:pPr>
        <w:shd w:val="clear" w:color="auto" w:fill="FFFFFF"/>
        <w:spacing w:before="48" w:after="48" w:line="240" w:lineRule="auto"/>
        <w:jc w:val="both"/>
        <w:rPr>
          <w:rFonts w:ascii="Times New Roman" w:hAnsi="Times New Roman"/>
          <w:iCs/>
          <w:color w:val="000000"/>
          <w:sz w:val="24"/>
          <w:szCs w:val="24"/>
          <w:lang w:val="sr-Cyrl-CS"/>
        </w:rPr>
      </w:pPr>
      <w:r w:rsidRPr="00911A0C">
        <w:rPr>
          <w:rFonts w:ascii="Times New Roman" w:hAnsi="Times New Roman"/>
          <w:iCs/>
          <w:color w:val="000000"/>
          <w:sz w:val="24"/>
          <w:szCs w:val="24"/>
        </w:rPr>
        <w:t>"</w:t>
      </w:r>
      <w:r w:rsidR="00C5614B" w:rsidRPr="00911A0C">
        <w:rPr>
          <w:rFonts w:ascii="Times New Roman" w:hAnsi="Times New Roman"/>
          <w:iCs/>
          <w:color w:val="000000"/>
          <w:sz w:val="24"/>
          <w:szCs w:val="24"/>
        </w:rPr>
        <w:t>Став</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суда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је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да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је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оптужени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кривично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дело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довршио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како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је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већ</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речено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самим</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захтевањем</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мита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то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у</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погледу</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доношења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закључка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од</w:t>
      </w:r>
      <w:r w:rsidRPr="00911A0C">
        <w:rPr>
          <w:rFonts w:ascii="Times New Roman" w:hAnsi="Times New Roman"/>
          <w:iCs/>
          <w:color w:val="000000"/>
          <w:sz w:val="24"/>
          <w:szCs w:val="24"/>
        </w:rPr>
        <w:t xml:space="preserve"> 27.11.2001. </w:t>
      </w:r>
      <w:r w:rsidR="00C5614B" w:rsidRPr="00911A0C">
        <w:rPr>
          <w:rFonts w:ascii="Times New Roman" w:hAnsi="Times New Roman"/>
          <w:iCs/>
          <w:color w:val="000000"/>
          <w:sz w:val="24"/>
          <w:szCs w:val="24"/>
        </w:rPr>
        <w:t>године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тј</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захтевањем</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мита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да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би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овај</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закључак</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донео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будући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да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се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ово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кривично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дело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може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извршити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од</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стране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службеног</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лица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које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захтева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или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прими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поклон</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или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какву</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другу</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корист</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те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обећање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поклона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или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какве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користи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да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у</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оквиру</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свог</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службеног</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овлашћења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изврши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службену</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радњу</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коју</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не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би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смело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извршити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или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да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не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изврши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службену</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радњу</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коју</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би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морало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извршити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Такође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став</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је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суда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да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се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овај</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облик</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подмићивања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за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који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је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оптужени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оглашен</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кривим</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може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извршити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од</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стране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службеног</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лица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не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само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у</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случају</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када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службено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лице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диспонира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са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дискреционим</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правом</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у</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доношењу</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одређених</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одлука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већ</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увек</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кад</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располаже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са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службеним</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овлашћењима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оптужени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је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како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је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утврђено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изведеним</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доказима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фактички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располагао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са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службеним</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овлашћењима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у</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оквиру</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којих</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је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извршио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службену</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радњу</w:t>
      </w:r>
      <w:r w:rsidRPr="00911A0C">
        <w:rPr>
          <w:rFonts w:ascii="Times New Roman" w:hAnsi="Times New Roman"/>
          <w:iCs/>
          <w:color w:val="000000"/>
          <w:sz w:val="24"/>
          <w:szCs w:val="24"/>
        </w:rPr>
        <w:t xml:space="preserve"> - </w:t>
      </w:r>
      <w:r w:rsidR="00C5614B" w:rsidRPr="00911A0C">
        <w:rPr>
          <w:rFonts w:ascii="Times New Roman" w:hAnsi="Times New Roman"/>
          <w:iCs/>
          <w:color w:val="000000"/>
          <w:sz w:val="24"/>
          <w:szCs w:val="24"/>
        </w:rPr>
        <w:t>доношење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закључка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од</w:t>
      </w:r>
      <w:r w:rsidRPr="00911A0C">
        <w:rPr>
          <w:rFonts w:ascii="Times New Roman" w:hAnsi="Times New Roman"/>
          <w:iCs/>
          <w:color w:val="000000"/>
          <w:sz w:val="24"/>
          <w:szCs w:val="24"/>
        </w:rPr>
        <w:t xml:space="preserve"> 27.11.2001. </w:t>
      </w:r>
      <w:r w:rsidR="00C5614B" w:rsidRPr="00911A0C">
        <w:rPr>
          <w:rFonts w:ascii="Times New Roman" w:hAnsi="Times New Roman"/>
          <w:iCs/>
          <w:color w:val="000000"/>
          <w:sz w:val="24"/>
          <w:szCs w:val="24"/>
        </w:rPr>
        <w:t>године</w:t>
      </w:r>
      <w:r w:rsidRPr="00911A0C">
        <w:rPr>
          <w:rFonts w:ascii="Times New Roman" w:hAnsi="Times New Roman"/>
          <w:iCs/>
          <w:color w:val="000000"/>
          <w:sz w:val="24"/>
          <w:szCs w:val="24"/>
        </w:rPr>
        <w:t>.</w:t>
      </w:r>
    </w:p>
    <w:p w:rsidR="00911A0C" w:rsidRPr="00911A0C" w:rsidRDefault="00911A0C" w:rsidP="00390417">
      <w:pPr>
        <w:shd w:val="clear" w:color="auto" w:fill="FFFFFF"/>
        <w:spacing w:before="48" w:after="48" w:line="240" w:lineRule="auto"/>
        <w:jc w:val="both"/>
        <w:rPr>
          <w:rFonts w:ascii="Times New Roman" w:hAnsi="Times New Roman"/>
          <w:iCs/>
          <w:color w:val="000000"/>
          <w:sz w:val="24"/>
          <w:szCs w:val="24"/>
          <w:lang w:val="sr-Cyrl-CS"/>
        </w:rPr>
      </w:pPr>
    </w:p>
    <w:p w:rsidR="00ED3A8A" w:rsidRPr="00911A0C" w:rsidRDefault="00C5614B" w:rsidP="00390417">
      <w:pPr>
        <w:shd w:val="clear" w:color="auto" w:fill="FFFFFF"/>
        <w:spacing w:before="48" w:after="48" w:line="240" w:lineRule="auto"/>
        <w:jc w:val="both"/>
        <w:rPr>
          <w:rFonts w:ascii="Times New Roman" w:hAnsi="Times New Roman"/>
          <w:iCs/>
          <w:color w:val="000000"/>
          <w:sz w:val="24"/>
          <w:szCs w:val="24"/>
        </w:rPr>
      </w:pPr>
      <w:r w:rsidRPr="00911A0C">
        <w:rPr>
          <w:rFonts w:ascii="Times New Roman" w:hAnsi="Times New Roman"/>
          <w:iCs/>
          <w:color w:val="000000"/>
          <w:sz w:val="24"/>
          <w:szCs w:val="24"/>
        </w:rPr>
        <w:t>Посебно</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је</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утврђено</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да</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овакве</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радње</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у</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смислу</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доношења</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закључака</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и</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решења</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у</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извршном</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поступку</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фактички</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спадају</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у</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делокруг</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његових</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овлашћења</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што</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је</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и</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сам</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оптужени</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признао</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да</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је</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фактички</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био</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овлашћен</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од</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извршног</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судије</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да</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доноси</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решења</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а</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закључци</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су</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акти</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ниже</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снаге</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што</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је</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потврдила</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и</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сведок</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С</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М</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али</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такође</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и</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сведок</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О</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који</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је</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оптуженом</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ставио</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на</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располагање</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његов</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факсимил</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и</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печат</w:t>
      </w:r>
      <w:r w:rsidR="00ED3A8A" w:rsidRPr="00911A0C">
        <w:rPr>
          <w:rFonts w:ascii="Times New Roman" w:hAnsi="Times New Roman"/>
          <w:iCs/>
          <w:color w:val="000000"/>
          <w:sz w:val="24"/>
          <w:szCs w:val="24"/>
        </w:rPr>
        <w:t>."</w:t>
      </w:r>
    </w:p>
    <w:p w:rsidR="00ED3A8A" w:rsidRPr="00390417" w:rsidRDefault="00ED3A8A" w:rsidP="00390417">
      <w:pPr>
        <w:shd w:val="clear" w:color="auto" w:fill="FFFFFF"/>
        <w:spacing w:before="48" w:after="48" w:line="240" w:lineRule="auto"/>
        <w:jc w:val="both"/>
        <w:rPr>
          <w:rFonts w:ascii="Times New Roman" w:hAnsi="Times New Roman"/>
          <w:i/>
          <w:iCs/>
          <w:color w:val="000000"/>
          <w:sz w:val="24"/>
          <w:szCs w:val="24"/>
        </w:rPr>
      </w:pPr>
      <w:r w:rsidRPr="00390417">
        <w:rPr>
          <w:rFonts w:ascii="Times New Roman" w:hAnsi="Times New Roman"/>
          <w:i/>
          <w:iCs/>
          <w:color w:val="000000"/>
          <w:sz w:val="24"/>
          <w:szCs w:val="24"/>
        </w:rPr>
        <w:t> </w:t>
      </w:r>
    </w:p>
    <w:p w:rsidR="00166B45" w:rsidRDefault="00ED3A8A" w:rsidP="00390417">
      <w:pPr>
        <w:shd w:val="clear" w:color="auto" w:fill="FFFFFF"/>
        <w:spacing w:before="48" w:after="48" w:line="240" w:lineRule="auto"/>
        <w:jc w:val="both"/>
        <w:rPr>
          <w:rFonts w:ascii="Times New Roman" w:hAnsi="Times New Roman"/>
          <w:b/>
          <w:bCs/>
          <w:color w:val="000000"/>
          <w:sz w:val="24"/>
          <w:szCs w:val="24"/>
        </w:rPr>
      </w:pPr>
      <w:r w:rsidRPr="00390417">
        <w:rPr>
          <w:rFonts w:ascii="Times New Roman" w:hAnsi="Times New Roman"/>
          <w:b/>
          <w:bCs/>
          <w:color w:val="000000"/>
          <w:sz w:val="24"/>
          <w:szCs w:val="24"/>
        </w:rPr>
        <w:t>(</w:t>
      </w:r>
      <w:r w:rsidR="00C5614B" w:rsidRPr="00390417">
        <w:rPr>
          <w:rFonts w:ascii="Times New Roman" w:hAnsi="Times New Roman"/>
          <w:b/>
          <w:bCs/>
          <w:color w:val="000000"/>
          <w:sz w:val="24"/>
          <w:szCs w:val="24"/>
        </w:rPr>
        <w:t>Пресуда</w:t>
      </w:r>
      <w:r w:rsidRPr="00390417">
        <w:rPr>
          <w:rFonts w:ascii="Times New Roman" w:hAnsi="Times New Roman"/>
          <w:b/>
          <w:bCs/>
          <w:color w:val="000000"/>
          <w:sz w:val="24"/>
          <w:szCs w:val="24"/>
        </w:rPr>
        <w:t xml:space="preserve"> </w:t>
      </w:r>
      <w:r w:rsidR="00C5614B" w:rsidRPr="00390417">
        <w:rPr>
          <w:rFonts w:ascii="Times New Roman" w:hAnsi="Times New Roman"/>
          <w:b/>
          <w:bCs/>
          <w:color w:val="000000"/>
          <w:sz w:val="24"/>
          <w:szCs w:val="24"/>
        </w:rPr>
        <w:t>Окружног</w:t>
      </w:r>
      <w:r w:rsidRPr="00390417">
        <w:rPr>
          <w:rFonts w:ascii="Times New Roman" w:hAnsi="Times New Roman"/>
          <w:b/>
          <w:bCs/>
          <w:color w:val="000000"/>
          <w:sz w:val="24"/>
          <w:szCs w:val="24"/>
        </w:rPr>
        <w:t xml:space="preserve"> </w:t>
      </w:r>
      <w:r w:rsidR="00C5614B" w:rsidRPr="00390417">
        <w:rPr>
          <w:rFonts w:ascii="Times New Roman" w:hAnsi="Times New Roman"/>
          <w:b/>
          <w:bCs/>
          <w:color w:val="000000"/>
          <w:sz w:val="24"/>
          <w:szCs w:val="24"/>
        </w:rPr>
        <w:t>суда</w:t>
      </w:r>
      <w:r w:rsidRPr="00390417">
        <w:rPr>
          <w:rFonts w:ascii="Times New Roman" w:hAnsi="Times New Roman"/>
          <w:b/>
          <w:bCs/>
          <w:color w:val="000000"/>
          <w:sz w:val="24"/>
          <w:szCs w:val="24"/>
        </w:rPr>
        <w:t xml:space="preserve"> </w:t>
      </w:r>
      <w:r w:rsidR="00C5614B" w:rsidRPr="00390417">
        <w:rPr>
          <w:rFonts w:ascii="Times New Roman" w:hAnsi="Times New Roman"/>
          <w:b/>
          <w:bCs/>
          <w:color w:val="000000"/>
          <w:sz w:val="24"/>
          <w:szCs w:val="24"/>
        </w:rPr>
        <w:t>у</w:t>
      </w:r>
      <w:r w:rsidRPr="00390417">
        <w:rPr>
          <w:rFonts w:ascii="Times New Roman" w:hAnsi="Times New Roman"/>
          <w:b/>
          <w:bCs/>
          <w:color w:val="000000"/>
          <w:sz w:val="24"/>
          <w:szCs w:val="24"/>
        </w:rPr>
        <w:t xml:space="preserve"> </w:t>
      </w:r>
      <w:r w:rsidR="00C5614B" w:rsidRPr="00390417">
        <w:rPr>
          <w:rFonts w:ascii="Times New Roman" w:hAnsi="Times New Roman"/>
          <w:b/>
          <w:bCs/>
          <w:color w:val="000000"/>
          <w:sz w:val="24"/>
          <w:szCs w:val="24"/>
        </w:rPr>
        <w:t>Крагујевцу</w:t>
      </w:r>
      <w:r w:rsidRPr="00390417">
        <w:rPr>
          <w:rFonts w:ascii="Times New Roman" w:hAnsi="Times New Roman"/>
          <w:b/>
          <w:bCs/>
          <w:color w:val="000000"/>
          <w:sz w:val="24"/>
          <w:szCs w:val="24"/>
        </w:rPr>
        <w:t xml:space="preserve">, </w:t>
      </w:r>
      <w:r w:rsidR="00C5614B" w:rsidRPr="00390417">
        <w:rPr>
          <w:rFonts w:ascii="Times New Roman" w:hAnsi="Times New Roman"/>
          <w:b/>
          <w:bCs/>
          <w:color w:val="000000"/>
          <w:sz w:val="24"/>
          <w:szCs w:val="24"/>
        </w:rPr>
        <w:t>К</w:t>
      </w:r>
      <w:r w:rsidRPr="00390417">
        <w:rPr>
          <w:rFonts w:ascii="Times New Roman" w:hAnsi="Times New Roman"/>
          <w:b/>
          <w:bCs/>
          <w:color w:val="000000"/>
          <w:sz w:val="24"/>
          <w:szCs w:val="24"/>
        </w:rPr>
        <w:t xml:space="preserve">. 27/2002 </w:t>
      </w:r>
      <w:r w:rsidR="00C5614B" w:rsidRPr="00390417">
        <w:rPr>
          <w:rFonts w:ascii="Times New Roman" w:hAnsi="Times New Roman"/>
          <w:b/>
          <w:bCs/>
          <w:color w:val="000000"/>
          <w:sz w:val="24"/>
          <w:szCs w:val="24"/>
        </w:rPr>
        <w:t>од</w:t>
      </w:r>
      <w:r w:rsidRPr="00390417">
        <w:rPr>
          <w:rFonts w:ascii="Times New Roman" w:hAnsi="Times New Roman"/>
          <w:b/>
          <w:bCs/>
          <w:color w:val="000000"/>
          <w:sz w:val="24"/>
          <w:szCs w:val="24"/>
        </w:rPr>
        <w:t xml:space="preserve"> 2.12.2002. </w:t>
      </w:r>
      <w:r w:rsidR="00C5614B" w:rsidRPr="00390417">
        <w:rPr>
          <w:rFonts w:ascii="Times New Roman" w:hAnsi="Times New Roman"/>
          <w:b/>
          <w:bCs/>
          <w:color w:val="000000"/>
          <w:sz w:val="24"/>
          <w:szCs w:val="24"/>
        </w:rPr>
        <w:t>године</w:t>
      </w:r>
      <w:r w:rsidRPr="00390417">
        <w:rPr>
          <w:rFonts w:ascii="Times New Roman" w:hAnsi="Times New Roman"/>
          <w:b/>
          <w:bCs/>
          <w:color w:val="000000"/>
          <w:sz w:val="24"/>
          <w:szCs w:val="24"/>
        </w:rPr>
        <w:t>)</w:t>
      </w:r>
    </w:p>
    <w:p w:rsidR="00166B45" w:rsidRPr="002E473E" w:rsidRDefault="00166B45" w:rsidP="00390417">
      <w:pPr>
        <w:shd w:val="clear" w:color="auto" w:fill="FFFFFF"/>
        <w:spacing w:before="48" w:after="48" w:line="240" w:lineRule="auto"/>
        <w:jc w:val="both"/>
        <w:rPr>
          <w:rFonts w:ascii="Times New Roman" w:hAnsi="Times New Roman"/>
          <w:b/>
          <w:bCs/>
          <w:color w:val="000000"/>
          <w:sz w:val="24"/>
          <w:szCs w:val="24"/>
          <w:lang w:val="sr-Cyrl-CS"/>
        </w:rPr>
      </w:pPr>
    </w:p>
    <w:p w:rsidR="00166B45" w:rsidRPr="002E473E" w:rsidRDefault="001467DF" w:rsidP="00390417">
      <w:pPr>
        <w:shd w:val="clear" w:color="auto" w:fill="FFFFFF"/>
        <w:spacing w:before="100" w:beforeAutospacing="1" w:after="100" w:afterAutospacing="1" w:line="240" w:lineRule="auto"/>
        <w:jc w:val="both"/>
        <w:rPr>
          <w:rFonts w:ascii="Times New Roman" w:hAnsi="Times New Roman"/>
          <w:color w:val="000000"/>
          <w:sz w:val="24"/>
          <w:szCs w:val="24"/>
          <w:lang w:val="sr-Cyrl-CS"/>
        </w:rPr>
      </w:pPr>
      <w:r>
        <w:rPr>
          <w:rFonts w:ascii="Times New Roman" w:hAnsi="Times New Roman"/>
          <w:color w:val="000000"/>
          <w:sz w:val="24"/>
          <w:szCs w:val="24"/>
          <w:lang w:val="sr-Cyrl-CS"/>
        </w:rPr>
        <w:t>16</w:t>
      </w:r>
      <w:r w:rsidR="00390417">
        <w:rPr>
          <w:rFonts w:ascii="Times New Roman" w:hAnsi="Times New Roman"/>
          <w:color w:val="000000"/>
          <w:sz w:val="24"/>
          <w:szCs w:val="24"/>
          <w:lang w:val="sr-Cyrl-CS"/>
        </w:rPr>
        <w:t>)</w:t>
      </w:r>
    </w:p>
    <w:p w:rsidR="00390417" w:rsidRPr="00166B45" w:rsidRDefault="00C5614B" w:rsidP="00390417">
      <w:pPr>
        <w:shd w:val="clear" w:color="auto" w:fill="FFFFFF"/>
        <w:spacing w:before="100" w:beforeAutospacing="1" w:after="100" w:afterAutospacing="1" w:line="240" w:lineRule="auto"/>
        <w:jc w:val="both"/>
        <w:rPr>
          <w:rFonts w:ascii="Times New Roman" w:hAnsi="Times New Roman"/>
          <w:color w:val="000000"/>
          <w:sz w:val="24"/>
          <w:szCs w:val="24"/>
        </w:rPr>
      </w:pPr>
      <w:r w:rsidRPr="00390417">
        <w:rPr>
          <w:rFonts w:ascii="Times New Roman" w:hAnsi="Times New Roman"/>
          <w:color w:val="000000"/>
          <w:sz w:val="24"/>
          <w:szCs w:val="24"/>
        </w:rPr>
        <w:t>Кривично</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дело</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примања</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мита</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је</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свршено</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самим</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пријемом</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поклона</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од</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стране</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учиниоца</w:t>
      </w:r>
      <w:r w:rsidR="00ED3A8A" w:rsidRPr="00390417">
        <w:rPr>
          <w:rFonts w:ascii="Times New Roman" w:hAnsi="Times New Roman"/>
          <w:color w:val="000000"/>
          <w:sz w:val="24"/>
          <w:szCs w:val="24"/>
        </w:rPr>
        <w:t>.</w:t>
      </w:r>
    </w:p>
    <w:p w:rsidR="00390417" w:rsidRPr="00166B45" w:rsidRDefault="00C5614B" w:rsidP="00390417">
      <w:pPr>
        <w:shd w:val="clear" w:color="auto" w:fill="FFFFFF"/>
        <w:spacing w:before="48" w:after="48" w:line="240" w:lineRule="auto"/>
        <w:jc w:val="both"/>
        <w:rPr>
          <w:rFonts w:ascii="Times New Roman" w:hAnsi="Times New Roman"/>
          <w:color w:val="000000"/>
          <w:sz w:val="24"/>
          <w:szCs w:val="24"/>
        </w:rPr>
      </w:pPr>
      <w:r w:rsidRPr="00390417">
        <w:rPr>
          <w:rFonts w:ascii="Times New Roman" w:hAnsi="Times New Roman"/>
          <w:color w:val="000000"/>
          <w:sz w:val="24"/>
          <w:szCs w:val="24"/>
        </w:rPr>
        <w:t>Из</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образложења</w:t>
      </w:r>
      <w:r w:rsidR="00ED3A8A" w:rsidRPr="00390417">
        <w:rPr>
          <w:rFonts w:ascii="Times New Roman" w:hAnsi="Times New Roman"/>
          <w:color w:val="000000"/>
          <w:sz w:val="24"/>
          <w:szCs w:val="24"/>
        </w:rPr>
        <w:t>:</w:t>
      </w:r>
    </w:p>
    <w:p w:rsidR="00390417" w:rsidRPr="00911A0C" w:rsidRDefault="00390417" w:rsidP="00390417">
      <w:pPr>
        <w:shd w:val="clear" w:color="auto" w:fill="FFFFFF"/>
        <w:spacing w:before="48" w:after="48" w:line="240" w:lineRule="auto"/>
        <w:jc w:val="both"/>
        <w:rPr>
          <w:rFonts w:ascii="Times New Roman" w:hAnsi="Times New Roman"/>
          <w:color w:val="000000"/>
          <w:sz w:val="24"/>
          <w:szCs w:val="24"/>
          <w:lang w:val="sr-Cyrl-CS"/>
        </w:rPr>
      </w:pPr>
    </w:p>
    <w:p w:rsidR="00ED3A8A" w:rsidRPr="00911A0C" w:rsidRDefault="00ED3A8A" w:rsidP="00390417">
      <w:pPr>
        <w:shd w:val="clear" w:color="auto" w:fill="FFFFFF"/>
        <w:spacing w:before="48" w:after="48" w:line="240" w:lineRule="auto"/>
        <w:jc w:val="both"/>
        <w:rPr>
          <w:rFonts w:ascii="Times New Roman" w:hAnsi="Times New Roman"/>
          <w:iCs/>
          <w:color w:val="000000"/>
          <w:sz w:val="24"/>
          <w:szCs w:val="24"/>
        </w:rPr>
      </w:pPr>
      <w:r w:rsidRPr="00911A0C">
        <w:rPr>
          <w:rFonts w:ascii="Times New Roman" w:hAnsi="Times New Roman"/>
          <w:iCs/>
          <w:color w:val="000000"/>
          <w:sz w:val="24"/>
          <w:szCs w:val="24"/>
        </w:rPr>
        <w:t>"</w:t>
      </w:r>
      <w:r w:rsidR="00C5614B" w:rsidRPr="00911A0C">
        <w:rPr>
          <w:rFonts w:ascii="Times New Roman" w:hAnsi="Times New Roman"/>
          <w:iCs/>
          <w:color w:val="000000"/>
          <w:sz w:val="24"/>
          <w:szCs w:val="24"/>
        </w:rPr>
        <w:t>На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правилно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потпуно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утврђено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чињенично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стање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првостепени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суд</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је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правилно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применио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кривични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закон</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када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је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нашао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да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су</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се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у</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кривичноправним</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радњама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оптуженог</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ИИ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стекла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сва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законска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обележја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кривичног</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дела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примања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мита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из</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члана</w:t>
      </w:r>
      <w:r w:rsidRPr="00911A0C">
        <w:rPr>
          <w:rFonts w:ascii="Times New Roman" w:hAnsi="Times New Roman"/>
          <w:iCs/>
          <w:color w:val="000000"/>
          <w:sz w:val="24"/>
          <w:szCs w:val="24"/>
        </w:rPr>
        <w:t xml:space="preserve"> 254. </w:t>
      </w:r>
      <w:r w:rsidR="00C5614B" w:rsidRPr="00911A0C">
        <w:rPr>
          <w:rFonts w:ascii="Times New Roman" w:hAnsi="Times New Roman"/>
          <w:iCs/>
          <w:color w:val="000000"/>
          <w:sz w:val="24"/>
          <w:szCs w:val="24"/>
        </w:rPr>
        <w:t>став</w:t>
      </w:r>
      <w:r w:rsidRPr="00911A0C">
        <w:rPr>
          <w:rFonts w:ascii="Times New Roman" w:hAnsi="Times New Roman"/>
          <w:iCs/>
          <w:color w:val="000000"/>
          <w:sz w:val="24"/>
          <w:szCs w:val="24"/>
        </w:rPr>
        <w:t xml:space="preserve"> 2. </w:t>
      </w:r>
      <w:r w:rsidR="00C5614B" w:rsidRPr="00911A0C">
        <w:rPr>
          <w:rFonts w:ascii="Times New Roman" w:hAnsi="Times New Roman"/>
          <w:iCs/>
          <w:color w:val="000000"/>
          <w:sz w:val="24"/>
          <w:szCs w:val="24"/>
        </w:rPr>
        <w:t>Кривичног</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закона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Републике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Србије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за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које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га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је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огласио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кривим</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па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се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неосновано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жалбом</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браниоца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оптуженог</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побија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првостепена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пресуда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због</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повреде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кривичног</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закона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Наиме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правилан</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је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закључак</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првостепеног</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суда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да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је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оптужени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кривично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дело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извршио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са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директним</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умишљајем</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јер</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је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у</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тренутку</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предузимања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напред</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наведених</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радњи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био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свестан</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да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је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као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службено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лице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морао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извршити</w:t>
      </w:r>
      <w:r w:rsidRPr="00911A0C">
        <w:rPr>
          <w:rFonts w:ascii="Times New Roman" w:hAnsi="Times New Roman"/>
          <w:iCs/>
          <w:color w:val="000000"/>
          <w:sz w:val="24"/>
          <w:szCs w:val="24"/>
        </w:rPr>
        <w:t xml:space="preserve"> - </w:t>
      </w:r>
      <w:r w:rsidR="00C5614B" w:rsidRPr="00911A0C">
        <w:rPr>
          <w:rFonts w:ascii="Times New Roman" w:hAnsi="Times New Roman"/>
          <w:iCs/>
          <w:color w:val="000000"/>
          <w:sz w:val="24"/>
          <w:szCs w:val="24"/>
        </w:rPr>
        <w:lastRenderedPageBreak/>
        <w:t>спровести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извршење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у</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предмету</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И</w:t>
      </w:r>
      <w:r w:rsidRPr="00911A0C">
        <w:rPr>
          <w:rFonts w:ascii="Times New Roman" w:hAnsi="Times New Roman"/>
          <w:iCs/>
          <w:color w:val="000000"/>
          <w:sz w:val="24"/>
          <w:szCs w:val="24"/>
        </w:rPr>
        <w:t xml:space="preserve">. 1071/96, </w:t>
      </w:r>
      <w:r w:rsidR="00C5614B" w:rsidRPr="00911A0C">
        <w:rPr>
          <w:rFonts w:ascii="Times New Roman" w:hAnsi="Times New Roman"/>
          <w:iCs/>
          <w:color w:val="000000"/>
          <w:sz w:val="24"/>
          <w:szCs w:val="24"/>
        </w:rPr>
        <w:t>без</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новчаног</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поклона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који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је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захтевао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па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је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поред</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тога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захтевао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примио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новчани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поклон</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у</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износу</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од</w:t>
      </w:r>
      <w:r w:rsidRPr="00911A0C">
        <w:rPr>
          <w:rFonts w:ascii="Times New Roman" w:hAnsi="Times New Roman"/>
          <w:iCs/>
          <w:color w:val="000000"/>
          <w:sz w:val="24"/>
          <w:szCs w:val="24"/>
        </w:rPr>
        <w:t xml:space="preserve"> 250 </w:t>
      </w:r>
      <w:r w:rsidR="00C5614B" w:rsidRPr="00911A0C">
        <w:rPr>
          <w:rFonts w:ascii="Times New Roman" w:hAnsi="Times New Roman"/>
          <w:iCs/>
          <w:color w:val="000000"/>
          <w:sz w:val="24"/>
          <w:szCs w:val="24"/>
        </w:rPr>
        <w:t>еура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како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би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извршио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службену</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радњу</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коју</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је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морао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извршити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изражавајући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на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тај</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начин</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вољу</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хтење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за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наступање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забрањене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последице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која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је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наступила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При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томе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првостепени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суд</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је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дао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јасне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уверљиве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разлоге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зашто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није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прихватио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наводе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одбране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да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то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што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је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оптужени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примио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новац</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који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је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од</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њега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одмах</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одузет</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представља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само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покушај</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не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свршено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дело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правилно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налазећи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да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је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дело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свршено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оног</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момента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када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је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оптужени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примио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новац</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дакле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дошао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у</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његово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притежање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Поред</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тога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неосновани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су</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жалбени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наводи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да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оптужени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нема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својство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службеног</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лица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које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може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да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изврши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предметно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кривично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дело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обзиром</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да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је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оптужени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као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судски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извршитељ</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Општинског</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суда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у</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П</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имао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својство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службеног</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лица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те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су</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у</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овом</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делу</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супротни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жалбени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наводи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оцењени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као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неосновани</w:t>
      </w:r>
      <w:r w:rsidRPr="00911A0C">
        <w:rPr>
          <w:rFonts w:ascii="Times New Roman" w:hAnsi="Times New Roman"/>
          <w:iCs/>
          <w:color w:val="000000"/>
          <w:sz w:val="24"/>
          <w:szCs w:val="24"/>
        </w:rPr>
        <w:t>."</w:t>
      </w:r>
    </w:p>
    <w:p w:rsidR="00ED3A8A" w:rsidRPr="00390417" w:rsidRDefault="00ED3A8A" w:rsidP="00390417">
      <w:pPr>
        <w:shd w:val="clear" w:color="auto" w:fill="FFFFFF"/>
        <w:spacing w:before="48" w:after="48" w:line="240" w:lineRule="auto"/>
        <w:jc w:val="both"/>
        <w:rPr>
          <w:rFonts w:ascii="Times New Roman" w:hAnsi="Times New Roman"/>
          <w:color w:val="000000"/>
          <w:sz w:val="24"/>
          <w:szCs w:val="24"/>
        </w:rPr>
      </w:pPr>
      <w:r w:rsidRPr="00390417">
        <w:rPr>
          <w:rFonts w:ascii="Times New Roman" w:hAnsi="Times New Roman"/>
          <w:color w:val="000000"/>
          <w:sz w:val="24"/>
          <w:szCs w:val="24"/>
        </w:rPr>
        <w:t> </w:t>
      </w:r>
    </w:p>
    <w:p w:rsidR="00ED3A8A" w:rsidRDefault="00ED3A8A" w:rsidP="00390417">
      <w:pPr>
        <w:shd w:val="clear" w:color="auto" w:fill="FFFFFF"/>
        <w:spacing w:before="48" w:after="48" w:line="240" w:lineRule="auto"/>
        <w:jc w:val="both"/>
        <w:rPr>
          <w:rFonts w:ascii="Times New Roman" w:hAnsi="Times New Roman"/>
          <w:b/>
          <w:bCs/>
          <w:color w:val="000000"/>
          <w:sz w:val="24"/>
          <w:szCs w:val="24"/>
        </w:rPr>
      </w:pPr>
      <w:r w:rsidRPr="00390417">
        <w:rPr>
          <w:rFonts w:ascii="Times New Roman" w:hAnsi="Times New Roman"/>
          <w:b/>
          <w:bCs/>
          <w:color w:val="000000"/>
          <w:sz w:val="24"/>
          <w:szCs w:val="24"/>
        </w:rPr>
        <w:t>(</w:t>
      </w:r>
      <w:r w:rsidR="00C5614B" w:rsidRPr="00390417">
        <w:rPr>
          <w:rFonts w:ascii="Times New Roman" w:hAnsi="Times New Roman"/>
          <w:b/>
          <w:bCs/>
          <w:color w:val="000000"/>
          <w:sz w:val="24"/>
          <w:szCs w:val="24"/>
        </w:rPr>
        <w:t>Пресуда</w:t>
      </w:r>
      <w:r w:rsidRPr="00390417">
        <w:rPr>
          <w:rFonts w:ascii="Times New Roman" w:hAnsi="Times New Roman"/>
          <w:b/>
          <w:bCs/>
          <w:color w:val="000000"/>
          <w:sz w:val="24"/>
          <w:szCs w:val="24"/>
        </w:rPr>
        <w:t xml:space="preserve"> </w:t>
      </w:r>
      <w:r w:rsidR="00C5614B" w:rsidRPr="00390417">
        <w:rPr>
          <w:rFonts w:ascii="Times New Roman" w:hAnsi="Times New Roman"/>
          <w:b/>
          <w:bCs/>
          <w:color w:val="000000"/>
          <w:sz w:val="24"/>
          <w:szCs w:val="24"/>
        </w:rPr>
        <w:t>Врховног</w:t>
      </w:r>
      <w:r w:rsidRPr="00390417">
        <w:rPr>
          <w:rFonts w:ascii="Times New Roman" w:hAnsi="Times New Roman"/>
          <w:b/>
          <w:bCs/>
          <w:color w:val="000000"/>
          <w:sz w:val="24"/>
          <w:szCs w:val="24"/>
        </w:rPr>
        <w:t xml:space="preserve"> </w:t>
      </w:r>
      <w:r w:rsidR="00C5614B" w:rsidRPr="00390417">
        <w:rPr>
          <w:rFonts w:ascii="Times New Roman" w:hAnsi="Times New Roman"/>
          <w:b/>
          <w:bCs/>
          <w:color w:val="000000"/>
          <w:sz w:val="24"/>
          <w:szCs w:val="24"/>
        </w:rPr>
        <w:t>суда</w:t>
      </w:r>
      <w:r w:rsidRPr="00390417">
        <w:rPr>
          <w:rFonts w:ascii="Times New Roman" w:hAnsi="Times New Roman"/>
          <w:b/>
          <w:bCs/>
          <w:color w:val="000000"/>
          <w:sz w:val="24"/>
          <w:szCs w:val="24"/>
        </w:rPr>
        <w:t xml:space="preserve"> </w:t>
      </w:r>
      <w:r w:rsidR="00C5614B" w:rsidRPr="00390417">
        <w:rPr>
          <w:rFonts w:ascii="Times New Roman" w:hAnsi="Times New Roman"/>
          <w:b/>
          <w:bCs/>
          <w:color w:val="000000"/>
          <w:sz w:val="24"/>
          <w:szCs w:val="24"/>
        </w:rPr>
        <w:t>Србије</w:t>
      </w:r>
      <w:r w:rsidRPr="00390417">
        <w:rPr>
          <w:rFonts w:ascii="Times New Roman" w:hAnsi="Times New Roman"/>
          <w:b/>
          <w:bCs/>
          <w:color w:val="000000"/>
          <w:sz w:val="24"/>
          <w:szCs w:val="24"/>
        </w:rPr>
        <w:t xml:space="preserve">, </w:t>
      </w:r>
      <w:r w:rsidR="00C5614B" w:rsidRPr="00390417">
        <w:rPr>
          <w:rFonts w:ascii="Times New Roman" w:hAnsi="Times New Roman"/>
          <w:b/>
          <w:bCs/>
          <w:color w:val="000000"/>
          <w:sz w:val="24"/>
          <w:szCs w:val="24"/>
        </w:rPr>
        <w:t>Кж</w:t>
      </w:r>
      <w:r w:rsidRPr="00390417">
        <w:rPr>
          <w:rFonts w:ascii="Times New Roman" w:hAnsi="Times New Roman"/>
          <w:b/>
          <w:bCs/>
          <w:color w:val="000000"/>
          <w:sz w:val="24"/>
          <w:szCs w:val="24"/>
        </w:rPr>
        <w:t xml:space="preserve">. </w:t>
      </w:r>
      <w:r w:rsidR="00C5614B" w:rsidRPr="00390417">
        <w:rPr>
          <w:rFonts w:ascii="Times New Roman" w:hAnsi="Times New Roman"/>
          <w:b/>
          <w:bCs/>
          <w:color w:val="000000"/>
          <w:sz w:val="24"/>
          <w:szCs w:val="24"/>
        </w:rPr>
        <w:t>И</w:t>
      </w:r>
      <w:r w:rsidRPr="00390417">
        <w:rPr>
          <w:rFonts w:ascii="Times New Roman" w:hAnsi="Times New Roman"/>
          <w:b/>
          <w:bCs/>
          <w:color w:val="000000"/>
          <w:sz w:val="24"/>
          <w:szCs w:val="24"/>
        </w:rPr>
        <w:t xml:space="preserve"> 704/2005 </w:t>
      </w:r>
      <w:r w:rsidR="00C5614B" w:rsidRPr="00390417">
        <w:rPr>
          <w:rFonts w:ascii="Times New Roman" w:hAnsi="Times New Roman"/>
          <w:b/>
          <w:bCs/>
          <w:color w:val="000000"/>
          <w:sz w:val="24"/>
          <w:szCs w:val="24"/>
        </w:rPr>
        <w:t>од</w:t>
      </w:r>
      <w:r w:rsidRPr="00390417">
        <w:rPr>
          <w:rFonts w:ascii="Times New Roman" w:hAnsi="Times New Roman"/>
          <w:b/>
          <w:bCs/>
          <w:color w:val="000000"/>
          <w:sz w:val="24"/>
          <w:szCs w:val="24"/>
        </w:rPr>
        <w:t xml:space="preserve"> 23.2.2006. </w:t>
      </w:r>
      <w:r w:rsidR="00C5614B" w:rsidRPr="00390417">
        <w:rPr>
          <w:rFonts w:ascii="Times New Roman" w:hAnsi="Times New Roman"/>
          <w:b/>
          <w:bCs/>
          <w:color w:val="000000"/>
          <w:sz w:val="24"/>
          <w:szCs w:val="24"/>
        </w:rPr>
        <w:t>године</w:t>
      </w:r>
      <w:r w:rsidRPr="00390417">
        <w:rPr>
          <w:rFonts w:ascii="Times New Roman" w:hAnsi="Times New Roman"/>
          <w:b/>
          <w:bCs/>
          <w:color w:val="000000"/>
          <w:sz w:val="24"/>
          <w:szCs w:val="24"/>
        </w:rPr>
        <w:t>)</w:t>
      </w:r>
    </w:p>
    <w:p w:rsidR="00166B45" w:rsidRPr="00390417" w:rsidRDefault="00166B45" w:rsidP="00390417">
      <w:pPr>
        <w:shd w:val="clear" w:color="auto" w:fill="FFFFFF"/>
        <w:spacing w:before="48" w:after="48" w:line="240" w:lineRule="auto"/>
        <w:jc w:val="both"/>
        <w:rPr>
          <w:rFonts w:ascii="Times New Roman" w:hAnsi="Times New Roman"/>
          <w:b/>
          <w:bCs/>
          <w:color w:val="000000"/>
          <w:sz w:val="24"/>
          <w:szCs w:val="24"/>
          <w:lang w:val="sr-Cyrl-CS"/>
        </w:rPr>
      </w:pPr>
    </w:p>
    <w:p w:rsidR="00911A0C" w:rsidRPr="00166B45" w:rsidRDefault="00911A0C" w:rsidP="00390417">
      <w:pPr>
        <w:spacing w:before="48" w:after="48" w:line="240" w:lineRule="atLeast"/>
        <w:jc w:val="both"/>
        <w:rPr>
          <w:rFonts w:ascii="Times New Roman" w:hAnsi="Times New Roman"/>
          <w:color w:val="000000"/>
          <w:sz w:val="24"/>
          <w:szCs w:val="24"/>
        </w:rPr>
      </w:pPr>
    </w:p>
    <w:p w:rsidR="003B1103" w:rsidRDefault="001467DF" w:rsidP="00390417">
      <w:pPr>
        <w:spacing w:before="48" w:after="48" w:line="240" w:lineRule="atLeast"/>
        <w:jc w:val="both"/>
        <w:rPr>
          <w:rFonts w:ascii="Times New Roman" w:hAnsi="Times New Roman"/>
          <w:color w:val="000000"/>
          <w:sz w:val="24"/>
          <w:szCs w:val="24"/>
        </w:rPr>
      </w:pPr>
      <w:r>
        <w:rPr>
          <w:rFonts w:ascii="Times New Roman" w:hAnsi="Times New Roman"/>
          <w:color w:val="000000"/>
          <w:sz w:val="24"/>
          <w:szCs w:val="24"/>
          <w:lang w:val="sr-Cyrl-CS"/>
        </w:rPr>
        <w:t>17</w:t>
      </w:r>
      <w:r w:rsidR="005B2B48">
        <w:rPr>
          <w:rFonts w:ascii="Times New Roman" w:hAnsi="Times New Roman"/>
          <w:color w:val="000000"/>
          <w:sz w:val="24"/>
          <w:szCs w:val="24"/>
          <w:lang w:val="sr-Cyrl-CS"/>
        </w:rPr>
        <w:t>)</w:t>
      </w:r>
    </w:p>
    <w:p w:rsidR="00166B45" w:rsidRPr="00166B45" w:rsidRDefault="00166B45" w:rsidP="00390417">
      <w:pPr>
        <w:spacing w:before="48" w:after="48" w:line="240" w:lineRule="atLeast"/>
        <w:jc w:val="both"/>
        <w:rPr>
          <w:rFonts w:ascii="Times New Roman" w:hAnsi="Times New Roman"/>
          <w:color w:val="000000"/>
          <w:sz w:val="24"/>
          <w:szCs w:val="24"/>
        </w:rPr>
      </w:pPr>
    </w:p>
    <w:p w:rsidR="00ED3A8A" w:rsidRDefault="00C5614B" w:rsidP="00390417">
      <w:pPr>
        <w:spacing w:before="48" w:after="48" w:line="240" w:lineRule="atLeast"/>
        <w:jc w:val="both"/>
        <w:rPr>
          <w:rFonts w:ascii="Times New Roman" w:hAnsi="Times New Roman"/>
          <w:color w:val="000000"/>
          <w:sz w:val="24"/>
          <w:szCs w:val="24"/>
          <w:lang w:val="sr-Cyrl-CS"/>
        </w:rPr>
      </w:pPr>
      <w:r w:rsidRPr="00390417">
        <w:rPr>
          <w:rFonts w:ascii="Times New Roman" w:hAnsi="Times New Roman"/>
          <w:color w:val="000000"/>
          <w:sz w:val="24"/>
          <w:szCs w:val="24"/>
        </w:rPr>
        <w:t>Директор</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предузећа</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који</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је</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у</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својој</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трафици</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ставио</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у</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промет</w:t>
      </w:r>
      <w:r w:rsidR="00ED3A8A" w:rsidRPr="00390417">
        <w:rPr>
          <w:rFonts w:ascii="Times New Roman" w:hAnsi="Times New Roman"/>
          <w:color w:val="000000"/>
          <w:sz w:val="24"/>
          <w:szCs w:val="24"/>
        </w:rPr>
        <w:t xml:space="preserve"> 106 </w:t>
      </w:r>
      <w:r w:rsidRPr="00390417">
        <w:rPr>
          <w:rFonts w:ascii="Times New Roman" w:hAnsi="Times New Roman"/>
          <w:color w:val="000000"/>
          <w:sz w:val="24"/>
          <w:szCs w:val="24"/>
        </w:rPr>
        <w:t>паклица</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различитих</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цигарета</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које</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нису</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биле</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посебно</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обележене</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прописаним</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акцизним</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маркицама</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врши</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кривично</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дело</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недозвољеног</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промета</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акцизних</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производа</w:t>
      </w:r>
      <w:r w:rsidR="00ED3A8A" w:rsidRPr="00390417">
        <w:rPr>
          <w:rFonts w:ascii="Times New Roman" w:hAnsi="Times New Roman"/>
          <w:color w:val="000000"/>
          <w:sz w:val="24"/>
          <w:szCs w:val="24"/>
        </w:rPr>
        <w:t>.</w:t>
      </w:r>
    </w:p>
    <w:p w:rsidR="005B2B48" w:rsidRPr="005B2B48" w:rsidRDefault="005B2B48" w:rsidP="00390417">
      <w:pPr>
        <w:spacing w:before="48" w:after="48" w:line="240" w:lineRule="atLeast"/>
        <w:jc w:val="both"/>
        <w:rPr>
          <w:rFonts w:ascii="Times New Roman" w:hAnsi="Times New Roman"/>
          <w:color w:val="000000"/>
          <w:sz w:val="24"/>
          <w:szCs w:val="24"/>
          <w:lang w:val="sr-Cyrl-CS"/>
        </w:rPr>
      </w:pPr>
    </w:p>
    <w:p w:rsidR="00ED3A8A" w:rsidRDefault="00C5614B" w:rsidP="00390417">
      <w:pPr>
        <w:spacing w:before="48" w:after="48" w:line="240" w:lineRule="atLeast"/>
        <w:jc w:val="both"/>
        <w:rPr>
          <w:rFonts w:ascii="Times New Roman" w:hAnsi="Times New Roman"/>
          <w:color w:val="000000"/>
          <w:sz w:val="24"/>
          <w:szCs w:val="24"/>
          <w:lang w:val="sr-Cyrl-CS"/>
        </w:rPr>
      </w:pPr>
      <w:r w:rsidRPr="00390417">
        <w:rPr>
          <w:rFonts w:ascii="Times New Roman" w:hAnsi="Times New Roman"/>
          <w:color w:val="000000"/>
          <w:sz w:val="24"/>
          <w:szCs w:val="24"/>
        </w:rPr>
        <w:t>Из</w:t>
      </w:r>
      <w:r w:rsidR="00ED3A8A" w:rsidRPr="00390417">
        <w:rPr>
          <w:rFonts w:ascii="Times New Roman" w:hAnsi="Times New Roman"/>
          <w:color w:val="000000"/>
          <w:sz w:val="24"/>
          <w:szCs w:val="24"/>
        </w:rPr>
        <w:t xml:space="preserve"> </w:t>
      </w:r>
      <w:r w:rsidRPr="00390417">
        <w:rPr>
          <w:rFonts w:ascii="Times New Roman" w:hAnsi="Times New Roman"/>
          <w:color w:val="000000"/>
          <w:sz w:val="24"/>
          <w:szCs w:val="24"/>
        </w:rPr>
        <w:t>образложења</w:t>
      </w:r>
      <w:r w:rsidR="00ED3A8A" w:rsidRPr="00390417">
        <w:rPr>
          <w:rFonts w:ascii="Times New Roman" w:hAnsi="Times New Roman"/>
          <w:color w:val="000000"/>
          <w:sz w:val="24"/>
          <w:szCs w:val="24"/>
        </w:rPr>
        <w:t>:</w:t>
      </w:r>
    </w:p>
    <w:p w:rsidR="005B2B48" w:rsidRPr="00166B45" w:rsidRDefault="005B2B48" w:rsidP="00390417">
      <w:pPr>
        <w:spacing w:before="48" w:after="48" w:line="240" w:lineRule="atLeast"/>
        <w:jc w:val="both"/>
        <w:rPr>
          <w:rFonts w:ascii="Times New Roman" w:hAnsi="Times New Roman"/>
          <w:color w:val="000000"/>
          <w:sz w:val="24"/>
          <w:szCs w:val="24"/>
        </w:rPr>
      </w:pPr>
    </w:p>
    <w:p w:rsidR="00ED3A8A" w:rsidRDefault="00ED3A8A" w:rsidP="00390417">
      <w:pPr>
        <w:spacing w:before="48" w:after="48" w:line="240" w:lineRule="atLeast"/>
        <w:jc w:val="both"/>
        <w:rPr>
          <w:rFonts w:ascii="Times New Roman" w:hAnsi="Times New Roman"/>
          <w:iCs/>
          <w:color w:val="000000"/>
          <w:sz w:val="24"/>
          <w:szCs w:val="24"/>
          <w:lang w:val="sr-Cyrl-CS"/>
        </w:rPr>
      </w:pPr>
      <w:r w:rsidRPr="00911A0C">
        <w:rPr>
          <w:rFonts w:ascii="Times New Roman" w:hAnsi="Times New Roman"/>
          <w:iCs/>
          <w:color w:val="000000"/>
          <w:sz w:val="24"/>
          <w:szCs w:val="24"/>
        </w:rPr>
        <w:t>"</w:t>
      </w:r>
      <w:r w:rsidR="00C5614B" w:rsidRPr="00911A0C">
        <w:rPr>
          <w:rFonts w:ascii="Times New Roman" w:hAnsi="Times New Roman"/>
          <w:iCs/>
          <w:color w:val="000000"/>
          <w:sz w:val="24"/>
          <w:szCs w:val="24"/>
        </w:rPr>
        <w:t>Окривљени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је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оглашен</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кривим</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због</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извршења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кривичног</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дела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недозвољеног</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промета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акцизних</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производа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из</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члана</w:t>
      </w:r>
      <w:r w:rsidRPr="00911A0C">
        <w:rPr>
          <w:rFonts w:ascii="Times New Roman" w:hAnsi="Times New Roman"/>
          <w:iCs/>
          <w:color w:val="000000"/>
          <w:sz w:val="24"/>
          <w:szCs w:val="24"/>
        </w:rPr>
        <w:t xml:space="preserve"> 176. </w:t>
      </w:r>
      <w:r w:rsidR="00C5614B" w:rsidRPr="00911A0C">
        <w:rPr>
          <w:rFonts w:ascii="Times New Roman" w:hAnsi="Times New Roman"/>
          <w:iCs/>
          <w:color w:val="000000"/>
          <w:sz w:val="24"/>
          <w:szCs w:val="24"/>
        </w:rPr>
        <w:t>став</w:t>
      </w:r>
      <w:r w:rsidRPr="00911A0C">
        <w:rPr>
          <w:rFonts w:ascii="Times New Roman" w:hAnsi="Times New Roman"/>
          <w:iCs/>
          <w:color w:val="000000"/>
          <w:sz w:val="24"/>
          <w:szCs w:val="24"/>
        </w:rPr>
        <w:t xml:space="preserve"> 1. </w:t>
      </w:r>
      <w:r w:rsidR="00C5614B" w:rsidRPr="00911A0C">
        <w:rPr>
          <w:rFonts w:ascii="Times New Roman" w:hAnsi="Times New Roman"/>
          <w:iCs/>
          <w:color w:val="000000"/>
          <w:sz w:val="24"/>
          <w:szCs w:val="24"/>
        </w:rPr>
        <w:t>Закона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о</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пореском</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поступку</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пореској</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администрацији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осуђен</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на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условну</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осуду</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изречена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му</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је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мера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безбедности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одузимања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предмета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и</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забрана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вршења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позива</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у</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трајању</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од</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једне</w:t>
      </w:r>
      <w:r w:rsidRPr="00911A0C">
        <w:rPr>
          <w:rFonts w:ascii="Times New Roman" w:hAnsi="Times New Roman"/>
          <w:iCs/>
          <w:color w:val="000000"/>
          <w:sz w:val="24"/>
          <w:szCs w:val="24"/>
        </w:rPr>
        <w:t xml:space="preserve"> </w:t>
      </w:r>
      <w:r w:rsidR="00C5614B" w:rsidRPr="00911A0C">
        <w:rPr>
          <w:rFonts w:ascii="Times New Roman" w:hAnsi="Times New Roman"/>
          <w:iCs/>
          <w:color w:val="000000"/>
          <w:sz w:val="24"/>
          <w:szCs w:val="24"/>
        </w:rPr>
        <w:t>године</w:t>
      </w:r>
      <w:r w:rsidRPr="00911A0C">
        <w:rPr>
          <w:rFonts w:ascii="Times New Roman" w:hAnsi="Times New Roman"/>
          <w:iCs/>
          <w:color w:val="000000"/>
          <w:sz w:val="24"/>
          <w:szCs w:val="24"/>
        </w:rPr>
        <w:t>.</w:t>
      </w:r>
    </w:p>
    <w:p w:rsidR="00911A0C" w:rsidRPr="00911A0C" w:rsidRDefault="00911A0C" w:rsidP="00390417">
      <w:pPr>
        <w:spacing w:before="48" w:after="48" w:line="240" w:lineRule="atLeast"/>
        <w:jc w:val="both"/>
        <w:rPr>
          <w:rFonts w:ascii="Times New Roman" w:hAnsi="Times New Roman"/>
          <w:iCs/>
          <w:color w:val="000000"/>
          <w:sz w:val="24"/>
          <w:szCs w:val="24"/>
          <w:lang w:val="sr-Cyrl-CS"/>
        </w:rPr>
      </w:pPr>
    </w:p>
    <w:p w:rsidR="00ED3A8A" w:rsidRDefault="00C5614B" w:rsidP="00390417">
      <w:pPr>
        <w:spacing w:before="48" w:after="48" w:line="240" w:lineRule="atLeast"/>
        <w:jc w:val="both"/>
        <w:rPr>
          <w:rFonts w:ascii="Times New Roman" w:hAnsi="Times New Roman"/>
          <w:iCs/>
          <w:color w:val="000000"/>
          <w:sz w:val="24"/>
          <w:szCs w:val="24"/>
          <w:lang w:val="sr-Cyrl-CS"/>
        </w:rPr>
      </w:pPr>
      <w:r w:rsidRPr="00911A0C">
        <w:rPr>
          <w:rFonts w:ascii="Times New Roman" w:hAnsi="Times New Roman"/>
          <w:iCs/>
          <w:color w:val="000000"/>
          <w:sz w:val="24"/>
          <w:szCs w:val="24"/>
        </w:rPr>
        <w:t>Окривљени</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је</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као</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директор</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ставио</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у</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промет</w:t>
      </w:r>
      <w:r w:rsidR="00ED3A8A" w:rsidRPr="00911A0C">
        <w:rPr>
          <w:rFonts w:ascii="Times New Roman" w:hAnsi="Times New Roman"/>
          <w:iCs/>
          <w:color w:val="000000"/>
          <w:sz w:val="24"/>
          <w:szCs w:val="24"/>
        </w:rPr>
        <w:t xml:space="preserve"> 106 </w:t>
      </w:r>
      <w:r w:rsidRPr="00911A0C">
        <w:rPr>
          <w:rFonts w:ascii="Times New Roman" w:hAnsi="Times New Roman"/>
          <w:iCs/>
          <w:color w:val="000000"/>
          <w:sz w:val="24"/>
          <w:szCs w:val="24"/>
        </w:rPr>
        <w:t>паклица</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цигарета</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у</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својој</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трафици</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које</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нису</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биле</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посебно</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обележене</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прописаним</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акцизним</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маркицама</w:t>
      </w:r>
      <w:r w:rsidR="00ED3A8A" w:rsidRPr="00911A0C">
        <w:rPr>
          <w:rFonts w:ascii="Times New Roman" w:hAnsi="Times New Roman"/>
          <w:iCs/>
          <w:color w:val="000000"/>
          <w:sz w:val="24"/>
          <w:szCs w:val="24"/>
        </w:rPr>
        <w:t>.</w:t>
      </w:r>
    </w:p>
    <w:p w:rsidR="00911A0C" w:rsidRPr="00911A0C" w:rsidRDefault="00911A0C" w:rsidP="00390417">
      <w:pPr>
        <w:spacing w:before="48" w:after="48" w:line="240" w:lineRule="atLeast"/>
        <w:jc w:val="both"/>
        <w:rPr>
          <w:rFonts w:ascii="Times New Roman" w:hAnsi="Times New Roman"/>
          <w:iCs/>
          <w:color w:val="000000"/>
          <w:sz w:val="24"/>
          <w:szCs w:val="24"/>
          <w:lang w:val="sr-Cyrl-CS"/>
        </w:rPr>
      </w:pPr>
    </w:p>
    <w:p w:rsidR="00ED3A8A" w:rsidRPr="00911A0C" w:rsidRDefault="00C5614B" w:rsidP="00390417">
      <w:pPr>
        <w:spacing w:before="48" w:after="48" w:line="240" w:lineRule="atLeast"/>
        <w:jc w:val="both"/>
        <w:rPr>
          <w:rFonts w:ascii="Times New Roman" w:hAnsi="Times New Roman"/>
          <w:iCs/>
          <w:color w:val="000000"/>
          <w:sz w:val="24"/>
          <w:szCs w:val="24"/>
        </w:rPr>
      </w:pPr>
      <w:r w:rsidRPr="00911A0C">
        <w:rPr>
          <w:rFonts w:ascii="Times New Roman" w:hAnsi="Times New Roman"/>
          <w:iCs/>
          <w:color w:val="000000"/>
          <w:sz w:val="24"/>
          <w:szCs w:val="24"/>
        </w:rPr>
        <w:t>С</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обзиром</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да</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се</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радило</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о</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страним</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производима</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обавеза</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је</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окривљеног</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била</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да</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ти</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производи</w:t>
      </w:r>
      <w:r w:rsidR="00ED3A8A" w:rsidRPr="00911A0C">
        <w:rPr>
          <w:rFonts w:ascii="Times New Roman" w:hAnsi="Times New Roman"/>
          <w:iCs/>
          <w:color w:val="000000"/>
          <w:sz w:val="24"/>
          <w:szCs w:val="24"/>
        </w:rPr>
        <w:t xml:space="preserve"> - </w:t>
      </w:r>
      <w:r w:rsidRPr="00911A0C">
        <w:rPr>
          <w:rFonts w:ascii="Times New Roman" w:hAnsi="Times New Roman"/>
          <w:iCs/>
          <w:color w:val="000000"/>
          <w:sz w:val="24"/>
          <w:szCs w:val="24"/>
        </w:rPr>
        <w:t>цигарете</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буду</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обележене</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акцизним</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маркицама</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у</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смислу</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члана</w:t>
      </w:r>
      <w:r w:rsidR="00ED3A8A" w:rsidRPr="00911A0C">
        <w:rPr>
          <w:rFonts w:ascii="Times New Roman" w:hAnsi="Times New Roman"/>
          <w:iCs/>
          <w:color w:val="000000"/>
          <w:sz w:val="24"/>
          <w:szCs w:val="24"/>
        </w:rPr>
        <w:t xml:space="preserve"> 18. </w:t>
      </w:r>
      <w:r w:rsidRPr="00911A0C">
        <w:rPr>
          <w:rFonts w:ascii="Times New Roman" w:hAnsi="Times New Roman"/>
          <w:iCs/>
          <w:color w:val="000000"/>
          <w:sz w:val="24"/>
          <w:szCs w:val="24"/>
        </w:rPr>
        <w:t>става</w:t>
      </w:r>
      <w:r w:rsidR="00ED3A8A" w:rsidRPr="00911A0C">
        <w:rPr>
          <w:rFonts w:ascii="Times New Roman" w:hAnsi="Times New Roman"/>
          <w:iCs/>
          <w:color w:val="000000"/>
          <w:sz w:val="24"/>
          <w:szCs w:val="24"/>
        </w:rPr>
        <w:t xml:space="preserve"> 2. </w:t>
      </w:r>
      <w:r w:rsidRPr="00911A0C">
        <w:rPr>
          <w:rFonts w:ascii="Times New Roman" w:hAnsi="Times New Roman"/>
          <w:iCs/>
          <w:color w:val="000000"/>
          <w:sz w:val="24"/>
          <w:szCs w:val="24"/>
        </w:rPr>
        <w:t>Закона</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о</w:t>
      </w:r>
      <w:r w:rsidR="00ED3A8A" w:rsidRPr="00911A0C">
        <w:rPr>
          <w:rFonts w:ascii="Times New Roman" w:hAnsi="Times New Roman"/>
          <w:iCs/>
          <w:color w:val="000000"/>
          <w:sz w:val="24"/>
          <w:szCs w:val="24"/>
        </w:rPr>
        <w:t xml:space="preserve"> </w:t>
      </w:r>
      <w:r w:rsidRPr="00911A0C">
        <w:rPr>
          <w:rFonts w:ascii="Times New Roman" w:hAnsi="Times New Roman"/>
          <w:iCs/>
          <w:color w:val="000000"/>
          <w:sz w:val="24"/>
          <w:szCs w:val="24"/>
        </w:rPr>
        <w:t>акцизама</w:t>
      </w:r>
      <w:r w:rsidR="00ED3A8A" w:rsidRPr="00911A0C">
        <w:rPr>
          <w:rFonts w:ascii="Times New Roman" w:hAnsi="Times New Roman"/>
          <w:iCs/>
          <w:color w:val="000000"/>
          <w:sz w:val="24"/>
          <w:szCs w:val="24"/>
        </w:rPr>
        <w:t>."</w:t>
      </w:r>
    </w:p>
    <w:p w:rsidR="00ED3A8A" w:rsidRDefault="00ED3A8A" w:rsidP="00390417">
      <w:pPr>
        <w:shd w:val="clear" w:color="auto" w:fill="FFFFFF"/>
        <w:spacing w:before="48" w:after="48" w:line="240" w:lineRule="auto"/>
        <w:jc w:val="both"/>
        <w:rPr>
          <w:rFonts w:ascii="Times New Roman" w:hAnsi="Times New Roman"/>
          <w:color w:val="000000"/>
          <w:sz w:val="24"/>
          <w:szCs w:val="24"/>
        </w:rPr>
      </w:pPr>
      <w:r w:rsidRPr="00390417">
        <w:rPr>
          <w:rFonts w:ascii="Times New Roman" w:hAnsi="Times New Roman"/>
          <w:color w:val="000000"/>
          <w:sz w:val="24"/>
          <w:szCs w:val="24"/>
        </w:rPr>
        <w:t>(</w:t>
      </w:r>
      <w:r w:rsidR="00C5614B" w:rsidRPr="00390417">
        <w:rPr>
          <w:rFonts w:ascii="Times New Roman" w:hAnsi="Times New Roman"/>
          <w:color w:val="000000"/>
          <w:sz w:val="24"/>
          <w:szCs w:val="24"/>
        </w:rPr>
        <w:t>Пресуда</w:t>
      </w:r>
      <w:r w:rsidRPr="00390417">
        <w:rPr>
          <w:rFonts w:ascii="Times New Roman" w:hAnsi="Times New Roman"/>
          <w:color w:val="000000"/>
          <w:sz w:val="24"/>
          <w:szCs w:val="24"/>
        </w:rPr>
        <w:t xml:space="preserve"> </w:t>
      </w:r>
      <w:r w:rsidR="00C5614B" w:rsidRPr="00390417">
        <w:rPr>
          <w:rFonts w:ascii="Times New Roman" w:hAnsi="Times New Roman"/>
          <w:color w:val="000000"/>
          <w:sz w:val="24"/>
          <w:szCs w:val="24"/>
        </w:rPr>
        <w:t>Окружног</w:t>
      </w:r>
      <w:r w:rsidRPr="00390417">
        <w:rPr>
          <w:rFonts w:ascii="Times New Roman" w:hAnsi="Times New Roman"/>
          <w:color w:val="000000"/>
          <w:sz w:val="24"/>
          <w:szCs w:val="24"/>
        </w:rPr>
        <w:t xml:space="preserve"> </w:t>
      </w:r>
      <w:r w:rsidR="00C5614B" w:rsidRPr="00390417">
        <w:rPr>
          <w:rFonts w:ascii="Times New Roman" w:hAnsi="Times New Roman"/>
          <w:color w:val="000000"/>
          <w:sz w:val="24"/>
          <w:szCs w:val="24"/>
        </w:rPr>
        <w:t>суда</w:t>
      </w:r>
      <w:r w:rsidRPr="00390417">
        <w:rPr>
          <w:rFonts w:ascii="Times New Roman" w:hAnsi="Times New Roman"/>
          <w:color w:val="000000"/>
          <w:sz w:val="24"/>
          <w:szCs w:val="24"/>
        </w:rPr>
        <w:t xml:space="preserve"> </w:t>
      </w:r>
      <w:r w:rsidR="00C5614B" w:rsidRPr="00390417">
        <w:rPr>
          <w:rFonts w:ascii="Times New Roman" w:hAnsi="Times New Roman"/>
          <w:color w:val="000000"/>
          <w:sz w:val="24"/>
          <w:szCs w:val="24"/>
        </w:rPr>
        <w:t>у</w:t>
      </w:r>
      <w:r w:rsidRPr="00390417">
        <w:rPr>
          <w:rFonts w:ascii="Times New Roman" w:hAnsi="Times New Roman"/>
          <w:color w:val="000000"/>
          <w:sz w:val="24"/>
          <w:szCs w:val="24"/>
        </w:rPr>
        <w:t xml:space="preserve"> </w:t>
      </w:r>
      <w:r w:rsidR="00C5614B" w:rsidRPr="00390417">
        <w:rPr>
          <w:rFonts w:ascii="Times New Roman" w:hAnsi="Times New Roman"/>
          <w:color w:val="000000"/>
          <w:sz w:val="24"/>
          <w:szCs w:val="24"/>
        </w:rPr>
        <w:t>Београду</w:t>
      </w:r>
      <w:r w:rsidRPr="00390417">
        <w:rPr>
          <w:rFonts w:ascii="Times New Roman" w:hAnsi="Times New Roman"/>
          <w:color w:val="000000"/>
          <w:sz w:val="24"/>
          <w:szCs w:val="24"/>
        </w:rPr>
        <w:t xml:space="preserve">, </w:t>
      </w:r>
      <w:r w:rsidR="00C5614B" w:rsidRPr="00390417">
        <w:rPr>
          <w:rFonts w:ascii="Times New Roman" w:hAnsi="Times New Roman"/>
          <w:color w:val="000000"/>
          <w:sz w:val="24"/>
          <w:szCs w:val="24"/>
        </w:rPr>
        <w:t>Кж</w:t>
      </w:r>
      <w:r w:rsidRPr="00390417">
        <w:rPr>
          <w:rFonts w:ascii="Times New Roman" w:hAnsi="Times New Roman"/>
          <w:color w:val="000000"/>
          <w:sz w:val="24"/>
          <w:szCs w:val="24"/>
        </w:rPr>
        <w:t xml:space="preserve">. 1544/2005 </w:t>
      </w:r>
      <w:r w:rsidR="00C5614B" w:rsidRPr="00390417">
        <w:rPr>
          <w:rFonts w:ascii="Times New Roman" w:hAnsi="Times New Roman"/>
          <w:color w:val="000000"/>
          <w:sz w:val="24"/>
          <w:szCs w:val="24"/>
        </w:rPr>
        <w:t>од</w:t>
      </w:r>
      <w:r w:rsidRPr="00390417">
        <w:rPr>
          <w:rFonts w:ascii="Times New Roman" w:hAnsi="Times New Roman"/>
          <w:color w:val="000000"/>
          <w:sz w:val="24"/>
          <w:szCs w:val="24"/>
        </w:rPr>
        <w:t xml:space="preserve"> 22.6.2005. </w:t>
      </w:r>
      <w:r w:rsidR="00C5614B" w:rsidRPr="00390417">
        <w:rPr>
          <w:rFonts w:ascii="Times New Roman" w:hAnsi="Times New Roman"/>
          <w:color w:val="000000"/>
          <w:sz w:val="24"/>
          <w:szCs w:val="24"/>
        </w:rPr>
        <w:t>године</w:t>
      </w:r>
      <w:r w:rsidRPr="00390417">
        <w:rPr>
          <w:rFonts w:ascii="Times New Roman" w:hAnsi="Times New Roman"/>
          <w:color w:val="000000"/>
          <w:sz w:val="24"/>
          <w:szCs w:val="24"/>
        </w:rPr>
        <w:t xml:space="preserve"> </w:t>
      </w:r>
      <w:r w:rsidR="00C5614B" w:rsidRPr="00390417">
        <w:rPr>
          <w:rFonts w:ascii="Times New Roman" w:hAnsi="Times New Roman"/>
          <w:color w:val="000000"/>
          <w:sz w:val="24"/>
          <w:szCs w:val="24"/>
        </w:rPr>
        <w:t>и</w:t>
      </w:r>
      <w:r w:rsidRPr="00390417">
        <w:rPr>
          <w:rFonts w:ascii="Times New Roman" w:hAnsi="Times New Roman"/>
          <w:color w:val="000000"/>
          <w:sz w:val="24"/>
          <w:szCs w:val="24"/>
        </w:rPr>
        <w:t xml:space="preserve"> </w:t>
      </w:r>
      <w:r w:rsidR="00C5614B" w:rsidRPr="00390417">
        <w:rPr>
          <w:rFonts w:ascii="Times New Roman" w:hAnsi="Times New Roman"/>
          <w:color w:val="000000"/>
          <w:sz w:val="24"/>
          <w:szCs w:val="24"/>
        </w:rPr>
        <w:t>пресуда</w:t>
      </w:r>
      <w:r w:rsidRPr="00390417">
        <w:rPr>
          <w:rFonts w:ascii="Times New Roman" w:hAnsi="Times New Roman"/>
          <w:color w:val="000000"/>
          <w:sz w:val="24"/>
          <w:szCs w:val="24"/>
        </w:rPr>
        <w:t xml:space="preserve"> </w:t>
      </w:r>
      <w:r w:rsidR="00C5614B" w:rsidRPr="00390417">
        <w:rPr>
          <w:rFonts w:ascii="Times New Roman" w:hAnsi="Times New Roman"/>
          <w:color w:val="000000"/>
          <w:sz w:val="24"/>
          <w:szCs w:val="24"/>
        </w:rPr>
        <w:t>Трећег</w:t>
      </w:r>
      <w:r w:rsidRPr="00390417">
        <w:rPr>
          <w:rFonts w:ascii="Times New Roman" w:hAnsi="Times New Roman"/>
          <w:color w:val="000000"/>
          <w:sz w:val="24"/>
          <w:szCs w:val="24"/>
        </w:rPr>
        <w:t xml:space="preserve"> </w:t>
      </w:r>
      <w:r w:rsidR="00C5614B" w:rsidRPr="00390417">
        <w:rPr>
          <w:rFonts w:ascii="Times New Roman" w:hAnsi="Times New Roman"/>
          <w:color w:val="000000"/>
          <w:sz w:val="24"/>
          <w:szCs w:val="24"/>
        </w:rPr>
        <w:t>општинског</w:t>
      </w:r>
      <w:r w:rsidRPr="00390417">
        <w:rPr>
          <w:rFonts w:ascii="Times New Roman" w:hAnsi="Times New Roman"/>
          <w:color w:val="000000"/>
          <w:sz w:val="24"/>
          <w:szCs w:val="24"/>
        </w:rPr>
        <w:t xml:space="preserve"> </w:t>
      </w:r>
      <w:r w:rsidR="00C5614B" w:rsidRPr="00390417">
        <w:rPr>
          <w:rFonts w:ascii="Times New Roman" w:hAnsi="Times New Roman"/>
          <w:color w:val="000000"/>
          <w:sz w:val="24"/>
          <w:szCs w:val="24"/>
        </w:rPr>
        <w:t>суда</w:t>
      </w:r>
      <w:r w:rsidRPr="00390417">
        <w:rPr>
          <w:rFonts w:ascii="Times New Roman" w:hAnsi="Times New Roman"/>
          <w:color w:val="000000"/>
          <w:sz w:val="24"/>
          <w:szCs w:val="24"/>
        </w:rPr>
        <w:t xml:space="preserve"> </w:t>
      </w:r>
      <w:r w:rsidR="00C5614B" w:rsidRPr="00390417">
        <w:rPr>
          <w:rFonts w:ascii="Times New Roman" w:hAnsi="Times New Roman"/>
          <w:color w:val="000000"/>
          <w:sz w:val="24"/>
          <w:szCs w:val="24"/>
        </w:rPr>
        <w:t>у</w:t>
      </w:r>
      <w:r w:rsidRPr="00390417">
        <w:rPr>
          <w:rFonts w:ascii="Times New Roman" w:hAnsi="Times New Roman"/>
          <w:color w:val="000000"/>
          <w:sz w:val="24"/>
          <w:szCs w:val="24"/>
        </w:rPr>
        <w:t xml:space="preserve"> </w:t>
      </w:r>
      <w:r w:rsidR="00C5614B" w:rsidRPr="00390417">
        <w:rPr>
          <w:rFonts w:ascii="Times New Roman" w:hAnsi="Times New Roman"/>
          <w:color w:val="000000"/>
          <w:sz w:val="24"/>
          <w:szCs w:val="24"/>
        </w:rPr>
        <w:t>Београду</w:t>
      </w:r>
      <w:r w:rsidRPr="00390417">
        <w:rPr>
          <w:rFonts w:ascii="Times New Roman" w:hAnsi="Times New Roman"/>
          <w:color w:val="000000"/>
          <w:sz w:val="24"/>
          <w:szCs w:val="24"/>
        </w:rPr>
        <w:t xml:space="preserve">, </w:t>
      </w:r>
      <w:r w:rsidR="00C5614B" w:rsidRPr="00390417">
        <w:rPr>
          <w:rFonts w:ascii="Times New Roman" w:hAnsi="Times New Roman"/>
          <w:color w:val="000000"/>
          <w:sz w:val="24"/>
          <w:szCs w:val="24"/>
        </w:rPr>
        <w:t>К</w:t>
      </w:r>
      <w:r w:rsidRPr="00390417">
        <w:rPr>
          <w:rFonts w:ascii="Times New Roman" w:hAnsi="Times New Roman"/>
          <w:color w:val="000000"/>
          <w:sz w:val="24"/>
          <w:szCs w:val="24"/>
        </w:rPr>
        <w:t xml:space="preserve">. 1290/2004 </w:t>
      </w:r>
      <w:r w:rsidR="00C5614B" w:rsidRPr="00390417">
        <w:rPr>
          <w:rFonts w:ascii="Times New Roman" w:hAnsi="Times New Roman"/>
          <w:color w:val="000000"/>
          <w:sz w:val="24"/>
          <w:szCs w:val="24"/>
        </w:rPr>
        <w:t>од</w:t>
      </w:r>
      <w:r w:rsidRPr="00390417">
        <w:rPr>
          <w:rFonts w:ascii="Times New Roman" w:hAnsi="Times New Roman"/>
          <w:color w:val="000000"/>
          <w:sz w:val="24"/>
          <w:szCs w:val="24"/>
        </w:rPr>
        <w:t xml:space="preserve"> 14.3.2005. </w:t>
      </w:r>
      <w:r w:rsidR="00C5614B" w:rsidRPr="00390417">
        <w:rPr>
          <w:rFonts w:ascii="Times New Roman" w:hAnsi="Times New Roman"/>
          <w:color w:val="000000"/>
          <w:sz w:val="24"/>
          <w:szCs w:val="24"/>
        </w:rPr>
        <w:t>године</w:t>
      </w:r>
      <w:r w:rsidRPr="00390417">
        <w:rPr>
          <w:rFonts w:ascii="Times New Roman" w:hAnsi="Times New Roman"/>
          <w:color w:val="000000"/>
          <w:sz w:val="24"/>
          <w:szCs w:val="24"/>
        </w:rPr>
        <w:t>)</w:t>
      </w:r>
    </w:p>
    <w:p w:rsidR="00166B45" w:rsidRPr="00390417" w:rsidRDefault="00166B45" w:rsidP="00390417">
      <w:pPr>
        <w:shd w:val="clear" w:color="auto" w:fill="FFFFFF"/>
        <w:spacing w:before="48" w:after="48" w:line="240" w:lineRule="auto"/>
        <w:jc w:val="both"/>
        <w:rPr>
          <w:rFonts w:ascii="Times New Roman" w:hAnsi="Times New Roman"/>
          <w:color w:val="000000"/>
          <w:sz w:val="24"/>
          <w:szCs w:val="24"/>
          <w:lang w:val="sr-Cyrl-CS"/>
        </w:rPr>
      </w:pPr>
    </w:p>
    <w:p w:rsidR="00D21046" w:rsidRPr="00166B45" w:rsidRDefault="00D21046" w:rsidP="00390417">
      <w:pPr>
        <w:shd w:val="clear" w:color="auto" w:fill="FFFFFF"/>
        <w:spacing w:before="48" w:after="48" w:line="240" w:lineRule="auto"/>
        <w:jc w:val="both"/>
        <w:rPr>
          <w:rFonts w:ascii="Times New Roman" w:hAnsi="Times New Roman"/>
          <w:b/>
          <w:bCs/>
          <w:color w:val="000000"/>
          <w:sz w:val="24"/>
          <w:szCs w:val="24"/>
        </w:rPr>
      </w:pPr>
    </w:p>
    <w:p w:rsidR="005B2B48" w:rsidRDefault="001467DF" w:rsidP="00390417">
      <w:pPr>
        <w:pStyle w:val="normal0"/>
        <w:shd w:val="clear" w:color="auto" w:fill="FFFFFF"/>
        <w:spacing w:before="48" w:beforeAutospacing="0" w:after="48" w:afterAutospacing="0"/>
        <w:jc w:val="both"/>
        <w:rPr>
          <w:bCs/>
          <w:color w:val="000000"/>
        </w:rPr>
      </w:pPr>
      <w:r>
        <w:rPr>
          <w:bCs/>
          <w:color w:val="000000"/>
          <w:lang w:val="sr-Cyrl-CS"/>
        </w:rPr>
        <w:t>18</w:t>
      </w:r>
      <w:r w:rsidR="005B2B48">
        <w:rPr>
          <w:bCs/>
          <w:color w:val="000000"/>
          <w:lang w:val="sr-Cyrl-CS"/>
        </w:rPr>
        <w:t>)</w:t>
      </w:r>
    </w:p>
    <w:p w:rsidR="00166B45" w:rsidRPr="00166B45" w:rsidRDefault="00166B45" w:rsidP="00390417">
      <w:pPr>
        <w:pStyle w:val="normal0"/>
        <w:shd w:val="clear" w:color="auto" w:fill="FFFFFF"/>
        <w:spacing w:before="48" w:beforeAutospacing="0" w:after="48" w:afterAutospacing="0"/>
        <w:jc w:val="both"/>
        <w:rPr>
          <w:bCs/>
          <w:color w:val="000000"/>
        </w:rPr>
      </w:pPr>
    </w:p>
    <w:p w:rsidR="00D51394" w:rsidRDefault="00C5614B" w:rsidP="00390417">
      <w:pPr>
        <w:pStyle w:val="normal0"/>
        <w:shd w:val="clear" w:color="auto" w:fill="FFFFFF"/>
        <w:spacing w:before="48" w:beforeAutospacing="0" w:after="48" w:afterAutospacing="0"/>
        <w:jc w:val="both"/>
        <w:rPr>
          <w:bCs/>
          <w:color w:val="000000"/>
          <w:lang w:val="sr-Cyrl-CS"/>
        </w:rPr>
      </w:pPr>
      <w:r w:rsidRPr="005B2B48">
        <w:rPr>
          <w:bCs/>
          <w:color w:val="000000"/>
        </w:rPr>
        <w:t>Пореска</w:t>
      </w:r>
      <w:r w:rsidR="00D51394" w:rsidRPr="005B2B48">
        <w:rPr>
          <w:bCs/>
          <w:color w:val="000000"/>
        </w:rPr>
        <w:t xml:space="preserve"> </w:t>
      </w:r>
      <w:r w:rsidRPr="005B2B48">
        <w:rPr>
          <w:bCs/>
          <w:color w:val="000000"/>
        </w:rPr>
        <w:t>управа</w:t>
      </w:r>
      <w:r w:rsidR="00D51394" w:rsidRPr="005B2B48">
        <w:rPr>
          <w:bCs/>
          <w:color w:val="000000"/>
        </w:rPr>
        <w:t xml:space="preserve"> - </w:t>
      </w:r>
      <w:r w:rsidRPr="005B2B48">
        <w:rPr>
          <w:bCs/>
          <w:color w:val="000000"/>
        </w:rPr>
        <w:t>Сектор</w:t>
      </w:r>
      <w:r w:rsidR="00D51394" w:rsidRPr="005B2B48">
        <w:rPr>
          <w:bCs/>
          <w:color w:val="000000"/>
        </w:rPr>
        <w:t xml:space="preserve"> </w:t>
      </w:r>
      <w:r w:rsidRPr="005B2B48">
        <w:rPr>
          <w:bCs/>
          <w:color w:val="000000"/>
        </w:rPr>
        <w:t>пореске</w:t>
      </w:r>
      <w:r w:rsidR="00D51394" w:rsidRPr="005B2B48">
        <w:rPr>
          <w:bCs/>
          <w:color w:val="000000"/>
        </w:rPr>
        <w:t xml:space="preserve"> </w:t>
      </w:r>
      <w:r w:rsidRPr="005B2B48">
        <w:rPr>
          <w:bCs/>
          <w:color w:val="000000"/>
        </w:rPr>
        <w:t>полиције</w:t>
      </w:r>
      <w:r w:rsidR="00D51394" w:rsidRPr="005B2B48">
        <w:rPr>
          <w:bCs/>
          <w:color w:val="000000"/>
        </w:rPr>
        <w:t xml:space="preserve"> </w:t>
      </w:r>
      <w:r w:rsidRPr="005B2B48">
        <w:rPr>
          <w:bCs/>
          <w:color w:val="000000"/>
        </w:rPr>
        <w:t>поднела</w:t>
      </w:r>
      <w:r w:rsidR="00D51394" w:rsidRPr="005B2B48">
        <w:rPr>
          <w:bCs/>
          <w:color w:val="000000"/>
        </w:rPr>
        <w:t xml:space="preserve"> </w:t>
      </w:r>
      <w:r w:rsidRPr="005B2B48">
        <w:rPr>
          <w:bCs/>
          <w:color w:val="000000"/>
        </w:rPr>
        <w:t>је</w:t>
      </w:r>
      <w:r w:rsidR="00D51394" w:rsidRPr="005B2B48">
        <w:rPr>
          <w:bCs/>
          <w:color w:val="000000"/>
        </w:rPr>
        <w:t xml:space="preserve"> </w:t>
      </w:r>
      <w:r w:rsidRPr="005B2B48">
        <w:rPr>
          <w:bCs/>
          <w:color w:val="000000"/>
        </w:rPr>
        <w:t>Основном</w:t>
      </w:r>
      <w:r w:rsidR="00D51394" w:rsidRPr="005B2B48">
        <w:rPr>
          <w:bCs/>
          <w:color w:val="000000"/>
        </w:rPr>
        <w:t xml:space="preserve"> </w:t>
      </w:r>
      <w:r w:rsidRPr="005B2B48">
        <w:rPr>
          <w:bCs/>
          <w:color w:val="000000"/>
        </w:rPr>
        <w:t>јавном</w:t>
      </w:r>
      <w:r w:rsidR="00D51394" w:rsidRPr="005B2B48">
        <w:rPr>
          <w:bCs/>
          <w:color w:val="000000"/>
        </w:rPr>
        <w:t xml:space="preserve"> </w:t>
      </w:r>
      <w:r w:rsidRPr="005B2B48">
        <w:rPr>
          <w:bCs/>
          <w:color w:val="000000"/>
        </w:rPr>
        <w:t>тужилаштву</w:t>
      </w:r>
      <w:r w:rsidR="00D51394" w:rsidRPr="005B2B48">
        <w:rPr>
          <w:bCs/>
          <w:color w:val="000000"/>
        </w:rPr>
        <w:t xml:space="preserve"> </w:t>
      </w:r>
      <w:r w:rsidRPr="005B2B48">
        <w:rPr>
          <w:bCs/>
          <w:color w:val="000000"/>
        </w:rPr>
        <w:t>у</w:t>
      </w:r>
      <w:r w:rsidR="00D51394" w:rsidRPr="005B2B48">
        <w:rPr>
          <w:bCs/>
          <w:color w:val="000000"/>
        </w:rPr>
        <w:t xml:space="preserve"> </w:t>
      </w:r>
      <w:r w:rsidRPr="005B2B48">
        <w:rPr>
          <w:bCs/>
          <w:color w:val="000000"/>
        </w:rPr>
        <w:t>Сремској</w:t>
      </w:r>
      <w:r w:rsidR="00D51394" w:rsidRPr="005B2B48">
        <w:rPr>
          <w:bCs/>
          <w:color w:val="000000"/>
        </w:rPr>
        <w:t xml:space="preserve"> </w:t>
      </w:r>
      <w:r w:rsidRPr="005B2B48">
        <w:rPr>
          <w:bCs/>
          <w:color w:val="000000"/>
        </w:rPr>
        <w:t>Митровици</w:t>
      </w:r>
      <w:r w:rsidR="00D51394" w:rsidRPr="005B2B48">
        <w:rPr>
          <w:bCs/>
          <w:color w:val="000000"/>
        </w:rPr>
        <w:t xml:space="preserve"> </w:t>
      </w:r>
      <w:r w:rsidRPr="005B2B48">
        <w:rPr>
          <w:bCs/>
          <w:color w:val="000000"/>
        </w:rPr>
        <w:t>кривичну</w:t>
      </w:r>
      <w:r w:rsidR="00D51394" w:rsidRPr="005B2B48">
        <w:rPr>
          <w:bCs/>
          <w:color w:val="000000"/>
        </w:rPr>
        <w:t xml:space="preserve"> </w:t>
      </w:r>
      <w:r w:rsidRPr="005B2B48">
        <w:rPr>
          <w:bCs/>
          <w:color w:val="000000"/>
        </w:rPr>
        <w:t>пријаву</w:t>
      </w:r>
      <w:r w:rsidR="00D51394" w:rsidRPr="005B2B48">
        <w:rPr>
          <w:bCs/>
          <w:color w:val="000000"/>
        </w:rPr>
        <w:t xml:space="preserve"> </w:t>
      </w:r>
      <w:r w:rsidRPr="005B2B48">
        <w:rPr>
          <w:bCs/>
          <w:color w:val="000000"/>
        </w:rPr>
        <w:t>против</w:t>
      </w:r>
      <w:r w:rsidR="00D51394" w:rsidRPr="005B2B48">
        <w:rPr>
          <w:bCs/>
          <w:color w:val="000000"/>
        </w:rPr>
        <w:t xml:space="preserve"> </w:t>
      </w:r>
      <w:r w:rsidRPr="005B2B48">
        <w:rPr>
          <w:bCs/>
          <w:color w:val="000000"/>
        </w:rPr>
        <w:t>М</w:t>
      </w:r>
      <w:r w:rsidR="00D51394" w:rsidRPr="005B2B48">
        <w:rPr>
          <w:bCs/>
          <w:color w:val="000000"/>
        </w:rPr>
        <w:t>.</w:t>
      </w:r>
      <w:r w:rsidRPr="005B2B48">
        <w:rPr>
          <w:bCs/>
          <w:color w:val="000000"/>
        </w:rPr>
        <w:t>Р</w:t>
      </w:r>
      <w:r w:rsidR="00D51394" w:rsidRPr="005B2B48">
        <w:rPr>
          <w:bCs/>
          <w:color w:val="000000"/>
        </w:rPr>
        <w:t xml:space="preserve">. </w:t>
      </w:r>
      <w:r w:rsidRPr="005B2B48">
        <w:rPr>
          <w:bCs/>
          <w:color w:val="000000"/>
        </w:rPr>
        <w:t>директора</w:t>
      </w:r>
      <w:r w:rsidR="00D51394" w:rsidRPr="005B2B48">
        <w:rPr>
          <w:bCs/>
          <w:color w:val="000000"/>
        </w:rPr>
        <w:t xml:space="preserve"> </w:t>
      </w:r>
      <w:r w:rsidRPr="005B2B48">
        <w:rPr>
          <w:bCs/>
          <w:color w:val="000000"/>
        </w:rPr>
        <w:t>и</w:t>
      </w:r>
      <w:r w:rsidR="00D51394" w:rsidRPr="005B2B48">
        <w:rPr>
          <w:bCs/>
          <w:color w:val="000000"/>
        </w:rPr>
        <w:t xml:space="preserve"> </w:t>
      </w:r>
      <w:r w:rsidRPr="005B2B48">
        <w:rPr>
          <w:bCs/>
          <w:color w:val="000000"/>
        </w:rPr>
        <w:t>одговорног</w:t>
      </w:r>
      <w:r w:rsidR="00D51394" w:rsidRPr="005B2B48">
        <w:rPr>
          <w:bCs/>
          <w:color w:val="000000"/>
        </w:rPr>
        <w:t xml:space="preserve"> </w:t>
      </w:r>
      <w:r w:rsidRPr="005B2B48">
        <w:rPr>
          <w:bCs/>
          <w:color w:val="000000"/>
        </w:rPr>
        <w:t>лица</w:t>
      </w:r>
      <w:r w:rsidR="00D51394" w:rsidRPr="005B2B48">
        <w:rPr>
          <w:bCs/>
          <w:color w:val="000000"/>
        </w:rPr>
        <w:t xml:space="preserve"> </w:t>
      </w:r>
      <w:r w:rsidRPr="005B2B48">
        <w:rPr>
          <w:bCs/>
          <w:color w:val="000000"/>
        </w:rPr>
        <w:t>привредног</w:t>
      </w:r>
      <w:r w:rsidR="00D51394" w:rsidRPr="005B2B48">
        <w:rPr>
          <w:bCs/>
          <w:color w:val="000000"/>
        </w:rPr>
        <w:t xml:space="preserve"> </w:t>
      </w:r>
      <w:r w:rsidRPr="005B2B48">
        <w:rPr>
          <w:bCs/>
          <w:color w:val="000000"/>
        </w:rPr>
        <w:t>друштва</w:t>
      </w:r>
      <w:r w:rsidR="00D51394" w:rsidRPr="005B2B48">
        <w:rPr>
          <w:bCs/>
          <w:color w:val="000000"/>
        </w:rPr>
        <w:t xml:space="preserve"> </w:t>
      </w:r>
      <w:r w:rsidRPr="005B2B48">
        <w:rPr>
          <w:bCs/>
          <w:color w:val="000000"/>
        </w:rPr>
        <w:t>из</w:t>
      </w:r>
      <w:r w:rsidR="00D51394" w:rsidRPr="005B2B48">
        <w:rPr>
          <w:bCs/>
          <w:color w:val="000000"/>
        </w:rPr>
        <w:t xml:space="preserve"> </w:t>
      </w:r>
      <w:r w:rsidRPr="005B2B48">
        <w:rPr>
          <w:bCs/>
          <w:color w:val="000000"/>
        </w:rPr>
        <w:t>Инђије</w:t>
      </w:r>
      <w:r w:rsidR="00D51394" w:rsidRPr="005B2B48">
        <w:rPr>
          <w:bCs/>
          <w:color w:val="000000"/>
        </w:rPr>
        <w:t xml:space="preserve">, </w:t>
      </w:r>
      <w:r w:rsidRPr="005B2B48">
        <w:rPr>
          <w:bCs/>
          <w:color w:val="000000"/>
        </w:rPr>
        <w:t>због</w:t>
      </w:r>
      <w:r w:rsidR="00D51394" w:rsidRPr="005B2B48">
        <w:rPr>
          <w:bCs/>
          <w:color w:val="000000"/>
        </w:rPr>
        <w:t xml:space="preserve"> </w:t>
      </w:r>
      <w:r w:rsidRPr="005B2B48">
        <w:rPr>
          <w:bCs/>
          <w:color w:val="000000"/>
        </w:rPr>
        <w:t>основане</w:t>
      </w:r>
      <w:r w:rsidR="00D51394" w:rsidRPr="005B2B48">
        <w:rPr>
          <w:bCs/>
          <w:color w:val="000000"/>
        </w:rPr>
        <w:t xml:space="preserve"> </w:t>
      </w:r>
      <w:r w:rsidRPr="005B2B48">
        <w:rPr>
          <w:bCs/>
          <w:color w:val="000000"/>
        </w:rPr>
        <w:t>сумње</w:t>
      </w:r>
      <w:r w:rsidR="00D51394" w:rsidRPr="005B2B48">
        <w:rPr>
          <w:bCs/>
          <w:color w:val="000000"/>
        </w:rPr>
        <w:t xml:space="preserve"> </w:t>
      </w:r>
      <w:r w:rsidRPr="005B2B48">
        <w:rPr>
          <w:bCs/>
          <w:color w:val="000000"/>
        </w:rPr>
        <w:t>да</w:t>
      </w:r>
      <w:r w:rsidR="00D51394" w:rsidRPr="005B2B48">
        <w:rPr>
          <w:bCs/>
          <w:color w:val="000000"/>
        </w:rPr>
        <w:t xml:space="preserve"> </w:t>
      </w:r>
      <w:r w:rsidRPr="005B2B48">
        <w:rPr>
          <w:bCs/>
          <w:color w:val="000000"/>
        </w:rPr>
        <w:t>је</w:t>
      </w:r>
      <w:r w:rsidR="00D51394" w:rsidRPr="005B2B48">
        <w:rPr>
          <w:bCs/>
          <w:color w:val="000000"/>
        </w:rPr>
        <w:t xml:space="preserve"> </w:t>
      </w:r>
      <w:r w:rsidRPr="005B2B48">
        <w:rPr>
          <w:bCs/>
          <w:color w:val="000000"/>
        </w:rPr>
        <w:t>извршио</w:t>
      </w:r>
      <w:r w:rsidR="00D51394" w:rsidRPr="005B2B48">
        <w:rPr>
          <w:bCs/>
          <w:color w:val="000000"/>
        </w:rPr>
        <w:t xml:space="preserve"> </w:t>
      </w:r>
      <w:r w:rsidRPr="005B2B48">
        <w:rPr>
          <w:bCs/>
          <w:color w:val="000000"/>
        </w:rPr>
        <w:t>кривично</w:t>
      </w:r>
      <w:r w:rsidR="00D51394" w:rsidRPr="005B2B48">
        <w:rPr>
          <w:bCs/>
          <w:color w:val="000000"/>
        </w:rPr>
        <w:t xml:space="preserve"> </w:t>
      </w:r>
      <w:r w:rsidRPr="005B2B48">
        <w:rPr>
          <w:bCs/>
          <w:color w:val="000000"/>
        </w:rPr>
        <w:t>дело</w:t>
      </w:r>
      <w:r w:rsidR="00D51394" w:rsidRPr="005B2B48">
        <w:rPr>
          <w:bCs/>
          <w:color w:val="000000"/>
        </w:rPr>
        <w:t xml:space="preserve"> </w:t>
      </w:r>
      <w:r w:rsidRPr="005B2B48">
        <w:rPr>
          <w:bCs/>
          <w:color w:val="000000"/>
        </w:rPr>
        <w:t>Неосновано</w:t>
      </w:r>
      <w:r w:rsidR="00D51394" w:rsidRPr="005B2B48">
        <w:rPr>
          <w:bCs/>
          <w:color w:val="000000"/>
        </w:rPr>
        <w:t xml:space="preserve"> </w:t>
      </w:r>
      <w:r w:rsidRPr="005B2B48">
        <w:rPr>
          <w:bCs/>
          <w:color w:val="000000"/>
        </w:rPr>
        <w:t>исказивање</w:t>
      </w:r>
      <w:r w:rsidR="00D51394" w:rsidRPr="005B2B48">
        <w:rPr>
          <w:bCs/>
          <w:color w:val="000000"/>
        </w:rPr>
        <w:t xml:space="preserve"> </w:t>
      </w:r>
      <w:r w:rsidRPr="005B2B48">
        <w:rPr>
          <w:bCs/>
          <w:color w:val="000000"/>
        </w:rPr>
        <w:t>износа</w:t>
      </w:r>
      <w:r w:rsidR="00D51394" w:rsidRPr="005B2B48">
        <w:rPr>
          <w:bCs/>
          <w:color w:val="000000"/>
        </w:rPr>
        <w:t xml:space="preserve"> </w:t>
      </w:r>
      <w:r w:rsidRPr="005B2B48">
        <w:rPr>
          <w:bCs/>
          <w:color w:val="000000"/>
        </w:rPr>
        <w:t>за</w:t>
      </w:r>
      <w:r w:rsidR="00D51394" w:rsidRPr="005B2B48">
        <w:rPr>
          <w:bCs/>
          <w:color w:val="000000"/>
        </w:rPr>
        <w:t xml:space="preserve"> </w:t>
      </w:r>
      <w:r w:rsidRPr="005B2B48">
        <w:rPr>
          <w:bCs/>
          <w:color w:val="000000"/>
        </w:rPr>
        <w:t>повраћај</w:t>
      </w:r>
      <w:r w:rsidR="00D51394" w:rsidRPr="005B2B48">
        <w:rPr>
          <w:bCs/>
          <w:color w:val="000000"/>
        </w:rPr>
        <w:t xml:space="preserve"> </w:t>
      </w:r>
      <w:r w:rsidRPr="005B2B48">
        <w:rPr>
          <w:bCs/>
          <w:color w:val="000000"/>
        </w:rPr>
        <w:t>пореза</w:t>
      </w:r>
      <w:r w:rsidR="00D51394" w:rsidRPr="005B2B48">
        <w:rPr>
          <w:bCs/>
          <w:color w:val="000000"/>
        </w:rPr>
        <w:t xml:space="preserve"> </w:t>
      </w:r>
      <w:r w:rsidRPr="005B2B48">
        <w:rPr>
          <w:bCs/>
          <w:color w:val="000000"/>
        </w:rPr>
        <w:t>и</w:t>
      </w:r>
      <w:r w:rsidR="00D51394" w:rsidRPr="005B2B48">
        <w:rPr>
          <w:bCs/>
          <w:color w:val="000000"/>
        </w:rPr>
        <w:t xml:space="preserve"> </w:t>
      </w:r>
      <w:r w:rsidRPr="005B2B48">
        <w:rPr>
          <w:bCs/>
          <w:color w:val="000000"/>
        </w:rPr>
        <w:t>порески</w:t>
      </w:r>
      <w:r w:rsidR="00D51394" w:rsidRPr="005B2B48">
        <w:rPr>
          <w:bCs/>
          <w:color w:val="000000"/>
        </w:rPr>
        <w:t xml:space="preserve"> </w:t>
      </w:r>
      <w:r w:rsidRPr="005B2B48">
        <w:rPr>
          <w:bCs/>
          <w:color w:val="000000"/>
        </w:rPr>
        <w:t>кредит</w:t>
      </w:r>
      <w:r w:rsidR="00D51394" w:rsidRPr="005B2B48">
        <w:rPr>
          <w:bCs/>
          <w:color w:val="000000"/>
        </w:rPr>
        <w:t>.</w:t>
      </w:r>
    </w:p>
    <w:p w:rsidR="00911A0C" w:rsidRPr="00911A0C" w:rsidRDefault="00911A0C" w:rsidP="00390417">
      <w:pPr>
        <w:pStyle w:val="normal0"/>
        <w:shd w:val="clear" w:color="auto" w:fill="FFFFFF"/>
        <w:spacing w:before="48" w:beforeAutospacing="0" w:after="48" w:afterAutospacing="0"/>
        <w:jc w:val="both"/>
        <w:rPr>
          <w:color w:val="000000"/>
          <w:lang w:val="sr-Cyrl-CS"/>
        </w:rPr>
      </w:pPr>
    </w:p>
    <w:p w:rsidR="00D51394" w:rsidRDefault="00C5614B" w:rsidP="00390417">
      <w:pPr>
        <w:pStyle w:val="normal0"/>
        <w:shd w:val="clear" w:color="auto" w:fill="FFFFFF"/>
        <w:spacing w:before="48" w:beforeAutospacing="0" w:after="48" w:afterAutospacing="0"/>
        <w:jc w:val="both"/>
        <w:rPr>
          <w:color w:val="000000"/>
          <w:lang w:val="sr-Cyrl-CS"/>
        </w:rPr>
      </w:pPr>
      <w:r w:rsidRPr="005B2B48">
        <w:rPr>
          <w:color w:val="000000"/>
        </w:rPr>
        <w:t>М</w:t>
      </w:r>
      <w:r w:rsidR="00D51394" w:rsidRPr="005B2B48">
        <w:rPr>
          <w:color w:val="000000"/>
        </w:rPr>
        <w:t>.</w:t>
      </w:r>
      <w:r w:rsidRPr="005B2B48">
        <w:rPr>
          <w:color w:val="000000"/>
        </w:rPr>
        <w:t>Р</w:t>
      </w:r>
      <w:r w:rsidR="00D51394" w:rsidRPr="005B2B48">
        <w:rPr>
          <w:color w:val="000000"/>
        </w:rPr>
        <w:t xml:space="preserve">. </w:t>
      </w:r>
      <w:r w:rsidRPr="005B2B48">
        <w:rPr>
          <w:color w:val="000000"/>
        </w:rPr>
        <w:t>је</w:t>
      </w:r>
      <w:r w:rsidR="00D51394" w:rsidRPr="005B2B48">
        <w:rPr>
          <w:color w:val="000000"/>
        </w:rPr>
        <w:t xml:space="preserve"> </w:t>
      </w:r>
      <w:r w:rsidRPr="005B2B48">
        <w:rPr>
          <w:color w:val="000000"/>
        </w:rPr>
        <w:t>у</w:t>
      </w:r>
      <w:r w:rsidR="00D51394" w:rsidRPr="005B2B48">
        <w:rPr>
          <w:color w:val="000000"/>
        </w:rPr>
        <w:t xml:space="preserve"> </w:t>
      </w:r>
      <w:r w:rsidRPr="005B2B48">
        <w:rPr>
          <w:color w:val="000000"/>
        </w:rPr>
        <w:t>намери</w:t>
      </w:r>
      <w:r w:rsidR="00D51394" w:rsidRPr="005B2B48">
        <w:rPr>
          <w:color w:val="000000"/>
        </w:rPr>
        <w:t xml:space="preserve"> </w:t>
      </w:r>
      <w:r w:rsidRPr="005B2B48">
        <w:rPr>
          <w:color w:val="000000"/>
        </w:rPr>
        <w:t>да</w:t>
      </w:r>
      <w:r w:rsidR="00D51394" w:rsidRPr="005B2B48">
        <w:rPr>
          <w:color w:val="000000"/>
        </w:rPr>
        <w:t xml:space="preserve"> </w:t>
      </w:r>
      <w:r w:rsidRPr="005B2B48">
        <w:rPr>
          <w:color w:val="000000"/>
        </w:rPr>
        <w:t>оствари</w:t>
      </w:r>
      <w:r w:rsidR="00D51394" w:rsidRPr="005B2B48">
        <w:rPr>
          <w:color w:val="000000"/>
        </w:rPr>
        <w:t xml:space="preserve"> </w:t>
      </w:r>
      <w:r w:rsidRPr="005B2B48">
        <w:rPr>
          <w:color w:val="000000"/>
        </w:rPr>
        <w:t>право</w:t>
      </w:r>
      <w:r w:rsidR="00D51394" w:rsidRPr="005B2B48">
        <w:rPr>
          <w:color w:val="000000"/>
        </w:rPr>
        <w:t xml:space="preserve"> </w:t>
      </w:r>
      <w:r w:rsidRPr="005B2B48">
        <w:rPr>
          <w:color w:val="000000"/>
        </w:rPr>
        <w:t>на</w:t>
      </w:r>
      <w:r w:rsidR="00D51394" w:rsidRPr="005B2B48">
        <w:rPr>
          <w:color w:val="000000"/>
        </w:rPr>
        <w:t xml:space="preserve"> </w:t>
      </w:r>
      <w:r w:rsidRPr="005B2B48">
        <w:rPr>
          <w:color w:val="000000"/>
        </w:rPr>
        <w:t>неосновани</w:t>
      </w:r>
      <w:r w:rsidR="00D51394" w:rsidRPr="005B2B48">
        <w:rPr>
          <w:color w:val="000000"/>
        </w:rPr>
        <w:t xml:space="preserve"> </w:t>
      </w:r>
      <w:r w:rsidRPr="005B2B48">
        <w:rPr>
          <w:color w:val="000000"/>
        </w:rPr>
        <w:t>порески</w:t>
      </w:r>
      <w:r w:rsidR="00D51394" w:rsidRPr="005B2B48">
        <w:rPr>
          <w:color w:val="000000"/>
        </w:rPr>
        <w:t xml:space="preserve"> </w:t>
      </w:r>
      <w:r w:rsidRPr="005B2B48">
        <w:rPr>
          <w:color w:val="000000"/>
        </w:rPr>
        <w:t>кредит</w:t>
      </w:r>
      <w:r w:rsidR="00D51394" w:rsidRPr="005B2B48">
        <w:rPr>
          <w:color w:val="000000"/>
        </w:rPr>
        <w:t xml:space="preserve"> </w:t>
      </w:r>
      <w:r w:rsidRPr="005B2B48">
        <w:rPr>
          <w:color w:val="000000"/>
        </w:rPr>
        <w:t>пореза</w:t>
      </w:r>
      <w:r w:rsidR="00D51394" w:rsidRPr="005B2B48">
        <w:rPr>
          <w:color w:val="000000"/>
        </w:rPr>
        <w:t xml:space="preserve"> </w:t>
      </w:r>
      <w:r w:rsidRPr="005B2B48">
        <w:rPr>
          <w:color w:val="000000"/>
        </w:rPr>
        <w:t>на</w:t>
      </w:r>
      <w:r w:rsidR="00D51394" w:rsidRPr="005B2B48">
        <w:rPr>
          <w:color w:val="000000"/>
        </w:rPr>
        <w:t xml:space="preserve"> </w:t>
      </w:r>
      <w:r w:rsidRPr="005B2B48">
        <w:rPr>
          <w:color w:val="000000"/>
        </w:rPr>
        <w:t>додату</w:t>
      </w:r>
      <w:r w:rsidR="00D51394" w:rsidRPr="005B2B48">
        <w:rPr>
          <w:color w:val="000000"/>
        </w:rPr>
        <w:t xml:space="preserve"> </w:t>
      </w:r>
      <w:r w:rsidRPr="005B2B48">
        <w:rPr>
          <w:color w:val="000000"/>
        </w:rPr>
        <w:t>вредност</w:t>
      </w:r>
      <w:r w:rsidR="00D51394" w:rsidRPr="005B2B48">
        <w:rPr>
          <w:color w:val="000000"/>
        </w:rPr>
        <w:t xml:space="preserve">, </w:t>
      </w:r>
      <w:r w:rsidRPr="005B2B48">
        <w:rPr>
          <w:color w:val="000000"/>
        </w:rPr>
        <w:t>у</w:t>
      </w:r>
      <w:r w:rsidR="00D51394" w:rsidRPr="005B2B48">
        <w:rPr>
          <w:color w:val="000000"/>
        </w:rPr>
        <w:t xml:space="preserve"> </w:t>
      </w:r>
      <w:r w:rsidRPr="005B2B48">
        <w:rPr>
          <w:color w:val="000000"/>
        </w:rPr>
        <w:t>периоду</w:t>
      </w:r>
      <w:r w:rsidR="00D51394" w:rsidRPr="005B2B48">
        <w:rPr>
          <w:color w:val="000000"/>
        </w:rPr>
        <w:t xml:space="preserve"> </w:t>
      </w:r>
      <w:r w:rsidRPr="005B2B48">
        <w:rPr>
          <w:color w:val="000000"/>
        </w:rPr>
        <w:t>од</w:t>
      </w:r>
      <w:r w:rsidR="00D51394" w:rsidRPr="005B2B48">
        <w:rPr>
          <w:color w:val="000000"/>
        </w:rPr>
        <w:t xml:space="preserve"> </w:t>
      </w:r>
      <w:r w:rsidRPr="005B2B48">
        <w:rPr>
          <w:color w:val="000000"/>
        </w:rPr>
        <w:t>септембра</w:t>
      </w:r>
      <w:r w:rsidR="00D51394" w:rsidRPr="005B2B48">
        <w:rPr>
          <w:color w:val="000000"/>
        </w:rPr>
        <w:t xml:space="preserve"> </w:t>
      </w:r>
      <w:r w:rsidRPr="005B2B48">
        <w:rPr>
          <w:color w:val="000000"/>
        </w:rPr>
        <w:t>до</w:t>
      </w:r>
      <w:r w:rsidR="00D51394" w:rsidRPr="005B2B48">
        <w:rPr>
          <w:color w:val="000000"/>
        </w:rPr>
        <w:t xml:space="preserve"> </w:t>
      </w:r>
      <w:r w:rsidRPr="005B2B48">
        <w:rPr>
          <w:color w:val="000000"/>
        </w:rPr>
        <w:t>новембра</w:t>
      </w:r>
      <w:r w:rsidR="00D51394" w:rsidRPr="005B2B48">
        <w:rPr>
          <w:color w:val="000000"/>
        </w:rPr>
        <w:t xml:space="preserve"> 2011. </w:t>
      </w:r>
      <w:r w:rsidRPr="005B2B48">
        <w:rPr>
          <w:color w:val="000000"/>
        </w:rPr>
        <w:t>године</w:t>
      </w:r>
      <w:r w:rsidR="00D51394" w:rsidRPr="005B2B48">
        <w:rPr>
          <w:color w:val="000000"/>
        </w:rPr>
        <w:t xml:space="preserve"> </w:t>
      </w:r>
      <w:r w:rsidRPr="005B2B48">
        <w:rPr>
          <w:color w:val="000000"/>
        </w:rPr>
        <w:t>у</w:t>
      </w:r>
      <w:r w:rsidR="00D51394" w:rsidRPr="005B2B48">
        <w:rPr>
          <w:color w:val="000000"/>
        </w:rPr>
        <w:t xml:space="preserve"> </w:t>
      </w:r>
      <w:r w:rsidRPr="005B2B48">
        <w:rPr>
          <w:color w:val="000000"/>
        </w:rPr>
        <w:t>пословним</w:t>
      </w:r>
      <w:r w:rsidR="00D51394" w:rsidRPr="005B2B48">
        <w:rPr>
          <w:color w:val="000000"/>
        </w:rPr>
        <w:t xml:space="preserve"> </w:t>
      </w:r>
      <w:r w:rsidRPr="005B2B48">
        <w:rPr>
          <w:color w:val="000000"/>
        </w:rPr>
        <w:t>књигама</w:t>
      </w:r>
      <w:r w:rsidR="00D51394" w:rsidRPr="005B2B48">
        <w:rPr>
          <w:color w:val="000000"/>
        </w:rPr>
        <w:t xml:space="preserve"> </w:t>
      </w:r>
      <w:r w:rsidRPr="005B2B48">
        <w:rPr>
          <w:color w:val="000000"/>
        </w:rPr>
        <w:t>предузећа</w:t>
      </w:r>
      <w:r w:rsidR="00D51394" w:rsidRPr="005B2B48">
        <w:rPr>
          <w:color w:val="000000"/>
        </w:rPr>
        <w:t xml:space="preserve"> </w:t>
      </w:r>
      <w:r w:rsidRPr="005B2B48">
        <w:rPr>
          <w:color w:val="000000"/>
        </w:rPr>
        <w:t>лажно</w:t>
      </w:r>
      <w:r w:rsidR="00D51394" w:rsidRPr="005B2B48">
        <w:rPr>
          <w:color w:val="000000"/>
        </w:rPr>
        <w:t xml:space="preserve"> </w:t>
      </w:r>
      <w:r w:rsidRPr="005B2B48">
        <w:rPr>
          <w:color w:val="000000"/>
        </w:rPr>
        <w:t>приказао</w:t>
      </w:r>
      <w:r w:rsidR="00D51394" w:rsidRPr="005B2B48">
        <w:rPr>
          <w:color w:val="000000"/>
        </w:rPr>
        <w:t xml:space="preserve"> </w:t>
      </w:r>
      <w:r w:rsidRPr="005B2B48">
        <w:rPr>
          <w:color w:val="000000"/>
        </w:rPr>
        <w:t>набавку</w:t>
      </w:r>
      <w:r w:rsidR="00D51394" w:rsidRPr="005B2B48">
        <w:rPr>
          <w:color w:val="000000"/>
        </w:rPr>
        <w:t xml:space="preserve"> </w:t>
      </w:r>
      <w:r w:rsidRPr="005B2B48">
        <w:rPr>
          <w:color w:val="000000"/>
        </w:rPr>
        <w:t>добара</w:t>
      </w:r>
      <w:r w:rsidR="00D51394" w:rsidRPr="005B2B48">
        <w:rPr>
          <w:color w:val="000000"/>
        </w:rPr>
        <w:t xml:space="preserve"> </w:t>
      </w:r>
      <w:r w:rsidRPr="005B2B48">
        <w:rPr>
          <w:color w:val="000000"/>
        </w:rPr>
        <w:t>од</w:t>
      </w:r>
      <w:r w:rsidR="00D51394" w:rsidRPr="005B2B48">
        <w:rPr>
          <w:color w:val="000000"/>
        </w:rPr>
        <w:t xml:space="preserve"> </w:t>
      </w:r>
      <w:r w:rsidRPr="005B2B48">
        <w:rPr>
          <w:color w:val="000000"/>
        </w:rPr>
        <w:t>више</w:t>
      </w:r>
      <w:r w:rsidR="00D51394" w:rsidRPr="005B2B48">
        <w:rPr>
          <w:color w:val="000000"/>
        </w:rPr>
        <w:t xml:space="preserve"> </w:t>
      </w:r>
      <w:r w:rsidRPr="005B2B48">
        <w:rPr>
          <w:color w:val="000000"/>
        </w:rPr>
        <w:t>привредних</w:t>
      </w:r>
      <w:r w:rsidR="00D51394" w:rsidRPr="005B2B48">
        <w:rPr>
          <w:color w:val="000000"/>
        </w:rPr>
        <w:t xml:space="preserve"> </w:t>
      </w:r>
      <w:r w:rsidRPr="005B2B48">
        <w:rPr>
          <w:color w:val="000000"/>
        </w:rPr>
        <w:t>субјеката</w:t>
      </w:r>
      <w:r w:rsidR="00D51394" w:rsidRPr="005B2B48">
        <w:rPr>
          <w:color w:val="000000"/>
        </w:rPr>
        <w:t xml:space="preserve">, </w:t>
      </w:r>
      <w:r w:rsidRPr="005B2B48">
        <w:rPr>
          <w:color w:val="000000"/>
        </w:rPr>
        <w:t>недоступних</w:t>
      </w:r>
      <w:r w:rsidR="00D51394" w:rsidRPr="005B2B48">
        <w:rPr>
          <w:color w:val="000000"/>
        </w:rPr>
        <w:t xml:space="preserve"> </w:t>
      </w:r>
      <w:r w:rsidRPr="005B2B48">
        <w:rPr>
          <w:color w:val="000000"/>
        </w:rPr>
        <w:t>контроли</w:t>
      </w:r>
      <w:r w:rsidR="00D51394" w:rsidRPr="005B2B48">
        <w:rPr>
          <w:color w:val="000000"/>
        </w:rPr>
        <w:t xml:space="preserve">, </w:t>
      </w:r>
      <w:r w:rsidRPr="005B2B48">
        <w:rPr>
          <w:color w:val="000000"/>
        </w:rPr>
        <w:t>укупне</w:t>
      </w:r>
      <w:r w:rsidR="00D51394" w:rsidRPr="005B2B48">
        <w:rPr>
          <w:color w:val="000000"/>
        </w:rPr>
        <w:t xml:space="preserve"> </w:t>
      </w:r>
      <w:r w:rsidRPr="005B2B48">
        <w:rPr>
          <w:color w:val="000000"/>
        </w:rPr>
        <w:t>вредности</w:t>
      </w:r>
      <w:r w:rsidR="00D51394" w:rsidRPr="005B2B48">
        <w:rPr>
          <w:color w:val="000000"/>
        </w:rPr>
        <w:t xml:space="preserve"> </w:t>
      </w:r>
      <w:r w:rsidRPr="005B2B48">
        <w:rPr>
          <w:color w:val="000000"/>
        </w:rPr>
        <w:t>од</w:t>
      </w:r>
      <w:r w:rsidR="00D51394" w:rsidRPr="005B2B48">
        <w:rPr>
          <w:color w:val="000000"/>
        </w:rPr>
        <w:t xml:space="preserve"> 229.826.937,90 </w:t>
      </w:r>
      <w:r w:rsidRPr="005B2B48">
        <w:rPr>
          <w:color w:val="000000"/>
        </w:rPr>
        <w:t>динара</w:t>
      </w:r>
      <w:r w:rsidR="00D51394" w:rsidRPr="005B2B48">
        <w:rPr>
          <w:color w:val="000000"/>
        </w:rPr>
        <w:t xml:space="preserve">, </w:t>
      </w:r>
      <w:r w:rsidRPr="005B2B48">
        <w:rPr>
          <w:color w:val="000000"/>
        </w:rPr>
        <w:t>са</w:t>
      </w:r>
      <w:r w:rsidR="00D51394" w:rsidRPr="005B2B48">
        <w:rPr>
          <w:color w:val="000000"/>
        </w:rPr>
        <w:t xml:space="preserve"> </w:t>
      </w:r>
      <w:r w:rsidRPr="005B2B48">
        <w:rPr>
          <w:color w:val="000000"/>
        </w:rPr>
        <w:t>исказаним</w:t>
      </w:r>
      <w:r w:rsidR="00D51394" w:rsidRPr="005B2B48">
        <w:rPr>
          <w:color w:val="000000"/>
        </w:rPr>
        <w:t xml:space="preserve"> </w:t>
      </w:r>
      <w:r w:rsidRPr="005B2B48">
        <w:rPr>
          <w:color w:val="000000"/>
        </w:rPr>
        <w:t>ПДВ</w:t>
      </w:r>
      <w:r w:rsidR="00D51394" w:rsidRPr="005B2B48">
        <w:rPr>
          <w:color w:val="000000"/>
        </w:rPr>
        <w:t xml:space="preserve"> </w:t>
      </w:r>
      <w:r w:rsidRPr="005B2B48">
        <w:rPr>
          <w:color w:val="000000"/>
        </w:rPr>
        <w:t>са</w:t>
      </w:r>
      <w:r w:rsidR="00D51394" w:rsidRPr="005B2B48">
        <w:rPr>
          <w:color w:val="000000"/>
        </w:rPr>
        <w:t xml:space="preserve"> </w:t>
      </w:r>
      <w:r w:rsidRPr="005B2B48">
        <w:rPr>
          <w:color w:val="000000"/>
        </w:rPr>
        <w:t>правом</w:t>
      </w:r>
      <w:r w:rsidR="00D51394" w:rsidRPr="005B2B48">
        <w:rPr>
          <w:color w:val="000000"/>
        </w:rPr>
        <w:t xml:space="preserve"> </w:t>
      </w:r>
      <w:r w:rsidRPr="005B2B48">
        <w:rPr>
          <w:color w:val="000000"/>
        </w:rPr>
        <w:t>на</w:t>
      </w:r>
      <w:r w:rsidR="00D51394" w:rsidRPr="005B2B48">
        <w:rPr>
          <w:color w:val="000000"/>
        </w:rPr>
        <w:t xml:space="preserve"> </w:t>
      </w:r>
      <w:r w:rsidRPr="005B2B48">
        <w:rPr>
          <w:color w:val="000000"/>
        </w:rPr>
        <w:t>одбитак</w:t>
      </w:r>
      <w:r w:rsidR="00D51394" w:rsidRPr="005B2B48">
        <w:rPr>
          <w:color w:val="000000"/>
        </w:rPr>
        <w:t xml:space="preserve"> </w:t>
      </w:r>
      <w:r w:rsidRPr="005B2B48">
        <w:rPr>
          <w:color w:val="000000"/>
        </w:rPr>
        <w:t>у</w:t>
      </w:r>
      <w:r w:rsidR="00D51394" w:rsidRPr="005B2B48">
        <w:rPr>
          <w:color w:val="000000"/>
        </w:rPr>
        <w:t xml:space="preserve"> </w:t>
      </w:r>
      <w:r w:rsidRPr="005B2B48">
        <w:rPr>
          <w:color w:val="000000"/>
        </w:rPr>
        <w:t>износу</w:t>
      </w:r>
      <w:r w:rsidR="00D51394" w:rsidRPr="005B2B48">
        <w:rPr>
          <w:color w:val="000000"/>
        </w:rPr>
        <w:t xml:space="preserve"> </w:t>
      </w:r>
      <w:r w:rsidRPr="005B2B48">
        <w:rPr>
          <w:color w:val="000000"/>
        </w:rPr>
        <w:t>од</w:t>
      </w:r>
      <w:r w:rsidR="00D51394" w:rsidRPr="005B2B48">
        <w:rPr>
          <w:color w:val="000000"/>
        </w:rPr>
        <w:t xml:space="preserve"> 30.973.127,12 </w:t>
      </w:r>
      <w:r w:rsidRPr="005B2B48">
        <w:rPr>
          <w:color w:val="000000"/>
        </w:rPr>
        <w:t>динара</w:t>
      </w:r>
      <w:r w:rsidR="00D51394" w:rsidRPr="005B2B48">
        <w:rPr>
          <w:color w:val="000000"/>
        </w:rPr>
        <w:t xml:space="preserve">, </w:t>
      </w:r>
      <w:r w:rsidRPr="005B2B48">
        <w:rPr>
          <w:color w:val="000000"/>
        </w:rPr>
        <w:t>као</w:t>
      </w:r>
      <w:r w:rsidR="00D51394" w:rsidRPr="005B2B48">
        <w:rPr>
          <w:color w:val="000000"/>
        </w:rPr>
        <w:t xml:space="preserve"> </w:t>
      </w:r>
      <w:r w:rsidRPr="005B2B48">
        <w:rPr>
          <w:color w:val="000000"/>
        </w:rPr>
        <w:t>и</w:t>
      </w:r>
      <w:r w:rsidR="00D51394" w:rsidRPr="005B2B48">
        <w:rPr>
          <w:color w:val="000000"/>
        </w:rPr>
        <w:t xml:space="preserve"> </w:t>
      </w:r>
      <w:r w:rsidRPr="005B2B48">
        <w:rPr>
          <w:color w:val="000000"/>
        </w:rPr>
        <w:t>набавку</w:t>
      </w:r>
      <w:r w:rsidR="00D51394" w:rsidRPr="005B2B48">
        <w:rPr>
          <w:color w:val="000000"/>
        </w:rPr>
        <w:t xml:space="preserve"> </w:t>
      </w:r>
      <w:r w:rsidRPr="005B2B48">
        <w:rPr>
          <w:color w:val="000000"/>
        </w:rPr>
        <w:t>добара</w:t>
      </w:r>
      <w:r w:rsidR="00D51394" w:rsidRPr="005B2B48">
        <w:rPr>
          <w:color w:val="000000"/>
        </w:rPr>
        <w:t xml:space="preserve"> </w:t>
      </w:r>
      <w:r w:rsidRPr="005B2B48">
        <w:rPr>
          <w:color w:val="000000"/>
        </w:rPr>
        <w:t>за</w:t>
      </w:r>
      <w:r w:rsidR="00D51394" w:rsidRPr="005B2B48">
        <w:rPr>
          <w:color w:val="000000"/>
        </w:rPr>
        <w:t xml:space="preserve"> </w:t>
      </w:r>
      <w:r w:rsidRPr="005B2B48">
        <w:rPr>
          <w:color w:val="000000"/>
        </w:rPr>
        <w:t>коју</w:t>
      </w:r>
      <w:r w:rsidR="00D51394" w:rsidRPr="005B2B48">
        <w:rPr>
          <w:color w:val="000000"/>
        </w:rPr>
        <w:t xml:space="preserve"> </w:t>
      </w:r>
      <w:r w:rsidRPr="005B2B48">
        <w:rPr>
          <w:color w:val="000000"/>
        </w:rPr>
        <w:t>не</w:t>
      </w:r>
      <w:r w:rsidR="00D51394" w:rsidRPr="005B2B48">
        <w:rPr>
          <w:color w:val="000000"/>
        </w:rPr>
        <w:t xml:space="preserve"> </w:t>
      </w:r>
      <w:r w:rsidRPr="005B2B48">
        <w:rPr>
          <w:color w:val="000000"/>
        </w:rPr>
        <w:t>поседује</w:t>
      </w:r>
      <w:r w:rsidR="00D51394" w:rsidRPr="005B2B48">
        <w:rPr>
          <w:color w:val="000000"/>
        </w:rPr>
        <w:t xml:space="preserve"> </w:t>
      </w:r>
      <w:r w:rsidRPr="005B2B48">
        <w:rPr>
          <w:color w:val="000000"/>
        </w:rPr>
        <w:t>улазну</w:t>
      </w:r>
      <w:r w:rsidR="00D51394" w:rsidRPr="005B2B48">
        <w:rPr>
          <w:color w:val="000000"/>
        </w:rPr>
        <w:t xml:space="preserve"> </w:t>
      </w:r>
      <w:r w:rsidRPr="005B2B48">
        <w:rPr>
          <w:color w:val="000000"/>
        </w:rPr>
        <w:t>документацију</w:t>
      </w:r>
      <w:r w:rsidR="00D51394" w:rsidRPr="005B2B48">
        <w:rPr>
          <w:color w:val="000000"/>
        </w:rPr>
        <w:t xml:space="preserve"> </w:t>
      </w:r>
      <w:r w:rsidRPr="005B2B48">
        <w:rPr>
          <w:color w:val="000000"/>
        </w:rPr>
        <w:t>у</w:t>
      </w:r>
      <w:r w:rsidR="00D51394" w:rsidRPr="005B2B48">
        <w:rPr>
          <w:color w:val="000000"/>
        </w:rPr>
        <w:t xml:space="preserve"> </w:t>
      </w:r>
      <w:r w:rsidRPr="005B2B48">
        <w:rPr>
          <w:color w:val="000000"/>
        </w:rPr>
        <w:t>вредности</w:t>
      </w:r>
      <w:r w:rsidR="00D51394" w:rsidRPr="005B2B48">
        <w:rPr>
          <w:color w:val="000000"/>
        </w:rPr>
        <w:t xml:space="preserve"> </w:t>
      </w:r>
      <w:r w:rsidRPr="005B2B48">
        <w:rPr>
          <w:color w:val="000000"/>
        </w:rPr>
        <w:t>од</w:t>
      </w:r>
      <w:r w:rsidR="00D51394" w:rsidRPr="005B2B48">
        <w:rPr>
          <w:color w:val="000000"/>
        </w:rPr>
        <w:t xml:space="preserve"> 88.805.354,61 </w:t>
      </w:r>
      <w:r w:rsidRPr="005B2B48">
        <w:rPr>
          <w:color w:val="000000"/>
        </w:rPr>
        <w:t>динар</w:t>
      </w:r>
      <w:r w:rsidR="00D51394" w:rsidRPr="005B2B48">
        <w:rPr>
          <w:color w:val="000000"/>
        </w:rPr>
        <w:t xml:space="preserve">, </w:t>
      </w:r>
      <w:r w:rsidRPr="005B2B48">
        <w:rPr>
          <w:color w:val="000000"/>
        </w:rPr>
        <w:t>са</w:t>
      </w:r>
      <w:r w:rsidR="00D51394" w:rsidRPr="005B2B48">
        <w:rPr>
          <w:color w:val="000000"/>
        </w:rPr>
        <w:t xml:space="preserve"> </w:t>
      </w:r>
      <w:r w:rsidRPr="005B2B48">
        <w:rPr>
          <w:color w:val="000000"/>
        </w:rPr>
        <w:t>исказаним</w:t>
      </w:r>
      <w:r w:rsidR="00D51394" w:rsidRPr="005B2B48">
        <w:rPr>
          <w:color w:val="000000"/>
        </w:rPr>
        <w:t xml:space="preserve"> </w:t>
      </w:r>
      <w:r w:rsidRPr="005B2B48">
        <w:rPr>
          <w:color w:val="000000"/>
        </w:rPr>
        <w:t>ПДВ</w:t>
      </w:r>
      <w:r w:rsidR="00D51394" w:rsidRPr="005B2B48">
        <w:rPr>
          <w:color w:val="000000"/>
        </w:rPr>
        <w:t xml:space="preserve"> </w:t>
      </w:r>
      <w:r w:rsidRPr="005B2B48">
        <w:rPr>
          <w:color w:val="000000"/>
        </w:rPr>
        <w:t>са</w:t>
      </w:r>
      <w:r w:rsidR="00D51394" w:rsidRPr="005B2B48">
        <w:rPr>
          <w:color w:val="000000"/>
        </w:rPr>
        <w:t xml:space="preserve"> </w:t>
      </w:r>
      <w:r w:rsidRPr="005B2B48">
        <w:rPr>
          <w:color w:val="000000"/>
        </w:rPr>
        <w:t>правом</w:t>
      </w:r>
      <w:r w:rsidR="00D51394" w:rsidRPr="005B2B48">
        <w:rPr>
          <w:color w:val="000000"/>
        </w:rPr>
        <w:t xml:space="preserve"> </w:t>
      </w:r>
      <w:r w:rsidRPr="005B2B48">
        <w:rPr>
          <w:color w:val="000000"/>
        </w:rPr>
        <w:t>на</w:t>
      </w:r>
      <w:r w:rsidR="00D51394" w:rsidRPr="005B2B48">
        <w:rPr>
          <w:color w:val="000000"/>
        </w:rPr>
        <w:t xml:space="preserve"> </w:t>
      </w:r>
      <w:r w:rsidRPr="005B2B48">
        <w:rPr>
          <w:color w:val="000000"/>
        </w:rPr>
        <w:t>одбитак</w:t>
      </w:r>
      <w:r w:rsidR="00D51394" w:rsidRPr="005B2B48">
        <w:rPr>
          <w:color w:val="000000"/>
        </w:rPr>
        <w:t xml:space="preserve"> </w:t>
      </w:r>
      <w:r w:rsidRPr="005B2B48">
        <w:rPr>
          <w:color w:val="000000"/>
        </w:rPr>
        <w:t>у</w:t>
      </w:r>
      <w:r w:rsidR="00D51394" w:rsidRPr="005B2B48">
        <w:rPr>
          <w:color w:val="000000"/>
        </w:rPr>
        <w:t xml:space="preserve"> </w:t>
      </w:r>
      <w:r w:rsidRPr="005B2B48">
        <w:rPr>
          <w:color w:val="000000"/>
        </w:rPr>
        <w:t>износу</w:t>
      </w:r>
      <w:r w:rsidR="00D51394" w:rsidRPr="005B2B48">
        <w:rPr>
          <w:color w:val="000000"/>
        </w:rPr>
        <w:t xml:space="preserve"> </w:t>
      </w:r>
      <w:r w:rsidRPr="005B2B48">
        <w:rPr>
          <w:color w:val="000000"/>
        </w:rPr>
        <w:t>од</w:t>
      </w:r>
      <w:r w:rsidR="00D51394" w:rsidRPr="005B2B48">
        <w:rPr>
          <w:color w:val="000000"/>
        </w:rPr>
        <w:t xml:space="preserve"> 8.109.964,21 </w:t>
      </w:r>
      <w:r w:rsidRPr="005B2B48">
        <w:rPr>
          <w:color w:val="000000"/>
        </w:rPr>
        <w:t>динар</w:t>
      </w:r>
      <w:r w:rsidR="00D51394" w:rsidRPr="005B2B48">
        <w:rPr>
          <w:color w:val="000000"/>
        </w:rPr>
        <w:t xml:space="preserve">, </w:t>
      </w:r>
      <w:r w:rsidRPr="005B2B48">
        <w:rPr>
          <w:color w:val="000000"/>
        </w:rPr>
        <w:t>који</w:t>
      </w:r>
      <w:r w:rsidR="00D51394" w:rsidRPr="005B2B48">
        <w:rPr>
          <w:color w:val="000000"/>
        </w:rPr>
        <w:t xml:space="preserve"> </w:t>
      </w:r>
      <w:r w:rsidRPr="005B2B48">
        <w:rPr>
          <w:color w:val="000000"/>
        </w:rPr>
        <w:t>је</w:t>
      </w:r>
      <w:r w:rsidR="00D51394" w:rsidRPr="005B2B48">
        <w:rPr>
          <w:color w:val="000000"/>
        </w:rPr>
        <w:t xml:space="preserve"> </w:t>
      </w:r>
      <w:r w:rsidRPr="005B2B48">
        <w:rPr>
          <w:color w:val="000000"/>
        </w:rPr>
        <w:t>неосновано</w:t>
      </w:r>
      <w:r w:rsidR="00D51394" w:rsidRPr="005B2B48">
        <w:rPr>
          <w:color w:val="000000"/>
        </w:rPr>
        <w:t xml:space="preserve"> </w:t>
      </w:r>
      <w:r w:rsidRPr="005B2B48">
        <w:rPr>
          <w:color w:val="000000"/>
        </w:rPr>
        <w:t>користио</w:t>
      </w:r>
      <w:r w:rsidR="00D51394" w:rsidRPr="005B2B48">
        <w:rPr>
          <w:color w:val="000000"/>
        </w:rPr>
        <w:t xml:space="preserve"> </w:t>
      </w:r>
      <w:r w:rsidRPr="005B2B48">
        <w:rPr>
          <w:color w:val="000000"/>
        </w:rPr>
        <w:t>као</w:t>
      </w:r>
      <w:r w:rsidR="00D51394" w:rsidRPr="005B2B48">
        <w:rPr>
          <w:color w:val="000000"/>
        </w:rPr>
        <w:t xml:space="preserve"> </w:t>
      </w:r>
      <w:r w:rsidRPr="005B2B48">
        <w:rPr>
          <w:color w:val="000000"/>
        </w:rPr>
        <w:t>претходни</w:t>
      </w:r>
      <w:r w:rsidR="00D51394" w:rsidRPr="005B2B48">
        <w:rPr>
          <w:color w:val="000000"/>
        </w:rPr>
        <w:t xml:space="preserve"> </w:t>
      </w:r>
      <w:r w:rsidRPr="005B2B48">
        <w:rPr>
          <w:color w:val="000000"/>
        </w:rPr>
        <w:t>порез</w:t>
      </w:r>
      <w:r w:rsidR="00D51394" w:rsidRPr="005B2B48">
        <w:rPr>
          <w:color w:val="000000"/>
        </w:rPr>
        <w:t>.</w:t>
      </w:r>
      <w:r w:rsidR="00D51394" w:rsidRPr="005B2B48">
        <w:rPr>
          <w:rStyle w:val="apple-converted-space"/>
          <w:color w:val="000000"/>
        </w:rPr>
        <w:t> </w:t>
      </w:r>
      <w:r w:rsidRPr="005B2B48">
        <w:rPr>
          <w:color w:val="000000"/>
        </w:rPr>
        <w:t>Пријављени</w:t>
      </w:r>
      <w:r w:rsidR="00D51394" w:rsidRPr="005B2B48">
        <w:rPr>
          <w:color w:val="000000"/>
        </w:rPr>
        <w:t xml:space="preserve"> </w:t>
      </w:r>
      <w:r w:rsidRPr="005B2B48">
        <w:rPr>
          <w:color w:val="000000"/>
        </w:rPr>
        <w:t>је</w:t>
      </w:r>
      <w:r w:rsidR="00D51394" w:rsidRPr="005B2B48">
        <w:rPr>
          <w:color w:val="000000"/>
        </w:rPr>
        <w:t xml:space="preserve"> </w:t>
      </w:r>
      <w:r w:rsidRPr="005B2B48">
        <w:rPr>
          <w:color w:val="000000"/>
        </w:rPr>
        <w:t>у</w:t>
      </w:r>
      <w:r w:rsidR="00D51394" w:rsidRPr="005B2B48">
        <w:rPr>
          <w:color w:val="000000"/>
        </w:rPr>
        <w:t xml:space="preserve"> </w:t>
      </w:r>
      <w:r w:rsidRPr="005B2B48">
        <w:rPr>
          <w:color w:val="000000"/>
        </w:rPr>
        <w:t>пореским</w:t>
      </w:r>
      <w:r w:rsidR="00D51394" w:rsidRPr="005B2B48">
        <w:rPr>
          <w:color w:val="000000"/>
        </w:rPr>
        <w:t xml:space="preserve"> </w:t>
      </w:r>
      <w:r w:rsidRPr="005B2B48">
        <w:rPr>
          <w:color w:val="000000"/>
        </w:rPr>
        <w:t>пријавама</w:t>
      </w:r>
      <w:r w:rsidR="00D51394" w:rsidRPr="005B2B48">
        <w:rPr>
          <w:color w:val="000000"/>
        </w:rPr>
        <w:t xml:space="preserve"> </w:t>
      </w:r>
      <w:r w:rsidRPr="005B2B48">
        <w:rPr>
          <w:color w:val="000000"/>
        </w:rPr>
        <w:t>за</w:t>
      </w:r>
      <w:r w:rsidR="00D51394" w:rsidRPr="005B2B48">
        <w:rPr>
          <w:color w:val="000000"/>
        </w:rPr>
        <w:t xml:space="preserve"> </w:t>
      </w:r>
      <w:r w:rsidRPr="005B2B48">
        <w:rPr>
          <w:color w:val="000000"/>
        </w:rPr>
        <w:t>септембар</w:t>
      </w:r>
      <w:r w:rsidR="00D51394" w:rsidRPr="005B2B48">
        <w:rPr>
          <w:color w:val="000000"/>
        </w:rPr>
        <w:t xml:space="preserve"> </w:t>
      </w:r>
      <w:r w:rsidRPr="005B2B48">
        <w:rPr>
          <w:color w:val="000000"/>
        </w:rPr>
        <w:t>и</w:t>
      </w:r>
      <w:r w:rsidR="00D51394" w:rsidRPr="005B2B48">
        <w:rPr>
          <w:color w:val="000000"/>
        </w:rPr>
        <w:t xml:space="preserve"> </w:t>
      </w:r>
      <w:r w:rsidRPr="005B2B48">
        <w:rPr>
          <w:color w:val="000000"/>
        </w:rPr>
        <w:t>новембар</w:t>
      </w:r>
      <w:r w:rsidR="00D51394" w:rsidRPr="005B2B48">
        <w:rPr>
          <w:color w:val="000000"/>
        </w:rPr>
        <w:t xml:space="preserve"> 2011. </w:t>
      </w:r>
      <w:r w:rsidRPr="005B2B48">
        <w:rPr>
          <w:color w:val="000000"/>
        </w:rPr>
        <w:t>године</w:t>
      </w:r>
      <w:r w:rsidR="00D51394" w:rsidRPr="005B2B48">
        <w:rPr>
          <w:color w:val="000000"/>
        </w:rPr>
        <w:t xml:space="preserve">, </w:t>
      </w:r>
      <w:r w:rsidRPr="005B2B48">
        <w:rPr>
          <w:color w:val="000000"/>
        </w:rPr>
        <w:t>исказао</w:t>
      </w:r>
      <w:r w:rsidR="00D51394" w:rsidRPr="005B2B48">
        <w:rPr>
          <w:color w:val="000000"/>
        </w:rPr>
        <w:t xml:space="preserve"> </w:t>
      </w:r>
      <w:r w:rsidRPr="005B2B48">
        <w:rPr>
          <w:color w:val="000000"/>
        </w:rPr>
        <w:t>претходни</w:t>
      </w:r>
      <w:r w:rsidR="00D51394" w:rsidRPr="005B2B48">
        <w:rPr>
          <w:color w:val="000000"/>
        </w:rPr>
        <w:t xml:space="preserve"> </w:t>
      </w:r>
      <w:r w:rsidRPr="005B2B48">
        <w:rPr>
          <w:color w:val="000000"/>
        </w:rPr>
        <w:t>порез</w:t>
      </w:r>
      <w:r w:rsidR="00D51394" w:rsidRPr="005B2B48">
        <w:rPr>
          <w:color w:val="000000"/>
        </w:rPr>
        <w:t xml:space="preserve"> </w:t>
      </w:r>
      <w:r w:rsidRPr="005B2B48">
        <w:rPr>
          <w:color w:val="000000"/>
        </w:rPr>
        <w:t>на</w:t>
      </w:r>
      <w:r w:rsidR="00D51394" w:rsidRPr="005B2B48">
        <w:rPr>
          <w:color w:val="000000"/>
        </w:rPr>
        <w:t xml:space="preserve"> </w:t>
      </w:r>
      <w:r w:rsidRPr="005B2B48">
        <w:rPr>
          <w:color w:val="000000"/>
        </w:rPr>
        <w:t>додату</w:t>
      </w:r>
      <w:r w:rsidR="00D51394" w:rsidRPr="005B2B48">
        <w:rPr>
          <w:color w:val="000000"/>
        </w:rPr>
        <w:t xml:space="preserve"> </w:t>
      </w:r>
      <w:r w:rsidRPr="005B2B48">
        <w:rPr>
          <w:color w:val="000000"/>
        </w:rPr>
        <w:t>вредност</w:t>
      </w:r>
      <w:r w:rsidR="00D51394" w:rsidRPr="005B2B48">
        <w:rPr>
          <w:color w:val="000000"/>
        </w:rPr>
        <w:t xml:space="preserve"> </w:t>
      </w:r>
      <w:r w:rsidRPr="005B2B48">
        <w:rPr>
          <w:color w:val="000000"/>
        </w:rPr>
        <w:t>са</w:t>
      </w:r>
      <w:r w:rsidR="00D51394" w:rsidRPr="005B2B48">
        <w:rPr>
          <w:color w:val="000000"/>
        </w:rPr>
        <w:t xml:space="preserve"> </w:t>
      </w:r>
      <w:r w:rsidRPr="005B2B48">
        <w:rPr>
          <w:color w:val="000000"/>
        </w:rPr>
        <w:t>правом</w:t>
      </w:r>
      <w:r w:rsidR="00D51394" w:rsidRPr="005B2B48">
        <w:rPr>
          <w:color w:val="000000"/>
        </w:rPr>
        <w:t xml:space="preserve"> </w:t>
      </w:r>
      <w:r w:rsidRPr="005B2B48">
        <w:rPr>
          <w:color w:val="000000"/>
        </w:rPr>
        <w:t>на</w:t>
      </w:r>
      <w:r w:rsidR="00D51394" w:rsidRPr="005B2B48">
        <w:rPr>
          <w:color w:val="000000"/>
        </w:rPr>
        <w:t xml:space="preserve"> </w:t>
      </w:r>
      <w:r w:rsidRPr="005B2B48">
        <w:rPr>
          <w:color w:val="000000"/>
        </w:rPr>
        <w:t>одбитак</w:t>
      </w:r>
      <w:r w:rsidR="00D51394" w:rsidRPr="005B2B48">
        <w:rPr>
          <w:color w:val="000000"/>
        </w:rPr>
        <w:t xml:space="preserve">, </w:t>
      </w:r>
      <w:r w:rsidRPr="005B2B48">
        <w:rPr>
          <w:color w:val="000000"/>
        </w:rPr>
        <w:t>чиме</w:t>
      </w:r>
      <w:r w:rsidR="00D51394" w:rsidRPr="005B2B48">
        <w:rPr>
          <w:color w:val="000000"/>
        </w:rPr>
        <w:t xml:space="preserve"> </w:t>
      </w:r>
      <w:r w:rsidRPr="005B2B48">
        <w:rPr>
          <w:color w:val="000000"/>
        </w:rPr>
        <w:t>је</w:t>
      </w:r>
      <w:r w:rsidR="00D51394" w:rsidRPr="005B2B48">
        <w:rPr>
          <w:color w:val="000000"/>
        </w:rPr>
        <w:t xml:space="preserve"> </w:t>
      </w:r>
      <w:r w:rsidRPr="005B2B48">
        <w:rPr>
          <w:color w:val="000000"/>
        </w:rPr>
        <w:t>неосновано</w:t>
      </w:r>
      <w:r w:rsidR="00D51394" w:rsidRPr="005B2B48">
        <w:rPr>
          <w:color w:val="000000"/>
        </w:rPr>
        <w:t xml:space="preserve"> </w:t>
      </w:r>
      <w:r w:rsidRPr="005B2B48">
        <w:rPr>
          <w:color w:val="000000"/>
        </w:rPr>
        <w:t>остварио</w:t>
      </w:r>
      <w:r w:rsidR="00D51394" w:rsidRPr="005B2B48">
        <w:rPr>
          <w:color w:val="000000"/>
        </w:rPr>
        <w:t xml:space="preserve"> </w:t>
      </w:r>
      <w:r w:rsidRPr="005B2B48">
        <w:rPr>
          <w:color w:val="000000"/>
        </w:rPr>
        <w:t>право</w:t>
      </w:r>
      <w:r w:rsidR="00D51394" w:rsidRPr="005B2B48">
        <w:rPr>
          <w:color w:val="000000"/>
        </w:rPr>
        <w:t xml:space="preserve"> </w:t>
      </w:r>
      <w:r w:rsidRPr="005B2B48">
        <w:rPr>
          <w:color w:val="000000"/>
        </w:rPr>
        <w:t>на</w:t>
      </w:r>
      <w:r w:rsidR="00D51394" w:rsidRPr="005B2B48">
        <w:rPr>
          <w:color w:val="000000"/>
        </w:rPr>
        <w:t xml:space="preserve"> </w:t>
      </w:r>
      <w:r w:rsidRPr="005B2B48">
        <w:rPr>
          <w:color w:val="000000"/>
        </w:rPr>
        <w:t>порески</w:t>
      </w:r>
      <w:r w:rsidR="00D51394" w:rsidRPr="005B2B48">
        <w:rPr>
          <w:color w:val="000000"/>
        </w:rPr>
        <w:t xml:space="preserve"> </w:t>
      </w:r>
      <w:r w:rsidRPr="005B2B48">
        <w:rPr>
          <w:color w:val="000000"/>
        </w:rPr>
        <w:t>кредит</w:t>
      </w:r>
      <w:r w:rsidR="00D51394" w:rsidRPr="005B2B48">
        <w:rPr>
          <w:color w:val="000000"/>
        </w:rPr>
        <w:t xml:space="preserve"> </w:t>
      </w:r>
      <w:r w:rsidRPr="005B2B48">
        <w:rPr>
          <w:color w:val="000000"/>
        </w:rPr>
        <w:t>у</w:t>
      </w:r>
      <w:r w:rsidR="00D51394" w:rsidRPr="005B2B48">
        <w:rPr>
          <w:color w:val="000000"/>
        </w:rPr>
        <w:t xml:space="preserve"> </w:t>
      </w:r>
      <w:r w:rsidRPr="005B2B48">
        <w:rPr>
          <w:color w:val="000000"/>
        </w:rPr>
        <w:t>наведеним</w:t>
      </w:r>
      <w:r w:rsidR="00D51394" w:rsidRPr="005B2B48">
        <w:rPr>
          <w:color w:val="000000"/>
        </w:rPr>
        <w:t xml:space="preserve"> </w:t>
      </w:r>
      <w:r w:rsidRPr="005B2B48">
        <w:rPr>
          <w:color w:val="000000"/>
        </w:rPr>
        <w:t>износима</w:t>
      </w:r>
      <w:r w:rsidR="00D51394" w:rsidRPr="005B2B48">
        <w:rPr>
          <w:color w:val="000000"/>
        </w:rPr>
        <w:t xml:space="preserve"> </w:t>
      </w:r>
      <w:r w:rsidRPr="005B2B48">
        <w:rPr>
          <w:color w:val="000000"/>
        </w:rPr>
        <w:t>ПДВ</w:t>
      </w:r>
      <w:r w:rsidR="00D51394" w:rsidRPr="005B2B48">
        <w:rPr>
          <w:color w:val="000000"/>
        </w:rPr>
        <w:t>.</w:t>
      </w:r>
    </w:p>
    <w:p w:rsidR="00911A0C" w:rsidRPr="00911A0C" w:rsidRDefault="00911A0C" w:rsidP="00390417">
      <w:pPr>
        <w:pStyle w:val="normal0"/>
        <w:shd w:val="clear" w:color="auto" w:fill="FFFFFF"/>
        <w:spacing w:before="48" w:beforeAutospacing="0" w:after="48" w:afterAutospacing="0"/>
        <w:jc w:val="both"/>
        <w:rPr>
          <w:color w:val="000000"/>
          <w:lang w:val="sr-Cyrl-CS"/>
        </w:rPr>
      </w:pPr>
    </w:p>
    <w:p w:rsidR="00D51394" w:rsidRPr="00390417" w:rsidRDefault="00C5614B" w:rsidP="00390417">
      <w:pPr>
        <w:pStyle w:val="normal0"/>
        <w:shd w:val="clear" w:color="auto" w:fill="FFFFFF"/>
        <w:spacing w:before="48" w:beforeAutospacing="0" w:after="48" w:afterAutospacing="0"/>
        <w:jc w:val="both"/>
        <w:rPr>
          <w:color w:val="000000"/>
        </w:rPr>
      </w:pPr>
      <w:r w:rsidRPr="00390417">
        <w:rPr>
          <w:color w:val="000000"/>
        </w:rPr>
        <w:t>Поменутим</w:t>
      </w:r>
      <w:r w:rsidR="00D51394" w:rsidRPr="00390417">
        <w:rPr>
          <w:color w:val="000000"/>
        </w:rPr>
        <w:t xml:space="preserve"> </w:t>
      </w:r>
      <w:r w:rsidRPr="00390417">
        <w:rPr>
          <w:color w:val="000000"/>
        </w:rPr>
        <w:t>радњама</w:t>
      </w:r>
      <w:r w:rsidR="00D51394" w:rsidRPr="00390417">
        <w:rPr>
          <w:color w:val="000000"/>
        </w:rPr>
        <w:t xml:space="preserve"> </w:t>
      </w:r>
      <w:r w:rsidRPr="00390417">
        <w:rPr>
          <w:color w:val="000000"/>
        </w:rPr>
        <w:t>пријављени</w:t>
      </w:r>
      <w:r w:rsidR="00D51394" w:rsidRPr="00390417">
        <w:rPr>
          <w:color w:val="000000"/>
        </w:rPr>
        <w:t xml:space="preserve"> </w:t>
      </w:r>
      <w:r w:rsidRPr="00390417">
        <w:rPr>
          <w:color w:val="000000"/>
        </w:rPr>
        <w:t>је</w:t>
      </w:r>
      <w:r w:rsidR="00D51394" w:rsidRPr="00390417">
        <w:rPr>
          <w:color w:val="000000"/>
        </w:rPr>
        <w:t xml:space="preserve"> </w:t>
      </w:r>
      <w:r w:rsidRPr="00390417">
        <w:rPr>
          <w:color w:val="000000"/>
        </w:rPr>
        <w:t>оштетио</w:t>
      </w:r>
      <w:r w:rsidR="00D51394" w:rsidRPr="00390417">
        <w:rPr>
          <w:color w:val="000000"/>
        </w:rPr>
        <w:t xml:space="preserve"> </w:t>
      </w:r>
      <w:r w:rsidRPr="00390417">
        <w:rPr>
          <w:color w:val="000000"/>
        </w:rPr>
        <w:t>буџет</w:t>
      </w:r>
      <w:r w:rsidR="00D51394" w:rsidRPr="00390417">
        <w:rPr>
          <w:color w:val="000000"/>
        </w:rPr>
        <w:t xml:space="preserve"> </w:t>
      </w:r>
      <w:r w:rsidRPr="00390417">
        <w:rPr>
          <w:color w:val="000000"/>
        </w:rPr>
        <w:t>Републике</w:t>
      </w:r>
      <w:r w:rsidR="00D51394" w:rsidRPr="00390417">
        <w:rPr>
          <w:color w:val="000000"/>
        </w:rPr>
        <w:t xml:space="preserve"> </w:t>
      </w:r>
      <w:r w:rsidRPr="00390417">
        <w:rPr>
          <w:color w:val="000000"/>
        </w:rPr>
        <w:t>Србије</w:t>
      </w:r>
      <w:r w:rsidR="00D51394" w:rsidRPr="00390417">
        <w:rPr>
          <w:color w:val="000000"/>
        </w:rPr>
        <w:t xml:space="preserve"> </w:t>
      </w:r>
      <w:r w:rsidRPr="00390417">
        <w:rPr>
          <w:color w:val="000000"/>
        </w:rPr>
        <w:t>за</w:t>
      </w:r>
      <w:r w:rsidR="00D51394" w:rsidRPr="00390417">
        <w:rPr>
          <w:color w:val="000000"/>
        </w:rPr>
        <w:t xml:space="preserve"> </w:t>
      </w:r>
      <w:r w:rsidRPr="00390417">
        <w:rPr>
          <w:color w:val="000000"/>
        </w:rPr>
        <w:t>износ</w:t>
      </w:r>
      <w:r w:rsidR="00D51394" w:rsidRPr="00390417">
        <w:rPr>
          <w:color w:val="000000"/>
        </w:rPr>
        <w:t xml:space="preserve"> </w:t>
      </w:r>
      <w:r w:rsidRPr="00390417">
        <w:rPr>
          <w:color w:val="000000"/>
        </w:rPr>
        <w:t>од</w:t>
      </w:r>
      <w:r w:rsidR="00D51394" w:rsidRPr="00390417">
        <w:rPr>
          <w:color w:val="000000"/>
        </w:rPr>
        <w:t xml:space="preserve"> 39.083.091,33 </w:t>
      </w:r>
      <w:r w:rsidRPr="00390417">
        <w:rPr>
          <w:color w:val="000000"/>
        </w:rPr>
        <w:t>динара</w:t>
      </w:r>
    </w:p>
    <w:p w:rsidR="00D51394" w:rsidRPr="00390417" w:rsidRDefault="00C5614B" w:rsidP="00390417">
      <w:pPr>
        <w:pStyle w:val="normal0"/>
        <w:shd w:val="clear" w:color="auto" w:fill="FFFFFF"/>
        <w:spacing w:before="48" w:beforeAutospacing="0" w:after="48" w:afterAutospacing="0"/>
        <w:jc w:val="both"/>
        <w:rPr>
          <w:color w:val="000000"/>
        </w:rPr>
      </w:pPr>
      <w:r w:rsidRPr="00390417">
        <w:rPr>
          <w:i/>
          <w:iCs/>
          <w:color w:val="000000"/>
        </w:rPr>
        <w:t>Извор</w:t>
      </w:r>
      <w:r w:rsidR="00D51394" w:rsidRPr="00390417">
        <w:rPr>
          <w:i/>
          <w:iCs/>
          <w:color w:val="000000"/>
        </w:rPr>
        <w:t xml:space="preserve">: </w:t>
      </w:r>
      <w:r w:rsidRPr="00390417">
        <w:rPr>
          <w:i/>
          <w:iCs/>
          <w:color w:val="000000"/>
        </w:rPr>
        <w:t>Вебсајт</w:t>
      </w:r>
      <w:r w:rsidR="00D51394" w:rsidRPr="00390417">
        <w:rPr>
          <w:i/>
          <w:iCs/>
          <w:color w:val="000000"/>
        </w:rPr>
        <w:t xml:space="preserve"> </w:t>
      </w:r>
      <w:r w:rsidRPr="00390417">
        <w:rPr>
          <w:i/>
          <w:iCs/>
          <w:color w:val="000000"/>
        </w:rPr>
        <w:t>Пореске</w:t>
      </w:r>
      <w:r w:rsidR="00D51394" w:rsidRPr="00390417">
        <w:rPr>
          <w:i/>
          <w:iCs/>
          <w:color w:val="000000"/>
        </w:rPr>
        <w:t xml:space="preserve"> </w:t>
      </w:r>
      <w:r w:rsidRPr="00390417">
        <w:rPr>
          <w:i/>
          <w:iCs/>
          <w:color w:val="000000"/>
        </w:rPr>
        <w:t>управе</w:t>
      </w:r>
      <w:r w:rsidR="00D51394" w:rsidRPr="00390417">
        <w:rPr>
          <w:i/>
          <w:iCs/>
          <w:color w:val="000000"/>
        </w:rPr>
        <w:t>, 24.8.2012.</w:t>
      </w:r>
    </w:p>
    <w:p w:rsidR="00D51394" w:rsidRPr="00166B45" w:rsidRDefault="00D51394" w:rsidP="00D51394">
      <w:pPr>
        <w:shd w:val="clear" w:color="auto" w:fill="FFFFFF"/>
        <w:spacing w:before="48" w:after="48" w:line="240" w:lineRule="auto"/>
        <w:rPr>
          <w:rFonts w:ascii="Arial" w:hAnsi="Arial" w:cs="Arial"/>
          <w:color w:val="000000"/>
          <w:sz w:val="18"/>
          <w:szCs w:val="18"/>
        </w:rPr>
      </w:pPr>
    </w:p>
    <w:p w:rsidR="00D51394" w:rsidRPr="00ED3A8A" w:rsidRDefault="00D51394" w:rsidP="00ED3A8A">
      <w:pPr>
        <w:shd w:val="clear" w:color="auto" w:fill="FFFFFF"/>
        <w:spacing w:before="48" w:after="48" w:line="240" w:lineRule="auto"/>
        <w:rPr>
          <w:rFonts w:ascii="Arial" w:hAnsi="Arial" w:cs="Arial"/>
          <w:b/>
          <w:bCs/>
          <w:color w:val="000000"/>
          <w:sz w:val="18"/>
          <w:szCs w:val="18"/>
          <w:lang w:val="sr-Cyrl-CS"/>
        </w:rPr>
      </w:pPr>
    </w:p>
    <w:p w:rsidR="007B7D68" w:rsidRDefault="001467DF" w:rsidP="005B2B48">
      <w:pPr>
        <w:autoSpaceDE w:val="0"/>
        <w:autoSpaceDN w:val="0"/>
        <w:adjustRightInd w:val="0"/>
        <w:spacing w:after="0" w:line="240" w:lineRule="auto"/>
        <w:rPr>
          <w:rFonts w:asciiTheme="minorHAnsi" w:hAnsiTheme="minorHAnsi" w:cs="TimesNewRomanPS-BoldMT"/>
          <w:bCs/>
          <w:sz w:val="24"/>
          <w:szCs w:val="24"/>
        </w:rPr>
      </w:pPr>
      <w:r>
        <w:rPr>
          <w:rFonts w:ascii="TimesNewRomanPS-BoldMT" w:hAnsi="TimesNewRomanPS-BoldMT" w:cs="TimesNewRomanPS-BoldMT"/>
          <w:bCs/>
          <w:sz w:val="24"/>
          <w:szCs w:val="24"/>
          <w:lang w:val="sr-Cyrl-CS"/>
        </w:rPr>
        <w:t>19</w:t>
      </w:r>
      <w:r w:rsidR="005B2B48">
        <w:rPr>
          <w:rFonts w:ascii="TimesNewRomanPS-BoldMT" w:hAnsi="TimesNewRomanPS-BoldMT" w:cs="TimesNewRomanPS-BoldMT"/>
          <w:bCs/>
          <w:sz w:val="24"/>
          <w:szCs w:val="24"/>
          <w:lang w:val="sr-Cyrl-CS"/>
        </w:rPr>
        <w:t>)</w:t>
      </w:r>
    </w:p>
    <w:p w:rsidR="00166B45" w:rsidRPr="00166B45" w:rsidRDefault="00166B45" w:rsidP="005B2B48">
      <w:pPr>
        <w:autoSpaceDE w:val="0"/>
        <w:autoSpaceDN w:val="0"/>
        <w:adjustRightInd w:val="0"/>
        <w:spacing w:after="0" w:line="240" w:lineRule="auto"/>
        <w:rPr>
          <w:rFonts w:asciiTheme="minorHAnsi" w:hAnsiTheme="minorHAnsi" w:cs="TimesNewRomanPS-BoldMT"/>
          <w:bCs/>
          <w:sz w:val="24"/>
          <w:szCs w:val="24"/>
        </w:rPr>
      </w:pPr>
    </w:p>
    <w:p w:rsidR="007B7D68" w:rsidRDefault="007B7D68" w:rsidP="005B2B48">
      <w:pPr>
        <w:autoSpaceDE w:val="0"/>
        <w:autoSpaceDN w:val="0"/>
        <w:adjustRightInd w:val="0"/>
        <w:spacing w:after="0" w:line="240" w:lineRule="auto"/>
        <w:jc w:val="both"/>
        <w:rPr>
          <w:rFonts w:ascii="TimesNewRomanPS-BoldMT" w:hAnsi="TimesNewRomanPS-BoldMT" w:cs="TimesNewRomanPS-BoldMT"/>
          <w:bCs/>
          <w:sz w:val="24"/>
          <w:szCs w:val="24"/>
          <w:lang w:val="sr-Cyrl-CS"/>
        </w:rPr>
      </w:pPr>
      <w:r w:rsidRPr="005B2B48">
        <w:rPr>
          <w:rFonts w:ascii="TimesNewRomanPS-BoldMT" w:hAnsi="TimesNewRomanPS-BoldMT" w:cs="TimesNewRomanPS-BoldMT"/>
          <w:bCs/>
          <w:sz w:val="24"/>
          <w:szCs w:val="24"/>
        </w:rPr>
        <w:t>Кривично дело злоупотребе службеног положаја из члана 242. став 1.Кривичног закона РС се може извршити када је у питању прибављање себи</w:t>
      </w:r>
      <w:r w:rsidR="005B2B48">
        <w:rPr>
          <w:rFonts w:ascii="TimesNewRomanPS-BoldMT" w:hAnsi="TimesNewRomanPS-BoldMT" w:cs="TimesNewRomanPS-BoldMT"/>
          <w:bCs/>
          <w:sz w:val="24"/>
          <w:szCs w:val="24"/>
          <w:lang w:val="sr-Cyrl-CS"/>
        </w:rPr>
        <w:t xml:space="preserve"> </w:t>
      </w:r>
      <w:r w:rsidRPr="005B2B48">
        <w:rPr>
          <w:rFonts w:ascii="TimesNewRomanPS-BoldMT" w:hAnsi="TimesNewRomanPS-BoldMT" w:cs="TimesNewRomanPS-BoldMT"/>
          <w:bCs/>
          <w:sz w:val="24"/>
          <w:szCs w:val="24"/>
        </w:rPr>
        <w:t>или другом какве користи при чему се под изразом ''другом“ подразумева</w:t>
      </w:r>
      <w:r w:rsidR="005B2B48">
        <w:rPr>
          <w:rFonts w:ascii="TimesNewRomanPS-BoldMT" w:hAnsi="TimesNewRomanPS-BoldMT" w:cs="TimesNewRomanPS-BoldMT"/>
          <w:bCs/>
          <w:sz w:val="24"/>
          <w:szCs w:val="24"/>
          <w:lang w:val="sr-Cyrl-CS"/>
        </w:rPr>
        <w:t xml:space="preserve"> </w:t>
      </w:r>
      <w:r w:rsidRPr="005B2B48">
        <w:rPr>
          <w:rFonts w:ascii="TimesNewRomanPS-BoldMT" w:hAnsi="TimesNewRomanPS-BoldMT" w:cs="TimesNewRomanPS-BoldMT"/>
          <w:bCs/>
          <w:sz w:val="24"/>
          <w:szCs w:val="24"/>
        </w:rPr>
        <w:t>физичко лице, то јест ако је корист прибављена каквом другом физичком, а</w:t>
      </w:r>
      <w:r w:rsidR="005B2B48">
        <w:rPr>
          <w:rFonts w:ascii="TimesNewRomanPS-BoldMT" w:hAnsi="TimesNewRomanPS-BoldMT" w:cs="TimesNewRomanPS-BoldMT"/>
          <w:bCs/>
          <w:sz w:val="24"/>
          <w:szCs w:val="24"/>
          <w:lang w:val="sr-Cyrl-CS"/>
        </w:rPr>
        <w:t xml:space="preserve"> </w:t>
      </w:r>
      <w:r w:rsidRPr="005B2B48">
        <w:rPr>
          <w:rFonts w:ascii="TimesNewRomanPS-BoldMT" w:hAnsi="TimesNewRomanPS-BoldMT" w:cs="TimesNewRomanPS-BoldMT"/>
          <w:bCs/>
          <w:sz w:val="24"/>
          <w:szCs w:val="24"/>
        </w:rPr>
        <w:t>не правном лицу. Ако је прибављена противправна имовинска корист за</w:t>
      </w:r>
      <w:r w:rsidR="005B2B48">
        <w:rPr>
          <w:rFonts w:ascii="TimesNewRomanPS-BoldMT" w:hAnsi="TimesNewRomanPS-BoldMT" w:cs="TimesNewRomanPS-BoldMT"/>
          <w:bCs/>
          <w:sz w:val="24"/>
          <w:szCs w:val="24"/>
          <w:lang w:val="sr-Cyrl-CS"/>
        </w:rPr>
        <w:t xml:space="preserve"> </w:t>
      </w:r>
      <w:r w:rsidRPr="005B2B48">
        <w:rPr>
          <w:rFonts w:ascii="TimesNewRomanPS-BoldMT" w:hAnsi="TimesNewRomanPS-BoldMT" w:cs="TimesNewRomanPS-BoldMT"/>
          <w:bCs/>
          <w:sz w:val="24"/>
          <w:szCs w:val="24"/>
        </w:rPr>
        <w:t>организацију у којој је запослен, то јест, у конкретном случају, за предузећа</w:t>
      </w:r>
      <w:r w:rsidR="005B2B48">
        <w:rPr>
          <w:rFonts w:ascii="TimesNewRomanPS-BoldMT" w:hAnsi="TimesNewRomanPS-BoldMT" w:cs="TimesNewRomanPS-BoldMT"/>
          <w:bCs/>
          <w:sz w:val="24"/>
          <w:szCs w:val="24"/>
          <w:lang w:val="sr-Cyrl-CS"/>
        </w:rPr>
        <w:t xml:space="preserve"> </w:t>
      </w:r>
      <w:r w:rsidRPr="005B2B48">
        <w:rPr>
          <w:rFonts w:ascii="TimesNewRomanPS-BoldMT" w:hAnsi="TimesNewRomanPS-BoldMT" w:cs="TimesNewRomanPS-BoldMT"/>
          <w:bCs/>
          <w:sz w:val="24"/>
          <w:szCs w:val="24"/>
        </w:rPr>
        <w:t>где је одговорно лице запослено или другу организацију или територијалну</w:t>
      </w:r>
      <w:r w:rsidR="005B2B48">
        <w:rPr>
          <w:rFonts w:ascii="TimesNewRomanPS-BoldMT" w:hAnsi="TimesNewRomanPS-BoldMT" w:cs="TimesNewRomanPS-BoldMT"/>
          <w:bCs/>
          <w:sz w:val="24"/>
          <w:szCs w:val="24"/>
          <w:lang w:val="sr-Cyrl-CS"/>
        </w:rPr>
        <w:t xml:space="preserve"> </w:t>
      </w:r>
      <w:r w:rsidRPr="005B2B48">
        <w:rPr>
          <w:rFonts w:ascii="TimesNewRomanPS-BoldMT" w:hAnsi="TimesNewRomanPS-BoldMT" w:cs="TimesNewRomanPS-BoldMT"/>
          <w:bCs/>
          <w:sz w:val="24"/>
          <w:szCs w:val="24"/>
        </w:rPr>
        <w:t>јединицу постојаће неко друго кривично дело (нпр.злоупотреба овлашћења</w:t>
      </w:r>
      <w:r w:rsidR="005B2B48">
        <w:rPr>
          <w:rFonts w:ascii="TimesNewRomanPS-BoldMT" w:hAnsi="TimesNewRomanPS-BoldMT" w:cs="TimesNewRomanPS-BoldMT"/>
          <w:bCs/>
          <w:sz w:val="24"/>
          <w:szCs w:val="24"/>
          <w:lang w:val="sr-Cyrl-CS"/>
        </w:rPr>
        <w:t xml:space="preserve"> </w:t>
      </w:r>
      <w:r w:rsidRPr="005B2B48">
        <w:rPr>
          <w:rFonts w:ascii="TimesNewRomanPS-BoldMT" w:hAnsi="TimesNewRomanPS-BoldMT" w:cs="TimesNewRomanPS-BoldMT"/>
          <w:bCs/>
          <w:sz w:val="24"/>
          <w:szCs w:val="24"/>
        </w:rPr>
        <w:t>у привреди из члана 139. КЗ РС, а не кривично дело злоупотреба службеног</w:t>
      </w:r>
      <w:r w:rsidR="005B2B48">
        <w:rPr>
          <w:rFonts w:ascii="TimesNewRomanPS-BoldMT" w:hAnsi="TimesNewRomanPS-BoldMT" w:cs="TimesNewRomanPS-BoldMT"/>
          <w:bCs/>
          <w:sz w:val="24"/>
          <w:szCs w:val="24"/>
          <w:lang w:val="sr-Cyrl-CS"/>
        </w:rPr>
        <w:t xml:space="preserve"> </w:t>
      </w:r>
      <w:r w:rsidRPr="005B2B48">
        <w:rPr>
          <w:rFonts w:ascii="TimesNewRomanPS-BoldMT" w:hAnsi="TimesNewRomanPS-BoldMT" w:cs="TimesNewRomanPS-BoldMT"/>
          <w:bCs/>
          <w:sz w:val="24"/>
          <w:szCs w:val="24"/>
        </w:rPr>
        <w:t>положаја из члана 242. КЗ РС.)</w:t>
      </w:r>
    </w:p>
    <w:p w:rsidR="005B2B48" w:rsidRPr="005B2B48" w:rsidRDefault="005B2B48" w:rsidP="005B2B48">
      <w:pPr>
        <w:autoSpaceDE w:val="0"/>
        <w:autoSpaceDN w:val="0"/>
        <w:adjustRightInd w:val="0"/>
        <w:spacing w:after="0" w:line="240" w:lineRule="auto"/>
        <w:rPr>
          <w:rFonts w:ascii="TimesNewRomanPS-BoldMT" w:hAnsi="TimesNewRomanPS-BoldMT" w:cs="TimesNewRomanPS-BoldMT"/>
          <w:bCs/>
          <w:sz w:val="24"/>
          <w:szCs w:val="24"/>
          <w:lang w:val="sr-Cyrl-CS"/>
        </w:rPr>
      </w:pPr>
    </w:p>
    <w:p w:rsidR="00ED3A8A" w:rsidRPr="00A04958" w:rsidRDefault="007B7D68" w:rsidP="005B2B48">
      <w:pPr>
        <w:autoSpaceDE w:val="0"/>
        <w:autoSpaceDN w:val="0"/>
        <w:adjustRightInd w:val="0"/>
        <w:spacing w:after="0" w:line="240" w:lineRule="auto"/>
        <w:jc w:val="both"/>
        <w:rPr>
          <w:rFonts w:ascii="Times New Roman" w:hAnsi="Times New Roman"/>
          <w:b/>
          <w:sz w:val="24"/>
          <w:szCs w:val="24"/>
          <w:lang w:val="sr-Cyrl-CS"/>
        </w:rPr>
      </w:pPr>
      <w:r w:rsidRPr="00A04958">
        <w:rPr>
          <w:rFonts w:ascii="Times New Roman" w:hAnsi="Times New Roman"/>
          <w:sz w:val="24"/>
          <w:szCs w:val="24"/>
        </w:rPr>
        <w:t>(</w:t>
      </w:r>
      <w:r w:rsidRPr="00A04958">
        <w:rPr>
          <w:rFonts w:ascii="Times New Roman" w:hAnsi="Times New Roman"/>
          <w:b/>
          <w:sz w:val="24"/>
          <w:szCs w:val="24"/>
        </w:rPr>
        <w:t>Пресуда Врховног суда Србије Кзз. 23/07 од 07.03.2007. године, пресуда</w:t>
      </w:r>
      <w:r w:rsidR="005B2B48" w:rsidRPr="00A04958">
        <w:rPr>
          <w:rFonts w:ascii="Times New Roman" w:hAnsi="Times New Roman"/>
          <w:b/>
          <w:sz w:val="24"/>
          <w:szCs w:val="24"/>
          <w:lang w:val="sr-Cyrl-CS"/>
        </w:rPr>
        <w:t xml:space="preserve"> </w:t>
      </w:r>
      <w:r w:rsidRPr="00A04958">
        <w:rPr>
          <w:rFonts w:ascii="Times New Roman" w:hAnsi="Times New Roman"/>
          <w:b/>
          <w:sz w:val="24"/>
          <w:szCs w:val="24"/>
        </w:rPr>
        <w:t>Општинског суда у Чачку Кж. 248/05 од 08.03.2006. године и Окружног суда у</w:t>
      </w:r>
      <w:r w:rsidR="005B2B48" w:rsidRPr="00A04958">
        <w:rPr>
          <w:rFonts w:ascii="Times New Roman" w:hAnsi="Times New Roman"/>
          <w:b/>
          <w:sz w:val="24"/>
          <w:szCs w:val="24"/>
          <w:lang w:val="sr-Cyrl-CS"/>
        </w:rPr>
        <w:t xml:space="preserve"> </w:t>
      </w:r>
      <w:r w:rsidRPr="00A04958">
        <w:rPr>
          <w:rFonts w:ascii="Times New Roman" w:hAnsi="Times New Roman"/>
          <w:b/>
          <w:sz w:val="24"/>
          <w:szCs w:val="24"/>
        </w:rPr>
        <w:t>Чачку К.219/06 од 17.11.2006. године)</w:t>
      </w:r>
    </w:p>
    <w:p w:rsidR="005B2B48" w:rsidRPr="00166B45" w:rsidRDefault="005B2B48" w:rsidP="005B2B48">
      <w:pPr>
        <w:autoSpaceDE w:val="0"/>
        <w:autoSpaceDN w:val="0"/>
        <w:adjustRightInd w:val="0"/>
        <w:spacing w:after="0" w:line="240" w:lineRule="auto"/>
        <w:jc w:val="both"/>
        <w:rPr>
          <w:rFonts w:ascii="TimesNewRomanPSMT" w:hAnsi="TimesNewRomanPSMT" w:cs="TimesNewRomanPSMT"/>
          <w:b/>
          <w:sz w:val="24"/>
          <w:szCs w:val="24"/>
        </w:rPr>
      </w:pPr>
    </w:p>
    <w:p w:rsidR="00D06E30" w:rsidRDefault="001467DF" w:rsidP="007B7D68">
      <w:pPr>
        <w:autoSpaceDE w:val="0"/>
        <w:autoSpaceDN w:val="0"/>
        <w:adjustRightInd w:val="0"/>
        <w:spacing w:after="0" w:line="240" w:lineRule="auto"/>
        <w:rPr>
          <w:rFonts w:asciiTheme="minorHAnsi" w:hAnsiTheme="minorHAnsi" w:cs="TimesNewRomanPS-BoldMT"/>
          <w:bCs/>
          <w:sz w:val="24"/>
          <w:szCs w:val="24"/>
        </w:rPr>
      </w:pPr>
      <w:r>
        <w:rPr>
          <w:rFonts w:ascii="TimesNewRomanPS-BoldMT" w:hAnsi="TimesNewRomanPS-BoldMT" w:cs="TimesNewRomanPS-BoldMT"/>
          <w:bCs/>
          <w:sz w:val="24"/>
          <w:szCs w:val="24"/>
          <w:lang w:val="sr-Cyrl-CS"/>
        </w:rPr>
        <w:t>20</w:t>
      </w:r>
      <w:r w:rsidR="00D06E30">
        <w:rPr>
          <w:rFonts w:ascii="TimesNewRomanPS-BoldMT" w:hAnsi="TimesNewRomanPS-BoldMT" w:cs="TimesNewRomanPS-BoldMT"/>
          <w:bCs/>
          <w:sz w:val="24"/>
          <w:szCs w:val="24"/>
          <w:lang w:val="sr-Cyrl-CS"/>
        </w:rPr>
        <w:t>)</w:t>
      </w:r>
    </w:p>
    <w:p w:rsidR="00166B45" w:rsidRPr="00166B45" w:rsidRDefault="00166B45" w:rsidP="007B7D68">
      <w:pPr>
        <w:autoSpaceDE w:val="0"/>
        <w:autoSpaceDN w:val="0"/>
        <w:adjustRightInd w:val="0"/>
        <w:spacing w:after="0" w:line="240" w:lineRule="auto"/>
        <w:rPr>
          <w:rFonts w:asciiTheme="minorHAnsi" w:hAnsiTheme="minorHAnsi" w:cs="TimesNewRomanPS-BoldMT"/>
          <w:bCs/>
          <w:sz w:val="24"/>
          <w:szCs w:val="24"/>
        </w:rPr>
      </w:pPr>
    </w:p>
    <w:p w:rsidR="007B7D68" w:rsidRDefault="007B7D68" w:rsidP="00D06E30">
      <w:pPr>
        <w:autoSpaceDE w:val="0"/>
        <w:autoSpaceDN w:val="0"/>
        <w:adjustRightInd w:val="0"/>
        <w:spacing w:after="0" w:line="240" w:lineRule="auto"/>
        <w:jc w:val="both"/>
        <w:rPr>
          <w:rFonts w:ascii="TimesNewRomanPS-BoldMT" w:hAnsi="TimesNewRomanPS-BoldMT" w:cs="TimesNewRomanPS-BoldMT"/>
          <w:bCs/>
          <w:sz w:val="24"/>
          <w:szCs w:val="24"/>
          <w:lang w:val="sr-Cyrl-CS"/>
        </w:rPr>
      </w:pPr>
      <w:r w:rsidRPr="005B2B48">
        <w:rPr>
          <w:rFonts w:ascii="TimesNewRomanPS-BoldMT" w:hAnsi="TimesNewRomanPS-BoldMT" w:cs="TimesNewRomanPS-BoldMT"/>
          <w:bCs/>
          <w:sz w:val="24"/>
          <w:szCs w:val="24"/>
        </w:rPr>
        <w:t>Оптужени је био свестан свих околности дела па и чињенице да</w:t>
      </w:r>
      <w:r w:rsidR="00D06E30">
        <w:rPr>
          <w:rFonts w:ascii="TimesNewRomanPS-BoldMT" w:hAnsi="TimesNewRomanPS-BoldMT" w:cs="TimesNewRomanPS-BoldMT"/>
          <w:bCs/>
          <w:sz w:val="24"/>
          <w:szCs w:val="24"/>
          <w:lang w:val="sr-Cyrl-CS"/>
        </w:rPr>
        <w:t xml:space="preserve"> </w:t>
      </w:r>
      <w:r w:rsidRPr="005B2B48">
        <w:rPr>
          <w:rFonts w:ascii="TimesNewRomanPS-BoldMT" w:hAnsi="TimesNewRomanPS-BoldMT" w:cs="TimesNewRomanPS-BoldMT"/>
          <w:bCs/>
          <w:sz w:val="24"/>
          <w:szCs w:val="24"/>
        </w:rPr>
        <w:t>изјаве у којима је навео да се роба набавља ради даље продаје нису</w:t>
      </w:r>
      <w:r w:rsidR="00D06E30">
        <w:rPr>
          <w:rFonts w:ascii="TimesNewRomanPS-BoldMT" w:hAnsi="TimesNewRomanPS-BoldMT" w:cs="TimesNewRomanPS-BoldMT"/>
          <w:bCs/>
          <w:sz w:val="24"/>
          <w:szCs w:val="24"/>
          <w:lang w:val="sr-Cyrl-CS"/>
        </w:rPr>
        <w:t xml:space="preserve"> </w:t>
      </w:r>
      <w:r w:rsidRPr="005B2B48">
        <w:rPr>
          <w:rFonts w:ascii="TimesNewRomanPS-BoldMT" w:hAnsi="TimesNewRomanPS-BoldMT" w:cs="TimesNewRomanPS-BoldMT"/>
          <w:bCs/>
          <w:sz w:val="24"/>
          <w:szCs w:val="24"/>
        </w:rPr>
        <w:t>истините, с обзиром на то да је робу продавао искључиво физичким лицима</w:t>
      </w:r>
      <w:r w:rsidR="00D06E30">
        <w:rPr>
          <w:rFonts w:ascii="TimesNewRomanPS-BoldMT" w:hAnsi="TimesNewRomanPS-BoldMT" w:cs="TimesNewRomanPS-BoldMT"/>
          <w:bCs/>
          <w:sz w:val="24"/>
          <w:szCs w:val="24"/>
          <w:lang w:val="sr-Cyrl-CS"/>
        </w:rPr>
        <w:t xml:space="preserve"> </w:t>
      </w:r>
      <w:r w:rsidRPr="005B2B48">
        <w:rPr>
          <w:rFonts w:ascii="TimesNewRomanPS-BoldMT" w:hAnsi="TimesNewRomanPS-BoldMT" w:cs="TimesNewRomanPS-BoldMT"/>
          <w:bCs/>
          <w:sz w:val="24"/>
          <w:szCs w:val="24"/>
        </w:rPr>
        <w:t>за готов новац на пијаци, да није ни покушао да као купца нађе правно</w:t>
      </w:r>
      <w:r w:rsidR="00D06E30">
        <w:rPr>
          <w:rFonts w:ascii="TimesNewRomanPS-BoldMT" w:hAnsi="TimesNewRomanPS-BoldMT" w:cs="TimesNewRomanPS-BoldMT"/>
          <w:bCs/>
          <w:sz w:val="24"/>
          <w:szCs w:val="24"/>
          <w:lang w:val="sr-Cyrl-CS"/>
        </w:rPr>
        <w:t xml:space="preserve"> </w:t>
      </w:r>
      <w:r w:rsidRPr="005B2B48">
        <w:rPr>
          <w:rFonts w:ascii="TimesNewRomanPS-BoldMT" w:hAnsi="TimesNewRomanPS-BoldMT" w:cs="TimesNewRomanPS-BoldMT"/>
          <w:bCs/>
          <w:sz w:val="24"/>
          <w:szCs w:val="24"/>
        </w:rPr>
        <w:t>лице, да је знао какав је ефекат остварен таквом изјавом, јер садржина исте</w:t>
      </w:r>
      <w:r w:rsidR="00D06E30">
        <w:rPr>
          <w:rFonts w:ascii="TimesNewRomanPS-BoldMT" w:hAnsi="TimesNewRomanPS-BoldMT" w:cs="TimesNewRomanPS-BoldMT"/>
          <w:bCs/>
          <w:sz w:val="24"/>
          <w:szCs w:val="24"/>
          <w:lang w:val="sr-Cyrl-CS"/>
        </w:rPr>
        <w:t xml:space="preserve"> </w:t>
      </w:r>
      <w:r w:rsidRPr="005B2B48">
        <w:rPr>
          <w:rFonts w:ascii="TimesNewRomanPS-BoldMT" w:hAnsi="TimesNewRomanPS-BoldMT" w:cs="TimesNewRomanPS-BoldMT"/>
          <w:bCs/>
          <w:sz w:val="24"/>
          <w:szCs w:val="24"/>
        </w:rPr>
        <w:t>се повезује са порезом на промет, па нема сумње да је смисао његових радњи</w:t>
      </w:r>
      <w:r w:rsidR="00D06E30">
        <w:rPr>
          <w:rFonts w:ascii="TimesNewRomanPS-BoldMT" w:hAnsi="TimesNewRomanPS-BoldMT" w:cs="TimesNewRomanPS-BoldMT"/>
          <w:bCs/>
          <w:sz w:val="24"/>
          <w:szCs w:val="24"/>
          <w:lang w:val="sr-Cyrl-CS"/>
        </w:rPr>
        <w:t xml:space="preserve"> </w:t>
      </w:r>
      <w:r w:rsidRPr="005B2B48">
        <w:rPr>
          <w:rFonts w:ascii="TimesNewRomanPS-BoldMT" w:hAnsi="TimesNewRomanPS-BoldMT" w:cs="TimesNewRomanPS-BoldMT"/>
          <w:bCs/>
          <w:sz w:val="24"/>
          <w:szCs w:val="24"/>
        </w:rPr>
        <w:t>управо у томе да избегне обрачун пореза на промет приликом набављања</w:t>
      </w:r>
      <w:r w:rsidR="00D06E30">
        <w:rPr>
          <w:rFonts w:ascii="TimesNewRomanPS-BoldMT" w:hAnsi="TimesNewRomanPS-BoldMT" w:cs="TimesNewRomanPS-BoldMT"/>
          <w:bCs/>
          <w:sz w:val="24"/>
          <w:szCs w:val="24"/>
          <w:lang w:val="sr-Cyrl-CS"/>
        </w:rPr>
        <w:t xml:space="preserve"> </w:t>
      </w:r>
      <w:r w:rsidRPr="005B2B48">
        <w:rPr>
          <w:rFonts w:ascii="TimesNewRomanPS-BoldMT" w:hAnsi="TimesNewRomanPS-BoldMT" w:cs="TimesNewRomanPS-BoldMT"/>
          <w:bCs/>
          <w:sz w:val="24"/>
          <w:szCs w:val="24"/>
        </w:rPr>
        <w:t>робе и исходује по том основу ниже цене, односно остваривања имовинске</w:t>
      </w:r>
      <w:r w:rsidR="00D06E30">
        <w:rPr>
          <w:rFonts w:ascii="TimesNewRomanPS-BoldMT" w:hAnsi="TimesNewRomanPS-BoldMT" w:cs="TimesNewRomanPS-BoldMT"/>
          <w:bCs/>
          <w:sz w:val="24"/>
          <w:szCs w:val="24"/>
          <w:lang w:val="sr-Cyrl-CS"/>
        </w:rPr>
        <w:t xml:space="preserve"> </w:t>
      </w:r>
      <w:r w:rsidRPr="005B2B48">
        <w:rPr>
          <w:rFonts w:ascii="TimesNewRomanPS-BoldMT" w:hAnsi="TimesNewRomanPS-BoldMT" w:cs="TimesNewRomanPS-BoldMT"/>
          <w:bCs/>
          <w:sz w:val="24"/>
          <w:szCs w:val="24"/>
        </w:rPr>
        <w:t>користи и по налажењу суда опште је познато да се у трговини код продаје</w:t>
      </w:r>
      <w:r w:rsidR="00D06E30">
        <w:rPr>
          <w:rFonts w:ascii="TimesNewRomanPS-BoldMT" w:hAnsi="TimesNewRomanPS-BoldMT" w:cs="TimesNewRomanPS-BoldMT"/>
          <w:bCs/>
          <w:sz w:val="24"/>
          <w:szCs w:val="24"/>
          <w:lang w:val="sr-Cyrl-CS"/>
        </w:rPr>
        <w:t xml:space="preserve"> </w:t>
      </w:r>
      <w:r w:rsidRPr="005B2B48">
        <w:rPr>
          <w:rFonts w:ascii="TimesNewRomanPS-BoldMT" w:hAnsi="TimesNewRomanPS-BoldMT" w:cs="TimesNewRomanPS-BoldMT"/>
          <w:bCs/>
          <w:sz w:val="24"/>
          <w:szCs w:val="24"/>
        </w:rPr>
        <w:t>непосредним потрошачима обрачунава и плаћа порез на промет и да је то</w:t>
      </w:r>
      <w:r w:rsidR="00D06E30">
        <w:rPr>
          <w:rFonts w:ascii="TimesNewRomanPS-BoldMT" w:hAnsi="TimesNewRomanPS-BoldMT" w:cs="TimesNewRomanPS-BoldMT"/>
          <w:bCs/>
          <w:sz w:val="24"/>
          <w:szCs w:val="24"/>
          <w:lang w:val="sr-Cyrl-CS"/>
        </w:rPr>
        <w:t xml:space="preserve"> </w:t>
      </w:r>
      <w:r w:rsidRPr="005B2B48">
        <w:rPr>
          <w:rFonts w:ascii="TimesNewRomanPS-BoldMT" w:hAnsi="TimesNewRomanPS-BoldMT" w:cs="TimesNewRomanPS-BoldMT"/>
          <w:bCs/>
          <w:sz w:val="24"/>
          <w:szCs w:val="24"/>
        </w:rPr>
        <w:t>законска обавеза, што је свакако и оптужени као директор предузећа морао</w:t>
      </w:r>
      <w:r w:rsidR="00D06E30">
        <w:rPr>
          <w:rFonts w:ascii="TimesNewRomanPS-BoldMT" w:hAnsi="TimesNewRomanPS-BoldMT" w:cs="TimesNewRomanPS-BoldMT"/>
          <w:bCs/>
          <w:sz w:val="24"/>
          <w:szCs w:val="24"/>
          <w:lang w:val="sr-Cyrl-CS"/>
        </w:rPr>
        <w:t xml:space="preserve"> </w:t>
      </w:r>
      <w:r w:rsidRPr="005B2B48">
        <w:rPr>
          <w:rFonts w:ascii="TimesNewRomanPS-BoldMT" w:hAnsi="TimesNewRomanPS-BoldMT" w:cs="TimesNewRomanPS-BoldMT"/>
          <w:bCs/>
          <w:sz w:val="24"/>
          <w:szCs w:val="24"/>
        </w:rPr>
        <w:t>знати, те се стога директан умишљај оптуженог не може довести у сумњу.</w:t>
      </w:r>
    </w:p>
    <w:p w:rsidR="00D06E30" w:rsidRDefault="00D06E30" w:rsidP="007B7D68">
      <w:pPr>
        <w:autoSpaceDE w:val="0"/>
        <w:autoSpaceDN w:val="0"/>
        <w:adjustRightInd w:val="0"/>
        <w:spacing w:after="0" w:line="240" w:lineRule="auto"/>
        <w:rPr>
          <w:rFonts w:ascii="TimesNewRomanPS-BoldMT" w:hAnsi="TimesNewRomanPS-BoldMT" w:cs="TimesNewRomanPS-BoldMT"/>
          <w:bCs/>
          <w:sz w:val="24"/>
          <w:szCs w:val="24"/>
          <w:lang w:val="sr-Cyrl-CS"/>
        </w:rPr>
      </w:pPr>
    </w:p>
    <w:p w:rsidR="00D06E30" w:rsidRPr="00D06E30" w:rsidRDefault="00D06E30" w:rsidP="007B7D68">
      <w:pPr>
        <w:autoSpaceDE w:val="0"/>
        <w:autoSpaceDN w:val="0"/>
        <w:adjustRightInd w:val="0"/>
        <w:spacing w:after="0" w:line="240" w:lineRule="auto"/>
        <w:rPr>
          <w:rFonts w:ascii="TimesNewRomanPS-BoldMT" w:hAnsi="TimesNewRomanPS-BoldMT" w:cs="TimesNewRomanPS-BoldMT"/>
          <w:bCs/>
          <w:sz w:val="24"/>
          <w:szCs w:val="24"/>
          <w:lang w:val="sr-Cyrl-CS"/>
        </w:rPr>
      </w:pPr>
    </w:p>
    <w:p w:rsidR="00911A0C" w:rsidRPr="00EF331C" w:rsidRDefault="007B7D68" w:rsidP="00166B45">
      <w:pPr>
        <w:autoSpaceDE w:val="0"/>
        <w:autoSpaceDN w:val="0"/>
        <w:adjustRightInd w:val="0"/>
        <w:spacing w:after="0" w:line="240" w:lineRule="auto"/>
        <w:rPr>
          <w:rFonts w:ascii="Times New Roman" w:hAnsi="Times New Roman"/>
          <w:b/>
          <w:sz w:val="24"/>
          <w:szCs w:val="24"/>
        </w:rPr>
      </w:pPr>
      <w:r w:rsidRPr="00EF331C">
        <w:rPr>
          <w:rFonts w:ascii="Times New Roman" w:hAnsi="Times New Roman"/>
          <w:sz w:val="24"/>
          <w:szCs w:val="24"/>
        </w:rPr>
        <w:lastRenderedPageBreak/>
        <w:t>(</w:t>
      </w:r>
      <w:r w:rsidRPr="00EF331C">
        <w:rPr>
          <w:rFonts w:ascii="Times New Roman" w:hAnsi="Times New Roman"/>
          <w:b/>
          <w:sz w:val="24"/>
          <w:szCs w:val="24"/>
        </w:rPr>
        <w:t>Пресуда Врховног суда Србије Кж-I-2303/07 oд 03.12.2007. године и</w:t>
      </w:r>
      <w:r w:rsidR="00D06E30" w:rsidRPr="00EF331C">
        <w:rPr>
          <w:rFonts w:ascii="Times New Roman" w:hAnsi="Times New Roman"/>
          <w:b/>
          <w:sz w:val="24"/>
          <w:szCs w:val="24"/>
          <w:lang w:val="sr-Cyrl-CS"/>
        </w:rPr>
        <w:t xml:space="preserve"> </w:t>
      </w:r>
      <w:r w:rsidRPr="00EF331C">
        <w:rPr>
          <w:rFonts w:ascii="Times New Roman" w:hAnsi="Times New Roman"/>
          <w:b/>
          <w:sz w:val="24"/>
          <w:szCs w:val="24"/>
        </w:rPr>
        <w:t>Окружног суда у Новом Саду К. 273/07 од 17.07.2007. године)</w:t>
      </w:r>
    </w:p>
    <w:p w:rsidR="00166B45" w:rsidRPr="00EF331C" w:rsidRDefault="00166B45" w:rsidP="00166B45">
      <w:pPr>
        <w:autoSpaceDE w:val="0"/>
        <w:autoSpaceDN w:val="0"/>
        <w:adjustRightInd w:val="0"/>
        <w:spacing w:after="0" w:line="240" w:lineRule="auto"/>
        <w:rPr>
          <w:rFonts w:ascii="Times New Roman" w:hAnsi="Times New Roman"/>
          <w:b/>
          <w:sz w:val="24"/>
          <w:szCs w:val="24"/>
        </w:rPr>
      </w:pPr>
    </w:p>
    <w:p w:rsidR="00166B45" w:rsidRPr="00166B45" w:rsidRDefault="00166B45" w:rsidP="00166B45">
      <w:pPr>
        <w:autoSpaceDE w:val="0"/>
        <w:autoSpaceDN w:val="0"/>
        <w:adjustRightInd w:val="0"/>
        <w:spacing w:after="0" w:line="240" w:lineRule="auto"/>
        <w:rPr>
          <w:rFonts w:ascii="TimesNewRomanPSMT" w:hAnsi="TimesNewRomanPSMT" w:cs="TimesNewRomanPSMT"/>
          <w:b/>
          <w:sz w:val="24"/>
          <w:szCs w:val="24"/>
        </w:rPr>
      </w:pPr>
    </w:p>
    <w:p w:rsidR="00D06E30" w:rsidRDefault="001467DF" w:rsidP="001C22F0">
      <w:pPr>
        <w:autoSpaceDE w:val="0"/>
        <w:autoSpaceDN w:val="0"/>
        <w:adjustRightInd w:val="0"/>
        <w:spacing w:after="0" w:line="240" w:lineRule="auto"/>
        <w:rPr>
          <w:rFonts w:asciiTheme="minorHAnsi" w:hAnsiTheme="minorHAnsi" w:cs="TimesNewRomanPS-BoldMT"/>
          <w:bCs/>
          <w:sz w:val="24"/>
          <w:szCs w:val="24"/>
        </w:rPr>
      </w:pPr>
      <w:r>
        <w:rPr>
          <w:rFonts w:ascii="TimesNewRomanPS-BoldMT" w:hAnsi="TimesNewRomanPS-BoldMT" w:cs="TimesNewRomanPS-BoldMT"/>
          <w:bCs/>
          <w:sz w:val="24"/>
          <w:szCs w:val="24"/>
          <w:lang w:val="sr-Cyrl-CS"/>
        </w:rPr>
        <w:t>21</w:t>
      </w:r>
      <w:r w:rsidR="00D06E30" w:rsidRPr="00D06E30">
        <w:rPr>
          <w:rFonts w:ascii="TimesNewRomanPS-BoldMT" w:hAnsi="TimesNewRomanPS-BoldMT" w:cs="TimesNewRomanPS-BoldMT"/>
          <w:bCs/>
          <w:sz w:val="24"/>
          <w:szCs w:val="24"/>
          <w:lang w:val="sr-Cyrl-CS"/>
        </w:rPr>
        <w:t>)</w:t>
      </w:r>
    </w:p>
    <w:p w:rsidR="00166B45" w:rsidRPr="00166B45" w:rsidRDefault="00166B45" w:rsidP="001C22F0">
      <w:pPr>
        <w:autoSpaceDE w:val="0"/>
        <w:autoSpaceDN w:val="0"/>
        <w:adjustRightInd w:val="0"/>
        <w:spacing w:after="0" w:line="240" w:lineRule="auto"/>
        <w:rPr>
          <w:rFonts w:asciiTheme="minorHAnsi" w:hAnsiTheme="minorHAnsi" w:cs="TimesNewRomanPS-BoldMT"/>
          <w:bCs/>
          <w:sz w:val="24"/>
          <w:szCs w:val="24"/>
        </w:rPr>
      </w:pPr>
    </w:p>
    <w:p w:rsidR="001C22F0" w:rsidRDefault="001C22F0" w:rsidP="00D06E30">
      <w:pPr>
        <w:autoSpaceDE w:val="0"/>
        <w:autoSpaceDN w:val="0"/>
        <w:adjustRightInd w:val="0"/>
        <w:spacing w:after="0" w:line="240" w:lineRule="auto"/>
        <w:jc w:val="both"/>
        <w:rPr>
          <w:rFonts w:ascii="TimesNewRomanPSMT" w:hAnsi="TimesNewRomanPSMT" w:cs="TimesNewRomanPSMT"/>
          <w:sz w:val="24"/>
          <w:szCs w:val="24"/>
          <w:lang w:val="sr-Cyrl-CS"/>
        </w:rPr>
      </w:pPr>
      <w:r w:rsidRPr="00D06E30">
        <w:rPr>
          <w:rFonts w:ascii="TimesNewRomanPS-BoldMT" w:hAnsi="TimesNewRomanPS-BoldMT" w:cs="TimesNewRomanPS-BoldMT"/>
          <w:bCs/>
          <w:sz w:val="24"/>
          <w:szCs w:val="24"/>
        </w:rPr>
        <w:t>Како намера да се себи или другом прибави каква корист или другом</w:t>
      </w:r>
      <w:r w:rsidR="00D06E30" w:rsidRPr="00D06E30">
        <w:rPr>
          <w:rFonts w:ascii="TimesNewRomanPS-BoldMT" w:hAnsi="TimesNewRomanPS-BoldMT" w:cs="TimesNewRomanPS-BoldMT"/>
          <w:bCs/>
          <w:sz w:val="24"/>
          <w:szCs w:val="24"/>
          <w:lang w:val="sr-Cyrl-CS"/>
        </w:rPr>
        <w:t xml:space="preserve"> </w:t>
      </w:r>
      <w:r w:rsidRPr="00D06E30">
        <w:rPr>
          <w:rFonts w:ascii="TimesNewRomanPS-BoldMT" w:hAnsi="TimesNewRomanPS-BoldMT" w:cs="TimesNewRomanPS-BoldMT"/>
          <w:bCs/>
          <w:sz w:val="24"/>
          <w:szCs w:val="24"/>
        </w:rPr>
        <w:t>нанесе штета није законско обележје кривичног дела злоупотребе службеног</w:t>
      </w:r>
      <w:r w:rsidR="00D06E30" w:rsidRPr="00D06E30">
        <w:rPr>
          <w:rFonts w:ascii="TimesNewRomanPS-BoldMT" w:hAnsi="TimesNewRomanPS-BoldMT" w:cs="TimesNewRomanPS-BoldMT"/>
          <w:bCs/>
          <w:sz w:val="24"/>
          <w:szCs w:val="24"/>
          <w:lang w:val="sr-Cyrl-CS"/>
        </w:rPr>
        <w:t xml:space="preserve"> </w:t>
      </w:r>
      <w:r w:rsidR="00D06E30">
        <w:rPr>
          <w:rFonts w:ascii="TimesNewRomanPS-BoldMT" w:hAnsi="TimesNewRomanPS-BoldMT" w:cs="TimesNewRomanPS-BoldMT"/>
          <w:bCs/>
          <w:sz w:val="24"/>
          <w:szCs w:val="24"/>
        </w:rPr>
        <w:t>положаја из чл. 242. КЗ РС,</w:t>
      </w:r>
      <w:r w:rsidR="00D06E30">
        <w:rPr>
          <w:rFonts w:ascii="TimesNewRomanPS-BoldMT" w:hAnsi="TimesNewRomanPS-BoldMT" w:cs="TimesNewRomanPS-BoldMT"/>
          <w:bCs/>
          <w:sz w:val="24"/>
          <w:szCs w:val="24"/>
          <w:lang w:val="sr-Cyrl-CS"/>
        </w:rPr>
        <w:t xml:space="preserve"> </w:t>
      </w:r>
      <w:r w:rsidRPr="00D06E30">
        <w:rPr>
          <w:rFonts w:ascii="TimesNewRomanPS-BoldMT" w:hAnsi="TimesNewRomanPS-BoldMT" w:cs="TimesNewRomanPS-BoldMT"/>
          <w:bCs/>
          <w:sz w:val="24"/>
          <w:szCs w:val="24"/>
        </w:rPr>
        <w:t>то је првостепени суд, наводећи у образложењу</w:t>
      </w:r>
      <w:r w:rsidR="00D06E30">
        <w:rPr>
          <w:rFonts w:ascii="TimesNewRomanPS-BoldMT" w:hAnsi="TimesNewRomanPS-BoldMT" w:cs="TimesNewRomanPS-BoldMT"/>
          <w:bCs/>
          <w:sz w:val="24"/>
          <w:szCs w:val="24"/>
          <w:lang w:val="sr-Cyrl-CS"/>
        </w:rPr>
        <w:t xml:space="preserve"> </w:t>
      </w:r>
      <w:r w:rsidRPr="00D06E30">
        <w:rPr>
          <w:rFonts w:ascii="TimesNewRomanPS-BoldMT" w:hAnsi="TimesNewRomanPS-BoldMT" w:cs="TimesNewRomanPS-BoldMT"/>
          <w:bCs/>
          <w:sz w:val="24"/>
          <w:szCs w:val="24"/>
        </w:rPr>
        <w:t>решења да нема основане сумње да је осумњичени поступао у намери да</w:t>
      </w:r>
      <w:r w:rsidR="00D06E30">
        <w:rPr>
          <w:rFonts w:ascii="TimesNewRomanPS-BoldMT" w:hAnsi="TimesNewRomanPS-BoldMT" w:cs="TimesNewRomanPS-BoldMT"/>
          <w:bCs/>
          <w:sz w:val="24"/>
          <w:szCs w:val="24"/>
          <w:lang w:val="sr-Cyrl-CS"/>
        </w:rPr>
        <w:t xml:space="preserve"> </w:t>
      </w:r>
      <w:r w:rsidRPr="00D06E30">
        <w:rPr>
          <w:rFonts w:ascii="TimesNewRomanPS-BoldMT" w:hAnsi="TimesNewRomanPS-BoldMT" w:cs="TimesNewRomanPS-BoldMT"/>
          <w:bCs/>
          <w:sz w:val="24"/>
          <w:szCs w:val="24"/>
        </w:rPr>
        <w:t>предузећу нанесе штету, или себи или другима прибави какву корист, то је</w:t>
      </w:r>
      <w:r w:rsidR="00D06E30">
        <w:rPr>
          <w:rFonts w:ascii="TimesNewRomanPS-BoldMT" w:hAnsi="TimesNewRomanPS-BoldMT" w:cs="TimesNewRomanPS-BoldMT"/>
          <w:bCs/>
          <w:sz w:val="24"/>
          <w:szCs w:val="24"/>
          <w:lang w:val="sr-Cyrl-CS"/>
        </w:rPr>
        <w:t xml:space="preserve"> </w:t>
      </w:r>
      <w:r w:rsidRPr="00D06E30">
        <w:rPr>
          <w:rFonts w:ascii="TimesNewRomanPS-BoldMT" w:hAnsi="TimesNewRomanPS-BoldMT" w:cs="TimesNewRomanPS-BoldMT"/>
          <w:bCs/>
          <w:sz w:val="24"/>
          <w:szCs w:val="24"/>
        </w:rPr>
        <w:t>суд разлоге решења о томе да ли постоји основана сумња да се у радњама</w:t>
      </w:r>
      <w:r w:rsidR="00D06E30">
        <w:rPr>
          <w:rFonts w:ascii="TimesNewRomanPS-BoldMT" w:hAnsi="TimesNewRomanPS-BoldMT" w:cs="TimesNewRomanPS-BoldMT"/>
          <w:bCs/>
          <w:sz w:val="24"/>
          <w:szCs w:val="24"/>
          <w:lang w:val="sr-Cyrl-CS"/>
        </w:rPr>
        <w:t xml:space="preserve"> </w:t>
      </w:r>
      <w:r w:rsidRPr="00D06E30">
        <w:rPr>
          <w:rFonts w:ascii="TimesNewRomanPS-BoldMT" w:hAnsi="TimesNewRomanPS-BoldMT" w:cs="TimesNewRomanPS-BoldMT"/>
          <w:bCs/>
          <w:sz w:val="24"/>
          <w:szCs w:val="24"/>
        </w:rPr>
        <w:t>осумњиченог стичу законска обележја кривичног дела злоупотреба</w:t>
      </w:r>
      <w:r w:rsidR="00D06E30">
        <w:rPr>
          <w:rFonts w:ascii="TimesNewRomanPS-BoldMT" w:hAnsi="TimesNewRomanPS-BoldMT" w:cs="TimesNewRomanPS-BoldMT"/>
          <w:bCs/>
          <w:sz w:val="24"/>
          <w:szCs w:val="24"/>
          <w:lang w:val="sr-Cyrl-CS"/>
        </w:rPr>
        <w:t xml:space="preserve"> </w:t>
      </w:r>
      <w:r w:rsidRPr="00D06E30">
        <w:rPr>
          <w:rFonts w:ascii="TimesNewRomanPS-BoldMT" w:hAnsi="TimesNewRomanPS-BoldMT" w:cs="TimesNewRomanPS-BoldMT"/>
          <w:bCs/>
          <w:sz w:val="24"/>
          <w:szCs w:val="24"/>
        </w:rPr>
        <w:t>службеног положаја из чл. 242. КЗ РС, као одлучној чињеници, учинио</w:t>
      </w:r>
      <w:r w:rsidR="00D06E30">
        <w:rPr>
          <w:rFonts w:ascii="TimesNewRomanPS-BoldMT" w:hAnsi="TimesNewRomanPS-BoldMT" w:cs="TimesNewRomanPS-BoldMT"/>
          <w:bCs/>
          <w:sz w:val="24"/>
          <w:szCs w:val="24"/>
          <w:lang w:val="sr-Cyrl-CS"/>
        </w:rPr>
        <w:t xml:space="preserve"> </w:t>
      </w:r>
      <w:r w:rsidRPr="00D06E30">
        <w:rPr>
          <w:rFonts w:ascii="TimesNewRomanPS-BoldMT" w:hAnsi="TimesNewRomanPS-BoldMT" w:cs="TimesNewRomanPS-BoldMT"/>
          <w:bCs/>
          <w:sz w:val="24"/>
          <w:szCs w:val="24"/>
        </w:rPr>
        <w:t>неразумљивим, те је на тај начин учинио битну повреду одредаба</w:t>
      </w:r>
      <w:r w:rsidR="00D06E30">
        <w:rPr>
          <w:rFonts w:ascii="TimesNewRomanPS-BoldMT" w:hAnsi="TimesNewRomanPS-BoldMT" w:cs="TimesNewRomanPS-BoldMT"/>
          <w:bCs/>
          <w:sz w:val="24"/>
          <w:szCs w:val="24"/>
          <w:lang w:val="sr-Cyrl-CS"/>
        </w:rPr>
        <w:t xml:space="preserve"> </w:t>
      </w:r>
      <w:r w:rsidRPr="00D06E30">
        <w:rPr>
          <w:rFonts w:ascii="TimesNewRomanPS-BoldMT" w:hAnsi="TimesNewRomanPS-BoldMT" w:cs="TimesNewRomanPS-BoldMT"/>
          <w:bCs/>
          <w:sz w:val="24"/>
          <w:szCs w:val="24"/>
        </w:rPr>
        <w:t>кривичног поступка из чл. 368. ст. 1. тач. 11. ЗКП у корист окривљеног.</w:t>
      </w:r>
      <w:r w:rsidR="00D06E30">
        <w:rPr>
          <w:rFonts w:ascii="TimesNewRomanPS-BoldMT" w:hAnsi="TimesNewRomanPS-BoldMT" w:cs="TimesNewRomanPS-BoldMT"/>
          <w:bCs/>
          <w:sz w:val="24"/>
          <w:szCs w:val="24"/>
          <w:lang w:val="sr-Cyrl-CS"/>
        </w:rPr>
        <w:t xml:space="preserve"> </w:t>
      </w:r>
      <w:r w:rsidRPr="00D06E30">
        <w:rPr>
          <w:rFonts w:ascii="TimesNewRomanPS-BoldMT" w:hAnsi="TimesNewRomanPS-BoldMT" w:cs="TimesNewRomanPS-BoldMT"/>
          <w:bCs/>
          <w:sz w:val="24"/>
          <w:szCs w:val="24"/>
        </w:rPr>
        <w:t>Исту повреду одредаба кривичног поступка учинио је и тиме што</w:t>
      </w:r>
      <w:r w:rsidR="00D06E30">
        <w:rPr>
          <w:rFonts w:ascii="TimesNewRomanPS-BoldMT" w:hAnsi="TimesNewRomanPS-BoldMT" w:cs="TimesNewRomanPS-BoldMT"/>
          <w:bCs/>
          <w:sz w:val="24"/>
          <w:szCs w:val="24"/>
          <w:lang w:val="sr-Cyrl-CS"/>
        </w:rPr>
        <w:t xml:space="preserve"> </w:t>
      </w:r>
      <w:r w:rsidRPr="00D06E30">
        <w:rPr>
          <w:rFonts w:ascii="TimesNewRomanPS-BoldMT" w:hAnsi="TimesNewRomanPS-BoldMT" w:cs="TimesNewRomanPS-BoldMT"/>
          <w:bCs/>
          <w:sz w:val="24"/>
          <w:szCs w:val="24"/>
        </w:rPr>
        <w:t>није изнео свој став у односу на чињенични основ кривичног дела из захтева</w:t>
      </w:r>
      <w:r w:rsidR="00D06E30">
        <w:rPr>
          <w:rFonts w:ascii="TimesNewRomanPS-BoldMT" w:hAnsi="TimesNewRomanPS-BoldMT" w:cs="TimesNewRomanPS-BoldMT"/>
          <w:bCs/>
          <w:sz w:val="24"/>
          <w:szCs w:val="24"/>
          <w:lang w:val="sr-Cyrl-CS"/>
        </w:rPr>
        <w:t xml:space="preserve"> </w:t>
      </w:r>
      <w:r w:rsidRPr="00D06E30">
        <w:rPr>
          <w:rFonts w:ascii="TimesNewRomanPS-BoldMT" w:hAnsi="TimesNewRomanPS-BoldMT" w:cs="TimesNewRomanPS-BoldMT"/>
          <w:bCs/>
          <w:sz w:val="24"/>
          <w:szCs w:val="24"/>
        </w:rPr>
        <w:t>за спровођење истраге у коме се наводи да је осумњичени наведеним</w:t>
      </w:r>
      <w:r w:rsidR="00D06E30">
        <w:rPr>
          <w:rFonts w:ascii="TimesNewRomanPS-BoldMT" w:hAnsi="TimesNewRomanPS-BoldMT" w:cs="TimesNewRomanPS-BoldMT"/>
          <w:bCs/>
          <w:sz w:val="24"/>
          <w:szCs w:val="24"/>
          <w:lang w:val="sr-Cyrl-CS"/>
        </w:rPr>
        <w:t xml:space="preserve"> </w:t>
      </w:r>
      <w:r w:rsidRPr="00D06E30">
        <w:rPr>
          <w:rFonts w:ascii="TimesNewRomanPS-BoldMT" w:hAnsi="TimesNewRomanPS-BoldMT" w:cs="TimesNewRomanPS-BoldMT"/>
          <w:bCs/>
          <w:sz w:val="24"/>
          <w:szCs w:val="24"/>
        </w:rPr>
        <w:t>поравнањима признао дуг предузећа према радницима у много већем износу</w:t>
      </w:r>
      <w:r w:rsidR="00D06E30">
        <w:rPr>
          <w:rFonts w:ascii="TimesNewRomanPS-BoldMT" w:hAnsi="TimesNewRomanPS-BoldMT" w:cs="TimesNewRomanPS-BoldMT"/>
          <w:bCs/>
          <w:sz w:val="24"/>
          <w:szCs w:val="24"/>
          <w:lang w:val="sr-Cyrl-CS"/>
        </w:rPr>
        <w:t xml:space="preserve"> </w:t>
      </w:r>
      <w:r w:rsidR="00D06E30">
        <w:rPr>
          <w:rFonts w:ascii="TimesNewRomanPS-BoldMT" w:hAnsi="TimesNewRomanPS-BoldMT" w:cs="TimesNewRomanPS-BoldMT"/>
          <w:bCs/>
          <w:sz w:val="24"/>
          <w:szCs w:val="24"/>
        </w:rPr>
        <w:t>од</w:t>
      </w:r>
      <w:r w:rsidR="00D06E30">
        <w:rPr>
          <w:rFonts w:ascii="TimesNewRomanPS-BoldMT" w:hAnsi="TimesNewRomanPS-BoldMT" w:cs="TimesNewRomanPS-BoldMT"/>
          <w:bCs/>
          <w:sz w:val="24"/>
          <w:szCs w:val="24"/>
          <w:lang w:val="sr-Cyrl-CS"/>
        </w:rPr>
        <w:t xml:space="preserve"> </w:t>
      </w:r>
      <w:r w:rsidRPr="00D06E30">
        <w:rPr>
          <w:rFonts w:ascii="TimesNewRomanPS-BoldMT" w:hAnsi="TimesNewRomanPS-BoldMT" w:cs="TimesNewRomanPS-BoldMT"/>
          <w:bCs/>
          <w:sz w:val="24"/>
          <w:szCs w:val="24"/>
        </w:rPr>
        <w:t>стварног дуга на име неисплаћених зарада, наводећи само да је постојао</w:t>
      </w:r>
      <w:r w:rsidR="00D06E30">
        <w:rPr>
          <w:rFonts w:ascii="TimesNewRomanPS-BoldMT" w:hAnsi="TimesNewRomanPS-BoldMT" w:cs="TimesNewRomanPS-BoldMT"/>
          <w:bCs/>
          <w:sz w:val="24"/>
          <w:szCs w:val="24"/>
          <w:lang w:val="sr-Cyrl-CS"/>
        </w:rPr>
        <w:t xml:space="preserve"> </w:t>
      </w:r>
      <w:r w:rsidRPr="00D06E30">
        <w:rPr>
          <w:rFonts w:ascii="TimesNewRomanPS-BoldMT" w:hAnsi="TimesNewRomanPS-BoldMT" w:cs="TimesNewRomanPS-BoldMT"/>
          <w:bCs/>
          <w:sz w:val="24"/>
          <w:szCs w:val="24"/>
        </w:rPr>
        <w:t>законит основ за признање права тужиоцима, а није дао разлоге о одлучној</w:t>
      </w:r>
      <w:r w:rsidR="00D06E30">
        <w:rPr>
          <w:rFonts w:ascii="TimesNewRomanPS-BoldMT" w:hAnsi="TimesNewRomanPS-BoldMT" w:cs="TimesNewRomanPS-BoldMT"/>
          <w:bCs/>
          <w:sz w:val="24"/>
          <w:szCs w:val="24"/>
          <w:lang w:val="sr-Cyrl-CS"/>
        </w:rPr>
        <w:t xml:space="preserve"> </w:t>
      </w:r>
      <w:r w:rsidR="00D06E30">
        <w:rPr>
          <w:rFonts w:ascii="TimesNewRomanPS-BoldMT" w:hAnsi="TimesNewRomanPS-BoldMT" w:cs="TimesNewRomanPS-BoldMT"/>
          <w:bCs/>
          <w:sz w:val="24"/>
          <w:szCs w:val="24"/>
        </w:rPr>
        <w:t>чињеници, а наиме у ком</w:t>
      </w:r>
      <w:r w:rsidR="00D06E30">
        <w:rPr>
          <w:rFonts w:ascii="TimesNewRomanPS-BoldMT" w:hAnsi="TimesNewRomanPS-BoldMT" w:cs="TimesNewRomanPS-BoldMT"/>
          <w:bCs/>
          <w:sz w:val="24"/>
          <w:szCs w:val="24"/>
          <w:lang w:val="sr-Cyrl-CS"/>
        </w:rPr>
        <w:t xml:space="preserve"> </w:t>
      </w:r>
      <w:r w:rsidRPr="00D06E30">
        <w:rPr>
          <w:rFonts w:ascii="TimesNewRomanPS-BoldMT" w:hAnsi="TimesNewRomanPS-BoldMT" w:cs="TimesNewRomanPS-BoldMT"/>
          <w:bCs/>
          <w:sz w:val="24"/>
          <w:szCs w:val="24"/>
        </w:rPr>
        <w:t>износу већем од стварног дуга је признао дуг</w:t>
      </w:r>
      <w:r w:rsidR="00D06E30">
        <w:rPr>
          <w:rFonts w:ascii="TimesNewRomanPS-BoldMT" w:hAnsi="TimesNewRomanPS-BoldMT" w:cs="TimesNewRomanPS-BoldMT"/>
          <w:bCs/>
          <w:sz w:val="24"/>
          <w:szCs w:val="24"/>
          <w:lang w:val="sr-Cyrl-CS"/>
        </w:rPr>
        <w:t xml:space="preserve"> </w:t>
      </w:r>
      <w:r w:rsidRPr="00D06E30">
        <w:rPr>
          <w:rFonts w:ascii="TimesNewRomanPS-BoldMT" w:hAnsi="TimesNewRomanPS-BoldMT" w:cs="TimesNewRomanPS-BoldMT"/>
          <w:bCs/>
          <w:sz w:val="24"/>
          <w:szCs w:val="24"/>
        </w:rPr>
        <w:t>предузећа према радницима на име неисплаћених зарада</w:t>
      </w:r>
      <w:r w:rsidRPr="00D06E30">
        <w:rPr>
          <w:rFonts w:ascii="TimesNewRomanPSMT" w:hAnsi="TimesNewRomanPSMT" w:cs="TimesNewRomanPSMT"/>
          <w:sz w:val="24"/>
          <w:szCs w:val="24"/>
        </w:rPr>
        <w:t>.</w:t>
      </w:r>
    </w:p>
    <w:p w:rsidR="00D06E30" w:rsidRPr="00D06E30" w:rsidRDefault="00D06E30" w:rsidP="001C22F0">
      <w:pPr>
        <w:autoSpaceDE w:val="0"/>
        <w:autoSpaceDN w:val="0"/>
        <w:adjustRightInd w:val="0"/>
        <w:spacing w:after="0" w:line="240" w:lineRule="auto"/>
        <w:rPr>
          <w:rFonts w:ascii="TimesNewRomanPS-BoldMT" w:hAnsi="TimesNewRomanPS-BoldMT" w:cs="TimesNewRomanPS-BoldMT"/>
          <w:bCs/>
          <w:sz w:val="24"/>
          <w:szCs w:val="24"/>
          <w:lang w:val="sr-Cyrl-CS"/>
        </w:rPr>
      </w:pPr>
    </w:p>
    <w:p w:rsidR="001C22F0" w:rsidRPr="00937B6C" w:rsidRDefault="001C22F0" w:rsidP="00D06E30">
      <w:pPr>
        <w:autoSpaceDE w:val="0"/>
        <w:autoSpaceDN w:val="0"/>
        <w:adjustRightInd w:val="0"/>
        <w:spacing w:after="0" w:line="240" w:lineRule="auto"/>
        <w:rPr>
          <w:rFonts w:ascii="Times New Roman" w:hAnsi="Times New Roman"/>
          <w:b/>
          <w:sz w:val="24"/>
          <w:szCs w:val="24"/>
        </w:rPr>
      </w:pPr>
      <w:r w:rsidRPr="00937B6C">
        <w:rPr>
          <w:rFonts w:ascii="Times New Roman" w:hAnsi="Times New Roman"/>
          <w:sz w:val="24"/>
          <w:szCs w:val="24"/>
        </w:rPr>
        <w:t>(</w:t>
      </w:r>
      <w:r w:rsidRPr="00937B6C">
        <w:rPr>
          <w:rFonts w:ascii="Times New Roman" w:hAnsi="Times New Roman"/>
          <w:b/>
          <w:sz w:val="24"/>
          <w:szCs w:val="24"/>
        </w:rPr>
        <w:t>Пресуда Врховног суда Србије Кзз.8/07 од 28.02.2007. године, решење</w:t>
      </w:r>
      <w:r w:rsidR="00D06E30" w:rsidRPr="00937B6C">
        <w:rPr>
          <w:rFonts w:ascii="Times New Roman" w:hAnsi="Times New Roman"/>
          <w:b/>
          <w:sz w:val="24"/>
          <w:szCs w:val="24"/>
          <w:lang w:val="sr-Cyrl-CS"/>
        </w:rPr>
        <w:t xml:space="preserve"> </w:t>
      </w:r>
      <w:r w:rsidRPr="00937B6C">
        <w:rPr>
          <w:rFonts w:ascii="Times New Roman" w:hAnsi="Times New Roman"/>
          <w:b/>
          <w:sz w:val="24"/>
          <w:szCs w:val="24"/>
        </w:rPr>
        <w:t>Општинског суда у Рашки Квп.56/04 од 13.10.2004. године)</w:t>
      </w:r>
    </w:p>
    <w:p w:rsidR="00D06E30" w:rsidRPr="002E473E" w:rsidRDefault="00D06E30" w:rsidP="00D06E30">
      <w:pPr>
        <w:autoSpaceDE w:val="0"/>
        <w:autoSpaceDN w:val="0"/>
        <w:adjustRightInd w:val="0"/>
        <w:spacing w:after="0" w:line="240" w:lineRule="auto"/>
        <w:rPr>
          <w:rFonts w:ascii="TimesNewRomanPSMT" w:hAnsi="TimesNewRomanPSMT" w:cs="TimesNewRomanPSMT"/>
          <w:b/>
          <w:sz w:val="24"/>
          <w:szCs w:val="24"/>
          <w:lang w:val="sr-Cyrl-CS"/>
        </w:rPr>
      </w:pPr>
    </w:p>
    <w:p w:rsidR="00911A0C" w:rsidRPr="00D06E30" w:rsidRDefault="00911A0C" w:rsidP="00D06E30">
      <w:pPr>
        <w:autoSpaceDE w:val="0"/>
        <w:autoSpaceDN w:val="0"/>
        <w:adjustRightInd w:val="0"/>
        <w:spacing w:after="0" w:line="240" w:lineRule="auto"/>
        <w:rPr>
          <w:rFonts w:ascii="TimesNewRomanPSMT" w:hAnsi="TimesNewRomanPSMT" w:cs="TimesNewRomanPSMT"/>
          <w:b/>
          <w:sz w:val="24"/>
          <w:szCs w:val="24"/>
          <w:lang w:val="sr-Cyrl-CS"/>
        </w:rPr>
      </w:pPr>
    </w:p>
    <w:p w:rsidR="00D06E30" w:rsidRDefault="001467DF" w:rsidP="001C22F0">
      <w:pPr>
        <w:autoSpaceDE w:val="0"/>
        <w:autoSpaceDN w:val="0"/>
        <w:adjustRightInd w:val="0"/>
        <w:spacing w:after="0" w:line="240" w:lineRule="auto"/>
        <w:rPr>
          <w:rFonts w:asciiTheme="minorHAnsi" w:hAnsiTheme="minorHAnsi" w:cs="TimesNewRomanPS-BoldMT"/>
          <w:bCs/>
          <w:sz w:val="24"/>
          <w:szCs w:val="24"/>
        </w:rPr>
      </w:pPr>
      <w:r>
        <w:rPr>
          <w:rFonts w:ascii="TimesNewRomanPS-BoldMT" w:hAnsi="TimesNewRomanPS-BoldMT" w:cs="TimesNewRomanPS-BoldMT"/>
          <w:bCs/>
          <w:sz w:val="24"/>
          <w:szCs w:val="24"/>
          <w:lang w:val="sr-Cyrl-CS"/>
        </w:rPr>
        <w:t>22)</w:t>
      </w:r>
    </w:p>
    <w:p w:rsidR="00166B45" w:rsidRPr="00166B45" w:rsidRDefault="00166B45" w:rsidP="001C22F0">
      <w:pPr>
        <w:autoSpaceDE w:val="0"/>
        <w:autoSpaceDN w:val="0"/>
        <w:adjustRightInd w:val="0"/>
        <w:spacing w:after="0" w:line="240" w:lineRule="auto"/>
        <w:rPr>
          <w:rFonts w:asciiTheme="minorHAnsi" w:hAnsiTheme="minorHAnsi" w:cs="TimesNewRomanPS-BoldMT"/>
          <w:bCs/>
          <w:sz w:val="24"/>
          <w:szCs w:val="24"/>
        </w:rPr>
      </w:pPr>
    </w:p>
    <w:p w:rsidR="001C22F0" w:rsidRDefault="001C22F0" w:rsidP="00D06E30">
      <w:pPr>
        <w:autoSpaceDE w:val="0"/>
        <w:autoSpaceDN w:val="0"/>
        <w:adjustRightInd w:val="0"/>
        <w:spacing w:after="0" w:line="240" w:lineRule="auto"/>
        <w:jc w:val="both"/>
        <w:rPr>
          <w:rFonts w:ascii="TimesNewRomanPS-BoldMT" w:hAnsi="TimesNewRomanPS-BoldMT" w:cs="TimesNewRomanPS-BoldMT"/>
          <w:bCs/>
          <w:sz w:val="24"/>
          <w:szCs w:val="24"/>
          <w:lang w:val="sr-Cyrl-CS"/>
        </w:rPr>
      </w:pPr>
      <w:r w:rsidRPr="00D06E30">
        <w:rPr>
          <w:rFonts w:ascii="TimesNewRomanPS-BoldMT" w:hAnsi="TimesNewRomanPS-BoldMT" w:cs="TimesNewRomanPS-BoldMT"/>
          <w:bCs/>
          <w:sz w:val="24"/>
          <w:szCs w:val="24"/>
        </w:rPr>
        <w:t>Изрека побијане пресуде је неразумљива и не садржи све оно што у</w:t>
      </w:r>
      <w:r w:rsidR="00D06E30">
        <w:rPr>
          <w:rFonts w:ascii="TimesNewRomanPS-BoldMT" w:hAnsi="TimesNewRomanPS-BoldMT" w:cs="TimesNewRomanPS-BoldMT"/>
          <w:bCs/>
          <w:sz w:val="24"/>
          <w:szCs w:val="24"/>
          <w:lang w:val="sr-Cyrl-CS"/>
        </w:rPr>
        <w:t xml:space="preserve"> </w:t>
      </w:r>
      <w:r w:rsidRPr="00D06E30">
        <w:rPr>
          <w:rFonts w:ascii="TimesNewRomanPS-BoldMT" w:hAnsi="TimesNewRomanPS-BoldMT" w:cs="TimesNewRomanPS-BoldMT"/>
          <w:bCs/>
          <w:sz w:val="24"/>
          <w:szCs w:val="24"/>
        </w:rPr>
        <w:t>смислу одредбе чл. 361. став 4. у вези одредби чл. 356. ЗКП-а мора да садржи</w:t>
      </w:r>
      <w:r w:rsidR="00D06E30">
        <w:rPr>
          <w:rFonts w:ascii="TimesNewRomanPS-BoldMT" w:hAnsi="TimesNewRomanPS-BoldMT" w:cs="TimesNewRomanPS-BoldMT"/>
          <w:bCs/>
          <w:sz w:val="24"/>
          <w:szCs w:val="24"/>
          <w:lang w:val="sr-Cyrl-CS"/>
        </w:rPr>
        <w:t xml:space="preserve"> </w:t>
      </w:r>
      <w:r w:rsidRPr="00D06E30">
        <w:rPr>
          <w:rFonts w:ascii="TimesNewRomanPS-BoldMT" w:hAnsi="TimesNewRomanPS-BoldMT" w:cs="TimesNewRomanPS-BoldMT"/>
          <w:bCs/>
          <w:sz w:val="24"/>
          <w:szCs w:val="24"/>
        </w:rPr>
        <w:t>пресуда којом се оптужени оглашава кривим пошто је суд био дужан да</w:t>
      </w:r>
      <w:r w:rsidR="00D06E30">
        <w:rPr>
          <w:rFonts w:ascii="TimesNewRomanPS-BoldMT" w:hAnsi="TimesNewRomanPS-BoldMT" w:cs="TimesNewRomanPS-BoldMT"/>
          <w:bCs/>
          <w:sz w:val="24"/>
          <w:szCs w:val="24"/>
          <w:lang w:val="sr-Cyrl-CS"/>
        </w:rPr>
        <w:t xml:space="preserve"> </w:t>
      </w:r>
      <w:r w:rsidRPr="00D06E30">
        <w:rPr>
          <w:rFonts w:ascii="TimesNewRomanPS-BoldMT" w:hAnsi="TimesNewRomanPS-BoldMT" w:cs="TimesNewRomanPS-BoldMT"/>
          <w:bCs/>
          <w:sz w:val="24"/>
          <w:szCs w:val="24"/>
        </w:rPr>
        <w:t>изнесе н</w:t>
      </w:r>
      <w:r w:rsidR="00D06E30">
        <w:rPr>
          <w:rFonts w:ascii="TimesNewRomanPS-BoldMT" w:hAnsi="TimesNewRomanPS-BoldMT" w:cs="TimesNewRomanPS-BoldMT"/>
          <w:bCs/>
          <w:sz w:val="24"/>
          <w:szCs w:val="24"/>
        </w:rPr>
        <w:t>е само за које дело се оптужени</w:t>
      </w:r>
      <w:r w:rsidR="00D06E30">
        <w:rPr>
          <w:rFonts w:ascii="TimesNewRomanPS-BoldMT" w:hAnsi="TimesNewRomanPS-BoldMT" w:cs="TimesNewRomanPS-BoldMT"/>
          <w:bCs/>
          <w:sz w:val="24"/>
          <w:szCs w:val="24"/>
          <w:lang w:val="sr-Cyrl-CS"/>
        </w:rPr>
        <w:t xml:space="preserve"> </w:t>
      </w:r>
      <w:r w:rsidRPr="00D06E30">
        <w:rPr>
          <w:rFonts w:ascii="TimesNewRomanPS-BoldMT" w:hAnsi="TimesNewRomanPS-BoldMT" w:cs="TimesNewRomanPS-BoldMT"/>
          <w:bCs/>
          <w:sz w:val="24"/>
          <w:szCs w:val="24"/>
        </w:rPr>
        <w:t>оглашава кривим , већ мора да</w:t>
      </w:r>
      <w:r w:rsidR="00D06E30">
        <w:rPr>
          <w:rFonts w:ascii="TimesNewRomanPS-BoldMT" w:hAnsi="TimesNewRomanPS-BoldMT" w:cs="TimesNewRomanPS-BoldMT"/>
          <w:bCs/>
          <w:sz w:val="24"/>
          <w:szCs w:val="24"/>
          <w:lang w:val="sr-Cyrl-CS"/>
        </w:rPr>
        <w:t xml:space="preserve"> </w:t>
      </w:r>
      <w:r w:rsidRPr="00D06E30">
        <w:rPr>
          <w:rFonts w:ascii="TimesNewRomanPS-BoldMT" w:hAnsi="TimesNewRomanPS-BoldMT" w:cs="TimesNewRomanPS-BoldMT"/>
          <w:bCs/>
          <w:sz w:val="24"/>
          <w:szCs w:val="24"/>
        </w:rPr>
        <w:t>назначи чињенице</w:t>
      </w:r>
      <w:r w:rsidR="00D06E30">
        <w:rPr>
          <w:rFonts w:ascii="TimesNewRomanPS-BoldMT" w:hAnsi="TimesNewRomanPS-BoldMT" w:cs="TimesNewRomanPS-BoldMT"/>
          <w:bCs/>
          <w:sz w:val="24"/>
          <w:szCs w:val="24"/>
        </w:rPr>
        <w:t xml:space="preserve"> и околности које чине обележја</w:t>
      </w:r>
      <w:r w:rsidR="00D06E30">
        <w:rPr>
          <w:rFonts w:ascii="TimesNewRomanPS-BoldMT" w:hAnsi="TimesNewRomanPS-BoldMT" w:cs="TimesNewRomanPS-BoldMT"/>
          <w:bCs/>
          <w:sz w:val="24"/>
          <w:szCs w:val="24"/>
          <w:lang w:val="sr-Cyrl-CS"/>
        </w:rPr>
        <w:t xml:space="preserve"> </w:t>
      </w:r>
      <w:r w:rsidRPr="00D06E30">
        <w:rPr>
          <w:rFonts w:ascii="TimesNewRomanPS-BoldMT" w:hAnsi="TimesNewRomanPS-BoldMT" w:cs="TimesNewRomanPS-BoldMT"/>
          <w:bCs/>
          <w:sz w:val="24"/>
          <w:szCs w:val="24"/>
        </w:rPr>
        <w:t>кривичног дела као и</w:t>
      </w:r>
      <w:r w:rsidR="00D06E30">
        <w:rPr>
          <w:rFonts w:ascii="TimesNewRomanPS-BoldMT" w:hAnsi="TimesNewRomanPS-BoldMT" w:cs="TimesNewRomanPS-BoldMT"/>
          <w:bCs/>
          <w:sz w:val="24"/>
          <w:szCs w:val="24"/>
          <w:lang w:val="sr-Cyrl-CS"/>
        </w:rPr>
        <w:t xml:space="preserve"> </w:t>
      </w:r>
      <w:r w:rsidRPr="00D06E30">
        <w:rPr>
          <w:rFonts w:ascii="TimesNewRomanPS-BoldMT" w:hAnsi="TimesNewRomanPS-BoldMT" w:cs="TimesNewRomanPS-BoldMT"/>
          <w:bCs/>
          <w:sz w:val="24"/>
          <w:szCs w:val="24"/>
        </w:rPr>
        <w:t>оне чињенице и околности од којих зависи примена одговарајуће одредбе</w:t>
      </w:r>
      <w:r w:rsidR="00D06E30">
        <w:rPr>
          <w:rFonts w:ascii="TimesNewRomanPS-BoldMT" w:hAnsi="TimesNewRomanPS-BoldMT" w:cs="TimesNewRomanPS-BoldMT"/>
          <w:bCs/>
          <w:sz w:val="24"/>
          <w:szCs w:val="24"/>
          <w:lang w:val="sr-Cyrl-CS"/>
        </w:rPr>
        <w:t xml:space="preserve"> </w:t>
      </w:r>
      <w:r w:rsidRPr="00D06E30">
        <w:rPr>
          <w:rFonts w:ascii="TimesNewRomanPS-BoldMT" w:hAnsi="TimesNewRomanPS-BoldMT" w:cs="TimesNewRomanPS-BoldMT"/>
          <w:bCs/>
          <w:sz w:val="24"/>
          <w:szCs w:val="24"/>
        </w:rPr>
        <w:t>Кривичног законика.</w:t>
      </w:r>
      <w:r w:rsidR="00D06E30">
        <w:rPr>
          <w:rFonts w:ascii="TimesNewRomanPS-BoldMT" w:hAnsi="TimesNewRomanPS-BoldMT" w:cs="TimesNewRomanPS-BoldMT"/>
          <w:bCs/>
          <w:sz w:val="24"/>
          <w:szCs w:val="24"/>
          <w:lang w:val="sr-Cyrl-CS"/>
        </w:rPr>
        <w:t xml:space="preserve"> </w:t>
      </w:r>
      <w:r w:rsidRPr="00D06E30">
        <w:rPr>
          <w:rFonts w:ascii="TimesNewRomanPS-BoldMT" w:hAnsi="TimesNewRomanPS-BoldMT" w:cs="TimesNewRomanPS-BoldMT"/>
          <w:bCs/>
          <w:sz w:val="24"/>
          <w:szCs w:val="24"/>
        </w:rPr>
        <w:t>Међутим, изрека првостепене пресуде садржи само радње извршења</w:t>
      </w:r>
      <w:r w:rsidR="00D06E30">
        <w:rPr>
          <w:rFonts w:ascii="TimesNewRomanPS-BoldMT" w:hAnsi="TimesNewRomanPS-BoldMT" w:cs="TimesNewRomanPS-BoldMT"/>
          <w:bCs/>
          <w:sz w:val="24"/>
          <w:szCs w:val="24"/>
          <w:lang w:val="sr-Cyrl-CS"/>
        </w:rPr>
        <w:t xml:space="preserve"> </w:t>
      </w:r>
      <w:r w:rsidRPr="00D06E30">
        <w:rPr>
          <w:rFonts w:ascii="TimesNewRomanPS-BoldMT" w:hAnsi="TimesNewRomanPS-BoldMT" w:cs="TimesNewRomanPS-BoldMT"/>
          <w:bCs/>
          <w:sz w:val="24"/>
          <w:szCs w:val="24"/>
        </w:rPr>
        <w:t>окривљеног, али с обзиром на напред наведено, не садржи све</w:t>
      </w:r>
      <w:r w:rsidR="00D06E30">
        <w:rPr>
          <w:rFonts w:ascii="TimesNewRomanPS-BoldMT" w:hAnsi="TimesNewRomanPS-BoldMT" w:cs="TimesNewRomanPS-BoldMT"/>
          <w:bCs/>
          <w:sz w:val="24"/>
          <w:szCs w:val="24"/>
          <w:lang w:val="sr-Cyrl-CS"/>
        </w:rPr>
        <w:t xml:space="preserve"> </w:t>
      </w:r>
      <w:r w:rsidRPr="00D06E30">
        <w:rPr>
          <w:rFonts w:ascii="TimesNewRomanPS-BoldMT" w:hAnsi="TimesNewRomanPS-BoldMT" w:cs="TimesNewRomanPS-BoldMT"/>
          <w:bCs/>
          <w:sz w:val="24"/>
          <w:szCs w:val="24"/>
        </w:rPr>
        <w:t>конститутивне елементе кривичног дела без којих кривично дело не</w:t>
      </w:r>
      <w:r w:rsidR="00D06E30">
        <w:rPr>
          <w:rFonts w:ascii="TimesNewRomanPS-BoldMT" w:hAnsi="TimesNewRomanPS-BoldMT" w:cs="TimesNewRomanPS-BoldMT"/>
          <w:bCs/>
          <w:sz w:val="24"/>
          <w:szCs w:val="24"/>
          <w:lang w:val="sr-Cyrl-CS"/>
        </w:rPr>
        <w:t xml:space="preserve"> </w:t>
      </w:r>
      <w:r w:rsidRPr="00D06E30">
        <w:rPr>
          <w:rFonts w:ascii="TimesNewRomanPS-BoldMT" w:hAnsi="TimesNewRomanPS-BoldMT" w:cs="TimesNewRomanPS-BoldMT"/>
          <w:bCs/>
          <w:sz w:val="24"/>
          <w:szCs w:val="24"/>
        </w:rPr>
        <w:t>постоји.</w:t>
      </w:r>
    </w:p>
    <w:p w:rsidR="00D06E30" w:rsidRPr="00D06E30" w:rsidRDefault="00D06E30" w:rsidP="00D06E30">
      <w:pPr>
        <w:autoSpaceDE w:val="0"/>
        <w:autoSpaceDN w:val="0"/>
        <w:adjustRightInd w:val="0"/>
        <w:spacing w:after="0" w:line="240" w:lineRule="auto"/>
        <w:jc w:val="both"/>
        <w:rPr>
          <w:rFonts w:ascii="TimesNewRomanPS-BoldMT" w:hAnsi="TimesNewRomanPS-BoldMT" w:cs="TimesNewRomanPS-BoldMT"/>
          <w:bCs/>
          <w:sz w:val="24"/>
          <w:szCs w:val="24"/>
          <w:lang w:val="sr-Cyrl-CS"/>
        </w:rPr>
      </w:pPr>
    </w:p>
    <w:p w:rsidR="00D06E30" w:rsidRPr="00D06E30" w:rsidRDefault="00D06E30" w:rsidP="001C22F0">
      <w:pPr>
        <w:autoSpaceDE w:val="0"/>
        <w:autoSpaceDN w:val="0"/>
        <w:adjustRightInd w:val="0"/>
        <w:spacing w:after="0" w:line="240" w:lineRule="auto"/>
        <w:rPr>
          <w:rFonts w:ascii="TimesNewRomanPS-BoldMT" w:hAnsi="TimesNewRomanPS-BoldMT" w:cs="TimesNewRomanPS-BoldMT"/>
          <w:bCs/>
          <w:sz w:val="24"/>
          <w:szCs w:val="24"/>
          <w:lang w:val="sr-Cyrl-CS"/>
        </w:rPr>
      </w:pPr>
    </w:p>
    <w:p w:rsidR="001C22F0" w:rsidRDefault="001C22F0" w:rsidP="001C22F0">
      <w:pPr>
        <w:autoSpaceDE w:val="0"/>
        <w:autoSpaceDN w:val="0"/>
        <w:adjustRightInd w:val="0"/>
        <w:spacing w:after="0" w:line="240" w:lineRule="auto"/>
        <w:rPr>
          <w:rFonts w:ascii="TimesNewRomanPS-BoldMT" w:hAnsi="TimesNewRomanPS-BoldMT" w:cs="TimesNewRomanPS-BoldMT"/>
          <w:bCs/>
          <w:sz w:val="24"/>
          <w:szCs w:val="24"/>
          <w:lang w:val="sr-Cyrl-CS"/>
        </w:rPr>
      </w:pPr>
      <w:r w:rsidRPr="00D06E30">
        <w:rPr>
          <w:rFonts w:ascii="TimesNewRomanPS-BoldMT" w:hAnsi="TimesNewRomanPS-BoldMT" w:cs="TimesNewRomanPS-BoldMT"/>
          <w:bCs/>
          <w:sz w:val="24"/>
          <w:szCs w:val="24"/>
        </w:rPr>
        <w:t>Из образложења:</w:t>
      </w:r>
    </w:p>
    <w:p w:rsidR="00D06E30" w:rsidRPr="00166B45" w:rsidRDefault="00D06E30" w:rsidP="001C22F0">
      <w:pPr>
        <w:autoSpaceDE w:val="0"/>
        <w:autoSpaceDN w:val="0"/>
        <w:adjustRightInd w:val="0"/>
        <w:spacing w:after="0" w:line="240" w:lineRule="auto"/>
        <w:rPr>
          <w:rFonts w:asciiTheme="minorHAnsi" w:hAnsiTheme="minorHAnsi" w:cs="TimesNewRomanPS-BoldMT"/>
          <w:bCs/>
          <w:sz w:val="24"/>
          <w:szCs w:val="24"/>
        </w:rPr>
      </w:pPr>
    </w:p>
    <w:p w:rsidR="001C22F0" w:rsidRPr="002C4370" w:rsidRDefault="001C22F0" w:rsidP="00D06E30">
      <w:pPr>
        <w:autoSpaceDE w:val="0"/>
        <w:autoSpaceDN w:val="0"/>
        <w:adjustRightInd w:val="0"/>
        <w:spacing w:after="0" w:line="240" w:lineRule="auto"/>
        <w:jc w:val="both"/>
        <w:rPr>
          <w:rFonts w:ascii="Times New Roman" w:hAnsi="Times New Roman"/>
          <w:sz w:val="24"/>
          <w:szCs w:val="24"/>
        </w:rPr>
      </w:pPr>
      <w:r w:rsidRPr="002C4370">
        <w:rPr>
          <w:rFonts w:ascii="Times New Roman" w:hAnsi="Times New Roman"/>
          <w:sz w:val="24"/>
          <w:szCs w:val="24"/>
        </w:rPr>
        <w:t>Опис кривичног дела у осуђујућој пресуди поред законом одређених</w:t>
      </w:r>
      <w:r w:rsidR="00D06E30" w:rsidRPr="002C4370">
        <w:rPr>
          <w:rFonts w:ascii="Times New Roman" w:hAnsi="Times New Roman"/>
          <w:sz w:val="24"/>
          <w:szCs w:val="24"/>
          <w:lang w:val="sr-Cyrl-CS"/>
        </w:rPr>
        <w:t xml:space="preserve"> </w:t>
      </w:r>
      <w:r w:rsidRPr="002C4370">
        <w:rPr>
          <w:rFonts w:ascii="Times New Roman" w:hAnsi="Times New Roman"/>
          <w:sz w:val="24"/>
          <w:szCs w:val="24"/>
        </w:rPr>
        <w:t>посебних обележја које карактеришу свако кривично дело, мора да садржи и</w:t>
      </w:r>
      <w:r w:rsidR="00D06E30" w:rsidRPr="002C4370">
        <w:rPr>
          <w:rFonts w:ascii="Times New Roman" w:hAnsi="Times New Roman"/>
          <w:sz w:val="24"/>
          <w:szCs w:val="24"/>
          <w:lang w:val="sr-Cyrl-CS"/>
        </w:rPr>
        <w:t xml:space="preserve"> </w:t>
      </w:r>
      <w:r w:rsidRPr="002C4370">
        <w:rPr>
          <w:rFonts w:ascii="Times New Roman" w:hAnsi="Times New Roman"/>
          <w:sz w:val="24"/>
          <w:szCs w:val="24"/>
        </w:rPr>
        <w:t>кривицу, јер је кривица у смислу члана 22. саставни део општег појма кривичног</w:t>
      </w:r>
      <w:r w:rsidR="00D06E30" w:rsidRPr="002C4370">
        <w:rPr>
          <w:rFonts w:ascii="Times New Roman" w:hAnsi="Times New Roman"/>
          <w:sz w:val="24"/>
          <w:szCs w:val="24"/>
          <w:lang w:val="sr-Cyrl-CS"/>
        </w:rPr>
        <w:t xml:space="preserve"> </w:t>
      </w:r>
      <w:r w:rsidRPr="002C4370">
        <w:rPr>
          <w:rFonts w:ascii="Times New Roman" w:hAnsi="Times New Roman"/>
          <w:sz w:val="24"/>
          <w:szCs w:val="24"/>
        </w:rPr>
        <w:t>дела као његов субјективни и конститутивни елемент. То даље значи, да у</w:t>
      </w:r>
      <w:r w:rsidR="00D06E30" w:rsidRPr="002C4370">
        <w:rPr>
          <w:rFonts w:ascii="Times New Roman" w:hAnsi="Times New Roman"/>
          <w:sz w:val="24"/>
          <w:szCs w:val="24"/>
          <w:lang w:val="sr-Cyrl-CS"/>
        </w:rPr>
        <w:t xml:space="preserve"> </w:t>
      </w:r>
      <w:r w:rsidRPr="002C4370">
        <w:rPr>
          <w:rFonts w:ascii="Times New Roman" w:hAnsi="Times New Roman"/>
          <w:sz w:val="24"/>
          <w:szCs w:val="24"/>
        </w:rPr>
        <w:t>пресуди морају бити наведене чињенице и околности и прецизирано у ком</w:t>
      </w:r>
      <w:r w:rsidR="00D06E30" w:rsidRPr="002C4370">
        <w:rPr>
          <w:rFonts w:ascii="Times New Roman" w:hAnsi="Times New Roman"/>
          <w:sz w:val="24"/>
          <w:szCs w:val="24"/>
          <w:lang w:val="sr-Cyrl-CS"/>
        </w:rPr>
        <w:t xml:space="preserve"> </w:t>
      </w:r>
      <w:r w:rsidRPr="002C4370">
        <w:rPr>
          <w:rFonts w:ascii="Times New Roman" w:hAnsi="Times New Roman"/>
          <w:sz w:val="24"/>
          <w:szCs w:val="24"/>
        </w:rPr>
        <w:t>облику виности је окривљени поступао као и свест да је његово дело забрањено.</w:t>
      </w:r>
      <w:r w:rsidR="00D06E30" w:rsidRPr="002C4370">
        <w:rPr>
          <w:rFonts w:ascii="Times New Roman" w:hAnsi="Times New Roman"/>
          <w:sz w:val="24"/>
          <w:szCs w:val="24"/>
          <w:lang w:val="sr-Cyrl-CS"/>
        </w:rPr>
        <w:t xml:space="preserve"> </w:t>
      </w:r>
      <w:r w:rsidRPr="002C4370">
        <w:rPr>
          <w:rFonts w:ascii="Times New Roman" w:hAnsi="Times New Roman"/>
          <w:sz w:val="24"/>
          <w:szCs w:val="24"/>
        </w:rPr>
        <w:t>Међутим, како ни у изреци побијане пресуде, а ни у образложењу првостепени</w:t>
      </w:r>
      <w:r w:rsidR="00D06E30" w:rsidRPr="002C4370">
        <w:rPr>
          <w:rFonts w:ascii="Times New Roman" w:hAnsi="Times New Roman"/>
          <w:sz w:val="24"/>
          <w:szCs w:val="24"/>
          <w:lang w:val="sr-Cyrl-CS"/>
        </w:rPr>
        <w:t xml:space="preserve"> </w:t>
      </w:r>
      <w:r w:rsidRPr="002C4370">
        <w:rPr>
          <w:rFonts w:ascii="Times New Roman" w:hAnsi="Times New Roman"/>
          <w:sz w:val="24"/>
          <w:szCs w:val="24"/>
        </w:rPr>
        <w:t xml:space="preserve">суд није навео да ли је окривљени био </w:t>
      </w:r>
      <w:r w:rsidRPr="002C4370">
        <w:rPr>
          <w:rFonts w:ascii="Times New Roman" w:hAnsi="Times New Roman"/>
          <w:sz w:val="24"/>
          <w:szCs w:val="24"/>
        </w:rPr>
        <w:lastRenderedPageBreak/>
        <w:t>свестан или је био дужан или је могао</w:t>
      </w:r>
      <w:r w:rsidR="00D06E30" w:rsidRPr="002C4370">
        <w:rPr>
          <w:rFonts w:ascii="Times New Roman" w:hAnsi="Times New Roman"/>
          <w:sz w:val="24"/>
          <w:szCs w:val="24"/>
          <w:lang w:val="sr-Cyrl-CS"/>
        </w:rPr>
        <w:t xml:space="preserve"> </w:t>
      </w:r>
      <w:r w:rsidRPr="002C4370">
        <w:rPr>
          <w:rFonts w:ascii="Times New Roman" w:hAnsi="Times New Roman"/>
          <w:sz w:val="24"/>
          <w:szCs w:val="24"/>
        </w:rPr>
        <w:t>бити свестан да је његово дело забрањено, тиме је учињена битна повреда</w:t>
      </w:r>
      <w:r w:rsidR="00D06E30" w:rsidRPr="002C4370">
        <w:rPr>
          <w:rFonts w:ascii="Times New Roman" w:hAnsi="Times New Roman"/>
          <w:sz w:val="24"/>
          <w:szCs w:val="24"/>
          <w:lang w:val="sr-Cyrl-CS"/>
        </w:rPr>
        <w:t xml:space="preserve"> </w:t>
      </w:r>
      <w:r w:rsidRPr="002C4370">
        <w:rPr>
          <w:rFonts w:ascii="Times New Roman" w:hAnsi="Times New Roman"/>
          <w:sz w:val="24"/>
          <w:szCs w:val="24"/>
        </w:rPr>
        <w:t>одредаба кривичног поступка из члана 368. став 1. тачка 11. ЗКП-а како је то</w:t>
      </w:r>
      <w:r w:rsidR="00911A0C" w:rsidRPr="002C4370">
        <w:rPr>
          <w:rFonts w:ascii="Times New Roman" w:hAnsi="Times New Roman"/>
          <w:sz w:val="24"/>
          <w:szCs w:val="24"/>
          <w:lang w:val="sr-Cyrl-CS"/>
        </w:rPr>
        <w:t xml:space="preserve"> </w:t>
      </w:r>
      <w:r w:rsidRPr="002C4370">
        <w:rPr>
          <w:rFonts w:ascii="Times New Roman" w:hAnsi="Times New Roman"/>
          <w:sz w:val="24"/>
          <w:szCs w:val="24"/>
        </w:rPr>
        <w:t>наведено.</w:t>
      </w:r>
    </w:p>
    <w:p w:rsidR="00D06E30" w:rsidRPr="002C4370" w:rsidRDefault="00D06E30" w:rsidP="00D06E30">
      <w:pPr>
        <w:autoSpaceDE w:val="0"/>
        <w:autoSpaceDN w:val="0"/>
        <w:adjustRightInd w:val="0"/>
        <w:spacing w:after="0" w:line="240" w:lineRule="auto"/>
        <w:jc w:val="both"/>
        <w:rPr>
          <w:rFonts w:ascii="Times New Roman" w:hAnsi="Times New Roman"/>
          <w:i/>
          <w:sz w:val="24"/>
          <w:szCs w:val="24"/>
          <w:lang w:val="sr-Cyrl-CS"/>
        </w:rPr>
      </w:pPr>
    </w:p>
    <w:p w:rsidR="00D06E30" w:rsidRPr="002C4370" w:rsidRDefault="00D06E30" w:rsidP="00D06E30">
      <w:pPr>
        <w:autoSpaceDE w:val="0"/>
        <w:autoSpaceDN w:val="0"/>
        <w:adjustRightInd w:val="0"/>
        <w:spacing w:after="0" w:line="240" w:lineRule="auto"/>
        <w:jc w:val="both"/>
        <w:rPr>
          <w:rFonts w:ascii="Times New Roman" w:hAnsi="Times New Roman"/>
          <w:i/>
          <w:sz w:val="24"/>
          <w:szCs w:val="24"/>
          <w:lang w:val="sr-Cyrl-CS"/>
        </w:rPr>
      </w:pPr>
    </w:p>
    <w:p w:rsidR="007B7D68" w:rsidRPr="002C4370" w:rsidRDefault="001C22F0" w:rsidP="00D06E30">
      <w:pPr>
        <w:autoSpaceDE w:val="0"/>
        <w:autoSpaceDN w:val="0"/>
        <w:adjustRightInd w:val="0"/>
        <w:spacing w:after="0" w:line="240" w:lineRule="auto"/>
        <w:jc w:val="both"/>
        <w:rPr>
          <w:rFonts w:ascii="Times New Roman" w:hAnsi="Times New Roman"/>
          <w:b/>
          <w:sz w:val="24"/>
          <w:szCs w:val="24"/>
          <w:lang w:val="sr-Cyrl-CS"/>
        </w:rPr>
      </w:pPr>
      <w:r w:rsidRPr="002C4370">
        <w:rPr>
          <w:rFonts w:ascii="Times New Roman" w:hAnsi="Times New Roman"/>
          <w:b/>
          <w:sz w:val="24"/>
          <w:szCs w:val="24"/>
        </w:rPr>
        <w:t>(Решење Врховног суда Србије Кж-I-1470/07 од 12.09.2007. године,</w:t>
      </w:r>
      <w:r w:rsidR="00D06E30" w:rsidRPr="002C4370">
        <w:rPr>
          <w:rFonts w:ascii="Times New Roman" w:hAnsi="Times New Roman"/>
          <w:b/>
          <w:sz w:val="24"/>
          <w:szCs w:val="24"/>
          <w:lang w:val="sr-Cyrl-CS"/>
        </w:rPr>
        <w:t xml:space="preserve"> </w:t>
      </w:r>
      <w:r w:rsidRPr="002C4370">
        <w:rPr>
          <w:rFonts w:ascii="Times New Roman" w:hAnsi="Times New Roman"/>
          <w:b/>
          <w:sz w:val="24"/>
          <w:szCs w:val="24"/>
        </w:rPr>
        <w:t>пресуда Окружног суда у Београду К.670/07 од 25.04.2007. године)</w:t>
      </w:r>
    </w:p>
    <w:p w:rsidR="00911A0C" w:rsidRPr="002C4370" w:rsidRDefault="00911A0C" w:rsidP="00D06E30">
      <w:pPr>
        <w:autoSpaceDE w:val="0"/>
        <w:autoSpaceDN w:val="0"/>
        <w:adjustRightInd w:val="0"/>
        <w:spacing w:after="0" w:line="240" w:lineRule="auto"/>
        <w:jc w:val="both"/>
        <w:rPr>
          <w:rFonts w:ascii="Times New Roman" w:hAnsi="Times New Roman"/>
          <w:b/>
          <w:sz w:val="24"/>
          <w:szCs w:val="24"/>
        </w:rPr>
      </w:pPr>
    </w:p>
    <w:p w:rsidR="001C22F0" w:rsidRPr="002C4370" w:rsidRDefault="001467DF" w:rsidP="00D06E30">
      <w:pPr>
        <w:autoSpaceDE w:val="0"/>
        <w:autoSpaceDN w:val="0"/>
        <w:adjustRightInd w:val="0"/>
        <w:spacing w:after="0" w:line="240" w:lineRule="auto"/>
        <w:jc w:val="both"/>
        <w:rPr>
          <w:rFonts w:ascii="Times New Roman" w:hAnsi="Times New Roman"/>
          <w:bCs/>
          <w:sz w:val="24"/>
          <w:szCs w:val="24"/>
        </w:rPr>
      </w:pPr>
      <w:r w:rsidRPr="002C4370">
        <w:rPr>
          <w:rFonts w:ascii="Times New Roman" w:hAnsi="Times New Roman"/>
          <w:bCs/>
          <w:sz w:val="24"/>
          <w:szCs w:val="24"/>
          <w:lang w:val="sr-Cyrl-CS"/>
        </w:rPr>
        <w:t>23</w:t>
      </w:r>
      <w:r w:rsidR="00D06E30" w:rsidRPr="002C4370">
        <w:rPr>
          <w:rFonts w:ascii="Times New Roman" w:hAnsi="Times New Roman"/>
          <w:bCs/>
          <w:sz w:val="24"/>
          <w:szCs w:val="24"/>
          <w:lang w:val="sr-Cyrl-CS"/>
        </w:rPr>
        <w:t>)</w:t>
      </w:r>
    </w:p>
    <w:p w:rsidR="00166B45" w:rsidRPr="002C4370" w:rsidRDefault="00166B45" w:rsidP="00D06E30">
      <w:pPr>
        <w:autoSpaceDE w:val="0"/>
        <w:autoSpaceDN w:val="0"/>
        <w:adjustRightInd w:val="0"/>
        <w:spacing w:after="0" w:line="240" w:lineRule="auto"/>
        <w:jc w:val="both"/>
        <w:rPr>
          <w:rFonts w:ascii="Times New Roman" w:hAnsi="Times New Roman"/>
          <w:bCs/>
          <w:sz w:val="24"/>
          <w:szCs w:val="24"/>
        </w:rPr>
      </w:pPr>
    </w:p>
    <w:p w:rsidR="00D06E30" w:rsidRPr="002C4370" w:rsidRDefault="00D06E30" w:rsidP="00D06E30">
      <w:pPr>
        <w:autoSpaceDE w:val="0"/>
        <w:autoSpaceDN w:val="0"/>
        <w:adjustRightInd w:val="0"/>
        <w:spacing w:after="0" w:line="240" w:lineRule="auto"/>
        <w:jc w:val="both"/>
        <w:rPr>
          <w:rFonts w:ascii="Times New Roman" w:hAnsi="Times New Roman"/>
          <w:bCs/>
          <w:sz w:val="24"/>
          <w:szCs w:val="24"/>
          <w:lang w:val="sr-Cyrl-CS"/>
        </w:rPr>
      </w:pPr>
      <w:r w:rsidRPr="002C4370">
        <w:rPr>
          <w:rFonts w:ascii="Times New Roman" w:hAnsi="Times New Roman"/>
          <w:bCs/>
          <w:sz w:val="24"/>
          <w:szCs w:val="24"/>
          <w:lang w:val="sr-Cyrl-CS"/>
        </w:rPr>
        <w:t>Недозвољена трговина</w:t>
      </w:r>
    </w:p>
    <w:p w:rsidR="00D06E30" w:rsidRPr="002C4370" w:rsidRDefault="00D06E30" w:rsidP="00D06E30">
      <w:pPr>
        <w:autoSpaceDE w:val="0"/>
        <w:autoSpaceDN w:val="0"/>
        <w:adjustRightInd w:val="0"/>
        <w:spacing w:after="0" w:line="240" w:lineRule="auto"/>
        <w:jc w:val="both"/>
        <w:rPr>
          <w:rFonts w:ascii="Times New Roman" w:hAnsi="Times New Roman"/>
          <w:bCs/>
          <w:sz w:val="24"/>
          <w:szCs w:val="24"/>
          <w:lang w:val="sr-Cyrl-CS"/>
        </w:rPr>
      </w:pPr>
    </w:p>
    <w:p w:rsidR="001C22F0" w:rsidRPr="002C4370" w:rsidRDefault="001C22F0" w:rsidP="00D06E30">
      <w:pPr>
        <w:autoSpaceDE w:val="0"/>
        <w:autoSpaceDN w:val="0"/>
        <w:adjustRightInd w:val="0"/>
        <w:spacing w:after="0" w:line="240" w:lineRule="auto"/>
        <w:jc w:val="both"/>
        <w:rPr>
          <w:rFonts w:ascii="Times New Roman" w:hAnsi="Times New Roman"/>
          <w:sz w:val="24"/>
          <w:szCs w:val="24"/>
          <w:lang w:val="sr-Cyrl-CS"/>
        </w:rPr>
      </w:pPr>
      <w:r w:rsidRPr="002C4370">
        <w:rPr>
          <w:rFonts w:ascii="Times New Roman" w:hAnsi="Times New Roman"/>
          <w:sz w:val="24"/>
          <w:szCs w:val="24"/>
        </w:rPr>
        <w:t>Када је за кривично дело недозвољене трговине наступила застарелост</w:t>
      </w:r>
      <w:r w:rsidR="00D06E30" w:rsidRPr="002C4370">
        <w:rPr>
          <w:rFonts w:ascii="Times New Roman" w:hAnsi="Times New Roman"/>
          <w:sz w:val="24"/>
          <w:szCs w:val="24"/>
          <w:lang w:val="sr-Cyrl-CS"/>
        </w:rPr>
        <w:t xml:space="preserve"> </w:t>
      </w:r>
      <w:r w:rsidRPr="002C4370">
        <w:rPr>
          <w:rFonts w:ascii="Times New Roman" w:hAnsi="Times New Roman"/>
          <w:sz w:val="24"/>
          <w:szCs w:val="24"/>
        </w:rPr>
        <w:t>кривичног поступка, није могуће од окривљеног одузети предмете извршења</w:t>
      </w:r>
      <w:r w:rsidR="00D06E30" w:rsidRPr="002C4370">
        <w:rPr>
          <w:rFonts w:ascii="Times New Roman" w:hAnsi="Times New Roman"/>
          <w:sz w:val="24"/>
          <w:szCs w:val="24"/>
          <w:lang w:val="sr-Cyrl-CS"/>
        </w:rPr>
        <w:t xml:space="preserve"> </w:t>
      </w:r>
      <w:r w:rsidRPr="002C4370">
        <w:rPr>
          <w:rFonts w:ascii="Times New Roman" w:hAnsi="Times New Roman"/>
          <w:sz w:val="24"/>
          <w:szCs w:val="24"/>
        </w:rPr>
        <w:t>кривичног дела ни по одредби члана 512. ЗКП.</w:t>
      </w:r>
    </w:p>
    <w:p w:rsidR="00D06E30" w:rsidRPr="002C4370" w:rsidRDefault="00D06E30" w:rsidP="00D06E30">
      <w:pPr>
        <w:autoSpaceDE w:val="0"/>
        <w:autoSpaceDN w:val="0"/>
        <w:adjustRightInd w:val="0"/>
        <w:spacing w:after="0" w:line="240" w:lineRule="auto"/>
        <w:jc w:val="both"/>
        <w:rPr>
          <w:rFonts w:ascii="Times New Roman" w:hAnsi="Times New Roman"/>
          <w:sz w:val="24"/>
          <w:szCs w:val="24"/>
          <w:lang w:val="sr-Cyrl-CS"/>
        </w:rPr>
      </w:pPr>
    </w:p>
    <w:p w:rsidR="00D06E30" w:rsidRPr="002C4370" w:rsidRDefault="00D06E30" w:rsidP="00D06E30">
      <w:pPr>
        <w:autoSpaceDE w:val="0"/>
        <w:autoSpaceDN w:val="0"/>
        <w:adjustRightInd w:val="0"/>
        <w:spacing w:after="0" w:line="240" w:lineRule="auto"/>
        <w:jc w:val="both"/>
        <w:rPr>
          <w:rFonts w:ascii="Times New Roman" w:hAnsi="Times New Roman"/>
          <w:sz w:val="24"/>
          <w:szCs w:val="24"/>
          <w:lang w:val="sr-Cyrl-CS"/>
        </w:rPr>
      </w:pPr>
    </w:p>
    <w:p w:rsidR="001C22F0" w:rsidRPr="002C4370" w:rsidRDefault="001C22F0" w:rsidP="00D06E30">
      <w:pPr>
        <w:autoSpaceDE w:val="0"/>
        <w:autoSpaceDN w:val="0"/>
        <w:adjustRightInd w:val="0"/>
        <w:spacing w:after="0" w:line="240" w:lineRule="auto"/>
        <w:jc w:val="both"/>
        <w:rPr>
          <w:rFonts w:ascii="Times New Roman" w:hAnsi="Times New Roman"/>
          <w:b/>
          <w:sz w:val="24"/>
          <w:szCs w:val="24"/>
          <w:lang w:val="sr-Cyrl-CS"/>
        </w:rPr>
      </w:pPr>
      <w:r w:rsidRPr="002C4370">
        <w:rPr>
          <w:rFonts w:ascii="Times New Roman" w:hAnsi="Times New Roman"/>
          <w:b/>
          <w:sz w:val="24"/>
          <w:szCs w:val="24"/>
        </w:rPr>
        <w:t>(Пресуда Врховног суда Србије Кзз.107/04 и КТЗ 932/04, стр.189-191 II</w:t>
      </w:r>
      <w:r w:rsidR="00D06E30" w:rsidRPr="002C4370">
        <w:rPr>
          <w:rFonts w:ascii="Times New Roman" w:hAnsi="Times New Roman"/>
          <w:b/>
          <w:sz w:val="24"/>
          <w:szCs w:val="24"/>
          <w:lang w:val="sr-Cyrl-CS"/>
        </w:rPr>
        <w:t xml:space="preserve"> </w:t>
      </w:r>
      <w:r w:rsidRPr="002C4370">
        <w:rPr>
          <w:rFonts w:ascii="Times New Roman" w:hAnsi="Times New Roman"/>
          <w:b/>
          <w:sz w:val="24"/>
          <w:szCs w:val="24"/>
        </w:rPr>
        <w:t>књига)</w:t>
      </w:r>
    </w:p>
    <w:p w:rsidR="00166B45" w:rsidRPr="002C4370" w:rsidRDefault="00166B45" w:rsidP="00D06E30">
      <w:pPr>
        <w:autoSpaceDE w:val="0"/>
        <w:autoSpaceDN w:val="0"/>
        <w:adjustRightInd w:val="0"/>
        <w:spacing w:after="0" w:line="240" w:lineRule="auto"/>
        <w:jc w:val="both"/>
        <w:rPr>
          <w:rFonts w:ascii="Times New Roman" w:hAnsi="Times New Roman"/>
          <w:b/>
          <w:sz w:val="24"/>
          <w:szCs w:val="24"/>
          <w:lang w:val="sr-Cyrl-CS"/>
        </w:rPr>
      </w:pPr>
    </w:p>
    <w:p w:rsidR="00D06E30" w:rsidRPr="002C4370" w:rsidRDefault="00D06E30" w:rsidP="00D06E30">
      <w:pPr>
        <w:autoSpaceDE w:val="0"/>
        <w:autoSpaceDN w:val="0"/>
        <w:adjustRightInd w:val="0"/>
        <w:spacing w:after="0" w:line="240" w:lineRule="auto"/>
        <w:jc w:val="both"/>
        <w:rPr>
          <w:rFonts w:ascii="Times New Roman" w:hAnsi="Times New Roman"/>
          <w:b/>
          <w:sz w:val="24"/>
          <w:szCs w:val="24"/>
          <w:lang w:val="sr-Cyrl-CS"/>
        </w:rPr>
      </w:pPr>
    </w:p>
    <w:p w:rsidR="00D06E30" w:rsidRPr="002C4370" w:rsidRDefault="001467DF" w:rsidP="00D06E30">
      <w:pPr>
        <w:autoSpaceDE w:val="0"/>
        <w:autoSpaceDN w:val="0"/>
        <w:adjustRightInd w:val="0"/>
        <w:spacing w:after="0" w:line="240" w:lineRule="auto"/>
        <w:jc w:val="both"/>
        <w:rPr>
          <w:rFonts w:ascii="Times New Roman" w:hAnsi="Times New Roman"/>
          <w:bCs/>
          <w:sz w:val="24"/>
          <w:szCs w:val="24"/>
        </w:rPr>
      </w:pPr>
      <w:r w:rsidRPr="002C4370">
        <w:rPr>
          <w:rFonts w:ascii="Times New Roman" w:hAnsi="Times New Roman"/>
          <w:bCs/>
          <w:sz w:val="24"/>
          <w:szCs w:val="24"/>
          <w:lang w:val="sr-Cyrl-CS"/>
        </w:rPr>
        <w:t>24</w:t>
      </w:r>
      <w:r w:rsidR="00D06E30" w:rsidRPr="002C4370">
        <w:rPr>
          <w:rFonts w:ascii="Times New Roman" w:hAnsi="Times New Roman"/>
          <w:bCs/>
          <w:sz w:val="24"/>
          <w:szCs w:val="24"/>
          <w:lang w:val="sr-Cyrl-CS"/>
        </w:rPr>
        <w:t>)</w:t>
      </w:r>
    </w:p>
    <w:p w:rsidR="00166B45" w:rsidRPr="002C4370" w:rsidRDefault="00166B45" w:rsidP="00D06E30">
      <w:pPr>
        <w:autoSpaceDE w:val="0"/>
        <w:autoSpaceDN w:val="0"/>
        <w:adjustRightInd w:val="0"/>
        <w:spacing w:after="0" w:line="240" w:lineRule="auto"/>
        <w:jc w:val="both"/>
        <w:rPr>
          <w:rFonts w:ascii="Times New Roman" w:hAnsi="Times New Roman"/>
          <w:bCs/>
          <w:sz w:val="24"/>
          <w:szCs w:val="24"/>
        </w:rPr>
      </w:pPr>
    </w:p>
    <w:p w:rsidR="00D06E30" w:rsidRPr="002C4370" w:rsidRDefault="00D06E30" w:rsidP="00D06E30">
      <w:pPr>
        <w:autoSpaceDE w:val="0"/>
        <w:autoSpaceDN w:val="0"/>
        <w:adjustRightInd w:val="0"/>
        <w:spacing w:after="0" w:line="240" w:lineRule="auto"/>
        <w:jc w:val="both"/>
        <w:rPr>
          <w:rFonts w:ascii="Times New Roman" w:hAnsi="Times New Roman"/>
          <w:bCs/>
          <w:sz w:val="24"/>
          <w:szCs w:val="24"/>
          <w:lang w:val="sr-Cyrl-CS"/>
        </w:rPr>
      </w:pPr>
      <w:r w:rsidRPr="002C4370">
        <w:rPr>
          <w:rFonts w:ascii="Times New Roman" w:hAnsi="Times New Roman"/>
          <w:bCs/>
          <w:sz w:val="24"/>
          <w:szCs w:val="24"/>
          <w:lang w:val="sr-Cyrl-CS"/>
        </w:rPr>
        <w:t>Несавестан рад у служби</w:t>
      </w:r>
    </w:p>
    <w:p w:rsidR="00D06E30" w:rsidRPr="002C4370" w:rsidRDefault="00D06E30" w:rsidP="00D06E30">
      <w:pPr>
        <w:autoSpaceDE w:val="0"/>
        <w:autoSpaceDN w:val="0"/>
        <w:adjustRightInd w:val="0"/>
        <w:spacing w:after="0" w:line="240" w:lineRule="auto"/>
        <w:jc w:val="both"/>
        <w:rPr>
          <w:rFonts w:ascii="Times New Roman" w:hAnsi="Times New Roman"/>
          <w:bCs/>
          <w:sz w:val="24"/>
          <w:szCs w:val="24"/>
          <w:lang w:val="sr-Cyrl-CS"/>
        </w:rPr>
      </w:pPr>
    </w:p>
    <w:p w:rsidR="001C22F0" w:rsidRPr="002C4370" w:rsidRDefault="001C22F0" w:rsidP="00D06E30">
      <w:pPr>
        <w:autoSpaceDE w:val="0"/>
        <w:autoSpaceDN w:val="0"/>
        <w:adjustRightInd w:val="0"/>
        <w:spacing w:after="0" w:line="240" w:lineRule="auto"/>
        <w:jc w:val="both"/>
        <w:rPr>
          <w:rFonts w:ascii="Times New Roman" w:hAnsi="Times New Roman"/>
          <w:sz w:val="24"/>
          <w:szCs w:val="24"/>
          <w:lang w:val="sr-Cyrl-CS"/>
        </w:rPr>
      </w:pPr>
      <w:r w:rsidRPr="002C4370">
        <w:rPr>
          <w:rFonts w:ascii="Times New Roman" w:hAnsi="Times New Roman"/>
          <w:sz w:val="24"/>
          <w:szCs w:val="24"/>
        </w:rPr>
        <w:t>Неблаговремено завођење захтева оштећеног за пензију не може се сматрати</w:t>
      </w:r>
      <w:r w:rsidR="00D06E30" w:rsidRPr="002C4370">
        <w:rPr>
          <w:rFonts w:ascii="Times New Roman" w:hAnsi="Times New Roman"/>
          <w:sz w:val="24"/>
          <w:szCs w:val="24"/>
          <w:lang w:val="sr-Cyrl-CS"/>
        </w:rPr>
        <w:t xml:space="preserve"> </w:t>
      </w:r>
      <w:r w:rsidRPr="002C4370">
        <w:rPr>
          <w:rFonts w:ascii="Times New Roman" w:hAnsi="Times New Roman"/>
          <w:sz w:val="24"/>
          <w:szCs w:val="24"/>
        </w:rPr>
        <w:t>грубом повредом службене дужности и очигледно несавесним поступањем, већ се</w:t>
      </w:r>
      <w:r w:rsidR="00D06E30" w:rsidRPr="002C4370">
        <w:rPr>
          <w:rFonts w:ascii="Times New Roman" w:hAnsi="Times New Roman"/>
          <w:sz w:val="24"/>
          <w:szCs w:val="24"/>
          <w:lang w:val="sr-Cyrl-CS"/>
        </w:rPr>
        <w:t xml:space="preserve"> </w:t>
      </w:r>
      <w:r w:rsidR="00D06E30" w:rsidRPr="002C4370">
        <w:rPr>
          <w:rFonts w:ascii="Times New Roman" w:hAnsi="Times New Roman"/>
          <w:sz w:val="24"/>
          <w:szCs w:val="24"/>
        </w:rPr>
        <w:t>ради о</w:t>
      </w:r>
      <w:r w:rsidR="00D06E30" w:rsidRPr="002C4370">
        <w:rPr>
          <w:rFonts w:ascii="Times New Roman" w:hAnsi="Times New Roman"/>
          <w:sz w:val="24"/>
          <w:szCs w:val="24"/>
          <w:lang w:val="sr-Cyrl-CS"/>
        </w:rPr>
        <w:t xml:space="preserve"> </w:t>
      </w:r>
      <w:r w:rsidRPr="002C4370">
        <w:rPr>
          <w:rFonts w:ascii="Times New Roman" w:hAnsi="Times New Roman"/>
          <w:sz w:val="24"/>
          <w:szCs w:val="24"/>
        </w:rPr>
        <w:t>повреди радне дужности која не може бити основ за кривичну одговорност</w:t>
      </w:r>
      <w:r w:rsidR="00D06E30" w:rsidRPr="002C4370">
        <w:rPr>
          <w:rFonts w:ascii="Times New Roman" w:hAnsi="Times New Roman"/>
          <w:sz w:val="24"/>
          <w:szCs w:val="24"/>
          <w:lang w:val="sr-Cyrl-CS"/>
        </w:rPr>
        <w:t xml:space="preserve"> </w:t>
      </w:r>
      <w:r w:rsidRPr="002C4370">
        <w:rPr>
          <w:rFonts w:ascii="Times New Roman" w:hAnsi="Times New Roman"/>
          <w:sz w:val="24"/>
          <w:szCs w:val="24"/>
        </w:rPr>
        <w:t>окривљене.</w:t>
      </w:r>
    </w:p>
    <w:p w:rsidR="00D06E30" w:rsidRPr="002C4370" w:rsidRDefault="00D06E30" w:rsidP="00D06E30">
      <w:pPr>
        <w:autoSpaceDE w:val="0"/>
        <w:autoSpaceDN w:val="0"/>
        <w:adjustRightInd w:val="0"/>
        <w:spacing w:after="0" w:line="240" w:lineRule="auto"/>
        <w:jc w:val="both"/>
        <w:rPr>
          <w:rFonts w:ascii="Times New Roman" w:hAnsi="Times New Roman"/>
          <w:sz w:val="24"/>
          <w:szCs w:val="24"/>
          <w:lang w:val="sr-Cyrl-CS"/>
        </w:rPr>
      </w:pPr>
    </w:p>
    <w:p w:rsidR="00D06E30" w:rsidRPr="002C4370" w:rsidRDefault="00D06E30" w:rsidP="00D06E30">
      <w:pPr>
        <w:autoSpaceDE w:val="0"/>
        <w:autoSpaceDN w:val="0"/>
        <w:adjustRightInd w:val="0"/>
        <w:spacing w:after="0" w:line="240" w:lineRule="auto"/>
        <w:jc w:val="both"/>
        <w:rPr>
          <w:rFonts w:ascii="Times New Roman" w:hAnsi="Times New Roman"/>
          <w:sz w:val="24"/>
          <w:szCs w:val="24"/>
          <w:lang w:val="sr-Cyrl-CS"/>
        </w:rPr>
      </w:pPr>
    </w:p>
    <w:p w:rsidR="001C22F0" w:rsidRPr="002C4370" w:rsidRDefault="001C22F0" w:rsidP="00D06E30">
      <w:pPr>
        <w:autoSpaceDE w:val="0"/>
        <w:autoSpaceDN w:val="0"/>
        <w:adjustRightInd w:val="0"/>
        <w:spacing w:after="0" w:line="240" w:lineRule="auto"/>
        <w:jc w:val="both"/>
        <w:rPr>
          <w:rFonts w:ascii="Times New Roman" w:hAnsi="Times New Roman"/>
          <w:b/>
          <w:sz w:val="24"/>
          <w:szCs w:val="24"/>
          <w:lang w:val="sr-Cyrl-CS"/>
        </w:rPr>
      </w:pPr>
      <w:r w:rsidRPr="002C4370">
        <w:rPr>
          <w:rFonts w:ascii="Times New Roman" w:hAnsi="Times New Roman"/>
          <w:b/>
          <w:sz w:val="24"/>
          <w:szCs w:val="24"/>
        </w:rPr>
        <w:t>(Пресуда Врховног суда Србије Кзз.46/05 од 20.06.2005.године и КТЗ</w:t>
      </w:r>
      <w:r w:rsidR="00D06E30" w:rsidRPr="002C4370">
        <w:rPr>
          <w:rFonts w:ascii="Times New Roman" w:hAnsi="Times New Roman"/>
          <w:b/>
          <w:sz w:val="24"/>
          <w:szCs w:val="24"/>
          <w:lang w:val="sr-Cyrl-CS"/>
        </w:rPr>
        <w:t xml:space="preserve"> </w:t>
      </w:r>
      <w:r w:rsidRPr="002C4370">
        <w:rPr>
          <w:rFonts w:ascii="Times New Roman" w:hAnsi="Times New Roman"/>
          <w:b/>
          <w:sz w:val="24"/>
          <w:szCs w:val="24"/>
        </w:rPr>
        <w:t>217/05, стр. 25-29 II књига)</w:t>
      </w:r>
    </w:p>
    <w:p w:rsidR="00D06E30" w:rsidRPr="002C4370" w:rsidRDefault="00D06E30" w:rsidP="001467DF">
      <w:pPr>
        <w:jc w:val="both"/>
        <w:rPr>
          <w:rFonts w:ascii="Times New Roman" w:hAnsi="Times New Roman"/>
          <w:sz w:val="24"/>
          <w:szCs w:val="24"/>
        </w:rPr>
      </w:pPr>
    </w:p>
    <w:p w:rsidR="00D06E30" w:rsidRPr="002C4370" w:rsidRDefault="001467DF" w:rsidP="00D06E30">
      <w:pPr>
        <w:jc w:val="both"/>
        <w:rPr>
          <w:rFonts w:ascii="Times New Roman" w:hAnsi="Times New Roman"/>
          <w:sz w:val="24"/>
          <w:szCs w:val="24"/>
          <w:lang w:val="sr-Cyrl-CS"/>
        </w:rPr>
      </w:pPr>
      <w:r w:rsidRPr="002C4370">
        <w:rPr>
          <w:rFonts w:ascii="Times New Roman" w:hAnsi="Times New Roman"/>
          <w:sz w:val="24"/>
          <w:szCs w:val="24"/>
          <w:lang w:val="sr-Cyrl-CS"/>
        </w:rPr>
        <w:t>25</w:t>
      </w:r>
      <w:r w:rsidR="00D06E30" w:rsidRPr="002C4370">
        <w:rPr>
          <w:rFonts w:ascii="Times New Roman" w:hAnsi="Times New Roman"/>
          <w:sz w:val="24"/>
          <w:szCs w:val="24"/>
          <w:lang w:val="sr-Cyrl-CS"/>
        </w:rPr>
        <w:t>)</w:t>
      </w:r>
    </w:p>
    <w:p w:rsidR="001C22F0" w:rsidRPr="002C4370" w:rsidRDefault="001C22F0" w:rsidP="00D06E30">
      <w:pPr>
        <w:autoSpaceDE w:val="0"/>
        <w:autoSpaceDN w:val="0"/>
        <w:adjustRightInd w:val="0"/>
        <w:spacing w:after="0" w:line="240" w:lineRule="auto"/>
        <w:jc w:val="both"/>
        <w:rPr>
          <w:rFonts w:ascii="Times New Roman" w:hAnsi="Times New Roman"/>
          <w:sz w:val="24"/>
          <w:szCs w:val="24"/>
          <w:lang w:val="sr-Cyrl-CS"/>
        </w:rPr>
      </w:pPr>
      <w:r w:rsidRPr="002C4370">
        <w:rPr>
          <w:rFonts w:ascii="Times New Roman" w:hAnsi="Times New Roman"/>
          <w:sz w:val="24"/>
          <w:szCs w:val="24"/>
        </w:rPr>
        <w:t>Ступањем на снагу Кривичног законика престале су да важе кривично</w:t>
      </w:r>
      <w:r w:rsidR="00D06E30" w:rsidRPr="002C4370">
        <w:rPr>
          <w:rFonts w:ascii="Times New Roman" w:hAnsi="Times New Roman"/>
          <w:sz w:val="24"/>
          <w:szCs w:val="24"/>
          <w:lang w:val="sr-Cyrl-CS"/>
        </w:rPr>
        <w:t xml:space="preserve"> </w:t>
      </w:r>
      <w:r w:rsidRPr="002C4370">
        <w:rPr>
          <w:rFonts w:ascii="Times New Roman" w:hAnsi="Times New Roman"/>
          <w:sz w:val="24"/>
          <w:szCs w:val="24"/>
        </w:rPr>
        <w:t>правне одредбе садржане у члану 172. и 174. Закона о пореском поступку и</w:t>
      </w:r>
      <w:r w:rsidR="00D06E30" w:rsidRPr="002C4370">
        <w:rPr>
          <w:rFonts w:ascii="Times New Roman" w:hAnsi="Times New Roman"/>
          <w:sz w:val="24"/>
          <w:szCs w:val="24"/>
          <w:lang w:val="sr-Cyrl-CS"/>
        </w:rPr>
        <w:t xml:space="preserve"> </w:t>
      </w:r>
      <w:r w:rsidRPr="002C4370">
        <w:rPr>
          <w:rFonts w:ascii="Times New Roman" w:hAnsi="Times New Roman"/>
          <w:sz w:val="24"/>
          <w:szCs w:val="24"/>
        </w:rPr>
        <w:t>пореској администрацији. Међутим тиме нису декриминисане радње</w:t>
      </w:r>
      <w:r w:rsidR="00D06E30" w:rsidRPr="002C4370">
        <w:rPr>
          <w:rFonts w:ascii="Times New Roman" w:hAnsi="Times New Roman"/>
          <w:sz w:val="24"/>
          <w:szCs w:val="24"/>
          <w:lang w:val="sr-Cyrl-CS"/>
        </w:rPr>
        <w:t xml:space="preserve"> </w:t>
      </w:r>
      <w:r w:rsidRPr="002C4370">
        <w:rPr>
          <w:rFonts w:ascii="Times New Roman" w:hAnsi="Times New Roman"/>
          <w:sz w:val="24"/>
          <w:szCs w:val="24"/>
        </w:rPr>
        <w:t>непријављивања чињеница које су од утицаја на утврђивање обавеза плаћања</w:t>
      </w:r>
      <w:r w:rsidR="00D06E30" w:rsidRPr="002C4370">
        <w:rPr>
          <w:rFonts w:ascii="Times New Roman" w:hAnsi="Times New Roman"/>
          <w:sz w:val="24"/>
          <w:szCs w:val="24"/>
          <w:lang w:val="sr-Cyrl-CS"/>
        </w:rPr>
        <w:t xml:space="preserve"> </w:t>
      </w:r>
      <w:r w:rsidRPr="002C4370">
        <w:rPr>
          <w:rFonts w:ascii="Times New Roman" w:hAnsi="Times New Roman"/>
          <w:sz w:val="24"/>
          <w:szCs w:val="24"/>
        </w:rPr>
        <w:t>пореза, доприноса и других дажбина са намером да се те обавезе делимично или у</w:t>
      </w:r>
      <w:r w:rsidR="00D06E30" w:rsidRPr="002C4370">
        <w:rPr>
          <w:rFonts w:ascii="Times New Roman" w:hAnsi="Times New Roman"/>
          <w:sz w:val="24"/>
          <w:szCs w:val="24"/>
          <w:lang w:val="sr-Cyrl-CS"/>
        </w:rPr>
        <w:t xml:space="preserve"> </w:t>
      </w:r>
      <w:r w:rsidRPr="002C4370">
        <w:rPr>
          <w:rFonts w:ascii="Times New Roman" w:hAnsi="Times New Roman"/>
          <w:sz w:val="24"/>
          <w:szCs w:val="24"/>
        </w:rPr>
        <w:t>целости избегну. Напротив, поступци окривљеног (у односу на кога је</w:t>
      </w:r>
      <w:r w:rsidR="00D06E30" w:rsidRPr="002C4370">
        <w:rPr>
          <w:rFonts w:ascii="Times New Roman" w:hAnsi="Times New Roman"/>
          <w:sz w:val="24"/>
          <w:szCs w:val="24"/>
          <w:lang w:val="sr-Cyrl-CS"/>
        </w:rPr>
        <w:t xml:space="preserve"> </w:t>
      </w:r>
      <w:r w:rsidRPr="002C4370">
        <w:rPr>
          <w:rFonts w:ascii="Times New Roman" w:hAnsi="Times New Roman"/>
          <w:sz w:val="24"/>
          <w:szCs w:val="24"/>
        </w:rPr>
        <w:t>другостепени суд одбио оптужбу) садрже сва битна обележја кривичног дела и по</w:t>
      </w:r>
      <w:r w:rsidR="00D06E30" w:rsidRPr="002C4370">
        <w:rPr>
          <w:rFonts w:ascii="Times New Roman" w:hAnsi="Times New Roman"/>
          <w:sz w:val="24"/>
          <w:szCs w:val="24"/>
          <w:lang w:val="sr-Cyrl-CS"/>
        </w:rPr>
        <w:t xml:space="preserve"> </w:t>
      </w:r>
      <w:r w:rsidRPr="002C4370">
        <w:rPr>
          <w:rFonts w:ascii="Times New Roman" w:hAnsi="Times New Roman"/>
          <w:sz w:val="24"/>
          <w:szCs w:val="24"/>
        </w:rPr>
        <w:t>Закону о пореском поступку и пореској администрацији и по Кривичном законику</w:t>
      </w:r>
      <w:r w:rsidR="00D06E30" w:rsidRPr="002C4370">
        <w:rPr>
          <w:rFonts w:ascii="Times New Roman" w:hAnsi="Times New Roman"/>
          <w:sz w:val="24"/>
          <w:szCs w:val="24"/>
          <w:lang w:val="sr-Cyrl-CS"/>
        </w:rPr>
        <w:t xml:space="preserve"> </w:t>
      </w:r>
      <w:r w:rsidRPr="002C4370">
        <w:rPr>
          <w:rFonts w:ascii="Times New Roman" w:hAnsi="Times New Roman"/>
          <w:sz w:val="24"/>
          <w:szCs w:val="24"/>
        </w:rPr>
        <w:t>(члан 229.) па је суд морао, сходно одредби члана 5. став 2. Кривичног законика,</w:t>
      </w:r>
      <w:r w:rsidR="00D06E30" w:rsidRPr="002C4370">
        <w:rPr>
          <w:rFonts w:ascii="Times New Roman" w:hAnsi="Times New Roman"/>
          <w:sz w:val="24"/>
          <w:szCs w:val="24"/>
          <w:lang w:val="sr-Cyrl-CS"/>
        </w:rPr>
        <w:t xml:space="preserve"> </w:t>
      </w:r>
      <w:r w:rsidRPr="002C4370">
        <w:rPr>
          <w:rFonts w:ascii="Times New Roman" w:hAnsi="Times New Roman"/>
          <w:sz w:val="24"/>
          <w:szCs w:val="24"/>
        </w:rPr>
        <w:t>само да примени одговарајући закон.</w:t>
      </w:r>
    </w:p>
    <w:p w:rsidR="00D06E30" w:rsidRPr="002C4370" w:rsidRDefault="00D06E30" w:rsidP="00D06E30">
      <w:pPr>
        <w:autoSpaceDE w:val="0"/>
        <w:autoSpaceDN w:val="0"/>
        <w:adjustRightInd w:val="0"/>
        <w:spacing w:after="0" w:line="240" w:lineRule="auto"/>
        <w:jc w:val="both"/>
        <w:rPr>
          <w:rFonts w:ascii="Times New Roman" w:hAnsi="Times New Roman"/>
          <w:sz w:val="24"/>
          <w:szCs w:val="24"/>
          <w:lang w:val="sr-Cyrl-CS"/>
        </w:rPr>
      </w:pPr>
    </w:p>
    <w:p w:rsidR="00D06E30" w:rsidRPr="002C4370" w:rsidRDefault="00D06E30" w:rsidP="00D06E30">
      <w:pPr>
        <w:autoSpaceDE w:val="0"/>
        <w:autoSpaceDN w:val="0"/>
        <w:adjustRightInd w:val="0"/>
        <w:spacing w:after="0" w:line="240" w:lineRule="auto"/>
        <w:jc w:val="both"/>
        <w:rPr>
          <w:rFonts w:ascii="Times New Roman" w:hAnsi="Times New Roman"/>
          <w:sz w:val="24"/>
          <w:szCs w:val="24"/>
          <w:lang w:val="sr-Cyrl-CS"/>
        </w:rPr>
      </w:pPr>
    </w:p>
    <w:p w:rsidR="001C22F0" w:rsidRPr="002C4370" w:rsidRDefault="001C22F0" w:rsidP="00D06E30">
      <w:pPr>
        <w:autoSpaceDE w:val="0"/>
        <w:autoSpaceDN w:val="0"/>
        <w:adjustRightInd w:val="0"/>
        <w:spacing w:after="0" w:line="240" w:lineRule="auto"/>
        <w:jc w:val="both"/>
        <w:rPr>
          <w:rFonts w:ascii="Times New Roman" w:hAnsi="Times New Roman"/>
          <w:b/>
          <w:sz w:val="24"/>
          <w:szCs w:val="24"/>
        </w:rPr>
      </w:pPr>
      <w:r w:rsidRPr="002C4370">
        <w:rPr>
          <w:rFonts w:ascii="Times New Roman" w:hAnsi="Times New Roman"/>
          <w:b/>
          <w:sz w:val="24"/>
          <w:szCs w:val="24"/>
        </w:rPr>
        <w:t>(Пресуда Врховног суда Србије Кзз.94/06 од 25.09.2006.године и КТЗ</w:t>
      </w:r>
      <w:r w:rsidR="00D06E30" w:rsidRPr="002C4370">
        <w:rPr>
          <w:rFonts w:ascii="Times New Roman" w:hAnsi="Times New Roman"/>
          <w:b/>
          <w:sz w:val="24"/>
          <w:szCs w:val="24"/>
          <w:lang w:val="sr-Cyrl-CS"/>
        </w:rPr>
        <w:t xml:space="preserve"> </w:t>
      </w:r>
      <w:r w:rsidRPr="002C4370">
        <w:rPr>
          <w:rFonts w:ascii="Times New Roman" w:hAnsi="Times New Roman"/>
          <w:b/>
          <w:sz w:val="24"/>
          <w:szCs w:val="24"/>
        </w:rPr>
        <w:t>290/06, стр.82-86 II књига)</w:t>
      </w:r>
    </w:p>
    <w:p w:rsidR="00166B45" w:rsidRPr="002C4370" w:rsidRDefault="00166B45" w:rsidP="00D06E30">
      <w:pPr>
        <w:autoSpaceDE w:val="0"/>
        <w:autoSpaceDN w:val="0"/>
        <w:adjustRightInd w:val="0"/>
        <w:spacing w:after="0" w:line="240" w:lineRule="auto"/>
        <w:jc w:val="both"/>
        <w:rPr>
          <w:rFonts w:ascii="Times New Roman" w:hAnsi="Times New Roman"/>
          <w:b/>
          <w:sz w:val="24"/>
          <w:szCs w:val="24"/>
          <w:lang w:val="sr-Cyrl-CS"/>
        </w:rPr>
      </w:pPr>
    </w:p>
    <w:p w:rsidR="00D06E30" w:rsidRPr="002C4370" w:rsidRDefault="00D06E30" w:rsidP="00D06E30">
      <w:pPr>
        <w:autoSpaceDE w:val="0"/>
        <w:autoSpaceDN w:val="0"/>
        <w:adjustRightInd w:val="0"/>
        <w:spacing w:after="0" w:line="240" w:lineRule="auto"/>
        <w:jc w:val="both"/>
        <w:rPr>
          <w:rFonts w:ascii="Times New Roman" w:hAnsi="Times New Roman"/>
          <w:sz w:val="24"/>
          <w:szCs w:val="24"/>
        </w:rPr>
      </w:pPr>
    </w:p>
    <w:p w:rsidR="00D06E30" w:rsidRDefault="001467DF" w:rsidP="00D06E3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lang w:val="sr-Cyrl-CS"/>
        </w:rPr>
        <w:t>26</w:t>
      </w:r>
      <w:r w:rsidR="00D06E30">
        <w:rPr>
          <w:rFonts w:ascii="TimesNewRomanPSMT" w:hAnsi="TimesNewRomanPSMT" w:cs="TimesNewRomanPSMT"/>
          <w:sz w:val="24"/>
          <w:szCs w:val="24"/>
          <w:lang w:val="sr-Cyrl-CS"/>
        </w:rPr>
        <w:t>)</w:t>
      </w:r>
    </w:p>
    <w:p w:rsidR="00166B45" w:rsidRPr="00166B45" w:rsidRDefault="00166B45" w:rsidP="00D06E30">
      <w:pPr>
        <w:autoSpaceDE w:val="0"/>
        <w:autoSpaceDN w:val="0"/>
        <w:adjustRightInd w:val="0"/>
        <w:spacing w:after="0" w:line="240" w:lineRule="auto"/>
        <w:jc w:val="both"/>
        <w:rPr>
          <w:rFonts w:ascii="TimesNewRomanPSMT" w:hAnsi="TimesNewRomanPSMT" w:cs="TimesNewRomanPSMT"/>
          <w:sz w:val="24"/>
          <w:szCs w:val="24"/>
        </w:rPr>
      </w:pPr>
    </w:p>
    <w:p w:rsidR="00D06E30" w:rsidRPr="00D06E30" w:rsidRDefault="00125DE5" w:rsidP="00D06E30">
      <w:pPr>
        <w:autoSpaceDE w:val="0"/>
        <w:autoSpaceDN w:val="0"/>
        <w:adjustRightInd w:val="0"/>
        <w:spacing w:after="0" w:line="240" w:lineRule="auto"/>
        <w:jc w:val="both"/>
        <w:rPr>
          <w:rFonts w:ascii="TimesNewRomanPS-BoldMT" w:hAnsi="TimesNewRomanPS-BoldMT" w:cs="TimesNewRomanPS-BoldMT"/>
          <w:bCs/>
          <w:sz w:val="24"/>
          <w:szCs w:val="24"/>
        </w:rPr>
      </w:pPr>
      <w:r w:rsidRPr="00D06E30">
        <w:rPr>
          <w:rFonts w:ascii="TimesNewRomanPS-BoldMT" w:hAnsi="TimesNewRomanPS-BoldMT" w:cs="TimesNewRomanPS-BoldMT"/>
          <w:bCs/>
          <w:sz w:val="24"/>
          <w:szCs w:val="24"/>
        </w:rPr>
        <w:t>Кривично дело злоупотреба службеног положаја (чл. 359. ст 3. у вези ст. 1. и 4.</w:t>
      </w:r>
      <w:r w:rsidR="00D06E30">
        <w:rPr>
          <w:rFonts w:ascii="TimesNewRomanPS-BoldMT" w:hAnsi="TimesNewRomanPS-BoldMT" w:cs="TimesNewRomanPS-BoldMT"/>
          <w:bCs/>
          <w:sz w:val="24"/>
          <w:szCs w:val="24"/>
          <w:lang w:val="sr-Cyrl-CS"/>
        </w:rPr>
        <w:t xml:space="preserve"> </w:t>
      </w:r>
      <w:r w:rsidRPr="00D06E30">
        <w:rPr>
          <w:rFonts w:ascii="TimesNewRomanPS-BoldMT" w:hAnsi="TimesNewRomanPS-BoldMT" w:cs="TimesNewRomanPS-BoldMT"/>
          <w:bCs/>
          <w:sz w:val="24"/>
          <w:szCs w:val="24"/>
        </w:rPr>
        <w:t>КЗ)</w:t>
      </w:r>
      <w:r w:rsidR="00D06E30">
        <w:rPr>
          <w:rFonts w:ascii="TimesNewRomanPS-BoldMT" w:hAnsi="TimesNewRomanPS-BoldMT" w:cs="TimesNewRomanPS-BoldMT"/>
          <w:bCs/>
          <w:sz w:val="24"/>
          <w:szCs w:val="24"/>
          <w:lang w:val="sr-Cyrl-CS"/>
        </w:rPr>
        <w:t xml:space="preserve"> </w:t>
      </w:r>
    </w:p>
    <w:p w:rsidR="00D06E30" w:rsidRDefault="00D06E30" w:rsidP="00125DE5">
      <w:pPr>
        <w:autoSpaceDE w:val="0"/>
        <w:autoSpaceDN w:val="0"/>
        <w:adjustRightInd w:val="0"/>
        <w:spacing w:after="0" w:line="240" w:lineRule="auto"/>
        <w:rPr>
          <w:rFonts w:ascii="TimesNewRomanPS-BoldMT" w:hAnsi="TimesNewRomanPS-BoldMT" w:cs="TimesNewRomanPS-BoldMT"/>
          <w:bCs/>
          <w:sz w:val="24"/>
          <w:szCs w:val="24"/>
          <w:lang w:val="sr-Cyrl-CS"/>
        </w:rPr>
      </w:pPr>
    </w:p>
    <w:p w:rsidR="00125DE5" w:rsidRPr="00D06E30" w:rsidRDefault="00125DE5" w:rsidP="00D06E30">
      <w:pPr>
        <w:autoSpaceDE w:val="0"/>
        <w:autoSpaceDN w:val="0"/>
        <w:adjustRightInd w:val="0"/>
        <w:spacing w:after="0" w:line="240" w:lineRule="auto"/>
        <w:jc w:val="both"/>
        <w:rPr>
          <w:rFonts w:ascii="TimesNewRomanPS-BoldMT" w:hAnsi="TimesNewRomanPS-BoldMT" w:cs="TimesNewRomanPS-BoldMT"/>
          <w:bCs/>
          <w:sz w:val="24"/>
          <w:szCs w:val="24"/>
        </w:rPr>
      </w:pPr>
      <w:r w:rsidRPr="00D06E30">
        <w:rPr>
          <w:rFonts w:ascii="TimesNewRomanPS-BoldMT" w:hAnsi="TimesNewRomanPS-BoldMT" w:cs="TimesNewRomanPS-BoldMT"/>
          <w:bCs/>
          <w:sz w:val="24"/>
          <w:szCs w:val="24"/>
        </w:rPr>
        <w:t>Како је окривљени прибавио противправну имовинску корист кој</w:t>
      </w:r>
      <w:r w:rsidR="00D06E30">
        <w:rPr>
          <w:rFonts w:ascii="TimesNewRomanPS-BoldMT" w:hAnsi="TimesNewRomanPS-BoldMT" w:cs="TimesNewRomanPS-BoldMT"/>
          <w:bCs/>
          <w:sz w:val="24"/>
          <w:szCs w:val="24"/>
          <w:lang w:val="sr-Cyrl-CS"/>
        </w:rPr>
        <w:t xml:space="preserve">а </w:t>
      </w:r>
      <w:r w:rsidRPr="00D06E30">
        <w:rPr>
          <w:rFonts w:ascii="TimesNewRomanPS-BoldMT" w:hAnsi="TimesNewRomanPS-BoldMT" w:cs="TimesNewRomanPS-BoldMT"/>
          <w:bCs/>
          <w:sz w:val="24"/>
          <w:szCs w:val="24"/>
        </w:rPr>
        <w:t>представља вредност присвојених ствари, робе у легалној продаји предма</w:t>
      </w:r>
      <w:r w:rsidR="00D06E30">
        <w:rPr>
          <w:rFonts w:ascii="TimesNewRomanPS-BoldMT" w:hAnsi="TimesNewRomanPS-BoldMT" w:cs="TimesNewRomanPS-BoldMT"/>
          <w:bCs/>
          <w:sz w:val="24"/>
          <w:szCs w:val="24"/>
          <w:lang w:val="sr-Cyrl-CS"/>
        </w:rPr>
        <w:t xml:space="preserve"> </w:t>
      </w:r>
      <w:r w:rsidRPr="00D06E30">
        <w:rPr>
          <w:rFonts w:ascii="TimesNewRomanPS-BoldMT" w:hAnsi="TimesNewRomanPS-BoldMT" w:cs="TimesNewRomanPS-BoldMT"/>
          <w:bCs/>
          <w:sz w:val="24"/>
          <w:szCs w:val="24"/>
        </w:rPr>
        <w:t>тржишној, односно малопродајној цени, то је оптужени у конректној</w:t>
      </w:r>
      <w:r w:rsidR="00D06E30">
        <w:rPr>
          <w:rFonts w:ascii="TimesNewRomanPS-BoldMT" w:hAnsi="TimesNewRomanPS-BoldMT" w:cs="TimesNewRomanPS-BoldMT"/>
          <w:bCs/>
          <w:sz w:val="24"/>
          <w:szCs w:val="24"/>
          <w:lang w:val="sr-Cyrl-CS"/>
        </w:rPr>
        <w:t xml:space="preserve"> </w:t>
      </w:r>
      <w:r w:rsidRPr="00D06E30">
        <w:rPr>
          <w:rFonts w:ascii="TimesNewRomanPS-BoldMT" w:hAnsi="TimesNewRomanPS-BoldMT" w:cs="TimesNewRomanPS-BoldMT"/>
          <w:bCs/>
          <w:sz w:val="24"/>
          <w:szCs w:val="24"/>
        </w:rPr>
        <w:t>ситуацији поступао са директним умишљајем пошто је био свестан свог дела и</w:t>
      </w:r>
      <w:r w:rsidR="00D06E30">
        <w:rPr>
          <w:rFonts w:ascii="TimesNewRomanPS-BoldMT" w:hAnsi="TimesNewRomanPS-BoldMT" w:cs="TimesNewRomanPS-BoldMT"/>
          <w:bCs/>
          <w:sz w:val="24"/>
          <w:szCs w:val="24"/>
          <w:lang w:val="sr-Cyrl-CS"/>
        </w:rPr>
        <w:t xml:space="preserve"> </w:t>
      </w:r>
      <w:r w:rsidRPr="00D06E30">
        <w:rPr>
          <w:rFonts w:ascii="TimesNewRomanPS-BoldMT" w:hAnsi="TimesNewRomanPS-BoldMT" w:cs="TimesNewRomanPS-BoldMT"/>
          <w:bCs/>
          <w:sz w:val="24"/>
          <w:szCs w:val="24"/>
        </w:rPr>
        <w:t>желео његово извршење, односно био је свестан да преузима робу од другог</w:t>
      </w:r>
      <w:r w:rsidR="00D06E30">
        <w:rPr>
          <w:rFonts w:ascii="TimesNewRomanPS-BoldMT" w:hAnsi="TimesNewRomanPS-BoldMT" w:cs="TimesNewRomanPS-BoldMT"/>
          <w:bCs/>
          <w:sz w:val="24"/>
          <w:szCs w:val="24"/>
          <w:lang w:val="sr-Cyrl-CS"/>
        </w:rPr>
        <w:t xml:space="preserve"> </w:t>
      </w:r>
      <w:r w:rsidRPr="00D06E30">
        <w:rPr>
          <w:rFonts w:ascii="TimesNewRomanPS-BoldMT" w:hAnsi="TimesNewRomanPS-BoldMT" w:cs="TimesNewRomanPS-BoldMT"/>
          <w:bCs/>
          <w:sz w:val="24"/>
          <w:szCs w:val="24"/>
        </w:rPr>
        <w:t>предузећа са наведеном малопродајном вредношћу према налазу вештака</w:t>
      </w:r>
      <w:r w:rsidR="00D06E30">
        <w:rPr>
          <w:rFonts w:ascii="TimesNewRomanPS-BoldMT" w:hAnsi="TimesNewRomanPS-BoldMT" w:cs="TimesNewRomanPS-BoldMT"/>
          <w:bCs/>
          <w:sz w:val="24"/>
          <w:szCs w:val="24"/>
          <w:lang w:val="sr-Cyrl-CS"/>
        </w:rPr>
        <w:t xml:space="preserve"> </w:t>
      </w:r>
      <w:r w:rsidRPr="00D06E30">
        <w:rPr>
          <w:rFonts w:ascii="TimesNewRomanPS-BoldMT" w:hAnsi="TimesNewRomanPS-BoldMT" w:cs="TimesNewRomanPS-BoldMT"/>
          <w:bCs/>
          <w:sz w:val="24"/>
          <w:szCs w:val="24"/>
        </w:rPr>
        <w:t>књиговодствене струке, као власник и директор деоничког друштва коме је у</w:t>
      </w:r>
      <w:r w:rsidR="00D06E30">
        <w:rPr>
          <w:rFonts w:ascii="TimesNewRomanPS-BoldMT" w:hAnsi="TimesNewRomanPS-BoldMT" w:cs="TimesNewRomanPS-BoldMT"/>
          <w:bCs/>
          <w:sz w:val="24"/>
          <w:szCs w:val="24"/>
          <w:lang w:val="sr-Cyrl-CS"/>
        </w:rPr>
        <w:t xml:space="preserve"> </w:t>
      </w:r>
      <w:r w:rsidRPr="00D06E30">
        <w:rPr>
          <w:rFonts w:ascii="TimesNewRomanPS-BoldMT" w:hAnsi="TimesNewRomanPS-BoldMT" w:cs="TimesNewRomanPS-BoldMT"/>
          <w:bCs/>
          <w:sz w:val="24"/>
          <w:szCs w:val="24"/>
        </w:rPr>
        <w:t>то време био блокиран жиро рачун, те робу није платио и свесно њену набавку</w:t>
      </w:r>
      <w:r w:rsidR="00D06E30">
        <w:rPr>
          <w:rFonts w:ascii="TimesNewRomanPS-BoldMT" w:hAnsi="TimesNewRomanPS-BoldMT" w:cs="TimesNewRomanPS-BoldMT"/>
          <w:bCs/>
          <w:sz w:val="24"/>
          <w:szCs w:val="24"/>
          <w:lang w:val="sr-Cyrl-CS"/>
        </w:rPr>
        <w:t xml:space="preserve"> </w:t>
      </w:r>
      <w:r w:rsidRPr="00D06E30">
        <w:rPr>
          <w:rFonts w:ascii="TimesNewRomanPS-BoldMT" w:hAnsi="TimesNewRomanPS-BoldMT" w:cs="TimesNewRomanPS-BoldMT"/>
          <w:bCs/>
          <w:sz w:val="24"/>
          <w:szCs w:val="24"/>
        </w:rPr>
        <w:t>није приказао у пословним књигама деоничког друштва, већ је срачунато и</w:t>
      </w:r>
      <w:r w:rsidR="00D06E30">
        <w:rPr>
          <w:rFonts w:ascii="TimesNewRomanPS-BoldMT" w:hAnsi="TimesNewRomanPS-BoldMT" w:cs="TimesNewRomanPS-BoldMT"/>
          <w:bCs/>
          <w:sz w:val="24"/>
          <w:szCs w:val="24"/>
          <w:lang w:val="sr-Cyrl-CS"/>
        </w:rPr>
        <w:t xml:space="preserve"> </w:t>
      </w:r>
      <w:r w:rsidRPr="00D06E30">
        <w:rPr>
          <w:rFonts w:ascii="TimesNewRomanPS-BoldMT" w:hAnsi="TimesNewRomanPS-BoldMT" w:cs="TimesNewRomanPS-BoldMT"/>
          <w:bCs/>
          <w:sz w:val="24"/>
          <w:szCs w:val="24"/>
        </w:rPr>
        <w:t>намерно робу продавао испод њене вредности за готов новац, а затим новцем</w:t>
      </w:r>
      <w:r w:rsidR="00D06E30">
        <w:rPr>
          <w:rFonts w:ascii="TimesNewRomanPS-BoldMT" w:hAnsi="TimesNewRomanPS-BoldMT" w:cs="TimesNewRomanPS-BoldMT"/>
          <w:bCs/>
          <w:sz w:val="24"/>
          <w:szCs w:val="24"/>
          <w:lang w:val="sr-Cyrl-CS"/>
        </w:rPr>
        <w:t xml:space="preserve"> </w:t>
      </w:r>
      <w:r w:rsidRPr="00D06E30">
        <w:rPr>
          <w:rFonts w:ascii="TimesNewRomanPS-BoldMT" w:hAnsi="TimesNewRomanPS-BoldMT" w:cs="TimesNewRomanPS-BoldMT"/>
          <w:bCs/>
          <w:sz w:val="24"/>
          <w:szCs w:val="24"/>
        </w:rPr>
        <w:t>од продаје робе враћао своје приватне дугове, пропуштајући да евидентира</w:t>
      </w:r>
      <w:r w:rsidR="00D06E30">
        <w:rPr>
          <w:rFonts w:ascii="TimesNewRomanPS-BoldMT" w:hAnsi="TimesNewRomanPS-BoldMT" w:cs="TimesNewRomanPS-BoldMT"/>
          <w:bCs/>
          <w:sz w:val="24"/>
          <w:szCs w:val="24"/>
          <w:lang w:val="sr-Cyrl-CS"/>
        </w:rPr>
        <w:t xml:space="preserve"> </w:t>
      </w:r>
      <w:r w:rsidRPr="00D06E30">
        <w:rPr>
          <w:rFonts w:ascii="TimesNewRomanPS-BoldMT" w:hAnsi="TimesNewRomanPS-BoldMT" w:cs="TimesNewRomanPS-BoldMT"/>
          <w:bCs/>
          <w:sz w:val="24"/>
          <w:szCs w:val="24"/>
        </w:rPr>
        <w:t>продају робе у пословној документацији предузећа, а окривљени није ни имао</w:t>
      </w:r>
      <w:r w:rsidR="00D06E30">
        <w:rPr>
          <w:rFonts w:ascii="TimesNewRomanPS-BoldMT" w:hAnsi="TimesNewRomanPS-BoldMT" w:cs="TimesNewRomanPS-BoldMT"/>
          <w:bCs/>
          <w:sz w:val="24"/>
          <w:szCs w:val="24"/>
          <w:lang w:val="sr-Cyrl-CS"/>
        </w:rPr>
        <w:t xml:space="preserve"> </w:t>
      </w:r>
      <w:r w:rsidRPr="00D06E30">
        <w:rPr>
          <w:rFonts w:ascii="TimesNewRomanPS-BoldMT" w:hAnsi="TimesNewRomanPS-BoldMT" w:cs="TimesNewRomanPS-BoldMT"/>
          <w:bCs/>
          <w:sz w:val="24"/>
          <w:szCs w:val="24"/>
        </w:rPr>
        <w:t>намеру да преузету робу плати евентуално кроз компензационе послове</w:t>
      </w:r>
      <w:r w:rsidR="00D06E30">
        <w:rPr>
          <w:rFonts w:ascii="TimesNewRomanPS-BoldMT" w:hAnsi="TimesNewRomanPS-BoldMT" w:cs="TimesNewRomanPS-BoldMT"/>
          <w:bCs/>
          <w:sz w:val="24"/>
          <w:szCs w:val="24"/>
          <w:lang w:val="sr-Cyrl-CS"/>
        </w:rPr>
        <w:t xml:space="preserve"> </w:t>
      </w:r>
      <w:r w:rsidRPr="00D06E30">
        <w:rPr>
          <w:rFonts w:ascii="TimesNewRomanPS-BoldMT" w:hAnsi="TimesNewRomanPS-BoldMT" w:cs="TimesNewRomanPS-BoldMT"/>
          <w:bCs/>
          <w:sz w:val="24"/>
          <w:szCs w:val="24"/>
        </w:rPr>
        <w:t>имајући у виду да та роба није евидентирана кроз пословну документацију, те</w:t>
      </w:r>
      <w:r w:rsidR="00D06E30">
        <w:rPr>
          <w:rFonts w:ascii="TimesNewRomanPS-BoldMT" w:hAnsi="TimesNewRomanPS-BoldMT" w:cs="TimesNewRomanPS-BoldMT"/>
          <w:bCs/>
          <w:sz w:val="24"/>
          <w:szCs w:val="24"/>
          <w:lang w:val="sr-Cyrl-CS"/>
        </w:rPr>
        <w:t xml:space="preserve"> </w:t>
      </w:r>
      <w:r w:rsidRPr="00D06E30">
        <w:rPr>
          <w:rFonts w:ascii="TimesNewRomanPS-BoldMT" w:hAnsi="TimesNewRomanPS-BoldMT" w:cs="TimesNewRomanPS-BoldMT"/>
          <w:bCs/>
          <w:sz w:val="24"/>
          <w:szCs w:val="24"/>
        </w:rPr>
        <w:t>су из тих разлога оцењени као неосновани наводи жалбе оптуженог у том делу,</w:t>
      </w:r>
      <w:r w:rsidR="00D06E30">
        <w:rPr>
          <w:rFonts w:ascii="TimesNewRomanPS-BoldMT" w:hAnsi="TimesNewRomanPS-BoldMT" w:cs="TimesNewRomanPS-BoldMT"/>
          <w:bCs/>
          <w:sz w:val="24"/>
          <w:szCs w:val="24"/>
          <w:lang w:val="sr-Cyrl-CS"/>
        </w:rPr>
        <w:t xml:space="preserve"> </w:t>
      </w:r>
      <w:r w:rsidRPr="00D06E30">
        <w:rPr>
          <w:rFonts w:ascii="TimesNewRomanPS-BoldMT" w:hAnsi="TimesNewRomanPS-BoldMT" w:cs="TimesNewRomanPS-BoldMT"/>
          <w:bCs/>
          <w:sz w:val="24"/>
          <w:szCs w:val="24"/>
        </w:rPr>
        <w:t>те је правилно првостепени суд такве радње окривљеног правно оценио као</w:t>
      </w:r>
      <w:r w:rsidR="00D06E30">
        <w:rPr>
          <w:rFonts w:ascii="TimesNewRomanPS-BoldMT" w:hAnsi="TimesNewRomanPS-BoldMT" w:cs="TimesNewRomanPS-BoldMT"/>
          <w:bCs/>
          <w:sz w:val="24"/>
          <w:szCs w:val="24"/>
          <w:lang w:val="sr-Cyrl-CS"/>
        </w:rPr>
        <w:t xml:space="preserve"> </w:t>
      </w:r>
      <w:r w:rsidRPr="00D06E30">
        <w:rPr>
          <w:rFonts w:ascii="TimesNewRomanPS-BoldMT" w:hAnsi="TimesNewRomanPS-BoldMT" w:cs="TimesNewRomanPS-BoldMT"/>
          <w:bCs/>
          <w:sz w:val="24"/>
          <w:szCs w:val="24"/>
        </w:rPr>
        <w:t>кривично дело злоупотреба службеног положаја из члана 359. став 3. у вези</w:t>
      </w:r>
      <w:r w:rsidR="00D06E30">
        <w:rPr>
          <w:rFonts w:ascii="TimesNewRomanPS-BoldMT" w:hAnsi="TimesNewRomanPS-BoldMT" w:cs="TimesNewRomanPS-BoldMT"/>
          <w:bCs/>
          <w:sz w:val="24"/>
          <w:szCs w:val="24"/>
          <w:lang w:val="sr-Cyrl-CS"/>
        </w:rPr>
        <w:t xml:space="preserve"> </w:t>
      </w:r>
      <w:r w:rsidRPr="00D06E30">
        <w:rPr>
          <w:rFonts w:ascii="TimesNewRomanPS-BoldMT" w:hAnsi="TimesNewRomanPS-BoldMT" w:cs="TimesNewRomanPS-BoldMT"/>
          <w:bCs/>
          <w:sz w:val="24"/>
          <w:szCs w:val="24"/>
        </w:rPr>
        <w:t>става 1. и 4. КЗ.</w:t>
      </w:r>
    </w:p>
    <w:p w:rsidR="00D06E30" w:rsidRDefault="00D06E30" w:rsidP="00125DE5">
      <w:pPr>
        <w:autoSpaceDE w:val="0"/>
        <w:autoSpaceDN w:val="0"/>
        <w:adjustRightInd w:val="0"/>
        <w:spacing w:after="0" w:line="240" w:lineRule="auto"/>
        <w:rPr>
          <w:rFonts w:ascii="TimesNewRomanPS-BoldMT" w:hAnsi="TimesNewRomanPS-BoldMT" w:cs="TimesNewRomanPS-BoldMT"/>
          <w:bCs/>
          <w:sz w:val="24"/>
          <w:szCs w:val="24"/>
          <w:lang w:val="sr-Cyrl-CS"/>
        </w:rPr>
      </w:pPr>
    </w:p>
    <w:p w:rsidR="00D06E30" w:rsidRPr="00D06E30" w:rsidRDefault="00D06E30" w:rsidP="00125DE5">
      <w:pPr>
        <w:autoSpaceDE w:val="0"/>
        <w:autoSpaceDN w:val="0"/>
        <w:adjustRightInd w:val="0"/>
        <w:spacing w:after="0" w:line="240" w:lineRule="auto"/>
        <w:rPr>
          <w:rFonts w:ascii="TimesNewRomanPS-BoldMT" w:hAnsi="TimesNewRomanPS-BoldMT" w:cs="TimesNewRomanPS-BoldMT"/>
          <w:bCs/>
          <w:sz w:val="24"/>
          <w:szCs w:val="24"/>
          <w:lang w:val="sr-Cyrl-CS"/>
        </w:rPr>
      </w:pPr>
    </w:p>
    <w:p w:rsidR="001C22F0" w:rsidRDefault="00125DE5" w:rsidP="00D06E30">
      <w:pPr>
        <w:autoSpaceDE w:val="0"/>
        <w:autoSpaceDN w:val="0"/>
        <w:adjustRightInd w:val="0"/>
        <w:spacing w:after="0" w:line="240" w:lineRule="auto"/>
        <w:jc w:val="both"/>
        <w:rPr>
          <w:rFonts w:ascii="TimesNewRomanPS-ItalicMT" w:hAnsi="TimesNewRomanPS-ItalicMT" w:cs="TimesNewRomanPS-ItalicMT"/>
          <w:b/>
          <w:iCs/>
          <w:sz w:val="24"/>
          <w:szCs w:val="24"/>
          <w:lang w:val="sr-Cyrl-CS"/>
        </w:rPr>
      </w:pPr>
      <w:r w:rsidRPr="00D06E30">
        <w:rPr>
          <w:rFonts w:ascii="TimesNewRomanPSMT" w:hAnsi="TimesNewRomanPSMT" w:cs="TimesNewRomanPSMT"/>
          <w:b/>
          <w:sz w:val="24"/>
          <w:szCs w:val="24"/>
        </w:rPr>
        <w:t>(</w:t>
      </w:r>
      <w:r w:rsidRPr="00D06E30">
        <w:rPr>
          <w:rFonts w:ascii="TimesNewRomanPS-ItalicMT" w:hAnsi="TimesNewRomanPS-ItalicMT" w:cs="TimesNewRomanPS-ItalicMT"/>
          <w:b/>
          <w:iCs/>
          <w:sz w:val="24"/>
          <w:szCs w:val="24"/>
        </w:rPr>
        <w:t>Пресуда Врховног суда Србије Кж.540/07 од 17.10.2007. године и пресуда</w:t>
      </w:r>
      <w:r w:rsidR="00D06E30">
        <w:rPr>
          <w:rFonts w:ascii="TimesNewRomanPS-ItalicMT" w:hAnsi="TimesNewRomanPS-ItalicMT" w:cs="TimesNewRomanPS-ItalicMT"/>
          <w:b/>
          <w:iCs/>
          <w:sz w:val="24"/>
          <w:szCs w:val="24"/>
          <w:lang w:val="sr-Cyrl-CS"/>
        </w:rPr>
        <w:t xml:space="preserve"> </w:t>
      </w:r>
      <w:r w:rsidRPr="00D06E30">
        <w:rPr>
          <w:rFonts w:ascii="TimesNewRomanPS-ItalicMT" w:hAnsi="TimesNewRomanPS-ItalicMT" w:cs="TimesNewRomanPS-ItalicMT"/>
          <w:b/>
          <w:iCs/>
          <w:sz w:val="24"/>
          <w:szCs w:val="24"/>
        </w:rPr>
        <w:t>Окружног суда у Сомбору К.143/06 од 30.01.2007. године).</w:t>
      </w:r>
    </w:p>
    <w:p w:rsidR="00911A0C" w:rsidRPr="00166B45" w:rsidRDefault="00911A0C" w:rsidP="00D06E30">
      <w:pPr>
        <w:autoSpaceDE w:val="0"/>
        <w:autoSpaceDN w:val="0"/>
        <w:adjustRightInd w:val="0"/>
        <w:spacing w:after="0" w:line="240" w:lineRule="auto"/>
        <w:rPr>
          <w:rFonts w:ascii="TimesNewRomanPS-ItalicMT" w:hAnsi="TimesNewRomanPS-ItalicMT" w:cs="TimesNewRomanPS-ItalicMT"/>
          <w:b/>
          <w:iCs/>
          <w:sz w:val="24"/>
          <w:szCs w:val="24"/>
        </w:rPr>
      </w:pPr>
    </w:p>
    <w:p w:rsidR="00D06E30" w:rsidRDefault="00D06E30" w:rsidP="00D06E30">
      <w:pPr>
        <w:autoSpaceDE w:val="0"/>
        <w:autoSpaceDN w:val="0"/>
        <w:adjustRightInd w:val="0"/>
        <w:spacing w:after="0" w:line="240" w:lineRule="auto"/>
        <w:rPr>
          <w:rFonts w:ascii="TimesNewRomanPS-ItalicMT" w:hAnsi="TimesNewRomanPS-ItalicMT" w:cs="TimesNewRomanPS-ItalicMT"/>
          <w:b/>
          <w:iCs/>
          <w:sz w:val="24"/>
          <w:szCs w:val="24"/>
          <w:lang w:val="sr-Cyrl-CS"/>
        </w:rPr>
      </w:pPr>
    </w:p>
    <w:p w:rsidR="00D06E30" w:rsidRDefault="001467DF" w:rsidP="00D06E30">
      <w:pPr>
        <w:autoSpaceDE w:val="0"/>
        <w:autoSpaceDN w:val="0"/>
        <w:adjustRightInd w:val="0"/>
        <w:spacing w:after="0" w:line="240" w:lineRule="auto"/>
        <w:rPr>
          <w:rFonts w:ascii="TimesNewRomanPS-ItalicMT" w:hAnsi="TimesNewRomanPS-ItalicMT" w:cs="TimesNewRomanPS-ItalicMT"/>
          <w:iCs/>
          <w:sz w:val="24"/>
          <w:szCs w:val="24"/>
        </w:rPr>
      </w:pPr>
      <w:r>
        <w:rPr>
          <w:rFonts w:ascii="TimesNewRomanPS-ItalicMT" w:hAnsi="TimesNewRomanPS-ItalicMT" w:cs="TimesNewRomanPS-ItalicMT"/>
          <w:iCs/>
          <w:sz w:val="24"/>
          <w:szCs w:val="24"/>
          <w:lang w:val="sr-Cyrl-CS"/>
        </w:rPr>
        <w:t>27</w:t>
      </w:r>
      <w:r w:rsidR="00D06E30" w:rsidRPr="00D06E30">
        <w:rPr>
          <w:rFonts w:ascii="TimesNewRomanPS-ItalicMT" w:hAnsi="TimesNewRomanPS-ItalicMT" w:cs="TimesNewRomanPS-ItalicMT"/>
          <w:iCs/>
          <w:sz w:val="24"/>
          <w:szCs w:val="24"/>
          <w:lang w:val="sr-Cyrl-CS"/>
        </w:rPr>
        <w:t>)</w:t>
      </w:r>
    </w:p>
    <w:p w:rsidR="00166B45" w:rsidRDefault="00166B45" w:rsidP="00D06E30">
      <w:pPr>
        <w:autoSpaceDE w:val="0"/>
        <w:autoSpaceDN w:val="0"/>
        <w:adjustRightInd w:val="0"/>
        <w:spacing w:after="0" w:line="240" w:lineRule="auto"/>
        <w:rPr>
          <w:rFonts w:ascii="TimesNewRomanPS-ItalicMT" w:hAnsi="TimesNewRomanPS-ItalicMT" w:cs="TimesNewRomanPS-ItalicMT"/>
          <w:iCs/>
          <w:sz w:val="24"/>
          <w:szCs w:val="24"/>
        </w:rPr>
      </w:pPr>
    </w:p>
    <w:p w:rsidR="00166B45" w:rsidRPr="00166B45" w:rsidRDefault="00166B45" w:rsidP="00D06E30">
      <w:pPr>
        <w:autoSpaceDE w:val="0"/>
        <w:autoSpaceDN w:val="0"/>
        <w:adjustRightInd w:val="0"/>
        <w:spacing w:after="0" w:line="240" w:lineRule="auto"/>
        <w:rPr>
          <w:rFonts w:ascii="TimesNewRomanPS-ItalicMT" w:hAnsi="TimesNewRomanPS-ItalicMT" w:cs="TimesNewRomanPS-ItalicMT"/>
          <w:iCs/>
          <w:sz w:val="24"/>
          <w:szCs w:val="24"/>
        </w:rPr>
      </w:pPr>
    </w:p>
    <w:p w:rsidR="00125DE5" w:rsidRPr="00D06E30" w:rsidRDefault="00125DE5" w:rsidP="00125DE5">
      <w:pPr>
        <w:autoSpaceDE w:val="0"/>
        <w:autoSpaceDN w:val="0"/>
        <w:adjustRightInd w:val="0"/>
        <w:spacing w:after="0" w:line="240" w:lineRule="auto"/>
        <w:rPr>
          <w:rFonts w:ascii="TimesNewRomanPS-BoldMT" w:hAnsi="TimesNewRomanPS-BoldMT" w:cs="TimesNewRomanPS-BoldMT"/>
          <w:bCs/>
          <w:sz w:val="24"/>
          <w:szCs w:val="24"/>
          <w:lang w:val="sr-Cyrl-CS"/>
        </w:rPr>
      </w:pPr>
      <w:r w:rsidRPr="00D06E30">
        <w:rPr>
          <w:rFonts w:ascii="TimesNewRomanPS-BoldMT" w:hAnsi="TimesNewRomanPS-BoldMT" w:cs="TimesNewRomanPS-BoldMT"/>
          <w:bCs/>
          <w:sz w:val="24"/>
          <w:szCs w:val="24"/>
        </w:rPr>
        <w:t>Кривично дело примање мита (чл. 254. ст. 1. КЗ РС)</w:t>
      </w:r>
    </w:p>
    <w:p w:rsidR="00D06E30" w:rsidRPr="00D06E30" w:rsidRDefault="00D06E30" w:rsidP="00125DE5">
      <w:pPr>
        <w:autoSpaceDE w:val="0"/>
        <w:autoSpaceDN w:val="0"/>
        <w:adjustRightInd w:val="0"/>
        <w:spacing w:after="0" w:line="240" w:lineRule="auto"/>
        <w:rPr>
          <w:rFonts w:ascii="TimesNewRomanPS-BoldMT" w:hAnsi="TimesNewRomanPS-BoldMT" w:cs="TimesNewRomanPS-BoldMT"/>
          <w:bCs/>
          <w:sz w:val="24"/>
          <w:szCs w:val="24"/>
          <w:lang w:val="sr-Cyrl-CS"/>
        </w:rPr>
      </w:pPr>
    </w:p>
    <w:p w:rsidR="00D06E30" w:rsidRPr="00D06E30" w:rsidRDefault="00D06E30" w:rsidP="00D06E30">
      <w:pPr>
        <w:autoSpaceDE w:val="0"/>
        <w:autoSpaceDN w:val="0"/>
        <w:adjustRightInd w:val="0"/>
        <w:spacing w:after="0" w:line="240" w:lineRule="auto"/>
        <w:jc w:val="both"/>
        <w:rPr>
          <w:rFonts w:ascii="TimesNewRomanPS-BoldMT" w:hAnsi="TimesNewRomanPS-BoldMT" w:cs="TimesNewRomanPS-BoldMT"/>
          <w:bCs/>
          <w:sz w:val="24"/>
          <w:szCs w:val="24"/>
          <w:lang w:val="sr-Cyrl-CS"/>
        </w:rPr>
      </w:pPr>
    </w:p>
    <w:p w:rsidR="00125DE5" w:rsidRPr="00D06E30" w:rsidRDefault="00125DE5" w:rsidP="00D06E30">
      <w:pPr>
        <w:autoSpaceDE w:val="0"/>
        <w:autoSpaceDN w:val="0"/>
        <w:adjustRightInd w:val="0"/>
        <w:spacing w:after="0" w:line="240" w:lineRule="auto"/>
        <w:jc w:val="both"/>
        <w:rPr>
          <w:rFonts w:ascii="TimesNewRomanPS-BoldMT" w:hAnsi="TimesNewRomanPS-BoldMT" w:cs="TimesNewRomanPS-BoldMT"/>
          <w:bCs/>
          <w:sz w:val="24"/>
          <w:szCs w:val="24"/>
        </w:rPr>
      </w:pPr>
      <w:r w:rsidRPr="00D06E30">
        <w:rPr>
          <w:rFonts w:ascii="TimesNewRomanPS-BoldMT" w:hAnsi="TimesNewRomanPS-BoldMT" w:cs="TimesNewRomanPS-BoldMT"/>
          <w:bCs/>
          <w:sz w:val="24"/>
          <w:szCs w:val="24"/>
        </w:rPr>
        <w:t>Првостепена пресуда не садржи повреду материјалног права пошто је</w:t>
      </w:r>
      <w:r w:rsidR="00D06E30">
        <w:rPr>
          <w:rFonts w:ascii="TimesNewRomanPS-BoldMT" w:hAnsi="TimesNewRomanPS-BoldMT" w:cs="TimesNewRomanPS-BoldMT"/>
          <w:bCs/>
          <w:sz w:val="24"/>
          <w:szCs w:val="24"/>
          <w:lang w:val="sr-Cyrl-CS"/>
        </w:rPr>
        <w:t xml:space="preserve"> </w:t>
      </w:r>
      <w:r w:rsidRPr="00D06E30">
        <w:rPr>
          <w:rFonts w:ascii="TimesNewRomanPS-BoldMT" w:hAnsi="TimesNewRomanPS-BoldMT" w:cs="TimesNewRomanPS-BoldMT"/>
          <w:bCs/>
          <w:sz w:val="24"/>
          <w:szCs w:val="24"/>
        </w:rPr>
        <w:t>оцењено као неосновано указивање у жалби, да оптужени иако је захтевао и</w:t>
      </w:r>
      <w:r w:rsidR="00D06E30">
        <w:rPr>
          <w:rFonts w:ascii="TimesNewRomanPS-BoldMT" w:hAnsi="TimesNewRomanPS-BoldMT" w:cs="TimesNewRomanPS-BoldMT"/>
          <w:bCs/>
          <w:sz w:val="24"/>
          <w:szCs w:val="24"/>
          <w:lang w:val="sr-Cyrl-CS"/>
        </w:rPr>
        <w:t xml:space="preserve"> </w:t>
      </w:r>
      <w:r w:rsidRPr="00D06E30">
        <w:rPr>
          <w:rFonts w:ascii="TimesNewRomanPS-BoldMT" w:hAnsi="TimesNewRomanPS-BoldMT" w:cs="TimesNewRomanPS-BoldMT"/>
          <w:bCs/>
          <w:sz w:val="24"/>
          <w:szCs w:val="24"/>
        </w:rPr>
        <w:t>примио поклон од оштећеног да у оквиру свог службеног положаја, истражног</w:t>
      </w:r>
      <w:r w:rsidR="00D06E30">
        <w:rPr>
          <w:rFonts w:ascii="TimesNewRomanPS-BoldMT" w:hAnsi="TimesNewRomanPS-BoldMT" w:cs="TimesNewRomanPS-BoldMT"/>
          <w:bCs/>
          <w:sz w:val="24"/>
          <w:szCs w:val="24"/>
          <w:lang w:val="sr-Cyrl-CS"/>
        </w:rPr>
        <w:t xml:space="preserve"> </w:t>
      </w:r>
      <w:r w:rsidRPr="00D06E30">
        <w:rPr>
          <w:rFonts w:ascii="TimesNewRomanPS-BoldMT" w:hAnsi="TimesNewRomanPS-BoldMT" w:cs="TimesNewRomanPS-BoldMT"/>
          <w:bCs/>
          <w:sz w:val="24"/>
          <w:szCs w:val="24"/>
        </w:rPr>
        <w:t>судије не изврши службене радње које би морао извршити, а које</w:t>
      </w:r>
      <w:r w:rsidR="00D06E30">
        <w:rPr>
          <w:rFonts w:ascii="TimesNewRomanPS-BoldMT" w:hAnsi="TimesNewRomanPS-BoldMT" w:cs="TimesNewRomanPS-BoldMT"/>
          <w:bCs/>
          <w:sz w:val="24"/>
          <w:szCs w:val="24"/>
          <w:lang w:val="sr-Cyrl-CS"/>
        </w:rPr>
        <w:t xml:space="preserve"> </w:t>
      </w:r>
      <w:r w:rsidRPr="00D06E30">
        <w:rPr>
          <w:rFonts w:ascii="TimesNewRomanPS-BoldMT" w:hAnsi="TimesNewRomanPS-BoldMT" w:cs="TimesNewRomanPS-BoldMT"/>
          <w:bCs/>
          <w:sz w:val="24"/>
          <w:szCs w:val="24"/>
        </w:rPr>
        <w:t>подразумевају правилност, законитост и професионалност, непристрасност и</w:t>
      </w:r>
      <w:r w:rsidR="00D06E30">
        <w:rPr>
          <w:rFonts w:ascii="TimesNewRomanPS-BoldMT" w:hAnsi="TimesNewRomanPS-BoldMT" w:cs="TimesNewRomanPS-BoldMT"/>
          <w:bCs/>
          <w:sz w:val="24"/>
          <w:szCs w:val="24"/>
          <w:lang w:val="sr-Cyrl-CS"/>
        </w:rPr>
        <w:t xml:space="preserve"> </w:t>
      </w:r>
      <w:r w:rsidRPr="00D06E30">
        <w:rPr>
          <w:rFonts w:ascii="TimesNewRomanPS-BoldMT" w:hAnsi="TimesNewRomanPS-BoldMT" w:cs="TimesNewRomanPS-BoldMT"/>
          <w:bCs/>
          <w:sz w:val="24"/>
          <w:szCs w:val="24"/>
        </w:rPr>
        <w:t>неутралност у поступању, ипак и поред тога није имао намеру да</w:t>
      </w:r>
      <w:r w:rsidR="00D06E30">
        <w:rPr>
          <w:rFonts w:ascii="TimesNewRomanPS-BoldMT" w:hAnsi="TimesNewRomanPS-BoldMT" w:cs="TimesNewRomanPS-BoldMT"/>
          <w:bCs/>
          <w:sz w:val="24"/>
          <w:szCs w:val="24"/>
          <w:lang w:val="sr-Cyrl-CS"/>
        </w:rPr>
        <w:t xml:space="preserve"> </w:t>
      </w:r>
      <w:r w:rsidRPr="00D06E30">
        <w:rPr>
          <w:rFonts w:ascii="TimesNewRomanPS-BoldMT" w:hAnsi="TimesNewRomanPS-BoldMT" w:cs="TimesNewRomanPS-BoldMT"/>
          <w:bCs/>
          <w:sz w:val="24"/>
          <w:szCs w:val="24"/>
        </w:rPr>
        <w:t>непрофесионално, нестручно и незаконито уради радње за које је службено</w:t>
      </w:r>
      <w:r w:rsidR="00D06E30">
        <w:rPr>
          <w:rFonts w:ascii="TimesNewRomanPS-BoldMT" w:hAnsi="TimesNewRomanPS-BoldMT" w:cs="TimesNewRomanPS-BoldMT"/>
          <w:bCs/>
          <w:sz w:val="24"/>
          <w:szCs w:val="24"/>
          <w:lang w:val="sr-Cyrl-CS"/>
        </w:rPr>
        <w:t xml:space="preserve"> </w:t>
      </w:r>
      <w:r w:rsidRPr="00D06E30">
        <w:rPr>
          <w:rFonts w:ascii="TimesNewRomanPS-BoldMT" w:hAnsi="TimesNewRomanPS-BoldMT" w:cs="TimesNewRomanPS-BoldMT"/>
          <w:bCs/>
          <w:sz w:val="24"/>
          <w:szCs w:val="24"/>
        </w:rPr>
        <w:t>овлашћен, од стране другостепеног суда, оцењено је као неосновано, јер</w:t>
      </w:r>
      <w:r w:rsidR="00D06E30">
        <w:rPr>
          <w:rFonts w:ascii="TimesNewRomanPS-BoldMT" w:hAnsi="TimesNewRomanPS-BoldMT" w:cs="TimesNewRomanPS-BoldMT"/>
          <w:bCs/>
          <w:sz w:val="24"/>
          <w:szCs w:val="24"/>
          <w:lang w:val="sr-Cyrl-CS"/>
        </w:rPr>
        <w:t xml:space="preserve"> </w:t>
      </w:r>
      <w:r w:rsidRPr="00D06E30">
        <w:rPr>
          <w:rFonts w:ascii="TimesNewRomanPS-BoldMT" w:hAnsi="TimesNewRomanPS-BoldMT" w:cs="TimesNewRomanPS-BoldMT"/>
          <w:bCs/>
          <w:sz w:val="24"/>
          <w:szCs w:val="24"/>
        </w:rPr>
        <w:t>намера оптуженог произилази из самих његових предузетих радњи које се</w:t>
      </w:r>
      <w:r w:rsidR="00D06E30">
        <w:rPr>
          <w:rFonts w:ascii="TimesNewRomanPS-BoldMT" w:hAnsi="TimesNewRomanPS-BoldMT" w:cs="TimesNewRomanPS-BoldMT"/>
          <w:bCs/>
          <w:sz w:val="24"/>
          <w:szCs w:val="24"/>
          <w:lang w:val="sr-Cyrl-CS"/>
        </w:rPr>
        <w:t xml:space="preserve"> </w:t>
      </w:r>
      <w:r w:rsidRPr="00D06E30">
        <w:rPr>
          <w:rFonts w:ascii="TimesNewRomanPS-BoldMT" w:hAnsi="TimesNewRomanPS-BoldMT" w:cs="TimesNewRomanPS-BoldMT"/>
          <w:bCs/>
          <w:sz w:val="24"/>
          <w:szCs w:val="24"/>
        </w:rPr>
        <w:t>састоје у захтевању и примању поклона од оштећеног а у циљу да спроведе</w:t>
      </w:r>
      <w:r w:rsidR="00D06E30">
        <w:rPr>
          <w:rFonts w:ascii="TimesNewRomanPS-BoldMT" w:hAnsi="TimesNewRomanPS-BoldMT" w:cs="TimesNewRomanPS-BoldMT"/>
          <w:bCs/>
          <w:sz w:val="24"/>
          <w:szCs w:val="24"/>
          <w:lang w:val="sr-Cyrl-CS"/>
        </w:rPr>
        <w:t xml:space="preserve"> </w:t>
      </w:r>
      <w:r w:rsidRPr="00D06E30">
        <w:rPr>
          <w:rFonts w:ascii="TimesNewRomanPS-BoldMT" w:hAnsi="TimesNewRomanPS-BoldMT" w:cs="TimesNewRomanPS-BoldMT"/>
          <w:bCs/>
          <w:sz w:val="24"/>
          <w:szCs w:val="24"/>
        </w:rPr>
        <w:t>истрагу у корист оштећеног и то тако да надлежни тужилац одустане од</w:t>
      </w:r>
      <w:r w:rsidRPr="00D06E30">
        <w:rPr>
          <w:rFonts w:ascii="TimesNewRomanPS-BoldMT" w:hAnsi="TimesNewRomanPS-BoldMT" w:cs="TimesNewRomanPS-BoldMT"/>
          <w:bCs/>
          <w:sz w:val="24"/>
          <w:szCs w:val="24"/>
          <w:lang w:val="sr-Cyrl-CS"/>
        </w:rPr>
        <w:t xml:space="preserve"> </w:t>
      </w:r>
      <w:r w:rsidR="00D06E30">
        <w:rPr>
          <w:rFonts w:ascii="TimesNewRomanPS-BoldMT" w:hAnsi="TimesNewRomanPS-BoldMT" w:cs="TimesNewRomanPS-BoldMT"/>
          <w:bCs/>
          <w:sz w:val="24"/>
          <w:szCs w:val="24"/>
        </w:rPr>
        <w:t>кривичног гоњења након</w:t>
      </w:r>
      <w:r w:rsidR="00D06E30">
        <w:rPr>
          <w:rFonts w:ascii="TimesNewRomanPS-BoldMT" w:hAnsi="TimesNewRomanPS-BoldMT" w:cs="TimesNewRomanPS-BoldMT"/>
          <w:bCs/>
          <w:sz w:val="24"/>
          <w:szCs w:val="24"/>
          <w:lang w:val="sr-Cyrl-CS"/>
        </w:rPr>
        <w:t xml:space="preserve"> </w:t>
      </w:r>
      <w:r w:rsidRPr="00D06E30">
        <w:rPr>
          <w:rFonts w:ascii="TimesNewRomanPS-BoldMT" w:hAnsi="TimesNewRomanPS-BoldMT" w:cs="TimesNewRomanPS-BoldMT"/>
          <w:bCs/>
          <w:sz w:val="24"/>
          <w:szCs w:val="24"/>
        </w:rPr>
        <w:t>истраге односно у циљу да изврши потребан утицај</w:t>
      </w:r>
      <w:r w:rsidR="00D06E30">
        <w:rPr>
          <w:rFonts w:ascii="TimesNewRomanPS-BoldMT" w:hAnsi="TimesNewRomanPS-BoldMT" w:cs="TimesNewRomanPS-BoldMT"/>
          <w:bCs/>
          <w:sz w:val="24"/>
          <w:szCs w:val="24"/>
          <w:lang w:val="sr-Cyrl-CS"/>
        </w:rPr>
        <w:t xml:space="preserve"> </w:t>
      </w:r>
      <w:r w:rsidRPr="00D06E30">
        <w:rPr>
          <w:rFonts w:ascii="TimesNewRomanPS-BoldMT" w:hAnsi="TimesNewRomanPS-BoldMT" w:cs="TimesNewRomanPS-BoldMT"/>
          <w:bCs/>
          <w:sz w:val="24"/>
          <w:szCs w:val="24"/>
        </w:rPr>
        <w:t>и на судију који буде задужен тим предметом као председник првостепеног</w:t>
      </w:r>
      <w:r w:rsidR="00D06E30">
        <w:rPr>
          <w:rFonts w:ascii="TimesNewRomanPS-BoldMT" w:hAnsi="TimesNewRomanPS-BoldMT" w:cs="TimesNewRomanPS-BoldMT"/>
          <w:bCs/>
          <w:sz w:val="24"/>
          <w:szCs w:val="24"/>
          <w:lang w:val="sr-Cyrl-CS"/>
        </w:rPr>
        <w:t xml:space="preserve"> </w:t>
      </w:r>
      <w:r w:rsidRPr="00D06E30">
        <w:rPr>
          <w:rFonts w:ascii="TimesNewRomanPS-BoldMT" w:hAnsi="TimesNewRomanPS-BoldMT" w:cs="TimesNewRomanPS-BoldMT"/>
          <w:bCs/>
          <w:sz w:val="24"/>
          <w:szCs w:val="24"/>
        </w:rPr>
        <w:t>већа.</w:t>
      </w:r>
    </w:p>
    <w:p w:rsidR="00D06E30" w:rsidRDefault="00D06E30" w:rsidP="00125DE5">
      <w:pPr>
        <w:autoSpaceDE w:val="0"/>
        <w:autoSpaceDN w:val="0"/>
        <w:adjustRightInd w:val="0"/>
        <w:spacing w:after="0" w:line="240" w:lineRule="auto"/>
        <w:rPr>
          <w:rFonts w:ascii="TimesNewRomanPS-BoldMT" w:hAnsi="TimesNewRomanPS-BoldMT" w:cs="TimesNewRomanPS-BoldMT"/>
          <w:bCs/>
          <w:sz w:val="24"/>
          <w:szCs w:val="24"/>
          <w:lang w:val="sr-Cyrl-CS"/>
        </w:rPr>
      </w:pPr>
    </w:p>
    <w:p w:rsidR="00D06E30" w:rsidRPr="00D06E30" w:rsidRDefault="00D06E30" w:rsidP="00125DE5">
      <w:pPr>
        <w:autoSpaceDE w:val="0"/>
        <w:autoSpaceDN w:val="0"/>
        <w:adjustRightInd w:val="0"/>
        <w:spacing w:after="0" w:line="240" w:lineRule="auto"/>
        <w:rPr>
          <w:rFonts w:ascii="TimesNewRomanPS-BoldMT" w:hAnsi="TimesNewRomanPS-BoldMT" w:cs="TimesNewRomanPS-BoldMT"/>
          <w:bCs/>
          <w:sz w:val="24"/>
          <w:szCs w:val="24"/>
          <w:lang w:val="sr-Cyrl-CS"/>
        </w:rPr>
      </w:pPr>
    </w:p>
    <w:p w:rsidR="00EC6A17" w:rsidRPr="00B5585F" w:rsidRDefault="00125DE5" w:rsidP="00B5585F">
      <w:pPr>
        <w:autoSpaceDE w:val="0"/>
        <w:autoSpaceDN w:val="0"/>
        <w:adjustRightInd w:val="0"/>
        <w:spacing w:after="0" w:line="240" w:lineRule="auto"/>
        <w:jc w:val="both"/>
        <w:rPr>
          <w:rFonts w:ascii="TimesNewRomanPS-ItalicMT" w:hAnsi="TimesNewRomanPS-ItalicMT" w:cs="TimesNewRomanPS-ItalicMT"/>
          <w:b/>
          <w:iCs/>
          <w:sz w:val="24"/>
          <w:szCs w:val="24"/>
          <w:lang w:val="sr-Cyrl-CS"/>
        </w:rPr>
      </w:pPr>
      <w:r w:rsidRPr="00D06E30">
        <w:rPr>
          <w:rFonts w:ascii="TimesNewRomanPS-ItalicMT" w:hAnsi="TimesNewRomanPS-ItalicMT" w:cs="TimesNewRomanPS-ItalicMT"/>
          <w:b/>
          <w:iCs/>
          <w:sz w:val="24"/>
          <w:szCs w:val="24"/>
        </w:rPr>
        <w:t>(Пресуда Врховног суда Србије Кж бр. 336/07 од 09.09.2008. године и</w:t>
      </w:r>
      <w:r w:rsidR="00D06E30">
        <w:rPr>
          <w:rFonts w:ascii="TimesNewRomanPS-ItalicMT" w:hAnsi="TimesNewRomanPS-ItalicMT" w:cs="TimesNewRomanPS-ItalicMT"/>
          <w:b/>
          <w:iCs/>
          <w:sz w:val="24"/>
          <w:szCs w:val="24"/>
          <w:lang w:val="sr-Cyrl-CS"/>
        </w:rPr>
        <w:t xml:space="preserve"> </w:t>
      </w:r>
      <w:r w:rsidRPr="00D06E30">
        <w:rPr>
          <w:rFonts w:ascii="TimesNewRomanPS-ItalicMT" w:hAnsi="TimesNewRomanPS-ItalicMT" w:cs="TimesNewRomanPS-ItalicMT"/>
          <w:b/>
          <w:iCs/>
          <w:sz w:val="24"/>
          <w:szCs w:val="24"/>
        </w:rPr>
        <w:t>пресуда Окружног суда у Новом Саду К бр. 438/06 од 14.11.2006. године)</w:t>
      </w:r>
    </w:p>
    <w:p w:rsidR="00BA0ACD" w:rsidRDefault="00BA0ACD" w:rsidP="00BA0ACD">
      <w:pPr>
        <w:ind w:left="630"/>
        <w:jc w:val="both"/>
        <w:rPr>
          <w:rFonts w:ascii="Times New Roman" w:hAnsi="Times New Roman"/>
          <w:b/>
          <w:sz w:val="24"/>
          <w:szCs w:val="24"/>
          <w:lang w:val="sr-Cyrl-CS"/>
        </w:rPr>
      </w:pPr>
      <w:r>
        <w:rPr>
          <w:rFonts w:ascii="Times New Roman" w:hAnsi="Times New Roman"/>
          <w:b/>
          <w:sz w:val="24"/>
          <w:szCs w:val="24"/>
          <w:lang w:val="sr-Cyrl-CS"/>
        </w:rPr>
        <w:lastRenderedPageBreak/>
        <w:t>З</w:t>
      </w:r>
      <w:r>
        <w:rPr>
          <w:rFonts w:ascii="Times New Roman" w:hAnsi="Times New Roman"/>
          <w:b/>
          <w:sz w:val="24"/>
          <w:szCs w:val="24"/>
        </w:rPr>
        <w:t>АКЉУЧ</w:t>
      </w:r>
      <w:r>
        <w:rPr>
          <w:rFonts w:ascii="Times New Roman" w:hAnsi="Times New Roman"/>
          <w:b/>
          <w:sz w:val="24"/>
          <w:szCs w:val="24"/>
          <w:lang w:val="sr-Cyrl-CS"/>
        </w:rPr>
        <w:t>НА РАЗМАТРАЊА</w:t>
      </w:r>
    </w:p>
    <w:p w:rsidR="00BA0ACD" w:rsidRDefault="00BA0ACD" w:rsidP="00BA0ACD">
      <w:pPr>
        <w:ind w:left="630"/>
        <w:jc w:val="both"/>
        <w:rPr>
          <w:rFonts w:ascii="Times New Roman" w:hAnsi="Times New Roman"/>
          <w:b/>
          <w:sz w:val="24"/>
          <w:szCs w:val="24"/>
          <w:lang w:val="sr-Cyrl-CS"/>
        </w:rPr>
      </w:pPr>
    </w:p>
    <w:p w:rsidR="00BA0ACD" w:rsidRDefault="00BA0ACD" w:rsidP="00BA0ACD">
      <w:pPr>
        <w:ind w:firstLine="630"/>
        <w:jc w:val="both"/>
        <w:rPr>
          <w:rFonts w:ascii="Times New Roman" w:hAnsi="Times New Roman"/>
          <w:sz w:val="24"/>
          <w:szCs w:val="24"/>
          <w:lang w:val="sr-Cyrl-CS"/>
        </w:rPr>
      </w:pPr>
      <w:r>
        <w:rPr>
          <w:rFonts w:ascii="Times New Roman" w:hAnsi="Times New Roman"/>
          <w:sz w:val="24"/>
          <w:szCs w:val="24"/>
          <w:lang w:val="sr-Cyrl-CS"/>
        </w:rPr>
        <w:t xml:space="preserve">Избегавање плаћање пореза, као и корупција и привредни криминал у пореској области, су веома раширене појаве у целом свету и ван сваке сумње је да се ради  о веома сложеним, вишедимензионалним и штетним друштвеним појавама. Истраживање ових појава има велики научни и друштвени значај, посебно због опасности и последица које изазивају на индивидуалном и друштвеном плану. Ове појаве су одавно прешле националне оквире и јављају се у различитим савременим видовима међународног испољавања и организовања. Носиоци ових активности су са различитим статусом и позицијама у друштвеној хијерархији. Зато је пут до ефикасне стратегије сузбијања ових појава изузетно сложен. </w:t>
      </w:r>
    </w:p>
    <w:p w:rsidR="00BA0ACD" w:rsidRDefault="00BA0ACD" w:rsidP="00BA0ACD">
      <w:pPr>
        <w:ind w:firstLine="630"/>
        <w:jc w:val="both"/>
        <w:rPr>
          <w:rFonts w:ascii="Times New Roman" w:hAnsi="Times New Roman"/>
          <w:sz w:val="24"/>
          <w:szCs w:val="24"/>
          <w:lang w:val="sr-Cyrl-CS"/>
        </w:rPr>
      </w:pPr>
      <w:r>
        <w:rPr>
          <w:rFonts w:ascii="Times New Roman" w:hAnsi="Times New Roman"/>
          <w:sz w:val="24"/>
          <w:szCs w:val="24"/>
          <w:lang w:val="sr-Cyrl-CS"/>
        </w:rPr>
        <w:t xml:space="preserve">Питање избегавања плаћања пореза је у овом раду сагледано у склопу пореског система Србије у контексту бројних промена и реформи које се одвијају на нашим просторима, што је и било полазиште нашег истраживања. Феномен пореске евазије у Србији је повезан са специфичностима самог политичког, економског и културног система, као и са променама у систему вредности и социјалној структури, а посебно са условима транзиције и недовољно сређеним односима у привреди. Криза у вредносно-нормативном систему поспешила је разне злоупотребе у привреди, а  посебно су ове промене погодовале стварању блиских веза између руководећих позиција у привреди и центара политичке моћи, што је резултирало, уз помоћ корупције, заузимањем повољнијих позиција на тржишту и стицањем огромног личног богатства њихових носилаца. Борба против ових негативних феномена једино може бити ефикасна уколико се сагледа њихово место у друштвено-економском и политичком систему и уколико сви надлежни органи делују организовано имајући у виду да се ради о појавама које имају своје корене управо у том систему. </w:t>
      </w:r>
    </w:p>
    <w:p w:rsidR="00BA0ACD" w:rsidRDefault="00BA0ACD" w:rsidP="00BA0ACD">
      <w:pPr>
        <w:ind w:firstLine="630"/>
        <w:jc w:val="both"/>
        <w:rPr>
          <w:rFonts w:ascii="Times New Roman" w:hAnsi="Times New Roman"/>
          <w:sz w:val="24"/>
          <w:szCs w:val="24"/>
          <w:lang w:val="sr-Cyrl-CS"/>
        </w:rPr>
      </w:pPr>
      <w:r>
        <w:rPr>
          <w:rFonts w:ascii="Times New Roman" w:hAnsi="Times New Roman"/>
          <w:sz w:val="24"/>
          <w:szCs w:val="24"/>
          <w:lang w:val="sr-Cyrl-CS"/>
        </w:rPr>
        <w:t xml:space="preserve">Сложеност овог проблема је у овом раду сагледана кроз бројне појавне облике пореске евазије у контексту привредног криминала и корупције, а посебно је наглашена њихова прилагодљивост постојећим друштвеним условима, као и појава нових облика ових друштвено штетних појава, чему глобализација нарочито погодује. </w:t>
      </w:r>
    </w:p>
    <w:p w:rsidR="00BA0ACD" w:rsidRDefault="00BA0ACD" w:rsidP="00BA0ACD">
      <w:pPr>
        <w:ind w:firstLine="709"/>
        <w:jc w:val="both"/>
        <w:rPr>
          <w:rFonts w:ascii="Times New Roman" w:hAnsi="Times New Roman"/>
          <w:sz w:val="24"/>
          <w:szCs w:val="24"/>
          <w:lang w:val="sr-Cyrl-CS"/>
        </w:rPr>
      </w:pPr>
      <w:r>
        <w:rPr>
          <w:rFonts w:ascii="Times New Roman" w:hAnsi="Times New Roman"/>
          <w:sz w:val="24"/>
          <w:szCs w:val="24"/>
          <w:lang w:val="sr-Cyrl-CS"/>
        </w:rPr>
        <w:t>Сузбијање ових негативних појава до границе прихватљивости је услов без кога се држава не може легитимисати као држава владавине права. Политичке промене из 2000. године пробудиле су велика очекивања у погледу борбе против ових негативних појава, посебно имајући у виду да им је претходило дуготрајно незадовољство системом у коме је корупција била начин функционисања у многим сегментима друштва, а црно финансијско тржиште је било доминантно. Међутим, досадашња борба против ових негативних појава углавном се бавила унапређењем законског и институционалног облика. Често су предлагани закони који подразумевају оснивање нових иснтитуција. Након ових демократских промена у Србији и формирања владе у јануару 2001.</w:t>
      </w:r>
      <w:r w:rsidR="006161CB">
        <w:rPr>
          <w:rFonts w:ascii="Times New Roman" w:hAnsi="Times New Roman"/>
          <w:sz w:val="24"/>
          <w:szCs w:val="24"/>
          <w:lang w:val="sr-Cyrl-CS"/>
        </w:rPr>
        <w:t xml:space="preserve"> </w:t>
      </w:r>
      <w:r>
        <w:rPr>
          <w:rFonts w:ascii="Times New Roman" w:hAnsi="Times New Roman"/>
          <w:sz w:val="24"/>
          <w:szCs w:val="24"/>
          <w:lang w:val="sr-Cyrl-CS"/>
        </w:rPr>
        <w:t xml:space="preserve">године, донесено је неколико стотина закона којима су регулисане до тада нерегулисане области. Мењањем законских оквира и јачањем репресивних органа </w:t>
      </w:r>
      <w:r>
        <w:rPr>
          <w:rFonts w:ascii="Times New Roman" w:hAnsi="Times New Roman"/>
          <w:sz w:val="24"/>
          <w:szCs w:val="24"/>
          <w:lang w:val="sr-Cyrl-CS"/>
        </w:rPr>
        <w:lastRenderedPageBreak/>
        <w:t>у ситуацији занемаривања превентивног деловања и недостатка адекватних надзорних механизама и одговорности не може се очекивати битан напредак у решењу проблема. Напредак је остварен, али борба против ових негативних појава није дала довољне резултате и реформа пореског система тек предстоји.</w:t>
      </w:r>
    </w:p>
    <w:p w:rsidR="00BA0ACD" w:rsidRDefault="00BA0ACD" w:rsidP="00BA0ACD">
      <w:pPr>
        <w:ind w:firstLine="630"/>
        <w:jc w:val="both"/>
        <w:rPr>
          <w:rFonts w:ascii="Times New Roman" w:hAnsi="Times New Roman"/>
          <w:sz w:val="24"/>
          <w:szCs w:val="24"/>
          <w:lang w:val="sr-Cyrl-CS"/>
        </w:rPr>
      </w:pPr>
      <w:r>
        <w:rPr>
          <w:rFonts w:ascii="Times New Roman" w:hAnsi="Times New Roman"/>
          <w:sz w:val="24"/>
          <w:szCs w:val="24"/>
          <w:lang w:val="sr-Cyrl-CS"/>
        </w:rPr>
        <w:t xml:space="preserve">Борбу против ових негативних појава отежава то што се морају разјашњавати и доказивати везе и спреге међу њима, односно између привредног криминала и органа власти, државних и других политичких, привредних и финансијских органа. Најчешћи начин успостављања тих веза је подмићивање, мада су присутни и бројни други начини корумпирања, о којима је у овом раду било речи. Због тога је било битно  указати на повезаност ових појава и разјаснити начин и области успостављања ових веза, какву корист имају обе стране и који све уступци, односно злоупотребе се врше. Пошто се ради о појавама које имају корене у недостатку система потребно је организовано деловање свих надлежних органа јер се на тај начин сужава простор за постојање ових негативних појава, лакше се уочавају њихови почетни облици и њихови носиоци. Са становишта друштва, требало би, дакле, да сви друштвени чиниоци, знатно више него до сада, систематски и организовано предузимају све потребне мере на праћењу стања у овој области и проблема у откривању и отклањању узрока који погодују пореској евазији и спрези са разним облицима привредног криминала и корупције. </w:t>
      </w:r>
    </w:p>
    <w:p w:rsidR="00BA0ACD" w:rsidRDefault="00BA0ACD" w:rsidP="00BA0ACD">
      <w:pPr>
        <w:ind w:firstLine="630"/>
        <w:jc w:val="both"/>
        <w:rPr>
          <w:rFonts w:ascii="Times New Roman" w:hAnsi="Times New Roman"/>
          <w:sz w:val="24"/>
          <w:szCs w:val="24"/>
          <w:lang w:val="sr-Cyrl-CS"/>
        </w:rPr>
      </w:pPr>
      <w:r>
        <w:rPr>
          <w:rFonts w:ascii="Times New Roman" w:hAnsi="Times New Roman"/>
          <w:sz w:val="24"/>
          <w:szCs w:val="24"/>
          <w:lang w:val="sr-Cyrl-CS"/>
        </w:rPr>
        <w:t xml:space="preserve">Према томе, избегавање плаћања пореза, као и привредни криминал и корупција и њихова спрега су редовно проблеми недостатака у систему, пре свега надзорних механизама и одговорности, чиме је потврђена полазна хипотеза у овом истраживању. За успешно супротстављање оваквим злоупотребама, од виталног значаја су суштинске системске промене које ће омогућити независност учесника у њиховом сузбијању и повећање њихове одговорности. </w:t>
      </w:r>
    </w:p>
    <w:p w:rsidR="00BA0ACD" w:rsidRDefault="00BA0ACD" w:rsidP="00BA0ACD">
      <w:pPr>
        <w:ind w:firstLine="630"/>
        <w:jc w:val="both"/>
        <w:rPr>
          <w:rFonts w:ascii="Times New Roman" w:hAnsi="Times New Roman"/>
          <w:sz w:val="24"/>
          <w:szCs w:val="24"/>
          <w:lang w:val="sr-Cyrl-CS"/>
        </w:rPr>
      </w:pPr>
      <w:r>
        <w:rPr>
          <w:rFonts w:ascii="Times New Roman" w:hAnsi="Times New Roman"/>
          <w:sz w:val="24"/>
          <w:szCs w:val="24"/>
          <w:lang w:val="sr-Cyrl-CS"/>
        </w:rPr>
        <w:t xml:space="preserve">Резултати истраживања потврдили су и полазну хипотезу да специфичност система и његова примена могу подстаћи пореске обвезнике да прикрију и нетачно прикажу своје активности, односно да владајући концепт пореског система погодује одређеним облицима законите </w:t>
      </w:r>
      <w:r w:rsidR="00663066">
        <w:rPr>
          <w:rFonts w:ascii="Times New Roman" w:hAnsi="Times New Roman"/>
          <w:sz w:val="24"/>
          <w:szCs w:val="24"/>
          <w:lang w:val="sr-Cyrl-CS"/>
        </w:rPr>
        <w:t xml:space="preserve">неприхватљиве </w:t>
      </w:r>
      <w:r>
        <w:rPr>
          <w:rFonts w:ascii="Times New Roman" w:hAnsi="Times New Roman"/>
          <w:sz w:val="24"/>
          <w:szCs w:val="24"/>
          <w:lang w:val="sr-Cyrl-CS"/>
        </w:rPr>
        <w:t xml:space="preserve">евазије и незаконите евазије пореза. У раду је анализирана регулатива и могућности које пружа за злоупотребе код појединих пореских облика, посебно бројна прописана пореска ослбођења и олакшице. Потребна је јасна регулатива која не оставља простора за злоупотребе и која омогућава доследније спровођење ових института у пракси. </w:t>
      </w:r>
      <w:r w:rsidR="00663066">
        <w:rPr>
          <w:rFonts w:ascii="Times New Roman" w:hAnsi="Times New Roman"/>
          <w:sz w:val="24"/>
          <w:szCs w:val="24"/>
          <w:lang w:val="sr-Cyrl-CS"/>
        </w:rPr>
        <w:t xml:space="preserve"> </w:t>
      </w:r>
    </w:p>
    <w:p w:rsidR="00BA0ACD" w:rsidRDefault="00BA0ACD" w:rsidP="00BA0ACD">
      <w:pPr>
        <w:ind w:firstLine="630"/>
        <w:jc w:val="both"/>
        <w:rPr>
          <w:rFonts w:ascii="Times New Roman" w:hAnsi="Times New Roman"/>
          <w:sz w:val="24"/>
          <w:szCs w:val="24"/>
          <w:lang w:val="sr-Cyrl-CS"/>
        </w:rPr>
      </w:pPr>
      <w:r>
        <w:rPr>
          <w:rFonts w:ascii="Times New Roman" w:hAnsi="Times New Roman"/>
          <w:sz w:val="24"/>
          <w:szCs w:val="24"/>
          <w:lang w:val="sr-Cyrl-CS"/>
        </w:rPr>
        <w:t>Успешно супротстављање захтева делатност свих бројних учесника, о којима је би</w:t>
      </w:r>
      <w:r w:rsidR="006161CB">
        <w:rPr>
          <w:rFonts w:ascii="Times New Roman" w:hAnsi="Times New Roman"/>
          <w:sz w:val="24"/>
          <w:szCs w:val="24"/>
          <w:lang w:val="sr-Cyrl-CS"/>
        </w:rPr>
        <w:t>ло речи у овом раду, транспарен</w:t>
      </w:r>
      <w:r>
        <w:rPr>
          <w:rFonts w:ascii="Times New Roman" w:hAnsi="Times New Roman"/>
          <w:sz w:val="24"/>
          <w:szCs w:val="24"/>
          <w:lang w:val="sr-Cyrl-CS"/>
        </w:rPr>
        <w:t xml:space="preserve">тност у њиховом поступању и ограничавање дискреционих овлашћења у откривању и разјашњењу појавних облика избегавања плаћања пореза, чиме се омогућује квалитетно прикупљање доказа. Коначно, последња фаза у успешној борби се огледа кроз процесуирање ових злоупотреба и пресуђење, чиме се врши репресивно деловање, али и спречавање будућег вршења ових појава у контексту специјалне и генералне превенције.  У том циљу за сузбијање привредног </w:t>
      </w:r>
      <w:r>
        <w:rPr>
          <w:rFonts w:ascii="Times New Roman" w:hAnsi="Times New Roman"/>
          <w:sz w:val="24"/>
          <w:szCs w:val="24"/>
          <w:lang w:val="sr-Cyrl-CS"/>
        </w:rPr>
        <w:lastRenderedPageBreak/>
        <w:t xml:space="preserve">криминала и корупције потребно је повезано деловање свих државних органа, и ефикасније кривичноправно реаговање на корупцију. </w:t>
      </w:r>
    </w:p>
    <w:p w:rsidR="00BA0ACD" w:rsidRDefault="00BA0ACD" w:rsidP="00BA0ACD">
      <w:pPr>
        <w:ind w:firstLine="708"/>
        <w:jc w:val="both"/>
        <w:rPr>
          <w:rFonts w:ascii="Times New Roman" w:hAnsi="Times New Roman"/>
          <w:sz w:val="24"/>
          <w:szCs w:val="24"/>
          <w:lang w:val="sr-Cyrl-CS"/>
        </w:rPr>
      </w:pPr>
      <w:r>
        <w:rPr>
          <w:rFonts w:ascii="Times New Roman" w:hAnsi="Times New Roman"/>
          <w:sz w:val="24"/>
          <w:szCs w:val="24"/>
          <w:lang w:val="sr-Cyrl-CS"/>
        </w:rPr>
        <w:t xml:space="preserve">Међутим, борба против ових негативних појава се често своди на бројне промене закона, на хапшења и сензационалистичке наслове у медијима, при чему се занемарује превентивни сегмент, пре свега, кроз примену закона у пракси. При том, откривени случајеви не служе за извлачење поука и за измене регулативе како би се уочене грешке у систему отклониле. На пример, када се ухапси једна криминална група, то даље не повлачи истраживање у другим случајевима из исте привредне области, па не долази до покретања поступака у другим сличним случајевима. До промена у законодавству углавном долази услед усаглашавања са међународним конвенцијама, али и даље су присутна нека решења, на пример у кривичноправној области, која су превазиђена и нису дуго мењана у складу са убрзаним променама у друштвено-економском и политичком систему. Због тога је од значаја познавање начина извршења пореске евазије, како би се што реалније сагледало стање у овом домену и како би се идентификовали сви облици појављивања у пракси, па и нови облици који раније нису постојали. Овакво поступање представља основу за ефикаснија законска решења, бољу примену закона у пракси и предузимање мера у циљу спречавања и откривања злоупотреба, чиме је уједно потврђена и ова полазна хипотеза у нашем истраживању. </w:t>
      </w:r>
    </w:p>
    <w:p w:rsidR="00BA0ACD" w:rsidRPr="00D72883" w:rsidRDefault="00BA0ACD" w:rsidP="00BA0ACD">
      <w:pPr>
        <w:ind w:firstLine="708"/>
        <w:jc w:val="both"/>
        <w:rPr>
          <w:rFonts w:ascii="Times New Roman" w:hAnsi="Times New Roman"/>
          <w:sz w:val="24"/>
          <w:szCs w:val="24"/>
          <w:lang w:val="sr-Cyrl-CS"/>
        </w:rPr>
      </w:pPr>
      <w:r>
        <w:rPr>
          <w:rFonts w:ascii="Times New Roman" w:hAnsi="Times New Roman"/>
          <w:sz w:val="24"/>
          <w:szCs w:val="24"/>
          <w:lang w:val="sr-Cyrl-CS"/>
        </w:rPr>
        <w:t>У пракси се често не поклања довољно пажње откривању, гоњењу и кажњаву ових негативних појава због чега значајан број случајева остаје неоткривен. Приказана статистика у овом раду указује да је тамна бројка криминалитета  у овом домену веома изражена, посебно када за позадину има корупцију. У том смислу је од виталног значаја да се предузму превентивне мере које ће обезбедити да свако ко има нека сазнања о злоупотребама може слободно да се обрату тужилаштву, полицији или другим органима, без страха да ће имати последице услед тога, као и да ти органи имају самосталност у раду како би свој посао могли да обављају на начин који не би фаворизовао одређене појединце и скупине. Ипак, код нас особе које проговоре о овим проблемима, посебно ако се у позадини налази корупција, не уживају адекватну заштиту од дискриминације и одмазде оних чије злоупотребе откривају. Због тога је неопходно да се успостави ефикаснија заштита узбуњивача кроз детаљно законско регулисање  заштите таквих лица како у јавном тако и у приватном сектору.</w:t>
      </w:r>
    </w:p>
    <w:p w:rsidR="00BA0ACD" w:rsidRDefault="00BA0ACD" w:rsidP="00BA0ACD">
      <w:pPr>
        <w:ind w:firstLine="630"/>
        <w:jc w:val="both"/>
        <w:rPr>
          <w:rFonts w:ascii="Times New Roman" w:hAnsi="Times New Roman"/>
          <w:sz w:val="24"/>
          <w:szCs w:val="24"/>
          <w:lang w:val="sr-Cyrl-CS"/>
        </w:rPr>
      </w:pPr>
      <w:r>
        <w:rPr>
          <w:rFonts w:ascii="Times New Roman" w:hAnsi="Times New Roman"/>
          <w:sz w:val="24"/>
          <w:szCs w:val="24"/>
          <w:lang w:val="sr-Cyrl-CS"/>
        </w:rPr>
        <w:t xml:space="preserve">Стратегија која се ослања првенствено на репресивни приступ није довољна нити се проблеми привредног криминала и корупције могу решавати једноставним откривањем и процесуирањем. Према томе, успешност у борби кроз репресивне механизме може се значајно повећати ако се делује превентивним мерама и ако се не занемарује примена прописа, чиме је доказана и ова полазна хипотеза. Значајна превентивна мера је и процена угрожености од корупције појединих радних места у циљу бољег стратегијског и тактичког планирања супротстављања, као и смањивање дискреционог одлучивања, повећање транспарентности процедура и појачана контрола и одговорност. </w:t>
      </w:r>
    </w:p>
    <w:p w:rsidR="00BA0ACD" w:rsidRDefault="00BA0ACD" w:rsidP="00BA0ACD">
      <w:pPr>
        <w:ind w:firstLine="630"/>
        <w:jc w:val="both"/>
        <w:rPr>
          <w:rFonts w:ascii="Times New Roman" w:hAnsi="Times New Roman"/>
          <w:sz w:val="24"/>
          <w:szCs w:val="24"/>
          <w:lang w:val="sr-Cyrl-CS"/>
        </w:rPr>
      </w:pPr>
      <w:r>
        <w:rPr>
          <w:rFonts w:ascii="Times New Roman" w:hAnsi="Times New Roman"/>
          <w:sz w:val="24"/>
          <w:szCs w:val="24"/>
          <w:lang w:val="sr-Cyrl-CS"/>
        </w:rPr>
        <w:lastRenderedPageBreak/>
        <w:t>За обезбеђење транспарентнос</w:t>
      </w:r>
      <w:r w:rsidR="006161CB">
        <w:rPr>
          <w:rFonts w:ascii="Times New Roman" w:hAnsi="Times New Roman"/>
          <w:sz w:val="24"/>
          <w:szCs w:val="24"/>
          <w:lang w:val="sr-Cyrl-CS"/>
        </w:rPr>
        <w:t>ти државних органа од великог су</w:t>
      </w:r>
      <w:r>
        <w:rPr>
          <w:rFonts w:ascii="Times New Roman" w:hAnsi="Times New Roman"/>
          <w:sz w:val="24"/>
          <w:szCs w:val="24"/>
          <w:lang w:val="sr-Cyrl-CS"/>
        </w:rPr>
        <w:t xml:space="preserve"> значаја Повереник за информације од јавног значаја и заштиту података личности, Заштитник грађана, Агенција за</w:t>
      </w:r>
      <w:r w:rsidR="005B52CB">
        <w:rPr>
          <w:rFonts w:ascii="Times New Roman" w:hAnsi="Times New Roman"/>
          <w:sz w:val="24"/>
          <w:szCs w:val="24"/>
          <w:lang w:val="sr-Cyrl-CS"/>
        </w:rPr>
        <w:t xml:space="preserve"> борбу против корупције, Државна ревизорска институција.</w:t>
      </w:r>
      <w:r>
        <w:rPr>
          <w:rFonts w:ascii="Times New Roman" w:hAnsi="Times New Roman"/>
          <w:sz w:val="24"/>
          <w:szCs w:val="24"/>
          <w:lang w:val="sr-Cyrl-CS"/>
        </w:rPr>
        <w:t xml:space="preserve"> Међутим, независни државни органи и самосталне невладине организације које су значајне у борби против корупције не располажу адекватним просторним и техничким условима, нити имају потребне надлежности које би обезебедиле ефикасност њиховог рада. </w:t>
      </w:r>
    </w:p>
    <w:p w:rsidR="00BA0ACD" w:rsidRDefault="00BA0ACD" w:rsidP="00BA0ACD">
      <w:pPr>
        <w:ind w:firstLine="630"/>
        <w:jc w:val="both"/>
        <w:rPr>
          <w:rFonts w:ascii="Times New Roman" w:hAnsi="Times New Roman"/>
          <w:sz w:val="24"/>
          <w:szCs w:val="24"/>
          <w:lang w:val="sr-Cyrl-CS"/>
        </w:rPr>
      </w:pPr>
      <w:r>
        <w:rPr>
          <w:rFonts w:ascii="Times New Roman" w:hAnsi="Times New Roman"/>
          <w:sz w:val="24"/>
          <w:szCs w:val="24"/>
          <w:lang w:val="sr-Cyrl-CS"/>
        </w:rPr>
        <w:t>Темељ за већу транспарентност је политичка воља да се одлучно демонстрира нулта толеранција на корупцију. Појединачном акцијом се ове појаве неће спречити уколико та акција није део системског приступа који захтева реформе финансијског система, пореског законодавства, правосуђа и сарадњу надлежних институција. Такви напори ће уз подршку медија имати велику улогу у обликовању перцепције грађана. Медији имају значајну улогу у подизању свести јавности о постојању и озбиљности последица привредног криминала и корупције, при чему је од великог значаја истраживачко новинарство, без тежње ка сензационализму, које није селективно и површно, па је од великог значаја постојање слободе штампе и независност медија. Све наведено је потребно утолико пре што се у јавности пореска утаја не осуђује адекватно, односно њен став је много блажи када се ради о повреди прописа којима се регулише пореска материја, него када се ради о повреди других прописа. Не може се очекивати само од надлежних органа да сузбијају ове негативне појаве без подизања свести пореских обвезника да своје пореске обавезе уредно извршавају, нити се порески морал може побољшати независно од општег стања морала. Претња санкцијом, такође, мора постати озбиљна. Према томе, превентивне и репресивне мере треба стално да се усавршавају уз коришћење научних достигнућа, јер само откривање и кривично гоњење учинилаца не спречава даље појављивање ових злоупотреба.</w:t>
      </w:r>
    </w:p>
    <w:p w:rsidR="00BA0ACD" w:rsidRDefault="00BA0ACD" w:rsidP="00BA0ACD">
      <w:pPr>
        <w:ind w:firstLine="630"/>
        <w:jc w:val="both"/>
        <w:rPr>
          <w:rFonts w:ascii="Times New Roman" w:hAnsi="Times New Roman"/>
          <w:sz w:val="24"/>
          <w:szCs w:val="24"/>
          <w:lang w:val="sr-Cyrl-CS"/>
        </w:rPr>
      </w:pPr>
      <w:r>
        <w:rPr>
          <w:rFonts w:ascii="Times New Roman" w:hAnsi="Times New Roman"/>
          <w:sz w:val="24"/>
          <w:szCs w:val="24"/>
          <w:lang w:val="sr-Cyrl-CS"/>
        </w:rPr>
        <w:t xml:space="preserve">Постојање проблема и недостатака у овој области има различите последице на фискалном и социјално-политичком плану и води даљем нарушавању функционисања привредног система. </w:t>
      </w:r>
      <w:r w:rsidR="00543A46">
        <w:rPr>
          <w:rFonts w:ascii="Times New Roman" w:hAnsi="Times New Roman"/>
          <w:sz w:val="24"/>
          <w:szCs w:val="24"/>
          <w:lang w:val="sr-Cyrl-CS"/>
        </w:rPr>
        <w:t>Имајући у виду уочене проблеме у наставку излагања ћемо навести предлоге мера за њихово решавање које сматрамо да је потребно посебно нагласити</w:t>
      </w:r>
      <w:r>
        <w:rPr>
          <w:rFonts w:ascii="Times New Roman" w:hAnsi="Times New Roman"/>
          <w:sz w:val="24"/>
          <w:szCs w:val="24"/>
          <w:lang w:val="sr-Cyrl-CS"/>
        </w:rPr>
        <w:t>:</w:t>
      </w:r>
    </w:p>
    <w:p w:rsidR="00BA0ACD" w:rsidRDefault="00BA0ACD" w:rsidP="00BA0ACD">
      <w:pPr>
        <w:ind w:firstLine="630"/>
        <w:jc w:val="both"/>
        <w:rPr>
          <w:rFonts w:ascii="Times New Roman" w:hAnsi="Times New Roman"/>
          <w:sz w:val="24"/>
          <w:szCs w:val="24"/>
          <w:lang w:val="sr-Cyrl-CS"/>
        </w:rPr>
      </w:pPr>
    </w:p>
    <w:p w:rsidR="00BA0ACD" w:rsidRDefault="00BA0ACD" w:rsidP="008A3795">
      <w:pPr>
        <w:pStyle w:val="ListParagraph"/>
        <w:numPr>
          <w:ilvl w:val="0"/>
          <w:numId w:val="64"/>
        </w:numPr>
        <w:jc w:val="both"/>
        <w:rPr>
          <w:rFonts w:ascii="Times New Roman" w:hAnsi="Times New Roman"/>
          <w:sz w:val="24"/>
          <w:szCs w:val="24"/>
          <w:lang w:val="sr-Cyrl-CS"/>
        </w:rPr>
      </w:pPr>
      <w:r>
        <w:rPr>
          <w:rFonts w:ascii="Times New Roman" w:hAnsi="Times New Roman"/>
          <w:sz w:val="24"/>
          <w:szCs w:val="24"/>
          <w:lang w:val="sr-Cyrl-CS"/>
        </w:rPr>
        <w:t>Институционалне</w:t>
      </w:r>
    </w:p>
    <w:p w:rsidR="00BA0ACD" w:rsidRDefault="00BA0ACD" w:rsidP="00BA0ACD">
      <w:pPr>
        <w:pStyle w:val="ListParagraph"/>
        <w:ind w:left="990"/>
        <w:jc w:val="both"/>
        <w:rPr>
          <w:rFonts w:ascii="Times New Roman" w:hAnsi="Times New Roman"/>
          <w:sz w:val="24"/>
          <w:szCs w:val="24"/>
          <w:lang w:val="sr-Cyrl-CS"/>
        </w:rPr>
      </w:pPr>
    </w:p>
    <w:p w:rsidR="00BA0ACD" w:rsidRDefault="00BA0ACD" w:rsidP="00BA0ACD">
      <w:pPr>
        <w:ind w:firstLine="708"/>
        <w:jc w:val="both"/>
        <w:rPr>
          <w:rFonts w:ascii="Times New Roman" w:hAnsi="Times New Roman"/>
          <w:sz w:val="24"/>
          <w:szCs w:val="24"/>
          <w:lang w:val="sr-Cyrl-CS"/>
        </w:rPr>
      </w:pPr>
      <w:r>
        <w:rPr>
          <w:rFonts w:ascii="Times New Roman" w:hAnsi="Times New Roman"/>
          <w:sz w:val="24"/>
          <w:szCs w:val="24"/>
          <w:lang w:val="sr-Cyrl-CS"/>
        </w:rPr>
        <w:t xml:space="preserve">Потребна је даља реформа пореске администрације и односа са пореским обвезницима, што је од великог значаја за успех пореске реформе у целини. Без добро организоване пореске контроле ни један порески систем не може успешно да функционише. Контролу може побољшати поједностављење пореских процедура. У том циљу потребно је даље унапређивање информационог система Пореске управе како би се сваки порески обвезник могао боље повезати са свим његовим обавезама, као и умрежавање тог система са системима других органа како би се побољшала </w:t>
      </w:r>
      <w:r>
        <w:rPr>
          <w:rFonts w:ascii="Times New Roman" w:hAnsi="Times New Roman"/>
          <w:sz w:val="24"/>
          <w:szCs w:val="24"/>
          <w:lang w:val="sr-Cyrl-CS"/>
        </w:rPr>
        <w:lastRenderedPageBreak/>
        <w:t>свеобухватност података од значаја за опорезивање. Уласком у такву базу података јасно би се могла видети евиденција некретнина и имовине пореског обвезника као и преглед његових прихода. Њихова несразмера је јасан  индикатор корупције. Постојеће стање не омогућава потпуно и ефикасно праћење и контролу постављених и именованих лица, запослених у јавним службама, као ни контролу финансирања политичких странака, а што све даје шири простор за корупцију. Због тога је потребна боља сарадња Пореске управе са другим органима у погледу размене информација и активности на терену, чиме би се побољшала и обухватност пореза на имовину, имајући у виду да велики број непокретности у Србији није регистрован. Све то ће допринети ефикаснијој контроли која треба да више обухвати домен сиве економије. До сада су предмет контроле били они који измирују пореске обавезе, а ван контроле су остајали они који немају регистровано пословање.</w:t>
      </w:r>
    </w:p>
    <w:p w:rsidR="00BA0ACD" w:rsidRDefault="00BA0ACD" w:rsidP="00BA0ACD">
      <w:pPr>
        <w:ind w:firstLine="708"/>
        <w:jc w:val="both"/>
        <w:rPr>
          <w:rFonts w:ascii="Arial" w:hAnsi="Arial" w:cs="Arial"/>
          <w:color w:val="000000"/>
          <w:sz w:val="21"/>
          <w:szCs w:val="21"/>
          <w:shd w:val="clear" w:color="auto" w:fill="FFFFFF"/>
          <w:lang w:val="sr-Cyrl-CS"/>
        </w:rPr>
      </w:pPr>
      <w:r>
        <w:rPr>
          <w:rFonts w:ascii="Times New Roman" w:hAnsi="Times New Roman"/>
          <w:sz w:val="24"/>
          <w:szCs w:val="24"/>
          <w:lang w:val="sr-Cyrl-CS"/>
        </w:rPr>
        <w:t>Унапређење сарадње од значаја је и за успешно примењивање унакрсне процене имовине и дохотка грађана. Приликом куповине вредних некретнина, предузећа, луксузних аутомобила и других покретних и непокретних ствари не врши се  од стране пореске управе провера извора прихода и поред могућности унакрсног процењивања пореске основице или примене индицијарне методе за утврђивање минималног пореза на доходак грађана (индиције луксузног животног стила пореског обвезника) предвиђене Законом о поре</w:t>
      </w:r>
      <w:r w:rsidR="006161CB">
        <w:rPr>
          <w:rFonts w:ascii="Times New Roman" w:hAnsi="Times New Roman"/>
          <w:sz w:val="24"/>
          <w:szCs w:val="24"/>
          <w:lang w:val="sr-Cyrl-CS"/>
        </w:rPr>
        <w:t>ском поступку и пореској админис</w:t>
      </w:r>
      <w:r>
        <w:rPr>
          <w:rFonts w:ascii="Times New Roman" w:hAnsi="Times New Roman"/>
          <w:sz w:val="24"/>
          <w:szCs w:val="24"/>
          <w:lang w:val="sr-Cyrl-CS"/>
        </w:rPr>
        <w:t>трацији. Такве активности у склопу превентивног деловања би ставиле до знања утајивачима пореза да се контроле врше плански и да у сваком моменту могу бити откривени.</w:t>
      </w:r>
      <w:r>
        <w:rPr>
          <w:rFonts w:ascii="Arial" w:hAnsi="Arial" w:cs="Arial"/>
          <w:color w:val="000000"/>
          <w:sz w:val="21"/>
          <w:szCs w:val="21"/>
          <w:shd w:val="clear" w:color="auto" w:fill="FFFFFF"/>
          <w:lang w:val="sr-Cyrl-CS"/>
        </w:rPr>
        <w:t xml:space="preserve">   </w:t>
      </w:r>
    </w:p>
    <w:p w:rsidR="00BA0ACD" w:rsidRDefault="00BA0ACD" w:rsidP="00BA0ACD">
      <w:pPr>
        <w:ind w:firstLine="708"/>
        <w:jc w:val="both"/>
        <w:rPr>
          <w:rFonts w:ascii="Arial" w:hAnsi="Arial" w:cs="Arial"/>
          <w:color w:val="000000"/>
          <w:sz w:val="21"/>
          <w:szCs w:val="21"/>
          <w:shd w:val="clear" w:color="auto" w:fill="FFFFFF"/>
          <w:lang w:val="sr-Cyrl-CS"/>
        </w:rPr>
      </w:pPr>
      <w:r>
        <w:rPr>
          <w:rFonts w:ascii="Times New Roman" w:hAnsi="Times New Roman"/>
          <w:sz w:val="24"/>
          <w:szCs w:val="24"/>
          <w:lang w:val="sr-Cyrl-CS"/>
        </w:rPr>
        <w:t>Унапређење информационог система је потребно и у домену електронског евидентирања извршених контрола, што ће омогућити јасан увид у број и предмете извршених контрола као и боље сагледавање где се налазе главни ризици по приходе. Ово може допринети бољој анализи и процени утајеног пореза, сагледавању ризичне групе пореских обвезника, а сами тим и њиховој чешћој контроли и праћењу њихових пореских пријава. Потпуније сагледавање и праћење прихода и имовине пореских обвезника је од кључног значаја за процену ризика, за уочавање фиксалне недисциплине и за унапређење методологије одабира предмета контроле. Истовремено, овако конципиран информациони систем би омогућио и већу транспарентност управног поступка. Због свега наведеног, један од битних сегмената је боља техничка опремљеност пореске администрације која би омогућила квалитетан приступ у поступку контроле.</w:t>
      </w:r>
    </w:p>
    <w:p w:rsidR="00BA0ACD" w:rsidRDefault="00BA0ACD" w:rsidP="00BA0ACD">
      <w:pPr>
        <w:ind w:firstLine="708"/>
        <w:jc w:val="both"/>
        <w:rPr>
          <w:rFonts w:ascii="Times New Roman" w:hAnsi="Times New Roman" w:cstheme="minorBidi"/>
          <w:sz w:val="24"/>
          <w:szCs w:val="24"/>
          <w:lang w:val="sr-Cyrl-CS"/>
        </w:rPr>
      </w:pPr>
      <w:r>
        <w:rPr>
          <w:rFonts w:ascii="Times New Roman" w:hAnsi="Times New Roman"/>
          <w:sz w:val="24"/>
          <w:szCs w:val="24"/>
          <w:lang w:val="sr-Cyrl-CS"/>
        </w:rPr>
        <w:t xml:space="preserve">У циљу побољшања односа са пореским обвезницима потребно је помоћи преским обвезницима да што једноставније плаћају своје пореске обавезе стављајући им на располагање разне услуге и сервисе. Тиме ће се не само побољшати комуникација пореских обвезника са пореском администрацијом него и боље сагледати проблеми са којима се порески обвезници суочавају у пореском поступку. Како би се то постигло, као и поједностављење свих процеса рада Пореске управе, од значаја је примена индикатора учинака у раду на чему треба засновати систем награђивања. </w:t>
      </w:r>
      <w:r>
        <w:rPr>
          <w:rFonts w:ascii="Times New Roman" w:hAnsi="Times New Roman"/>
          <w:sz w:val="24"/>
          <w:szCs w:val="24"/>
          <w:lang w:val="sr-Cyrl-CS"/>
        </w:rPr>
        <w:lastRenderedPageBreak/>
        <w:t xml:space="preserve">Примена ових инидкатора, који представљају међународни стандард, омогућује и бољу организацију и равномернинији распоред послова у оквиру Пореска управе. </w:t>
      </w:r>
    </w:p>
    <w:p w:rsidR="00BA0ACD" w:rsidRDefault="00BA0ACD" w:rsidP="00BA0ACD">
      <w:pPr>
        <w:ind w:firstLine="708"/>
        <w:jc w:val="both"/>
        <w:rPr>
          <w:rFonts w:ascii="Times New Roman" w:hAnsi="Times New Roman"/>
          <w:sz w:val="24"/>
          <w:szCs w:val="24"/>
          <w:lang w:val="sr-Cyrl-CS"/>
        </w:rPr>
      </w:pPr>
      <w:r>
        <w:rPr>
          <w:rFonts w:ascii="Times New Roman" w:hAnsi="Times New Roman"/>
          <w:sz w:val="24"/>
          <w:szCs w:val="24"/>
          <w:lang w:val="sr-Cyrl-CS"/>
        </w:rPr>
        <w:t>Од з</w:t>
      </w:r>
      <w:r w:rsidR="006161CB">
        <w:rPr>
          <w:rFonts w:ascii="Times New Roman" w:hAnsi="Times New Roman"/>
          <w:sz w:val="24"/>
          <w:szCs w:val="24"/>
          <w:lang w:val="sr-Cyrl-CS"/>
        </w:rPr>
        <w:t>начаја је и унапређење управљања</w:t>
      </w:r>
      <w:r>
        <w:rPr>
          <w:rFonts w:ascii="Times New Roman" w:hAnsi="Times New Roman"/>
          <w:sz w:val="24"/>
          <w:szCs w:val="24"/>
          <w:lang w:val="sr-Cyrl-CS"/>
        </w:rPr>
        <w:t xml:space="preserve"> дуговима, односно неизмиреним пореским обавезама у Пореској управи, како би се могао имати увид у право стање неизмирених обавеза и како би се могла проценити њихова наплативост. Дешава се, на пример, да се као велики порески дужници воде правна лица која више не постоје, односно чији дуг није наплатив, чиме се искривљује статистика. </w:t>
      </w:r>
    </w:p>
    <w:p w:rsidR="00BA0ACD" w:rsidRDefault="00BA0ACD" w:rsidP="00BA0ACD">
      <w:pPr>
        <w:ind w:firstLine="630"/>
        <w:jc w:val="both"/>
        <w:rPr>
          <w:rFonts w:ascii="Times New Roman" w:hAnsi="Times New Roman"/>
          <w:sz w:val="24"/>
          <w:szCs w:val="24"/>
          <w:lang w:val="sr-Cyrl-CS"/>
        </w:rPr>
      </w:pPr>
      <w:r>
        <w:rPr>
          <w:rFonts w:ascii="Times New Roman" w:hAnsi="Times New Roman"/>
          <w:sz w:val="24"/>
          <w:szCs w:val="24"/>
          <w:lang w:val="sr-Cyrl-CS"/>
        </w:rPr>
        <w:t xml:space="preserve">Велику пажњу треба посветити и унутрашњој контроли. Од значаја су и адекватна примања, односно материјални положај запослених,  како би се и на тај начин смањио простор за злоупотребу. Јасни етички кодекси и правила понашања као и пажљивија селекција кадра, посебно руководећег, може обесхрабрити коруптивно понашање. Осим тога, од великог значаја је и стално усавршавање знања службеника кроз семинаре пореске тематике и слично, као и специјализација кадрова модерним техничким средствима, како би могли успешно пратити савремена кретања у пореској области, посебно имајући у виду погодности које пружају савремене информационо-комуникационе технологије за избегавање плаћања пореза, привредни криминал и корупцију, као и да носиоци ових штетних појава често располажу завидним нивоом знања и при том имају и пореске саветнике који прате промене у овој области.   </w:t>
      </w:r>
    </w:p>
    <w:p w:rsidR="00BA0ACD" w:rsidRDefault="00BA0ACD" w:rsidP="00BA0ACD">
      <w:pPr>
        <w:ind w:firstLine="630"/>
        <w:jc w:val="both"/>
        <w:rPr>
          <w:rFonts w:ascii="Times New Roman" w:hAnsi="Times New Roman"/>
          <w:sz w:val="24"/>
          <w:szCs w:val="24"/>
          <w:lang w:val="sr-Cyrl-CS"/>
        </w:rPr>
      </w:pPr>
    </w:p>
    <w:p w:rsidR="00BA0ACD" w:rsidRPr="009B6856" w:rsidRDefault="00BA0ACD" w:rsidP="008A3795">
      <w:pPr>
        <w:pStyle w:val="ListParagraph"/>
        <w:numPr>
          <w:ilvl w:val="0"/>
          <w:numId w:val="64"/>
        </w:numPr>
        <w:jc w:val="both"/>
        <w:rPr>
          <w:rFonts w:ascii="Times New Roman" w:hAnsi="Times New Roman"/>
          <w:sz w:val="24"/>
          <w:szCs w:val="24"/>
          <w:lang w:val="sr-Cyrl-CS"/>
        </w:rPr>
      </w:pPr>
      <w:r w:rsidRPr="009B6856">
        <w:rPr>
          <w:rFonts w:ascii="Times New Roman" w:hAnsi="Times New Roman"/>
          <w:sz w:val="24"/>
          <w:szCs w:val="24"/>
          <w:lang w:val="sr-Cyrl-CS"/>
        </w:rPr>
        <w:t>Правне</w:t>
      </w:r>
    </w:p>
    <w:p w:rsidR="00BA0ACD" w:rsidRPr="009B6856" w:rsidRDefault="00BA0ACD" w:rsidP="00BA0ACD">
      <w:pPr>
        <w:pStyle w:val="ListParagraph"/>
        <w:ind w:left="990"/>
        <w:jc w:val="both"/>
        <w:rPr>
          <w:rFonts w:ascii="Times New Roman" w:hAnsi="Times New Roman"/>
          <w:sz w:val="24"/>
          <w:szCs w:val="24"/>
          <w:lang w:val="sr-Cyrl-CS"/>
        </w:rPr>
      </w:pPr>
    </w:p>
    <w:p w:rsidR="00BA0ACD" w:rsidRDefault="00BA0ACD" w:rsidP="00BA0ACD">
      <w:pPr>
        <w:ind w:firstLine="630"/>
        <w:jc w:val="both"/>
        <w:rPr>
          <w:rFonts w:ascii="Times New Roman" w:hAnsi="Times New Roman"/>
          <w:sz w:val="24"/>
          <w:szCs w:val="24"/>
          <w:lang w:val="sr-Cyrl-CS"/>
        </w:rPr>
      </w:pPr>
      <w:r>
        <w:rPr>
          <w:rFonts w:ascii="Times New Roman" w:hAnsi="Times New Roman"/>
          <w:sz w:val="24"/>
          <w:szCs w:val="24"/>
          <w:lang w:val="sr-Cyrl-CS"/>
        </w:rPr>
        <w:t>Пореско-правни  прописи се често мењају, што подрива њихову стабилност и континуитет и доприноси правној несигурности, а при томе изостаје свеобухватна анализа последица које ће изазавати промена прописа или доношење нових закона, те како ће те промене утицати на пореске обвезнике. Уколико би доношењу закона претходила анализа његовог ефекта и свеобухватнија јавна расправа то би свакако допринело да  такав закон буде ефикаснији. Осим тога, у законодавном поступку није предвиђена обавеза да се приликом измена или доношења нових закона сагледавају ефекти на корупцију, а што би било од великог значаја, посебно имајући у виду повезаност између корупције и избегавања плаћања пореза. У циљу успешнијег супротстављања овим негативним појавама требало би извршити измене у поступку доношења прописа како би постојала обавеза предлагача закона и других прописа да се изврши анализа ризика на корупцију и да се то наведе у образложењу педлога.</w:t>
      </w:r>
    </w:p>
    <w:p w:rsidR="00BA0ACD" w:rsidRDefault="00BA0ACD" w:rsidP="00BA0ACD">
      <w:pPr>
        <w:ind w:firstLine="630"/>
        <w:jc w:val="both"/>
        <w:rPr>
          <w:rFonts w:ascii="Times New Roman" w:hAnsi="Times New Roman"/>
          <w:sz w:val="24"/>
          <w:szCs w:val="24"/>
          <w:lang w:val="sr-Cyrl-CS"/>
        </w:rPr>
      </w:pPr>
      <w:r>
        <w:rPr>
          <w:rFonts w:ascii="Times New Roman" w:hAnsi="Times New Roman"/>
          <w:sz w:val="24"/>
          <w:szCs w:val="24"/>
          <w:lang w:val="sr-Cyrl-CS"/>
        </w:rPr>
        <w:t xml:space="preserve">Како се овим негативним појавама не може супротставити само репресивним мерама, него су потребне и превентивне мере, чији смо значај нагласили у претходном излагању, потребно је да се законски регулише превенција, што би допринело ефикасности примене превентивних мера. Такође, треба потенцирати и увођење антикорупционих програма и ригорозних система контроле државних службеника, као </w:t>
      </w:r>
      <w:r>
        <w:rPr>
          <w:rFonts w:ascii="Times New Roman" w:hAnsi="Times New Roman"/>
          <w:sz w:val="24"/>
          <w:szCs w:val="24"/>
          <w:lang w:val="sr-Cyrl-CS"/>
        </w:rPr>
        <w:lastRenderedPageBreak/>
        <w:t>и такав правни оквир који би омогућио грађанима да могу слободно да укажу на неправилности рада државних органа разним инс</w:t>
      </w:r>
      <w:r w:rsidR="00663066">
        <w:rPr>
          <w:rFonts w:ascii="Times New Roman" w:hAnsi="Times New Roman"/>
          <w:sz w:val="24"/>
          <w:szCs w:val="24"/>
          <w:lang w:val="sr-Cyrl-CS"/>
        </w:rPr>
        <w:t>т</w:t>
      </w:r>
      <w:r>
        <w:rPr>
          <w:rFonts w:ascii="Times New Roman" w:hAnsi="Times New Roman"/>
          <w:sz w:val="24"/>
          <w:szCs w:val="24"/>
          <w:lang w:val="sr-Cyrl-CS"/>
        </w:rPr>
        <w:t>итуцијама на разним нивоима.</w:t>
      </w:r>
    </w:p>
    <w:p w:rsidR="00BA0ACD" w:rsidRDefault="00BA0ACD" w:rsidP="00BA0ACD">
      <w:pPr>
        <w:ind w:firstLine="630"/>
        <w:jc w:val="both"/>
        <w:rPr>
          <w:rFonts w:ascii="Times New Roman" w:hAnsi="Times New Roman"/>
          <w:sz w:val="24"/>
          <w:szCs w:val="24"/>
          <w:lang w:val="sr-Cyrl-CS"/>
        </w:rPr>
      </w:pPr>
      <w:r>
        <w:rPr>
          <w:rFonts w:ascii="Times New Roman" w:hAnsi="Times New Roman"/>
          <w:sz w:val="24"/>
          <w:szCs w:val="24"/>
          <w:lang w:val="sr-Cyrl-CS"/>
        </w:rPr>
        <w:t xml:space="preserve">Имајући у виду да је тешко одредити границу између законите и незаконите пореске евазије, као и између законите прихватљиве и неприхватљиве пореске евазије, потребно је да се пореско-правним прописима ова граница дефинише што би допринело ефикаснијем супротстављању избегавању плаћања пореза. Различита тумачења пореских прописа погодују не само незаконитој него и законитој неприхватљивој пореској евазији. </w:t>
      </w:r>
    </w:p>
    <w:p w:rsidR="00BA0ACD" w:rsidRDefault="00BA0ACD" w:rsidP="00BA0ACD">
      <w:pPr>
        <w:ind w:firstLine="708"/>
        <w:jc w:val="both"/>
        <w:rPr>
          <w:rFonts w:ascii="Times New Roman" w:hAnsi="Times New Roman"/>
          <w:sz w:val="24"/>
          <w:szCs w:val="24"/>
          <w:lang w:val="sr-Cyrl-CS"/>
        </w:rPr>
      </w:pPr>
      <w:r>
        <w:rPr>
          <w:rFonts w:ascii="Times New Roman" w:hAnsi="Times New Roman"/>
          <w:sz w:val="24"/>
          <w:szCs w:val="24"/>
          <w:lang w:val="sr-Cyrl-CS"/>
        </w:rPr>
        <w:t xml:space="preserve">Порески систем у Србији је значајно реформисан и најзначајни напредак је остварен код пореза на потрошњу, мањи код опорезивања дохотка, а најмањи код опорезивања имовине. Најпре, треба поћи од бројних измена прописа у овој области, што је од значаја са становишта  законите </w:t>
      </w:r>
      <w:r w:rsidR="00663066">
        <w:rPr>
          <w:rFonts w:ascii="Times New Roman" w:hAnsi="Times New Roman"/>
          <w:sz w:val="24"/>
          <w:szCs w:val="24"/>
          <w:lang w:val="sr-Cyrl-CS"/>
        </w:rPr>
        <w:t xml:space="preserve">неприхватљиве </w:t>
      </w:r>
      <w:r>
        <w:rPr>
          <w:rFonts w:ascii="Times New Roman" w:hAnsi="Times New Roman"/>
          <w:sz w:val="24"/>
          <w:szCs w:val="24"/>
          <w:lang w:val="sr-Cyrl-CS"/>
        </w:rPr>
        <w:t>пореске евазије и незаконите пореске евазије. После прве свеобухватне фискалне реформе 1991. године, друга је извршена 2001. године када су донети бројни закони у овој области. У међувремену сви порески закони су имали више измена и допуна. Упркос томе могу се уочити бројне неусаглашености са другим прописима, неразумљивост, конфузност, а што све отежава њихову примену у пракси. Овакво стање доприноси не само незаконитој пореској евазији него и законитој неприхватљивој пореској евазији,</w:t>
      </w:r>
      <w:r w:rsidRPr="00A601D2">
        <w:rPr>
          <w:rFonts w:ascii="Times New Roman" w:hAnsi="Times New Roman"/>
          <w:sz w:val="24"/>
          <w:szCs w:val="24"/>
          <w:lang w:val="sr-Cyrl-CS"/>
        </w:rPr>
        <w:t xml:space="preserve"> </w:t>
      </w:r>
      <w:r>
        <w:rPr>
          <w:rFonts w:ascii="Times New Roman" w:hAnsi="Times New Roman"/>
          <w:sz w:val="24"/>
          <w:szCs w:val="24"/>
          <w:lang w:val="sr-Cyrl-CS"/>
        </w:rPr>
        <w:t xml:space="preserve">која је захтевнија за споровођење у пракси и којој управо погодоје неразумљивост пореских прописа, њихове честе измене и допуне и нетранспарентан порески систем.   </w:t>
      </w:r>
      <w:r w:rsidR="00663066">
        <w:rPr>
          <w:rFonts w:ascii="Times New Roman" w:hAnsi="Times New Roman"/>
          <w:sz w:val="24"/>
          <w:szCs w:val="24"/>
          <w:lang w:val="sr-Cyrl-CS"/>
        </w:rPr>
        <w:t xml:space="preserve"> </w:t>
      </w:r>
      <w:r>
        <w:rPr>
          <w:rFonts w:ascii="Times New Roman" w:hAnsi="Times New Roman"/>
          <w:sz w:val="24"/>
          <w:szCs w:val="24"/>
          <w:lang w:val="sr-Cyrl-CS"/>
        </w:rPr>
        <w:t xml:space="preserve"> </w:t>
      </w:r>
    </w:p>
    <w:p w:rsidR="00BA0ACD" w:rsidRDefault="00BA0ACD" w:rsidP="00BA0ACD">
      <w:pPr>
        <w:ind w:firstLine="708"/>
        <w:jc w:val="both"/>
        <w:rPr>
          <w:rFonts w:ascii="Times New Roman" w:hAnsi="Times New Roman"/>
          <w:sz w:val="24"/>
          <w:szCs w:val="24"/>
          <w:lang w:val="sr-Cyrl-CS"/>
        </w:rPr>
      </w:pPr>
      <w:r>
        <w:rPr>
          <w:rFonts w:ascii="Times New Roman" w:hAnsi="Times New Roman"/>
          <w:sz w:val="24"/>
          <w:szCs w:val="24"/>
          <w:lang w:val="sr-Cyrl-CS"/>
        </w:rPr>
        <w:t xml:space="preserve">На основу статистичких података који су изложени у овом раду, посматрајући структуру пореских прихода у Србији, може се закључити да је уочљива доминација пореза на додату вредност и акциза, дакле посредних пореза, а потом следи порез на доходак, порез на добит и имовину. Таква </w:t>
      </w:r>
      <w:r>
        <w:rPr>
          <w:rFonts w:ascii="Times New Roman" w:hAnsi="Times New Roman"/>
          <w:b/>
          <w:sz w:val="24"/>
          <w:szCs w:val="24"/>
          <w:lang w:val="sr-Cyrl-CS"/>
        </w:rPr>
        <w:t>с</w:t>
      </w:r>
      <w:r>
        <w:rPr>
          <w:rFonts w:ascii="Times New Roman" w:hAnsi="Times New Roman"/>
          <w:sz w:val="24"/>
          <w:szCs w:val="24"/>
          <w:lang w:val="sr-Cyrl-CS"/>
        </w:rPr>
        <w:t>труктура је другачија у односу на земље у Европској унији где су најзаст</w:t>
      </w:r>
      <w:r w:rsidR="00663066">
        <w:rPr>
          <w:rFonts w:ascii="Times New Roman" w:hAnsi="Times New Roman"/>
          <w:sz w:val="24"/>
          <w:szCs w:val="24"/>
          <w:lang w:val="sr-Cyrl-CS"/>
        </w:rPr>
        <w:t>упљенији порези на доходак</w:t>
      </w:r>
      <w:r>
        <w:rPr>
          <w:rFonts w:ascii="Times New Roman" w:hAnsi="Times New Roman"/>
          <w:sz w:val="24"/>
          <w:szCs w:val="24"/>
          <w:lang w:val="sr-Cyrl-CS"/>
        </w:rPr>
        <w:t xml:space="preserve">.  По правилу највише се избегавају </w:t>
      </w:r>
      <w:r w:rsidR="00967E91">
        <w:rPr>
          <w:rFonts w:ascii="Times New Roman" w:hAnsi="Times New Roman"/>
          <w:sz w:val="24"/>
          <w:szCs w:val="24"/>
          <w:lang w:val="sr-Cyrl-CS"/>
        </w:rPr>
        <w:t xml:space="preserve">порез на додату вредност, </w:t>
      </w:r>
      <w:r w:rsidR="006161CB">
        <w:rPr>
          <w:rFonts w:ascii="Times New Roman" w:hAnsi="Times New Roman"/>
          <w:sz w:val="24"/>
          <w:szCs w:val="24"/>
          <w:lang w:val="sr-Cyrl-CS"/>
        </w:rPr>
        <w:t>порези по одбитку</w:t>
      </w:r>
      <w:r w:rsidR="00877660">
        <w:rPr>
          <w:rFonts w:ascii="Times New Roman" w:hAnsi="Times New Roman"/>
          <w:sz w:val="24"/>
          <w:szCs w:val="24"/>
          <w:lang w:val="sr-Cyrl-CS"/>
        </w:rPr>
        <w:t xml:space="preserve"> </w:t>
      </w:r>
      <w:r>
        <w:rPr>
          <w:rFonts w:ascii="Times New Roman" w:hAnsi="Times New Roman"/>
          <w:sz w:val="24"/>
          <w:szCs w:val="24"/>
          <w:lang w:val="sr-Cyrl-CS"/>
        </w:rPr>
        <w:t xml:space="preserve">и акцизе. </w:t>
      </w:r>
      <w:r w:rsidR="00967E91">
        <w:rPr>
          <w:rFonts w:ascii="Times New Roman" w:hAnsi="Times New Roman"/>
          <w:sz w:val="24"/>
          <w:szCs w:val="24"/>
          <w:lang w:val="sr-Cyrl-CS"/>
        </w:rPr>
        <w:t xml:space="preserve">На основу свих емпиријских истраживања и примера обрађених у пракси може се закључити </w:t>
      </w:r>
      <w:r w:rsidR="00584CFC">
        <w:rPr>
          <w:rFonts w:ascii="Times New Roman" w:hAnsi="Times New Roman"/>
          <w:sz w:val="24"/>
          <w:szCs w:val="24"/>
          <w:lang w:val="sr-Cyrl-CS"/>
        </w:rPr>
        <w:t>да је на нашим просторима пореска евазија највише изражена код пореза на додату вредност.</w:t>
      </w:r>
    </w:p>
    <w:p w:rsidR="00BA0ACD" w:rsidRDefault="00BA0ACD" w:rsidP="00BA0ACD">
      <w:pPr>
        <w:ind w:firstLine="708"/>
        <w:jc w:val="both"/>
        <w:rPr>
          <w:rFonts w:ascii="Times New Roman" w:hAnsi="Times New Roman"/>
          <w:sz w:val="24"/>
          <w:szCs w:val="24"/>
          <w:lang w:val="sr-Cyrl-CS"/>
        </w:rPr>
      </w:pPr>
      <w:r>
        <w:rPr>
          <w:rFonts w:ascii="Times New Roman" w:hAnsi="Times New Roman"/>
          <w:sz w:val="24"/>
          <w:szCs w:val="24"/>
          <w:lang w:val="sr-Cyrl-CS"/>
        </w:rPr>
        <w:t xml:space="preserve">У наставку излагања критички ћемо се осврнути на поједина решења у пореско-правном систему Србије у контексту избегавања плаћања пореза, односно законите неприхватљиве пореске евазије и незаконите пореске евазије. </w:t>
      </w:r>
    </w:p>
    <w:p w:rsidR="00BA0ACD" w:rsidRDefault="00BA0ACD" w:rsidP="00BA0ACD">
      <w:pPr>
        <w:ind w:firstLine="708"/>
        <w:jc w:val="both"/>
        <w:rPr>
          <w:rFonts w:ascii="Times New Roman" w:hAnsi="Times New Roman"/>
          <w:sz w:val="24"/>
          <w:szCs w:val="24"/>
          <w:lang w:val="sr-Cyrl-CS"/>
        </w:rPr>
      </w:pPr>
      <w:r>
        <w:rPr>
          <w:rFonts w:ascii="Times New Roman" w:hAnsi="Times New Roman"/>
          <w:sz w:val="24"/>
          <w:szCs w:val="24"/>
          <w:lang w:val="sr-Cyrl-CS"/>
        </w:rPr>
        <w:t xml:space="preserve">Порез на добит пружа бројне могућности за закониту неприхватљиву и незакониту евазију пореза, које су анализиране у овом раду. Код пословања компанија веома је тешко утврдити закониту неприхватљиву евазију пореза. Послује се у границама закона али је циљ да се помоћу разних конструкција оствари пореска уштеда супротно сврси коју је законодавац имао у виду. Често се, при том, користе </w:t>
      </w:r>
      <w:r w:rsidR="006161CB">
        <w:rPr>
          <w:rFonts w:ascii="Times New Roman" w:hAnsi="Times New Roman"/>
          <w:sz w:val="24"/>
          <w:szCs w:val="24"/>
          <w:lang w:val="sr-Cyrl-CS"/>
        </w:rPr>
        <w:t>празнине</w:t>
      </w:r>
      <w:r>
        <w:rPr>
          <w:rFonts w:ascii="Times New Roman" w:hAnsi="Times New Roman"/>
          <w:sz w:val="24"/>
          <w:szCs w:val="24"/>
          <w:lang w:val="sr-Cyrl-CS"/>
        </w:rPr>
        <w:t xml:space="preserve"> у закону и различита мишљења и тумачења. Проблем представља и чињеница што се порески обвезници често позивају да се ради о грешци у рачуноводственим евиденцијама, а до нетачних података у пореској пријави може доћи као резултат сложености прописа који ову област регулишу и њиховог неадекватног тумачења. Због </w:t>
      </w:r>
      <w:r>
        <w:rPr>
          <w:rFonts w:ascii="Times New Roman" w:hAnsi="Times New Roman"/>
          <w:sz w:val="24"/>
          <w:szCs w:val="24"/>
          <w:lang w:val="sr-Cyrl-CS"/>
        </w:rPr>
        <w:lastRenderedPageBreak/>
        <w:t xml:space="preserve">тога, битну улогу у смањивању незаконите, али и законите неприхватљиве евазије пореза има поједностављење пореских прописа, без честих имена и допуна, разних подзаконских аката и различитих тумачења.     </w:t>
      </w:r>
    </w:p>
    <w:p w:rsidR="00BA0ACD" w:rsidRDefault="00BA0ACD" w:rsidP="00BA0ACD">
      <w:pPr>
        <w:jc w:val="both"/>
        <w:rPr>
          <w:rFonts w:ascii="Times New Roman" w:hAnsi="Times New Roman"/>
          <w:sz w:val="24"/>
          <w:szCs w:val="24"/>
          <w:lang w:val="sr-Cyrl-CS"/>
        </w:rPr>
      </w:pPr>
      <w:r>
        <w:rPr>
          <w:rFonts w:ascii="Times New Roman" w:hAnsi="Times New Roman"/>
          <w:sz w:val="24"/>
          <w:szCs w:val="24"/>
          <w:lang w:val="sr-Cyrl-CS"/>
        </w:rPr>
        <w:tab/>
        <w:t>Закон о порезу на добит правних лица и поред више измена и даље садржи непотпуне одредбе које се у пракси могу различити тумачити, а што погодује законитој неприхватљивој пореској евазији. То је на пример случај са чл. 7а наведеног Закона који се односи на то шта се признаје на терет расхода. За поједине од набројаних расхода је потребно прецизирати шта они обухватају, о којим се тачно трошковима ради, јер то пружа могућност различитих тумачења и</w:t>
      </w:r>
      <w:r w:rsidR="00883E3C">
        <w:rPr>
          <w:rFonts w:ascii="Times New Roman" w:hAnsi="Times New Roman"/>
          <w:sz w:val="24"/>
          <w:szCs w:val="24"/>
          <w:lang w:val="sr-Cyrl-CS"/>
        </w:rPr>
        <w:t xml:space="preserve"> различитог утврђивања опорезиве</w:t>
      </w:r>
      <w:r>
        <w:rPr>
          <w:rFonts w:ascii="Times New Roman" w:hAnsi="Times New Roman"/>
          <w:sz w:val="24"/>
          <w:szCs w:val="24"/>
          <w:lang w:val="sr-Cyrl-CS"/>
        </w:rPr>
        <w:t xml:space="preserve"> добити, а што је од зна</w:t>
      </w:r>
      <w:r w:rsidR="00663066">
        <w:rPr>
          <w:rFonts w:ascii="Times New Roman" w:hAnsi="Times New Roman"/>
          <w:sz w:val="24"/>
          <w:szCs w:val="24"/>
          <w:lang w:val="sr-Cyrl-CS"/>
        </w:rPr>
        <w:t>ча</w:t>
      </w:r>
      <w:r>
        <w:rPr>
          <w:rFonts w:ascii="Times New Roman" w:hAnsi="Times New Roman"/>
          <w:sz w:val="24"/>
          <w:szCs w:val="24"/>
          <w:lang w:val="sr-Cyrl-CS"/>
        </w:rPr>
        <w:t xml:space="preserve">ја  за пореску евазију. У поменутој одредби се, између осталог, наводе трошкови који нису настали у сврху обављања пословне делатности па би њихово прецизирање у законском тексту или у подзаконском акту било од значаја са становишта законите неприхватљиве пореске евазије. Нејасно је и шта обухватају трошкови рекламе, пропаганде и презентације (у смислу чл. 15. ст. 6. и 7. наведеног Закона), који се као расход у пореском билансу обвезника признају у одређеном проценту од укупног прихода, при чему се као расход пропаганде признају само они поклони и други расходи који служе промоцији пословања пореског обвезника. Промоција је појам који се веома широко може тумачити од стране пореских обвезника и пореске управе, па то води у пракси различитом утврђивању расхода и опорезиве добити и отвара могућност за злоупотребе.   </w:t>
      </w:r>
    </w:p>
    <w:p w:rsidR="00BA0ACD" w:rsidRDefault="00BA0ACD" w:rsidP="00BA0ACD">
      <w:pPr>
        <w:ind w:firstLine="708"/>
        <w:jc w:val="both"/>
        <w:rPr>
          <w:rFonts w:ascii="Times New Roman" w:hAnsi="Times New Roman"/>
          <w:sz w:val="24"/>
          <w:szCs w:val="24"/>
          <w:lang w:val="sr-Cyrl-CS"/>
        </w:rPr>
      </w:pPr>
      <w:r>
        <w:rPr>
          <w:rFonts w:ascii="Times New Roman" w:hAnsi="Times New Roman"/>
          <w:sz w:val="24"/>
          <w:szCs w:val="24"/>
          <w:lang w:val="sr-Cyrl-CS"/>
        </w:rPr>
        <w:t xml:space="preserve">Нејасноће постоје и у Закону о порезу на додату вредност. Пример за то се односи на нејасно дефинисање пореског дужника према чл. 10. наведеног Закона, а посебно када се ради о примаоцу добара и услуга у случају када страно лице не одреди пореског пуномоћника. Место промета услуга је према чл. 12. наведеног закона изузетно компликовано и нејасно, па такве нејасноће отежавају примену у пракси и отварају простор за злоупотребе. Осим тога, није регулисана мера јемства за неплаћени порез учесника друге трансакције у оквиру истог прометног циклуса, односно сауговарача, чиме би се могла надокнадити штета која је проузрокована пореском евазијом за фискуса. </w:t>
      </w:r>
    </w:p>
    <w:p w:rsidR="00BA0ACD" w:rsidRDefault="00BA0ACD" w:rsidP="00BA0ACD">
      <w:pPr>
        <w:jc w:val="both"/>
        <w:rPr>
          <w:rFonts w:ascii="Times New Roman" w:hAnsi="Times New Roman"/>
          <w:sz w:val="24"/>
          <w:szCs w:val="24"/>
          <w:lang w:val="sr-Cyrl-CS"/>
        </w:rPr>
      </w:pPr>
      <w:r>
        <w:rPr>
          <w:rFonts w:ascii="Times New Roman" w:hAnsi="Times New Roman"/>
          <w:sz w:val="24"/>
          <w:szCs w:val="24"/>
          <w:lang w:val="sr-Cyrl-CS"/>
        </w:rPr>
        <w:tab/>
        <w:t xml:space="preserve">Опорезивање дохотка физичких лица у Србији је изузетно гломазно и компликовано, а није дошло до планиране примене синтетичког опорезивања. Разлике између различитих прихода постоје у погледу начина обрачуна, пореских стопа, олакшица, кредита и сл. што све овај закон чини конфузним и тешким за примену у пракси. Осим тога, код пореза на зараде се бројна пореска ослобођења злоупотребљавају у пракси по основу запошљавања одређене категорије физичких лица. То отвара простор не само за незакониту пореску евазију него и за закониту неприхватљиву пореску евазију. Појам зараде је, при том, веома широко дефинисан од исплате у новцу до примања у облику бонова, чињењем или пружањем погодности, опраштањем дуга и сл. што је предмет честих злоупотреба у пракси. Није прихватљиво ни генерално неопорезивање прихода од пољопривреде, што се често злоупотебљава и код избегавања плаћања пореза на додату вредност, како је то у претходном излагању у </w:t>
      </w:r>
      <w:r>
        <w:rPr>
          <w:rFonts w:ascii="Times New Roman" w:hAnsi="Times New Roman"/>
          <w:sz w:val="24"/>
          <w:szCs w:val="24"/>
          <w:lang w:val="sr-Cyrl-CS"/>
        </w:rPr>
        <w:lastRenderedPageBreak/>
        <w:t>овом раду детаљно описано. Бројни случајеви злоупотрбе паушалног опорезивања намећу потребу законских измена и у овом погледу, како би све професије биле третиране једнако. У појединим делатностима, које су разврстане за паушално плаћање пореза, остварују се изузетно високи приходи, па се према постојећем законском решењу плаћа знатно мањи порез у односу на доходак који се оствари, што дискриминише обвезнике са истим или нижим примањима који плаћају порез на стварно остварен приход.  Пореска евазија код овог пореског облика је изражена и због тога што је у условима кризе један део привредне активности пресељен у нелегални сектор, па су добра законска решења у овој области значајна и са становишта сузбијања сиве економије. Годишњи порез на доходак грађана се најчешће избегава неподношењем пореске пријаве, док обвезници који се паушално опорезују често остварују веома високе приходе, па значајан инстурмент у борби против пореске евазије у овом домену представља вођење јединствене евиденције за пореске обвезнике у погледу њихове имовине и прихода и поменута метода унакрсне процене вредности имовине и пријављеног дохотка, а која се не примењује.</w:t>
      </w:r>
    </w:p>
    <w:p w:rsidR="00BA0ACD" w:rsidRDefault="00BA0ACD" w:rsidP="00BA0ACD">
      <w:pPr>
        <w:ind w:firstLine="708"/>
        <w:jc w:val="both"/>
        <w:rPr>
          <w:rFonts w:ascii="Times New Roman" w:hAnsi="Times New Roman"/>
          <w:sz w:val="24"/>
          <w:szCs w:val="24"/>
          <w:lang w:val="sr-Cyrl-CS"/>
        </w:rPr>
      </w:pPr>
      <w:r>
        <w:rPr>
          <w:rFonts w:ascii="Times New Roman" w:hAnsi="Times New Roman"/>
          <w:sz w:val="24"/>
          <w:szCs w:val="24"/>
          <w:lang w:val="sr-Cyrl-CS"/>
        </w:rPr>
        <w:t xml:space="preserve">Недостаци законских решења код опорезивања имовине су бројни и детаљно су анализарирани код излагања овог пореског облика. Проблем је у различитом третману правних и физичких лица без јасног оправдања, при чему су порске стопе за физичка лица високо прогресивне, што доприноси избегавању плаћања пореза, а за правна лица пропорционалне, што ставља у неравноправни положај правна и физичка лица и озбиљно доводи у питање правичност оваквог система, па је одређивање пореске стопе лоше регулисано. Различит је третман пореске основице правних и физичких лица, а разлике између основице пореза на имовину и стварне тржишне вредности су често велике. Пореска основица је потцењена посебно код правних лица, а највише код опорезовања пољопривредног земљишта. Потребна је реалнија процена пореске основице и њено довођење у тешњу везу са тржишном ценом некретнина. Постојеће решење код кога пореска обавеза пореза на имовину за лица која воде пословне књиге представља вредност у њиховим књигама тренутно је извор значајне пореске евазије јер порески обвезници потцењују вредност у пословним књигама из пореских разлога. Веома бројна пореска ослобођења, за која се може поставити питање њихове оправданости, пружају могућост злоупотребе. При том, посебно је компликовано одређивање основице што све отвара простор за пореску евазију и корупцију. Ови недостаци треба да буду предмет разматрања неке будуће измене овог закона. Због свега наведеног, потребна је ефикаснија контрола и боље евиденције, као и вођење јединствене евидениције пореских обвезника.   </w:t>
      </w:r>
    </w:p>
    <w:p w:rsidR="00BA0ACD" w:rsidRDefault="00BA0ACD" w:rsidP="00BA0ACD">
      <w:pPr>
        <w:ind w:firstLine="708"/>
        <w:jc w:val="both"/>
        <w:rPr>
          <w:rFonts w:ascii="Times New Roman" w:hAnsi="Times New Roman"/>
          <w:sz w:val="24"/>
          <w:szCs w:val="24"/>
          <w:lang w:val="sr-Cyrl-CS"/>
        </w:rPr>
      </w:pPr>
      <w:r>
        <w:rPr>
          <w:rFonts w:ascii="Times New Roman" w:hAnsi="Times New Roman"/>
          <w:sz w:val="24"/>
          <w:szCs w:val="24"/>
          <w:lang w:val="sr-Cyrl-CS"/>
        </w:rPr>
        <w:t xml:space="preserve">Закон о акцизама је претрпео бројне измене и од 2001. године је мењан двадесет три пута. Честе промене и нејасна законска регулатива свакако погодују повећању злоупотреба са акцизним производима. Конфузна регулатива која је, при том, неусклађена са другим прописима погодује законитој неприхватљивој пореској евазији и незаконитој пореској евазији. Пример за то у конкретном случају се односи на нејасноће у погледу основних елемената пореског облика предмета опорезивања и пореског обвезника. Наиме, према поменутом закону, између осталог, опорезују се </w:t>
      </w:r>
      <w:r>
        <w:rPr>
          <w:rFonts w:ascii="Times New Roman" w:hAnsi="Times New Roman"/>
          <w:sz w:val="24"/>
          <w:szCs w:val="24"/>
          <w:lang w:val="sr-Cyrl-CS"/>
        </w:rPr>
        <w:lastRenderedPageBreak/>
        <w:t xml:space="preserve">алкохолна пића, док је  порески обвезник произвођач. Према томе, произвођач алкохолних пића и порески обвезник може бити физичко лице. Међутим, према чл. 9 Закону о ракији и другим алкохолним пићима („Сл. гласник РС“ бр. 41/09) произвођач не може бити физичко лице, него то може бити само правно лице и предузетник који је регистрован у Регистар привредних субјеката и уписан у Регистар произвођача ракије и других алкохолних пића. Иста је ситуација према чл. 17.  Закона о вину ( „Сл. гласник РС „ бр. 42/09 и 93/12). </w:t>
      </w:r>
    </w:p>
    <w:p w:rsidR="00BA0ACD" w:rsidRDefault="00BA0ACD" w:rsidP="00BA0ACD">
      <w:pPr>
        <w:spacing w:before="240" w:after="240"/>
        <w:ind w:firstLine="708"/>
        <w:jc w:val="both"/>
        <w:rPr>
          <w:rFonts w:ascii="Times New Roman" w:hAnsi="Times New Roman"/>
          <w:bCs/>
          <w:sz w:val="24"/>
          <w:szCs w:val="24"/>
          <w:lang w:val="sr-Cyrl-CS"/>
        </w:rPr>
      </w:pPr>
      <w:r>
        <w:rPr>
          <w:rFonts w:ascii="Times New Roman" w:hAnsi="Times New Roman"/>
          <w:bCs/>
          <w:sz w:val="24"/>
          <w:szCs w:val="24"/>
          <w:lang w:val="sr-Cyrl-CS"/>
        </w:rPr>
        <w:t xml:space="preserve">Законом о пореском поступку и пореској админстрацији се на јединствен начин регулише порескоправни однос. Овај закон је такође претрпео бројне измене, али и даље поседује недостатке. Битно је јасно регулисати  рокове за поступање пореске админситрације, трајање теренске контроле пореског обвезника, права и обавезе порских обвезника и пореске администрације, прописати санкције у случају неблаговременог доношења решења о теренској контроли што све даље води једнообразном поступању пореске админстрације у контроли и правној сигурности пореских обвезника, а значајно би се смањио и простор за корупцију. Осим тога, потребно је поједноставити систем принудне наплата пореске обавезе из имовине пореског обвезника, што подразумева јасно одређивање критеријума за рангирање приоритета за принудну наплату. Поменути Закон поседује и добра решења али која нису реализована у пракси. У том контексту занимљиво је поменути да је према одредби чл. 17. наведеног Закона дефинисан порески саветник као лице које обавља послове пореског саветовања пореског обвезника у пореском поступку </w:t>
      </w:r>
      <w:r w:rsidR="00BE3777">
        <w:rPr>
          <w:rFonts w:ascii="Times New Roman" w:hAnsi="Times New Roman"/>
          <w:bCs/>
          <w:sz w:val="24"/>
          <w:szCs w:val="24"/>
          <w:lang w:val="sr-Cyrl-CS"/>
        </w:rPr>
        <w:t>и прописано ј</w:t>
      </w:r>
      <w:r>
        <w:rPr>
          <w:rFonts w:ascii="Times New Roman" w:hAnsi="Times New Roman"/>
          <w:bCs/>
          <w:sz w:val="24"/>
          <w:szCs w:val="24"/>
          <w:lang w:val="sr-Cyrl-CS"/>
        </w:rPr>
        <w:t>е да ће се обављање делатности пореског саветовања уредити посебним законом, а што није учињено до данас.</w:t>
      </w:r>
    </w:p>
    <w:p w:rsidR="00BA0ACD" w:rsidRDefault="00BA0ACD" w:rsidP="00BA0ACD">
      <w:pPr>
        <w:spacing w:before="240" w:after="240"/>
        <w:ind w:firstLine="708"/>
        <w:jc w:val="both"/>
        <w:rPr>
          <w:rFonts w:ascii="Times New Roman" w:hAnsi="Times New Roman"/>
          <w:color w:val="000000"/>
          <w:sz w:val="24"/>
          <w:szCs w:val="24"/>
          <w:lang w:val="sr-Cyrl-CS"/>
        </w:rPr>
      </w:pPr>
      <w:r>
        <w:rPr>
          <w:rFonts w:ascii="Times New Roman" w:hAnsi="Times New Roman"/>
          <w:bCs/>
          <w:sz w:val="24"/>
          <w:szCs w:val="24"/>
          <w:lang w:val="sr-Cyrl-CS"/>
        </w:rPr>
        <w:t>Правна помоћ у пореским стварима је посебно регулисана у поменутом закону (чл. 155-159 б) и може бити унутрашња правна помоћ (коју државни органи и организације, органи локалне аутономије и локалне самоуправе пружају Пореској управи) и међународна правна помоћ (право Пореске управе  да се обрати иностраном пореском органу и обавеза да такву помоћ пружи) која се заснива на међународним уговорима.</w:t>
      </w:r>
      <w:bookmarkStart w:id="72" w:name="str_200"/>
      <w:bookmarkEnd w:id="72"/>
      <w:r>
        <w:rPr>
          <w:rFonts w:ascii="Arial" w:hAnsi="Arial" w:cs="Arial"/>
          <w:color w:val="000000"/>
          <w:sz w:val="18"/>
          <w:szCs w:val="18"/>
          <w:lang w:val="sr-Cyrl-CS"/>
        </w:rPr>
        <w:t xml:space="preserve"> </w:t>
      </w:r>
      <w:r w:rsidRPr="00902440">
        <w:rPr>
          <w:rFonts w:ascii="Times New Roman" w:hAnsi="Times New Roman"/>
          <w:color w:val="000000"/>
          <w:sz w:val="24"/>
          <w:szCs w:val="24"/>
          <w:lang w:val="sr-Cyrl-CS"/>
        </w:rPr>
        <w:t xml:space="preserve">Међутим, </w:t>
      </w:r>
      <w:r>
        <w:rPr>
          <w:rFonts w:ascii="Times New Roman" w:hAnsi="Times New Roman"/>
          <w:color w:val="000000"/>
          <w:sz w:val="24"/>
          <w:szCs w:val="24"/>
          <w:lang w:val="sr-Cyrl-CS"/>
        </w:rPr>
        <w:t xml:space="preserve">примена ових одредаба у пракси захтева побољшање ове сарадње што је од великог значаја за спречавање незаконите пореске евазије. </w:t>
      </w:r>
    </w:p>
    <w:p w:rsidR="00B771E7" w:rsidRDefault="00B771E7" w:rsidP="00B771E7">
      <w:pPr>
        <w:ind w:firstLine="630"/>
        <w:jc w:val="both"/>
        <w:rPr>
          <w:rFonts w:ascii="Times New Roman" w:hAnsi="Times New Roman"/>
          <w:sz w:val="24"/>
          <w:szCs w:val="24"/>
          <w:lang w:val="sr-Cyrl-CS"/>
        </w:rPr>
      </w:pPr>
      <w:r>
        <w:rPr>
          <w:rFonts w:ascii="Times New Roman" w:hAnsi="Times New Roman"/>
          <w:sz w:val="24"/>
          <w:szCs w:val="24"/>
          <w:lang w:val="sr-Cyrl-CS"/>
        </w:rPr>
        <w:t>У основи решења треба да буду најбоља светска искуства прилагођена специфичностима нашег друштвено-економског система. Неопходно је да се у нашој земљи успостави правна регулатива која је усаглашена са међународним стандардима, али која је, поред тога,  прилагођена специфичностима наших друштвено-економских услова. При том, на међународном плану је важна улога међународних организација, попут OECD, у осмишљавању одређених стандарда и принципа, како би се утицало на смањење пореске евазије. Поред тога, у циљу успешнијег превентивног деловања мора се побољшати наша административна сарадња са другим државама, поред јачања сопствених административних капацитета. У том циљу потребно је комплетирати мрежу уговора као што је закључивање билатералних споразума о размени информација у пореским стварима у складу са ОЕЦД моделом.</w:t>
      </w:r>
    </w:p>
    <w:p w:rsidR="00B771E7" w:rsidRPr="00B771E7" w:rsidRDefault="00B771E7" w:rsidP="00B771E7">
      <w:pPr>
        <w:ind w:firstLine="630"/>
        <w:jc w:val="both"/>
        <w:rPr>
          <w:rFonts w:ascii="Times New Roman" w:hAnsi="Times New Roman"/>
          <w:sz w:val="24"/>
          <w:szCs w:val="24"/>
          <w:lang w:val="sr-Cyrl-CS"/>
        </w:rPr>
      </w:pPr>
      <w:r>
        <w:rPr>
          <w:rFonts w:ascii="Times New Roman" w:hAnsi="Times New Roman"/>
          <w:sz w:val="24"/>
          <w:szCs w:val="24"/>
          <w:lang w:val="sr-Cyrl-CS"/>
        </w:rPr>
        <w:lastRenderedPageBreak/>
        <w:t>У домену међународне сарадње од посебног је значаја сарадња у пореским стварима земаља Балкана, пре свега везано за пореску контролу,  имајући у виду да велики број лица из наше земље послује у другим земљама региона, па би се закључивањем мултилатералних споразума на регионалном нивоу створио ефикасан правни механизам за супротстављање пореској евазији резидентних лица у иностранству, а то би смањило простор и за злоупотребе уговора о избегавању двоструког опорезивања.</w:t>
      </w:r>
    </w:p>
    <w:p w:rsidR="00BA0ACD" w:rsidRDefault="00BA0ACD" w:rsidP="00BA0ACD">
      <w:pPr>
        <w:ind w:firstLine="630"/>
        <w:jc w:val="both"/>
        <w:rPr>
          <w:rFonts w:ascii="Times New Roman" w:hAnsi="Times New Roman" w:cstheme="minorBidi"/>
          <w:sz w:val="24"/>
          <w:szCs w:val="24"/>
          <w:lang w:val="sr-Cyrl-CS"/>
        </w:rPr>
      </w:pPr>
      <w:r>
        <w:rPr>
          <w:rFonts w:ascii="Times New Roman" w:hAnsi="Times New Roman"/>
          <w:sz w:val="24"/>
          <w:szCs w:val="24"/>
          <w:lang w:val="sr-Cyrl-CS"/>
        </w:rPr>
        <w:t xml:space="preserve">Једнообразно поступање пореске администрације на целој територији Србије је такође од великог значаја </w:t>
      </w:r>
      <w:r w:rsidR="00B771E7">
        <w:rPr>
          <w:rFonts w:ascii="Times New Roman" w:hAnsi="Times New Roman"/>
          <w:sz w:val="24"/>
          <w:szCs w:val="24"/>
          <w:lang w:val="sr-Cyrl-CS"/>
        </w:rPr>
        <w:t xml:space="preserve">у борби против ових негативних појава </w:t>
      </w:r>
      <w:r>
        <w:rPr>
          <w:rFonts w:ascii="Times New Roman" w:hAnsi="Times New Roman"/>
          <w:sz w:val="24"/>
          <w:szCs w:val="24"/>
          <w:lang w:val="sr-Cyrl-CS"/>
        </w:rPr>
        <w:t xml:space="preserve">па је у том циљу потребно потенцирати доношење обавезујућих мишљења и упутстава како би пореска администрација и порески обвезници на исти начин примењивали прописе.  </w:t>
      </w:r>
    </w:p>
    <w:p w:rsidR="00BA0ACD" w:rsidRDefault="00BA0ACD" w:rsidP="00BA0ACD">
      <w:pPr>
        <w:ind w:firstLine="708"/>
        <w:jc w:val="both"/>
        <w:rPr>
          <w:rFonts w:ascii="Times New Roman" w:hAnsi="Times New Roman"/>
          <w:sz w:val="24"/>
          <w:szCs w:val="24"/>
          <w:lang w:val="sr-Cyrl-CS"/>
        </w:rPr>
      </w:pPr>
      <w:r>
        <w:rPr>
          <w:rFonts w:ascii="Times New Roman" w:hAnsi="Times New Roman"/>
          <w:sz w:val="24"/>
          <w:szCs w:val="24"/>
          <w:lang w:val="sr-Cyrl-CS"/>
        </w:rPr>
        <w:t xml:space="preserve">Реформа пореза која би обухватила постојеће недостаке довела би до повећања пореског прихода, поједностављења система опорезивања, смањења трошкова администрирања, а смањио би се и простор за закониту неприхватљиву и незакониту пореску евазију. Међутим, и најбољи закони неће дати резултате уколико се не примењују и уколико се не прати њихова примена у пракси, у циљу уочавања евентуалних проблема у њиховој примени, како би се пронашла боља решења која су применљивија у пракси. Уколико регулатива садржи механизме који спречавају разне облике пореске евазије и то како незаконите, тако и законите </w:t>
      </w:r>
      <w:r w:rsidR="0025608F">
        <w:rPr>
          <w:rFonts w:ascii="Times New Roman" w:hAnsi="Times New Roman"/>
          <w:sz w:val="24"/>
          <w:szCs w:val="24"/>
          <w:lang w:val="sr-Cyrl-CS"/>
        </w:rPr>
        <w:t xml:space="preserve">неприхватљиве </w:t>
      </w:r>
      <w:r>
        <w:rPr>
          <w:rFonts w:ascii="Times New Roman" w:hAnsi="Times New Roman"/>
          <w:sz w:val="24"/>
          <w:szCs w:val="24"/>
          <w:lang w:val="sr-Cyrl-CS"/>
        </w:rPr>
        <w:t xml:space="preserve">евазије, као и уколико прописује адекватне казне, то је добра основа за спречавање ових негативних појава и свођење истих што ближе границама прихватљиве евазије пореза. </w:t>
      </w:r>
      <w:r w:rsidR="0025608F">
        <w:rPr>
          <w:rFonts w:ascii="Times New Roman" w:hAnsi="Times New Roman"/>
          <w:sz w:val="24"/>
          <w:szCs w:val="24"/>
          <w:lang w:val="sr-Cyrl-CS"/>
        </w:rPr>
        <w:t xml:space="preserve"> </w:t>
      </w:r>
    </w:p>
    <w:p w:rsidR="00BA0ACD" w:rsidRDefault="00BA0ACD" w:rsidP="00BA0ACD">
      <w:pPr>
        <w:jc w:val="both"/>
        <w:rPr>
          <w:rFonts w:ascii="Times New Roman" w:hAnsi="Times New Roman"/>
          <w:sz w:val="24"/>
          <w:szCs w:val="24"/>
          <w:lang w:val="sr-Cyrl-CS"/>
        </w:rPr>
      </w:pPr>
    </w:p>
    <w:p w:rsidR="00BA0ACD" w:rsidRDefault="00BA0ACD" w:rsidP="008A3795">
      <w:pPr>
        <w:pStyle w:val="ListParagraph"/>
        <w:numPr>
          <w:ilvl w:val="0"/>
          <w:numId w:val="65"/>
        </w:numPr>
        <w:jc w:val="both"/>
        <w:rPr>
          <w:rFonts w:ascii="Times New Roman" w:hAnsi="Times New Roman"/>
          <w:sz w:val="24"/>
          <w:szCs w:val="24"/>
          <w:lang w:val="sr-Cyrl-CS"/>
        </w:rPr>
      </w:pPr>
      <w:r>
        <w:rPr>
          <w:rFonts w:ascii="Times New Roman" w:hAnsi="Times New Roman"/>
          <w:sz w:val="24"/>
          <w:szCs w:val="24"/>
          <w:lang w:val="sr-Cyrl-CS"/>
        </w:rPr>
        <w:t xml:space="preserve"> Социо-економске </w:t>
      </w:r>
    </w:p>
    <w:p w:rsidR="00BA0ACD" w:rsidRDefault="00BA0ACD" w:rsidP="00BA0ACD">
      <w:pPr>
        <w:pStyle w:val="ListParagraph"/>
        <w:ind w:left="990"/>
        <w:jc w:val="both"/>
        <w:rPr>
          <w:rFonts w:ascii="Times New Roman" w:hAnsi="Times New Roman"/>
          <w:b/>
          <w:sz w:val="24"/>
          <w:szCs w:val="24"/>
          <w:lang w:val="sr-Cyrl-CS"/>
        </w:rPr>
      </w:pPr>
    </w:p>
    <w:p w:rsidR="00BA0ACD" w:rsidRDefault="00BA0ACD" w:rsidP="00BA0ACD">
      <w:pPr>
        <w:ind w:firstLine="630"/>
        <w:jc w:val="both"/>
        <w:rPr>
          <w:rFonts w:ascii="Times New Roman" w:hAnsi="Times New Roman"/>
          <w:sz w:val="24"/>
          <w:szCs w:val="24"/>
          <w:lang w:val="sr-Cyrl-CS"/>
        </w:rPr>
      </w:pPr>
      <w:r>
        <w:rPr>
          <w:rFonts w:ascii="Times New Roman" w:hAnsi="Times New Roman"/>
          <w:sz w:val="24"/>
          <w:szCs w:val="24"/>
          <w:lang w:val="sr-Cyrl-CS"/>
        </w:rPr>
        <w:t xml:space="preserve">Повећање свести грађана и формирање ставова јавног мњења о овим негативним појава је од великог значаја. У томе велику улогу имају средства јавног информисања па је због тога битно организовати кампање како би грађани били више информисани о функционисању пореског система, његовој сврси, као и начину трошења пореских прихода. Изградњи пореског морала доприноси боља информисаност пореских обвезника о њиховим правима и обавезама. При том, посебан акценат у едукацији треба ставити на права узбуњивача, на препознавање сукоба интереса и на боље упознавање са свим елементима крупције. Подизање свести о штетности избегавања пореза и са њим повезаним феноменима ствара и повећану интолеранцију према њима у јавном мњењу. </w:t>
      </w:r>
    </w:p>
    <w:p w:rsidR="00BA0ACD" w:rsidRDefault="00BA0ACD" w:rsidP="00BA0ACD">
      <w:pPr>
        <w:ind w:firstLine="630"/>
        <w:jc w:val="both"/>
        <w:rPr>
          <w:rFonts w:ascii="Times New Roman" w:hAnsi="Times New Roman"/>
          <w:sz w:val="24"/>
          <w:szCs w:val="24"/>
          <w:lang w:val="sr-Cyrl-CS"/>
        </w:rPr>
      </w:pPr>
      <w:r>
        <w:rPr>
          <w:rFonts w:ascii="Times New Roman" w:hAnsi="Times New Roman"/>
          <w:sz w:val="24"/>
          <w:szCs w:val="24"/>
          <w:lang w:val="sr-Cyrl-CS"/>
        </w:rPr>
        <w:t xml:space="preserve">Дакле, као и свака земља у транзицији и Србија се суочава са високим степеном пореске евазије, односно привредног криминала и корупције, па је борба против ових штетних појава њен национални интерес. Посебно имајући у виду да се Србија определила за европске интеграције,  борба против ових негативних појава је у тесној вези и са тим опредељењем. У том смислу мора да испуњава европске норме и </w:t>
      </w:r>
      <w:r>
        <w:rPr>
          <w:rFonts w:ascii="Times New Roman" w:hAnsi="Times New Roman"/>
          <w:sz w:val="24"/>
          <w:szCs w:val="24"/>
          <w:lang w:val="sr-Cyrl-CS"/>
        </w:rPr>
        <w:lastRenderedPageBreak/>
        <w:t xml:space="preserve">стандарде. У процесу придруживања ЕУ стално се инсистира на борби против ових негативних појава. Осим тога, супротстављање овим појавама је и међународна обавеза која произилази из међународних конвенција које је наша земља ратификовала, а о чему је било речи у претходном излагању. Србија мора да испуњава и обавезе које има као земља чланица Уједињених нација. Од степена успешности постојећих реформи и владавине права зависи њена подобност за пријем у чланство  ЕУ, као и за даље реформе и будуће интеграције. Процес европских интеграција, услед тога, има значајан утицај на питање законодавног система, јер прикључивање ЕУ повлачи са собом обавезу усаглашавања законодавства са прописима ЕУ, односно реформе у правном и институционалном систему, па се и реформе нашег пореског система спроводе у циљу хармонизације прописа са прописима ЕУ. </w:t>
      </w:r>
    </w:p>
    <w:p w:rsidR="00BA0ACD" w:rsidRDefault="00BA0ACD" w:rsidP="00BA0ACD">
      <w:pPr>
        <w:ind w:firstLine="630"/>
        <w:jc w:val="both"/>
        <w:rPr>
          <w:rFonts w:ascii="Times New Roman" w:hAnsi="Times New Roman"/>
          <w:sz w:val="24"/>
          <w:szCs w:val="24"/>
          <w:lang w:val="sr-Cyrl-CS"/>
        </w:rPr>
      </w:pPr>
      <w:r>
        <w:rPr>
          <w:rFonts w:ascii="Times New Roman" w:hAnsi="Times New Roman"/>
          <w:sz w:val="24"/>
          <w:szCs w:val="24"/>
          <w:lang w:val="sr-Cyrl-CS"/>
        </w:rPr>
        <w:t>Полазећи од свега изнетог, логично је претпоставити да ће пореска евазија настојати не само да опстане, него и да се даље развија у нове форме, покушавајући да заузме што боље позиције у друштвено-економској и политичкој структури, односно да створи преко коруптивних спрега одговарајуће везе са појединим политичким, привредним и финансијским субјектима. Посебно треба имати у виду да се привредни криминал већ данас јавља у новим појавним облицима, имајући у виду пре свега утицај глобализације, развој технике и нова технолошка достигнућа, тако да се у будућности можемо суочити са великим проблемом организованог криминала у области привреде.</w:t>
      </w:r>
    </w:p>
    <w:p w:rsidR="00BA0ACD" w:rsidRDefault="00BA0ACD" w:rsidP="00BA0ACD">
      <w:pPr>
        <w:ind w:firstLine="630"/>
        <w:jc w:val="both"/>
        <w:rPr>
          <w:rFonts w:ascii="Times New Roman" w:hAnsi="Times New Roman"/>
          <w:sz w:val="24"/>
          <w:szCs w:val="24"/>
          <w:lang w:val="sr-Cyrl-CS"/>
        </w:rPr>
      </w:pPr>
      <w:r>
        <w:rPr>
          <w:rFonts w:ascii="Times New Roman" w:hAnsi="Times New Roman"/>
          <w:sz w:val="24"/>
          <w:szCs w:val="24"/>
          <w:lang w:val="sr-Cyrl-CS"/>
        </w:rPr>
        <w:t>Чињеница је да борба против привредног криминалитета и корупције представља приоритетни задатак, али је овај задатак због сложености и присутних околности тешко успешно реализовати. Посебно овој сложености погодује тешко откривање оваквих злоупотреба јер су њихови извршиоци стручна лица, или се користе услуге стручњака разних профила, што им помаже да злоупотребе врше на такав начин да им је готово немогуће ући у траг. При том, када се има у виду да се у позадини већине облика привредног криминала налази корупција, све већа сложеност финансијских трансакција и испреплетаност легалног и илегалног пословања, па када се још поврх тога успоставе и јаке спреге са представницима власти, јасна је озбиљност овог проблема у националним и међународним оквирима.</w:t>
      </w:r>
    </w:p>
    <w:p w:rsidR="00BA0ACD" w:rsidRDefault="00BA0ACD" w:rsidP="00BA0ACD">
      <w:pPr>
        <w:ind w:firstLine="630"/>
        <w:jc w:val="both"/>
        <w:rPr>
          <w:rFonts w:ascii="Times New Roman" w:hAnsi="Times New Roman"/>
          <w:sz w:val="24"/>
          <w:szCs w:val="24"/>
          <w:lang w:val="sr-Cyrl-CS"/>
        </w:rPr>
      </w:pPr>
      <w:r>
        <w:rPr>
          <w:rFonts w:ascii="Times New Roman" w:hAnsi="Times New Roman"/>
          <w:sz w:val="24"/>
          <w:szCs w:val="24"/>
          <w:lang w:val="sr-Cyrl-CS"/>
        </w:rPr>
        <w:t>Утолико пре, озбиљност и сложеност овог проблема, као и његова актуелност,  обавезује да му свеобухватније посветимо посебну пажњу, са различитих аспеката и кроз анализу бројних појавних облика, како би спречавање и откривање таквих негативних појава било успешније, а овим радом смо настојали да допринесемо томе.</w:t>
      </w:r>
    </w:p>
    <w:p w:rsidR="00BA0ACD" w:rsidRDefault="00BA0ACD" w:rsidP="00BA0ACD">
      <w:pPr>
        <w:ind w:firstLine="630"/>
        <w:jc w:val="both"/>
        <w:rPr>
          <w:rFonts w:ascii="Times New Roman" w:hAnsi="Times New Roman"/>
          <w:sz w:val="24"/>
          <w:szCs w:val="24"/>
          <w:lang w:val="sr-Cyrl-CS"/>
        </w:rPr>
      </w:pPr>
    </w:p>
    <w:p w:rsidR="00BA0ACD" w:rsidRDefault="00BA0ACD" w:rsidP="00BA0ACD">
      <w:pPr>
        <w:ind w:firstLine="630"/>
        <w:jc w:val="both"/>
        <w:rPr>
          <w:rFonts w:ascii="Times New Roman" w:hAnsi="Times New Roman"/>
          <w:sz w:val="24"/>
          <w:szCs w:val="24"/>
          <w:lang w:val="sr-Cyrl-CS"/>
        </w:rPr>
      </w:pPr>
    </w:p>
    <w:p w:rsidR="00166B45" w:rsidRDefault="00166B45" w:rsidP="00C73790">
      <w:pPr>
        <w:ind w:left="630"/>
        <w:jc w:val="both"/>
        <w:rPr>
          <w:rFonts w:ascii="Times New Roman" w:hAnsi="Times New Roman"/>
          <w:b/>
          <w:sz w:val="24"/>
          <w:szCs w:val="24"/>
        </w:rPr>
      </w:pPr>
    </w:p>
    <w:p w:rsidR="00166B45" w:rsidRDefault="00166B45" w:rsidP="00C73790">
      <w:pPr>
        <w:ind w:left="630"/>
        <w:jc w:val="both"/>
        <w:rPr>
          <w:rFonts w:ascii="Times New Roman" w:hAnsi="Times New Roman"/>
          <w:b/>
          <w:sz w:val="24"/>
          <w:szCs w:val="24"/>
        </w:rPr>
      </w:pPr>
    </w:p>
    <w:p w:rsidR="00166B45" w:rsidRPr="00166B45" w:rsidRDefault="00166B45" w:rsidP="00C73790">
      <w:pPr>
        <w:ind w:left="630"/>
        <w:jc w:val="both"/>
        <w:rPr>
          <w:rFonts w:ascii="Times New Roman" w:hAnsi="Times New Roman"/>
          <w:b/>
          <w:sz w:val="24"/>
          <w:szCs w:val="24"/>
        </w:rPr>
      </w:pPr>
    </w:p>
    <w:p w:rsidR="0056468F" w:rsidRDefault="0056468F" w:rsidP="00D02CDA">
      <w:pPr>
        <w:rPr>
          <w:b/>
          <w:lang w:val="sr-Cyrl-CS"/>
        </w:rPr>
      </w:pPr>
    </w:p>
    <w:p w:rsidR="0056468F" w:rsidRDefault="0056468F" w:rsidP="00D02CDA">
      <w:pPr>
        <w:rPr>
          <w:b/>
          <w:lang w:val="sr-Cyrl-CS"/>
        </w:rPr>
      </w:pPr>
    </w:p>
    <w:p w:rsidR="0056468F" w:rsidRDefault="0056468F" w:rsidP="00D02CDA">
      <w:pPr>
        <w:rPr>
          <w:b/>
          <w:lang w:val="sr-Cyrl-CS"/>
        </w:rPr>
      </w:pPr>
    </w:p>
    <w:p w:rsidR="0056468F" w:rsidRDefault="0056468F" w:rsidP="00D02CDA">
      <w:pPr>
        <w:rPr>
          <w:b/>
          <w:lang w:val="sr-Cyrl-CS"/>
        </w:rPr>
      </w:pPr>
    </w:p>
    <w:p w:rsidR="0056468F" w:rsidRDefault="0056468F" w:rsidP="00D02CDA">
      <w:pPr>
        <w:rPr>
          <w:b/>
          <w:lang w:val="sr-Cyrl-CS"/>
        </w:rPr>
      </w:pPr>
    </w:p>
    <w:p w:rsidR="0056468F" w:rsidRDefault="0056468F" w:rsidP="00D02CDA">
      <w:pPr>
        <w:rPr>
          <w:b/>
          <w:lang w:val="sr-Cyrl-CS"/>
        </w:rPr>
      </w:pPr>
    </w:p>
    <w:p w:rsidR="0056468F" w:rsidRDefault="0056468F" w:rsidP="00D02CDA">
      <w:pPr>
        <w:rPr>
          <w:b/>
          <w:lang w:val="sr-Cyrl-CS"/>
        </w:rPr>
      </w:pPr>
    </w:p>
    <w:p w:rsidR="0056468F" w:rsidRDefault="0056468F" w:rsidP="00D02CDA">
      <w:pPr>
        <w:rPr>
          <w:b/>
          <w:lang w:val="sr-Cyrl-CS"/>
        </w:rPr>
      </w:pPr>
    </w:p>
    <w:p w:rsidR="0056468F" w:rsidRPr="00886804" w:rsidRDefault="0056468F" w:rsidP="00D02CDA">
      <w:pPr>
        <w:rPr>
          <w:b/>
          <w:lang w:val="sr-Cyrl-CS"/>
        </w:rPr>
      </w:pPr>
    </w:p>
    <w:p w:rsidR="0056468F" w:rsidRDefault="0056468F" w:rsidP="00D02CDA">
      <w:pPr>
        <w:rPr>
          <w:lang w:val="sr-Cyrl-CS"/>
        </w:rPr>
      </w:pPr>
    </w:p>
    <w:p w:rsidR="0056468F" w:rsidRDefault="0056468F" w:rsidP="00D02CDA">
      <w:pPr>
        <w:rPr>
          <w:lang w:val="sr-Cyrl-CS"/>
        </w:rPr>
      </w:pPr>
    </w:p>
    <w:p w:rsidR="0056468F" w:rsidRDefault="0056468F" w:rsidP="00D02CDA">
      <w:pPr>
        <w:rPr>
          <w:lang w:val="sr-Cyrl-CS"/>
        </w:rPr>
      </w:pPr>
    </w:p>
    <w:p w:rsidR="007867E1" w:rsidRPr="007867E1" w:rsidRDefault="007867E1" w:rsidP="007867E1">
      <w:pPr>
        <w:ind w:firstLine="630"/>
        <w:jc w:val="both"/>
        <w:rPr>
          <w:rFonts w:asciiTheme="minorHAnsi" w:hAnsiTheme="minorHAnsi"/>
          <w:sz w:val="24"/>
          <w:szCs w:val="24"/>
          <w:lang w:val="sr-Cyrl-CS"/>
        </w:rPr>
      </w:pPr>
    </w:p>
    <w:p w:rsidR="00A92BF3" w:rsidRPr="000255AC" w:rsidRDefault="00A92BF3" w:rsidP="00A92BF3">
      <w:pPr>
        <w:ind w:firstLine="630"/>
        <w:jc w:val="both"/>
        <w:rPr>
          <w:rFonts w:ascii="Times New Roman" w:hAnsi="Times New Roman"/>
          <w:sz w:val="24"/>
          <w:szCs w:val="24"/>
          <w:lang w:val="sr-Cyrl-CS"/>
        </w:rPr>
      </w:pPr>
    </w:p>
    <w:p w:rsidR="00323F37" w:rsidRPr="00421133" w:rsidRDefault="00323F37" w:rsidP="00323F37">
      <w:pPr>
        <w:ind w:firstLine="709"/>
        <w:jc w:val="both"/>
        <w:rPr>
          <w:rFonts w:ascii="Times New Roman" w:hAnsi="Times New Roman"/>
          <w:b/>
          <w:sz w:val="24"/>
          <w:szCs w:val="24"/>
          <w:lang w:val="sr-Cyrl-CS"/>
        </w:rPr>
      </w:pPr>
    </w:p>
    <w:p w:rsidR="00323F37" w:rsidRPr="00421133" w:rsidRDefault="00323F37" w:rsidP="00323F37">
      <w:pPr>
        <w:ind w:firstLine="709"/>
        <w:jc w:val="both"/>
        <w:rPr>
          <w:rFonts w:ascii="Times New Roman" w:hAnsi="Times New Roman"/>
          <w:b/>
          <w:sz w:val="24"/>
          <w:szCs w:val="24"/>
          <w:lang w:val="sr-Cyrl-CS"/>
        </w:rPr>
      </w:pPr>
    </w:p>
    <w:p w:rsidR="00323F37" w:rsidRPr="00421133" w:rsidRDefault="00323F37" w:rsidP="00323F37">
      <w:pPr>
        <w:ind w:firstLine="709"/>
        <w:jc w:val="both"/>
        <w:rPr>
          <w:rFonts w:ascii="Times New Roman" w:hAnsi="Times New Roman"/>
          <w:sz w:val="24"/>
          <w:szCs w:val="24"/>
          <w:lang w:val="sr-Cyrl-CS"/>
        </w:rPr>
      </w:pPr>
    </w:p>
    <w:p w:rsidR="00323F37" w:rsidRPr="00421133" w:rsidRDefault="00323F37" w:rsidP="00323F37">
      <w:pPr>
        <w:ind w:firstLine="709"/>
        <w:jc w:val="both"/>
        <w:rPr>
          <w:rFonts w:ascii="Times New Roman" w:hAnsi="Times New Roman"/>
          <w:b/>
          <w:sz w:val="24"/>
          <w:szCs w:val="24"/>
          <w:lang w:val="sr-Cyrl-CS"/>
        </w:rPr>
      </w:pPr>
    </w:p>
    <w:p w:rsidR="00323F37" w:rsidRPr="00421133" w:rsidRDefault="00323F37" w:rsidP="00323F37">
      <w:pPr>
        <w:ind w:firstLine="709"/>
        <w:jc w:val="both"/>
        <w:rPr>
          <w:rFonts w:ascii="Times New Roman" w:hAnsi="Times New Roman"/>
          <w:b/>
          <w:sz w:val="24"/>
          <w:szCs w:val="24"/>
          <w:lang w:val="sr-Cyrl-CS"/>
        </w:rPr>
      </w:pPr>
    </w:p>
    <w:p w:rsidR="00323F37" w:rsidRPr="00421133" w:rsidRDefault="00323F37" w:rsidP="00323F37">
      <w:pPr>
        <w:ind w:firstLine="709"/>
        <w:jc w:val="both"/>
        <w:rPr>
          <w:rFonts w:ascii="Times New Roman" w:hAnsi="Times New Roman"/>
          <w:b/>
          <w:i/>
          <w:sz w:val="24"/>
          <w:szCs w:val="24"/>
          <w:lang w:val="sr-Cyrl-CS"/>
        </w:rPr>
      </w:pPr>
    </w:p>
    <w:p w:rsidR="00323F37" w:rsidRPr="00421133" w:rsidRDefault="00323F37" w:rsidP="00323F37">
      <w:pPr>
        <w:ind w:firstLine="709"/>
        <w:jc w:val="both"/>
        <w:rPr>
          <w:rFonts w:ascii="Times New Roman" w:hAnsi="Times New Roman"/>
          <w:sz w:val="24"/>
          <w:szCs w:val="24"/>
          <w:lang w:val="sr-Cyrl-CS"/>
        </w:rPr>
      </w:pPr>
    </w:p>
    <w:p w:rsidR="00323F37" w:rsidRPr="00421133" w:rsidRDefault="00323F37" w:rsidP="00323F37">
      <w:pPr>
        <w:ind w:firstLine="709"/>
        <w:jc w:val="both"/>
        <w:rPr>
          <w:rFonts w:ascii="Times New Roman" w:hAnsi="Times New Roman"/>
          <w:sz w:val="24"/>
          <w:szCs w:val="24"/>
          <w:lang w:val="sr-Cyrl-CS"/>
        </w:rPr>
      </w:pPr>
    </w:p>
    <w:p w:rsidR="00323F37" w:rsidRPr="00421133" w:rsidRDefault="00323F37" w:rsidP="00323F37">
      <w:pPr>
        <w:rPr>
          <w:rFonts w:ascii="Times New Roman" w:hAnsi="Times New Roman"/>
          <w:b/>
          <w:sz w:val="24"/>
          <w:szCs w:val="24"/>
          <w:lang w:val="sr-Cyrl-CS"/>
        </w:rPr>
      </w:pPr>
    </w:p>
    <w:p w:rsidR="00323F37" w:rsidRPr="00421133" w:rsidRDefault="00323F37" w:rsidP="00323F37">
      <w:pPr>
        <w:jc w:val="center"/>
        <w:rPr>
          <w:rFonts w:ascii="Times New Roman" w:hAnsi="Times New Roman"/>
          <w:b/>
          <w:sz w:val="24"/>
          <w:szCs w:val="24"/>
          <w:lang w:val="sr-Cyrl-CS"/>
        </w:rPr>
      </w:pPr>
    </w:p>
    <w:p w:rsidR="00323F37" w:rsidRPr="00421133" w:rsidRDefault="00323F37" w:rsidP="00323F37">
      <w:pPr>
        <w:jc w:val="center"/>
        <w:rPr>
          <w:rFonts w:ascii="Times New Roman" w:hAnsi="Times New Roman"/>
          <w:b/>
          <w:sz w:val="24"/>
          <w:szCs w:val="24"/>
          <w:lang w:val="sr-Cyrl-CS"/>
        </w:rPr>
      </w:pPr>
    </w:p>
    <w:p w:rsidR="00FC31A9" w:rsidRPr="00421133" w:rsidRDefault="00FC31A9">
      <w:pPr>
        <w:rPr>
          <w:rFonts w:ascii="Times New Roman" w:hAnsi="Times New Roman"/>
          <w:sz w:val="24"/>
          <w:szCs w:val="24"/>
        </w:rPr>
      </w:pPr>
    </w:p>
    <w:sectPr w:rsidR="00FC31A9" w:rsidRPr="00421133" w:rsidSect="00300FE0">
      <w:headerReference w:type="even" r:id="rId54"/>
      <w:headerReference w:type="default" r:id="rId55"/>
      <w:footerReference w:type="even" r:id="rId56"/>
      <w:footerReference w:type="default" r:id="rId57"/>
      <w:headerReference w:type="first" r:id="rId58"/>
      <w:footerReference w:type="first" r:id="rId59"/>
      <w:pgSz w:w="11906" w:h="16838"/>
      <w:pgMar w:top="1417" w:right="1134"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6297" w:rsidRDefault="00BF6297" w:rsidP="00D36E9E">
      <w:pPr>
        <w:spacing w:after="0" w:line="240" w:lineRule="auto"/>
      </w:pPr>
      <w:r>
        <w:separator/>
      </w:r>
    </w:p>
  </w:endnote>
  <w:endnote w:type="continuationSeparator" w:id="1">
    <w:p w:rsidR="00BF6297" w:rsidRDefault="00BF6297" w:rsidP="00D36E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AFF" w:usb1="C000605B" w:usb2="00000029" w:usb3="00000000" w:csb0="000101FF" w:csb1="00000000"/>
  </w:font>
  <w:font w:name="StarSymbol">
    <w:altName w:val="Arial Unicode MS"/>
    <w:charset w:val="02"/>
    <w:family w:val="auto"/>
    <w:pitch w:val="default"/>
    <w:sig w:usb0="00000000" w:usb1="00000000" w:usb2="00000000" w:usb3="00000000" w:csb0="00000000" w:csb1="00000000"/>
  </w:font>
  <w:font w:name="PalmSprings BT">
    <w:altName w:val="Arial"/>
    <w:panose1 w:val="00000000000000000000"/>
    <w:charset w:val="00"/>
    <w:family w:val="swiss"/>
    <w:notTrueType/>
    <w:pitch w:val="default"/>
    <w:sig w:usb0="00000003" w:usb1="00000000" w:usb2="00000000" w:usb3="00000000" w:csb0="00000001" w:csb1="00000000"/>
  </w:font>
  <w:font w:name="Adobe Caslon Pro">
    <w:altName w:val="Times New Roman"/>
    <w:panose1 w:val="00000000000000000000"/>
    <w:charset w:val="00"/>
    <w:family w:val="roman"/>
    <w:notTrueType/>
    <w:pitch w:val="default"/>
    <w:sig w:usb0="00000001" w:usb1="00000000" w:usb2="00000000" w:usb3="00000000" w:csb0="00000003" w:csb1="00000000"/>
  </w:font>
  <w:font w:name="Myriad Pro SemiCon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TimesNewRomanPS-ItalicMT">
    <w:altName w:val="Times New Roman"/>
    <w:panose1 w:val="00000000000000000000"/>
    <w:charset w:val="EE"/>
    <w:family w:val="auto"/>
    <w:notTrueType/>
    <w:pitch w:val="default"/>
    <w:sig w:usb0="00000207" w:usb1="00000000" w:usb2="00000000" w:usb3="00000000" w:csb0="00000007" w:csb1="00000000"/>
  </w:font>
  <w:font w:name="MyriadPro-Regular">
    <w:panose1 w:val="00000000000000000000"/>
    <w:charset w:val="EE"/>
    <w:family w:val="swiss"/>
    <w:notTrueType/>
    <w:pitch w:val="default"/>
    <w:sig w:usb0="00000005" w:usb1="00000000" w:usb2="00000000" w:usb3="00000000" w:csb0="00000002" w:csb1="00000000"/>
  </w:font>
  <w:font w:name="DINPro-Regular">
    <w:panose1 w:val="00000000000000000000"/>
    <w:charset w:val="EE"/>
    <w:family w:val="swiss"/>
    <w:notTrueType/>
    <w:pitch w:val="default"/>
    <w:sig w:usb0="00000005" w:usb1="00000000" w:usb2="00000000" w:usb3="00000000" w:csb0="00000002" w:csb1="00000000"/>
  </w:font>
  <w:font w:name="PalatinoLinotype">
    <w:altName w:val="MS Mincho"/>
    <w:panose1 w:val="00000000000000000000"/>
    <w:charset w:val="80"/>
    <w:family w:val="auto"/>
    <w:notTrueType/>
    <w:pitch w:val="default"/>
    <w:sig w:usb0="00000001" w:usb1="08070000" w:usb2="00000010" w:usb3="00000000" w:csb0="00020000" w:csb1="00000000"/>
  </w:font>
  <w:font w:name="ArialNarrow">
    <w:panose1 w:val="00000000000000000000"/>
    <w:charset w:val="EE"/>
    <w:family w:val="auto"/>
    <w:notTrueType/>
    <w:pitch w:val="default"/>
    <w:sig w:usb0="00000005" w:usb1="00000000" w:usb2="00000000" w:usb3="00000000" w:csb0="00000002" w:csb1="00000000"/>
  </w:font>
  <w:font w:name="ArialNarrow,Italic">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127" w:rsidRDefault="0076712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7109"/>
      <w:docPartObj>
        <w:docPartGallery w:val="Page Numbers (Bottom of Page)"/>
        <w:docPartUnique/>
      </w:docPartObj>
    </w:sdtPr>
    <w:sdtContent>
      <w:p w:rsidR="00767127" w:rsidRDefault="00767127">
        <w:pPr>
          <w:pStyle w:val="Footer"/>
          <w:jc w:val="right"/>
        </w:pPr>
        <w:fldSimple w:instr=" PAGE   \* MERGEFORMAT ">
          <w:r w:rsidR="00F35B47">
            <w:rPr>
              <w:noProof/>
            </w:rPr>
            <w:t>177</w:t>
          </w:r>
        </w:fldSimple>
      </w:p>
    </w:sdtContent>
  </w:sdt>
  <w:p w:rsidR="00767127" w:rsidRDefault="0076712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127" w:rsidRDefault="0076712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6297" w:rsidRDefault="00BF6297" w:rsidP="00D36E9E">
      <w:pPr>
        <w:spacing w:after="0" w:line="240" w:lineRule="auto"/>
      </w:pPr>
      <w:r>
        <w:separator/>
      </w:r>
    </w:p>
  </w:footnote>
  <w:footnote w:type="continuationSeparator" w:id="1">
    <w:p w:rsidR="00BF6297" w:rsidRDefault="00BF6297" w:rsidP="00D36E9E">
      <w:pPr>
        <w:spacing w:after="0" w:line="240" w:lineRule="auto"/>
      </w:pPr>
      <w:r>
        <w:continuationSeparator/>
      </w:r>
    </w:p>
  </w:footnote>
  <w:footnote w:id="2">
    <w:p w:rsidR="00767127" w:rsidRPr="0059781F" w:rsidRDefault="00767127" w:rsidP="00E86927">
      <w:pPr>
        <w:pStyle w:val="FootnoteText"/>
        <w:jc w:val="both"/>
        <w:rPr>
          <w:lang w:val="sr-Cyrl-CS"/>
        </w:rPr>
      </w:pPr>
      <w:r>
        <w:rPr>
          <w:rStyle w:val="FootnoteReference"/>
        </w:rPr>
        <w:footnoteRef/>
      </w:r>
      <w:r>
        <w:rPr>
          <w:lang w:val="sr-Cyrl-CS"/>
        </w:rPr>
        <w:t xml:space="preserve">Слободан Комазец и Ристић Жарко, </w:t>
      </w:r>
      <w:r w:rsidRPr="00E86927">
        <w:rPr>
          <w:b/>
          <w:lang w:val="sr-Cyrl-CS"/>
        </w:rPr>
        <w:t>Монетарне и јавне финансије</w:t>
      </w:r>
      <w:r>
        <w:rPr>
          <w:lang w:val="sr-Cyrl-CS"/>
        </w:rPr>
        <w:t>, ЕтноСтил, 2011, стр.13-14 (Извор:</w:t>
      </w:r>
      <w:hyperlink r:id="rId1" w:history="1">
        <w:r w:rsidRPr="00A81077">
          <w:rPr>
            <w:rStyle w:val="Hyperlink"/>
            <w:lang w:val="sr-Cyrl-CS"/>
          </w:rPr>
          <w:t>http://www.zarkoristic.com/download/knjige/monetarne-i-javne-finansije.pdf</w:t>
        </w:r>
      </w:hyperlink>
      <w:r>
        <w:rPr>
          <w:lang w:val="sr-Cyrl-CS"/>
        </w:rPr>
        <w:t xml:space="preserve">). </w:t>
      </w:r>
    </w:p>
  </w:footnote>
  <w:footnote w:id="3">
    <w:p w:rsidR="00767127" w:rsidRPr="00130534" w:rsidRDefault="00767127" w:rsidP="003B393D">
      <w:pPr>
        <w:pStyle w:val="FootnoteText"/>
        <w:rPr>
          <w:lang w:val="sr-Cyrl-CS"/>
        </w:rPr>
      </w:pPr>
      <w:r>
        <w:rPr>
          <w:rStyle w:val="FootnoteReference"/>
        </w:rPr>
        <w:footnoteRef/>
      </w:r>
      <w:r>
        <w:t xml:space="preserve"> </w:t>
      </w:r>
      <w:r>
        <w:rPr>
          <w:lang w:val="sr-Cyrl-CS"/>
        </w:rPr>
        <w:t xml:space="preserve">Милева Анђелковић и Драган Јовашевић, </w:t>
      </w:r>
      <w:r w:rsidRPr="00C23C24">
        <w:rPr>
          <w:b/>
          <w:lang w:val="sr-Cyrl-CS"/>
        </w:rPr>
        <w:t>Избегавање плаћања пореза: фискални и кривично-правни аспект</w:t>
      </w:r>
      <w:r w:rsidRPr="00C23C24">
        <w:rPr>
          <w:lang w:val="sr-Cyrl-CS"/>
        </w:rPr>
        <w:t>,</w:t>
      </w:r>
      <w:r>
        <w:rPr>
          <w:lang w:val="sr-Cyrl-CS"/>
        </w:rPr>
        <w:t xml:space="preserve"> Правни факултет Универзитета у Нишу, Ниш, 2006, стр. 19.</w:t>
      </w:r>
    </w:p>
  </w:footnote>
  <w:footnote w:id="4">
    <w:p w:rsidR="00767127" w:rsidRPr="00117B39" w:rsidRDefault="00767127" w:rsidP="003B393D">
      <w:pPr>
        <w:pStyle w:val="FootnoteText"/>
        <w:jc w:val="both"/>
        <w:rPr>
          <w:lang w:val="sr-Cyrl-CS"/>
        </w:rPr>
      </w:pPr>
      <w:r>
        <w:rPr>
          <w:rStyle w:val="FootnoteReference"/>
        </w:rPr>
        <w:footnoteRef/>
      </w:r>
      <w:r>
        <w:t xml:space="preserve"> </w:t>
      </w:r>
      <w:r>
        <w:rPr>
          <w:lang w:val="sr-Cyrl-CS"/>
        </w:rPr>
        <w:t>Према становишту које заступају неки аутори полазну тачку у науци о финансијама представља новац, а не изучавање јавних прихода и јавних расхода, што је, по њима, нелогично и одраз превазиђеног система у којем се изучавање сводило углавном на  буџет као инструмент финансирања државе и привреде. Новац,</w:t>
      </w:r>
      <w:r>
        <w:t xml:space="preserve"> </w:t>
      </w:r>
      <w:r>
        <w:rPr>
          <w:lang w:val="sr-Cyrl-CS"/>
        </w:rPr>
        <w:t xml:space="preserve">кредит, банке и други монетарни феномени и институције били су од малог значаја у токовима репродукције. Тек развојем друштвеног власништва над средствима за производњу, развојем робно-новчаних односа и већом улогом тржишног механизма, у нашој финансијској теорији новац и кредит добијају посебно на значењу, постајући готово основни део науке о финансијама и нераздвојни део јавних финансија. Упореди: Слободан Комазец и Ристић Жарко, </w:t>
      </w:r>
      <w:r w:rsidRPr="00431006">
        <w:rPr>
          <w:i/>
          <w:lang w:val="sr-Cyrl-CS"/>
        </w:rPr>
        <w:t>нав. дело</w:t>
      </w:r>
      <w:r>
        <w:rPr>
          <w:lang w:val="sr-Cyrl-CS"/>
        </w:rPr>
        <w:t xml:space="preserve">, стр. 17. (Извор: </w:t>
      </w:r>
      <w:hyperlink r:id="rId2" w:history="1">
        <w:r w:rsidRPr="00A81077">
          <w:rPr>
            <w:rStyle w:val="Hyperlink"/>
            <w:lang w:val="sr-Cyrl-CS"/>
          </w:rPr>
          <w:t>http://www.zarkoristic.com/download/knjige/monetarne-i-javne-finansije.pdf</w:t>
        </w:r>
      </w:hyperlink>
      <w:r>
        <w:rPr>
          <w:lang w:val="sr-Cyrl-CS"/>
        </w:rPr>
        <w:t xml:space="preserve">).  </w:t>
      </w:r>
    </w:p>
  </w:footnote>
  <w:footnote w:id="5">
    <w:p w:rsidR="00767127" w:rsidRPr="0059781F" w:rsidRDefault="00767127">
      <w:pPr>
        <w:pStyle w:val="FootnoteText"/>
        <w:rPr>
          <w:lang w:val="sr-Cyrl-CS"/>
        </w:rPr>
      </w:pPr>
      <w:r>
        <w:rPr>
          <w:rStyle w:val="FootnoteReference"/>
        </w:rPr>
        <w:footnoteRef/>
      </w:r>
      <w:r>
        <w:t xml:space="preserve"> </w:t>
      </w:r>
      <w:r>
        <w:rPr>
          <w:i/>
          <w:lang w:val="sr-Cyrl-CS"/>
        </w:rPr>
        <w:t>Нав .дело</w:t>
      </w:r>
      <w:r w:rsidRPr="003E37EC">
        <w:rPr>
          <w:i/>
        </w:rPr>
        <w:t>,</w:t>
      </w:r>
      <w:r>
        <w:rPr>
          <w:lang w:val="sr-Cyrl-CS"/>
        </w:rPr>
        <w:t xml:space="preserve"> стр.15.</w:t>
      </w:r>
    </w:p>
  </w:footnote>
  <w:footnote w:id="6">
    <w:p w:rsidR="00767127" w:rsidRPr="00D33B83" w:rsidRDefault="00767127" w:rsidP="00CA4231">
      <w:pPr>
        <w:pStyle w:val="FootnoteText"/>
        <w:jc w:val="both"/>
        <w:rPr>
          <w:lang w:val="sr-Cyrl-CS"/>
        </w:rPr>
      </w:pPr>
      <w:r>
        <w:rPr>
          <w:rStyle w:val="FootnoteReference"/>
        </w:rPr>
        <w:footnoteRef/>
      </w:r>
      <w:r>
        <w:t xml:space="preserve"> </w:t>
      </w:r>
      <w:r>
        <w:rPr>
          <w:lang w:val="sr-Cyrl-CS"/>
        </w:rPr>
        <w:t xml:space="preserve">Божидар Раичевић, </w:t>
      </w:r>
      <w:r w:rsidRPr="00C23C24">
        <w:rPr>
          <w:b/>
          <w:lang w:val="sr-Cyrl-CS"/>
        </w:rPr>
        <w:t>Јавне финансије</w:t>
      </w:r>
      <w:r>
        <w:rPr>
          <w:lang w:val="sr-Cyrl-CS"/>
        </w:rPr>
        <w:t>, Економски факултет Универзитета у Београду, Београд, 2008, стр.24.</w:t>
      </w:r>
    </w:p>
  </w:footnote>
  <w:footnote w:id="7">
    <w:p w:rsidR="00767127" w:rsidRPr="003C798F" w:rsidRDefault="00767127" w:rsidP="003C798F">
      <w:pPr>
        <w:pStyle w:val="FootnoteText"/>
        <w:jc w:val="both"/>
      </w:pPr>
      <w:r>
        <w:rPr>
          <w:rStyle w:val="FootnoteReference"/>
        </w:rPr>
        <w:footnoteRef/>
      </w:r>
      <w:r>
        <w:t xml:space="preserve"> </w:t>
      </w:r>
      <w:r>
        <w:rPr>
          <w:lang w:val="sr-Cyrl-CS"/>
        </w:rPr>
        <w:t xml:space="preserve">Упореди: Дејан Поповић, </w:t>
      </w:r>
      <w:r w:rsidRPr="00C23C24">
        <w:rPr>
          <w:b/>
          <w:lang w:val="sr-Cyrl-CS"/>
        </w:rPr>
        <w:t>Пореско право</w:t>
      </w:r>
      <w:r>
        <w:rPr>
          <w:lang w:val="sr-Cyrl-CS"/>
        </w:rPr>
        <w:t xml:space="preserve">, Правни факултет Универзитета у Београду и ЈП „Службени гласник“, Београд, 2009, стр. 5-11, Горан Б. Милошевић, </w:t>
      </w:r>
      <w:r w:rsidRPr="00C23C24">
        <w:rPr>
          <w:b/>
          <w:lang w:val="sr-Cyrl-CS"/>
        </w:rPr>
        <w:t>Јавне и монетарне финансије</w:t>
      </w:r>
      <w:r>
        <w:rPr>
          <w:lang w:val="sr-Cyrl-CS"/>
        </w:rPr>
        <w:t xml:space="preserve">, Криминалистичко-полицијска академија, 2010, стр.148-152, Јован Ловчевић, </w:t>
      </w:r>
      <w:r w:rsidRPr="00C23C24">
        <w:rPr>
          <w:b/>
          <w:lang w:val="sr-Cyrl-CS"/>
        </w:rPr>
        <w:t>Институције јавних финансија</w:t>
      </w:r>
      <w:r>
        <w:rPr>
          <w:i/>
          <w:lang w:val="sr-Cyrl-CS"/>
        </w:rPr>
        <w:t xml:space="preserve">, </w:t>
      </w:r>
      <w:r w:rsidRPr="00C167A9">
        <w:rPr>
          <w:lang w:val="sr-Cyrl-CS"/>
        </w:rPr>
        <w:t>Службени лист СФРЈ</w:t>
      </w:r>
      <w:r>
        <w:rPr>
          <w:i/>
          <w:lang w:val="sr-Cyrl-CS"/>
        </w:rPr>
        <w:t xml:space="preserve">, </w:t>
      </w:r>
      <w:r>
        <w:rPr>
          <w:lang w:val="sr-Cyrl-CS"/>
        </w:rPr>
        <w:t>Београд, 1991</w:t>
      </w:r>
      <w:r w:rsidRPr="00C167A9">
        <w:rPr>
          <w:lang w:val="sr-Cyrl-CS"/>
        </w:rPr>
        <w:t>, стр.</w:t>
      </w:r>
      <w:r>
        <w:rPr>
          <w:lang w:val="sr-Cyrl-CS"/>
        </w:rPr>
        <w:t>57-72,</w:t>
      </w:r>
      <w:r>
        <w:t xml:space="preserve"> </w:t>
      </w:r>
      <w:r>
        <w:rPr>
          <w:lang w:val="sr-Cyrl-CS"/>
        </w:rPr>
        <w:t xml:space="preserve">Божидар Раичевић, </w:t>
      </w:r>
      <w:r w:rsidRPr="00C23C24">
        <w:rPr>
          <w:b/>
          <w:lang w:val="sr-Cyrl-CS"/>
        </w:rPr>
        <w:t>Јавне финансије</w:t>
      </w:r>
      <w:r>
        <w:rPr>
          <w:lang w:val="sr-Cyrl-CS"/>
        </w:rPr>
        <w:t xml:space="preserve">, Економски факултет Универзитета у Београду, Београд, 2008, стр. 37-38. </w:t>
      </w:r>
    </w:p>
  </w:footnote>
  <w:footnote w:id="8">
    <w:p w:rsidR="00767127" w:rsidRPr="00D255B2" w:rsidRDefault="00767127">
      <w:pPr>
        <w:pStyle w:val="FootnoteText"/>
        <w:rPr>
          <w:lang w:val="sr-Cyrl-CS"/>
        </w:rPr>
      </w:pPr>
      <w:r>
        <w:rPr>
          <w:rStyle w:val="FootnoteReference"/>
        </w:rPr>
        <w:footnoteRef/>
      </w:r>
      <w:r>
        <w:t xml:space="preserve"> </w:t>
      </w:r>
      <w:r>
        <w:rPr>
          <w:lang w:val="sr-Cyrl-CS"/>
        </w:rPr>
        <w:t xml:space="preserve">Горан Б. Милошевић, </w:t>
      </w:r>
      <w:r w:rsidRPr="00C23C24">
        <w:rPr>
          <w:b/>
          <w:lang w:val="sr-Cyrl-CS"/>
        </w:rPr>
        <w:t>Јавне и монетарне финансије</w:t>
      </w:r>
      <w:r>
        <w:rPr>
          <w:lang w:val="sr-Cyrl-CS"/>
        </w:rPr>
        <w:t>, Криминалистичко-полицијска академија, 2010, стр.150.</w:t>
      </w:r>
    </w:p>
  </w:footnote>
  <w:footnote w:id="9">
    <w:p w:rsidR="00767127" w:rsidRPr="00B04AE3" w:rsidRDefault="00767127">
      <w:pPr>
        <w:pStyle w:val="FootnoteText"/>
        <w:rPr>
          <w:lang w:val="sr-Cyrl-CS"/>
        </w:rPr>
      </w:pPr>
      <w:r>
        <w:rPr>
          <w:rStyle w:val="FootnoteReference"/>
        </w:rPr>
        <w:footnoteRef/>
      </w:r>
      <w:r>
        <w:t xml:space="preserve"> </w:t>
      </w:r>
      <w:r>
        <w:rPr>
          <w:lang w:val="sr-Cyrl-CS"/>
        </w:rPr>
        <w:t xml:space="preserve">Дејан Поповић, </w:t>
      </w:r>
      <w:r w:rsidRPr="00C23C24">
        <w:rPr>
          <w:b/>
          <w:lang w:val="sr-Cyrl-CS"/>
        </w:rPr>
        <w:t>Пореско право</w:t>
      </w:r>
      <w:r>
        <w:rPr>
          <w:lang w:val="sr-Cyrl-CS"/>
        </w:rPr>
        <w:t>, Правни факултет Универзитета у Београду</w:t>
      </w:r>
      <w:r w:rsidRPr="00C23C24">
        <w:rPr>
          <w:lang w:val="sr-Cyrl-CS"/>
        </w:rPr>
        <w:t xml:space="preserve"> </w:t>
      </w:r>
      <w:r>
        <w:rPr>
          <w:lang w:val="sr-Cyrl-CS"/>
        </w:rPr>
        <w:t>и ЈП „Службени гласник“ , Београд, 2009, стр. 5.</w:t>
      </w:r>
    </w:p>
  </w:footnote>
  <w:footnote w:id="10">
    <w:p w:rsidR="00767127" w:rsidRPr="004745D3" w:rsidRDefault="00767127" w:rsidP="00C67D7F">
      <w:pPr>
        <w:pStyle w:val="FootnoteText"/>
        <w:rPr>
          <w:lang w:val="sr-Cyrl-CS"/>
        </w:rPr>
      </w:pPr>
      <w:r>
        <w:rPr>
          <w:rStyle w:val="FootnoteReference"/>
        </w:rPr>
        <w:footnoteRef/>
      </w:r>
      <w:r>
        <w:t xml:space="preserve"> </w:t>
      </w:r>
      <w:r>
        <w:rPr>
          <w:lang w:val="sr-Cyrl-CS"/>
        </w:rPr>
        <w:t xml:space="preserve">Горан Б. Милошевић, </w:t>
      </w:r>
      <w:r>
        <w:rPr>
          <w:i/>
          <w:lang w:val="sr-Cyrl-CS"/>
        </w:rPr>
        <w:t>нав.дело</w:t>
      </w:r>
      <w:r w:rsidRPr="003117E3">
        <w:rPr>
          <w:i/>
        </w:rPr>
        <w:t>,</w:t>
      </w:r>
      <w:r>
        <w:rPr>
          <w:lang w:val="sr-Cyrl-CS"/>
        </w:rPr>
        <w:t xml:space="preserve"> стр. 149.</w:t>
      </w:r>
    </w:p>
  </w:footnote>
  <w:footnote w:id="11">
    <w:p w:rsidR="00767127" w:rsidRPr="008B5485" w:rsidRDefault="00767127">
      <w:pPr>
        <w:pStyle w:val="FootnoteText"/>
        <w:rPr>
          <w:lang w:val="sr-Cyrl-CS"/>
        </w:rPr>
      </w:pPr>
      <w:r>
        <w:rPr>
          <w:rStyle w:val="FootnoteReference"/>
        </w:rPr>
        <w:footnoteRef/>
      </w:r>
      <w:r>
        <w:t xml:space="preserve"> </w:t>
      </w:r>
      <w:r>
        <w:rPr>
          <w:lang w:val="sr-Cyrl-CS"/>
        </w:rPr>
        <w:t xml:space="preserve">Дејан Поповић, </w:t>
      </w:r>
      <w:r>
        <w:rPr>
          <w:i/>
          <w:lang w:val="sr-Cyrl-CS"/>
        </w:rPr>
        <w:t>нав. дело</w:t>
      </w:r>
      <w:r w:rsidRPr="003117E3">
        <w:rPr>
          <w:i/>
        </w:rPr>
        <w:t>,</w:t>
      </w:r>
      <w:r>
        <w:rPr>
          <w:b/>
        </w:rPr>
        <w:t xml:space="preserve"> </w:t>
      </w:r>
      <w:r>
        <w:rPr>
          <w:lang w:val="sr-Cyrl-CS"/>
        </w:rPr>
        <w:t>стр. 5.</w:t>
      </w:r>
    </w:p>
  </w:footnote>
  <w:footnote w:id="12">
    <w:p w:rsidR="00767127" w:rsidRPr="000D3C6F" w:rsidRDefault="00767127">
      <w:pPr>
        <w:pStyle w:val="FootnoteText"/>
        <w:rPr>
          <w:lang w:val="sr-Cyrl-CS"/>
        </w:rPr>
      </w:pPr>
      <w:r>
        <w:rPr>
          <w:rStyle w:val="FootnoteReference"/>
        </w:rPr>
        <w:footnoteRef/>
      </w:r>
      <w:r>
        <w:t xml:space="preserve"> </w:t>
      </w:r>
      <w:r w:rsidRPr="009F74D4">
        <w:rPr>
          <w:i/>
          <w:lang w:val="sr-Cyrl-CS"/>
        </w:rPr>
        <w:t>Нав. дело</w:t>
      </w:r>
      <w:r>
        <w:rPr>
          <w:lang w:val="sr-Cyrl-CS"/>
        </w:rPr>
        <w:t>, стр. 10.</w:t>
      </w:r>
    </w:p>
  </w:footnote>
  <w:footnote w:id="13">
    <w:p w:rsidR="00767127" w:rsidRPr="00F84725" w:rsidRDefault="00767127" w:rsidP="0021521C">
      <w:pPr>
        <w:pStyle w:val="FootnoteText"/>
        <w:rPr>
          <w:lang w:val="sr-Cyrl-CS"/>
        </w:rPr>
      </w:pPr>
      <w:r>
        <w:rPr>
          <w:rStyle w:val="FootnoteReference"/>
        </w:rPr>
        <w:footnoteRef/>
      </w:r>
      <w:r>
        <w:t xml:space="preserve"> </w:t>
      </w:r>
      <w:r>
        <w:rPr>
          <w:lang w:val="sr-Cyrl-CS"/>
        </w:rPr>
        <w:t xml:space="preserve">Горан Б. Милошевић, </w:t>
      </w:r>
      <w:r>
        <w:rPr>
          <w:i/>
          <w:lang w:val="sr-Cyrl-CS"/>
        </w:rPr>
        <w:t>нав. дело,</w:t>
      </w:r>
      <w:r>
        <w:rPr>
          <w:lang w:val="sr-Cyrl-CS"/>
        </w:rPr>
        <w:t xml:space="preserve"> стр. 150.</w:t>
      </w:r>
    </w:p>
  </w:footnote>
  <w:footnote w:id="14">
    <w:p w:rsidR="00767127" w:rsidRPr="00834193" w:rsidRDefault="00767127">
      <w:pPr>
        <w:pStyle w:val="FootnoteText"/>
        <w:rPr>
          <w:lang w:val="sr-Cyrl-CS"/>
        </w:rPr>
      </w:pPr>
      <w:r>
        <w:rPr>
          <w:rStyle w:val="FootnoteReference"/>
        </w:rPr>
        <w:footnoteRef/>
      </w:r>
      <w:r>
        <w:t xml:space="preserve"> </w:t>
      </w:r>
      <w:r>
        <w:rPr>
          <w:lang w:val="sr-Cyrl-CS"/>
        </w:rPr>
        <w:t>чл.3. Закона о буџетском систему, „Службени гласник РС“ бр.54/2009, 73/2010, 101/2010, 93/2012,  62/2013 и 63/2013.</w:t>
      </w:r>
    </w:p>
  </w:footnote>
  <w:footnote w:id="15">
    <w:p w:rsidR="00767127" w:rsidRPr="0096496F" w:rsidRDefault="00767127">
      <w:pPr>
        <w:pStyle w:val="FootnoteText"/>
        <w:rPr>
          <w:lang w:val="sr-Cyrl-CS"/>
        </w:rPr>
      </w:pPr>
      <w:r>
        <w:rPr>
          <w:rStyle w:val="FootnoteReference"/>
        </w:rPr>
        <w:footnoteRef/>
      </w:r>
      <w:r>
        <w:t xml:space="preserve"> </w:t>
      </w:r>
      <w:r>
        <w:rPr>
          <w:lang w:val="sr-Cyrl-CS"/>
        </w:rPr>
        <w:t xml:space="preserve">чл.2. тач. 15. Закона о буџетском систему, „Службени гласник РС“ бр.54/2009, 73/2010, 101/2010, 93/2012,  62/2013 и 63/2013. </w:t>
      </w:r>
    </w:p>
  </w:footnote>
  <w:footnote w:id="16">
    <w:p w:rsidR="00767127" w:rsidRPr="005D43E0" w:rsidRDefault="00767127">
      <w:pPr>
        <w:pStyle w:val="FootnoteText"/>
        <w:rPr>
          <w:lang w:val="sr-Cyrl-CS"/>
        </w:rPr>
      </w:pPr>
      <w:r>
        <w:rPr>
          <w:rStyle w:val="FootnoteReference"/>
        </w:rPr>
        <w:footnoteRef/>
      </w:r>
      <w:r>
        <w:t xml:space="preserve"> </w:t>
      </w:r>
      <w:r>
        <w:rPr>
          <w:lang w:val="sr-Cyrl-CS"/>
        </w:rPr>
        <w:t xml:space="preserve">Јован Ловчевић, </w:t>
      </w:r>
      <w:r w:rsidRPr="000514FE">
        <w:rPr>
          <w:b/>
          <w:lang w:val="sr-Cyrl-CS"/>
        </w:rPr>
        <w:t>Институције јавних финансија</w:t>
      </w:r>
      <w:r>
        <w:rPr>
          <w:i/>
          <w:lang w:val="sr-Cyrl-CS"/>
        </w:rPr>
        <w:t>,</w:t>
      </w:r>
      <w:r>
        <w:rPr>
          <w:lang w:val="sr-Cyrl-CS"/>
        </w:rPr>
        <w:t xml:space="preserve"> Службени лист СФРЈ. Београд, 2008, стр. 71-72.</w:t>
      </w:r>
    </w:p>
  </w:footnote>
  <w:footnote w:id="17">
    <w:p w:rsidR="00767127" w:rsidRPr="00D86369" w:rsidRDefault="00767127">
      <w:pPr>
        <w:pStyle w:val="FootnoteText"/>
        <w:rPr>
          <w:lang w:val="sr-Cyrl-CS"/>
        </w:rPr>
      </w:pPr>
      <w:r>
        <w:rPr>
          <w:rStyle w:val="FootnoteReference"/>
        </w:rPr>
        <w:footnoteRef/>
      </w:r>
      <w:r>
        <w:t xml:space="preserve"> </w:t>
      </w:r>
      <w:r w:rsidRPr="00C23C24">
        <w:rPr>
          <w:b/>
          <w:lang w:val="en-US"/>
        </w:rPr>
        <w:t xml:space="preserve">OECD </w:t>
      </w:r>
      <w:r>
        <w:rPr>
          <w:b/>
          <w:lang w:val="en-US"/>
        </w:rPr>
        <w:t xml:space="preserve">Classification of Taxes and </w:t>
      </w:r>
      <w:r w:rsidRPr="00C23C24">
        <w:rPr>
          <w:b/>
          <w:lang w:val="en-US"/>
        </w:rPr>
        <w:t>Interpretative Guide</w:t>
      </w:r>
      <w:r>
        <w:rPr>
          <w:lang w:val="en-US"/>
        </w:rPr>
        <w:t>, pp. 146-147 (</w:t>
      </w:r>
      <w:r>
        <w:rPr>
          <w:lang w:val="sr-Cyrl-CS"/>
        </w:rPr>
        <w:t xml:space="preserve">Извор: </w:t>
      </w:r>
      <w:hyperlink r:id="rId3" w:history="1">
        <w:r w:rsidRPr="003B65F5">
          <w:rPr>
            <w:rStyle w:val="Hyperlink"/>
            <w:lang w:val="sr-Cyrl-CS"/>
          </w:rPr>
          <w:t>http://www.keepeek.com</w:t>
        </w:r>
      </w:hyperlink>
      <w:r>
        <w:rPr>
          <w:lang w:val="sr-Cyrl-CS"/>
        </w:rPr>
        <w:t>)</w:t>
      </w:r>
    </w:p>
  </w:footnote>
  <w:footnote w:id="18">
    <w:p w:rsidR="00767127" w:rsidRPr="00C12029" w:rsidRDefault="00767127" w:rsidP="003E54C8">
      <w:pPr>
        <w:pStyle w:val="FootnoteText"/>
        <w:rPr>
          <w:lang w:val="sr-Cyrl-CS"/>
        </w:rPr>
      </w:pPr>
      <w:r>
        <w:rPr>
          <w:rStyle w:val="FootnoteReference"/>
        </w:rPr>
        <w:footnoteRef/>
      </w:r>
      <w:r>
        <w:t xml:space="preserve"> </w:t>
      </w:r>
      <w:r>
        <w:rPr>
          <w:lang w:val="sr-Cyrl-CS"/>
        </w:rPr>
        <w:t xml:space="preserve">Јовашевић Драган и Тарик Хашимбеговић, </w:t>
      </w:r>
      <w:r w:rsidRPr="00C23C24">
        <w:rPr>
          <w:b/>
          <w:lang w:val="sr-Cyrl-CS"/>
        </w:rPr>
        <w:t>Систем пореских деликата</w:t>
      </w:r>
      <w:r>
        <w:rPr>
          <w:lang w:val="sr-Cyrl-CS"/>
        </w:rPr>
        <w:t xml:space="preserve">, </w:t>
      </w:r>
      <w:r>
        <w:t xml:space="preserve">Intermex, </w:t>
      </w:r>
      <w:r>
        <w:rPr>
          <w:lang w:val="sr-Cyrl-CS"/>
        </w:rPr>
        <w:t>Београд, 2004, стр. 15.</w:t>
      </w:r>
    </w:p>
  </w:footnote>
  <w:footnote w:id="19">
    <w:p w:rsidR="00767127" w:rsidRPr="00FD247B" w:rsidRDefault="00767127" w:rsidP="00F74906">
      <w:pPr>
        <w:pStyle w:val="FootnoteText"/>
        <w:jc w:val="both"/>
        <w:rPr>
          <w:lang w:val="sr-Cyrl-CS"/>
        </w:rPr>
      </w:pPr>
      <w:r>
        <w:rPr>
          <w:rStyle w:val="FootnoteReference"/>
        </w:rPr>
        <w:footnoteRef/>
      </w:r>
      <w:r>
        <w:t xml:space="preserve"> </w:t>
      </w:r>
      <w:r>
        <w:rPr>
          <w:lang w:val="sr-Cyrl-CS"/>
        </w:rPr>
        <w:t xml:space="preserve">Илић-Попов Гордана и Ђорђе Павловић, </w:t>
      </w:r>
      <w:r w:rsidRPr="00FD247B">
        <w:rPr>
          <w:b/>
          <w:lang w:val="sr-Cyrl-CS"/>
        </w:rPr>
        <w:t>Лексикон јавних финансија</w:t>
      </w:r>
      <w:r>
        <w:rPr>
          <w:lang w:val="sr-Cyrl-CS"/>
        </w:rPr>
        <w:t>, Завод за унапређење и рентабилност пословања, Београд, 2003, стр. 253.</w:t>
      </w:r>
    </w:p>
  </w:footnote>
  <w:footnote w:id="20">
    <w:p w:rsidR="00767127" w:rsidRPr="001B4AA0" w:rsidRDefault="00767127" w:rsidP="003E54C8">
      <w:pPr>
        <w:pStyle w:val="FootnoteText"/>
        <w:rPr>
          <w:lang w:val="sr-Cyrl-CS"/>
        </w:rPr>
      </w:pPr>
      <w:r>
        <w:rPr>
          <w:rStyle w:val="FootnoteReference"/>
        </w:rPr>
        <w:footnoteRef/>
      </w:r>
      <w:r>
        <w:t xml:space="preserve"> </w:t>
      </w:r>
      <w:r>
        <w:rPr>
          <w:lang w:val="sr-Cyrl-CS"/>
        </w:rPr>
        <w:t xml:space="preserve">Дејан Поповић, </w:t>
      </w:r>
      <w:r w:rsidRPr="00C23C24">
        <w:rPr>
          <w:b/>
          <w:lang w:val="sr-Cyrl-CS"/>
        </w:rPr>
        <w:t>Наука о порезима и пореско право</w:t>
      </w:r>
      <w:r>
        <w:rPr>
          <w:lang w:val="sr-Cyrl-CS"/>
        </w:rPr>
        <w:t>, Савремена администрација, Београд, 1997, стр. 482.</w:t>
      </w:r>
    </w:p>
  </w:footnote>
  <w:footnote w:id="21">
    <w:p w:rsidR="00767127" w:rsidRPr="00D65F8C" w:rsidRDefault="00767127" w:rsidP="00B60414">
      <w:pPr>
        <w:pStyle w:val="FootnoteText"/>
        <w:rPr>
          <w:lang w:val="sr-Cyrl-CS"/>
        </w:rPr>
      </w:pPr>
      <w:r>
        <w:rPr>
          <w:rStyle w:val="FootnoteReference"/>
        </w:rPr>
        <w:footnoteRef/>
      </w:r>
      <w:r>
        <w:t xml:space="preserve"> </w:t>
      </w:r>
      <w:r>
        <w:rPr>
          <w:lang w:val="sr-Cyrl-CS"/>
        </w:rPr>
        <w:t xml:space="preserve">Милева Анђелковић и Драган Јовашевић, </w:t>
      </w:r>
      <w:r>
        <w:rPr>
          <w:i/>
          <w:lang w:val="sr-Cyrl-CS"/>
        </w:rPr>
        <w:t>нав. дело</w:t>
      </w:r>
      <w:r w:rsidRPr="00C512E2">
        <w:rPr>
          <w:i/>
        </w:rPr>
        <w:t>,</w:t>
      </w:r>
      <w:r>
        <w:rPr>
          <w:lang w:val="sr-Cyrl-CS"/>
        </w:rPr>
        <w:t xml:space="preserve"> стр. 15.</w:t>
      </w:r>
    </w:p>
  </w:footnote>
  <w:footnote w:id="22">
    <w:p w:rsidR="00767127" w:rsidRPr="008706E9" w:rsidRDefault="00767127">
      <w:pPr>
        <w:pStyle w:val="FootnoteText"/>
        <w:rPr>
          <w:lang w:val="sr-Cyrl-CS"/>
        </w:rPr>
      </w:pPr>
      <w:r>
        <w:rPr>
          <w:rStyle w:val="FootnoteReference"/>
        </w:rPr>
        <w:footnoteRef/>
      </w:r>
      <w:r>
        <w:t xml:space="preserve"> </w:t>
      </w:r>
      <w:r>
        <w:rPr>
          <w:lang w:val="sr-Cyrl-CS"/>
        </w:rPr>
        <w:t xml:space="preserve">Будимир Стакић и Миленка Јездимировић, </w:t>
      </w:r>
      <w:r w:rsidRPr="00F739FF">
        <w:rPr>
          <w:b/>
          <w:lang w:val="sr-Cyrl-CS"/>
        </w:rPr>
        <w:t>Јавне фина</w:t>
      </w:r>
      <w:r>
        <w:rPr>
          <w:b/>
          <w:lang w:val="sr-Cyrl-CS"/>
        </w:rPr>
        <w:t>н</w:t>
      </w:r>
      <w:r w:rsidRPr="00F739FF">
        <w:rPr>
          <w:b/>
          <w:lang w:val="sr-Cyrl-CS"/>
        </w:rPr>
        <w:t>сије</w:t>
      </w:r>
      <w:r>
        <w:rPr>
          <w:lang w:val="sr-Cyrl-CS"/>
        </w:rPr>
        <w:t>, Универзитет Сингидунум, Београд, 2012, стр. 27.</w:t>
      </w:r>
    </w:p>
  </w:footnote>
  <w:footnote w:id="23">
    <w:p w:rsidR="00767127" w:rsidRPr="00440619" w:rsidRDefault="00767127" w:rsidP="009551E3">
      <w:pPr>
        <w:pStyle w:val="FootnoteText"/>
        <w:jc w:val="both"/>
        <w:rPr>
          <w:lang w:val="sr-Cyrl-CS"/>
        </w:rPr>
      </w:pPr>
      <w:r>
        <w:rPr>
          <w:rStyle w:val="FootnoteReference"/>
        </w:rPr>
        <w:footnoteRef/>
      </w:r>
      <w:r>
        <w:t xml:space="preserve"> </w:t>
      </w:r>
      <w:r>
        <w:rPr>
          <w:lang w:val="sr-Cyrl-CS"/>
        </w:rPr>
        <w:t xml:space="preserve">Јован Ловчевић, </w:t>
      </w:r>
      <w:r w:rsidRPr="001E6098">
        <w:rPr>
          <w:i/>
          <w:lang w:val="sr-Cyrl-CS"/>
        </w:rPr>
        <w:t>нав. дело</w:t>
      </w:r>
      <w:r>
        <w:rPr>
          <w:lang w:val="sr-Cyrl-CS"/>
        </w:rPr>
        <w:t>, стр.115-117.</w:t>
      </w:r>
    </w:p>
  </w:footnote>
  <w:footnote w:id="24">
    <w:p w:rsidR="00767127" w:rsidRPr="00A32AC8" w:rsidRDefault="00767127" w:rsidP="00177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sz w:val="20"/>
          <w:szCs w:val="20"/>
          <w:lang w:val="sr-Cyrl-CS"/>
        </w:rPr>
      </w:pPr>
      <w:r>
        <w:rPr>
          <w:rStyle w:val="FootnoteReference"/>
        </w:rPr>
        <w:footnoteRef/>
      </w:r>
      <w:r>
        <w:t xml:space="preserve"> </w:t>
      </w:r>
      <w:r w:rsidRPr="00A32AC8">
        <w:rPr>
          <w:sz w:val="20"/>
          <w:szCs w:val="20"/>
          <w:lang w:val="sr-Cyrl-CS"/>
        </w:rPr>
        <w:t>Жарко</w:t>
      </w:r>
      <w:r>
        <w:rPr>
          <w:lang w:val="sr-Cyrl-CS"/>
        </w:rPr>
        <w:t xml:space="preserve"> </w:t>
      </w:r>
      <w:r>
        <w:rPr>
          <w:rFonts w:asciiTheme="minorHAnsi" w:hAnsiTheme="minorHAnsi"/>
          <w:sz w:val="20"/>
          <w:szCs w:val="20"/>
          <w:lang w:val="sr-Cyrl-CS"/>
        </w:rPr>
        <w:t>Ристић</w:t>
      </w:r>
      <w:r w:rsidRPr="00A32AC8">
        <w:rPr>
          <w:rFonts w:asciiTheme="minorHAnsi" w:hAnsiTheme="minorHAnsi"/>
          <w:sz w:val="20"/>
          <w:szCs w:val="20"/>
          <w:lang w:val="sr-Cyrl-CS"/>
        </w:rPr>
        <w:t xml:space="preserve">, </w:t>
      </w:r>
      <w:r>
        <w:rPr>
          <w:rFonts w:asciiTheme="minorHAnsi" w:hAnsiTheme="minorHAnsi"/>
          <w:b/>
          <w:sz w:val="20"/>
          <w:szCs w:val="20"/>
          <w:lang w:val="sr-Cyrl-CS"/>
        </w:rPr>
        <w:t>Фискална економија и менаџмент јавног сектора</w:t>
      </w:r>
      <w:r>
        <w:rPr>
          <w:rFonts w:asciiTheme="minorHAnsi" w:hAnsiTheme="minorHAnsi"/>
          <w:sz w:val="20"/>
          <w:szCs w:val="20"/>
          <w:lang w:val="sr-Cyrl-CS"/>
        </w:rPr>
        <w:t xml:space="preserve">, Либер, Београд, 2008, </w:t>
      </w:r>
      <w:r w:rsidRPr="00A32AC8">
        <w:rPr>
          <w:rFonts w:asciiTheme="minorHAnsi" w:hAnsiTheme="minorHAnsi"/>
          <w:sz w:val="20"/>
          <w:szCs w:val="20"/>
          <w:lang w:val="sr-Cyrl-CS"/>
        </w:rPr>
        <w:t>стр. 244.</w:t>
      </w:r>
    </w:p>
  </w:footnote>
  <w:footnote w:id="25">
    <w:p w:rsidR="00767127" w:rsidRPr="004E0599" w:rsidRDefault="00767127" w:rsidP="003A3950">
      <w:pPr>
        <w:pStyle w:val="FootnoteText"/>
        <w:jc w:val="both"/>
        <w:rPr>
          <w:lang w:val="sr-Cyrl-CS"/>
        </w:rPr>
      </w:pPr>
      <w:r>
        <w:rPr>
          <w:rStyle w:val="FootnoteReference"/>
        </w:rPr>
        <w:footnoteRef/>
      </w:r>
      <w:r>
        <w:t xml:space="preserve"> </w:t>
      </w:r>
      <w:r>
        <w:rPr>
          <w:lang w:val="sr-Cyrl-CS"/>
        </w:rPr>
        <w:t xml:space="preserve">Дејан Поповић, </w:t>
      </w:r>
      <w:r>
        <w:rPr>
          <w:b/>
          <w:lang w:val="sr-Cyrl-CS"/>
        </w:rPr>
        <w:t>Пореско право</w:t>
      </w:r>
      <w:r>
        <w:rPr>
          <w:lang w:val="sr-Cyrl-CS"/>
        </w:rPr>
        <w:t>, Правни факултет Универзитета у Београду и ЈП „Службени гласник“, Београд, Београд, 2009, стр. 198.</w:t>
      </w:r>
    </w:p>
  </w:footnote>
  <w:footnote w:id="26">
    <w:p w:rsidR="00767127" w:rsidRPr="002F7F0A" w:rsidRDefault="00767127">
      <w:pPr>
        <w:pStyle w:val="FootnoteText"/>
        <w:rPr>
          <w:lang w:val="sr-Cyrl-CS"/>
        </w:rPr>
      </w:pPr>
      <w:r>
        <w:rPr>
          <w:rStyle w:val="FootnoteReference"/>
        </w:rPr>
        <w:footnoteRef/>
      </w:r>
      <w:r>
        <w:t xml:space="preserve"> </w:t>
      </w:r>
      <w:r w:rsidRPr="002F7F0A">
        <w:rPr>
          <w:i/>
          <w:lang w:val="sr-Cyrl-CS"/>
        </w:rPr>
        <w:t>Нав. дело</w:t>
      </w:r>
      <w:r>
        <w:rPr>
          <w:lang w:val="sr-Cyrl-CS"/>
        </w:rPr>
        <w:t>, стр. 201-202.</w:t>
      </w:r>
    </w:p>
  </w:footnote>
  <w:footnote w:id="27">
    <w:p w:rsidR="00767127" w:rsidRPr="007B65C6" w:rsidRDefault="00767127" w:rsidP="00757DB5">
      <w:pPr>
        <w:pStyle w:val="FootnoteText"/>
        <w:rPr>
          <w:lang w:val="sr-Cyrl-CS"/>
        </w:rPr>
      </w:pPr>
      <w:r>
        <w:rPr>
          <w:rStyle w:val="FootnoteReference"/>
        </w:rPr>
        <w:footnoteRef/>
      </w:r>
      <w:r>
        <w:t xml:space="preserve"> </w:t>
      </w:r>
      <w:r>
        <w:rPr>
          <w:lang w:val="sr-Cyrl-CS"/>
        </w:rPr>
        <w:t xml:space="preserve">Драган Јовашевић и Марина Гајић-Гламочија, </w:t>
      </w:r>
      <w:r w:rsidRPr="00C23C24">
        <w:rPr>
          <w:b/>
          <w:lang w:val="sr-Cyrl-CS"/>
        </w:rPr>
        <w:t>Пореска утаја</w:t>
      </w:r>
      <w:r>
        <w:rPr>
          <w:b/>
        </w:rPr>
        <w:t xml:space="preserve">: </w:t>
      </w:r>
      <w:r w:rsidRPr="00D06B5B">
        <w:rPr>
          <w:b/>
          <w:lang w:val="sr-Cyrl-CS"/>
        </w:rPr>
        <w:t>облици испољавања и мере сузбијања</w:t>
      </w:r>
      <w:r>
        <w:rPr>
          <w:lang w:val="sr-Cyrl-CS"/>
        </w:rPr>
        <w:t>, Беосинг, Београд, 2008, стр.20.</w:t>
      </w:r>
    </w:p>
  </w:footnote>
  <w:footnote w:id="28">
    <w:p w:rsidR="00767127" w:rsidRPr="00D35305" w:rsidRDefault="00767127" w:rsidP="00BA36C1">
      <w:pPr>
        <w:pStyle w:val="FootnoteText"/>
        <w:jc w:val="both"/>
        <w:rPr>
          <w:lang w:val="sr-Cyrl-CS"/>
        </w:rPr>
      </w:pPr>
      <w:r>
        <w:rPr>
          <w:rStyle w:val="FootnoteReference"/>
        </w:rPr>
        <w:footnoteRef/>
      </w:r>
      <w:r>
        <w:rPr>
          <w:lang w:val="sr-Cyrl-CS"/>
        </w:rPr>
        <w:t xml:space="preserve">Јован Ловчевић, </w:t>
      </w:r>
      <w:r w:rsidRPr="007D436B">
        <w:rPr>
          <w:b/>
          <w:lang w:val="sr-Cyrl-CS"/>
        </w:rPr>
        <w:t>Институције јавних финансија</w:t>
      </w:r>
      <w:r>
        <w:rPr>
          <w:i/>
          <w:lang w:val="sr-Cyrl-CS"/>
        </w:rPr>
        <w:t xml:space="preserve">, </w:t>
      </w:r>
      <w:r>
        <w:rPr>
          <w:lang w:val="sr-Cyrl-CS"/>
        </w:rPr>
        <w:t>Београд, 1963</w:t>
      </w:r>
      <w:r w:rsidRPr="00C167A9">
        <w:rPr>
          <w:lang w:val="sr-Cyrl-CS"/>
        </w:rPr>
        <w:t>, стр.</w:t>
      </w:r>
      <w:r>
        <w:rPr>
          <w:lang w:val="sr-Cyrl-CS"/>
        </w:rPr>
        <w:t xml:space="preserve"> 69.</w:t>
      </w:r>
      <w:r w:rsidRPr="005653CB">
        <w:rPr>
          <w:lang w:val="sr-Cyrl-CS"/>
        </w:rPr>
        <w:t xml:space="preserve"> </w:t>
      </w:r>
      <w:r>
        <w:rPr>
          <w:lang w:val="sr-Cyrl-CS"/>
        </w:rPr>
        <w:t>(Наведено према: Горан Милошевић, Порез и избегавање пореза, ЈП „Службени лист СЦГ“, Београд, 2005, стр. 88).</w:t>
      </w:r>
    </w:p>
  </w:footnote>
  <w:footnote w:id="29">
    <w:p w:rsidR="00767127" w:rsidRPr="00C1187E" w:rsidRDefault="00767127" w:rsidP="00BA36C1">
      <w:pPr>
        <w:pStyle w:val="FootnoteText"/>
        <w:jc w:val="both"/>
        <w:rPr>
          <w:lang w:val="sr-Cyrl-CS"/>
        </w:rPr>
      </w:pPr>
      <w:r>
        <w:rPr>
          <w:rStyle w:val="FootnoteReference"/>
        </w:rPr>
        <w:footnoteRef/>
      </w:r>
      <w:r>
        <w:t xml:space="preserve"> </w:t>
      </w:r>
      <w:r>
        <w:rPr>
          <w:lang w:val="sr-Cyrl-CS"/>
        </w:rPr>
        <w:t xml:space="preserve">Милан Тодоровић, </w:t>
      </w:r>
      <w:r w:rsidRPr="007D436B">
        <w:rPr>
          <w:b/>
          <w:lang w:val="sr-Cyrl-CS"/>
        </w:rPr>
        <w:t>Наука о порезима</w:t>
      </w:r>
      <w:r>
        <w:rPr>
          <w:lang w:val="sr-Cyrl-CS"/>
        </w:rPr>
        <w:t>, Београд, 1930. (Наведено према: Горан Милошевић, Порез и избегавање пореза, ЈП „Службени лист СЦГ“, Београд, 2005, стр.88.)</w:t>
      </w:r>
    </w:p>
  </w:footnote>
  <w:footnote w:id="30">
    <w:p w:rsidR="00767127" w:rsidRPr="002243F2" w:rsidRDefault="00767127" w:rsidP="00BA36C1">
      <w:pPr>
        <w:pStyle w:val="FootnoteText"/>
        <w:jc w:val="both"/>
        <w:rPr>
          <w:lang w:val="sr-Cyrl-CS"/>
        </w:rPr>
      </w:pPr>
      <w:r>
        <w:rPr>
          <w:rStyle w:val="FootnoteReference"/>
        </w:rPr>
        <w:footnoteRef/>
      </w:r>
      <w:r>
        <w:t xml:space="preserve"> </w:t>
      </w:r>
      <w:r>
        <w:rPr>
          <w:lang w:val="sr-Cyrl-CS"/>
        </w:rPr>
        <w:t xml:space="preserve">Дејан Поповић, </w:t>
      </w:r>
      <w:r w:rsidRPr="009551E3">
        <w:rPr>
          <w:i/>
          <w:lang w:val="sr-Cyrl-CS"/>
        </w:rPr>
        <w:t>нав. дело,</w:t>
      </w:r>
      <w:r>
        <w:rPr>
          <w:lang w:val="sr-Cyrl-CS"/>
        </w:rPr>
        <w:t xml:space="preserve"> стр.5.</w:t>
      </w:r>
    </w:p>
  </w:footnote>
  <w:footnote w:id="31">
    <w:p w:rsidR="00767127" w:rsidRPr="00F25FA9" w:rsidRDefault="00767127" w:rsidP="00BA36C1">
      <w:pPr>
        <w:pStyle w:val="FootnoteText"/>
        <w:jc w:val="both"/>
        <w:rPr>
          <w:lang w:val="sr-Cyrl-CS"/>
        </w:rPr>
      </w:pPr>
      <w:r>
        <w:rPr>
          <w:rStyle w:val="FootnoteReference"/>
        </w:rPr>
        <w:footnoteRef/>
      </w:r>
      <w:r>
        <w:t xml:space="preserve"> </w:t>
      </w:r>
      <w:r>
        <w:rPr>
          <w:lang w:val="sr-Cyrl-CS"/>
        </w:rPr>
        <w:t xml:space="preserve"> </w:t>
      </w:r>
      <w:r>
        <w:rPr>
          <w:i/>
          <w:lang w:val="sr-Cyrl-CS"/>
        </w:rPr>
        <w:t>Нав. дело</w:t>
      </w:r>
      <w:r>
        <w:rPr>
          <w:lang w:val="sr-Cyrl-CS"/>
        </w:rPr>
        <w:t>, стр. 6.</w:t>
      </w:r>
    </w:p>
  </w:footnote>
  <w:footnote w:id="32">
    <w:p w:rsidR="00767127" w:rsidRPr="00266484" w:rsidRDefault="00767127" w:rsidP="00BA36C1">
      <w:pPr>
        <w:pStyle w:val="FootnoteText"/>
        <w:jc w:val="both"/>
        <w:rPr>
          <w:lang w:val="sr-Cyrl-CS"/>
        </w:rPr>
      </w:pPr>
      <w:r>
        <w:rPr>
          <w:rStyle w:val="FootnoteReference"/>
        </w:rPr>
        <w:footnoteRef/>
      </w:r>
      <w:r>
        <w:rPr>
          <w:lang w:val="sr-Cyrl-CS"/>
        </w:rPr>
        <w:t xml:space="preserve"> Божидар Раичевић, </w:t>
      </w:r>
      <w:r>
        <w:rPr>
          <w:i/>
          <w:lang w:val="sr-Cyrl-CS"/>
        </w:rPr>
        <w:t>нав. дело,</w:t>
      </w:r>
      <w:r>
        <w:rPr>
          <w:lang w:val="sr-Cyrl-CS"/>
        </w:rPr>
        <w:t xml:space="preserve"> стр</w:t>
      </w:r>
      <w:r>
        <w:t>.</w:t>
      </w:r>
      <w:r>
        <w:rPr>
          <w:lang w:val="sr-Cyrl-CS"/>
        </w:rPr>
        <w:t xml:space="preserve"> 101.</w:t>
      </w:r>
    </w:p>
  </w:footnote>
  <w:footnote w:id="33">
    <w:p w:rsidR="00767127" w:rsidRPr="00491879" w:rsidRDefault="00767127" w:rsidP="00BA36C1">
      <w:pPr>
        <w:pStyle w:val="FootnoteText"/>
        <w:jc w:val="both"/>
        <w:rPr>
          <w:lang w:val="sr-Cyrl-CS"/>
        </w:rPr>
      </w:pPr>
      <w:r>
        <w:rPr>
          <w:rStyle w:val="FootnoteReference"/>
        </w:rPr>
        <w:footnoteRef/>
      </w:r>
      <w:r>
        <w:t xml:space="preserve"> </w:t>
      </w:r>
      <w:r>
        <w:rPr>
          <w:lang w:val="sr-Cyrl-CS"/>
        </w:rPr>
        <w:t xml:space="preserve">Дејан Поповић, </w:t>
      </w:r>
      <w:r>
        <w:rPr>
          <w:i/>
          <w:lang w:val="sr-Cyrl-CS"/>
        </w:rPr>
        <w:t>нав. дело,</w:t>
      </w:r>
      <w:r>
        <w:rPr>
          <w:lang w:val="sr-Cyrl-CS"/>
        </w:rPr>
        <w:t xml:space="preserve"> стр. 6.</w:t>
      </w:r>
    </w:p>
  </w:footnote>
  <w:footnote w:id="34">
    <w:p w:rsidR="00767127" w:rsidRPr="006F3B6F" w:rsidRDefault="00767127" w:rsidP="00BA36C1">
      <w:pPr>
        <w:pStyle w:val="FootnoteText"/>
        <w:jc w:val="both"/>
        <w:rPr>
          <w:lang w:val="sr-Cyrl-CS"/>
        </w:rPr>
      </w:pPr>
      <w:r>
        <w:rPr>
          <w:rStyle w:val="FootnoteReference"/>
        </w:rPr>
        <w:footnoteRef/>
      </w:r>
      <w:r>
        <w:t xml:space="preserve"> </w:t>
      </w:r>
      <w:r>
        <w:rPr>
          <w:lang w:val="sr-Cyrl-CS"/>
        </w:rPr>
        <w:t xml:space="preserve">Милева Анђелковић и Драган Јовашевић, </w:t>
      </w:r>
      <w:r>
        <w:rPr>
          <w:i/>
          <w:lang w:val="sr-Cyrl-CS"/>
        </w:rPr>
        <w:t>нав. дело,</w:t>
      </w:r>
      <w:r>
        <w:rPr>
          <w:lang w:val="sr-Cyrl-CS"/>
        </w:rPr>
        <w:t xml:space="preserve"> стр. 23.</w:t>
      </w:r>
    </w:p>
  </w:footnote>
  <w:footnote w:id="35">
    <w:p w:rsidR="00767127" w:rsidRPr="00420BB6" w:rsidRDefault="00767127" w:rsidP="00BA36C1">
      <w:pPr>
        <w:pStyle w:val="FootnoteText"/>
        <w:jc w:val="both"/>
        <w:rPr>
          <w:lang w:val="sr-Cyrl-CS"/>
        </w:rPr>
      </w:pPr>
      <w:r>
        <w:rPr>
          <w:rStyle w:val="FootnoteReference"/>
        </w:rPr>
        <w:footnoteRef/>
      </w:r>
      <w:r>
        <w:rPr>
          <w:lang w:val="sr-Cyrl-CS"/>
        </w:rPr>
        <w:t xml:space="preserve"> </w:t>
      </w:r>
      <w:r>
        <w:rPr>
          <w:i/>
          <w:lang w:val="sr-Cyrl-CS"/>
        </w:rPr>
        <w:t>Нав. дело,</w:t>
      </w:r>
      <w:r>
        <w:rPr>
          <w:lang w:val="sr-Cyrl-CS"/>
        </w:rPr>
        <w:t xml:space="preserve"> стр. 22.</w:t>
      </w:r>
    </w:p>
  </w:footnote>
  <w:footnote w:id="36">
    <w:p w:rsidR="00767127" w:rsidRPr="00D56333" w:rsidRDefault="00767127" w:rsidP="00BA36C1">
      <w:pPr>
        <w:pStyle w:val="FootnoteText"/>
        <w:jc w:val="both"/>
        <w:rPr>
          <w:lang w:val="sr-Cyrl-CS"/>
        </w:rPr>
      </w:pPr>
      <w:r>
        <w:rPr>
          <w:rStyle w:val="FootnoteReference"/>
        </w:rPr>
        <w:footnoteRef/>
      </w:r>
      <w:r>
        <w:t xml:space="preserve"> </w:t>
      </w:r>
      <w:r w:rsidRPr="004A476A">
        <w:rPr>
          <w:i/>
          <w:lang w:val="sr-Cyrl-CS"/>
        </w:rPr>
        <w:t>Нав. дело</w:t>
      </w:r>
      <w:r>
        <w:rPr>
          <w:lang w:val="sr-Cyrl-CS"/>
        </w:rPr>
        <w:t>, стр. 22.</w:t>
      </w:r>
    </w:p>
  </w:footnote>
  <w:footnote w:id="37">
    <w:p w:rsidR="00767127" w:rsidRPr="001C5C65" w:rsidRDefault="00767127">
      <w:pPr>
        <w:pStyle w:val="FootnoteText"/>
        <w:rPr>
          <w:lang w:val="sr-Cyrl-CS"/>
        </w:rPr>
      </w:pPr>
      <w:r>
        <w:rPr>
          <w:rStyle w:val="FootnoteReference"/>
        </w:rPr>
        <w:footnoteRef/>
      </w:r>
      <w:r>
        <w:t xml:space="preserve"> </w:t>
      </w:r>
      <w:r>
        <w:rPr>
          <w:lang w:val="sr-Cyrl-CS"/>
        </w:rPr>
        <w:t xml:space="preserve"> Горан Б. Милошевић, </w:t>
      </w:r>
      <w:r>
        <w:rPr>
          <w:i/>
          <w:lang w:val="sr-Cyrl-CS"/>
        </w:rPr>
        <w:t>нав. дело,</w:t>
      </w:r>
      <w:r>
        <w:rPr>
          <w:lang w:val="sr-Cyrl-CS"/>
        </w:rPr>
        <w:t xml:space="preserve"> стр.163.</w:t>
      </w:r>
    </w:p>
  </w:footnote>
  <w:footnote w:id="38">
    <w:p w:rsidR="00767127" w:rsidRPr="0006521B" w:rsidRDefault="00767127" w:rsidP="00A408F5">
      <w:pPr>
        <w:pStyle w:val="FootnoteText"/>
        <w:rPr>
          <w:lang w:val="sr-Cyrl-CS"/>
        </w:rPr>
      </w:pPr>
      <w:r>
        <w:rPr>
          <w:rStyle w:val="FootnoteReference"/>
        </w:rPr>
        <w:footnoteRef/>
      </w:r>
      <w:r>
        <w:t xml:space="preserve"> </w:t>
      </w:r>
      <w:r>
        <w:rPr>
          <w:lang w:val="sr-Cyrl-CS"/>
        </w:rPr>
        <w:t xml:space="preserve">Обрен Благојевић, </w:t>
      </w:r>
      <w:r w:rsidRPr="007D436B">
        <w:rPr>
          <w:b/>
          <w:lang w:val="sr-Cyrl-CS"/>
        </w:rPr>
        <w:t>Развој финансија и финансијске науке</w:t>
      </w:r>
      <w:r>
        <w:rPr>
          <w:lang w:val="sr-Cyrl-CS"/>
        </w:rPr>
        <w:t xml:space="preserve">, </w:t>
      </w:r>
      <w:r w:rsidRPr="00163609">
        <w:rPr>
          <w:i/>
          <w:lang w:val="sr-Cyrl-CS"/>
        </w:rPr>
        <w:t>Финансије</w:t>
      </w:r>
      <w:r>
        <w:rPr>
          <w:lang w:val="sr-Cyrl-CS"/>
        </w:rPr>
        <w:t>, бр. 5-6, 1991, стр. 219-222.</w:t>
      </w:r>
    </w:p>
  </w:footnote>
  <w:footnote w:id="39">
    <w:p w:rsidR="00767127" w:rsidRPr="001D562C" w:rsidRDefault="00767127" w:rsidP="00A408F5">
      <w:pPr>
        <w:pStyle w:val="FootnoteText"/>
        <w:rPr>
          <w:lang w:val="sr-Cyrl-CS"/>
        </w:rPr>
      </w:pPr>
      <w:r>
        <w:rPr>
          <w:rStyle w:val="FootnoteReference"/>
        </w:rPr>
        <w:footnoteRef/>
      </w:r>
      <w:r>
        <w:t xml:space="preserve"> </w:t>
      </w:r>
      <w:r>
        <w:rPr>
          <w:lang w:val="sr-Cyrl-CS"/>
        </w:rPr>
        <w:t xml:space="preserve">Јован Ловчевић, </w:t>
      </w:r>
      <w:r w:rsidRPr="00C23C24">
        <w:rPr>
          <w:b/>
          <w:lang w:val="sr-Cyrl-CS"/>
        </w:rPr>
        <w:t>Институције јавних финансија</w:t>
      </w:r>
      <w:r>
        <w:rPr>
          <w:i/>
          <w:lang w:val="sr-Cyrl-CS"/>
        </w:rPr>
        <w:t xml:space="preserve">, </w:t>
      </w:r>
      <w:r w:rsidRPr="00C167A9">
        <w:rPr>
          <w:lang w:val="sr-Cyrl-CS"/>
        </w:rPr>
        <w:t>Службени лист СФРЈ</w:t>
      </w:r>
      <w:r>
        <w:rPr>
          <w:i/>
          <w:lang w:val="sr-Cyrl-CS"/>
        </w:rPr>
        <w:t xml:space="preserve">, </w:t>
      </w:r>
      <w:r>
        <w:rPr>
          <w:lang w:val="sr-Cyrl-CS"/>
        </w:rPr>
        <w:t>Београд, 1991, стр. 75.</w:t>
      </w:r>
    </w:p>
  </w:footnote>
  <w:footnote w:id="40">
    <w:p w:rsidR="00767127" w:rsidRPr="00683392" w:rsidRDefault="00767127" w:rsidP="00A408F5">
      <w:pPr>
        <w:pStyle w:val="FootnoteText"/>
        <w:rPr>
          <w:lang w:val="sr-Cyrl-CS"/>
        </w:rPr>
      </w:pPr>
      <w:r>
        <w:rPr>
          <w:rStyle w:val="FootnoteReference"/>
        </w:rPr>
        <w:footnoteRef/>
      </w:r>
      <w:r>
        <w:t xml:space="preserve"> </w:t>
      </w:r>
      <w:r w:rsidRPr="00D06B5B">
        <w:rPr>
          <w:b/>
          <w:lang w:val="sr-Cyrl-CS"/>
        </w:rPr>
        <w:t>Библија или Свето писмо Старога и Новога завијета</w:t>
      </w:r>
      <w:r>
        <w:rPr>
          <w:lang w:val="sr-Cyrl-CS"/>
        </w:rPr>
        <w:t>, Библијско друштво, Љубљана, 1973, Нови Завијет, Посланица Римљанима 13.</w:t>
      </w:r>
    </w:p>
  </w:footnote>
  <w:footnote w:id="41">
    <w:p w:rsidR="00767127" w:rsidRPr="00065D72" w:rsidRDefault="00767127" w:rsidP="00A408F5">
      <w:pPr>
        <w:pStyle w:val="FootnoteText"/>
        <w:rPr>
          <w:lang w:val="sr-Cyrl-CS"/>
        </w:rPr>
      </w:pPr>
      <w:r>
        <w:rPr>
          <w:rStyle w:val="FootnoteReference"/>
        </w:rPr>
        <w:footnoteRef/>
      </w:r>
      <w:r>
        <w:t xml:space="preserve"> </w:t>
      </w:r>
      <w:r>
        <w:rPr>
          <w:lang w:val="sr-Cyrl-CS"/>
        </w:rPr>
        <w:t xml:space="preserve">Нови завет, </w:t>
      </w:r>
      <w:r w:rsidRPr="00D06B5B">
        <w:rPr>
          <w:b/>
          <w:lang w:val="sr-Cyrl-CS"/>
        </w:rPr>
        <w:t>Јеванђеље по Матеју</w:t>
      </w:r>
      <w:r>
        <w:rPr>
          <w:lang w:val="sr-Cyrl-CS"/>
        </w:rPr>
        <w:t>, Библијско друштво, Београд, 1990, 22:15.</w:t>
      </w:r>
    </w:p>
  </w:footnote>
  <w:footnote w:id="42">
    <w:p w:rsidR="00767127" w:rsidRPr="009E7CD2" w:rsidRDefault="00767127" w:rsidP="00A408F5">
      <w:pPr>
        <w:pStyle w:val="FootnoteText"/>
        <w:rPr>
          <w:lang w:val="sr-Cyrl-CS"/>
        </w:rPr>
      </w:pPr>
      <w:r>
        <w:rPr>
          <w:rStyle w:val="FootnoteReference"/>
        </w:rPr>
        <w:footnoteRef/>
      </w:r>
      <w:r>
        <w:t xml:space="preserve"> </w:t>
      </w:r>
      <w:r>
        <w:rPr>
          <w:lang w:val="sr-Cyrl-CS"/>
        </w:rPr>
        <w:t xml:space="preserve">Нови завет, </w:t>
      </w:r>
      <w:r w:rsidRPr="00D06B5B">
        <w:rPr>
          <w:b/>
          <w:lang w:val="sr-Cyrl-CS"/>
        </w:rPr>
        <w:t>Јеванђеље по Луки</w:t>
      </w:r>
      <w:r>
        <w:rPr>
          <w:lang w:val="sr-Cyrl-CS"/>
        </w:rPr>
        <w:t>, Библијско друштво, Београд, 1990, 23:13.</w:t>
      </w:r>
    </w:p>
  </w:footnote>
  <w:footnote w:id="43">
    <w:p w:rsidR="00767127" w:rsidRPr="007416B1" w:rsidRDefault="00767127" w:rsidP="00A408F5">
      <w:pPr>
        <w:pStyle w:val="FootnoteText"/>
        <w:rPr>
          <w:lang w:val="sr-Cyrl-CS"/>
        </w:rPr>
      </w:pPr>
      <w:r>
        <w:rPr>
          <w:rStyle w:val="FootnoteReference"/>
        </w:rPr>
        <w:footnoteRef/>
      </w:r>
      <w:r>
        <w:t xml:space="preserve"> </w:t>
      </w:r>
      <w:r w:rsidRPr="00D06B5B">
        <w:rPr>
          <w:b/>
          <w:lang w:val="sr-Cyrl-CS"/>
        </w:rPr>
        <w:t>Куран</w:t>
      </w:r>
      <w:r>
        <w:rPr>
          <w:lang w:val="sr-Cyrl-CS"/>
        </w:rPr>
        <w:t>, Оријентални инстирут, Сарајево, 1977, 9:29.</w:t>
      </w:r>
    </w:p>
  </w:footnote>
  <w:footnote w:id="44">
    <w:p w:rsidR="00767127" w:rsidRPr="001D562C" w:rsidRDefault="00767127" w:rsidP="00A408F5">
      <w:pPr>
        <w:pStyle w:val="FootnoteText"/>
        <w:rPr>
          <w:lang w:val="sr-Cyrl-CS"/>
        </w:rPr>
      </w:pPr>
      <w:r>
        <w:rPr>
          <w:rStyle w:val="FootnoteReference"/>
        </w:rPr>
        <w:footnoteRef/>
      </w:r>
      <w:r>
        <w:t xml:space="preserve"> </w:t>
      </w:r>
      <w:r>
        <w:rPr>
          <w:lang w:val="sr-Cyrl-CS"/>
        </w:rPr>
        <w:t xml:space="preserve">Момо Кијановић, </w:t>
      </w:r>
      <w:r w:rsidRPr="00D06B5B">
        <w:rPr>
          <w:b/>
          <w:lang w:val="sr-Cyrl-CS"/>
        </w:rPr>
        <w:t>Локални јавни приходи у систему јавних прихода Републике Србије</w:t>
      </w:r>
      <w:r>
        <w:rPr>
          <w:lang w:val="sr-Cyrl-CS"/>
        </w:rPr>
        <w:t xml:space="preserve">, Графокартон, Пријепоље, 1999, стр.20. </w:t>
      </w:r>
    </w:p>
  </w:footnote>
  <w:footnote w:id="45">
    <w:p w:rsidR="00767127" w:rsidRPr="0092760D" w:rsidRDefault="00767127" w:rsidP="00A408F5">
      <w:pPr>
        <w:pStyle w:val="FootnoteText"/>
        <w:rPr>
          <w:lang w:val="sr-Cyrl-CS"/>
        </w:rPr>
      </w:pPr>
      <w:r>
        <w:rPr>
          <w:rStyle w:val="FootnoteReference"/>
        </w:rPr>
        <w:footnoteRef/>
      </w:r>
      <w:r>
        <w:t xml:space="preserve"> </w:t>
      </w:r>
      <w:r>
        <w:rPr>
          <w:lang w:val="sr-Cyrl-CS"/>
        </w:rPr>
        <w:t xml:space="preserve">Јован Ловчевић, </w:t>
      </w:r>
      <w:r>
        <w:rPr>
          <w:i/>
          <w:lang w:val="sr-Cyrl-CS"/>
        </w:rPr>
        <w:t>нав. дело,</w:t>
      </w:r>
      <w:r>
        <w:rPr>
          <w:lang w:val="sr-Cyrl-CS"/>
        </w:rPr>
        <w:t xml:space="preserve"> стр. 76.</w:t>
      </w:r>
    </w:p>
  </w:footnote>
  <w:footnote w:id="46">
    <w:p w:rsidR="00767127" w:rsidRPr="00F937E5" w:rsidRDefault="00767127">
      <w:pPr>
        <w:pStyle w:val="FootnoteText"/>
        <w:rPr>
          <w:lang w:val="sr-Cyrl-CS"/>
        </w:rPr>
      </w:pPr>
      <w:r>
        <w:rPr>
          <w:rStyle w:val="FootnoteReference"/>
        </w:rPr>
        <w:footnoteRef/>
      </w:r>
      <w:r>
        <w:t xml:space="preserve"> </w:t>
      </w:r>
      <w:r>
        <w:rPr>
          <w:i/>
          <w:lang w:val="sr-Cyrl-CS"/>
        </w:rPr>
        <w:t>Н</w:t>
      </w:r>
      <w:r w:rsidRPr="00F937E5">
        <w:rPr>
          <w:i/>
          <w:lang w:val="sr-Cyrl-CS"/>
        </w:rPr>
        <w:t>ав. дело</w:t>
      </w:r>
      <w:r>
        <w:rPr>
          <w:lang w:val="sr-Cyrl-CS"/>
        </w:rPr>
        <w:t>, стр. 80.</w:t>
      </w:r>
    </w:p>
  </w:footnote>
  <w:footnote w:id="47">
    <w:p w:rsidR="00767127" w:rsidRPr="00D6130D" w:rsidRDefault="00767127">
      <w:pPr>
        <w:pStyle w:val="FootnoteText"/>
        <w:rPr>
          <w:lang w:val="sr-Cyrl-CS"/>
        </w:rPr>
      </w:pPr>
      <w:r>
        <w:rPr>
          <w:rStyle w:val="FootnoteReference"/>
        </w:rPr>
        <w:footnoteRef/>
      </w:r>
      <w:r>
        <w:t xml:space="preserve"> </w:t>
      </w:r>
      <w:r>
        <w:rPr>
          <w:lang w:val="sr-Cyrl-CS"/>
        </w:rPr>
        <w:t xml:space="preserve">Милева Анђелковић, </w:t>
      </w:r>
      <w:r w:rsidRPr="00D6130D">
        <w:rPr>
          <w:b/>
          <w:lang w:val="sr-Cyrl-CS"/>
        </w:rPr>
        <w:t>Јавне финансије и финансијско право</w:t>
      </w:r>
      <w:r>
        <w:rPr>
          <w:lang w:val="sr-Cyrl-CS"/>
        </w:rPr>
        <w:t>, Правни факултет Универзитета у Нишу, Ниш, 2012, стр. 75.</w:t>
      </w:r>
    </w:p>
  </w:footnote>
  <w:footnote w:id="48">
    <w:p w:rsidR="00767127" w:rsidRPr="00BA075E" w:rsidRDefault="00767127">
      <w:pPr>
        <w:pStyle w:val="FootnoteText"/>
        <w:rPr>
          <w:lang w:val="sr-Cyrl-CS"/>
        </w:rPr>
      </w:pPr>
      <w:r>
        <w:rPr>
          <w:rStyle w:val="FootnoteReference"/>
        </w:rPr>
        <w:footnoteRef/>
      </w:r>
      <w:r>
        <w:t xml:space="preserve"> </w:t>
      </w:r>
      <w:r>
        <w:rPr>
          <w:lang w:val="sr-Cyrl-CS"/>
        </w:rPr>
        <w:t xml:space="preserve">Дејан Поповић, </w:t>
      </w:r>
      <w:r w:rsidRPr="00BA075E">
        <w:rPr>
          <w:b/>
          <w:lang w:val="sr-Cyrl-CS"/>
        </w:rPr>
        <w:t>Наука о порезима и пореско право</w:t>
      </w:r>
      <w:r>
        <w:rPr>
          <w:lang w:val="sr-Cyrl-CS"/>
        </w:rPr>
        <w:t xml:space="preserve">, </w:t>
      </w:r>
      <w:r>
        <w:t>COLPI,</w:t>
      </w:r>
      <w:r>
        <w:rPr>
          <w:lang w:val="sr-Cyrl-CS"/>
        </w:rPr>
        <w:t xml:space="preserve"> Будимпешта и Савремена администрација, Београд, 1997, стр. 39.</w:t>
      </w:r>
    </w:p>
  </w:footnote>
  <w:footnote w:id="49">
    <w:p w:rsidR="00767127" w:rsidRPr="00BA075E" w:rsidRDefault="00767127">
      <w:pPr>
        <w:pStyle w:val="FootnoteText"/>
        <w:rPr>
          <w:lang w:val="sr-Cyrl-CS"/>
        </w:rPr>
      </w:pPr>
      <w:r>
        <w:rPr>
          <w:rStyle w:val="FootnoteReference"/>
        </w:rPr>
        <w:footnoteRef/>
      </w:r>
      <w:r>
        <w:t xml:space="preserve"> </w:t>
      </w:r>
      <w:r>
        <w:rPr>
          <w:lang w:val="sr-Cyrl-CS"/>
        </w:rPr>
        <w:t xml:space="preserve">Јован Ловчевић, </w:t>
      </w:r>
      <w:r w:rsidRPr="00BA075E">
        <w:rPr>
          <w:i/>
          <w:lang w:val="sr-Cyrl-CS"/>
        </w:rPr>
        <w:t>нав. дело</w:t>
      </w:r>
      <w:r>
        <w:rPr>
          <w:lang w:val="sr-Cyrl-CS"/>
        </w:rPr>
        <w:t>, стр. 80.</w:t>
      </w:r>
    </w:p>
  </w:footnote>
  <w:footnote w:id="50">
    <w:p w:rsidR="00767127" w:rsidRPr="00DF5493" w:rsidRDefault="00767127">
      <w:pPr>
        <w:pStyle w:val="FootnoteText"/>
        <w:rPr>
          <w:lang w:val="sr-Cyrl-CS"/>
        </w:rPr>
      </w:pPr>
      <w:r>
        <w:rPr>
          <w:rStyle w:val="FootnoteReference"/>
        </w:rPr>
        <w:footnoteRef/>
      </w:r>
      <w:r>
        <w:t xml:space="preserve"> </w:t>
      </w:r>
      <w:r>
        <w:rPr>
          <w:lang w:val="sr-Cyrl-CS"/>
        </w:rPr>
        <w:t xml:space="preserve">Милева Анђелковић, </w:t>
      </w:r>
      <w:r w:rsidRPr="00DF5493">
        <w:rPr>
          <w:i/>
          <w:lang w:val="sr-Cyrl-CS"/>
        </w:rPr>
        <w:t>нав. дело</w:t>
      </w:r>
      <w:r>
        <w:rPr>
          <w:lang w:val="sr-Cyrl-CS"/>
        </w:rPr>
        <w:t>, стр. 76.</w:t>
      </w:r>
    </w:p>
  </w:footnote>
  <w:footnote w:id="51">
    <w:p w:rsidR="00767127" w:rsidRPr="00DF5493" w:rsidRDefault="00767127">
      <w:pPr>
        <w:pStyle w:val="FootnoteText"/>
        <w:rPr>
          <w:lang w:val="sr-Cyrl-CS"/>
        </w:rPr>
      </w:pPr>
      <w:r>
        <w:rPr>
          <w:rStyle w:val="FootnoteReference"/>
        </w:rPr>
        <w:footnoteRef/>
      </w:r>
      <w:r>
        <w:t xml:space="preserve"> </w:t>
      </w:r>
      <w:r w:rsidRPr="00DF5493">
        <w:rPr>
          <w:i/>
          <w:lang w:val="sr-Cyrl-CS"/>
        </w:rPr>
        <w:t>Нав. дело</w:t>
      </w:r>
      <w:r>
        <w:rPr>
          <w:lang w:val="sr-Cyrl-CS"/>
        </w:rPr>
        <w:t>, стр. 77.</w:t>
      </w:r>
    </w:p>
  </w:footnote>
  <w:footnote w:id="52">
    <w:p w:rsidR="00767127" w:rsidRPr="00DF5493" w:rsidRDefault="00767127">
      <w:pPr>
        <w:pStyle w:val="FootnoteText"/>
        <w:rPr>
          <w:lang w:val="sr-Cyrl-CS"/>
        </w:rPr>
      </w:pPr>
      <w:r>
        <w:rPr>
          <w:rStyle w:val="FootnoteReference"/>
        </w:rPr>
        <w:footnoteRef/>
      </w:r>
      <w:r>
        <w:t xml:space="preserve"> </w:t>
      </w:r>
      <w:r>
        <w:rPr>
          <w:lang w:val="sr-Cyrl-CS"/>
        </w:rPr>
        <w:t xml:space="preserve">Марко Радичић и Божидар Раичевић, </w:t>
      </w:r>
      <w:r w:rsidRPr="00DF5493">
        <w:rPr>
          <w:b/>
          <w:lang w:val="sr-Cyrl-CS"/>
        </w:rPr>
        <w:t>Јавне финансије</w:t>
      </w:r>
      <w:r>
        <w:rPr>
          <w:b/>
          <w:lang w:val="sr-Cyrl-CS"/>
        </w:rPr>
        <w:t>:</w:t>
      </w:r>
      <w:r w:rsidRPr="00DF5493">
        <w:rPr>
          <w:b/>
          <w:lang w:val="sr-Cyrl-CS"/>
        </w:rPr>
        <w:t xml:space="preserve"> теорија и пракса</w:t>
      </w:r>
      <w:r>
        <w:rPr>
          <w:lang w:val="sr-Cyrl-CS"/>
        </w:rPr>
        <w:t xml:space="preserve">, Дата статус, Нови Сад, 2011, стр. 73. </w:t>
      </w:r>
    </w:p>
  </w:footnote>
  <w:footnote w:id="53">
    <w:p w:rsidR="00767127" w:rsidRPr="00872251" w:rsidRDefault="00767127" w:rsidP="00601875">
      <w:pPr>
        <w:pStyle w:val="FootnoteText"/>
        <w:rPr>
          <w:lang w:val="sr-Cyrl-CS"/>
        </w:rPr>
      </w:pPr>
      <w:r>
        <w:rPr>
          <w:rStyle w:val="FootnoteReference"/>
        </w:rPr>
        <w:footnoteRef/>
      </w:r>
      <w:r>
        <w:t xml:space="preserve"> </w:t>
      </w:r>
      <w:r>
        <w:rPr>
          <w:lang w:val="sr-Cyrl-CS"/>
        </w:rPr>
        <w:t xml:space="preserve">Драган Јовашевић и Марина Гајић-Гламочија, </w:t>
      </w:r>
      <w:r>
        <w:rPr>
          <w:i/>
          <w:lang w:val="sr-Cyrl-CS"/>
        </w:rPr>
        <w:t>нав. дело,</w:t>
      </w:r>
      <w:r>
        <w:rPr>
          <w:lang w:val="sr-Cyrl-CS"/>
        </w:rPr>
        <w:t xml:space="preserve"> стр.34-36.</w:t>
      </w:r>
    </w:p>
  </w:footnote>
  <w:footnote w:id="54">
    <w:p w:rsidR="00767127" w:rsidRPr="0086602C" w:rsidRDefault="00767127" w:rsidP="00944543">
      <w:pPr>
        <w:pStyle w:val="FootnoteText"/>
        <w:rPr>
          <w:lang w:val="sr-Cyrl-CS"/>
        </w:rPr>
      </w:pPr>
      <w:r>
        <w:rPr>
          <w:rStyle w:val="FootnoteReference"/>
        </w:rPr>
        <w:footnoteRef/>
      </w:r>
      <w:r>
        <w:t xml:space="preserve"> </w:t>
      </w:r>
      <w:r>
        <w:rPr>
          <w:i/>
          <w:lang w:val="sr-Cyrl-CS"/>
        </w:rPr>
        <w:t>Нав. дело,</w:t>
      </w:r>
      <w:r>
        <w:rPr>
          <w:lang w:val="sr-Cyrl-CS"/>
        </w:rPr>
        <w:t xml:space="preserve"> стр.39.</w:t>
      </w:r>
    </w:p>
  </w:footnote>
  <w:footnote w:id="55">
    <w:p w:rsidR="00767127" w:rsidRPr="00856924" w:rsidRDefault="00767127" w:rsidP="00944543">
      <w:pPr>
        <w:pStyle w:val="FootnoteText"/>
        <w:rPr>
          <w:lang w:val="sr-Cyrl-CS"/>
        </w:rPr>
      </w:pPr>
      <w:r>
        <w:rPr>
          <w:rStyle w:val="FootnoteReference"/>
        </w:rPr>
        <w:footnoteRef/>
      </w:r>
      <w:r>
        <w:t xml:space="preserve"> Holcomb Randak, </w:t>
      </w:r>
      <w:r w:rsidRPr="00D06B5B">
        <w:rPr>
          <w:b/>
        </w:rPr>
        <w:t>Public Sector Economics</w:t>
      </w:r>
      <w:r>
        <w:t>, Pearson, New Jersey, 2006, p. 134.</w:t>
      </w:r>
    </w:p>
  </w:footnote>
  <w:footnote w:id="56">
    <w:p w:rsidR="00767127" w:rsidRPr="00FD02A8" w:rsidRDefault="00767127" w:rsidP="00944543">
      <w:pPr>
        <w:pStyle w:val="FootnoteText"/>
        <w:rPr>
          <w:lang w:val="sr-Cyrl-CS"/>
        </w:rPr>
      </w:pPr>
      <w:r>
        <w:rPr>
          <w:rStyle w:val="FootnoteReference"/>
        </w:rPr>
        <w:footnoteRef/>
      </w:r>
      <w:r>
        <w:t xml:space="preserve"> </w:t>
      </w:r>
      <w:r>
        <w:rPr>
          <w:lang w:val="sr-Cyrl-CS"/>
        </w:rPr>
        <w:t xml:space="preserve">Јован Ловчевић, </w:t>
      </w:r>
      <w:r>
        <w:rPr>
          <w:i/>
          <w:lang w:val="sr-Cyrl-CS"/>
        </w:rPr>
        <w:t xml:space="preserve">нав. дело, </w:t>
      </w:r>
      <w:r>
        <w:rPr>
          <w:lang w:val="sr-Cyrl-CS"/>
        </w:rPr>
        <w:t>стр. 112.</w:t>
      </w:r>
    </w:p>
  </w:footnote>
  <w:footnote w:id="57">
    <w:p w:rsidR="00767127" w:rsidRPr="00584C68" w:rsidRDefault="00767127" w:rsidP="00944543">
      <w:pPr>
        <w:pStyle w:val="FootnoteText"/>
        <w:rPr>
          <w:lang w:val="sr-Cyrl-CS"/>
        </w:rPr>
      </w:pPr>
      <w:r>
        <w:rPr>
          <w:rStyle w:val="FootnoteReference"/>
        </w:rPr>
        <w:footnoteRef/>
      </w:r>
      <w:r>
        <w:t xml:space="preserve"> </w:t>
      </w:r>
      <w:r>
        <w:rPr>
          <w:lang w:val="sr-Cyrl-CS"/>
        </w:rPr>
        <w:t xml:space="preserve">Драган Јовашевић и Марина Гајић-Гламочија, </w:t>
      </w:r>
      <w:r>
        <w:rPr>
          <w:i/>
          <w:lang w:val="sr-Cyrl-CS"/>
        </w:rPr>
        <w:t>нав. дело,</w:t>
      </w:r>
      <w:r>
        <w:rPr>
          <w:lang w:val="sr-Cyrl-CS"/>
        </w:rPr>
        <w:t xml:space="preserve"> стр.40-41.</w:t>
      </w:r>
    </w:p>
  </w:footnote>
  <w:footnote w:id="58">
    <w:p w:rsidR="00767127" w:rsidRPr="00C06074" w:rsidRDefault="00767127" w:rsidP="00944543">
      <w:pPr>
        <w:pStyle w:val="FootnoteText"/>
        <w:rPr>
          <w:lang w:val="sr-Cyrl-CS"/>
        </w:rPr>
      </w:pPr>
      <w:r>
        <w:rPr>
          <w:rStyle w:val="FootnoteReference"/>
        </w:rPr>
        <w:footnoteRef/>
      </w:r>
      <w:r>
        <w:t xml:space="preserve"> </w:t>
      </w:r>
      <w:r>
        <w:rPr>
          <w:lang w:val="sr-Cyrl-CS"/>
        </w:rPr>
        <w:t xml:space="preserve">Дејан Поповић, </w:t>
      </w:r>
      <w:r>
        <w:rPr>
          <w:i/>
          <w:lang w:val="sr-Cyrl-CS"/>
        </w:rPr>
        <w:t>нав. дело,</w:t>
      </w:r>
      <w:r>
        <w:rPr>
          <w:lang w:val="sr-Cyrl-CS"/>
        </w:rPr>
        <w:t xml:space="preserve"> стр. 69.</w:t>
      </w:r>
    </w:p>
  </w:footnote>
  <w:footnote w:id="59">
    <w:p w:rsidR="00767127" w:rsidRPr="00823363" w:rsidRDefault="00767127" w:rsidP="00944543">
      <w:pPr>
        <w:pStyle w:val="FootnoteText"/>
        <w:rPr>
          <w:lang w:val="sr-Cyrl-CS"/>
        </w:rPr>
      </w:pPr>
      <w:r>
        <w:rPr>
          <w:rStyle w:val="FootnoteReference"/>
        </w:rPr>
        <w:footnoteRef/>
      </w:r>
      <w:r>
        <w:t xml:space="preserve"> </w:t>
      </w:r>
      <w:r>
        <w:rPr>
          <w:lang w:val="sr-Cyrl-CS"/>
        </w:rPr>
        <w:t xml:space="preserve">Јован Ловчевић, </w:t>
      </w:r>
      <w:r>
        <w:rPr>
          <w:i/>
          <w:lang w:val="sr-Cyrl-CS"/>
        </w:rPr>
        <w:t>нав. дело,</w:t>
      </w:r>
      <w:r>
        <w:rPr>
          <w:lang w:val="sr-Cyrl-CS"/>
        </w:rPr>
        <w:t xml:space="preserve"> стр. 108.</w:t>
      </w:r>
    </w:p>
  </w:footnote>
  <w:footnote w:id="60">
    <w:p w:rsidR="00767127" w:rsidRPr="00823363" w:rsidRDefault="00767127" w:rsidP="00944543">
      <w:pPr>
        <w:pStyle w:val="FootnoteText"/>
        <w:rPr>
          <w:lang w:val="sr-Cyrl-CS"/>
        </w:rPr>
      </w:pPr>
      <w:r>
        <w:rPr>
          <w:rStyle w:val="FootnoteReference"/>
        </w:rPr>
        <w:footnoteRef/>
      </w:r>
      <w:r>
        <w:t xml:space="preserve"> </w:t>
      </w:r>
      <w:r w:rsidRPr="004A476A">
        <w:rPr>
          <w:i/>
          <w:lang w:val="sr-Cyrl-CS"/>
        </w:rPr>
        <w:t>Нав. дело</w:t>
      </w:r>
      <w:r>
        <w:rPr>
          <w:i/>
          <w:lang w:val="sr-Cyrl-CS"/>
        </w:rPr>
        <w:t>,</w:t>
      </w:r>
      <w:r>
        <w:rPr>
          <w:lang w:val="sr-Cyrl-CS"/>
        </w:rPr>
        <w:t xml:space="preserve"> стр. 109.</w:t>
      </w:r>
    </w:p>
    <w:p w:rsidR="00767127" w:rsidRPr="00716011" w:rsidRDefault="00767127" w:rsidP="00944543">
      <w:pPr>
        <w:pStyle w:val="FootnoteText"/>
        <w:rPr>
          <w:lang w:val="sr-Cyrl-CS"/>
        </w:rPr>
      </w:pPr>
    </w:p>
  </w:footnote>
  <w:footnote w:id="61">
    <w:p w:rsidR="00767127" w:rsidRPr="00266484" w:rsidRDefault="00767127">
      <w:pPr>
        <w:pStyle w:val="FootnoteText"/>
        <w:rPr>
          <w:lang w:val="sr-Cyrl-CS"/>
        </w:rPr>
      </w:pPr>
      <w:r>
        <w:rPr>
          <w:rStyle w:val="FootnoteReference"/>
        </w:rPr>
        <w:footnoteRef/>
      </w:r>
      <w:r>
        <w:t xml:space="preserve"> </w:t>
      </w:r>
      <w:r w:rsidRPr="007D436B">
        <w:rPr>
          <w:lang w:val="sr-Cyrl-CS"/>
        </w:rPr>
        <w:t>Божидар Раичевић</w:t>
      </w:r>
      <w:r>
        <w:rPr>
          <w:lang w:val="sr-Cyrl-CS"/>
        </w:rPr>
        <w:t xml:space="preserve">, </w:t>
      </w:r>
      <w:r>
        <w:rPr>
          <w:i/>
          <w:lang w:val="sr-Cyrl-CS"/>
        </w:rPr>
        <w:t>нав. дело,</w:t>
      </w:r>
      <w:r>
        <w:rPr>
          <w:lang w:val="sr-Cyrl-CS"/>
        </w:rPr>
        <w:t xml:space="preserve"> стр</w:t>
      </w:r>
      <w:r>
        <w:t xml:space="preserve">. </w:t>
      </w:r>
      <w:r>
        <w:rPr>
          <w:lang w:val="sr-Cyrl-CS"/>
        </w:rPr>
        <w:t>120.</w:t>
      </w:r>
    </w:p>
  </w:footnote>
  <w:footnote w:id="62">
    <w:p w:rsidR="00767127" w:rsidRPr="002B3B0B" w:rsidRDefault="00767127">
      <w:pPr>
        <w:pStyle w:val="FootnoteText"/>
        <w:rPr>
          <w:lang w:val="sr-Cyrl-CS"/>
        </w:rPr>
      </w:pPr>
      <w:r>
        <w:rPr>
          <w:rStyle w:val="FootnoteReference"/>
        </w:rPr>
        <w:footnoteRef/>
      </w:r>
      <w:r>
        <w:t xml:space="preserve"> </w:t>
      </w:r>
      <w:r>
        <w:rPr>
          <w:lang w:val="sr-Cyrl-CS"/>
        </w:rPr>
        <w:t xml:space="preserve">Драган Јовашевић и Марина Гајић-Гламочија, </w:t>
      </w:r>
      <w:r>
        <w:rPr>
          <w:i/>
          <w:lang w:val="sr-Cyrl-CS"/>
        </w:rPr>
        <w:t>нав. дело,</w:t>
      </w:r>
      <w:r>
        <w:rPr>
          <w:lang w:val="sr-Cyrl-CS"/>
        </w:rPr>
        <w:t xml:space="preserve"> стр.</w:t>
      </w:r>
      <w:r>
        <w:t xml:space="preserve"> </w:t>
      </w:r>
      <w:r>
        <w:rPr>
          <w:lang w:val="sr-Cyrl-CS"/>
        </w:rPr>
        <w:t>26.</w:t>
      </w:r>
    </w:p>
  </w:footnote>
  <w:footnote w:id="63">
    <w:p w:rsidR="00767127" w:rsidRPr="00F5165B" w:rsidRDefault="00767127" w:rsidP="00C93ECC">
      <w:pPr>
        <w:pStyle w:val="FootnoteText"/>
        <w:jc w:val="both"/>
        <w:rPr>
          <w:lang w:val="sr-Cyrl-CS"/>
        </w:rPr>
      </w:pPr>
      <w:r>
        <w:rPr>
          <w:rStyle w:val="FootnoteReference"/>
        </w:rPr>
        <w:footnoteRef/>
      </w:r>
      <w:r>
        <w:t xml:space="preserve"> </w:t>
      </w:r>
      <w:r>
        <w:rPr>
          <w:lang w:val="sr-Cyrl-CS"/>
        </w:rPr>
        <w:t xml:space="preserve">Жарко Ристић, Љубиша Владушић и Петар Белокапић, </w:t>
      </w:r>
      <w:r w:rsidRPr="00D06B5B">
        <w:rPr>
          <w:b/>
          <w:lang w:val="sr-Cyrl-CS"/>
        </w:rPr>
        <w:t>Б</w:t>
      </w:r>
      <w:r>
        <w:rPr>
          <w:b/>
          <w:lang w:val="sr-Cyrl-CS"/>
        </w:rPr>
        <w:t xml:space="preserve">уџетска економија и дефицитарно </w:t>
      </w:r>
      <w:r w:rsidRPr="00D06B5B">
        <w:rPr>
          <w:b/>
          <w:lang w:val="sr-Cyrl-CS"/>
        </w:rPr>
        <w:t>финансирање</w:t>
      </w:r>
      <w:r>
        <w:rPr>
          <w:lang w:val="sr-Cyrl-CS"/>
        </w:rPr>
        <w:t>, Етностил, Београд, 2012, стр. 13.</w:t>
      </w:r>
    </w:p>
  </w:footnote>
  <w:footnote w:id="64">
    <w:p w:rsidR="00767127" w:rsidRPr="00F5165B" w:rsidRDefault="00767127" w:rsidP="00F163A3">
      <w:pPr>
        <w:pStyle w:val="FootnoteText"/>
        <w:rPr>
          <w:lang w:val="sr-Cyrl-CS"/>
        </w:rPr>
      </w:pPr>
      <w:r>
        <w:rPr>
          <w:rStyle w:val="FootnoteReference"/>
        </w:rPr>
        <w:footnoteRef/>
      </w:r>
      <w:r>
        <w:rPr>
          <w:lang w:val="sr-Cyrl-CS"/>
        </w:rPr>
        <w:t xml:space="preserve"> </w:t>
      </w:r>
      <w:r>
        <w:rPr>
          <w:i/>
          <w:lang w:val="sr-Cyrl-CS"/>
        </w:rPr>
        <w:t>Нав. дело,</w:t>
      </w:r>
      <w:r>
        <w:rPr>
          <w:lang w:val="sr-Cyrl-CS"/>
        </w:rPr>
        <w:t xml:space="preserve"> стр.</w:t>
      </w:r>
      <w:r>
        <w:t xml:space="preserve"> </w:t>
      </w:r>
      <w:r>
        <w:rPr>
          <w:lang w:val="sr-Cyrl-CS"/>
        </w:rPr>
        <w:t>19-20.</w:t>
      </w:r>
    </w:p>
    <w:p w:rsidR="00767127" w:rsidRPr="00F163A3" w:rsidRDefault="00767127">
      <w:pPr>
        <w:pStyle w:val="FootnoteText"/>
        <w:rPr>
          <w:lang w:val="sr-Cyrl-CS"/>
        </w:rPr>
      </w:pPr>
    </w:p>
  </w:footnote>
  <w:footnote w:id="65">
    <w:p w:rsidR="00767127" w:rsidRPr="00F715DA" w:rsidRDefault="00767127">
      <w:pPr>
        <w:pStyle w:val="FootnoteText"/>
        <w:rPr>
          <w:lang w:val="sr-Cyrl-CS"/>
        </w:rPr>
      </w:pPr>
      <w:r>
        <w:rPr>
          <w:rStyle w:val="FootnoteReference"/>
        </w:rPr>
        <w:footnoteRef/>
      </w:r>
      <w:r>
        <w:t xml:space="preserve"> </w:t>
      </w:r>
      <w:r>
        <w:rPr>
          <w:lang w:val="sr-Cyrl-CS"/>
        </w:rPr>
        <w:t xml:space="preserve">Милева Анђелковић и Драган Јовашевић, </w:t>
      </w:r>
      <w:r>
        <w:rPr>
          <w:i/>
          <w:lang w:val="sr-Cyrl-CS"/>
        </w:rPr>
        <w:t>нав. дело,</w:t>
      </w:r>
      <w:r>
        <w:rPr>
          <w:lang w:val="sr-Cyrl-CS"/>
        </w:rPr>
        <w:t xml:space="preserve"> стр. 68.</w:t>
      </w:r>
    </w:p>
  </w:footnote>
  <w:footnote w:id="66">
    <w:p w:rsidR="00767127" w:rsidRPr="00692384" w:rsidRDefault="00767127">
      <w:pPr>
        <w:pStyle w:val="FootnoteText"/>
        <w:rPr>
          <w:lang w:val="sr-Cyrl-CS"/>
        </w:rPr>
      </w:pPr>
      <w:r>
        <w:rPr>
          <w:rStyle w:val="FootnoteReference"/>
        </w:rPr>
        <w:footnoteRef/>
      </w:r>
      <w:r>
        <w:t xml:space="preserve"> </w:t>
      </w:r>
      <w:r w:rsidRPr="007D436B">
        <w:rPr>
          <w:lang w:val="sr-Cyrl-CS"/>
        </w:rPr>
        <w:t>Јован Ловчевић</w:t>
      </w:r>
      <w:r w:rsidRPr="00BE20B3">
        <w:rPr>
          <w:b/>
          <w:lang w:val="sr-Cyrl-CS"/>
        </w:rPr>
        <w:t xml:space="preserve">, </w:t>
      </w:r>
      <w:r>
        <w:rPr>
          <w:i/>
          <w:lang w:val="sr-Cyrl-CS"/>
        </w:rPr>
        <w:t>нав. дело,</w:t>
      </w:r>
      <w:r w:rsidRPr="007D436B">
        <w:rPr>
          <w:lang w:val="sr-Cyrl-CS"/>
        </w:rPr>
        <w:t xml:space="preserve"> стр. 83.</w:t>
      </w:r>
    </w:p>
  </w:footnote>
  <w:footnote w:id="67">
    <w:p w:rsidR="00767127" w:rsidRPr="00FB3266" w:rsidRDefault="00767127">
      <w:pPr>
        <w:pStyle w:val="FootnoteText"/>
        <w:rPr>
          <w:lang w:val="sr-Cyrl-CS"/>
        </w:rPr>
      </w:pPr>
      <w:r>
        <w:rPr>
          <w:rStyle w:val="FootnoteReference"/>
        </w:rPr>
        <w:footnoteRef/>
      </w:r>
      <w:r>
        <w:t xml:space="preserve"> </w:t>
      </w:r>
      <w:r>
        <w:rPr>
          <w:lang w:val="sr-Cyrl-CS"/>
        </w:rPr>
        <w:t xml:space="preserve">Милева Анђелковић и Драган Јоашевић, </w:t>
      </w:r>
      <w:r>
        <w:rPr>
          <w:i/>
          <w:lang w:val="sr-Cyrl-CS"/>
        </w:rPr>
        <w:t>нав. дело</w:t>
      </w:r>
      <w:r w:rsidRPr="002C4ACA">
        <w:rPr>
          <w:i/>
          <w:lang w:val="sr-Cyrl-CS"/>
        </w:rPr>
        <w:t>,</w:t>
      </w:r>
      <w:r>
        <w:rPr>
          <w:lang w:val="sr-Cyrl-CS"/>
        </w:rPr>
        <w:t xml:space="preserve"> стр. 69.</w:t>
      </w:r>
    </w:p>
  </w:footnote>
  <w:footnote w:id="68">
    <w:p w:rsidR="00767127" w:rsidRPr="009C6923" w:rsidRDefault="00767127" w:rsidP="001E6839">
      <w:pPr>
        <w:pStyle w:val="FootnoteText"/>
        <w:jc w:val="both"/>
        <w:rPr>
          <w:lang w:val="sr-Cyrl-CS"/>
        </w:rPr>
      </w:pPr>
      <w:r>
        <w:rPr>
          <w:rStyle w:val="FootnoteReference"/>
        </w:rPr>
        <w:footnoteRef/>
      </w:r>
      <w:r>
        <w:t xml:space="preserve"> </w:t>
      </w:r>
      <w:r>
        <w:rPr>
          <w:lang w:val="sr-Cyrl-CS"/>
        </w:rPr>
        <w:t xml:space="preserve">Горан Милошевић, </w:t>
      </w:r>
      <w:r>
        <w:rPr>
          <w:b/>
          <w:lang w:val="sr-Cyrl-CS"/>
        </w:rPr>
        <w:t>Економски аспект евазије пореза</w:t>
      </w:r>
      <w:r>
        <w:rPr>
          <w:lang w:val="sr-Cyrl-CS"/>
        </w:rPr>
        <w:t xml:space="preserve">, </w:t>
      </w:r>
      <w:r w:rsidRPr="00A43DCD">
        <w:rPr>
          <w:i/>
          <w:lang w:val="sr-Cyrl-CS"/>
        </w:rPr>
        <w:t>Економски хоризонти</w:t>
      </w:r>
      <w:r>
        <w:rPr>
          <w:lang w:val="sr-Cyrl-CS"/>
        </w:rPr>
        <w:t>, бр. 1/2, 2006,  стр. 60.</w:t>
      </w:r>
    </w:p>
  </w:footnote>
  <w:footnote w:id="69">
    <w:p w:rsidR="00767127" w:rsidRPr="00D935DD" w:rsidRDefault="00767127" w:rsidP="0017787C">
      <w:pPr>
        <w:pStyle w:val="FootnoteText"/>
        <w:rPr>
          <w:lang w:val="sr-Cyrl-CS"/>
        </w:rPr>
      </w:pPr>
      <w:r>
        <w:rPr>
          <w:rStyle w:val="FootnoteReference"/>
        </w:rPr>
        <w:footnoteRef/>
      </w:r>
      <w:r>
        <w:t xml:space="preserve"> </w:t>
      </w:r>
      <w:r>
        <w:rPr>
          <w:lang w:val="sr-Cyrl-CS"/>
        </w:rPr>
        <w:t xml:space="preserve">Јован Ловчевић, </w:t>
      </w:r>
      <w:r w:rsidRPr="00C23C24">
        <w:rPr>
          <w:b/>
          <w:lang w:val="sr-Cyrl-CS"/>
        </w:rPr>
        <w:t>Институције јавних финансија</w:t>
      </w:r>
      <w:r>
        <w:rPr>
          <w:i/>
          <w:lang w:val="sr-Cyrl-CS"/>
        </w:rPr>
        <w:t xml:space="preserve">, </w:t>
      </w:r>
      <w:r w:rsidRPr="00C167A9">
        <w:rPr>
          <w:lang w:val="sr-Cyrl-CS"/>
        </w:rPr>
        <w:t>Службени лист СФРЈ</w:t>
      </w:r>
      <w:r>
        <w:rPr>
          <w:i/>
          <w:lang w:val="sr-Cyrl-CS"/>
        </w:rPr>
        <w:t xml:space="preserve">, </w:t>
      </w:r>
      <w:r>
        <w:rPr>
          <w:lang w:val="sr-Cyrl-CS"/>
        </w:rPr>
        <w:t>Београд, 1991</w:t>
      </w:r>
      <w:r w:rsidRPr="00775100">
        <w:rPr>
          <w:i/>
          <w:lang w:val="sr-Cyrl-CS"/>
        </w:rPr>
        <w:t>,</w:t>
      </w:r>
      <w:r>
        <w:rPr>
          <w:lang w:val="sr-Cyrl-CS"/>
        </w:rPr>
        <w:t xml:space="preserve"> стр. 154.</w:t>
      </w:r>
    </w:p>
  </w:footnote>
  <w:footnote w:id="70">
    <w:p w:rsidR="00767127" w:rsidRPr="00AD3A10" w:rsidRDefault="00767127" w:rsidP="00AD3A10">
      <w:pPr>
        <w:pStyle w:val="FootnoteText"/>
        <w:jc w:val="both"/>
        <w:rPr>
          <w:b/>
        </w:rPr>
      </w:pPr>
      <w:r>
        <w:rPr>
          <w:rStyle w:val="FootnoteReference"/>
        </w:rPr>
        <w:footnoteRef/>
      </w:r>
      <w:r>
        <w:t xml:space="preserve"> Judith Freedman</w:t>
      </w:r>
      <w:r>
        <w:rPr>
          <w:lang w:val="sr-Cyrl-CS"/>
        </w:rPr>
        <w:t>,</w:t>
      </w:r>
      <w:r>
        <w:t xml:space="preserve"> Geoffrey Loomer and John Vella, </w:t>
      </w:r>
      <w:r w:rsidRPr="00DB1F02">
        <w:rPr>
          <w:b/>
        </w:rPr>
        <w:t>Alternative Approaches to Tax Risk and TaxAvoidance: Analysis of a Face-to-Face Corporate Survey</w:t>
      </w:r>
      <w:r>
        <w:rPr>
          <w:lang w:val="sr-Cyrl-CS"/>
        </w:rPr>
        <w:t xml:space="preserve"> </w:t>
      </w:r>
      <w:r>
        <w:t xml:space="preserve"> (2008) Working Paper 08/14, Oxford</w:t>
      </w:r>
      <w:r>
        <w:rPr>
          <w:b/>
          <w:lang w:val="sr-Cyrl-CS"/>
        </w:rPr>
        <w:t xml:space="preserve"> </w:t>
      </w:r>
      <w:r>
        <w:t xml:space="preserve">University Centre for Business Taxation, </w:t>
      </w:r>
      <w:r>
        <w:rPr>
          <w:lang w:val="sr-Cyrl-CS"/>
        </w:rPr>
        <w:t xml:space="preserve">3. </w:t>
      </w:r>
    </w:p>
  </w:footnote>
  <w:footnote w:id="71">
    <w:p w:rsidR="00767127" w:rsidRPr="00E925C6" w:rsidRDefault="00767127" w:rsidP="001E6839">
      <w:pPr>
        <w:pStyle w:val="FootnoteText"/>
        <w:rPr>
          <w:lang w:val="sr-Cyrl-CS"/>
        </w:rPr>
      </w:pPr>
      <w:r>
        <w:rPr>
          <w:rStyle w:val="FootnoteReference"/>
        </w:rPr>
        <w:footnoteRef/>
      </w:r>
      <w:r>
        <w:t xml:space="preserve"> Logue D. Kyle , </w:t>
      </w:r>
      <w:r w:rsidRPr="00D838AD">
        <w:rPr>
          <w:b/>
        </w:rPr>
        <w:t>Tax Law Uncertainty and the Role of Tax Insurance</w:t>
      </w:r>
      <w:r>
        <w:rPr>
          <w:lang w:val="sr-Cyrl-CS"/>
        </w:rPr>
        <w:t>,</w:t>
      </w:r>
      <w:r>
        <w:t xml:space="preserve"> (2005-2006) 25 </w:t>
      </w:r>
      <w:r w:rsidRPr="00D838AD">
        <w:rPr>
          <w:i/>
        </w:rPr>
        <w:t>Virginia Tax</w:t>
      </w:r>
      <w:r w:rsidRPr="00D838AD">
        <w:rPr>
          <w:i/>
          <w:lang w:val="sr-Cyrl-CS"/>
        </w:rPr>
        <w:t xml:space="preserve"> </w:t>
      </w:r>
      <w:r w:rsidRPr="00D838AD">
        <w:rPr>
          <w:i/>
        </w:rPr>
        <w:t>Review</w:t>
      </w:r>
      <w:r>
        <w:t xml:space="preserve">, 339, </w:t>
      </w:r>
      <w:r>
        <w:rPr>
          <w:lang w:val="sr-Cyrl-CS"/>
        </w:rPr>
        <w:t xml:space="preserve">pр. </w:t>
      </w:r>
      <w:r>
        <w:t>353</w:t>
      </w:r>
      <w:r>
        <w:rPr>
          <w:lang w:val="sr-Cyrl-CS"/>
        </w:rPr>
        <w:t>-</w:t>
      </w:r>
      <w:r>
        <w:t>3</w:t>
      </w:r>
      <w:r>
        <w:rPr>
          <w:lang w:val="sr-Cyrl-CS"/>
        </w:rPr>
        <w:t>55.</w:t>
      </w:r>
    </w:p>
  </w:footnote>
  <w:footnote w:id="72">
    <w:p w:rsidR="00767127" w:rsidRPr="006D3E7F" w:rsidRDefault="00767127" w:rsidP="001E6839">
      <w:pPr>
        <w:pStyle w:val="FootnoteText"/>
        <w:jc w:val="both"/>
      </w:pPr>
      <w:r>
        <w:rPr>
          <w:rStyle w:val="FootnoteReference"/>
        </w:rPr>
        <w:footnoteRef/>
      </w:r>
      <w:r>
        <w:t xml:space="preserve"> K. W. Asprey and Parsons Ross, </w:t>
      </w:r>
      <w:r w:rsidRPr="00D838AD">
        <w:rPr>
          <w:b/>
        </w:rPr>
        <w:t>Taxation Review Committee</w:t>
      </w:r>
      <w:r>
        <w:rPr>
          <w:lang w:val="sr-Cyrl-CS"/>
        </w:rPr>
        <w:t>,</w:t>
      </w:r>
      <w:r>
        <w:t xml:space="preserve"> 1975, University of Sydney</w:t>
      </w:r>
      <w:r>
        <w:rPr>
          <w:lang w:val="sr-Cyrl-CS"/>
        </w:rPr>
        <w:t xml:space="preserve"> </w:t>
      </w:r>
      <w:r>
        <w:t xml:space="preserve">Library 2001, Chapter 11- Income Splitting, Paragraph 11.1, p. </w:t>
      </w:r>
      <w:r>
        <w:rPr>
          <w:lang w:val="sr-Cyrl-CS"/>
        </w:rPr>
        <w:t>143</w:t>
      </w:r>
      <w:r>
        <w:t>.</w:t>
      </w:r>
      <w:r>
        <w:rPr>
          <w:lang w:val="sr-Cyrl-CS"/>
        </w:rPr>
        <w:t xml:space="preserve"> (Извор: </w:t>
      </w:r>
      <w:hyperlink r:id="rId4" w:history="1">
        <w:r w:rsidRPr="00CC78C1">
          <w:rPr>
            <w:rStyle w:val="Hyperlink"/>
            <w:lang w:val="sr-Cyrl-CS"/>
          </w:rPr>
          <w:t>http://adc.library.usyd.edu.au</w:t>
        </w:r>
      </w:hyperlink>
      <w:r>
        <w:rPr>
          <w:lang w:val="sr-Cyrl-CS"/>
        </w:rPr>
        <w:t xml:space="preserve">) </w:t>
      </w:r>
    </w:p>
  </w:footnote>
  <w:footnote w:id="73">
    <w:p w:rsidR="00767127" w:rsidRPr="0098338C" w:rsidRDefault="00767127" w:rsidP="00775100">
      <w:pPr>
        <w:pStyle w:val="FootnoteText"/>
        <w:rPr>
          <w:lang w:val="sr-Cyrl-CS"/>
        </w:rPr>
      </w:pPr>
      <w:r>
        <w:rPr>
          <w:rStyle w:val="FootnoteReference"/>
        </w:rPr>
        <w:footnoteRef/>
      </w:r>
      <w:r>
        <w:t xml:space="preserve"> Judith Freedman</w:t>
      </w:r>
      <w:r>
        <w:rPr>
          <w:lang w:val="sr-Cyrl-CS"/>
        </w:rPr>
        <w:t>,</w:t>
      </w:r>
      <w:r>
        <w:t xml:space="preserve"> Geoffrey Loomer and John Vella, </w:t>
      </w:r>
      <w:r>
        <w:rPr>
          <w:i/>
          <w:lang w:val="sr-Cyrl-CS"/>
        </w:rPr>
        <w:t>нав. дело,</w:t>
      </w:r>
      <w:r>
        <w:rPr>
          <w:i/>
        </w:rPr>
        <w:t xml:space="preserve"> </w:t>
      </w:r>
      <w:r w:rsidRPr="00EA2155">
        <w:t>p</w:t>
      </w:r>
      <w:r>
        <w:rPr>
          <w:i/>
        </w:rPr>
        <w:t>.</w:t>
      </w:r>
      <w:r>
        <w:t xml:space="preserve"> 2</w:t>
      </w:r>
      <w:r>
        <w:rPr>
          <w:lang w:val="sr-Cyrl-CS"/>
        </w:rPr>
        <w:t>.</w:t>
      </w:r>
    </w:p>
  </w:footnote>
  <w:footnote w:id="74">
    <w:p w:rsidR="00767127" w:rsidRPr="00846EF0" w:rsidRDefault="00767127" w:rsidP="001E6839">
      <w:pPr>
        <w:pStyle w:val="FootnoteText"/>
      </w:pPr>
      <w:r>
        <w:rPr>
          <w:rStyle w:val="FootnoteReference"/>
        </w:rPr>
        <w:footnoteRef/>
      </w:r>
      <w:r>
        <w:t xml:space="preserve"> Linda</w:t>
      </w:r>
      <w:r>
        <w:rPr>
          <w:lang w:val="sr-Cyrl-CS"/>
        </w:rPr>
        <w:t xml:space="preserve"> </w:t>
      </w:r>
      <w:r>
        <w:t xml:space="preserve">Peter-Szerenyi, </w:t>
      </w:r>
      <w:r w:rsidRPr="00DB1F02">
        <w:rPr>
          <w:b/>
        </w:rPr>
        <w:t>The OECD’s artificial approach to tax havens: Part 2</w:t>
      </w:r>
      <w:r>
        <w:rPr>
          <w:b/>
          <w:lang w:val="sr-Cyrl-CS"/>
        </w:rPr>
        <w:t>,</w:t>
      </w:r>
      <w:r>
        <w:t xml:space="preserve"> (2003) 14 Journal of</w:t>
      </w:r>
      <w:r>
        <w:rPr>
          <w:lang w:val="sr-Cyrl-CS"/>
        </w:rPr>
        <w:t xml:space="preserve"> </w:t>
      </w:r>
      <w:r>
        <w:t>International Taxation 10, p. 20</w:t>
      </w:r>
    </w:p>
  </w:footnote>
  <w:footnote w:id="75">
    <w:p w:rsidR="00767127" w:rsidRPr="00B96897" w:rsidRDefault="00767127" w:rsidP="004B1F3A">
      <w:pPr>
        <w:pStyle w:val="FootnoteText"/>
        <w:jc w:val="both"/>
        <w:rPr>
          <w:lang w:val="sr-Cyrl-CS"/>
        </w:rPr>
      </w:pPr>
      <w:r>
        <w:rPr>
          <w:rStyle w:val="FootnoteReference"/>
        </w:rPr>
        <w:footnoteRef/>
      </w:r>
      <w:r>
        <w:t xml:space="preserve"> G. Tixer, </w:t>
      </w:r>
      <w:r w:rsidRPr="00B96897">
        <w:rPr>
          <w:b/>
        </w:rPr>
        <w:t>Definition</w:t>
      </w:r>
      <w:r>
        <w:t xml:space="preserve">, </w:t>
      </w:r>
      <w:r w:rsidRPr="00DB1F02">
        <w:rPr>
          <w:b/>
        </w:rPr>
        <w:t>Scope and Importance Tax Evasion</w:t>
      </w:r>
      <w:r>
        <w:t>, (</w:t>
      </w:r>
      <w:r>
        <w:rPr>
          <w:lang w:val="sr-Cyrl-CS"/>
        </w:rPr>
        <w:t xml:space="preserve">У: </w:t>
      </w:r>
      <w:r>
        <w:t xml:space="preserve"> </w:t>
      </w:r>
      <w:r w:rsidRPr="00DB1F02">
        <w:rPr>
          <w:b/>
        </w:rPr>
        <w:t>International Tax Avoidance and Evasion</w:t>
      </w:r>
      <w:r>
        <w:t>, Colloquy of 5-7 March 1980, Strasbourg, IBFD, Amsterdam 1981, pp. 26</w:t>
      </w:r>
      <w:r>
        <w:rPr>
          <w:lang w:val="sr-Cyrl-CS"/>
        </w:rPr>
        <w:t xml:space="preserve">, преузето из: Дејан Поповић, </w:t>
      </w:r>
      <w:r w:rsidRPr="00DB1F02">
        <w:rPr>
          <w:b/>
          <w:lang w:val="sr-Cyrl-CS"/>
        </w:rPr>
        <w:t>Наука о порезима и пореско право</w:t>
      </w:r>
      <w:r>
        <w:rPr>
          <w:lang w:val="sr-Cyrl-CS"/>
        </w:rPr>
        <w:t>, COLPI, Будимпешта и Савремена администрација, Београд, 1997, стр. 450.)</w:t>
      </w:r>
    </w:p>
  </w:footnote>
  <w:footnote w:id="76">
    <w:p w:rsidR="00767127" w:rsidRPr="00AB5175" w:rsidRDefault="00767127" w:rsidP="001E6839">
      <w:pPr>
        <w:pStyle w:val="FootnoteText"/>
        <w:rPr>
          <w:lang w:val="sr-Cyrl-CS"/>
        </w:rPr>
      </w:pPr>
      <w:r>
        <w:rPr>
          <w:rStyle w:val="FootnoteReference"/>
        </w:rPr>
        <w:footnoteRef/>
      </w:r>
      <w:r>
        <w:t xml:space="preserve"> Alex Cobham, </w:t>
      </w:r>
      <w:r w:rsidRPr="00DB1F02">
        <w:rPr>
          <w:b/>
        </w:rPr>
        <w:t>Tax Evasion, Tax Avoidance and Development Finance</w:t>
      </w:r>
      <w:r>
        <w:t>, Woking paper number 129, September 2005, p.1.</w:t>
      </w:r>
      <w:r>
        <w:rPr>
          <w:lang w:val="sr-Cyrl-CS"/>
        </w:rPr>
        <w:t xml:space="preserve"> (Извор: </w:t>
      </w:r>
      <w:hyperlink r:id="rId5" w:history="1">
        <w:r w:rsidRPr="00CC78C1">
          <w:rPr>
            <w:rStyle w:val="Hyperlink"/>
            <w:lang w:val="sr-Cyrl-CS"/>
          </w:rPr>
          <w:t>http://core.ac.uk</w:t>
        </w:r>
      </w:hyperlink>
      <w:r>
        <w:rPr>
          <w:lang w:val="sr-Cyrl-CS"/>
        </w:rPr>
        <w:t xml:space="preserve"> ).</w:t>
      </w:r>
    </w:p>
  </w:footnote>
  <w:footnote w:id="77">
    <w:p w:rsidR="00767127" w:rsidRPr="0045212A" w:rsidRDefault="00767127" w:rsidP="001E6839">
      <w:pPr>
        <w:pStyle w:val="FootnoteText"/>
      </w:pPr>
      <w:r>
        <w:rPr>
          <w:rStyle w:val="FootnoteReference"/>
        </w:rPr>
        <w:footnoteRef/>
      </w:r>
      <w:r>
        <w:t xml:space="preserve"> </w:t>
      </w:r>
      <w:r>
        <w:rPr>
          <w:lang w:val="sr-Cyrl-CS"/>
        </w:rPr>
        <w:t>Извор: ttps</w:t>
      </w:r>
      <w:r>
        <w:t>:</w:t>
      </w:r>
      <w:r>
        <w:rPr>
          <w:lang w:val="sr-Cyrl-CS"/>
        </w:rPr>
        <w:t>//</w:t>
      </w:r>
      <w:r w:rsidRPr="0045212A">
        <w:t xml:space="preserve"> </w:t>
      </w:r>
      <w:hyperlink r:id="rId6" w:history="1">
        <w:r>
          <w:rPr>
            <w:rStyle w:val="Hyperlink"/>
          </w:rPr>
          <w:t>http://www.akter.co.rs</w:t>
        </w:r>
      </w:hyperlink>
      <w:r>
        <w:t xml:space="preserve"> (11.09.2013.)</w:t>
      </w:r>
    </w:p>
  </w:footnote>
  <w:footnote w:id="78">
    <w:p w:rsidR="00767127" w:rsidRPr="008109CD" w:rsidRDefault="00767127" w:rsidP="001E6839">
      <w:pPr>
        <w:pStyle w:val="FootnoteText"/>
        <w:rPr>
          <w:lang w:val="sr-Cyrl-CS"/>
        </w:rPr>
      </w:pPr>
      <w:r>
        <w:rPr>
          <w:rStyle w:val="FootnoteReference"/>
        </w:rPr>
        <w:footnoteRef/>
      </w:r>
      <w:r>
        <w:t xml:space="preserve"> </w:t>
      </w:r>
      <w:r>
        <w:rPr>
          <w:lang w:val="sr-Cyrl-CS"/>
        </w:rPr>
        <w:t xml:space="preserve">Извор: </w:t>
      </w:r>
      <w:r>
        <w:t>https://</w:t>
      </w:r>
      <w:r w:rsidRPr="006D36BD">
        <w:t xml:space="preserve"> </w:t>
      </w:r>
      <w:hyperlink r:id="rId7" w:history="1">
        <w:r>
          <w:rPr>
            <w:rStyle w:val="Hyperlink"/>
          </w:rPr>
          <w:t>http://www.oecd.org/ctp/fightingtaxevasion.htm</w:t>
        </w:r>
      </w:hyperlink>
      <w:r>
        <w:t xml:space="preserve"> (11.09.2013.) </w:t>
      </w:r>
    </w:p>
  </w:footnote>
  <w:footnote w:id="79">
    <w:p w:rsidR="00767127" w:rsidRPr="00F25063" w:rsidRDefault="00767127" w:rsidP="001E6839">
      <w:pPr>
        <w:pStyle w:val="FootnoteText"/>
      </w:pPr>
      <w:r>
        <w:rPr>
          <w:rStyle w:val="FootnoteReference"/>
        </w:rPr>
        <w:footnoteRef/>
      </w:r>
      <w:r>
        <w:t xml:space="preserve"> </w:t>
      </w:r>
      <w:r>
        <w:rPr>
          <w:lang w:val="sr-Cyrl-CS"/>
        </w:rPr>
        <w:t xml:space="preserve">Извор: </w:t>
      </w:r>
      <w:hyperlink r:id="rId8" w:history="1">
        <w:r w:rsidRPr="00077F71">
          <w:rPr>
            <w:rStyle w:val="Hyperlink"/>
          </w:rPr>
          <w:t>http://investorplace.com/investorpolitics/10-worst-countries-for-tax-evasion</w:t>
        </w:r>
      </w:hyperlink>
      <w:r>
        <w:t xml:space="preserve"> </w:t>
      </w:r>
    </w:p>
  </w:footnote>
  <w:footnote w:id="80">
    <w:p w:rsidR="00767127" w:rsidRPr="008415BC" w:rsidRDefault="00767127" w:rsidP="001E6839">
      <w:pPr>
        <w:pStyle w:val="FootnoteText"/>
        <w:rPr>
          <w:lang w:val="sr-Cyrl-CS"/>
        </w:rPr>
      </w:pPr>
      <w:r>
        <w:rPr>
          <w:rStyle w:val="FootnoteReference"/>
        </w:rPr>
        <w:footnoteRef/>
      </w:r>
      <w:r>
        <w:t xml:space="preserve"> </w:t>
      </w:r>
      <w:r>
        <w:rPr>
          <w:lang w:val="sr-Cyrl-CS"/>
        </w:rPr>
        <w:t xml:space="preserve">Види: </w:t>
      </w:r>
      <w:hyperlink r:id="rId9" w:history="1">
        <w:r>
          <w:rPr>
            <w:rStyle w:val="Hyperlink"/>
          </w:rPr>
          <w:t>http://investorplace.com/investorpolitics/10-worst-countries-for-tax-evasion/</w:t>
        </w:r>
      </w:hyperlink>
    </w:p>
  </w:footnote>
  <w:footnote w:id="81">
    <w:p w:rsidR="00767127" w:rsidRPr="009E1820" w:rsidRDefault="00767127" w:rsidP="001E6839">
      <w:pPr>
        <w:pStyle w:val="FootnoteText"/>
        <w:rPr>
          <w:lang w:val="sr-Cyrl-CS"/>
        </w:rPr>
      </w:pPr>
      <w:r>
        <w:rPr>
          <w:rStyle w:val="FootnoteReference"/>
        </w:rPr>
        <w:footnoteRef/>
      </w:r>
      <w:r>
        <w:t xml:space="preserve"> </w:t>
      </w:r>
      <w:r>
        <w:rPr>
          <w:lang w:val="sr-Cyrl-CS"/>
        </w:rPr>
        <w:t xml:space="preserve">Види: </w:t>
      </w:r>
      <w:hyperlink r:id="rId10" w:history="1">
        <w:r>
          <w:rPr>
            <w:rStyle w:val="Hyperlink"/>
          </w:rPr>
          <w:t>http://ideas.repec.org/p/ces/ceswps/_4004.html</w:t>
        </w:r>
      </w:hyperlink>
    </w:p>
  </w:footnote>
  <w:footnote w:id="82">
    <w:p w:rsidR="00767127" w:rsidRDefault="00767127" w:rsidP="001E6839">
      <w:pPr>
        <w:pStyle w:val="FootnoteText"/>
        <w:jc w:val="distribute"/>
      </w:pPr>
      <w:r>
        <w:rPr>
          <w:rStyle w:val="FootnoteReference"/>
        </w:rPr>
        <w:footnoteRef/>
      </w:r>
      <w:r>
        <w:t xml:space="preserve"> </w:t>
      </w:r>
      <w:r w:rsidRPr="00957FC2">
        <w:t>The Cost of Tax Abuse</w:t>
      </w:r>
      <w:r>
        <w:t xml:space="preserve">, a briefing paper on the cost of tax evasion worldwide, </w:t>
      </w:r>
      <w:r w:rsidRPr="00957FC2">
        <w:rPr>
          <w:i/>
        </w:rPr>
        <w:t>The Tax Justice Network</w:t>
      </w:r>
      <w:r>
        <w:t xml:space="preserve">, </w:t>
      </w:r>
    </w:p>
    <w:p w:rsidR="00767127" w:rsidRPr="00C51CF9" w:rsidRDefault="00767127" w:rsidP="001E6839">
      <w:pPr>
        <w:pStyle w:val="FootnoteText"/>
        <w:rPr>
          <w:lang w:val="sr-Cyrl-CS"/>
        </w:rPr>
      </w:pPr>
      <w:r>
        <w:t>November, 2011</w:t>
      </w:r>
      <w:r>
        <w:rPr>
          <w:lang w:val="sr-Cyrl-CS"/>
        </w:rPr>
        <w:t xml:space="preserve">, </w:t>
      </w:r>
      <w:r>
        <w:t xml:space="preserve">pp. 2-6. </w:t>
      </w:r>
      <w:r>
        <w:rPr>
          <w:lang w:val="sr-Cyrl-CS"/>
        </w:rPr>
        <w:t xml:space="preserve">(Извор: </w:t>
      </w:r>
      <w:hyperlink r:id="rId11" w:history="1">
        <w:r w:rsidRPr="00CC78C1">
          <w:rPr>
            <w:rStyle w:val="Hyperlink"/>
            <w:lang w:val="sr-Cyrl-CS"/>
          </w:rPr>
          <w:t>http://www.tackletaxhavens.com</w:t>
        </w:r>
      </w:hyperlink>
      <w:r>
        <w:rPr>
          <w:lang w:val="sr-Cyrl-CS"/>
        </w:rPr>
        <w:t xml:space="preserve"> )</w:t>
      </w:r>
    </w:p>
  </w:footnote>
  <w:footnote w:id="83">
    <w:p w:rsidR="00767127" w:rsidRPr="00C4042B" w:rsidRDefault="00767127" w:rsidP="001E6839">
      <w:pPr>
        <w:pStyle w:val="FootnoteText"/>
        <w:rPr>
          <w:lang w:val="sr-Cyrl-CS"/>
        </w:rPr>
      </w:pPr>
      <w:r>
        <w:rPr>
          <w:rStyle w:val="FootnoteReference"/>
        </w:rPr>
        <w:footnoteRef/>
      </w:r>
      <w:r>
        <w:t xml:space="preserve"> </w:t>
      </w:r>
      <w:r>
        <w:rPr>
          <w:lang w:val="sr-Cyrl-CS"/>
        </w:rPr>
        <w:t xml:space="preserve">Дејан Поповић, </w:t>
      </w:r>
      <w:r w:rsidRPr="00050DBC">
        <w:rPr>
          <w:i/>
          <w:lang w:val="sr-Cyrl-CS"/>
        </w:rPr>
        <w:t>нав. дело</w:t>
      </w:r>
      <w:r>
        <w:rPr>
          <w:b/>
          <w:lang w:val="sr-Cyrl-CS"/>
        </w:rPr>
        <w:t>,</w:t>
      </w:r>
      <w:r>
        <w:rPr>
          <w:lang w:val="sr-Cyrl-CS"/>
        </w:rPr>
        <w:t xml:space="preserve"> стр. 450.</w:t>
      </w:r>
    </w:p>
  </w:footnote>
  <w:footnote w:id="84">
    <w:p w:rsidR="00767127" w:rsidRPr="001A58AA" w:rsidRDefault="00767127" w:rsidP="001E6839">
      <w:pPr>
        <w:pStyle w:val="FootnoteText"/>
        <w:rPr>
          <w:lang w:val="sr-Cyrl-CS"/>
        </w:rPr>
      </w:pPr>
      <w:r>
        <w:rPr>
          <w:rStyle w:val="FootnoteReference"/>
        </w:rPr>
        <w:footnoteRef/>
      </w:r>
      <w:r>
        <w:t xml:space="preserve"> </w:t>
      </w:r>
      <w:r>
        <w:rPr>
          <w:lang w:val="sr-Cyrl-CS"/>
        </w:rPr>
        <w:t xml:space="preserve">Милена Раковић, </w:t>
      </w:r>
      <w:r w:rsidRPr="00000F3B">
        <w:rPr>
          <w:b/>
          <w:lang w:val="sr-Cyrl-CS"/>
        </w:rPr>
        <w:t>Финансије и финансијско право</w:t>
      </w:r>
      <w:r>
        <w:rPr>
          <w:lang w:val="sr-Cyrl-CS"/>
        </w:rPr>
        <w:t>, Правни факултет, Бања Лука, 2007, стр. 195.</w:t>
      </w:r>
    </w:p>
  </w:footnote>
  <w:footnote w:id="85">
    <w:p w:rsidR="00767127" w:rsidRPr="001A58AA" w:rsidRDefault="00767127" w:rsidP="001E6839">
      <w:pPr>
        <w:pStyle w:val="FootnoteText"/>
        <w:rPr>
          <w:lang w:val="sr-Cyrl-CS"/>
        </w:rPr>
      </w:pPr>
      <w:r>
        <w:rPr>
          <w:rStyle w:val="FootnoteReference"/>
        </w:rPr>
        <w:footnoteRef/>
      </w:r>
      <w:r>
        <w:t xml:space="preserve"> </w:t>
      </w:r>
      <w:r>
        <w:rPr>
          <w:lang w:val="sr-Cyrl-CS"/>
        </w:rPr>
        <w:t xml:space="preserve">Мирко Кулић, </w:t>
      </w:r>
      <w:r w:rsidRPr="00000F3B">
        <w:rPr>
          <w:b/>
          <w:lang w:val="sr-Cyrl-CS"/>
        </w:rPr>
        <w:t>Пореска утаја и кријумчарење</w:t>
      </w:r>
      <w:r>
        <w:rPr>
          <w:lang w:val="sr-Cyrl-CS"/>
        </w:rPr>
        <w:t>, БМГ, Београд, 1999, стр. 234-241.</w:t>
      </w:r>
    </w:p>
  </w:footnote>
  <w:footnote w:id="86">
    <w:p w:rsidR="00767127" w:rsidRPr="005B573A" w:rsidRDefault="00767127" w:rsidP="001E6839">
      <w:pPr>
        <w:pStyle w:val="FootnoteText"/>
        <w:rPr>
          <w:lang w:val="sr-Cyrl-CS"/>
        </w:rPr>
      </w:pPr>
      <w:r>
        <w:rPr>
          <w:rStyle w:val="FootnoteReference"/>
        </w:rPr>
        <w:footnoteRef/>
      </w:r>
      <w:r>
        <w:t xml:space="preserve"> </w:t>
      </w:r>
      <w:r>
        <w:rPr>
          <w:lang w:val="sr-Cyrl-CS"/>
        </w:rPr>
        <w:t xml:space="preserve">Милева Анђелковић, </w:t>
      </w:r>
      <w:r w:rsidRPr="00000F3B">
        <w:rPr>
          <w:b/>
          <w:lang w:val="sr-Cyrl-CS"/>
        </w:rPr>
        <w:t>Сива е</w:t>
      </w:r>
      <w:r>
        <w:rPr>
          <w:b/>
          <w:lang w:val="sr-Cyrl-CS"/>
        </w:rPr>
        <w:t>кономија као глобални друштвено-</w:t>
      </w:r>
      <w:r w:rsidRPr="00000F3B">
        <w:rPr>
          <w:b/>
          <w:lang w:val="sr-Cyrl-CS"/>
        </w:rPr>
        <w:t>економски феномен</w:t>
      </w:r>
      <w:r>
        <w:rPr>
          <w:lang w:val="sr-Cyrl-CS"/>
        </w:rPr>
        <w:t xml:space="preserve">, </w:t>
      </w:r>
      <w:r w:rsidRPr="00000F3B">
        <w:rPr>
          <w:i/>
          <w:lang w:val="sr-Cyrl-CS"/>
        </w:rPr>
        <w:t>Правни живот</w:t>
      </w:r>
      <w:r>
        <w:t xml:space="preserve">, </w:t>
      </w:r>
      <w:r>
        <w:rPr>
          <w:lang w:val="sr-Cyrl-CS"/>
        </w:rPr>
        <w:t>бр. 10, 2002, Београд,  стр. 411.</w:t>
      </w:r>
    </w:p>
  </w:footnote>
  <w:footnote w:id="87">
    <w:p w:rsidR="00767127" w:rsidRPr="00AE02F0" w:rsidRDefault="00767127" w:rsidP="001E6839">
      <w:pPr>
        <w:pStyle w:val="FootnoteText"/>
        <w:jc w:val="both"/>
      </w:pPr>
      <w:r>
        <w:rPr>
          <w:rStyle w:val="FootnoteReference"/>
        </w:rPr>
        <w:footnoteRef/>
      </w:r>
      <w:r>
        <w:t xml:space="preserve"> </w:t>
      </w:r>
      <w:r>
        <w:rPr>
          <w:lang w:val="sr-Cyrl-CS"/>
        </w:rPr>
        <w:t xml:space="preserve">Види: </w:t>
      </w:r>
      <w:r>
        <w:t xml:space="preserve">James Alm and Benno Tolgler, </w:t>
      </w:r>
      <w:r w:rsidRPr="00E71E09">
        <w:rPr>
          <w:b/>
        </w:rPr>
        <w:t>Do Etihics Matter?: Tax Compliance and Morality</w:t>
      </w:r>
      <w:r>
        <w:t xml:space="preserve">, Tulane  Economis Working Paper Series, Working paper 1207, Tulane University, July 2012. </w:t>
      </w:r>
    </w:p>
  </w:footnote>
  <w:footnote w:id="88">
    <w:p w:rsidR="00767127" w:rsidRPr="00741321" w:rsidRDefault="00767127" w:rsidP="001E6839">
      <w:pPr>
        <w:pStyle w:val="FootnoteText"/>
        <w:jc w:val="both"/>
        <w:rPr>
          <w:lang w:val="sr-Cyrl-CS"/>
        </w:rPr>
      </w:pPr>
      <w:r>
        <w:rPr>
          <w:rStyle w:val="FootnoteReference"/>
        </w:rPr>
        <w:footnoteRef/>
      </w:r>
      <w:r>
        <w:t xml:space="preserve"> </w:t>
      </w:r>
      <w:r>
        <w:rPr>
          <w:lang w:val="sr-Cyrl-CS"/>
        </w:rPr>
        <w:t xml:space="preserve">Мирко Кулић, </w:t>
      </w:r>
      <w:r>
        <w:rPr>
          <w:i/>
          <w:lang w:val="sr-Cyrl-CS"/>
        </w:rPr>
        <w:t>нав. дело,</w:t>
      </w:r>
      <w:r>
        <w:rPr>
          <w:lang w:val="sr-Cyrl-CS"/>
        </w:rPr>
        <w:t xml:space="preserve"> стр. 241.</w:t>
      </w:r>
    </w:p>
  </w:footnote>
  <w:footnote w:id="89">
    <w:p w:rsidR="00767127" w:rsidRPr="00A769DD" w:rsidRDefault="00767127" w:rsidP="001E6839">
      <w:pPr>
        <w:pStyle w:val="FootnoteText"/>
        <w:rPr>
          <w:lang w:val="sr-Cyrl-CS"/>
        </w:rPr>
      </w:pPr>
      <w:r>
        <w:rPr>
          <w:rStyle w:val="FootnoteReference"/>
        </w:rPr>
        <w:footnoteRef/>
      </w:r>
      <w:r>
        <w:t xml:space="preserve"> </w:t>
      </w:r>
      <w:r>
        <w:rPr>
          <w:lang w:val="sr-Cyrl-CS"/>
        </w:rPr>
        <w:t xml:space="preserve">Милена Раковић, </w:t>
      </w:r>
      <w:r>
        <w:rPr>
          <w:i/>
          <w:lang w:val="sr-Cyrl-CS"/>
        </w:rPr>
        <w:t>нав. дело,</w:t>
      </w:r>
      <w:r>
        <w:rPr>
          <w:lang w:val="sr-Cyrl-CS"/>
        </w:rPr>
        <w:t xml:space="preserve"> стр. 195.</w:t>
      </w:r>
    </w:p>
  </w:footnote>
  <w:footnote w:id="90">
    <w:p w:rsidR="00767127" w:rsidRPr="00EE5B16" w:rsidRDefault="00767127" w:rsidP="001E6839">
      <w:pPr>
        <w:pStyle w:val="FootnoteText"/>
      </w:pPr>
      <w:r>
        <w:rPr>
          <w:rStyle w:val="FootnoteReference"/>
        </w:rPr>
        <w:footnoteRef/>
      </w:r>
      <w:r>
        <w:t xml:space="preserve"> James Alm and Benno Tolgler, </w:t>
      </w:r>
      <w:r>
        <w:rPr>
          <w:i/>
          <w:lang w:val="sr-Cyrl-CS"/>
        </w:rPr>
        <w:t>нав.дело</w:t>
      </w:r>
      <w:r w:rsidRPr="006D3E7F">
        <w:rPr>
          <w:i/>
        </w:rPr>
        <w:t>,</w:t>
      </w:r>
      <w:r>
        <w:rPr>
          <w:lang w:val="sr-Cyrl-CS"/>
        </w:rPr>
        <w:t xml:space="preserve"> </w:t>
      </w:r>
      <w:r>
        <w:t>p</w:t>
      </w:r>
      <w:r>
        <w:rPr>
          <w:lang w:val="sr-Cyrl-CS"/>
        </w:rPr>
        <w:t>.</w:t>
      </w:r>
      <w:r>
        <w:t xml:space="preserve"> 4.</w:t>
      </w:r>
    </w:p>
  </w:footnote>
  <w:footnote w:id="91">
    <w:p w:rsidR="00767127" w:rsidRPr="00AF24F2" w:rsidRDefault="00767127" w:rsidP="00AF24F2">
      <w:pPr>
        <w:pStyle w:val="FootnoteText"/>
        <w:jc w:val="both"/>
        <w:rPr>
          <w:lang w:val="sr-Cyrl-CS"/>
        </w:rPr>
      </w:pPr>
      <w:r>
        <w:rPr>
          <w:rStyle w:val="FootnoteReference"/>
        </w:rPr>
        <w:footnoteRef/>
      </w:r>
      <w:r>
        <w:t xml:space="preserve"> Esther Mirjam Sent, </w:t>
      </w:r>
      <w:r w:rsidRPr="008309F7">
        <w:rPr>
          <w:b/>
        </w:rPr>
        <w:t>Behavioral Economics: How Psychology Made Its (Limited) Way Back into Economics</w:t>
      </w:r>
      <w:r>
        <w:t>, History of Political Economy, Volume 36, Number 4, 2004, pp. 735-760</w:t>
      </w:r>
      <w:r>
        <w:rPr>
          <w:lang w:val="sr-Cyrl-CS"/>
        </w:rPr>
        <w:t xml:space="preserve">, Маја Хоронитз, Психологија економског понашања-приручник о основама бихевиоралне економје, 2013, стр. 4-5. (Извор: </w:t>
      </w:r>
      <w:hyperlink r:id="rId12" w:history="1">
        <w:r w:rsidRPr="00CC78C1">
          <w:rPr>
            <w:rStyle w:val="Hyperlink"/>
            <w:lang w:val="sr-Cyrl-CS"/>
          </w:rPr>
          <w:t>http://www.edunova.hr</w:t>
        </w:r>
      </w:hyperlink>
      <w:r>
        <w:rPr>
          <w:lang w:val="sr-Cyrl-CS"/>
        </w:rPr>
        <w:t xml:space="preserve"> ).</w:t>
      </w:r>
    </w:p>
  </w:footnote>
  <w:footnote w:id="92">
    <w:p w:rsidR="00767127" w:rsidRPr="0059167D" w:rsidRDefault="00767127" w:rsidP="001E6839">
      <w:pPr>
        <w:pStyle w:val="FootnoteText"/>
        <w:rPr>
          <w:lang w:val="sr-Cyrl-CS"/>
        </w:rPr>
      </w:pPr>
      <w:r>
        <w:rPr>
          <w:rStyle w:val="FootnoteReference"/>
        </w:rPr>
        <w:footnoteRef/>
      </w:r>
      <w:r>
        <w:t xml:space="preserve"> </w:t>
      </w:r>
      <w:r>
        <w:rPr>
          <w:lang w:val="sr-Cyrl-CS"/>
        </w:rPr>
        <w:t xml:space="preserve">Милева Анђелковић и Драган Јовашевић, </w:t>
      </w:r>
      <w:r w:rsidRPr="008309F7">
        <w:rPr>
          <w:b/>
          <w:lang w:val="sr-Cyrl-CS"/>
        </w:rPr>
        <w:t>Избегавање плаћања пореза: фискални и кривично-правни аспект</w:t>
      </w:r>
      <w:r>
        <w:rPr>
          <w:lang w:val="sr-Cyrl-CS"/>
        </w:rPr>
        <w:t>, Правни факултет Универзитета у Нишу, Ниш, 2006, стр. 93.</w:t>
      </w:r>
    </w:p>
  </w:footnote>
  <w:footnote w:id="93">
    <w:p w:rsidR="00767127" w:rsidRPr="00F23921" w:rsidRDefault="00767127" w:rsidP="00AD1223">
      <w:pPr>
        <w:pStyle w:val="FootnoteText"/>
        <w:jc w:val="both"/>
        <w:rPr>
          <w:lang w:val="sr-Cyrl-CS"/>
        </w:rPr>
      </w:pPr>
      <w:r>
        <w:rPr>
          <w:rStyle w:val="FootnoteReference"/>
        </w:rPr>
        <w:footnoteRef/>
      </w:r>
      <w:r>
        <w:t xml:space="preserve"> </w:t>
      </w:r>
      <w:r w:rsidRPr="00AD1223">
        <w:rPr>
          <w:lang w:val="sr-Cyrl-CS"/>
        </w:rPr>
        <w:t>Хасиба Хрустић</w:t>
      </w:r>
      <w:r w:rsidRPr="000F0282">
        <w:rPr>
          <w:b/>
          <w:lang w:val="sr-Cyrl-CS"/>
        </w:rPr>
        <w:t xml:space="preserve">, </w:t>
      </w:r>
      <w:r w:rsidRPr="000F0282">
        <w:rPr>
          <w:b/>
          <w:sz w:val="18"/>
          <w:szCs w:val="18"/>
          <w:lang w:val="sr-Cyrl-CS"/>
        </w:rPr>
        <w:t>Европска унија</w:t>
      </w:r>
      <w:r w:rsidRPr="000F0282">
        <w:rPr>
          <w:b/>
          <w:sz w:val="18"/>
          <w:szCs w:val="18"/>
        </w:rPr>
        <w:t xml:space="preserve"> – </w:t>
      </w:r>
      <w:r w:rsidRPr="000F0282">
        <w:rPr>
          <w:b/>
          <w:sz w:val="18"/>
          <w:szCs w:val="18"/>
          <w:lang w:val="sr-Cyrl-CS"/>
        </w:rPr>
        <w:t>Пореска утаја у заједничком систему пореза</w:t>
      </w:r>
      <w:r w:rsidRPr="000F0282">
        <w:rPr>
          <w:b/>
          <w:sz w:val="18"/>
          <w:szCs w:val="18"/>
        </w:rPr>
        <w:t xml:space="preserve">, </w:t>
      </w:r>
      <w:r w:rsidRPr="00AD1223">
        <w:rPr>
          <w:i/>
          <w:sz w:val="18"/>
          <w:szCs w:val="18"/>
          <w:lang w:val="sr-Cyrl-CS"/>
        </w:rPr>
        <w:t>Економска политика</w:t>
      </w:r>
      <w:r w:rsidRPr="00AD1223">
        <w:rPr>
          <w:sz w:val="18"/>
          <w:szCs w:val="18"/>
        </w:rPr>
        <w:t xml:space="preserve">, </w:t>
      </w:r>
      <w:r w:rsidRPr="00AD1223">
        <w:rPr>
          <w:sz w:val="18"/>
          <w:szCs w:val="18"/>
          <w:lang w:val="sr-Cyrl-CS"/>
        </w:rPr>
        <w:t>бр</w:t>
      </w:r>
      <w:r w:rsidRPr="00AD1223">
        <w:rPr>
          <w:sz w:val="18"/>
          <w:szCs w:val="18"/>
        </w:rPr>
        <w:t xml:space="preserve">. 2396/98 </w:t>
      </w:r>
      <w:r w:rsidRPr="00AD1223">
        <w:rPr>
          <w:sz w:val="18"/>
          <w:szCs w:val="18"/>
          <w:lang w:val="sr-Cyrl-CS"/>
        </w:rPr>
        <w:t>стр</w:t>
      </w:r>
      <w:r w:rsidRPr="00AD1223">
        <w:rPr>
          <w:sz w:val="18"/>
          <w:szCs w:val="18"/>
        </w:rPr>
        <w:t>. 39-41</w:t>
      </w:r>
      <w:r>
        <w:rPr>
          <w:sz w:val="18"/>
          <w:szCs w:val="18"/>
        </w:rPr>
        <w:t xml:space="preserve">. </w:t>
      </w:r>
      <w:r>
        <w:rPr>
          <w:sz w:val="18"/>
          <w:szCs w:val="18"/>
          <w:lang w:val="sr-Cyrl-CS"/>
        </w:rPr>
        <w:t xml:space="preserve">( У: Горан Милошевић, </w:t>
      </w:r>
      <w:r w:rsidRPr="004E4990">
        <w:rPr>
          <w:b/>
          <w:sz w:val="18"/>
          <w:szCs w:val="18"/>
          <w:lang w:val="sr-Cyrl-CS"/>
        </w:rPr>
        <w:t>Економски аспект евазије пореза</w:t>
      </w:r>
      <w:r>
        <w:rPr>
          <w:sz w:val="18"/>
          <w:szCs w:val="18"/>
          <w:lang w:val="sr-Cyrl-CS"/>
        </w:rPr>
        <w:t xml:space="preserve">, </w:t>
      </w:r>
      <w:r w:rsidRPr="004E4990">
        <w:rPr>
          <w:i/>
          <w:sz w:val="18"/>
          <w:szCs w:val="18"/>
          <w:lang w:val="sr-Cyrl-CS"/>
        </w:rPr>
        <w:t>Економски хоризонти</w:t>
      </w:r>
      <w:r>
        <w:rPr>
          <w:sz w:val="18"/>
          <w:szCs w:val="18"/>
          <w:lang w:val="sr-Cyrl-CS"/>
        </w:rPr>
        <w:t>, бр. 1/2, 2006, стр. 72-73).</w:t>
      </w:r>
      <w:r>
        <w:t xml:space="preserve"> </w:t>
      </w:r>
    </w:p>
  </w:footnote>
  <w:footnote w:id="94">
    <w:p w:rsidR="00767127" w:rsidRPr="006076FA" w:rsidRDefault="00767127" w:rsidP="001E6839">
      <w:pPr>
        <w:pStyle w:val="FootnoteText"/>
        <w:rPr>
          <w:lang w:val="sr-Cyrl-CS"/>
        </w:rPr>
      </w:pPr>
      <w:r>
        <w:rPr>
          <w:rStyle w:val="FootnoteReference"/>
        </w:rPr>
        <w:footnoteRef/>
      </w:r>
      <w:r>
        <w:t xml:space="preserve"> </w:t>
      </w:r>
      <w:r>
        <w:rPr>
          <w:lang w:val="sr-Cyrl-CS"/>
        </w:rPr>
        <w:t>Види: чл.1 Устава РС.</w:t>
      </w:r>
    </w:p>
  </w:footnote>
  <w:footnote w:id="95">
    <w:p w:rsidR="00767127" w:rsidRPr="00CF1CE4" w:rsidRDefault="00767127" w:rsidP="001E6839">
      <w:pPr>
        <w:pStyle w:val="FootnoteText"/>
        <w:rPr>
          <w:lang w:val="sr-Cyrl-CS"/>
        </w:rPr>
      </w:pPr>
      <w:r>
        <w:rPr>
          <w:rStyle w:val="FootnoteReference"/>
        </w:rPr>
        <w:footnoteRef/>
      </w:r>
      <w:r>
        <w:t xml:space="preserve"> </w:t>
      </w:r>
      <w:r>
        <w:rPr>
          <w:lang w:val="sr-Cyrl-CS"/>
        </w:rPr>
        <w:t>Вид.: чл.91 Устава РС.</w:t>
      </w:r>
    </w:p>
  </w:footnote>
  <w:footnote w:id="96">
    <w:p w:rsidR="00767127" w:rsidRPr="0022770A" w:rsidRDefault="00767127" w:rsidP="00451329">
      <w:pPr>
        <w:pStyle w:val="FootnoteText"/>
        <w:rPr>
          <w:lang w:val="sr-Cyrl-CS"/>
        </w:rPr>
      </w:pPr>
      <w:r>
        <w:rPr>
          <w:rStyle w:val="FootnoteReference"/>
        </w:rPr>
        <w:footnoteRef/>
      </w:r>
      <w:r>
        <w:t xml:space="preserve"> </w:t>
      </w:r>
      <w:r>
        <w:rPr>
          <w:lang w:val="sr-Cyrl-CS"/>
        </w:rPr>
        <w:t xml:space="preserve">Јован Ловчевић, </w:t>
      </w:r>
      <w:r w:rsidRPr="001104B6">
        <w:rPr>
          <w:b/>
          <w:lang w:val="sr-Cyrl-CS"/>
        </w:rPr>
        <w:t>Институције јавних финансија</w:t>
      </w:r>
      <w:r>
        <w:rPr>
          <w:lang w:val="sr-Cyrl-CS"/>
        </w:rPr>
        <w:t>, ЈП „Службени лист СФРЈ“, Београд, 1991, стр. 91-92.</w:t>
      </w:r>
    </w:p>
  </w:footnote>
  <w:footnote w:id="97">
    <w:p w:rsidR="00767127" w:rsidRPr="00CE0ADB" w:rsidRDefault="00767127" w:rsidP="001E6839">
      <w:pPr>
        <w:pStyle w:val="FootnoteText"/>
        <w:rPr>
          <w:lang w:val="sr-Cyrl-CS"/>
        </w:rPr>
      </w:pPr>
      <w:r>
        <w:rPr>
          <w:rStyle w:val="FootnoteReference"/>
        </w:rPr>
        <w:footnoteRef/>
      </w:r>
      <w:r>
        <w:t xml:space="preserve"> </w:t>
      </w:r>
      <w:r>
        <w:rPr>
          <w:i/>
          <w:lang w:val="sr-Cyrl-CS"/>
        </w:rPr>
        <w:t>Нав. дело</w:t>
      </w:r>
      <w:r w:rsidRPr="004745C1">
        <w:rPr>
          <w:i/>
          <w:lang w:val="sr-Cyrl-CS"/>
        </w:rPr>
        <w:t>,</w:t>
      </w:r>
      <w:r>
        <w:rPr>
          <w:lang w:val="sr-Cyrl-CS"/>
        </w:rPr>
        <w:t xml:space="preserve"> стр. 83-84.</w:t>
      </w:r>
    </w:p>
  </w:footnote>
  <w:footnote w:id="98">
    <w:p w:rsidR="00767127" w:rsidRPr="00A25537" w:rsidRDefault="00767127" w:rsidP="001E6839">
      <w:pPr>
        <w:pStyle w:val="FootnoteText"/>
        <w:rPr>
          <w:lang w:val="sr-Cyrl-CS"/>
        </w:rPr>
      </w:pPr>
      <w:r>
        <w:rPr>
          <w:rStyle w:val="FootnoteReference"/>
        </w:rPr>
        <w:footnoteRef/>
      </w:r>
      <w:r>
        <w:t xml:space="preserve"> </w:t>
      </w:r>
      <w:r>
        <w:rPr>
          <w:lang w:val="sr-Cyrl-CS"/>
        </w:rPr>
        <w:t xml:space="preserve">Божидар Јелчић, </w:t>
      </w:r>
      <w:r w:rsidRPr="00C23C24">
        <w:rPr>
          <w:b/>
          <w:lang w:val="sr-Cyrl-CS"/>
        </w:rPr>
        <w:t>Наука о финансијама и финансијско право</w:t>
      </w:r>
      <w:r>
        <w:rPr>
          <w:lang w:val="sr-Cyrl-CS"/>
        </w:rPr>
        <w:t>, Информатор, Загреб, 1983</w:t>
      </w:r>
      <w:r>
        <w:rPr>
          <w:i/>
          <w:lang w:val="sr-Cyrl-CS"/>
        </w:rPr>
        <w:t>,</w:t>
      </w:r>
      <w:r>
        <w:rPr>
          <w:lang w:val="sr-Cyrl-CS"/>
        </w:rPr>
        <w:t xml:space="preserve"> стр. 145. </w:t>
      </w:r>
    </w:p>
  </w:footnote>
  <w:footnote w:id="99">
    <w:p w:rsidR="00767127" w:rsidRPr="00562735" w:rsidRDefault="00767127" w:rsidP="001E6839">
      <w:pPr>
        <w:pStyle w:val="FootnoteText"/>
        <w:rPr>
          <w:lang w:val="sr-Cyrl-CS"/>
        </w:rPr>
      </w:pPr>
      <w:r>
        <w:rPr>
          <w:rStyle w:val="FootnoteReference"/>
        </w:rPr>
        <w:footnoteRef/>
      </w:r>
      <w:r>
        <w:t xml:space="preserve"> </w:t>
      </w:r>
      <w:r>
        <w:rPr>
          <w:lang w:val="sr-Cyrl-CS"/>
        </w:rPr>
        <w:t xml:space="preserve">Јован Ловчевић, </w:t>
      </w:r>
      <w:r>
        <w:rPr>
          <w:i/>
          <w:lang w:val="sr-Cyrl-CS"/>
        </w:rPr>
        <w:t>нав. дело,</w:t>
      </w:r>
      <w:r>
        <w:rPr>
          <w:lang w:val="sr-Cyrl-CS"/>
        </w:rPr>
        <w:t xml:space="preserve"> стр. 85.</w:t>
      </w:r>
    </w:p>
  </w:footnote>
  <w:footnote w:id="100">
    <w:p w:rsidR="00767127" w:rsidRPr="004B3F29" w:rsidRDefault="00767127" w:rsidP="001E6839">
      <w:pPr>
        <w:pStyle w:val="FootnoteText"/>
      </w:pPr>
      <w:r>
        <w:rPr>
          <w:rStyle w:val="FootnoteReference"/>
        </w:rPr>
        <w:footnoteRef/>
      </w:r>
      <w:r>
        <w:t xml:space="preserve"> Извор</w:t>
      </w:r>
      <w:r>
        <w:rPr>
          <w:lang w:val="sr-Cyrl-CS"/>
        </w:rPr>
        <w:t xml:space="preserve">: </w:t>
      </w:r>
      <w:r>
        <w:t>http</w:t>
      </w:r>
      <w:r>
        <w:rPr>
          <w:lang w:val="sr-Cyrl-CS"/>
        </w:rPr>
        <w:t>s:</w:t>
      </w:r>
      <w:r>
        <w:t>//www.eurostat.ec.europa.eu (09.09.13.)</w:t>
      </w:r>
    </w:p>
  </w:footnote>
  <w:footnote w:id="101">
    <w:p w:rsidR="00767127" w:rsidRDefault="00767127" w:rsidP="001E6839">
      <w:pPr>
        <w:pStyle w:val="FootnoteText"/>
      </w:pPr>
      <w:r>
        <w:rPr>
          <w:rStyle w:val="FootnoteReference"/>
        </w:rPr>
        <w:footnoteRef/>
      </w:r>
      <w:r>
        <w:t xml:space="preserve"> </w:t>
      </w:r>
      <w:r>
        <w:rPr>
          <w:lang w:val="sr-Cyrl-CS"/>
        </w:rPr>
        <w:t xml:space="preserve">Извор: </w:t>
      </w:r>
      <w:r>
        <w:t>https://www.eurostat.ec.europa.eu (09.09.13.)</w:t>
      </w:r>
    </w:p>
  </w:footnote>
  <w:footnote w:id="102">
    <w:p w:rsidR="00767127" w:rsidRPr="000B0789" w:rsidRDefault="00767127" w:rsidP="001E6839">
      <w:pPr>
        <w:pStyle w:val="FootnoteText"/>
        <w:rPr>
          <w:lang w:val="sr-Cyrl-CS"/>
        </w:rPr>
      </w:pPr>
      <w:r>
        <w:rPr>
          <w:rStyle w:val="FootnoteReference"/>
        </w:rPr>
        <w:footnoteRef/>
      </w:r>
      <w:r>
        <w:t xml:space="preserve"> </w:t>
      </w:r>
      <w:r>
        <w:rPr>
          <w:lang w:val="sr-Cyrl-CS"/>
        </w:rPr>
        <w:t>Извор:  https://</w:t>
      </w:r>
      <w:r>
        <w:t xml:space="preserve">www.usatoday.com (09.09.2013.) </w:t>
      </w:r>
    </w:p>
  </w:footnote>
  <w:footnote w:id="103">
    <w:p w:rsidR="00767127" w:rsidRPr="00DE14D4" w:rsidRDefault="00767127" w:rsidP="001E6839">
      <w:pPr>
        <w:pStyle w:val="FootnoteText"/>
      </w:pPr>
      <w:r>
        <w:rPr>
          <w:rStyle w:val="FootnoteReference"/>
        </w:rPr>
        <w:footnoteRef/>
      </w:r>
      <w:r>
        <w:t xml:space="preserve"> </w:t>
      </w:r>
      <w:r>
        <w:rPr>
          <w:lang w:val="sr-Cyrl-CS"/>
        </w:rPr>
        <w:t>Извор:  http</w:t>
      </w:r>
      <w:r>
        <w:t>s</w:t>
      </w:r>
      <w:r>
        <w:rPr>
          <w:lang w:val="sr-Cyrl-CS"/>
        </w:rPr>
        <w:t>://</w:t>
      </w:r>
      <w:r>
        <w:t>www.usatoday.com (09.09.2013.)</w:t>
      </w:r>
    </w:p>
  </w:footnote>
  <w:footnote w:id="104">
    <w:p w:rsidR="00767127" w:rsidRPr="00E048C2" w:rsidRDefault="00767127" w:rsidP="001E6839">
      <w:pPr>
        <w:pStyle w:val="FootnoteText"/>
        <w:rPr>
          <w:lang w:val="sr-Cyrl-CS"/>
        </w:rPr>
      </w:pPr>
      <w:r>
        <w:rPr>
          <w:rStyle w:val="FootnoteReference"/>
        </w:rPr>
        <w:footnoteRef/>
      </w:r>
      <w:r>
        <w:t xml:space="preserve"> </w:t>
      </w:r>
      <w:r>
        <w:rPr>
          <w:lang w:val="sr-Cyrl-CS"/>
        </w:rPr>
        <w:t xml:space="preserve">Извор: </w:t>
      </w:r>
      <w:hyperlink r:id="rId13" w:history="1">
        <w:r>
          <w:rPr>
            <w:rStyle w:val="Hyperlink"/>
          </w:rPr>
          <w:t>http://stats.oecd.org</w:t>
        </w:r>
      </w:hyperlink>
      <w:r>
        <w:rPr>
          <w:rFonts w:cs="Arial"/>
          <w:color w:val="00802A"/>
          <w:shd w:val="clear" w:color="auto" w:fill="FFFFFF"/>
          <w:lang w:val="sr-Cyrl-CS"/>
        </w:rPr>
        <w:t xml:space="preserve"> (09.09.2013.)</w:t>
      </w:r>
    </w:p>
  </w:footnote>
  <w:footnote w:id="105">
    <w:p w:rsidR="00767127" w:rsidRPr="00BD0D29" w:rsidRDefault="00767127" w:rsidP="00B565C1">
      <w:pPr>
        <w:pStyle w:val="FootnoteText"/>
        <w:jc w:val="both"/>
        <w:rPr>
          <w:lang w:val="sr-Cyrl-CS"/>
        </w:rPr>
      </w:pPr>
      <w:r>
        <w:rPr>
          <w:rStyle w:val="FootnoteReference"/>
        </w:rPr>
        <w:footnoteRef/>
      </w:r>
      <w:r>
        <w:t xml:space="preserve"> </w:t>
      </w:r>
      <w:r>
        <w:rPr>
          <w:lang w:val="sr-Cyrl-CS"/>
        </w:rPr>
        <w:t xml:space="preserve">Види: Горан Милошевић, </w:t>
      </w:r>
      <w:r w:rsidRPr="001D1526">
        <w:rPr>
          <w:b/>
          <w:lang w:val="sr-Cyrl-CS"/>
        </w:rPr>
        <w:t>Порез и избегавање пореза</w:t>
      </w:r>
      <w:r>
        <w:rPr>
          <w:lang w:val="sr-Cyrl-CS"/>
        </w:rPr>
        <w:t xml:space="preserve">, ЈП „Службени лист СЦГ“, Београд, 2005, стр. 100-101, Мирко Кулић, </w:t>
      </w:r>
      <w:r w:rsidRPr="00B565C1">
        <w:rPr>
          <w:b/>
          <w:lang w:val="sr-Cyrl-CS"/>
        </w:rPr>
        <w:t>Финансијска и економска начела опорезивања</w:t>
      </w:r>
      <w:r>
        <w:rPr>
          <w:lang w:val="sr-Cyrl-CS"/>
        </w:rPr>
        <w:t xml:space="preserve">, </w:t>
      </w:r>
      <w:r w:rsidRPr="00B565C1">
        <w:rPr>
          <w:i/>
          <w:lang w:val="sr-Cyrl-CS"/>
        </w:rPr>
        <w:t>Школа бизниса</w:t>
      </w:r>
      <w:r>
        <w:rPr>
          <w:lang w:val="sr-Cyrl-CS"/>
        </w:rPr>
        <w:t xml:space="preserve">, Нови Сад, бр. 2, 2009, стр. 45-46. </w:t>
      </w:r>
    </w:p>
  </w:footnote>
  <w:footnote w:id="106">
    <w:p w:rsidR="00767127" w:rsidRPr="00D6335B" w:rsidRDefault="00767127" w:rsidP="00E663BC">
      <w:pPr>
        <w:pStyle w:val="FootnoteText"/>
        <w:jc w:val="both"/>
        <w:rPr>
          <w:lang w:val="sr-Cyrl-CS"/>
        </w:rPr>
      </w:pPr>
      <w:r>
        <w:rPr>
          <w:rStyle w:val="FootnoteReference"/>
        </w:rPr>
        <w:footnoteRef/>
      </w:r>
      <w:r>
        <w:t xml:space="preserve"> </w:t>
      </w:r>
      <w:r>
        <w:rPr>
          <w:lang w:val="sr-Cyrl-CS"/>
        </w:rPr>
        <w:t xml:space="preserve">Илија Росић, </w:t>
      </w:r>
      <w:r w:rsidRPr="00C95716">
        <w:rPr>
          <w:b/>
          <w:lang w:val="sr-Cyrl-CS"/>
        </w:rPr>
        <w:t>Рас</w:t>
      </w:r>
      <w:r>
        <w:rPr>
          <w:b/>
          <w:lang w:val="sr-Cyrl-CS"/>
        </w:rPr>
        <w:t>т,</w:t>
      </w:r>
      <w:r w:rsidRPr="00C95716">
        <w:rPr>
          <w:b/>
          <w:lang w:val="sr-Cyrl-CS"/>
        </w:rPr>
        <w:t xml:space="preserve"> структурне промене и функционисање привреде</w:t>
      </w:r>
      <w:r>
        <w:rPr>
          <w:lang w:val="sr-Cyrl-CS"/>
        </w:rPr>
        <w:t xml:space="preserve">, Комино траде, Краљево, 2000, стр. 303. </w:t>
      </w:r>
    </w:p>
  </w:footnote>
  <w:footnote w:id="107">
    <w:p w:rsidR="00767127" w:rsidRPr="001C5B8D" w:rsidRDefault="00767127" w:rsidP="001E6839">
      <w:pPr>
        <w:pStyle w:val="FootnoteText"/>
        <w:jc w:val="both"/>
        <w:rPr>
          <w:lang w:val="sr-Cyrl-CS"/>
        </w:rPr>
      </w:pPr>
      <w:r>
        <w:rPr>
          <w:rStyle w:val="FootnoteReference"/>
        </w:rPr>
        <w:footnoteRef/>
      </w:r>
      <w:r>
        <w:t xml:space="preserve"> </w:t>
      </w:r>
      <w:r>
        <w:rPr>
          <w:lang w:val="sr-Cyrl-CS"/>
        </w:rPr>
        <w:t xml:space="preserve">Данијел Цвјетичанин и др., </w:t>
      </w:r>
      <w:r w:rsidRPr="00C95716">
        <w:rPr>
          <w:b/>
          <w:lang w:val="sr-Cyrl-CS"/>
        </w:rPr>
        <w:t>Реализација програма економског опоравка, развој финансијског тржишта и финансијска дисциплина</w:t>
      </w:r>
      <w:r>
        <w:rPr>
          <w:lang w:val="sr-Cyrl-CS"/>
        </w:rPr>
        <w:t xml:space="preserve">, </w:t>
      </w:r>
      <w:r w:rsidRPr="00BF318D">
        <w:rPr>
          <w:i/>
          <w:lang w:val="sr-Cyrl-CS"/>
        </w:rPr>
        <w:t>Финансијско тржиште у периоду транзиције</w:t>
      </w:r>
      <w:r>
        <w:rPr>
          <w:lang w:val="sr-Cyrl-CS"/>
        </w:rPr>
        <w:t>, Савез еконономиста Србије, II Милочерско саветовање, 1994, стр. 50.</w:t>
      </w:r>
    </w:p>
  </w:footnote>
  <w:footnote w:id="108">
    <w:p w:rsidR="00767127" w:rsidRPr="00F3196E" w:rsidRDefault="00767127" w:rsidP="001E6839">
      <w:pPr>
        <w:pStyle w:val="FootnoteText"/>
        <w:jc w:val="both"/>
        <w:rPr>
          <w:lang w:val="sr-Cyrl-CS"/>
        </w:rPr>
      </w:pPr>
      <w:r>
        <w:rPr>
          <w:rStyle w:val="FootnoteReference"/>
        </w:rPr>
        <w:footnoteRef/>
      </w:r>
      <w:r>
        <w:t xml:space="preserve"> </w:t>
      </w:r>
      <w:r>
        <w:rPr>
          <w:lang w:val="sr-Cyrl-CS"/>
        </w:rPr>
        <w:t xml:space="preserve">Мирјана Маховић-Комљеновић, </w:t>
      </w:r>
      <w:r w:rsidRPr="00C95716">
        <w:rPr>
          <w:b/>
          <w:lang w:val="sr-Cyrl-CS"/>
        </w:rPr>
        <w:t>Информацијски сустав и порезна евазија-улога менаџера података</w:t>
      </w:r>
      <w:r>
        <w:rPr>
          <w:lang w:val="sr-Cyrl-CS"/>
        </w:rPr>
        <w:t xml:space="preserve">, </w:t>
      </w:r>
      <w:r w:rsidRPr="00BF318D">
        <w:rPr>
          <w:i/>
          <w:lang w:val="sr-Cyrl-CS"/>
        </w:rPr>
        <w:t>Зборник Економског факултета у Загребу</w:t>
      </w:r>
      <w:r>
        <w:rPr>
          <w:lang w:val="sr-Cyrl-CS"/>
        </w:rPr>
        <w:t>, година 7, бр. 1, 2009, стр. 178.</w:t>
      </w:r>
    </w:p>
  </w:footnote>
  <w:footnote w:id="109">
    <w:p w:rsidR="00767127" w:rsidRPr="005640AB" w:rsidRDefault="00767127" w:rsidP="005640AB">
      <w:pPr>
        <w:pStyle w:val="FootnoteText"/>
        <w:jc w:val="both"/>
        <w:rPr>
          <w:lang w:val="sr-Cyrl-CS"/>
        </w:rPr>
      </w:pPr>
      <w:r>
        <w:rPr>
          <w:rStyle w:val="FootnoteReference"/>
        </w:rPr>
        <w:footnoteRef/>
      </w:r>
      <w:r>
        <w:t xml:space="preserve"> </w:t>
      </w:r>
      <w:r>
        <w:rPr>
          <w:lang w:val="sr-Cyrl-CS"/>
        </w:rPr>
        <w:t xml:space="preserve">Радосав Маринковић, </w:t>
      </w:r>
      <w:r w:rsidRPr="00C95716">
        <w:rPr>
          <w:b/>
          <w:lang w:val="sr-Cyrl-CS"/>
        </w:rPr>
        <w:t>Формирање цена у тржишној економији</w:t>
      </w:r>
      <w:r>
        <w:rPr>
          <w:lang w:val="sr-Cyrl-CS"/>
        </w:rPr>
        <w:t xml:space="preserve">, Економски факултет, Институт за економска истраживања, Крагујевац, 1998, стр. 95-110. (у:Горан Милошевић, </w:t>
      </w:r>
      <w:r w:rsidRPr="00421A83">
        <w:rPr>
          <w:b/>
          <w:lang w:val="sr-Cyrl-CS"/>
        </w:rPr>
        <w:t>Порез и избегавање пореза</w:t>
      </w:r>
      <w:r>
        <w:rPr>
          <w:lang w:val="sr-Cyrl-CS"/>
        </w:rPr>
        <w:t xml:space="preserve">, </w:t>
      </w:r>
      <w:r w:rsidRPr="005640AB">
        <w:rPr>
          <w:rFonts w:asciiTheme="minorHAnsi" w:hAnsiTheme="minorHAnsi"/>
          <w:lang w:eastAsia="en-US"/>
        </w:rPr>
        <w:t>ЈП “Службени лист СЦГ”, Београд, 2005</w:t>
      </w:r>
      <w:r>
        <w:rPr>
          <w:rFonts w:asciiTheme="minorHAnsi" w:hAnsiTheme="minorHAnsi"/>
          <w:lang w:val="sr-Cyrl-CS" w:eastAsia="en-US"/>
        </w:rPr>
        <w:t>, стр. 169-172).</w:t>
      </w:r>
    </w:p>
  </w:footnote>
  <w:footnote w:id="110">
    <w:p w:rsidR="00767127" w:rsidRPr="00333648" w:rsidRDefault="00767127" w:rsidP="001E6839">
      <w:pPr>
        <w:pStyle w:val="FootnoteText"/>
      </w:pPr>
      <w:r>
        <w:rPr>
          <w:rStyle w:val="FootnoteReference"/>
        </w:rPr>
        <w:footnoteRef/>
      </w:r>
      <w:r>
        <w:t xml:space="preserve"> W. Begeer, V.H.K. Tuinen, </w:t>
      </w:r>
      <w:r w:rsidRPr="00BF0279">
        <w:rPr>
          <w:b/>
        </w:rPr>
        <w:t>The Statistical Representation of the Informal Economy</w:t>
      </w:r>
      <w:r>
        <w:t>, Quarterly Journal of the Central Bureau of Statistics, Netherlands, Vol. 1, br</w:t>
      </w:r>
      <w:r>
        <w:rPr>
          <w:lang w:val="sr-Cyrl-CS"/>
        </w:rPr>
        <w:t>.</w:t>
      </w:r>
      <w:r>
        <w:t xml:space="preserve"> 3</w:t>
      </w:r>
      <w:r>
        <w:rPr>
          <w:lang w:val="sr-Cyrl-CS"/>
        </w:rPr>
        <w:t xml:space="preserve">, </w:t>
      </w:r>
      <w:r>
        <w:t>1986, p. 77.</w:t>
      </w:r>
    </w:p>
  </w:footnote>
  <w:footnote w:id="111">
    <w:p w:rsidR="00767127" w:rsidRPr="003D6B34" w:rsidRDefault="00767127" w:rsidP="001E6839">
      <w:pPr>
        <w:pStyle w:val="FootnoteText"/>
        <w:rPr>
          <w:lang w:val="sr-Cyrl-CS"/>
        </w:rPr>
      </w:pPr>
      <w:r>
        <w:rPr>
          <w:rStyle w:val="FootnoteReference"/>
        </w:rPr>
        <w:footnoteRef/>
      </w:r>
      <w:r>
        <w:t xml:space="preserve"> </w:t>
      </w:r>
      <w:r>
        <w:rPr>
          <w:lang w:val="sr-Cyrl-CS"/>
        </w:rPr>
        <w:t xml:space="preserve">Милева Анђелковић, </w:t>
      </w:r>
      <w:r w:rsidRPr="00BF0279">
        <w:rPr>
          <w:b/>
          <w:lang w:val="sr-Cyrl-CS"/>
        </w:rPr>
        <w:t>Сива е</w:t>
      </w:r>
      <w:r>
        <w:rPr>
          <w:b/>
          <w:lang w:val="sr-Cyrl-CS"/>
        </w:rPr>
        <w:t>кономија као глобални друштвено-</w:t>
      </w:r>
      <w:r w:rsidRPr="00BF0279">
        <w:rPr>
          <w:b/>
          <w:lang w:val="sr-Cyrl-CS"/>
        </w:rPr>
        <w:t>економски феномен</w:t>
      </w:r>
      <w:r>
        <w:rPr>
          <w:lang w:val="sr-Cyrl-CS"/>
        </w:rPr>
        <w:t xml:space="preserve">, </w:t>
      </w:r>
      <w:r w:rsidRPr="00BF0279">
        <w:rPr>
          <w:i/>
          <w:lang w:val="sr-Cyrl-CS"/>
        </w:rPr>
        <w:t>Правни живот</w:t>
      </w:r>
      <w:r>
        <w:t xml:space="preserve">, </w:t>
      </w:r>
      <w:r>
        <w:rPr>
          <w:lang w:val="sr-Cyrl-CS"/>
        </w:rPr>
        <w:t>бр. 10, Београд, 2002, стр. 408.</w:t>
      </w:r>
    </w:p>
  </w:footnote>
  <w:footnote w:id="112">
    <w:p w:rsidR="00767127" w:rsidRPr="00446D74" w:rsidRDefault="00767127" w:rsidP="001E6839">
      <w:pPr>
        <w:pStyle w:val="FootnoteText"/>
        <w:rPr>
          <w:lang w:val="sr-Cyrl-CS"/>
        </w:rPr>
      </w:pPr>
      <w:r>
        <w:rPr>
          <w:rStyle w:val="FootnoteReference"/>
        </w:rPr>
        <w:footnoteRef/>
      </w:r>
      <w:r>
        <w:t xml:space="preserve"> </w:t>
      </w:r>
      <w:r>
        <w:rPr>
          <w:lang w:val="sr-Cyrl-CS"/>
        </w:rPr>
        <w:t xml:space="preserve">Дејан Поповић, </w:t>
      </w:r>
      <w:r>
        <w:rPr>
          <w:i/>
          <w:lang w:val="sr-Cyrl-CS"/>
        </w:rPr>
        <w:t xml:space="preserve">нав. дело, </w:t>
      </w:r>
      <w:r>
        <w:rPr>
          <w:lang w:val="sr-Cyrl-CS"/>
        </w:rPr>
        <w:t xml:space="preserve"> стр. 456. </w:t>
      </w:r>
    </w:p>
  </w:footnote>
  <w:footnote w:id="113">
    <w:p w:rsidR="00767127" w:rsidRPr="00AE25DC" w:rsidRDefault="00767127">
      <w:pPr>
        <w:pStyle w:val="FootnoteText"/>
        <w:rPr>
          <w:lang w:val="sr-Cyrl-CS"/>
        </w:rPr>
      </w:pPr>
      <w:r>
        <w:rPr>
          <w:rStyle w:val="FootnoteReference"/>
        </w:rPr>
        <w:footnoteRef/>
      </w:r>
      <w:r>
        <w:t xml:space="preserve"> </w:t>
      </w:r>
      <w:r>
        <w:rPr>
          <w:lang w:val="sr-Cyrl-CS"/>
        </w:rPr>
        <w:t xml:space="preserve">Мирко Кулић, </w:t>
      </w:r>
      <w:r w:rsidRPr="008D7BE4">
        <w:rPr>
          <w:b/>
          <w:lang w:val="sr-Cyrl-CS"/>
        </w:rPr>
        <w:t>Порескоправна пракса Републичке управе јавних прихода и сива економија</w:t>
      </w:r>
      <w:r>
        <w:rPr>
          <w:lang w:val="sr-Cyrl-CS"/>
        </w:rPr>
        <w:t xml:space="preserve">, </w:t>
      </w:r>
      <w:r w:rsidRPr="008D7BE4">
        <w:rPr>
          <w:i/>
          <w:lang w:val="sr-Cyrl-CS"/>
        </w:rPr>
        <w:t>Право и привреда</w:t>
      </w:r>
      <w:r>
        <w:rPr>
          <w:lang w:val="sr-Cyrl-CS"/>
        </w:rPr>
        <w:t>, бр. 3-6, 1995, стр. 360.</w:t>
      </w:r>
    </w:p>
  </w:footnote>
  <w:footnote w:id="114">
    <w:p w:rsidR="00767127" w:rsidRPr="00162342" w:rsidRDefault="00767127" w:rsidP="00B50697">
      <w:pPr>
        <w:pStyle w:val="FootnoteText"/>
      </w:pPr>
      <w:r>
        <w:rPr>
          <w:rStyle w:val="FootnoteReference"/>
        </w:rPr>
        <w:footnoteRef/>
      </w:r>
      <w:r>
        <w:t xml:space="preserve"> </w:t>
      </w:r>
      <w:r>
        <w:rPr>
          <w:lang w:val="sr-Cyrl-CS"/>
        </w:rPr>
        <w:t>Види: pp.</w:t>
      </w:r>
      <w:r>
        <w:t xml:space="preserve"> 74 (section 5.3.1) in European Commission (2012), Tax reforms in EU Member States, Taxation Paper 34 and European Economy 6/2012</w:t>
      </w:r>
      <w:r>
        <w:rPr>
          <w:lang w:val="sr-Cyrl-CS"/>
        </w:rPr>
        <w:t>, Извор:</w:t>
      </w:r>
      <w:hyperlink r:id="rId14" w:history="1">
        <w:r>
          <w:rPr>
            <w:rStyle w:val="Hyperlink"/>
          </w:rPr>
          <w:t>http://ec.europa.eu/taxation_customs/resources/documents/taxation/gen_info/economic_analysis/tax_papers/taxation_paper_34_en.pdf</w:t>
        </w:r>
      </w:hyperlink>
      <w:r>
        <w:rPr>
          <w:lang w:val="sr-Cyrl-CS"/>
        </w:rPr>
        <w:t>, (12.09.2013.)</w:t>
      </w:r>
    </w:p>
  </w:footnote>
  <w:footnote w:id="115">
    <w:p w:rsidR="00767127" w:rsidRPr="00FA1E39" w:rsidRDefault="00767127" w:rsidP="001E6839">
      <w:pPr>
        <w:pStyle w:val="FootnoteText"/>
      </w:pPr>
      <w:r>
        <w:rPr>
          <w:rStyle w:val="FootnoteReference"/>
        </w:rPr>
        <w:footnoteRef/>
      </w:r>
      <w:r>
        <w:t xml:space="preserve"> </w:t>
      </w:r>
      <w:r>
        <w:rPr>
          <w:lang w:val="sr-Cyrl-CS"/>
        </w:rPr>
        <w:t xml:space="preserve">Види: </w:t>
      </w:r>
      <w:r>
        <w:t xml:space="preserve">Friedrich Schneider,  </w:t>
      </w:r>
      <w:r w:rsidRPr="009B2E76">
        <w:rPr>
          <w:b/>
        </w:rPr>
        <w:t>Size and Development of the Shadow Economy of 31 European and 5 other OECD Countries from 2003 to 2012: Some New Facts</w:t>
      </w:r>
      <w:r>
        <w:t>, (Преузето:</w:t>
      </w:r>
      <w:hyperlink r:id="rId15" w:history="1">
        <w:r>
          <w:rPr>
            <w:rStyle w:val="Hyperlink"/>
          </w:rPr>
          <w:t>http://www.econ.jku.at/members/Schneider/files/publications/2012/ShadEcEurope31.pdf</w:t>
        </w:r>
      </w:hyperlink>
      <w:r>
        <w:t>, 12.09.13.)</w:t>
      </w:r>
    </w:p>
  </w:footnote>
  <w:footnote w:id="116">
    <w:p w:rsidR="00767127" w:rsidRPr="004A1EC6" w:rsidRDefault="00767127" w:rsidP="001E6839">
      <w:pPr>
        <w:pStyle w:val="FootnoteText"/>
        <w:rPr>
          <w:i/>
          <w:lang w:val="sr-Cyrl-CS"/>
        </w:rPr>
      </w:pPr>
      <w:r>
        <w:rPr>
          <w:rStyle w:val="FootnoteReference"/>
        </w:rPr>
        <w:footnoteRef/>
      </w:r>
      <w:r>
        <w:t xml:space="preserve"> </w:t>
      </w:r>
      <w:r w:rsidRPr="004A1EC6">
        <w:rPr>
          <w:i/>
          <w:lang w:val="sr-Cyrl-CS"/>
        </w:rPr>
        <w:t>Нав. дело</w:t>
      </w:r>
    </w:p>
  </w:footnote>
  <w:footnote w:id="117">
    <w:p w:rsidR="00767127" w:rsidRPr="005E43F8" w:rsidRDefault="00767127" w:rsidP="001E6839">
      <w:pPr>
        <w:pStyle w:val="FootnoteText"/>
        <w:jc w:val="both"/>
      </w:pPr>
      <w:r>
        <w:rPr>
          <w:rStyle w:val="FootnoteReference"/>
        </w:rPr>
        <w:footnoteRef/>
      </w:r>
      <w:r>
        <w:t xml:space="preserve"> </w:t>
      </w:r>
      <w:r>
        <w:rPr>
          <w:lang w:val="sr-Cyrl-CS"/>
        </w:rPr>
        <w:t xml:space="preserve">Види: </w:t>
      </w:r>
      <w:r>
        <w:t xml:space="preserve">Max Gillman and Michael Kejak, </w:t>
      </w:r>
      <w:r w:rsidRPr="009B2E76">
        <w:rPr>
          <w:b/>
        </w:rPr>
        <w:t>Accounting for Corruption: The Effect of Tax Evasion and Inflation on Growth</w:t>
      </w:r>
      <w:r>
        <w:t>, pp. 3</w:t>
      </w:r>
      <w:r>
        <w:rPr>
          <w:lang w:val="sr-Cyrl-CS"/>
        </w:rPr>
        <w:t>-5</w:t>
      </w:r>
      <w:r>
        <w:t>. (</w:t>
      </w:r>
      <w:hyperlink r:id="rId16" w:history="1">
        <w:r>
          <w:rPr>
            <w:rStyle w:val="Hyperlink"/>
          </w:rPr>
          <w:t>http://www.wiwi.uni-regensburg.de</w:t>
        </w:r>
      </w:hyperlink>
      <w:r>
        <w:t xml:space="preserve">, 15.09.2013.) </w:t>
      </w:r>
    </w:p>
  </w:footnote>
  <w:footnote w:id="118">
    <w:p w:rsidR="00767127" w:rsidRPr="00FC5A17" w:rsidRDefault="00767127" w:rsidP="001E6839">
      <w:pPr>
        <w:pStyle w:val="FootnoteText"/>
        <w:rPr>
          <w:lang w:val="sr-Cyrl-CS"/>
        </w:rPr>
      </w:pPr>
      <w:r>
        <w:rPr>
          <w:rStyle w:val="FootnoteReference"/>
        </w:rPr>
        <w:footnoteRef/>
      </w:r>
      <w:r>
        <w:t xml:space="preserve"> </w:t>
      </w:r>
      <w:r>
        <w:rPr>
          <w:lang w:val="sr-Cyrl-CS"/>
        </w:rPr>
        <w:t xml:space="preserve">Мирко Кулић, </w:t>
      </w:r>
      <w:r>
        <w:rPr>
          <w:i/>
          <w:lang w:val="sr-Cyrl-CS"/>
        </w:rPr>
        <w:t xml:space="preserve">нав. дело, </w:t>
      </w:r>
      <w:r>
        <w:rPr>
          <w:lang w:val="sr-Cyrl-CS"/>
        </w:rPr>
        <w:t xml:space="preserve"> стр. 360.</w:t>
      </w:r>
    </w:p>
  </w:footnote>
  <w:footnote w:id="119">
    <w:p w:rsidR="00767127" w:rsidRPr="00E60116" w:rsidRDefault="00767127" w:rsidP="001E6839">
      <w:pPr>
        <w:pStyle w:val="FootnoteText"/>
      </w:pPr>
      <w:r>
        <w:rPr>
          <w:rStyle w:val="FootnoteReference"/>
        </w:rPr>
        <w:footnoteRef/>
      </w:r>
      <w:r>
        <w:t xml:space="preserve"> Emilio Reyneri, University of Milan Bicocca, </w:t>
      </w:r>
      <w:r w:rsidRPr="009B2E76">
        <w:rPr>
          <w:b/>
        </w:rPr>
        <w:t>Underground economy and the new immigration: The case of Southern Europe</w:t>
      </w:r>
      <w:r>
        <w:t>. (</w:t>
      </w:r>
      <w:hyperlink r:id="rId17" w:history="1">
        <w:r>
          <w:rPr>
            <w:rStyle w:val="Hyperlink"/>
          </w:rPr>
          <w:t>ftp://ftp.cordis.europa.eu/pub/improving/docs/conf_work_reyneri.pdf</w:t>
        </w:r>
      </w:hyperlink>
      <w:r>
        <w:t>, 13.09.13.).</w:t>
      </w:r>
    </w:p>
  </w:footnote>
  <w:footnote w:id="120">
    <w:p w:rsidR="00767127" w:rsidRPr="008D0FDE" w:rsidRDefault="00767127" w:rsidP="001E6839">
      <w:pPr>
        <w:pStyle w:val="FootnoteText"/>
        <w:rPr>
          <w:lang w:val="sr-Cyrl-CS"/>
        </w:rPr>
      </w:pPr>
      <w:r>
        <w:rPr>
          <w:rStyle w:val="FootnoteReference"/>
        </w:rPr>
        <w:footnoteRef/>
      </w:r>
      <w:r>
        <w:t xml:space="preserve"> </w:t>
      </w:r>
      <w:r>
        <w:rPr>
          <w:lang w:val="sr-Cyrl-CS"/>
        </w:rPr>
        <w:t xml:space="preserve">Свето Пурић, </w:t>
      </w:r>
      <w:r w:rsidRPr="00953DEF">
        <w:rPr>
          <w:b/>
          <w:lang w:val="sr-Cyrl-CS"/>
        </w:rPr>
        <w:t>Порески систем у условима значајног присуства сиве економије</w:t>
      </w:r>
      <w:r>
        <w:rPr>
          <w:lang w:val="sr-Cyrl-CS"/>
        </w:rPr>
        <w:t xml:space="preserve">, </w:t>
      </w:r>
      <w:r w:rsidRPr="00953DEF">
        <w:rPr>
          <w:i/>
          <w:lang w:val="sr-Cyrl-CS"/>
        </w:rPr>
        <w:t>Правни живот</w:t>
      </w:r>
      <w:r>
        <w:rPr>
          <w:lang w:val="sr-Cyrl-CS"/>
        </w:rPr>
        <w:t>, Београд, бр. 10, 2002, стр. 418.</w:t>
      </w:r>
    </w:p>
  </w:footnote>
  <w:footnote w:id="121">
    <w:p w:rsidR="00767127" w:rsidRPr="0088193C" w:rsidRDefault="00767127" w:rsidP="001E6839">
      <w:pPr>
        <w:pStyle w:val="FootnoteText"/>
      </w:pPr>
      <w:r>
        <w:rPr>
          <w:rStyle w:val="FootnoteReference"/>
        </w:rPr>
        <w:footnoteRef/>
      </w:r>
      <w:r>
        <w:t xml:space="preserve"> J. Arvay and A. Vertes, </w:t>
      </w:r>
      <w:r w:rsidRPr="00953DEF">
        <w:rPr>
          <w:b/>
        </w:rPr>
        <w:t>The Share of the Private Sector and Hidden Economy in Hugary</w:t>
      </w:r>
      <w:r>
        <w:t>, Budapest, GKI Economic Research Company, 1995, p</w:t>
      </w:r>
      <w:r>
        <w:rPr>
          <w:lang w:val="sr-Cyrl-CS"/>
        </w:rPr>
        <w:t>.</w:t>
      </w:r>
      <w:r>
        <w:t xml:space="preserve"> 137.</w:t>
      </w:r>
    </w:p>
  </w:footnote>
  <w:footnote w:id="122">
    <w:p w:rsidR="00767127" w:rsidRPr="00C70944" w:rsidRDefault="00767127" w:rsidP="001E6839">
      <w:pPr>
        <w:pStyle w:val="FootnoteText"/>
        <w:rPr>
          <w:lang w:val="sr-Cyrl-CS"/>
        </w:rPr>
      </w:pPr>
      <w:r>
        <w:rPr>
          <w:rStyle w:val="FootnoteReference"/>
        </w:rPr>
        <w:footnoteRef/>
      </w:r>
      <w:r>
        <w:t xml:space="preserve"> </w:t>
      </w:r>
      <w:r w:rsidRPr="00C70944">
        <w:rPr>
          <w:lang w:val="sr-Cyrl-CS"/>
        </w:rPr>
        <w:t>Jensen and W</w:t>
      </w:r>
      <w:r>
        <w:rPr>
          <w:lang w:val="sr-Cyrl-CS"/>
        </w:rPr>
        <w:t xml:space="preserve">oehlbier, </w:t>
      </w:r>
      <w:r w:rsidRPr="00953DEF">
        <w:rPr>
          <w:b/>
          <w:lang w:val="sr-Cyrl-CS"/>
        </w:rPr>
        <w:t>Improving tax governance in EU Member States: Criteria for successful policies</w:t>
      </w:r>
      <w:r w:rsidRPr="00C70944">
        <w:rPr>
          <w:lang w:val="sr-Cyrl-CS"/>
        </w:rPr>
        <w:t xml:space="preserve">, European Economy, </w:t>
      </w:r>
      <w:r>
        <w:rPr>
          <w:lang w:val="sr-Cyrl-CS"/>
        </w:rPr>
        <w:t xml:space="preserve">2012, Occasional Papers 114, </w:t>
      </w:r>
      <w:r>
        <w:t>pp. 15-30</w:t>
      </w:r>
      <w:r>
        <w:rPr>
          <w:lang w:val="sr-Cyrl-CS"/>
        </w:rPr>
        <w:t xml:space="preserve">  (Извор: </w:t>
      </w:r>
      <w:hyperlink r:id="rId18" w:history="1">
        <w:r w:rsidRPr="00C53069">
          <w:rPr>
            <w:rStyle w:val="Hyperlink"/>
            <w:lang w:val="sr-Cyrl-CS"/>
          </w:rPr>
          <w:t>http://ec.europa.eu</w:t>
        </w:r>
      </w:hyperlink>
      <w:r>
        <w:rPr>
          <w:lang w:val="sr-Cyrl-CS"/>
        </w:rPr>
        <w:t xml:space="preserve"> ).</w:t>
      </w:r>
    </w:p>
  </w:footnote>
  <w:footnote w:id="123">
    <w:p w:rsidR="00767127" w:rsidRPr="00953DEF" w:rsidRDefault="00767127" w:rsidP="001E6839">
      <w:pPr>
        <w:pStyle w:val="FootnoteText"/>
        <w:rPr>
          <w:b/>
        </w:rPr>
      </w:pPr>
      <w:r>
        <w:rPr>
          <w:rStyle w:val="FootnoteReference"/>
        </w:rPr>
        <w:footnoteRef/>
      </w:r>
      <w:r>
        <w:t xml:space="preserve"> Communication from the Commission</w:t>
      </w:r>
      <w:r>
        <w:rPr>
          <w:lang w:val="sr-Cyrl-CS"/>
        </w:rPr>
        <w:t>,</w:t>
      </w:r>
      <w:r>
        <w:t xml:space="preserve"> </w:t>
      </w:r>
      <w:r w:rsidRPr="00953DEF">
        <w:rPr>
          <w:b/>
        </w:rPr>
        <w:t xml:space="preserve">An Action Plan to strengthen the fight against tax fraud and tax </w:t>
      </w:r>
    </w:p>
    <w:p w:rsidR="00767127" w:rsidRDefault="00767127" w:rsidP="001E6839">
      <w:pPr>
        <w:pStyle w:val="FootnoteText"/>
      </w:pPr>
      <w:r w:rsidRPr="00953DEF">
        <w:rPr>
          <w:b/>
        </w:rPr>
        <w:t>evasion</w:t>
      </w:r>
      <w:r>
        <w:t xml:space="preserve">, COM(2012)722, </w:t>
      </w:r>
    </w:p>
    <w:p w:rsidR="00767127" w:rsidRPr="00B638D1" w:rsidRDefault="00767127" w:rsidP="001E6839">
      <w:pPr>
        <w:pStyle w:val="FootnoteText"/>
        <w:rPr>
          <w:lang w:val="sr-Cyrl-CS"/>
        </w:rPr>
      </w:pPr>
      <w:hyperlink r:id="rId19" w:history="1">
        <w:r w:rsidRPr="00873B12">
          <w:rPr>
            <w:rStyle w:val="Hyperlink"/>
          </w:rPr>
          <w:t>http://ec.europa.eu/taxation_customs/resources/documents/taxation/tax_fraud_evasion/com_2012_722_en.pdf</w:t>
        </w:r>
      </w:hyperlink>
      <w:r>
        <w:rPr>
          <w:lang w:val="sr-Cyrl-CS"/>
        </w:rPr>
        <w:t xml:space="preserve"> (12.09.2013.)</w:t>
      </w:r>
    </w:p>
  </w:footnote>
  <w:footnote w:id="124">
    <w:p w:rsidR="00767127" w:rsidRPr="00AB799A" w:rsidRDefault="00767127" w:rsidP="001E6839">
      <w:pPr>
        <w:pStyle w:val="FootnoteText"/>
        <w:rPr>
          <w:lang w:val="sr-Cyrl-CS"/>
        </w:rPr>
      </w:pPr>
      <w:r>
        <w:rPr>
          <w:rStyle w:val="FootnoteReference"/>
        </w:rPr>
        <w:footnoteRef/>
      </w:r>
      <w:r>
        <w:t xml:space="preserve"> Friedrich Schneider and Andreas Buehn, </w:t>
      </w:r>
      <w:r w:rsidRPr="00470FC8">
        <w:rPr>
          <w:b/>
        </w:rPr>
        <w:t>Shadow Economies in Higly Developed OECD Countries: What are the Driving Forces?</w:t>
      </w:r>
      <w:r>
        <w:t>, Discussion Paper, No. 6891, October 2012.</w:t>
      </w:r>
      <w:r>
        <w:rPr>
          <w:lang w:val="sr-Cyrl-CS"/>
        </w:rPr>
        <w:t xml:space="preserve"> (Извор: </w:t>
      </w:r>
      <w:hyperlink r:id="rId20" w:history="1">
        <w:r w:rsidRPr="00C53069">
          <w:rPr>
            <w:rStyle w:val="Hyperlink"/>
            <w:lang w:val="sr-Cyrl-CS"/>
          </w:rPr>
          <w:t>http://ftp.iza.org</w:t>
        </w:r>
      </w:hyperlink>
      <w:r>
        <w:rPr>
          <w:lang w:val="sr-Cyrl-CS"/>
        </w:rPr>
        <w:t xml:space="preserve"> ).</w:t>
      </w:r>
    </w:p>
  </w:footnote>
  <w:footnote w:id="125">
    <w:p w:rsidR="00767127" w:rsidRPr="001970C4" w:rsidRDefault="00767127" w:rsidP="001E6839">
      <w:pPr>
        <w:pStyle w:val="FootnoteText"/>
        <w:rPr>
          <w:lang w:val="sr-Cyrl-CS"/>
        </w:rPr>
      </w:pPr>
      <w:r>
        <w:rPr>
          <w:rStyle w:val="FootnoteReference"/>
        </w:rPr>
        <w:footnoteRef/>
      </w:r>
      <w:r>
        <w:rPr>
          <w:lang w:val="sr-Cyrl-CS"/>
        </w:rPr>
        <w:t xml:space="preserve"> Јован Ловчевић, </w:t>
      </w:r>
      <w:r>
        <w:rPr>
          <w:i/>
          <w:lang w:val="sr-Cyrl-CS"/>
        </w:rPr>
        <w:t xml:space="preserve">нав. дело, </w:t>
      </w:r>
      <w:r w:rsidRPr="006D10CC">
        <w:rPr>
          <w:i/>
          <w:lang w:val="sr-Cyrl-CS"/>
        </w:rPr>
        <w:t xml:space="preserve"> </w:t>
      </w:r>
      <w:r>
        <w:rPr>
          <w:lang w:val="sr-Cyrl-CS"/>
        </w:rPr>
        <w:t>стр. 154-156.</w:t>
      </w:r>
    </w:p>
  </w:footnote>
  <w:footnote w:id="126">
    <w:p w:rsidR="00767127" w:rsidRPr="0098795E" w:rsidRDefault="00767127" w:rsidP="001E6839">
      <w:pPr>
        <w:pStyle w:val="FootnoteText"/>
        <w:rPr>
          <w:lang w:val="sr-Cyrl-CS"/>
        </w:rPr>
      </w:pPr>
      <w:r>
        <w:rPr>
          <w:rStyle w:val="FootnoteReference"/>
        </w:rPr>
        <w:footnoteRef/>
      </w:r>
      <w:r>
        <w:t xml:space="preserve"> </w:t>
      </w:r>
      <w:r>
        <w:rPr>
          <w:lang w:val="sr-Cyrl-CS"/>
        </w:rPr>
        <w:t xml:space="preserve">Горан Милошевић, </w:t>
      </w:r>
      <w:r w:rsidRPr="003D2B60">
        <w:rPr>
          <w:b/>
          <w:lang w:val="sr-Cyrl-CS"/>
        </w:rPr>
        <w:t>Порез и избегавање пореза</w:t>
      </w:r>
      <w:r>
        <w:rPr>
          <w:lang w:val="sr-Cyrl-CS"/>
        </w:rPr>
        <w:t>, ЈП „Слубени лист СЦГ“, Београд, 2005, стр. 228.</w:t>
      </w:r>
    </w:p>
  </w:footnote>
  <w:footnote w:id="127">
    <w:p w:rsidR="00767127" w:rsidRPr="007B3C46" w:rsidRDefault="00767127" w:rsidP="001E6839">
      <w:pPr>
        <w:pStyle w:val="FootnoteText"/>
        <w:jc w:val="both"/>
      </w:pPr>
      <w:r>
        <w:rPr>
          <w:rStyle w:val="FootnoteReference"/>
        </w:rPr>
        <w:footnoteRef/>
      </w:r>
      <w:r>
        <w:t xml:space="preserve"> </w:t>
      </w:r>
      <w:r>
        <w:rPr>
          <w:lang w:val="sr-Cyrl-CS"/>
        </w:rPr>
        <w:t>Руски председник Владимир Путин је потписао декрет којим се француском глумцу Жерар Депардјеу додељује руско држављанство. Депардје, један од најбоље плаћених француских глумаца, преселио се да живи у Нешину, белгијском селу недалеко од границе са Француском, како би, према наводима медија, избегао плаћање пореза у својој земљи, јер француске власти најављују да уведу порез од 75% за богаташе чији су годишњи приходи већи од милион евра, за шта се залагао током предизборне кампање француски председник Франсоа Оланд. У селу Нешину су се настанили бројни богати Французи из истог разлога. На све ово коментар Жерара Депардјеа био је: „Није истина да сам се преселио у Белгију због повећања пореза. Овде је и храна одлична</w:t>
      </w:r>
      <w:r>
        <w:t>“</w:t>
      </w:r>
      <w:r>
        <w:rPr>
          <w:lang w:val="sr-Cyrl-CS"/>
        </w:rPr>
        <w:t xml:space="preserve">. Извор: </w:t>
      </w:r>
      <w:r>
        <w:t>https://www.capital.ba</w:t>
      </w:r>
      <w:r>
        <w:rPr>
          <w:lang w:val="sr-Cyrl-CS"/>
        </w:rPr>
        <w:t xml:space="preserve"> </w:t>
      </w:r>
      <w:r>
        <w:t>(11.12.2012.)</w:t>
      </w:r>
    </w:p>
  </w:footnote>
  <w:footnote w:id="128">
    <w:p w:rsidR="00767127" w:rsidRPr="0017701C" w:rsidRDefault="00767127" w:rsidP="001E6839">
      <w:pPr>
        <w:pStyle w:val="FootnoteText"/>
        <w:rPr>
          <w:lang w:val="sr-Cyrl-CS"/>
        </w:rPr>
      </w:pPr>
      <w:r>
        <w:rPr>
          <w:rStyle w:val="FootnoteReference"/>
        </w:rPr>
        <w:footnoteRef/>
      </w:r>
      <w:r>
        <w:t xml:space="preserve"> </w:t>
      </w:r>
      <w:r>
        <w:rPr>
          <w:lang w:val="sr-Cyrl-CS"/>
        </w:rPr>
        <w:t xml:space="preserve">Гордана Илић-Попов, </w:t>
      </w:r>
      <w:r w:rsidRPr="00936F4E">
        <w:rPr>
          <w:b/>
          <w:lang w:val="sr-Cyrl-CS"/>
        </w:rPr>
        <w:t>Еколошки порези</w:t>
      </w:r>
      <w:r>
        <w:rPr>
          <w:lang w:val="sr-Cyrl-CS"/>
        </w:rPr>
        <w:t>, Правни факултет Универзитета у Београду, Београд, 2000, стр. 32-33.</w:t>
      </w:r>
    </w:p>
  </w:footnote>
  <w:footnote w:id="129">
    <w:p w:rsidR="00767127" w:rsidRPr="00C54EB8" w:rsidRDefault="00767127" w:rsidP="001E6839">
      <w:pPr>
        <w:pStyle w:val="FootnoteText"/>
      </w:pPr>
      <w:r>
        <w:rPr>
          <w:rStyle w:val="FootnoteReference"/>
        </w:rPr>
        <w:footnoteRef/>
      </w:r>
      <w:r>
        <w:rPr>
          <w:lang w:val="sr-Cyrl-CS"/>
        </w:rPr>
        <w:t xml:space="preserve">Rey Mario, </w:t>
      </w:r>
      <w:r w:rsidRPr="00936F4E">
        <w:rPr>
          <w:b/>
          <w:lang w:val="sr-Cyrl-CS"/>
        </w:rPr>
        <w:t>Estimating Tax Evasions</w:t>
      </w:r>
      <w:r w:rsidRPr="00936F4E">
        <w:rPr>
          <w:b/>
        </w:rPr>
        <w:t>:</w:t>
      </w:r>
      <w:r>
        <w:rPr>
          <w:lang w:val="sr-Cyrl-CS"/>
        </w:rPr>
        <w:t xml:space="preserve"> </w:t>
      </w:r>
      <w:r w:rsidRPr="00936F4E">
        <w:rPr>
          <w:b/>
        </w:rPr>
        <w:t>t</w:t>
      </w:r>
      <w:r w:rsidRPr="00936F4E">
        <w:rPr>
          <w:b/>
          <w:lang w:val="sr-Cyrl-CS"/>
        </w:rPr>
        <w:t>he</w:t>
      </w:r>
      <w:r w:rsidRPr="00936F4E">
        <w:rPr>
          <w:b/>
        </w:rPr>
        <w:t xml:space="preserve"> Example of the Italian General Sales </w:t>
      </w:r>
      <w:r w:rsidRPr="00936F4E">
        <w:rPr>
          <w:b/>
          <w:lang w:val="sr-Cyrl-CS"/>
        </w:rPr>
        <w:t xml:space="preserve"> </w:t>
      </w:r>
      <w:r w:rsidRPr="00936F4E">
        <w:rPr>
          <w:b/>
        </w:rPr>
        <w:t>Tax</w:t>
      </w:r>
      <w:r>
        <w:t>, Public Finance, The Hague, 1965, 3-4, p. 285.</w:t>
      </w:r>
    </w:p>
  </w:footnote>
  <w:footnote w:id="130">
    <w:p w:rsidR="00767127" w:rsidRPr="00082A99" w:rsidRDefault="00767127" w:rsidP="001E6839">
      <w:pPr>
        <w:pStyle w:val="FootnoteText"/>
      </w:pPr>
      <w:r>
        <w:rPr>
          <w:rStyle w:val="FootnoteReference"/>
        </w:rPr>
        <w:footnoteRef/>
      </w:r>
      <w:r>
        <w:rPr>
          <w:b/>
          <w:lang w:val="sr-Cyrl-CS"/>
        </w:rPr>
        <w:t xml:space="preserve"> </w:t>
      </w:r>
      <w:r w:rsidRPr="00025D62">
        <w:rPr>
          <w:b/>
          <w:lang w:val="sr-Cyrl-CS"/>
        </w:rPr>
        <w:t>OECD Work on Tax Avoidance and Evasion</w:t>
      </w:r>
      <w:r>
        <w:rPr>
          <w:lang w:val="sr-Cyrl-CS"/>
        </w:rPr>
        <w:t>, Summary of the Work of the OECD</w:t>
      </w:r>
      <w:r>
        <w:t>’s Committee on Fiscal Affairs on Combatting Tax Avoidance and Evasion (</w:t>
      </w:r>
      <w:r>
        <w:rPr>
          <w:lang w:val="sr-Cyrl-CS"/>
        </w:rPr>
        <w:t>у</w:t>
      </w:r>
      <w:r>
        <w:t xml:space="preserve">: </w:t>
      </w:r>
      <w:r w:rsidRPr="00025D62">
        <w:rPr>
          <w:b/>
        </w:rPr>
        <w:t>International Tax Avoidance and Evasion</w:t>
      </w:r>
      <w:r>
        <w:t>, Colloquy of 5-7 March 1980, Strasbourg, IBFD, Amsterdam 1981, p. 13).</w:t>
      </w:r>
    </w:p>
  </w:footnote>
  <w:footnote w:id="131">
    <w:p w:rsidR="00767127" w:rsidRPr="006C5A85" w:rsidRDefault="00767127" w:rsidP="001E6839">
      <w:pPr>
        <w:pStyle w:val="FootnoteText"/>
        <w:rPr>
          <w:lang w:val="sr-Cyrl-CS"/>
        </w:rPr>
      </w:pPr>
      <w:r>
        <w:rPr>
          <w:rStyle w:val="FootnoteReference"/>
        </w:rPr>
        <w:footnoteRef/>
      </w:r>
      <w:r>
        <w:rPr>
          <w:lang w:val="sr-Cyrl-CS"/>
        </w:rPr>
        <w:t xml:space="preserve"> </w:t>
      </w:r>
      <w:r w:rsidRPr="00936F4E">
        <w:rPr>
          <w:b/>
          <w:lang w:val="sr-Cyrl-CS"/>
        </w:rPr>
        <w:t>OECD Work on Tax Avoidance and Evasion</w:t>
      </w:r>
      <w:r>
        <w:rPr>
          <w:lang w:val="sr-Cyrl-CS"/>
        </w:rPr>
        <w:t>. Summary of the Work of the OECD</w:t>
      </w:r>
      <w:r>
        <w:t>’s Committee on Fiscal Affairs on Combatting Tax Avoidance and Evasion (</w:t>
      </w:r>
      <w:r>
        <w:rPr>
          <w:lang w:val="sr-Cyrl-CS"/>
        </w:rPr>
        <w:t>у</w:t>
      </w:r>
      <w:r>
        <w:t xml:space="preserve">: </w:t>
      </w:r>
      <w:r w:rsidRPr="00936F4E">
        <w:rPr>
          <w:b/>
        </w:rPr>
        <w:t>International Tax Avoidance and Evasion</w:t>
      </w:r>
      <w:r>
        <w:t>, Colloquy of 5-7 March 1980, Strasbourg, IBFD, Amsterdam 1981, p. 13).</w:t>
      </w:r>
    </w:p>
  </w:footnote>
  <w:footnote w:id="132">
    <w:p w:rsidR="00767127" w:rsidRPr="006C5A85" w:rsidRDefault="00767127" w:rsidP="00334996">
      <w:pPr>
        <w:pStyle w:val="FootnoteText"/>
        <w:jc w:val="both"/>
        <w:rPr>
          <w:lang w:val="sr-Cyrl-CS"/>
        </w:rPr>
      </w:pPr>
      <w:r>
        <w:rPr>
          <w:rStyle w:val="FootnoteReference"/>
        </w:rPr>
        <w:footnoteRef/>
      </w:r>
      <w:r>
        <w:t xml:space="preserve"> </w:t>
      </w:r>
      <w:r>
        <w:rPr>
          <w:lang w:val="sr-Cyrl-CS"/>
        </w:rPr>
        <w:t xml:space="preserve">Дејан Поповић, </w:t>
      </w:r>
      <w:r w:rsidRPr="00334996">
        <w:rPr>
          <w:b/>
          <w:lang w:val="sr-Cyrl-CS"/>
        </w:rPr>
        <w:t>Пореско право</w:t>
      </w:r>
      <w:r>
        <w:rPr>
          <w:i/>
          <w:lang w:val="sr-Cyrl-CS"/>
        </w:rPr>
        <w:t xml:space="preserve">, </w:t>
      </w:r>
      <w:r>
        <w:rPr>
          <w:lang w:val="sr-Cyrl-CS"/>
        </w:rPr>
        <w:t xml:space="preserve"> Правни факултет Универзитета у Београду и ЈП „Службени гласник“, Београд, 2009, стр.45-50.</w:t>
      </w:r>
    </w:p>
  </w:footnote>
  <w:footnote w:id="133">
    <w:p w:rsidR="00767127" w:rsidRPr="00900241" w:rsidRDefault="00767127" w:rsidP="000F4330">
      <w:pPr>
        <w:pStyle w:val="FootnoteText"/>
        <w:jc w:val="both"/>
        <w:rPr>
          <w:lang w:val="sr-Cyrl-CS"/>
        </w:rPr>
      </w:pPr>
      <w:r>
        <w:rPr>
          <w:rStyle w:val="FootnoteReference"/>
        </w:rPr>
        <w:footnoteRef/>
      </w:r>
      <w:r>
        <w:t xml:space="preserve"> </w:t>
      </w:r>
      <w:r>
        <w:rPr>
          <w:lang w:val="sr-Cyrl-CS"/>
        </w:rPr>
        <w:t>Чл.</w:t>
      </w:r>
      <w:r>
        <w:t xml:space="preserve"> </w:t>
      </w:r>
      <w:r>
        <w:rPr>
          <w:lang w:val="sr-Cyrl-CS"/>
        </w:rPr>
        <w:t>9 Закона о пореском поступку и пореској администрацији („Сл. Гласник РС“ бр. 80/2002...47/2013).</w:t>
      </w:r>
    </w:p>
  </w:footnote>
  <w:footnote w:id="134">
    <w:p w:rsidR="00767127" w:rsidRPr="00334996" w:rsidRDefault="00767127" w:rsidP="00334996">
      <w:pPr>
        <w:pStyle w:val="FootnoteText"/>
        <w:jc w:val="both"/>
        <w:rPr>
          <w:lang w:val="sr-Cyrl-CS"/>
        </w:rPr>
      </w:pPr>
      <w:r>
        <w:rPr>
          <w:rStyle w:val="FootnoteReference"/>
        </w:rPr>
        <w:footnoteRef/>
      </w:r>
      <w:r>
        <w:t xml:space="preserve"> </w:t>
      </w:r>
      <w:r w:rsidRPr="00334996">
        <w:rPr>
          <w:lang w:val="sr-Cyrl-CS"/>
        </w:rPr>
        <w:t xml:space="preserve">Дејан Поповић, </w:t>
      </w:r>
      <w:r w:rsidRPr="00334996">
        <w:rPr>
          <w:b/>
          <w:lang w:val="sr-Cyrl-CS"/>
        </w:rPr>
        <w:t>Наука о порезима и пореско право</w:t>
      </w:r>
      <w:r w:rsidRPr="00334996">
        <w:rPr>
          <w:lang w:val="sr-Cyrl-CS"/>
        </w:rPr>
        <w:t>, COLPI, Будимпешта и Савремена администрација, Београд, 1997, стр. 452.</w:t>
      </w:r>
    </w:p>
  </w:footnote>
  <w:footnote w:id="135">
    <w:p w:rsidR="00767127" w:rsidRPr="00D46E97" w:rsidRDefault="00767127" w:rsidP="000F4330">
      <w:pPr>
        <w:pStyle w:val="FootnoteText"/>
        <w:jc w:val="both"/>
        <w:rPr>
          <w:lang w:val="sr-Cyrl-CS"/>
        </w:rPr>
      </w:pPr>
      <w:r>
        <w:rPr>
          <w:rStyle w:val="FootnoteReference"/>
        </w:rPr>
        <w:footnoteRef/>
      </w:r>
      <w:r>
        <w:t xml:space="preserve"> </w:t>
      </w:r>
      <w:r>
        <w:rPr>
          <w:lang w:val="sr-Cyrl-CS"/>
        </w:rPr>
        <w:t xml:space="preserve">Х. Арбутина и K. Otto, </w:t>
      </w:r>
      <w:r w:rsidRPr="005834EB">
        <w:rPr>
          <w:b/>
          <w:lang w:val="sr-Cyrl-CS"/>
        </w:rPr>
        <w:t>Порезни лексикон с вишејезичним рјечником</w:t>
      </w:r>
      <w:r>
        <w:rPr>
          <w:lang w:val="sr-Cyrl-CS"/>
        </w:rPr>
        <w:t>, Институт за јавне финанције, Загреб, 1999.</w:t>
      </w:r>
    </w:p>
  </w:footnote>
  <w:footnote w:id="136">
    <w:p w:rsidR="00767127" w:rsidRPr="00E21C48" w:rsidRDefault="00767127" w:rsidP="001E6839">
      <w:pPr>
        <w:pStyle w:val="FootnoteText"/>
        <w:rPr>
          <w:lang w:val="sr-Cyrl-CS"/>
        </w:rPr>
      </w:pPr>
      <w:r>
        <w:rPr>
          <w:rStyle w:val="FootnoteReference"/>
        </w:rPr>
        <w:footnoteRef/>
      </w:r>
      <w:r>
        <w:t xml:space="preserve"> </w:t>
      </w:r>
      <w:r w:rsidRPr="007B4B4F">
        <w:rPr>
          <w:lang w:val="sr-Cyrl-CS"/>
        </w:rPr>
        <w:t>Дејан Поповић</w:t>
      </w:r>
      <w:r w:rsidRPr="001507E1">
        <w:rPr>
          <w:b/>
          <w:i/>
          <w:lang w:val="sr-Cyrl-CS"/>
        </w:rPr>
        <w:t xml:space="preserve">, </w:t>
      </w:r>
      <w:r w:rsidRPr="00334996">
        <w:rPr>
          <w:i/>
          <w:lang w:val="sr-Cyrl-CS"/>
        </w:rPr>
        <w:t>нав. дело</w:t>
      </w:r>
      <w:r w:rsidRPr="001507E1">
        <w:rPr>
          <w:b/>
          <w:i/>
          <w:lang w:val="sr-Cyrl-CS"/>
        </w:rPr>
        <w:t>,</w:t>
      </w:r>
      <w:r>
        <w:rPr>
          <w:i/>
          <w:lang w:val="sr-Cyrl-CS"/>
        </w:rPr>
        <w:t xml:space="preserve"> </w:t>
      </w:r>
      <w:r>
        <w:rPr>
          <w:lang w:val="sr-Cyrl-CS"/>
        </w:rPr>
        <w:t xml:space="preserve"> стр.455-456.</w:t>
      </w:r>
    </w:p>
  </w:footnote>
  <w:footnote w:id="137">
    <w:p w:rsidR="00767127" w:rsidRPr="00850A3E" w:rsidRDefault="00767127">
      <w:pPr>
        <w:pStyle w:val="FootnoteText"/>
        <w:rPr>
          <w:lang w:val="sr-Cyrl-CS"/>
        </w:rPr>
      </w:pPr>
      <w:r>
        <w:rPr>
          <w:rStyle w:val="FootnoteReference"/>
        </w:rPr>
        <w:footnoteRef/>
      </w:r>
      <w:r>
        <w:t xml:space="preserve"> </w:t>
      </w:r>
      <w:r w:rsidRPr="00850A3E">
        <w:rPr>
          <w:b/>
          <w:lang w:val="sr-Cyrl-CS"/>
        </w:rPr>
        <w:t>Модалитети пореске утаје</w:t>
      </w:r>
      <w:r>
        <w:rPr>
          <w:lang w:val="sr-Cyrl-CS"/>
        </w:rPr>
        <w:t>, Централа пореске управе Министарства финансија РС, Интерно издање, 2011.</w:t>
      </w:r>
    </w:p>
  </w:footnote>
  <w:footnote w:id="138">
    <w:p w:rsidR="00767127" w:rsidRPr="005D640E" w:rsidRDefault="00767127" w:rsidP="000F4330">
      <w:pPr>
        <w:pStyle w:val="FootnoteText"/>
        <w:jc w:val="both"/>
        <w:rPr>
          <w:b/>
          <w:lang w:val="sr-Cyrl-CS"/>
        </w:rPr>
      </w:pPr>
      <w:r>
        <w:rPr>
          <w:rStyle w:val="FootnoteReference"/>
        </w:rPr>
        <w:footnoteRef/>
      </w:r>
      <w:r>
        <w:t xml:space="preserve"> </w:t>
      </w:r>
      <w:r w:rsidRPr="002A31FD">
        <w:rPr>
          <w:lang w:val="sr-Cyrl-CS"/>
        </w:rPr>
        <w:t>Миодраг Вуковић</w:t>
      </w:r>
      <w:r w:rsidRPr="005D640E">
        <w:rPr>
          <w:b/>
          <w:lang w:val="sr-Cyrl-CS"/>
        </w:rPr>
        <w:t xml:space="preserve">, Пореска утаја у полицијској и судској пракси, </w:t>
      </w:r>
      <w:r>
        <w:rPr>
          <w:lang w:val="sr-Cyrl-CS"/>
        </w:rPr>
        <w:t>Службени гласник</w:t>
      </w:r>
      <w:r w:rsidRPr="005D640E">
        <w:rPr>
          <w:b/>
          <w:lang w:val="sr-Cyrl-CS"/>
        </w:rPr>
        <w:t xml:space="preserve">, </w:t>
      </w:r>
      <w:r>
        <w:rPr>
          <w:lang w:val="sr-Cyrl-CS"/>
        </w:rPr>
        <w:t>Београд, 2009</w:t>
      </w:r>
      <w:r w:rsidRPr="005D640E">
        <w:rPr>
          <w:b/>
          <w:lang w:val="sr-Cyrl-CS"/>
        </w:rPr>
        <w:t xml:space="preserve">,  </w:t>
      </w:r>
      <w:r w:rsidRPr="002A31FD">
        <w:rPr>
          <w:lang w:val="sr-Cyrl-CS"/>
        </w:rPr>
        <w:t>стр. 90.</w:t>
      </w:r>
      <w:r>
        <w:rPr>
          <w:b/>
          <w:lang w:val="sr-Cyrl-CS"/>
        </w:rPr>
        <w:t xml:space="preserve"> </w:t>
      </w:r>
    </w:p>
  </w:footnote>
  <w:footnote w:id="139">
    <w:p w:rsidR="00767127" w:rsidRPr="00E21C48" w:rsidRDefault="00767127" w:rsidP="001E6839">
      <w:pPr>
        <w:pStyle w:val="FootnoteText"/>
        <w:rPr>
          <w:lang w:val="sr-Cyrl-CS"/>
        </w:rPr>
      </w:pPr>
      <w:r>
        <w:rPr>
          <w:rStyle w:val="FootnoteReference"/>
        </w:rPr>
        <w:footnoteRef/>
      </w:r>
      <w:r>
        <w:t xml:space="preserve"> </w:t>
      </w:r>
      <w:r>
        <w:rPr>
          <w:lang w:val="sr-Cyrl-CS"/>
        </w:rPr>
        <w:t xml:space="preserve">Дејан Поповић, </w:t>
      </w:r>
      <w:r>
        <w:rPr>
          <w:i/>
          <w:lang w:val="sr-Cyrl-CS"/>
        </w:rPr>
        <w:t xml:space="preserve">нав. дело, </w:t>
      </w:r>
      <w:r>
        <w:rPr>
          <w:lang w:val="sr-Cyrl-CS"/>
        </w:rPr>
        <w:t xml:space="preserve"> стр.472-473.</w:t>
      </w:r>
    </w:p>
    <w:p w:rsidR="00767127" w:rsidRPr="006F6F16" w:rsidRDefault="00767127" w:rsidP="001E6839">
      <w:pPr>
        <w:pStyle w:val="FootnoteText"/>
        <w:rPr>
          <w:lang w:val="sr-Cyrl-CS"/>
        </w:rPr>
      </w:pPr>
    </w:p>
  </w:footnote>
  <w:footnote w:id="140">
    <w:p w:rsidR="00767127" w:rsidRPr="00635B85" w:rsidRDefault="00767127" w:rsidP="001E6839">
      <w:pPr>
        <w:pStyle w:val="FootnoteText"/>
        <w:rPr>
          <w:lang w:val="sr-Cyrl-CS"/>
        </w:rPr>
      </w:pPr>
      <w:r>
        <w:rPr>
          <w:rStyle w:val="FootnoteReference"/>
        </w:rPr>
        <w:footnoteRef/>
      </w:r>
      <w:r>
        <w:t xml:space="preserve"> </w:t>
      </w:r>
      <w:r>
        <w:rPr>
          <w:lang w:val="sr-Cyrl-CS"/>
        </w:rPr>
        <w:t xml:space="preserve">Јован Ловчевић, </w:t>
      </w:r>
      <w:r>
        <w:rPr>
          <w:i/>
          <w:lang w:val="sr-Cyrl-CS"/>
        </w:rPr>
        <w:t xml:space="preserve">нав. дело, </w:t>
      </w:r>
      <w:r>
        <w:rPr>
          <w:lang w:val="sr-Cyrl-CS"/>
        </w:rPr>
        <w:t xml:space="preserve"> стр. 156.</w:t>
      </w:r>
    </w:p>
  </w:footnote>
  <w:footnote w:id="141">
    <w:p w:rsidR="00767127" w:rsidRPr="00400D7A" w:rsidRDefault="00767127" w:rsidP="001E6839">
      <w:pPr>
        <w:pStyle w:val="FootnoteText"/>
        <w:rPr>
          <w:lang w:val="sr-Cyrl-CS"/>
        </w:rPr>
      </w:pPr>
      <w:r>
        <w:rPr>
          <w:rStyle w:val="FootnoteReference"/>
        </w:rPr>
        <w:footnoteRef/>
      </w:r>
      <w:r>
        <w:t xml:space="preserve"> </w:t>
      </w:r>
      <w:r>
        <w:rPr>
          <w:lang w:val="sr-Cyrl-CS"/>
        </w:rPr>
        <w:t xml:space="preserve">Горан Милошевић и Наташа Голубовић, </w:t>
      </w:r>
      <w:r w:rsidRPr="00BF318D">
        <w:rPr>
          <w:b/>
          <w:lang w:val="sr-Cyrl-CS"/>
        </w:rPr>
        <w:t>Пореска инциденца</w:t>
      </w:r>
      <w:r>
        <w:rPr>
          <w:lang w:val="sr-Cyrl-CS"/>
        </w:rPr>
        <w:t xml:space="preserve">, </w:t>
      </w:r>
      <w:r w:rsidRPr="00BF318D">
        <w:rPr>
          <w:i/>
          <w:lang w:val="sr-Cyrl-CS"/>
        </w:rPr>
        <w:t>Култура полиса</w:t>
      </w:r>
      <w:r>
        <w:rPr>
          <w:lang w:val="sr-Cyrl-CS"/>
        </w:rPr>
        <w:t xml:space="preserve">, год. </w:t>
      </w:r>
      <w:r>
        <w:t xml:space="preserve">VIII, </w:t>
      </w:r>
      <w:r>
        <w:rPr>
          <w:lang w:val="sr-Cyrl-CS"/>
        </w:rPr>
        <w:t xml:space="preserve">бр.15, 2011, стр. 308-309.  </w:t>
      </w:r>
    </w:p>
  </w:footnote>
  <w:footnote w:id="142">
    <w:p w:rsidR="00767127" w:rsidRPr="00086C38" w:rsidRDefault="00767127">
      <w:pPr>
        <w:pStyle w:val="FootnoteText"/>
        <w:rPr>
          <w:lang w:val="sr-Cyrl-CS"/>
        </w:rPr>
      </w:pPr>
      <w:r>
        <w:rPr>
          <w:rStyle w:val="FootnoteReference"/>
        </w:rPr>
        <w:footnoteRef/>
      </w:r>
      <w:r>
        <w:t xml:space="preserve"> </w:t>
      </w:r>
      <w:r>
        <w:rPr>
          <w:lang w:val="sr-Cyrl-CS"/>
        </w:rPr>
        <w:t>Нав. дело, стр. 310.</w:t>
      </w:r>
    </w:p>
  </w:footnote>
  <w:footnote w:id="143">
    <w:p w:rsidR="00767127" w:rsidRPr="00086C38" w:rsidRDefault="00767127">
      <w:pPr>
        <w:pStyle w:val="FootnoteText"/>
        <w:rPr>
          <w:lang w:val="sr-Cyrl-CS"/>
        </w:rPr>
      </w:pPr>
      <w:r>
        <w:rPr>
          <w:rStyle w:val="FootnoteReference"/>
        </w:rPr>
        <w:footnoteRef/>
      </w:r>
      <w:r>
        <w:t xml:space="preserve"> </w:t>
      </w:r>
      <w:r>
        <w:rPr>
          <w:lang w:val="sr-Cyrl-CS"/>
        </w:rPr>
        <w:t>Нав. дело, стр. 310.</w:t>
      </w:r>
    </w:p>
  </w:footnote>
  <w:footnote w:id="144">
    <w:p w:rsidR="00767127" w:rsidRPr="00852883" w:rsidRDefault="00767127" w:rsidP="00852883">
      <w:pPr>
        <w:pStyle w:val="FootnoteText"/>
        <w:jc w:val="both"/>
        <w:rPr>
          <w:lang w:val="sr-Cyrl-CS"/>
        </w:rPr>
      </w:pPr>
      <w:r>
        <w:rPr>
          <w:rStyle w:val="FootnoteReference"/>
        </w:rPr>
        <w:footnoteRef/>
      </w:r>
      <w:r>
        <w:t xml:space="preserve"> R. Musgrave, </w:t>
      </w:r>
      <w:r>
        <w:rPr>
          <w:lang w:val="sr-Cyrl-CS"/>
        </w:rPr>
        <w:t xml:space="preserve">Теорија јавних финансија, Београд, 1973, стр. 193. (у: Горан Милошевић и Наташа Голубовић, </w:t>
      </w:r>
      <w:r w:rsidRPr="00E85D66">
        <w:rPr>
          <w:b/>
          <w:lang w:val="sr-Cyrl-CS"/>
        </w:rPr>
        <w:t>Пореска инциденца</w:t>
      </w:r>
      <w:r>
        <w:rPr>
          <w:lang w:val="sr-Cyrl-CS"/>
        </w:rPr>
        <w:t xml:space="preserve">, </w:t>
      </w:r>
      <w:r w:rsidRPr="00E85D66">
        <w:rPr>
          <w:i/>
          <w:lang w:val="sr-Cyrl-CS"/>
        </w:rPr>
        <w:t>Култура полиса</w:t>
      </w:r>
      <w:r>
        <w:rPr>
          <w:lang w:val="sr-Cyrl-CS"/>
        </w:rPr>
        <w:t xml:space="preserve">, год. </w:t>
      </w:r>
      <w:r>
        <w:t xml:space="preserve">VIII, </w:t>
      </w:r>
      <w:r>
        <w:rPr>
          <w:lang w:val="sr-Cyrl-CS"/>
        </w:rPr>
        <w:t>бр.15, 2011, стр. 311).</w:t>
      </w:r>
    </w:p>
  </w:footnote>
  <w:footnote w:id="145">
    <w:p w:rsidR="00767127" w:rsidRPr="00DC7971" w:rsidRDefault="00767127" w:rsidP="001E6839">
      <w:pPr>
        <w:pStyle w:val="FootnoteText"/>
        <w:jc w:val="both"/>
        <w:rPr>
          <w:lang w:val="sr-Cyrl-CS"/>
        </w:rPr>
      </w:pPr>
      <w:r>
        <w:rPr>
          <w:rStyle w:val="FootnoteReference"/>
        </w:rPr>
        <w:footnoteRef/>
      </w:r>
      <w:r>
        <w:rPr>
          <w:lang w:val="sr-Cyrl-CS"/>
        </w:rPr>
        <w:t xml:space="preserve"> Горан Милошевић, </w:t>
      </w:r>
      <w:r w:rsidRPr="00E85D66">
        <w:rPr>
          <w:b/>
          <w:lang w:val="sr-Cyrl-CS"/>
        </w:rPr>
        <w:t>Евазија пореза</w:t>
      </w:r>
      <w:r>
        <w:rPr>
          <w:lang w:val="sr-Cyrl-CS"/>
        </w:rPr>
        <w:t xml:space="preserve">, </w:t>
      </w:r>
      <w:r w:rsidRPr="00E85D66">
        <w:rPr>
          <w:i/>
          <w:lang w:val="sr-Cyrl-CS"/>
        </w:rPr>
        <w:t>Наука, безбедност, полиција</w:t>
      </w:r>
      <w:r>
        <w:rPr>
          <w:lang w:val="sr-Cyrl-CS"/>
        </w:rPr>
        <w:t xml:space="preserve">, Криминалистичко-полицијска академија, Београд, 2006, бр.2/2006, стр. 67  (у: Горан Милошевић и Наташа Голубовић, </w:t>
      </w:r>
      <w:r w:rsidRPr="00E85D66">
        <w:rPr>
          <w:b/>
          <w:lang w:val="sr-Cyrl-CS"/>
        </w:rPr>
        <w:t>Пореска инциденца</w:t>
      </w:r>
      <w:r>
        <w:rPr>
          <w:lang w:val="sr-Cyrl-CS"/>
        </w:rPr>
        <w:t xml:space="preserve">, </w:t>
      </w:r>
      <w:r w:rsidRPr="00E85D66">
        <w:rPr>
          <w:i/>
          <w:lang w:val="sr-Cyrl-CS"/>
        </w:rPr>
        <w:t>Култура полиса</w:t>
      </w:r>
      <w:r>
        <w:rPr>
          <w:lang w:val="sr-Cyrl-CS"/>
        </w:rPr>
        <w:t>,</w:t>
      </w:r>
      <w:r>
        <w:t xml:space="preserve"> </w:t>
      </w:r>
      <w:r>
        <w:rPr>
          <w:lang w:val="sr-Cyrl-CS"/>
        </w:rPr>
        <w:t>бр.15, 2011, стр. 311).</w:t>
      </w:r>
    </w:p>
  </w:footnote>
  <w:footnote w:id="146">
    <w:p w:rsidR="00767127" w:rsidRPr="00F46147" w:rsidRDefault="00767127" w:rsidP="001E6839">
      <w:pPr>
        <w:pStyle w:val="FootnoteText"/>
      </w:pPr>
      <w:r>
        <w:rPr>
          <w:rStyle w:val="FootnoteReference"/>
        </w:rPr>
        <w:footnoteRef/>
      </w:r>
      <w:r>
        <w:t xml:space="preserve"> </w:t>
      </w:r>
      <w:r>
        <w:rPr>
          <w:lang w:val="sr-Cyrl-CS"/>
        </w:rPr>
        <w:t xml:space="preserve">Charles McLure, </w:t>
      </w:r>
      <w:r w:rsidRPr="00E85D66">
        <w:rPr>
          <w:b/>
          <w:lang w:val="sr-Cyrl-CS"/>
        </w:rPr>
        <w:t>The Theory of Tax Incidence with Imperfect Factor Mobility</w:t>
      </w:r>
      <w:r>
        <w:rPr>
          <w:lang w:val="sr-Cyrl-CS"/>
        </w:rPr>
        <w:t>, Financar</w:t>
      </w:r>
      <w:r>
        <w:t>c</w:t>
      </w:r>
      <w:r>
        <w:rPr>
          <w:lang w:val="sr-Cyrl-CS"/>
        </w:rPr>
        <w:t>hiv</w:t>
      </w:r>
      <w:r>
        <w:t xml:space="preserve"> Band, 30, 1971, pp.27-48.</w:t>
      </w:r>
    </w:p>
  </w:footnote>
  <w:footnote w:id="147">
    <w:p w:rsidR="00767127" w:rsidRPr="006B53D2" w:rsidRDefault="00767127" w:rsidP="002A44D5">
      <w:pPr>
        <w:pStyle w:val="FootnoteText"/>
        <w:rPr>
          <w:lang w:val="sr-Cyrl-CS"/>
        </w:rPr>
      </w:pPr>
      <w:r>
        <w:rPr>
          <w:rStyle w:val="FootnoteReference"/>
        </w:rPr>
        <w:footnoteRef/>
      </w:r>
      <w:r>
        <w:t xml:space="preserve"> </w:t>
      </w:r>
      <w:r>
        <w:rPr>
          <w:lang w:val="sr-Cyrl-CS"/>
        </w:rPr>
        <w:t xml:space="preserve">Горан Милошевић и Наташа Голубовић, </w:t>
      </w:r>
      <w:r>
        <w:rPr>
          <w:i/>
          <w:lang w:val="sr-Cyrl-CS"/>
        </w:rPr>
        <w:t xml:space="preserve">нав. дело, </w:t>
      </w:r>
      <w:r>
        <w:rPr>
          <w:lang w:val="sr-Cyrl-CS"/>
        </w:rPr>
        <w:t xml:space="preserve"> стр. 315-316.</w:t>
      </w:r>
    </w:p>
  </w:footnote>
  <w:footnote w:id="148">
    <w:p w:rsidR="00767127" w:rsidRPr="006B1493" w:rsidRDefault="00767127">
      <w:pPr>
        <w:pStyle w:val="FootnoteText"/>
        <w:rPr>
          <w:lang w:val="sr-Cyrl-CS"/>
        </w:rPr>
      </w:pPr>
      <w:r>
        <w:rPr>
          <w:rStyle w:val="FootnoteReference"/>
        </w:rPr>
        <w:footnoteRef/>
      </w:r>
      <w:r>
        <w:t xml:space="preserve"> </w:t>
      </w:r>
      <w:r>
        <w:rPr>
          <w:lang w:val="sr-Cyrl-CS"/>
        </w:rPr>
        <w:t xml:space="preserve">Радосав Маринковић, </w:t>
      </w:r>
      <w:r w:rsidRPr="00C95716">
        <w:rPr>
          <w:b/>
          <w:lang w:val="sr-Cyrl-CS"/>
        </w:rPr>
        <w:t>Формирање цена у тржишној економији</w:t>
      </w:r>
      <w:r>
        <w:rPr>
          <w:lang w:val="sr-Cyrl-CS"/>
        </w:rPr>
        <w:t xml:space="preserve">, Економски факултет, Институт за економска истраживања, Крагујевац, 1998, стр. 110. (у:Горан Милошевић, </w:t>
      </w:r>
      <w:r w:rsidRPr="00421A83">
        <w:rPr>
          <w:b/>
          <w:lang w:val="sr-Cyrl-CS"/>
        </w:rPr>
        <w:t>Порез и избегавање пореза</w:t>
      </w:r>
      <w:r>
        <w:rPr>
          <w:lang w:val="sr-Cyrl-CS"/>
        </w:rPr>
        <w:t xml:space="preserve">, </w:t>
      </w:r>
      <w:r w:rsidRPr="005640AB">
        <w:rPr>
          <w:rFonts w:asciiTheme="minorHAnsi" w:hAnsiTheme="minorHAnsi"/>
          <w:lang w:eastAsia="en-US"/>
        </w:rPr>
        <w:t>ЈП “Службени лист СЦГ”, Београд, 2005</w:t>
      </w:r>
      <w:r>
        <w:rPr>
          <w:rFonts w:asciiTheme="minorHAnsi" w:hAnsiTheme="minorHAnsi"/>
          <w:lang w:val="sr-Cyrl-CS" w:eastAsia="en-US"/>
        </w:rPr>
        <w:t>, стр. 169).</w:t>
      </w:r>
    </w:p>
  </w:footnote>
  <w:footnote w:id="149">
    <w:p w:rsidR="00767127" w:rsidRPr="00293AD4" w:rsidRDefault="00767127" w:rsidP="00293AD4">
      <w:pPr>
        <w:pStyle w:val="FootnoteText"/>
        <w:jc w:val="both"/>
        <w:rPr>
          <w:lang w:val="sr-Cyrl-CS"/>
        </w:rPr>
      </w:pPr>
      <w:r>
        <w:rPr>
          <w:rStyle w:val="FootnoteReference"/>
        </w:rPr>
        <w:footnoteRef/>
      </w:r>
      <w:r>
        <w:t xml:space="preserve"> </w:t>
      </w:r>
      <w:r>
        <w:rPr>
          <w:lang w:val="sr-Cyrl-CS"/>
        </w:rPr>
        <w:t xml:space="preserve">Радосав Маринковић, </w:t>
      </w:r>
      <w:r w:rsidRPr="00C95716">
        <w:rPr>
          <w:b/>
          <w:lang w:val="sr-Cyrl-CS"/>
        </w:rPr>
        <w:t>Формирање цена у тржишној економији</w:t>
      </w:r>
      <w:r>
        <w:rPr>
          <w:lang w:val="sr-Cyrl-CS"/>
        </w:rPr>
        <w:t xml:space="preserve">, Економски факултет, Институт за економска истраживања, Крагујевац, 1998, стр. 95. (у:Горан Милошевић, </w:t>
      </w:r>
      <w:r w:rsidRPr="00421A83">
        <w:rPr>
          <w:b/>
          <w:lang w:val="sr-Cyrl-CS"/>
        </w:rPr>
        <w:t>Порез и избегавање пореза</w:t>
      </w:r>
      <w:r>
        <w:rPr>
          <w:lang w:val="sr-Cyrl-CS"/>
        </w:rPr>
        <w:t xml:space="preserve">, </w:t>
      </w:r>
      <w:r w:rsidRPr="005640AB">
        <w:rPr>
          <w:rFonts w:asciiTheme="minorHAnsi" w:hAnsiTheme="minorHAnsi"/>
          <w:lang w:eastAsia="en-US"/>
        </w:rPr>
        <w:t>ЈП “Службени лист СЦГ”, Београд, 2005</w:t>
      </w:r>
      <w:r>
        <w:rPr>
          <w:rFonts w:asciiTheme="minorHAnsi" w:hAnsiTheme="minorHAnsi"/>
          <w:lang w:val="sr-Cyrl-CS" w:eastAsia="en-US"/>
        </w:rPr>
        <w:t>, стр. 171-172).</w:t>
      </w:r>
    </w:p>
  </w:footnote>
  <w:footnote w:id="150">
    <w:p w:rsidR="00767127" w:rsidRPr="008839C7" w:rsidRDefault="00767127" w:rsidP="0030688A">
      <w:pPr>
        <w:pStyle w:val="FootnoteText"/>
        <w:jc w:val="both"/>
        <w:rPr>
          <w:lang w:val="sr-Cyrl-CS"/>
        </w:rPr>
      </w:pPr>
      <w:r>
        <w:rPr>
          <w:rStyle w:val="FootnoteReference"/>
        </w:rPr>
        <w:footnoteRef/>
      </w:r>
      <w:r>
        <w:t xml:space="preserve"> </w:t>
      </w:r>
      <w:r>
        <w:rPr>
          <w:lang w:val="sr-Cyrl-CS"/>
        </w:rPr>
        <w:t xml:space="preserve">Жарко Ристић и Комазец Слободан, </w:t>
      </w:r>
      <w:r w:rsidRPr="00BF318D">
        <w:rPr>
          <w:b/>
          <w:lang w:val="sr-Cyrl-CS"/>
        </w:rPr>
        <w:t>Макроекономија</w:t>
      </w:r>
      <w:r>
        <w:rPr>
          <w:lang w:val="sr-Cyrl-CS"/>
        </w:rPr>
        <w:t xml:space="preserve">, Етностил, Београд, 2009, стр. 137. (Извор: </w:t>
      </w:r>
      <w:hyperlink r:id="rId21" w:history="1">
        <w:r w:rsidRPr="00ED4C04">
          <w:rPr>
            <w:rStyle w:val="Hyperlink"/>
            <w:lang w:val="sr-Cyrl-CS"/>
          </w:rPr>
          <w:t>http://omdonfg.com</w:t>
        </w:r>
      </w:hyperlink>
      <w:r>
        <w:rPr>
          <w:lang w:val="sr-Cyrl-CS"/>
        </w:rPr>
        <w:t xml:space="preserve"> ).</w:t>
      </w:r>
    </w:p>
  </w:footnote>
  <w:footnote w:id="151">
    <w:p w:rsidR="00767127" w:rsidRPr="00C6772E" w:rsidRDefault="00767127" w:rsidP="00293AD4">
      <w:pPr>
        <w:pStyle w:val="FootnoteText"/>
        <w:jc w:val="both"/>
        <w:rPr>
          <w:lang w:val="sr-Cyrl-CS"/>
        </w:rPr>
      </w:pPr>
      <w:r>
        <w:rPr>
          <w:rStyle w:val="FootnoteReference"/>
        </w:rPr>
        <w:footnoteRef/>
      </w:r>
      <w:r>
        <w:t xml:space="preserve"> Richard Musgrave, </w:t>
      </w:r>
      <w:r w:rsidRPr="00BF318D">
        <w:rPr>
          <w:b/>
        </w:rPr>
        <w:t xml:space="preserve">Теорија јавних финансија: </w:t>
      </w:r>
      <w:r w:rsidRPr="00BF318D">
        <w:rPr>
          <w:b/>
          <w:lang w:val="sr-Cyrl-CS"/>
        </w:rPr>
        <w:t>студија из области јавне привреде</w:t>
      </w:r>
      <w:r>
        <w:rPr>
          <w:lang w:val="sr-Cyrl-CS"/>
        </w:rPr>
        <w:t>, Научна књига, Београд, 1973, стр. 193.</w:t>
      </w:r>
    </w:p>
  </w:footnote>
  <w:footnote w:id="152">
    <w:p w:rsidR="00767127" w:rsidRPr="00385A5A" w:rsidRDefault="00767127" w:rsidP="001E6839">
      <w:pPr>
        <w:pStyle w:val="FootnoteText"/>
        <w:rPr>
          <w:lang w:val="sr-Cyrl-CS"/>
        </w:rPr>
      </w:pPr>
      <w:r>
        <w:rPr>
          <w:rStyle w:val="FootnoteReference"/>
        </w:rPr>
        <w:footnoteRef/>
      </w:r>
      <w:r>
        <w:t xml:space="preserve"> </w:t>
      </w:r>
      <w:r>
        <w:rPr>
          <w:i/>
          <w:lang w:val="sr-Cyrl-CS"/>
        </w:rPr>
        <w:t xml:space="preserve">Нав. дело, </w:t>
      </w:r>
      <w:r>
        <w:rPr>
          <w:lang w:val="sr-Cyrl-CS"/>
        </w:rPr>
        <w:t xml:space="preserve"> стр. 217.</w:t>
      </w:r>
    </w:p>
  </w:footnote>
  <w:footnote w:id="153">
    <w:p w:rsidR="00767127" w:rsidRPr="00FE4B7B" w:rsidRDefault="00767127" w:rsidP="00421A83">
      <w:pPr>
        <w:pStyle w:val="FootnoteText"/>
        <w:jc w:val="both"/>
        <w:rPr>
          <w:lang w:val="sr-Cyrl-CS"/>
        </w:rPr>
      </w:pPr>
      <w:r>
        <w:rPr>
          <w:rStyle w:val="FootnoteReference"/>
        </w:rPr>
        <w:footnoteRef/>
      </w:r>
      <w:r>
        <w:t xml:space="preserve"> </w:t>
      </w:r>
      <w:r>
        <w:rPr>
          <w:lang w:val="sr-Cyrl-CS"/>
        </w:rPr>
        <w:t xml:space="preserve">Александар Перић, </w:t>
      </w:r>
      <w:r w:rsidRPr="00BF318D">
        <w:rPr>
          <w:b/>
          <w:lang w:val="sr-Cyrl-CS"/>
        </w:rPr>
        <w:t>Финансијска теорија и политика</w:t>
      </w:r>
      <w:r>
        <w:rPr>
          <w:lang w:val="sr-Cyrl-CS"/>
        </w:rPr>
        <w:t>, Савремена администрација, Инстистут за економска истраживања, Београд, 1987, стр. 296.</w:t>
      </w:r>
    </w:p>
  </w:footnote>
  <w:footnote w:id="154">
    <w:p w:rsidR="00767127" w:rsidRPr="00160B76" w:rsidRDefault="00767127" w:rsidP="00960BF6">
      <w:pPr>
        <w:pStyle w:val="FootnoteText"/>
        <w:rPr>
          <w:lang w:val="sr-Cyrl-CS"/>
        </w:rPr>
      </w:pPr>
      <w:r>
        <w:rPr>
          <w:rStyle w:val="FootnoteReference"/>
        </w:rPr>
        <w:footnoteRef/>
      </w:r>
      <w:r>
        <w:t xml:space="preserve"> </w:t>
      </w:r>
      <w:r>
        <w:rPr>
          <w:lang w:val="sr-Cyrl-CS"/>
        </w:rPr>
        <w:t xml:space="preserve">Драган Јовашевић и Марина Гајић-Гламочија, </w:t>
      </w:r>
      <w:r>
        <w:rPr>
          <w:i/>
          <w:lang w:val="sr-Cyrl-CS"/>
        </w:rPr>
        <w:t xml:space="preserve">нав. дело, </w:t>
      </w:r>
      <w:r>
        <w:rPr>
          <w:lang w:val="sr-Cyrl-CS"/>
        </w:rPr>
        <w:t xml:space="preserve"> стр. 101-104.</w:t>
      </w:r>
    </w:p>
  </w:footnote>
  <w:footnote w:id="155">
    <w:p w:rsidR="00767127" w:rsidRPr="00F858AB" w:rsidRDefault="00767127" w:rsidP="001E6839">
      <w:pPr>
        <w:pStyle w:val="FootnoteText"/>
        <w:rPr>
          <w:lang w:val="sr-Cyrl-CS"/>
        </w:rPr>
      </w:pPr>
      <w:r>
        <w:rPr>
          <w:rStyle w:val="FootnoteReference"/>
        </w:rPr>
        <w:footnoteRef/>
      </w:r>
      <w:r>
        <w:t xml:space="preserve"> </w:t>
      </w:r>
      <w:r>
        <w:rPr>
          <w:lang w:val="sr-Cyrl-CS"/>
        </w:rPr>
        <w:t xml:space="preserve">Милева Анђелковић и Драган Јовашевић, </w:t>
      </w:r>
      <w:r>
        <w:rPr>
          <w:i/>
          <w:lang w:val="sr-Cyrl-CS"/>
        </w:rPr>
        <w:t xml:space="preserve">нав. дело, </w:t>
      </w:r>
      <w:r>
        <w:rPr>
          <w:lang w:val="sr-Cyrl-CS"/>
        </w:rPr>
        <w:t xml:space="preserve"> стр. 109-110.</w:t>
      </w:r>
    </w:p>
  </w:footnote>
  <w:footnote w:id="156">
    <w:p w:rsidR="00767127" w:rsidRPr="00D63F6D" w:rsidRDefault="00767127" w:rsidP="001E6839">
      <w:pPr>
        <w:pStyle w:val="FootnoteText"/>
        <w:rPr>
          <w:lang w:val="sr-Cyrl-CS"/>
        </w:rPr>
      </w:pPr>
      <w:r>
        <w:rPr>
          <w:rStyle w:val="FootnoteReference"/>
        </w:rPr>
        <w:footnoteRef/>
      </w:r>
      <w:r>
        <w:t xml:space="preserve"> </w:t>
      </w:r>
      <w:r>
        <w:rPr>
          <w:lang w:val="sr-Cyrl-CS"/>
        </w:rPr>
        <w:t xml:space="preserve">Мићо Бошковић и Божидар Бановић, </w:t>
      </w:r>
      <w:r>
        <w:rPr>
          <w:b/>
          <w:lang w:val="sr-Cyrl-CS"/>
        </w:rPr>
        <w:t>Криминалистика</w:t>
      </w:r>
      <w:r w:rsidRPr="00A37613">
        <w:rPr>
          <w:b/>
          <w:lang w:val="sr-Cyrl-CS"/>
        </w:rPr>
        <w:t xml:space="preserve"> методика</w:t>
      </w:r>
      <w:r>
        <w:rPr>
          <w:lang w:val="sr-Cyrl-CS"/>
        </w:rPr>
        <w:t>, Виша школа унутрашњих послова, Београд, 2001, стр. 288.</w:t>
      </w:r>
    </w:p>
  </w:footnote>
  <w:footnote w:id="157">
    <w:p w:rsidR="00767127" w:rsidRPr="00BF318D" w:rsidRDefault="00767127" w:rsidP="002A31FD">
      <w:pPr>
        <w:pStyle w:val="FootnoteText"/>
        <w:jc w:val="both"/>
      </w:pPr>
      <w:r>
        <w:rPr>
          <w:rStyle w:val="FootnoteReference"/>
        </w:rPr>
        <w:footnoteRef/>
      </w:r>
      <w:r>
        <w:t xml:space="preserve"> </w:t>
      </w:r>
      <w:r>
        <w:rPr>
          <w:lang w:val="sr-Cyrl-CS"/>
        </w:rPr>
        <w:t xml:space="preserve">Горан Милошевић, </w:t>
      </w:r>
      <w:r>
        <w:rPr>
          <w:b/>
          <w:lang w:val="sr-Cyrl-CS"/>
        </w:rPr>
        <w:t>Порез и избегавање пореза</w:t>
      </w:r>
      <w:r>
        <w:rPr>
          <w:lang w:val="sr-Cyrl-CS"/>
        </w:rPr>
        <w:t xml:space="preserve">, </w:t>
      </w:r>
      <w:r w:rsidRPr="00B748D9">
        <w:rPr>
          <w:lang w:val="sr-Cyrl-CS"/>
        </w:rPr>
        <w:t>Службени лист СЦГ</w:t>
      </w:r>
      <w:r>
        <w:rPr>
          <w:lang w:val="sr-Cyrl-CS"/>
        </w:rPr>
        <w:t xml:space="preserve">, </w:t>
      </w:r>
      <w:r>
        <w:t xml:space="preserve">Београд, </w:t>
      </w:r>
      <w:r>
        <w:rPr>
          <w:lang w:val="sr-Cyrl-CS"/>
        </w:rPr>
        <w:t xml:space="preserve">2005, стр. 232-234. </w:t>
      </w:r>
    </w:p>
  </w:footnote>
  <w:footnote w:id="158">
    <w:p w:rsidR="00767127" w:rsidRPr="00BE31F5" w:rsidRDefault="00767127" w:rsidP="001E6839">
      <w:pPr>
        <w:pStyle w:val="FootnoteText"/>
      </w:pPr>
      <w:r>
        <w:rPr>
          <w:rStyle w:val="FootnoteReference"/>
        </w:rPr>
        <w:footnoteRef/>
      </w:r>
      <w:r>
        <w:t xml:space="preserve"> </w:t>
      </w:r>
      <w:r>
        <w:rPr>
          <w:lang w:val="sr-Cyrl-CS"/>
        </w:rPr>
        <w:t xml:space="preserve">Горан Милошевић, </w:t>
      </w:r>
      <w:r w:rsidRPr="00447359">
        <w:rPr>
          <w:b/>
          <w:lang w:val="sr-Cyrl-CS"/>
        </w:rPr>
        <w:t>Евазија пореза</w:t>
      </w:r>
      <w:r>
        <w:rPr>
          <w:lang w:val="sr-Cyrl-CS"/>
        </w:rPr>
        <w:t xml:space="preserve">, </w:t>
      </w:r>
      <w:r w:rsidRPr="00447359">
        <w:rPr>
          <w:i/>
          <w:lang w:val="sr-Cyrl-CS"/>
        </w:rPr>
        <w:t>Наука, безбедност, полиција</w:t>
      </w:r>
      <w:r>
        <w:rPr>
          <w:lang w:val="sr-Cyrl-CS"/>
        </w:rPr>
        <w:t xml:space="preserve">, часопис Полицијске академије, бр. 2, </w:t>
      </w:r>
      <w:r>
        <w:t xml:space="preserve">Београд, </w:t>
      </w:r>
      <w:r>
        <w:rPr>
          <w:lang w:val="sr-Cyrl-CS"/>
        </w:rPr>
        <w:t>2006, стр. 71.</w:t>
      </w:r>
    </w:p>
  </w:footnote>
  <w:footnote w:id="159">
    <w:p w:rsidR="00767127" w:rsidRPr="002B7EC9" w:rsidRDefault="00767127" w:rsidP="001E6839">
      <w:pPr>
        <w:pStyle w:val="FootnoteText"/>
        <w:rPr>
          <w:lang w:val="sr-Cyrl-CS"/>
        </w:rPr>
      </w:pPr>
      <w:r>
        <w:rPr>
          <w:rStyle w:val="FootnoteReference"/>
        </w:rPr>
        <w:footnoteRef/>
      </w:r>
      <w:r>
        <w:t xml:space="preserve"> </w:t>
      </w:r>
      <w:r>
        <w:rPr>
          <w:lang w:val="sr-Cyrl-CS"/>
        </w:rPr>
        <w:t xml:space="preserve">Миодраг Вуковић, </w:t>
      </w:r>
      <w:r>
        <w:rPr>
          <w:i/>
          <w:lang w:val="sr-Cyrl-CS"/>
        </w:rPr>
        <w:t xml:space="preserve">нав. дело, </w:t>
      </w:r>
      <w:r>
        <w:rPr>
          <w:lang w:val="sr-Cyrl-CS"/>
        </w:rPr>
        <w:t xml:space="preserve"> стр. 139.</w:t>
      </w:r>
    </w:p>
    <w:p w:rsidR="00767127" w:rsidRPr="00C4317C" w:rsidRDefault="00767127" w:rsidP="001E6839">
      <w:pPr>
        <w:pStyle w:val="FootnoteText"/>
        <w:rPr>
          <w:lang w:val="sr-Cyrl-CS"/>
        </w:rPr>
      </w:pPr>
    </w:p>
  </w:footnote>
  <w:footnote w:id="160">
    <w:p w:rsidR="00767127" w:rsidRPr="00605DE7" w:rsidRDefault="00767127" w:rsidP="00421A83">
      <w:pPr>
        <w:pStyle w:val="FootnoteText"/>
        <w:jc w:val="both"/>
        <w:rPr>
          <w:lang w:val="sr-Cyrl-CS"/>
        </w:rPr>
      </w:pPr>
      <w:r>
        <w:rPr>
          <w:rStyle w:val="FootnoteReference"/>
        </w:rPr>
        <w:footnoteRef/>
      </w:r>
      <w:r>
        <w:t xml:space="preserve"> </w:t>
      </w:r>
      <w:r>
        <w:rPr>
          <w:lang w:val="sr-Cyrl-CS"/>
        </w:rPr>
        <w:t xml:space="preserve">Божидар Јелчић, </w:t>
      </w:r>
      <w:r w:rsidRPr="0093628E">
        <w:rPr>
          <w:b/>
          <w:lang w:val="sr-Cyrl-CS"/>
        </w:rPr>
        <w:t>Развој јавних фина</w:t>
      </w:r>
      <w:r>
        <w:rPr>
          <w:b/>
          <w:lang w:val="sr-Cyrl-CS"/>
        </w:rPr>
        <w:t>нц</w:t>
      </w:r>
      <w:r w:rsidRPr="0093628E">
        <w:rPr>
          <w:b/>
          <w:lang w:val="sr-Cyrl-CS"/>
        </w:rPr>
        <w:t>ија у Југославији</w:t>
      </w:r>
      <w:r>
        <w:rPr>
          <w:lang w:val="sr-Cyrl-CS"/>
        </w:rPr>
        <w:t xml:space="preserve">, Правни факултет Универзитета у Загребу, Загреб, 1985, стр.6 (у: Драгутин Радосављевић, </w:t>
      </w:r>
      <w:r w:rsidRPr="000F30C5">
        <w:rPr>
          <w:b/>
          <w:lang w:val="sr-Cyrl-CS"/>
        </w:rPr>
        <w:t>Општинске финансије</w:t>
      </w:r>
      <w:r>
        <w:rPr>
          <w:lang w:val="sr-Cyrl-CS"/>
        </w:rPr>
        <w:t xml:space="preserve">, Годишњак бр. 6, ФПН, Београд, децембар 2011, стр. 199, извор: </w:t>
      </w:r>
      <w:hyperlink r:id="rId22" w:history="1">
        <w:r w:rsidRPr="00F41C63">
          <w:rPr>
            <w:rStyle w:val="Hyperlink"/>
            <w:lang w:val="sr-Cyrl-CS"/>
          </w:rPr>
          <w:t>http://www.fpn.bg.ac.rs</w:t>
        </w:r>
      </w:hyperlink>
      <w:r>
        <w:rPr>
          <w:lang w:val="sr-Cyrl-CS"/>
        </w:rPr>
        <w:t xml:space="preserve"> ).</w:t>
      </w:r>
    </w:p>
  </w:footnote>
  <w:footnote w:id="161">
    <w:p w:rsidR="00767127" w:rsidRPr="00126407" w:rsidRDefault="00767127">
      <w:pPr>
        <w:pStyle w:val="FootnoteText"/>
        <w:rPr>
          <w:lang w:val="sr-Cyrl-CS"/>
        </w:rPr>
      </w:pPr>
      <w:r>
        <w:rPr>
          <w:rStyle w:val="FootnoteReference"/>
        </w:rPr>
        <w:footnoteRef/>
      </w:r>
      <w:r>
        <w:t xml:space="preserve"> </w:t>
      </w:r>
      <w:r>
        <w:rPr>
          <w:lang w:val="sr-Cyrl-CS"/>
        </w:rPr>
        <w:t xml:space="preserve">Горан Милошевић, </w:t>
      </w:r>
      <w:r w:rsidRPr="00FE4262">
        <w:rPr>
          <w:b/>
          <w:lang w:val="sr-Cyrl-CS"/>
        </w:rPr>
        <w:t>Порез и избегавање пореза</w:t>
      </w:r>
      <w:r>
        <w:rPr>
          <w:lang w:val="sr-Cyrl-CS"/>
        </w:rPr>
        <w:t>, ЈП „Службени лист СЦГ“, Београд, 2005,  стр.49-51.</w:t>
      </w:r>
    </w:p>
  </w:footnote>
  <w:footnote w:id="162">
    <w:p w:rsidR="00767127" w:rsidRPr="00387E8A" w:rsidRDefault="00767127">
      <w:pPr>
        <w:pStyle w:val="FootnoteText"/>
        <w:rPr>
          <w:lang w:val="sr-Cyrl-CS"/>
        </w:rPr>
      </w:pPr>
      <w:r>
        <w:rPr>
          <w:rStyle w:val="FootnoteReference"/>
        </w:rPr>
        <w:footnoteRef/>
      </w:r>
      <w:r>
        <w:t xml:space="preserve"> </w:t>
      </w:r>
      <w:r w:rsidRPr="00387E8A">
        <w:rPr>
          <w:i/>
          <w:lang w:val="sr-Cyrl-CS"/>
        </w:rPr>
        <w:t>Нав. дело</w:t>
      </w:r>
      <w:r>
        <w:rPr>
          <w:lang w:val="sr-Cyrl-CS"/>
        </w:rPr>
        <w:t>, стр. 51-52.</w:t>
      </w:r>
    </w:p>
  </w:footnote>
  <w:footnote w:id="163">
    <w:p w:rsidR="00767127" w:rsidRPr="004B6F09" w:rsidRDefault="00767127" w:rsidP="00C95F23">
      <w:pPr>
        <w:pStyle w:val="FootnoteText"/>
        <w:rPr>
          <w:lang w:val="sr-Cyrl-CS"/>
        </w:rPr>
      </w:pPr>
      <w:r>
        <w:rPr>
          <w:rStyle w:val="FootnoteReference"/>
        </w:rPr>
        <w:footnoteRef/>
      </w:r>
      <w:r>
        <w:t xml:space="preserve"> </w:t>
      </w:r>
      <w:r>
        <w:rPr>
          <w:lang w:val="sr-Cyrl-CS"/>
        </w:rPr>
        <w:t xml:space="preserve">Момо Кијановић, </w:t>
      </w:r>
      <w:r w:rsidRPr="00387E8A">
        <w:rPr>
          <w:b/>
          <w:lang w:val="sr-Cyrl-CS"/>
        </w:rPr>
        <w:t>Локални јавни приходи у систему јавних прихода Републике Србије</w:t>
      </w:r>
      <w:r>
        <w:rPr>
          <w:lang w:val="sr-Cyrl-CS"/>
        </w:rPr>
        <w:t>, Графокартон, Пријепоље, 1999, стр.28 и 29. (у:  Драгутин Радосављевић, Општинске финансије-појам и историјски развој локалних јавних финансија, Гласник права, Крагујевац, бр. 1, 2010, извор: http://www.jura.kg.ac.rs).</w:t>
      </w:r>
    </w:p>
  </w:footnote>
  <w:footnote w:id="164">
    <w:p w:rsidR="00767127" w:rsidRPr="00426991" w:rsidRDefault="00767127">
      <w:pPr>
        <w:pStyle w:val="FootnoteText"/>
        <w:rPr>
          <w:lang w:val="sr-Cyrl-CS"/>
        </w:rPr>
      </w:pPr>
      <w:r>
        <w:rPr>
          <w:rStyle w:val="FootnoteReference"/>
        </w:rPr>
        <w:footnoteRef/>
      </w:r>
      <w:r>
        <w:t xml:space="preserve"> </w:t>
      </w:r>
      <w:r>
        <w:rPr>
          <w:lang w:val="sr-Cyrl-CS"/>
        </w:rPr>
        <w:t xml:space="preserve">Горан Милошевић, </w:t>
      </w:r>
      <w:r w:rsidRPr="00426991">
        <w:rPr>
          <w:i/>
          <w:lang w:val="sr-Cyrl-CS"/>
        </w:rPr>
        <w:t>нав. дело</w:t>
      </w:r>
      <w:r>
        <w:rPr>
          <w:lang w:val="sr-Cyrl-CS"/>
        </w:rPr>
        <w:t>, стр. 52.</w:t>
      </w:r>
    </w:p>
  </w:footnote>
  <w:footnote w:id="165">
    <w:p w:rsidR="00767127" w:rsidRPr="00E37181" w:rsidRDefault="00767127">
      <w:pPr>
        <w:pStyle w:val="FootnoteText"/>
        <w:rPr>
          <w:lang w:val="sr-Cyrl-CS"/>
        </w:rPr>
      </w:pPr>
      <w:r>
        <w:rPr>
          <w:rStyle w:val="FootnoteReference"/>
        </w:rPr>
        <w:footnoteRef/>
      </w:r>
      <w:r>
        <w:t xml:space="preserve"> </w:t>
      </w:r>
      <w:r>
        <w:rPr>
          <w:lang w:val="sr-Cyrl-CS"/>
        </w:rPr>
        <w:t xml:space="preserve">Горан Милошевић, </w:t>
      </w:r>
      <w:r>
        <w:rPr>
          <w:i/>
          <w:lang w:val="sr-Cyrl-CS"/>
        </w:rPr>
        <w:t xml:space="preserve">нав. дело, </w:t>
      </w:r>
      <w:r>
        <w:rPr>
          <w:lang w:val="sr-Cyrl-CS"/>
        </w:rPr>
        <w:t xml:space="preserve"> стр.53.</w:t>
      </w:r>
    </w:p>
  </w:footnote>
  <w:footnote w:id="166">
    <w:p w:rsidR="00767127" w:rsidRPr="00A16AA4" w:rsidRDefault="00767127">
      <w:pPr>
        <w:pStyle w:val="FootnoteText"/>
        <w:rPr>
          <w:lang w:val="sr-Cyrl-CS"/>
        </w:rPr>
      </w:pPr>
      <w:r>
        <w:rPr>
          <w:rStyle w:val="FootnoteReference"/>
        </w:rPr>
        <w:footnoteRef/>
      </w:r>
      <w:r>
        <w:t xml:space="preserve"> </w:t>
      </w:r>
      <w:r>
        <w:rPr>
          <w:lang w:val="sr-Cyrl-CS"/>
        </w:rPr>
        <w:t>„Службени лист ФНРЈ“, бр. 1/1952.</w:t>
      </w:r>
    </w:p>
  </w:footnote>
  <w:footnote w:id="167">
    <w:p w:rsidR="00767127" w:rsidRPr="00A16AA4" w:rsidRDefault="00767127">
      <w:pPr>
        <w:pStyle w:val="FootnoteText"/>
        <w:rPr>
          <w:lang w:val="sr-Cyrl-CS"/>
        </w:rPr>
      </w:pPr>
      <w:r>
        <w:rPr>
          <w:rStyle w:val="FootnoteReference"/>
        </w:rPr>
        <w:footnoteRef/>
      </w:r>
      <w:r>
        <w:t xml:space="preserve"> </w:t>
      </w:r>
      <w:r>
        <w:rPr>
          <w:lang w:val="sr-Cyrl-CS"/>
        </w:rPr>
        <w:t xml:space="preserve">„Службени лист ФНРЈ“, бр. 58/1951. </w:t>
      </w:r>
    </w:p>
  </w:footnote>
  <w:footnote w:id="168">
    <w:p w:rsidR="00767127" w:rsidRPr="00A16AA4" w:rsidRDefault="00767127" w:rsidP="00DC434C">
      <w:pPr>
        <w:pStyle w:val="FootnoteText"/>
        <w:jc w:val="both"/>
        <w:rPr>
          <w:lang w:val="sr-Cyrl-CS"/>
        </w:rPr>
      </w:pPr>
      <w:r>
        <w:rPr>
          <w:rStyle w:val="FootnoteReference"/>
        </w:rPr>
        <w:footnoteRef/>
      </w:r>
      <w:r>
        <w:t xml:space="preserve"> </w:t>
      </w:r>
      <w:r>
        <w:rPr>
          <w:lang w:val="sr-Cyrl-CS"/>
        </w:rPr>
        <w:t xml:space="preserve">Момо Кијановић, </w:t>
      </w:r>
      <w:r w:rsidRPr="00DC434C">
        <w:rPr>
          <w:i/>
          <w:lang w:val="sr-Cyrl-CS"/>
        </w:rPr>
        <w:t>нав. дело</w:t>
      </w:r>
      <w:r>
        <w:rPr>
          <w:b/>
          <w:lang w:val="sr-Cyrl-CS"/>
        </w:rPr>
        <w:t xml:space="preserve">, </w:t>
      </w:r>
      <w:r>
        <w:rPr>
          <w:lang w:val="sr-Cyrl-CS"/>
        </w:rPr>
        <w:t>стр.32.</w:t>
      </w:r>
      <w:r w:rsidRPr="00DC434C">
        <w:rPr>
          <w:lang w:val="sr-Cyrl-CS"/>
        </w:rPr>
        <w:t xml:space="preserve"> </w:t>
      </w:r>
    </w:p>
  </w:footnote>
  <w:footnote w:id="169">
    <w:p w:rsidR="00767127" w:rsidRPr="004F3947" w:rsidRDefault="00767127">
      <w:pPr>
        <w:pStyle w:val="FootnoteText"/>
        <w:rPr>
          <w:lang w:val="sr-Cyrl-CS"/>
        </w:rPr>
      </w:pPr>
      <w:r>
        <w:rPr>
          <w:rStyle w:val="FootnoteReference"/>
        </w:rPr>
        <w:footnoteRef/>
      </w:r>
      <w:r>
        <w:t xml:space="preserve"> </w:t>
      </w:r>
      <w:r>
        <w:rPr>
          <w:lang w:val="sr-Cyrl-CS"/>
        </w:rPr>
        <w:t xml:space="preserve">Горан Милошевић, </w:t>
      </w:r>
      <w:r w:rsidRPr="00DC434C">
        <w:rPr>
          <w:i/>
          <w:lang w:val="sr-Cyrl-CS"/>
        </w:rPr>
        <w:t>нав. дело</w:t>
      </w:r>
      <w:r>
        <w:rPr>
          <w:lang w:val="sr-Cyrl-CS"/>
        </w:rPr>
        <w:t>, стр.53</w:t>
      </w:r>
    </w:p>
  </w:footnote>
  <w:footnote w:id="170">
    <w:p w:rsidR="00767127" w:rsidRPr="00BC4F8D" w:rsidRDefault="00767127">
      <w:pPr>
        <w:pStyle w:val="FootnoteText"/>
        <w:rPr>
          <w:lang w:val="sr-Cyrl-CS"/>
        </w:rPr>
      </w:pPr>
      <w:r>
        <w:rPr>
          <w:rStyle w:val="FootnoteReference"/>
        </w:rPr>
        <w:footnoteRef/>
      </w:r>
      <w:r>
        <w:t xml:space="preserve"> </w:t>
      </w:r>
      <w:r>
        <w:rPr>
          <w:lang w:val="sr-Cyrl-CS"/>
        </w:rPr>
        <w:t xml:space="preserve">Момо Кијановић, </w:t>
      </w:r>
      <w:r w:rsidRPr="00DC434C">
        <w:rPr>
          <w:i/>
          <w:lang w:val="sr-Cyrl-CS"/>
        </w:rPr>
        <w:t>нав. дело</w:t>
      </w:r>
      <w:r>
        <w:rPr>
          <w:b/>
          <w:lang w:val="sr-Cyrl-CS"/>
        </w:rPr>
        <w:t xml:space="preserve">, </w:t>
      </w:r>
      <w:r>
        <w:rPr>
          <w:lang w:val="sr-Cyrl-CS"/>
        </w:rPr>
        <w:t>стр.42.</w:t>
      </w:r>
      <w:r w:rsidRPr="00DC434C">
        <w:rPr>
          <w:lang w:val="sr-Cyrl-CS"/>
        </w:rPr>
        <w:t xml:space="preserve"> </w:t>
      </w:r>
    </w:p>
  </w:footnote>
  <w:footnote w:id="171">
    <w:p w:rsidR="00767127" w:rsidRPr="00366F7F" w:rsidRDefault="00767127">
      <w:pPr>
        <w:pStyle w:val="FootnoteText"/>
        <w:rPr>
          <w:lang w:val="sr-Cyrl-CS"/>
        </w:rPr>
      </w:pPr>
      <w:r>
        <w:rPr>
          <w:rStyle w:val="FootnoteReference"/>
        </w:rPr>
        <w:footnoteRef/>
      </w:r>
      <w:r>
        <w:t xml:space="preserve"> </w:t>
      </w:r>
      <w:r>
        <w:rPr>
          <w:lang w:val="sr-Cyrl-CS"/>
        </w:rPr>
        <w:t xml:space="preserve">Драгутин Радосављевић, </w:t>
      </w:r>
      <w:r w:rsidRPr="00366F7F">
        <w:rPr>
          <w:b/>
          <w:lang w:val="sr-Cyrl-CS"/>
        </w:rPr>
        <w:t>Општинске финансије</w:t>
      </w:r>
      <w:r>
        <w:rPr>
          <w:lang w:val="sr-Cyrl-CS"/>
        </w:rPr>
        <w:t xml:space="preserve">, Правне основе пореског саветовања, 2009, стр. 204 (извор: </w:t>
      </w:r>
      <w:hyperlink r:id="rId23" w:history="1">
        <w:r w:rsidRPr="00621D42">
          <w:rPr>
            <w:rStyle w:val="Hyperlink"/>
            <w:lang w:val="sr-Cyrl-CS"/>
          </w:rPr>
          <w:t>http://www.fpn.bg.ac.rs</w:t>
        </w:r>
      </w:hyperlink>
      <w:r>
        <w:rPr>
          <w:lang w:val="sr-Cyrl-CS"/>
        </w:rPr>
        <w:t xml:space="preserve"> ).</w:t>
      </w:r>
    </w:p>
  </w:footnote>
  <w:footnote w:id="172">
    <w:p w:rsidR="00767127" w:rsidRPr="000B57A3" w:rsidRDefault="00767127">
      <w:pPr>
        <w:pStyle w:val="FootnoteText"/>
        <w:rPr>
          <w:lang w:val="sr-Cyrl-CS"/>
        </w:rPr>
      </w:pPr>
      <w:r>
        <w:rPr>
          <w:rStyle w:val="FootnoteReference"/>
        </w:rPr>
        <w:footnoteRef/>
      </w:r>
      <w:r>
        <w:t xml:space="preserve"> </w:t>
      </w:r>
      <w:r>
        <w:rPr>
          <w:lang w:val="sr-Cyrl-CS"/>
        </w:rPr>
        <w:t xml:space="preserve">Горан Милошевић, </w:t>
      </w:r>
      <w:r>
        <w:rPr>
          <w:i/>
          <w:lang w:val="sr-Cyrl-CS"/>
        </w:rPr>
        <w:t>нав. дело</w:t>
      </w:r>
      <w:r w:rsidRPr="00806AB2">
        <w:rPr>
          <w:i/>
          <w:lang w:val="sr-Cyrl-CS"/>
        </w:rPr>
        <w:t>,</w:t>
      </w:r>
      <w:r>
        <w:rPr>
          <w:lang w:val="sr-Cyrl-CS"/>
        </w:rPr>
        <w:t xml:space="preserve"> стр.54.</w:t>
      </w:r>
    </w:p>
  </w:footnote>
  <w:footnote w:id="173">
    <w:p w:rsidR="00767127" w:rsidRPr="006122FF" w:rsidRDefault="00767127" w:rsidP="00257392">
      <w:pPr>
        <w:pStyle w:val="FootnoteText"/>
        <w:jc w:val="both"/>
        <w:rPr>
          <w:lang w:val="sr-Cyrl-CS"/>
        </w:rPr>
      </w:pPr>
      <w:r>
        <w:rPr>
          <w:rStyle w:val="FootnoteReference"/>
        </w:rPr>
        <w:footnoteRef/>
      </w:r>
      <w:r>
        <w:t xml:space="preserve"> </w:t>
      </w:r>
      <w:r>
        <w:rPr>
          <w:lang w:val="sr-Cyrl-CS"/>
        </w:rPr>
        <w:t xml:space="preserve">Мирослав Петровић и др., </w:t>
      </w:r>
      <w:r w:rsidRPr="0093628E">
        <w:rPr>
          <w:b/>
          <w:lang w:val="sr-Cyrl-CS"/>
        </w:rPr>
        <w:t>Основе концепције реформе фискалног система</w:t>
      </w:r>
      <w:r>
        <w:rPr>
          <w:lang w:val="sr-Cyrl-CS"/>
        </w:rPr>
        <w:t xml:space="preserve">, </w:t>
      </w:r>
      <w:r w:rsidRPr="006122FF">
        <w:rPr>
          <w:i/>
          <w:lang w:val="sr-Cyrl-CS"/>
        </w:rPr>
        <w:t>Финансије</w:t>
      </w:r>
      <w:r>
        <w:rPr>
          <w:lang w:val="sr-Cyrl-CS"/>
        </w:rPr>
        <w:t>, бр.7-8, Београд, 1989, стр.425.</w:t>
      </w:r>
    </w:p>
  </w:footnote>
  <w:footnote w:id="174">
    <w:p w:rsidR="00767127" w:rsidRPr="0077460E" w:rsidRDefault="00767127" w:rsidP="00DF4092">
      <w:pPr>
        <w:pStyle w:val="FootnoteText"/>
        <w:jc w:val="both"/>
        <w:rPr>
          <w:lang w:val="sr-Cyrl-CS"/>
        </w:rPr>
      </w:pPr>
      <w:r>
        <w:rPr>
          <w:rStyle w:val="FootnoteReference"/>
        </w:rPr>
        <w:footnoteRef/>
      </w:r>
      <w:r>
        <w:rPr>
          <w:lang w:val="sr-Cyrl-CS"/>
        </w:rPr>
        <w:t xml:space="preserve"> Милева Анђелковић и Драган Јовашевић, </w:t>
      </w:r>
      <w:r w:rsidRPr="00DF4092">
        <w:rPr>
          <w:b/>
          <w:lang w:val="sr-Cyrl-CS"/>
        </w:rPr>
        <w:t>Избегавање плаћања пореза: фискални и кривично-правни аспект</w:t>
      </w:r>
      <w:r>
        <w:rPr>
          <w:lang w:val="sr-Cyrl-CS"/>
        </w:rPr>
        <w:t>, Правни факултет Универзитета у Нишу, Ниш, 2006, стр. 9.</w:t>
      </w:r>
    </w:p>
  </w:footnote>
  <w:footnote w:id="175">
    <w:p w:rsidR="00767127" w:rsidRPr="005B1442" w:rsidRDefault="00767127">
      <w:pPr>
        <w:pStyle w:val="FootnoteText"/>
        <w:rPr>
          <w:lang w:val="sr-Cyrl-CS"/>
        </w:rPr>
      </w:pPr>
      <w:r>
        <w:rPr>
          <w:rStyle w:val="FootnoteReference"/>
        </w:rPr>
        <w:footnoteRef/>
      </w:r>
      <w:r>
        <w:t xml:space="preserve"> </w:t>
      </w:r>
      <w:r>
        <w:rPr>
          <w:lang w:val="sr-Cyrl-CS"/>
        </w:rPr>
        <w:t xml:space="preserve"> Вид.: „Службени гласник РС“, бр.76/91, 41/92, 18/93, 37/93, 67/94, и 42/98.</w:t>
      </w:r>
    </w:p>
  </w:footnote>
  <w:footnote w:id="176">
    <w:p w:rsidR="00767127" w:rsidRPr="005B1442" w:rsidRDefault="00767127">
      <w:pPr>
        <w:pStyle w:val="FootnoteText"/>
        <w:rPr>
          <w:lang w:val="sr-Cyrl-CS"/>
        </w:rPr>
      </w:pPr>
      <w:r>
        <w:rPr>
          <w:rStyle w:val="FootnoteReference"/>
        </w:rPr>
        <w:footnoteRef/>
      </w:r>
      <w:r>
        <w:t xml:space="preserve"> </w:t>
      </w:r>
      <w:r>
        <w:rPr>
          <w:lang w:val="sr-Cyrl-CS"/>
        </w:rPr>
        <w:t xml:space="preserve"> Вид.: „Службени гласник РС“, бр.76/91, 20/93, 37/93, 53/93, 67/93, 45/94, 52/96 и 42/98.</w:t>
      </w:r>
    </w:p>
  </w:footnote>
  <w:footnote w:id="177">
    <w:p w:rsidR="00767127" w:rsidRPr="001A2236" w:rsidRDefault="00767127" w:rsidP="00467AE8">
      <w:pPr>
        <w:pStyle w:val="FootnoteText"/>
        <w:jc w:val="both"/>
        <w:rPr>
          <w:lang w:val="sr-Cyrl-CS"/>
        </w:rPr>
      </w:pPr>
      <w:r>
        <w:rPr>
          <w:rStyle w:val="FootnoteReference"/>
        </w:rPr>
        <w:footnoteRef/>
      </w:r>
      <w:r>
        <w:t xml:space="preserve"> </w:t>
      </w:r>
      <w:r>
        <w:rPr>
          <w:lang w:val="sr-Cyrl-CS"/>
        </w:rPr>
        <w:t xml:space="preserve">Божидар Раичевић, </w:t>
      </w:r>
      <w:r w:rsidRPr="0093628E">
        <w:rPr>
          <w:b/>
          <w:lang w:val="sr-Cyrl-CS"/>
        </w:rPr>
        <w:t>Нови порески систем Републике Србије</w:t>
      </w:r>
      <w:r>
        <w:rPr>
          <w:lang w:val="sr-Cyrl-CS"/>
        </w:rPr>
        <w:t xml:space="preserve">, </w:t>
      </w:r>
      <w:r w:rsidRPr="00467AE8">
        <w:rPr>
          <w:i/>
          <w:lang w:val="sr-Cyrl-CS"/>
        </w:rPr>
        <w:t>Индустрија:</w:t>
      </w:r>
      <w:r>
        <w:rPr>
          <w:lang w:val="sr-Cyrl-CS"/>
        </w:rPr>
        <w:t xml:space="preserve"> </w:t>
      </w:r>
      <w:r>
        <w:rPr>
          <w:i/>
          <w:lang w:val="sr-Cyrl-CS"/>
        </w:rPr>
        <w:t>ч</w:t>
      </w:r>
      <w:r w:rsidRPr="001A2236">
        <w:rPr>
          <w:i/>
          <w:lang w:val="sr-Cyrl-CS"/>
        </w:rPr>
        <w:t>асопис за економику индустрије</w:t>
      </w:r>
      <w:r>
        <w:rPr>
          <w:lang w:val="sr-Cyrl-CS"/>
        </w:rPr>
        <w:t>, бр.4, 1991, стр. 5.</w:t>
      </w:r>
    </w:p>
  </w:footnote>
  <w:footnote w:id="178">
    <w:p w:rsidR="00767127" w:rsidRPr="00AA6AAD" w:rsidRDefault="00767127">
      <w:pPr>
        <w:pStyle w:val="FootnoteText"/>
        <w:rPr>
          <w:lang w:val="sr-Cyrl-CS"/>
        </w:rPr>
      </w:pPr>
      <w:r>
        <w:rPr>
          <w:rStyle w:val="FootnoteReference"/>
        </w:rPr>
        <w:footnoteRef/>
      </w:r>
      <w:r>
        <w:t xml:space="preserve"> </w:t>
      </w:r>
      <w:r>
        <w:rPr>
          <w:lang w:val="sr-Cyrl-CS"/>
        </w:rPr>
        <w:t xml:space="preserve">Божидар Раичевић и др., </w:t>
      </w:r>
      <w:r w:rsidRPr="00144339">
        <w:rPr>
          <w:b/>
          <w:lang w:val="sr-Cyrl-CS"/>
        </w:rPr>
        <w:t>Систем јавних прихода и јавних расхода у Републици Србији: са пореским и другим законима</w:t>
      </w:r>
      <w:r>
        <w:rPr>
          <w:lang w:val="sr-Cyrl-CS"/>
        </w:rPr>
        <w:t>, ЈП „Службени гласник“, Београд, 1994, стр.7.</w:t>
      </w:r>
    </w:p>
  </w:footnote>
  <w:footnote w:id="179">
    <w:p w:rsidR="00767127" w:rsidRPr="001A2E71" w:rsidRDefault="00767127">
      <w:pPr>
        <w:pStyle w:val="FootnoteText"/>
        <w:rPr>
          <w:lang w:val="sr-Cyrl-CS"/>
        </w:rPr>
      </w:pPr>
      <w:r>
        <w:rPr>
          <w:rStyle w:val="FootnoteReference"/>
        </w:rPr>
        <w:footnoteRef/>
      </w:r>
      <w:r>
        <w:t xml:space="preserve"> </w:t>
      </w:r>
      <w:r>
        <w:rPr>
          <w:lang w:val="sr-Cyrl-CS"/>
        </w:rPr>
        <w:t>Види: Службени лист СРЈ, бр. 30/96, 29/97,  12/98 и 59/98.</w:t>
      </w:r>
    </w:p>
  </w:footnote>
  <w:footnote w:id="180">
    <w:p w:rsidR="00767127" w:rsidRPr="008E60D4" w:rsidRDefault="00767127">
      <w:pPr>
        <w:pStyle w:val="FootnoteText"/>
        <w:rPr>
          <w:lang w:val="sr-Cyrl-CS"/>
        </w:rPr>
      </w:pPr>
      <w:r>
        <w:rPr>
          <w:rStyle w:val="FootnoteReference"/>
        </w:rPr>
        <w:footnoteRef/>
      </w:r>
      <w:r>
        <w:t xml:space="preserve"> </w:t>
      </w:r>
      <w:r>
        <w:rPr>
          <w:lang w:val="sr-Cyrl-CS"/>
        </w:rPr>
        <w:t xml:space="preserve">Горан Милошевић, </w:t>
      </w:r>
      <w:r>
        <w:rPr>
          <w:i/>
          <w:lang w:val="sr-Cyrl-CS"/>
        </w:rPr>
        <w:t xml:space="preserve">нав. дело, </w:t>
      </w:r>
      <w:r>
        <w:rPr>
          <w:lang w:val="sr-Cyrl-CS"/>
        </w:rPr>
        <w:t xml:space="preserve"> стр.61.</w:t>
      </w:r>
    </w:p>
  </w:footnote>
  <w:footnote w:id="181">
    <w:p w:rsidR="00767127" w:rsidRPr="00AB33D8" w:rsidRDefault="00767127">
      <w:pPr>
        <w:pStyle w:val="FootnoteText"/>
        <w:rPr>
          <w:lang w:val="sr-Cyrl-CS"/>
        </w:rPr>
      </w:pPr>
      <w:r>
        <w:rPr>
          <w:rStyle w:val="FootnoteReference"/>
        </w:rPr>
        <w:footnoteRef/>
      </w:r>
      <w:r>
        <w:t xml:space="preserve"> </w:t>
      </w:r>
      <w:r>
        <w:rPr>
          <w:lang w:val="sr-Cyrl-CS"/>
        </w:rPr>
        <w:t>Вид.: „Службени гласник РС“, бр. 22/01, 33/04 и 135/04.</w:t>
      </w:r>
    </w:p>
  </w:footnote>
  <w:footnote w:id="182">
    <w:p w:rsidR="00767127" w:rsidRPr="00BE7D2E" w:rsidRDefault="00767127">
      <w:pPr>
        <w:pStyle w:val="FootnoteText"/>
        <w:rPr>
          <w:lang w:val="sr-Cyrl-CS"/>
        </w:rPr>
      </w:pPr>
      <w:r>
        <w:rPr>
          <w:rStyle w:val="FootnoteReference"/>
        </w:rPr>
        <w:footnoteRef/>
      </w:r>
      <w:r>
        <w:t xml:space="preserve"> </w:t>
      </w:r>
      <w:r>
        <w:rPr>
          <w:lang w:val="sr-Cyrl-CS"/>
        </w:rPr>
        <w:t>Вид.: „Службени гласник РС“, бр. 27/01.</w:t>
      </w:r>
    </w:p>
  </w:footnote>
  <w:footnote w:id="183">
    <w:p w:rsidR="00767127" w:rsidRPr="00877907" w:rsidRDefault="00767127">
      <w:pPr>
        <w:pStyle w:val="FootnoteText"/>
        <w:rPr>
          <w:lang w:val="sr-Cyrl-CS"/>
        </w:rPr>
      </w:pPr>
      <w:r>
        <w:rPr>
          <w:rStyle w:val="FootnoteReference"/>
        </w:rPr>
        <w:footnoteRef/>
      </w:r>
      <w:r>
        <w:t xml:space="preserve"> </w:t>
      </w:r>
      <w:r>
        <w:rPr>
          <w:lang w:val="sr-Cyrl-CS"/>
        </w:rPr>
        <w:t>Вид.: „Службени гласник РС“, бр. 22/01, 42/01 и 61/01, 73/01, 5/02, 24/02, 45/02, 69/02, 80/02, 15/03, 43/03, 56/03 , 72/03, 93/03,  2/04,  43/04,  55/04, 78/04, 116/04 и 13/50.</w:t>
      </w:r>
    </w:p>
  </w:footnote>
  <w:footnote w:id="184">
    <w:p w:rsidR="00767127" w:rsidRPr="00877907" w:rsidRDefault="00767127">
      <w:pPr>
        <w:pStyle w:val="FootnoteText"/>
        <w:rPr>
          <w:lang w:val="sr-Cyrl-CS"/>
        </w:rPr>
      </w:pPr>
      <w:r>
        <w:rPr>
          <w:rStyle w:val="FootnoteReference"/>
        </w:rPr>
        <w:footnoteRef/>
      </w:r>
      <w:r>
        <w:t xml:space="preserve"> </w:t>
      </w:r>
      <w:r>
        <w:rPr>
          <w:lang w:val="sr-Cyrl-CS"/>
        </w:rPr>
        <w:t>Вид.: „Службени гласник РС“, бр. 22/01, 73/01, 80/02, 70/03 и 84/04.</w:t>
      </w:r>
    </w:p>
  </w:footnote>
  <w:footnote w:id="185">
    <w:p w:rsidR="00767127" w:rsidRPr="00877907" w:rsidRDefault="00767127">
      <w:pPr>
        <w:pStyle w:val="FootnoteText"/>
        <w:rPr>
          <w:lang w:val="sr-Cyrl-CS"/>
        </w:rPr>
      </w:pPr>
      <w:r>
        <w:rPr>
          <w:rStyle w:val="FootnoteReference"/>
        </w:rPr>
        <w:footnoteRef/>
      </w:r>
      <w:r>
        <w:t xml:space="preserve"> </w:t>
      </w:r>
      <w:r>
        <w:rPr>
          <w:lang w:val="sr-Cyrl-CS"/>
        </w:rPr>
        <w:t>Вид.: „Службени гласник РС“, бр. 24/01, 80/02 и 135/04.</w:t>
      </w:r>
    </w:p>
  </w:footnote>
  <w:footnote w:id="186">
    <w:p w:rsidR="00767127" w:rsidRPr="00877907" w:rsidRDefault="00767127">
      <w:pPr>
        <w:pStyle w:val="FootnoteText"/>
        <w:rPr>
          <w:lang w:val="sr-Cyrl-CS"/>
        </w:rPr>
      </w:pPr>
      <w:r>
        <w:rPr>
          <w:rStyle w:val="FootnoteReference"/>
        </w:rPr>
        <w:footnoteRef/>
      </w:r>
      <w:r>
        <w:t xml:space="preserve"> </w:t>
      </w:r>
      <w:r>
        <w:rPr>
          <w:lang w:val="sr-Cyrl-CS"/>
        </w:rPr>
        <w:t>Вид.: „Службени гласник РС“, бр. 25/01, 80/02,  43/03 и 84/04.</w:t>
      </w:r>
    </w:p>
  </w:footnote>
  <w:footnote w:id="187">
    <w:p w:rsidR="00767127" w:rsidRPr="00877907" w:rsidRDefault="00767127">
      <w:pPr>
        <w:pStyle w:val="FootnoteText"/>
        <w:rPr>
          <w:lang w:val="sr-Cyrl-CS"/>
        </w:rPr>
      </w:pPr>
      <w:r>
        <w:rPr>
          <w:rStyle w:val="FootnoteReference"/>
        </w:rPr>
        <w:footnoteRef/>
      </w:r>
      <w:r>
        <w:t xml:space="preserve"> </w:t>
      </w:r>
      <w:r>
        <w:rPr>
          <w:lang w:val="sr-Cyrl-CS"/>
        </w:rPr>
        <w:t>Вид.: „Службени гласник РС“, бр. 26/01, 45/02,  80/02 и 135/04.</w:t>
      </w:r>
    </w:p>
  </w:footnote>
  <w:footnote w:id="188">
    <w:p w:rsidR="00767127" w:rsidRPr="007836A5" w:rsidRDefault="00767127">
      <w:pPr>
        <w:pStyle w:val="FootnoteText"/>
        <w:rPr>
          <w:lang w:val="sr-Cyrl-CS"/>
        </w:rPr>
      </w:pPr>
      <w:r>
        <w:rPr>
          <w:rStyle w:val="FootnoteReference"/>
        </w:rPr>
        <w:footnoteRef/>
      </w:r>
      <w:r>
        <w:t xml:space="preserve"> </w:t>
      </w:r>
      <w:r>
        <w:rPr>
          <w:lang w:val="sr-Cyrl-CS"/>
        </w:rPr>
        <w:t>Вид.: „Службени гласник РС“, бр. 26/01, 80/02,  43/04 и 132/04.</w:t>
      </w:r>
    </w:p>
  </w:footnote>
  <w:footnote w:id="189">
    <w:p w:rsidR="00767127" w:rsidRPr="007836A5" w:rsidRDefault="00767127">
      <w:pPr>
        <w:pStyle w:val="FootnoteText"/>
        <w:rPr>
          <w:lang w:val="sr-Cyrl-CS"/>
        </w:rPr>
      </w:pPr>
      <w:r>
        <w:rPr>
          <w:rStyle w:val="FootnoteReference"/>
        </w:rPr>
        <w:footnoteRef/>
      </w:r>
      <w:r>
        <w:t xml:space="preserve"> </w:t>
      </w:r>
      <w:r>
        <w:rPr>
          <w:lang w:val="sr-Cyrl-CS"/>
        </w:rPr>
        <w:t>Вид.: „Службени гласник РС“, бр. 26/01, 35/02,  43/03 и 43/04.</w:t>
      </w:r>
    </w:p>
  </w:footnote>
  <w:footnote w:id="190">
    <w:p w:rsidR="00767127" w:rsidRPr="00BE7D2E" w:rsidRDefault="00767127">
      <w:pPr>
        <w:pStyle w:val="FootnoteText"/>
        <w:rPr>
          <w:lang w:val="sr-Cyrl-CS"/>
        </w:rPr>
      </w:pPr>
      <w:r>
        <w:rPr>
          <w:rStyle w:val="FootnoteReference"/>
        </w:rPr>
        <w:footnoteRef/>
      </w:r>
      <w:r>
        <w:t xml:space="preserve"> </w:t>
      </w:r>
      <w:r>
        <w:rPr>
          <w:lang w:val="sr-Cyrl-CS"/>
        </w:rPr>
        <w:t>Вид.: „Службени гласник РС“, бр. 27/01.</w:t>
      </w:r>
    </w:p>
  </w:footnote>
  <w:footnote w:id="191">
    <w:p w:rsidR="00767127" w:rsidRPr="000C4553" w:rsidRDefault="00767127">
      <w:pPr>
        <w:pStyle w:val="FootnoteText"/>
      </w:pPr>
      <w:r>
        <w:rPr>
          <w:rStyle w:val="FootnoteReference"/>
        </w:rPr>
        <w:footnoteRef/>
      </w:r>
      <w:r>
        <w:t xml:space="preserve"> </w:t>
      </w:r>
      <w:r>
        <w:rPr>
          <w:lang w:val="sr-Cyrl-CS"/>
        </w:rPr>
        <w:t>Вид.: „Службени гласник РС“, бр. 36/01 .</w:t>
      </w:r>
    </w:p>
  </w:footnote>
  <w:footnote w:id="192">
    <w:p w:rsidR="00767127" w:rsidRPr="00BC431E" w:rsidRDefault="00767127">
      <w:pPr>
        <w:pStyle w:val="FootnoteText"/>
        <w:rPr>
          <w:lang w:val="sr-Cyrl-CS"/>
        </w:rPr>
      </w:pPr>
      <w:r>
        <w:rPr>
          <w:rStyle w:val="FootnoteReference"/>
        </w:rPr>
        <w:footnoteRef/>
      </w:r>
      <w:r>
        <w:t xml:space="preserve"> </w:t>
      </w:r>
      <w:r>
        <w:rPr>
          <w:lang w:val="sr-Cyrl-CS"/>
        </w:rPr>
        <w:t xml:space="preserve">Драган Јовашевић и Тарик Хашимбеговић, </w:t>
      </w:r>
      <w:r w:rsidRPr="00144339">
        <w:rPr>
          <w:b/>
          <w:lang w:val="sr-Cyrl-CS"/>
        </w:rPr>
        <w:t>Систем пореских деликата</w:t>
      </w:r>
      <w:r>
        <w:rPr>
          <w:lang w:val="sr-Cyrl-CS"/>
        </w:rPr>
        <w:t>, Intermex, Београд, 2004, стр. 10-11.</w:t>
      </w:r>
    </w:p>
  </w:footnote>
  <w:footnote w:id="193">
    <w:p w:rsidR="00767127" w:rsidRPr="00806D97" w:rsidRDefault="00767127" w:rsidP="00806D97">
      <w:pPr>
        <w:pStyle w:val="FootnoteText"/>
      </w:pPr>
      <w:r>
        <w:rPr>
          <w:rStyle w:val="FootnoteReference"/>
        </w:rPr>
        <w:footnoteRef/>
      </w:r>
      <w:r>
        <w:t xml:space="preserve"> </w:t>
      </w:r>
      <w:r>
        <w:rPr>
          <w:lang w:val="sr-Cyrl-CS"/>
        </w:rPr>
        <w:t xml:space="preserve">Закон о порезу на додату вредност, </w:t>
      </w:r>
      <w:r>
        <w:rPr>
          <w:rFonts w:cs="Calibri"/>
        </w:rPr>
        <w:t xml:space="preserve"> </w:t>
      </w:r>
      <w:r>
        <w:rPr>
          <w:lang w:val="sr-Cyrl-CS"/>
        </w:rPr>
        <w:t xml:space="preserve">„Службени гласник РС“, бр. </w:t>
      </w:r>
      <w:r>
        <w:rPr>
          <w:rFonts w:cs="Calibri"/>
        </w:rPr>
        <w:t>84/2004; 8</w:t>
      </w:r>
      <w:r>
        <w:t>6/2004</w:t>
      </w:r>
      <w:r>
        <w:rPr>
          <w:rFonts w:ascii="Arial Unicode MS" w:hAnsi="Arial Unicode MS" w:cs="Arial Unicode MS"/>
          <w:lang w:val="sr-Cyrl-CS"/>
        </w:rPr>
        <w:t xml:space="preserve"> и</w:t>
      </w:r>
      <w:r>
        <w:rPr>
          <w:rFonts w:cs="Calibri"/>
        </w:rPr>
        <w:t xml:space="preserve"> 61/2005.</w:t>
      </w:r>
    </w:p>
  </w:footnote>
  <w:footnote w:id="194">
    <w:p w:rsidR="00767127" w:rsidRPr="004C51F3" w:rsidRDefault="00767127" w:rsidP="0060399C">
      <w:pPr>
        <w:pStyle w:val="FootnoteText"/>
        <w:rPr>
          <w:lang w:val="sr-Cyrl-CS"/>
        </w:rPr>
      </w:pPr>
      <w:r>
        <w:rPr>
          <w:rStyle w:val="FootnoteReference"/>
        </w:rPr>
        <w:footnoteRef/>
      </w:r>
      <w:r>
        <w:t xml:space="preserve"> </w:t>
      </w:r>
      <w:r>
        <w:rPr>
          <w:lang w:val="sr-Cyrl-CS"/>
        </w:rPr>
        <w:t xml:space="preserve">Јадранка Тодоровић-Ђуровић, </w:t>
      </w:r>
      <w:r w:rsidRPr="00D4358D">
        <w:rPr>
          <w:b/>
          <w:lang w:val="sr-Cyrl-CS"/>
        </w:rPr>
        <w:t>Пореска реформа као предуслов приступања ЕУ</w:t>
      </w:r>
      <w:r>
        <w:rPr>
          <w:lang w:val="sr-Cyrl-CS"/>
        </w:rPr>
        <w:t xml:space="preserve">, </w:t>
      </w:r>
      <w:r w:rsidRPr="00D4358D">
        <w:rPr>
          <w:i/>
          <w:lang w:val="sr-Cyrl-CS"/>
        </w:rPr>
        <w:t>Економске теме</w:t>
      </w:r>
      <w:r>
        <w:rPr>
          <w:lang w:val="sr-Cyrl-CS"/>
        </w:rPr>
        <w:t>, бр. 1, 2005, стр. 233.</w:t>
      </w:r>
    </w:p>
  </w:footnote>
  <w:footnote w:id="195">
    <w:p w:rsidR="00767127" w:rsidRPr="00C207AE" w:rsidRDefault="00767127">
      <w:pPr>
        <w:pStyle w:val="FootnoteText"/>
      </w:pPr>
      <w:r>
        <w:rPr>
          <w:rStyle w:val="FootnoteReference"/>
        </w:rPr>
        <w:footnoteRef/>
      </w:r>
      <w:r>
        <w:t xml:space="preserve"> </w:t>
      </w:r>
      <w:r>
        <w:rPr>
          <w:lang w:val="sr-Cyrl-CS"/>
        </w:rPr>
        <w:t xml:space="preserve">Александар Стојановић, </w:t>
      </w:r>
      <w:r w:rsidRPr="00D4358D">
        <w:rPr>
          <w:b/>
          <w:lang w:val="sr-Cyrl-CS"/>
        </w:rPr>
        <w:t>Порески системи земаља у транзицији</w:t>
      </w:r>
      <w:r>
        <w:rPr>
          <w:lang w:val="sr-Cyrl-CS"/>
        </w:rPr>
        <w:t xml:space="preserve">, </w:t>
      </w:r>
      <w:r>
        <w:t xml:space="preserve">Revicon, </w:t>
      </w:r>
      <w:r>
        <w:rPr>
          <w:lang w:val="sr-Cyrl-CS"/>
        </w:rPr>
        <w:t>Сарајево, 2007, стр. 42-45.</w:t>
      </w:r>
    </w:p>
  </w:footnote>
  <w:footnote w:id="196">
    <w:p w:rsidR="00767127" w:rsidRPr="0060399C" w:rsidRDefault="00767127">
      <w:pPr>
        <w:pStyle w:val="FootnoteText"/>
        <w:rPr>
          <w:lang w:val="sr-Cyrl-CS"/>
        </w:rPr>
      </w:pPr>
      <w:r>
        <w:rPr>
          <w:rStyle w:val="FootnoteReference"/>
        </w:rPr>
        <w:footnoteRef/>
      </w:r>
      <w:r>
        <w:t xml:space="preserve"> </w:t>
      </w:r>
      <w:r>
        <w:rPr>
          <w:lang w:val="sr-Cyrl-CS"/>
        </w:rPr>
        <w:t xml:space="preserve">Јуре Шимовић и Хрвоје Шимовић, </w:t>
      </w:r>
      <w:r w:rsidRPr="00D4358D">
        <w:rPr>
          <w:b/>
          <w:lang w:val="sr-Cyrl-CS"/>
        </w:rPr>
        <w:t>Фискални сустав и фискална политика Европске уније</w:t>
      </w:r>
      <w:r>
        <w:rPr>
          <w:lang w:val="sr-Cyrl-CS"/>
        </w:rPr>
        <w:t>, Правни факултет Универзитета у Загребу, Загреб, 2006, стр. 94.</w:t>
      </w:r>
    </w:p>
  </w:footnote>
  <w:footnote w:id="197">
    <w:p w:rsidR="00767127" w:rsidRPr="009A5F7A" w:rsidRDefault="00767127">
      <w:pPr>
        <w:pStyle w:val="FootnoteText"/>
        <w:rPr>
          <w:lang w:val="sr-Cyrl-CS"/>
        </w:rPr>
      </w:pPr>
      <w:r>
        <w:rPr>
          <w:rStyle w:val="FootnoteReference"/>
        </w:rPr>
        <w:footnoteRef/>
      </w:r>
      <w:r>
        <w:t xml:space="preserve"> </w:t>
      </w:r>
      <w:r>
        <w:rPr>
          <w:lang w:val="sr-Cyrl-CS"/>
        </w:rPr>
        <w:t>Ч</w:t>
      </w:r>
      <w:r w:rsidRPr="009A5F7A">
        <w:rPr>
          <w:lang w:val="sr-Cyrl-CS"/>
        </w:rPr>
        <w:t>л. 89 Споразума о стабилизацији и придруживању Србије у ЕУ</w:t>
      </w:r>
    </w:p>
  </w:footnote>
  <w:footnote w:id="198">
    <w:p w:rsidR="00767127" w:rsidRPr="009A5F7A" w:rsidRDefault="00767127">
      <w:pPr>
        <w:pStyle w:val="FootnoteText"/>
        <w:rPr>
          <w:lang w:val="sr-Cyrl-CS"/>
        </w:rPr>
      </w:pPr>
      <w:r w:rsidRPr="009A5F7A">
        <w:rPr>
          <w:rStyle w:val="FootnoteReference"/>
        </w:rPr>
        <w:footnoteRef/>
      </w:r>
      <w:r w:rsidRPr="009A5F7A">
        <w:t xml:space="preserve"> </w:t>
      </w:r>
      <w:r>
        <w:rPr>
          <w:lang w:val="sr-Cyrl-CS"/>
        </w:rPr>
        <w:t>Ч</w:t>
      </w:r>
      <w:r w:rsidRPr="009A5F7A">
        <w:rPr>
          <w:lang w:val="sr-Cyrl-CS"/>
        </w:rPr>
        <w:t>л. 100 Споразума о стабилизацији и придруживању Србије у ЕУ</w:t>
      </w:r>
    </w:p>
  </w:footnote>
  <w:footnote w:id="199">
    <w:p w:rsidR="00767127" w:rsidRPr="009A5F7A" w:rsidRDefault="00767127">
      <w:pPr>
        <w:pStyle w:val="FootnoteText"/>
        <w:rPr>
          <w:lang w:val="sr-Cyrl-CS"/>
        </w:rPr>
      </w:pPr>
      <w:r>
        <w:rPr>
          <w:rStyle w:val="FootnoteReference"/>
        </w:rPr>
        <w:footnoteRef/>
      </w:r>
      <w:r>
        <w:t xml:space="preserve"> </w:t>
      </w:r>
      <w:r>
        <w:rPr>
          <w:lang w:val="sr-Cyrl-CS"/>
        </w:rPr>
        <w:t xml:space="preserve">Извор: </w:t>
      </w:r>
      <w:hyperlink r:id="rId24" w:history="1">
        <w:r w:rsidRPr="000C4553">
          <w:rPr>
            <w:rStyle w:val="Hyperlink"/>
            <w:rFonts w:asciiTheme="minorHAnsi" w:hAnsiTheme="minorHAnsi"/>
            <w:lang w:val="sr-Cyrl-CS"/>
          </w:rPr>
          <w:t>www.seio.gov.rs</w:t>
        </w:r>
      </w:hyperlink>
      <w:r>
        <w:rPr>
          <w:rFonts w:ascii="Times New Roman" w:hAnsi="Times New Roman"/>
          <w:sz w:val="24"/>
          <w:szCs w:val="24"/>
          <w:lang w:val="sr-Cyrl-CS"/>
        </w:rPr>
        <w:t xml:space="preserve"> </w:t>
      </w:r>
      <w:r w:rsidRPr="009A5F7A">
        <w:rPr>
          <w:lang w:val="sr-Cyrl-CS"/>
        </w:rPr>
        <w:t>(30.12.2013.)</w:t>
      </w:r>
    </w:p>
  </w:footnote>
  <w:footnote w:id="200">
    <w:p w:rsidR="00767127" w:rsidRPr="00EB0233" w:rsidRDefault="00767127" w:rsidP="009A5F7A">
      <w:pPr>
        <w:pStyle w:val="FootnoteText"/>
        <w:rPr>
          <w:lang w:val="sr-Cyrl-CS"/>
        </w:rPr>
      </w:pPr>
      <w:r>
        <w:rPr>
          <w:rStyle w:val="FootnoteReference"/>
        </w:rPr>
        <w:footnoteRef/>
      </w:r>
      <w:r>
        <w:t xml:space="preserve"> </w:t>
      </w:r>
      <w:r>
        <w:rPr>
          <w:lang w:val="sr-Cyrl-CS"/>
        </w:rPr>
        <w:t>Закон о изменама и допунама Закона о пореском поступку и пореској администрацији („Сл. Гласник РС“ бр. 61/2005).</w:t>
      </w:r>
    </w:p>
  </w:footnote>
  <w:footnote w:id="201">
    <w:p w:rsidR="00767127" w:rsidRPr="008E78EB" w:rsidRDefault="00767127">
      <w:pPr>
        <w:pStyle w:val="FootnoteText"/>
        <w:rPr>
          <w:lang w:val="sr-Cyrl-CS"/>
        </w:rPr>
      </w:pPr>
      <w:r>
        <w:rPr>
          <w:rStyle w:val="FootnoteReference"/>
        </w:rPr>
        <w:footnoteRef/>
      </w:r>
      <w:r>
        <w:t xml:space="preserve"> </w:t>
      </w:r>
      <w:r>
        <w:rPr>
          <w:lang w:val="sr-Cyrl-CS"/>
        </w:rPr>
        <w:t>Чл. 173а Закона о пореском поступку и пореској администрацији („Сл. гласник РС“ бр. 61/05)</w:t>
      </w:r>
    </w:p>
  </w:footnote>
  <w:footnote w:id="202">
    <w:p w:rsidR="00767127" w:rsidRPr="007346F3" w:rsidRDefault="00767127" w:rsidP="009A5F7A">
      <w:pPr>
        <w:pStyle w:val="FootnoteText"/>
        <w:rPr>
          <w:lang w:val="sr-Cyrl-CS"/>
        </w:rPr>
      </w:pPr>
      <w:r>
        <w:rPr>
          <w:rStyle w:val="FootnoteReference"/>
        </w:rPr>
        <w:footnoteRef/>
      </w:r>
      <w:r>
        <w:t xml:space="preserve"> </w:t>
      </w:r>
      <w:r>
        <w:rPr>
          <w:lang w:val="sr-Cyrl-CS"/>
        </w:rPr>
        <w:t>Закон о акцизама („Сл. Гласник РС“ бр. 46/05 и 101/05)</w:t>
      </w:r>
    </w:p>
  </w:footnote>
  <w:footnote w:id="203">
    <w:p w:rsidR="00767127" w:rsidRPr="005A7FCD" w:rsidRDefault="00767127">
      <w:pPr>
        <w:pStyle w:val="FootnoteText"/>
        <w:rPr>
          <w:lang w:val="sr-Cyrl-CS"/>
        </w:rPr>
      </w:pPr>
      <w:r>
        <w:rPr>
          <w:rStyle w:val="FootnoteReference"/>
        </w:rPr>
        <w:footnoteRef/>
      </w:r>
      <w:r>
        <w:t xml:space="preserve"> </w:t>
      </w:r>
      <w:r>
        <w:rPr>
          <w:lang w:val="sr-Cyrl-CS"/>
        </w:rPr>
        <w:t xml:space="preserve"> „Службени гласник РС“ бр. 61/07“</w:t>
      </w:r>
    </w:p>
  </w:footnote>
  <w:footnote w:id="204">
    <w:p w:rsidR="00767127" w:rsidRPr="0096382A" w:rsidRDefault="00767127" w:rsidP="000C4553">
      <w:pPr>
        <w:pStyle w:val="NoSpacing"/>
        <w:jc w:val="both"/>
        <w:rPr>
          <w:lang w:val="sr-Cyrl-CS"/>
        </w:rPr>
      </w:pPr>
      <w:r>
        <w:rPr>
          <w:rStyle w:val="FootnoteReference"/>
        </w:rPr>
        <w:footnoteRef/>
      </w:r>
      <w:r>
        <w:t xml:space="preserve"> </w:t>
      </w:r>
      <w:r w:rsidRPr="000C4553">
        <w:rPr>
          <w:sz w:val="20"/>
          <w:szCs w:val="20"/>
          <w:lang w:val="sr-Cyrl-CS"/>
        </w:rPr>
        <w:t>Укида се дискриминаторски елемент опорезивања дуванских производа и цигарета од јануара 2008. године и установљава се посебна и ad valorem дажбина на цигарете. Током 2008. године се почиње са применом нових ad valorem пореза и пореза на цигарете, што је у складу са комунитарним правом.</w:t>
      </w:r>
    </w:p>
  </w:footnote>
  <w:footnote w:id="205">
    <w:p w:rsidR="00767127" w:rsidRPr="00ED0611" w:rsidRDefault="00767127" w:rsidP="000C4553">
      <w:pPr>
        <w:pStyle w:val="FootnoteText"/>
        <w:jc w:val="both"/>
        <w:rPr>
          <w:lang w:val="sr-Cyrl-CS"/>
        </w:rPr>
      </w:pPr>
      <w:r>
        <w:rPr>
          <w:rStyle w:val="FootnoteReference"/>
        </w:rPr>
        <w:footnoteRef/>
      </w:r>
      <w:r>
        <w:t xml:space="preserve"> </w:t>
      </w:r>
      <w:r>
        <w:rPr>
          <w:lang w:val="sr-Cyrl-CS"/>
        </w:rPr>
        <w:t xml:space="preserve">„Службени гласник РС“ бр. 5/09 и 31/09. </w:t>
      </w:r>
    </w:p>
  </w:footnote>
  <w:footnote w:id="206">
    <w:p w:rsidR="00767127" w:rsidRPr="00ED0611" w:rsidRDefault="00767127" w:rsidP="000C4553">
      <w:pPr>
        <w:pStyle w:val="FootnoteText"/>
        <w:jc w:val="both"/>
        <w:rPr>
          <w:lang w:val="sr-Cyrl-CS"/>
        </w:rPr>
      </w:pPr>
      <w:r>
        <w:rPr>
          <w:rStyle w:val="FootnoteReference"/>
        </w:rPr>
        <w:footnoteRef/>
      </w:r>
      <w:r>
        <w:rPr>
          <w:lang w:val="sr-Cyrl-CS"/>
        </w:rPr>
        <w:t xml:space="preserve">„Службени гласник РС“ бр. 5/09. </w:t>
      </w:r>
      <w:r>
        <w:t xml:space="preserve"> </w:t>
      </w:r>
    </w:p>
  </w:footnote>
  <w:footnote w:id="207">
    <w:p w:rsidR="00767127" w:rsidRPr="00ED0611" w:rsidRDefault="00767127" w:rsidP="000C4553">
      <w:pPr>
        <w:pStyle w:val="FootnoteText"/>
        <w:jc w:val="both"/>
        <w:rPr>
          <w:lang w:val="sr-Cyrl-CS"/>
        </w:rPr>
      </w:pPr>
      <w:r>
        <w:rPr>
          <w:rStyle w:val="FootnoteReference"/>
        </w:rPr>
        <w:footnoteRef/>
      </w:r>
      <w:r>
        <w:t xml:space="preserve"> </w:t>
      </w:r>
      <w:r>
        <w:rPr>
          <w:lang w:val="sr-Cyrl-CS"/>
        </w:rPr>
        <w:t>„Службени гласник РС“ бр. 18/10.</w:t>
      </w:r>
    </w:p>
  </w:footnote>
  <w:footnote w:id="208">
    <w:p w:rsidR="00767127" w:rsidRPr="00C65D73" w:rsidRDefault="00767127" w:rsidP="000C4553">
      <w:pPr>
        <w:pStyle w:val="FootnoteText"/>
        <w:jc w:val="both"/>
        <w:rPr>
          <w:lang w:val="sr-Cyrl-CS"/>
        </w:rPr>
      </w:pPr>
      <w:r>
        <w:rPr>
          <w:rStyle w:val="FootnoteReference"/>
        </w:rPr>
        <w:footnoteRef/>
      </w:r>
      <w:r>
        <w:t xml:space="preserve"> </w:t>
      </w:r>
      <w:r>
        <w:rPr>
          <w:lang w:val="sr-Cyrl-CS"/>
        </w:rPr>
        <w:t>„Службени гласник РС“ бр. 18/10.</w:t>
      </w:r>
    </w:p>
  </w:footnote>
  <w:footnote w:id="209">
    <w:p w:rsidR="00767127" w:rsidRPr="00B24E19" w:rsidRDefault="00767127" w:rsidP="000C4553">
      <w:pPr>
        <w:pStyle w:val="FootnoteText"/>
        <w:jc w:val="both"/>
        <w:rPr>
          <w:lang w:val="sr-Cyrl-CS"/>
        </w:rPr>
      </w:pPr>
      <w:r>
        <w:rPr>
          <w:rStyle w:val="FootnoteReference"/>
        </w:rPr>
        <w:footnoteRef/>
      </w:r>
      <w:r>
        <w:t xml:space="preserve"> </w:t>
      </w:r>
      <w:r>
        <w:rPr>
          <w:lang w:val="sr-Cyrl-CS"/>
        </w:rPr>
        <w:t xml:space="preserve">Маринко Бошњак, </w:t>
      </w:r>
      <w:r w:rsidRPr="00D4358D">
        <w:rPr>
          <w:b/>
          <w:lang w:val="sr-Cyrl-CS"/>
        </w:rPr>
        <w:t>Резултати и изазови економских реформи у Србији у транзиционом периоду 2001-2008. година</w:t>
      </w:r>
      <w:r>
        <w:rPr>
          <w:lang w:val="sr-Cyrl-CS"/>
        </w:rPr>
        <w:t xml:space="preserve">, Министарство финасија РС, Београд, 2011, стр. 21-53.  (извор: </w:t>
      </w:r>
      <w:hyperlink r:id="rId25" w:history="1">
        <w:r w:rsidRPr="004A7210">
          <w:rPr>
            <w:rStyle w:val="Hyperlink"/>
            <w:lang w:val="sr-Cyrl-CS"/>
          </w:rPr>
          <w:t>http://mfin.gov.rs</w:t>
        </w:r>
      </w:hyperlink>
      <w:r>
        <w:rPr>
          <w:lang w:val="sr-Cyrl-CS"/>
        </w:rPr>
        <w:t xml:space="preserve">).   </w:t>
      </w:r>
    </w:p>
  </w:footnote>
  <w:footnote w:id="210">
    <w:p w:rsidR="00767127" w:rsidRPr="00C65D73" w:rsidRDefault="00767127">
      <w:pPr>
        <w:pStyle w:val="FootnoteText"/>
        <w:rPr>
          <w:lang w:val="sr-Cyrl-CS"/>
        </w:rPr>
      </w:pPr>
      <w:r>
        <w:rPr>
          <w:rStyle w:val="FootnoteReference"/>
        </w:rPr>
        <w:footnoteRef/>
      </w:r>
      <w:r>
        <w:t xml:space="preserve"> </w:t>
      </w:r>
      <w:r>
        <w:rPr>
          <w:lang w:val="sr-Cyrl-CS"/>
        </w:rPr>
        <w:t>„Службени гласник РС“ бр. 43/11 и 101/11.</w:t>
      </w:r>
    </w:p>
  </w:footnote>
  <w:footnote w:id="211">
    <w:p w:rsidR="00767127" w:rsidRPr="00713DA8" w:rsidRDefault="00767127" w:rsidP="00713DA8">
      <w:pPr>
        <w:autoSpaceDE w:val="0"/>
        <w:autoSpaceDN w:val="0"/>
        <w:adjustRightInd w:val="0"/>
        <w:spacing w:after="0" w:line="240" w:lineRule="auto"/>
        <w:jc w:val="both"/>
        <w:rPr>
          <w:rFonts w:asciiTheme="minorHAnsi" w:hAnsiTheme="minorHAnsi" w:cs="TimesNewRomanPSMT"/>
          <w:sz w:val="20"/>
          <w:szCs w:val="20"/>
          <w:lang w:val="sr-Cyrl-CS"/>
        </w:rPr>
      </w:pPr>
      <w:r>
        <w:rPr>
          <w:rStyle w:val="FootnoteReference"/>
        </w:rPr>
        <w:footnoteRef/>
      </w:r>
      <w:r>
        <w:rPr>
          <w:lang w:val="sr-Cyrl-CS"/>
        </w:rPr>
        <w:t xml:space="preserve"> </w:t>
      </w:r>
      <w:r w:rsidRPr="00713DA8">
        <w:rPr>
          <w:rFonts w:asciiTheme="minorHAnsi" w:hAnsiTheme="minorHAnsi" w:cs="TimesNewRomanPSMT"/>
          <w:sz w:val="20"/>
          <w:szCs w:val="20"/>
        </w:rPr>
        <w:t xml:space="preserve">Commission of the European Communities, Communication from theCommission to the Council and the European Parliament: </w:t>
      </w:r>
      <w:r w:rsidRPr="00713DA8">
        <w:rPr>
          <w:rFonts w:asciiTheme="minorHAnsi" w:hAnsiTheme="minorHAnsi" w:cs="TimesNewRomanPS-ItalicMT"/>
          <w:i/>
          <w:iCs/>
          <w:sz w:val="20"/>
          <w:szCs w:val="20"/>
        </w:rPr>
        <w:t>A Package to Tackle Harmful</w:t>
      </w:r>
      <w:r w:rsidRPr="00713DA8">
        <w:rPr>
          <w:rFonts w:asciiTheme="minorHAnsi" w:hAnsiTheme="minorHAnsi" w:cs="TimesNewRomanPSMT"/>
          <w:sz w:val="20"/>
          <w:szCs w:val="20"/>
          <w:lang w:val="sr-Cyrl-CS"/>
        </w:rPr>
        <w:t xml:space="preserve"> </w:t>
      </w:r>
      <w:r w:rsidRPr="00713DA8">
        <w:rPr>
          <w:rFonts w:asciiTheme="minorHAnsi" w:hAnsiTheme="minorHAnsi" w:cs="TimesNewRomanPS-ItalicMT"/>
          <w:i/>
          <w:iCs/>
          <w:sz w:val="20"/>
          <w:szCs w:val="20"/>
        </w:rPr>
        <w:t xml:space="preserve">Tax Competition in the European Union, </w:t>
      </w:r>
      <w:r w:rsidRPr="00713DA8">
        <w:rPr>
          <w:rFonts w:asciiTheme="minorHAnsi" w:hAnsiTheme="minorHAnsi" w:cs="TimesNewRomanPSMT"/>
          <w:sz w:val="20"/>
          <w:szCs w:val="20"/>
        </w:rPr>
        <w:t>Brussels, 5.11.1997, COM(97) 564 final, str.4.</w:t>
      </w:r>
      <w:r>
        <w:rPr>
          <w:rFonts w:asciiTheme="minorHAnsi" w:hAnsiTheme="minorHAnsi" w:cs="TimesNewRomanPSMT"/>
          <w:sz w:val="20"/>
          <w:szCs w:val="20"/>
          <w:lang w:val="sr-Cyrl-CS"/>
        </w:rPr>
        <w:t xml:space="preserve"> </w:t>
      </w:r>
    </w:p>
  </w:footnote>
  <w:footnote w:id="212">
    <w:p w:rsidR="00767127" w:rsidRPr="008C3879" w:rsidRDefault="00767127" w:rsidP="00C75F8C">
      <w:pPr>
        <w:pStyle w:val="FootnoteText"/>
        <w:rPr>
          <w:lang w:val="sr-Cyrl-CS"/>
        </w:rPr>
      </w:pPr>
      <w:r>
        <w:rPr>
          <w:rStyle w:val="FootnoteReference"/>
        </w:rPr>
        <w:footnoteRef/>
      </w:r>
      <w:r>
        <w:t xml:space="preserve"> </w:t>
      </w:r>
      <w:r>
        <w:rPr>
          <w:lang w:val="sr-Cyrl-CS"/>
        </w:rPr>
        <w:t xml:space="preserve">Програм мера за реформу јавног сектора (Извор: </w:t>
      </w:r>
      <w:hyperlink r:id="rId26" w:history="1">
        <w:r>
          <w:rPr>
            <w:rStyle w:val="Hyperlink"/>
          </w:rPr>
          <w:t>http://www.mfin.gov.rs</w:t>
        </w:r>
      </w:hyperlink>
      <w:r>
        <w:rPr>
          <w:lang w:val="sr-Cyrl-CS"/>
        </w:rPr>
        <w:t>)</w:t>
      </w:r>
    </w:p>
  </w:footnote>
  <w:footnote w:id="213">
    <w:p w:rsidR="00767127" w:rsidRPr="00913A0F" w:rsidRDefault="00767127">
      <w:pPr>
        <w:pStyle w:val="FootnoteText"/>
        <w:rPr>
          <w:lang w:val="sr-Cyrl-CS"/>
        </w:rPr>
      </w:pPr>
      <w:r>
        <w:rPr>
          <w:rStyle w:val="FootnoteReference"/>
        </w:rPr>
        <w:footnoteRef/>
      </w:r>
      <w:r>
        <w:t xml:space="preserve"> </w:t>
      </w:r>
      <w:r>
        <w:rPr>
          <w:lang w:val="sr-Cyrl-CS"/>
        </w:rPr>
        <w:t>Извештај о напретку Србије за 2013. годину Европске комисије, Брисел, 16.10.2013. год., стр. 39-40.</w:t>
      </w:r>
    </w:p>
  </w:footnote>
  <w:footnote w:id="214">
    <w:p w:rsidR="00767127" w:rsidRPr="002E20EE" w:rsidRDefault="00767127">
      <w:pPr>
        <w:pStyle w:val="FootnoteText"/>
        <w:rPr>
          <w:lang w:val="sr-Cyrl-CS"/>
        </w:rPr>
      </w:pPr>
      <w:r>
        <w:rPr>
          <w:rStyle w:val="FootnoteReference"/>
        </w:rPr>
        <w:footnoteRef/>
      </w:r>
      <w:r>
        <w:rPr>
          <w:lang w:val="sr-Cyrl-CS"/>
        </w:rPr>
        <w:t xml:space="preserve">  „Службени гласник РС бр. 93/12.</w:t>
      </w:r>
    </w:p>
  </w:footnote>
  <w:footnote w:id="215">
    <w:p w:rsidR="00767127" w:rsidRPr="00542B21" w:rsidRDefault="00767127">
      <w:pPr>
        <w:pStyle w:val="FootnoteText"/>
        <w:rPr>
          <w:lang w:val="sr-Cyrl-CS"/>
        </w:rPr>
      </w:pPr>
      <w:r>
        <w:rPr>
          <w:rStyle w:val="FootnoteReference"/>
        </w:rPr>
        <w:footnoteRef/>
      </w:r>
      <w:r>
        <w:t xml:space="preserve"> </w:t>
      </w:r>
      <w:r>
        <w:rPr>
          <w:lang w:val="sr-Cyrl-CS"/>
        </w:rPr>
        <w:t>„Службени гласник РС“ бр. 119/12.</w:t>
      </w:r>
    </w:p>
  </w:footnote>
  <w:footnote w:id="216">
    <w:p w:rsidR="00767127" w:rsidRPr="00B90C1E" w:rsidRDefault="00767127" w:rsidP="00B90C1E">
      <w:pPr>
        <w:pStyle w:val="FootnoteText"/>
        <w:jc w:val="both"/>
      </w:pPr>
      <w:r>
        <w:rPr>
          <w:rStyle w:val="FootnoteReference"/>
        </w:rPr>
        <w:footnoteRef/>
      </w:r>
      <w:r>
        <w:t xml:space="preserve"> </w:t>
      </w:r>
      <w:r>
        <w:rPr>
          <w:lang w:val="sr-Cyrl-CS"/>
        </w:rPr>
        <w:t xml:space="preserve">Фискална стратегија за 2013. годину са пројекцијама на 2014. и 2015. годину, стр.102-116. (Извор: </w:t>
      </w:r>
      <w:hyperlink r:id="rId27" w:history="1">
        <w:r w:rsidRPr="00754DCF">
          <w:rPr>
            <w:rStyle w:val="Hyperlink"/>
            <w:lang w:val="sr-Cyrl-CS"/>
          </w:rPr>
          <w:t>http://www.kombeg.org.rs</w:t>
        </w:r>
      </w:hyperlink>
      <w:r>
        <w:rPr>
          <w:lang w:val="sr-Cyrl-CS"/>
        </w:rPr>
        <w:t xml:space="preserve">).  </w:t>
      </w:r>
    </w:p>
  </w:footnote>
  <w:footnote w:id="217">
    <w:p w:rsidR="00767127" w:rsidRPr="00C207AE" w:rsidRDefault="00767127" w:rsidP="00A66408">
      <w:pPr>
        <w:pStyle w:val="FootnoteText"/>
        <w:rPr>
          <w:lang w:val="sr-Cyrl-CS"/>
        </w:rPr>
      </w:pPr>
      <w:r>
        <w:rPr>
          <w:rStyle w:val="FootnoteReference"/>
        </w:rPr>
        <w:footnoteRef/>
      </w:r>
      <w:r>
        <w:t xml:space="preserve"> </w:t>
      </w:r>
      <w:r w:rsidRPr="00D4358D">
        <w:rPr>
          <w:b/>
        </w:rPr>
        <w:t>Guidelines for Fiscal Adjustment</w:t>
      </w:r>
      <w:r>
        <w:t>, International Monetary Found, Washington, D.C., March 2000, str. 29-32.</w:t>
      </w:r>
    </w:p>
  </w:footnote>
  <w:footnote w:id="218">
    <w:p w:rsidR="00767127" w:rsidRPr="00664207" w:rsidRDefault="00767127">
      <w:pPr>
        <w:pStyle w:val="FootnoteText"/>
        <w:rPr>
          <w:lang w:val="sr-Cyrl-CS"/>
        </w:rPr>
      </w:pPr>
      <w:r>
        <w:rPr>
          <w:rStyle w:val="FootnoteReference"/>
        </w:rPr>
        <w:footnoteRef/>
      </w:r>
      <w:r>
        <w:t xml:space="preserve"> Vito Tanzi</w:t>
      </w:r>
      <w:r>
        <w:rPr>
          <w:lang w:val="sr-Cyrl-CS"/>
        </w:rPr>
        <w:t xml:space="preserve"> and</w:t>
      </w:r>
      <w:r>
        <w:t xml:space="preserve"> Howell Zee, </w:t>
      </w:r>
      <w:r w:rsidRPr="000D7632">
        <w:rPr>
          <w:b/>
          <w:lang w:val="sr-Cyrl-CS"/>
        </w:rPr>
        <w:t>Tax Policy</w:t>
      </w:r>
      <w:r w:rsidRPr="000D7632">
        <w:rPr>
          <w:b/>
        </w:rPr>
        <w:t xml:space="preserve"> for Emerging Markets: Developing Countries</w:t>
      </w:r>
      <w:r>
        <w:t>, IMF Working paper, No. 00/35, March 2000, p</w:t>
      </w:r>
      <w:r>
        <w:rPr>
          <w:lang w:val="sr-Cyrl-CS"/>
        </w:rPr>
        <w:t>.</w:t>
      </w:r>
      <w:r>
        <w:t xml:space="preserve"> 3.</w:t>
      </w:r>
      <w:r>
        <w:rPr>
          <w:lang w:val="sr-Cyrl-CS"/>
        </w:rPr>
        <w:t xml:space="preserve"> (Извор: http://www.imf.org).</w:t>
      </w:r>
    </w:p>
  </w:footnote>
  <w:footnote w:id="219">
    <w:p w:rsidR="00767127" w:rsidRPr="00651A4C" w:rsidRDefault="00767127" w:rsidP="00AC6785">
      <w:pPr>
        <w:pStyle w:val="FootnoteText"/>
        <w:rPr>
          <w:lang w:val="sr-Cyrl-CS"/>
        </w:rPr>
      </w:pPr>
      <w:r>
        <w:rPr>
          <w:rStyle w:val="FootnoteReference"/>
        </w:rPr>
        <w:footnoteRef/>
      </w:r>
      <w:r>
        <w:t xml:space="preserve"> </w:t>
      </w:r>
      <w:r>
        <w:rPr>
          <w:lang w:val="sr-Cyrl-CS"/>
        </w:rPr>
        <w:t xml:space="preserve">Чл.1. Правилника о стандардном класификационом оквиру и контном плану за буџетски систем, („Службени гласник РС“, бр. 103/2011, 10/2012, 18/2012, 95/2012, 99/2012, 22/2013, 48/2013, 61/2013 и 63/2013). </w:t>
      </w:r>
    </w:p>
  </w:footnote>
  <w:footnote w:id="220">
    <w:p w:rsidR="00767127" w:rsidRPr="00095739" w:rsidRDefault="00767127" w:rsidP="00095739">
      <w:pPr>
        <w:pStyle w:val="FootnoteText"/>
        <w:rPr>
          <w:lang w:val="sr-Cyrl-CS"/>
        </w:rPr>
      </w:pPr>
      <w:r>
        <w:rPr>
          <w:rStyle w:val="FootnoteReference"/>
        </w:rPr>
        <w:footnoteRef/>
      </w:r>
      <w:r>
        <w:t xml:space="preserve"> </w:t>
      </w:r>
      <w:r>
        <w:rPr>
          <w:lang w:val="sr-Cyrl-CS"/>
        </w:rPr>
        <w:t xml:space="preserve">Дејан Поповић, </w:t>
      </w:r>
      <w:r w:rsidRPr="00D4358D">
        <w:rPr>
          <w:b/>
          <w:lang w:val="sr-Cyrl-CS"/>
        </w:rPr>
        <w:t>Пореско право</w:t>
      </w:r>
      <w:r>
        <w:rPr>
          <w:lang w:val="sr-Cyrl-CS"/>
        </w:rPr>
        <w:t>, Правни факултет Универзитета у Београду, Београд, 2009, стр. 85-86.</w:t>
      </w:r>
    </w:p>
  </w:footnote>
  <w:footnote w:id="221">
    <w:p w:rsidR="00767127" w:rsidRPr="005017F9" w:rsidRDefault="00767127" w:rsidP="000C1307">
      <w:pPr>
        <w:pStyle w:val="FootnoteText"/>
        <w:rPr>
          <w:lang w:val="sr-Cyrl-CS"/>
        </w:rPr>
      </w:pPr>
      <w:r>
        <w:rPr>
          <w:rStyle w:val="FootnoteReference"/>
        </w:rPr>
        <w:footnoteRef/>
      </w:r>
      <w:r>
        <w:t xml:space="preserve"> </w:t>
      </w:r>
      <w:r w:rsidRPr="00D4358D">
        <w:rPr>
          <w:b/>
          <w:lang w:val="en-US"/>
        </w:rPr>
        <w:t>The OECD Interpretative Guide</w:t>
      </w:r>
      <w:r>
        <w:rPr>
          <w:lang w:val="en-US"/>
        </w:rPr>
        <w:t>, p</w:t>
      </w:r>
      <w:r>
        <w:rPr>
          <w:lang w:val="sr-Cyrl-CS"/>
        </w:rPr>
        <w:t xml:space="preserve">. </w:t>
      </w:r>
      <w:r>
        <w:rPr>
          <w:lang w:val="en-US"/>
        </w:rPr>
        <w:t>3</w:t>
      </w:r>
      <w:r>
        <w:rPr>
          <w:lang w:val="sr-Cyrl-CS"/>
        </w:rPr>
        <w:t>22</w:t>
      </w:r>
      <w:r>
        <w:rPr>
          <w:lang w:val="en-US"/>
        </w:rPr>
        <w:t>.</w:t>
      </w:r>
    </w:p>
  </w:footnote>
  <w:footnote w:id="222">
    <w:p w:rsidR="00767127" w:rsidRPr="00681592" w:rsidRDefault="00767127" w:rsidP="00CB394F">
      <w:pPr>
        <w:pStyle w:val="FootnoteText"/>
        <w:jc w:val="both"/>
        <w:rPr>
          <w:lang w:val="sr-Cyrl-CS"/>
        </w:rPr>
      </w:pPr>
      <w:r>
        <w:rPr>
          <w:rStyle w:val="FootnoteReference"/>
        </w:rPr>
        <w:footnoteRef/>
      </w:r>
      <w:r>
        <w:t xml:space="preserve"> </w:t>
      </w:r>
      <w:r>
        <w:rPr>
          <w:lang w:val="sr-Cyrl-CS"/>
        </w:rPr>
        <w:t>„ Службени гласник РС“, бр. 54/09, 73/10, 101/10, 101/11, 93/12 и 62/13, 63/13 и 108/13. Доношењем новог Закона о буџетском систему, ( „Службани гласник РС“ бр.54/09), престао је да важи Закон о јавним приходима и јавним расходима из кога су преузете одредбе којима се уређују врсте јавних прихода и расхода.</w:t>
      </w:r>
    </w:p>
  </w:footnote>
  <w:footnote w:id="223">
    <w:p w:rsidR="00767127" w:rsidRPr="0093206A" w:rsidRDefault="00767127">
      <w:pPr>
        <w:pStyle w:val="FootnoteText"/>
        <w:rPr>
          <w:lang w:val="sr-Cyrl-CS"/>
        </w:rPr>
      </w:pPr>
      <w:r>
        <w:rPr>
          <w:rStyle w:val="FootnoteReference"/>
        </w:rPr>
        <w:footnoteRef/>
      </w:r>
      <w:r>
        <w:t xml:space="preserve"> </w:t>
      </w:r>
      <w:r>
        <w:rPr>
          <w:lang w:val="sr-Cyrl-CS"/>
        </w:rPr>
        <w:t>Чл. 2. тач. 14. и 17. Закона о буџетском систему („ Службени гласник РС“, бр. 54/09, 73/10, 101/10, 101/11, 93/12 и 62/13, 63/13 и 108/13).</w:t>
      </w:r>
    </w:p>
  </w:footnote>
  <w:footnote w:id="224">
    <w:p w:rsidR="00767127" w:rsidRPr="001B77D6" w:rsidRDefault="00767127" w:rsidP="00CB394F">
      <w:pPr>
        <w:pStyle w:val="FootnoteText"/>
        <w:jc w:val="both"/>
        <w:rPr>
          <w:lang w:val="sr-Cyrl-CS"/>
        </w:rPr>
      </w:pPr>
      <w:r>
        <w:rPr>
          <w:rStyle w:val="FootnoteReference"/>
        </w:rPr>
        <w:footnoteRef/>
      </w:r>
      <w:r>
        <w:rPr>
          <w:lang w:val="sr-Cyrl-CS"/>
        </w:rPr>
        <w:t xml:space="preserve"> Чл.14 Закона о буџетском систему, („ Службени гласник РС“, бр. 54/09, 73/10, 101/10, 101/11, 93/12,  62/13, 63/13 и 108/13).</w:t>
      </w:r>
    </w:p>
  </w:footnote>
  <w:footnote w:id="225">
    <w:p w:rsidR="00767127" w:rsidRPr="00F14516" w:rsidRDefault="00767127" w:rsidP="00CB394F">
      <w:pPr>
        <w:pStyle w:val="FootnoteText"/>
        <w:jc w:val="both"/>
        <w:rPr>
          <w:lang w:val="sr-Cyrl-CS"/>
        </w:rPr>
      </w:pPr>
      <w:r>
        <w:rPr>
          <w:rStyle w:val="FootnoteReference"/>
        </w:rPr>
        <w:footnoteRef/>
      </w:r>
      <w:r>
        <w:t xml:space="preserve"> </w:t>
      </w:r>
      <w:r>
        <w:rPr>
          <w:lang w:val="sr-Cyrl-CS"/>
        </w:rPr>
        <w:t>Законом о изменама и допунама Закона о буџетском систему, („ Службени гласник РС“ бр.93/12 у чл. 2. тач. 18.) проширена је дефиниција непореских прихода, који се дефинишу као врста јавних прихода који се наплаћују правним или физичким лицима за коришћење јавних добара (накнаде), пружање одређене јавне услуге (таксе), због кршења угворних или законских одредби (пенали и казне) као и приходи који се остваре употребом јавних средстава, чиме су у непореске приходе јасно укључене накнаде, таксе, пенали и казне, као и приходи које држава оствари употребом јавних средстава.</w:t>
      </w:r>
    </w:p>
  </w:footnote>
  <w:footnote w:id="226">
    <w:p w:rsidR="00767127" w:rsidRPr="00743712" w:rsidRDefault="00767127" w:rsidP="00CB394F">
      <w:pPr>
        <w:pStyle w:val="FootnoteText"/>
        <w:jc w:val="both"/>
        <w:rPr>
          <w:lang w:val="sr-Cyrl-CS"/>
        </w:rPr>
      </w:pPr>
      <w:r>
        <w:rPr>
          <w:rStyle w:val="FootnoteReference"/>
        </w:rPr>
        <w:footnoteRef/>
      </w:r>
      <w:r>
        <w:t xml:space="preserve"> </w:t>
      </w:r>
      <w:r>
        <w:rPr>
          <w:lang w:val="sr-Cyrl-CS"/>
        </w:rPr>
        <w:t xml:space="preserve">Законом о изменама и допунама Закона о буџетском систему, („ Службени гласник РС“ бр.93/12) у чл. 2. тач. 46. промењена је дефиниција помоћи Еропске уније у смислу јасније конкретизације намене средстава. </w:t>
      </w:r>
    </w:p>
  </w:footnote>
  <w:footnote w:id="227">
    <w:p w:rsidR="00767127" w:rsidRPr="0047427F" w:rsidRDefault="00767127" w:rsidP="00CB394F">
      <w:pPr>
        <w:pStyle w:val="FootnoteText"/>
        <w:jc w:val="both"/>
        <w:rPr>
          <w:lang w:val="sr-Cyrl-CS"/>
        </w:rPr>
      </w:pPr>
      <w:r>
        <w:rPr>
          <w:rStyle w:val="FootnoteReference"/>
        </w:rPr>
        <w:footnoteRef/>
      </w:r>
      <w:r>
        <w:t xml:space="preserve"> </w:t>
      </w:r>
      <w:r>
        <w:rPr>
          <w:lang w:val="sr-Cyrl-CS"/>
        </w:rPr>
        <w:t xml:space="preserve">Правилник о стандардном класификационом оквиру и контном плану за буџетски систем, („Службени гласник РС“, бр.103/2011, 10/2012, 18/2012, 95/2012, 99/2012, 22/2013, 48/2013, 61/2013, 63/2013 и 106/13). </w:t>
      </w:r>
    </w:p>
  </w:footnote>
  <w:footnote w:id="228">
    <w:p w:rsidR="00767127" w:rsidRPr="00523842" w:rsidRDefault="00767127">
      <w:pPr>
        <w:pStyle w:val="FootnoteText"/>
        <w:rPr>
          <w:lang w:val="sr-Cyrl-CS"/>
        </w:rPr>
      </w:pPr>
      <w:r>
        <w:rPr>
          <w:rStyle w:val="FootnoteReference"/>
        </w:rPr>
        <w:footnoteRef/>
      </w:r>
      <w:r>
        <w:t xml:space="preserve"> </w:t>
      </w:r>
      <w:r>
        <w:rPr>
          <w:lang w:val="sr-Cyrl-CS"/>
        </w:rPr>
        <w:t>„Службени гласник РС“, бр.</w:t>
      </w:r>
      <w:r w:rsidRPr="00523842">
        <w:rPr>
          <w:lang w:val="sr-Cyrl-CS"/>
        </w:rPr>
        <w:t xml:space="preserve"> </w:t>
      </w:r>
      <w:r>
        <w:rPr>
          <w:lang w:val="sr-Cyrl-CS"/>
        </w:rPr>
        <w:t>106/2013.</w:t>
      </w:r>
    </w:p>
  </w:footnote>
  <w:footnote w:id="229">
    <w:p w:rsidR="00767127" w:rsidRPr="00523842" w:rsidRDefault="00767127">
      <w:pPr>
        <w:pStyle w:val="FootnoteText"/>
        <w:rPr>
          <w:lang w:val="sr-Cyrl-CS"/>
        </w:rPr>
      </w:pPr>
      <w:r>
        <w:rPr>
          <w:rStyle w:val="FootnoteReference"/>
        </w:rPr>
        <w:footnoteRef/>
      </w:r>
      <w:r>
        <w:t xml:space="preserve"> </w:t>
      </w:r>
      <w:r>
        <w:rPr>
          <w:lang w:val="sr-Cyrl-CS"/>
        </w:rPr>
        <w:t>„Службени гласник РС“ бр. 104/2011, 10/2012, 18/2012, 95/2012, 99/2012, 22/2013, 48/2013, 61/2013 и 63/2013.</w:t>
      </w:r>
    </w:p>
  </w:footnote>
  <w:footnote w:id="230">
    <w:p w:rsidR="00767127" w:rsidRPr="00AF7955" w:rsidRDefault="00767127" w:rsidP="000C4553">
      <w:pPr>
        <w:pStyle w:val="FootnoteText"/>
        <w:jc w:val="both"/>
        <w:rPr>
          <w:lang w:val="sr-Cyrl-CS"/>
        </w:rPr>
      </w:pPr>
      <w:r>
        <w:rPr>
          <w:rStyle w:val="FootnoteReference"/>
        </w:rPr>
        <w:footnoteRef/>
      </w:r>
      <w:r>
        <w:rPr>
          <w:lang w:val="sr-Cyrl-CS"/>
        </w:rPr>
        <w:t xml:space="preserve"> Чл.17. Правилника о стандардном класификационом оквиру и контном плану за буџетски систем, („Слижбени гласник РС“, бр.103/2011, 10/2012, 18/2012, 95/2012, 99/2012, 22/2013, 48/2013, 61/2013, 63/2013 и 106/13).</w:t>
      </w:r>
    </w:p>
  </w:footnote>
  <w:footnote w:id="231">
    <w:p w:rsidR="00767127" w:rsidRPr="00DD19FF" w:rsidRDefault="00767127" w:rsidP="00060971">
      <w:pPr>
        <w:jc w:val="both"/>
        <w:rPr>
          <w:sz w:val="20"/>
          <w:szCs w:val="20"/>
          <w:lang w:val="sr-Cyrl-CS"/>
        </w:rPr>
      </w:pPr>
      <w:r>
        <w:rPr>
          <w:rStyle w:val="FootnoteReference"/>
        </w:rPr>
        <w:footnoteRef/>
      </w:r>
      <w:r>
        <w:rPr>
          <w:lang w:val="sr-Cyrl-CS"/>
        </w:rPr>
        <w:t xml:space="preserve"> </w:t>
      </w:r>
      <w:r>
        <w:rPr>
          <w:sz w:val="20"/>
          <w:szCs w:val="20"/>
          <w:lang w:val="sr-Cyrl-CS"/>
        </w:rPr>
        <w:t>Анализа макроекономских и фиска</w:t>
      </w:r>
      <w:r w:rsidRPr="00172737">
        <w:rPr>
          <w:sz w:val="20"/>
          <w:szCs w:val="20"/>
          <w:lang w:val="sr-Cyrl-CS"/>
        </w:rPr>
        <w:t>лних кретања у 2010.години</w:t>
      </w:r>
      <w:r>
        <w:rPr>
          <w:sz w:val="20"/>
          <w:szCs w:val="20"/>
          <w:lang w:val="sr-Cyrl-CS"/>
        </w:rPr>
        <w:t>, Министарство</w:t>
      </w:r>
      <w:r w:rsidRPr="00172737">
        <w:rPr>
          <w:sz w:val="20"/>
          <w:szCs w:val="20"/>
          <w:lang w:val="sr-Cyrl-CS"/>
        </w:rPr>
        <w:t xml:space="preserve"> финаснија РС, </w:t>
      </w:r>
      <w:r>
        <w:rPr>
          <w:sz w:val="20"/>
          <w:szCs w:val="20"/>
          <w:lang w:val="sr-Cyrl-CS"/>
        </w:rPr>
        <w:t>извор:</w:t>
      </w:r>
      <w:hyperlink r:id="rId28" w:history="1">
        <w:r w:rsidRPr="00172737">
          <w:rPr>
            <w:rStyle w:val="Hyperlink"/>
            <w:sz w:val="20"/>
            <w:szCs w:val="20"/>
          </w:rPr>
          <w:t>http://www.mfp.gov.rs/pages/article.php?&amp;id=7603&amp;change_lang=ls</w:t>
        </w:r>
      </w:hyperlink>
      <w:r>
        <w:rPr>
          <w:sz w:val="20"/>
          <w:szCs w:val="20"/>
        </w:rPr>
        <w:t xml:space="preserve"> </w:t>
      </w:r>
      <w:r>
        <w:rPr>
          <w:sz w:val="20"/>
          <w:szCs w:val="20"/>
          <w:lang w:val="sr-Cyrl-CS"/>
        </w:rPr>
        <w:t>(28.08.2013).</w:t>
      </w:r>
    </w:p>
  </w:footnote>
  <w:footnote w:id="232">
    <w:p w:rsidR="00767127" w:rsidRPr="00D4358D" w:rsidRDefault="00767127" w:rsidP="00D4358D">
      <w:pPr>
        <w:jc w:val="both"/>
        <w:rPr>
          <w:sz w:val="20"/>
          <w:szCs w:val="20"/>
          <w:lang w:val="sr-Cyrl-CS"/>
        </w:rPr>
      </w:pPr>
      <w:r>
        <w:rPr>
          <w:rStyle w:val="FootnoteReference"/>
        </w:rPr>
        <w:footnoteRef/>
      </w:r>
      <w:r>
        <w:t xml:space="preserve"> </w:t>
      </w:r>
      <w:r>
        <w:rPr>
          <w:sz w:val="20"/>
          <w:szCs w:val="20"/>
          <w:lang w:val="sr-Cyrl-CS"/>
        </w:rPr>
        <w:t>Анализа макроекономских и фиска</w:t>
      </w:r>
      <w:r w:rsidRPr="00172737">
        <w:rPr>
          <w:sz w:val="20"/>
          <w:szCs w:val="20"/>
          <w:lang w:val="sr-Cyrl-CS"/>
        </w:rPr>
        <w:t>лних кретања у 2010.години, Министарства фина</w:t>
      </w:r>
      <w:r>
        <w:rPr>
          <w:sz w:val="20"/>
          <w:szCs w:val="20"/>
          <w:lang w:val="sr-Cyrl-CS"/>
        </w:rPr>
        <w:t>н</w:t>
      </w:r>
      <w:r w:rsidRPr="00172737">
        <w:rPr>
          <w:sz w:val="20"/>
          <w:szCs w:val="20"/>
          <w:lang w:val="sr-Cyrl-CS"/>
        </w:rPr>
        <w:t xml:space="preserve">сија РС, </w:t>
      </w:r>
      <w:r>
        <w:rPr>
          <w:sz w:val="20"/>
          <w:szCs w:val="20"/>
          <w:lang w:val="sr-Cyrl-CS"/>
        </w:rPr>
        <w:t>вид.:</w:t>
      </w:r>
      <w:hyperlink r:id="rId29" w:history="1">
        <w:r w:rsidRPr="00172737">
          <w:rPr>
            <w:rStyle w:val="Hyperlink"/>
            <w:sz w:val="20"/>
            <w:szCs w:val="20"/>
          </w:rPr>
          <w:t>http://www.mfp.gov.rs/pages/article.php?&amp;id=7603&amp;change_lang=ls</w:t>
        </w:r>
      </w:hyperlink>
      <w:r>
        <w:rPr>
          <w:sz w:val="20"/>
          <w:szCs w:val="20"/>
          <w:lang w:val="sr-Cyrl-CS"/>
        </w:rPr>
        <w:t>,(28.08.2013).</w:t>
      </w:r>
    </w:p>
  </w:footnote>
  <w:footnote w:id="233">
    <w:p w:rsidR="00767127" w:rsidRPr="00F15D9A" w:rsidRDefault="00767127">
      <w:pPr>
        <w:pStyle w:val="FootnoteText"/>
        <w:rPr>
          <w:lang w:val="sr-Cyrl-CS"/>
        </w:rPr>
      </w:pPr>
      <w:r>
        <w:rPr>
          <w:rStyle w:val="FootnoteReference"/>
        </w:rPr>
        <w:footnoteRef/>
      </w:r>
      <w:r>
        <w:t xml:space="preserve"> </w:t>
      </w:r>
      <w:r>
        <w:rPr>
          <w:lang w:val="sr-Cyrl-CS"/>
        </w:rPr>
        <w:t xml:space="preserve">Извор: </w:t>
      </w:r>
      <w:hyperlink r:id="rId30" w:history="1">
        <w:r>
          <w:rPr>
            <w:rStyle w:val="Hyperlink"/>
          </w:rPr>
          <w:t>http://www.mfin.gov.rs</w:t>
        </w:r>
      </w:hyperlink>
      <w:r>
        <w:rPr>
          <w:lang w:val="sr-Cyrl-CS"/>
        </w:rPr>
        <w:t xml:space="preserve"> (16.08.2013.)</w:t>
      </w:r>
    </w:p>
  </w:footnote>
  <w:footnote w:id="234">
    <w:p w:rsidR="00767127" w:rsidRPr="008257C3" w:rsidRDefault="00767127" w:rsidP="00870A2F">
      <w:pPr>
        <w:pStyle w:val="FootnoteText"/>
        <w:rPr>
          <w:lang w:val="sr-Cyrl-CS"/>
        </w:rPr>
      </w:pPr>
      <w:r>
        <w:rPr>
          <w:rStyle w:val="FootnoteReference"/>
        </w:rPr>
        <w:footnoteRef/>
      </w:r>
      <w:r>
        <w:t xml:space="preserve"> </w:t>
      </w:r>
      <w:r>
        <w:rPr>
          <w:lang w:val="sr-Cyrl-CS"/>
        </w:rPr>
        <w:t>Чл. 15. Закона о буџетском систему („ Службени гласник РС“, бр. 54/09, 73/10, 101/10, 101/11, 93/12 и 62/13, 63/13 и 108/13).</w:t>
      </w:r>
    </w:p>
  </w:footnote>
  <w:footnote w:id="235">
    <w:p w:rsidR="00767127" w:rsidRPr="00AF7955" w:rsidRDefault="00767127" w:rsidP="00B90C1E">
      <w:pPr>
        <w:pStyle w:val="FootnoteText"/>
        <w:jc w:val="both"/>
        <w:rPr>
          <w:lang w:val="sr-Cyrl-CS"/>
        </w:rPr>
      </w:pPr>
      <w:r>
        <w:rPr>
          <w:rStyle w:val="FootnoteReference"/>
        </w:rPr>
        <w:footnoteRef/>
      </w:r>
      <w:r>
        <w:t xml:space="preserve"> </w:t>
      </w:r>
      <w:r>
        <w:rPr>
          <w:lang w:val="sr-Cyrl-CS"/>
        </w:rPr>
        <w:t>Чл.17. Правилника о стандардном класификационом оквиру и контном плану за буџетски систем, („Слижбени гласник РС“, бр.103/2011, 10/2012, 18/2012, 95/2012, 99/2012, 22/2013, 48/2013, 61/2013, 63/2013 и 106/13).</w:t>
      </w:r>
    </w:p>
  </w:footnote>
  <w:footnote w:id="236">
    <w:p w:rsidR="00767127" w:rsidRPr="001E6397" w:rsidRDefault="00767127">
      <w:pPr>
        <w:pStyle w:val="FootnoteText"/>
        <w:rPr>
          <w:lang w:val="sr-Cyrl-CS"/>
        </w:rPr>
      </w:pPr>
      <w:r>
        <w:rPr>
          <w:rStyle w:val="FootnoteReference"/>
        </w:rPr>
        <w:footnoteRef/>
      </w:r>
      <w:r>
        <w:t xml:space="preserve"> </w:t>
      </w:r>
      <w:r>
        <w:rPr>
          <w:lang w:val="sr-Cyrl-CS"/>
        </w:rPr>
        <w:t xml:space="preserve">Дејан Поповић, </w:t>
      </w:r>
      <w:r>
        <w:rPr>
          <w:b/>
          <w:lang w:val="sr-Cyrl-CS"/>
        </w:rPr>
        <w:t>Пореско право</w:t>
      </w:r>
      <w:r>
        <w:rPr>
          <w:lang w:val="sr-Cyrl-CS"/>
        </w:rPr>
        <w:t>, Правни факултет Универзитета у Београду и ЈП „Службени гласник“, Београд, 2009, стр. 307.</w:t>
      </w:r>
    </w:p>
  </w:footnote>
  <w:footnote w:id="237">
    <w:p w:rsidR="00767127" w:rsidRPr="005360CD" w:rsidRDefault="00767127">
      <w:pPr>
        <w:pStyle w:val="FootnoteText"/>
        <w:rPr>
          <w:lang w:val="sr-Cyrl-CS"/>
        </w:rPr>
      </w:pPr>
      <w:r>
        <w:rPr>
          <w:rStyle w:val="FootnoteReference"/>
        </w:rPr>
        <w:footnoteRef/>
      </w:r>
      <w:r>
        <w:t xml:space="preserve"> </w:t>
      </w:r>
      <w:r>
        <w:rPr>
          <w:lang w:val="sr-Cyrl-CS"/>
        </w:rPr>
        <w:t xml:space="preserve">Кристијан Ристић и Жарко Ристић, </w:t>
      </w:r>
      <w:r w:rsidRPr="00291202">
        <w:rPr>
          <w:b/>
          <w:lang w:val="sr-Cyrl-CS"/>
        </w:rPr>
        <w:t>Европске јавне фина</w:t>
      </w:r>
      <w:r>
        <w:rPr>
          <w:b/>
          <w:lang w:val="sr-Cyrl-CS"/>
        </w:rPr>
        <w:t>н</w:t>
      </w:r>
      <w:r w:rsidRPr="00291202">
        <w:rPr>
          <w:b/>
          <w:lang w:val="sr-Cyrl-CS"/>
        </w:rPr>
        <w:t>сије</w:t>
      </w:r>
      <w:r>
        <w:rPr>
          <w:lang w:val="sr-Cyrl-CS"/>
        </w:rPr>
        <w:t>, ЕтноСтил, Београд, 2011, стр. 71.</w:t>
      </w:r>
    </w:p>
  </w:footnote>
  <w:footnote w:id="238">
    <w:p w:rsidR="00767127" w:rsidRPr="00BB3CD8" w:rsidRDefault="00767127" w:rsidP="00BB3CD8">
      <w:pPr>
        <w:pStyle w:val="FootnoteText"/>
        <w:rPr>
          <w:lang w:val="sr-Cyrl-CS"/>
        </w:rPr>
      </w:pPr>
      <w:r>
        <w:rPr>
          <w:rStyle w:val="FootnoteReference"/>
        </w:rPr>
        <w:footnoteRef/>
      </w:r>
      <w:r>
        <w:t xml:space="preserve"> </w:t>
      </w:r>
      <w:r>
        <w:rPr>
          <w:lang w:val="sr-Cyrl-CS"/>
        </w:rPr>
        <w:t xml:space="preserve">Милева Анђелковић, </w:t>
      </w:r>
      <w:r w:rsidRPr="00291202">
        <w:rPr>
          <w:b/>
          <w:lang w:val="sr-Cyrl-CS"/>
        </w:rPr>
        <w:t>Јавне финансије и финансијско право</w:t>
      </w:r>
      <w:r>
        <w:rPr>
          <w:lang w:val="sr-Cyrl-CS"/>
        </w:rPr>
        <w:t>, Правни факултет у Универзитета у Нишу, Ниш, 2012, стр.171-173.</w:t>
      </w:r>
    </w:p>
  </w:footnote>
  <w:footnote w:id="239">
    <w:p w:rsidR="00767127" w:rsidRPr="00C108A4" w:rsidRDefault="00767127" w:rsidP="00A83C7E">
      <w:pPr>
        <w:pStyle w:val="FootnoteText"/>
        <w:rPr>
          <w:lang w:val="sr-Cyrl-CS"/>
        </w:rPr>
      </w:pPr>
      <w:r>
        <w:rPr>
          <w:rStyle w:val="FootnoteReference"/>
        </w:rPr>
        <w:footnoteRef/>
      </w:r>
      <w:r>
        <w:t xml:space="preserve"> </w:t>
      </w:r>
      <w:r>
        <w:rPr>
          <w:lang w:val="sr-Cyrl-CS"/>
        </w:rPr>
        <w:t xml:space="preserve">Извор: </w:t>
      </w:r>
      <w:hyperlink r:id="rId31" w:history="1">
        <w:r>
          <w:rPr>
            <w:rStyle w:val="Hyperlink"/>
          </w:rPr>
          <w:t>http://www.oecd-ilibrary.org</w:t>
        </w:r>
      </w:hyperlink>
      <w:r>
        <w:rPr>
          <w:lang w:val="sr-Cyrl-CS"/>
        </w:rPr>
        <w:t xml:space="preserve"> (06.11.2013)</w:t>
      </w:r>
    </w:p>
  </w:footnote>
  <w:footnote w:id="240">
    <w:p w:rsidR="00767127" w:rsidRPr="000857AB" w:rsidRDefault="00767127" w:rsidP="00A83C7E">
      <w:pPr>
        <w:pStyle w:val="FootnoteText"/>
        <w:rPr>
          <w:lang w:val="sr-Cyrl-CS"/>
        </w:rPr>
      </w:pPr>
      <w:r>
        <w:rPr>
          <w:rStyle w:val="FootnoteReference"/>
        </w:rPr>
        <w:footnoteRef/>
      </w:r>
      <w:r>
        <w:t xml:space="preserve"> </w:t>
      </w:r>
      <w:r>
        <w:rPr>
          <w:lang w:val="sr-Cyrl-CS"/>
        </w:rPr>
        <w:t xml:space="preserve">Кристијан Ристић и Жарко Ристић, </w:t>
      </w:r>
      <w:r>
        <w:rPr>
          <w:i/>
          <w:lang w:val="sr-Cyrl-CS"/>
        </w:rPr>
        <w:t>нав. дело,</w:t>
      </w:r>
      <w:r>
        <w:rPr>
          <w:lang w:val="sr-Cyrl-CS"/>
        </w:rPr>
        <w:t xml:space="preserve"> стр. 72.</w:t>
      </w:r>
    </w:p>
  </w:footnote>
  <w:footnote w:id="241">
    <w:p w:rsidR="00767127" w:rsidRPr="00CE130F" w:rsidRDefault="00767127">
      <w:pPr>
        <w:pStyle w:val="FootnoteText"/>
        <w:rPr>
          <w:lang w:val="sr-Cyrl-CS"/>
        </w:rPr>
      </w:pPr>
      <w:r>
        <w:rPr>
          <w:rStyle w:val="FootnoteReference"/>
        </w:rPr>
        <w:footnoteRef/>
      </w:r>
      <w:r>
        <w:t xml:space="preserve"> </w:t>
      </w:r>
      <w:r>
        <w:rPr>
          <w:lang w:val="sr-Cyrl-CS"/>
        </w:rPr>
        <w:t>Чл. 63. Закона о порезу на добит правних лица („Службени гласник РС“ бр. 25/01, 80/02, 43/03, 84/04, 18/10, 101/11, 119/201 , 47/2013 и 108/13).</w:t>
      </w:r>
    </w:p>
  </w:footnote>
  <w:footnote w:id="242">
    <w:p w:rsidR="00767127" w:rsidRPr="00CE130F" w:rsidRDefault="00767127">
      <w:pPr>
        <w:pStyle w:val="FootnoteText"/>
        <w:rPr>
          <w:lang w:val="sr-Cyrl-CS"/>
        </w:rPr>
      </w:pPr>
      <w:r>
        <w:rPr>
          <w:rStyle w:val="FootnoteReference"/>
        </w:rPr>
        <w:footnoteRef/>
      </w:r>
      <w:r>
        <w:t xml:space="preserve"> </w:t>
      </w:r>
      <w:r>
        <w:rPr>
          <w:lang w:val="sr-Cyrl-CS"/>
        </w:rPr>
        <w:t>Чл. 64 Закона о порезу на добит правних лица („Службени гласник РС“ бр. 25/01, 80/02, 43/03, 84/04, 18/10, 101/11, 119/2012, 47/2013 и 108/13).</w:t>
      </w:r>
    </w:p>
  </w:footnote>
  <w:footnote w:id="243">
    <w:p w:rsidR="00767127" w:rsidRPr="00771947" w:rsidRDefault="00767127" w:rsidP="00D57F68">
      <w:pPr>
        <w:pStyle w:val="FootnoteText"/>
        <w:jc w:val="both"/>
        <w:rPr>
          <w:lang w:val="sr-Cyrl-CS"/>
        </w:rPr>
      </w:pPr>
      <w:r>
        <w:rPr>
          <w:rStyle w:val="FootnoteReference"/>
        </w:rPr>
        <w:footnoteRef/>
      </w:r>
      <w:r>
        <w:t xml:space="preserve"> </w:t>
      </w:r>
      <w:r>
        <w:rPr>
          <w:lang w:val="sr-Cyrl-CS"/>
        </w:rPr>
        <w:t>Закон о порезу на добит правних лица („Службени гласник РС“ бр. 25/01, 80/02, 43/03, 84/04, 18/10, 101/11, 119/2012, 47/2013 и 108/13).</w:t>
      </w:r>
    </w:p>
  </w:footnote>
  <w:footnote w:id="244">
    <w:p w:rsidR="00767127" w:rsidRPr="000F630E" w:rsidRDefault="00767127" w:rsidP="00D57F68">
      <w:pPr>
        <w:pStyle w:val="FootnoteText"/>
        <w:jc w:val="both"/>
        <w:rPr>
          <w:lang w:val="sr-Cyrl-CS"/>
        </w:rPr>
      </w:pPr>
      <w:r>
        <w:rPr>
          <w:rStyle w:val="FootnoteReference"/>
        </w:rPr>
        <w:footnoteRef/>
      </w:r>
      <w:r>
        <w:t xml:space="preserve"> </w:t>
      </w:r>
      <w:r>
        <w:rPr>
          <w:lang w:val="sr-Cyrl-CS"/>
        </w:rPr>
        <w:t>Закон о порезу на добит корпорација („Сл. гласник РС“ бр. 76/91)</w:t>
      </w:r>
    </w:p>
  </w:footnote>
  <w:footnote w:id="245">
    <w:p w:rsidR="00767127" w:rsidRPr="00537A03" w:rsidRDefault="00767127" w:rsidP="00D57F68">
      <w:pPr>
        <w:pStyle w:val="FootnoteText"/>
        <w:jc w:val="both"/>
        <w:rPr>
          <w:lang w:val="sr-Cyrl-CS"/>
        </w:rPr>
      </w:pPr>
      <w:r>
        <w:rPr>
          <w:rStyle w:val="FootnoteReference"/>
        </w:rPr>
        <w:footnoteRef/>
      </w:r>
      <w:r>
        <w:t xml:space="preserve"> </w:t>
      </w:r>
      <w:r>
        <w:rPr>
          <w:lang w:val="sr-Cyrl-CS"/>
        </w:rPr>
        <w:t>Чл. 3а Закон о порезу на добит правних лица („Службени гласник РС“ бр. 25/01, 80/02, 43/03, 84/04, 18/10, 101/11, 119/2012, 47/2013 и 108/13).</w:t>
      </w:r>
    </w:p>
  </w:footnote>
  <w:footnote w:id="246">
    <w:p w:rsidR="00767127" w:rsidRPr="00EA2A04" w:rsidRDefault="00767127">
      <w:pPr>
        <w:pStyle w:val="FootnoteText"/>
        <w:rPr>
          <w:lang w:val="sr-Cyrl-CS"/>
        </w:rPr>
      </w:pPr>
      <w:r>
        <w:rPr>
          <w:rStyle w:val="FootnoteReference"/>
        </w:rPr>
        <w:footnoteRef/>
      </w:r>
      <w:r>
        <w:t xml:space="preserve"> </w:t>
      </w:r>
      <w:r w:rsidRPr="000F630E">
        <w:t>“Службени гласник РС“ бр. 122/2012 od 25. 12. 2012. год,  ступио је на снагу 26.12.2012. год.</w:t>
      </w:r>
    </w:p>
  </w:footnote>
  <w:footnote w:id="247">
    <w:p w:rsidR="00767127" w:rsidRPr="008878D5" w:rsidRDefault="00767127">
      <w:pPr>
        <w:pStyle w:val="FootnoteText"/>
        <w:rPr>
          <w:lang w:val="sr-Cyrl-CS"/>
        </w:rPr>
      </w:pPr>
      <w:r w:rsidRPr="000F630E">
        <w:rPr>
          <w:rStyle w:val="FootnoteReference"/>
          <w:b/>
        </w:rPr>
        <w:footnoteRef/>
      </w:r>
      <w:r w:rsidRPr="000F630E">
        <w:rPr>
          <w:b/>
        </w:rPr>
        <w:t xml:space="preserve"> </w:t>
      </w:r>
      <w:r w:rsidRPr="000F630E">
        <w:rPr>
          <w:lang w:val="sr-Cyrl-CS"/>
        </w:rPr>
        <w:t xml:space="preserve">Срђан Ђинђић, </w:t>
      </w:r>
      <w:r w:rsidRPr="00C26D50">
        <w:rPr>
          <w:b/>
          <w:lang w:val="sr-Cyrl-CS"/>
        </w:rPr>
        <w:t>Принципи опорезивања корпорација развијених земаља света</w:t>
      </w:r>
      <w:r w:rsidRPr="000F630E">
        <w:rPr>
          <w:lang w:val="sr-Cyrl-CS"/>
        </w:rPr>
        <w:t xml:space="preserve">, </w:t>
      </w:r>
      <w:r w:rsidRPr="00C26D50">
        <w:rPr>
          <w:i/>
          <w:lang w:val="sr-Cyrl-CS"/>
        </w:rPr>
        <w:t>Финасије</w:t>
      </w:r>
      <w:r w:rsidRPr="000F630E">
        <w:rPr>
          <w:lang w:val="sr-Cyrl-CS"/>
        </w:rPr>
        <w:t>, бр.</w:t>
      </w:r>
      <w:r>
        <w:rPr>
          <w:lang w:val="sr-Cyrl-CS"/>
        </w:rPr>
        <w:t xml:space="preserve"> 11-12, 1995, стр. 761.</w:t>
      </w:r>
    </w:p>
  </w:footnote>
  <w:footnote w:id="248">
    <w:p w:rsidR="00767127" w:rsidRPr="00163ACE" w:rsidRDefault="00767127">
      <w:pPr>
        <w:pStyle w:val="FootnoteText"/>
        <w:rPr>
          <w:lang w:val="sr-Cyrl-CS"/>
        </w:rPr>
      </w:pPr>
      <w:r>
        <w:rPr>
          <w:rStyle w:val="FootnoteReference"/>
        </w:rPr>
        <w:footnoteRef/>
      </w:r>
      <w:r>
        <w:t xml:space="preserve"> </w:t>
      </w:r>
      <w:r>
        <w:rPr>
          <w:lang w:val="sr-Cyrl-CS"/>
        </w:rPr>
        <w:t>Закон о порезу на добит правних лица чл. 7а („Службени гласник РС“ бр. 25/01, 80/02, 43/03, 84/04, 18/10, 101/11, 119/2012 и 47/2013).</w:t>
      </w:r>
    </w:p>
  </w:footnote>
  <w:footnote w:id="249">
    <w:p w:rsidR="00767127" w:rsidRPr="00D40B0C" w:rsidRDefault="00767127">
      <w:pPr>
        <w:pStyle w:val="FootnoteText"/>
        <w:rPr>
          <w:lang w:val="sr-Cyrl-CS"/>
        </w:rPr>
      </w:pPr>
      <w:r>
        <w:rPr>
          <w:rStyle w:val="FootnoteReference"/>
        </w:rPr>
        <w:footnoteRef/>
      </w:r>
      <w:r>
        <w:t xml:space="preserve"> </w:t>
      </w:r>
      <w:r>
        <w:rPr>
          <w:lang w:val="sr-Cyrl-CS"/>
        </w:rPr>
        <w:t>Закон о порезу на добит правних лица чл. 39  („Службени гласник РС“ бр. 25/01, 80/02, 43/03, 84/04, 18/10, 101/11, 119/2012 и 47/2013</w:t>
      </w:r>
    </w:p>
  </w:footnote>
  <w:footnote w:id="250">
    <w:p w:rsidR="00767127" w:rsidRPr="00C45DB5" w:rsidRDefault="00767127">
      <w:pPr>
        <w:pStyle w:val="FootnoteText"/>
        <w:rPr>
          <w:lang w:val="sr-Cyrl-CS"/>
        </w:rPr>
      </w:pPr>
      <w:r>
        <w:rPr>
          <w:rStyle w:val="FootnoteReference"/>
        </w:rPr>
        <w:footnoteRef/>
      </w:r>
      <w:r>
        <w:t xml:space="preserve"> </w:t>
      </w:r>
      <w:r>
        <w:rPr>
          <w:lang w:val="sr-Cyrl-CS"/>
        </w:rPr>
        <w:t>Чл. 40. Закон о порезу на добит правних лица   („Службени гласник РС“ бр. 25/01, 80/02, 43/03, 84/04, 18/10, 101/11, 119/2012 и 47/2013</w:t>
      </w:r>
    </w:p>
  </w:footnote>
  <w:footnote w:id="251">
    <w:p w:rsidR="00767127" w:rsidRPr="007C6ECE" w:rsidRDefault="00767127" w:rsidP="00B90C1E">
      <w:pPr>
        <w:pStyle w:val="FootnoteText"/>
        <w:jc w:val="both"/>
        <w:rPr>
          <w:lang w:val="sr-Cyrl-CS"/>
        </w:rPr>
      </w:pPr>
      <w:r>
        <w:rPr>
          <w:rStyle w:val="FootnoteReference"/>
        </w:rPr>
        <w:footnoteRef/>
      </w:r>
      <w:r>
        <w:t xml:space="preserve"> </w:t>
      </w:r>
      <w:r>
        <w:rPr>
          <w:lang w:val="sr-Cyrl-CS"/>
        </w:rPr>
        <w:t xml:space="preserve">Жарко Ристић и Душан Јовановић, </w:t>
      </w:r>
      <w:r w:rsidRPr="00C26D50">
        <w:rPr>
          <w:b/>
          <w:lang w:val="sr-Cyrl-CS"/>
        </w:rPr>
        <w:t>Компаративни фискални системи</w:t>
      </w:r>
      <w:r>
        <w:rPr>
          <w:lang w:val="sr-Cyrl-CS"/>
        </w:rPr>
        <w:t>, ЈП „Службени лист СРЈ“, Београд, 1992, стр. 389.</w:t>
      </w:r>
    </w:p>
  </w:footnote>
  <w:footnote w:id="252">
    <w:p w:rsidR="00767127" w:rsidRPr="009C4F98" w:rsidRDefault="00767127" w:rsidP="009C4F98">
      <w:pPr>
        <w:pStyle w:val="FootnoteText"/>
        <w:rPr>
          <w:lang w:val="sr-Cyrl-CS"/>
        </w:rPr>
      </w:pPr>
      <w:r>
        <w:rPr>
          <w:rStyle w:val="FootnoteReference"/>
        </w:rPr>
        <w:footnoteRef/>
      </w:r>
      <w:r>
        <w:t xml:space="preserve"> </w:t>
      </w:r>
      <w:r>
        <w:rPr>
          <w:lang w:val="sr-Cyrl-CS"/>
        </w:rPr>
        <w:t xml:space="preserve">Извор: </w:t>
      </w:r>
      <w:hyperlink r:id="rId32" w:history="1">
        <w:r>
          <w:rPr>
            <w:rStyle w:val="Hyperlink"/>
          </w:rPr>
          <w:t>http://www.kpmg.com</w:t>
        </w:r>
      </w:hyperlink>
      <w:r>
        <w:rPr>
          <w:lang w:val="sr-Cyrl-CS"/>
        </w:rPr>
        <w:t xml:space="preserve"> (06.11.2013.)</w:t>
      </w:r>
    </w:p>
  </w:footnote>
  <w:footnote w:id="253">
    <w:p w:rsidR="00767127" w:rsidRPr="00C26D50" w:rsidRDefault="00767127" w:rsidP="00216C06">
      <w:pPr>
        <w:autoSpaceDE w:val="0"/>
        <w:autoSpaceDN w:val="0"/>
        <w:adjustRightInd w:val="0"/>
        <w:spacing w:after="0" w:line="240" w:lineRule="auto"/>
        <w:jc w:val="both"/>
        <w:rPr>
          <w:rFonts w:cs="Calibri"/>
          <w:lang w:val="sr-Cyrl-CS"/>
        </w:rPr>
      </w:pPr>
      <w:r>
        <w:rPr>
          <w:rStyle w:val="FootnoteReference"/>
        </w:rPr>
        <w:footnoteRef/>
      </w:r>
      <w:r>
        <w:rPr>
          <w:lang w:val="sr-Cyrl-CS"/>
        </w:rPr>
        <w:t xml:space="preserve"> </w:t>
      </w:r>
      <w:r w:rsidRPr="00060971">
        <w:rPr>
          <w:sz w:val="20"/>
          <w:szCs w:val="20"/>
          <w:lang w:val="sr-Cyrl-CS"/>
        </w:rPr>
        <w:t>А.</w:t>
      </w:r>
      <w:r>
        <w:t xml:space="preserve"> </w:t>
      </w:r>
      <w:r>
        <w:rPr>
          <w:rFonts w:cs="Calibri"/>
          <w:sz w:val="20"/>
          <w:szCs w:val="20"/>
        </w:rPr>
        <w:t>Johannson</w:t>
      </w:r>
      <w:r w:rsidRPr="00216C06">
        <w:rPr>
          <w:rFonts w:cs="Calibri"/>
          <w:sz w:val="20"/>
          <w:szCs w:val="20"/>
        </w:rPr>
        <w:t>,</w:t>
      </w:r>
      <w:r>
        <w:rPr>
          <w:rFonts w:cs="Calibri"/>
          <w:sz w:val="20"/>
          <w:szCs w:val="20"/>
          <w:lang w:val="sr-Cyrl-CS"/>
        </w:rPr>
        <w:t xml:space="preserve"> et al., </w:t>
      </w:r>
      <w:r w:rsidRPr="00C26D50">
        <w:rPr>
          <w:rFonts w:cs="Calibri"/>
          <w:b/>
          <w:sz w:val="20"/>
          <w:szCs w:val="20"/>
        </w:rPr>
        <w:t>Taxation</w:t>
      </w:r>
      <w:r w:rsidRPr="00C26D50">
        <w:rPr>
          <w:rFonts w:cs="Calibri"/>
          <w:b/>
          <w:sz w:val="20"/>
          <w:szCs w:val="20"/>
          <w:lang w:val="sr-Cyrl-CS"/>
        </w:rPr>
        <w:t xml:space="preserve"> </w:t>
      </w:r>
      <w:r w:rsidRPr="00C26D50">
        <w:rPr>
          <w:rFonts w:cs="Calibri"/>
          <w:b/>
          <w:sz w:val="20"/>
          <w:szCs w:val="20"/>
        </w:rPr>
        <w:t>and Economic Growth</w:t>
      </w:r>
      <w:r w:rsidRPr="00216C06">
        <w:rPr>
          <w:rFonts w:cs="Calibri"/>
          <w:sz w:val="20"/>
          <w:szCs w:val="20"/>
        </w:rPr>
        <w:t>, OECD Economic Department Working Paper</w:t>
      </w:r>
      <w:r>
        <w:rPr>
          <w:rFonts w:cs="Calibri"/>
          <w:sz w:val="20"/>
          <w:szCs w:val="20"/>
          <w:lang w:val="sr-Cyrl-CS"/>
        </w:rPr>
        <w:t xml:space="preserve">, 2008, </w:t>
      </w:r>
      <w:r w:rsidRPr="00216C06">
        <w:rPr>
          <w:rFonts w:cs="Calibri"/>
          <w:sz w:val="20"/>
          <w:szCs w:val="20"/>
        </w:rPr>
        <w:t xml:space="preserve"> No</w:t>
      </w:r>
      <w:r w:rsidRPr="00216C06">
        <w:rPr>
          <w:rFonts w:cs="Calibri"/>
          <w:sz w:val="20"/>
          <w:szCs w:val="20"/>
          <w:lang w:val="sr-Cyrl-CS"/>
        </w:rPr>
        <w:t xml:space="preserve"> </w:t>
      </w:r>
      <w:r w:rsidRPr="00216C06">
        <w:rPr>
          <w:rFonts w:cs="Calibri"/>
          <w:sz w:val="20"/>
          <w:szCs w:val="20"/>
        </w:rPr>
        <w:t>620, OECD Publishing</w:t>
      </w:r>
      <w:r>
        <w:rPr>
          <w:rFonts w:cs="Calibri"/>
          <w:sz w:val="20"/>
          <w:szCs w:val="20"/>
          <w:lang w:val="sr-Cyrl-CS"/>
        </w:rPr>
        <w:t xml:space="preserve"> (Извор: </w:t>
      </w:r>
      <w:hyperlink r:id="rId33" w:history="1">
        <w:r w:rsidRPr="007F3FAA">
          <w:rPr>
            <w:rStyle w:val="Hyperlink"/>
            <w:rFonts w:cs="Calibri"/>
            <w:sz w:val="20"/>
            <w:szCs w:val="20"/>
            <w:lang w:val="sr-Cyrl-CS"/>
          </w:rPr>
          <w:t>http://www.oecd.org</w:t>
        </w:r>
      </w:hyperlink>
      <w:r>
        <w:rPr>
          <w:rFonts w:cs="Calibri"/>
          <w:sz w:val="20"/>
          <w:szCs w:val="20"/>
          <w:lang w:val="sr-Cyrl-CS"/>
        </w:rPr>
        <w:t xml:space="preserve">). </w:t>
      </w:r>
    </w:p>
  </w:footnote>
  <w:footnote w:id="254">
    <w:p w:rsidR="00767127" w:rsidRPr="00EF7DC6" w:rsidRDefault="00767127" w:rsidP="00711270">
      <w:pPr>
        <w:pStyle w:val="FootnoteText"/>
        <w:jc w:val="both"/>
        <w:rPr>
          <w:lang w:val="sr-Cyrl-CS"/>
        </w:rPr>
      </w:pPr>
      <w:r>
        <w:rPr>
          <w:rStyle w:val="FootnoteReference"/>
        </w:rPr>
        <w:footnoteRef/>
      </w:r>
      <w:r>
        <w:t xml:space="preserve"> </w:t>
      </w:r>
      <w:r>
        <w:rPr>
          <w:lang w:val="sr-Cyrl-CS"/>
        </w:rPr>
        <w:t xml:space="preserve">Јован Ранковић, </w:t>
      </w:r>
      <w:r w:rsidRPr="00EF7DC6">
        <w:rPr>
          <w:b/>
          <w:lang w:val="sr-Cyrl-CS"/>
        </w:rPr>
        <w:t>Теорија биланса</w:t>
      </w:r>
      <w:r>
        <w:rPr>
          <w:lang w:val="sr-Cyrl-CS"/>
        </w:rPr>
        <w:t>, Економски факултет Универзитета у Београду, Београд, 1992, стр. 163.</w:t>
      </w:r>
    </w:p>
  </w:footnote>
  <w:footnote w:id="255">
    <w:p w:rsidR="00767127" w:rsidRPr="00B00377" w:rsidRDefault="00767127">
      <w:pPr>
        <w:pStyle w:val="FootnoteText"/>
        <w:rPr>
          <w:lang w:val="sr-Cyrl-CS"/>
        </w:rPr>
      </w:pPr>
      <w:r>
        <w:rPr>
          <w:rStyle w:val="FootnoteReference"/>
        </w:rPr>
        <w:footnoteRef/>
      </w:r>
      <w:r>
        <w:t xml:space="preserve"> </w:t>
      </w:r>
      <w:r>
        <w:rPr>
          <w:lang w:val="sr-Cyrl-CS"/>
        </w:rPr>
        <w:t>Закон о рачуноводству чл. 11  („Службени гласник РС“ бр. 62/13).</w:t>
      </w:r>
    </w:p>
  </w:footnote>
  <w:footnote w:id="256">
    <w:p w:rsidR="00767127" w:rsidRPr="006753A9" w:rsidRDefault="00767127">
      <w:pPr>
        <w:pStyle w:val="FootnoteText"/>
        <w:rPr>
          <w:lang w:val="sr-Cyrl-CS"/>
        </w:rPr>
      </w:pPr>
      <w:r>
        <w:rPr>
          <w:rStyle w:val="FootnoteReference"/>
        </w:rPr>
        <w:footnoteRef/>
      </w:r>
      <w:r>
        <w:t xml:space="preserve"> </w:t>
      </w:r>
      <w:r>
        <w:rPr>
          <w:lang w:val="sr-Cyrl-CS"/>
        </w:rPr>
        <w:t>Закон о рачуноводству чл.11  („Службени гласник РС“ бр. 62/13).</w:t>
      </w:r>
    </w:p>
  </w:footnote>
  <w:footnote w:id="257">
    <w:p w:rsidR="00767127" w:rsidRPr="006753A9" w:rsidRDefault="00767127">
      <w:pPr>
        <w:pStyle w:val="FootnoteText"/>
        <w:rPr>
          <w:lang w:val="sr-Cyrl-CS"/>
        </w:rPr>
      </w:pPr>
      <w:r>
        <w:rPr>
          <w:rStyle w:val="FootnoteReference"/>
        </w:rPr>
        <w:footnoteRef/>
      </w:r>
      <w:r>
        <w:t xml:space="preserve"> </w:t>
      </w:r>
      <w:r>
        <w:rPr>
          <w:lang w:val="sr-Cyrl-CS"/>
        </w:rPr>
        <w:t>Закон о рачуноводству чл.24  („Службени гласник РС“ бр. 62/13).</w:t>
      </w:r>
    </w:p>
  </w:footnote>
  <w:footnote w:id="258">
    <w:p w:rsidR="00767127" w:rsidRPr="00EB64CF" w:rsidRDefault="00767127">
      <w:pPr>
        <w:pStyle w:val="FootnoteText"/>
        <w:rPr>
          <w:lang w:val="sr-Cyrl-CS"/>
        </w:rPr>
      </w:pPr>
      <w:r>
        <w:rPr>
          <w:rStyle w:val="FootnoteReference"/>
        </w:rPr>
        <w:footnoteRef/>
      </w:r>
      <w:r>
        <w:t xml:space="preserve"> </w:t>
      </w:r>
      <w:r>
        <w:rPr>
          <w:lang w:val="sr-Cyrl-CS"/>
        </w:rPr>
        <w:t xml:space="preserve">„Службени гласник РС“ бр114/06, 119/08, 9/09, 4/10, 3/11 и 101/12. </w:t>
      </w:r>
    </w:p>
  </w:footnote>
  <w:footnote w:id="259">
    <w:p w:rsidR="00767127" w:rsidRPr="00A74BD1" w:rsidRDefault="00767127">
      <w:pPr>
        <w:pStyle w:val="FootnoteText"/>
        <w:rPr>
          <w:lang w:val="sr-Cyrl-CS"/>
        </w:rPr>
      </w:pPr>
      <w:r>
        <w:rPr>
          <w:rStyle w:val="FootnoteReference"/>
        </w:rPr>
        <w:footnoteRef/>
      </w:r>
      <w:r>
        <w:t xml:space="preserve"> </w:t>
      </w:r>
      <w:r>
        <w:rPr>
          <w:lang w:val="sr-Cyrl-CS"/>
        </w:rPr>
        <w:t>Према МРС1</w:t>
      </w:r>
    </w:p>
  </w:footnote>
  <w:footnote w:id="260">
    <w:p w:rsidR="00767127" w:rsidRPr="00B836FA" w:rsidRDefault="00767127" w:rsidP="005B720C">
      <w:pPr>
        <w:pStyle w:val="FootnoteText"/>
        <w:rPr>
          <w:lang w:val="sr-Cyrl-CS"/>
        </w:rPr>
      </w:pPr>
      <w:r>
        <w:rPr>
          <w:rStyle w:val="FootnoteReference"/>
        </w:rPr>
        <w:footnoteRef/>
      </w:r>
      <w:r>
        <w:t xml:space="preserve"> </w:t>
      </w:r>
      <w:r>
        <w:rPr>
          <w:lang w:val="sr-Cyrl-CS"/>
        </w:rPr>
        <w:t>Чл. 2. Закон о рачуноводству  („Службени гласник РС“ бр. 62/13).</w:t>
      </w:r>
    </w:p>
  </w:footnote>
  <w:footnote w:id="261">
    <w:p w:rsidR="00767127" w:rsidRPr="00711270" w:rsidRDefault="00767127" w:rsidP="00711270">
      <w:pPr>
        <w:pStyle w:val="FootnoteText"/>
        <w:jc w:val="both"/>
        <w:rPr>
          <w:i/>
        </w:rPr>
      </w:pPr>
      <w:r>
        <w:rPr>
          <w:rStyle w:val="FootnoteReference"/>
        </w:rPr>
        <w:footnoteRef/>
      </w:r>
      <w:r>
        <w:t xml:space="preserve"> </w:t>
      </w:r>
      <w:r w:rsidRPr="000D197C">
        <w:rPr>
          <w:lang w:val="sr-Cyrl-CS"/>
        </w:rPr>
        <w:t xml:space="preserve">Марко Петровић, </w:t>
      </w:r>
      <w:r w:rsidRPr="000D197C">
        <w:t xml:space="preserve"> </w:t>
      </w:r>
      <w:r w:rsidRPr="000D197C">
        <w:rPr>
          <w:b/>
        </w:rPr>
        <w:t>Смисао и корист од ра</w:t>
      </w:r>
      <w:r w:rsidRPr="000D197C">
        <w:rPr>
          <w:b/>
          <w:lang w:val="sr-Cyrl-CS"/>
        </w:rPr>
        <w:t>ч</w:t>
      </w:r>
      <w:r w:rsidRPr="000D197C">
        <w:rPr>
          <w:b/>
        </w:rPr>
        <w:t>уноводствени</w:t>
      </w:r>
      <w:r w:rsidRPr="000D197C">
        <w:rPr>
          <w:b/>
          <w:lang w:val="sr-Cyrl-CS"/>
        </w:rPr>
        <w:t>х</w:t>
      </w:r>
      <w:r w:rsidRPr="000D197C">
        <w:rPr>
          <w:b/>
        </w:rPr>
        <w:t xml:space="preserve"> стандарда</w:t>
      </w:r>
      <w:r w:rsidRPr="000D197C">
        <w:t xml:space="preserve">, </w:t>
      </w:r>
      <w:r w:rsidRPr="000D197C">
        <w:rPr>
          <w:i/>
        </w:rPr>
        <w:t>Примена Међународни</w:t>
      </w:r>
      <w:r w:rsidRPr="000D197C">
        <w:rPr>
          <w:i/>
          <w:lang w:val="sr-Cyrl-CS"/>
        </w:rPr>
        <w:t>х</w:t>
      </w:r>
      <w:r>
        <w:rPr>
          <w:i/>
          <w:lang w:val="sr-Cyrl-CS"/>
        </w:rPr>
        <w:t xml:space="preserve"> </w:t>
      </w:r>
      <w:r w:rsidRPr="000D197C">
        <w:rPr>
          <w:i/>
        </w:rPr>
        <w:t>ра</w:t>
      </w:r>
      <w:r w:rsidRPr="000D197C">
        <w:rPr>
          <w:i/>
          <w:lang w:val="sr-Cyrl-CS"/>
        </w:rPr>
        <w:t>ч</w:t>
      </w:r>
      <w:r w:rsidRPr="000D197C">
        <w:rPr>
          <w:i/>
        </w:rPr>
        <w:t>уноводствени</w:t>
      </w:r>
      <w:r w:rsidRPr="000D197C">
        <w:rPr>
          <w:i/>
          <w:lang w:val="sr-Cyrl-CS"/>
        </w:rPr>
        <w:t>х</w:t>
      </w:r>
      <w:r w:rsidRPr="000D197C">
        <w:rPr>
          <w:i/>
        </w:rPr>
        <w:t xml:space="preserve"> стандарда</w:t>
      </w:r>
      <w:r w:rsidRPr="000D197C">
        <w:t xml:space="preserve">, </w:t>
      </w:r>
      <w:r>
        <w:t>Књига</w:t>
      </w:r>
      <w:r w:rsidRPr="000D197C">
        <w:t xml:space="preserve"> </w:t>
      </w:r>
      <w:r>
        <w:rPr>
          <w:lang w:val="sr-Cyrl-CS"/>
        </w:rPr>
        <w:t>II</w:t>
      </w:r>
      <w:r w:rsidRPr="000D197C">
        <w:t xml:space="preserve">, </w:t>
      </w:r>
      <w:r>
        <w:t>Савез</w:t>
      </w:r>
      <w:r w:rsidRPr="000D197C">
        <w:t xml:space="preserve"> </w:t>
      </w:r>
      <w:r>
        <w:t>ра</w:t>
      </w:r>
      <w:r>
        <w:rPr>
          <w:lang w:val="sr-Cyrl-CS"/>
        </w:rPr>
        <w:t>ч</w:t>
      </w:r>
      <w:r>
        <w:t>уновођа</w:t>
      </w:r>
      <w:r w:rsidRPr="000D197C">
        <w:t xml:space="preserve"> </w:t>
      </w:r>
      <w:r>
        <w:t>и</w:t>
      </w:r>
      <w:r w:rsidRPr="000D197C">
        <w:t xml:space="preserve"> </w:t>
      </w:r>
      <w:r>
        <w:t>ревизора</w:t>
      </w:r>
      <w:r w:rsidRPr="000D197C">
        <w:t xml:space="preserve"> </w:t>
      </w:r>
      <w:r>
        <w:t>Србије</w:t>
      </w:r>
      <w:r w:rsidRPr="000D197C">
        <w:t xml:space="preserve">, </w:t>
      </w:r>
      <w:r>
        <w:t>Београд, 2002</w:t>
      </w:r>
      <w:r>
        <w:rPr>
          <w:lang w:val="sr-Cyrl-CS"/>
        </w:rPr>
        <w:t>, стр. 372.</w:t>
      </w:r>
    </w:p>
  </w:footnote>
  <w:footnote w:id="262">
    <w:p w:rsidR="00767127" w:rsidRPr="005B720C" w:rsidRDefault="00767127">
      <w:pPr>
        <w:pStyle w:val="FootnoteText"/>
        <w:rPr>
          <w:lang w:val="sr-Cyrl-CS"/>
        </w:rPr>
      </w:pPr>
      <w:r>
        <w:rPr>
          <w:rStyle w:val="FootnoteReference"/>
        </w:rPr>
        <w:footnoteRef/>
      </w:r>
      <w:r>
        <w:t xml:space="preserve"> </w:t>
      </w:r>
      <w:r>
        <w:rPr>
          <w:lang w:val="sr-Cyrl-CS"/>
        </w:rPr>
        <w:t xml:space="preserve"> Закон о рачуноводству чл. 2  („Службени гласник РС“ бр. 62/13).</w:t>
      </w:r>
    </w:p>
  </w:footnote>
  <w:footnote w:id="263">
    <w:p w:rsidR="00767127" w:rsidRPr="00C0657D" w:rsidRDefault="00767127" w:rsidP="00836DF6">
      <w:pPr>
        <w:pStyle w:val="FootnoteText"/>
        <w:rPr>
          <w:lang w:val="sr-Cyrl-CS"/>
        </w:rPr>
      </w:pPr>
      <w:r>
        <w:rPr>
          <w:rStyle w:val="FootnoteReference"/>
        </w:rPr>
        <w:footnoteRef/>
      </w:r>
      <w:r>
        <w:t xml:space="preserve"> </w:t>
      </w:r>
      <w:r>
        <w:rPr>
          <w:lang w:val="sr-Cyrl-CS"/>
        </w:rPr>
        <w:t>Чл. 46. Закона о порезу на добит правних лица („Сл. гасник РС“ бр. 25/01...108/13).</w:t>
      </w:r>
    </w:p>
  </w:footnote>
  <w:footnote w:id="264">
    <w:p w:rsidR="00767127" w:rsidRPr="00C77615" w:rsidRDefault="00767127" w:rsidP="00D57F68">
      <w:pPr>
        <w:pStyle w:val="FootnoteText"/>
        <w:jc w:val="both"/>
        <w:rPr>
          <w:lang w:val="sr-Cyrl-CS"/>
        </w:rPr>
      </w:pPr>
      <w:r>
        <w:rPr>
          <w:rStyle w:val="FootnoteReference"/>
        </w:rPr>
        <w:footnoteRef/>
      </w:r>
      <w:r>
        <w:rPr>
          <w:lang w:val="sr-Cyrl-CS"/>
        </w:rPr>
        <w:t xml:space="preserve"> Марко Радичић и Божидар Раичевић, </w:t>
      </w:r>
      <w:r w:rsidRPr="00C26D50">
        <w:rPr>
          <w:b/>
          <w:lang w:val="sr-Cyrl-CS"/>
        </w:rPr>
        <w:t>Јавне финансије теорија и пракса</w:t>
      </w:r>
      <w:r>
        <w:rPr>
          <w:lang w:val="sr-Cyrl-CS"/>
        </w:rPr>
        <w:t>, Дата статус, Београд, 2011, стр. 136-137.</w:t>
      </w:r>
    </w:p>
  </w:footnote>
  <w:footnote w:id="265">
    <w:p w:rsidR="00767127" w:rsidRPr="00951749" w:rsidRDefault="00767127" w:rsidP="00D57F68">
      <w:pPr>
        <w:pStyle w:val="FootnoteText"/>
        <w:jc w:val="both"/>
        <w:rPr>
          <w:lang w:val="sr-Cyrl-CS"/>
        </w:rPr>
      </w:pPr>
      <w:r>
        <w:rPr>
          <w:rStyle w:val="FootnoteReference"/>
        </w:rPr>
        <w:footnoteRef/>
      </w:r>
      <w:r>
        <w:t xml:space="preserve"> </w:t>
      </w:r>
      <w:r>
        <w:rPr>
          <w:lang w:val="sr-Cyrl-CS"/>
        </w:rPr>
        <w:t>Ово је било прописано чл. 42. и 43. Закона о порезу на добит правних лица („Сл. гасник РС“ бр. 25/01, 80/02, 43/03 и 84/04).</w:t>
      </w:r>
    </w:p>
  </w:footnote>
  <w:footnote w:id="266">
    <w:p w:rsidR="00767127" w:rsidRPr="00951749" w:rsidRDefault="00767127" w:rsidP="00D57F68">
      <w:pPr>
        <w:pStyle w:val="FootnoteText"/>
        <w:jc w:val="both"/>
        <w:rPr>
          <w:lang w:val="sr-Cyrl-CS"/>
        </w:rPr>
      </w:pPr>
      <w:r>
        <w:rPr>
          <w:rStyle w:val="FootnoteReference"/>
        </w:rPr>
        <w:footnoteRef/>
      </w:r>
      <w:r>
        <w:t xml:space="preserve"> </w:t>
      </w:r>
      <w:r>
        <w:rPr>
          <w:lang w:val="sr-Cyrl-CS"/>
        </w:rPr>
        <w:t>Ово је било прописано чл. 45.  Закона о порезу на добит правних лица („Сл. гасник РС“ бр. 25/01, 80/02, 43/03, 84/04, 18/10, 101/11 и 119/12 ).</w:t>
      </w:r>
    </w:p>
  </w:footnote>
  <w:footnote w:id="267">
    <w:p w:rsidR="00767127" w:rsidRPr="007203B4" w:rsidRDefault="00767127" w:rsidP="00D57F68">
      <w:pPr>
        <w:pStyle w:val="FootnoteText"/>
        <w:jc w:val="both"/>
        <w:rPr>
          <w:lang w:val="sr-Cyrl-CS"/>
        </w:rPr>
      </w:pPr>
      <w:r>
        <w:rPr>
          <w:rStyle w:val="FootnoteReference"/>
        </w:rPr>
        <w:footnoteRef/>
      </w:r>
      <w:r>
        <w:t xml:space="preserve"> </w:t>
      </w:r>
      <w:r>
        <w:rPr>
          <w:lang w:val="sr-Cyrl-CS"/>
        </w:rPr>
        <w:t>Ово је било прописано чл. 46.а Закона о порезу на добит правних лица („Сл. гасник РС“ бр. 25/01, 80/02, 43/03, 84/04, 18/10 и 101/11)</w:t>
      </w:r>
    </w:p>
  </w:footnote>
  <w:footnote w:id="268">
    <w:p w:rsidR="00767127" w:rsidRPr="007203B4" w:rsidRDefault="00767127" w:rsidP="00D57F68">
      <w:pPr>
        <w:pStyle w:val="FootnoteText"/>
        <w:jc w:val="both"/>
        <w:rPr>
          <w:lang w:val="sr-Cyrl-CS"/>
        </w:rPr>
      </w:pPr>
      <w:r>
        <w:rPr>
          <w:rStyle w:val="FootnoteReference"/>
        </w:rPr>
        <w:footnoteRef/>
      </w:r>
      <w:r>
        <w:t xml:space="preserve"> </w:t>
      </w:r>
      <w:r>
        <w:rPr>
          <w:lang w:val="sr-Cyrl-CS"/>
        </w:rPr>
        <w:t>Ово је било прописано чл. 47.  Закона о порезу на добит правних лица („Сл. гасник РС“ бр. 25/01, 80/02, 43/03, 84/04, 18/10 и 101/11)</w:t>
      </w:r>
    </w:p>
  </w:footnote>
  <w:footnote w:id="269">
    <w:p w:rsidR="00767127" w:rsidRPr="007203B4" w:rsidRDefault="00767127" w:rsidP="00D57F68">
      <w:pPr>
        <w:pStyle w:val="FootnoteText"/>
        <w:jc w:val="both"/>
        <w:rPr>
          <w:lang w:val="sr-Cyrl-CS"/>
        </w:rPr>
      </w:pPr>
      <w:r>
        <w:rPr>
          <w:rStyle w:val="FootnoteReference"/>
        </w:rPr>
        <w:footnoteRef/>
      </w:r>
      <w:r>
        <w:t xml:space="preserve"> </w:t>
      </w:r>
      <w:r>
        <w:rPr>
          <w:lang w:val="sr-Cyrl-CS"/>
        </w:rPr>
        <w:t>Ово је било прописано чл. 48.а  Закона о порезу на добит правних лица („Сл. гасник РС“ бр. 25/01, 80/02, 43/03, 84/04, 18/10 и 101/119).</w:t>
      </w:r>
    </w:p>
  </w:footnote>
  <w:footnote w:id="270">
    <w:p w:rsidR="00767127" w:rsidRPr="007203B4" w:rsidRDefault="00767127" w:rsidP="00D57F68">
      <w:pPr>
        <w:pStyle w:val="FootnoteText"/>
        <w:jc w:val="both"/>
        <w:rPr>
          <w:lang w:val="sr-Cyrl-CS"/>
        </w:rPr>
      </w:pPr>
      <w:r>
        <w:rPr>
          <w:rStyle w:val="FootnoteReference"/>
        </w:rPr>
        <w:footnoteRef/>
      </w:r>
      <w:r>
        <w:rPr>
          <w:lang w:val="sr-Cyrl-CS"/>
        </w:rPr>
        <w:t xml:space="preserve">Ово је било прописано чл. 50б.  Закона о порезу на добит правних лица („Сл. гасник РС“ бр. 25/01, 80/02, 43/03, 84/04, 18/10 и 101/11). </w:t>
      </w:r>
      <w:r>
        <w:t xml:space="preserve"> </w:t>
      </w:r>
    </w:p>
  </w:footnote>
  <w:footnote w:id="271">
    <w:p w:rsidR="00767127" w:rsidRPr="0054074E" w:rsidRDefault="00767127" w:rsidP="00D57F68">
      <w:pPr>
        <w:pStyle w:val="FootnoteText"/>
        <w:rPr>
          <w:lang w:val="sr-Cyrl-CS"/>
        </w:rPr>
      </w:pPr>
      <w:r>
        <w:rPr>
          <w:rStyle w:val="FootnoteReference"/>
        </w:rPr>
        <w:footnoteRef/>
      </w:r>
      <w:r>
        <w:t xml:space="preserve"> </w:t>
      </w:r>
      <w:r>
        <w:rPr>
          <w:lang w:val="sr-Cyrl-CS"/>
        </w:rPr>
        <w:t>Чл.50.а Закона о порезу на добит правних лица („Сл. гасник РС“ бр. 25/01...108/13).</w:t>
      </w:r>
    </w:p>
  </w:footnote>
  <w:footnote w:id="272">
    <w:p w:rsidR="00767127" w:rsidRPr="00951749" w:rsidRDefault="00767127" w:rsidP="00B90C1E">
      <w:pPr>
        <w:pStyle w:val="FootnoteText"/>
        <w:rPr>
          <w:lang w:val="sr-Cyrl-CS"/>
        </w:rPr>
      </w:pPr>
      <w:r>
        <w:rPr>
          <w:rStyle w:val="FootnoteReference"/>
        </w:rPr>
        <w:footnoteRef/>
      </w:r>
      <w:r>
        <w:t xml:space="preserve"> </w:t>
      </w:r>
      <w:r>
        <w:rPr>
          <w:lang w:val="sr-Cyrl-CS"/>
        </w:rPr>
        <w:t>Чл.48. Закона о порезу на добит правних лица („Сл. гасник РС“ бр. 25/01...47/13).</w:t>
      </w:r>
    </w:p>
  </w:footnote>
  <w:footnote w:id="273">
    <w:p w:rsidR="00767127" w:rsidRPr="00812CB1" w:rsidRDefault="00767127" w:rsidP="00B90C1E">
      <w:pPr>
        <w:pStyle w:val="FootnoteText"/>
        <w:rPr>
          <w:lang w:val="sr-Cyrl-CS"/>
        </w:rPr>
      </w:pPr>
      <w:r>
        <w:rPr>
          <w:rStyle w:val="FootnoteReference"/>
        </w:rPr>
        <w:footnoteRef/>
      </w:r>
      <w:r>
        <w:t xml:space="preserve"> </w:t>
      </w:r>
      <w:r>
        <w:rPr>
          <w:lang w:val="sr-Cyrl-CS"/>
        </w:rPr>
        <w:t>Чл. 47. Закона о порезу на добит правних лица („Сл. гасник РС“ бр. 101/11).</w:t>
      </w:r>
    </w:p>
  </w:footnote>
  <w:footnote w:id="274">
    <w:p w:rsidR="00767127" w:rsidRPr="0094164B" w:rsidRDefault="00767127" w:rsidP="00B90C1E">
      <w:pPr>
        <w:rPr>
          <w:rFonts w:ascii="Times New Roman" w:hAnsi="Times New Roman"/>
          <w:sz w:val="24"/>
          <w:szCs w:val="24"/>
          <w:lang w:val="sr-Cyrl-CS"/>
        </w:rPr>
      </w:pPr>
      <w:r>
        <w:rPr>
          <w:rStyle w:val="FootnoteReference"/>
        </w:rPr>
        <w:footnoteRef/>
      </w:r>
      <w:r>
        <w:t xml:space="preserve"> </w:t>
      </w:r>
      <w:r w:rsidRPr="00231D4F">
        <w:rPr>
          <w:sz w:val="20"/>
          <w:szCs w:val="20"/>
          <w:lang w:val="sr-Cyrl-CS"/>
        </w:rPr>
        <w:t>Закона о порезу на добит прав</w:t>
      </w:r>
      <w:r>
        <w:rPr>
          <w:sz w:val="20"/>
          <w:szCs w:val="20"/>
          <w:lang w:val="sr-Cyrl-CS"/>
        </w:rPr>
        <w:t>них лица („Сл. гасник РС“ бр. 108</w:t>
      </w:r>
      <w:r w:rsidRPr="00231D4F">
        <w:rPr>
          <w:sz w:val="20"/>
          <w:szCs w:val="20"/>
          <w:lang w:val="sr-Cyrl-CS"/>
        </w:rPr>
        <w:t>/13).</w:t>
      </w:r>
    </w:p>
  </w:footnote>
  <w:footnote w:id="275">
    <w:p w:rsidR="00767127" w:rsidRPr="00C13273" w:rsidRDefault="00767127" w:rsidP="00D57F68">
      <w:pPr>
        <w:pStyle w:val="FootnoteText"/>
        <w:jc w:val="both"/>
        <w:rPr>
          <w:lang w:val="sr-Cyrl-CS"/>
        </w:rPr>
      </w:pPr>
      <w:r>
        <w:rPr>
          <w:rStyle w:val="FootnoteReference"/>
        </w:rPr>
        <w:footnoteRef/>
      </w:r>
      <w:r>
        <w:t xml:space="preserve"> </w:t>
      </w:r>
      <w:r>
        <w:rPr>
          <w:lang w:val="sr-Cyrl-CS"/>
        </w:rPr>
        <w:t>Чл. 46. Закона о порезу на добит правних лица („Сл. гасник РС“ бр. 25/01...47/13).</w:t>
      </w:r>
    </w:p>
  </w:footnote>
  <w:footnote w:id="276">
    <w:p w:rsidR="00767127" w:rsidRPr="00E005F8" w:rsidRDefault="00767127" w:rsidP="00D57F68">
      <w:pPr>
        <w:pStyle w:val="FootnoteText"/>
        <w:jc w:val="both"/>
        <w:rPr>
          <w:lang w:val="sr-Cyrl-CS"/>
        </w:rPr>
      </w:pPr>
      <w:r>
        <w:rPr>
          <w:rStyle w:val="FootnoteReference"/>
        </w:rPr>
        <w:footnoteRef/>
      </w:r>
      <w:r>
        <w:t xml:space="preserve"> </w:t>
      </w:r>
      <w:r>
        <w:rPr>
          <w:lang w:val="sr-Cyrl-CS"/>
        </w:rPr>
        <w:t>Закон о професионалној рехабилитацији и запошљавању особа са инвалидитетом („Службени гласник РС“ бр. 36/09 и 32/13).</w:t>
      </w:r>
    </w:p>
  </w:footnote>
  <w:footnote w:id="277">
    <w:p w:rsidR="00767127" w:rsidRPr="00E005F8" w:rsidRDefault="00767127" w:rsidP="00836DF6">
      <w:pPr>
        <w:pStyle w:val="FootnoteText"/>
        <w:rPr>
          <w:lang w:val="sr-Cyrl-CS"/>
        </w:rPr>
      </w:pPr>
      <w:r>
        <w:rPr>
          <w:rStyle w:val="FootnoteReference"/>
        </w:rPr>
        <w:footnoteRef/>
      </w:r>
      <w:r>
        <w:t xml:space="preserve"> </w:t>
      </w:r>
      <w:r>
        <w:rPr>
          <w:lang w:val="sr-Cyrl-CS"/>
        </w:rPr>
        <w:t>Чл. 3. Закон о професионалној рехабилитацији и запошљавању особа са инвалидитетом („Службени гласник РС“ бр. 36/09 и 32/13).</w:t>
      </w:r>
    </w:p>
  </w:footnote>
  <w:footnote w:id="278">
    <w:p w:rsidR="00767127" w:rsidRPr="00EF1CA8" w:rsidRDefault="00767127" w:rsidP="00836DF6">
      <w:pPr>
        <w:pStyle w:val="FootnoteText"/>
        <w:rPr>
          <w:lang w:val="sr-Cyrl-CS"/>
        </w:rPr>
      </w:pPr>
      <w:r>
        <w:rPr>
          <w:rStyle w:val="FootnoteReference"/>
        </w:rPr>
        <w:footnoteRef/>
      </w:r>
      <w:r>
        <w:t xml:space="preserve"> </w:t>
      </w:r>
      <w:r>
        <w:rPr>
          <w:lang w:val="sr-Cyrl-CS"/>
        </w:rPr>
        <w:t>Чл.24. Закон о професионалној рехабилитацији и запошљавању особа са инвалидитетом („Службени гласник РС“ бр. 36/09 и 32/13).</w:t>
      </w:r>
    </w:p>
  </w:footnote>
  <w:footnote w:id="279">
    <w:p w:rsidR="00767127" w:rsidRPr="00EF1CA8" w:rsidRDefault="00767127" w:rsidP="00836DF6">
      <w:pPr>
        <w:pStyle w:val="FootnoteText"/>
        <w:rPr>
          <w:lang w:val="sr-Cyrl-CS"/>
        </w:rPr>
      </w:pPr>
      <w:r>
        <w:rPr>
          <w:rStyle w:val="FootnoteReference"/>
        </w:rPr>
        <w:footnoteRef/>
      </w:r>
      <w:r>
        <w:t xml:space="preserve"> </w:t>
      </w:r>
      <w:r>
        <w:rPr>
          <w:lang w:val="sr-Cyrl-CS"/>
        </w:rPr>
        <w:t>Чл.25. Закон о професионалној рехабилитацији и запошљавању особа са инвалидитетом („Службени гласник РС“ бр. 36/09 и 32/13).</w:t>
      </w:r>
    </w:p>
  </w:footnote>
  <w:footnote w:id="280">
    <w:p w:rsidR="00767127" w:rsidRPr="00EF1CA8" w:rsidRDefault="00767127" w:rsidP="00836DF6">
      <w:pPr>
        <w:pStyle w:val="FootnoteText"/>
        <w:rPr>
          <w:lang w:val="sr-Cyrl-CS"/>
        </w:rPr>
      </w:pPr>
      <w:r>
        <w:rPr>
          <w:rStyle w:val="FootnoteReference"/>
        </w:rPr>
        <w:footnoteRef/>
      </w:r>
      <w:r>
        <w:t xml:space="preserve"> </w:t>
      </w:r>
      <w:r>
        <w:rPr>
          <w:lang w:val="sr-Cyrl-CS"/>
        </w:rPr>
        <w:t>Чл.36. Закон о професионалној рехабилитацији и запошљавању особа са инвалидитетом („Службени гласник РС“ бр. 36/09 и 32/13).</w:t>
      </w:r>
    </w:p>
  </w:footnote>
  <w:footnote w:id="281">
    <w:p w:rsidR="00767127" w:rsidRPr="0046538E" w:rsidRDefault="00767127" w:rsidP="00836DF6">
      <w:pPr>
        <w:pStyle w:val="FootnoteText"/>
        <w:rPr>
          <w:lang w:val="sr-Cyrl-CS"/>
        </w:rPr>
      </w:pPr>
      <w:r>
        <w:rPr>
          <w:rStyle w:val="FootnoteReference"/>
        </w:rPr>
        <w:footnoteRef/>
      </w:r>
      <w:r>
        <w:t xml:space="preserve"> </w:t>
      </w:r>
      <w:r>
        <w:rPr>
          <w:lang w:val="sr-Cyrl-CS"/>
        </w:rPr>
        <w:t>Закон о радном оспособљавању и запошљавању инвалида („Службени гласник РС“ бр. 25/96 и 101/05).</w:t>
      </w:r>
    </w:p>
  </w:footnote>
  <w:footnote w:id="282">
    <w:p w:rsidR="00767127" w:rsidRPr="008103BD" w:rsidRDefault="00767127">
      <w:pPr>
        <w:pStyle w:val="FootnoteText"/>
        <w:rPr>
          <w:lang w:val="sr-Cyrl-CS"/>
        </w:rPr>
      </w:pPr>
      <w:r>
        <w:rPr>
          <w:rStyle w:val="FootnoteReference"/>
        </w:rPr>
        <w:footnoteRef/>
      </w:r>
      <w:r>
        <w:t xml:space="preserve"> </w:t>
      </w:r>
      <w:r>
        <w:rPr>
          <w:lang w:val="sr-Cyrl-CS"/>
        </w:rPr>
        <w:t xml:space="preserve">Дејан Поповић, </w:t>
      </w:r>
      <w:r>
        <w:rPr>
          <w:i/>
          <w:lang w:val="sr-Cyrl-CS"/>
        </w:rPr>
        <w:t>нав. дело</w:t>
      </w:r>
      <w:r w:rsidRPr="00B90C1E">
        <w:rPr>
          <w:i/>
          <w:lang w:val="sr-Cyrl-CS"/>
        </w:rPr>
        <w:t>,</w:t>
      </w:r>
      <w:r>
        <w:rPr>
          <w:lang w:val="sr-Cyrl-CS"/>
        </w:rPr>
        <w:t xml:space="preserve"> стр. 351.</w:t>
      </w:r>
    </w:p>
  </w:footnote>
  <w:footnote w:id="283">
    <w:p w:rsidR="00767127" w:rsidRPr="008103BD" w:rsidRDefault="00767127">
      <w:pPr>
        <w:pStyle w:val="FootnoteText"/>
        <w:rPr>
          <w:lang w:val="sr-Cyrl-CS"/>
        </w:rPr>
      </w:pPr>
      <w:r>
        <w:rPr>
          <w:rStyle w:val="FootnoteReference"/>
        </w:rPr>
        <w:footnoteRef/>
      </w:r>
      <w:r>
        <w:t xml:space="preserve"> </w:t>
      </w:r>
      <w:r>
        <w:rPr>
          <w:lang w:val="sr-Cyrl-CS"/>
        </w:rPr>
        <w:t>Чл. 44. Закона о порезу на добит правних лица („Сл. гасник РС“ бр. 25/01...47/13).</w:t>
      </w:r>
    </w:p>
  </w:footnote>
  <w:footnote w:id="284">
    <w:p w:rsidR="00767127" w:rsidRPr="000C4CCF" w:rsidRDefault="00767127">
      <w:pPr>
        <w:pStyle w:val="FootnoteText"/>
        <w:rPr>
          <w:lang w:val="sr-Cyrl-CS"/>
        </w:rPr>
      </w:pPr>
      <w:r>
        <w:rPr>
          <w:rStyle w:val="FootnoteReference"/>
        </w:rPr>
        <w:footnoteRef/>
      </w:r>
      <w:r>
        <w:t xml:space="preserve"> </w:t>
      </w:r>
      <w:r>
        <w:rPr>
          <w:lang w:val="sr-Cyrl-CS"/>
        </w:rPr>
        <w:t>Чл. 44. ст. 3 Закона о порезу на добит правних лица („Сл. гасник РС“ бр. 25/01...108/13).</w:t>
      </w:r>
    </w:p>
  </w:footnote>
  <w:footnote w:id="285">
    <w:p w:rsidR="00767127" w:rsidRPr="002011C2" w:rsidRDefault="00767127">
      <w:pPr>
        <w:pStyle w:val="FootnoteText"/>
        <w:rPr>
          <w:lang w:val="sr-Cyrl-CS"/>
        </w:rPr>
      </w:pPr>
      <w:r>
        <w:rPr>
          <w:rStyle w:val="FootnoteReference"/>
        </w:rPr>
        <w:footnoteRef/>
      </w:r>
      <w:r>
        <w:t xml:space="preserve"> </w:t>
      </w:r>
      <w:r>
        <w:rPr>
          <w:lang w:val="sr-Cyrl-CS"/>
        </w:rPr>
        <w:t>Чл. 23-25 а. Закона о порезу на добит правних лица („Сл. гасник РС“ бр. 25/01...108/13).</w:t>
      </w:r>
    </w:p>
  </w:footnote>
  <w:footnote w:id="286">
    <w:p w:rsidR="00767127" w:rsidRPr="00733E3F" w:rsidRDefault="00767127">
      <w:pPr>
        <w:pStyle w:val="FootnoteText"/>
        <w:rPr>
          <w:lang w:val="sr-Cyrl-CS"/>
        </w:rPr>
      </w:pPr>
      <w:r>
        <w:rPr>
          <w:rStyle w:val="FootnoteReference"/>
        </w:rPr>
        <w:footnoteRef/>
      </w:r>
      <w:r>
        <w:t xml:space="preserve"> </w:t>
      </w:r>
      <w:r>
        <w:rPr>
          <w:lang w:val="sr-Cyrl-CS"/>
        </w:rPr>
        <w:t>Чл. 7.а Закона о порезу на добит правних лица („Сл. гасник РС“ бр. 25/01...108/13).</w:t>
      </w:r>
    </w:p>
  </w:footnote>
  <w:footnote w:id="287">
    <w:p w:rsidR="00767127" w:rsidRPr="00733E3F" w:rsidRDefault="00767127" w:rsidP="00DA1917">
      <w:pPr>
        <w:pStyle w:val="FootnoteText"/>
        <w:rPr>
          <w:lang w:val="sr-Cyrl-CS"/>
        </w:rPr>
      </w:pPr>
      <w:r>
        <w:rPr>
          <w:rStyle w:val="FootnoteReference"/>
        </w:rPr>
        <w:footnoteRef/>
      </w:r>
      <w:r>
        <w:t xml:space="preserve"> </w:t>
      </w:r>
      <w:r>
        <w:rPr>
          <w:lang w:val="sr-Cyrl-CS"/>
        </w:rPr>
        <w:t>Чл. 15. Закона о порезу на добит правних лица („Сл. гасник РС“ бр. 25/01...108/13).</w:t>
      </w:r>
    </w:p>
    <w:p w:rsidR="00767127" w:rsidRPr="00DA1917" w:rsidRDefault="00767127">
      <w:pPr>
        <w:pStyle w:val="FootnoteText"/>
        <w:rPr>
          <w:lang w:val="sr-Cyrl-CS"/>
        </w:rPr>
      </w:pPr>
    </w:p>
  </w:footnote>
  <w:footnote w:id="288">
    <w:p w:rsidR="00767127" w:rsidRPr="009D417E" w:rsidRDefault="00767127">
      <w:pPr>
        <w:pStyle w:val="FootnoteText"/>
        <w:rPr>
          <w:lang w:val="sr-Cyrl-CS"/>
        </w:rPr>
      </w:pPr>
      <w:r>
        <w:rPr>
          <w:rStyle w:val="FootnoteReference"/>
        </w:rPr>
        <w:footnoteRef/>
      </w:r>
      <w:r>
        <w:t xml:space="preserve"> </w:t>
      </w:r>
      <w:r>
        <w:rPr>
          <w:lang w:val="sr-Cyrl-CS"/>
        </w:rPr>
        <w:t>Чл. 15. Закона о порезу предузећа („Сл. гасник РС“ бр. 25/01, 80/02 и 43/03).</w:t>
      </w:r>
    </w:p>
  </w:footnote>
  <w:footnote w:id="289">
    <w:p w:rsidR="00767127" w:rsidRPr="00117C8A" w:rsidRDefault="00767127">
      <w:pPr>
        <w:pStyle w:val="FootnoteText"/>
        <w:rPr>
          <w:lang w:val="sr-Cyrl-CS"/>
        </w:rPr>
      </w:pPr>
      <w:r>
        <w:rPr>
          <w:rStyle w:val="FootnoteReference"/>
        </w:rPr>
        <w:footnoteRef/>
      </w:r>
      <w:r>
        <w:t xml:space="preserve"> </w:t>
      </w:r>
      <w:r>
        <w:rPr>
          <w:lang w:val="sr-Cyrl-CS"/>
        </w:rPr>
        <w:t xml:space="preserve">Дејан Поповић, </w:t>
      </w:r>
      <w:r>
        <w:rPr>
          <w:i/>
          <w:lang w:val="sr-Cyrl-CS"/>
        </w:rPr>
        <w:t xml:space="preserve">нав. дело, </w:t>
      </w:r>
      <w:r>
        <w:rPr>
          <w:lang w:val="sr-Cyrl-CS"/>
        </w:rPr>
        <w:t xml:space="preserve"> стр. 326.</w:t>
      </w:r>
    </w:p>
  </w:footnote>
  <w:footnote w:id="290">
    <w:p w:rsidR="00767127" w:rsidRPr="00194AAC" w:rsidRDefault="00767127">
      <w:pPr>
        <w:pStyle w:val="FootnoteText"/>
        <w:rPr>
          <w:lang w:val="sr-Cyrl-CS"/>
        </w:rPr>
      </w:pPr>
      <w:r>
        <w:rPr>
          <w:rStyle w:val="FootnoteReference"/>
        </w:rPr>
        <w:footnoteRef/>
      </w:r>
      <w:r>
        <w:t xml:space="preserve"> </w:t>
      </w:r>
      <w:r>
        <w:rPr>
          <w:lang w:val="sr-Cyrl-CS"/>
        </w:rPr>
        <w:t>Чл. 16. Закона о порезу на добит правних лица („Сл. гасник РС“ бр. 25/01...47/13).</w:t>
      </w:r>
    </w:p>
  </w:footnote>
  <w:footnote w:id="291">
    <w:p w:rsidR="00767127" w:rsidRPr="00295F6A" w:rsidRDefault="00767127" w:rsidP="006155DC">
      <w:pPr>
        <w:pStyle w:val="FootnoteText"/>
        <w:jc w:val="both"/>
        <w:rPr>
          <w:lang w:val="sr-Cyrl-CS"/>
        </w:rPr>
      </w:pPr>
      <w:r>
        <w:rPr>
          <w:rStyle w:val="FootnoteReference"/>
        </w:rPr>
        <w:footnoteRef/>
      </w:r>
      <w:r>
        <w:t xml:space="preserve"> </w:t>
      </w:r>
      <w:r>
        <w:rPr>
          <w:lang w:val="sr-Cyrl-CS"/>
        </w:rPr>
        <w:t>Чл. 32. и 33. Закона о порезу на добит правних лица („Сл. гасник РС“ бр. 25/01...47/13).</w:t>
      </w:r>
    </w:p>
  </w:footnote>
  <w:footnote w:id="292">
    <w:p w:rsidR="00767127" w:rsidRPr="00CA1470" w:rsidRDefault="00767127" w:rsidP="006155DC">
      <w:pPr>
        <w:pStyle w:val="FootnoteText"/>
        <w:jc w:val="both"/>
        <w:rPr>
          <w:lang w:val="sr-Cyrl-CS"/>
        </w:rPr>
      </w:pPr>
      <w:r>
        <w:rPr>
          <w:rStyle w:val="FootnoteReference"/>
        </w:rPr>
        <w:footnoteRef/>
      </w:r>
      <w:r>
        <w:t xml:space="preserve"> </w:t>
      </w:r>
      <w:r>
        <w:rPr>
          <w:lang w:val="sr-Cyrl-CS"/>
        </w:rPr>
        <w:t>Чл. 10. Закона о порезу на добит правних лица („Сл. гасник РС“ бр. 25/01...108/13).</w:t>
      </w:r>
    </w:p>
  </w:footnote>
  <w:footnote w:id="293">
    <w:p w:rsidR="00767127" w:rsidRPr="00CA1470" w:rsidRDefault="00767127" w:rsidP="006155DC">
      <w:pPr>
        <w:pStyle w:val="FootnoteText"/>
        <w:jc w:val="both"/>
        <w:rPr>
          <w:lang w:val="sr-Cyrl-CS"/>
        </w:rPr>
      </w:pPr>
      <w:r>
        <w:rPr>
          <w:rStyle w:val="FootnoteReference"/>
        </w:rPr>
        <w:footnoteRef/>
      </w:r>
      <w:r>
        <w:t xml:space="preserve"> </w:t>
      </w:r>
      <w:r>
        <w:rPr>
          <w:lang w:val="sr-Cyrl-CS"/>
        </w:rPr>
        <w:t xml:space="preserve"> Дејан Поповић, </w:t>
      </w:r>
      <w:r>
        <w:rPr>
          <w:i/>
          <w:lang w:val="sr-Cyrl-CS"/>
        </w:rPr>
        <w:t xml:space="preserve">нав. дело, </w:t>
      </w:r>
      <w:r>
        <w:rPr>
          <w:lang w:val="sr-Cyrl-CS"/>
        </w:rPr>
        <w:t xml:space="preserve"> стр. 322-323.</w:t>
      </w:r>
    </w:p>
  </w:footnote>
  <w:footnote w:id="294">
    <w:p w:rsidR="00767127" w:rsidRPr="00DD473D" w:rsidRDefault="00767127" w:rsidP="006155DC">
      <w:pPr>
        <w:pStyle w:val="FootnoteText"/>
        <w:jc w:val="both"/>
        <w:rPr>
          <w:lang w:val="sr-Cyrl-CS"/>
        </w:rPr>
      </w:pPr>
      <w:r>
        <w:rPr>
          <w:rStyle w:val="FootnoteReference"/>
        </w:rPr>
        <w:footnoteRef/>
      </w:r>
      <w:r>
        <w:t xml:space="preserve"> </w:t>
      </w:r>
      <w:r>
        <w:rPr>
          <w:lang w:val="sr-Cyrl-CS"/>
        </w:rPr>
        <w:t xml:space="preserve"> Гордана Илић-Попов, </w:t>
      </w:r>
      <w:r w:rsidRPr="0023561A">
        <w:rPr>
          <w:b/>
          <w:lang w:val="sr-Cyrl-CS"/>
        </w:rPr>
        <w:t>Основица пореза на добит корпорација</w:t>
      </w:r>
      <w:r>
        <w:rPr>
          <w:lang w:val="sr-Cyrl-CS"/>
        </w:rPr>
        <w:t>, Правни факултет Универзитета у Београду, Београд, 1995</w:t>
      </w:r>
      <w:r w:rsidRPr="00D71799">
        <w:rPr>
          <w:lang w:val="sr-Cyrl-CS"/>
        </w:rPr>
        <w:t>,</w:t>
      </w:r>
      <w:r>
        <w:rPr>
          <w:lang w:val="sr-Cyrl-CS"/>
        </w:rPr>
        <w:t xml:space="preserve"> стр. 92. </w:t>
      </w:r>
    </w:p>
  </w:footnote>
  <w:footnote w:id="295">
    <w:p w:rsidR="00767127" w:rsidRPr="00262279" w:rsidRDefault="00767127">
      <w:pPr>
        <w:pStyle w:val="FootnoteText"/>
        <w:rPr>
          <w:lang w:val="sr-Cyrl-CS"/>
        </w:rPr>
      </w:pPr>
      <w:r>
        <w:rPr>
          <w:rStyle w:val="FootnoteReference"/>
        </w:rPr>
        <w:footnoteRef/>
      </w:r>
      <w:r>
        <w:t xml:space="preserve"> </w:t>
      </w:r>
      <w:r>
        <w:rPr>
          <w:lang w:val="sr-Cyrl-CS"/>
        </w:rPr>
        <w:t>Чл. 10. ст. 2. и 3.Закона о порезу на добит правних лица („Сл. гасник РС“ бр. 25/01...108/13).</w:t>
      </w:r>
    </w:p>
  </w:footnote>
  <w:footnote w:id="296">
    <w:p w:rsidR="00767127" w:rsidRPr="00DA6A4F" w:rsidRDefault="00767127" w:rsidP="00DA6A4F">
      <w:pPr>
        <w:pStyle w:val="FootnoteText"/>
        <w:jc w:val="both"/>
        <w:rPr>
          <w:lang w:val="sr-Cyrl-CS"/>
        </w:rPr>
      </w:pPr>
      <w:r>
        <w:rPr>
          <w:rStyle w:val="FootnoteReference"/>
        </w:rPr>
        <w:footnoteRef/>
      </w:r>
      <w:r>
        <w:t xml:space="preserve"> </w:t>
      </w:r>
      <w:r>
        <w:rPr>
          <w:lang w:val="sr-Cyrl-CS"/>
        </w:rPr>
        <w:t>Чл. 2. Правилника о начину разврставања сталних средстава по групама и начину утврђивања амортизације за пореске сврхе („Службени галсник РС“ бр. 116/2004 и 99/2010).</w:t>
      </w:r>
    </w:p>
  </w:footnote>
  <w:footnote w:id="297">
    <w:p w:rsidR="00767127" w:rsidRPr="00E23CF5" w:rsidRDefault="00767127" w:rsidP="00430326">
      <w:pPr>
        <w:pStyle w:val="FootnoteText"/>
        <w:jc w:val="both"/>
        <w:rPr>
          <w:lang w:val="sr-Cyrl-CS"/>
        </w:rPr>
      </w:pPr>
      <w:r>
        <w:rPr>
          <w:rStyle w:val="FootnoteReference"/>
        </w:rPr>
        <w:footnoteRef/>
      </w:r>
      <w:r>
        <w:t xml:space="preserve"> </w:t>
      </w:r>
      <w:r>
        <w:rPr>
          <w:lang w:val="sr-Cyrl-CS"/>
        </w:rPr>
        <w:t>Чл. 4. Правилника о начину разврставања сталних средстава по групама и начину утврђивања амортизације за пореске сврхе („Службени галсник РС“ бр. 116/2004 и 99/2010).</w:t>
      </w:r>
    </w:p>
  </w:footnote>
  <w:footnote w:id="298">
    <w:p w:rsidR="00767127" w:rsidRPr="003B1DCE" w:rsidRDefault="00767127">
      <w:pPr>
        <w:pStyle w:val="FootnoteText"/>
        <w:rPr>
          <w:lang w:val="sr-Cyrl-CS"/>
        </w:rPr>
      </w:pPr>
      <w:r>
        <w:rPr>
          <w:rStyle w:val="FootnoteReference"/>
        </w:rPr>
        <w:footnoteRef/>
      </w:r>
      <w:r>
        <w:t xml:space="preserve"> </w:t>
      </w:r>
      <w:r>
        <w:rPr>
          <w:lang w:val="sr-Cyrl-CS"/>
        </w:rPr>
        <w:t xml:space="preserve">Дејан Поповић,  </w:t>
      </w:r>
      <w:r>
        <w:rPr>
          <w:i/>
          <w:lang w:val="sr-Cyrl-CS"/>
        </w:rPr>
        <w:t xml:space="preserve">нав. дело, </w:t>
      </w:r>
      <w:r>
        <w:rPr>
          <w:lang w:val="sr-Cyrl-CS"/>
        </w:rPr>
        <w:t xml:space="preserve"> стр. 323-326.</w:t>
      </w:r>
    </w:p>
  </w:footnote>
  <w:footnote w:id="299">
    <w:p w:rsidR="00767127" w:rsidRPr="0073527E" w:rsidRDefault="00767127" w:rsidP="00E23CF5">
      <w:pPr>
        <w:pStyle w:val="FootnoteText"/>
        <w:jc w:val="both"/>
        <w:rPr>
          <w:lang w:val="sr-Cyrl-CS"/>
        </w:rPr>
      </w:pPr>
      <w:r>
        <w:rPr>
          <w:rStyle w:val="FootnoteReference"/>
        </w:rPr>
        <w:footnoteRef/>
      </w:r>
      <w:r>
        <w:t xml:space="preserve"> </w:t>
      </w:r>
      <w:r>
        <w:rPr>
          <w:lang w:val="sr-Cyrl-CS"/>
        </w:rPr>
        <w:t>Чл. 10. ст. 4. и 5.Закона о порезу на добит правних лица („Сл. гасник РС“ бр. 25/01...108/13) и чл. 3. и 4. Правилника о начину разврставања сталних средстава по групама и начину утврђивања амортизације за пореске сврхе („Службени галсник РС“ бр. 116/2004 и 99/2010).</w:t>
      </w:r>
    </w:p>
  </w:footnote>
  <w:footnote w:id="300">
    <w:p w:rsidR="00767127" w:rsidRPr="00430326" w:rsidRDefault="00767127" w:rsidP="00430326">
      <w:pPr>
        <w:pStyle w:val="FootnoteText"/>
        <w:rPr>
          <w:lang w:val="sr-Cyrl-CS"/>
        </w:rPr>
      </w:pPr>
      <w:r>
        <w:rPr>
          <w:rStyle w:val="FootnoteReference"/>
        </w:rPr>
        <w:footnoteRef/>
      </w:r>
      <w:r>
        <w:rPr>
          <w:lang w:val="sr-Cyrl-CS"/>
        </w:rPr>
        <w:t xml:space="preserve"> Дејан Поповић, </w:t>
      </w:r>
      <w:r w:rsidRPr="000B765A">
        <w:rPr>
          <w:i/>
          <w:lang w:val="sr-Cyrl-CS"/>
        </w:rPr>
        <w:t>нав. дело,</w:t>
      </w:r>
      <w:r>
        <w:rPr>
          <w:lang w:val="sr-Cyrl-CS"/>
        </w:rPr>
        <w:t xml:space="preserve">  стр. 327.</w:t>
      </w:r>
    </w:p>
  </w:footnote>
  <w:footnote w:id="301">
    <w:p w:rsidR="00767127" w:rsidRPr="001929C7" w:rsidRDefault="00767127">
      <w:pPr>
        <w:pStyle w:val="FootnoteText"/>
        <w:rPr>
          <w:lang w:val="sr-Cyrl-CS"/>
        </w:rPr>
      </w:pPr>
      <w:r>
        <w:rPr>
          <w:rStyle w:val="FootnoteReference"/>
        </w:rPr>
        <w:footnoteRef/>
      </w:r>
      <w:r>
        <w:t xml:space="preserve"> </w:t>
      </w:r>
      <w:r>
        <w:rPr>
          <w:lang w:val="sr-Cyrl-CS"/>
        </w:rPr>
        <w:t>Чл. 26. Закона о порезу на добит правних лица („Сл. гасник РС“ бр. 25/01...108/13).</w:t>
      </w:r>
    </w:p>
  </w:footnote>
  <w:footnote w:id="302">
    <w:p w:rsidR="00767127" w:rsidRPr="00B077C0" w:rsidRDefault="00767127">
      <w:pPr>
        <w:pStyle w:val="FootnoteText"/>
        <w:rPr>
          <w:lang w:val="sr-Cyrl-CS"/>
        </w:rPr>
      </w:pPr>
      <w:r>
        <w:rPr>
          <w:rStyle w:val="FootnoteReference"/>
        </w:rPr>
        <w:footnoteRef/>
      </w:r>
      <w:r>
        <w:t xml:space="preserve"> </w:t>
      </w:r>
      <w:r>
        <w:rPr>
          <w:lang w:val="sr-Cyrl-CS"/>
        </w:rPr>
        <w:t>Чл. 8. Закона о порезу на добит правних лица („Сл. гасник РС“ бр. 25/01...108/13)</w:t>
      </w:r>
    </w:p>
  </w:footnote>
  <w:footnote w:id="303">
    <w:p w:rsidR="00767127" w:rsidRPr="00225A7E" w:rsidRDefault="00767127">
      <w:pPr>
        <w:pStyle w:val="FootnoteText"/>
        <w:rPr>
          <w:lang w:val="sr-Cyrl-CS"/>
        </w:rPr>
      </w:pPr>
      <w:r>
        <w:rPr>
          <w:rStyle w:val="FootnoteReference"/>
        </w:rPr>
        <w:footnoteRef/>
      </w:r>
      <w:r>
        <w:t xml:space="preserve"> </w:t>
      </w:r>
      <w:r>
        <w:rPr>
          <w:lang w:val="sr-Cyrl-CS"/>
        </w:rPr>
        <w:t>Чл. 27. Закона о порезу на добит правних лица („Сл. гасник РС“ бр. 25/01...108/13).</w:t>
      </w:r>
    </w:p>
  </w:footnote>
  <w:footnote w:id="304">
    <w:p w:rsidR="00767127" w:rsidRPr="00A9005D" w:rsidRDefault="00767127">
      <w:pPr>
        <w:pStyle w:val="FootnoteText"/>
        <w:rPr>
          <w:lang w:val="sr-Cyrl-CS"/>
        </w:rPr>
      </w:pPr>
      <w:r>
        <w:rPr>
          <w:rStyle w:val="FootnoteReference"/>
        </w:rPr>
        <w:footnoteRef/>
      </w:r>
      <w:r>
        <w:t xml:space="preserve"> </w:t>
      </w:r>
      <w:r>
        <w:rPr>
          <w:lang w:val="sr-Cyrl-CS"/>
        </w:rPr>
        <w:t xml:space="preserve"> Чл. 30. Закона о порезу на добит правних лица („Сл. гасник РС“ бр. 25/01...108/13).</w:t>
      </w:r>
    </w:p>
  </w:footnote>
  <w:footnote w:id="305">
    <w:p w:rsidR="00767127" w:rsidRPr="0038498D" w:rsidRDefault="00767127">
      <w:pPr>
        <w:pStyle w:val="FootnoteText"/>
        <w:rPr>
          <w:lang w:val="sr-Cyrl-CS"/>
        </w:rPr>
      </w:pPr>
      <w:r>
        <w:rPr>
          <w:rStyle w:val="FootnoteReference"/>
        </w:rPr>
        <w:footnoteRef/>
      </w:r>
      <w:r>
        <w:rPr>
          <w:lang w:val="sr-Cyrl-CS"/>
        </w:rPr>
        <w:t xml:space="preserve"> Чл. 31. Закона о порезу на добит правних лица („Сл. гасник РС“ бр. 25/01...108/13).</w:t>
      </w:r>
    </w:p>
  </w:footnote>
  <w:footnote w:id="306">
    <w:p w:rsidR="00767127" w:rsidRPr="001A38B7" w:rsidRDefault="00767127" w:rsidP="001A38B7">
      <w:pPr>
        <w:pStyle w:val="normal0"/>
        <w:shd w:val="clear" w:color="auto" w:fill="FFFFFF"/>
        <w:spacing w:before="48" w:beforeAutospacing="0" w:after="48" w:afterAutospacing="0"/>
        <w:jc w:val="both"/>
        <w:rPr>
          <w:rFonts w:ascii="Calibri" w:hAnsi="Calibri" w:cs="Arial"/>
          <w:color w:val="000000"/>
          <w:sz w:val="20"/>
          <w:szCs w:val="20"/>
          <w:lang w:val="sr-Cyrl-CS"/>
        </w:rPr>
      </w:pPr>
      <w:r>
        <w:rPr>
          <w:rStyle w:val="FootnoteReference"/>
        </w:rPr>
        <w:footnoteRef/>
      </w:r>
      <w:r>
        <w:rPr>
          <w:lang w:val="sr-Cyrl-CS"/>
        </w:rPr>
        <w:t xml:space="preserve"> </w:t>
      </w:r>
      <w:r w:rsidRPr="001A38B7">
        <w:rPr>
          <w:rFonts w:ascii="Calibri" w:hAnsi="Calibri"/>
          <w:sz w:val="20"/>
          <w:szCs w:val="20"/>
          <w:lang w:val="sr-Cyrl-CS"/>
        </w:rPr>
        <w:t>Према чл. 59  Закона о порезу на добит правних лица („Сл. гасник РС“ бр. 25/01...108/13),</w:t>
      </w:r>
      <w:r w:rsidRPr="001A38B7">
        <w:rPr>
          <w:rFonts w:ascii="Calibri" w:hAnsi="Calibri" w:cs="Arial"/>
          <w:color w:val="000000"/>
          <w:sz w:val="20"/>
          <w:szCs w:val="20"/>
        </w:rPr>
        <w:t xml:space="preserve"> </w:t>
      </w:r>
      <w:r w:rsidRPr="001A38B7">
        <w:rPr>
          <w:rFonts w:ascii="Calibri" w:hAnsi="Calibri" w:cs="Arial"/>
          <w:color w:val="000000"/>
          <w:sz w:val="20"/>
          <w:szCs w:val="20"/>
          <w:lang w:val="sr-Cyrl-CS"/>
        </w:rPr>
        <w:t>л</w:t>
      </w:r>
      <w:r>
        <w:rPr>
          <w:rFonts w:ascii="Calibri" w:hAnsi="Calibri" w:cs="Arial"/>
          <w:color w:val="000000"/>
          <w:sz w:val="20"/>
          <w:szCs w:val="20"/>
        </w:rPr>
        <w:t>ицем</w:t>
      </w:r>
      <w:r w:rsidRPr="001A38B7">
        <w:rPr>
          <w:rFonts w:ascii="Calibri" w:hAnsi="Calibri" w:cs="Arial"/>
          <w:color w:val="000000"/>
          <w:sz w:val="20"/>
          <w:szCs w:val="20"/>
        </w:rPr>
        <w:t xml:space="preserve"> </w:t>
      </w:r>
      <w:r>
        <w:rPr>
          <w:rFonts w:ascii="Calibri" w:hAnsi="Calibri" w:cs="Arial"/>
          <w:color w:val="000000"/>
          <w:sz w:val="20"/>
          <w:szCs w:val="20"/>
        </w:rPr>
        <w:t>повезаним</w:t>
      </w:r>
      <w:r w:rsidRPr="001A38B7">
        <w:rPr>
          <w:rFonts w:ascii="Calibri" w:hAnsi="Calibri" w:cs="Arial"/>
          <w:color w:val="000000"/>
          <w:sz w:val="20"/>
          <w:szCs w:val="20"/>
        </w:rPr>
        <w:t xml:space="preserve"> </w:t>
      </w:r>
      <w:r>
        <w:rPr>
          <w:rFonts w:ascii="Calibri" w:hAnsi="Calibri" w:cs="Arial"/>
          <w:color w:val="000000"/>
          <w:sz w:val="20"/>
          <w:szCs w:val="20"/>
        </w:rPr>
        <w:t>са</w:t>
      </w:r>
      <w:r w:rsidRPr="001A38B7">
        <w:rPr>
          <w:rFonts w:ascii="Calibri" w:hAnsi="Calibri" w:cs="Arial"/>
          <w:color w:val="000000"/>
          <w:sz w:val="20"/>
          <w:szCs w:val="20"/>
        </w:rPr>
        <w:t xml:space="preserve"> </w:t>
      </w:r>
      <w:r>
        <w:rPr>
          <w:rFonts w:ascii="Calibri" w:hAnsi="Calibri" w:cs="Arial"/>
          <w:color w:val="000000"/>
          <w:sz w:val="20"/>
          <w:szCs w:val="20"/>
        </w:rPr>
        <w:t>обвезником</w:t>
      </w:r>
      <w:r w:rsidRPr="001A38B7">
        <w:rPr>
          <w:rFonts w:ascii="Calibri" w:hAnsi="Calibri" w:cs="Arial"/>
          <w:color w:val="000000"/>
          <w:sz w:val="20"/>
          <w:szCs w:val="20"/>
        </w:rPr>
        <w:t xml:space="preserve"> </w:t>
      </w:r>
      <w:r>
        <w:rPr>
          <w:rFonts w:ascii="Calibri" w:hAnsi="Calibri" w:cs="Arial"/>
          <w:color w:val="000000"/>
          <w:sz w:val="20"/>
          <w:szCs w:val="20"/>
        </w:rPr>
        <w:t>сматра</w:t>
      </w:r>
      <w:r w:rsidRPr="001A38B7">
        <w:rPr>
          <w:rFonts w:ascii="Calibri" w:hAnsi="Calibri" w:cs="Arial"/>
          <w:color w:val="000000"/>
          <w:sz w:val="20"/>
          <w:szCs w:val="20"/>
        </w:rPr>
        <w:t xml:space="preserve"> </w:t>
      </w:r>
      <w:r>
        <w:rPr>
          <w:rFonts w:ascii="Calibri" w:hAnsi="Calibri" w:cs="Arial"/>
          <w:color w:val="000000"/>
          <w:sz w:val="20"/>
          <w:szCs w:val="20"/>
        </w:rPr>
        <w:t>се</w:t>
      </w:r>
      <w:r w:rsidRPr="001A38B7">
        <w:rPr>
          <w:rFonts w:ascii="Calibri" w:hAnsi="Calibri" w:cs="Arial"/>
          <w:color w:val="000000"/>
          <w:sz w:val="20"/>
          <w:szCs w:val="20"/>
        </w:rPr>
        <w:t xml:space="preserve"> </w:t>
      </w:r>
      <w:r>
        <w:rPr>
          <w:rFonts w:ascii="Calibri" w:hAnsi="Calibri" w:cs="Arial"/>
          <w:color w:val="000000"/>
          <w:sz w:val="20"/>
          <w:szCs w:val="20"/>
        </w:rPr>
        <w:t>оно</w:t>
      </w:r>
      <w:r w:rsidRPr="001A38B7">
        <w:rPr>
          <w:rFonts w:ascii="Calibri" w:hAnsi="Calibri" w:cs="Arial"/>
          <w:color w:val="000000"/>
          <w:sz w:val="20"/>
          <w:szCs w:val="20"/>
        </w:rPr>
        <w:t xml:space="preserve"> </w:t>
      </w:r>
      <w:r>
        <w:rPr>
          <w:rFonts w:ascii="Calibri" w:hAnsi="Calibri" w:cs="Arial"/>
          <w:color w:val="000000"/>
          <w:sz w:val="20"/>
          <w:szCs w:val="20"/>
        </w:rPr>
        <w:t>физичко</w:t>
      </w:r>
      <w:r w:rsidRPr="001A38B7">
        <w:rPr>
          <w:rFonts w:ascii="Calibri" w:hAnsi="Calibri" w:cs="Arial"/>
          <w:color w:val="000000"/>
          <w:sz w:val="20"/>
          <w:szCs w:val="20"/>
        </w:rPr>
        <w:t xml:space="preserve"> </w:t>
      </w:r>
      <w:r>
        <w:rPr>
          <w:rFonts w:ascii="Calibri" w:hAnsi="Calibri" w:cs="Arial"/>
          <w:color w:val="000000"/>
          <w:sz w:val="20"/>
          <w:szCs w:val="20"/>
        </w:rPr>
        <w:t>или</w:t>
      </w:r>
      <w:r w:rsidRPr="001A38B7">
        <w:rPr>
          <w:rFonts w:ascii="Calibri" w:hAnsi="Calibri" w:cs="Arial"/>
          <w:color w:val="000000"/>
          <w:sz w:val="20"/>
          <w:szCs w:val="20"/>
        </w:rPr>
        <w:t xml:space="preserve"> </w:t>
      </w:r>
      <w:r>
        <w:rPr>
          <w:rFonts w:ascii="Calibri" w:hAnsi="Calibri" w:cs="Arial"/>
          <w:color w:val="000000"/>
          <w:sz w:val="20"/>
          <w:szCs w:val="20"/>
        </w:rPr>
        <w:t>правно</w:t>
      </w:r>
      <w:r w:rsidRPr="001A38B7">
        <w:rPr>
          <w:rFonts w:ascii="Calibri" w:hAnsi="Calibri" w:cs="Arial"/>
          <w:color w:val="000000"/>
          <w:sz w:val="20"/>
          <w:szCs w:val="20"/>
        </w:rPr>
        <w:t xml:space="preserve"> </w:t>
      </w:r>
      <w:r>
        <w:rPr>
          <w:rFonts w:ascii="Calibri" w:hAnsi="Calibri" w:cs="Arial"/>
          <w:color w:val="000000"/>
          <w:sz w:val="20"/>
          <w:szCs w:val="20"/>
        </w:rPr>
        <w:t>лице</w:t>
      </w:r>
      <w:r w:rsidRPr="001A38B7">
        <w:rPr>
          <w:rFonts w:ascii="Calibri" w:hAnsi="Calibri" w:cs="Arial"/>
          <w:color w:val="000000"/>
          <w:sz w:val="20"/>
          <w:szCs w:val="20"/>
        </w:rPr>
        <w:t xml:space="preserve"> </w:t>
      </w:r>
      <w:r>
        <w:rPr>
          <w:rFonts w:ascii="Calibri" w:hAnsi="Calibri" w:cs="Arial"/>
          <w:color w:val="000000"/>
          <w:sz w:val="20"/>
          <w:szCs w:val="20"/>
        </w:rPr>
        <w:t>у</w:t>
      </w:r>
      <w:r w:rsidRPr="001A38B7">
        <w:rPr>
          <w:rFonts w:ascii="Calibri" w:hAnsi="Calibri" w:cs="Arial"/>
          <w:color w:val="000000"/>
          <w:sz w:val="20"/>
          <w:szCs w:val="20"/>
        </w:rPr>
        <w:t xml:space="preserve"> </w:t>
      </w:r>
      <w:r>
        <w:rPr>
          <w:rFonts w:ascii="Calibri" w:hAnsi="Calibri" w:cs="Arial"/>
          <w:color w:val="000000"/>
          <w:sz w:val="20"/>
          <w:szCs w:val="20"/>
        </w:rPr>
        <w:t>чијим</w:t>
      </w:r>
      <w:r w:rsidRPr="001A38B7">
        <w:rPr>
          <w:rFonts w:ascii="Calibri" w:hAnsi="Calibri" w:cs="Arial"/>
          <w:color w:val="000000"/>
          <w:sz w:val="20"/>
          <w:szCs w:val="20"/>
        </w:rPr>
        <w:t xml:space="preserve"> </w:t>
      </w:r>
      <w:r>
        <w:rPr>
          <w:rFonts w:ascii="Calibri" w:hAnsi="Calibri" w:cs="Arial"/>
          <w:color w:val="000000"/>
          <w:sz w:val="20"/>
          <w:szCs w:val="20"/>
        </w:rPr>
        <w:t>се</w:t>
      </w:r>
      <w:r w:rsidRPr="001A38B7">
        <w:rPr>
          <w:rFonts w:ascii="Calibri" w:hAnsi="Calibri" w:cs="Arial"/>
          <w:color w:val="000000"/>
          <w:sz w:val="20"/>
          <w:szCs w:val="20"/>
        </w:rPr>
        <w:t xml:space="preserve"> </w:t>
      </w:r>
      <w:r>
        <w:rPr>
          <w:rFonts w:ascii="Calibri" w:hAnsi="Calibri" w:cs="Arial"/>
          <w:color w:val="000000"/>
          <w:sz w:val="20"/>
          <w:szCs w:val="20"/>
        </w:rPr>
        <w:t>односима</w:t>
      </w:r>
      <w:r w:rsidRPr="001A38B7">
        <w:rPr>
          <w:rFonts w:ascii="Calibri" w:hAnsi="Calibri" w:cs="Arial"/>
          <w:color w:val="000000"/>
          <w:sz w:val="20"/>
          <w:szCs w:val="20"/>
        </w:rPr>
        <w:t xml:space="preserve"> </w:t>
      </w:r>
      <w:r>
        <w:rPr>
          <w:rFonts w:ascii="Calibri" w:hAnsi="Calibri" w:cs="Arial"/>
          <w:color w:val="000000"/>
          <w:sz w:val="20"/>
          <w:szCs w:val="20"/>
        </w:rPr>
        <w:t>са</w:t>
      </w:r>
      <w:r w:rsidRPr="001A38B7">
        <w:rPr>
          <w:rFonts w:ascii="Calibri" w:hAnsi="Calibri" w:cs="Arial"/>
          <w:color w:val="000000"/>
          <w:sz w:val="20"/>
          <w:szCs w:val="20"/>
        </w:rPr>
        <w:t xml:space="preserve"> </w:t>
      </w:r>
      <w:r>
        <w:rPr>
          <w:rFonts w:ascii="Calibri" w:hAnsi="Calibri" w:cs="Arial"/>
          <w:color w:val="000000"/>
          <w:sz w:val="20"/>
          <w:szCs w:val="20"/>
        </w:rPr>
        <w:t>обвезником</w:t>
      </w:r>
      <w:r w:rsidRPr="001A38B7">
        <w:rPr>
          <w:rFonts w:ascii="Calibri" w:hAnsi="Calibri" w:cs="Arial"/>
          <w:color w:val="000000"/>
          <w:sz w:val="20"/>
          <w:szCs w:val="20"/>
        </w:rPr>
        <w:t xml:space="preserve"> </w:t>
      </w:r>
      <w:r>
        <w:rPr>
          <w:rFonts w:ascii="Calibri" w:hAnsi="Calibri" w:cs="Arial"/>
          <w:color w:val="000000"/>
          <w:sz w:val="20"/>
          <w:szCs w:val="20"/>
        </w:rPr>
        <w:t>јавља</w:t>
      </w:r>
      <w:r w:rsidRPr="001A38B7">
        <w:rPr>
          <w:rFonts w:ascii="Calibri" w:hAnsi="Calibri" w:cs="Arial"/>
          <w:color w:val="000000"/>
          <w:sz w:val="20"/>
          <w:szCs w:val="20"/>
        </w:rPr>
        <w:t xml:space="preserve"> </w:t>
      </w:r>
      <w:r>
        <w:rPr>
          <w:rFonts w:ascii="Calibri" w:hAnsi="Calibri" w:cs="Arial"/>
          <w:color w:val="000000"/>
          <w:sz w:val="20"/>
          <w:szCs w:val="20"/>
        </w:rPr>
        <w:t>могућност</w:t>
      </w:r>
      <w:r w:rsidRPr="001A38B7">
        <w:rPr>
          <w:rFonts w:ascii="Calibri" w:hAnsi="Calibri" w:cs="Arial"/>
          <w:color w:val="000000"/>
          <w:sz w:val="20"/>
          <w:szCs w:val="20"/>
        </w:rPr>
        <w:t xml:space="preserve"> </w:t>
      </w:r>
      <w:r>
        <w:rPr>
          <w:rFonts w:ascii="Calibri" w:hAnsi="Calibri" w:cs="Arial"/>
          <w:color w:val="000000"/>
          <w:sz w:val="20"/>
          <w:szCs w:val="20"/>
        </w:rPr>
        <w:t>контроле</w:t>
      </w:r>
      <w:r w:rsidRPr="001A38B7">
        <w:rPr>
          <w:rFonts w:ascii="Calibri" w:hAnsi="Calibri" w:cs="Arial"/>
          <w:color w:val="000000"/>
          <w:sz w:val="20"/>
          <w:szCs w:val="20"/>
        </w:rPr>
        <w:t xml:space="preserve"> </w:t>
      </w:r>
      <w:r>
        <w:rPr>
          <w:rFonts w:ascii="Calibri" w:hAnsi="Calibri" w:cs="Arial"/>
          <w:color w:val="000000"/>
          <w:sz w:val="20"/>
          <w:szCs w:val="20"/>
        </w:rPr>
        <w:t>или</w:t>
      </w:r>
      <w:r w:rsidRPr="001A38B7">
        <w:rPr>
          <w:rFonts w:ascii="Calibri" w:hAnsi="Calibri" w:cs="Arial"/>
          <w:color w:val="000000"/>
          <w:sz w:val="20"/>
          <w:szCs w:val="20"/>
        </w:rPr>
        <w:t xml:space="preserve"> </w:t>
      </w:r>
      <w:r>
        <w:rPr>
          <w:rFonts w:ascii="Calibri" w:hAnsi="Calibri" w:cs="Arial"/>
          <w:color w:val="000000"/>
          <w:sz w:val="20"/>
          <w:szCs w:val="20"/>
        </w:rPr>
        <w:t>значајнијег</w:t>
      </w:r>
      <w:r w:rsidRPr="001A38B7">
        <w:rPr>
          <w:rFonts w:ascii="Calibri" w:hAnsi="Calibri" w:cs="Arial"/>
          <w:color w:val="000000"/>
          <w:sz w:val="20"/>
          <w:szCs w:val="20"/>
        </w:rPr>
        <w:t xml:space="preserve"> </w:t>
      </w:r>
      <w:r>
        <w:rPr>
          <w:rFonts w:ascii="Calibri" w:hAnsi="Calibri" w:cs="Arial"/>
          <w:color w:val="000000"/>
          <w:sz w:val="20"/>
          <w:szCs w:val="20"/>
        </w:rPr>
        <w:t>утицаја</w:t>
      </w:r>
      <w:r w:rsidRPr="001A38B7">
        <w:rPr>
          <w:rFonts w:ascii="Calibri" w:hAnsi="Calibri" w:cs="Arial"/>
          <w:color w:val="000000"/>
          <w:sz w:val="20"/>
          <w:szCs w:val="20"/>
        </w:rPr>
        <w:t xml:space="preserve"> </w:t>
      </w:r>
      <w:r>
        <w:rPr>
          <w:rFonts w:ascii="Calibri" w:hAnsi="Calibri" w:cs="Arial"/>
          <w:color w:val="000000"/>
          <w:sz w:val="20"/>
          <w:szCs w:val="20"/>
        </w:rPr>
        <w:t>на</w:t>
      </w:r>
      <w:r w:rsidRPr="001A38B7">
        <w:rPr>
          <w:rFonts w:ascii="Calibri" w:hAnsi="Calibri" w:cs="Arial"/>
          <w:color w:val="000000"/>
          <w:sz w:val="20"/>
          <w:szCs w:val="20"/>
        </w:rPr>
        <w:t xml:space="preserve"> </w:t>
      </w:r>
      <w:r>
        <w:rPr>
          <w:rFonts w:ascii="Calibri" w:hAnsi="Calibri" w:cs="Arial"/>
          <w:color w:val="000000"/>
          <w:sz w:val="20"/>
          <w:szCs w:val="20"/>
        </w:rPr>
        <w:t>пословне</w:t>
      </w:r>
      <w:r w:rsidRPr="001A38B7">
        <w:rPr>
          <w:rFonts w:ascii="Calibri" w:hAnsi="Calibri" w:cs="Arial"/>
          <w:color w:val="000000"/>
          <w:sz w:val="20"/>
          <w:szCs w:val="20"/>
        </w:rPr>
        <w:t xml:space="preserve"> </w:t>
      </w:r>
      <w:r>
        <w:rPr>
          <w:rFonts w:ascii="Calibri" w:hAnsi="Calibri" w:cs="Arial"/>
          <w:color w:val="000000"/>
          <w:sz w:val="20"/>
          <w:szCs w:val="20"/>
        </w:rPr>
        <w:t>одлуке</w:t>
      </w:r>
      <w:r w:rsidRPr="001A38B7">
        <w:rPr>
          <w:rFonts w:ascii="Calibri" w:hAnsi="Calibri" w:cs="Arial"/>
          <w:color w:val="000000"/>
          <w:sz w:val="20"/>
          <w:szCs w:val="20"/>
        </w:rPr>
        <w:t>.</w:t>
      </w:r>
      <w:r w:rsidRPr="001A38B7">
        <w:rPr>
          <w:rFonts w:ascii="Calibri" w:hAnsi="Calibri" w:cs="Arial"/>
          <w:color w:val="000000"/>
          <w:sz w:val="20"/>
          <w:szCs w:val="20"/>
          <w:lang w:val="sr-Cyrl-CS"/>
        </w:rPr>
        <w:t xml:space="preserve"> </w:t>
      </w:r>
      <w:r>
        <w:rPr>
          <w:rFonts w:ascii="Calibri" w:hAnsi="Calibri" w:cs="Arial"/>
          <w:color w:val="000000"/>
          <w:sz w:val="20"/>
          <w:szCs w:val="20"/>
        </w:rPr>
        <w:t>У</w:t>
      </w:r>
      <w:r w:rsidRPr="001A38B7">
        <w:rPr>
          <w:rFonts w:ascii="Calibri" w:hAnsi="Calibri" w:cs="Arial"/>
          <w:color w:val="000000"/>
          <w:sz w:val="20"/>
          <w:szCs w:val="20"/>
        </w:rPr>
        <w:t xml:space="preserve"> </w:t>
      </w:r>
      <w:r>
        <w:rPr>
          <w:rFonts w:ascii="Calibri" w:hAnsi="Calibri" w:cs="Arial"/>
          <w:color w:val="000000"/>
          <w:sz w:val="20"/>
          <w:szCs w:val="20"/>
        </w:rPr>
        <w:t>случају</w:t>
      </w:r>
      <w:r w:rsidRPr="001A38B7">
        <w:rPr>
          <w:rFonts w:ascii="Calibri" w:hAnsi="Calibri" w:cs="Arial"/>
          <w:color w:val="000000"/>
          <w:sz w:val="20"/>
          <w:szCs w:val="20"/>
        </w:rPr>
        <w:t xml:space="preserve"> </w:t>
      </w:r>
      <w:r>
        <w:rPr>
          <w:rFonts w:ascii="Calibri" w:hAnsi="Calibri" w:cs="Arial"/>
          <w:color w:val="000000"/>
          <w:sz w:val="20"/>
          <w:szCs w:val="20"/>
        </w:rPr>
        <w:t>посредног</w:t>
      </w:r>
      <w:r w:rsidRPr="001A38B7">
        <w:rPr>
          <w:rFonts w:ascii="Calibri" w:hAnsi="Calibri" w:cs="Arial"/>
          <w:color w:val="000000"/>
          <w:sz w:val="20"/>
          <w:szCs w:val="20"/>
        </w:rPr>
        <w:t xml:space="preserve"> </w:t>
      </w:r>
      <w:r>
        <w:rPr>
          <w:rFonts w:ascii="Calibri" w:hAnsi="Calibri" w:cs="Arial"/>
          <w:color w:val="000000"/>
          <w:sz w:val="20"/>
          <w:szCs w:val="20"/>
        </w:rPr>
        <w:t>или</w:t>
      </w:r>
      <w:r w:rsidRPr="001A38B7">
        <w:rPr>
          <w:rFonts w:ascii="Calibri" w:hAnsi="Calibri" w:cs="Arial"/>
          <w:color w:val="000000"/>
          <w:sz w:val="20"/>
          <w:szCs w:val="20"/>
        </w:rPr>
        <w:t xml:space="preserve"> </w:t>
      </w:r>
      <w:r>
        <w:rPr>
          <w:rFonts w:ascii="Calibri" w:hAnsi="Calibri" w:cs="Arial"/>
          <w:color w:val="000000"/>
          <w:sz w:val="20"/>
          <w:szCs w:val="20"/>
        </w:rPr>
        <w:t>непосредног</w:t>
      </w:r>
      <w:r w:rsidRPr="001A38B7">
        <w:rPr>
          <w:rFonts w:ascii="Calibri" w:hAnsi="Calibri" w:cs="Arial"/>
          <w:color w:val="000000"/>
          <w:sz w:val="20"/>
          <w:szCs w:val="20"/>
        </w:rPr>
        <w:t xml:space="preserve"> </w:t>
      </w:r>
      <w:r>
        <w:rPr>
          <w:rFonts w:ascii="Calibri" w:hAnsi="Calibri" w:cs="Arial"/>
          <w:color w:val="000000"/>
          <w:sz w:val="20"/>
          <w:szCs w:val="20"/>
        </w:rPr>
        <w:t>поседовања</w:t>
      </w:r>
      <w:r w:rsidRPr="001A38B7">
        <w:rPr>
          <w:rFonts w:ascii="Calibri" w:hAnsi="Calibri" w:cs="Arial"/>
          <w:color w:val="000000"/>
          <w:sz w:val="20"/>
          <w:szCs w:val="20"/>
        </w:rPr>
        <w:t xml:space="preserve"> </w:t>
      </w:r>
      <w:r>
        <w:rPr>
          <w:rFonts w:ascii="Calibri" w:hAnsi="Calibri" w:cs="Arial"/>
          <w:color w:val="000000"/>
          <w:sz w:val="20"/>
          <w:szCs w:val="20"/>
        </w:rPr>
        <w:t>најмање</w:t>
      </w:r>
      <w:r w:rsidRPr="001A38B7">
        <w:rPr>
          <w:rFonts w:ascii="Calibri" w:hAnsi="Calibri" w:cs="Arial"/>
          <w:color w:val="000000"/>
          <w:sz w:val="20"/>
          <w:szCs w:val="20"/>
        </w:rPr>
        <w:t xml:space="preserve"> 25% </w:t>
      </w:r>
      <w:r>
        <w:rPr>
          <w:rFonts w:ascii="Calibri" w:hAnsi="Calibri" w:cs="Arial"/>
          <w:color w:val="000000"/>
          <w:sz w:val="20"/>
          <w:szCs w:val="20"/>
        </w:rPr>
        <w:t>акција</w:t>
      </w:r>
      <w:r w:rsidRPr="001A38B7">
        <w:rPr>
          <w:rFonts w:ascii="Calibri" w:hAnsi="Calibri" w:cs="Arial"/>
          <w:color w:val="000000"/>
          <w:sz w:val="20"/>
          <w:szCs w:val="20"/>
        </w:rPr>
        <w:t xml:space="preserve"> </w:t>
      </w:r>
      <w:r>
        <w:rPr>
          <w:rFonts w:ascii="Calibri" w:hAnsi="Calibri" w:cs="Arial"/>
          <w:color w:val="000000"/>
          <w:sz w:val="20"/>
          <w:szCs w:val="20"/>
        </w:rPr>
        <w:t>или</w:t>
      </w:r>
      <w:r w:rsidRPr="001A38B7">
        <w:rPr>
          <w:rFonts w:ascii="Calibri" w:hAnsi="Calibri" w:cs="Arial"/>
          <w:color w:val="000000"/>
          <w:sz w:val="20"/>
          <w:szCs w:val="20"/>
        </w:rPr>
        <w:t xml:space="preserve"> </w:t>
      </w:r>
      <w:r>
        <w:rPr>
          <w:rFonts w:ascii="Calibri" w:hAnsi="Calibri" w:cs="Arial"/>
          <w:color w:val="000000"/>
          <w:sz w:val="20"/>
          <w:szCs w:val="20"/>
        </w:rPr>
        <w:t>удела</w:t>
      </w:r>
      <w:r w:rsidRPr="001A38B7">
        <w:rPr>
          <w:rFonts w:ascii="Calibri" w:hAnsi="Calibri" w:cs="Arial"/>
          <w:color w:val="000000"/>
          <w:sz w:val="20"/>
          <w:szCs w:val="20"/>
        </w:rPr>
        <w:t xml:space="preserve"> </w:t>
      </w:r>
      <w:r>
        <w:rPr>
          <w:rFonts w:ascii="Calibri" w:hAnsi="Calibri" w:cs="Arial"/>
          <w:color w:val="000000"/>
          <w:sz w:val="20"/>
          <w:szCs w:val="20"/>
        </w:rPr>
        <w:t>сматра</w:t>
      </w:r>
      <w:r w:rsidRPr="001A38B7">
        <w:rPr>
          <w:rFonts w:ascii="Calibri" w:hAnsi="Calibri" w:cs="Arial"/>
          <w:color w:val="000000"/>
          <w:sz w:val="20"/>
          <w:szCs w:val="20"/>
        </w:rPr>
        <w:t xml:space="preserve"> </w:t>
      </w:r>
      <w:r>
        <w:rPr>
          <w:rFonts w:ascii="Calibri" w:hAnsi="Calibri" w:cs="Arial"/>
          <w:color w:val="000000"/>
          <w:sz w:val="20"/>
          <w:szCs w:val="20"/>
        </w:rPr>
        <w:t>се</w:t>
      </w:r>
      <w:r w:rsidRPr="001A38B7">
        <w:rPr>
          <w:rFonts w:ascii="Calibri" w:hAnsi="Calibri" w:cs="Arial"/>
          <w:color w:val="000000"/>
          <w:sz w:val="20"/>
          <w:szCs w:val="20"/>
        </w:rPr>
        <w:t xml:space="preserve"> </w:t>
      </w:r>
      <w:r>
        <w:rPr>
          <w:rFonts w:ascii="Calibri" w:hAnsi="Calibri" w:cs="Arial"/>
          <w:color w:val="000000"/>
          <w:sz w:val="20"/>
          <w:szCs w:val="20"/>
        </w:rPr>
        <w:t>да</w:t>
      </w:r>
      <w:r w:rsidRPr="001A38B7">
        <w:rPr>
          <w:rFonts w:ascii="Calibri" w:hAnsi="Calibri" w:cs="Arial"/>
          <w:color w:val="000000"/>
          <w:sz w:val="20"/>
          <w:szCs w:val="20"/>
        </w:rPr>
        <w:t xml:space="preserve"> </w:t>
      </w:r>
      <w:r>
        <w:rPr>
          <w:rFonts w:ascii="Calibri" w:hAnsi="Calibri" w:cs="Arial"/>
          <w:color w:val="000000"/>
          <w:sz w:val="20"/>
          <w:szCs w:val="20"/>
        </w:rPr>
        <w:t>постоји</w:t>
      </w:r>
      <w:r w:rsidRPr="001A38B7">
        <w:rPr>
          <w:rFonts w:ascii="Calibri" w:hAnsi="Calibri" w:cs="Arial"/>
          <w:color w:val="000000"/>
          <w:sz w:val="20"/>
          <w:szCs w:val="20"/>
        </w:rPr>
        <w:t xml:space="preserve"> </w:t>
      </w:r>
      <w:r>
        <w:rPr>
          <w:rFonts w:ascii="Calibri" w:hAnsi="Calibri" w:cs="Arial"/>
          <w:color w:val="000000"/>
          <w:sz w:val="20"/>
          <w:szCs w:val="20"/>
        </w:rPr>
        <w:t>могућност</w:t>
      </w:r>
      <w:r w:rsidRPr="001A38B7">
        <w:rPr>
          <w:rFonts w:ascii="Calibri" w:hAnsi="Calibri" w:cs="Arial"/>
          <w:color w:val="000000"/>
          <w:sz w:val="20"/>
          <w:szCs w:val="20"/>
        </w:rPr>
        <w:t xml:space="preserve"> </w:t>
      </w:r>
      <w:r>
        <w:rPr>
          <w:rFonts w:ascii="Calibri" w:hAnsi="Calibri" w:cs="Arial"/>
          <w:color w:val="000000"/>
          <w:sz w:val="20"/>
          <w:szCs w:val="20"/>
        </w:rPr>
        <w:t>контроле</w:t>
      </w:r>
      <w:r w:rsidRPr="001A38B7">
        <w:rPr>
          <w:rFonts w:ascii="Calibri" w:hAnsi="Calibri" w:cs="Arial"/>
          <w:color w:val="000000"/>
          <w:sz w:val="20"/>
          <w:szCs w:val="20"/>
        </w:rPr>
        <w:t xml:space="preserve"> </w:t>
      </w:r>
      <w:r>
        <w:rPr>
          <w:rFonts w:ascii="Calibri" w:hAnsi="Calibri" w:cs="Arial"/>
          <w:color w:val="000000"/>
          <w:sz w:val="20"/>
          <w:szCs w:val="20"/>
        </w:rPr>
        <w:t>над</w:t>
      </w:r>
      <w:r w:rsidRPr="001A38B7">
        <w:rPr>
          <w:rFonts w:ascii="Calibri" w:hAnsi="Calibri" w:cs="Arial"/>
          <w:color w:val="000000"/>
          <w:sz w:val="20"/>
          <w:szCs w:val="20"/>
        </w:rPr>
        <w:t xml:space="preserve"> </w:t>
      </w:r>
      <w:r>
        <w:rPr>
          <w:rFonts w:ascii="Calibri" w:hAnsi="Calibri" w:cs="Arial"/>
          <w:color w:val="000000"/>
          <w:sz w:val="20"/>
          <w:szCs w:val="20"/>
        </w:rPr>
        <w:t>обвезником</w:t>
      </w:r>
      <w:r w:rsidRPr="001A38B7">
        <w:rPr>
          <w:rFonts w:ascii="Calibri" w:hAnsi="Calibri" w:cs="Arial"/>
          <w:color w:val="000000"/>
          <w:sz w:val="20"/>
          <w:szCs w:val="20"/>
        </w:rPr>
        <w:t>.</w:t>
      </w:r>
      <w:r w:rsidRPr="001A38B7">
        <w:rPr>
          <w:rFonts w:ascii="Calibri" w:hAnsi="Calibri" w:cs="Arial"/>
          <w:color w:val="000000"/>
          <w:sz w:val="20"/>
          <w:szCs w:val="20"/>
          <w:lang w:val="sr-Cyrl-CS"/>
        </w:rPr>
        <w:t xml:space="preserve"> </w:t>
      </w:r>
      <w:r>
        <w:rPr>
          <w:rFonts w:ascii="Calibri" w:hAnsi="Calibri" w:cs="Arial"/>
          <w:color w:val="000000"/>
          <w:sz w:val="20"/>
          <w:szCs w:val="20"/>
        </w:rPr>
        <w:t>Могућност</w:t>
      </w:r>
      <w:r w:rsidRPr="001A38B7">
        <w:rPr>
          <w:rFonts w:ascii="Calibri" w:hAnsi="Calibri" w:cs="Arial"/>
          <w:color w:val="000000"/>
          <w:sz w:val="20"/>
          <w:szCs w:val="20"/>
        </w:rPr>
        <w:t xml:space="preserve"> </w:t>
      </w:r>
      <w:r>
        <w:rPr>
          <w:rFonts w:ascii="Calibri" w:hAnsi="Calibri" w:cs="Arial"/>
          <w:color w:val="000000"/>
          <w:sz w:val="20"/>
          <w:szCs w:val="20"/>
        </w:rPr>
        <w:t>значајнијег</w:t>
      </w:r>
      <w:r w:rsidRPr="001A38B7">
        <w:rPr>
          <w:rFonts w:ascii="Calibri" w:hAnsi="Calibri" w:cs="Arial"/>
          <w:color w:val="000000"/>
          <w:sz w:val="20"/>
          <w:szCs w:val="20"/>
        </w:rPr>
        <w:t xml:space="preserve"> </w:t>
      </w:r>
      <w:r>
        <w:rPr>
          <w:rFonts w:ascii="Calibri" w:hAnsi="Calibri" w:cs="Arial"/>
          <w:color w:val="000000"/>
          <w:sz w:val="20"/>
          <w:szCs w:val="20"/>
        </w:rPr>
        <w:t>утицаја</w:t>
      </w:r>
      <w:r w:rsidRPr="001A38B7">
        <w:rPr>
          <w:rFonts w:ascii="Calibri" w:hAnsi="Calibri" w:cs="Arial"/>
          <w:color w:val="000000"/>
          <w:sz w:val="20"/>
          <w:szCs w:val="20"/>
        </w:rPr>
        <w:t xml:space="preserve"> </w:t>
      </w:r>
      <w:r>
        <w:rPr>
          <w:rFonts w:ascii="Calibri" w:hAnsi="Calibri" w:cs="Arial"/>
          <w:color w:val="000000"/>
          <w:sz w:val="20"/>
          <w:szCs w:val="20"/>
        </w:rPr>
        <w:t>на</w:t>
      </w:r>
      <w:r w:rsidRPr="001A38B7">
        <w:rPr>
          <w:rFonts w:ascii="Calibri" w:hAnsi="Calibri" w:cs="Arial"/>
          <w:color w:val="000000"/>
          <w:sz w:val="20"/>
          <w:szCs w:val="20"/>
        </w:rPr>
        <w:t xml:space="preserve"> </w:t>
      </w:r>
      <w:r>
        <w:rPr>
          <w:rFonts w:ascii="Calibri" w:hAnsi="Calibri" w:cs="Arial"/>
          <w:color w:val="000000"/>
          <w:sz w:val="20"/>
          <w:szCs w:val="20"/>
        </w:rPr>
        <w:t>пословне</w:t>
      </w:r>
      <w:r w:rsidRPr="001A38B7">
        <w:rPr>
          <w:rFonts w:ascii="Calibri" w:hAnsi="Calibri" w:cs="Arial"/>
          <w:color w:val="000000"/>
          <w:sz w:val="20"/>
          <w:szCs w:val="20"/>
        </w:rPr>
        <w:t xml:space="preserve"> </w:t>
      </w:r>
      <w:r>
        <w:rPr>
          <w:rFonts w:ascii="Calibri" w:hAnsi="Calibri" w:cs="Arial"/>
          <w:color w:val="000000"/>
          <w:sz w:val="20"/>
          <w:szCs w:val="20"/>
        </w:rPr>
        <w:t>одлуке</w:t>
      </w:r>
      <w:r w:rsidRPr="001A38B7">
        <w:rPr>
          <w:rFonts w:ascii="Calibri" w:hAnsi="Calibri" w:cs="Arial"/>
          <w:color w:val="000000"/>
          <w:sz w:val="20"/>
          <w:szCs w:val="20"/>
        </w:rPr>
        <w:t xml:space="preserve"> </w:t>
      </w:r>
      <w:r>
        <w:rPr>
          <w:rFonts w:ascii="Calibri" w:hAnsi="Calibri" w:cs="Arial"/>
          <w:color w:val="000000"/>
          <w:sz w:val="20"/>
          <w:szCs w:val="20"/>
        </w:rPr>
        <w:t>постоји</w:t>
      </w:r>
      <w:r w:rsidRPr="001A38B7">
        <w:rPr>
          <w:rFonts w:ascii="Calibri" w:hAnsi="Calibri" w:cs="Arial"/>
          <w:color w:val="000000"/>
          <w:sz w:val="20"/>
          <w:szCs w:val="20"/>
          <w:lang w:val="sr-Cyrl-CS"/>
        </w:rPr>
        <w:t xml:space="preserve"> </w:t>
      </w:r>
      <w:r>
        <w:rPr>
          <w:rFonts w:ascii="Calibri" w:hAnsi="Calibri" w:cs="Arial"/>
          <w:color w:val="000000"/>
          <w:sz w:val="20"/>
          <w:szCs w:val="20"/>
        </w:rPr>
        <w:t>и</w:t>
      </w:r>
      <w:r w:rsidRPr="001A38B7">
        <w:rPr>
          <w:rFonts w:ascii="Calibri" w:hAnsi="Calibri" w:cs="Arial"/>
          <w:color w:val="000000"/>
          <w:sz w:val="20"/>
          <w:szCs w:val="20"/>
        </w:rPr>
        <w:t xml:space="preserve"> </w:t>
      </w:r>
      <w:r>
        <w:rPr>
          <w:rFonts w:ascii="Calibri" w:hAnsi="Calibri" w:cs="Arial"/>
          <w:color w:val="000000"/>
          <w:sz w:val="20"/>
          <w:szCs w:val="20"/>
        </w:rPr>
        <w:t>када</w:t>
      </w:r>
      <w:r w:rsidRPr="001A38B7">
        <w:rPr>
          <w:rFonts w:ascii="Calibri" w:hAnsi="Calibri" w:cs="Arial"/>
          <w:color w:val="000000"/>
          <w:sz w:val="20"/>
          <w:szCs w:val="20"/>
        </w:rPr>
        <w:t xml:space="preserve"> </w:t>
      </w:r>
      <w:r>
        <w:rPr>
          <w:rFonts w:ascii="Calibri" w:hAnsi="Calibri" w:cs="Arial"/>
          <w:color w:val="000000"/>
          <w:sz w:val="20"/>
          <w:szCs w:val="20"/>
        </w:rPr>
        <w:t>лице</w:t>
      </w:r>
      <w:r w:rsidRPr="001A38B7">
        <w:rPr>
          <w:rFonts w:ascii="Calibri" w:hAnsi="Calibri" w:cs="Arial"/>
          <w:color w:val="000000"/>
          <w:sz w:val="20"/>
          <w:szCs w:val="20"/>
        </w:rPr>
        <w:t xml:space="preserve"> </w:t>
      </w:r>
      <w:r>
        <w:rPr>
          <w:rFonts w:ascii="Calibri" w:hAnsi="Calibri" w:cs="Arial"/>
          <w:color w:val="000000"/>
          <w:sz w:val="20"/>
          <w:szCs w:val="20"/>
        </w:rPr>
        <w:t>посредно</w:t>
      </w:r>
      <w:r w:rsidRPr="001A38B7">
        <w:rPr>
          <w:rFonts w:ascii="Calibri" w:hAnsi="Calibri" w:cs="Arial"/>
          <w:color w:val="000000"/>
          <w:sz w:val="20"/>
          <w:szCs w:val="20"/>
        </w:rPr>
        <w:t xml:space="preserve"> </w:t>
      </w:r>
      <w:r>
        <w:rPr>
          <w:rFonts w:ascii="Calibri" w:hAnsi="Calibri" w:cs="Arial"/>
          <w:color w:val="000000"/>
          <w:sz w:val="20"/>
          <w:szCs w:val="20"/>
        </w:rPr>
        <w:t>или</w:t>
      </w:r>
      <w:r w:rsidRPr="001A38B7">
        <w:rPr>
          <w:rFonts w:ascii="Calibri" w:hAnsi="Calibri" w:cs="Arial"/>
          <w:color w:val="000000"/>
          <w:sz w:val="20"/>
          <w:szCs w:val="20"/>
        </w:rPr>
        <w:t xml:space="preserve"> </w:t>
      </w:r>
      <w:r>
        <w:rPr>
          <w:rFonts w:ascii="Calibri" w:hAnsi="Calibri" w:cs="Arial"/>
          <w:color w:val="000000"/>
          <w:sz w:val="20"/>
          <w:szCs w:val="20"/>
        </w:rPr>
        <w:t>непосредно</w:t>
      </w:r>
      <w:r w:rsidRPr="001A38B7">
        <w:rPr>
          <w:rFonts w:ascii="Calibri" w:hAnsi="Calibri" w:cs="Arial"/>
          <w:color w:val="000000"/>
          <w:sz w:val="20"/>
          <w:szCs w:val="20"/>
        </w:rPr>
        <w:t xml:space="preserve"> </w:t>
      </w:r>
      <w:r>
        <w:rPr>
          <w:rFonts w:ascii="Calibri" w:hAnsi="Calibri" w:cs="Arial"/>
          <w:color w:val="000000"/>
          <w:sz w:val="20"/>
          <w:szCs w:val="20"/>
        </w:rPr>
        <w:t>поседује</w:t>
      </w:r>
      <w:r w:rsidRPr="001A38B7">
        <w:rPr>
          <w:rFonts w:ascii="Calibri" w:hAnsi="Calibri" w:cs="Arial"/>
          <w:color w:val="000000"/>
          <w:sz w:val="20"/>
          <w:szCs w:val="20"/>
        </w:rPr>
        <w:t xml:space="preserve"> </w:t>
      </w:r>
      <w:r>
        <w:rPr>
          <w:rFonts w:ascii="Calibri" w:hAnsi="Calibri" w:cs="Arial"/>
          <w:color w:val="000000"/>
          <w:sz w:val="20"/>
          <w:szCs w:val="20"/>
        </w:rPr>
        <w:t>најмање</w:t>
      </w:r>
      <w:r w:rsidRPr="001A38B7">
        <w:rPr>
          <w:rFonts w:ascii="Calibri" w:hAnsi="Calibri" w:cs="Arial"/>
          <w:color w:val="000000"/>
          <w:sz w:val="20"/>
          <w:szCs w:val="20"/>
        </w:rPr>
        <w:t xml:space="preserve"> 25% </w:t>
      </w:r>
      <w:r>
        <w:rPr>
          <w:rFonts w:ascii="Calibri" w:hAnsi="Calibri" w:cs="Arial"/>
          <w:color w:val="000000"/>
          <w:sz w:val="20"/>
          <w:szCs w:val="20"/>
        </w:rPr>
        <w:t>гласова</w:t>
      </w:r>
      <w:r w:rsidRPr="001A38B7">
        <w:rPr>
          <w:rFonts w:ascii="Calibri" w:hAnsi="Calibri" w:cs="Arial"/>
          <w:color w:val="000000"/>
          <w:sz w:val="20"/>
          <w:szCs w:val="20"/>
        </w:rPr>
        <w:t xml:space="preserve"> </w:t>
      </w:r>
      <w:r>
        <w:rPr>
          <w:rFonts w:ascii="Calibri" w:hAnsi="Calibri" w:cs="Arial"/>
          <w:color w:val="000000"/>
          <w:sz w:val="20"/>
          <w:szCs w:val="20"/>
        </w:rPr>
        <w:t>у</w:t>
      </w:r>
      <w:r w:rsidRPr="001A38B7">
        <w:rPr>
          <w:rFonts w:ascii="Calibri" w:hAnsi="Calibri" w:cs="Arial"/>
          <w:color w:val="000000"/>
          <w:sz w:val="20"/>
          <w:szCs w:val="20"/>
        </w:rPr>
        <w:t xml:space="preserve"> </w:t>
      </w:r>
      <w:r>
        <w:rPr>
          <w:rFonts w:ascii="Calibri" w:hAnsi="Calibri" w:cs="Arial"/>
          <w:color w:val="000000"/>
          <w:sz w:val="20"/>
          <w:szCs w:val="20"/>
        </w:rPr>
        <w:t>обвезниковим</w:t>
      </w:r>
      <w:r w:rsidRPr="001A38B7">
        <w:rPr>
          <w:rFonts w:ascii="Calibri" w:hAnsi="Calibri" w:cs="Arial"/>
          <w:color w:val="000000"/>
          <w:sz w:val="20"/>
          <w:szCs w:val="20"/>
        </w:rPr>
        <w:t xml:space="preserve"> </w:t>
      </w:r>
      <w:r>
        <w:rPr>
          <w:rFonts w:ascii="Calibri" w:hAnsi="Calibri" w:cs="Arial"/>
          <w:color w:val="000000"/>
          <w:sz w:val="20"/>
          <w:szCs w:val="20"/>
        </w:rPr>
        <w:t>органима</w:t>
      </w:r>
      <w:r w:rsidRPr="001A38B7">
        <w:rPr>
          <w:rFonts w:ascii="Calibri" w:hAnsi="Calibri" w:cs="Arial"/>
          <w:color w:val="000000"/>
          <w:sz w:val="20"/>
          <w:szCs w:val="20"/>
        </w:rPr>
        <w:t xml:space="preserve"> </w:t>
      </w:r>
      <w:r>
        <w:rPr>
          <w:rFonts w:ascii="Calibri" w:hAnsi="Calibri" w:cs="Arial"/>
          <w:color w:val="000000"/>
          <w:sz w:val="20"/>
          <w:szCs w:val="20"/>
        </w:rPr>
        <w:t>управљања</w:t>
      </w:r>
      <w:r w:rsidRPr="001A38B7">
        <w:rPr>
          <w:rFonts w:ascii="Calibri" w:hAnsi="Calibri" w:cs="Arial"/>
          <w:color w:val="000000"/>
          <w:sz w:val="20"/>
          <w:szCs w:val="20"/>
        </w:rPr>
        <w:t xml:space="preserve"> </w:t>
      </w:r>
      <w:r>
        <w:rPr>
          <w:rFonts w:ascii="Calibri" w:hAnsi="Calibri" w:cs="Arial"/>
          <w:color w:val="000000"/>
          <w:sz w:val="20"/>
          <w:szCs w:val="20"/>
        </w:rPr>
        <w:t>и</w:t>
      </w:r>
      <w:r w:rsidRPr="001A38B7">
        <w:rPr>
          <w:rFonts w:ascii="Calibri" w:hAnsi="Calibri" w:cs="Arial"/>
          <w:color w:val="000000"/>
          <w:sz w:val="20"/>
          <w:szCs w:val="20"/>
        </w:rPr>
        <w:t xml:space="preserve"> </w:t>
      </w:r>
      <w:r>
        <w:rPr>
          <w:rFonts w:ascii="Calibri" w:hAnsi="Calibri" w:cs="Arial"/>
          <w:color w:val="000000"/>
          <w:sz w:val="20"/>
          <w:szCs w:val="20"/>
        </w:rPr>
        <w:t>оно</w:t>
      </w:r>
      <w:r w:rsidRPr="001A38B7">
        <w:rPr>
          <w:rFonts w:ascii="Calibri" w:hAnsi="Calibri" w:cs="Arial"/>
          <w:color w:val="000000"/>
          <w:sz w:val="20"/>
          <w:szCs w:val="20"/>
        </w:rPr>
        <w:t xml:space="preserve"> </w:t>
      </w:r>
      <w:r>
        <w:rPr>
          <w:rFonts w:ascii="Calibri" w:hAnsi="Calibri" w:cs="Arial"/>
          <w:color w:val="000000"/>
          <w:sz w:val="20"/>
          <w:szCs w:val="20"/>
        </w:rPr>
        <w:t>правно</w:t>
      </w:r>
      <w:r w:rsidRPr="001A38B7">
        <w:rPr>
          <w:rFonts w:ascii="Calibri" w:hAnsi="Calibri" w:cs="Arial"/>
          <w:color w:val="000000"/>
          <w:sz w:val="20"/>
          <w:szCs w:val="20"/>
        </w:rPr>
        <w:t xml:space="preserve"> </w:t>
      </w:r>
      <w:r>
        <w:rPr>
          <w:rFonts w:ascii="Calibri" w:hAnsi="Calibri" w:cs="Arial"/>
          <w:color w:val="000000"/>
          <w:sz w:val="20"/>
          <w:szCs w:val="20"/>
        </w:rPr>
        <w:t>лице</w:t>
      </w:r>
      <w:r w:rsidRPr="001A38B7">
        <w:rPr>
          <w:rFonts w:ascii="Calibri" w:hAnsi="Calibri" w:cs="Arial"/>
          <w:color w:val="000000"/>
          <w:sz w:val="20"/>
          <w:szCs w:val="20"/>
        </w:rPr>
        <w:t xml:space="preserve"> </w:t>
      </w:r>
      <w:r>
        <w:rPr>
          <w:rFonts w:ascii="Calibri" w:hAnsi="Calibri" w:cs="Arial"/>
          <w:color w:val="000000"/>
          <w:sz w:val="20"/>
          <w:szCs w:val="20"/>
        </w:rPr>
        <w:t>у</w:t>
      </w:r>
      <w:r w:rsidRPr="001A38B7">
        <w:rPr>
          <w:rFonts w:ascii="Calibri" w:hAnsi="Calibri" w:cs="Arial"/>
          <w:color w:val="000000"/>
          <w:sz w:val="20"/>
          <w:szCs w:val="20"/>
        </w:rPr>
        <w:t xml:space="preserve"> </w:t>
      </w:r>
      <w:r>
        <w:rPr>
          <w:rFonts w:ascii="Calibri" w:hAnsi="Calibri" w:cs="Arial"/>
          <w:color w:val="000000"/>
          <w:sz w:val="20"/>
          <w:szCs w:val="20"/>
        </w:rPr>
        <w:t>коме</w:t>
      </w:r>
      <w:r w:rsidRPr="001A38B7">
        <w:rPr>
          <w:rFonts w:ascii="Calibri" w:hAnsi="Calibri" w:cs="Arial"/>
          <w:color w:val="000000"/>
          <w:sz w:val="20"/>
          <w:szCs w:val="20"/>
        </w:rPr>
        <w:t xml:space="preserve">, </w:t>
      </w:r>
      <w:r>
        <w:rPr>
          <w:rFonts w:ascii="Calibri" w:hAnsi="Calibri" w:cs="Arial"/>
          <w:color w:val="000000"/>
          <w:sz w:val="20"/>
          <w:szCs w:val="20"/>
        </w:rPr>
        <w:t>као</w:t>
      </w:r>
      <w:r w:rsidRPr="001A38B7">
        <w:rPr>
          <w:rFonts w:ascii="Calibri" w:hAnsi="Calibri" w:cs="Arial"/>
          <w:color w:val="000000"/>
          <w:sz w:val="20"/>
          <w:szCs w:val="20"/>
        </w:rPr>
        <w:t xml:space="preserve"> </w:t>
      </w:r>
      <w:r>
        <w:rPr>
          <w:rFonts w:ascii="Calibri" w:hAnsi="Calibri" w:cs="Arial"/>
          <w:color w:val="000000"/>
          <w:sz w:val="20"/>
          <w:szCs w:val="20"/>
        </w:rPr>
        <w:t>и</w:t>
      </w:r>
      <w:r w:rsidRPr="001A38B7">
        <w:rPr>
          <w:rFonts w:ascii="Calibri" w:hAnsi="Calibri" w:cs="Arial"/>
          <w:color w:val="000000"/>
          <w:sz w:val="20"/>
          <w:szCs w:val="20"/>
        </w:rPr>
        <w:t xml:space="preserve"> </w:t>
      </w:r>
      <w:r>
        <w:rPr>
          <w:rFonts w:ascii="Calibri" w:hAnsi="Calibri" w:cs="Arial"/>
          <w:color w:val="000000"/>
          <w:sz w:val="20"/>
          <w:szCs w:val="20"/>
        </w:rPr>
        <w:t>код</w:t>
      </w:r>
      <w:r w:rsidRPr="001A38B7">
        <w:rPr>
          <w:rFonts w:ascii="Calibri" w:hAnsi="Calibri" w:cs="Arial"/>
          <w:color w:val="000000"/>
          <w:sz w:val="20"/>
          <w:szCs w:val="20"/>
        </w:rPr>
        <w:t xml:space="preserve"> </w:t>
      </w:r>
      <w:r>
        <w:rPr>
          <w:rFonts w:ascii="Calibri" w:hAnsi="Calibri" w:cs="Arial"/>
          <w:color w:val="000000"/>
          <w:sz w:val="20"/>
          <w:szCs w:val="20"/>
        </w:rPr>
        <w:t>обвезника</w:t>
      </w:r>
      <w:r w:rsidRPr="001A38B7">
        <w:rPr>
          <w:rFonts w:ascii="Calibri" w:hAnsi="Calibri" w:cs="Arial"/>
          <w:color w:val="000000"/>
          <w:sz w:val="20"/>
          <w:szCs w:val="20"/>
        </w:rPr>
        <w:t xml:space="preserve">, </w:t>
      </w:r>
      <w:r>
        <w:rPr>
          <w:rFonts w:ascii="Calibri" w:hAnsi="Calibri" w:cs="Arial"/>
          <w:color w:val="000000"/>
          <w:sz w:val="20"/>
          <w:szCs w:val="20"/>
        </w:rPr>
        <w:t>иста</w:t>
      </w:r>
      <w:r w:rsidRPr="001A38B7">
        <w:rPr>
          <w:rFonts w:ascii="Calibri" w:hAnsi="Calibri" w:cs="Arial"/>
          <w:color w:val="000000"/>
          <w:sz w:val="20"/>
          <w:szCs w:val="20"/>
        </w:rPr>
        <w:t xml:space="preserve"> </w:t>
      </w:r>
      <w:r>
        <w:rPr>
          <w:rFonts w:ascii="Calibri" w:hAnsi="Calibri" w:cs="Arial"/>
          <w:color w:val="000000"/>
          <w:sz w:val="20"/>
          <w:szCs w:val="20"/>
        </w:rPr>
        <w:t>физичка</w:t>
      </w:r>
      <w:r w:rsidRPr="001A38B7">
        <w:rPr>
          <w:rFonts w:ascii="Calibri" w:hAnsi="Calibri" w:cs="Arial"/>
          <w:color w:val="000000"/>
          <w:sz w:val="20"/>
          <w:szCs w:val="20"/>
        </w:rPr>
        <w:t xml:space="preserve"> </w:t>
      </w:r>
      <w:r>
        <w:rPr>
          <w:rFonts w:ascii="Calibri" w:hAnsi="Calibri" w:cs="Arial"/>
          <w:color w:val="000000"/>
          <w:sz w:val="20"/>
          <w:szCs w:val="20"/>
        </w:rPr>
        <w:t>или</w:t>
      </w:r>
      <w:r w:rsidRPr="001A38B7">
        <w:rPr>
          <w:rFonts w:ascii="Calibri" w:hAnsi="Calibri" w:cs="Arial"/>
          <w:color w:val="000000"/>
          <w:sz w:val="20"/>
          <w:szCs w:val="20"/>
        </w:rPr>
        <w:t xml:space="preserve"> </w:t>
      </w:r>
      <w:r>
        <w:rPr>
          <w:rFonts w:ascii="Calibri" w:hAnsi="Calibri" w:cs="Arial"/>
          <w:color w:val="000000"/>
          <w:sz w:val="20"/>
          <w:szCs w:val="20"/>
        </w:rPr>
        <w:t>правна</w:t>
      </w:r>
      <w:r w:rsidRPr="001A38B7">
        <w:rPr>
          <w:rFonts w:ascii="Calibri" w:hAnsi="Calibri" w:cs="Arial"/>
          <w:color w:val="000000"/>
          <w:sz w:val="20"/>
          <w:szCs w:val="20"/>
        </w:rPr>
        <w:t xml:space="preserve"> </w:t>
      </w:r>
      <w:r>
        <w:rPr>
          <w:rFonts w:ascii="Calibri" w:hAnsi="Calibri" w:cs="Arial"/>
          <w:color w:val="000000"/>
          <w:sz w:val="20"/>
          <w:szCs w:val="20"/>
        </w:rPr>
        <w:t>лица</w:t>
      </w:r>
      <w:r w:rsidRPr="001A38B7">
        <w:rPr>
          <w:rFonts w:ascii="Calibri" w:hAnsi="Calibri" w:cs="Arial"/>
          <w:color w:val="000000"/>
          <w:sz w:val="20"/>
          <w:szCs w:val="20"/>
        </w:rPr>
        <w:t xml:space="preserve"> </w:t>
      </w:r>
      <w:r>
        <w:rPr>
          <w:rFonts w:ascii="Calibri" w:hAnsi="Calibri" w:cs="Arial"/>
          <w:color w:val="000000"/>
          <w:sz w:val="20"/>
          <w:szCs w:val="20"/>
        </w:rPr>
        <w:t>непосредно</w:t>
      </w:r>
      <w:r w:rsidRPr="001A38B7">
        <w:rPr>
          <w:rFonts w:ascii="Calibri" w:hAnsi="Calibri" w:cs="Arial"/>
          <w:color w:val="000000"/>
          <w:sz w:val="20"/>
          <w:szCs w:val="20"/>
        </w:rPr>
        <w:t xml:space="preserve"> </w:t>
      </w:r>
      <w:r>
        <w:rPr>
          <w:rFonts w:ascii="Calibri" w:hAnsi="Calibri" w:cs="Arial"/>
          <w:color w:val="000000"/>
          <w:sz w:val="20"/>
          <w:szCs w:val="20"/>
        </w:rPr>
        <w:t>или</w:t>
      </w:r>
      <w:r w:rsidRPr="001A38B7">
        <w:rPr>
          <w:rFonts w:ascii="Calibri" w:hAnsi="Calibri" w:cs="Arial"/>
          <w:color w:val="000000"/>
          <w:sz w:val="20"/>
          <w:szCs w:val="20"/>
        </w:rPr>
        <w:t xml:space="preserve"> </w:t>
      </w:r>
      <w:r>
        <w:rPr>
          <w:rFonts w:ascii="Calibri" w:hAnsi="Calibri" w:cs="Arial"/>
          <w:color w:val="000000"/>
          <w:sz w:val="20"/>
          <w:szCs w:val="20"/>
        </w:rPr>
        <w:t>посредно</w:t>
      </w:r>
      <w:r w:rsidRPr="001A38B7">
        <w:rPr>
          <w:rFonts w:ascii="Calibri" w:hAnsi="Calibri" w:cs="Arial"/>
          <w:color w:val="000000"/>
          <w:sz w:val="20"/>
          <w:szCs w:val="20"/>
        </w:rPr>
        <w:t xml:space="preserve"> </w:t>
      </w:r>
      <w:r>
        <w:rPr>
          <w:rFonts w:ascii="Calibri" w:hAnsi="Calibri" w:cs="Arial"/>
          <w:color w:val="000000"/>
          <w:sz w:val="20"/>
          <w:szCs w:val="20"/>
        </w:rPr>
        <w:t>учествују</w:t>
      </w:r>
      <w:r w:rsidRPr="001A38B7">
        <w:rPr>
          <w:rFonts w:ascii="Calibri" w:hAnsi="Calibri" w:cs="Arial"/>
          <w:color w:val="000000"/>
          <w:sz w:val="20"/>
          <w:szCs w:val="20"/>
        </w:rPr>
        <w:t xml:space="preserve"> </w:t>
      </w:r>
      <w:r>
        <w:rPr>
          <w:rFonts w:ascii="Calibri" w:hAnsi="Calibri" w:cs="Arial"/>
          <w:color w:val="000000"/>
          <w:sz w:val="20"/>
          <w:szCs w:val="20"/>
        </w:rPr>
        <w:t>у</w:t>
      </w:r>
      <w:r w:rsidRPr="001A38B7">
        <w:rPr>
          <w:rFonts w:ascii="Calibri" w:hAnsi="Calibri" w:cs="Arial"/>
          <w:color w:val="000000"/>
          <w:sz w:val="20"/>
          <w:szCs w:val="20"/>
        </w:rPr>
        <w:t xml:space="preserve"> </w:t>
      </w:r>
      <w:r>
        <w:rPr>
          <w:rFonts w:ascii="Calibri" w:hAnsi="Calibri" w:cs="Arial"/>
          <w:color w:val="000000"/>
          <w:sz w:val="20"/>
          <w:szCs w:val="20"/>
        </w:rPr>
        <w:t>управљању</w:t>
      </w:r>
      <w:r w:rsidRPr="001A38B7">
        <w:rPr>
          <w:rFonts w:ascii="Calibri" w:hAnsi="Calibri" w:cs="Arial"/>
          <w:color w:val="000000"/>
          <w:sz w:val="20"/>
          <w:szCs w:val="20"/>
        </w:rPr>
        <w:t xml:space="preserve">, </w:t>
      </w:r>
      <w:r>
        <w:rPr>
          <w:rFonts w:ascii="Calibri" w:hAnsi="Calibri" w:cs="Arial"/>
          <w:color w:val="000000"/>
          <w:sz w:val="20"/>
          <w:szCs w:val="20"/>
        </w:rPr>
        <w:t>контроли</w:t>
      </w:r>
      <w:r w:rsidRPr="001A38B7">
        <w:rPr>
          <w:rFonts w:ascii="Calibri" w:hAnsi="Calibri" w:cs="Arial"/>
          <w:color w:val="000000"/>
          <w:sz w:val="20"/>
          <w:szCs w:val="20"/>
        </w:rPr>
        <w:t xml:space="preserve"> </w:t>
      </w:r>
      <w:r>
        <w:rPr>
          <w:rFonts w:ascii="Calibri" w:hAnsi="Calibri" w:cs="Arial"/>
          <w:color w:val="000000"/>
          <w:sz w:val="20"/>
          <w:szCs w:val="20"/>
        </w:rPr>
        <w:t>или</w:t>
      </w:r>
      <w:r w:rsidRPr="001A38B7">
        <w:rPr>
          <w:rFonts w:ascii="Calibri" w:hAnsi="Calibri" w:cs="Arial"/>
          <w:color w:val="000000"/>
          <w:sz w:val="20"/>
          <w:szCs w:val="20"/>
        </w:rPr>
        <w:t xml:space="preserve"> </w:t>
      </w:r>
      <w:r>
        <w:rPr>
          <w:rFonts w:ascii="Calibri" w:hAnsi="Calibri" w:cs="Arial"/>
          <w:color w:val="000000"/>
          <w:sz w:val="20"/>
          <w:szCs w:val="20"/>
        </w:rPr>
        <w:t>капиталу</w:t>
      </w:r>
      <w:r w:rsidRPr="001A38B7">
        <w:rPr>
          <w:rFonts w:ascii="Calibri" w:hAnsi="Calibri" w:cs="Arial"/>
          <w:color w:val="000000"/>
          <w:sz w:val="20"/>
          <w:szCs w:val="20"/>
          <w:lang w:val="sr-Cyrl-CS"/>
        </w:rPr>
        <w:t xml:space="preserve">. </w:t>
      </w:r>
      <w:r>
        <w:rPr>
          <w:rFonts w:ascii="Calibri" w:hAnsi="Calibri" w:cs="Arial"/>
          <w:color w:val="000000"/>
          <w:sz w:val="20"/>
          <w:szCs w:val="20"/>
        </w:rPr>
        <w:t>Лицима</w:t>
      </w:r>
      <w:r w:rsidRPr="001A38B7">
        <w:rPr>
          <w:rFonts w:ascii="Calibri" w:hAnsi="Calibri" w:cs="Arial"/>
          <w:color w:val="000000"/>
          <w:sz w:val="20"/>
          <w:szCs w:val="20"/>
        </w:rPr>
        <w:t xml:space="preserve"> </w:t>
      </w:r>
      <w:r>
        <w:rPr>
          <w:rFonts w:ascii="Calibri" w:hAnsi="Calibri" w:cs="Arial"/>
          <w:color w:val="000000"/>
          <w:sz w:val="20"/>
          <w:szCs w:val="20"/>
        </w:rPr>
        <w:t>повезаним</w:t>
      </w:r>
      <w:r w:rsidRPr="001A38B7">
        <w:rPr>
          <w:rFonts w:ascii="Calibri" w:hAnsi="Calibri" w:cs="Arial"/>
          <w:color w:val="000000"/>
          <w:sz w:val="20"/>
          <w:szCs w:val="20"/>
        </w:rPr>
        <w:t xml:space="preserve"> </w:t>
      </w:r>
      <w:r>
        <w:rPr>
          <w:rFonts w:ascii="Calibri" w:hAnsi="Calibri" w:cs="Arial"/>
          <w:color w:val="000000"/>
          <w:sz w:val="20"/>
          <w:szCs w:val="20"/>
        </w:rPr>
        <w:t>са</w:t>
      </w:r>
      <w:r w:rsidRPr="001A38B7">
        <w:rPr>
          <w:rFonts w:ascii="Calibri" w:hAnsi="Calibri" w:cs="Arial"/>
          <w:color w:val="000000"/>
          <w:sz w:val="20"/>
          <w:szCs w:val="20"/>
        </w:rPr>
        <w:t xml:space="preserve"> </w:t>
      </w:r>
      <w:r>
        <w:rPr>
          <w:rFonts w:ascii="Calibri" w:hAnsi="Calibri" w:cs="Arial"/>
          <w:color w:val="000000"/>
          <w:sz w:val="20"/>
          <w:szCs w:val="20"/>
        </w:rPr>
        <w:t>обвезником</w:t>
      </w:r>
      <w:r w:rsidRPr="001A38B7">
        <w:rPr>
          <w:rFonts w:ascii="Calibri" w:hAnsi="Calibri" w:cs="Arial"/>
          <w:color w:val="000000"/>
          <w:sz w:val="20"/>
          <w:szCs w:val="20"/>
        </w:rPr>
        <w:t xml:space="preserve"> </w:t>
      </w:r>
      <w:r>
        <w:rPr>
          <w:rFonts w:ascii="Calibri" w:hAnsi="Calibri" w:cs="Arial"/>
          <w:color w:val="000000"/>
          <w:sz w:val="20"/>
          <w:szCs w:val="20"/>
        </w:rPr>
        <w:t>сматрају</w:t>
      </w:r>
      <w:r w:rsidRPr="001A38B7">
        <w:rPr>
          <w:rFonts w:ascii="Calibri" w:hAnsi="Calibri" w:cs="Arial"/>
          <w:color w:val="000000"/>
          <w:sz w:val="20"/>
          <w:szCs w:val="20"/>
        </w:rPr>
        <w:t xml:space="preserve"> </w:t>
      </w:r>
      <w:r>
        <w:rPr>
          <w:rFonts w:ascii="Calibri" w:hAnsi="Calibri" w:cs="Arial"/>
          <w:color w:val="000000"/>
          <w:sz w:val="20"/>
          <w:szCs w:val="20"/>
        </w:rPr>
        <w:t>се</w:t>
      </w:r>
      <w:r w:rsidRPr="001A38B7">
        <w:rPr>
          <w:rFonts w:ascii="Calibri" w:hAnsi="Calibri" w:cs="Arial"/>
          <w:color w:val="000000"/>
          <w:sz w:val="20"/>
          <w:szCs w:val="20"/>
        </w:rPr>
        <w:t xml:space="preserve"> </w:t>
      </w:r>
      <w:r>
        <w:rPr>
          <w:rFonts w:ascii="Calibri" w:hAnsi="Calibri" w:cs="Arial"/>
          <w:color w:val="000000"/>
          <w:sz w:val="20"/>
          <w:szCs w:val="20"/>
        </w:rPr>
        <w:t>брачни</w:t>
      </w:r>
      <w:r w:rsidRPr="001A38B7">
        <w:rPr>
          <w:rFonts w:ascii="Calibri" w:hAnsi="Calibri" w:cs="Arial"/>
          <w:color w:val="000000"/>
          <w:sz w:val="20"/>
          <w:szCs w:val="20"/>
        </w:rPr>
        <w:t xml:space="preserve"> </w:t>
      </w:r>
      <w:r>
        <w:rPr>
          <w:rFonts w:ascii="Calibri" w:hAnsi="Calibri" w:cs="Arial"/>
          <w:color w:val="000000"/>
          <w:sz w:val="20"/>
          <w:szCs w:val="20"/>
        </w:rPr>
        <w:t>или</w:t>
      </w:r>
      <w:r w:rsidRPr="001A38B7">
        <w:rPr>
          <w:rFonts w:ascii="Calibri" w:hAnsi="Calibri" w:cs="Arial"/>
          <w:color w:val="000000"/>
          <w:sz w:val="20"/>
          <w:szCs w:val="20"/>
        </w:rPr>
        <w:t xml:space="preserve"> </w:t>
      </w:r>
      <w:r>
        <w:rPr>
          <w:rFonts w:ascii="Calibri" w:hAnsi="Calibri" w:cs="Arial"/>
          <w:color w:val="000000"/>
          <w:sz w:val="20"/>
          <w:szCs w:val="20"/>
        </w:rPr>
        <w:t>ванбрачни</w:t>
      </w:r>
      <w:r w:rsidRPr="001A38B7">
        <w:rPr>
          <w:rFonts w:ascii="Calibri" w:hAnsi="Calibri" w:cs="Arial"/>
          <w:color w:val="000000"/>
          <w:sz w:val="20"/>
          <w:szCs w:val="20"/>
        </w:rPr>
        <w:t xml:space="preserve"> </w:t>
      </w:r>
      <w:r>
        <w:rPr>
          <w:rFonts w:ascii="Calibri" w:hAnsi="Calibri" w:cs="Arial"/>
          <w:color w:val="000000"/>
          <w:sz w:val="20"/>
          <w:szCs w:val="20"/>
        </w:rPr>
        <w:t>друг</w:t>
      </w:r>
      <w:r w:rsidRPr="001A38B7">
        <w:rPr>
          <w:rFonts w:ascii="Calibri" w:hAnsi="Calibri" w:cs="Arial"/>
          <w:color w:val="000000"/>
          <w:sz w:val="20"/>
          <w:szCs w:val="20"/>
        </w:rPr>
        <w:t xml:space="preserve">, </w:t>
      </w:r>
      <w:r>
        <w:rPr>
          <w:rFonts w:ascii="Calibri" w:hAnsi="Calibri" w:cs="Arial"/>
          <w:color w:val="000000"/>
          <w:sz w:val="20"/>
          <w:szCs w:val="20"/>
        </w:rPr>
        <w:t>потомци</w:t>
      </w:r>
      <w:r w:rsidRPr="001A38B7">
        <w:rPr>
          <w:rFonts w:ascii="Calibri" w:hAnsi="Calibri" w:cs="Arial"/>
          <w:color w:val="000000"/>
          <w:sz w:val="20"/>
          <w:szCs w:val="20"/>
        </w:rPr>
        <w:t xml:space="preserve">, </w:t>
      </w:r>
      <w:r>
        <w:rPr>
          <w:rFonts w:ascii="Calibri" w:hAnsi="Calibri" w:cs="Arial"/>
          <w:color w:val="000000"/>
          <w:sz w:val="20"/>
          <w:szCs w:val="20"/>
        </w:rPr>
        <w:t>усвојеници</w:t>
      </w:r>
      <w:r w:rsidRPr="001A38B7">
        <w:rPr>
          <w:rFonts w:ascii="Calibri" w:hAnsi="Calibri" w:cs="Arial"/>
          <w:color w:val="000000"/>
          <w:sz w:val="20"/>
          <w:szCs w:val="20"/>
        </w:rPr>
        <w:t xml:space="preserve"> </w:t>
      </w:r>
      <w:r>
        <w:rPr>
          <w:rFonts w:ascii="Calibri" w:hAnsi="Calibri" w:cs="Arial"/>
          <w:color w:val="000000"/>
          <w:sz w:val="20"/>
          <w:szCs w:val="20"/>
        </w:rPr>
        <w:t>и</w:t>
      </w:r>
      <w:r w:rsidRPr="001A38B7">
        <w:rPr>
          <w:rFonts w:ascii="Calibri" w:hAnsi="Calibri" w:cs="Arial"/>
          <w:color w:val="000000"/>
          <w:sz w:val="20"/>
          <w:szCs w:val="20"/>
        </w:rPr>
        <w:t xml:space="preserve"> </w:t>
      </w:r>
      <w:r>
        <w:rPr>
          <w:rFonts w:ascii="Calibri" w:hAnsi="Calibri" w:cs="Arial"/>
          <w:color w:val="000000"/>
          <w:sz w:val="20"/>
          <w:szCs w:val="20"/>
        </w:rPr>
        <w:t>потомци</w:t>
      </w:r>
      <w:r w:rsidRPr="001A38B7">
        <w:rPr>
          <w:rFonts w:ascii="Calibri" w:hAnsi="Calibri" w:cs="Arial"/>
          <w:color w:val="000000"/>
          <w:sz w:val="20"/>
          <w:szCs w:val="20"/>
        </w:rPr>
        <w:t xml:space="preserve"> </w:t>
      </w:r>
      <w:r>
        <w:rPr>
          <w:rFonts w:ascii="Calibri" w:hAnsi="Calibri" w:cs="Arial"/>
          <w:color w:val="000000"/>
          <w:sz w:val="20"/>
          <w:szCs w:val="20"/>
        </w:rPr>
        <w:t>усвојеника</w:t>
      </w:r>
      <w:r w:rsidRPr="001A38B7">
        <w:rPr>
          <w:rFonts w:ascii="Calibri" w:hAnsi="Calibri" w:cs="Arial"/>
          <w:color w:val="000000"/>
          <w:sz w:val="20"/>
          <w:szCs w:val="20"/>
        </w:rPr>
        <w:t xml:space="preserve">, </w:t>
      </w:r>
      <w:r>
        <w:rPr>
          <w:rFonts w:ascii="Calibri" w:hAnsi="Calibri" w:cs="Arial"/>
          <w:color w:val="000000"/>
          <w:sz w:val="20"/>
          <w:szCs w:val="20"/>
        </w:rPr>
        <w:t>родитељи</w:t>
      </w:r>
      <w:r w:rsidRPr="001A38B7">
        <w:rPr>
          <w:rFonts w:ascii="Calibri" w:hAnsi="Calibri" w:cs="Arial"/>
          <w:color w:val="000000"/>
          <w:sz w:val="20"/>
          <w:szCs w:val="20"/>
        </w:rPr>
        <w:t xml:space="preserve">, </w:t>
      </w:r>
      <w:r>
        <w:rPr>
          <w:rFonts w:ascii="Calibri" w:hAnsi="Calibri" w:cs="Arial"/>
          <w:color w:val="000000"/>
          <w:sz w:val="20"/>
          <w:szCs w:val="20"/>
        </w:rPr>
        <w:t>усвојиоци</w:t>
      </w:r>
      <w:r w:rsidRPr="001A38B7">
        <w:rPr>
          <w:rFonts w:ascii="Calibri" w:hAnsi="Calibri" w:cs="Arial"/>
          <w:color w:val="000000"/>
          <w:sz w:val="20"/>
          <w:szCs w:val="20"/>
        </w:rPr>
        <w:t xml:space="preserve">, </w:t>
      </w:r>
      <w:r>
        <w:rPr>
          <w:rFonts w:ascii="Calibri" w:hAnsi="Calibri" w:cs="Arial"/>
          <w:color w:val="000000"/>
          <w:sz w:val="20"/>
          <w:szCs w:val="20"/>
        </w:rPr>
        <w:t>браћа</w:t>
      </w:r>
      <w:r w:rsidRPr="001A38B7">
        <w:rPr>
          <w:rFonts w:ascii="Calibri" w:hAnsi="Calibri" w:cs="Arial"/>
          <w:color w:val="000000"/>
          <w:sz w:val="20"/>
          <w:szCs w:val="20"/>
        </w:rPr>
        <w:t xml:space="preserve"> </w:t>
      </w:r>
      <w:r>
        <w:rPr>
          <w:rFonts w:ascii="Calibri" w:hAnsi="Calibri" w:cs="Arial"/>
          <w:color w:val="000000"/>
          <w:sz w:val="20"/>
          <w:szCs w:val="20"/>
        </w:rPr>
        <w:t>и</w:t>
      </w:r>
      <w:r w:rsidRPr="001A38B7">
        <w:rPr>
          <w:rFonts w:ascii="Calibri" w:hAnsi="Calibri" w:cs="Arial"/>
          <w:color w:val="000000"/>
          <w:sz w:val="20"/>
          <w:szCs w:val="20"/>
        </w:rPr>
        <w:t xml:space="preserve"> </w:t>
      </w:r>
      <w:r>
        <w:rPr>
          <w:rFonts w:ascii="Calibri" w:hAnsi="Calibri" w:cs="Arial"/>
          <w:color w:val="000000"/>
          <w:sz w:val="20"/>
          <w:szCs w:val="20"/>
        </w:rPr>
        <w:t>сестре</w:t>
      </w:r>
      <w:r w:rsidRPr="001A38B7">
        <w:rPr>
          <w:rFonts w:ascii="Calibri" w:hAnsi="Calibri" w:cs="Arial"/>
          <w:color w:val="000000"/>
          <w:sz w:val="20"/>
          <w:szCs w:val="20"/>
        </w:rPr>
        <w:t xml:space="preserve"> </w:t>
      </w:r>
      <w:r>
        <w:rPr>
          <w:rFonts w:ascii="Calibri" w:hAnsi="Calibri" w:cs="Arial"/>
          <w:color w:val="000000"/>
          <w:sz w:val="20"/>
          <w:szCs w:val="20"/>
        </w:rPr>
        <w:t>и</w:t>
      </w:r>
      <w:r w:rsidRPr="001A38B7">
        <w:rPr>
          <w:rFonts w:ascii="Calibri" w:hAnsi="Calibri" w:cs="Arial"/>
          <w:color w:val="000000"/>
          <w:sz w:val="20"/>
          <w:szCs w:val="20"/>
        </w:rPr>
        <w:t xml:space="preserve"> </w:t>
      </w:r>
      <w:r>
        <w:rPr>
          <w:rFonts w:ascii="Calibri" w:hAnsi="Calibri" w:cs="Arial"/>
          <w:color w:val="000000"/>
          <w:sz w:val="20"/>
          <w:szCs w:val="20"/>
        </w:rPr>
        <w:t>њихови</w:t>
      </w:r>
      <w:r w:rsidRPr="001A38B7">
        <w:rPr>
          <w:rFonts w:ascii="Calibri" w:hAnsi="Calibri" w:cs="Arial"/>
          <w:color w:val="000000"/>
          <w:sz w:val="20"/>
          <w:szCs w:val="20"/>
        </w:rPr>
        <w:t xml:space="preserve"> </w:t>
      </w:r>
      <w:r>
        <w:rPr>
          <w:rFonts w:ascii="Calibri" w:hAnsi="Calibri" w:cs="Arial"/>
          <w:color w:val="000000"/>
          <w:sz w:val="20"/>
          <w:szCs w:val="20"/>
        </w:rPr>
        <w:t>потомци</w:t>
      </w:r>
      <w:r w:rsidRPr="001A38B7">
        <w:rPr>
          <w:rFonts w:ascii="Calibri" w:hAnsi="Calibri" w:cs="Arial"/>
          <w:color w:val="000000"/>
          <w:sz w:val="20"/>
          <w:szCs w:val="20"/>
        </w:rPr>
        <w:t xml:space="preserve">, </w:t>
      </w:r>
      <w:r>
        <w:rPr>
          <w:rFonts w:ascii="Calibri" w:hAnsi="Calibri" w:cs="Arial"/>
          <w:color w:val="000000"/>
          <w:sz w:val="20"/>
          <w:szCs w:val="20"/>
        </w:rPr>
        <w:t>дедови</w:t>
      </w:r>
      <w:r w:rsidRPr="001A38B7">
        <w:rPr>
          <w:rFonts w:ascii="Calibri" w:hAnsi="Calibri" w:cs="Arial"/>
          <w:color w:val="000000"/>
          <w:sz w:val="20"/>
          <w:szCs w:val="20"/>
        </w:rPr>
        <w:t xml:space="preserve"> </w:t>
      </w:r>
      <w:r>
        <w:rPr>
          <w:rFonts w:ascii="Calibri" w:hAnsi="Calibri" w:cs="Arial"/>
          <w:color w:val="000000"/>
          <w:sz w:val="20"/>
          <w:szCs w:val="20"/>
        </w:rPr>
        <w:t>и</w:t>
      </w:r>
      <w:r w:rsidRPr="001A38B7">
        <w:rPr>
          <w:rFonts w:ascii="Calibri" w:hAnsi="Calibri" w:cs="Arial"/>
          <w:color w:val="000000"/>
          <w:sz w:val="20"/>
          <w:szCs w:val="20"/>
        </w:rPr>
        <w:t xml:space="preserve"> </w:t>
      </w:r>
      <w:r>
        <w:rPr>
          <w:rFonts w:ascii="Calibri" w:hAnsi="Calibri" w:cs="Arial"/>
          <w:color w:val="000000"/>
          <w:sz w:val="20"/>
          <w:szCs w:val="20"/>
        </w:rPr>
        <w:t>бабе</w:t>
      </w:r>
      <w:r w:rsidRPr="001A38B7">
        <w:rPr>
          <w:rFonts w:ascii="Calibri" w:hAnsi="Calibri" w:cs="Arial"/>
          <w:color w:val="000000"/>
          <w:sz w:val="20"/>
          <w:szCs w:val="20"/>
        </w:rPr>
        <w:t xml:space="preserve"> </w:t>
      </w:r>
      <w:r>
        <w:rPr>
          <w:rFonts w:ascii="Calibri" w:hAnsi="Calibri" w:cs="Arial"/>
          <w:color w:val="000000"/>
          <w:sz w:val="20"/>
          <w:szCs w:val="20"/>
        </w:rPr>
        <w:t>и</w:t>
      </w:r>
      <w:r w:rsidRPr="001A38B7">
        <w:rPr>
          <w:rFonts w:ascii="Calibri" w:hAnsi="Calibri" w:cs="Arial"/>
          <w:color w:val="000000"/>
          <w:sz w:val="20"/>
          <w:szCs w:val="20"/>
        </w:rPr>
        <w:t xml:space="preserve"> </w:t>
      </w:r>
      <w:r>
        <w:rPr>
          <w:rFonts w:ascii="Calibri" w:hAnsi="Calibri" w:cs="Arial"/>
          <w:color w:val="000000"/>
          <w:sz w:val="20"/>
          <w:szCs w:val="20"/>
        </w:rPr>
        <w:t>њихови</w:t>
      </w:r>
      <w:r w:rsidRPr="001A38B7">
        <w:rPr>
          <w:rFonts w:ascii="Calibri" w:hAnsi="Calibri" w:cs="Arial"/>
          <w:color w:val="000000"/>
          <w:sz w:val="20"/>
          <w:szCs w:val="20"/>
        </w:rPr>
        <w:t xml:space="preserve"> </w:t>
      </w:r>
      <w:r>
        <w:rPr>
          <w:rFonts w:ascii="Calibri" w:hAnsi="Calibri" w:cs="Arial"/>
          <w:color w:val="000000"/>
          <w:sz w:val="20"/>
          <w:szCs w:val="20"/>
        </w:rPr>
        <w:t>потомци</w:t>
      </w:r>
      <w:r w:rsidRPr="001A38B7">
        <w:rPr>
          <w:rFonts w:ascii="Calibri" w:hAnsi="Calibri" w:cs="Arial"/>
          <w:color w:val="000000"/>
          <w:sz w:val="20"/>
          <w:szCs w:val="20"/>
        </w:rPr>
        <w:t xml:space="preserve">, </w:t>
      </w:r>
      <w:r>
        <w:rPr>
          <w:rFonts w:ascii="Calibri" w:hAnsi="Calibri" w:cs="Arial"/>
          <w:color w:val="000000"/>
          <w:sz w:val="20"/>
          <w:szCs w:val="20"/>
        </w:rPr>
        <w:t>као</w:t>
      </w:r>
      <w:r w:rsidRPr="001A38B7">
        <w:rPr>
          <w:rFonts w:ascii="Calibri" w:hAnsi="Calibri" w:cs="Arial"/>
          <w:color w:val="000000"/>
          <w:sz w:val="20"/>
          <w:szCs w:val="20"/>
        </w:rPr>
        <w:t xml:space="preserve"> </w:t>
      </w:r>
      <w:r>
        <w:rPr>
          <w:rFonts w:ascii="Calibri" w:hAnsi="Calibri" w:cs="Arial"/>
          <w:color w:val="000000"/>
          <w:sz w:val="20"/>
          <w:szCs w:val="20"/>
        </w:rPr>
        <w:t>и</w:t>
      </w:r>
      <w:r w:rsidRPr="001A38B7">
        <w:rPr>
          <w:rFonts w:ascii="Calibri" w:hAnsi="Calibri" w:cs="Arial"/>
          <w:color w:val="000000"/>
          <w:sz w:val="20"/>
          <w:szCs w:val="20"/>
        </w:rPr>
        <w:t xml:space="preserve"> </w:t>
      </w:r>
      <w:r>
        <w:rPr>
          <w:rFonts w:ascii="Calibri" w:hAnsi="Calibri" w:cs="Arial"/>
          <w:color w:val="000000"/>
          <w:sz w:val="20"/>
          <w:szCs w:val="20"/>
        </w:rPr>
        <w:t>браћа</w:t>
      </w:r>
      <w:r w:rsidRPr="001A38B7">
        <w:rPr>
          <w:rFonts w:ascii="Calibri" w:hAnsi="Calibri" w:cs="Arial"/>
          <w:color w:val="000000"/>
          <w:sz w:val="20"/>
          <w:szCs w:val="20"/>
        </w:rPr>
        <w:t xml:space="preserve"> </w:t>
      </w:r>
      <w:r>
        <w:rPr>
          <w:rFonts w:ascii="Calibri" w:hAnsi="Calibri" w:cs="Arial"/>
          <w:color w:val="000000"/>
          <w:sz w:val="20"/>
          <w:szCs w:val="20"/>
        </w:rPr>
        <w:t>и</w:t>
      </w:r>
      <w:r w:rsidRPr="001A38B7">
        <w:rPr>
          <w:rFonts w:ascii="Calibri" w:hAnsi="Calibri" w:cs="Arial"/>
          <w:color w:val="000000"/>
          <w:sz w:val="20"/>
          <w:szCs w:val="20"/>
        </w:rPr>
        <w:t xml:space="preserve"> </w:t>
      </w:r>
      <w:r>
        <w:rPr>
          <w:rFonts w:ascii="Calibri" w:hAnsi="Calibri" w:cs="Arial"/>
          <w:color w:val="000000"/>
          <w:sz w:val="20"/>
          <w:szCs w:val="20"/>
        </w:rPr>
        <w:t>сестре</w:t>
      </w:r>
      <w:r w:rsidRPr="001A38B7">
        <w:rPr>
          <w:rFonts w:ascii="Calibri" w:hAnsi="Calibri" w:cs="Arial"/>
          <w:color w:val="000000"/>
          <w:sz w:val="20"/>
          <w:szCs w:val="20"/>
        </w:rPr>
        <w:t xml:space="preserve"> </w:t>
      </w:r>
      <w:r>
        <w:rPr>
          <w:rFonts w:ascii="Calibri" w:hAnsi="Calibri" w:cs="Arial"/>
          <w:color w:val="000000"/>
          <w:sz w:val="20"/>
          <w:szCs w:val="20"/>
        </w:rPr>
        <w:t>и</w:t>
      </w:r>
      <w:r w:rsidRPr="001A38B7">
        <w:rPr>
          <w:rFonts w:ascii="Calibri" w:hAnsi="Calibri" w:cs="Arial"/>
          <w:color w:val="000000"/>
          <w:sz w:val="20"/>
          <w:szCs w:val="20"/>
        </w:rPr>
        <w:t xml:space="preserve"> </w:t>
      </w:r>
      <w:r>
        <w:rPr>
          <w:rFonts w:ascii="Calibri" w:hAnsi="Calibri" w:cs="Arial"/>
          <w:color w:val="000000"/>
          <w:sz w:val="20"/>
          <w:szCs w:val="20"/>
        </w:rPr>
        <w:t>родитељи</w:t>
      </w:r>
      <w:r w:rsidRPr="001A38B7">
        <w:rPr>
          <w:rFonts w:ascii="Calibri" w:hAnsi="Calibri" w:cs="Arial"/>
          <w:color w:val="000000"/>
          <w:sz w:val="20"/>
          <w:szCs w:val="20"/>
        </w:rPr>
        <w:t xml:space="preserve"> </w:t>
      </w:r>
      <w:r>
        <w:rPr>
          <w:rFonts w:ascii="Calibri" w:hAnsi="Calibri" w:cs="Arial"/>
          <w:color w:val="000000"/>
          <w:sz w:val="20"/>
          <w:szCs w:val="20"/>
        </w:rPr>
        <w:t>брачног</w:t>
      </w:r>
      <w:r w:rsidRPr="001A38B7">
        <w:rPr>
          <w:rFonts w:ascii="Calibri" w:hAnsi="Calibri" w:cs="Arial"/>
          <w:color w:val="000000"/>
          <w:sz w:val="20"/>
          <w:szCs w:val="20"/>
        </w:rPr>
        <w:t xml:space="preserve"> </w:t>
      </w:r>
      <w:r>
        <w:rPr>
          <w:rFonts w:ascii="Calibri" w:hAnsi="Calibri" w:cs="Arial"/>
          <w:color w:val="000000"/>
          <w:sz w:val="20"/>
          <w:szCs w:val="20"/>
        </w:rPr>
        <w:t>или</w:t>
      </w:r>
      <w:r w:rsidRPr="001A38B7">
        <w:rPr>
          <w:rFonts w:ascii="Calibri" w:hAnsi="Calibri" w:cs="Arial"/>
          <w:color w:val="000000"/>
          <w:sz w:val="20"/>
          <w:szCs w:val="20"/>
        </w:rPr>
        <w:t xml:space="preserve"> </w:t>
      </w:r>
      <w:r>
        <w:rPr>
          <w:rFonts w:ascii="Calibri" w:hAnsi="Calibri" w:cs="Arial"/>
          <w:color w:val="000000"/>
          <w:sz w:val="20"/>
          <w:szCs w:val="20"/>
        </w:rPr>
        <w:t>ванбрачног</w:t>
      </w:r>
      <w:r w:rsidRPr="001A38B7">
        <w:rPr>
          <w:rFonts w:ascii="Calibri" w:hAnsi="Calibri" w:cs="Arial"/>
          <w:color w:val="000000"/>
          <w:sz w:val="20"/>
          <w:szCs w:val="20"/>
        </w:rPr>
        <w:t xml:space="preserve"> </w:t>
      </w:r>
      <w:r>
        <w:rPr>
          <w:rFonts w:ascii="Calibri" w:hAnsi="Calibri" w:cs="Arial"/>
          <w:color w:val="000000"/>
          <w:sz w:val="20"/>
          <w:szCs w:val="20"/>
        </w:rPr>
        <w:t>друга</w:t>
      </w:r>
      <w:r w:rsidRPr="001A38B7">
        <w:rPr>
          <w:rFonts w:ascii="Calibri" w:hAnsi="Calibri" w:cs="Arial"/>
          <w:color w:val="000000"/>
          <w:sz w:val="20"/>
          <w:szCs w:val="20"/>
        </w:rPr>
        <w:t xml:space="preserve">, </w:t>
      </w:r>
      <w:r>
        <w:rPr>
          <w:rFonts w:ascii="Calibri" w:hAnsi="Calibri" w:cs="Arial"/>
          <w:color w:val="000000"/>
          <w:sz w:val="20"/>
          <w:szCs w:val="20"/>
        </w:rPr>
        <w:t>лица</w:t>
      </w:r>
      <w:r w:rsidRPr="001A38B7">
        <w:rPr>
          <w:rFonts w:ascii="Calibri" w:hAnsi="Calibri" w:cs="Arial"/>
          <w:color w:val="000000"/>
          <w:sz w:val="20"/>
          <w:szCs w:val="20"/>
        </w:rPr>
        <w:t xml:space="preserve"> </w:t>
      </w:r>
      <w:r>
        <w:rPr>
          <w:rFonts w:ascii="Calibri" w:hAnsi="Calibri" w:cs="Arial"/>
          <w:color w:val="000000"/>
          <w:sz w:val="20"/>
          <w:szCs w:val="20"/>
        </w:rPr>
        <w:t>које</w:t>
      </w:r>
      <w:r w:rsidRPr="001A38B7">
        <w:rPr>
          <w:rFonts w:ascii="Calibri" w:hAnsi="Calibri" w:cs="Arial"/>
          <w:color w:val="000000"/>
          <w:sz w:val="20"/>
          <w:szCs w:val="20"/>
        </w:rPr>
        <w:t xml:space="preserve"> </w:t>
      </w:r>
      <w:r>
        <w:rPr>
          <w:rFonts w:ascii="Calibri" w:hAnsi="Calibri" w:cs="Arial"/>
          <w:color w:val="000000"/>
          <w:sz w:val="20"/>
          <w:szCs w:val="20"/>
        </w:rPr>
        <w:t>је</w:t>
      </w:r>
      <w:r w:rsidRPr="001A38B7">
        <w:rPr>
          <w:rFonts w:ascii="Calibri" w:hAnsi="Calibri" w:cs="Arial"/>
          <w:color w:val="000000"/>
          <w:sz w:val="20"/>
          <w:szCs w:val="20"/>
        </w:rPr>
        <w:t xml:space="preserve"> </w:t>
      </w:r>
      <w:r>
        <w:rPr>
          <w:rFonts w:ascii="Calibri" w:hAnsi="Calibri" w:cs="Arial"/>
          <w:color w:val="000000"/>
          <w:sz w:val="20"/>
          <w:szCs w:val="20"/>
        </w:rPr>
        <w:t>са</w:t>
      </w:r>
      <w:r w:rsidRPr="001A38B7">
        <w:rPr>
          <w:rFonts w:ascii="Calibri" w:hAnsi="Calibri" w:cs="Arial"/>
          <w:color w:val="000000"/>
          <w:sz w:val="20"/>
          <w:szCs w:val="20"/>
        </w:rPr>
        <w:t xml:space="preserve"> </w:t>
      </w:r>
      <w:r>
        <w:rPr>
          <w:rFonts w:ascii="Calibri" w:hAnsi="Calibri" w:cs="Arial"/>
          <w:color w:val="000000"/>
          <w:sz w:val="20"/>
          <w:szCs w:val="20"/>
        </w:rPr>
        <w:t>обвезником</w:t>
      </w:r>
      <w:r w:rsidRPr="001A38B7">
        <w:rPr>
          <w:rFonts w:ascii="Calibri" w:hAnsi="Calibri" w:cs="Arial"/>
          <w:color w:val="000000"/>
          <w:sz w:val="20"/>
          <w:szCs w:val="20"/>
        </w:rPr>
        <w:t xml:space="preserve"> </w:t>
      </w:r>
      <w:r>
        <w:rPr>
          <w:rFonts w:ascii="Calibri" w:hAnsi="Calibri" w:cs="Arial"/>
          <w:color w:val="000000"/>
          <w:sz w:val="20"/>
          <w:szCs w:val="20"/>
        </w:rPr>
        <w:t>повезано</w:t>
      </w:r>
      <w:r w:rsidRPr="001A38B7">
        <w:rPr>
          <w:rFonts w:ascii="Calibri" w:hAnsi="Calibri" w:cs="Arial"/>
          <w:color w:val="000000"/>
          <w:sz w:val="20"/>
          <w:szCs w:val="20"/>
        </w:rPr>
        <w:t xml:space="preserve"> </w:t>
      </w:r>
      <w:r>
        <w:rPr>
          <w:rFonts w:ascii="Calibri" w:hAnsi="Calibri" w:cs="Arial"/>
          <w:color w:val="000000"/>
          <w:sz w:val="20"/>
          <w:szCs w:val="20"/>
          <w:shd w:val="clear" w:color="auto" w:fill="FFFFFF"/>
        </w:rPr>
        <w:t>случају</w:t>
      </w:r>
      <w:r w:rsidRPr="001A38B7">
        <w:rPr>
          <w:rFonts w:ascii="Calibri" w:hAnsi="Calibri" w:cs="Arial"/>
          <w:color w:val="000000"/>
          <w:sz w:val="20"/>
          <w:szCs w:val="20"/>
          <w:shd w:val="clear" w:color="auto" w:fill="FFFFFF"/>
        </w:rPr>
        <w:t xml:space="preserve"> </w:t>
      </w:r>
      <w:r>
        <w:rPr>
          <w:rFonts w:ascii="Calibri" w:hAnsi="Calibri" w:cs="Arial"/>
          <w:color w:val="000000"/>
          <w:sz w:val="20"/>
          <w:szCs w:val="20"/>
          <w:shd w:val="clear" w:color="auto" w:fill="FFFFFF"/>
        </w:rPr>
        <w:t>посредног</w:t>
      </w:r>
      <w:r w:rsidRPr="001A38B7">
        <w:rPr>
          <w:rFonts w:ascii="Calibri" w:hAnsi="Calibri" w:cs="Arial"/>
          <w:color w:val="000000"/>
          <w:sz w:val="20"/>
          <w:szCs w:val="20"/>
          <w:shd w:val="clear" w:color="auto" w:fill="FFFFFF"/>
        </w:rPr>
        <w:t xml:space="preserve"> </w:t>
      </w:r>
      <w:r>
        <w:rPr>
          <w:rFonts w:ascii="Calibri" w:hAnsi="Calibri" w:cs="Arial"/>
          <w:color w:val="000000"/>
          <w:sz w:val="20"/>
          <w:szCs w:val="20"/>
          <w:shd w:val="clear" w:color="auto" w:fill="FFFFFF"/>
        </w:rPr>
        <w:t>или</w:t>
      </w:r>
      <w:r w:rsidRPr="001A38B7">
        <w:rPr>
          <w:rFonts w:ascii="Calibri" w:hAnsi="Calibri" w:cs="Arial"/>
          <w:color w:val="000000"/>
          <w:sz w:val="20"/>
          <w:szCs w:val="20"/>
          <w:shd w:val="clear" w:color="auto" w:fill="FFFFFF"/>
        </w:rPr>
        <w:t xml:space="preserve"> </w:t>
      </w:r>
      <w:r>
        <w:rPr>
          <w:rFonts w:ascii="Calibri" w:hAnsi="Calibri" w:cs="Arial"/>
          <w:color w:val="000000"/>
          <w:sz w:val="20"/>
          <w:szCs w:val="20"/>
          <w:shd w:val="clear" w:color="auto" w:fill="FFFFFF"/>
        </w:rPr>
        <w:t>непосредног</w:t>
      </w:r>
      <w:r w:rsidRPr="001A38B7">
        <w:rPr>
          <w:rFonts w:ascii="Calibri" w:hAnsi="Calibri" w:cs="Arial"/>
          <w:color w:val="000000"/>
          <w:sz w:val="20"/>
          <w:szCs w:val="20"/>
          <w:shd w:val="clear" w:color="auto" w:fill="FFFFFF"/>
        </w:rPr>
        <w:t xml:space="preserve"> </w:t>
      </w:r>
      <w:r>
        <w:rPr>
          <w:rFonts w:ascii="Calibri" w:hAnsi="Calibri" w:cs="Arial"/>
          <w:color w:val="000000"/>
          <w:sz w:val="20"/>
          <w:szCs w:val="20"/>
          <w:shd w:val="clear" w:color="auto" w:fill="FFFFFF"/>
        </w:rPr>
        <w:t>поседовања</w:t>
      </w:r>
      <w:r w:rsidRPr="001A38B7">
        <w:rPr>
          <w:rFonts w:ascii="Calibri" w:hAnsi="Calibri" w:cs="Arial"/>
          <w:color w:val="000000"/>
          <w:sz w:val="20"/>
          <w:szCs w:val="20"/>
          <w:shd w:val="clear" w:color="auto" w:fill="FFFFFF"/>
        </w:rPr>
        <w:t xml:space="preserve"> </w:t>
      </w:r>
      <w:r>
        <w:rPr>
          <w:rFonts w:ascii="Calibri" w:hAnsi="Calibri" w:cs="Arial"/>
          <w:color w:val="000000"/>
          <w:sz w:val="20"/>
          <w:szCs w:val="20"/>
          <w:shd w:val="clear" w:color="auto" w:fill="FFFFFF"/>
        </w:rPr>
        <w:t>најмање</w:t>
      </w:r>
      <w:r w:rsidRPr="001A38B7">
        <w:rPr>
          <w:rFonts w:ascii="Calibri" w:hAnsi="Calibri" w:cs="Arial"/>
          <w:color w:val="000000"/>
          <w:sz w:val="20"/>
          <w:szCs w:val="20"/>
          <w:shd w:val="clear" w:color="auto" w:fill="FFFFFF"/>
        </w:rPr>
        <w:t xml:space="preserve"> 25% </w:t>
      </w:r>
      <w:r>
        <w:rPr>
          <w:rFonts w:ascii="Calibri" w:hAnsi="Calibri" w:cs="Arial"/>
          <w:color w:val="000000"/>
          <w:sz w:val="20"/>
          <w:szCs w:val="20"/>
          <w:shd w:val="clear" w:color="auto" w:fill="FFFFFF"/>
        </w:rPr>
        <w:t>акција</w:t>
      </w:r>
      <w:r w:rsidRPr="001A38B7">
        <w:rPr>
          <w:rFonts w:ascii="Calibri" w:hAnsi="Calibri" w:cs="Arial"/>
          <w:color w:val="000000"/>
          <w:sz w:val="20"/>
          <w:szCs w:val="20"/>
          <w:shd w:val="clear" w:color="auto" w:fill="FFFFFF"/>
        </w:rPr>
        <w:t xml:space="preserve"> </w:t>
      </w:r>
      <w:r>
        <w:rPr>
          <w:rFonts w:ascii="Calibri" w:hAnsi="Calibri" w:cs="Arial"/>
          <w:color w:val="000000"/>
          <w:sz w:val="20"/>
          <w:szCs w:val="20"/>
          <w:shd w:val="clear" w:color="auto" w:fill="FFFFFF"/>
        </w:rPr>
        <w:t>или</w:t>
      </w:r>
      <w:r w:rsidRPr="001A38B7">
        <w:rPr>
          <w:rFonts w:ascii="Calibri" w:hAnsi="Calibri" w:cs="Arial"/>
          <w:color w:val="000000"/>
          <w:sz w:val="20"/>
          <w:szCs w:val="20"/>
          <w:shd w:val="clear" w:color="auto" w:fill="FFFFFF"/>
        </w:rPr>
        <w:t xml:space="preserve"> </w:t>
      </w:r>
      <w:r>
        <w:rPr>
          <w:rFonts w:ascii="Calibri" w:hAnsi="Calibri" w:cs="Arial"/>
          <w:color w:val="000000"/>
          <w:sz w:val="20"/>
          <w:szCs w:val="20"/>
          <w:shd w:val="clear" w:color="auto" w:fill="FFFFFF"/>
        </w:rPr>
        <w:t>удела</w:t>
      </w:r>
      <w:r w:rsidRPr="001A38B7">
        <w:rPr>
          <w:rStyle w:val="apple-converted-space"/>
          <w:rFonts w:ascii="Calibri" w:hAnsi="Calibri" w:cs="Arial"/>
          <w:color w:val="000000"/>
          <w:sz w:val="20"/>
          <w:szCs w:val="20"/>
          <w:shd w:val="clear" w:color="auto" w:fill="FFFFFF"/>
          <w:lang w:val="sr-Cyrl-CS"/>
        </w:rPr>
        <w:t xml:space="preserve"> и </w:t>
      </w:r>
      <w:r>
        <w:rPr>
          <w:rFonts w:ascii="Calibri" w:hAnsi="Calibri" w:cs="Arial"/>
          <w:color w:val="000000"/>
          <w:sz w:val="20"/>
          <w:szCs w:val="20"/>
          <w:shd w:val="clear" w:color="auto" w:fill="FFFFFF"/>
        </w:rPr>
        <w:t>поседује</w:t>
      </w:r>
      <w:r w:rsidRPr="001A38B7">
        <w:rPr>
          <w:rFonts w:ascii="Calibri" w:hAnsi="Calibri" w:cs="Arial"/>
          <w:color w:val="000000"/>
          <w:sz w:val="20"/>
          <w:szCs w:val="20"/>
          <w:shd w:val="clear" w:color="auto" w:fill="FFFFFF"/>
        </w:rPr>
        <w:t xml:space="preserve"> </w:t>
      </w:r>
      <w:r>
        <w:rPr>
          <w:rFonts w:ascii="Calibri" w:hAnsi="Calibri" w:cs="Arial"/>
          <w:color w:val="000000"/>
          <w:sz w:val="20"/>
          <w:szCs w:val="20"/>
          <w:shd w:val="clear" w:color="auto" w:fill="FFFFFF"/>
        </w:rPr>
        <w:t>најмање</w:t>
      </w:r>
      <w:r w:rsidRPr="001A38B7">
        <w:rPr>
          <w:rFonts w:ascii="Calibri" w:hAnsi="Calibri" w:cs="Arial"/>
          <w:color w:val="000000"/>
          <w:sz w:val="20"/>
          <w:szCs w:val="20"/>
          <w:shd w:val="clear" w:color="auto" w:fill="FFFFFF"/>
        </w:rPr>
        <w:t xml:space="preserve"> 25% </w:t>
      </w:r>
      <w:r>
        <w:rPr>
          <w:rFonts w:ascii="Calibri" w:hAnsi="Calibri" w:cs="Arial"/>
          <w:color w:val="000000"/>
          <w:sz w:val="20"/>
          <w:szCs w:val="20"/>
          <w:shd w:val="clear" w:color="auto" w:fill="FFFFFF"/>
        </w:rPr>
        <w:t>гласова</w:t>
      </w:r>
      <w:r w:rsidRPr="001A38B7">
        <w:rPr>
          <w:rFonts w:ascii="Calibri" w:hAnsi="Calibri" w:cs="Arial"/>
          <w:color w:val="000000"/>
          <w:sz w:val="20"/>
          <w:szCs w:val="20"/>
          <w:shd w:val="clear" w:color="auto" w:fill="FFFFFF"/>
        </w:rPr>
        <w:t xml:space="preserve"> </w:t>
      </w:r>
      <w:r>
        <w:rPr>
          <w:rFonts w:ascii="Calibri" w:hAnsi="Calibri" w:cs="Arial"/>
          <w:color w:val="000000"/>
          <w:sz w:val="20"/>
          <w:szCs w:val="20"/>
          <w:shd w:val="clear" w:color="auto" w:fill="FFFFFF"/>
        </w:rPr>
        <w:t>у</w:t>
      </w:r>
      <w:r w:rsidRPr="001A38B7">
        <w:rPr>
          <w:rFonts w:ascii="Calibri" w:hAnsi="Calibri" w:cs="Arial"/>
          <w:color w:val="000000"/>
          <w:sz w:val="20"/>
          <w:szCs w:val="20"/>
          <w:shd w:val="clear" w:color="auto" w:fill="FFFFFF"/>
        </w:rPr>
        <w:t xml:space="preserve"> </w:t>
      </w:r>
      <w:r>
        <w:rPr>
          <w:rFonts w:ascii="Calibri" w:hAnsi="Calibri" w:cs="Arial"/>
          <w:color w:val="000000"/>
          <w:sz w:val="20"/>
          <w:szCs w:val="20"/>
          <w:shd w:val="clear" w:color="auto" w:fill="FFFFFF"/>
        </w:rPr>
        <w:t>обвезниковим</w:t>
      </w:r>
      <w:r w:rsidRPr="001A38B7">
        <w:rPr>
          <w:rFonts w:ascii="Calibri" w:hAnsi="Calibri" w:cs="Arial"/>
          <w:color w:val="000000"/>
          <w:sz w:val="20"/>
          <w:szCs w:val="20"/>
          <w:shd w:val="clear" w:color="auto" w:fill="FFFFFF"/>
        </w:rPr>
        <w:t xml:space="preserve"> </w:t>
      </w:r>
      <w:r>
        <w:rPr>
          <w:rFonts w:ascii="Calibri" w:hAnsi="Calibri" w:cs="Arial"/>
          <w:color w:val="000000"/>
          <w:sz w:val="20"/>
          <w:szCs w:val="20"/>
          <w:shd w:val="clear" w:color="auto" w:fill="FFFFFF"/>
        </w:rPr>
        <w:t>органима</w:t>
      </w:r>
      <w:r w:rsidRPr="001A38B7">
        <w:rPr>
          <w:rFonts w:ascii="Calibri" w:hAnsi="Calibri" w:cs="Arial"/>
          <w:color w:val="000000"/>
          <w:sz w:val="20"/>
          <w:szCs w:val="20"/>
          <w:shd w:val="clear" w:color="auto" w:fill="FFFFFF"/>
        </w:rPr>
        <w:t xml:space="preserve"> </w:t>
      </w:r>
      <w:r>
        <w:rPr>
          <w:rFonts w:ascii="Calibri" w:hAnsi="Calibri" w:cs="Arial"/>
          <w:color w:val="000000"/>
          <w:sz w:val="20"/>
          <w:szCs w:val="20"/>
          <w:shd w:val="clear" w:color="auto" w:fill="FFFFFF"/>
        </w:rPr>
        <w:t>управљања</w:t>
      </w:r>
      <w:r w:rsidRPr="001A38B7">
        <w:rPr>
          <w:rFonts w:ascii="Calibri" w:hAnsi="Calibri" w:cs="Arial"/>
          <w:color w:val="000000"/>
          <w:sz w:val="20"/>
          <w:szCs w:val="20"/>
          <w:shd w:val="clear" w:color="auto" w:fill="FFFFFF"/>
        </w:rPr>
        <w:t>.</w:t>
      </w:r>
      <w:r w:rsidRPr="001A38B7">
        <w:rPr>
          <w:rFonts w:ascii="Calibri" w:hAnsi="Calibri" w:cs="Arial"/>
          <w:color w:val="000000"/>
          <w:sz w:val="20"/>
          <w:szCs w:val="20"/>
          <w:lang w:val="sr-Cyrl-CS"/>
        </w:rPr>
        <w:t xml:space="preserve"> </w:t>
      </w:r>
      <w:r>
        <w:rPr>
          <w:rFonts w:ascii="Calibri" w:hAnsi="Calibri" w:cs="Arial"/>
          <w:color w:val="000000"/>
          <w:sz w:val="20"/>
          <w:szCs w:val="20"/>
        </w:rPr>
        <w:t>Изузетн</w:t>
      </w:r>
      <w:r w:rsidRPr="001A38B7">
        <w:rPr>
          <w:rFonts w:ascii="Calibri" w:hAnsi="Calibri" w:cs="Arial"/>
          <w:color w:val="000000"/>
          <w:sz w:val="20"/>
          <w:szCs w:val="20"/>
          <w:lang w:val="sr-Cyrl-CS"/>
        </w:rPr>
        <w:t>о</w:t>
      </w:r>
      <w:r w:rsidRPr="001A38B7">
        <w:rPr>
          <w:rFonts w:ascii="Calibri" w:hAnsi="Calibri" w:cs="Arial"/>
          <w:color w:val="000000"/>
          <w:sz w:val="20"/>
          <w:szCs w:val="20"/>
        </w:rPr>
        <w:t xml:space="preserve">, </w:t>
      </w:r>
      <w:r>
        <w:rPr>
          <w:rFonts w:ascii="Calibri" w:hAnsi="Calibri" w:cs="Arial"/>
          <w:color w:val="000000"/>
          <w:sz w:val="20"/>
          <w:szCs w:val="20"/>
        </w:rPr>
        <w:t>лицем</w:t>
      </w:r>
      <w:r w:rsidRPr="001A38B7">
        <w:rPr>
          <w:rFonts w:ascii="Calibri" w:hAnsi="Calibri" w:cs="Arial"/>
          <w:color w:val="000000"/>
          <w:sz w:val="20"/>
          <w:szCs w:val="20"/>
        </w:rPr>
        <w:t xml:space="preserve"> </w:t>
      </w:r>
      <w:r>
        <w:rPr>
          <w:rFonts w:ascii="Calibri" w:hAnsi="Calibri" w:cs="Arial"/>
          <w:color w:val="000000"/>
          <w:sz w:val="20"/>
          <w:szCs w:val="20"/>
        </w:rPr>
        <w:t>повезаним</w:t>
      </w:r>
      <w:r w:rsidRPr="001A38B7">
        <w:rPr>
          <w:rFonts w:ascii="Calibri" w:hAnsi="Calibri" w:cs="Arial"/>
          <w:color w:val="000000"/>
          <w:sz w:val="20"/>
          <w:szCs w:val="20"/>
        </w:rPr>
        <w:t xml:space="preserve"> </w:t>
      </w:r>
      <w:r>
        <w:rPr>
          <w:rFonts w:ascii="Calibri" w:hAnsi="Calibri" w:cs="Arial"/>
          <w:color w:val="000000"/>
          <w:sz w:val="20"/>
          <w:szCs w:val="20"/>
        </w:rPr>
        <w:t>са</w:t>
      </w:r>
      <w:r w:rsidRPr="001A38B7">
        <w:rPr>
          <w:rFonts w:ascii="Calibri" w:hAnsi="Calibri" w:cs="Arial"/>
          <w:color w:val="000000"/>
          <w:sz w:val="20"/>
          <w:szCs w:val="20"/>
        </w:rPr>
        <w:t xml:space="preserve"> </w:t>
      </w:r>
      <w:r>
        <w:rPr>
          <w:rFonts w:ascii="Calibri" w:hAnsi="Calibri" w:cs="Arial"/>
          <w:color w:val="000000"/>
          <w:sz w:val="20"/>
          <w:szCs w:val="20"/>
        </w:rPr>
        <w:t>обвезником</w:t>
      </w:r>
      <w:r w:rsidRPr="001A38B7">
        <w:rPr>
          <w:rFonts w:ascii="Calibri" w:hAnsi="Calibri" w:cs="Arial"/>
          <w:color w:val="000000"/>
          <w:sz w:val="20"/>
          <w:szCs w:val="20"/>
        </w:rPr>
        <w:t xml:space="preserve"> </w:t>
      </w:r>
      <w:r>
        <w:rPr>
          <w:rFonts w:ascii="Calibri" w:hAnsi="Calibri" w:cs="Arial"/>
          <w:color w:val="000000"/>
          <w:sz w:val="20"/>
          <w:szCs w:val="20"/>
        </w:rPr>
        <w:t>сматра</w:t>
      </w:r>
      <w:r w:rsidRPr="001A38B7">
        <w:rPr>
          <w:rFonts w:ascii="Calibri" w:hAnsi="Calibri" w:cs="Arial"/>
          <w:color w:val="000000"/>
          <w:sz w:val="20"/>
          <w:szCs w:val="20"/>
        </w:rPr>
        <w:t xml:space="preserve"> </w:t>
      </w:r>
      <w:r>
        <w:rPr>
          <w:rFonts w:ascii="Calibri" w:hAnsi="Calibri" w:cs="Arial"/>
          <w:color w:val="000000"/>
          <w:sz w:val="20"/>
          <w:szCs w:val="20"/>
        </w:rPr>
        <w:t>се</w:t>
      </w:r>
      <w:r w:rsidRPr="001A38B7">
        <w:rPr>
          <w:rFonts w:ascii="Calibri" w:hAnsi="Calibri" w:cs="Arial"/>
          <w:color w:val="000000"/>
          <w:sz w:val="20"/>
          <w:szCs w:val="20"/>
        </w:rPr>
        <w:t xml:space="preserve"> </w:t>
      </w:r>
      <w:r>
        <w:rPr>
          <w:rFonts w:ascii="Calibri" w:hAnsi="Calibri" w:cs="Arial"/>
          <w:color w:val="000000"/>
          <w:sz w:val="20"/>
          <w:szCs w:val="20"/>
        </w:rPr>
        <w:t>и</w:t>
      </w:r>
      <w:r w:rsidRPr="001A38B7">
        <w:rPr>
          <w:rFonts w:ascii="Calibri" w:hAnsi="Calibri" w:cs="Arial"/>
          <w:color w:val="000000"/>
          <w:sz w:val="20"/>
          <w:szCs w:val="20"/>
        </w:rPr>
        <w:t xml:space="preserve"> </w:t>
      </w:r>
      <w:r>
        <w:rPr>
          <w:rFonts w:ascii="Calibri" w:hAnsi="Calibri" w:cs="Arial"/>
          <w:color w:val="000000"/>
          <w:sz w:val="20"/>
          <w:szCs w:val="20"/>
        </w:rPr>
        <w:t>свако</w:t>
      </w:r>
      <w:r w:rsidRPr="001A38B7">
        <w:rPr>
          <w:rFonts w:ascii="Calibri" w:hAnsi="Calibri" w:cs="Arial"/>
          <w:color w:val="000000"/>
          <w:sz w:val="20"/>
          <w:szCs w:val="20"/>
        </w:rPr>
        <w:t xml:space="preserve"> </w:t>
      </w:r>
      <w:r>
        <w:rPr>
          <w:rFonts w:ascii="Calibri" w:hAnsi="Calibri" w:cs="Arial"/>
          <w:color w:val="000000"/>
          <w:sz w:val="20"/>
          <w:szCs w:val="20"/>
        </w:rPr>
        <w:t>нерезидентно</w:t>
      </w:r>
      <w:r w:rsidRPr="001A38B7">
        <w:rPr>
          <w:rFonts w:ascii="Calibri" w:hAnsi="Calibri" w:cs="Arial"/>
          <w:color w:val="000000"/>
          <w:sz w:val="20"/>
          <w:szCs w:val="20"/>
        </w:rPr>
        <w:t xml:space="preserve"> </w:t>
      </w:r>
      <w:r>
        <w:rPr>
          <w:rFonts w:ascii="Calibri" w:hAnsi="Calibri" w:cs="Arial"/>
          <w:color w:val="000000"/>
          <w:sz w:val="20"/>
          <w:szCs w:val="20"/>
        </w:rPr>
        <w:t>правно</w:t>
      </w:r>
      <w:r w:rsidRPr="001A38B7">
        <w:rPr>
          <w:rFonts w:ascii="Calibri" w:hAnsi="Calibri" w:cs="Arial"/>
          <w:color w:val="000000"/>
          <w:sz w:val="20"/>
          <w:szCs w:val="20"/>
        </w:rPr>
        <w:t xml:space="preserve"> </w:t>
      </w:r>
      <w:r>
        <w:rPr>
          <w:rFonts w:ascii="Calibri" w:hAnsi="Calibri" w:cs="Arial"/>
          <w:color w:val="000000"/>
          <w:sz w:val="20"/>
          <w:szCs w:val="20"/>
        </w:rPr>
        <w:t>лице</w:t>
      </w:r>
      <w:r w:rsidRPr="001A38B7">
        <w:rPr>
          <w:rFonts w:ascii="Calibri" w:hAnsi="Calibri" w:cs="Arial"/>
          <w:color w:val="000000"/>
          <w:sz w:val="20"/>
          <w:szCs w:val="20"/>
        </w:rPr>
        <w:t xml:space="preserve"> </w:t>
      </w:r>
      <w:r>
        <w:rPr>
          <w:rFonts w:ascii="Calibri" w:hAnsi="Calibri" w:cs="Arial"/>
          <w:color w:val="000000"/>
          <w:sz w:val="20"/>
          <w:szCs w:val="20"/>
        </w:rPr>
        <w:t>из</w:t>
      </w:r>
      <w:r w:rsidRPr="001A38B7">
        <w:rPr>
          <w:rFonts w:ascii="Calibri" w:hAnsi="Calibri" w:cs="Arial"/>
          <w:color w:val="000000"/>
          <w:sz w:val="20"/>
          <w:szCs w:val="20"/>
        </w:rPr>
        <w:t xml:space="preserve"> </w:t>
      </w:r>
      <w:r>
        <w:rPr>
          <w:rFonts w:ascii="Calibri" w:hAnsi="Calibri" w:cs="Arial"/>
          <w:color w:val="000000"/>
          <w:sz w:val="20"/>
          <w:szCs w:val="20"/>
        </w:rPr>
        <w:t>јурисдикције</w:t>
      </w:r>
      <w:r w:rsidRPr="001A38B7">
        <w:rPr>
          <w:rFonts w:ascii="Calibri" w:hAnsi="Calibri" w:cs="Arial"/>
          <w:color w:val="000000"/>
          <w:sz w:val="20"/>
          <w:szCs w:val="20"/>
        </w:rPr>
        <w:t xml:space="preserve"> </w:t>
      </w:r>
      <w:r>
        <w:rPr>
          <w:rFonts w:ascii="Calibri" w:hAnsi="Calibri" w:cs="Arial"/>
          <w:color w:val="000000"/>
          <w:sz w:val="20"/>
          <w:szCs w:val="20"/>
        </w:rPr>
        <w:t>са</w:t>
      </w:r>
      <w:r w:rsidRPr="001A38B7">
        <w:rPr>
          <w:rFonts w:ascii="Calibri" w:hAnsi="Calibri" w:cs="Arial"/>
          <w:color w:val="000000"/>
          <w:sz w:val="20"/>
          <w:szCs w:val="20"/>
        </w:rPr>
        <w:t xml:space="preserve"> </w:t>
      </w:r>
      <w:r>
        <w:rPr>
          <w:rFonts w:ascii="Calibri" w:hAnsi="Calibri" w:cs="Arial"/>
          <w:color w:val="000000"/>
          <w:sz w:val="20"/>
          <w:szCs w:val="20"/>
        </w:rPr>
        <w:t>преференцијалним</w:t>
      </w:r>
      <w:r w:rsidRPr="001A38B7">
        <w:rPr>
          <w:rFonts w:ascii="Calibri" w:hAnsi="Calibri" w:cs="Arial"/>
          <w:color w:val="000000"/>
          <w:sz w:val="20"/>
          <w:szCs w:val="20"/>
        </w:rPr>
        <w:t xml:space="preserve"> </w:t>
      </w:r>
      <w:r>
        <w:rPr>
          <w:rFonts w:ascii="Calibri" w:hAnsi="Calibri" w:cs="Arial"/>
          <w:color w:val="000000"/>
          <w:sz w:val="20"/>
          <w:szCs w:val="20"/>
        </w:rPr>
        <w:t>пореским</w:t>
      </w:r>
      <w:r w:rsidRPr="001A38B7">
        <w:rPr>
          <w:rFonts w:ascii="Calibri" w:hAnsi="Calibri" w:cs="Arial"/>
          <w:color w:val="000000"/>
          <w:sz w:val="20"/>
          <w:szCs w:val="20"/>
        </w:rPr>
        <w:t xml:space="preserve"> </w:t>
      </w:r>
      <w:r>
        <w:rPr>
          <w:rFonts w:ascii="Calibri" w:hAnsi="Calibri" w:cs="Arial"/>
          <w:color w:val="000000"/>
          <w:sz w:val="20"/>
          <w:szCs w:val="20"/>
        </w:rPr>
        <w:t>системом</w:t>
      </w:r>
      <w:r w:rsidRPr="001A38B7">
        <w:rPr>
          <w:rFonts w:ascii="Calibri" w:hAnsi="Calibri" w:cs="Arial"/>
          <w:color w:val="000000"/>
          <w:sz w:val="20"/>
          <w:szCs w:val="20"/>
        </w:rPr>
        <w:t>.</w:t>
      </w:r>
    </w:p>
  </w:footnote>
  <w:footnote w:id="307">
    <w:p w:rsidR="00767127" w:rsidRPr="00F93B6E" w:rsidRDefault="00767127" w:rsidP="006D346D">
      <w:pPr>
        <w:pStyle w:val="FootnoteText"/>
        <w:rPr>
          <w:lang w:val="sr-Cyrl-CS"/>
        </w:rPr>
      </w:pPr>
      <w:r>
        <w:rPr>
          <w:rStyle w:val="FootnoteReference"/>
        </w:rPr>
        <w:footnoteRef/>
      </w:r>
      <w:r>
        <w:t xml:space="preserve"> </w:t>
      </w:r>
      <w:r>
        <w:rPr>
          <w:lang w:val="sr-Cyrl-CS"/>
        </w:rPr>
        <w:t>Чл. 28. Закона о порезу на добит правних лица („Сл. гасник РС“ бр. 25/01...108/13).</w:t>
      </w:r>
    </w:p>
  </w:footnote>
  <w:footnote w:id="308">
    <w:p w:rsidR="00767127" w:rsidRPr="006D346D" w:rsidRDefault="00767127">
      <w:pPr>
        <w:pStyle w:val="FootnoteText"/>
        <w:rPr>
          <w:lang w:val="sr-Cyrl-CS"/>
        </w:rPr>
      </w:pPr>
      <w:r>
        <w:rPr>
          <w:rStyle w:val="FootnoteReference"/>
        </w:rPr>
        <w:footnoteRef/>
      </w:r>
      <w:r>
        <w:t xml:space="preserve"> </w:t>
      </w:r>
      <w:r>
        <w:rPr>
          <w:lang w:val="sr-Cyrl-CS"/>
        </w:rPr>
        <w:t>Чл. 28. ст. 1. Закона о порезу на добит правних лица („Сл. гасник РС“ бр. 25/01, 80/02, 43/03, 84/04, 18/10 и 101/2011).</w:t>
      </w:r>
    </w:p>
  </w:footnote>
  <w:footnote w:id="309">
    <w:p w:rsidR="00767127" w:rsidRPr="000E6258" w:rsidRDefault="00767127">
      <w:pPr>
        <w:pStyle w:val="FootnoteText"/>
        <w:rPr>
          <w:lang w:val="sr-Cyrl-CS"/>
        </w:rPr>
      </w:pPr>
      <w:r>
        <w:rPr>
          <w:rStyle w:val="FootnoteReference"/>
        </w:rPr>
        <w:footnoteRef/>
      </w:r>
      <w:r>
        <w:t xml:space="preserve"> </w:t>
      </w:r>
      <w:r>
        <w:rPr>
          <w:lang w:val="sr-Cyrl-CS"/>
        </w:rPr>
        <w:t>Чл. 29. Закона о порезу на добит правних лица („Сл. гасник РС“ бр. 25/01...108/13).</w:t>
      </w:r>
    </w:p>
  </w:footnote>
  <w:footnote w:id="310">
    <w:p w:rsidR="00767127" w:rsidRPr="00343CFE" w:rsidRDefault="00767127">
      <w:pPr>
        <w:pStyle w:val="FootnoteText"/>
        <w:rPr>
          <w:lang w:val="sr-Cyrl-CS"/>
        </w:rPr>
      </w:pPr>
      <w:r>
        <w:rPr>
          <w:rStyle w:val="FootnoteReference"/>
        </w:rPr>
        <w:footnoteRef/>
      </w:r>
      <w:r>
        <w:t xml:space="preserve"> </w:t>
      </w:r>
      <w:r>
        <w:rPr>
          <w:lang w:val="sr-Cyrl-CS"/>
        </w:rPr>
        <w:t xml:space="preserve">Дејан Поповић, </w:t>
      </w:r>
      <w:r>
        <w:rPr>
          <w:i/>
          <w:lang w:val="sr-Cyrl-CS"/>
        </w:rPr>
        <w:t xml:space="preserve">нав. дело, </w:t>
      </w:r>
      <w:r>
        <w:t xml:space="preserve"> </w:t>
      </w:r>
      <w:r>
        <w:rPr>
          <w:lang w:val="sr-Cyrl-CS"/>
        </w:rPr>
        <w:t>стр. 337.</w:t>
      </w:r>
    </w:p>
  </w:footnote>
  <w:footnote w:id="311">
    <w:p w:rsidR="00767127" w:rsidRPr="00BE1262" w:rsidRDefault="00767127">
      <w:pPr>
        <w:pStyle w:val="FootnoteText"/>
        <w:rPr>
          <w:lang w:val="sr-Cyrl-CS"/>
        </w:rPr>
      </w:pPr>
      <w:r>
        <w:rPr>
          <w:rStyle w:val="FootnoteReference"/>
        </w:rPr>
        <w:footnoteRef/>
      </w:r>
      <w:r>
        <w:t xml:space="preserve"> </w:t>
      </w:r>
      <w:r>
        <w:rPr>
          <w:lang w:val="sr-Cyrl-CS"/>
        </w:rPr>
        <w:t>Чл. 29. ст. 9. Закона о порезу на добит правних лица („Сл. гасник РС“ бр. 25/01...108/13).</w:t>
      </w:r>
    </w:p>
  </w:footnote>
  <w:footnote w:id="312">
    <w:p w:rsidR="00767127" w:rsidRPr="00D92F03" w:rsidRDefault="00767127">
      <w:pPr>
        <w:pStyle w:val="FootnoteText"/>
        <w:rPr>
          <w:lang w:val="sr-Cyrl-CS"/>
        </w:rPr>
      </w:pPr>
      <w:r>
        <w:rPr>
          <w:rStyle w:val="FootnoteReference"/>
        </w:rPr>
        <w:footnoteRef/>
      </w:r>
      <w:r>
        <w:t xml:space="preserve"> </w:t>
      </w:r>
      <w:r>
        <w:rPr>
          <w:lang w:val="sr-Cyrl-CS"/>
        </w:rPr>
        <w:t>„Сл. гласник РС“ бр. 25/01...108/13</w:t>
      </w:r>
    </w:p>
  </w:footnote>
  <w:footnote w:id="313">
    <w:p w:rsidR="00767127" w:rsidRPr="00231DD9" w:rsidRDefault="00767127">
      <w:pPr>
        <w:pStyle w:val="FootnoteText"/>
        <w:rPr>
          <w:lang w:val="sr-Cyrl-CS"/>
        </w:rPr>
      </w:pPr>
      <w:r>
        <w:rPr>
          <w:rStyle w:val="FootnoteReference"/>
        </w:rPr>
        <w:footnoteRef/>
      </w:r>
      <w:r>
        <w:t xml:space="preserve"> </w:t>
      </w:r>
      <w:r>
        <w:rPr>
          <w:rFonts w:asciiTheme="minorHAnsi" w:hAnsiTheme="minorHAnsi"/>
          <w:lang w:val="sr-Cyrl-CS"/>
        </w:rPr>
        <w:t>Чл. 27. ст. 2. Закона</w:t>
      </w:r>
      <w:r>
        <w:rPr>
          <w:rFonts w:ascii="Times New Roman" w:hAnsi="Times New Roman"/>
          <w:sz w:val="24"/>
          <w:szCs w:val="24"/>
          <w:lang w:val="sr-Cyrl-CS"/>
        </w:rPr>
        <w:t xml:space="preserve"> </w:t>
      </w:r>
      <w:r>
        <w:rPr>
          <w:lang w:val="sr-Cyrl-CS"/>
        </w:rPr>
        <w:t>о порезу на добит правних лица („Сл. гасник РС“ бр. 25/01...108/13).</w:t>
      </w:r>
    </w:p>
  </w:footnote>
  <w:footnote w:id="314">
    <w:p w:rsidR="00AD2F39" w:rsidRPr="00767127" w:rsidRDefault="00AD2F39" w:rsidP="00AD2F39">
      <w:pPr>
        <w:pStyle w:val="FootnoteText"/>
        <w:rPr>
          <w:lang w:val="sr-Cyrl-CS"/>
        </w:rPr>
      </w:pPr>
      <w:r>
        <w:rPr>
          <w:rStyle w:val="FootnoteReference"/>
        </w:rPr>
        <w:footnoteRef/>
      </w:r>
      <w:r>
        <w:t xml:space="preserve"> </w:t>
      </w:r>
      <w:r>
        <w:rPr>
          <w:rFonts w:asciiTheme="minorHAnsi" w:hAnsiTheme="minorHAnsi"/>
          <w:lang w:val="sr-Cyrl-CS"/>
        </w:rPr>
        <w:t>Закона</w:t>
      </w:r>
      <w:r>
        <w:rPr>
          <w:rFonts w:ascii="Times New Roman" w:hAnsi="Times New Roman"/>
          <w:sz w:val="24"/>
          <w:szCs w:val="24"/>
          <w:lang w:val="sr-Cyrl-CS"/>
        </w:rPr>
        <w:t xml:space="preserve"> </w:t>
      </w:r>
      <w:r>
        <w:rPr>
          <w:lang w:val="sr-Cyrl-CS"/>
        </w:rPr>
        <w:t>о порезу на добит правних лица („Сл. гасник РС“ бр. 25/01...108/13).</w:t>
      </w:r>
    </w:p>
  </w:footnote>
  <w:footnote w:id="315">
    <w:p w:rsidR="00767127" w:rsidRPr="00732DC8" w:rsidRDefault="00767127" w:rsidP="00CE3F81">
      <w:pPr>
        <w:pStyle w:val="FootnoteText"/>
        <w:rPr>
          <w:lang w:val="sr-Cyrl-CS"/>
        </w:rPr>
      </w:pPr>
      <w:r>
        <w:rPr>
          <w:rStyle w:val="FootnoteReference"/>
        </w:rPr>
        <w:footnoteRef/>
      </w:r>
      <w:r>
        <w:t xml:space="preserve"> </w:t>
      </w:r>
      <w:r>
        <w:rPr>
          <w:lang w:val="sr-Cyrl-CS"/>
        </w:rPr>
        <w:t>Мишљење Министарства финансија бр. 413-01-2592/2010-04 од 05.10.2010. године</w:t>
      </w:r>
    </w:p>
  </w:footnote>
  <w:footnote w:id="316">
    <w:p w:rsidR="00767127" w:rsidRPr="009D0BE4" w:rsidRDefault="00767127" w:rsidP="00234259">
      <w:pPr>
        <w:pStyle w:val="FootnoteText"/>
        <w:rPr>
          <w:lang w:val="sr-Cyrl-CS"/>
        </w:rPr>
      </w:pPr>
      <w:r>
        <w:rPr>
          <w:rStyle w:val="FootnoteReference"/>
        </w:rPr>
        <w:footnoteRef/>
      </w:r>
      <w:r>
        <w:t xml:space="preserve"> </w:t>
      </w:r>
      <w:r>
        <w:rPr>
          <w:lang w:val="sr-Cyrl-CS"/>
        </w:rPr>
        <w:t>Објашњење Министарства финансија и економије бр. 430-07-306/2002-04 од 02.10.2002. године</w:t>
      </w:r>
    </w:p>
  </w:footnote>
  <w:footnote w:id="317">
    <w:p w:rsidR="00767127" w:rsidRPr="00CD257F" w:rsidRDefault="00767127" w:rsidP="00504802">
      <w:pPr>
        <w:pStyle w:val="FootnoteText"/>
        <w:jc w:val="both"/>
        <w:rPr>
          <w:lang w:val="sr-Cyrl-CS"/>
        </w:rPr>
      </w:pPr>
      <w:r>
        <w:rPr>
          <w:rStyle w:val="FootnoteReference"/>
        </w:rPr>
        <w:footnoteRef/>
      </w:r>
      <w:r>
        <w:t xml:space="preserve"> </w:t>
      </w:r>
      <w:r>
        <w:rPr>
          <w:lang w:val="sr-Cyrl-CS"/>
        </w:rPr>
        <w:t>Записник о извршеној теренској контроли обрачунавања и плаћања пореза на добит предузећа Пореске управе, Министарства финансија и привреде РС број 47-00066/2013-0016-001 од 08.04.2013. године</w:t>
      </w:r>
    </w:p>
  </w:footnote>
  <w:footnote w:id="318">
    <w:p w:rsidR="00767127" w:rsidRPr="00C46EE9" w:rsidRDefault="00767127">
      <w:pPr>
        <w:pStyle w:val="FootnoteText"/>
        <w:rPr>
          <w:lang w:val="sr-Cyrl-CS"/>
        </w:rPr>
      </w:pPr>
      <w:r>
        <w:rPr>
          <w:rStyle w:val="FootnoteReference"/>
        </w:rPr>
        <w:footnoteRef/>
      </w:r>
      <w:r>
        <w:t xml:space="preserve"> </w:t>
      </w:r>
      <w:r>
        <w:rPr>
          <w:lang w:val="sr-Cyrl-CS"/>
        </w:rPr>
        <w:t xml:space="preserve">Милева Анђелковић и Марина Димитријевић, </w:t>
      </w:r>
      <w:r w:rsidRPr="0023561A">
        <w:rPr>
          <w:b/>
          <w:lang w:val="sr-Cyrl-CS"/>
        </w:rPr>
        <w:t>Пореско право Србије</w:t>
      </w:r>
      <w:r>
        <w:rPr>
          <w:lang w:val="sr-Cyrl-CS"/>
        </w:rPr>
        <w:t>, Правни факултет у Универзитета у Нишу,  Ниш, 2009, стр. 105.</w:t>
      </w:r>
    </w:p>
  </w:footnote>
  <w:footnote w:id="319">
    <w:p w:rsidR="00767127" w:rsidRPr="001B5D52" w:rsidRDefault="00767127">
      <w:pPr>
        <w:pStyle w:val="FootnoteText"/>
        <w:rPr>
          <w:lang w:val="sr-Cyrl-CS"/>
        </w:rPr>
      </w:pPr>
      <w:r>
        <w:rPr>
          <w:rStyle w:val="FootnoteReference"/>
        </w:rPr>
        <w:footnoteRef/>
      </w:r>
      <w:r>
        <w:t xml:space="preserve"> </w:t>
      </w:r>
      <w:r>
        <w:rPr>
          <w:i/>
          <w:lang w:val="sr-Cyrl-CS"/>
        </w:rPr>
        <w:t>Нав. дело</w:t>
      </w:r>
      <w:r>
        <w:rPr>
          <w:lang w:val="en-US"/>
        </w:rPr>
        <w:t xml:space="preserve">, </w:t>
      </w:r>
      <w:r>
        <w:rPr>
          <w:lang w:val="sr-Cyrl-CS"/>
        </w:rPr>
        <w:t>стр. 106-107.</w:t>
      </w:r>
    </w:p>
  </w:footnote>
  <w:footnote w:id="320">
    <w:p w:rsidR="00767127" w:rsidRPr="00035562" w:rsidRDefault="00767127">
      <w:pPr>
        <w:pStyle w:val="FootnoteText"/>
        <w:rPr>
          <w:lang w:val="sr-Cyrl-CS"/>
        </w:rPr>
      </w:pPr>
      <w:r>
        <w:rPr>
          <w:rStyle w:val="FootnoteReference"/>
        </w:rPr>
        <w:footnoteRef/>
      </w:r>
      <w:r>
        <w:t xml:space="preserve"> </w:t>
      </w:r>
      <w:r>
        <w:rPr>
          <w:lang w:val="sr-Cyrl-CS"/>
        </w:rPr>
        <w:t xml:space="preserve">Дејан Поповић,  </w:t>
      </w:r>
      <w:r>
        <w:rPr>
          <w:i/>
          <w:lang w:val="sr-Cyrl-CS"/>
        </w:rPr>
        <w:t>нав. дело</w:t>
      </w:r>
      <w:r w:rsidRPr="00863E5E">
        <w:rPr>
          <w:i/>
          <w:lang w:val="sr-Cyrl-CS"/>
        </w:rPr>
        <w:t>,</w:t>
      </w:r>
      <w:r>
        <w:rPr>
          <w:lang w:val="sr-Cyrl-CS"/>
        </w:rPr>
        <w:t xml:space="preserve"> стр. 335.</w:t>
      </w:r>
    </w:p>
  </w:footnote>
  <w:footnote w:id="321">
    <w:p w:rsidR="00767127" w:rsidRPr="002E16CC" w:rsidRDefault="00767127">
      <w:pPr>
        <w:pStyle w:val="FootnoteText"/>
        <w:rPr>
          <w:lang w:val="sr-Cyrl-CS"/>
        </w:rPr>
      </w:pPr>
      <w:r>
        <w:rPr>
          <w:rStyle w:val="FootnoteReference"/>
        </w:rPr>
        <w:footnoteRef/>
      </w:r>
      <w:r>
        <w:t xml:space="preserve"> </w:t>
      </w:r>
      <w:r>
        <w:rPr>
          <w:lang w:val="sr-Cyrl-CS"/>
        </w:rPr>
        <w:t>Чл. 62. Закона о порезу на добит правних лица („Сл. гасник РС“ бр. 25/01...108/13).</w:t>
      </w:r>
    </w:p>
  </w:footnote>
  <w:footnote w:id="322">
    <w:p w:rsidR="00767127" w:rsidRPr="00290A08" w:rsidRDefault="00767127">
      <w:pPr>
        <w:pStyle w:val="FootnoteText"/>
        <w:rPr>
          <w:lang w:val="sr-Cyrl-CS"/>
        </w:rPr>
      </w:pPr>
      <w:r>
        <w:rPr>
          <w:rStyle w:val="FootnoteReference"/>
        </w:rPr>
        <w:footnoteRef/>
      </w:r>
      <w:r>
        <w:t xml:space="preserve"> </w:t>
      </w:r>
      <w:r>
        <w:rPr>
          <w:lang w:val="sr-Cyrl-CS"/>
        </w:rPr>
        <w:t>Чл. 62. Закона о порезу на добит предузећа („Сл. гасник РС“ бр. 25/2001).</w:t>
      </w:r>
    </w:p>
  </w:footnote>
  <w:footnote w:id="323">
    <w:p w:rsidR="00767127" w:rsidRPr="008D7375" w:rsidRDefault="00767127">
      <w:pPr>
        <w:pStyle w:val="FootnoteText"/>
        <w:rPr>
          <w:lang w:val="sr-Cyrl-CS"/>
        </w:rPr>
      </w:pPr>
      <w:r>
        <w:rPr>
          <w:rStyle w:val="FootnoteReference"/>
        </w:rPr>
        <w:footnoteRef/>
      </w:r>
      <w:r>
        <w:t xml:space="preserve"> </w:t>
      </w:r>
      <w:r>
        <w:rPr>
          <w:lang w:val="sr-Cyrl-CS"/>
        </w:rPr>
        <w:t xml:space="preserve">Милева Анђелковић и Марина Димитријевић, </w:t>
      </w:r>
      <w:r>
        <w:rPr>
          <w:i/>
          <w:lang w:val="sr-Cyrl-CS"/>
        </w:rPr>
        <w:t xml:space="preserve">нав. дело, </w:t>
      </w:r>
      <w:r>
        <w:rPr>
          <w:lang w:val="sr-Cyrl-CS"/>
        </w:rPr>
        <w:t xml:space="preserve"> стр. 101.</w:t>
      </w:r>
    </w:p>
  </w:footnote>
  <w:footnote w:id="324">
    <w:p w:rsidR="00767127" w:rsidRPr="00E117CA" w:rsidRDefault="00767127">
      <w:pPr>
        <w:pStyle w:val="FootnoteText"/>
        <w:rPr>
          <w:lang w:val="sr-Cyrl-CS"/>
        </w:rPr>
      </w:pPr>
      <w:r>
        <w:rPr>
          <w:rStyle w:val="FootnoteReference"/>
        </w:rPr>
        <w:footnoteRef/>
      </w:r>
      <w:r>
        <w:t xml:space="preserve"> </w:t>
      </w:r>
      <w:r>
        <w:rPr>
          <w:lang w:val="sr-Cyrl-CS"/>
        </w:rPr>
        <w:t>Чл. 56. Закона о порезу на добит правних лица („Сл. гасник РС“ бр. 25/01...108/13).</w:t>
      </w:r>
    </w:p>
  </w:footnote>
  <w:footnote w:id="325">
    <w:p w:rsidR="00767127" w:rsidRPr="00863E5E" w:rsidRDefault="00767127">
      <w:pPr>
        <w:pStyle w:val="FootnoteText"/>
        <w:rPr>
          <w:lang w:val="sr-Cyrl-CS"/>
        </w:rPr>
      </w:pPr>
      <w:r>
        <w:rPr>
          <w:rStyle w:val="FootnoteReference"/>
        </w:rPr>
        <w:footnoteRef/>
      </w:r>
      <w:r>
        <w:rPr>
          <w:lang w:val="sr-Cyrl-CS"/>
        </w:rPr>
        <w:t>Чл. 55. и 57. Закона о порезу на добит правних лица („Сл. гасник РС“ бр. 25/01...108/13).</w:t>
      </w:r>
    </w:p>
  </w:footnote>
  <w:footnote w:id="326">
    <w:p w:rsidR="00767127" w:rsidRPr="009F048D" w:rsidRDefault="00767127">
      <w:pPr>
        <w:pStyle w:val="FootnoteText"/>
        <w:rPr>
          <w:lang w:val="sr-Cyrl-CS"/>
        </w:rPr>
      </w:pPr>
      <w:r>
        <w:rPr>
          <w:rStyle w:val="FootnoteReference"/>
        </w:rPr>
        <w:footnoteRef/>
      </w:r>
      <w:r>
        <w:t xml:space="preserve"> </w:t>
      </w:r>
      <w:r>
        <w:rPr>
          <w:lang w:val="sr-Cyrl-CS"/>
        </w:rPr>
        <w:t>Чл. 55. ст.  4. Закона о порезу на добит правних лица („Сл. гасник РС“ бр. 25/01...47/13).</w:t>
      </w:r>
    </w:p>
  </w:footnote>
  <w:footnote w:id="327">
    <w:p w:rsidR="00767127" w:rsidRPr="00366EBA" w:rsidRDefault="00767127" w:rsidP="006155DC">
      <w:pPr>
        <w:pStyle w:val="FootnoteText"/>
        <w:jc w:val="both"/>
        <w:rPr>
          <w:lang w:val="sr-Cyrl-CS"/>
        </w:rPr>
      </w:pPr>
      <w:r>
        <w:rPr>
          <w:rStyle w:val="FootnoteReference"/>
        </w:rPr>
        <w:footnoteRef/>
      </w:r>
      <w:r>
        <w:t xml:space="preserve"> </w:t>
      </w:r>
      <w:r>
        <w:rPr>
          <w:lang w:val="sr-Cyrl-CS"/>
        </w:rPr>
        <w:t xml:space="preserve">Миодраг Вуковић, </w:t>
      </w:r>
      <w:r w:rsidRPr="0023561A">
        <w:rPr>
          <w:b/>
          <w:lang w:val="sr-Cyrl-CS"/>
        </w:rPr>
        <w:t>Пореска утаја у полицијској и судској пракси</w:t>
      </w:r>
      <w:r>
        <w:rPr>
          <w:lang w:val="sr-Cyrl-CS"/>
        </w:rPr>
        <w:t xml:space="preserve">, ЈП „Службени гласник“, Београд, 2009, стр. 114. </w:t>
      </w:r>
    </w:p>
  </w:footnote>
  <w:footnote w:id="328">
    <w:p w:rsidR="00767127" w:rsidRPr="0062105F" w:rsidRDefault="00767127">
      <w:pPr>
        <w:pStyle w:val="FootnoteText"/>
        <w:rPr>
          <w:lang w:val="sr-Cyrl-CS"/>
        </w:rPr>
      </w:pPr>
      <w:r>
        <w:rPr>
          <w:rStyle w:val="FootnoteReference"/>
        </w:rPr>
        <w:footnoteRef/>
      </w:r>
      <w:r>
        <w:t xml:space="preserve"> </w:t>
      </w:r>
      <w:r w:rsidRPr="00462C43">
        <w:rPr>
          <w:b/>
          <w:lang w:val="sr-Cyrl-CS"/>
        </w:rPr>
        <w:t>Модалитети пореске утаје</w:t>
      </w:r>
      <w:r>
        <w:rPr>
          <w:lang w:val="sr-Cyrl-CS"/>
        </w:rPr>
        <w:t>, Централа Пореске управе Министарства финансија РС, интерно издање,  2011, стр. 15.</w:t>
      </w:r>
    </w:p>
  </w:footnote>
  <w:footnote w:id="329">
    <w:p w:rsidR="00767127" w:rsidRPr="00372AC0" w:rsidRDefault="00767127">
      <w:pPr>
        <w:pStyle w:val="FootnoteText"/>
        <w:rPr>
          <w:lang w:val="sr-Cyrl-CS"/>
        </w:rPr>
      </w:pPr>
      <w:r>
        <w:rPr>
          <w:rStyle w:val="FootnoteReference"/>
        </w:rPr>
        <w:footnoteRef/>
      </w:r>
      <w:r>
        <w:t xml:space="preserve"> </w:t>
      </w:r>
      <w:r>
        <w:rPr>
          <w:lang w:val="sr-Cyrl-CS"/>
        </w:rPr>
        <w:t xml:space="preserve">„Службени лист СРЈ“ бр. 24/2000  </w:t>
      </w:r>
    </w:p>
  </w:footnote>
  <w:footnote w:id="330">
    <w:p w:rsidR="00767127" w:rsidRPr="00035C4C" w:rsidRDefault="00767127">
      <w:pPr>
        <w:pStyle w:val="FootnoteText"/>
        <w:rPr>
          <w:lang w:val="sr-Cyrl-CS"/>
        </w:rPr>
      </w:pPr>
      <w:r>
        <w:rPr>
          <w:rStyle w:val="FootnoteReference"/>
        </w:rPr>
        <w:footnoteRef/>
      </w:r>
      <w:r>
        <w:t xml:space="preserve"> </w:t>
      </w:r>
      <w:r w:rsidRPr="00462C43">
        <w:rPr>
          <w:b/>
          <w:lang w:val="sr-Cyrl-CS"/>
        </w:rPr>
        <w:t>Модалитети пореске утаје</w:t>
      </w:r>
      <w:r>
        <w:rPr>
          <w:lang w:val="sr-Cyrl-CS"/>
        </w:rPr>
        <w:t xml:space="preserve">, </w:t>
      </w:r>
      <w:r w:rsidRPr="00711270">
        <w:rPr>
          <w:i/>
          <w:lang w:val="sr-Cyrl-CS"/>
        </w:rPr>
        <w:t>нав. дело</w:t>
      </w:r>
      <w:r>
        <w:rPr>
          <w:lang w:val="sr-Cyrl-CS"/>
        </w:rPr>
        <w:t>, стр. 15.</w:t>
      </w:r>
    </w:p>
  </w:footnote>
  <w:footnote w:id="331">
    <w:p w:rsidR="00767127" w:rsidRPr="00073607" w:rsidRDefault="00767127">
      <w:pPr>
        <w:pStyle w:val="FootnoteText"/>
        <w:rPr>
          <w:lang w:val="sr-Cyrl-CS"/>
        </w:rPr>
      </w:pPr>
      <w:r>
        <w:rPr>
          <w:rStyle w:val="FootnoteReference"/>
        </w:rPr>
        <w:footnoteRef/>
      </w:r>
      <w:r>
        <w:t xml:space="preserve"> </w:t>
      </w:r>
      <w:r>
        <w:rPr>
          <w:lang w:val="sr-Cyrl-CS"/>
        </w:rPr>
        <w:t xml:space="preserve">Дејан Поповић, </w:t>
      </w:r>
      <w:r>
        <w:rPr>
          <w:i/>
          <w:lang w:val="sr-Cyrl-CS"/>
        </w:rPr>
        <w:t xml:space="preserve">нав. дело, </w:t>
      </w:r>
      <w:r>
        <w:rPr>
          <w:lang w:val="sr-Cyrl-CS"/>
        </w:rPr>
        <w:t xml:space="preserve"> стр.45-50.</w:t>
      </w:r>
    </w:p>
  </w:footnote>
  <w:footnote w:id="332">
    <w:p w:rsidR="00767127" w:rsidRPr="006A2A20" w:rsidRDefault="00767127" w:rsidP="000E7222">
      <w:pPr>
        <w:pStyle w:val="FootnoteText"/>
        <w:jc w:val="both"/>
        <w:rPr>
          <w:lang w:val="sr-Cyrl-CS"/>
        </w:rPr>
      </w:pPr>
      <w:r>
        <w:rPr>
          <w:rStyle w:val="FootnoteReference"/>
        </w:rPr>
        <w:footnoteRef/>
      </w:r>
      <w:r>
        <w:t xml:space="preserve"> </w:t>
      </w:r>
      <w:r>
        <w:rPr>
          <w:lang w:val="sr-Cyrl-CS"/>
        </w:rPr>
        <w:t xml:space="preserve">Миодраг Вуковић, </w:t>
      </w:r>
      <w:r>
        <w:rPr>
          <w:i/>
          <w:lang w:val="sr-Cyrl-CS"/>
        </w:rPr>
        <w:t xml:space="preserve">нав. дело, </w:t>
      </w:r>
      <w:r>
        <w:rPr>
          <w:lang w:val="sr-Cyrl-CS"/>
        </w:rPr>
        <w:t xml:space="preserve"> стр. 112.</w:t>
      </w:r>
    </w:p>
  </w:footnote>
  <w:footnote w:id="333">
    <w:p w:rsidR="00767127" w:rsidRPr="003613B4" w:rsidRDefault="00767127" w:rsidP="000E7222">
      <w:pPr>
        <w:pStyle w:val="FootnoteText"/>
        <w:jc w:val="both"/>
        <w:rPr>
          <w:lang w:val="sr-Cyrl-CS"/>
        </w:rPr>
      </w:pPr>
      <w:r>
        <w:rPr>
          <w:rStyle w:val="FootnoteReference"/>
        </w:rPr>
        <w:footnoteRef/>
      </w:r>
      <w:r>
        <w:t xml:space="preserve"> </w:t>
      </w:r>
      <w:r w:rsidRPr="0023561A">
        <w:rPr>
          <w:rFonts w:cs="Arial"/>
          <w:color w:val="000000"/>
          <w:lang w:val="sr-Cyrl-CS"/>
        </w:rPr>
        <w:t>Пресуда Окружног суда у Београду</w:t>
      </w:r>
      <w:r>
        <w:rPr>
          <w:rFonts w:cs="Arial"/>
          <w:color w:val="000000"/>
        </w:rPr>
        <w:t xml:space="preserve">, </w:t>
      </w:r>
      <w:r>
        <w:rPr>
          <w:rFonts w:cs="Arial"/>
          <w:color w:val="000000"/>
          <w:lang w:val="sr-Cyrl-CS"/>
        </w:rPr>
        <w:t>Кж.</w:t>
      </w:r>
      <w:r w:rsidRPr="0023561A">
        <w:rPr>
          <w:rFonts w:cs="Arial"/>
          <w:color w:val="000000"/>
        </w:rPr>
        <w:t xml:space="preserve"> 2226/95 od 27.2.1996. </w:t>
      </w:r>
      <w:r w:rsidRPr="0023561A">
        <w:rPr>
          <w:rFonts w:cs="Arial"/>
          <w:color w:val="000000"/>
          <w:lang w:val="sr-Cyrl-CS"/>
        </w:rPr>
        <w:t>године</w:t>
      </w:r>
      <w:r>
        <w:rPr>
          <w:rFonts w:cs="Arial"/>
          <w:color w:val="000000"/>
          <w:lang w:val="sr-Cyrl-CS"/>
        </w:rPr>
        <w:t xml:space="preserve"> (</w:t>
      </w:r>
      <w:r w:rsidRPr="000C1BBC">
        <w:rPr>
          <w:rFonts w:cs="Arial"/>
          <w:color w:val="000000"/>
          <w:lang w:val="sr-Cyrl-CS"/>
        </w:rPr>
        <w:t>http://www.lexonline.p</w:t>
      </w:r>
      <w:r>
        <w:rPr>
          <w:rFonts w:cs="Arial"/>
          <w:color w:val="000000"/>
          <w:lang w:val="sr-Cyrl-CS"/>
        </w:rPr>
        <w:t>aragraf.rs)</w:t>
      </w:r>
      <w:r>
        <w:rPr>
          <w:rFonts w:ascii="Arial" w:hAnsi="Arial" w:cs="Arial"/>
          <w:color w:val="000000"/>
          <w:sz w:val="18"/>
          <w:szCs w:val="18"/>
          <w:lang w:val="sr-Cyrl-CS"/>
        </w:rPr>
        <w:t>.</w:t>
      </w:r>
    </w:p>
  </w:footnote>
  <w:footnote w:id="334">
    <w:p w:rsidR="00767127" w:rsidRPr="00900241" w:rsidRDefault="00767127" w:rsidP="00426076">
      <w:pPr>
        <w:pStyle w:val="FootnoteText"/>
        <w:rPr>
          <w:lang w:val="sr-Cyrl-CS"/>
        </w:rPr>
      </w:pPr>
      <w:r>
        <w:rPr>
          <w:rStyle w:val="FootnoteReference"/>
        </w:rPr>
        <w:footnoteRef/>
      </w:r>
      <w:r>
        <w:t xml:space="preserve"> </w:t>
      </w:r>
      <w:r>
        <w:rPr>
          <w:lang w:val="sr-Cyrl-CS"/>
        </w:rPr>
        <w:t>Чл.9 Закона о пореском поступку и пореској администрацији („Сл. Гласник РС“ бр. 80/2002...108/2013).</w:t>
      </w:r>
    </w:p>
  </w:footnote>
  <w:footnote w:id="335">
    <w:p w:rsidR="00767127" w:rsidRPr="009F6BE7" w:rsidRDefault="00767127" w:rsidP="008A3274">
      <w:pPr>
        <w:pStyle w:val="FootnoteText"/>
        <w:jc w:val="both"/>
        <w:rPr>
          <w:lang w:val="sr-Cyrl-CS"/>
        </w:rPr>
      </w:pPr>
      <w:r>
        <w:rPr>
          <w:rStyle w:val="FootnoteReference"/>
        </w:rPr>
        <w:footnoteRef/>
      </w:r>
      <w:r>
        <w:t xml:space="preserve"> </w:t>
      </w:r>
      <w:r>
        <w:rPr>
          <w:lang w:val="sr-Cyrl-CS"/>
        </w:rPr>
        <w:t xml:space="preserve">Радојко Србљановић и др., </w:t>
      </w:r>
      <w:r w:rsidRPr="0089326D">
        <w:rPr>
          <w:b/>
          <w:lang w:val="sr-Cyrl-CS"/>
        </w:rPr>
        <w:t>Типологије прања новца у Републици Србији</w:t>
      </w:r>
      <w:r>
        <w:rPr>
          <w:lang w:val="sr-Cyrl-CS"/>
        </w:rPr>
        <w:t xml:space="preserve">,  Мисија </w:t>
      </w:r>
      <w:r>
        <w:t xml:space="preserve">OEBS </w:t>
      </w:r>
      <w:r>
        <w:rPr>
          <w:lang w:val="sr-Cyrl-CS"/>
        </w:rPr>
        <w:t>у Србији, 2011, стр. 60-61.</w:t>
      </w:r>
    </w:p>
  </w:footnote>
  <w:footnote w:id="336">
    <w:p w:rsidR="00767127" w:rsidRPr="009F6BE7" w:rsidRDefault="00767127" w:rsidP="008F562F">
      <w:pPr>
        <w:pStyle w:val="FootnoteText"/>
        <w:rPr>
          <w:lang w:val="sr-Cyrl-CS"/>
        </w:rPr>
      </w:pPr>
      <w:r>
        <w:rPr>
          <w:rStyle w:val="FootnoteReference"/>
        </w:rPr>
        <w:footnoteRef/>
      </w:r>
      <w:r>
        <w:t xml:space="preserve"> </w:t>
      </w:r>
      <w:r>
        <w:rPr>
          <w:i/>
          <w:lang w:val="sr-Cyrl-CS"/>
        </w:rPr>
        <w:t>Нав. дело</w:t>
      </w:r>
      <w:r>
        <w:rPr>
          <w:lang w:val="sr-Cyrl-CS"/>
        </w:rPr>
        <w:t>, стр. 62-63.</w:t>
      </w:r>
    </w:p>
    <w:p w:rsidR="00767127" w:rsidRPr="008F562F" w:rsidRDefault="00767127">
      <w:pPr>
        <w:pStyle w:val="FootnoteText"/>
        <w:rPr>
          <w:lang w:val="sr-Cyrl-CS"/>
        </w:rPr>
      </w:pPr>
    </w:p>
  </w:footnote>
  <w:footnote w:id="337">
    <w:p w:rsidR="00767127" w:rsidRPr="00B84A4B" w:rsidRDefault="00767127">
      <w:pPr>
        <w:pStyle w:val="FootnoteText"/>
        <w:rPr>
          <w:lang w:val="sr-Cyrl-CS"/>
        </w:rPr>
      </w:pPr>
      <w:r>
        <w:rPr>
          <w:rStyle w:val="FootnoteReference"/>
        </w:rPr>
        <w:footnoteRef/>
      </w:r>
      <w:r>
        <w:t xml:space="preserve"> </w:t>
      </w:r>
      <w:r>
        <w:rPr>
          <w:i/>
          <w:lang w:val="sr-Cyrl-CS"/>
        </w:rPr>
        <w:t>Нав. дело</w:t>
      </w:r>
      <w:r w:rsidRPr="0089326D">
        <w:rPr>
          <w:i/>
          <w:lang w:val="sr-Cyrl-CS"/>
        </w:rPr>
        <w:t>,</w:t>
      </w:r>
      <w:r>
        <w:rPr>
          <w:lang w:val="sr-Cyrl-CS"/>
        </w:rPr>
        <w:t xml:space="preserve"> стр. 65.</w:t>
      </w:r>
    </w:p>
  </w:footnote>
  <w:footnote w:id="338">
    <w:p w:rsidR="00767127" w:rsidRPr="009F048D" w:rsidRDefault="00767127" w:rsidP="001F4095">
      <w:pPr>
        <w:pStyle w:val="FootnoteText"/>
        <w:rPr>
          <w:lang w:val="sr-Cyrl-CS"/>
        </w:rPr>
      </w:pPr>
      <w:r>
        <w:rPr>
          <w:rStyle w:val="FootnoteReference"/>
        </w:rPr>
        <w:footnoteRef/>
      </w:r>
      <w:r>
        <w:t xml:space="preserve"> </w:t>
      </w:r>
      <w:r>
        <w:rPr>
          <w:lang w:val="sr-Cyrl-CS"/>
        </w:rPr>
        <w:t>Чл. 112. Закона о порезу на добит правних лица („Сл. гасник РС“ бр. 25/01...108/13).</w:t>
      </w:r>
    </w:p>
    <w:p w:rsidR="00767127" w:rsidRPr="001F4095" w:rsidRDefault="00767127">
      <w:pPr>
        <w:pStyle w:val="FootnoteText"/>
        <w:rPr>
          <w:lang w:val="sr-Cyrl-CS"/>
        </w:rPr>
      </w:pPr>
    </w:p>
  </w:footnote>
  <w:footnote w:id="339">
    <w:p w:rsidR="00767127" w:rsidRDefault="00767127" w:rsidP="00F064CA">
      <w:pPr>
        <w:pStyle w:val="FootnoteText"/>
      </w:pPr>
      <w:r>
        <w:rPr>
          <w:rStyle w:val="FootnoteReference"/>
        </w:rPr>
        <w:footnoteRef/>
      </w:r>
      <w:r>
        <w:t xml:space="preserve"> OECD</w:t>
      </w:r>
      <w:r w:rsidRPr="004D2866">
        <w:t>,</w:t>
      </w:r>
      <w:r w:rsidRPr="004D2866">
        <w:rPr>
          <w:b/>
        </w:rPr>
        <w:t xml:space="preserve"> Consumptio</w:t>
      </w:r>
      <w:r>
        <w:rPr>
          <w:b/>
        </w:rPr>
        <w:t>n Tax Trends 2008</w:t>
      </w:r>
      <w:r>
        <w:rPr>
          <w:b/>
          <w:lang w:val="sr-Cyrl-CS"/>
        </w:rPr>
        <w:t>:</w:t>
      </w:r>
      <w:r>
        <w:rPr>
          <w:b/>
        </w:rPr>
        <w:t xml:space="preserve"> VAT/GST and Excise Rates, Trends and Administrative I</w:t>
      </w:r>
      <w:r w:rsidRPr="004D2866">
        <w:rPr>
          <w:b/>
        </w:rPr>
        <w:t>ssues</w:t>
      </w:r>
      <w:r>
        <w:t xml:space="preserve">, </w:t>
      </w:r>
    </w:p>
    <w:p w:rsidR="00767127" w:rsidRPr="001D076A" w:rsidRDefault="00767127" w:rsidP="00F064CA">
      <w:pPr>
        <w:pStyle w:val="FootnoteText"/>
        <w:rPr>
          <w:lang w:val="sr-Cyrl-CS"/>
        </w:rPr>
      </w:pPr>
      <w:r>
        <w:rPr>
          <w:lang w:val="sr-Cyrl-CS"/>
        </w:rPr>
        <w:t>стр</w:t>
      </w:r>
      <w:r>
        <w:t>. 23</w:t>
      </w:r>
      <w:r>
        <w:rPr>
          <w:lang w:val="sr-Cyrl-CS"/>
        </w:rPr>
        <w:t xml:space="preserve"> (извор: </w:t>
      </w:r>
      <w:r w:rsidRPr="001D076A">
        <w:rPr>
          <w:lang w:val="sr-Cyrl-CS"/>
        </w:rPr>
        <w:t>https://books.google.rs</w:t>
      </w:r>
      <w:r>
        <w:rPr>
          <w:lang w:val="sr-Cyrl-CS"/>
        </w:rPr>
        <w:t>).</w:t>
      </w:r>
    </w:p>
  </w:footnote>
  <w:footnote w:id="340">
    <w:p w:rsidR="00767127" w:rsidRPr="00FF6745" w:rsidRDefault="00767127" w:rsidP="004D2866">
      <w:pPr>
        <w:pStyle w:val="FootnoteText"/>
        <w:jc w:val="both"/>
        <w:rPr>
          <w:lang w:val="sr-Cyrl-CS"/>
        </w:rPr>
      </w:pPr>
      <w:r>
        <w:rPr>
          <w:rStyle w:val="FootnoteReference"/>
        </w:rPr>
        <w:footnoteRef/>
      </w:r>
      <w:r>
        <w:t xml:space="preserve"> </w:t>
      </w:r>
      <w:r w:rsidRPr="004D2866">
        <w:rPr>
          <w:b/>
        </w:rPr>
        <w:t>Taxation trends in the European Union</w:t>
      </w:r>
      <w:r w:rsidRPr="00E35411">
        <w:t>, 2010 Edition, Annex A, Tables 7 and 8.</w:t>
      </w:r>
      <w:r>
        <w:rPr>
          <w:lang w:val="sr-Cyrl-CS"/>
        </w:rPr>
        <w:t xml:space="preserve"> (извор: http://ec.europa.eu).</w:t>
      </w:r>
    </w:p>
  </w:footnote>
  <w:footnote w:id="341">
    <w:p w:rsidR="00767127" w:rsidRPr="00286ADF" w:rsidRDefault="00767127" w:rsidP="004D2866">
      <w:pPr>
        <w:pStyle w:val="FootnoteText"/>
        <w:jc w:val="both"/>
        <w:rPr>
          <w:lang w:val="sr-Cyrl-CS"/>
        </w:rPr>
      </w:pPr>
      <w:r>
        <w:rPr>
          <w:rStyle w:val="FootnoteReference"/>
        </w:rPr>
        <w:footnoteRef/>
      </w:r>
      <w:r>
        <w:t xml:space="preserve"> </w:t>
      </w:r>
      <w:r>
        <w:rPr>
          <w:lang w:val="sr-Cyrl-CS"/>
        </w:rPr>
        <w:t>„Службени гласник РС“ бр. 84/04 и 86/04.</w:t>
      </w:r>
    </w:p>
  </w:footnote>
  <w:footnote w:id="342">
    <w:p w:rsidR="00767127" w:rsidRPr="00B4419B" w:rsidRDefault="00767127">
      <w:pPr>
        <w:pStyle w:val="FootnoteText"/>
        <w:rPr>
          <w:lang w:val="sr-Cyrl-CS"/>
        </w:rPr>
      </w:pPr>
      <w:r>
        <w:rPr>
          <w:rStyle w:val="FootnoteReference"/>
        </w:rPr>
        <w:footnoteRef/>
      </w:r>
      <w:r>
        <w:t xml:space="preserve"> </w:t>
      </w:r>
      <w:r w:rsidRPr="00364B8B">
        <w:rPr>
          <w:lang w:val="sr-Cyrl-CS"/>
        </w:rPr>
        <w:t xml:space="preserve">Вид.: </w:t>
      </w:r>
      <w:r w:rsidRPr="00364B8B">
        <w:rPr>
          <w:color w:val="000000"/>
          <w:lang w:val="sr-Cyrl-CS"/>
        </w:rPr>
        <w:t>Study to quantify and analyse the VAT Gap in the EU-27 Member States Final Report из јула 2012. године,</w:t>
      </w:r>
      <w:r>
        <w:rPr>
          <w:rFonts w:ascii="Times New Roman" w:hAnsi="Times New Roman"/>
          <w:color w:val="000000"/>
          <w:sz w:val="24"/>
          <w:szCs w:val="24"/>
          <w:lang w:val="sr-Cyrl-CS"/>
        </w:rPr>
        <w:t xml:space="preserve"> </w:t>
      </w:r>
      <w:hyperlink r:id="rId34" w:history="1">
        <w:r>
          <w:rPr>
            <w:rStyle w:val="Hyperlink"/>
          </w:rPr>
          <w:t>http://ec.europa.eu/taxation_customs/resources/documents/common/publications/studies/vat-gap.pdf</w:t>
        </w:r>
      </w:hyperlink>
      <w:r>
        <w:rPr>
          <w:lang w:val="sr-Cyrl-CS"/>
        </w:rPr>
        <w:t xml:space="preserve"> (21.11.13.)</w:t>
      </w:r>
    </w:p>
  </w:footnote>
  <w:footnote w:id="343">
    <w:p w:rsidR="00767127" w:rsidRPr="0015395D" w:rsidRDefault="00767127">
      <w:pPr>
        <w:pStyle w:val="FootnoteText"/>
        <w:rPr>
          <w:lang w:val="sr-Cyrl-CS"/>
        </w:rPr>
      </w:pPr>
      <w:r>
        <w:rPr>
          <w:rStyle w:val="FootnoteReference"/>
        </w:rPr>
        <w:footnoteRef/>
      </w:r>
      <w:r>
        <w:t xml:space="preserve"> </w:t>
      </w:r>
      <w:r>
        <w:rPr>
          <w:lang w:val="sr-Cyrl-CS"/>
        </w:rPr>
        <w:t xml:space="preserve">Милева Анђелковић, </w:t>
      </w:r>
      <w:r>
        <w:rPr>
          <w:i/>
          <w:lang w:val="sr-Cyrl-CS"/>
        </w:rPr>
        <w:t>нав. дело,</w:t>
      </w:r>
      <w:r>
        <w:rPr>
          <w:lang w:val="sr-Cyrl-CS"/>
        </w:rPr>
        <w:t xml:space="preserve"> стр. 176.</w:t>
      </w:r>
    </w:p>
  </w:footnote>
  <w:footnote w:id="344">
    <w:p w:rsidR="00767127" w:rsidRPr="007C284A" w:rsidRDefault="00767127">
      <w:pPr>
        <w:pStyle w:val="FootnoteText"/>
        <w:rPr>
          <w:lang w:val="sr-Cyrl-CS"/>
        </w:rPr>
      </w:pPr>
      <w:r>
        <w:rPr>
          <w:rStyle w:val="FootnoteReference"/>
        </w:rPr>
        <w:footnoteRef/>
      </w:r>
      <w:r>
        <w:t xml:space="preserve"> </w:t>
      </w:r>
      <w:r>
        <w:rPr>
          <w:lang w:val="sr-Cyrl-CS"/>
        </w:rPr>
        <w:t xml:space="preserve">Дејан Поповић, </w:t>
      </w:r>
      <w:r>
        <w:rPr>
          <w:i/>
          <w:lang w:val="sr-Cyrl-CS"/>
        </w:rPr>
        <w:t xml:space="preserve">нав. дело, </w:t>
      </w:r>
      <w:r>
        <w:rPr>
          <w:lang w:val="sr-Cyrl-CS"/>
        </w:rPr>
        <w:t xml:space="preserve"> стр. 382.</w:t>
      </w:r>
    </w:p>
  </w:footnote>
  <w:footnote w:id="345">
    <w:p w:rsidR="00767127" w:rsidRPr="00AD258E" w:rsidRDefault="00767127">
      <w:pPr>
        <w:pStyle w:val="FootnoteText"/>
        <w:rPr>
          <w:lang w:val="sr-Cyrl-CS"/>
        </w:rPr>
      </w:pPr>
      <w:r>
        <w:rPr>
          <w:rStyle w:val="FootnoteReference"/>
        </w:rPr>
        <w:footnoteRef/>
      </w:r>
      <w:r>
        <w:t xml:space="preserve">Ben </w:t>
      </w:r>
      <w:r>
        <w:rPr>
          <w:lang w:val="sr-Cyrl-CS"/>
        </w:rPr>
        <w:t xml:space="preserve">Terra </w:t>
      </w:r>
      <w:r>
        <w:t xml:space="preserve">and Julie Kajus, </w:t>
      </w:r>
      <w:r w:rsidRPr="00A84F87">
        <w:rPr>
          <w:b/>
        </w:rPr>
        <w:t>A Guide to the European VAT Directives</w:t>
      </w:r>
      <w:r>
        <w:t>, Vol. 1, IBFD, Amsterdam, 2010, pp.271-280.</w:t>
      </w:r>
      <w:r>
        <w:rPr>
          <w:lang w:val="sr-Cyrl-CS"/>
        </w:rPr>
        <w:t xml:space="preserve"> (извор: http://books.google.rs).</w:t>
      </w:r>
    </w:p>
  </w:footnote>
  <w:footnote w:id="346">
    <w:p w:rsidR="00767127" w:rsidRPr="00EC30C0" w:rsidRDefault="00767127">
      <w:pPr>
        <w:pStyle w:val="FootnoteText"/>
        <w:rPr>
          <w:lang w:val="sr-Cyrl-CS"/>
        </w:rPr>
      </w:pPr>
      <w:r>
        <w:rPr>
          <w:rStyle w:val="FootnoteReference"/>
        </w:rPr>
        <w:footnoteRef/>
      </w:r>
      <w:r>
        <w:t xml:space="preserve"> </w:t>
      </w:r>
      <w:r>
        <w:rPr>
          <w:lang w:val="sr-Cyrl-CS"/>
        </w:rPr>
        <w:t>Чл. 42. Закона о порезу на додату вредност (Службени гласник РС“ бр.  84/04, 86/04, 61/05, 61/07, 93/12 и 108/13).</w:t>
      </w:r>
    </w:p>
  </w:footnote>
  <w:footnote w:id="347">
    <w:p w:rsidR="00767127" w:rsidRPr="00AF4129" w:rsidRDefault="00767127" w:rsidP="00AF4129">
      <w:pPr>
        <w:pStyle w:val="FootnoteText"/>
        <w:rPr>
          <w:lang w:val="sr-Cyrl-CS"/>
        </w:rPr>
      </w:pPr>
      <w:r>
        <w:rPr>
          <w:rStyle w:val="FootnoteReference"/>
        </w:rPr>
        <w:footnoteRef/>
      </w:r>
      <w:r>
        <w:t xml:space="preserve"> </w:t>
      </w:r>
      <w:r>
        <w:rPr>
          <w:lang w:val="sr-Cyrl-CS"/>
        </w:rPr>
        <w:t>Чл. 28. Закона о порезу на додату вредност (Службени гласник РС“ бр.  84/04, 86/04, 61/05, 61/07, 93/12 и 108/13).</w:t>
      </w:r>
    </w:p>
    <w:p w:rsidR="00767127" w:rsidRPr="00AF4129" w:rsidRDefault="00767127">
      <w:pPr>
        <w:pStyle w:val="FootnoteText"/>
        <w:rPr>
          <w:lang w:val="sr-Cyrl-CS"/>
        </w:rPr>
      </w:pPr>
    </w:p>
  </w:footnote>
  <w:footnote w:id="348">
    <w:p w:rsidR="00767127" w:rsidRPr="00A84F87" w:rsidRDefault="00767127">
      <w:pPr>
        <w:pStyle w:val="FootnoteText"/>
        <w:rPr>
          <w:lang w:val="sr-Cyrl-CS"/>
        </w:rPr>
      </w:pPr>
      <w:r>
        <w:rPr>
          <w:rStyle w:val="FootnoteReference"/>
        </w:rPr>
        <w:footnoteRef/>
      </w:r>
      <w:r>
        <w:t xml:space="preserve"> Liam Ebrill, Michael Keen, Jean-Paul Bodin, Victoria Summers, </w:t>
      </w:r>
      <w:r w:rsidRPr="00A84F87">
        <w:rPr>
          <w:b/>
        </w:rPr>
        <w:t>The Modern Vat</w:t>
      </w:r>
      <w:r>
        <w:t>, International Monetary Fund, Washington D.C., 2001</w:t>
      </w:r>
      <w:r>
        <w:rPr>
          <w:lang w:val="sr-Cyrl-CS"/>
        </w:rPr>
        <w:t xml:space="preserve">, </w:t>
      </w:r>
      <w:r>
        <w:t>p.</w:t>
      </w:r>
      <w:r>
        <w:rPr>
          <w:lang w:val="sr-Cyrl-CS"/>
        </w:rPr>
        <w:t xml:space="preserve"> 2.</w:t>
      </w:r>
    </w:p>
  </w:footnote>
  <w:footnote w:id="349">
    <w:p w:rsidR="00767127" w:rsidRPr="001912C8" w:rsidRDefault="00767127">
      <w:pPr>
        <w:pStyle w:val="FootnoteText"/>
        <w:rPr>
          <w:lang w:val="sr-Cyrl-CS"/>
        </w:rPr>
      </w:pPr>
      <w:r>
        <w:rPr>
          <w:rStyle w:val="FootnoteReference"/>
        </w:rPr>
        <w:footnoteRef/>
      </w:r>
      <w:r>
        <w:t xml:space="preserve"> </w:t>
      </w:r>
      <w:r>
        <w:rPr>
          <w:lang w:val="sr-Cyrl-CS"/>
        </w:rPr>
        <w:t xml:space="preserve">Милева Анђелковић, </w:t>
      </w:r>
      <w:r>
        <w:rPr>
          <w:i/>
          <w:lang w:val="sr-Cyrl-CS"/>
        </w:rPr>
        <w:t>нав. дело</w:t>
      </w:r>
      <w:r w:rsidRPr="006F115E">
        <w:rPr>
          <w:i/>
          <w:lang w:val="sr-Cyrl-CS"/>
        </w:rPr>
        <w:t>,</w:t>
      </w:r>
      <w:r>
        <w:rPr>
          <w:lang w:val="sr-Cyrl-CS"/>
        </w:rPr>
        <w:t xml:space="preserve"> стр. 180.</w:t>
      </w:r>
    </w:p>
  </w:footnote>
  <w:footnote w:id="350">
    <w:p w:rsidR="00767127" w:rsidRPr="005065D3" w:rsidRDefault="00767127">
      <w:pPr>
        <w:pStyle w:val="FootnoteText"/>
      </w:pPr>
      <w:r>
        <w:rPr>
          <w:rStyle w:val="FootnoteReference"/>
        </w:rPr>
        <w:footnoteRef/>
      </w:r>
      <w:r>
        <w:t xml:space="preserve"> </w:t>
      </w:r>
      <w:r>
        <w:rPr>
          <w:lang w:val="sr-Cyrl-CS"/>
        </w:rPr>
        <w:t>Чл. 178 и 220 Директиве 2006/112/EC.</w:t>
      </w:r>
    </w:p>
  </w:footnote>
  <w:footnote w:id="351">
    <w:p w:rsidR="00767127" w:rsidRPr="00E90EB0" w:rsidRDefault="00767127">
      <w:pPr>
        <w:pStyle w:val="FootnoteText"/>
      </w:pPr>
      <w:r>
        <w:rPr>
          <w:rStyle w:val="FootnoteReference"/>
        </w:rPr>
        <w:footnoteRef/>
      </w:r>
      <w:r>
        <w:t xml:space="preserve"> Liam Ebrill, Michael Keen, Jean-Paul Bodin, Victoria Summers, </w:t>
      </w:r>
      <w:r>
        <w:rPr>
          <w:i/>
          <w:lang w:val="sr-Cyrl-CS"/>
        </w:rPr>
        <w:t>нав. дело</w:t>
      </w:r>
      <w:r>
        <w:rPr>
          <w:lang w:val="sr-Cyrl-CS"/>
        </w:rPr>
        <w:t>, p. 379.</w:t>
      </w:r>
    </w:p>
  </w:footnote>
  <w:footnote w:id="352">
    <w:p w:rsidR="00767127" w:rsidRPr="005B6BCA" w:rsidRDefault="00767127">
      <w:pPr>
        <w:pStyle w:val="FootnoteText"/>
        <w:rPr>
          <w:lang w:val="sr-Cyrl-CS"/>
        </w:rPr>
      </w:pPr>
      <w:r>
        <w:rPr>
          <w:rStyle w:val="FootnoteReference"/>
        </w:rPr>
        <w:footnoteRef/>
      </w:r>
      <w:r>
        <w:t xml:space="preserve"> </w:t>
      </w:r>
      <w:r>
        <w:rPr>
          <w:lang w:val="sr-Cyrl-CS"/>
        </w:rPr>
        <w:t xml:space="preserve">Дејан Поповић и Стеван Алексић, </w:t>
      </w:r>
      <w:r w:rsidRPr="00A84F87">
        <w:rPr>
          <w:b/>
          <w:lang w:val="sr-Cyrl-CS"/>
        </w:rPr>
        <w:t>Примена закона о порезу на додату вредност</w:t>
      </w:r>
      <w:r>
        <w:rPr>
          <w:lang w:val="sr-Cyrl-CS"/>
        </w:rPr>
        <w:t>, CEKOS IN, Београд, 2006, стр. 5.</w:t>
      </w:r>
    </w:p>
  </w:footnote>
  <w:footnote w:id="353">
    <w:p w:rsidR="00767127" w:rsidRPr="00E90EB0" w:rsidRDefault="00767127">
      <w:pPr>
        <w:pStyle w:val="FootnoteText"/>
        <w:rPr>
          <w:lang w:val="sr-Cyrl-CS"/>
        </w:rPr>
      </w:pPr>
      <w:r>
        <w:rPr>
          <w:rStyle w:val="FootnoteReference"/>
        </w:rPr>
        <w:footnoteRef/>
      </w:r>
      <w:r>
        <w:t xml:space="preserve"> Liam Ebrill, Michael Keen, Jean-Paul Bodin, Victoria Summers, </w:t>
      </w:r>
      <w:r>
        <w:rPr>
          <w:i/>
          <w:lang w:val="sr-Cyrl-CS"/>
        </w:rPr>
        <w:t>нав. дело</w:t>
      </w:r>
      <w:r w:rsidRPr="006F115E">
        <w:rPr>
          <w:i/>
        </w:rPr>
        <w:t>,</w:t>
      </w:r>
      <w:r>
        <w:t xml:space="preserve"> p. 176.</w:t>
      </w:r>
    </w:p>
  </w:footnote>
  <w:footnote w:id="354">
    <w:p w:rsidR="00767127" w:rsidRPr="00B333D8" w:rsidRDefault="00767127">
      <w:pPr>
        <w:pStyle w:val="FootnoteText"/>
        <w:rPr>
          <w:lang w:val="sr-Cyrl-CS"/>
        </w:rPr>
      </w:pPr>
      <w:r>
        <w:rPr>
          <w:rStyle w:val="FootnoteReference"/>
        </w:rPr>
        <w:footnoteRef/>
      </w:r>
      <w:r>
        <w:rPr>
          <w:lang w:val="sr-Cyrl-CS"/>
        </w:rPr>
        <w:t xml:space="preserve">Милева Анђелковић, </w:t>
      </w:r>
      <w:r>
        <w:rPr>
          <w:i/>
          <w:lang w:val="sr-Cyrl-CS"/>
        </w:rPr>
        <w:t>нав. дело</w:t>
      </w:r>
      <w:r w:rsidRPr="006F115E">
        <w:rPr>
          <w:i/>
          <w:lang w:val="sr-Cyrl-CS"/>
        </w:rPr>
        <w:t>,</w:t>
      </w:r>
      <w:r>
        <w:rPr>
          <w:lang w:val="sr-Cyrl-CS"/>
        </w:rPr>
        <w:t xml:space="preserve"> стр. 182.</w:t>
      </w:r>
    </w:p>
  </w:footnote>
  <w:footnote w:id="355">
    <w:p w:rsidR="00767127" w:rsidRPr="00CD5809" w:rsidRDefault="00767127">
      <w:pPr>
        <w:pStyle w:val="FootnoteText"/>
        <w:rPr>
          <w:lang w:val="sr-Cyrl-CS"/>
        </w:rPr>
      </w:pPr>
      <w:r>
        <w:rPr>
          <w:rStyle w:val="FootnoteReference"/>
        </w:rPr>
        <w:footnoteRef/>
      </w:r>
      <w:r>
        <w:t xml:space="preserve"> </w:t>
      </w:r>
      <w:r>
        <w:rPr>
          <w:lang w:val="sr-Cyrl-CS"/>
        </w:rPr>
        <w:t>Чл. 49. и 50. Закона о порезу на додату вредност (Службени гласник РС“ бр.  84/04, 86/04, 61/05, 61/07, 93/12 и 108/13).</w:t>
      </w:r>
    </w:p>
  </w:footnote>
  <w:footnote w:id="356">
    <w:p w:rsidR="00767127" w:rsidRPr="00364867" w:rsidRDefault="00767127">
      <w:pPr>
        <w:pStyle w:val="FootnoteText"/>
        <w:rPr>
          <w:lang w:val="sr-Cyrl-CS"/>
        </w:rPr>
      </w:pPr>
      <w:r>
        <w:rPr>
          <w:rStyle w:val="FootnoteReference"/>
        </w:rPr>
        <w:footnoteRef/>
      </w:r>
      <w:r>
        <w:t xml:space="preserve"> </w:t>
      </w:r>
      <w:r>
        <w:rPr>
          <w:lang w:val="sr-Cyrl-CS"/>
        </w:rPr>
        <w:t>Чл. 50. Закона о порезу на додату вредност (Службени гласник РС“ бр.  84/04, 86/04, 61/05 и 61/07).</w:t>
      </w:r>
    </w:p>
  </w:footnote>
  <w:footnote w:id="357">
    <w:p w:rsidR="00767127" w:rsidRPr="00364867" w:rsidRDefault="00767127">
      <w:pPr>
        <w:pStyle w:val="FootnoteText"/>
        <w:rPr>
          <w:lang w:val="sr-Cyrl-CS"/>
        </w:rPr>
      </w:pPr>
      <w:r>
        <w:rPr>
          <w:rStyle w:val="FootnoteReference"/>
        </w:rPr>
        <w:footnoteRef/>
      </w:r>
      <w:r>
        <w:t xml:space="preserve"> </w:t>
      </w:r>
      <w:r>
        <w:rPr>
          <w:lang w:val="sr-Cyrl-CS"/>
        </w:rPr>
        <w:t>Чл. 48. Закона о порезу на додату вредност (Службени гласник РС“ бр.  84/04, 86/04, 61/05, 61/07, 93/12 и 108/13).</w:t>
      </w:r>
    </w:p>
  </w:footnote>
  <w:footnote w:id="358">
    <w:p w:rsidR="00767127" w:rsidRPr="009B6957" w:rsidRDefault="00767127">
      <w:pPr>
        <w:pStyle w:val="FootnoteText"/>
        <w:rPr>
          <w:lang w:val="sr-Cyrl-CS"/>
        </w:rPr>
      </w:pPr>
      <w:r>
        <w:rPr>
          <w:rStyle w:val="FootnoteReference"/>
        </w:rPr>
        <w:footnoteRef/>
      </w:r>
      <w:r>
        <w:t xml:space="preserve"> </w:t>
      </w:r>
      <w:r>
        <w:rPr>
          <w:lang w:val="sr-Cyrl-CS"/>
        </w:rPr>
        <w:t xml:space="preserve">Милева Анђелковић и Марина Димитријевић, </w:t>
      </w:r>
      <w:r w:rsidRPr="00372836">
        <w:rPr>
          <w:i/>
          <w:lang w:val="sr-Cyrl-CS"/>
        </w:rPr>
        <w:t>нав. дело</w:t>
      </w:r>
      <w:r w:rsidRPr="00CC4EE8">
        <w:rPr>
          <w:i/>
          <w:lang w:val="sr-Cyrl-CS"/>
        </w:rPr>
        <w:t xml:space="preserve">, </w:t>
      </w:r>
      <w:r>
        <w:rPr>
          <w:lang w:val="sr-Cyrl-CS"/>
        </w:rPr>
        <w:t>стр. 125.</w:t>
      </w:r>
    </w:p>
  </w:footnote>
  <w:footnote w:id="359">
    <w:p w:rsidR="00767127" w:rsidRPr="00BD4DB0" w:rsidRDefault="00767127">
      <w:pPr>
        <w:pStyle w:val="FootnoteText"/>
        <w:rPr>
          <w:lang w:val="sr-Cyrl-CS"/>
        </w:rPr>
      </w:pPr>
      <w:r>
        <w:rPr>
          <w:rStyle w:val="FootnoteReference"/>
        </w:rPr>
        <w:footnoteRef/>
      </w:r>
      <w:r>
        <w:t xml:space="preserve"> </w:t>
      </w:r>
      <w:r>
        <w:rPr>
          <w:lang w:val="sr-Cyrl-CS"/>
        </w:rPr>
        <w:t xml:space="preserve">Чл. 52. Закона о порезу на додату вредност (Службени гласник РС“ бр.  84/04, 86/04, 61/05, 61/07, 93/12 и 108/13). </w:t>
      </w:r>
    </w:p>
  </w:footnote>
  <w:footnote w:id="360">
    <w:p w:rsidR="00767127" w:rsidRPr="00623D67" w:rsidRDefault="00767127" w:rsidP="00B016A0">
      <w:pPr>
        <w:pStyle w:val="FootnoteText"/>
        <w:rPr>
          <w:lang w:val="sr-Cyrl-CS"/>
        </w:rPr>
      </w:pPr>
      <w:r>
        <w:rPr>
          <w:rStyle w:val="FootnoteReference"/>
        </w:rPr>
        <w:footnoteRef/>
      </w:r>
      <w:r>
        <w:t xml:space="preserve"> </w:t>
      </w:r>
      <w:r>
        <w:rPr>
          <w:lang w:val="sr-Cyrl-CS"/>
        </w:rPr>
        <w:t>Чл. 63 Директиве 2006/112/EC</w:t>
      </w:r>
    </w:p>
  </w:footnote>
  <w:footnote w:id="361">
    <w:p w:rsidR="00767127" w:rsidRPr="00F101C1" w:rsidRDefault="00767127" w:rsidP="00B016A0">
      <w:pPr>
        <w:pStyle w:val="FootnoteText"/>
        <w:rPr>
          <w:lang w:val="sr-Cyrl-CS"/>
        </w:rPr>
      </w:pPr>
      <w:r>
        <w:rPr>
          <w:rStyle w:val="FootnoteReference"/>
        </w:rPr>
        <w:footnoteRef/>
      </w:r>
      <w:r>
        <w:t xml:space="preserve"> </w:t>
      </w:r>
      <w:r>
        <w:rPr>
          <w:lang w:val="sr-Cyrl-CS"/>
        </w:rPr>
        <w:t>Чл. 254-270 Царинског закона („Службени гласник РС“ бр. 18/10 и 111/12).</w:t>
      </w:r>
    </w:p>
  </w:footnote>
  <w:footnote w:id="362">
    <w:p w:rsidR="00767127" w:rsidRPr="009B6957" w:rsidRDefault="00767127" w:rsidP="00B016A0">
      <w:pPr>
        <w:pStyle w:val="FootnoteText"/>
        <w:rPr>
          <w:lang w:val="sr-Cyrl-CS"/>
        </w:rPr>
      </w:pPr>
      <w:r>
        <w:rPr>
          <w:rStyle w:val="FootnoteReference"/>
        </w:rPr>
        <w:footnoteRef/>
      </w:r>
      <w:r>
        <w:t xml:space="preserve"> </w:t>
      </w:r>
      <w:r>
        <w:rPr>
          <w:lang w:val="sr-Cyrl-CS"/>
        </w:rPr>
        <w:t>Чл. 58. Закона о порезу на додату вредност (Службени гласник РС“ бр.  84/04, 86/04, 61/05, 61/07, 93/12 и 108/13).</w:t>
      </w:r>
    </w:p>
  </w:footnote>
  <w:footnote w:id="363">
    <w:p w:rsidR="00767127" w:rsidRPr="009B6957" w:rsidRDefault="00767127" w:rsidP="00B016A0">
      <w:pPr>
        <w:pStyle w:val="FootnoteText"/>
        <w:rPr>
          <w:lang w:val="sr-Cyrl-CS"/>
        </w:rPr>
      </w:pPr>
      <w:r>
        <w:rPr>
          <w:rStyle w:val="FootnoteReference"/>
        </w:rPr>
        <w:footnoteRef/>
      </w:r>
      <w:r>
        <w:t xml:space="preserve"> </w:t>
      </w:r>
      <w:r>
        <w:rPr>
          <w:lang w:val="sr-Cyrl-CS"/>
        </w:rPr>
        <w:t>Чл. 7 Закона о порезу на додату вредност (Службени гласник РС“ бр.  84/04, 86/04, 61/05, 61/07, 93/12 и 108/13).</w:t>
      </w:r>
    </w:p>
  </w:footnote>
  <w:footnote w:id="364">
    <w:p w:rsidR="00767127" w:rsidRPr="009B6957" w:rsidRDefault="00767127" w:rsidP="00B016A0">
      <w:pPr>
        <w:pStyle w:val="FootnoteText"/>
        <w:rPr>
          <w:lang w:val="sr-Cyrl-CS"/>
        </w:rPr>
      </w:pPr>
      <w:r>
        <w:rPr>
          <w:rStyle w:val="FootnoteReference"/>
        </w:rPr>
        <w:footnoteRef/>
      </w:r>
      <w:r>
        <w:t xml:space="preserve"> </w:t>
      </w:r>
      <w:r>
        <w:rPr>
          <w:lang w:val="sr-Cyrl-CS"/>
        </w:rPr>
        <w:t>Чл. 59. Закона о порезу на додату вредност (Службени гласник РС“ бр.  84/04, 86/04, 61/05, 61/07, 93/12 и 108/13).</w:t>
      </w:r>
    </w:p>
  </w:footnote>
  <w:footnote w:id="365">
    <w:p w:rsidR="00767127" w:rsidRPr="00E126AB" w:rsidRDefault="00767127" w:rsidP="00B016A0">
      <w:pPr>
        <w:pStyle w:val="FootnoteText"/>
        <w:rPr>
          <w:lang w:val="sr-Cyrl-CS"/>
        </w:rPr>
      </w:pPr>
      <w:r>
        <w:rPr>
          <w:rStyle w:val="FootnoteReference"/>
        </w:rPr>
        <w:footnoteRef/>
      </w:r>
      <w:r>
        <w:t xml:space="preserve"> </w:t>
      </w:r>
      <w:r>
        <w:rPr>
          <w:lang w:val="sr-Cyrl-CS"/>
        </w:rPr>
        <w:t>Чл. 237-241.  Царинског закона, („Службени глсник РС“ бр. 18/10 и 111/12).</w:t>
      </w:r>
    </w:p>
  </w:footnote>
  <w:footnote w:id="366">
    <w:p w:rsidR="00767127" w:rsidRPr="0048025B" w:rsidRDefault="00767127">
      <w:pPr>
        <w:pStyle w:val="FootnoteText"/>
        <w:rPr>
          <w:lang w:val="sr-Cyrl-CS"/>
        </w:rPr>
      </w:pPr>
      <w:r>
        <w:rPr>
          <w:rStyle w:val="FootnoteReference"/>
        </w:rPr>
        <w:footnoteRef/>
      </w:r>
      <w:r>
        <w:t xml:space="preserve"> </w:t>
      </w:r>
      <w:r>
        <w:rPr>
          <w:lang w:val="sr-Cyrl-CS"/>
        </w:rPr>
        <w:t xml:space="preserve">Порески дужник је шири појам од пореског обвезника, тако да су сви порески обвезници и порески дужници, али порески дужник не мора бити порески обвезник, јер су порески дужнници поред пореског обвезника и порески платац, порески дестинатар, порески јемац и остали порески дужници (који имају законом прописане обавезе из пореског управног односа). </w:t>
      </w:r>
    </w:p>
  </w:footnote>
  <w:footnote w:id="367">
    <w:p w:rsidR="00767127" w:rsidRPr="00334853" w:rsidRDefault="00767127">
      <w:pPr>
        <w:pStyle w:val="FootnoteText"/>
        <w:rPr>
          <w:lang w:val="sr-Cyrl-CS"/>
        </w:rPr>
      </w:pPr>
      <w:r>
        <w:rPr>
          <w:rStyle w:val="FootnoteReference"/>
        </w:rPr>
        <w:footnoteRef/>
      </w:r>
      <w:r>
        <w:t xml:space="preserve"> </w:t>
      </w:r>
      <w:r>
        <w:rPr>
          <w:lang w:val="sr-Cyrl-CS"/>
        </w:rPr>
        <w:t>Чл. 8. Пореза на додату вредност („Службени гласник РС бр. 84/04, 86/04, 61/05,61/07 и 93/12).</w:t>
      </w:r>
    </w:p>
  </w:footnote>
  <w:footnote w:id="368">
    <w:p w:rsidR="00767127" w:rsidRPr="00E769D9" w:rsidRDefault="00767127">
      <w:pPr>
        <w:pStyle w:val="FootnoteText"/>
        <w:rPr>
          <w:lang w:val="sr-Cyrl-CS"/>
        </w:rPr>
      </w:pPr>
      <w:r>
        <w:rPr>
          <w:rStyle w:val="FootnoteReference"/>
        </w:rPr>
        <w:footnoteRef/>
      </w:r>
      <w:r>
        <w:t xml:space="preserve"> </w:t>
      </w:r>
      <w:r>
        <w:rPr>
          <w:lang w:val="sr-Cyrl-CS"/>
        </w:rPr>
        <w:t>Дејан Поповић</w:t>
      </w:r>
      <w:r w:rsidRPr="006F115E">
        <w:rPr>
          <w:i/>
          <w:lang w:val="sr-Cyrl-CS"/>
        </w:rPr>
        <w:t xml:space="preserve">, </w:t>
      </w:r>
      <w:r>
        <w:rPr>
          <w:i/>
          <w:lang w:val="sr-Cyrl-CS"/>
        </w:rPr>
        <w:t>нав. дело</w:t>
      </w:r>
      <w:r w:rsidRPr="006F115E">
        <w:rPr>
          <w:i/>
          <w:lang w:val="sr-Cyrl-CS"/>
        </w:rPr>
        <w:t>,</w:t>
      </w:r>
      <w:r>
        <w:rPr>
          <w:lang w:val="sr-Cyrl-CS"/>
        </w:rPr>
        <w:t xml:space="preserve"> стр. 391. </w:t>
      </w:r>
    </w:p>
  </w:footnote>
  <w:footnote w:id="369">
    <w:p w:rsidR="00767127" w:rsidRPr="00B729CD" w:rsidRDefault="00767127">
      <w:pPr>
        <w:pStyle w:val="FootnoteText"/>
        <w:rPr>
          <w:lang w:val="sr-Cyrl-CS"/>
        </w:rPr>
      </w:pPr>
      <w:r>
        <w:rPr>
          <w:rStyle w:val="FootnoteReference"/>
        </w:rPr>
        <w:footnoteRef/>
      </w:r>
      <w:r>
        <w:t xml:space="preserve"> </w:t>
      </w:r>
      <w:r>
        <w:rPr>
          <w:lang w:val="sr-Cyrl-CS"/>
        </w:rPr>
        <w:t>Чл. 9. Закона о порезу на додату вредност (Службени гласник РС“ бр.  84/04, 86/04, 61/05, 61/07, 93/12 и 108/13).</w:t>
      </w:r>
    </w:p>
  </w:footnote>
  <w:footnote w:id="370">
    <w:p w:rsidR="00767127" w:rsidRPr="00B729CD" w:rsidRDefault="00767127">
      <w:pPr>
        <w:pStyle w:val="FootnoteText"/>
        <w:rPr>
          <w:lang w:val="sr-Cyrl-CS"/>
        </w:rPr>
      </w:pPr>
      <w:r>
        <w:rPr>
          <w:rStyle w:val="FootnoteReference"/>
        </w:rPr>
        <w:footnoteRef/>
      </w:r>
      <w:r>
        <w:t xml:space="preserve"> </w:t>
      </w:r>
      <w:r>
        <w:rPr>
          <w:lang w:val="sr-Cyrl-CS"/>
        </w:rPr>
        <w:t>Чл. 10. Закона о порезу на додату вредност (Службени гласник РС“ бр.  84/04, 86/04, 61/05, 61/07, 93/12 и 108/13).</w:t>
      </w:r>
    </w:p>
  </w:footnote>
  <w:footnote w:id="371">
    <w:p w:rsidR="00767127" w:rsidRPr="00F55EB3" w:rsidRDefault="00767127">
      <w:pPr>
        <w:pStyle w:val="FootnoteText"/>
        <w:rPr>
          <w:lang w:val="sr-Cyrl-CS"/>
        </w:rPr>
      </w:pPr>
      <w:r>
        <w:rPr>
          <w:rStyle w:val="FootnoteReference"/>
        </w:rPr>
        <w:footnoteRef/>
      </w:r>
      <w:r>
        <w:t xml:space="preserve"> </w:t>
      </w:r>
      <w:r>
        <w:rPr>
          <w:lang w:val="sr-Cyrl-CS"/>
        </w:rPr>
        <w:t>Чл. 37. Закона о порезу на додату вредност (Службени гласник РС“ бр.  84/04, 86/04, 61/05, 61/07, 93/12 и 108/13).</w:t>
      </w:r>
    </w:p>
  </w:footnote>
  <w:footnote w:id="372">
    <w:p w:rsidR="00767127" w:rsidRPr="00225C7E" w:rsidRDefault="00767127" w:rsidP="00EE123E">
      <w:pPr>
        <w:pStyle w:val="FootnoteText"/>
        <w:rPr>
          <w:lang w:val="sr-Cyrl-CS"/>
        </w:rPr>
      </w:pPr>
      <w:r>
        <w:rPr>
          <w:rStyle w:val="FootnoteReference"/>
        </w:rPr>
        <w:footnoteRef/>
      </w:r>
      <w:r>
        <w:t xml:space="preserve"> </w:t>
      </w:r>
      <w:r>
        <w:rPr>
          <w:lang w:val="sr-Cyrl-CS"/>
        </w:rPr>
        <w:t>Чл. 3. Закона о порезу на додату вредност (Службени гласник РС“ бр.  84/04, 86/04, 61/05, 61/07, 93/12 и 108/13).</w:t>
      </w:r>
    </w:p>
  </w:footnote>
  <w:footnote w:id="373">
    <w:p w:rsidR="00767127" w:rsidRPr="00EE123E" w:rsidRDefault="00767127">
      <w:pPr>
        <w:pStyle w:val="FootnoteText"/>
        <w:rPr>
          <w:lang w:val="sr-Cyrl-CS"/>
        </w:rPr>
      </w:pPr>
      <w:r>
        <w:rPr>
          <w:rStyle w:val="FootnoteReference"/>
        </w:rPr>
        <w:footnoteRef/>
      </w:r>
      <w:r>
        <w:t xml:space="preserve"> </w:t>
      </w:r>
      <w:r>
        <w:rPr>
          <w:lang w:val="sr-Cyrl-CS"/>
        </w:rPr>
        <w:t>Чл. 24. Закона о порезу на додату вредност (Службени гласник РС“ бр.  84/04, 86/04, 61/05, 61/07, 93/12 и 108/13).</w:t>
      </w:r>
    </w:p>
  </w:footnote>
  <w:footnote w:id="374">
    <w:p w:rsidR="00767127" w:rsidRPr="009704A4" w:rsidRDefault="00767127">
      <w:pPr>
        <w:pStyle w:val="FootnoteText"/>
        <w:rPr>
          <w:lang w:val="sr-Cyrl-CS"/>
        </w:rPr>
      </w:pPr>
      <w:r>
        <w:rPr>
          <w:rStyle w:val="FootnoteReference"/>
        </w:rPr>
        <w:footnoteRef/>
      </w:r>
      <w:r>
        <w:rPr>
          <w:rFonts w:ascii="Arial" w:hAnsi="Arial" w:cs="Arial"/>
          <w:color w:val="000000"/>
          <w:sz w:val="18"/>
          <w:szCs w:val="18"/>
          <w:lang w:val="sr-Cyrl-CS"/>
        </w:rPr>
        <w:t xml:space="preserve"> </w:t>
      </w:r>
      <w:r w:rsidRPr="009704A4">
        <w:rPr>
          <w:rFonts w:cs="Arial"/>
          <w:color w:val="000000"/>
          <w:lang w:val="sr-Cyrl-CS"/>
        </w:rPr>
        <w:t>Правилник о начину и поступку остваривања пореских ослобођења код ПДВ са правом на одбитак претходног пореза, (</w:t>
      </w:r>
      <w:r w:rsidRPr="009704A4">
        <w:t xml:space="preserve"> </w:t>
      </w:r>
      <w:r w:rsidRPr="009704A4">
        <w:rPr>
          <w:lang w:val="sr-Cyrl-CS"/>
        </w:rPr>
        <w:t>„Службени гласник РС“ бр. 120/12).</w:t>
      </w:r>
    </w:p>
  </w:footnote>
  <w:footnote w:id="375">
    <w:p w:rsidR="00767127" w:rsidRPr="009704A4" w:rsidRDefault="00767127">
      <w:pPr>
        <w:pStyle w:val="FootnoteText"/>
        <w:rPr>
          <w:lang w:val="sr-Cyrl-CS"/>
        </w:rPr>
      </w:pPr>
      <w:r>
        <w:rPr>
          <w:rStyle w:val="FootnoteReference"/>
        </w:rPr>
        <w:footnoteRef/>
      </w:r>
      <w:r>
        <w:t xml:space="preserve"> </w:t>
      </w:r>
      <w:r>
        <w:rPr>
          <w:lang w:val="sr-Cyrl-CS"/>
        </w:rPr>
        <w:t>Чл. 4. Закона о порезу на додату вредност (Службени гласник РС“ бр.  84/04, 86/04, 61/05, 61/07, 93/12 и 108/13).</w:t>
      </w:r>
    </w:p>
  </w:footnote>
  <w:footnote w:id="376">
    <w:p w:rsidR="00767127" w:rsidRPr="0010457D" w:rsidRDefault="00767127">
      <w:pPr>
        <w:pStyle w:val="FootnoteText"/>
        <w:rPr>
          <w:lang w:val="sr-Cyrl-CS"/>
        </w:rPr>
      </w:pPr>
      <w:r>
        <w:rPr>
          <w:rStyle w:val="FootnoteReference"/>
        </w:rPr>
        <w:footnoteRef/>
      </w:r>
      <w:r>
        <w:t xml:space="preserve"> </w:t>
      </w:r>
      <w:r>
        <w:rPr>
          <w:lang w:val="sr-Cyrl-CS"/>
        </w:rPr>
        <w:t>Чл. 5. Закона о порезу на додату вредност (Службени гласник РС“ бр.  84/04, 86/04, 61/05, 61/07, 93/12 и 108/13).</w:t>
      </w:r>
    </w:p>
  </w:footnote>
  <w:footnote w:id="377">
    <w:p w:rsidR="00767127" w:rsidRPr="0010457D" w:rsidRDefault="00767127">
      <w:pPr>
        <w:pStyle w:val="FootnoteText"/>
        <w:rPr>
          <w:lang w:val="sr-Cyrl-CS"/>
        </w:rPr>
      </w:pPr>
      <w:r>
        <w:rPr>
          <w:rStyle w:val="FootnoteReference"/>
        </w:rPr>
        <w:footnoteRef/>
      </w:r>
      <w:r>
        <w:t xml:space="preserve"> </w:t>
      </w:r>
      <w:r>
        <w:rPr>
          <w:lang w:val="sr-Cyrl-CS"/>
        </w:rPr>
        <w:t>Чл. 6. Закона о порезу на додату вредност (Службени гласник РС“ бр.  84/04, 86/04, 61/05, 61/07, 93/12 и 108/13).</w:t>
      </w:r>
    </w:p>
  </w:footnote>
  <w:footnote w:id="378">
    <w:p w:rsidR="00767127" w:rsidRPr="0010457D" w:rsidRDefault="00767127">
      <w:pPr>
        <w:pStyle w:val="FootnoteText"/>
        <w:rPr>
          <w:lang w:val="sr-Cyrl-CS"/>
        </w:rPr>
      </w:pPr>
      <w:r>
        <w:rPr>
          <w:rStyle w:val="FootnoteReference"/>
        </w:rPr>
        <w:footnoteRef/>
      </w:r>
      <w:r>
        <w:t xml:space="preserve"> </w:t>
      </w:r>
      <w:r>
        <w:rPr>
          <w:lang w:val="sr-Cyrl-CS"/>
        </w:rPr>
        <w:t>Чл. 17. Закона о порезу на додату вредност (Службени гласник РС“ бр.  84/04, 86/04, 61/05, 61/07, 93/12 и 108/13).</w:t>
      </w:r>
    </w:p>
  </w:footnote>
  <w:footnote w:id="379">
    <w:p w:rsidR="00767127" w:rsidRPr="00384954" w:rsidRDefault="00767127">
      <w:pPr>
        <w:pStyle w:val="FootnoteText"/>
        <w:rPr>
          <w:lang w:val="sr-Cyrl-CS"/>
        </w:rPr>
      </w:pPr>
      <w:r>
        <w:rPr>
          <w:rStyle w:val="FootnoteReference"/>
        </w:rPr>
        <w:footnoteRef/>
      </w:r>
      <w:r>
        <w:t xml:space="preserve"> </w:t>
      </w:r>
      <w:r>
        <w:rPr>
          <w:lang w:val="sr-Cyrl-CS"/>
        </w:rPr>
        <w:t>Чл. 18. Закона о порезу на додату вредност (Службени гласник РС“ бр.  84/04, 86/04, 61/05, 61/07, 93/12 и 108/13).</w:t>
      </w:r>
    </w:p>
  </w:footnote>
  <w:footnote w:id="380">
    <w:p w:rsidR="00767127" w:rsidRPr="00384954" w:rsidRDefault="00767127">
      <w:pPr>
        <w:pStyle w:val="FootnoteText"/>
        <w:rPr>
          <w:lang w:val="sr-Cyrl-CS"/>
        </w:rPr>
      </w:pPr>
      <w:r>
        <w:rPr>
          <w:rStyle w:val="FootnoteReference"/>
        </w:rPr>
        <w:footnoteRef/>
      </w:r>
      <w:r>
        <w:t xml:space="preserve"> </w:t>
      </w:r>
      <w:r>
        <w:rPr>
          <w:lang w:val="sr-Cyrl-CS"/>
        </w:rPr>
        <w:t>Чл. 19. Закона о порезу на додату вредност (Службени гласник РС“ бр.  84/04, 86/04, 61/05, 61/07, 93/12 и 108/13).</w:t>
      </w:r>
    </w:p>
  </w:footnote>
  <w:footnote w:id="381">
    <w:p w:rsidR="00767127" w:rsidRPr="00384954" w:rsidRDefault="00767127">
      <w:pPr>
        <w:pStyle w:val="FootnoteText"/>
        <w:rPr>
          <w:lang w:val="sr-Cyrl-CS"/>
        </w:rPr>
      </w:pPr>
      <w:r>
        <w:rPr>
          <w:rStyle w:val="FootnoteReference"/>
        </w:rPr>
        <w:footnoteRef/>
      </w:r>
      <w:r>
        <w:t xml:space="preserve"> </w:t>
      </w:r>
      <w:r>
        <w:rPr>
          <w:lang w:val="sr-Cyrl-CS"/>
        </w:rPr>
        <w:t>Чл. 20. Закона о порезу на додату вредност (Службени гласник РС“ бр.  84/04, 86/04, 61/05, 61/07, 93/12 и 108/13).</w:t>
      </w:r>
    </w:p>
  </w:footnote>
  <w:footnote w:id="382">
    <w:p w:rsidR="00767127" w:rsidRPr="00F536E7" w:rsidRDefault="00767127">
      <w:pPr>
        <w:pStyle w:val="FootnoteText"/>
        <w:rPr>
          <w:lang w:val="sr-Cyrl-CS"/>
        </w:rPr>
      </w:pPr>
      <w:r>
        <w:rPr>
          <w:rStyle w:val="FootnoteReference"/>
        </w:rPr>
        <w:footnoteRef/>
      </w:r>
      <w:r>
        <w:t xml:space="preserve"> </w:t>
      </w:r>
      <w:r>
        <w:rPr>
          <w:lang w:val="sr-Cyrl-CS"/>
        </w:rPr>
        <w:t>Према најновијим законским изменама  („Службени гласник РС“ бр. 108/13) посебна пореска стопа износи 10%, док је раније износила 8%.</w:t>
      </w:r>
    </w:p>
  </w:footnote>
  <w:footnote w:id="383">
    <w:p w:rsidR="00767127" w:rsidRPr="006E4204" w:rsidRDefault="00767127">
      <w:pPr>
        <w:pStyle w:val="FootnoteText"/>
        <w:rPr>
          <w:i/>
          <w:lang w:val="sr-Cyrl-CS"/>
        </w:rPr>
      </w:pPr>
      <w:r>
        <w:rPr>
          <w:rStyle w:val="FootnoteReference"/>
        </w:rPr>
        <w:footnoteRef/>
      </w:r>
      <w:r>
        <w:t xml:space="preserve"> </w:t>
      </w:r>
      <w:r>
        <w:rPr>
          <w:lang w:val="sr-Cyrl-CS"/>
        </w:rPr>
        <w:t xml:space="preserve">Милева Анђелковић и Марина Димитријевић, </w:t>
      </w:r>
      <w:r>
        <w:rPr>
          <w:i/>
          <w:lang w:val="sr-Cyrl-CS"/>
        </w:rPr>
        <w:t>нав. дело,</w:t>
      </w:r>
      <w:r w:rsidRPr="00CC4EE8">
        <w:rPr>
          <w:lang w:val="sr-Cyrl-CS"/>
        </w:rPr>
        <w:t xml:space="preserve"> стр</w:t>
      </w:r>
      <w:r w:rsidRPr="006E4204">
        <w:rPr>
          <w:i/>
          <w:lang w:val="sr-Cyrl-CS"/>
        </w:rPr>
        <w:t>. 120.</w:t>
      </w:r>
    </w:p>
  </w:footnote>
  <w:footnote w:id="384">
    <w:p w:rsidR="00767127" w:rsidRPr="006E4204" w:rsidRDefault="00767127">
      <w:pPr>
        <w:pStyle w:val="FootnoteText"/>
        <w:rPr>
          <w:i/>
          <w:lang w:val="sr-Cyrl-CS"/>
        </w:rPr>
      </w:pPr>
      <w:r w:rsidRPr="006E4204">
        <w:rPr>
          <w:rStyle w:val="FootnoteReference"/>
          <w:i/>
        </w:rPr>
        <w:footnoteRef/>
      </w:r>
      <w:r w:rsidRPr="006E4204">
        <w:rPr>
          <w:i/>
        </w:rPr>
        <w:t xml:space="preserve"> </w:t>
      </w:r>
      <w:r>
        <w:rPr>
          <w:lang w:val="sr-Cyrl-CS"/>
        </w:rPr>
        <w:t>Ч</w:t>
      </w:r>
      <w:r w:rsidRPr="006E4204">
        <w:rPr>
          <w:lang w:val="sr-Cyrl-CS"/>
        </w:rPr>
        <w:t>л. 97, 98 и 99 Директиве 2006/112/EC.</w:t>
      </w:r>
    </w:p>
  </w:footnote>
  <w:footnote w:id="385">
    <w:p w:rsidR="00767127" w:rsidRPr="0040225C" w:rsidRDefault="00767127">
      <w:pPr>
        <w:pStyle w:val="FootnoteText"/>
        <w:rPr>
          <w:lang w:val="sr-Cyrl-CS"/>
        </w:rPr>
      </w:pPr>
      <w:r>
        <w:rPr>
          <w:rStyle w:val="FootnoteReference"/>
        </w:rPr>
        <w:footnoteRef/>
      </w:r>
      <w:r>
        <w:t xml:space="preserve"> VAT rates Applied in the Member States of the Europe Union, </w:t>
      </w:r>
      <w:hyperlink r:id="rId35" w:history="1">
        <w:r>
          <w:rPr>
            <w:rStyle w:val="Hyperlink"/>
          </w:rPr>
          <w:t>http://ec.europa.eu/taxation_customs/resources/documents/taxation/vat/how_vat_works/rates/vat_rates_en.pdf</w:t>
        </w:r>
      </w:hyperlink>
      <w:r>
        <w:t xml:space="preserve"> (22.11.2013.).</w:t>
      </w:r>
    </w:p>
  </w:footnote>
  <w:footnote w:id="386">
    <w:p w:rsidR="00767127" w:rsidRPr="00BF62FE" w:rsidRDefault="00767127">
      <w:pPr>
        <w:pStyle w:val="FootnoteText"/>
        <w:rPr>
          <w:lang w:val="sr-Cyrl-CS"/>
        </w:rPr>
      </w:pPr>
      <w:r>
        <w:rPr>
          <w:rStyle w:val="FootnoteReference"/>
        </w:rPr>
        <w:footnoteRef/>
      </w:r>
      <w:r>
        <w:t xml:space="preserve"> </w:t>
      </w:r>
      <w:r>
        <w:rPr>
          <w:lang w:val="sr-Cyrl-CS"/>
        </w:rPr>
        <w:t xml:space="preserve">Извор: </w:t>
      </w:r>
      <w:hyperlink r:id="rId36" w:history="1">
        <w:r>
          <w:rPr>
            <w:rStyle w:val="Hyperlink"/>
          </w:rPr>
          <w:t>http://europa.eu/rapid/press-release_STAT-12-77_en.htm</w:t>
        </w:r>
      </w:hyperlink>
      <w:r>
        <w:rPr>
          <w:lang w:val="sr-Cyrl-CS"/>
        </w:rPr>
        <w:t xml:space="preserve"> (19.11.2012.)</w:t>
      </w:r>
    </w:p>
  </w:footnote>
  <w:footnote w:id="387">
    <w:p w:rsidR="00767127" w:rsidRPr="00900E87" w:rsidRDefault="00767127" w:rsidP="00900E87">
      <w:pPr>
        <w:pStyle w:val="FootnoteText"/>
        <w:jc w:val="both"/>
        <w:rPr>
          <w:lang w:val="sr-Cyrl-CS"/>
        </w:rPr>
      </w:pPr>
      <w:r>
        <w:rPr>
          <w:rStyle w:val="FootnoteReference"/>
        </w:rPr>
        <w:footnoteRef/>
      </w:r>
      <w:r>
        <w:t xml:space="preserve"> </w:t>
      </w:r>
      <w:r>
        <w:rPr>
          <w:lang w:val="sr-Cyrl-CS"/>
        </w:rPr>
        <w:t xml:space="preserve">Истраживање </w:t>
      </w:r>
      <w:r>
        <w:t>HM Revenue &amp; Customs, пореск</w:t>
      </w:r>
      <w:r>
        <w:rPr>
          <w:lang w:val="sr-Cyrl-CS"/>
        </w:rPr>
        <w:t>ог</w:t>
      </w:r>
      <w:r>
        <w:t xml:space="preserve"> орган</w:t>
      </w:r>
      <w:r>
        <w:rPr>
          <w:lang w:val="sr-Cyrl-CS"/>
        </w:rPr>
        <w:t>а</w:t>
      </w:r>
      <w:r>
        <w:t xml:space="preserve"> у Великој Британији, </w:t>
      </w:r>
      <w:r>
        <w:rPr>
          <w:lang w:val="sr-Cyrl-CS"/>
        </w:rPr>
        <w:t xml:space="preserve">који је </w:t>
      </w:r>
      <w:r>
        <w:t xml:space="preserve">основан 2005. </w:t>
      </w:r>
      <w:r>
        <w:rPr>
          <w:lang w:val="sr-Cyrl-CS"/>
        </w:rPr>
        <w:t>г</w:t>
      </w:r>
      <w:r>
        <w:t>одине,</w:t>
      </w:r>
      <w:r>
        <w:rPr>
          <w:lang w:val="sr-Cyrl-CS"/>
        </w:rPr>
        <w:t xml:space="preserve"> као одељење Владе које је одговорно за прикупљање пореза и других прихода, када је заменио </w:t>
      </w:r>
      <w:r w:rsidRPr="00900E87">
        <w:rPr>
          <w:color w:val="000000"/>
          <w:lang w:val="sr-Cyrl-CS"/>
        </w:rPr>
        <w:t>Inland Revenue and Customs and Excise. Истраживање је  израђено према вредностима, принципима и протколима који су наведени у Кодексу праксе службене статистике (the</w:t>
      </w:r>
      <w:r w:rsidRPr="00900E87">
        <w:rPr>
          <w:rFonts w:ascii="Times New Roman" w:hAnsi="Times New Roman"/>
          <w:color w:val="000000"/>
          <w:lang w:val="sr-Cyrl-CS"/>
        </w:rPr>
        <w:t> </w:t>
      </w:r>
      <w:r w:rsidRPr="00900E87">
        <w:rPr>
          <w:color w:val="000000"/>
          <w:lang w:val="sr-Cyrl-CS"/>
        </w:rPr>
        <w:t>Code</w:t>
      </w:r>
      <w:r w:rsidRPr="00900E87">
        <w:rPr>
          <w:rFonts w:ascii="Times New Roman" w:hAnsi="Times New Roman"/>
          <w:color w:val="000000"/>
          <w:lang w:val="sr-Cyrl-CS"/>
        </w:rPr>
        <w:t> </w:t>
      </w:r>
      <w:r w:rsidRPr="00900E87">
        <w:rPr>
          <w:color w:val="000000"/>
          <w:lang w:val="sr-Cyrl-CS"/>
        </w:rPr>
        <w:t>of</w:t>
      </w:r>
      <w:r w:rsidRPr="00900E87">
        <w:rPr>
          <w:rFonts w:ascii="Times New Roman" w:hAnsi="Times New Roman"/>
          <w:color w:val="000000"/>
          <w:lang w:val="sr-Cyrl-CS"/>
        </w:rPr>
        <w:t> </w:t>
      </w:r>
      <w:r w:rsidRPr="00900E87">
        <w:rPr>
          <w:color w:val="000000"/>
          <w:lang w:val="sr-Cyrl-CS"/>
        </w:rPr>
        <w:t>Practice</w:t>
      </w:r>
      <w:r w:rsidRPr="00900E87">
        <w:rPr>
          <w:rFonts w:ascii="Times New Roman" w:hAnsi="Times New Roman"/>
          <w:color w:val="000000"/>
          <w:lang w:val="sr-Cyrl-CS"/>
        </w:rPr>
        <w:t> </w:t>
      </w:r>
      <w:r w:rsidRPr="00900E87">
        <w:rPr>
          <w:color w:val="000000"/>
          <w:lang w:val="sr-Cyrl-CS"/>
        </w:rPr>
        <w:t>for</w:t>
      </w:r>
      <w:r w:rsidRPr="00900E87">
        <w:rPr>
          <w:rFonts w:ascii="Times New Roman" w:hAnsi="Times New Roman"/>
          <w:color w:val="000000"/>
          <w:lang w:val="sr-Cyrl-CS"/>
        </w:rPr>
        <w:t> </w:t>
      </w:r>
      <w:r w:rsidRPr="00900E87">
        <w:rPr>
          <w:color w:val="000000"/>
          <w:lang w:val="sr-Cyrl-CS"/>
        </w:rPr>
        <w:t>Official</w:t>
      </w:r>
      <w:r w:rsidRPr="00900E87">
        <w:rPr>
          <w:rFonts w:ascii="Times New Roman" w:hAnsi="Times New Roman"/>
          <w:color w:val="000000"/>
          <w:lang w:val="sr-Cyrl-CS"/>
        </w:rPr>
        <w:t> </w:t>
      </w:r>
      <w:r w:rsidRPr="00900E87">
        <w:rPr>
          <w:color w:val="000000"/>
          <w:lang w:val="sr-Cyrl-CS"/>
        </w:rPr>
        <w:t>Statistics). У самом извештају је наглашено да подаци нису потпуно прецизни и да их треба прихватити са резервом.</w:t>
      </w:r>
    </w:p>
  </w:footnote>
  <w:footnote w:id="388">
    <w:p w:rsidR="00767127" w:rsidRPr="00C63930" w:rsidRDefault="00767127" w:rsidP="00081D7E">
      <w:pPr>
        <w:shd w:val="clear" w:color="auto" w:fill="FFFFFF"/>
        <w:spacing w:after="0" w:line="285" w:lineRule="atLeast"/>
        <w:rPr>
          <w:b/>
          <w:color w:val="000000"/>
          <w:sz w:val="20"/>
          <w:szCs w:val="20"/>
          <w:lang w:val="sr-Cyrl-CS"/>
        </w:rPr>
      </w:pPr>
      <w:r>
        <w:rPr>
          <w:rStyle w:val="FootnoteReference"/>
        </w:rPr>
        <w:footnoteRef/>
      </w:r>
      <w:r w:rsidRPr="00081D7E">
        <w:rPr>
          <w:color w:val="000000"/>
          <w:sz w:val="20"/>
          <w:szCs w:val="20"/>
        </w:rPr>
        <w:t>Pricewaterhouse Coopers</w:t>
      </w:r>
      <w:r>
        <w:rPr>
          <w:color w:val="000000"/>
          <w:sz w:val="20"/>
          <w:szCs w:val="20"/>
          <w:lang w:val="sr-Cyrl-CS"/>
        </w:rPr>
        <w:t xml:space="preserve">, </w:t>
      </w:r>
      <w:r w:rsidRPr="00C63930">
        <w:rPr>
          <w:b/>
          <w:color w:val="000000"/>
          <w:sz w:val="20"/>
          <w:szCs w:val="20"/>
          <w:lang w:val="sr-Cyrl-CS"/>
        </w:rPr>
        <w:t xml:space="preserve">Study on the feasibility of alternative methods for improving and simplifying the </w:t>
      </w:r>
    </w:p>
    <w:p w:rsidR="00767127" w:rsidRPr="007D135D" w:rsidRDefault="00767127" w:rsidP="00081D7E">
      <w:pPr>
        <w:shd w:val="clear" w:color="auto" w:fill="FFFFFF"/>
        <w:spacing w:after="0" w:line="285" w:lineRule="atLeast"/>
        <w:rPr>
          <w:color w:val="000000"/>
          <w:sz w:val="20"/>
          <w:szCs w:val="20"/>
          <w:lang w:val="sr-Cyrl-CS"/>
        </w:rPr>
      </w:pPr>
      <w:r w:rsidRPr="00C63930">
        <w:rPr>
          <w:b/>
          <w:color w:val="000000"/>
          <w:sz w:val="20"/>
          <w:szCs w:val="20"/>
          <w:lang w:val="sr-Cyrl-CS"/>
        </w:rPr>
        <w:t>collection of VAT through the means of modern technologies and/or financial intermediaries</w:t>
      </w:r>
      <w:r>
        <w:rPr>
          <w:color w:val="000000"/>
          <w:sz w:val="20"/>
          <w:szCs w:val="20"/>
          <w:lang w:val="sr-Cyrl-CS"/>
        </w:rPr>
        <w:t xml:space="preserve">, </w:t>
      </w:r>
      <w:r w:rsidRPr="00081D7E">
        <w:rPr>
          <w:color w:val="000000"/>
          <w:sz w:val="20"/>
          <w:szCs w:val="20"/>
          <w:lang w:val="sr-Cyrl-CS"/>
        </w:rPr>
        <w:t xml:space="preserve">Final Report – 20 </w:t>
      </w:r>
      <w:r>
        <w:rPr>
          <w:color w:val="000000"/>
          <w:sz w:val="20"/>
          <w:szCs w:val="20"/>
          <w:lang w:val="sr-Cyrl-CS"/>
        </w:rPr>
        <w:t xml:space="preserve"> </w:t>
      </w:r>
      <w:r w:rsidRPr="00081D7E">
        <w:rPr>
          <w:color w:val="000000"/>
          <w:sz w:val="20"/>
          <w:szCs w:val="20"/>
          <w:lang w:val="sr-Cyrl-CS"/>
        </w:rPr>
        <w:t>September 2010</w:t>
      </w:r>
      <w:r>
        <w:rPr>
          <w:color w:val="000000"/>
          <w:sz w:val="20"/>
          <w:szCs w:val="20"/>
          <w:lang w:val="sr-Cyrl-CS"/>
        </w:rPr>
        <w:t>, стр. 129.</w:t>
      </w:r>
      <w:r w:rsidRPr="00081D7E">
        <w:t xml:space="preserve"> </w:t>
      </w:r>
      <w:r w:rsidRPr="006468F5">
        <w:rPr>
          <w:sz w:val="20"/>
          <w:szCs w:val="20"/>
          <w:lang w:val="sr-Cyrl-CS"/>
        </w:rPr>
        <w:t>Извор:</w:t>
      </w:r>
      <w:r>
        <w:rPr>
          <w:lang w:val="sr-Cyrl-CS"/>
        </w:rPr>
        <w:t xml:space="preserve"> </w:t>
      </w:r>
      <w:hyperlink r:id="rId37" w:history="1">
        <w:r w:rsidRPr="00714799">
          <w:rPr>
            <w:rStyle w:val="Hyperlink"/>
            <w:sz w:val="20"/>
            <w:szCs w:val="20"/>
          </w:rPr>
          <w:t>http://ec.europa.eu</w:t>
        </w:r>
      </w:hyperlink>
      <w:r>
        <w:rPr>
          <w:sz w:val="20"/>
          <w:szCs w:val="20"/>
          <w:lang w:val="sr-Cyrl-CS"/>
        </w:rPr>
        <w:t xml:space="preserve">  (22.11.2013.)</w:t>
      </w:r>
    </w:p>
  </w:footnote>
  <w:footnote w:id="389">
    <w:p w:rsidR="00767127" w:rsidRPr="0080067B" w:rsidRDefault="00767127">
      <w:pPr>
        <w:pStyle w:val="FootnoteText"/>
        <w:rPr>
          <w:lang w:val="sr-Cyrl-CS"/>
        </w:rPr>
      </w:pPr>
      <w:r>
        <w:rPr>
          <w:rStyle w:val="FootnoteReference"/>
        </w:rPr>
        <w:footnoteRef/>
      </w:r>
      <w:r>
        <w:t xml:space="preserve"> </w:t>
      </w:r>
      <w:r>
        <w:rPr>
          <w:lang w:val="sr-Cyrl-CS"/>
        </w:rPr>
        <w:t xml:space="preserve">Извор: Министарство финансија РС, </w:t>
      </w:r>
      <w:hyperlink r:id="rId38" w:history="1">
        <w:r>
          <w:rPr>
            <w:rStyle w:val="Hyperlink"/>
          </w:rPr>
          <w:t>http://mfin.gov.rs/newsitem.php?&amp;id=4631&amp;change_lang=ls</w:t>
        </w:r>
      </w:hyperlink>
      <w:r>
        <w:rPr>
          <w:lang w:val="sr-Cyrl-CS"/>
        </w:rPr>
        <w:t xml:space="preserve"> (22.11.13.)</w:t>
      </w:r>
    </w:p>
  </w:footnote>
  <w:footnote w:id="390">
    <w:p w:rsidR="00767127" w:rsidRPr="00E33AC1" w:rsidRDefault="00767127">
      <w:pPr>
        <w:pStyle w:val="FootnoteText"/>
        <w:rPr>
          <w:lang w:val="sr-Cyrl-CS"/>
        </w:rPr>
      </w:pPr>
      <w:r>
        <w:rPr>
          <w:rStyle w:val="FootnoteReference"/>
        </w:rPr>
        <w:footnoteRef/>
      </w:r>
      <w:r>
        <w:t xml:space="preserve"> </w:t>
      </w:r>
      <w:r w:rsidRPr="00C63930">
        <w:rPr>
          <w:i/>
          <w:lang w:val="sr-Cyrl-CS"/>
        </w:rPr>
        <w:t>Билтен јавних финансија</w:t>
      </w:r>
      <w:r>
        <w:rPr>
          <w:lang w:val="sr-Cyrl-CS"/>
        </w:rPr>
        <w:t>, Министарство финансија РС,  бр. 101, јануар 2013, Београд, стр. 10.</w:t>
      </w:r>
    </w:p>
  </w:footnote>
  <w:footnote w:id="391">
    <w:p w:rsidR="00767127" w:rsidRPr="00E33AC1" w:rsidRDefault="00767127">
      <w:pPr>
        <w:pStyle w:val="FootnoteText"/>
        <w:rPr>
          <w:lang w:val="sr-Cyrl-CS"/>
        </w:rPr>
      </w:pPr>
      <w:r>
        <w:rPr>
          <w:rStyle w:val="FootnoteReference"/>
        </w:rPr>
        <w:footnoteRef/>
      </w:r>
      <w:r>
        <w:t xml:space="preserve"> </w:t>
      </w:r>
      <w:r>
        <w:rPr>
          <w:i/>
          <w:lang w:val="sr-Cyrl-CS"/>
        </w:rPr>
        <w:t>Нав. дело</w:t>
      </w:r>
      <w:r>
        <w:t xml:space="preserve">, </w:t>
      </w:r>
      <w:r>
        <w:rPr>
          <w:lang w:val="sr-Cyrl-CS"/>
        </w:rPr>
        <w:t>стр. 40.</w:t>
      </w:r>
    </w:p>
  </w:footnote>
  <w:footnote w:id="392">
    <w:p w:rsidR="00767127" w:rsidRPr="00684250" w:rsidRDefault="00767127" w:rsidP="00684250">
      <w:pPr>
        <w:pStyle w:val="FootnoteText"/>
        <w:rPr>
          <w:sz w:val="24"/>
          <w:szCs w:val="24"/>
          <w:lang w:val="sr-Cyrl-CS"/>
        </w:rPr>
      </w:pPr>
      <w:r>
        <w:rPr>
          <w:rStyle w:val="FootnoteReference"/>
        </w:rPr>
        <w:footnoteRef/>
      </w:r>
      <w:r>
        <w:t xml:space="preserve"> </w:t>
      </w:r>
      <w:r w:rsidRPr="00684250">
        <w:rPr>
          <w:rFonts w:asciiTheme="minorHAnsi" w:hAnsiTheme="minorHAnsi"/>
          <w:b/>
          <w:lang w:val="sr-Cyrl-CS"/>
        </w:rPr>
        <w:t xml:space="preserve">Модалитети пореске утаје, </w:t>
      </w:r>
      <w:r w:rsidRPr="004C0E90">
        <w:rPr>
          <w:rFonts w:asciiTheme="minorHAnsi" w:hAnsiTheme="minorHAnsi"/>
          <w:i/>
          <w:lang w:val="sr-Cyrl-CS"/>
        </w:rPr>
        <w:t>нав. дело</w:t>
      </w:r>
      <w:r>
        <w:rPr>
          <w:rFonts w:asciiTheme="minorHAnsi" w:hAnsiTheme="minorHAnsi"/>
          <w:lang w:val="sr-Cyrl-CS"/>
        </w:rPr>
        <w:t>, стр. 17-18</w:t>
      </w:r>
      <w:r w:rsidRPr="00684250">
        <w:rPr>
          <w:rFonts w:asciiTheme="minorHAnsi" w:hAnsiTheme="minorHAnsi"/>
          <w:lang w:val="sr-Cyrl-CS"/>
        </w:rPr>
        <w:t>.</w:t>
      </w:r>
    </w:p>
    <w:p w:rsidR="00767127" w:rsidRPr="00684250" w:rsidRDefault="00767127">
      <w:pPr>
        <w:pStyle w:val="FootnoteText"/>
        <w:rPr>
          <w:lang w:val="sr-Cyrl-CS"/>
        </w:rPr>
      </w:pPr>
    </w:p>
  </w:footnote>
  <w:footnote w:id="393">
    <w:p w:rsidR="00767127" w:rsidRPr="007D135D" w:rsidRDefault="00767127" w:rsidP="007D135D">
      <w:pPr>
        <w:pStyle w:val="FootnoteText"/>
        <w:jc w:val="both"/>
        <w:rPr>
          <w:lang w:val="sr-Cyrl-CS"/>
        </w:rPr>
      </w:pPr>
      <w:r>
        <w:rPr>
          <w:rStyle w:val="FootnoteReference"/>
        </w:rPr>
        <w:footnoteRef/>
      </w:r>
      <w:r>
        <w:t xml:space="preserve"> Tait A. Alan, </w:t>
      </w:r>
      <w:r w:rsidRPr="007D135D">
        <w:rPr>
          <w:b/>
        </w:rPr>
        <w:t>The Value-Added Tax: International Practice and Problems</w:t>
      </w:r>
      <w:r>
        <w:t xml:space="preserve">, IMF, Washington, D. C., 1988, pp. 306-315, Michael Keen, Stephen Smith, </w:t>
      </w:r>
      <w:r w:rsidRPr="007D135D">
        <w:rPr>
          <w:b/>
        </w:rPr>
        <w:t>VAT Fraud and Evasion</w:t>
      </w:r>
      <w:r>
        <w:t xml:space="preserve">: </w:t>
      </w:r>
      <w:r w:rsidRPr="007D135D">
        <w:rPr>
          <w:b/>
        </w:rPr>
        <w:t>What Do We Know and What Can be Done?</w:t>
      </w:r>
      <w:r>
        <w:t xml:space="preserve">, International Monetary Fund, WP/07/31, </w:t>
      </w:r>
      <w:r w:rsidRPr="007D135D">
        <w:rPr>
          <w:b/>
        </w:rPr>
        <w:t>The Value Added Tax, Experiences and Issues</w:t>
      </w:r>
      <w:r>
        <w:t xml:space="preserve">, Background paper prepared for the International Tax Dialogue Conference on the VAT; Rome, March 2005., Silvia Fedeli, Fancesco Forte, </w:t>
      </w:r>
      <w:r w:rsidRPr="007D135D">
        <w:rPr>
          <w:b/>
        </w:rPr>
        <w:t>A Game Theoretic Approach to Cross-Border VAT Evasion within EU Member States and its Relationship with Black Economy</w:t>
      </w:r>
      <w:r>
        <w:t xml:space="preserve">, </w:t>
      </w:r>
      <w:r w:rsidRPr="007D135D">
        <w:rPr>
          <w:i/>
        </w:rPr>
        <w:t>Economic Analysis &amp; Policy</w:t>
      </w:r>
      <w:r>
        <w:t>, Vol. 42, No. 2, September 2012, pp. 209-220</w:t>
      </w:r>
      <w:r>
        <w:rPr>
          <w:lang w:val="sr-Cyrl-CS"/>
        </w:rPr>
        <w:t xml:space="preserve">, Миодраг Вуковић, </w:t>
      </w:r>
      <w:r w:rsidRPr="007D135D">
        <w:rPr>
          <w:b/>
          <w:lang w:val="sr-Cyrl-CS"/>
        </w:rPr>
        <w:t>Пореска утаја у полицијској и судској пракси</w:t>
      </w:r>
      <w:r>
        <w:rPr>
          <w:lang w:val="sr-Cyrl-CS"/>
        </w:rPr>
        <w:t>, ЈП „Службени гласник“, Београд, 2009, стр. 118-138.</w:t>
      </w:r>
    </w:p>
  </w:footnote>
  <w:footnote w:id="394">
    <w:p w:rsidR="00767127" w:rsidRPr="00E75F11" w:rsidRDefault="00767127" w:rsidP="00EE22D3">
      <w:pPr>
        <w:pStyle w:val="FootnoteText"/>
        <w:rPr>
          <w:lang w:val="sr-Cyrl-CS"/>
        </w:rPr>
      </w:pPr>
      <w:r>
        <w:rPr>
          <w:rStyle w:val="FootnoteReference"/>
        </w:rPr>
        <w:footnoteRef/>
      </w:r>
      <w:r>
        <w:t xml:space="preserve"> </w:t>
      </w:r>
      <w:r w:rsidRPr="00C63930">
        <w:rPr>
          <w:i/>
          <w:lang w:val="sr-Cyrl-CS"/>
        </w:rPr>
        <w:t>Билтен јавних финансија</w:t>
      </w:r>
      <w:r>
        <w:rPr>
          <w:lang w:val="sr-Cyrl-CS"/>
        </w:rPr>
        <w:t>, Министарство финансија РС,  бр. 101,  јануар 2013, Београд, стр. 42.</w:t>
      </w:r>
    </w:p>
    <w:p w:rsidR="00767127" w:rsidRPr="00EE22D3" w:rsidRDefault="00767127">
      <w:pPr>
        <w:pStyle w:val="FootnoteText"/>
        <w:rPr>
          <w:lang w:val="sr-Cyrl-CS"/>
        </w:rPr>
      </w:pPr>
    </w:p>
  </w:footnote>
  <w:footnote w:id="395">
    <w:p w:rsidR="00767127" w:rsidRPr="00E13395" w:rsidRDefault="00767127">
      <w:pPr>
        <w:pStyle w:val="FootnoteText"/>
        <w:rPr>
          <w:lang w:val="sr-Cyrl-CS"/>
        </w:rPr>
      </w:pPr>
      <w:r>
        <w:rPr>
          <w:rStyle w:val="FootnoteReference"/>
        </w:rPr>
        <w:footnoteRef/>
      </w:r>
      <w:r>
        <w:t xml:space="preserve"> </w:t>
      </w:r>
      <w:r>
        <w:rPr>
          <w:lang w:val="sr-Cyrl-CS"/>
        </w:rPr>
        <w:t>Чл.27-32б. Закона о порезу на додату вредност (Службени гласник РС“ бр.  84/04, 86/04, 61/05, 61/07, 93/12 и 108/13).</w:t>
      </w:r>
    </w:p>
  </w:footnote>
  <w:footnote w:id="396">
    <w:p w:rsidR="00767127" w:rsidRPr="006E71AE" w:rsidRDefault="00767127" w:rsidP="00F40F95">
      <w:pPr>
        <w:pStyle w:val="FootnoteText"/>
        <w:rPr>
          <w:lang w:val="sr-Cyrl-CS"/>
        </w:rPr>
      </w:pPr>
      <w:r>
        <w:rPr>
          <w:rStyle w:val="FootnoteReference"/>
        </w:rPr>
        <w:footnoteRef/>
      </w:r>
      <w:r>
        <w:t xml:space="preserve"> </w:t>
      </w:r>
      <w:r>
        <w:rPr>
          <w:lang w:val="sr-Cyrl-CS"/>
        </w:rPr>
        <w:t>Милева Анђелковић и Марина Димитријевић, нав. дело</w:t>
      </w:r>
      <w:r>
        <w:rPr>
          <w:i/>
          <w:lang w:val="sr-Cyrl-CS"/>
        </w:rPr>
        <w:t xml:space="preserve">, </w:t>
      </w:r>
      <w:r>
        <w:rPr>
          <w:lang w:val="sr-Cyrl-CS"/>
        </w:rPr>
        <w:t xml:space="preserve"> стр. 121.</w:t>
      </w:r>
    </w:p>
  </w:footnote>
  <w:footnote w:id="397">
    <w:p w:rsidR="00767127" w:rsidRPr="005F7509" w:rsidRDefault="00767127" w:rsidP="008E7454">
      <w:pPr>
        <w:shd w:val="clear" w:color="auto" w:fill="FFFFFF"/>
        <w:spacing w:after="0" w:line="285" w:lineRule="atLeast"/>
        <w:jc w:val="both"/>
        <w:rPr>
          <w:lang w:val="sr-Cyrl-CS"/>
        </w:rPr>
      </w:pPr>
      <w:r>
        <w:rPr>
          <w:rStyle w:val="FootnoteReference"/>
        </w:rPr>
        <w:footnoteRef/>
      </w:r>
      <w:hyperlink r:id="rId39" w:history="1">
        <w:r w:rsidRPr="00C46B15">
          <w:rPr>
            <w:rStyle w:val="Hyperlink"/>
            <w:sz w:val="20"/>
            <w:szCs w:val="20"/>
          </w:rPr>
          <w:t>http://www.b92.net/biz/vesti/srbija.php?yyyy=2013&amp;mm=05&amp;dd=04&amp;nav_id=710799</w:t>
        </w:r>
      </w:hyperlink>
      <w:r w:rsidRPr="00C46B15">
        <w:rPr>
          <w:sz w:val="20"/>
          <w:szCs w:val="20"/>
          <w:lang w:val="sr-Cyrl-CS"/>
        </w:rPr>
        <w:t xml:space="preserve"> </w:t>
      </w:r>
      <w:r>
        <w:rPr>
          <w:lang w:val="sr-Cyrl-CS"/>
        </w:rPr>
        <w:t>(04.08.2011.)</w:t>
      </w:r>
    </w:p>
  </w:footnote>
  <w:footnote w:id="398">
    <w:p w:rsidR="00767127" w:rsidRPr="008E7454" w:rsidRDefault="00767127" w:rsidP="008E7454">
      <w:pPr>
        <w:pStyle w:val="FootnoteText"/>
        <w:rPr>
          <w:lang w:val="sr-Cyrl-CS"/>
        </w:rPr>
      </w:pPr>
      <w:r>
        <w:rPr>
          <w:rStyle w:val="FootnoteReference"/>
        </w:rPr>
        <w:footnoteRef/>
      </w:r>
      <w:r>
        <w:t xml:space="preserve"> </w:t>
      </w:r>
      <w:r>
        <w:rPr>
          <w:lang w:val="sr-Cyrl-CS"/>
        </w:rPr>
        <w:t>Чл. 145. Закона о привредним друштвима („Службени гласник РС“ бр. 36/11 и 99/11).</w:t>
      </w:r>
    </w:p>
  </w:footnote>
  <w:footnote w:id="399">
    <w:p w:rsidR="00767127" w:rsidRPr="00392BF2" w:rsidRDefault="00767127">
      <w:pPr>
        <w:pStyle w:val="FootnoteText"/>
        <w:rPr>
          <w:lang w:val="sr-Cyrl-CS"/>
        </w:rPr>
      </w:pPr>
      <w:r>
        <w:rPr>
          <w:rStyle w:val="FootnoteReference"/>
        </w:rPr>
        <w:footnoteRef/>
      </w:r>
      <w:r>
        <w:t xml:space="preserve"> </w:t>
      </w:r>
      <w:r>
        <w:rPr>
          <w:lang w:val="sr-Cyrl-CS"/>
        </w:rPr>
        <w:t>Чл. 32. Закона о порезу на додату вредност (Службени гласник РС“ бр.  84/04, 86/04, 61/05, 61/07, 93/12 и 108/13).</w:t>
      </w:r>
    </w:p>
  </w:footnote>
  <w:footnote w:id="400">
    <w:p w:rsidR="00767127" w:rsidRPr="00392BF2" w:rsidRDefault="00767127">
      <w:pPr>
        <w:pStyle w:val="FootnoteText"/>
        <w:rPr>
          <w:lang w:val="sr-Cyrl-CS"/>
        </w:rPr>
      </w:pPr>
      <w:r>
        <w:rPr>
          <w:rStyle w:val="FootnoteReference"/>
        </w:rPr>
        <w:footnoteRef/>
      </w:r>
      <w:r>
        <w:t xml:space="preserve"> </w:t>
      </w:r>
      <w:r>
        <w:rPr>
          <w:lang w:val="sr-Cyrl-CS"/>
        </w:rPr>
        <w:t>Чл. 30. Закона о порезу на додату вредност (Службени гласник РС“ бр.  84/04, 86/04, 61/05, 61/07, 93/12 и 108/13).</w:t>
      </w:r>
    </w:p>
  </w:footnote>
  <w:footnote w:id="401">
    <w:p w:rsidR="00767127" w:rsidRPr="00167C13" w:rsidRDefault="00767127" w:rsidP="003314D2">
      <w:pPr>
        <w:pStyle w:val="FootnoteText"/>
        <w:rPr>
          <w:lang w:val="sr-Cyrl-CS"/>
        </w:rPr>
      </w:pPr>
      <w:r>
        <w:rPr>
          <w:rStyle w:val="FootnoteReference"/>
        </w:rPr>
        <w:footnoteRef/>
      </w:r>
      <w:r>
        <w:t xml:space="preserve"> </w:t>
      </w:r>
      <w:r>
        <w:rPr>
          <w:lang w:val="sr-Cyrl-CS"/>
        </w:rPr>
        <w:t>Чл. 26. тач. 2. Закона о порезу на додату вредност (Службени гласник РС“ бр.  84/04, 86/04, 61/05, 61/07, 93/12 и 108/13).</w:t>
      </w:r>
    </w:p>
  </w:footnote>
  <w:footnote w:id="402">
    <w:p w:rsidR="00767127" w:rsidRPr="00CC4EE8" w:rsidRDefault="00767127">
      <w:pPr>
        <w:pStyle w:val="FootnoteText"/>
      </w:pPr>
      <w:r>
        <w:rPr>
          <w:rStyle w:val="FootnoteReference"/>
        </w:rPr>
        <w:footnoteRef/>
      </w:r>
      <w:r>
        <w:t xml:space="preserve"> </w:t>
      </w:r>
      <w:r w:rsidRPr="00684250">
        <w:rPr>
          <w:rFonts w:asciiTheme="minorHAnsi" w:hAnsiTheme="minorHAnsi"/>
          <w:b/>
          <w:lang w:val="sr-Cyrl-CS"/>
        </w:rPr>
        <w:t>Модалитети пореске утаје</w:t>
      </w:r>
      <w:r w:rsidRPr="003314D2">
        <w:rPr>
          <w:rFonts w:asciiTheme="minorHAnsi" w:hAnsiTheme="minorHAnsi"/>
          <w:lang w:val="sr-Cyrl-CS"/>
        </w:rPr>
        <w:t xml:space="preserve">, </w:t>
      </w:r>
      <w:r w:rsidRPr="00D571EE">
        <w:rPr>
          <w:rFonts w:asciiTheme="minorHAnsi" w:hAnsiTheme="minorHAnsi"/>
          <w:i/>
          <w:lang w:val="sr-Cyrl-CS"/>
        </w:rPr>
        <w:t>нав. дело</w:t>
      </w:r>
      <w:r>
        <w:rPr>
          <w:rFonts w:asciiTheme="minorHAnsi" w:hAnsiTheme="minorHAnsi"/>
          <w:lang w:val="sr-Cyrl-CS"/>
        </w:rPr>
        <w:t xml:space="preserve">, </w:t>
      </w:r>
      <w:r w:rsidRPr="003314D2">
        <w:rPr>
          <w:rFonts w:asciiTheme="minorHAnsi" w:hAnsiTheme="minorHAnsi"/>
          <w:lang w:val="sr-Cyrl-CS"/>
        </w:rPr>
        <w:t>стр. 22.</w:t>
      </w:r>
    </w:p>
  </w:footnote>
  <w:footnote w:id="403">
    <w:p w:rsidR="00767127" w:rsidRPr="00241CCA" w:rsidRDefault="00767127">
      <w:pPr>
        <w:pStyle w:val="FootnoteText"/>
        <w:rPr>
          <w:lang w:val="sr-Cyrl-CS"/>
        </w:rPr>
      </w:pPr>
      <w:r>
        <w:rPr>
          <w:rStyle w:val="FootnoteReference"/>
        </w:rPr>
        <w:footnoteRef/>
      </w:r>
      <w:r>
        <w:t xml:space="preserve"> </w:t>
      </w:r>
      <w:r>
        <w:rPr>
          <w:lang w:val="sr-Cyrl-CS"/>
        </w:rPr>
        <w:t>Чл.24-26</w:t>
      </w:r>
    </w:p>
  </w:footnote>
  <w:footnote w:id="404">
    <w:p w:rsidR="00767127" w:rsidRPr="00052B04" w:rsidRDefault="00767127">
      <w:pPr>
        <w:pStyle w:val="FootnoteText"/>
        <w:rPr>
          <w:lang w:val="sr-Cyrl-CS"/>
        </w:rPr>
      </w:pPr>
      <w:r>
        <w:rPr>
          <w:rStyle w:val="FootnoteReference"/>
        </w:rPr>
        <w:footnoteRef/>
      </w:r>
      <w:r>
        <w:t xml:space="preserve"> </w:t>
      </w:r>
      <w:r>
        <w:rPr>
          <w:lang w:val="sr-Cyrl-CS"/>
        </w:rPr>
        <w:t>Чл. 33-36а</w:t>
      </w:r>
    </w:p>
  </w:footnote>
  <w:footnote w:id="405">
    <w:p w:rsidR="00767127" w:rsidRPr="00392BF2" w:rsidRDefault="00767127">
      <w:pPr>
        <w:pStyle w:val="FootnoteText"/>
        <w:rPr>
          <w:lang w:val="sr-Cyrl-CS"/>
        </w:rPr>
      </w:pPr>
      <w:r>
        <w:rPr>
          <w:rStyle w:val="FootnoteReference"/>
        </w:rPr>
        <w:footnoteRef/>
      </w:r>
      <w:r>
        <w:t xml:space="preserve"> </w:t>
      </w:r>
      <w:r>
        <w:rPr>
          <w:lang w:val="sr-Cyrl-CS"/>
        </w:rPr>
        <w:t xml:space="preserve">Чл. 36. Закона о порезу на додату вредност (Службени гласник РС“ бр.  84/04, 86/04, 61/05, 61/07, 93/12 и 108/13). </w:t>
      </w:r>
    </w:p>
  </w:footnote>
  <w:footnote w:id="406">
    <w:p w:rsidR="00767127" w:rsidRPr="00034756" w:rsidRDefault="00767127">
      <w:pPr>
        <w:pStyle w:val="FootnoteText"/>
        <w:rPr>
          <w:lang w:val="sr-Cyrl-CS"/>
        </w:rPr>
      </w:pPr>
      <w:r>
        <w:rPr>
          <w:rStyle w:val="FootnoteReference"/>
        </w:rPr>
        <w:footnoteRef/>
      </w:r>
      <w:r>
        <w:t xml:space="preserve"> </w:t>
      </w:r>
      <w:r>
        <w:rPr>
          <w:lang w:val="sr-Cyrl-CS"/>
        </w:rPr>
        <w:t>Чл. 24. Закона о порезу на додату вредност (Службени гласник РС“ бр.  84/04, 86/04, 61/05, 61/07, 93/12 и 108/13).</w:t>
      </w:r>
    </w:p>
  </w:footnote>
  <w:footnote w:id="407">
    <w:p w:rsidR="00767127" w:rsidRPr="0065119F" w:rsidRDefault="00767127">
      <w:pPr>
        <w:pStyle w:val="FootnoteText"/>
        <w:rPr>
          <w:lang w:val="sr-Cyrl-CS"/>
        </w:rPr>
      </w:pPr>
      <w:r>
        <w:rPr>
          <w:rStyle w:val="FootnoteReference"/>
        </w:rPr>
        <w:footnoteRef/>
      </w:r>
      <w:r>
        <w:t xml:space="preserve"> </w:t>
      </w:r>
      <w:r>
        <w:rPr>
          <w:lang w:val="sr-Cyrl-CS"/>
        </w:rPr>
        <w:t xml:space="preserve">Миодраг Вуковић, </w:t>
      </w:r>
      <w:r>
        <w:rPr>
          <w:i/>
          <w:lang w:val="sr-Cyrl-CS"/>
        </w:rPr>
        <w:t xml:space="preserve">нав. дело, </w:t>
      </w:r>
      <w:r>
        <w:rPr>
          <w:lang w:val="sr-Cyrl-CS"/>
        </w:rPr>
        <w:t xml:space="preserve"> стр. 135-136.</w:t>
      </w:r>
    </w:p>
  </w:footnote>
  <w:footnote w:id="408">
    <w:p w:rsidR="00767127" w:rsidRPr="00CC4EE8" w:rsidRDefault="00767127">
      <w:pPr>
        <w:pStyle w:val="FootnoteText"/>
        <w:rPr>
          <w:lang w:val="sr-Cyrl-CS"/>
        </w:rPr>
      </w:pPr>
      <w:r>
        <w:rPr>
          <w:rStyle w:val="FootnoteReference"/>
        </w:rPr>
        <w:footnoteRef/>
      </w:r>
      <w:r>
        <w:t xml:space="preserve"> </w:t>
      </w:r>
      <w:r>
        <w:rPr>
          <w:i/>
          <w:lang w:val="sr-Cyrl-CS"/>
        </w:rPr>
        <w:t>Нав. дело</w:t>
      </w:r>
      <w:r w:rsidRPr="002C4B08">
        <w:rPr>
          <w:i/>
        </w:rPr>
        <w:t>,</w:t>
      </w:r>
      <w:r>
        <w:t xml:space="preserve"> </w:t>
      </w:r>
      <w:r>
        <w:rPr>
          <w:lang w:val="sr-Cyrl-CS"/>
        </w:rPr>
        <w:t>стр. 134.</w:t>
      </w:r>
    </w:p>
  </w:footnote>
  <w:footnote w:id="409">
    <w:p w:rsidR="00767127" w:rsidRPr="00161597" w:rsidRDefault="00767127" w:rsidP="00034227">
      <w:pPr>
        <w:jc w:val="both"/>
        <w:rPr>
          <w:rFonts w:ascii="Times New Roman" w:hAnsi="Times New Roman"/>
          <w:sz w:val="24"/>
          <w:szCs w:val="24"/>
          <w:shd w:val="clear" w:color="auto" w:fill="FFFFFF"/>
          <w:lang w:val="sr-Cyrl-CS"/>
        </w:rPr>
      </w:pPr>
      <w:r w:rsidRPr="00CC4EE8">
        <w:rPr>
          <w:rStyle w:val="FootnoteReference"/>
          <w:sz w:val="20"/>
          <w:szCs w:val="20"/>
        </w:rPr>
        <w:footnoteRef/>
      </w:r>
      <w:r w:rsidRPr="00CC4EE8">
        <w:rPr>
          <w:sz w:val="20"/>
          <w:szCs w:val="20"/>
        </w:rPr>
        <w:t xml:space="preserve"> </w:t>
      </w:r>
      <w:hyperlink r:id="rId40" w:history="1">
        <w:r w:rsidRPr="00CC4EE8">
          <w:rPr>
            <w:rStyle w:val="Hyperlink"/>
            <w:sz w:val="20"/>
            <w:szCs w:val="20"/>
          </w:rPr>
          <w:t>http://www.politika.rs/rubrike/Ekonomija/Fantomske-firme-za-velike-mucke.lt.html</w:t>
        </w:r>
      </w:hyperlink>
      <w:r>
        <w:rPr>
          <w:lang w:val="sr-Cyrl-CS"/>
        </w:rPr>
        <w:t>(24.11.2013.)</w:t>
      </w:r>
    </w:p>
    <w:p w:rsidR="00767127" w:rsidRPr="00034227" w:rsidRDefault="00767127">
      <w:pPr>
        <w:pStyle w:val="FootnoteText"/>
        <w:rPr>
          <w:lang w:val="sr-Cyrl-CS"/>
        </w:rPr>
      </w:pPr>
    </w:p>
  </w:footnote>
  <w:footnote w:id="410">
    <w:p w:rsidR="00767127" w:rsidRPr="006F3964" w:rsidRDefault="00767127">
      <w:pPr>
        <w:pStyle w:val="FootnoteText"/>
        <w:rPr>
          <w:lang w:val="sr-Cyrl-CS"/>
        </w:rPr>
      </w:pPr>
      <w:r>
        <w:rPr>
          <w:rStyle w:val="FootnoteReference"/>
        </w:rPr>
        <w:footnoteRef/>
      </w:r>
      <w:r>
        <w:t xml:space="preserve"> </w:t>
      </w:r>
      <w:r>
        <w:rPr>
          <w:lang w:val="sr-Cyrl-CS"/>
        </w:rPr>
        <w:t xml:space="preserve">Вид.: Миодраг Вуковић, </w:t>
      </w:r>
      <w:r>
        <w:rPr>
          <w:i/>
          <w:lang w:val="sr-Cyrl-CS"/>
        </w:rPr>
        <w:t xml:space="preserve">нав. дело, </w:t>
      </w:r>
      <w:r>
        <w:rPr>
          <w:lang w:val="sr-Cyrl-CS"/>
        </w:rPr>
        <w:t xml:space="preserve"> стр. 127-128.</w:t>
      </w:r>
    </w:p>
  </w:footnote>
  <w:footnote w:id="411">
    <w:p w:rsidR="00767127" w:rsidRPr="0075137C" w:rsidRDefault="00767127">
      <w:pPr>
        <w:pStyle w:val="FootnoteText"/>
        <w:rPr>
          <w:rFonts w:asciiTheme="minorHAnsi" w:hAnsiTheme="minorHAnsi"/>
          <w:lang w:val="sr-Cyrl-CS"/>
        </w:rPr>
      </w:pPr>
      <w:r>
        <w:rPr>
          <w:rStyle w:val="FootnoteReference"/>
        </w:rPr>
        <w:footnoteRef/>
      </w:r>
      <w:r>
        <w:t xml:space="preserve"> </w:t>
      </w:r>
      <w:r w:rsidRPr="00EB2028">
        <w:rPr>
          <w:rFonts w:asciiTheme="minorHAnsi" w:hAnsiTheme="minorHAnsi"/>
          <w:b/>
          <w:lang w:val="sr-Cyrl-CS"/>
        </w:rPr>
        <w:t>Модалитети пореске утаје</w:t>
      </w:r>
      <w:r w:rsidRPr="0075137C">
        <w:rPr>
          <w:rFonts w:asciiTheme="minorHAnsi" w:hAnsiTheme="minorHAnsi"/>
          <w:lang w:val="sr-Cyrl-CS"/>
        </w:rPr>
        <w:t xml:space="preserve">, </w:t>
      </w:r>
      <w:r w:rsidRPr="00807CEC">
        <w:rPr>
          <w:rFonts w:asciiTheme="minorHAnsi" w:hAnsiTheme="minorHAnsi"/>
          <w:i/>
          <w:lang w:val="sr-Cyrl-CS"/>
        </w:rPr>
        <w:t>нав. дело</w:t>
      </w:r>
      <w:r>
        <w:rPr>
          <w:rFonts w:asciiTheme="minorHAnsi" w:hAnsiTheme="minorHAnsi"/>
          <w:lang w:val="sr-Cyrl-CS"/>
        </w:rPr>
        <w:t>, стр. 24</w:t>
      </w:r>
      <w:r w:rsidRPr="0075137C">
        <w:rPr>
          <w:rFonts w:asciiTheme="minorHAnsi" w:hAnsiTheme="minorHAnsi"/>
          <w:lang w:val="sr-Cyrl-CS"/>
        </w:rPr>
        <w:t>.</w:t>
      </w:r>
    </w:p>
  </w:footnote>
  <w:footnote w:id="412">
    <w:p w:rsidR="00767127" w:rsidRPr="00034756" w:rsidRDefault="00767127" w:rsidP="006A1CFD">
      <w:pPr>
        <w:pStyle w:val="FootnoteText"/>
        <w:rPr>
          <w:lang w:val="sr-Cyrl-CS"/>
        </w:rPr>
      </w:pPr>
      <w:r>
        <w:rPr>
          <w:rStyle w:val="FootnoteReference"/>
        </w:rPr>
        <w:footnoteRef/>
      </w:r>
      <w:r>
        <w:t xml:space="preserve"> </w:t>
      </w:r>
      <w:r>
        <w:rPr>
          <w:lang w:val="sr-Cyrl-CS"/>
        </w:rPr>
        <w:t>Чл. 28. Закона о порезу на додату вредност (Службени гласник РС“ бр.  84/04, 86/04, 61/05, 61/07, 93/12 и 108/13).</w:t>
      </w:r>
    </w:p>
    <w:p w:rsidR="00767127" w:rsidRPr="006E5E89" w:rsidRDefault="00767127" w:rsidP="006A1CFD">
      <w:pPr>
        <w:pStyle w:val="FootnoteText"/>
        <w:rPr>
          <w:lang w:val="sr-Cyrl-CS"/>
        </w:rPr>
      </w:pPr>
    </w:p>
  </w:footnote>
  <w:footnote w:id="413">
    <w:p w:rsidR="00767127" w:rsidRPr="0075137C" w:rsidRDefault="00767127" w:rsidP="0082705E">
      <w:pPr>
        <w:pStyle w:val="FootnoteText"/>
        <w:rPr>
          <w:rFonts w:asciiTheme="minorHAnsi" w:hAnsiTheme="minorHAnsi"/>
          <w:lang w:val="sr-Cyrl-CS"/>
        </w:rPr>
      </w:pPr>
      <w:r>
        <w:rPr>
          <w:rStyle w:val="FootnoteReference"/>
        </w:rPr>
        <w:footnoteRef/>
      </w:r>
      <w:r>
        <w:t xml:space="preserve"> </w:t>
      </w:r>
      <w:r w:rsidRPr="00EB2028">
        <w:rPr>
          <w:rFonts w:asciiTheme="minorHAnsi" w:hAnsiTheme="minorHAnsi"/>
          <w:b/>
          <w:lang w:val="sr-Cyrl-CS"/>
        </w:rPr>
        <w:t>Модалитети пореске утаје</w:t>
      </w:r>
      <w:r w:rsidRPr="0075137C">
        <w:rPr>
          <w:rFonts w:asciiTheme="minorHAnsi" w:hAnsiTheme="minorHAnsi"/>
          <w:lang w:val="sr-Cyrl-CS"/>
        </w:rPr>
        <w:t xml:space="preserve">, </w:t>
      </w:r>
      <w:r w:rsidRPr="00807CEC">
        <w:rPr>
          <w:rFonts w:asciiTheme="minorHAnsi" w:hAnsiTheme="minorHAnsi"/>
          <w:i/>
          <w:lang w:val="sr-Cyrl-CS"/>
        </w:rPr>
        <w:t>нав. дело</w:t>
      </w:r>
      <w:r>
        <w:rPr>
          <w:rFonts w:asciiTheme="minorHAnsi" w:hAnsiTheme="minorHAnsi"/>
          <w:lang w:val="sr-Cyrl-CS"/>
        </w:rPr>
        <w:t>, стр. 25-26</w:t>
      </w:r>
      <w:r w:rsidRPr="0075137C">
        <w:rPr>
          <w:rFonts w:asciiTheme="minorHAnsi" w:hAnsiTheme="minorHAnsi"/>
          <w:lang w:val="sr-Cyrl-CS"/>
        </w:rPr>
        <w:t>.</w:t>
      </w:r>
    </w:p>
    <w:p w:rsidR="00767127" w:rsidRPr="0082705E" w:rsidRDefault="00767127">
      <w:pPr>
        <w:pStyle w:val="FootnoteText"/>
        <w:rPr>
          <w:lang w:val="sr-Cyrl-CS"/>
        </w:rPr>
      </w:pPr>
    </w:p>
  </w:footnote>
  <w:footnote w:id="414">
    <w:p w:rsidR="00767127" w:rsidRPr="00ED7AD6" w:rsidRDefault="00767127">
      <w:pPr>
        <w:pStyle w:val="FootnoteText"/>
        <w:rPr>
          <w:lang w:val="sr-Cyrl-CS"/>
        </w:rPr>
      </w:pPr>
      <w:r>
        <w:rPr>
          <w:rStyle w:val="FootnoteReference"/>
        </w:rPr>
        <w:footnoteRef/>
      </w:r>
      <w:r>
        <w:t xml:space="preserve"> </w:t>
      </w:r>
      <w:r>
        <w:rPr>
          <w:lang w:val="sr-Cyrl-CS"/>
        </w:rPr>
        <w:t xml:space="preserve">Вид.: Миодраг Вуковић, </w:t>
      </w:r>
      <w:r>
        <w:rPr>
          <w:i/>
          <w:lang w:val="sr-Cyrl-CS"/>
        </w:rPr>
        <w:t xml:space="preserve">нав. дело, </w:t>
      </w:r>
      <w:r w:rsidRPr="00FE1702">
        <w:rPr>
          <w:i/>
          <w:lang w:val="sr-Cyrl-CS"/>
        </w:rPr>
        <w:t xml:space="preserve"> </w:t>
      </w:r>
      <w:r>
        <w:rPr>
          <w:lang w:val="sr-Cyrl-CS"/>
        </w:rPr>
        <w:t>стр. 118-119.</w:t>
      </w:r>
    </w:p>
  </w:footnote>
  <w:footnote w:id="415">
    <w:p w:rsidR="00767127" w:rsidRPr="0075137C" w:rsidRDefault="00767127" w:rsidP="00CC4EE8">
      <w:pPr>
        <w:pStyle w:val="FootnoteText"/>
        <w:rPr>
          <w:rFonts w:asciiTheme="minorHAnsi" w:hAnsiTheme="minorHAnsi"/>
          <w:lang w:val="sr-Cyrl-CS"/>
        </w:rPr>
      </w:pPr>
      <w:r>
        <w:rPr>
          <w:rStyle w:val="FootnoteReference"/>
        </w:rPr>
        <w:footnoteRef/>
      </w:r>
      <w:r>
        <w:t xml:space="preserve"> </w:t>
      </w:r>
      <w:r w:rsidRPr="00EB2028">
        <w:rPr>
          <w:rFonts w:asciiTheme="minorHAnsi" w:hAnsiTheme="minorHAnsi"/>
          <w:b/>
          <w:lang w:val="sr-Cyrl-CS"/>
        </w:rPr>
        <w:t>Модалитети пореске утаје</w:t>
      </w:r>
      <w:r w:rsidRPr="0075137C">
        <w:rPr>
          <w:rFonts w:asciiTheme="minorHAnsi" w:hAnsiTheme="minorHAnsi"/>
          <w:lang w:val="sr-Cyrl-CS"/>
        </w:rPr>
        <w:t xml:space="preserve">, </w:t>
      </w:r>
      <w:r w:rsidRPr="00807CEC">
        <w:rPr>
          <w:rFonts w:asciiTheme="minorHAnsi" w:hAnsiTheme="minorHAnsi"/>
          <w:i/>
          <w:lang w:val="sr-Cyrl-CS"/>
        </w:rPr>
        <w:t>нав. дело</w:t>
      </w:r>
      <w:r>
        <w:rPr>
          <w:rFonts w:asciiTheme="minorHAnsi" w:hAnsiTheme="minorHAnsi"/>
          <w:lang w:val="sr-Cyrl-CS"/>
        </w:rPr>
        <w:t>, стр. 25-</w:t>
      </w:r>
      <w:r>
        <w:rPr>
          <w:rFonts w:asciiTheme="minorHAnsi" w:hAnsiTheme="minorHAnsi"/>
        </w:rPr>
        <w:t>29</w:t>
      </w:r>
      <w:r w:rsidRPr="0075137C">
        <w:rPr>
          <w:rFonts w:asciiTheme="minorHAnsi" w:hAnsiTheme="minorHAnsi"/>
          <w:lang w:val="sr-Cyrl-CS"/>
        </w:rPr>
        <w:t>.</w:t>
      </w:r>
    </w:p>
    <w:p w:rsidR="00767127" w:rsidRDefault="00767127">
      <w:pPr>
        <w:pStyle w:val="FootnoteText"/>
      </w:pPr>
    </w:p>
  </w:footnote>
  <w:footnote w:id="416">
    <w:p w:rsidR="00767127" w:rsidRPr="00CF4F98" w:rsidRDefault="00767127">
      <w:pPr>
        <w:pStyle w:val="FootnoteText"/>
        <w:rPr>
          <w:lang w:val="sr-Cyrl-CS"/>
        </w:rPr>
      </w:pPr>
      <w:r>
        <w:rPr>
          <w:rStyle w:val="FootnoteReference"/>
        </w:rPr>
        <w:footnoteRef/>
      </w:r>
      <w:r>
        <w:t xml:space="preserve"> </w:t>
      </w:r>
      <w:r>
        <w:rPr>
          <w:lang w:val="sr-Cyrl-CS"/>
        </w:rPr>
        <w:t>Закон о фискалним касама („Службени гласник РС“ бр. 135/04 и 93/12).</w:t>
      </w:r>
    </w:p>
  </w:footnote>
  <w:footnote w:id="417">
    <w:p w:rsidR="00767127" w:rsidRPr="00C14F26" w:rsidRDefault="00767127" w:rsidP="00F34746">
      <w:pPr>
        <w:pStyle w:val="FootnoteText"/>
        <w:rPr>
          <w:lang w:val="sr-Cyrl-CS"/>
        </w:rPr>
      </w:pPr>
      <w:r>
        <w:rPr>
          <w:rStyle w:val="FootnoteReference"/>
        </w:rPr>
        <w:footnoteRef/>
      </w:r>
      <w:r>
        <w:t xml:space="preserve"> </w:t>
      </w:r>
      <w:r>
        <w:rPr>
          <w:lang w:val="sr-Cyrl-CS"/>
        </w:rPr>
        <w:t>Чл. 18. Закона о фискалним касама („Службени гласник РС“ бр. 135/04 и 93/12).</w:t>
      </w:r>
    </w:p>
  </w:footnote>
  <w:footnote w:id="418">
    <w:p w:rsidR="00767127" w:rsidRPr="00C14F26" w:rsidRDefault="00767127" w:rsidP="00C14F26">
      <w:pPr>
        <w:pStyle w:val="FootnoteText"/>
        <w:rPr>
          <w:lang w:val="sr-Cyrl-CS"/>
        </w:rPr>
      </w:pPr>
      <w:r>
        <w:rPr>
          <w:rStyle w:val="FootnoteReference"/>
        </w:rPr>
        <w:footnoteRef/>
      </w:r>
      <w:r>
        <w:t xml:space="preserve"> </w:t>
      </w:r>
      <w:r>
        <w:rPr>
          <w:lang w:val="sr-Cyrl-CS"/>
        </w:rPr>
        <w:t>Чл. 20. Закона о фискалним касама („Службени гласник РС“ бр. 135/04 и 93/12).</w:t>
      </w:r>
    </w:p>
    <w:p w:rsidR="00767127" w:rsidRPr="00C14F26" w:rsidRDefault="00767127">
      <w:pPr>
        <w:pStyle w:val="FootnoteText"/>
        <w:rPr>
          <w:lang w:val="sr-Cyrl-CS"/>
        </w:rPr>
      </w:pPr>
    </w:p>
  </w:footnote>
  <w:footnote w:id="419">
    <w:p w:rsidR="00767127" w:rsidRPr="008F1E89" w:rsidRDefault="00767127">
      <w:pPr>
        <w:pStyle w:val="FootnoteText"/>
        <w:rPr>
          <w:lang w:val="sr-Cyrl-CS"/>
        </w:rPr>
      </w:pPr>
      <w:r>
        <w:rPr>
          <w:rStyle w:val="FootnoteReference"/>
        </w:rPr>
        <w:footnoteRef/>
      </w:r>
      <w:r>
        <w:t xml:space="preserve"> </w:t>
      </w:r>
      <w:r w:rsidRPr="00EB2028">
        <w:rPr>
          <w:rFonts w:asciiTheme="minorHAnsi" w:hAnsiTheme="minorHAnsi"/>
          <w:b/>
          <w:lang w:val="sr-Cyrl-CS"/>
        </w:rPr>
        <w:t>Модалитети пореске утаје</w:t>
      </w:r>
      <w:r w:rsidRPr="0075137C">
        <w:rPr>
          <w:rFonts w:asciiTheme="minorHAnsi" w:hAnsiTheme="minorHAnsi"/>
          <w:lang w:val="sr-Cyrl-CS"/>
        </w:rPr>
        <w:t>,</w:t>
      </w:r>
      <w:r>
        <w:rPr>
          <w:rFonts w:asciiTheme="minorHAnsi" w:hAnsiTheme="minorHAnsi"/>
          <w:lang w:val="sr-Cyrl-CS"/>
        </w:rPr>
        <w:t xml:space="preserve"> </w:t>
      </w:r>
      <w:r w:rsidRPr="00807CEC">
        <w:rPr>
          <w:rFonts w:asciiTheme="minorHAnsi" w:hAnsiTheme="minorHAnsi"/>
          <w:i/>
          <w:lang w:val="sr-Cyrl-CS"/>
        </w:rPr>
        <w:t>нав. дело</w:t>
      </w:r>
      <w:r>
        <w:rPr>
          <w:rFonts w:asciiTheme="minorHAnsi" w:hAnsiTheme="minorHAnsi"/>
          <w:lang w:val="sr-Cyrl-CS"/>
        </w:rPr>
        <w:t xml:space="preserve">, </w:t>
      </w:r>
      <w:r w:rsidRPr="0075137C">
        <w:rPr>
          <w:rFonts w:asciiTheme="minorHAnsi" w:hAnsiTheme="minorHAnsi"/>
          <w:lang w:val="sr-Cyrl-CS"/>
        </w:rPr>
        <w:t xml:space="preserve"> </w:t>
      </w:r>
      <w:r>
        <w:rPr>
          <w:rFonts w:asciiTheme="minorHAnsi" w:hAnsiTheme="minorHAnsi"/>
          <w:lang w:val="sr-Cyrl-CS"/>
        </w:rPr>
        <w:t>стр. 19.</w:t>
      </w:r>
    </w:p>
  </w:footnote>
  <w:footnote w:id="420">
    <w:p w:rsidR="00767127" w:rsidRPr="00A36043" w:rsidRDefault="00767127">
      <w:pPr>
        <w:pStyle w:val="FootnoteText"/>
        <w:rPr>
          <w:lang w:val="sr-Cyrl-CS"/>
        </w:rPr>
      </w:pPr>
      <w:r>
        <w:rPr>
          <w:rStyle w:val="FootnoteReference"/>
        </w:rPr>
        <w:footnoteRef/>
      </w:r>
      <w:r>
        <w:t xml:space="preserve"> </w:t>
      </w:r>
      <w:r>
        <w:rPr>
          <w:lang w:val="sr-Cyrl-CS"/>
        </w:rPr>
        <w:t xml:space="preserve">Миодраг Вуковић, </w:t>
      </w:r>
      <w:r w:rsidRPr="00807CEC">
        <w:rPr>
          <w:i/>
          <w:lang w:val="sr-Cyrl-CS"/>
        </w:rPr>
        <w:t>нав. дело</w:t>
      </w:r>
      <w:r>
        <w:rPr>
          <w:i/>
          <w:lang w:val="sr-Cyrl-CS"/>
        </w:rPr>
        <w:t xml:space="preserve">, </w:t>
      </w:r>
      <w:r>
        <w:rPr>
          <w:lang w:val="sr-Cyrl-CS"/>
        </w:rPr>
        <w:t xml:space="preserve"> стр. 124-125.</w:t>
      </w:r>
    </w:p>
  </w:footnote>
  <w:footnote w:id="421">
    <w:p w:rsidR="00767127" w:rsidRPr="00A36043" w:rsidRDefault="00767127" w:rsidP="005A16DE">
      <w:pPr>
        <w:pStyle w:val="FootnoteText"/>
      </w:pPr>
      <w:r>
        <w:rPr>
          <w:rStyle w:val="FootnoteReference"/>
        </w:rPr>
        <w:footnoteRef/>
      </w:r>
      <w:r>
        <w:t xml:space="preserve"> Alan A. Tait, </w:t>
      </w:r>
      <w:r w:rsidRPr="00C46B15">
        <w:rPr>
          <w:b/>
        </w:rPr>
        <w:t>The Value-Added Tax: International Practice an Problems</w:t>
      </w:r>
      <w:r>
        <w:t>, IMF, Washington, D. C., 1988, p</w:t>
      </w:r>
      <w:r>
        <w:rPr>
          <w:lang w:val="sr-Cyrl-CS"/>
        </w:rPr>
        <w:t>.</w:t>
      </w:r>
      <w:r>
        <w:t>305.</w:t>
      </w:r>
    </w:p>
  </w:footnote>
  <w:footnote w:id="422">
    <w:p w:rsidR="00767127" w:rsidRPr="0018410F" w:rsidRDefault="00767127">
      <w:pPr>
        <w:pStyle w:val="FootnoteText"/>
        <w:rPr>
          <w:lang w:val="sr-Cyrl-CS"/>
        </w:rPr>
      </w:pPr>
      <w:r>
        <w:rPr>
          <w:rStyle w:val="FootnoteReference"/>
        </w:rPr>
        <w:footnoteRef/>
      </w:r>
      <w:r>
        <w:t xml:space="preserve"> </w:t>
      </w:r>
      <w:r w:rsidRPr="0018410F">
        <w:rPr>
          <w:b/>
          <w:lang w:val="sr-Cyrl-CS"/>
        </w:rPr>
        <w:t>Модалитети пореске утаје</w:t>
      </w:r>
      <w:r>
        <w:rPr>
          <w:lang w:val="sr-Cyrl-CS"/>
        </w:rPr>
        <w:t xml:space="preserve">, </w:t>
      </w:r>
      <w:r w:rsidRPr="00807CEC">
        <w:rPr>
          <w:i/>
          <w:lang w:val="sr-Cyrl-CS"/>
        </w:rPr>
        <w:t>нав. дело</w:t>
      </w:r>
      <w:r>
        <w:rPr>
          <w:lang w:val="sr-Cyrl-CS"/>
        </w:rPr>
        <w:t>, стр. 28.</w:t>
      </w:r>
    </w:p>
  </w:footnote>
  <w:footnote w:id="423">
    <w:p w:rsidR="00767127" w:rsidRPr="006B2A9D" w:rsidRDefault="00767127" w:rsidP="00A22E8A">
      <w:pPr>
        <w:rPr>
          <w:lang w:val="sr-Cyrl-CS"/>
        </w:rPr>
      </w:pPr>
      <w:r>
        <w:rPr>
          <w:rStyle w:val="FootnoteReference"/>
        </w:rPr>
        <w:footnoteRef/>
      </w:r>
      <w:r w:rsidRPr="00A857A8">
        <w:rPr>
          <w:sz w:val="20"/>
          <w:szCs w:val="20"/>
          <w:lang w:val="sr-Cyrl-CS"/>
        </w:rPr>
        <w:t>Извор:</w:t>
      </w:r>
      <w:hyperlink r:id="rId41" w:history="1">
        <w:r w:rsidRPr="00A857A8">
          <w:rPr>
            <w:rStyle w:val="Hyperlink"/>
            <w:sz w:val="20"/>
            <w:szCs w:val="20"/>
          </w:rPr>
          <w:t>http://www.fren.org.rs/sites/default/files/articles/attachments/siva-ekonomija-u-srbiji-studija.pdf</w:t>
        </w:r>
      </w:hyperlink>
    </w:p>
  </w:footnote>
  <w:footnote w:id="424">
    <w:p w:rsidR="00767127" w:rsidRPr="00F34746" w:rsidRDefault="00767127" w:rsidP="00F34746">
      <w:pPr>
        <w:pStyle w:val="FootnoteText"/>
        <w:jc w:val="both"/>
        <w:rPr>
          <w:sz w:val="24"/>
          <w:szCs w:val="24"/>
        </w:rPr>
      </w:pPr>
      <w:r>
        <w:rPr>
          <w:rStyle w:val="FootnoteReference"/>
        </w:rPr>
        <w:footnoteRef/>
      </w:r>
      <w:r>
        <w:t xml:space="preserve"> </w:t>
      </w:r>
      <w:r w:rsidRPr="00F34746">
        <w:rPr>
          <w:rFonts w:asciiTheme="minorHAnsi" w:hAnsiTheme="minorHAnsi"/>
          <w:lang w:val="sr-Cyrl-CS"/>
        </w:rPr>
        <w:t xml:space="preserve">Радојко Србљановић и др., </w:t>
      </w:r>
      <w:r w:rsidRPr="00F34746">
        <w:rPr>
          <w:rFonts w:asciiTheme="minorHAnsi" w:hAnsiTheme="minorHAnsi"/>
          <w:b/>
          <w:lang w:val="sr-Cyrl-CS"/>
        </w:rPr>
        <w:t>Типологије прања новца у Републици Србији</w:t>
      </w:r>
      <w:r w:rsidRPr="00F34746">
        <w:rPr>
          <w:rFonts w:asciiTheme="minorHAnsi" w:hAnsiTheme="minorHAnsi"/>
          <w:lang w:val="sr-Cyrl-CS"/>
        </w:rPr>
        <w:t xml:space="preserve">,  Мисија </w:t>
      </w:r>
      <w:r w:rsidRPr="00F34746">
        <w:rPr>
          <w:rFonts w:asciiTheme="minorHAnsi" w:hAnsiTheme="minorHAnsi"/>
        </w:rPr>
        <w:t xml:space="preserve">OEBS </w:t>
      </w:r>
      <w:r w:rsidRPr="00F34746">
        <w:rPr>
          <w:rFonts w:asciiTheme="minorHAnsi" w:hAnsiTheme="minorHAnsi"/>
          <w:lang w:val="sr-Cyrl-CS"/>
        </w:rPr>
        <w:t>у Србији, 2011,</w:t>
      </w:r>
      <w:r w:rsidRPr="00F34746">
        <w:rPr>
          <w:sz w:val="24"/>
          <w:szCs w:val="24"/>
          <w:lang w:val="sr-Cyrl-CS"/>
        </w:rPr>
        <w:t xml:space="preserve"> </w:t>
      </w:r>
      <w:r w:rsidRPr="00F34746">
        <w:rPr>
          <w:lang w:val="sr-Cyrl-CS"/>
        </w:rPr>
        <w:t xml:space="preserve"> стр. 64-65</w:t>
      </w:r>
      <w:r>
        <w:t>.</w:t>
      </w:r>
    </w:p>
  </w:footnote>
  <w:footnote w:id="425">
    <w:p w:rsidR="00767127" w:rsidRPr="00025F70" w:rsidRDefault="00767127">
      <w:pPr>
        <w:pStyle w:val="FootnoteText"/>
        <w:rPr>
          <w:lang w:val="sr-Cyrl-CS"/>
        </w:rPr>
      </w:pPr>
      <w:r>
        <w:rPr>
          <w:rStyle w:val="FootnoteReference"/>
        </w:rPr>
        <w:footnoteRef/>
      </w:r>
      <w:r>
        <w:t xml:space="preserve"> </w:t>
      </w:r>
      <w:r>
        <w:rPr>
          <w:rFonts w:asciiTheme="minorHAnsi" w:hAnsiTheme="minorHAnsi"/>
          <w:lang w:val="sr-Cyrl-CS"/>
        </w:rPr>
        <w:t>Радојко Србљановић и др.</w:t>
      </w:r>
      <w:r>
        <w:rPr>
          <w:lang w:val="sr-Cyrl-CS"/>
        </w:rPr>
        <w:t xml:space="preserve">, </w:t>
      </w:r>
      <w:r>
        <w:rPr>
          <w:i/>
          <w:lang w:val="sr-Cyrl-CS"/>
        </w:rPr>
        <w:t xml:space="preserve">нав. дело, </w:t>
      </w:r>
      <w:r>
        <w:t xml:space="preserve"> </w:t>
      </w:r>
      <w:r>
        <w:rPr>
          <w:lang w:val="sr-Cyrl-CS"/>
        </w:rPr>
        <w:t>стр. 64-65</w:t>
      </w:r>
    </w:p>
  </w:footnote>
  <w:footnote w:id="426">
    <w:p w:rsidR="00767127" w:rsidRPr="00034756" w:rsidRDefault="00767127" w:rsidP="006B2A9D">
      <w:pPr>
        <w:pStyle w:val="FootnoteText"/>
        <w:rPr>
          <w:lang w:val="sr-Cyrl-CS"/>
        </w:rPr>
      </w:pPr>
      <w:r>
        <w:rPr>
          <w:rStyle w:val="FootnoteReference"/>
        </w:rPr>
        <w:footnoteRef/>
      </w:r>
      <w:r>
        <w:t xml:space="preserve"> </w:t>
      </w:r>
      <w:r>
        <w:rPr>
          <w:lang w:val="sr-Cyrl-CS"/>
        </w:rPr>
        <w:t>Чл. 60-60а. Закона о порезу на додату вредност (Службени гласник РС“ бр.  84/04, 86/04, 61/05, 61/07, 93/12 и 108/13).</w:t>
      </w:r>
    </w:p>
    <w:p w:rsidR="00767127" w:rsidRPr="006B2A9D" w:rsidRDefault="00767127">
      <w:pPr>
        <w:pStyle w:val="FootnoteText"/>
        <w:rPr>
          <w:lang w:val="sr-Cyrl-CS"/>
        </w:rPr>
      </w:pPr>
    </w:p>
  </w:footnote>
  <w:footnote w:id="427">
    <w:p w:rsidR="00767127" w:rsidRPr="00512389" w:rsidRDefault="00767127">
      <w:pPr>
        <w:pStyle w:val="FootnoteText"/>
        <w:rPr>
          <w:lang w:val="sr-Cyrl-CS"/>
        </w:rPr>
      </w:pPr>
      <w:r>
        <w:rPr>
          <w:rStyle w:val="FootnoteReference"/>
        </w:rPr>
        <w:footnoteRef/>
      </w:r>
      <w:r>
        <w:t xml:space="preserve"> </w:t>
      </w:r>
      <w:r>
        <w:rPr>
          <w:lang w:val="sr-Cyrl-CS"/>
        </w:rPr>
        <w:t>Чл. 60а. (Службени гласник РС“ бр.  84/04, 86/04, 61/05, 61/07, 93/12 и 108/13).</w:t>
      </w:r>
    </w:p>
  </w:footnote>
  <w:footnote w:id="428">
    <w:p w:rsidR="00767127" w:rsidRPr="00806C45" w:rsidRDefault="00767127">
      <w:pPr>
        <w:pStyle w:val="FootnoteText"/>
        <w:rPr>
          <w:lang w:val="sr-Cyrl-CS"/>
        </w:rPr>
      </w:pPr>
      <w:r>
        <w:rPr>
          <w:rStyle w:val="FootnoteReference"/>
        </w:rPr>
        <w:footnoteRef/>
      </w:r>
      <w:r>
        <w:t xml:space="preserve"> </w:t>
      </w:r>
      <w:r>
        <w:rPr>
          <w:lang w:val="sr-Cyrl-CS"/>
        </w:rPr>
        <w:t>„Службени гласник РС“, бр. 24/01, 80/02, 31/09, 44/09, 18/10, 50/11, 91/11, 93/12, 114/12, 8/13, 47/13, 48/13 и 108/13.</w:t>
      </w:r>
    </w:p>
  </w:footnote>
  <w:footnote w:id="429">
    <w:p w:rsidR="00767127" w:rsidRPr="004564C2" w:rsidRDefault="00767127" w:rsidP="004122E2">
      <w:pPr>
        <w:pStyle w:val="FootnoteText"/>
        <w:jc w:val="both"/>
        <w:rPr>
          <w:lang w:val="sr-Cyrl-CS"/>
        </w:rPr>
      </w:pPr>
      <w:r>
        <w:rPr>
          <w:rStyle w:val="FootnoteReference"/>
        </w:rPr>
        <w:footnoteRef/>
      </w:r>
      <w:r>
        <w:t xml:space="preserve"> </w:t>
      </w:r>
      <w:r>
        <w:rPr>
          <w:lang w:val="sr-Cyrl-CS"/>
        </w:rPr>
        <w:t xml:space="preserve">Барбара Јелчић и Божидар Јелчић, </w:t>
      </w:r>
      <w:r w:rsidRPr="00C42387">
        <w:rPr>
          <w:b/>
          <w:lang w:val="sr-Cyrl-CS"/>
        </w:rPr>
        <w:t>Порезни сустав и порезна политика</w:t>
      </w:r>
      <w:r>
        <w:rPr>
          <w:lang w:val="sr-Cyrl-CS"/>
        </w:rPr>
        <w:t>, Информатор, Загреб, 1998, стр. 178-179.</w:t>
      </w:r>
    </w:p>
  </w:footnote>
  <w:footnote w:id="430">
    <w:p w:rsidR="00767127" w:rsidRPr="002353AC" w:rsidRDefault="00767127">
      <w:pPr>
        <w:pStyle w:val="FootnoteText"/>
        <w:rPr>
          <w:lang w:val="sr-Cyrl-CS"/>
        </w:rPr>
      </w:pPr>
      <w:r>
        <w:rPr>
          <w:rStyle w:val="FootnoteReference"/>
        </w:rPr>
        <w:footnoteRef/>
      </w:r>
      <w:r>
        <w:t xml:space="preserve"> </w:t>
      </w:r>
      <w:r>
        <w:rPr>
          <w:lang w:val="sr-Cyrl-CS"/>
        </w:rPr>
        <w:t>Дејан Поповић,</w:t>
      </w:r>
      <w:r>
        <w:t xml:space="preserve"> </w:t>
      </w:r>
      <w:r>
        <w:rPr>
          <w:i/>
          <w:lang w:val="sr-Cyrl-CS"/>
        </w:rPr>
        <w:t>нав. дело</w:t>
      </w:r>
      <w:r>
        <w:rPr>
          <w:lang w:val="sr-Cyrl-CS"/>
        </w:rPr>
        <w:t>, стр. 264.</w:t>
      </w:r>
    </w:p>
  </w:footnote>
  <w:footnote w:id="431">
    <w:p w:rsidR="00767127" w:rsidRPr="0028385A" w:rsidRDefault="00767127">
      <w:pPr>
        <w:pStyle w:val="FootnoteText"/>
      </w:pPr>
      <w:r>
        <w:rPr>
          <w:rStyle w:val="FootnoteReference"/>
        </w:rPr>
        <w:footnoteRef/>
      </w:r>
      <w:r>
        <w:t xml:space="preserve"> Charles Adams, </w:t>
      </w:r>
      <w:r w:rsidRPr="00C42387">
        <w:rPr>
          <w:b/>
        </w:rPr>
        <w:t>For Good and Evil, The Impact of Taxes on the Course of Civilization</w:t>
      </w:r>
      <w:r>
        <w:t>, Madison Books, London-New York-Lanham, 1993, p. 343.</w:t>
      </w:r>
    </w:p>
  </w:footnote>
  <w:footnote w:id="432">
    <w:p w:rsidR="00767127" w:rsidRPr="00846ECB" w:rsidRDefault="00767127">
      <w:pPr>
        <w:pStyle w:val="FootnoteText"/>
        <w:rPr>
          <w:lang w:val="sr-Cyrl-CS"/>
        </w:rPr>
      </w:pPr>
      <w:r>
        <w:rPr>
          <w:rStyle w:val="FootnoteReference"/>
        </w:rPr>
        <w:footnoteRef/>
      </w:r>
      <w:r>
        <w:t xml:space="preserve"> </w:t>
      </w:r>
      <w:r>
        <w:rPr>
          <w:lang w:val="sr-Cyrl-CS"/>
        </w:rPr>
        <w:t>Вид.: чл. 3. Закона о порезу на доходак грађана, („Службени гласник РС“, бр. 24/01, 80/02, 31/09, 44/09, 18/10, 50/11, 91/11, 93/12, 114/12, 8/13, 47/13,  48/13 и 108/13).</w:t>
      </w:r>
    </w:p>
  </w:footnote>
  <w:footnote w:id="433">
    <w:p w:rsidR="00767127" w:rsidRPr="00846ECB" w:rsidRDefault="00767127">
      <w:pPr>
        <w:pStyle w:val="FootnoteText"/>
        <w:rPr>
          <w:lang w:val="sr-Cyrl-CS"/>
        </w:rPr>
      </w:pPr>
      <w:r>
        <w:rPr>
          <w:rStyle w:val="FootnoteReference"/>
        </w:rPr>
        <w:footnoteRef/>
      </w:r>
      <w:r>
        <w:t xml:space="preserve"> </w:t>
      </w:r>
      <w:r>
        <w:rPr>
          <w:lang w:val="sr-Cyrl-CS"/>
        </w:rPr>
        <w:t>Вид.: чл. 87. Закона о порезу на доходак грађана, („Службени гласник РС“, бр. 24/01, 80/02, 31/09, 44/09, 18/10, 50/11, 91/11, 93/12, 114/12, 8/13, 47/13, 48/13 и 108/13).</w:t>
      </w:r>
    </w:p>
  </w:footnote>
  <w:footnote w:id="434">
    <w:p w:rsidR="00767127" w:rsidRPr="00967AF9" w:rsidRDefault="00767127">
      <w:pPr>
        <w:pStyle w:val="FootnoteText"/>
        <w:rPr>
          <w:lang w:val="sr-Cyrl-CS"/>
        </w:rPr>
      </w:pPr>
      <w:r>
        <w:rPr>
          <w:rStyle w:val="FootnoteReference"/>
        </w:rPr>
        <w:footnoteRef/>
      </w:r>
      <w:r>
        <w:t xml:space="preserve"> </w:t>
      </w:r>
      <w:r>
        <w:rPr>
          <w:lang w:val="sr-Cyrl-CS"/>
        </w:rPr>
        <w:t xml:space="preserve">Дејан Поповић, </w:t>
      </w:r>
      <w:r w:rsidRPr="00497A36">
        <w:rPr>
          <w:i/>
          <w:lang w:val="sr-Cyrl-CS"/>
        </w:rPr>
        <w:t>нав. дело,</w:t>
      </w:r>
      <w:r>
        <w:rPr>
          <w:lang w:val="sr-Cyrl-CS"/>
        </w:rPr>
        <w:t xml:space="preserve"> стр. 270-271.</w:t>
      </w:r>
    </w:p>
  </w:footnote>
  <w:footnote w:id="435">
    <w:p w:rsidR="00767127" w:rsidRPr="000666F6" w:rsidRDefault="00767127">
      <w:pPr>
        <w:pStyle w:val="FootnoteText"/>
        <w:rPr>
          <w:lang w:val="sr-Cyrl-CS"/>
        </w:rPr>
      </w:pPr>
      <w:r>
        <w:rPr>
          <w:rStyle w:val="FootnoteReference"/>
        </w:rPr>
        <w:footnoteRef/>
      </w:r>
      <w:r>
        <w:t xml:space="preserve"> </w:t>
      </w:r>
      <w:r>
        <w:rPr>
          <w:lang w:val="sr-Cyrl-CS"/>
        </w:rPr>
        <w:t>Чл. 9. Закона о порезу на доходак грађана, („Службени гласник РС“, бр. 24/01, 80/02, 31/09, 44/09, 18/10, 50/11, 91/11, 93/12, 114/12, 8/13, 47/13,  48/13 и 108/13).</w:t>
      </w:r>
    </w:p>
  </w:footnote>
  <w:footnote w:id="436">
    <w:p w:rsidR="00767127" w:rsidRPr="000666F6" w:rsidRDefault="00767127">
      <w:pPr>
        <w:pStyle w:val="FootnoteText"/>
        <w:rPr>
          <w:lang w:val="sr-Cyrl-CS"/>
        </w:rPr>
      </w:pPr>
      <w:r>
        <w:rPr>
          <w:rStyle w:val="FootnoteReference"/>
        </w:rPr>
        <w:footnoteRef/>
      </w:r>
      <w:r>
        <w:t xml:space="preserve"> </w:t>
      </w:r>
      <w:r>
        <w:rPr>
          <w:lang w:val="sr-Cyrl-CS"/>
        </w:rPr>
        <w:t>Чл. 6. Закона о порезу на доходак грађана, („Службени гласник РС“, бр. 24/01, 80/02, 31/09, 44/09, 18/10, 50/11, 91/11, 93/12, 114/12, 8/13, 47/13,  48/13 и 108/13).</w:t>
      </w:r>
    </w:p>
  </w:footnote>
  <w:footnote w:id="437">
    <w:p w:rsidR="00767127" w:rsidRPr="00095BAA" w:rsidRDefault="00767127">
      <w:pPr>
        <w:pStyle w:val="FootnoteText"/>
        <w:rPr>
          <w:lang w:val="sr-Cyrl-CS"/>
        </w:rPr>
      </w:pPr>
      <w:r>
        <w:rPr>
          <w:rStyle w:val="FootnoteReference"/>
        </w:rPr>
        <w:footnoteRef/>
      </w:r>
      <w:r>
        <w:t xml:space="preserve"> </w:t>
      </w:r>
      <w:r>
        <w:rPr>
          <w:lang w:val="sr-Cyrl-CS"/>
        </w:rPr>
        <w:t>Чл. 7. Закона о порезу на доходак грађана, („Службени гласник РС“, бр. 24/01, 80/02, 31/09, 44/09, 18/10, 50/11, 91/11, 93/12, 114/12, 8/13, 47/13,  48/13 и 108/13).</w:t>
      </w:r>
    </w:p>
  </w:footnote>
  <w:footnote w:id="438">
    <w:p w:rsidR="00767127" w:rsidRPr="000E4F60" w:rsidRDefault="00767127">
      <w:pPr>
        <w:pStyle w:val="FootnoteText"/>
        <w:rPr>
          <w:lang w:val="sr-Cyrl-CS"/>
        </w:rPr>
      </w:pPr>
      <w:r>
        <w:rPr>
          <w:rStyle w:val="FootnoteReference"/>
        </w:rPr>
        <w:footnoteRef/>
      </w:r>
      <w:r>
        <w:t xml:space="preserve"> </w:t>
      </w:r>
      <w:r>
        <w:rPr>
          <w:lang w:val="sr-Cyrl-CS"/>
        </w:rPr>
        <w:t>Чл. 107а Закона о порезу на доходак грађана, („Службени гласник РС“, бр. 24/01, 80/02, 31/09, 44/09, 18/10, 50/11, 91/11, 93/12, 114/12, 8/13, 47/13,  48/13 и 108/13).</w:t>
      </w:r>
    </w:p>
  </w:footnote>
  <w:footnote w:id="439">
    <w:p w:rsidR="00767127" w:rsidRPr="00A664B0" w:rsidRDefault="00767127">
      <w:pPr>
        <w:pStyle w:val="FootnoteText"/>
        <w:rPr>
          <w:lang w:val="sr-Cyrl-CS"/>
        </w:rPr>
      </w:pPr>
      <w:r>
        <w:rPr>
          <w:rStyle w:val="FootnoteReference"/>
        </w:rPr>
        <w:footnoteRef/>
      </w:r>
      <w:r>
        <w:t xml:space="preserve"> </w:t>
      </w:r>
      <w:r>
        <w:rPr>
          <w:lang w:val="sr-Cyrl-CS"/>
        </w:rPr>
        <w:t xml:space="preserve">Марко Радичић и Божидар Раичевић, </w:t>
      </w:r>
      <w:r>
        <w:rPr>
          <w:i/>
          <w:lang w:val="sr-Cyrl-CS"/>
        </w:rPr>
        <w:t>нав. дело</w:t>
      </w:r>
      <w:r w:rsidRPr="00014DFE">
        <w:rPr>
          <w:i/>
          <w:lang w:val="sr-Cyrl-CS"/>
        </w:rPr>
        <w:t>,</w:t>
      </w:r>
      <w:r>
        <w:rPr>
          <w:lang w:val="sr-Cyrl-CS"/>
        </w:rPr>
        <w:t xml:space="preserve"> стр. 119.</w:t>
      </w:r>
    </w:p>
  </w:footnote>
  <w:footnote w:id="440">
    <w:p w:rsidR="00767127" w:rsidRPr="00B22DD8" w:rsidRDefault="00767127">
      <w:pPr>
        <w:pStyle w:val="FootnoteText"/>
        <w:rPr>
          <w:lang w:val="sr-Cyrl-CS"/>
        </w:rPr>
      </w:pPr>
      <w:r>
        <w:rPr>
          <w:rStyle w:val="FootnoteReference"/>
        </w:rPr>
        <w:footnoteRef/>
      </w:r>
      <w:r>
        <w:t xml:space="preserve"> </w:t>
      </w:r>
      <w:r>
        <w:rPr>
          <w:lang w:val="sr-Cyrl-CS"/>
        </w:rPr>
        <w:t>Чл. 16. Закона о порезу на доходак грађана, („Службени гласник РС“, бр. 24/01, 80/02, 31/09, 44/09, 18/10, 50/11, 91/11, 93/12, 114/12, 8/13, 47/13,  48/13 и 108/13).</w:t>
      </w:r>
    </w:p>
  </w:footnote>
  <w:footnote w:id="441">
    <w:p w:rsidR="00767127" w:rsidRPr="00B22DD8" w:rsidRDefault="00767127">
      <w:pPr>
        <w:pStyle w:val="FootnoteText"/>
        <w:rPr>
          <w:lang w:val="sr-Cyrl-CS"/>
        </w:rPr>
      </w:pPr>
      <w:r>
        <w:rPr>
          <w:rStyle w:val="FootnoteReference"/>
        </w:rPr>
        <w:footnoteRef/>
      </w:r>
      <w:r>
        <w:t xml:space="preserve"> </w:t>
      </w:r>
      <w:r>
        <w:rPr>
          <w:lang w:val="sr-Cyrl-CS"/>
        </w:rPr>
        <w:t>Чл. 38. Закона о порезу на доходак грађана, („Службени гласник РС“, бр. 24/01, 80/02, 31/09, 44/09, 18/10, 50/11, 91/11, 93/12, 114/12, 8/13, 47/13,  48/13 и 108/13).</w:t>
      </w:r>
    </w:p>
  </w:footnote>
  <w:footnote w:id="442">
    <w:p w:rsidR="00767127" w:rsidRPr="00B22DD8" w:rsidRDefault="00767127">
      <w:pPr>
        <w:pStyle w:val="FootnoteText"/>
        <w:rPr>
          <w:lang w:val="sr-Cyrl-CS"/>
        </w:rPr>
      </w:pPr>
      <w:r>
        <w:rPr>
          <w:rStyle w:val="FootnoteReference"/>
        </w:rPr>
        <w:footnoteRef/>
      </w:r>
      <w:r>
        <w:t xml:space="preserve"> </w:t>
      </w:r>
      <w:r>
        <w:rPr>
          <w:lang w:val="sr-Cyrl-CS"/>
        </w:rPr>
        <w:t>Чл. 58. Закона о порезу на доходак грађана, („Службени гласник РС“, бр. 24/01, 80/02, 31/09, 44/09, 18/10, 50/11, 91/11, 93/12, 114/12, 8/13, 47/13,  48/13 и 108/13).</w:t>
      </w:r>
    </w:p>
  </w:footnote>
  <w:footnote w:id="443">
    <w:p w:rsidR="00767127" w:rsidRPr="00B22DD8" w:rsidRDefault="00767127">
      <w:pPr>
        <w:pStyle w:val="FootnoteText"/>
        <w:rPr>
          <w:lang w:val="sr-Cyrl-CS"/>
        </w:rPr>
      </w:pPr>
      <w:r>
        <w:rPr>
          <w:rStyle w:val="FootnoteReference"/>
        </w:rPr>
        <w:footnoteRef/>
      </w:r>
      <w:r>
        <w:t xml:space="preserve"> </w:t>
      </w:r>
      <w:r>
        <w:rPr>
          <w:lang w:val="sr-Cyrl-CS"/>
        </w:rPr>
        <w:t>Чл. 64. Закона о порезу на доходак грађана, („Службени гласник РС“, бр. 24/01, 80/02, 31/09, 44/09, 18/10, 50/11, 91/11, 93/12, 114/12, 8/13, 47/13,  48/13 и 108/13).</w:t>
      </w:r>
    </w:p>
  </w:footnote>
  <w:footnote w:id="444">
    <w:p w:rsidR="00767127" w:rsidRPr="00B22DD8" w:rsidRDefault="00767127">
      <w:pPr>
        <w:pStyle w:val="FootnoteText"/>
        <w:rPr>
          <w:lang w:val="sr-Cyrl-CS"/>
        </w:rPr>
      </w:pPr>
      <w:r>
        <w:rPr>
          <w:rStyle w:val="FootnoteReference"/>
        </w:rPr>
        <w:footnoteRef/>
      </w:r>
      <w:r>
        <w:t xml:space="preserve"> </w:t>
      </w:r>
      <w:r>
        <w:rPr>
          <w:lang w:val="sr-Cyrl-CS"/>
        </w:rPr>
        <w:t>Чл. 77. Закона о порезу на доходак грађана, („Службени гласник РС“, бр. 24/01, 80/02, 31/09, 44/09, 18/10, 50/11, 91/11, 93/12, 114/12, 8/13, 47/13,  48/13 и 108/13).</w:t>
      </w:r>
    </w:p>
  </w:footnote>
  <w:footnote w:id="445">
    <w:p w:rsidR="00767127" w:rsidRPr="00B22DD8" w:rsidRDefault="00767127">
      <w:pPr>
        <w:pStyle w:val="FootnoteText"/>
        <w:rPr>
          <w:lang w:val="sr-Cyrl-CS"/>
        </w:rPr>
      </w:pPr>
      <w:r>
        <w:rPr>
          <w:rStyle w:val="FootnoteReference"/>
        </w:rPr>
        <w:footnoteRef/>
      </w:r>
      <w:r>
        <w:t xml:space="preserve"> </w:t>
      </w:r>
      <w:r>
        <w:rPr>
          <w:lang w:val="sr-Cyrl-CS"/>
        </w:rPr>
        <w:t>Чл. 86. Закона о порезу на доходак грађана, („Службени гласник РС“, бр. 24/01, 80/02, 31/09, 44/09, 18/10, 50/11, 91/11, 93/12, 114/12, 8/13, 47/13,  48/13 и 108/13).</w:t>
      </w:r>
    </w:p>
  </w:footnote>
  <w:footnote w:id="446">
    <w:p w:rsidR="00767127" w:rsidRPr="00B22DD8" w:rsidRDefault="00767127">
      <w:pPr>
        <w:pStyle w:val="FootnoteText"/>
        <w:rPr>
          <w:lang w:val="sr-Cyrl-CS"/>
        </w:rPr>
      </w:pPr>
      <w:r>
        <w:rPr>
          <w:rStyle w:val="FootnoteReference"/>
        </w:rPr>
        <w:footnoteRef/>
      </w:r>
      <w:r>
        <w:t xml:space="preserve"> </w:t>
      </w:r>
      <w:r>
        <w:rPr>
          <w:lang w:val="sr-Cyrl-CS"/>
        </w:rPr>
        <w:t>Чл. 89. Закона о порезу на доходак грађана, („Службени гласник РС“, бр. 24/01, 80/02, 31/09, 44/09, 18/10, 50/11, 91/11, 93/12, 114/12, 8/13, 47/13,  48/13 и 108/13).</w:t>
      </w:r>
    </w:p>
  </w:footnote>
  <w:footnote w:id="447">
    <w:p w:rsidR="00767127" w:rsidRPr="00A508EC" w:rsidRDefault="00767127">
      <w:pPr>
        <w:pStyle w:val="FootnoteText"/>
        <w:rPr>
          <w:lang w:val="sr-Cyrl-CS"/>
        </w:rPr>
      </w:pPr>
      <w:r>
        <w:rPr>
          <w:rStyle w:val="FootnoteReference"/>
        </w:rPr>
        <w:footnoteRef/>
      </w:r>
      <w:r>
        <w:t xml:space="preserve"> </w:t>
      </w:r>
      <w:r>
        <w:rPr>
          <w:lang w:val="sr-Cyrl-CS"/>
        </w:rPr>
        <w:t>Чл. 13-14б.  Закона о порезу на доходак грађана, („Службени гласник РС“, бр. 24/01, 80/02, 31/09, 44/09, 18/10, 50/11, 91/11, 93/12, 114/12, 8/13, 47/13,  48/13 и 108/13).</w:t>
      </w:r>
    </w:p>
  </w:footnote>
  <w:footnote w:id="448">
    <w:p w:rsidR="00767127" w:rsidRPr="00C22F48" w:rsidRDefault="00767127">
      <w:pPr>
        <w:pStyle w:val="FootnoteText"/>
        <w:rPr>
          <w:lang w:val="sr-Cyrl-CS"/>
        </w:rPr>
      </w:pPr>
      <w:r>
        <w:rPr>
          <w:rStyle w:val="FootnoteReference"/>
        </w:rPr>
        <w:footnoteRef/>
      </w:r>
      <w:r>
        <w:rPr>
          <w:lang w:val="sr-Cyrl-CS"/>
        </w:rPr>
        <w:t>Чл. 15. Закона о порезу на доходак грађана, („Службени гласник РС“, бр. 24/01, 80/02, 31/09, 44/09, 18/10, 50/11, 91/11, 93/12, 114/12, 8/13, 47/13,  48/13 и 108/13).</w:t>
      </w:r>
    </w:p>
  </w:footnote>
  <w:footnote w:id="449">
    <w:p w:rsidR="00767127" w:rsidRPr="00C22F48" w:rsidRDefault="00767127">
      <w:pPr>
        <w:pStyle w:val="FootnoteText"/>
        <w:rPr>
          <w:lang w:val="sr-Cyrl-CS"/>
        </w:rPr>
      </w:pPr>
      <w:r>
        <w:rPr>
          <w:rStyle w:val="FootnoteReference"/>
        </w:rPr>
        <w:footnoteRef/>
      </w:r>
      <w:r>
        <w:t xml:space="preserve"> </w:t>
      </w:r>
      <w:r>
        <w:rPr>
          <w:lang w:val="sr-Cyrl-CS"/>
        </w:rPr>
        <w:t xml:space="preserve">Дејан Поповић, </w:t>
      </w:r>
      <w:r>
        <w:rPr>
          <w:i/>
          <w:lang w:val="sr-Cyrl-CS"/>
        </w:rPr>
        <w:t>нав. дело</w:t>
      </w:r>
      <w:r w:rsidRPr="00447F9D">
        <w:rPr>
          <w:i/>
        </w:rPr>
        <w:t>,</w:t>
      </w:r>
      <w:r>
        <w:rPr>
          <w:b/>
        </w:rPr>
        <w:t xml:space="preserve"> </w:t>
      </w:r>
      <w:r>
        <w:rPr>
          <w:lang w:val="sr-Cyrl-CS"/>
        </w:rPr>
        <w:t>стр. 280.</w:t>
      </w:r>
    </w:p>
  </w:footnote>
  <w:footnote w:id="450">
    <w:p w:rsidR="00767127" w:rsidRPr="00C22F48" w:rsidRDefault="00767127">
      <w:pPr>
        <w:pStyle w:val="FootnoteText"/>
        <w:rPr>
          <w:lang w:val="sr-Cyrl-CS"/>
        </w:rPr>
      </w:pPr>
      <w:r>
        <w:rPr>
          <w:rStyle w:val="FootnoteReference"/>
        </w:rPr>
        <w:footnoteRef/>
      </w:r>
      <w:r>
        <w:t xml:space="preserve"> </w:t>
      </w:r>
      <w:r>
        <w:rPr>
          <w:lang w:val="sr-Cyrl-CS"/>
        </w:rPr>
        <w:t>Чл. 15а-15б Закона о порезу на доходак грађана, („Службени гласник РС“, бр. 24/01, 80/02, 31/09, 44/09, 18/10, 50/11, 91/11, 93/12, 114/12, 8/13, 47/13,  48/13 и 108/13).</w:t>
      </w:r>
    </w:p>
  </w:footnote>
  <w:footnote w:id="451">
    <w:p w:rsidR="00767127" w:rsidRPr="00BF6E72" w:rsidRDefault="00767127">
      <w:pPr>
        <w:pStyle w:val="FootnoteText"/>
        <w:rPr>
          <w:lang w:val="sr-Cyrl-CS"/>
        </w:rPr>
      </w:pPr>
      <w:r>
        <w:rPr>
          <w:rStyle w:val="FootnoteReference"/>
        </w:rPr>
        <w:footnoteRef/>
      </w:r>
      <w:r>
        <w:t xml:space="preserve"> </w:t>
      </w:r>
      <w:r>
        <w:rPr>
          <w:lang w:val="sr-Cyrl-CS"/>
        </w:rPr>
        <w:t>Чл. 19. Закона о порезу на доходак грађана, („Службени гласник РС“, бр. 24/01, 80/02, 31/09, 44/09, 18/10, 50/11, 91/11, 93/12, 114/12, 8/13, 47/13,  48/13 и 108/13</w:t>
      </w:r>
    </w:p>
  </w:footnote>
  <w:footnote w:id="452">
    <w:p w:rsidR="00767127" w:rsidRPr="00BF6E72" w:rsidRDefault="00767127">
      <w:pPr>
        <w:pStyle w:val="FootnoteText"/>
        <w:rPr>
          <w:lang w:val="sr-Cyrl-CS"/>
        </w:rPr>
      </w:pPr>
      <w:r>
        <w:rPr>
          <w:rStyle w:val="FootnoteReference"/>
        </w:rPr>
        <w:footnoteRef/>
      </w:r>
      <w:r>
        <w:t xml:space="preserve"> </w:t>
      </w:r>
      <w:r>
        <w:rPr>
          <w:lang w:val="sr-Cyrl-CS"/>
        </w:rPr>
        <w:t>Чл. 21. Закона о порезу на доходак грађана, („Службени гласник РС“, бр. 24/01, 80/02, 31/09, 44/09, 18/10, 50/11, 91/11, 93/12, 114/12, 8/13, 47/13,  48/13 и 108/13</w:t>
      </w:r>
    </w:p>
  </w:footnote>
  <w:footnote w:id="453">
    <w:p w:rsidR="00767127" w:rsidRPr="00BF6E72" w:rsidRDefault="00767127">
      <w:pPr>
        <w:pStyle w:val="FootnoteText"/>
        <w:rPr>
          <w:lang w:val="sr-Cyrl-CS"/>
        </w:rPr>
      </w:pPr>
      <w:r>
        <w:rPr>
          <w:rStyle w:val="FootnoteReference"/>
        </w:rPr>
        <w:footnoteRef/>
      </w:r>
      <w:r>
        <w:t xml:space="preserve"> </w:t>
      </w:r>
      <w:r>
        <w:rPr>
          <w:lang w:val="sr-Cyrl-CS"/>
        </w:rPr>
        <w:t>Чл. 21а Закона о порезу на доходак грађана, („Службени гласник РС“, бр. 24/01, 80/02, 31/09, 44/09, 18/10, 50/11, 91/11, 93/12, 114/12, 8/13, 47/13,  48/13 и 108/13).</w:t>
      </w:r>
    </w:p>
  </w:footnote>
  <w:footnote w:id="454">
    <w:p w:rsidR="00767127" w:rsidRPr="00BF6E72" w:rsidRDefault="00767127">
      <w:pPr>
        <w:pStyle w:val="FootnoteText"/>
        <w:rPr>
          <w:lang w:val="sr-Cyrl-CS"/>
        </w:rPr>
      </w:pPr>
      <w:r>
        <w:rPr>
          <w:rStyle w:val="FootnoteReference"/>
        </w:rPr>
        <w:footnoteRef/>
      </w:r>
      <w:r>
        <w:t xml:space="preserve"> </w:t>
      </w:r>
      <w:r>
        <w:rPr>
          <w:lang w:val="sr-Cyrl-CS"/>
        </w:rPr>
        <w:t>Чл. 21в-21д  Закона о порезу на доходак грађана, („Службени гласник РС“, бр. 24/01, 80/02, 31/09, 44/09, 18/10, 50/11, 91/11, 93/12, 114/12, 8/13, 47/13,  48/13 и 108/13</w:t>
      </w:r>
    </w:p>
  </w:footnote>
  <w:footnote w:id="455">
    <w:p w:rsidR="00767127" w:rsidRPr="00BF6E72" w:rsidRDefault="00767127" w:rsidP="00BC7AAF">
      <w:pPr>
        <w:pStyle w:val="FootnoteText"/>
        <w:rPr>
          <w:lang w:val="sr-Cyrl-CS"/>
        </w:rPr>
      </w:pPr>
      <w:r>
        <w:rPr>
          <w:rStyle w:val="FootnoteReference"/>
        </w:rPr>
        <w:footnoteRef/>
      </w:r>
      <w:r>
        <w:t xml:space="preserve"> </w:t>
      </w:r>
      <w:r>
        <w:rPr>
          <w:lang w:val="sr-Cyrl-CS"/>
        </w:rPr>
        <w:t>Чл. 31. Закона о порезу на доходак грађана, („Службени гласник РС“, бр. 24/01, 80/02, 31/09, 44/09, 18/10, 50/11, 91/11, 93/12, 114/12, 8/13, 47/13,  48/13 и 108/13).</w:t>
      </w:r>
    </w:p>
    <w:p w:rsidR="00767127" w:rsidRPr="00BC7AAF" w:rsidRDefault="00767127">
      <w:pPr>
        <w:pStyle w:val="FootnoteText"/>
        <w:rPr>
          <w:lang w:val="sr-Cyrl-CS"/>
        </w:rPr>
      </w:pPr>
    </w:p>
  </w:footnote>
  <w:footnote w:id="456">
    <w:p w:rsidR="00767127" w:rsidRPr="0040159E" w:rsidRDefault="00767127">
      <w:pPr>
        <w:pStyle w:val="FootnoteText"/>
        <w:rPr>
          <w:lang w:val="sr-Cyrl-CS"/>
        </w:rPr>
      </w:pPr>
      <w:r>
        <w:rPr>
          <w:rStyle w:val="FootnoteReference"/>
        </w:rPr>
        <w:footnoteRef/>
      </w:r>
      <w:r>
        <w:t xml:space="preserve"> </w:t>
      </w:r>
      <w:r>
        <w:rPr>
          <w:lang w:val="sr-Cyrl-CS"/>
        </w:rPr>
        <w:t>Чл. 33. Закона о порезу на доходак грађана, („Службени гласник РС“, бр. 24/01, 80/02, 31/09, 44/09, 18/10, 50/11, 91/11, 93/12, 114/12, 8/13, 47/13,  48/13 и 108/13).</w:t>
      </w:r>
    </w:p>
  </w:footnote>
  <w:footnote w:id="457">
    <w:p w:rsidR="00767127" w:rsidRPr="00A239B8" w:rsidRDefault="00767127">
      <w:pPr>
        <w:pStyle w:val="FootnoteText"/>
        <w:rPr>
          <w:lang w:val="sr-Cyrl-CS"/>
        </w:rPr>
      </w:pPr>
      <w:r>
        <w:rPr>
          <w:rStyle w:val="FootnoteReference"/>
        </w:rPr>
        <w:footnoteRef/>
      </w:r>
      <w:r>
        <w:t xml:space="preserve"> </w:t>
      </w:r>
      <w:r>
        <w:rPr>
          <w:lang w:val="sr-Cyrl-CS"/>
        </w:rPr>
        <w:t>Чл. 52. Закона о порезу на доходак грађана, („Службени гласник РС“, бр. 24/01, 80/02, 31/09, 44/09, 18/10, 50/11, 91/11, 93/12, 114/12, 8/13, 47/13,  48/13 и 108/13).</w:t>
      </w:r>
    </w:p>
  </w:footnote>
  <w:footnote w:id="458">
    <w:p w:rsidR="00767127" w:rsidRPr="00A239B8" w:rsidRDefault="00767127">
      <w:pPr>
        <w:pStyle w:val="FootnoteText"/>
        <w:rPr>
          <w:lang w:val="sr-Cyrl-CS"/>
        </w:rPr>
      </w:pPr>
      <w:r>
        <w:rPr>
          <w:rStyle w:val="FootnoteReference"/>
        </w:rPr>
        <w:footnoteRef/>
      </w:r>
      <w:r>
        <w:rPr>
          <w:lang w:val="sr-Cyrl-CS"/>
        </w:rPr>
        <w:t xml:space="preserve"> Чл. 52а Закона о порезу на доходак грађана, („Службени гласник РС“, бр. 24/01, 80/02, 31/09, 44/09, 18/10, 50/11, 91/11, 93/12, 114/12, 8/13, 47/13,  48/13 и 108/13).</w:t>
      </w:r>
    </w:p>
  </w:footnote>
  <w:footnote w:id="459">
    <w:p w:rsidR="00767127" w:rsidRPr="00A239B8" w:rsidRDefault="00767127" w:rsidP="00A239B8">
      <w:pPr>
        <w:pStyle w:val="FootnoteText"/>
        <w:rPr>
          <w:lang w:val="sr-Cyrl-CS"/>
        </w:rPr>
      </w:pPr>
      <w:r>
        <w:rPr>
          <w:rStyle w:val="FootnoteReference"/>
        </w:rPr>
        <w:footnoteRef/>
      </w:r>
      <w:r>
        <w:t xml:space="preserve"> </w:t>
      </w:r>
      <w:r>
        <w:rPr>
          <w:lang w:val="sr-Cyrl-CS"/>
        </w:rPr>
        <w:t>Чл. 53. Закона о порезу на доходак грађана, („Службени гласник РС“, бр. 24/01, 80/02, 31/09, 44/09, 18/10, 50/11, 91/11, 93/12, 114/12, 8/13, 47/13,  48/13 и 108/13).</w:t>
      </w:r>
    </w:p>
    <w:p w:rsidR="00767127" w:rsidRPr="00A239B8" w:rsidRDefault="00767127">
      <w:pPr>
        <w:pStyle w:val="FootnoteText"/>
        <w:rPr>
          <w:lang w:val="sr-Cyrl-CS"/>
        </w:rPr>
      </w:pPr>
    </w:p>
  </w:footnote>
  <w:footnote w:id="460">
    <w:p w:rsidR="00767127" w:rsidRPr="00F36E79" w:rsidRDefault="00767127">
      <w:pPr>
        <w:pStyle w:val="FootnoteText"/>
        <w:rPr>
          <w:lang w:val="sr-Cyrl-CS"/>
        </w:rPr>
      </w:pPr>
      <w:r>
        <w:rPr>
          <w:rStyle w:val="FootnoteReference"/>
        </w:rPr>
        <w:footnoteRef/>
      </w:r>
      <w:r>
        <w:t xml:space="preserve"> </w:t>
      </w:r>
      <w:r>
        <w:rPr>
          <w:lang w:val="sr-Cyrl-CS"/>
        </w:rPr>
        <w:t>Чл. 62. Закона о порезу на доходак грађана, („Службени гласник РС“, бр. 24/01, 80/02, 31/09, 44/09, 18/10, 50/11, 91/11, 93/12, 114/12, 8/13, 47/13,  48/13 и 108/13).</w:t>
      </w:r>
    </w:p>
  </w:footnote>
  <w:footnote w:id="461">
    <w:p w:rsidR="00767127" w:rsidRPr="00F36E79" w:rsidRDefault="00767127">
      <w:pPr>
        <w:pStyle w:val="FootnoteText"/>
        <w:rPr>
          <w:lang w:val="sr-Cyrl-CS"/>
        </w:rPr>
      </w:pPr>
      <w:r>
        <w:rPr>
          <w:rStyle w:val="FootnoteReference"/>
        </w:rPr>
        <w:footnoteRef/>
      </w:r>
      <w:r>
        <w:t xml:space="preserve"> </w:t>
      </w:r>
      <w:r>
        <w:rPr>
          <w:lang w:val="sr-Cyrl-CS"/>
        </w:rPr>
        <w:t>Чл. 63. Закона о порезу на доходак грађана, („Службени гласник РС“, бр. 24/01, 80/02, 31/09, 44/09, 18/10, 50/11, 91/11, 93/12, 114/12, 8/13, 47/13,  48/13 и 108/13).</w:t>
      </w:r>
    </w:p>
  </w:footnote>
  <w:footnote w:id="462">
    <w:p w:rsidR="00767127" w:rsidRPr="00F36E79" w:rsidRDefault="00767127" w:rsidP="00F36E79">
      <w:pPr>
        <w:pStyle w:val="FootnoteText"/>
        <w:rPr>
          <w:lang w:val="sr-Cyrl-CS"/>
        </w:rPr>
      </w:pPr>
      <w:r>
        <w:rPr>
          <w:rStyle w:val="FootnoteReference"/>
        </w:rPr>
        <w:footnoteRef/>
      </w:r>
      <w:r>
        <w:t xml:space="preserve"> </w:t>
      </w:r>
      <w:r>
        <w:rPr>
          <w:lang w:val="sr-Cyrl-CS"/>
        </w:rPr>
        <w:t>Чл. 65. Закона о порезу на доходак грађана, („Службени гласник РС“, бр. 24/01, 80/02, 31/09, 44/09, 18/10, 50/11, 91/11, 93/12, 114/12, 8/13, 47/13,  48/13 и 108/13).</w:t>
      </w:r>
    </w:p>
    <w:p w:rsidR="00767127" w:rsidRPr="00F36E79" w:rsidRDefault="00767127">
      <w:pPr>
        <w:pStyle w:val="FootnoteText"/>
        <w:rPr>
          <w:lang w:val="sr-Cyrl-CS"/>
        </w:rPr>
      </w:pPr>
    </w:p>
  </w:footnote>
  <w:footnote w:id="463">
    <w:p w:rsidR="00767127" w:rsidRPr="00741D88" w:rsidRDefault="00767127">
      <w:pPr>
        <w:pStyle w:val="FootnoteText"/>
        <w:rPr>
          <w:lang w:val="sr-Cyrl-CS"/>
        </w:rPr>
      </w:pPr>
      <w:r>
        <w:rPr>
          <w:rStyle w:val="FootnoteReference"/>
        </w:rPr>
        <w:footnoteRef/>
      </w:r>
      <w:r>
        <w:t xml:space="preserve"> </w:t>
      </w:r>
      <w:r>
        <w:rPr>
          <w:lang w:val="sr-Cyrl-CS"/>
        </w:rPr>
        <w:t>Чл. 81-86. Закона о порезу на доходак грађана, („Службени гласник РС“, бр. 24/01, 80/02, 31/09, 44/09, 18/10, 50/11, 91/11, 93/12, 114/12, 8/13, 47/13,  48/13 и 108/13).</w:t>
      </w:r>
    </w:p>
  </w:footnote>
  <w:footnote w:id="464">
    <w:p w:rsidR="00767127" w:rsidRPr="003844EB" w:rsidRDefault="00767127">
      <w:pPr>
        <w:pStyle w:val="FootnoteText"/>
        <w:rPr>
          <w:lang w:val="sr-Cyrl-CS"/>
        </w:rPr>
      </w:pPr>
      <w:r>
        <w:rPr>
          <w:rStyle w:val="FootnoteReference"/>
        </w:rPr>
        <w:footnoteRef/>
      </w:r>
      <w:r>
        <w:t xml:space="preserve"> </w:t>
      </w:r>
      <w:r>
        <w:rPr>
          <w:lang w:val="sr-Cyrl-CS"/>
        </w:rPr>
        <w:t xml:space="preserve">Чл. 87. Закона о порезу на доходак грађана, </w:t>
      </w:r>
      <w:r w:rsidRPr="003844EB">
        <w:rPr>
          <w:lang w:val="sr-Cyrl-CS"/>
        </w:rPr>
        <w:t>(„Службени гласник РС“, бр. 24/01, 80/02, 31/09, 44/09, 18/10, 50/11, 91/11, 93/12, 114/12, 8/13, 47/13,  48/13 и 108/13).</w:t>
      </w:r>
    </w:p>
  </w:footnote>
  <w:footnote w:id="465">
    <w:p w:rsidR="00767127" w:rsidRPr="003844EB" w:rsidRDefault="00767127">
      <w:pPr>
        <w:pStyle w:val="FootnoteText"/>
        <w:rPr>
          <w:lang w:val="sr-Cyrl-CS"/>
        </w:rPr>
      </w:pPr>
      <w:r w:rsidRPr="003844EB">
        <w:rPr>
          <w:rStyle w:val="FootnoteReference"/>
        </w:rPr>
        <w:footnoteRef/>
      </w:r>
      <w:r w:rsidRPr="003844EB">
        <w:t xml:space="preserve"> </w:t>
      </w:r>
      <w:r>
        <w:rPr>
          <w:lang w:val="sr-Cyrl-CS"/>
        </w:rPr>
        <w:t>Ч</w:t>
      </w:r>
      <w:r w:rsidRPr="003844EB">
        <w:rPr>
          <w:lang w:val="sr-Cyrl-CS"/>
        </w:rPr>
        <w:t>л. 88. Закона о порезу на доходак грађана, („Службени гласник РС“, бр. 24/01, 80/02, 31/09, 44/09, 18/10, 50/11, 91/11, 93/12, 114/12, 8/13, 47/13,  48/13 и 108/13).</w:t>
      </w:r>
    </w:p>
  </w:footnote>
  <w:footnote w:id="466">
    <w:p w:rsidR="00767127" w:rsidRPr="00C0657D" w:rsidRDefault="00767127" w:rsidP="00717D0E">
      <w:pPr>
        <w:pStyle w:val="FootnoteText"/>
        <w:rPr>
          <w:lang w:val="sr-Cyrl-CS"/>
        </w:rPr>
      </w:pPr>
      <w:r>
        <w:rPr>
          <w:rStyle w:val="FootnoteReference"/>
        </w:rPr>
        <w:footnoteRef/>
      </w:r>
      <w:r>
        <w:t xml:space="preserve"> </w:t>
      </w:r>
      <w:r>
        <w:rPr>
          <w:lang w:val="sr-Cyrl-CS"/>
        </w:rPr>
        <w:t>Чл. 21в и 21г Закона о порезу на доходак грађана, („Службени гласник РС“, бр. 24/01, 80/02, 31/09, 44/09, 18/10, 50/11, 91/11, 93/12, 114/12, 8/13, 47/13 и 48/13).</w:t>
      </w:r>
    </w:p>
  </w:footnote>
  <w:footnote w:id="467">
    <w:p w:rsidR="00767127" w:rsidRPr="00C22F48" w:rsidRDefault="00767127" w:rsidP="00717D0E">
      <w:pPr>
        <w:pStyle w:val="FootnoteText"/>
        <w:rPr>
          <w:lang w:val="sr-Cyrl-CS"/>
        </w:rPr>
      </w:pPr>
      <w:r>
        <w:rPr>
          <w:rStyle w:val="FootnoteReference"/>
        </w:rPr>
        <w:footnoteRef/>
      </w:r>
      <w:r>
        <w:rPr>
          <w:lang w:val="sr-Cyrl-CS"/>
        </w:rPr>
        <w:t>Чл. 18. Закона о порезу на доходак грађана, („Службени гласник РС“, бр. 24/01, 80/02, 31/09, 44/09, 18/10, 50/11, 91/11, 93/12, 114/12, 8/13, 47/13,  48/13 и 108/13).</w:t>
      </w:r>
    </w:p>
    <w:p w:rsidR="00767127" w:rsidRPr="00AA2842" w:rsidRDefault="00767127" w:rsidP="00717D0E">
      <w:pPr>
        <w:pStyle w:val="FootnoteText"/>
        <w:rPr>
          <w:lang w:val="sr-Cyrl-CS"/>
        </w:rPr>
      </w:pPr>
      <w:r>
        <w:t xml:space="preserve"> </w:t>
      </w:r>
    </w:p>
  </w:footnote>
  <w:footnote w:id="468">
    <w:p w:rsidR="00767127" w:rsidRPr="00CA0A31" w:rsidRDefault="00767127" w:rsidP="00717D0E">
      <w:pPr>
        <w:pStyle w:val="FootnoteText"/>
        <w:rPr>
          <w:lang w:val="sr-Cyrl-CS"/>
        </w:rPr>
      </w:pPr>
      <w:r>
        <w:rPr>
          <w:rStyle w:val="FootnoteReference"/>
        </w:rPr>
        <w:footnoteRef/>
      </w:r>
      <w:r>
        <w:t xml:space="preserve"> </w:t>
      </w:r>
      <w:r>
        <w:rPr>
          <w:lang w:val="sr-Cyrl-CS"/>
        </w:rPr>
        <w:t>Чл. 39. Закона о порезу на доходак грађана, („Службени гласник РС“, бр. 24/01, 80/02, 31/09, 44/09, 18/10, 50/11, 91/11, 93/12, 114/12, 8/13, 47/13 и 48/13).</w:t>
      </w:r>
    </w:p>
  </w:footnote>
  <w:footnote w:id="469">
    <w:p w:rsidR="00767127" w:rsidRPr="00956F81" w:rsidRDefault="00767127" w:rsidP="00717D0E">
      <w:pPr>
        <w:pStyle w:val="FootnoteText"/>
        <w:rPr>
          <w:lang w:val="sr-Cyrl-CS"/>
        </w:rPr>
      </w:pPr>
      <w:r>
        <w:rPr>
          <w:rStyle w:val="FootnoteReference"/>
        </w:rPr>
        <w:footnoteRef/>
      </w:r>
      <w:r>
        <w:t xml:space="preserve"> </w:t>
      </w:r>
      <w:r>
        <w:rPr>
          <w:lang w:val="sr-Cyrl-CS"/>
        </w:rPr>
        <w:t>„Службени гласник РС“ бр. 65/01, 45/02, 47/02, 91/02,  23/03, 16/04, 76/04, 31/05 и 25/13.</w:t>
      </w:r>
    </w:p>
  </w:footnote>
  <w:footnote w:id="470">
    <w:p w:rsidR="00767127" w:rsidRPr="00A768DB" w:rsidRDefault="00767127" w:rsidP="00717D0E">
      <w:pPr>
        <w:pStyle w:val="FootnoteText"/>
        <w:rPr>
          <w:lang w:val="sr-Cyrl-CS"/>
        </w:rPr>
      </w:pPr>
      <w:r>
        <w:rPr>
          <w:rStyle w:val="FootnoteReference"/>
        </w:rPr>
        <w:footnoteRef/>
      </w:r>
      <w:r>
        <w:t xml:space="preserve"> </w:t>
      </w:r>
      <w:r>
        <w:rPr>
          <w:lang w:val="sr-Cyrl-CS"/>
        </w:rPr>
        <w:t>Закон о потврђивању Конвенције о признавању европских патената (Конвенција о Европском паненту), „Службени гласникРС-Међународни уговори“ бр. 5/10 и „Сл. гласник РС“ бр. 99/11.</w:t>
      </w:r>
    </w:p>
  </w:footnote>
  <w:footnote w:id="471">
    <w:p w:rsidR="00767127" w:rsidRPr="0001152A" w:rsidRDefault="00767127" w:rsidP="00717D0E">
      <w:pPr>
        <w:pStyle w:val="FootnoteText"/>
        <w:rPr>
          <w:lang w:val="sr-Cyrl-CS"/>
        </w:rPr>
      </w:pPr>
      <w:r>
        <w:rPr>
          <w:rStyle w:val="FootnoteReference"/>
        </w:rPr>
        <w:footnoteRef/>
      </w:r>
      <w:r>
        <w:t xml:space="preserve"> </w:t>
      </w:r>
      <w:r>
        <w:rPr>
          <w:lang w:val="sr-Cyrl-CS"/>
        </w:rPr>
        <w:t>Чл. 52-60. Закона о порезу на доходак грађана, („Службени гласник РС“, бр. 24/01, 80/02, 31/09, 44/09, 18/10, 50/11, 91/11, 93/12, 114/12, 8/13, 47/13 и 48/13).</w:t>
      </w:r>
    </w:p>
  </w:footnote>
  <w:footnote w:id="472">
    <w:p w:rsidR="00767127" w:rsidRPr="007B2F38" w:rsidRDefault="00767127" w:rsidP="001954C8">
      <w:pPr>
        <w:pStyle w:val="FootnoteText"/>
        <w:rPr>
          <w:lang w:val="sr-Cyrl-CS"/>
        </w:rPr>
      </w:pPr>
      <w:r>
        <w:rPr>
          <w:rStyle w:val="FootnoteReference"/>
        </w:rPr>
        <w:footnoteRef/>
      </w:r>
      <w:r>
        <w:t xml:space="preserve"> </w:t>
      </w:r>
      <w:r>
        <w:rPr>
          <w:lang w:val="sr-Cyrl-CS"/>
        </w:rPr>
        <w:t xml:space="preserve">Дејан Поповић, </w:t>
      </w:r>
      <w:r w:rsidRPr="005B3A96">
        <w:rPr>
          <w:i/>
          <w:lang w:val="sr-Cyrl-CS"/>
        </w:rPr>
        <w:t>нав. дело</w:t>
      </w:r>
      <w:r>
        <w:rPr>
          <w:lang w:val="sr-Cyrl-CS"/>
        </w:rPr>
        <w:t>,  стр. 294.</w:t>
      </w:r>
    </w:p>
  </w:footnote>
  <w:footnote w:id="473">
    <w:p w:rsidR="00767127" w:rsidRPr="00EA7188" w:rsidRDefault="00767127" w:rsidP="00717D0E">
      <w:pPr>
        <w:pStyle w:val="FootnoteText"/>
        <w:rPr>
          <w:lang w:val="sr-Cyrl-CS"/>
        </w:rPr>
      </w:pPr>
      <w:r>
        <w:rPr>
          <w:rStyle w:val="FootnoteReference"/>
        </w:rPr>
        <w:footnoteRef/>
      </w:r>
      <w:r>
        <w:rPr>
          <w:lang w:val="sr-Cyrl-CS"/>
        </w:rPr>
        <w:t xml:space="preserve">Миодраг Вуковић, </w:t>
      </w:r>
      <w:r>
        <w:rPr>
          <w:i/>
          <w:lang w:val="sr-Cyrl-CS"/>
        </w:rPr>
        <w:t xml:space="preserve">нав. дело, </w:t>
      </w:r>
      <w:r>
        <w:rPr>
          <w:lang w:val="sr-Cyrl-CS"/>
        </w:rPr>
        <w:t xml:space="preserve"> стр. 108.</w:t>
      </w:r>
      <w:r>
        <w:t xml:space="preserve"> </w:t>
      </w:r>
    </w:p>
  </w:footnote>
  <w:footnote w:id="474">
    <w:p w:rsidR="00767127" w:rsidRPr="004C3AFA" w:rsidRDefault="00767127">
      <w:pPr>
        <w:pStyle w:val="FootnoteText"/>
        <w:rPr>
          <w:lang w:val="sr-Cyrl-CS"/>
        </w:rPr>
      </w:pPr>
      <w:r>
        <w:rPr>
          <w:rStyle w:val="FootnoteReference"/>
        </w:rPr>
        <w:footnoteRef/>
      </w:r>
      <w:r>
        <w:t xml:space="preserve"> </w:t>
      </w:r>
      <w:r w:rsidRPr="004C3AFA">
        <w:rPr>
          <w:b/>
          <w:lang w:val="sr-Cyrl-CS"/>
        </w:rPr>
        <w:t>Модалитети пореске утаје</w:t>
      </w:r>
      <w:r>
        <w:rPr>
          <w:lang w:val="sr-Cyrl-CS"/>
        </w:rPr>
        <w:t xml:space="preserve">, </w:t>
      </w:r>
      <w:r w:rsidRPr="005B3A96">
        <w:rPr>
          <w:i/>
          <w:lang w:val="sr-Cyrl-CS"/>
        </w:rPr>
        <w:t>нав. дело</w:t>
      </w:r>
      <w:r>
        <w:rPr>
          <w:lang w:val="sr-Cyrl-CS"/>
        </w:rPr>
        <w:t>, стр. 12.</w:t>
      </w:r>
    </w:p>
  </w:footnote>
  <w:footnote w:id="475">
    <w:p w:rsidR="00767127" w:rsidRPr="008C28A6" w:rsidRDefault="00767127" w:rsidP="00717D0E">
      <w:pPr>
        <w:pStyle w:val="FootnoteText"/>
        <w:rPr>
          <w:lang w:val="sr-Cyrl-CS"/>
        </w:rPr>
      </w:pPr>
      <w:r>
        <w:rPr>
          <w:rStyle w:val="FootnoteReference"/>
        </w:rPr>
        <w:footnoteRef/>
      </w:r>
      <w:r>
        <w:t xml:space="preserve"> </w:t>
      </w:r>
      <w:r>
        <w:rPr>
          <w:lang w:val="sr-Cyrl-CS"/>
        </w:rPr>
        <w:t xml:space="preserve"> Миодраг Вуковић, </w:t>
      </w:r>
      <w:r>
        <w:rPr>
          <w:i/>
          <w:lang w:val="sr-Cyrl-CS"/>
        </w:rPr>
        <w:t>нав. дело,</w:t>
      </w:r>
      <w:r>
        <w:rPr>
          <w:lang w:val="sr-Cyrl-CS"/>
        </w:rPr>
        <w:t xml:space="preserve"> стр. 105.</w:t>
      </w:r>
    </w:p>
  </w:footnote>
  <w:footnote w:id="476">
    <w:p w:rsidR="00767127" w:rsidRPr="00373842" w:rsidRDefault="00767127" w:rsidP="00717D0E">
      <w:pPr>
        <w:pStyle w:val="FootnoteText"/>
        <w:rPr>
          <w:lang w:val="sr-Cyrl-CS"/>
        </w:rPr>
      </w:pPr>
      <w:r>
        <w:rPr>
          <w:rStyle w:val="FootnoteReference"/>
        </w:rPr>
        <w:footnoteRef/>
      </w:r>
      <w:r>
        <w:t xml:space="preserve"> </w:t>
      </w:r>
      <w:r>
        <w:rPr>
          <w:lang w:val="sr-Cyrl-CS"/>
        </w:rPr>
        <w:t xml:space="preserve">Миодраг Вуковић, </w:t>
      </w:r>
      <w:r>
        <w:rPr>
          <w:i/>
          <w:lang w:val="sr-Cyrl-CS"/>
        </w:rPr>
        <w:t>нав. дело,</w:t>
      </w:r>
      <w:r>
        <w:rPr>
          <w:lang w:val="sr-Cyrl-CS"/>
        </w:rPr>
        <w:t xml:space="preserve"> стр. 110.</w:t>
      </w:r>
    </w:p>
  </w:footnote>
  <w:footnote w:id="477">
    <w:p w:rsidR="00767127" w:rsidRPr="00C75021" w:rsidRDefault="00767127">
      <w:pPr>
        <w:pStyle w:val="FootnoteText"/>
        <w:rPr>
          <w:lang w:val="sr-Cyrl-CS"/>
        </w:rPr>
      </w:pPr>
      <w:r>
        <w:rPr>
          <w:rStyle w:val="FootnoteReference"/>
        </w:rPr>
        <w:footnoteRef/>
      </w:r>
      <w:r>
        <w:t xml:space="preserve"> </w:t>
      </w:r>
      <w:r w:rsidRPr="00C75021">
        <w:rPr>
          <w:b/>
          <w:lang w:val="sr-Cyrl-CS"/>
        </w:rPr>
        <w:t>Модалитети пореске утаје</w:t>
      </w:r>
      <w:r>
        <w:rPr>
          <w:lang w:val="sr-Cyrl-CS"/>
        </w:rPr>
        <w:t xml:space="preserve">, </w:t>
      </w:r>
      <w:r w:rsidRPr="005B3A96">
        <w:rPr>
          <w:i/>
          <w:lang w:val="sr-Cyrl-CS"/>
        </w:rPr>
        <w:t>нав. дело,</w:t>
      </w:r>
      <w:r>
        <w:rPr>
          <w:lang w:val="sr-Cyrl-CS"/>
        </w:rPr>
        <w:t xml:space="preserve">  стр. 13.</w:t>
      </w:r>
    </w:p>
  </w:footnote>
  <w:footnote w:id="478">
    <w:p w:rsidR="00767127" w:rsidRPr="004D7237" w:rsidRDefault="00767127" w:rsidP="00717D0E">
      <w:pPr>
        <w:pStyle w:val="FootnoteText"/>
        <w:rPr>
          <w:lang w:val="sr-Cyrl-CS"/>
        </w:rPr>
      </w:pPr>
      <w:r>
        <w:rPr>
          <w:rStyle w:val="FootnoteReference"/>
        </w:rPr>
        <w:footnoteRef/>
      </w:r>
      <w:r>
        <w:t xml:space="preserve"> </w:t>
      </w:r>
      <w:r>
        <w:rPr>
          <w:lang w:val="sr-Cyrl-CS"/>
        </w:rPr>
        <w:t>Миодраг Вуковић</w:t>
      </w:r>
      <w:r>
        <w:t xml:space="preserve">, </w:t>
      </w:r>
      <w:r>
        <w:rPr>
          <w:i/>
          <w:lang w:val="sr-Cyrl-CS"/>
        </w:rPr>
        <w:t>нав. дело</w:t>
      </w:r>
      <w:r>
        <w:t xml:space="preserve">, </w:t>
      </w:r>
      <w:r>
        <w:rPr>
          <w:lang w:val="sr-Cyrl-CS"/>
        </w:rPr>
        <w:t>стр. 111.</w:t>
      </w:r>
    </w:p>
  </w:footnote>
  <w:footnote w:id="479">
    <w:p w:rsidR="00767127" w:rsidRPr="00C75021" w:rsidRDefault="00767127">
      <w:pPr>
        <w:pStyle w:val="FootnoteText"/>
        <w:rPr>
          <w:lang w:val="sr-Cyrl-CS"/>
        </w:rPr>
      </w:pPr>
      <w:r>
        <w:rPr>
          <w:rStyle w:val="FootnoteReference"/>
        </w:rPr>
        <w:footnoteRef/>
      </w:r>
      <w:r>
        <w:t xml:space="preserve"> </w:t>
      </w:r>
      <w:r w:rsidRPr="00C75021">
        <w:rPr>
          <w:b/>
          <w:lang w:val="sr-Cyrl-CS"/>
        </w:rPr>
        <w:t>Модалитети пореске утаје</w:t>
      </w:r>
      <w:r>
        <w:rPr>
          <w:lang w:val="sr-Cyrl-CS"/>
        </w:rPr>
        <w:t xml:space="preserve">, </w:t>
      </w:r>
      <w:r w:rsidRPr="005B3A96">
        <w:rPr>
          <w:i/>
          <w:lang w:val="sr-Cyrl-CS"/>
        </w:rPr>
        <w:t>нав. дело</w:t>
      </w:r>
      <w:r>
        <w:rPr>
          <w:lang w:val="sr-Cyrl-CS"/>
        </w:rPr>
        <w:t>, стр. 13.</w:t>
      </w:r>
    </w:p>
  </w:footnote>
  <w:footnote w:id="480">
    <w:p w:rsidR="00767127" w:rsidRPr="00C75021" w:rsidRDefault="00767127">
      <w:pPr>
        <w:pStyle w:val="FootnoteText"/>
      </w:pPr>
      <w:r>
        <w:rPr>
          <w:rStyle w:val="FootnoteReference"/>
        </w:rPr>
        <w:footnoteRef/>
      </w:r>
      <w:r>
        <w:t xml:space="preserve"> </w:t>
      </w:r>
      <w:r>
        <w:rPr>
          <w:i/>
          <w:lang w:val="sr-Cyrl-CS"/>
        </w:rPr>
        <w:t>Нав. дело</w:t>
      </w:r>
      <w:r>
        <w:t xml:space="preserve">, </w:t>
      </w:r>
      <w:r>
        <w:rPr>
          <w:lang w:val="sr-Cyrl-CS"/>
        </w:rPr>
        <w:t>стр</w:t>
      </w:r>
      <w:r>
        <w:t>. 13.</w:t>
      </w:r>
    </w:p>
  </w:footnote>
  <w:footnote w:id="481">
    <w:p w:rsidR="00767127" w:rsidRPr="00BD6062" w:rsidRDefault="00767127">
      <w:pPr>
        <w:pStyle w:val="FootnoteText"/>
        <w:rPr>
          <w:lang w:val="sr-Cyrl-CS"/>
        </w:rPr>
      </w:pPr>
      <w:r>
        <w:rPr>
          <w:rStyle w:val="FootnoteReference"/>
        </w:rPr>
        <w:footnoteRef/>
      </w:r>
      <w:r>
        <w:t xml:space="preserve"> </w:t>
      </w:r>
      <w:r>
        <w:rPr>
          <w:lang w:val="sr-Cyrl-CS"/>
        </w:rPr>
        <w:t>Чл. 99. Закона о порезу на доходак грађана, („Службени гласник РС“, бр. 24/01, 80/02, 31/09, 44/09, 18/10, 50/11, 91/11, 93/12, 114/12, 8/13, 47/13 и 48/13).</w:t>
      </w:r>
    </w:p>
  </w:footnote>
  <w:footnote w:id="482">
    <w:p w:rsidR="00767127" w:rsidRPr="00BD6062" w:rsidRDefault="00767127">
      <w:pPr>
        <w:pStyle w:val="FootnoteText"/>
        <w:rPr>
          <w:lang w:val="sr-Cyrl-CS"/>
        </w:rPr>
      </w:pPr>
      <w:r>
        <w:rPr>
          <w:rStyle w:val="FootnoteReference"/>
        </w:rPr>
        <w:footnoteRef/>
      </w:r>
      <w:r>
        <w:t xml:space="preserve"> </w:t>
      </w:r>
      <w:r>
        <w:rPr>
          <w:lang w:val="sr-Cyrl-CS"/>
        </w:rPr>
        <w:t>Чл. 100. Закона о порезу на доходак грађана, („Службени гласник РС“, бр. 24/01, 80/02, 31/09, 44/09, 18/10, 50/11, 91/11, 93/12, 114/12, 8/13, 47/13 и 48/13).</w:t>
      </w:r>
    </w:p>
  </w:footnote>
  <w:footnote w:id="483">
    <w:p w:rsidR="00767127" w:rsidRPr="00BD6062" w:rsidRDefault="00767127">
      <w:pPr>
        <w:pStyle w:val="FootnoteText"/>
        <w:rPr>
          <w:lang w:val="sr-Cyrl-CS"/>
        </w:rPr>
      </w:pPr>
      <w:r>
        <w:rPr>
          <w:rStyle w:val="FootnoteReference"/>
        </w:rPr>
        <w:footnoteRef/>
      </w:r>
      <w:r>
        <w:t xml:space="preserve"> </w:t>
      </w:r>
      <w:r>
        <w:rPr>
          <w:lang w:val="sr-Cyrl-CS"/>
        </w:rPr>
        <w:t>Чл. 100а Закона о порезу на доходак грађана, („Службени гласник РС“, бр. 24/01, 80/02, 31/09, 44/09, 18/10, 50/11, 91/11, 93/12, 114/12, 8/13, 47/13 и 48/13).</w:t>
      </w:r>
    </w:p>
  </w:footnote>
  <w:footnote w:id="484">
    <w:p w:rsidR="00767127" w:rsidRPr="00A22225" w:rsidRDefault="00767127">
      <w:pPr>
        <w:pStyle w:val="FootnoteText"/>
        <w:rPr>
          <w:lang w:val="sr-Cyrl-CS"/>
        </w:rPr>
      </w:pPr>
      <w:r>
        <w:rPr>
          <w:rStyle w:val="FootnoteReference"/>
        </w:rPr>
        <w:footnoteRef/>
      </w:r>
      <w:r>
        <w:t xml:space="preserve"> </w:t>
      </w:r>
      <w:r>
        <w:rPr>
          <w:lang w:val="sr-Cyrl-CS"/>
        </w:rPr>
        <w:t>Чл. 103. Закона о порезу на доходак грађана, („Службени гласник РС“, бр. 24/01, 80/02, 31/09, 44/09, 18/10, 50/11, 91/11, 93/12, 114/12, 8/13, 47/13 и 48/13).</w:t>
      </w:r>
    </w:p>
  </w:footnote>
  <w:footnote w:id="485">
    <w:p w:rsidR="00767127" w:rsidRPr="00A22225" w:rsidRDefault="00767127">
      <w:pPr>
        <w:pStyle w:val="FootnoteText"/>
        <w:rPr>
          <w:lang w:val="sr-Cyrl-CS"/>
        </w:rPr>
      </w:pPr>
      <w:r>
        <w:rPr>
          <w:rStyle w:val="FootnoteReference"/>
        </w:rPr>
        <w:footnoteRef/>
      </w:r>
      <w:r>
        <w:t xml:space="preserve"> </w:t>
      </w:r>
      <w:r>
        <w:rPr>
          <w:lang w:val="sr-Cyrl-CS"/>
        </w:rPr>
        <w:t>Чл. 109.  Закона о порезу на доходак грађана, („Службени гласник РС“, бр. 24/01, 80/02, 31/09, 44/09, 18/10, 50/11, 91/11, 93/12, 114/12, 8/13, 47/13 и 48/13).</w:t>
      </w:r>
    </w:p>
  </w:footnote>
  <w:footnote w:id="486">
    <w:p w:rsidR="00767127" w:rsidRPr="00A22225" w:rsidRDefault="00767127">
      <w:pPr>
        <w:pStyle w:val="FootnoteText"/>
        <w:rPr>
          <w:lang w:val="sr-Cyrl-CS"/>
        </w:rPr>
      </w:pPr>
      <w:r>
        <w:rPr>
          <w:rStyle w:val="FootnoteReference"/>
        </w:rPr>
        <w:footnoteRef/>
      </w:r>
      <w:r>
        <w:t xml:space="preserve"> </w:t>
      </w:r>
      <w:r>
        <w:rPr>
          <w:lang w:val="sr-Cyrl-CS"/>
        </w:rPr>
        <w:t>Чл. 43. Закона о порезу на доходак грађана, („Службени гласник РС“, бр. 24/01, 80/02, 31/09, 44/09, 18/10, 50/11, 91/11, 93/12, 114/12, 8/13, 47/13 и 48/13).</w:t>
      </w:r>
    </w:p>
  </w:footnote>
  <w:footnote w:id="487">
    <w:p w:rsidR="00767127" w:rsidRPr="002E18BA" w:rsidRDefault="00767127" w:rsidP="00A22225">
      <w:pPr>
        <w:pStyle w:val="FootnoteText"/>
        <w:rPr>
          <w:lang w:val="sr-Cyrl-CS"/>
        </w:rPr>
      </w:pPr>
      <w:r>
        <w:rPr>
          <w:rStyle w:val="FootnoteReference"/>
        </w:rPr>
        <w:footnoteRef/>
      </w:r>
      <w:r>
        <w:t xml:space="preserve"> </w:t>
      </w:r>
      <w:r>
        <w:rPr>
          <w:lang w:val="sr-Cyrl-CS"/>
        </w:rPr>
        <w:t>Чл. 54-61. Закон о пореском поступку и пореској администрацији, („Службени гласник РС“ бр. 80/02, 23/03, 70/03, 55/04, 61/05, 85/05, 62/06, 63/06, 61/07, 20/09, 72/09, 53/10, 101/10, 2/12, 93/12 и 47/13).</w:t>
      </w:r>
    </w:p>
    <w:p w:rsidR="00767127" w:rsidRPr="00A22225" w:rsidRDefault="00767127">
      <w:pPr>
        <w:pStyle w:val="FootnoteText"/>
        <w:rPr>
          <w:lang w:val="sr-Cyrl-CS"/>
        </w:rPr>
      </w:pPr>
    </w:p>
  </w:footnote>
  <w:footnote w:id="488">
    <w:p w:rsidR="00767127" w:rsidRPr="005F0F59" w:rsidRDefault="00767127" w:rsidP="00C24C24">
      <w:pPr>
        <w:pStyle w:val="FootnoteText"/>
        <w:jc w:val="both"/>
      </w:pPr>
      <w:r>
        <w:rPr>
          <w:rStyle w:val="FootnoteReference"/>
        </w:rPr>
        <w:footnoteRef/>
      </w:r>
      <w:r>
        <w:rPr>
          <w:lang w:val="sr-Cyrl-CS"/>
        </w:rPr>
        <w:t xml:space="preserve">Дејан Поповић, </w:t>
      </w:r>
      <w:r w:rsidRPr="006474A9">
        <w:rPr>
          <w:i/>
          <w:lang w:val="sr-Cyrl-CS"/>
        </w:rPr>
        <w:t>нав. дело,</w:t>
      </w:r>
      <w:r>
        <w:rPr>
          <w:lang w:val="sr-Cyrl-CS"/>
        </w:rPr>
        <w:t xml:space="preserve"> стр. </w:t>
      </w:r>
      <w:r>
        <w:t>141-143.</w:t>
      </w:r>
      <w:r>
        <w:rPr>
          <w:lang w:val="sr-Cyrl-CS"/>
        </w:rPr>
        <w:t xml:space="preserve"> </w:t>
      </w:r>
    </w:p>
  </w:footnote>
  <w:footnote w:id="489">
    <w:p w:rsidR="00767127" w:rsidRPr="003E7E46" w:rsidRDefault="00767127" w:rsidP="00992840">
      <w:pPr>
        <w:pStyle w:val="FootnoteText"/>
        <w:jc w:val="both"/>
        <w:rPr>
          <w:lang w:val="sr-Cyrl-CS"/>
        </w:rPr>
      </w:pPr>
      <w:r>
        <w:rPr>
          <w:rStyle w:val="FootnoteReference"/>
        </w:rPr>
        <w:footnoteRef/>
      </w:r>
      <w:r>
        <w:rPr>
          <w:lang w:val="sr-Cyrl-CS"/>
        </w:rPr>
        <w:t xml:space="preserve"> Саша Ранђеловић, </w:t>
      </w:r>
      <w:r w:rsidRPr="003E7E46">
        <w:rPr>
          <w:b/>
          <w:lang w:val="sr-Cyrl-CS"/>
        </w:rPr>
        <w:t>Смањење евазије пореза на рад као инструмент фискалне консолидације</w:t>
      </w:r>
      <w:r>
        <w:rPr>
          <w:lang w:val="sr-Cyrl-CS"/>
        </w:rPr>
        <w:t xml:space="preserve">, </w:t>
      </w:r>
      <w:r w:rsidRPr="003E7E46">
        <w:rPr>
          <w:i/>
          <w:lang w:val="sr-Cyrl-CS"/>
        </w:rPr>
        <w:t>Квартални монитор</w:t>
      </w:r>
      <w:r>
        <w:rPr>
          <w:lang w:val="sr-Cyrl-CS"/>
        </w:rPr>
        <w:t>, бр. 25-26, април-септембар 2011, стр. 87. (извор:</w:t>
      </w:r>
      <w:r w:rsidRPr="00992840">
        <w:t xml:space="preserve"> </w:t>
      </w:r>
      <w:r>
        <w:rPr>
          <w:lang w:val="sr-Cyrl-CS"/>
        </w:rPr>
        <w:t xml:space="preserve">http://www.fren.org.rs). </w:t>
      </w:r>
    </w:p>
  </w:footnote>
  <w:footnote w:id="490">
    <w:p w:rsidR="00767127" w:rsidRPr="00A44632" w:rsidRDefault="00767127">
      <w:pPr>
        <w:pStyle w:val="FootnoteText"/>
        <w:rPr>
          <w:lang w:val="sr-Cyrl-CS"/>
        </w:rPr>
      </w:pPr>
      <w:r>
        <w:rPr>
          <w:rStyle w:val="FootnoteReference"/>
        </w:rPr>
        <w:footnoteRef/>
      </w:r>
      <w:r>
        <w:t xml:space="preserve"> </w:t>
      </w:r>
      <w:r w:rsidRPr="00BA22CF">
        <w:rPr>
          <w:i/>
          <w:lang w:val="sr-Cyrl-CS"/>
        </w:rPr>
        <w:t>Нав. дело</w:t>
      </w:r>
      <w:r>
        <w:rPr>
          <w:lang w:val="sr-Cyrl-CS"/>
        </w:rPr>
        <w:t>, стр. 87.</w:t>
      </w:r>
    </w:p>
  </w:footnote>
  <w:footnote w:id="491">
    <w:p w:rsidR="00767127" w:rsidRPr="00CB44CF" w:rsidRDefault="00767127">
      <w:pPr>
        <w:pStyle w:val="FootnoteText"/>
        <w:rPr>
          <w:lang w:val="sr-Cyrl-CS"/>
        </w:rPr>
      </w:pPr>
      <w:r>
        <w:rPr>
          <w:rStyle w:val="FootnoteReference"/>
        </w:rPr>
        <w:footnoteRef/>
      </w:r>
      <w:r>
        <w:t xml:space="preserve"> </w:t>
      </w:r>
      <w:r>
        <w:rPr>
          <w:lang w:val="sr-Cyrl-CS"/>
        </w:rPr>
        <w:t xml:space="preserve">Чл. 166-168. Закона о порезу на доходак грађана, („Службени гласник РС“, бр. 24/01, 80/02, 31/09, 44/09, 18/10, 50/11, 91/11, 93/12, 114/12, 8/13, 47/13 и 48/13). </w:t>
      </w:r>
    </w:p>
  </w:footnote>
  <w:footnote w:id="492">
    <w:p w:rsidR="00767127" w:rsidRPr="00E10D0E" w:rsidRDefault="00767127" w:rsidP="00E10D0E">
      <w:pPr>
        <w:pStyle w:val="NoSpacing"/>
        <w:jc w:val="both"/>
        <w:rPr>
          <w:rFonts w:asciiTheme="minorHAnsi" w:hAnsiTheme="minorHAnsi"/>
          <w:sz w:val="20"/>
          <w:szCs w:val="20"/>
          <w:lang w:eastAsia="en-US"/>
        </w:rPr>
      </w:pPr>
      <w:r w:rsidRPr="00E10D0E">
        <w:rPr>
          <w:rStyle w:val="FootnoteReference"/>
          <w:rFonts w:asciiTheme="minorHAnsi" w:hAnsiTheme="minorHAnsi"/>
          <w:sz w:val="20"/>
          <w:szCs w:val="20"/>
        </w:rPr>
        <w:footnoteRef/>
      </w:r>
      <w:r w:rsidRPr="00E10D0E">
        <w:rPr>
          <w:rFonts w:asciiTheme="minorHAnsi" w:hAnsiTheme="minorHAnsi"/>
          <w:sz w:val="20"/>
          <w:szCs w:val="20"/>
        </w:rPr>
        <w:t xml:space="preserve"> </w:t>
      </w:r>
      <w:r w:rsidRPr="00E10D0E">
        <w:rPr>
          <w:rFonts w:asciiTheme="minorHAnsi" w:hAnsiTheme="minorHAnsi"/>
          <w:sz w:val="20"/>
          <w:szCs w:val="20"/>
          <w:lang w:val="sr-Cyrl-CS"/>
        </w:rPr>
        <w:t>Драган Јовашевић и Марина Гајић Гламочија</w:t>
      </w:r>
      <w:r w:rsidRPr="00E10D0E">
        <w:rPr>
          <w:rFonts w:asciiTheme="minorHAnsi" w:hAnsiTheme="minorHAnsi"/>
          <w:sz w:val="20"/>
          <w:szCs w:val="20"/>
          <w:lang w:eastAsia="en-US"/>
        </w:rPr>
        <w:t xml:space="preserve">, </w:t>
      </w:r>
      <w:r w:rsidRPr="006E40D2">
        <w:rPr>
          <w:rFonts w:asciiTheme="minorHAnsi" w:hAnsiTheme="minorHAnsi"/>
          <w:b/>
          <w:sz w:val="20"/>
          <w:szCs w:val="20"/>
          <w:lang w:val="sr-Cyrl-CS" w:eastAsia="en-US"/>
        </w:rPr>
        <w:t>Пореска утаја: облици испољавања и мере сузбијања</w:t>
      </w:r>
      <w:r>
        <w:rPr>
          <w:rFonts w:asciiTheme="minorHAnsi" w:hAnsiTheme="minorHAnsi"/>
          <w:sz w:val="20"/>
          <w:szCs w:val="20"/>
          <w:lang w:val="sr-Cyrl-CS" w:eastAsia="en-US"/>
        </w:rPr>
        <w:t>, Беосинг, Београд, 2008</w:t>
      </w:r>
      <w:r w:rsidRPr="00E10D0E">
        <w:rPr>
          <w:rFonts w:asciiTheme="minorHAnsi" w:hAnsiTheme="minorHAnsi"/>
          <w:i/>
          <w:sz w:val="20"/>
          <w:szCs w:val="20"/>
          <w:lang w:val="sr-Cyrl-CS" w:eastAsia="en-US"/>
        </w:rPr>
        <w:t>,</w:t>
      </w:r>
      <w:r w:rsidRPr="00E10D0E">
        <w:rPr>
          <w:rFonts w:asciiTheme="minorHAnsi" w:hAnsiTheme="minorHAnsi"/>
          <w:sz w:val="20"/>
          <w:szCs w:val="20"/>
          <w:lang w:val="sr-Cyrl-CS" w:eastAsia="en-US"/>
        </w:rPr>
        <w:t xml:space="preserve"> стр. 72.</w:t>
      </w:r>
    </w:p>
  </w:footnote>
  <w:footnote w:id="493">
    <w:p w:rsidR="00767127" w:rsidRPr="00014DFE" w:rsidRDefault="00767127" w:rsidP="00E10D0E">
      <w:pPr>
        <w:pStyle w:val="NoSpacing"/>
        <w:jc w:val="both"/>
        <w:rPr>
          <w:rFonts w:asciiTheme="minorHAnsi" w:hAnsiTheme="minorHAnsi"/>
          <w:sz w:val="20"/>
          <w:szCs w:val="20"/>
        </w:rPr>
      </w:pPr>
      <w:r w:rsidRPr="00E10D0E">
        <w:rPr>
          <w:rStyle w:val="FootnoteReference"/>
          <w:rFonts w:asciiTheme="minorHAnsi" w:hAnsiTheme="minorHAnsi"/>
          <w:sz w:val="20"/>
          <w:szCs w:val="20"/>
        </w:rPr>
        <w:footnoteRef/>
      </w:r>
      <w:r w:rsidRPr="00E10D0E">
        <w:rPr>
          <w:rFonts w:asciiTheme="minorHAnsi" w:hAnsiTheme="minorHAnsi"/>
          <w:sz w:val="20"/>
          <w:szCs w:val="20"/>
        </w:rPr>
        <w:t xml:space="preserve"> </w:t>
      </w:r>
      <w:r>
        <w:rPr>
          <w:rFonts w:asciiTheme="minorHAnsi" w:hAnsiTheme="minorHAnsi"/>
          <w:sz w:val="20"/>
          <w:szCs w:val="20"/>
          <w:lang w:val="sr-Cyrl-CS"/>
        </w:rPr>
        <w:t xml:space="preserve">Дејан Поповић, </w:t>
      </w:r>
      <w:r w:rsidRPr="00BA22CF">
        <w:rPr>
          <w:rFonts w:asciiTheme="minorHAnsi" w:hAnsiTheme="minorHAnsi"/>
          <w:i/>
          <w:sz w:val="20"/>
          <w:szCs w:val="20"/>
          <w:lang w:val="sr-Cyrl-CS"/>
        </w:rPr>
        <w:t>нав. дело</w:t>
      </w:r>
      <w:r>
        <w:rPr>
          <w:rFonts w:asciiTheme="minorHAnsi" w:hAnsiTheme="minorHAnsi"/>
          <w:sz w:val="20"/>
          <w:szCs w:val="20"/>
          <w:lang w:val="sr-Cyrl-CS"/>
        </w:rPr>
        <w:t xml:space="preserve">, </w:t>
      </w:r>
      <w:r>
        <w:rPr>
          <w:rFonts w:asciiTheme="minorHAnsi" w:hAnsiTheme="minorHAnsi"/>
          <w:sz w:val="20"/>
          <w:szCs w:val="20"/>
        </w:rPr>
        <w:t xml:space="preserve"> </w:t>
      </w:r>
      <w:r>
        <w:rPr>
          <w:rFonts w:asciiTheme="minorHAnsi" w:hAnsiTheme="minorHAnsi"/>
          <w:sz w:val="20"/>
          <w:szCs w:val="20"/>
          <w:lang w:val="sr-Cyrl-CS"/>
        </w:rPr>
        <w:t>стр. 358.</w:t>
      </w:r>
    </w:p>
  </w:footnote>
  <w:footnote w:id="494">
    <w:p w:rsidR="00767127" w:rsidRPr="00E10D0E" w:rsidRDefault="00767127" w:rsidP="00E10D0E">
      <w:pPr>
        <w:pStyle w:val="NoSpacing"/>
        <w:jc w:val="both"/>
        <w:rPr>
          <w:rFonts w:asciiTheme="minorHAnsi" w:hAnsiTheme="minorHAnsi"/>
          <w:sz w:val="20"/>
          <w:szCs w:val="20"/>
          <w:lang w:val="sr-Cyrl-CS" w:eastAsia="en-US"/>
        </w:rPr>
      </w:pPr>
      <w:r w:rsidRPr="00E10D0E">
        <w:rPr>
          <w:rStyle w:val="FootnoteReference"/>
          <w:rFonts w:asciiTheme="minorHAnsi" w:hAnsiTheme="minorHAnsi"/>
          <w:sz w:val="20"/>
          <w:szCs w:val="20"/>
        </w:rPr>
        <w:footnoteRef/>
      </w:r>
      <w:r w:rsidRPr="00E10D0E">
        <w:rPr>
          <w:rFonts w:asciiTheme="minorHAnsi" w:hAnsiTheme="minorHAnsi"/>
          <w:sz w:val="20"/>
          <w:szCs w:val="20"/>
        </w:rPr>
        <w:t xml:space="preserve"> </w:t>
      </w:r>
      <w:r w:rsidRPr="00E10D0E">
        <w:rPr>
          <w:rFonts w:asciiTheme="minorHAnsi" w:hAnsiTheme="minorHAnsi"/>
          <w:sz w:val="20"/>
          <w:szCs w:val="20"/>
          <w:lang w:val="sr-Cyrl-CS"/>
        </w:rPr>
        <w:t>Драган Јовашевић и Марина Гајић Гламочија</w:t>
      </w:r>
      <w:r w:rsidRPr="00E10D0E">
        <w:rPr>
          <w:rFonts w:asciiTheme="minorHAnsi" w:hAnsiTheme="minorHAnsi"/>
          <w:sz w:val="20"/>
          <w:szCs w:val="20"/>
          <w:lang w:eastAsia="en-US"/>
        </w:rPr>
        <w:t xml:space="preserve">, </w:t>
      </w:r>
      <w:r>
        <w:rPr>
          <w:rFonts w:asciiTheme="minorHAnsi" w:hAnsiTheme="minorHAnsi"/>
          <w:i/>
          <w:sz w:val="20"/>
          <w:szCs w:val="20"/>
          <w:lang w:val="sr-Cyrl-CS" w:eastAsia="en-US"/>
        </w:rPr>
        <w:t>нав. дело</w:t>
      </w:r>
      <w:r w:rsidRPr="00E10D0E">
        <w:rPr>
          <w:rFonts w:asciiTheme="minorHAnsi" w:hAnsiTheme="minorHAnsi"/>
          <w:i/>
          <w:sz w:val="20"/>
          <w:szCs w:val="20"/>
          <w:lang w:eastAsia="en-US"/>
        </w:rPr>
        <w:t>,</w:t>
      </w:r>
      <w:r w:rsidRPr="00E10D0E">
        <w:rPr>
          <w:rFonts w:asciiTheme="minorHAnsi" w:hAnsiTheme="minorHAnsi"/>
          <w:sz w:val="20"/>
          <w:szCs w:val="20"/>
          <w:lang w:val="sr-Cyrl-CS" w:eastAsia="en-US"/>
        </w:rPr>
        <w:t xml:space="preserve"> стр. 73.</w:t>
      </w:r>
    </w:p>
  </w:footnote>
  <w:footnote w:id="495">
    <w:p w:rsidR="00767127" w:rsidRPr="002E06B3" w:rsidRDefault="00767127" w:rsidP="000726DA">
      <w:pPr>
        <w:pStyle w:val="FootnoteText"/>
        <w:rPr>
          <w:lang w:val="sr-Cyrl-CS"/>
        </w:rPr>
      </w:pPr>
      <w:r>
        <w:rPr>
          <w:rStyle w:val="FootnoteReference"/>
        </w:rPr>
        <w:footnoteRef/>
      </w:r>
      <w:r>
        <w:t xml:space="preserve"> </w:t>
      </w:r>
      <w:r>
        <w:rPr>
          <w:lang w:val="sr-Cyrl-CS"/>
        </w:rPr>
        <w:t xml:space="preserve">Зоран Исаиловић, </w:t>
      </w:r>
      <w:r w:rsidRPr="00B0508E">
        <w:rPr>
          <w:b/>
          <w:lang w:val="sr-Cyrl-CS"/>
        </w:rPr>
        <w:t>Могућности опорезивања имовине у савременим условима</w:t>
      </w:r>
      <w:r>
        <w:rPr>
          <w:lang w:val="sr-Cyrl-CS"/>
        </w:rPr>
        <w:t xml:space="preserve">, </w:t>
      </w:r>
      <w:r w:rsidRPr="00B0508E">
        <w:rPr>
          <w:i/>
          <w:lang w:val="sr-Cyrl-CS"/>
        </w:rPr>
        <w:t>Правни живот</w:t>
      </w:r>
      <w:r>
        <w:rPr>
          <w:lang w:val="sr-Cyrl-CS"/>
        </w:rPr>
        <w:t>, бр. 12, 2009, стр. 7.</w:t>
      </w:r>
    </w:p>
  </w:footnote>
  <w:footnote w:id="496">
    <w:p w:rsidR="00767127" w:rsidRPr="002E06B3" w:rsidRDefault="00767127" w:rsidP="000726DA">
      <w:pPr>
        <w:pStyle w:val="FootnoteText"/>
        <w:rPr>
          <w:lang w:val="sr-Cyrl-CS"/>
        </w:rPr>
      </w:pPr>
      <w:r>
        <w:rPr>
          <w:rStyle w:val="FootnoteReference"/>
        </w:rPr>
        <w:footnoteRef/>
      </w:r>
      <w:r>
        <w:t xml:space="preserve"> </w:t>
      </w:r>
      <w:r>
        <w:rPr>
          <w:i/>
          <w:lang w:val="sr-Cyrl-CS"/>
        </w:rPr>
        <w:t xml:space="preserve">Нав. дело, </w:t>
      </w:r>
      <w:r>
        <w:rPr>
          <w:lang w:val="sr-Cyrl-CS"/>
        </w:rPr>
        <w:t xml:space="preserve"> стр. 7.</w:t>
      </w:r>
    </w:p>
  </w:footnote>
  <w:footnote w:id="497">
    <w:p w:rsidR="00767127" w:rsidRPr="007C40F7" w:rsidRDefault="00767127" w:rsidP="000726DA">
      <w:pPr>
        <w:pStyle w:val="NoSpacing"/>
        <w:jc w:val="both"/>
        <w:rPr>
          <w:rFonts w:ascii="Times New Roman" w:hAnsi="Times New Roman"/>
          <w:sz w:val="20"/>
          <w:szCs w:val="20"/>
          <w:lang w:val="sr-Cyrl-CS"/>
        </w:rPr>
      </w:pPr>
      <w:r>
        <w:rPr>
          <w:rStyle w:val="FootnoteReference"/>
        </w:rPr>
        <w:footnoteRef/>
      </w:r>
      <w:r>
        <w:t xml:space="preserve"> </w:t>
      </w:r>
      <w:r w:rsidRPr="00CD3364">
        <w:rPr>
          <w:sz w:val="20"/>
          <w:szCs w:val="20"/>
          <w:lang w:val="sr-Cyrl-CS"/>
        </w:rPr>
        <w:t xml:space="preserve">Марина Кеснер Шкреб, Што све треба знати о опорезивању некретнина, </w:t>
      </w:r>
      <w:r w:rsidRPr="005A1173">
        <w:rPr>
          <w:b/>
          <w:sz w:val="20"/>
          <w:szCs w:val="20"/>
          <w:lang w:val="sr-Cyrl-CS"/>
        </w:rPr>
        <w:t>Newsletter</w:t>
      </w:r>
      <w:r w:rsidRPr="00CD3364">
        <w:rPr>
          <w:i/>
          <w:sz w:val="20"/>
          <w:szCs w:val="20"/>
          <w:lang w:val="sr-Cyrl-CS"/>
        </w:rPr>
        <w:t xml:space="preserve"> </w:t>
      </w:r>
      <w:r w:rsidRPr="0083566C">
        <w:rPr>
          <w:b/>
          <w:sz w:val="20"/>
          <w:szCs w:val="20"/>
        </w:rPr>
        <w:t>Institut za javne financije</w:t>
      </w:r>
      <w:r w:rsidRPr="00CD3364">
        <w:rPr>
          <w:sz w:val="20"/>
          <w:szCs w:val="20"/>
        </w:rPr>
        <w:t xml:space="preserve">, </w:t>
      </w:r>
      <w:r w:rsidRPr="00CD3364">
        <w:rPr>
          <w:sz w:val="20"/>
          <w:szCs w:val="20"/>
          <w:lang w:val="sr-Cyrl-CS"/>
        </w:rPr>
        <w:t>бр. 46, 2009, стр. 3.</w:t>
      </w:r>
      <w:r>
        <w:rPr>
          <w:sz w:val="20"/>
          <w:szCs w:val="20"/>
          <w:lang w:val="sr-Cyrl-CS"/>
        </w:rPr>
        <w:t xml:space="preserve"> (</w:t>
      </w:r>
      <w:hyperlink r:id="rId42" w:history="1">
        <w:r w:rsidRPr="008302C4">
          <w:rPr>
            <w:rStyle w:val="Hyperlink"/>
            <w:sz w:val="20"/>
            <w:szCs w:val="20"/>
            <w:lang w:val="sr-Cyrl-CS"/>
          </w:rPr>
          <w:t>http://www.ijf.hr</w:t>
        </w:r>
      </w:hyperlink>
      <w:r>
        <w:rPr>
          <w:sz w:val="20"/>
          <w:szCs w:val="20"/>
          <w:lang w:val="sr-Cyrl-CS"/>
        </w:rPr>
        <w:t xml:space="preserve"> ).</w:t>
      </w:r>
    </w:p>
  </w:footnote>
  <w:footnote w:id="498">
    <w:p w:rsidR="00767127" w:rsidRPr="00E740F7" w:rsidRDefault="00767127" w:rsidP="000726DA">
      <w:pPr>
        <w:pStyle w:val="FootnoteText"/>
      </w:pPr>
      <w:r>
        <w:rPr>
          <w:rStyle w:val="FootnoteReference"/>
        </w:rPr>
        <w:footnoteRef/>
      </w:r>
      <w:r>
        <w:t xml:space="preserve"> </w:t>
      </w:r>
      <w:r w:rsidRPr="0083566C">
        <w:rPr>
          <w:b/>
          <w:lang w:val="sr-Cyrl-CS"/>
        </w:rPr>
        <w:t xml:space="preserve">Taxation trends in the </w:t>
      </w:r>
      <w:r w:rsidRPr="0083566C">
        <w:rPr>
          <w:b/>
        </w:rPr>
        <w:t>European Union</w:t>
      </w:r>
      <w:r>
        <w:t>,  (извор</w:t>
      </w:r>
      <w:r>
        <w:rPr>
          <w:lang w:val="sr-Cyrl-CS"/>
        </w:rPr>
        <w:t>:</w:t>
      </w:r>
      <w:r>
        <w:t xml:space="preserve"> </w:t>
      </w:r>
      <w:hyperlink r:id="rId43" w:history="1">
        <w:r w:rsidRPr="00077F71">
          <w:rPr>
            <w:rStyle w:val="Hyperlink"/>
          </w:rPr>
          <w:t>http://epp.eurostat.ec.europa.eu</w:t>
        </w:r>
      </w:hyperlink>
      <w:r>
        <w:rPr>
          <w:lang w:val="sr-Cyrl-CS"/>
        </w:rPr>
        <w:t>).</w:t>
      </w:r>
    </w:p>
  </w:footnote>
  <w:footnote w:id="499">
    <w:p w:rsidR="00767127" w:rsidRPr="007B5915" w:rsidRDefault="00767127" w:rsidP="00E10D0E">
      <w:pPr>
        <w:pStyle w:val="FootnoteText"/>
        <w:jc w:val="both"/>
        <w:rPr>
          <w:lang w:val="sr-Cyrl-CS"/>
        </w:rPr>
      </w:pPr>
      <w:r>
        <w:rPr>
          <w:rStyle w:val="FootnoteReference"/>
        </w:rPr>
        <w:footnoteRef/>
      </w:r>
      <w:r>
        <w:t xml:space="preserve"> </w:t>
      </w:r>
      <w:r w:rsidRPr="0083566C">
        <w:rPr>
          <w:b/>
          <w:lang w:val="sr-Cyrl-CS"/>
        </w:rPr>
        <w:t xml:space="preserve">Taxation trends in the </w:t>
      </w:r>
      <w:r w:rsidRPr="0083566C">
        <w:rPr>
          <w:b/>
        </w:rPr>
        <w:t>European Union</w:t>
      </w:r>
      <w:r>
        <w:t>,  (извор</w:t>
      </w:r>
      <w:r>
        <w:rPr>
          <w:lang w:val="sr-Cyrl-CS"/>
        </w:rPr>
        <w:t>:</w:t>
      </w:r>
      <w:r>
        <w:t xml:space="preserve"> </w:t>
      </w:r>
      <w:hyperlink r:id="rId44" w:history="1">
        <w:r w:rsidRPr="00077F71">
          <w:rPr>
            <w:rStyle w:val="Hyperlink"/>
          </w:rPr>
          <w:t>http://epp.eurostat.ec.europa.eu</w:t>
        </w:r>
      </w:hyperlink>
      <w:r>
        <w:rPr>
          <w:lang w:val="sr-Cyrl-CS"/>
        </w:rPr>
        <w:t xml:space="preserve">). </w:t>
      </w:r>
    </w:p>
  </w:footnote>
  <w:footnote w:id="500">
    <w:p w:rsidR="00767127" w:rsidRPr="00A16A6A" w:rsidRDefault="00767127" w:rsidP="000726DA">
      <w:pPr>
        <w:pStyle w:val="FootnoteText"/>
        <w:rPr>
          <w:lang w:val="sr-Cyrl-CS"/>
        </w:rPr>
      </w:pPr>
      <w:r>
        <w:rPr>
          <w:rStyle w:val="FootnoteReference"/>
        </w:rPr>
        <w:footnoteRef/>
      </w:r>
      <w:r>
        <w:t xml:space="preserve"> </w:t>
      </w:r>
      <w:r w:rsidRPr="0083566C">
        <w:rPr>
          <w:b/>
          <w:lang w:val="sr-Cyrl-CS"/>
        </w:rPr>
        <w:t xml:space="preserve">Taxation trends in the </w:t>
      </w:r>
      <w:r w:rsidRPr="0083566C">
        <w:rPr>
          <w:b/>
        </w:rPr>
        <w:t>European Union</w:t>
      </w:r>
      <w:r>
        <w:t>,  (извор</w:t>
      </w:r>
      <w:r>
        <w:rPr>
          <w:lang w:val="sr-Cyrl-CS"/>
        </w:rPr>
        <w:t>:</w:t>
      </w:r>
      <w:r>
        <w:t xml:space="preserve"> </w:t>
      </w:r>
      <w:hyperlink r:id="rId45" w:history="1">
        <w:r w:rsidRPr="00077F71">
          <w:rPr>
            <w:rStyle w:val="Hyperlink"/>
          </w:rPr>
          <w:t>http://epp.eurostat.ec.europa.eu</w:t>
        </w:r>
      </w:hyperlink>
      <w:r>
        <w:rPr>
          <w:lang w:val="sr-Cyrl-CS"/>
        </w:rPr>
        <w:t xml:space="preserve">). </w:t>
      </w:r>
    </w:p>
  </w:footnote>
  <w:footnote w:id="501">
    <w:p w:rsidR="00767127" w:rsidRPr="00A93573" w:rsidRDefault="00767127" w:rsidP="000726DA">
      <w:pPr>
        <w:pStyle w:val="FootnoteText"/>
        <w:rPr>
          <w:lang w:val="sr-Cyrl-CS"/>
        </w:rPr>
      </w:pPr>
      <w:r>
        <w:rPr>
          <w:rStyle w:val="FootnoteReference"/>
        </w:rPr>
        <w:footnoteRef/>
      </w:r>
      <w:r>
        <w:t xml:space="preserve"> </w:t>
      </w:r>
      <w:r w:rsidRPr="0083566C">
        <w:rPr>
          <w:b/>
        </w:rPr>
        <w:t>Revenue Statistic tax structures</w:t>
      </w:r>
      <w:r>
        <w:t xml:space="preserve"> (Извор: </w:t>
      </w:r>
      <w:hyperlink r:id="rId46" w:history="1">
        <w:r w:rsidRPr="00255653">
          <w:rPr>
            <w:rStyle w:val="Hyperlink"/>
          </w:rPr>
          <w:t>http://www.oecd.org</w:t>
        </w:r>
      </w:hyperlink>
      <w:r>
        <w:rPr>
          <w:lang w:val="sr-Cyrl-CS"/>
        </w:rPr>
        <w:t>)</w:t>
      </w:r>
      <w:r>
        <w:t>.</w:t>
      </w:r>
      <w:r>
        <w:rPr>
          <w:lang w:val="sr-Cyrl-CS"/>
        </w:rPr>
        <w:t xml:space="preserve"> </w:t>
      </w:r>
    </w:p>
  </w:footnote>
  <w:footnote w:id="502">
    <w:p w:rsidR="00767127" w:rsidRPr="005D64CC" w:rsidRDefault="00767127" w:rsidP="005D64CC">
      <w:pPr>
        <w:pStyle w:val="NoSpacing"/>
        <w:jc w:val="both"/>
        <w:rPr>
          <w:rFonts w:asciiTheme="minorHAnsi" w:hAnsiTheme="minorHAnsi"/>
          <w:sz w:val="20"/>
          <w:szCs w:val="20"/>
          <w:lang w:val="sr-Cyrl-CS"/>
        </w:rPr>
      </w:pPr>
      <w:r>
        <w:rPr>
          <w:rStyle w:val="FootnoteReference"/>
        </w:rPr>
        <w:footnoteRef/>
      </w:r>
      <w:r>
        <w:t xml:space="preserve"> </w:t>
      </w:r>
      <w:r w:rsidRPr="005D64CC">
        <w:rPr>
          <w:rFonts w:asciiTheme="minorHAnsi" w:hAnsiTheme="minorHAnsi"/>
          <w:sz w:val="20"/>
          <w:szCs w:val="20"/>
          <w:lang w:val="sr-Cyrl-CS"/>
        </w:rPr>
        <w:t xml:space="preserve">Милојко Арсић и др., </w:t>
      </w:r>
      <w:r w:rsidRPr="0074176D">
        <w:rPr>
          <w:rFonts w:asciiTheme="minorHAnsi" w:hAnsiTheme="minorHAnsi"/>
          <w:b/>
          <w:sz w:val="20"/>
          <w:szCs w:val="20"/>
          <w:lang w:val="sr-Cyrl-CS"/>
        </w:rPr>
        <w:t>Реформе пореза на имовину у Србији: Резултати и перспективе</w:t>
      </w:r>
      <w:r w:rsidRPr="005D64CC">
        <w:rPr>
          <w:rFonts w:asciiTheme="minorHAnsi" w:hAnsiTheme="minorHAnsi"/>
          <w:sz w:val="20"/>
          <w:szCs w:val="20"/>
          <w:lang w:val="sr-Cyrl-CS"/>
        </w:rPr>
        <w:t>, Фондација за развој економске науке, Београд, 2012, стр. 22</w:t>
      </w:r>
      <w:r>
        <w:rPr>
          <w:rFonts w:asciiTheme="minorHAnsi" w:hAnsiTheme="minorHAnsi"/>
          <w:sz w:val="20"/>
          <w:szCs w:val="20"/>
          <w:lang w:val="sr-Cyrl-CS"/>
        </w:rPr>
        <w:t>-26</w:t>
      </w:r>
      <w:r w:rsidRPr="005D64CC">
        <w:rPr>
          <w:rFonts w:asciiTheme="minorHAnsi" w:hAnsiTheme="minorHAnsi"/>
          <w:sz w:val="20"/>
          <w:szCs w:val="20"/>
          <w:lang w:val="sr-Cyrl-CS"/>
        </w:rPr>
        <w:t>.</w:t>
      </w:r>
      <w:r>
        <w:rPr>
          <w:rFonts w:asciiTheme="minorHAnsi" w:hAnsiTheme="minorHAnsi"/>
          <w:sz w:val="20"/>
          <w:szCs w:val="20"/>
          <w:lang w:val="sr-Cyrl-CS"/>
        </w:rPr>
        <w:t xml:space="preserve"> (извор: http://www.fren.org.rs).</w:t>
      </w:r>
    </w:p>
  </w:footnote>
  <w:footnote w:id="503">
    <w:p w:rsidR="00767127" w:rsidRPr="000C22A2" w:rsidRDefault="00767127" w:rsidP="005D64CC">
      <w:pPr>
        <w:pStyle w:val="NoSpacing"/>
        <w:rPr>
          <w:sz w:val="20"/>
          <w:szCs w:val="20"/>
          <w:lang w:val="sr-Cyrl-CS"/>
        </w:rPr>
      </w:pPr>
      <w:r>
        <w:rPr>
          <w:rStyle w:val="FootnoteReference"/>
        </w:rPr>
        <w:footnoteRef/>
      </w:r>
      <w:r>
        <w:t xml:space="preserve"> </w:t>
      </w:r>
      <w:r w:rsidRPr="000C22A2">
        <w:rPr>
          <w:sz w:val="20"/>
          <w:szCs w:val="20"/>
          <w:lang w:val="sr-Cyrl-CS"/>
        </w:rPr>
        <w:t xml:space="preserve">Извор: </w:t>
      </w:r>
      <w:hyperlink r:id="rId47" w:history="1">
        <w:r w:rsidRPr="000C22A2">
          <w:rPr>
            <w:rStyle w:val="Hyperlink"/>
            <w:sz w:val="20"/>
            <w:szCs w:val="20"/>
            <w:lang w:val="sr-Cyrl-CS"/>
          </w:rPr>
          <w:t>http://www.prostor22.rs</w:t>
        </w:r>
      </w:hyperlink>
      <w:r w:rsidRPr="000C22A2">
        <w:rPr>
          <w:sz w:val="20"/>
          <w:szCs w:val="20"/>
          <w:lang w:val="sr-Cyrl-CS"/>
        </w:rPr>
        <w:t xml:space="preserve"> (28.12.2013).</w:t>
      </w:r>
    </w:p>
  </w:footnote>
  <w:footnote w:id="504">
    <w:p w:rsidR="00767127" w:rsidRPr="003E2528" w:rsidRDefault="00767127" w:rsidP="005D64CC">
      <w:pPr>
        <w:pStyle w:val="NoSpacing"/>
        <w:rPr>
          <w:sz w:val="20"/>
          <w:szCs w:val="20"/>
          <w:lang w:val="sr-Cyrl-CS"/>
        </w:rPr>
      </w:pPr>
      <w:r w:rsidRPr="003E2528">
        <w:rPr>
          <w:rStyle w:val="FootnoteReference"/>
          <w:sz w:val="20"/>
          <w:szCs w:val="20"/>
        </w:rPr>
        <w:footnoteRef/>
      </w:r>
      <w:r w:rsidRPr="003E2528">
        <w:rPr>
          <w:sz w:val="20"/>
          <w:szCs w:val="20"/>
        </w:rPr>
        <w:t xml:space="preserve"> </w:t>
      </w:r>
      <w:r w:rsidRPr="003E2528">
        <w:rPr>
          <w:sz w:val="20"/>
          <w:szCs w:val="20"/>
          <w:lang w:val="sr-Cyrl-CS"/>
        </w:rPr>
        <w:t xml:space="preserve">Горан Милошевић, </w:t>
      </w:r>
      <w:r>
        <w:rPr>
          <w:i/>
          <w:sz w:val="20"/>
          <w:szCs w:val="20"/>
          <w:lang w:val="sr-Cyrl-CS"/>
        </w:rPr>
        <w:t>нав. дело</w:t>
      </w:r>
      <w:r w:rsidRPr="00703F20">
        <w:rPr>
          <w:i/>
          <w:sz w:val="20"/>
          <w:szCs w:val="20"/>
          <w:lang w:val="sr-Cyrl-CS"/>
        </w:rPr>
        <w:t>,</w:t>
      </w:r>
      <w:r w:rsidRPr="003E2528">
        <w:rPr>
          <w:sz w:val="20"/>
          <w:szCs w:val="20"/>
          <w:lang w:val="sr-Cyrl-CS"/>
        </w:rPr>
        <w:t xml:space="preserve"> стр. 130.</w:t>
      </w:r>
    </w:p>
  </w:footnote>
  <w:footnote w:id="505">
    <w:p w:rsidR="00767127" w:rsidRPr="005D64CC" w:rsidRDefault="00767127" w:rsidP="005D64CC">
      <w:pPr>
        <w:pStyle w:val="NoSpacing"/>
        <w:rPr>
          <w:sz w:val="20"/>
          <w:szCs w:val="20"/>
          <w:lang w:val="sr-Cyrl-CS"/>
        </w:rPr>
      </w:pPr>
      <w:r>
        <w:rPr>
          <w:rStyle w:val="FootnoteReference"/>
        </w:rPr>
        <w:footnoteRef/>
      </w:r>
      <w:r>
        <w:t xml:space="preserve"> </w:t>
      </w:r>
      <w:r w:rsidRPr="005D64CC">
        <w:rPr>
          <w:sz w:val="20"/>
          <w:szCs w:val="20"/>
          <w:lang w:val="sr-Cyrl-CS"/>
        </w:rPr>
        <w:t xml:space="preserve">Зоран Исаиловић, </w:t>
      </w:r>
      <w:r>
        <w:rPr>
          <w:i/>
          <w:sz w:val="20"/>
          <w:szCs w:val="20"/>
          <w:lang w:val="sr-Cyrl-CS"/>
        </w:rPr>
        <w:t>нав. дело</w:t>
      </w:r>
      <w:r w:rsidRPr="005D64CC">
        <w:rPr>
          <w:sz w:val="20"/>
          <w:szCs w:val="20"/>
          <w:lang w:val="sr-Cyrl-CS"/>
        </w:rPr>
        <w:t>, стр. 9.</w:t>
      </w:r>
    </w:p>
  </w:footnote>
  <w:footnote w:id="506">
    <w:p w:rsidR="00767127" w:rsidRPr="00CD3364" w:rsidRDefault="00767127" w:rsidP="000726DA">
      <w:pPr>
        <w:pStyle w:val="NoSpacing"/>
        <w:jc w:val="both"/>
        <w:rPr>
          <w:sz w:val="20"/>
          <w:szCs w:val="20"/>
        </w:rPr>
      </w:pPr>
      <w:r w:rsidRPr="00CD3364">
        <w:rPr>
          <w:rStyle w:val="FootnoteReference"/>
          <w:sz w:val="20"/>
          <w:szCs w:val="20"/>
        </w:rPr>
        <w:footnoteRef/>
      </w:r>
      <w:r w:rsidRPr="00CD3364">
        <w:rPr>
          <w:sz w:val="20"/>
          <w:szCs w:val="20"/>
        </w:rPr>
        <w:t xml:space="preserve"> </w:t>
      </w:r>
      <w:r w:rsidRPr="00CD3364">
        <w:rPr>
          <w:sz w:val="20"/>
          <w:szCs w:val="20"/>
          <w:lang w:val="sr-Cyrl-CS"/>
        </w:rPr>
        <w:t xml:space="preserve">Наташа Жунић Ковачевић, Требају ли нам промјене у неким аспектима опорезивања (непокретне) имовине, </w:t>
      </w:r>
      <w:r w:rsidRPr="00CD3364">
        <w:rPr>
          <w:b/>
          <w:sz w:val="20"/>
          <w:szCs w:val="20"/>
          <w:lang w:val="sr-Cyrl-CS"/>
        </w:rPr>
        <w:t>Зборник Правног факултета Свеучилишта у Ријеци</w:t>
      </w:r>
      <w:r>
        <w:rPr>
          <w:sz w:val="20"/>
          <w:szCs w:val="20"/>
          <w:lang w:val="sr-Cyrl-CS"/>
        </w:rPr>
        <w:t>,</w:t>
      </w:r>
      <w:r w:rsidRPr="00CD3364">
        <w:rPr>
          <w:sz w:val="20"/>
          <w:szCs w:val="20"/>
          <w:lang w:val="sr-Cyrl-CS"/>
        </w:rPr>
        <w:t xml:space="preserve"> бр.1, 2007, стр. 4.</w:t>
      </w:r>
    </w:p>
  </w:footnote>
  <w:footnote w:id="507">
    <w:p w:rsidR="00767127" w:rsidRPr="00CD3364" w:rsidRDefault="00767127" w:rsidP="000726DA">
      <w:pPr>
        <w:pStyle w:val="NoSpacing"/>
        <w:jc w:val="both"/>
        <w:rPr>
          <w:sz w:val="20"/>
          <w:szCs w:val="20"/>
          <w:lang w:val="sr-Cyrl-CS"/>
        </w:rPr>
      </w:pPr>
      <w:r w:rsidRPr="00CD3364">
        <w:rPr>
          <w:rStyle w:val="FootnoteReference"/>
          <w:sz w:val="20"/>
          <w:szCs w:val="20"/>
        </w:rPr>
        <w:footnoteRef/>
      </w:r>
      <w:r w:rsidRPr="00CD3364">
        <w:rPr>
          <w:sz w:val="20"/>
          <w:szCs w:val="20"/>
        </w:rPr>
        <w:t xml:space="preserve"> </w:t>
      </w:r>
      <w:r w:rsidRPr="00CD3364">
        <w:rPr>
          <w:sz w:val="20"/>
          <w:szCs w:val="20"/>
          <w:lang w:val="sr-Cyrl-CS"/>
        </w:rPr>
        <w:t xml:space="preserve">Зоран Исаиловић, </w:t>
      </w:r>
      <w:r>
        <w:rPr>
          <w:i/>
          <w:sz w:val="20"/>
          <w:szCs w:val="20"/>
          <w:lang w:val="sr-Cyrl-CS"/>
        </w:rPr>
        <w:t>нав. дело</w:t>
      </w:r>
      <w:r w:rsidRPr="006329CD">
        <w:rPr>
          <w:i/>
          <w:sz w:val="20"/>
          <w:szCs w:val="20"/>
        </w:rPr>
        <w:t>,</w:t>
      </w:r>
      <w:r>
        <w:rPr>
          <w:sz w:val="20"/>
          <w:szCs w:val="20"/>
        </w:rPr>
        <w:t xml:space="preserve"> </w:t>
      </w:r>
      <w:r w:rsidRPr="00CD3364">
        <w:rPr>
          <w:sz w:val="20"/>
          <w:szCs w:val="20"/>
          <w:lang w:val="sr-Cyrl-CS"/>
        </w:rPr>
        <w:t>стр. 9.</w:t>
      </w:r>
    </w:p>
  </w:footnote>
  <w:footnote w:id="508">
    <w:p w:rsidR="00767127" w:rsidRPr="00CD3364" w:rsidRDefault="00767127" w:rsidP="000726DA">
      <w:pPr>
        <w:pStyle w:val="NoSpacing"/>
        <w:jc w:val="both"/>
        <w:rPr>
          <w:sz w:val="20"/>
          <w:szCs w:val="20"/>
          <w:lang w:val="sr-Cyrl-CS"/>
        </w:rPr>
      </w:pPr>
      <w:r w:rsidRPr="00CD3364">
        <w:rPr>
          <w:rStyle w:val="FootnoteReference"/>
          <w:sz w:val="20"/>
          <w:szCs w:val="20"/>
        </w:rPr>
        <w:footnoteRef/>
      </w:r>
      <w:r w:rsidRPr="00CD3364">
        <w:rPr>
          <w:sz w:val="20"/>
          <w:szCs w:val="20"/>
        </w:rPr>
        <w:t xml:space="preserve"> </w:t>
      </w:r>
      <w:r w:rsidRPr="00CD3364">
        <w:rPr>
          <w:sz w:val="20"/>
          <w:szCs w:val="20"/>
          <w:lang w:val="sr-Cyrl-CS"/>
        </w:rPr>
        <w:t xml:space="preserve">Марина Кеснер Шкреб, Што све треба знати о опорезивању некретнина, </w:t>
      </w:r>
      <w:r w:rsidRPr="006329CD">
        <w:rPr>
          <w:b/>
          <w:sz w:val="20"/>
          <w:szCs w:val="20"/>
          <w:lang w:val="sr-Cyrl-CS"/>
        </w:rPr>
        <w:t xml:space="preserve">Newsletter </w:t>
      </w:r>
      <w:r w:rsidRPr="006329CD">
        <w:rPr>
          <w:b/>
          <w:sz w:val="20"/>
          <w:szCs w:val="20"/>
        </w:rPr>
        <w:t>Institut za javne financije</w:t>
      </w:r>
      <w:r w:rsidRPr="00CD3364">
        <w:rPr>
          <w:sz w:val="20"/>
          <w:szCs w:val="20"/>
        </w:rPr>
        <w:t xml:space="preserve">, </w:t>
      </w:r>
      <w:r w:rsidRPr="00CD3364">
        <w:rPr>
          <w:sz w:val="20"/>
          <w:szCs w:val="20"/>
          <w:lang w:val="sr-Cyrl-CS"/>
        </w:rPr>
        <w:t xml:space="preserve">бр. 46, 2009, стр. 2, Миливоје Тркуља, </w:t>
      </w:r>
      <w:r w:rsidRPr="006329CD">
        <w:rPr>
          <w:b/>
          <w:sz w:val="20"/>
          <w:szCs w:val="20"/>
          <w:lang w:val="sr-Cyrl-CS"/>
        </w:rPr>
        <w:t>Финансијско право</w:t>
      </w:r>
      <w:r w:rsidRPr="00CD3364">
        <w:rPr>
          <w:sz w:val="20"/>
          <w:szCs w:val="20"/>
          <w:lang w:val="sr-Cyrl-CS"/>
        </w:rPr>
        <w:t xml:space="preserve">, Правни факултет, Центар за издавачку делатност, Нови Сад, 1998, стр. 188-191, </w:t>
      </w:r>
    </w:p>
  </w:footnote>
  <w:footnote w:id="509">
    <w:p w:rsidR="00767127" w:rsidRPr="00367CEB" w:rsidRDefault="00767127" w:rsidP="000726DA">
      <w:pPr>
        <w:pStyle w:val="FootnoteText"/>
        <w:jc w:val="both"/>
        <w:rPr>
          <w:lang w:val="sr-Cyrl-CS"/>
        </w:rPr>
      </w:pPr>
      <w:r>
        <w:rPr>
          <w:rStyle w:val="FootnoteReference"/>
        </w:rPr>
        <w:footnoteRef/>
      </w:r>
      <w:r>
        <w:t xml:space="preserve"> </w:t>
      </w:r>
      <w:r>
        <w:rPr>
          <w:lang w:val="sr-Cyrl-CS"/>
        </w:rPr>
        <w:t xml:space="preserve">Мирослав Петровић, Опорезивање имовине као финансијски, економски и социјални феномен, </w:t>
      </w:r>
      <w:r w:rsidRPr="003E4060">
        <w:rPr>
          <w:b/>
          <w:lang w:val="sr-Cyrl-CS"/>
        </w:rPr>
        <w:t>Фина</w:t>
      </w:r>
      <w:r>
        <w:rPr>
          <w:b/>
          <w:lang w:val="sr-Cyrl-CS"/>
        </w:rPr>
        <w:t>н</w:t>
      </w:r>
      <w:r w:rsidRPr="003E4060">
        <w:rPr>
          <w:b/>
          <w:lang w:val="sr-Cyrl-CS"/>
        </w:rPr>
        <w:t>цијска пракса</w:t>
      </w:r>
      <w:r>
        <w:rPr>
          <w:lang w:val="sr-Cyrl-CS"/>
        </w:rPr>
        <w:t>, бр. 6, Загреб, 1984, стр. 187.</w:t>
      </w:r>
    </w:p>
  </w:footnote>
  <w:footnote w:id="510">
    <w:p w:rsidR="00767127" w:rsidRPr="00F772C0" w:rsidRDefault="00767127" w:rsidP="000726DA">
      <w:pPr>
        <w:pStyle w:val="FootnoteText"/>
        <w:jc w:val="both"/>
        <w:rPr>
          <w:lang w:val="sr-Cyrl-CS"/>
        </w:rPr>
      </w:pPr>
      <w:r>
        <w:rPr>
          <w:rStyle w:val="FootnoteReference"/>
        </w:rPr>
        <w:footnoteRef/>
      </w:r>
      <w:r>
        <w:t xml:space="preserve"> </w:t>
      </w:r>
      <w:r>
        <w:rPr>
          <w:lang w:val="sr-Cyrl-CS"/>
        </w:rPr>
        <w:t>„Службени гласник РС“ бр. 26/01, „Службени лист СРЈ“ бр. 42/02 и „Службени гласник РС“ бр. 80/02, 135/04, 61/07, 5/09, 101/10, 24/11, 78/11, 57/12, 47/13.</w:t>
      </w:r>
    </w:p>
  </w:footnote>
  <w:footnote w:id="511">
    <w:p w:rsidR="00767127" w:rsidRPr="00DB4E44" w:rsidRDefault="00767127" w:rsidP="000726DA">
      <w:pPr>
        <w:pStyle w:val="HTMLPreformatted"/>
        <w:jc w:val="both"/>
        <w:rPr>
          <w:rFonts w:asciiTheme="minorHAnsi" w:hAnsiTheme="minorHAnsi" w:cs="Times New Roman"/>
          <w:lang w:val="sr-Cyrl-CS"/>
        </w:rPr>
      </w:pPr>
      <w:r>
        <w:rPr>
          <w:rStyle w:val="FootnoteReference"/>
        </w:rPr>
        <w:footnoteRef/>
      </w:r>
      <w:r>
        <w:t xml:space="preserve"> </w:t>
      </w:r>
      <w:r w:rsidRPr="00C317BA">
        <w:rPr>
          <w:rFonts w:asciiTheme="minorHAnsi" w:hAnsiTheme="minorHAnsi"/>
          <w:lang w:val="sr-Cyrl-CS"/>
        </w:rPr>
        <w:t>Милева Ан</w:t>
      </w:r>
      <w:r>
        <w:rPr>
          <w:rFonts w:asciiTheme="minorHAnsi" w:hAnsiTheme="minorHAnsi"/>
          <w:lang w:val="sr-Cyrl-CS"/>
        </w:rPr>
        <w:t>ђ</w:t>
      </w:r>
      <w:r w:rsidRPr="00C317BA">
        <w:rPr>
          <w:rFonts w:asciiTheme="minorHAnsi" w:hAnsiTheme="minorHAnsi"/>
          <w:lang w:val="sr-Cyrl-CS"/>
        </w:rPr>
        <w:t xml:space="preserve">елковић и Драган Јовашевић, </w:t>
      </w:r>
      <w:r w:rsidRPr="006474A9">
        <w:rPr>
          <w:rFonts w:asciiTheme="minorHAnsi" w:hAnsiTheme="minorHAnsi" w:cs="Times New Roman"/>
          <w:i/>
          <w:lang w:val="sr-Cyrl-CS"/>
        </w:rPr>
        <w:t>нав. дело</w:t>
      </w:r>
      <w:r>
        <w:rPr>
          <w:rFonts w:asciiTheme="minorHAnsi" w:hAnsiTheme="minorHAnsi" w:cs="Times New Roman"/>
          <w:i/>
          <w:lang w:val="sr-Cyrl-CS"/>
        </w:rPr>
        <w:t xml:space="preserve"> </w:t>
      </w:r>
      <w:r>
        <w:rPr>
          <w:rFonts w:asciiTheme="minorHAnsi" w:hAnsiTheme="minorHAnsi" w:cs="Times New Roman"/>
          <w:b/>
          <w:lang w:val="sr-Latn-CS"/>
        </w:rPr>
        <w:t xml:space="preserve">, </w:t>
      </w:r>
      <w:r w:rsidRPr="006329CD">
        <w:rPr>
          <w:rFonts w:asciiTheme="minorHAnsi" w:hAnsiTheme="minorHAnsi" w:cs="Times New Roman"/>
          <w:lang w:val="sr-Latn-CS"/>
        </w:rPr>
        <w:t>стр.</w:t>
      </w:r>
      <w:r>
        <w:rPr>
          <w:rFonts w:asciiTheme="minorHAnsi" w:hAnsiTheme="minorHAnsi" w:cs="Times New Roman"/>
          <w:b/>
          <w:lang w:val="sr-Latn-CS"/>
        </w:rPr>
        <w:t xml:space="preserve"> </w:t>
      </w:r>
      <w:r w:rsidRPr="00DB4E44">
        <w:rPr>
          <w:rFonts w:asciiTheme="minorHAnsi" w:hAnsiTheme="minorHAnsi" w:cs="Times New Roman"/>
          <w:lang w:val="sr-Cyrl-CS"/>
        </w:rPr>
        <w:t>57.</w:t>
      </w:r>
    </w:p>
  </w:footnote>
  <w:footnote w:id="512">
    <w:p w:rsidR="00767127" w:rsidRPr="00CD3364" w:rsidRDefault="00767127" w:rsidP="00E10D0E">
      <w:pPr>
        <w:pStyle w:val="NoSpacing"/>
        <w:jc w:val="both"/>
        <w:rPr>
          <w:sz w:val="20"/>
          <w:szCs w:val="20"/>
          <w:lang w:val="sr-Cyrl-CS"/>
        </w:rPr>
      </w:pPr>
      <w:r w:rsidRPr="00CD3364">
        <w:rPr>
          <w:rStyle w:val="FootnoteReference"/>
          <w:sz w:val="20"/>
          <w:szCs w:val="20"/>
        </w:rPr>
        <w:footnoteRef/>
      </w:r>
      <w:r w:rsidRPr="00CD3364">
        <w:rPr>
          <w:sz w:val="20"/>
          <w:szCs w:val="20"/>
        </w:rPr>
        <w:t xml:space="preserve"> </w:t>
      </w:r>
      <w:r w:rsidRPr="00CD3364">
        <w:rPr>
          <w:sz w:val="20"/>
          <w:szCs w:val="20"/>
          <w:lang w:val="sr-Cyrl-CS"/>
        </w:rPr>
        <w:t xml:space="preserve">Милева Анђелковић и Марина Димитријевић, </w:t>
      </w:r>
      <w:r w:rsidRPr="006474A9">
        <w:rPr>
          <w:i/>
          <w:sz w:val="20"/>
          <w:szCs w:val="20"/>
          <w:lang w:val="sr-Cyrl-CS"/>
        </w:rPr>
        <w:t>нав. дело</w:t>
      </w:r>
      <w:r>
        <w:rPr>
          <w:sz w:val="20"/>
          <w:szCs w:val="20"/>
          <w:lang w:val="sr-Cyrl-CS"/>
        </w:rPr>
        <w:t>,</w:t>
      </w:r>
      <w:r w:rsidRPr="00CD3364">
        <w:rPr>
          <w:sz w:val="20"/>
          <w:szCs w:val="20"/>
          <w:lang w:val="sr-Cyrl-CS"/>
        </w:rPr>
        <w:t xml:space="preserve"> стр. 138.</w:t>
      </w:r>
    </w:p>
  </w:footnote>
  <w:footnote w:id="513">
    <w:p w:rsidR="00767127" w:rsidRPr="00657CC5" w:rsidRDefault="00767127" w:rsidP="000726DA">
      <w:pPr>
        <w:pStyle w:val="FootnoteText"/>
        <w:rPr>
          <w:lang w:val="sr-Cyrl-CS"/>
        </w:rPr>
      </w:pPr>
      <w:r>
        <w:rPr>
          <w:rStyle w:val="FootnoteReference"/>
        </w:rPr>
        <w:footnoteRef/>
      </w:r>
      <w:r>
        <w:t xml:space="preserve"> </w:t>
      </w:r>
      <w:r>
        <w:rPr>
          <w:lang w:val="sr-Cyrl-CS"/>
        </w:rPr>
        <w:t>„Службени гласник РС“ бр. 62/06.</w:t>
      </w:r>
    </w:p>
  </w:footnote>
  <w:footnote w:id="514">
    <w:p w:rsidR="00767127" w:rsidRPr="007704BE" w:rsidRDefault="00767127" w:rsidP="000726DA">
      <w:pPr>
        <w:pStyle w:val="FootnoteText"/>
        <w:jc w:val="both"/>
        <w:rPr>
          <w:lang w:val="sr-Cyrl-CS"/>
        </w:rPr>
      </w:pPr>
      <w:r>
        <w:rPr>
          <w:rStyle w:val="FootnoteReference"/>
        </w:rPr>
        <w:footnoteRef/>
      </w:r>
      <w:r>
        <w:t xml:space="preserve"> </w:t>
      </w:r>
      <w:r>
        <w:rPr>
          <w:lang w:val="sr-Cyrl-CS"/>
        </w:rPr>
        <w:t>Чл. 2. Закона о порезима на имовину („Службени гласник РС“ бр. „Службени гласник РС“ бр. 26/01, „Службени лист СРЈ“ бр. 42/02 и „Службени гласник РС“ бр. 80/02, 135/04, 61/07, 5/09, 101/10, 24/11, 78/11, 57/12, 47/13).</w:t>
      </w:r>
    </w:p>
  </w:footnote>
  <w:footnote w:id="515">
    <w:p w:rsidR="00767127" w:rsidRPr="00CF42D5" w:rsidRDefault="00767127" w:rsidP="000726DA">
      <w:pPr>
        <w:pStyle w:val="FootnoteText"/>
        <w:rPr>
          <w:lang w:val="sr-Cyrl-CS"/>
        </w:rPr>
      </w:pPr>
      <w:r>
        <w:rPr>
          <w:rStyle w:val="FootnoteReference"/>
        </w:rPr>
        <w:footnoteRef/>
      </w:r>
      <w:r>
        <w:t xml:space="preserve"> </w:t>
      </w:r>
      <w:r>
        <w:rPr>
          <w:lang w:val="sr-Cyrl-CS"/>
        </w:rPr>
        <w:t>Чл. 4. Закона о порезима на имовину („Службени гласник РС“ бр. „Службени гласник РС“ бр. 26/01, „Службени лист СРЈ“ бр. 42/02 и „Службени гласник РС“ бр. 80/02, 135/04, 61/07, 5/09, 101/10, 24/11, 78/11, 57/12, 47/13).</w:t>
      </w:r>
    </w:p>
  </w:footnote>
  <w:footnote w:id="516">
    <w:p w:rsidR="00767127" w:rsidRPr="007704BE" w:rsidRDefault="00767127" w:rsidP="000726DA">
      <w:pPr>
        <w:pStyle w:val="FootnoteText"/>
        <w:jc w:val="both"/>
        <w:rPr>
          <w:lang w:val="sr-Cyrl-CS"/>
        </w:rPr>
      </w:pPr>
      <w:r>
        <w:rPr>
          <w:rStyle w:val="FootnoteReference"/>
        </w:rPr>
        <w:footnoteRef/>
      </w:r>
      <w:r>
        <w:t xml:space="preserve"> </w:t>
      </w:r>
      <w:r>
        <w:rPr>
          <w:lang w:val="sr-Cyrl-CS"/>
        </w:rPr>
        <w:t xml:space="preserve">Чл. 5.-7а Закона о порезима на имовину („Службени гласник РС“ бр. „Службени гласник РС“ бр. 26/01, „Службени лист СРЈ“ бр. 42/02 и „Службени гласник РС“ бр. 80/02, 135/04, 61/07, 5/09, 101/10, 24/11, 78/11, 57/12, 47/13). </w:t>
      </w:r>
    </w:p>
    <w:p w:rsidR="00767127" w:rsidRPr="00B83696" w:rsidRDefault="00767127" w:rsidP="000726DA">
      <w:pPr>
        <w:pStyle w:val="FootnoteText"/>
        <w:rPr>
          <w:lang w:val="sr-Cyrl-CS"/>
        </w:rPr>
      </w:pPr>
    </w:p>
  </w:footnote>
  <w:footnote w:id="517">
    <w:p w:rsidR="00767127" w:rsidRPr="007704BE" w:rsidRDefault="00767127" w:rsidP="000726DA">
      <w:pPr>
        <w:pStyle w:val="FootnoteText"/>
        <w:jc w:val="both"/>
        <w:rPr>
          <w:lang w:val="sr-Cyrl-CS"/>
        </w:rPr>
      </w:pPr>
      <w:r>
        <w:rPr>
          <w:rStyle w:val="FootnoteReference"/>
        </w:rPr>
        <w:footnoteRef/>
      </w:r>
      <w:r>
        <w:t xml:space="preserve"> </w:t>
      </w:r>
      <w:r>
        <w:rPr>
          <w:lang w:val="sr-Cyrl-CS"/>
        </w:rPr>
        <w:t xml:space="preserve">Чл. 11. Закона о порезима на имовину („Службени гласник РС“ бр. „Службени гласник РС“ бр. 26/01, „Службени лист СРЈ“ бр. 42/02 и „Службени гласник РС“ бр. 80/02, 135/04, 61/07, 5/09, 101/10, 24/11, 78/11, 57/12, 47/13). </w:t>
      </w:r>
    </w:p>
    <w:p w:rsidR="00767127" w:rsidRPr="00743164" w:rsidRDefault="00767127" w:rsidP="000726DA">
      <w:pPr>
        <w:pStyle w:val="FootnoteText"/>
        <w:rPr>
          <w:lang w:val="sr-Cyrl-CS"/>
        </w:rPr>
      </w:pPr>
    </w:p>
  </w:footnote>
  <w:footnote w:id="518">
    <w:p w:rsidR="00767127" w:rsidRPr="00EA5234" w:rsidRDefault="00767127" w:rsidP="000726DA">
      <w:pPr>
        <w:pStyle w:val="FootnoteText"/>
        <w:rPr>
          <w:b/>
          <w:lang w:val="sr-Cyrl-CS"/>
        </w:rPr>
      </w:pPr>
      <w:r>
        <w:rPr>
          <w:rStyle w:val="FootnoteReference"/>
        </w:rPr>
        <w:footnoteRef/>
      </w:r>
      <w:r>
        <w:t xml:space="preserve"> </w:t>
      </w:r>
      <w:r w:rsidRPr="00135651">
        <w:rPr>
          <w:lang w:val="sr-Cyrl-CS"/>
        </w:rPr>
        <w:t xml:space="preserve">Милева Анђелковић и Марина Димитријевић, </w:t>
      </w:r>
      <w:r>
        <w:rPr>
          <w:i/>
          <w:lang w:val="sr-Cyrl-CS"/>
        </w:rPr>
        <w:t xml:space="preserve">нав. дело, </w:t>
      </w:r>
      <w:r w:rsidRPr="00135651">
        <w:rPr>
          <w:lang w:val="sr-Cyrl-CS"/>
        </w:rPr>
        <w:t xml:space="preserve"> стр. 145.</w:t>
      </w:r>
    </w:p>
  </w:footnote>
  <w:footnote w:id="519">
    <w:p w:rsidR="00767127" w:rsidRPr="00135651" w:rsidRDefault="00767127" w:rsidP="000726DA">
      <w:pPr>
        <w:pStyle w:val="NoSpacing"/>
        <w:rPr>
          <w:rFonts w:ascii="Times New Roman" w:hAnsi="Times New Roman"/>
          <w:sz w:val="20"/>
          <w:szCs w:val="20"/>
        </w:rPr>
      </w:pPr>
      <w:r>
        <w:rPr>
          <w:rStyle w:val="FootnoteReference"/>
        </w:rPr>
        <w:footnoteRef/>
      </w:r>
      <w:r>
        <w:t xml:space="preserve"> </w:t>
      </w:r>
      <w:hyperlink r:id="rId48" w:history="1">
        <w:r w:rsidRPr="006474A9">
          <w:rPr>
            <w:rStyle w:val="Hyperlink"/>
            <w:rFonts w:ascii="Times New Roman" w:hAnsi="Times New Roman"/>
            <w:sz w:val="20"/>
            <w:szCs w:val="20"/>
            <w:lang w:val="sr-Cyrl-CS"/>
          </w:rPr>
          <w:t>http://www.svevesti.com</w:t>
        </w:r>
      </w:hyperlink>
      <w:r>
        <w:rPr>
          <w:rFonts w:ascii="Times New Roman" w:hAnsi="Times New Roman"/>
          <w:b/>
          <w:sz w:val="20"/>
          <w:szCs w:val="20"/>
        </w:rPr>
        <w:t xml:space="preserve"> </w:t>
      </w:r>
      <w:r w:rsidRPr="00135651">
        <w:rPr>
          <w:rFonts w:ascii="Times New Roman" w:hAnsi="Times New Roman"/>
          <w:sz w:val="20"/>
          <w:szCs w:val="20"/>
        </w:rPr>
        <w:t>(25.12.2013.)</w:t>
      </w:r>
    </w:p>
  </w:footnote>
  <w:footnote w:id="520">
    <w:p w:rsidR="00767127" w:rsidRPr="00B66953" w:rsidRDefault="00767127" w:rsidP="00C75EE2">
      <w:pPr>
        <w:pStyle w:val="FootnoteText"/>
        <w:jc w:val="both"/>
        <w:rPr>
          <w:lang w:val="sr-Cyrl-CS"/>
        </w:rPr>
      </w:pPr>
      <w:r>
        <w:rPr>
          <w:rStyle w:val="FootnoteReference"/>
        </w:rPr>
        <w:footnoteRef/>
      </w:r>
      <w:r>
        <w:t xml:space="preserve"> </w:t>
      </w:r>
      <w:r>
        <w:rPr>
          <w:lang w:val="sr-Cyrl-CS"/>
        </w:rPr>
        <w:t xml:space="preserve">Фискална стратегија за 2013. годину са пројекцијама на 2014. и 2015. годину, стр 97. (Извор: </w:t>
      </w:r>
      <w:hyperlink r:id="rId49" w:history="1">
        <w:r w:rsidRPr="00754DCF">
          <w:rPr>
            <w:rStyle w:val="Hyperlink"/>
            <w:lang w:val="sr-Cyrl-CS"/>
          </w:rPr>
          <w:t>http://www.kombeg.org.rs</w:t>
        </w:r>
      </w:hyperlink>
      <w:r>
        <w:rPr>
          <w:lang w:val="sr-Cyrl-CS"/>
        </w:rPr>
        <w:t>).</w:t>
      </w:r>
    </w:p>
  </w:footnote>
  <w:footnote w:id="521">
    <w:p w:rsidR="00767127" w:rsidRPr="00380BB6" w:rsidRDefault="00767127" w:rsidP="000726DA">
      <w:pPr>
        <w:pStyle w:val="FootnoteText"/>
        <w:rPr>
          <w:lang w:val="sr-Cyrl-CS"/>
        </w:rPr>
      </w:pPr>
      <w:r>
        <w:rPr>
          <w:rStyle w:val="FootnoteReference"/>
        </w:rPr>
        <w:footnoteRef/>
      </w:r>
      <w:r>
        <w:t xml:space="preserve"> </w:t>
      </w:r>
      <w:r w:rsidRPr="00380BB6">
        <w:rPr>
          <w:lang w:val="sr-Cyrl-CS"/>
        </w:rPr>
        <w:t xml:space="preserve">Зоран Исаиловић, </w:t>
      </w:r>
      <w:r>
        <w:rPr>
          <w:i/>
          <w:lang w:val="sr-Cyrl-CS"/>
        </w:rPr>
        <w:t>нав. дело,</w:t>
      </w:r>
      <w:r>
        <w:t xml:space="preserve"> </w:t>
      </w:r>
      <w:r w:rsidRPr="00380BB6">
        <w:rPr>
          <w:lang w:val="sr-Cyrl-CS"/>
        </w:rPr>
        <w:t>стр. 16-17.</w:t>
      </w:r>
    </w:p>
  </w:footnote>
  <w:footnote w:id="522">
    <w:p w:rsidR="00767127" w:rsidRPr="00380BB6" w:rsidRDefault="00767127" w:rsidP="000726DA">
      <w:pPr>
        <w:pStyle w:val="FootnoteText"/>
        <w:jc w:val="both"/>
      </w:pPr>
      <w:r>
        <w:rPr>
          <w:rStyle w:val="FootnoteReference"/>
        </w:rPr>
        <w:footnoteRef/>
      </w:r>
      <w:r>
        <w:t xml:space="preserve"> </w:t>
      </w:r>
      <w:r w:rsidRPr="00380BB6">
        <w:rPr>
          <w:lang w:val="sr-Cyrl-CS"/>
        </w:rPr>
        <w:t>Чл. 10. Закона о порезима на имовину</w:t>
      </w:r>
      <w:r>
        <w:t xml:space="preserve"> </w:t>
      </w:r>
      <w:r>
        <w:rPr>
          <w:lang w:val="sr-Cyrl-CS"/>
        </w:rPr>
        <w:t xml:space="preserve">(„Службени гласник РС“ бр. „Службени гласник РС“ бр. 26/01, „Службени лист СРЈ“ бр. 42/02 и „Службени гласник РС“ бр. 80/02, 135/04, 61/07, 5/09, 101/10, 24/11, 78/11, 57/12, 47/13). </w:t>
      </w:r>
    </w:p>
  </w:footnote>
  <w:footnote w:id="523">
    <w:p w:rsidR="00767127" w:rsidRPr="0099556D" w:rsidRDefault="00767127" w:rsidP="00AD2528">
      <w:pPr>
        <w:pStyle w:val="NoSpacing"/>
        <w:jc w:val="both"/>
        <w:rPr>
          <w:rFonts w:asciiTheme="minorHAnsi" w:hAnsiTheme="minorHAnsi"/>
          <w:sz w:val="20"/>
          <w:szCs w:val="20"/>
          <w:lang w:val="sr-Cyrl-CS"/>
        </w:rPr>
      </w:pPr>
      <w:r w:rsidRPr="00AD2528">
        <w:rPr>
          <w:rStyle w:val="FootnoteReference"/>
          <w:rFonts w:asciiTheme="minorHAnsi" w:hAnsiTheme="minorHAnsi"/>
          <w:sz w:val="20"/>
          <w:szCs w:val="20"/>
          <w:vertAlign w:val="baseline"/>
        </w:rPr>
        <w:footnoteRef/>
      </w:r>
      <w:r w:rsidRPr="00AD2528">
        <w:rPr>
          <w:rFonts w:asciiTheme="minorHAnsi" w:hAnsiTheme="minorHAnsi"/>
          <w:sz w:val="20"/>
          <w:szCs w:val="20"/>
        </w:rPr>
        <w:t xml:space="preserve"> Драган Јовашевић и Марина Гајић Гламочија, </w:t>
      </w:r>
      <w:r w:rsidRPr="00A37EE0">
        <w:rPr>
          <w:rFonts w:asciiTheme="minorHAnsi" w:hAnsiTheme="minorHAnsi"/>
          <w:i/>
          <w:sz w:val="20"/>
          <w:szCs w:val="20"/>
          <w:lang w:val="sr-Cyrl-CS"/>
        </w:rPr>
        <w:t>нав. дело</w:t>
      </w:r>
      <w:r>
        <w:rPr>
          <w:rFonts w:asciiTheme="minorHAnsi" w:hAnsiTheme="minorHAnsi"/>
          <w:sz w:val="20"/>
          <w:szCs w:val="20"/>
          <w:lang w:val="sr-Cyrl-CS"/>
        </w:rPr>
        <w:t>,</w:t>
      </w:r>
      <w:r>
        <w:rPr>
          <w:rFonts w:asciiTheme="minorHAnsi" w:hAnsiTheme="minorHAnsi"/>
          <w:sz w:val="20"/>
          <w:szCs w:val="20"/>
        </w:rPr>
        <w:t xml:space="preserve"> стр. 72.</w:t>
      </w:r>
    </w:p>
  </w:footnote>
  <w:footnote w:id="524">
    <w:p w:rsidR="00767127" w:rsidRPr="00AD2528" w:rsidRDefault="00767127" w:rsidP="00AD2528">
      <w:pPr>
        <w:pStyle w:val="NoSpacing"/>
        <w:jc w:val="both"/>
        <w:rPr>
          <w:rFonts w:asciiTheme="minorHAnsi" w:hAnsiTheme="minorHAnsi"/>
          <w:sz w:val="20"/>
          <w:szCs w:val="20"/>
        </w:rPr>
      </w:pPr>
      <w:r w:rsidRPr="00AD2528">
        <w:rPr>
          <w:rStyle w:val="FootnoteReference"/>
          <w:rFonts w:asciiTheme="minorHAnsi" w:hAnsiTheme="minorHAnsi"/>
          <w:sz w:val="20"/>
          <w:szCs w:val="20"/>
          <w:vertAlign w:val="baseline"/>
        </w:rPr>
        <w:footnoteRef/>
      </w:r>
      <w:r w:rsidRPr="00AD2528">
        <w:rPr>
          <w:rFonts w:asciiTheme="minorHAnsi" w:hAnsiTheme="minorHAnsi"/>
          <w:sz w:val="20"/>
          <w:szCs w:val="20"/>
        </w:rPr>
        <w:t xml:space="preserve"> Чл. 12. ст. 1. тач. 8. Закона о порезима на имовину („Службени гласник РС“ бр. „Службени гласник РС“ бр. 26/01, „Службени лист СРЈ“ бр. 42/02 и „Службени гласник РС“ бр. 80/02, 135/04, 61/07, 5/09, 101/10, 24/11, 78/11, 57/12, 47/13). </w:t>
      </w:r>
    </w:p>
    <w:p w:rsidR="00767127" w:rsidRPr="00380BB6" w:rsidRDefault="00767127" w:rsidP="000726DA">
      <w:pPr>
        <w:pStyle w:val="FootnoteText"/>
      </w:pPr>
    </w:p>
  </w:footnote>
  <w:footnote w:id="525">
    <w:p w:rsidR="00767127" w:rsidRPr="00CE6E97" w:rsidRDefault="00767127" w:rsidP="000726DA">
      <w:pPr>
        <w:pStyle w:val="FootnoteText"/>
      </w:pPr>
      <w:r>
        <w:rPr>
          <w:rStyle w:val="FootnoteReference"/>
        </w:rPr>
        <w:footnoteRef/>
      </w:r>
      <w:r>
        <w:t xml:space="preserve"> Борис Беговић, </w:t>
      </w:r>
      <w:r w:rsidRPr="000503FF">
        <w:rPr>
          <w:b/>
          <w:lang w:val="sr-Cyrl-CS"/>
        </w:rPr>
        <w:t>Порези на имовину у Србији: Постојеће стање и предлог реформе</w:t>
      </w:r>
      <w:r>
        <w:rPr>
          <w:lang w:val="sr-Cyrl-CS"/>
        </w:rPr>
        <w:t xml:space="preserve">, </w:t>
      </w:r>
      <w:r w:rsidRPr="000503FF">
        <w:rPr>
          <w:i/>
          <w:lang w:val="sr-Cyrl-CS"/>
        </w:rPr>
        <w:t>Финасије</w:t>
      </w:r>
      <w:r>
        <w:rPr>
          <w:lang w:val="sr-Cyrl-CS"/>
        </w:rPr>
        <w:t xml:space="preserve">, бр. </w:t>
      </w:r>
      <w:r>
        <w:t>I/</w:t>
      </w:r>
      <w:r>
        <w:rPr>
          <w:lang w:val="sr-Cyrl-CS"/>
        </w:rPr>
        <w:t xml:space="preserve">6, 2005, стр. </w:t>
      </w:r>
      <w:r>
        <w:t>46-47.</w:t>
      </w:r>
    </w:p>
  </w:footnote>
  <w:footnote w:id="526">
    <w:p w:rsidR="00767127" w:rsidRPr="00380BB6" w:rsidRDefault="00767127" w:rsidP="001A743C">
      <w:pPr>
        <w:pStyle w:val="NoSpacing"/>
      </w:pPr>
      <w:r>
        <w:rPr>
          <w:rStyle w:val="FootnoteReference"/>
        </w:rPr>
        <w:footnoteRef/>
      </w:r>
      <w:r>
        <w:t xml:space="preserve"> </w:t>
      </w:r>
      <w:r w:rsidRPr="00380BB6">
        <w:rPr>
          <w:lang w:val="sr-Cyrl-CS"/>
        </w:rPr>
        <w:t xml:space="preserve">Извор: </w:t>
      </w:r>
      <w:hyperlink r:id="rId50" w:history="1">
        <w:r w:rsidRPr="00380BB6">
          <w:rPr>
            <w:rStyle w:val="Hyperlink"/>
            <w:sz w:val="20"/>
            <w:szCs w:val="20"/>
            <w:lang w:val="sr-Cyrl-CS"/>
          </w:rPr>
          <w:t>http://www.prostor22.rs</w:t>
        </w:r>
      </w:hyperlink>
      <w:r w:rsidRPr="00380BB6">
        <w:rPr>
          <w:lang w:val="sr-Cyrl-CS"/>
        </w:rPr>
        <w:t xml:space="preserve"> (25.12.2013.</w:t>
      </w:r>
      <w:r w:rsidRPr="00380BB6">
        <w:t>)</w:t>
      </w:r>
    </w:p>
  </w:footnote>
  <w:footnote w:id="527">
    <w:p w:rsidR="00767127" w:rsidRPr="001A743C" w:rsidRDefault="00767127" w:rsidP="001A743C">
      <w:pPr>
        <w:pStyle w:val="NoSpacing"/>
        <w:rPr>
          <w:lang w:val="sr-Cyrl-CS"/>
        </w:rPr>
      </w:pPr>
      <w:r w:rsidRPr="00380BB6">
        <w:rPr>
          <w:rStyle w:val="FootnoteReference"/>
          <w:sz w:val="20"/>
          <w:szCs w:val="20"/>
        </w:rPr>
        <w:footnoteRef/>
      </w:r>
      <w:r w:rsidRPr="00380BB6">
        <w:t xml:space="preserve"> </w:t>
      </w:r>
      <w:r w:rsidRPr="00380BB6">
        <w:rPr>
          <w:lang w:val="sr-Cyrl-CS"/>
        </w:rPr>
        <w:t xml:space="preserve">Извор: </w:t>
      </w:r>
      <w:hyperlink r:id="rId51" w:history="1">
        <w:r w:rsidRPr="00380BB6">
          <w:rPr>
            <w:rStyle w:val="Hyperlink"/>
            <w:sz w:val="20"/>
            <w:szCs w:val="20"/>
            <w:lang w:val="sr-Cyrl-CS"/>
          </w:rPr>
          <w:t>http://www.krediti.rs</w:t>
        </w:r>
      </w:hyperlink>
      <w:r w:rsidRPr="00380BB6">
        <w:rPr>
          <w:lang w:val="sr-Cyrl-CS"/>
        </w:rPr>
        <w:t xml:space="preserve"> (23.12.3013.)</w:t>
      </w:r>
    </w:p>
  </w:footnote>
  <w:footnote w:id="528">
    <w:p w:rsidR="00767127" w:rsidRPr="008B6D01" w:rsidRDefault="00767127" w:rsidP="001A743C">
      <w:pPr>
        <w:pStyle w:val="NoSpacing"/>
        <w:jc w:val="both"/>
        <w:rPr>
          <w:lang w:val="sr-Cyrl-CS"/>
        </w:rPr>
      </w:pPr>
      <w:r>
        <w:rPr>
          <w:rStyle w:val="FootnoteReference"/>
        </w:rPr>
        <w:footnoteRef/>
      </w:r>
      <w:r>
        <w:t xml:space="preserve"> </w:t>
      </w:r>
      <w:r w:rsidRPr="001A743C">
        <w:rPr>
          <w:rFonts w:asciiTheme="minorHAnsi" w:hAnsiTheme="minorHAnsi"/>
          <w:sz w:val="20"/>
          <w:szCs w:val="20"/>
          <w:lang w:val="sr-Cyrl-CS"/>
        </w:rPr>
        <w:t xml:space="preserve">Фискална стратегија за 2013. годину са пројекцијама на 2014. и 2015. годину, стр. 96-97.  (Извор: </w:t>
      </w:r>
      <w:hyperlink r:id="rId52" w:history="1">
        <w:r w:rsidRPr="001A743C">
          <w:rPr>
            <w:rStyle w:val="Hyperlink"/>
            <w:rFonts w:asciiTheme="minorHAnsi" w:hAnsiTheme="minorHAnsi"/>
            <w:sz w:val="20"/>
            <w:szCs w:val="20"/>
            <w:lang w:val="sr-Cyrl-CS"/>
          </w:rPr>
          <w:t>http://www.kombeg.org.rs</w:t>
        </w:r>
      </w:hyperlink>
      <w:r w:rsidRPr="001A743C">
        <w:rPr>
          <w:rFonts w:asciiTheme="minorHAnsi" w:hAnsiTheme="minorHAnsi"/>
          <w:sz w:val="20"/>
          <w:szCs w:val="20"/>
          <w:lang w:val="sr-Cyrl-CS"/>
        </w:rPr>
        <w:t>).</w:t>
      </w:r>
    </w:p>
  </w:footnote>
  <w:footnote w:id="529">
    <w:p w:rsidR="00767127" w:rsidRPr="00184689" w:rsidRDefault="00767127">
      <w:pPr>
        <w:pStyle w:val="FootnoteText"/>
        <w:rPr>
          <w:lang w:val="sr-Cyrl-CS"/>
        </w:rPr>
      </w:pPr>
      <w:r>
        <w:rPr>
          <w:rStyle w:val="FootnoteReference"/>
        </w:rPr>
        <w:footnoteRef/>
      </w:r>
      <w:r>
        <w:t xml:space="preserve"> </w:t>
      </w:r>
      <w:r>
        <w:rPr>
          <w:lang w:val="sr-Cyrl-CS"/>
        </w:rPr>
        <w:t xml:space="preserve">Јован Ловчевић, </w:t>
      </w:r>
      <w:r w:rsidRPr="00A37EE0">
        <w:rPr>
          <w:b/>
          <w:lang w:val="sr-Cyrl-CS"/>
        </w:rPr>
        <w:t>Институције јавних финансија</w:t>
      </w:r>
      <w:r>
        <w:rPr>
          <w:i/>
          <w:lang w:val="sr-Cyrl-CS"/>
        </w:rPr>
        <w:t xml:space="preserve">, </w:t>
      </w:r>
      <w:r>
        <w:rPr>
          <w:lang w:val="sr-Cyrl-CS"/>
        </w:rPr>
        <w:t xml:space="preserve">Службени лист СФРЈ, </w:t>
      </w:r>
      <w:r w:rsidRPr="00A37EE0">
        <w:rPr>
          <w:lang w:val="sr-Cyrl-CS"/>
        </w:rPr>
        <w:t>Београд,</w:t>
      </w:r>
      <w:r>
        <w:rPr>
          <w:b/>
          <w:lang w:val="sr-Cyrl-CS"/>
        </w:rPr>
        <w:t xml:space="preserve"> </w:t>
      </w:r>
      <w:r w:rsidRPr="00A37EE0">
        <w:rPr>
          <w:lang w:val="sr-Cyrl-CS"/>
        </w:rPr>
        <w:t>1</w:t>
      </w:r>
      <w:r>
        <w:rPr>
          <w:lang w:val="sr-Cyrl-CS"/>
        </w:rPr>
        <w:t>9</w:t>
      </w:r>
      <w:r w:rsidRPr="00A37EE0">
        <w:rPr>
          <w:lang w:val="sr-Cyrl-CS"/>
        </w:rPr>
        <w:t>79</w:t>
      </w:r>
      <w:r>
        <w:rPr>
          <w:b/>
          <w:lang w:val="sr-Cyrl-CS"/>
        </w:rPr>
        <w:t xml:space="preserve">, </w:t>
      </w:r>
      <w:r>
        <w:rPr>
          <w:i/>
          <w:lang w:val="sr-Cyrl-CS"/>
        </w:rPr>
        <w:t xml:space="preserve"> </w:t>
      </w:r>
      <w:r>
        <w:rPr>
          <w:lang w:val="sr-Cyrl-CS"/>
        </w:rPr>
        <w:t xml:space="preserve"> стр. 149.</w:t>
      </w:r>
    </w:p>
  </w:footnote>
  <w:footnote w:id="530">
    <w:p w:rsidR="00767127" w:rsidRPr="00014A26" w:rsidRDefault="00767127">
      <w:pPr>
        <w:pStyle w:val="FootnoteText"/>
      </w:pPr>
      <w:r>
        <w:rPr>
          <w:rStyle w:val="FootnoteReference"/>
        </w:rPr>
        <w:footnoteRef/>
      </w:r>
      <w:r>
        <w:t xml:space="preserve"> </w:t>
      </w:r>
      <w:r w:rsidRPr="003400FD">
        <w:rPr>
          <w:rFonts w:cs="Arial"/>
          <w:iCs/>
          <w:color w:val="000000"/>
          <w:shd w:val="clear" w:color="auto" w:fill="FFFFFF"/>
        </w:rPr>
        <w:t>Montesquieu</w:t>
      </w:r>
      <w:r w:rsidRPr="00AC5D32">
        <w:rPr>
          <w:lang w:val="sr-Cyrl-CS"/>
        </w:rPr>
        <w:t xml:space="preserve"> </w:t>
      </w:r>
      <w:r>
        <w:rPr>
          <w:lang w:val="sr-Cyrl-CS"/>
        </w:rPr>
        <w:t xml:space="preserve">(1689-1755) је у плаћању појединачних пореза (акциза) видео доказ слободе човека, али је било познатих теоретичара који нису били присталице акциза, као што је је </w:t>
      </w:r>
      <w:r w:rsidRPr="00014A26">
        <w:rPr>
          <w:rFonts w:cs="Arial"/>
          <w:bCs/>
          <w:color w:val="000000"/>
          <w:shd w:val="clear" w:color="auto" w:fill="FFFFFF"/>
        </w:rPr>
        <w:t>John Locke</w:t>
      </w:r>
      <w:r w:rsidRPr="00014A26">
        <w:rPr>
          <w:rFonts w:cs="Arial"/>
          <w:bCs/>
          <w:color w:val="000000"/>
          <w:shd w:val="clear" w:color="auto" w:fill="FFFFFF"/>
          <w:lang w:val="sr-Cyrl-CS"/>
        </w:rPr>
        <w:t xml:space="preserve"> (1632-1704)</w:t>
      </w:r>
      <w:r>
        <w:rPr>
          <w:rFonts w:cs="Arial"/>
          <w:bCs/>
          <w:color w:val="000000"/>
          <w:shd w:val="clear" w:color="auto" w:fill="FFFFFF"/>
          <w:lang w:val="sr-Cyrl-CS"/>
        </w:rPr>
        <w:t xml:space="preserve"> или Sebastien Vaub</w:t>
      </w:r>
      <w:r>
        <w:rPr>
          <w:rFonts w:cs="Arial"/>
          <w:bCs/>
          <w:color w:val="000000"/>
          <w:shd w:val="clear" w:color="auto" w:fill="FFFFFF"/>
        </w:rPr>
        <w:t>a</w:t>
      </w:r>
      <w:r>
        <w:rPr>
          <w:rFonts w:cs="Arial"/>
          <w:bCs/>
          <w:color w:val="000000"/>
          <w:shd w:val="clear" w:color="auto" w:fill="FFFFFF"/>
          <w:lang w:val="sr-Cyrl-CS"/>
        </w:rPr>
        <w:t>n (1633-1707)</w:t>
      </w:r>
      <w:r>
        <w:rPr>
          <w:rFonts w:cs="Arial"/>
          <w:bCs/>
          <w:color w:val="000000"/>
          <w:shd w:val="clear" w:color="auto" w:fill="FFFFFF"/>
        </w:rPr>
        <w:t xml:space="preserve"> који је сматрао да је убирање акциза прикривена крађа</w:t>
      </w:r>
      <w:r>
        <w:rPr>
          <w:rFonts w:cs="Arial"/>
          <w:bCs/>
          <w:color w:val="000000"/>
          <w:shd w:val="clear" w:color="auto" w:fill="FFFFFF"/>
          <w:lang w:val="sr-Cyrl-CS"/>
        </w:rPr>
        <w:t>.</w:t>
      </w:r>
    </w:p>
  </w:footnote>
  <w:footnote w:id="531">
    <w:p w:rsidR="00767127" w:rsidRPr="001E137D" w:rsidRDefault="00767127">
      <w:pPr>
        <w:pStyle w:val="FootnoteText"/>
        <w:rPr>
          <w:lang w:val="sr-Cyrl-CS"/>
        </w:rPr>
      </w:pPr>
      <w:r>
        <w:rPr>
          <w:rStyle w:val="FootnoteReference"/>
        </w:rPr>
        <w:footnoteRef/>
      </w:r>
      <w:r>
        <w:t xml:space="preserve"> </w:t>
      </w:r>
      <w:r>
        <w:rPr>
          <w:lang w:val="sr-Cyrl-CS"/>
        </w:rPr>
        <w:t xml:space="preserve">Барбара Јелчић и Божидар Јелчић, </w:t>
      </w:r>
      <w:r>
        <w:rPr>
          <w:i/>
          <w:lang w:val="sr-Cyrl-CS"/>
        </w:rPr>
        <w:t xml:space="preserve">нав. дело, </w:t>
      </w:r>
      <w:r>
        <w:rPr>
          <w:lang w:val="sr-Cyrl-CS"/>
        </w:rPr>
        <w:t xml:space="preserve"> стр. 338-339.</w:t>
      </w:r>
    </w:p>
  </w:footnote>
  <w:footnote w:id="532">
    <w:p w:rsidR="00767127" w:rsidRPr="007371AB" w:rsidRDefault="00767127">
      <w:pPr>
        <w:pStyle w:val="FootnoteText"/>
        <w:rPr>
          <w:lang w:val="sr-Cyrl-CS"/>
        </w:rPr>
      </w:pPr>
      <w:r>
        <w:rPr>
          <w:rStyle w:val="FootnoteReference"/>
        </w:rPr>
        <w:footnoteRef/>
      </w:r>
      <w:r>
        <w:t xml:space="preserve"> </w:t>
      </w:r>
      <w:r>
        <w:rPr>
          <w:lang w:val="sr-Cyrl-CS"/>
        </w:rPr>
        <w:t xml:space="preserve">Марко Радичић и Божидар Раичевић, </w:t>
      </w:r>
      <w:r>
        <w:rPr>
          <w:i/>
          <w:lang w:val="sr-Cyrl-CS"/>
        </w:rPr>
        <w:t xml:space="preserve">нав. дело, </w:t>
      </w:r>
      <w:r>
        <w:rPr>
          <w:lang w:val="sr-Cyrl-CS"/>
        </w:rPr>
        <w:t xml:space="preserve"> стр. 161.</w:t>
      </w:r>
    </w:p>
  </w:footnote>
  <w:footnote w:id="533">
    <w:p w:rsidR="00767127" w:rsidRPr="00FA325A" w:rsidRDefault="00767127">
      <w:pPr>
        <w:pStyle w:val="FootnoteText"/>
        <w:rPr>
          <w:lang w:val="sr-Cyrl-CS"/>
        </w:rPr>
      </w:pPr>
      <w:r>
        <w:rPr>
          <w:rStyle w:val="FootnoteReference"/>
        </w:rPr>
        <w:footnoteRef/>
      </w:r>
      <w:r>
        <w:rPr>
          <w:lang w:val="sr-Cyrl-CS"/>
        </w:rPr>
        <w:t xml:space="preserve">Дејан Поповић, </w:t>
      </w:r>
      <w:r>
        <w:rPr>
          <w:i/>
          <w:lang w:val="sr-Cyrl-CS"/>
        </w:rPr>
        <w:t>нав. дело,</w:t>
      </w:r>
      <w:r w:rsidRPr="002319FB">
        <w:rPr>
          <w:i/>
          <w:lang w:val="sr-Cyrl-CS"/>
        </w:rPr>
        <w:t xml:space="preserve"> </w:t>
      </w:r>
      <w:r w:rsidRPr="002319FB">
        <w:rPr>
          <w:i/>
        </w:rPr>
        <w:t xml:space="preserve"> </w:t>
      </w:r>
      <w:r>
        <w:rPr>
          <w:lang w:val="sr-Cyrl-CS"/>
        </w:rPr>
        <w:t>стр. 421.</w:t>
      </w:r>
    </w:p>
  </w:footnote>
  <w:footnote w:id="534">
    <w:p w:rsidR="00767127" w:rsidRPr="00A23E35" w:rsidRDefault="00767127">
      <w:pPr>
        <w:pStyle w:val="FootnoteText"/>
        <w:rPr>
          <w:lang w:val="sr-Cyrl-CS"/>
        </w:rPr>
      </w:pPr>
      <w:r>
        <w:rPr>
          <w:rStyle w:val="FootnoteReference"/>
        </w:rPr>
        <w:footnoteRef/>
      </w:r>
      <w:r>
        <w:t xml:space="preserve"> </w:t>
      </w:r>
      <w:r>
        <w:rPr>
          <w:lang w:val="sr-Cyrl-CS"/>
        </w:rPr>
        <w:t>Закон о порезу на промет, („Службени гласник РС“ бр. 19/94 и Уредба о утврђивању и плаћању пореза на промет за време примене санкција међународних организација, („Службени гласник РС“ бр. 8/94).</w:t>
      </w:r>
    </w:p>
  </w:footnote>
  <w:footnote w:id="535">
    <w:p w:rsidR="00767127" w:rsidRPr="001474CC" w:rsidRDefault="00767127">
      <w:pPr>
        <w:pStyle w:val="FootnoteText"/>
        <w:rPr>
          <w:lang w:val="sr-Cyrl-CS"/>
        </w:rPr>
      </w:pPr>
      <w:r>
        <w:rPr>
          <w:rStyle w:val="FootnoteReference"/>
        </w:rPr>
        <w:footnoteRef/>
      </w:r>
      <w:r>
        <w:t xml:space="preserve"> </w:t>
      </w:r>
      <w:r>
        <w:rPr>
          <w:lang w:val="sr-Cyrl-CS"/>
        </w:rPr>
        <w:t>Закон о акцизама, („Службени гласник РС“ бр. 22/01).</w:t>
      </w:r>
    </w:p>
  </w:footnote>
  <w:footnote w:id="536">
    <w:p w:rsidR="00767127" w:rsidRPr="00FA325A" w:rsidRDefault="00767127">
      <w:pPr>
        <w:pStyle w:val="FootnoteText"/>
        <w:rPr>
          <w:lang w:val="sr-Cyrl-CS"/>
        </w:rPr>
      </w:pPr>
      <w:r>
        <w:rPr>
          <w:rStyle w:val="FootnoteReference"/>
        </w:rPr>
        <w:footnoteRef/>
      </w:r>
      <w:r>
        <w:t xml:space="preserve"> </w:t>
      </w:r>
      <w:r>
        <w:rPr>
          <w:lang w:val="sr-Cyrl-CS"/>
        </w:rPr>
        <w:t xml:space="preserve">Милева Анђелковић и Марина Димитријевић, </w:t>
      </w:r>
      <w:r>
        <w:rPr>
          <w:i/>
          <w:lang w:val="sr-Cyrl-CS"/>
        </w:rPr>
        <w:t xml:space="preserve">нав. дело, </w:t>
      </w:r>
      <w:r>
        <w:rPr>
          <w:lang w:val="sr-Cyrl-CS"/>
        </w:rPr>
        <w:t xml:space="preserve"> стр. 131.</w:t>
      </w:r>
    </w:p>
  </w:footnote>
  <w:footnote w:id="537">
    <w:p w:rsidR="00767127" w:rsidRPr="00957FC2" w:rsidRDefault="00767127">
      <w:pPr>
        <w:pStyle w:val="FootnoteText"/>
      </w:pPr>
      <w:r>
        <w:rPr>
          <w:rStyle w:val="FootnoteReference"/>
        </w:rPr>
        <w:footnoteRef/>
      </w:r>
      <w:r>
        <w:t xml:space="preserve"> </w:t>
      </w:r>
      <w:r>
        <w:rPr>
          <w:lang w:val="sr-Cyrl-CS"/>
        </w:rPr>
        <w:t>Чл. 3. Закона о акцизама, („Службени гласник РС“ бр. 22/01, 73/01, 80/02, 43/03, 72/03, 43/04, 55/04, 135/04, 46/05, 101/05, 61/07, 5/09, 31/09, 101/10, 43/11, 101/11, 6/12, 43/12, 76/12, 93/12, 119/12, 8/13 и 47/13).</w:t>
      </w:r>
    </w:p>
  </w:footnote>
  <w:footnote w:id="538">
    <w:p w:rsidR="00767127" w:rsidRPr="00CB6483" w:rsidRDefault="00767127">
      <w:pPr>
        <w:pStyle w:val="FootnoteText"/>
        <w:rPr>
          <w:lang w:val="sr-Cyrl-CS"/>
        </w:rPr>
      </w:pPr>
      <w:r>
        <w:rPr>
          <w:rStyle w:val="FootnoteReference"/>
        </w:rPr>
        <w:footnoteRef/>
      </w:r>
      <w:r>
        <w:t xml:space="preserve"> </w:t>
      </w:r>
      <w:r>
        <w:rPr>
          <w:lang w:val="sr-Cyrl-CS"/>
        </w:rPr>
        <w:t>Чл. 21. Закона о акцизама, („Службени гласник РС“ бр. 22/01, 73/01, 80/02, 43/03, 72/03, 43/04, 55/04, 135/04, 46/05, 101/05, 61/07, 5/09, 31/09, 101/10, 43/11, 101/11, 6/12, 43/12, 76/12, 93/12, 119/12, 8/13 и 47/13).</w:t>
      </w:r>
    </w:p>
  </w:footnote>
  <w:footnote w:id="539">
    <w:p w:rsidR="00767127" w:rsidRPr="00CB6483" w:rsidRDefault="00767127">
      <w:pPr>
        <w:pStyle w:val="FootnoteText"/>
        <w:rPr>
          <w:lang w:val="sr-Cyrl-CS"/>
        </w:rPr>
      </w:pPr>
      <w:r>
        <w:rPr>
          <w:rStyle w:val="FootnoteReference"/>
        </w:rPr>
        <w:footnoteRef/>
      </w:r>
      <w:r>
        <w:rPr>
          <w:lang w:val="sr-Cyrl-CS"/>
        </w:rPr>
        <w:t>Чл. 21а Закона о акцизама, („Службени гласник РС“ бр. 22/01, 73/01, 80/02, 43/03, 72/03, 43/04, 55/04, 135/04, 46/05, 101/05, 61/07, 5/09, 31/09, 101/10, 43/11, 101/11, 6/12, 43/12, 76/12, 93/12, 119/12, 8/13 и 47/13).</w:t>
      </w:r>
      <w:r>
        <w:t xml:space="preserve"> </w:t>
      </w:r>
    </w:p>
  </w:footnote>
  <w:footnote w:id="540">
    <w:p w:rsidR="00767127" w:rsidRPr="00CB6483" w:rsidRDefault="00767127">
      <w:pPr>
        <w:pStyle w:val="FootnoteText"/>
        <w:rPr>
          <w:lang w:val="sr-Cyrl-CS"/>
        </w:rPr>
      </w:pPr>
      <w:r>
        <w:rPr>
          <w:rStyle w:val="FootnoteReference"/>
        </w:rPr>
        <w:footnoteRef/>
      </w:r>
      <w:r>
        <w:t xml:space="preserve"> </w:t>
      </w:r>
      <w:r>
        <w:rPr>
          <w:lang w:val="sr-Cyrl-CS"/>
        </w:rPr>
        <w:t>Чл. 22а Закона о акцизама, („Службени гласник РС“ бр. 22/01, 73/01, 80/02, 43/03, 72/03, 43/04, 55/04, 135/04, 46/05, 101/05, 61/07, 5/09, 31/09, 101/10, 43/11, 101/11, 6/12, 43/12, 76/12, 93/12, 119/12, 8/13 и 47/13).</w:t>
      </w:r>
    </w:p>
  </w:footnote>
  <w:footnote w:id="541">
    <w:p w:rsidR="00767127" w:rsidRPr="00635427" w:rsidRDefault="00767127">
      <w:pPr>
        <w:pStyle w:val="FootnoteText"/>
        <w:rPr>
          <w:lang w:val="sr-Cyrl-CS"/>
        </w:rPr>
      </w:pPr>
      <w:r>
        <w:rPr>
          <w:rStyle w:val="FootnoteReference"/>
        </w:rPr>
        <w:footnoteRef/>
      </w:r>
      <w:r>
        <w:t xml:space="preserve"> </w:t>
      </w:r>
      <w:r>
        <w:rPr>
          <w:lang w:val="sr-Cyrl-CS"/>
        </w:rPr>
        <w:t>Чл. 2. Закон о акцизама, („Службени гласник РС“ бр. 22/01, 73/01, 80/02, 43/03, 72/03, 43/04, 55/04, 135/04, 46/05, 101/05, 61/07, 5/09, 31/09, 101/10, 43/11, 101/11, 6/12, 43/12, 76/12, 93/12, 119/12, 8/13 и 47/13).</w:t>
      </w:r>
    </w:p>
  </w:footnote>
  <w:footnote w:id="542">
    <w:p w:rsidR="00767127" w:rsidRPr="00861C78" w:rsidRDefault="00767127">
      <w:pPr>
        <w:pStyle w:val="FootnoteText"/>
        <w:rPr>
          <w:lang w:val="sr-Cyrl-CS"/>
        </w:rPr>
      </w:pPr>
      <w:r>
        <w:rPr>
          <w:rStyle w:val="FootnoteReference"/>
        </w:rPr>
        <w:footnoteRef/>
      </w:r>
      <w:r>
        <w:t xml:space="preserve"> </w:t>
      </w:r>
      <w:r>
        <w:rPr>
          <w:lang w:val="sr-Cyrl-CS"/>
        </w:rPr>
        <w:t>Чл. 2. Закон о акцизама, („Службени гласник РС“ бр. 22/01, 73/01, 80/02, 43/03, 72/03).</w:t>
      </w:r>
    </w:p>
  </w:footnote>
  <w:footnote w:id="543">
    <w:p w:rsidR="00767127" w:rsidRPr="00861C78" w:rsidRDefault="00767127">
      <w:pPr>
        <w:pStyle w:val="FootnoteText"/>
        <w:rPr>
          <w:lang w:val="sr-Cyrl-CS"/>
        </w:rPr>
      </w:pPr>
      <w:r>
        <w:rPr>
          <w:rStyle w:val="FootnoteReference"/>
        </w:rPr>
        <w:footnoteRef/>
      </w:r>
      <w:r>
        <w:t xml:space="preserve"> </w:t>
      </w:r>
      <w:r>
        <w:rPr>
          <w:lang w:val="sr-Cyrl-CS"/>
        </w:rPr>
        <w:t>Чл. 2 Закон о акцизама, („Службени гласник РС“ бр. 22/01, 73/01, 80/02, 43/03).</w:t>
      </w:r>
    </w:p>
  </w:footnote>
  <w:footnote w:id="544">
    <w:p w:rsidR="00767127" w:rsidRPr="00983CC3" w:rsidRDefault="00767127">
      <w:pPr>
        <w:pStyle w:val="FootnoteText"/>
        <w:rPr>
          <w:lang w:val="sr-Cyrl-CS"/>
        </w:rPr>
      </w:pPr>
      <w:r>
        <w:rPr>
          <w:rStyle w:val="FootnoteReference"/>
        </w:rPr>
        <w:footnoteRef/>
      </w:r>
      <w:r>
        <w:t xml:space="preserve"> </w:t>
      </w:r>
      <w:r>
        <w:rPr>
          <w:lang w:val="sr-Cyrl-CS"/>
        </w:rPr>
        <w:t>Милева Анђелковић и Марина Димитријевић, нав. дело</w:t>
      </w:r>
      <w:r w:rsidRPr="006D6BD9">
        <w:rPr>
          <w:i/>
          <w:lang w:val="sr-Cyrl-CS"/>
        </w:rPr>
        <w:t>,</w:t>
      </w:r>
      <w:r>
        <w:rPr>
          <w:lang w:val="sr-Cyrl-CS"/>
        </w:rPr>
        <w:t xml:space="preserve"> стр. 132.</w:t>
      </w:r>
    </w:p>
  </w:footnote>
  <w:footnote w:id="545">
    <w:p w:rsidR="00767127" w:rsidRPr="006026E1" w:rsidRDefault="00767127">
      <w:pPr>
        <w:pStyle w:val="FootnoteText"/>
        <w:rPr>
          <w:lang w:val="sr-Cyrl-CS"/>
        </w:rPr>
      </w:pPr>
      <w:r>
        <w:rPr>
          <w:rStyle w:val="FootnoteReference"/>
        </w:rPr>
        <w:footnoteRef/>
      </w:r>
      <w:r>
        <w:t xml:space="preserve"> </w:t>
      </w:r>
      <w:r>
        <w:rPr>
          <w:lang w:val="sr-Cyrl-CS"/>
        </w:rPr>
        <w:t>Чл. 6. Закон о акцизама, („Службени гласник РС“ бр. 22/01, 73/01, 80/02, 43/03, 72/03, 43/04, 55/04, 135/04, 46/05, 101/05, 61/07, 5/09, 31/09, 101/10, 43/11, 101/11, 6/12, 43/12, 76/12, 93/12, 119/12, 8/13 и 47/13).</w:t>
      </w:r>
    </w:p>
  </w:footnote>
  <w:footnote w:id="546">
    <w:p w:rsidR="00767127" w:rsidRPr="00DC41D2" w:rsidRDefault="00767127">
      <w:pPr>
        <w:pStyle w:val="FootnoteText"/>
        <w:rPr>
          <w:lang w:val="sr-Cyrl-CS"/>
        </w:rPr>
      </w:pPr>
      <w:r>
        <w:rPr>
          <w:rStyle w:val="FootnoteReference"/>
        </w:rPr>
        <w:footnoteRef/>
      </w:r>
      <w:r>
        <w:t xml:space="preserve"> </w:t>
      </w:r>
      <w:r>
        <w:rPr>
          <w:lang w:val="sr-Cyrl-CS"/>
        </w:rPr>
        <w:t>Чл. 40а и 40б Закон о акцизама, („Службени гласник РС“ бр. 22/01, 73/01, 80/02, 43/03, 72/03, 43/04, 55/04, 135/04, 46/05, 101/05, 61/07, 5/09, 31/09, 101/10, 43/11, 101/11, 6/12, 43/12, 76/12, 93/12, 119/12, 8/13 и 47/13).</w:t>
      </w:r>
    </w:p>
  </w:footnote>
  <w:footnote w:id="547">
    <w:p w:rsidR="00767127" w:rsidRPr="006026E1" w:rsidRDefault="00767127">
      <w:pPr>
        <w:pStyle w:val="FootnoteText"/>
        <w:rPr>
          <w:lang w:val="sr-Cyrl-CS"/>
        </w:rPr>
      </w:pPr>
      <w:r>
        <w:rPr>
          <w:rStyle w:val="FootnoteReference"/>
        </w:rPr>
        <w:footnoteRef/>
      </w:r>
      <w:r>
        <w:t xml:space="preserve"> </w:t>
      </w:r>
      <w:r>
        <w:rPr>
          <w:lang w:val="sr-Cyrl-CS"/>
        </w:rPr>
        <w:t>Чл. 17. Закон о акцизама, („Службени гласник РС“ бр. 22/01, 73/01, 80/02, 43/03, 72/03, 43/04, 55/04, 135/04, 46/05, 101/05, 61/07, 5/09, 31/09, 101/10, 43/11, 101/11, 6/12, 43/12, 76/12, 93/12, 119/12, 8/13 и 47/13).</w:t>
      </w:r>
    </w:p>
  </w:footnote>
  <w:footnote w:id="548">
    <w:p w:rsidR="00767127" w:rsidRPr="006026E1" w:rsidRDefault="00767127" w:rsidP="0080481C">
      <w:pPr>
        <w:pStyle w:val="FootnoteText"/>
        <w:rPr>
          <w:lang w:val="sr-Cyrl-CS"/>
        </w:rPr>
      </w:pPr>
      <w:r>
        <w:rPr>
          <w:rStyle w:val="FootnoteReference"/>
        </w:rPr>
        <w:footnoteRef/>
      </w:r>
      <w:r>
        <w:rPr>
          <w:lang w:val="sr-Cyrl-CS"/>
        </w:rPr>
        <w:t>Чл. 19-20  Закона о акцизама, („Службени гласник РС“ бр. 22/01, 73/01, 80/02, 43/03, 72/03, 43/04, 55/04, 135/04, 46/05, 101/05, 61/07, 5/09, 31/09, 101/10, 43/11, 101/11, 6/12, 43/12, 76/12, 93/12, 119/12, 8/13 и 47/13).</w:t>
      </w:r>
    </w:p>
    <w:p w:rsidR="00767127" w:rsidRPr="0080481C" w:rsidRDefault="00767127">
      <w:pPr>
        <w:pStyle w:val="FootnoteText"/>
        <w:rPr>
          <w:lang w:val="sr-Cyrl-CS"/>
        </w:rPr>
      </w:pPr>
    </w:p>
  </w:footnote>
  <w:footnote w:id="549">
    <w:p w:rsidR="00767127" w:rsidRPr="00BB1F3B" w:rsidRDefault="00767127" w:rsidP="00075124">
      <w:pPr>
        <w:pStyle w:val="FootnoteText"/>
        <w:rPr>
          <w:lang w:val="sr-Cyrl-CS"/>
        </w:rPr>
      </w:pPr>
      <w:r>
        <w:rPr>
          <w:rStyle w:val="FootnoteReference"/>
        </w:rPr>
        <w:footnoteRef/>
      </w:r>
      <w:r>
        <w:t xml:space="preserve"> </w:t>
      </w:r>
      <w:r>
        <w:rPr>
          <w:lang w:val="sr-Cyrl-CS"/>
        </w:rPr>
        <w:t xml:space="preserve">Миодраг Вуковић, </w:t>
      </w:r>
      <w:r>
        <w:rPr>
          <w:i/>
          <w:lang w:val="sr-Cyrl-CS"/>
        </w:rPr>
        <w:t>нав. дело</w:t>
      </w:r>
      <w:r w:rsidRPr="006D6BD9">
        <w:rPr>
          <w:i/>
          <w:lang w:val="sr-Cyrl-CS"/>
        </w:rPr>
        <w:t>,</w:t>
      </w:r>
      <w:r>
        <w:rPr>
          <w:lang w:val="sr-Cyrl-CS"/>
        </w:rPr>
        <w:t xml:space="preserve"> стр. 139-140.</w:t>
      </w:r>
    </w:p>
  </w:footnote>
  <w:footnote w:id="550">
    <w:p w:rsidR="00767127" w:rsidRPr="00F326EB" w:rsidRDefault="00767127">
      <w:pPr>
        <w:pStyle w:val="FootnoteText"/>
        <w:rPr>
          <w:lang w:val="sr-Cyrl-CS"/>
        </w:rPr>
      </w:pPr>
      <w:r>
        <w:rPr>
          <w:rStyle w:val="FootnoteReference"/>
        </w:rPr>
        <w:footnoteRef/>
      </w:r>
      <w:r>
        <w:t xml:space="preserve"> </w:t>
      </w:r>
      <w:r w:rsidRPr="00F326EB">
        <w:rPr>
          <w:b/>
          <w:lang w:val="sr-Cyrl-CS"/>
        </w:rPr>
        <w:t>Модалитети пореске утаје</w:t>
      </w:r>
      <w:r>
        <w:rPr>
          <w:lang w:val="sr-Cyrl-CS"/>
        </w:rPr>
        <w:t xml:space="preserve">, </w:t>
      </w:r>
      <w:r w:rsidRPr="00EE6CE4">
        <w:rPr>
          <w:i/>
          <w:lang w:val="sr-Cyrl-CS"/>
        </w:rPr>
        <w:t>нав. дело</w:t>
      </w:r>
      <w:r>
        <w:rPr>
          <w:lang w:val="sr-Cyrl-CS"/>
        </w:rPr>
        <w:t>, стр. 39.</w:t>
      </w:r>
    </w:p>
  </w:footnote>
  <w:footnote w:id="551">
    <w:p w:rsidR="00767127" w:rsidRPr="001032FF" w:rsidRDefault="00767127">
      <w:pPr>
        <w:pStyle w:val="FootnoteText"/>
        <w:rPr>
          <w:lang w:val="sr-Cyrl-CS"/>
        </w:rPr>
      </w:pPr>
      <w:r>
        <w:rPr>
          <w:rStyle w:val="FootnoteReference"/>
        </w:rPr>
        <w:footnoteRef/>
      </w:r>
      <w:r>
        <w:t xml:space="preserve"> „Службени гласник</w:t>
      </w:r>
      <w:r>
        <w:rPr>
          <w:lang w:val="sr-Cyrl-CS"/>
        </w:rPr>
        <w:t xml:space="preserve"> РС</w:t>
      </w:r>
      <w:r>
        <w:t>“</w:t>
      </w:r>
      <w:r>
        <w:rPr>
          <w:lang w:val="sr-Cyrl-CS"/>
        </w:rPr>
        <w:t xml:space="preserve"> 51/05.</w:t>
      </w:r>
    </w:p>
  </w:footnote>
  <w:footnote w:id="552">
    <w:p w:rsidR="00767127" w:rsidRPr="0080481C" w:rsidRDefault="00767127">
      <w:pPr>
        <w:pStyle w:val="FootnoteText"/>
        <w:rPr>
          <w:lang w:val="sr-Cyrl-CS"/>
        </w:rPr>
      </w:pPr>
      <w:r>
        <w:rPr>
          <w:rStyle w:val="FootnoteReference"/>
        </w:rPr>
        <w:footnoteRef/>
      </w:r>
      <w:r>
        <w:t xml:space="preserve"> „Службени гласник</w:t>
      </w:r>
      <w:r>
        <w:rPr>
          <w:lang w:val="sr-Cyrl-CS"/>
        </w:rPr>
        <w:t xml:space="preserve"> РС</w:t>
      </w:r>
      <w:r>
        <w:t>“</w:t>
      </w:r>
      <w:r>
        <w:rPr>
          <w:lang w:val="sr-Cyrl-CS"/>
        </w:rPr>
        <w:t xml:space="preserve"> 63/07.</w:t>
      </w:r>
    </w:p>
  </w:footnote>
  <w:footnote w:id="553">
    <w:p w:rsidR="00767127" w:rsidRPr="000926BE" w:rsidRDefault="00767127">
      <w:pPr>
        <w:pStyle w:val="FootnoteText"/>
        <w:rPr>
          <w:lang w:val="sr-Cyrl-CS"/>
        </w:rPr>
      </w:pPr>
      <w:r>
        <w:rPr>
          <w:rStyle w:val="FootnoteReference"/>
        </w:rPr>
        <w:footnoteRef/>
      </w:r>
      <w:r>
        <w:t xml:space="preserve"> </w:t>
      </w:r>
      <w:r w:rsidRPr="000926BE">
        <w:rPr>
          <w:b/>
          <w:lang w:val="sr-Cyrl-CS"/>
        </w:rPr>
        <w:t>Модалитети пореске утаје</w:t>
      </w:r>
      <w:r>
        <w:rPr>
          <w:lang w:val="sr-Cyrl-CS"/>
        </w:rPr>
        <w:t xml:space="preserve">, </w:t>
      </w:r>
      <w:r w:rsidRPr="00EE6CE4">
        <w:rPr>
          <w:i/>
          <w:lang w:val="sr-Cyrl-CS"/>
        </w:rPr>
        <w:t>нав. дело</w:t>
      </w:r>
      <w:r>
        <w:rPr>
          <w:lang w:val="sr-Cyrl-CS"/>
        </w:rPr>
        <w:t>, стр. 41-42.</w:t>
      </w:r>
    </w:p>
  </w:footnote>
  <w:footnote w:id="554">
    <w:p w:rsidR="00767127" w:rsidRPr="00453BC3" w:rsidRDefault="00767127">
      <w:pPr>
        <w:pStyle w:val="FootnoteText"/>
        <w:rPr>
          <w:lang w:val="sr-Cyrl-CS"/>
        </w:rPr>
      </w:pPr>
      <w:r>
        <w:rPr>
          <w:rStyle w:val="FootnoteReference"/>
        </w:rPr>
        <w:footnoteRef/>
      </w:r>
      <w:r>
        <w:t xml:space="preserve"> </w:t>
      </w:r>
      <w:r>
        <w:rPr>
          <w:lang w:val="sr-Cyrl-CS"/>
        </w:rPr>
        <w:t>Чл. 18. Закон о акцизама, („Службени гласник РС“ бр. 22/01, 73/01, 80/02, 43/03, 72/03, 43/04, 55/04, 135/04, 46/05, 101/05, 61/07, 5/09, 31/09, 101/10, 43/11, 101/11, 6/12, 43/12, 76/12, 93/12, 119/12, 8/13 и 47/13).</w:t>
      </w:r>
    </w:p>
  </w:footnote>
  <w:footnote w:id="555">
    <w:p w:rsidR="00767127" w:rsidRPr="00A6675D" w:rsidRDefault="00767127">
      <w:pPr>
        <w:pStyle w:val="FootnoteText"/>
        <w:rPr>
          <w:lang w:val="sr-Cyrl-CS"/>
        </w:rPr>
      </w:pPr>
      <w:r>
        <w:rPr>
          <w:rStyle w:val="FootnoteReference"/>
        </w:rPr>
        <w:footnoteRef/>
      </w:r>
      <w:r>
        <w:t xml:space="preserve"> </w:t>
      </w:r>
      <w:r w:rsidRPr="00A6675D">
        <w:rPr>
          <w:b/>
          <w:lang w:val="sr-Cyrl-CS"/>
        </w:rPr>
        <w:t>Модалитети пореске утаје</w:t>
      </w:r>
      <w:r>
        <w:rPr>
          <w:lang w:val="sr-Cyrl-CS"/>
        </w:rPr>
        <w:t xml:space="preserve">, </w:t>
      </w:r>
      <w:r w:rsidRPr="00EE6CE4">
        <w:rPr>
          <w:i/>
          <w:lang w:val="sr-Cyrl-CS"/>
        </w:rPr>
        <w:t>нав. дело</w:t>
      </w:r>
      <w:r>
        <w:rPr>
          <w:lang w:val="sr-Cyrl-CS"/>
        </w:rPr>
        <w:t>, стр. 43.</w:t>
      </w:r>
    </w:p>
  </w:footnote>
  <w:footnote w:id="556">
    <w:p w:rsidR="00767127" w:rsidRPr="006D7858" w:rsidRDefault="00767127">
      <w:pPr>
        <w:pStyle w:val="FootnoteText"/>
        <w:rPr>
          <w:lang w:val="sr-Cyrl-CS"/>
        </w:rPr>
      </w:pPr>
      <w:r>
        <w:rPr>
          <w:rStyle w:val="FootnoteReference"/>
        </w:rPr>
        <w:footnoteRef/>
      </w:r>
      <w:r>
        <w:t xml:space="preserve"> </w:t>
      </w:r>
      <w:r>
        <w:rPr>
          <w:lang w:val="sr-Cyrl-CS"/>
        </w:rPr>
        <w:t>„Службени гласник РС“ бр. 46/13, примена од 1. децембра 2013. године.</w:t>
      </w:r>
    </w:p>
  </w:footnote>
  <w:footnote w:id="557">
    <w:p w:rsidR="00767127" w:rsidRPr="004727CA" w:rsidRDefault="00767127">
      <w:pPr>
        <w:pStyle w:val="FootnoteText"/>
        <w:rPr>
          <w:lang w:val="sr-Cyrl-CS"/>
        </w:rPr>
      </w:pPr>
      <w:r>
        <w:rPr>
          <w:rStyle w:val="FootnoteReference"/>
        </w:rPr>
        <w:footnoteRef/>
      </w:r>
      <w:hyperlink r:id="rId53" w:history="1">
        <w:r>
          <w:rPr>
            <w:rStyle w:val="Hyperlink"/>
          </w:rPr>
          <w:t>http://www.rts.rs/page/stories/sr/story/13/Ekonomija/1332448/Kontrola+derivata+po+standardima+EU.html?email=yes</w:t>
        </w:r>
      </w:hyperlink>
      <w:r>
        <w:rPr>
          <w:lang w:val="sr-Cyrl-CS"/>
        </w:rPr>
        <w:t xml:space="preserve"> 20.12.2013.)</w:t>
      </w:r>
    </w:p>
  </w:footnote>
  <w:footnote w:id="558">
    <w:p w:rsidR="00767127" w:rsidRPr="00C857DC" w:rsidRDefault="00767127">
      <w:pPr>
        <w:pStyle w:val="FootnoteText"/>
        <w:rPr>
          <w:lang w:val="sr-Cyrl-CS"/>
        </w:rPr>
      </w:pPr>
      <w:r>
        <w:rPr>
          <w:rStyle w:val="FootnoteReference"/>
        </w:rPr>
        <w:footnoteRef/>
      </w:r>
      <w:r>
        <w:t xml:space="preserve"> </w:t>
      </w:r>
      <w:hyperlink r:id="rId54" w:history="1">
        <w:r>
          <w:rPr>
            <w:rStyle w:val="Hyperlink"/>
          </w:rPr>
          <w:t>http://www.gdeinvestirati.com/ostale-teme-124/politika-i-drustvo/srbija/11269-godisnje-1600-utaja-poreza#</w:t>
        </w:r>
      </w:hyperlink>
      <w:r>
        <w:rPr>
          <w:lang w:val="sr-Cyrl-CS"/>
        </w:rPr>
        <w:t xml:space="preserve"> (20.12.2013.)</w:t>
      </w:r>
    </w:p>
  </w:footnote>
  <w:footnote w:id="559">
    <w:p w:rsidR="00767127" w:rsidRPr="00453BC3" w:rsidRDefault="00767127" w:rsidP="00027DCA">
      <w:pPr>
        <w:pStyle w:val="FootnoteText"/>
        <w:rPr>
          <w:lang w:val="sr-Cyrl-CS"/>
        </w:rPr>
      </w:pPr>
      <w:r>
        <w:rPr>
          <w:rStyle w:val="FootnoteReference"/>
        </w:rPr>
        <w:footnoteRef/>
      </w:r>
      <w:r>
        <w:t xml:space="preserve"> </w:t>
      </w:r>
      <w:r>
        <w:rPr>
          <w:lang w:val="sr-Cyrl-CS"/>
        </w:rPr>
        <w:t>Чл. 41-45.</w:t>
      </w:r>
      <w:r w:rsidRPr="00027DCA">
        <w:rPr>
          <w:lang w:val="sr-Cyrl-CS"/>
        </w:rPr>
        <w:t xml:space="preserve"> </w:t>
      </w:r>
      <w:r>
        <w:rPr>
          <w:lang w:val="sr-Cyrl-CS"/>
        </w:rPr>
        <w:t xml:space="preserve">Закон о акцизама, („Службени гласник РС“ бр. 22/01, 73/01, 80/02, 43/03, 72/03, 43/04, 55/04, 135/04, 46/05, 101/05, 61/07, 5/09, 31/09, 101/10, 43/11, 101/11, 6/12, 43/12, 76/12, 93/12, 119/12, 8/13 и 47/13). </w:t>
      </w:r>
    </w:p>
    <w:p w:rsidR="00767127" w:rsidRPr="00027DCA" w:rsidRDefault="00767127">
      <w:pPr>
        <w:pStyle w:val="FootnoteText"/>
        <w:rPr>
          <w:lang w:val="sr-Cyrl-CS"/>
        </w:rPr>
      </w:pPr>
      <w:r>
        <w:rPr>
          <w:lang w:val="sr-Cyrl-CS"/>
        </w:rPr>
        <w:t xml:space="preserve"> </w:t>
      </w:r>
    </w:p>
  </w:footnote>
  <w:footnote w:id="560">
    <w:p w:rsidR="00767127" w:rsidRPr="00F4215A" w:rsidRDefault="00767127" w:rsidP="002B6E12">
      <w:pPr>
        <w:pStyle w:val="FootnoteText"/>
      </w:pPr>
      <w:r>
        <w:rPr>
          <w:rStyle w:val="FootnoteReference"/>
        </w:rPr>
        <w:footnoteRef/>
      </w:r>
      <w:r>
        <w:t xml:space="preserve"> </w:t>
      </w:r>
      <w:r>
        <w:rPr>
          <w:lang w:val="sr-Cyrl-CS"/>
        </w:rPr>
        <w:t xml:space="preserve">Свето Пурић, </w:t>
      </w:r>
      <w:r w:rsidRPr="0073464C">
        <w:rPr>
          <w:b/>
          <w:lang w:val="sr-Cyrl-CS"/>
        </w:rPr>
        <w:t>Порески систем у условима значајног присуства сиве економије</w:t>
      </w:r>
      <w:r>
        <w:rPr>
          <w:lang w:val="sr-Cyrl-CS"/>
        </w:rPr>
        <w:t>, Правни живот, бр. 10, 2002, стр. 422.</w:t>
      </w:r>
    </w:p>
  </w:footnote>
  <w:footnote w:id="561">
    <w:p w:rsidR="00767127" w:rsidRPr="004934C0" w:rsidRDefault="00767127" w:rsidP="002B6E12">
      <w:pPr>
        <w:pStyle w:val="FootnoteText"/>
        <w:rPr>
          <w:lang w:val="sr-Cyrl-CS"/>
        </w:rPr>
      </w:pPr>
      <w:r>
        <w:rPr>
          <w:rStyle w:val="FootnoteReference"/>
        </w:rPr>
        <w:footnoteRef/>
      </w:r>
      <w:r>
        <w:t xml:space="preserve"> </w:t>
      </w:r>
      <w:r>
        <w:rPr>
          <w:lang w:val="sr-Cyrl-CS"/>
        </w:rPr>
        <w:t xml:space="preserve">Ибрахим Тотић, </w:t>
      </w:r>
      <w:r w:rsidRPr="000343B4">
        <w:rPr>
          <w:b/>
          <w:lang w:val="sr-Cyrl-CS"/>
        </w:rPr>
        <w:t>Глобализација и њен утицај на савремене интеграционе процесе у свету</w:t>
      </w:r>
      <w:r>
        <w:rPr>
          <w:lang w:val="sr-Cyrl-CS"/>
        </w:rPr>
        <w:t xml:space="preserve">, </w:t>
      </w:r>
      <w:r w:rsidRPr="000343B4">
        <w:rPr>
          <w:i/>
          <w:lang w:val="sr-Cyrl-CS"/>
        </w:rPr>
        <w:t>Фина</w:t>
      </w:r>
      <w:r>
        <w:rPr>
          <w:i/>
          <w:lang w:val="sr-Cyrl-CS"/>
        </w:rPr>
        <w:t>н</w:t>
      </w:r>
      <w:r w:rsidRPr="000343B4">
        <w:rPr>
          <w:i/>
          <w:lang w:val="sr-Cyrl-CS"/>
        </w:rPr>
        <w:t>сије</w:t>
      </w:r>
      <w:r>
        <w:rPr>
          <w:lang w:val="sr-Cyrl-CS"/>
        </w:rPr>
        <w:t>, бр. 1-6, 2011, стр. 167.</w:t>
      </w:r>
    </w:p>
  </w:footnote>
  <w:footnote w:id="562">
    <w:p w:rsidR="00767127" w:rsidRPr="00626FFB" w:rsidRDefault="00767127" w:rsidP="002B6E12">
      <w:pPr>
        <w:pStyle w:val="FootnoteText"/>
        <w:rPr>
          <w:lang w:val="sr-Cyrl-CS"/>
        </w:rPr>
      </w:pPr>
      <w:r>
        <w:rPr>
          <w:rStyle w:val="FootnoteReference"/>
        </w:rPr>
        <w:footnoteRef/>
      </w:r>
      <w:r>
        <w:t xml:space="preserve"> </w:t>
      </w:r>
      <w:r>
        <w:rPr>
          <w:i/>
          <w:lang w:val="sr-Cyrl-CS"/>
        </w:rPr>
        <w:t xml:space="preserve">Нав. дело, </w:t>
      </w:r>
      <w:r>
        <w:t xml:space="preserve"> </w:t>
      </w:r>
      <w:r>
        <w:rPr>
          <w:lang w:val="sr-Cyrl-CS"/>
        </w:rPr>
        <w:t>стр. 161.</w:t>
      </w:r>
    </w:p>
  </w:footnote>
  <w:footnote w:id="563">
    <w:p w:rsidR="00767127" w:rsidRPr="002138CA" w:rsidRDefault="00767127" w:rsidP="0073464C">
      <w:pPr>
        <w:pStyle w:val="FootnoteText"/>
        <w:jc w:val="both"/>
        <w:rPr>
          <w:lang w:val="sr-Cyrl-CS"/>
        </w:rPr>
      </w:pPr>
      <w:r>
        <w:rPr>
          <w:rStyle w:val="FootnoteReference"/>
        </w:rPr>
        <w:footnoteRef/>
      </w:r>
      <w:r>
        <w:t xml:space="preserve"> Maria C. Livanos</w:t>
      </w:r>
      <w:r>
        <w:rPr>
          <w:lang w:val="sr-Cyrl-CS"/>
        </w:rPr>
        <w:t>,</w:t>
      </w:r>
      <w:r>
        <w:t xml:space="preserve"> </w:t>
      </w:r>
      <w:r w:rsidRPr="002602FE">
        <w:rPr>
          <w:b/>
        </w:rPr>
        <w:t>Standing Up for the Global Economy</w:t>
      </w:r>
      <w:r>
        <w:rPr>
          <w:lang w:val="sr-Cyrl-CS"/>
        </w:rPr>
        <w:t xml:space="preserve">, </w:t>
      </w:r>
      <w:r>
        <w:t>(</w:t>
      </w:r>
      <w:r>
        <w:rPr>
          <w:lang w:val="sr-Cyrl-CS"/>
        </w:rPr>
        <w:t xml:space="preserve">у: Владимир Вулетић, </w:t>
      </w:r>
      <w:r w:rsidRPr="002602FE">
        <w:rPr>
          <w:b/>
          <w:lang w:val="sr-Cyrl-CS"/>
        </w:rPr>
        <w:t>Протекционизам и слободна трговина у време глобализације</w:t>
      </w:r>
      <w:r>
        <w:rPr>
          <w:lang w:val="sr-Cyrl-CS"/>
        </w:rPr>
        <w:t xml:space="preserve">, </w:t>
      </w:r>
      <w:r w:rsidRPr="002602FE">
        <w:rPr>
          <w:i/>
          <w:lang w:val="sr-Cyrl-CS"/>
        </w:rPr>
        <w:t>Социологија</w:t>
      </w:r>
      <w:r>
        <w:rPr>
          <w:lang w:val="sr-Cyrl-CS"/>
        </w:rPr>
        <w:t>, бр. 1, Београд, 2004,  стр. 47).</w:t>
      </w:r>
    </w:p>
  </w:footnote>
  <w:footnote w:id="564">
    <w:p w:rsidR="00767127" w:rsidRPr="00C76AC5" w:rsidRDefault="00767127" w:rsidP="007E72E8">
      <w:pPr>
        <w:pStyle w:val="FootnoteText"/>
        <w:jc w:val="both"/>
        <w:rPr>
          <w:lang w:val="sr-Cyrl-CS"/>
        </w:rPr>
      </w:pPr>
      <w:r>
        <w:rPr>
          <w:rStyle w:val="FootnoteReference"/>
        </w:rPr>
        <w:footnoteRef/>
      </w:r>
      <w:r>
        <w:t xml:space="preserve"> </w:t>
      </w:r>
      <w:r>
        <w:rPr>
          <w:lang w:val="sr-Cyrl-CS"/>
        </w:rPr>
        <w:t xml:space="preserve">Снежана Соковић, </w:t>
      </w:r>
      <w:r w:rsidRPr="00EB3679">
        <w:rPr>
          <w:b/>
          <w:lang w:val="sr-Cyrl-CS"/>
        </w:rPr>
        <w:t>Контрола криминалитета у праву Европске уније</w:t>
      </w:r>
      <w:r>
        <w:rPr>
          <w:lang w:val="sr-Cyrl-CS"/>
        </w:rPr>
        <w:t>, у зборнику: Стратегија државног реаговања против криминала, Институт за криминолошка и социолошка истраживања, Београд, 2003, стр. 63.</w:t>
      </w:r>
    </w:p>
  </w:footnote>
  <w:footnote w:id="565">
    <w:p w:rsidR="00767127" w:rsidRPr="003E2A3C" w:rsidRDefault="00767127" w:rsidP="00541620">
      <w:pPr>
        <w:pStyle w:val="FootnoteText"/>
        <w:jc w:val="both"/>
        <w:rPr>
          <w:lang w:val="sr-Cyrl-CS"/>
        </w:rPr>
      </w:pPr>
      <w:r>
        <w:rPr>
          <w:rStyle w:val="FootnoteReference"/>
        </w:rPr>
        <w:footnoteRef/>
      </w:r>
      <w:r>
        <w:t xml:space="preserve"> Mario Vargas Loso, </w:t>
      </w:r>
      <w:hyperlink r:id="rId55" w:history="1">
        <w:r>
          <w:rPr>
            <w:rStyle w:val="Hyperlink"/>
          </w:rPr>
          <w:t>http://www.alexandriapress.com/</w:t>
        </w:r>
      </w:hyperlink>
      <w:r>
        <w:t>(</w:t>
      </w:r>
      <w:r>
        <w:rPr>
          <w:lang w:val="sr-Cyrl-CS"/>
        </w:rPr>
        <w:t>у</w:t>
      </w:r>
      <w:r>
        <w:t>:</w:t>
      </w:r>
      <w:r w:rsidRPr="00C63FC5">
        <w:rPr>
          <w:lang w:val="sr-Cyrl-CS"/>
        </w:rPr>
        <w:t xml:space="preserve"> </w:t>
      </w:r>
      <w:r>
        <w:rPr>
          <w:lang w:val="sr-Cyrl-CS"/>
        </w:rPr>
        <w:t xml:space="preserve">Рајко Касагић, </w:t>
      </w:r>
      <w:r w:rsidRPr="00043DA8">
        <w:rPr>
          <w:b/>
          <w:lang w:val="sr-Cyrl-CS"/>
        </w:rPr>
        <w:t>Глобализација у теорији и економској политици</w:t>
      </w:r>
      <w:r>
        <w:rPr>
          <w:lang w:val="sr-Cyrl-CS"/>
        </w:rPr>
        <w:t xml:space="preserve">, </w:t>
      </w:r>
      <w:r w:rsidRPr="00043DA8">
        <w:rPr>
          <w:i/>
          <w:lang w:val="sr-Cyrl-CS"/>
        </w:rPr>
        <w:t>Годишњак Правног факултета Универзитета у Бања Луци</w:t>
      </w:r>
      <w:r>
        <w:rPr>
          <w:lang w:val="sr-Cyrl-CS"/>
        </w:rPr>
        <w:t>, бр. 31/32, Бања Лука, 2010, стр. 2</w:t>
      </w:r>
      <w:r>
        <w:t>29</w:t>
      </w:r>
      <w:r>
        <w:rPr>
          <w:lang w:val="sr-Cyrl-CS"/>
        </w:rPr>
        <w:t xml:space="preserve">. Извор: </w:t>
      </w:r>
      <w:hyperlink r:id="rId56" w:history="1">
        <w:r w:rsidRPr="003A69B6">
          <w:rPr>
            <w:rStyle w:val="Hyperlink"/>
            <w:lang w:val="sr-Cyrl-CS"/>
          </w:rPr>
          <w:t>http://www.godisnjakpf.rs</w:t>
        </w:r>
      </w:hyperlink>
      <w:r>
        <w:rPr>
          <w:lang w:val="sr-Cyrl-CS"/>
        </w:rPr>
        <w:t xml:space="preserve"> ).</w:t>
      </w:r>
    </w:p>
  </w:footnote>
  <w:footnote w:id="566">
    <w:p w:rsidR="00767127" w:rsidRPr="00F673C5" w:rsidRDefault="00767127" w:rsidP="00A148D5">
      <w:pPr>
        <w:pStyle w:val="FootnoteText"/>
        <w:jc w:val="both"/>
        <w:rPr>
          <w:lang w:val="sr-Cyrl-CS"/>
        </w:rPr>
      </w:pPr>
      <w:r>
        <w:rPr>
          <w:rStyle w:val="FootnoteReference"/>
        </w:rPr>
        <w:footnoteRef/>
      </w:r>
      <w:r>
        <w:t xml:space="preserve"> </w:t>
      </w:r>
      <w:r>
        <w:rPr>
          <w:lang w:val="sr-Cyrl-CS"/>
        </w:rPr>
        <w:t xml:space="preserve">Горан Милошевић, </w:t>
      </w:r>
      <w:r w:rsidRPr="00A148D5">
        <w:rPr>
          <w:b/>
          <w:lang w:val="sr-Cyrl-CS"/>
        </w:rPr>
        <w:t>Порез и избегавање пореза</w:t>
      </w:r>
      <w:r>
        <w:rPr>
          <w:lang w:val="sr-Cyrl-CS"/>
        </w:rPr>
        <w:t>, ЈП „Службени лист СЦГ“, 2005 стр. 236-237.</w:t>
      </w:r>
    </w:p>
  </w:footnote>
  <w:footnote w:id="567">
    <w:p w:rsidR="00767127" w:rsidRPr="00360ECB" w:rsidRDefault="00767127" w:rsidP="002B6E12">
      <w:pPr>
        <w:pStyle w:val="FootnoteText"/>
        <w:rPr>
          <w:lang w:val="sr-Cyrl-CS"/>
        </w:rPr>
      </w:pPr>
      <w:r>
        <w:rPr>
          <w:rStyle w:val="FootnoteReference"/>
        </w:rPr>
        <w:footnoteRef/>
      </w:r>
      <w:r>
        <w:t xml:space="preserve"> </w:t>
      </w:r>
      <w:r>
        <w:rPr>
          <w:lang w:val="sr-Cyrl-CS"/>
        </w:rPr>
        <w:t xml:space="preserve">Рајко Касагић, </w:t>
      </w:r>
      <w:r w:rsidRPr="00B26837">
        <w:rPr>
          <w:i/>
          <w:lang w:val="sr-Cyrl-CS"/>
        </w:rPr>
        <w:t>нав. дело</w:t>
      </w:r>
      <w:r>
        <w:rPr>
          <w:lang w:val="sr-Cyrl-CS"/>
        </w:rPr>
        <w:t>, стр. 2</w:t>
      </w:r>
      <w:r>
        <w:t>2</w:t>
      </w:r>
      <w:r>
        <w:rPr>
          <w:lang w:val="sr-Cyrl-CS"/>
        </w:rPr>
        <w:t xml:space="preserve">3. </w:t>
      </w:r>
    </w:p>
  </w:footnote>
  <w:footnote w:id="568">
    <w:p w:rsidR="00767127" w:rsidRPr="00360ECB" w:rsidRDefault="00767127" w:rsidP="002B6E12">
      <w:pPr>
        <w:pStyle w:val="FootnoteText"/>
        <w:rPr>
          <w:lang w:val="sr-Cyrl-CS"/>
        </w:rPr>
      </w:pPr>
      <w:r>
        <w:rPr>
          <w:rStyle w:val="FootnoteReference"/>
        </w:rPr>
        <w:footnoteRef/>
      </w:r>
      <w:r>
        <w:t xml:space="preserve"> </w:t>
      </w:r>
      <w:r>
        <w:rPr>
          <w:i/>
          <w:lang w:val="sr-Cyrl-CS"/>
        </w:rPr>
        <w:t>Нав. дело</w:t>
      </w:r>
      <w:r>
        <w:rPr>
          <w:lang w:val="sr-Cyrl-CS"/>
        </w:rPr>
        <w:t>, стр. 225-226.</w:t>
      </w:r>
    </w:p>
  </w:footnote>
  <w:footnote w:id="569">
    <w:p w:rsidR="00767127" w:rsidRPr="001F7878" w:rsidRDefault="00767127" w:rsidP="002B6E12">
      <w:pPr>
        <w:pStyle w:val="FootnoteText"/>
        <w:rPr>
          <w:lang w:val="sr-Cyrl-CS"/>
        </w:rPr>
      </w:pPr>
      <w:r>
        <w:rPr>
          <w:rStyle w:val="FootnoteReference"/>
        </w:rPr>
        <w:footnoteRef/>
      </w:r>
      <w:r>
        <w:t xml:space="preserve"> </w:t>
      </w:r>
      <w:r>
        <w:rPr>
          <w:lang w:val="sr-Cyrl-CS"/>
        </w:rPr>
        <w:t xml:space="preserve">Милева Анђелковић, </w:t>
      </w:r>
      <w:r w:rsidRPr="00350FEB">
        <w:rPr>
          <w:b/>
          <w:lang w:val="sr-Cyrl-CS"/>
        </w:rPr>
        <w:t>Корпоративно управљање и опорезивање</w:t>
      </w:r>
      <w:r>
        <w:rPr>
          <w:lang w:val="sr-Cyrl-CS"/>
        </w:rPr>
        <w:t xml:space="preserve">, </w:t>
      </w:r>
      <w:r w:rsidRPr="00350FEB">
        <w:rPr>
          <w:i/>
          <w:lang w:val="sr-Cyrl-CS"/>
        </w:rPr>
        <w:t>Право и привреда</w:t>
      </w:r>
      <w:r>
        <w:rPr>
          <w:lang w:val="sr-Cyrl-CS"/>
        </w:rPr>
        <w:t>, бр.5-8, 2008, стр. 984-985.</w:t>
      </w:r>
    </w:p>
  </w:footnote>
  <w:footnote w:id="570">
    <w:p w:rsidR="00767127" w:rsidRPr="00A84D74" w:rsidRDefault="00767127" w:rsidP="005B0F0D">
      <w:pPr>
        <w:pStyle w:val="FootnoteText"/>
        <w:jc w:val="both"/>
        <w:rPr>
          <w:lang w:val="sr-Cyrl-CS"/>
        </w:rPr>
      </w:pPr>
      <w:r>
        <w:rPr>
          <w:rStyle w:val="FootnoteReference"/>
        </w:rPr>
        <w:footnoteRef/>
      </w:r>
      <w:r>
        <w:t xml:space="preserve"> </w:t>
      </w:r>
      <w:r>
        <w:rPr>
          <w:sz w:val="18"/>
          <w:szCs w:val="18"/>
          <w:lang w:val="sr-Cyrl-CS"/>
        </w:rPr>
        <w:t xml:space="preserve">Горан Милошевић, </w:t>
      </w:r>
      <w:r w:rsidRPr="004E4990">
        <w:rPr>
          <w:b/>
          <w:sz w:val="18"/>
          <w:szCs w:val="18"/>
          <w:lang w:val="sr-Cyrl-CS"/>
        </w:rPr>
        <w:t>Економски аспект евазије пореза</w:t>
      </w:r>
      <w:r>
        <w:rPr>
          <w:sz w:val="18"/>
          <w:szCs w:val="18"/>
          <w:lang w:val="sr-Cyrl-CS"/>
        </w:rPr>
        <w:t xml:space="preserve">, </w:t>
      </w:r>
      <w:r w:rsidRPr="004E4990">
        <w:rPr>
          <w:i/>
          <w:sz w:val="18"/>
          <w:szCs w:val="18"/>
          <w:lang w:val="sr-Cyrl-CS"/>
        </w:rPr>
        <w:t>Економски хоризонти</w:t>
      </w:r>
      <w:r>
        <w:rPr>
          <w:sz w:val="18"/>
          <w:szCs w:val="18"/>
          <w:lang w:val="sr-Cyrl-CS"/>
        </w:rPr>
        <w:t>, бр. 1/2, 2006, стр. 73.</w:t>
      </w:r>
    </w:p>
  </w:footnote>
  <w:footnote w:id="571">
    <w:p w:rsidR="00767127" w:rsidRPr="00E91281" w:rsidRDefault="00767127" w:rsidP="007C628C">
      <w:pPr>
        <w:pStyle w:val="FootnoteText"/>
        <w:jc w:val="both"/>
        <w:rPr>
          <w:lang w:val="sr-Cyrl-CS"/>
        </w:rPr>
      </w:pPr>
      <w:r>
        <w:rPr>
          <w:rStyle w:val="FootnoteReference"/>
        </w:rPr>
        <w:footnoteRef/>
      </w:r>
      <w:r>
        <w:t xml:space="preserve"> </w:t>
      </w:r>
      <w:r>
        <w:rPr>
          <w:lang w:val="sr-Cyrl-CS"/>
        </w:rPr>
        <w:t xml:space="preserve">Јелена Стевовић-Буха, </w:t>
      </w:r>
      <w:r w:rsidRPr="00043DA8">
        <w:rPr>
          <w:b/>
          <w:lang w:val="sr-Cyrl-CS"/>
        </w:rPr>
        <w:t>Европска унија и придруживање</w:t>
      </w:r>
      <w:r>
        <w:rPr>
          <w:lang w:val="sr-Cyrl-CS"/>
        </w:rPr>
        <w:t>, Економски факултет Суботица, Суботица, 2007, стр. 23.</w:t>
      </w:r>
    </w:p>
  </w:footnote>
  <w:footnote w:id="572">
    <w:p w:rsidR="00767127" w:rsidRPr="00906E31" w:rsidRDefault="00767127" w:rsidP="007C628C">
      <w:pPr>
        <w:pStyle w:val="FootnoteText"/>
        <w:rPr>
          <w:lang w:val="sr-Cyrl-CS"/>
        </w:rPr>
      </w:pPr>
      <w:r>
        <w:rPr>
          <w:rStyle w:val="FootnoteReference"/>
        </w:rPr>
        <w:footnoteRef/>
      </w:r>
      <w:r>
        <w:t xml:space="preserve"> </w:t>
      </w:r>
      <w:r>
        <w:rPr>
          <w:lang w:val="sr-Cyrl-CS"/>
        </w:rPr>
        <w:t xml:space="preserve">Мирослав Јовановић, </w:t>
      </w:r>
      <w:r w:rsidRPr="00043DA8">
        <w:rPr>
          <w:b/>
          <w:lang w:val="sr-Cyrl-CS"/>
        </w:rPr>
        <w:t>Европска економска интеграција</w:t>
      </w:r>
      <w:r>
        <w:rPr>
          <w:lang w:val="sr-Cyrl-CS"/>
        </w:rPr>
        <w:t>, Економски факултет Београд, Београд, 2004, стр. 78.</w:t>
      </w:r>
    </w:p>
  </w:footnote>
  <w:footnote w:id="573">
    <w:p w:rsidR="00767127" w:rsidRPr="005C20F4" w:rsidRDefault="00767127" w:rsidP="007E5651">
      <w:pPr>
        <w:pStyle w:val="FootnoteText"/>
        <w:jc w:val="both"/>
        <w:rPr>
          <w:lang w:val="sr-Cyrl-CS"/>
        </w:rPr>
      </w:pPr>
      <w:r>
        <w:rPr>
          <w:rStyle w:val="FootnoteReference"/>
        </w:rPr>
        <w:footnoteRef/>
      </w:r>
      <w:r>
        <w:t xml:space="preserve"> </w:t>
      </w:r>
      <w:r>
        <w:rPr>
          <w:lang w:val="sr-Cyrl-CS"/>
        </w:rPr>
        <w:t xml:space="preserve">Дејан Поповић, </w:t>
      </w:r>
      <w:r w:rsidRPr="00296F40">
        <w:rPr>
          <w:b/>
          <w:lang w:val="sr-Cyrl-CS"/>
        </w:rPr>
        <w:t>Пореско право</w:t>
      </w:r>
      <w:r>
        <w:rPr>
          <w:lang w:val="sr-Cyrl-CS"/>
        </w:rPr>
        <w:t>, Правни факултет универзитета у Београду и ЈП „Службени гласник“, Београд, 2009, стр. 25.</w:t>
      </w:r>
    </w:p>
  </w:footnote>
  <w:footnote w:id="574">
    <w:p w:rsidR="00767127" w:rsidRPr="00415FF5" w:rsidRDefault="00767127" w:rsidP="007E5651">
      <w:pPr>
        <w:pStyle w:val="FootnoteText"/>
        <w:jc w:val="both"/>
        <w:rPr>
          <w:lang w:val="sr-Cyrl-CS"/>
        </w:rPr>
      </w:pPr>
      <w:r>
        <w:rPr>
          <w:rStyle w:val="FootnoteReference"/>
        </w:rPr>
        <w:footnoteRef/>
      </w:r>
      <w:r>
        <w:t xml:space="preserve"> </w:t>
      </w:r>
      <w:r>
        <w:rPr>
          <w:lang w:val="sr-Cyrl-CS"/>
        </w:rPr>
        <w:t>Према чл. 99. овог Уговора Европској комисији је поверена обавеза да испита како се  законска регулатива држава чланица која се односи на порез на промет, акцизе и друге облике индиректног опорезивања може хармонизовати.</w:t>
      </w:r>
    </w:p>
  </w:footnote>
  <w:footnote w:id="575">
    <w:p w:rsidR="00767127" w:rsidRPr="00415FF5" w:rsidRDefault="00767127" w:rsidP="002B6E12">
      <w:pPr>
        <w:pStyle w:val="FootnoteText"/>
      </w:pPr>
      <w:r>
        <w:rPr>
          <w:rStyle w:val="FootnoteReference"/>
        </w:rPr>
        <w:footnoteRef/>
      </w:r>
      <w:r>
        <w:t xml:space="preserve"> </w:t>
      </w:r>
      <w:r w:rsidRPr="00C656EC">
        <w:rPr>
          <w:b/>
        </w:rPr>
        <w:t>First Council Directive 67/227/EEC of 11 April 1967 on the harmonisation of legislation of Member States concerning turnover taxes</w:t>
      </w:r>
      <w:r>
        <w:t>, OJ 71 of 14 April 1967.</w:t>
      </w:r>
    </w:p>
  </w:footnote>
  <w:footnote w:id="576">
    <w:p w:rsidR="00767127" w:rsidRPr="00923B98" w:rsidRDefault="00767127" w:rsidP="002B6E12">
      <w:pPr>
        <w:pStyle w:val="FootnoteText"/>
      </w:pPr>
      <w:r>
        <w:rPr>
          <w:rStyle w:val="FootnoteReference"/>
        </w:rPr>
        <w:footnoteRef/>
      </w:r>
      <w:r>
        <w:t xml:space="preserve"> </w:t>
      </w:r>
      <w:r w:rsidRPr="00C656EC">
        <w:rPr>
          <w:b/>
        </w:rPr>
        <w:t>Second Council Directive 67/228/EEC of 11 April 1967 on the harmonisation of legislation of Member States concerning turnover taxes-Structures and procedures for the application of the common system of value added tax</w:t>
      </w:r>
      <w:r>
        <w:t>, OJ 71 of 14 April 1967.</w:t>
      </w:r>
    </w:p>
  </w:footnote>
  <w:footnote w:id="577">
    <w:p w:rsidR="00767127" w:rsidRPr="00923B98" w:rsidRDefault="00767127" w:rsidP="002B6E12">
      <w:pPr>
        <w:pStyle w:val="FootnoteText"/>
      </w:pPr>
      <w:r>
        <w:rPr>
          <w:rStyle w:val="FootnoteReference"/>
        </w:rPr>
        <w:footnoteRef/>
      </w:r>
      <w:r>
        <w:t xml:space="preserve"> </w:t>
      </w:r>
      <w:r w:rsidRPr="00C656EC">
        <w:rPr>
          <w:b/>
        </w:rPr>
        <w:t>Council Directive 77/388/EEC of 17 May 1977 on the harmonisation of laws of the Member states relating to turnover taxes-Common system of value added tax:uniform basis of assessment</w:t>
      </w:r>
      <w:r>
        <w:t>, OJ L 145 of 13 June 1977.</w:t>
      </w:r>
    </w:p>
  </w:footnote>
  <w:footnote w:id="578">
    <w:p w:rsidR="00767127" w:rsidRPr="003F192B" w:rsidRDefault="00767127" w:rsidP="007E5651">
      <w:pPr>
        <w:pStyle w:val="FootnoteText"/>
        <w:jc w:val="both"/>
        <w:rPr>
          <w:lang w:val="sr-Cyrl-CS"/>
        </w:rPr>
      </w:pPr>
      <w:r>
        <w:rPr>
          <w:rStyle w:val="FootnoteReference"/>
        </w:rPr>
        <w:footnoteRef/>
      </w:r>
      <w:r>
        <w:t xml:space="preserve"> </w:t>
      </w:r>
      <w:r>
        <w:rPr>
          <w:lang w:val="sr-Cyrl-CS"/>
        </w:rPr>
        <w:t xml:space="preserve">Милева Анђелковић, </w:t>
      </w:r>
      <w:r w:rsidRPr="007E5651">
        <w:rPr>
          <w:b/>
          <w:lang w:val="sr-Cyrl-CS"/>
        </w:rPr>
        <w:t>Јавне финансије и финансијско право</w:t>
      </w:r>
      <w:r>
        <w:rPr>
          <w:lang w:val="sr-Cyrl-CS"/>
        </w:rPr>
        <w:t>, Центар за публикације Правног факултета у Нишу, Ниш, 2012</w:t>
      </w:r>
      <w:r w:rsidRPr="005E7076">
        <w:rPr>
          <w:i/>
          <w:lang w:val="sr-Cyrl-CS"/>
        </w:rPr>
        <w:t>,</w:t>
      </w:r>
      <w:r>
        <w:rPr>
          <w:lang w:val="sr-Cyrl-CS"/>
        </w:rPr>
        <w:t xml:space="preserve"> стр. 199.</w:t>
      </w:r>
    </w:p>
  </w:footnote>
  <w:footnote w:id="579">
    <w:p w:rsidR="00767127" w:rsidRPr="003761FF" w:rsidRDefault="00767127" w:rsidP="002B6E12">
      <w:pPr>
        <w:pStyle w:val="FootnoteText"/>
      </w:pPr>
      <w:r>
        <w:rPr>
          <w:rStyle w:val="FootnoteReference"/>
        </w:rPr>
        <w:footnoteRef/>
      </w:r>
      <w:r>
        <w:t xml:space="preserve"> </w:t>
      </w:r>
      <w:r w:rsidRPr="00C656EC">
        <w:rPr>
          <w:b/>
        </w:rPr>
        <w:t>Council Directive 91/680/EEC of 16 December 1991 supplementing the commom system of value added tax and amending Council Directive 77/388/EEC with a view ti the abolition of fiscal frontiers</w:t>
      </w:r>
      <w:r>
        <w:t>, OJ L 376 of 31 December 1991.</w:t>
      </w:r>
    </w:p>
  </w:footnote>
  <w:footnote w:id="580">
    <w:p w:rsidR="00767127" w:rsidRPr="00547584" w:rsidRDefault="00767127" w:rsidP="002B6E12">
      <w:pPr>
        <w:pStyle w:val="FootnoteText"/>
        <w:rPr>
          <w:lang w:val="sr-Cyrl-CS"/>
        </w:rPr>
      </w:pPr>
      <w:r>
        <w:rPr>
          <w:rStyle w:val="FootnoteReference"/>
        </w:rPr>
        <w:footnoteRef/>
      </w:r>
      <w:r>
        <w:t xml:space="preserve"> </w:t>
      </w:r>
      <w:r>
        <w:rPr>
          <w:lang w:val="sr-Cyrl-CS"/>
        </w:rPr>
        <w:t xml:space="preserve">Гордана Илић-Попов, </w:t>
      </w:r>
      <w:r w:rsidRPr="00C656EC">
        <w:rPr>
          <w:b/>
          <w:lang w:val="sr-Cyrl-CS"/>
        </w:rPr>
        <w:t>Пореско право Европске уније</w:t>
      </w:r>
      <w:r>
        <w:rPr>
          <w:lang w:val="sr-Cyrl-CS"/>
        </w:rPr>
        <w:t>, ЈП „Службени гласник“, Београд, 2004, стр. 78.</w:t>
      </w:r>
    </w:p>
  </w:footnote>
  <w:footnote w:id="581">
    <w:p w:rsidR="00767127" w:rsidRPr="00547584" w:rsidRDefault="00767127" w:rsidP="002B6E12">
      <w:pPr>
        <w:pStyle w:val="FootnoteText"/>
      </w:pPr>
      <w:r>
        <w:rPr>
          <w:rStyle w:val="FootnoteReference"/>
        </w:rPr>
        <w:footnoteRef/>
      </w:r>
      <w:r>
        <w:t xml:space="preserve"> </w:t>
      </w:r>
      <w:r w:rsidRPr="00043DA8">
        <w:rPr>
          <w:b/>
        </w:rPr>
        <w:t>Council Directive 2006/112/EC of 28 November 2006 on the commom system of the value added tax</w:t>
      </w:r>
      <w:r>
        <w:t>, OJ L 347 of 11 December 2006.</w:t>
      </w:r>
    </w:p>
  </w:footnote>
  <w:footnote w:id="582">
    <w:p w:rsidR="00767127" w:rsidRPr="00D274DA" w:rsidRDefault="00767127" w:rsidP="002B6E12">
      <w:pPr>
        <w:pStyle w:val="FootnoteText"/>
        <w:rPr>
          <w:lang w:val="sr-Cyrl-CS"/>
        </w:rPr>
      </w:pPr>
      <w:r>
        <w:rPr>
          <w:rStyle w:val="FootnoteReference"/>
        </w:rPr>
        <w:footnoteRef/>
      </w:r>
      <w:r>
        <w:t xml:space="preserve"> </w:t>
      </w:r>
      <w:r>
        <w:rPr>
          <w:lang w:val="sr-Cyrl-CS"/>
        </w:rPr>
        <w:t xml:space="preserve">Гордана Илић-Попов, </w:t>
      </w:r>
      <w:r>
        <w:rPr>
          <w:i/>
          <w:lang w:val="sr-Cyrl-CS"/>
        </w:rPr>
        <w:t xml:space="preserve">нав. дело, </w:t>
      </w:r>
      <w:r>
        <w:rPr>
          <w:lang w:val="sr-Cyrl-CS"/>
        </w:rPr>
        <w:t xml:space="preserve"> стр. 105-117.</w:t>
      </w:r>
    </w:p>
  </w:footnote>
  <w:footnote w:id="583">
    <w:p w:rsidR="00767127" w:rsidRPr="00355463" w:rsidRDefault="00767127" w:rsidP="002B6E12">
      <w:pPr>
        <w:pStyle w:val="FootnoteText"/>
        <w:jc w:val="both"/>
        <w:rPr>
          <w:lang w:val="sr-Cyrl-CS"/>
        </w:rPr>
      </w:pPr>
      <w:r>
        <w:rPr>
          <w:rStyle w:val="FootnoteReference"/>
        </w:rPr>
        <w:footnoteRef/>
      </w:r>
      <w:r>
        <w:t xml:space="preserve"> </w:t>
      </w:r>
      <w:r>
        <w:rPr>
          <w:lang w:val="sr-Cyrl-CS"/>
        </w:rPr>
        <w:t xml:space="preserve">чл. 94. Према коме на предлог Комисије и након консултације са Европским парламентом и Економским и социјалним одбором, Веће једногласном одлуком издаје смернице за уједначавање оних закона, прописа и управних одредби држава чланица које директно утичу на деловање заједничког тржишта. Према чл. 293. Државе чланице приступају међусобним преговорима, у мери у којој је потребно,  како би се укинуло двоструко опорезивање. </w:t>
      </w:r>
    </w:p>
  </w:footnote>
  <w:footnote w:id="584">
    <w:p w:rsidR="00767127" w:rsidRPr="00A74C55" w:rsidRDefault="00767127" w:rsidP="002B6E12">
      <w:pPr>
        <w:pStyle w:val="FootnoteText"/>
        <w:rPr>
          <w:lang w:val="sr-Cyrl-CS"/>
        </w:rPr>
      </w:pPr>
      <w:r>
        <w:rPr>
          <w:rStyle w:val="FootnoteReference"/>
        </w:rPr>
        <w:footnoteRef/>
      </w:r>
      <w:r>
        <w:t xml:space="preserve"> </w:t>
      </w:r>
      <w:r>
        <w:rPr>
          <w:lang w:val="sr-Cyrl-CS"/>
        </w:rPr>
        <w:t xml:space="preserve">Милена Ранковић, </w:t>
      </w:r>
      <w:r w:rsidRPr="00C656EC">
        <w:rPr>
          <w:b/>
          <w:lang w:val="sr-Cyrl-CS"/>
        </w:rPr>
        <w:t>Пореско право Европске уније</w:t>
      </w:r>
      <w:r>
        <w:rPr>
          <w:lang w:val="sr-Cyrl-CS"/>
        </w:rPr>
        <w:t xml:space="preserve">, </w:t>
      </w:r>
      <w:r w:rsidRPr="00C656EC">
        <w:rPr>
          <w:i/>
          <w:lang w:val="sr-Cyrl-CS"/>
        </w:rPr>
        <w:t>Српска правна мисао</w:t>
      </w:r>
      <w:r>
        <w:rPr>
          <w:lang w:val="sr-Cyrl-CS"/>
        </w:rPr>
        <w:t>, Бања Лука, бр. 42-43, 2010, стр. 139-142.</w:t>
      </w:r>
    </w:p>
  </w:footnote>
  <w:footnote w:id="585">
    <w:p w:rsidR="00767127" w:rsidRPr="00C820E5" w:rsidRDefault="00767127" w:rsidP="002B6E12">
      <w:pPr>
        <w:pStyle w:val="FootnoteText"/>
        <w:rPr>
          <w:lang w:val="sr-Cyrl-CS"/>
        </w:rPr>
      </w:pPr>
      <w:r>
        <w:rPr>
          <w:rStyle w:val="FootnoteReference"/>
        </w:rPr>
        <w:footnoteRef/>
      </w:r>
      <w:r>
        <w:t xml:space="preserve"> </w:t>
      </w:r>
      <w:r>
        <w:rPr>
          <w:lang w:val="sr-Cyrl-CS"/>
        </w:rPr>
        <w:t xml:space="preserve">Милева Анђелковић, </w:t>
      </w:r>
      <w:r>
        <w:rPr>
          <w:i/>
          <w:lang w:val="sr-Cyrl-CS"/>
        </w:rPr>
        <w:t>нав. дело,</w:t>
      </w:r>
      <w:r>
        <w:rPr>
          <w:lang w:val="sr-Cyrl-CS"/>
        </w:rPr>
        <w:t xml:space="preserve"> стр. 196.</w:t>
      </w:r>
    </w:p>
  </w:footnote>
  <w:footnote w:id="586">
    <w:p w:rsidR="00767127" w:rsidRPr="00794B99" w:rsidRDefault="00767127" w:rsidP="002B6E12">
      <w:pPr>
        <w:pStyle w:val="FootnoteText"/>
        <w:rPr>
          <w:lang w:val="sr-Cyrl-CS"/>
        </w:rPr>
      </w:pPr>
      <w:r>
        <w:rPr>
          <w:rStyle w:val="FootnoteReference"/>
        </w:rPr>
        <w:footnoteRef/>
      </w:r>
      <w:r>
        <w:t xml:space="preserve"> </w:t>
      </w:r>
      <w:r>
        <w:rPr>
          <w:i/>
          <w:lang w:val="sr-Cyrl-CS"/>
        </w:rPr>
        <w:t>Нав. дело,</w:t>
      </w:r>
      <w:r>
        <w:rPr>
          <w:lang w:val="sr-Cyrl-CS"/>
        </w:rPr>
        <w:t xml:space="preserve"> стр. 197.</w:t>
      </w:r>
    </w:p>
  </w:footnote>
  <w:footnote w:id="587">
    <w:p w:rsidR="00767127" w:rsidRPr="004544B4" w:rsidRDefault="00767127" w:rsidP="002B6E12">
      <w:pPr>
        <w:pStyle w:val="FootnoteText"/>
        <w:rPr>
          <w:lang w:val="sr-Cyrl-CS"/>
        </w:rPr>
      </w:pPr>
      <w:r>
        <w:rPr>
          <w:rStyle w:val="FootnoteReference"/>
        </w:rPr>
        <w:footnoteRef/>
      </w:r>
      <w:r>
        <w:t xml:space="preserve"> </w:t>
      </w:r>
      <w:r>
        <w:rPr>
          <w:lang w:val="sr-Cyrl-CS"/>
        </w:rPr>
        <w:t xml:space="preserve">Лидија Маџар, </w:t>
      </w:r>
      <w:r w:rsidRPr="008E2992">
        <w:rPr>
          <w:b/>
          <w:lang w:val="sr-Cyrl-CS"/>
        </w:rPr>
        <w:t>Политика конкуренције као фактор интеграција Србије у ЕУ</w:t>
      </w:r>
      <w:r>
        <w:rPr>
          <w:lang w:val="sr-Cyrl-CS"/>
        </w:rPr>
        <w:t xml:space="preserve">, </w:t>
      </w:r>
      <w:r w:rsidRPr="008E2992">
        <w:rPr>
          <w:i/>
          <w:lang w:val="sr-Cyrl-CS"/>
        </w:rPr>
        <w:t>Школа бизниса</w:t>
      </w:r>
      <w:r>
        <w:rPr>
          <w:lang w:val="sr-Cyrl-CS"/>
        </w:rPr>
        <w:t>, бр. 3, Нови Сад, 2011,  стр. 86-87. (извор: http://www.vps.ns.ac.rs).</w:t>
      </w:r>
    </w:p>
  </w:footnote>
  <w:footnote w:id="588">
    <w:p w:rsidR="00767127" w:rsidRPr="008E2992" w:rsidRDefault="00767127" w:rsidP="002B6E12">
      <w:pPr>
        <w:pStyle w:val="FootnoteText"/>
        <w:rPr>
          <w:lang w:val="sr-Cyrl-CS"/>
        </w:rPr>
      </w:pPr>
      <w:r>
        <w:rPr>
          <w:rStyle w:val="FootnoteReference"/>
        </w:rPr>
        <w:footnoteRef/>
      </w:r>
      <w:r>
        <w:t xml:space="preserve"> </w:t>
      </w:r>
      <w:r>
        <w:rPr>
          <w:i/>
          <w:lang w:val="sr-Cyrl-CS"/>
        </w:rPr>
        <w:t>Нав. дело</w:t>
      </w:r>
      <w:r>
        <w:t>,</w:t>
      </w:r>
      <w:r>
        <w:rPr>
          <w:lang w:val="sr-Cyrl-CS"/>
        </w:rPr>
        <w:t xml:space="preserve"> стр. 100.</w:t>
      </w:r>
    </w:p>
  </w:footnote>
  <w:footnote w:id="589">
    <w:p w:rsidR="00767127" w:rsidRPr="005C10CA" w:rsidRDefault="00767127" w:rsidP="002B6E12">
      <w:pPr>
        <w:pStyle w:val="FootnoteText"/>
        <w:rPr>
          <w:lang w:val="sr-Cyrl-CS"/>
        </w:rPr>
      </w:pPr>
      <w:r>
        <w:rPr>
          <w:rStyle w:val="FootnoteReference"/>
        </w:rPr>
        <w:footnoteRef/>
      </w:r>
      <w:r>
        <w:t xml:space="preserve"> </w:t>
      </w:r>
      <w:r>
        <w:rPr>
          <w:lang w:val="sr-Cyrl-CS"/>
        </w:rPr>
        <w:t xml:space="preserve">Гордана Илић-Попов, </w:t>
      </w:r>
      <w:r>
        <w:rPr>
          <w:i/>
          <w:lang w:val="sr-Cyrl-CS"/>
        </w:rPr>
        <w:t xml:space="preserve">нав. дело, </w:t>
      </w:r>
      <w:r>
        <w:rPr>
          <w:lang w:val="sr-Cyrl-CS"/>
        </w:rPr>
        <w:t xml:space="preserve"> стр. 15-19.</w:t>
      </w:r>
    </w:p>
  </w:footnote>
  <w:footnote w:id="590">
    <w:p w:rsidR="00767127" w:rsidRPr="001879D3" w:rsidRDefault="00767127" w:rsidP="002B6E12">
      <w:pPr>
        <w:pStyle w:val="FootnoteText"/>
        <w:rPr>
          <w:lang w:val="sr-Cyrl-CS"/>
        </w:rPr>
      </w:pPr>
      <w:r>
        <w:rPr>
          <w:rStyle w:val="FootnoteReference"/>
        </w:rPr>
        <w:footnoteRef/>
      </w:r>
      <w:r>
        <w:t xml:space="preserve"> </w:t>
      </w:r>
      <w:r>
        <w:rPr>
          <w:lang w:val="sr-Cyrl-CS"/>
        </w:rPr>
        <w:t xml:space="preserve">Милева Анђелковић, </w:t>
      </w:r>
      <w:r>
        <w:rPr>
          <w:i/>
          <w:lang w:val="sr-Cyrl-CS"/>
        </w:rPr>
        <w:t xml:space="preserve">нав. дело, </w:t>
      </w:r>
      <w:r>
        <w:rPr>
          <w:lang w:val="sr-Cyrl-CS"/>
        </w:rPr>
        <w:t xml:space="preserve"> стр. 147.</w:t>
      </w:r>
    </w:p>
  </w:footnote>
  <w:footnote w:id="591">
    <w:p w:rsidR="00767127" w:rsidRPr="00710BF4" w:rsidRDefault="00767127" w:rsidP="00C501C5">
      <w:pPr>
        <w:pStyle w:val="FootnoteText"/>
        <w:jc w:val="both"/>
      </w:pPr>
      <w:r>
        <w:rPr>
          <w:rStyle w:val="FootnoteReference"/>
        </w:rPr>
        <w:footnoteRef/>
      </w:r>
      <w:r>
        <w:rPr>
          <w:lang w:val="sr-Cyrl-CS"/>
        </w:rPr>
        <w:t xml:space="preserve"> Дејан Поповић, </w:t>
      </w:r>
      <w:r w:rsidRPr="00710BF4">
        <w:rPr>
          <w:b/>
          <w:lang w:val="sr-Cyrl-CS"/>
        </w:rPr>
        <w:t>Наука о порезима и пореско право</w:t>
      </w:r>
      <w:r>
        <w:rPr>
          <w:lang w:val="sr-Cyrl-CS"/>
        </w:rPr>
        <w:t xml:space="preserve">, </w:t>
      </w:r>
      <w:r>
        <w:t>COLPI,</w:t>
      </w:r>
      <w:r>
        <w:rPr>
          <w:lang w:val="sr-Cyrl-CS"/>
        </w:rPr>
        <w:t xml:space="preserve"> Будимпешта</w:t>
      </w:r>
      <w:r>
        <w:t xml:space="preserve"> </w:t>
      </w:r>
      <w:r>
        <w:rPr>
          <w:lang w:val="sr-Cyrl-CS"/>
        </w:rPr>
        <w:t>и Савремена администрација, Београд, 1997, стр. 474..</w:t>
      </w:r>
    </w:p>
  </w:footnote>
  <w:footnote w:id="592">
    <w:p w:rsidR="00767127" w:rsidRPr="00343394" w:rsidRDefault="00767127" w:rsidP="002B6E12">
      <w:pPr>
        <w:pStyle w:val="FootnoteText"/>
        <w:rPr>
          <w:lang w:val="sr-Cyrl-CS"/>
        </w:rPr>
      </w:pPr>
      <w:r>
        <w:rPr>
          <w:rStyle w:val="FootnoteReference"/>
        </w:rPr>
        <w:footnoteRef/>
      </w:r>
      <w:r>
        <w:t xml:space="preserve"> </w:t>
      </w:r>
      <w:r>
        <w:rPr>
          <w:lang w:val="sr-Cyrl-CS"/>
        </w:rPr>
        <w:t xml:space="preserve">Домагој Михаљевић, </w:t>
      </w:r>
      <w:r w:rsidRPr="00246D5F">
        <w:rPr>
          <w:b/>
          <w:lang w:val="sr-Cyrl-CS"/>
        </w:rPr>
        <w:t>Положај и улога offshore финанцијских центара у финанцијској глобализацији</w:t>
      </w:r>
      <w:r>
        <w:rPr>
          <w:lang w:val="sr-Cyrl-CS"/>
        </w:rPr>
        <w:t xml:space="preserve">, </w:t>
      </w:r>
      <w:r w:rsidRPr="00246D5F">
        <w:rPr>
          <w:i/>
          <w:lang w:val="sr-Cyrl-CS"/>
        </w:rPr>
        <w:t>Економска мисао и пракса</w:t>
      </w:r>
      <w:r>
        <w:rPr>
          <w:lang w:val="sr-Cyrl-CS"/>
        </w:rPr>
        <w:t xml:space="preserve">, Дубровник, бр. 21 (2012) 2, стр. 796-797. (извор: </w:t>
      </w:r>
      <w:hyperlink r:id="rId57" w:history="1">
        <w:r w:rsidRPr="004319A4">
          <w:rPr>
            <w:rStyle w:val="Hyperlink"/>
            <w:lang w:val="sr-Cyrl-CS"/>
          </w:rPr>
          <w:t>http://www.nsk.hr</w:t>
        </w:r>
      </w:hyperlink>
      <w:r>
        <w:rPr>
          <w:lang w:val="sr-Cyrl-CS"/>
        </w:rPr>
        <w:t xml:space="preserve"> ).</w:t>
      </w:r>
    </w:p>
  </w:footnote>
  <w:footnote w:id="593">
    <w:p w:rsidR="00767127" w:rsidRPr="002E6E6C" w:rsidRDefault="00767127" w:rsidP="002B6E12">
      <w:pPr>
        <w:pStyle w:val="FootnoteText"/>
        <w:rPr>
          <w:lang w:val="sr-Cyrl-CS"/>
        </w:rPr>
      </w:pPr>
      <w:r>
        <w:rPr>
          <w:rStyle w:val="FootnoteReference"/>
        </w:rPr>
        <w:footnoteRef/>
      </w:r>
      <w:r>
        <w:t xml:space="preserve"> </w:t>
      </w:r>
      <w:r>
        <w:rPr>
          <w:lang w:val="sr-Cyrl-CS"/>
        </w:rPr>
        <w:t xml:space="preserve">Ђорђе Попов, </w:t>
      </w:r>
      <w:r w:rsidRPr="00246D5F">
        <w:rPr>
          <w:b/>
          <w:lang w:val="sr-Cyrl-CS"/>
        </w:rPr>
        <w:t>Неке карактеристике офшор пословања</w:t>
      </w:r>
      <w:r>
        <w:rPr>
          <w:lang w:val="sr-Cyrl-CS"/>
        </w:rPr>
        <w:t>, у зборнику:</w:t>
      </w:r>
      <w:r>
        <w:t xml:space="preserve"> Recueil des travaux</w:t>
      </w:r>
      <w:r>
        <w:rPr>
          <w:lang w:val="sr-Cyrl-CS"/>
        </w:rPr>
        <w:t>, бр. 1, 2011 , стр. 40-43.</w:t>
      </w:r>
    </w:p>
  </w:footnote>
  <w:footnote w:id="594">
    <w:p w:rsidR="00767127" w:rsidRPr="001A6290" w:rsidRDefault="00767127" w:rsidP="00457A43">
      <w:pPr>
        <w:pStyle w:val="FootnoteText"/>
        <w:jc w:val="both"/>
        <w:rPr>
          <w:lang w:val="sr-Cyrl-CS"/>
        </w:rPr>
      </w:pPr>
      <w:r>
        <w:rPr>
          <w:rStyle w:val="FootnoteReference"/>
        </w:rPr>
        <w:footnoteRef/>
      </w:r>
      <w:r>
        <w:t xml:space="preserve"> </w:t>
      </w:r>
      <w:r>
        <w:rPr>
          <w:lang w:val="sr-Cyrl-CS"/>
        </w:rPr>
        <w:t xml:space="preserve">Жарко Ристић, </w:t>
      </w:r>
      <w:r>
        <w:rPr>
          <w:b/>
          <w:lang w:val="sr-Cyrl-CS"/>
        </w:rPr>
        <w:t>Фискална економија и менаџмент јавног сектора</w:t>
      </w:r>
      <w:r>
        <w:rPr>
          <w:lang w:val="sr-Cyrl-CS"/>
        </w:rPr>
        <w:t>, Либер, Београд, 2008, стр. 506.</w:t>
      </w:r>
    </w:p>
  </w:footnote>
  <w:footnote w:id="595">
    <w:p w:rsidR="00767127" w:rsidRPr="00506632" w:rsidRDefault="00767127" w:rsidP="002B6E12">
      <w:pPr>
        <w:pStyle w:val="FootnoteText"/>
        <w:rPr>
          <w:lang w:val="sr-Cyrl-CS"/>
        </w:rPr>
      </w:pPr>
      <w:r>
        <w:rPr>
          <w:rStyle w:val="FootnoteReference"/>
        </w:rPr>
        <w:footnoteRef/>
      </w:r>
      <w:r>
        <w:t xml:space="preserve"> </w:t>
      </w:r>
      <w:r>
        <w:rPr>
          <w:lang w:val="sr-Cyrl-CS"/>
        </w:rPr>
        <w:t xml:space="preserve">Домагој Михаљевић, </w:t>
      </w:r>
      <w:r>
        <w:rPr>
          <w:i/>
          <w:lang w:val="sr-Cyrl-CS"/>
        </w:rPr>
        <w:t xml:space="preserve">нав. дело, </w:t>
      </w:r>
      <w:r>
        <w:rPr>
          <w:lang w:val="sr-Cyrl-CS"/>
        </w:rPr>
        <w:t xml:space="preserve"> стр. 802-803.</w:t>
      </w:r>
    </w:p>
  </w:footnote>
  <w:footnote w:id="596">
    <w:p w:rsidR="00767127" w:rsidRPr="00000089" w:rsidRDefault="00767127" w:rsidP="00000089">
      <w:pPr>
        <w:pStyle w:val="FootnoteText"/>
        <w:jc w:val="both"/>
      </w:pPr>
      <w:r>
        <w:rPr>
          <w:rStyle w:val="FootnoteReference"/>
        </w:rPr>
        <w:footnoteRef/>
      </w:r>
      <w:r>
        <w:t xml:space="preserve"> Gutcher, Lianne, 2006, </w:t>
      </w:r>
      <w:r w:rsidRPr="009C5F63">
        <w:rPr>
          <w:b/>
        </w:rPr>
        <w:t>Bank braced for demands to hand over offshore information</w:t>
      </w:r>
      <w:r>
        <w:t>, The Scotsman, May 4</w:t>
      </w:r>
      <w:r>
        <w:rPr>
          <w:lang w:val="sr-Cyrl-CS"/>
        </w:rPr>
        <w:t xml:space="preserve"> (у: Ђорђе Попов, </w:t>
      </w:r>
      <w:r w:rsidRPr="009C5F63">
        <w:rPr>
          <w:b/>
          <w:lang w:val="sr-Cyrl-CS"/>
        </w:rPr>
        <w:t>Неке карактеристике офшор пословања</w:t>
      </w:r>
      <w:r>
        <w:rPr>
          <w:lang w:val="sr-Cyrl-CS"/>
        </w:rPr>
        <w:t>, у зборнику:</w:t>
      </w:r>
      <w:r w:rsidRPr="00957938">
        <w:t xml:space="preserve"> </w:t>
      </w:r>
      <w:r>
        <w:t>Recueil des travaux</w:t>
      </w:r>
      <w:r>
        <w:rPr>
          <w:lang w:val="sr-Cyrl-CS"/>
        </w:rPr>
        <w:t>, Правни факултет у Новом Саду, 2011, бр. 1, стр. 48).</w:t>
      </w:r>
    </w:p>
  </w:footnote>
  <w:footnote w:id="597">
    <w:p w:rsidR="00767127" w:rsidRPr="007F38BA" w:rsidRDefault="00767127" w:rsidP="00000089">
      <w:pPr>
        <w:pStyle w:val="FootnoteText"/>
        <w:jc w:val="both"/>
        <w:rPr>
          <w:lang w:val="sr-Cyrl-CS"/>
        </w:rPr>
      </w:pPr>
      <w:r>
        <w:rPr>
          <w:rStyle w:val="FootnoteReference"/>
        </w:rPr>
        <w:footnoteRef/>
      </w:r>
      <w:r>
        <w:rPr>
          <w:lang w:val="sr-Cyrl-CS"/>
        </w:rPr>
        <w:t xml:space="preserve"> Горадана Илић-Попов, </w:t>
      </w:r>
      <w:r w:rsidRPr="009C5F63">
        <w:rPr>
          <w:b/>
          <w:lang w:val="sr-Cyrl-CS"/>
        </w:rPr>
        <w:t>Основица пореза на добит корпорација</w:t>
      </w:r>
      <w:r>
        <w:rPr>
          <w:lang w:val="sr-Cyrl-CS"/>
        </w:rPr>
        <w:t>, Правни факултет Универзитета у Београду, Београд, 1995, стр. 262.</w:t>
      </w:r>
      <w:r>
        <w:t xml:space="preserve"> </w:t>
      </w:r>
    </w:p>
  </w:footnote>
  <w:footnote w:id="598">
    <w:p w:rsidR="00767127" w:rsidRPr="00727FF0" w:rsidRDefault="00767127" w:rsidP="002B6E12">
      <w:pPr>
        <w:pStyle w:val="FootnoteText"/>
        <w:jc w:val="both"/>
        <w:rPr>
          <w:lang w:val="sr-Cyrl-CS"/>
        </w:rPr>
      </w:pPr>
      <w:r>
        <w:rPr>
          <w:rStyle w:val="FootnoteReference"/>
        </w:rPr>
        <w:footnoteRef/>
      </w:r>
      <w:r>
        <w:t xml:space="preserve"> </w:t>
      </w:r>
      <w:r>
        <w:rPr>
          <w:lang w:val="sr-Cyrl-CS"/>
        </w:rPr>
        <w:t xml:space="preserve">Свето Пурић, </w:t>
      </w:r>
      <w:r w:rsidRPr="00E902FD">
        <w:rPr>
          <w:i/>
          <w:lang w:val="sr-Cyrl-CS"/>
        </w:rPr>
        <w:t>нав. дело</w:t>
      </w:r>
      <w:r>
        <w:rPr>
          <w:b/>
          <w:lang w:val="sr-Cyrl-CS"/>
        </w:rPr>
        <w:t>,</w:t>
      </w:r>
      <w:r>
        <w:rPr>
          <w:lang w:val="sr-Cyrl-CS"/>
        </w:rPr>
        <w:t xml:space="preserve"> стр. 422.</w:t>
      </w:r>
    </w:p>
  </w:footnote>
  <w:footnote w:id="599">
    <w:p w:rsidR="00767127" w:rsidRPr="001879D3" w:rsidRDefault="00767127" w:rsidP="002B6E12">
      <w:pPr>
        <w:pStyle w:val="FootnoteText"/>
        <w:rPr>
          <w:lang w:val="sr-Cyrl-CS"/>
        </w:rPr>
      </w:pPr>
      <w:r>
        <w:rPr>
          <w:rStyle w:val="FootnoteReference"/>
        </w:rPr>
        <w:footnoteRef/>
      </w:r>
      <w:r>
        <w:t xml:space="preserve"> </w:t>
      </w:r>
      <w:r>
        <w:rPr>
          <w:lang w:val="sr-Cyrl-CS"/>
        </w:rPr>
        <w:t xml:space="preserve">Милева Анђелковић, </w:t>
      </w:r>
      <w:r w:rsidRPr="00000089">
        <w:rPr>
          <w:b/>
          <w:lang w:val="sr-Cyrl-CS"/>
        </w:rPr>
        <w:t>Јавне финансије и финасијско право</w:t>
      </w:r>
      <w:r>
        <w:rPr>
          <w:lang w:val="sr-Cyrl-CS"/>
        </w:rPr>
        <w:t>, Центар за публикације правног факултета у Нишу, Ниш, 2012, стр. 148.</w:t>
      </w:r>
    </w:p>
  </w:footnote>
  <w:footnote w:id="600">
    <w:p w:rsidR="00767127" w:rsidRPr="00981FC7" w:rsidRDefault="00767127" w:rsidP="00D30ED8">
      <w:pPr>
        <w:pStyle w:val="FootnoteText"/>
        <w:jc w:val="both"/>
        <w:rPr>
          <w:lang w:val="sr-Cyrl-CS"/>
        </w:rPr>
      </w:pPr>
      <w:r>
        <w:rPr>
          <w:rStyle w:val="FootnoteReference"/>
        </w:rPr>
        <w:footnoteRef/>
      </w:r>
      <w:r>
        <w:t xml:space="preserve"> </w:t>
      </w:r>
      <w:r>
        <w:rPr>
          <w:lang w:val="sr-Cyrl-CS"/>
        </w:rPr>
        <w:t xml:space="preserve">Кристијан Ристић и Жарко Ристић, </w:t>
      </w:r>
      <w:r w:rsidRPr="00345C14">
        <w:rPr>
          <w:b/>
          <w:lang w:val="sr-Cyrl-CS"/>
        </w:rPr>
        <w:t>Европске јавне</w:t>
      </w:r>
      <w:r>
        <w:rPr>
          <w:b/>
          <w:lang w:val="sr-Cyrl-CS"/>
        </w:rPr>
        <w:t xml:space="preserve"> финасије: фискална политика ЕУ,</w:t>
      </w:r>
      <w:r>
        <w:rPr>
          <w:lang w:val="sr-Cyrl-CS"/>
        </w:rPr>
        <w:t xml:space="preserve"> ЕтноСтил, Београд, 2011, стр. 149.</w:t>
      </w:r>
    </w:p>
  </w:footnote>
  <w:footnote w:id="601">
    <w:p w:rsidR="00767127" w:rsidRPr="003F6647" w:rsidRDefault="00767127" w:rsidP="00345C14">
      <w:pPr>
        <w:pStyle w:val="FootnoteText"/>
        <w:jc w:val="both"/>
      </w:pPr>
      <w:r>
        <w:rPr>
          <w:rStyle w:val="FootnoteReference"/>
        </w:rPr>
        <w:footnoteRef/>
      </w:r>
      <w:r>
        <w:t xml:space="preserve"> Frank, Robert, 2007, Richistan- A journey through the 21st century wealth boom and the live of new rich. London- Piatikus</w:t>
      </w:r>
      <w:r>
        <w:rPr>
          <w:lang w:val="sr-Cyrl-CS"/>
        </w:rPr>
        <w:t xml:space="preserve"> (у: Ђорђе Попов, </w:t>
      </w:r>
      <w:r w:rsidRPr="0020134E">
        <w:rPr>
          <w:b/>
          <w:lang w:val="sr-Cyrl-CS"/>
        </w:rPr>
        <w:t>Неке карактеристике офшор пословања</w:t>
      </w:r>
      <w:r>
        <w:rPr>
          <w:lang w:val="sr-Cyrl-CS"/>
        </w:rPr>
        <w:t xml:space="preserve">, у зборнику: </w:t>
      </w:r>
      <w:r>
        <w:t>Recueil des travaux</w:t>
      </w:r>
      <w:r>
        <w:rPr>
          <w:lang w:val="sr-Cyrl-CS"/>
        </w:rPr>
        <w:t>, Правни факултет у Новом Саду, 2011, бр. 1, стр. 39-57).</w:t>
      </w:r>
    </w:p>
  </w:footnote>
  <w:footnote w:id="602">
    <w:p w:rsidR="00767127" w:rsidRPr="006F11FE" w:rsidRDefault="00767127" w:rsidP="002B6E12">
      <w:pPr>
        <w:pStyle w:val="FootnoteText"/>
        <w:rPr>
          <w:lang w:val="sr-Cyrl-CS"/>
        </w:rPr>
      </w:pPr>
      <w:r>
        <w:rPr>
          <w:rStyle w:val="FootnoteReference"/>
        </w:rPr>
        <w:footnoteRef/>
      </w:r>
      <w:r>
        <w:t xml:space="preserve"> </w:t>
      </w:r>
      <w:r>
        <w:rPr>
          <w:i/>
          <w:lang w:val="sr-Cyrl-CS"/>
        </w:rPr>
        <w:t xml:space="preserve">Нав. дело, </w:t>
      </w:r>
      <w:r>
        <w:rPr>
          <w:lang w:val="sr-Cyrl-CS"/>
        </w:rPr>
        <w:t xml:space="preserve"> стр. 41-42.</w:t>
      </w:r>
    </w:p>
  </w:footnote>
  <w:footnote w:id="603">
    <w:p w:rsidR="00767127" w:rsidRPr="00531FAB" w:rsidRDefault="00767127" w:rsidP="00345C14">
      <w:pPr>
        <w:pStyle w:val="FootnoteText"/>
        <w:jc w:val="both"/>
        <w:rPr>
          <w:lang w:val="sr-Cyrl-CS"/>
        </w:rPr>
      </w:pPr>
      <w:r>
        <w:rPr>
          <w:rStyle w:val="FootnoteReference"/>
        </w:rPr>
        <w:footnoteRef/>
      </w:r>
      <w:r>
        <w:t xml:space="preserve"> Sebastien Moerman, The main characteristics of tax havens, </w:t>
      </w:r>
      <w:r w:rsidRPr="004549FA">
        <w:rPr>
          <w:i/>
        </w:rPr>
        <w:t>Intertax</w:t>
      </w:r>
      <w:r>
        <w:t>, vol. 27, Issue 10, str. 369. (</w:t>
      </w:r>
      <w:r>
        <w:rPr>
          <w:lang w:val="sr-Cyrl-CS"/>
        </w:rPr>
        <w:t>Извор</w:t>
      </w:r>
      <w:r>
        <w:t xml:space="preserve">: </w:t>
      </w:r>
      <w:hyperlink r:id="rId58" w:history="1">
        <w:r w:rsidRPr="00F41C63">
          <w:rPr>
            <w:rStyle w:val="Hyperlink"/>
            <w:rFonts w:cs="Tahoma"/>
            <w:shd w:val="clear" w:color="auto" w:fill="FFFFFF"/>
            <w:lang w:val="sr-Cyrl-CS"/>
          </w:rPr>
          <w:t>https://www.kluwerlawonline.com</w:t>
        </w:r>
      </w:hyperlink>
      <w:r>
        <w:rPr>
          <w:rFonts w:cs="Tahoma"/>
          <w:color w:val="444444"/>
          <w:shd w:val="clear" w:color="auto" w:fill="FFFFFF"/>
          <w:lang w:val="sr-Cyrl-CS"/>
        </w:rPr>
        <w:t xml:space="preserve"> ). </w:t>
      </w:r>
    </w:p>
  </w:footnote>
  <w:footnote w:id="604">
    <w:p w:rsidR="00767127" w:rsidRPr="00102F6D" w:rsidRDefault="00767127" w:rsidP="002B6E12">
      <w:pPr>
        <w:pStyle w:val="FootnoteText"/>
        <w:rPr>
          <w:lang w:val="sr-Cyrl-CS"/>
        </w:rPr>
      </w:pPr>
      <w:r>
        <w:rPr>
          <w:rStyle w:val="FootnoteReference"/>
        </w:rPr>
        <w:footnoteRef/>
      </w:r>
      <w:r>
        <w:t xml:space="preserve"> </w:t>
      </w:r>
      <w:r>
        <w:rPr>
          <w:lang w:val="sr-Cyrl-CS"/>
        </w:rPr>
        <w:t xml:space="preserve">Милева Анђелковић, </w:t>
      </w:r>
      <w:r>
        <w:rPr>
          <w:i/>
          <w:lang w:val="sr-Cyrl-CS"/>
        </w:rPr>
        <w:t xml:space="preserve">нав. дело, </w:t>
      </w:r>
      <w:r>
        <w:rPr>
          <w:lang w:val="sr-Cyrl-CS"/>
        </w:rPr>
        <w:t xml:space="preserve"> стр. 148.</w:t>
      </w:r>
    </w:p>
  </w:footnote>
  <w:footnote w:id="605">
    <w:p w:rsidR="00767127" w:rsidRPr="00271C2B" w:rsidRDefault="00767127" w:rsidP="002B6E12">
      <w:pPr>
        <w:pStyle w:val="FootnoteText"/>
        <w:rPr>
          <w:lang w:val="sr-Cyrl-CS"/>
        </w:rPr>
      </w:pPr>
      <w:r>
        <w:rPr>
          <w:rStyle w:val="FootnoteReference"/>
        </w:rPr>
        <w:footnoteRef/>
      </w:r>
      <w:r>
        <w:t xml:space="preserve"> </w:t>
      </w:r>
      <w:r>
        <w:rPr>
          <w:lang w:val="sr-Cyrl-CS"/>
        </w:rPr>
        <w:t xml:space="preserve"> Р. Србљановић и др., </w:t>
      </w:r>
      <w:r w:rsidRPr="00156171">
        <w:rPr>
          <w:b/>
          <w:lang w:val="sr-Cyrl-CS"/>
        </w:rPr>
        <w:t>Типологије прања новца у Републици Србији</w:t>
      </w:r>
      <w:r>
        <w:rPr>
          <w:lang w:val="sr-Cyrl-CS"/>
        </w:rPr>
        <w:t xml:space="preserve">, Мисија </w:t>
      </w:r>
      <w:r>
        <w:t xml:space="preserve">OEBS </w:t>
      </w:r>
      <w:r>
        <w:rPr>
          <w:lang w:val="sr-Cyrl-CS"/>
        </w:rPr>
        <w:t>у Србији, 2011</w:t>
      </w:r>
      <w:r w:rsidRPr="00BB0596">
        <w:rPr>
          <w:i/>
        </w:rPr>
        <w:t>,</w:t>
      </w:r>
      <w:r>
        <w:t xml:space="preserve"> </w:t>
      </w:r>
      <w:r>
        <w:rPr>
          <w:lang w:val="sr-Cyrl-CS"/>
        </w:rPr>
        <w:t>стр. 22-23.</w:t>
      </w:r>
    </w:p>
  </w:footnote>
  <w:footnote w:id="606">
    <w:p w:rsidR="00767127" w:rsidRPr="00A16055" w:rsidRDefault="00767127" w:rsidP="002B6E12">
      <w:pPr>
        <w:pStyle w:val="FootnoteText"/>
        <w:rPr>
          <w:lang w:val="sr-Cyrl-CS"/>
        </w:rPr>
      </w:pPr>
      <w:r>
        <w:rPr>
          <w:rStyle w:val="FootnoteReference"/>
        </w:rPr>
        <w:footnoteRef/>
      </w:r>
      <w:r>
        <w:t xml:space="preserve"> </w:t>
      </w:r>
      <w:r>
        <w:rPr>
          <w:lang w:val="sr-Cyrl-CS"/>
        </w:rPr>
        <w:t xml:space="preserve">Милева Анђелковић, </w:t>
      </w:r>
      <w:r>
        <w:rPr>
          <w:i/>
          <w:lang w:val="sr-Cyrl-CS"/>
        </w:rPr>
        <w:t xml:space="preserve">нав. дело, </w:t>
      </w:r>
      <w:r>
        <w:rPr>
          <w:lang w:val="sr-Cyrl-CS"/>
        </w:rPr>
        <w:t>стр. 148.</w:t>
      </w:r>
    </w:p>
  </w:footnote>
  <w:footnote w:id="607">
    <w:p w:rsidR="00767127" w:rsidRPr="00967B0A" w:rsidRDefault="00767127" w:rsidP="002B6E12">
      <w:pPr>
        <w:pStyle w:val="FootnoteText"/>
        <w:rPr>
          <w:lang w:val="sr-Cyrl-CS"/>
        </w:rPr>
      </w:pPr>
      <w:r>
        <w:rPr>
          <w:rStyle w:val="FootnoteReference"/>
        </w:rPr>
        <w:footnoteRef/>
      </w:r>
      <w:r>
        <w:t xml:space="preserve"> </w:t>
      </w:r>
      <w:r>
        <w:rPr>
          <w:lang w:val="sr-Cyrl-CS"/>
        </w:rPr>
        <w:t xml:space="preserve">Гордана Илић-Попов, </w:t>
      </w:r>
      <w:r w:rsidRPr="00DF53C9">
        <w:rPr>
          <w:b/>
          <w:lang w:val="sr-Cyrl-CS"/>
        </w:rPr>
        <w:t>Трансферне цене у међународном пореском праву</w:t>
      </w:r>
      <w:r>
        <w:rPr>
          <w:lang w:val="sr-Cyrl-CS"/>
        </w:rPr>
        <w:t xml:space="preserve">, </w:t>
      </w:r>
      <w:r w:rsidRPr="00DF53C9">
        <w:rPr>
          <w:i/>
        </w:rPr>
        <w:t>Financing</w:t>
      </w:r>
      <w:r>
        <w:t>, бр. 11/97, стр. 15.</w:t>
      </w:r>
    </w:p>
  </w:footnote>
  <w:footnote w:id="608">
    <w:p w:rsidR="00767127" w:rsidRPr="00DF53C9" w:rsidRDefault="00767127" w:rsidP="002B6E12">
      <w:pPr>
        <w:rPr>
          <w:sz w:val="20"/>
          <w:szCs w:val="20"/>
          <w:lang w:val="sr-Cyrl-CS"/>
        </w:rPr>
      </w:pPr>
      <w:r>
        <w:rPr>
          <w:rStyle w:val="FootnoteReference"/>
        </w:rPr>
        <w:footnoteRef/>
      </w:r>
      <w:r>
        <w:t xml:space="preserve"> </w:t>
      </w:r>
      <w:r>
        <w:rPr>
          <w:sz w:val="20"/>
          <w:szCs w:val="20"/>
          <w:lang w:val="sr-Cyrl-CS"/>
        </w:rPr>
        <w:t>Ч</w:t>
      </w:r>
      <w:r w:rsidRPr="00DF53C9">
        <w:rPr>
          <w:sz w:val="20"/>
          <w:szCs w:val="20"/>
          <w:lang w:val="sr-Cyrl-CS"/>
        </w:rPr>
        <w:t>л. 59. Закона о порезу на добит правних лица („Службени гласник РС“ бр. 25/01, 80/02, 43/03, 84/04, 18/10, 101/11, 119/2012, 47/2013 и 108/13).</w:t>
      </w:r>
    </w:p>
    <w:p w:rsidR="00767127" w:rsidRPr="00DF53C9" w:rsidRDefault="00767127" w:rsidP="002B6E12">
      <w:pPr>
        <w:pStyle w:val="FootnoteText"/>
        <w:rPr>
          <w:lang w:val="sr-Cyrl-CS"/>
        </w:rPr>
      </w:pPr>
    </w:p>
  </w:footnote>
  <w:footnote w:id="609">
    <w:p w:rsidR="00767127" w:rsidRPr="00460721" w:rsidRDefault="00767127" w:rsidP="002B6E12">
      <w:pPr>
        <w:pStyle w:val="FootnoteText"/>
        <w:jc w:val="both"/>
        <w:rPr>
          <w:lang w:val="sr-Cyrl-CS"/>
        </w:rPr>
      </w:pPr>
      <w:r>
        <w:rPr>
          <w:rStyle w:val="FootnoteReference"/>
        </w:rPr>
        <w:footnoteRef/>
      </w:r>
      <w:r>
        <w:t xml:space="preserve"> </w:t>
      </w:r>
      <w:r>
        <w:rPr>
          <w:lang w:val="sr-Cyrl-CS"/>
        </w:rPr>
        <w:t xml:space="preserve">Милева Анђелковић и Марина Димитријевић, </w:t>
      </w:r>
      <w:r w:rsidRPr="00284901">
        <w:rPr>
          <w:b/>
          <w:lang w:val="sr-Cyrl-CS"/>
        </w:rPr>
        <w:t>Пореско право Србије</w:t>
      </w:r>
      <w:r>
        <w:rPr>
          <w:lang w:val="sr-Cyrl-CS"/>
        </w:rPr>
        <w:t>, Центар за публикације Правног факултета у Нишу, Ниш, 2009, стр. 104.</w:t>
      </w:r>
    </w:p>
  </w:footnote>
  <w:footnote w:id="610">
    <w:p w:rsidR="00767127" w:rsidRPr="0062318F" w:rsidRDefault="00767127" w:rsidP="002B6E12">
      <w:pPr>
        <w:rPr>
          <w:sz w:val="20"/>
          <w:szCs w:val="20"/>
          <w:lang w:val="sr-Cyrl-CS"/>
        </w:rPr>
      </w:pPr>
      <w:r>
        <w:rPr>
          <w:rStyle w:val="FootnoteReference"/>
        </w:rPr>
        <w:footnoteRef/>
      </w:r>
      <w:r>
        <w:t xml:space="preserve"> </w:t>
      </w:r>
      <w:r>
        <w:rPr>
          <w:lang w:val="sr-Cyrl-CS"/>
        </w:rPr>
        <w:t xml:space="preserve"> </w:t>
      </w:r>
      <w:r>
        <w:rPr>
          <w:sz w:val="20"/>
          <w:szCs w:val="20"/>
          <w:lang w:val="sr-Cyrl-CS"/>
        </w:rPr>
        <w:t>Ч</w:t>
      </w:r>
      <w:r w:rsidRPr="004D7719">
        <w:rPr>
          <w:sz w:val="20"/>
          <w:szCs w:val="20"/>
          <w:lang w:val="sr-Cyrl-CS"/>
        </w:rPr>
        <w:t>л. 61</w:t>
      </w:r>
      <w:r>
        <w:rPr>
          <w:lang w:val="sr-Cyrl-CS"/>
        </w:rPr>
        <w:t xml:space="preserve">. </w:t>
      </w:r>
      <w:r w:rsidRPr="00DF53C9">
        <w:rPr>
          <w:sz w:val="20"/>
          <w:szCs w:val="20"/>
          <w:lang w:val="sr-Cyrl-CS"/>
        </w:rPr>
        <w:t>Закона о порезу на добит правних лица („Службени гласник РС“ бр. 25/01, 80/02, 43/03, 84/04, 18/10, 101/1</w:t>
      </w:r>
      <w:r>
        <w:rPr>
          <w:sz w:val="20"/>
          <w:szCs w:val="20"/>
          <w:lang w:val="sr-Cyrl-CS"/>
        </w:rPr>
        <w:t>1, 119/2012, 47/2013 и 108/13).</w:t>
      </w:r>
    </w:p>
  </w:footnote>
  <w:footnote w:id="611">
    <w:p w:rsidR="00767127" w:rsidRPr="00536052" w:rsidRDefault="00767127" w:rsidP="002B6E12">
      <w:pPr>
        <w:pStyle w:val="FootnoteText"/>
        <w:rPr>
          <w:lang w:val="sr-Cyrl-CS"/>
        </w:rPr>
      </w:pPr>
      <w:r>
        <w:rPr>
          <w:rStyle w:val="FootnoteReference"/>
        </w:rPr>
        <w:footnoteRef/>
      </w:r>
      <w:r>
        <w:t xml:space="preserve"> </w:t>
      </w:r>
      <w:r>
        <w:rPr>
          <w:lang w:val="sr-Cyrl-CS"/>
        </w:rPr>
        <w:t xml:space="preserve">Види: </w:t>
      </w:r>
      <w:r w:rsidRPr="00953C50">
        <w:rPr>
          <w:b/>
          <w:lang w:val="sr-Cyrl-CS"/>
        </w:rPr>
        <w:t>Смернице OECD за примену правила о трансферним ценама за мултинационална предузећа и пореске управе</w:t>
      </w:r>
      <w:r>
        <w:rPr>
          <w:lang w:val="sr-Cyrl-CS"/>
        </w:rPr>
        <w:t>, 22. јули 2010. године, стр. 35-78, (извор:</w:t>
      </w:r>
      <w:hyperlink r:id="rId59" w:history="1">
        <w:r>
          <w:rPr>
            <w:rStyle w:val="Hyperlink"/>
          </w:rPr>
          <w:t>http://www.ius.bg.ac.rs/prof/Materijali/popdej/Transferne%20cene.pdf</w:t>
        </w:r>
      </w:hyperlink>
      <w:r>
        <w:rPr>
          <w:lang w:val="sr-Cyrl-CS"/>
        </w:rPr>
        <w:t xml:space="preserve">), Љутић Ивана, </w:t>
      </w:r>
      <w:r w:rsidRPr="00043DA8">
        <w:rPr>
          <w:b/>
          <w:lang w:val="sr-Cyrl-CS"/>
        </w:rPr>
        <w:t>Правни аспекти трансферних цена и пореска евазија</w:t>
      </w:r>
      <w:r>
        <w:rPr>
          <w:lang w:val="sr-Cyrl-CS"/>
        </w:rPr>
        <w:t>, Правни информатор, Београд, бр 1, 2011, стр. 46-50.</w:t>
      </w:r>
    </w:p>
  </w:footnote>
  <w:footnote w:id="612">
    <w:p w:rsidR="00767127" w:rsidRPr="004A0DB9" w:rsidRDefault="00767127" w:rsidP="002B6E12">
      <w:pPr>
        <w:pStyle w:val="FootnoteText"/>
        <w:rPr>
          <w:lang w:val="sr-Cyrl-CS"/>
        </w:rPr>
      </w:pPr>
      <w:r>
        <w:rPr>
          <w:rStyle w:val="FootnoteReference"/>
        </w:rPr>
        <w:footnoteRef/>
      </w:r>
      <w:r>
        <w:t xml:space="preserve"> </w:t>
      </w:r>
      <w:r>
        <w:rPr>
          <w:lang w:val="sr-Cyrl-CS"/>
        </w:rPr>
        <w:t xml:space="preserve">Милева Анђелковић, </w:t>
      </w:r>
      <w:r w:rsidRPr="0001527F">
        <w:rPr>
          <w:b/>
          <w:lang w:val="sr-Cyrl-CS"/>
        </w:rPr>
        <w:t>Корпоративно управљање и опорезивање</w:t>
      </w:r>
      <w:r>
        <w:rPr>
          <w:lang w:val="sr-Cyrl-CS"/>
        </w:rPr>
        <w:t>, Право и привреда, бр. 5-8, 2008, стр. 990.</w:t>
      </w:r>
    </w:p>
  </w:footnote>
  <w:footnote w:id="613">
    <w:p w:rsidR="00767127" w:rsidRPr="00782BCD" w:rsidRDefault="00767127" w:rsidP="002B6E12">
      <w:pPr>
        <w:pStyle w:val="FootnoteText"/>
        <w:rPr>
          <w:lang w:val="sr-Cyrl-CS"/>
        </w:rPr>
      </w:pPr>
      <w:r>
        <w:rPr>
          <w:rStyle w:val="FootnoteReference"/>
        </w:rPr>
        <w:footnoteRef/>
      </w:r>
      <w:r>
        <w:t xml:space="preserve"> </w:t>
      </w:r>
      <w:r>
        <w:rPr>
          <w:lang w:val="sr-Cyrl-CS"/>
        </w:rPr>
        <w:t xml:space="preserve"> Милоје Кањевац, </w:t>
      </w:r>
      <w:r w:rsidRPr="00033F37">
        <w:rPr>
          <w:b/>
          <w:lang w:val="sr-Cyrl-CS"/>
        </w:rPr>
        <w:t>Пословне финансије</w:t>
      </w:r>
      <w:r>
        <w:rPr>
          <w:lang w:val="sr-Cyrl-CS"/>
        </w:rPr>
        <w:t>, Економика, Београд, 1992, стр. 30.</w:t>
      </w:r>
    </w:p>
  </w:footnote>
  <w:footnote w:id="614">
    <w:p w:rsidR="00767127" w:rsidRPr="00DF49A6" w:rsidRDefault="00767127" w:rsidP="00B26DA0">
      <w:pPr>
        <w:pStyle w:val="FootnoteText"/>
        <w:jc w:val="both"/>
        <w:rPr>
          <w:lang w:val="sr-Cyrl-CS"/>
        </w:rPr>
      </w:pPr>
      <w:r>
        <w:rPr>
          <w:rStyle w:val="FootnoteReference"/>
        </w:rPr>
        <w:footnoteRef/>
      </w:r>
      <w:r>
        <w:rPr>
          <w:lang w:val="sr-Cyrl-CS"/>
        </w:rPr>
        <w:t xml:space="preserve"> Милева Анђелковић и Драган Јовашевић, </w:t>
      </w:r>
      <w:r w:rsidRPr="00B26DA0">
        <w:rPr>
          <w:b/>
          <w:lang w:val="sr-Cyrl-CS"/>
        </w:rPr>
        <w:t>Избегавање плаћања пореза: фискални и кривично-правни аспект</w:t>
      </w:r>
      <w:r>
        <w:rPr>
          <w:lang w:val="sr-Cyrl-CS"/>
        </w:rPr>
        <w:t>, Правни факултет у Нишу, Центар за публикације, Ниш, 2006, стр. 108.</w:t>
      </w:r>
    </w:p>
  </w:footnote>
  <w:footnote w:id="615">
    <w:p w:rsidR="00767127" w:rsidRPr="00310C9D" w:rsidRDefault="00767127" w:rsidP="002B6E12">
      <w:pPr>
        <w:pStyle w:val="FootnoteText"/>
        <w:rPr>
          <w:lang w:val="sr-Cyrl-CS"/>
        </w:rPr>
      </w:pPr>
      <w:r>
        <w:rPr>
          <w:rStyle w:val="FootnoteReference"/>
        </w:rPr>
        <w:footnoteRef/>
      </w:r>
      <w:r>
        <w:t xml:space="preserve"> </w:t>
      </w:r>
      <w:r>
        <w:rPr>
          <w:lang w:val="sr-Cyrl-CS"/>
        </w:rPr>
        <w:t xml:space="preserve">Дејан Поповић, </w:t>
      </w:r>
      <w:r w:rsidRPr="00B26DA0">
        <w:rPr>
          <w:b/>
          <w:lang w:val="sr-Cyrl-CS"/>
        </w:rPr>
        <w:t>Порез на добит корпорација</w:t>
      </w:r>
      <w:r>
        <w:rPr>
          <w:lang w:val="sr-Cyrl-CS"/>
        </w:rPr>
        <w:t>, Економски институт, Београд, 1991, стр. 195.</w:t>
      </w:r>
    </w:p>
  </w:footnote>
  <w:footnote w:id="616">
    <w:p w:rsidR="00767127" w:rsidRPr="000F1450" w:rsidRDefault="00767127" w:rsidP="002B6E12">
      <w:pPr>
        <w:pStyle w:val="FootnoteText"/>
        <w:jc w:val="both"/>
        <w:rPr>
          <w:lang w:val="sr-Cyrl-CS"/>
        </w:rPr>
      </w:pPr>
      <w:r>
        <w:rPr>
          <w:rStyle w:val="FootnoteReference"/>
        </w:rPr>
        <w:footnoteRef/>
      </w:r>
      <w:r>
        <w:t xml:space="preserve"> </w:t>
      </w:r>
      <w:r w:rsidRPr="00AD1596">
        <w:rPr>
          <w:lang w:val="sr-Cyrl-CS"/>
        </w:rPr>
        <w:t>Thiess Buettner</w:t>
      </w:r>
      <w:r>
        <w:rPr>
          <w:lang w:val="sr-Cyrl-CS"/>
        </w:rPr>
        <w:t xml:space="preserve">, </w:t>
      </w:r>
      <w:r w:rsidRPr="00AD1596">
        <w:rPr>
          <w:lang w:val="sr-Cyrl-CS"/>
        </w:rPr>
        <w:t>Michael Overesch</w:t>
      </w:r>
      <w:r>
        <w:rPr>
          <w:lang w:val="sr-Cyrl-CS"/>
        </w:rPr>
        <w:t xml:space="preserve">, et. </w:t>
      </w:r>
      <w:r>
        <w:t>a</w:t>
      </w:r>
      <w:r>
        <w:rPr>
          <w:lang w:val="sr-Cyrl-CS"/>
        </w:rPr>
        <w:t xml:space="preserve">l., </w:t>
      </w:r>
      <w:r w:rsidRPr="00875520">
        <w:rPr>
          <w:b/>
        </w:rPr>
        <w:t>The impact of thin-capitalization</w:t>
      </w:r>
      <w:r w:rsidRPr="00875520">
        <w:rPr>
          <w:b/>
          <w:lang w:val="sr-Cyrl-CS"/>
        </w:rPr>
        <w:t xml:space="preserve"> </w:t>
      </w:r>
      <w:r w:rsidRPr="00875520">
        <w:rPr>
          <w:b/>
        </w:rPr>
        <w:t>rules on multinationals’</w:t>
      </w:r>
      <w:r w:rsidRPr="00875520">
        <w:rPr>
          <w:b/>
          <w:lang w:val="sr-Cyrl-CS"/>
        </w:rPr>
        <w:t xml:space="preserve"> </w:t>
      </w:r>
      <w:r w:rsidRPr="00875520">
        <w:rPr>
          <w:b/>
        </w:rPr>
        <w:t>financing and investment decisions</w:t>
      </w:r>
      <w:r>
        <w:rPr>
          <w:lang w:val="sr-Cyrl-CS"/>
        </w:rPr>
        <w:t xml:space="preserve">, </w:t>
      </w:r>
      <w:r>
        <w:t xml:space="preserve"> </w:t>
      </w:r>
      <w:r w:rsidRPr="003C6B64">
        <w:t>Deutsche Bundesbank</w:t>
      </w:r>
      <w:r>
        <w:t xml:space="preserve"> Eurosystem,  </w:t>
      </w:r>
      <w:r w:rsidRPr="003C6B64">
        <w:t>Frankfur</w:t>
      </w:r>
      <w:r>
        <w:t>t, Discussion Paper Series 1: Economic Studies, No 03/2008, pp. 2-3.</w:t>
      </w:r>
      <w:r>
        <w:rPr>
          <w:lang w:val="sr-Cyrl-CS"/>
        </w:rPr>
        <w:t xml:space="preserve"> (Извор: http://www.ifigr.org).</w:t>
      </w:r>
    </w:p>
  </w:footnote>
  <w:footnote w:id="617">
    <w:p w:rsidR="00767127" w:rsidRPr="00033F37" w:rsidRDefault="00767127" w:rsidP="002B6E12">
      <w:pPr>
        <w:pStyle w:val="FootnoteText"/>
        <w:rPr>
          <w:lang w:val="sr-Cyrl-CS"/>
        </w:rPr>
      </w:pPr>
      <w:r>
        <w:rPr>
          <w:rStyle w:val="FootnoteReference"/>
        </w:rPr>
        <w:footnoteRef/>
      </w:r>
      <w:r>
        <w:t xml:space="preserve"> </w:t>
      </w:r>
      <w:r>
        <w:rPr>
          <w:lang w:val="sr-Cyrl-CS"/>
        </w:rPr>
        <w:t xml:space="preserve">Чл. 62. Закона о порезу на добит правних лица, </w:t>
      </w:r>
      <w:r w:rsidRPr="00DF53C9">
        <w:rPr>
          <w:lang w:val="sr-Cyrl-CS"/>
        </w:rPr>
        <w:t>(„Службени гласник РС“ бр. 25/01, 80/02, 43/03, 84/04, 18/10, 101/1</w:t>
      </w:r>
      <w:r>
        <w:rPr>
          <w:lang w:val="sr-Cyrl-CS"/>
        </w:rPr>
        <w:t>1, 119/2012, 47/2013 и 108/13).</w:t>
      </w:r>
    </w:p>
  </w:footnote>
  <w:footnote w:id="618">
    <w:p w:rsidR="00767127" w:rsidRPr="00CB6CF0" w:rsidRDefault="00767127" w:rsidP="002B6E12">
      <w:pPr>
        <w:autoSpaceDE w:val="0"/>
        <w:autoSpaceDN w:val="0"/>
        <w:adjustRightInd w:val="0"/>
        <w:spacing w:after="0" w:line="240" w:lineRule="auto"/>
        <w:jc w:val="both"/>
        <w:rPr>
          <w:rFonts w:cs="TimesNewRomanPSMT"/>
          <w:sz w:val="18"/>
          <w:szCs w:val="18"/>
          <w:lang w:val="sr-Cyrl-CS"/>
        </w:rPr>
      </w:pPr>
      <w:r>
        <w:rPr>
          <w:rStyle w:val="FootnoteReference"/>
        </w:rPr>
        <w:footnoteRef/>
      </w:r>
      <w:r w:rsidRPr="006416E5">
        <w:rPr>
          <w:rFonts w:cs="TimesNewRomanPSMT"/>
          <w:sz w:val="20"/>
          <w:szCs w:val="20"/>
        </w:rPr>
        <w:t>Georg Wamser,</w:t>
      </w:r>
      <w:r>
        <w:rPr>
          <w:sz w:val="20"/>
          <w:szCs w:val="20"/>
          <w:lang w:val="sr-Cyrl-CS"/>
        </w:rPr>
        <w:t xml:space="preserve"> </w:t>
      </w:r>
      <w:r w:rsidRPr="00C656EC">
        <w:rPr>
          <w:rFonts w:cs="TimesNewRomanPSMT"/>
          <w:b/>
          <w:sz w:val="20"/>
          <w:szCs w:val="20"/>
        </w:rPr>
        <w:t>The Impact of Thin-Capitalization Rules on External Debt Usage – A Propensity Score Matching Approach</w:t>
      </w:r>
      <w:r w:rsidRPr="006416E5">
        <w:rPr>
          <w:rFonts w:cs="TimesNewRomanPSMT"/>
          <w:sz w:val="20"/>
          <w:szCs w:val="20"/>
        </w:rPr>
        <w:t xml:space="preserve">, </w:t>
      </w:r>
      <w:r w:rsidRPr="006416E5">
        <w:rPr>
          <w:sz w:val="20"/>
          <w:szCs w:val="20"/>
        </w:rPr>
        <w:t xml:space="preserve"> Ifo Institute for Economic Research at the University of Munich, </w:t>
      </w:r>
      <w:r w:rsidRPr="006416E5">
        <w:rPr>
          <w:rFonts w:cs="TimesNewRomanPSMT"/>
          <w:sz w:val="20"/>
          <w:szCs w:val="20"/>
        </w:rPr>
        <w:t>Ifo Working Paper No. 62, October 2008,</w:t>
      </w:r>
      <w:r>
        <w:rPr>
          <w:sz w:val="20"/>
          <w:szCs w:val="20"/>
        </w:rPr>
        <w:t xml:space="preserve"> </w:t>
      </w:r>
      <w:r>
        <w:rPr>
          <w:sz w:val="20"/>
          <w:szCs w:val="20"/>
          <w:lang w:val="sr-Cyrl-CS"/>
        </w:rPr>
        <w:t>р</w:t>
      </w:r>
      <w:r w:rsidRPr="006416E5">
        <w:rPr>
          <w:sz w:val="20"/>
          <w:szCs w:val="20"/>
          <w:lang w:val="sr-Cyrl-CS"/>
        </w:rPr>
        <w:t>.</w:t>
      </w:r>
      <w:r w:rsidRPr="006416E5">
        <w:rPr>
          <w:sz w:val="20"/>
          <w:szCs w:val="20"/>
        </w:rPr>
        <w:t xml:space="preserve"> 23.</w:t>
      </w:r>
      <w:r>
        <w:rPr>
          <w:sz w:val="20"/>
          <w:szCs w:val="20"/>
          <w:lang w:val="sr-Cyrl-CS"/>
        </w:rPr>
        <w:t xml:space="preserve"> (Извор: http://www.cesifo-group.de).</w:t>
      </w:r>
    </w:p>
  </w:footnote>
  <w:footnote w:id="619">
    <w:p w:rsidR="00767127" w:rsidRPr="00B6103B" w:rsidRDefault="00767127" w:rsidP="00F933E6">
      <w:pPr>
        <w:pStyle w:val="FootnoteText"/>
        <w:jc w:val="both"/>
        <w:rPr>
          <w:lang w:val="sr-Cyrl-CS"/>
        </w:rPr>
      </w:pPr>
      <w:r>
        <w:rPr>
          <w:rStyle w:val="FootnoteReference"/>
        </w:rPr>
        <w:footnoteRef/>
      </w:r>
      <w:r>
        <w:t xml:space="preserve"> </w:t>
      </w:r>
      <w:r>
        <w:rPr>
          <w:lang w:val="sr-Cyrl-CS"/>
        </w:rPr>
        <w:t xml:space="preserve">Милева Анђелковић и Марина Димитријевић, Пореска администрација пред савременим друштвеним узазовима, </w:t>
      </w:r>
      <w:r w:rsidRPr="00B6103B">
        <w:rPr>
          <w:b/>
          <w:lang w:val="sr-Cyrl-CS"/>
        </w:rPr>
        <w:t>Теме</w:t>
      </w:r>
      <w:r>
        <w:rPr>
          <w:b/>
          <w:lang w:val="sr-Cyrl-CS"/>
        </w:rPr>
        <w:t>: часопис за друштвену теорију и праксу</w:t>
      </w:r>
      <w:r>
        <w:rPr>
          <w:lang w:val="sr-Cyrl-CS"/>
        </w:rPr>
        <w:t>, бр. 4, 2013, стр. 1770-1771.</w:t>
      </w:r>
    </w:p>
  </w:footnote>
  <w:footnote w:id="620">
    <w:p w:rsidR="00767127" w:rsidRPr="00514511" w:rsidRDefault="00767127" w:rsidP="009D10E5">
      <w:pPr>
        <w:pStyle w:val="FootnoteText"/>
        <w:jc w:val="both"/>
        <w:rPr>
          <w:lang w:val="sr-Cyrl-CS"/>
        </w:rPr>
      </w:pPr>
      <w:r>
        <w:rPr>
          <w:rStyle w:val="FootnoteReference"/>
        </w:rPr>
        <w:footnoteRef/>
      </w:r>
      <w:r>
        <w:t xml:space="preserve"> </w:t>
      </w:r>
      <w:r>
        <w:rPr>
          <w:lang w:val="sr-Cyrl-CS"/>
        </w:rPr>
        <w:t>Конвенција о узајамној административној помоћи у пореским питањима је изворно састављена 1988. од стране Савета Европе и ОЕЦД, а измењена је и допуњена Протоколом којим се мења и допуњује Конвенција о узајамној административној помоћи у пореским питањима 2010. године.</w:t>
      </w:r>
    </w:p>
  </w:footnote>
  <w:footnote w:id="621">
    <w:p w:rsidR="00767127" w:rsidRPr="00E83C05" w:rsidRDefault="00767127" w:rsidP="002B6E12">
      <w:pPr>
        <w:pStyle w:val="FootnoteText"/>
        <w:jc w:val="both"/>
        <w:rPr>
          <w:lang w:val="sr-Cyrl-CS"/>
        </w:rPr>
      </w:pPr>
      <w:r>
        <w:rPr>
          <w:rStyle w:val="FootnoteReference"/>
        </w:rPr>
        <w:footnoteRef/>
      </w:r>
      <w:r>
        <w:t xml:space="preserve"> International Co-operation against Tax Crimes and Other Financial Crimes: A Catalogue of the Main Instruments, Rome june 2012</w:t>
      </w:r>
      <w:r>
        <w:rPr>
          <w:lang w:val="sr-Cyrl-CS"/>
        </w:rPr>
        <w:t xml:space="preserve">, </w:t>
      </w:r>
      <w:r>
        <w:t>pp</w:t>
      </w:r>
      <w:r>
        <w:rPr>
          <w:lang w:val="sr-Cyrl-CS"/>
        </w:rPr>
        <w:t>.</w:t>
      </w:r>
      <w:r>
        <w:t xml:space="preserve"> 13-15. (</w:t>
      </w:r>
      <w:r>
        <w:rPr>
          <w:lang w:val="sr-Cyrl-CS"/>
        </w:rPr>
        <w:t xml:space="preserve">Извор: </w:t>
      </w:r>
      <w:hyperlink r:id="rId60" w:history="1">
        <w:r w:rsidRPr="007E6977">
          <w:rPr>
            <w:rStyle w:val="Hyperlink"/>
            <w:lang w:val="sr-Cyrl-CS"/>
          </w:rPr>
          <w:t>http://www.oecd.org/ctp/exchange-of-tax-information/50559531.pdf</w:t>
        </w:r>
      </w:hyperlink>
      <w:r>
        <w:rPr>
          <w:lang w:val="sr-Cyrl-CS"/>
        </w:rPr>
        <w:t xml:space="preserve">) </w:t>
      </w:r>
    </w:p>
  </w:footnote>
  <w:footnote w:id="622">
    <w:p w:rsidR="00767127" w:rsidRPr="000326CC" w:rsidRDefault="00767127" w:rsidP="00236243">
      <w:pPr>
        <w:pStyle w:val="FootnoteText"/>
        <w:rPr>
          <w:lang w:val="sr-Cyrl-CS"/>
        </w:rPr>
      </w:pPr>
      <w:r>
        <w:rPr>
          <w:rStyle w:val="FootnoteReference"/>
        </w:rPr>
        <w:footnoteRef/>
      </w:r>
      <w:r>
        <w:t xml:space="preserve"> </w:t>
      </w:r>
      <w:r>
        <w:rPr>
          <w:lang w:val="sr-Cyrl-CS"/>
        </w:rPr>
        <w:t xml:space="preserve">Милован Митровић, </w:t>
      </w:r>
      <w:r w:rsidRPr="00722C79">
        <w:rPr>
          <w:b/>
          <w:lang w:val="sr-Cyrl-CS"/>
        </w:rPr>
        <w:t>Друштвени сукоби и криминалитет у Србији</w:t>
      </w:r>
      <w:r>
        <w:rPr>
          <w:lang w:val="sr-Cyrl-CS"/>
        </w:rPr>
        <w:t>, зборник: Стање криминалитета у Србији и правна средства реаговања, Правни факултет Универзитета у Београду, Београд, 2007, стр. 106.</w:t>
      </w:r>
    </w:p>
  </w:footnote>
  <w:footnote w:id="623">
    <w:p w:rsidR="00767127" w:rsidRPr="00827A60" w:rsidRDefault="00767127" w:rsidP="002673E8">
      <w:pPr>
        <w:pStyle w:val="FootnoteText"/>
        <w:jc w:val="both"/>
        <w:rPr>
          <w:lang w:val="sr-Cyrl-CS"/>
        </w:rPr>
      </w:pPr>
      <w:r>
        <w:rPr>
          <w:rStyle w:val="FootnoteReference"/>
        </w:rPr>
        <w:footnoteRef/>
      </w:r>
      <w:r>
        <w:t xml:space="preserve"> </w:t>
      </w:r>
      <w:r>
        <w:rPr>
          <w:lang w:val="sr-Cyrl-CS"/>
        </w:rPr>
        <w:t xml:space="preserve">Милева Анђелковић и Драган Јовашевић, </w:t>
      </w:r>
      <w:r w:rsidRPr="002673E8">
        <w:rPr>
          <w:b/>
          <w:lang w:val="sr-Cyrl-CS"/>
        </w:rPr>
        <w:t>Избегавање плаћања пореза: фискални и кривично-правни аспект</w:t>
      </w:r>
      <w:r>
        <w:rPr>
          <w:lang w:val="sr-Cyrl-CS"/>
        </w:rPr>
        <w:t>, Правни факултет Универзитета у Нишу, Центар за публикације, Ниш, 2006, стр. 99.</w:t>
      </w:r>
    </w:p>
  </w:footnote>
  <w:footnote w:id="624">
    <w:p w:rsidR="00767127" w:rsidRPr="00712148" w:rsidRDefault="00767127" w:rsidP="00023E55">
      <w:pPr>
        <w:pStyle w:val="FootnoteText"/>
        <w:jc w:val="both"/>
        <w:rPr>
          <w:lang w:val="sr-Cyrl-CS"/>
        </w:rPr>
      </w:pPr>
      <w:r>
        <w:rPr>
          <w:rStyle w:val="FootnoteReference"/>
        </w:rPr>
        <w:footnoteRef/>
      </w:r>
      <w:r>
        <w:rPr>
          <w:lang w:val="sr-Cyrl-CS"/>
        </w:rPr>
        <w:t xml:space="preserve">Дарко Сенић и др., </w:t>
      </w:r>
      <w:r w:rsidRPr="00724A47">
        <w:rPr>
          <w:b/>
          <w:lang w:val="sr-Cyrl-CS"/>
        </w:rPr>
        <w:t>Транзиција и привредни криминалитет</w:t>
      </w:r>
      <w:r>
        <w:rPr>
          <w:lang w:val="sr-Cyrl-CS"/>
        </w:rPr>
        <w:t>, Тематски зборник радова, Криминалистичко-полицијска академија, Београд, 2013, стр. 49.</w:t>
      </w:r>
    </w:p>
  </w:footnote>
  <w:footnote w:id="625">
    <w:p w:rsidR="00767127" w:rsidRPr="00014811" w:rsidRDefault="00767127" w:rsidP="00A07388">
      <w:pPr>
        <w:pStyle w:val="FootnoteText"/>
        <w:jc w:val="both"/>
        <w:rPr>
          <w:lang w:val="sr-Cyrl-CS"/>
        </w:rPr>
      </w:pPr>
      <w:r>
        <w:rPr>
          <w:rStyle w:val="FootnoteReference"/>
        </w:rPr>
        <w:footnoteRef/>
      </w:r>
      <w:r>
        <w:rPr>
          <w:lang w:val="sr-Cyrl-CS"/>
        </w:rPr>
        <w:t xml:space="preserve"> Жељко Бјелајац, </w:t>
      </w:r>
      <w:r w:rsidRPr="001E3D3B">
        <w:rPr>
          <w:b/>
          <w:lang w:val="sr-Cyrl-CS"/>
        </w:rPr>
        <w:t>Степен хуманог развоја и владавине права у Републици Србији</w:t>
      </w:r>
      <w:r>
        <w:rPr>
          <w:lang w:val="sr-Cyrl-CS"/>
        </w:rPr>
        <w:t xml:space="preserve">, </w:t>
      </w:r>
      <w:r w:rsidRPr="001E3D3B">
        <w:rPr>
          <w:i/>
          <w:lang w:val="sr-Cyrl-CS"/>
        </w:rPr>
        <w:t>Право: теорија и пракса</w:t>
      </w:r>
      <w:r>
        <w:rPr>
          <w:lang w:val="sr-Cyrl-CS"/>
        </w:rPr>
        <w:t>, Нови Сад, 2008, бр. 7/8, стр. 3-9.</w:t>
      </w:r>
    </w:p>
  </w:footnote>
  <w:footnote w:id="626">
    <w:p w:rsidR="00767127" w:rsidRPr="00724A47" w:rsidRDefault="00767127" w:rsidP="00126F72">
      <w:pPr>
        <w:pStyle w:val="FootnoteText"/>
        <w:rPr>
          <w:lang w:val="sr-Cyrl-CS"/>
        </w:rPr>
      </w:pPr>
      <w:r>
        <w:rPr>
          <w:rStyle w:val="FootnoteReference"/>
        </w:rPr>
        <w:footnoteRef/>
      </w:r>
      <w:r>
        <w:t xml:space="preserve"> </w:t>
      </w:r>
      <w:r>
        <w:rPr>
          <w:lang w:val="sr-Cyrl-CS"/>
        </w:rPr>
        <w:t xml:space="preserve">Бранислав Симоновић, </w:t>
      </w:r>
      <w:r w:rsidRPr="00724A47">
        <w:rPr>
          <w:b/>
          <w:lang w:val="sr-Cyrl-CS"/>
        </w:rPr>
        <w:t>Криминалистика</w:t>
      </w:r>
      <w:r>
        <w:rPr>
          <w:lang w:val="sr-Cyrl-CS"/>
        </w:rPr>
        <w:t>, Правни факултет у Крагујевцу, Крагујевац, 2004, стр. 614.</w:t>
      </w:r>
    </w:p>
  </w:footnote>
  <w:footnote w:id="627">
    <w:p w:rsidR="00767127" w:rsidRPr="00290C6C" w:rsidRDefault="00767127" w:rsidP="008910EC">
      <w:pPr>
        <w:pStyle w:val="FootnoteText"/>
        <w:jc w:val="both"/>
        <w:rPr>
          <w:lang w:val="sr-Cyrl-CS"/>
        </w:rPr>
      </w:pPr>
      <w:r>
        <w:rPr>
          <w:rStyle w:val="FootnoteReference"/>
        </w:rPr>
        <w:footnoteRef/>
      </w:r>
      <w:r>
        <w:t xml:space="preserve"> </w:t>
      </w:r>
      <w:r>
        <w:rPr>
          <w:lang w:val="sr-Cyrl-CS"/>
        </w:rPr>
        <w:t xml:space="preserve">Андра Петровић, </w:t>
      </w:r>
      <w:r w:rsidRPr="002F34EE">
        <w:rPr>
          <w:b/>
          <w:lang w:val="sr-Cyrl-CS"/>
        </w:rPr>
        <w:t>Основи криминологије привредног криминалитета</w:t>
      </w:r>
      <w:r>
        <w:rPr>
          <w:lang w:val="sr-Cyrl-CS"/>
        </w:rPr>
        <w:t>, Виша школа унутрашњих послова, Београд, 1988, стр. 25.</w:t>
      </w:r>
    </w:p>
  </w:footnote>
  <w:footnote w:id="628">
    <w:p w:rsidR="00767127" w:rsidRPr="00724A47" w:rsidRDefault="00767127" w:rsidP="008910EC">
      <w:pPr>
        <w:pStyle w:val="FootnoteText"/>
        <w:jc w:val="both"/>
        <w:rPr>
          <w:lang w:val="sr-Cyrl-CS"/>
        </w:rPr>
      </w:pPr>
      <w:r>
        <w:rPr>
          <w:rStyle w:val="FootnoteReference"/>
        </w:rPr>
        <w:footnoteRef/>
      </w:r>
      <w:r>
        <w:t xml:space="preserve"> </w:t>
      </w:r>
      <w:r>
        <w:rPr>
          <w:lang w:val="sr-Cyrl-CS"/>
        </w:rPr>
        <w:t xml:space="preserve">Божидар Бановић, </w:t>
      </w:r>
      <w:r>
        <w:rPr>
          <w:b/>
          <w:lang w:val="sr-Cyrl-CS"/>
        </w:rPr>
        <w:t>Обезбеђење доказа у криминалис</w:t>
      </w:r>
      <w:r w:rsidRPr="0009256F">
        <w:rPr>
          <w:b/>
          <w:lang w:val="sr-Cyrl-CS"/>
        </w:rPr>
        <w:t>тичкој обради кривичних дела привредног криминалитета</w:t>
      </w:r>
      <w:r>
        <w:rPr>
          <w:lang w:val="sr-Cyrl-CS"/>
        </w:rPr>
        <w:t>, Виша школа унутрашњих послова, Београд, 2002, стр, 31.</w:t>
      </w:r>
    </w:p>
  </w:footnote>
  <w:footnote w:id="629">
    <w:p w:rsidR="00767127" w:rsidRPr="001A574B" w:rsidRDefault="00767127" w:rsidP="00BD143A">
      <w:pPr>
        <w:pStyle w:val="FootnoteText"/>
        <w:jc w:val="both"/>
        <w:rPr>
          <w:lang w:val="sr-Cyrl-CS"/>
        </w:rPr>
      </w:pPr>
      <w:r>
        <w:rPr>
          <w:rStyle w:val="FootnoteReference"/>
        </w:rPr>
        <w:footnoteRef/>
      </w:r>
      <w:r>
        <w:t xml:space="preserve"> </w:t>
      </w:r>
      <w:r>
        <w:rPr>
          <w:lang w:val="sr-Cyrl-CS"/>
        </w:rPr>
        <w:t xml:space="preserve">Мићо Бошковић, </w:t>
      </w:r>
      <w:r w:rsidRPr="001E3D3B">
        <w:rPr>
          <w:b/>
          <w:lang w:val="sr-Cyrl-CS"/>
        </w:rPr>
        <w:t>Криминалистика-методика</w:t>
      </w:r>
      <w:r>
        <w:rPr>
          <w:lang w:val="sr-Cyrl-CS"/>
        </w:rPr>
        <w:t>, Полицијска академија, Београд, 2005, стр. 285.</w:t>
      </w:r>
    </w:p>
  </w:footnote>
  <w:footnote w:id="630">
    <w:p w:rsidR="00767127" w:rsidRPr="006D591D" w:rsidRDefault="00767127" w:rsidP="00F933E6">
      <w:pPr>
        <w:pStyle w:val="FootnoteText"/>
        <w:jc w:val="both"/>
        <w:rPr>
          <w:lang w:val="sr-Cyrl-CS"/>
        </w:rPr>
      </w:pPr>
      <w:r>
        <w:rPr>
          <w:rStyle w:val="FootnoteReference"/>
        </w:rPr>
        <w:footnoteRef/>
      </w:r>
      <w:r>
        <w:t xml:space="preserve"> </w:t>
      </w:r>
      <w:r>
        <w:rPr>
          <w:lang w:val="sr-Cyrl-CS"/>
        </w:rPr>
        <w:t xml:space="preserve">Мићо Бошковић, </w:t>
      </w:r>
      <w:r w:rsidRPr="006D591D">
        <w:rPr>
          <w:b/>
          <w:lang w:val="sr-Cyrl-CS"/>
        </w:rPr>
        <w:t xml:space="preserve">Криминалистичка методика </w:t>
      </w:r>
      <w:r w:rsidRPr="006D591D">
        <w:rPr>
          <w:b/>
        </w:rPr>
        <w:t>I</w:t>
      </w:r>
      <w:r>
        <w:rPr>
          <w:lang w:val="sr-Cyrl-CS"/>
        </w:rPr>
        <w:t>, Полицијска академија, Београд, 1998, стр. 286.</w:t>
      </w:r>
    </w:p>
  </w:footnote>
  <w:footnote w:id="631">
    <w:p w:rsidR="00767127" w:rsidRPr="003223D1" w:rsidRDefault="00767127" w:rsidP="00F933E6">
      <w:pPr>
        <w:pStyle w:val="FootnoteText"/>
        <w:jc w:val="both"/>
        <w:rPr>
          <w:lang w:val="sr-Cyrl-CS"/>
        </w:rPr>
      </w:pPr>
      <w:r>
        <w:rPr>
          <w:rStyle w:val="FootnoteReference"/>
        </w:rPr>
        <w:footnoteRef/>
      </w:r>
      <w:r>
        <w:t xml:space="preserve"> </w:t>
      </w:r>
      <w:r>
        <w:rPr>
          <w:lang w:val="sr-Cyrl-CS"/>
        </w:rPr>
        <w:t xml:space="preserve">Зоран Стојановић, </w:t>
      </w:r>
      <w:r w:rsidRPr="00664FEE">
        <w:rPr>
          <w:b/>
          <w:lang w:val="sr-Cyrl-CS"/>
        </w:rPr>
        <w:t>Нове тенденције у науци кривичног права</w:t>
      </w:r>
      <w:r>
        <w:rPr>
          <w:lang w:val="sr-Cyrl-CS"/>
        </w:rPr>
        <w:t xml:space="preserve">, </w:t>
      </w:r>
      <w:r>
        <w:rPr>
          <w:i/>
          <w:lang w:val="sr-Cyrl-CS"/>
        </w:rPr>
        <w:t>Р</w:t>
      </w:r>
      <w:r w:rsidRPr="00664FEE">
        <w:rPr>
          <w:i/>
          <w:lang w:val="sr-Cyrl-CS"/>
        </w:rPr>
        <w:t>евија за криминологију и кривично право</w:t>
      </w:r>
      <w:r>
        <w:rPr>
          <w:lang w:val="sr-Cyrl-CS"/>
        </w:rPr>
        <w:t xml:space="preserve">, бр. 2/3, 2005,  стр. 21. </w:t>
      </w:r>
    </w:p>
  </w:footnote>
  <w:footnote w:id="632">
    <w:p w:rsidR="00767127" w:rsidRPr="007F11FE" w:rsidRDefault="00767127" w:rsidP="00F933E6">
      <w:pPr>
        <w:pStyle w:val="FootnoteText"/>
        <w:jc w:val="both"/>
        <w:rPr>
          <w:lang w:val="sr-Cyrl-CS"/>
        </w:rPr>
      </w:pPr>
      <w:r>
        <w:rPr>
          <w:rStyle w:val="FootnoteReference"/>
        </w:rPr>
        <w:footnoteRef/>
      </w:r>
      <w:r>
        <w:t xml:space="preserve"> </w:t>
      </w:r>
      <w:r>
        <w:rPr>
          <w:lang w:val="sr-Cyrl-CS"/>
        </w:rPr>
        <w:t xml:space="preserve">Снежана Соковић, </w:t>
      </w:r>
      <w:r w:rsidRPr="001F4B89">
        <w:rPr>
          <w:b/>
          <w:lang w:val="sr-Cyrl-CS"/>
        </w:rPr>
        <w:t>Искуства ЕУ у сузбијању тешких облика криминалитета</w:t>
      </w:r>
      <w:r>
        <w:rPr>
          <w:lang w:val="sr-Cyrl-CS"/>
        </w:rPr>
        <w:t>, у зборнику: Тешки облици криминала, Институт за криминолошка и социолошка истраживања, Београд, 2004,  стр. 180.</w:t>
      </w:r>
    </w:p>
  </w:footnote>
  <w:footnote w:id="633">
    <w:p w:rsidR="00767127" w:rsidRPr="00295E51" w:rsidRDefault="00767127" w:rsidP="001C45B2">
      <w:pPr>
        <w:pStyle w:val="FootnoteText"/>
        <w:rPr>
          <w:lang w:val="sr-Cyrl-CS"/>
        </w:rPr>
      </w:pPr>
      <w:r>
        <w:rPr>
          <w:rStyle w:val="FootnoteReference"/>
        </w:rPr>
        <w:footnoteRef/>
      </w:r>
      <w:r>
        <w:t xml:space="preserve"> </w:t>
      </w:r>
      <w:r>
        <w:rPr>
          <w:lang w:val="sr-Cyrl-CS"/>
        </w:rPr>
        <w:t>„Службени гласник РС“ бр. 97/08.</w:t>
      </w:r>
    </w:p>
  </w:footnote>
  <w:footnote w:id="634">
    <w:p w:rsidR="00767127" w:rsidRPr="003C5AB8" w:rsidRDefault="00767127" w:rsidP="008910EC">
      <w:pPr>
        <w:pStyle w:val="FootnoteText"/>
        <w:jc w:val="both"/>
        <w:rPr>
          <w:lang w:val="sr-Cyrl-CS"/>
        </w:rPr>
      </w:pPr>
      <w:r>
        <w:rPr>
          <w:rStyle w:val="FootnoteReference"/>
        </w:rPr>
        <w:footnoteRef/>
      </w:r>
      <w:r>
        <w:t xml:space="preserve"> </w:t>
      </w:r>
      <w:r>
        <w:rPr>
          <w:lang w:val="sr-Cyrl-CS"/>
        </w:rPr>
        <w:t xml:space="preserve">Милан Шкулић, </w:t>
      </w:r>
      <w:r w:rsidRPr="007C0830">
        <w:rPr>
          <w:b/>
          <w:lang w:val="sr-Cyrl-CS"/>
        </w:rPr>
        <w:t>Општа криминалистичка правила сузбијања прив</w:t>
      </w:r>
      <w:r>
        <w:rPr>
          <w:b/>
          <w:lang w:val="sr-Cyrl-CS"/>
        </w:rPr>
        <w:t>р</w:t>
      </w:r>
      <w:r w:rsidRPr="007C0830">
        <w:rPr>
          <w:b/>
          <w:lang w:val="sr-Cyrl-CS"/>
        </w:rPr>
        <w:t>едног криминалитета</w:t>
      </w:r>
      <w:r>
        <w:rPr>
          <w:lang w:val="sr-Cyrl-CS"/>
        </w:rPr>
        <w:t xml:space="preserve">, </w:t>
      </w:r>
      <w:r w:rsidRPr="003C5AB8">
        <w:rPr>
          <w:i/>
          <w:lang w:val="sr-Cyrl-CS"/>
        </w:rPr>
        <w:t>Ревија за криминологију и кривично право</w:t>
      </w:r>
      <w:r>
        <w:rPr>
          <w:lang w:val="sr-Cyrl-CS"/>
        </w:rPr>
        <w:t>, бр. 3, 2010, стр. 66.</w:t>
      </w:r>
    </w:p>
  </w:footnote>
  <w:footnote w:id="635">
    <w:p w:rsidR="00767127" w:rsidRDefault="00767127" w:rsidP="001E3D3B">
      <w:pPr>
        <w:pStyle w:val="FootnoteText"/>
        <w:jc w:val="both"/>
      </w:pPr>
      <w:r>
        <w:rPr>
          <w:rStyle w:val="FootnoteReference"/>
        </w:rPr>
        <w:footnoteRef/>
      </w:r>
      <w:r>
        <w:t xml:space="preserve"> Edwin Hardin Sutherland, </w:t>
      </w:r>
      <w:r w:rsidRPr="001E3D3B">
        <w:rPr>
          <w:b/>
        </w:rPr>
        <w:t>White Collar Crime</w:t>
      </w:r>
      <w:r>
        <w:t>, Druden, New York, 1949,</w:t>
      </w:r>
      <w:r>
        <w:rPr>
          <w:lang w:val="sr-Cyrl-CS"/>
        </w:rPr>
        <w:t xml:space="preserve"> р</w:t>
      </w:r>
      <w:r>
        <w:t xml:space="preserve">. 7. </w:t>
      </w:r>
    </w:p>
  </w:footnote>
  <w:footnote w:id="636">
    <w:p w:rsidR="00767127" w:rsidRPr="00BD2958" w:rsidRDefault="00767127" w:rsidP="001E3D3B">
      <w:pPr>
        <w:pStyle w:val="FootnoteText"/>
        <w:jc w:val="both"/>
        <w:rPr>
          <w:lang w:val="sr-Cyrl-CS"/>
        </w:rPr>
      </w:pPr>
      <w:r>
        <w:rPr>
          <w:rStyle w:val="FootnoteReference"/>
        </w:rPr>
        <w:footnoteRef/>
      </w:r>
      <w:r>
        <w:rPr>
          <w:lang w:val="sr-Cyrl-CS"/>
        </w:rPr>
        <w:t xml:space="preserve"> Ђорђе Игњатовић, </w:t>
      </w:r>
      <w:r w:rsidRPr="001E3D3B">
        <w:rPr>
          <w:b/>
          <w:lang w:val="sr-Cyrl-CS"/>
        </w:rPr>
        <w:t>Криминолошки значај транзиције</w:t>
      </w:r>
      <w:r>
        <w:rPr>
          <w:lang w:val="sr-Cyrl-CS"/>
        </w:rPr>
        <w:t>, зборник: Криминалитет у транзицији: феноменологија, превенција и државна реакција, Институт за криминолошка и социолошка истраживања, Београд, 2007, стр. 22-23.</w:t>
      </w:r>
    </w:p>
  </w:footnote>
  <w:footnote w:id="637">
    <w:p w:rsidR="00767127" w:rsidRPr="002E031F" w:rsidRDefault="00767127">
      <w:pPr>
        <w:pStyle w:val="FootnoteText"/>
        <w:rPr>
          <w:lang w:val="sr-Cyrl-CS"/>
        </w:rPr>
      </w:pPr>
      <w:r>
        <w:rPr>
          <w:rStyle w:val="FootnoteReference"/>
        </w:rPr>
        <w:footnoteRef/>
      </w:r>
      <w:r>
        <w:t xml:space="preserve"> </w:t>
      </w:r>
      <w:r>
        <w:rPr>
          <w:lang w:val="sr-Cyrl-CS"/>
        </w:rPr>
        <w:t xml:space="preserve"> </w:t>
      </w:r>
      <w:r>
        <w:t>M</w:t>
      </w:r>
      <w:r>
        <w:rPr>
          <w:lang w:val="sr-Cyrl-CS"/>
        </w:rPr>
        <w:t>ило</w:t>
      </w:r>
      <w:r>
        <w:t xml:space="preserve"> </w:t>
      </w:r>
      <w:r>
        <w:rPr>
          <w:lang w:val="sr-Cyrl-CS"/>
        </w:rPr>
        <w:t xml:space="preserve">Бошковић, </w:t>
      </w:r>
      <w:r w:rsidRPr="002E031F">
        <w:rPr>
          <w:b/>
          <w:lang w:val="sr-Cyrl-CS"/>
        </w:rPr>
        <w:t>Криминологија</w:t>
      </w:r>
      <w:r>
        <w:rPr>
          <w:lang w:val="sr-Cyrl-CS"/>
        </w:rPr>
        <w:t>, Правни факултет Универзитета у Новом Саду, Нови Сад, 2006, стр. 352.</w:t>
      </w:r>
    </w:p>
  </w:footnote>
  <w:footnote w:id="638">
    <w:p w:rsidR="00767127" w:rsidRPr="002A4404" w:rsidRDefault="00767127" w:rsidP="001E3D3B">
      <w:pPr>
        <w:pStyle w:val="FootnoteText"/>
        <w:jc w:val="both"/>
        <w:rPr>
          <w:lang w:val="sr-Cyrl-CS"/>
        </w:rPr>
      </w:pPr>
      <w:r>
        <w:rPr>
          <w:rStyle w:val="FootnoteReference"/>
        </w:rPr>
        <w:footnoteRef/>
      </w:r>
      <w:r>
        <w:rPr>
          <w:lang w:val="sr-Cyrl-CS"/>
        </w:rPr>
        <w:t xml:space="preserve"> Ајит Мисхра, </w:t>
      </w:r>
      <w:r w:rsidRPr="002F34EE">
        <w:rPr>
          <w:b/>
          <w:lang w:val="sr-Cyrl-CS"/>
        </w:rPr>
        <w:t>Корупција, хијерахије и бирократска структура</w:t>
      </w:r>
      <w:r>
        <w:rPr>
          <w:lang w:val="sr-Cyrl-CS"/>
        </w:rPr>
        <w:t>, у зборнику: Економија корупције: међународни приручник, ЈП „Службени гласник“, Београд, 2008, стр. 225.</w:t>
      </w:r>
    </w:p>
  </w:footnote>
  <w:footnote w:id="639">
    <w:p w:rsidR="00767127" w:rsidRDefault="00767127" w:rsidP="006D591D">
      <w:pPr>
        <w:pStyle w:val="Footnote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lang w:val="sr-Cyrl-CS"/>
        </w:rPr>
      </w:pPr>
      <w:r>
        <w:rPr>
          <w:rStyle w:val="FootnoteReference"/>
        </w:rPr>
        <w:footnoteRef/>
      </w:r>
      <w:r>
        <w:t xml:space="preserve"> </w:t>
      </w:r>
      <w:r>
        <w:rPr>
          <w:lang w:val="sr-Cyrl-CS"/>
        </w:rPr>
        <w:t xml:space="preserve">Бранислав Симоновић, </w:t>
      </w:r>
      <w:r w:rsidRPr="009E5B7E">
        <w:rPr>
          <w:i/>
          <w:lang w:val="sr-Cyrl-CS"/>
        </w:rPr>
        <w:t>нав. дело,</w:t>
      </w:r>
      <w:r>
        <w:rPr>
          <w:lang w:val="sr-Cyrl-CS"/>
        </w:rPr>
        <w:t xml:space="preserve"> стр. 615.</w:t>
      </w:r>
    </w:p>
    <w:p w:rsidR="00767127" w:rsidRPr="006D591D" w:rsidRDefault="00767127">
      <w:pPr>
        <w:pStyle w:val="FootnoteText"/>
        <w:rPr>
          <w:lang w:val="sr-Cyrl-CS"/>
        </w:rPr>
      </w:pPr>
    </w:p>
  </w:footnote>
  <w:footnote w:id="640">
    <w:p w:rsidR="00767127" w:rsidRPr="00292AED" w:rsidRDefault="00767127">
      <w:pPr>
        <w:pStyle w:val="FootnoteText"/>
      </w:pPr>
      <w:r>
        <w:rPr>
          <w:rStyle w:val="FootnoteReference"/>
        </w:rPr>
        <w:footnoteRef/>
      </w:r>
      <w:r>
        <w:t xml:space="preserve"> Edwin Hardin Sutherland, </w:t>
      </w:r>
      <w:r>
        <w:rPr>
          <w:i/>
          <w:lang w:val="sr-Cyrl-CS"/>
        </w:rPr>
        <w:t xml:space="preserve">нав. дело, </w:t>
      </w:r>
      <w:r>
        <w:t xml:space="preserve"> </w:t>
      </w:r>
      <w:r>
        <w:rPr>
          <w:lang w:val="sr-Cyrl-CS"/>
        </w:rPr>
        <w:t>стр</w:t>
      </w:r>
      <w:r>
        <w:t>. 7.</w:t>
      </w:r>
    </w:p>
  </w:footnote>
  <w:footnote w:id="641">
    <w:p w:rsidR="00767127" w:rsidRPr="00513EEC" w:rsidRDefault="00767127" w:rsidP="00513EEC">
      <w:pPr>
        <w:pStyle w:val="FootnoteText"/>
        <w:jc w:val="both"/>
        <w:rPr>
          <w:lang w:val="sr-Cyrl-CS"/>
        </w:rPr>
      </w:pPr>
      <w:r>
        <w:rPr>
          <w:rStyle w:val="FootnoteReference"/>
        </w:rPr>
        <w:footnoteRef/>
      </w:r>
      <w:r>
        <w:t xml:space="preserve"> Edwin Hardin Sutherland, </w:t>
      </w:r>
      <w:r w:rsidRPr="009B04B5">
        <w:rPr>
          <w:b/>
        </w:rPr>
        <w:t>On Analyzing Crime</w:t>
      </w:r>
      <w:r>
        <w:rPr>
          <w:lang w:val="sr-Cyrl-CS"/>
        </w:rPr>
        <w:t xml:space="preserve">, </w:t>
      </w:r>
      <w:r>
        <w:t>Chicago, 1973,</w:t>
      </w:r>
      <w:r>
        <w:rPr>
          <w:lang w:val="sr-Cyrl-CS"/>
        </w:rPr>
        <w:t xml:space="preserve"> стр</w:t>
      </w:r>
      <w:r>
        <w:t>. 29.</w:t>
      </w:r>
    </w:p>
  </w:footnote>
  <w:footnote w:id="642">
    <w:p w:rsidR="00767127" w:rsidRPr="0091697A" w:rsidRDefault="00767127">
      <w:pPr>
        <w:pStyle w:val="FootnoteText"/>
        <w:rPr>
          <w:lang w:val="sr-Cyrl-CS"/>
        </w:rPr>
      </w:pPr>
    </w:p>
  </w:footnote>
  <w:footnote w:id="643">
    <w:p w:rsidR="00767127" w:rsidRPr="00CC4CD9" w:rsidRDefault="00767127">
      <w:pPr>
        <w:pStyle w:val="FootnoteText"/>
        <w:rPr>
          <w:lang w:val="sr-Cyrl-CS"/>
        </w:rPr>
      </w:pPr>
      <w:r>
        <w:rPr>
          <w:rStyle w:val="FootnoteReference"/>
        </w:rPr>
        <w:footnoteRef/>
      </w:r>
      <w:r>
        <w:t xml:space="preserve"> </w:t>
      </w:r>
      <w:r>
        <w:rPr>
          <w:lang w:val="sr-Cyrl-CS"/>
        </w:rPr>
        <w:t xml:space="preserve">Ђорђе Игњатовић, </w:t>
      </w:r>
      <w:r w:rsidRPr="003E2F62">
        <w:rPr>
          <w:b/>
          <w:lang w:val="sr-Cyrl-CS"/>
        </w:rPr>
        <w:t>Криминологија</w:t>
      </w:r>
      <w:r>
        <w:rPr>
          <w:lang w:val="sr-Cyrl-CS"/>
        </w:rPr>
        <w:t>, Досије студио, Београд, 2011, стр. 3</w:t>
      </w:r>
      <w:r>
        <w:t>6</w:t>
      </w:r>
    </w:p>
  </w:footnote>
  <w:footnote w:id="644">
    <w:p w:rsidR="00767127" w:rsidRPr="00384869" w:rsidRDefault="00767127" w:rsidP="00CC4CD9">
      <w:pPr>
        <w:pStyle w:val="FootnoteText"/>
        <w:jc w:val="both"/>
        <w:rPr>
          <w:lang w:val="sr-Cyrl-CS"/>
        </w:rPr>
      </w:pPr>
      <w:r>
        <w:rPr>
          <w:rStyle w:val="FootnoteReference"/>
        </w:rPr>
        <w:footnoteRef/>
      </w:r>
      <w:r>
        <w:t xml:space="preserve"> </w:t>
      </w:r>
      <w:r w:rsidRPr="00CC4CD9">
        <w:rPr>
          <w:i/>
          <w:lang w:val="sr-Cyrl-CS"/>
        </w:rPr>
        <w:t>Нав. дело</w:t>
      </w:r>
      <w:r>
        <w:rPr>
          <w:lang w:val="sr-Cyrl-CS"/>
        </w:rPr>
        <w:t>, стр. 57.</w:t>
      </w:r>
    </w:p>
  </w:footnote>
  <w:footnote w:id="645">
    <w:p w:rsidR="00767127" w:rsidRPr="00AA09FB" w:rsidRDefault="00767127" w:rsidP="002E031F">
      <w:pPr>
        <w:pStyle w:val="FootnoteText"/>
        <w:jc w:val="both"/>
        <w:rPr>
          <w:lang w:val="sr-Cyrl-CS"/>
        </w:rPr>
      </w:pPr>
      <w:r>
        <w:rPr>
          <w:rStyle w:val="FootnoteReference"/>
        </w:rPr>
        <w:footnoteRef/>
      </w:r>
      <w:r>
        <w:t xml:space="preserve"> T. Newburn, </w:t>
      </w:r>
      <w:r w:rsidRPr="00AA09FB">
        <w:rPr>
          <w:b/>
        </w:rPr>
        <w:t>Criminology</w:t>
      </w:r>
      <w:r>
        <w:t>, Willan Publishing, Portland, Oregon, 2007, p.</w:t>
      </w:r>
      <w:r>
        <w:rPr>
          <w:lang w:val="sr-Cyrl-CS"/>
        </w:rPr>
        <w:t>374.</w:t>
      </w:r>
    </w:p>
  </w:footnote>
  <w:footnote w:id="646">
    <w:p w:rsidR="00767127" w:rsidRPr="00AA09FB" w:rsidRDefault="00767127" w:rsidP="002E031F">
      <w:pPr>
        <w:pStyle w:val="NoSpacing"/>
        <w:jc w:val="both"/>
        <w:rPr>
          <w:rFonts w:asciiTheme="minorHAnsi" w:hAnsiTheme="minorHAnsi"/>
          <w:sz w:val="20"/>
          <w:szCs w:val="20"/>
        </w:rPr>
      </w:pPr>
      <w:r>
        <w:rPr>
          <w:rStyle w:val="FootnoteReference"/>
        </w:rPr>
        <w:footnoteRef/>
      </w:r>
      <w:r w:rsidRPr="00AA09FB">
        <w:rPr>
          <w:rFonts w:asciiTheme="minorHAnsi" w:hAnsiTheme="minorHAnsi"/>
          <w:sz w:val="20"/>
          <w:szCs w:val="20"/>
        </w:rPr>
        <w:t xml:space="preserve">David Friedrichs, </w:t>
      </w:r>
      <w:r w:rsidRPr="00AA09FB">
        <w:rPr>
          <w:rFonts w:asciiTheme="minorHAnsi" w:hAnsiTheme="minorHAnsi"/>
          <w:b/>
          <w:sz w:val="20"/>
          <w:szCs w:val="20"/>
        </w:rPr>
        <w:t>Trusted Criminals: White Collar Crime in Contemporary Society</w:t>
      </w:r>
      <w:r w:rsidRPr="00AA09FB">
        <w:rPr>
          <w:rFonts w:asciiTheme="minorHAnsi" w:hAnsiTheme="minorHAnsi"/>
          <w:sz w:val="20"/>
          <w:szCs w:val="20"/>
        </w:rPr>
        <w:t>, Wadsworth Cengage Learning, Belmont, 2010</w:t>
      </w:r>
      <w:r>
        <w:rPr>
          <w:rFonts w:asciiTheme="minorHAnsi" w:hAnsiTheme="minorHAnsi"/>
          <w:sz w:val="20"/>
          <w:szCs w:val="20"/>
          <w:lang w:val="sr-Cyrl-CS"/>
        </w:rPr>
        <w:t>, рр. 2-8</w:t>
      </w:r>
      <w:r w:rsidRPr="00AA09FB">
        <w:rPr>
          <w:rFonts w:asciiTheme="minorHAnsi" w:hAnsiTheme="minorHAnsi"/>
          <w:sz w:val="20"/>
          <w:szCs w:val="20"/>
        </w:rPr>
        <w:t>.</w:t>
      </w:r>
    </w:p>
  </w:footnote>
  <w:footnote w:id="647">
    <w:p w:rsidR="00767127" w:rsidRPr="0009256F" w:rsidRDefault="00767127" w:rsidP="00BA2121">
      <w:pPr>
        <w:pStyle w:val="FootnoteText"/>
        <w:jc w:val="both"/>
        <w:rPr>
          <w:lang w:val="sr-Cyrl-CS"/>
        </w:rPr>
      </w:pPr>
      <w:r>
        <w:rPr>
          <w:rStyle w:val="FootnoteReference"/>
        </w:rPr>
        <w:footnoteRef/>
      </w:r>
      <w:r>
        <w:t xml:space="preserve"> </w:t>
      </w:r>
      <w:r>
        <w:rPr>
          <w:lang w:val="sr-Cyrl-CS"/>
        </w:rPr>
        <w:t xml:space="preserve">Божидар Бановић, </w:t>
      </w:r>
      <w:r w:rsidRPr="00C61CB8">
        <w:rPr>
          <w:i/>
          <w:lang w:val="sr-Cyrl-CS"/>
        </w:rPr>
        <w:t>нав. дело</w:t>
      </w:r>
      <w:r>
        <w:rPr>
          <w:lang w:val="sr-Cyrl-CS"/>
        </w:rPr>
        <w:t>, стр. 13.</w:t>
      </w:r>
    </w:p>
  </w:footnote>
  <w:footnote w:id="648">
    <w:p w:rsidR="00767127" w:rsidRPr="00000819" w:rsidRDefault="00767127" w:rsidP="00EC6D0C">
      <w:pPr>
        <w:pStyle w:val="FootnoteText"/>
        <w:jc w:val="both"/>
        <w:rPr>
          <w:lang w:val="sr-Cyrl-CS"/>
        </w:rPr>
      </w:pPr>
      <w:r>
        <w:rPr>
          <w:rStyle w:val="FootnoteReference"/>
        </w:rPr>
        <w:footnoteRef/>
      </w:r>
      <w:r>
        <w:t xml:space="preserve"> </w:t>
      </w:r>
      <w:r>
        <w:rPr>
          <w:lang w:val="sr-Cyrl-CS"/>
        </w:rPr>
        <w:t xml:space="preserve">Мило Бошковић, </w:t>
      </w:r>
      <w:r w:rsidRPr="00EC6D0C">
        <w:rPr>
          <w:b/>
          <w:lang w:val="sr-Cyrl-CS"/>
        </w:rPr>
        <w:t>Криминологија</w:t>
      </w:r>
      <w:r>
        <w:rPr>
          <w:lang w:val="sr-Cyrl-CS"/>
        </w:rPr>
        <w:t>, Правни факултет Универзитета у Новом Саду, Нови Сад, 2006, стр. 337-338.</w:t>
      </w:r>
    </w:p>
  </w:footnote>
  <w:footnote w:id="649">
    <w:p w:rsidR="00767127" w:rsidRPr="00316A3D" w:rsidRDefault="00767127" w:rsidP="006A6D6E">
      <w:pPr>
        <w:pStyle w:val="FootnoteText"/>
        <w:jc w:val="both"/>
        <w:rPr>
          <w:lang w:val="sr-Cyrl-CS"/>
        </w:rPr>
      </w:pPr>
      <w:r>
        <w:rPr>
          <w:rStyle w:val="FootnoteReference"/>
        </w:rPr>
        <w:footnoteRef/>
      </w:r>
      <w:r>
        <w:t xml:space="preserve"> </w:t>
      </w:r>
      <w:r>
        <w:rPr>
          <w:lang w:val="sr-Cyrl-CS"/>
        </w:rPr>
        <w:t xml:space="preserve">Никола Срзентић, </w:t>
      </w:r>
      <w:r w:rsidRPr="009B04B5">
        <w:rPr>
          <w:b/>
          <w:lang w:val="sr-Cyrl-CS"/>
        </w:rPr>
        <w:t>Проблеми привредних деликата</w:t>
      </w:r>
      <w:r>
        <w:rPr>
          <w:lang w:val="sr-Cyrl-CS"/>
        </w:rPr>
        <w:t>, Архив за правне и друштвене науке, бр. 3-4, Београд, 1954, стр. 4.</w:t>
      </w:r>
    </w:p>
  </w:footnote>
  <w:footnote w:id="650">
    <w:p w:rsidR="00767127" w:rsidRPr="00316A3D" w:rsidRDefault="00767127">
      <w:pPr>
        <w:pStyle w:val="FootnoteText"/>
        <w:rPr>
          <w:lang w:val="sr-Cyrl-CS"/>
        </w:rPr>
      </w:pPr>
      <w:r>
        <w:rPr>
          <w:rStyle w:val="FootnoteReference"/>
        </w:rPr>
        <w:footnoteRef/>
      </w:r>
      <w:r>
        <w:t xml:space="preserve"> </w:t>
      </w:r>
      <w:r>
        <w:rPr>
          <w:lang w:val="sr-Cyrl-CS"/>
        </w:rPr>
        <w:t xml:space="preserve">Драгољуб Димитријевић, </w:t>
      </w:r>
      <w:r w:rsidRPr="009B04B5">
        <w:rPr>
          <w:b/>
          <w:lang w:val="sr-Cyrl-CS"/>
        </w:rPr>
        <w:t>Привредно кривично дело</w:t>
      </w:r>
      <w:r>
        <w:rPr>
          <w:lang w:val="sr-Cyrl-CS"/>
        </w:rPr>
        <w:t>, Архив за правне и друштвене науке, бр. 3-4, Београд, 1954, стр. 25.</w:t>
      </w:r>
    </w:p>
  </w:footnote>
  <w:footnote w:id="651">
    <w:p w:rsidR="00767127" w:rsidRPr="006106C4" w:rsidRDefault="00767127" w:rsidP="002E031F">
      <w:pPr>
        <w:pStyle w:val="FootnoteText"/>
        <w:jc w:val="both"/>
        <w:rPr>
          <w:lang w:val="sr-Cyrl-CS"/>
        </w:rPr>
      </w:pPr>
      <w:r>
        <w:rPr>
          <w:rStyle w:val="FootnoteReference"/>
        </w:rPr>
        <w:footnoteRef/>
      </w:r>
      <w:r>
        <w:t xml:space="preserve"> </w:t>
      </w:r>
      <w:r>
        <w:rPr>
          <w:lang w:val="sr-Cyrl-CS"/>
        </w:rPr>
        <w:t xml:space="preserve">Живојин Алексић и Миодраг Гашић, </w:t>
      </w:r>
      <w:r w:rsidRPr="009B04B5">
        <w:rPr>
          <w:b/>
          <w:lang w:val="sr-Cyrl-CS"/>
        </w:rPr>
        <w:t>Улога финансијске полиције у откривању криминалитета и других злоупотреба</w:t>
      </w:r>
      <w:r>
        <w:rPr>
          <w:lang w:val="sr-Cyrl-CS"/>
        </w:rPr>
        <w:t>, у зборнику: Актуелни проблеми сузбијања криминалитета, Институт за социолошка и криминолошка истраживања, Београд, 1993, стр. 133.</w:t>
      </w:r>
    </w:p>
  </w:footnote>
  <w:footnote w:id="652">
    <w:p w:rsidR="00767127" w:rsidRPr="001A2A98" w:rsidRDefault="00767127" w:rsidP="002E031F">
      <w:pPr>
        <w:pStyle w:val="FootnoteText"/>
        <w:jc w:val="both"/>
        <w:rPr>
          <w:lang w:val="sr-Cyrl-CS"/>
        </w:rPr>
      </w:pPr>
      <w:r>
        <w:rPr>
          <w:rStyle w:val="FootnoteReference"/>
        </w:rPr>
        <w:footnoteRef/>
      </w:r>
      <w:r>
        <w:t xml:space="preserve"> </w:t>
      </w:r>
      <w:r>
        <w:rPr>
          <w:lang w:val="sr-Cyrl-CS"/>
        </w:rPr>
        <w:t xml:space="preserve">Станко Пихлер, </w:t>
      </w:r>
      <w:r w:rsidRPr="009B04B5">
        <w:rPr>
          <w:b/>
          <w:lang w:val="sr-Cyrl-CS"/>
        </w:rPr>
        <w:t xml:space="preserve">Ка савременој концепцији </w:t>
      </w:r>
      <w:r>
        <w:rPr>
          <w:b/>
          <w:lang w:val="sr-Cyrl-CS"/>
        </w:rPr>
        <w:t>о економском криминалитету</w:t>
      </w:r>
      <w:r>
        <w:rPr>
          <w:lang w:val="sr-Cyrl-CS"/>
        </w:rPr>
        <w:t>, у зборнику: Актуелни проблеми сузбијања криминалитета, Институт за криминолошка и социолошка истраживања, Београд, 1993, стр. 35-38.</w:t>
      </w:r>
    </w:p>
  </w:footnote>
  <w:footnote w:id="653">
    <w:p w:rsidR="00767127" w:rsidRPr="000330B8" w:rsidRDefault="00767127" w:rsidP="0050085D">
      <w:pPr>
        <w:pStyle w:val="FootnoteText"/>
        <w:rPr>
          <w:lang w:val="sr-Cyrl-CS"/>
        </w:rPr>
      </w:pPr>
      <w:r>
        <w:rPr>
          <w:rStyle w:val="FootnoteReference"/>
        </w:rPr>
        <w:footnoteRef/>
      </w:r>
      <w:r>
        <w:t xml:space="preserve"> </w:t>
      </w:r>
      <w:r>
        <w:rPr>
          <w:lang w:val="sr-Cyrl-CS"/>
        </w:rPr>
        <w:t xml:space="preserve">Милан Шкулић, </w:t>
      </w:r>
      <w:r>
        <w:rPr>
          <w:i/>
          <w:lang w:val="sr-Cyrl-CS"/>
        </w:rPr>
        <w:t>нав. дело</w:t>
      </w:r>
      <w:r w:rsidRPr="002E031F">
        <w:rPr>
          <w:i/>
          <w:lang w:val="sr-Cyrl-CS"/>
        </w:rPr>
        <w:t>,</w:t>
      </w:r>
      <w:r>
        <w:rPr>
          <w:lang w:val="sr-Cyrl-CS"/>
        </w:rPr>
        <w:t xml:space="preserve"> стр. 64.</w:t>
      </w:r>
    </w:p>
  </w:footnote>
  <w:footnote w:id="654">
    <w:p w:rsidR="00767127" w:rsidRPr="001A2A98" w:rsidRDefault="00767127" w:rsidP="002E031F">
      <w:pPr>
        <w:pStyle w:val="FootnoteText"/>
        <w:jc w:val="both"/>
        <w:rPr>
          <w:lang w:val="sr-Cyrl-CS"/>
        </w:rPr>
      </w:pPr>
      <w:r>
        <w:rPr>
          <w:rStyle w:val="FootnoteReference"/>
        </w:rPr>
        <w:footnoteRef/>
      </w:r>
      <w:r>
        <w:t xml:space="preserve"> </w:t>
      </w:r>
      <w:r>
        <w:rPr>
          <w:lang w:val="sr-Cyrl-CS"/>
        </w:rPr>
        <w:t xml:space="preserve">Божидар Бановић, </w:t>
      </w:r>
      <w:r w:rsidRPr="009B04B5">
        <w:rPr>
          <w:b/>
          <w:lang w:val="sr-Cyrl-CS"/>
        </w:rPr>
        <w:t>Појам, обим, структура и друге карактеристик</w:t>
      </w:r>
      <w:r>
        <w:rPr>
          <w:b/>
          <w:lang w:val="sr-Cyrl-CS"/>
        </w:rPr>
        <w:t>е</w:t>
      </w:r>
      <w:r w:rsidRPr="009B04B5">
        <w:rPr>
          <w:b/>
          <w:lang w:val="sr-Cyrl-CS"/>
        </w:rPr>
        <w:t xml:space="preserve"> привредног криминалитета у СР Југославији</w:t>
      </w:r>
      <w:r>
        <w:rPr>
          <w:lang w:val="sr-Cyrl-CS"/>
        </w:rPr>
        <w:t>, у зборнику: Привредни криминал и корупција, Институт за криминолошка и социолошка истраживања, Београд, 2001, стр. 14-15.</w:t>
      </w:r>
    </w:p>
  </w:footnote>
  <w:footnote w:id="655">
    <w:p w:rsidR="00767127" w:rsidRPr="00BB35AC" w:rsidRDefault="00767127" w:rsidP="0083289C">
      <w:pPr>
        <w:pStyle w:val="FootnoteText"/>
        <w:rPr>
          <w:lang w:val="sr-Cyrl-CS"/>
        </w:rPr>
      </w:pPr>
      <w:r>
        <w:rPr>
          <w:rStyle w:val="FootnoteReference"/>
        </w:rPr>
        <w:footnoteRef/>
      </w:r>
      <w:r>
        <w:t xml:space="preserve"> </w:t>
      </w:r>
      <w:r>
        <w:rPr>
          <w:lang w:val="sr-Cyrl-CS"/>
        </w:rPr>
        <w:t xml:space="preserve">Милан Шкулић, </w:t>
      </w:r>
      <w:r>
        <w:rPr>
          <w:i/>
          <w:lang w:val="sr-Cyrl-CS"/>
        </w:rPr>
        <w:t>н</w:t>
      </w:r>
      <w:r w:rsidRPr="00BB35AC">
        <w:rPr>
          <w:i/>
          <w:lang w:val="sr-Cyrl-CS"/>
        </w:rPr>
        <w:t>ав. дело</w:t>
      </w:r>
      <w:r>
        <w:rPr>
          <w:lang w:val="sr-Cyrl-CS"/>
        </w:rPr>
        <w:t>, стр. 64-65.</w:t>
      </w:r>
    </w:p>
  </w:footnote>
  <w:footnote w:id="656">
    <w:p w:rsidR="00767127" w:rsidRPr="00E565A5" w:rsidRDefault="00767127" w:rsidP="00DA4FA9">
      <w:pPr>
        <w:pStyle w:val="FootnoteText"/>
        <w:jc w:val="both"/>
        <w:rPr>
          <w:lang w:val="sr-Cyrl-CS"/>
        </w:rPr>
      </w:pPr>
      <w:r>
        <w:rPr>
          <w:rStyle w:val="FootnoteReference"/>
        </w:rPr>
        <w:footnoteRef/>
      </w:r>
      <w:r>
        <w:t xml:space="preserve">Kristian Weber, </w:t>
      </w:r>
      <w:r w:rsidRPr="009B04B5">
        <w:rPr>
          <w:b/>
        </w:rPr>
        <w:t>Привредни криминал</w:t>
      </w:r>
      <w:r>
        <w:t>, Криминалистик, 4</w:t>
      </w:r>
      <w:r>
        <w:rPr>
          <w:lang w:val="sr-Cyrl-CS"/>
        </w:rPr>
        <w:t>/</w:t>
      </w:r>
      <w:r>
        <w:t>98</w:t>
      </w:r>
      <w:r>
        <w:rPr>
          <w:lang w:val="sr-Cyrl-CS"/>
        </w:rPr>
        <w:t xml:space="preserve">, стр. 350, (наведено према: Божидар Бановић, </w:t>
      </w:r>
      <w:r w:rsidRPr="009B04B5">
        <w:rPr>
          <w:b/>
          <w:lang w:val="sr-Cyrl-CS"/>
        </w:rPr>
        <w:t>Појам, обим, структура и друге карактеристик</w:t>
      </w:r>
      <w:r w:rsidRPr="009B04B5">
        <w:rPr>
          <w:b/>
        </w:rPr>
        <w:t>e</w:t>
      </w:r>
      <w:r w:rsidRPr="009B04B5">
        <w:rPr>
          <w:b/>
          <w:lang w:val="sr-Cyrl-CS"/>
        </w:rPr>
        <w:t xml:space="preserve"> привредног криминалитета у СР Југославији</w:t>
      </w:r>
      <w:r>
        <w:rPr>
          <w:lang w:val="sr-Cyrl-CS"/>
        </w:rPr>
        <w:t>, у зборнику: Привредни криминал и корупција, Институт за криминолошка и социолошка истраживања, Београд, 2001, стр. 8</w:t>
      </w:r>
      <w:r>
        <w:t>-9</w:t>
      </w:r>
      <w:r>
        <w:rPr>
          <w:lang w:val="sr-Cyrl-CS"/>
        </w:rPr>
        <w:t>).</w:t>
      </w:r>
    </w:p>
  </w:footnote>
  <w:footnote w:id="657">
    <w:p w:rsidR="00767127" w:rsidRPr="00AA09FB" w:rsidRDefault="00767127" w:rsidP="00EC6D0C">
      <w:pPr>
        <w:pStyle w:val="FootnoteText"/>
        <w:jc w:val="both"/>
      </w:pPr>
      <w:r>
        <w:rPr>
          <w:rStyle w:val="FootnoteReference"/>
        </w:rPr>
        <w:footnoteRef/>
      </w:r>
      <w:r>
        <w:t xml:space="preserve"> J. F. Galliher, Criminology</w:t>
      </w:r>
      <w:r w:rsidRPr="00AA09FB">
        <w:rPr>
          <w:b/>
        </w:rPr>
        <w:t>, Human Rights, Criminal Law and Crime</w:t>
      </w:r>
      <w:r>
        <w:t>, Prentice Hall, Englewood Cliffs, New Jersey, 1989, p. 103.</w:t>
      </w:r>
    </w:p>
  </w:footnote>
  <w:footnote w:id="658">
    <w:p w:rsidR="00767127" w:rsidRPr="00B9123B" w:rsidRDefault="00767127" w:rsidP="00B9123B">
      <w:pPr>
        <w:pStyle w:val="FootnoteText"/>
        <w:jc w:val="both"/>
        <w:rPr>
          <w:lang w:val="sr-Cyrl-CS"/>
        </w:rPr>
      </w:pPr>
      <w:r>
        <w:rPr>
          <w:rStyle w:val="FootnoteReference"/>
        </w:rPr>
        <w:footnoteRef/>
      </w:r>
      <w:r>
        <w:t xml:space="preserve"> </w:t>
      </w:r>
      <w:r>
        <w:rPr>
          <w:lang w:val="sr-Cyrl-CS"/>
        </w:rPr>
        <w:t xml:space="preserve">Божидар Бановић, </w:t>
      </w:r>
      <w:r w:rsidRPr="00B9123B">
        <w:rPr>
          <w:b/>
          <w:lang w:val="sr-Cyrl-CS"/>
        </w:rPr>
        <w:t>Обезбеђење доказа у криминалистичкој обради кривичних дела привредног криминалитета,</w:t>
      </w:r>
      <w:r>
        <w:rPr>
          <w:lang w:val="sr-Cyrl-CS"/>
        </w:rPr>
        <w:t xml:space="preserve"> Виша школа унутрашњих послова, Београд, 2002, стр. 13.</w:t>
      </w:r>
    </w:p>
  </w:footnote>
  <w:footnote w:id="659">
    <w:p w:rsidR="00767127" w:rsidRPr="0019589C" w:rsidRDefault="00767127" w:rsidP="00EC6D0C">
      <w:pPr>
        <w:pStyle w:val="FootnoteText"/>
        <w:rPr>
          <w:lang w:val="sr-Cyrl-CS"/>
        </w:rPr>
      </w:pPr>
      <w:r>
        <w:rPr>
          <w:rStyle w:val="FootnoteReference"/>
        </w:rPr>
        <w:footnoteRef/>
      </w:r>
      <w:r>
        <w:t xml:space="preserve"> </w:t>
      </w:r>
      <w:r>
        <w:rPr>
          <w:lang w:val="sr-Cyrl-CS"/>
        </w:rPr>
        <w:t xml:space="preserve">Ђорђе Игњатовић, </w:t>
      </w:r>
      <w:r w:rsidRPr="003E2F62">
        <w:rPr>
          <w:b/>
          <w:lang w:val="sr-Cyrl-CS"/>
        </w:rPr>
        <w:t>Криминологија</w:t>
      </w:r>
      <w:r>
        <w:rPr>
          <w:lang w:val="sr-Cyrl-CS"/>
        </w:rPr>
        <w:t>, Досије студио, Београд, 2011</w:t>
      </w:r>
      <w:r w:rsidRPr="0019589C">
        <w:rPr>
          <w:i/>
          <w:lang w:val="sr-Cyrl-CS"/>
        </w:rPr>
        <w:t>,</w:t>
      </w:r>
      <w:r>
        <w:rPr>
          <w:lang w:val="sr-Cyrl-CS"/>
        </w:rPr>
        <w:t xml:space="preserve"> стр. </w:t>
      </w:r>
      <w:r>
        <w:t>11</w:t>
      </w:r>
      <w:r>
        <w:rPr>
          <w:lang w:val="sr-Cyrl-CS"/>
        </w:rPr>
        <w:t>1.</w:t>
      </w:r>
    </w:p>
  </w:footnote>
  <w:footnote w:id="660">
    <w:p w:rsidR="00767127" w:rsidRPr="004A10D5" w:rsidRDefault="00767127" w:rsidP="002E031F">
      <w:pPr>
        <w:pStyle w:val="FootnoteText"/>
        <w:jc w:val="both"/>
        <w:rPr>
          <w:lang w:val="sr-Cyrl-CS"/>
        </w:rPr>
      </w:pPr>
      <w:r>
        <w:rPr>
          <w:rStyle w:val="FootnoteReference"/>
        </w:rPr>
        <w:footnoteRef/>
      </w:r>
      <w:r>
        <w:rPr>
          <w:lang w:val="sr-Cyrl-CS"/>
        </w:rPr>
        <w:t xml:space="preserve">Милан Милутиновић, </w:t>
      </w:r>
      <w:r w:rsidRPr="001E3D3B">
        <w:rPr>
          <w:b/>
          <w:lang w:val="sr-Cyrl-CS"/>
        </w:rPr>
        <w:t>Криминалитет као друштвена појава</w:t>
      </w:r>
      <w:r>
        <w:rPr>
          <w:lang w:val="sr-Cyrl-CS"/>
        </w:rPr>
        <w:t>, Савремена админстрација, Београд, 1957, стр. 147.</w:t>
      </w:r>
    </w:p>
  </w:footnote>
  <w:footnote w:id="661">
    <w:p w:rsidR="00767127" w:rsidRPr="008C6124" w:rsidRDefault="00767127" w:rsidP="001268D9">
      <w:pPr>
        <w:pStyle w:val="FootnoteText"/>
        <w:rPr>
          <w:lang w:val="sr-Cyrl-CS"/>
        </w:rPr>
      </w:pPr>
      <w:r>
        <w:rPr>
          <w:rStyle w:val="FootnoteReference"/>
        </w:rPr>
        <w:footnoteRef/>
      </w:r>
      <w:r>
        <w:rPr>
          <w:lang w:val="sr-Cyrl-CS"/>
        </w:rPr>
        <w:t xml:space="preserve">Драган Јовашевић, </w:t>
      </w:r>
      <w:r w:rsidRPr="00E83410">
        <w:rPr>
          <w:b/>
          <w:lang w:val="sr-Cyrl-CS"/>
        </w:rPr>
        <w:t>Европска унија у сузбијању корупције</w:t>
      </w:r>
      <w:r>
        <w:rPr>
          <w:lang w:val="sr-Cyrl-CS"/>
        </w:rPr>
        <w:t xml:space="preserve">, </w:t>
      </w:r>
      <w:r w:rsidRPr="00E83410">
        <w:rPr>
          <w:i/>
          <w:lang w:val="sr-Cyrl-CS"/>
        </w:rPr>
        <w:t>Европско законодавство</w:t>
      </w:r>
      <w:r>
        <w:rPr>
          <w:lang w:val="sr-Cyrl-CS"/>
        </w:rPr>
        <w:t>, бр. 27/28, 2009, стр. 21.</w:t>
      </w:r>
    </w:p>
  </w:footnote>
  <w:footnote w:id="662">
    <w:p w:rsidR="00767127" w:rsidRPr="00D26E0E" w:rsidRDefault="00767127" w:rsidP="002E031F">
      <w:pPr>
        <w:pStyle w:val="FootnoteText"/>
        <w:jc w:val="both"/>
        <w:rPr>
          <w:lang w:val="sr-Cyrl-CS"/>
        </w:rPr>
      </w:pPr>
      <w:r>
        <w:rPr>
          <w:rStyle w:val="FootnoteReference"/>
        </w:rPr>
        <w:footnoteRef/>
      </w:r>
      <w:r>
        <w:t xml:space="preserve"> </w:t>
      </w:r>
      <w:r>
        <w:rPr>
          <w:lang w:val="sr-Cyrl-CS"/>
        </w:rPr>
        <w:t xml:space="preserve">Драган Петровић, </w:t>
      </w:r>
      <w:r w:rsidRPr="00A1615E">
        <w:rPr>
          <w:b/>
          <w:lang w:val="sr-Cyrl-CS"/>
        </w:rPr>
        <w:t>Морал у кривичном праву, посебно у питањима у вези са корупцијом</w:t>
      </w:r>
      <w:r>
        <w:rPr>
          <w:lang w:val="sr-Cyrl-CS"/>
        </w:rPr>
        <w:t>, Безбедност, бр. 5, 2003, стр. 709-712.</w:t>
      </w:r>
    </w:p>
  </w:footnote>
  <w:footnote w:id="663">
    <w:p w:rsidR="00767127" w:rsidRPr="00515287" w:rsidRDefault="00767127" w:rsidP="002E031F">
      <w:pPr>
        <w:pStyle w:val="FootnoteText"/>
        <w:jc w:val="both"/>
        <w:rPr>
          <w:lang w:val="sr-Cyrl-CS"/>
        </w:rPr>
      </w:pPr>
      <w:r>
        <w:rPr>
          <w:rStyle w:val="FootnoteReference"/>
        </w:rPr>
        <w:footnoteRef/>
      </w:r>
      <w:r>
        <w:t xml:space="preserve"> </w:t>
      </w:r>
      <w:r>
        <w:rPr>
          <w:lang w:val="sr-Cyrl-CS"/>
        </w:rPr>
        <w:t xml:space="preserve">Жељко Нинчић, </w:t>
      </w:r>
      <w:r w:rsidRPr="00515287">
        <w:rPr>
          <w:b/>
          <w:lang w:val="sr-Cyrl-CS"/>
        </w:rPr>
        <w:t>Србија и корупција</w:t>
      </w:r>
      <w:r>
        <w:rPr>
          <w:lang w:val="sr-Cyrl-CS"/>
        </w:rPr>
        <w:t>, Задужбина Андрејевић, 2010, стр. 15.</w:t>
      </w:r>
    </w:p>
  </w:footnote>
  <w:footnote w:id="664">
    <w:p w:rsidR="00767127" w:rsidRPr="006615F3" w:rsidRDefault="00767127" w:rsidP="00487187">
      <w:pPr>
        <w:pStyle w:val="FootnoteText"/>
        <w:jc w:val="both"/>
        <w:rPr>
          <w:lang w:val="sr-Cyrl-CS"/>
        </w:rPr>
      </w:pPr>
      <w:r>
        <w:rPr>
          <w:rStyle w:val="FootnoteReference"/>
        </w:rPr>
        <w:footnoteRef/>
      </w:r>
      <w:r>
        <w:t xml:space="preserve"> </w:t>
      </w:r>
      <w:r>
        <w:rPr>
          <w:lang w:val="sr-Cyrl-CS"/>
        </w:rPr>
        <w:t xml:space="preserve">Зоран Стојиљковић, </w:t>
      </w:r>
      <w:r w:rsidRPr="006615F3">
        <w:rPr>
          <w:b/>
          <w:lang w:val="sr-Cyrl-CS"/>
        </w:rPr>
        <w:t>Држава и корупција</w:t>
      </w:r>
      <w:r>
        <w:rPr>
          <w:lang w:val="sr-Cyrl-CS"/>
        </w:rPr>
        <w:t>, Чигоја штампа, Београд, 2013, стр. 225.</w:t>
      </w:r>
    </w:p>
  </w:footnote>
  <w:footnote w:id="665">
    <w:p w:rsidR="00767127" w:rsidRPr="00F70CAC" w:rsidRDefault="00767127">
      <w:pPr>
        <w:pStyle w:val="FootnoteText"/>
        <w:rPr>
          <w:lang w:val="sr-Cyrl-CS"/>
        </w:rPr>
      </w:pPr>
      <w:r>
        <w:rPr>
          <w:rStyle w:val="FootnoteReference"/>
        </w:rPr>
        <w:footnoteRef/>
      </w:r>
      <w:r>
        <w:t xml:space="preserve"> </w:t>
      </w:r>
      <w:r>
        <w:rPr>
          <w:i/>
          <w:lang w:val="sr-Cyrl-CS"/>
        </w:rPr>
        <w:t>Нав. дело</w:t>
      </w:r>
      <w:r>
        <w:t xml:space="preserve">, </w:t>
      </w:r>
      <w:r>
        <w:rPr>
          <w:lang w:val="sr-Cyrl-CS"/>
        </w:rPr>
        <w:t>стр. 23.</w:t>
      </w:r>
    </w:p>
  </w:footnote>
  <w:footnote w:id="666">
    <w:p w:rsidR="00767127" w:rsidRPr="00E90D01" w:rsidRDefault="00767127">
      <w:pPr>
        <w:pStyle w:val="FootnoteText"/>
      </w:pPr>
      <w:r>
        <w:rPr>
          <w:rStyle w:val="FootnoteReference"/>
        </w:rPr>
        <w:footnoteRef/>
      </w:r>
      <w:r>
        <w:t xml:space="preserve"> </w:t>
      </w:r>
      <w:r>
        <w:rPr>
          <w:lang w:val="sr-Cyrl-CS"/>
        </w:rPr>
        <w:t xml:space="preserve">Жељко Нинчић, </w:t>
      </w:r>
      <w:r>
        <w:rPr>
          <w:i/>
          <w:lang w:val="sr-Cyrl-CS"/>
        </w:rPr>
        <w:t>нав. дело</w:t>
      </w:r>
      <w:r w:rsidRPr="00E90D01">
        <w:rPr>
          <w:i/>
          <w:lang w:val="sr-Cyrl-CS"/>
        </w:rPr>
        <w:t>,</w:t>
      </w:r>
      <w:r>
        <w:rPr>
          <w:lang w:val="sr-Cyrl-CS"/>
        </w:rPr>
        <w:t xml:space="preserve"> стр. </w:t>
      </w:r>
      <w:r>
        <w:t>102</w:t>
      </w:r>
      <w:r>
        <w:rPr>
          <w:lang w:val="sr-Cyrl-CS"/>
        </w:rPr>
        <w:t>.</w:t>
      </w:r>
    </w:p>
  </w:footnote>
  <w:footnote w:id="667">
    <w:p w:rsidR="00767127" w:rsidRPr="00063A33" w:rsidRDefault="00767127">
      <w:pPr>
        <w:pStyle w:val="FootnoteText"/>
        <w:rPr>
          <w:lang w:val="sr-Cyrl-CS"/>
        </w:rPr>
      </w:pPr>
      <w:r>
        <w:rPr>
          <w:rStyle w:val="FootnoteReference"/>
        </w:rPr>
        <w:footnoteRef/>
      </w:r>
      <w:r>
        <w:t xml:space="preserve"> </w:t>
      </w:r>
      <w:r>
        <w:rPr>
          <w:lang w:val="sr-Cyrl-CS"/>
        </w:rPr>
        <w:t xml:space="preserve">Небојша Мајсторовић, </w:t>
      </w:r>
      <w:r w:rsidRPr="00AC3871">
        <w:rPr>
          <w:b/>
          <w:lang w:val="sr-Cyrl-CS"/>
        </w:rPr>
        <w:t>Корупција: узроци, експанзија и интервенција</w:t>
      </w:r>
      <w:r>
        <w:rPr>
          <w:lang w:val="sr-Cyrl-CS"/>
        </w:rPr>
        <w:t>, Академска књига, Нови Сад, 2012, стр. 7.</w:t>
      </w:r>
    </w:p>
  </w:footnote>
  <w:footnote w:id="668">
    <w:p w:rsidR="00767127" w:rsidRPr="007B50C4" w:rsidRDefault="00767127" w:rsidP="00555396">
      <w:pPr>
        <w:pStyle w:val="FootnoteText"/>
        <w:jc w:val="both"/>
        <w:rPr>
          <w:lang w:val="sr-Cyrl-CS"/>
        </w:rPr>
      </w:pPr>
      <w:r>
        <w:rPr>
          <w:rStyle w:val="FootnoteReference"/>
        </w:rPr>
        <w:footnoteRef/>
      </w:r>
      <w:r>
        <w:t xml:space="preserve"> </w:t>
      </w:r>
      <w:r w:rsidRPr="00555396">
        <w:rPr>
          <w:lang w:val="sr-Cyrl-CS"/>
        </w:rPr>
        <w:t>Наташа Мрвић Петровић</w:t>
      </w:r>
      <w:r>
        <w:rPr>
          <w:b/>
          <w:lang w:val="sr-Cyrl-CS"/>
        </w:rPr>
        <w:t xml:space="preserve">, </w:t>
      </w:r>
      <w:r>
        <w:rPr>
          <w:lang w:val="sr-Cyrl-CS"/>
        </w:rPr>
        <w:t xml:space="preserve"> </w:t>
      </w:r>
      <w:r w:rsidRPr="00555396">
        <w:rPr>
          <w:b/>
          <w:lang w:val="sr-Cyrl-CS"/>
        </w:rPr>
        <w:t>Морална компонента спречавања корупције</w:t>
      </w:r>
      <w:r>
        <w:rPr>
          <w:lang w:val="sr-Cyrl-CS"/>
        </w:rPr>
        <w:t xml:space="preserve">, </w:t>
      </w:r>
      <w:r w:rsidRPr="00555396">
        <w:rPr>
          <w:i/>
          <w:lang w:val="sr-Cyrl-CS"/>
        </w:rPr>
        <w:t>Борба против корупције: искуства и поређења</w:t>
      </w:r>
      <w:r>
        <w:rPr>
          <w:lang w:val="sr-Cyrl-CS"/>
        </w:rPr>
        <w:t>, 2013, стр. 22.</w:t>
      </w:r>
    </w:p>
  </w:footnote>
  <w:footnote w:id="669">
    <w:p w:rsidR="00767127" w:rsidRPr="00F31230" w:rsidRDefault="00767127">
      <w:pPr>
        <w:pStyle w:val="FootnoteText"/>
        <w:rPr>
          <w:lang w:val="sr-Cyrl-CS"/>
        </w:rPr>
      </w:pPr>
      <w:r>
        <w:rPr>
          <w:rStyle w:val="FootnoteReference"/>
        </w:rPr>
        <w:footnoteRef/>
      </w:r>
      <w:r>
        <w:t xml:space="preserve"> </w:t>
      </w:r>
      <w:r>
        <w:rPr>
          <w:lang w:val="sr-Cyrl-CS"/>
        </w:rPr>
        <w:t xml:space="preserve">Жељко Нинчић, </w:t>
      </w:r>
      <w:r w:rsidRPr="00F31230">
        <w:rPr>
          <w:i/>
          <w:lang w:val="sr-Cyrl-CS"/>
        </w:rPr>
        <w:t>нав. дело</w:t>
      </w:r>
      <w:r>
        <w:rPr>
          <w:lang w:val="sr-Cyrl-CS"/>
        </w:rPr>
        <w:t>, стр. 18.</w:t>
      </w:r>
    </w:p>
  </w:footnote>
  <w:footnote w:id="670">
    <w:p w:rsidR="00767127" w:rsidRPr="00F31230" w:rsidRDefault="00767127">
      <w:pPr>
        <w:pStyle w:val="FootnoteText"/>
        <w:rPr>
          <w:lang w:val="sr-Cyrl-CS"/>
        </w:rPr>
      </w:pPr>
      <w:r>
        <w:rPr>
          <w:rStyle w:val="FootnoteReference"/>
        </w:rPr>
        <w:footnoteRef/>
      </w:r>
      <w:r>
        <w:t xml:space="preserve"> </w:t>
      </w:r>
      <w:r>
        <w:rPr>
          <w:lang w:val="sr-Cyrl-CS"/>
        </w:rPr>
        <w:t xml:space="preserve">Небојша Мајстровић, </w:t>
      </w:r>
      <w:r w:rsidRPr="00F31230">
        <w:rPr>
          <w:i/>
          <w:lang w:val="sr-Cyrl-CS"/>
        </w:rPr>
        <w:t>нав. дело</w:t>
      </w:r>
      <w:r>
        <w:rPr>
          <w:lang w:val="sr-Cyrl-CS"/>
        </w:rPr>
        <w:t>, стр. 25.</w:t>
      </w:r>
    </w:p>
  </w:footnote>
  <w:footnote w:id="671">
    <w:p w:rsidR="00767127" w:rsidRPr="008C08E0" w:rsidRDefault="00767127" w:rsidP="00F31230">
      <w:pPr>
        <w:pStyle w:val="FootnoteText"/>
        <w:rPr>
          <w:lang w:val="sr-Cyrl-CS"/>
        </w:rPr>
      </w:pPr>
      <w:r>
        <w:rPr>
          <w:rStyle w:val="FootnoteReference"/>
        </w:rPr>
        <w:footnoteRef/>
      </w:r>
      <w:r>
        <w:t xml:space="preserve"> Huberts L., et al., A study of the impact of three leadership styles on integrity violations committed by police officers, </w:t>
      </w:r>
      <w:r w:rsidRPr="00D72525">
        <w:rPr>
          <w:b/>
        </w:rPr>
        <w:t>Policing: An Internationa Journal of Police Strategies and Management</w:t>
      </w:r>
      <w:r>
        <w:t>, 4/2007, p. 589.</w:t>
      </w:r>
      <w:r>
        <w:rPr>
          <w:lang w:val="sr-Cyrl-CS"/>
        </w:rPr>
        <w:t xml:space="preserve"> (Извор: https://www.ncjrs.go).</w:t>
      </w:r>
    </w:p>
  </w:footnote>
  <w:footnote w:id="672">
    <w:p w:rsidR="00767127" w:rsidRPr="00250E08" w:rsidRDefault="00767127" w:rsidP="00250E08">
      <w:pPr>
        <w:pStyle w:val="FootnoteText"/>
        <w:jc w:val="both"/>
        <w:rPr>
          <w:lang w:val="sr-Cyrl-CS"/>
        </w:rPr>
      </w:pPr>
      <w:r>
        <w:rPr>
          <w:rStyle w:val="FootnoteReference"/>
        </w:rPr>
        <w:footnoteRef/>
      </w:r>
      <w:r>
        <w:t xml:space="preserve"> </w:t>
      </w:r>
      <w:r>
        <w:rPr>
          <w:lang w:val="sr-Cyrl-CS"/>
        </w:rPr>
        <w:t xml:space="preserve">Станко Пихлер, </w:t>
      </w:r>
      <w:r w:rsidRPr="00250E08">
        <w:rPr>
          <w:b/>
          <w:lang w:val="sr-Cyrl-CS"/>
        </w:rPr>
        <w:t>Слобода медија као фактор борбе потив корупције</w:t>
      </w:r>
      <w:r>
        <w:rPr>
          <w:lang w:val="sr-Cyrl-CS"/>
        </w:rPr>
        <w:t xml:space="preserve">, у зборнику: Привредни криминал и корупција, </w:t>
      </w:r>
      <w:r>
        <w:t xml:space="preserve">XIII </w:t>
      </w:r>
      <w:r>
        <w:rPr>
          <w:lang w:val="sr-Cyrl-CS"/>
        </w:rPr>
        <w:t>семинар права, Институт за криминолошка и социолошка истраживања, Београд, 2001, стр. 196.</w:t>
      </w:r>
    </w:p>
  </w:footnote>
  <w:footnote w:id="673">
    <w:p w:rsidR="00767127" w:rsidRPr="004A05B1" w:rsidRDefault="00767127" w:rsidP="007D255C">
      <w:pPr>
        <w:pStyle w:val="FootnoteText"/>
      </w:pPr>
      <w:r>
        <w:rPr>
          <w:rStyle w:val="FootnoteReference"/>
        </w:rPr>
        <w:footnoteRef/>
      </w:r>
      <w:r>
        <w:t xml:space="preserve"> </w:t>
      </w:r>
      <w:r>
        <w:rPr>
          <w:lang w:val="sr-Cyrl-CS"/>
        </w:rPr>
        <w:t>Ђорђе Игњатовић</w:t>
      </w:r>
      <w:r w:rsidRPr="004A05B1">
        <w:rPr>
          <w:i/>
          <w:lang w:val="sr-Cyrl-CS"/>
        </w:rPr>
        <w:t xml:space="preserve">, </w:t>
      </w:r>
      <w:r>
        <w:rPr>
          <w:i/>
          <w:lang w:val="sr-Cyrl-CS"/>
        </w:rPr>
        <w:t>нав. дело,</w:t>
      </w:r>
      <w:r w:rsidRPr="004A05B1">
        <w:rPr>
          <w:lang w:val="sr-Cyrl-CS"/>
        </w:rPr>
        <w:t xml:space="preserve"> стр</w:t>
      </w:r>
      <w:r>
        <w:rPr>
          <w:lang w:val="sr-Cyrl-CS"/>
        </w:rPr>
        <w:t xml:space="preserve">. </w:t>
      </w:r>
      <w:r>
        <w:t>112-113.</w:t>
      </w:r>
    </w:p>
  </w:footnote>
  <w:footnote w:id="674">
    <w:p w:rsidR="00767127" w:rsidRPr="004414A2" w:rsidRDefault="00767127" w:rsidP="00691E4C">
      <w:pPr>
        <w:pStyle w:val="FootnoteText"/>
        <w:jc w:val="both"/>
        <w:rPr>
          <w:lang w:val="sr-Cyrl-CS"/>
        </w:rPr>
      </w:pPr>
      <w:r>
        <w:rPr>
          <w:rStyle w:val="FootnoteReference"/>
        </w:rPr>
        <w:footnoteRef/>
      </w:r>
      <w:r>
        <w:t xml:space="preserve"> </w:t>
      </w:r>
      <w:r>
        <w:rPr>
          <w:lang w:val="sr-Cyrl-CS"/>
        </w:rPr>
        <w:t>Чл. 8. Конвенције против транснационалног рганизованог криминала и децемра 2000. године (</w:t>
      </w:r>
      <w:r w:rsidRPr="004414A2">
        <w:t>„Службени лист СРЈ – Међународни уговори”, број 6/2001</w:t>
      </w:r>
      <w:r>
        <w:rPr>
          <w:lang w:val="sr-Cyrl-CS"/>
        </w:rPr>
        <w:t xml:space="preserve">), </w:t>
      </w:r>
      <w:r w:rsidRPr="00CB1B23">
        <w:rPr>
          <w:lang w:val="sr-Cyrl-CS"/>
        </w:rPr>
        <w:t xml:space="preserve">Д. Деренчиновић, Коментар Конвенције УН против корупције, </w:t>
      </w:r>
      <w:r>
        <w:rPr>
          <w:lang w:val="sr-Cyrl-CS"/>
        </w:rPr>
        <w:t xml:space="preserve">Правни факултет, </w:t>
      </w:r>
      <w:r w:rsidRPr="00CB1B23">
        <w:rPr>
          <w:lang w:val="sr-Cyrl-CS"/>
        </w:rPr>
        <w:t>Загреб, 2005.</w:t>
      </w:r>
    </w:p>
  </w:footnote>
  <w:footnote w:id="675">
    <w:p w:rsidR="00767127" w:rsidRPr="00363ABA" w:rsidRDefault="00767127" w:rsidP="00691E4C">
      <w:pPr>
        <w:pStyle w:val="FootnoteText"/>
        <w:rPr>
          <w:lang w:val="sr-Cyrl-CS"/>
        </w:rPr>
      </w:pPr>
      <w:r>
        <w:rPr>
          <w:rStyle w:val="FootnoteReference"/>
        </w:rPr>
        <w:footnoteRef/>
      </w:r>
      <w:r>
        <w:t xml:space="preserve"> </w:t>
      </w:r>
      <w:r>
        <w:rPr>
          <w:lang w:val="sr-Cyrl-CS"/>
        </w:rPr>
        <w:t xml:space="preserve">М. Бошковић, </w:t>
      </w:r>
      <w:r>
        <w:rPr>
          <w:i/>
          <w:lang w:val="sr-Cyrl-CS"/>
        </w:rPr>
        <w:t xml:space="preserve"> нав. дело,</w:t>
      </w:r>
      <w:r>
        <w:rPr>
          <w:lang w:val="sr-Cyrl-CS"/>
        </w:rPr>
        <w:t xml:space="preserve"> стр. 103.</w:t>
      </w:r>
    </w:p>
  </w:footnote>
  <w:footnote w:id="676">
    <w:p w:rsidR="00767127" w:rsidRPr="00363ABA" w:rsidRDefault="00767127" w:rsidP="00327A71">
      <w:pPr>
        <w:pStyle w:val="FootnoteText"/>
        <w:rPr>
          <w:lang w:val="sr-Cyrl-CS"/>
        </w:rPr>
      </w:pPr>
      <w:r>
        <w:rPr>
          <w:rStyle w:val="FootnoteReference"/>
        </w:rPr>
        <w:footnoteRef/>
      </w:r>
      <w:r>
        <w:t xml:space="preserve"> </w:t>
      </w:r>
      <w:r>
        <w:rPr>
          <w:lang w:val="sr-Cyrl-CS"/>
        </w:rPr>
        <w:t xml:space="preserve">Зоран Стојиљковић, </w:t>
      </w:r>
      <w:r>
        <w:rPr>
          <w:i/>
          <w:lang w:val="sr-Cyrl-CS"/>
        </w:rPr>
        <w:t>нав. дело</w:t>
      </w:r>
      <w:r w:rsidRPr="002E031F">
        <w:rPr>
          <w:i/>
          <w:lang w:val="sr-Cyrl-CS"/>
        </w:rPr>
        <w:t>,</w:t>
      </w:r>
      <w:r>
        <w:rPr>
          <w:lang w:val="sr-Cyrl-CS"/>
        </w:rPr>
        <w:t xml:space="preserve"> стр. 220.</w:t>
      </w:r>
    </w:p>
  </w:footnote>
  <w:footnote w:id="677">
    <w:p w:rsidR="00767127" w:rsidRPr="00AB25E9" w:rsidRDefault="00767127" w:rsidP="00691E4C">
      <w:pPr>
        <w:pStyle w:val="FootnoteText"/>
        <w:jc w:val="both"/>
        <w:rPr>
          <w:lang w:val="sr-Cyrl-CS"/>
        </w:rPr>
      </w:pPr>
      <w:r>
        <w:rPr>
          <w:rStyle w:val="FootnoteReference"/>
        </w:rPr>
        <w:footnoteRef/>
      </w:r>
      <w:r>
        <w:t xml:space="preserve"> </w:t>
      </w:r>
      <w:r>
        <w:rPr>
          <w:lang w:val="sr-Cyrl-CS"/>
        </w:rPr>
        <w:t xml:space="preserve">М. Јелачић и Љ. Стајић, </w:t>
      </w:r>
      <w:r w:rsidRPr="00AB25E9">
        <w:rPr>
          <w:b/>
          <w:lang w:val="sr-Cyrl-CS"/>
        </w:rPr>
        <w:t>Корупција као савремени друштвени проблем</w:t>
      </w:r>
      <w:r>
        <w:rPr>
          <w:lang w:val="sr-Cyrl-CS"/>
        </w:rPr>
        <w:t>, Организовани криминалитет и корупција, Зборник српског удружења за кривично право, Копаоник, 1996, стр. 124.</w:t>
      </w:r>
    </w:p>
  </w:footnote>
  <w:footnote w:id="678">
    <w:p w:rsidR="00767127" w:rsidRPr="00AB25E9" w:rsidRDefault="00767127" w:rsidP="00691E4C">
      <w:pPr>
        <w:pStyle w:val="FootnoteText"/>
        <w:jc w:val="both"/>
        <w:rPr>
          <w:lang w:val="sr-Cyrl-CS"/>
        </w:rPr>
      </w:pPr>
      <w:r>
        <w:rPr>
          <w:rStyle w:val="FootnoteReference"/>
        </w:rPr>
        <w:footnoteRef/>
      </w:r>
      <w:r>
        <w:t xml:space="preserve"> </w:t>
      </w:r>
      <w:r>
        <w:rPr>
          <w:lang w:val="sr-Cyrl-CS"/>
        </w:rPr>
        <w:t xml:space="preserve">Миленко Јелачић, </w:t>
      </w:r>
      <w:r w:rsidRPr="008910EC">
        <w:rPr>
          <w:b/>
          <w:lang w:val="sr-Cyrl-CS"/>
        </w:rPr>
        <w:t>Корупција-друштвено-правни аспекти и методи супротстављања</w:t>
      </w:r>
      <w:r>
        <w:rPr>
          <w:lang w:val="sr-Cyrl-CS"/>
        </w:rPr>
        <w:t xml:space="preserve">, </w:t>
      </w:r>
      <w:r w:rsidRPr="002E031F">
        <w:rPr>
          <w:i/>
          <w:lang w:val="sr-Cyrl-CS"/>
        </w:rPr>
        <w:t>Безбедност</w:t>
      </w:r>
      <w:r>
        <w:rPr>
          <w:lang w:val="sr-Cyrl-CS"/>
        </w:rPr>
        <w:t>, бр. 3, 1996, стр. 405.</w:t>
      </w:r>
    </w:p>
  </w:footnote>
  <w:footnote w:id="679">
    <w:p w:rsidR="00767127" w:rsidRPr="008C08E0" w:rsidRDefault="00767127" w:rsidP="0065459F">
      <w:pPr>
        <w:pStyle w:val="FootnoteText"/>
        <w:rPr>
          <w:lang w:val="sr-Cyrl-CS"/>
        </w:rPr>
      </w:pPr>
      <w:r>
        <w:rPr>
          <w:rStyle w:val="FootnoteReference"/>
        </w:rPr>
        <w:footnoteRef/>
      </w:r>
      <w:r>
        <w:t xml:space="preserve"> T. M. Jones, </w:t>
      </w:r>
      <w:r w:rsidRPr="00AC3871">
        <w:rPr>
          <w:b/>
        </w:rPr>
        <w:t>Etical decision making by individuals in organizations: A issue-conti</w:t>
      </w:r>
      <w:r>
        <w:rPr>
          <w:b/>
        </w:rPr>
        <w:t>n</w:t>
      </w:r>
      <w:r w:rsidRPr="00AC3871">
        <w:rPr>
          <w:b/>
        </w:rPr>
        <w:t>gent model</w:t>
      </w:r>
      <w:r>
        <w:t xml:space="preserve">, </w:t>
      </w:r>
      <w:r w:rsidRPr="00AC3871">
        <w:rPr>
          <w:i/>
        </w:rPr>
        <w:t>Academy of Management Review</w:t>
      </w:r>
      <w:r>
        <w:t>, 16, 1991, p. 367.</w:t>
      </w:r>
      <w:r>
        <w:rPr>
          <w:lang w:val="sr-Cyrl-CS"/>
        </w:rPr>
        <w:t xml:space="preserve"> (извор: http://worldroom.tamu.edu).</w:t>
      </w:r>
    </w:p>
  </w:footnote>
  <w:footnote w:id="680">
    <w:p w:rsidR="00767127" w:rsidRPr="00A45C05" w:rsidRDefault="00767127" w:rsidP="0065459F">
      <w:pPr>
        <w:pStyle w:val="FootnoteText"/>
        <w:rPr>
          <w:lang w:val="sr-Cyrl-CS"/>
        </w:rPr>
      </w:pPr>
      <w:r>
        <w:rPr>
          <w:rStyle w:val="FootnoteReference"/>
        </w:rPr>
        <w:footnoteRef/>
      </w:r>
      <w:r>
        <w:t xml:space="preserve"> Вид.: </w:t>
      </w:r>
      <w:hyperlink r:id="rId61" w:history="1">
        <w:r>
          <w:rPr>
            <w:rStyle w:val="Hyperlink"/>
          </w:rPr>
          <w:t>http://conventions.coe.int/Treaty/en/Treaties/Html/173.htm</w:t>
        </w:r>
      </w:hyperlink>
      <w:r>
        <w:rPr>
          <w:lang w:val="sr-Cyrl-CS"/>
        </w:rPr>
        <w:t xml:space="preserve"> (08.12.2013. год.).</w:t>
      </w:r>
    </w:p>
  </w:footnote>
  <w:footnote w:id="681">
    <w:p w:rsidR="00767127" w:rsidRPr="00502069" w:rsidRDefault="00767127" w:rsidP="0065459F">
      <w:pPr>
        <w:pStyle w:val="FootnoteText"/>
        <w:rPr>
          <w:lang w:val="sr-Cyrl-CS"/>
        </w:rPr>
      </w:pPr>
      <w:r>
        <w:rPr>
          <w:rStyle w:val="FootnoteReference"/>
        </w:rPr>
        <w:footnoteRef/>
      </w:r>
      <w:r>
        <w:t xml:space="preserve"> </w:t>
      </w:r>
      <w:r>
        <w:rPr>
          <w:lang w:val="sr-Cyrl-CS"/>
        </w:rPr>
        <w:t xml:space="preserve">Жељко Бјелајац, </w:t>
      </w:r>
      <w:r w:rsidRPr="001A352C">
        <w:rPr>
          <w:b/>
          <w:lang w:val="sr-Cyrl-CS"/>
        </w:rPr>
        <w:t>Корупција као вид организованог криминала</w:t>
      </w:r>
      <w:r>
        <w:rPr>
          <w:lang w:val="sr-Cyrl-CS"/>
        </w:rPr>
        <w:t xml:space="preserve">, </w:t>
      </w:r>
      <w:r w:rsidRPr="001A352C">
        <w:rPr>
          <w:i/>
          <w:lang w:val="sr-Cyrl-CS"/>
        </w:rPr>
        <w:t>Право: теорија и пракса</w:t>
      </w:r>
      <w:r>
        <w:rPr>
          <w:lang w:val="sr-Cyrl-CS"/>
        </w:rPr>
        <w:t>, бр. 3-4, 2008, стр. 48-49.</w:t>
      </w:r>
    </w:p>
  </w:footnote>
  <w:footnote w:id="682">
    <w:p w:rsidR="00767127" w:rsidRPr="00F106BE" w:rsidRDefault="00767127" w:rsidP="001C11E0">
      <w:pPr>
        <w:pStyle w:val="FootnoteText"/>
        <w:rPr>
          <w:lang w:val="sr-Cyrl-CS"/>
        </w:rPr>
      </w:pPr>
      <w:r>
        <w:rPr>
          <w:rStyle w:val="FootnoteReference"/>
        </w:rPr>
        <w:footnoteRef/>
      </w:r>
      <w:r>
        <w:t xml:space="preserve"> </w:t>
      </w:r>
      <w:r>
        <w:rPr>
          <w:lang w:val="sr-Cyrl-CS"/>
        </w:rPr>
        <w:t xml:space="preserve">Зоран Стојиљковић, </w:t>
      </w:r>
      <w:r w:rsidRPr="00F106BE">
        <w:rPr>
          <w:b/>
          <w:lang w:val="sr-Cyrl-CS"/>
        </w:rPr>
        <w:t>Политичка корупција и слаба држава</w:t>
      </w:r>
      <w:r>
        <w:rPr>
          <w:lang w:val="sr-Cyrl-CS"/>
        </w:rPr>
        <w:t xml:space="preserve">, зборник радова: </w:t>
      </w:r>
      <w:r w:rsidRPr="00F106BE">
        <w:rPr>
          <w:i/>
          <w:lang w:val="sr-Cyrl-CS"/>
        </w:rPr>
        <w:t>Филозовија и друштво</w:t>
      </w:r>
      <w:r>
        <w:rPr>
          <w:lang w:val="sr-Cyrl-CS"/>
        </w:rPr>
        <w:t>, бр. 1, 2013, стр. 144-148.</w:t>
      </w:r>
    </w:p>
  </w:footnote>
  <w:footnote w:id="683">
    <w:p w:rsidR="00767127" w:rsidRPr="007B50C4" w:rsidRDefault="00767127" w:rsidP="001C11E0">
      <w:pPr>
        <w:pStyle w:val="FootnoteText"/>
        <w:rPr>
          <w:lang w:val="sr-Cyrl-CS"/>
        </w:rPr>
      </w:pPr>
      <w:r>
        <w:rPr>
          <w:rStyle w:val="FootnoteReference"/>
        </w:rPr>
        <w:footnoteRef/>
      </w:r>
      <w:r>
        <w:t xml:space="preserve"> </w:t>
      </w:r>
      <w:r>
        <w:rPr>
          <w:lang w:val="sr-Cyrl-CS"/>
        </w:rPr>
        <w:t xml:space="preserve">Ђорђе Игњатовић, </w:t>
      </w:r>
      <w:r w:rsidRPr="001A352C">
        <w:rPr>
          <w:b/>
          <w:lang w:val="sr-Cyrl-CS"/>
        </w:rPr>
        <w:t>Криминологија</w:t>
      </w:r>
      <w:r>
        <w:rPr>
          <w:lang w:val="sr-Cyrl-CS"/>
        </w:rPr>
        <w:t>, ЈП „службени гласник“, Београд, 2006, стр. 271.</w:t>
      </w:r>
    </w:p>
  </w:footnote>
  <w:footnote w:id="684">
    <w:p w:rsidR="00767127" w:rsidRPr="00032D32" w:rsidRDefault="00767127" w:rsidP="0065459F">
      <w:pPr>
        <w:pStyle w:val="FootnoteText"/>
      </w:pPr>
      <w:r>
        <w:rPr>
          <w:rStyle w:val="FootnoteReference"/>
        </w:rPr>
        <w:footnoteRef/>
      </w:r>
      <w:r>
        <w:t xml:space="preserve"> </w:t>
      </w:r>
      <w:r>
        <w:rPr>
          <w:lang w:val="sr-Cyrl-CS"/>
        </w:rPr>
        <w:t xml:space="preserve">Жељко Нинчић, </w:t>
      </w:r>
      <w:r>
        <w:rPr>
          <w:i/>
          <w:lang w:val="sr-Cyrl-CS"/>
        </w:rPr>
        <w:t>нав. дело</w:t>
      </w:r>
      <w:r>
        <w:rPr>
          <w:lang w:val="sr-Cyrl-CS"/>
        </w:rPr>
        <w:t xml:space="preserve">, стр. </w:t>
      </w:r>
      <w:r>
        <w:t>16</w:t>
      </w:r>
      <w:r>
        <w:rPr>
          <w:lang w:val="sr-Cyrl-CS"/>
        </w:rPr>
        <w:t>.</w:t>
      </w:r>
    </w:p>
  </w:footnote>
  <w:footnote w:id="685">
    <w:p w:rsidR="00767127" w:rsidRPr="00EB29B8" w:rsidRDefault="00767127" w:rsidP="00EB29B8">
      <w:pPr>
        <w:pStyle w:val="FootnoteText"/>
        <w:jc w:val="both"/>
        <w:rPr>
          <w:lang w:val="sr-Cyrl-CS"/>
        </w:rPr>
      </w:pPr>
      <w:r>
        <w:rPr>
          <w:rStyle w:val="FootnoteReference"/>
        </w:rPr>
        <w:footnoteRef/>
      </w:r>
      <w:r>
        <w:t xml:space="preserve"> Vito Tanzi, </w:t>
      </w:r>
      <w:r w:rsidRPr="00EB29B8">
        <w:rPr>
          <w:b/>
        </w:rPr>
        <w:t>Corruption Arround the World: Causes, Consequences, Scope and Cures</w:t>
      </w:r>
      <w:r>
        <w:t xml:space="preserve">, International Monetary Fund Staff Papers, Vol. 45, No. 4/1998, </w:t>
      </w:r>
      <w:r>
        <w:rPr>
          <w:lang w:val="sr-Cyrl-CS"/>
        </w:rPr>
        <w:t xml:space="preserve">стр. 559-594 ( у: </w:t>
      </w:r>
      <w:r w:rsidRPr="00EB29B8">
        <w:rPr>
          <w:b/>
          <w:lang w:val="sr-Cyrl-CS"/>
        </w:rPr>
        <w:t>Опорезивање и корупција</w:t>
      </w:r>
      <w:r>
        <w:rPr>
          <w:lang w:val="sr-Cyrl-CS"/>
        </w:rPr>
        <w:t xml:space="preserve">, Гордана Илић Попов, </w:t>
      </w:r>
      <w:r w:rsidRPr="00EB29B8">
        <w:rPr>
          <w:i/>
          <w:lang w:val="sr-Cyrl-CS"/>
        </w:rPr>
        <w:t>Право и привреда</w:t>
      </w:r>
      <w:r>
        <w:rPr>
          <w:lang w:val="sr-Cyrl-CS"/>
        </w:rPr>
        <w:t>, бр. 5/8, 2006, стр. 951-952).</w:t>
      </w:r>
    </w:p>
  </w:footnote>
  <w:footnote w:id="686">
    <w:p w:rsidR="00767127" w:rsidRPr="00B37AAE" w:rsidRDefault="00767127" w:rsidP="00B5246C">
      <w:pPr>
        <w:pStyle w:val="FootnoteText"/>
        <w:jc w:val="both"/>
        <w:rPr>
          <w:lang w:val="sr-Cyrl-CS"/>
        </w:rPr>
      </w:pPr>
      <w:r>
        <w:rPr>
          <w:rStyle w:val="FootnoteReference"/>
        </w:rPr>
        <w:footnoteRef/>
      </w:r>
      <w:r>
        <w:t xml:space="preserve"> Konstantin Pashev, </w:t>
      </w:r>
      <w:r w:rsidRPr="00B37AAE">
        <w:rPr>
          <w:b/>
        </w:rPr>
        <w:t>Corruption and Tax Compliance: Challenges to Tax Policy and Administration</w:t>
      </w:r>
      <w:r>
        <w:t xml:space="preserve">, Center for the Study of Democracy, Sofia, 2005, </w:t>
      </w:r>
      <w:r>
        <w:rPr>
          <w:lang w:val="sr-Cyrl-CS"/>
        </w:rPr>
        <w:t xml:space="preserve">стр. 7 и 17 </w:t>
      </w:r>
      <w:r>
        <w:t xml:space="preserve">(u: </w:t>
      </w:r>
      <w:r w:rsidRPr="003A1957">
        <w:rPr>
          <w:b/>
          <w:lang w:val="sr-Cyrl-CS"/>
        </w:rPr>
        <w:t>Опорезивање и корупција</w:t>
      </w:r>
      <w:r>
        <w:rPr>
          <w:lang w:val="sr-Cyrl-CS"/>
        </w:rPr>
        <w:t xml:space="preserve">, Гордана Илић Попов, </w:t>
      </w:r>
      <w:r w:rsidRPr="003A1957">
        <w:rPr>
          <w:i/>
          <w:lang w:val="sr-Cyrl-CS"/>
        </w:rPr>
        <w:t>Право и привреда</w:t>
      </w:r>
      <w:r>
        <w:rPr>
          <w:lang w:val="sr-Cyrl-CS"/>
        </w:rPr>
        <w:t>, бр. 5/8, 2006, стр. 951-952).</w:t>
      </w:r>
    </w:p>
  </w:footnote>
  <w:footnote w:id="687">
    <w:p w:rsidR="00767127" w:rsidRPr="00FC08C5" w:rsidRDefault="00767127">
      <w:pPr>
        <w:pStyle w:val="FootnoteText"/>
        <w:rPr>
          <w:lang w:val="sr-Cyrl-CS"/>
        </w:rPr>
      </w:pPr>
      <w:r>
        <w:rPr>
          <w:rStyle w:val="FootnoteReference"/>
        </w:rPr>
        <w:footnoteRef/>
      </w:r>
      <w:r>
        <w:t xml:space="preserve"> </w:t>
      </w:r>
      <w:r>
        <w:rPr>
          <w:lang w:val="sr-Cyrl-CS"/>
        </w:rPr>
        <w:t xml:space="preserve">Гордана Илић Попов, </w:t>
      </w:r>
      <w:r w:rsidRPr="003A1957">
        <w:rPr>
          <w:b/>
          <w:lang w:val="sr-Cyrl-CS"/>
        </w:rPr>
        <w:t>Опорезивање и корупција</w:t>
      </w:r>
      <w:r>
        <w:rPr>
          <w:b/>
          <w:lang w:val="sr-Cyrl-CS"/>
        </w:rPr>
        <w:t xml:space="preserve">, </w:t>
      </w:r>
      <w:r w:rsidRPr="003A1957">
        <w:rPr>
          <w:i/>
          <w:lang w:val="sr-Cyrl-CS"/>
        </w:rPr>
        <w:t>Право и привреда</w:t>
      </w:r>
      <w:r>
        <w:rPr>
          <w:lang w:val="sr-Cyrl-CS"/>
        </w:rPr>
        <w:t>, бр. 5/8, 2006, стр. 950-951.</w:t>
      </w:r>
    </w:p>
  </w:footnote>
  <w:footnote w:id="688">
    <w:p w:rsidR="00767127" w:rsidRPr="00260696" w:rsidRDefault="00767127">
      <w:pPr>
        <w:pStyle w:val="FootnoteText"/>
        <w:rPr>
          <w:lang w:val="sr-Cyrl-CS"/>
        </w:rPr>
      </w:pPr>
      <w:r>
        <w:rPr>
          <w:rStyle w:val="FootnoteReference"/>
        </w:rPr>
        <w:footnoteRef/>
      </w:r>
      <w:r>
        <w:t xml:space="preserve"> </w:t>
      </w:r>
      <w:r>
        <w:rPr>
          <w:lang w:val="sr-Cyrl-CS"/>
        </w:rPr>
        <w:t>Чл. 2. Закона о агенцији за борбу против корупције,( „Службени гласник РС“ бр. 97/08, 53/10 и 67/13).</w:t>
      </w:r>
    </w:p>
  </w:footnote>
  <w:footnote w:id="689">
    <w:p w:rsidR="00767127" w:rsidRPr="00E83410" w:rsidRDefault="00767127" w:rsidP="00E83410">
      <w:pPr>
        <w:pStyle w:val="FootnoteText"/>
        <w:rPr>
          <w:lang w:val="sr-Cyrl-CS"/>
        </w:rPr>
      </w:pPr>
      <w:r>
        <w:rPr>
          <w:rStyle w:val="FootnoteReference"/>
        </w:rPr>
        <w:footnoteRef/>
      </w:r>
      <w:r>
        <w:t xml:space="preserve"> </w:t>
      </w:r>
      <w:r>
        <w:rPr>
          <w:lang w:val="sr-Cyrl-CS"/>
        </w:rPr>
        <w:t xml:space="preserve">Извор: </w:t>
      </w:r>
      <w:hyperlink r:id="rId62" w:history="1">
        <w:r w:rsidRPr="002E031F">
          <w:rPr>
            <w:rStyle w:val="Hyperlink"/>
            <w:rFonts w:asciiTheme="minorHAnsi" w:hAnsiTheme="minorHAnsi" w:cs="Arial"/>
            <w:shd w:val="clear" w:color="auto" w:fill="FFFFFF"/>
          </w:rPr>
          <w:t>www.</w:t>
        </w:r>
        <w:r w:rsidRPr="002E031F">
          <w:rPr>
            <w:rStyle w:val="Hyperlink"/>
            <w:rFonts w:asciiTheme="minorHAnsi" w:hAnsiTheme="minorHAnsi" w:cs="Arial"/>
            <w:b/>
            <w:bCs/>
            <w:shd w:val="clear" w:color="auto" w:fill="FFFFFF"/>
          </w:rPr>
          <w:t>transparency</w:t>
        </w:r>
        <w:r w:rsidRPr="002E031F">
          <w:rPr>
            <w:rStyle w:val="Hyperlink"/>
            <w:rFonts w:asciiTheme="minorHAnsi" w:hAnsiTheme="minorHAnsi" w:cs="Arial"/>
            <w:shd w:val="clear" w:color="auto" w:fill="FFFFFF"/>
          </w:rPr>
          <w:t>.org</w:t>
        </w:r>
      </w:hyperlink>
      <w:r w:rsidRPr="002E031F">
        <w:rPr>
          <w:rFonts w:asciiTheme="minorHAnsi" w:hAnsiTheme="minorHAnsi" w:cs="Arial"/>
          <w:color w:val="006621"/>
          <w:shd w:val="clear" w:color="auto" w:fill="FFFFFF"/>
          <w:lang w:val="sr-Cyrl-CS"/>
        </w:rPr>
        <w:t xml:space="preserve"> </w:t>
      </w:r>
    </w:p>
  </w:footnote>
  <w:footnote w:id="690">
    <w:p w:rsidR="00767127" w:rsidRPr="00D1792D" w:rsidRDefault="00767127">
      <w:pPr>
        <w:pStyle w:val="FootnoteText"/>
        <w:rPr>
          <w:lang w:val="sr-Cyrl-CS"/>
        </w:rPr>
      </w:pPr>
      <w:r>
        <w:rPr>
          <w:rStyle w:val="FootnoteReference"/>
        </w:rPr>
        <w:footnoteRef/>
      </w:r>
      <w:r>
        <w:t xml:space="preserve"> </w:t>
      </w:r>
      <w:r>
        <w:rPr>
          <w:lang w:val="sr-Cyrl-CS"/>
        </w:rPr>
        <w:t xml:space="preserve">Хана Кораћ и др., </w:t>
      </w:r>
      <w:r w:rsidRPr="00D1792D">
        <w:rPr>
          <w:b/>
          <w:lang w:val="sr-Cyrl-CS"/>
        </w:rPr>
        <w:t>Превенција криминалитета</w:t>
      </w:r>
      <w:r>
        <w:rPr>
          <w:lang w:val="sr-Cyrl-CS"/>
        </w:rPr>
        <w:t>, Универзитет у Новом Пазару, Нови Пазар, 2010, стр. 12-13.</w:t>
      </w:r>
    </w:p>
  </w:footnote>
  <w:footnote w:id="691">
    <w:p w:rsidR="00767127" w:rsidRPr="00062B62" w:rsidRDefault="00767127" w:rsidP="00AD29FC">
      <w:pPr>
        <w:pStyle w:val="FootnoteText"/>
      </w:pPr>
      <w:r>
        <w:rPr>
          <w:rStyle w:val="FootnoteReference"/>
        </w:rPr>
        <w:footnoteRef/>
      </w:r>
      <w:r>
        <w:t xml:space="preserve"> Vito Tanzi, </w:t>
      </w:r>
      <w:r w:rsidRPr="00D64BC4">
        <w:rPr>
          <w:b/>
        </w:rPr>
        <w:t>Corruption around the World: Causes, Consequences, Scope and Cures</w:t>
      </w:r>
      <w:r>
        <w:t xml:space="preserve">, International Monetary IMF Working Paper, May, 1998, </w:t>
      </w:r>
      <w:r>
        <w:rPr>
          <w:lang w:val="sr-Cyrl-CS"/>
        </w:rPr>
        <w:t>рр</w:t>
      </w:r>
      <w:r>
        <w:t xml:space="preserve">. </w:t>
      </w:r>
      <w:r>
        <w:rPr>
          <w:lang w:val="sr-Cyrl-CS"/>
        </w:rPr>
        <w:t>10-20</w:t>
      </w:r>
      <w:r>
        <w:t>.</w:t>
      </w:r>
      <w:r>
        <w:rPr>
          <w:lang w:val="sr-Cyrl-CS"/>
        </w:rPr>
        <w:t xml:space="preserve"> (извор: </w:t>
      </w:r>
      <w:hyperlink r:id="rId63" w:history="1">
        <w:r w:rsidRPr="000A47A9">
          <w:rPr>
            <w:rStyle w:val="Hyperlink"/>
            <w:lang w:val="sr-Cyrl-CS"/>
          </w:rPr>
          <w:t>http://www.imf.org</w:t>
        </w:r>
      </w:hyperlink>
      <w:r>
        <w:rPr>
          <w:lang w:val="sr-Cyrl-CS"/>
        </w:rPr>
        <w:t xml:space="preserve"> ).</w:t>
      </w:r>
    </w:p>
    <w:p w:rsidR="00767127" w:rsidRPr="006F442C" w:rsidRDefault="00767127" w:rsidP="00AD29FC">
      <w:pPr>
        <w:pStyle w:val="FootnoteText"/>
        <w:rPr>
          <w:lang w:val="sr-Cyrl-CS"/>
        </w:rPr>
      </w:pPr>
    </w:p>
  </w:footnote>
  <w:footnote w:id="692">
    <w:p w:rsidR="00767127" w:rsidRPr="00AD29FC" w:rsidRDefault="00767127">
      <w:pPr>
        <w:pStyle w:val="FootnoteText"/>
        <w:rPr>
          <w:lang w:val="sr-Cyrl-CS"/>
        </w:rPr>
      </w:pPr>
      <w:r>
        <w:rPr>
          <w:rStyle w:val="FootnoteReference"/>
        </w:rPr>
        <w:footnoteRef/>
      </w:r>
      <w:r>
        <w:t xml:space="preserve"> </w:t>
      </w:r>
      <w:r>
        <w:rPr>
          <w:lang w:val="sr-Cyrl-CS"/>
        </w:rPr>
        <w:t xml:space="preserve">Извор: </w:t>
      </w:r>
      <w:hyperlink r:id="rId64" w:history="1">
        <w:r w:rsidRPr="002B6F2C">
          <w:rPr>
            <w:rStyle w:val="Hyperlink"/>
            <w:lang w:val="sr-Cyrl-CS"/>
          </w:rPr>
          <w:t>http://www.acas.rs/wp-content/uploads/2010/06/Nacionalna_strategija.pdf</w:t>
        </w:r>
      </w:hyperlink>
      <w:r>
        <w:rPr>
          <w:lang w:val="sr-Cyrl-CS"/>
        </w:rPr>
        <w:t xml:space="preserve"> </w:t>
      </w:r>
    </w:p>
  </w:footnote>
  <w:footnote w:id="693">
    <w:p w:rsidR="00767127" w:rsidRPr="00392185" w:rsidRDefault="00767127" w:rsidP="00ED4989">
      <w:pPr>
        <w:pStyle w:val="FootnoteText"/>
        <w:rPr>
          <w:lang w:val="sr-Cyrl-CS"/>
        </w:rPr>
      </w:pPr>
      <w:r>
        <w:rPr>
          <w:rStyle w:val="FootnoteReference"/>
        </w:rPr>
        <w:footnoteRef/>
      </w:r>
      <w:r>
        <w:t xml:space="preserve"> </w:t>
      </w:r>
      <w:r>
        <w:rPr>
          <w:lang w:val="sr-Cyrl-CS"/>
        </w:rPr>
        <w:t xml:space="preserve">Горан Милошевић, </w:t>
      </w:r>
      <w:r w:rsidRPr="00A148D5">
        <w:rPr>
          <w:b/>
          <w:lang w:val="sr-Cyrl-CS"/>
        </w:rPr>
        <w:t>Порез и избегавање пореза</w:t>
      </w:r>
      <w:r>
        <w:rPr>
          <w:lang w:val="sr-Cyrl-CS"/>
        </w:rPr>
        <w:t>, ЈП „Службени лист СЦГ“, 2005</w:t>
      </w:r>
      <w:r>
        <w:t xml:space="preserve">, </w:t>
      </w:r>
      <w:r>
        <w:rPr>
          <w:lang w:val="sr-Cyrl-CS"/>
        </w:rPr>
        <w:t>стр. 265.</w:t>
      </w:r>
    </w:p>
  </w:footnote>
  <w:footnote w:id="694">
    <w:p w:rsidR="00767127" w:rsidRPr="00CB296D" w:rsidRDefault="00767127" w:rsidP="00870DBA">
      <w:pPr>
        <w:pStyle w:val="FootnoteText"/>
        <w:rPr>
          <w:lang w:val="sr-Cyrl-CS"/>
        </w:rPr>
      </w:pPr>
      <w:r>
        <w:rPr>
          <w:rStyle w:val="FootnoteReference"/>
        </w:rPr>
        <w:footnoteRef/>
      </w:r>
      <w:r>
        <w:t xml:space="preserve"> </w:t>
      </w:r>
      <w:r>
        <w:rPr>
          <w:lang w:val="sr-Cyrl-CS"/>
        </w:rPr>
        <w:t xml:space="preserve">Мићо Бошковић, </w:t>
      </w:r>
      <w:r w:rsidRPr="00D64BC4">
        <w:rPr>
          <w:b/>
          <w:lang w:val="sr-Cyrl-CS"/>
        </w:rPr>
        <w:t>Методика откривања и доказивања кривичних дела корупције</w:t>
      </w:r>
      <w:r>
        <w:rPr>
          <w:lang w:val="sr-Cyrl-CS"/>
        </w:rPr>
        <w:t xml:space="preserve">, </w:t>
      </w:r>
      <w:r w:rsidRPr="001A352C">
        <w:rPr>
          <w:i/>
          <w:lang w:val="sr-Cyrl-CS"/>
        </w:rPr>
        <w:t>Безбедност</w:t>
      </w:r>
      <w:r>
        <w:rPr>
          <w:lang w:val="sr-Cyrl-CS"/>
        </w:rPr>
        <w:t>, бр. 1, 2004, стр. 9.</w:t>
      </w:r>
    </w:p>
  </w:footnote>
  <w:footnote w:id="695">
    <w:p w:rsidR="00767127" w:rsidRPr="005F6D7E" w:rsidRDefault="00767127" w:rsidP="002233FF">
      <w:pPr>
        <w:pStyle w:val="FootnoteText"/>
        <w:jc w:val="both"/>
        <w:rPr>
          <w:lang w:val="sr-Cyrl-CS"/>
        </w:rPr>
      </w:pPr>
      <w:r>
        <w:rPr>
          <w:rStyle w:val="FootnoteReference"/>
        </w:rPr>
        <w:footnoteRef/>
      </w:r>
      <w:r>
        <w:t xml:space="preserve"> </w:t>
      </w:r>
      <w:r>
        <w:rPr>
          <w:lang w:val="sr-Cyrl-CS"/>
        </w:rPr>
        <w:t xml:space="preserve">Зоран Ђокић, </w:t>
      </w:r>
      <w:r>
        <w:rPr>
          <w:b/>
          <w:lang w:val="sr-Cyrl-CS"/>
        </w:rPr>
        <w:t>Актуелно стање корупције у Републици Србији са посебним освртом на корупцију у привреди</w:t>
      </w:r>
      <w:r>
        <w:rPr>
          <w:lang w:val="sr-Cyrl-CS"/>
        </w:rPr>
        <w:t>, Безбедност, бр. 2, 2007, стр. 294-295.</w:t>
      </w:r>
    </w:p>
  </w:footnote>
  <w:footnote w:id="696">
    <w:p w:rsidR="00767127" w:rsidRPr="009B4623" w:rsidRDefault="00767127" w:rsidP="00265A4A">
      <w:pPr>
        <w:pStyle w:val="FootnoteText"/>
        <w:rPr>
          <w:lang w:val="sr-Cyrl-CS"/>
        </w:rPr>
      </w:pPr>
      <w:r>
        <w:rPr>
          <w:rStyle w:val="FootnoteReference"/>
        </w:rPr>
        <w:footnoteRef/>
      </w:r>
      <w:r>
        <w:t xml:space="preserve"> </w:t>
      </w:r>
      <w:r>
        <w:rPr>
          <w:lang w:val="sr-Cyrl-CS"/>
        </w:rPr>
        <w:t xml:space="preserve">Жељко Бјелајац, </w:t>
      </w:r>
      <w:r w:rsidRPr="00A87FEE">
        <w:rPr>
          <w:b/>
          <w:lang w:val="sr-Cyrl-CS"/>
        </w:rPr>
        <w:t>Степен хуманог развоја и владавине права у Републици Србији</w:t>
      </w:r>
      <w:r>
        <w:rPr>
          <w:lang w:val="sr-Cyrl-CS"/>
        </w:rPr>
        <w:t xml:space="preserve">, </w:t>
      </w:r>
      <w:r w:rsidRPr="00A87FEE">
        <w:rPr>
          <w:i/>
          <w:lang w:val="sr-Cyrl-CS"/>
        </w:rPr>
        <w:t>Право: теорија и пракса</w:t>
      </w:r>
      <w:r>
        <w:rPr>
          <w:lang w:val="sr-Cyrl-CS"/>
        </w:rPr>
        <w:t>, Нови Сад, год. 25, бр. 7/8, 2008, стр. 7-8.</w:t>
      </w:r>
    </w:p>
  </w:footnote>
  <w:footnote w:id="697">
    <w:p w:rsidR="00767127" w:rsidRPr="00060998" w:rsidRDefault="00767127" w:rsidP="00BF69CF">
      <w:pPr>
        <w:pStyle w:val="FootnoteText"/>
        <w:rPr>
          <w:lang w:val="sr-Cyrl-CS"/>
        </w:rPr>
      </w:pPr>
      <w:r>
        <w:rPr>
          <w:rStyle w:val="FootnoteReference"/>
        </w:rPr>
        <w:footnoteRef/>
      </w:r>
      <w:r>
        <w:t xml:space="preserve"> </w:t>
      </w:r>
      <w:r>
        <w:rPr>
          <w:lang w:val="sr-Cyrl-CS"/>
        </w:rPr>
        <w:t xml:space="preserve">Биљана Симеуновић Патић, </w:t>
      </w:r>
      <w:r w:rsidRPr="00060998">
        <w:rPr>
          <w:b/>
          <w:lang w:val="sr-Cyrl-CS"/>
        </w:rPr>
        <w:t>Криминолошки осврт на проблем корупције у јавној управи</w:t>
      </w:r>
      <w:r>
        <w:rPr>
          <w:lang w:val="sr-Cyrl-CS"/>
        </w:rPr>
        <w:t>, Тематски зборник радова Корупција у јавној управи, Криминалистичко-полицијска академија, Београд, 2011, стр. 51.</w:t>
      </w:r>
    </w:p>
  </w:footnote>
  <w:footnote w:id="698">
    <w:p w:rsidR="00767127" w:rsidRPr="00E43A00" w:rsidRDefault="00767127" w:rsidP="00073725">
      <w:pPr>
        <w:pStyle w:val="FootnoteText"/>
        <w:rPr>
          <w:lang w:val="sr-Cyrl-CS"/>
        </w:rPr>
      </w:pPr>
      <w:r>
        <w:rPr>
          <w:rStyle w:val="FootnoteReference"/>
        </w:rPr>
        <w:footnoteRef/>
      </w:r>
      <w:r>
        <w:t xml:space="preserve"> </w:t>
      </w:r>
      <w:r>
        <w:rPr>
          <w:lang w:val="sr-Cyrl-CS"/>
        </w:rPr>
        <w:t xml:space="preserve">Борис Беговић, </w:t>
      </w:r>
      <w:r w:rsidRPr="00D64BC4">
        <w:rPr>
          <w:b/>
          <w:lang w:val="sr-Cyrl-CS"/>
        </w:rPr>
        <w:t>Економска анализа корупције</w:t>
      </w:r>
      <w:r>
        <w:rPr>
          <w:lang w:val="sr-Cyrl-CS"/>
        </w:rPr>
        <w:t>, Центар за либерарно-демократске студије, Београд, 2007, стр.391. и 471.</w:t>
      </w:r>
    </w:p>
  </w:footnote>
  <w:footnote w:id="699">
    <w:p w:rsidR="00767127" w:rsidRPr="00BA1D4A" w:rsidRDefault="00767127" w:rsidP="00751B3F">
      <w:pPr>
        <w:pStyle w:val="FootnoteText"/>
        <w:jc w:val="both"/>
      </w:pPr>
      <w:r>
        <w:rPr>
          <w:rStyle w:val="FootnoteReference"/>
        </w:rPr>
        <w:footnoteRef/>
      </w:r>
      <w:r>
        <w:t xml:space="preserve"> </w:t>
      </w:r>
      <w:r>
        <w:rPr>
          <w:lang w:val="sr-Cyrl-CS"/>
        </w:rPr>
        <w:t xml:space="preserve">Види: </w:t>
      </w:r>
      <w:r>
        <w:t xml:space="preserve">Johan Graf Lambsdorff, </w:t>
      </w:r>
      <w:r w:rsidRPr="00666CE8">
        <w:rPr>
          <w:b/>
        </w:rPr>
        <w:t>The Institutional Economics of Corruption and Reform: Theory, Evidence and Policy</w:t>
      </w:r>
      <w:r>
        <w:t xml:space="preserve">, Cambridge University Press, Cambridge, 2007, Susan Rose-Ackerman, </w:t>
      </w:r>
      <w:r w:rsidRPr="00666CE8">
        <w:rPr>
          <w:b/>
        </w:rPr>
        <w:t>Corruption and Government: Causes, Consequences and Reform</w:t>
      </w:r>
      <w:r>
        <w:t>, Cambridge University Press, Cambridge, 1999</w:t>
      </w:r>
      <w:r>
        <w:rPr>
          <w:lang w:val="sr-Cyrl-CS"/>
        </w:rPr>
        <w:t xml:space="preserve">, Гордана Илић Попов, </w:t>
      </w:r>
      <w:r w:rsidRPr="00751B3F">
        <w:rPr>
          <w:i/>
          <w:lang w:val="sr-Cyrl-CS"/>
        </w:rPr>
        <w:t>нав. дело</w:t>
      </w:r>
      <w:r>
        <w:rPr>
          <w:lang w:val="sr-Cyrl-CS"/>
        </w:rPr>
        <w:t>, стр. 952-955.</w:t>
      </w:r>
    </w:p>
  </w:footnote>
  <w:footnote w:id="700">
    <w:p w:rsidR="00767127" w:rsidRPr="00012F7B" w:rsidRDefault="00767127" w:rsidP="00587898">
      <w:pPr>
        <w:pStyle w:val="FootnoteText"/>
        <w:jc w:val="both"/>
        <w:rPr>
          <w:lang w:val="sr-Cyrl-CS"/>
        </w:rPr>
      </w:pPr>
      <w:r>
        <w:rPr>
          <w:rStyle w:val="FootnoteReference"/>
        </w:rPr>
        <w:footnoteRef/>
      </w:r>
      <w:r>
        <w:t xml:space="preserve"> </w:t>
      </w:r>
      <w:r>
        <w:rPr>
          <w:lang w:val="sr-Cyrl-CS"/>
        </w:rPr>
        <w:t xml:space="preserve">Мићо Бошковић, </w:t>
      </w:r>
      <w:r>
        <w:rPr>
          <w:i/>
          <w:lang w:val="sr-Cyrl-CS"/>
        </w:rPr>
        <w:t>нав. дело,</w:t>
      </w:r>
      <w:r>
        <w:rPr>
          <w:lang w:val="sr-Cyrl-CS"/>
        </w:rPr>
        <w:t xml:space="preserve"> стр. 10.</w:t>
      </w:r>
    </w:p>
  </w:footnote>
  <w:footnote w:id="701">
    <w:p w:rsidR="00767127" w:rsidRPr="00263ACC" w:rsidRDefault="00767127" w:rsidP="00587898">
      <w:pPr>
        <w:pStyle w:val="FootnoteText"/>
        <w:jc w:val="both"/>
        <w:rPr>
          <w:lang w:val="sr-Cyrl-CS"/>
        </w:rPr>
      </w:pPr>
      <w:r>
        <w:rPr>
          <w:rStyle w:val="FootnoteReference"/>
        </w:rPr>
        <w:footnoteRef/>
      </w:r>
      <w:r>
        <w:t xml:space="preserve"> </w:t>
      </w:r>
      <w:r>
        <w:rPr>
          <w:lang w:val="sr-Cyrl-CS"/>
        </w:rPr>
        <w:t xml:space="preserve">Небојша Теофиловић и Миленко Јелачић, </w:t>
      </w:r>
      <w:r w:rsidRPr="00666CE8">
        <w:rPr>
          <w:b/>
          <w:lang w:val="sr-Cyrl-CS"/>
        </w:rPr>
        <w:t>Спречавање, откривање и доказивање кривичних дела корупције и прања новца,</w:t>
      </w:r>
      <w:r>
        <w:rPr>
          <w:lang w:val="sr-Cyrl-CS"/>
        </w:rPr>
        <w:t xml:space="preserve"> Полицијска академија, Београд, 2006, стр. 242.</w:t>
      </w:r>
    </w:p>
  </w:footnote>
  <w:footnote w:id="702">
    <w:p w:rsidR="00767127" w:rsidRPr="005C5341" w:rsidRDefault="00767127" w:rsidP="005C5341">
      <w:pPr>
        <w:pStyle w:val="FootnoteText"/>
        <w:jc w:val="both"/>
        <w:rPr>
          <w:lang w:val="sr-Cyrl-CS"/>
        </w:rPr>
      </w:pPr>
      <w:r>
        <w:rPr>
          <w:rStyle w:val="FootnoteReference"/>
        </w:rPr>
        <w:footnoteRef/>
      </w:r>
      <w:r>
        <w:t xml:space="preserve"> M. Blyth and R. Katz, </w:t>
      </w:r>
      <w:r w:rsidRPr="0045075F">
        <w:rPr>
          <w:b/>
        </w:rPr>
        <w:t>From Catch-all Politics to Cartelisation: The Political Economy of the Cartel Party</w:t>
      </w:r>
      <w:r>
        <w:t>, West European Politics, 28 (1), 2005</w:t>
      </w:r>
      <w:r>
        <w:rPr>
          <w:lang w:val="sr-Cyrl-CS"/>
        </w:rPr>
        <w:t xml:space="preserve">, </w:t>
      </w:r>
      <w:r>
        <w:t xml:space="preserve">P. Mair and R. Katz, </w:t>
      </w:r>
      <w:r w:rsidRPr="0045075F">
        <w:rPr>
          <w:b/>
        </w:rPr>
        <w:t>The Cartel Party Thesis: A Restatement, Perspectives on Politics</w:t>
      </w:r>
      <w:r>
        <w:t>, 7 (4), 2009,</w:t>
      </w:r>
      <w:r w:rsidRPr="005C5341">
        <w:rPr>
          <w:lang w:val="sr-Cyrl-CS"/>
        </w:rPr>
        <w:t xml:space="preserve"> </w:t>
      </w:r>
      <w:r>
        <w:rPr>
          <w:lang w:val="sr-Cyrl-CS"/>
        </w:rPr>
        <w:t xml:space="preserve">D. Della Porta </w:t>
      </w:r>
      <w:r>
        <w:t>and</w:t>
      </w:r>
      <w:r>
        <w:rPr>
          <w:lang w:val="sr-Cyrl-CS"/>
        </w:rPr>
        <w:t xml:space="preserve"> A. Vannucci, </w:t>
      </w:r>
      <w:r w:rsidRPr="0045075F">
        <w:rPr>
          <w:b/>
          <w:lang w:val="sr-Cyrl-CS"/>
        </w:rPr>
        <w:t>Corrupt Excanges: Actors, Resources and Mechanisms of Political Corruption</w:t>
      </w:r>
      <w:r>
        <w:rPr>
          <w:lang w:val="sr-Cyrl-CS"/>
        </w:rPr>
        <w:t>, Walter de Gruyter, New York, 1999.</w:t>
      </w:r>
    </w:p>
  </w:footnote>
  <w:footnote w:id="703">
    <w:p w:rsidR="00767127" w:rsidRPr="00A94583" w:rsidRDefault="00767127">
      <w:pPr>
        <w:pStyle w:val="FootnoteText"/>
        <w:rPr>
          <w:lang w:val="sr-Cyrl-CS"/>
        </w:rPr>
      </w:pPr>
      <w:r>
        <w:rPr>
          <w:rStyle w:val="FootnoteReference"/>
        </w:rPr>
        <w:footnoteRef/>
      </w:r>
      <w:r>
        <w:t xml:space="preserve"> </w:t>
      </w:r>
      <w:r>
        <w:rPr>
          <w:lang w:val="sr-Cyrl-CS"/>
        </w:rPr>
        <w:t xml:space="preserve">Гордана Илић Попов, </w:t>
      </w:r>
      <w:r w:rsidRPr="003F4FC1">
        <w:rPr>
          <w:i/>
          <w:lang w:val="sr-Cyrl-CS"/>
        </w:rPr>
        <w:t>нав. дело</w:t>
      </w:r>
      <w:r w:rsidRPr="003F4FC1">
        <w:rPr>
          <w:lang w:val="sr-Cyrl-CS"/>
        </w:rPr>
        <w:t>,</w:t>
      </w:r>
      <w:r>
        <w:rPr>
          <w:lang w:val="sr-Cyrl-CS"/>
        </w:rPr>
        <w:t xml:space="preserve"> стр. 953-954.</w:t>
      </w:r>
    </w:p>
  </w:footnote>
  <w:footnote w:id="704">
    <w:p w:rsidR="00767127" w:rsidRPr="00471EDA" w:rsidRDefault="00767127">
      <w:pPr>
        <w:pStyle w:val="FootnoteText"/>
        <w:rPr>
          <w:lang w:val="sr-Cyrl-CS"/>
        </w:rPr>
      </w:pPr>
      <w:r>
        <w:rPr>
          <w:rStyle w:val="FootnoteReference"/>
        </w:rPr>
        <w:footnoteRef/>
      </w:r>
      <w:r>
        <w:t xml:space="preserve"> „</w:t>
      </w:r>
      <w:r>
        <w:rPr>
          <w:lang w:val="sr-Cyrl-CS"/>
        </w:rPr>
        <w:t>Службени галсник РС“ бр. 73/00, 72/03 и 75/03.</w:t>
      </w:r>
    </w:p>
  </w:footnote>
  <w:footnote w:id="705">
    <w:p w:rsidR="00767127" w:rsidRPr="00471EDA" w:rsidRDefault="00767127">
      <w:pPr>
        <w:pStyle w:val="FootnoteText"/>
        <w:rPr>
          <w:lang w:val="sr-Cyrl-CS"/>
        </w:rPr>
      </w:pPr>
      <w:r>
        <w:rPr>
          <w:rStyle w:val="FootnoteReference"/>
        </w:rPr>
        <w:footnoteRef/>
      </w:r>
      <w:r>
        <w:t xml:space="preserve"> „</w:t>
      </w:r>
      <w:r>
        <w:rPr>
          <w:lang w:val="sr-Cyrl-CS"/>
        </w:rPr>
        <w:t>Службени галсник РС“ бр. 43/04.</w:t>
      </w:r>
    </w:p>
  </w:footnote>
  <w:footnote w:id="706">
    <w:p w:rsidR="00767127" w:rsidRPr="00471EDA" w:rsidRDefault="00767127">
      <w:pPr>
        <w:pStyle w:val="FootnoteText"/>
        <w:rPr>
          <w:lang w:val="sr-Cyrl-CS"/>
        </w:rPr>
      </w:pPr>
      <w:r>
        <w:rPr>
          <w:rStyle w:val="FootnoteReference"/>
        </w:rPr>
        <w:footnoteRef/>
      </w:r>
      <w:r>
        <w:t xml:space="preserve"> </w:t>
      </w:r>
      <w:r>
        <w:rPr>
          <w:lang w:val="sr-Cyrl-CS"/>
        </w:rPr>
        <w:t xml:space="preserve"> </w:t>
      </w:r>
      <w:r>
        <w:t>„</w:t>
      </w:r>
      <w:r>
        <w:rPr>
          <w:lang w:val="sr-Cyrl-CS"/>
        </w:rPr>
        <w:t>Службени галсник РС“ бр. 97/08, 53/10 и 66/11, 67/13 и 112/13.</w:t>
      </w:r>
    </w:p>
  </w:footnote>
  <w:footnote w:id="707">
    <w:p w:rsidR="00767127" w:rsidRPr="00D04604" w:rsidRDefault="00767127" w:rsidP="00587898">
      <w:pPr>
        <w:pStyle w:val="FootnoteText"/>
        <w:jc w:val="both"/>
        <w:rPr>
          <w:lang w:val="sr-Cyrl-CS"/>
        </w:rPr>
      </w:pPr>
      <w:r>
        <w:rPr>
          <w:rStyle w:val="FootnoteReference"/>
        </w:rPr>
        <w:footnoteRef/>
      </w:r>
      <w:r>
        <w:t xml:space="preserve"> </w:t>
      </w:r>
      <w:r>
        <w:rPr>
          <w:lang w:val="sr-Cyrl-CS"/>
        </w:rPr>
        <w:t xml:space="preserve">Огњан Арлов, </w:t>
      </w:r>
      <w:r w:rsidRPr="0045075F">
        <w:rPr>
          <w:b/>
          <w:lang w:val="sr-Cyrl-CS"/>
        </w:rPr>
        <w:t>Криминалне радње у контексту ревизије</w:t>
      </w:r>
      <w:r>
        <w:rPr>
          <w:lang w:val="sr-Cyrl-CS"/>
        </w:rPr>
        <w:t xml:space="preserve">, </w:t>
      </w:r>
      <w:r w:rsidRPr="0045075F">
        <w:rPr>
          <w:i/>
          <w:lang w:val="sr-Cyrl-CS"/>
        </w:rPr>
        <w:t>Безбедност</w:t>
      </w:r>
      <w:r>
        <w:rPr>
          <w:lang w:val="sr-Cyrl-CS"/>
        </w:rPr>
        <w:t>, бр. 3, 2009, стр. 119.</w:t>
      </w:r>
    </w:p>
  </w:footnote>
  <w:footnote w:id="708">
    <w:p w:rsidR="00767127" w:rsidRPr="00BD6B99" w:rsidRDefault="00767127" w:rsidP="00587898">
      <w:pPr>
        <w:pStyle w:val="FootnoteText"/>
        <w:jc w:val="both"/>
        <w:rPr>
          <w:lang w:val="sr-Cyrl-CS"/>
        </w:rPr>
      </w:pPr>
      <w:r>
        <w:rPr>
          <w:rStyle w:val="FootnoteReference"/>
        </w:rPr>
        <w:footnoteRef/>
      </w:r>
      <w:r>
        <w:t xml:space="preserve"> </w:t>
      </w:r>
      <w:r>
        <w:rPr>
          <w:lang w:val="sr-Cyrl-CS"/>
        </w:rPr>
        <w:t xml:space="preserve">М. Бошковић и Д. Јовичић, </w:t>
      </w:r>
      <w:r w:rsidRPr="00BD6B99">
        <w:rPr>
          <w:b/>
          <w:lang w:val="sr-Cyrl-CS"/>
        </w:rPr>
        <w:t>Криминалистичка методика</w:t>
      </w:r>
      <w:r>
        <w:rPr>
          <w:lang w:val="sr-Cyrl-CS"/>
        </w:rPr>
        <w:t>, Виша школа унутрашњих послова, Бања Лука, 2002, стр. 296.</w:t>
      </w:r>
    </w:p>
  </w:footnote>
  <w:footnote w:id="709">
    <w:p w:rsidR="00767127" w:rsidRPr="001C1771" w:rsidRDefault="00767127">
      <w:pPr>
        <w:pStyle w:val="FootnoteText"/>
        <w:rPr>
          <w:lang w:val="sr-Cyrl-CS"/>
        </w:rPr>
      </w:pPr>
      <w:r>
        <w:rPr>
          <w:rStyle w:val="FootnoteReference"/>
        </w:rPr>
        <w:footnoteRef/>
      </w:r>
      <w:r>
        <w:t xml:space="preserve"> </w:t>
      </w:r>
      <w:r>
        <w:rPr>
          <w:lang w:val="sr-Cyrl-CS"/>
        </w:rPr>
        <w:t xml:space="preserve">Огњан Арлов, </w:t>
      </w:r>
      <w:r>
        <w:rPr>
          <w:i/>
          <w:lang w:val="sr-Cyrl-CS"/>
        </w:rPr>
        <w:t>нав. дело</w:t>
      </w:r>
      <w:r w:rsidRPr="003A0A8F">
        <w:rPr>
          <w:i/>
          <w:lang w:val="sr-Cyrl-CS"/>
        </w:rPr>
        <w:t>,</w:t>
      </w:r>
      <w:r>
        <w:rPr>
          <w:lang w:val="sr-Cyrl-CS"/>
        </w:rPr>
        <w:t xml:space="preserve"> стр. 125.</w:t>
      </w:r>
    </w:p>
  </w:footnote>
  <w:footnote w:id="710">
    <w:p w:rsidR="00767127" w:rsidRPr="00AB3526" w:rsidRDefault="00767127" w:rsidP="00DA1663">
      <w:pPr>
        <w:pStyle w:val="FootnoteText"/>
        <w:rPr>
          <w:lang w:val="sr-Cyrl-CS"/>
        </w:rPr>
      </w:pPr>
      <w:r>
        <w:rPr>
          <w:rStyle w:val="FootnoteReference"/>
        </w:rPr>
        <w:footnoteRef/>
      </w:r>
      <w:r>
        <w:t xml:space="preserve"> O</w:t>
      </w:r>
      <w:r>
        <w:rPr>
          <w:lang w:val="sr-Cyrl-CS"/>
        </w:rPr>
        <w:t>брад</w:t>
      </w:r>
      <w:r>
        <w:t xml:space="preserve"> </w:t>
      </w:r>
      <w:r>
        <w:rPr>
          <w:lang w:val="sr-Cyrl-CS"/>
        </w:rPr>
        <w:t xml:space="preserve">Станојевић, </w:t>
      </w:r>
      <w:r w:rsidRPr="00EB1562">
        <w:rPr>
          <w:b/>
          <w:lang w:val="sr-Cyrl-CS"/>
        </w:rPr>
        <w:t>Институције</w:t>
      </w:r>
      <w:r>
        <w:t xml:space="preserve">, Gaj , </w:t>
      </w:r>
      <w:r>
        <w:rPr>
          <w:lang w:val="sr-Cyrl-CS"/>
        </w:rPr>
        <w:t>Нолит</w:t>
      </w:r>
      <w:r>
        <w:t>,</w:t>
      </w:r>
      <w:r>
        <w:rPr>
          <w:lang w:val="sr-Cyrl-CS"/>
        </w:rPr>
        <w:t xml:space="preserve"> 1982, Београд, стр. 21, (у: Б. Беговић и др., </w:t>
      </w:r>
      <w:r w:rsidRPr="00EB1562">
        <w:rPr>
          <w:b/>
          <w:lang w:val="sr-Cyrl-CS"/>
        </w:rPr>
        <w:t>Корупција у правосуђу</w:t>
      </w:r>
      <w:r>
        <w:rPr>
          <w:lang w:val="sr-Cyrl-CS"/>
        </w:rPr>
        <w:t>, Центар за либерално-демократске студије, Београд, 2004, стр. 15).</w:t>
      </w:r>
    </w:p>
  </w:footnote>
  <w:footnote w:id="711">
    <w:p w:rsidR="00767127" w:rsidRPr="00703FA5" w:rsidRDefault="00767127">
      <w:pPr>
        <w:pStyle w:val="FootnoteText"/>
        <w:rPr>
          <w:lang w:val="sr-Cyrl-CS"/>
        </w:rPr>
      </w:pPr>
      <w:r>
        <w:rPr>
          <w:rStyle w:val="FootnoteReference"/>
        </w:rPr>
        <w:footnoteRef/>
      </w:r>
      <w:r>
        <w:t xml:space="preserve"> </w:t>
      </w:r>
      <w:r>
        <w:rPr>
          <w:lang w:val="sr-Cyrl-CS"/>
        </w:rPr>
        <w:t xml:space="preserve">Гордана Илић Попов, </w:t>
      </w:r>
      <w:r w:rsidRPr="00091C1E">
        <w:rPr>
          <w:i/>
          <w:lang w:val="sr-Cyrl-CS"/>
        </w:rPr>
        <w:t>нав. дело</w:t>
      </w:r>
      <w:r>
        <w:rPr>
          <w:lang w:val="sr-Cyrl-CS"/>
        </w:rPr>
        <w:t>, стр. 951.</w:t>
      </w:r>
    </w:p>
  </w:footnote>
  <w:footnote w:id="712">
    <w:p w:rsidR="00767127" w:rsidRPr="00DF587D" w:rsidRDefault="00767127" w:rsidP="004946CA">
      <w:pPr>
        <w:pStyle w:val="FootnoteText"/>
        <w:jc w:val="both"/>
        <w:rPr>
          <w:lang w:val="sr-Cyrl-CS"/>
        </w:rPr>
      </w:pPr>
      <w:r>
        <w:rPr>
          <w:rStyle w:val="FootnoteReference"/>
        </w:rPr>
        <w:footnoteRef/>
      </w:r>
      <w:r>
        <w:t xml:space="preserve"> </w:t>
      </w:r>
      <w:r>
        <w:rPr>
          <w:lang w:val="sr-Cyrl-CS"/>
        </w:rPr>
        <w:t xml:space="preserve">Данило Вуковић, </w:t>
      </w:r>
      <w:r w:rsidRPr="00EB1562">
        <w:rPr>
          <w:b/>
          <w:lang w:val="sr-Cyrl-CS"/>
        </w:rPr>
        <w:t>Друштвене основе правне државе: пример Србије</w:t>
      </w:r>
      <w:r>
        <w:rPr>
          <w:lang w:val="sr-Cyrl-CS"/>
        </w:rPr>
        <w:t xml:space="preserve">, </w:t>
      </w:r>
      <w:r w:rsidRPr="00EB1562">
        <w:rPr>
          <w:i/>
          <w:lang w:val="sr-Cyrl-CS"/>
        </w:rPr>
        <w:t>Социолошки преглед</w:t>
      </w:r>
      <w:r>
        <w:rPr>
          <w:lang w:val="sr-Cyrl-CS"/>
        </w:rPr>
        <w:t>, бр. 3, 2011, стр. 424.</w:t>
      </w:r>
    </w:p>
  </w:footnote>
  <w:footnote w:id="713">
    <w:p w:rsidR="00767127" w:rsidRPr="00AE5BEB" w:rsidRDefault="00767127" w:rsidP="004946CA">
      <w:pPr>
        <w:pStyle w:val="FootnoteText"/>
        <w:jc w:val="both"/>
        <w:rPr>
          <w:lang w:val="sr-Cyrl-CS"/>
        </w:rPr>
      </w:pPr>
      <w:r>
        <w:rPr>
          <w:rStyle w:val="FootnoteReference"/>
        </w:rPr>
        <w:footnoteRef/>
      </w:r>
      <w:r>
        <w:t xml:space="preserve"> Ова организација је у </w:t>
      </w:r>
      <w:r>
        <w:rPr>
          <w:lang w:val="sr-Cyrl-CS"/>
        </w:rPr>
        <w:t>2013</w:t>
      </w:r>
      <w:r>
        <w:t xml:space="preserve">. </w:t>
      </w:r>
      <w:r>
        <w:rPr>
          <w:lang w:val="sr-Cyrl-CS"/>
        </w:rPr>
        <w:t>г</w:t>
      </w:r>
      <w:r>
        <w:t xml:space="preserve">одини </w:t>
      </w:r>
      <w:r>
        <w:rPr>
          <w:lang w:val="sr-Cyrl-CS"/>
        </w:rPr>
        <w:t>спровела истраживање у 177 држава, а Србија се налази на 72. Месту, док је Словенија на 43. месту,  Хрватска на 57. месту, Македонија на 67. месту, Црна Гора на 67. Месту, а Босна и Херцеговина на 72. месту. Према овом истраживању Србија се сматра земљом у којој је висок ниво корупције. (</w:t>
      </w:r>
      <w:hyperlink r:id="rId65" w:history="1">
        <w:r w:rsidRPr="00FB74D0">
          <w:rPr>
            <w:rStyle w:val="Hyperlink"/>
            <w:lang w:val="sr-Cyrl-CS"/>
          </w:rPr>
          <w:t>http://www.transparentnost.org.rs</w:t>
        </w:r>
      </w:hyperlink>
      <w:r>
        <w:rPr>
          <w:lang w:val="sr-Cyrl-CS"/>
        </w:rPr>
        <w:t xml:space="preserve">) </w:t>
      </w:r>
    </w:p>
  </w:footnote>
  <w:footnote w:id="714">
    <w:p w:rsidR="00767127" w:rsidRPr="002877ED" w:rsidRDefault="00767127">
      <w:pPr>
        <w:pStyle w:val="FootnoteText"/>
        <w:rPr>
          <w:lang w:val="sr-Cyrl-CS"/>
        </w:rPr>
      </w:pPr>
      <w:r>
        <w:rPr>
          <w:rStyle w:val="FootnoteReference"/>
        </w:rPr>
        <w:footnoteRef/>
      </w:r>
      <w:r>
        <w:t xml:space="preserve"> </w:t>
      </w:r>
      <w:r>
        <w:rPr>
          <w:lang w:val="sr-Cyrl-CS"/>
        </w:rPr>
        <w:t xml:space="preserve">Мићо Бошковић, </w:t>
      </w:r>
      <w:r w:rsidRPr="00091C1E">
        <w:rPr>
          <w:i/>
          <w:lang w:val="sr-Cyrl-CS"/>
        </w:rPr>
        <w:t>нав. дело</w:t>
      </w:r>
      <w:r>
        <w:rPr>
          <w:lang w:val="sr-Cyrl-CS"/>
        </w:rPr>
        <w:t>, стр. 11.</w:t>
      </w:r>
    </w:p>
  </w:footnote>
  <w:footnote w:id="715">
    <w:p w:rsidR="00767127" w:rsidRPr="009C268C" w:rsidRDefault="00767127">
      <w:pPr>
        <w:pStyle w:val="FootnoteText"/>
        <w:rPr>
          <w:lang w:val="sr-Cyrl-CS"/>
        </w:rPr>
      </w:pPr>
      <w:r>
        <w:rPr>
          <w:rStyle w:val="FootnoteReference"/>
        </w:rPr>
        <w:footnoteRef/>
      </w:r>
      <w:r>
        <w:t xml:space="preserve"> </w:t>
      </w:r>
      <w:r>
        <w:rPr>
          <w:lang w:val="sr-Cyrl-CS"/>
        </w:rPr>
        <w:t xml:space="preserve">Слободан Вуковић, </w:t>
      </w:r>
      <w:r>
        <w:rPr>
          <w:i/>
          <w:lang w:val="sr-Cyrl-CS"/>
        </w:rPr>
        <w:t>нав. дело,</w:t>
      </w:r>
      <w:r>
        <w:rPr>
          <w:lang w:val="sr-Cyrl-CS"/>
        </w:rPr>
        <w:t xml:space="preserve"> стр. 30.</w:t>
      </w:r>
    </w:p>
  </w:footnote>
  <w:footnote w:id="716">
    <w:p w:rsidR="00767127" w:rsidRPr="009078FF" w:rsidRDefault="00767127" w:rsidP="00057772">
      <w:pPr>
        <w:pStyle w:val="FootnoteText"/>
        <w:rPr>
          <w:lang w:val="sr-Cyrl-CS"/>
        </w:rPr>
      </w:pPr>
      <w:r>
        <w:rPr>
          <w:rStyle w:val="FootnoteReference"/>
        </w:rPr>
        <w:footnoteRef/>
      </w:r>
      <w:r>
        <w:rPr>
          <w:lang w:val="sr-Cyrl-CS"/>
        </w:rPr>
        <w:t xml:space="preserve">Мићо Бошковић, </w:t>
      </w:r>
      <w:r>
        <w:rPr>
          <w:i/>
          <w:lang w:val="sr-Cyrl-CS"/>
        </w:rPr>
        <w:t xml:space="preserve">нав. дело, </w:t>
      </w:r>
      <w:r>
        <w:rPr>
          <w:lang w:val="sr-Cyrl-CS"/>
        </w:rPr>
        <w:t>стр. 10.</w:t>
      </w:r>
    </w:p>
  </w:footnote>
  <w:footnote w:id="717">
    <w:p w:rsidR="00767127" w:rsidRPr="005817F7" w:rsidRDefault="00767127">
      <w:pPr>
        <w:pStyle w:val="FootnoteText"/>
        <w:rPr>
          <w:lang w:val="sr-Cyrl-CS"/>
        </w:rPr>
      </w:pPr>
      <w:r>
        <w:rPr>
          <w:rStyle w:val="FootnoteReference"/>
        </w:rPr>
        <w:footnoteRef/>
      </w:r>
      <w:r>
        <w:t xml:space="preserve"> </w:t>
      </w:r>
      <w:r>
        <w:rPr>
          <w:lang w:val="sr-Cyrl-CS"/>
        </w:rPr>
        <w:t xml:space="preserve">Види: Мићо Бошковић, </w:t>
      </w:r>
      <w:r>
        <w:rPr>
          <w:i/>
          <w:lang w:val="sr-Cyrl-CS"/>
        </w:rPr>
        <w:t>н</w:t>
      </w:r>
      <w:r w:rsidRPr="00057772">
        <w:rPr>
          <w:i/>
          <w:lang w:val="sr-Cyrl-CS"/>
        </w:rPr>
        <w:t>ав. дело</w:t>
      </w:r>
      <w:r>
        <w:rPr>
          <w:lang w:val="sr-Cyrl-CS"/>
        </w:rPr>
        <w:t>,</w:t>
      </w:r>
      <w:r>
        <w:t xml:space="preserve"> </w:t>
      </w:r>
      <w:r>
        <w:rPr>
          <w:lang w:val="sr-Cyrl-CS"/>
        </w:rPr>
        <w:t xml:space="preserve">стр. 10 и Зоран Ђокић, </w:t>
      </w:r>
      <w:r>
        <w:rPr>
          <w:i/>
          <w:lang w:val="sr-Cyrl-CS"/>
        </w:rPr>
        <w:t xml:space="preserve">нав. дело, </w:t>
      </w:r>
      <w:r>
        <w:rPr>
          <w:lang w:val="sr-Cyrl-CS"/>
        </w:rPr>
        <w:t xml:space="preserve"> стр. 293.</w:t>
      </w:r>
    </w:p>
  </w:footnote>
  <w:footnote w:id="718">
    <w:p w:rsidR="00767127" w:rsidRPr="00956DEE" w:rsidRDefault="00767127">
      <w:pPr>
        <w:pStyle w:val="FootnoteText"/>
        <w:rPr>
          <w:lang w:val="sr-Cyrl-CS"/>
        </w:rPr>
      </w:pPr>
      <w:r>
        <w:rPr>
          <w:rStyle w:val="FootnoteReference"/>
        </w:rPr>
        <w:footnoteRef/>
      </w:r>
      <w:r>
        <w:t xml:space="preserve"> </w:t>
      </w:r>
      <w:r>
        <w:rPr>
          <w:lang w:val="sr-Cyrl-CS"/>
        </w:rPr>
        <w:t xml:space="preserve">Зоран Ђокић, </w:t>
      </w:r>
      <w:r>
        <w:rPr>
          <w:i/>
          <w:lang w:val="sr-Cyrl-CS"/>
        </w:rPr>
        <w:t xml:space="preserve">нав. дело, </w:t>
      </w:r>
      <w:r>
        <w:rPr>
          <w:lang w:val="sr-Cyrl-CS"/>
        </w:rPr>
        <w:t xml:space="preserve"> стр. 293.</w:t>
      </w:r>
    </w:p>
  </w:footnote>
  <w:footnote w:id="719">
    <w:p w:rsidR="00767127" w:rsidRPr="005817F7" w:rsidRDefault="00767127">
      <w:pPr>
        <w:pStyle w:val="FootnoteText"/>
        <w:rPr>
          <w:lang w:val="sr-Cyrl-CS"/>
        </w:rPr>
      </w:pPr>
      <w:r>
        <w:rPr>
          <w:rStyle w:val="FootnoteReference"/>
        </w:rPr>
        <w:footnoteRef/>
      </w:r>
      <w:r>
        <w:t xml:space="preserve"> </w:t>
      </w:r>
      <w:r>
        <w:rPr>
          <w:lang w:val="sr-Cyrl-CS"/>
        </w:rPr>
        <w:t xml:space="preserve">М. Бошковић и Б. Бановић, </w:t>
      </w:r>
      <w:r w:rsidRPr="008D789C">
        <w:rPr>
          <w:b/>
          <w:lang w:val="sr-Cyrl-CS"/>
        </w:rPr>
        <w:t>Криминалистичка методика</w:t>
      </w:r>
      <w:r>
        <w:rPr>
          <w:lang w:val="sr-Cyrl-CS"/>
        </w:rPr>
        <w:t>, Виша школа унутрашњих послова Београд, 1995, стр.234.</w:t>
      </w:r>
    </w:p>
  </w:footnote>
  <w:footnote w:id="720">
    <w:p w:rsidR="00767127" w:rsidRPr="00E747C0" w:rsidRDefault="00767127" w:rsidP="00E747C0">
      <w:pPr>
        <w:pStyle w:val="FootnoteText"/>
        <w:rPr>
          <w:lang w:val="sr-Cyrl-CS"/>
        </w:rPr>
      </w:pPr>
      <w:r>
        <w:rPr>
          <w:rStyle w:val="FootnoteReference"/>
        </w:rPr>
        <w:footnoteRef/>
      </w:r>
      <w:r>
        <w:t xml:space="preserve"> R. Azam, </w:t>
      </w:r>
      <w:r w:rsidRPr="00E747C0">
        <w:rPr>
          <w:b/>
        </w:rPr>
        <w:t>Global Taxation of Cross-border E-commerce Income</w:t>
      </w:r>
      <w:r>
        <w:t xml:space="preserve">, </w:t>
      </w:r>
      <w:r w:rsidRPr="009B41DC">
        <w:rPr>
          <w:i/>
        </w:rPr>
        <w:t>Virginia Tax Review</w:t>
      </w:r>
      <w:r>
        <w:t>, vol.31, No. 6/2012, p. 641</w:t>
      </w:r>
      <w:r>
        <w:rPr>
          <w:lang w:val="sr-Cyrl-CS"/>
        </w:rPr>
        <w:t>.</w:t>
      </w:r>
      <w:r w:rsidRPr="00A23C7D">
        <w:t xml:space="preserve"> </w:t>
      </w:r>
    </w:p>
  </w:footnote>
  <w:footnote w:id="721">
    <w:p w:rsidR="00767127" w:rsidRPr="00A23C7D" w:rsidRDefault="00767127" w:rsidP="00A23C7D">
      <w:pPr>
        <w:jc w:val="both"/>
        <w:rPr>
          <w:rFonts w:ascii="Times New Roman" w:hAnsi="Times New Roman"/>
          <w:sz w:val="24"/>
          <w:szCs w:val="24"/>
          <w:lang w:val="sr-Cyrl-CS"/>
        </w:rPr>
      </w:pPr>
      <w:r>
        <w:rPr>
          <w:rStyle w:val="FootnoteReference"/>
        </w:rPr>
        <w:footnoteRef/>
      </w:r>
      <w:r>
        <w:rPr>
          <w:lang w:val="sr-Cyrl-CS"/>
        </w:rPr>
        <w:t xml:space="preserve"> Р. </w:t>
      </w:r>
      <w:r>
        <w:rPr>
          <w:rFonts w:asciiTheme="minorHAnsi" w:hAnsiTheme="minorHAnsi"/>
          <w:sz w:val="20"/>
          <w:szCs w:val="20"/>
          <w:lang w:val="sr-Cyrl-CS"/>
        </w:rPr>
        <w:t xml:space="preserve">Србљановић </w:t>
      </w:r>
      <w:r w:rsidRPr="00A23C7D">
        <w:rPr>
          <w:rFonts w:asciiTheme="minorHAnsi" w:hAnsiTheme="minorHAnsi"/>
          <w:sz w:val="20"/>
          <w:szCs w:val="20"/>
          <w:lang w:val="sr-Cyrl-CS"/>
        </w:rPr>
        <w:t xml:space="preserve"> и др., </w:t>
      </w:r>
      <w:r w:rsidRPr="00304DD6">
        <w:rPr>
          <w:rFonts w:asciiTheme="minorHAnsi" w:hAnsiTheme="minorHAnsi"/>
          <w:b/>
          <w:sz w:val="20"/>
          <w:szCs w:val="20"/>
          <w:lang w:val="sr-Cyrl-CS"/>
        </w:rPr>
        <w:t>Типологије прања новца у Републици Србији</w:t>
      </w:r>
      <w:r w:rsidRPr="00A23C7D">
        <w:rPr>
          <w:rFonts w:asciiTheme="minorHAnsi" w:hAnsiTheme="minorHAnsi"/>
          <w:sz w:val="20"/>
          <w:szCs w:val="20"/>
          <w:lang w:val="sr-Cyrl-CS"/>
        </w:rPr>
        <w:t xml:space="preserve">, Мисија </w:t>
      </w:r>
      <w:r w:rsidRPr="00A23C7D">
        <w:rPr>
          <w:rFonts w:asciiTheme="minorHAnsi" w:hAnsiTheme="minorHAnsi"/>
          <w:sz w:val="20"/>
          <w:szCs w:val="20"/>
        </w:rPr>
        <w:t xml:space="preserve">OEBS </w:t>
      </w:r>
      <w:r>
        <w:rPr>
          <w:rFonts w:asciiTheme="minorHAnsi" w:hAnsiTheme="minorHAnsi"/>
          <w:sz w:val="20"/>
          <w:szCs w:val="20"/>
          <w:lang w:val="sr-Cyrl-CS"/>
        </w:rPr>
        <w:t xml:space="preserve">у Србији, 2011, </w:t>
      </w:r>
      <w:r>
        <w:rPr>
          <w:lang w:val="sr-Cyrl-CS"/>
        </w:rPr>
        <w:t>стр. 33.</w:t>
      </w:r>
    </w:p>
  </w:footnote>
  <w:footnote w:id="722">
    <w:p w:rsidR="00767127" w:rsidRPr="00C667AD" w:rsidRDefault="00767127" w:rsidP="00775BF8">
      <w:pPr>
        <w:pStyle w:val="FootnoteText"/>
        <w:jc w:val="both"/>
        <w:rPr>
          <w:lang w:val="sr-Cyrl-CS"/>
        </w:rPr>
      </w:pPr>
      <w:r>
        <w:rPr>
          <w:rStyle w:val="FootnoteReference"/>
        </w:rPr>
        <w:footnoteRef/>
      </w:r>
      <w:r>
        <w:t xml:space="preserve"> </w:t>
      </w:r>
      <w:r>
        <w:rPr>
          <w:lang w:val="sr-Cyrl-CS"/>
        </w:rPr>
        <w:t xml:space="preserve">Милева Анђелковић, </w:t>
      </w:r>
      <w:r w:rsidRPr="00775BF8">
        <w:rPr>
          <w:b/>
          <w:lang w:val="sr-Cyrl-CS"/>
        </w:rPr>
        <w:t>Јавне финансије и финансијско право</w:t>
      </w:r>
      <w:r>
        <w:rPr>
          <w:lang w:val="sr-Cyrl-CS"/>
        </w:rPr>
        <w:t>, Центар за публикације Правног факултета у Нишу, Ниш, 2012, стр. 198.</w:t>
      </w:r>
    </w:p>
  </w:footnote>
  <w:footnote w:id="723">
    <w:p w:rsidR="00767127" w:rsidRPr="00DF0ED9" w:rsidRDefault="00767127" w:rsidP="00206FF7">
      <w:pPr>
        <w:pStyle w:val="FootnoteText"/>
        <w:jc w:val="both"/>
        <w:rPr>
          <w:lang w:val="sr-Cyrl-CS"/>
        </w:rPr>
      </w:pPr>
      <w:r>
        <w:rPr>
          <w:rStyle w:val="FootnoteReference"/>
        </w:rPr>
        <w:footnoteRef/>
      </w:r>
      <w:r>
        <w:t xml:space="preserve"> </w:t>
      </w:r>
      <w:r>
        <w:rPr>
          <w:lang w:val="sr-Cyrl-CS"/>
        </w:rPr>
        <w:t xml:space="preserve">Горан Бошковић, </w:t>
      </w:r>
      <w:r w:rsidRPr="00206FF7">
        <w:rPr>
          <w:b/>
          <w:lang w:val="sr-Cyrl-CS"/>
        </w:rPr>
        <w:t>Корупција у приватизацији</w:t>
      </w:r>
      <w:r>
        <w:rPr>
          <w:lang w:val="sr-Cyrl-CS"/>
        </w:rPr>
        <w:t>, у зборнику: Корупција у јавној управи, Криминалистичко-полицијска академија, Београд, 2011, стр. 65-66.</w:t>
      </w:r>
    </w:p>
  </w:footnote>
  <w:footnote w:id="724">
    <w:p w:rsidR="00767127" w:rsidRPr="00D72ABE" w:rsidRDefault="00767127" w:rsidP="00175672">
      <w:pPr>
        <w:pStyle w:val="FootnoteText"/>
        <w:jc w:val="both"/>
        <w:rPr>
          <w:lang w:val="sr-Cyrl-CS"/>
        </w:rPr>
      </w:pPr>
      <w:r>
        <w:rPr>
          <w:rStyle w:val="FootnoteReference"/>
        </w:rPr>
        <w:footnoteRef/>
      </w:r>
      <w:r>
        <w:t xml:space="preserve"> </w:t>
      </w:r>
      <w:r w:rsidRPr="006D0FE0">
        <w:rPr>
          <w:b/>
          <w:lang w:val="sr-Cyrl-CS"/>
        </w:rPr>
        <w:t>Приватизација</w:t>
      </w:r>
      <w:r>
        <w:rPr>
          <w:lang w:val="sr-Cyrl-CS"/>
        </w:rPr>
        <w:t xml:space="preserve">, </w:t>
      </w:r>
      <w:r>
        <w:rPr>
          <w:i/>
        </w:rPr>
        <w:t>Ekonom</w:t>
      </w:r>
      <w:r>
        <w:rPr>
          <w:i/>
          <w:lang w:val="sr-Cyrl-CS"/>
        </w:rPr>
        <w:t>:</w:t>
      </w:r>
      <w:r>
        <w:rPr>
          <w:i/>
        </w:rPr>
        <w:t xml:space="preserve"> east</w:t>
      </w:r>
      <w:r>
        <w:rPr>
          <w:lang w:val="sr-Cyrl-CS"/>
        </w:rPr>
        <w:t>, бр. 617/61</w:t>
      </w:r>
      <w:r>
        <w:t>8</w:t>
      </w:r>
      <w:r>
        <w:rPr>
          <w:lang w:val="sr-Cyrl-CS"/>
        </w:rPr>
        <w:t>, Београд, 2012, стр. 30. (</w:t>
      </w:r>
      <w:r w:rsidRPr="00FD1AE5">
        <w:rPr>
          <w:lang w:val="sr-Cyrl-CS"/>
        </w:rPr>
        <w:t>http:/</w:t>
      </w:r>
      <w:r>
        <w:rPr>
          <w:lang w:val="sr-Cyrl-CS"/>
        </w:rPr>
        <w:t>/www.antikorupcija-savet.gov.rs).</w:t>
      </w:r>
    </w:p>
  </w:footnote>
  <w:footnote w:id="725">
    <w:p w:rsidR="00767127" w:rsidRPr="00905570" w:rsidRDefault="00767127" w:rsidP="006D0FE0">
      <w:pPr>
        <w:pStyle w:val="FootnoteText"/>
        <w:rPr>
          <w:lang w:val="sr-Cyrl-CS"/>
        </w:rPr>
      </w:pPr>
      <w:r>
        <w:rPr>
          <w:rStyle w:val="FootnoteReference"/>
        </w:rPr>
        <w:footnoteRef/>
      </w:r>
      <w:r>
        <w:t xml:space="preserve"> </w:t>
      </w:r>
      <w:r>
        <w:rPr>
          <w:lang w:val="sr-Cyrl-CS"/>
        </w:rPr>
        <w:t>Д</w:t>
      </w:r>
      <w:r>
        <w:t xml:space="preserve">. </w:t>
      </w:r>
      <w:r>
        <w:rPr>
          <w:lang w:val="sr-Cyrl-CS"/>
        </w:rPr>
        <w:t xml:space="preserve">Шуковић, </w:t>
      </w:r>
      <w:r>
        <w:rPr>
          <w:b/>
          <w:lang w:val="sr-Cyrl-CS"/>
        </w:rPr>
        <w:t>Приватизација и транспарентност</w:t>
      </w:r>
      <w:r w:rsidRPr="00140967">
        <w:rPr>
          <w:lang w:val="sr-Cyrl-CS"/>
        </w:rPr>
        <w:t>, Transparency International Serbia, Beograd, 2001</w:t>
      </w:r>
      <w:r>
        <w:rPr>
          <w:lang w:val="sr-Cyrl-CS"/>
        </w:rPr>
        <w:t xml:space="preserve">, стр. 31-33.( Извор: </w:t>
      </w:r>
      <w:hyperlink r:id="rId66" w:history="1">
        <w:r w:rsidRPr="00F41C63">
          <w:rPr>
            <w:rStyle w:val="Hyperlink"/>
            <w:lang w:val="sr-Cyrl-CS"/>
          </w:rPr>
          <w:t>http://transparentnost.org.rs</w:t>
        </w:r>
      </w:hyperlink>
      <w:r>
        <w:rPr>
          <w:lang w:val="sr-Cyrl-CS"/>
        </w:rPr>
        <w:t xml:space="preserve"> )</w:t>
      </w:r>
    </w:p>
  </w:footnote>
  <w:footnote w:id="726">
    <w:p w:rsidR="00767127" w:rsidRPr="00DF0ED9" w:rsidRDefault="00767127" w:rsidP="000D6329">
      <w:pPr>
        <w:pStyle w:val="FootnoteText"/>
        <w:rPr>
          <w:lang w:val="sr-Cyrl-CS"/>
        </w:rPr>
      </w:pPr>
      <w:r>
        <w:rPr>
          <w:rStyle w:val="FootnoteReference"/>
        </w:rPr>
        <w:footnoteRef/>
      </w:r>
      <w:r>
        <w:rPr>
          <w:lang w:val="sr-Cyrl-CS"/>
        </w:rPr>
        <w:t xml:space="preserve">М. Шкулић, </w:t>
      </w:r>
      <w:r w:rsidRPr="00DF0ED9">
        <w:rPr>
          <w:b/>
          <w:lang w:val="sr-Cyrl-CS"/>
        </w:rPr>
        <w:t>Привредни криминалитет</w:t>
      </w:r>
      <w:r>
        <w:rPr>
          <w:lang w:val="sr-Cyrl-CS"/>
        </w:rPr>
        <w:t>, Факултет за пословни менаџмент, Бар, 2010, стр. 24.</w:t>
      </w:r>
      <w:r>
        <w:t xml:space="preserve"> </w:t>
      </w:r>
    </w:p>
  </w:footnote>
  <w:footnote w:id="727">
    <w:p w:rsidR="00767127" w:rsidRPr="003B48EA" w:rsidRDefault="00767127">
      <w:pPr>
        <w:pStyle w:val="FootnoteText"/>
        <w:rPr>
          <w:lang w:val="sr-Cyrl-CS"/>
        </w:rPr>
      </w:pPr>
      <w:r>
        <w:rPr>
          <w:rStyle w:val="FootnoteReference"/>
        </w:rPr>
        <w:footnoteRef/>
      </w:r>
      <w:r>
        <w:t xml:space="preserve"> </w:t>
      </w:r>
      <w:r>
        <w:rPr>
          <w:lang w:val="sr-Cyrl-CS"/>
        </w:rPr>
        <w:t xml:space="preserve">Радојко Србљановић и др., </w:t>
      </w:r>
      <w:r>
        <w:rPr>
          <w:i/>
          <w:lang w:val="sr-Cyrl-CS"/>
        </w:rPr>
        <w:t>нав. дело,</w:t>
      </w:r>
      <w:r>
        <w:rPr>
          <w:lang w:val="sr-Cyrl-CS"/>
        </w:rPr>
        <w:t xml:space="preserve"> стр. 25.</w:t>
      </w:r>
    </w:p>
  </w:footnote>
  <w:footnote w:id="728">
    <w:p w:rsidR="00767127" w:rsidRPr="00CF06AC" w:rsidRDefault="00767127">
      <w:pPr>
        <w:pStyle w:val="FootnoteText"/>
        <w:rPr>
          <w:lang w:val="sr-Cyrl-CS"/>
        </w:rPr>
      </w:pPr>
      <w:r>
        <w:rPr>
          <w:rStyle w:val="FootnoteReference"/>
        </w:rPr>
        <w:footnoteRef/>
      </w:r>
      <w:r>
        <w:t xml:space="preserve"> </w:t>
      </w:r>
      <w:r>
        <w:rPr>
          <w:lang w:val="sr-Cyrl-CS"/>
        </w:rPr>
        <w:t xml:space="preserve">Слободан Вуковић, </w:t>
      </w:r>
      <w:r w:rsidRPr="008C541A">
        <w:rPr>
          <w:b/>
          <w:lang w:val="sr-Cyrl-CS"/>
        </w:rPr>
        <w:t>Корупција и владавина права</w:t>
      </w:r>
      <w:r>
        <w:rPr>
          <w:lang w:val="sr-Cyrl-CS"/>
        </w:rPr>
        <w:t>, ИДН Драганић, Београд, 2003, стр. 181.</w:t>
      </w:r>
    </w:p>
  </w:footnote>
  <w:footnote w:id="729">
    <w:p w:rsidR="00767127" w:rsidRPr="00BC7798" w:rsidRDefault="00767127">
      <w:pPr>
        <w:pStyle w:val="FootnoteText"/>
        <w:rPr>
          <w:lang w:val="sr-Cyrl-CS"/>
        </w:rPr>
      </w:pPr>
      <w:r>
        <w:rPr>
          <w:rStyle w:val="FootnoteReference"/>
        </w:rPr>
        <w:footnoteRef/>
      </w:r>
      <w:r>
        <w:t xml:space="preserve"> </w:t>
      </w:r>
      <w:r>
        <w:rPr>
          <w:lang w:val="sr-Cyrl-CS"/>
        </w:rPr>
        <w:t xml:space="preserve">Радојко Србљановић и др., </w:t>
      </w:r>
      <w:r>
        <w:rPr>
          <w:i/>
          <w:lang w:val="sr-Cyrl-CS"/>
        </w:rPr>
        <w:t>нав. дело</w:t>
      </w:r>
      <w:r w:rsidRPr="003F34BB">
        <w:rPr>
          <w:i/>
          <w:lang w:val="sr-Cyrl-CS"/>
        </w:rPr>
        <w:t>,</w:t>
      </w:r>
      <w:r>
        <w:rPr>
          <w:lang w:val="sr-Cyrl-CS"/>
        </w:rPr>
        <w:t xml:space="preserve"> стр. 65.</w:t>
      </w:r>
    </w:p>
  </w:footnote>
  <w:footnote w:id="730">
    <w:p w:rsidR="00767127" w:rsidRPr="00D923BF" w:rsidRDefault="00767127">
      <w:pPr>
        <w:pStyle w:val="FootnoteText"/>
        <w:rPr>
          <w:lang w:val="sr-Cyrl-CS"/>
        </w:rPr>
      </w:pPr>
      <w:r>
        <w:rPr>
          <w:rStyle w:val="FootnoteReference"/>
        </w:rPr>
        <w:footnoteRef/>
      </w:r>
      <w:r>
        <w:t xml:space="preserve"> </w:t>
      </w:r>
      <w:r>
        <w:rPr>
          <w:i/>
          <w:lang w:val="sr-Cyrl-CS"/>
        </w:rPr>
        <w:t>Нав. дело</w:t>
      </w:r>
      <w:r>
        <w:rPr>
          <w:lang w:val="sr-Cyrl-CS"/>
        </w:rPr>
        <w:t>, стр. 31</w:t>
      </w:r>
      <w:r>
        <w:rPr>
          <w:rFonts w:ascii="Times New Roman" w:hAnsi="Times New Roman"/>
          <w:sz w:val="24"/>
          <w:szCs w:val="24"/>
          <w:lang w:val="sr-Cyrl-CS"/>
        </w:rPr>
        <w:t>.</w:t>
      </w:r>
    </w:p>
  </w:footnote>
  <w:footnote w:id="731">
    <w:p w:rsidR="00767127" w:rsidRPr="00206FF7" w:rsidRDefault="00767127">
      <w:pPr>
        <w:pStyle w:val="FootnoteText"/>
        <w:rPr>
          <w:lang w:val="sr-Cyrl-CS"/>
        </w:rPr>
      </w:pPr>
      <w:r>
        <w:rPr>
          <w:rStyle w:val="FootnoteReference"/>
        </w:rPr>
        <w:footnoteRef/>
      </w:r>
      <w:r>
        <w:t xml:space="preserve"> </w:t>
      </w:r>
      <w:r>
        <w:rPr>
          <w:lang w:val="sr-Cyrl-CS"/>
        </w:rPr>
        <w:t xml:space="preserve">Жељко Нинчић, </w:t>
      </w:r>
      <w:r>
        <w:rPr>
          <w:i/>
          <w:lang w:val="sr-Cyrl-CS"/>
        </w:rPr>
        <w:t xml:space="preserve">нав. дело, </w:t>
      </w:r>
      <w:r>
        <w:rPr>
          <w:lang w:val="sr-Cyrl-CS"/>
        </w:rPr>
        <w:t xml:space="preserve"> стр. 50-51.</w:t>
      </w:r>
    </w:p>
  </w:footnote>
  <w:footnote w:id="732">
    <w:p w:rsidR="00767127" w:rsidRPr="00D3269A" w:rsidRDefault="00767127">
      <w:pPr>
        <w:pStyle w:val="FootnoteText"/>
        <w:rPr>
          <w:lang w:val="sr-Cyrl-CS"/>
        </w:rPr>
      </w:pPr>
      <w:r>
        <w:rPr>
          <w:rStyle w:val="FootnoteReference"/>
        </w:rPr>
        <w:footnoteRef/>
      </w:r>
      <w:r>
        <w:t xml:space="preserve"> </w:t>
      </w:r>
      <w:r w:rsidRPr="003B127B">
        <w:rPr>
          <w:i/>
          <w:lang w:val="sr-Cyrl-CS"/>
        </w:rPr>
        <w:t>Нав. дело</w:t>
      </w:r>
      <w:r w:rsidRPr="009B7DF9">
        <w:rPr>
          <w:i/>
        </w:rPr>
        <w:t>,</w:t>
      </w:r>
      <w:r>
        <w:t xml:space="preserve"> </w:t>
      </w:r>
      <w:r>
        <w:rPr>
          <w:lang w:val="sr-Cyrl-CS"/>
        </w:rPr>
        <w:t>стр. 52.</w:t>
      </w:r>
    </w:p>
  </w:footnote>
  <w:footnote w:id="733">
    <w:p w:rsidR="00767127" w:rsidRPr="00FC53C9" w:rsidRDefault="00767127">
      <w:pPr>
        <w:pStyle w:val="FootnoteText"/>
        <w:rPr>
          <w:lang w:val="sr-Cyrl-CS"/>
        </w:rPr>
      </w:pPr>
      <w:r>
        <w:rPr>
          <w:rStyle w:val="FootnoteReference"/>
        </w:rPr>
        <w:footnoteRef/>
      </w:r>
      <w:r>
        <w:t xml:space="preserve"> </w:t>
      </w:r>
      <w:r>
        <w:rPr>
          <w:lang w:val="sr-Cyrl-CS"/>
        </w:rPr>
        <w:t xml:space="preserve">Радојко Србљановић и др., </w:t>
      </w:r>
      <w:r>
        <w:rPr>
          <w:i/>
          <w:lang w:val="sr-Cyrl-CS"/>
        </w:rPr>
        <w:t xml:space="preserve">нав. дело, </w:t>
      </w:r>
      <w:r>
        <w:rPr>
          <w:lang w:val="sr-Cyrl-CS"/>
        </w:rPr>
        <w:t xml:space="preserve"> стр. 37.</w:t>
      </w:r>
    </w:p>
  </w:footnote>
  <w:footnote w:id="734">
    <w:p w:rsidR="00767127" w:rsidRPr="00EE637D" w:rsidRDefault="00767127">
      <w:pPr>
        <w:pStyle w:val="FootnoteText"/>
        <w:rPr>
          <w:lang w:val="sr-Cyrl-CS"/>
        </w:rPr>
      </w:pPr>
      <w:r>
        <w:rPr>
          <w:rStyle w:val="FootnoteReference"/>
        </w:rPr>
        <w:footnoteRef/>
      </w:r>
      <w:r>
        <w:t xml:space="preserve"> </w:t>
      </w:r>
      <w:r>
        <w:rPr>
          <w:i/>
          <w:lang w:val="sr-Cyrl-CS"/>
        </w:rPr>
        <w:t>Н</w:t>
      </w:r>
      <w:r w:rsidRPr="00EE637D">
        <w:rPr>
          <w:i/>
          <w:lang w:val="sr-Cyrl-CS"/>
        </w:rPr>
        <w:t>ав. дело</w:t>
      </w:r>
      <w:r>
        <w:rPr>
          <w:lang w:val="sr-Cyrl-CS"/>
        </w:rPr>
        <w:t>, стр. 19-31.</w:t>
      </w:r>
    </w:p>
  </w:footnote>
  <w:footnote w:id="735">
    <w:p w:rsidR="00767127" w:rsidRPr="00F5204A" w:rsidRDefault="00767127">
      <w:pPr>
        <w:pStyle w:val="FootnoteText"/>
      </w:pPr>
      <w:r>
        <w:rPr>
          <w:rStyle w:val="FootnoteReference"/>
        </w:rPr>
        <w:footnoteRef/>
      </w:r>
      <w:r>
        <w:t xml:space="preserve"> Nathaniel </w:t>
      </w:r>
      <w:r>
        <w:rPr>
          <w:lang w:val="sr-Cyrl-CS"/>
        </w:rPr>
        <w:t>Leff</w:t>
      </w:r>
      <w:r>
        <w:t xml:space="preserve">, </w:t>
      </w:r>
      <w:r w:rsidRPr="00EB1562">
        <w:rPr>
          <w:b/>
        </w:rPr>
        <w:t>Economic Development through Bureaucratic Corruption</w:t>
      </w:r>
      <w:r>
        <w:t xml:space="preserve">, American Behavioral Scientist, 1964, pp. 8-14, Samuel P. Huntington, </w:t>
      </w:r>
      <w:r w:rsidRPr="00EB1562">
        <w:rPr>
          <w:b/>
        </w:rPr>
        <w:t>Modernization and Corruption</w:t>
      </w:r>
      <w:r w:rsidRPr="00F5204A">
        <w:rPr>
          <w:b/>
        </w:rPr>
        <w:t xml:space="preserve">, Political Order in Changing Societes, </w:t>
      </w:r>
      <w:r w:rsidRPr="00F5204A">
        <w:t>Yale University Press</w:t>
      </w:r>
      <w:r>
        <w:t xml:space="preserve">, New Haven, 1968, CT, </w:t>
      </w:r>
      <w:r>
        <w:rPr>
          <w:lang w:val="sr-Cyrl-CS"/>
        </w:rPr>
        <w:t>рр</w:t>
      </w:r>
      <w:r w:rsidRPr="00F5204A">
        <w:t xml:space="preserve">. 59-71.  </w:t>
      </w:r>
    </w:p>
  </w:footnote>
  <w:footnote w:id="736">
    <w:p w:rsidR="00767127" w:rsidRPr="00337DC8" w:rsidRDefault="00767127" w:rsidP="00163CB7">
      <w:pPr>
        <w:pStyle w:val="FootnoteText"/>
        <w:rPr>
          <w:lang w:val="sr-Cyrl-CS"/>
        </w:rPr>
      </w:pPr>
      <w:r>
        <w:rPr>
          <w:rStyle w:val="FootnoteReference"/>
        </w:rPr>
        <w:footnoteRef/>
      </w:r>
      <w:r>
        <w:t xml:space="preserve"> </w:t>
      </w:r>
      <w:r>
        <w:rPr>
          <w:lang w:val="sr-Cyrl-CS"/>
        </w:rPr>
        <w:t xml:space="preserve">Звездан Ђурић, </w:t>
      </w:r>
      <w:r w:rsidRPr="00163CB7">
        <w:rPr>
          <w:b/>
          <w:lang w:val="sr-Cyrl-CS"/>
        </w:rPr>
        <w:t>Сива економија и корупција као глобални проблем</w:t>
      </w:r>
      <w:r>
        <w:rPr>
          <w:lang w:val="sr-Cyrl-CS"/>
        </w:rPr>
        <w:t>, Економски факултет, Приштина, 2003, стр. 16.</w:t>
      </w:r>
    </w:p>
  </w:footnote>
  <w:footnote w:id="737">
    <w:p w:rsidR="00767127" w:rsidRPr="004640DE" w:rsidRDefault="00767127" w:rsidP="00163CB7">
      <w:pPr>
        <w:pStyle w:val="FootnoteText"/>
        <w:rPr>
          <w:lang w:val="sr-Cyrl-CS"/>
        </w:rPr>
      </w:pPr>
      <w:r>
        <w:rPr>
          <w:rStyle w:val="FootnoteReference"/>
        </w:rPr>
        <w:footnoteRef/>
      </w:r>
      <w:r>
        <w:t xml:space="preserve"> </w:t>
      </w:r>
      <w:r>
        <w:rPr>
          <w:lang w:val="sr-Cyrl-CS"/>
        </w:rPr>
        <w:t xml:space="preserve"> Johann Graf Lambsdorf, </w:t>
      </w:r>
      <w:r w:rsidRPr="00163CB7">
        <w:rPr>
          <w:b/>
          <w:lang w:val="sr-Cyrl-CS"/>
        </w:rPr>
        <w:t>Узроци и последице корупције: шта знамо из укрштања података из разних земаља?</w:t>
      </w:r>
      <w:r>
        <w:rPr>
          <w:lang w:val="sr-Cyrl-CS"/>
        </w:rPr>
        <w:t>, у зборнику: Економија корупције, ЈП „Службени гласник“, 2008, стр. 74.</w:t>
      </w:r>
    </w:p>
  </w:footnote>
  <w:footnote w:id="738">
    <w:p w:rsidR="00767127" w:rsidRPr="008B4856" w:rsidRDefault="00767127" w:rsidP="0084680D">
      <w:pPr>
        <w:pStyle w:val="FootnoteText"/>
        <w:rPr>
          <w:lang w:val="sr-Cyrl-CS"/>
        </w:rPr>
      </w:pPr>
      <w:r>
        <w:rPr>
          <w:rStyle w:val="FootnoteReference"/>
        </w:rPr>
        <w:footnoteRef/>
      </w:r>
      <w:r>
        <w:t xml:space="preserve"> </w:t>
      </w:r>
      <w:r>
        <w:rPr>
          <w:lang w:val="sr-Cyrl-CS"/>
        </w:rPr>
        <w:t xml:space="preserve">Зоран Ђокић, </w:t>
      </w:r>
      <w:r w:rsidRPr="008E63F5">
        <w:rPr>
          <w:i/>
          <w:lang w:val="sr-Cyrl-CS"/>
        </w:rPr>
        <w:t>нав. дело,</w:t>
      </w:r>
      <w:r>
        <w:rPr>
          <w:lang w:val="sr-Cyrl-CS"/>
        </w:rPr>
        <w:t xml:space="preserve"> стр. 284. </w:t>
      </w:r>
    </w:p>
  </w:footnote>
  <w:footnote w:id="739">
    <w:p w:rsidR="00767127" w:rsidRPr="00D52487" w:rsidRDefault="00767127">
      <w:pPr>
        <w:pStyle w:val="FootnoteText"/>
        <w:rPr>
          <w:lang w:val="sr-Cyrl-CS"/>
        </w:rPr>
      </w:pPr>
      <w:r>
        <w:rPr>
          <w:rStyle w:val="FootnoteReference"/>
        </w:rPr>
        <w:footnoteRef/>
      </w:r>
      <w:r>
        <w:t xml:space="preserve"> </w:t>
      </w:r>
      <w:r>
        <w:rPr>
          <w:lang w:val="sr-Cyrl-CS"/>
        </w:rPr>
        <w:t xml:space="preserve">Жељко Бјелајац, </w:t>
      </w:r>
      <w:r>
        <w:rPr>
          <w:b/>
          <w:lang w:val="sr-Cyrl-CS"/>
        </w:rPr>
        <w:t>Корупција као вид организов</w:t>
      </w:r>
      <w:r w:rsidRPr="00D43652">
        <w:rPr>
          <w:b/>
          <w:lang w:val="sr-Cyrl-CS"/>
        </w:rPr>
        <w:t>аног криминала</w:t>
      </w:r>
      <w:r>
        <w:rPr>
          <w:lang w:val="sr-Cyrl-CS"/>
        </w:rPr>
        <w:t xml:space="preserve">, </w:t>
      </w:r>
      <w:r w:rsidRPr="00D43652">
        <w:rPr>
          <w:i/>
          <w:lang w:val="sr-Cyrl-CS"/>
        </w:rPr>
        <w:t>Право: теорија и пракса</w:t>
      </w:r>
      <w:r>
        <w:rPr>
          <w:lang w:val="sr-Cyrl-CS"/>
        </w:rPr>
        <w:t>, бр. 3-4, 2008, стр. 49-50.</w:t>
      </w:r>
    </w:p>
  </w:footnote>
  <w:footnote w:id="740">
    <w:p w:rsidR="00767127" w:rsidRPr="009D489C" w:rsidRDefault="00767127" w:rsidP="009D489C">
      <w:pPr>
        <w:pStyle w:val="FootnoteText"/>
        <w:jc w:val="both"/>
        <w:rPr>
          <w:lang w:val="sr-Cyrl-CS"/>
        </w:rPr>
      </w:pPr>
      <w:r>
        <w:rPr>
          <w:rStyle w:val="FootnoteReference"/>
        </w:rPr>
        <w:footnoteRef/>
      </w:r>
      <w:r>
        <w:t xml:space="preserve"> </w:t>
      </w:r>
      <w:r>
        <w:rPr>
          <w:lang w:val="sr-Cyrl-CS"/>
        </w:rPr>
        <w:t xml:space="preserve">Горан Илић, </w:t>
      </w:r>
      <w:r w:rsidRPr="009D489C">
        <w:rPr>
          <w:b/>
          <w:lang w:val="sr-Cyrl-CS"/>
        </w:rPr>
        <w:t>Привредни преступи и прекршај</w:t>
      </w:r>
      <w:r>
        <w:rPr>
          <w:b/>
          <w:lang w:val="sr-Cyrl-CS"/>
        </w:rPr>
        <w:t>и</w:t>
      </w:r>
      <w:r w:rsidRPr="009D489C">
        <w:rPr>
          <w:b/>
          <w:lang w:val="sr-Cyrl-CS"/>
        </w:rPr>
        <w:t xml:space="preserve"> као облик сузбијања привредног криминала</w:t>
      </w:r>
      <w:r>
        <w:rPr>
          <w:lang w:val="sr-Cyrl-CS"/>
        </w:rPr>
        <w:t xml:space="preserve">, Привредни криминал и корупција, </w:t>
      </w:r>
      <w:r>
        <w:t xml:space="preserve">XIII </w:t>
      </w:r>
      <w:r>
        <w:rPr>
          <w:lang w:val="sr-Cyrl-CS"/>
        </w:rPr>
        <w:t xml:space="preserve">семинар права, 2001, стр. 152. </w:t>
      </w:r>
    </w:p>
  </w:footnote>
  <w:footnote w:id="741">
    <w:p w:rsidR="00767127" w:rsidRPr="00EB6B0E" w:rsidRDefault="00767127" w:rsidP="005417F2">
      <w:pPr>
        <w:pStyle w:val="FootnoteText"/>
        <w:jc w:val="both"/>
        <w:rPr>
          <w:lang w:val="sr-Cyrl-CS"/>
        </w:rPr>
      </w:pPr>
      <w:r>
        <w:rPr>
          <w:rStyle w:val="FootnoteReference"/>
        </w:rPr>
        <w:footnoteRef/>
      </w:r>
      <w:r>
        <w:rPr>
          <w:lang w:val="sr-Cyrl-CS"/>
        </w:rPr>
        <w:t xml:space="preserve"> Драган Јовашевић, </w:t>
      </w:r>
      <w:r w:rsidRPr="005417F2">
        <w:rPr>
          <w:b/>
          <w:lang w:val="sr-Cyrl-CS"/>
        </w:rPr>
        <w:t>Политика сузбијања криминлаитета у функцији ефикасности система безбедности у Србији,</w:t>
      </w:r>
      <w:r>
        <w:rPr>
          <w:lang w:val="sr-Cyrl-CS"/>
        </w:rPr>
        <w:t xml:space="preserve"> зборник радова: </w:t>
      </w:r>
      <w:r w:rsidRPr="005417F2">
        <w:rPr>
          <w:i/>
          <w:lang w:val="sr-Cyrl-CS"/>
        </w:rPr>
        <w:t>Изградња капацитета система безбедности</w:t>
      </w:r>
      <w:r>
        <w:rPr>
          <w:lang w:val="sr-Cyrl-CS"/>
        </w:rPr>
        <w:t>, 2011, стр. 214.</w:t>
      </w:r>
    </w:p>
  </w:footnote>
  <w:footnote w:id="742">
    <w:p w:rsidR="00767127" w:rsidRPr="0004248F" w:rsidRDefault="00767127">
      <w:pPr>
        <w:pStyle w:val="FootnoteText"/>
        <w:rPr>
          <w:lang w:val="sr-Cyrl-CS"/>
        </w:rPr>
      </w:pPr>
      <w:r>
        <w:rPr>
          <w:rStyle w:val="FootnoteReference"/>
        </w:rPr>
        <w:footnoteRef/>
      </w:r>
      <w:r>
        <w:rPr>
          <w:lang w:val="sr-Cyrl-CS"/>
        </w:rPr>
        <w:t xml:space="preserve"> Ђорђе Игњатовић, </w:t>
      </w:r>
      <w:r w:rsidRPr="0004248F">
        <w:rPr>
          <w:i/>
          <w:lang w:val="sr-Cyrl-CS"/>
        </w:rPr>
        <w:t>нав. дело</w:t>
      </w:r>
      <w:r>
        <w:rPr>
          <w:lang w:val="sr-Cyrl-CS"/>
        </w:rPr>
        <w:t>, стр. 144.</w:t>
      </w:r>
    </w:p>
  </w:footnote>
  <w:footnote w:id="743">
    <w:p w:rsidR="00767127" w:rsidRPr="009B6C96" w:rsidRDefault="00767127" w:rsidP="009B6C96">
      <w:pPr>
        <w:pStyle w:val="FootnoteText"/>
        <w:jc w:val="both"/>
        <w:rPr>
          <w:lang w:val="sr-Cyrl-CS"/>
        </w:rPr>
      </w:pPr>
      <w:r>
        <w:rPr>
          <w:rStyle w:val="FootnoteReference"/>
        </w:rPr>
        <w:footnoteRef/>
      </w:r>
      <w:r>
        <w:t xml:space="preserve"> </w:t>
      </w:r>
      <w:r>
        <w:rPr>
          <w:lang w:val="sr-Cyrl-CS"/>
        </w:rPr>
        <w:t xml:space="preserve"> Горан Милошевић и Мирко Кулић, </w:t>
      </w:r>
      <w:r w:rsidRPr="00B91FF0">
        <w:rPr>
          <w:b/>
          <w:lang w:val="sr-Cyrl-CS"/>
        </w:rPr>
        <w:t xml:space="preserve">Сузбијање пореске евазије као фактор изградње безбедности, </w:t>
      </w:r>
      <w:r>
        <w:rPr>
          <w:lang w:val="sr-Cyrl-CS"/>
        </w:rPr>
        <w:t xml:space="preserve">зборник радова: </w:t>
      </w:r>
      <w:r w:rsidRPr="005417F2">
        <w:rPr>
          <w:i/>
          <w:lang w:val="sr-Cyrl-CS"/>
        </w:rPr>
        <w:t>Изградња капацитета система безбедности</w:t>
      </w:r>
      <w:r>
        <w:rPr>
          <w:lang w:val="sr-Cyrl-CS"/>
        </w:rPr>
        <w:t>, 2011, стр. 188-189.</w:t>
      </w:r>
    </w:p>
  </w:footnote>
  <w:footnote w:id="744">
    <w:p w:rsidR="00767127" w:rsidRPr="00CD299A" w:rsidRDefault="00767127" w:rsidP="008B42E2">
      <w:pPr>
        <w:pStyle w:val="FootnoteText"/>
        <w:rPr>
          <w:lang w:val="sr-Cyrl-CS"/>
        </w:rPr>
      </w:pPr>
      <w:r>
        <w:rPr>
          <w:rStyle w:val="FootnoteReference"/>
        </w:rPr>
        <w:footnoteRef/>
      </w:r>
      <w:r>
        <w:t xml:space="preserve"> </w:t>
      </w:r>
      <w:r>
        <w:rPr>
          <w:lang w:val="sr-Cyrl-CS"/>
        </w:rPr>
        <w:t xml:space="preserve">Мићо Бошковић, </w:t>
      </w:r>
      <w:r w:rsidRPr="008B42E2">
        <w:rPr>
          <w:b/>
          <w:lang w:val="sr-Cyrl-CS"/>
        </w:rPr>
        <w:t>Актуелни проблеми сузбијања корупције</w:t>
      </w:r>
      <w:r>
        <w:rPr>
          <w:lang w:val="sr-Cyrl-CS"/>
        </w:rPr>
        <w:t>, Полицијска академија, Београд, 2000, стр. 90.</w:t>
      </w:r>
    </w:p>
  </w:footnote>
  <w:footnote w:id="745">
    <w:p w:rsidR="00767127" w:rsidRPr="00166A8D" w:rsidRDefault="00767127">
      <w:pPr>
        <w:pStyle w:val="FootnoteText"/>
        <w:rPr>
          <w:lang w:val="sr-Cyrl-CS"/>
        </w:rPr>
      </w:pPr>
      <w:r>
        <w:rPr>
          <w:rStyle w:val="FootnoteReference"/>
        </w:rPr>
        <w:footnoteRef/>
      </w:r>
      <w:r>
        <w:t xml:space="preserve"> </w:t>
      </w:r>
      <w:r>
        <w:rPr>
          <w:lang w:val="sr-Cyrl-CS"/>
        </w:rPr>
        <w:t xml:space="preserve">Жељко Нинчић, </w:t>
      </w:r>
      <w:r w:rsidRPr="00F41CDF">
        <w:rPr>
          <w:b/>
          <w:lang w:val="sr-Cyrl-CS"/>
        </w:rPr>
        <w:t>Србија и корупц</w:t>
      </w:r>
      <w:r>
        <w:rPr>
          <w:b/>
          <w:lang w:val="sr-Cyrl-CS"/>
        </w:rPr>
        <w:t>ија</w:t>
      </w:r>
      <w:r>
        <w:rPr>
          <w:lang w:val="sr-Cyrl-CS"/>
        </w:rPr>
        <w:t>, Задужбина Андрејевић, 2010</w:t>
      </w:r>
      <w:r>
        <w:t xml:space="preserve">., </w:t>
      </w:r>
      <w:r>
        <w:rPr>
          <w:lang w:val="sr-Cyrl-CS"/>
        </w:rPr>
        <w:t>стр. 93.</w:t>
      </w:r>
    </w:p>
  </w:footnote>
  <w:footnote w:id="746">
    <w:p w:rsidR="00767127" w:rsidRPr="005321CC" w:rsidRDefault="00767127" w:rsidP="005321CC">
      <w:pPr>
        <w:pStyle w:val="FootnoteText"/>
        <w:rPr>
          <w:lang w:val="sr-Cyrl-CS"/>
        </w:rPr>
      </w:pPr>
      <w:r>
        <w:rPr>
          <w:rStyle w:val="FootnoteReference"/>
        </w:rPr>
        <w:footnoteRef/>
      </w:r>
      <w:r>
        <w:t xml:space="preserve"> </w:t>
      </w:r>
      <w:r>
        <w:rPr>
          <w:lang w:val="sr-Cyrl-CS"/>
        </w:rPr>
        <w:t xml:space="preserve">Владимир Кривокапић, </w:t>
      </w:r>
      <w:r w:rsidRPr="00174434">
        <w:rPr>
          <w:b/>
          <w:lang w:val="sr-Cyrl-CS"/>
        </w:rPr>
        <w:t>Превенција криминалитета</w:t>
      </w:r>
      <w:r>
        <w:rPr>
          <w:lang w:val="sr-Cyrl-CS"/>
        </w:rPr>
        <w:t>, Полицијска академија, Београд, 2002, стр. 32.</w:t>
      </w:r>
    </w:p>
  </w:footnote>
  <w:footnote w:id="747">
    <w:p w:rsidR="00767127" w:rsidRPr="00CE17DB" w:rsidRDefault="00767127" w:rsidP="00235B84">
      <w:pPr>
        <w:pStyle w:val="FootnoteText"/>
        <w:jc w:val="both"/>
        <w:rPr>
          <w:lang w:val="sr-Cyrl-CS"/>
        </w:rPr>
      </w:pPr>
      <w:r>
        <w:rPr>
          <w:rStyle w:val="FootnoteReference"/>
        </w:rPr>
        <w:footnoteRef/>
      </w:r>
      <w:r>
        <w:rPr>
          <w:lang w:val="sr-Cyrl-CS"/>
        </w:rPr>
        <w:t xml:space="preserve">Ненад Радовић, </w:t>
      </w:r>
      <w:r>
        <w:rPr>
          <w:b/>
          <w:lang w:val="sr-Cyrl-CS"/>
        </w:rPr>
        <w:t>Криминалистички аспект</w:t>
      </w:r>
      <w:r w:rsidRPr="00CE17DB">
        <w:rPr>
          <w:b/>
          <w:lang w:val="sr-Cyrl-CS"/>
        </w:rPr>
        <w:t xml:space="preserve"> корупције</w:t>
      </w:r>
      <w:r>
        <w:rPr>
          <w:lang w:val="sr-Cyrl-CS"/>
        </w:rPr>
        <w:t>, у зборнику: Корупција у јавној управи, Криминалистичко-полицијска академија, Београд, 2011, стр. 87.</w:t>
      </w:r>
    </w:p>
  </w:footnote>
  <w:footnote w:id="748">
    <w:p w:rsidR="00767127" w:rsidRPr="00F75DDF" w:rsidRDefault="00767127">
      <w:pPr>
        <w:pStyle w:val="FootnoteText"/>
        <w:rPr>
          <w:lang w:val="sr-Cyrl-CS"/>
        </w:rPr>
      </w:pPr>
      <w:r>
        <w:rPr>
          <w:rStyle w:val="FootnoteReference"/>
        </w:rPr>
        <w:footnoteRef/>
      </w:r>
      <w:r>
        <w:t xml:space="preserve"> Alan Russo i Franklin Steves, </w:t>
      </w:r>
      <w:r w:rsidRPr="00174434">
        <w:rPr>
          <w:b/>
        </w:rPr>
        <w:t>Ефикасност програма за борбу против корупције: прелиминарни докази из пос</w:t>
      </w:r>
      <w:r>
        <w:rPr>
          <w:b/>
          <w:lang w:val="sr-Cyrl-CS"/>
        </w:rPr>
        <w:t>т</w:t>
      </w:r>
      <w:r w:rsidRPr="00174434">
        <w:rPr>
          <w:b/>
        </w:rPr>
        <w:t>комунистичких земаља у транзицији</w:t>
      </w:r>
      <w:r>
        <w:t xml:space="preserve">, у зборнику: Економија корупције, Службени гласник, </w:t>
      </w:r>
      <w:r>
        <w:rPr>
          <w:lang w:val="sr-Cyrl-CS"/>
        </w:rPr>
        <w:t>2008, стр. 283-302.</w:t>
      </w:r>
    </w:p>
  </w:footnote>
  <w:footnote w:id="749">
    <w:p w:rsidR="00767127" w:rsidRPr="00787FE6" w:rsidRDefault="00767127">
      <w:pPr>
        <w:pStyle w:val="FootnoteText"/>
        <w:rPr>
          <w:lang w:val="sr-Cyrl-CS"/>
        </w:rPr>
      </w:pPr>
      <w:r>
        <w:rPr>
          <w:rStyle w:val="FootnoteReference"/>
        </w:rPr>
        <w:footnoteRef/>
      </w:r>
      <w:r>
        <w:t xml:space="preserve"> </w:t>
      </w:r>
      <w:r>
        <w:rPr>
          <w:lang w:val="sr-Cyrl-CS"/>
        </w:rPr>
        <w:t xml:space="preserve">Милева Анђелковић и Драган Јовашевић, </w:t>
      </w:r>
      <w:r w:rsidRPr="00B72507">
        <w:rPr>
          <w:b/>
          <w:lang w:val="sr-Cyrl-CS"/>
        </w:rPr>
        <w:t>Избегавање плаћања пореза, фискални и кривично-правни аспект</w:t>
      </w:r>
      <w:r>
        <w:rPr>
          <w:lang w:val="sr-Cyrl-CS"/>
        </w:rPr>
        <w:t>, Правни факултет у Нишу, Центар за публикације, Ниш, 2006, стр. 113-114</w:t>
      </w:r>
    </w:p>
  </w:footnote>
  <w:footnote w:id="750">
    <w:p w:rsidR="00767127" w:rsidRPr="00AC77DA" w:rsidRDefault="00767127">
      <w:pPr>
        <w:pStyle w:val="FootnoteText"/>
        <w:rPr>
          <w:lang w:val="sr-Cyrl-CS"/>
        </w:rPr>
      </w:pPr>
      <w:r>
        <w:rPr>
          <w:rStyle w:val="FootnoteReference"/>
        </w:rPr>
        <w:footnoteRef/>
      </w:r>
      <w:r>
        <w:t xml:space="preserve"> </w:t>
      </w:r>
      <w:r>
        <w:rPr>
          <w:lang w:val="sr-Cyrl-CS"/>
        </w:rPr>
        <w:t xml:space="preserve">Домагој Михаљевић, </w:t>
      </w:r>
      <w:r w:rsidRPr="00993C53">
        <w:rPr>
          <w:b/>
          <w:lang w:val="sr-Cyrl-CS"/>
        </w:rPr>
        <w:t>Положај и улога офшор финансијских центара у финансијској глобализацији</w:t>
      </w:r>
      <w:r>
        <w:rPr>
          <w:lang w:val="sr-Cyrl-CS"/>
        </w:rPr>
        <w:t xml:space="preserve">, </w:t>
      </w:r>
      <w:r w:rsidRPr="00993C53">
        <w:rPr>
          <w:i/>
          <w:lang w:val="sr-Cyrl-CS"/>
        </w:rPr>
        <w:t>Економска мисао и пракса</w:t>
      </w:r>
      <w:r>
        <w:rPr>
          <w:lang w:val="sr-Cyrl-CS"/>
        </w:rPr>
        <w:t>, бр. 2, 2012, Дубровник, стр. 810. (Извор: http://www.nsk.hr).</w:t>
      </w:r>
    </w:p>
  </w:footnote>
  <w:footnote w:id="751">
    <w:p w:rsidR="00767127" w:rsidRPr="00D0690B" w:rsidRDefault="00767127" w:rsidP="00723F0A">
      <w:pPr>
        <w:pStyle w:val="FootnoteText"/>
        <w:rPr>
          <w:lang w:val="sr-Cyrl-CS"/>
        </w:rPr>
      </w:pPr>
      <w:r>
        <w:rPr>
          <w:rStyle w:val="FootnoteReference"/>
        </w:rPr>
        <w:footnoteRef/>
      </w:r>
      <w:r>
        <w:t xml:space="preserve"> </w:t>
      </w:r>
      <w:r>
        <w:rPr>
          <w:lang w:val="sr-Cyrl-CS"/>
        </w:rPr>
        <w:t xml:space="preserve">Драган Јовашевић и Марина Гајић-Гламочија, </w:t>
      </w:r>
      <w:r w:rsidRPr="007965EF">
        <w:rPr>
          <w:b/>
          <w:lang w:val="sr-Cyrl-CS"/>
        </w:rPr>
        <w:t>Пореска утаја: облици испољавања и мере сузбијања</w:t>
      </w:r>
      <w:r>
        <w:rPr>
          <w:lang w:val="sr-Cyrl-CS"/>
        </w:rPr>
        <w:t>, БеоСинг, Београд, 2008, стр. 301-302.</w:t>
      </w:r>
    </w:p>
  </w:footnote>
  <w:footnote w:id="752">
    <w:p w:rsidR="00767127" w:rsidRPr="009811F1" w:rsidRDefault="00767127">
      <w:pPr>
        <w:pStyle w:val="FootnoteText"/>
        <w:rPr>
          <w:lang w:val="sr-Cyrl-CS"/>
        </w:rPr>
      </w:pPr>
      <w:r>
        <w:rPr>
          <w:rStyle w:val="FootnoteReference"/>
        </w:rPr>
        <w:footnoteRef/>
      </w:r>
      <w:r>
        <w:t xml:space="preserve"> </w:t>
      </w:r>
      <w:r>
        <w:rPr>
          <w:lang w:val="sr-Cyrl-CS"/>
        </w:rPr>
        <w:t xml:space="preserve">Наташа Симић, </w:t>
      </w:r>
      <w:r w:rsidRPr="00A421C0">
        <w:rPr>
          <w:b/>
          <w:lang w:val="sr-Cyrl-CS"/>
        </w:rPr>
        <w:t>Монетарне и јавне финансије</w:t>
      </w:r>
      <w:r>
        <w:rPr>
          <w:lang w:val="sr-Cyrl-CS"/>
        </w:rPr>
        <w:t>, Мегатренд, Београд, 2002, стр. 16.</w:t>
      </w:r>
    </w:p>
  </w:footnote>
  <w:footnote w:id="753">
    <w:p w:rsidR="00767127" w:rsidRPr="00011015" w:rsidRDefault="00767127" w:rsidP="0071010C">
      <w:pPr>
        <w:pStyle w:val="FootnoteText"/>
        <w:jc w:val="both"/>
        <w:rPr>
          <w:lang w:val="sr-Cyrl-CS"/>
        </w:rPr>
      </w:pPr>
      <w:r>
        <w:rPr>
          <w:rStyle w:val="FootnoteReference"/>
        </w:rPr>
        <w:footnoteRef/>
      </w:r>
      <w:r>
        <w:t xml:space="preserve"> </w:t>
      </w:r>
      <w:r>
        <w:rPr>
          <w:lang w:val="sr-Cyrl-CS"/>
        </w:rPr>
        <w:t xml:space="preserve">Дејан Поповић,  </w:t>
      </w:r>
      <w:r w:rsidRPr="0071010C">
        <w:rPr>
          <w:b/>
          <w:lang w:val="sr-Cyrl-CS"/>
        </w:rPr>
        <w:t>Пореско право</w:t>
      </w:r>
      <w:r>
        <w:rPr>
          <w:lang w:val="sr-Cyrl-CS"/>
        </w:rPr>
        <w:t>, Павни факултет Универзитета у Београду,  Београд, 2009, стр. 87.</w:t>
      </w:r>
    </w:p>
  </w:footnote>
  <w:footnote w:id="754">
    <w:p w:rsidR="00767127" w:rsidRPr="00266E1D" w:rsidRDefault="00767127" w:rsidP="00011015">
      <w:pPr>
        <w:pStyle w:val="FootnoteText"/>
        <w:rPr>
          <w:lang w:val="sr-Cyrl-CS"/>
        </w:rPr>
      </w:pPr>
      <w:r>
        <w:rPr>
          <w:rStyle w:val="FootnoteReference"/>
        </w:rPr>
        <w:footnoteRef/>
      </w:r>
      <w:r>
        <w:t xml:space="preserve"> </w:t>
      </w:r>
      <w:r>
        <w:rPr>
          <w:lang w:val="sr-Cyrl-CS"/>
        </w:rPr>
        <w:t xml:space="preserve">Милева Анђелковић и Драган Јовашевић, </w:t>
      </w:r>
      <w:r>
        <w:rPr>
          <w:i/>
          <w:lang w:val="sr-Cyrl-CS"/>
        </w:rPr>
        <w:t xml:space="preserve">нав. дело, </w:t>
      </w:r>
      <w:r>
        <w:rPr>
          <w:lang w:val="sr-Cyrl-CS"/>
        </w:rPr>
        <w:t xml:space="preserve"> стр. 114.</w:t>
      </w:r>
    </w:p>
  </w:footnote>
  <w:footnote w:id="755">
    <w:p w:rsidR="00767127" w:rsidRPr="00BD502F" w:rsidRDefault="00767127" w:rsidP="00726455">
      <w:pPr>
        <w:pStyle w:val="FootnoteText"/>
        <w:jc w:val="both"/>
        <w:rPr>
          <w:lang w:val="sr-Cyrl-CS"/>
        </w:rPr>
      </w:pPr>
      <w:r>
        <w:rPr>
          <w:rStyle w:val="FootnoteReference"/>
        </w:rPr>
        <w:footnoteRef/>
      </w:r>
      <w:r>
        <w:t xml:space="preserve"> </w:t>
      </w:r>
      <w:r>
        <w:rPr>
          <w:lang w:val="sr-Cyrl-CS"/>
        </w:rPr>
        <w:t>Чл. 9. Закона о пореском поступку и пореској администрацији, („Службени гласник РС“ бр. 80/02...108/13).</w:t>
      </w:r>
    </w:p>
  </w:footnote>
  <w:footnote w:id="756">
    <w:p w:rsidR="00767127" w:rsidRPr="00B26FB1" w:rsidRDefault="00767127">
      <w:pPr>
        <w:pStyle w:val="FootnoteText"/>
        <w:rPr>
          <w:lang w:val="sr-Cyrl-CS"/>
        </w:rPr>
      </w:pPr>
      <w:r>
        <w:rPr>
          <w:rStyle w:val="FootnoteReference"/>
        </w:rPr>
        <w:footnoteRef/>
      </w:r>
      <w:r>
        <w:rPr>
          <w:lang w:val="sr-Cyrl-CS"/>
        </w:rPr>
        <w:t>Вид.:</w:t>
      </w:r>
      <w:hyperlink r:id="rId67" w:history="1">
        <w:r w:rsidRPr="00B26FB1">
          <w:rPr>
            <w:rStyle w:val="Hyperlink"/>
            <w:rFonts w:asciiTheme="minorHAnsi" w:hAnsiTheme="minorHAnsi"/>
          </w:rPr>
          <w:t>http://www.mogucasrbija.rs/Oblast/100/Korupcija/40/Klju%C4%8Dni%20problemi%20Srbije%20u%20borbi%20protiv%20korupcije.html</w:t>
        </w:r>
      </w:hyperlink>
    </w:p>
  </w:footnote>
  <w:footnote w:id="757">
    <w:p w:rsidR="00767127" w:rsidRPr="008D03A4" w:rsidRDefault="00767127">
      <w:pPr>
        <w:pStyle w:val="FootnoteText"/>
        <w:rPr>
          <w:lang w:val="sr-Cyrl-CS"/>
        </w:rPr>
      </w:pPr>
      <w:r>
        <w:rPr>
          <w:rStyle w:val="FootnoteReference"/>
        </w:rPr>
        <w:footnoteRef/>
      </w:r>
      <w:r>
        <w:t xml:space="preserve"> </w:t>
      </w:r>
      <w:r>
        <w:rPr>
          <w:lang w:val="sr-Cyrl-CS"/>
        </w:rPr>
        <w:t>„Службени гласник РС“ бр. 39/02, 43/03, 55/04, 11/05 и 116/08.</w:t>
      </w:r>
    </w:p>
  </w:footnote>
  <w:footnote w:id="758">
    <w:p w:rsidR="00767127" w:rsidRPr="00B74438" w:rsidRDefault="00767127">
      <w:pPr>
        <w:pStyle w:val="FootnoteText"/>
        <w:rPr>
          <w:lang w:val="sr-Cyrl-CS"/>
        </w:rPr>
      </w:pPr>
      <w:r>
        <w:rPr>
          <w:rStyle w:val="FootnoteReference"/>
        </w:rPr>
        <w:footnoteRef/>
      </w:r>
      <w:r>
        <w:t xml:space="preserve"> </w:t>
      </w:r>
      <w:r>
        <w:rPr>
          <w:lang w:val="sr-Cyrl-CS"/>
        </w:rPr>
        <w:t>„Службени гласник РС“ бр. 43/04.</w:t>
      </w:r>
    </w:p>
  </w:footnote>
  <w:footnote w:id="759">
    <w:p w:rsidR="00767127" w:rsidRPr="00FD58D4" w:rsidRDefault="00767127">
      <w:pPr>
        <w:pStyle w:val="FootnoteText"/>
        <w:rPr>
          <w:lang w:val="sr-Cyrl-CS"/>
        </w:rPr>
      </w:pPr>
      <w:r>
        <w:rPr>
          <w:rStyle w:val="FootnoteReference"/>
        </w:rPr>
        <w:footnoteRef/>
      </w:r>
      <w:r>
        <w:t xml:space="preserve"> </w:t>
      </w:r>
      <w:r>
        <w:rPr>
          <w:lang w:val="sr-Cyrl-CS"/>
        </w:rPr>
        <w:t>„Службени гласник РС“ бр. 97/08.</w:t>
      </w:r>
    </w:p>
  </w:footnote>
  <w:footnote w:id="760">
    <w:p w:rsidR="00767127" w:rsidRPr="00FA19F7" w:rsidRDefault="00767127">
      <w:pPr>
        <w:pStyle w:val="FootnoteText"/>
        <w:rPr>
          <w:lang w:val="sr-Cyrl-CS"/>
        </w:rPr>
      </w:pPr>
      <w:r>
        <w:rPr>
          <w:rStyle w:val="FootnoteReference"/>
        </w:rPr>
        <w:footnoteRef/>
      </w:r>
      <w:r>
        <w:t xml:space="preserve"> </w:t>
      </w:r>
      <w:r>
        <w:rPr>
          <w:lang w:val="sr-Cyrl-CS"/>
        </w:rPr>
        <w:t>„Службени гласник РС“ бр. 120/04, 54/07, 104/09 и 36/10.</w:t>
      </w:r>
    </w:p>
  </w:footnote>
  <w:footnote w:id="761">
    <w:p w:rsidR="00767127" w:rsidRPr="00FA19F7" w:rsidRDefault="00767127">
      <w:pPr>
        <w:pStyle w:val="FootnoteText"/>
        <w:rPr>
          <w:lang w:val="sr-Cyrl-CS"/>
        </w:rPr>
      </w:pPr>
      <w:r>
        <w:rPr>
          <w:rStyle w:val="FootnoteReference"/>
        </w:rPr>
        <w:footnoteRef/>
      </w:r>
      <w:r>
        <w:t xml:space="preserve"> </w:t>
      </w:r>
      <w:r>
        <w:rPr>
          <w:lang w:val="sr-Cyrl-CS"/>
        </w:rPr>
        <w:t>„Службени гласник РС“ бр. 79/05 и 54/07.</w:t>
      </w:r>
    </w:p>
  </w:footnote>
  <w:footnote w:id="762">
    <w:p w:rsidR="00767127" w:rsidRPr="00FA19F7" w:rsidRDefault="00767127">
      <w:pPr>
        <w:pStyle w:val="FootnoteText"/>
        <w:rPr>
          <w:lang w:val="sr-Cyrl-CS"/>
        </w:rPr>
      </w:pPr>
      <w:r>
        <w:rPr>
          <w:rStyle w:val="FootnoteReference"/>
        </w:rPr>
        <w:footnoteRef/>
      </w:r>
      <w:r>
        <w:t xml:space="preserve"> </w:t>
      </w:r>
      <w:r>
        <w:rPr>
          <w:lang w:val="sr-Cyrl-CS"/>
        </w:rPr>
        <w:t>„Службени гласник РС“ бр. 101/05, 54/07 и 36/10.</w:t>
      </w:r>
    </w:p>
  </w:footnote>
  <w:footnote w:id="763">
    <w:p w:rsidR="00767127" w:rsidRPr="0037342B" w:rsidRDefault="00767127" w:rsidP="00C441F5">
      <w:pPr>
        <w:pStyle w:val="FootnoteText"/>
        <w:rPr>
          <w:lang w:val="sr-Cyrl-CS"/>
        </w:rPr>
      </w:pPr>
      <w:r>
        <w:rPr>
          <w:rStyle w:val="FootnoteReference"/>
        </w:rPr>
        <w:footnoteRef/>
      </w:r>
      <w:r>
        <w:t xml:space="preserve"> </w:t>
      </w:r>
      <w:r>
        <w:rPr>
          <w:lang w:val="sr-Cyrl-CS"/>
        </w:rPr>
        <w:t xml:space="preserve">Божидар Јелчић, Оливера Лончарић-Хорват, Јуре Шимовић и Хрвоје Арбутина, </w:t>
      </w:r>
      <w:r w:rsidRPr="00F00ADE">
        <w:rPr>
          <w:b/>
          <w:lang w:val="sr-Cyrl-CS"/>
        </w:rPr>
        <w:t>Финанцијско право и финанцијска знаност</w:t>
      </w:r>
      <w:r>
        <w:rPr>
          <w:lang w:val="sr-Cyrl-CS"/>
        </w:rPr>
        <w:t>, Народне новине, Загреб, 2002, стр. 189.</w:t>
      </w:r>
    </w:p>
  </w:footnote>
  <w:footnote w:id="764">
    <w:p w:rsidR="00767127" w:rsidRPr="00FF15D3" w:rsidRDefault="00767127" w:rsidP="00F00ADE">
      <w:pPr>
        <w:pStyle w:val="FootnoteText"/>
        <w:jc w:val="both"/>
        <w:rPr>
          <w:lang w:val="sr-Cyrl-CS"/>
        </w:rPr>
      </w:pPr>
      <w:r>
        <w:rPr>
          <w:rStyle w:val="FootnoteReference"/>
        </w:rPr>
        <w:footnoteRef/>
      </w:r>
      <w:r>
        <w:t xml:space="preserve">Laubet del Bayle, J.L., </w:t>
      </w:r>
      <w:r w:rsidRPr="00F00ADE">
        <w:rPr>
          <w:b/>
        </w:rPr>
        <w:t>La police: Aprroche socio-politique</w:t>
      </w:r>
      <w:r>
        <w:t>, Paris, 1996, pp. 16-18</w:t>
      </w:r>
      <w:r>
        <w:rPr>
          <w:lang w:val="sr-Cyrl-CS"/>
        </w:rPr>
        <w:t>.</w:t>
      </w:r>
      <w:r>
        <w:t xml:space="preserve"> </w:t>
      </w:r>
      <w:r>
        <w:rPr>
          <w:lang w:val="sr-Cyrl-CS"/>
        </w:rPr>
        <w:t xml:space="preserve">(У: Остоја Крстић, </w:t>
      </w:r>
      <w:r w:rsidRPr="00F00ADE">
        <w:rPr>
          <w:b/>
          <w:lang w:val="sr-Cyrl-CS"/>
        </w:rPr>
        <w:t>Криминалистичка превенција и прогностика</w:t>
      </w:r>
      <w:r>
        <w:rPr>
          <w:lang w:val="sr-Cyrl-CS"/>
        </w:rPr>
        <w:t>, Виша школа унутрашњих послова, Бања Лука, 2005, стр. 91).</w:t>
      </w:r>
    </w:p>
  </w:footnote>
  <w:footnote w:id="765">
    <w:p w:rsidR="00767127" w:rsidRPr="00464BEC" w:rsidRDefault="00767127">
      <w:pPr>
        <w:pStyle w:val="FootnoteText"/>
        <w:rPr>
          <w:lang w:val="sr-Cyrl-CS"/>
        </w:rPr>
      </w:pPr>
      <w:r>
        <w:rPr>
          <w:rStyle w:val="FootnoteReference"/>
        </w:rPr>
        <w:footnoteRef/>
      </w:r>
      <w:r>
        <w:t xml:space="preserve"> </w:t>
      </w:r>
      <w:r>
        <w:rPr>
          <w:lang w:val="sr-Cyrl-CS"/>
        </w:rPr>
        <w:t xml:space="preserve">Вид.: </w:t>
      </w:r>
      <w:hyperlink r:id="rId68" w:history="1">
        <w:r>
          <w:rPr>
            <w:rStyle w:val="Hyperlink"/>
          </w:rPr>
          <w:t>http://grid3.rs/read/news/303116926/5402682/napredak-u-borbi-protiv-korupcije</w:t>
        </w:r>
      </w:hyperlink>
      <w:r>
        <w:rPr>
          <w:lang w:val="sr-Cyrl-CS"/>
        </w:rPr>
        <w:t xml:space="preserve"> (23.12.2013.).</w:t>
      </w:r>
    </w:p>
  </w:footnote>
  <w:footnote w:id="766">
    <w:p w:rsidR="00767127" w:rsidRPr="00464BEC" w:rsidRDefault="00767127" w:rsidP="00464BEC">
      <w:pPr>
        <w:pStyle w:val="NormalWeb"/>
        <w:shd w:val="clear" w:color="auto" w:fill="FFFFFF"/>
        <w:spacing w:before="0" w:beforeAutospacing="0" w:after="0" w:afterAutospacing="0" w:line="255" w:lineRule="atLeast"/>
        <w:textAlignment w:val="baseline"/>
        <w:rPr>
          <w:rFonts w:asciiTheme="minorHAnsi" w:hAnsiTheme="minorHAnsi" w:cs="Arial"/>
          <w:color w:val="3C3C3C"/>
          <w:sz w:val="20"/>
          <w:szCs w:val="20"/>
          <w:lang w:val="sr-Cyrl-CS"/>
        </w:rPr>
      </w:pPr>
      <w:r>
        <w:rPr>
          <w:rStyle w:val="FootnoteReference"/>
        </w:rPr>
        <w:footnoteRef/>
      </w:r>
      <w:r>
        <w:t xml:space="preserve"> </w:t>
      </w:r>
      <w:r w:rsidRPr="00464BEC">
        <w:rPr>
          <w:rFonts w:asciiTheme="minorHAnsi" w:hAnsiTheme="minorHAnsi"/>
          <w:sz w:val="20"/>
          <w:szCs w:val="20"/>
          <w:lang w:val="sr-Cyrl-CS"/>
        </w:rPr>
        <w:t>Вид.</w:t>
      </w:r>
      <w:r>
        <w:rPr>
          <w:lang w:val="sr-Cyrl-CS"/>
        </w:rPr>
        <w:t xml:space="preserve">: </w:t>
      </w:r>
      <w:hyperlink r:id="rId69" w:history="1">
        <w:r w:rsidRPr="00464BEC">
          <w:rPr>
            <w:rStyle w:val="Hyperlink"/>
            <w:rFonts w:asciiTheme="minorHAnsi" w:hAnsiTheme="minorHAnsi"/>
            <w:sz w:val="20"/>
            <w:szCs w:val="20"/>
          </w:rPr>
          <w:t>http://www.skgo.org/reports/details/1092</w:t>
        </w:r>
      </w:hyperlink>
      <w:r>
        <w:rPr>
          <w:rFonts w:asciiTheme="minorHAnsi" w:hAnsiTheme="minorHAnsi"/>
          <w:sz w:val="20"/>
          <w:szCs w:val="20"/>
          <w:lang w:val="sr-Cyrl-CS"/>
        </w:rPr>
        <w:t xml:space="preserve"> (23.11.2013.)</w:t>
      </w:r>
    </w:p>
  </w:footnote>
  <w:footnote w:id="767">
    <w:p w:rsidR="00767127" w:rsidRPr="0072081E" w:rsidRDefault="00767127">
      <w:pPr>
        <w:pStyle w:val="FootnoteText"/>
        <w:rPr>
          <w:lang w:val="sr-Cyrl-CS"/>
        </w:rPr>
      </w:pPr>
      <w:r>
        <w:rPr>
          <w:rStyle w:val="FootnoteReference"/>
        </w:rPr>
        <w:footnoteRef/>
      </w:r>
      <w:r>
        <w:t xml:space="preserve"> </w:t>
      </w:r>
      <w:r>
        <w:rPr>
          <w:lang w:val="sr-Cyrl-CS"/>
        </w:rPr>
        <w:t xml:space="preserve">Ђорђе Ђорђевић, </w:t>
      </w:r>
      <w:r w:rsidRPr="0072081E">
        <w:rPr>
          <w:i/>
          <w:lang w:val="sr-Cyrl-CS"/>
        </w:rPr>
        <w:t>нав. дело</w:t>
      </w:r>
      <w:r>
        <w:rPr>
          <w:lang w:val="sr-Cyrl-CS"/>
        </w:rPr>
        <w:t>, стр. 27.</w:t>
      </w:r>
    </w:p>
  </w:footnote>
  <w:footnote w:id="768">
    <w:p w:rsidR="00767127" w:rsidRPr="00B5082D" w:rsidRDefault="00767127">
      <w:pPr>
        <w:pStyle w:val="FootnoteText"/>
        <w:rPr>
          <w:lang w:val="sr-Cyrl-CS"/>
        </w:rPr>
      </w:pPr>
      <w:r>
        <w:rPr>
          <w:rStyle w:val="FootnoteReference"/>
        </w:rPr>
        <w:footnoteRef/>
      </w:r>
      <w:r>
        <w:t xml:space="preserve"> </w:t>
      </w:r>
      <w:r>
        <w:rPr>
          <w:lang w:val="sr-Cyrl-CS"/>
        </w:rPr>
        <w:t>Чл. 2. Закона о прекршајима („ Сл. гласник РС“ бр. 65/2013).</w:t>
      </w:r>
    </w:p>
  </w:footnote>
  <w:footnote w:id="769">
    <w:p w:rsidR="00767127" w:rsidRPr="001D46E4" w:rsidRDefault="00767127">
      <w:pPr>
        <w:pStyle w:val="FootnoteText"/>
        <w:rPr>
          <w:lang w:val="sr-Cyrl-CS"/>
        </w:rPr>
      </w:pPr>
      <w:r>
        <w:rPr>
          <w:rStyle w:val="FootnoteReference"/>
        </w:rPr>
        <w:footnoteRef/>
      </w:r>
      <w:r>
        <w:t xml:space="preserve"> </w:t>
      </w:r>
      <w:r>
        <w:rPr>
          <w:lang w:val="sr-Cyrl-CS"/>
        </w:rPr>
        <w:t xml:space="preserve">Ђорђе Ђорђевић, </w:t>
      </w:r>
      <w:r w:rsidRPr="001D46E4">
        <w:rPr>
          <w:i/>
          <w:lang w:val="sr-Cyrl-CS"/>
        </w:rPr>
        <w:t>нав. дело</w:t>
      </w:r>
      <w:r>
        <w:rPr>
          <w:lang w:val="sr-Cyrl-CS"/>
        </w:rPr>
        <w:t>, стр. 289.</w:t>
      </w:r>
    </w:p>
  </w:footnote>
  <w:footnote w:id="770">
    <w:p w:rsidR="00767127" w:rsidRPr="008626AA" w:rsidRDefault="00767127">
      <w:pPr>
        <w:pStyle w:val="FootnoteText"/>
        <w:rPr>
          <w:lang w:val="sr-Cyrl-CS"/>
        </w:rPr>
      </w:pPr>
      <w:r>
        <w:rPr>
          <w:rStyle w:val="FootnoteReference"/>
        </w:rPr>
        <w:footnoteRef/>
      </w:r>
      <w:r>
        <w:t xml:space="preserve"> </w:t>
      </w:r>
      <w:r>
        <w:rPr>
          <w:lang w:val="sr-Cyrl-CS"/>
        </w:rPr>
        <w:t xml:space="preserve">Чл. 14. Кривичног законика („Службени гласник РС“ бр. 85/05, 72/09, 111/09, 121/12, 104/13). </w:t>
      </w:r>
    </w:p>
  </w:footnote>
  <w:footnote w:id="771">
    <w:p w:rsidR="00767127" w:rsidRPr="0053611E" w:rsidRDefault="00767127" w:rsidP="00F00ADE">
      <w:pPr>
        <w:pStyle w:val="FootnoteText"/>
        <w:jc w:val="both"/>
        <w:rPr>
          <w:lang w:val="sr-Cyrl-CS"/>
        </w:rPr>
      </w:pPr>
      <w:r>
        <w:rPr>
          <w:rStyle w:val="FootnoteReference"/>
        </w:rPr>
        <w:footnoteRef/>
      </w:r>
      <w:r>
        <w:t xml:space="preserve"> </w:t>
      </w:r>
      <w:r>
        <w:rPr>
          <w:lang w:val="sr-Cyrl-CS"/>
        </w:rPr>
        <w:t xml:space="preserve">Зоран Стојановић, </w:t>
      </w:r>
      <w:r>
        <w:rPr>
          <w:i/>
          <w:lang w:val="sr-Cyrl-CS"/>
        </w:rPr>
        <w:t xml:space="preserve">нав. дело, </w:t>
      </w:r>
      <w:r>
        <w:rPr>
          <w:lang w:val="sr-Cyrl-CS"/>
        </w:rPr>
        <w:t>стр. 101.</w:t>
      </w:r>
    </w:p>
  </w:footnote>
  <w:footnote w:id="772">
    <w:p w:rsidR="00767127" w:rsidRPr="00C46465" w:rsidRDefault="00767127" w:rsidP="00F00ADE">
      <w:pPr>
        <w:pStyle w:val="FootnoteText"/>
        <w:jc w:val="both"/>
        <w:rPr>
          <w:lang w:val="sr-Cyrl-CS"/>
        </w:rPr>
      </w:pPr>
      <w:r>
        <w:rPr>
          <w:rStyle w:val="FootnoteReference"/>
        </w:rPr>
        <w:footnoteRef/>
      </w:r>
      <w:r>
        <w:t xml:space="preserve"> </w:t>
      </w:r>
      <w:r>
        <w:rPr>
          <w:lang w:val="sr-Cyrl-CS"/>
        </w:rPr>
        <w:t xml:space="preserve">Мирко Кулић, </w:t>
      </w:r>
      <w:r w:rsidRPr="00061E45">
        <w:rPr>
          <w:b/>
          <w:lang w:val="sr-Cyrl-CS"/>
        </w:rPr>
        <w:t>Пореска утаја и кријумчарење</w:t>
      </w:r>
      <w:r>
        <w:rPr>
          <w:lang w:val="sr-Cyrl-CS"/>
        </w:rPr>
        <w:t xml:space="preserve">, БМГ, Београд, 1999,  стр. 99. </w:t>
      </w:r>
    </w:p>
  </w:footnote>
  <w:footnote w:id="773">
    <w:p w:rsidR="00767127" w:rsidRPr="00477F7B" w:rsidRDefault="00767127" w:rsidP="002B4D83">
      <w:pPr>
        <w:pStyle w:val="FootnoteText"/>
        <w:jc w:val="both"/>
        <w:rPr>
          <w:lang w:val="sr-Cyrl-CS"/>
        </w:rPr>
      </w:pPr>
      <w:r>
        <w:rPr>
          <w:rStyle w:val="FootnoteReference"/>
        </w:rPr>
        <w:footnoteRef/>
      </w:r>
      <w:r>
        <w:rPr>
          <w:lang w:val="sr-Cyrl-CS"/>
        </w:rPr>
        <w:t xml:space="preserve">Љубиша Лазаревић, </w:t>
      </w:r>
      <w:r w:rsidRPr="007F3306">
        <w:rPr>
          <w:b/>
          <w:lang w:val="sr-Cyrl-CS"/>
        </w:rPr>
        <w:t>Кривично дело пореске утаје</w:t>
      </w:r>
      <w:r>
        <w:rPr>
          <w:lang w:val="sr-Cyrl-CS"/>
        </w:rPr>
        <w:t xml:space="preserve">, Приручник: Опорезивање и пореско право, Београд, 1988, (у: Мирко Кулић,  </w:t>
      </w:r>
      <w:r w:rsidRPr="007F3306">
        <w:rPr>
          <w:b/>
          <w:lang w:val="sr-Cyrl-CS"/>
        </w:rPr>
        <w:t>Пореска утаја и кријумчарење</w:t>
      </w:r>
      <w:r>
        <w:rPr>
          <w:lang w:val="sr-Cyrl-CS"/>
        </w:rPr>
        <w:t>, БМГ, Београд, 1999, стр. 206).</w:t>
      </w:r>
    </w:p>
  </w:footnote>
  <w:footnote w:id="774">
    <w:p w:rsidR="00767127" w:rsidRPr="00477F7B" w:rsidRDefault="00767127">
      <w:pPr>
        <w:pStyle w:val="FootnoteText"/>
        <w:rPr>
          <w:lang w:val="sr-Cyrl-CS"/>
        </w:rPr>
      </w:pPr>
      <w:r>
        <w:rPr>
          <w:rStyle w:val="FootnoteReference"/>
        </w:rPr>
        <w:footnoteRef/>
      </w:r>
      <w:r>
        <w:t xml:space="preserve"> </w:t>
      </w:r>
      <w:r>
        <w:rPr>
          <w:lang w:val="sr-Cyrl-CS"/>
        </w:rPr>
        <w:t xml:space="preserve">Наташа Мрвић-Петровић, </w:t>
      </w:r>
      <w:r w:rsidRPr="007F3306">
        <w:rPr>
          <w:b/>
          <w:lang w:val="sr-Cyrl-CS"/>
        </w:rPr>
        <w:t>Кривично право</w:t>
      </w:r>
      <w:r>
        <w:rPr>
          <w:lang w:val="sr-Cyrl-CS"/>
        </w:rPr>
        <w:t>, Правни факултет Универзитета Унион, Београд, 2008, стр. 320.</w:t>
      </w:r>
    </w:p>
  </w:footnote>
  <w:footnote w:id="775">
    <w:p w:rsidR="00767127" w:rsidRPr="008E1FEB" w:rsidRDefault="00767127">
      <w:pPr>
        <w:pStyle w:val="FootnoteText"/>
        <w:rPr>
          <w:lang w:val="sr-Cyrl-CS"/>
        </w:rPr>
      </w:pPr>
      <w:r>
        <w:rPr>
          <w:rStyle w:val="FootnoteReference"/>
        </w:rPr>
        <w:footnoteRef/>
      </w:r>
      <w:r>
        <w:t xml:space="preserve"> </w:t>
      </w:r>
      <w:r>
        <w:rPr>
          <w:lang w:val="sr-Cyrl-CS"/>
        </w:rPr>
        <w:t>„Службени гласник РС“ бр. 80/02...108/13.</w:t>
      </w:r>
    </w:p>
  </w:footnote>
  <w:footnote w:id="776">
    <w:p w:rsidR="00767127" w:rsidRPr="00360249" w:rsidRDefault="00767127" w:rsidP="003D27DA">
      <w:pPr>
        <w:pStyle w:val="FootnoteText"/>
        <w:rPr>
          <w:lang w:val="sr-Cyrl-CS"/>
        </w:rPr>
      </w:pPr>
      <w:r>
        <w:rPr>
          <w:rStyle w:val="FootnoteReference"/>
        </w:rPr>
        <w:footnoteRef/>
      </w:r>
      <w:r>
        <w:t xml:space="preserve"> </w:t>
      </w:r>
      <w:r>
        <w:rPr>
          <w:lang w:val="sr-Cyrl-CS"/>
        </w:rPr>
        <w:t xml:space="preserve">Мирко Кулић,  </w:t>
      </w:r>
      <w:r>
        <w:rPr>
          <w:i/>
          <w:lang w:val="sr-Cyrl-CS"/>
        </w:rPr>
        <w:t xml:space="preserve">нав. дело, </w:t>
      </w:r>
      <w:r>
        <w:rPr>
          <w:lang w:val="sr-Cyrl-CS"/>
        </w:rPr>
        <w:t xml:space="preserve"> стр. 101. </w:t>
      </w:r>
    </w:p>
  </w:footnote>
  <w:footnote w:id="777">
    <w:p w:rsidR="00767127" w:rsidRPr="00E01AAC" w:rsidRDefault="00767127" w:rsidP="00630C9F">
      <w:pPr>
        <w:pStyle w:val="FootnoteText"/>
        <w:rPr>
          <w:lang w:val="sr-Cyrl-CS"/>
        </w:rPr>
      </w:pPr>
      <w:r>
        <w:rPr>
          <w:rStyle w:val="FootnoteReference"/>
        </w:rPr>
        <w:footnoteRef/>
      </w:r>
      <w:r>
        <w:t xml:space="preserve"> </w:t>
      </w:r>
      <w:r>
        <w:rPr>
          <w:i/>
          <w:lang w:val="sr-Cyrl-CS"/>
        </w:rPr>
        <w:t xml:space="preserve">Нав. дело, </w:t>
      </w:r>
      <w:r>
        <w:rPr>
          <w:lang w:val="sr-Cyrl-CS"/>
        </w:rPr>
        <w:t xml:space="preserve"> стр. 234-238.</w:t>
      </w:r>
    </w:p>
  </w:footnote>
  <w:footnote w:id="778">
    <w:p w:rsidR="00767127" w:rsidRPr="00315146" w:rsidRDefault="00767127" w:rsidP="0010546A">
      <w:pPr>
        <w:pStyle w:val="FootnoteText"/>
        <w:rPr>
          <w:smallCaps/>
          <w:lang w:val="sr-Cyrl-CS"/>
        </w:rPr>
      </w:pPr>
      <w:r>
        <w:rPr>
          <w:rStyle w:val="FootnoteReference"/>
        </w:rPr>
        <w:footnoteRef/>
      </w:r>
      <w:r>
        <w:t xml:space="preserve"> </w:t>
      </w:r>
      <w:r>
        <w:rPr>
          <w:lang w:val="sr-Cyrl-CS"/>
        </w:rPr>
        <w:t xml:space="preserve"> Драган Јовашевић и Марина Гајић-Гламочија, </w:t>
      </w:r>
      <w:r w:rsidRPr="007F3306">
        <w:rPr>
          <w:b/>
          <w:lang w:val="sr-Cyrl-CS"/>
        </w:rPr>
        <w:t>Корупција у светлу заштите људских права</w:t>
      </w:r>
      <w:r>
        <w:rPr>
          <w:lang w:val="sr-Cyrl-CS"/>
        </w:rPr>
        <w:t xml:space="preserve">, 2008., (у: Ивица Симић и Драган Јовашевић, </w:t>
      </w:r>
      <w:r w:rsidRPr="007F3306">
        <w:rPr>
          <w:b/>
          <w:lang w:val="sr-Cyrl-CS"/>
        </w:rPr>
        <w:t>Кривична дела корупције и казнена политика судова у Републици Србији</w:t>
      </w:r>
      <w:r>
        <w:rPr>
          <w:lang w:val="sr-Cyrl-CS"/>
        </w:rPr>
        <w:t xml:space="preserve">, </w:t>
      </w:r>
      <w:r w:rsidRPr="007F3306">
        <w:rPr>
          <w:i/>
          <w:lang w:val="sr-Cyrl-CS"/>
        </w:rPr>
        <w:t>Безбедност</w:t>
      </w:r>
      <w:r>
        <w:rPr>
          <w:lang w:val="sr-Cyrl-CS"/>
        </w:rPr>
        <w:t xml:space="preserve">, бр. 4, 2008, стр. 50. Извор: </w:t>
      </w:r>
      <w:hyperlink r:id="rId70" w:history="1">
        <w:r w:rsidRPr="00A93638">
          <w:rPr>
            <w:rStyle w:val="Hyperlink"/>
            <w:lang w:val="sr-Cyrl-CS"/>
          </w:rPr>
          <w:t>http://prezentacije.mup.gov.rs</w:t>
        </w:r>
      </w:hyperlink>
      <w:r>
        <w:rPr>
          <w:lang w:val="sr-Cyrl-CS"/>
        </w:rPr>
        <w:t xml:space="preserve">). </w:t>
      </w:r>
    </w:p>
  </w:footnote>
  <w:footnote w:id="779">
    <w:p w:rsidR="00767127" w:rsidRPr="002A6059" w:rsidRDefault="00767127">
      <w:pPr>
        <w:pStyle w:val="FootnoteText"/>
        <w:rPr>
          <w:lang w:val="sr-Cyrl-CS"/>
        </w:rPr>
      </w:pPr>
      <w:r>
        <w:rPr>
          <w:rStyle w:val="FootnoteReference"/>
        </w:rPr>
        <w:footnoteRef/>
      </w:r>
      <w:r>
        <w:t xml:space="preserve"> </w:t>
      </w:r>
      <w:r>
        <w:rPr>
          <w:lang w:val="sr-Cyrl-CS"/>
        </w:rPr>
        <w:t>„Службени гласник РС“ бр. 85/05, 107/05, 72/09, 11/09, 121/12 и 104/13.</w:t>
      </w:r>
    </w:p>
  </w:footnote>
  <w:footnote w:id="780">
    <w:p w:rsidR="00767127" w:rsidRPr="007C563D" w:rsidRDefault="00767127" w:rsidP="007C563D">
      <w:pPr>
        <w:pStyle w:val="NoSpacing"/>
        <w:rPr>
          <w:rFonts w:asciiTheme="minorHAnsi" w:hAnsiTheme="minorHAnsi"/>
          <w:sz w:val="20"/>
          <w:szCs w:val="20"/>
          <w:lang w:val="sr-Cyrl-CS"/>
        </w:rPr>
      </w:pPr>
      <w:r>
        <w:rPr>
          <w:rStyle w:val="FootnoteReference"/>
        </w:rPr>
        <w:footnoteRef/>
      </w:r>
      <w:r>
        <w:t xml:space="preserve"> </w:t>
      </w:r>
      <w:r w:rsidRPr="007C563D">
        <w:rPr>
          <w:rFonts w:asciiTheme="minorHAnsi" w:hAnsiTheme="minorHAnsi"/>
          <w:sz w:val="20"/>
          <w:szCs w:val="20"/>
          <w:lang w:val="sr-Cyrl-CS"/>
        </w:rPr>
        <w:t>Као што су: Ненаменско коришћење буџетских средстава (чл. 362а КЗ), Пореска утаја (чл. 229 КЗ), Злоупотреба положаја одговорног лица (чл. 234 КЗ), Састављање нетачних бирачких</w:t>
      </w:r>
      <w:r w:rsidRPr="00B13F4F">
        <w:rPr>
          <w:lang w:val="sr-Cyrl-CS"/>
        </w:rPr>
        <w:t xml:space="preserve"> </w:t>
      </w:r>
      <w:r w:rsidRPr="007C563D">
        <w:rPr>
          <w:rFonts w:asciiTheme="minorHAnsi" w:hAnsiTheme="minorHAnsi"/>
          <w:sz w:val="20"/>
          <w:szCs w:val="20"/>
          <w:lang w:val="sr-Cyrl-CS"/>
        </w:rPr>
        <w:t>спискова (чл. 158</w:t>
      </w:r>
      <w:r w:rsidRPr="00B13F4F">
        <w:rPr>
          <w:lang w:val="sr-Cyrl-CS"/>
        </w:rPr>
        <w:t xml:space="preserve"> </w:t>
      </w:r>
      <w:r w:rsidRPr="007C563D">
        <w:rPr>
          <w:rFonts w:asciiTheme="minorHAnsi" w:hAnsiTheme="minorHAnsi"/>
          <w:sz w:val="20"/>
          <w:szCs w:val="20"/>
          <w:lang w:val="sr-Cyrl-CS"/>
        </w:rPr>
        <w:t xml:space="preserve">КЗ), Уништавање докумената о галасању (чл. 162 КЗ), Давање лажног исказа (чл. 335 КЗ), Спречавање и ометање доказивања (чл. 336 КЗ), Несавесно вршење прегледа </w:t>
      </w:r>
      <w:r>
        <w:rPr>
          <w:rFonts w:asciiTheme="minorHAnsi" w:hAnsiTheme="minorHAnsi"/>
          <w:sz w:val="20"/>
          <w:szCs w:val="20"/>
          <w:lang w:val="sr-Cyrl-CS"/>
        </w:rPr>
        <w:t>животних намирница (чл. 257 КЗ),</w:t>
      </w:r>
      <w:r w:rsidRPr="007C563D">
        <w:rPr>
          <w:rFonts w:asciiTheme="minorHAnsi" w:hAnsiTheme="minorHAnsi"/>
          <w:sz w:val="20"/>
          <w:szCs w:val="20"/>
          <w:lang w:val="sr-Cyrl-CS"/>
        </w:rPr>
        <w:t xml:space="preserve"> Навођење на оверавање неистинитог садржаја (чл. 358 КЗ) итд.</w:t>
      </w:r>
    </w:p>
  </w:footnote>
  <w:footnote w:id="781">
    <w:p w:rsidR="00767127" w:rsidRPr="007C563D" w:rsidRDefault="00767127" w:rsidP="007C563D">
      <w:pPr>
        <w:pStyle w:val="NoSpacing"/>
        <w:jc w:val="both"/>
        <w:rPr>
          <w:rFonts w:asciiTheme="minorHAnsi" w:hAnsiTheme="minorHAnsi"/>
          <w:sz w:val="20"/>
          <w:szCs w:val="20"/>
          <w:lang w:val="sr-Cyrl-CS"/>
        </w:rPr>
      </w:pPr>
      <w:r w:rsidRPr="007C563D">
        <w:rPr>
          <w:rStyle w:val="FootnoteReference"/>
          <w:rFonts w:asciiTheme="minorHAnsi" w:hAnsiTheme="minorHAnsi"/>
          <w:sz w:val="20"/>
          <w:szCs w:val="20"/>
        </w:rPr>
        <w:footnoteRef/>
      </w:r>
      <w:r w:rsidRPr="007C563D">
        <w:rPr>
          <w:rFonts w:asciiTheme="minorHAnsi" w:hAnsiTheme="minorHAnsi"/>
          <w:sz w:val="20"/>
          <w:szCs w:val="20"/>
        </w:rPr>
        <w:t xml:space="preserve"> </w:t>
      </w:r>
      <w:r w:rsidRPr="007C563D">
        <w:rPr>
          <w:rFonts w:asciiTheme="minorHAnsi" w:hAnsiTheme="minorHAnsi"/>
          <w:sz w:val="20"/>
          <w:szCs w:val="20"/>
          <w:lang w:val="sr-Cyrl-CS"/>
        </w:rPr>
        <w:t>„Службени гласник РС“ бр. 97 /08, 53/10, 66/11, 67/13, 112/13).</w:t>
      </w:r>
    </w:p>
  </w:footnote>
  <w:footnote w:id="782">
    <w:p w:rsidR="00767127" w:rsidRPr="0060768B" w:rsidRDefault="00767127" w:rsidP="00C2706C">
      <w:pPr>
        <w:pStyle w:val="FootnoteText"/>
        <w:rPr>
          <w:lang w:val="sr-Cyrl-CS"/>
        </w:rPr>
      </w:pPr>
      <w:r>
        <w:rPr>
          <w:rStyle w:val="FootnoteReference"/>
        </w:rPr>
        <w:footnoteRef/>
      </w:r>
      <w:r>
        <w:t xml:space="preserve"> </w:t>
      </w:r>
      <w:r>
        <w:rPr>
          <w:lang w:val="sr-Cyrl-CS"/>
        </w:rPr>
        <w:t xml:space="preserve">Снежана Соковић, </w:t>
      </w:r>
      <w:r w:rsidRPr="0060768B">
        <w:rPr>
          <w:b/>
          <w:lang w:val="sr-Cyrl-CS"/>
        </w:rPr>
        <w:t>Алтернативне кривичне санкције, релевантни међународни правни стандарди и ново кривично законодавство</w:t>
      </w:r>
      <w:r>
        <w:rPr>
          <w:lang w:val="sr-Cyrl-CS"/>
        </w:rPr>
        <w:t>, у зборнику: Правни систем Србије и стандарди Европске уније и Савета Европе, Правни факултет Универзитета у Крагујевцу, Институт за правне и друштвене науке, Крагујевац, 2007, стр.113-114</w:t>
      </w:r>
    </w:p>
  </w:footnote>
  <w:footnote w:id="783">
    <w:p w:rsidR="00767127" w:rsidRPr="009264BF" w:rsidRDefault="00767127" w:rsidP="009264BF">
      <w:pPr>
        <w:pStyle w:val="NoSpacing"/>
        <w:jc w:val="both"/>
        <w:rPr>
          <w:sz w:val="20"/>
          <w:szCs w:val="20"/>
        </w:rPr>
      </w:pPr>
      <w:r>
        <w:rPr>
          <w:rStyle w:val="FootnoteReference"/>
        </w:rPr>
        <w:footnoteRef/>
      </w:r>
      <w:r>
        <w:t xml:space="preserve"> </w:t>
      </w:r>
      <w:r w:rsidRPr="009264BF">
        <w:rPr>
          <w:sz w:val="20"/>
          <w:szCs w:val="20"/>
          <w:lang w:val="sr-Cyrl-CS"/>
        </w:rPr>
        <w:t xml:space="preserve">Приказани подаци у табели су преузети из Билтена бр. 199, 201, 203, 502, 514, 529, 546 и 558 и са сајта Републичког завода за статистику и обрађени од стране аутора (Извор: </w:t>
      </w:r>
      <w:hyperlink r:id="rId71" w:history="1">
        <w:r w:rsidRPr="009264BF">
          <w:rPr>
            <w:rStyle w:val="Hyperlink"/>
            <w:rFonts w:asciiTheme="minorHAnsi" w:hAnsiTheme="minorHAnsi"/>
            <w:sz w:val="20"/>
            <w:szCs w:val="20"/>
            <w:lang w:val="sr-Cyrl-CS"/>
          </w:rPr>
          <w:t>http://webrzs.stat.gov.rs</w:t>
        </w:r>
      </w:hyperlink>
      <w:r w:rsidRPr="009264BF">
        <w:rPr>
          <w:sz w:val="20"/>
          <w:szCs w:val="20"/>
          <w:lang w:val="sr-Cyrl-CS"/>
        </w:rPr>
        <w:t xml:space="preserve">, </w:t>
      </w:r>
      <w:hyperlink r:id="rId72" w:history="1">
        <w:r w:rsidRPr="009264BF">
          <w:rPr>
            <w:rStyle w:val="Hyperlink"/>
            <w:rFonts w:asciiTheme="minorHAnsi" w:hAnsiTheme="minorHAnsi"/>
            <w:sz w:val="20"/>
            <w:szCs w:val="20"/>
          </w:rPr>
          <w:t>www.media.srbija.gov.rs</w:t>
        </w:r>
      </w:hyperlink>
      <w:r w:rsidRPr="009264BF">
        <w:rPr>
          <w:sz w:val="20"/>
          <w:szCs w:val="20"/>
        </w:rPr>
        <w:t xml:space="preserve">, </w:t>
      </w:r>
      <w:hyperlink r:id="rId73" w:history="1">
        <w:r w:rsidRPr="009264BF">
          <w:rPr>
            <w:rStyle w:val="Hyperlink"/>
            <w:rFonts w:asciiTheme="minorHAnsi" w:hAnsiTheme="minorHAnsi"/>
            <w:sz w:val="20"/>
            <w:szCs w:val="20"/>
          </w:rPr>
          <w:t>http://pod2.stat.gov.rs</w:t>
        </w:r>
      </w:hyperlink>
      <w:r w:rsidRPr="009264BF">
        <w:rPr>
          <w:sz w:val="20"/>
          <w:szCs w:val="20"/>
        </w:rPr>
        <w:t xml:space="preserve"> ).</w:t>
      </w:r>
    </w:p>
    <w:p w:rsidR="00767127" w:rsidRPr="00E96026" w:rsidRDefault="00767127" w:rsidP="009264BF">
      <w:pPr>
        <w:pStyle w:val="FootnoteText"/>
        <w:jc w:val="both"/>
        <w:rPr>
          <w:lang w:val="sr-Cyrl-CS"/>
        </w:rPr>
      </w:pPr>
      <w:r>
        <w:rPr>
          <w:lang w:val="sr-Cyrl-CS"/>
        </w:rPr>
        <w:t xml:space="preserve"> </w:t>
      </w:r>
    </w:p>
  </w:footnote>
  <w:footnote w:id="784">
    <w:p w:rsidR="00767127" w:rsidRPr="00F8521F" w:rsidRDefault="00767127" w:rsidP="00D968C8">
      <w:pPr>
        <w:pStyle w:val="FootnoteText"/>
        <w:jc w:val="both"/>
        <w:rPr>
          <w:lang w:val="sr-Cyrl-CS"/>
        </w:rPr>
      </w:pPr>
      <w:r>
        <w:rPr>
          <w:rStyle w:val="FootnoteReference"/>
        </w:rPr>
        <w:footnoteRef/>
      </w:r>
      <w:r>
        <w:t xml:space="preserve"> </w:t>
      </w:r>
      <w:r>
        <w:rPr>
          <w:lang w:val="sr-Cyrl-CS"/>
        </w:rPr>
        <w:t xml:space="preserve">Снежана Соковић, </w:t>
      </w:r>
      <w:r w:rsidRPr="00231E7E">
        <w:rPr>
          <w:b/>
          <w:lang w:val="sr-Cyrl-CS"/>
        </w:rPr>
        <w:t>Кривичне санкције и успешност борбе против криминалитета</w:t>
      </w:r>
      <w:r>
        <w:rPr>
          <w:lang w:val="sr-Cyrl-CS"/>
        </w:rPr>
        <w:t>, у зборнику: Криминалитет у транзицију: феноменологија, превенција и државна реакција, Институт за криминолошка  и социолошка истраживања, Београд, 2007, стр. 65.</w:t>
      </w:r>
    </w:p>
  </w:footnote>
  <w:footnote w:id="785">
    <w:p w:rsidR="00767127" w:rsidRPr="00231E7E" w:rsidRDefault="00767127" w:rsidP="00D968C8">
      <w:pPr>
        <w:pStyle w:val="FootnoteText"/>
        <w:rPr>
          <w:lang w:val="sr-Cyrl-CS"/>
        </w:rPr>
      </w:pPr>
      <w:r>
        <w:rPr>
          <w:rStyle w:val="FootnoteReference"/>
        </w:rPr>
        <w:footnoteRef/>
      </w:r>
      <w:r>
        <w:rPr>
          <w:lang w:val="sr-Cyrl-CS"/>
        </w:rPr>
        <w:t xml:space="preserve"> </w:t>
      </w:r>
      <w:r>
        <w:rPr>
          <w:i/>
          <w:lang w:val="sr-Cyrl-CS"/>
        </w:rPr>
        <w:t xml:space="preserve">Нав. дело, </w:t>
      </w:r>
      <w:r>
        <w:t xml:space="preserve"> </w:t>
      </w:r>
      <w:r>
        <w:rPr>
          <w:lang w:val="sr-Cyrl-CS"/>
        </w:rPr>
        <w:t>стр. 60.</w:t>
      </w:r>
    </w:p>
  </w:footnote>
  <w:footnote w:id="786">
    <w:p w:rsidR="00767127" w:rsidRPr="00231E7E" w:rsidRDefault="00767127" w:rsidP="00D968C8">
      <w:pPr>
        <w:pStyle w:val="FootnoteText"/>
        <w:rPr>
          <w:lang w:val="sr-Cyrl-CS"/>
        </w:rPr>
      </w:pPr>
      <w:r>
        <w:rPr>
          <w:rStyle w:val="FootnoteReference"/>
        </w:rPr>
        <w:footnoteRef/>
      </w:r>
      <w:r>
        <w:t xml:space="preserve"> </w:t>
      </w:r>
      <w:r w:rsidRPr="00414493">
        <w:rPr>
          <w:i/>
          <w:lang w:val="sr-Cyrl-CS"/>
        </w:rPr>
        <w:t>Н</w:t>
      </w:r>
      <w:r>
        <w:rPr>
          <w:i/>
          <w:lang w:val="sr-Cyrl-CS"/>
        </w:rPr>
        <w:t xml:space="preserve">ав. дело, </w:t>
      </w:r>
      <w:r>
        <w:t xml:space="preserve"> </w:t>
      </w:r>
      <w:r>
        <w:rPr>
          <w:lang w:val="sr-Cyrl-CS"/>
        </w:rPr>
        <w:t>стр. 66.</w:t>
      </w:r>
    </w:p>
  </w:footnote>
  <w:footnote w:id="787">
    <w:p w:rsidR="00767127" w:rsidRPr="00200E7B" w:rsidRDefault="00767127" w:rsidP="00200E7B">
      <w:pPr>
        <w:pStyle w:val="FootnoteText"/>
        <w:jc w:val="both"/>
        <w:rPr>
          <w:lang w:val="sr-Cyrl-CS"/>
        </w:rPr>
      </w:pPr>
      <w:r>
        <w:rPr>
          <w:rStyle w:val="FootnoteReference"/>
        </w:rPr>
        <w:footnoteRef/>
      </w:r>
      <w:r>
        <w:t xml:space="preserve"> </w:t>
      </w:r>
      <w:r>
        <w:rPr>
          <w:lang w:val="sr-Cyrl-CS"/>
        </w:rPr>
        <w:t xml:space="preserve">Драган Јовашевић и Марина Гајић-Гламочија, </w:t>
      </w:r>
      <w:r w:rsidRPr="007965EF">
        <w:rPr>
          <w:b/>
          <w:lang w:val="sr-Cyrl-CS"/>
        </w:rPr>
        <w:t>Пореска утаја: облици испољавања и мере сузбијања</w:t>
      </w:r>
      <w:r>
        <w:rPr>
          <w:lang w:val="sr-Cyrl-CS"/>
        </w:rPr>
        <w:t>, БеоСинг, Београд, 2008, стр. 216.</w:t>
      </w:r>
    </w:p>
  </w:footnote>
  <w:footnote w:id="788">
    <w:p w:rsidR="00767127" w:rsidRPr="005E6B83" w:rsidRDefault="00767127">
      <w:pPr>
        <w:pStyle w:val="FootnoteText"/>
        <w:rPr>
          <w:lang w:val="sr-Cyrl-CS"/>
        </w:rPr>
      </w:pPr>
      <w:r>
        <w:rPr>
          <w:rStyle w:val="FootnoteReference"/>
        </w:rPr>
        <w:footnoteRef/>
      </w:r>
      <w:r>
        <w:t xml:space="preserve"> </w:t>
      </w:r>
      <w:r>
        <w:rPr>
          <w:lang w:val="sr-Cyrl-CS"/>
        </w:rPr>
        <w:t xml:space="preserve">Драган Јовашевић, </w:t>
      </w:r>
      <w:r w:rsidRPr="008423D0">
        <w:rPr>
          <w:b/>
          <w:lang w:val="sr-Cyrl-CS"/>
        </w:rPr>
        <w:t>Пореска евазија и пореска кривична дела, облици испољавања пореске евазије</w:t>
      </w:r>
      <w:r>
        <w:rPr>
          <w:lang w:val="sr-Cyrl-CS"/>
        </w:rPr>
        <w:t xml:space="preserve">, </w:t>
      </w:r>
      <w:r w:rsidRPr="008423D0">
        <w:rPr>
          <w:i/>
          <w:lang w:val="sr-Cyrl-CS"/>
        </w:rPr>
        <w:t>Безбедност</w:t>
      </w:r>
      <w:r>
        <w:rPr>
          <w:lang w:val="sr-Cyrl-CS"/>
        </w:rPr>
        <w:t>, бр. 4, 2005, стр. 545.</w:t>
      </w:r>
    </w:p>
  </w:footnote>
  <w:footnote w:id="789">
    <w:p w:rsidR="00767127" w:rsidRPr="00FF2989" w:rsidRDefault="00767127" w:rsidP="00F01C4C">
      <w:pPr>
        <w:pStyle w:val="FootnoteText"/>
        <w:jc w:val="both"/>
        <w:rPr>
          <w:lang w:val="sr-Cyrl-CS"/>
        </w:rPr>
      </w:pPr>
      <w:r>
        <w:rPr>
          <w:rStyle w:val="FootnoteReference"/>
        </w:rPr>
        <w:footnoteRef/>
      </w:r>
      <w:r>
        <w:t xml:space="preserve"> </w:t>
      </w:r>
      <w:r>
        <w:rPr>
          <w:lang w:val="sr-Cyrl-CS"/>
        </w:rPr>
        <w:t xml:space="preserve">Мирко Кулић, </w:t>
      </w:r>
      <w:r w:rsidRPr="00FF2989">
        <w:rPr>
          <w:b/>
          <w:lang w:val="sr-Cyrl-CS"/>
        </w:rPr>
        <w:t>Порески криминалитет</w:t>
      </w:r>
      <w:r>
        <w:rPr>
          <w:lang w:val="sr-Cyrl-CS"/>
        </w:rPr>
        <w:t xml:space="preserve">, </w:t>
      </w:r>
      <w:r w:rsidRPr="00F01C4C">
        <w:rPr>
          <w:i/>
          <w:lang w:val="sr-Cyrl-CS"/>
        </w:rPr>
        <w:t>Ревија за криминологију и кривично</w:t>
      </w:r>
      <w:r>
        <w:rPr>
          <w:lang w:val="sr-Cyrl-CS"/>
        </w:rPr>
        <w:t xml:space="preserve"> </w:t>
      </w:r>
      <w:r w:rsidRPr="00F01C4C">
        <w:rPr>
          <w:i/>
          <w:lang w:val="sr-Cyrl-CS"/>
        </w:rPr>
        <w:t>право</w:t>
      </w:r>
      <w:r>
        <w:rPr>
          <w:lang w:val="sr-Cyrl-CS"/>
        </w:rPr>
        <w:t>, бр. 3, 2010, стр. 109.</w:t>
      </w:r>
    </w:p>
  </w:footnote>
  <w:footnote w:id="790">
    <w:p w:rsidR="00767127" w:rsidRPr="00200E7B" w:rsidRDefault="00767127" w:rsidP="008423D0">
      <w:pPr>
        <w:pStyle w:val="FootnoteText"/>
        <w:jc w:val="both"/>
        <w:rPr>
          <w:lang w:val="sr-Cyrl-CS"/>
        </w:rPr>
      </w:pPr>
      <w:r>
        <w:rPr>
          <w:rStyle w:val="FootnoteReference"/>
        </w:rPr>
        <w:footnoteRef/>
      </w:r>
      <w:r>
        <w:t xml:space="preserve"> </w:t>
      </w:r>
      <w:r>
        <w:rPr>
          <w:lang w:val="sr-Cyrl-CS"/>
        </w:rPr>
        <w:t xml:space="preserve">Дејан Поповић, </w:t>
      </w:r>
      <w:r w:rsidRPr="00710BF4">
        <w:rPr>
          <w:b/>
          <w:lang w:val="sr-Cyrl-CS"/>
        </w:rPr>
        <w:t>Наука о порезима и пореско право</w:t>
      </w:r>
      <w:r>
        <w:rPr>
          <w:lang w:val="sr-Cyrl-CS"/>
        </w:rPr>
        <w:t xml:space="preserve">, </w:t>
      </w:r>
      <w:r>
        <w:t xml:space="preserve">COLPI, </w:t>
      </w:r>
      <w:r>
        <w:rPr>
          <w:lang w:val="sr-Cyrl-CS"/>
        </w:rPr>
        <w:t>Будимпешта</w:t>
      </w:r>
      <w:r>
        <w:t xml:space="preserve"> </w:t>
      </w:r>
      <w:r>
        <w:rPr>
          <w:lang w:val="sr-Cyrl-CS"/>
        </w:rPr>
        <w:t xml:space="preserve">и Савремена администрација, Београд, </w:t>
      </w:r>
      <w:r>
        <w:t xml:space="preserve"> </w:t>
      </w:r>
      <w:r>
        <w:rPr>
          <w:lang w:val="sr-Cyrl-CS"/>
        </w:rPr>
        <w:t xml:space="preserve">1997, </w:t>
      </w:r>
      <w:r>
        <w:t>стр. 456.</w:t>
      </w:r>
    </w:p>
  </w:footnote>
  <w:footnote w:id="791">
    <w:p w:rsidR="00767127" w:rsidRPr="00B3742F" w:rsidRDefault="00767127" w:rsidP="008423D0">
      <w:pPr>
        <w:pStyle w:val="FootnoteText"/>
        <w:jc w:val="both"/>
        <w:rPr>
          <w:lang w:val="sr-Cyrl-CS"/>
        </w:rPr>
      </w:pPr>
      <w:r>
        <w:rPr>
          <w:rStyle w:val="FootnoteReference"/>
        </w:rPr>
        <w:footnoteRef/>
      </w:r>
      <w:r>
        <w:t xml:space="preserve"> </w:t>
      </w:r>
      <w:r>
        <w:rPr>
          <w:lang w:val="sr-Cyrl-CS"/>
        </w:rPr>
        <w:t xml:space="preserve">Драган Јовашевић и Марина Гајић-Гламочија, </w:t>
      </w:r>
      <w:r>
        <w:rPr>
          <w:i/>
          <w:lang w:val="sr-Cyrl-CS"/>
        </w:rPr>
        <w:t xml:space="preserve">нав. дело, </w:t>
      </w:r>
      <w:r>
        <w:rPr>
          <w:lang w:val="sr-Cyrl-CS"/>
        </w:rPr>
        <w:t xml:space="preserve"> стр. 221.</w:t>
      </w:r>
    </w:p>
  </w:footnote>
  <w:footnote w:id="792">
    <w:p w:rsidR="00767127" w:rsidRPr="007D4E51" w:rsidRDefault="00767127">
      <w:pPr>
        <w:pStyle w:val="FootnoteText"/>
      </w:pPr>
      <w:r>
        <w:rPr>
          <w:rStyle w:val="FootnoteReference"/>
        </w:rPr>
        <w:footnoteRef/>
      </w:r>
      <w:r>
        <w:t xml:space="preserve"> </w:t>
      </w:r>
      <w:r>
        <w:rPr>
          <w:lang w:val="sr-Cyrl-CS"/>
        </w:rPr>
        <w:t xml:space="preserve">З. Стојановић и О. Перић, </w:t>
      </w:r>
      <w:r w:rsidRPr="007D4E51">
        <w:rPr>
          <w:b/>
          <w:lang w:val="sr-Cyrl-CS"/>
        </w:rPr>
        <w:t>Кривично право-посебни део</w:t>
      </w:r>
      <w:r>
        <w:rPr>
          <w:lang w:val="sr-Cyrl-CS"/>
        </w:rPr>
        <w:t xml:space="preserve">, </w:t>
      </w:r>
      <w:r>
        <w:t xml:space="preserve">XIII </w:t>
      </w:r>
      <w:r>
        <w:rPr>
          <w:lang w:val="sr-Cyrl-CS"/>
        </w:rPr>
        <w:t>измењено издање, Београд, 2009, стр. 172.</w:t>
      </w:r>
    </w:p>
  </w:footnote>
  <w:footnote w:id="793">
    <w:p w:rsidR="00767127" w:rsidRPr="006246A2" w:rsidRDefault="00767127">
      <w:pPr>
        <w:pStyle w:val="FootnoteText"/>
        <w:rPr>
          <w:lang w:val="sr-Cyrl-CS"/>
        </w:rPr>
      </w:pPr>
      <w:r>
        <w:rPr>
          <w:rStyle w:val="FootnoteReference"/>
        </w:rPr>
        <w:footnoteRef/>
      </w:r>
      <w:r>
        <w:t xml:space="preserve"> </w:t>
      </w:r>
      <w:r>
        <w:rPr>
          <w:lang w:val="sr-Cyrl-CS"/>
        </w:rPr>
        <w:t>Вид.: чл. 229. Кривичног законика („Службени гласник РС“ бр. 85/05...104/13).</w:t>
      </w:r>
    </w:p>
  </w:footnote>
  <w:footnote w:id="794">
    <w:p w:rsidR="00767127" w:rsidRPr="002254DE" w:rsidRDefault="00767127" w:rsidP="008423D0">
      <w:pPr>
        <w:pStyle w:val="FootnoteText"/>
        <w:jc w:val="both"/>
        <w:rPr>
          <w:lang w:val="sr-Cyrl-CS"/>
        </w:rPr>
      </w:pPr>
      <w:r>
        <w:rPr>
          <w:rStyle w:val="FootnoteReference"/>
        </w:rPr>
        <w:footnoteRef/>
      </w:r>
      <w:r>
        <w:t xml:space="preserve"> </w:t>
      </w:r>
      <w:r>
        <w:rPr>
          <w:lang w:val="sr-Cyrl-CS"/>
        </w:rPr>
        <w:t>Пре тога је до краја 2002. године било регулисано у чл. 154. у републичком законодавству.</w:t>
      </w:r>
    </w:p>
  </w:footnote>
  <w:footnote w:id="795">
    <w:p w:rsidR="00767127" w:rsidRPr="00857A90" w:rsidRDefault="00767127" w:rsidP="008423D0">
      <w:pPr>
        <w:pStyle w:val="FootnoteText"/>
        <w:jc w:val="both"/>
        <w:rPr>
          <w:lang w:val="sr-Cyrl-CS"/>
        </w:rPr>
      </w:pPr>
      <w:r>
        <w:rPr>
          <w:rStyle w:val="FootnoteReference"/>
        </w:rPr>
        <w:footnoteRef/>
      </w:r>
      <w:r>
        <w:t xml:space="preserve"> </w:t>
      </w:r>
      <w:r>
        <w:rPr>
          <w:lang w:val="sr-Cyrl-CS"/>
        </w:rPr>
        <w:t>Вид.: чл. 174. ст.4. Закона о пореском поступку и пореској администрацији.</w:t>
      </w:r>
    </w:p>
  </w:footnote>
  <w:footnote w:id="796">
    <w:p w:rsidR="00767127" w:rsidRPr="00B73EC5" w:rsidRDefault="00767127" w:rsidP="008423D0">
      <w:pPr>
        <w:pStyle w:val="FootnoteText"/>
        <w:jc w:val="both"/>
        <w:rPr>
          <w:lang w:val="sr-Cyrl-CS"/>
        </w:rPr>
      </w:pPr>
      <w:r>
        <w:rPr>
          <w:rStyle w:val="FootnoteReference"/>
        </w:rPr>
        <w:footnoteRef/>
      </w:r>
      <w:r>
        <w:t xml:space="preserve"> </w:t>
      </w:r>
      <w:r>
        <w:rPr>
          <w:lang w:val="sr-Cyrl-CS"/>
        </w:rPr>
        <w:t xml:space="preserve">Мирко Кулић, </w:t>
      </w:r>
      <w:r w:rsidRPr="00200E7B">
        <w:rPr>
          <w:b/>
          <w:lang w:val="sr-Cyrl-CS"/>
        </w:rPr>
        <w:t>Пореска утаја и кријумчарење</w:t>
      </w:r>
      <w:r>
        <w:rPr>
          <w:lang w:val="sr-Cyrl-CS"/>
        </w:rPr>
        <w:t>, БМГ, Београд, 1999, стр. 110-111.</w:t>
      </w:r>
    </w:p>
  </w:footnote>
  <w:footnote w:id="797">
    <w:p w:rsidR="00767127" w:rsidRPr="00FF6F11" w:rsidRDefault="00767127" w:rsidP="004A7DA4">
      <w:pPr>
        <w:pStyle w:val="FootnoteText"/>
        <w:jc w:val="both"/>
        <w:rPr>
          <w:lang w:val="sr-Cyrl-CS"/>
        </w:rPr>
      </w:pPr>
      <w:r>
        <w:rPr>
          <w:rStyle w:val="FootnoteReference"/>
        </w:rPr>
        <w:footnoteRef/>
      </w:r>
      <w:r>
        <w:t xml:space="preserve"> </w:t>
      </w:r>
      <w:r>
        <w:rPr>
          <w:lang w:val="sr-Cyrl-CS"/>
        </w:rPr>
        <w:t xml:space="preserve"> Љубиша Лазаревић, </w:t>
      </w:r>
      <w:r w:rsidRPr="001656C3">
        <w:rPr>
          <w:b/>
          <w:lang w:val="sr-Cyrl-CS"/>
        </w:rPr>
        <w:t>Коментар Кривичног законика Републике Србије</w:t>
      </w:r>
      <w:r>
        <w:rPr>
          <w:lang w:val="sr-Cyrl-CS"/>
        </w:rPr>
        <w:t>, Савремена администрација, Београд, 2006, стр. 625.</w:t>
      </w:r>
    </w:p>
  </w:footnote>
  <w:footnote w:id="798">
    <w:p w:rsidR="00767127" w:rsidRPr="00F373C1" w:rsidRDefault="00767127" w:rsidP="004A7DA4">
      <w:pPr>
        <w:pStyle w:val="FootnoteText"/>
        <w:jc w:val="both"/>
        <w:rPr>
          <w:lang w:val="sr-Cyrl-CS"/>
        </w:rPr>
      </w:pPr>
      <w:r>
        <w:rPr>
          <w:rStyle w:val="FootnoteReference"/>
        </w:rPr>
        <w:footnoteRef/>
      </w:r>
      <w:r>
        <w:t xml:space="preserve"> </w:t>
      </w:r>
      <w:r>
        <w:rPr>
          <w:lang w:val="sr-Cyrl-CS"/>
        </w:rPr>
        <w:t xml:space="preserve">Љубиша Лазаревић, </w:t>
      </w:r>
      <w:r w:rsidRPr="00F373C1">
        <w:rPr>
          <w:b/>
          <w:lang w:val="sr-Cyrl-CS"/>
        </w:rPr>
        <w:t>Коментар Кривичног законика</w:t>
      </w:r>
      <w:r>
        <w:rPr>
          <w:lang w:val="sr-Cyrl-CS"/>
        </w:rPr>
        <w:t>, Правни факултет Универзитета Унион у Београду, Београд, 2011, стр. 749.</w:t>
      </w:r>
    </w:p>
  </w:footnote>
  <w:footnote w:id="799">
    <w:p w:rsidR="00767127" w:rsidRPr="00A31967" w:rsidRDefault="00767127" w:rsidP="00A31967">
      <w:pPr>
        <w:pStyle w:val="normal0"/>
        <w:shd w:val="clear" w:color="auto" w:fill="FFFFFF"/>
        <w:spacing w:before="48" w:beforeAutospacing="0" w:after="48" w:afterAutospacing="0"/>
        <w:rPr>
          <w:rFonts w:asciiTheme="minorHAnsi" w:hAnsiTheme="minorHAnsi"/>
          <w:b/>
          <w:color w:val="000000"/>
          <w:sz w:val="20"/>
          <w:szCs w:val="20"/>
          <w:lang w:val="sr-Cyrl-CS"/>
        </w:rPr>
      </w:pPr>
      <w:r>
        <w:rPr>
          <w:rStyle w:val="FootnoteReference"/>
        </w:rPr>
        <w:footnoteRef/>
      </w:r>
      <w:r>
        <w:t xml:space="preserve"> </w:t>
      </w:r>
      <w:r w:rsidRPr="006F5466">
        <w:rPr>
          <w:rFonts w:asciiTheme="minorHAnsi" w:hAnsiTheme="minorHAnsi"/>
          <w:bCs/>
          <w:color w:val="000000"/>
          <w:sz w:val="20"/>
          <w:szCs w:val="20"/>
          <w:lang w:val="sr-Cyrl-CS"/>
        </w:rPr>
        <w:t>К</w:t>
      </w:r>
      <w:r w:rsidRPr="006F5466">
        <w:rPr>
          <w:rFonts w:asciiTheme="minorHAnsi" w:hAnsiTheme="minorHAnsi"/>
          <w:bCs/>
          <w:color w:val="000000"/>
          <w:sz w:val="20"/>
          <w:szCs w:val="20"/>
        </w:rPr>
        <w:t>ривично дело ће постојати, ако је код учиниоца постојала само намера за избегавање, тако да штетна последица не мора и да наступи.</w:t>
      </w:r>
      <w:r w:rsidRPr="006F5466">
        <w:rPr>
          <w:rFonts w:asciiTheme="minorHAnsi" w:hAnsiTheme="minorHAnsi"/>
          <w:bCs/>
          <w:color w:val="000000"/>
          <w:sz w:val="20"/>
          <w:szCs w:val="20"/>
          <w:lang w:val="sr-Cyrl-CS"/>
        </w:rPr>
        <w:t xml:space="preserve"> </w:t>
      </w:r>
      <w:r w:rsidRPr="006F5466">
        <w:rPr>
          <w:rFonts w:asciiTheme="minorHAnsi" w:hAnsiTheme="minorHAnsi"/>
          <w:color w:val="000000"/>
          <w:sz w:val="20"/>
          <w:szCs w:val="20"/>
        </w:rPr>
        <w:t>То значи да је кривично дело довршено самим предузимањем радњи извршења, то јест, законски опис не садржи последицу, стога није потребно да је извршилац избегао обавезу плаћања пореза на доприносе и других прописаних дажбина.</w:t>
      </w:r>
      <w:r w:rsidRPr="006F5466">
        <w:rPr>
          <w:rFonts w:asciiTheme="minorHAnsi" w:hAnsiTheme="minorHAnsi" w:cs="Arial"/>
          <w:b/>
          <w:color w:val="000000"/>
          <w:sz w:val="20"/>
          <w:szCs w:val="20"/>
          <w:lang w:val="sr-Cyrl-CS"/>
        </w:rPr>
        <w:t xml:space="preserve"> </w:t>
      </w:r>
      <w:r w:rsidRPr="006F5466">
        <w:rPr>
          <w:rFonts w:asciiTheme="minorHAnsi" w:hAnsiTheme="minorHAnsi"/>
          <w:b/>
          <w:color w:val="000000"/>
          <w:sz w:val="20"/>
          <w:szCs w:val="20"/>
          <w:lang w:val="sr-Cyrl-CS"/>
        </w:rPr>
        <w:t xml:space="preserve">(Пресуда </w:t>
      </w:r>
      <w:r w:rsidRPr="006F5466">
        <w:rPr>
          <w:rFonts w:asciiTheme="minorHAnsi" w:hAnsiTheme="minorHAnsi"/>
          <w:b/>
          <w:color w:val="000000"/>
          <w:sz w:val="20"/>
          <w:szCs w:val="20"/>
        </w:rPr>
        <w:t xml:space="preserve"> </w:t>
      </w:r>
      <w:r w:rsidRPr="006F5466">
        <w:rPr>
          <w:rFonts w:asciiTheme="minorHAnsi" w:hAnsiTheme="minorHAnsi"/>
          <w:b/>
          <w:color w:val="000000"/>
          <w:sz w:val="20"/>
          <w:szCs w:val="20"/>
          <w:lang w:val="sr-Cyrl-CS"/>
        </w:rPr>
        <w:t>Врховног суда Србије</w:t>
      </w:r>
      <w:r w:rsidRPr="006F5466">
        <w:rPr>
          <w:rFonts w:asciiTheme="minorHAnsi" w:hAnsiTheme="minorHAnsi"/>
          <w:b/>
          <w:color w:val="000000"/>
          <w:sz w:val="20"/>
          <w:szCs w:val="20"/>
        </w:rPr>
        <w:t xml:space="preserve">, </w:t>
      </w:r>
      <w:r w:rsidRPr="006F5466">
        <w:rPr>
          <w:rFonts w:asciiTheme="minorHAnsi" w:hAnsiTheme="minorHAnsi"/>
          <w:b/>
          <w:color w:val="000000"/>
          <w:sz w:val="20"/>
          <w:szCs w:val="20"/>
          <w:lang w:val="sr-Cyrl-CS"/>
        </w:rPr>
        <w:t>бр</w:t>
      </w:r>
      <w:r w:rsidRPr="006F5466">
        <w:rPr>
          <w:rFonts w:asciiTheme="minorHAnsi" w:hAnsiTheme="minorHAnsi"/>
          <w:b/>
          <w:color w:val="000000"/>
          <w:sz w:val="20"/>
          <w:szCs w:val="20"/>
        </w:rPr>
        <w:t>. Kž-I-32/78</w:t>
      </w:r>
      <w:r w:rsidRPr="006F5466">
        <w:rPr>
          <w:rFonts w:asciiTheme="minorHAnsi" w:hAnsiTheme="minorHAnsi"/>
          <w:b/>
          <w:color w:val="000000"/>
          <w:sz w:val="20"/>
          <w:szCs w:val="20"/>
          <w:lang w:val="sr-Cyrl-CS"/>
        </w:rPr>
        <w:t>,</w:t>
      </w:r>
      <w:r w:rsidRPr="006F5466">
        <w:rPr>
          <w:rFonts w:asciiTheme="minorHAnsi" w:hAnsiTheme="minorHAnsi"/>
          <w:sz w:val="20"/>
          <w:szCs w:val="20"/>
        </w:rPr>
        <w:t xml:space="preserve"> </w:t>
      </w:r>
      <w:r w:rsidRPr="006F5466">
        <w:rPr>
          <w:rFonts w:asciiTheme="minorHAnsi" w:hAnsiTheme="minorHAnsi"/>
          <w:b/>
          <w:color w:val="000000"/>
          <w:sz w:val="20"/>
          <w:szCs w:val="20"/>
          <w:lang w:val="sr-Cyrl-CS"/>
        </w:rPr>
        <w:t>h</w:t>
      </w:r>
      <w:r>
        <w:rPr>
          <w:rFonts w:asciiTheme="minorHAnsi" w:hAnsiTheme="minorHAnsi"/>
          <w:b/>
          <w:color w:val="000000"/>
          <w:sz w:val="20"/>
          <w:szCs w:val="20"/>
          <w:lang w:val="sr-Cyrl-CS"/>
        </w:rPr>
        <w:t>ttp://www.lexonline.paragraf.rs</w:t>
      </w:r>
      <w:r w:rsidRPr="006F5466">
        <w:rPr>
          <w:rFonts w:asciiTheme="minorHAnsi" w:hAnsiTheme="minorHAnsi"/>
          <w:b/>
          <w:color w:val="000000"/>
          <w:sz w:val="20"/>
          <w:szCs w:val="20"/>
          <w:lang w:val="sr-Cyrl-CS"/>
        </w:rPr>
        <w:t xml:space="preserve"> )</w:t>
      </w:r>
      <w:r w:rsidRPr="006F5466">
        <w:rPr>
          <w:rFonts w:asciiTheme="minorHAnsi" w:hAnsiTheme="minorHAnsi"/>
          <w:b/>
          <w:color w:val="000000"/>
          <w:sz w:val="20"/>
          <w:szCs w:val="20"/>
        </w:rPr>
        <w:t>.</w:t>
      </w:r>
    </w:p>
  </w:footnote>
  <w:footnote w:id="800">
    <w:p w:rsidR="00767127" w:rsidRPr="001A6E46" w:rsidRDefault="00767127" w:rsidP="00F373C1">
      <w:pPr>
        <w:pStyle w:val="FootnoteText"/>
        <w:rPr>
          <w:lang w:val="sr-Cyrl-CS"/>
        </w:rPr>
      </w:pPr>
      <w:r>
        <w:rPr>
          <w:rStyle w:val="FootnoteReference"/>
        </w:rPr>
        <w:footnoteRef/>
      </w:r>
      <w:r>
        <w:t xml:space="preserve"> </w:t>
      </w:r>
      <w:r>
        <w:rPr>
          <w:lang w:val="sr-Cyrl-CS"/>
        </w:rPr>
        <w:t xml:space="preserve">Мирко Кулић, </w:t>
      </w:r>
      <w:r>
        <w:rPr>
          <w:i/>
          <w:lang w:val="sr-Cyrl-CS"/>
        </w:rPr>
        <w:t>нав. дело</w:t>
      </w:r>
      <w:r w:rsidRPr="004A7DA4">
        <w:rPr>
          <w:i/>
          <w:lang w:val="sr-Cyrl-CS"/>
        </w:rPr>
        <w:t>,</w:t>
      </w:r>
      <w:r>
        <w:rPr>
          <w:lang w:val="sr-Cyrl-CS"/>
        </w:rPr>
        <w:t xml:space="preserve"> стр. 137-138.</w:t>
      </w:r>
    </w:p>
  </w:footnote>
  <w:footnote w:id="801">
    <w:p w:rsidR="00767127" w:rsidRPr="00B73EC5" w:rsidRDefault="00767127" w:rsidP="00F66F26">
      <w:pPr>
        <w:pStyle w:val="FootnoteText"/>
        <w:jc w:val="both"/>
        <w:rPr>
          <w:lang w:val="sr-Cyrl-CS"/>
        </w:rPr>
      </w:pPr>
      <w:r>
        <w:rPr>
          <w:rStyle w:val="FootnoteReference"/>
        </w:rPr>
        <w:footnoteRef/>
      </w:r>
      <w:r>
        <w:t xml:space="preserve"> </w:t>
      </w:r>
      <w:r w:rsidRPr="00E8382A">
        <w:rPr>
          <w:i/>
          <w:lang w:val="sr-Cyrl-CS"/>
        </w:rPr>
        <w:t>Н</w:t>
      </w:r>
      <w:r>
        <w:rPr>
          <w:i/>
          <w:lang w:val="sr-Cyrl-CS"/>
        </w:rPr>
        <w:t xml:space="preserve">ав. дело, </w:t>
      </w:r>
      <w:r w:rsidRPr="004A7DA4">
        <w:rPr>
          <w:i/>
          <w:lang w:val="sr-Cyrl-CS"/>
        </w:rPr>
        <w:t xml:space="preserve"> </w:t>
      </w:r>
      <w:r>
        <w:rPr>
          <w:lang w:val="sr-Cyrl-CS"/>
        </w:rPr>
        <w:t>стр. 120.</w:t>
      </w:r>
    </w:p>
  </w:footnote>
  <w:footnote w:id="802">
    <w:p w:rsidR="00767127" w:rsidRPr="00173D7F" w:rsidRDefault="00767127">
      <w:pPr>
        <w:pStyle w:val="FootnoteText"/>
        <w:rPr>
          <w:lang w:val="sr-Cyrl-CS"/>
        </w:rPr>
      </w:pPr>
      <w:r>
        <w:rPr>
          <w:rStyle w:val="FootnoteReference"/>
        </w:rPr>
        <w:footnoteRef/>
      </w:r>
      <w:r>
        <w:t xml:space="preserve"> </w:t>
      </w:r>
      <w:r>
        <w:rPr>
          <w:lang w:val="sr-Cyrl-CS"/>
        </w:rPr>
        <w:t xml:space="preserve">Љубиша Лазаревић, </w:t>
      </w:r>
      <w:r>
        <w:rPr>
          <w:i/>
          <w:lang w:val="sr-Cyrl-CS"/>
        </w:rPr>
        <w:t xml:space="preserve">нав. дело, </w:t>
      </w:r>
      <w:r>
        <w:rPr>
          <w:lang w:val="sr-Cyrl-CS"/>
        </w:rPr>
        <w:t xml:space="preserve"> стр. 748.</w:t>
      </w:r>
    </w:p>
  </w:footnote>
  <w:footnote w:id="803">
    <w:p w:rsidR="00767127" w:rsidRPr="000B53E8" w:rsidRDefault="00767127" w:rsidP="00CB25B6">
      <w:pPr>
        <w:pStyle w:val="FootnoteText"/>
        <w:jc w:val="both"/>
        <w:rPr>
          <w:lang w:val="sr-Cyrl-CS"/>
        </w:rPr>
      </w:pPr>
      <w:r>
        <w:rPr>
          <w:rStyle w:val="FootnoteReference"/>
        </w:rPr>
        <w:footnoteRef/>
      </w:r>
      <w:r>
        <w:t xml:space="preserve"> </w:t>
      </w:r>
      <w:r>
        <w:rPr>
          <w:lang w:val="sr-Cyrl-CS"/>
        </w:rPr>
        <w:t xml:space="preserve">Горан Милошевић, </w:t>
      </w:r>
      <w:r w:rsidRPr="00CB25B6">
        <w:rPr>
          <w:b/>
          <w:lang w:val="sr-Cyrl-CS"/>
        </w:rPr>
        <w:t>Порез и избегавање пореза</w:t>
      </w:r>
      <w:r>
        <w:rPr>
          <w:lang w:val="sr-Cyrl-CS"/>
        </w:rPr>
        <w:t>, Службени лист СЦГ, Београд, 2005, стр. 299.</w:t>
      </w:r>
    </w:p>
  </w:footnote>
  <w:footnote w:id="804">
    <w:p w:rsidR="00767127" w:rsidRPr="0041111B" w:rsidRDefault="00767127" w:rsidP="00F66F26">
      <w:pPr>
        <w:pStyle w:val="FootnoteText"/>
        <w:jc w:val="both"/>
        <w:rPr>
          <w:lang w:val="sr-Cyrl-CS"/>
        </w:rPr>
      </w:pPr>
      <w:r>
        <w:rPr>
          <w:rStyle w:val="FootnoteReference"/>
        </w:rPr>
        <w:footnoteRef/>
      </w:r>
      <w:r>
        <w:t xml:space="preserve"> </w:t>
      </w:r>
      <w:r>
        <w:rPr>
          <w:lang w:val="sr-Cyrl-CS"/>
        </w:rPr>
        <w:t xml:space="preserve">Драган Јовашевић и Марина Гајић-Гламочија, </w:t>
      </w:r>
      <w:r>
        <w:rPr>
          <w:i/>
          <w:lang w:val="sr-Cyrl-CS"/>
        </w:rPr>
        <w:t xml:space="preserve">нав. дело, </w:t>
      </w:r>
      <w:r>
        <w:rPr>
          <w:lang w:val="sr-Cyrl-CS"/>
        </w:rPr>
        <w:t xml:space="preserve"> стр. 235.</w:t>
      </w:r>
    </w:p>
  </w:footnote>
  <w:footnote w:id="805">
    <w:p w:rsidR="00767127" w:rsidRPr="00C14412" w:rsidRDefault="00767127" w:rsidP="00C14412">
      <w:pPr>
        <w:pStyle w:val="NoSpacing"/>
        <w:jc w:val="both"/>
        <w:rPr>
          <w:sz w:val="20"/>
          <w:szCs w:val="20"/>
          <w:lang w:val="sr-Cyrl-CS"/>
        </w:rPr>
      </w:pPr>
      <w:r>
        <w:rPr>
          <w:rStyle w:val="FootnoteReference"/>
        </w:rPr>
        <w:footnoteRef/>
      </w:r>
      <w:r>
        <w:t xml:space="preserve"> </w:t>
      </w:r>
      <w:r w:rsidRPr="00C14412">
        <w:rPr>
          <w:sz w:val="20"/>
          <w:szCs w:val="20"/>
          <w:lang w:val="sr-Cyrl-CS"/>
        </w:rPr>
        <w:t>У том смислу је и став судске праксе.</w:t>
      </w:r>
    </w:p>
    <w:p w:rsidR="00767127" w:rsidRPr="00C14412" w:rsidRDefault="00767127" w:rsidP="00C14412">
      <w:pPr>
        <w:pStyle w:val="NoSpacing"/>
        <w:jc w:val="both"/>
        <w:rPr>
          <w:color w:val="000000"/>
          <w:sz w:val="20"/>
          <w:szCs w:val="20"/>
          <w:lang w:val="sr-Cyrl-CS"/>
        </w:rPr>
      </w:pPr>
      <w:r w:rsidRPr="00C14412">
        <w:rPr>
          <w:color w:val="000000"/>
          <w:sz w:val="20"/>
          <w:szCs w:val="20"/>
          <w:lang w:val="sr-Cyrl-CS"/>
        </w:rPr>
        <w:t>Из образложења:</w:t>
      </w:r>
    </w:p>
    <w:p w:rsidR="00767127" w:rsidRPr="00C14412" w:rsidRDefault="00767127" w:rsidP="00C14412">
      <w:pPr>
        <w:pStyle w:val="NoSpacing"/>
        <w:jc w:val="both"/>
        <w:rPr>
          <w:iCs/>
          <w:color w:val="000000"/>
          <w:sz w:val="18"/>
          <w:szCs w:val="18"/>
          <w:lang w:val="sr-Cyrl-CS"/>
        </w:rPr>
      </w:pPr>
      <w:r w:rsidRPr="00C14412">
        <w:rPr>
          <w:iCs/>
          <w:color w:val="000000"/>
          <w:sz w:val="18"/>
          <w:szCs w:val="18"/>
          <w:lang w:val="sr-Cyrl-CS"/>
        </w:rPr>
        <w:t>"Браниоци у изјављеним жалбама наводе да је првостепени суд повредио кривични закон, имајући у виду да су спорна предузећа са К., те да немају седишта на територије Републике Србије, као ни имовину, да немају пословне рачуне у Србији, а њихова одговорна лица нису држављани Србије, те да иста не потпадају под законодавство Републике Србије.Напред наведене жалбене наводе Апелациони суд у Београду оцењује као неосноване, имајући у виду да је првостепени суд несумњиво утврдио да су окривљени у Б. израђивали фиктивне фактуре на компјутеру, и то окривљени А. А., тако што је преко интернета улазио у књиговодствену базу четири предузећа која су основана на К. и фактуре попуњавао по упутствима које је добијао од одговорних лица из домаћих предузећа, те да су те фактуре, након овере и потписа на К., слате поштом такође у Б., одакле су их окривљени предавали или слали власницима и овлашћеним лицима домаћих предузећа, а који су им након тога предавали девизни новац у готовини, умањен за провизију, па, имајући у виду да су радње извршења наведеног кривичног дела предузете у Б., да је корист, као и штетна последица настала на територији Републике Србије, то су неосновани жалбени наводи, имајући у виду да је суд у Републици Србији надлежан да суди за кривична дела која су извршена на територији Републике Србије, а у конкретном случају радње извршења предметног кривичног дела предузете су управо на територији Републике Србије, па самим тим потпадају и под кривично законодавство Републике Србије. У жалбама браниоци истичу да радње, које суд наводи у изреци првостепене пресуде, не садрже законска обележја кривичног дела злоупотреба службеног положаја, већ евентуално радњу кривичног дела пореске утаје, из члана 229. Кривичног законика, и то од стране одговорних лица у домаћим предузећима, те да, у конкретном случају, окривљени А. А. и окривљени Б. Б. могу бити само помагачи у том кривичном делу.</w:t>
      </w:r>
    </w:p>
    <w:p w:rsidR="00767127" w:rsidRPr="00C14412" w:rsidRDefault="00767127" w:rsidP="00C14412">
      <w:pPr>
        <w:pStyle w:val="NoSpacing"/>
        <w:jc w:val="both"/>
        <w:rPr>
          <w:iCs/>
          <w:color w:val="000000"/>
          <w:sz w:val="20"/>
          <w:szCs w:val="20"/>
          <w:lang w:val="sr-Cyrl-CS"/>
        </w:rPr>
      </w:pPr>
      <w:r w:rsidRPr="00C14412">
        <w:rPr>
          <w:iCs/>
          <w:color w:val="000000"/>
          <w:sz w:val="18"/>
          <w:szCs w:val="18"/>
          <w:lang w:val="sr-Cyrl-CS"/>
        </w:rPr>
        <w:t>Жалбени наводи бранилаца окривљених, у којима се наводи да се, у конкретном случају, евентуално може радити о кривичном делу пореска утаја, оцењени су као неосновани. Наиме, да би постојало кривично дело пореска утаја, неопходно је да је роба прибављена на легалан начин, па да овлашћено лице у својој пословној документацији умањи висину пореза или на други начин прикаже неистините податке о порезу, а што није случај у конкретној ситуацији, јер су окривљени слали фактуре које није пратила роба, па се не може говорити о кривичном делу пореска утаја, с обзиром да се радња извршења не везује за законито стечене приходе."</w:t>
      </w:r>
    </w:p>
    <w:p w:rsidR="00767127" w:rsidRPr="00C14412" w:rsidRDefault="00767127" w:rsidP="00C14412">
      <w:pPr>
        <w:pStyle w:val="NoSpacing"/>
        <w:jc w:val="both"/>
        <w:rPr>
          <w:iCs/>
          <w:color w:val="000000"/>
          <w:sz w:val="20"/>
          <w:szCs w:val="20"/>
          <w:lang w:val="sr-Cyrl-CS"/>
        </w:rPr>
      </w:pPr>
      <w:r w:rsidRPr="00C14412">
        <w:rPr>
          <w:b/>
          <w:bCs/>
          <w:color w:val="000000"/>
          <w:sz w:val="20"/>
          <w:szCs w:val="20"/>
          <w:lang w:val="sr-Cyrl-CS"/>
        </w:rPr>
        <w:t xml:space="preserve">(Пресуда Апелационог суда у Београду, Кж1. 4/2011 од 10.6.2011. године, </w:t>
      </w:r>
      <w:r w:rsidRPr="00C14412">
        <w:rPr>
          <w:color w:val="000000"/>
          <w:sz w:val="20"/>
          <w:szCs w:val="20"/>
          <w:lang w:val="sr-Cyrl-CS"/>
        </w:rPr>
        <w:t>http://www.lexonline.paragraf.rs</w:t>
      </w:r>
      <w:r w:rsidRPr="00C14412">
        <w:rPr>
          <w:b/>
          <w:bCs/>
          <w:color w:val="000000"/>
          <w:sz w:val="20"/>
          <w:szCs w:val="20"/>
          <w:lang w:val="sr-Cyrl-CS"/>
        </w:rPr>
        <w:t>).</w:t>
      </w:r>
    </w:p>
  </w:footnote>
  <w:footnote w:id="806">
    <w:p w:rsidR="00767127" w:rsidRPr="00C14412" w:rsidRDefault="00767127" w:rsidP="00C14412">
      <w:pPr>
        <w:pStyle w:val="NoSpacing"/>
        <w:jc w:val="both"/>
        <w:rPr>
          <w:sz w:val="20"/>
          <w:szCs w:val="20"/>
          <w:lang w:val="sr-Cyrl-CS"/>
        </w:rPr>
      </w:pPr>
      <w:r w:rsidRPr="00C14412">
        <w:rPr>
          <w:rStyle w:val="FootnoteReference"/>
          <w:sz w:val="20"/>
          <w:szCs w:val="20"/>
        </w:rPr>
        <w:footnoteRef/>
      </w:r>
      <w:r w:rsidRPr="00C14412">
        <w:rPr>
          <w:sz w:val="20"/>
          <w:szCs w:val="20"/>
        </w:rPr>
        <w:t xml:space="preserve"> </w:t>
      </w:r>
      <w:r w:rsidRPr="00C14412">
        <w:rPr>
          <w:sz w:val="20"/>
          <w:szCs w:val="20"/>
          <w:lang w:val="sr-Cyrl-CS"/>
        </w:rPr>
        <w:t xml:space="preserve">Љ. Лазаревић, </w:t>
      </w:r>
      <w:r w:rsidRPr="00C14412">
        <w:rPr>
          <w:b/>
          <w:sz w:val="20"/>
          <w:szCs w:val="20"/>
          <w:lang w:val="sr-Cyrl-CS"/>
        </w:rPr>
        <w:t>Кривично право, Посеби део</w:t>
      </w:r>
      <w:r w:rsidRPr="00C14412">
        <w:rPr>
          <w:sz w:val="20"/>
          <w:szCs w:val="20"/>
          <w:lang w:val="sr-Cyrl-CS"/>
        </w:rPr>
        <w:t>, Савремена администрација, Београд, 1993, стр. 229.</w:t>
      </w:r>
    </w:p>
  </w:footnote>
  <w:footnote w:id="807">
    <w:p w:rsidR="00767127" w:rsidRDefault="00767127" w:rsidP="00C14412">
      <w:pPr>
        <w:pStyle w:val="NoSpacing"/>
        <w:jc w:val="both"/>
        <w:rPr>
          <w:sz w:val="20"/>
          <w:szCs w:val="20"/>
          <w:lang w:val="sr-Cyrl-CS"/>
        </w:rPr>
      </w:pPr>
      <w:r w:rsidRPr="00C14412">
        <w:rPr>
          <w:rStyle w:val="FootnoteReference"/>
          <w:sz w:val="20"/>
          <w:szCs w:val="20"/>
        </w:rPr>
        <w:footnoteRef/>
      </w:r>
      <w:r w:rsidRPr="00C14412">
        <w:rPr>
          <w:sz w:val="20"/>
          <w:szCs w:val="20"/>
        </w:rPr>
        <w:t xml:space="preserve"> </w:t>
      </w:r>
      <w:r>
        <w:rPr>
          <w:sz w:val="20"/>
          <w:szCs w:val="20"/>
          <w:lang w:val="sr-Cyrl-CS"/>
        </w:rPr>
        <w:t>У том смислу је и  став судске праксе.</w:t>
      </w:r>
    </w:p>
    <w:p w:rsidR="00767127" w:rsidRPr="00C14412" w:rsidRDefault="00767127" w:rsidP="00C14412">
      <w:pPr>
        <w:pStyle w:val="NoSpacing"/>
        <w:jc w:val="both"/>
        <w:rPr>
          <w:sz w:val="20"/>
          <w:szCs w:val="20"/>
        </w:rPr>
      </w:pPr>
      <w:r w:rsidRPr="00C14412">
        <w:rPr>
          <w:iCs/>
          <w:color w:val="000000"/>
          <w:sz w:val="20"/>
          <w:szCs w:val="20"/>
          <w:lang w:val="sr-Cyrl-CS"/>
        </w:rPr>
        <w:t xml:space="preserve">Из образложења: </w:t>
      </w:r>
      <w:r w:rsidRPr="00C14412">
        <w:rPr>
          <w:iCs/>
          <w:color w:val="000000"/>
          <w:sz w:val="18"/>
          <w:szCs w:val="18"/>
          <w:lang w:val="sr-Cyrl-CS"/>
        </w:rPr>
        <w:t xml:space="preserve">"Оптужени је подношењем пореске пријаве са неистинитим подацима у укупном промету и трошкове пословања безуспешно покушао да доведе у заблуду надлежну службу друштвених прихода и да је његова делатност представљала некажњиви покушај, а не свршено кривично дело пореске утаје. Како је надлежни порески орган у време доношења решења о утврђивању пореске обавезе оптуженог у редовном поступку, располагао о веродостојним подацима, о нетачности пословних </w:t>
      </w:r>
      <w:r w:rsidRPr="00C14412">
        <w:rPr>
          <w:sz w:val="18"/>
          <w:szCs w:val="18"/>
        </w:rPr>
        <w:t>књига и поднете пореске пријаве, његово даље поступање супротно одредби члана 47. Закона о утврђивању и наплати пореза није од значаја за правну оцену делатности оптуженог</w:t>
      </w:r>
      <w:r w:rsidRPr="00C14412">
        <w:rPr>
          <w:sz w:val="20"/>
          <w:szCs w:val="20"/>
        </w:rPr>
        <w:t>." (Пресуда Врховног суда Србије, Кж. 1196/85, http://www.lexonline.paragraf.rs).</w:t>
      </w:r>
    </w:p>
  </w:footnote>
  <w:footnote w:id="808">
    <w:p w:rsidR="00767127" w:rsidRPr="006F5466" w:rsidRDefault="00767127" w:rsidP="006F5466">
      <w:pPr>
        <w:pStyle w:val="normalitalic"/>
        <w:shd w:val="clear" w:color="auto" w:fill="FFFFFF"/>
        <w:spacing w:before="48" w:beforeAutospacing="0" w:after="48" w:afterAutospacing="0"/>
        <w:jc w:val="both"/>
        <w:rPr>
          <w:rFonts w:asciiTheme="minorHAnsi" w:hAnsiTheme="minorHAnsi"/>
          <w:iCs/>
          <w:color w:val="000000"/>
          <w:sz w:val="20"/>
          <w:szCs w:val="20"/>
          <w:lang w:val="sr-Cyrl-CS"/>
        </w:rPr>
      </w:pPr>
      <w:r>
        <w:rPr>
          <w:rStyle w:val="FootnoteReference"/>
        </w:rPr>
        <w:footnoteRef/>
      </w:r>
      <w:r>
        <w:t xml:space="preserve"> </w:t>
      </w:r>
      <w:r w:rsidRPr="00C14412">
        <w:rPr>
          <w:rFonts w:asciiTheme="minorHAnsi" w:hAnsiTheme="minorHAnsi"/>
          <w:sz w:val="20"/>
          <w:szCs w:val="20"/>
          <w:lang w:val="sr-Cyrl-CS"/>
        </w:rPr>
        <w:t>Такво становиште је и судске праксе</w:t>
      </w:r>
      <w:r>
        <w:rPr>
          <w:lang w:val="sr-Cyrl-CS"/>
        </w:rPr>
        <w:t xml:space="preserve">. </w:t>
      </w:r>
      <w:r w:rsidRPr="00A31967">
        <w:rPr>
          <w:rFonts w:asciiTheme="minorHAnsi" w:hAnsiTheme="minorHAnsi"/>
          <w:sz w:val="20"/>
          <w:szCs w:val="20"/>
          <w:lang w:val="sr-Cyrl-CS"/>
        </w:rPr>
        <w:t>Из образложења</w:t>
      </w:r>
      <w:r>
        <w:rPr>
          <w:lang w:val="sr-Cyrl-CS"/>
        </w:rPr>
        <w:t xml:space="preserve">: </w:t>
      </w:r>
      <w:r w:rsidRPr="00C14412">
        <w:rPr>
          <w:rFonts w:asciiTheme="minorHAnsi" w:hAnsiTheme="minorHAnsi"/>
          <w:sz w:val="18"/>
          <w:szCs w:val="18"/>
          <w:lang w:val="sr-Cyrl-CS"/>
        </w:rPr>
        <w:t>„</w:t>
      </w:r>
      <w:r w:rsidRPr="00C14412">
        <w:rPr>
          <w:rFonts w:asciiTheme="minorHAnsi" w:hAnsiTheme="minorHAnsi"/>
          <w:iCs/>
          <w:color w:val="000000"/>
          <w:sz w:val="18"/>
          <w:szCs w:val="18"/>
          <w:lang w:val="sr-Cyrl-CS"/>
        </w:rPr>
        <w:t>Неспорно је утврђено да је осуђена предметне цигарете страног порекла набављала на "црно", то јест без одговарајуће пратеће документације, дакле незаконито. По налажењу Врховног суда, по правилној примени кривичног закона лице које не поднесе пријаву у приходима који потичу од вршења кривичног дела, прекршаја и друге незаконите делатности (обављање самосталне делатности за које лице нема потребно одобрење) не чини кривично дело пореске утаје, јер приходи које по том основу стекне нису законито стечени приходи о којима давање лажних података представља битан елеменат овог кривичног дела."</w:t>
      </w:r>
      <w:r w:rsidRPr="006F5466">
        <w:rPr>
          <w:rFonts w:asciiTheme="minorHAnsi" w:hAnsiTheme="minorHAnsi"/>
          <w:color w:val="000000"/>
          <w:sz w:val="20"/>
          <w:szCs w:val="20"/>
          <w:lang w:val="sr-Cyrl-CS"/>
        </w:rPr>
        <w:t xml:space="preserve"> (</w:t>
      </w:r>
      <w:r w:rsidRPr="006F5466">
        <w:rPr>
          <w:rFonts w:asciiTheme="minorHAnsi" w:hAnsiTheme="minorHAnsi"/>
          <w:b/>
          <w:color w:val="000000"/>
          <w:sz w:val="20"/>
          <w:szCs w:val="20"/>
          <w:lang w:val="sr-Cyrl-CS"/>
        </w:rPr>
        <w:t xml:space="preserve">Пресуда Врховног суда Србије, Кзз. 44/98 од 5.11.1998. године, </w:t>
      </w:r>
      <w:r w:rsidRPr="00B5455E">
        <w:rPr>
          <w:rFonts w:asciiTheme="minorHAnsi" w:hAnsiTheme="minorHAnsi"/>
          <w:color w:val="000000"/>
          <w:sz w:val="20"/>
          <w:szCs w:val="20"/>
          <w:lang w:val="sr-Cyrl-CS"/>
        </w:rPr>
        <w:t>http://www.lexonline.paragraf.rs</w:t>
      </w:r>
      <w:r>
        <w:rPr>
          <w:rFonts w:asciiTheme="minorHAnsi" w:hAnsiTheme="minorHAnsi"/>
          <w:color w:val="000000"/>
          <w:sz w:val="20"/>
          <w:szCs w:val="20"/>
          <w:lang w:val="sr-Cyrl-CS"/>
        </w:rPr>
        <w:t>).</w:t>
      </w:r>
    </w:p>
  </w:footnote>
  <w:footnote w:id="809">
    <w:p w:rsidR="00767127" w:rsidRPr="00173D7F" w:rsidRDefault="00767127">
      <w:pPr>
        <w:pStyle w:val="FootnoteText"/>
        <w:rPr>
          <w:lang w:val="sr-Cyrl-CS"/>
        </w:rPr>
      </w:pPr>
      <w:r>
        <w:rPr>
          <w:rStyle w:val="FootnoteReference"/>
        </w:rPr>
        <w:footnoteRef/>
      </w:r>
      <w:r>
        <w:t xml:space="preserve"> </w:t>
      </w:r>
      <w:r>
        <w:rPr>
          <w:lang w:val="sr-Cyrl-CS"/>
        </w:rPr>
        <w:t xml:space="preserve">Зоран Стојановић, </w:t>
      </w:r>
      <w:r w:rsidRPr="00A31967">
        <w:rPr>
          <w:b/>
          <w:lang w:val="sr-Cyrl-CS"/>
        </w:rPr>
        <w:t>Коментар Кривичног законика</w:t>
      </w:r>
      <w:r>
        <w:rPr>
          <w:lang w:val="sr-Cyrl-CS"/>
        </w:rPr>
        <w:t>, ЈП „Службени гласник“, 2009, стр. 554.</w:t>
      </w:r>
    </w:p>
  </w:footnote>
  <w:footnote w:id="810">
    <w:p w:rsidR="00767127" w:rsidRPr="00205CFF" w:rsidRDefault="00767127" w:rsidP="00037DF1">
      <w:pPr>
        <w:pStyle w:val="FootnoteText"/>
        <w:rPr>
          <w:lang w:val="sr-Cyrl-CS"/>
        </w:rPr>
      </w:pPr>
      <w:r>
        <w:rPr>
          <w:rStyle w:val="FootnoteReference"/>
        </w:rPr>
        <w:footnoteRef/>
      </w:r>
      <w:r>
        <w:t xml:space="preserve"> </w:t>
      </w:r>
      <w:r w:rsidRPr="007703ED">
        <w:rPr>
          <w:rFonts w:asciiTheme="minorHAnsi" w:hAnsiTheme="minorHAnsi"/>
          <w:lang w:val="sr-Cyrl-CS"/>
        </w:rPr>
        <w:t>Горан Милошевић</w:t>
      </w:r>
      <w:r>
        <w:rPr>
          <w:lang w:val="sr-Cyrl-CS"/>
        </w:rPr>
        <w:t xml:space="preserve">, </w:t>
      </w:r>
      <w:r>
        <w:rPr>
          <w:i/>
          <w:lang w:val="sr-Cyrl-CS"/>
        </w:rPr>
        <w:t xml:space="preserve">нав. дело, </w:t>
      </w:r>
      <w:r>
        <w:rPr>
          <w:lang w:val="sr-Cyrl-CS"/>
        </w:rPr>
        <w:t xml:space="preserve"> стр. 301.</w:t>
      </w:r>
    </w:p>
  </w:footnote>
  <w:footnote w:id="811">
    <w:p w:rsidR="00767127" w:rsidRPr="004209C5" w:rsidRDefault="00767127" w:rsidP="00B376B5">
      <w:pPr>
        <w:pStyle w:val="FootnoteText"/>
        <w:jc w:val="both"/>
        <w:rPr>
          <w:lang w:val="sr-Cyrl-CS"/>
        </w:rPr>
      </w:pPr>
      <w:r>
        <w:rPr>
          <w:rStyle w:val="FootnoteReference"/>
        </w:rPr>
        <w:footnoteRef/>
      </w:r>
      <w:r>
        <w:t xml:space="preserve"> </w:t>
      </w:r>
      <w:r>
        <w:rPr>
          <w:lang w:val="sr-Cyrl-CS"/>
        </w:rPr>
        <w:t xml:space="preserve">Милева Анђелковић и Драган Јовашевић, </w:t>
      </w:r>
      <w:r>
        <w:rPr>
          <w:i/>
          <w:lang w:val="sr-Cyrl-CS"/>
        </w:rPr>
        <w:t xml:space="preserve">нав. дело, </w:t>
      </w:r>
      <w:r>
        <w:rPr>
          <w:lang w:val="sr-Cyrl-CS"/>
        </w:rPr>
        <w:t xml:space="preserve"> стр. 195.</w:t>
      </w:r>
    </w:p>
  </w:footnote>
  <w:footnote w:id="812">
    <w:p w:rsidR="00767127" w:rsidRPr="00990871" w:rsidRDefault="00767127" w:rsidP="007703ED">
      <w:pPr>
        <w:pStyle w:val="FootnoteText"/>
        <w:jc w:val="both"/>
        <w:rPr>
          <w:lang w:val="sr-Cyrl-CS"/>
        </w:rPr>
      </w:pPr>
      <w:r>
        <w:rPr>
          <w:rStyle w:val="FootnoteReference"/>
        </w:rPr>
        <w:footnoteRef/>
      </w:r>
      <w:r>
        <w:rPr>
          <w:lang w:val="sr-Cyrl-CS"/>
        </w:rPr>
        <w:t xml:space="preserve">Драган Јовашевић и Златко Николић, </w:t>
      </w:r>
      <w:r w:rsidRPr="00E64D26">
        <w:rPr>
          <w:b/>
          <w:lang w:val="sr-Cyrl-CS"/>
        </w:rPr>
        <w:t>Пореска утаја као облик угрожавања функција социјалне државе</w:t>
      </w:r>
      <w:r>
        <w:rPr>
          <w:lang w:val="sr-Cyrl-CS"/>
        </w:rPr>
        <w:t xml:space="preserve">, </w:t>
      </w:r>
      <w:r w:rsidRPr="00E64D26">
        <w:rPr>
          <w:i/>
          <w:lang w:val="sr-Cyrl-CS"/>
        </w:rPr>
        <w:t>Политичка ревија</w:t>
      </w:r>
      <w:r>
        <w:rPr>
          <w:lang w:val="sr-Cyrl-CS"/>
        </w:rPr>
        <w:t>, бр. 4, стр. 132-133.</w:t>
      </w:r>
    </w:p>
  </w:footnote>
  <w:footnote w:id="813">
    <w:p w:rsidR="00767127" w:rsidRPr="000030AD" w:rsidRDefault="00767127" w:rsidP="007703ED">
      <w:pPr>
        <w:pStyle w:val="FootnoteText"/>
        <w:jc w:val="both"/>
        <w:rPr>
          <w:lang w:val="sr-Cyrl-CS"/>
        </w:rPr>
      </w:pPr>
      <w:r>
        <w:rPr>
          <w:rStyle w:val="FootnoteReference"/>
        </w:rPr>
        <w:footnoteRef/>
      </w:r>
      <w:r>
        <w:t xml:space="preserve"> </w:t>
      </w:r>
      <w:r>
        <w:rPr>
          <w:lang w:val="sr-Cyrl-CS"/>
        </w:rPr>
        <w:t xml:space="preserve">Горан Милошевић, </w:t>
      </w:r>
      <w:r>
        <w:rPr>
          <w:i/>
          <w:lang w:val="sr-Cyrl-CS"/>
        </w:rPr>
        <w:t xml:space="preserve">нав. дело, </w:t>
      </w:r>
      <w:r>
        <w:rPr>
          <w:lang w:val="sr-Cyrl-CS"/>
        </w:rPr>
        <w:t xml:space="preserve"> стр. 298.</w:t>
      </w:r>
    </w:p>
  </w:footnote>
  <w:footnote w:id="814">
    <w:p w:rsidR="00767127" w:rsidRPr="006F5466" w:rsidRDefault="00767127" w:rsidP="00C14412">
      <w:pPr>
        <w:pStyle w:val="NoSpacing"/>
        <w:jc w:val="both"/>
        <w:rPr>
          <w:rFonts w:cs="Arial"/>
          <w:b/>
          <w:sz w:val="20"/>
          <w:szCs w:val="20"/>
          <w:lang w:val="sr-Cyrl-CS"/>
        </w:rPr>
      </w:pPr>
      <w:r>
        <w:rPr>
          <w:rStyle w:val="FootnoteReference"/>
        </w:rPr>
        <w:footnoteRef/>
      </w:r>
      <w:r>
        <w:t xml:space="preserve"> </w:t>
      </w:r>
      <w:r w:rsidRPr="00C14412">
        <w:rPr>
          <w:sz w:val="18"/>
          <w:szCs w:val="18"/>
        </w:rPr>
        <w:t>Из образложења: "У смислу овог законског прописа, под појмом пореза подразумевају се све врсте обавеза према заједници. С обзиром на то какав је основ ти подаци се могу односити на висину разних прихода. Стога и онда када појединачне обавезе о порезу, доприносима социјалног осигурања и других доприноса чије се плаћање избегава на један од начина предвиђених у члану 154. став 1. КЗ РС не прелазе износ од 10.000,00 динара (сада 150.000,00 динара), али га прелази у свом укупном збиру, има се узети да је тиме у погледу висине обавеза остварено и ово законско обележје датог кривичног дела."</w:t>
      </w:r>
      <w:r w:rsidRPr="006F5466">
        <w:rPr>
          <w:b/>
          <w:sz w:val="20"/>
          <w:szCs w:val="20"/>
        </w:rPr>
        <w:t xml:space="preserve"> (Пресуда Врховног суда Србије</w:t>
      </w:r>
      <w:r w:rsidRPr="006F5466">
        <w:rPr>
          <w:rFonts w:cs="Arial"/>
          <w:b/>
          <w:sz w:val="20"/>
          <w:szCs w:val="20"/>
        </w:rPr>
        <w:t xml:space="preserve">, </w:t>
      </w:r>
      <w:r w:rsidRPr="006F5466">
        <w:rPr>
          <w:b/>
          <w:sz w:val="20"/>
          <w:szCs w:val="20"/>
        </w:rPr>
        <w:t>Kž-I-32/78</w:t>
      </w:r>
      <w:r w:rsidRPr="006F5466">
        <w:rPr>
          <w:sz w:val="20"/>
          <w:szCs w:val="20"/>
        </w:rPr>
        <w:t xml:space="preserve"> </w:t>
      </w:r>
      <w:r w:rsidRPr="006F5466">
        <w:rPr>
          <w:b/>
          <w:sz w:val="20"/>
          <w:szCs w:val="20"/>
        </w:rPr>
        <w:t>h</w:t>
      </w:r>
      <w:r>
        <w:rPr>
          <w:b/>
          <w:sz w:val="20"/>
          <w:szCs w:val="20"/>
        </w:rPr>
        <w:t>ttp://www.lexonline.paragraf.rs</w:t>
      </w:r>
      <w:r w:rsidRPr="006F5466">
        <w:rPr>
          <w:b/>
          <w:sz w:val="20"/>
          <w:szCs w:val="20"/>
          <w:lang w:val="sr-Cyrl-CS"/>
        </w:rPr>
        <w:t>)</w:t>
      </w:r>
      <w:r>
        <w:rPr>
          <w:b/>
          <w:sz w:val="20"/>
          <w:szCs w:val="20"/>
          <w:lang w:val="sr-Cyrl-CS"/>
        </w:rPr>
        <w:t>.</w:t>
      </w:r>
    </w:p>
  </w:footnote>
  <w:footnote w:id="815">
    <w:p w:rsidR="00767127" w:rsidRPr="00431669" w:rsidRDefault="00767127" w:rsidP="0053261E">
      <w:pPr>
        <w:pStyle w:val="FootnoteText"/>
        <w:jc w:val="both"/>
        <w:rPr>
          <w:lang w:val="sr-Cyrl-CS"/>
        </w:rPr>
      </w:pPr>
      <w:r>
        <w:rPr>
          <w:rStyle w:val="FootnoteReference"/>
        </w:rPr>
        <w:footnoteRef/>
      </w:r>
      <w:r>
        <w:t xml:space="preserve"> </w:t>
      </w:r>
      <w:r>
        <w:rPr>
          <w:lang w:val="sr-Cyrl-CS"/>
        </w:rPr>
        <w:t xml:space="preserve">Љубиша Лазаревић, </w:t>
      </w:r>
      <w:r w:rsidRPr="00B376B5">
        <w:rPr>
          <w:b/>
          <w:lang w:val="sr-Cyrl-CS"/>
        </w:rPr>
        <w:t>Коментар Кривичног законика Републике Србије</w:t>
      </w:r>
      <w:r>
        <w:rPr>
          <w:lang w:val="sr-Cyrl-CS"/>
        </w:rPr>
        <w:t>, Савремена администрација, Београд, 2006, стр. 625.</w:t>
      </w:r>
    </w:p>
  </w:footnote>
  <w:footnote w:id="816">
    <w:p w:rsidR="00767127" w:rsidRPr="00431669" w:rsidRDefault="00767127">
      <w:pPr>
        <w:pStyle w:val="FootnoteText"/>
        <w:rPr>
          <w:lang w:val="sr-Cyrl-CS"/>
        </w:rPr>
      </w:pPr>
      <w:r>
        <w:rPr>
          <w:rStyle w:val="FootnoteReference"/>
        </w:rPr>
        <w:footnoteRef/>
      </w:r>
      <w:r>
        <w:t xml:space="preserve"> </w:t>
      </w:r>
      <w:r>
        <w:rPr>
          <w:lang w:val="sr-Cyrl-CS"/>
        </w:rPr>
        <w:t xml:space="preserve">Зоран Стојановић, </w:t>
      </w:r>
      <w:r>
        <w:rPr>
          <w:i/>
          <w:lang w:val="sr-Cyrl-CS"/>
        </w:rPr>
        <w:t xml:space="preserve">нав. дело, </w:t>
      </w:r>
      <w:r>
        <w:rPr>
          <w:lang w:val="sr-Cyrl-CS"/>
        </w:rPr>
        <w:t xml:space="preserve"> стр. 555.</w:t>
      </w:r>
    </w:p>
  </w:footnote>
  <w:footnote w:id="817">
    <w:p w:rsidR="00767127" w:rsidRPr="00107B35" w:rsidRDefault="00767127">
      <w:pPr>
        <w:pStyle w:val="FootnoteText"/>
        <w:rPr>
          <w:lang w:val="sr-Cyrl-CS"/>
        </w:rPr>
      </w:pPr>
      <w:r>
        <w:rPr>
          <w:rStyle w:val="FootnoteReference"/>
        </w:rPr>
        <w:footnoteRef/>
      </w:r>
      <w:r>
        <w:t xml:space="preserve"> </w:t>
      </w:r>
      <w:r>
        <w:rPr>
          <w:lang w:val="sr-Cyrl-CS"/>
        </w:rPr>
        <w:t xml:space="preserve">Милева Анђелковић и Драган Јовашевић, </w:t>
      </w:r>
      <w:r>
        <w:rPr>
          <w:i/>
          <w:lang w:val="sr-Cyrl-CS"/>
        </w:rPr>
        <w:t xml:space="preserve">нав. дело, </w:t>
      </w:r>
      <w:r>
        <w:rPr>
          <w:lang w:val="sr-Cyrl-CS"/>
        </w:rPr>
        <w:t xml:space="preserve"> стр. 203.</w:t>
      </w:r>
    </w:p>
  </w:footnote>
  <w:footnote w:id="818">
    <w:p w:rsidR="00767127" w:rsidRPr="001C25EA" w:rsidRDefault="00767127">
      <w:pPr>
        <w:pStyle w:val="FootnoteText"/>
        <w:rPr>
          <w:lang w:val="sr-Cyrl-CS"/>
        </w:rPr>
      </w:pPr>
      <w:r>
        <w:rPr>
          <w:rStyle w:val="FootnoteReference"/>
        </w:rPr>
        <w:footnoteRef/>
      </w:r>
      <w:r>
        <w:t xml:space="preserve"> </w:t>
      </w:r>
      <w:r>
        <w:rPr>
          <w:lang w:val="sr-Cyrl-CS"/>
        </w:rPr>
        <w:t xml:space="preserve">Горан Милошевић, </w:t>
      </w:r>
      <w:r>
        <w:rPr>
          <w:i/>
          <w:lang w:val="sr-Cyrl-CS"/>
        </w:rPr>
        <w:t xml:space="preserve">нав. дело, </w:t>
      </w:r>
      <w:r>
        <w:rPr>
          <w:lang w:val="sr-Cyrl-CS"/>
        </w:rPr>
        <w:t xml:space="preserve"> стр. 303.</w:t>
      </w:r>
    </w:p>
  </w:footnote>
  <w:footnote w:id="819">
    <w:p w:rsidR="00767127" w:rsidRPr="00B376B5" w:rsidRDefault="00767127" w:rsidP="007703ED">
      <w:pPr>
        <w:pStyle w:val="FootnoteText"/>
        <w:jc w:val="both"/>
      </w:pPr>
      <w:r>
        <w:rPr>
          <w:rStyle w:val="FootnoteReference"/>
        </w:rPr>
        <w:footnoteRef/>
      </w:r>
      <w:r>
        <w:t xml:space="preserve"> </w:t>
      </w:r>
      <w:r>
        <w:rPr>
          <w:lang w:val="sr-Cyrl-CS"/>
        </w:rPr>
        <w:t xml:space="preserve">Драган Јовашевић, </w:t>
      </w:r>
      <w:r w:rsidRPr="00B376B5">
        <w:rPr>
          <w:b/>
          <w:lang w:val="sr-Cyrl-CS"/>
        </w:rPr>
        <w:t>Пореска евазија и пореска кривична дела, облици испољавања пореске евазије</w:t>
      </w:r>
      <w:r>
        <w:rPr>
          <w:lang w:val="sr-Cyrl-CS"/>
        </w:rPr>
        <w:t xml:space="preserve">, </w:t>
      </w:r>
      <w:r w:rsidRPr="00B376B5">
        <w:rPr>
          <w:i/>
          <w:lang w:val="sr-Cyrl-CS"/>
        </w:rPr>
        <w:t>Безбеднос</w:t>
      </w:r>
      <w:r>
        <w:rPr>
          <w:lang w:val="sr-Cyrl-CS"/>
        </w:rPr>
        <w:t>т, бр. 4, 2005, стр. 555.</w:t>
      </w:r>
    </w:p>
  </w:footnote>
  <w:footnote w:id="820">
    <w:p w:rsidR="00767127" w:rsidRPr="008F10B4" w:rsidRDefault="00767127">
      <w:pPr>
        <w:pStyle w:val="FootnoteText"/>
        <w:rPr>
          <w:lang w:val="sr-Cyrl-CS"/>
        </w:rPr>
      </w:pPr>
      <w:r>
        <w:rPr>
          <w:rStyle w:val="FootnoteReference"/>
        </w:rPr>
        <w:footnoteRef/>
      </w:r>
      <w:r>
        <w:t xml:space="preserve"> </w:t>
      </w:r>
      <w:r>
        <w:rPr>
          <w:lang w:val="sr-Cyrl-CS"/>
        </w:rPr>
        <w:t>„Службени гласник РС“ бр. 97/08.</w:t>
      </w:r>
    </w:p>
  </w:footnote>
  <w:footnote w:id="821">
    <w:p w:rsidR="00767127" w:rsidRPr="007703ED" w:rsidRDefault="00767127" w:rsidP="007703ED">
      <w:pPr>
        <w:pStyle w:val="normalitalic"/>
        <w:shd w:val="clear" w:color="auto" w:fill="FFFFFF"/>
        <w:spacing w:before="48" w:beforeAutospacing="0" w:after="48" w:afterAutospacing="0"/>
        <w:jc w:val="both"/>
        <w:rPr>
          <w:rFonts w:asciiTheme="minorHAnsi" w:hAnsiTheme="minorHAnsi" w:cs="Arial"/>
          <w:iCs/>
          <w:color w:val="000000"/>
          <w:sz w:val="20"/>
          <w:szCs w:val="20"/>
        </w:rPr>
      </w:pPr>
      <w:r>
        <w:rPr>
          <w:rStyle w:val="FootnoteReference"/>
        </w:rPr>
        <w:footnoteRef/>
      </w:r>
      <w:r>
        <w:t xml:space="preserve"> </w:t>
      </w:r>
      <w:r w:rsidRPr="00544666">
        <w:rPr>
          <w:rFonts w:asciiTheme="minorHAnsi" w:hAnsiTheme="minorHAnsi" w:cs="Arial"/>
          <w:iCs/>
          <w:color w:val="000000"/>
          <w:sz w:val="20"/>
          <w:szCs w:val="20"/>
          <w:lang w:val="sr-Cyrl-CS"/>
        </w:rPr>
        <w:t>Закон о изменама и одпунама Кривичног законика</w:t>
      </w:r>
      <w:r w:rsidRPr="00544666">
        <w:rPr>
          <w:rFonts w:asciiTheme="minorHAnsi" w:hAnsiTheme="minorHAnsi" w:cs="Arial"/>
          <w:iCs/>
          <w:color w:val="000000"/>
          <w:sz w:val="20"/>
          <w:szCs w:val="20"/>
        </w:rPr>
        <w:t xml:space="preserve"> ("</w:t>
      </w:r>
      <w:r w:rsidRPr="00544666">
        <w:rPr>
          <w:rFonts w:asciiTheme="minorHAnsi" w:hAnsiTheme="minorHAnsi" w:cs="Arial"/>
          <w:iCs/>
          <w:color w:val="000000"/>
          <w:sz w:val="20"/>
          <w:szCs w:val="20"/>
          <w:lang w:val="sr-Cyrl-CS"/>
        </w:rPr>
        <w:t>Службени гласник РС</w:t>
      </w:r>
      <w:r w:rsidRPr="00544666">
        <w:rPr>
          <w:rFonts w:asciiTheme="minorHAnsi" w:hAnsiTheme="minorHAnsi" w:cs="Arial"/>
          <w:iCs/>
          <w:color w:val="000000"/>
          <w:sz w:val="20"/>
          <w:szCs w:val="20"/>
        </w:rPr>
        <w:t xml:space="preserve">", br. 72/2009, </w:t>
      </w:r>
      <w:r w:rsidRPr="00544666">
        <w:rPr>
          <w:rFonts w:asciiTheme="minorHAnsi" w:hAnsiTheme="minorHAnsi" w:cs="Arial"/>
          <w:iCs/>
          <w:color w:val="000000"/>
          <w:sz w:val="20"/>
          <w:szCs w:val="20"/>
          <w:lang w:val="sr-Cyrl-CS"/>
        </w:rPr>
        <w:t>ступио на снагу</w:t>
      </w:r>
      <w:r w:rsidRPr="00544666">
        <w:rPr>
          <w:rFonts w:asciiTheme="minorHAnsi" w:hAnsiTheme="minorHAnsi" w:cs="Arial"/>
          <w:iCs/>
          <w:color w:val="000000"/>
          <w:sz w:val="20"/>
          <w:szCs w:val="20"/>
        </w:rPr>
        <w:t xml:space="preserve"> 11.9.2009. </w:t>
      </w:r>
      <w:r>
        <w:rPr>
          <w:rFonts w:asciiTheme="minorHAnsi" w:hAnsiTheme="minorHAnsi" w:cs="Arial"/>
          <w:iCs/>
          <w:color w:val="000000"/>
          <w:sz w:val="20"/>
          <w:szCs w:val="20"/>
          <w:lang w:val="sr-Cyrl-CS"/>
        </w:rPr>
        <w:t>године</w:t>
      </w:r>
      <w:r w:rsidRPr="00544666">
        <w:rPr>
          <w:rFonts w:asciiTheme="minorHAnsi" w:hAnsiTheme="minorHAnsi" w:cs="Arial"/>
          <w:iCs/>
          <w:color w:val="000000"/>
          <w:sz w:val="20"/>
          <w:szCs w:val="20"/>
        </w:rPr>
        <w:t xml:space="preserve">) </w:t>
      </w:r>
      <w:r w:rsidRPr="00544666">
        <w:rPr>
          <w:rFonts w:asciiTheme="minorHAnsi" w:hAnsiTheme="minorHAnsi" w:cs="Arial"/>
          <w:iCs/>
          <w:color w:val="000000"/>
          <w:sz w:val="20"/>
          <w:szCs w:val="20"/>
          <w:lang w:val="sr-Cyrl-CS"/>
        </w:rPr>
        <w:t>чланом</w:t>
      </w:r>
      <w:r w:rsidRPr="00544666">
        <w:rPr>
          <w:rFonts w:asciiTheme="minorHAnsi" w:hAnsiTheme="minorHAnsi" w:cs="Arial"/>
          <w:iCs/>
          <w:color w:val="000000"/>
          <w:sz w:val="20"/>
          <w:szCs w:val="20"/>
        </w:rPr>
        <w:t xml:space="preserve"> 88. </w:t>
      </w:r>
      <w:r w:rsidRPr="00544666">
        <w:rPr>
          <w:rFonts w:asciiTheme="minorHAnsi" w:hAnsiTheme="minorHAnsi" w:cs="Arial"/>
          <w:iCs/>
          <w:color w:val="000000"/>
          <w:sz w:val="20"/>
          <w:szCs w:val="20"/>
          <w:lang w:val="sr-Cyrl-CS"/>
        </w:rPr>
        <w:t>прописује се нови</w:t>
      </w:r>
      <w:r w:rsidRPr="00544666">
        <w:rPr>
          <w:rFonts w:asciiTheme="minorHAnsi" w:hAnsiTheme="minorHAnsi" w:cs="Arial"/>
          <w:iCs/>
          <w:color w:val="000000"/>
          <w:sz w:val="20"/>
          <w:szCs w:val="20"/>
        </w:rPr>
        <w:t xml:space="preserve"> </w:t>
      </w:r>
      <w:r w:rsidRPr="00544666">
        <w:rPr>
          <w:rFonts w:asciiTheme="minorHAnsi" w:hAnsiTheme="minorHAnsi" w:cs="Arial"/>
          <w:iCs/>
          <w:color w:val="000000"/>
          <w:sz w:val="20"/>
          <w:szCs w:val="20"/>
          <w:lang w:val="sr-Cyrl-CS"/>
        </w:rPr>
        <w:t>члан</w:t>
      </w:r>
      <w:r w:rsidRPr="00544666">
        <w:rPr>
          <w:rFonts w:asciiTheme="minorHAnsi" w:hAnsiTheme="minorHAnsi" w:cs="Arial"/>
          <w:iCs/>
          <w:color w:val="000000"/>
          <w:sz w:val="20"/>
          <w:szCs w:val="20"/>
        </w:rPr>
        <w:t xml:space="preserve"> 229a – </w:t>
      </w:r>
      <w:r w:rsidRPr="00544666">
        <w:rPr>
          <w:rFonts w:asciiTheme="minorHAnsi" w:hAnsiTheme="minorHAnsi" w:cs="Arial"/>
          <w:iCs/>
          <w:color w:val="000000"/>
          <w:sz w:val="20"/>
          <w:szCs w:val="20"/>
          <w:lang w:val="sr-Cyrl-CS"/>
        </w:rPr>
        <w:t>Неуплаћивање пореза по одбитку</w:t>
      </w:r>
      <w:r w:rsidRPr="00544666">
        <w:rPr>
          <w:rFonts w:asciiTheme="minorHAnsi" w:hAnsiTheme="minorHAnsi" w:cs="Arial"/>
          <w:iCs/>
          <w:color w:val="000000"/>
          <w:sz w:val="20"/>
          <w:szCs w:val="20"/>
        </w:rPr>
        <w:t xml:space="preserve">, </w:t>
      </w:r>
      <w:r w:rsidRPr="00544666">
        <w:rPr>
          <w:rFonts w:asciiTheme="minorHAnsi" w:hAnsiTheme="minorHAnsi" w:cs="Arial"/>
          <w:iCs/>
          <w:color w:val="000000"/>
          <w:sz w:val="20"/>
          <w:szCs w:val="20"/>
          <w:lang w:val="sr-Cyrl-CS"/>
        </w:rPr>
        <w:t xml:space="preserve">чије одредбе су преузете </w:t>
      </w:r>
      <w:r w:rsidRPr="00544666">
        <w:rPr>
          <w:rFonts w:asciiTheme="minorHAnsi" w:hAnsiTheme="minorHAnsi" w:cs="Arial"/>
          <w:iCs/>
          <w:color w:val="000000"/>
          <w:sz w:val="20"/>
          <w:szCs w:val="20"/>
        </w:rPr>
        <w:t xml:space="preserve"> </w:t>
      </w:r>
      <w:r w:rsidRPr="00544666">
        <w:rPr>
          <w:rFonts w:asciiTheme="minorHAnsi" w:hAnsiTheme="minorHAnsi" w:cs="Arial"/>
          <w:iCs/>
          <w:color w:val="000000"/>
          <w:sz w:val="20"/>
          <w:szCs w:val="20"/>
          <w:lang w:val="sr-Cyrl-CS"/>
        </w:rPr>
        <w:t>из чл.</w:t>
      </w:r>
      <w:r w:rsidRPr="00544666">
        <w:rPr>
          <w:rFonts w:asciiTheme="minorHAnsi" w:hAnsiTheme="minorHAnsi" w:cs="Arial"/>
          <w:iCs/>
          <w:color w:val="000000"/>
          <w:sz w:val="20"/>
          <w:szCs w:val="20"/>
        </w:rPr>
        <w:t xml:space="preserve"> 173. </w:t>
      </w:r>
      <w:r w:rsidRPr="00544666">
        <w:rPr>
          <w:rFonts w:asciiTheme="minorHAnsi" w:hAnsiTheme="minorHAnsi" w:cs="Arial"/>
          <w:iCs/>
          <w:color w:val="000000"/>
          <w:sz w:val="20"/>
          <w:szCs w:val="20"/>
          <w:lang w:val="sr-Cyrl-CS"/>
        </w:rPr>
        <w:t>Закона о пореском поступку и пореској администрацији</w:t>
      </w:r>
      <w:r w:rsidRPr="00544666">
        <w:rPr>
          <w:rFonts w:asciiTheme="minorHAnsi" w:hAnsiTheme="minorHAnsi" w:cs="Arial"/>
          <w:iCs/>
          <w:color w:val="000000"/>
          <w:sz w:val="20"/>
          <w:szCs w:val="20"/>
        </w:rPr>
        <w:t xml:space="preserve"> ("</w:t>
      </w:r>
      <w:r w:rsidRPr="00544666">
        <w:rPr>
          <w:rFonts w:asciiTheme="minorHAnsi" w:hAnsiTheme="minorHAnsi" w:cs="Arial"/>
          <w:iCs/>
          <w:color w:val="000000"/>
          <w:sz w:val="20"/>
          <w:szCs w:val="20"/>
          <w:lang w:val="sr-Cyrl-CS"/>
        </w:rPr>
        <w:t>Службени гласник РС“</w:t>
      </w:r>
      <w:r w:rsidRPr="00544666">
        <w:rPr>
          <w:rFonts w:asciiTheme="minorHAnsi" w:hAnsiTheme="minorHAnsi" w:cs="Arial"/>
          <w:iCs/>
          <w:color w:val="000000"/>
          <w:sz w:val="20"/>
          <w:szCs w:val="20"/>
        </w:rPr>
        <w:t xml:space="preserve">", </w:t>
      </w:r>
      <w:r w:rsidRPr="00544666">
        <w:rPr>
          <w:rFonts w:asciiTheme="minorHAnsi" w:hAnsiTheme="minorHAnsi" w:cs="Arial"/>
          <w:iCs/>
          <w:color w:val="000000"/>
          <w:sz w:val="20"/>
          <w:szCs w:val="20"/>
          <w:lang w:val="sr-Cyrl-CS"/>
        </w:rPr>
        <w:t>бр.</w:t>
      </w:r>
      <w:r w:rsidRPr="00544666">
        <w:rPr>
          <w:rFonts w:asciiTheme="minorHAnsi" w:hAnsiTheme="minorHAnsi" w:cs="Arial"/>
          <w:iCs/>
          <w:color w:val="000000"/>
          <w:sz w:val="20"/>
          <w:szCs w:val="20"/>
        </w:rPr>
        <w:t xml:space="preserve"> 80/2002, 84/2002</w:t>
      </w:r>
      <w:r w:rsidRPr="00544666">
        <w:rPr>
          <w:rFonts w:asciiTheme="minorHAnsi" w:hAnsiTheme="minorHAnsi" w:cs="Arial"/>
          <w:iCs/>
          <w:color w:val="000000"/>
          <w:sz w:val="20"/>
          <w:szCs w:val="20"/>
          <w:lang w:val="sr-Cyrl-CS"/>
        </w:rPr>
        <w:t>,</w:t>
      </w:r>
      <w:r w:rsidRPr="00544666">
        <w:rPr>
          <w:rFonts w:asciiTheme="minorHAnsi" w:hAnsiTheme="minorHAnsi" w:cs="Arial"/>
          <w:iCs/>
          <w:color w:val="000000"/>
          <w:sz w:val="20"/>
          <w:szCs w:val="20"/>
        </w:rPr>
        <w:t xml:space="preserve"> 23/2003</w:t>
      </w:r>
      <w:r w:rsidRPr="00544666">
        <w:rPr>
          <w:rFonts w:asciiTheme="minorHAnsi" w:hAnsiTheme="minorHAnsi" w:cs="Arial"/>
          <w:iCs/>
          <w:color w:val="000000"/>
          <w:sz w:val="20"/>
          <w:szCs w:val="20"/>
          <w:lang w:val="sr-Cyrl-CS"/>
        </w:rPr>
        <w:t>,</w:t>
      </w:r>
      <w:r w:rsidRPr="00544666">
        <w:rPr>
          <w:rFonts w:asciiTheme="minorHAnsi" w:hAnsiTheme="minorHAnsi" w:cs="Arial"/>
          <w:iCs/>
          <w:color w:val="000000"/>
          <w:sz w:val="20"/>
          <w:szCs w:val="20"/>
        </w:rPr>
        <w:t xml:space="preserve"> 70/2003, 55/2004, 61/2005, 85/2005</w:t>
      </w:r>
      <w:r w:rsidRPr="00544666">
        <w:rPr>
          <w:rFonts w:asciiTheme="minorHAnsi" w:hAnsiTheme="minorHAnsi" w:cs="Arial"/>
          <w:iCs/>
          <w:color w:val="000000"/>
          <w:sz w:val="20"/>
          <w:szCs w:val="20"/>
          <w:lang w:val="sr-Cyrl-CS"/>
        </w:rPr>
        <w:t>,</w:t>
      </w:r>
      <w:r w:rsidRPr="00544666">
        <w:rPr>
          <w:rFonts w:asciiTheme="minorHAnsi" w:hAnsiTheme="minorHAnsi" w:cs="Arial"/>
          <w:iCs/>
          <w:color w:val="000000"/>
          <w:sz w:val="20"/>
          <w:szCs w:val="20"/>
        </w:rPr>
        <w:t>62/2006</w:t>
      </w:r>
      <w:r w:rsidRPr="00544666">
        <w:rPr>
          <w:rFonts w:asciiTheme="minorHAnsi" w:hAnsiTheme="minorHAnsi" w:cs="Arial"/>
          <w:iCs/>
          <w:color w:val="000000"/>
          <w:sz w:val="20"/>
          <w:szCs w:val="20"/>
          <w:lang w:val="sr-Cyrl-CS"/>
        </w:rPr>
        <w:t>,</w:t>
      </w:r>
      <w:r w:rsidRPr="00544666">
        <w:rPr>
          <w:rFonts w:asciiTheme="minorHAnsi" w:hAnsiTheme="minorHAnsi" w:cs="Arial"/>
          <w:iCs/>
          <w:color w:val="000000"/>
          <w:sz w:val="20"/>
          <w:szCs w:val="20"/>
        </w:rPr>
        <w:t xml:space="preserve"> 63/2006 , 61/2007 i 20/2009)</w:t>
      </w:r>
      <w:r w:rsidRPr="00544666">
        <w:rPr>
          <w:rFonts w:asciiTheme="minorHAnsi" w:hAnsiTheme="minorHAnsi" w:cs="Arial"/>
          <w:iCs/>
          <w:color w:val="000000"/>
          <w:sz w:val="20"/>
          <w:szCs w:val="20"/>
          <w:lang w:val="sr-Cyrl-CS"/>
        </w:rPr>
        <w:t>, чиме је предузет још један корак ка кодификац</w:t>
      </w:r>
      <w:r>
        <w:rPr>
          <w:rFonts w:asciiTheme="minorHAnsi" w:hAnsiTheme="minorHAnsi" w:cs="Arial"/>
          <w:iCs/>
          <w:color w:val="000000"/>
          <w:sz w:val="20"/>
          <w:szCs w:val="20"/>
          <w:lang w:val="sr-Cyrl-CS"/>
        </w:rPr>
        <w:t>ији Кривичног законика.</w:t>
      </w:r>
    </w:p>
  </w:footnote>
  <w:footnote w:id="822">
    <w:p w:rsidR="00767127" w:rsidRPr="00826968" w:rsidRDefault="00767127">
      <w:pPr>
        <w:pStyle w:val="FootnoteText"/>
        <w:rPr>
          <w:lang w:val="sr-Cyrl-CS"/>
        </w:rPr>
      </w:pPr>
      <w:r>
        <w:rPr>
          <w:rStyle w:val="FootnoteReference"/>
        </w:rPr>
        <w:footnoteRef/>
      </w:r>
      <w:r>
        <w:t xml:space="preserve"> </w:t>
      </w:r>
      <w:r>
        <w:rPr>
          <w:lang w:val="sr-Cyrl-CS"/>
        </w:rPr>
        <w:t>„Службени гласник РС“ бр. 80/02...108/13.</w:t>
      </w:r>
    </w:p>
  </w:footnote>
  <w:footnote w:id="823">
    <w:p w:rsidR="00767127" w:rsidRPr="00915110" w:rsidRDefault="00767127" w:rsidP="00A34830">
      <w:pPr>
        <w:pStyle w:val="FootnoteText"/>
        <w:jc w:val="both"/>
        <w:rPr>
          <w:lang w:val="sr-Cyrl-CS"/>
        </w:rPr>
      </w:pPr>
      <w:r>
        <w:rPr>
          <w:rStyle w:val="FootnoteReference"/>
        </w:rPr>
        <w:footnoteRef/>
      </w:r>
      <w:r>
        <w:t xml:space="preserve"> </w:t>
      </w:r>
      <w:r>
        <w:rPr>
          <w:lang w:val="sr-Cyrl-CS"/>
        </w:rPr>
        <w:t xml:space="preserve">Драган Јовашевић и Марина Гајић-Гламочија, </w:t>
      </w:r>
      <w:r>
        <w:rPr>
          <w:i/>
          <w:lang w:val="sr-Cyrl-CS"/>
        </w:rPr>
        <w:t>нав. дело</w:t>
      </w:r>
      <w:r>
        <w:rPr>
          <w:lang w:val="sr-Cyrl-CS"/>
        </w:rPr>
        <w:t>, стр. 281-282.</w:t>
      </w:r>
    </w:p>
  </w:footnote>
  <w:footnote w:id="824">
    <w:p w:rsidR="00767127" w:rsidRPr="00A34830" w:rsidRDefault="00767127">
      <w:pPr>
        <w:pStyle w:val="FootnoteText"/>
      </w:pPr>
      <w:r>
        <w:rPr>
          <w:rStyle w:val="FootnoteReference"/>
        </w:rPr>
        <w:footnoteRef/>
      </w:r>
      <w:r>
        <w:t xml:space="preserve"> </w:t>
      </w:r>
      <w:r>
        <w:rPr>
          <w:lang w:val="sr-Cyrl-CS"/>
        </w:rPr>
        <w:t xml:space="preserve">Љубиша Лазаревић, </w:t>
      </w:r>
      <w:r>
        <w:rPr>
          <w:i/>
          <w:lang w:val="sr-Cyrl-CS"/>
        </w:rPr>
        <w:t xml:space="preserve">нав. дело, </w:t>
      </w:r>
      <w:r>
        <w:t xml:space="preserve"> </w:t>
      </w:r>
      <w:r>
        <w:rPr>
          <w:lang w:val="sr-Cyrl-CS"/>
        </w:rPr>
        <w:t>стр. 750.</w:t>
      </w:r>
    </w:p>
  </w:footnote>
  <w:footnote w:id="825">
    <w:p w:rsidR="00767127" w:rsidRPr="008008DF" w:rsidRDefault="00767127" w:rsidP="009807CC">
      <w:pPr>
        <w:pStyle w:val="FootnoteText"/>
        <w:jc w:val="both"/>
        <w:rPr>
          <w:lang w:val="sr-Cyrl-CS"/>
        </w:rPr>
      </w:pPr>
      <w:r>
        <w:rPr>
          <w:rStyle w:val="FootnoteReference"/>
        </w:rPr>
        <w:footnoteRef/>
      </w:r>
      <w:r>
        <w:t xml:space="preserve"> </w:t>
      </w:r>
      <w:r>
        <w:rPr>
          <w:lang w:val="sr-Cyrl-CS"/>
        </w:rPr>
        <w:t xml:space="preserve">Дејан Поповић, </w:t>
      </w:r>
      <w:r w:rsidRPr="00BE20E5">
        <w:rPr>
          <w:b/>
          <w:lang w:val="sr-Cyrl-CS"/>
        </w:rPr>
        <w:t>Коментар Закона о пореском поступку и пореској администрацији</w:t>
      </w:r>
      <w:r>
        <w:rPr>
          <w:lang w:val="sr-Cyrl-CS"/>
        </w:rPr>
        <w:t xml:space="preserve">, </w:t>
      </w:r>
      <w:r>
        <w:rPr>
          <w:rFonts w:cs="Arial"/>
          <w:color w:val="000000"/>
          <w:shd w:val="clear" w:color="auto" w:fill="FFFAF0"/>
        </w:rPr>
        <w:t>Cekos In</w:t>
      </w:r>
      <w:r>
        <w:rPr>
          <w:lang w:val="sr-Cyrl-CS"/>
        </w:rPr>
        <w:t>, Београд, 2003</w:t>
      </w:r>
      <w:r>
        <w:rPr>
          <w:i/>
          <w:lang w:val="sr-Cyrl-CS"/>
        </w:rPr>
        <w:t xml:space="preserve">, </w:t>
      </w:r>
      <w:r>
        <w:rPr>
          <w:lang w:val="sr-Cyrl-CS"/>
        </w:rPr>
        <w:t xml:space="preserve"> стр. 252.</w:t>
      </w:r>
    </w:p>
  </w:footnote>
  <w:footnote w:id="826">
    <w:p w:rsidR="00767127" w:rsidRPr="00AB087E" w:rsidRDefault="00767127" w:rsidP="009807CC">
      <w:pPr>
        <w:pStyle w:val="FootnoteText"/>
        <w:jc w:val="both"/>
        <w:rPr>
          <w:lang w:val="sr-Cyrl-CS"/>
        </w:rPr>
      </w:pPr>
      <w:r>
        <w:rPr>
          <w:rStyle w:val="FootnoteReference"/>
        </w:rPr>
        <w:footnoteRef/>
      </w:r>
      <w:r>
        <w:t xml:space="preserve"> </w:t>
      </w:r>
      <w:r>
        <w:rPr>
          <w:lang w:val="sr-Cyrl-CS"/>
        </w:rPr>
        <w:t xml:space="preserve">Драган Јовашевић и Марина Гајић-Гламочија, </w:t>
      </w:r>
      <w:r>
        <w:rPr>
          <w:i/>
          <w:lang w:val="sr-Cyrl-CS"/>
        </w:rPr>
        <w:t xml:space="preserve">нав. дело, </w:t>
      </w:r>
      <w:r>
        <w:rPr>
          <w:lang w:val="sr-Cyrl-CS"/>
        </w:rPr>
        <w:t xml:space="preserve"> стр. 281.</w:t>
      </w:r>
    </w:p>
  </w:footnote>
  <w:footnote w:id="827">
    <w:p w:rsidR="00767127" w:rsidRPr="001D605A" w:rsidRDefault="00767127">
      <w:pPr>
        <w:pStyle w:val="FootnoteText"/>
        <w:rPr>
          <w:lang w:val="sr-Cyrl-CS"/>
        </w:rPr>
      </w:pPr>
      <w:r>
        <w:rPr>
          <w:rStyle w:val="FootnoteReference"/>
        </w:rPr>
        <w:footnoteRef/>
      </w:r>
      <w:r>
        <w:t xml:space="preserve"> </w:t>
      </w:r>
      <w:r>
        <w:rPr>
          <w:lang w:val="sr-Cyrl-CS"/>
        </w:rPr>
        <w:t xml:space="preserve">Драган Јовашевић и Марина Гајић-Гламочија, </w:t>
      </w:r>
      <w:r>
        <w:rPr>
          <w:i/>
          <w:lang w:val="sr-Cyrl-CS"/>
        </w:rPr>
        <w:t>нав. дело</w:t>
      </w:r>
      <w:r w:rsidRPr="007703ED">
        <w:rPr>
          <w:i/>
          <w:lang w:val="sr-Cyrl-CS"/>
        </w:rPr>
        <w:t>,</w:t>
      </w:r>
      <w:r>
        <w:rPr>
          <w:lang w:val="sr-Cyrl-CS"/>
        </w:rPr>
        <w:t xml:space="preserve"> стр. 282.</w:t>
      </w:r>
    </w:p>
  </w:footnote>
  <w:footnote w:id="828">
    <w:p w:rsidR="00767127" w:rsidRPr="001467DF" w:rsidRDefault="00767127" w:rsidP="001467DF">
      <w:pPr>
        <w:shd w:val="clear" w:color="auto" w:fill="FFFFFF"/>
        <w:spacing w:before="48" w:after="48" w:line="240" w:lineRule="auto"/>
        <w:jc w:val="both"/>
        <w:rPr>
          <w:rFonts w:asciiTheme="minorHAnsi" w:hAnsiTheme="minorHAnsi"/>
          <w:color w:val="000000"/>
          <w:sz w:val="18"/>
          <w:szCs w:val="18"/>
          <w:lang w:val="sr-Cyrl-CS"/>
        </w:rPr>
      </w:pPr>
      <w:r>
        <w:rPr>
          <w:rStyle w:val="FootnoteReference"/>
        </w:rPr>
        <w:footnoteRef/>
      </w:r>
      <w:r>
        <w:t xml:space="preserve"> </w:t>
      </w:r>
      <w:r w:rsidRPr="00C14412">
        <w:rPr>
          <w:sz w:val="20"/>
          <w:szCs w:val="20"/>
          <w:lang w:val="sr-Cyrl-CS"/>
        </w:rPr>
        <w:t>У том смислу је и став судске праксе.</w:t>
      </w:r>
      <w:r>
        <w:rPr>
          <w:lang w:val="sr-Cyrl-CS"/>
        </w:rPr>
        <w:t xml:space="preserve"> </w:t>
      </w:r>
      <w:r w:rsidRPr="001467DF">
        <w:rPr>
          <w:rFonts w:asciiTheme="minorHAnsi" w:hAnsiTheme="minorHAnsi"/>
          <w:color w:val="000000"/>
          <w:sz w:val="18"/>
          <w:szCs w:val="18"/>
        </w:rPr>
        <w:t>Из образложења:</w:t>
      </w:r>
    </w:p>
    <w:p w:rsidR="00767127" w:rsidRPr="00C14412" w:rsidRDefault="00767127" w:rsidP="00C14412">
      <w:pPr>
        <w:pStyle w:val="NoSpacing"/>
        <w:jc w:val="both"/>
        <w:rPr>
          <w:rFonts w:asciiTheme="minorHAnsi" w:hAnsiTheme="minorHAnsi"/>
          <w:sz w:val="18"/>
          <w:szCs w:val="18"/>
          <w:lang w:val="sr-Cyrl-CS"/>
        </w:rPr>
      </w:pPr>
      <w:r w:rsidRPr="00C14412">
        <w:rPr>
          <w:rFonts w:asciiTheme="minorHAnsi" w:hAnsiTheme="minorHAnsi"/>
          <w:sz w:val="18"/>
          <w:szCs w:val="18"/>
        </w:rPr>
        <w:t>"Првостепеном пресудом окривљени је сходно одредби члана 355. тачка 2) Законика о кривичном поступку (даље: ЗКП), ослобођен од оптужбе да би радњама ближе описаним у изреци побијане пресуде учинио продужено кривично дело неуплаћивање пореза по одбитку из члана 229а став 1. Кривичног законика (даље: КЗ) у вези члана 61. КЗ.</w:t>
      </w:r>
      <w:r w:rsidRPr="00C14412">
        <w:rPr>
          <w:rFonts w:asciiTheme="minorHAnsi" w:hAnsiTheme="minorHAnsi"/>
          <w:sz w:val="18"/>
          <w:szCs w:val="18"/>
          <w:lang w:val="sr-Cyrl-CS"/>
        </w:rPr>
        <w:t xml:space="preserve"> </w:t>
      </w:r>
      <w:r w:rsidRPr="00C14412">
        <w:rPr>
          <w:rFonts w:asciiTheme="minorHAnsi" w:hAnsiTheme="minorHAnsi"/>
          <w:sz w:val="18"/>
          <w:szCs w:val="18"/>
        </w:rPr>
        <w:t>Неосновано се жалбом јавног тужиоца побија првостепена пресуда када се наводи да је првостепени суд погрешно утврдио да нема доказа да је окривљени учинио предметно кривично дело, јер је по наводима жалбе окривљени иако није власник радње, критичном приликом иступао као лице овлашћено за управљање рачуном радње, те да је на основу пуномоћја добијеног од власника ове радње био овлашћен да предузима послове редовног управљања радом па самим тим и може бити извршилац предметног кривичног дела, а посебно што је Законом о пореском поступку и пореској администрацији (даље: ЗПППА) прописано да пуномоћник може бити странка у поступку.</w:t>
      </w:r>
    </w:p>
    <w:p w:rsidR="00767127" w:rsidRPr="00C14412" w:rsidRDefault="00767127" w:rsidP="00C14412">
      <w:pPr>
        <w:pStyle w:val="NoSpacing"/>
        <w:jc w:val="both"/>
        <w:rPr>
          <w:rFonts w:asciiTheme="minorHAnsi" w:hAnsiTheme="minorHAnsi"/>
          <w:sz w:val="18"/>
          <w:szCs w:val="18"/>
          <w:lang w:val="sr-Cyrl-CS"/>
        </w:rPr>
      </w:pPr>
      <w:r w:rsidRPr="00C14412">
        <w:rPr>
          <w:rFonts w:asciiTheme="minorHAnsi" w:hAnsiTheme="minorHAnsi"/>
          <w:sz w:val="18"/>
          <w:szCs w:val="18"/>
        </w:rPr>
        <w:t>Наиме, одредбом члана 229а. став 1. КЗ прописано је да извршилац кривичног дела неуплаћивање пореза по одбитку може бити искључиво предузетник - порески платац. Одредбом члана 48. став 1. Закона о привредним друштвима прописано је да је предузетник физичко лице које је регистровано и које ради стицања добити у виду занимања обавља све законом дозвољене делатности, док је одредбом члана 12. став 3. тачка 2) ЗПППА прописано да је порески платац исплатилац прихода пореском обвезнику, те да је исти дужан да обрачуна и по одбитку плати прописани порез на тај приход у име и за рачун пореског обвезника, на одговарајући уплатни рачун, те да се порески платац сходно поменутој законској одредби сматра другим пореским дужником.</w:t>
      </w:r>
    </w:p>
    <w:p w:rsidR="00767127" w:rsidRPr="00C14412" w:rsidRDefault="00767127" w:rsidP="00C14412">
      <w:pPr>
        <w:pStyle w:val="NoSpacing"/>
        <w:jc w:val="both"/>
        <w:rPr>
          <w:rFonts w:asciiTheme="minorHAnsi" w:hAnsiTheme="minorHAnsi"/>
          <w:sz w:val="18"/>
          <w:szCs w:val="18"/>
          <w:lang w:val="sr-Cyrl-CS"/>
        </w:rPr>
      </w:pPr>
      <w:r w:rsidRPr="00C14412">
        <w:rPr>
          <w:rFonts w:asciiTheme="minorHAnsi" w:hAnsiTheme="minorHAnsi"/>
          <w:sz w:val="18"/>
          <w:szCs w:val="18"/>
        </w:rPr>
        <w:t>Дакле, како је исплатилац прихода (зарада) пореским обвезницима (запосленима у радњи) власник радње која је као таква уписана у регистар то је иста била дужна да обрачуна и плати порез на те приходе у име и за рачун пореских обвезника (запослених).</w:t>
      </w:r>
    </w:p>
    <w:p w:rsidR="00767127" w:rsidRPr="00C14412" w:rsidRDefault="00767127" w:rsidP="00C14412">
      <w:pPr>
        <w:pStyle w:val="NoSpacing"/>
        <w:jc w:val="both"/>
        <w:rPr>
          <w:rFonts w:asciiTheme="minorHAnsi" w:hAnsiTheme="minorHAnsi"/>
          <w:sz w:val="18"/>
          <w:szCs w:val="18"/>
          <w:lang w:val="sr-Cyrl-CS"/>
        </w:rPr>
      </w:pPr>
      <w:r w:rsidRPr="00C14412">
        <w:rPr>
          <w:rFonts w:asciiTheme="minorHAnsi" w:hAnsiTheme="minorHAnsi"/>
          <w:sz w:val="18"/>
          <w:szCs w:val="18"/>
        </w:rPr>
        <w:t>Стоји чињеница да порески обвезник сходно одредби члана 13. став 1. ЗПППА може учествовати у порескоправном односу преко свог пуномоћника. Међутим по налажењу Апелационог суда порески пуномоћник не може бити извршилац предметног кривичног дела јер сходно одредби члана 14. став 1. ЗПППА порески пуномоћник послове у вези са обавезама пореског обвезника извршава у име и за рачун пореског обвезника.</w:t>
      </w:r>
    </w:p>
    <w:p w:rsidR="00767127" w:rsidRPr="00C14412" w:rsidRDefault="00767127" w:rsidP="00C14412">
      <w:pPr>
        <w:pStyle w:val="NoSpacing"/>
        <w:jc w:val="both"/>
        <w:rPr>
          <w:sz w:val="18"/>
          <w:szCs w:val="18"/>
        </w:rPr>
      </w:pPr>
      <w:r w:rsidRPr="00C14412">
        <w:rPr>
          <w:rFonts w:asciiTheme="minorHAnsi" w:hAnsiTheme="minorHAnsi"/>
          <w:sz w:val="18"/>
          <w:szCs w:val="18"/>
        </w:rPr>
        <w:t>Дакле, по налажењу Апелационог суда наводима из жалбе јавног тужиоца не доводи се у сумњу правилност закључака првостепеног суда да нема доказа да је окривљени у својству предузетника - пореског платца извршио</w:t>
      </w:r>
      <w:r w:rsidRPr="001467DF">
        <w:t xml:space="preserve"> </w:t>
      </w:r>
      <w:r w:rsidRPr="00C14412">
        <w:rPr>
          <w:sz w:val="18"/>
          <w:szCs w:val="18"/>
        </w:rPr>
        <w:t>предметно кривично дело, па је правилно сходно одредби члана 355. тачка 2. ЗКП окривљени ослобођен од оптужбе за предметно кривично дело."</w:t>
      </w:r>
    </w:p>
    <w:p w:rsidR="00767127" w:rsidRPr="009834E1" w:rsidRDefault="00767127" w:rsidP="009834E1">
      <w:pPr>
        <w:shd w:val="clear" w:color="auto" w:fill="FFFFFF"/>
        <w:spacing w:before="48" w:after="48" w:line="240" w:lineRule="auto"/>
        <w:jc w:val="both"/>
        <w:rPr>
          <w:rFonts w:asciiTheme="minorHAnsi" w:hAnsiTheme="minorHAnsi"/>
          <w:b/>
          <w:bCs/>
          <w:color w:val="000000"/>
          <w:sz w:val="18"/>
          <w:szCs w:val="18"/>
          <w:lang w:val="sr-Cyrl-CS"/>
        </w:rPr>
      </w:pPr>
      <w:r w:rsidRPr="001467DF">
        <w:rPr>
          <w:rFonts w:asciiTheme="minorHAnsi" w:hAnsiTheme="minorHAnsi"/>
          <w:b/>
          <w:bCs/>
          <w:color w:val="000000"/>
          <w:sz w:val="18"/>
          <w:szCs w:val="18"/>
        </w:rPr>
        <w:t>(Пресуда Апелационог суда у Крагујевцу, Кж1. 3823/2013 од 19.8.2013. године)</w:t>
      </w:r>
    </w:p>
  </w:footnote>
  <w:footnote w:id="829">
    <w:p w:rsidR="00767127" w:rsidRPr="00C74AFA" w:rsidRDefault="00767127">
      <w:pPr>
        <w:pStyle w:val="FootnoteText"/>
        <w:rPr>
          <w:lang w:val="sr-Cyrl-CS"/>
        </w:rPr>
      </w:pPr>
      <w:r>
        <w:rPr>
          <w:rStyle w:val="FootnoteReference"/>
        </w:rPr>
        <w:footnoteRef/>
      </w:r>
      <w:r>
        <w:t xml:space="preserve"> </w:t>
      </w:r>
      <w:r>
        <w:rPr>
          <w:lang w:val="sr-Cyrl-CS"/>
        </w:rPr>
        <w:t>Горан Милошевић, н</w:t>
      </w:r>
      <w:r>
        <w:rPr>
          <w:i/>
          <w:lang w:val="sr-Cyrl-CS"/>
        </w:rPr>
        <w:t xml:space="preserve">ав. дело, </w:t>
      </w:r>
      <w:r>
        <w:rPr>
          <w:lang w:val="sr-Cyrl-CS"/>
        </w:rPr>
        <w:t xml:space="preserve"> стр. 301.</w:t>
      </w:r>
    </w:p>
  </w:footnote>
  <w:footnote w:id="830">
    <w:p w:rsidR="00767127" w:rsidRPr="00826968" w:rsidRDefault="00767127">
      <w:pPr>
        <w:pStyle w:val="FootnoteText"/>
        <w:rPr>
          <w:lang w:val="sr-Cyrl-CS"/>
        </w:rPr>
      </w:pPr>
      <w:r>
        <w:rPr>
          <w:rStyle w:val="FootnoteReference"/>
        </w:rPr>
        <w:footnoteRef/>
      </w:r>
      <w:r>
        <w:t xml:space="preserve"> </w:t>
      </w:r>
      <w:r>
        <w:rPr>
          <w:lang w:val="sr-Cyrl-CS"/>
        </w:rPr>
        <w:t xml:space="preserve">Вид.: чл. 173а Закона о пореском поступку и пореској администрацији, („Службени гласник РС“ бр. 80/02...108/13).  </w:t>
      </w:r>
    </w:p>
  </w:footnote>
  <w:footnote w:id="831">
    <w:p w:rsidR="00767127" w:rsidRPr="00D01AEF" w:rsidRDefault="00767127" w:rsidP="00A34830">
      <w:pPr>
        <w:pStyle w:val="FootnoteText"/>
        <w:jc w:val="both"/>
        <w:rPr>
          <w:lang w:val="sr-Cyrl-CS"/>
        </w:rPr>
      </w:pPr>
      <w:r>
        <w:rPr>
          <w:rStyle w:val="FootnoteReference"/>
        </w:rPr>
        <w:footnoteRef/>
      </w:r>
      <w:r>
        <w:t xml:space="preserve"> </w:t>
      </w:r>
      <w:r>
        <w:rPr>
          <w:lang w:val="sr-Cyrl-CS"/>
        </w:rPr>
        <w:t xml:space="preserve">Драган Јовашевић и Марина Гајић-Гламочија, </w:t>
      </w:r>
      <w:r>
        <w:rPr>
          <w:i/>
          <w:lang w:val="sr-Cyrl-CS"/>
        </w:rPr>
        <w:t xml:space="preserve">нав. дело, </w:t>
      </w:r>
      <w:r>
        <w:rPr>
          <w:lang w:val="sr-Cyrl-CS"/>
        </w:rPr>
        <w:t xml:space="preserve"> стр. 284.</w:t>
      </w:r>
    </w:p>
  </w:footnote>
  <w:footnote w:id="832">
    <w:p w:rsidR="00767127" w:rsidRPr="00A34830" w:rsidRDefault="00767127" w:rsidP="00A34830">
      <w:pPr>
        <w:jc w:val="both"/>
        <w:rPr>
          <w:rFonts w:asciiTheme="minorHAnsi" w:hAnsiTheme="minorHAnsi"/>
          <w:sz w:val="20"/>
          <w:szCs w:val="20"/>
          <w:lang w:val="sr-Cyrl-CS"/>
        </w:rPr>
      </w:pPr>
      <w:r>
        <w:rPr>
          <w:rStyle w:val="FootnoteReference"/>
        </w:rPr>
        <w:footnoteRef/>
      </w:r>
      <w:r w:rsidRPr="00AA381E">
        <w:rPr>
          <w:rFonts w:asciiTheme="minorHAnsi" w:hAnsiTheme="minorHAnsi"/>
          <w:sz w:val="20"/>
          <w:szCs w:val="20"/>
          <w:lang w:val="sr-Cyrl-CS"/>
        </w:rPr>
        <w:t xml:space="preserve">Милева Анђелковић и Драган Јовашевић, </w:t>
      </w:r>
      <w:r>
        <w:rPr>
          <w:rFonts w:asciiTheme="minorHAnsi" w:hAnsiTheme="minorHAnsi"/>
          <w:i/>
          <w:sz w:val="20"/>
          <w:szCs w:val="20"/>
          <w:lang w:val="sr-Cyrl-CS"/>
        </w:rPr>
        <w:t xml:space="preserve">нав. дело, </w:t>
      </w:r>
      <w:r>
        <w:rPr>
          <w:rFonts w:asciiTheme="minorHAnsi" w:hAnsiTheme="minorHAnsi"/>
          <w:sz w:val="20"/>
          <w:szCs w:val="20"/>
          <w:lang w:val="sr-Cyrl-CS"/>
        </w:rPr>
        <w:t xml:space="preserve"> стр. 210.</w:t>
      </w:r>
    </w:p>
  </w:footnote>
  <w:footnote w:id="833">
    <w:p w:rsidR="00767127" w:rsidRPr="00BB684B" w:rsidRDefault="00767127">
      <w:pPr>
        <w:pStyle w:val="FootnoteText"/>
        <w:rPr>
          <w:lang w:val="sr-Cyrl-CS"/>
        </w:rPr>
      </w:pPr>
      <w:r>
        <w:rPr>
          <w:rStyle w:val="FootnoteReference"/>
        </w:rPr>
        <w:footnoteRef/>
      </w:r>
      <w:r>
        <w:t xml:space="preserve"> </w:t>
      </w:r>
      <w:r>
        <w:rPr>
          <w:lang w:val="sr-Cyrl-CS"/>
        </w:rPr>
        <w:t xml:space="preserve">Драган Јовашевић и Марина Гајић-Гламочија, </w:t>
      </w:r>
      <w:r w:rsidRPr="0068248A">
        <w:rPr>
          <w:i/>
          <w:lang w:val="sr-Cyrl-CS"/>
        </w:rPr>
        <w:t>нав. дело</w:t>
      </w:r>
      <w:r>
        <w:rPr>
          <w:lang w:val="sr-Cyrl-CS"/>
        </w:rPr>
        <w:t>,  стр. 283-284.</w:t>
      </w:r>
    </w:p>
  </w:footnote>
  <w:footnote w:id="834">
    <w:p w:rsidR="00767127" w:rsidRPr="00AA381E" w:rsidRDefault="00767127" w:rsidP="00AA381E">
      <w:pPr>
        <w:pStyle w:val="FootnoteText"/>
        <w:jc w:val="both"/>
        <w:rPr>
          <w:lang w:val="sr-Cyrl-CS"/>
        </w:rPr>
      </w:pPr>
      <w:r>
        <w:rPr>
          <w:rStyle w:val="FootnoteReference"/>
        </w:rPr>
        <w:footnoteRef/>
      </w:r>
      <w:r>
        <w:t xml:space="preserve"> </w:t>
      </w:r>
      <w:r>
        <w:rPr>
          <w:lang w:val="sr-Cyrl-CS"/>
        </w:rPr>
        <w:t xml:space="preserve">Дејан Поповић, </w:t>
      </w:r>
      <w:r w:rsidRPr="00AA381E">
        <w:rPr>
          <w:b/>
          <w:lang w:val="sr-Cyrl-CS"/>
        </w:rPr>
        <w:t>Пореско право-општи део</w:t>
      </w:r>
      <w:r>
        <w:rPr>
          <w:lang w:val="sr-Cyrl-CS"/>
        </w:rPr>
        <w:t xml:space="preserve">, </w:t>
      </w:r>
      <w:r>
        <w:t>Cekos In, Београд, 2006, стр. 276,</w:t>
      </w:r>
    </w:p>
  </w:footnote>
  <w:footnote w:id="835">
    <w:p w:rsidR="00767127" w:rsidRPr="00036182" w:rsidRDefault="00767127">
      <w:pPr>
        <w:pStyle w:val="FootnoteText"/>
        <w:rPr>
          <w:lang w:val="sr-Cyrl-CS"/>
        </w:rPr>
      </w:pPr>
      <w:r>
        <w:rPr>
          <w:rStyle w:val="FootnoteReference"/>
        </w:rPr>
        <w:footnoteRef/>
      </w:r>
      <w:r>
        <w:t xml:space="preserve"> </w:t>
      </w:r>
      <w:r>
        <w:rPr>
          <w:lang w:val="sr-Cyrl-CS"/>
        </w:rPr>
        <w:t xml:space="preserve">Милева Анђелковић и Драган Јовашевић, </w:t>
      </w:r>
      <w:r w:rsidRPr="0068248A">
        <w:rPr>
          <w:i/>
          <w:lang w:val="sr-Cyrl-CS"/>
        </w:rPr>
        <w:t>нав. дело</w:t>
      </w:r>
      <w:r>
        <w:rPr>
          <w:lang w:val="sr-Cyrl-CS"/>
        </w:rPr>
        <w:t xml:space="preserve">, </w:t>
      </w:r>
      <w:r>
        <w:t xml:space="preserve"> </w:t>
      </w:r>
      <w:r>
        <w:rPr>
          <w:lang w:val="sr-Cyrl-CS"/>
        </w:rPr>
        <w:t>стр. 284.</w:t>
      </w:r>
    </w:p>
  </w:footnote>
  <w:footnote w:id="836">
    <w:p w:rsidR="00767127" w:rsidRPr="00AA381E" w:rsidRDefault="00767127" w:rsidP="00AA381E">
      <w:pPr>
        <w:pStyle w:val="FootnoteText"/>
        <w:jc w:val="both"/>
        <w:rPr>
          <w:lang w:val="sr-Cyrl-CS"/>
        </w:rPr>
      </w:pPr>
      <w:r>
        <w:rPr>
          <w:rStyle w:val="FootnoteReference"/>
        </w:rPr>
        <w:footnoteRef/>
      </w:r>
      <w:r>
        <w:t xml:space="preserve"> </w:t>
      </w:r>
      <w:r>
        <w:rPr>
          <w:lang w:val="sr-Cyrl-CS"/>
        </w:rPr>
        <w:t xml:space="preserve">Дејан Поповић, </w:t>
      </w:r>
      <w:r w:rsidRPr="00056CBF">
        <w:rPr>
          <w:i/>
          <w:lang w:val="sr-Cyrl-CS"/>
        </w:rPr>
        <w:t>нав. дело</w:t>
      </w:r>
      <w:r>
        <w:t xml:space="preserve">, 2006, стр. </w:t>
      </w:r>
      <w:r>
        <w:rPr>
          <w:lang w:val="sr-Cyrl-CS"/>
        </w:rPr>
        <w:t>277.</w:t>
      </w:r>
    </w:p>
  </w:footnote>
  <w:footnote w:id="837">
    <w:p w:rsidR="00767127" w:rsidRPr="007703ED" w:rsidRDefault="00767127" w:rsidP="007703ED">
      <w:pPr>
        <w:jc w:val="both"/>
      </w:pPr>
      <w:r>
        <w:rPr>
          <w:rStyle w:val="FootnoteReference"/>
        </w:rPr>
        <w:footnoteRef/>
      </w:r>
      <w:r>
        <w:t xml:space="preserve"> </w:t>
      </w:r>
      <w:r w:rsidRPr="00AA381E">
        <w:rPr>
          <w:rFonts w:asciiTheme="minorHAnsi" w:hAnsiTheme="minorHAnsi"/>
          <w:sz w:val="20"/>
          <w:szCs w:val="20"/>
          <w:lang w:val="sr-Cyrl-CS"/>
        </w:rPr>
        <w:t xml:space="preserve">Милева Анђелковић и Драган Јовашевић, </w:t>
      </w:r>
      <w:r>
        <w:rPr>
          <w:rFonts w:asciiTheme="minorHAnsi" w:hAnsiTheme="minorHAnsi"/>
          <w:i/>
          <w:sz w:val="20"/>
          <w:szCs w:val="20"/>
          <w:lang w:val="sr-Cyrl-CS"/>
        </w:rPr>
        <w:t xml:space="preserve">нав. дело, </w:t>
      </w:r>
      <w:r w:rsidRPr="007703ED">
        <w:rPr>
          <w:rFonts w:asciiTheme="minorHAnsi" w:hAnsiTheme="minorHAnsi"/>
          <w:i/>
          <w:sz w:val="20"/>
          <w:szCs w:val="20"/>
          <w:lang w:val="sr-Cyrl-CS"/>
        </w:rPr>
        <w:t xml:space="preserve"> стр</w:t>
      </w:r>
      <w:r>
        <w:rPr>
          <w:rFonts w:asciiTheme="minorHAnsi" w:hAnsiTheme="minorHAnsi"/>
          <w:sz w:val="20"/>
          <w:szCs w:val="20"/>
          <w:lang w:val="sr-Cyrl-CS"/>
        </w:rPr>
        <w:t>. 210</w:t>
      </w:r>
      <w:r>
        <w:rPr>
          <w:rFonts w:asciiTheme="minorHAnsi" w:hAnsiTheme="minorHAnsi"/>
          <w:sz w:val="20"/>
          <w:szCs w:val="20"/>
        </w:rPr>
        <w:t>.</w:t>
      </w:r>
    </w:p>
  </w:footnote>
  <w:footnote w:id="838">
    <w:p w:rsidR="00767127" w:rsidRPr="00135BB7" w:rsidRDefault="00767127" w:rsidP="00CF5CF7">
      <w:pPr>
        <w:pStyle w:val="FootnoteText"/>
        <w:rPr>
          <w:lang w:val="sr-Cyrl-CS"/>
        </w:rPr>
      </w:pPr>
      <w:r>
        <w:rPr>
          <w:rStyle w:val="FootnoteReference"/>
        </w:rPr>
        <w:footnoteRef/>
      </w:r>
      <w:r>
        <w:t xml:space="preserve"> </w:t>
      </w:r>
      <w:r>
        <w:rPr>
          <w:lang w:val="sr-Cyrl-CS"/>
        </w:rPr>
        <w:t xml:space="preserve">„Службени гласник РС“ бр. 80/02, 23/03, 70/03, 55/04, 61/05, 85/05, 62/06, 63/06, 61/07, 20/09, 72/09, 53/10, 101/11, 2/12, 93/12, 47/13 и 108/13. </w:t>
      </w:r>
    </w:p>
    <w:p w:rsidR="00767127" w:rsidRPr="00512389" w:rsidRDefault="00767127" w:rsidP="00CF5CF7">
      <w:pPr>
        <w:pStyle w:val="FootnoteText"/>
        <w:rPr>
          <w:lang w:val="sr-Cyrl-CS"/>
        </w:rPr>
      </w:pPr>
    </w:p>
  </w:footnote>
  <w:footnote w:id="839">
    <w:p w:rsidR="00767127" w:rsidRPr="00FF6F11" w:rsidRDefault="00767127" w:rsidP="00A10F0D">
      <w:pPr>
        <w:pStyle w:val="FootnoteText"/>
        <w:rPr>
          <w:lang w:val="sr-Cyrl-CS"/>
        </w:rPr>
      </w:pPr>
      <w:r>
        <w:rPr>
          <w:rStyle w:val="FootnoteReference"/>
        </w:rPr>
        <w:footnoteRef/>
      </w:r>
      <w:r>
        <w:t xml:space="preserve"> </w:t>
      </w:r>
      <w:r>
        <w:rPr>
          <w:lang w:val="sr-Cyrl-CS"/>
        </w:rPr>
        <w:t xml:space="preserve">Дејан Поповић, </w:t>
      </w:r>
      <w:r>
        <w:rPr>
          <w:i/>
          <w:lang w:val="sr-Cyrl-CS"/>
        </w:rPr>
        <w:t xml:space="preserve">нав. дело, </w:t>
      </w:r>
      <w:r>
        <w:rPr>
          <w:lang w:val="sr-Cyrl-CS"/>
        </w:rPr>
        <w:t xml:space="preserve"> стр. 178.</w:t>
      </w:r>
    </w:p>
  </w:footnote>
  <w:footnote w:id="840">
    <w:p w:rsidR="00767127" w:rsidRPr="00D9413C" w:rsidRDefault="00767127">
      <w:pPr>
        <w:pStyle w:val="FootnoteText"/>
        <w:rPr>
          <w:lang w:val="sr-Cyrl-CS"/>
        </w:rPr>
      </w:pPr>
      <w:r>
        <w:rPr>
          <w:rStyle w:val="FootnoteReference"/>
        </w:rPr>
        <w:footnoteRef/>
      </w:r>
      <w:r>
        <w:t xml:space="preserve"> </w:t>
      </w:r>
      <w:r>
        <w:rPr>
          <w:lang w:val="sr-Cyrl-CS"/>
        </w:rPr>
        <w:t xml:space="preserve">Марина Димитријевић, </w:t>
      </w:r>
      <w:r w:rsidRPr="00A92172">
        <w:rPr>
          <w:b/>
          <w:lang w:val="sr-Cyrl-CS"/>
        </w:rPr>
        <w:t>Правна заштита обвезника пореза</w:t>
      </w:r>
      <w:r>
        <w:rPr>
          <w:lang w:val="sr-Cyrl-CS"/>
        </w:rPr>
        <w:t xml:space="preserve">, </w:t>
      </w:r>
      <w:r w:rsidRPr="00A92172">
        <w:rPr>
          <w:i/>
          <w:lang w:val="sr-Cyrl-CS"/>
        </w:rPr>
        <w:t>Правни живот</w:t>
      </w:r>
      <w:r>
        <w:rPr>
          <w:lang w:val="sr-Cyrl-CS"/>
        </w:rPr>
        <w:t>, бр. 12, 2009, Београд, стр. 159.</w:t>
      </w:r>
    </w:p>
  </w:footnote>
  <w:footnote w:id="841">
    <w:p w:rsidR="00767127" w:rsidRPr="00E72830" w:rsidRDefault="00767127" w:rsidP="00AD3AD3">
      <w:pPr>
        <w:pStyle w:val="FootnoteText"/>
        <w:jc w:val="both"/>
        <w:rPr>
          <w:lang w:val="sr-Cyrl-CS"/>
        </w:rPr>
      </w:pPr>
      <w:r>
        <w:rPr>
          <w:rStyle w:val="FootnoteReference"/>
        </w:rPr>
        <w:footnoteRef/>
      </w:r>
      <w:r>
        <w:t xml:space="preserve"> </w:t>
      </w:r>
      <w:r>
        <w:rPr>
          <w:lang w:val="sr-Cyrl-CS"/>
        </w:rPr>
        <w:t>Чл. 160. Закона о пореском поступку и пореској администрацији („Сл. гласник РС“ бр. 80/02...108/13).</w:t>
      </w:r>
    </w:p>
  </w:footnote>
  <w:footnote w:id="842">
    <w:p w:rsidR="00767127" w:rsidRPr="004E765A" w:rsidRDefault="00767127" w:rsidP="00AD3AD3">
      <w:pPr>
        <w:pStyle w:val="FootnoteText"/>
        <w:jc w:val="both"/>
        <w:rPr>
          <w:lang w:val="sr-Cyrl-CS"/>
        </w:rPr>
      </w:pPr>
      <w:r>
        <w:rPr>
          <w:rStyle w:val="FootnoteReference"/>
        </w:rPr>
        <w:footnoteRef/>
      </w:r>
      <w:r>
        <w:t xml:space="preserve"> </w:t>
      </w:r>
      <w:r>
        <w:rPr>
          <w:lang w:val="sr-Cyrl-CS"/>
        </w:rPr>
        <w:t xml:space="preserve">Дејан Поповић, </w:t>
      </w:r>
      <w:r>
        <w:rPr>
          <w:i/>
          <w:lang w:val="sr-Cyrl-CS"/>
        </w:rPr>
        <w:t xml:space="preserve">нав. дело, </w:t>
      </w:r>
      <w:r>
        <w:rPr>
          <w:lang w:val="sr-Cyrl-CS"/>
        </w:rPr>
        <w:t xml:space="preserve"> стр. 147.</w:t>
      </w:r>
    </w:p>
  </w:footnote>
  <w:footnote w:id="843">
    <w:p w:rsidR="00767127" w:rsidRPr="00B84FAE" w:rsidRDefault="00767127" w:rsidP="00AD3AD3">
      <w:pPr>
        <w:pStyle w:val="FootnoteText"/>
        <w:jc w:val="both"/>
        <w:rPr>
          <w:lang w:val="sr-Cyrl-CS"/>
        </w:rPr>
      </w:pPr>
      <w:r>
        <w:rPr>
          <w:rStyle w:val="FootnoteReference"/>
        </w:rPr>
        <w:footnoteRef/>
      </w:r>
      <w:r>
        <w:t xml:space="preserve"> </w:t>
      </w:r>
      <w:r>
        <w:rPr>
          <w:lang w:val="sr-Cyrl-CS"/>
        </w:rPr>
        <w:t xml:space="preserve">Слободан Радоњић, </w:t>
      </w:r>
      <w:r w:rsidRPr="00AD3AD3">
        <w:rPr>
          <w:b/>
          <w:lang w:val="sr-Cyrl-CS"/>
        </w:rPr>
        <w:t>Пореска управа</w:t>
      </w:r>
      <w:r>
        <w:rPr>
          <w:lang w:val="sr-Cyrl-CS"/>
        </w:rPr>
        <w:t>, реферат на семинару: Прикупљање и анализа доказа у предметима финансијског привредног криминала и корупције, Златибор, 15-16. октобар, 2009, стр. 17-20.</w:t>
      </w:r>
    </w:p>
  </w:footnote>
  <w:footnote w:id="844">
    <w:p w:rsidR="00767127" w:rsidRPr="00D75342" w:rsidRDefault="00767127">
      <w:pPr>
        <w:pStyle w:val="FootnoteText"/>
        <w:rPr>
          <w:i/>
          <w:lang w:val="sr-Cyrl-CS"/>
        </w:rPr>
      </w:pPr>
      <w:r>
        <w:rPr>
          <w:rStyle w:val="FootnoteReference"/>
        </w:rPr>
        <w:footnoteRef/>
      </w:r>
      <w:r>
        <w:t xml:space="preserve"> </w:t>
      </w:r>
      <w:r>
        <w:rPr>
          <w:i/>
          <w:lang w:val="sr-Cyrl-CS"/>
        </w:rPr>
        <w:t xml:space="preserve">Нав. дело, </w:t>
      </w:r>
      <w:r w:rsidRPr="00D75342">
        <w:t xml:space="preserve"> </w:t>
      </w:r>
      <w:r w:rsidRPr="00D75342">
        <w:rPr>
          <w:lang w:val="sr-Cyrl-CS"/>
        </w:rPr>
        <w:t>стр. 20.</w:t>
      </w:r>
    </w:p>
  </w:footnote>
  <w:footnote w:id="845">
    <w:p w:rsidR="00767127" w:rsidRPr="00BC5C20" w:rsidRDefault="00767127" w:rsidP="00BC37A6">
      <w:pPr>
        <w:pStyle w:val="FootnoteText"/>
        <w:rPr>
          <w:lang w:val="sr-Cyrl-CS"/>
        </w:rPr>
      </w:pPr>
      <w:r>
        <w:rPr>
          <w:rStyle w:val="FootnoteReference"/>
        </w:rPr>
        <w:footnoteRef/>
      </w:r>
      <w:r>
        <w:t xml:space="preserve"> </w:t>
      </w:r>
      <w:r>
        <w:rPr>
          <w:lang w:val="sr-Cyrl-CS"/>
        </w:rPr>
        <w:t>„Службени гласник РС“ бр. 43/10.</w:t>
      </w:r>
    </w:p>
  </w:footnote>
  <w:footnote w:id="846">
    <w:p w:rsidR="00767127" w:rsidRPr="001525B9" w:rsidRDefault="00767127" w:rsidP="00FE4AB9">
      <w:pPr>
        <w:pStyle w:val="FootnoteText"/>
        <w:jc w:val="both"/>
        <w:rPr>
          <w:lang w:val="sr-Cyrl-CS"/>
        </w:rPr>
      </w:pPr>
      <w:r>
        <w:rPr>
          <w:rStyle w:val="FootnoteReference"/>
        </w:rPr>
        <w:footnoteRef/>
      </w:r>
      <w:r>
        <w:rPr>
          <w:lang w:val="sr-Cyrl-CS"/>
        </w:rPr>
        <w:t xml:space="preserve">Марина Димитријевић, </w:t>
      </w:r>
      <w:r w:rsidRPr="00FE4AB9">
        <w:rPr>
          <w:b/>
          <w:lang w:val="sr-Cyrl-CS"/>
        </w:rPr>
        <w:t>Обележја права на добру у</w:t>
      </w:r>
      <w:r>
        <w:rPr>
          <w:b/>
          <w:lang w:val="sr-Cyrl-CS"/>
        </w:rPr>
        <w:t>п</w:t>
      </w:r>
      <w:r w:rsidRPr="00FE4AB9">
        <w:rPr>
          <w:b/>
          <w:lang w:val="sr-Cyrl-CS"/>
        </w:rPr>
        <w:t>раву у пореском поступку</w:t>
      </w:r>
      <w:r>
        <w:rPr>
          <w:lang w:val="sr-Cyrl-CS"/>
        </w:rPr>
        <w:t xml:space="preserve">, Зборник радова Правног факултета у Нишу, </w:t>
      </w:r>
      <w:r>
        <w:rPr>
          <w:lang w:val="en-US"/>
        </w:rPr>
        <w:t xml:space="preserve">LII, </w:t>
      </w:r>
      <w:r>
        <w:rPr>
          <w:lang w:val="sr-Cyrl-CS"/>
        </w:rPr>
        <w:t>Ниш, 2008, стр. 130-136.</w:t>
      </w:r>
    </w:p>
  </w:footnote>
  <w:footnote w:id="847">
    <w:p w:rsidR="00767127" w:rsidRPr="00E0054A" w:rsidRDefault="00767127" w:rsidP="00FE4AB9">
      <w:pPr>
        <w:pStyle w:val="FootnoteText"/>
        <w:jc w:val="both"/>
        <w:rPr>
          <w:lang w:val="sr-Cyrl-CS"/>
        </w:rPr>
      </w:pPr>
      <w:r>
        <w:rPr>
          <w:rStyle w:val="FootnoteReference"/>
        </w:rPr>
        <w:footnoteRef/>
      </w:r>
      <w:r>
        <w:t xml:space="preserve"> </w:t>
      </w:r>
      <w:r w:rsidRPr="00FE4AB9">
        <w:rPr>
          <w:b/>
        </w:rPr>
        <w:t>Principles of Good Tax Administration</w:t>
      </w:r>
      <w:r>
        <w:t xml:space="preserve"> </w:t>
      </w:r>
      <w:r>
        <w:rPr>
          <w:b/>
        </w:rPr>
        <w:t>(Practice Note)</w:t>
      </w:r>
      <w:r>
        <w:rPr>
          <w:lang w:val="sr-Cyrl-CS"/>
        </w:rPr>
        <w:t>,</w:t>
      </w:r>
      <w:r>
        <w:t xml:space="preserve"> Tax guidance series, Centre for Tax Policy and Administration, OECD, 21 September 2001, pp. 4, </w:t>
      </w:r>
      <w:r>
        <w:rPr>
          <w:lang w:val="sr-Cyrl-CS"/>
        </w:rPr>
        <w:t>(</w:t>
      </w:r>
      <w:r>
        <w:t xml:space="preserve">у: </w:t>
      </w:r>
      <w:r>
        <w:rPr>
          <w:lang w:val="sr-Cyrl-CS"/>
        </w:rPr>
        <w:t xml:space="preserve">Марина Димитријевић, </w:t>
      </w:r>
      <w:r w:rsidRPr="00FE4AB9">
        <w:rPr>
          <w:b/>
          <w:lang w:val="sr-Cyrl-CS"/>
        </w:rPr>
        <w:t>Обележја права на добру ураву у пореском поступку</w:t>
      </w:r>
      <w:r>
        <w:rPr>
          <w:lang w:val="sr-Cyrl-CS"/>
        </w:rPr>
        <w:t xml:space="preserve">, Зборник радова Правног факултета у Нишу, </w:t>
      </w:r>
      <w:r>
        <w:rPr>
          <w:lang w:val="en-US"/>
        </w:rPr>
        <w:t xml:space="preserve">LII, </w:t>
      </w:r>
      <w:r>
        <w:rPr>
          <w:lang w:val="sr-Cyrl-CS"/>
        </w:rPr>
        <w:t>Ниш, 2008, стр. 138).</w:t>
      </w:r>
    </w:p>
  </w:footnote>
  <w:footnote w:id="848">
    <w:p w:rsidR="00767127" w:rsidRPr="00270C28" w:rsidRDefault="00767127">
      <w:pPr>
        <w:pStyle w:val="FootnoteText"/>
        <w:rPr>
          <w:lang w:val="sr-Cyrl-CS"/>
        </w:rPr>
      </w:pPr>
      <w:r>
        <w:rPr>
          <w:rStyle w:val="FootnoteReference"/>
        </w:rPr>
        <w:footnoteRef/>
      </w:r>
      <w:r>
        <w:t xml:space="preserve"> </w:t>
      </w:r>
      <w:r>
        <w:rPr>
          <w:lang w:val="sr-Cyrl-CS"/>
        </w:rPr>
        <w:t xml:space="preserve">Милева Анђелковић и Марина Димитријевић, </w:t>
      </w:r>
      <w:r w:rsidRPr="009E1BF0">
        <w:rPr>
          <w:b/>
          <w:lang w:val="sr-Cyrl-CS"/>
        </w:rPr>
        <w:t>Пореско право србије</w:t>
      </w:r>
      <w:r>
        <w:rPr>
          <w:lang w:val="sr-Cyrl-CS"/>
        </w:rPr>
        <w:t>, Правни факултет Ниш, Центар за публикације, Ниш, 2009, стр. 254.</w:t>
      </w:r>
    </w:p>
  </w:footnote>
  <w:footnote w:id="849">
    <w:p w:rsidR="00767127" w:rsidRPr="00A028C6" w:rsidRDefault="00767127" w:rsidP="000343F8">
      <w:pPr>
        <w:pStyle w:val="FootnoteText"/>
        <w:jc w:val="both"/>
        <w:rPr>
          <w:lang w:val="sr-Cyrl-CS"/>
        </w:rPr>
      </w:pPr>
      <w:r>
        <w:rPr>
          <w:rStyle w:val="FootnoteReference"/>
        </w:rPr>
        <w:footnoteRef/>
      </w:r>
      <w:r>
        <w:t xml:space="preserve"> </w:t>
      </w:r>
      <w:r>
        <w:rPr>
          <w:lang w:val="sr-Cyrl-CS"/>
        </w:rPr>
        <w:t>Чл. 54. Закона о пореском поступку и пореској администрацији, („Службени галсник РС“ бр. 80/02...108/13).</w:t>
      </w:r>
    </w:p>
  </w:footnote>
  <w:footnote w:id="850">
    <w:p w:rsidR="00767127" w:rsidRPr="00556132" w:rsidRDefault="00767127">
      <w:pPr>
        <w:pStyle w:val="FootnoteText"/>
        <w:rPr>
          <w:lang w:val="sr-Cyrl-CS"/>
        </w:rPr>
      </w:pPr>
      <w:r>
        <w:rPr>
          <w:rStyle w:val="FootnoteReference"/>
        </w:rPr>
        <w:footnoteRef/>
      </w:r>
      <w:r>
        <w:t xml:space="preserve"> </w:t>
      </w:r>
      <w:r>
        <w:rPr>
          <w:lang w:val="sr-Cyrl-CS"/>
        </w:rPr>
        <w:t xml:space="preserve">Милева Анђелковић и Марина Димитријевић, </w:t>
      </w:r>
      <w:r>
        <w:rPr>
          <w:i/>
          <w:lang w:val="sr-Cyrl-CS"/>
        </w:rPr>
        <w:t xml:space="preserve">нав. дело, </w:t>
      </w:r>
      <w:r>
        <w:rPr>
          <w:lang w:val="sr-Cyrl-CS"/>
        </w:rPr>
        <w:t xml:space="preserve"> стр. 256.</w:t>
      </w:r>
    </w:p>
  </w:footnote>
  <w:footnote w:id="851">
    <w:p w:rsidR="00767127" w:rsidRPr="00B01073" w:rsidRDefault="00767127">
      <w:pPr>
        <w:pStyle w:val="FootnoteText"/>
        <w:rPr>
          <w:lang w:val="sr-Cyrl-CS"/>
        </w:rPr>
      </w:pPr>
      <w:r>
        <w:rPr>
          <w:rStyle w:val="FootnoteReference"/>
        </w:rPr>
        <w:footnoteRef/>
      </w:r>
      <w:r>
        <w:t xml:space="preserve"> </w:t>
      </w:r>
      <w:r>
        <w:rPr>
          <w:lang w:val="sr-Cyrl-CS"/>
        </w:rPr>
        <w:t xml:space="preserve">Дејан Поповић, </w:t>
      </w:r>
      <w:r w:rsidRPr="000343F8">
        <w:rPr>
          <w:b/>
          <w:lang w:val="sr-Cyrl-CS"/>
        </w:rPr>
        <w:t>Пореско право</w:t>
      </w:r>
      <w:r>
        <w:rPr>
          <w:lang w:val="sr-Cyrl-CS"/>
        </w:rPr>
        <w:t>, Правни факултет Универзитета у Београду и ЈП „Службени гласник“, Београд, 2009, стр. 139.</w:t>
      </w:r>
    </w:p>
  </w:footnote>
  <w:footnote w:id="852">
    <w:p w:rsidR="00767127" w:rsidRPr="00784729" w:rsidRDefault="00767127">
      <w:pPr>
        <w:pStyle w:val="FootnoteText"/>
        <w:rPr>
          <w:lang w:val="sr-Cyrl-CS"/>
        </w:rPr>
      </w:pPr>
      <w:r>
        <w:rPr>
          <w:rStyle w:val="FootnoteReference"/>
        </w:rPr>
        <w:footnoteRef/>
      </w:r>
      <w:r>
        <w:t xml:space="preserve"> </w:t>
      </w:r>
      <w:r>
        <w:rPr>
          <w:lang w:val="sr-Cyrl-CS"/>
        </w:rPr>
        <w:t>Чл. 64-77. Закона о пореском поступку и пореској администрацији, („Службени галсник РС“ бр. 80/02...108/13).</w:t>
      </w:r>
    </w:p>
  </w:footnote>
  <w:footnote w:id="853">
    <w:p w:rsidR="00767127" w:rsidRPr="00314287" w:rsidRDefault="00767127">
      <w:pPr>
        <w:pStyle w:val="FootnoteText"/>
        <w:rPr>
          <w:lang w:val="sr-Cyrl-CS"/>
        </w:rPr>
      </w:pPr>
      <w:r>
        <w:rPr>
          <w:rStyle w:val="FootnoteReference"/>
        </w:rPr>
        <w:footnoteRef/>
      </w:r>
      <w:r>
        <w:t xml:space="preserve"> </w:t>
      </w:r>
      <w:r>
        <w:rPr>
          <w:lang w:val="sr-Cyrl-CS"/>
        </w:rPr>
        <w:t xml:space="preserve">Горан Милошевић, </w:t>
      </w:r>
      <w:r>
        <w:rPr>
          <w:i/>
          <w:lang w:val="sr-Cyrl-CS"/>
        </w:rPr>
        <w:t xml:space="preserve">нав. дело, </w:t>
      </w:r>
      <w:r>
        <w:rPr>
          <w:lang w:val="sr-Cyrl-CS"/>
        </w:rPr>
        <w:t xml:space="preserve"> стр. 275-276.</w:t>
      </w:r>
    </w:p>
  </w:footnote>
  <w:footnote w:id="854">
    <w:p w:rsidR="00767127" w:rsidRPr="00784729" w:rsidRDefault="00767127" w:rsidP="00185D7B">
      <w:pPr>
        <w:pStyle w:val="FootnoteText"/>
        <w:jc w:val="both"/>
        <w:rPr>
          <w:lang w:val="sr-Cyrl-CS"/>
        </w:rPr>
      </w:pPr>
      <w:r>
        <w:rPr>
          <w:rStyle w:val="FootnoteReference"/>
        </w:rPr>
        <w:footnoteRef/>
      </w:r>
      <w:r>
        <w:t xml:space="preserve"> </w:t>
      </w:r>
      <w:r>
        <w:rPr>
          <w:lang w:val="sr-Cyrl-CS"/>
        </w:rPr>
        <w:t>Чл. 117-128. Закона о пореском поступку и пореској администрацији, („Службени галсник РС“ бр. 80/02...108/13).</w:t>
      </w:r>
    </w:p>
  </w:footnote>
  <w:footnote w:id="855">
    <w:p w:rsidR="00767127" w:rsidRPr="00E97A0F" w:rsidRDefault="00767127">
      <w:pPr>
        <w:pStyle w:val="FootnoteText"/>
        <w:rPr>
          <w:lang w:val="sr-Cyrl-CS"/>
        </w:rPr>
      </w:pPr>
      <w:r>
        <w:rPr>
          <w:rStyle w:val="FootnoteReference"/>
        </w:rPr>
        <w:footnoteRef/>
      </w:r>
      <w:r>
        <w:t xml:space="preserve"> </w:t>
      </w:r>
      <w:r>
        <w:rPr>
          <w:lang w:val="sr-Cyrl-CS"/>
        </w:rPr>
        <w:t xml:space="preserve">Милева Анђелковић и Марина Димитријевић, </w:t>
      </w:r>
      <w:r>
        <w:rPr>
          <w:i/>
          <w:lang w:val="sr-Cyrl-CS"/>
        </w:rPr>
        <w:t>нав. дело</w:t>
      </w:r>
      <w:r w:rsidRPr="00D75342">
        <w:rPr>
          <w:i/>
          <w:lang w:val="sr-Cyrl-CS"/>
        </w:rPr>
        <w:t>,</w:t>
      </w:r>
      <w:r>
        <w:rPr>
          <w:lang w:val="sr-Cyrl-CS"/>
        </w:rPr>
        <w:t xml:space="preserve"> стр. 256.</w:t>
      </w:r>
    </w:p>
  </w:footnote>
  <w:footnote w:id="856">
    <w:p w:rsidR="00767127" w:rsidRPr="001F5E37" w:rsidRDefault="00767127" w:rsidP="001F5E37">
      <w:pPr>
        <w:pStyle w:val="FootnoteText"/>
        <w:jc w:val="both"/>
        <w:rPr>
          <w:lang w:val="sr-Cyrl-CS"/>
        </w:rPr>
      </w:pPr>
      <w:r>
        <w:rPr>
          <w:rStyle w:val="FootnoteReference"/>
        </w:rPr>
        <w:footnoteRef/>
      </w:r>
      <w:r>
        <w:t xml:space="preserve"> </w:t>
      </w:r>
      <w:r>
        <w:rPr>
          <w:lang w:val="sr-Cyrl-CS"/>
        </w:rPr>
        <w:t xml:space="preserve">Н. Теофиловић и Н. Јелачић, </w:t>
      </w:r>
      <w:r w:rsidRPr="001F5E37">
        <w:rPr>
          <w:b/>
          <w:lang w:val="sr-Cyrl-CS"/>
        </w:rPr>
        <w:t>Спречавање, откривање и доказивање кривичних дела корупције и прања новца,</w:t>
      </w:r>
      <w:r>
        <w:rPr>
          <w:lang w:val="sr-Cyrl-CS"/>
        </w:rPr>
        <w:t xml:space="preserve"> Полицијска академија, Београд, 2006, стр. 177.</w:t>
      </w:r>
    </w:p>
  </w:footnote>
  <w:footnote w:id="857">
    <w:p w:rsidR="00767127" w:rsidRPr="0058281B" w:rsidRDefault="00767127" w:rsidP="0058281B">
      <w:pPr>
        <w:pStyle w:val="FootnoteText"/>
        <w:jc w:val="both"/>
        <w:rPr>
          <w:lang w:val="sr-Cyrl-CS"/>
        </w:rPr>
      </w:pPr>
      <w:r>
        <w:rPr>
          <w:rStyle w:val="FootnoteReference"/>
        </w:rPr>
        <w:footnoteRef/>
      </w:r>
      <w:r>
        <w:t xml:space="preserve"> </w:t>
      </w:r>
      <w:r>
        <w:rPr>
          <w:lang w:val="sr-Cyrl-CS"/>
        </w:rPr>
        <w:t xml:space="preserve">Начело законитости, чл. 4. Закона о пореском поступку и пореској администрацији, („Службени гласник РС“ бр. 80/02...108/13). </w:t>
      </w:r>
    </w:p>
  </w:footnote>
  <w:footnote w:id="858">
    <w:p w:rsidR="00767127" w:rsidRPr="00D45FD1" w:rsidRDefault="00767127" w:rsidP="0058281B">
      <w:pPr>
        <w:pStyle w:val="FootnoteText"/>
        <w:jc w:val="both"/>
      </w:pPr>
      <w:r>
        <w:rPr>
          <w:rStyle w:val="FootnoteReference"/>
        </w:rPr>
        <w:footnoteRef/>
      </w:r>
      <w:r>
        <w:t xml:space="preserve"> </w:t>
      </w:r>
      <w:r>
        <w:rPr>
          <w:lang w:val="sr-Cyrl-CS"/>
        </w:rPr>
        <w:t>Начело омогућавања увида у чињенице, чл. 6. Закона о пореском поступку и пореској администрацији, („Службени гласник РС“ бр. 80/02...108/13).</w:t>
      </w:r>
    </w:p>
  </w:footnote>
  <w:footnote w:id="859">
    <w:p w:rsidR="00767127" w:rsidRPr="00BD502F" w:rsidRDefault="00767127" w:rsidP="00BD502F">
      <w:pPr>
        <w:pStyle w:val="FootnoteText"/>
        <w:jc w:val="both"/>
        <w:rPr>
          <w:lang w:val="sr-Cyrl-CS"/>
        </w:rPr>
      </w:pPr>
      <w:r>
        <w:rPr>
          <w:rStyle w:val="FootnoteReference"/>
        </w:rPr>
        <w:footnoteRef/>
      </w:r>
      <w:r>
        <w:t xml:space="preserve"> </w:t>
      </w:r>
      <w:r>
        <w:rPr>
          <w:lang w:val="sr-Cyrl-CS"/>
        </w:rPr>
        <w:t>Чл. 9. Закона о пореском поступку и пореској администрацији, („Службени гласник РС“ бр. 80/02...108/13).</w:t>
      </w:r>
    </w:p>
  </w:footnote>
  <w:footnote w:id="860">
    <w:p w:rsidR="00767127" w:rsidRPr="00221679" w:rsidRDefault="00767127">
      <w:pPr>
        <w:pStyle w:val="FootnoteText"/>
        <w:rPr>
          <w:lang w:val="sr-Cyrl-CS"/>
        </w:rPr>
      </w:pPr>
      <w:r>
        <w:rPr>
          <w:rStyle w:val="FootnoteReference"/>
        </w:rPr>
        <w:footnoteRef/>
      </w:r>
      <w:r>
        <w:t xml:space="preserve"> </w:t>
      </w:r>
      <w:r>
        <w:rPr>
          <w:lang w:val="sr-Cyrl-CS"/>
        </w:rPr>
        <w:t xml:space="preserve">Марина Димитријевић, </w:t>
      </w:r>
      <w:r w:rsidRPr="00434FB1">
        <w:rPr>
          <w:b/>
          <w:lang w:val="sr-Cyrl-CS"/>
        </w:rPr>
        <w:t>Правна заштита обвезника пореза</w:t>
      </w:r>
      <w:r>
        <w:rPr>
          <w:lang w:val="sr-Cyrl-CS"/>
        </w:rPr>
        <w:t xml:space="preserve">, </w:t>
      </w:r>
      <w:r w:rsidRPr="00434FB1">
        <w:rPr>
          <w:i/>
          <w:lang w:val="sr-Cyrl-CS"/>
        </w:rPr>
        <w:t>Правни живот</w:t>
      </w:r>
      <w:r>
        <w:rPr>
          <w:lang w:val="sr-Cyrl-CS"/>
        </w:rPr>
        <w:t>, бр. 12, 2009,  стр. 154-159.</w:t>
      </w:r>
    </w:p>
  </w:footnote>
  <w:footnote w:id="861">
    <w:p w:rsidR="00767127" w:rsidRPr="008B3682" w:rsidRDefault="00767127">
      <w:pPr>
        <w:pStyle w:val="FootnoteText"/>
      </w:pPr>
      <w:r>
        <w:rPr>
          <w:rStyle w:val="FootnoteReference"/>
        </w:rPr>
        <w:footnoteRef/>
      </w:r>
      <w:r>
        <w:t xml:space="preserve"> </w:t>
      </w:r>
      <w:r>
        <w:rPr>
          <w:lang w:val="sr-Cyrl-CS"/>
        </w:rPr>
        <w:t>Према одредби чл. 147. ст. 1. Закона о пореском поступку и пореској администрацији („Сл. гласник РС“ бр. 80/02...108/13), жалба не одлаже извршење пореског управног акта, осим у изузетним законом прописаним слућајевима.</w:t>
      </w:r>
    </w:p>
  </w:footnote>
  <w:footnote w:id="862">
    <w:p w:rsidR="00767127" w:rsidRPr="008B3682" w:rsidRDefault="00767127" w:rsidP="00434FB1">
      <w:pPr>
        <w:pStyle w:val="FootnoteText"/>
        <w:jc w:val="both"/>
        <w:rPr>
          <w:lang w:val="sr-Cyrl-CS"/>
        </w:rPr>
      </w:pPr>
      <w:r>
        <w:rPr>
          <w:rStyle w:val="FootnoteReference"/>
        </w:rPr>
        <w:footnoteRef/>
      </w:r>
      <w:r>
        <w:t xml:space="preserve"> Francisco Cardona, </w:t>
      </w:r>
      <w:r w:rsidRPr="002805BB">
        <w:rPr>
          <w:b/>
        </w:rPr>
        <w:t>Converging Judical Control of Administration of the Administration in Europe</w:t>
      </w:r>
      <w:r>
        <w:t xml:space="preserve">, Judical Reform and Administrative Justice, SIGMA, 2005, pp. 2, у: </w:t>
      </w:r>
      <w:r>
        <w:rPr>
          <w:lang w:val="sr-Cyrl-CS"/>
        </w:rPr>
        <w:t xml:space="preserve">Марина Димитријевић, </w:t>
      </w:r>
      <w:r>
        <w:rPr>
          <w:b/>
          <w:lang w:val="sr-Cyrl-CS"/>
        </w:rPr>
        <w:t xml:space="preserve">Правна заштита </w:t>
      </w:r>
      <w:r w:rsidRPr="002805BB">
        <w:rPr>
          <w:b/>
          <w:lang w:val="sr-Cyrl-CS"/>
        </w:rPr>
        <w:t>обвезника пореза</w:t>
      </w:r>
      <w:r>
        <w:rPr>
          <w:lang w:val="sr-Cyrl-CS"/>
        </w:rPr>
        <w:t xml:space="preserve">, </w:t>
      </w:r>
      <w:r w:rsidRPr="002805BB">
        <w:rPr>
          <w:i/>
          <w:lang w:val="sr-Cyrl-CS"/>
        </w:rPr>
        <w:t>Правни живот</w:t>
      </w:r>
      <w:r>
        <w:rPr>
          <w:lang w:val="sr-Cyrl-CS"/>
        </w:rPr>
        <w:t>, бр. 12, 2009, стр. 156.</w:t>
      </w:r>
    </w:p>
  </w:footnote>
  <w:footnote w:id="863">
    <w:p w:rsidR="00767127" w:rsidRPr="00F71F77" w:rsidRDefault="00767127" w:rsidP="000C02AA">
      <w:pPr>
        <w:pStyle w:val="FootnoteText"/>
        <w:jc w:val="both"/>
        <w:rPr>
          <w:lang w:val="sr-Cyrl-CS"/>
        </w:rPr>
      </w:pPr>
      <w:r>
        <w:rPr>
          <w:rStyle w:val="FootnoteReference"/>
        </w:rPr>
        <w:footnoteRef/>
      </w:r>
      <w:r>
        <w:rPr>
          <w:lang w:val="sr-Cyrl-CS"/>
        </w:rPr>
        <w:t xml:space="preserve">Марина Димитријевић, </w:t>
      </w:r>
      <w:r>
        <w:rPr>
          <w:i/>
          <w:lang w:val="sr-Cyrl-CS"/>
        </w:rPr>
        <w:t xml:space="preserve">нав. дело, </w:t>
      </w:r>
      <w:r>
        <w:rPr>
          <w:lang w:val="sr-Cyrl-CS"/>
        </w:rPr>
        <w:t xml:space="preserve"> стр. 141.</w:t>
      </w:r>
      <w:r>
        <w:t xml:space="preserve"> </w:t>
      </w:r>
    </w:p>
  </w:footnote>
  <w:footnote w:id="864">
    <w:p w:rsidR="00767127" w:rsidRPr="00DA40FB" w:rsidRDefault="00767127" w:rsidP="000C02AA">
      <w:pPr>
        <w:pStyle w:val="FootnoteText"/>
        <w:jc w:val="both"/>
        <w:rPr>
          <w:lang w:val="sr-Cyrl-CS"/>
        </w:rPr>
      </w:pPr>
      <w:r>
        <w:rPr>
          <w:rStyle w:val="FootnoteReference"/>
        </w:rPr>
        <w:footnoteRef/>
      </w:r>
      <w:r>
        <w:rPr>
          <w:lang w:val="sr-Cyrl-CS"/>
        </w:rPr>
        <w:t>Вид.:</w:t>
      </w:r>
      <w:hyperlink r:id="rId74" w:history="1">
        <w:r>
          <w:rPr>
            <w:rStyle w:val="Hyperlink"/>
          </w:rPr>
          <w:t>http://purs.gov.rs/biro-za-informisanje/novosti/830/odrzan-radni-sastanak-predstavnika-ministarstva-finansija-i-poreske-uprave-povodom-uvodjenja-novo</w:t>
        </w:r>
      </w:hyperlink>
    </w:p>
  </w:footnote>
  <w:footnote w:id="865">
    <w:p w:rsidR="00767127" w:rsidRPr="00945320" w:rsidRDefault="00767127" w:rsidP="00DB1BF8">
      <w:pPr>
        <w:pStyle w:val="FootnoteText"/>
        <w:jc w:val="both"/>
        <w:rPr>
          <w:lang w:val="sr-Cyrl-CS"/>
        </w:rPr>
      </w:pPr>
      <w:r>
        <w:rPr>
          <w:rStyle w:val="FootnoteReference"/>
        </w:rPr>
        <w:footnoteRef/>
      </w:r>
      <w:r>
        <w:t xml:space="preserve"> </w:t>
      </w:r>
      <w:r>
        <w:rPr>
          <w:lang w:val="sr-Cyrl-CS"/>
        </w:rPr>
        <w:t xml:space="preserve">Горан Милошевић, </w:t>
      </w:r>
      <w:r>
        <w:rPr>
          <w:i/>
          <w:lang w:val="sr-Cyrl-CS"/>
        </w:rPr>
        <w:t xml:space="preserve">нав. дело, </w:t>
      </w:r>
      <w:r w:rsidRPr="00D45FD1">
        <w:rPr>
          <w:i/>
          <w:lang w:val="sr-Cyrl-CS"/>
        </w:rPr>
        <w:t xml:space="preserve"> </w:t>
      </w:r>
      <w:r>
        <w:rPr>
          <w:lang w:val="sr-Cyrl-CS"/>
        </w:rPr>
        <w:t>стр. 278.</w:t>
      </w:r>
    </w:p>
  </w:footnote>
  <w:footnote w:id="866">
    <w:p w:rsidR="00767127" w:rsidRPr="00F15793" w:rsidRDefault="00767127" w:rsidP="00DB1BF8">
      <w:pPr>
        <w:pStyle w:val="FootnoteText"/>
        <w:jc w:val="both"/>
        <w:rPr>
          <w:lang w:val="sr-Cyrl-CS"/>
        </w:rPr>
      </w:pPr>
      <w:r>
        <w:rPr>
          <w:rStyle w:val="FootnoteReference"/>
        </w:rPr>
        <w:footnoteRef/>
      </w:r>
      <w:r>
        <w:rPr>
          <w:i/>
          <w:lang w:val="sr-Cyrl-CS"/>
        </w:rPr>
        <w:t xml:space="preserve"> </w:t>
      </w:r>
      <w:r>
        <w:rPr>
          <w:lang w:val="sr-Cyrl-CS"/>
        </w:rPr>
        <w:t xml:space="preserve">Марина Димитријевић, </w:t>
      </w:r>
      <w:r w:rsidRPr="0027655F">
        <w:rPr>
          <w:b/>
          <w:lang w:val="sr-Cyrl-CS"/>
        </w:rPr>
        <w:t>Обележја права на добру ураву у пореском поступку</w:t>
      </w:r>
      <w:r>
        <w:rPr>
          <w:lang w:val="sr-Cyrl-CS"/>
        </w:rPr>
        <w:t xml:space="preserve">, Зборник радова Правног факултета у Нишу, </w:t>
      </w:r>
      <w:r>
        <w:rPr>
          <w:lang w:val="en-US"/>
        </w:rPr>
        <w:t xml:space="preserve">LII, </w:t>
      </w:r>
      <w:r>
        <w:rPr>
          <w:lang w:val="sr-Cyrl-CS"/>
        </w:rPr>
        <w:t>Ниш, 2008,</w:t>
      </w:r>
      <w:r>
        <w:rPr>
          <w:i/>
          <w:lang w:val="sr-Cyrl-CS"/>
        </w:rPr>
        <w:t xml:space="preserve"> </w:t>
      </w:r>
      <w:r>
        <w:rPr>
          <w:lang w:val="sr-Cyrl-CS"/>
        </w:rPr>
        <w:t xml:space="preserve"> стр. 133.</w:t>
      </w:r>
      <w:r>
        <w:t xml:space="preserve">  </w:t>
      </w:r>
    </w:p>
  </w:footnote>
  <w:footnote w:id="867">
    <w:p w:rsidR="00767127" w:rsidRPr="00CD2A14" w:rsidRDefault="00767127">
      <w:pPr>
        <w:pStyle w:val="FootnoteText"/>
      </w:pPr>
      <w:r>
        <w:rPr>
          <w:rStyle w:val="FootnoteReference"/>
        </w:rPr>
        <w:footnoteRef/>
      </w:r>
      <w:r>
        <w:t xml:space="preserve"> </w:t>
      </w:r>
      <w:r>
        <w:rPr>
          <w:lang w:val="sr-Cyrl-CS"/>
        </w:rPr>
        <w:t>М. Теофиловић и Н. Јелачић</w:t>
      </w:r>
      <w:r w:rsidRPr="00CD2A14">
        <w:rPr>
          <w:i/>
          <w:lang w:val="sr-Cyrl-CS"/>
        </w:rPr>
        <w:t xml:space="preserve">, </w:t>
      </w:r>
      <w:r>
        <w:rPr>
          <w:i/>
          <w:lang w:val="sr-Cyrl-CS"/>
        </w:rPr>
        <w:t>нав. дело</w:t>
      </w:r>
      <w:r w:rsidRPr="00CD2A14">
        <w:rPr>
          <w:i/>
        </w:rPr>
        <w:t>,</w:t>
      </w:r>
      <w:r>
        <w:t xml:space="preserve"> str. 177.</w:t>
      </w:r>
    </w:p>
  </w:footnote>
  <w:footnote w:id="868">
    <w:p w:rsidR="00767127" w:rsidRPr="00951374" w:rsidRDefault="00767127" w:rsidP="00BA7223">
      <w:pPr>
        <w:pStyle w:val="FootnoteText"/>
        <w:jc w:val="both"/>
        <w:rPr>
          <w:lang w:val="sr-Cyrl-CS"/>
        </w:rPr>
      </w:pPr>
      <w:r>
        <w:rPr>
          <w:rStyle w:val="FootnoteReference"/>
        </w:rPr>
        <w:footnoteRef/>
      </w:r>
      <w:r>
        <w:t xml:space="preserve"> </w:t>
      </w:r>
      <w:r>
        <w:rPr>
          <w:lang w:val="sr-Cyrl-CS"/>
        </w:rPr>
        <w:t xml:space="preserve">„Службени гласник РС“ бр. 116/08...101/13. </w:t>
      </w:r>
    </w:p>
  </w:footnote>
  <w:footnote w:id="869">
    <w:p w:rsidR="00767127" w:rsidRPr="000D2391" w:rsidRDefault="00767127" w:rsidP="00BA7223">
      <w:pPr>
        <w:pStyle w:val="FootnoteText"/>
        <w:rPr>
          <w:lang w:val="sr-Cyrl-CS"/>
        </w:rPr>
      </w:pPr>
      <w:r>
        <w:rPr>
          <w:rStyle w:val="FootnoteReference"/>
        </w:rPr>
        <w:footnoteRef/>
      </w:r>
      <w:r>
        <w:t xml:space="preserve"> </w:t>
      </w:r>
      <w:r>
        <w:rPr>
          <w:lang w:val="sr-Cyrl-CS"/>
        </w:rPr>
        <w:t>Закон о судијама, („Службени гласник РС“ бр. 116/08...101/13).</w:t>
      </w:r>
    </w:p>
  </w:footnote>
  <w:footnote w:id="870">
    <w:p w:rsidR="00767127" w:rsidRPr="004A1A96" w:rsidRDefault="00767127" w:rsidP="00BA7223">
      <w:pPr>
        <w:pStyle w:val="FootnoteText"/>
        <w:rPr>
          <w:lang w:val="sr-Cyrl-CS"/>
        </w:rPr>
      </w:pPr>
      <w:r>
        <w:rPr>
          <w:rStyle w:val="FootnoteReference"/>
        </w:rPr>
        <w:footnoteRef/>
      </w:r>
      <w:r>
        <w:t xml:space="preserve"> </w:t>
      </w:r>
      <w:r>
        <w:rPr>
          <w:lang w:val="sr-Cyrl-CS"/>
        </w:rPr>
        <w:t>Етички кодекс, („Службени гласник РС“ бр. 96/10).</w:t>
      </w:r>
    </w:p>
  </w:footnote>
  <w:footnote w:id="871">
    <w:p w:rsidR="00767127" w:rsidRPr="0094729F" w:rsidRDefault="00767127" w:rsidP="00301FFD">
      <w:pPr>
        <w:pStyle w:val="FootnoteText"/>
        <w:jc w:val="both"/>
        <w:rPr>
          <w:lang w:val="sr-Cyrl-CS"/>
        </w:rPr>
      </w:pPr>
      <w:r>
        <w:rPr>
          <w:rStyle w:val="FootnoteReference"/>
        </w:rPr>
        <w:footnoteRef/>
      </w:r>
      <w:r>
        <w:t xml:space="preserve"> </w:t>
      </w:r>
      <w:r>
        <w:rPr>
          <w:lang w:val="sr-Cyrl-CS"/>
        </w:rPr>
        <w:t xml:space="preserve">Душан Динић, </w:t>
      </w:r>
      <w:r w:rsidRPr="00301FFD">
        <w:rPr>
          <w:b/>
          <w:lang w:val="sr-Cyrl-CS"/>
        </w:rPr>
        <w:t>Услови за улазак у Европску унију, Маратонци трче припремни круг</w:t>
      </w:r>
      <w:r>
        <w:rPr>
          <w:lang w:val="sr-Cyrl-CS"/>
        </w:rPr>
        <w:t xml:space="preserve">, Извор: </w:t>
      </w:r>
      <w:hyperlink r:id="rId75" w:history="1">
        <w:r>
          <w:rPr>
            <w:rStyle w:val="Hyperlink"/>
          </w:rPr>
          <w:t>http://www.becei.org/KOMENTARI/ef5dinic.html</w:t>
        </w:r>
      </w:hyperlink>
      <w:r>
        <w:rPr>
          <w:lang w:val="sr-Cyrl-CS"/>
        </w:rPr>
        <w:t xml:space="preserve"> (23.12.2013.)</w:t>
      </w:r>
    </w:p>
  </w:footnote>
  <w:footnote w:id="872">
    <w:p w:rsidR="00767127" w:rsidRPr="00F94182" w:rsidRDefault="00767127">
      <w:pPr>
        <w:pStyle w:val="FootnoteText"/>
        <w:rPr>
          <w:lang w:val="sr-Cyrl-CS"/>
        </w:rPr>
      </w:pPr>
      <w:r>
        <w:rPr>
          <w:rStyle w:val="FootnoteReference"/>
        </w:rPr>
        <w:footnoteRef/>
      </w:r>
      <w:r>
        <w:t xml:space="preserve"> </w:t>
      </w:r>
      <w:r>
        <w:rPr>
          <w:lang w:val="sr-Cyrl-CS"/>
        </w:rPr>
        <w:t>Закон о јавном тужилаштву („Службени гласник РС“ бр. 116/08...101/13).</w:t>
      </w:r>
    </w:p>
  </w:footnote>
  <w:footnote w:id="873">
    <w:p w:rsidR="00767127" w:rsidRPr="00F94182" w:rsidRDefault="00767127">
      <w:pPr>
        <w:pStyle w:val="FootnoteText"/>
        <w:rPr>
          <w:lang w:val="sr-Cyrl-CS"/>
        </w:rPr>
      </w:pPr>
      <w:r>
        <w:rPr>
          <w:rStyle w:val="FootnoteReference"/>
        </w:rPr>
        <w:footnoteRef/>
      </w:r>
      <w:r>
        <w:t xml:space="preserve"> </w:t>
      </w:r>
      <w:r>
        <w:rPr>
          <w:lang w:val="sr-Cyrl-CS"/>
        </w:rPr>
        <w:t xml:space="preserve">Закон о државном већу тужилаца, („Службени гласник РС“ бр. </w:t>
      </w:r>
      <w:r w:rsidRPr="00F94182">
        <w:rPr>
          <w:rFonts w:asciiTheme="minorHAnsi" w:hAnsiTheme="minorHAnsi"/>
          <w:lang w:val="sr-Cyrl-CS"/>
        </w:rPr>
        <w:t>116/08, 101/10 и 88/11</w:t>
      </w:r>
      <w:r>
        <w:rPr>
          <w:rFonts w:asciiTheme="minorHAnsi" w:hAnsiTheme="minorHAnsi"/>
          <w:lang w:val="sr-Cyrl-CS"/>
        </w:rPr>
        <w:t>).</w:t>
      </w:r>
    </w:p>
  </w:footnote>
  <w:footnote w:id="874">
    <w:p w:rsidR="00767127" w:rsidRPr="0091780F" w:rsidRDefault="00767127" w:rsidP="0025248F">
      <w:pPr>
        <w:pStyle w:val="FootnoteText"/>
        <w:jc w:val="both"/>
        <w:rPr>
          <w:lang w:val="sr-Cyrl-CS"/>
        </w:rPr>
      </w:pPr>
      <w:r>
        <w:rPr>
          <w:rStyle w:val="FootnoteReference"/>
        </w:rPr>
        <w:footnoteRef/>
      </w:r>
      <w:r>
        <w:rPr>
          <w:lang w:val="sr-Cyrl-CS"/>
        </w:rPr>
        <w:t xml:space="preserve">Урош Пена, </w:t>
      </w:r>
      <w:r>
        <w:rPr>
          <w:b/>
          <w:lang w:val="sr-Cyrl-CS"/>
        </w:rPr>
        <w:t>Међународно</w:t>
      </w:r>
      <w:r w:rsidRPr="0025248F">
        <w:rPr>
          <w:b/>
          <w:lang w:val="sr-Cyrl-CS"/>
        </w:rPr>
        <w:t>правни стандарди у превенцији криминалитета</w:t>
      </w:r>
      <w:r>
        <w:rPr>
          <w:lang w:val="sr-Cyrl-CS"/>
        </w:rPr>
        <w:t xml:space="preserve">, </w:t>
      </w:r>
      <w:r w:rsidRPr="0025248F">
        <w:rPr>
          <w:i/>
          <w:lang w:val="sr-Cyrl-CS"/>
        </w:rPr>
        <w:t>Правна ријеч</w:t>
      </w:r>
      <w:r>
        <w:rPr>
          <w:lang w:val="sr-Cyrl-CS"/>
        </w:rPr>
        <w:t>, Бања Лука, бр. 15, 2008, стр. 271.</w:t>
      </w:r>
    </w:p>
  </w:footnote>
  <w:footnote w:id="875">
    <w:p w:rsidR="00767127" w:rsidRPr="00D45FD1" w:rsidRDefault="00767127" w:rsidP="0025248F">
      <w:pPr>
        <w:autoSpaceDE w:val="0"/>
        <w:autoSpaceDN w:val="0"/>
        <w:adjustRightInd w:val="0"/>
        <w:spacing w:after="0" w:line="240" w:lineRule="auto"/>
        <w:jc w:val="both"/>
        <w:rPr>
          <w:rFonts w:asciiTheme="minorHAnsi" w:hAnsiTheme="minorHAnsi" w:cs="TimesNewRomanPSMT"/>
          <w:sz w:val="20"/>
          <w:szCs w:val="20"/>
          <w:lang w:val="sr-Cyrl-CS"/>
        </w:rPr>
      </w:pPr>
      <w:r>
        <w:rPr>
          <w:rStyle w:val="FootnoteReference"/>
        </w:rPr>
        <w:footnoteRef/>
      </w:r>
      <w:r w:rsidRPr="00D45FD1">
        <w:rPr>
          <w:rFonts w:asciiTheme="minorHAnsi" w:hAnsiTheme="minorHAnsi" w:cs="TimesNewRomanPSMT"/>
          <w:sz w:val="20"/>
          <w:szCs w:val="20"/>
        </w:rPr>
        <w:t xml:space="preserve">Станко Бејатовић, </w:t>
      </w:r>
      <w:r>
        <w:rPr>
          <w:rFonts w:asciiTheme="minorHAnsi" w:hAnsiTheme="minorHAnsi" w:cs="TimesNewRomanPSMT"/>
          <w:sz w:val="20"/>
          <w:szCs w:val="20"/>
          <w:lang w:val="sr-Cyrl-CS"/>
        </w:rPr>
        <w:t xml:space="preserve">Тужилачки концепт истраге и нови Законик о кривичном поступку Републике Србије, </w:t>
      </w:r>
      <w:r w:rsidRPr="00D45FD1">
        <w:rPr>
          <w:rFonts w:asciiTheme="minorHAnsi" w:hAnsiTheme="minorHAnsi" w:cs="TimesNewRomanPSMT"/>
          <w:sz w:val="20"/>
          <w:szCs w:val="20"/>
        </w:rPr>
        <w:t>Зборник радова</w:t>
      </w:r>
      <w:r w:rsidRPr="00D45FD1">
        <w:rPr>
          <w:rFonts w:asciiTheme="minorHAnsi" w:hAnsiTheme="minorHAnsi" w:cs="TimesNewRomanPSMT"/>
          <w:sz w:val="20"/>
          <w:szCs w:val="20"/>
          <w:lang w:val="sr-Cyrl-CS"/>
        </w:rPr>
        <w:t xml:space="preserve">: </w:t>
      </w:r>
      <w:r w:rsidRPr="00D45FD1">
        <w:rPr>
          <w:rFonts w:asciiTheme="minorHAnsi" w:hAnsiTheme="minorHAnsi" w:cs="TimesNewRomanPSMT"/>
          <w:sz w:val="20"/>
          <w:szCs w:val="20"/>
        </w:rPr>
        <w:t xml:space="preserve"> </w:t>
      </w:r>
      <w:r w:rsidRPr="00D45FD1">
        <w:rPr>
          <w:rFonts w:asciiTheme="minorHAnsi" w:hAnsiTheme="minorHAnsi" w:cs="TimesNewRomanPSMT"/>
          <w:b/>
          <w:sz w:val="20"/>
          <w:szCs w:val="20"/>
        </w:rPr>
        <w:t>Примена новог законика о кривичном поступку</w:t>
      </w:r>
      <w:r w:rsidRPr="00D45FD1">
        <w:rPr>
          <w:rFonts w:asciiTheme="minorHAnsi" w:hAnsiTheme="minorHAnsi" w:cs="TimesNewRomanPSMT"/>
          <w:sz w:val="20"/>
          <w:szCs w:val="20"/>
        </w:rPr>
        <w:t>, скуп</w:t>
      </w:r>
      <w:r w:rsidRPr="00D45FD1">
        <w:rPr>
          <w:rFonts w:asciiTheme="minorHAnsi" w:hAnsiTheme="minorHAnsi" w:cs="TimesNewRomanPSMT"/>
          <w:sz w:val="20"/>
          <w:szCs w:val="20"/>
          <w:lang w:val="sr-Cyrl-CS"/>
        </w:rPr>
        <w:t xml:space="preserve"> </w:t>
      </w:r>
      <w:r w:rsidRPr="00D45FD1">
        <w:rPr>
          <w:rFonts w:asciiTheme="minorHAnsi" w:hAnsiTheme="minorHAnsi" w:cs="TimesNewRomanPSMT"/>
          <w:sz w:val="20"/>
          <w:szCs w:val="20"/>
        </w:rPr>
        <w:t xml:space="preserve">Копаоник 2007. </w:t>
      </w:r>
      <w:r>
        <w:rPr>
          <w:rFonts w:asciiTheme="minorHAnsi" w:hAnsiTheme="minorHAnsi" w:cs="TimesNewRomanPSMT"/>
          <w:sz w:val="20"/>
          <w:szCs w:val="20"/>
          <w:lang w:val="sr-Cyrl-CS"/>
        </w:rPr>
        <w:t>г</w:t>
      </w:r>
      <w:r w:rsidRPr="00D45FD1">
        <w:rPr>
          <w:rFonts w:asciiTheme="minorHAnsi" w:hAnsiTheme="minorHAnsi" w:cs="TimesNewRomanPSMT"/>
          <w:sz w:val="20"/>
          <w:szCs w:val="20"/>
        </w:rPr>
        <w:t>одине</w:t>
      </w:r>
      <w:r>
        <w:rPr>
          <w:rFonts w:asciiTheme="minorHAnsi" w:hAnsiTheme="minorHAnsi" w:cs="TimesNewRomanPSMT"/>
          <w:sz w:val="20"/>
          <w:szCs w:val="20"/>
          <w:lang w:val="sr-Cyrl-CS"/>
        </w:rPr>
        <w:t>, стр. 51</w:t>
      </w:r>
      <w:r w:rsidRPr="00D45FD1">
        <w:rPr>
          <w:rFonts w:asciiTheme="minorHAnsi" w:hAnsiTheme="minorHAnsi" w:cs="TimesNewRomanPSMT"/>
          <w:sz w:val="20"/>
          <w:szCs w:val="20"/>
          <w:lang w:val="sr-Cyrl-CS"/>
        </w:rPr>
        <w:t>.</w:t>
      </w:r>
    </w:p>
  </w:footnote>
  <w:footnote w:id="876">
    <w:p w:rsidR="00767127" w:rsidRPr="00CD2A14" w:rsidRDefault="00767127">
      <w:pPr>
        <w:pStyle w:val="FootnoteText"/>
        <w:rPr>
          <w:lang w:val="sr-Cyrl-CS"/>
        </w:rPr>
      </w:pPr>
      <w:r>
        <w:rPr>
          <w:rStyle w:val="FootnoteReference"/>
        </w:rPr>
        <w:footnoteRef/>
      </w:r>
      <w:r>
        <w:t xml:space="preserve"> </w:t>
      </w:r>
      <w:r>
        <w:rPr>
          <w:lang w:val="sr-Cyrl-CS"/>
        </w:rPr>
        <w:t xml:space="preserve">Мићо Бошковић, </w:t>
      </w:r>
      <w:r>
        <w:rPr>
          <w:i/>
          <w:lang w:val="sr-Cyrl-CS"/>
        </w:rPr>
        <w:t xml:space="preserve">нав. дело, </w:t>
      </w:r>
      <w:r>
        <w:rPr>
          <w:lang w:val="sr-Cyrl-CS"/>
        </w:rPr>
        <w:t xml:space="preserve"> стр. 248.</w:t>
      </w:r>
    </w:p>
  </w:footnote>
  <w:footnote w:id="877">
    <w:p w:rsidR="00767127" w:rsidRPr="007448A3" w:rsidRDefault="00767127" w:rsidP="00DA7766">
      <w:pPr>
        <w:pStyle w:val="FootnoteText"/>
        <w:rPr>
          <w:lang w:val="sr-Cyrl-CS"/>
        </w:rPr>
      </w:pPr>
      <w:r>
        <w:rPr>
          <w:rStyle w:val="FootnoteReference"/>
        </w:rPr>
        <w:footnoteRef/>
      </w:r>
      <w:r>
        <w:t xml:space="preserve"> </w:t>
      </w:r>
      <w:r>
        <w:rPr>
          <w:lang w:val="sr-Cyrl-CS"/>
        </w:rPr>
        <w:t>А бр. 194/10 Републичког јавног тужилаштва.</w:t>
      </w:r>
    </w:p>
  </w:footnote>
  <w:footnote w:id="878">
    <w:p w:rsidR="00767127" w:rsidRPr="004C5C06" w:rsidRDefault="00767127">
      <w:pPr>
        <w:pStyle w:val="FootnoteText"/>
        <w:rPr>
          <w:lang w:val="sr-Cyrl-CS"/>
        </w:rPr>
      </w:pPr>
      <w:r>
        <w:rPr>
          <w:rStyle w:val="FootnoteReference"/>
        </w:rPr>
        <w:footnoteRef/>
      </w:r>
      <w:r>
        <w:t xml:space="preserve"> </w:t>
      </w:r>
      <w:r>
        <w:rPr>
          <w:lang w:val="sr-Cyrl-CS"/>
        </w:rPr>
        <w:t xml:space="preserve">Види: </w:t>
      </w:r>
      <w:hyperlink r:id="rId76" w:history="1">
        <w:r w:rsidRPr="007B7358">
          <w:rPr>
            <w:rStyle w:val="Hyperlink"/>
            <w:lang w:val="sr-Cyrl-CS"/>
          </w:rPr>
          <w:t>www.</w:t>
        </w:r>
        <w:r w:rsidRPr="007B7358">
          <w:rPr>
            <w:rStyle w:val="Hyperlink"/>
          </w:rPr>
          <w:t>undp.org.rs</w:t>
        </w:r>
      </w:hyperlink>
      <w:r>
        <w:t xml:space="preserve"> (</w:t>
      </w:r>
      <w:r>
        <w:rPr>
          <w:lang w:val="sr-Cyrl-CS"/>
        </w:rPr>
        <w:t>приступљено децембра 2012.)</w:t>
      </w:r>
    </w:p>
  </w:footnote>
  <w:footnote w:id="879">
    <w:p w:rsidR="00767127" w:rsidRPr="00503703" w:rsidRDefault="00767127">
      <w:pPr>
        <w:pStyle w:val="FootnoteText"/>
        <w:rPr>
          <w:lang w:val="sr-Cyrl-CS"/>
        </w:rPr>
      </w:pPr>
      <w:r>
        <w:rPr>
          <w:rStyle w:val="FootnoteReference"/>
        </w:rPr>
        <w:footnoteRef/>
      </w:r>
      <w:r>
        <w:t xml:space="preserve"> </w:t>
      </w:r>
      <w:r>
        <w:rPr>
          <w:lang w:val="sr-Cyrl-CS"/>
        </w:rPr>
        <w:t>„Службени гласник РС“ бр. 101/05, 63/09 и 92/11.</w:t>
      </w:r>
    </w:p>
  </w:footnote>
  <w:footnote w:id="880">
    <w:p w:rsidR="00767127" w:rsidRPr="00503703" w:rsidRDefault="00767127">
      <w:pPr>
        <w:pStyle w:val="FootnoteText"/>
        <w:rPr>
          <w:lang w:val="sr-Cyrl-CS"/>
        </w:rPr>
      </w:pPr>
      <w:r>
        <w:rPr>
          <w:rStyle w:val="FootnoteReference"/>
        </w:rPr>
        <w:footnoteRef/>
      </w:r>
      <w:r>
        <w:t xml:space="preserve"> </w:t>
      </w:r>
      <w:r>
        <w:rPr>
          <w:lang w:val="sr-Cyrl-CS"/>
        </w:rPr>
        <w:t>„Службени галсник РС“ бр. 72/12 и 76/13.</w:t>
      </w:r>
    </w:p>
  </w:footnote>
  <w:footnote w:id="881">
    <w:p w:rsidR="00767127" w:rsidRPr="00FB34B2" w:rsidRDefault="00767127">
      <w:pPr>
        <w:pStyle w:val="FootnoteText"/>
        <w:rPr>
          <w:lang w:val="sr-Cyrl-CS"/>
        </w:rPr>
      </w:pPr>
      <w:r>
        <w:rPr>
          <w:rStyle w:val="FootnoteReference"/>
        </w:rPr>
        <w:footnoteRef/>
      </w:r>
      <w:r>
        <w:t xml:space="preserve"> </w:t>
      </w:r>
      <w:r>
        <w:rPr>
          <w:lang w:val="sr-Cyrl-CS"/>
        </w:rPr>
        <w:t>„Службени гласник РС“ бр. 92/06.</w:t>
      </w:r>
    </w:p>
  </w:footnote>
  <w:footnote w:id="882">
    <w:p w:rsidR="00767127" w:rsidRPr="00DD1B70" w:rsidRDefault="00767127">
      <w:pPr>
        <w:pStyle w:val="FootnoteText"/>
        <w:rPr>
          <w:lang w:val="sr-Cyrl-CS"/>
        </w:rPr>
      </w:pPr>
      <w:r>
        <w:rPr>
          <w:rStyle w:val="FootnoteReference"/>
        </w:rPr>
        <w:footnoteRef/>
      </w:r>
      <w:r>
        <w:t xml:space="preserve"> </w:t>
      </w:r>
      <w:r>
        <w:rPr>
          <w:lang w:val="sr-Cyrl-CS"/>
        </w:rPr>
        <w:t>„Службени гласник РС“ бр. 27/07.</w:t>
      </w:r>
    </w:p>
  </w:footnote>
  <w:footnote w:id="883">
    <w:p w:rsidR="00767127" w:rsidRPr="00DD1B70" w:rsidRDefault="00767127">
      <w:pPr>
        <w:pStyle w:val="FootnoteText"/>
        <w:rPr>
          <w:lang w:val="sr-Cyrl-CS"/>
        </w:rPr>
      </w:pPr>
      <w:r>
        <w:rPr>
          <w:rStyle w:val="FootnoteReference"/>
        </w:rPr>
        <w:footnoteRef/>
      </w:r>
      <w:r>
        <w:t xml:space="preserve"> </w:t>
      </w:r>
      <w:r>
        <w:rPr>
          <w:lang w:val="sr-Cyrl-CS"/>
        </w:rPr>
        <w:t>„Службени гласник РС“ бр. 8/06.</w:t>
      </w:r>
    </w:p>
  </w:footnote>
  <w:footnote w:id="884">
    <w:p w:rsidR="00767127" w:rsidRPr="00DD1B70" w:rsidRDefault="00767127">
      <w:pPr>
        <w:pStyle w:val="FootnoteText"/>
        <w:rPr>
          <w:lang w:val="sr-Cyrl-CS"/>
        </w:rPr>
      </w:pPr>
      <w:r>
        <w:rPr>
          <w:rStyle w:val="FootnoteReference"/>
        </w:rPr>
        <w:footnoteRef/>
      </w:r>
      <w:r>
        <w:t xml:space="preserve"> </w:t>
      </w:r>
      <w:r>
        <w:rPr>
          <w:lang w:val="sr-Cyrl-CS"/>
        </w:rPr>
        <w:t>„Службени гласник РС“ бр. 19/07.</w:t>
      </w:r>
    </w:p>
  </w:footnote>
  <w:footnote w:id="885">
    <w:p w:rsidR="00767127" w:rsidRPr="00DD1B70" w:rsidRDefault="00767127">
      <w:pPr>
        <w:pStyle w:val="FootnoteText"/>
        <w:rPr>
          <w:lang w:val="sr-Cyrl-CS"/>
        </w:rPr>
      </w:pPr>
      <w:r>
        <w:rPr>
          <w:rStyle w:val="FootnoteReference"/>
        </w:rPr>
        <w:footnoteRef/>
      </w:r>
      <w:r>
        <w:t xml:space="preserve"> </w:t>
      </w:r>
      <w:r>
        <w:rPr>
          <w:lang w:val="sr-Cyrl-CS"/>
        </w:rPr>
        <w:t>„Службени гласник РС“ бр. 54/06.</w:t>
      </w:r>
    </w:p>
  </w:footnote>
  <w:footnote w:id="886">
    <w:p w:rsidR="00767127" w:rsidRPr="00587721" w:rsidRDefault="00767127" w:rsidP="00D45FD1">
      <w:pPr>
        <w:pStyle w:val="FootnoteText"/>
        <w:jc w:val="both"/>
        <w:rPr>
          <w:lang w:val="sr-Cyrl-CS"/>
        </w:rPr>
      </w:pPr>
      <w:r>
        <w:rPr>
          <w:rStyle w:val="FootnoteReference"/>
        </w:rPr>
        <w:footnoteRef/>
      </w:r>
      <w:r>
        <w:t xml:space="preserve"> </w:t>
      </w:r>
      <w:r>
        <w:rPr>
          <w:lang w:val="sr-Cyrl-CS"/>
        </w:rPr>
        <w:t xml:space="preserve">М. Шкулић, </w:t>
      </w:r>
      <w:r w:rsidRPr="00587721">
        <w:rPr>
          <w:b/>
          <w:lang w:val="sr-Cyrl-CS"/>
        </w:rPr>
        <w:t>Коментар Законика о кривичном поступку</w:t>
      </w:r>
      <w:r>
        <w:rPr>
          <w:lang w:val="sr-Cyrl-CS"/>
        </w:rPr>
        <w:t>, Правни факултет Универзитета у Београду и ЈП „Службени гласник РС“, Београд, 2011, стр. 30.</w:t>
      </w:r>
    </w:p>
  </w:footnote>
  <w:footnote w:id="887">
    <w:p w:rsidR="00767127" w:rsidRPr="006F1DCB" w:rsidRDefault="00767127">
      <w:pPr>
        <w:pStyle w:val="FootnoteText"/>
        <w:rPr>
          <w:lang w:val="sr-Cyrl-CS"/>
        </w:rPr>
      </w:pPr>
      <w:r>
        <w:rPr>
          <w:rStyle w:val="FootnoteReference"/>
        </w:rPr>
        <w:footnoteRef/>
      </w:r>
      <w:r>
        <w:t xml:space="preserve"> </w:t>
      </w:r>
      <w:r>
        <w:rPr>
          <w:lang w:val="sr-Cyrl-CS"/>
        </w:rPr>
        <w:t>Чл. 180. Закона о полицији и Правилник о начину решавања притужби.</w:t>
      </w:r>
    </w:p>
  </w:footnote>
  <w:footnote w:id="888">
    <w:p w:rsidR="00767127" w:rsidRPr="003377FD" w:rsidRDefault="00767127">
      <w:pPr>
        <w:pStyle w:val="FootnoteText"/>
        <w:rPr>
          <w:lang w:val="sr-Cyrl-CS"/>
        </w:rPr>
      </w:pPr>
      <w:r>
        <w:rPr>
          <w:rStyle w:val="FootnoteReference"/>
        </w:rPr>
        <w:footnoteRef/>
      </w:r>
      <w:r>
        <w:t xml:space="preserve"> </w:t>
      </w:r>
      <w:r>
        <w:rPr>
          <w:lang w:val="sr-Cyrl-CS"/>
        </w:rPr>
        <w:t xml:space="preserve">Извор: </w:t>
      </w:r>
      <w:hyperlink r:id="rId77" w:history="1">
        <w:r w:rsidRPr="000A47A9">
          <w:rPr>
            <w:rStyle w:val="Hyperlink"/>
            <w:lang w:val="sr-Cyrl-CS"/>
          </w:rPr>
          <w:t>http://www.mup.gov.rs</w:t>
        </w:r>
      </w:hyperlink>
      <w:r>
        <w:rPr>
          <w:lang w:val="sr-Cyrl-CS"/>
        </w:rPr>
        <w:t xml:space="preserve"> </w:t>
      </w:r>
    </w:p>
  </w:footnote>
  <w:footnote w:id="889">
    <w:p w:rsidR="00767127" w:rsidRPr="00B95075" w:rsidRDefault="00767127" w:rsidP="00B95075">
      <w:pPr>
        <w:jc w:val="both"/>
        <w:rPr>
          <w:rFonts w:ascii="Times New Roman" w:hAnsi="Times New Roman"/>
          <w:sz w:val="20"/>
          <w:szCs w:val="20"/>
          <w:lang w:val="sr-Cyrl-CS"/>
        </w:rPr>
      </w:pPr>
      <w:r>
        <w:rPr>
          <w:rStyle w:val="FootnoteReference"/>
        </w:rPr>
        <w:footnoteRef/>
      </w:r>
      <w:r>
        <w:t xml:space="preserve"> </w:t>
      </w:r>
      <w:r>
        <w:rPr>
          <w:sz w:val="20"/>
          <w:szCs w:val="20"/>
          <w:lang w:val="sr-Cyrl-CS"/>
        </w:rPr>
        <w:t>Види</w:t>
      </w:r>
      <w:r w:rsidRPr="00B95075">
        <w:rPr>
          <w:sz w:val="20"/>
          <w:szCs w:val="20"/>
          <w:lang w:val="sr-Cyrl-CS"/>
        </w:rPr>
        <w:t xml:space="preserve">: </w:t>
      </w:r>
      <w:hyperlink r:id="rId78" w:history="1">
        <w:r w:rsidRPr="00B95075">
          <w:rPr>
            <w:rStyle w:val="Hyperlink"/>
            <w:sz w:val="20"/>
            <w:szCs w:val="20"/>
          </w:rPr>
          <w:t>http://www.mup.gov.rs/cms/resursi.nsf/InformatorMUP-cirilica.pdf</w:t>
        </w:r>
        <w:r w:rsidRPr="00B95075">
          <w:rPr>
            <w:rStyle w:val="Hyperlink"/>
            <w:sz w:val="20"/>
            <w:szCs w:val="20"/>
            <w:lang w:val="sr-Cyrl-CS"/>
          </w:rPr>
          <w:t xml:space="preserve"> за 2012</w:t>
        </w:r>
      </w:hyperlink>
      <w:r w:rsidRPr="00B95075">
        <w:rPr>
          <w:sz w:val="20"/>
          <w:szCs w:val="20"/>
          <w:lang w:val="sr-Cyrl-CS"/>
        </w:rPr>
        <w:t xml:space="preserve"> (23.12.2013.)</w:t>
      </w:r>
    </w:p>
  </w:footnote>
  <w:footnote w:id="890">
    <w:p w:rsidR="00767127" w:rsidRPr="00B95075" w:rsidRDefault="00767127" w:rsidP="0050769D">
      <w:pPr>
        <w:rPr>
          <w:lang w:val="sr-Cyrl-CS"/>
        </w:rPr>
      </w:pPr>
      <w:r>
        <w:rPr>
          <w:rStyle w:val="FootnoteReference"/>
        </w:rPr>
        <w:footnoteRef/>
      </w:r>
      <w:r>
        <w:t xml:space="preserve"> </w:t>
      </w:r>
      <w:r w:rsidRPr="0050769D">
        <w:rPr>
          <w:sz w:val="20"/>
          <w:szCs w:val="20"/>
          <w:lang w:val="sr-Cyrl-CS"/>
        </w:rPr>
        <w:t xml:space="preserve">Снежана Соковић, </w:t>
      </w:r>
      <w:r w:rsidRPr="0050769D">
        <w:rPr>
          <w:b/>
          <w:sz w:val="20"/>
          <w:szCs w:val="20"/>
          <w:lang w:val="sr-Cyrl-CS"/>
        </w:rPr>
        <w:t>Искуства ЕУ у сузбијању тешких облика криминалитета</w:t>
      </w:r>
      <w:r w:rsidRPr="0050769D">
        <w:rPr>
          <w:sz w:val="20"/>
          <w:szCs w:val="20"/>
          <w:lang w:val="sr-Cyrl-CS"/>
        </w:rPr>
        <w:t>, у зборнику: Тешки облици криминала, Институт за криминолошка и социолошка истраживања, Београд, 2004,</w:t>
      </w:r>
      <w:r>
        <w:rPr>
          <w:sz w:val="20"/>
          <w:szCs w:val="20"/>
          <w:lang w:val="sr-Cyrl-CS"/>
        </w:rPr>
        <w:t xml:space="preserve"> </w:t>
      </w:r>
      <w:r>
        <w:rPr>
          <w:lang w:val="sr-Cyrl-CS"/>
        </w:rPr>
        <w:t>стр. 177.</w:t>
      </w:r>
    </w:p>
  </w:footnote>
  <w:footnote w:id="891">
    <w:p w:rsidR="00767127" w:rsidRPr="00260203" w:rsidRDefault="00767127" w:rsidP="00172FB4">
      <w:pPr>
        <w:pStyle w:val="FootnoteText"/>
        <w:jc w:val="both"/>
        <w:rPr>
          <w:lang w:val="sr-Cyrl-CS"/>
        </w:rPr>
      </w:pPr>
      <w:r>
        <w:rPr>
          <w:rStyle w:val="FootnoteReference"/>
        </w:rPr>
        <w:footnoteRef/>
      </w:r>
      <w:r>
        <w:t xml:space="preserve"> </w:t>
      </w:r>
      <w:r>
        <w:rPr>
          <w:lang w:val="sr-Cyrl-CS"/>
        </w:rPr>
        <w:t xml:space="preserve">Р. </w:t>
      </w:r>
      <w:r>
        <w:rPr>
          <w:rFonts w:asciiTheme="minorHAnsi" w:hAnsiTheme="minorHAnsi"/>
          <w:lang w:val="sr-Cyrl-CS"/>
        </w:rPr>
        <w:t>Србљановић</w:t>
      </w:r>
      <w:r w:rsidRPr="00172FB4">
        <w:rPr>
          <w:rFonts w:asciiTheme="minorHAnsi" w:hAnsiTheme="minorHAnsi"/>
          <w:lang w:val="sr-Cyrl-CS"/>
        </w:rPr>
        <w:t xml:space="preserve"> и др., </w:t>
      </w:r>
      <w:r w:rsidRPr="00172FB4">
        <w:rPr>
          <w:rFonts w:asciiTheme="minorHAnsi" w:hAnsiTheme="minorHAnsi"/>
          <w:b/>
          <w:lang w:val="sr-Cyrl-CS"/>
        </w:rPr>
        <w:t>Типологије прања новца у Републици Србији</w:t>
      </w:r>
      <w:r w:rsidRPr="00172FB4">
        <w:rPr>
          <w:rFonts w:asciiTheme="minorHAnsi" w:hAnsiTheme="minorHAnsi"/>
          <w:lang w:val="sr-Cyrl-CS"/>
        </w:rPr>
        <w:t xml:space="preserve">, Мисија </w:t>
      </w:r>
      <w:r w:rsidRPr="00172FB4">
        <w:rPr>
          <w:rFonts w:asciiTheme="minorHAnsi" w:hAnsiTheme="minorHAnsi"/>
        </w:rPr>
        <w:t xml:space="preserve">OEBS </w:t>
      </w:r>
      <w:r w:rsidRPr="00172FB4">
        <w:rPr>
          <w:rFonts w:asciiTheme="minorHAnsi" w:hAnsiTheme="minorHAnsi"/>
          <w:lang w:val="sr-Cyrl-CS"/>
        </w:rPr>
        <w:t>у Србији, 2011</w:t>
      </w:r>
      <w:r>
        <w:rPr>
          <w:rFonts w:asciiTheme="minorHAnsi" w:hAnsiTheme="minorHAnsi"/>
          <w:lang w:val="sr-Cyrl-CS"/>
        </w:rPr>
        <w:t xml:space="preserve">, </w:t>
      </w:r>
      <w:r w:rsidRPr="00172FB4">
        <w:rPr>
          <w:rFonts w:asciiTheme="minorHAnsi" w:hAnsiTheme="minorHAnsi"/>
          <w:lang w:val="sr-Cyrl-CS"/>
        </w:rPr>
        <w:t>стр</w:t>
      </w:r>
      <w:r>
        <w:rPr>
          <w:lang w:val="sr-Cyrl-CS"/>
        </w:rPr>
        <w:t>. 12.</w:t>
      </w:r>
    </w:p>
  </w:footnote>
  <w:footnote w:id="892">
    <w:p w:rsidR="00767127" w:rsidRPr="00364CA3" w:rsidRDefault="00767127">
      <w:pPr>
        <w:pStyle w:val="FootnoteText"/>
        <w:rPr>
          <w:lang w:val="sr-Cyrl-CS"/>
        </w:rPr>
      </w:pPr>
      <w:r>
        <w:rPr>
          <w:rStyle w:val="FootnoteReference"/>
        </w:rPr>
        <w:footnoteRef/>
      </w:r>
      <w:r>
        <w:t xml:space="preserve"> </w:t>
      </w:r>
      <w:r>
        <w:rPr>
          <w:lang w:val="sr-Cyrl-CS"/>
        </w:rPr>
        <w:t xml:space="preserve"> Закон о спречавању прања новца и финансирања тероризма, („Службени гласник РС“ бр. 20/09, 72/09 и 91/10).</w:t>
      </w:r>
    </w:p>
  </w:footnote>
  <w:footnote w:id="893">
    <w:p w:rsidR="00767127" w:rsidRPr="0080098E" w:rsidRDefault="00767127" w:rsidP="0080098E">
      <w:pPr>
        <w:autoSpaceDE w:val="0"/>
        <w:autoSpaceDN w:val="0"/>
        <w:adjustRightInd w:val="0"/>
        <w:spacing w:after="0" w:line="240" w:lineRule="auto"/>
        <w:jc w:val="both"/>
        <w:rPr>
          <w:rFonts w:asciiTheme="minorHAnsi" w:hAnsiTheme="minorHAnsi" w:cs="ArialNarrow"/>
          <w:sz w:val="20"/>
          <w:szCs w:val="20"/>
          <w:lang w:val="sr-Cyrl-CS"/>
        </w:rPr>
      </w:pPr>
      <w:r>
        <w:rPr>
          <w:rStyle w:val="FootnoteReference"/>
        </w:rPr>
        <w:footnoteRef/>
      </w:r>
      <w:r>
        <w:t xml:space="preserve"> </w:t>
      </w:r>
      <w:r w:rsidRPr="0080098E">
        <w:rPr>
          <w:rFonts w:asciiTheme="minorHAnsi" w:hAnsiTheme="minorHAnsi" w:cs="ArialNarrow,Italic"/>
          <w:iCs/>
          <w:sz w:val="20"/>
          <w:szCs w:val="20"/>
        </w:rPr>
        <w:t>Third Round Detailed Assessment Report on Serbia</w:t>
      </w:r>
      <w:r>
        <w:rPr>
          <w:rFonts w:asciiTheme="minorHAnsi" w:hAnsiTheme="minorHAnsi" w:cs="ArialNarrow,Italic"/>
          <w:iCs/>
          <w:sz w:val="20"/>
          <w:szCs w:val="20"/>
          <w:lang w:val="sr-Cyrl-CS"/>
        </w:rPr>
        <w:t>,</w:t>
      </w:r>
      <w:r w:rsidRPr="0080098E">
        <w:rPr>
          <w:rFonts w:asciiTheme="minorHAnsi" w:hAnsiTheme="minorHAnsi" w:cs="ArialNarrow,Italic"/>
          <w:iCs/>
          <w:sz w:val="20"/>
          <w:szCs w:val="20"/>
        </w:rPr>
        <w:t xml:space="preserve"> </w:t>
      </w:r>
      <w:r w:rsidRPr="0080098E">
        <w:rPr>
          <w:rFonts w:asciiTheme="minorHAnsi" w:hAnsiTheme="minorHAnsi" w:cs="ArialNarrow"/>
          <w:sz w:val="20"/>
          <w:szCs w:val="20"/>
        </w:rPr>
        <w:t>[</w:t>
      </w:r>
      <w:r w:rsidRPr="0080098E">
        <w:rPr>
          <w:rFonts w:asciiTheme="minorHAnsi" w:hAnsiTheme="minorHAnsi" w:cs="ArialNarrow,Italic"/>
          <w:iCs/>
          <w:sz w:val="20"/>
          <w:szCs w:val="20"/>
        </w:rPr>
        <w:t>Detaljni izveštaj o proceni treće faze</w:t>
      </w:r>
      <w:r w:rsidRPr="0080098E">
        <w:rPr>
          <w:rFonts w:asciiTheme="minorHAnsi" w:hAnsiTheme="minorHAnsi" w:cs="ArialNarrow"/>
          <w:sz w:val="20"/>
          <w:szCs w:val="20"/>
        </w:rPr>
        <w:t xml:space="preserve">] u tekstu usvojenom od strane Komiteta Manival na 31. plenarnojsednici (Strazbur, 7-11. decembar 2009. godine) - MONEYVAL (2009) 29: </w:t>
      </w:r>
      <w:hyperlink r:id="rId79" w:history="1">
        <w:r w:rsidRPr="00F358CD">
          <w:rPr>
            <w:rStyle w:val="Hyperlink"/>
            <w:rFonts w:asciiTheme="minorHAnsi" w:hAnsiTheme="minorHAnsi" w:cs="ArialNarrow"/>
            <w:sz w:val="20"/>
            <w:szCs w:val="20"/>
          </w:rPr>
          <w:t>www.coe.int/moneyval</w:t>
        </w:r>
      </w:hyperlink>
      <w:r>
        <w:rPr>
          <w:rFonts w:asciiTheme="minorHAnsi" w:hAnsiTheme="minorHAnsi" w:cs="ArialNarrow"/>
          <w:sz w:val="20"/>
          <w:szCs w:val="20"/>
          <w:lang w:val="sr-Cyrl-CS"/>
        </w:rPr>
        <w:t xml:space="preserve"> </w:t>
      </w:r>
    </w:p>
  </w:footnote>
  <w:footnote w:id="894">
    <w:p w:rsidR="00767127" w:rsidRPr="00761E5B" w:rsidRDefault="00767127" w:rsidP="0080098E">
      <w:pPr>
        <w:pStyle w:val="FootnoteText"/>
        <w:jc w:val="both"/>
        <w:rPr>
          <w:lang w:val="sr-Cyrl-CS"/>
        </w:rPr>
      </w:pPr>
      <w:r>
        <w:rPr>
          <w:rStyle w:val="FootnoteReference"/>
        </w:rPr>
        <w:footnoteRef/>
      </w:r>
      <w:r>
        <w:t xml:space="preserve"> </w:t>
      </w:r>
      <w:r>
        <w:rPr>
          <w:lang w:val="sr-Cyrl-CS"/>
        </w:rPr>
        <w:t>Пројекат за борбу против прања новца и финансирања тероризма у Србији (MOLI Србија), Припремни извештај, 6. мај 2011. године.</w:t>
      </w:r>
    </w:p>
  </w:footnote>
  <w:footnote w:id="895">
    <w:p w:rsidR="00767127" w:rsidRPr="00364CA3" w:rsidRDefault="00767127" w:rsidP="00D54BAB">
      <w:pPr>
        <w:pStyle w:val="FootnoteText"/>
        <w:jc w:val="both"/>
        <w:rPr>
          <w:lang w:val="sr-Cyrl-CS"/>
        </w:rPr>
      </w:pPr>
      <w:r>
        <w:rPr>
          <w:rStyle w:val="FootnoteReference"/>
        </w:rPr>
        <w:footnoteRef/>
      </w:r>
      <w:r>
        <w:t xml:space="preserve"> </w:t>
      </w:r>
      <w:r>
        <w:rPr>
          <w:lang w:val="sr-Cyrl-CS"/>
        </w:rPr>
        <w:t>Закон о Агенцији за борбу против корупције, („Службени гласник РС“ бр. 97/08...112/13).</w:t>
      </w:r>
    </w:p>
  </w:footnote>
  <w:footnote w:id="896">
    <w:p w:rsidR="00767127" w:rsidRPr="00166B45" w:rsidRDefault="00767127" w:rsidP="00166B45">
      <w:pPr>
        <w:pStyle w:val="NoSpacing"/>
        <w:jc w:val="both"/>
        <w:rPr>
          <w:rFonts w:asciiTheme="minorHAnsi" w:hAnsiTheme="minorHAnsi"/>
          <w:sz w:val="20"/>
          <w:szCs w:val="20"/>
          <w:lang w:val="sr-Cyrl-CS"/>
        </w:rPr>
      </w:pPr>
      <w:r>
        <w:rPr>
          <w:rStyle w:val="FootnoteReference"/>
        </w:rPr>
        <w:footnoteRef/>
      </w:r>
      <w:r>
        <w:t xml:space="preserve"> </w:t>
      </w:r>
      <w:r w:rsidRPr="00172FB4">
        <w:rPr>
          <w:sz w:val="20"/>
          <w:szCs w:val="20"/>
          <w:lang w:val="sr-Cyrl-CS"/>
        </w:rPr>
        <w:t>Види:</w:t>
      </w:r>
      <w:r>
        <w:rPr>
          <w:lang w:val="sr-Cyrl-CS"/>
        </w:rPr>
        <w:t xml:space="preserve"> </w:t>
      </w:r>
      <w:r w:rsidRPr="00166B45">
        <w:rPr>
          <w:rFonts w:asciiTheme="minorHAnsi" w:hAnsiTheme="minorHAnsi"/>
          <w:sz w:val="20"/>
          <w:szCs w:val="20"/>
          <w:lang w:val="sr-Cyrl-CS"/>
        </w:rPr>
        <w:t>Уредба о раду, овлашћењима и обележјима буџетске инспекције, („Службени гласник РС“ бр.10/04 и 84/07).</w:t>
      </w:r>
    </w:p>
  </w:footnote>
  <w:footnote w:id="897">
    <w:p w:rsidR="00767127" w:rsidRPr="001D0DC4" w:rsidRDefault="00767127" w:rsidP="00166B45">
      <w:pPr>
        <w:pStyle w:val="NoSpacing"/>
        <w:jc w:val="both"/>
        <w:rPr>
          <w:lang w:val="sr-Cyrl-CS"/>
        </w:rPr>
      </w:pPr>
      <w:r w:rsidRPr="00166B45">
        <w:rPr>
          <w:rStyle w:val="FootnoteReference"/>
          <w:rFonts w:asciiTheme="minorHAnsi" w:hAnsiTheme="minorHAnsi"/>
          <w:sz w:val="20"/>
          <w:szCs w:val="20"/>
        </w:rPr>
        <w:footnoteRef/>
      </w:r>
      <w:r w:rsidRPr="00166B45">
        <w:rPr>
          <w:rFonts w:asciiTheme="minorHAnsi" w:hAnsiTheme="minorHAnsi"/>
          <w:sz w:val="20"/>
          <w:szCs w:val="20"/>
        </w:rPr>
        <w:t xml:space="preserve"> </w:t>
      </w:r>
      <w:r w:rsidRPr="00166B45">
        <w:rPr>
          <w:rFonts w:asciiTheme="minorHAnsi" w:hAnsiTheme="minorHAnsi"/>
          <w:sz w:val="20"/>
          <w:szCs w:val="20"/>
          <w:lang w:val="sr-Cyrl-CS"/>
        </w:rPr>
        <w:t>Види: Закон о трговини, („Службени гласник РС“ бр. 53/10 и 10/13).</w:t>
      </w:r>
    </w:p>
  </w:footnote>
  <w:footnote w:id="898">
    <w:p w:rsidR="00767127" w:rsidRPr="00CF5865" w:rsidRDefault="00767127">
      <w:pPr>
        <w:pStyle w:val="FootnoteText"/>
        <w:rPr>
          <w:lang w:val="sr-Cyrl-CS"/>
        </w:rPr>
      </w:pPr>
      <w:r>
        <w:rPr>
          <w:rStyle w:val="FootnoteReference"/>
        </w:rPr>
        <w:footnoteRef/>
      </w:r>
      <w:r>
        <w:t xml:space="preserve"> </w:t>
      </w:r>
      <w:hyperlink r:id="rId80" w:history="1">
        <w:r w:rsidRPr="000A47A9">
          <w:rPr>
            <w:rStyle w:val="Hyperlink"/>
          </w:rPr>
          <w:t>http://www.upravacarina.rs</w:t>
        </w:r>
      </w:hyperlink>
      <w:r>
        <w:rPr>
          <w:lang w:val="sr-Cyrl-CS"/>
        </w:rPr>
        <w:t xml:space="preserve"> </w:t>
      </w:r>
    </w:p>
  </w:footnote>
  <w:footnote w:id="899">
    <w:p w:rsidR="00767127" w:rsidRPr="000F326B" w:rsidRDefault="00767127" w:rsidP="00097782">
      <w:pPr>
        <w:pStyle w:val="FootnoteText"/>
        <w:rPr>
          <w:lang w:val="sr-Cyrl-CS"/>
        </w:rPr>
      </w:pPr>
      <w:r>
        <w:rPr>
          <w:rStyle w:val="FootnoteReference"/>
        </w:rPr>
        <w:footnoteRef/>
      </w:r>
      <w:r>
        <w:t xml:space="preserve"> </w:t>
      </w:r>
      <w:r>
        <w:rPr>
          <w:lang w:val="sr-Cyrl-CS"/>
        </w:rPr>
        <w:t>Закон о заштитнику грађана, („Службени гласник РС“ бр. 79/05 и 54/07).</w:t>
      </w:r>
    </w:p>
  </w:footnote>
  <w:footnote w:id="900">
    <w:p w:rsidR="00767127" w:rsidRPr="005D2E60" w:rsidRDefault="00767127">
      <w:pPr>
        <w:pStyle w:val="FootnoteText"/>
        <w:rPr>
          <w:lang w:val="sr-Cyrl-CS"/>
        </w:rPr>
      </w:pPr>
      <w:r>
        <w:rPr>
          <w:rStyle w:val="FootnoteReference"/>
        </w:rPr>
        <w:footnoteRef/>
      </w:r>
      <w:r>
        <w:t xml:space="preserve"> </w:t>
      </w:r>
      <w:hyperlink r:id="rId81" w:history="1">
        <w:r>
          <w:rPr>
            <w:rStyle w:val="Hyperlink"/>
          </w:rPr>
          <w:t>http://www.ombudsman.rs</w:t>
        </w:r>
      </w:hyperlink>
      <w:r>
        <w:rPr>
          <w:lang w:val="sr-Cyrl-CS"/>
        </w:rPr>
        <w:t xml:space="preserve"> </w:t>
      </w:r>
    </w:p>
  </w:footnote>
  <w:footnote w:id="901">
    <w:p w:rsidR="00767127" w:rsidRPr="00DD79AD" w:rsidRDefault="00767127">
      <w:pPr>
        <w:pStyle w:val="FootnoteText"/>
        <w:rPr>
          <w:lang w:val="sr-Cyrl-CS"/>
        </w:rPr>
      </w:pPr>
      <w:r>
        <w:rPr>
          <w:rStyle w:val="FootnoteReference"/>
        </w:rPr>
        <w:footnoteRef/>
      </w:r>
      <w:r>
        <w:t xml:space="preserve"> </w:t>
      </w:r>
      <w:r>
        <w:rPr>
          <w:lang w:val="sr-Cyrl-CS"/>
        </w:rPr>
        <w:t xml:space="preserve">Марина Димитријевић, </w:t>
      </w:r>
      <w:r w:rsidRPr="005D2E60">
        <w:rPr>
          <w:b/>
          <w:lang w:val="sr-Cyrl-CS"/>
        </w:rPr>
        <w:t>Правна заштита обвезника пореза</w:t>
      </w:r>
      <w:r>
        <w:rPr>
          <w:lang w:val="sr-Cyrl-CS"/>
        </w:rPr>
        <w:t xml:space="preserve">, </w:t>
      </w:r>
      <w:r w:rsidRPr="005D2E60">
        <w:rPr>
          <w:i/>
          <w:lang w:val="sr-Cyrl-CS"/>
        </w:rPr>
        <w:t>Правни живот,</w:t>
      </w:r>
      <w:r>
        <w:rPr>
          <w:lang w:val="sr-Cyrl-CS"/>
        </w:rPr>
        <w:t xml:space="preserve"> бр. 12, 2009, Београд</w:t>
      </w:r>
      <w:r w:rsidRPr="00D27184">
        <w:rPr>
          <w:i/>
        </w:rPr>
        <w:t>.</w:t>
      </w:r>
      <w:r w:rsidRPr="00D27184">
        <w:rPr>
          <w:i/>
          <w:lang w:val="sr-Cyrl-CS"/>
        </w:rPr>
        <w:t>,</w:t>
      </w:r>
      <w:r>
        <w:rPr>
          <w:lang w:val="sr-Cyrl-CS"/>
        </w:rPr>
        <w:t xml:space="preserve"> стр. 156.</w:t>
      </w:r>
    </w:p>
  </w:footnote>
  <w:footnote w:id="902">
    <w:p w:rsidR="00767127" w:rsidRPr="00B479B2" w:rsidRDefault="00767127" w:rsidP="00B479B2">
      <w:pPr>
        <w:jc w:val="both"/>
        <w:rPr>
          <w:rFonts w:ascii="Times New Roman" w:hAnsi="Times New Roman"/>
          <w:sz w:val="24"/>
          <w:szCs w:val="24"/>
          <w:lang w:val="sr-Cyrl-CS"/>
        </w:rPr>
      </w:pPr>
      <w:r>
        <w:rPr>
          <w:rStyle w:val="FootnoteReference"/>
        </w:rPr>
        <w:footnoteRef/>
      </w:r>
      <w:r>
        <w:t xml:space="preserve"> </w:t>
      </w:r>
      <w:r w:rsidRPr="00011174">
        <w:rPr>
          <w:sz w:val="20"/>
          <w:szCs w:val="20"/>
          <w:lang w:val="sr-Cyrl-CS"/>
        </w:rPr>
        <w:t xml:space="preserve">Извор:  </w:t>
      </w:r>
      <w:hyperlink r:id="rId82" w:history="1">
        <w:r w:rsidRPr="00011174">
          <w:rPr>
            <w:rStyle w:val="Hyperlink"/>
            <w:sz w:val="20"/>
            <w:szCs w:val="20"/>
          </w:rPr>
          <w:t>http://www.transparentnost.org.rs</w:t>
        </w:r>
      </w:hyperlink>
      <w:r>
        <w:rPr>
          <w:lang w:val="sr-Cyrl-CS"/>
        </w:rPr>
        <w:t xml:space="preserve"> </w:t>
      </w:r>
    </w:p>
  </w:footnote>
  <w:footnote w:id="903">
    <w:p w:rsidR="00767127" w:rsidRPr="00732109" w:rsidRDefault="00767127">
      <w:pPr>
        <w:pStyle w:val="FootnoteText"/>
        <w:rPr>
          <w:lang w:val="sr-Cyrl-CS"/>
        </w:rPr>
      </w:pPr>
      <w:r>
        <w:rPr>
          <w:rStyle w:val="FootnoteReference"/>
        </w:rPr>
        <w:footnoteRef/>
      </w:r>
      <w:r>
        <w:t xml:space="preserve"> </w:t>
      </w:r>
      <w:r>
        <w:rPr>
          <w:lang w:val="sr-Cyrl-CS"/>
        </w:rPr>
        <w:t xml:space="preserve">„Службени галсник РС“ бр. 109/2005. </w:t>
      </w:r>
    </w:p>
  </w:footnote>
  <w:footnote w:id="904">
    <w:p w:rsidR="00767127" w:rsidRPr="00FF1C68" w:rsidRDefault="00767127">
      <w:pPr>
        <w:pStyle w:val="FootnoteText"/>
        <w:rPr>
          <w:lang w:val="sr-Cyrl-CS"/>
        </w:rPr>
      </w:pPr>
      <w:r>
        <w:rPr>
          <w:rStyle w:val="FootnoteReference"/>
        </w:rPr>
        <w:footnoteRef/>
      </w:r>
      <w:r>
        <w:t xml:space="preserve"> </w:t>
      </w:r>
      <w:r>
        <w:rPr>
          <w:lang w:val="sr-Cyrl-CS"/>
        </w:rPr>
        <w:t>Стратегија и Акциони план су  приказани на</w:t>
      </w:r>
      <w:r>
        <w:t>:</w:t>
      </w:r>
      <w:r>
        <w:rPr>
          <w:lang w:val="sr-Cyrl-CS"/>
        </w:rPr>
        <w:t xml:space="preserve"> </w:t>
      </w:r>
      <w:hyperlink r:id="rId83" w:history="1">
        <w:r>
          <w:rPr>
            <w:rStyle w:val="Hyperlink"/>
          </w:rPr>
          <w:t>http://www.acas.rs/sr_cir/zakoni-i-drugi-propisi/strategija-i-akcioni-plan.html</w:t>
        </w:r>
      </w:hyperlink>
    </w:p>
  </w:footnote>
  <w:footnote w:id="905">
    <w:p w:rsidR="00767127" w:rsidRPr="003C006E" w:rsidRDefault="00767127">
      <w:pPr>
        <w:pStyle w:val="FootnoteText"/>
        <w:rPr>
          <w:lang w:val="sr-Cyrl-CS"/>
        </w:rPr>
      </w:pPr>
      <w:r>
        <w:rPr>
          <w:rStyle w:val="FootnoteReference"/>
        </w:rPr>
        <w:footnoteRef/>
      </w:r>
      <w:r>
        <w:t xml:space="preserve"> </w:t>
      </w:r>
      <w:r>
        <w:rPr>
          <w:lang w:val="sr-Cyrl-CS"/>
        </w:rPr>
        <w:t>Национална стратегија за борбу против корупције, („Службени галсник РС“ бр. 109/2005), стр. 3.</w:t>
      </w:r>
    </w:p>
  </w:footnote>
  <w:footnote w:id="906">
    <w:p w:rsidR="00767127" w:rsidRPr="00F93BA6" w:rsidRDefault="00767127">
      <w:pPr>
        <w:pStyle w:val="FootnoteText"/>
        <w:rPr>
          <w:lang w:val="sr-Cyrl-CS"/>
        </w:rPr>
      </w:pPr>
      <w:r>
        <w:rPr>
          <w:rStyle w:val="FootnoteReference"/>
        </w:rPr>
        <w:footnoteRef/>
      </w:r>
      <w:r>
        <w:t xml:space="preserve"> </w:t>
      </w:r>
      <w:r>
        <w:rPr>
          <w:lang w:val="sr-Cyrl-CS"/>
        </w:rPr>
        <w:t>Национална стратегија за борбу против корупције, („Службени галсник РС“ бр. 109/2005), стр. 13.</w:t>
      </w:r>
    </w:p>
  </w:footnote>
  <w:footnote w:id="907">
    <w:p w:rsidR="00767127" w:rsidRPr="007C4862" w:rsidRDefault="00767127" w:rsidP="00E16222">
      <w:pPr>
        <w:pStyle w:val="FootnoteText"/>
        <w:rPr>
          <w:lang w:val="sr-Cyrl-CS"/>
        </w:rPr>
      </w:pPr>
      <w:r>
        <w:rPr>
          <w:rStyle w:val="FootnoteReference"/>
        </w:rPr>
        <w:footnoteRef/>
      </w:r>
      <w:r>
        <w:t xml:space="preserve"> </w:t>
      </w:r>
      <w:r>
        <w:rPr>
          <w:lang w:val="sr-Cyrl-CS"/>
        </w:rPr>
        <w:t>„Службени гласник РС“ бр. 57/13.</w:t>
      </w:r>
    </w:p>
  </w:footnote>
  <w:footnote w:id="908">
    <w:p w:rsidR="00767127" w:rsidRPr="00A410E6" w:rsidRDefault="00767127" w:rsidP="00E16222">
      <w:pPr>
        <w:pStyle w:val="FootnoteText"/>
        <w:rPr>
          <w:lang w:val="sr-Cyrl-CS"/>
        </w:rPr>
      </w:pPr>
      <w:r>
        <w:rPr>
          <w:rStyle w:val="FootnoteReference"/>
        </w:rPr>
        <w:footnoteRef/>
      </w:r>
      <w:r>
        <w:t xml:space="preserve"> </w:t>
      </w:r>
      <w:r>
        <w:rPr>
          <w:lang w:val="sr-Cyrl-CS"/>
        </w:rPr>
        <w:t xml:space="preserve">Зоран Ђокић, </w:t>
      </w:r>
      <w:r w:rsidRPr="00F52533">
        <w:rPr>
          <w:b/>
          <w:lang w:val="sr-Cyrl-CS"/>
        </w:rPr>
        <w:t>Актуелно стање корупције у Републици Србији са посебним освртом на корупцију у привреди</w:t>
      </w:r>
      <w:r>
        <w:rPr>
          <w:i/>
          <w:lang w:val="sr-Cyrl-CS"/>
        </w:rPr>
        <w:t xml:space="preserve">, Безбедност бр. 2, 2007, </w:t>
      </w:r>
      <w:r>
        <w:rPr>
          <w:lang w:val="sr-Cyrl-CS"/>
        </w:rPr>
        <w:t xml:space="preserve"> стр. 283-284.</w:t>
      </w:r>
    </w:p>
  </w:footnote>
  <w:footnote w:id="909">
    <w:p w:rsidR="00767127" w:rsidRPr="00261D1B" w:rsidRDefault="00767127">
      <w:pPr>
        <w:pStyle w:val="FootnoteText"/>
        <w:rPr>
          <w:lang w:val="sr-Cyrl-CS"/>
        </w:rPr>
      </w:pPr>
      <w:r>
        <w:rPr>
          <w:rStyle w:val="FootnoteReference"/>
        </w:rPr>
        <w:footnoteRef/>
      </w:r>
      <w:r>
        <w:t xml:space="preserve"> </w:t>
      </w:r>
      <w:r>
        <w:rPr>
          <w:lang w:val="sr-Cyrl-CS"/>
        </w:rPr>
        <w:t xml:space="preserve">Момчило Грубач, </w:t>
      </w:r>
      <w:r w:rsidRPr="00365D83">
        <w:rPr>
          <w:b/>
          <w:lang w:val="sr-Cyrl-CS"/>
        </w:rPr>
        <w:t>Колико је простора за транзицију у кривичном праву Србије</w:t>
      </w:r>
      <w:r>
        <w:rPr>
          <w:lang w:val="sr-Cyrl-CS"/>
        </w:rPr>
        <w:t xml:space="preserve">, </w:t>
      </w:r>
      <w:r w:rsidRPr="00365D83">
        <w:rPr>
          <w:i/>
          <w:lang w:val="sr-Cyrl-CS"/>
        </w:rPr>
        <w:t>Избор судске праксе</w:t>
      </w:r>
      <w:r>
        <w:rPr>
          <w:lang w:val="sr-Cyrl-CS"/>
        </w:rPr>
        <w:t>, бр. 11, Београд, 2008</w:t>
      </w:r>
      <w:r>
        <w:t>,</w:t>
      </w:r>
      <w:r>
        <w:rPr>
          <w:lang w:val="sr-Cyrl-CS"/>
        </w:rPr>
        <w:t xml:space="preserve"> стр. 6.</w:t>
      </w:r>
    </w:p>
  </w:footnote>
  <w:footnote w:id="910">
    <w:p w:rsidR="00767127" w:rsidRPr="00361F55" w:rsidRDefault="00767127">
      <w:pPr>
        <w:pStyle w:val="FootnoteText"/>
        <w:rPr>
          <w:lang w:val="sr-Cyrl-CS"/>
        </w:rPr>
      </w:pPr>
      <w:r>
        <w:rPr>
          <w:rStyle w:val="FootnoteReference"/>
        </w:rPr>
        <w:footnoteRef/>
      </w:r>
      <w:r>
        <w:t xml:space="preserve"> </w:t>
      </w:r>
      <w:r>
        <w:rPr>
          <w:lang w:val="sr-Cyrl-CS"/>
        </w:rPr>
        <w:t>„Сужбени гласник РС“ бр. 85/05.</w:t>
      </w:r>
    </w:p>
  </w:footnote>
  <w:footnote w:id="911">
    <w:p w:rsidR="00767127" w:rsidRPr="00D159C3" w:rsidRDefault="00767127">
      <w:pPr>
        <w:pStyle w:val="FootnoteText"/>
        <w:rPr>
          <w:lang w:val="sr-Cyrl-CS"/>
        </w:rPr>
      </w:pPr>
      <w:r>
        <w:rPr>
          <w:rStyle w:val="FootnoteReference"/>
        </w:rPr>
        <w:footnoteRef/>
      </w:r>
      <w:r>
        <w:t xml:space="preserve"> </w:t>
      </w:r>
      <w:r>
        <w:rPr>
          <w:lang w:val="sr-Cyrl-CS"/>
        </w:rPr>
        <w:t>„Службени гласник РС“ бр. 46/06.</w:t>
      </w:r>
    </w:p>
  </w:footnote>
  <w:footnote w:id="912">
    <w:p w:rsidR="00767127" w:rsidRPr="001136FD" w:rsidRDefault="00767127">
      <w:pPr>
        <w:pStyle w:val="FootnoteText"/>
        <w:rPr>
          <w:lang w:val="sr-Cyrl-CS"/>
        </w:rPr>
      </w:pPr>
      <w:r>
        <w:rPr>
          <w:rStyle w:val="FootnoteReference"/>
        </w:rPr>
        <w:footnoteRef/>
      </w:r>
      <w:r>
        <w:t xml:space="preserve"> </w:t>
      </w:r>
      <w:r>
        <w:rPr>
          <w:lang w:val="sr-Cyrl-CS"/>
        </w:rPr>
        <w:t>„Службени гласник РС“ бр. 45/13“</w:t>
      </w:r>
    </w:p>
  </w:footnote>
  <w:footnote w:id="913">
    <w:p w:rsidR="00767127" w:rsidRPr="001136FD" w:rsidRDefault="00767127">
      <w:pPr>
        <w:pStyle w:val="FootnoteText"/>
        <w:rPr>
          <w:lang w:val="sr-Cyrl-CS"/>
        </w:rPr>
      </w:pPr>
      <w:r>
        <w:rPr>
          <w:rStyle w:val="FootnoteReference"/>
        </w:rPr>
        <w:footnoteRef/>
      </w:r>
      <w:r>
        <w:t xml:space="preserve"> </w:t>
      </w:r>
      <w:r>
        <w:rPr>
          <w:lang w:val="sr-Cyrl-CS"/>
        </w:rPr>
        <w:t>Чл. 162. Кривичног законика („Службени гласник РС“ бр. 72/11...45/13)</w:t>
      </w:r>
    </w:p>
  </w:footnote>
  <w:footnote w:id="914">
    <w:p w:rsidR="00767127" w:rsidRPr="00891999" w:rsidRDefault="00767127">
      <w:pPr>
        <w:pStyle w:val="FootnoteText"/>
        <w:rPr>
          <w:lang w:val="sr-Cyrl-CS"/>
        </w:rPr>
      </w:pPr>
      <w:r>
        <w:rPr>
          <w:rStyle w:val="FootnoteReference"/>
        </w:rPr>
        <w:footnoteRef/>
      </w:r>
      <w:r>
        <w:t xml:space="preserve"> </w:t>
      </w:r>
      <w:r>
        <w:rPr>
          <w:lang w:val="sr-Cyrl-CS"/>
        </w:rPr>
        <w:t>„Службени галсник РС“ бр. 101/13.</w:t>
      </w:r>
    </w:p>
  </w:footnote>
  <w:footnote w:id="915">
    <w:p w:rsidR="00767127" w:rsidRPr="00A74914" w:rsidRDefault="00767127" w:rsidP="00650C10">
      <w:pPr>
        <w:pStyle w:val="FootnoteText"/>
        <w:jc w:val="both"/>
        <w:rPr>
          <w:lang w:val="sr-Cyrl-CS"/>
        </w:rPr>
      </w:pPr>
      <w:r>
        <w:rPr>
          <w:rStyle w:val="FootnoteReference"/>
        </w:rPr>
        <w:footnoteRef/>
      </w:r>
      <w:r>
        <w:t xml:space="preserve"> </w:t>
      </w:r>
      <w:r>
        <w:rPr>
          <w:lang w:val="sr-Cyrl-CS"/>
        </w:rPr>
        <w:t>Ову Конвенцију је наша земља ратификовала 22.октобра 2005. године (Закон о ратификацији конвенције Уједињених нација против корупције, („Сл. лист – Међународни уговори“ бр. 12/05).</w:t>
      </w:r>
    </w:p>
  </w:footnote>
  <w:footnote w:id="916">
    <w:p w:rsidR="00767127" w:rsidRPr="00127366" w:rsidRDefault="00767127" w:rsidP="00650C10">
      <w:pPr>
        <w:pStyle w:val="FootnoteText"/>
        <w:jc w:val="both"/>
        <w:rPr>
          <w:lang w:val="sr-Cyrl-CS"/>
        </w:rPr>
      </w:pPr>
      <w:r>
        <w:rPr>
          <w:rStyle w:val="FootnoteReference"/>
        </w:rPr>
        <w:footnoteRef/>
      </w:r>
      <w:r>
        <w:t xml:space="preserve"> </w:t>
      </w:r>
      <w:r>
        <w:rPr>
          <w:lang w:val="sr-Cyrl-CS"/>
        </w:rPr>
        <w:t>Која је ратификована 9. јануара 2008. године, а ступила је на снагу 1. маја 2008. године.</w:t>
      </w:r>
    </w:p>
  </w:footnote>
  <w:footnote w:id="917">
    <w:p w:rsidR="00767127" w:rsidRPr="00CD119D" w:rsidRDefault="00767127">
      <w:pPr>
        <w:pStyle w:val="FootnoteText"/>
        <w:rPr>
          <w:lang w:val="sr-Cyrl-CS"/>
        </w:rPr>
      </w:pPr>
      <w:r>
        <w:rPr>
          <w:rStyle w:val="FootnoteReference"/>
        </w:rPr>
        <w:footnoteRef/>
      </w:r>
      <w:r>
        <w:t xml:space="preserve"> </w:t>
      </w:r>
      <w:r>
        <w:rPr>
          <w:lang w:val="sr-Cyrl-CS"/>
        </w:rPr>
        <w:t xml:space="preserve">Коју је наша земља ратификовала 18. децембра 2002. године и ступила на снагу 1. априла 2003. године. </w:t>
      </w:r>
    </w:p>
  </w:footnote>
  <w:footnote w:id="918">
    <w:p w:rsidR="00767127" w:rsidRPr="00113B40" w:rsidRDefault="00767127">
      <w:pPr>
        <w:pStyle w:val="FootnoteText"/>
        <w:rPr>
          <w:lang w:val="sr-Cyrl-CS"/>
        </w:rPr>
      </w:pPr>
      <w:r>
        <w:rPr>
          <w:rStyle w:val="FootnoteReference"/>
        </w:rPr>
        <w:footnoteRef/>
      </w:r>
      <w:r>
        <w:t xml:space="preserve"> </w:t>
      </w:r>
      <w:r>
        <w:rPr>
          <w:lang w:val="sr-Cyrl-CS"/>
        </w:rPr>
        <w:t xml:space="preserve">Мирко Кулић, </w:t>
      </w:r>
      <w:r>
        <w:rPr>
          <w:i/>
          <w:lang w:val="sr-Cyrl-CS"/>
        </w:rPr>
        <w:t xml:space="preserve">нав. дело, </w:t>
      </w:r>
      <w:r>
        <w:rPr>
          <w:lang w:val="sr-Cyrl-CS"/>
        </w:rPr>
        <w:t xml:space="preserve"> стр. 315-324.</w:t>
      </w:r>
    </w:p>
  </w:footnote>
  <w:footnote w:id="919">
    <w:p w:rsidR="00767127" w:rsidRPr="006D57B4" w:rsidRDefault="00767127">
      <w:pPr>
        <w:pStyle w:val="FootnoteText"/>
        <w:rPr>
          <w:lang w:val="sr-Cyrl-CS"/>
        </w:rPr>
      </w:pPr>
      <w:r>
        <w:rPr>
          <w:rStyle w:val="FootnoteReference"/>
        </w:rPr>
        <w:footnoteRef/>
      </w:r>
      <w:r>
        <w:t xml:space="preserve"> </w:t>
      </w:r>
      <w:r>
        <w:rPr>
          <w:lang w:val="sr-Cyrl-CS"/>
        </w:rPr>
        <w:t xml:space="preserve"> Милева Анђелковић и Марина Димитријевић, </w:t>
      </w:r>
      <w:r>
        <w:rPr>
          <w:i/>
          <w:lang w:val="sr-Cyrl-CS"/>
        </w:rPr>
        <w:t xml:space="preserve">нав. дело, </w:t>
      </w:r>
      <w:r>
        <w:rPr>
          <w:lang w:val="sr-Cyrl-CS"/>
        </w:rPr>
        <w:t xml:space="preserve"> стр. 228.</w:t>
      </w:r>
    </w:p>
  </w:footnote>
  <w:footnote w:id="920">
    <w:p w:rsidR="00767127" w:rsidRPr="00451148" w:rsidRDefault="00767127" w:rsidP="00D43FCB">
      <w:pPr>
        <w:pStyle w:val="FootnoteText"/>
        <w:jc w:val="both"/>
        <w:rPr>
          <w:lang w:val="sr-Cyrl-CS"/>
        </w:rPr>
      </w:pPr>
      <w:r>
        <w:rPr>
          <w:rStyle w:val="FootnoteReference"/>
        </w:rPr>
        <w:footnoteRef/>
      </w:r>
      <w:r>
        <w:t xml:space="preserve"> </w:t>
      </w:r>
      <w:r>
        <w:rPr>
          <w:lang w:val="sr-Cyrl-CS"/>
        </w:rPr>
        <w:t xml:space="preserve">Миодраг Вуковић, </w:t>
      </w:r>
      <w:r>
        <w:rPr>
          <w:i/>
          <w:lang w:val="sr-Cyrl-CS"/>
        </w:rPr>
        <w:t xml:space="preserve">нав. дело, </w:t>
      </w:r>
      <w:r>
        <w:rPr>
          <w:lang w:val="sr-Cyrl-CS"/>
        </w:rPr>
        <w:t xml:space="preserve"> стр. 18-19.</w:t>
      </w:r>
    </w:p>
  </w:footnote>
  <w:footnote w:id="921">
    <w:p w:rsidR="00767127" w:rsidRPr="000321D0" w:rsidRDefault="00767127" w:rsidP="00FF672D">
      <w:pPr>
        <w:pStyle w:val="FootnoteText"/>
        <w:jc w:val="both"/>
      </w:pPr>
      <w:r>
        <w:rPr>
          <w:rStyle w:val="FootnoteReference"/>
        </w:rPr>
        <w:footnoteRef/>
      </w:r>
      <w:r>
        <w:t xml:space="preserve"> Robert Shiller, </w:t>
      </w:r>
      <w:r w:rsidRPr="00360BE9">
        <w:rPr>
          <w:b/>
        </w:rPr>
        <w:t>Figuring out financial markets: more psyhology than economic</w:t>
      </w:r>
      <w:r>
        <w:t>, IMF Survey, Vol. 33, No 7, April, 2004.</w:t>
      </w:r>
    </w:p>
  </w:footnote>
  <w:footnote w:id="922">
    <w:p w:rsidR="00767127" w:rsidRPr="00390417" w:rsidRDefault="00767127">
      <w:pPr>
        <w:pStyle w:val="FootnoteText"/>
        <w:rPr>
          <w:lang w:val="sr-Cyrl-CS"/>
        </w:rPr>
      </w:pPr>
      <w:r>
        <w:rPr>
          <w:rStyle w:val="FootnoteReference"/>
        </w:rPr>
        <w:footnoteRef/>
      </w:r>
      <w:r>
        <w:t xml:space="preserve"> </w:t>
      </w:r>
      <w:hyperlink r:id="rId84" w:history="1">
        <w:r w:rsidRPr="007B7358">
          <w:rPr>
            <w:rStyle w:val="Hyperlink"/>
          </w:rPr>
          <w:t>http://www.lexonline.paragraf.rs</w:t>
        </w:r>
      </w:hyperlink>
      <w:r>
        <w:rPr>
          <w:lang w:val="sr-Cyrl-CS"/>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127" w:rsidRDefault="0076712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127" w:rsidRDefault="0076712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127" w:rsidRDefault="0076712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singleLevel"/>
    <w:tmpl w:val="0000000B"/>
    <w:name w:val="WW8Num11"/>
    <w:lvl w:ilvl="0">
      <w:start w:val="3"/>
      <w:numFmt w:val="bullet"/>
      <w:lvlText w:val="-"/>
      <w:lvlJc w:val="left"/>
      <w:pPr>
        <w:tabs>
          <w:tab w:val="num" w:pos="57"/>
        </w:tabs>
        <w:ind w:left="113" w:hanging="113"/>
      </w:pPr>
      <w:rPr>
        <w:rFonts w:ascii="Times New Roman" w:hAnsi="Times New Roman" w:cs="Times New Roman"/>
      </w:rPr>
    </w:lvl>
  </w:abstractNum>
  <w:abstractNum w:abstractNumId="1">
    <w:nsid w:val="00000012"/>
    <w:multiLevelType w:val="singleLevel"/>
    <w:tmpl w:val="00000012"/>
    <w:name w:val="WW8Num18"/>
    <w:lvl w:ilvl="0">
      <w:start w:val="3"/>
      <w:numFmt w:val="bullet"/>
      <w:lvlText w:val="-"/>
      <w:lvlJc w:val="left"/>
      <w:pPr>
        <w:tabs>
          <w:tab w:val="num" w:pos="57"/>
        </w:tabs>
        <w:ind w:left="113" w:hanging="113"/>
      </w:pPr>
      <w:rPr>
        <w:rFonts w:ascii="Times New Roman" w:hAnsi="Times New Roman" w:cs="Times New Roman"/>
        <w:sz w:val="18"/>
      </w:rPr>
    </w:lvl>
  </w:abstractNum>
  <w:abstractNum w:abstractNumId="2">
    <w:nsid w:val="0000001B"/>
    <w:multiLevelType w:val="singleLevel"/>
    <w:tmpl w:val="0000001B"/>
    <w:name w:val="WW8Num27"/>
    <w:lvl w:ilvl="0">
      <w:start w:val="3"/>
      <w:numFmt w:val="bullet"/>
      <w:lvlText w:val="-"/>
      <w:lvlJc w:val="left"/>
      <w:pPr>
        <w:tabs>
          <w:tab w:val="num" w:pos="57"/>
        </w:tabs>
        <w:ind w:left="113" w:hanging="113"/>
      </w:pPr>
      <w:rPr>
        <w:rFonts w:ascii="Times New Roman" w:hAnsi="Times New Roman" w:cs="Times New Roman"/>
      </w:rPr>
    </w:lvl>
  </w:abstractNum>
  <w:abstractNum w:abstractNumId="3">
    <w:nsid w:val="0197262B"/>
    <w:multiLevelType w:val="hybridMultilevel"/>
    <w:tmpl w:val="1026BD42"/>
    <w:lvl w:ilvl="0" w:tplc="081A0001">
      <w:start w:val="1"/>
      <w:numFmt w:val="bullet"/>
      <w:lvlText w:val=""/>
      <w:lvlJc w:val="left"/>
      <w:pPr>
        <w:tabs>
          <w:tab w:val="num" w:pos="360"/>
        </w:tabs>
        <w:ind w:left="360" w:hanging="360"/>
      </w:pPr>
      <w:rPr>
        <w:rFonts w:ascii="Symbol" w:hAnsi="Symbol" w:hint="default"/>
      </w:rPr>
    </w:lvl>
    <w:lvl w:ilvl="1" w:tplc="093C8FF8" w:tentative="1">
      <w:start w:val="1"/>
      <w:numFmt w:val="bullet"/>
      <w:lvlText w:val="-"/>
      <w:lvlJc w:val="left"/>
      <w:pPr>
        <w:tabs>
          <w:tab w:val="num" w:pos="1440"/>
        </w:tabs>
        <w:ind w:left="1440" w:hanging="360"/>
      </w:pPr>
      <w:rPr>
        <w:rFonts w:ascii="Times New Roman" w:hAnsi="Times New Roman" w:hint="default"/>
      </w:rPr>
    </w:lvl>
    <w:lvl w:ilvl="2" w:tplc="9A14897E" w:tentative="1">
      <w:start w:val="1"/>
      <w:numFmt w:val="bullet"/>
      <w:lvlText w:val="-"/>
      <w:lvlJc w:val="left"/>
      <w:pPr>
        <w:tabs>
          <w:tab w:val="num" w:pos="2160"/>
        </w:tabs>
        <w:ind w:left="2160" w:hanging="360"/>
      </w:pPr>
      <w:rPr>
        <w:rFonts w:ascii="Times New Roman" w:hAnsi="Times New Roman" w:hint="default"/>
      </w:rPr>
    </w:lvl>
    <w:lvl w:ilvl="3" w:tplc="1292DCE0" w:tentative="1">
      <w:start w:val="1"/>
      <w:numFmt w:val="bullet"/>
      <w:lvlText w:val="-"/>
      <w:lvlJc w:val="left"/>
      <w:pPr>
        <w:tabs>
          <w:tab w:val="num" w:pos="2880"/>
        </w:tabs>
        <w:ind w:left="2880" w:hanging="360"/>
      </w:pPr>
      <w:rPr>
        <w:rFonts w:ascii="Times New Roman" w:hAnsi="Times New Roman" w:hint="default"/>
      </w:rPr>
    </w:lvl>
    <w:lvl w:ilvl="4" w:tplc="26CCCAA2" w:tentative="1">
      <w:start w:val="1"/>
      <w:numFmt w:val="bullet"/>
      <w:lvlText w:val="-"/>
      <w:lvlJc w:val="left"/>
      <w:pPr>
        <w:tabs>
          <w:tab w:val="num" w:pos="3600"/>
        </w:tabs>
        <w:ind w:left="3600" w:hanging="360"/>
      </w:pPr>
      <w:rPr>
        <w:rFonts w:ascii="Times New Roman" w:hAnsi="Times New Roman" w:hint="default"/>
      </w:rPr>
    </w:lvl>
    <w:lvl w:ilvl="5" w:tplc="6680DCDA" w:tentative="1">
      <w:start w:val="1"/>
      <w:numFmt w:val="bullet"/>
      <w:lvlText w:val="-"/>
      <w:lvlJc w:val="left"/>
      <w:pPr>
        <w:tabs>
          <w:tab w:val="num" w:pos="4320"/>
        </w:tabs>
        <w:ind w:left="4320" w:hanging="360"/>
      </w:pPr>
      <w:rPr>
        <w:rFonts w:ascii="Times New Roman" w:hAnsi="Times New Roman" w:hint="default"/>
      </w:rPr>
    </w:lvl>
    <w:lvl w:ilvl="6" w:tplc="20129918" w:tentative="1">
      <w:start w:val="1"/>
      <w:numFmt w:val="bullet"/>
      <w:lvlText w:val="-"/>
      <w:lvlJc w:val="left"/>
      <w:pPr>
        <w:tabs>
          <w:tab w:val="num" w:pos="5040"/>
        </w:tabs>
        <w:ind w:left="5040" w:hanging="360"/>
      </w:pPr>
      <w:rPr>
        <w:rFonts w:ascii="Times New Roman" w:hAnsi="Times New Roman" w:hint="default"/>
      </w:rPr>
    </w:lvl>
    <w:lvl w:ilvl="7" w:tplc="AC8888F4" w:tentative="1">
      <w:start w:val="1"/>
      <w:numFmt w:val="bullet"/>
      <w:lvlText w:val="-"/>
      <w:lvlJc w:val="left"/>
      <w:pPr>
        <w:tabs>
          <w:tab w:val="num" w:pos="5760"/>
        </w:tabs>
        <w:ind w:left="5760" w:hanging="360"/>
      </w:pPr>
      <w:rPr>
        <w:rFonts w:ascii="Times New Roman" w:hAnsi="Times New Roman" w:hint="default"/>
      </w:rPr>
    </w:lvl>
    <w:lvl w:ilvl="8" w:tplc="8F3431C6" w:tentative="1">
      <w:start w:val="1"/>
      <w:numFmt w:val="bullet"/>
      <w:lvlText w:val="-"/>
      <w:lvlJc w:val="left"/>
      <w:pPr>
        <w:tabs>
          <w:tab w:val="num" w:pos="6480"/>
        </w:tabs>
        <w:ind w:left="6480" w:hanging="360"/>
      </w:pPr>
      <w:rPr>
        <w:rFonts w:ascii="Times New Roman" w:hAnsi="Times New Roman" w:hint="default"/>
      </w:rPr>
    </w:lvl>
  </w:abstractNum>
  <w:abstractNum w:abstractNumId="4">
    <w:nsid w:val="03300835"/>
    <w:multiLevelType w:val="hybridMultilevel"/>
    <w:tmpl w:val="D084FB4E"/>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5">
    <w:nsid w:val="037438F0"/>
    <w:multiLevelType w:val="hybridMultilevel"/>
    <w:tmpl w:val="0472E3A0"/>
    <w:lvl w:ilvl="0" w:tplc="081A0001">
      <w:start w:val="1"/>
      <w:numFmt w:val="bullet"/>
      <w:lvlText w:val=""/>
      <w:lvlJc w:val="left"/>
      <w:pPr>
        <w:ind w:left="1080" w:hanging="360"/>
      </w:pPr>
      <w:rPr>
        <w:rFonts w:ascii="Symbol" w:hAnsi="Symbol" w:hint="default"/>
      </w:rPr>
    </w:lvl>
    <w:lvl w:ilvl="1" w:tplc="081A0003" w:tentative="1">
      <w:start w:val="1"/>
      <w:numFmt w:val="bullet"/>
      <w:lvlText w:val="o"/>
      <w:lvlJc w:val="left"/>
      <w:pPr>
        <w:ind w:left="1800" w:hanging="360"/>
      </w:pPr>
      <w:rPr>
        <w:rFonts w:ascii="Courier New" w:hAnsi="Courier New" w:cs="Courier New" w:hint="default"/>
      </w:rPr>
    </w:lvl>
    <w:lvl w:ilvl="2" w:tplc="081A0005" w:tentative="1">
      <w:start w:val="1"/>
      <w:numFmt w:val="bullet"/>
      <w:lvlText w:val=""/>
      <w:lvlJc w:val="left"/>
      <w:pPr>
        <w:ind w:left="2520" w:hanging="360"/>
      </w:pPr>
      <w:rPr>
        <w:rFonts w:ascii="Wingdings" w:hAnsi="Wingdings" w:hint="default"/>
      </w:rPr>
    </w:lvl>
    <w:lvl w:ilvl="3" w:tplc="081A0001" w:tentative="1">
      <w:start w:val="1"/>
      <w:numFmt w:val="bullet"/>
      <w:lvlText w:val=""/>
      <w:lvlJc w:val="left"/>
      <w:pPr>
        <w:ind w:left="3240" w:hanging="360"/>
      </w:pPr>
      <w:rPr>
        <w:rFonts w:ascii="Symbol" w:hAnsi="Symbol" w:hint="default"/>
      </w:rPr>
    </w:lvl>
    <w:lvl w:ilvl="4" w:tplc="081A0003" w:tentative="1">
      <w:start w:val="1"/>
      <w:numFmt w:val="bullet"/>
      <w:lvlText w:val="o"/>
      <w:lvlJc w:val="left"/>
      <w:pPr>
        <w:ind w:left="3960" w:hanging="360"/>
      </w:pPr>
      <w:rPr>
        <w:rFonts w:ascii="Courier New" w:hAnsi="Courier New" w:cs="Courier New" w:hint="default"/>
      </w:rPr>
    </w:lvl>
    <w:lvl w:ilvl="5" w:tplc="081A0005" w:tentative="1">
      <w:start w:val="1"/>
      <w:numFmt w:val="bullet"/>
      <w:lvlText w:val=""/>
      <w:lvlJc w:val="left"/>
      <w:pPr>
        <w:ind w:left="4680" w:hanging="360"/>
      </w:pPr>
      <w:rPr>
        <w:rFonts w:ascii="Wingdings" w:hAnsi="Wingdings" w:hint="default"/>
      </w:rPr>
    </w:lvl>
    <w:lvl w:ilvl="6" w:tplc="081A0001" w:tentative="1">
      <w:start w:val="1"/>
      <w:numFmt w:val="bullet"/>
      <w:lvlText w:val=""/>
      <w:lvlJc w:val="left"/>
      <w:pPr>
        <w:ind w:left="5400" w:hanging="360"/>
      </w:pPr>
      <w:rPr>
        <w:rFonts w:ascii="Symbol" w:hAnsi="Symbol" w:hint="default"/>
      </w:rPr>
    </w:lvl>
    <w:lvl w:ilvl="7" w:tplc="081A0003" w:tentative="1">
      <w:start w:val="1"/>
      <w:numFmt w:val="bullet"/>
      <w:lvlText w:val="o"/>
      <w:lvlJc w:val="left"/>
      <w:pPr>
        <w:ind w:left="6120" w:hanging="360"/>
      </w:pPr>
      <w:rPr>
        <w:rFonts w:ascii="Courier New" w:hAnsi="Courier New" w:cs="Courier New" w:hint="default"/>
      </w:rPr>
    </w:lvl>
    <w:lvl w:ilvl="8" w:tplc="081A0005" w:tentative="1">
      <w:start w:val="1"/>
      <w:numFmt w:val="bullet"/>
      <w:lvlText w:val=""/>
      <w:lvlJc w:val="left"/>
      <w:pPr>
        <w:ind w:left="6840" w:hanging="360"/>
      </w:pPr>
      <w:rPr>
        <w:rFonts w:ascii="Wingdings" w:hAnsi="Wingdings" w:hint="default"/>
      </w:rPr>
    </w:lvl>
  </w:abstractNum>
  <w:abstractNum w:abstractNumId="6">
    <w:nsid w:val="043A503C"/>
    <w:multiLevelType w:val="hybridMultilevel"/>
    <w:tmpl w:val="85DCD22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7">
    <w:nsid w:val="04556B44"/>
    <w:multiLevelType w:val="hybridMultilevel"/>
    <w:tmpl w:val="0FCED20C"/>
    <w:lvl w:ilvl="0" w:tplc="DDE40C74">
      <w:start w:val="1"/>
      <w:numFmt w:val="decimal"/>
      <w:lvlText w:val="%1)"/>
      <w:lvlJc w:val="left"/>
      <w:pPr>
        <w:ind w:left="1068" w:hanging="360"/>
      </w:pPr>
      <w:rPr>
        <w:rFonts w:hint="default"/>
      </w:rPr>
    </w:lvl>
    <w:lvl w:ilvl="1" w:tplc="081A0019" w:tentative="1">
      <w:start w:val="1"/>
      <w:numFmt w:val="lowerLetter"/>
      <w:lvlText w:val="%2."/>
      <w:lvlJc w:val="left"/>
      <w:pPr>
        <w:ind w:left="1788" w:hanging="360"/>
      </w:pPr>
    </w:lvl>
    <w:lvl w:ilvl="2" w:tplc="081A001B" w:tentative="1">
      <w:start w:val="1"/>
      <w:numFmt w:val="lowerRoman"/>
      <w:lvlText w:val="%3."/>
      <w:lvlJc w:val="right"/>
      <w:pPr>
        <w:ind w:left="2508" w:hanging="180"/>
      </w:pPr>
    </w:lvl>
    <w:lvl w:ilvl="3" w:tplc="081A000F" w:tentative="1">
      <w:start w:val="1"/>
      <w:numFmt w:val="decimal"/>
      <w:lvlText w:val="%4."/>
      <w:lvlJc w:val="left"/>
      <w:pPr>
        <w:ind w:left="3228" w:hanging="360"/>
      </w:pPr>
    </w:lvl>
    <w:lvl w:ilvl="4" w:tplc="081A0019" w:tentative="1">
      <w:start w:val="1"/>
      <w:numFmt w:val="lowerLetter"/>
      <w:lvlText w:val="%5."/>
      <w:lvlJc w:val="left"/>
      <w:pPr>
        <w:ind w:left="3948" w:hanging="360"/>
      </w:pPr>
    </w:lvl>
    <w:lvl w:ilvl="5" w:tplc="081A001B" w:tentative="1">
      <w:start w:val="1"/>
      <w:numFmt w:val="lowerRoman"/>
      <w:lvlText w:val="%6."/>
      <w:lvlJc w:val="right"/>
      <w:pPr>
        <w:ind w:left="4668" w:hanging="180"/>
      </w:pPr>
    </w:lvl>
    <w:lvl w:ilvl="6" w:tplc="081A000F" w:tentative="1">
      <w:start w:val="1"/>
      <w:numFmt w:val="decimal"/>
      <w:lvlText w:val="%7."/>
      <w:lvlJc w:val="left"/>
      <w:pPr>
        <w:ind w:left="5388" w:hanging="360"/>
      </w:pPr>
    </w:lvl>
    <w:lvl w:ilvl="7" w:tplc="081A0019" w:tentative="1">
      <w:start w:val="1"/>
      <w:numFmt w:val="lowerLetter"/>
      <w:lvlText w:val="%8."/>
      <w:lvlJc w:val="left"/>
      <w:pPr>
        <w:ind w:left="6108" w:hanging="360"/>
      </w:pPr>
    </w:lvl>
    <w:lvl w:ilvl="8" w:tplc="081A001B" w:tentative="1">
      <w:start w:val="1"/>
      <w:numFmt w:val="lowerRoman"/>
      <w:lvlText w:val="%9."/>
      <w:lvlJc w:val="right"/>
      <w:pPr>
        <w:ind w:left="6828" w:hanging="180"/>
      </w:pPr>
    </w:lvl>
  </w:abstractNum>
  <w:abstractNum w:abstractNumId="8">
    <w:nsid w:val="0A2604B9"/>
    <w:multiLevelType w:val="hybridMultilevel"/>
    <w:tmpl w:val="9772702C"/>
    <w:lvl w:ilvl="0" w:tplc="081A0001">
      <w:start w:val="1"/>
      <w:numFmt w:val="bullet"/>
      <w:lvlText w:val=""/>
      <w:lvlJc w:val="left"/>
      <w:pPr>
        <w:ind w:left="1428" w:hanging="360"/>
      </w:pPr>
      <w:rPr>
        <w:rFonts w:ascii="Symbol" w:hAnsi="Symbol" w:hint="default"/>
      </w:rPr>
    </w:lvl>
    <w:lvl w:ilvl="1" w:tplc="081A0003" w:tentative="1">
      <w:start w:val="1"/>
      <w:numFmt w:val="bullet"/>
      <w:lvlText w:val="o"/>
      <w:lvlJc w:val="left"/>
      <w:pPr>
        <w:ind w:left="2148" w:hanging="360"/>
      </w:pPr>
      <w:rPr>
        <w:rFonts w:ascii="Courier New" w:hAnsi="Courier New" w:cs="Courier New" w:hint="default"/>
      </w:rPr>
    </w:lvl>
    <w:lvl w:ilvl="2" w:tplc="081A0005" w:tentative="1">
      <w:start w:val="1"/>
      <w:numFmt w:val="bullet"/>
      <w:lvlText w:val=""/>
      <w:lvlJc w:val="left"/>
      <w:pPr>
        <w:ind w:left="2868" w:hanging="360"/>
      </w:pPr>
      <w:rPr>
        <w:rFonts w:ascii="Wingdings" w:hAnsi="Wingdings" w:hint="default"/>
      </w:rPr>
    </w:lvl>
    <w:lvl w:ilvl="3" w:tplc="081A0001" w:tentative="1">
      <w:start w:val="1"/>
      <w:numFmt w:val="bullet"/>
      <w:lvlText w:val=""/>
      <w:lvlJc w:val="left"/>
      <w:pPr>
        <w:ind w:left="3588" w:hanging="360"/>
      </w:pPr>
      <w:rPr>
        <w:rFonts w:ascii="Symbol" w:hAnsi="Symbol" w:hint="default"/>
      </w:rPr>
    </w:lvl>
    <w:lvl w:ilvl="4" w:tplc="081A0003" w:tentative="1">
      <w:start w:val="1"/>
      <w:numFmt w:val="bullet"/>
      <w:lvlText w:val="o"/>
      <w:lvlJc w:val="left"/>
      <w:pPr>
        <w:ind w:left="4308" w:hanging="360"/>
      </w:pPr>
      <w:rPr>
        <w:rFonts w:ascii="Courier New" w:hAnsi="Courier New" w:cs="Courier New" w:hint="default"/>
      </w:rPr>
    </w:lvl>
    <w:lvl w:ilvl="5" w:tplc="081A0005" w:tentative="1">
      <w:start w:val="1"/>
      <w:numFmt w:val="bullet"/>
      <w:lvlText w:val=""/>
      <w:lvlJc w:val="left"/>
      <w:pPr>
        <w:ind w:left="5028" w:hanging="360"/>
      </w:pPr>
      <w:rPr>
        <w:rFonts w:ascii="Wingdings" w:hAnsi="Wingdings" w:hint="default"/>
      </w:rPr>
    </w:lvl>
    <w:lvl w:ilvl="6" w:tplc="081A0001" w:tentative="1">
      <w:start w:val="1"/>
      <w:numFmt w:val="bullet"/>
      <w:lvlText w:val=""/>
      <w:lvlJc w:val="left"/>
      <w:pPr>
        <w:ind w:left="5748" w:hanging="360"/>
      </w:pPr>
      <w:rPr>
        <w:rFonts w:ascii="Symbol" w:hAnsi="Symbol" w:hint="default"/>
      </w:rPr>
    </w:lvl>
    <w:lvl w:ilvl="7" w:tplc="081A0003" w:tentative="1">
      <w:start w:val="1"/>
      <w:numFmt w:val="bullet"/>
      <w:lvlText w:val="o"/>
      <w:lvlJc w:val="left"/>
      <w:pPr>
        <w:ind w:left="6468" w:hanging="360"/>
      </w:pPr>
      <w:rPr>
        <w:rFonts w:ascii="Courier New" w:hAnsi="Courier New" w:cs="Courier New" w:hint="default"/>
      </w:rPr>
    </w:lvl>
    <w:lvl w:ilvl="8" w:tplc="081A0005" w:tentative="1">
      <w:start w:val="1"/>
      <w:numFmt w:val="bullet"/>
      <w:lvlText w:val=""/>
      <w:lvlJc w:val="left"/>
      <w:pPr>
        <w:ind w:left="7188" w:hanging="360"/>
      </w:pPr>
      <w:rPr>
        <w:rFonts w:ascii="Wingdings" w:hAnsi="Wingdings" w:hint="default"/>
      </w:rPr>
    </w:lvl>
  </w:abstractNum>
  <w:abstractNum w:abstractNumId="9">
    <w:nsid w:val="0AA167E3"/>
    <w:multiLevelType w:val="hybridMultilevel"/>
    <w:tmpl w:val="D8281490"/>
    <w:lvl w:ilvl="0" w:tplc="081A0011">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0">
    <w:nsid w:val="0BB832B4"/>
    <w:multiLevelType w:val="hybridMultilevel"/>
    <w:tmpl w:val="B45CA662"/>
    <w:lvl w:ilvl="0" w:tplc="081A0011">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1">
    <w:nsid w:val="12074141"/>
    <w:multiLevelType w:val="hybridMultilevel"/>
    <w:tmpl w:val="2C8EC6CE"/>
    <w:lvl w:ilvl="0" w:tplc="081A0001">
      <w:start w:val="1"/>
      <w:numFmt w:val="bullet"/>
      <w:lvlText w:val=""/>
      <w:lvlJc w:val="left"/>
      <w:pPr>
        <w:ind w:left="1350" w:hanging="360"/>
      </w:pPr>
      <w:rPr>
        <w:rFonts w:ascii="Symbol" w:hAnsi="Symbol" w:hint="default"/>
      </w:rPr>
    </w:lvl>
    <w:lvl w:ilvl="1" w:tplc="081A0003" w:tentative="1">
      <w:start w:val="1"/>
      <w:numFmt w:val="bullet"/>
      <w:lvlText w:val="o"/>
      <w:lvlJc w:val="left"/>
      <w:pPr>
        <w:ind w:left="2070" w:hanging="360"/>
      </w:pPr>
      <w:rPr>
        <w:rFonts w:ascii="Courier New" w:hAnsi="Courier New" w:cs="Courier New" w:hint="default"/>
      </w:rPr>
    </w:lvl>
    <w:lvl w:ilvl="2" w:tplc="081A0005" w:tentative="1">
      <w:start w:val="1"/>
      <w:numFmt w:val="bullet"/>
      <w:lvlText w:val=""/>
      <w:lvlJc w:val="left"/>
      <w:pPr>
        <w:ind w:left="2790" w:hanging="360"/>
      </w:pPr>
      <w:rPr>
        <w:rFonts w:ascii="Wingdings" w:hAnsi="Wingdings" w:hint="default"/>
      </w:rPr>
    </w:lvl>
    <w:lvl w:ilvl="3" w:tplc="081A0001" w:tentative="1">
      <w:start w:val="1"/>
      <w:numFmt w:val="bullet"/>
      <w:lvlText w:val=""/>
      <w:lvlJc w:val="left"/>
      <w:pPr>
        <w:ind w:left="3510" w:hanging="360"/>
      </w:pPr>
      <w:rPr>
        <w:rFonts w:ascii="Symbol" w:hAnsi="Symbol" w:hint="default"/>
      </w:rPr>
    </w:lvl>
    <w:lvl w:ilvl="4" w:tplc="081A0003" w:tentative="1">
      <w:start w:val="1"/>
      <w:numFmt w:val="bullet"/>
      <w:lvlText w:val="o"/>
      <w:lvlJc w:val="left"/>
      <w:pPr>
        <w:ind w:left="4230" w:hanging="360"/>
      </w:pPr>
      <w:rPr>
        <w:rFonts w:ascii="Courier New" w:hAnsi="Courier New" w:cs="Courier New" w:hint="default"/>
      </w:rPr>
    </w:lvl>
    <w:lvl w:ilvl="5" w:tplc="081A0005" w:tentative="1">
      <w:start w:val="1"/>
      <w:numFmt w:val="bullet"/>
      <w:lvlText w:val=""/>
      <w:lvlJc w:val="left"/>
      <w:pPr>
        <w:ind w:left="4950" w:hanging="360"/>
      </w:pPr>
      <w:rPr>
        <w:rFonts w:ascii="Wingdings" w:hAnsi="Wingdings" w:hint="default"/>
      </w:rPr>
    </w:lvl>
    <w:lvl w:ilvl="6" w:tplc="081A0001" w:tentative="1">
      <w:start w:val="1"/>
      <w:numFmt w:val="bullet"/>
      <w:lvlText w:val=""/>
      <w:lvlJc w:val="left"/>
      <w:pPr>
        <w:ind w:left="5670" w:hanging="360"/>
      </w:pPr>
      <w:rPr>
        <w:rFonts w:ascii="Symbol" w:hAnsi="Symbol" w:hint="default"/>
      </w:rPr>
    </w:lvl>
    <w:lvl w:ilvl="7" w:tplc="081A0003" w:tentative="1">
      <w:start w:val="1"/>
      <w:numFmt w:val="bullet"/>
      <w:lvlText w:val="o"/>
      <w:lvlJc w:val="left"/>
      <w:pPr>
        <w:ind w:left="6390" w:hanging="360"/>
      </w:pPr>
      <w:rPr>
        <w:rFonts w:ascii="Courier New" w:hAnsi="Courier New" w:cs="Courier New" w:hint="default"/>
      </w:rPr>
    </w:lvl>
    <w:lvl w:ilvl="8" w:tplc="081A0005" w:tentative="1">
      <w:start w:val="1"/>
      <w:numFmt w:val="bullet"/>
      <w:lvlText w:val=""/>
      <w:lvlJc w:val="left"/>
      <w:pPr>
        <w:ind w:left="7110" w:hanging="360"/>
      </w:pPr>
      <w:rPr>
        <w:rFonts w:ascii="Wingdings" w:hAnsi="Wingdings" w:hint="default"/>
      </w:rPr>
    </w:lvl>
  </w:abstractNum>
  <w:abstractNum w:abstractNumId="12">
    <w:nsid w:val="12172AFB"/>
    <w:multiLevelType w:val="hybridMultilevel"/>
    <w:tmpl w:val="23060B22"/>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3">
    <w:nsid w:val="130C77F0"/>
    <w:multiLevelType w:val="hybridMultilevel"/>
    <w:tmpl w:val="31BED4C0"/>
    <w:lvl w:ilvl="0" w:tplc="081A0011">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4">
    <w:nsid w:val="13D50360"/>
    <w:multiLevelType w:val="multilevel"/>
    <w:tmpl w:val="CC4626A0"/>
    <w:lvl w:ilvl="0">
      <w:start w:val="1"/>
      <w:numFmt w:val="bullet"/>
      <w:lvlText w:val=""/>
      <w:lvlJc w:val="left"/>
      <w:pPr>
        <w:tabs>
          <w:tab w:val="num" w:pos="720"/>
        </w:tabs>
        <w:ind w:left="720" w:hanging="360"/>
      </w:pPr>
      <w:rPr>
        <w:rFonts w:ascii="Symbol" w:hAnsi="Symbol" w:hint="default"/>
        <w:sz w:val="20"/>
      </w:rPr>
    </w:lvl>
    <w:lvl w:ilvl="1">
      <w:start w:val="6"/>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AC9588A"/>
    <w:multiLevelType w:val="hybridMultilevel"/>
    <w:tmpl w:val="B69E61B6"/>
    <w:lvl w:ilvl="0" w:tplc="2D821EFA">
      <w:start w:val="1"/>
      <w:numFmt w:val="decimal"/>
      <w:lvlText w:val="%1)"/>
      <w:lvlJc w:val="left"/>
      <w:pPr>
        <w:ind w:left="927" w:hanging="360"/>
      </w:pPr>
      <w:rPr>
        <w:rFonts w:hint="default"/>
      </w:rPr>
    </w:lvl>
    <w:lvl w:ilvl="1" w:tplc="081A0019" w:tentative="1">
      <w:start w:val="1"/>
      <w:numFmt w:val="lowerLetter"/>
      <w:lvlText w:val="%2."/>
      <w:lvlJc w:val="left"/>
      <w:pPr>
        <w:ind w:left="1647" w:hanging="360"/>
      </w:pPr>
    </w:lvl>
    <w:lvl w:ilvl="2" w:tplc="081A001B" w:tentative="1">
      <w:start w:val="1"/>
      <w:numFmt w:val="lowerRoman"/>
      <w:lvlText w:val="%3."/>
      <w:lvlJc w:val="right"/>
      <w:pPr>
        <w:ind w:left="2367" w:hanging="180"/>
      </w:pPr>
    </w:lvl>
    <w:lvl w:ilvl="3" w:tplc="081A000F" w:tentative="1">
      <w:start w:val="1"/>
      <w:numFmt w:val="decimal"/>
      <w:lvlText w:val="%4."/>
      <w:lvlJc w:val="left"/>
      <w:pPr>
        <w:ind w:left="3087" w:hanging="360"/>
      </w:pPr>
    </w:lvl>
    <w:lvl w:ilvl="4" w:tplc="081A0019" w:tentative="1">
      <w:start w:val="1"/>
      <w:numFmt w:val="lowerLetter"/>
      <w:lvlText w:val="%5."/>
      <w:lvlJc w:val="left"/>
      <w:pPr>
        <w:ind w:left="3807" w:hanging="360"/>
      </w:pPr>
    </w:lvl>
    <w:lvl w:ilvl="5" w:tplc="081A001B" w:tentative="1">
      <w:start w:val="1"/>
      <w:numFmt w:val="lowerRoman"/>
      <w:lvlText w:val="%6."/>
      <w:lvlJc w:val="right"/>
      <w:pPr>
        <w:ind w:left="4527" w:hanging="180"/>
      </w:pPr>
    </w:lvl>
    <w:lvl w:ilvl="6" w:tplc="081A000F" w:tentative="1">
      <w:start w:val="1"/>
      <w:numFmt w:val="decimal"/>
      <w:lvlText w:val="%7."/>
      <w:lvlJc w:val="left"/>
      <w:pPr>
        <w:ind w:left="5247" w:hanging="360"/>
      </w:pPr>
    </w:lvl>
    <w:lvl w:ilvl="7" w:tplc="081A0019" w:tentative="1">
      <w:start w:val="1"/>
      <w:numFmt w:val="lowerLetter"/>
      <w:lvlText w:val="%8."/>
      <w:lvlJc w:val="left"/>
      <w:pPr>
        <w:ind w:left="5967" w:hanging="360"/>
      </w:pPr>
    </w:lvl>
    <w:lvl w:ilvl="8" w:tplc="081A001B" w:tentative="1">
      <w:start w:val="1"/>
      <w:numFmt w:val="lowerRoman"/>
      <w:lvlText w:val="%9."/>
      <w:lvlJc w:val="right"/>
      <w:pPr>
        <w:ind w:left="6687" w:hanging="180"/>
      </w:pPr>
    </w:lvl>
  </w:abstractNum>
  <w:abstractNum w:abstractNumId="16">
    <w:nsid w:val="1B356994"/>
    <w:multiLevelType w:val="multilevel"/>
    <w:tmpl w:val="A648C94C"/>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7">
    <w:nsid w:val="1CAB1540"/>
    <w:multiLevelType w:val="hybridMultilevel"/>
    <w:tmpl w:val="C2548B88"/>
    <w:lvl w:ilvl="0" w:tplc="081A0001">
      <w:start w:val="1"/>
      <w:numFmt w:val="bullet"/>
      <w:lvlText w:val=""/>
      <w:lvlJc w:val="left"/>
      <w:pPr>
        <w:ind w:left="1350" w:hanging="360"/>
      </w:pPr>
      <w:rPr>
        <w:rFonts w:ascii="Symbol" w:hAnsi="Symbol" w:hint="default"/>
      </w:rPr>
    </w:lvl>
    <w:lvl w:ilvl="1" w:tplc="081A0003" w:tentative="1">
      <w:start w:val="1"/>
      <w:numFmt w:val="bullet"/>
      <w:lvlText w:val="o"/>
      <w:lvlJc w:val="left"/>
      <w:pPr>
        <w:ind w:left="2070" w:hanging="360"/>
      </w:pPr>
      <w:rPr>
        <w:rFonts w:ascii="Courier New" w:hAnsi="Courier New" w:cs="Courier New" w:hint="default"/>
      </w:rPr>
    </w:lvl>
    <w:lvl w:ilvl="2" w:tplc="081A0005" w:tentative="1">
      <w:start w:val="1"/>
      <w:numFmt w:val="bullet"/>
      <w:lvlText w:val=""/>
      <w:lvlJc w:val="left"/>
      <w:pPr>
        <w:ind w:left="2790" w:hanging="360"/>
      </w:pPr>
      <w:rPr>
        <w:rFonts w:ascii="Wingdings" w:hAnsi="Wingdings" w:hint="default"/>
      </w:rPr>
    </w:lvl>
    <w:lvl w:ilvl="3" w:tplc="081A0001" w:tentative="1">
      <w:start w:val="1"/>
      <w:numFmt w:val="bullet"/>
      <w:lvlText w:val=""/>
      <w:lvlJc w:val="left"/>
      <w:pPr>
        <w:ind w:left="3510" w:hanging="360"/>
      </w:pPr>
      <w:rPr>
        <w:rFonts w:ascii="Symbol" w:hAnsi="Symbol" w:hint="default"/>
      </w:rPr>
    </w:lvl>
    <w:lvl w:ilvl="4" w:tplc="081A0003" w:tentative="1">
      <w:start w:val="1"/>
      <w:numFmt w:val="bullet"/>
      <w:lvlText w:val="o"/>
      <w:lvlJc w:val="left"/>
      <w:pPr>
        <w:ind w:left="4230" w:hanging="360"/>
      </w:pPr>
      <w:rPr>
        <w:rFonts w:ascii="Courier New" w:hAnsi="Courier New" w:cs="Courier New" w:hint="default"/>
      </w:rPr>
    </w:lvl>
    <w:lvl w:ilvl="5" w:tplc="081A0005" w:tentative="1">
      <w:start w:val="1"/>
      <w:numFmt w:val="bullet"/>
      <w:lvlText w:val=""/>
      <w:lvlJc w:val="left"/>
      <w:pPr>
        <w:ind w:left="4950" w:hanging="360"/>
      </w:pPr>
      <w:rPr>
        <w:rFonts w:ascii="Wingdings" w:hAnsi="Wingdings" w:hint="default"/>
      </w:rPr>
    </w:lvl>
    <w:lvl w:ilvl="6" w:tplc="081A0001" w:tentative="1">
      <w:start w:val="1"/>
      <w:numFmt w:val="bullet"/>
      <w:lvlText w:val=""/>
      <w:lvlJc w:val="left"/>
      <w:pPr>
        <w:ind w:left="5670" w:hanging="360"/>
      </w:pPr>
      <w:rPr>
        <w:rFonts w:ascii="Symbol" w:hAnsi="Symbol" w:hint="default"/>
      </w:rPr>
    </w:lvl>
    <w:lvl w:ilvl="7" w:tplc="081A0003" w:tentative="1">
      <w:start w:val="1"/>
      <w:numFmt w:val="bullet"/>
      <w:lvlText w:val="o"/>
      <w:lvlJc w:val="left"/>
      <w:pPr>
        <w:ind w:left="6390" w:hanging="360"/>
      </w:pPr>
      <w:rPr>
        <w:rFonts w:ascii="Courier New" w:hAnsi="Courier New" w:cs="Courier New" w:hint="default"/>
      </w:rPr>
    </w:lvl>
    <w:lvl w:ilvl="8" w:tplc="081A0005" w:tentative="1">
      <w:start w:val="1"/>
      <w:numFmt w:val="bullet"/>
      <w:lvlText w:val=""/>
      <w:lvlJc w:val="left"/>
      <w:pPr>
        <w:ind w:left="7110" w:hanging="360"/>
      </w:pPr>
      <w:rPr>
        <w:rFonts w:ascii="Wingdings" w:hAnsi="Wingdings" w:hint="default"/>
      </w:rPr>
    </w:lvl>
  </w:abstractNum>
  <w:abstractNum w:abstractNumId="18">
    <w:nsid w:val="20242B4F"/>
    <w:multiLevelType w:val="hybridMultilevel"/>
    <w:tmpl w:val="7A12A00A"/>
    <w:lvl w:ilvl="0" w:tplc="081A0011">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9">
    <w:nsid w:val="22055584"/>
    <w:multiLevelType w:val="hybridMultilevel"/>
    <w:tmpl w:val="33E8C3AE"/>
    <w:lvl w:ilvl="0" w:tplc="465CA7B4">
      <w:start w:val="1"/>
      <w:numFmt w:val="decimal"/>
      <w:lvlText w:val="%1."/>
      <w:lvlJc w:val="left"/>
      <w:pPr>
        <w:ind w:left="990" w:hanging="360"/>
      </w:pPr>
      <w:rPr>
        <w:b w:val="0"/>
        <w:i w:val="0"/>
        <w:sz w:val="24"/>
      </w:rPr>
    </w:lvl>
    <w:lvl w:ilvl="1" w:tplc="081A0019">
      <w:start w:val="1"/>
      <w:numFmt w:val="decimal"/>
      <w:lvlText w:val="%2."/>
      <w:lvlJc w:val="left"/>
      <w:pPr>
        <w:tabs>
          <w:tab w:val="num" w:pos="1440"/>
        </w:tabs>
        <w:ind w:left="1440" w:hanging="360"/>
      </w:pPr>
    </w:lvl>
    <w:lvl w:ilvl="2" w:tplc="081A001B">
      <w:start w:val="1"/>
      <w:numFmt w:val="decimal"/>
      <w:lvlText w:val="%3."/>
      <w:lvlJc w:val="left"/>
      <w:pPr>
        <w:tabs>
          <w:tab w:val="num" w:pos="2160"/>
        </w:tabs>
        <w:ind w:left="2160" w:hanging="360"/>
      </w:pPr>
    </w:lvl>
    <w:lvl w:ilvl="3" w:tplc="081A000F">
      <w:start w:val="1"/>
      <w:numFmt w:val="decimal"/>
      <w:lvlText w:val="%4."/>
      <w:lvlJc w:val="left"/>
      <w:pPr>
        <w:tabs>
          <w:tab w:val="num" w:pos="2880"/>
        </w:tabs>
        <w:ind w:left="2880" w:hanging="360"/>
      </w:pPr>
    </w:lvl>
    <w:lvl w:ilvl="4" w:tplc="081A0019">
      <w:start w:val="1"/>
      <w:numFmt w:val="decimal"/>
      <w:lvlText w:val="%5."/>
      <w:lvlJc w:val="left"/>
      <w:pPr>
        <w:tabs>
          <w:tab w:val="num" w:pos="3600"/>
        </w:tabs>
        <w:ind w:left="3600" w:hanging="360"/>
      </w:pPr>
    </w:lvl>
    <w:lvl w:ilvl="5" w:tplc="081A001B">
      <w:start w:val="1"/>
      <w:numFmt w:val="decimal"/>
      <w:lvlText w:val="%6."/>
      <w:lvlJc w:val="left"/>
      <w:pPr>
        <w:tabs>
          <w:tab w:val="num" w:pos="4320"/>
        </w:tabs>
        <w:ind w:left="4320" w:hanging="360"/>
      </w:pPr>
    </w:lvl>
    <w:lvl w:ilvl="6" w:tplc="081A000F">
      <w:start w:val="1"/>
      <w:numFmt w:val="decimal"/>
      <w:lvlText w:val="%7."/>
      <w:lvlJc w:val="left"/>
      <w:pPr>
        <w:tabs>
          <w:tab w:val="num" w:pos="5040"/>
        </w:tabs>
        <w:ind w:left="5040" w:hanging="360"/>
      </w:pPr>
    </w:lvl>
    <w:lvl w:ilvl="7" w:tplc="081A0019">
      <w:start w:val="1"/>
      <w:numFmt w:val="decimal"/>
      <w:lvlText w:val="%8."/>
      <w:lvlJc w:val="left"/>
      <w:pPr>
        <w:tabs>
          <w:tab w:val="num" w:pos="5760"/>
        </w:tabs>
        <w:ind w:left="5760" w:hanging="360"/>
      </w:pPr>
    </w:lvl>
    <w:lvl w:ilvl="8" w:tplc="081A001B">
      <w:start w:val="1"/>
      <w:numFmt w:val="decimal"/>
      <w:lvlText w:val="%9."/>
      <w:lvlJc w:val="left"/>
      <w:pPr>
        <w:tabs>
          <w:tab w:val="num" w:pos="6480"/>
        </w:tabs>
        <w:ind w:left="6480" w:hanging="360"/>
      </w:pPr>
    </w:lvl>
  </w:abstractNum>
  <w:abstractNum w:abstractNumId="20">
    <w:nsid w:val="24051EEF"/>
    <w:multiLevelType w:val="hybridMultilevel"/>
    <w:tmpl w:val="DE5064E0"/>
    <w:lvl w:ilvl="0" w:tplc="081A0001">
      <w:start w:val="1"/>
      <w:numFmt w:val="bullet"/>
      <w:lvlText w:val=""/>
      <w:lvlJc w:val="left"/>
      <w:pPr>
        <w:ind w:left="1350" w:hanging="360"/>
      </w:pPr>
      <w:rPr>
        <w:rFonts w:ascii="Symbol" w:hAnsi="Symbol" w:hint="default"/>
      </w:rPr>
    </w:lvl>
    <w:lvl w:ilvl="1" w:tplc="081A0003" w:tentative="1">
      <w:start w:val="1"/>
      <w:numFmt w:val="bullet"/>
      <w:lvlText w:val="o"/>
      <w:lvlJc w:val="left"/>
      <w:pPr>
        <w:ind w:left="2070" w:hanging="360"/>
      </w:pPr>
      <w:rPr>
        <w:rFonts w:ascii="Courier New" w:hAnsi="Courier New" w:cs="Courier New" w:hint="default"/>
      </w:rPr>
    </w:lvl>
    <w:lvl w:ilvl="2" w:tplc="081A0005" w:tentative="1">
      <w:start w:val="1"/>
      <w:numFmt w:val="bullet"/>
      <w:lvlText w:val=""/>
      <w:lvlJc w:val="left"/>
      <w:pPr>
        <w:ind w:left="2790" w:hanging="360"/>
      </w:pPr>
      <w:rPr>
        <w:rFonts w:ascii="Wingdings" w:hAnsi="Wingdings" w:hint="default"/>
      </w:rPr>
    </w:lvl>
    <w:lvl w:ilvl="3" w:tplc="081A0001" w:tentative="1">
      <w:start w:val="1"/>
      <w:numFmt w:val="bullet"/>
      <w:lvlText w:val=""/>
      <w:lvlJc w:val="left"/>
      <w:pPr>
        <w:ind w:left="3510" w:hanging="360"/>
      </w:pPr>
      <w:rPr>
        <w:rFonts w:ascii="Symbol" w:hAnsi="Symbol" w:hint="default"/>
      </w:rPr>
    </w:lvl>
    <w:lvl w:ilvl="4" w:tplc="081A0003" w:tentative="1">
      <w:start w:val="1"/>
      <w:numFmt w:val="bullet"/>
      <w:lvlText w:val="o"/>
      <w:lvlJc w:val="left"/>
      <w:pPr>
        <w:ind w:left="4230" w:hanging="360"/>
      </w:pPr>
      <w:rPr>
        <w:rFonts w:ascii="Courier New" w:hAnsi="Courier New" w:cs="Courier New" w:hint="default"/>
      </w:rPr>
    </w:lvl>
    <w:lvl w:ilvl="5" w:tplc="081A0005" w:tentative="1">
      <w:start w:val="1"/>
      <w:numFmt w:val="bullet"/>
      <w:lvlText w:val=""/>
      <w:lvlJc w:val="left"/>
      <w:pPr>
        <w:ind w:left="4950" w:hanging="360"/>
      </w:pPr>
      <w:rPr>
        <w:rFonts w:ascii="Wingdings" w:hAnsi="Wingdings" w:hint="default"/>
      </w:rPr>
    </w:lvl>
    <w:lvl w:ilvl="6" w:tplc="081A0001" w:tentative="1">
      <w:start w:val="1"/>
      <w:numFmt w:val="bullet"/>
      <w:lvlText w:val=""/>
      <w:lvlJc w:val="left"/>
      <w:pPr>
        <w:ind w:left="5670" w:hanging="360"/>
      </w:pPr>
      <w:rPr>
        <w:rFonts w:ascii="Symbol" w:hAnsi="Symbol" w:hint="default"/>
      </w:rPr>
    </w:lvl>
    <w:lvl w:ilvl="7" w:tplc="081A0003" w:tentative="1">
      <w:start w:val="1"/>
      <w:numFmt w:val="bullet"/>
      <w:lvlText w:val="o"/>
      <w:lvlJc w:val="left"/>
      <w:pPr>
        <w:ind w:left="6390" w:hanging="360"/>
      </w:pPr>
      <w:rPr>
        <w:rFonts w:ascii="Courier New" w:hAnsi="Courier New" w:cs="Courier New" w:hint="default"/>
      </w:rPr>
    </w:lvl>
    <w:lvl w:ilvl="8" w:tplc="081A0005" w:tentative="1">
      <w:start w:val="1"/>
      <w:numFmt w:val="bullet"/>
      <w:lvlText w:val=""/>
      <w:lvlJc w:val="left"/>
      <w:pPr>
        <w:ind w:left="7110" w:hanging="360"/>
      </w:pPr>
      <w:rPr>
        <w:rFonts w:ascii="Wingdings" w:hAnsi="Wingdings" w:hint="default"/>
      </w:rPr>
    </w:lvl>
  </w:abstractNum>
  <w:abstractNum w:abstractNumId="21">
    <w:nsid w:val="25EB74DD"/>
    <w:multiLevelType w:val="multilevel"/>
    <w:tmpl w:val="7BA275AC"/>
    <w:lvl w:ilvl="0">
      <w:start w:val="1"/>
      <w:numFmt w:val="decimal"/>
      <w:lvlText w:val="%1."/>
      <w:lvlJc w:val="left"/>
      <w:pPr>
        <w:ind w:left="990" w:hanging="360"/>
      </w:pPr>
      <w:rPr>
        <w:rFonts w:hint="default"/>
        <w:b/>
      </w:rPr>
    </w:lvl>
    <w:lvl w:ilvl="1">
      <w:start w:val="1"/>
      <w:numFmt w:val="decimal"/>
      <w:isLgl/>
      <w:lvlText w:val="%1.%2."/>
      <w:lvlJc w:val="left"/>
      <w:pPr>
        <w:ind w:left="990" w:hanging="360"/>
      </w:pPr>
      <w:rPr>
        <w:rFonts w:hint="default"/>
        <w:b/>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22">
    <w:nsid w:val="268048B8"/>
    <w:multiLevelType w:val="multilevel"/>
    <w:tmpl w:val="B22850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9CA56ED"/>
    <w:multiLevelType w:val="hybridMultilevel"/>
    <w:tmpl w:val="F8905F4C"/>
    <w:lvl w:ilvl="0" w:tplc="765AF566">
      <w:start w:val="1"/>
      <w:numFmt w:val="decimal"/>
      <w:lvlText w:val="%1)"/>
      <w:lvlJc w:val="left"/>
      <w:pPr>
        <w:ind w:left="720" w:hanging="360"/>
      </w:pPr>
      <w:rPr>
        <w:rFonts w:hint="default"/>
        <w:b w: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4">
    <w:nsid w:val="2A2A3781"/>
    <w:multiLevelType w:val="hybridMultilevel"/>
    <w:tmpl w:val="414C6E98"/>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5">
    <w:nsid w:val="2A4B3D8F"/>
    <w:multiLevelType w:val="multilevel"/>
    <w:tmpl w:val="88E64D20"/>
    <w:lvl w:ilvl="0">
      <w:start w:val="5"/>
      <w:numFmt w:val="decimal"/>
      <w:lvlText w:val="%1."/>
      <w:lvlJc w:val="left"/>
      <w:pPr>
        <w:ind w:left="540" w:hanging="540"/>
      </w:pPr>
      <w:rPr>
        <w:rFonts w:hint="default"/>
      </w:rPr>
    </w:lvl>
    <w:lvl w:ilvl="1">
      <w:start w:val="3"/>
      <w:numFmt w:val="decimal"/>
      <w:lvlText w:val="%1.%2."/>
      <w:lvlJc w:val="left"/>
      <w:pPr>
        <w:ind w:left="1254" w:hanging="540"/>
      </w:pPr>
      <w:rPr>
        <w:rFonts w:hint="default"/>
      </w:rPr>
    </w:lvl>
    <w:lvl w:ilvl="2">
      <w:start w:val="3"/>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6">
    <w:nsid w:val="2AF4049F"/>
    <w:multiLevelType w:val="hybridMultilevel"/>
    <w:tmpl w:val="DCA2E1B8"/>
    <w:lvl w:ilvl="0" w:tplc="081A0011">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7">
    <w:nsid w:val="2F39605C"/>
    <w:multiLevelType w:val="hybridMultilevel"/>
    <w:tmpl w:val="D9A87DB0"/>
    <w:lvl w:ilvl="0" w:tplc="081A0001">
      <w:start w:val="1"/>
      <w:numFmt w:val="bullet"/>
      <w:lvlText w:val=""/>
      <w:lvlJc w:val="left"/>
      <w:pPr>
        <w:ind w:left="1410" w:hanging="360"/>
      </w:pPr>
      <w:rPr>
        <w:rFonts w:ascii="Symbol" w:hAnsi="Symbol" w:hint="default"/>
      </w:rPr>
    </w:lvl>
    <w:lvl w:ilvl="1" w:tplc="081A0003" w:tentative="1">
      <w:start w:val="1"/>
      <w:numFmt w:val="bullet"/>
      <w:lvlText w:val="o"/>
      <w:lvlJc w:val="left"/>
      <w:pPr>
        <w:ind w:left="2130" w:hanging="360"/>
      </w:pPr>
      <w:rPr>
        <w:rFonts w:ascii="Courier New" w:hAnsi="Courier New" w:cs="Courier New" w:hint="default"/>
      </w:rPr>
    </w:lvl>
    <w:lvl w:ilvl="2" w:tplc="081A0005" w:tentative="1">
      <w:start w:val="1"/>
      <w:numFmt w:val="bullet"/>
      <w:lvlText w:val=""/>
      <w:lvlJc w:val="left"/>
      <w:pPr>
        <w:ind w:left="2850" w:hanging="360"/>
      </w:pPr>
      <w:rPr>
        <w:rFonts w:ascii="Wingdings" w:hAnsi="Wingdings" w:hint="default"/>
      </w:rPr>
    </w:lvl>
    <w:lvl w:ilvl="3" w:tplc="081A0001" w:tentative="1">
      <w:start w:val="1"/>
      <w:numFmt w:val="bullet"/>
      <w:lvlText w:val=""/>
      <w:lvlJc w:val="left"/>
      <w:pPr>
        <w:ind w:left="3570" w:hanging="360"/>
      </w:pPr>
      <w:rPr>
        <w:rFonts w:ascii="Symbol" w:hAnsi="Symbol" w:hint="default"/>
      </w:rPr>
    </w:lvl>
    <w:lvl w:ilvl="4" w:tplc="081A0003" w:tentative="1">
      <w:start w:val="1"/>
      <w:numFmt w:val="bullet"/>
      <w:lvlText w:val="o"/>
      <w:lvlJc w:val="left"/>
      <w:pPr>
        <w:ind w:left="4290" w:hanging="360"/>
      </w:pPr>
      <w:rPr>
        <w:rFonts w:ascii="Courier New" w:hAnsi="Courier New" w:cs="Courier New" w:hint="default"/>
      </w:rPr>
    </w:lvl>
    <w:lvl w:ilvl="5" w:tplc="081A0005" w:tentative="1">
      <w:start w:val="1"/>
      <w:numFmt w:val="bullet"/>
      <w:lvlText w:val=""/>
      <w:lvlJc w:val="left"/>
      <w:pPr>
        <w:ind w:left="5010" w:hanging="360"/>
      </w:pPr>
      <w:rPr>
        <w:rFonts w:ascii="Wingdings" w:hAnsi="Wingdings" w:hint="default"/>
      </w:rPr>
    </w:lvl>
    <w:lvl w:ilvl="6" w:tplc="081A0001" w:tentative="1">
      <w:start w:val="1"/>
      <w:numFmt w:val="bullet"/>
      <w:lvlText w:val=""/>
      <w:lvlJc w:val="left"/>
      <w:pPr>
        <w:ind w:left="5730" w:hanging="360"/>
      </w:pPr>
      <w:rPr>
        <w:rFonts w:ascii="Symbol" w:hAnsi="Symbol" w:hint="default"/>
      </w:rPr>
    </w:lvl>
    <w:lvl w:ilvl="7" w:tplc="081A0003" w:tentative="1">
      <w:start w:val="1"/>
      <w:numFmt w:val="bullet"/>
      <w:lvlText w:val="o"/>
      <w:lvlJc w:val="left"/>
      <w:pPr>
        <w:ind w:left="6450" w:hanging="360"/>
      </w:pPr>
      <w:rPr>
        <w:rFonts w:ascii="Courier New" w:hAnsi="Courier New" w:cs="Courier New" w:hint="default"/>
      </w:rPr>
    </w:lvl>
    <w:lvl w:ilvl="8" w:tplc="081A0005" w:tentative="1">
      <w:start w:val="1"/>
      <w:numFmt w:val="bullet"/>
      <w:lvlText w:val=""/>
      <w:lvlJc w:val="left"/>
      <w:pPr>
        <w:ind w:left="7170" w:hanging="360"/>
      </w:pPr>
      <w:rPr>
        <w:rFonts w:ascii="Wingdings" w:hAnsi="Wingdings" w:hint="default"/>
      </w:rPr>
    </w:lvl>
  </w:abstractNum>
  <w:abstractNum w:abstractNumId="28">
    <w:nsid w:val="35BC225F"/>
    <w:multiLevelType w:val="hybridMultilevel"/>
    <w:tmpl w:val="C2129DCC"/>
    <w:lvl w:ilvl="0" w:tplc="081A0001">
      <w:start w:val="1"/>
      <w:numFmt w:val="bullet"/>
      <w:lvlText w:val=""/>
      <w:lvlJc w:val="left"/>
      <w:pPr>
        <w:ind w:left="1350" w:hanging="360"/>
      </w:pPr>
      <w:rPr>
        <w:rFonts w:ascii="Symbol" w:hAnsi="Symbol" w:hint="default"/>
      </w:rPr>
    </w:lvl>
    <w:lvl w:ilvl="1" w:tplc="081A0003" w:tentative="1">
      <w:start w:val="1"/>
      <w:numFmt w:val="bullet"/>
      <w:lvlText w:val="o"/>
      <w:lvlJc w:val="left"/>
      <w:pPr>
        <w:ind w:left="2070" w:hanging="360"/>
      </w:pPr>
      <w:rPr>
        <w:rFonts w:ascii="Courier New" w:hAnsi="Courier New" w:cs="Courier New" w:hint="default"/>
      </w:rPr>
    </w:lvl>
    <w:lvl w:ilvl="2" w:tplc="081A0005" w:tentative="1">
      <w:start w:val="1"/>
      <w:numFmt w:val="bullet"/>
      <w:lvlText w:val=""/>
      <w:lvlJc w:val="left"/>
      <w:pPr>
        <w:ind w:left="2790" w:hanging="360"/>
      </w:pPr>
      <w:rPr>
        <w:rFonts w:ascii="Wingdings" w:hAnsi="Wingdings" w:hint="default"/>
      </w:rPr>
    </w:lvl>
    <w:lvl w:ilvl="3" w:tplc="081A0001" w:tentative="1">
      <w:start w:val="1"/>
      <w:numFmt w:val="bullet"/>
      <w:lvlText w:val=""/>
      <w:lvlJc w:val="left"/>
      <w:pPr>
        <w:ind w:left="3510" w:hanging="360"/>
      </w:pPr>
      <w:rPr>
        <w:rFonts w:ascii="Symbol" w:hAnsi="Symbol" w:hint="default"/>
      </w:rPr>
    </w:lvl>
    <w:lvl w:ilvl="4" w:tplc="081A0003" w:tentative="1">
      <w:start w:val="1"/>
      <w:numFmt w:val="bullet"/>
      <w:lvlText w:val="o"/>
      <w:lvlJc w:val="left"/>
      <w:pPr>
        <w:ind w:left="4230" w:hanging="360"/>
      </w:pPr>
      <w:rPr>
        <w:rFonts w:ascii="Courier New" w:hAnsi="Courier New" w:cs="Courier New" w:hint="default"/>
      </w:rPr>
    </w:lvl>
    <w:lvl w:ilvl="5" w:tplc="081A0005" w:tentative="1">
      <w:start w:val="1"/>
      <w:numFmt w:val="bullet"/>
      <w:lvlText w:val=""/>
      <w:lvlJc w:val="left"/>
      <w:pPr>
        <w:ind w:left="4950" w:hanging="360"/>
      </w:pPr>
      <w:rPr>
        <w:rFonts w:ascii="Wingdings" w:hAnsi="Wingdings" w:hint="default"/>
      </w:rPr>
    </w:lvl>
    <w:lvl w:ilvl="6" w:tplc="081A0001" w:tentative="1">
      <w:start w:val="1"/>
      <w:numFmt w:val="bullet"/>
      <w:lvlText w:val=""/>
      <w:lvlJc w:val="left"/>
      <w:pPr>
        <w:ind w:left="5670" w:hanging="360"/>
      </w:pPr>
      <w:rPr>
        <w:rFonts w:ascii="Symbol" w:hAnsi="Symbol" w:hint="default"/>
      </w:rPr>
    </w:lvl>
    <w:lvl w:ilvl="7" w:tplc="081A0003" w:tentative="1">
      <w:start w:val="1"/>
      <w:numFmt w:val="bullet"/>
      <w:lvlText w:val="o"/>
      <w:lvlJc w:val="left"/>
      <w:pPr>
        <w:ind w:left="6390" w:hanging="360"/>
      </w:pPr>
      <w:rPr>
        <w:rFonts w:ascii="Courier New" w:hAnsi="Courier New" w:cs="Courier New" w:hint="default"/>
      </w:rPr>
    </w:lvl>
    <w:lvl w:ilvl="8" w:tplc="081A0005" w:tentative="1">
      <w:start w:val="1"/>
      <w:numFmt w:val="bullet"/>
      <w:lvlText w:val=""/>
      <w:lvlJc w:val="left"/>
      <w:pPr>
        <w:ind w:left="7110" w:hanging="360"/>
      </w:pPr>
      <w:rPr>
        <w:rFonts w:ascii="Wingdings" w:hAnsi="Wingdings" w:hint="default"/>
      </w:rPr>
    </w:lvl>
  </w:abstractNum>
  <w:abstractNum w:abstractNumId="29">
    <w:nsid w:val="35D91232"/>
    <w:multiLevelType w:val="hybridMultilevel"/>
    <w:tmpl w:val="CF322CBA"/>
    <w:lvl w:ilvl="0" w:tplc="0254BEF2">
      <w:start w:val="1"/>
      <w:numFmt w:val="decimal"/>
      <w:lvlText w:val="%1)"/>
      <w:lvlJc w:val="left"/>
      <w:pPr>
        <w:ind w:left="1080" w:hanging="360"/>
      </w:pPr>
      <w:rPr>
        <w:rFonts w:hint="default"/>
      </w:rPr>
    </w:lvl>
    <w:lvl w:ilvl="1" w:tplc="081A0019" w:tentative="1">
      <w:start w:val="1"/>
      <w:numFmt w:val="lowerLetter"/>
      <w:lvlText w:val="%2."/>
      <w:lvlJc w:val="left"/>
      <w:pPr>
        <w:ind w:left="1800" w:hanging="360"/>
      </w:pPr>
    </w:lvl>
    <w:lvl w:ilvl="2" w:tplc="081A001B" w:tentative="1">
      <w:start w:val="1"/>
      <w:numFmt w:val="lowerRoman"/>
      <w:lvlText w:val="%3."/>
      <w:lvlJc w:val="right"/>
      <w:pPr>
        <w:ind w:left="2520" w:hanging="180"/>
      </w:pPr>
    </w:lvl>
    <w:lvl w:ilvl="3" w:tplc="081A000F" w:tentative="1">
      <w:start w:val="1"/>
      <w:numFmt w:val="decimal"/>
      <w:lvlText w:val="%4."/>
      <w:lvlJc w:val="left"/>
      <w:pPr>
        <w:ind w:left="3240" w:hanging="360"/>
      </w:pPr>
    </w:lvl>
    <w:lvl w:ilvl="4" w:tplc="081A0019" w:tentative="1">
      <w:start w:val="1"/>
      <w:numFmt w:val="lowerLetter"/>
      <w:lvlText w:val="%5."/>
      <w:lvlJc w:val="left"/>
      <w:pPr>
        <w:ind w:left="3960" w:hanging="360"/>
      </w:pPr>
    </w:lvl>
    <w:lvl w:ilvl="5" w:tplc="081A001B" w:tentative="1">
      <w:start w:val="1"/>
      <w:numFmt w:val="lowerRoman"/>
      <w:lvlText w:val="%6."/>
      <w:lvlJc w:val="right"/>
      <w:pPr>
        <w:ind w:left="4680" w:hanging="180"/>
      </w:pPr>
    </w:lvl>
    <w:lvl w:ilvl="6" w:tplc="081A000F" w:tentative="1">
      <w:start w:val="1"/>
      <w:numFmt w:val="decimal"/>
      <w:lvlText w:val="%7."/>
      <w:lvlJc w:val="left"/>
      <w:pPr>
        <w:ind w:left="5400" w:hanging="360"/>
      </w:pPr>
    </w:lvl>
    <w:lvl w:ilvl="7" w:tplc="081A0019" w:tentative="1">
      <w:start w:val="1"/>
      <w:numFmt w:val="lowerLetter"/>
      <w:lvlText w:val="%8."/>
      <w:lvlJc w:val="left"/>
      <w:pPr>
        <w:ind w:left="6120" w:hanging="360"/>
      </w:pPr>
    </w:lvl>
    <w:lvl w:ilvl="8" w:tplc="081A001B" w:tentative="1">
      <w:start w:val="1"/>
      <w:numFmt w:val="lowerRoman"/>
      <w:lvlText w:val="%9."/>
      <w:lvlJc w:val="right"/>
      <w:pPr>
        <w:ind w:left="6840" w:hanging="180"/>
      </w:pPr>
    </w:lvl>
  </w:abstractNum>
  <w:abstractNum w:abstractNumId="30">
    <w:nsid w:val="37A43B25"/>
    <w:multiLevelType w:val="hybridMultilevel"/>
    <w:tmpl w:val="5406D61A"/>
    <w:lvl w:ilvl="0" w:tplc="081A0001">
      <w:start w:val="1"/>
      <w:numFmt w:val="bullet"/>
      <w:lvlText w:val=""/>
      <w:lvlJc w:val="left"/>
      <w:pPr>
        <w:ind w:left="1350" w:hanging="360"/>
      </w:pPr>
      <w:rPr>
        <w:rFonts w:ascii="Symbol" w:hAnsi="Symbol" w:hint="default"/>
      </w:rPr>
    </w:lvl>
    <w:lvl w:ilvl="1" w:tplc="081A0003" w:tentative="1">
      <w:start w:val="1"/>
      <w:numFmt w:val="bullet"/>
      <w:lvlText w:val="o"/>
      <w:lvlJc w:val="left"/>
      <w:pPr>
        <w:ind w:left="2070" w:hanging="360"/>
      </w:pPr>
      <w:rPr>
        <w:rFonts w:ascii="Courier New" w:hAnsi="Courier New" w:cs="Courier New" w:hint="default"/>
      </w:rPr>
    </w:lvl>
    <w:lvl w:ilvl="2" w:tplc="081A0005" w:tentative="1">
      <w:start w:val="1"/>
      <w:numFmt w:val="bullet"/>
      <w:lvlText w:val=""/>
      <w:lvlJc w:val="left"/>
      <w:pPr>
        <w:ind w:left="2790" w:hanging="360"/>
      </w:pPr>
      <w:rPr>
        <w:rFonts w:ascii="Wingdings" w:hAnsi="Wingdings" w:hint="default"/>
      </w:rPr>
    </w:lvl>
    <w:lvl w:ilvl="3" w:tplc="081A0001" w:tentative="1">
      <w:start w:val="1"/>
      <w:numFmt w:val="bullet"/>
      <w:lvlText w:val=""/>
      <w:lvlJc w:val="left"/>
      <w:pPr>
        <w:ind w:left="3510" w:hanging="360"/>
      </w:pPr>
      <w:rPr>
        <w:rFonts w:ascii="Symbol" w:hAnsi="Symbol" w:hint="default"/>
      </w:rPr>
    </w:lvl>
    <w:lvl w:ilvl="4" w:tplc="081A0003" w:tentative="1">
      <w:start w:val="1"/>
      <w:numFmt w:val="bullet"/>
      <w:lvlText w:val="o"/>
      <w:lvlJc w:val="left"/>
      <w:pPr>
        <w:ind w:left="4230" w:hanging="360"/>
      </w:pPr>
      <w:rPr>
        <w:rFonts w:ascii="Courier New" w:hAnsi="Courier New" w:cs="Courier New" w:hint="default"/>
      </w:rPr>
    </w:lvl>
    <w:lvl w:ilvl="5" w:tplc="081A0005" w:tentative="1">
      <w:start w:val="1"/>
      <w:numFmt w:val="bullet"/>
      <w:lvlText w:val=""/>
      <w:lvlJc w:val="left"/>
      <w:pPr>
        <w:ind w:left="4950" w:hanging="360"/>
      </w:pPr>
      <w:rPr>
        <w:rFonts w:ascii="Wingdings" w:hAnsi="Wingdings" w:hint="default"/>
      </w:rPr>
    </w:lvl>
    <w:lvl w:ilvl="6" w:tplc="081A0001" w:tentative="1">
      <w:start w:val="1"/>
      <w:numFmt w:val="bullet"/>
      <w:lvlText w:val=""/>
      <w:lvlJc w:val="left"/>
      <w:pPr>
        <w:ind w:left="5670" w:hanging="360"/>
      </w:pPr>
      <w:rPr>
        <w:rFonts w:ascii="Symbol" w:hAnsi="Symbol" w:hint="default"/>
      </w:rPr>
    </w:lvl>
    <w:lvl w:ilvl="7" w:tplc="081A0003" w:tentative="1">
      <w:start w:val="1"/>
      <w:numFmt w:val="bullet"/>
      <w:lvlText w:val="o"/>
      <w:lvlJc w:val="left"/>
      <w:pPr>
        <w:ind w:left="6390" w:hanging="360"/>
      </w:pPr>
      <w:rPr>
        <w:rFonts w:ascii="Courier New" w:hAnsi="Courier New" w:cs="Courier New" w:hint="default"/>
      </w:rPr>
    </w:lvl>
    <w:lvl w:ilvl="8" w:tplc="081A0005" w:tentative="1">
      <w:start w:val="1"/>
      <w:numFmt w:val="bullet"/>
      <w:lvlText w:val=""/>
      <w:lvlJc w:val="left"/>
      <w:pPr>
        <w:ind w:left="7110" w:hanging="360"/>
      </w:pPr>
      <w:rPr>
        <w:rFonts w:ascii="Wingdings" w:hAnsi="Wingdings" w:hint="default"/>
      </w:rPr>
    </w:lvl>
  </w:abstractNum>
  <w:abstractNum w:abstractNumId="31">
    <w:nsid w:val="37D23228"/>
    <w:multiLevelType w:val="hybridMultilevel"/>
    <w:tmpl w:val="3234741A"/>
    <w:lvl w:ilvl="0" w:tplc="93663B88">
      <w:start w:val="1"/>
      <w:numFmt w:val="decimal"/>
      <w:lvlText w:val="%1)"/>
      <w:lvlJc w:val="left"/>
      <w:pPr>
        <w:ind w:left="1080" w:hanging="360"/>
      </w:pPr>
      <w:rPr>
        <w:rFonts w:hint="default"/>
      </w:rPr>
    </w:lvl>
    <w:lvl w:ilvl="1" w:tplc="081A0019" w:tentative="1">
      <w:start w:val="1"/>
      <w:numFmt w:val="lowerLetter"/>
      <w:lvlText w:val="%2."/>
      <w:lvlJc w:val="left"/>
      <w:pPr>
        <w:ind w:left="1800" w:hanging="360"/>
      </w:pPr>
    </w:lvl>
    <w:lvl w:ilvl="2" w:tplc="081A001B" w:tentative="1">
      <w:start w:val="1"/>
      <w:numFmt w:val="lowerRoman"/>
      <w:lvlText w:val="%3."/>
      <w:lvlJc w:val="right"/>
      <w:pPr>
        <w:ind w:left="2520" w:hanging="180"/>
      </w:pPr>
    </w:lvl>
    <w:lvl w:ilvl="3" w:tplc="081A000F" w:tentative="1">
      <w:start w:val="1"/>
      <w:numFmt w:val="decimal"/>
      <w:lvlText w:val="%4."/>
      <w:lvlJc w:val="left"/>
      <w:pPr>
        <w:ind w:left="3240" w:hanging="360"/>
      </w:pPr>
    </w:lvl>
    <w:lvl w:ilvl="4" w:tplc="081A0019" w:tentative="1">
      <w:start w:val="1"/>
      <w:numFmt w:val="lowerLetter"/>
      <w:lvlText w:val="%5."/>
      <w:lvlJc w:val="left"/>
      <w:pPr>
        <w:ind w:left="3960" w:hanging="360"/>
      </w:pPr>
    </w:lvl>
    <w:lvl w:ilvl="5" w:tplc="081A001B" w:tentative="1">
      <w:start w:val="1"/>
      <w:numFmt w:val="lowerRoman"/>
      <w:lvlText w:val="%6."/>
      <w:lvlJc w:val="right"/>
      <w:pPr>
        <w:ind w:left="4680" w:hanging="180"/>
      </w:pPr>
    </w:lvl>
    <w:lvl w:ilvl="6" w:tplc="081A000F" w:tentative="1">
      <w:start w:val="1"/>
      <w:numFmt w:val="decimal"/>
      <w:lvlText w:val="%7."/>
      <w:lvlJc w:val="left"/>
      <w:pPr>
        <w:ind w:left="5400" w:hanging="360"/>
      </w:pPr>
    </w:lvl>
    <w:lvl w:ilvl="7" w:tplc="081A0019" w:tentative="1">
      <w:start w:val="1"/>
      <w:numFmt w:val="lowerLetter"/>
      <w:lvlText w:val="%8."/>
      <w:lvlJc w:val="left"/>
      <w:pPr>
        <w:ind w:left="6120" w:hanging="360"/>
      </w:pPr>
    </w:lvl>
    <w:lvl w:ilvl="8" w:tplc="081A001B" w:tentative="1">
      <w:start w:val="1"/>
      <w:numFmt w:val="lowerRoman"/>
      <w:lvlText w:val="%9."/>
      <w:lvlJc w:val="right"/>
      <w:pPr>
        <w:ind w:left="6840" w:hanging="180"/>
      </w:pPr>
    </w:lvl>
  </w:abstractNum>
  <w:abstractNum w:abstractNumId="32">
    <w:nsid w:val="3864022D"/>
    <w:multiLevelType w:val="hybridMultilevel"/>
    <w:tmpl w:val="4EE41122"/>
    <w:lvl w:ilvl="0" w:tplc="081A0011">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33">
    <w:nsid w:val="3A592B8C"/>
    <w:multiLevelType w:val="hybridMultilevel"/>
    <w:tmpl w:val="9E4A1C5E"/>
    <w:lvl w:ilvl="0" w:tplc="081A0001">
      <w:start w:val="1"/>
      <w:numFmt w:val="bullet"/>
      <w:lvlText w:val=""/>
      <w:lvlJc w:val="left"/>
      <w:pPr>
        <w:ind w:left="1350" w:hanging="360"/>
      </w:pPr>
      <w:rPr>
        <w:rFonts w:ascii="Symbol" w:hAnsi="Symbol" w:hint="default"/>
      </w:rPr>
    </w:lvl>
    <w:lvl w:ilvl="1" w:tplc="081A0003" w:tentative="1">
      <w:start w:val="1"/>
      <w:numFmt w:val="bullet"/>
      <w:lvlText w:val="o"/>
      <w:lvlJc w:val="left"/>
      <w:pPr>
        <w:ind w:left="2070" w:hanging="360"/>
      </w:pPr>
      <w:rPr>
        <w:rFonts w:ascii="Courier New" w:hAnsi="Courier New" w:cs="Courier New" w:hint="default"/>
      </w:rPr>
    </w:lvl>
    <w:lvl w:ilvl="2" w:tplc="081A0005" w:tentative="1">
      <w:start w:val="1"/>
      <w:numFmt w:val="bullet"/>
      <w:lvlText w:val=""/>
      <w:lvlJc w:val="left"/>
      <w:pPr>
        <w:ind w:left="2790" w:hanging="360"/>
      </w:pPr>
      <w:rPr>
        <w:rFonts w:ascii="Wingdings" w:hAnsi="Wingdings" w:hint="default"/>
      </w:rPr>
    </w:lvl>
    <w:lvl w:ilvl="3" w:tplc="081A0001" w:tentative="1">
      <w:start w:val="1"/>
      <w:numFmt w:val="bullet"/>
      <w:lvlText w:val=""/>
      <w:lvlJc w:val="left"/>
      <w:pPr>
        <w:ind w:left="3510" w:hanging="360"/>
      </w:pPr>
      <w:rPr>
        <w:rFonts w:ascii="Symbol" w:hAnsi="Symbol" w:hint="default"/>
      </w:rPr>
    </w:lvl>
    <w:lvl w:ilvl="4" w:tplc="081A0003" w:tentative="1">
      <w:start w:val="1"/>
      <w:numFmt w:val="bullet"/>
      <w:lvlText w:val="o"/>
      <w:lvlJc w:val="left"/>
      <w:pPr>
        <w:ind w:left="4230" w:hanging="360"/>
      </w:pPr>
      <w:rPr>
        <w:rFonts w:ascii="Courier New" w:hAnsi="Courier New" w:cs="Courier New" w:hint="default"/>
      </w:rPr>
    </w:lvl>
    <w:lvl w:ilvl="5" w:tplc="081A0005" w:tentative="1">
      <w:start w:val="1"/>
      <w:numFmt w:val="bullet"/>
      <w:lvlText w:val=""/>
      <w:lvlJc w:val="left"/>
      <w:pPr>
        <w:ind w:left="4950" w:hanging="360"/>
      </w:pPr>
      <w:rPr>
        <w:rFonts w:ascii="Wingdings" w:hAnsi="Wingdings" w:hint="default"/>
      </w:rPr>
    </w:lvl>
    <w:lvl w:ilvl="6" w:tplc="081A0001" w:tentative="1">
      <w:start w:val="1"/>
      <w:numFmt w:val="bullet"/>
      <w:lvlText w:val=""/>
      <w:lvlJc w:val="left"/>
      <w:pPr>
        <w:ind w:left="5670" w:hanging="360"/>
      </w:pPr>
      <w:rPr>
        <w:rFonts w:ascii="Symbol" w:hAnsi="Symbol" w:hint="default"/>
      </w:rPr>
    </w:lvl>
    <w:lvl w:ilvl="7" w:tplc="081A0003" w:tentative="1">
      <w:start w:val="1"/>
      <w:numFmt w:val="bullet"/>
      <w:lvlText w:val="o"/>
      <w:lvlJc w:val="left"/>
      <w:pPr>
        <w:ind w:left="6390" w:hanging="360"/>
      </w:pPr>
      <w:rPr>
        <w:rFonts w:ascii="Courier New" w:hAnsi="Courier New" w:cs="Courier New" w:hint="default"/>
      </w:rPr>
    </w:lvl>
    <w:lvl w:ilvl="8" w:tplc="081A0005" w:tentative="1">
      <w:start w:val="1"/>
      <w:numFmt w:val="bullet"/>
      <w:lvlText w:val=""/>
      <w:lvlJc w:val="left"/>
      <w:pPr>
        <w:ind w:left="7110" w:hanging="360"/>
      </w:pPr>
      <w:rPr>
        <w:rFonts w:ascii="Wingdings" w:hAnsi="Wingdings" w:hint="default"/>
      </w:rPr>
    </w:lvl>
  </w:abstractNum>
  <w:abstractNum w:abstractNumId="34">
    <w:nsid w:val="3A6F68E3"/>
    <w:multiLevelType w:val="hybridMultilevel"/>
    <w:tmpl w:val="3A4CECDE"/>
    <w:lvl w:ilvl="0" w:tplc="081A0001">
      <w:start w:val="1"/>
      <w:numFmt w:val="bullet"/>
      <w:lvlText w:val=""/>
      <w:lvlJc w:val="left"/>
      <w:pPr>
        <w:ind w:left="1350" w:hanging="360"/>
      </w:pPr>
      <w:rPr>
        <w:rFonts w:ascii="Symbol" w:hAnsi="Symbol" w:hint="default"/>
      </w:rPr>
    </w:lvl>
    <w:lvl w:ilvl="1" w:tplc="081A0003" w:tentative="1">
      <w:start w:val="1"/>
      <w:numFmt w:val="bullet"/>
      <w:lvlText w:val="o"/>
      <w:lvlJc w:val="left"/>
      <w:pPr>
        <w:ind w:left="2070" w:hanging="360"/>
      </w:pPr>
      <w:rPr>
        <w:rFonts w:ascii="Courier New" w:hAnsi="Courier New" w:cs="Courier New" w:hint="default"/>
      </w:rPr>
    </w:lvl>
    <w:lvl w:ilvl="2" w:tplc="081A0005" w:tentative="1">
      <w:start w:val="1"/>
      <w:numFmt w:val="bullet"/>
      <w:lvlText w:val=""/>
      <w:lvlJc w:val="left"/>
      <w:pPr>
        <w:ind w:left="2790" w:hanging="360"/>
      </w:pPr>
      <w:rPr>
        <w:rFonts w:ascii="Wingdings" w:hAnsi="Wingdings" w:hint="default"/>
      </w:rPr>
    </w:lvl>
    <w:lvl w:ilvl="3" w:tplc="081A0001" w:tentative="1">
      <w:start w:val="1"/>
      <w:numFmt w:val="bullet"/>
      <w:lvlText w:val=""/>
      <w:lvlJc w:val="left"/>
      <w:pPr>
        <w:ind w:left="3510" w:hanging="360"/>
      </w:pPr>
      <w:rPr>
        <w:rFonts w:ascii="Symbol" w:hAnsi="Symbol" w:hint="default"/>
      </w:rPr>
    </w:lvl>
    <w:lvl w:ilvl="4" w:tplc="081A0003" w:tentative="1">
      <w:start w:val="1"/>
      <w:numFmt w:val="bullet"/>
      <w:lvlText w:val="o"/>
      <w:lvlJc w:val="left"/>
      <w:pPr>
        <w:ind w:left="4230" w:hanging="360"/>
      </w:pPr>
      <w:rPr>
        <w:rFonts w:ascii="Courier New" w:hAnsi="Courier New" w:cs="Courier New" w:hint="default"/>
      </w:rPr>
    </w:lvl>
    <w:lvl w:ilvl="5" w:tplc="081A0005" w:tentative="1">
      <w:start w:val="1"/>
      <w:numFmt w:val="bullet"/>
      <w:lvlText w:val=""/>
      <w:lvlJc w:val="left"/>
      <w:pPr>
        <w:ind w:left="4950" w:hanging="360"/>
      </w:pPr>
      <w:rPr>
        <w:rFonts w:ascii="Wingdings" w:hAnsi="Wingdings" w:hint="default"/>
      </w:rPr>
    </w:lvl>
    <w:lvl w:ilvl="6" w:tplc="081A0001" w:tentative="1">
      <w:start w:val="1"/>
      <w:numFmt w:val="bullet"/>
      <w:lvlText w:val=""/>
      <w:lvlJc w:val="left"/>
      <w:pPr>
        <w:ind w:left="5670" w:hanging="360"/>
      </w:pPr>
      <w:rPr>
        <w:rFonts w:ascii="Symbol" w:hAnsi="Symbol" w:hint="default"/>
      </w:rPr>
    </w:lvl>
    <w:lvl w:ilvl="7" w:tplc="081A0003" w:tentative="1">
      <w:start w:val="1"/>
      <w:numFmt w:val="bullet"/>
      <w:lvlText w:val="o"/>
      <w:lvlJc w:val="left"/>
      <w:pPr>
        <w:ind w:left="6390" w:hanging="360"/>
      </w:pPr>
      <w:rPr>
        <w:rFonts w:ascii="Courier New" w:hAnsi="Courier New" w:cs="Courier New" w:hint="default"/>
      </w:rPr>
    </w:lvl>
    <w:lvl w:ilvl="8" w:tplc="081A0005" w:tentative="1">
      <w:start w:val="1"/>
      <w:numFmt w:val="bullet"/>
      <w:lvlText w:val=""/>
      <w:lvlJc w:val="left"/>
      <w:pPr>
        <w:ind w:left="7110" w:hanging="360"/>
      </w:pPr>
      <w:rPr>
        <w:rFonts w:ascii="Wingdings" w:hAnsi="Wingdings" w:hint="default"/>
      </w:rPr>
    </w:lvl>
  </w:abstractNum>
  <w:abstractNum w:abstractNumId="35">
    <w:nsid w:val="40AE0210"/>
    <w:multiLevelType w:val="hybridMultilevel"/>
    <w:tmpl w:val="A56EE3D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36">
    <w:nsid w:val="43C06BFB"/>
    <w:multiLevelType w:val="hybridMultilevel"/>
    <w:tmpl w:val="C2862C70"/>
    <w:lvl w:ilvl="0" w:tplc="3F225D82">
      <w:start w:val="1"/>
      <w:numFmt w:val="decimal"/>
      <w:lvlText w:val="%1."/>
      <w:lvlJc w:val="left"/>
      <w:pPr>
        <w:ind w:left="990" w:hanging="360"/>
      </w:pPr>
      <w:rPr>
        <w:rFonts w:hint="default"/>
      </w:rPr>
    </w:lvl>
    <w:lvl w:ilvl="1" w:tplc="081A0019" w:tentative="1">
      <w:start w:val="1"/>
      <w:numFmt w:val="lowerLetter"/>
      <w:lvlText w:val="%2."/>
      <w:lvlJc w:val="left"/>
      <w:pPr>
        <w:ind w:left="1710" w:hanging="360"/>
      </w:pPr>
    </w:lvl>
    <w:lvl w:ilvl="2" w:tplc="081A001B" w:tentative="1">
      <w:start w:val="1"/>
      <w:numFmt w:val="lowerRoman"/>
      <w:lvlText w:val="%3."/>
      <w:lvlJc w:val="right"/>
      <w:pPr>
        <w:ind w:left="2430" w:hanging="180"/>
      </w:pPr>
    </w:lvl>
    <w:lvl w:ilvl="3" w:tplc="081A000F" w:tentative="1">
      <w:start w:val="1"/>
      <w:numFmt w:val="decimal"/>
      <w:lvlText w:val="%4."/>
      <w:lvlJc w:val="left"/>
      <w:pPr>
        <w:ind w:left="3150" w:hanging="360"/>
      </w:pPr>
    </w:lvl>
    <w:lvl w:ilvl="4" w:tplc="081A0019" w:tentative="1">
      <w:start w:val="1"/>
      <w:numFmt w:val="lowerLetter"/>
      <w:lvlText w:val="%5."/>
      <w:lvlJc w:val="left"/>
      <w:pPr>
        <w:ind w:left="3870" w:hanging="360"/>
      </w:pPr>
    </w:lvl>
    <w:lvl w:ilvl="5" w:tplc="081A001B" w:tentative="1">
      <w:start w:val="1"/>
      <w:numFmt w:val="lowerRoman"/>
      <w:lvlText w:val="%6."/>
      <w:lvlJc w:val="right"/>
      <w:pPr>
        <w:ind w:left="4590" w:hanging="180"/>
      </w:pPr>
    </w:lvl>
    <w:lvl w:ilvl="6" w:tplc="081A000F" w:tentative="1">
      <w:start w:val="1"/>
      <w:numFmt w:val="decimal"/>
      <w:lvlText w:val="%7."/>
      <w:lvlJc w:val="left"/>
      <w:pPr>
        <w:ind w:left="5310" w:hanging="360"/>
      </w:pPr>
    </w:lvl>
    <w:lvl w:ilvl="7" w:tplc="081A0019" w:tentative="1">
      <w:start w:val="1"/>
      <w:numFmt w:val="lowerLetter"/>
      <w:lvlText w:val="%8."/>
      <w:lvlJc w:val="left"/>
      <w:pPr>
        <w:ind w:left="6030" w:hanging="360"/>
      </w:pPr>
    </w:lvl>
    <w:lvl w:ilvl="8" w:tplc="081A001B" w:tentative="1">
      <w:start w:val="1"/>
      <w:numFmt w:val="lowerRoman"/>
      <w:lvlText w:val="%9."/>
      <w:lvlJc w:val="right"/>
      <w:pPr>
        <w:ind w:left="6750" w:hanging="180"/>
      </w:pPr>
    </w:lvl>
  </w:abstractNum>
  <w:abstractNum w:abstractNumId="37">
    <w:nsid w:val="44D15BF2"/>
    <w:multiLevelType w:val="hybridMultilevel"/>
    <w:tmpl w:val="86945B92"/>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38">
    <w:nsid w:val="457C5A56"/>
    <w:multiLevelType w:val="multilevel"/>
    <w:tmpl w:val="1FE4E6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8C43C0B"/>
    <w:multiLevelType w:val="hybridMultilevel"/>
    <w:tmpl w:val="45403DEE"/>
    <w:lvl w:ilvl="0" w:tplc="081A0001">
      <w:start w:val="1"/>
      <w:numFmt w:val="bullet"/>
      <w:lvlText w:val=""/>
      <w:lvlJc w:val="left"/>
      <w:pPr>
        <w:ind w:left="1350" w:hanging="360"/>
      </w:pPr>
      <w:rPr>
        <w:rFonts w:ascii="Symbol" w:hAnsi="Symbol" w:hint="default"/>
      </w:rPr>
    </w:lvl>
    <w:lvl w:ilvl="1" w:tplc="081A0003" w:tentative="1">
      <w:start w:val="1"/>
      <w:numFmt w:val="bullet"/>
      <w:lvlText w:val="o"/>
      <w:lvlJc w:val="left"/>
      <w:pPr>
        <w:ind w:left="2070" w:hanging="360"/>
      </w:pPr>
      <w:rPr>
        <w:rFonts w:ascii="Courier New" w:hAnsi="Courier New" w:cs="Courier New" w:hint="default"/>
      </w:rPr>
    </w:lvl>
    <w:lvl w:ilvl="2" w:tplc="081A0005" w:tentative="1">
      <w:start w:val="1"/>
      <w:numFmt w:val="bullet"/>
      <w:lvlText w:val=""/>
      <w:lvlJc w:val="left"/>
      <w:pPr>
        <w:ind w:left="2790" w:hanging="360"/>
      </w:pPr>
      <w:rPr>
        <w:rFonts w:ascii="Wingdings" w:hAnsi="Wingdings" w:hint="default"/>
      </w:rPr>
    </w:lvl>
    <w:lvl w:ilvl="3" w:tplc="081A0001" w:tentative="1">
      <w:start w:val="1"/>
      <w:numFmt w:val="bullet"/>
      <w:lvlText w:val=""/>
      <w:lvlJc w:val="left"/>
      <w:pPr>
        <w:ind w:left="3510" w:hanging="360"/>
      </w:pPr>
      <w:rPr>
        <w:rFonts w:ascii="Symbol" w:hAnsi="Symbol" w:hint="default"/>
      </w:rPr>
    </w:lvl>
    <w:lvl w:ilvl="4" w:tplc="081A0003" w:tentative="1">
      <w:start w:val="1"/>
      <w:numFmt w:val="bullet"/>
      <w:lvlText w:val="o"/>
      <w:lvlJc w:val="left"/>
      <w:pPr>
        <w:ind w:left="4230" w:hanging="360"/>
      </w:pPr>
      <w:rPr>
        <w:rFonts w:ascii="Courier New" w:hAnsi="Courier New" w:cs="Courier New" w:hint="default"/>
      </w:rPr>
    </w:lvl>
    <w:lvl w:ilvl="5" w:tplc="081A0005" w:tentative="1">
      <w:start w:val="1"/>
      <w:numFmt w:val="bullet"/>
      <w:lvlText w:val=""/>
      <w:lvlJc w:val="left"/>
      <w:pPr>
        <w:ind w:left="4950" w:hanging="360"/>
      </w:pPr>
      <w:rPr>
        <w:rFonts w:ascii="Wingdings" w:hAnsi="Wingdings" w:hint="default"/>
      </w:rPr>
    </w:lvl>
    <w:lvl w:ilvl="6" w:tplc="081A0001" w:tentative="1">
      <w:start w:val="1"/>
      <w:numFmt w:val="bullet"/>
      <w:lvlText w:val=""/>
      <w:lvlJc w:val="left"/>
      <w:pPr>
        <w:ind w:left="5670" w:hanging="360"/>
      </w:pPr>
      <w:rPr>
        <w:rFonts w:ascii="Symbol" w:hAnsi="Symbol" w:hint="default"/>
      </w:rPr>
    </w:lvl>
    <w:lvl w:ilvl="7" w:tplc="081A0003" w:tentative="1">
      <w:start w:val="1"/>
      <w:numFmt w:val="bullet"/>
      <w:lvlText w:val="o"/>
      <w:lvlJc w:val="left"/>
      <w:pPr>
        <w:ind w:left="6390" w:hanging="360"/>
      </w:pPr>
      <w:rPr>
        <w:rFonts w:ascii="Courier New" w:hAnsi="Courier New" w:cs="Courier New" w:hint="default"/>
      </w:rPr>
    </w:lvl>
    <w:lvl w:ilvl="8" w:tplc="081A0005" w:tentative="1">
      <w:start w:val="1"/>
      <w:numFmt w:val="bullet"/>
      <w:lvlText w:val=""/>
      <w:lvlJc w:val="left"/>
      <w:pPr>
        <w:ind w:left="7110" w:hanging="360"/>
      </w:pPr>
      <w:rPr>
        <w:rFonts w:ascii="Wingdings" w:hAnsi="Wingdings" w:hint="default"/>
      </w:rPr>
    </w:lvl>
  </w:abstractNum>
  <w:abstractNum w:abstractNumId="40">
    <w:nsid w:val="491D15B6"/>
    <w:multiLevelType w:val="hybridMultilevel"/>
    <w:tmpl w:val="867CA1FC"/>
    <w:lvl w:ilvl="0" w:tplc="081A0011">
      <w:start w:val="1"/>
      <w:numFmt w:val="decimal"/>
      <w:lvlText w:val="%1)"/>
      <w:lvlJc w:val="left"/>
      <w:pPr>
        <w:ind w:left="927"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41">
    <w:nsid w:val="49A5768B"/>
    <w:multiLevelType w:val="hybridMultilevel"/>
    <w:tmpl w:val="E2FC78FA"/>
    <w:lvl w:ilvl="0" w:tplc="081A0001">
      <w:start w:val="1"/>
      <w:numFmt w:val="bullet"/>
      <w:lvlText w:val=""/>
      <w:lvlJc w:val="left"/>
      <w:pPr>
        <w:ind w:left="1410" w:hanging="360"/>
      </w:pPr>
      <w:rPr>
        <w:rFonts w:ascii="Symbol" w:hAnsi="Symbol" w:hint="default"/>
      </w:rPr>
    </w:lvl>
    <w:lvl w:ilvl="1" w:tplc="081A0003" w:tentative="1">
      <w:start w:val="1"/>
      <w:numFmt w:val="bullet"/>
      <w:lvlText w:val="o"/>
      <w:lvlJc w:val="left"/>
      <w:pPr>
        <w:ind w:left="2130" w:hanging="360"/>
      </w:pPr>
      <w:rPr>
        <w:rFonts w:ascii="Courier New" w:hAnsi="Courier New" w:cs="Courier New" w:hint="default"/>
      </w:rPr>
    </w:lvl>
    <w:lvl w:ilvl="2" w:tplc="081A0005" w:tentative="1">
      <w:start w:val="1"/>
      <w:numFmt w:val="bullet"/>
      <w:lvlText w:val=""/>
      <w:lvlJc w:val="left"/>
      <w:pPr>
        <w:ind w:left="2850" w:hanging="360"/>
      </w:pPr>
      <w:rPr>
        <w:rFonts w:ascii="Wingdings" w:hAnsi="Wingdings" w:hint="default"/>
      </w:rPr>
    </w:lvl>
    <w:lvl w:ilvl="3" w:tplc="081A0001" w:tentative="1">
      <w:start w:val="1"/>
      <w:numFmt w:val="bullet"/>
      <w:lvlText w:val=""/>
      <w:lvlJc w:val="left"/>
      <w:pPr>
        <w:ind w:left="3570" w:hanging="360"/>
      </w:pPr>
      <w:rPr>
        <w:rFonts w:ascii="Symbol" w:hAnsi="Symbol" w:hint="default"/>
      </w:rPr>
    </w:lvl>
    <w:lvl w:ilvl="4" w:tplc="081A0003" w:tentative="1">
      <w:start w:val="1"/>
      <w:numFmt w:val="bullet"/>
      <w:lvlText w:val="o"/>
      <w:lvlJc w:val="left"/>
      <w:pPr>
        <w:ind w:left="4290" w:hanging="360"/>
      </w:pPr>
      <w:rPr>
        <w:rFonts w:ascii="Courier New" w:hAnsi="Courier New" w:cs="Courier New" w:hint="default"/>
      </w:rPr>
    </w:lvl>
    <w:lvl w:ilvl="5" w:tplc="081A0005" w:tentative="1">
      <w:start w:val="1"/>
      <w:numFmt w:val="bullet"/>
      <w:lvlText w:val=""/>
      <w:lvlJc w:val="left"/>
      <w:pPr>
        <w:ind w:left="5010" w:hanging="360"/>
      </w:pPr>
      <w:rPr>
        <w:rFonts w:ascii="Wingdings" w:hAnsi="Wingdings" w:hint="default"/>
      </w:rPr>
    </w:lvl>
    <w:lvl w:ilvl="6" w:tplc="081A0001" w:tentative="1">
      <w:start w:val="1"/>
      <w:numFmt w:val="bullet"/>
      <w:lvlText w:val=""/>
      <w:lvlJc w:val="left"/>
      <w:pPr>
        <w:ind w:left="5730" w:hanging="360"/>
      </w:pPr>
      <w:rPr>
        <w:rFonts w:ascii="Symbol" w:hAnsi="Symbol" w:hint="default"/>
      </w:rPr>
    </w:lvl>
    <w:lvl w:ilvl="7" w:tplc="081A0003" w:tentative="1">
      <w:start w:val="1"/>
      <w:numFmt w:val="bullet"/>
      <w:lvlText w:val="o"/>
      <w:lvlJc w:val="left"/>
      <w:pPr>
        <w:ind w:left="6450" w:hanging="360"/>
      </w:pPr>
      <w:rPr>
        <w:rFonts w:ascii="Courier New" w:hAnsi="Courier New" w:cs="Courier New" w:hint="default"/>
      </w:rPr>
    </w:lvl>
    <w:lvl w:ilvl="8" w:tplc="081A0005" w:tentative="1">
      <w:start w:val="1"/>
      <w:numFmt w:val="bullet"/>
      <w:lvlText w:val=""/>
      <w:lvlJc w:val="left"/>
      <w:pPr>
        <w:ind w:left="7170" w:hanging="360"/>
      </w:pPr>
      <w:rPr>
        <w:rFonts w:ascii="Wingdings" w:hAnsi="Wingdings" w:hint="default"/>
      </w:rPr>
    </w:lvl>
  </w:abstractNum>
  <w:abstractNum w:abstractNumId="42">
    <w:nsid w:val="4A653A46"/>
    <w:multiLevelType w:val="hybridMultilevel"/>
    <w:tmpl w:val="57749744"/>
    <w:lvl w:ilvl="0" w:tplc="6B18E94A">
      <w:start w:val="1"/>
      <w:numFmt w:val="decimal"/>
      <w:lvlText w:val="%1."/>
      <w:lvlJc w:val="left"/>
      <w:pPr>
        <w:ind w:left="1800" w:hanging="360"/>
      </w:pPr>
      <w:rPr>
        <w:rFonts w:hint="default"/>
      </w:rPr>
    </w:lvl>
    <w:lvl w:ilvl="1" w:tplc="081A0019" w:tentative="1">
      <w:start w:val="1"/>
      <w:numFmt w:val="lowerLetter"/>
      <w:lvlText w:val="%2."/>
      <w:lvlJc w:val="left"/>
      <w:pPr>
        <w:ind w:left="2520" w:hanging="360"/>
      </w:pPr>
    </w:lvl>
    <w:lvl w:ilvl="2" w:tplc="081A001B" w:tentative="1">
      <w:start w:val="1"/>
      <w:numFmt w:val="lowerRoman"/>
      <w:lvlText w:val="%3."/>
      <w:lvlJc w:val="right"/>
      <w:pPr>
        <w:ind w:left="3240" w:hanging="180"/>
      </w:pPr>
    </w:lvl>
    <w:lvl w:ilvl="3" w:tplc="081A000F" w:tentative="1">
      <w:start w:val="1"/>
      <w:numFmt w:val="decimal"/>
      <w:lvlText w:val="%4."/>
      <w:lvlJc w:val="left"/>
      <w:pPr>
        <w:ind w:left="3960" w:hanging="360"/>
      </w:pPr>
    </w:lvl>
    <w:lvl w:ilvl="4" w:tplc="081A0019" w:tentative="1">
      <w:start w:val="1"/>
      <w:numFmt w:val="lowerLetter"/>
      <w:lvlText w:val="%5."/>
      <w:lvlJc w:val="left"/>
      <w:pPr>
        <w:ind w:left="4680" w:hanging="360"/>
      </w:pPr>
    </w:lvl>
    <w:lvl w:ilvl="5" w:tplc="081A001B" w:tentative="1">
      <w:start w:val="1"/>
      <w:numFmt w:val="lowerRoman"/>
      <w:lvlText w:val="%6."/>
      <w:lvlJc w:val="right"/>
      <w:pPr>
        <w:ind w:left="5400" w:hanging="180"/>
      </w:pPr>
    </w:lvl>
    <w:lvl w:ilvl="6" w:tplc="081A000F" w:tentative="1">
      <w:start w:val="1"/>
      <w:numFmt w:val="decimal"/>
      <w:lvlText w:val="%7."/>
      <w:lvlJc w:val="left"/>
      <w:pPr>
        <w:ind w:left="6120" w:hanging="360"/>
      </w:pPr>
    </w:lvl>
    <w:lvl w:ilvl="7" w:tplc="081A0019" w:tentative="1">
      <w:start w:val="1"/>
      <w:numFmt w:val="lowerLetter"/>
      <w:lvlText w:val="%8."/>
      <w:lvlJc w:val="left"/>
      <w:pPr>
        <w:ind w:left="6840" w:hanging="360"/>
      </w:pPr>
    </w:lvl>
    <w:lvl w:ilvl="8" w:tplc="081A001B" w:tentative="1">
      <w:start w:val="1"/>
      <w:numFmt w:val="lowerRoman"/>
      <w:lvlText w:val="%9."/>
      <w:lvlJc w:val="right"/>
      <w:pPr>
        <w:ind w:left="7560" w:hanging="180"/>
      </w:pPr>
    </w:lvl>
  </w:abstractNum>
  <w:abstractNum w:abstractNumId="43">
    <w:nsid w:val="4C397701"/>
    <w:multiLevelType w:val="multilevel"/>
    <w:tmpl w:val="A53C98B0"/>
    <w:lvl w:ilvl="0">
      <w:start w:val="1"/>
      <w:numFmt w:val="decimal"/>
      <w:lvlText w:val="%1."/>
      <w:lvlJc w:val="left"/>
      <w:pPr>
        <w:ind w:left="1069" w:hanging="360"/>
      </w:pPr>
      <w:rPr>
        <w:rFonts w:hint="default"/>
        <w:b/>
        <w:i w:val="0"/>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4">
    <w:nsid w:val="55BB4050"/>
    <w:multiLevelType w:val="hybridMultilevel"/>
    <w:tmpl w:val="224AF8BA"/>
    <w:lvl w:ilvl="0" w:tplc="081A0001">
      <w:start w:val="1"/>
      <w:numFmt w:val="bullet"/>
      <w:lvlText w:val=""/>
      <w:lvlJc w:val="left"/>
      <w:pPr>
        <w:ind w:left="1350" w:hanging="360"/>
      </w:pPr>
      <w:rPr>
        <w:rFonts w:ascii="Symbol" w:hAnsi="Symbol" w:hint="default"/>
      </w:rPr>
    </w:lvl>
    <w:lvl w:ilvl="1" w:tplc="081A0003" w:tentative="1">
      <w:start w:val="1"/>
      <w:numFmt w:val="bullet"/>
      <w:lvlText w:val="o"/>
      <w:lvlJc w:val="left"/>
      <w:pPr>
        <w:ind w:left="2070" w:hanging="360"/>
      </w:pPr>
      <w:rPr>
        <w:rFonts w:ascii="Courier New" w:hAnsi="Courier New" w:cs="Courier New" w:hint="default"/>
      </w:rPr>
    </w:lvl>
    <w:lvl w:ilvl="2" w:tplc="081A0005" w:tentative="1">
      <w:start w:val="1"/>
      <w:numFmt w:val="bullet"/>
      <w:lvlText w:val=""/>
      <w:lvlJc w:val="left"/>
      <w:pPr>
        <w:ind w:left="2790" w:hanging="360"/>
      </w:pPr>
      <w:rPr>
        <w:rFonts w:ascii="Wingdings" w:hAnsi="Wingdings" w:hint="default"/>
      </w:rPr>
    </w:lvl>
    <w:lvl w:ilvl="3" w:tplc="081A0001" w:tentative="1">
      <w:start w:val="1"/>
      <w:numFmt w:val="bullet"/>
      <w:lvlText w:val=""/>
      <w:lvlJc w:val="left"/>
      <w:pPr>
        <w:ind w:left="3510" w:hanging="360"/>
      </w:pPr>
      <w:rPr>
        <w:rFonts w:ascii="Symbol" w:hAnsi="Symbol" w:hint="default"/>
      </w:rPr>
    </w:lvl>
    <w:lvl w:ilvl="4" w:tplc="081A0003" w:tentative="1">
      <w:start w:val="1"/>
      <w:numFmt w:val="bullet"/>
      <w:lvlText w:val="o"/>
      <w:lvlJc w:val="left"/>
      <w:pPr>
        <w:ind w:left="4230" w:hanging="360"/>
      </w:pPr>
      <w:rPr>
        <w:rFonts w:ascii="Courier New" w:hAnsi="Courier New" w:cs="Courier New" w:hint="default"/>
      </w:rPr>
    </w:lvl>
    <w:lvl w:ilvl="5" w:tplc="081A0005" w:tentative="1">
      <w:start w:val="1"/>
      <w:numFmt w:val="bullet"/>
      <w:lvlText w:val=""/>
      <w:lvlJc w:val="left"/>
      <w:pPr>
        <w:ind w:left="4950" w:hanging="360"/>
      </w:pPr>
      <w:rPr>
        <w:rFonts w:ascii="Wingdings" w:hAnsi="Wingdings" w:hint="default"/>
      </w:rPr>
    </w:lvl>
    <w:lvl w:ilvl="6" w:tplc="081A0001" w:tentative="1">
      <w:start w:val="1"/>
      <w:numFmt w:val="bullet"/>
      <w:lvlText w:val=""/>
      <w:lvlJc w:val="left"/>
      <w:pPr>
        <w:ind w:left="5670" w:hanging="360"/>
      </w:pPr>
      <w:rPr>
        <w:rFonts w:ascii="Symbol" w:hAnsi="Symbol" w:hint="default"/>
      </w:rPr>
    </w:lvl>
    <w:lvl w:ilvl="7" w:tplc="081A0003" w:tentative="1">
      <w:start w:val="1"/>
      <w:numFmt w:val="bullet"/>
      <w:lvlText w:val="o"/>
      <w:lvlJc w:val="left"/>
      <w:pPr>
        <w:ind w:left="6390" w:hanging="360"/>
      </w:pPr>
      <w:rPr>
        <w:rFonts w:ascii="Courier New" w:hAnsi="Courier New" w:cs="Courier New" w:hint="default"/>
      </w:rPr>
    </w:lvl>
    <w:lvl w:ilvl="8" w:tplc="081A0005" w:tentative="1">
      <w:start w:val="1"/>
      <w:numFmt w:val="bullet"/>
      <w:lvlText w:val=""/>
      <w:lvlJc w:val="left"/>
      <w:pPr>
        <w:ind w:left="7110" w:hanging="360"/>
      </w:pPr>
      <w:rPr>
        <w:rFonts w:ascii="Wingdings" w:hAnsi="Wingdings" w:hint="default"/>
      </w:rPr>
    </w:lvl>
  </w:abstractNum>
  <w:abstractNum w:abstractNumId="45">
    <w:nsid w:val="56C633E2"/>
    <w:multiLevelType w:val="hybridMultilevel"/>
    <w:tmpl w:val="F4200C04"/>
    <w:lvl w:ilvl="0" w:tplc="968E4866">
      <w:numFmt w:val="bullet"/>
      <w:lvlText w:val="-"/>
      <w:lvlJc w:val="left"/>
      <w:pPr>
        <w:ind w:left="720" w:hanging="360"/>
      </w:pPr>
      <w:rPr>
        <w:rFonts w:ascii="Times New Roman" w:eastAsia="Times New Roman" w:hAnsi="Times New Roman" w:cs="Times New Roman"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46">
    <w:nsid w:val="57DA2048"/>
    <w:multiLevelType w:val="hybridMultilevel"/>
    <w:tmpl w:val="4FB445AA"/>
    <w:lvl w:ilvl="0" w:tplc="081A0011">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47">
    <w:nsid w:val="5A1A6150"/>
    <w:multiLevelType w:val="hybridMultilevel"/>
    <w:tmpl w:val="FAD694A8"/>
    <w:lvl w:ilvl="0" w:tplc="4BA097A4">
      <w:numFmt w:val="bullet"/>
      <w:lvlText w:val="-"/>
      <w:lvlJc w:val="left"/>
      <w:pPr>
        <w:ind w:left="1647" w:hanging="360"/>
      </w:pPr>
      <w:rPr>
        <w:rFonts w:ascii="Times New Roman" w:eastAsia="Times New Roman" w:hAnsi="Times New Roman" w:cs="Times New Roman" w:hint="default"/>
      </w:rPr>
    </w:lvl>
    <w:lvl w:ilvl="1" w:tplc="081A0003" w:tentative="1">
      <w:start w:val="1"/>
      <w:numFmt w:val="bullet"/>
      <w:lvlText w:val="o"/>
      <w:lvlJc w:val="left"/>
      <w:pPr>
        <w:ind w:left="2367" w:hanging="360"/>
      </w:pPr>
      <w:rPr>
        <w:rFonts w:ascii="Courier New" w:hAnsi="Courier New" w:cs="Courier New" w:hint="default"/>
      </w:rPr>
    </w:lvl>
    <w:lvl w:ilvl="2" w:tplc="081A0005" w:tentative="1">
      <w:start w:val="1"/>
      <w:numFmt w:val="bullet"/>
      <w:lvlText w:val=""/>
      <w:lvlJc w:val="left"/>
      <w:pPr>
        <w:ind w:left="3087" w:hanging="360"/>
      </w:pPr>
      <w:rPr>
        <w:rFonts w:ascii="Wingdings" w:hAnsi="Wingdings" w:hint="default"/>
      </w:rPr>
    </w:lvl>
    <w:lvl w:ilvl="3" w:tplc="081A0001" w:tentative="1">
      <w:start w:val="1"/>
      <w:numFmt w:val="bullet"/>
      <w:lvlText w:val=""/>
      <w:lvlJc w:val="left"/>
      <w:pPr>
        <w:ind w:left="3807" w:hanging="360"/>
      </w:pPr>
      <w:rPr>
        <w:rFonts w:ascii="Symbol" w:hAnsi="Symbol" w:hint="default"/>
      </w:rPr>
    </w:lvl>
    <w:lvl w:ilvl="4" w:tplc="081A0003" w:tentative="1">
      <w:start w:val="1"/>
      <w:numFmt w:val="bullet"/>
      <w:lvlText w:val="o"/>
      <w:lvlJc w:val="left"/>
      <w:pPr>
        <w:ind w:left="4527" w:hanging="360"/>
      </w:pPr>
      <w:rPr>
        <w:rFonts w:ascii="Courier New" w:hAnsi="Courier New" w:cs="Courier New" w:hint="default"/>
      </w:rPr>
    </w:lvl>
    <w:lvl w:ilvl="5" w:tplc="081A0005" w:tentative="1">
      <w:start w:val="1"/>
      <w:numFmt w:val="bullet"/>
      <w:lvlText w:val=""/>
      <w:lvlJc w:val="left"/>
      <w:pPr>
        <w:ind w:left="5247" w:hanging="360"/>
      </w:pPr>
      <w:rPr>
        <w:rFonts w:ascii="Wingdings" w:hAnsi="Wingdings" w:hint="default"/>
      </w:rPr>
    </w:lvl>
    <w:lvl w:ilvl="6" w:tplc="081A0001" w:tentative="1">
      <w:start w:val="1"/>
      <w:numFmt w:val="bullet"/>
      <w:lvlText w:val=""/>
      <w:lvlJc w:val="left"/>
      <w:pPr>
        <w:ind w:left="5967" w:hanging="360"/>
      </w:pPr>
      <w:rPr>
        <w:rFonts w:ascii="Symbol" w:hAnsi="Symbol" w:hint="default"/>
      </w:rPr>
    </w:lvl>
    <w:lvl w:ilvl="7" w:tplc="081A0003" w:tentative="1">
      <w:start w:val="1"/>
      <w:numFmt w:val="bullet"/>
      <w:lvlText w:val="o"/>
      <w:lvlJc w:val="left"/>
      <w:pPr>
        <w:ind w:left="6687" w:hanging="360"/>
      </w:pPr>
      <w:rPr>
        <w:rFonts w:ascii="Courier New" w:hAnsi="Courier New" w:cs="Courier New" w:hint="default"/>
      </w:rPr>
    </w:lvl>
    <w:lvl w:ilvl="8" w:tplc="081A0005" w:tentative="1">
      <w:start w:val="1"/>
      <w:numFmt w:val="bullet"/>
      <w:lvlText w:val=""/>
      <w:lvlJc w:val="left"/>
      <w:pPr>
        <w:ind w:left="7407" w:hanging="360"/>
      </w:pPr>
      <w:rPr>
        <w:rFonts w:ascii="Wingdings" w:hAnsi="Wingdings" w:hint="default"/>
      </w:rPr>
    </w:lvl>
  </w:abstractNum>
  <w:abstractNum w:abstractNumId="48">
    <w:nsid w:val="5E4A179E"/>
    <w:multiLevelType w:val="hybridMultilevel"/>
    <w:tmpl w:val="808CDA9C"/>
    <w:lvl w:ilvl="0" w:tplc="9BDEFAB4">
      <w:start w:val="1"/>
      <w:numFmt w:val="decimal"/>
      <w:lvlText w:val="%1."/>
      <w:lvlJc w:val="left"/>
      <w:pPr>
        <w:ind w:left="990" w:hanging="360"/>
      </w:pPr>
      <w:rPr>
        <w:rFonts w:hint="default"/>
      </w:rPr>
    </w:lvl>
    <w:lvl w:ilvl="1" w:tplc="081A0019" w:tentative="1">
      <w:start w:val="1"/>
      <w:numFmt w:val="lowerLetter"/>
      <w:lvlText w:val="%2."/>
      <w:lvlJc w:val="left"/>
      <w:pPr>
        <w:ind w:left="1710" w:hanging="360"/>
      </w:pPr>
    </w:lvl>
    <w:lvl w:ilvl="2" w:tplc="081A001B" w:tentative="1">
      <w:start w:val="1"/>
      <w:numFmt w:val="lowerRoman"/>
      <w:lvlText w:val="%3."/>
      <w:lvlJc w:val="right"/>
      <w:pPr>
        <w:ind w:left="2430" w:hanging="180"/>
      </w:pPr>
    </w:lvl>
    <w:lvl w:ilvl="3" w:tplc="081A000F" w:tentative="1">
      <w:start w:val="1"/>
      <w:numFmt w:val="decimal"/>
      <w:lvlText w:val="%4."/>
      <w:lvlJc w:val="left"/>
      <w:pPr>
        <w:ind w:left="3150" w:hanging="360"/>
      </w:pPr>
    </w:lvl>
    <w:lvl w:ilvl="4" w:tplc="081A0019" w:tentative="1">
      <w:start w:val="1"/>
      <w:numFmt w:val="lowerLetter"/>
      <w:lvlText w:val="%5."/>
      <w:lvlJc w:val="left"/>
      <w:pPr>
        <w:ind w:left="3870" w:hanging="360"/>
      </w:pPr>
    </w:lvl>
    <w:lvl w:ilvl="5" w:tplc="081A001B" w:tentative="1">
      <w:start w:val="1"/>
      <w:numFmt w:val="lowerRoman"/>
      <w:lvlText w:val="%6."/>
      <w:lvlJc w:val="right"/>
      <w:pPr>
        <w:ind w:left="4590" w:hanging="180"/>
      </w:pPr>
    </w:lvl>
    <w:lvl w:ilvl="6" w:tplc="081A000F" w:tentative="1">
      <w:start w:val="1"/>
      <w:numFmt w:val="decimal"/>
      <w:lvlText w:val="%7."/>
      <w:lvlJc w:val="left"/>
      <w:pPr>
        <w:ind w:left="5310" w:hanging="360"/>
      </w:pPr>
    </w:lvl>
    <w:lvl w:ilvl="7" w:tplc="081A0019" w:tentative="1">
      <w:start w:val="1"/>
      <w:numFmt w:val="lowerLetter"/>
      <w:lvlText w:val="%8."/>
      <w:lvlJc w:val="left"/>
      <w:pPr>
        <w:ind w:left="6030" w:hanging="360"/>
      </w:pPr>
    </w:lvl>
    <w:lvl w:ilvl="8" w:tplc="081A001B" w:tentative="1">
      <w:start w:val="1"/>
      <w:numFmt w:val="lowerRoman"/>
      <w:lvlText w:val="%9."/>
      <w:lvlJc w:val="right"/>
      <w:pPr>
        <w:ind w:left="6750" w:hanging="180"/>
      </w:pPr>
    </w:lvl>
  </w:abstractNum>
  <w:abstractNum w:abstractNumId="49">
    <w:nsid w:val="612E6CA7"/>
    <w:multiLevelType w:val="hybridMultilevel"/>
    <w:tmpl w:val="3D66EA42"/>
    <w:lvl w:ilvl="0" w:tplc="081A0001">
      <w:start w:val="1"/>
      <w:numFmt w:val="bullet"/>
      <w:lvlText w:val=""/>
      <w:lvlJc w:val="left"/>
      <w:pPr>
        <w:ind w:left="1350" w:hanging="360"/>
      </w:pPr>
      <w:rPr>
        <w:rFonts w:ascii="Symbol" w:hAnsi="Symbol" w:hint="default"/>
      </w:rPr>
    </w:lvl>
    <w:lvl w:ilvl="1" w:tplc="081A0003" w:tentative="1">
      <w:start w:val="1"/>
      <w:numFmt w:val="bullet"/>
      <w:lvlText w:val="o"/>
      <w:lvlJc w:val="left"/>
      <w:pPr>
        <w:ind w:left="2070" w:hanging="360"/>
      </w:pPr>
      <w:rPr>
        <w:rFonts w:ascii="Courier New" w:hAnsi="Courier New" w:cs="Courier New" w:hint="default"/>
      </w:rPr>
    </w:lvl>
    <w:lvl w:ilvl="2" w:tplc="081A0005" w:tentative="1">
      <w:start w:val="1"/>
      <w:numFmt w:val="bullet"/>
      <w:lvlText w:val=""/>
      <w:lvlJc w:val="left"/>
      <w:pPr>
        <w:ind w:left="2790" w:hanging="360"/>
      </w:pPr>
      <w:rPr>
        <w:rFonts w:ascii="Wingdings" w:hAnsi="Wingdings" w:hint="default"/>
      </w:rPr>
    </w:lvl>
    <w:lvl w:ilvl="3" w:tplc="081A0001" w:tentative="1">
      <w:start w:val="1"/>
      <w:numFmt w:val="bullet"/>
      <w:lvlText w:val=""/>
      <w:lvlJc w:val="left"/>
      <w:pPr>
        <w:ind w:left="3510" w:hanging="360"/>
      </w:pPr>
      <w:rPr>
        <w:rFonts w:ascii="Symbol" w:hAnsi="Symbol" w:hint="default"/>
      </w:rPr>
    </w:lvl>
    <w:lvl w:ilvl="4" w:tplc="081A0003" w:tentative="1">
      <w:start w:val="1"/>
      <w:numFmt w:val="bullet"/>
      <w:lvlText w:val="o"/>
      <w:lvlJc w:val="left"/>
      <w:pPr>
        <w:ind w:left="4230" w:hanging="360"/>
      </w:pPr>
      <w:rPr>
        <w:rFonts w:ascii="Courier New" w:hAnsi="Courier New" w:cs="Courier New" w:hint="default"/>
      </w:rPr>
    </w:lvl>
    <w:lvl w:ilvl="5" w:tplc="081A0005" w:tentative="1">
      <w:start w:val="1"/>
      <w:numFmt w:val="bullet"/>
      <w:lvlText w:val=""/>
      <w:lvlJc w:val="left"/>
      <w:pPr>
        <w:ind w:left="4950" w:hanging="360"/>
      </w:pPr>
      <w:rPr>
        <w:rFonts w:ascii="Wingdings" w:hAnsi="Wingdings" w:hint="default"/>
      </w:rPr>
    </w:lvl>
    <w:lvl w:ilvl="6" w:tplc="081A0001" w:tentative="1">
      <w:start w:val="1"/>
      <w:numFmt w:val="bullet"/>
      <w:lvlText w:val=""/>
      <w:lvlJc w:val="left"/>
      <w:pPr>
        <w:ind w:left="5670" w:hanging="360"/>
      </w:pPr>
      <w:rPr>
        <w:rFonts w:ascii="Symbol" w:hAnsi="Symbol" w:hint="default"/>
      </w:rPr>
    </w:lvl>
    <w:lvl w:ilvl="7" w:tplc="081A0003" w:tentative="1">
      <w:start w:val="1"/>
      <w:numFmt w:val="bullet"/>
      <w:lvlText w:val="o"/>
      <w:lvlJc w:val="left"/>
      <w:pPr>
        <w:ind w:left="6390" w:hanging="360"/>
      </w:pPr>
      <w:rPr>
        <w:rFonts w:ascii="Courier New" w:hAnsi="Courier New" w:cs="Courier New" w:hint="default"/>
      </w:rPr>
    </w:lvl>
    <w:lvl w:ilvl="8" w:tplc="081A0005" w:tentative="1">
      <w:start w:val="1"/>
      <w:numFmt w:val="bullet"/>
      <w:lvlText w:val=""/>
      <w:lvlJc w:val="left"/>
      <w:pPr>
        <w:ind w:left="7110" w:hanging="360"/>
      </w:pPr>
      <w:rPr>
        <w:rFonts w:ascii="Wingdings" w:hAnsi="Wingdings" w:hint="default"/>
      </w:rPr>
    </w:lvl>
  </w:abstractNum>
  <w:abstractNum w:abstractNumId="50">
    <w:nsid w:val="62D13521"/>
    <w:multiLevelType w:val="multilevel"/>
    <w:tmpl w:val="A4528D5E"/>
    <w:lvl w:ilvl="0">
      <w:start w:val="1"/>
      <w:numFmt w:val="decimal"/>
      <w:lvlText w:val="%1."/>
      <w:lvlJc w:val="left"/>
      <w:pPr>
        <w:ind w:left="1069" w:hanging="360"/>
      </w:pPr>
      <w:rPr>
        <w:rFonts w:hint="default"/>
        <w:b w:val="0"/>
        <w:i w:val="0"/>
      </w:rPr>
    </w:lvl>
    <w:lvl w:ilvl="1">
      <w:start w:val="1"/>
      <w:numFmt w:val="decimal"/>
      <w:isLgl/>
      <w:lvlText w:val="%1.%2."/>
      <w:lvlJc w:val="left"/>
      <w:pPr>
        <w:ind w:left="927" w:hanging="360"/>
      </w:pPr>
      <w:rPr>
        <w:rFonts w:hint="default"/>
        <w:b/>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1">
    <w:nsid w:val="63F202D7"/>
    <w:multiLevelType w:val="hybridMultilevel"/>
    <w:tmpl w:val="4DEE2D5E"/>
    <w:lvl w:ilvl="0" w:tplc="081A0001">
      <w:start w:val="1"/>
      <w:numFmt w:val="bullet"/>
      <w:lvlText w:val=""/>
      <w:lvlJc w:val="left"/>
      <w:pPr>
        <w:ind w:left="1350" w:hanging="360"/>
      </w:pPr>
      <w:rPr>
        <w:rFonts w:ascii="Symbol" w:hAnsi="Symbol" w:hint="default"/>
      </w:rPr>
    </w:lvl>
    <w:lvl w:ilvl="1" w:tplc="081A0003" w:tentative="1">
      <w:start w:val="1"/>
      <w:numFmt w:val="bullet"/>
      <w:lvlText w:val="o"/>
      <w:lvlJc w:val="left"/>
      <w:pPr>
        <w:ind w:left="2070" w:hanging="360"/>
      </w:pPr>
      <w:rPr>
        <w:rFonts w:ascii="Courier New" w:hAnsi="Courier New" w:cs="Courier New" w:hint="default"/>
      </w:rPr>
    </w:lvl>
    <w:lvl w:ilvl="2" w:tplc="081A0005" w:tentative="1">
      <w:start w:val="1"/>
      <w:numFmt w:val="bullet"/>
      <w:lvlText w:val=""/>
      <w:lvlJc w:val="left"/>
      <w:pPr>
        <w:ind w:left="2790" w:hanging="360"/>
      </w:pPr>
      <w:rPr>
        <w:rFonts w:ascii="Wingdings" w:hAnsi="Wingdings" w:hint="default"/>
      </w:rPr>
    </w:lvl>
    <w:lvl w:ilvl="3" w:tplc="081A0001" w:tentative="1">
      <w:start w:val="1"/>
      <w:numFmt w:val="bullet"/>
      <w:lvlText w:val=""/>
      <w:lvlJc w:val="left"/>
      <w:pPr>
        <w:ind w:left="3510" w:hanging="360"/>
      </w:pPr>
      <w:rPr>
        <w:rFonts w:ascii="Symbol" w:hAnsi="Symbol" w:hint="default"/>
      </w:rPr>
    </w:lvl>
    <w:lvl w:ilvl="4" w:tplc="081A0003" w:tentative="1">
      <w:start w:val="1"/>
      <w:numFmt w:val="bullet"/>
      <w:lvlText w:val="o"/>
      <w:lvlJc w:val="left"/>
      <w:pPr>
        <w:ind w:left="4230" w:hanging="360"/>
      </w:pPr>
      <w:rPr>
        <w:rFonts w:ascii="Courier New" w:hAnsi="Courier New" w:cs="Courier New" w:hint="default"/>
      </w:rPr>
    </w:lvl>
    <w:lvl w:ilvl="5" w:tplc="081A0005" w:tentative="1">
      <w:start w:val="1"/>
      <w:numFmt w:val="bullet"/>
      <w:lvlText w:val=""/>
      <w:lvlJc w:val="left"/>
      <w:pPr>
        <w:ind w:left="4950" w:hanging="360"/>
      </w:pPr>
      <w:rPr>
        <w:rFonts w:ascii="Wingdings" w:hAnsi="Wingdings" w:hint="default"/>
      </w:rPr>
    </w:lvl>
    <w:lvl w:ilvl="6" w:tplc="081A0001" w:tentative="1">
      <w:start w:val="1"/>
      <w:numFmt w:val="bullet"/>
      <w:lvlText w:val=""/>
      <w:lvlJc w:val="left"/>
      <w:pPr>
        <w:ind w:left="5670" w:hanging="360"/>
      </w:pPr>
      <w:rPr>
        <w:rFonts w:ascii="Symbol" w:hAnsi="Symbol" w:hint="default"/>
      </w:rPr>
    </w:lvl>
    <w:lvl w:ilvl="7" w:tplc="081A0003" w:tentative="1">
      <w:start w:val="1"/>
      <w:numFmt w:val="bullet"/>
      <w:lvlText w:val="o"/>
      <w:lvlJc w:val="left"/>
      <w:pPr>
        <w:ind w:left="6390" w:hanging="360"/>
      </w:pPr>
      <w:rPr>
        <w:rFonts w:ascii="Courier New" w:hAnsi="Courier New" w:cs="Courier New" w:hint="default"/>
      </w:rPr>
    </w:lvl>
    <w:lvl w:ilvl="8" w:tplc="081A0005" w:tentative="1">
      <w:start w:val="1"/>
      <w:numFmt w:val="bullet"/>
      <w:lvlText w:val=""/>
      <w:lvlJc w:val="left"/>
      <w:pPr>
        <w:ind w:left="7110" w:hanging="360"/>
      </w:pPr>
      <w:rPr>
        <w:rFonts w:ascii="Wingdings" w:hAnsi="Wingdings" w:hint="default"/>
      </w:rPr>
    </w:lvl>
  </w:abstractNum>
  <w:abstractNum w:abstractNumId="52">
    <w:nsid w:val="64EA2F7B"/>
    <w:multiLevelType w:val="hybridMultilevel"/>
    <w:tmpl w:val="CCA2F00C"/>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53">
    <w:nsid w:val="65140610"/>
    <w:multiLevelType w:val="hybridMultilevel"/>
    <w:tmpl w:val="A2201B72"/>
    <w:lvl w:ilvl="0" w:tplc="081A0001">
      <w:start w:val="1"/>
      <w:numFmt w:val="bullet"/>
      <w:lvlText w:val=""/>
      <w:lvlJc w:val="left"/>
      <w:pPr>
        <w:ind w:left="1080" w:hanging="360"/>
      </w:pPr>
      <w:rPr>
        <w:rFonts w:ascii="Symbol" w:hAnsi="Symbol" w:hint="default"/>
      </w:rPr>
    </w:lvl>
    <w:lvl w:ilvl="1" w:tplc="081A0003" w:tentative="1">
      <w:start w:val="1"/>
      <w:numFmt w:val="bullet"/>
      <w:lvlText w:val="o"/>
      <w:lvlJc w:val="left"/>
      <w:pPr>
        <w:ind w:left="1800" w:hanging="360"/>
      </w:pPr>
      <w:rPr>
        <w:rFonts w:ascii="Courier New" w:hAnsi="Courier New" w:cs="Courier New" w:hint="default"/>
      </w:rPr>
    </w:lvl>
    <w:lvl w:ilvl="2" w:tplc="081A0005" w:tentative="1">
      <w:start w:val="1"/>
      <w:numFmt w:val="bullet"/>
      <w:lvlText w:val=""/>
      <w:lvlJc w:val="left"/>
      <w:pPr>
        <w:ind w:left="2520" w:hanging="360"/>
      </w:pPr>
      <w:rPr>
        <w:rFonts w:ascii="Wingdings" w:hAnsi="Wingdings" w:hint="default"/>
      </w:rPr>
    </w:lvl>
    <w:lvl w:ilvl="3" w:tplc="081A0001" w:tentative="1">
      <w:start w:val="1"/>
      <w:numFmt w:val="bullet"/>
      <w:lvlText w:val=""/>
      <w:lvlJc w:val="left"/>
      <w:pPr>
        <w:ind w:left="3240" w:hanging="360"/>
      </w:pPr>
      <w:rPr>
        <w:rFonts w:ascii="Symbol" w:hAnsi="Symbol" w:hint="default"/>
      </w:rPr>
    </w:lvl>
    <w:lvl w:ilvl="4" w:tplc="081A0003" w:tentative="1">
      <w:start w:val="1"/>
      <w:numFmt w:val="bullet"/>
      <w:lvlText w:val="o"/>
      <w:lvlJc w:val="left"/>
      <w:pPr>
        <w:ind w:left="3960" w:hanging="360"/>
      </w:pPr>
      <w:rPr>
        <w:rFonts w:ascii="Courier New" w:hAnsi="Courier New" w:cs="Courier New" w:hint="default"/>
      </w:rPr>
    </w:lvl>
    <w:lvl w:ilvl="5" w:tplc="081A0005" w:tentative="1">
      <w:start w:val="1"/>
      <w:numFmt w:val="bullet"/>
      <w:lvlText w:val=""/>
      <w:lvlJc w:val="left"/>
      <w:pPr>
        <w:ind w:left="4680" w:hanging="360"/>
      </w:pPr>
      <w:rPr>
        <w:rFonts w:ascii="Wingdings" w:hAnsi="Wingdings" w:hint="default"/>
      </w:rPr>
    </w:lvl>
    <w:lvl w:ilvl="6" w:tplc="081A0001" w:tentative="1">
      <w:start w:val="1"/>
      <w:numFmt w:val="bullet"/>
      <w:lvlText w:val=""/>
      <w:lvlJc w:val="left"/>
      <w:pPr>
        <w:ind w:left="5400" w:hanging="360"/>
      </w:pPr>
      <w:rPr>
        <w:rFonts w:ascii="Symbol" w:hAnsi="Symbol" w:hint="default"/>
      </w:rPr>
    </w:lvl>
    <w:lvl w:ilvl="7" w:tplc="081A0003" w:tentative="1">
      <w:start w:val="1"/>
      <w:numFmt w:val="bullet"/>
      <w:lvlText w:val="o"/>
      <w:lvlJc w:val="left"/>
      <w:pPr>
        <w:ind w:left="6120" w:hanging="360"/>
      </w:pPr>
      <w:rPr>
        <w:rFonts w:ascii="Courier New" w:hAnsi="Courier New" w:cs="Courier New" w:hint="default"/>
      </w:rPr>
    </w:lvl>
    <w:lvl w:ilvl="8" w:tplc="081A0005" w:tentative="1">
      <w:start w:val="1"/>
      <w:numFmt w:val="bullet"/>
      <w:lvlText w:val=""/>
      <w:lvlJc w:val="left"/>
      <w:pPr>
        <w:ind w:left="6840" w:hanging="360"/>
      </w:pPr>
      <w:rPr>
        <w:rFonts w:ascii="Wingdings" w:hAnsi="Wingdings" w:hint="default"/>
      </w:rPr>
    </w:lvl>
  </w:abstractNum>
  <w:abstractNum w:abstractNumId="54">
    <w:nsid w:val="651F313F"/>
    <w:multiLevelType w:val="hybridMultilevel"/>
    <w:tmpl w:val="D028166E"/>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55">
    <w:nsid w:val="65AC44BD"/>
    <w:multiLevelType w:val="hybridMultilevel"/>
    <w:tmpl w:val="E466B65E"/>
    <w:lvl w:ilvl="0" w:tplc="879AA900">
      <w:start w:val="4"/>
      <w:numFmt w:val="bullet"/>
      <w:lvlText w:val="-"/>
      <w:lvlJc w:val="left"/>
      <w:pPr>
        <w:ind w:left="720" w:hanging="360"/>
      </w:pPr>
      <w:rPr>
        <w:rFonts w:ascii="Calibri" w:eastAsia="Times New Roman" w:hAnsi="Calibri" w:cs="Times New Roman"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56">
    <w:nsid w:val="687D62DD"/>
    <w:multiLevelType w:val="hybridMultilevel"/>
    <w:tmpl w:val="73947FC0"/>
    <w:lvl w:ilvl="0" w:tplc="081A0011">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57">
    <w:nsid w:val="6D8A0466"/>
    <w:multiLevelType w:val="hybridMultilevel"/>
    <w:tmpl w:val="FF028398"/>
    <w:lvl w:ilvl="0" w:tplc="081A0001">
      <w:start w:val="1"/>
      <w:numFmt w:val="bullet"/>
      <w:lvlText w:val=""/>
      <w:lvlJc w:val="left"/>
      <w:pPr>
        <w:ind w:left="1410" w:hanging="360"/>
      </w:pPr>
      <w:rPr>
        <w:rFonts w:ascii="Symbol" w:hAnsi="Symbol" w:hint="default"/>
      </w:rPr>
    </w:lvl>
    <w:lvl w:ilvl="1" w:tplc="081A0003" w:tentative="1">
      <w:start w:val="1"/>
      <w:numFmt w:val="bullet"/>
      <w:lvlText w:val="o"/>
      <w:lvlJc w:val="left"/>
      <w:pPr>
        <w:ind w:left="2130" w:hanging="360"/>
      </w:pPr>
      <w:rPr>
        <w:rFonts w:ascii="Courier New" w:hAnsi="Courier New" w:cs="Courier New" w:hint="default"/>
      </w:rPr>
    </w:lvl>
    <w:lvl w:ilvl="2" w:tplc="081A0005" w:tentative="1">
      <w:start w:val="1"/>
      <w:numFmt w:val="bullet"/>
      <w:lvlText w:val=""/>
      <w:lvlJc w:val="left"/>
      <w:pPr>
        <w:ind w:left="2850" w:hanging="360"/>
      </w:pPr>
      <w:rPr>
        <w:rFonts w:ascii="Wingdings" w:hAnsi="Wingdings" w:hint="default"/>
      </w:rPr>
    </w:lvl>
    <w:lvl w:ilvl="3" w:tplc="081A0001" w:tentative="1">
      <w:start w:val="1"/>
      <w:numFmt w:val="bullet"/>
      <w:lvlText w:val=""/>
      <w:lvlJc w:val="left"/>
      <w:pPr>
        <w:ind w:left="3570" w:hanging="360"/>
      </w:pPr>
      <w:rPr>
        <w:rFonts w:ascii="Symbol" w:hAnsi="Symbol" w:hint="default"/>
      </w:rPr>
    </w:lvl>
    <w:lvl w:ilvl="4" w:tplc="081A0003" w:tentative="1">
      <w:start w:val="1"/>
      <w:numFmt w:val="bullet"/>
      <w:lvlText w:val="o"/>
      <w:lvlJc w:val="left"/>
      <w:pPr>
        <w:ind w:left="4290" w:hanging="360"/>
      </w:pPr>
      <w:rPr>
        <w:rFonts w:ascii="Courier New" w:hAnsi="Courier New" w:cs="Courier New" w:hint="default"/>
      </w:rPr>
    </w:lvl>
    <w:lvl w:ilvl="5" w:tplc="081A0005" w:tentative="1">
      <w:start w:val="1"/>
      <w:numFmt w:val="bullet"/>
      <w:lvlText w:val=""/>
      <w:lvlJc w:val="left"/>
      <w:pPr>
        <w:ind w:left="5010" w:hanging="360"/>
      </w:pPr>
      <w:rPr>
        <w:rFonts w:ascii="Wingdings" w:hAnsi="Wingdings" w:hint="default"/>
      </w:rPr>
    </w:lvl>
    <w:lvl w:ilvl="6" w:tplc="081A0001" w:tentative="1">
      <w:start w:val="1"/>
      <w:numFmt w:val="bullet"/>
      <w:lvlText w:val=""/>
      <w:lvlJc w:val="left"/>
      <w:pPr>
        <w:ind w:left="5730" w:hanging="360"/>
      </w:pPr>
      <w:rPr>
        <w:rFonts w:ascii="Symbol" w:hAnsi="Symbol" w:hint="default"/>
      </w:rPr>
    </w:lvl>
    <w:lvl w:ilvl="7" w:tplc="081A0003" w:tentative="1">
      <w:start w:val="1"/>
      <w:numFmt w:val="bullet"/>
      <w:lvlText w:val="o"/>
      <w:lvlJc w:val="left"/>
      <w:pPr>
        <w:ind w:left="6450" w:hanging="360"/>
      </w:pPr>
      <w:rPr>
        <w:rFonts w:ascii="Courier New" w:hAnsi="Courier New" w:cs="Courier New" w:hint="default"/>
      </w:rPr>
    </w:lvl>
    <w:lvl w:ilvl="8" w:tplc="081A0005" w:tentative="1">
      <w:start w:val="1"/>
      <w:numFmt w:val="bullet"/>
      <w:lvlText w:val=""/>
      <w:lvlJc w:val="left"/>
      <w:pPr>
        <w:ind w:left="7170" w:hanging="360"/>
      </w:pPr>
      <w:rPr>
        <w:rFonts w:ascii="Wingdings" w:hAnsi="Wingdings" w:hint="default"/>
      </w:rPr>
    </w:lvl>
  </w:abstractNum>
  <w:abstractNum w:abstractNumId="58">
    <w:nsid w:val="6DF92D25"/>
    <w:multiLevelType w:val="multilevel"/>
    <w:tmpl w:val="2E586A32"/>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9">
    <w:nsid w:val="710E7B15"/>
    <w:multiLevelType w:val="hybridMultilevel"/>
    <w:tmpl w:val="6F489CFA"/>
    <w:lvl w:ilvl="0" w:tplc="081A0001">
      <w:start w:val="1"/>
      <w:numFmt w:val="bullet"/>
      <w:lvlText w:val=""/>
      <w:lvlJc w:val="left"/>
      <w:pPr>
        <w:ind w:left="1410" w:hanging="360"/>
      </w:pPr>
      <w:rPr>
        <w:rFonts w:ascii="Symbol" w:hAnsi="Symbol" w:hint="default"/>
      </w:rPr>
    </w:lvl>
    <w:lvl w:ilvl="1" w:tplc="081A0003" w:tentative="1">
      <w:start w:val="1"/>
      <w:numFmt w:val="bullet"/>
      <w:lvlText w:val="o"/>
      <w:lvlJc w:val="left"/>
      <w:pPr>
        <w:ind w:left="2130" w:hanging="360"/>
      </w:pPr>
      <w:rPr>
        <w:rFonts w:ascii="Courier New" w:hAnsi="Courier New" w:cs="Courier New" w:hint="default"/>
      </w:rPr>
    </w:lvl>
    <w:lvl w:ilvl="2" w:tplc="081A0005" w:tentative="1">
      <w:start w:val="1"/>
      <w:numFmt w:val="bullet"/>
      <w:lvlText w:val=""/>
      <w:lvlJc w:val="left"/>
      <w:pPr>
        <w:ind w:left="2850" w:hanging="360"/>
      </w:pPr>
      <w:rPr>
        <w:rFonts w:ascii="Wingdings" w:hAnsi="Wingdings" w:hint="default"/>
      </w:rPr>
    </w:lvl>
    <w:lvl w:ilvl="3" w:tplc="081A0001" w:tentative="1">
      <w:start w:val="1"/>
      <w:numFmt w:val="bullet"/>
      <w:lvlText w:val=""/>
      <w:lvlJc w:val="left"/>
      <w:pPr>
        <w:ind w:left="3570" w:hanging="360"/>
      </w:pPr>
      <w:rPr>
        <w:rFonts w:ascii="Symbol" w:hAnsi="Symbol" w:hint="default"/>
      </w:rPr>
    </w:lvl>
    <w:lvl w:ilvl="4" w:tplc="081A0003" w:tentative="1">
      <w:start w:val="1"/>
      <w:numFmt w:val="bullet"/>
      <w:lvlText w:val="o"/>
      <w:lvlJc w:val="left"/>
      <w:pPr>
        <w:ind w:left="4290" w:hanging="360"/>
      </w:pPr>
      <w:rPr>
        <w:rFonts w:ascii="Courier New" w:hAnsi="Courier New" w:cs="Courier New" w:hint="default"/>
      </w:rPr>
    </w:lvl>
    <w:lvl w:ilvl="5" w:tplc="081A0005" w:tentative="1">
      <w:start w:val="1"/>
      <w:numFmt w:val="bullet"/>
      <w:lvlText w:val=""/>
      <w:lvlJc w:val="left"/>
      <w:pPr>
        <w:ind w:left="5010" w:hanging="360"/>
      </w:pPr>
      <w:rPr>
        <w:rFonts w:ascii="Wingdings" w:hAnsi="Wingdings" w:hint="default"/>
      </w:rPr>
    </w:lvl>
    <w:lvl w:ilvl="6" w:tplc="081A0001" w:tentative="1">
      <w:start w:val="1"/>
      <w:numFmt w:val="bullet"/>
      <w:lvlText w:val=""/>
      <w:lvlJc w:val="left"/>
      <w:pPr>
        <w:ind w:left="5730" w:hanging="360"/>
      </w:pPr>
      <w:rPr>
        <w:rFonts w:ascii="Symbol" w:hAnsi="Symbol" w:hint="default"/>
      </w:rPr>
    </w:lvl>
    <w:lvl w:ilvl="7" w:tplc="081A0003" w:tentative="1">
      <w:start w:val="1"/>
      <w:numFmt w:val="bullet"/>
      <w:lvlText w:val="o"/>
      <w:lvlJc w:val="left"/>
      <w:pPr>
        <w:ind w:left="6450" w:hanging="360"/>
      </w:pPr>
      <w:rPr>
        <w:rFonts w:ascii="Courier New" w:hAnsi="Courier New" w:cs="Courier New" w:hint="default"/>
      </w:rPr>
    </w:lvl>
    <w:lvl w:ilvl="8" w:tplc="081A0005" w:tentative="1">
      <w:start w:val="1"/>
      <w:numFmt w:val="bullet"/>
      <w:lvlText w:val=""/>
      <w:lvlJc w:val="left"/>
      <w:pPr>
        <w:ind w:left="7170" w:hanging="360"/>
      </w:pPr>
      <w:rPr>
        <w:rFonts w:ascii="Wingdings" w:hAnsi="Wingdings" w:hint="default"/>
      </w:rPr>
    </w:lvl>
  </w:abstractNum>
  <w:abstractNum w:abstractNumId="60">
    <w:nsid w:val="721B3785"/>
    <w:multiLevelType w:val="hybridMultilevel"/>
    <w:tmpl w:val="BCF0CB18"/>
    <w:lvl w:ilvl="0" w:tplc="EACE885C">
      <w:start w:val="3"/>
      <w:numFmt w:val="decimal"/>
      <w:lvlText w:val="%1."/>
      <w:lvlJc w:val="left"/>
      <w:pPr>
        <w:ind w:left="1350" w:hanging="360"/>
      </w:pPr>
      <w:rPr>
        <w:b w:val="0"/>
      </w:rPr>
    </w:lvl>
    <w:lvl w:ilvl="1" w:tplc="081A0019">
      <w:start w:val="1"/>
      <w:numFmt w:val="decimal"/>
      <w:lvlText w:val="%2."/>
      <w:lvlJc w:val="left"/>
      <w:pPr>
        <w:tabs>
          <w:tab w:val="num" w:pos="1440"/>
        </w:tabs>
        <w:ind w:left="1440" w:hanging="360"/>
      </w:pPr>
    </w:lvl>
    <w:lvl w:ilvl="2" w:tplc="081A001B">
      <w:start w:val="1"/>
      <w:numFmt w:val="decimal"/>
      <w:lvlText w:val="%3."/>
      <w:lvlJc w:val="left"/>
      <w:pPr>
        <w:tabs>
          <w:tab w:val="num" w:pos="2160"/>
        </w:tabs>
        <w:ind w:left="2160" w:hanging="360"/>
      </w:pPr>
    </w:lvl>
    <w:lvl w:ilvl="3" w:tplc="081A000F">
      <w:start w:val="1"/>
      <w:numFmt w:val="decimal"/>
      <w:lvlText w:val="%4."/>
      <w:lvlJc w:val="left"/>
      <w:pPr>
        <w:tabs>
          <w:tab w:val="num" w:pos="2880"/>
        </w:tabs>
        <w:ind w:left="2880" w:hanging="360"/>
      </w:pPr>
    </w:lvl>
    <w:lvl w:ilvl="4" w:tplc="081A0019">
      <w:start w:val="1"/>
      <w:numFmt w:val="decimal"/>
      <w:lvlText w:val="%5."/>
      <w:lvlJc w:val="left"/>
      <w:pPr>
        <w:tabs>
          <w:tab w:val="num" w:pos="3600"/>
        </w:tabs>
        <w:ind w:left="3600" w:hanging="360"/>
      </w:pPr>
    </w:lvl>
    <w:lvl w:ilvl="5" w:tplc="081A001B">
      <w:start w:val="1"/>
      <w:numFmt w:val="decimal"/>
      <w:lvlText w:val="%6."/>
      <w:lvlJc w:val="left"/>
      <w:pPr>
        <w:tabs>
          <w:tab w:val="num" w:pos="4320"/>
        </w:tabs>
        <w:ind w:left="4320" w:hanging="360"/>
      </w:pPr>
    </w:lvl>
    <w:lvl w:ilvl="6" w:tplc="081A000F">
      <w:start w:val="1"/>
      <w:numFmt w:val="decimal"/>
      <w:lvlText w:val="%7."/>
      <w:lvlJc w:val="left"/>
      <w:pPr>
        <w:tabs>
          <w:tab w:val="num" w:pos="5040"/>
        </w:tabs>
        <w:ind w:left="5040" w:hanging="360"/>
      </w:pPr>
    </w:lvl>
    <w:lvl w:ilvl="7" w:tplc="081A0019">
      <w:start w:val="1"/>
      <w:numFmt w:val="decimal"/>
      <w:lvlText w:val="%8."/>
      <w:lvlJc w:val="left"/>
      <w:pPr>
        <w:tabs>
          <w:tab w:val="num" w:pos="5760"/>
        </w:tabs>
        <w:ind w:left="5760" w:hanging="360"/>
      </w:pPr>
    </w:lvl>
    <w:lvl w:ilvl="8" w:tplc="081A001B">
      <w:start w:val="1"/>
      <w:numFmt w:val="decimal"/>
      <w:lvlText w:val="%9."/>
      <w:lvlJc w:val="left"/>
      <w:pPr>
        <w:tabs>
          <w:tab w:val="num" w:pos="6480"/>
        </w:tabs>
        <w:ind w:left="6480" w:hanging="360"/>
      </w:pPr>
    </w:lvl>
  </w:abstractNum>
  <w:abstractNum w:abstractNumId="61">
    <w:nsid w:val="723B0D5C"/>
    <w:multiLevelType w:val="hybridMultilevel"/>
    <w:tmpl w:val="65247358"/>
    <w:lvl w:ilvl="0" w:tplc="081A0001">
      <w:start w:val="1"/>
      <w:numFmt w:val="bullet"/>
      <w:lvlText w:val=""/>
      <w:lvlJc w:val="left"/>
      <w:pPr>
        <w:ind w:left="1350" w:hanging="360"/>
      </w:pPr>
      <w:rPr>
        <w:rFonts w:ascii="Symbol" w:hAnsi="Symbol" w:hint="default"/>
      </w:rPr>
    </w:lvl>
    <w:lvl w:ilvl="1" w:tplc="081A0003" w:tentative="1">
      <w:start w:val="1"/>
      <w:numFmt w:val="bullet"/>
      <w:lvlText w:val="o"/>
      <w:lvlJc w:val="left"/>
      <w:pPr>
        <w:ind w:left="2070" w:hanging="360"/>
      </w:pPr>
      <w:rPr>
        <w:rFonts w:ascii="Courier New" w:hAnsi="Courier New" w:cs="Courier New" w:hint="default"/>
      </w:rPr>
    </w:lvl>
    <w:lvl w:ilvl="2" w:tplc="081A0005" w:tentative="1">
      <w:start w:val="1"/>
      <w:numFmt w:val="bullet"/>
      <w:lvlText w:val=""/>
      <w:lvlJc w:val="left"/>
      <w:pPr>
        <w:ind w:left="2790" w:hanging="360"/>
      </w:pPr>
      <w:rPr>
        <w:rFonts w:ascii="Wingdings" w:hAnsi="Wingdings" w:hint="default"/>
      </w:rPr>
    </w:lvl>
    <w:lvl w:ilvl="3" w:tplc="081A0001" w:tentative="1">
      <w:start w:val="1"/>
      <w:numFmt w:val="bullet"/>
      <w:lvlText w:val=""/>
      <w:lvlJc w:val="left"/>
      <w:pPr>
        <w:ind w:left="3510" w:hanging="360"/>
      </w:pPr>
      <w:rPr>
        <w:rFonts w:ascii="Symbol" w:hAnsi="Symbol" w:hint="default"/>
      </w:rPr>
    </w:lvl>
    <w:lvl w:ilvl="4" w:tplc="081A0003" w:tentative="1">
      <w:start w:val="1"/>
      <w:numFmt w:val="bullet"/>
      <w:lvlText w:val="o"/>
      <w:lvlJc w:val="left"/>
      <w:pPr>
        <w:ind w:left="4230" w:hanging="360"/>
      </w:pPr>
      <w:rPr>
        <w:rFonts w:ascii="Courier New" w:hAnsi="Courier New" w:cs="Courier New" w:hint="default"/>
      </w:rPr>
    </w:lvl>
    <w:lvl w:ilvl="5" w:tplc="081A0005" w:tentative="1">
      <w:start w:val="1"/>
      <w:numFmt w:val="bullet"/>
      <w:lvlText w:val=""/>
      <w:lvlJc w:val="left"/>
      <w:pPr>
        <w:ind w:left="4950" w:hanging="360"/>
      </w:pPr>
      <w:rPr>
        <w:rFonts w:ascii="Wingdings" w:hAnsi="Wingdings" w:hint="default"/>
      </w:rPr>
    </w:lvl>
    <w:lvl w:ilvl="6" w:tplc="081A0001" w:tentative="1">
      <w:start w:val="1"/>
      <w:numFmt w:val="bullet"/>
      <w:lvlText w:val=""/>
      <w:lvlJc w:val="left"/>
      <w:pPr>
        <w:ind w:left="5670" w:hanging="360"/>
      </w:pPr>
      <w:rPr>
        <w:rFonts w:ascii="Symbol" w:hAnsi="Symbol" w:hint="default"/>
      </w:rPr>
    </w:lvl>
    <w:lvl w:ilvl="7" w:tplc="081A0003" w:tentative="1">
      <w:start w:val="1"/>
      <w:numFmt w:val="bullet"/>
      <w:lvlText w:val="o"/>
      <w:lvlJc w:val="left"/>
      <w:pPr>
        <w:ind w:left="6390" w:hanging="360"/>
      </w:pPr>
      <w:rPr>
        <w:rFonts w:ascii="Courier New" w:hAnsi="Courier New" w:cs="Courier New" w:hint="default"/>
      </w:rPr>
    </w:lvl>
    <w:lvl w:ilvl="8" w:tplc="081A0005" w:tentative="1">
      <w:start w:val="1"/>
      <w:numFmt w:val="bullet"/>
      <w:lvlText w:val=""/>
      <w:lvlJc w:val="left"/>
      <w:pPr>
        <w:ind w:left="7110" w:hanging="360"/>
      </w:pPr>
      <w:rPr>
        <w:rFonts w:ascii="Wingdings" w:hAnsi="Wingdings" w:hint="default"/>
      </w:rPr>
    </w:lvl>
  </w:abstractNum>
  <w:abstractNum w:abstractNumId="62">
    <w:nsid w:val="73654DA0"/>
    <w:multiLevelType w:val="hybridMultilevel"/>
    <w:tmpl w:val="A26A6D90"/>
    <w:lvl w:ilvl="0" w:tplc="081A0001">
      <w:start w:val="1"/>
      <w:numFmt w:val="bullet"/>
      <w:lvlText w:val=""/>
      <w:lvlJc w:val="left"/>
      <w:pPr>
        <w:ind w:left="1350" w:hanging="360"/>
      </w:pPr>
      <w:rPr>
        <w:rFonts w:ascii="Symbol" w:hAnsi="Symbol" w:hint="default"/>
      </w:rPr>
    </w:lvl>
    <w:lvl w:ilvl="1" w:tplc="081A0003" w:tentative="1">
      <w:start w:val="1"/>
      <w:numFmt w:val="bullet"/>
      <w:lvlText w:val="o"/>
      <w:lvlJc w:val="left"/>
      <w:pPr>
        <w:ind w:left="2070" w:hanging="360"/>
      </w:pPr>
      <w:rPr>
        <w:rFonts w:ascii="Courier New" w:hAnsi="Courier New" w:cs="Courier New" w:hint="default"/>
      </w:rPr>
    </w:lvl>
    <w:lvl w:ilvl="2" w:tplc="081A0005" w:tentative="1">
      <w:start w:val="1"/>
      <w:numFmt w:val="bullet"/>
      <w:lvlText w:val=""/>
      <w:lvlJc w:val="left"/>
      <w:pPr>
        <w:ind w:left="2790" w:hanging="360"/>
      </w:pPr>
      <w:rPr>
        <w:rFonts w:ascii="Wingdings" w:hAnsi="Wingdings" w:hint="default"/>
      </w:rPr>
    </w:lvl>
    <w:lvl w:ilvl="3" w:tplc="081A0001" w:tentative="1">
      <w:start w:val="1"/>
      <w:numFmt w:val="bullet"/>
      <w:lvlText w:val=""/>
      <w:lvlJc w:val="left"/>
      <w:pPr>
        <w:ind w:left="3510" w:hanging="360"/>
      </w:pPr>
      <w:rPr>
        <w:rFonts w:ascii="Symbol" w:hAnsi="Symbol" w:hint="default"/>
      </w:rPr>
    </w:lvl>
    <w:lvl w:ilvl="4" w:tplc="081A0003" w:tentative="1">
      <w:start w:val="1"/>
      <w:numFmt w:val="bullet"/>
      <w:lvlText w:val="o"/>
      <w:lvlJc w:val="left"/>
      <w:pPr>
        <w:ind w:left="4230" w:hanging="360"/>
      </w:pPr>
      <w:rPr>
        <w:rFonts w:ascii="Courier New" w:hAnsi="Courier New" w:cs="Courier New" w:hint="default"/>
      </w:rPr>
    </w:lvl>
    <w:lvl w:ilvl="5" w:tplc="081A0005" w:tentative="1">
      <w:start w:val="1"/>
      <w:numFmt w:val="bullet"/>
      <w:lvlText w:val=""/>
      <w:lvlJc w:val="left"/>
      <w:pPr>
        <w:ind w:left="4950" w:hanging="360"/>
      </w:pPr>
      <w:rPr>
        <w:rFonts w:ascii="Wingdings" w:hAnsi="Wingdings" w:hint="default"/>
      </w:rPr>
    </w:lvl>
    <w:lvl w:ilvl="6" w:tplc="081A0001" w:tentative="1">
      <w:start w:val="1"/>
      <w:numFmt w:val="bullet"/>
      <w:lvlText w:val=""/>
      <w:lvlJc w:val="left"/>
      <w:pPr>
        <w:ind w:left="5670" w:hanging="360"/>
      </w:pPr>
      <w:rPr>
        <w:rFonts w:ascii="Symbol" w:hAnsi="Symbol" w:hint="default"/>
      </w:rPr>
    </w:lvl>
    <w:lvl w:ilvl="7" w:tplc="081A0003" w:tentative="1">
      <w:start w:val="1"/>
      <w:numFmt w:val="bullet"/>
      <w:lvlText w:val="o"/>
      <w:lvlJc w:val="left"/>
      <w:pPr>
        <w:ind w:left="6390" w:hanging="360"/>
      </w:pPr>
      <w:rPr>
        <w:rFonts w:ascii="Courier New" w:hAnsi="Courier New" w:cs="Courier New" w:hint="default"/>
      </w:rPr>
    </w:lvl>
    <w:lvl w:ilvl="8" w:tplc="081A0005" w:tentative="1">
      <w:start w:val="1"/>
      <w:numFmt w:val="bullet"/>
      <w:lvlText w:val=""/>
      <w:lvlJc w:val="left"/>
      <w:pPr>
        <w:ind w:left="7110" w:hanging="360"/>
      </w:pPr>
      <w:rPr>
        <w:rFonts w:ascii="Wingdings" w:hAnsi="Wingdings" w:hint="default"/>
      </w:rPr>
    </w:lvl>
  </w:abstractNum>
  <w:abstractNum w:abstractNumId="63">
    <w:nsid w:val="76FF73E2"/>
    <w:multiLevelType w:val="hybridMultilevel"/>
    <w:tmpl w:val="C92AF1C0"/>
    <w:lvl w:ilvl="0" w:tplc="35008B12">
      <w:start w:val="4"/>
      <w:numFmt w:val="bullet"/>
      <w:lvlText w:val="-"/>
      <w:lvlJc w:val="left"/>
      <w:pPr>
        <w:ind w:left="720" w:hanging="360"/>
      </w:pPr>
      <w:rPr>
        <w:rFonts w:ascii="Calibri" w:eastAsia="Times New Roman" w:hAnsi="Calibri" w:cs="Times New Roman"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64">
    <w:nsid w:val="785408EF"/>
    <w:multiLevelType w:val="hybridMultilevel"/>
    <w:tmpl w:val="2E20D8EE"/>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65">
    <w:nsid w:val="78B57973"/>
    <w:multiLevelType w:val="hybridMultilevel"/>
    <w:tmpl w:val="E292A694"/>
    <w:lvl w:ilvl="0" w:tplc="081A0001">
      <w:start w:val="1"/>
      <w:numFmt w:val="bullet"/>
      <w:lvlText w:val=""/>
      <w:lvlJc w:val="left"/>
      <w:pPr>
        <w:ind w:left="1080" w:hanging="360"/>
      </w:pPr>
      <w:rPr>
        <w:rFonts w:ascii="Symbol" w:hAnsi="Symbol" w:hint="default"/>
      </w:rPr>
    </w:lvl>
    <w:lvl w:ilvl="1" w:tplc="081A0003" w:tentative="1">
      <w:start w:val="1"/>
      <w:numFmt w:val="bullet"/>
      <w:lvlText w:val="o"/>
      <w:lvlJc w:val="left"/>
      <w:pPr>
        <w:ind w:left="1800" w:hanging="360"/>
      </w:pPr>
      <w:rPr>
        <w:rFonts w:ascii="Courier New" w:hAnsi="Courier New" w:cs="Courier New" w:hint="default"/>
      </w:rPr>
    </w:lvl>
    <w:lvl w:ilvl="2" w:tplc="081A0005" w:tentative="1">
      <w:start w:val="1"/>
      <w:numFmt w:val="bullet"/>
      <w:lvlText w:val=""/>
      <w:lvlJc w:val="left"/>
      <w:pPr>
        <w:ind w:left="2520" w:hanging="360"/>
      </w:pPr>
      <w:rPr>
        <w:rFonts w:ascii="Wingdings" w:hAnsi="Wingdings" w:hint="default"/>
      </w:rPr>
    </w:lvl>
    <w:lvl w:ilvl="3" w:tplc="081A0001" w:tentative="1">
      <w:start w:val="1"/>
      <w:numFmt w:val="bullet"/>
      <w:lvlText w:val=""/>
      <w:lvlJc w:val="left"/>
      <w:pPr>
        <w:ind w:left="3240" w:hanging="360"/>
      </w:pPr>
      <w:rPr>
        <w:rFonts w:ascii="Symbol" w:hAnsi="Symbol" w:hint="default"/>
      </w:rPr>
    </w:lvl>
    <w:lvl w:ilvl="4" w:tplc="081A0003" w:tentative="1">
      <w:start w:val="1"/>
      <w:numFmt w:val="bullet"/>
      <w:lvlText w:val="o"/>
      <w:lvlJc w:val="left"/>
      <w:pPr>
        <w:ind w:left="3960" w:hanging="360"/>
      </w:pPr>
      <w:rPr>
        <w:rFonts w:ascii="Courier New" w:hAnsi="Courier New" w:cs="Courier New" w:hint="default"/>
      </w:rPr>
    </w:lvl>
    <w:lvl w:ilvl="5" w:tplc="081A0005" w:tentative="1">
      <w:start w:val="1"/>
      <w:numFmt w:val="bullet"/>
      <w:lvlText w:val=""/>
      <w:lvlJc w:val="left"/>
      <w:pPr>
        <w:ind w:left="4680" w:hanging="360"/>
      </w:pPr>
      <w:rPr>
        <w:rFonts w:ascii="Wingdings" w:hAnsi="Wingdings" w:hint="default"/>
      </w:rPr>
    </w:lvl>
    <w:lvl w:ilvl="6" w:tplc="081A0001" w:tentative="1">
      <w:start w:val="1"/>
      <w:numFmt w:val="bullet"/>
      <w:lvlText w:val=""/>
      <w:lvlJc w:val="left"/>
      <w:pPr>
        <w:ind w:left="5400" w:hanging="360"/>
      </w:pPr>
      <w:rPr>
        <w:rFonts w:ascii="Symbol" w:hAnsi="Symbol" w:hint="default"/>
      </w:rPr>
    </w:lvl>
    <w:lvl w:ilvl="7" w:tplc="081A0003" w:tentative="1">
      <w:start w:val="1"/>
      <w:numFmt w:val="bullet"/>
      <w:lvlText w:val="o"/>
      <w:lvlJc w:val="left"/>
      <w:pPr>
        <w:ind w:left="6120" w:hanging="360"/>
      </w:pPr>
      <w:rPr>
        <w:rFonts w:ascii="Courier New" w:hAnsi="Courier New" w:cs="Courier New" w:hint="default"/>
      </w:rPr>
    </w:lvl>
    <w:lvl w:ilvl="8" w:tplc="081A0005" w:tentative="1">
      <w:start w:val="1"/>
      <w:numFmt w:val="bullet"/>
      <w:lvlText w:val=""/>
      <w:lvlJc w:val="left"/>
      <w:pPr>
        <w:ind w:left="6840" w:hanging="360"/>
      </w:pPr>
      <w:rPr>
        <w:rFonts w:ascii="Wingdings" w:hAnsi="Wingdings" w:hint="default"/>
      </w:rPr>
    </w:lvl>
  </w:abstractNum>
  <w:abstractNum w:abstractNumId="66">
    <w:nsid w:val="794E713D"/>
    <w:multiLevelType w:val="hybridMultilevel"/>
    <w:tmpl w:val="0F30F8C2"/>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67">
    <w:nsid w:val="79B13FA4"/>
    <w:multiLevelType w:val="hybridMultilevel"/>
    <w:tmpl w:val="2D8CBE96"/>
    <w:lvl w:ilvl="0" w:tplc="25885C9C">
      <w:start w:val="1"/>
      <w:numFmt w:val="decimal"/>
      <w:lvlText w:val="%1)"/>
      <w:lvlJc w:val="left"/>
      <w:pPr>
        <w:ind w:left="1080" w:hanging="360"/>
      </w:pPr>
      <w:rPr>
        <w:rFonts w:ascii="Times New Roman" w:hAnsi="Times New Roman" w:cs="Times New Roman" w:hint="default"/>
        <w:b w:val="0"/>
        <w:sz w:val="24"/>
      </w:rPr>
    </w:lvl>
    <w:lvl w:ilvl="1" w:tplc="081A0019" w:tentative="1">
      <w:start w:val="1"/>
      <w:numFmt w:val="lowerLetter"/>
      <w:lvlText w:val="%2."/>
      <w:lvlJc w:val="left"/>
      <w:pPr>
        <w:ind w:left="1800" w:hanging="360"/>
      </w:pPr>
    </w:lvl>
    <w:lvl w:ilvl="2" w:tplc="081A001B" w:tentative="1">
      <w:start w:val="1"/>
      <w:numFmt w:val="lowerRoman"/>
      <w:lvlText w:val="%3."/>
      <w:lvlJc w:val="right"/>
      <w:pPr>
        <w:ind w:left="2520" w:hanging="180"/>
      </w:pPr>
    </w:lvl>
    <w:lvl w:ilvl="3" w:tplc="081A000F" w:tentative="1">
      <w:start w:val="1"/>
      <w:numFmt w:val="decimal"/>
      <w:lvlText w:val="%4."/>
      <w:lvlJc w:val="left"/>
      <w:pPr>
        <w:ind w:left="3240" w:hanging="360"/>
      </w:pPr>
    </w:lvl>
    <w:lvl w:ilvl="4" w:tplc="081A0019" w:tentative="1">
      <w:start w:val="1"/>
      <w:numFmt w:val="lowerLetter"/>
      <w:lvlText w:val="%5."/>
      <w:lvlJc w:val="left"/>
      <w:pPr>
        <w:ind w:left="3960" w:hanging="360"/>
      </w:pPr>
    </w:lvl>
    <w:lvl w:ilvl="5" w:tplc="081A001B" w:tentative="1">
      <w:start w:val="1"/>
      <w:numFmt w:val="lowerRoman"/>
      <w:lvlText w:val="%6."/>
      <w:lvlJc w:val="right"/>
      <w:pPr>
        <w:ind w:left="4680" w:hanging="180"/>
      </w:pPr>
    </w:lvl>
    <w:lvl w:ilvl="6" w:tplc="081A000F" w:tentative="1">
      <w:start w:val="1"/>
      <w:numFmt w:val="decimal"/>
      <w:lvlText w:val="%7."/>
      <w:lvlJc w:val="left"/>
      <w:pPr>
        <w:ind w:left="5400" w:hanging="360"/>
      </w:pPr>
    </w:lvl>
    <w:lvl w:ilvl="7" w:tplc="081A0019" w:tentative="1">
      <w:start w:val="1"/>
      <w:numFmt w:val="lowerLetter"/>
      <w:lvlText w:val="%8."/>
      <w:lvlJc w:val="left"/>
      <w:pPr>
        <w:ind w:left="6120" w:hanging="360"/>
      </w:pPr>
    </w:lvl>
    <w:lvl w:ilvl="8" w:tplc="081A001B" w:tentative="1">
      <w:start w:val="1"/>
      <w:numFmt w:val="lowerRoman"/>
      <w:lvlText w:val="%9."/>
      <w:lvlJc w:val="right"/>
      <w:pPr>
        <w:ind w:left="6840" w:hanging="180"/>
      </w:pPr>
    </w:lvl>
  </w:abstractNum>
  <w:num w:numId="1">
    <w:abstractNumId w:val="19"/>
  </w:num>
  <w:num w:numId="2">
    <w:abstractNumId w:val="45"/>
  </w:num>
  <w:num w:numId="3">
    <w:abstractNumId w:val="43"/>
  </w:num>
  <w:num w:numId="4">
    <w:abstractNumId w:val="21"/>
  </w:num>
  <w:num w:numId="5">
    <w:abstractNumId w:val="50"/>
  </w:num>
  <w:num w:numId="6">
    <w:abstractNumId w:val="7"/>
  </w:num>
  <w:num w:numId="7">
    <w:abstractNumId w:val="8"/>
  </w:num>
  <w:num w:numId="8">
    <w:abstractNumId w:val="15"/>
  </w:num>
  <w:num w:numId="9">
    <w:abstractNumId w:val="29"/>
  </w:num>
  <w:num w:numId="10">
    <w:abstractNumId w:val="31"/>
  </w:num>
  <w:num w:numId="11">
    <w:abstractNumId w:val="26"/>
  </w:num>
  <w:num w:numId="12">
    <w:abstractNumId w:val="23"/>
  </w:num>
  <w:num w:numId="13">
    <w:abstractNumId w:val="56"/>
  </w:num>
  <w:num w:numId="14">
    <w:abstractNumId w:val="10"/>
  </w:num>
  <w:num w:numId="15">
    <w:abstractNumId w:val="40"/>
  </w:num>
  <w:num w:numId="16">
    <w:abstractNumId w:val="3"/>
  </w:num>
  <w:num w:numId="17">
    <w:abstractNumId w:val="12"/>
  </w:num>
  <w:num w:numId="18">
    <w:abstractNumId w:val="4"/>
  </w:num>
  <w:num w:numId="19">
    <w:abstractNumId w:val="9"/>
  </w:num>
  <w:num w:numId="20">
    <w:abstractNumId w:val="22"/>
  </w:num>
  <w:num w:numId="21">
    <w:abstractNumId w:val="14"/>
  </w:num>
  <w:num w:numId="22">
    <w:abstractNumId w:val="63"/>
  </w:num>
  <w:num w:numId="23">
    <w:abstractNumId w:val="55"/>
  </w:num>
  <w:num w:numId="24">
    <w:abstractNumId w:val="67"/>
  </w:num>
  <w:num w:numId="25">
    <w:abstractNumId w:val="38"/>
  </w:num>
  <w:num w:numId="26">
    <w:abstractNumId w:val="11"/>
  </w:num>
  <w:num w:numId="27">
    <w:abstractNumId w:val="39"/>
  </w:num>
  <w:num w:numId="28">
    <w:abstractNumId w:val="64"/>
  </w:num>
  <w:num w:numId="29">
    <w:abstractNumId w:val="59"/>
  </w:num>
  <w:num w:numId="30">
    <w:abstractNumId w:val="44"/>
  </w:num>
  <w:num w:numId="31">
    <w:abstractNumId w:val="61"/>
  </w:num>
  <w:num w:numId="32">
    <w:abstractNumId w:val="28"/>
  </w:num>
  <w:num w:numId="33">
    <w:abstractNumId w:val="41"/>
  </w:num>
  <w:num w:numId="34">
    <w:abstractNumId w:val="34"/>
  </w:num>
  <w:num w:numId="35">
    <w:abstractNumId w:val="33"/>
  </w:num>
  <w:num w:numId="36">
    <w:abstractNumId w:val="57"/>
  </w:num>
  <w:num w:numId="37">
    <w:abstractNumId w:val="27"/>
  </w:num>
  <w:num w:numId="38">
    <w:abstractNumId w:val="30"/>
  </w:num>
  <w:num w:numId="39">
    <w:abstractNumId w:val="17"/>
  </w:num>
  <w:num w:numId="40">
    <w:abstractNumId w:val="20"/>
  </w:num>
  <w:num w:numId="41">
    <w:abstractNumId w:val="51"/>
  </w:num>
  <w:num w:numId="42">
    <w:abstractNumId w:val="49"/>
  </w:num>
  <w:num w:numId="43">
    <w:abstractNumId w:val="65"/>
  </w:num>
  <w:num w:numId="44">
    <w:abstractNumId w:val="66"/>
  </w:num>
  <w:num w:numId="45">
    <w:abstractNumId w:val="5"/>
  </w:num>
  <w:num w:numId="46">
    <w:abstractNumId w:val="54"/>
  </w:num>
  <w:num w:numId="47">
    <w:abstractNumId w:val="53"/>
  </w:num>
  <w:num w:numId="48">
    <w:abstractNumId w:val="35"/>
  </w:num>
  <w:num w:numId="49">
    <w:abstractNumId w:val="24"/>
  </w:num>
  <w:num w:numId="50">
    <w:abstractNumId w:val="52"/>
  </w:num>
  <w:num w:numId="51">
    <w:abstractNumId w:val="13"/>
  </w:num>
  <w:num w:numId="52">
    <w:abstractNumId w:val="46"/>
  </w:num>
  <w:num w:numId="53">
    <w:abstractNumId w:val="18"/>
  </w:num>
  <w:num w:numId="54">
    <w:abstractNumId w:val="32"/>
  </w:num>
  <w:num w:numId="55">
    <w:abstractNumId w:val="25"/>
  </w:num>
  <w:num w:numId="56">
    <w:abstractNumId w:val="62"/>
  </w:num>
  <w:num w:numId="57">
    <w:abstractNumId w:val="6"/>
  </w:num>
  <w:num w:numId="58">
    <w:abstractNumId w:val="42"/>
  </w:num>
  <w:num w:numId="59">
    <w:abstractNumId w:val="16"/>
  </w:num>
  <w:num w:numId="60">
    <w:abstractNumId w:val="48"/>
  </w:num>
  <w:num w:numId="61">
    <w:abstractNumId w:val="58"/>
  </w:num>
  <w:num w:numId="62">
    <w:abstractNumId w:val="47"/>
  </w:num>
  <w:num w:numId="63">
    <w:abstractNumId w:val="37"/>
  </w:num>
  <w:num w:numId="6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hyphenationZone w:val="425"/>
  <w:characterSpacingControl w:val="doNotCompress"/>
  <w:hdrShapeDefaults>
    <o:shapedefaults v:ext="edit" spidmax="317442"/>
  </w:hdrShapeDefaults>
  <w:footnotePr>
    <w:footnote w:id="0"/>
    <w:footnote w:id="1"/>
  </w:footnotePr>
  <w:endnotePr>
    <w:endnote w:id="0"/>
    <w:endnote w:id="1"/>
  </w:endnotePr>
  <w:compat/>
  <w:rsids>
    <w:rsidRoot w:val="00323F37"/>
    <w:rsid w:val="00000089"/>
    <w:rsid w:val="00000787"/>
    <w:rsid w:val="00000819"/>
    <w:rsid w:val="000008C9"/>
    <w:rsid w:val="00000ADA"/>
    <w:rsid w:val="00000F3B"/>
    <w:rsid w:val="00001522"/>
    <w:rsid w:val="00001601"/>
    <w:rsid w:val="000016EC"/>
    <w:rsid w:val="000019AD"/>
    <w:rsid w:val="00001DEB"/>
    <w:rsid w:val="00002158"/>
    <w:rsid w:val="00002BC3"/>
    <w:rsid w:val="000030AD"/>
    <w:rsid w:val="0000338C"/>
    <w:rsid w:val="0000353F"/>
    <w:rsid w:val="000043B5"/>
    <w:rsid w:val="00004897"/>
    <w:rsid w:val="000048AF"/>
    <w:rsid w:val="00004AE2"/>
    <w:rsid w:val="0000615A"/>
    <w:rsid w:val="000061DF"/>
    <w:rsid w:val="000063E8"/>
    <w:rsid w:val="000069F7"/>
    <w:rsid w:val="0000795D"/>
    <w:rsid w:val="0001027C"/>
    <w:rsid w:val="00010A0A"/>
    <w:rsid w:val="00010E40"/>
    <w:rsid w:val="00011015"/>
    <w:rsid w:val="00011174"/>
    <w:rsid w:val="0001193C"/>
    <w:rsid w:val="00011D0B"/>
    <w:rsid w:val="00012105"/>
    <w:rsid w:val="00012ECC"/>
    <w:rsid w:val="00012F7B"/>
    <w:rsid w:val="00013005"/>
    <w:rsid w:val="00013F75"/>
    <w:rsid w:val="00014811"/>
    <w:rsid w:val="00014A26"/>
    <w:rsid w:val="00014B93"/>
    <w:rsid w:val="00014DFE"/>
    <w:rsid w:val="0001527F"/>
    <w:rsid w:val="00015FD6"/>
    <w:rsid w:val="0001601F"/>
    <w:rsid w:val="00016705"/>
    <w:rsid w:val="00016A1E"/>
    <w:rsid w:val="0001726A"/>
    <w:rsid w:val="00017689"/>
    <w:rsid w:val="00017D7B"/>
    <w:rsid w:val="00017DD0"/>
    <w:rsid w:val="00020AA3"/>
    <w:rsid w:val="00021127"/>
    <w:rsid w:val="000212A6"/>
    <w:rsid w:val="000215BC"/>
    <w:rsid w:val="00022457"/>
    <w:rsid w:val="0002290F"/>
    <w:rsid w:val="00023159"/>
    <w:rsid w:val="00023E55"/>
    <w:rsid w:val="000243B6"/>
    <w:rsid w:val="000246CA"/>
    <w:rsid w:val="00024F34"/>
    <w:rsid w:val="000253BC"/>
    <w:rsid w:val="00025457"/>
    <w:rsid w:val="000255AC"/>
    <w:rsid w:val="00025D62"/>
    <w:rsid w:val="00025F70"/>
    <w:rsid w:val="00026F4A"/>
    <w:rsid w:val="00026F60"/>
    <w:rsid w:val="00027DCA"/>
    <w:rsid w:val="00030666"/>
    <w:rsid w:val="00030762"/>
    <w:rsid w:val="00030814"/>
    <w:rsid w:val="00030ADD"/>
    <w:rsid w:val="00030C03"/>
    <w:rsid w:val="00030F3B"/>
    <w:rsid w:val="00030F5C"/>
    <w:rsid w:val="00031C56"/>
    <w:rsid w:val="00031D2E"/>
    <w:rsid w:val="000321D0"/>
    <w:rsid w:val="0003229A"/>
    <w:rsid w:val="000326CC"/>
    <w:rsid w:val="00032907"/>
    <w:rsid w:val="00032D32"/>
    <w:rsid w:val="000330B8"/>
    <w:rsid w:val="00033A8A"/>
    <w:rsid w:val="00033F37"/>
    <w:rsid w:val="0003409C"/>
    <w:rsid w:val="00034227"/>
    <w:rsid w:val="000343B4"/>
    <w:rsid w:val="000343F8"/>
    <w:rsid w:val="00034756"/>
    <w:rsid w:val="00035554"/>
    <w:rsid w:val="00035562"/>
    <w:rsid w:val="00035573"/>
    <w:rsid w:val="00035C4C"/>
    <w:rsid w:val="00036182"/>
    <w:rsid w:val="00036FA9"/>
    <w:rsid w:val="00037DF1"/>
    <w:rsid w:val="00037FB6"/>
    <w:rsid w:val="00040B0B"/>
    <w:rsid w:val="0004129E"/>
    <w:rsid w:val="000413FE"/>
    <w:rsid w:val="000414FB"/>
    <w:rsid w:val="000419DD"/>
    <w:rsid w:val="00041C57"/>
    <w:rsid w:val="00042464"/>
    <w:rsid w:val="0004248F"/>
    <w:rsid w:val="00042504"/>
    <w:rsid w:val="000436F7"/>
    <w:rsid w:val="00043D7C"/>
    <w:rsid w:val="00043DA8"/>
    <w:rsid w:val="00044017"/>
    <w:rsid w:val="00044F30"/>
    <w:rsid w:val="000456A6"/>
    <w:rsid w:val="00045A3F"/>
    <w:rsid w:val="00045D5B"/>
    <w:rsid w:val="00045DBE"/>
    <w:rsid w:val="00046AD0"/>
    <w:rsid w:val="00046DFD"/>
    <w:rsid w:val="0004724E"/>
    <w:rsid w:val="000472D2"/>
    <w:rsid w:val="000479B4"/>
    <w:rsid w:val="000503FF"/>
    <w:rsid w:val="00050C70"/>
    <w:rsid w:val="00050DBC"/>
    <w:rsid w:val="000514FE"/>
    <w:rsid w:val="00051BD7"/>
    <w:rsid w:val="0005202B"/>
    <w:rsid w:val="000525BE"/>
    <w:rsid w:val="000525F1"/>
    <w:rsid w:val="00052AA4"/>
    <w:rsid w:val="00052B04"/>
    <w:rsid w:val="00052B0E"/>
    <w:rsid w:val="00052B45"/>
    <w:rsid w:val="0005337B"/>
    <w:rsid w:val="00053AA7"/>
    <w:rsid w:val="00053C8C"/>
    <w:rsid w:val="00053CF0"/>
    <w:rsid w:val="0005406E"/>
    <w:rsid w:val="00054154"/>
    <w:rsid w:val="00054363"/>
    <w:rsid w:val="00054775"/>
    <w:rsid w:val="00054AC3"/>
    <w:rsid w:val="000552E7"/>
    <w:rsid w:val="00055518"/>
    <w:rsid w:val="000556C6"/>
    <w:rsid w:val="000567C7"/>
    <w:rsid w:val="00056CBF"/>
    <w:rsid w:val="00057219"/>
    <w:rsid w:val="00057772"/>
    <w:rsid w:val="00057B05"/>
    <w:rsid w:val="000600FE"/>
    <w:rsid w:val="00060971"/>
    <w:rsid w:val="00060998"/>
    <w:rsid w:val="00060DE5"/>
    <w:rsid w:val="0006150F"/>
    <w:rsid w:val="000618D5"/>
    <w:rsid w:val="00061E45"/>
    <w:rsid w:val="0006201F"/>
    <w:rsid w:val="000622F4"/>
    <w:rsid w:val="0006271B"/>
    <w:rsid w:val="000627D4"/>
    <w:rsid w:val="00062B62"/>
    <w:rsid w:val="0006345D"/>
    <w:rsid w:val="0006385D"/>
    <w:rsid w:val="0006395B"/>
    <w:rsid w:val="00063A33"/>
    <w:rsid w:val="00063C5A"/>
    <w:rsid w:val="0006521B"/>
    <w:rsid w:val="000652A2"/>
    <w:rsid w:val="000658B9"/>
    <w:rsid w:val="000658FA"/>
    <w:rsid w:val="00065D72"/>
    <w:rsid w:val="00065E4B"/>
    <w:rsid w:val="00065FE5"/>
    <w:rsid w:val="000660DB"/>
    <w:rsid w:val="000664E0"/>
    <w:rsid w:val="000666F6"/>
    <w:rsid w:val="00066F28"/>
    <w:rsid w:val="00067123"/>
    <w:rsid w:val="00067221"/>
    <w:rsid w:val="0006763C"/>
    <w:rsid w:val="0007021A"/>
    <w:rsid w:val="00070E38"/>
    <w:rsid w:val="00070EC5"/>
    <w:rsid w:val="0007149F"/>
    <w:rsid w:val="0007172C"/>
    <w:rsid w:val="00071753"/>
    <w:rsid w:val="00071975"/>
    <w:rsid w:val="000726DA"/>
    <w:rsid w:val="00072A45"/>
    <w:rsid w:val="00072D04"/>
    <w:rsid w:val="000731C4"/>
    <w:rsid w:val="00073607"/>
    <w:rsid w:val="0007367C"/>
    <w:rsid w:val="00073706"/>
    <w:rsid w:val="00073725"/>
    <w:rsid w:val="00073A6A"/>
    <w:rsid w:val="00073D76"/>
    <w:rsid w:val="0007493E"/>
    <w:rsid w:val="00074FA1"/>
    <w:rsid w:val="000750B0"/>
    <w:rsid w:val="00075124"/>
    <w:rsid w:val="000766FF"/>
    <w:rsid w:val="00076B00"/>
    <w:rsid w:val="000779E6"/>
    <w:rsid w:val="00081B1E"/>
    <w:rsid w:val="00081BFF"/>
    <w:rsid w:val="00081C55"/>
    <w:rsid w:val="00081D7E"/>
    <w:rsid w:val="000820C2"/>
    <w:rsid w:val="000820F5"/>
    <w:rsid w:val="00082783"/>
    <w:rsid w:val="00082A99"/>
    <w:rsid w:val="00082AB8"/>
    <w:rsid w:val="00082CCE"/>
    <w:rsid w:val="00082EA7"/>
    <w:rsid w:val="00082F9B"/>
    <w:rsid w:val="00083949"/>
    <w:rsid w:val="00084759"/>
    <w:rsid w:val="00084AC5"/>
    <w:rsid w:val="000857AB"/>
    <w:rsid w:val="0008642E"/>
    <w:rsid w:val="00086762"/>
    <w:rsid w:val="00086C38"/>
    <w:rsid w:val="000877E4"/>
    <w:rsid w:val="00087C35"/>
    <w:rsid w:val="00090C26"/>
    <w:rsid w:val="000912DD"/>
    <w:rsid w:val="00091412"/>
    <w:rsid w:val="000917A1"/>
    <w:rsid w:val="00091C1E"/>
    <w:rsid w:val="00091D05"/>
    <w:rsid w:val="0009226F"/>
    <w:rsid w:val="0009237D"/>
    <w:rsid w:val="00092421"/>
    <w:rsid w:val="0009246C"/>
    <w:rsid w:val="0009256F"/>
    <w:rsid w:val="000926BE"/>
    <w:rsid w:val="00092798"/>
    <w:rsid w:val="000933FD"/>
    <w:rsid w:val="0009406B"/>
    <w:rsid w:val="000956D9"/>
    <w:rsid w:val="00095739"/>
    <w:rsid w:val="00095BAA"/>
    <w:rsid w:val="000964A7"/>
    <w:rsid w:val="00096753"/>
    <w:rsid w:val="000967C2"/>
    <w:rsid w:val="00096894"/>
    <w:rsid w:val="00096BF4"/>
    <w:rsid w:val="0009739D"/>
    <w:rsid w:val="00097782"/>
    <w:rsid w:val="00097EDC"/>
    <w:rsid w:val="000A1A78"/>
    <w:rsid w:val="000A1CCA"/>
    <w:rsid w:val="000A27F4"/>
    <w:rsid w:val="000A285A"/>
    <w:rsid w:val="000A3369"/>
    <w:rsid w:val="000A3DA8"/>
    <w:rsid w:val="000A5011"/>
    <w:rsid w:val="000A5169"/>
    <w:rsid w:val="000A5499"/>
    <w:rsid w:val="000A57DD"/>
    <w:rsid w:val="000A5A77"/>
    <w:rsid w:val="000A5AB8"/>
    <w:rsid w:val="000A6560"/>
    <w:rsid w:val="000A6667"/>
    <w:rsid w:val="000A66CB"/>
    <w:rsid w:val="000A672D"/>
    <w:rsid w:val="000A6A1A"/>
    <w:rsid w:val="000A6D8A"/>
    <w:rsid w:val="000A6F54"/>
    <w:rsid w:val="000A764E"/>
    <w:rsid w:val="000B0116"/>
    <w:rsid w:val="000B0223"/>
    <w:rsid w:val="000B0789"/>
    <w:rsid w:val="000B07D2"/>
    <w:rsid w:val="000B0D36"/>
    <w:rsid w:val="000B0DD0"/>
    <w:rsid w:val="000B0E01"/>
    <w:rsid w:val="000B1628"/>
    <w:rsid w:val="000B3507"/>
    <w:rsid w:val="000B3BC5"/>
    <w:rsid w:val="000B417D"/>
    <w:rsid w:val="000B4932"/>
    <w:rsid w:val="000B4B23"/>
    <w:rsid w:val="000B53E8"/>
    <w:rsid w:val="000B5565"/>
    <w:rsid w:val="000B561F"/>
    <w:rsid w:val="000B5734"/>
    <w:rsid w:val="000B57A3"/>
    <w:rsid w:val="000B5CF8"/>
    <w:rsid w:val="000B6615"/>
    <w:rsid w:val="000B70CD"/>
    <w:rsid w:val="000B73BE"/>
    <w:rsid w:val="000B75B9"/>
    <w:rsid w:val="000B765A"/>
    <w:rsid w:val="000B7678"/>
    <w:rsid w:val="000B7868"/>
    <w:rsid w:val="000B7EF2"/>
    <w:rsid w:val="000C02AA"/>
    <w:rsid w:val="000C097A"/>
    <w:rsid w:val="000C1307"/>
    <w:rsid w:val="000C19B3"/>
    <w:rsid w:val="000C19EE"/>
    <w:rsid w:val="000C1BBC"/>
    <w:rsid w:val="000C33E3"/>
    <w:rsid w:val="000C341C"/>
    <w:rsid w:val="000C3B13"/>
    <w:rsid w:val="000C3E69"/>
    <w:rsid w:val="000C42D6"/>
    <w:rsid w:val="000C4514"/>
    <w:rsid w:val="000C4553"/>
    <w:rsid w:val="000C4C6B"/>
    <w:rsid w:val="000C4CCF"/>
    <w:rsid w:val="000C5068"/>
    <w:rsid w:val="000C5807"/>
    <w:rsid w:val="000C5A92"/>
    <w:rsid w:val="000C5B11"/>
    <w:rsid w:val="000C642C"/>
    <w:rsid w:val="000C6755"/>
    <w:rsid w:val="000C6DB1"/>
    <w:rsid w:val="000C7078"/>
    <w:rsid w:val="000C769F"/>
    <w:rsid w:val="000D0373"/>
    <w:rsid w:val="000D0C72"/>
    <w:rsid w:val="000D1183"/>
    <w:rsid w:val="000D197C"/>
    <w:rsid w:val="000D2391"/>
    <w:rsid w:val="000D2581"/>
    <w:rsid w:val="000D2970"/>
    <w:rsid w:val="000D2D2B"/>
    <w:rsid w:val="000D37F8"/>
    <w:rsid w:val="000D3980"/>
    <w:rsid w:val="000D3C6F"/>
    <w:rsid w:val="000D3CDE"/>
    <w:rsid w:val="000D40DF"/>
    <w:rsid w:val="000D4276"/>
    <w:rsid w:val="000D475B"/>
    <w:rsid w:val="000D487B"/>
    <w:rsid w:val="000D4C82"/>
    <w:rsid w:val="000D529D"/>
    <w:rsid w:val="000D529F"/>
    <w:rsid w:val="000D56CF"/>
    <w:rsid w:val="000D621E"/>
    <w:rsid w:val="000D6329"/>
    <w:rsid w:val="000D6602"/>
    <w:rsid w:val="000D7632"/>
    <w:rsid w:val="000D767E"/>
    <w:rsid w:val="000D7709"/>
    <w:rsid w:val="000E0CDB"/>
    <w:rsid w:val="000E1089"/>
    <w:rsid w:val="000E1BCD"/>
    <w:rsid w:val="000E1C50"/>
    <w:rsid w:val="000E267F"/>
    <w:rsid w:val="000E2AD0"/>
    <w:rsid w:val="000E2C6B"/>
    <w:rsid w:val="000E2D8D"/>
    <w:rsid w:val="000E2E25"/>
    <w:rsid w:val="000E3B41"/>
    <w:rsid w:val="000E3EC5"/>
    <w:rsid w:val="000E4D3B"/>
    <w:rsid w:val="000E4F60"/>
    <w:rsid w:val="000E60A9"/>
    <w:rsid w:val="000E61A7"/>
    <w:rsid w:val="000E6258"/>
    <w:rsid w:val="000E66B7"/>
    <w:rsid w:val="000E68B3"/>
    <w:rsid w:val="000E6DE4"/>
    <w:rsid w:val="000E71A2"/>
    <w:rsid w:val="000E7222"/>
    <w:rsid w:val="000F0282"/>
    <w:rsid w:val="000F0689"/>
    <w:rsid w:val="000F06A3"/>
    <w:rsid w:val="000F1450"/>
    <w:rsid w:val="000F1667"/>
    <w:rsid w:val="000F1C50"/>
    <w:rsid w:val="000F30C5"/>
    <w:rsid w:val="000F326B"/>
    <w:rsid w:val="000F3B71"/>
    <w:rsid w:val="000F4330"/>
    <w:rsid w:val="000F43CB"/>
    <w:rsid w:val="000F5036"/>
    <w:rsid w:val="000F524C"/>
    <w:rsid w:val="000F568A"/>
    <w:rsid w:val="000F58F5"/>
    <w:rsid w:val="000F59D5"/>
    <w:rsid w:val="000F5FCA"/>
    <w:rsid w:val="000F61E0"/>
    <w:rsid w:val="000F630E"/>
    <w:rsid w:val="000F6721"/>
    <w:rsid w:val="000F6F2C"/>
    <w:rsid w:val="000F7306"/>
    <w:rsid w:val="000F7971"/>
    <w:rsid w:val="000F7B7D"/>
    <w:rsid w:val="001009BE"/>
    <w:rsid w:val="00100FD8"/>
    <w:rsid w:val="00101AD2"/>
    <w:rsid w:val="00101EC2"/>
    <w:rsid w:val="00101EC8"/>
    <w:rsid w:val="00102251"/>
    <w:rsid w:val="00102EC3"/>
    <w:rsid w:val="00102F6D"/>
    <w:rsid w:val="001032FF"/>
    <w:rsid w:val="001034DD"/>
    <w:rsid w:val="00103A87"/>
    <w:rsid w:val="00103B2A"/>
    <w:rsid w:val="0010457D"/>
    <w:rsid w:val="0010546A"/>
    <w:rsid w:val="00105A17"/>
    <w:rsid w:val="00105B83"/>
    <w:rsid w:val="00106CF8"/>
    <w:rsid w:val="00107B35"/>
    <w:rsid w:val="00107BA2"/>
    <w:rsid w:val="001101DF"/>
    <w:rsid w:val="001104B6"/>
    <w:rsid w:val="00110593"/>
    <w:rsid w:val="00110AF7"/>
    <w:rsid w:val="00110FEF"/>
    <w:rsid w:val="001112C4"/>
    <w:rsid w:val="0011219A"/>
    <w:rsid w:val="00113553"/>
    <w:rsid w:val="001136FD"/>
    <w:rsid w:val="00113711"/>
    <w:rsid w:val="00113925"/>
    <w:rsid w:val="00113A68"/>
    <w:rsid w:val="00113B40"/>
    <w:rsid w:val="001141A9"/>
    <w:rsid w:val="00114641"/>
    <w:rsid w:val="00114791"/>
    <w:rsid w:val="001151EA"/>
    <w:rsid w:val="00116118"/>
    <w:rsid w:val="001171C7"/>
    <w:rsid w:val="00117B39"/>
    <w:rsid w:val="00117C8A"/>
    <w:rsid w:val="00120C2A"/>
    <w:rsid w:val="00120FCA"/>
    <w:rsid w:val="001215E1"/>
    <w:rsid w:val="0012198D"/>
    <w:rsid w:val="001228A8"/>
    <w:rsid w:val="001239C2"/>
    <w:rsid w:val="00124320"/>
    <w:rsid w:val="001249EA"/>
    <w:rsid w:val="00124B70"/>
    <w:rsid w:val="0012515D"/>
    <w:rsid w:val="00125483"/>
    <w:rsid w:val="001257E2"/>
    <w:rsid w:val="00125DE5"/>
    <w:rsid w:val="00126407"/>
    <w:rsid w:val="001268D9"/>
    <w:rsid w:val="00126EE4"/>
    <w:rsid w:val="00126F72"/>
    <w:rsid w:val="00127366"/>
    <w:rsid w:val="00127775"/>
    <w:rsid w:val="00127A08"/>
    <w:rsid w:val="001300AC"/>
    <w:rsid w:val="001304ED"/>
    <w:rsid w:val="00130534"/>
    <w:rsid w:val="001305AF"/>
    <w:rsid w:val="00130CA9"/>
    <w:rsid w:val="00131403"/>
    <w:rsid w:val="00132782"/>
    <w:rsid w:val="00132AD5"/>
    <w:rsid w:val="00133252"/>
    <w:rsid w:val="001334C8"/>
    <w:rsid w:val="0013509D"/>
    <w:rsid w:val="00135BB7"/>
    <w:rsid w:val="00136263"/>
    <w:rsid w:val="001362EE"/>
    <w:rsid w:val="00136387"/>
    <w:rsid w:val="00136A80"/>
    <w:rsid w:val="00136DC6"/>
    <w:rsid w:val="00137736"/>
    <w:rsid w:val="001408E1"/>
    <w:rsid w:val="00140967"/>
    <w:rsid w:val="00140C32"/>
    <w:rsid w:val="00140C93"/>
    <w:rsid w:val="001415D1"/>
    <w:rsid w:val="00141702"/>
    <w:rsid w:val="00141A8D"/>
    <w:rsid w:val="0014254C"/>
    <w:rsid w:val="00142AC8"/>
    <w:rsid w:val="00142BC6"/>
    <w:rsid w:val="0014352F"/>
    <w:rsid w:val="00143A06"/>
    <w:rsid w:val="00143BBA"/>
    <w:rsid w:val="00144339"/>
    <w:rsid w:val="00144FFC"/>
    <w:rsid w:val="00145070"/>
    <w:rsid w:val="00145BC4"/>
    <w:rsid w:val="00145D76"/>
    <w:rsid w:val="001467DF"/>
    <w:rsid w:val="0014705D"/>
    <w:rsid w:val="001474CC"/>
    <w:rsid w:val="00147993"/>
    <w:rsid w:val="00147B84"/>
    <w:rsid w:val="00147D61"/>
    <w:rsid w:val="001503E6"/>
    <w:rsid w:val="00150422"/>
    <w:rsid w:val="001507E1"/>
    <w:rsid w:val="001508E9"/>
    <w:rsid w:val="00150EDF"/>
    <w:rsid w:val="00151D54"/>
    <w:rsid w:val="001525B9"/>
    <w:rsid w:val="00152A3C"/>
    <w:rsid w:val="00152DE5"/>
    <w:rsid w:val="0015395D"/>
    <w:rsid w:val="00153B8E"/>
    <w:rsid w:val="001541D7"/>
    <w:rsid w:val="001542B8"/>
    <w:rsid w:val="00154812"/>
    <w:rsid w:val="00154F3D"/>
    <w:rsid w:val="00155424"/>
    <w:rsid w:val="00155F17"/>
    <w:rsid w:val="00156171"/>
    <w:rsid w:val="00156419"/>
    <w:rsid w:val="0015683D"/>
    <w:rsid w:val="00156938"/>
    <w:rsid w:val="00156DC5"/>
    <w:rsid w:val="00156DD4"/>
    <w:rsid w:val="00157A8C"/>
    <w:rsid w:val="00157BB1"/>
    <w:rsid w:val="0016029C"/>
    <w:rsid w:val="00160520"/>
    <w:rsid w:val="00160B76"/>
    <w:rsid w:val="00160F7A"/>
    <w:rsid w:val="00161077"/>
    <w:rsid w:val="00161597"/>
    <w:rsid w:val="00162342"/>
    <w:rsid w:val="001627DC"/>
    <w:rsid w:val="00162C4D"/>
    <w:rsid w:val="00163609"/>
    <w:rsid w:val="001636DE"/>
    <w:rsid w:val="00163ACE"/>
    <w:rsid w:val="00163CB7"/>
    <w:rsid w:val="00163E3B"/>
    <w:rsid w:val="00164161"/>
    <w:rsid w:val="00164711"/>
    <w:rsid w:val="00164B00"/>
    <w:rsid w:val="00165159"/>
    <w:rsid w:val="001656C3"/>
    <w:rsid w:val="00165A34"/>
    <w:rsid w:val="00166212"/>
    <w:rsid w:val="001665C7"/>
    <w:rsid w:val="00166784"/>
    <w:rsid w:val="001667DB"/>
    <w:rsid w:val="00166A8D"/>
    <w:rsid w:val="00166B45"/>
    <w:rsid w:val="00166B68"/>
    <w:rsid w:val="00166D3D"/>
    <w:rsid w:val="001671E0"/>
    <w:rsid w:val="001673B9"/>
    <w:rsid w:val="00167C13"/>
    <w:rsid w:val="00167D61"/>
    <w:rsid w:val="00167D7A"/>
    <w:rsid w:val="00171295"/>
    <w:rsid w:val="00171709"/>
    <w:rsid w:val="00171B0A"/>
    <w:rsid w:val="00171FF5"/>
    <w:rsid w:val="0017218A"/>
    <w:rsid w:val="00172737"/>
    <w:rsid w:val="00172F45"/>
    <w:rsid w:val="00172FB4"/>
    <w:rsid w:val="00172FF8"/>
    <w:rsid w:val="00173842"/>
    <w:rsid w:val="00173D7F"/>
    <w:rsid w:val="00174434"/>
    <w:rsid w:val="001746EA"/>
    <w:rsid w:val="0017491C"/>
    <w:rsid w:val="00174B4E"/>
    <w:rsid w:val="00175672"/>
    <w:rsid w:val="00176527"/>
    <w:rsid w:val="001766DA"/>
    <w:rsid w:val="00176FFD"/>
    <w:rsid w:val="0017701C"/>
    <w:rsid w:val="0017787C"/>
    <w:rsid w:val="001779C5"/>
    <w:rsid w:val="0018039B"/>
    <w:rsid w:val="001804C3"/>
    <w:rsid w:val="001809CA"/>
    <w:rsid w:val="00181C1B"/>
    <w:rsid w:val="00181FC0"/>
    <w:rsid w:val="001822CF"/>
    <w:rsid w:val="00182BCD"/>
    <w:rsid w:val="00182CB0"/>
    <w:rsid w:val="001830E1"/>
    <w:rsid w:val="00183546"/>
    <w:rsid w:val="00183CDE"/>
    <w:rsid w:val="0018410F"/>
    <w:rsid w:val="0018412D"/>
    <w:rsid w:val="001841BE"/>
    <w:rsid w:val="00184689"/>
    <w:rsid w:val="00185064"/>
    <w:rsid w:val="001854BC"/>
    <w:rsid w:val="00185899"/>
    <w:rsid w:val="00185D7B"/>
    <w:rsid w:val="00186343"/>
    <w:rsid w:val="0018665F"/>
    <w:rsid w:val="00187119"/>
    <w:rsid w:val="0018718C"/>
    <w:rsid w:val="001871B2"/>
    <w:rsid w:val="00187432"/>
    <w:rsid w:val="001879D3"/>
    <w:rsid w:val="00187AB0"/>
    <w:rsid w:val="00187B2A"/>
    <w:rsid w:val="00190343"/>
    <w:rsid w:val="0019048F"/>
    <w:rsid w:val="001906D7"/>
    <w:rsid w:val="0019073A"/>
    <w:rsid w:val="001912C8"/>
    <w:rsid w:val="001918C5"/>
    <w:rsid w:val="00192203"/>
    <w:rsid w:val="00192453"/>
    <w:rsid w:val="001929C7"/>
    <w:rsid w:val="00193041"/>
    <w:rsid w:val="00193C1C"/>
    <w:rsid w:val="00193CE1"/>
    <w:rsid w:val="0019447B"/>
    <w:rsid w:val="001949AF"/>
    <w:rsid w:val="00194AAC"/>
    <w:rsid w:val="00194B44"/>
    <w:rsid w:val="001954C8"/>
    <w:rsid w:val="0019576C"/>
    <w:rsid w:val="0019589C"/>
    <w:rsid w:val="00196D34"/>
    <w:rsid w:val="001970C4"/>
    <w:rsid w:val="00197268"/>
    <w:rsid w:val="001978E1"/>
    <w:rsid w:val="001A02FC"/>
    <w:rsid w:val="001A0AB3"/>
    <w:rsid w:val="001A1868"/>
    <w:rsid w:val="001A1BB0"/>
    <w:rsid w:val="001A1BF1"/>
    <w:rsid w:val="001A1CFD"/>
    <w:rsid w:val="001A204F"/>
    <w:rsid w:val="001A2236"/>
    <w:rsid w:val="001A2428"/>
    <w:rsid w:val="001A2A98"/>
    <w:rsid w:val="001A2E71"/>
    <w:rsid w:val="001A351F"/>
    <w:rsid w:val="001A352C"/>
    <w:rsid w:val="001A38B7"/>
    <w:rsid w:val="001A3EC2"/>
    <w:rsid w:val="001A3F31"/>
    <w:rsid w:val="001A44AB"/>
    <w:rsid w:val="001A4F5E"/>
    <w:rsid w:val="001A5656"/>
    <w:rsid w:val="001A574B"/>
    <w:rsid w:val="001A58AA"/>
    <w:rsid w:val="001A6290"/>
    <w:rsid w:val="001A6CA5"/>
    <w:rsid w:val="001A6E46"/>
    <w:rsid w:val="001A743C"/>
    <w:rsid w:val="001A74C6"/>
    <w:rsid w:val="001B2715"/>
    <w:rsid w:val="001B3057"/>
    <w:rsid w:val="001B321C"/>
    <w:rsid w:val="001B35E4"/>
    <w:rsid w:val="001B3B75"/>
    <w:rsid w:val="001B3BAF"/>
    <w:rsid w:val="001B4AA0"/>
    <w:rsid w:val="001B535A"/>
    <w:rsid w:val="001B5652"/>
    <w:rsid w:val="001B5D52"/>
    <w:rsid w:val="001B64EB"/>
    <w:rsid w:val="001B6521"/>
    <w:rsid w:val="001B657D"/>
    <w:rsid w:val="001B67E5"/>
    <w:rsid w:val="001B6908"/>
    <w:rsid w:val="001B6F8E"/>
    <w:rsid w:val="001B72AF"/>
    <w:rsid w:val="001B72CD"/>
    <w:rsid w:val="001B77D6"/>
    <w:rsid w:val="001B7AB3"/>
    <w:rsid w:val="001B7BDA"/>
    <w:rsid w:val="001B7DE7"/>
    <w:rsid w:val="001C09A2"/>
    <w:rsid w:val="001C0A38"/>
    <w:rsid w:val="001C0B7C"/>
    <w:rsid w:val="001C10F2"/>
    <w:rsid w:val="001C11E0"/>
    <w:rsid w:val="001C1771"/>
    <w:rsid w:val="001C1A9E"/>
    <w:rsid w:val="001C1F89"/>
    <w:rsid w:val="001C22F0"/>
    <w:rsid w:val="001C25EA"/>
    <w:rsid w:val="001C432C"/>
    <w:rsid w:val="001C4507"/>
    <w:rsid w:val="001C45B2"/>
    <w:rsid w:val="001C5051"/>
    <w:rsid w:val="001C5138"/>
    <w:rsid w:val="001C5306"/>
    <w:rsid w:val="001C57DF"/>
    <w:rsid w:val="001C5B8D"/>
    <w:rsid w:val="001C5C65"/>
    <w:rsid w:val="001C6026"/>
    <w:rsid w:val="001C6EC8"/>
    <w:rsid w:val="001C713F"/>
    <w:rsid w:val="001C7B5A"/>
    <w:rsid w:val="001C7D1F"/>
    <w:rsid w:val="001D05A9"/>
    <w:rsid w:val="001D0728"/>
    <w:rsid w:val="001D076A"/>
    <w:rsid w:val="001D0BD6"/>
    <w:rsid w:val="001D0DC4"/>
    <w:rsid w:val="001D1526"/>
    <w:rsid w:val="001D203B"/>
    <w:rsid w:val="001D2C8C"/>
    <w:rsid w:val="001D2D76"/>
    <w:rsid w:val="001D46E4"/>
    <w:rsid w:val="001D5178"/>
    <w:rsid w:val="001D562C"/>
    <w:rsid w:val="001D5714"/>
    <w:rsid w:val="001D605A"/>
    <w:rsid w:val="001E0F7C"/>
    <w:rsid w:val="001E137D"/>
    <w:rsid w:val="001E1719"/>
    <w:rsid w:val="001E1C9C"/>
    <w:rsid w:val="001E271B"/>
    <w:rsid w:val="001E3378"/>
    <w:rsid w:val="001E3C03"/>
    <w:rsid w:val="001E3D3B"/>
    <w:rsid w:val="001E42AC"/>
    <w:rsid w:val="001E433F"/>
    <w:rsid w:val="001E44F2"/>
    <w:rsid w:val="001E4AF5"/>
    <w:rsid w:val="001E5348"/>
    <w:rsid w:val="001E5C0E"/>
    <w:rsid w:val="001E5FDE"/>
    <w:rsid w:val="001E6098"/>
    <w:rsid w:val="001E6397"/>
    <w:rsid w:val="001E6839"/>
    <w:rsid w:val="001E71B1"/>
    <w:rsid w:val="001E72E5"/>
    <w:rsid w:val="001E79F3"/>
    <w:rsid w:val="001F0249"/>
    <w:rsid w:val="001F1A36"/>
    <w:rsid w:val="001F1B6C"/>
    <w:rsid w:val="001F2720"/>
    <w:rsid w:val="001F2924"/>
    <w:rsid w:val="001F2DF4"/>
    <w:rsid w:val="001F2FCF"/>
    <w:rsid w:val="001F35E1"/>
    <w:rsid w:val="001F36F0"/>
    <w:rsid w:val="001F39B7"/>
    <w:rsid w:val="001F3D62"/>
    <w:rsid w:val="001F4095"/>
    <w:rsid w:val="001F4459"/>
    <w:rsid w:val="001F48A2"/>
    <w:rsid w:val="001F4B23"/>
    <w:rsid w:val="001F4B89"/>
    <w:rsid w:val="001F56BB"/>
    <w:rsid w:val="001F57D9"/>
    <w:rsid w:val="001F5B07"/>
    <w:rsid w:val="001F5E37"/>
    <w:rsid w:val="001F5EE4"/>
    <w:rsid w:val="001F5F5E"/>
    <w:rsid w:val="001F6335"/>
    <w:rsid w:val="001F6A79"/>
    <w:rsid w:val="001F76E2"/>
    <w:rsid w:val="001F7878"/>
    <w:rsid w:val="001F787D"/>
    <w:rsid w:val="00200355"/>
    <w:rsid w:val="00200BB0"/>
    <w:rsid w:val="00200DD5"/>
    <w:rsid w:val="00200E7B"/>
    <w:rsid w:val="00200F1E"/>
    <w:rsid w:val="00201178"/>
    <w:rsid w:val="002011C2"/>
    <w:rsid w:val="0020122C"/>
    <w:rsid w:val="0020134E"/>
    <w:rsid w:val="00201411"/>
    <w:rsid w:val="00201BDF"/>
    <w:rsid w:val="00201D14"/>
    <w:rsid w:val="00202296"/>
    <w:rsid w:val="00202FF5"/>
    <w:rsid w:val="0020323F"/>
    <w:rsid w:val="00203C07"/>
    <w:rsid w:val="002046D3"/>
    <w:rsid w:val="00205171"/>
    <w:rsid w:val="00205AD1"/>
    <w:rsid w:val="00205CFF"/>
    <w:rsid w:val="00206B63"/>
    <w:rsid w:val="00206ECB"/>
    <w:rsid w:val="00206FF7"/>
    <w:rsid w:val="00207378"/>
    <w:rsid w:val="00207469"/>
    <w:rsid w:val="00207CA7"/>
    <w:rsid w:val="00211C0F"/>
    <w:rsid w:val="00211DC2"/>
    <w:rsid w:val="00212181"/>
    <w:rsid w:val="0021242E"/>
    <w:rsid w:val="002127FB"/>
    <w:rsid w:val="0021289C"/>
    <w:rsid w:val="00212A03"/>
    <w:rsid w:val="00212B93"/>
    <w:rsid w:val="00213044"/>
    <w:rsid w:val="00213488"/>
    <w:rsid w:val="002138CA"/>
    <w:rsid w:val="00213B1B"/>
    <w:rsid w:val="00213C74"/>
    <w:rsid w:val="002143BF"/>
    <w:rsid w:val="00214465"/>
    <w:rsid w:val="0021485F"/>
    <w:rsid w:val="0021521C"/>
    <w:rsid w:val="00216658"/>
    <w:rsid w:val="00216C06"/>
    <w:rsid w:val="00216C78"/>
    <w:rsid w:val="00216CA5"/>
    <w:rsid w:val="00216D60"/>
    <w:rsid w:val="00216FDB"/>
    <w:rsid w:val="002175E2"/>
    <w:rsid w:val="0021770C"/>
    <w:rsid w:val="00217761"/>
    <w:rsid w:val="002179DA"/>
    <w:rsid w:val="00217EF1"/>
    <w:rsid w:val="0022009B"/>
    <w:rsid w:val="002203C9"/>
    <w:rsid w:val="00220504"/>
    <w:rsid w:val="00221679"/>
    <w:rsid w:val="00221FDC"/>
    <w:rsid w:val="0022204F"/>
    <w:rsid w:val="002233FF"/>
    <w:rsid w:val="00223C59"/>
    <w:rsid w:val="0022417F"/>
    <w:rsid w:val="002243F2"/>
    <w:rsid w:val="002254BA"/>
    <w:rsid w:val="002254DE"/>
    <w:rsid w:val="00225A7E"/>
    <w:rsid w:val="00225C7E"/>
    <w:rsid w:val="00226EB5"/>
    <w:rsid w:val="0022770A"/>
    <w:rsid w:val="002277F7"/>
    <w:rsid w:val="002300D6"/>
    <w:rsid w:val="002302E6"/>
    <w:rsid w:val="00230873"/>
    <w:rsid w:val="00230BB7"/>
    <w:rsid w:val="00230FBA"/>
    <w:rsid w:val="002318A3"/>
    <w:rsid w:val="002319FB"/>
    <w:rsid w:val="00231D4F"/>
    <w:rsid w:val="00231DD9"/>
    <w:rsid w:val="00231E7E"/>
    <w:rsid w:val="00232B6A"/>
    <w:rsid w:val="00233916"/>
    <w:rsid w:val="00234259"/>
    <w:rsid w:val="00234529"/>
    <w:rsid w:val="00234597"/>
    <w:rsid w:val="0023501E"/>
    <w:rsid w:val="002353AC"/>
    <w:rsid w:val="0023561A"/>
    <w:rsid w:val="00235B84"/>
    <w:rsid w:val="00235BDD"/>
    <w:rsid w:val="00235E50"/>
    <w:rsid w:val="00236243"/>
    <w:rsid w:val="002402AD"/>
    <w:rsid w:val="002402FD"/>
    <w:rsid w:val="00240B4F"/>
    <w:rsid w:val="00241150"/>
    <w:rsid w:val="00241BB4"/>
    <w:rsid w:val="00241CCA"/>
    <w:rsid w:val="00241D2C"/>
    <w:rsid w:val="00242039"/>
    <w:rsid w:val="00242688"/>
    <w:rsid w:val="0024269C"/>
    <w:rsid w:val="00242E84"/>
    <w:rsid w:val="00243B99"/>
    <w:rsid w:val="00243C5F"/>
    <w:rsid w:val="00243E60"/>
    <w:rsid w:val="00245B6E"/>
    <w:rsid w:val="0024628D"/>
    <w:rsid w:val="002464E2"/>
    <w:rsid w:val="00246A67"/>
    <w:rsid w:val="00246A99"/>
    <w:rsid w:val="00246D5F"/>
    <w:rsid w:val="0024718D"/>
    <w:rsid w:val="002471FE"/>
    <w:rsid w:val="002504BE"/>
    <w:rsid w:val="00250E08"/>
    <w:rsid w:val="00250FAB"/>
    <w:rsid w:val="00251A2D"/>
    <w:rsid w:val="00252179"/>
    <w:rsid w:val="0025248F"/>
    <w:rsid w:val="00252AC4"/>
    <w:rsid w:val="00253059"/>
    <w:rsid w:val="0025329F"/>
    <w:rsid w:val="002533F9"/>
    <w:rsid w:val="00253599"/>
    <w:rsid w:val="00253B43"/>
    <w:rsid w:val="00254881"/>
    <w:rsid w:val="002549E5"/>
    <w:rsid w:val="00254A5E"/>
    <w:rsid w:val="0025522E"/>
    <w:rsid w:val="00255CEF"/>
    <w:rsid w:val="0025608F"/>
    <w:rsid w:val="0025671E"/>
    <w:rsid w:val="00256A9D"/>
    <w:rsid w:val="00257392"/>
    <w:rsid w:val="00257D94"/>
    <w:rsid w:val="00257FB9"/>
    <w:rsid w:val="00260203"/>
    <w:rsid w:val="002602FE"/>
    <w:rsid w:val="00260696"/>
    <w:rsid w:val="002617DB"/>
    <w:rsid w:val="00261A9F"/>
    <w:rsid w:val="00261D1B"/>
    <w:rsid w:val="00262279"/>
    <w:rsid w:val="0026254C"/>
    <w:rsid w:val="0026263A"/>
    <w:rsid w:val="002629B2"/>
    <w:rsid w:val="002633D3"/>
    <w:rsid w:val="00263555"/>
    <w:rsid w:val="00263ACC"/>
    <w:rsid w:val="002641B8"/>
    <w:rsid w:val="00264277"/>
    <w:rsid w:val="00265A4A"/>
    <w:rsid w:val="00265B10"/>
    <w:rsid w:val="00266484"/>
    <w:rsid w:val="00266683"/>
    <w:rsid w:val="00266E1D"/>
    <w:rsid w:val="00266E27"/>
    <w:rsid w:val="002673E8"/>
    <w:rsid w:val="002675A4"/>
    <w:rsid w:val="00267FBA"/>
    <w:rsid w:val="0027038A"/>
    <w:rsid w:val="00270686"/>
    <w:rsid w:val="00270C28"/>
    <w:rsid w:val="002716AF"/>
    <w:rsid w:val="00271860"/>
    <w:rsid w:val="00271C2B"/>
    <w:rsid w:val="00271C61"/>
    <w:rsid w:val="002720E9"/>
    <w:rsid w:val="00272446"/>
    <w:rsid w:val="00272D42"/>
    <w:rsid w:val="00272D6D"/>
    <w:rsid w:val="002748B8"/>
    <w:rsid w:val="00275621"/>
    <w:rsid w:val="002757C4"/>
    <w:rsid w:val="002758B1"/>
    <w:rsid w:val="00275EA7"/>
    <w:rsid w:val="00275FCA"/>
    <w:rsid w:val="0027655F"/>
    <w:rsid w:val="002805BB"/>
    <w:rsid w:val="002806F1"/>
    <w:rsid w:val="002818CC"/>
    <w:rsid w:val="00281DA8"/>
    <w:rsid w:val="00281DE7"/>
    <w:rsid w:val="00281F92"/>
    <w:rsid w:val="00282BFE"/>
    <w:rsid w:val="00282ECF"/>
    <w:rsid w:val="002832D9"/>
    <w:rsid w:val="00283333"/>
    <w:rsid w:val="002837EB"/>
    <w:rsid w:val="0028385A"/>
    <w:rsid w:val="00283EA6"/>
    <w:rsid w:val="00283F6E"/>
    <w:rsid w:val="002841E4"/>
    <w:rsid w:val="002842E0"/>
    <w:rsid w:val="00284901"/>
    <w:rsid w:val="0028513D"/>
    <w:rsid w:val="00285F34"/>
    <w:rsid w:val="00286ADF"/>
    <w:rsid w:val="002877ED"/>
    <w:rsid w:val="00290A08"/>
    <w:rsid w:val="00290C6C"/>
    <w:rsid w:val="00291202"/>
    <w:rsid w:val="00292223"/>
    <w:rsid w:val="002924A9"/>
    <w:rsid w:val="00292951"/>
    <w:rsid w:val="00292986"/>
    <w:rsid w:val="00292AED"/>
    <w:rsid w:val="0029399D"/>
    <w:rsid w:val="00293AD4"/>
    <w:rsid w:val="00293B0A"/>
    <w:rsid w:val="0029414C"/>
    <w:rsid w:val="00294E4E"/>
    <w:rsid w:val="002950C4"/>
    <w:rsid w:val="00295109"/>
    <w:rsid w:val="00295E51"/>
    <w:rsid w:val="00295F6A"/>
    <w:rsid w:val="00296F40"/>
    <w:rsid w:val="00297C13"/>
    <w:rsid w:val="00297DCF"/>
    <w:rsid w:val="00297F7F"/>
    <w:rsid w:val="002A020F"/>
    <w:rsid w:val="002A0413"/>
    <w:rsid w:val="002A075C"/>
    <w:rsid w:val="002A0E24"/>
    <w:rsid w:val="002A1897"/>
    <w:rsid w:val="002A18DF"/>
    <w:rsid w:val="002A2229"/>
    <w:rsid w:val="002A271F"/>
    <w:rsid w:val="002A2E6A"/>
    <w:rsid w:val="002A31FD"/>
    <w:rsid w:val="002A3946"/>
    <w:rsid w:val="002A4165"/>
    <w:rsid w:val="002A4404"/>
    <w:rsid w:val="002A44D5"/>
    <w:rsid w:val="002A44DB"/>
    <w:rsid w:val="002A4EED"/>
    <w:rsid w:val="002A6059"/>
    <w:rsid w:val="002A68E4"/>
    <w:rsid w:val="002A6BAE"/>
    <w:rsid w:val="002B0A8A"/>
    <w:rsid w:val="002B0BC0"/>
    <w:rsid w:val="002B28C8"/>
    <w:rsid w:val="002B2983"/>
    <w:rsid w:val="002B2FCA"/>
    <w:rsid w:val="002B34AC"/>
    <w:rsid w:val="002B35CF"/>
    <w:rsid w:val="002B3B0B"/>
    <w:rsid w:val="002B401F"/>
    <w:rsid w:val="002B402B"/>
    <w:rsid w:val="002B4D83"/>
    <w:rsid w:val="002B6E12"/>
    <w:rsid w:val="002B76EC"/>
    <w:rsid w:val="002B79C2"/>
    <w:rsid w:val="002B7EAC"/>
    <w:rsid w:val="002B7EC9"/>
    <w:rsid w:val="002C03D8"/>
    <w:rsid w:val="002C0DAB"/>
    <w:rsid w:val="002C2A16"/>
    <w:rsid w:val="002C325C"/>
    <w:rsid w:val="002C3778"/>
    <w:rsid w:val="002C4370"/>
    <w:rsid w:val="002C4400"/>
    <w:rsid w:val="002C499B"/>
    <w:rsid w:val="002C4ACA"/>
    <w:rsid w:val="002C4B08"/>
    <w:rsid w:val="002C4D2B"/>
    <w:rsid w:val="002C4D6F"/>
    <w:rsid w:val="002C4E2F"/>
    <w:rsid w:val="002C53DD"/>
    <w:rsid w:val="002C5930"/>
    <w:rsid w:val="002C5A8B"/>
    <w:rsid w:val="002C640B"/>
    <w:rsid w:val="002C641E"/>
    <w:rsid w:val="002C65B9"/>
    <w:rsid w:val="002C6DE8"/>
    <w:rsid w:val="002C6FF9"/>
    <w:rsid w:val="002C710B"/>
    <w:rsid w:val="002C78A0"/>
    <w:rsid w:val="002C7C82"/>
    <w:rsid w:val="002D02A8"/>
    <w:rsid w:val="002D0BFA"/>
    <w:rsid w:val="002D179D"/>
    <w:rsid w:val="002D2144"/>
    <w:rsid w:val="002D2736"/>
    <w:rsid w:val="002D27CC"/>
    <w:rsid w:val="002D2A3D"/>
    <w:rsid w:val="002D3919"/>
    <w:rsid w:val="002D405A"/>
    <w:rsid w:val="002D42BB"/>
    <w:rsid w:val="002D43F7"/>
    <w:rsid w:val="002D4DA9"/>
    <w:rsid w:val="002D5462"/>
    <w:rsid w:val="002D5CF9"/>
    <w:rsid w:val="002D63BA"/>
    <w:rsid w:val="002D6E6E"/>
    <w:rsid w:val="002D6F9E"/>
    <w:rsid w:val="002D7718"/>
    <w:rsid w:val="002D7803"/>
    <w:rsid w:val="002D7DE2"/>
    <w:rsid w:val="002D7FE3"/>
    <w:rsid w:val="002E00FF"/>
    <w:rsid w:val="002E031F"/>
    <w:rsid w:val="002E051D"/>
    <w:rsid w:val="002E0792"/>
    <w:rsid w:val="002E0952"/>
    <w:rsid w:val="002E16CC"/>
    <w:rsid w:val="002E18BA"/>
    <w:rsid w:val="002E18C7"/>
    <w:rsid w:val="002E1DDF"/>
    <w:rsid w:val="002E2069"/>
    <w:rsid w:val="002E20EE"/>
    <w:rsid w:val="002E4583"/>
    <w:rsid w:val="002E473E"/>
    <w:rsid w:val="002E4B25"/>
    <w:rsid w:val="002E531B"/>
    <w:rsid w:val="002E6919"/>
    <w:rsid w:val="002E6E08"/>
    <w:rsid w:val="002E6E6C"/>
    <w:rsid w:val="002E6EF5"/>
    <w:rsid w:val="002E73F8"/>
    <w:rsid w:val="002F022B"/>
    <w:rsid w:val="002F0BE0"/>
    <w:rsid w:val="002F10BD"/>
    <w:rsid w:val="002F1899"/>
    <w:rsid w:val="002F1D63"/>
    <w:rsid w:val="002F2331"/>
    <w:rsid w:val="002F2993"/>
    <w:rsid w:val="002F2C64"/>
    <w:rsid w:val="002F30F2"/>
    <w:rsid w:val="002F333C"/>
    <w:rsid w:val="002F34EE"/>
    <w:rsid w:val="002F3651"/>
    <w:rsid w:val="002F373F"/>
    <w:rsid w:val="002F535A"/>
    <w:rsid w:val="002F5BC8"/>
    <w:rsid w:val="002F6012"/>
    <w:rsid w:val="002F60C0"/>
    <w:rsid w:val="002F7927"/>
    <w:rsid w:val="002F7E86"/>
    <w:rsid w:val="002F7F0A"/>
    <w:rsid w:val="0030019C"/>
    <w:rsid w:val="00300E46"/>
    <w:rsid w:val="00300FE0"/>
    <w:rsid w:val="00301A7F"/>
    <w:rsid w:val="00301FFD"/>
    <w:rsid w:val="00302B08"/>
    <w:rsid w:val="00302C93"/>
    <w:rsid w:val="00302D9E"/>
    <w:rsid w:val="00302ED1"/>
    <w:rsid w:val="00303621"/>
    <w:rsid w:val="00303867"/>
    <w:rsid w:val="00304A6F"/>
    <w:rsid w:val="00304DD6"/>
    <w:rsid w:val="00304DE0"/>
    <w:rsid w:val="00304EEF"/>
    <w:rsid w:val="00305777"/>
    <w:rsid w:val="003063A7"/>
    <w:rsid w:val="0030666A"/>
    <w:rsid w:val="0030687E"/>
    <w:rsid w:val="0030688A"/>
    <w:rsid w:val="00306C0E"/>
    <w:rsid w:val="00306FCF"/>
    <w:rsid w:val="0031056D"/>
    <w:rsid w:val="00310781"/>
    <w:rsid w:val="00310C9D"/>
    <w:rsid w:val="00310E9A"/>
    <w:rsid w:val="00310F57"/>
    <w:rsid w:val="00311508"/>
    <w:rsid w:val="003117E3"/>
    <w:rsid w:val="00312D46"/>
    <w:rsid w:val="00313D60"/>
    <w:rsid w:val="00313E81"/>
    <w:rsid w:val="00313F63"/>
    <w:rsid w:val="00314287"/>
    <w:rsid w:val="0031490F"/>
    <w:rsid w:val="00314A99"/>
    <w:rsid w:val="00314BAF"/>
    <w:rsid w:val="00315146"/>
    <w:rsid w:val="0031565A"/>
    <w:rsid w:val="00316776"/>
    <w:rsid w:val="00316A3D"/>
    <w:rsid w:val="00316B21"/>
    <w:rsid w:val="00316FBA"/>
    <w:rsid w:val="0031701B"/>
    <w:rsid w:val="00317251"/>
    <w:rsid w:val="00317E8B"/>
    <w:rsid w:val="00317F01"/>
    <w:rsid w:val="003200A0"/>
    <w:rsid w:val="00320945"/>
    <w:rsid w:val="00320F77"/>
    <w:rsid w:val="003210E5"/>
    <w:rsid w:val="00321156"/>
    <w:rsid w:val="00321994"/>
    <w:rsid w:val="00322378"/>
    <w:rsid w:val="003223D1"/>
    <w:rsid w:val="00322B42"/>
    <w:rsid w:val="00322BE8"/>
    <w:rsid w:val="00323E9B"/>
    <w:rsid w:val="00323F37"/>
    <w:rsid w:val="003243B3"/>
    <w:rsid w:val="00324F9C"/>
    <w:rsid w:val="00325EDD"/>
    <w:rsid w:val="00326066"/>
    <w:rsid w:val="00326D63"/>
    <w:rsid w:val="00326DAB"/>
    <w:rsid w:val="00327612"/>
    <w:rsid w:val="003277AF"/>
    <w:rsid w:val="00327A71"/>
    <w:rsid w:val="0033024E"/>
    <w:rsid w:val="003303D4"/>
    <w:rsid w:val="00331267"/>
    <w:rsid w:val="003314D2"/>
    <w:rsid w:val="00331870"/>
    <w:rsid w:val="00331CA5"/>
    <w:rsid w:val="00331FB6"/>
    <w:rsid w:val="00332701"/>
    <w:rsid w:val="00332CDC"/>
    <w:rsid w:val="00333648"/>
    <w:rsid w:val="003341BB"/>
    <w:rsid w:val="00334519"/>
    <w:rsid w:val="00334853"/>
    <w:rsid w:val="00334969"/>
    <w:rsid w:val="00334996"/>
    <w:rsid w:val="003349C1"/>
    <w:rsid w:val="0033547A"/>
    <w:rsid w:val="003359FE"/>
    <w:rsid w:val="00335C8B"/>
    <w:rsid w:val="00335FE5"/>
    <w:rsid w:val="003368DA"/>
    <w:rsid w:val="003370FC"/>
    <w:rsid w:val="003377FD"/>
    <w:rsid w:val="00337DC8"/>
    <w:rsid w:val="00337E9D"/>
    <w:rsid w:val="00337FBD"/>
    <w:rsid w:val="003400FD"/>
    <w:rsid w:val="003407BF"/>
    <w:rsid w:val="00340ACE"/>
    <w:rsid w:val="00340E6E"/>
    <w:rsid w:val="003412D9"/>
    <w:rsid w:val="00341332"/>
    <w:rsid w:val="0034248D"/>
    <w:rsid w:val="0034286D"/>
    <w:rsid w:val="00342DFE"/>
    <w:rsid w:val="00343087"/>
    <w:rsid w:val="00343158"/>
    <w:rsid w:val="0034315C"/>
    <w:rsid w:val="003431D7"/>
    <w:rsid w:val="00343394"/>
    <w:rsid w:val="00343640"/>
    <w:rsid w:val="00343AE0"/>
    <w:rsid w:val="00343CFE"/>
    <w:rsid w:val="00344132"/>
    <w:rsid w:val="00344583"/>
    <w:rsid w:val="00344BF7"/>
    <w:rsid w:val="003452A1"/>
    <w:rsid w:val="00345C14"/>
    <w:rsid w:val="00345D78"/>
    <w:rsid w:val="00346AA6"/>
    <w:rsid w:val="00346AAC"/>
    <w:rsid w:val="00347333"/>
    <w:rsid w:val="00347415"/>
    <w:rsid w:val="0034787F"/>
    <w:rsid w:val="00347C1D"/>
    <w:rsid w:val="003501FA"/>
    <w:rsid w:val="00350FEB"/>
    <w:rsid w:val="00351477"/>
    <w:rsid w:val="00351488"/>
    <w:rsid w:val="00351871"/>
    <w:rsid w:val="0035248D"/>
    <w:rsid w:val="0035286D"/>
    <w:rsid w:val="0035357A"/>
    <w:rsid w:val="0035397E"/>
    <w:rsid w:val="00353AF0"/>
    <w:rsid w:val="0035506E"/>
    <w:rsid w:val="0035517D"/>
    <w:rsid w:val="00355463"/>
    <w:rsid w:val="003556A3"/>
    <w:rsid w:val="0035581E"/>
    <w:rsid w:val="003566F0"/>
    <w:rsid w:val="00357D54"/>
    <w:rsid w:val="00360249"/>
    <w:rsid w:val="00360574"/>
    <w:rsid w:val="00360739"/>
    <w:rsid w:val="00360BC4"/>
    <w:rsid w:val="00360BE9"/>
    <w:rsid w:val="00360ECB"/>
    <w:rsid w:val="003613B4"/>
    <w:rsid w:val="003614F6"/>
    <w:rsid w:val="0036150D"/>
    <w:rsid w:val="00361C0A"/>
    <w:rsid w:val="00361D40"/>
    <w:rsid w:val="00361F55"/>
    <w:rsid w:val="00362165"/>
    <w:rsid w:val="003622DF"/>
    <w:rsid w:val="0036259A"/>
    <w:rsid w:val="003627D5"/>
    <w:rsid w:val="00362DC1"/>
    <w:rsid w:val="00362F12"/>
    <w:rsid w:val="00363454"/>
    <w:rsid w:val="003634F6"/>
    <w:rsid w:val="00363ABA"/>
    <w:rsid w:val="00364345"/>
    <w:rsid w:val="0036476A"/>
    <w:rsid w:val="00364867"/>
    <w:rsid w:val="00364B8B"/>
    <w:rsid w:val="00364CA3"/>
    <w:rsid w:val="00365243"/>
    <w:rsid w:val="00365D83"/>
    <w:rsid w:val="00366354"/>
    <w:rsid w:val="00366D77"/>
    <w:rsid w:val="00366EBA"/>
    <w:rsid w:val="00366F7F"/>
    <w:rsid w:val="00366F9A"/>
    <w:rsid w:val="00370543"/>
    <w:rsid w:val="003711A9"/>
    <w:rsid w:val="00371497"/>
    <w:rsid w:val="00371522"/>
    <w:rsid w:val="00371697"/>
    <w:rsid w:val="00372014"/>
    <w:rsid w:val="00372836"/>
    <w:rsid w:val="0037284B"/>
    <w:rsid w:val="00372AC0"/>
    <w:rsid w:val="00372B8E"/>
    <w:rsid w:val="00372BAE"/>
    <w:rsid w:val="00372BD7"/>
    <w:rsid w:val="00372E4A"/>
    <w:rsid w:val="0037342B"/>
    <w:rsid w:val="00373842"/>
    <w:rsid w:val="00374925"/>
    <w:rsid w:val="00375E04"/>
    <w:rsid w:val="003761FF"/>
    <w:rsid w:val="0037646E"/>
    <w:rsid w:val="00376B60"/>
    <w:rsid w:val="00377144"/>
    <w:rsid w:val="00377977"/>
    <w:rsid w:val="00377E53"/>
    <w:rsid w:val="00377FE0"/>
    <w:rsid w:val="003804A1"/>
    <w:rsid w:val="003804BF"/>
    <w:rsid w:val="0038216E"/>
    <w:rsid w:val="003821FF"/>
    <w:rsid w:val="0038245A"/>
    <w:rsid w:val="003834B7"/>
    <w:rsid w:val="00383C23"/>
    <w:rsid w:val="003844EB"/>
    <w:rsid w:val="00384787"/>
    <w:rsid w:val="00384869"/>
    <w:rsid w:val="00384954"/>
    <w:rsid w:val="0038498D"/>
    <w:rsid w:val="00385758"/>
    <w:rsid w:val="00385A25"/>
    <w:rsid w:val="00385A5A"/>
    <w:rsid w:val="00385CD8"/>
    <w:rsid w:val="00385DD8"/>
    <w:rsid w:val="00386218"/>
    <w:rsid w:val="00386C0A"/>
    <w:rsid w:val="00386C29"/>
    <w:rsid w:val="003876FF"/>
    <w:rsid w:val="00387701"/>
    <w:rsid w:val="00387E8A"/>
    <w:rsid w:val="003901F6"/>
    <w:rsid w:val="00390417"/>
    <w:rsid w:val="0039048B"/>
    <w:rsid w:val="0039054A"/>
    <w:rsid w:val="00391D69"/>
    <w:rsid w:val="0039203A"/>
    <w:rsid w:val="00392185"/>
    <w:rsid w:val="00392228"/>
    <w:rsid w:val="003922C2"/>
    <w:rsid w:val="0039245F"/>
    <w:rsid w:val="00392AAA"/>
    <w:rsid w:val="00392BF2"/>
    <w:rsid w:val="00392FCF"/>
    <w:rsid w:val="00393347"/>
    <w:rsid w:val="003936C0"/>
    <w:rsid w:val="00393753"/>
    <w:rsid w:val="00393D14"/>
    <w:rsid w:val="00394F4F"/>
    <w:rsid w:val="00395853"/>
    <w:rsid w:val="00395AB8"/>
    <w:rsid w:val="00395BCD"/>
    <w:rsid w:val="00396D67"/>
    <w:rsid w:val="00397101"/>
    <w:rsid w:val="00397185"/>
    <w:rsid w:val="003974DF"/>
    <w:rsid w:val="00397BAB"/>
    <w:rsid w:val="003A0A8F"/>
    <w:rsid w:val="003A0B6E"/>
    <w:rsid w:val="003A1308"/>
    <w:rsid w:val="003A1427"/>
    <w:rsid w:val="003A1957"/>
    <w:rsid w:val="003A2140"/>
    <w:rsid w:val="003A3950"/>
    <w:rsid w:val="003A46D1"/>
    <w:rsid w:val="003A4740"/>
    <w:rsid w:val="003A498E"/>
    <w:rsid w:val="003A57BB"/>
    <w:rsid w:val="003A5C71"/>
    <w:rsid w:val="003A5CB2"/>
    <w:rsid w:val="003A5CC0"/>
    <w:rsid w:val="003A6BB4"/>
    <w:rsid w:val="003A7D0B"/>
    <w:rsid w:val="003B096A"/>
    <w:rsid w:val="003B1103"/>
    <w:rsid w:val="003B127B"/>
    <w:rsid w:val="003B127F"/>
    <w:rsid w:val="003B1BCB"/>
    <w:rsid w:val="003B1DCE"/>
    <w:rsid w:val="003B1ED0"/>
    <w:rsid w:val="003B24F4"/>
    <w:rsid w:val="003B25B0"/>
    <w:rsid w:val="003B393D"/>
    <w:rsid w:val="003B3B56"/>
    <w:rsid w:val="003B3D6B"/>
    <w:rsid w:val="003B48EA"/>
    <w:rsid w:val="003B536E"/>
    <w:rsid w:val="003B551A"/>
    <w:rsid w:val="003B59C1"/>
    <w:rsid w:val="003B5E69"/>
    <w:rsid w:val="003B6E4E"/>
    <w:rsid w:val="003B76FD"/>
    <w:rsid w:val="003B78E5"/>
    <w:rsid w:val="003B7A08"/>
    <w:rsid w:val="003B7D31"/>
    <w:rsid w:val="003C006E"/>
    <w:rsid w:val="003C0179"/>
    <w:rsid w:val="003C063E"/>
    <w:rsid w:val="003C0655"/>
    <w:rsid w:val="003C0777"/>
    <w:rsid w:val="003C106B"/>
    <w:rsid w:val="003C1215"/>
    <w:rsid w:val="003C18C7"/>
    <w:rsid w:val="003C1BD5"/>
    <w:rsid w:val="003C1F5D"/>
    <w:rsid w:val="003C219A"/>
    <w:rsid w:val="003C23E1"/>
    <w:rsid w:val="003C2454"/>
    <w:rsid w:val="003C30B9"/>
    <w:rsid w:val="003C4028"/>
    <w:rsid w:val="003C4DB5"/>
    <w:rsid w:val="003C50B6"/>
    <w:rsid w:val="003C5186"/>
    <w:rsid w:val="003C59D8"/>
    <w:rsid w:val="003C5AB8"/>
    <w:rsid w:val="003C5B38"/>
    <w:rsid w:val="003C66C0"/>
    <w:rsid w:val="003C6B64"/>
    <w:rsid w:val="003C731E"/>
    <w:rsid w:val="003C798F"/>
    <w:rsid w:val="003C7EDD"/>
    <w:rsid w:val="003D0D97"/>
    <w:rsid w:val="003D14AC"/>
    <w:rsid w:val="003D18D8"/>
    <w:rsid w:val="003D200D"/>
    <w:rsid w:val="003D2184"/>
    <w:rsid w:val="003D26A8"/>
    <w:rsid w:val="003D27DA"/>
    <w:rsid w:val="003D2B60"/>
    <w:rsid w:val="003D4F7E"/>
    <w:rsid w:val="003D52C0"/>
    <w:rsid w:val="003D626B"/>
    <w:rsid w:val="003D6426"/>
    <w:rsid w:val="003D6B34"/>
    <w:rsid w:val="003D7068"/>
    <w:rsid w:val="003E0238"/>
    <w:rsid w:val="003E04F0"/>
    <w:rsid w:val="003E06DF"/>
    <w:rsid w:val="003E0C34"/>
    <w:rsid w:val="003E16DD"/>
    <w:rsid w:val="003E197F"/>
    <w:rsid w:val="003E2470"/>
    <w:rsid w:val="003E2694"/>
    <w:rsid w:val="003E2A3C"/>
    <w:rsid w:val="003E2F62"/>
    <w:rsid w:val="003E34F7"/>
    <w:rsid w:val="003E35A0"/>
    <w:rsid w:val="003E37EC"/>
    <w:rsid w:val="003E3815"/>
    <w:rsid w:val="003E3E29"/>
    <w:rsid w:val="003E4079"/>
    <w:rsid w:val="003E460E"/>
    <w:rsid w:val="003E4F90"/>
    <w:rsid w:val="003E52FF"/>
    <w:rsid w:val="003E54C8"/>
    <w:rsid w:val="003E5679"/>
    <w:rsid w:val="003E5986"/>
    <w:rsid w:val="003E5D52"/>
    <w:rsid w:val="003E6021"/>
    <w:rsid w:val="003E624A"/>
    <w:rsid w:val="003E6D27"/>
    <w:rsid w:val="003E6E8F"/>
    <w:rsid w:val="003E77F7"/>
    <w:rsid w:val="003F0A3D"/>
    <w:rsid w:val="003F0D48"/>
    <w:rsid w:val="003F0E3A"/>
    <w:rsid w:val="003F0E8C"/>
    <w:rsid w:val="003F192B"/>
    <w:rsid w:val="003F2416"/>
    <w:rsid w:val="003F27BE"/>
    <w:rsid w:val="003F34BB"/>
    <w:rsid w:val="003F37C2"/>
    <w:rsid w:val="003F3C8A"/>
    <w:rsid w:val="003F3CFE"/>
    <w:rsid w:val="003F41E5"/>
    <w:rsid w:val="003F4C56"/>
    <w:rsid w:val="003F4FC1"/>
    <w:rsid w:val="003F5CDD"/>
    <w:rsid w:val="003F628A"/>
    <w:rsid w:val="003F6647"/>
    <w:rsid w:val="003F6692"/>
    <w:rsid w:val="003F6E70"/>
    <w:rsid w:val="003F6F49"/>
    <w:rsid w:val="003F7372"/>
    <w:rsid w:val="003F78E1"/>
    <w:rsid w:val="00400D7A"/>
    <w:rsid w:val="0040159E"/>
    <w:rsid w:val="00401D89"/>
    <w:rsid w:val="0040225C"/>
    <w:rsid w:val="00402877"/>
    <w:rsid w:val="00403EF7"/>
    <w:rsid w:val="00404C83"/>
    <w:rsid w:val="004054F8"/>
    <w:rsid w:val="00406EDF"/>
    <w:rsid w:val="00407771"/>
    <w:rsid w:val="004100A6"/>
    <w:rsid w:val="0041111B"/>
    <w:rsid w:val="00411D1E"/>
    <w:rsid w:val="004122E2"/>
    <w:rsid w:val="0041270D"/>
    <w:rsid w:val="00412A14"/>
    <w:rsid w:val="004131CE"/>
    <w:rsid w:val="0041395B"/>
    <w:rsid w:val="0041421C"/>
    <w:rsid w:val="00414493"/>
    <w:rsid w:val="00414683"/>
    <w:rsid w:val="0041494A"/>
    <w:rsid w:val="00414CB8"/>
    <w:rsid w:val="004158F1"/>
    <w:rsid w:val="00415FF5"/>
    <w:rsid w:val="00416E6E"/>
    <w:rsid w:val="00416EE7"/>
    <w:rsid w:val="004172DC"/>
    <w:rsid w:val="0042096B"/>
    <w:rsid w:val="004209C5"/>
    <w:rsid w:val="00420BB6"/>
    <w:rsid w:val="00420E75"/>
    <w:rsid w:val="00421133"/>
    <w:rsid w:val="00421A83"/>
    <w:rsid w:val="004220EA"/>
    <w:rsid w:val="00422163"/>
    <w:rsid w:val="00422E87"/>
    <w:rsid w:val="004230D7"/>
    <w:rsid w:val="00423279"/>
    <w:rsid w:val="004238AC"/>
    <w:rsid w:val="004243A1"/>
    <w:rsid w:val="00424A70"/>
    <w:rsid w:val="00424E7A"/>
    <w:rsid w:val="00424F18"/>
    <w:rsid w:val="00425FCD"/>
    <w:rsid w:val="00426076"/>
    <w:rsid w:val="00426991"/>
    <w:rsid w:val="00426E56"/>
    <w:rsid w:val="00427488"/>
    <w:rsid w:val="00427498"/>
    <w:rsid w:val="00427744"/>
    <w:rsid w:val="004300AB"/>
    <w:rsid w:val="00430326"/>
    <w:rsid w:val="00430520"/>
    <w:rsid w:val="00430F12"/>
    <w:rsid w:val="00431006"/>
    <w:rsid w:val="0043115B"/>
    <w:rsid w:val="004311B2"/>
    <w:rsid w:val="0043154B"/>
    <w:rsid w:val="00431669"/>
    <w:rsid w:val="00433FAA"/>
    <w:rsid w:val="004342F7"/>
    <w:rsid w:val="00434A79"/>
    <w:rsid w:val="00434FB1"/>
    <w:rsid w:val="004354A1"/>
    <w:rsid w:val="00436314"/>
    <w:rsid w:val="004364F2"/>
    <w:rsid w:val="0043651C"/>
    <w:rsid w:val="0043734B"/>
    <w:rsid w:val="0044017A"/>
    <w:rsid w:val="004404BC"/>
    <w:rsid w:val="00440619"/>
    <w:rsid w:val="004408DA"/>
    <w:rsid w:val="00440973"/>
    <w:rsid w:val="004414A2"/>
    <w:rsid w:val="004415A2"/>
    <w:rsid w:val="00442ED1"/>
    <w:rsid w:val="004433A7"/>
    <w:rsid w:val="00443D7E"/>
    <w:rsid w:val="00443DEB"/>
    <w:rsid w:val="0044454A"/>
    <w:rsid w:val="00444640"/>
    <w:rsid w:val="004454A3"/>
    <w:rsid w:val="004456C1"/>
    <w:rsid w:val="00445FFD"/>
    <w:rsid w:val="004462C4"/>
    <w:rsid w:val="00446638"/>
    <w:rsid w:val="00446D59"/>
    <w:rsid w:val="00446D74"/>
    <w:rsid w:val="0044733C"/>
    <w:rsid w:val="00447359"/>
    <w:rsid w:val="00447B12"/>
    <w:rsid w:val="00447F9D"/>
    <w:rsid w:val="0045075F"/>
    <w:rsid w:val="00451148"/>
    <w:rsid w:val="00451304"/>
    <w:rsid w:val="00451329"/>
    <w:rsid w:val="0045212A"/>
    <w:rsid w:val="0045266F"/>
    <w:rsid w:val="004526C5"/>
    <w:rsid w:val="00452CF3"/>
    <w:rsid w:val="00453BC3"/>
    <w:rsid w:val="00453E3D"/>
    <w:rsid w:val="00454270"/>
    <w:rsid w:val="004542B3"/>
    <w:rsid w:val="004544B4"/>
    <w:rsid w:val="004549FA"/>
    <w:rsid w:val="004553A7"/>
    <w:rsid w:val="00455FAF"/>
    <w:rsid w:val="00456235"/>
    <w:rsid w:val="004564C2"/>
    <w:rsid w:val="0045661E"/>
    <w:rsid w:val="00456C44"/>
    <w:rsid w:val="0045704D"/>
    <w:rsid w:val="00457923"/>
    <w:rsid w:val="00457A43"/>
    <w:rsid w:val="00457F75"/>
    <w:rsid w:val="00460721"/>
    <w:rsid w:val="00460CF6"/>
    <w:rsid w:val="0046264C"/>
    <w:rsid w:val="00462C43"/>
    <w:rsid w:val="00462DA6"/>
    <w:rsid w:val="00463623"/>
    <w:rsid w:val="0046364E"/>
    <w:rsid w:val="00463B8E"/>
    <w:rsid w:val="00463CCA"/>
    <w:rsid w:val="00463F45"/>
    <w:rsid w:val="004640CC"/>
    <w:rsid w:val="004640DE"/>
    <w:rsid w:val="00464A5A"/>
    <w:rsid w:val="00464BEC"/>
    <w:rsid w:val="00464BF8"/>
    <w:rsid w:val="0046518D"/>
    <w:rsid w:val="004653B7"/>
    <w:rsid w:val="00465488"/>
    <w:rsid w:val="0046549C"/>
    <w:rsid w:val="004657E2"/>
    <w:rsid w:val="004659D9"/>
    <w:rsid w:val="0046652A"/>
    <w:rsid w:val="00467158"/>
    <w:rsid w:val="00467588"/>
    <w:rsid w:val="00467AE8"/>
    <w:rsid w:val="00470F43"/>
    <w:rsid w:val="00470FC8"/>
    <w:rsid w:val="004714D8"/>
    <w:rsid w:val="004715E6"/>
    <w:rsid w:val="00471EDA"/>
    <w:rsid w:val="004727CA"/>
    <w:rsid w:val="0047289C"/>
    <w:rsid w:val="004742CF"/>
    <w:rsid w:val="004745C1"/>
    <w:rsid w:val="004745D3"/>
    <w:rsid w:val="00474608"/>
    <w:rsid w:val="00474620"/>
    <w:rsid w:val="00474C66"/>
    <w:rsid w:val="004751AF"/>
    <w:rsid w:val="00475633"/>
    <w:rsid w:val="004759B1"/>
    <w:rsid w:val="0047659A"/>
    <w:rsid w:val="00476819"/>
    <w:rsid w:val="00477502"/>
    <w:rsid w:val="004778F4"/>
    <w:rsid w:val="00477F7B"/>
    <w:rsid w:val="0048025B"/>
    <w:rsid w:val="004802D7"/>
    <w:rsid w:val="004803CA"/>
    <w:rsid w:val="00480D8E"/>
    <w:rsid w:val="00480EF1"/>
    <w:rsid w:val="00480FE8"/>
    <w:rsid w:val="00481078"/>
    <w:rsid w:val="00481CEA"/>
    <w:rsid w:val="004820F3"/>
    <w:rsid w:val="004821D5"/>
    <w:rsid w:val="00482475"/>
    <w:rsid w:val="00483335"/>
    <w:rsid w:val="004833E2"/>
    <w:rsid w:val="00483871"/>
    <w:rsid w:val="0048398A"/>
    <w:rsid w:val="00484831"/>
    <w:rsid w:val="004856C5"/>
    <w:rsid w:val="00486B9D"/>
    <w:rsid w:val="00487187"/>
    <w:rsid w:val="0048751D"/>
    <w:rsid w:val="00487715"/>
    <w:rsid w:val="0049087E"/>
    <w:rsid w:val="00490DEA"/>
    <w:rsid w:val="00491398"/>
    <w:rsid w:val="00491611"/>
    <w:rsid w:val="00491879"/>
    <w:rsid w:val="004918F5"/>
    <w:rsid w:val="00491A43"/>
    <w:rsid w:val="00491C2A"/>
    <w:rsid w:val="00492458"/>
    <w:rsid w:val="00492E93"/>
    <w:rsid w:val="004934C0"/>
    <w:rsid w:val="00493C50"/>
    <w:rsid w:val="00493E29"/>
    <w:rsid w:val="00494589"/>
    <w:rsid w:val="004946CA"/>
    <w:rsid w:val="0049479E"/>
    <w:rsid w:val="004949B5"/>
    <w:rsid w:val="00494BA7"/>
    <w:rsid w:val="00496173"/>
    <w:rsid w:val="0049618A"/>
    <w:rsid w:val="00496DC7"/>
    <w:rsid w:val="004978EB"/>
    <w:rsid w:val="00497A36"/>
    <w:rsid w:val="00497FA4"/>
    <w:rsid w:val="004A05B1"/>
    <w:rsid w:val="004A0930"/>
    <w:rsid w:val="004A0DB9"/>
    <w:rsid w:val="004A10AF"/>
    <w:rsid w:val="004A10D5"/>
    <w:rsid w:val="004A1A96"/>
    <w:rsid w:val="004A1EC6"/>
    <w:rsid w:val="004A1EEA"/>
    <w:rsid w:val="004A222B"/>
    <w:rsid w:val="004A22CC"/>
    <w:rsid w:val="004A2DC7"/>
    <w:rsid w:val="004A2DDA"/>
    <w:rsid w:val="004A2E35"/>
    <w:rsid w:val="004A2F90"/>
    <w:rsid w:val="004A37AF"/>
    <w:rsid w:val="004A43EC"/>
    <w:rsid w:val="004A476A"/>
    <w:rsid w:val="004A4D6F"/>
    <w:rsid w:val="004A4F34"/>
    <w:rsid w:val="004A6443"/>
    <w:rsid w:val="004A6C07"/>
    <w:rsid w:val="004A71EA"/>
    <w:rsid w:val="004A7BBF"/>
    <w:rsid w:val="004A7DA4"/>
    <w:rsid w:val="004A7DDB"/>
    <w:rsid w:val="004B0007"/>
    <w:rsid w:val="004B00EA"/>
    <w:rsid w:val="004B090B"/>
    <w:rsid w:val="004B0ACF"/>
    <w:rsid w:val="004B0E9D"/>
    <w:rsid w:val="004B1331"/>
    <w:rsid w:val="004B18A3"/>
    <w:rsid w:val="004B1AC7"/>
    <w:rsid w:val="004B1F3A"/>
    <w:rsid w:val="004B2237"/>
    <w:rsid w:val="004B24F0"/>
    <w:rsid w:val="004B25FC"/>
    <w:rsid w:val="004B2E7F"/>
    <w:rsid w:val="004B2FA4"/>
    <w:rsid w:val="004B3D4F"/>
    <w:rsid w:val="004B3D52"/>
    <w:rsid w:val="004B3F29"/>
    <w:rsid w:val="004B6381"/>
    <w:rsid w:val="004B6685"/>
    <w:rsid w:val="004B680F"/>
    <w:rsid w:val="004B6F09"/>
    <w:rsid w:val="004B7858"/>
    <w:rsid w:val="004B7EF2"/>
    <w:rsid w:val="004C0346"/>
    <w:rsid w:val="004C0455"/>
    <w:rsid w:val="004C0699"/>
    <w:rsid w:val="004C0C73"/>
    <w:rsid w:val="004C0E53"/>
    <w:rsid w:val="004C0E90"/>
    <w:rsid w:val="004C2C39"/>
    <w:rsid w:val="004C3033"/>
    <w:rsid w:val="004C38A0"/>
    <w:rsid w:val="004C3AFA"/>
    <w:rsid w:val="004C3C32"/>
    <w:rsid w:val="004C4E11"/>
    <w:rsid w:val="004C51F3"/>
    <w:rsid w:val="004C5C06"/>
    <w:rsid w:val="004C74BB"/>
    <w:rsid w:val="004C7863"/>
    <w:rsid w:val="004C78FF"/>
    <w:rsid w:val="004D0311"/>
    <w:rsid w:val="004D05BE"/>
    <w:rsid w:val="004D0CBD"/>
    <w:rsid w:val="004D1A95"/>
    <w:rsid w:val="004D1EFC"/>
    <w:rsid w:val="004D207F"/>
    <w:rsid w:val="004D2866"/>
    <w:rsid w:val="004D2999"/>
    <w:rsid w:val="004D2E54"/>
    <w:rsid w:val="004D320E"/>
    <w:rsid w:val="004D36D6"/>
    <w:rsid w:val="004D3CC5"/>
    <w:rsid w:val="004D3D84"/>
    <w:rsid w:val="004D42AE"/>
    <w:rsid w:val="004D46AA"/>
    <w:rsid w:val="004D4979"/>
    <w:rsid w:val="004D4D35"/>
    <w:rsid w:val="004D4D71"/>
    <w:rsid w:val="004D4E51"/>
    <w:rsid w:val="004D4E99"/>
    <w:rsid w:val="004D5515"/>
    <w:rsid w:val="004D55A0"/>
    <w:rsid w:val="004D5CC4"/>
    <w:rsid w:val="004D5D9D"/>
    <w:rsid w:val="004D5E2F"/>
    <w:rsid w:val="004D6A7B"/>
    <w:rsid w:val="004D6C73"/>
    <w:rsid w:val="004D7237"/>
    <w:rsid w:val="004D75F3"/>
    <w:rsid w:val="004D7719"/>
    <w:rsid w:val="004D7790"/>
    <w:rsid w:val="004D78F4"/>
    <w:rsid w:val="004E019C"/>
    <w:rsid w:val="004E04D1"/>
    <w:rsid w:val="004E0592"/>
    <w:rsid w:val="004E0599"/>
    <w:rsid w:val="004E0F5E"/>
    <w:rsid w:val="004E14A2"/>
    <w:rsid w:val="004E2932"/>
    <w:rsid w:val="004E31DA"/>
    <w:rsid w:val="004E3750"/>
    <w:rsid w:val="004E3AA9"/>
    <w:rsid w:val="004E3DBF"/>
    <w:rsid w:val="004E4990"/>
    <w:rsid w:val="004E4C81"/>
    <w:rsid w:val="004E5455"/>
    <w:rsid w:val="004E54A5"/>
    <w:rsid w:val="004E5530"/>
    <w:rsid w:val="004E5797"/>
    <w:rsid w:val="004E62C4"/>
    <w:rsid w:val="004E6902"/>
    <w:rsid w:val="004E765A"/>
    <w:rsid w:val="004E783A"/>
    <w:rsid w:val="004F13B2"/>
    <w:rsid w:val="004F1567"/>
    <w:rsid w:val="004F2186"/>
    <w:rsid w:val="004F268C"/>
    <w:rsid w:val="004F2699"/>
    <w:rsid w:val="004F2C9D"/>
    <w:rsid w:val="004F2FD1"/>
    <w:rsid w:val="004F3250"/>
    <w:rsid w:val="004F33CA"/>
    <w:rsid w:val="004F3947"/>
    <w:rsid w:val="004F3A7D"/>
    <w:rsid w:val="004F3D57"/>
    <w:rsid w:val="004F4320"/>
    <w:rsid w:val="004F4459"/>
    <w:rsid w:val="004F4941"/>
    <w:rsid w:val="004F4A77"/>
    <w:rsid w:val="004F5993"/>
    <w:rsid w:val="004F5DCB"/>
    <w:rsid w:val="004F5F92"/>
    <w:rsid w:val="004F668A"/>
    <w:rsid w:val="004F68BC"/>
    <w:rsid w:val="004F6990"/>
    <w:rsid w:val="004F6A19"/>
    <w:rsid w:val="004F747F"/>
    <w:rsid w:val="004F77E8"/>
    <w:rsid w:val="0050085D"/>
    <w:rsid w:val="00500E48"/>
    <w:rsid w:val="00500ED8"/>
    <w:rsid w:val="0050152D"/>
    <w:rsid w:val="005017F9"/>
    <w:rsid w:val="00502069"/>
    <w:rsid w:val="005021A3"/>
    <w:rsid w:val="00502628"/>
    <w:rsid w:val="005026DD"/>
    <w:rsid w:val="00502BF9"/>
    <w:rsid w:val="00503703"/>
    <w:rsid w:val="00503AEE"/>
    <w:rsid w:val="005044EC"/>
    <w:rsid w:val="0050458B"/>
    <w:rsid w:val="00504802"/>
    <w:rsid w:val="0050493C"/>
    <w:rsid w:val="00505108"/>
    <w:rsid w:val="00505672"/>
    <w:rsid w:val="00505825"/>
    <w:rsid w:val="005058F9"/>
    <w:rsid w:val="0050595E"/>
    <w:rsid w:val="005065D3"/>
    <w:rsid w:val="00506632"/>
    <w:rsid w:val="00506C55"/>
    <w:rsid w:val="00507028"/>
    <w:rsid w:val="0050769D"/>
    <w:rsid w:val="005077FC"/>
    <w:rsid w:val="00507C6E"/>
    <w:rsid w:val="005100D7"/>
    <w:rsid w:val="00510E58"/>
    <w:rsid w:val="00512389"/>
    <w:rsid w:val="00512562"/>
    <w:rsid w:val="00513131"/>
    <w:rsid w:val="00513536"/>
    <w:rsid w:val="00513EEC"/>
    <w:rsid w:val="00514511"/>
    <w:rsid w:val="00514EA8"/>
    <w:rsid w:val="00514F24"/>
    <w:rsid w:val="00515287"/>
    <w:rsid w:val="005154CC"/>
    <w:rsid w:val="00515D45"/>
    <w:rsid w:val="00515F44"/>
    <w:rsid w:val="00515FD2"/>
    <w:rsid w:val="00516671"/>
    <w:rsid w:val="0051698C"/>
    <w:rsid w:val="00520615"/>
    <w:rsid w:val="00520D88"/>
    <w:rsid w:val="00520DC0"/>
    <w:rsid w:val="0052124C"/>
    <w:rsid w:val="005219E8"/>
    <w:rsid w:val="00522EC2"/>
    <w:rsid w:val="00522F35"/>
    <w:rsid w:val="00523019"/>
    <w:rsid w:val="00523584"/>
    <w:rsid w:val="005235F9"/>
    <w:rsid w:val="00523842"/>
    <w:rsid w:val="0052501E"/>
    <w:rsid w:val="00525659"/>
    <w:rsid w:val="00525914"/>
    <w:rsid w:val="00525A29"/>
    <w:rsid w:val="005269ED"/>
    <w:rsid w:val="00526BB6"/>
    <w:rsid w:val="00526FD8"/>
    <w:rsid w:val="00527399"/>
    <w:rsid w:val="00527862"/>
    <w:rsid w:val="00527B79"/>
    <w:rsid w:val="005300DA"/>
    <w:rsid w:val="005302F1"/>
    <w:rsid w:val="00530570"/>
    <w:rsid w:val="005310AD"/>
    <w:rsid w:val="00531167"/>
    <w:rsid w:val="00531948"/>
    <w:rsid w:val="00531FAB"/>
    <w:rsid w:val="005321CC"/>
    <w:rsid w:val="0053261E"/>
    <w:rsid w:val="00532688"/>
    <w:rsid w:val="0053292E"/>
    <w:rsid w:val="00533BCE"/>
    <w:rsid w:val="00533CD7"/>
    <w:rsid w:val="00533F71"/>
    <w:rsid w:val="00534260"/>
    <w:rsid w:val="005345C7"/>
    <w:rsid w:val="005349B8"/>
    <w:rsid w:val="0053537F"/>
    <w:rsid w:val="005359AD"/>
    <w:rsid w:val="00535ACD"/>
    <w:rsid w:val="00536052"/>
    <w:rsid w:val="005360CD"/>
    <w:rsid w:val="0053611E"/>
    <w:rsid w:val="005364D4"/>
    <w:rsid w:val="00536A4A"/>
    <w:rsid w:val="00536C6F"/>
    <w:rsid w:val="00537445"/>
    <w:rsid w:val="00537591"/>
    <w:rsid w:val="00537A03"/>
    <w:rsid w:val="00540D1D"/>
    <w:rsid w:val="00540DF6"/>
    <w:rsid w:val="00541620"/>
    <w:rsid w:val="005417F2"/>
    <w:rsid w:val="0054243D"/>
    <w:rsid w:val="00542899"/>
    <w:rsid w:val="00542B21"/>
    <w:rsid w:val="00543A46"/>
    <w:rsid w:val="00544666"/>
    <w:rsid w:val="00544D18"/>
    <w:rsid w:val="00544D7A"/>
    <w:rsid w:val="00547403"/>
    <w:rsid w:val="00547584"/>
    <w:rsid w:val="00550502"/>
    <w:rsid w:val="0055093D"/>
    <w:rsid w:val="005512FD"/>
    <w:rsid w:val="00552B52"/>
    <w:rsid w:val="0055329C"/>
    <w:rsid w:val="00553785"/>
    <w:rsid w:val="00553C04"/>
    <w:rsid w:val="00554421"/>
    <w:rsid w:val="005544DF"/>
    <w:rsid w:val="005548CD"/>
    <w:rsid w:val="00555396"/>
    <w:rsid w:val="00555DD2"/>
    <w:rsid w:val="00555F97"/>
    <w:rsid w:val="00556132"/>
    <w:rsid w:val="00556531"/>
    <w:rsid w:val="00556911"/>
    <w:rsid w:val="00556A89"/>
    <w:rsid w:val="005576FA"/>
    <w:rsid w:val="005576FB"/>
    <w:rsid w:val="00561402"/>
    <w:rsid w:val="005619B1"/>
    <w:rsid w:val="00561B8B"/>
    <w:rsid w:val="0056201C"/>
    <w:rsid w:val="0056233F"/>
    <w:rsid w:val="005624C0"/>
    <w:rsid w:val="00562735"/>
    <w:rsid w:val="00562E6E"/>
    <w:rsid w:val="00563A60"/>
    <w:rsid w:val="005640AB"/>
    <w:rsid w:val="005642AD"/>
    <w:rsid w:val="00564463"/>
    <w:rsid w:val="00564476"/>
    <w:rsid w:val="005645CA"/>
    <w:rsid w:val="0056468F"/>
    <w:rsid w:val="00564DCA"/>
    <w:rsid w:val="005653CB"/>
    <w:rsid w:val="00565A37"/>
    <w:rsid w:val="00566006"/>
    <w:rsid w:val="00566389"/>
    <w:rsid w:val="00566CD9"/>
    <w:rsid w:val="00570500"/>
    <w:rsid w:val="0057096E"/>
    <w:rsid w:val="00570FE4"/>
    <w:rsid w:val="00571052"/>
    <w:rsid w:val="0057151E"/>
    <w:rsid w:val="0057170F"/>
    <w:rsid w:val="00571A5D"/>
    <w:rsid w:val="00571F43"/>
    <w:rsid w:val="00572115"/>
    <w:rsid w:val="00572366"/>
    <w:rsid w:val="00572957"/>
    <w:rsid w:val="00572F40"/>
    <w:rsid w:val="00574173"/>
    <w:rsid w:val="005742BB"/>
    <w:rsid w:val="005742C3"/>
    <w:rsid w:val="005744DC"/>
    <w:rsid w:val="0057463D"/>
    <w:rsid w:val="00574E49"/>
    <w:rsid w:val="005751BA"/>
    <w:rsid w:val="00575D37"/>
    <w:rsid w:val="00575D71"/>
    <w:rsid w:val="00575E89"/>
    <w:rsid w:val="00576016"/>
    <w:rsid w:val="0057614A"/>
    <w:rsid w:val="005763A4"/>
    <w:rsid w:val="005764E4"/>
    <w:rsid w:val="00576BD9"/>
    <w:rsid w:val="0057786A"/>
    <w:rsid w:val="00577F6C"/>
    <w:rsid w:val="0058007E"/>
    <w:rsid w:val="0058016E"/>
    <w:rsid w:val="00580B88"/>
    <w:rsid w:val="005815F4"/>
    <w:rsid w:val="005817F7"/>
    <w:rsid w:val="005823B3"/>
    <w:rsid w:val="005826C2"/>
    <w:rsid w:val="0058281B"/>
    <w:rsid w:val="0058283C"/>
    <w:rsid w:val="00583007"/>
    <w:rsid w:val="005834EB"/>
    <w:rsid w:val="00583773"/>
    <w:rsid w:val="00583FAA"/>
    <w:rsid w:val="00583FCD"/>
    <w:rsid w:val="005841D0"/>
    <w:rsid w:val="0058465C"/>
    <w:rsid w:val="0058494A"/>
    <w:rsid w:val="005849D1"/>
    <w:rsid w:val="00584BB7"/>
    <w:rsid w:val="00584C68"/>
    <w:rsid w:val="00584CFC"/>
    <w:rsid w:val="00585469"/>
    <w:rsid w:val="0058575C"/>
    <w:rsid w:val="00586150"/>
    <w:rsid w:val="0058630E"/>
    <w:rsid w:val="005867BB"/>
    <w:rsid w:val="005874BB"/>
    <w:rsid w:val="00587721"/>
    <w:rsid w:val="00587821"/>
    <w:rsid w:val="00587898"/>
    <w:rsid w:val="00590296"/>
    <w:rsid w:val="005905AA"/>
    <w:rsid w:val="00590B11"/>
    <w:rsid w:val="00590E7A"/>
    <w:rsid w:val="0059167D"/>
    <w:rsid w:val="00591C31"/>
    <w:rsid w:val="00591C6F"/>
    <w:rsid w:val="00591E3C"/>
    <w:rsid w:val="005922C3"/>
    <w:rsid w:val="005924A4"/>
    <w:rsid w:val="00592B23"/>
    <w:rsid w:val="00592D60"/>
    <w:rsid w:val="00592E1D"/>
    <w:rsid w:val="00593F4E"/>
    <w:rsid w:val="005940A5"/>
    <w:rsid w:val="00594985"/>
    <w:rsid w:val="00595B8F"/>
    <w:rsid w:val="005961D1"/>
    <w:rsid w:val="005967B1"/>
    <w:rsid w:val="00597029"/>
    <w:rsid w:val="005970F3"/>
    <w:rsid w:val="0059781F"/>
    <w:rsid w:val="005A01CC"/>
    <w:rsid w:val="005A034E"/>
    <w:rsid w:val="005A16DE"/>
    <w:rsid w:val="005A184C"/>
    <w:rsid w:val="005A2067"/>
    <w:rsid w:val="005A33A3"/>
    <w:rsid w:val="005A3BE4"/>
    <w:rsid w:val="005A42FD"/>
    <w:rsid w:val="005A5319"/>
    <w:rsid w:val="005A56BE"/>
    <w:rsid w:val="005A5E79"/>
    <w:rsid w:val="005A614A"/>
    <w:rsid w:val="005A6711"/>
    <w:rsid w:val="005A6BD9"/>
    <w:rsid w:val="005A6C2C"/>
    <w:rsid w:val="005A6E87"/>
    <w:rsid w:val="005A72E3"/>
    <w:rsid w:val="005A758E"/>
    <w:rsid w:val="005A7B2C"/>
    <w:rsid w:val="005A7C90"/>
    <w:rsid w:val="005A7DE5"/>
    <w:rsid w:val="005A7FCD"/>
    <w:rsid w:val="005B022B"/>
    <w:rsid w:val="005B07EE"/>
    <w:rsid w:val="005B0ED8"/>
    <w:rsid w:val="005B0F0D"/>
    <w:rsid w:val="005B1442"/>
    <w:rsid w:val="005B1B2F"/>
    <w:rsid w:val="005B1BB7"/>
    <w:rsid w:val="005B1C67"/>
    <w:rsid w:val="005B2B48"/>
    <w:rsid w:val="005B343B"/>
    <w:rsid w:val="005B3A96"/>
    <w:rsid w:val="005B3B57"/>
    <w:rsid w:val="005B417B"/>
    <w:rsid w:val="005B427C"/>
    <w:rsid w:val="005B436F"/>
    <w:rsid w:val="005B50FE"/>
    <w:rsid w:val="005B52CB"/>
    <w:rsid w:val="005B55EC"/>
    <w:rsid w:val="005B573A"/>
    <w:rsid w:val="005B57A1"/>
    <w:rsid w:val="005B5C96"/>
    <w:rsid w:val="005B5D9B"/>
    <w:rsid w:val="005B605E"/>
    <w:rsid w:val="005B6BA0"/>
    <w:rsid w:val="005B6BCA"/>
    <w:rsid w:val="005B720C"/>
    <w:rsid w:val="005B7EA0"/>
    <w:rsid w:val="005B7FF1"/>
    <w:rsid w:val="005C07E7"/>
    <w:rsid w:val="005C0E03"/>
    <w:rsid w:val="005C0F72"/>
    <w:rsid w:val="005C10CA"/>
    <w:rsid w:val="005C20F4"/>
    <w:rsid w:val="005C2C14"/>
    <w:rsid w:val="005C31C2"/>
    <w:rsid w:val="005C458B"/>
    <w:rsid w:val="005C5288"/>
    <w:rsid w:val="005C5341"/>
    <w:rsid w:val="005C5AEA"/>
    <w:rsid w:val="005C6491"/>
    <w:rsid w:val="005C6A0E"/>
    <w:rsid w:val="005C6CB4"/>
    <w:rsid w:val="005D0933"/>
    <w:rsid w:val="005D1306"/>
    <w:rsid w:val="005D1B75"/>
    <w:rsid w:val="005D20F0"/>
    <w:rsid w:val="005D27F6"/>
    <w:rsid w:val="005D2DAF"/>
    <w:rsid w:val="005D2DCF"/>
    <w:rsid w:val="005D2E60"/>
    <w:rsid w:val="005D38FE"/>
    <w:rsid w:val="005D412E"/>
    <w:rsid w:val="005D43E0"/>
    <w:rsid w:val="005D4B27"/>
    <w:rsid w:val="005D4BEA"/>
    <w:rsid w:val="005D5E4A"/>
    <w:rsid w:val="005D5E8F"/>
    <w:rsid w:val="005D61EB"/>
    <w:rsid w:val="005D640E"/>
    <w:rsid w:val="005D64CC"/>
    <w:rsid w:val="005D6615"/>
    <w:rsid w:val="005D6E69"/>
    <w:rsid w:val="005D74B8"/>
    <w:rsid w:val="005D78FA"/>
    <w:rsid w:val="005D790C"/>
    <w:rsid w:val="005E056C"/>
    <w:rsid w:val="005E086E"/>
    <w:rsid w:val="005E1E2A"/>
    <w:rsid w:val="005E2201"/>
    <w:rsid w:val="005E2315"/>
    <w:rsid w:val="005E2625"/>
    <w:rsid w:val="005E2752"/>
    <w:rsid w:val="005E2BC1"/>
    <w:rsid w:val="005E43F8"/>
    <w:rsid w:val="005E4E43"/>
    <w:rsid w:val="005E5891"/>
    <w:rsid w:val="005E5A5D"/>
    <w:rsid w:val="005E63C5"/>
    <w:rsid w:val="005E67FF"/>
    <w:rsid w:val="005E6B83"/>
    <w:rsid w:val="005E6E7E"/>
    <w:rsid w:val="005E7076"/>
    <w:rsid w:val="005E7199"/>
    <w:rsid w:val="005E77E7"/>
    <w:rsid w:val="005F0058"/>
    <w:rsid w:val="005F0F59"/>
    <w:rsid w:val="005F0F6B"/>
    <w:rsid w:val="005F1A08"/>
    <w:rsid w:val="005F1B6E"/>
    <w:rsid w:val="005F2240"/>
    <w:rsid w:val="005F2437"/>
    <w:rsid w:val="005F2506"/>
    <w:rsid w:val="005F26AC"/>
    <w:rsid w:val="005F295B"/>
    <w:rsid w:val="005F2A41"/>
    <w:rsid w:val="005F2E41"/>
    <w:rsid w:val="005F3562"/>
    <w:rsid w:val="005F389D"/>
    <w:rsid w:val="005F38B8"/>
    <w:rsid w:val="005F4DA7"/>
    <w:rsid w:val="005F51CA"/>
    <w:rsid w:val="005F56A6"/>
    <w:rsid w:val="005F5B7D"/>
    <w:rsid w:val="005F60A8"/>
    <w:rsid w:val="005F60BB"/>
    <w:rsid w:val="005F661A"/>
    <w:rsid w:val="005F6BBE"/>
    <w:rsid w:val="005F6D7E"/>
    <w:rsid w:val="005F720D"/>
    <w:rsid w:val="005F7509"/>
    <w:rsid w:val="005F7863"/>
    <w:rsid w:val="00600057"/>
    <w:rsid w:val="006005C8"/>
    <w:rsid w:val="00601875"/>
    <w:rsid w:val="00601B88"/>
    <w:rsid w:val="00601DDE"/>
    <w:rsid w:val="00602259"/>
    <w:rsid w:val="006026E1"/>
    <w:rsid w:val="0060399C"/>
    <w:rsid w:val="00603EAF"/>
    <w:rsid w:val="0060527A"/>
    <w:rsid w:val="00605923"/>
    <w:rsid w:val="00605DE7"/>
    <w:rsid w:val="0060768B"/>
    <w:rsid w:val="006076FA"/>
    <w:rsid w:val="00610021"/>
    <w:rsid w:val="0061008C"/>
    <w:rsid w:val="006101A8"/>
    <w:rsid w:val="006106C4"/>
    <w:rsid w:val="0061101E"/>
    <w:rsid w:val="0061133C"/>
    <w:rsid w:val="00611529"/>
    <w:rsid w:val="006115E1"/>
    <w:rsid w:val="006122FF"/>
    <w:rsid w:val="00612C4D"/>
    <w:rsid w:val="00613DB8"/>
    <w:rsid w:val="00614B9B"/>
    <w:rsid w:val="00614DB5"/>
    <w:rsid w:val="00614DF2"/>
    <w:rsid w:val="00615051"/>
    <w:rsid w:val="006155DC"/>
    <w:rsid w:val="00615695"/>
    <w:rsid w:val="00615C40"/>
    <w:rsid w:val="00616085"/>
    <w:rsid w:val="00616181"/>
    <w:rsid w:val="006161CB"/>
    <w:rsid w:val="00616CD9"/>
    <w:rsid w:val="00616DD2"/>
    <w:rsid w:val="00617590"/>
    <w:rsid w:val="00617D23"/>
    <w:rsid w:val="00617F4D"/>
    <w:rsid w:val="0062028D"/>
    <w:rsid w:val="0062081B"/>
    <w:rsid w:val="0062105F"/>
    <w:rsid w:val="00621E69"/>
    <w:rsid w:val="00622BDA"/>
    <w:rsid w:val="00622DE7"/>
    <w:rsid w:val="00622F6A"/>
    <w:rsid w:val="0062318F"/>
    <w:rsid w:val="00623D67"/>
    <w:rsid w:val="006244B8"/>
    <w:rsid w:val="00624537"/>
    <w:rsid w:val="00624627"/>
    <w:rsid w:val="006246A2"/>
    <w:rsid w:val="00624953"/>
    <w:rsid w:val="006260F5"/>
    <w:rsid w:val="006262D6"/>
    <w:rsid w:val="006266EA"/>
    <w:rsid w:val="006269F7"/>
    <w:rsid w:val="00626F5A"/>
    <w:rsid w:val="00626FFB"/>
    <w:rsid w:val="0062756D"/>
    <w:rsid w:val="006278E1"/>
    <w:rsid w:val="00627A0F"/>
    <w:rsid w:val="00630379"/>
    <w:rsid w:val="00630B4F"/>
    <w:rsid w:val="00630C9F"/>
    <w:rsid w:val="006317D7"/>
    <w:rsid w:val="0063244C"/>
    <w:rsid w:val="00632914"/>
    <w:rsid w:val="00632A96"/>
    <w:rsid w:val="00632D06"/>
    <w:rsid w:val="0063312E"/>
    <w:rsid w:val="00633D21"/>
    <w:rsid w:val="00633D9F"/>
    <w:rsid w:val="00634D69"/>
    <w:rsid w:val="0063524D"/>
    <w:rsid w:val="006352C3"/>
    <w:rsid w:val="006353D6"/>
    <w:rsid w:val="00635427"/>
    <w:rsid w:val="0063570B"/>
    <w:rsid w:val="006359D1"/>
    <w:rsid w:val="00635B85"/>
    <w:rsid w:val="006363D8"/>
    <w:rsid w:val="00636A65"/>
    <w:rsid w:val="00636BB5"/>
    <w:rsid w:val="00636E64"/>
    <w:rsid w:val="00636F31"/>
    <w:rsid w:val="006376B8"/>
    <w:rsid w:val="00637A52"/>
    <w:rsid w:val="00637D6D"/>
    <w:rsid w:val="00640112"/>
    <w:rsid w:val="006409BD"/>
    <w:rsid w:val="006416E5"/>
    <w:rsid w:val="00641705"/>
    <w:rsid w:val="00642387"/>
    <w:rsid w:val="006427F4"/>
    <w:rsid w:val="00642F7E"/>
    <w:rsid w:val="00643817"/>
    <w:rsid w:val="00643BA0"/>
    <w:rsid w:val="0064400F"/>
    <w:rsid w:val="00644847"/>
    <w:rsid w:val="00644FCF"/>
    <w:rsid w:val="00645334"/>
    <w:rsid w:val="0064577E"/>
    <w:rsid w:val="00645822"/>
    <w:rsid w:val="00645C98"/>
    <w:rsid w:val="006462E4"/>
    <w:rsid w:val="00646765"/>
    <w:rsid w:val="006468F5"/>
    <w:rsid w:val="00646EF4"/>
    <w:rsid w:val="006474A9"/>
    <w:rsid w:val="00650C10"/>
    <w:rsid w:val="0065119F"/>
    <w:rsid w:val="0065123B"/>
    <w:rsid w:val="006512E4"/>
    <w:rsid w:val="006515F3"/>
    <w:rsid w:val="00651A4C"/>
    <w:rsid w:val="00651BBD"/>
    <w:rsid w:val="006522EC"/>
    <w:rsid w:val="006528CD"/>
    <w:rsid w:val="00652928"/>
    <w:rsid w:val="00653462"/>
    <w:rsid w:val="00653525"/>
    <w:rsid w:val="0065415A"/>
    <w:rsid w:val="006541E7"/>
    <w:rsid w:val="0065459F"/>
    <w:rsid w:val="006548C8"/>
    <w:rsid w:val="00654CF1"/>
    <w:rsid w:val="00655553"/>
    <w:rsid w:val="006558DA"/>
    <w:rsid w:val="006559D1"/>
    <w:rsid w:val="006564B0"/>
    <w:rsid w:val="00656EE5"/>
    <w:rsid w:val="00657017"/>
    <w:rsid w:val="00660132"/>
    <w:rsid w:val="006615F3"/>
    <w:rsid w:val="006626BF"/>
    <w:rsid w:val="0066291A"/>
    <w:rsid w:val="0066299F"/>
    <w:rsid w:val="00663066"/>
    <w:rsid w:val="00663138"/>
    <w:rsid w:val="0066335D"/>
    <w:rsid w:val="006633C7"/>
    <w:rsid w:val="00663F20"/>
    <w:rsid w:val="00664071"/>
    <w:rsid w:val="00664207"/>
    <w:rsid w:val="00664EBE"/>
    <w:rsid w:val="00664FEE"/>
    <w:rsid w:val="006652AD"/>
    <w:rsid w:val="00665E0C"/>
    <w:rsid w:val="0066638F"/>
    <w:rsid w:val="0066639A"/>
    <w:rsid w:val="00666B85"/>
    <w:rsid w:val="00666CE8"/>
    <w:rsid w:val="00666F91"/>
    <w:rsid w:val="0067011B"/>
    <w:rsid w:val="006701ED"/>
    <w:rsid w:val="006713F6"/>
    <w:rsid w:val="00671801"/>
    <w:rsid w:val="006720CE"/>
    <w:rsid w:val="00673070"/>
    <w:rsid w:val="006732DF"/>
    <w:rsid w:val="006733F4"/>
    <w:rsid w:val="00673428"/>
    <w:rsid w:val="00673528"/>
    <w:rsid w:val="00673CA6"/>
    <w:rsid w:val="00673FF6"/>
    <w:rsid w:val="0067441D"/>
    <w:rsid w:val="006753A9"/>
    <w:rsid w:val="006757A0"/>
    <w:rsid w:val="0067661C"/>
    <w:rsid w:val="00680841"/>
    <w:rsid w:val="00680D9E"/>
    <w:rsid w:val="00681356"/>
    <w:rsid w:val="00681592"/>
    <w:rsid w:val="00681B16"/>
    <w:rsid w:val="006822D8"/>
    <w:rsid w:val="0068248A"/>
    <w:rsid w:val="00682615"/>
    <w:rsid w:val="00682C67"/>
    <w:rsid w:val="0068320C"/>
    <w:rsid w:val="0068337B"/>
    <w:rsid w:val="00683392"/>
    <w:rsid w:val="006834E5"/>
    <w:rsid w:val="006835F9"/>
    <w:rsid w:val="00683907"/>
    <w:rsid w:val="00683DF2"/>
    <w:rsid w:val="00684250"/>
    <w:rsid w:val="006845E2"/>
    <w:rsid w:val="00684713"/>
    <w:rsid w:val="00684C30"/>
    <w:rsid w:val="00684C3C"/>
    <w:rsid w:val="006850EC"/>
    <w:rsid w:val="00685A62"/>
    <w:rsid w:val="00685B22"/>
    <w:rsid w:val="00687174"/>
    <w:rsid w:val="0068752C"/>
    <w:rsid w:val="006877AA"/>
    <w:rsid w:val="00687EC3"/>
    <w:rsid w:val="00690453"/>
    <w:rsid w:val="00690A25"/>
    <w:rsid w:val="00691172"/>
    <w:rsid w:val="00691927"/>
    <w:rsid w:val="006919AA"/>
    <w:rsid w:val="00691E4C"/>
    <w:rsid w:val="00692162"/>
    <w:rsid w:val="00692384"/>
    <w:rsid w:val="0069462B"/>
    <w:rsid w:val="006948BE"/>
    <w:rsid w:val="00694C8D"/>
    <w:rsid w:val="00695AAC"/>
    <w:rsid w:val="00696C66"/>
    <w:rsid w:val="00696CD2"/>
    <w:rsid w:val="0069715F"/>
    <w:rsid w:val="00697388"/>
    <w:rsid w:val="00697849"/>
    <w:rsid w:val="006A0001"/>
    <w:rsid w:val="006A0DB7"/>
    <w:rsid w:val="006A1CFD"/>
    <w:rsid w:val="006A21F5"/>
    <w:rsid w:val="006A284C"/>
    <w:rsid w:val="006A2A20"/>
    <w:rsid w:val="006A3804"/>
    <w:rsid w:val="006A3976"/>
    <w:rsid w:val="006A450D"/>
    <w:rsid w:val="006A4702"/>
    <w:rsid w:val="006A4938"/>
    <w:rsid w:val="006A4B6B"/>
    <w:rsid w:val="006A5B3B"/>
    <w:rsid w:val="006A5DBF"/>
    <w:rsid w:val="006A625A"/>
    <w:rsid w:val="006A696C"/>
    <w:rsid w:val="006A6D6E"/>
    <w:rsid w:val="006A7A73"/>
    <w:rsid w:val="006B1493"/>
    <w:rsid w:val="006B15D7"/>
    <w:rsid w:val="006B1FE5"/>
    <w:rsid w:val="006B2A9D"/>
    <w:rsid w:val="006B2DF9"/>
    <w:rsid w:val="006B3313"/>
    <w:rsid w:val="006B39AA"/>
    <w:rsid w:val="006B42C8"/>
    <w:rsid w:val="006B440D"/>
    <w:rsid w:val="006B470D"/>
    <w:rsid w:val="006B53D2"/>
    <w:rsid w:val="006B555E"/>
    <w:rsid w:val="006B5C09"/>
    <w:rsid w:val="006B6714"/>
    <w:rsid w:val="006B6729"/>
    <w:rsid w:val="006B6AFB"/>
    <w:rsid w:val="006B7641"/>
    <w:rsid w:val="006B7B2D"/>
    <w:rsid w:val="006C0227"/>
    <w:rsid w:val="006C04F8"/>
    <w:rsid w:val="006C0A6A"/>
    <w:rsid w:val="006C0DA8"/>
    <w:rsid w:val="006C0E08"/>
    <w:rsid w:val="006C124C"/>
    <w:rsid w:val="006C1F43"/>
    <w:rsid w:val="006C2D6B"/>
    <w:rsid w:val="006C3D0A"/>
    <w:rsid w:val="006C44E7"/>
    <w:rsid w:val="006C5668"/>
    <w:rsid w:val="006C57C7"/>
    <w:rsid w:val="006C5A85"/>
    <w:rsid w:val="006C5E2A"/>
    <w:rsid w:val="006C60DE"/>
    <w:rsid w:val="006C65BF"/>
    <w:rsid w:val="006C684B"/>
    <w:rsid w:val="006C6A79"/>
    <w:rsid w:val="006C6CF1"/>
    <w:rsid w:val="006C6D2A"/>
    <w:rsid w:val="006C6D6F"/>
    <w:rsid w:val="006C771B"/>
    <w:rsid w:val="006D00CB"/>
    <w:rsid w:val="006D0466"/>
    <w:rsid w:val="006D07EB"/>
    <w:rsid w:val="006D0FE0"/>
    <w:rsid w:val="006D10CC"/>
    <w:rsid w:val="006D1308"/>
    <w:rsid w:val="006D1C9B"/>
    <w:rsid w:val="006D23CD"/>
    <w:rsid w:val="006D249D"/>
    <w:rsid w:val="006D346D"/>
    <w:rsid w:val="006D36BD"/>
    <w:rsid w:val="006D3932"/>
    <w:rsid w:val="006D3A20"/>
    <w:rsid w:val="006D3E7F"/>
    <w:rsid w:val="006D3F70"/>
    <w:rsid w:val="006D4220"/>
    <w:rsid w:val="006D431D"/>
    <w:rsid w:val="006D4596"/>
    <w:rsid w:val="006D5095"/>
    <w:rsid w:val="006D57B4"/>
    <w:rsid w:val="006D591D"/>
    <w:rsid w:val="006D656A"/>
    <w:rsid w:val="006D6BD9"/>
    <w:rsid w:val="006D724E"/>
    <w:rsid w:val="006D76F8"/>
    <w:rsid w:val="006D7858"/>
    <w:rsid w:val="006E02BD"/>
    <w:rsid w:val="006E078C"/>
    <w:rsid w:val="006E07B3"/>
    <w:rsid w:val="006E40BA"/>
    <w:rsid w:val="006E40D2"/>
    <w:rsid w:val="006E41BA"/>
    <w:rsid w:val="006E4204"/>
    <w:rsid w:val="006E4383"/>
    <w:rsid w:val="006E4881"/>
    <w:rsid w:val="006E491D"/>
    <w:rsid w:val="006E5D94"/>
    <w:rsid w:val="006E5E89"/>
    <w:rsid w:val="006E71AE"/>
    <w:rsid w:val="006E7810"/>
    <w:rsid w:val="006E7AC6"/>
    <w:rsid w:val="006E7CDD"/>
    <w:rsid w:val="006F0137"/>
    <w:rsid w:val="006F0228"/>
    <w:rsid w:val="006F0338"/>
    <w:rsid w:val="006F0420"/>
    <w:rsid w:val="006F058F"/>
    <w:rsid w:val="006F098C"/>
    <w:rsid w:val="006F0DAA"/>
    <w:rsid w:val="006F115E"/>
    <w:rsid w:val="006F1195"/>
    <w:rsid w:val="006F11D9"/>
    <w:rsid w:val="006F11FE"/>
    <w:rsid w:val="006F1544"/>
    <w:rsid w:val="006F1DCB"/>
    <w:rsid w:val="006F26AF"/>
    <w:rsid w:val="006F2890"/>
    <w:rsid w:val="006F35F3"/>
    <w:rsid w:val="006F3811"/>
    <w:rsid w:val="006F3964"/>
    <w:rsid w:val="006F3B6F"/>
    <w:rsid w:val="006F442C"/>
    <w:rsid w:val="006F464C"/>
    <w:rsid w:val="006F4727"/>
    <w:rsid w:val="006F49F8"/>
    <w:rsid w:val="006F4DB3"/>
    <w:rsid w:val="006F5282"/>
    <w:rsid w:val="006F5466"/>
    <w:rsid w:val="006F5749"/>
    <w:rsid w:val="006F58D2"/>
    <w:rsid w:val="006F594A"/>
    <w:rsid w:val="006F5AC1"/>
    <w:rsid w:val="006F5DB4"/>
    <w:rsid w:val="006F6F16"/>
    <w:rsid w:val="00701484"/>
    <w:rsid w:val="007018DF"/>
    <w:rsid w:val="00703F20"/>
    <w:rsid w:val="00703FA5"/>
    <w:rsid w:val="007044C4"/>
    <w:rsid w:val="00704603"/>
    <w:rsid w:val="007047A9"/>
    <w:rsid w:val="00704E05"/>
    <w:rsid w:val="007050D8"/>
    <w:rsid w:val="00705903"/>
    <w:rsid w:val="00705944"/>
    <w:rsid w:val="007065B9"/>
    <w:rsid w:val="00707B3C"/>
    <w:rsid w:val="00710016"/>
    <w:rsid w:val="0071010C"/>
    <w:rsid w:val="00710216"/>
    <w:rsid w:val="00710BF4"/>
    <w:rsid w:val="00710C46"/>
    <w:rsid w:val="00710D25"/>
    <w:rsid w:val="00711270"/>
    <w:rsid w:val="0071187B"/>
    <w:rsid w:val="00712148"/>
    <w:rsid w:val="00712654"/>
    <w:rsid w:val="00713931"/>
    <w:rsid w:val="00713A3E"/>
    <w:rsid w:val="00713A58"/>
    <w:rsid w:val="00713DA6"/>
    <w:rsid w:val="00713DA8"/>
    <w:rsid w:val="007143E3"/>
    <w:rsid w:val="00714674"/>
    <w:rsid w:val="00714B13"/>
    <w:rsid w:val="00714C6C"/>
    <w:rsid w:val="00715438"/>
    <w:rsid w:val="00715C7A"/>
    <w:rsid w:val="00716011"/>
    <w:rsid w:val="007164E2"/>
    <w:rsid w:val="007166B2"/>
    <w:rsid w:val="0071753A"/>
    <w:rsid w:val="00717A39"/>
    <w:rsid w:val="00717D0E"/>
    <w:rsid w:val="007200A6"/>
    <w:rsid w:val="0072081E"/>
    <w:rsid w:val="00720888"/>
    <w:rsid w:val="0072136F"/>
    <w:rsid w:val="00722858"/>
    <w:rsid w:val="00722C79"/>
    <w:rsid w:val="00723513"/>
    <w:rsid w:val="0072387B"/>
    <w:rsid w:val="007239F4"/>
    <w:rsid w:val="00723C38"/>
    <w:rsid w:val="00723CB1"/>
    <w:rsid w:val="00723ED4"/>
    <w:rsid w:val="00723F0A"/>
    <w:rsid w:val="0072403F"/>
    <w:rsid w:val="00724A47"/>
    <w:rsid w:val="00724D09"/>
    <w:rsid w:val="0072547A"/>
    <w:rsid w:val="00725538"/>
    <w:rsid w:val="007263BC"/>
    <w:rsid w:val="00726455"/>
    <w:rsid w:val="00726BB9"/>
    <w:rsid w:val="0072708E"/>
    <w:rsid w:val="007271CB"/>
    <w:rsid w:val="007277A1"/>
    <w:rsid w:val="00727C2C"/>
    <w:rsid w:val="00727FF0"/>
    <w:rsid w:val="007305BD"/>
    <w:rsid w:val="00730816"/>
    <w:rsid w:val="00730857"/>
    <w:rsid w:val="00731282"/>
    <w:rsid w:val="00732109"/>
    <w:rsid w:val="00732293"/>
    <w:rsid w:val="007329CD"/>
    <w:rsid w:val="00732DC8"/>
    <w:rsid w:val="00732EC6"/>
    <w:rsid w:val="00733E3F"/>
    <w:rsid w:val="0073464C"/>
    <w:rsid w:val="007346F3"/>
    <w:rsid w:val="0073476E"/>
    <w:rsid w:val="007349B7"/>
    <w:rsid w:val="00734A6B"/>
    <w:rsid w:val="00734A78"/>
    <w:rsid w:val="00734E95"/>
    <w:rsid w:val="00735150"/>
    <w:rsid w:val="0073527E"/>
    <w:rsid w:val="007365C2"/>
    <w:rsid w:val="00736D06"/>
    <w:rsid w:val="007371AB"/>
    <w:rsid w:val="007377E9"/>
    <w:rsid w:val="00740A3B"/>
    <w:rsid w:val="00741321"/>
    <w:rsid w:val="007415E9"/>
    <w:rsid w:val="007416B1"/>
    <w:rsid w:val="0074176D"/>
    <w:rsid w:val="007419A5"/>
    <w:rsid w:val="00741AF7"/>
    <w:rsid w:val="00741BD1"/>
    <w:rsid w:val="00741D88"/>
    <w:rsid w:val="007420DD"/>
    <w:rsid w:val="007421CD"/>
    <w:rsid w:val="00742A40"/>
    <w:rsid w:val="00743712"/>
    <w:rsid w:val="00743A12"/>
    <w:rsid w:val="00743A1F"/>
    <w:rsid w:val="007448A3"/>
    <w:rsid w:val="00750513"/>
    <w:rsid w:val="00750B5D"/>
    <w:rsid w:val="00750F0C"/>
    <w:rsid w:val="0075137C"/>
    <w:rsid w:val="007519A1"/>
    <w:rsid w:val="00751B3F"/>
    <w:rsid w:val="00751DA2"/>
    <w:rsid w:val="0075261A"/>
    <w:rsid w:val="0075299C"/>
    <w:rsid w:val="00752AFB"/>
    <w:rsid w:val="007530CB"/>
    <w:rsid w:val="007534FD"/>
    <w:rsid w:val="007536E0"/>
    <w:rsid w:val="00753A2D"/>
    <w:rsid w:val="00753FE8"/>
    <w:rsid w:val="00754262"/>
    <w:rsid w:val="00754343"/>
    <w:rsid w:val="007551FE"/>
    <w:rsid w:val="007555A5"/>
    <w:rsid w:val="0075579F"/>
    <w:rsid w:val="00755CA2"/>
    <w:rsid w:val="007565FB"/>
    <w:rsid w:val="00757029"/>
    <w:rsid w:val="007571CE"/>
    <w:rsid w:val="00757AA5"/>
    <w:rsid w:val="00757C61"/>
    <w:rsid w:val="00757DB5"/>
    <w:rsid w:val="00760451"/>
    <w:rsid w:val="007604E6"/>
    <w:rsid w:val="00760B52"/>
    <w:rsid w:val="0076113E"/>
    <w:rsid w:val="007611BC"/>
    <w:rsid w:val="00761350"/>
    <w:rsid w:val="007617D7"/>
    <w:rsid w:val="00761E5B"/>
    <w:rsid w:val="00761ED0"/>
    <w:rsid w:val="00762E78"/>
    <w:rsid w:val="00763A87"/>
    <w:rsid w:val="00763B17"/>
    <w:rsid w:val="00763DF0"/>
    <w:rsid w:val="0076478C"/>
    <w:rsid w:val="007650EA"/>
    <w:rsid w:val="007653DA"/>
    <w:rsid w:val="007658EA"/>
    <w:rsid w:val="0076594A"/>
    <w:rsid w:val="00765C88"/>
    <w:rsid w:val="00766210"/>
    <w:rsid w:val="007666A1"/>
    <w:rsid w:val="007666AB"/>
    <w:rsid w:val="0076688C"/>
    <w:rsid w:val="00767030"/>
    <w:rsid w:val="00767127"/>
    <w:rsid w:val="00767273"/>
    <w:rsid w:val="00767916"/>
    <w:rsid w:val="00767DCA"/>
    <w:rsid w:val="007701FE"/>
    <w:rsid w:val="007703ED"/>
    <w:rsid w:val="00771025"/>
    <w:rsid w:val="00771947"/>
    <w:rsid w:val="0077310F"/>
    <w:rsid w:val="00773C4A"/>
    <w:rsid w:val="0077450D"/>
    <w:rsid w:val="0077460E"/>
    <w:rsid w:val="00774E73"/>
    <w:rsid w:val="00775100"/>
    <w:rsid w:val="00775BF8"/>
    <w:rsid w:val="0077618E"/>
    <w:rsid w:val="007767E4"/>
    <w:rsid w:val="00776D32"/>
    <w:rsid w:val="007772B1"/>
    <w:rsid w:val="00777B70"/>
    <w:rsid w:val="0078164C"/>
    <w:rsid w:val="00781995"/>
    <w:rsid w:val="00782BCD"/>
    <w:rsid w:val="00783531"/>
    <w:rsid w:val="007836A5"/>
    <w:rsid w:val="00784729"/>
    <w:rsid w:val="00784A09"/>
    <w:rsid w:val="007850DA"/>
    <w:rsid w:val="007855A9"/>
    <w:rsid w:val="00785994"/>
    <w:rsid w:val="007859F2"/>
    <w:rsid w:val="00786648"/>
    <w:rsid w:val="00786760"/>
    <w:rsid w:val="007867E1"/>
    <w:rsid w:val="00786FD7"/>
    <w:rsid w:val="0078711D"/>
    <w:rsid w:val="00787526"/>
    <w:rsid w:val="00787BBB"/>
    <w:rsid w:val="00787FE6"/>
    <w:rsid w:val="007902A3"/>
    <w:rsid w:val="007906BC"/>
    <w:rsid w:val="007907AC"/>
    <w:rsid w:val="00791056"/>
    <w:rsid w:val="00791466"/>
    <w:rsid w:val="007918D1"/>
    <w:rsid w:val="00791BE4"/>
    <w:rsid w:val="00791E3B"/>
    <w:rsid w:val="00792A15"/>
    <w:rsid w:val="007931F0"/>
    <w:rsid w:val="00793992"/>
    <w:rsid w:val="00793A0C"/>
    <w:rsid w:val="00793AE0"/>
    <w:rsid w:val="00793DEF"/>
    <w:rsid w:val="0079458C"/>
    <w:rsid w:val="007946A3"/>
    <w:rsid w:val="00794B99"/>
    <w:rsid w:val="00794D92"/>
    <w:rsid w:val="00795AC6"/>
    <w:rsid w:val="00795B41"/>
    <w:rsid w:val="00795BD7"/>
    <w:rsid w:val="00795E78"/>
    <w:rsid w:val="00795FD4"/>
    <w:rsid w:val="007965EF"/>
    <w:rsid w:val="00796B69"/>
    <w:rsid w:val="00797057"/>
    <w:rsid w:val="007971C0"/>
    <w:rsid w:val="00797641"/>
    <w:rsid w:val="00797E29"/>
    <w:rsid w:val="007A0A02"/>
    <w:rsid w:val="007A1834"/>
    <w:rsid w:val="007A2091"/>
    <w:rsid w:val="007A2106"/>
    <w:rsid w:val="007A2259"/>
    <w:rsid w:val="007A2385"/>
    <w:rsid w:val="007A2735"/>
    <w:rsid w:val="007A2C02"/>
    <w:rsid w:val="007A3327"/>
    <w:rsid w:val="007A3507"/>
    <w:rsid w:val="007A35B3"/>
    <w:rsid w:val="007A3C6D"/>
    <w:rsid w:val="007A52BA"/>
    <w:rsid w:val="007A565B"/>
    <w:rsid w:val="007A573D"/>
    <w:rsid w:val="007A645C"/>
    <w:rsid w:val="007A687F"/>
    <w:rsid w:val="007A76DB"/>
    <w:rsid w:val="007A7ECC"/>
    <w:rsid w:val="007B0247"/>
    <w:rsid w:val="007B16F7"/>
    <w:rsid w:val="007B1E45"/>
    <w:rsid w:val="007B27FF"/>
    <w:rsid w:val="007B29AD"/>
    <w:rsid w:val="007B2D66"/>
    <w:rsid w:val="007B2F38"/>
    <w:rsid w:val="007B3C46"/>
    <w:rsid w:val="007B4111"/>
    <w:rsid w:val="007B47FD"/>
    <w:rsid w:val="007B4B4F"/>
    <w:rsid w:val="007B50C4"/>
    <w:rsid w:val="007B50CC"/>
    <w:rsid w:val="007B5A42"/>
    <w:rsid w:val="007B613D"/>
    <w:rsid w:val="007B6554"/>
    <w:rsid w:val="007B65C6"/>
    <w:rsid w:val="007B69BD"/>
    <w:rsid w:val="007B6CCF"/>
    <w:rsid w:val="007B78FF"/>
    <w:rsid w:val="007B7D68"/>
    <w:rsid w:val="007C0496"/>
    <w:rsid w:val="007C0830"/>
    <w:rsid w:val="007C0838"/>
    <w:rsid w:val="007C08D2"/>
    <w:rsid w:val="007C09C4"/>
    <w:rsid w:val="007C10F6"/>
    <w:rsid w:val="007C25FA"/>
    <w:rsid w:val="007C267D"/>
    <w:rsid w:val="007C284A"/>
    <w:rsid w:val="007C2D11"/>
    <w:rsid w:val="007C323C"/>
    <w:rsid w:val="007C3473"/>
    <w:rsid w:val="007C37F7"/>
    <w:rsid w:val="007C38FF"/>
    <w:rsid w:val="007C3C74"/>
    <w:rsid w:val="007C4862"/>
    <w:rsid w:val="007C4C29"/>
    <w:rsid w:val="007C4EC4"/>
    <w:rsid w:val="007C4F99"/>
    <w:rsid w:val="007C563D"/>
    <w:rsid w:val="007C628C"/>
    <w:rsid w:val="007C6BBE"/>
    <w:rsid w:val="007C6EB6"/>
    <w:rsid w:val="007C6ECE"/>
    <w:rsid w:val="007C726A"/>
    <w:rsid w:val="007C733B"/>
    <w:rsid w:val="007D0E2C"/>
    <w:rsid w:val="007D135D"/>
    <w:rsid w:val="007D1A7E"/>
    <w:rsid w:val="007D1BEB"/>
    <w:rsid w:val="007D23DB"/>
    <w:rsid w:val="007D255C"/>
    <w:rsid w:val="007D2A84"/>
    <w:rsid w:val="007D36DF"/>
    <w:rsid w:val="007D3822"/>
    <w:rsid w:val="007D3B69"/>
    <w:rsid w:val="007D3F49"/>
    <w:rsid w:val="007D436B"/>
    <w:rsid w:val="007D4E51"/>
    <w:rsid w:val="007D6C85"/>
    <w:rsid w:val="007D734C"/>
    <w:rsid w:val="007E0FEB"/>
    <w:rsid w:val="007E15E9"/>
    <w:rsid w:val="007E19D8"/>
    <w:rsid w:val="007E2483"/>
    <w:rsid w:val="007E252C"/>
    <w:rsid w:val="007E25F9"/>
    <w:rsid w:val="007E2718"/>
    <w:rsid w:val="007E2821"/>
    <w:rsid w:val="007E2BAD"/>
    <w:rsid w:val="007E322D"/>
    <w:rsid w:val="007E3AA9"/>
    <w:rsid w:val="007E4275"/>
    <w:rsid w:val="007E51B4"/>
    <w:rsid w:val="007E5651"/>
    <w:rsid w:val="007E56C0"/>
    <w:rsid w:val="007E5B5A"/>
    <w:rsid w:val="007E5FA2"/>
    <w:rsid w:val="007E72E8"/>
    <w:rsid w:val="007E7ACC"/>
    <w:rsid w:val="007E7C46"/>
    <w:rsid w:val="007E7DE2"/>
    <w:rsid w:val="007E7F11"/>
    <w:rsid w:val="007F11FE"/>
    <w:rsid w:val="007F157B"/>
    <w:rsid w:val="007F1585"/>
    <w:rsid w:val="007F1A2D"/>
    <w:rsid w:val="007F1CA8"/>
    <w:rsid w:val="007F322E"/>
    <w:rsid w:val="007F3306"/>
    <w:rsid w:val="007F34E2"/>
    <w:rsid w:val="007F3607"/>
    <w:rsid w:val="007F36DD"/>
    <w:rsid w:val="007F38BA"/>
    <w:rsid w:val="007F39F2"/>
    <w:rsid w:val="007F4054"/>
    <w:rsid w:val="007F49B4"/>
    <w:rsid w:val="007F4D85"/>
    <w:rsid w:val="007F5247"/>
    <w:rsid w:val="007F567F"/>
    <w:rsid w:val="007F62B4"/>
    <w:rsid w:val="007F6BE2"/>
    <w:rsid w:val="0080067B"/>
    <w:rsid w:val="008008DF"/>
    <w:rsid w:val="0080098E"/>
    <w:rsid w:val="00801D93"/>
    <w:rsid w:val="008024F8"/>
    <w:rsid w:val="00802618"/>
    <w:rsid w:val="00802670"/>
    <w:rsid w:val="00802C6E"/>
    <w:rsid w:val="00803290"/>
    <w:rsid w:val="008032C7"/>
    <w:rsid w:val="00803B14"/>
    <w:rsid w:val="00803E95"/>
    <w:rsid w:val="008041C0"/>
    <w:rsid w:val="008045FD"/>
    <w:rsid w:val="0080481C"/>
    <w:rsid w:val="00804A60"/>
    <w:rsid w:val="0080534F"/>
    <w:rsid w:val="008067B0"/>
    <w:rsid w:val="00806AB2"/>
    <w:rsid w:val="00806C45"/>
    <w:rsid w:val="00806CC8"/>
    <w:rsid w:val="00806D97"/>
    <w:rsid w:val="00806E75"/>
    <w:rsid w:val="008079D5"/>
    <w:rsid w:val="00807CEC"/>
    <w:rsid w:val="008103BD"/>
    <w:rsid w:val="0081058E"/>
    <w:rsid w:val="008109CD"/>
    <w:rsid w:val="00810FFC"/>
    <w:rsid w:val="00811B1B"/>
    <w:rsid w:val="00812207"/>
    <w:rsid w:val="00812335"/>
    <w:rsid w:val="0081256D"/>
    <w:rsid w:val="008125BB"/>
    <w:rsid w:val="00812CB1"/>
    <w:rsid w:val="00813054"/>
    <w:rsid w:val="00813511"/>
    <w:rsid w:val="008137F6"/>
    <w:rsid w:val="00813C28"/>
    <w:rsid w:val="00813D05"/>
    <w:rsid w:val="00813E33"/>
    <w:rsid w:val="008146C8"/>
    <w:rsid w:val="008149A8"/>
    <w:rsid w:val="00814C89"/>
    <w:rsid w:val="00814F6F"/>
    <w:rsid w:val="0081502F"/>
    <w:rsid w:val="00816C1E"/>
    <w:rsid w:val="00817800"/>
    <w:rsid w:val="00817AFA"/>
    <w:rsid w:val="00817F63"/>
    <w:rsid w:val="00817FDE"/>
    <w:rsid w:val="0082000E"/>
    <w:rsid w:val="00820306"/>
    <w:rsid w:val="00820438"/>
    <w:rsid w:val="00820B7B"/>
    <w:rsid w:val="00820FB9"/>
    <w:rsid w:val="008216E4"/>
    <w:rsid w:val="00821A7D"/>
    <w:rsid w:val="00821AF5"/>
    <w:rsid w:val="00821B0C"/>
    <w:rsid w:val="00821BB0"/>
    <w:rsid w:val="0082222C"/>
    <w:rsid w:val="00822825"/>
    <w:rsid w:val="00822C94"/>
    <w:rsid w:val="00822D03"/>
    <w:rsid w:val="00823027"/>
    <w:rsid w:val="00823363"/>
    <w:rsid w:val="00823AD8"/>
    <w:rsid w:val="00823C88"/>
    <w:rsid w:val="00823FE7"/>
    <w:rsid w:val="008246BB"/>
    <w:rsid w:val="00824A94"/>
    <w:rsid w:val="00825074"/>
    <w:rsid w:val="0082521E"/>
    <w:rsid w:val="0082575A"/>
    <w:rsid w:val="00825D1F"/>
    <w:rsid w:val="00825D44"/>
    <w:rsid w:val="00825D66"/>
    <w:rsid w:val="00825D68"/>
    <w:rsid w:val="00826071"/>
    <w:rsid w:val="00826412"/>
    <w:rsid w:val="00826968"/>
    <w:rsid w:val="0082705E"/>
    <w:rsid w:val="008270AA"/>
    <w:rsid w:val="00827817"/>
    <w:rsid w:val="00827A60"/>
    <w:rsid w:val="00827E31"/>
    <w:rsid w:val="008309F7"/>
    <w:rsid w:val="00831157"/>
    <w:rsid w:val="00831172"/>
    <w:rsid w:val="008323E3"/>
    <w:rsid w:val="0083289C"/>
    <w:rsid w:val="00832FE2"/>
    <w:rsid w:val="00833DA1"/>
    <w:rsid w:val="00834193"/>
    <w:rsid w:val="0083448C"/>
    <w:rsid w:val="00835A60"/>
    <w:rsid w:val="00835E45"/>
    <w:rsid w:val="00836DF6"/>
    <w:rsid w:val="008372CF"/>
    <w:rsid w:val="00837885"/>
    <w:rsid w:val="00837C79"/>
    <w:rsid w:val="00840288"/>
    <w:rsid w:val="00840E16"/>
    <w:rsid w:val="008410F6"/>
    <w:rsid w:val="00841351"/>
    <w:rsid w:val="0084137E"/>
    <w:rsid w:val="0084153C"/>
    <w:rsid w:val="008415BC"/>
    <w:rsid w:val="008418B0"/>
    <w:rsid w:val="008423D0"/>
    <w:rsid w:val="00842C6D"/>
    <w:rsid w:val="008436D8"/>
    <w:rsid w:val="008450C1"/>
    <w:rsid w:val="00845A2B"/>
    <w:rsid w:val="00846187"/>
    <w:rsid w:val="0084680D"/>
    <w:rsid w:val="00846D8D"/>
    <w:rsid w:val="00846ECB"/>
    <w:rsid w:val="00846EF0"/>
    <w:rsid w:val="008473B2"/>
    <w:rsid w:val="00847798"/>
    <w:rsid w:val="00847E41"/>
    <w:rsid w:val="00850034"/>
    <w:rsid w:val="008507D8"/>
    <w:rsid w:val="00850A38"/>
    <w:rsid w:val="00850A3E"/>
    <w:rsid w:val="00850C6E"/>
    <w:rsid w:val="00850EC5"/>
    <w:rsid w:val="00851430"/>
    <w:rsid w:val="00851818"/>
    <w:rsid w:val="00852883"/>
    <w:rsid w:val="00852BA1"/>
    <w:rsid w:val="0085407F"/>
    <w:rsid w:val="008541D3"/>
    <w:rsid w:val="00854266"/>
    <w:rsid w:val="008542BF"/>
    <w:rsid w:val="00855064"/>
    <w:rsid w:val="008551BE"/>
    <w:rsid w:val="00855A75"/>
    <w:rsid w:val="008560F0"/>
    <w:rsid w:val="00856924"/>
    <w:rsid w:val="00857A1D"/>
    <w:rsid w:val="00857A90"/>
    <w:rsid w:val="00860C8A"/>
    <w:rsid w:val="00860FA3"/>
    <w:rsid w:val="0086183A"/>
    <w:rsid w:val="00861C78"/>
    <w:rsid w:val="00861CD7"/>
    <w:rsid w:val="00861D09"/>
    <w:rsid w:val="008626AA"/>
    <w:rsid w:val="00862738"/>
    <w:rsid w:val="00862C28"/>
    <w:rsid w:val="00862F31"/>
    <w:rsid w:val="00863567"/>
    <w:rsid w:val="00863E5E"/>
    <w:rsid w:val="00863F9F"/>
    <w:rsid w:val="008646F1"/>
    <w:rsid w:val="008646F9"/>
    <w:rsid w:val="0086476B"/>
    <w:rsid w:val="008649EC"/>
    <w:rsid w:val="00865889"/>
    <w:rsid w:val="0086602C"/>
    <w:rsid w:val="008667BF"/>
    <w:rsid w:val="00867214"/>
    <w:rsid w:val="00867A59"/>
    <w:rsid w:val="00867B6B"/>
    <w:rsid w:val="008701FD"/>
    <w:rsid w:val="008705C5"/>
    <w:rsid w:val="008706E9"/>
    <w:rsid w:val="00870A2F"/>
    <w:rsid w:val="00870DBA"/>
    <w:rsid w:val="00871178"/>
    <w:rsid w:val="0087133A"/>
    <w:rsid w:val="00871680"/>
    <w:rsid w:val="00871B70"/>
    <w:rsid w:val="00871D1E"/>
    <w:rsid w:val="00872251"/>
    <w:rsid w:val="0087298B"/>
    <w:rsid w:val="00872D06"/>
    <w:rsid w:val="00874453"/>
    <w:rsid w:val="008744E9"/>
    <w:rsid w:val="008750E4"/>
    <w:rsid w:val="00875520"/>
    <w:rsid w:val="0087583A"/>
    <w:rsid w:val="0087611A"/>
    <w:rsid w:val="00876BEB"/>
    <w:rsid w:val="00876F30"/>
    <w:rsid w:val="00877660"/>
    <w:rsid w:val="00877907"/>
    <w:rsid w:val="0087793C"/>
    <w:rsid w:val="00877BA1"/>
    <w:rsid w:val="00880814"/>
    <w:rsid w:val="0088193C"/>
    <w:rsid w:val="00881976"/>
    <w:rsid w:val="00881A72"/>
    <w:rsid w:val="008832B3"/>
    <w:rsid w:val="008839C7"/>
    <w:rsid w:val="00883E1E"/>
    <w:rsid w:val="00883E3C"/>
    <w:rsid w:val="0088405E"/>
    <w:rsid w:val="008844ED"/>
    <w:rsid w:val="00884A72"/>
    <w:rsid w:val="00885A8C"/>
    <w:rsid w:val="00885DAA"/>
    <w:rsid w:val="00885E29"/>
    <w:rsid w:val="0088606A"/>
    <w:rsid w:val="008865CB"/>
    <w:rsid w:val="00886B95"/>
    <w:rsid w:val="0088734B"/>
    <w:rsid w:val="008878D5"/>
    <w:rsid w:val="0089036C"/>
    <w:rsid w:val="008910EC"/>
    <w:rsid w:val="00891265"/>
    <w:rsid w:val="008912C7"/>
    <w:rsid w:val="00891999"/>
    <w:rsid w:val="0089326D"/>
    <w:rsid w:val="0089390C"/>
    <w:rsid w:val="00893DF8"/>
    <w:rsid w:val="0089457C"/>
    <w:rsid w:val="008947DB"/>
    <w:rsid w:val="00894967"/>
    <w:rsid w:val="00894C83"/>
    <w:rsid w:val="00894C97"/>
    <w:rsid w:val="00895236"/>
    <w:rsid w:val="008953FF"/>
    <w:rsid w:val="00895943"/>
    <w:rsid w:val="008964A4"/>
    <w:rsid w:val="00896C76"/>
    <w:rsid w:val="008970AF"/>
    <w:rsid w:val="00897401"/>
    <w:rsid w:val="00897BCA"/>
    <w:rsid w:val="00897FA4"/>
    <w:rsid w:val="008A0049"/>
    <w:rsid w:val="008A02C6"/>
    <w:rsid w:val="008A0E7F"/>
    <w:rsid w:val="008A10CB"/>
    <w:rsid w:val="008A1793"/>
    <w:rsid w:val="008A185C"/>
    <w:rsid w:val="008A2BF9"/>
    <w:rsid w:val="008A3274"/>
    <w:rsid w:val="008A3579"/>
    <w:rsid w:val="008A3795"/>
    <w:rsid w:val="008A39A7"/>
    <w:rsid w:val="008A39F2"/>
    <w:rsid w:val="008A4980"/>
    <w:rsid w:val="008A4BD1"/>
    <w:rsid w:val="008A5687"/>
    <w:rsid w:val="008A5A24"/>
    <w:rsid w:val="008A5C4E"/>
    <w:rsid w:val="008A60EF"/>
    <w:rsid w:val="008A62F1"/>
    <w:rsid w:val="008A696A"/>
    <w:rsid w:val="008A6D7E"/>
    <w:rsid w:val="008A6F57"/>
    <w:rsid w:val="008A6F97"/>
    <w:rsid w:val="008A72B0"/>
    <w:rsid w:val="008A7A59"/>
    <w:rsid w:val="008A7AC2"/>
    <w:rsid w:val="008B02FB"/>
    <w:rsid w:val="008B0ABE"/>
    <w:rsid w:val="008B1325"/>
    <w:rsid w:val="008B199D"/>
    <w:rsid w:val="008B26F9"/>
    <w:rsid w:val="008B284A"/>
    <w:rsid w:val="008B2B3E"/>
    <w:rsid w:val="008B32D6"/>
    <w:rsid w:val="008B360F"/>
    <w:rsid w:val="008B3682"/>
    <w:rsid w:val="008B3946"/>
    <w:rsid w:val="008B3B25"/>
    <w:rsid w:val="008B3D3E"/>
    <w:rsid w:val="008B3E45"/>
    <w:rsid w:val="008B42E2"/>
    <w:rsid w:val="008B46EF"/>
    <w:rsid w:val="008B4856"/>
    <w:rsid w:val="008B4E0C"/>
    <w:rsid w:val="008B4FBE"/>
    <w:rsid w:val="008B5485"/>
    <w:rsid w:val="008B569D"/>
    <w:rsid w:val="008B59C2"/>
    <w:rsid w:val="008B65DE"/>
    <w:rsid w:val="008B6892"/>
    <w:rsid w:val="008B6C4A"/>
    <w:rsid w:val="008B7F09"/>
    <w:rsid w:val="008C0034"/>
    <w:rsid w:val="008C08E0"/>
    <w:rsid w:val="008C0AE5"/>
    <w:rsid w:val="008C1F1A"/>
    <w:rsid w:val="008C28A6"/>
    <w:rsid w:val="008C2CCE"/>
    <w:rsid w:val="008C3259"/>
    <w:rsid w:val="008C3879"/>
    <w:rsid w:val="008C3881"/>
    <w:rsid w:val="008C4058"/>
    <w:rsid w:val="008C4E54"/>
    <w:rsid w:val="008C541A"/>
    <w:rsid w:val="008C59DF"/>
    <w:rsid w:val="008C5F48"/>
    <w:rsid w:val="008C6124"/>
    <w:rsid w:val="008C623B"/>
    <w:rsid w:val="008C65AE"/>
    <w:rsid w:val="008C65E7"/>
    <w:rsid w:val="008C6A7D"/>
    <w:rsid w:val="008C6C1E"/>
    <w:rsid w:val="008C745F"/>
    <w:rsid w:val="008D03A4"/>
    <w:rsid w:val="008D0B0D"/>
    <w:rsid w:val="008D0EC5"/>
    <w:rsid w:val="008D0FDE"/>
    <w:rsid w:val="008D2544"/>
    <w:rsid w:val="008D2546"/>
    <w:rsid w:val="008D2E62"/>
    <w:rsid w:val="008D2FCF"/>
    <w:rsid w:val="008D372D"/>
    <w:rsid w:val="008D3E50"/>
    <w:rsid w:val="008D4004"/>
    <w:rsid w:val="008D4006"/>
    <w:rsid w:val="008D4164"/>
    <w:rsid w:val="008D42CF"/>
    <w:rsid w:val="008D45E3"/>
    <w:rsid w:val="008D471A"/>
    <w:rsid w:val="008D4A26"/>
    <w:rsid w:val="008D56EE"/>
    <w:rsid w:val="008D574A"/>
    <w:rsid w:val="008D5CD5"/>
    <w:rsid w:val="008D662E"/>
    <w:rsid w:val="008D67B2"/>
    <w:rsid w:val="008D68E2"/>
    <w:rsid w:val="008D6C75"/>
    <w:rsid w:val="008D7375"/>
    <w:rsid w:val="008D741B"/>
    <w:rsid w:val="008D7792"/>
    <w:rsid w:val="008D789C"/>
    <w:rsid w:val="008D7972"/>
    <w:rsid w:val="008D7A38"/>
    <w:rsid w:val="008D7BE4"/>
    <w:rsid w:val="008D7E6F"/>
    <w:rsid w:val="008E0291"/>
    <w:rsid w:val="008E098B"/>
    <w:rsid w:val="008E1468"/>
    <w:rsid w:val="008E1E23"/>
    <w:rsid w:val="008E1FEB"/>
    <w:rsid w:val="008E2992"/>
    <w:rsid w:val="008E3416"/>
    <w:rsid w:val="008E3EB7"/>
    <w:rsid w:val="008E47A2"/>
    <w:rsid w:val="008E4DAF"/>
    <w:rsid w:val="008E51E5"/>
    <w:rsid w:val="008E54EA"/>
    <w:rsid w:val="008E5978"/>
    <w:rsid w:val="008E60D4"/>
    <w:rsid w:val="008E62EB"/>
    <w:rsid w:val="008E63F5"/>
    <w:rsid w:val="008E673C"/>
    <w:rsid w:val="008E7454"/>
    <w:rsid w:val="008E757E"/>
    <w:rsid w:val="008E78EB"/>
    <w:rsid w:val="008E7D4C"/>
    <w:rsid w:val="008F10B4"/>
    <w:rsid w:val="008F1121"/>
    <w:rsid w:val="008F17CA"/>
    <w:rsid w:val="008F1E89"/>
    <w:rsid w:val="008F206C"/>
    <w:rsid w:val="008F2B30"/>
    <w:rsid w:val="008F37E8"/>
    <w:rsid w:val="008F3C64"/>
    <w:rsid w:val="008F427C"/>
    <w:rsid w:val="008F4C6C"/>
    <w:rsid w:val="008F4CC9"/>
    <w:rsid w:val="008F562F"/>
    <w:rsid w:val="008F609D"/>
    <w:rsid w:val="008F709C"/>
    <w:rsid w:val="008F77E7"/>
    <w:rsid w:val="00900241"/>
    <w:rsid w:val="009002F5"/>
    <w:rsid w:val="00900E87"/>
    <w:rsid w:val="00900FA7"/>
    <w:rsid w:val="0090173E"/>
    <w:rsid w:val="00901A4B"/>
    <w:rsid w:val="00901EDD"/>
    <w:rsid w:val="00902178"/>
    <w:rsid w:val="0090272F"/>
    <w:rsid w:val="009028DF"/>
    <w:rsid w:val="00902936"/>
    <w:rsid w:val="00903A1A"/>
    <w:rsid w:val="00903CBE"/>
    <w:rsid w:val="00903D0C"/>
    <w:rsid w:val="00903FA6"/>
    <w:rsid w:val="0090407D"/>
    <w:rsid w:val="00904B82"/>
    <w:rsid w:val="00904EE3"/>
    <w:rsid w:val="0090539B"/>
    <w:rsid w:val="00905570"/>
    <w:rsid w:val="0090696C"/>
    <w:rsid w:val="00906E31"/>
    <w:rsid w:val="009078FF"/>
    <w:rsid w:val="00907959"/>
    <w:rsid w:val="00907C26"/>
    <w:rsid w:val="009102B5"/>
    <w:rsid w:val="0091059C"/>
    <w:rsid w:val="00910684"/>
    <w:rsid w:val="0091161F"/>
    <w:rsid w:val="00911752"/>
    <w:rsid w:val="00911A0C"/>
    <w:rsid w:val="0091267A"/>
    <w:rsid w:val="00912DD6"/>
    <w:rsid w:val="009133D1"/>
    <w:rsid w:val="00913416"/>
    <w:rsid w:val="00913A0F"/>
    <w:rsid w:val="00913E38"/>
    <w:rsid w:val="0091441F"/>
    <w:rsid w:val="00915110"/>
    <w:rsid w:val="009152B7"/>
    <w:rsid w:val="009154C5"/>
    <w:rsid w:val="00915CD6"/>
    <w:rsid w:val="00915FFD"/>
    <w:rsid w:val="009161A0"/>
    <w:rsid w:val="0091697A"/>
    <w:rsid w:val="00916A66"/>
    <w:rsid w:val="00916B63"/>
    <w:rsid w:val="00916BBB"/>
    <w:rsid w:val="00916CF8"/>
    <w:rsid w:val="00916DBB"/>
    <w:rsid w:val="00916F84"/>
    <w:rsid w:val="0091780F"/>
    <w:rsid w:val="00917BFB"/>
    <w:rsid w:val="00917DC1"/>
    <w:rsid w:val="00920A59"/>
    <w:rsid w:val="00920C8C"/>
    <w:rsid w:val="00920F35"/>
    <w:rsid w:val="00921086"/>
    <w:rsid w:val="00922BDD"/>
    <w:rsid w:val="00922FEF"/>
    <w:rsid w:val="00923697"/>
    <w:rsid w:val="00923B98"/>
    <w:rsid w:val="009249F3"/>
    <w:rsid w:val="00924D24"/>
    <w:rsid w:val="00924DBB"/>
    <w:rsid w:val="00925D90"/>
    <w:rsid w:val="009264BF"/>
    <w:rsid w:val="00926998"/>
    <w:rsid w:val="0092760D"/>
    <w:rsid w:val="0092783C"/>
    <w:rsid w:val="0093075D"/>
    <w:rsid w:val="009315F7"/>
    <w:rsid w:val="0093206A"/>
    <w:rsid w:val="0093219C"/>
    <w:rsid w:val="00932992"/>
    <w:rsid w:val="00933A26"/>
    <w:rsid w:val="00933D67"/>
    <w:rsid w:val="0093409B"/>
    <w:rsid w:val="00934268"/>
    <w:rsid w:val="00934BF4"/>
    <w:rsid w:val="00935313"/>
    <w:rsid w:val="009355CE"/>
    <w:rsid w:val="00935B50"/>
    <w:rsid w:val="0093628E"/>
    <w:rsid w:val="00936978"/>
    <w:rsid w:val="00936F4E"/>
    <w:rsid w:val="00936F93"/>
    <w:rsid w:val="00937330"/>
    <w:rsid w:val="00937B63"/>
    <w:rsid w:val="00937B6C"/>
    <w:rsid w:val="009402DF"/>
    <w:rsid w:val="0094164B"/>
    <w:rsid w:val="00941773"/>
    <w:rsid w:val="00941A62"/>
    <w:rsid w:val="00941BF6"/>
    <w:rsid w:val="00942232"/>
    <w:rsid w:val="00942460"/>
    <w:rsid w:val="00942E41"/>
    <w:rsid w:val="009435A7"/>
    <w:rsid w:val="00943869"/>
    <w:rsid w:val="0094429D"/>
    <w:rsid w:val="00944543"/>
    <w:rsid w:val="0094466A"/>
    <w:rsid w:val="00945320"/>
    <w:rsid w:val="00945532"/>
    <w:rsid w:val="0094571F"/>
    <w:rsid w:val="00945D05"/>
    <w:rsid w:val="0094729F"/>
    <w:rsid w:val="00947614"/>
    <w:rsid w:val="00950272"/>
    <w:rsid w:val="009502DC"/>
    <w:rsid w:val="00950E30"/>
    <w:rsid w:val="00951374"/>
    <w:rsid w:val="00951AEB"/>
    <w:rsid w:val="00951E67"/>
    <w:rsid w:val="0095203B"/>
    <w:rsid w:val="009520F6"/>
    <w:rsid w:val="00953329"/>
    <w:rsid w:val="00953489"/>
    <w:rsid w:val="00953B2F"/>
    <w:rsid w:val="00953C50"/>
    <w:rsid w:val="00953D30"/>
    <w:rsid w:val="00953DEF"/>
    <w:rsid w:val="009542F7"/>
    <w:rsid w:val="00954516"/>
    <w:rsid w:val="0095489A"/>
    <w:rsid w:val="00954912"/>
    <w:rsid w:val="0095516D"/>
    <w:rsid w:val="009551E3"/>
    <w:rsid w:val="00955371"/>
    <w:rsid w:val="00956C54"/>
    <w:rsid w:val="00956DEE"/>
    <w:rsid w:val="00956F81"/>
    <w:rsid w:val="00957938"/>
    <w:rsid w:val="00957FC2"/>
    <w:rsid w:val="00957FD3"/>
    <w:rsid w:val="009600B0"/>
    <w:rsid w:val="009601DC"/>
    <w:rsid w:val="0096055E"/>
    <w:rsid w:val="00960BE9"/>
    <w:rsid w:val="00960BF6"/>
    <w:rsid w:val="00960D8B"/>
    <w:rsid w:val="009611B8"/>
    <w:rsid w:val="00961304"/>
    <w:rsid w:val="00961361"/>
    <w:rsid w:val="00961DC9"/>
    <w:rsid w:val="00962074"/>
    <w:rsid w:val="009623C9"/>
    <w:rsid w:val="0096256F"/>
    <w:rsid w:val="00962633"/>
    <w:rsid w:val="0096382A"/>
    <w:rsid w:val="0096496F"/>
    <w:rsid w:val="00964A03"/>
    <w:rsid w:val="009659E4"/>
    <w:rsid w:val="00965C47"/>
    <w:rsid w:val="00965E2D"/>
    <w:rsid w:val="00965F08"/>
    <w:rsid w:val="009663CB"/>
    <w:rsid w:val="009666F3"/>
    <w:rsid w:val="00966D06"/>
    <w:rsid w:val="00966D81"/>
    <w:rsid w:val="00966FDD"/>
    <w:rsid w:val="00967AF9"/>
    <w:rsid w:val="00967B0A"/>
    <w:rsid w:val="00967B71"/>
    <w:rsid w:val="00967E91"/>
    <w:rsid w:val="009704A4"/>
    <w:rsid w:val="00970553"/>
    <w:rsid w:val="0097189D"/>
    <w:rsid w:val="00971F13"/>
    <w:rsid w:val="009720E8"/>
    <w:rsid w:val="00972959"/>
    <w:rsid w:val="0097337D"/>
    <w:rsid w:val="009733BD"/>
    <w:rsid w:val="00973633"/>
    <w:rsid w:val="009747A7"/>
    <w:rsid w:val="00974AFF"/>
    <w:rsid w:val="0097503B"/>
    <w:rsid w:val="009754F6"/>
    <w:rsid w:val="0097568A"/>
    <w:rsid w:val="00975804"/>
    <w:rsid w:val="0097594B"/>
    <w:rsid w:val="009768F9"/>
    <w:rsid w:val="009802DC"/>
    <w:rsid w:val="009807CC"/>
    <w:rsid w:val="00980948"/>
    <w:rsid w:val="0098107A"/>
    <w:rsid w:val="009811F1"/>
    <w:rsid w:val="00981589"/>
    <w:rsid w:val="00981FC7"/>
    <w:rsid w:val="009825E5"/>
    <w:rsid w:val="0098338C"/>
    <w:rsid w:val="009834E1"/>
    <w:rsid w:val="00983CC3"/>
    <w:rsid w:val="009845BF"/>
    <w:rsid w:val="00985809"/>
    <w:rsid w:val="00986FE5"/>
    <w:rsid w:val="0098795E"/>
    <w:rsid w:val="00987F3C"/>
    <w:rsid w:val="00990169"/>
    <w:rsid w:val="00990871"/>
    <w:rsid w:val="009911B7"/>
    <w:rsid w:val="009914DE"/>
    <w:rsid w:val="009922F5"/>
    <w:rsid w:val="00992840"/>
    <w:rsid w:val="00993C53"/>
    <w:rsid w:val="00994DCA"/>
    <w:rsid w:val="00995057"/>
    <w:rsid w:val="0099556D"/>
    <w:rsid w:val="00995849"/>
    <w:rsid w:val="00995D82"/>
    <w:rsid w:val="00996C14"/>
    <w:rsid w:val="00996D1A"/>
    <w:rsid w:val="00996F23"/>
    <w:rsid w:val="00997E5C"/>
    <w:rsid w:val="009A1AF8"/>
    <w:rsid w:val="009A2115"/>
    <w:rsid w:val="009A2682"/>
    <w:rsid w:val="009A33B9"/>
    <w:rsid w:val="009A34F9"/>
    <w:rsid w:val="009A39C8"/>
    <w:rsid w:val="009A4026"/>
    <w:rsid w:val="009A5937"/>
    <w:rsid w:val="009A5ACD"/>
    <w:rsid w:val="009A5F26"/>
    <w:rsid w:val="009A5F7A"/>
    <w:rsid w:val="009A65EB"/>
    <w:rsid w:val="009A6A6F"/>
    <w:rsid w:val="009A6D9C"/>
    <w:rsid w:val="009A71B4"/>
    <w:rsid w:val="009A7D6E"/>
    <w:rsid w:val="009B04B5"/>
    <w:rsid w:val="009B0B16"/>
    <w:rsid w:val="009B0BBF"/>
    <w:rsid w:val="009B19DF"/>
    <w:rsid w:val="009B2102"/>
    <w:rsid w:val="009B2E76"/>
    <w:rsid w:val="009B3129"/>
    <w:rsid w:val="009B3B65"/>
    <w:rsid w:val="009B3D78"/>
    <w:rsid w:val="009B41DC"/>
    <w:rsid w:val="009B4623"/>
    <w:rsid w:val="009B5120"/>
    <w:rsid w:val="009B59DC"/>
    <w:rsid w:val="009B6235"/>
    <w:rsid w:val="009B6957"/>
    <w:rsid w:val="009B6B1C"/>
    <w:rsid w:val="009B6C96"/>
    <w:rsid w:val="009B7DF9"/>
    <w:rsid w:val="009C08EA"/>
    <w:rsid w:val="009C0BCE"/>
    <w:rsid w:val="009C11B8"/>
    <w:rsid w:val="009C1697"/>
    <w:rsid w:val="009C1AD2"/>
    <w:rsid w:val="009C2148"/>
    <w:rsid w:val="009C2527"/>
    <w:rsid w:val="009C2537"/>
    <w:rsid w:val="009C2595"/>
    <w:rsid w:val="009C268C"/>
    <w:rsid w:val="009C2864"/>
    <w:rsid w:val="009C2FD4"/>
    <w:rsid w:val="009C3451"/>
    <w:rsid w:val="009C3F76"/>
    <w:rsid w:val="009C44F7"/>
    <w:rsid w:val="009C46A0"/>
    <w:rsid w:val="009C4C91"/>
    <w:rsid w:val="009C4F98"/>
    <w:rsid w:val="009C55EA"/>
    <w:rsid w:val="009C5860"/>
    <w:rsid w:val="009C5F63"/>
    <w:rsid w:val="009C6923"/>
    <w:rsid w:val="009C6B07"/>
    <w:rsid w:val="009C6B66"/>
    <w:rsid w:val="009C7655"/>
    <w:rsid w:val="009C76B2"/>
    <w:rsid w:val="009D07C3"/>
    <w:rsid w:val="009D0BE4"/>
    <w:rsid w:val="009D10E5"/>
    <w:rsid w:val="009D24C9"/>
    <w:rsid w:val="009D2514"/>
    <w:rsid w:val="009D417E"/>
    <w:rsid w:val="009D418C"/>
    <w:rsid w:val="009D489C"/>
    <w:rsid w:val="009D543C"/>
    <w:rsid w:val="009D5566"/>
    <w:rsid w:val="009D5AA2"/>
    <w:rsid w:val="009D5DBA"/>
    <w:rsid w:val="009D6120"/>
    <w:rsid w:val="009D74DE"/>
    <w:rsid w:val="009D7E81"/>
    <w:rsid w:val="009E02CC"/>
    <w:rsid w:val="009E0E66"/>
    <w:rsid w:val="009E158A"/>
    <w:rsid w:val="009E1820"/>
    <w:rsid w:val="009E1838"/>
    <w:rsid w:val="009E1895"/>
    <w:rsid w:val="009E191A"/>
    <w:rsid w:val="009E1BF0"/>
    <w:rsid w:val="009E1E5F"/>
    <w:rsid w:val="009E213E"/>
    <w:rsid w:val="009E216F"/>
    <w:rsid w:val="009E2477"/>
    <w:rsid w:val="009E2574"/>
    <w:rsid w:val="009E2A16"/>
    <w:rsid w:val="009E5B7E"/>
    <w:rsid w:val="009E6666"/>
    <w:rsid w:val="009E66A6"/>
    <w:rsid w:val="009E769A"/>
    <w:rsid w:val="009E7CD2"/>
    <w:rsid w:val="009E7D60"/>
    <w:rsid w:val="009F0208"/>
    <w:rsid w:val="009F048D"/>
    <w:rsid w:val="009F0BF7"/>
    <w:rsid w:val="009F10DA"/>
    <w:rsid w:val="009F1721"/>
    <w:rsid w:val="009F17D4"/>
    <w:rsid w:val="009F1BA5"/>
    <w:rsid w:val="009F26AA"/>
    <w:rsid w:val="009F2F58"/>
    <w:rsid w:val="009F3D76"/>
    <w:rsid w:val="009F3E4B"/>
    <w:rsid w:val="009F5527"/>
    <w:rsid w:val="009F5D8A"/>
    <w:rsid w:val="009F6341"/>
    <w:rsid w:val="009F681D"/>
    <w:rsid w:val="009F6AF7"/>
    <w:rsid w:val="009F6BE7"/>
    <w:rsid w:val="009F71AD"/>
    <w:rsid w:val="009F7354"/>
    <w:rsid w:val="009F74D4"/>
    <w:rsid w:val="009F7866"/>
    <w:rsid w:val="009F7A1A"/>
    <w:rsid w:val="00A0026E"/>
    <w:rsid w:val="00A0070E"/>
    <w:rsid w:val="00A0096B"/>
    <w:rsid w:val="00A00E0A"/>
    <w:rsid w:val="00A00FBB"/>
    <w:rsid w:val="00A01F75"/>
    <w:rsid w:val="00A028C6"/>
    <w:rsid w:val="00A02C21"/>
    <w:rsid w:val="00A02EF5"/>
    <w:rsid w:val="00A03440"/>
    <w:rsid w:val="00A045BD"/>
    <w:rsid w:val="00A0472E"/>
    <w:rsid w:val="00A04958"/>
    <w:rsid w:val="00A055C4"/>
    <w:rsid w:val="00A05720"/>
    <w:rsid w:val="00A05C62"/>
    <w:rsid w:val="00A05D58"/>
    <w:rsid w:val="00A06BC6"/>
    <w:rsid w:val="00A07072"/>
    <w:rsid w:val="00A07388"/>
    <w:rsid w:val="00A105A6"/>
    <w:rsid w:val="00A107C3"/>
    <w:rsid w:val="00A10C34"/>
    <w:rsid w:val="00A10DC1"/>
    <w:rsid w:val="00A10F0D"/>
    <w:rsid w:val="00A11D8B"/>
    <w:rsid w:val="00A127E6"/>
    <w:rsid w:val="00A13A9E"/>
    <w:rsid w:val="00A14208"/>
    <w:rsid w:val="00A148D5"/>
    <w:rsid w:val="00A154A1"/>
    <w:rsid w:val="00A155C4"/>
    <w:rsid w:val="00A15C70"/>
    <w:rsid w:val="00A15EFA"/>
    <w:rsid w:val="00A16055"/>
    <w:rsid w:val="00A1606D"/>
    <w:rsid w:val="00A1615E"/>
    <w:rsid w:val="00A1672E"/>
    <w:rsid w:val="00A16A6A"/>
    <w:rsid w:val="00A16A9E"/>
    <w:rsid w:val="00A16AA4"/>
    <w:rsid w:val="00A170D7"/>
    <w:rsid w:val="00A1755D"/>
    <w:rsid w:val="00A20A0A"/>
    <w:rsid w:val="00A21761"/>
    <w:rsid w:val="00A22225"/>
    <w:rsid w:val="00A224FE"/>
    <w:rsid w:val="00A22B23"/>
    <w:rsid w:val="00A22DD5"/>
    <w:rsid w:val="00A22E8A"/>
    <w:rsid w:val="00A23716"/>
    <w:rsid w:val="00A239B8"/>
    <w:rsid w:val="00A23C7D"/>
    <w:rsid w:val="00A23DB5"/>
    <w:rsid w:val="00A23E35"/>
    <w:rsid w:val="00A23F64"/>
    <w:rsid w:val="00A24021"/>
    <w:rsid w:val="00A240A2"/>
    <w:rsid w:val="00A24762"/>
    <w:rsid w:val="00A24B39"/>
    <w:rsid w:val="00A24B83"/>
    <w:rsid w:val="00A25537"/>
    <w:rsid w:val="00A255C7"/>
    <w:rsid w:val="00A25ACC"/>
    <w:rsid w:val="00A25D64"/>
    <w:rsid w:val="00A25E7A"/>
    <w:rsid w:val="00A262B6"/>
    <w:rsid w:val="00A2633A"/>
    <w:rsid w:val="00A26446"/>
    <w:rsid w:val="00A26DA3"/>
    <w:rsid w:val="00A26F48"/>
    <w:rsid w:val="00A27139"/>
    <w:rsid w:val="00A272A1"/>
    <w:rsid w:val="00A27497"/>
    <w:rsid w:val="00A276DA"/>
    <w:rsid w:val="00A2794D"/>
    <w:rsid w:val="00A27CBD"/>
    <w:rsid w:val="00A30149"/>
    <w:rsid w:val="00A301FD"/>
    <w:rsid w:val="00A30895"/>
    <w:rsid w:val="00A30E2E"/>
    <w:rsid w:val="00A30EE1"/>
    <w:rsid w:val="00A31967"/>
    <w:rsid w:val="00A32148"/>
    <w:rsid w:val="00A321AC"/>
    <w:rsid w:val="00A32AC8"/>
    <w:rsid w:val="00A32E1A"/>
    <w:rsid w:val="00A339D7"/>
    <w:rsid w:val="00A33DC5"/>
    <w:rsid w:val="00A34265"/>
    <w:rsid w:val="00A34830"/>
    <w:rsid w:val="00A353FD"/>
    <w:rsid w:val="00A36043"/>
    <w:rsid w:val="00A37042"/>
    <w:rsid w:val="00A37613"/>
    <w:rsid w:val="00A37855"/>
    <w:rsid w:val="00A37C2C"/>
    <w:rsid w:val="00A37E4D"/>
    <w:rsid w:val="00A37EE0"/>
    <w:rsid w:val="00A40364"/>
    <w:rsid w:val="00A408F5"/>
    <w:rsid w:val="00A40B4C"/>
    <w:rsid w:val="00A41070"/>
    <w:rsid w:val="00A410E6"/>
    <w:rsid w:val="00A42046"/>
    <w:rsid w:val="00A421C0"/>
    <w:rsid w:val="00A4248E"/>
    <w:rsid w:val="00A42990"/>
    <w:rsid w:val="00A430C8"/>
    <w:rsid w:val="00A4332F"/>
    <w:rsid w:val="00A43DCD"/>
    <w:rsid w:val="00A44411"/>
    <w:rsid w:val="00A44632"/>
    <w:rsid w:val="00A449F2"/>
    <w:rsid w:val="00A44F2D"/>
    <w:rsid w:val="00A44FCA"/>
    <w:rsid w:val="00A44FD6"/>
    <w:rsid w:val="00A45C05"/>
    <w:rsid w:val="00A46759"/>
    <w:rsid w:val="00A46BA7"/>
    <w:rsid w:val="00A46F06"/>
    <w:rsid w:val="00A4712C"/>
    <w:rsid w:val="00A50583"/>
    <w:rsid w:val="00A508EC"/>
    <w:rsid w:val="00A50ADD"/>
    <w:rsid w:val="00A51D09"/>
    <w:rsid w:val="00A51DD1"/>
    <w:rsid w:val="00A525E6"/>
    <w:rsid w:val="00A528BA"/>
    <w:rsid w:val="00A52973"/>
    <w:rsid w:val="00A53B2F"/>
    <w:rsid w:val="00A54147"/>
    <w:rsid w:val="00A544BB"/>
    <w:rsid w:val="00A548B2"/>
    <w:rsid w:val="00A553B5"/>
    <w:rsid w:val="00A556CD"/>
    <w:rsid w:val="00A55717"/>
    <w:rsid w:val="00A568CB"/>
    <w:rsid w:val="00A56913"/>
    <w:rsid w:val="00A57AA0"/>
    <w:rsid w:val="00A6098D"/>
    <w:rsid w:val="00A60C4E"/>
    <w:rsid w:val="00A617FF"/>
    <w:rsid w:val="00A6180D"/>
    <w:rsid w:val="00A625F7"/>
    <w:rsid w:val="00A634D0"/>
    <w:rsid w:val="00A6384B"/>
    <w:rsid w:val="00A638B1"/>
    <w:rsid w:val="00A63A6E"/>
    <w:rsid w:val="00A63D2F"/>
    <w:rsid w:val="00A64973"/>
    <w:rsid w:val="00A64C29"/>
    <w:rsid w:val="00A64F0B"/>
    <w:rsid w:val="00A650E7"/>
    <w:rsid w:val="00A656A4"/>
    <w:rsid w:val="00A65858"/>
    <w:rsid w:val="00A6589F"/>
    <w:rsid w:val="00A65D0E"/>
    <w:rsid w:val="00A65FF9"/>
    <w:rsid w:val="00A66408"/>
    <w:rsid w:val="00A664B0"/>
    <w:rsid w:val="00A6675D"/>
    <w:rsid w:val="00A66881"/>
    <w:rsid w:val="00A66926"/>
    <w:rsid w:val="00A66944"/>
    <w:rsid w:val="00A66C2C"/>
    <w:rsid w:val="00A670DD"/>
    <w:rsid w:val="00A677E1"/>
    <w:rsid w:val="00A704BA"/>
    <w:rsid w:val="00A70E0C"/>
    <w:rsid w:val="00A7104F"/>
    <w:rsid w:val="00A718BA"/>
    <w:rsid w:val="00A7196E"/>
    <w:rsid w:val="00A71B54"/>
    <w:rsid w:val="00A71D29"/>
    <w:rsid w:val="00A7252C"/>
    <w:rsid w:val="00A72773"/>
    <w:rsid w:val="00A72EAA"/>
    <w:rsid w:val="00A733A6"/>
    <w:rsid w:val="00A7471F"/>
    <w:rsid w:val="00A74914"/>
    <w:rsid w:val="00A74A8E"/>
    <w:rsid w:val="00A74BD1"/>
    <w:rsid w:val="00A74C55"/>
    <w:rsid w:val="00A7516B"/>
    <w:rsid w:val="00A75ADF"/>
    <w:rsid w:val="00A75E10"/>
    <w:rsid w:val="00A76342"/>
    <w:rsid w:val="00A768C2"/>
    <w:rsid w:val="00A769DD"/>
    <w:rsid w:val="00A77940"/>
    <w:rsid w:val="00A77D49"/>
    <w:rsid w:val="00A77DD3"/>
    <w:rsid w:val="00A801E4"/>
    <w:rsid w:val="00A81215"/>
    <w:rsid w:val="00A81899"/>
    <w:rsid w:val="00A81AF9"/>
    <w:rsid w:val="00A81DED"/>
    <w:rsid w:val="00A829A2"/>
    <w:rsid w:val="00A835E6"/>
    <w:rsid w:val="00A835FD"/>
    <w:rsid w:val="00A83988"/>
    <w:rsid w:val="00A83C7E"/>
    <w:rsid w:val="00A84570"/>
    <w:rsid w:val="00A84D74"/>
    <w:rsid w:val="00A84F87"/>
    <w:rsid w:val="00A85758"/>
    <w:rsid w:val="00A857A8"/>
    <w:rsid w:val="00A85C1C"/>
    <w:rsid w:val="00A86D49"/>
    <w:rsid w:val="00A87FEE"/>
    <w:rsid w:val="00A9005D"/>
    <w:rsid w:val="00A9062F"/>
    <w:rsid w:val="00A90776"/>
    <w:rsid w:val="00A913BF"/>
    <w:rsid w:val="00A91D78"/>
    <w:rsid w:val="00A92172"/>
    <w:rsid w:val="00A92BF3"/>
    <w:rsid w:val="00A935B5"/>
    <w:rsid w:val="00A93941"/>
    <w:rsid w:val="00A93B58"/>
    <w:rsid w:val="00A94298"/>
    <w:rsid w:val="00A94307"/>
    <w:rsid w:val="00A94583"/>
    <w:rsid w:val="00A94B4C"/>
    <w:rsid w:val="00A94DE5"/>
    <w:rsid w:val="00A95240"/>
    <w:rsid w:val="00A96822"/>
    <w:rsid w:val="00A968B7"/>
    <w:rsid w:val="00A96B09"/>
    <w:rsid w:val="00A96E82"/>
    <w:rsid w:val="00A977F6"/>
    <w:rsid w:val="00A9789D"/>
    <w:rsid w:val="00AA03C9"/>
    <w:rsid w:val="00AA09FB"/>
    <w:rsid w:val="00AA2204"/>
    <w:rsid w:val="00AA243D"/>
    <w:rsid w:val="00AA2680"/>
    <w:rsid w:val="00AA2E0C"/>
    <w:rsid w:val="00AA30FB"/>
    <w:rsid w:val="00AA3634"/>
    <w:rsid w:val="00AA381E"/>
    <w:rsid w:val="00AA3C25"/>
    <w:rsid w:val="00AA3ED9"/>
    <w:rsid w:val="00AA3F61"/>
    <w:rsid w:val="00AA45D2"/>
    <w:rsid w:val="00AA4E7F"/>
    <w:rsid w:val="00AA5146"/>
    <w:rsid w:val="00AA5839"/>
    <w:rsid w:val="00AA64FC"/>
    <w:rsid w:val="00AA674A"/>
    <w:rsid w:val="00AA6AAD"/>
    <w:rsid w:val="00AA6EE6"/>
    <w:rsid w:val="00AA73A4"/>
    <w:rsid w:val="00AA742D"/>
    <w:rsid w:val="00AA7EB9"/>
    <w:rsid w:val="00AB02C3"/>
    <w:rsid w:val="00AB087E"/>
    <w:rsid w:val="00AB0979"/>
    <w:rsid w:val="00AB1062"/>
    <w:rsid w:val="00AB14BB"/>
    <w:rsid w:val="00AB1D46"/>
    <w:rsid w:val="00AB1E0D"/>
    <w:rsid w:val="00AB202E"/>
    <w:rsid w:val="00AB25E9"/>
    <w:rsid w:val="00AB32CF"/>
    <w:rsid w:val="00AB33D8"/>
    <w:rsid w:val="00AB3526"/>
    <w:rsid w:val="00AB3B53"/>
    <w:rsid w:val="00AB3D1D"/>
    <w:rsid w:val="00AB4496"/>
    <w:rsid w:val="00AB4724"/>
    <w:rsid w:val="00AB4D9D"/>
    <w:rsid w:val="00AB4E77"/>
    <w:rsid w:val="00AB5175"/>
    <w:rsid w:val="00AB5758"/>
    <w:rsid w:val="00AB6FAC"/>
    <w:rsid w:val="00AB75DC"/>
    <w:rsid w:val="00AB75E6"/>
    <w:rsid w:val="00AB7893"/>
    <w:rsid w:val="00AB799A"/>
    <w:rsid w:val="00AB7E7F"/>
    <w:rsid w:val="00AC01BB"/>
    <w:rsid w:val="00AC0246"/>
    <w:rsid w:val="00AC0B01"/>
    <w:rsid w:val="00AC0B85"/>
    <w:rsid w:val="00AC0D08"/>
    <w:rsid w:val="00AC1034"/>
    <w:rsid w:val="00AC1751"/>
    <w:rsid w:val="00AC1DF5"/>
    <w:rsid w:val="00AC292B"/>
    <w:rsid w:val="00AC2F0A"/>
    <w:rsid w:val="00AC372A"/>
    <w:rsid w:val="00AC3871"/>
    <w:rsid w:val="00AC3B48"/>
    <w:rsid w:val="00AC3BB0"/>
    <w:rsid w:val="00AC41EB"/>
    <w:rsid w:val="00AC4B00"/>
    <w:rsid w:val="00AC4DF4"/>
    <w:rsid w:val="00AC5D32"/>
    <w:rsid w:val="00AC6628"/>
    <w:rsid w:val="00AC6785"/>
    <w:rsid w:val="00AC77DA"/>
    <w:rsid w:val="00AC7CC0"/>
    <w:rsid w:val="00AD0044"/>
    <w:rsid w:val="00AD03A1"/>
    <w:rsid w:val="00AD0613"/>
    <w:rsid w:val="00AD0788"/>
    <w:rsid w:val="00AD07C3"/>
    <w:rsid w:val="00AD0B4B"/>
    <w:rsid w:val="00AD1223"/>
    <w:rsid w:val="00AD1596"/>
    <w:rsid w:val="00AD1724"/>
    <w:rsid w:val="00AD1C0D"/>
    <w:rsid w:val="00AD2528"/>
    <w:rsid w:val="00AD258E"/>
    <w:rsid w:val="00AD29FC"/>
    <w:rsid w:val="00AD2EF8"/>
    <w:rsid w:val="00AD2F39"/>
    <w:rsid w:val="00AD320E"/>
    <w:rsid w:val="00AD3A10"/>
    <w:rsid w:val="00AD3AD3"/>
    <w:rsid w:val="00AD3B8D"/>
    <w:rsid w:val="00AD4738"/>
    <w:rsid w:val="00AD4917"/>
    <w:rsid w:val="00AD544A"/>
    <w:rsid w:val="00AD58FE"/>
    <w:rsid w:val="00AD5B12"/>
    <w:rsid w:val="00AD60C2"/>
    <w:rsid w:val="00AD7356"/>
    <w:rsid w:val="00AE021E"/>
    <w:rsid w:val="00AE02F0"/>
    <w:rsid w:val="00AE03A0"/>
    <w:rsid w:val="00AE1506"/>
    <w:rsid w:val="00AE1563"/>
    <w:rsid w:val="00AE2197"/>
    <w:rsid w:val="00AE2458"/>
    <w:rsid w:val="00AE25DC"/>
    <w:rsid w:val="00AE28DE"/>
    <w:rsid w:val="00AE2C93"/>
    <w:rsid w:val="00AE2E44"/>
    <w:rsid w:val="00AE2F79"/>
    <w:rsid w:val="00AE3990"/>
    <w:rsid w:val="00AE3D2D"/>
    <w:rsid w:val="00AE4188"/>
    <w:rsid w:val="00AE49FD"/>
    <w:rsid w:val="00AE521E"/>
    <w:rsid w:val="00AE5BEB"/>
    <w:rsid w:val="00AE5F1B"/>
    <w:rsid w:val="00AE607F"/>
    <w:rsid w:val="00AE6080"/>
    <w:rsid w:val="00AE613C"/>
    <w:rsid w:val="00AE6507"/>
    <w:rsid w:val="00AE6857"/>
    <w:rsid w:val="00AE6E22"/>
    <w:rsid w:val="00AE7536"/>
    <w:rsid w:val="00AE7670"/>
    <w:rsid w:val="00AF0AC7"/>
    <w:rsid w:val="00AF13BD"/>
    <w:rsid w:val="00AF1B81"/>
    <w:rsid w:val="00AF232C"/>
    <w:rsid w:val="00AF24F2"/>
    <w:rsid w:val="00AF2F1B"/>
    <w:rsid w:val="00AF33EE"/>
    <w:rsid w:val="00AF3C57"/>
    <w:rsid w:val="00AF3CD4"/>
    <w:rsid w:val="00AF3EA2"/>
    <w:rsid w:val="00AF4129"/>
    <w:rsid w:val="00AF4771"/>
    <w:rsid w:val="00AF47D7"/>
    <w:rsid w:val="00AF492F"/>
    <w:rsid w:val="00AF5C7D"/>
    <w:rsid w:val="00AF6A21"/>
    <w:rsid w:val="00AF6B6D"/>
    <w:rsid w:val="00AF7919"/>
    <w:rsid w:val="00AF7955"/>
    <w:rsid w:val="00B00377"/>
    <w:rsid w:val="00B0042D"/>
    <w:rsid w:val="00B00A33"/>
    <w:rsid w:val="00B01073"/>
    <w:rsid w:val="00B010B3"/>
    <w:rsid w:val="00B016A0"/>
    <w:rsid w:val="00B01757"/>
    <w:rsid w:val="00B0198C"/>
    <w:rsid w:val="00B019F1"/>
    <w:rsid w:val="00B030E3"/>
    <w:rsid w:val="00B03343"/>
    <w:rsid w:val="00B03FC6"/>
    <w:rsid w:val="00B03FF4"/>
    <w:rsid w:val="00B04727"/>
    <w:rsid w:val="00B04AE3"/>
    <w:rsid w:val="00B04C42"/>
    <w:rsid w:val="00B04DAE"/>
    <w:rsid w:val="00B04E4B"/>
    <w:rsid w:val="00B0508E"/>
    <w:rsid w:val="00B05499"/>
    <w:rsid w:val="00B05991"/>
    <w:rsid w:val="00B05BAF"/>
    <w:rsid w:val="00B066BA"/>
    <w:rsid w:val="00B077A9"/>
    <w:rsid w:val="00B077C0"/>
    <w:rsid w:val="00B079DA"/>
    <w:rsid w:val="00B07B20"/>
    <w:rsid w:val="00B07B52"/>
    <w:rsid w:val="00B07DE5"/>
    <w:rsid w:val="00B1002F"/>
    <w:rsid w:val="00B113C4"/>
    <w:rsid w:val="00B125F6"/>
    <w:rsid w:val="00B12CF7"/>
    <w:rsid w:val="00B13205"/>
    <w:rsid w:val="00B13F4F"/>
    <w:rsid w:val="00B1445C"/>
    <w:rsid w:val="00B16593"/>
    <w:rsid w:val="00B16D8C"/>
    <w:rsid w:val="00B16DAC"/>
    <w:rsid w:val="00B16E17"/>
    <w:rsid w:val="00B170AC"/>
    <w:rsid w:val="00B17A48"/>
    <w:rsid w:val="00B20949"/>
    <w:rsid w:val="00B20DB3"/>
    <w:rsid w:val="00B220A6"/>
    <w:rsid w:val="00B2284F"/>
    <w:rsid w:val="00B22DD8"/>
    <w:rsid w:val="00B22FEB"/>
    <w:rsid w:val="00B239BE"/>
    <w:rsid w:val="00B2410F"/>
    <w:rsid w:val="00B24C22"/>
    <w:rsid w:val="00B24E19"/>
    <w:rsid w:val="00B251D1"/>
    <w:rsid w:val="00B25209"/>
    <w:rsid w:val="00B253CE"/>
    <w:rsid w:val="00B26669"/>
    <w:rsid w:val="00B26837"/>
    <w:rsid w:val="00B26DA0"/>
    <w:rsid w:val="00B26FB1"/>
    <w:rsid w:val="00B301DB"/>
    <w:rsid w:val="00B307C2"/>
    <w:rsid w:val="00B30C09"/>
    <w:rsid w:val="00B3164C"/>
    <w:rsid w:val="00B31C7A"/>
    <w:rsid w:val="00B32884"/>
    <w:rsid w:val="00B32D06"/>
    <w:rsid w:val="00B32F9B"/>
    <w:rsid w:val="00B333D8"/>
    <w:rsid w:val="00B33751"/>
    <w:rsid w:val="00B33FD9"/>
    <w:rsid w:val="00B34140"/>
    <w:rsid w:val="00B344BB"/>
    <w:rsid w:val="00B346F8"/>
    <w:rsid w:val="00B34D0F"/>
    <w:rsid w:val="00B35460"/>
    <w:rsid w:val="00B35894"/>
    <w:rsid w:val="00B35CBC"/>
    <w:rsid w:val="00B35DB3"/>
    <w:rsid w:val="00B36397"/>
    <w:rsid w:val="00B369DA"/>
    <w:rsid w:val="00B3742F"/>
    <w:rsid w:val="00B376A3"/>
    <w:rsid w:val="00B376B5"/>
    <w:rsid w:val="00B37833"/>
    <w:rsid w:val="00B37AAE"/>
    <w:rsid w:val="00B37D39"/>
    <w:rsid w:val="00B42733"/>
    <w:rsid w:val="00B427EE"/>
    <w:rsid w:val="00B42F94"/>
    <w:rsid w:val="00B4342B"/>
    <w:rsid w:val="00B434FA"/>
    <w:rsid w:val="00B436A4"/>
    <w:rsid w:val="00B43F0B"/>
    <w:rsid w:val="00B4419B"/>
    <w:rsid w:val="00B44462"/>
    <w:rsid w:val="00B446C8"/>
    <w:rsid w:val="00B452E7"/>
    <w:rsid w:val="00B479B2"/>
    <w:rsid w:val="00B50382"/>
    <w:rsid w:val="00B50695"/>
    <w:rsid w:val="00B50697"/>
    <w:rsid w:val="00B5082D"/>
    <w:rsid w:val="00B50E1B"/>
    <w:rsid w:val="00B510C1"/>
    <w:rsid w:val="00B51469"/>
    <w:rsid w:val="00B520BA"/>
    <w:rsid w:val="00B521B9"/>
    <w:rsid w:val="00B52297"/>
    <w:rsid w:val="00B5246C"/>
    <w:rsid w:val="00B536C9"/>
    <w:rsid w:val="00B5391B"/>
    <w:rsid w:val="00B544A4"/>
    <w:rsid w:val="00B5455E"/>
    <w:rsid w:val="00B5469E"/>
    <w:rsid w:val="00B54955"/>
    <w:rsid w:val="00B54B1F"/>
    <w:rsid w:val="00B5585F"/>
    <w:rsid w:val="00B565C1"/>
    <w:rsid w:val="00B56AAA"/>
    <w:rsid w:val="00B57F65"/>
    <w:rsid w:val="00B60414"/>
    <w:rsid w:val="00B6056B"/>
    <w:rsid w:val="00B607AF"/>
    <w:rsid w:val="00B60FC4"/>
    <w:rsid w:val="00B6103B"/>
    <w:rsid w:val="00B61FBB"/>
    <w:rsid w:val="00B6295D"/>
    <w:rsid w:val="00B629E2"/>
    <w:rsid w:val="00B62AD2"/>
    <w:rsid w:val="00B63583"/>
    <w:rsid w:val="00B638D1"/>
    <w:rsid w:val="00B647E7"/>
    <w:rsid w:val="00B64C9B"/>
    <w:rsid w:val="00B64F76"/>
    <w:rsid w:val="00B6548E"/>
    <w:rsid w:val="00B6600A"/>
    <w:rsid w:val="00B66520"/>
    <w:rsid w:val="00B6704E"/>
    <w:rsid w:val="00B670EA"/>
    <w:rsid w:val="00B6761D"/>
    <w:rsid w:val="00B708E5"/>
    <w:rsid w:val="00B70E87"/>
    <w:rsid w:val="00B71A62"/>
    <w:rsid w:val="00B71D9A"/>
    <w:rsid w:val="00B721C5"/>
    <w:rsid w:val="00B724C3"/>
    <w:rsid w:val="00B72507"/>
    <w:rsid w:val="00B729CD"/>
    <w:rsid w:val="00B72C2F"/>
    <w:rsid w:val="00B72DF0"/>
    <w:rsid w:val="00B7329F"/>
    <w:rsid w:val="00B73EC5"/>
    <w:rsid w:val="00B7422E"/>
    <w:rsid w:val="00B743FD"/>
    <w:rsid w:val="00B74438"/>
    <w:rsid w:val="00B74632"/>
    <w:rsid w:val="00B748D9"/>
    <w:rsid w:val="00B74D4E"/>
    <w:rsid w:val="00B752AB"/>
    <w:rsid w:val="00B752AE"/>
    <w:rsid w:val="00B7566A"/>
    <w:rsid w:val="00B75BAC"/>
    <w:rsid w:val="00B76178"/>
    <w:rsid w:val="00B76958"/>
    <w:rsid w:val="00B771E7"/>
    <w:rsid w:val="00B778CD"/>
    <w:rsid w:val="00B80335"/>
    <w:rsid w:val="00B80430"/>
    <w:rsid w:val="00B80764"/>
    <w:rsid w:val="00B812A3"/>
    <w:rsid w:val="00B812BC"/>
    <w:rsid w:val="00B826BD"/>
    <w:rsid w:val="00B82DFB"/>
    <w:rsid w:val="00B83235"/>
    <w:rsid w:val="00B832F4"/>
    <w:rsid w:val="00B836FA"/>
    <w:rsid w:val="00B83D38"/>
    <w:rsid w:val="00B83EA7"/>
    <w:rsid w:val="00B84A4B"/>
    <w:rsid w:val="00B84FAE"/>
    <w:rsid w:val="00B85325"/>
    <w:rsid w:val="00B85448"/>
    <w:rsid w:val="00B8555A"/>
    <w:rsid w:val="00B86A74"/>
    <w:rsid w:val="00B9014F"/>
    <w:rsid w:val="00B901D2"/>
    <w:rsid w:val="00B90649"/>
    <w:rsid w:val="00B90C1E"/>
    <w:rsid w:val="00B9123B"/>
    <w:rsid w:val="00B916A0"/>
    <w:rsid w:val="00B91B17"/>
    <w:rsid w:val="00B91FF0"/>
    <w:rsid w:val="00B92C2C"/>
    <w:rsid w:val="00B93707"/>
    <w:rsid w:val="00B93946"/>
    <w:rsid w:val="00B94ADA"/>
    <w:rsid w:val="00B94E70"/>
    <w:rsid w:val="00B95075"/>
    <w:rsid w:val="00B95FF6"/>
    <w:rsid w:val="00B96897"/>
    <w:rsid w:val="00B969CC"/>
    <w:rsid w:val="00B97349"/>
    <w:rsid w:val="00B97770"/>
    <w:rsid w:val="00BA075E"/>
    <w:rsid w:val="00BA081E"/>
    <w:rsid w:val="00BA0921"/>
    <w:rsid w:val="00BA0ACD"/>
    <w:rsid w:val="00BA151D"/>
    <w:rsid w:val="00BA1B5D"/>
    <w:rsid w:val="00BA1D4A"/>
    <w:rsid w:val="00BA2121"/>
    <w:rsid w:val="00BA22CF"/>
    <w:rsid w:val="00BA266D"/>
    <w:rsid w:val="00BA355E"/>
    <w:rsid w:val="00BA36C1"/>
    <w:rsid w:val="00BA396A"/>
    <w:rsid w:val="00BA3BBF"/>
    <w:rsid w:val="00BA3FFA"/>
    <w:rsid w:val="00BA4FC2"/>
    <w:rsid w:val="00BA51CE"/>
    <w:rsid w:val="00BA570C"/>
    <w:rsid w:val="00BA5D9F"/>
    <w:rsid w:val="00BA6E11"/>
    <w:rsid w:val="00BA7223"/>
    <w:rsid w:val="00BA742B"/>
    <w:rsid w:val="00BA7BC2"/>
    <w:rsid w:val="00BA7D0B"/>
    <w:rsid w:val="00BA7DA8"/>
    <w:rsid w:val="00BB0596"/>
    <w:rsid w:val="00BB07B0"/>
    <w:rsid w:val="00BB0DC5"/>
    <w:rsid w:val="00BB1F3B"/>
    <w:rsid w:val="00BB227C"/>
    <w:rsid w:val="00BB24DB"/>
    <w:rsid w:val="00BB25C3"/>
    <w:rsid w:val="00BB273B"/>
    <w:rsid w:val="00BB32BF"/>
    <w:rsid w:val="00BB32CA"/>
    <w:rsid w:val="00BB35AC"/>
    <w:rsid w:val="00BB3CD8"/>
    <w:rsid w:val="00BB4A81"/>
    <w:rsid w:val="00BB4AAD"/>
    <w:rsid w:val="00BB4CC6"/>
    <w:rsid w:val="00BB536E"/>
    <w:rsid w:val="00BB5714"/>
    <w:rsid w:val="00BB5CA8"/>
    <w:rsid w:val="00BB5F3C"/>
    <w:rsid w:val="00BB6261"/>
    <w:rsid w:val="00BB6772"/>
    <w:rsid w:val="00BB684B"/>
    <w:rsid w:val="00BB6977"/>
    <w:rsid w:val="00BB6E6E"/>
    <w:rsid w:val="00BB7429"/>
    <w:rsid w:val="00BB77F8"/>
    <w:rsid w:val="00BB7C8C"/>
    <w:rsid w:val="00BC0162"/>
    <w:rsid w:val="00BC02EE"/>
    <w:rsid w:val="00BC04A3"/>
    <w:rsid w:val="00BC0951"/>
    <w:rsid w:val="00BC0CF4"/>
    <w:rsid w:val="00BC1199"/>
    <w:rsid w:val="00BC1ADF"/>
    <w:rsid w:val="00BC1DB8"/>
    <w:rsid w:val="00BC2445"/>
    <w:rsid w:val="00BC2AB3"/>
    <w:rsid w:val="00BC2EEC"/>
    <w:rsid w:val="00BC3483"/>
    <w:rsid w:val="00BC37A6"/>
    <w:rsid w:val="00BC4086"/>
    <w:rsid w:val="00BC431E"/>
    <w:rsid w:val="00BC4EFE"/>
    <w:rsid w:val="00BC4F8D"/>
    <w:rsid w:val="00BC5828"/>
    <w:rsid w:val="00BC5C20"/>
    <w:rsid w:val="00BC5D8F"/>
    <w:rsid w:val="00BC7798"/>
    <w:rsid w:val="00BC79B6"/>
    <w:rsid w:val="00BC7AAF"/>
    <w:rsid w:val="00BC7F6F"/>
    <w:rsid w:val="00BD0653"/>
    <w:rsid w:val="00BD0715"/>
    <w:rsid w:val="00BD07FC"/>
    <w:rsid w:val="00BD0A34"/>
    <w:rsid w:val="00BD0D29"/>
    <w:rsid w:val="00BD133E"/>
    <w:rsid w:val="00BD136B"/>
    <w:rsid w:val="00BD143A"/>
    <w:rsid w:val="00BD1524"/>
    <w:rsid w:val="00BD18A5"/>
    <w:rsid w:val="00BD2958"/>
    <w:rsid w:val="00BD3652"/>
    <w:rsid w:val="00BD39FB"/>
    <w:rsid w:val="00BD3CA3"/>
    <w:rsid w:val="00BD4494"/>
    <w:rsid w:val="00BD4DB0"/>
    <w:rsid w:val="00BD4DE0"/>
    <w:rsid w:val="00BD502F"/>
    <w:rsid w:val="00BD5F1D"/>
    <w:rsid w:val="00BD5FFF"/>
    <w:rsid w:val="00BD6062"/>
    <w:rsid w:val="00BD6B99"/>
    <w:rsid w:val="00BD6D8B"/>
    <w:rsid w:val="00BD7201"/>
    <w:rsid w:val="00BD7276"/>
    <w:rsid w:val="00BD7753"/>
    <w:rsid w:val="00BD78D3"/>
    <w:rsid w:val="00BE03B6"/>
    <w:rsid w:val="00BE050B"/>
    <w:rsid w:val="00BE1223"/>
    <w:rsid w:val="00BE1262"/>
    <w:rsid w:val="00BE1836"/>
    <w:rsid w:val="00BE1909"/>
    <w:rsid w:val="00BE1A29"/>
    <w:rsid w:val="00BE20B3"/>
    <w:rsid w:val="00BE20E5"/>
    <w:rsid w:val="00BE23F9"/>
    <w:rsid w:val="00BE2678"/>
    <w:rsid w:val="00BE2E8F"/>
    <w:rsid w:val="00BE30CD"/>
    <w:rsid w:val="00BE31F5"/>
    <w:rsid w:val="00BE3777"/>
    <w:rsid w:val="00BE40D7"/>
    <w:rsid w:val="00BE4631"/>
    <w:rsid w:val="00BE510A"/>
    <w:rsid w:val="00BE57B0"/>
    <w:rsid w:val="00BE74DD"/>
    <w:rsid w:val="00BE7D2E"/>
    <w:rsid w:val="00BF0279"/>
    <w:rsid w:val="00BF1044"/>
    <w:rsid w:val="00BF22CE"/>
    <w:rsid w:val="00BF28D9"/>
    <w:rsid w:val="00BF318D"/>
    <w:rsid w:val="00BF484F"/>
    <w:rsid w:val="00BF5413"/>
    <w:rsid w:val="00BF6297"/>
    <w:rsid w:val="00BF62DA"/>
    <w:rsid w:val="00BF62FE"/>
    <w:rsid w:val="00BF66BE"/>
    <w:rsid w:val="00BF69CF"/>
    <w:rsid w:val="00BF6BEF"/>
    <w:rsid w:val="00BF6E72"/>
    <w:rsid w:val="00BF703A"/>
    <w:rsid w:val="00BF73AF"/>
    <w:rsid w:val="00BF7B7D"/>
    <w:rsid w:val="00BF7B9F"/>
    <w:rsid w:val="00C0058E"/>
    <w:rsid w:val="00C01375"/>
    <w:rsid w:val="00C01568"/>
    <w:rsid w:val="00C0158D"/>
    <w:rsid w:val="00C01799"/>
    <w:rsid w:val="00C01D72"/>
    <w:rsid w:val="00C02BF4"/>
    <w:rsid w:val="00C0306F"/>
    <w:rsid w:val="00C03598"/>
    <w:rsid w:val="00C0493C"/>
    <w:rsid w:val="00C04D50"/>
    <w:rsid w:val="00C05098"/>
    <w:rsid w:val="00C06074"/>
    <w:rsid w:val="00C062AC"/>
    <w:rsid w:val="00C06EF4"/>
    <w:rsid w:val="00C072B3"/>
    <w:rsid w:val="00C07523"/>
    <w:rsid w:val="00C07E86"/>
    <w:rsid w:val="00C104AD"/>
    <w:rsid w:val="00C108A4"/>
    <w:rsid w:val="00C11193"/>
    <w:rsid w:val="00C1187E"/>
    <w:rsid w:val="00C119A4"/>
    <w:rsid w:val="00C11CC7"/>
    <w:rsid w:val="00C12029"/>
    <w:rsid w:val="00C120DF"/>
    <w:rsid w:val="00C12230"/>
    <w:rsid w:val="00C127AD"/>
    <w:rsid w:val="00C12887"/>
    <w:rsid w:val="00C12BFD"/>
    <w:rsid w:val="00C133FC"/>
    <w:rsid w:val="00C13799"/>
    <w:rsid w:val="00C13D1A"/>
    <w:rsid w:val="00C14412"/>
    <w:rsid w:val="00C148CC"/>
    <w:rsid w:val="00C14F26"/>
    <w:rsid w:val="00C1522A"/>
    <w:rsid w:val="00C157AB"/>
    <w:rsid w:val="00C1652F"/>
    <w:rsid w:val="00C167A9"/>
    <w:rsid w:val="00C169F7"/>
    <w:rsid w:val="00C207AA"/>
    <w:rsid w:val="00C207AE"/>
    <w:rsid w:val="00C20827"/>
    <w:rsid w:val="00C208AF"/>
    <w:rsid w:val="00C20BD1"/>
    <w:rsid w:val="00C20E4F"/>
    <w:rsid w:val="00C2159A"/>
    <w:rsid w:val="00C21E40"/>
    <w:rsid w:val="00C222AC"/>
    <w:rsid w:val="00C225E5"/>
    <w:rsid w:val="00C22F48"/>
    <w:rsid w:val="00C23054"/>
    <w:rsid w:val="00C23222"/>
    <w:rsid w:val="00C23B88"/>
    <w:rsid w:val="00C23C24"/>
    <w:rsid w:val="00C243F4"/>
    <w:rsid w:val="00C24C24"/>
    <w:rsid w:val="00C25583"/>
    <w:rsid w:val="00C25663"/>
    <w:rsid w:val="00C26A09"/>
    <w:rsid w:val="00C26D50"/>
    <w:rsid w:val="00C26EB0"/>
    <w:rsid w:val="00C2706C"/>
    <w:rsid w:val="00C27346"/>
    <w:rsid w:val="00C301F9"/>
    <w:rsid w:val="00C312D7"/>
    <w:rsid w:val="00C31B04"/>
    <w:rsid w:val="00C32296"/>
    <w:rsid w:val="00C32FC1"/>
    <w:rsid w:val="00C33071"/>
    <w:rsid w:val="00C334CB"/>
    <w:rsid w:val="00C33750"/>
    <w:rsid w:val="00C35979"/>
    <w:rsid w:val="00C35A7E"/>
    <w:rsid w:val="00C35C51"/>
    <w:rsid w:val="00C36B84"/>
    <w:rsid w:val="00C378B8"/>
    <w:rsid w:val="00C403D2"/>
    <w:rsid w:val="00C4042B"/>
    <w:rsid w:val="00C409C9"/>
    <w:rsid w:val="00C40E5F"/>
    <w:rsid w:val="00C4107C"/>
    <w:rsid w:val="00C4155C"/>
    <w:rsid w:val="00C41607"/>
    <w:rsid w:val="00C41DFD"/>
    <w:rsid w:val="00C42387"/>
    <w:rsid w:val="00C42AC3"/>
    <w:rsid w:val="00C43058"/>
    <w:rsid w:val="00C4317C"/>
    <w:rsid w:val="00C441F5"/>
    <w:rsid w:val="00C44361"/>
    <w:rsid w:val="00C45C2F"/>
    <w:rsid w:val="00C45DB5"/>
    <w:rsid w:val="00C46245"/>
    <w:rsid w:val="00C46465"/>
    <w:rsid w:val="00C46B15"/>
    <w:rsid w:val="00C46BA3"/>
    <w:rsid w:val="00C46EE9"/>
    <w:rsid w:val="00C471AA"/>
    <w:rsid w:val="00C472A4"/>
    <w:rsid w:val="00C47F91"/>
    <w:rsid w:val="00C50193"/>
    <w:rsid w:val="00C501C5"/>
    <w:rsid w:val="00C50446"/>
    <w:rsid w:val="00C512E2"/>
    <w:rsid w:val="00C5172B"/>
    <w:rsid w:val="00C51CF9"/>
    <w:rsid w:val="00C5282F"/>
    <w:rsid w:val="00C5308E"/>
    <w:rsid w:val="00C53665"/>
    <w:rsid w:val="00C5453F"/>
    <w:rsid w:val="00C54783"/>
    <w:rsid w:val="00C54A62"/>
    <w:rsid w:val="00C54EB8"/>
    <w:rsid w:val="00C55948"/>
    <w:rsid w:val="00C55A94"/>
    <w:rsid w:val="00C55C94"/>
    <w:rsid w:val="00C560FD"/>
    <w:rsid w:val="00C5614B"/>
    <w:rsid w:val="00C56274"/>
    <w:rsid w:val="00C567E2"/>
    <w:rsid w:val="00C5684B"/>
    <w:rsid w:val="00C5774E"/>
    <w:rsid w:val="00C5790F"/>
    <w:rsid w:val="00C57DFC"/>
    <w:rsid w:val="00C60397"/>
    <w:rsid w:val="00C603E2"/>
    <w:rsid w:val="00C60DA4"/>
    <w:rsid w:val="00C6162B"/>
    <w:rsid w:val="00C61CB8"/>
    <w:rsid w:val="00C6218F"/>
    <w:rsid w:val="00C62318"/>
    <w:rsid w:val="00C62395"/>
    <w:rsid w:val="00C62403"/>
    <w:rsid w:val="00C628DF"/>
    <w:rsid w:val="00C629BD"/>
    <w:rsid w:val="00C62A1B"/>
    <w:rsid w:val="00C6315B"/>
    <w:rsid w:val="00C6357B"/>
    <w:rsid w:val="00C63930"/>
    <w:rsid w:val="00C63BA7"/>
    <w:rsid w:val="00C63FC5"/>
    <w:rsid w:val="00C64C4A"/>
    <w:rsid w:val="00C6510B"/>
    <w:rsid w:val="00C656EC"/>
    <w:rsid w:val="00C65A63"/>
    <w:rsid w:val="00C65D73"/>
    <w:rsid w:val="00C66689"/>
    <w:rsid w:val="00C667AD"/>
    <w:rsid w:val="00C66EF5"/>
    <w:rsid w:val="00C67303"/>
    <w:rsid w:val="00C675A6"/>
    <w:rsid w:val="00C6765B"/>
    <w:rsid w:val="00C6772E"/>
    <w:rsid w:val="00C67B7C"/>
    <w:rsid w:val="00C67D7F"/>
    <w:rsid w:val="00C70944"/>
    <w:rsid w:val="00C70BF4"/>
    <w:rsid w:val="00C719D0"/>
    <w:rsid w:val="00C71A21"/>
    <w:rsid w:val="00C71E5B"/>
    <w:rsid w:val="00C722B1"/>
    <w:rsid w:val="00C725FE"/>
    <w:rsid w:val="00C7279D"/>
    <w:rsid w:val="00C72BEB"/>
    <w:rsid w:val="00C73790"/>
    <w:rsid w:val="00C73C69"/>
    <w:rsid w:val="00C7403B"/>
    <w:rsid w:val="00C74138"/>
    <w:rsid w:val="00C743AF"/>
    <w:rsid w:val="00C7494A"/>
    <w:rsid w:val="00C74963"/>
    <w:rsid w:val="00C74AFA"/>
    <w:rsid w:val="00C75021"/>
    <w:rsid w:val="00C75A9C"/>
    <w:rsid w:val="00C75EE2"/>
    <w:rsid w:val="00C75F8C"/>
    <w:rsid w:val="00C7620A"/>
    <w:rsid w:val="00C76589"/>
    <w:rsid w:val="00C76AC5"/>
    <w:rsid w:val="00C76B7E"/>
    <w:rsid w:val="00C76C7B"/>
    <w:rsid w:val="00C770EA"/>
    <w:rsid w:val="00C7735F"/>
    <w:rsid w:val="00C773E1"/>
    <w:rsid w:val="00C77D22"/>
    <w:rsid w:val="00C77E97"/>
    <w:rsid w:val="00C77FB9"/>
    <w:rsid w:val="00C807B2"/>
    <w:rsid w:val="00C80A6E"/>
    <w:rsid w:val="00C80ACF"/>
    <w:rsid w:val="00C818B9"/>
    <w:rsid w:val="00C81E1E"/>
    <w:rsid w:val="00C820E5"/>
    <w:rsid w:val="00C833AA"/>
    <w:rsid w:val="00C83741"/>
    <w:rsid w:val="00C84026"/>
    <w:rsid w:val="00C848C3"/>
    <w:rsid w:val="00C84E93"/>
    <w:rsid w:val="00C851E4"/>
    <w:rsid w:val="00C857DC"/>
    <w:rsid w:val="00C8616D"/>
    <w:rsid w:val="00C86352"/>
    <w:rsid w:val="00C866E8"/>
    <w:rsid w:val="00C868AB"/>
    <w:rsid w:val="00C86CFB"/>
    <w:rsid w:val="00C87C5F"/>
    <w:rsid w:val="00C90124"/>
    <w:rsid w:val="00C9143B"/>
    <w:rsid w:val="00C91720"/>
    <w:rsid w:val="00C926C9"/>
    <w:rsid w:val="00C92A2D"/>
    <w:rsid w:val="00C92CB9"/>
    <w:rsid w:val="00C93ECC"/>
    <w:rsid w:val="00C95377"/>
    <w:rsid w:val="00C9543B"/>
    <w:rsid w:val="00C95583"/>
    <w:rsid w:val="00C95716"/>
    <w:rsid w:val="00C9572E"/>
    <w:rsid w:val="00C95E36"/>
    <w:rsid w:val="00C95F23"/>
    <w:rsid w:val="00C96D68"/>
    <w:rsid w:val="00C97F34"/>
    <w:rsid w:val="00CA007C"/>
    <w:rsid w:val="00CA0143"/>
    <w:rsid w:val="00CA1470"/>
    <w:rsid w:val="00CA14AA"/>
    <w:rsid w:val="00CA175D"/>
    <w:rsid w:val="00CA1E5E"/>
    <w:rsid w:val="00CA2C01"/>
    <w:rsid w:val="00CA2DE8"/>
    <w:rsid w:val="00CA3D71"/>
    <w:rsid w:val="00CA4231"/>
    <w:rsid w:val="00CA4A41"/>
    <w:rsid w:val="00CA4B25"/>
    <w:rsid w:val="00CA5536"/>
    <w:rsid w:val="00CA6101"/>
    <w:rsid w:val="00CA65D1"/>
    <w:rsid w:val="00CA663F"/>
    <w:rsid w:val="00CA6CB1"/>
    <w:rsid w:val="00CA7294"/>
    <w:rsid w:val="00CA7C94"/>
    <w:rsid w:val="00CA7DAC"/>
    <w:rsid w:val="00CB05F8"/>
    <w:rsid w:val="00CB1A7B"/>
    <w:rsid w:val="00CB1B23"/>
    <w:rsid w:val="00CB1B98"/>
    <w:rsid w:val="00CB1F87"/>
    <w:rsid w:val="00CB25B6"/>
    <w:rsid w:val="00CB26F9"/>
    <w:rsid w:val="00CB2769"/>
    <w:rsid w:val="00CB296D"/>
    <w:rsid w:val="00CB2B21"/>
    <w:rsid w:val="00CB2C37"/>
    <w:rsid w:val="00CB2FA2"/>
    <w:rsid w:val="00CB33BC"/>
    <w:rsid w:val="00CB344B"/>
    <w:rsid w:val="00CB38F1"/>
    <w:rsid w:val="00CB394F"/>
    <w:rsid w:val="00CB3D51"/>
    <w:rsid w:val="00CB3EDE"/>
    <w:rsid w:val="00CB3F10"/>
    <w:rsid w:val="00CB44CF"/>
    <w:rsid w:val="00CB4640"/>
    <w:rsid w:val="00CB4C5A"/>
    <w:rsid w:val="00CB51E7"/>
    <w:rsid w:val="00CB580C"/>
    <w:rsid w:val="00CB5A68"/>
    <w:rsid w:val="00CB6483"/>
    <w:rsid w:val="00CB6B5E"/>
    <w:rsid w:val="00CB6CF0"/>
    <w:rsid w:val="00CC020A"/>
    <w:rsid w:val="00CC076F"/>
    <w:rsid w:val="00CC13BC"/>
    <w:rsid w:val="00CC147C"/>
    <w:rsid w:val="00CC1749"/>
    <w:rsid w:val="00CC1A73"/>
    <w:rsid w:val="00CC2160"/>
    <w:rsid w:val="00CC279A"/>
    <w:rsid w:val="00CC4CD9"/>
    <w:rsid w:val="00CC4E80"/>
    <w:rsid w:val="00CC4EE8"/>
    <w:rsid w:val="00CC680B"/>
    <w:rsid w:val="00CC6AD4"/>
    <w:rsid w:val="00CC7831"/>
    <w:rsid w:val="00CC794D"/>
    <w:rsid w:val="00CD0A2D"/>
    <w:rsid w:val="00CD0DE9"/>
    <w:rsid w:val="00CD1099"/>
    <w:rsid w:val="00CD119D"/>
    <w:rsid w:val="00CD257F"/>
    <w:rsid w:val="00CD288A"/>
    <w:rsid w:val="00CD299A"/>
    <w:rsid w:val="00CD2A14"/>
    <w:rsid w:val="00CD3052"/>
    <w:rsid w:val="00CD3A3D"/>
    <w:rsid w:val="00CD3C1A"/>
    <w:rsid w:val="00CD3D19"/>
    <w:rsid w:val="00CD4E75"/>
    <w:rsid w:val="00CD5149"/>
    <w:rsid w:val="00CD5542"/>
    <w:rsid w:val="00CD5809"/>
    <w:rsid w:val="00CD58C7"/>
    <w:rsid w:val="00CD5B6F"/>
    <w:rsid w:val="00CD60A7"/>
    <w:rsid w:val="00CD6BEC"/>
    <w:rsid w:val="00CD6CBE"/>
    <w:rsid w:val="00CD6F99"/>
    <w:rsid w:val="00CE027F"/>
    <w:rsid w:val="00CE04C5"/>
    <w:rsid w:val="00CE0ADB"/>
    <w:rsid w:val="00CE0F41"/>
    <w:rsid w:val="00CE130F"/>
    <w:rsid w:val="00CE17DB"/>
    <w:rsid w:val="00CE1976"/>
    <w:rsid w:val="00CE2016"/>
    <w:rsid w:val="00CE22EF"/>
    <w:rsid w:val="00CE25EE"/>
    <w:rsid w:val="00CE2DD7"/>
    <w:rsid w:val="00CE3691"/>
    <w:rsid w:val="00CE3A80"/>
    <w:rsid w:val="00CE3F81"/>
    <w:rsid w:val="00CE4132"/>
    <w:rsid w:val="00CE47B5"/>
    <w:rsid w:val="00CE4A79"/>
    <w:rsid w:val="00CE5C72"/>
    <w:rsid w:val="00CE5C8F"/>
    <w:rsid w:val="00CE641B"/>
    <w:rsid w:val="00CE681D"/>
    <w:rsid w:val="00CE6EFF"/>
    <w:rsid w:val="00CE72E8"/>
    <w:rsid w:val="00CE7E17"/>
    <w:rsid w:val="00CF0186"/>
    <w:rsid w:val="00CF04EA"/>
    <w:rsid w:val="00CF06AC"/>
    <w:rsid w:val="00CF0C4C"/>
    <w:rsid w:val="00CF0F10"/>
    <w:rsid w:val="00CF1500"/>
    <w:rsid w:val="00CF1CE4"/>
    <w:rsid w:val="00CF1E9A"/>
    <w:rsid w:val="00CF208D"/>
    <w:rsid w:val="00CF26D1"/>
    <w:rsid w:val="00CF346D"/>
    <w:rsid w:val="00CF3D1F"/>
    <w:rsid w:val="00CF3F62"/>
    <w:rsid w:val="00CF4485"/>
    <w:rsid w:val="00CF4D0C"/>
    <w:rsid w:val="00CF4F98"/>
    <w:rsid w:val="00CF528C"/>
    <w:rsid w:val="00CF5372"/>
    <w:rsid w:val="00CF5865"/>
    <w:rsid w:val="00CF5C9E"/>
    <w:rsid w:val="00CF5CF7"/>
    <w:rsid w:val="00CF5FA9"/>
    <w:rsid w:val="00D00AF1"/>
    <w:rsid w:val="00D01AEF"/>
    <w:rsid w:val="00D02442"/>
    <w:rsid w:val="00D02CDA"/>
    <w:rsid w:val="00D04604"/>
    <w:rsid w:val="00D05F33"/>
    <w:rsid w:val="00D0690B"/>
    <w:rsid w:val="00D06B5B"/>
    <w:rsid w:val="00D06E30"/>
    <w:rsid w:val="00D07F5B"/>
    <w:rsid w:val="00D104EC"/>
    <w:rsid w:val="00D1071B"/>
    <w:rsid w:val="00D1085F"/>
    <w:rsid w:val="00D1149D"/>
    <w:rsid w:val="00D11BF8"/>
    <w:rsid w:val="00D11E9B"/>
    <w:rsid w:val="00D12D82"/>
    <w:rsid w:val="00D138D7"/>
    <w:rsid w:val="00D13F23"/>
    <w:rsid w:val="00D13F25"/>
    <w:rsid w:val="00D13FE2"/>
    <w:rsid w:val="00D14DBF"/>
    <w:rsid w:val="00D153BC"/>
    <w:rsid w:val="00D159C3"/>
    <w:rsid w:val="00D15EF8"/>
    <w:rsid w:val="00D15F81"/>
    <w:rsid w:val="00D1792D"/>
    <w:rsid w:val="00D17D43"/>
    <w:rsid w:val="00D20212"/>
    <w:rsid w:val="00D20A09"/>
    <w:rsid w:val="00D20C21"/>
    <w:rsid w:val="00D21046"/>
    <w:rsid w:val="00D216C3"/>
    <w:rsid w:val="00D21E64"/>
    <w:rsid w:val="00D22277"/>
    <w:rsid w:val="00D24030"/>
    <w:rsid w:val="00D2549F"/>
    <w:rsid w:val="00D255B2"/>
    <w:rsid w:val="00D264F3"/>
    <w:rsid w:val="00D26CA3"/>
    <w:rsid w:val="00D26E0E"/>
    <w:rsid w:val="00D27083"/>
    <w:rsid w:val="00D27184"/>
    <w:rsid w:val="00D274DA"/>
    <w:rsid w:val="00D27CA7"/>
    <w:rsid w:val="00D30ED8"/>
    <w:rsid w:val="00D30EDF"/>
    <w:rsid w:val="00D31443"/>
    <w:rsid w:val="00D315EF"/>
    <w:rsid w:val="00D31C3F"/>
    <w:rsid w:val="00D32142"/>
    <w:rsid w:val="00D3269A"/>
    <w:rsid w:val="00D32CA6"/>
    <w:rsid w:val="00D33B83"/>
    <w:rsid w:val="00D34605"/>
    <w:rsid w:val="00D34A0D"/>
    <w:rsid w:val="00D34DD4"/>
    <w:rsid w:val="00D35214"/>
    <w:rsid w:val="00D35305"/>
    <w:rsid w:val="00D35403"/>
    <w:rsid w:val="00D3656D"/>
    <w:rsid w:val="00D36D2D"/>
    <w:rsid w:val="00D36E9E"/>
    <w:rsid w:val="00D379E4"/>
    <w:rsid w:val="00D37CE9"/>
    <w:rsid w:val="00D37DF5"/>
    <w:rsid w:val="00D40B0C"/>
    <w:rsid w:val="00D41775"/>
    <w:rsid w:val="00D424A1"/>
    <w:rsid w:val="00D42D39"/>
    <w:rsid w:val="00D4358D"/>
    <w:rsid w:val="00D43652"/>
    <w:rsid w:val="00D43670"/>
    <w:rsid w:val="00D43A7C"/>
    <w:rsid w:val="00D43FCB"/>
    <w:rsid w:val="00D44A87"/>
    <w:rsid w:val="00D44ABB"/>
    <w:rsid w:val="00D458E9"/>
    <w:rsid w:val="00D45A8A"/>
    <w:rsid w:val="00D45D58"/>
    <w:rsid w:val="00D45FD1"/>
    <w:rsid w:val="00D467FA"/>
    <w:rsid w:val="00D46E97"/>
    <w:rsid w:val="00D471F9"/>
    <w:rsid w:val="00D472D2"/>
    <w:rsid w:val="00D475C5"/>
    <w:rsid w:val="00D50BB9"/>
    <w:rsid w:val="00D51394"/>
    <w:rsid w:val="00D517E6"/>
    <w:rsid w:val="00D51955"/>
    <w:rsid w:val="00D51C54"/>
    <w:rsid w:val="00D52487"/>
    <w:rsid w:val="00D5281F"/>
    <w:rsid w:val="00D52F5D"/>
    <w:rsid w:val="00D53246"/>
    <w:rsid w:val="00D53311"/>
    <w:rsid w:val="00D53DA4"/>
    <w:rsid w:val="00D53EB9"/>
    <w:rsid w:val="00D54156"/>
    <w:rsid w:val="00D5427B"/>
    <w:rsid w:val="00D545FB"/>
    <w:rsid w:val="00D549D2"/>
    <w:rsid w:val="00D54BAB"/>
    <w:rsid w:val="00D55269"/>
    <w:rsid w:val="00D55575"/>
    <w:rsid w:val="00D55879"/>
    <w:rsid w:val="00D55B46"/>
    <w:rsid w:val="00D56003"/>
    <w:rsid w:val="00D56333"/>
    <w:rsid w:val="00D564CD"/>
    <w:rsid w:val="00D5655D"/>
    <w:rsid w:val="00D568EB"/>
    <w:rsid w:val="00D571EE"/>
    <w:rsid w:val="00D57366"/>
    <w:rsid w:val="00D57455"/>
    <w:rsid w:val="00D575C4"/>
    <w:rsid w:val="00D57B44"/>
    <w:rsid w:val="00D57D20"/>
    <w:rsid w:val="00D57F68"/>
    <w:rsid w:val="00D60311"/>
    <w:rsid w:val="00D60FB6"/>
    <w:rsid w:val="00D6130D"/>
    <w:rsid w:val="00D61E7E"/>
    <w:rsid w:val="00D6295A"/>
    <w:rsid w:val="00D6335B"/>
    <w:rsid w:val="00D63F6D"/>
    <w:rsid w:val="00D641F1"/>
    <w:rsid w:val="00D64BC4"/>
    <w:rsid w:val="00D65448"/>
    <w:rsid w:val="00D655BD"/>
    <w:rsid w:val="00D65ED2"/>
    <w:rsid w:val="00D65F8C"/>
    <w:rsid w:val="00D66BDD"/>
    <w:rsid w:val="00D714A0"/>
    <w:rsid w:val="00D71799"/>
    <w:rsid w:val="00D71874"/>
    <w:rsid w:val="00D71E74"/>
    <w:rsid w:val="00D7206A"/>
    <w:rsid w:val="00D72233"/>
    <w:rsid w:val="00D72284"/>
    <w:rsid w:val="00D722D2"/>
    <w:rsid w:val="00D72525"/>
    <w:rsid w:val="00D72ABE"/>
    <w:rsid w:val="00D73478"/>
    <w:rsid w:val="00D735E0"/>
    <w:rsid w:val="00D73ABC"/>
    <w:rsid w:val="00D73B13"/>
    <w:rsid w:val="00D73B8B"/>
    <w:rsid w:val="00D745A2"/>
    <w:rsid w:val="00D7477A"/>
    <w:rsid w:val="00D74BE1"/>
    <w:rsid w:val="00D75342"/>
    <w:rsid w:val="00D75435"/>
    <w:rsid w:val="00D755B6"/>
    <w:rsid w:val="00D75FF7"/>
    <w:rsid w:val="00D7664B"/>
    <w:rsid w:val="00D76A85"/>
    <w:rsid w:val="00D76C04"/>
    <w:rsid w:val="00D7736C"/>
    <w:rsid w:val="00D7773C"/>
    <w:rsid w:val="00D77FC5"/>
    <w:rsid w:val="00D804DB"/>
    <w:rsid w:val="00D80FA0"/>
    <w:rsid w:val="00D813E5"/>
    <w:rsid w:val="00D82A83"/>
    <w:rsid w:val="00D832AB"/>
    <w:rsid w:val="00D837B6"/>
    <w:rsid w:val="00D838AD"/>
    <w:rsid w:val="00D845B4"/>
    <w:rsid w:val="00D84C05"/>
    <w:rsid w:val="00D8517B"/>
    <w:rsid w:val="00D86369"/>
    <w:rsid w:val="00D86438"/>
    <w:rsid w:val="00D86C05"/>
    <w:rsid w:val="00D86D09"/>
    <w:rsid w:val="00D86EDA"/>
    <w:rsid w:val="00D877F2"/>
    <w:rsid w:val="00D917DE"/>
    <w:rsid w:val="00D920DA"/>
    <w:rsid w:val="00D923BF"/>
    <w:rsid w:val="00D92566"/>
    <w:rsid w:val="00D929EE"/>
    <w:rsid w:val="00D92BAC"/>
    <w:rsid w:val="00D92F03"/>
    <w:rsid w:val="00D93534"/>
    <w:rsid w:val="00D93541"/>
    <w:rsid w:val="00D935DD"/>
    <w:rsid w:val="00D93809"/>
    <w:rsid w:val="00D9384D"/>
    <w:rsid w:val="00D93C26"/>
    <w:rsid w:val="00D9413C"/>
    <w:rsid w:val="00D948C1"/>
    <w:rsid w:val="00D95F78"/>
    <w:rsid w:val="00D95FEA"/>
    <w:rsid w:val="00D966FC"/>
    <w:rsid w:val="00D968C8"/>
    <w:rsid w:val="00D96E18"/>
    <w:rsid w:val="00D97371"/>
    <w:rsid w:val="00D976D7"/>
    <w:rsid w:val="00D97A60"/>
    <w:rsid w:val="00D97C82"/>
    <w:rsid w:val="00D97D04"/>
    <w:rsid w:val="00D97F54"/>
    <w:rsid w:val="00DA0A40"/>
    <w:rsid w:val="00DA1363"/>
    <w:rsid w:val="00DA15F9"/>
    <w:rsid w:val="00DA1663"/>
    <w:rsid w:val="00DA1917"/>
    <w:rsid w:val="00DA2C7B"/>
    <w:rsid w:val="00DA355F"/>
    <w:rsid w:val="00DA3BDA"/>
    <w:rsid w:val="00DA40FB"/>
    <w:rsid w:val="00DA4CBD"/>
    <w:rsid w:val="00DA4D37"/>
    <w:rsid w:val="00DA4D94"/>
    <w:rsid w:val="00DA4FA9"/>
    <w:rsid w:val="00DA5C45"/>
    <w:rsid w:val="00DA607A"/>
    <w:rsid w:val="00DA6A4F"/>
    <w:rsid w:val="00DA7766"/>
    <w:rsid w:val="00DB01C2"/>
    <w:rsid w:val="00DB0360"/>
    <w:rsid w:val="00DB045D"/>
    <w:rsid w:val="00DB0796"/>
    <w:rsid w:val="00DB1316"/>
    <w:rsid w:val="00DB1BF8"/>
    <w:rsid w:val="00DB1DA1"/>
    <w:rsid w:val="00DB1E1E"/>
    <w:rsid w:val="00DB1E85"/>
    <w:rsid w:val="00DB1F02"/>
    <w:rsid w:val="00DB2439"/>
    <w:rsid w:val="00DB24CF"/>
    <w:rsid w:val="00DB25A5"/>
    <w:rsid w:val="00DB2EEB"/>
    <w:rsid w:val="00DB410E"/>
    <w:rsid w:val="00DB4188"/>
    <w:rsid w:val="00DB4977"/>
    <w:rsid w:val="00DB4D48"/>
    <w:rsid w:val="00DB5597"/>
    <w:rsid w:val="00DB5CB4"/>
    <w:rsid w:val="00DB604C"/>
    <w:rsid w:val="00DB6354"/>
    <w:rsid w:val="00DB64F4"/>
    <w:rsid w:val="00DB6B7B"/>
    <w:rsid w:val="00DC0AFD"/>
    <w:rsid w:val="00DC0B9B"/>
    <w:rsid w:val="00DC1B58"/>
    <w:rsid w:val="00DC2453"/>
    <w:rsid w:val="00DC2529"/>
    <w:rsid w:val="00DC27CA"/>
    <w:rsid w:val="00DC2A03"/>
    <w:rsid w:val="00DC3078"/>
    <w:rsid w:val="00DC3784"/>
    <w:rsid w:val="00DC397F"/>
    <w:rsid w:val="00DC41D2"/>
    <w:rsid w:val="00DC434C"/>
    <w:rsid w:val="00DC47BE"/>
    <w:rsid w:val="00DC50F1"/>
    <w:rsid w:val="00DC71E3"/>
    <w:rsid w:val="00DC7538"/>
    <w:rsid w:val="00DC7971"/>
    <w:rsid w:val="00DD033E"/>
    <w:rsid w:val="00DD06F2"/>
    <w:rsid w:val="00DD0AC8"/>
    <w:rsid w:val="00DD11CD"/>
    <w:rsid w:val="00DD19FF"/>
    <w:rsid w:val="00DD1B70"/>
    <w:rsid w:val="00DD1C37"/>
    <w:rsid w:val="00DD2213"/>
    <w:rsid w:val="00DD2234"/>
    <w:rsid w:val="00DD2DF1"/>
    <w:rsid w:val="00DD2FB0"/>
    <w:rsid w:val="00DD36B8"/>
    <w:rsid w:val="00DD3AA9"/>
    <w:rsid w:val="00DD3C9A"/>
    <w:rsid w:val="00DD41FA"/>
    <w:rsid w:val="00DD4542"/>
    <w:rsid w:val="00DD473D"/>
    <w:rsid w:val="00DD59EC"/>
    <w:rsid w:val="00DD5BCE"/>
    <w:rsid w:val="00DD691B"/>
    <w:rsid w:val="00DD77CD"/>
    <w:rsid w:val="00DD79AD"/>
    <w:rsid w:val="00DE14D4"/>
    <w:rsid w:val="00DE18D6"/>
    <w:rsid w:val="00DE2B62"/>
    <w:rsid w:val="00DE2ED9"/>
    <w:rsid w:val="00DE4844"/>
    <w:rsid w:val="00DE4FA5"/>
    <w:rsid w:val="00DE550E"/>
    <w:rsid w:val="00DF0BAA"/>
    <w:rsid w:val="00DF0BE3"/>
    <w:rsid w:val="00DF0EC1"/>
    <w:rsid w:val="00DF0ED9"/>
    <w:rsid w:val="00DF0FE9"/>
    <w:rsid w:val="00DF1A1C"/>
    <w:rsid w:val="00DF1BDF"/>
    <w:rsid w:val="00DF1C96"/>
    <w:rsid w:val="00DF27DF"/>
    <w:rsid w:val="00DF3674"/>
    <w:rsid w:val="00DF3F8B"/>
    <w:rsid w:val="00DF4092"/>
    <w:rsid w:val="00DF440C"/>
    <w:rsid w:val="00DF49A6"/>
    <w:rsid w:val="00DF4B9E"/>
    <w:rsid w:val="00DF5177"/>
    <w:rsid w:val="00DF5376"/>
    <w:rsid w:val="00DF53C9"/>
    <w:rsid w:val="00DF5493"/>
    <w:rsid w:val="00DF5524"/>
    <w:rsid w:val="00DF587D"/>
    <w:rsid w:val="00DF5A26"/>
    <w:rsid w:val="00E0054A"/>
    <w:rsid w:val="00E00BB1"/>
    <w:rsid w:val="00E0124E"/>
    <w:rsid w:val="00E01AAC"/>
    <w:rsid w:val="00E021E1"/>
    <w:rsid w:val="00E0245F"/>
    <w:rsid w:val="00E02700"/>
    <w:rsid w:val="00E03918"/>
    <w:rsid w:val="00E03EA5"/>
    <w:rsid w:val="00E04259"/>
    <w:rsid w:val="00E043B1"/>
    <w:rsid w:val="00E046FC"/>
    <w:rsid w:val="00E048C2"/>
    <w:rsid w:val="00E048EB"/>
    <w:rsid w:val="00E0560D"/>
    <w:rsid w:val="00E05A12"/>
    <w:rsid w:val="00E05E09"/>
    <w:rsid w:val="00E065C9"/>
    <w:rsid w:val="00E06905"/>
    <w:rsid w:val="00E07127"/>
    <w:rsid w:val="00E07614"/>
    <w:rsid w:val="00E07DE4"/>
    <w:rsid w:val="00E10636"/>
    <w:rsid w:val="00E10A3B"/>
    <w:rsid w:val="00E10C5B"/>
    <w:rsid w:val="00E10D0E"/>
    <w:rsid w:val="00E10EC1"/>
    <w:rsid w:val="00E11235"/>
    <w:rsid w:val="00E117CA"/>
    <w:rsid w:val="00E11EFB"/>
    <w:rsid w:val="00E12293"/>
    <w:rsid w:val="00E126AB"/>
    <w:rsid w:val="00E1274C"/>
    <w:rsid w:val="00E12948"/>
    <w:rsid w:val="00E12EC8"/>
    <w:rsid w:val="00E12F73"/>
    <w:rsid w:val="00E13395"/>
    <w:rsid w:val="00E13656"/>
    <w:rsid w:val="00E13721"/>
    <w:rsid w:val="00E1374B"/>
    <w:rsid w:val="00E141B0"/>
    <w:rsid w:val="00E14263"/>
    <w:rsid w:val="00E14B1C"/>
    <w:rsid w:val="00E14D55"/>
    <w:rsid w:val="00E155CA"/>
    <w:rsid w:val="00E15A03"/>
    <w:rsid w:val="00E15FC1"/>
    <w:rsid w:val="00E16222"/>
    <w:rsid w:val="00E1709D"/>
    <w:rsid w:val="00E171AB"/>
    <w:rsid w:val="00E17A55"/>
    <w:rsid w:val="00E204F0"/>
    <w:rsid w:val="00E2079D"/>
    <w:rsid w:val="00E2088D"/>
    <w:rsid w:val="00E20A96"/>
    <w:rsid w:val="00E21381"/>
    <w:rsid w:val="00E21C48"/>
    <w:rsid w:val="00E21FC2"/>
    <w:rsid w:val="00E223D2"/>
    <w:rsid w:val="00E223DB"/>
    <w:rsid w:val="00E228C1"/>
    <w:rsid w:val="00E229A0"/>
    <w:rsid w:val="00E22BA4"/>
    <w:rsid w:val="00E22EC8"/>
    <w:rsid w:val="00E239E8"/>
    <w:rsid w:val="00E23CF5"/>
    <w:rsid w:val="00E24274"/>
    <w:rsid w:val="00E24FCA"/>
    <w:rsid w:val="00E25D62"/>
    <w:rsid w:val="00E25EC7"/>
    <w:rsid w:val="00E274C5"/>
    <w:rsid w:val="00E277A9"/>
    <w:rsid w:val="00E27CB5"/>
    <w:rsid w:val="00E27EE6"/>
    <w:rsid w:val="00E27F46"/>
    <w:rsid w:val="00E3018D"/>
    <w:rsid w:val="00E306B1"/>
    <w:rsid w:val="00E3100A"/>
    <w:rsid w:val="00E312E5"/>
    <w:rsid w:val="00E3178D"/>
    <w:rsid w:val="00E31B26"/>
    <w:rsid w:val="00E321C4"/>
    <w:rsid w:val="00E3243E"/>
    <w:rsid w:val="00E32E2C"/>
    <w:rsid w:val="00E3334A"/>
    <w:rsid w:val="00E33AC1"/>
    <w:rsid w:val="00E33C1E"/>
    <w:rsid w:val="00E3424F"/>
    <w:rsid w:val="00E34881"/>
    <w:rsid w:val="00E3493B"/>
    <w:rsid w:val="00E34AB2"/>
    <w:rsid w:val="00E34E20"/>
    <w:rsid w:val="00E35411"/>
    <w:rsid w:val="00E36314"/>
    <w:rsid w:val="00E36E8C"/>
    <w:rsid w:val="00E37181"/>
    <w:rsid w:val="00E379E0"/>
    <w:rsid w:val="00E37CE0"/>
    <w:rsid w:val="00E4128B"/>
    <w:rsid w:val="00E4163C"/>
    <w:rsid w:val="00E428CB"/>
    <w:rsid w:val="00E43242"/>
    <w:rsid w:val="00E43A00"/>
    <w:rsid w:val="00E43C24"/>
    <w:rsid w:val="00E43D08"/>
    <w:rsid w:val="00E443FF"/>
    <w:rsid w:val="00E44F71"/>
    <w:rsid w:val="00E45695"/>
    <w:rsid w:val="00E45C9D"/>
    <w:rsid w:val="00E45F7D"/>
    <w:rsid w:val="00E46902"/>
    <w:rsid w:val="00E46DF3"/>
    <w:rsid w:val="00E47713"/>
    <w:rsid w:val="00E478C5"/>
    <w:rsid w:val="00E47FC6"/>
    <w:rsid w:val="00E50B39"/>
    <w:rsid w:val="00E50B5F"/>
    <w:rsid w:val="00E50DA5"/>
    <w:rsid w:val="00E518BF"/>
    <w:rsid w:val="00E52825"/>
    <w:rsid w:val="00E5328B"/>
    <w:rsid w:val="00E55363"/>
    <w:rsid w:val="00E553CD"/>
    <w:rsid w:val="00E565A5"/>
    <w:rsid w:val="00E56E50"/>
    <w:rsid w:val="00E5704F"/>
    <w:rsid w:val="00E5741C"/>
    <w:rsid w:val="00E5750E"/>
    <w:rsid w:val="00E57A0F"/>
    <w:rsid w:val="00E60116"/>
    <w:rsid w:val="00E60610"/>
    <w:rsid w:val="00E607AE"/>
    <w:rsid w:val="00E609D7"/>
    <w:rsid w:val="00E61980"/>
    <w:rsid w:val="00E61C79"/>
    <w:rsid w:val="00E61CB4"/>
    <w:rsid w:val="00E6254E"/>
    <w:rsid w:val="00E62868"/>
    <w:rsid w:val="00E62927"/>
    <w:rsid w:val="00E635E4"/>
    <w:rsid w:val="00E63DD3"/>
    <w:rsid w:val="00E64D26"/>
    <w:rsid w:val="00E653CC"/>
    <w:rsid w:val="00E657A4"/>
    <w:rsid w:val="00E65B0F"/>
    <w:rsid w:val="00E65D93"/>
    <w:rsid w:val="00E66112"/>
    <w:rsid w:val="00E663BC"/>
    <w:rsid w:val="00E66A69"/>
    <w:rsid w:val="00E67285"/>
    <w:rsid w:val="00E67751"/>
    <w:rsid w:val="00E704D7"/>
    <w:rsid w:val="00E709A4"/>
    <w:rsid w:val="00E70D08"/>
    <w:rsid w:val="00E70F2E"/>
    <w:rsid w:val="00E712BC"/>
    <w:rsid w:val="00E71937"/>
    <w:rsid w:val="00E71E09"/>
    <w:rsid w:val="00E72562"/>
    <w:rsid w:val="00E72775"/>
    <w:rsid w:val="00E72830"/>
    <w:rsid w:val="00E7304D"/>
    <w:rsid w:val="00E734AE"/>
    <w:rsid w:val="00E736DB"/>
    <w:rsid w:val="00E7415D"/>
    <w:rsid w:val="00E747C0"/>
    <w:rsid w:val="00E74C01"/>
    <w:rsid w:val="00E75116"/>
    <w:rsid w:val="00E75561"/>
    <w:rsid w:val="00E75651"/>
    <w:rsid w:val="00E75879"/>
    <w:rsid w:val="00E75F11"/>
    <w:rsid w:val="00E76080"/>
    <w:rsid w:val="00E769D9"/>
    <w:rsid w:val="00E76A59"/>
    <w:rsid w:val="00E76DFB"/>
    <w:rsid w:val="00E76F3E"/>
    <w:rsid w:val="00E77278"/>
    <w:rsid w:val="00E778BC"/>
    <w:rsid w:val="00E77954"/>
    <w:rsid w:val="00E77BFC"/>
    <w:rsid w:val="00E80F33"/>
    <w:rsid w:val="00E814DD"/>
    <w:rsid w:val="00E822AD"/>
    <w:rsid w:val="00E82AC5"/>
    <w:rsid w:val="00E83275"/>
    <w:rsid w:val="00E83410"/>
    <w:rsid w:val="00E83544"/>
    <w:rsid w:val="00E8382A"/>
    <w:rsid w:val="00E83A24"/>
    <w:rsid w:val="00E83C05"/>
    <w:rsid w:val="00E83C72"/>
    <w:rsid w:val="00E83EF6"/>
    <w:rsid w:val="00E8407D"/>
    <w:rsid w:val="00E846F8"/>
    <w:rsid w:val="00E849E9"/>
    <w:rsid w:val="00E84BC1"/>
    <w:rsid w:val="00E85003"/>
    <w:rsid w:val="00E852E4"/>
    <w:rsid w:val="00E85D66"/>
    <w:rsid w:val="00E8634D"/>
    <w:rsid w:val="00E8689E"/>
    <w:rsid w:val="00E86927"/>
    <w:rsid w:val="00E87E19"/>
    <w:rsid w:val="00E902FD"/>
    <w:rsid w:val="00E90CC2"/>
    <w:rsid w:val="00E90D01"/>
    <w:rsid w:val="00E90DD5"/>
    <w:rsid w:val="00E90EB0"/>
    <w:rsid w:val="00E91281"/>
    <w:rsid w:val="00E912ED"/>
    <w:rsid w:val="00E920A2"/>
    <w:rsid w:val="00E925C6"/>
    <w:rsid w:val="00E92C18"/>
    <w:rsid w:val="00E92CBE"/>
    <w:rsid w:val="00E9345C"/>
    <w:rsid w:val="00E938EA"/>
    <w:rsid w:val="00E93E38"/>
    <w:rsid w:val="00E942F5"/>
    <w:rsid w:val="00E94527"/>
    <w:rsid w:val="00E9561F"/>
    <w:rsid w:val="00E95D69"/>
    <w:rsid w:val="00E95EEA"/>
    <w:rsid w:val="00E95EF4"/>
    <w:rsid w:val="00E96026"/>
    <w:rsid w:val="00E9603D"/>
    <w:rsid w:val="00E96114"/>
    <w:rsid w:val="00E968C3"/>
    <w:rsid w:val="00E96E38"/>
    <w:rsid w:val="00E97A0F"/>
    <w:rsid w:val="00EA0048"/>
    <w:rsid w:val="00EA145A"/>
    <w:rsid w:val="00EA1947"/>
    <w:rsid w:val="00EA2155"/>
    <w:rsid w:val="00EA233C"/>
    <w:rsid w:val="00EA2449"/>
    <w:rsid w:val="00EA249E"/>
    <w:rsid w:val="00EA2A04"/>
    <w:rsid w:val="00EA2E18"/>
    <w:rsid w:val="00EA30A3"/>
    <w:rsid w:val="00EA35DB"/>
    <w:rsid w:val="00EA3C2E"/>
    <w:rsid w:val="00EA3FEE"/>
    <w:rsid w:val="00EA4169"/>
    <w:rsid w:val="00EA4211"/>
    <w:rsid w:val="00EA4868"/>
    <w:rsid w:val="00EA4871"/>
    <w:rsid w:val="00EA59A8"/>
    <w:rsid w:val="00EA6308"/>
    <w:rsid w:val="00EA693D"/>
    <w:rsid w:val="00EA7188"/>
    <w:rsid w:val="00EA7197"/>
    <w:rsid w:val="00EA7FC2"/>
    <w:rsid w:val="00EB01DB"/>
    <w:rsid w:val="00EB01E6"/>
    <w:rsid w:val="00EB0233"/>
    <w:rsid w:val="00EB0A5B"/>
    <w:rsid w:val="00EB0EE9"/>
    <w:rsid w:val="00EB11C6"/>
    <w:rsid w:val="00EB1562"/>
    <w:rsid w:val="00EB177D"/>
    <w:rsid w:val="00EB2028"/>
    <w:rsid w:val="00EB261A"/>
    <w:rsid w:val="00EB26B9"/>
    <w:rsid w:val="00EB29B8"/>
    <w:rsid w:val="00EB2BAF"/>
    <w:rsid w:val="00EB2E1E"/>
    <w:rsid w:val="00EB307C"/>
    <w:rsid w:val="00EB3152"/>
    <w:rsid w:val="00EB3679"/>
    <w:rsid w:val="00EB3D3F"/>
    <w:rsid w:val="00EB41C0"/>
    <w:rsid w:val="00EB43EF"/>
    <w:rsid w:val="00EB478C"/>
    <w:rsid w:val="00EB55D3"/>
    <w:rsid w:val="00EB6068"/>
    <w:rsid w:val="00EB60D3"/>
    <w:rsid w:val="00EB616D"/>
    <w:rsid w:val="00EB64CF"/>
    <w:rsid w:val="00EB65C6"/>
    <w:rsid w:val="00EB6B0E"/>
    <w:rsid w:val="00EB70BA"/>
    <w:rsid w:val="00EB75D8"/>
    <w:rsid w:val="00EB7614"/>
    <w:rsid w:val="00EB7952"/>
    <w:rsid w:val="00EB7C41"/>
    <w:rsid w:val="00EB7DC5"/>
    <w:rsid w:val="00EC0068"/>
    <w:rsid w:val="00EC0137"/>
    <w:rsid w:val="00EC013C"/>
    <w:rsid w:val="00EC0229"/>
    <w:rsid w:val="00EC0FBE"/>
    <w:rsid w:val="00EC12F8"/>
    <w:rsid w:val="00EC1504"/>
    <w:rsid w:val="00EC1A46"/>
    <w:rsid w:val="00EC1BA4"/>
    <w:rsid w:val="00EC244F"/>
    <w:rsid w:val="00EC2B12"/>
    <w:rsid w:val="00EC2EF4"/>
    <w:rsid w:val="00EC30C0"/>
    <w:rsid w:val="00EC30F9"/>
    <w:rsid w:val="00EC3D34"/>
    <w:rsid w:val="00EC3F6F"/>
    <w:rsid w:val="00EC40F0"/>
    <w:rsid w:val="00EC49A1"/>
    <w:rsid w:val="00EC4C5E"/>
    <w:rsid w:val="00EC63F2"/>
    <w:rsid w:val="00EC6751"/>
    <w:rsid w:val="00EC6A17"/>
    <w:rsid w:val="00EC6D0C"/>
    <w:rsid w:val="00EC722D"/>
    <w:rsid w:val="00EC7819"/>
    <w:rsid w:val="00EC7F21"/>
    <w:rsid w:val="00ED0611"/>
    <w:rsid w:val="00ED0A7B"/>
    <w:rsid w:val="00ED1283"/>
    <w:rsid w:val="00ED1454"/>
    <w:rsid w:val="00ED1C6B"/>
    <w:rsid w:val="00ED2827"/>
    <w:rsid w:val="00ED2D90"/>
    <w:rsid w:val="00ED3A8A"/>
    <w:rsid w:val="00ED3B3F"/>
    <w:rsid w:val="00ED3DD9"/>
    <w:rsid w:val="00ED43B3"/>
    <w:rsid w:val="00ED46EC"/>
    <w:rsid w:val="00ED4989"/>
    <w:rsid w:val="00ED53DE"/>
    <w:rsid w:val="00ED6BAE"/>
    <w:rsid w:val="00ED6C62"/>
    <w:rsid w:val="00ED7281"/>
    <w:rsid w:val="00ED7424"/>
    <w:rsid w:val="00ED7AD6"/>
    <w:rsid w:val="00ED7D84"/>
    <w:rsid w:val="00ED7FD9"/>
    <w:rsid w:val="00EE0410"/>
    <w:rsid w:val="00EE123E"/>
    <w:rsid w:val="00EE1323"/>
    <w:rsid w:val="00EE1E1E"/>
    <w:rsid w:val="00EE1FCE"/>
    <w:rsid w:val="00EE2230"/>
    <w:rsid w:val="00EE22D3"/>
    <w:rsid w:val="00EE2D16"/>
    <w:rsid w:val="00EE2FCC"/>
    <w:rsid w:val="00EE31B5"/>
    <w:rsid w:val="00EE357E"/>
    <w:rsid w:val="00EE37B5"/>
    <w:rsid w:val="00EE40E9"/>
    <w:rsid w:val="00EE46AE"/>
    <w:rsid w:val="00EE4860"/>
    <w:rsid w:val="00EE49FD"/>
    <w:rsid w:val="00EE4BFC"/>
    <w:rsid w:val="00EE514A"/>
    <w:rsid w:val="00EE53D8"/>
    <w:rsid w:val="00EE5787"/>
    <w:rsid w:val="00EE5B16"/>
    <w:rsid w:val="00EE5C28"/>
    <w:rsid w:val="00EE5E71"/>
    <w:rsid w:val="00EE637D"/>
    <w:rsid w:val="00EE6CE4"/>
    <w:rsid w:val="00EE719D"/>
    <w:rsid w:val="00EE7CC9"/>
    <w:rsid w:val="00EF0004"/>
    <w:rsid w:val="00EF08C5"/>
    <w:rsid w:val="00EF0C2D"/>
    <w:rsid w:val="00EF10EC"/>
    <w:rsid w:val="00EF1F2D"/>
    <w:rsid w:val="00EF2052"/>
    <w:rsid w:val="00EF251E"/>
    <w:rsid w:val="00EF331C"/>
    <w:rsid w:val="00EF3441"/>
    <w:rsid w:val="00EF34B0"/>
    <w:rsid w:val="00EF35C7"/>
    <w:rsid w:val="00EF3B5B"/>
    <w:rsid w:val="00EF47AD"/>
    <w:rsid w:val="00EF5144"/>
    <w:rsid w:val="00EF52B0"/>
    <w:rsid w:val="00EF5D4C"/>
    <w:rsid w:val="00EF6180"/>
    <w:rsid w:val="00EF69CD"/>
    <w:rsid w:val="00EF712E"/>
    <w:rsid w:val="00EF769C"/>
    <w:rsid w:val="00EF7776"/>
    <w:rsid w:val="00EF7ADE"/>
    <w:rsid w:val="00EF7DC6"/>
    <w:rsid w:val="00F00ADE"/>
    <w:rsid w:val="00F00E04"/>
    <w:rsid w:val="00F011B4"/>
    <w:rsid w:val="00F019FF"/>
    <w:rsid w:val="00F01C4C"/>
    <w:rsid w:val="00F01F04"/>
    <w:rsid w:val="00F01F96"/>
    <w:rsid w:val="00F021BD"/>
    <w:rsid w:val="00F022B1"/>
    <w:rsid w:val="00F0271E"/>
    <w:rsid w:val="00F02F81"/>
    <w:rsid w:val="00F0357E"/>
    <w:rsid w:val="00F03622"/>
    <w:rsid w:val="00F044B0"/>
    <w:rsid w:val="00F04AA0"/>
    <w:rsid w:val="00F050BC"/>
    <w:rsid w:val="00F057B8"/>
    <w:rsid w:val="00F05F68"/>
    <w:rsid w:val="00F064C1"/>
    <w:rsid w:val="00F064CA"/>
    <w:rsid w:val="00F06B59"/>
    <w:rsid w:val="00F074B2"/>
    <w:rsid w:val="00F07C78"/>
    <w:rsid w:val="00F07F8A"/>
    <w:rsid w:val="00F101C1"/>
    <w:rsid w:val="00F106BE"/>
    <w:rsid w:val="00F109B7"/>
    <w:rsid w:val="00F10B56"/>
    <w:rsid w:val="00F12039"/>
    <w:rsid w:val="00F12231"/>
    <w:rsid w:val="00F12ADC"/>
    <w:rsid w:val="00F12DB6"/>
    <w:rsid w:val="00F140D5"/>
    <w:rsid w:val="00F14516"/>
    <w:rsid w:val="00F150E0"/>
    <w:rsid w:val="00F15793"/>
    <w:rsid w:val="00F15D9A"/>
    <w:rsid w:val="00F15DAC"/>
    <w:rsid w:val="00F163A3"/>
    <w:rsid w:val="00F17A3C"/>
    <w:rsid w:val="00F17D04"/>
    <w:rsid w:val="00F20C8E"/>
    <w:rsid w:val="00F21147"/>
    <w:rsid w:val="00F21413"/>
    <w:rsid w:val="00F216F6"/>
    <w:rsid w:val="00F21F94"/>
    <w:rsid w:val="00F21FF9"/>
    <w:rsid w:val="00F22174"/>
    <w:rsid w:val="00F22429"/>
    <w:rsid w:val="00F2276B"/>
    <w:rsid w:val="00F230F3"/>
    <w:rsid w:val="00F23624"/>
    <w:rsid w:val="00F23921"/>
    <w:rsid w:val="00F239D3"/>
    <w:rsid w:val="00F23AE2"/>
    <w:rsid w:val="00F2438C"/>
    <w:rsid w:val="00F25063"/>
    <w:rsid w:val="00F251A6"/>
    <w:rsid w:val="00F25FA9"/>
    <w:rsid w:val="00F26129"/>
    <w:rsid w:val="00F26575"/>
    <w:rsid w:val="00F266FD"/>
    <w:rsid w:val="00F26DC8"/>
    <w:rsid w:val="00F271F4"/>
    <w:rsid w:val="00F27389"/>
    <w:rsid w:val="00F311F8"/>
    <w:rsid w:val="00F31230"/>
    <w:rsid w:val="00F31453"/>
    <w:rsid w:val="00F31534"/>
    <w:rsid w:val="00F3159B"/>
    <w:rsid w:val="00F3196E"/>
    <w:rsid w:val="00F31C0E"/>
    <w:rsid w:val="00F3235B"/>
    <w:rsid w:val="00F3237E"/>
    <w:rsid w:val="00F32694"/>
    <w:rsid w:val="00F326EB"/>
    <w:rsid w:val="00F3281A"/>
    <w:rsid w:val="00F3299C"/>
    <w:rsid w:val="00F334EA"/>
    <w:rsid w:val="00F33DEC"/>
    <w:rsid w:val="00F33E0E"/>
    <w:rsid w:val="00F3446F"/>
    <w:rsid w:val="00F3469B"/>
    <w:rsid w:val="00F34746"/>
    <w:rsid w:val="00F34B11"/>
    <w:rsid w:val="00F34CAB"/>
    <w:rsid w:val="00F34FD4"/>
    <w:rsid w:val="00F35394"/>
    <w:rsid w:val="00F35B28"/>
    <w:rsid w:val="00F35B47"/>
    <w:rsid w:val="00F35CB7"/>
    <w:rsid w:val="00F35D94"/>
    <w:rsid w:val="00F35F8F"/>
    <w:rsid w:val="00F36175"/>
    <w:rsid w:val="00F36566"/>
    <w:rsid w:val="00F36E79"/>
    <w:rsid w:val="00F373C1"/>
    <w:rsid w:val="00F37A6D"/>
    <w:rsid w:val="00F37C5A"/>
    <w:rsid w:val="00F4056F"/>
    <w:rsid w:val="00F40F95"/>
    <w:rsid w:val="00F415D6"/>
    <w:rsid w:val="00F41CDF"/>
    <w:rsid w:val="00F4215A"/>
    <w:rsid w:val="00F42A10"/>
    <w:rsid w:val="00F43198"/>
    <w:rsid w:val="00F431AF"/>
    <w:rsid w:val="00F43C0B"/>
    <w:rsid w:val="00F44A79"/>
    <w:rsid w:val="00F44C5D"/>
    <w:rsid w:val="00F44D51"/>
    <w:rsid w:val="00F44F3B"/>
    <w:rsid w:val="00F458BD"/>
    <w:rsid w:val="00F45FF6"/>
    <w:rsid w:val="00F46147"/>
    <w:rsid w:val="00F4640B"/>
    <w:rsid w:val="00F4744E"/>
    <w:rsid w:val="00F47A5F"/>
    <w:rsid w:val="00F50168"/>
    <w:rsid w:val="00F50644"/>
    <w:rsid w:val="00F50BD2"/>
    <w:rsid w:val="00F50EE4"/>
    <w:rsid w:val="00F5165B"/>
    <w:rsid w:val="00F518FB"/>
    <w:rsid w:val="00F51D62"/>
    <w:rsid w:val="00F5204A"/>
    <w:rsid w:val="00F52533"/>
    <w:rsid w:val="00F52838"/>
    <w:rsid w:val="00F528B4"/>
    <w:rsid w:val="00F529BF"/>
    <w:rsid w:val="00F52CF5"/>
    <w:rsid w:val="00F52D85"/>
    <w:rsid w:val="00F536E7"/>
    <w:rsid w:val="00F546A0"/>
    <w:rsid w:val="00F55131"/>
    <w:rsid w:val="00F55C91"/>
    <w:rsid w:val="00F55EB3"/>
    <w:rsid w:val="00F560AE"/>
    <w:rsid w:val="00F566F0"/>
    <w:rsid w:val="00F56841"/>
    <w:rsid w:val="00F573AC"/>
    <w:rsid w:val="00F57869"/>
    <w:rsid w:val="00F57A94"/>
    <w:rsid w:val="00F604C3"/>
    <w:rsid w:val="00F60B4E"/>
    <w:rsid w:val="00F60CDE"/>
    <w:rsid w:val="00F618A6"/>
    <w:rsid w:val="00F619E6"/>
    <w:rsid w:val="00F62129"/>
    <w:rsid w:val="00F631DC"/>
    <w:rsid w:val="00F639FD"/>
    <w:rsid w:val="00F6424E"/>
    <w:rsid w:val="00F645B9"/>
    <w:rsid w:val="00F646A5"/>
    <w:rsid w:val="00F64D9E"/>
    <w:rsid w:val="00F65368"/>
    <w:rsid w:val="00F665D8"/>
    <w:rsid w:val="00F666A2"/>
    <w:rsid w:val="00F66858"/>
    <w:rsid w:val="00F66F26"/>
    <w:rsid w:val="00F6711E"/>
    <w:rsid w:val="00F673C5"/>
    <w:rsid w:val="00F67B37"/>
    <w:rsid w:val="00F67EE8"/>
    <w:rsid w:val="00F702E2"/>
    <w:rsid w:val="00F708EC"/>
    <w:rsid w:val="00F70CAC"/>
    <w:rsid w:val="00F715DA"/>
    <w:rsid w:val="00F71F77"/>
    <w:rsid w:val="00F7248E"/>
    <w:rsid w:val="00F72CB5"/>
    <w:rsid w:val="00F73504"/>
    <w:rsid w:val="00F7359F"/>
    <w:rsid w:val="00F738A5"/>
    <w:rsid w:val="00F739FF"/>
    <w:rsid w:val="00F73ECF"/>
    <w:rsid w:val="00F74088"/>
    <w:rsid w:val="00F74116"/>
    <w:rsid w:val="00F74869"/>
    <w:rsid w:val="00F74906"/>
    <w:rsid w:val="00F74E8E"/>
    <w:rsid w:val="00F75472"/>
    <w:rsid w:val="00F75DDF"/>
    <w:rsid w:val="00F75FB8"/>
    <w:rsid w:val="00F76012"/>
    <w:rsid w:val="00F77558"/>
    <w:rsid w:val="00F800F8"/>
    <w:rsid w:val="00F8025B"/>
    <w:rsid w:val="00F80A7F"/>
    <w:rsid w:val="00F80C1D"/>
    <w:rsid w:val="00F81450"/>
    <w:rsid w:val="00F81A58"/>
    <w:rsid w:val="00F82217"/>
    <w:rsid w:val="00F8223C"/>
    <w:rsid w:val="00F8231B"/>
    <w:rsid w:val="00F82B3A"/>
    <w:rsid w:val="00F83A67"/>
    <w:rsid w:val="00F841DE"/>
    <w:rsid w:val="00F84385"/>
    <w:rsid w:val="00F844D0"/>
    <w:rsid w:val="00F84725"/>
    <w:rsid w:val="00F84C8B"/>
    <w:rsid w:val="00F8521F"/>
    <w:rsid w:val="00F858AB"/>
    <w:rsid w:val="00F85926"/>
    <w:rsid w:val="00F861CD"/>
    <w:rsid w:val="00F877EA"/>
    <w:rsid w:val="00F87AEE"/>
    <w:rsid w:val="00F9004E"/>
    <w:rsid w:val="00F90EF5"/>
    <w:rsid w:val="00F90F65"/>
    <w:rsid w:val="00F91321"/>
    <w:rsid w:val="00F91D9C"/>
    <w:rsid w:val="00F92FC6"/>
    <w:rsid w:val="00F933E6"/>
    <w:rsid w:val="00F937E5"/>
    <w:rsid w:val="00F9392F"/>
    <w:rsid w:val="00F93B6E"/>
    <w:rsid w:val="00F93BA6"/>
    <w:rsid w:val="00F94182"/>
    <w:rsid w:val="00F9477A"/>
    <w:rsid w:val="00F94F69"/>
    <w:rsid w:val="00F957E3"/>
    <w:rsid w:val="00F960F3"/>
    <w:rsid w:val="00F96591"/>
    <w:rsid w:val="00F96EE2"/>
    <w:rsid w:val="00F97368"/>
    <w:rsid w:val="00F97F05"/>
    <w:rsid w:val="00FA0310"/>
    <w:rsid w:val="00FA09D5"/>
    <w:rsid w:val="00FA19F7"/>
    <w:rsid w:val="00FA1AD9"/>
    <w:rsid w:val="00FA1E39"/>
    <w:rsid w:val="00FA1F30"/>
    <w:rsid w:val="00FA26AC"/>
    <w:rsid w:val="00FA2AD6"/>
    <w:rsid w:val="00FA3214"/>
    <w:rsid w:val="00FA325A"/>
    <w:rsid w:val="00FA4E6E"/>
    <w:rsid w:val="00FA4EBE"/>
    <w:rsid w:val="00FA6474"/>
    <w:rsid w:val="00FA6A08"/>
    <w:rsid w:val="00FA72FD"/>
    <w:rsid w:val="00FA7446"/>
    <w:rsid w:val="00FA7604"/>
    <w:rsid w:val="00FA79C3"/>
    <w:rsid w:val="00FA7B9B"/>
    <w:rsid w:val="00FB0FA1"/>
    <w:rsid w:val="00FB1A92"/>
    <w:rsid w:val="00FB1C73"/>
    <w:rsid w:val="00FB2522"/>
    <w:rsid w:val="00FB3266"/>
    <w:rsid w:val="00FB34B2"/>
    <w:rsid w:val="00FB3E99"/>
    <w:rsid w:val="00FB49C0"/>
    <w:rsid w:val="00FB4B28"/>
    <w:rsid w:val="00FB4BAB"/>
    <w:rsid w:val="00FB50E9"/>
    <w:rsid w:val="00FB5199"/>
    <w:rsid w:val="00FB55B7"/>
    <w:rsid w:val="00FB56A8"/>
    <w:rsid w:val="00FB574B"/>
    <w:rsid w:val="00FB5A28"/>
    <w:rsid w:val="00FB5F23"/>
    <w:rsid w:val="00FB76C4"/>
    <w:rsid w:val="00FB7EE5"/>
    <w:rsid w:val="00FB7F10"/>
    <w:rsid w:val="00FC01B0"/>
    <w:rsid w:val="00FC0209"/>
    <w:rsid w:val="00FC08C5"/>
    <w:rsid w:val="00FC0A69"/>
    <w:rsid w:val="00FC0AF6"/>
    <w:rsid w:val="00FC12D1"/>
    <w:rsid w:val="00FC31A9"/>
    <w:rsid w:val="00FC457F"/>
    <w:rsid w:val="00FC53C9"/>
    <w:rsid w:val="00FC5A17"/>
    <w:rsid w:val="00FC6AF6"/>
    <w:rsid w:val="00FC6C85"/>
    <w:rsid w:val="00FC6F2D"/>
    <w:rsid w:val="00FC74E2"/>
    <w:rsid w:val="00FD0036"/>
    <w:rsid w:val="00FD02A8"/>
    <w:rsid w:val="00FD0340"/>
    <w:rsid w:val="00FD03A3"/>
    <w:rsid w:val="00FD04CA"/>
    <w:rsid w:val="00FD07B0"/>
    <w:rsid w:val="00FD08CD"/>
    <w:rsid w:val="00FD1426"/>
    <w:rsid w:val="00FD1AE5"/>
    <w:rsid w:val="00FD1EC8"/>
    <w:rsid w:val="00FD247B"/>
    <w:rsid w:val="00FD2710"/>
    <w:rsid w:val="00FD2E98"/>
    <w:rsid w:val="00FD4187"/>
    <w:rsid w:val="00FD4D10"/>
    <w:rsid w:val="00FD52D9"/>
    <w:rsid w:val="00FD58D4"/>
    <w:rsid w:val="00FD658C"/>
    <w:rsid w:val="00FD658F"/>
    <w:rsid w:val="00FD73C7"/>
    <w:rsid w:val="00FD7D3B"/>
    <w:rsid w:val="00FE04D7"/>
    <w:rsid w:val="00FE0800"/>
    <w:rsid w:val="00FE1689"/>
    <w:rsid w:val="00FE1702"/>
    <w:rsid w:val="00FE195F"/>
    <w:rsid w:val="00FE1A9F"/>
    <w:rsid w:val="00FE215E"/>
    <w:rsid w:val="00FE25AB"/>
    <w:rsid w:val="00FE2C9F"/>
    <w:rsid w:val="00FE2CF7"/>
    <w:rsid w:val="00FE3795"/>
    <w:rsid w:val="00FE40DA"/>
    <w:rsid w:val="00FE4262"/>
    <w:rsid w:val="00FE4583"/>
    <w:rsid w:val="00FE4AB9"/>
    <w:rsid w:val="00FE4B7B"/>
    <w:rsid w:val="00FE5F94"/>
    <w:rsid w:val="00FE6375"/>
    <w:rsid w:val="00FE687B"/>
    <w:rsid w:val="00FE6AF5"/>
    <w:rsid w:val="00FE6C74"/>
    <w:rsid w:val="00FE7AA7"/>
    <w:rsid w:val="00FF00BB"/>
    <w:rsid w:val="00FF15D3"/>
    <w:rsid w:val="00FF190A"/>
    <w:rsid w:val="00FF1B10"/>
    <w:rsid w:val="00FF1C68"/>
    <w:rsid w:val="00FF1FC1"/>
    <w:rsid w:val="00FF25EB"/>
    <w:rsid w:val="00FF286A"/>
    <w:rsid w:val="00FF2989"/>
    <w:rsid w:val="00FF2EA2"/>
    <w:rsid w:val="00FF30FB"/>
    <w:rsid w:val="00FF34E4"/>
    <w:rsid w:val="00FF359F"/>
    <w:rsid w:val="00FF3936"/>
    <w:rsid w:val="00FF39C3"/>
    <w:rsid w:val="00FF3A9B"/>
    <w:rsid w:val="00FF3E8B"/>
    <w:rsid w:val="00FF4717"/>
    <w:rsid w:val="00FF4B07"/>
    <w:rsid w:val="00FF4B8D"/>
    <w:rsid w:val="00FF4DE4"/>
    <w:rsid w:val="00FF51AE"/>
    <w:rsid w:val="00FF555D"/>
    <w:rsid w:val="00FF5E2F"/>
    <w:rsid w:val="00FF672D"/>
    <w:rsid w:val="00FF6745"/>
    <w:rsid w:val="00FF6F11"/>
    <w:rsid w:val="00FF7719"/>
  </w:rsids>
  <m:mathPr>
    <m:mathFont m:val="Cambria Math"/>
    <m:brkBin m:val="before"/>
    <m:brkBinSub m:val="--"/>
    <m:smallFrac m:val="off"/>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shapeDefaults>
    <o:shapedefaults v:ext="edit" spidmax="317442"/>
    <o:shapelayout v:ext="edit">
      <o:idmap v:ext="edit" data="1"/>
      <o:rules v:ext="edit">
        <o:r id="V:Rule5" type="arc" idref="#_x0000_s1546"/>
        <o:r id="V:Rule6" type="arc" idref="#_x0000_s1545"/>
        <o:r id="V:Rule29" type="arc" idref="#_x0000_s1572"/>
        <o:r id="V:Rule34" type="arc" idref="#_x0000_s1573"/>
        <o:r id="V:Rule153" type="connector" idref="#_x0000_s1340"/>
        <o:r id="V:Rule154" type="connector" idref="#_x0000_s1420"/>
        <o:r id="V:Rule155" type="connector" idref="#_x0000_s1526"/>
        <o:r id="V:Rule156" type="connector" idref="#_x0000_s1251"/>
        <o:r id="V:Rule157" type="connector" idref="#_x0000_s1419"/>
        <o:r id="V:Rule158" type="connector" idref="#_x0000_s1486"/>
        <o:r id="V:Rule159" type="connector" idref="#_x0000_s1544"/>
        <o:r id="V:Rule160" type="connector" idref="#_x0000_s1556"/>
        <o:r id="V:Rule161" type="connector" idref="#_x0000_s1238"/>
        <o:r id="V:Rule162" type="connector" idref="#_x0000_s1249"/>
        <o:r id="V:Rule163" type="connector" idref="#_x0000_s1554"/>
        <o:r id="V:Rule164" type="connector" idref="#_x0000_s1440"/>
        <o:r id="V:Rule165" type="connector" idref="#_x0000_s1550"/>
        <o:r id="V:Rule166" type="connector" idref="#_x0000_s1170"/>
        <o:r id="V:Rule167" type="connector" idref="#_x0000_s1476"/>
        <o:r id="V:Rule168" type="connector" idref="#_x0000_s1471"/>
        <o:r id="V:Rule169" type="connector" idref="#_x0000_s1265"/>
        <o:r id="V:Rule170" type="connector" idref="#_x0000_s1568"/>
        <o:r id="V:Rule171" type="connector" idref="#_x0000_s1358"/>
        <o:r id="V:Rule172" type="connector" idref="#_x0000_s1575"/>
        <o:r id="V:Rule173" type="connector" idref="#_x0000_s1583"/>
        <o:r id="V:Rule174" type="connector" idref="#_x0000_s1268"/>
        <o:r id="V:Rule175" type="connector" idref="#_x0000_s1555"/>
        <o:r id="V:Rule176" type="connector" idref="#_x0000_s1273"/>
        <o:r id="V:Rule177" type="connector" idref="#_x0000_s1373"/>
        <o:r id="V:Rule178" type="connector" idref="#_x0000_s1153"/>
        <o:r id="V:Rule179" type="connector" idref="#_x0000_s1368"/>
        <o:r id="V:Rule180" type="connector" idref="#_x0000_s1360"/>
        <o:r id="V:Rule181" type="connector" idref="#_x0000_s1270"/>
        <o:r id="V:Rule182" type="connector" idref="#_x0000_s1158"/>
        <o:r id="V:Rule183" type="connector" idref="#_x0000_s1253"/>
        <o:r id="V:Rule184" type="connector" idref="#_x0000_s1370"/>
        <o:r id="V:Rule185" type="connector" idref="#_x0000_s1586"/>
        <o:r id="V:Rule186" type="connector" idref="#_x0000_s1567"/>
        <o:r id="V:Rule187" type="connector" idref="#_x0000_s1269"/>
        <o:r id="V:Rule188" type="connector" idref="#_x0000_s1352"/>
        <o:r id="V:Rule189" type="connector" idref="#_x0000_s1252"/>
        <o:r id="V:Rule190" type="connector" idref="#_x0000_s1516"/>
        <o:r id="V:Rule191" type="connector" idref="#_x0000_s1250"/>
        <o:r id="V:Rule192" type="connector" idref="#_x0000_s1553"/>
        <o:r id="V:Rule193" type="connector" idref="#_x0000_s1541"/>
        <o:r id="V:Rule194" type="connector" idref="#_x0000_s1411"/>
        <o:r id="V:Rule195" type="connector" idref="#_x0000_s1271"/>
        <o:r id="V:Rule196" type="connector" idref="#_x0000_s1518"/>
        <o:r id="V:Rule197" type="connector" idref="#_x0000_s1547"/>
        <o:r id="V:Rule198" type="connector" idref="#_x0000_s1357"/>
        <o:r id="V:Rule199" type="connector" idref="#_x0000_s1563"/>
        <o:r id="V:Rule200" type="connector" idref="#_x0000_s1297"/>
        <o:r id="V:Rule201" type="connector" idref="#_x0000_s1525"/>
        <o:r id="V:Rule202" type="connector" idref="#_x0000_s1528"/>
        <o:r id="V:Rule203" type="connector" idref="#_x0000_s1513"/>
        <o:r id="V:Rule204" type="connector" idref="#_x0000_s1566"/>
        <o:r id="V:Rule205" type="connector" idref="#_x0000_s1300"/>
        <o:r id="V:Rule206" type="connector" idref="#_x0000_s1298"/>
        <o:r id="V:Rule207" type="connector" idref="#_x0000_s1348"/>
        <o:r id="V:Rule208" type="connector" idref="#_x0000_s1353"/>
        <o:r id="V:Rule209" type="connector" idref="#_x0000_s1267"/>
        <o:r id="V:Rule210" type="connector" idref="#_x0000_s1239"/>
        <o:r id="V:Rule211" type="connector" idref="#_x0000_s1350"/>
        <o:r id="V:Rule212" type="connector" idref="#_x0000_s1307"/>
        <o:r id="V:Rule213" type="connector" idref="#_x0000_s1565"/>
        <o:r id="V:Rule214" type="connector" idref="#_x0000_s1562"/>
        <o:r id="V:Rule215" type="connector" idref="#_x0000_s1477"/>
        <o:r id="V:Rule216" type="connector" idref="#_x0000_s1366"/>
        <o:r id="V:Rule217" type="connector" idref="#_x0000_s1247"/>
        <o:r id="V:Rule218" type="connector" idref="#_x0000_s1552"/>
        <o:r id="V:Rule219" type="connector" idref="#_x0000_s1417"/>
        <o:r id="V:Rule220" type="connector" idref="#_x0000_s1161"/>
        <o:r id="V:Rule221" type="connector" idref="#_x0000_s1527"/>
        <o:r id="V:Rule222" type="connector" idref="#_x0000_s1339"/>
        <o:r id="V:Rule223" type="connector" idref="#_x0000_s1584"/>
        <o:r id="V:Rule224" type="connector" idref="#_x0000_s1557"/>
        <o:r id="V:Rule225" type="connector" idref="#_x0000_s1570"/>
        <o:r id="V:Rule226" type="connector" idref="#_x0000_s1418"/>
        <o:r id="V:Rule227" type="connector" idref="#_x0000_s1421"/>
        <o:r id="V:Rule228" type="connector" idref="#_x0000_s1413"/>
        <o:r id="V:Rule229" type="connector" idref="#_x0000_s1237"/>
        <o:r id="V:Rule230" type="connector" idref="#_x0000_s1514"/>
        <o:r id="V:Rule231" type="connector" idref="#_x0000_s1171"/>
        <o:r id="V:Rule232" type="connector" idref="#_x0000_s1551"/>
        <o:r id="V:Rule233" type="connector" idref="#_x0000_s1559"/>
        <o:r id="V:Rule234" type="connector" idref="#_x0000_s1485"/>
        <o:r id="V:Rule235" type="connector" idref="#_x0000_s1254"/>
        <o:r id="V:Rule236" type="connector" idref="#_x0000_s1569"/>
        <o:r id="V:Rule237" type="connector" idref="#_x0000_s1469"/>
        <o:r id="V:Rule238" type="connector" idref="#_x0000_s1173"/>
        <o:r id="V:Rule239" type="connector" idref="#_x0000_s1305"/>
        <o:r id="V:Rule240" type="connector" idref="#_x0000_s1301"/>
        <o:r id="V:Rule241" type="connector" idref="#_x0000_s1255"/>
        <o:r id="V:Rule242" type="connector" idref="#_x0000_s1401"/>
        <o:r id="V:Rule243" type="connector" idref="#_x0000_s1548"/>
        <o:r id="V:Rule244" type="connector" idref="#_x0000_s1422"/>
        <o:r id="V:Rule245" type="connector" idref="#_x0000_s1549"/>
        <o:r id="V:Rule246" type="connector" idref="#_x0000_s1460"/>
        <o:r id="V:Rule247" type="connector" idref="#_x0000_s1558"/>
        <o:r id="V:Rule248" type="connector" idref="#_x0000_s1341"/>
        <o:r id="V:Rule249" type="connector" idref="#_x0000_s1587"/>
        <o:r id="V:Rule250" type="connector" idref="#_x0000_s1304"/>
        <o:r id="V:Rule251" type="connector" idref="#_x0000_s1480"/>
        <o:r id="V:Rule252" type="connector" idref="#_x0000_s1256"/>
        <o:r id="V:Rule253" type="connector" idref="#_x0000_s1372"/>
        <o:r id="V:Rule254" type="connector" idref="#_x0000_s1414"/>
        <o:r id="V:Rule255" type="connector" idref="#_x0000_s1371"/>
        <o:r id="V:Rule256" type="connector" idref="#_x0000_s1543"/>
        <o:r id="V:Rule257" type="connector" idref="#_x0000_s1240"/>
        <o:r id="V:Rule258" type="connector" idref="#_x0000_s1303"/>
        <o:r id="V:Rule259" type="connector" idref="#_x0000_s1245"/>
        <o:r id="V:Rule260" type="connector" idref="#_x0000_s1517"/>
        <o:r id="V:Rule261" type="connector" idref="#_x0000_s1585"/>
        <o:r id="V:Rule262" type="connector" idref="#_x0000_s1369"/>
        <o:r id="V:Rule263" type="connector" idref="#_x0000_s1157"/>
        <o:r id="V:Rule264" type="connector" idref="#_x0000_s1361"/>
        <o:r id="V:Rule265" type="connector" idref="#_x0000_s1346"/>
        <o:r id="V:Rule266" type="connector" idref="#_x0000_s1470"/>
        <o:r id="V:Rule267" type="connector" idref="#_x0000_s1564"/>
        <o:r id="V:Rule268" type="connector" idref="#_x0000_s1343"/>
        <o:r id="V:Rule269" type="connector" idref="#_x0000_s1248"/>
        <o:r id="V:Rule270" type="connector" idref="#_x0000_s1241"/>
        <o:r id="V:Rule271" type="connector" idref="#_x0000_s1354"/>
        <o:r id="V:Rule272" type="connector" idref="#_x0000_s1266"/>
        <o:r id="V:Rule273" type="connector" idref="#_x0000_s1560"/>
        <o:r id="V:Rule274" type="connector" idref="#_x0000_s1515"/>
        <o:r id="V:Rule275" type="connector" idref="#_x0000_s1356"/>
        <o:r id="V:Rule276" type="connector" idref="#_x0000_s1344"/>
        <o:r id="V:Rule277" type="connector" idref="#_x0000_s1461"/>
        <o:r id="V:Rule278" type="connector" idref="#_x0000_s1162"/>
        <o:r id="V:Rule279" type="connector" idref="#_x0000_s1349"/>
        <o:r id="V:Rule280" type="connector" idref="#_x0000_s1415"/>
        <o:r id="V:Rule281" type="connector" idref="#_x0000_s1468"/>
        <o:r id="V:Rule282" type="connector" idref="#_x0000_s1475"/>
        <o:r id="V:Rule283" type="connector" idref="#_x0000_s1272"/>
        <o:r id="V:Rule284" type="connector" idref="#_x0000_s1347"/>
        <o:r id="V:Rule285" type="connector" idref="#_x0000_s1561"/>
        <o:r id="V:Rule286" type="connector" idref="#_x0000_s1412"/>
        <o:r id="V:Rule287" type="connector" idref="#_x0000_s1355"/>
        <o:r id="V:Rule288" type="connector" idref="#_x0000_s1246"/>
        <o:r id="V:Rule289" type="connector" idref="#_x0000_s1351"/>
        <o:r id="V:Rule290" type="connector" idref="#_x0000_s1342"/>
        <o:r id="V:Rule291" type="connector" idref="#_x0000_s1306"/>
        <o:r id="V:Rule292" type="connector" idref="#_x0000_s1172"/>
        <o:r id="V:Rule293" type="connector" idref="#_x0000_s1154"/>
        <o:r id="V:Rule294" type="connector" idref="#_x0000_s1542"/>
        <o:r id="V:Rule295" type="connector" idref="#_x0000_s1574"/>
        <o:r id="V:Rule296" type="connector" idref="#_x0000_s1367"/>
        <o:r id="V:Rule297" type="connector" idref="#_x0000_s1439"/>
        <o:r id="V:Rule298" type="connector" idref="#_x0000_s1359"/>
        <o:r id="V:Rule299" type="connector" idref="#_x0000_s1302"/>
        <o:r id="V:Rule300" type="connector" idref="#_x0000_s157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sr-Latn-CS" w:eastAsia="sr-Latn-C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0FE0"/>
    <w:pPr>
      <w:spacing w:after="200" w:line="276" w:lineRule="auto"/>
    </w:pPr>
    <w:rPr>
      <w:sz w:val="22"/>
      <w:szCs w:val="22"/>
    </w:rPr>
  </w:style>
  <w:style w:type="paragraph" w:styleId="Heading1">
    <w:name w:val="heading 1"/>
    <w:basedOn w:val="Normal"/>
    <w:next w:val="Normal"/>
    <w:link w:val="Heading1Char"/>
    <w:uiPriority w:val="9"/>
    <w:qFormat/>
    <w:rsid w:val="00A0026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C020A"/>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3B1ED0"/>
    <w:pPr>
      <w:keepNext/>
      <w:spacing w:before="240" w:after="60"/>
      <w:outlineLvl w:val="2"/>
    </w:pPr>
    <w:rPr>
      <w:rFonts w:ascii="Cambria" w:hAnsi="Cambria"/>
      <w:b/>
      <w:bCs/>
      <w:sz w:val="26"/>
      <w:szCs w:val="26"/>
    </w:rPr>
  </w:style>
  <w:style w:type="paragraph" w:styleId="Heading4">
    <w:name w:val="heading 4"/>
    <w:basedOn w:val="Normal"/>
    <w:next w:val="Normal"/>
    <w:link w:val="Heading4Char"/>
    <w:unhideWhenUsed/>
    <w:qFormat/>
    <w:rsid w:val="00323F37"/>
    <w:pPr>
      <w:keepNext/>
      <w:keepLines/>
      <w:widowControl w:val="0"/>
      <w:suppressAutoHyphens/>
      <w:spacing w:before="200" w:after="0" w:line="240" w:lineRule="auto"/>
      <w:outlineLvl w:val="3"/>
    </w:pPr>
    <w:rPr>
      <w:rFonts w:ascii="Cambria" w:hAnsi="Cambria"/>
      <w:b/>
      <w:bCs/>
      <w:i/>
      <w:iCs/>
      <w:color w:val="4F81BD"/>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323F37"/>
    <w:rPr>
      <w:rFonts w:ascii="Cambria" w:eastAsia="Times New Roman" w:hAnsi="Cambria" w:cs="Times New Roman"/>
      <w:b/>
      <w:bCs/>
      <w:i/>
      <w:iCs/>
      <w:color w:val="4F81BD"/>
      <w:sz w:val="24"/>
      <w:szCs w:val="24"/>
      <w:lang w:val="en-US"/>
    </w:rPr>
  </w:style>
  <w:style w:type="character" w:styleId="Hyperlink">
    <w:name w:val="Hyperlink"/>
    <w:basedOn w:val="DefaultParagraphFont"/>
    <w:uiPriority w:val="99"/>
    <w:unhideWhenUsed/>
    <w:rsid w:val="00323F37"/>
    <w:rPr>
      <w:color w:val="0000FF"/>
      <w:u w:val="single"/>
    </w:rPr>
  </w:style>
  <w:style w:type="character" w:styleId="FollowedHyperlink">
    <w:name w:val="FollowedHyperlink"/>
    <w:basedOn w:val="DefaultParagraphFont"/>
    <w:uiPriority w:val="99"/>
    <w:semiHidden/>
    <w:unhideWhenUsed/>
    <w:rsid w:val="00323F37"/>
    <w:rPr>
      <w:color w:val="800080"/>
      <w:u w:val="single"/>
    </w:rPr>
  </w:style>
  <w:style w:type="paragraph" w:styleId="BodyText">
    <w:name w:val="Body Text"/>
    <w:basedOn w:val="Normal"/>
    <w:link w:val="BodyTextChar"/>
    <w:unhideWhenUsed/>
    <w:rsid w:val="00323F37"/>
    <w:pPr>
      <w:widowControl w:val="0"/>
      <w:suppressAutoHyphens/>
      <w:spacing w:after="120" w:line="240" w:lineRule="auto"/>
    </w:pPr>
    <w:rPr>
      <w:rFonts w:ascii="Times New Roman" w:eastAsia="Lucida Sans Unicode" w:hAnsi="Times New Roman"/>
      <w:sz w:val="24"/>
      <w:szCs w:val="24"/>
      <w:lang w:val="en-US"/>
    </w:rPr>
  </w:style>
  <w:style w:type="character" w:customStyle="1" w:styleId="BodyTextChar">
    <w:name w:val="Body Text Char"/>
    <w:basedOn w:val="DefaultParagraphFont"/>
    <w:link w:val="BodyText"/>
    <w:semiHidden/>
    <w:rsid w:val="00323F37"/>
    <w:rPr>
      <w:rFonts w:ascii="Times New Roman" w:eastAsia="Lucida Sans Unicode" w:hAnsi="Times New Roman" w:cs="Times New Roman"/>
      <w:sz w:val="24"/>
      <w:szCs w:val="24"/>
      <w:lang w:val="en-US"/>
    </w:rPr>
  </w:style>
  <w:style w:type="paragraph" w:styleId="HTMLPreformatted">
    <w:name w:val="HTML Preformatted"/>
    <w:basedOn w:val="Normal"/>
    <w:link w:val="HTMLPreformattedChar"/>
    <w:unhideWhenUsed/>
    <w:rsid w:val="00323F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rsid w:val="00323F37"/>
    <w:rPr>
      <w:rFonts w:ascii="Courier New" w:eastAsia="Times New Roman" w:hAnsi="Courier New" w:cs="Courier New"/>
      <w:sz w:val="20"/>
      <w:szCs w:val="20"/>
      <w:lang w:val="en-US" w:eastAsia="en-US"/>
    </w:rPr>
  </w:style>
  <w:style w:type="paragraph" w:styleId="NormalWeb">
    <w:name w:val="Normal (Web)"/>
    <w:basedOn w:val="Normal"/>
    <w:uiPriority w:val="99"/>
    <w:unhideWhenUsed/>
    <w:rsid w:val="00323F37"/>
    <w:pPr>
      <w:spacing w:before="100" w:beforeAutospacing="1" w:after="100" w:afterAutospacing="1" w:line="240" w:lineRule="auto"/>
    </w:pPr>
    <w:rPr>
      <w:rFonts w:ascii="Times New Roman" w:hAnsi="Times New Roman"/>
      <w:sz w:val="24"/>
      <w:szCs w:val="24"/>
      <w:lang w:val="en-US" w:eastAsia="en-US"/>
    </w:rPr>
  </w:style>
  <w:style w:type="paragraph" w:styleId="Caption">
    <w:name w:val="caption"/>
    <w:basedOn w:val="Normal"/>
    <w:unhideWhenUsed/>
    <w:qFormat/>
    <w:rsid w:val="00323F37"/>
    <w:pPr>
      <w:widowControl w:val="0"/>
      <w:suppressLineNumbers/>
      <w:suppressAutoHyphens/>
      <w:spacing w:before="120" w:after="120" w:line="240" w:lineRule="auto"/>
    </w:pPr>
    <w:rPr>
      <w:rFonts w:ascii="Times New Roman" w:eastAsia="Lucida Sans Unicode" w:hAnsi="Times New Roman" w:cs="Tahoma"/>
      <w:i/>
      <w:iCs/>
      <w:sz w:val="24"/>
      <w:szCs w:val="24"/>
      <w:lang w:val="en-US"/>
    </w:rPr>
  </w:style>
  <w:style w:type="paragraph" w:styleId="List">
    <w:name w:val="List"/>
    <w:basedOn w:val="BodyText"/>
    <w:unhideWhenUsed/>
    <w:rsid w:val="00323F37"/>
    <w:rPr>
      <w:rFonts w:cs="Tahoma"/>
    </w:rPr>
  </w:style>
  <w:style w:type="paragraph" w:customStyle="1" w:styleId="Heading">
    <w:name w:val="Heading"/>
    <w:basedOn w:val="Normal"/>
    <w:next w:val="BodyText"/>
    <w:rsid w:val="00323F37"/>
    <w:pPr>
      <w:keepNext/>
      <w:widowControl w:val="0"/>
      <w:suppressAutoHyphens/>
      <w:spacing w:before="240" w:after="120" w:line="240" w:lineRule="auto"/>
    </w:pPr>
    <w:rPr>
      <w:rFonts w:ascii="Arial" w:eastAsia="Lucida Sans Unicode" w:hAnsi="Arial" w:cs="Tahoma"/>
      <w:sz w:val="28"/>
      <w:szCs w:val="28"/>
      <w:lang w:val="en-US"/>
    </w:rPr>
  </w:style>
  <w:style w:type="paragraph" w:customStyle="1" w:styleId="Index">
    <w:name w:val="Index"/>
    <w:basedOn w:val="Normal"/>
    <w:rsid w:val="00323F37"/>
    <w:pPr>
      <w:widowControl w:val="0"/>
      <w:suppressLineNumbers/>
      <w:suppressAutoHyphens/>
      <w:spacing w:after="0" w:line="240" w:lineRule="auto"/>
    </w:pPr>
    <w:rPr>
      <w:rFonts w:ascii="Times New Roman" w:eastAsia="Lucida Sans Unicode" w:hAnsi="Times New Roman" w:cs="Tahoma"/>
      <w:sz w:val="24"/>
      <w:szCs w:val="24"/>
      <w:lang w:val="en-US"/>
    </w:rPr>
  </w:style>
  <w:style w:type="paragraph" w:customStyle="1" w:styleId="TableContents">
    <w:name w:val="Table Contents"/>
    <w:basedOn w:val="Normal"/>
    <w:rsid w:val="00323F37"/>
    <w:pPr>
      <w:widowControl w:val="0"/>
      <w:suppressLineNumbers/>
      <w:suppressAutoHyphens/>
      <w:spacing w:after="0" w:line="240" w:lineRule="auto"/>
    </w:pPr>
    <w:rPr>
      <w:rFonts w:ascii="Times New Roman" w:eastAsia="Lucida Sans Unicode" w:hAnsi="Times New Roman"/>
      <w:sz w:val="24"/>
      <w:szCs w:val="24"/>
      <w:lang w:val="en-US"/>
    </w:rPr>
  </w:style>
  <w:style w:type="paragraph" w:customStyle="1" w:styleId="TableHeading">
    <w:name w:val="Table Heading"/>
    <w:basedOn w:val="TableContents"/>
    <w:rsid w:val="00323F37"/>
    <w:pPr>
      <w:jc w:val="center"/>
    </w:pPr>
    <w:rPr>
      <w:b/>
      <w:bCs/>
    </w:rPr>
  </w:style>
  <w:style w:type="character" w:customStyle="1" w:styleId="Bullets">
    <w:name w:val="Bullets"/>
    <w:rsid w:val="00323F37"/>
    <w:rPr>
      <w:rFonts w:ascii="StarSymbol" w:eastAsia="StarSymbol" w:hAnsi="StarSymbol" w:cs="StarSymbol" w:hint="default"/>
      <w:sz w:val="18"/>
      <w:szCs w:val="18"/>
    </w:rPr>
  </w:style>
  <w:style w:type="paragraph" w:styleId="ListParagraph">
    <w:name w:val="List Paragraph"/>
    <w:basedOn w:val="Normal"/>
    <w:uiPriority w:val="34"/>
    <w:qFormat/>
    <w:rsid w:val="004E0592"/>
    <w:pPr>
      <w:ind w:left="720"/>
      <w:contextualSpacing/>
    </w:pPr>
  </w:style>
  <w:style w:type="paragraph" w:styleId="FootnoteText">
    <w:name w:val="footnote text"/>
    <w:basedOn w:val="Normal"/>
    <w:link w:val="FootnoteTextChar"/>
    <w:uiPriority w:val="99"/>
    <w:unhideWhenUsed/>
    <w:rsid w:val="00D36E9E"/>
    <w:pPr>
      <w:spacing w:after="0" w:line="240" w:lineRule="auto"/>
    </w:pPr>
    <w:rPr>
      <w:sz w:val="20"/>
      <w:szCs w:val="20"/>
    </w:rPr>
  </w:style>
  <w:style w:type="character" w:customStyle="1" w:styleId="FootnoteTextChar">
    <w:name w:val="Footnote Text Char"/>
    <w:basedOn w:val="DefaultParagraphFont"/>
    <w:link w:val="FootnoteText"/>
    <w:uiPriority w:val="99"/>
    <w:rsid w:val="00D36E9E"/>
    <w:rPr>
      <w:sz w:val="20"/>
      <w:szCs w:val="20"/>
    </w:rPr>
  </w:style>
  <w:style w:type="character" w:styleId="FootnoteReference">
    <w:name w:val="footnote reference"/>
    <w:basedOn w:val="DefaultParagraphFont"/>
    <w:uiPriority w:val="99"/>
    <w:semiHidden/>
    <w:unhideWhenUsed/>
    <w:rsid w:val="00D36E9E"/>
    <w:rPr>
      <w:vertAlign w:val="superscript"/>
    </w:rPr>
  </w:style>
  <w:style w:type="paragraph" w:styleId="BalloonText">
    <w:name w:val="Balloon Text"/>
    <w:basedOn w:val="Normal"/>
    <w:link w:val="BalloonTextChar"/>
    <w:uiPriority w:val="99"/>
    <w:semiHidden/>
    <w:unhideWhenUsed/>
    <w:rsid w:val="006633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335D"/>
    <w:rPr>
      <w:rFonts w:ascii="Tahoma" w:hAnsi="Tahoma" w:cs="Tahoma"/>
      <w:sz w:val="16"/>
      <w:szCs w:val="16"/>
    </w:rPr>
  </w:style>
  <w:style w:type="table" w:styleId="TableGrid">
    <w:name w:val="Table Grid"/>
    <w:basedOn w:val="TableNormal"/>
    <w:uiPriority w:val="59"/>
    <w:rsid w:val="00EE4BF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basedOn w:val="DefaultParagraphFont"/>
    <w:uiPriority w:val="22"/>
    <w:qFormat/>
    <w:rsid w:val="00243C5F"/>
    <w:rPr>
      <w:b/>
      <w:bCs/>
    </w:rPr>
  </w:style>
  <w:style w:type="character" w:styleId="Emphasis">
    <w:name w:val="Emphasis"/>
    <w:basedOn w:val="DefaultParagraphFont"/>
    <w:uiPriority w:val="20"/>
    <w:qFormat/>
    <w:rsid w:val="00243C5F"/>
    <w:rPr>
      <w:i/>
      <w:iCs/>
    </w:rPr>
  </w:style>
  <w:style w:type="paragraph" w:customStyle="1" w:styleId="glavnitekstmanji">
    <w:name w:val="glavnitekstmanji"/>
    <w:basedOn w:val="Normal"/>
    <w:rsid w:val="00243C5F"/>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DefaultParagraphFont"/>
    <w:rsid w:val="00243C5F"/>
  </w:style>
  <w:style w:type="paragraph" w:customStyle="1" w:styleId="wyq110---naslov-clana">
    <w:name w:val="wyq110---naslov-clana"/>
    <w:basedOn w:val="Normal"/>
    <w:rsid w:val="009F3D76"/>
    <w:pPr>
      <w:spacing w:before="100" w:beforeAutospacing="1" w:after="100" w:afterAutospacing="1" w:line="240" w:lineRule="auto"/>
    </w:pPr>
    <w:rPr>
      <w:rFonts w:ascii="Times New Roman" w:hAnsi="Times New Roman"/>
      <w:sz w:val="24"/>
      <w:szCs w:val="24"/>
    </w:rPr>
  </w:style>
  <w:style w:type="paragraph" w:customStyle="1" w:styleId="clan">
    <w:name w:val="clan"/>
    <w:basedOn w:val="Normal"/>
    <w:rsid w:val="009F3D76"/>
    <w:pPr>
      <w:spacing w:before="100" w:beforeAutospacing="1" w:after="100" w:afterAutospacing="1" w:line="240" w:lineRule="auto"/>
    </w:pPr>
    <w:rPr>
      <w:rFonts w:ascii="Times New Roman" w:hAnsi="Times New Roman"/>
      <w:sz w:val="24"/>
      <w:szCs w:val="24"/>
    </w:rPr>
  </w:style>
  <w:style w:type="paragraph" w:customStyle="1" w:styleId="normal0">
    <w:name w:val="normal"/>
    <w:basedOn w:val="Normal"/>
    <w:rsid w:val="009F3D76"/>
    <w:pPr>
      <w:spacing w:before="100" w:beforeAutospacing="1" w:after="100" w:afterAutospacing="1" w:line="240" w:lineRule="auto"/>
    </w:pPr>
    <w:rPr>
      <w:rFonts w:ascii="Times New Roman" w:hAnsi="Times New Roman"/>
      <w:sz w:val="24"/>
      <w:szCs w:val="24"/>
    </w:rPr>
  </w:style>
  <w:style w:type="paragraph" w:customStyle="1" w:styleId="normaluvuceni">
    <w:name w:val="normal_uvuceni"/>
    <w:basedOn w:val="Normal"/>
    <w:rsid w:val="009F3D76"/>
    <w:pPr>
      <w:spacing w:before="100" w:beforeAutospacing="1" w:after="100" w:afterAutospacing="1" w:line="240" w:lineRule="auto"/>
    </w:pPr>
    <w:rPr>
      <w:rFonts w:ascii="Times New Roman" w:hAnsi="Times New Roman"/>
      <w:sz w:val="24"/>
      <w:szCs w:val="24"/>
    </w:rPr>
  </w:style>
  <w:style w:type="paragraph" w:styleId="Header">
    <w:name w:val="header"/>
    <w:basedOn w:val="Normal"/>
    <w:link w:val="HeaderChar"/>
    <w:uiPriority w:val="99"/>
    <w:semiHidden/>
    <w:unhideWhenUsed/>
    <w:rsid w:val="00C13799"/>
    <w:pPr>
      <w:tabs>
        <w:tab w:val="center" w:pos="4535"/>
        <w:tab w:val="right" w:pos="9071"/>
      </w:tabs>
    </w:pPr>
  </w:style>
  <w:style w:type="character" w:customStyle="1" w:styleId="HeaderChar">
    <w:name w:val="Header Char"/>
    <w:basedOn w:val="DefaultParagraphFont"/>
    <w:link w:val="Header"/>
    <w:uiPriority w:val="99"/>
    <w:semiHidden/>
    <w:rsid w:val="00C13799"/>
    <w:rPr>
      <w:sz w:val="22"/>
      <w:szCs w:val="22"/>
    </w:rPr>
  </w:style>
  <w:style w:type="paragraph" w:styleId="Footer">
    <w:name w:val="footer"/>
    <w:basedOn w:val="Normal"/>
    <w:link w:val="FooterChar"/>
    <w:uiPriority w:val="99"/>
    <w:unhideWhenUsed/>
    <w:rsid w:val="00C13799"/>
    <w:pPr>
      <w:tabs>
        <w:tab w:val="center" w:pos="4535"/>
        <w:tab w:val="right" w:pos="9071"/>
      </w:tabs>
    </w:pPr>
  </w:style>
  <w:style w:type="character" w:customStyle="1" w:styleId="FooterChar">
    <w:name w:val="Footer Char"/>
    <w:basedOn w:val="DefaultParagraphFont"/>
    <w:link w:val="Footer"/>
    <w:uiPriority w:val="99"/>
    <w:rsid w:val="00C13799"/>
    <w:rPr>
      <w:sz w:val="22"/>
      <w:szCs w:val="22"/>
    </w:rPr>
  </w:style>
  <w:style w:type="paragraph" w:customStyle="1" w:styleId="Default">
    <w:name w:val="Default"/>
    <w:rsid w:val="00BC431E"/>
    <w:pPr>
      <w:autoSpaceDE w:val="0"/>
      <w:autoSpaceDN w:val="0"/>
      <w:adjustRightInd w:val="0"/>
    </w:pPr>
    <w:rPr>
      <w:rFonts w:ascii="PalmSprings BT" w:hAnsi="PalmSprings BT" w:cs="PalmSprings BT"/>
      <w:color w:val="000000"/>
      <w:sz w:val="24"/>
      <w:szCs w:val="24"/>
    </w:rPr>
  </w:style>
  <w:style w:type="character" w:customStyle="1" w:styleId="Heading2Char">
    <w:name w:val="Heading 2 Char"/>
    <w:basedOn w:val="DefaultParagraphFont"/>
    <w:link w:val="Heading2"/>
    <w:uiPriority w:val="9"/>
    <w:rsid w:val="00CC020A"/>
    <w:rPr>
      <w:rFonts w:ascii="Cambria" w:eastAsia="Times New Roman" w:hAnsi="Cambria" w:cs="Times New Roman"/>
      <w:b/>
      <w:bCs/>
      <w:i/>
      <w:iCs/>
      <w:sz w:val="28"/>
      <w:szCs w:val="28"/>
    </w:rPr>
  </w:style>
  <w:style w:type="paragraph" w:customStyle="1" w:styleId="normaluvuceni3">
    <w:name w:val="normal_uvuceni3"/>
    <w:basedOn w:val="Normal"/>
    <w:rsid w:val="00EF7776"/>
    <w:pPr>
      <w:spacing w:before="100" w:beforeAutospacing="1" w:after="100" w:afterAutospacing="1" w:line="240" w:lineRule="auto"/>
    </w:pPr>
    <w:rPr>
      <w:rFonts w:ascii="Times New Roman" w:hAnsi="Times New Roman"/>
      <w:sz w:val="24"/>
      <w:szCs w:val="24"/>
    </w:rPr>
  </w:style>
  <w:style w:type="character" w:customStyle="1" w:styleId="a">
    <w:name w:val="a"/>
    <w:basedOn w:val="DefaultParagraphFont"/>
    <w:rsid w:val="00FF51AE"/>
  </w:style>
  <w:style w:type="paragraph" w:customStyle="1" w:styleId="samostalni1">
    <w:name w:val="samostalni1"/>
    <w:basedOn w:val="Normal"/>
    <w:rsid w:val="00073706"/>
    <w:pPr>
      <w:spacing w:before="100" w:beforeAutospacing="1" w:after="100" w:afterAutospacing="1" w:line="240" w:lineRule="auto"/>
    </w:pPr>
    <w:rPr>
      <w:rFonts w:ascii="Times New Roman" w:hAnsi="Times New Roman"/>
      <w:sz w:val="24"/>
      <w:szCs w:val="24"/>
    </w:rPr>
  </w:style>
  <w:style w:type="paragraph" w:customStyle="1" w:styleId="normalbold">
    <w:name w:val="normalbold"/>
    <w:basedOn w:val="Normal"/>
    <w:rsid w:val="003613B4"/>
    <w:pPr>
      <w:spacing w:before="100" w:beforeAutospacing="1" w:after="100" w:afterAutospacing="1" w:line="240" w:lineRule="auto"/>
    </w:pPr>
    <w:rPr>
      <w:rFonts w:ascii="Times New Roman" w:hAnsi="Times New Roman"/>
      <w:sz w:val="24"/>
      <w:szCs w:val="24"/>
    </w:rPr>
  </w:style>
  <w:style w:type="paragraph" w:customStyle="1" w:styleId="normalitalic">
    <w:name w:val="normalitalic"/>
    <w:basedOn w:val="Normal"/>
    <w:rsid w:val="003613B4"/>
    <w:pPr>
      <w:spacing w:before="100" w:beforeAutospacing="1" w:after="100" w:afterAutospacing="1" w:line="240" w:lineRule="auto"/>
    </w:pPr>
    <w:rPr>
      <w:rFonts w:ascii="Times New Roman" w:hAnsi="Times New Roman"/>
      <w:sz w:val="24"/>
      <w:szCs w:val="24"/>
    </w:rPr>
  </w:style>
  <w:style w:type="paragraph" w:customStyle="1" w:styleId="wyq030---glava">
    <w:name w:val="wyq030---glava"/>
    <w:basedOn w:val="Normal"/>
    <w:rsid w:val="00216D60"/>
    <w:pPr>
      <w:spacing w:before="100" w:beforeAutospacing="1" w:after="100" w:afterAutospacing="1" w:line="240" w:lineRule="auto"/>
    </w:pPr>
    <w:rPr>
      <w:rFonts w:ascii="Times New Roman" w:hAnsi="Times New Roman"/>
      <w:sz w:val="24"/>
      <w:szCs w:val="24"/>
    </w:rPr>
  </w:style>
  <w:style w:type="paragraph" w:styleId="Revision">
    <w:name w:val="Revision"/>
    <w:hidden/>
    <w:uiPriority w:val="99"/>
    <w:semiHidden/>
    <w:rsid w:val="00734A6B"/>
    <w:rPr>
      <w:sz w:val="22"/>
      <w:szCs w:val="22"/>
    </w:rPr>
  </w:style>
  <w:style w:type="character" w:styleId="CommentReference">
    <w:name w:val="annotation reference"/>
    <w:basedOn w:val="DefaultParagraphFont"/>
    <w:uiPriority w:val="99"/>
    <w:semiHidden/>
    <w:unhideWhenUsed/>
    <w:rsid w:val="00734A6B"/>
    <w:rPr>
      <w:sz w:val="16"/>
      <w:szCs w:val="16"/>
    </w:rPr>
  </w:style>
  <w:style w:type="paragraph" w:styleId="CommentText">
    <w:name w:val="annotation text"/>
    <w:basedOn w:val="Normal"/>
    <w:link w:val="CommentTextChar"/>
    <w:uiPriority w:val="99"/>
    <w:semiHidden/>
    <w:unhideWhenUsed/>
    <w:rsid w:val="00734A6B"/>
    <w:rPr>
      <w:sz w:val="20"/>
      <w:szCs w:val="20"/>
    </w:rPr>
  </w:style>
  <w:style w:type="character" w:customStyle="1" w:styleId="CommentTextChar">
    <w:name w:val="Comment Text Char"/>
    <w:basedOn w:val="DefaultParagraphFont"/>
    <w:link w:val="CommentText"/>
    <w:uiPriority w:val="99"/>
    <w:semiHidden/>
    <w:rsid w:val="00734A6B"/>
  </w:style>
  <w:style w:type="paragraph" w:styleId="CommentSubject">
    <w:name w:val="annotation subject"/>
    <w:basedOn w:val="CommentText"/>
    <w:next w:val="CommentText"/>
    <w:link w:val="CommentSubjectChar"/>
    <w:uiPriority w:val="99"/>
    <w:semiHidden/>
    <w:unhideWhenUsed/>
    <w:rsid w:val="00734A6B"/>
    <w:rPr>
      <w:b/>
      <w:bCs/>
    </w:rPr>
  </w:style>
  <w:style w:type="character" w:customStyle="1" w:styleId="CommentSubjectChar">
    <w:name w:val="Comment Subject Char"/>
    <w:basedOn w:val="CommentTextChar"/>
    <w:link w:val="CommentSubject"/>
    <w:uiPriority w:val="99"/>
    <w:semiHidden/>
    <w:rsid w:val="00734A6B"/>
    <w:rPr>
      <w:b/>
      <w:bCs/>
    </w:rPr>
  </w:style>
  <w:style w:type="paragraph" w:customStyle="1" w:styleId="astandardp20">
    <w:name w:val="a_standard_p20"/>
    <w:basedOn w:val="Normal"/>
    <w:rsid w:val="00B0198C"/>
    <w:pPr>
      <w:spacing w:before="100" w:beforeAutospacing="1" w:after="100" w:afterAutospacing="1" w:line="240" w:lineRule="auto"/>
    </w:pPr>
    <w:rPr>
      <w:rFonts w:ascii="Times New Roman" w:hAnsi="Times New Roman"/>
      <w:sz w:val="24"/>
      <w:szCs w:val="24"/>
    </w:rPr>
  </w:style>
  <w:style w:type="paragraph" w:customStyle="1" w:styleId="astandardp24">
    <w:name w:val="a_standard_p24"/>
    <w:basedOn w:val="Normal"/>
    <w:rsid w:val="00B0198C"/>
    <w:pPr>
      <w:spacing w:before="100" w:beforeAutospacing="1" w:after="100" w:afterAutospacing="1" w:line="240" w:lineRule="auto"/>
    </w:pPr>
    <w:rPr>
      <w:rFonts w:ascii="Times New Roman" w:hAnsi="Times New Roman"/>
      <w:sz w:val="24"/>
      <w:szCs w:val="24"/>
    </w:rPr>
  </w:style>
  <w:style w:type="paragraph" w:customStyle="1" w:styleId="astandardp22">
    <w:name w:val="a_standard_p22"/>
    <w:basedOn w:val="Normal"/>
    <w:rsid w:val="00B0198C"/>
    <w:pPr>
      <w:spacing w:before="100" w:beforeAutospacing="1" w:after="100" w:afterAutospacing="1" w:line="240" w:lineRule="auto"/>
    </w:pPr>
    <w:rPr>
      <w:rFonts w:ascii="Times New Roman" w:hAnsi="Times New Roman"/>
      <w:sz w:val="24"/>
      <w:szCs w:val="24"/>
    </w:rPr>
  </w:style>
  <w:style w:type="character" w:customStyle="1" w:styleId="at8">
    <w:name w:val="a__t8"/>
    <w:basedOn w:val="DefaultParagraphFont"/>
    <w:rsid w:val="00B0198C"/>
  </w:style>
  <w:style w:type="character" w:customStyle="1" w:styleId="at9">
    <w:name w:val="a__t9"/>
    <w:basedOn w:val="DefaultParagraphFont"/>
    <w:rsid w:val="00B0198C"/>
  </w:style>
  <w:style w:type="paragraph" w:customStyle="1" w:styleId="astandardp25">
    <w:name w:val="a_standard_p25"/>
    <w:basedOn w:val="Normal"/>
    <w:rsid w:val="00B0198C"/>
    <w:pPr>
      <w:spacing w:before="100" w:beforeAutospacing="1" w:after="100" w:afterAutospacing="1" w:line="240" w:lineRule="auto"/>
    </w:pPr>
    <w:rPr>
      <w:rFonts w:ascii="Times New Roman" w:hAnsi="Times New Roman"/>
      <w:sz w:val="24"/>
      <w:szCs w:val="24"/>
    </w:rPr>
  </w:style>
  <w:style w:type="paragraph" w:customStyle="1" w:styleId="astandardp21">
    <w:name w:val="a_standard_p21"/>
    <w:basedOn w:val="Normal"/>
    <w:rsid w:val="00B0198C"/>
    <w:pPr>
      <w:spacing w:before="100" w:beforeAutospacing="1" w:after="100" w:afterAutospacing="1" w:line="240" w:lineRule="auto"/>
    </w:pPr>
    <w:rPr>
      <w:rFonts w:ascii="Times New Roman" w:hAnsi="Times New Roman"/>
      <w:sz w:val="24"/>
      <w:szCs w:val="24"/>
    </w:rPr>
  </w:style>
  <w:style w:type="paragraph" w:customStyle="1" w:styleId="astandardp31">
    <w:name w:val="a_standard_p31"/>
    <w:basedOn w:val="Normal"/>
    <w:rsid w:val="00B0198C"/>
    <w:pPr>
      <w:spacing w:before="100" w:beforeAutospacing="1" w:after="100" w:afterAutospacing="1" w:line="240" w:lineRule="auto"/>
    </w:pPr>
    <w:rPr>
      <w:rFonts w:ascii="Times New Roman" w:hAnsi="Times New Roman"/>
      <w:sz w:val="24"/>
      <w:szCs w:val="24"/>
    </w:rPr>
  </w:style>
  <w:style w:type="paragraph" w:customStyle="1" w:styleId="astandardp26">
    <w:name w:val="a_standard_p26"/>
    <w:basedOn w:val="Normal"/>
    <w:rsid w:val="00B0198C"/>
    <w:pPr>
      <w:spacing w:before="100" w:beforeAutospacing="1" w:after="100" w:afterAutospacing="1" w:line="240" w:lineRule="auto"/>
    </w:pPr>
    <w:rPr>
      <w:rFonts w:ascii="Times New Roman" w:hAnsi="Times New Roman"/>
      <w:sz w:val="24"/>
      <w:szCs w:val="24"/>
    </w:rPr>
  </w:style>
  <w:style w:type="paragraph" w:customStyle="1" w:styleId="astandardp27">
    <w:name w:val="a_standard_p27"/>
    <w:basedOn w:val="Normal"/>
    <w:rsid w:val="00B0198C"/>
    <w:pPr>
      <w:spacing w:before="100" w:beforeAutospacing="1" w:after="100" w:afterAutospacing="1" w:line="240" w:lineRule="auto"/>
    </w:pPr>
    <w:rPr>
      <w:rFonts w:ascii="Times New Roman" w:hAnsi="Times New Roman"/>
      <w:sz w:val="24"/>
      <w:szCs w:val="24"/>
    </w:rPr>
  </w:style>
  <w:style w:type="paragraph" w:customStyle="1" w:styleId="astandardp29">
    <w:name w:val="a_standard_p29"/>
    <w:basedOn w:val="Normal"/>
    <w:rsid w:val="00B0198C"/>
    <w:pPr>
      <w:spacing w:before="100" w:beforeAutospacing="1" w:after="100" w:afterAutospacing="1" w:line="240" w:lineRule="auto"/>
    </w:pPr>
    <w:rPr>
      <w:rFonts w:ascii="Times New Roman" w:hAnsi="Times New Roman"/>
      <w:sz w:val="24"/>
      <w:szCs w:val="24"/>
    </w:rPr>
  </w:style>
  <w:style w:type="paragraph" w:customStyle="1" w:styleId="astandardp30">
    <w:name w:val="a_standard_p30"/>
    <w:basedOn w:val="Normal"/>
    <w:rsid w:val="00B0198C"/>
    <w:pPr>
      <w:spacing w:before="100" w:beforeAutospacing="1" w:after="100" w:afterAutospacing="1" w:line="240" w:lineRule="auto"/>
    </w:pPr>
    <w:rPr>
      <w:rFonts w:ascii="Times New Roman" w:hAnsi="Times New Roman"/>
      <w:sz w:val="24"/>
      <w:szCs w:val="24"/>
    </w:rPr>
  </w:style>
  <w:style w:type="paragraph" w:customStyle="1" w:styleId="astandardp23">
    <w:name w:val="a_standard_p23"/>
    <w:basedOn w:val="Normal"/>
    <w:rsid w:val="00B0198C"/>
    <w:pPr>
      <w:spacing w:before="100" w:beforeAutospacing="1" w:after="100" w:afterAutospacing="1" w:line="240" w:lineRule="auto"/>
    </w:pPr>
    <w:rPr>
      <w:rFonts w:ascii="Times New Roman" w:hAnsi="Times New Roman"/>
      <w:sz w:val="24"/>
      <w:szCs w:val="24"/>
    </w:rPr>
  </w:style>
  <w:style w:type="character" w:customStyle="1" w:styleId="langfilteren">
    <w:name w:val="_langfilteren"/>
    <w:basedOn w:val="DefaultParagraphFont"/>
    <w:rsid w:val="00044F30"/>
  </w:style>
  <w:style w:type="character" w:customStyle="1" w:styleId="table-footnote-ref">
    <w:name w:val="table-footnote-ref"/>
    <w:basedOn w:val="DefaultParagraphFont"/>
    <w:rsid w:val="00044F30"/>
  </w:style>
  <w:style w:type="paragraph" w:customStyle="1" w:styleId="wyq060---pododeljak">
    <w:name w:val="wyq060---pododeljak"/>
    <w:basedOn w:val="Normal"/>
    <w:rsid w:val="00C46BA3"/>
    <w:pPr>
      <w:spacing w:before="100" w:beforeAutospacing="1" w:after="100" w:afterAutospacing="1" w:line="240" w:lineRule="auto"/>
    </w:pPr>
    <w:rPr>
      <w:rFonts w:ascii="Times New Roman" w:hAnsi="Times New Roman"/>
      <w:sz w:val="24"/>
      <w:szCs w:val="24"/>
    </w:rPr>
  </w:style>
  <w:style w:type="character" w:customStyle="1" w:styleId="Heading3Char">
    <w:name w:val="Heading 3 Char"/>
    <w:basedOn w:val="DefaultParagraphFont"/>
    <w:link w:val="Heading3"/>
    <w:uiPriority w:val="9"/>
    <w:semiHidden/>
    <w:rsid w:val="003B1ED0"/>
    <w:rPr>
      <w:rFonts w:ascii="Cambria" w:eastAsia="Times New Roman" w:hAnsi="Cambria" w:cs="Times New Roman"/>
      <w:b/>
      <w:bCs/>
      <w:sz w:val="26"/>
      <w:szCs w:val="26"/>
    </w:rPr>
  </w:style>
  <w:style w:type="character" w:customStyle="1" w:styleId="l12">
    <w:name w:val="l12"/>
    <w:basedOn w:val="DefaultParagraphFont"/>
    <w:rsid w:val="008D2544"/>
  </w:style>
  <w:style w:type="character" w:customStyle="1" w:styleId="l8">
    <w:name w:val="l8"/>
    <w:basedOn w:val="DefaultParagraphFont"/>
    <w:rsid w:val="008D2544"/>
  </w:style>
  <w:style w:type="character" w:customStyle="1" w:styleId="l">
    <w:name w:val="l"/>
    <w:basedOn w:val="DefaultParagraphFont"/>
    <w:rsid w:val="008D2544"/>
  </w:style>
  <w:style w:type="character" w:customStyle="1" w:styleId="l11">
    <w:name w:val="l11"/>
    <w:basedOn w:val="DefaultParagraphFont"/>
    <w:rsid w:val="008D2544"/>
  </w:style>
  <w:style w:type="character" w:customStyle="1" w:styleId="l7">
    <w:name w:val="l7"/>
    <w:basedOn w:val="DefaultParagraphFont"/>
    <w:rsid w:val="008D2544"/>
  </w:style>
  <w:style w:type="character" w:customStyle="1" w:styleId="l9">
    <w:name w:val="l9"/>
    <w:basedOn w:val="DefaultParagraphFont"/>
    <w:rsid w:val="008D2544"/>
  </w:style>
  <w:style w:type="character" w:customStyle="1" w:styleId="l10">
    <w:name w:val="l10"/>
    <w:basedOn w:val="DefaultParagraphFont"/>
    <w:rsid w:val="008D2544"/>
  </w:style>
  <w:style w:type="character" w:customStyle="1" w:styleId="l6">
    <w:name w:val="l6"/>
    <w:basedOn w:val="DefaultParagraphFont"/>
    <w:rsid w:val="008D2544"/>
  </w:style>
  <w:style w:type="paragraph" w:customStyle="1" w:styleId="normalcentaritalic">
    <w:name w:val="normalcentaritalic"/>
    <w:basedOn w:val="Normal"/>
    <w:rsid w:val="00F957E3"/>
    <w:pPr>
      <w:spacing w:before="100" w:beforeAutospacing="1" w:after="100" w:afterAutospacing="1" w:line="240" w:lineRule="auto"/>
    </w:pPr>
    <w:rPr>
      <w:rFonts w:ascii="Times New Roman" w:hAnsi="Times New Roman"/>
      <w:sz w:val="24"/>
      <w:szCs w:val="24"/>
    </w:rPr>
  </w:style>
  <w:style w:type="paragraph" w:customStyle="1" w:styleId="wyq120---podnaslov-clana">
    <w:name w:val="wyq120---podnaslov-clana"/>
    <w:basedOn w:val="Normal"/>
    <w:rsid w:val="00F957E3"/>
    <w:pPr>
      <w:spacing w:before="100" w:beforeAutospacing="1" w:after="100" w:afterAutospacing="1" w:line="240" w:lineRule="auto"/>
    </w:pPr>
    <w:rPr>
      <w:rFonts w:ascii="Times New Roman" w:hAnsi="Times New Roman"/>
      <w:sz w:val="24"/>
      <w:szCs w:val="24"/>
    </w:rPr>
  </w:style>
  <w:style w:type="paragraph" w:customStyle="1" w:styleId="naslovlevo">
    <w:name w:val="naslovlevo"/>
    <w:basedOn w:val="Normal"/>
    <w:rsid w:val="00D568EB"/>
    <w:pPr>
      <w:spacing w:before="100" w:beforeAutospacing="1" w:after="100" w:afterAutospacing="1" w:line="240" w:lineRule="auto"/>
    </w:pPr>
    <w:rPr>
      <w:rFonts w:ascii="Times New Roman" w:hAnsi="Times New Roman"/>
      <w:sz w:val="24"/>
      <w:szCs w:val="24"/>
    </w:rPr>
  </w:style>
  <w:style w:type="paragraph" w:customStyle="1" w:styleId="normaltd">
    <w:name w:val="normaltd"/>
    <w:basedOn w:val="Normal"/>
    <w:rsid w:val="00004AE2"/>
    <w:pPr>
      <w:spacing w:before="100" w:beforeAutospacing="1" w:after="100" w:afterAutospacing="1" w:line="240" w:lineRule="auto"/>
    </w:pPr>
    <w:rPr>
      <w:rFonts w:ascii="Times New Roman" w:hAnsi="Times New Roman"/>
      <w:sz w:val="24"/>
      <w:szCs w:val="24"/>
    </w:rPr>
  </w:style>
  <w:style w:type="paragraph" w:customStyle="1" w:styleId="normalprored">
    <w:name w:val="normalprored"/>
    <w:basedOn w:val="Normal"/>
    <w:rsid w:val="00004AE2"/>
    <w:pPr>
      <w:spacing w:before="100" w:beforeAutospacing="1" w:after="100" w:afterAutospacing="1" w:line="240" w:lineRule="auto"/>
    </w:pPr>
    <w:rPr>
      <w:rFonts w:ascii="Times New Roman" w:hAnsi="Times New Roman"/>
      <w:sz w:val="24"/>
      <w:szCs w:val="24"/>
    </w:rPr>
  </w:style>
  <w:style w:type="character" w:customStyle="1" w:styleId="A61">
    <w:name w:val="A6+1"/>
    <w:uiPriority w:val="99"/>
    <w:rsid w:val="00C409C9"/>
    <w:rPr>
      <w:rFonts w:cs="Adobe Caslon Pro"/>
      <w:color w:val="000000"/>
      <w:sz w:val="12"/>
      <w:szCs w:val="12"/>
    </w:rPr>
  </w:style>
  <w:style w:type="paragraph" w:customStyle="1" w:styleId="Pa93">
    <w:name w:val="Pa9+3"/>
    <w:basedOn w:val="Normal"/>
    <w:next w:val="Normal"/>
    <w:uiPriority w:val="99"/>
    <w:rsid w:val="00C409C9"/>
    <w:pPr>
      <w:autoSpaceDE w:val="0"/>
      <w:autoSpaceDN w:val="0"/>
      <w:adjustRightInd w:val="0"/>
      <w:spacing w:after="0" w:line="221" w:lineRule="atLeast"/>
    </w:pPr>
    <w:rPr>
      <w:rFonts w:ascii="Myriad Pro SemiCond" w:hAnsi="Myriad Pro SemiCond"/>
      <w:sz w:val="24"/>
      <w:szCs w:val="24"/>
    </w:rPr>
  </w:style>
  <w:style w:type="paragraph" w:customStyle="1" w:styleId="Pa63">
    <w:name w:val="Pa6+3"/>
    <w:basedOn w:val="Normal"/>
    <w:next w:val="Normal"/>
    <w:uiPriority w:val="99"/>
    <w:rsid w:val="00C409C9"/>
    <w:pPr>
      <w:autoSpaceDE w:val="0"/>
      <w:autoSpaceDN w:val="0"/>
      <w:adjustRightInd w:val="0"/>
      <w:spacing w:after="0" w:line="221" w:lineRule="atLeast"/>
    </w:pPr>
    <w:rPr>
      <w:rFonts w:ascii="Adobe Caslon Pro" w:hAnsi="Adobe Caslon Pro"/>
      <w:sz w:val="24"/>
      <w:szCs w:val="24"/>
    </w:rPr>
  </w:style>
  <w:style w:type="paragraph" w:customStyle="1" w:styleId="Pa162">
    <w:name w:val="Pa16+2"/>
    <w:basedOn w:val="Normal"/>
    <w:next w:val="Normal"/>
    <w:uiPriority w:val="99"/>
    <w:rsid w:val="00C409C9"/>
    <w:pPr>
      <w:autoSpaceDE w:val="0"/>
      <w:autoSpaceDN w:val="0"/>
      <w:adjustRightInd w:val="0"/>
      <w:spacing w:after="0" w:line="221" w:lineRule="atLeast"/>
    </w:pPr>
    <w:rPr>
      <w:rFonts w:ascii="Adobe Caslon Pro" w:hAnsi="Adobe Caslon Pro"/>
      <w:sz w:val="24"/>
      <w:szCs w:val="24"/>
    </w:rPr>
  </w:style>
  <w:style w:type="paragraph" w:customStyle="1" w:styleId="normalpraksa">
    <w:name w:val="normalpraksa"/>
    <w:basedOn w:val="Normal"/>
    <w:rsid w:val="00EB616D"/>
    <w:pPr>
      <w:spacing w:before="100" w:beforeAutospacing="1" w:after="100" w:afterAutospacing="1" w:line="240" w:lineRule="auto"/>
    </w:pPr>
    <w:rPr>
      <w:rFonts w:ascii="Times New Roman" w:hAnsi="Times New Roman"/>
      <w:sz w:val="24"/>
      <w:szCs w:val="24"/>
    </w:rPr>
  </w:style>
  <w:style w:type="paragraph" w:customStyle="1" w:styleId="wyq100---naslov-grupe-clanova-kurziv">
    <w:name w:val="wyq100---naslov-grupe-clanova-kurziv"/>
    <w:basedOn w:val="Normal"/>
    <w:rsid w:val="0089390C"/>
    <w:pPr>
      <w:spacing w:before="100" w:beforeAutospacing="1" w:after="100" w:afterAutospacing="1" w:line="240" w:lineRule="auto"/>
    </w:pPr>
    <w:rPr>
      <w:rFonts w:ascii="Times New Roman" w:hAnsi="Times New Roman"/>
      <w:sz w:val="24"/>
      <w:szCs w:val="24"/>
    </w:rPr>
  </w:style>
  <w:style w:type="paragraph" w:customStyle="1" w:styleId="wyq050---odeljak">
    <w:name w:val="wyq050---odeljak"/>
    <w:basedOn w:val="Normal"/>
    <w:rsid w:val="00AC0D08"/>
    <w:pPr>
      <w:spacing w:before="100" w:beforeAutospacing="1" w:after="100" w:afterAutospacing="1" w:line="240" w:lineRule="auto"/>
    </w:pPr>
    <w:rPr>
      <w:rFonts w:ascii="Times New Roman" w:hAnsi="Times New Roman"/>
      <w:sz w:val="24"/>
      <w:szCs w:val="24"/>
    </w:rPr>
  </w:style>
  <w:style w:type="paragraph" w:customStyle="1" w:styleId="normalboldcentar">
    <w:name w:val="normalboldcentar"/>
    <w:basedOn w:val="Normal"/>
    <w:rsid w:val="00ED3A8A"/>
    <w:pPr>
      <w:spacing w:before="100" w:beforeAutospacing="1" w:after="100" w:afterAutospacing="1" w:line="240" w:lineRule="auto"/>
    </w:pPr>
    <w:rPr>
      <w:rFonts w:ascii="Times New Roman" w:hAnsi="Times New Roman"/>
      <w:sz w:val="24"/>
      <w:szCs w:val="24"/>
    </w:rPr>
  </w:style>
  <w:style w:type="paragraph" w:customStyle="1" w:styleId="normalcentar">
    <w:name w:val="normalcentar"/>
    <w:basedOn w:val="Normal"/>
    <w:rsid w:val="001D05A9"/>
    <w:pPr>
      <w:spacing w:before="100" w:beforeAutospacing="1" w:after="100" w:afterAutospacing="1" w:line="240" w:lineRule="auto"/>
    </w:pPr>
    <w:rPr>
      <w:rFonts w:ascii="Times New Roman" w:hAnsi="Times New Roman"/>
      <w:sz w:val="24"/>
      <w:szCs w:val="24"/>
    </w:rPr>
  </w:style>
  <w:style w:type="paragraph" w:customStyle="1" w:styleId="xl38">
    <w:name w:val="xl38"/>
    <w:basedOn w:val="Normal"/>
    <w:rsid w:val="00D73ABC"/>
    <w:pPr>
      <w:spacing w:before="100" w:beforeAutospacing="1" w:after="100" w:afterAutospacing="1" w:line="240" w:lineRule="auto"/>
    </w:pPr>
    <w:rPr>
      <w:rFonts w:ascii="Times New Roman" w:hAnsi="Times New Roman"/>
      <w:sz w:val="24"/>
      <w:szCs w:val="24"/>
    </w:rPr>
  </w:style>
  <w:style w:type="character" w:customStyle="1" w:styleId="uvlaka16">
    <w:name w:val="uvlaka16"/>
    <w:basedOn w:val="DefaultParagraphFont"/>
    <w:rsid w:val="0090539B"/>
  </w:style>
  <w:style w:type="paragraph" w:styleId="NoSpacing">
    <w:name w:val="No Spacing"/>
    <w:uiPriority w:val="1"/>
    <w:qFormat/>
    <w:rsid w:val="007E56C0"/>
    <w:rPr>
      <w:sz w:val="22"/>
      <w:szCs w:val="22"/>
    </w:rPr>
  </w:style>
  <w:style w:type="character" w:customStyle="1" w:styleId="Heading1Char">
    <w:name w:val="Heading 1 Char"/>
    <w:basedOn w:val="DefaultParagraphFont"/>
    <w:link w:val="Heading1"/>
    <w:uiPriority w:val="9"/>
    <w:rsid w:val="00A0026E"/>
    <w:rPr>
      <w:rFonts w:asciiTheme="majorHAnsi" w:eastAsiaTheme="majorEastAsia" w:hAnsiTheme="majorHAnsi" w:cstheme="majorBidi"/>
      <w:b/>
      <w:bCs/>
      <w:color w:val="365F91" w:themeColor="accent1" w:themeShade="BF"/>
      <w:sz w:val="28"/>
      <w:szCs w:val="28"/>
    </w:rPr>
  </w:style>
  <w:style w:type="paragraph" w:styleId="EndnoteText">
    <w:name w:val="endnote text"/>
    <w:basedOn w:val="Normal"/>
    <w:link w:val="EndnoteTextChar"/>
    <w:uiPriority w:val="99"/>
    <w:semiHidden/>
    <w:unhideWhenUsed/>
    <w:rsid w:val="008706E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706E9"/>
  </w:style>
  <w:style w:type="character" w:styleId="EndnoteReference">
    <w:name w:val="endnote reference"/>
    <w:basedOn w:val="DefaultParagraphFont"/>
    <w:uiPriority w:val="99"/>
    <w:semiHidden/>
    <w:unhideWhenUsed/>
    <w:rsid w:val="008706E9"/>
    <w:rPr>
      <w:vertAlign w:val="superscript"/>
    </w:rPr>
  </w:style>
</w:styles>
</file>

<file path=word/webSettings.xml><?xml version="1.0" encoding="utf-8"?>
<w:webSettings xmlns:r="http://schemas.openxmlformats.org/officeDocument/2006/relationships" xmlns:w="http://schemas.openxmlformats.org/wordprocessingml/2006/main">
  <w:divs>
    <w:div w:id="3365827">
      <w:bodyDiv w:val="1"/>
      <w:marLeft w:val="0"/>
      <w:marRight w:val="0"/>
      <w:marTop w:val="0"/>
      <w:marBottom w:val="0"/>
      <w:divBdr>
        <w:top w:val="none" w:sz="0" w:space="0" w:color="auto"/>
        <w:left w:val="none" w:sz="0" w:space="0" w:color="auto"/>
        <w:bottom w:val="none" w:sz="0" w:space="0" w:color="auto"/>
        <w:right w:val="none" w:sz="0" w:space="0" w:color="auto"/>
      </w:divBdr>
    </w:div>
    <w:div w:id="4484984">
      <w:bodyDiv w:val="1"/>
      <w:marLeft w:val="0"/>
      <w:marRight w:val="0"/>
      <w:marTop w:val="0"/>
      <w:marBottom w:val="0"/>
      <w:divBdr>
        <w:top w:val="none" w:sz="0" w:space="0" w:color="auto"/>
        <w:left w:val="none" w:sz="0" w:space="0" w:color="auto"/>
        <w:bottom w:val="none" w:sz="0" w:space="0" w:color="auto"/>
        <w:right w:val="none" w:sz="0" w:space="0" w:color="auto"/>
      </w:divBdr>
    </w:div>
    <w:div w:id="7219568">
      <w:bodyDiv w:val="1"/>
      <w:marLeft w:val="0"/>
      <w:marRight w:val="0"/>
      <w:marTop w:val="0"/>
      <w:marBottom w:val="0"/>
      <w:divBdr>
        <w:top w:val="none" w:sz="0" w:space="0" w:color="auto"/>
        <w:left w:val="none" w:sz="0" w:space="0" w:color="auto"/>
        <w:bottom w:val="none" w:sz="0" w:space="0" w:color="auto"/>
        <w:right w:val="none" w:sz="0" w:space="0" w:color="auto"/>
      </w:divBdr>
      <w:divsChild>
        <w:div w:id="191576613">
          <w:marLeft w:val="547"/>
          <w:marRight w:val="0"/>
          <w:marTop w:val="134"/>
          <w:marBottom w:val="0"/>
          <w:divBdr>
            <w:top w:val="none" w:sz="0" w:space="0" w:color="auto"/>
            <w:left w:val="none" w:sz="0" w:space="0" w:color="auto"/>
            <w:bottom w:val="none" w:sz="0" w:space="0" w:color="auto"/>
            <w:right w:val="none" w:sz="0" w:space="0" w:color="auto"/>
          </w:divBdr>
        </w:div>
        <w:div w:id="1050307455">
          <w:marLeft w:val="547"/>
          <w:marRight w:val="0"/>
          <w:marTop w:val="134"/>
          <w:marBottom w:val="0"/>
          <w:divBdr>
            <w:top w:val="none" w:sz="0" w:space="0" w:color="auto"/>
            <w:left w:val="none" w:sz="0" w:space="0" w:color="auto"/>
            <w:bottom w:val="none" w:sz="0" w:space="0" w:color="auto"/>
            <w:right w:val="none" w:sz="0" w:space="0" w:color="auto"/>
          </w:divBdr>
        </w:div>
        <w:div w:id="2096825731">
          <w:marLeft w:val="547"/>
          <w:marRight w:val="0"/>
          <w:marTop w:val="154"/>
          <w:marBottom w:val="0"/>
          <w:divBdr>
            <w:top w:val="none" w:sz="0" w:space="0" w:color="auto"/>
            <w:left w:val="none" w:sz="0" w:space="0" w:color="auto"/>
            <w:bottom w:val="none" w:sz="0" w:space="0" w:color="auto"/>
            <w:right w:val="none" w:sz="0" w:space="0" w:color="auto"/>
          </w:divBdr>
        </w:div>
      </w:divsChild>
    </w:div>
    <w:div w:id="21366631">
      <w:bodyDiv w:val="1"/>
      <w:marLeft w:val="0"/>
      <w:marRight w:val="0"/>
      <w:marTop w:val="0"/>
      <w:marBottom w:val="0"/>
      <w:divBdr>
        <w:top w:val="none" w:sz="0" w:space="0" w:color="auto"/>
        <w:left w:val="none" w:sz="0" w:space="0" w:color="auto"/>
        <w:bottom w:val="none" w:sz="0" w:space="0" w:color="auto"/>
        <w:right w:val="none" w:sz="0" w:space="0" w:color="auto"/>
      </w:divBdr>
    </w:div>
    <w:div w:id="21979788">
      <w:bodyDiv w:val="1"/>
      <w:marLeft w:val="0"/>
      <w:marRight w:val="0"/>
      <w:marTop w:val="0"/>
      <w:marBottom w:val="0"/>
      <w:divBdr>
        <w:top w:val="none" w:sz="0" w:space="0" w:color="auto"/>
        <w:left w:val="none" w:sz="0" w:space="0" w:color="auto"/>
        <w:bottom w:val="none" w:sz="0" w:space="0" w:color="auto"/>
        <w:right w:val="none" w:sz="0" w:space="0" w:color="auto"/>
      </w:divBdr>
    </w:div>
    <w:div w:id="23479225">
      <w:bodyDiv w:val="1"/>
      <w:marLeft w:val="0"/>
      <w:marRight w:val="0"/>
      <w:marTop w:val="0"/>
      <w:marBottom w:val="0"/>
      <w:divBdr>
        <w:top w:val="none" w:sz="0" w:space="0" w:color="auto"/>
        <w:left w:val="none" w:sz="0" w:space="0" w:color="auto"/>
        <w:bottom w:val="none" w:sz="0" w:space="0" w:color="auto"/>
        <w:right w:val="none" w:sz="0" w:space="0" w:color="auto"/>
      </w:divBdr>
    </w:div>
    <w:div w:id="26956718">
      <w:bodyDiv w:val="1"/>
      <w:marLeft w:val="0"/>
      <w:marRight w:val="0"/>
      <w:marTop w:val="0"/>
      <w:marBottom w:val="0"/>
      <w:divBdr>
        <w:top w:val="none" w:sz="0" w:space="0" w:color="auto"/>
        <w:left w:val="none" w:sz="0" w:space="0" w:color="auto"/>
        <w:bottom w:val="none" w:sz="0" w:space="0" w:color="auto"/>
        <w:right w:val="none" w:sz="0" w:space="0" w:color="auto"/>
      </w:divBdr>
    </w:div>
    <w:div w:id="51663879">
      <w:bodyDiv w:val="1"/>
      <w:marLeft w:val="0"/>
      <w:marRight w:val="0"/>
      <w:marTop w:val="0"/>
      <w:marBottom w:val="0"/>
      <w:divBdr>
        <w:top w:val="none" w:sz="0" w:space="0" w:color="auto"/>
        <w:left w:val="none" w:sz="0" w:space="0" w:color="auto"/>
        <w:bottom w:val="none" w:sz="0" w:space="0" w:color="auto"/>
        <w:right w:val="none" w:sz="0" w:space="0" w:color="auto"/>
      </w:divBdr>
    </w:div>
    <w:div w:id="60560357">
      <w:bodyDiv w:val="1"/>
      <w:marLeft w:val="0"/>
      <w:marRight w:val="0"/>
      <w:marTop w:val="0"/>
      <w:marBottom w:val="0"/>
      <w:divBdr>
        <w:top w:val="none" w:sz="0" w:space="0" w:color="auto"/>
        <w:left w:val="none" w:sz="0" w:space="0" w:color="auto"/>
        <w:bottom w:val="none" w:sz="0" w:space="0" w:color="auto"/>
        <w:right w:val="none" w:sz="0" w:space="0" w:color="auto"/>
      </w:divBdr>
    </w:div>
    <w:div w:id="70197527">
      <w:bodyDiv w:val="1"/>
      <w:marLeft w:val="0"/>
      <w:marRight w:val="0"/>
      <w:marTop w:val="0"/>
      <w:marBottom w:val="0"/>
      <w:divBdr>
        <w:top w:val="none" w:sz="0" w:space="0" w:color="auto"/>
        <w:left w:val="none" w:sz="0" w:space="0" w:color="auto"/>
        <w:bottom w:val="none" w:sz="0" w:space="0" w:color="auto"/>
        <w:right w:val="none" w:sz="0" w:space="0" w:color="auto"/>
      </w:divBdr>
    </w:div>
    <w:div w:id="73935321">
      <w:bodyDiv w:val="1"/>
      <w:marLeft w:val="0"/>
      <w:marRight w:val="0"/>
      <w:marTop w:val="0"/>
      <w:marBottom w:val="0"/>
      <w:divBdr>
        <w:top w:val="none" w:sz="0" w:space="0" w:color="auto"/>
        <w:left w:val="none" w:sz="0" w:space="0" w:color="auto"/>
        <w:bottom w:val="none" w:sz="0" w:space="0" w:color="auto"/>
        <w:right w:val="none" w:sz="0" w:space="0" w:color="auto"/>
      </w:divBdr>
    </w:div>
    <w:div w:id="74019225">
      <w:bodyDiv w:val="1"/>
      <w:marLeft w:val="0"/>
      <w:marRight w:val="0"/>
      <w:marTop w:val="0"/>
      <w:marBottom w:val="0"/>
      <w:divBdr>
        <w:top w:val="none" w:sz="0" w:space="0" w:color="auto"/>
        <w:left w:val="none" w:sz="0" w:space="0" w:color="auto"/>
        <w:bottom w:val="none" w:sz="0" w:space="0" w:color="auto"/>
        <w:right w:val="none" w:sz="0" w:space="0" w:color="auto"/>
      </w:divBdr>
    </w:div>
    <w:div w:id="82605502">
      <w:bodyDiv w:val="1"/>
      <w:marLeft w:val="0"/>
      <w:marRight w:val="0"/>
      <w:marTop w:val="0"/>
      <w:marBottom w:val="0"/>
      <w:divBdr>
        <w:top w:val="none" w:sz="0" w:space="0" w:color="auto"/>
        <w:left w:val="none" w:sz="0" w:space="0" w:color="auto"/>
        <w:bottom w:val="none" w:sz="0" w:space="0" w:color="auto"/>
        <w:right w:val="none" w:sz="0" w:space="0" w:color="auto"/>
      </w:divBdr>
    </w:div>
    <w:div w:id="87968436">
      <w:bodyDiv w:val="1"/>
      <w:marLeft w:val="0"/>
      <w:marRight w:val="0"/>
      <w:marTop w:val="0"/>
      <w:marBottom w:val="0"/>
      <w:divBdr>
        <w:top w:val="none" w:sz="0" w:space="0" w:color="auto"/>
        <w:left w:val="none" w:sz="0" w:space="0" w:color="auto"/>
        <w:bottom w:val="none" w:sz="0" w:space="0" w:color="auto"/>
        <w:right w:val="none" w:sz="0" w:space="0" w:color="auto"/>
      </w:divBdr>
      <w:divsChild>
        <w:div w:id="338120022">
          <w:marLeft w:val="547"/>
          <w:marRight w:val="0"/>
          <w:marTop w:val="154"/>
          <w:marBottom w:val="0"/>
          <w:divBdr>
            <w:top w:val="none" w:sz="0" w:space="0" w:color="auto"/>
            <w:left w:val="none" w:sz="0" w:space="0" w:color="auto"/>
            <w:bottom w:val="none" w:sz="0" w:space="0" w:color="auto"/>
            <w:right w:val="none" w:sz="0" w:space="0" w:color="auto"/>
          </w:divBdr>
        </w:div>
      </w:divsChild>
    </w:div>
    <w:div w:id="92745659">
      <w:bodyDiv w:val="1"/>
      <w:marLeft w:val="0"/>
      <w:marRight w:val="0"/>
      <w:marTop w:val="0"/>
      <w:marBottom w:val="0"/>
      <w:divBdr>
        <w:top w:val="none" w:sz="0" w:space="0" w:color="auto"/>
        <w:left w:val="none" w:sz="0" w:space="0" w:color="auto"/>
        <w:bottom w:val="none" w:sz="0" w:space="0" w:color="auto"/>
        <w:right w:val="none" w:sz="0" w:space="0" w:color="auto"/>
      </w:divBdr>
    </w:div>
    <w:div w:id="100876510">
      <w:bodyDiv w:val="1"/>
      <w:marLeft w:val="0"/>
      <w:marRight w:val="0"/>
      <w:marTop w:val="0"/>
      <w:marBottom w:val="0"/>
      <w:divBdr>
        <w:top w:val="none" w:sz="0" w:space="0" w:color="auto"/>
        <w:left w:val="none" w:sz="0" w:space="0" w:color="auto"/>
        <w:bottom w:val="none" w:sz="0" w:space="0" w:color="auto"/>
        <w:right w:val="none" w:sz="0" w:space="0" w:color="auto"/>
      </w:divBdr>
    </w:div>
    <w:div w:id="104886876">
      <w:bodyDiv w:val="1"/>
      <w:marLeft w:val="0"/>
      <w:marRight w:val="0"/>
      <w:marTop w:val="0"/>
      <w:marBottom w:val="0"/>
      <w:divBdr>
        <w:top w:val="none" w:sz="0" w:space="0" w:color="auto"/>
        <w:left w:val="none" w:sz="0" w:space="0" w:color="auto"/>
        <w:bottom w:val="none" w:sz="0" w:space="0" w:color="auto"/>
        <w:right w:val="none" w:sz="0" w:space="0" w:color="auto"/>
      </w:divBdr>
    </w:div>
    <w:div w:id="109201341">
      <w:bodyDiv w:val="1"/>
      <w:marLeft w:val="0"/>
      <w:marRight w:val="0"/>
      <w:marTop w:val="0"/>
      <w:marBottom w:val="0"/>
      <w:divBdr>
        <w:top w:val="none" w:sz="0" w:space="0" w:color="auto"/>
        <w:left w:val="none" w:sz="0" w:space="0" w:color="auto"/>
        <w:bottom w:val="none" w:sz="0" w:space="0" w:color="auto"/>
        <w:right w:val="none" w:sz="0" w:space="0" w:color="auto"/>
      </w:divBdr>
    </w:div>
    <w:div w:id="113212302">
      <w:bodyDiv w:val="1"/>
      <w:marLeft w:val="0"/>
      <w:marRight w:val="0"/>
      <w:marTop w:val="0"/>
      <w:marBottom w:val="0"/>
      <w:divBdr>
        <w:top w:val="none" w:sz="0" w:space="0" w:color="auto"/>
        <w:left w:val="none" w:sz="0" w:space="0" w:color="auto"/>
        <w:bottom w:val="none" w:sz="0" w:space="0" w:color="auto"/>
        <w:right w:val="none" w:sz="0" w:space="0" w:color="auto"/>
      </w:divBdr>
      <w:divsChild>
        <w:div w:id="142359607">
          <w:marLeft w:val="0"/>
          <w:marRight w:val="0"/>
          <w:marTop w:val="0"/>
          <w:marBottom w:val="0"/>
          <w:divBdr>
            <w:top w:val="none" w:sz="0" w:space="0" w:color="auto"/>
            <w:left w:val="none" w:sz="0" w:space="0" w:color="auto"/>
            <w:bottom w:val="none" w:sz="0" w:space="0" w:color="auto"/>
            <w:right w:val="none" w:sz="0" w:space="0" w:color="auto"/>
          </w:divBdr>
          <w:divsChild>
            <w:div w:id="189759242">
              <w:marLeft w:val="0"/>
              <w:marRight w:val="0"/>
              <w:marTop w:val="0"/>
              <w:marBottom w:val="0"/>
              <w:divBdr>
                <w:top w:val="none" w:sz="0" w:space="0" w:color="auto"/>
                <w:left w:val="none" w:sz="0" w:space="0" w:color="auto"/>
                <w:bottom w:val="none" w:sz="0" w:space="0" w:color="auto"/>
                <w:right w:val="none" w:sz="0" w:space="0" w:color="auto"/>
              </w:divBdr>
            </w:div>
            <w:div w:id="268007370">
              <w:marLeft w:val="0"/>
              <w:marRight w:val="0"/>
              <w:marTop w:val="0"/>
              <w:marBottom w:val="0"/>
              <w:divBdr>
                <w:top w:val="none" w:sz="0" w:space="0" w:color="auto"/>
                <w:left w:val="none" w:sz="0" w:space="0" w:color="auto"/>
                <w:bottom w:val="none" w:sz="0" w:space="0" w:color="auto"/>
                <w:right w:val="none" w:sz="0" w:space="0" w:color="auto"/>
              </w:divBdr>
            </w:div>
            <w:div w:id="608126170">
              <w:marLeft w:val="0"/>
              <w:marRight w:val="0"/>
              <w:marTop w:val="0"/>
              <w:marBottom w:val="0"/>
              <w:divBdr>
                <w:top w:val="none" w:sz="0" w:space="0" w:color="auto"/>
                <w:left w:val="none" w:sz="0" w:space="0" w:color="auto"/>
                <w:bottom w:val="none" w:sz="0" w:space="0" w:color="auto"/>
                <w:right w:val="none" w:sz="0" w:space="0" w:color="auto"/>
              </w:divBdr>
            </w:div>
            <w:div w:id="746996192">
              <w:marLeft w:val="0"/>
              <w:marRight w:val="0"/>
              <w:marTop w:val="0"/>
              <w:marBottom w:val="0"/>
              <w:divBdr>
                <w:top w:val="none" w:sz="0" w:space="0" w:color="auto"/>
                <w:left w:val="none" w:sz="0" w:space="0" w:color="auto"/>
                <w:bottom w:val="none" w:sz="0" w:space="0" w:color="auto"/>
                <w:right w:val="none" w:sz="0" w:space="0" w:color="auto"/>
              </w:divBdr>
            </w:div>
            <w:div w:id="977540342">
              <w:marLeft w:val="0"/>
              <w:marRight w:val="0"/>
              <w:marTop w:val="0"/>
              <w:marBottom w:val="0"/>
              <w:divBdr>
                <w:top w:val="none" w:sz="0" w:space="0" w:color="auto"/>
                <w:left w:val="none" w:sz="0" w:space="0" w:color="auto"/>
                <w:bottom w:val="none" w:sz="0" w:space="0" w:color="auto"/>
                <w:right w:val="none" w:sz="0" w:space="0" w:color="auto"/>
              </w:divBdr>
            </w:div>
            <w:div w:id="1113213563">
              <w:marLeft w:val="0"/>
              <w:marRight w:val="0"/>
              <w:marTop w:val="0"/>
              <w:marBottom w:val="0"/>
              <w:divBdr>
                <w:top w:val="none" w:sz="0" w:space="0" w:color="auto"/>
                <w:left w:val="none" w:sz="0" w:space="0" w:color="auto"/>
                <w:bottom w:val="none" w:sz="0" w:space="0" w:color="auto"/>
                <w:right w:val="none" w:sz="0" w:space="0" w:color="auto"/>
              </w:divBdr>
            </w:div>
            <w:div w:id="1124616367">
              <w:marLeft w:val="0"/>
              <w:marRight w:val="0"/>
              <w:marTop w:val="0"/>
              <w:marBottom w:val="0"/>
              <w:divBdr>
                <w:top w:val="none" w:sz="0" w:space="0" w:color="auto"/>
                <w:left w:val="none" w:sz="0" w:space="0" w:color="auto"/>
                <w:bottom w:val="none" w:sz="0" w:space="0" w:color="auto"/>
                <w:right w:val="none" w:sz="0" w:space="0" w:color="auto"/>
              </w:divBdr>
            </w:div>
            <w:div w:id="1159347513">
              <w:marLeft w:val="0"/>
              <w:marRight w:val="0"/>
              <w:marTop w:val="0"/>
              <w:marBottom w:val="0"/>
              <w:divBdr>
                <w:top w:val="none" w:sz="0" w:space="0" w:color="auto"/>
                <w:left w:val="none" w:sz="0" w:space="0" w:color="auto"/>
                <w:bottom w:val="none" w:sz="0" w:space="0" w:color="auto"/>
                <w:right w:val="none" w:sz="0" w:space="0" w:color="auto"/>
              </w:divBdr>
            </w:div>
            <w:div w:id="1287463708">
              <w:marLeft w:val="0"/>
              <w:marRight w:val="0"/>
              <w:marTop w:val="0"/>
              <w:marBottom w:val="0"/>
              <w:divBdr>
                <w:top w:val="none" w:sz="0" w:space="0" w:color="auto"/>
                <w:left w:val="none" w:sz="0" w:space="0" w:color="auto"/>
                <w:bottom w:val="none" w:sz="0" w:space="0" w:color="auto"/>
                <w:right w:val="none" w:sz="0" w:space="0" w:color="auto"/>
              </w:divBdr>
            </w:div>
            <w:div w:id="1422868216">
              <w:marLeft w:val="0"/>
              <w:marRight w:val="0"/>
              <w:marTop w:val="0"/>
              <w:marBottom w:val="0"/>
              <w:divBdr>
                <w:top w:val="none" w:sz="0" w:space="0" w:color="auto"/>
                <w:left w:val="none" w:sz="0" w:space="0" w:color="auto"/>
                <w:bottom w:val="none" w:sz="0" w:space="0" w:color="auto"/>
                <w:right w:val="none" w:sz="0" w:space="0" w:color="auto"/>
              </w:divBdr>
            </w:div>
            <w:div w:id="1540245019">
              <w:marLeft w:val="0"/>
              <w:marRight w:val="0"/>
              <w:marTop w:val="0"/>
              <w:marBottom w:val="0"/>
              <w:divBdr>
                <w:top w:val="none" w:sz="0" w:space="0" w:color="auto"/>
                <w:left w:val="none" w:sz="0" w:space="0" w:color="auto"/>
                <w:bottom w:val="none" w:sz="0" w:space="0" w:color="auto"/>
                <w:right w:val="none" w:sz="0" w:space="0" w:color="auto"/>
              </w:divBdr>
            </w:div>
            <w:div w:id="1822504087">
              <w:marLeft w:val="0"/>
              <w:marRight w:val="0"/>
              <w:marTop w:val="0"/>
              <w:marBottom w:val="0"/>
              <w:divBdr>
                <w:top w:val="none" w:sz="0" w:space="0" w:color="auto"/>
                <w:left w:val="none" w:sz="0" w:space="0" w:color="auto"/>
                <w:bottom w:val="none" w:sz="0" w:space="0" w:color="auto"/>
                <w:right w:val="none" w:sz="0" w:space="0" w:color="auto"/>
              </w:divBdr>
            </w:div>
            <w:div w:id="2086223238">
              <w:marLeft w:val="0"/>
              <w:marRight w:val="0"/>
              <w:marTop w:val="0"/>
              <w:marBottom w:val="0"/>
              <w:divBdr>
                <w:top w:val="none" w:sz="0" w:space="0" w:color="auto"/>
                <w:left w:val="none" w:sz="0" w:space="0" w:color="auto"/>
                <w:bottom w:val="none" w:sz="0" w:space="0" w:color="auto"/>
                <w:right w:val="none" w:sz="0" w:space="0" w:color="auto"/>
              </w:divBdr>
            </w:div>
          </w:divsChild>
        </w:div>
        <w:div w:id="289896516">
          <w:marLeft w:val="0"/>
          <w:marRight w:val="0"/>
          <w:marTop w:val="0"/>
          <w:marBottom w:val="0"/>
          <w:divBdr>
            <w:top w:val="none" w:sz="0" w:space="0" w:color="auto"/>
            <w:left w:val="none" w:sz="0" w:space="0" w:color="auto"/>
            <w:bottom w:val="none" w:sz="0" w:space="0" w:color="auto"/>
            <w:right w:val="none" w:sz="0" w:space="0" w:color="auto"/>
          </w:divBdr>
        </w:div>
      </w:divsChild>
    </w:div>
    <w:div w:id="114301341">
      <w:bodyDiv w:val="1"/>
      <w:marLeft w:val="0"/>
      <w:marRight w:val="0"/>
      <w:marTop w:val="0"/>
      <w:marBottom w:val="0"/>
      <w:divBdr>
        <w:top w:val="none" w:sz="0" w:space="0" w:color="auto"/>
        <w:left w:val="none" w:sz="0" w:space="0" w:color="auto"/>
        <w:bottom w:val="none" w:sz="0" w:space="0" w:color="auto"/>
        <w:right w:val="none" w:sz="0" w:space="0" w:color="auto"/>
      </w:divBdr>
      <w:divsChild>
        <w:div w:id="672416305">
          <w:marLeft w:val="547"/>
          <w:marRight w:val="0"/>
          <w:marTop w:val="134"/>
          <w:marBottom w:val="0"/>
          <w:divBdr>
            <w:top w:val="none" w:sz="0" w:space="0" w:color="auto"/>
            <w:left w:val="none" w:sz="0" w:space="0" w:color="auto"/>
            <w:bottom w:val="none" w:sz="0" w:space="0" w:color="auto"/>
            <w:right w:val="none" w:sz="0" w:space="0" w:color="auto"/>
          </w:divBdr>
        </w:div>
        <w:div w:id="976951302">
          <w:marLeft w:val="547"/>
          <w:marRight w:val="0"/>
          <w:marTop w:val="134"/>
          <w:marBottom w:val="0"/>
          <w:divBdr>
            <w:top w:val="none" w:sz="0" w:space="0" w:color="auto"/>
            <w:left w:val="none" w:sz="0" w:space="0" w:color="auto"/>
            <w:bottom w:val="none" w:sz="0" w:space="0" w:color="auto"/>
            <w:right w:val="none" w:sz="0" w:space="0" w:color="auto"/>
          </w:divBdr>
        </w:div>
        <w:div w:id="1841770383">
          <w:marLeft w:val="547"/>
          <w:marRight w:val="0"/>
          <w:marTop w:val="134"/>
          <w:marBottom w:val="0"/>
          <w:divBdr>
            <w:top w:val="none" w:sz="0" w:space="0" w:color="auto"/>
            <w:left w:val="none" w:sz="0" w:space="0" w:color="auto"/>
            <w:bottom w:val="none" w:sz="0" w:space="0" w:color="auto"/>
            <w:right w:val="none" w:sz="0" w:space="0" w:color="auto"/>
          </w:divBdr>
        </w:div>
      </w:divsChild>
    </w:div>
    <w:div w:id="121465542">
      <w:bodyDiv w:val="1"/>
      <w:marLeft w:val="0"/>
      <w:marRight w:val="0"/>
      <w:marTop w:val="0"/>
      <w:marBottom w:val="0"/>
      <w:divBdr>
        <w:top w:val="none" w:sz="0" w:space="0" w:color="auto"/>
        <w:left w:val="none" w:sz="0" w:space="0" w:color="auto"/>
        <w:bottom w:val="none" w:sz="0" w:space="0" w:color="auto"/>
        <w:right w:val="none" w:sz="0" w:space="0" w:color="auto"/>
      </w:divBdr>
    </w:div>
    <w:div w:id="121576242">
      <w:bodyDiv w:val="1"/>
      <w:marLeft w:val="0"/>
      <w:marRight w:val="0"/>
      <w:marTop w:val="0"/>
      <w:marBottom w:val="0"/>
      <w:divBdr>
        <w:top w:val="none" w:sz="0" w:space="0" w:color="auto"/>
        <w:left w:val="none" w:sz="0" w:space="0" w:color="auto"/>
        <w:bottom w:val="none" w:sz="0" w:space="0" w:color="auto"/>
        <w:right w:val="none" w:sz="0" w:space="0" w:color="auto"/>
      </w:divBdr>
    </w:div>
    <w:div w:id="127212660">
      <w:bodyDiv w:val="1"/>
      <w:marLeft w:val="0"/>
      <w:marRight w:val="0"/>
      <w:marTop w:val="0"/>
      <w:marBottom w:val="0"/>
      <w:divBdr>
        <w:top w:val="none" w:sz="0" w:space="0" w:color="auto"/>
        <w:left w:val="none" w:sz="0" w:space="0" w:color="auto"/>
        <w:bottom w:val="none" w:sz="0" w:space="0" w:color="auto"/>
        <w:right w:val="none" w:sz="0" w:space="0" w:color="auto"/>
      </w:divBdr>
    </w:div>
    <w:div w:id="127482398">
      <w:bodyDiv w:val="1"/>
      <w:marLeft w:val="0"/>
      <w:marRight w:val="0"/>
      <w:marTop w:val="0"/>
      <w:marBottom w:val="0"/>
      <w:divBdr>
        <w:top w:val="none" w:sz="0" w:space="0" w:color="auto"/>
        <w:left w:val="none" w:sz="0" w:space="0" w:color="auto"/>
        <w:bottom w:val="none" w:sz="0" w:space="0" w:color="auto"/>
        <w:right w:val="none" w:sz="0" w:space="0" w:color="auto"/>
      </w:divBdr>
    </w:div>
    <w:div w:id="130365163">
      <w:bodyDiv w:val="1"/>
      <w:marLeft w:val="0"/>
      <w:marRight w:val="0"/>
      <w:marTop w:val="0"/>
      <w:marBottom w:val="0"/>
      <w:divBdr>
        <w:top w:val="none" w:sz="0" w:space="0" w:color="auto"/>
        <w:left w:val="none" w:sz="0" w:space="0" w:color="auto"/>
        <w:bottom w:val="none" w:sz="0" w:space="0" w:color="auto"/>
        <w:right w:val="none" w:sz="0" w:space="0" w:color="auto"/>
      </w:divBdr>
    </w:div>
    <w:div w:id="131947579">
      <w:bodyDiv w:val="1"/>
      <w:marLeft w:val="0"/>
      <w:marRight w:val="0"/>
      <w:marTop w:val="0"/>
      <w:marBottom w:val="0"/>
      <w:divBdr>
        <w:top w:val="none" w:sz="0" w:space="0" w:color="auto"/>
        <w:left w:val="none" w:sz="0" w:space="0" w:color="auto"/>
        <w:bottom w:val="none" w:sz="0" w:space="0" w:color="auto"/>
        <w:right w:val="none" w:sz="0" w:space="0" w:color="auto"/>
      </w:divBdr>
      <w:divsChild>
        <w:div w:id="280960891">
          <w:marLeft w:val="547"/>
          <w:marRight w:val="0"/>
          <w:marTop w:val="154"/>
          <w:marBottom w:val="0"/>
          <w:divBdr>
            <w:top w:val="none" w:sz="0" w:space="0" w:color="auto"/>
            <w:left w:val="none" w:sz="0" w:space="0" w:color="auto"/>
            <w:bottom w:val="none" w:sz="0" w:space="0" w:color="auto"/>
            <w:right w:val="none" w:sz="0" w:space="0" w:color="auto"/>
          </w:divBdr>
        </w:div>
        <w:div w:id="674771024">
          <w:marLeft w:val="547"/>
          <w:marRight w:val="0"/>
          <w:marTop w:val="154"/>
          <w:marBottom w:val="0"/>
          <w:divBdr>
            <w:top w:val="none" w:sz="0" w:space="0" w:color="auto"/>
            <w:left w:val="none" w:sz="0" w:space="0" w:color="auto"/>
            <w:bottom w:val="none" w:sz="0" w:space="0" w:color="auto"/>
            <w:right w:val="none" w:sz="0" w:space="0" w:color="auto"/>
          </w:divBdr>
        </w:div>
        <w:div w:id="944069687">
          <w:marLeft w:val="1166"/>
          <w:marRight w:val="0"/>
          <w:marTop w:val="115"/>
          <w:marBottom w:val="0"/>
          <w:divBdr>
            <w:top w:val="none" w:sz="0" w:space="0" w:color="auto"/>
            <w:left w:val="none" w:sz="0" w:space="0" w:color="auto"/>
            <w:bottom w:val="none" w:sz="0" w:space="0" w:color="auto"/>
            <w:right w:val="none" w:sz="0" w:space="0" w:color="auto"/>
          </w:divBdr>
        </w:div>
        <w:div w:id="1343510661">
          <w:marLeft w:val="1166"/>
          <w:marRight w:val="0"/>
          <w:marTop w:val="115"/>
          <w:marBottom w:val="0"/>
          <w:divBdr>
            <w:top w:val="none" w:sz="0" w:space="0" w:color="auto"/>
            <w:left w:val="none" w:sz="0" w:space="0" w:color="auto"/>
            <w:bottom w:val="none" w:sz="0" w:space="0" w:color="auto"/>
            <w:right w:val="none" w:sz="0" w:space="0" w:color="auto"/>
          </w:divBdr>
        </w:div>
        <w:div w:id="1969043808">
          <w:marLeft w:val="547"/>
          <w:marRight w:val="0"/>
          <w:marTop w:val="154"/>
          <w:marBottom w:val="0"/>
          <w:divBdr>
            <w:top w:val="none" w:sz="0" w:space="0" w:color="auto"/>
            <w:left w:val="none" w:sz="0" w:space="0" w:color="auto"/>
            <w:bottom w:val="none" w:sz="0" w:space="0" w:color="auto"/>
            <w:right w:val="none" w:sz="0" w:space="0" w:color="auto"/>
          </w:divBdr>
        </w:div>
      </w:divsChild>
    </w:div>
    <w:div w:id="133253624">
      <w:bodyDiv w:val="1"/>
      <w:marLeft w:val="0"/>
      <w:marRight w:val="0"/>
      <w:marTop w:val="0"/>
      <w:marBottom w:val="0"/>
      <w:divBdr>
        <w:top w:val="none" w:sz="0" w:space="0" w:color="auto"/>
        <w:left w:val="none" w:sz="0" w:space="0" w:color="auto"/>
        <w:bottom w:val="none" w:sz="0" w:space="0" w:color="auto"/>
        <w:right w:val="none" w:sz="0" w:space="0" w:color="auto"/>
      </w:divBdr>
    </w:div>
    <w:div w:id="136387865">
      <w:bodyDiv w:val="1"/>
      <w:marLeft w:val="0"/>
      <w:marRight w:val="0"/>
      <w:marTop w:val="0"/>
      <w:marBottom w:val="0"/>
      <w:divBdr>
        <w:top w:val="none" w:sz="0" w:space="0" w:color="auto"/>
        <w:left w:val="none" w:sz="0" w:space="0" w:color="auto"/>
        <w:bottom w:val="none" w:sz="0" w:space="0" w:color="auto"/>
        <w:right w:val="none" w:sz="0" w:space="0" w:color="auto"/>
      </w:divBdr>
    </w:div>
    <w:div w:id="137773419">
      <w:bodyDiv w:val="1"/>
      <w:marLeft w:val="0"/>
      <w:marRight w:val="0"/>
      <w:marTop w:val="0"/>
      <w:marBottom w:val="0"/>
      <w:divBdr>
        <w:top w:val="none" w:sz="0" w:space="0" w:color="auto"/>
        <w:left w:val="none" w:sz="0" w:space="0" w:color="auto"/>
        <w:bottom w:val="none" w:sz="0" w:space="0" w:color="auto"/>
        <w:right w:val="none" w:sz="0" w:space="0" w:color="auto"/>
      </w:divBdr>
    </w:div>
    <w:div w:id="139734303">
      <w:bodyDiv w:val="1"/>
      <w:marLeft w:val="0"/>
      <w:marRight w:val="0"/>
      <w:marTop w:val="0"/>
      <w:marBottom w:val="0"/>
      <w:divBdr>
        <w:top w:val="none" w:sz="0" w:space="0" w:color="auto"/>
        <w:left w:val="none" w:sz="0" w:space="0" w:color="auto"/>
        <w:bottom w:val="none" w:sz="0" w:space="0" w:color="auto"/>
        <w:right w:val="none" w:sz="0" w:space="0" w:color="auto"/>
      </w:divBdr>
    </w:div>
    <w:div w:id="140273127">
      <w:bodyDiv w:val="1"/>
      <w:marLeft w:val="0"/>
      <w:marRight w:val="0"/>
      <w:marTop w:val="0"/>
      <w:marBottom w:val="0"/>
      <w:divBdr>
        <w:top w:val="none" w:sz="0" w:space="0" w:color="auto"/>
        <w:left w:val="none" w:sz="0" w:space="0" w:color="auto"/>
        <w:bottom w:val="none" w:sz="0" w:space="0" w:color="auto"/>
        <w:right w:val="none" w:sz="0" w:space="0" w:color="auto"/>
      </w:divBdr>
      <w:divsChild>
        <w:div w:id="88625391">
          <w:marLeft w:val="547"/>
          <w:marRight w:val="0"/>
          <w:marTop w:val="154"/>
          <w:marBottom w:val="0"/>
          <w:divBdr>
            <w:top w:val="none" w:sz="0" w:space="0" w:color="auto"/>
            <w:left w:val="none" w:sz="0" w:space="0" w:color="auto"/>
            <w:bottom w:val="none" w:sz="0" w:space="0" w:color="auto"/>
            <w:right w:val="none" w:sz="0" w:space="0" w:color="auto"/>
          </w:divBdr>
        </w:div>
        <w:div w:id="493109052">
          <w:marLeft w:val="547"/>
          <w:marRight w:val="0"/>
          <w:marTop w:val="154"/>
          <w:marBottom w:val="0"/>
          <w:divBdr>
            <w:top w:val="none" w:sz="0" w:space="0" w:color="auto"/>
            <w:left w:val="none" w:sz="0" w:space="0" w:color="auto"/>
            <w:bottom w:val="none" w:sz="0" w:space="0" w:color="auto"/>
            <w:right w:val="none" w:sz="0" w:space="0" w:color="auto"/>
          </w:divBdr>
        </w:div>
        <w:div w:id="799498424">
          <w:marLeft w:val="547"/>
          <w:marRight w:val="0"/>
          <w:marTop w:val="154"/>
          <w:marBottom w:val="0"/>
          <w:divBdr>
            <w:top w:val="none" w:sz="0" w:space="0" w:color="auto"/>
            <w:left w:val="none" w:sz="0" w:space="0" w:color="auto"/>
            <w:bottom w:val="none" w:sz="0" w:space="0" w:color="auto"/>
            <w:right w:val="none" w:sz="0" w:space="0" w:color="auto"/>
          </w:divBdr>
        </w:div>
        <w:div w:id="1618753518">
          <w:marLeft w:val="547"/>
          <w:marRight w:val="0"/>
          <w:marTop w:val="154"/>
          <w:marBottom w:val="0"/>
          <w:divBdr>
            <w:top w:val="none" w:sz="0" w:space="0" w:color="auto"/>
            <w:left w:val="none" w:sz="0" w:space="0" w:color="auto"/>
            <w:bottom w:val="none" w:sz="0" w:space="0" w:color="auto"/>
            <w:right w:val="none" w:sz="0" w:space="0" w:color="auto"/>
          </w:divBdr>
        </w:div>
      </w:divsChild>
    </w:div>
    <w:div w:id="145754449">
      <w:bodyDiv w:val="1"/>
      <w:marLeft w:val="0"/>
      <w:marRight w:val="0"/>
      <w:marTop w:val="0"/>
      <w:marBottom w:val="0"/>
      <w:divBdr>
        <w:top w:val="none" w:sz="0" w:space="0" w:color="auto"/>
        <w:left w:val="none" w:sz="0" w:space="0" w:color="auto"/>
        <w:bottom w:val="none" w:sz="0" w:space="0" w:color="auto"/>
        <w:right w:val="none" w:sz="0" w:space="0" w:color="auto"/>
      </w:divBdr>
    </w:div>
    <w:div w:id="147601875">
      <w:bodyDiv w:val="1"/>
      <w:marLeft w:val="0"/>
      <w:marRight w:val="0"/>
      <w:marTop w:val="0"/>
      <w:marBottom w:val="0"/>
      <w:divBdr>
        <w:top w:val="none" w:sz="0" w:space="0" w:color="auto"/>
        <w:left w:val="none" w:sz="0" w:space="0" w:color="auto"/>
        <w:bottom w:val="none" w:sz="0" w:space="0" w:color="auto"/>
        <w:right w:val="none" w:sz="0" w:space="0" w:color="auto"/>
      </w:divBdr>
    </w:div>
    <w:div w:id="155001677">
      <w:bodyDiv w:val="1"/>
      <w:marLeft w:val="0"/>
      <w:marRight w:val="0"/>
      <w:marTop w:val="0"/>
      <w:marBottom w:val="0"/>
      <w:divBdr>
        <w:top w:val="none" w:sz="0" w:space="0" w:color="auto"/>
        <w:left w:val="none" w:sz="0" w:space="0" w:color="auto"/>
        <w:bottom w:val="none" w:sz="0" w:space="0" w:color="auto"/>
        <w:right w:val="none" w:sz="0" w:space="0" w:color="auto"/>
      </w:divBdr>
      <w:divsChild>
        <w:div w:id="337733466">
          <w:marLeft w:val="1166"/>
          <w:marRight w:val="0"/>
          <w:marTop w:val="134"/>
          <w:marBottom w:val="0"/>
          <w:divBdr>
            <w:top w:val="none" w:sz="0" w:space="0" w:color="auto"/>
            <w:left w:val="none" w:sz="0" w:space="0" w:color="auto"/>
            <w:bottom w:val="none" w:sz="0" w:space="0" w:color="auto"/>
            <w:right w:val="none" w:sz="0" w:space="0" w:color="auto"/>
          </w:divBdr>
        </w:div>
        <w:div w:id="720061184">
          <w:marLeft w:val="1166"/>
          <w:marRight w:val="0"/>
          <w:marTop w:val="134"/>
          <w:marBottom w:val="0"/>
          <w:divBdr>
            <w:top w:val="none" w:sz="0" w:space="0" w:color="auto"/>
            <w:left w:val="none" w:sz="0" w:space="0" w:color="auto"/>
            <w:bottom w:val="none" w:sz="0" w:space="0" w:color="auto"/>
            <w:right w:val="none" w:sz="0" w:space="0" w:color="auto"/>
          </w:divBdr>
        </w:div>
        <w:div w:id="1025323358">
          <w:marLeft w:val="1166"/>
          <w:marRight w:val="0"/>
          <w:marTop w:val="134"/>
          <w:marBottom w:val="0"/>
          <w:divBdr>
            <w:top w:val="none" w:sz="0" w:space="0" w:color="auto"/>
            <w:left w:val="none" w:sz="0" w:space="0" w:color="auto"/>
            <w:bottom w:val="none" w:sz="0" w:space="0" w:color="auto"/>
            <w:right w:val="none" w:sz="0" w:space="0" w:color="auto"/>
          </w:divBdr>
        </w:div>
        <w:div w:id="1671331213">
          <w:marLeft w:val="547"/>
          <w:marRight w:val="0"/>
          <w:marTop w:val="154"/>
          <w:marBottom w:val="0"/>
          <w:divBdr>
            <w:top w:val="none" w:sz="0" w:space="0" w:color="auto"/>
            <w:left w:val="none" w:sz="0" w:space="0" w:color="auto"/>
            <w:bottom w:val="none" w:sz="0" w:space="0" w:color="auto"/>
            <w:right w:val="none" w:sz="0" w:space="0" w:color="auto"/>
          </w:divBdr>
        </w:div>
        <w:div w:id="1953510324">
          <w:marLeft w:val="547"/>
          <w:marRight w:val="0"/>
          <w:marTop w:val="154"/>
          <w:marBottom w:val="0"/>
          <w:divBdr>
            <w:top w:val="none" w:sz="0" w:space="0" w:color="auto"/>
            <w:left w:val="none" w:sz="0" w:space="0" w:color="auto"/>
            <w:bottom w:val="none" w:sz="0" w:space="0" w:color="auto"/>
            <w:right w:val="none" w:sz="0" w:space="0" w:color="auto"/>
          </w:divBdr>
        </w:div>
        <w:div w:id="2071348062">
          <w:marLeft w:val="1166"/>
          <w:marRight w:val="0"/>
          <w:marTop w:val="134"/>
          <w:marBottom w:val="0"/>
          <w:divBdr>
            <w:top w:val="none" w:sz="0" w:space="0" w:color="auto"/>
            <w:left w:val="none" w:sz="0" w:space="0" w:color="auto"/>
            <w:bottom w:val="none" w:sz="0" w:space="0" w:color="auto"/>
            <w:right w:val="none" w:sz="0" w:space="0" w:color="auto"/>
          </w:divBdr>
        </w:div>
      </w:divsChild>
    </w:div>
    <w:div w:id="157887037">
      <w:bodyDiv w:val="1"/>
      <w:marLeft w:val="0"/>
      <w:marRight w:val="0"/>
      <w:marTop w:val="0"/>
      <w:marBottom w:val="0"/>
      <w:divBdr>
        <w:top w:val="none" w:sz="0" w:space="0" w:color="auto"/>
        <w:left w:val="none" w:sz="0" w:space="0" w:color="auto"/>
        <w:bottom w:val="none" w:sz="0" w:space="0" w:color="auto"/>
        <w:right w:val="none" w:sz="0" w:space="0" w:color="auto"/>
      </w:divBdr>
    </w:div>
    <w:div w:id="158351448">
      <w:bodyDiv w:val="1"/>
      <w:marLeft w:val="0"/>
      <w:marRight w:val="0"/>
      <w:marTop w:val="0"/>
      <w:marBottom w:val="0"/>
      <w:divBdr>
        <w:top w:val="none" w:sz="0" w:space="0" w:color="auto"/>
        <w:left w:val="none" w:sz="0" w:space="0" w:color="auto"/>
        <w:bottom w:val="none" w:sz="0" w:space="0" w:color="auto"/>
        <w:right w:val="none" w:sz="0" w:space="0" w:color="auto"/>
      </w:divBdr>
    </w:div>
    <w:div w:id="161357532">
      <w:bodyDiv w:val="1"/>
      <w:marLeft w:val="0"/>
      <w:marRight w:val="0"/>
      <w:marTop w:val="0"/>
      <w:marBottom w:val="0"/>
      <w:divBdr>
        <w:top w:val="none" w:sz="0" w:space="0" w:color="auto"/>
        <w:left w:val="none" w:sz="0" w:space="0" w:color="auto"/>
        <w:bottom w:val="none" w:sz="0" w:space="0" w:color="auto"/>
        <w:right w:val="none" w:sz="0" w:space="0" w:color="auto"/>
      </w:divBdr>
    </w:div>
    <w:div w:id="167251997">
      <w:bodyDiv w:val="1"/>
      <w:marLeft w:val="0"/>
      <w:marRight w:val="0"/>
      <w:marTop w:val="0"/>
      <w:marBottom w:val="0"/>
      <w:divBdr>
        <w:top w:val="none" w:sz="0" w:space="0" w:color="auto"/>
        <w:left w:val="none" w:sz="0" w:space="0" w:color="auto"/>
        <w:bottom w:val="none" w:sz="0" w:space="0" w:color="auto"/>
        <w:right w:val="none" w:sz="0" w:space="0" w:color="auto"/>
      </w:divBdr>
    </w:div>
    <w:div w:id="172260098">
      <w:bodyDiv w:val="1"/>
      <w:marLeft w:val="0"/>
      <w:marRight w:val="0"/>
      <w:marTop w:val="0"/>
      <w:marBottom w:val="0"/>
      <w:divBdr>
        <w:top w:val="none" w:sz="0" w:space="0" w:color="auto"/>
        <w:left w:val="none" w:sz="0" w:space="0" w:color="auto"/>
        <w:bottom w:val="none" w:sz="0" w:space="0" w:color="auto"/>
        <w:right w:val="none" w:sz="0" w:space="0" w:color="auto"/>
      </w:divBdr>
    </w:div>
    <w:div w:id="174075775">
      <w:bodyDiv w:val="1"/>
      <w:marLeft w:val="0"/>
      <w:marRight w:val="0"/>
      <w:marTop w:val="0"/>
      <w:marBottom w:val="0"/>
      <w:divBdr>
        <w:top w:val="none" w:sz="0" w:space="0" w:color="auto"/>
        <w:left w:val="none" w:sz="0" w:space="0" w:color="auto"/>
        <w:bottom w:val="none" w:sz="0" w:space="0" w:color="auto"/>
        <w:right w:val="none" w:sz="0" w:space="0" w:color="auto"/>
      </w:divBdr>
    </w:div>
    <w:div w:id="176043717">
      <w:bodyDiv w:val="1"/>
      <w:marLeft w:val="0"/>
      <w:marRight w:val="0"/>
      <w:marTop w:val="0"/>
      <w:marBottom w:val="0"/>
      <w:divBdr>
        <w:top w:val="none" w:sz="0" w:space="0" w:color="auto"/>
        <w:left w:val="none" w:sz="0" w:space="0" w:color="auto"/>
        <w:bottom w:val="none" w:sz="0" w:space="0" w:color="auto"/>
        <w:right w:val="none" w:sz="0" w:space="0" w:color="auto"/>
      </w:divBdr>
    </w:div>
    <w:div w:id="179978096">
      <w:bodyDiv w:val="1"/>
      <w:marLeft w:val="0"/>
      <w:marRight w:val="0"/>
      <w:marTop w:val="0"/>
      <w:marBottom w:val="0"/>
      <w:divBdr>
        <w:top w:val="none" w:sz="0" w:space="0" w:color="auto"/>
        <w:left w:val="none" w:sz="0" w:space="0" w:color="auto"/>
        <w:bottom w:val="none" w:sz="0" w:space="0" w:color="auto"/>
        <w:right w:val="none" w:sz="0" w:space="0" w:color="auto"/>
      </w:divBdr>
      <w:divsChild>
        <w:div w:id="4095989">
          <w:marLeft w:val="0"/>
          <w:marRight w:val="0"/>
          <w:marTop w:val="34"/>
          <w:marBottom w:val="10"/>
          <w:divBdr>
            <w:top w:val="none" w:sz="0" w:space="0" w:color="auto"/>
            <w:left w:val="none" w:sz="0" w:space="0" w:color="auto"/>
            <w:bottom w:val="none" w:sz="0" w:space="0" w:color="auto"/>
            <w:right w:val="none" w:sz="0" w:space="0" w:color="auto"/>
          </w:divBdr>
          <w:divsChild>
            <w:div w:id="1449423747">
              <w:marLeft w:val="0"/>
              <w:marRight w:val="0"/>
              <w:marTop w:val="0"/>
              <w:marBottom w:val="0"/>
              <w:divBdr>
                <w:top w:val="none" w:sz="0" w:space="0" w:color="auto"/>
                <w:left w:val="none" w:sz="0" w:space="0" w:color="auto"/>
                <w:bottom w:val="none" w:sz="0" w:space="0" w:color="auto"/>
                <w:right w:val="none" w:sz="0" w:space="0" w:color="auto"/>
              </w:divBdr>
            </w:div>
          </w:divsChild>
        </w:div>
        <w:div w:id="7149073">
          <w:marLeft w:val="0"/>
          <w:marRight w:val="0"/>
          <w:marTop w:val="34"/>
          <w:marBottom w:val="10"/>
          <w:divBdr>
            <w:top w:val="none" w:sz="0" w:space="0" w:color="auto"/>
            <w:left w:val="none" w:sz="0" w:space="0" w:color="auto"/>
            <w:bottom w:val="none" w:sz="0" w:space="0" w:color="auto"/>
            <w:right w:val="none" w:sz="0" w:space="0" w:color="auto"/>
          </w:divBdr>
          <w:divsChild>
            <w:div w:id="416513033">
              <w:marLeft w:val="0"/>
              <w:marRight w:val="0"/>
              <w:marTop w:val="0"/>
              <w:marBottom w:val="0"/>
              <w:divBdr>
                <w:top w:val="none" w:sz="0" w:space="0" w:color="auto"/>
                <w:left w:val="none" w:sz="0" w:space="0" w:color="auto"/>
                <w:bottom w:val="none" w:sz="0" w:space="0" w:color="auto"/>
                <w:right w:val="none" w:sz="0" w:space="0" w:color="auto"/>
              </w:divBdr>
            </w:div>
          </w:divsChild>
        </w:div>
        <w:div w:id="7828747">
          <w:marLeft w:val="0"/>
          <w:marRight w:val="0"/>
          <w:marTop w:val="34"/>
          <w:marBottom w:val="10"/>
          <w:divBdr>
            <w:top w:val="none" w:sz="0" w:space="0" w:color="auto"/>
            <w:left w:val="none" w:sz="0" w:space="0" w:color="auto"/>
            <w:bottom w:val="none" w:sz="0" w:space="0" w:color="auto"/>
            <w:right w:val="none" w:sz="0" w:space="0" w:color="auto"/>
          </w:divBdr>
        </w:div>
        <w:div w:id="27294416">
          <w:marLeft w:val="0"/>
          <w:marRight w:val="0"/>
          <w:marTop w:val="34"/>
          <w:marBottom w:val="10"/>
          <w:divBdr>
            <w:top w:val="none" w:sz="0" w:space="0" w:color="auto"/>
            <w:left w:val="none" w:sz="0" w:space="0" w:color="auto"/>
            <w:bottom w:val="none" w:sz="0" w:space="0" w:color="auto"/>
            <w:right w:val="none" w:sz="0" w:space="0" w:color="auto"/>
          </w:divBdr>
        </w:div>
        <w:div w:id="29495162">
          <w:marLeft w:val="0"/>
          <w:marRight w:val="0"/>
          <w:marTop w:val="34"/>
          <w:marBottom w:val="10"/>
          <w:divBdr>
            <w:top w:val="none" w:sz="0" w:space="0" w:color="auto"/>
            <w:left w:val="none" w:sz="0" w:space="0" w:color="auto"/>
            <w:bottom w:val="none" w:sz="0" w:space="0" w:color="auto"/>
            <w:right w:val="none" w:sz="0" w:space="0" w:color="auto"/>
          </w:divBdr>
          <w:divsChild>
            <w:div w:id="408502927">
              <w:marLeft w:val="0"/>
              <w:marRight w:val="0"/>
              <w:marTop w:val="0"/>
              <w:marBottom w:val="0"/>
              <w:divBdr>
                <w:top w:val="none" w:sz="0" w:space="0" w:color="auto"/>
                <w:left w:val="none" w:sz="0" w:space="0" w:color="auto"/>
                <w:bottom w:val="none" w:sz="0" w:space="0" w:color="auto"/>
                <w:right w:val="none" w:sz="0" w:space="0" w:color="auto"/>
              </w:divBdr>
            </w:div>
          </w:divsChild>
        </w:div>
        <w:div w:id="30884565">
          <w:marLeft w:val="0"/>
          <w:marRight w:val="0"/>
          <w:marTop w:val="34"/>
          <w:marBottom w:val="10"/>
          <w:divBdr>
            <w:top w:val="none" w:sz="0" w:space="0" w:color="auto"/>
            <w:left w:val="none" w:sz="0" w:space="0" w:color="auto"/>
            <w:bottom w:val="none" w:sz="0" w:space="0" w:color="auto"/>
            <w:right w:val="none" w:sz="0" w:space="0" w:color="auto"/>
          </w:divBdr>
        </w:div>
        <w:div w:id="36055489">
          <w:marLeft w:val="0"/>
          <w:marRight w:val="0"/>
          <w:marTop w:val="34"/>
          <w:marBottom w:val="10"/>
          <w:divBdr>
            <w:top w:val="none" w:sz="0" w:space="0" w:color="auto"/>
            <w:left w:val="none" w:sz="0" w:space="0" w:color="auto"/>
            <w:bottom w:val="none" w:sz="0" w:space="0" w:color="auto"/>
            <w:right w:val="none" w:sz="0" w:space="0" w:color="auto"/>
          </w:divBdr>
          <w:divsChild>
            <w:div w:id="1790391076">
              <w:marLeft w:val="0"/>
              <w:marRight w:val="0"/>
              <w:marTop w:val="0"/>
              <w:marBottom w:val="0"/>
              <w:divBdr>
                <w:top w:val="none" w:sz="0" w:space="0" w:color="auto"/>
                <w:left w:val="none" w:sz="0" w:space="0" w:color="auto"/>
                <w:bottom w:val="none" w:sz="0" w:space="0" w:color="auto"/>
                <w:right w:val="none" w:sz="0" w:space="0" w:color="auto"/>
              </w:divBdr>
            </w:div>
          </w:divsChild>
        </w:div>
        <w:div w:id="49698080">
          <w:marLeft w:val="0"/>
          <w:marRight w:val="0"/>
          <w:marTop w:val="34"/>
          <w:marBottom w:val="10"/>
          <w:divBdr>
            <w:top w:val="none" w:sz="0" w:space="0" w:color="auto"/>
            <w:left w:val="none" w:sz="0" w:space="0" w:color="auto"/>
            <w:bottom w:val="none" w:sz="0" w:space="0" w:color="auto"/>
            <w:right w:val="none" w:sz="0" w:space="0" w:color="auto"/>
          </w:divBdr>
          <w:divsChild>
            <w:div w:id="1313675736">
              <w:marLeft w:val="0"/>
              <w:marRight w:val="0"/>
              <w:marTop w:val="0"/>
              <w:marBottom w:val="0"/>
              <w:divBdr>
                <w:top w:val="none" w:sz="0" w:space="0" w:color="auto"/>
                <w:left w:val="none" w:sz="0" w:space="0" w:color="auto"/>
                <w:bottom w:val="none" w:sz="0" w:space="0" w:color="auto"/>
                <w:right w:val="none" w:sz="0" w:space="0" w:color="auto"/>
              </w:divBdr>
            </w:div>
          </w:divsChild>
        </w:div>
        <w:div w:id="57555786">
          <w:marLeft w:val="0"/>
          <w:marRight w:val="0"/>
          <w:marTop w:val="34"/>
          <w:marBottom w:val="10"/>
          <w:divBdr>
            <w:top w:val="none" w:sz="0" w:space="0" w:color="auto"/>
            <w:left w:val="none" w:sz="0" w:space="0" w:color="auto"/>
            <w:bottom w:val="none" w:sz="0" w:space="0" w:color="auto"/>
            <w:right w:val="none" w:sz="0" w:space="0" w:color="auto"/>
          </w:divBdr>
          <w:divsChild>
            <w:div w:id="1086994943">
              <w:marLeft w:val="0"/>
              <w:marRight w:val="0"/>
              <w:marTop w:val="0"/>
              <w:marBottom w:val="0"/>
              <w:divBdr>
                <w:top w:val="none" w:sz="0" w:space="0" w:color="auto"/>
                <w:left w:val="none" w:sz="0" w:space="0" w:color="auto"/>
                <w:bottom w:val="none" w:sz="0" w:space="0" w:color="auto"/>
                <w:right w:val="none" w:sz="0" w:space="0" w:color="auto"/>
              </w:divBdr>
            </w:div>
          </w:divsChild>
        </w:div>
        <w:div w:id="59518537">
          <w:marLeft w:val="0"/>
          <w:marRight w:val="0"/>
          <w:marTop w:val="34"/>
          <w:marBottom w:val="10"/>
          <w:divBdr>
            <w:top w:val="none" w:sz="0" w:space="0" w:color="auto"/>
            <w:left w:val="none" w:sz="0" w:space="0" w:color="auto"/>
            <w:bottom w:val="none" w:sz="0" w:space="0" w:color="auto"/>
            <w:right w:val="none" w:sz="0" w:space="0" w:color="auto"/>
          </w:divBdr>
          <w:divsChild>
            <w:div w:id="1939026417">
              <w:marLeft w:val="0"/>
              <w:marRight w:val="0"/>
              <w:marTop w:val="0"/>
              <w:marBottom w:val="0"/>
              <w:divBdr>
                <w:top w:val="none" w:sz="0" w:space="0" w:color="auto"/>
                <w:left w:val="none" w:sz="0" w:space="0" w:color="auto"/>
                <w:bottom w:val="none" w:sz="0" w:space="0" w:color="auto"/>
                <w:right w:val="none" w:sz="0" w:space="0" w:color="auto"/>
              </w:divBdr>
            </w:div>
          </w:divsChild>
        </w:div>
        <w:div w:id="83692981">
          <w:marLeft w:val="0"/>
          <w:marRight w:val="0"/>
          <w:marTop w:val="34"/>
          <w:marBottom w:val="10"/>
          <w:divBdr>
            <w:top w:val="none" w:sz="0" w:space="0" w:color="auto"/>
            <w:left w:val="none" w:sz="0" w:space="0" w:color="auto"/>
            <w:bottom w:val="none" w:sz="0" w:space="0" w:color="auto"/>
            <w:right w:val="none" w:sz="0" w:space="0" w:color="auto"/>
          </w:divBdr>
          <w:divsChild>
            <w:div w:id="1009329448">
              <w:marLeft w:val="0"/>
              <w:marRight w:val="0"/>
              <w:marTop w:val="0"/>
              <w:marBottom w:val="0"/>
              <w:divBdr>
                <w:top w:val="none" w:sz="0" w:space="0" w:color="auto"/>
                <w:left w:val="none" w:sz="0" w:space="0" w:color="auto"/>
                <w:bottom w:val="none" w:sz="0" w:space="0" w:color="auto"/>
                <w:right w:val="none" w:sz="0" w:space="0" w:color="auto"/>
              </w:divBdr>
            </w:div>
          </w:divsChild>
        </w:div>
        <w:div w:id="87385664">
          <w:marLeft w:val="0"/>
          <w:marRight w:val="0"/>
          <w:marTop w:val="34"/>
          <w:marBottom w:val="10"/>
          <w:divBdr>
            <w:top w:val="none" w:sz="0" w:space="0" w:color="auto"/>
            <w:left w:val="none" w:sz="0" w:space="0" w:color="auto"/>
            <w:bottom w:val="none" w:sz="0" w:space="0" w:color="auto"/>
            <w:right w:val="none" w:sz="0" w:space="0" w:color="auto"/>
          </w:divBdr>
          <w:divsChild>
            <w:div w:id="1187214791">
              <w:marLeft w:val="0"/>
              <w:marRight w:val="0"/>
              <w:marTop w:val="0"/>
              <w:marBottom w:val="0"/>
              <w:divBdr>
                <w:top w:val="none" w:sz="0" w:space="0" w:color="auto"/>
                <w:left w:val="none" w:sz="0" w:space="0" w:color="auto"/>
                <w:bottom w:val="none" w:sz="0" w:space="0" w:color="auto"/>
                <w:right w:val="none" w:sz="0" w:space="0" w:color="auto"/>
              </w:divBdr>
            </w:div>
          </w:divsChild>
        </w:div>
        <w:div w:id="92945918">
          <w:marLeft w:val="0"/>
          <w:marRight w:val="0"/>
          <w:marTop w:val="34"/>
          <w:marBottom w:val="10"/>
          <w:divBdr>
            <w:top w:val="none" w:sz="0" w:space="0" w:color="auto"/>
            <w:left w:val="none" w:sz="0" w:space="0" w:color="auto"/>
            <w:bottom w:val="none" w:sz="0" w:space="0" w:color="auto"/>
            <w:right w:val="none" w:sz="0" w:space="0" w:color="auto"/>
          </w:divBdr>
          <w:divsChild>
            <w:div w:id="2008097731">
              <w:marLeft w:val="0"/>
              <w:marRight w:val="0"/>
              <w:marTop w:val="0"/>
              <w:marBottom w:val="0"/>
              <w:divBdr>
                <w:top w:val="none" w:sz="0" w:space="0" w:color="auto"/>
                <w:left w:val="none" w:sz="0" w:space="0" w:color="auto"/>
                <w:bottom w:val="none" w:sz="0" w:space="0" w:color="auto"/>
                <w:right w:val="none" w:sz="0" w:space="0" w:color="auto"/>
              </w:divBdr>
            </w:div>
          </w:divsChild>
        </w:div>
        <w:div w:id="106200670">
          <w:marLeft w:val="0"/>
          <w:marRight w:val="0"/>
          <w:marTop w:val="34"/>
          <w:marBottom w:val="10"/>
          <w:divBdr>
            <w:top w:val="none" w:sz="0" w:space="0" w:color="auto"/>
            <w:left w:val="none" w:sz="0" w:space="0" w:color="auto"/>
            <w:bottom w:val="none" w:sz="0" w:space="0" w:color="auto"/>
            <w:right w:val="none" w:sz="0" w:space="0" w:color="auto"/>
          </w:divBdr>
          <w:divsChild>
            <w:div w:id="435566259">
              <w:marLeft w:val="0"/>
              <w:marRight w:val="0"/>
              <w:marTop w:val="0"/>
              <w:marBottom w:val="0"/>
              <w:divBdr>
                <w:top w:val="none" w:sz="0" w:space="0" w:color="auto"/>
                <w:left w:val="none" w:sz="0" w:space="0" w:color="auto"/>
                <w:bottom w:val="none" w:sz="0" w:space="0" w:color="auto"/>
                <w:right w:val="none" w:sz="0" w:space="0" w:color="auto"/>
              </w:divBdr>
            </w:div>
          </w:divsChild>
        </w:div>
        <w:div w:id="112797089">
          <w:marLeft w:val="0"/>
          <w:marRight w:val="0"/>
          <w:marTop w:val="34"/>
          <w:marBottom w:val="10"/>
          <w:divBdr>
            <w:top w:val="none" w:sz="0" w:space="0" w:color="auto"/>
            <w:left w:val="none" w:sz="0" w:space="0" w:color="auto"/>
            <w:bottom w:val="none" w:sz="0" w:space="0" w:color="auto"/>
            <w:right w:val="none" w:sz="0" w:space="0" w:color="auto"/>
          </w:divBdr>
          <w:divsChild>
            <w:div w:id="201135235">
              <w:marLeft w:val="0"/>
              <w:marRight w:val="0"/>
              <w:marTop w:val="0"/>
              <w:marBottom w:val="0"/>
              <w:divBdr>
                <w:top w:val="none" w:sz="0" w:space="0" w:color="auto"/>
                <w:left w:val="none" w:sz="0" w:space="0" w:color="auto"/>
                <w:bottom w:val="none" w:sz="0" w:space="0" w:color="auto"/>
                <w:right w:val="none" w:sz="0" w:space="0" w:color="auto"/>
              </w:divBdr>
            </w:div>
          </w:divsChild>
        </w:div>
        <w:div w:id="118842993">
          <w:marLeft w:val="0"/>
          <w:marRight w:val="0"/>
          <w:marTop w:val="34"/>
          <w:marBottom w:val="10"/>
          <w:divBdr>
            <w:top w:val="none" w:sz="0" w:space="0" w:color="auto"/>
            <w:left w:val="none" w:sz="0" w:space="0" w:color="auto"/>
            <w:bottom w:val="none" w:sz="0" w:space="0" w:color="auto"/>
            <w:right w:val="none" w:sz="0" w:space="0" w:color="auto"/>
          </w:divBdr>
          <w:divsChild>
            <w:div w:id="1534688311">
              <w:marLeft w:val="0"/>
              <w:marRight w:val="0"/>
              <w:marTop w:val="0"/>
              <w:marBottom w:val="0"/>
              <w:divBdr>
                <w:top w:val="none" w:sz="0" w:space="0" w:color="auto"/>
                <w:left w:val="none" w:sz="0" w:space="0" w:color="auto"/>
                <w:bottom w:val="none" w:sz="0" w:space="0" w:color="auto"/>
                <w:right w:val="none" w:sz="0" w:space="0" w:color="auto"/>
              </w:divBdr>
            </w:div>
          </w:divsChild>
        </w:div>
        <w:div w:id="131219785">
          <w:marLeft w:val="0"/>
          <w:marRight w:val="0"/>
          <w:marTop w:val="34"/>
          <w:marBottom w:val="10"/>
          <w:divBdr>
            <w:top w:val="none" w:sz="0" w:space="0" w:color="auto"/>
            <w:left w:val="none" w:sz="0" w:space="0" w:color="auto"/>
            <w:bottom w:val="none" w:sz="0" w:space="0" w:color="auto"/>
            <w:right w:val="none" w:sz="0" w:space="0" w:color="auto"/>
          </w:divBdr>
          <w:divsChild>
            <w:div w:id="1213543581">
              <w:marLeft w:val="0"/>
              <w:marRight w:val="0"/>
              <w:marTop w:val="0"/>
              <w:marBottom w:val="0"/>
              <w:divBdr>
                <w:top w:val="none" w:sz="0" w:space="0" w:color="auto"/>
                <w:left w:val="none" w:sz="0" w:space="0" w:color="auto"/>
                <w:bottom w:val="none" w:sz="0" w:space="0" w:color="auto"/>
                <w:right w:val="none" w:sz="0" w:space="0" w:color="auto"/>
              </w:divBdr>
            </w:div>
          </w:divsChild>
        </w:div>
        <w:div w:id="132910482">
          <w:marLeft w:val="0"/>
          <w:marRight w:val="0"/>
          <w:marTop w:val="34"/>
          <w:marBottom w:val="10"/>
          <w:divBdr>
            <w:top w:val="none" w:sz="0" w:space="0" w:color="auto"/>
            <w:left w:val="none" w:sz="0" w:space="0" w:color="auto"/>
            <w:bottom w:val="none" w:sz="0" w:space="0" w:color="auto"/>
            <w:right w:val="none" w:sz="0" w:space="0" w:color="auto"/>
          </w:divBdr>
          <w:divsChild>
            <w:div w:id="369109632">
              <w:marLeft w:val="0"/>
              <w:marRight w:val="0"/>
              <w:marTop w:val="0"/>
              <w:marBottom w:val="0"/>
              <w:divBdr>
                <w:top w:val="none" w:sz="0" w:space="0" w:color="auto"/>
                <w:left w:val="none" w:sz="0" w:space="0" w:color="auto"/>
                <w:bottom w:val="none" w:sz="0" w:space="0" w:color="auto"/>
                <w:right w:val="none" w:sz="0" w:space="0" w:color="auto"/>
              </w:divBdr>
            </w:div>
          </w:divsChild>
        </w:div>
        <w:div w:id="143089139">
          <w:marLeft w:val="0"/>
          <w:marRight w:val="0"/>
          <w:marTop w:val="34"/>
          <w:marBottom w:val="10"/>
          <w:divBdr>
            <w:top w:val="none" w:sz="0" w:space="0" w:color="auto"/>
            <w:left w:val="none" w:sz="0" w:space="0" w:color="auto"/>
            <w:bottom w:val="none" w:sz="0" w:space="0" w:color="auto"/>
            <w:right w:val="none" w:sz="0" w:space="0" w:color="auto"/>
          </w:divBdr>
          <w:divsChild>
            <w:div w:id="1079443559">
              <w:marLeft w:val="0"/>
              <w:marRight w:val="0"/>
              <w:marTop w:val="0"/>
              <w:marBottom w:val="0"/>
              <w:divBdr>
                <w:top w:val="none" w:sz="0" w:space="0" w:color="auto"/>
                <w:left w:val="none" w:sz="0" w:space="0" w:color="auto"/>
                <w:bottom w:val="none" w:sz="0" w:space="0" w:color="auto"/>
                <w:right w:val="none" w:sz="0" w:space="0" w:color="auto"/>
              </w:divBdr>
            </w:div>
          </w:divsChild>
        </w:div>
        <w:div w:id="155921448">
          <w:marLeft w:val="0"/>
          <w:marRight w:val="0"/>
          <w:marTop w:val="34"/>
          <w:marBottom w:val="10"/>
          <w:divBdr>
            <w:top w:val="none" w:sz="0" w:space="0" w:color="auto"/>
            <w:left w:val="none" w:sz="0" w:space="0" w:color="auto"/>
            <w:bottom w:val="none" w:sz="0" w:space="0" w:color="auto"/>
            <w:right w:val="none" w:sz="0" w:space="0" w:color="auto"/>
          </w:divBdr>
          <w:divsChild>
            <w:div w:id="765423857">
              <w:marLeft w:val="0"/>
              <w:marRight w:val="0"/>
              <w:marTop w:val="0"/>
              <w:marBottom w:val="0"/>
              <w:divBdr>
                <w:top w:val="none" w:sz="0" w:space="0" w:color="auto"/>
                <w:left w:val="none" w:sz="0" w:space="0" w:color="auto"/>
                <w:bottom w:val="none" w:sz="0" w:space="0" w:color="auto"/>
                <w:right w:val="none" w:sz="0" w:space="0" w:color="auto"/>
              </w:divBdr>
            </w:div>
          </w:divsChild>
        </w:div>
        <w:div w:id="159395241">
          <w:marLeft w:val="0"/>
          <w:marRight w:val="0"/>
          <w:marTop w:val="34"/>
          <w:marBottom w:val="10"/>
          <w:divBdr>
            <w:top w:val="none" w:sz="0" w:space="0" w:color="auto"/>
            <w:left w:val="none" w:sz="0" w:space="0" w:color="auto"/>
            <w:bottom w:val="none" w:sz="0" w:space="0" w:color="auto"/>
            <w:right w:val="none" w:sz="0" w:space="0" w:color="auto"/>
          </w:divBdr>
          <w:divsChild>
            <w:div w:id="734543930">
              <w:marLeft w:val="0"/>
              <w:marRight w:val="0"/>
              <w:marTop w:val="0"/>
              <w:marBottom w:val="0"/>
              <w:divBdr>
                <w:top w:val="none" w:sz="0" w:space="0" w:color="auto"/>
                <w:left w:val="none" w:sz="0" w:space="0" w:color="auto"/>
                <w:bottom w:val="none" w:sz="0" w:space="0" w:color="auto"/>
                <w:right w:val="none" w:sz="0" w:space="0" w:color="auto"/>
              </w:divBdr>
            </w:div>
          </w:divsChild>
        </w:div>
        <w:div w:id="168260214">
          <w:marLeft w:val="0"/>
          <w:marRight w:val="0"/>
          <w:marTop w:val="34"/>
          <w:marBottom w:val="10"/>
          <w:divBdr>
            <w:top w:val="none" w:sz="0" w:space="0" w:color="auto"/>
            <w:left w:val="none" w:sz="0" w:space="0" w:color="auto"/>
            <w:bottom w:val="none" w:sz="0" w:space="0" w:color="auto"/>
            <w:right w:val="none" w:sz="0" w:space="0" w:color="auto"/>
          </w:divBdr>
          <w:divsChild>
            <w:div w:id="1520125276">
              <w:marLeft w:val="0"/>
              <w:marRight w:val="0"/>
              <w:marTop w:val="0"/>
              <w:marBottom w:val="0"/>
              <w:divBdr>
                <w:top w:val="none" w:sz="0" w:space="0" w:color="auto"/>
                <w:left w:val="none" w:sz="0" w:space="0" w:color="auto"/>
                <w:bottom w:val="none" w:sz="0" w:space="0" w:color="auto"/>
                <w:right w:val="none" w:sz="0" w:space="0" w:color="auto"/>
              </w:divBdr>
            </w:div>
          </w:divsChild>
        </w:div>
        <w:div w:id="178814753">
          <w:marLeft w:val="0"/>
          <w:marRight w:val="0"/>
          <w:marTop w:val="34"/>
          <w:marBottom w:val="10"/>
          <w:divBdr>
            <w:top w:val="none" w:sz="0" w:space="0" w:color="auto"/>
            <w:left w:val="none" w:sz="0" w:space="0" w:color="auto"/>
            <w:bottom w:val="none" w:sz="0" w:space="0" w:color="auto"/>
            <w:right w:val="none" w:sz="0" w:space="0" w:color="auto"/>
          </w:divBdr>
          <w:divsChild>
            <w:div w:id="2111923834">
              <w:marLeft w:val="0"/>
              <w:marRight w:val="0"/>
              <w:marTop w:val="0"/>
              <w:marBottom w:val="0"/>
              <w:divBdr>
                <w:top w:val="none" w:sz="0" w:space="0" w:color="auto"/>
                <w:left w:val="none" w:sz="0" w:space="0" w:color="auto"/>
                <w:bottom w:val="none" w:sz="0" w:space="0" w:color="auto"/>
                <w:right w:val="none" w:sz="0" w:space="0" w:color="auto"/>
              </w:divBdr>
            </w:div>
          </w:divsChild>
        </w:div>
        <w:div w:id="179204070">
          <w:marLeft w:val="0"/>
          <w:marRight w:val="0"/>
          <w:marTop w:val="34"/>
          <w:marBottom w:val="10"/>
          <w:divBdr>
            <w:top w:val="none" w:sz="0" w:space="0" w:color="auto"/>
            <w:left w:val="none" w:sz="0" w:space="0" w:color="auto"/>
            <w:bottom w:val="none" w:sz="0" w:space="0" w:color="auto"/>
            <w:right w:val="none" w:sz="0" w:space="0" w:color="auto"/>
          </w:divBdr>
          <w:divsChild>
            <w:div w:id="170334730">
              <w:marLeft w:val="0"/>
              <w:marRight w:val="0"/>
              <w:marTop w:val="0"/>
              <w:marBottom w:val="0"/>
              <w:divBdr>
                <w:top w:val="none" w:sz="0" w:space="0" w:color="auto"/>
                <w:left w:val="none" w:sz="0" w:space="0" w:color="auto"/>
                <w:bottom w:val="none" w:sz="0" w:space="0" w:color="auto"/>
                <w:right w:val="none" w:sz="0" w:space="0" w:color="auto"/>
              </w:divBdr>
            </w:div>
          </w:divsChild>
        </w:div>
        <w:div w:id="186450597">
          <w:marLeft w:val="0"/>
          <w:marRight w:val="0"/>
          <w:marTop w:val="34"/>
          <w:marBottom w:val="10"/>
          <w:divBdr>
            <w:top w:val="none" w:sz="0" w:space="0" w:color="auto"/>
            <w:left w:val="none" w:sz="0" w:space="0" w:color="auto"/>
            <w:bottom w:val="none" w:sz="0" w:space="0" w:color="auto"/>
            <w:right w:val="none" w:sz="0" w:space="0" w:color="auto"/>
          </w:divBdr>
        </w:div>
        <w:div w:id="186792498">
          <w:marLeft w:val="0"/>
          <w:marRight w:val="0"/>
          <w:marTop w:val="34"/>
          <w:marBottom w:val="10"/>
          <w:divBdr>
            <w:top w:val="none" w:sz="0" w:space="0" w:color="auto"/>
            <w:left w:val="none" w:sz="0" w:space="0" w:color="auto"/>
            <w:bottom w:val="none" w:sz="0" w:space="0" w:color="auto"/>
            <w:right w:val="none" w:sz="0" w:space="0" w:color="auto"/>
          </w:divBdr>
          <w:divsChild>
            <w:div w:id="671875856">
              <w:marLeft w:val="0"/>
              <w:marRight w:val="0"/>
              <w:marTop w:val="0"/>
              <w:marBottom w:val="0"/>
              <w:divBdr>
                <w:top w:val="none" w:sz="0" w:space="0" w:color="auto"/>
                <w:left w:val="none" w:sz="0" w:space="0" w:color="auto"/>
                <w:bottom w:val="none" w:sz="0" w:space="0" w:color="auto"/>
                <w:right w:val="none" w:sz="0" w:space="0" w:color="auto"/>
              </w:divBdr>
            </w:div>
          </w:divsChild>
        </w:div>
        <w:div w:id="195198185">
          <w:marLeft w:val="0"/>
          <w:marRight w:val="0"/>
          <w:marTop w:val="34"/>
          <w:marBottom w:val="10"/>
          <w:divBdr>
            <w:top w:val="none" w:sz="0" w:space="0" w:color="auto"/>
            <w:left w:val="none" w:sz="0" w:space="0" w:color="auto"/>
            <w:bottom w:val="none" w:sz="0" w:space="0" w:color="auto"/>
            <w:right w:val="none" w:sz="0" w:space="0" w:color="auto"/>
          </w:divBdr>
          <w:divsChild>
            <w:div w:id="156042020">
              <w:marLeft w:val="0"/>
              <w:marRight w:val="0"/>
              <w:marTop w:val="0"/>
              <w:marBottom w:val="0"/>
              <w:divBdr>
                <w:top w:val="none" w:sz="0" w:space="0" w:color="auto"/>
                <w:left w:val="none" w:sz="0" w:space="0" w:color="auto"/>
                <w:bottom w:val="none" w:sz="0" w:space="0" w:color="auto"/>
                <w:right w:val="none" w:sz="0" w:space="0" w:color="auto"/>
              </w:divBdr>
            </w:div>
          </w:divsChild>
        </w:div>
        <w:div w:id="199633440">
          <w:marLeft w:val="0"/>
          <w:marRight w:val="0"/>
          <w:marTop w:val="34"/>
          <w:marBottom w:val="10"/>
          <w:divBdr>
            <w:top w:val="none" w:sz="0" w:space="0" w:color="auto"/>
            <w:left w:val="none" w:sz="0" w:space="0" w:color="auto"/>
            <w:bottom w:val="none" w:sz="0" w:space="0" w:color="auto"/>
            <w:right w:val="none" w:sz="0" w:space="0" w:color="auto"/>
          </w:divBdr>
          <w:divsChild>
            <w:div w:id="1492981885">
              <w:marLeft w:val="0"/>
              <w:marRight w:val="0"/>
              <w:marTop w:val="0"/>
              <w:marBottom w:val="0"/>
              <w:divBdr>
                <w:top w:val="none" w:sz="0" w:space="0" w:color="auto"/>
                <w:left w:val="none" w:sz="0" w:space="0" w:color="auto"/>
                <w:bottom w:val="none" w:sz="0" w:space="0" w:color="auto"/>
                <w:right w:val="none" w:sz="0" w:space="0" w:color="auto"/>
              </w:divBdr>
            </w:div>
          </w:divsChild>
        </w:div>
        <w:div w:id="219218789">
          <w:marLeft w:val="0"/>
          <w:marRight w:val="0"/>
          <w:marTop w:val="34"/>
          <w:marBottom w:val="10"/>
          <w:divBdr>
            <w:top w:val="none" w:sz="0" w:space="0" w:color="auto"/>
            <w:left w:val="none" w:sz="0" w:space="0" w:color="auto"/>
            <w:bottom w:val="none" w:sz="0" w:space="0" w:color="auto"/>
            <w:right w:val="none" w:sz="0" w:space="0" w:color="auto"/>
          </w:divBdr>
          <w:divsChild>
            <w:div w:id="1062752392">
              <w:marLeft w:val="0"/>
              <w:marRight w:val="0"/>
              <w:marTop w:val="0"/>
              <w:marBottom w:val="0"/>
              <w:divBdr>
                <w:top w:val="none" w:sz="0" w:space="0" w:color="auto"/>
                <w:left w:val="none" w:sz="0" w:space="0" w:color="auto"/>
                <w:bottom w:val="none" w:sz="0" w:space="0" w:color="auto"/>
                <w:right w:val="none" w:sz="0" w:space="0" w:color="auto"/>
              </w:divBdr>
            </w:div>
          </w:divsChild>
        </w:div>
        <w:div w:id="220560291">
          <w:marLeft w:val="0"/>
          <w:marRight w:val="0"/>
          <w:marTop w:val="34"/>
          <w:marBottom w:val="10"/>
          <w:divBdr>
            <w:top w:val="none" w:sz="0" w:space="0" w:color="auto"/>
            <w:left w:val="none" w:sz="0" w:space="0" w:color="auto"/>
            <w:bottom w:val="none" w:sz="0" w:space="0" w:color="auto"/>
            <w:right w:val="none" w:sz="0" w:space="0" w:color="auto"/>
          </w:divBdr>
          <w:divsChild>
            <w:div w:id="516970879">
              <w:marLeft w:val="0"/>
              <w:marRight w:val="0"/>
              <w:marTop w:val="0"/>
              <w:marBottom w:val="0"/>
              <w:divBdr>
                <w:top w:val="none" w:sz="0" w:space="0" w:color="auto"/>
                <w:left w:val="none" w:sz="0" w:space="0" w:color="auto"/>
                <w:bottom w:val="none" w:sz="0" w:space="0" w:color="auto"/>
                <w:right w:val="none" w:sz="0" w:space="0" w:color="auto"/>
              </w:divBdr>
            </w:div>
          </w:divsChild>
        </w:div>
        <w:div w:id="221259652">
          <w:marLeft w:val="0"/>
          <w:marRight w:val="0"/>
          <w:marTop w:val="34"/>
          <w:marBottom w:val="10"/>
          <w:divBdr>
            <w:top w:val="none" w:sz="0" w:space="0" w:color="auto"/>
            <w:left w:val="none" w:sz="0" w:space="0" w:color="auto"/>
            <w:bottom w:val="none" w:sz="0" w:space="0" w:color="auto"/>
            <w:right w:val="none" w:sz="0" w:space="0" w:color="auto"/>
          </w:divBdr>
          <w:divsChild>
            <w:div w:id="359018723">
              <w:marLeft w:val="0"/>
              <w:marRight w:val="0"/>
              <w:marTop w:val="0"/>
              <w:marBottom w:val="0"/>
              <w:divBdr>
                <w:top w:val="none" w:sz="0" w:space="0" w:color="auto"/>
                <w:left w:val="none" w:sz="0" w:space="0" w:color="auto"/>
                <w:bottom w:val="none" w:sz="0" w:space="0" w:color="auto"/>
                <w:right w:val="none" w:sz="0" w:space="0" w:color="auto"/>
              </w:divBdr>
            </w:div>
          </w:divsChild>
        </w:div>
        <w:div w:id="238559389">
          <w:marLeft w:val="0"/>
          <w:marRight w:val="0"/>
          <w:marTop w:val="34"/>
          <w:marBottom w:val="10"/>
          <w:divBdr>
            <w:top w:val="none" w:sz="0" w:space="0" w:color="auto"/>
            <w:left w:val="none" w:sz="0" w:space="0" w:color="auto"/>
            <w:bottom w:val="none" w:sz="0" w:space="0" w:color="auto"/>
            <w:right w:val="none" w:sz="0" w:space="0" w:color="auto"/>
          </w:divBdr>
          <w:divsChild>
            <w:div w:id="926889454">
              <w:marLeft w:val="0"/>
              <w:marRight w:val="0"/>
              <w:marTop w:val="0"/>
              <w:marBottom w:val="0"/>
              <w:divBdr>
                <w:top w:val="none" w:sz="0" w:space="0" w:color="auto"/>
                <w:left w:val="none" w:sz="0" w:space="0" w:color="auto"/>
                <w:bottom w:val="none" w:sz="0" w:space="0" w:color="auto"/>
                <w:right w:val="none" w:sz="0" w:space="0" w:color="auto"/>
              </w:divBdr>
            </w:div>
          </w:divsChild>
        </w:div>
        <w:div w:id="247621688">
          <w:marLeft w:val="0"/>
          <w:marRight w:val="0"/>
          <w:marTop w:val="34"/>
          <w:marBottom w:val="10"/>
          <w:divBdr>
            <w:top w:val="none" w:sz="0" w:space="0" w:color="auto"/>
            <w:left w:val="none" w:sz="0" w:space="0" w:color="auto"/>
            <w:bottom w:val="none" w:sz="0" w:space="0" w:color="auto"/>
            <w:right w:val="none" w:sz="0" w:space="0" w:color="auto"/>
          </w:divBdr>
          <w:divsChild>
            <w:div w:id="655915417">
              <w:marLeft w:val="0"/>
              <w:marRight w:val="0"/>
              <w:marTop w:val="0"/>
              <w:marBottom w:val="0"/>
              <w:divBdr>
                <w:top w:val="none" w:sz="0" w:space="0" w:color="auto"/>
                <w:left w:val="none" w:sz="0" w:space="0" w:color="auto"/>
                <w:bottom w:val="none" w:sz="0" w:space="0" w:color="auto"/>
                <w:right w:val="none" w:sz="0" w:space="0" w:color="auto"/>
              </w:divBdr>
            </w:div>
          </w:divsChild>
        </w:div>
        <w:div w:id="261039419">
          <w:marLeft w:val="0"/>
          <w:marRight w:val="0"/>
          <w:marTop w:val="34"/>
          <w:marBottom w:val="10"/>
          <w:divBdr>
            <w:top w:val="none" w:sz="0" w:space="0" w:color="auto"/>
            <w:left w:val="none" w:sz="0" w:space="0" w:color="auto"/>
            <w:bottom w:val="none" w:sz="0" w:space="0" w:color="auto"/>
            <w:right w:val="none" w:sz="0" w:space="0" w:color="auto"/>
          </w:divBdr>
          <w:divsChild>
            <w:div w:id="1249652109">
              <w:marLeft w:val="0"/>
              <w:marRight w:val="0"/>
              <w:marTop w:val="0"/>
              <w:marBottom w:val="0"/>
              <w:divBdr>
                <w:top w:val="none" w:sz="0" w:space="0" w:color="auto"/>
                <w:left w:val="none" w:sz="0" w:space="0" w:color="auto"/>
                <w:bottom w:val="none" w:sz="0" w:space="0" w:color="auto"/>
                <w:right w:val="none" w:sz="0" w:space="0" w:color="auto"/>
              </w:divBdr>
            </w:div>
          </w:divsChild>
        </w:div>
        <w:div w:id="264507085">
          <w:marLeft w:val="0"/>
          <w:marRight w:val="0"/>
          <w:marTop w:val="34"/>
          <w:marBottom w:val="10"/>
          <w:divBdr>
            <w:top w:val="none" w:sz="0" w:space="0" w:color="auto"/>
            <w:left w:val="none" w:sz="0" w:space="0" w:color="auto"/>
            <w:bottom w:val="none" w:sz="0" w:space="0" w:color="auto"/>
            <w:right w:val="none" w:sz="0" w:space="0" w:color="auto"/>
          </w:divBdr>
          <w:divsChild>
            <w:div w:id="1512064562">
              <w:marLeft w:val="0"/>
              <w:marRight w:val="0"/>
              <w:marTop w:val="0"/>
              <w:marBottom w:val="0"/>
              <w:divBdr>
                <w:top w:val="none" w:sz="0" w:space="0" w:color="auto"/>
                <w:left w:val="none" w:sz="0" w:space="0" w:color="auto"/>
                <w:bottom w:val="none" w:sz="0" w:space="0" w:color="auto"/>
                <w:right w:val="none" w:sz="0" w:space="0" w:color="auto"/>
              </w:divBdr>
            </w:div>
          </w:divsChild>
        </w:div>
        <w:div w:id="275675283">
          <w:marLeft w:val="0"/>
          <w:marRight w:val="0"/>
          <w:marTop w:val="34"/>
          <w:marBottom w:val="10"/>
          <w:divBdr>
            <w:top w:val="none" w:sz="0" w:space="0" w:color="auto"/>
            <w:left w:val="none" w:sz="0" w:space="0" w:color="auto"/>
            <w:bottom w:val="none" w:sz="0" w:space="0" w:color="auto"/>
            <w:right w:val="none" w:sz="0" w:space="0" w:color="auto"/>
          </w:divBdr>
          <w:divsChild>
            <w:div w:id="16464730">
              <w:marLeft w:val="0"/>
              <w:marRight w:val="0"/>
              <w:marTop w:val="0"/>
              <w:marBottom w:val="0"/>
              <w:divBdr>
                <w:top w:val="none" w:sz="0" w:space="0" w:color="auto"/>
                <w:left w:val="none" w:sz="0" w:space="0" w:color="auto"/>
                <w:bottom w:val="none" w:sz="0" w:space="0" w:color="auto"/>
                <w:right w:val="none" w:sz="0" w:space="0" w:color="auto"/>
              </w:divBdr>
            </w:div>
          </w:divsChild>
        </w:div>
        <w:div w:id="313292037">
          <w:marLeft w:val="0"/>
          <w:marRight w:val="0"/>
          <w:marTop w:val="34"/>
          <w:marBottom w:val="10"/>
          <w:divBdr>
            <w:top w:val="none" w:sz="0" w:space="0" w:color="auto"/>
            <w:left w:val="none" w:sz="0" w:space="0" w:color="auto"/>
            <w:bottom w:val="none" w:sz="0" w:space="0" w:color="auto"/>
            <w:right w:val="none" w:sz="0" w:space="0" w:color="auto"/>
          </w:divBdr>
          <w:divsChild>
            <w:div w:id="1371226244">
              <w:marLeft w:val="0"/>
              <w:marRight w:val="0"/>
              <w:marTop w:val="0"/>
              <w:marBottom w:val="0"/>
              <w:divBdr>
                <w:top w:val="none" w:sz="0" w:space="0" w:color="auto"/>
                <w:left w:val="none" w:sz="0" w:space="0" w:color="auto"/>
                <w:bottom w:val="none" w:sz="0" w:space="0" w:color="auto"/>
                <w:right w:val="none" w:sz="0" w:space="0" w:color="auto"/>
              </w:divBdr>
            </w:div>
          </w:divsChild>
        </w:div>
        <w:div w:id="318193538">
          <w:marLeft w:val="0"/>
          <w:marRight w:val="0"/>
          <w:marTop w:val="34"/>
          <w:marBottom w:val="10"/>
          <w:divBdr>
            <w:top w:val="none" w:sz="0" w:space="0" w:color="auto"/>
            <w:left w:val="none" w:sz="0" w:space="0" w:color="auto"/>
            <w:bottom w:val="none" w:sz="0" w:space="0" w:color="auto"/>
            <w:right w:val="none" w:sz="0" w:space="0" w:color="auto"/>
          </w:divBdr>
          <w:divsChild>
            <w:div w:id="870918394">
              <w:marLeft w:val="0"/>
              <w:marRight w:val="0"/>
              <w:marTop w:val="0"/>
              <w:marBottom w:val="0"/>
              <w:divBdr>
                <w:top w:val="none" w:sz="0" w:space="0" w:color="auto"/>
                <w:left w:val="none" w:sz="0" w:space="0" w:color="auto"/>
                <w:bottom w:val="none" w:sz="0" w:space="0" w:color="auto"/>
                <w:right w:val="none" w:sz="0" w:space="0" w:color="auto"/>
              </w:divBdr>
            </w:div>
          </w:divsChild>
        </w:div>
        <w:div w:id="332496260">
          <w:marLeft w:val="0"/>
          <w:marRight w:val="0"/>
          <w:marTop w:val="34"/>
          <w:marBottom w:val="10"/>
          <w:divBdr>
            <w:top w:val="none" w:sz="0" w:space="0" w:color="auto"/>
            <w:left w:val="none" w:sz="0" w:space="0" w:color="auto"/>
            <w:bottom w:val="none" w:sz="0" w:space="0" w:color="auto"/>
            <w:right w:val="none" w:sz="0" w:space="0" w:color="auto"/>
          </w:divBdr>
          <w:divsChild>
            <w:div w:id="1784417838">
              <w:marLeft w:val="0"/>
              <w:marRight w:val="0"/>
              <w:marTop w:val="0"/>
              <w:marBottom w:val="0"/>
              <w:divBdr>
                <w:top w:val="none" w:sz="0" w:space="0" w:color="auto"/>
                <w:left w:val="none" w:sz="0" w:space="0" w:color="auto"/>
                <w:bottom w:val="none" w:sz="0" w:space="0" w:color="auto"/>
                <w:right w:val="none" w:sz="0" w:space="0" w:color="auto"/>
              </w:divBdr>
            </w:div>
          </w:divsChild>
        </w:div>
        <w:div w:id="339357360">
          <w:marLeft w:val="0"/>
          <w:marRight w:val="0"/>
          <w:marTop w:val="34"/>
          <w:marBottom w:val="10"/>
          <w:divBdr>
            <w:top w:val="none" w:sz="0" w:space="0" w:color="auto"/>
            <w:left w:val="none" w:sz="0" w:space="0" w:color="auto"/>
            <w:bottom w:val="none" w:sz="0" w:space="0" w:color="auto"/>
            <w:right w:val="none" w:sz="0" w:space="0" w:color="auto"/>
          </w:divBdr>
          <w:divsChild>
            <w:div w:id="1310280186">
              <w:marLeft w:val="0"/>
              <w:marRight w:val="0"/>
              <w:marTop w:val="0"/>
              <w:marBottom w:val="0"/>
              <w:divBdr>
                <w:top w:val="none" w:sz="0" w:space="0" w:color="auto"/>
                <w:left w:val="none" w:sz="0" w:space="0" w:color="auto"/>
                <w:bottom w:val="none" w:sz="0" w:space="0" w:color="auto"/>
                <w:right w:val="none" w:sz="0" w:space="0" w:color="auto"/>
              </w:divBdr>
            </w:div>
          </w:divsChild>
        </w:div>
        <w:div w:id="343212417">
          <w:marLeft w:val="0"/>
          <w:marRight w:val="0"/>
          <w:marTop w:val="34"/>
          <w:marBottom w:val="10"/>
          <w:divBdr>
            <w:top w:val="none" w:sz="0" w:space="0" w:color="auto"/>
            <w:left w:val="none" w:sz="0" w:space="0" w:color="auto"/>
            <w:bottom w:val="none" w:sz="0" w:space="0" w:color="auto"/>
            <w:right w:val="none" w:sz="0" w:space="0" w:color="auto"/>
          </w:divBdr>
          <w:divsChild>
            <w:div w:id="1649702624">
              <w:marLeft w:val="0"/>
              <w:marRight w:val="0"/>
              <w:marTop w:val="0"/>
              <w:marBottom w:val="0"/>
              <w:divBdr>
                <w:top w:val="none" w:sz="0" w:space="0" w:color="auto"/>
                <w:left w:val="none" w:sz="0" w:space="0" w:color="auto"/>
                <w:bottom w:val="none" w:sz="0" w:space="0" w:color="auto"/>
                <w:right w:val="none" w:sz="0" w:space="0" w:color="auto"/>
              </w:divBdr>
            </w:div>
          </w:divsChild>
        </w:div>
        <w:div w:id="348022238">
          <w:marLeft w:val="0"/>
          <w:marRight w:val="0"/>
          <w:marTop w:val="34"/>
          <w:marBottom w:val="10"/>
          <w:divBdr>
            <w:top w:val="none" w:sz="0" w:space="0" w:color="auto"/>
            <w:left w:val="none" w:sz="0" w:space="0" w:color="auto"/>
            <w:bottom w:val="none" w:sz="0" w:space="0" w:color="auto"/>
            <w:right w:val="none" w:sz="0" w:space="0" w:color="auto"/>
          </w:divBdr>
          <w:divsChild>
            <w:div w:id="510336466">
              <w:marLeft w:val="0"/>
              <w:marRight w:val="0"/>
              <w:marTop w:val="0"/>
              <w:marBottom w:val="0"/>
              <w:divBdr>
                <w:top w:val="none" w:sz="0" w:space="0" w:color="auto"/>
                <w:left w:val="none" w:sz="0" w:space="0" w:color="auto"/>
                <w:bottom w:val="none" w:sz="0" w:space="0" w:color="auto"/>
                <w:right w:val="none" w:sz="0" w:space="0" w:color="auto"/>
              </w:divBdr>
            </w:div>
          </w:divsChild>
        </w:div>
        <w:div w:id="354114238">
          <w:marLeft w:val="0"/>
          <w:marRight w:val="0"/>
          <w:marTop w:val="34"/>
          <w:marBottom w:val="10"/>
          <w:divBdr>
            <w:top w:val="none" w:sz="0" w:space="0" w:color="auto"/>
            <w:left w:val="none" w:sz="0" w:space="0" w:color="auto"/>
            <w:bottom w:val="none" w:sz="0" w:space="0" w:color="auto"/>
            <w:right w:val="none" w:sz="0" w:space="0" w:color="auto"/>
          </w:divBdr>
          <w:divsChild>
            <w:div w:id="356543389">
              <w:marLeft w:val="0"/>
              <w:marRight w:val="0"/>
              <w:marTop w:val="0"/>
              <w:marBottom w:val="0"/>
              <w:divBdr>
                <w:top w:val="none" w:sz="0" w:space="0" w:color="auto"/>
                <w:left w:val="none" w:sz="0" w:space="0" w:color="auto"/>
                <w:bottom w:val="none" w:sz="0" w:space="0" w:color="auto"/>
                <w:right w:val="none" w:sz="0" w:space="0" w:color="auto"/>
              </w:divBdr>
            </w:div>
          </w:divsChild>
        </w:div>
        <w:div w:id="361174698">
          <w:marLeft w:val="0"/>
          <w:marRight w:val="0"/>
          <w:marTop w:val="34"/>
          <w:marBottom w:val="10"/>
          <w:divBdr>
            <w:top w:val="none" w:sz="0" w:space="0" w:color="auto"/>
            <w:left w:val="none" w:sz="0" w:space="0" w:color="auto"/>
            <w:bottom w:val="none" w:sz="0" w:space="0" w:color="auto"/>
            <w:right w:val="none" w:sz="0" w:space="0" w:color="auto"/>
          </w:divBdr>
          <w:divsChild>
            <w:div w:id="2031108001">
              <w:marLeft w:val="0"/>
              <w:marRight w:val="0"/>
              <w:marTop w:val="0"/>
              <w:marBottom w:val="0"/>
              <w:divBdr>
                <w:top w:val="none" w:sz="0" w:space="0" w:color="auto"/>
                <w:left w:val="none" w:sz="0" w:space="0" w:color="auto"/>
                <w:bottom w:val="none" w:sz="0" w:space="0" w:color="auto"/>
                <w:right w:val="none" w:sz="0" w:space="0" w:color="auto"/>
              </w:divBdr>
            </w:div>
          </w:divsChild>
        </w:div>
        <w:div w:id="362561576">
          <w:marLeft w:val="0"/>
          <w:marRight w:val="0"/>
          <w:marTop w:val="34"/>
          <w:marBottom w:val="10"/>
          <w:divBdr>
            <w:top w:val="none" w:sz="0" w:space="0" w:color="auto"/>
            <w:left w:val="none" w:sz="0" w:space="0" w:color="auto"/>
            <w:bottom w:val="none" w:sz="0" w:space="0" w:color="auto"/>
            <w:right w:val="none" w:sz="0" w:space="0" w:color="auto"/>
          </w:divBdr>
          <w:divsChild>
            <w:div w:id="1709866877">
              <w:marLeft w:val="0"/>
              <w:marRight w:val="0"/>
              <w:marTop w:val="0"/>
              <w:marBottom w:val="0"/>
              <w:divBdr>
                <w:top w:val="none" w:sz="0" w:space="0" w:color="auto"/>
                <w:left w:val="none" w:sz="0" w:space="0" w:color="auto"/>
                <w:bottom w:val="none" w:sz="0" w:space="0" w:color="auto"/>
                <w:right w:val="none" w:sz="0" w:space="0" w:color="auto"/>
              </w:divBdr>
            </w:div>
          </w:divsChild>
        </w:div>
        <w:div w:id="371617347">
          <w:marLeft w:val="0"/>
          <w:marRight w:val="0"/>
          <w:marTop w:val="34"/>
          <w:marBottom w:val="10"/>
          <w:divBdr>
            <w:top w:val="none" w:sz="0" w:space="0" w:color="auto"/>
            <w:left w:val="none" w:sz="0" w:space="0" w:color="auto"/>
            <w:bottom w:val="none" w:sz="0" w:space="0" w:color="auto"/>
            <w:right w:val="none" w:sz="0" w:space="0" w:color="auto"/>
          </w:divBdr>
          <w:divsChild>
            <w:div w:id="1836452912">
              <w:marLeft w:val="0"/>
              <w:marRight w:val="0"/>
              <w:marTop w:val="0"/>
              <w:marBottom w:val="0"/>
              <w:divBdr>
                <w:top w:val="none" w:sz="0" w:space="0" w:color="auto"/>
                <w:left w:val="none" w:sz="0" w:space="0" w:color="auto"/>
                <w:bottom w:val="none" w:sz="0" w:space="0" w:color="auto"/>
                <w:right w:val="none" w:sz="0" w:space="0" w:color="auto"/>
              </w:divBdr>
            </w:div>
          </w:divsChild>
        </w:div>
        <w:div w:id="371921337">
          <w:marLeft w:val="0"/>
          <w:marRight w:val="0"/>
          <w:marTop w:val="34"/>
          <w:marBottom w:val="10"/>
          <w:divBdr>
            <w:top w:val="none" w:sz="0" w:space="0" w:color="auto"/>
            <w:left w:val="none" w:sz="0" w:space="0" w:color="auto"/>
            <w:bottom w:val="none" w:sz="0" w:space="0" w:color="auto"/>
            <w:right w:val="none" w:sz="0" w:space="0" w:color="auto"/>
          </w:divBdr>
          <w:divsChild>
            <w:div w:id="752891832">
              <w:marLeft w:val="0"/>
              <w:marRight w:val="0"/>
              <w:marTop w:val="0"/>
              <w:marBottom w:val="0"/>
              <w:divBdr>
                <w:top w:val="none" w:sz="0" w:space="0" w:color="auto"/>
                <w:left w:val="none" w:sz="0" w:space="0" w:color="auto"/>
                <w:bottom w:val="none" w:sz="0" w:space="0" w:color="auto"/>
                <w:right w:val="none" w:sz="0" w:space="0" w:color="auto"/>
              </w:divBdr>
            </w:div>
          </w:divsChild>
        </w:div>
        <w:div w:id="383648514">
          <w:marLeft w:val="0"/>
          <w:marRight w:val="0"/>
          <w:marTop w:val="34"/>
          <w:marBottom w:val="10"/>
          <w:divBdr>
            <w:top w:val="none" w:sz="0" w:space="0" w:color="auto"/>
            <w:left w:val="none" w:sz="0" w:space="0" w:color="auto"/>
            <w:bottom w:val="none" w:sz="0" w:space="0" w:color="auto"/>
            <w:right w:val="none" w:sz="0" w:space="0" w:color="auto"/>
          </w:divBdr>
          <w:divsChild>
            <w:div w:id="1162087112">
              <w:marLeft w:val="0"/>
              <w:marRight w:val="0"/>
              <w:marTop w:val="0"/>
              <w:marBottom w:val="0"/>
              <w:divBdr>
                <w:top w:val="none" w:sz="0" w:space="0" w:color="auto"/>
                <w:left w:val="none" w:sz="0" w:space="0" w:color="auto"/>
                <w:bottom w:val="none" w:sz="0" w:space="0" w:color="auto"/>
                <w:right w:val="none" w:sz="0" w:space="0" w:color="auto"/>
              </w:divBdr>
            </w:div>
          </w:divsChild>
        </w:div>
        <w:div w:id="401411669">
          <w:marLeft w:val="0"/>
          <w:marRight w:val="0"/>
          <w:marTop w:val="34"/>
          <w:marBottom w:val="10"/>
          <w:divBdr>
            <w:top w:val="none" w:sz="0" w:space="0" w:color="auto"/>
            <w:left w:val="none" w:sz="0" w:space="0" w:color="auto"/>
            <w:bottom w:val="none" w:sz="0" w:space="0" w:color="auto"/>
            <w:right w:val="none" w:sz="0" w:space="0" w:color="auto"/>
          </w:divBdr>
          <w:divsChild>
            <w:div w:id="853689833">
              <w:marLeft w:val="0"/>
              <w:marRight w:val="0"/>
              <w:marTop w:val="0"/>
              <w:marBottom w:val="0"/>
              <w:divBdr>
                <w:top w:val="none" w:sz="0" w:space="0" w:color="auto"/>
                <w:left w:val="none" w:sz="0" w:space="0" w:color="auto"/>
                <w:bottom w:val="none" w:sz="0" w:space="0" w:color="auto"/>
                <w:right w:val="none" w:sz="0" w:space="0" w:color="auto"/>
              </w:divBdr>
            </w:div>
          </w:divsChild>
        </w:div>
        <w:div w:id="403527597">
          <w:marLeft w:val="0"/>
          <w:marRight w:val="0"/>
          <w:marTop w:val="34"/>
          <w:marBottom w:val="10"/>
          <w:divBdr>
            <w:top w:val="none" w:sz="0" w:space="0" w:color="auto"/>
            <w:left w:val="none" w:sz="0" w:space="0" w:color="auto"/>
            <w:bottom w:val="none" w:sz="0" w:space="0" w:color="auto"/>
            <w:right w:val="none" w:sz="0" w:space="0" w:color="auto"/>
          </w:divBdr>
          <w:divsChild>
            <w:div w:id="1788967805">
              <w:marLeft w:val="0"/>
              <w:marRight w:val="0"/>
              <w:marTop w:val="0"/>
              <w:marBottom w:val="0"/>
              <w:divBdr>
                <w:top w:val="none" w:sz="0" w:space="0" w:color="auto"/>
                <w:left w:val="none" w:sz="0" w:space="0" w:color="auto"/>
                <w:bottom w:val="none" w:sz="0" w:space="0" w:color="auto"/>
                <w:right w:val="none" w:sz="0" w:space="0" w:color="auto"/>
              </w:divBdr>
            </w:div>
          </w:divsChild>
        </w:div>
        <w:div w:id="406343847">
          <w:marLeft w:val="0"/>
          <w:marRight w:val="0"/>
          <w:marTop w:val="34"/>
          <w:marBottom w:val="10"/>
          <w:divBdr>
            <w:top w:val="none" w:sz="0" w:space="0" w:color="auto"/>
            <w:left w:val="none" w:sz="0" w:space="0" w:color="auto"/>
            <w:bottom w:val="none" w:sz="0" w:space="0" w:color="auto"/>
            <w:right w:val="none" w:sz="0" w:space="0" w:color="auto"/>
          </w:divBdr>
        </w:div>
        <w:div w:id="407190734">
          <w:marLeft w:val="0"/>
          <w:marRight w:val="0"/>
          <w:marTop w:val="34"/>
          <w:marBottom w:val="10"/>
          <w:divBdr>
            <w:top w:val="none" w:sz="0" w:space="0" w:color="auto"/>
            <w:left w:val="none" w:sz="0" w:space="0" w:color="auto"/>
            <w:bottom w:val="none" w:sz="0" w:space="0" w:color="auto"/>
            <w:right w:val="none" w:sz="0" w:space="0" w:color="auto"/>
          </w:divBdr>
          <w:divsChild>
            <w:div w:id="1169714224">
              <w:marLeft w:val="0"/>
              <w:marRight w:val="0"/>
              <w:marTop w:val="0"/>
              <w:marBottom w:val="0"/>
              <w:divBdr>
                <w:top w:val="none" w:sz="0" w:space="0" w:color="auto"/>
                <w:left w:val="none" w:sz="0" w:space="0" w:color="auto"/>
                <w:bottom w:val="none" w:sz="0" w:space="0" w:color="auto"/>
                <w:right w:val="none" w:sz="0" w:space="0" w:color="auto"/>
              </w:divBdr>
            </w:div>
          </w:divsChild>
        </w:div>
        <w:div w:id="410154614">
          <w:marLeft w:val="0"/>
          <w:marRight w:val="0"/>
          <w:marTop w:val="34"/>
          <w:marBottom w:val="10"/>
          <w:divBdr>
            <w:top w:val="none" w:sz="0" w:space="0" w:color="auto"/>
            <w:left w:val="none" w:sz="0" w:space="0" w:color="auto"/>
            <w:bottom w:val="none" w:sz="0" w:space="0" w:color="auto"/>
            <w:right w:val="none" w:sz="0" w:space="0" w:color="auto"/>
          </w:divBdr>
          <w:divsChild>
            <w:div w:id="543981164">
              <w:marLeft w:val="0"/>
              <w:marRight w:val="0"/>
              <w:marTop w:val="0"/>
              <w:marBottom w:val="0"/>
              <w:divBdr>
                <w:top w:val="none" w:sz="0" w:space="0" w:color="auto"/>
                <w:left w:val="none" w:sz="0" w:space="0" w:color="auto"/>
                <w:bottom w:val="none" w:sz="0" w:space="0" w:color="auto"/>
                <w:right w:val="none" w:sz="0" w:space="0" w:color="auto"/>
              </w:divBdr>
            </w:div>
          </w:divsChild>
        </w:div>
        <w:div w:id="414518805">
          <w:marLeft w:val="0"/>
          <w:marRight w:val="0"/>
          <w:marTop w:val="34"/>
          <w:marBottom w:val="10"/>
          <w:divBdr>
            <w:top w:val="none" w:sz="0" w:space="0" w:color="auto"/>
            <w:left w:val="none" w:sz="0" w:space="0" w:color="auto"/>
            <w:bottom w:val="none" w:sz="0" w:space="0" w:color="auto"/>
            <w:right w:val="none" w:sz="0" w:space="0" w:color="auto"/>
          </w:divBdr>
          <w:divsChild>
            <w:div w:id="1051152814">
              <w:marLeft w:val="0"/>
              <w:marRight w:val="0"/>
              <w:marTop w:val="0"/>
              <w:marBottom w:val="0"/>
              <w:divBdr>
                <w:top w:val="none" w:sz="0" w:space="0" w:color="auto"/>
                <w:left w:val="none" w:sz="0" w:space="0" w:color="auto"/>
                <w:bottom w:val="none" w:sz="0" w:space="0" w:color="auto"/>
                <w:right w:val="none" w:sz="0" w:space="0" w:color="auto"/>
              </w:divBdr>
            </w:div>
          </w:divsChild>
        </w:div>
        <w:div w:id="415325426">
          <w:marLeft w:val="0"/>
          <w:marRight w:val="0"/>
          <w:marTop w:val="34"/>
          <w:marBottom w:val="10"/>
          <w:divBdr>
            <w:top w:val="none" w:sz="0" w:space="0" w:color="auto"/>
            <w:left w:val="none" w:sz="0" w:space="0" w:color="auto"/>
            <w:bottom w:val="none" w:sz="0" w:space="0" w:color="auto"/>
            <w:right w:val="none" w:sz="0" w:space="0" w:color="auto"/>
          </w:divBdr>
        </w:div>
        <w:div w:id="422842006">
          <w:marLeft w:val="0"/>
          <w:marRight w:val="0"/>
          <w:marTop w:val="34"/>
          <w:marBottom w:val="10"/>
          <w:divBdr>
            <w:top w:val="none" w:sz="0" w:space="0" w:color="auto"/>
            <w:left w:val="none" w:sz="0" w:space="0" w:color="auto"/>
            <w:bottom w:val="none" w:sz="0" w:space="0" w:color="auto"/>
            <w:right w:val="none" w:sz="0" w:space="0" w:color="auto"/>
          </w:divBdr>
          <w:divsChild>
            <w:div w:id="510527065">
              <w:marLeft w:val="0"/>
              <w:marRight w:val="0"/>
              <w:marTop w:val="0"/>
              <w:marBottom w:val="0"/>
              <w:divBdr>
                <w:top w:val="none" w:sz="0" w:space="0" w:color="auto"/>
                <w:left w:val="none" w:sz="0" w:space="0" w:color="auto"/>
                <w:bottom w:val="none" w:sz="0" w:space="0" w:color="auto"/>
                <w:right w:val="none" w:sz="0" w:space="0" w:color="auto"/>
              </w:divBdr>
            </w:div>
          </w:divsChild>
        </w:div>
        <w:div w:id="422995169">
          <w:marLeft w:val="0"/>
          <w:marRight w:val="0"/>
          <w:marTop w:val="34"/>
          <w:marBottom w:val="10"/>
          <w:divBdr>
            <w:top w:val="none" w:sz="0" w:space="0" w:color="auto"/>
            <w:left w:val="none" w:sz="0" w:space="0" w:color="auto"/>
            <w:bottom w:val="none" w:sz="0" w:space="0" w:color="auto"/>
            <w:right w:val="none" w:sz="0" w:space="0" w:color="auto"/>
          </w:divBdr>
          <w:divsChild>
            <w:div w:id="1336306526">
              <w:marLeft w:val="0"/>
              <w:marRight w:val="0"/>
              <w:marTop w:val="0"/>
              <w:marBottom w:val="0"/>
              <w:divBdr>
                <w:top w:val="none" w:sz="0" w:space="0" w:color="auto"/>
                <w:left w:val="none" w:sz="0" w:space="0" w:color="auto"/>
                <w:bottom w:val="none" w:sz="0" w:space="0" w:color="auto"/>
                <w:right w:val="none" w:sz="0" w:space="0" w:color="auto"/>
              </w:divBdr>
            </w:div>
          </w:divsChild>
        </w:div>
        <w:div w:id="426122383">
          <w:marLeft w:val="0"/>
          <w:marRight w:val="0"/>
          <w:marTop w:val="34"/>
          <w:marBottom w:val="10"/>
          <w:divBdr>
            <w:top w:val="none" w:sz="0" w:space="0" w:color="auto"/>
            <w:left w:val="none" w:sz="0" w:space="0" w:color="auto"/>
            <w:bottom w:val="none" w:sz="0" w:space="0" w:color="auto"/>
            <w:right w:val="none" w:sz="0" w:space="0" w:color="auto"/>
          </w:divBdr>
          <w:divsChild>
            <w:div w:id="1518419693">
              <w:marLeft w:val="0"/>
              <w:marRight w:val="0"/>
              <w:marTop w:val="0"/>
              <w:marBottom w:val="0"/>
              <w:divBdr>
                <w:top w:val="none" w:sz="0" w:space="0" w:color="auto"/>
                <w:left w:val="none" w:sz="0" w:space="0" w:color="auto"/>
                <w:bottom w:val="none" w:sz="0" w:space="0" w:color="auto"/>
                <w:right w:val="none" w:sz="0" w:space="0" w:color="auto"/>
              </w:divBdr>
            </w:div>
          </w:divsChild>
        </w:div>
        <w:div w:id="445662426">
          <w:marLeft w:val="0"/>
          <w:marRight w:val="0"/>
          <w:marTop w:val="34"/>
          <w:marBottom w:val="10"/>
          <w:divBdr>
            <w:top w:val="none" w:sz="0" w:space="0" w:color="auto"/>
            <w:left w:val="none" w:sz="0" w:space="0" w:color="auto"/>
            <w:bottom w:val="none" w:sz="0" w:space="0" w:color="auto"/>
            <w:right w:val="none" w:sz="0" w:space="0" w:color="auto"/>
          </w:divBdr>
          <w:divsChild>
            <w:div w:id="251160223">
              <w:marLeft w:val="0"/>
              <w:marRight w:val="0"/>
              <w:marTop w:val="0"/>
              <w:marBottom w:val="0"/>
              <w:divBdr>
                <w:top w:val="none" w:sz="0" w:space="0" w:color="auto"/>
                <w:left w:val="none" w:sz="0" w:space="0" w:color="auto"/>
                <w:bottom w:val="none" w:sz="0" w:space="0" w:color="auto"/>
                <w:right w:val="none" w:sz="0" w:space="0" w:color="auto"/>
              </w:divBdr>
            </w:div>
          </w:divsChild>
        </w:div>
        <w:div w:id="450132910">
          <w:marLeft w:val="0"/>
          <w:marRight w:val="0"/>
          <w:marTop w:val="34"/>
          <w:marBottom w:val="10"/>
          <w:divBdr>
            <w:top w:val="none" w:sz="0" w:space="0" w:color="auto"/>
            <w:left w:val="none" w:sz="0" w:space="0" w:color="auto"/>
            <w:bottom w:val="none" w:sz="0" w:space="0" w:color="auto"/>
            <w:right w:val="none" w:sz="0" w:space="0" w:color="auto"/>
          </w:divBdr>
          <w:divsChild>
            <w:div w:id="1663384691">
              <w:marLeft w:val="0"/>
              <w:marRight w:val="0"/>
              <w:marTop w:val="0"/>
              <w:marBottom w:val="0"/>
              <w:divBdr>
                <w:top w:val="none" w:sz="0" w:space="0" w:color="auto"/>
                <w:left w:val="none" w:sz="0" w:space="0" w:color="auto"/>
                <w:bottom w:val="none" w:sz="0" w:space="0" w:color="auto"/>
                <w:right w:val="none" w:sz="0" w:space="0" w:color="auto"/>
              </w:divBdr>
            </w:div>
          </w:divsChild>
        </w:div>
        <w:div w:id="451216470">
          <w:marLeft w:val="0"/>
          <w:marRight w:val="0"/>
          <w:marTop w:val="34"/>
          <w:marBottom w:val="10"/>
          <w:divBdr>
            <w:top w:val="none" w:sz="0" w:space="0" w:color="auto"/>
            <w:left w:val="none" w:sz="0" w:space="0" w:color="auto"/>
            <w:bottom w:val="none" w:sz="0" w:space="0" w:color="auto"/>
            <w:right w:val="none" w:sz="0" w:space="0" w:color="auto"/>
          </w:divBdr>
        </w:div>
        <w:div w:id="460223228">
          <w:marLeft w:val="0"/>
          <w:marRight w:val="0"/>
          <w:marTop w:val="34"/>
          <w:marBottom w:val="10"/>
          <w:divBdr>
            <w:top w:val="none" w:sz="0" w:space="0" w:color="auto"/>
            <w:left w:val="none" w:sz="0" w:space="0" w:color="auto"/>
            <w:bottom w:val="none" w:sz="0" w:space="0" w:color="auto"/>
            <w:right w:val="none" w:sz="0" w:space="0" w:color="auto"/>
          </w:divBdr>
          <w:divsChild>
            <w:div w:id="1523127982">
              <w:marLeft w:val="0"/>
              <w:marRight w:val="0"/>
              <w:marTop w:val="0"/>
              <w:marBottom w:val="0"/>
              <w:divBdr>
                <w:top w:val="none" w:sz="0" w:space="0" w:color="auto"/>
                <w:left w:val="none" w:sz="0" w:space="0" w:color="auto"/>
                <w:bottom w:val="none" w:sz="0" w:space="0" w:color="auto"/>
                <w:right w:val="none" w:sz="0" w:space="0" w:color="auto"/>
              </w:divBdr>
            </w:div>
          </w:divsChild>
        </w:div>
        <w:div w:id="465393508">
          <w:marLeft w:val="0"/>
          <w:marRight w:val="0"/>
          <w:marTop w:val="34"/>
          <w:marBottom w:val="10"/>
          <w:divBdr>
            <w:top w:val="none" w:sz="0" w:space="0" w:color="auto"/>
            <w:left w:val="none" w:sz="0" w:space="0" w:color="auto"/>
            <w:bottom w:val="none" w:sz="0" w:space="0" w:color="auto"/>
            <w:right w:val="none" w:sz="0" w:space="0" w:color="auto"/>
          </w:divBdr>
          <w:divsChild>
            <w:div w:id="1776364848">
              <w:marLeft w:val="0"/>
              <w:marRight w:val="0"/>
              <w:marTop w:val="0"/>
              <w:marBottom w:val="0"/>
              <w:divBdr>
                <w:top w:val="none" w:sz="0" w:space="0" w:color="auto"/>
                <w:left w:val="none" w:sz="0" w:space="0" w:color="auto"/>
                <w:bottom w:val="none" w:sz="0" w:space="0" w:color="auto"/>
                <w:right w:val="none" w:sz="0" w:space="0" w:color="auto"/>
              </w:divBdr>
            </w:div>
          </w:divsChild>
        </w:div>
        <w:div w:id="467168588">
          <w:marLeft w:val="0"/>
          <w:marRight w:val="0"/>
          <w:marTop w:val="34"/>
          <w:marBottom w:val="10"/>
          <w:divBdr>
            <w:top w:val="none" w:sz="0" w:space="0" w:color="auto"/>
            <w:left w:val="none" w:sz="0" w:space="0" w:color="auto"/>
            <w:bottom w:val="none" w:sz="0" w:space="0" w:color="auto"/>
            <w:right w:val="none" w:sz="0" w:space="0" w:color="auto"/>
          </w:divBdr>
          <w:divsChild>
            <w:div w:id="1250890847">
              <w:marLeft w:val="0"/>
              <w:marRight w:val="0"/>
              <w:marTop w:val="0"/>
              <w:marBottom w:val="0"/>
              <w:divBdr>
                <w:top w:val="none" w:sz="0" w:space="0" w:color="auto"/>
                <w:left w:val="none" w:sz="0" w:space="0" w:color="auto"/>
                <w:bottom w:val="none" w:sz="0" w:space="0" w:color="auto"/>
                <w:right w:val="none" w:sz="0" w:space="0" w:color="auto"/>
              </w:divBdr>
            </w:div>
          </w:divsChild>
        </w:div>
        <w:div w:id="501311356">
          <w:marLeft w:val="0"/>
          <w:marRight w:val="0"/>
          <w:marTop w:val="34"/>
          <w:marBottom w:val="10"/>
          <w:divBdr>
            <w:top w:val="none" w:sz="0" w:space="0" w:color="auto"/>
            <w:left w:val="none" w:sz="0" w:space="0" w:color="auto"/>
            <w:bottom w:val="none" w:sz="0" w:space="0" w:color="auto"/>
            <w:right w:val="none" w:sz="0" w:space="0" w:color="auto"/>
          </w:divBdr>
          <w:divsChild>
            <w:div w:id="302124347">
              <w:marLeft w:val="0"/>
              <w:marRight w:val="0"/>
              <w:marTop w:val="0"/>
              <w:marBottom w:val="0"/>
              <w:divBdr>
                <w:top w:val="none" w:sz="0" w:space="0" w:color="auto"/>
                <w:left w:val="none" w:sz="0" w:space="0" w:color="auto"/>
                <w:bottom w:val="none" w:sz="0" w:space="0" w:color="auto"/>
                <w:right w:val="none" w:sz="0" w:space="0" w:color="auto"/>
              </w:divBdr>
            </w:div>
          </w:divsChild>
        </w:div>
        <w:div w:id="503276994">
          <w:marLeft w:val="0"/>
          <w:marRight w:val="0"/>
          <w:marTop w:val="34"/>
          <w:marBottom w:val="10"/>
          <w:divBdr>
            <w:top w:val="none" w:sz="0" w:space="0" w:color="auto"/>
            <w:left w:val="none" w:sz="0" w:space="0" w:color="auto"/>
            <w:bottom w:val="none" w:sz="0" w:space="0" w:color="auto"/>
            <w:right w:val="none" w:sz="0" w:space="0" w:color="auto"/>
          </w:divBdr>
          <w:divsChild>
            <w:div w:id="1379276722">
              <w:marLeft w:val="0"/>
              <w:marRight w:val="0"/>
              <w:marTop w:val="0"/>
              <w:marBottom w:val="0"/>
              <w:divBdr>
                <w:top w:val="none" w:sz="0" w:space="0" w:color="auto"/>
                <w:left w:val="none" w:sz="0" w:space="0" w:color="auto"/>
                <w:bottom w:val="none" w:sz="0" w:space="0" w:color="auto"/>
                <w:right w:val="none" w:sz="0" w:space="0" w:color="auto"/>
              </w:divBdr>
            </w:div>
          </w:divsChild>
        </w:div>
        <w:div w:id="510534675">
          <w:marLeft w:val="0"/>
          <w:marRight w:val="0"/>
          <w:marTop w:val="34"/>
          <w:marBottom w:val="10"/>
          <w:divBdr>
            <w:top w:val="none" w:sz="0" w:space="0" w:color="auto"/>
            <w:left w:val="none" w:sz="0" w:space="0" w:color="auto"/>
            <w:bottom w:val="none" w:sz="0" w:space="0" w:color="auto"/>
            <w:right w:val="none" w:sz="0" w:space="0" w:color="auto"/>
          </w:divBdr>
          <w:divsChild>
            <w:div w:id="1131705166">
              <w:marLeft w:val="0"/>
              <w:marRight w:val="0"/>
              <w:marTop w:val="0"/>
              <w:marBottom w:val="0"/>
              <w:divBdr>
                <w:top w:val="none" w:sz="0" w:space="0" w:color="auto"/>
                <w:left w:val="none" w:sz="0" w:space="0" w:color="auto"/>
                <w:bottom w:val="none" w:sz="0" w:space="0" w:color="auto"/>
                <w:right w:val="none" w:sz="0" w:space="0" w:color="auto"/>
              </w:divBdr>
            </w:div>
          </w:divsChild>
        </w:div>
        <w:div w:id="517624276">
          <w:marLeft w:val="0"/>
          <w:marRight w:val="0"/>
          <w:marTop w:val="34"/>
          <w:marBottom w:val="10"/>
          <w:divBdr>
            <w:top w:val="none" w:sz="0" w:space="0" w:color="auto"/>
            <w:left w:val="none" w:sz="0" w:space="0" w:color="auto"/>
            <w:bottom w:val="none" w:sz="0" w:space="0" w:color="auto"/>
            <w:right w:val="none" w:sz="0" w:space="0" w:color="auto"/>
          </w:divBdr>
          <w:divsChild>
            <w:div w:id="1444038842">
              <w:marLeft w:val="0"/>
              <w:marRight w:val="0"/>
              <w:marTop w:val="0"/>
              <w:marBottom w:val="0"/>
              <w:divBdr>
                <w:top w:val="none" w:sz="0" w:space="0" w:color="auto"/>
                <w:left w:val="none" w:sz="0" w:space="0" w:color="auto"/>
                <w:bottom w:val="none" w:sz="0" w:space="0" w:color="auto"/>
                <w:right w:val="none" w:sz="0" w:space="0" w:color="auto"/>
              </w:divBdr>
            </w:div>
          </w:divsChild>
        </w:div>
        <w:div w:id="527303002">
          <w:marLeft w:val="0"/>
          <w:marRight w:val="0"/>
          <w:marTop w:val="34"/>
          <w:marBottom w:val="10"/>
          <w:divBdr>
            <w:top w:val="none" w:sz="0" w:space="0" w:color="auto"/>
            <w:left w:val="none" w:sz="0" w:space="0" w:color="auto"/>
            <w:bottom w:val="none" w:sz="0" w:space="0" w:color="auto"/>
            <w:right w:val="none" w:sz="0" w:space="0" w:color="auto"/>
          </w:divBdr>
          <w:divsChild>
            <w:div w:id="1165823615">
              <w:marLeft w:val="0"/>
              <w:marRight w:val="0"/>
              <w:marTop w:val="0"/>
              <w:marBottom w:val="0"/>
              <w:divBdr>
                <w:top w:val="none" w:sz="0" w:space="0" w:color="auto"/>
                <w:left w:val="none" w:sz="0" w:space="0" w:color="auto"/>
                <w:bottom w:val="none" w:sz="0" w:space="0" w:color="auto"/>
                <w:right w:val="none" w:sz="0" w:space="0" w:color="auto"/>
              </w:divBdr>
            </w:div>
          </w:divsChild>
        </w:div>
        <w:div w:id="527791558">
          <w:marLeft w:val="0"/>
          <w:marRight w:val="0"/>
          <w:marTop w:val="34"/>
          <w:marBottom w:val="10"/>
          <w:divBdr>
            <w:top w:val="none" w:sz="0" w:space="0" w:color="auto"/>
            <w:left w:val="none" w:sz="0" w:space="0" w:color="auto"/>
            <w:bottom w:val="none" w:sz="0" w:space="0" w:color="auto"/>
            <w:right w:val="none" w:sz="0" w:space="0" w:color="auto"/>
          </w:divBdr>
          <w:divsChild>
            <w:div w:id="2145419033">
              <w:marLeft w:val="0"/>
              <w:marRight w:val="0"/>
              <w:marTop w:val="0"/>
              <w:marBottom w:val="0"/>
              <w:divBdr>
                <w:top w:val="none" w:sz="0" w:space="0" w:color="auto"/>
                <w:left w:val="none" w:sz="0" w:space="0" w:color="auto"/>
                <w:bottom w:val="none" w:sz="0" w:space="0" w:color="auto"/>
                <w:right w:val="none" w:sz="0" w:space="0" w:color="auto"/>
              </w:divBdr>
            </w:div>
          </w:divsChild>
        </w:div>
        <w:div w:id="530076003">
          <w:marLeft w:val="0"/>
          <w:marRight w:val="0"/>
          <w:marTop w:val="34"/>
          <w:marBottom w:val="10"/>
          <w:divBdr>
            <w:top w:val="none" w:sz="0" w:space="0" w:color="auto"/>
            <w:left w:val="none" w:sz="0" w:space="0" w:color="auto"/>
            <w:bottom w:val="none" w:sz="0" w:space="0" w:color="auto"/>
            <w:right w:val="none" w:sz="0" w:space="0" w:color="auto"/>
          </w:divBdr>
          <w:divsChild>
            <w:div w:id="1917395534">
              <w:marLeft w:val="0"/>
              <w:marRight w:val="0"/>
              <w:marTop w:val="0"/>
              <w:marBottom w:val="0"/>
              <w:divBdr>
                <w:top w:val="none" w:sz="0" w:space="0" w:color="auto"/>
                <w:left w:val="none" w:sz="0" w:space="0" w:color="auto"/>
                <w:bottom w:val="none" w:sz="0" w:space="0" w:color="auto"/>
                <w:right w:val="none" w:sz="0" w:space="0" w:color="auto"/>
              </w:divBdr>
            </w:div>
          </w:divsChild>
        </w:div>
        <w:div w:id="536356830">
          <w:marLeft w:val="0"/>
          <w:marRight w:val="0"/>
          <w:marTop w:val="34"/>
          <w:marBottom w:val="10"/>
          <w:divBdr>
            <w:top w:val="none" w:sz="0" w:space="0" w:color="auto"/>
            <w:left w:val="none" w:sz="0" w:space="0" w:color="auto"/>
            <w:bottom w:val="none" w:sz="0" w:space="0" w:color="auto"/>
            <w:right w:val="none" w:sz="0" w:space="0" w:color="auto"/>
          </w:divBdr>
          <w:divsChild>
            <w:div w:id="1274166480">
              <w:marLeft w:val="0"/>
              <w:marRight w:val="0"/>
              <w:marTop w:val="0"/>
              <w:marBottom w:val="0"/>
              <w:divBdr>
                <w:top w:val="none" w:sz="0" w:space="0" w:color="auto"/>
                <w:left w:val="none" w:sz="0" w:space="0" w:color="auto"/>
                <w:bottom w:val="none" w:sz="0" w:space="0" w:color="auto"/>
                <w:right w:val="none" w:sz="0" w:space="0" w:color="auto"/>
              </w:divBdr>
            </w:div>
          </w:divsChild>
        </w:div>
        <w:div w:id="540091952">
          <w:marLeft w:val="0"/>
          <w:marRight w:val="0"/>
          <w:marTop w:val="34"/>
          <w:marBottom w:val="10"/>
          <w:divBdr>
            <w:top w:val="none" w:sz="0" w:space="0" w:color="auto"/>
            <w:left w:val="none" w:sz="0" w:space="0" w:color="auto"/>
            <w:bottom w:val="none" w:sz="0" w:space="0" w:color="auto"/>
            <w:right w:val="none" w:sz="0" w:space="0" w:color="auto"/>
          </w:divBdr>
          <w:divsChild>
            <w:div w:id="325062721">
              <w:marLeft w:val="0"/>
              <w:marRight w:val="0"/>
              <w:marTop w:val="0"/>
              <w:marBottom w:val="0"/>
              <w:divBdr>
                <w:top w:val="none" w:sz="0" w:space="0" w:color="auto"/>
                <w:left w:val="none" w:sz="0" w:space="0" w:color="auto"/>
                <w:bottom w:val="none" w:sz="0" w:space="0" w:color="auto"/>
                <w:right w:val="none" w:sz="0" w:space="0" w:color="auto"/>
              </w:divBdr>
            </w:div>
          </w:divsChild>
        </w:div>
        <w:div w:id="545026835">
          <w:marLeft w:val="0"/>
          <w:marRight w:val="0"/>
          <w:marTop w:val="34"/>
          <w:marBottom w:val="10"/>
          <w:divBdr>
            <w:top w:val="none" w:sz="0" w:space="0" w:color="auto"/>
            <w:left w:val="none" w:sz="0" w:space="0" w:color="auto"/>
            <w:bottom w:val="none" w:sz="0" w:space="0" w:color="auto"/>
            <w:right w:val="none" w:sz="0" w:space="0" w:color="auto"/>
          </w:divBdr>
          <w:divsChild>
            <w:div w:id="1657032780">
              <w:marLeft w:val="0"/>
              <w:marRight w:val="0"/>
              <w:marTop w:val="0"/>
              <w:marBottom w:val="0"/>
              <w:divBdr>
                <w:top w:val="none" w:sz="0" w:space="0" w:color="auto"/>
                <w:left w:val="none" w:sz="0" w:space="0" w:color="auto"/>
                <w:bottom w:val="none" w:sz="0" w:space="0" w:color="auto"/>
                <w:right w:val="none" w:sz="0" w:space="0" w:color="auto"/>
              </w:divBdr>
            </w:div>
          </w:divsChild>
        </w:div>
        <w:div w:id="545914918">
          <w:marLeft w:val="0"/>
          <w:marRight w:val="0"/>
          <w:marTop w:val="34"/>
          <w:marBottom w:val="10"/>
          <w:divBdr>
            <w:top w:val="none" w:sz="0" w:space="0" w:color="auto"/>
            <w:left w:val="none" w:sz="0" w:space="0" w:color="auto"/>
            <w:bottom w:val="none" w:sz="0" w:space="0" w:color="auto"/>
            <w:right w:val="none" w:sz="0" w:space="0" w:color="auto"/>
          </w:divBdr>
          <w:divsChild>
            <w:div w:id="1622343888">
              <w:marLeft w:val="0"/>
              <w:marRight w:val="0"/>
              <w:marTop w:val="0"/>
              <w:marBottom w:val="0"/>
              <w:divBdr>
                <w:top w:val="none" w:sz="0" w:space="0" w:color="auto"/>
                <w:left w:val="none" w:sz="0" w:space="0" w:color="auto"/>
                <w:bottom w:val="none" w:sz="0" w:space="0" w:color="auto"/>
                <w:right w:val="none" w:sz="0" w:space="0" w:color="auto"/>
              </w:divBdr>
            </w:div>
          </w:divsChild>
        </w:div>
        <w:div w:id="548612202">
          <w:marLeft w:val="0"/>
          <w:marRight w:val="0"/>
          <w:marTop w:val="34"/>
          <w:marBottom w:val="10"/>
          <w:divBdr>
            <w:top w:val="none" w:sz="0" w:space="0" w:color="auto"/>
            <w:left w:val="none" w:sz="0" w:space="0" w:color="auto"/>
            <w:bottom w:val="none" w:sz="0" w:space="0" w:color="auto"/>
            <w:right w:val="none" w:sz="0" w:space="0" w:color="auto"/>
          </w:divBdr>
          <w:divsChild>
            <w:div w:id="942030179">
              <w:marLeft w:val="0"/>
              <w:marRight w:val="0"/>
              <w:marTop w:val="0"/>
              <w:marBottom w:val="0"/>
              <w:divBdr>
                <w:top w:val="none" w:sz="0" w:space="0" w:color="auto"/>
                <w:left w:val="none" w:sz="0" w:space="0" w:color="auto"/>
                <w:bottom w:val="none" w:sz="0" w:space="0" w:color="auto"/>
                <w:right w:val="none" w:sz="0" w:space="0" w:color="auto"/>
              </w:divBdr>
            </w:div>
          </w:divsChild>
        </w:div>
        <w:div w:id="553735969">
          <w:marLeft w:val="0"/>
          <w:marRight w:val="0"/>
          <w:marTop w:val="34"/>
          <w:marBottom w:val="10"/>
          <w:divBdr>
            <w:top w:val="none" w:sz="0" w:space="0" w:color="auto"/>
            <w:left w:val="none" w:sz="0" w:space="0" w:color="auto"/>
            <w:bottom w:val="none" w:sz="0" w:space="0" w:color="auto"/>
            <w:right w:val="none" w:sz="0" w:space="0" w:color="auto"/>
          </w:divBdr>
          <w:divsChild>
            <w:div w:id="1414159541">
              <w:marLeft w:val="0"/>
              <w:marRight w:val="0"/>
              <w:marTop w:val="0"/>
              <w:marBottom w:val="0"/>
              <w:divBdr>
                <w:top w:val="none" w:sz="0" w:space="0" w:color="auto"/>
                <w:left w:val="none" w:sz="0" w:space="0" w:color="auto"/>
                <w:bottom w:val="none" w:sz="0" w:space="0" w:color="auto"/>
                <w:right w:val="none" w:sz="0" w:space="0" w:color="auto"/>
              </w:divBdr>
            </w:div>
          </w:divsChild>
        </w:div>
        <w:div w:id="567304454">
          <w:marLeft w:val="0"/>
          <w:marRight w:val="0"/>
          <w:marTop w:val="34"/>
          <w:marBottom w:val="10"/>
          <w:divBdr>
            <w:top w:val="none" w:sz="0" w:space="0" w:color="auto"/>
            <w:left w:val="none" w:sz="0" w:space="0" w:color="auto"/>
            <w:bottom w:val="none" w:sz="0" w:space="0" w:color="auto"/>
            <w:right w:val="none" w:sz="0" w:space="0" w:color="auto"/>
          </w:divBdr>
          <w:divsChild>
            <w:div w:id="332610825">
              <w:marLeft w:val="0"/>
              <w:marRight w:val="0"/>
              <w:marTop w:val="0"/>
              <w:marBottom w:val="0"/>
              <w:divBdr>
                <w:top w:val="none" w:sz="0" w:space="0" w:color="auto"/>
                <w:left w:val="none" w:sz="0" w:space="0" w:color="auto"/>
                <w:bottom w:val="none" w:sz="0" w:space="0" w:color="auto"/>
                <w:right w:val="none" w:sz="0" w:space="0" w:color="auto"/>
              </w:divBdr>
            </w:div>
          </w:divsChild>
        </w:div>
        <w:div w:id="569923787">
          <w:marLeft w:val="0"/>
          <w:marRight w:val="0"/>
          <w:marTop w:val="34"/>
          <w:marBottom w:val="10"/>
          <w:divBdr>
            <w:top w:val="none" w:sz="0" w:space="0" w:color="auto"/>
            <w:left w:val="none" w:sz="0" w:space="0" w:color="auto"/>
            <w:bottom w:val="none" w:sz="0" w:space="0" w:color="auto"/>
            <w:right w:val="none" w:sz="0" w:space="0" w:color="auto"/>
          </w:divBdr>
        </w:div>
        <w:div w:id="593631508">
          <w:marLeft w:val="0"/>
          <w:marRight w:val="0"/>
          <w:marTop w:val="34"/>
          <w:marBottom w:val="10"/>
          <w:divBdr>
            <w:top w:val="none" w:sz="0" w:space="0" w:color="auto"/>
            <w:left w:val="none" w:sz="0" w:space="0" w:color="auto"/>
            <w:bottom w:val="none" w:sz="0" w:space="0" w:color="auto"/>
            <w:right w:val="none" w:sz="0" w:space="0" w:color="auto"/>
          </w:divBdr>
        </w:div>
        <w:div w:id="612204261">
          <w:marLeft w:val="0"/>
          <w:marRight w:val="0"/>
          <w:marTop w:val="34"/>
          <w:marBottom w:val="10"/>
          <w:divBdr>
            <w:top w:val="none" w:sz="0" w:space="0" w:color="auto"/>
            <w:left w:val="none" w:sz="0" w:space="0" w:color="auto"/>
            <w:bottom w:val="none" w:sz="0" w:space="0" w:color="auto"/>
            <w:right w:val="none" w:sz="0" w:space="0" w:color="auto"/>
          </w:divBdr>
          <w:divsChild>
            <w:div w:id="232013412">
              <w:marLeft w:val="0"/>
              <w:marRight w:val="0"/>
              <w:marTop w:val="0"/>
              <w:marBottom w:val="0"/>
              <w:divBdr>
                <w:top w:val="none" w:sz="0" w:space="0" w:color="auto"/>
                <w:left w:val="none" w:sz="0" w:space="0" w:color="auto"/>
                <w:bottom w:val="none" w:sz="0" w:space="0" w:color="auto"/>
                <w:right w:val="none" w:sz="0" w:space="0" w:color="auto"/>
              </w:divBdr>
            </w:div>
          </w:divsChild>
        </w:div>
        <w:div w:id="639068452">
          <w:marLeft w:val="0"/>
          <w:marRight w:val="0"/>
          <w:marTop w:val="34"/>
          <w:marBottom w:val="10"/>
          <w:divBdr>
            <w:top w:val="none" w:sz="0" w:space="0" w:color="auto"/>
            <w:left w:val="none" w:sz="0" w:space="0" w:color="auto"/>
            <w:bottom w:val="none" w:sz="0" w:space="0" w:color="auto"/>
            <w:right w:val="none" w:sz="0" w:space="0" w:color="auto"/>
          </w:divBdr>
          <w:divsChild>
            <w:div w:id="432820801">
              <w:marLeft w:val="0"/>
              <w:marRight w:val="0"/>
              <w:marTop w:val="0"/>
              <w:marBottom w:val="0"/>
              <w:divBdr>
                <w:top w:val="none" w:sz="0" w:space="0" w:color="auto"/>
                <w:left w:val="none" w:sz="0" w:space="0" w:color="auto"/>
                <w:bottom w:val="none" w:sz="0" w:space="0" w:color="auto"/>
                <w:right w:val="none" w:sz="0" w:space="0" w:color="auto"/>
              </w:divBdr>
            </w:div>
          </w:divsChild>
        </w:div>
        <w:div w:id="648629706">
          <w:marLeft w:val="0"/>
          <w:marRight w:val="0"/>
          <w:marTop w:val="34"/>
          <w:marBottom w:val="10"/>
          <w:divBdr>
            <w:top w:val="none" w:sz="0" w:space="0" w:color="auto"/>
            <w:left w:val="none" w:sz="0" w:space="0" w:color="auto"/>
            <w:bottom w:val="none" w:sz="0" w:space="0" w:color="auto"/>
            <w:right w:val="none" w:sz="0" w:space="0" w:color="auto"/>
          </w:divBdr>
          <w:divsChild>
            <w:div w:id="1609459854">
              <w:marLeft w:val="0"/>
              <w:marRight w:val="0"/>
              <w:marTop w:val="0"/>
              <w:marBottom w:val="0"/>
              <w:divBdr>
                <w:top w:val="none" w:sz="0" w:space="0" w:color="auto"/>
                <w:left w:val="none" w:sz="0" w:space="0" w:color="auto"/>
                <w:bottom w:val="none" w:sz="0" w:space="0" w:color="auto"/>
                <w:right w:val="none" w:sz="0" w:space="0" w:color="auto"/>
              </w:divBdr>
            </w:div>
          </w:divsChild>
        </w:div>
        <w:div w:id="653918523">
          <w:marLeft w:val="0"/>
          <w:marRight w:val="0"/>
          <w:marTop w:val="34"/>
          <w:marBottom w:val="10"/>
          <w:divBdr>
            <w:top w:val="none" w:sz="0" w:space="0" w:color="auto"/>
            <w:left w:val="none" w:sz="0" w:space="0" w:color="auto"/>
            <w:bottom w:val="none" w:sz="0" w:space="0" w:color="auto"/>
            <w:right w:val="none" w:sz="0" w:space="0" w:color="auto"/>
          </w:divBdr>
          <w:divsChild>
            <w:div w:id="1635716031">
              <w:marLeft w:val="0"/>
              <w:marRight w:val="0"/>
              <w:marTop w:val="0"/>
              <w:marBottom w:val="0"/>
              <w:divBdr>
                <w:top w:val="none" w:sz="0" w:space="0" w:color="auto"/>
                <w:left w:val="none" w:sz="0" w:space="0" w:color="auto"/>
                <w:bottom w:val="none" w:sz="0" w:space="0" w:color="auto"/>
                <w:right w:val="none" w:sz="0" w:space="0" w:color="auto"/>
              </w:divBdr>
            </w:div>
          </w:divsChild>
        </w:div>
        <w:div w:id="656540375">
          <w:marLeft w:val="0"/>
          <w:marRight w:val="0"/>
          <w:marTop w:val="34"/>
          <w:marBottom w:val="10"/>
          <w:divBdr>
            <w:top w:val="none" w:sz="0" w:space="0" w:color="auto"/>
            <w:left w:val="none" w:sz="0" w:space="0" w:color="auto"/>
            <w:bottom w:val="none" w:sz="0" w:space="0" w:color="auto"/>
            <w:right w:val="none" w:sz="0" w:space="0" w:color="auto"/>
          </w:divBdr>
          <w:divsChild>
            <w:div w:id="768966002">
              <w:marLeft w:val="0"/>
              <w:marRight w:val="0"/>
              <w:marTop w:val="0"/>
              <w:marBottom w:val="0"/>
              <w:divBdr>
                <w:top w:val="none" w:sz="0" w:space="0" w:color="auto"/>
                <w:left w:val="none" w:sz="0" w:space="0" w:color="auto"/>
                <w:bottom w:val="none" w:sz="0" w:space="0" w:color="auto"/>
                <w:right w:val="none" w:sz="0" w:space="0" w:color="auto"/>
              </w:divBdr>
            </w:div>
          </w:divsChild>
        </w:div>
        <w:div w:id="664747204">
          <w:marLeft w:val="0"/>
          <w:marRight w:val="0"/>
          <w:marTop w:val="34"/>
          <w:marBottom w:val="10"/>
          <w:divBdr>
            <w:top w:val="none" w:sz="0" w:space="0" w:color="auto"/>
            <w:left w:val="none" w:sz="0" w:space="0" w:color="auto"/>
            <w:bottom w:val="none" w:sz="0" w:space="0" w:color="auto"/>
            <w:right w:val="none" w:sz="0" w:space="0" w:color="auto"/>
          </w:divBdr>
          <w:divsChild>
            <w:div w:id="988442366">
              <w:marLeft w:val="0"/>
              <w:marRight w:val="0"/>
              <w:marTop w:val="0"/>
              <w:marBottom w:val="0"/>
              <w:divBdr>
                <w:top w:val="none" w:sz="0" w:space="0" w:color="auto"/>
                <w:left w:val="none" w:sz="0" w:space="0" w:color="auto"/>
                <w:bottom w:val="none" w:sz="0" w:space="0" w:color="auto"/>
                <w:right w:val="none" w:sz="0" w:space="0" w:color="auto"/>
              </w:divBdr>
            </w:div>
          </w:divsChild>
        </w:div>
        <w:div w:id="665550597">
          <w:marLeft w:val="0"/>
          <w:marRight w:val="0"/>
          <w:marTop w:val="34"/>
          <w:marBottom w:val="10"/>
          <w:divBdr>
            <w:top w:val="none" w:sz="0" w:space="0" w:color="auto"/>
            <w:left w:val="none" w:sz="0" w:space="0" w:color="auto"/>
            <w:bottom w:val="none" w:sz="0" w:space="0" w:color="auto"/>
            <w:right w:val="none" w:sz="0" w:space="0" w:color="auto"/>
          </w:divBdr>
        </w:div>
        <w:div w:id="674646722">
          <w:marLeft w:val="0"/>
          <w:marRight w:val="0"/>
          <w:marTop w:val="34"/>
          <w:marBottom w:val="10"/>
          <w:divBdr>
            <w:top w:val="none" w:sz="0" w:space="0" w:color="auto"/>
            <w:left w:val="none" w:sz="0" w:space="0" w:color="auto"/>
            <w:bottom w:val="none" w:sz="0" w:space="0" w:color="auto"/>
            <w:right w:val="none" w:sz="0" w:space="0" w:color="auto"/>
          </w:divBdr>
        </w:div>
        <w:div w:id="688291511">
          <w:marLeft w:val="0"/>
          <w:marRight w:val="0"/>
          <w:marTop w:val="34"/>
          <w:marBottom w:val="10"/>
          <w:divBdr>
            <w:top w:val="none" w:sz="0" w:space="0" w:color="auto"/>
            <w:left w:val="none" w:sz="0" w:space="0" w:color="auto"/>
            <w:bottom w:val="none" w:sz="0" w:space="0" w:color="auto"/>
            <w:right w:val="none" w:sz="0" w:space="0" w:color="auto"/>
          </w:divBdr>
          <w:divsChild>
            <w:div w:id="2049715291">
              <w:marLeft w:val="0"/>
              <w:marRight w:val="0"/>
              <w:marTop w:val="0"/>
              <w:marBottom w:val="0"/>
              <w:divBdr>
                <w:top w:val="none" w:sz="0" w:space="0" w:color="auto"/>
                <w:left w:val="none" w:sz="0" w:space="0" w:color="auto"/>
                <w:bottom w:val="none" w:sz="0" w:space="0" w:color="auto"/>
                <w:right w:val="none" w:sz="0" w:space="0" w:color="auto"/>
              </w:divBdr>
            </w:div>
          </w:divsChild>
        </w:div>
        <w:div w:id="688606848">
          <w:marLeft w:val="0"/>
          <w:marRight w:val="0"/>
          <w:marTop w:val="34"/>
          <w:marBottom w:val="10"/>
          <w:divBdr>
            <w:top w:val="none" w:sz="0" w:space="0" w:color="auto"/>
            <w:left w:val="none" w:sz="0" w:space="0" w:color="auto"/>
            <w:bottom w:val="none" w:sz="0" w:space="0" w:color="auto"/>
            <w:right w:val="none" w:sz="0" w:space="0" w:color="auto"/>
          </w:divBdr>
          <w:divsChild>
            <w:div w:id="1004209757">
              <w:marLeft w:val="0"/>
              <w:marRight w:val="0"/>
              <w:marTop w:val="0"/>
              <w:marBottom w:val="0"/>
              <w:divBdr>
                <w:top w:val="none" w:sz="0" w:space="0" w:color="auto"/>
                <w:left w:val="none" w:sz="0" w:space="0" w:color="auto"/>
                <w:bottom w:val="none" w:sz="0" w:space="0" w:color="auto"/>
                <w:right w:val="none" w:sz="0" w:space="0" w:color="auto"/>
              </w:divBdr>
            </w:div>
          </w:divsChild>
        </w:div>
        <w:div w:id="691809381">
          <w:marLeft w:val="0"/>
          <w:marRight w:val="0"/>
          <w:marTop w:val="34"/>
          <w:marBottom w:val="10"/>
          <w:divBdr>
            <w:top w:val="none" w:sz="0" w:space="0" w:color="auto"/>
            <w:left w:val="none" w:sz="0" w:space="0" w:color="auto"/>
            <w:bottom w:val="none" w:sz="0" w:space="0" w:color="auto"/>
            <w:right w:val="none" w:sz="0" w:space="0" w:color="auto"/>
          </w:divBdr>
          <w:divsChild>
            <w:div w:id="310987445">
              <w:marLeft w:val="0"/>
              <w:marRight w:val="0"/>
              <w:marTop w:val="0"/>
              <w:marBottom w:val="0"/>
              <w:divBdr>
                <w:top w:val="none" w:sz="0" w:space="0" w:color="auto"/>
                <w:left w:val="none" w:sz="0" w:space="0" w:color="auto"/>
                <w:bottom w:val="none" w:sz="0" w:space="0" w:color="auto"/>
                <w:right w:val="none" w:sz="0" w:space="0" w:color="auto"/>
              </w:divBdr>
            </w:div>
          </w:divsChild>
        </w:div>
        <w:div w:id="705102271">
          <w:marLeft w:val="0"/>
          <w:marRight w:val="0"/>
          <w:marTop w:val="34"/>
          <w:marBottom w:val="10"/>
          <w:divBdr>
            <w:top w:val="none" w:sz="0" w:space="0" w:color="auto"/>
            <w:left w:val="none" w:sz="0" w:space="0" w:color="auto"/>
            <w:bottom w:val="none" w:sz="0" w:space="0" w:color="auto"/>
            <w:right w:val="none" w:sz="0" w:space="0" w:color="auto"/>
          </w:divBdr>
          <w:divsChild>
            <w:div w:id="1229923812">
              <w:marLeft w:val="0"/>
              <w:marRight w:val="0"/>
              <w:marTop w:val="0"/>
              <w:marBottom w:val="0"/>
              <w:divBdr>
                <w:top w:val="none" w:sz="0" w:space="0" w:color="auto"/>
                <w:left w:val="none" w:sz="0" w:space="0" w:color="auto"/>
                <w:bottom w:val="none" w:sz="0" w:space="0" w:color="auto"/>
                <w:right w:val="none" w:sz="0" w:space="0" w:color="auto"/>
              </w:divBdr>
            </w:div>
          </w:divsChild>
        </w:div>
        <w:div w:id="706372564">
          <w:marLeft w:val="0"/>
          <w:marRight w:val="0"/>
          <w:marTop w:val="34"/>
          <w:marBottom w:val="10"/>
          <w:divBdr>
            <w:top w:val="none" w:sz="0" w:space="0" w:color="auto"/>
            <w:left w:val="none" w:sz="0" w:space="0" w:color="auto"/>
            <w:bottom w:val="none" w:sz="0" w:space="0" w:color="auto"/>
            <w:right w:val="none" w:sz="0" w:space="0" w:color="auto"/>
          </w:divBdr>
          <w:divsChild>
            <w:div w:id="172381825">
              <w:marLeft w:val="0"/>
              <w:marRight w:val="0"/>
              <w:marTop w:val="0"/>
              <w:marBottom w:val="0"/>
              <w:divBdr>
                <w:top w:val="none" w:sz="0" w:space="0" w:color="auto"/>
                <w:left w:val="none" w:sz="0" w:space="0" w:color="auto"/>
                <w:bottom w:val="none" w:sz="0" w:space="0" w:color="auto"/>
                <w:right w:val="none" w:sz="0" w:space="0" w:color="auto"/>
              </w:divBdr>
            </w:div>
          </w:divsChild>
        </w:div>
        <w:div w:id="707527713">
          <w:marLeft w:val="0"/>
          <w:marRight w:val="0"/>
          <w:marTop w:val="34"/>
          <w:marBottom w:val="10"/>
          <w:divBdr>
            <w:top w:val="none" w:sz="0" w:space="0" w:color="auto"/>
            <w:left w:val="none" w:sz="0" w:space="0" w:color="auto"/>
            <w:bottom w:val="none" w:sz="0" w:space="0" w:color="auto"/>
            <w:right w:val="none" w:sz="0" w:space="0" w:color="auto"/>
          </w:divBdr>
          <w:divsChild>
            <w:div w:id="582643094">
              <w:marLeft w:val="0"/>
              <w:marRight w:val="0"/>
              <w:marTop w:val="0"/>
              <w:marBottom w:val="0"/>
              <w:divBdr>
                <w:top w:val="none" w:sz="0" w:space="0" w:color="auto"/>
                <w:left w:val="none" w:sz="0" w:space="0" w:color="auto"/>
                <w:bottom w:val="none" w:sz="0" w:space="0" w:color="auto"/>
                <w:right w:val="none" w:sz="0" w:space="0" w:color="auto"/>
              </w:divBdr>
            </w:div>
          </w:divsChild>
        </w:div>
        <w:div w:id="720598242">
          <w:marLeft w:val="0"/>
          <w:marRight w:val="0"/>
          <w:marTop w:val="34"/>
          <w:marBottom w:val="10"/>
          <w:divBdr>
            <w:top w:val="none" w:sz="0" w:space="0" w:color="auto"/>
            <w:left w:val="none" w:sz="0" w:space="0" w:color="auto"/>
            <w:bottom w:val="none" w:sz="0" w:space="0" w:color="auto"/>
            <w:right w:val="none" w:sz="0" w:space="0" w:color="auto"/>
          </w:divBdr>
          <w:divsChild>
            <w:div w:id="740370699">
              <w:marLeft w:val="0"/>
              <w:marRight w:val="0"/>
              <w:marTop w:val="0"/>
              <w:marBottom w:val="0"/>
              <w:divBdr>
                <w:top w:val="none" w:sz="0" w:space="0" w:color="auto"/>
                <w:left w:val="none" w:sz="0" w:space="0" w:color="auto"/>
                <w:bottom w:val="none" w:sz="0" w:space="0" w:color="auto"/>
                <w:right w:val="none" w:sz="0" w:space="0" w:color="auto"/>
              </w:divBdr>
            </w:div>
          </w:divsChild>
        </w:div>
        <w:div w:id="720785022">
          <w:marLeft w:val="0"/>
          <w:marRight w:val="0"/>
          <w:marTop w:val="34"/>
          <w:marBottom w:val="10"/>
          <w:divBdr>
            <w:top w:val="none" w:sz="0" w:space="0" w:color="auto"/>
            <w:left w:val="none" w:sz="0" w:space="0" w:color="auto"/>
            <w:bottom w:val="none" w:sz="0" w:space="0" w:color="auto"/>
            <w:right w:val="none" w:sz="0" w:space="0" w:color="auto"/>
          </w:divBdr>
        </w:div>
        <w:div w:id="725373886">
          <w:marLeft w:val="0"/>
          <w:marRight w:val="0"/>
          <w:marTop w:val="34"/>
          <w:marBottom w:val="10"/>
          <w:divBdr>
            <w:top w:val="none" w:sz="0" w:space="0" w:color="auto"/>
            <w:left w:val="none" w:sz="0" w:space="0" w:color="auto"/>
            <w:bottom w:val="none" w:sz="0" w:space="0" w:color="auto"/>
            <w:right w:val="none" w:sz="0" w:space="0" w:color="auto"/>
          </w:divBdr>
          <w:divsChild>
            <w:div w:id="1539202125">
              <w:marLeft w:val="0"/>
              <w:marRight w:val="0"/>
              <w:marTop w:val="0"/>
              <w:marBottom w:val="0"/>
              <w:divBdr>
                <w:top w:val="none" w:sz="0" w:space="0" w:color="auto"/>
                <w:left w:val="none" w:sz="0" w:space="0" w:color="auto"/>
                <w:bottom w:val="none" w:sz="0" w:space="0" w:color="auto"/>
                <w:right w:val="none" w:sz="0" w:space="0" w:color="auto"/>
              </w:divBdr>
            </w:div>
          </w:divsChild>
        </w:div>
        <w:div w:id="726760634">
          <w:marLeft w:val="0"/>
          <w:marRight w:val="0"/>
          <w:marTop w:val="34"/>
          <w:marBottom w:val="10"/>
          <w:divBdr>
            <w:top w:val="none" w:sz="0" w:space="0" w:color="auto"/>
            <w:left w:val="none" w:sz="0" w:space="0" w:color="auto"/>
            <w:bottom w:val="none" w:sz="0" w:space="0" w:color="auto"/>
            <w:right w:val="none" w:sz="0" w:space="0" w:color="auto"/>
          </w:divBdr>
          <w:divsChild>
            <w:div w:id="1956597730">
              <w:marLeft w:val="0"/>
              <w:marRight w:val="0"/>
              <w:marTop w:val="0"/>
              <w:marBottom w:val="0"/>
              <w:divBdr>
                <w:top w:val="none" w:sz="0" w:space="0" w:color="auto"/>
                <w:left w:val="none" w:sz="0" w:space="0" w:color="auto"/>
                <w:bottom w:val="none" w:sz="0" w:space="0" w:color="auto"/>
                <w:right w:val="none" w:sz="0" w:space="0" w:color="auto"/>
              </w:divBdr>
            </w:div>
          </w:divsChild>
        </w:div>
        <w:div w:id="738403755">
          <w:marLeft w:val="0"/>
          <w:marRight w:val="0"/>
          <w:marTop w:val="34"/>
          <w:marBottom w:val="10"/>
          <w:divBdr>
            <w:top w:val="none" w:sz="0" w:space="0" w:color="auto"/>
            <w:left w:val="none" w:sz="0" w:space="0" w:color="auto"/>
            <w:bottom w:val="none" w:sz="0" w:space="0" w:color="auto"/>
            <w:right w:val="none" w:sz="0" w:space="0" w:color="auto"/>
          </w:divBdr>
          <w:divsChild>
            <w:div w:id="93283983">
              <w:marLeft w:val="0"/>
              <w:marRight w:val="0"/>
              <w:marTop w:val="0"/>
              <w:marBottom w:val="0"/>
              <w:divBdr>
                <w:top w:val="none" w:sz="0" w:space="0" w:color="auto"/>
                <w:left w:val="none" w:sz="0" w:space="0" w:color="auto"/>
                <w:bottom w:val="none" w:sz="0" w:space="0" w:color="auto"/>
                <w:right w:val="none" w:sz="0" w:space="0" w:color="auto"/>
              </w:divBdr>
            </w:div>
          </w:divsChild>
        </w:div>
        <w:div w:id="743990555">
          <w:marLeft w:val="0"/>
          <w:marRight w:val="0"/>
          <w:marTop w:val="34"/>
          <w:marBottom w:val="10"/>
          <w:divBdr>
            <w:top w:val="none" w:sz="0" w:space="0" w:color="auto"/>
            <w:left w:val="none" w:sz="0" w:space="0" w:color="auto"/>
            <w:bottom w:val="none" w:sz="0" w:space="0" w:color="auto"/>
            <w:right w:val="none" w:sz="0" w:space="0" w:color="auto"/>
          </w:divBdr>
          <w:divsChild>
            <w:div w:id="1905144416">
              <w:marLeft w:val="0"/>
              <w:marRight w:val="0"/>
              <w:marTop w:val="0"/>
              <w:marBottom w:val="0"/>
              <w:divBdr>
                <w:top w:val="none" w:sz="0" w:space="0" w:color="auto"/>
                <w:left w:val="none" w:sz="0" w:space="0" w:color="auto"/>
                <w:bottom w:val="none" w:sz="0" w:space="0" w:color="auto"/>
                <w:right w:val="none" w:sz="0" w:space="0" w:color="auto"/>
              </w:divBdr>
            </w:div>
          </w:divsChild>
        </w:div>
        <w:div w:id="752242904">
          <w:marLeft w:val="0"/>
          <w:marRight w:val="0"/>
          <w:marTop w:val="34"/>
          <w:marBottom w:val="10"/>
          <w:divBdr>
            <w:top w:val="none" w:sz="0" w:space="0" w:color="auto"/>
            <w:left w:val="none" w:sz="0" w:space="0" w:color="auto"/>
            <w:bottom w:val="none" w:sz="0" w:space="0" w:color="auto"/>
            <w:right w:val="none" w:sz="0" w:space="0" w:color="auto"/>
          </w:divBdr>
          <w:divsChild>
            <w:div w:id="1488938452">
              <w:marLeft w:val="0"/>
              <w:marRight w:val="0"/>
              <w:marTop w:val="0"/>
              <w:marBottom w:val="0"/>
              <w:divBdr>
                <w:top w:val="none" w:sz="0" w:space="0" w:color="auto"/>
                <w:left w:val="none" w:sz="0" w:space="0" w:color="auto"/>
                <w:bottom w:val="none" w:sz="0" w:space="0" w:color="auto"/>
                <w:right w:val="none" w:sz="0" w:space="0" w:color="auto"/>
              </w:divBdr>
            </w:div>
          </w:divsChild>
        </w:div>
        <w:div w:id="755446558">
          <w:marLeft w:val="0"/>
          <w:marRight w:val="0"/>
          <w:marTop w:val="34"/>
          <w:marBottom w:val="10"/>
          <w:divBdr>
            <w:top w:val="none" w:sz="0" w:space="0" w:color="auto"/>
            <w:left w:val="none" w:sz="0" w:space="0" w:color="auto"/>
            <w:bottom w:val="none" w:sz="0" w:space="0" w:color="auto"/>
            <w:right w:val="none" w:sz="0" w:space="0" w:color="auto"/>
          </w:divBdr>
          <w:divsChild>
            <w:div w:id="1703939177">
              <w:marLeft w:val="0"/>
              <w:marRight w:val="0"/>
              <w:marTop w:val="0"/>
              <w:marBottom w:val="0"/>
              <w:divBdr>
                <w:top w:val="none" w:sz="0" w:space="0" w:color="auto"/>
                <w:left w:val="none" w:sz="0" w:space="0" w:color="auto"/>
                <w:bottom w:val="none" w:sz="0" w:space="0" w:color="auto"/>
                <w:right w:val="none" w:sz="0" w:space="0" w:color="auto"/>
              </w:divBdr>
            </w:div>
          </w:divsChild>
        </w:div>
        <w:div w:id="760105944">
          <w:marLeft w:val="0"/>
          <w:marRight w:val="0"/>
          <w:marTop w:val="34"/>
          <w:marBottom w:val="10"/>
          <w:divBdr>
            <w:top w:val="none" w:sz="0" w:space="0" w:color="auto"/>
            <w:left w:val="none" w:sz="0" w:space="0" w:color="auto"/>
            <w:bottom w:val="none" w:sz="0" w:space="0" w:color="auto"/>
            <w:right w:val="none" w:sz="0" w:space="0" w:color="auto"/>
          </w:divBdr>
          <w:divsChild>
            <w:div w:id="1464542852">
              <w:marLeft w:val="0"/>
              <w:marRight w:val="0"/>
              <w:marTop w:val="0"/>
              <w:marBottom w:val="0"/>
              <w:divBdr>
                <w:top w:val="none" w:sz="0" w:space="0" w:color="auto"/>
                <w:left w:val="none" w:sz="0" w:space="0" w:color="auto"/>
                <w:bottom w:val="none" w:sz="0" w:space="0" w:color="auto"/>
                <w:right w:val="none" w:sz="0" w:space="0" w:color="auto"/>
              </w:divBdr>
            </w:div>
          </w:divsChild>
        </w:div>
        <w:div w:id="763503192">
          <w:marLeft w:val="0"/>
          <w:marRight w:val="0"/>
          <w:marTop w:val="34"/>
          <w:marBottom w:val="10"/>
          <w:divBdr>
            <w:top w:val="none" w:sz="0" w:space="0" w:color="auto"/>
            <w:left w:val="none" w:sz="0" w:space="0" w:color="auto"/>
            <w:bottom w:val="none" w:sz="0" w:space="0" w:color="auto"/>
            <w:right w:val="none" w:sz="0" w:space="0" w:color="auto"/>
          </w:divBdr>
          <w:divsChild>
            <w:div w:id="1245145477">
              <w:marLeft w:val="0"/>
              <w:marRight w:val="0"/>
              <w:marTop w:val="0"/>
              <w:marBottom w:val="0"/>
              <w:divBdr>
                <w:top w:val="none" w:sz="0" w:space="0" w:color="auto"/>
                <w:left w:val="none" w:sz="0" w:space="0" w:color="auto"/>
                <w:bottom w:val="none" w:sz="0" w:space="0" w:color="auto"/>
                <w:right w:val="none" w:sz="0" w:space="0" w:color="auto"/>
              </w:divBdr>
            </w:div>
          </w:divsChild>
        </w:div>
        <w:div w:id="764423595">
          <w:marLeft w:val="0"/>
          <w:marRight w:val="0"/>
          <w:marTop w:val="34"/>
          <w:marBottom w:val="10"/>
          <w:divBdr>
            <w:top w:val="none" w:sz="0" w:space="0" w:color="auto"/>
            <w:left w:val="none" w:sz="0" w:space="0" w:color="auto"/>
            <w:bottom w:val="none" w:sz="0" w:space="0" w:color="auto"/>
            <w:right w:val="none" w:sz="0" w:space="0" w:color="auto"/>
          </w:divBdr>
          <w:divsChild>
            <w:div w:id="2006935107">
              <w:marLeft w:val="0"/>
              <w:marRight w:val="0"/>
              <w:marTop w:val="0"/>
              <w:marBottom w:val="0"/>
              <w:divBdr>
                <w:top w:val="none" w:sz="0" w:space="0" w:color="auto"/>
                <w:left w:val="none" w:sz="0" w:space="0" w:color="auto"/>
                <w:bottom w:val="none" w:sz="0" w:space="0" w:color="auto"/>
                <w:right w:val="none" w:sz="0" w:space="0" w:color="auto"/>
              </w:divBdr>
            </w:div>
          </w:divsChild>
        </w:div>
        <w:div w:id="771706388">
          <w:marLeft w:val="0"/>
          <w:marRight w:val="0"/>
          <w:marTop w:val="34"/>
          <w:marBottom w:val="10"/>
          <w:divBdr>
            <w:top w:val="none" w:sz="0" w:space="0" w:color="auto"/>
            <w:left w:val="none" w:sz="0" w:space="0" w:color="auto"/>
            <w:bottom w:val="none" w:sz="0" w:space="0" w:color="auto"/>
            <w:right w:val="none" w:sz="0" w:space="0" w:color="auto"/>
          </w:divBdr>
        </w:div>
        <w:div w:id="774789412">
          <w:marLeft w:val="0"/>
          <w:marRight w:val="0"/>
          <w:marTop w:val="34"/>
          <w:marBottom w:val="10"/>
          <w:divBdr>
            <w:top w:val="none" w:sz="0" w:space="0" w:color="auto"/>
            <w:left w:val="none" w:sz="0" w:space="0" w:color="auto"/>
            <w:bottom w:val="none" w:sz="0" w:space="0" w:color="auto"/>
            <w:right w:val="none" w:sz="0" w:space="0" w:color="auto"/>
          </w:divBdr>
          <w:divsChild>
            <w:div w:id="1979145637">
              <w:marLeft w:val="0"/>
              <w:marRight w:val="0"/>
              <w:marTop w:val="0"/>
              <w:marBottom w:val="0"/>
              <w:divBdr>
                <w:top w:val="none" w:sz="0" w:space="0" w:color="auto"/>
                <w:left w:val="none" w:sz="0" w:space="0" w:color="auto"/>
                <w:bottom w:val="none" w:sz="0" w:space="0" w:color="auto"/>
                <w:right w:val="none" w:sz="0" w:space="0" w:color="auto"/>
              </w:divBdr>
            </w:div>
          </w:divsChild>
        </w:div>
        <w:div w:id="777063009">
          <w:marLeft w:val="0"/>
          <w:marRight w:val="0"/>
          <w:marTop w:val="34"/>
          <w:marBottom w:val="10"/>
          <w:divBdr>
            <w:top w:val="none" w:sz="0" w:space="0" w:color="auto"/>
            <w:left w:val="none" w:sz="0" w:space="0" w:color="auto"/>
            <w:bottom w:val="none" w:sz="0" w:space="0" w:color="auto"/>
            <w:right w:val="none" w:sz="0" w:space="0" w:color="auto"/>
          </w:divBdr>
          <w:divsChild>
            <w:div w:id="974211879">
              <w:marLeft w:val="0"/>
              <w:marRight w:val="0"/>
              <w:marTop w:val="0"/>
              <w:marBottom w:val="0"/>
              <w:divBdr>
                <w:top w:val="none" w:sz="0" w:space="0" w:color="auto"/>
                <w:left w:val="none" w:sz="0" w:space="0" w:color="auto"/>
                <w:bottom w:val="none" w:sz="0" w:space="0" w:color="auto"/>
                <w:right w:val="none" w:sz="0" w:space="0" w:color="auto"/>
              </w:divBdr>
            </w:div>
          </w:divsChild>
        </w:div>
        <w:div w:id="784081248">
          <w:marLeft w:val="0"/>
          <w:marRight w:val="0"/>
          <w:marTop w:val="34"/>
          <w:marBottom w:val="10"/>
          <w:divBdr>
            <w:top w:val="none" w:sz="0" w:space="0" w:color="auto"/>
            <w:left w:val="none" w:sz="0" w:space="0" w:color="auto"/>
            <w:bottom w:val="none" w:sz="0" w:space="0" w:color="auto"/>
            <w:right w:val="none" w:sz="0" w:space="0" w:color="auto"/>
          </w:divBdr>
          <w:divsChild>
            <w:div w:id="605892863">
              <w:marLeft w:val="0"/>
              <w:marRight w:val="0"/>
              <w:marTop w:val="0"/>
              <w:marBottom w:val="0"/>
              <w:divBdr>
                <w:top w:val="none" w:sz="0" w:space="0" w:color="auto"/>
                <w:left w:val="none" w:sz="0" w:space="0" w:color="auto"/>
                <w:bottom w:val="none" w:sz="0" w:space="0" w:color="auto"/>
                <w:right w:val="none" w:sz="0" w:space="0" w:color="auto"/>
              </w:divBdr>
            </w:div>
          </w:divsChild>
        </w:div>
        <w:div w:id="788622739">
          <w:marLeft w:val="0"/>
          <w:marRight w:val="0"/>
          <w:marTop w:val="34"/>
          <w:marBottom w:val="10"/>
          <w:divBdr>
            <w:top w:val="none" w:sz="0" w:space="0" w:color="auto"/>
            <w:left w:val="none" w:sz="0" w:space="0" w:color="auto"/>
            <w:bottom w:val="none" w:sz="0" w:space="0" w:color="auto"/>
            <w:right w:val="none" w:sz="0" w:space="0" w:color="auto"/>
          </w:divBdr>
          <w:divsChild>
            <w:div w:id="1034499744">
              <w:marLeft w:val="0"/>
              <w:marRight w:val="0"/>
              <w:marTop w:val="0"/>
              <w:marBottom w:val="0"/>
              <w:divBdr>
                <w:top w:val="none" w:sz="0" w:space="0" w:color="auto"/>
                <w:left w:val="none" w:sz="0" w:space="0" w:color="auto"/>
                <w:bottom w:val="none" w:sz="0" w:space="0" w:color="auto"/>
                <w:right w:val="none" w:sz="0" w:space="0" w:color="auto"/>
              </w:divBdr>
            </w:div>
          </w:divsChild>
        </w:div>
        <w:div w:id="791022321">
          <w:marLeft w:val="0"/>
          <w:marRight w:val="0"/>
          <w:marTop w:val="34"/>
          <w:marBottom w:val="10"/>
          <w:divBdr>
            <w:top w:val="none" w:sz="0" w:space="0" w:color="auto"/>
            <w:left w:val="none" w:sz="0" w:space="0" w:color="auto"/>
            <w:bottom w:val="none" w:sz="0" w:space="0" w:color="auto"/>
            <w:right w:val="none" w:sz="0" w:space="0" w:color="auto"/>
          </w:divBdr>
        </w:div>
        <w:div w:id="794913536">
          <w:marLeft w:val="0"/>
          <w:marRight w:val="0"/>
          <w:marTop w:val="34"/>
          <w:marBottom w:val="10"/>
          <w:divBdr>
            <w:top w:val="none" w:sz="0" w:space="0" w:color="auto"/>
            <w:left w:val="none" w:sz="0" w:space="0" w:color="auto"/>
            <w:bottom w:val="none" w:sz="0" w:space="0" w:color="auto"/>
            <w:right w:val="none" w:sz="0" w:space="0" w:color="auto"/>
          </w:divBdr>
          <w:divsChild>
            <w:div w:id="601571070">
              <w:marLeft w:val="0"/>
              <w:marRight w:val="0"/>
              <w:marTop w:val="0"/>
              <w:marBottom w:val="0"/>
              <w:divBdr>
                <w:top w:val="none" w:sz="0" w:space="0" w:color="auto"/>
                <w:left w:val="none" w:sz="0" w:space="0" w:color="auto"/>
                <w:bottom w:val="none" w:sz="0" w:space="0" w:color="auto"/>
                <w:right w:val="none" w:sz="0" w:space="0" w:color="auto"/>
              </w:divBdr>
            </w:div>
          </w:divsChild>
        </w:div>
        <w:div w:id="795877280">
          <w:marLeft w:val="0"/>
          <w:marRight w:val="0"/>
          <w:marTop w:val="34"/>
          <w:marBottom w:val="10"/>
          <w:divBdr>
            <w:top w:val="none" w:sz="0" w:space="0" w:color="auto"/>
            <w:left w:val="none" w:sz="0" w:space="0" w:color="auto"/>
            <w:bottom w:val="none" w:sz="0" w:space="0" w:color="auto"/>
            <w:right w:val="none" w:sz="0" w:space="0" w:color="auto"/>
          </w:divBdr>
          <w:divsChild>
            <w:div w:id="2120710904">
              <w:marLeft w:val="0"/>
              <w:marRight w:val="0"/>
              <w:marTop w:val="0"/>
              <w:marBottom w:val="0"/>
              <w:divBdr>
                <w:top w:val="none" w:sz="0" w:space="0" w:color="auto"/>
                <w:left w:val="none" w:sz="0" w:space="0" w:color="auto"/>
                <w:bottom w:val="none" w:sz="0" w:space="0" w:color="auto"/>
                <w:right w:val="none" w:sz="0" w:space="0" w:color="auto"/>
              </w:divBdr>
            </w:div>
          </w:divsChild>
        </w:div>
        <w:div w:id="802231619">
          <w:marLeft w:val="0"/>
          <w:marRight w:val="0"/>
          <w:marTop w:val="34"/>
          <w:marBottom w:val="10"/>
          <w:divBdr>
            <w:top w:val="none" w:sz="0" w:space="0" w:color="auto"/>
            <w:left w:val="none" w:sz="0" w:space="0" w:color="auto"/>
            <w:bottom w:val="none" w:sz="0" w:space="0" w:color="auto"/>
            <w:right w:val="none" w:sz="0" w:space="0" w:color="auto"/>
          </w:divBdr>
          <w:divsChild>
            <w:div w:id="1377198835">
              <w:marLeft w:val="0"/>
              <w:marRight w:val="0"/>
              <w:marTop w:val="0"/>
              <w:marBottom w:val="0"/>
              <w:divBdr>
                <w:top w:val="none" w:sz="0" w:space="0" w:color="auto"/>
                <w:left w:val="none" w:sz="0" w:space="0" w:color="auto"/>
                <w:bottom w:val="none" w:sz="0" w:space="0" w:color="auto"/>
                <w:right w:val="none" w:sz="0" w:space="0" w:color="auto"/>
              </w:divBdr>
            </w:div>
          </w:divsChild>
        </w:div>
        <w:div w:id="804810121">
          <w:marLeft w:val="0"/>
          <w:marRight w:val="0"/>
          <w:marTop w:val="34"/>
          <w:marBottom w:val="10"/>
          <w:divBdr>
            <w:top w:val="none" w:sz="0" w:space="0" w:color="auto"/>
            <w:left w:val="none" w:sz="0" w:space="0" w:color="auto"/>
            <w:bottom w:val="none" w:sz="0" w:space="0" w:color="auto"/>
            <w:right w:val="none" w:sz="0" w:space="0" w:color="auto"/>
          </w:divBdr>
          <w:divsChild>
            <w:div w:id="503210579">
              <w:marLeft w:val="0"/>
              <w:marRight w:val="0"/>
              <w:marTop w:val="0"/>
              <w:marBottom w:val="0"/>
              <w:divBdr>
                <w:top w:val="none" w:sz="0" w:space="0" w:color="auto"/>
                <w:left w:val="none" w:sz="0" w:space="0" w:color="auto"/>
                <w:bottom w:val="none" w:sz="0" w:space="0" w:color="auto"/>
                <w:right w:val="none" w:sz="0" w:space="0" w:color="auto"/>
              </w:divBdr>
            </w:div>
          </w:divsChild>
        </w:div>
        <w:div w:id="815534016">
          <w:marLeft w:val="0"/>
          <w:marRight w:val="0"/>
          <w:marTop w:val="34"/>
          <w:marBottom w:val="10"/>
          <w:divBdr>
            <w:top w:val="none" w:sz="0" w:space="0" w:color="auto"/>
            <w:left w:val="none" w:sz="0" w:space="0" w:color="auto"/>
            <w:bottom w:val="none" w:sz="0" w:space="0" w:color="auto"/>
            <w:right w:val="none" w:sz="0" w:space="0" w:color="auto"/>
          </w:divBdr>
          <w:divsChild>
            <w:div w:id="1372724804">
              <w:marLeft w:val="0"/>
              <w:marRight w:val="0"/>
              <w:marTop w:val="0"/>
              <w:marBottom w:val="0"/>
              <w:divBdr>
                <w:top w:val="none" w:sz="0" w:space="0" w:color="auto"/>
                <w:left w:val="none" w:sz="0" w:space="0" w:color="auto"/>
                <w:bottom w:val="none" w:sz="0" w:space="0" w:color="auto"/>
                <w:right w:val="none" w:sz="0" w:space="0" w:color="auto"/>
              </w:divBdr>
            </w:div>
          </w:divsChild>
        </w:div>
        <w:div w:id="819468697">
          <w:marLeft w:val="0"/>
          <w:marRight w:val="0"/>
          <w:marTop w:val="34"/>
          <w:marBottom w:val="10"/>
          <w:divBdr>
            <w:top w:val="none" w:sz="0" w:space="0" w:color="auto"/>
            <w:left w:val="none" w:sz="0" w:space="0" w:color="auto"/>
            <w:bottom w:val="none" w:sz="0" w:space="0" w:color="auto"/>
            <w:right w:val="none" w:sz="0" w:space="0" w:color="auto"/>
          </w:divBdr>
          <w:divsChild>
            <w:div w:id="1257247032">
              <w:marLeft w:val="0"/>
              <w:marRight w:val="0"/>
              <w:marTop w:val="0"/>
              <w:marBottom w:val="0"/>
              <w:divBdr>
                <w:top w:val="none" w:sz="0" w:space="0" w:color="auto"/>
                <w:left w:val="none" w:sz="0" w:space="0" w:color="auto"/>
                <w:bottom w:val="none" w:sz="0" w:space="0" w:color="auto"/>
                <w:right w:val="none" w:sz="0" w:space="0" w:color="auto"/>
              </w:divBdr>
            </w:div>
          </w:divsChild>
        </w:div>
        <w:div w:id="824972463">
          <w:marLeft w:val="0"/>
          <w:marRight w:val="0"/>
          <w:marTop w:val="34"/>
          <w:marBottom w:val="10"/>
          <w:divBdr>
            <w:top w:val="none" w:sz="0" w:space="0" w:color="auto"/>
            <w:left w:val="none" w:sz="0" w:space="0" w:color="auto"/>
            <w:bottom w:val="none" w:sz="0" w:space="0" w:color="auto"/>
            <w:right w:val="none" w:sz="0" w:space="0" w:color="auto"/>
          </w:divBdr>
        </w:div>
        <w:div w:id="825902080">
          <w:marLeft w:val="0"/>
          <w:marRight w:val="0"/>
          <w:marTop w:val="34"/>
          <w:marBottom w:val="10"/>
          <w:divBdr>
            <w:top w:val="none" w:sz="0" w:space="0" w:color="auto"/>
            <w:left w:val="none" w:sz="0" w:space="0" w:color="auto"/>
            <w:bottom w:val="none" w:sz="0" w:space="0" w:color="auto"/>
            <w:right w:val="none" w:sz="0" w:space="0" w:color="auto"/>
          </w:divBdr>
          <w:divsChild>
            <w:div w:id="2063870720">
              <w:marLeft w:val="0"/>
              <w:marRight w:val="0"/>
              <w:marTop w:val="0"/>
              <w:marBottom w:val="0"/>
              <w:divBdr>
                <w:top w:val="none" w:sz="0" w:space="0" w:color="auto"/>
                <w:left w:val="none" w:sz="0" w:space="0" w:color="auto"/>
                <w:bottom w:val="none" w:sz="0" w:space="0" w:color="auto"/>
                <w:right w:val="none" w:sz="0" w:space="0" w:color="auto"/>
              </w:divBdr>
            </w:div>
          </w:divsChild>
        </w:div>
        <w:div w:id="827475866">
          <w:marLeft w:val="0"/>
          <w:marRight w:val="0"/>
          <w:marTop w:val="34"/>
          <w:marBottom w:val="10"/>
          <w:divBdr>
            <w:top w:val="none" w:sz="0" w:space="0" w:color="auto"/>
            <w:left w:val="none" w:sz="0" w:space="0" w:color="auto"/>
            <w:bottom w:val="none" w:sz="0" w:space="0" w:color="auto"/>
            <w:right w:val="none" w:sz="0" w:space="0" w:color="auto"/>
          </w:divBdr>
          <w:divsChild>
            <w:div w:id="1197809204">
              <w:marLeft w:val="0"/>
              <w:marRight w:val="0"/>
              <w:marTop w:val="0"/>
              <w:marBottom w:val="0"/>
              <w:divBdr>
                <w:top w:val="none" w:sz="0" w:space="0" w:color="auto"/>
                <w:left w:val="none" w:sz="0" w:space="0" w:color="auto"/>
                <w:bottom w:val="none" w:sz="0" w:space="0" w:color="auto"/>
                <w:right w:val="none" w:sz="0" w:space="0" w:color="auto"/>
              </w:divBdr>
            </w:div>
          </w:divsChild>
        </w:div>
        <w:div w:id="835609273">
          <w:marLeft w:val="0"/>
          <w:marRight w:val="0"/>
          <w:marTop w:val="34"/>
          <w:marBottom w:val="10"/>
          <w:divBdr>
            <w:top w:val="none" w:sz="0" w:space="0" w:color="auto"/>
            <w:left w:val="none" w:sz="0" w:space="0" w:color="auto"/>
            <w:bottom w:val="none" w:sz="0" w:space="0" w:color="auto"/>
            <w:right w:val="none" w:sz="0" w:space="0" w:color="auto"/>
          </w:divBdr>
          <w:divsChild>
            <w:div w:id="1413358092">
              <w:marLeft w:val="0"/>
              <w:marRight w:val="0"/>
              <w:marTop w:val="0"/>
              <w:marBottom w:val="0"/>
              <w:divBdr>
                <w:top w:val="none" w:sz="0" w:space="0" w:color="auto"/>
                <w:left w:val="none" w:sz="0" w:space="0" w:color="auto"/>
                <w:bottom w:val="none" w:sz="0" w:space="0" w:color="auto"/>
                <w:right w:val="none" w:sz="0" w:space="0" w:color="auto"/>
              </w:divBdr>
            </w:div>
          </w:divsChild>
        </w:div>
        <w:div w:id="837308773">
          <w:marLeft w:val="0"/>
          <w:marRight w:val="0"/>
          <w:marTop w:val="34"/>
          <w:marBottom w:val="10"/>
          <w:divBdr>
            <w:top w:val="none" w:sz="0" w:space="0" w:color="auto"/>
            <w:left w:val="none" w:sz="0" w:space="0" w:color="auto"/>
            <w:bottom w:val="none" w:sz="0" w:space="0" w:color="auto"/>
            <w:right w:val="none" w:sz="0" w:space="0" w:color="auto"/>
          </w:divBdr>
          <w:divsChild>
            <w:div w:id="1854756948">
              <w:marLeft w:val="0"/>
              <w:marRight w:val="0"/>
              <w:marTop w:val="0"/>
              <w:marBottom w:val="0"/>
              <w:divBdr>
                <w:top w:val="none" w:sz="0" w:space="0" w:color="auto"/>
                <w:left w:val="none" w:sz="0" w:space="0" w:color="auto"/>
                <w:bottom w:val="none" w:sz="0" w:space="0" w:color="auto"/>
                <w:right w:val="none" w:sz="0" w:space="0" w:color="auto"/>
              </w:divBdr>
            </w:div>
          </w:divsChild>
        </w:div>
        <w:div w:id="844171159">
          <w:marLeft w:val="0"/>
          <w:marRight w:val="0"/>
          <w:marTop w:val="0"/>
          <w:marBottom w:val="0"/>
          <w:divBdr>
            <w:top w:val="none" w:sz="0" w:space="0" w:color="auto"/>
            <w:left w:val="none" w:sz="0" w:space="0" w:color="auto"/>
            <w:bottom w:val="none" w:sz="0" w:space="0" w:color="auto"/>
            <w:right w:val="none" w:sz="0" w:space="0" w:color="auto"/>
          </w:divBdr>
        </w:div>
        <w:div w:id="845486772">
          <w:marLeft w:val="0"/>
          <w:marRight w:val="0"/>
          <w:marTop w:val="34"/>
          <w:marBottom w:val="10"/>
          <w:divBdr>
            <w:top w:val="none" w:sz="0" w:space="0" w:color="auto"/>
            <w:left w:val="none" w:sz="0" w:space="0" w:color="auto"/>
            <w:bottom w:val="none" w:sz="0" w:space="0" w:color="auto"/>
            <w:right w:val="none" w:sz="0" w:space="0" w:color="auto"/>
          </w:divBdr>
        </w:div>
        <w:div w:id="847980907">
          <w:marLeft w:val="0"/>
          <w:marRight w:val="0"/>
          <w:marTop w:val="34"/>
          <w:marBottom w:val="10"/>
          <w:divBdr>
            <w:top w:val="none" w:sz="0" w:space="0" w:color="auto"/>
            <w:left w:val="none" w:sz="0" w:space="0" w:color="auto"/>
            <w:bottom w:val="none" w:sz="0" w:space="0" w:color="auto"/>
            <w:right w:val="none" w:sz="0" w:space="0" w:color="auto"/>
          </w:divBdr>
          <w:divsChild>
            <w:div w:id="1017080210">
              <w:marLeft w:val="0"/>
              <w:marRight w:val="0"/>
              <w:marTop w:val="0"/>
              <w:marBottom w:val="0"/>
              <w:divBdr>
                <w:top w:val="none" w:sz="0" w:space="0" w:color="auto"/>
                <w:left w:val="none" w:sz="0" w:space="0" w:color="auto"/>
                <w:bottom w:val="none" w:sz="0" w:space="0" w:color="auto"/>
                <w:right w:val="none" w:sz="0" w:space="0" w:color="auto"/>
              </w:divBdr>
            </w:div>
          </w:divsChild>
        </w:div>
        <w:div w:id="848370512">
          <w:marLeft w:val="0"/>
          <w:marRight w:val="0"/>
          <w:marTop w:val="34"/>
          <w:marBottom w:val="10"/>
          <w:divBdr>
            <w:top w:val="none" w:sz="0" w:space="0" w:color="auto"/>
            <w:left w:val="none" w:sz="0" w:space="0" w:color="auto"/>
            <w:bottom w:val="none" w:sz="0" w:space="0" w:color="auto"/>
            <w:right w:val="none" w:sz="0" w:space="0" w:color="auto"/>
          </w:divBdr>
          <w:divsChild>
            <w:div w:id="429274847">
              <w:marLeft w:val="0"/>
              <w:marRight w:val="0"/>
              <w:marTop w:val="0"/>
              <w:marBottom w:val="0"/>
              <w:divBdr>
                <w:top w:val="none" w:sz="0" w:space="0" w:color="auto"/>
                <w:left w:val="none" w:sz="0" w:space="0" w:color="auto"/>
                <w:bottom w:val="none" w:sz="0" w:space="0" w:color="auto"/>
                <w:right w:val="none" w:sz="0" w:space="0" w:color="auto"/>
              </w:divBdr>
            </w:div>
          </w:divsChild>
        </w:div>
        <w:div w:id="849835355">
          <w:marLeft w:val="0"/>
          <w:marRight w:val="0"/>
          <w:marTop w:val="34"/>
          <w:marBottom w:val="10"/>
          <w:divBdr>
            <w:top w:val="none" w:sz="0" w:space="0" w:color="auto"/>
            <w:left w:val="none" w:sz="0" w:space="0" w:color="auto"/>
            <w:bottom w:val="none" w:sz="0" w:space="0" w:color="auto"/>
            <w:right w:val="none" w:sz="0" w:space="0" w:color="auto"/>
          </w:divBdr>
          <w:divsChild>
            <w:div w:id="493184155">
              <w:marLeft w:val="0"/>
              <w:marRight w:val="0"/>
              <w:marTop w:val="0"/>
              <w:marBottom w:val="0"/>
              <w:divBdr>
                <w:top w:val="none" w:sz="0" w:space="0" w:color="auto"/>
                <w:left w:val="none" w:sz="0" w:space="0" w:color="auto"/>
                <w:bottom w:val="none" w:sz="0" w:space="0" w:color="auto"/>
                <w:right w:val="none" w:sz="0" w:space="0" w:color="auto"/>
              </w:divBdr>
            </w:div>
          </w:divsChild>
        </w:div>
        <w:div w:id="863787652">
          <w:marLeft w:val="0"/>
          <w:marRight w:val="0"/>
          <w:marTop w:val="34"/>
          <w:marBottom w:val="10"/>
          <w:divBdr>
            <w:top w:val="none" w:sz="0" w:space="0" w:color="auto"/>
            <w:left w:val="none" w:sz="0" w:space="0" w:color="auto"/>
            <w:bottom w:val="none" w:sz="0" w:space="0" w:color="auto"/>
            <w:right w:val="none" w:sz="0" w:space="0" w:color="auto"/>
          </w:divBdr>
          <w:divsChild>
            <w:div w:id="183136095">
              <w:marLeft w:val="0"/>
              <w:marRight w:val="0"/>
              <w:marTop w:val="0"/>
              <w:marBottom w:val="0"/>
              <w:divBdr>
                <w:top w:val="none" w:sz="0" w:space="0" w:color="auto"/>
                <w:left w:val="none" w:sz="0" w:space="0" w:color="auto"/>
                <w:bottom w:val="none" w:sz="0" w:space="0" w:color="auto"/>
                <w:right w:val="none" w:sz="0" w:space="0" w:color="auto"/>
              </w:divBdr>
            </w:div>
          </w:divsChild>
        </w:div>
        <w:div w:id="880552763">
          <w:marLeft w:val="0"/>
          <w:marRight w:val="0"/>
          <w:marTop w:val="34"/>
          <w:marBottom w:val="10"/>
          <w:divBdr>
            <w:top w:val="none" w:sz="0" w:space="0" w:color="auto"/>
            <w:left w:val="none" w:sz="0" w:space="0" w:color="auto"/>
            <w:bottom w:val="none" w:sz="0" w:space="0" w:color="auto"/>
            <w:right w:val="none" w:sz="0" w:space="0" w:color="auto"/>
          </w:divBdr>
        </w:div>
        <w:div w:id="889726158">
          <w:marLeft w:val="0"/>
          <w:marRight w:val="0"/>
          <w:marTop w:val="0"/>
          <w:marBottom w:val="0"/>
          <w:divBdr>
            <w:top w:val="none" w:sz="0" w:space="0" w:color="auto"/>
            <w:left w:val="none" w:sz="0" w:space="0" w:color="auto"/>
            <w:bottom w:val="none" w:sz="0" w:space="0" w:color="auto"/>
            <w:right w:val="none" w:sz="0" w:space="0" w:color="auto"/>
          </w:divBdr>
        </w:div>
        <w:div w:id="892933653">
          <w:marLeft w:val="0"/>
          <w:marRight w:val="0"/>
          <w:marTop w:val="34"/>
          <w:marBottom w:val="10"/>
          <w:divBdr>
            <w:top w:val="none" w:sz="0" w:space="0" w:color="auto"/>
            <w:left w:val="none" w:sz="0" w:space="0" w:color="auto"/>
            <w:bottom w:val="none" w:sz="0" w:space="0" w:color="auto"/>
            <w:right w:val="none" w:sz="0" w:space="0" w:color="auto"/>
          </w:divBdr>
          <w:divsChild>
            <w:div w:id="402609139">
              <w:marLeft w:val="0"/>
              <w:marRight w:val="0"/>
              <w:marTop w:val="0"/>
              <w:marBottom w:val="0"/>
              <w:divBdr>
                <w:top w:val="none" w:sz="0" w:space="0" w:color="auto"/>
                <w:left w:val="none" w:sz="0" w:space="0" w:color="auto"/>
                <w:bottom w:val="none" w:sz="0" w:space="0" w:color="auto"/>
                <w:right w:val="none" w:sz="0" w:space="0" w:color="auto"/>
              </w:divBdr>
            </w:div>
          </w:divsChild>
        </w:div>
        <w:div w:id="894313341">
          <w:marLeft w:val="0"/>
          <w:marRight w:val="0"/>
          <w:marTop w:val="34"/>
          <w:marBottom w:val="10"/>
          <w:divBdr>
            <w:top w:val="none" w:sz="0" w:space="0" w:color="auto"/>
            <w:left w:val="none" w:sz="0" w:space="0" w:color="auto"/>
            <w:bottom w:val="none" w:sz="0" w:space="0" w:color="auto"/>
            <w:right w:val="none" w:sz="0" w:space="0" w:color="auto"/>
          </w:divBdr>
          <w:divsChild>
            <w:div w:id="1214581218">
              <w:marLeft w:val="0"/>
              <w:marRight w:val="0"/>
              <w:marTop w:val="0"/>
              <w:marBottom w:val="0"/>
              <w:divBdr>
                <w:top w:val="none" w:sz="0" w:space="0" w:color="auto"/>
                <w:left w:val="none" w:sz="0" w:space="0" w:color="auto"/>
                <w:bottom w:val="none" w:sz="0" w:space="0" w:color="auto"/>
                <w:right w:val="none" w:sz="0" w:space="0" w:color="auto"/>
              </w:divBdr>
            </w:div>
          </w:divsChild>
        </w:div>
        <w:div w:id="899445170">
          <w:marLeft w:val="0"/>
          <w:marRight w:val="0"/>
          <w:marTop w:val="34"/>
          <w:marBottom w:val="10"/>
          <w:divBdr>
            <w:top w:val="none" w:sz="0" w:space="0" w:color="auto"/>
            <w:left w:val="none" w:sz="0" w:space="0" w:color="auto"/>
            <w:bottom w:val="none" w:sz="0" w:space="0" w:color="auto"/>
            <w:right w:val="none" w:sz="0" w:space="0" w:color="auto"/>
          </w:divBdr>
          <w:divsChild>
            <w:div w:id="1330213837">
              <w:marLeft w:val="0"/>
              <w:marRight w:val="0"/>
              <w:marTop w:val="0"/>
              <w:marBottom w:val="0"/>
              <w:divBdr>
                <w:top w:val="none" w:sz="0" w:space="0" w:color="auto"/>
                <w:left w:val="none" w:sz="0" w:space="0" w:color="auto"/>
                <w:bottom w:val="none" w:sz="0" w:space="0" w:color="auto"/>
                <w:right w:val="none" w:sz="0" w:space="0" w:color="auto"/>
              </w:divBdr>
            </w:div>
          </w:divsChild>
        </w:div>
        <w:div w:id="912548832">
          <w:marLeft w:val="0"/>
          <w:marRight w:val="0"/>
          <w:marTop w:val="34"/>
          <w:marBottom w:val="10"/>
          <w:divBdr>
            <w:top w:val="none" w:sz="0" w:space="0" w:color="auto"/>
            <w:left w:val="none" w:sz="0" w:space="0" w:color="auto"/>
            <w:bottom w:val="none" w:sz="0" w:space="0" w:color="auto"/>
            <w:right w:val="none" w:sz="0" w:space="0" w:color="auto"/>
          </w:divBdr>
          <w:divsChild>
            <w:div w:id="1158765042">
              <w:marLeft w:val="0"/>
              <w:marRight w:val="0"/>
              <w:marTop w:val="0"/>
              <w:marBottom w:val="0"/>
              <w:divBdr>
                <w:top w:val="none" w:sz="0" w:space="0" w:color="auto"/>
                <w:left w:val="none" w:sz="0" w:space="0" w:color="auto"/>
                <w:bottom w:val="none" w:sz="0" w:space="0" w:color="auto"/>
                <w:right w:val="none" w:sz="0" w:space="0" w:color="auto"/>
              </w:divBdr>
            </w:div>
          </w:divsChild>
        </w:div>
        <w:div w:id="922110752">
          <w:marLeft w:val="0"/>
          <w:marRight w:val="0"/>
          <w:marTop w:val="34"/>
          <w:marBottom w:val="10"/>
          <w:divBdr>
            <w:top w:val="none" w:sz="0" w:space="0" w:color="auto"/>
            <w:left w:val="none" w:sz="0" w:space="0" w:color="auto"/>
            <w:bottom w:val="none" w:sz="0" w:space="0" w:color="auto"/>
            <w:right w:val="none" w:sz="0" w:space="0" w:color="auto"/>
          </w:divBdr>
          <w:divsChild>
            <w:div w:id="1769887761">
              <w:marLeft w:val="0"/>
              <w:marRight w:val="0"/>
              <w:marTop w:val="0"/>
              <w:marBottom w:val="0"/>
              <w:divBdr>
                <w:top w:val="none" w:sz="0" w:space="0" w:color="auto"/>
                <w:left w:val="none" w:sz="0" w:space="0" w:color="auto"/>
                <w:bottom w:val="none" w:sz="0" w:space="0" w:color="auto"/>
                <w:right w:val="none" w:sz="0" w:space="0" w:color="auto"/>
              </w:divBdr>
            </w:div>
          </w:divsChild>
        </w:div>
        <w:div w:id="924414351">
          <w:marLeft w:val="0"/>
          <w:marRight w:val="0"/>
          <w:marTop w:val="34"/>
          <w:marBottom w:val="10"/>
          <w:divBdr>
            <w:top w:val="none" w:sz="0" w:space="0" w:color="auto"/>
            <w:left w:val="none" w:sz="0" w:space="0" w:color="auto"/>
            <w:bottom w:val="none" w:sz="0" w:space="0" w:color="auto"/>
            <w:right w:val="none" w:sz="0" w:space="0" w:color="auto"/>
          </w:divBdr>
          <w:divsChild>
            <w:div w:id="1012417909">
              <w:marLeft w:val="0"/>
              <w:marRight w:val="0"/>
              <w:marTop w:val="0"/>
              <w:marBottom w:val="0"/>
              <w:divBdr>
                <w:top w:val="none" w:sz="0" w:space="0" w:color="auto"/>
                <w:left w:val="none" w:sz="0" w:space="0" w:color="auto"/>
                <w:bottom w:val="none" w:sz="0" w:space="0" w:color="auto"/>
                <w:right w:val="none" w:sz="0" w:space="0" w:color="auto"/>
              </w:divBdr>
            </w:div>
          </w:divsChild>
        </w:div>
        <w:div w:id="925380800">
          <w:marLeft w:val="0"/>
          <w:marRight w:val="0"/>
          <w:marTop w:val="34"/>
          <w:marBottom w:val="10"/>
          <w:divBdr>
            <w:top w:val="none" w:sz="0" w:space="0" w:color="auto"/>
            <w:left w:val="none" w:sz="0" w:space="0" w:color="auto"/>
            <w:bottom w:val="none" w:sz="0" w:space="0" w:color="auto"/>
            <w:right w:val="none" w:sz="0" w:space="0" w:color="auto"/>
          </w:divBdr>
          <w:divsChild>
            <w:div w:id="915938210">
              <w:marLeft w:val="0"/>
              <w:marRight w:val="0"/>
              <w:marTop w:val="0"/>
              <w:marBottom w:val="0"/>
              <w:divBdr>
                <w:top w:val="none" w:sz="0" w:space="0" w:color="auto"/>
                <w:left w:val="none" w:sz="0" w:space="0" w:color="auto"/>
                <w:bottom w:val="none" w:sz="0" w:space="0" w:color="auto"/>
                <w:right w:val="none" w:sz="0" w:space="0" w:color="auto"/>
              </w:divBdr>
            </w:div>
          </w:divsChild>
        </w:div>
        <w:div w:id="933130935">
          <w:marLeft w:val="0"/>
          <w:marRight w:val="0"/>
          <w:marTop w:val="34"/>
          <w:marBottom w:val="10"/>
          <w:divBdr>
            <w:top w:val="none" w:sz="0" w:space="0" w:color="auto"/>
            <w:left w:val="none" w:sz="0" w:space="0" w:color="auto"/>
            <w:bottom w:val="none" w:sz="0" w:space="0" w:color="auto"/>
            <w:right w:val="none" w:sz="0" w:space="0" w:color="auto"/>
          </w:divBdr>
          <w:divsChild>
            <w:div w:id="1259674854">
              <w:marLeft w:val="0"/>
              <w:marRight w:val="0"/>
              <w:marTop w:val="0"/>
              <w:marBottom w:val="0"/>
              <w:divBdr>
                <w:top w:val="none" w:sz="0" w:space="0" w:color="auto"/>
                <w:left w:val="none" w:sz="0" w:space="0" w:color="auto"/>
                <w:bottom w:val="none" w:sz="0" w:space="0" w:color="auto"/>
                <w:right w:val="none" w:sz="0" w:space="0" w:color="auto"/>
              </w:divBdr>
            </w:div>
          </w:divsChild>
        </w:div>
        <w:div w:id="933242258">
          <w:marLeft w:val="0"/>
          <w:marRight w:val="0"/>
          <w:marTop w:val="34"/>
          <w:marBottom w:val="10"/>
          <w:divBdr>
            <w:top w:val="none" w:sz="0" w:space="0" w:color="auto"/>
            <w:left w:val="none" w:sz="0" w:space="0" w:color="auto"/>
            <w:bottom w:val="none" w:sz="0" w:space="0" w:color="auto"/>
            <w:right w:val="none" w:sz="0" w:space="0" w:color="auto"/>
          </w:divBdr>
          <w:divsChild>
            <w:div w:id="1995525564">
              <w:marLeft w:val="0"/>
              <w:marRight w:val="0"/>
              <w:marTop w:val="0"/>
              <w:marBottom w:val="0"/>
              <w:divBdr>
                <w:top w:val="none" w:sz="0" w:space="0" w:color="auto"/>
                <w:left w:val="none" w:sz="0" w:space="0" w:color="auto"/>
                <w:bottom w:val="none" w:sz="0" w:space="0" w:color="auto"/>
                <w:right w:val="none" w:sz="0" w:space="0" w:color="auto"/>
              </w:divBdr>
            </w:div>
          </w:divsChild>
        </w:div>
        <w:div w:id="936212893">
          <w:marLeft w:val="0"/>
          <w:marRight w:val="0"/>
          <w:marTop w:val="34"/>
          <w:marBottom w:val="10"/>
          <w:divBdr>
            <w:top w:val="none" w:sz="0" w:space="0" w:color="auto"/>
            <w:left w:val="none" w:sz="0" w:space="0" w:color="auto"/>
            <w:bottom w:val="none" w:sz="0" w:space="0" w:color="auto"/>
            <w:right w:val="none" w:sz="0" w:space="0" w:color="auto"/>
          </w:divBdr>
          <w:divsChild>
            <w:div w:id="968558914">
              <w:marLeft w:val="0"/>
              <w:marRight w:val="0"/>
              <w:marTop w:val="0"/>
              <w:marBottom w:val="0"/>
              <w:divBdr>
                <w:top w:val="none" w:sz="0" w:space="0" w:color="auto"/>
                <w:left w:val="none" w:sz="0" w:space="0" w:color="auto"/>
                <w:bottom w:val="none" w:sz="0" w:space="0" w:color="auto"/>
                <w:right w:val="none" w:sz="0" w:space="0" w:color="auto"/>
              </w:divBdr>
            </w:div>
          </w:divsChild>
        </w:div>
        <w:div w:id="941183522">
          <w:marLeft w:val="0"/>
          <w:marRight w:val="0"/>
          <w:marTop w:val="34"/>
          <w:marBottom w:val="10"/>
          <w:divBdr>
            <w:top w:val="none" w:sz="0" w:space="0" w:color="auto"/>
            <w:left w:val="none" w:sz="0" w:space="0" w:color="auto"/>
            <w:bottom w:val="none" w:sz="0" w:space="0" w:color="auto"/>
            <w:right w:val="none" w:sz="0" w:space="0" w:color="auto"/>
          </w:divBdr>
          <w:divsChild>
            <w:div w:id="1837069622">
              <w:marLeft w:val="0"/>
              <w:marRight w:val="0"/>
              <w:marTop w:val="0"/>
              <w:marBottom w:val="0"/>
              <w:divBdr>
                <w:top w:val="none" w:sz="0" w:space="0" w:color="auto"/>
                <w:left w:val="none" w:sz="0" w:space="0" w:color="auto"/>
                <w:bottom w:val="none" w:sz="0" w:space="0" w:color="auto"/>
                <w:right w:val="none" w:sz="0" w:space="0" w:color="auto"/>
              </w:divBdr>
            </w:div>
          </w:divsChild>
        </w:div>
        <w:div w:id="943540929">
          <w:marLeft w:val="0"/>
          <w:marRight w:val="0"/>
          <w:marTop w:val="34"/>
          <w:marBottom w:val="10"/>
          <w:divBdr>
            <w:top w:val="none" w:sz="0" w:space="0" w:color="auto"/>
            <w:left w:val="none" w:sz="0" w:space="0" w:color="auto"/>
            <w:bottom w:val="none" w:sz="0" w:space="0" w:color="auto"/>
            <w:right w:val="none" w:sz="0" w:space="0" w:color="auto"/>
          </w:divBdr>
          <w:divsChild>
            <w:div w:id="1299724960">
              <w:marLeft w:val="0"/>
              <w:marRight w:val="0"/>
              <w:marTop w:val="0"/>
              <w:marBottom w:val="0"/>
              <w:divBdr>
                <w:top w:val="none" w:sz="0" w:space="0" w:color="auto"/>
                <w:left w:val="none" w:sz="0" w:space="0" w:color="auto"/>
                <w:bottom w:val="none" w:sz="0" w:space="0" w:color="auto"/>
                <w:right w:val="none" w:sz="0" w:space="0" w:color="auto"/>
              </w:divBdr>
            </w:div>
          </w:divsChild>
        </w:div>
        <w:div w:id="947929817">
          <w:marLeft w:val="0"/>
          <w:marRight w:val="0"/>
          <w:marTop w:val="34"/>
          <w:marBottom w:val="10"/>
          <w:divBdr>
            <w:top w:val="none" w:sz="0" w:space="0" w:color="auto"/>
            <w:left w:val="none" w:sz="0" w:space="0" w:color="auto"/>
            <w:bottom w:val="none" w:sz="0" w:space="0" w:color="auto"/>
            <w:right w:val="none" w:sz="0" w:space="0" w:color="auto"/>
          </w:divBdr>
          <w:divsChild>
            <w:div w:id="1709836563">
              <w:marLeft w:val="0"/>
              <w:marRight w:val="0"/>
              <w:marTop w:val="0"/>
              <w:marBottom w:val="0"/>
              <w:divBdr>
                <w:top w:val="none" w:sz="0" w:space="0" w:color="auto"/>
                <w:left w:val="none" w:sz="0" w:space="0" w:color="auto"/>
                <w:bottom w:val="none" w:sz="0" w:space="0" w:color="auto"/>
                <w:right w:val="none" w:sz="0" w:space="0" w:color="auto"/>
              </w:divBdr>
            </w:div>
          </w:divsChild>
        </w:div>
        <w:div w:id="957446268">
          <w:marLeft w:val="0"/>
          <w:marRight w:val="0"/>
          <w:marTop w:val="34"/>
          <w:marBottom w:val="10"/>
          <w:divBdr>
            <w:top w:val="none" w:sz="0" w:space="0" w:color="auto"/>
            <w:left w:val="none" w:sz="0" w:space="0" w:color="auto"/>
            <w:bottom w:val="none" w:sz="0" w:space="0" w:color="auto"/>
            <w:right w:val="none" w:sz="0" w:space="0" w:color="auto"/>
          </w:divBdr>
          <w:divsChild>
            <w:div w:id="2128236821">
              <w:marLeft w:val="0"/>
              <w:marRight w:val="0"/>
              <w:marTop w:val="0"/>
              <w:marBottom w:val="0"/>
              <w:divBdr>
                <w:top w:val="none" w:sz="0" w:space="0" w:color="auto"/>
                <w:left w:val="none" w:sz="0" w:space="0" w:color="auto"/>
                <w:bottom w:val="none" w:sz="0" w:space="0" w:color="auto"/>
                <w:right w:val="none" w:sz="0" w:space="0" w:color="auto"/>
              </w:divBdr>
            </w:div>
          </w:divsChild>
        </w:div>
        <w:div w:id="968360965">
          <w:marLeft w:val="0"/>
          <w:marRight w:val="0"/>
          <w:marTop w:val="34"/>
          <w:marBottom w:val="10"/>
          <w:divBdr>
            <w:top w:val="none" w:sz="0" w:space="0" w:color="auto"/>
            <w:left w:val="none" w:sz="0" w:space="0" w:color="auto"/>
            <w:bottom w:val="none" w:sz="0" w:space="0" w:color="auto"/>
            <w:right w:val="none" w:sz="0" w:space="0" w:color="auto"/>
          </w:divBdr>
          <w:divsChild>
            <w:div w:id="2142528310">
              <w:marLeft w:val="0"/>
              <w:marRight w:val="0"/>
              <w:marTop w:val="0"/>
              <w:marBottom w:val="0"/>
              <w:divBdr>
                <w:top w:val="none" w:sz="0" w:space="0" w:color="auto"/>
                <w:left w:val="none" w:sz="0" w:space="0" w:color="auto"/>
                <w:bottom w:val="none" w:sz="0" w:space="0" w:color="auto"/>
                <w:right w:val="none" w:sz="0" w:space="0" w:color="auto"/>
              </w:divBdr>
            </w:div>
          </w:divsChild>
        </w:div>
        <w:div w:id="969094300">
          <w:marLeft w:val="0"/>
          <w:marRight w:val="0"/>
          <w:marTop w:val="34"/>
          <w:marBottom w:val="10"/>
          <w:divBdr>
            <w:top w:val="none" w:sz="0" w:space="0" w:color="auto"/>
            <w:left w:val="none" w:sz="0" w:space="0" w:color="auto"/>
            <w:bottom w:val="none" w:sz="0" w:space="0" w:color="auto"/>
            <w:right w:val="none" w:sz="0" w:space="0" w:color="auto"/>
          </w:divBdr>
          <w:divsChild>
            <w:div w:id="1340234696">
              <w:marLeft w:val="0"/>
              <w:marRight w:val="0"/>
              <w:marTop w:val="0"/>
              <w:marBottom w:val="0"/>
              <w:divBdr>
                <w:top w:val="none" w:sz="0" w:space="0" w:color="auto"/>
                <w:left w:val="none" w:sz="0" w:space="0" w:color="auto"/>
                <w:bottom w:val="none" w:sz="0" w:space="0" w:color="auto"/>
                <w:right w:val="none" w:sz="0" w:space="0" w:color="auto"/>
              </w:divBdr>
            </w:div>
          </w:divsChild>
        </w:div>
        <w:div w:id="970555198">
          <w:marLeft w:val="0"/>
          <w:marRight w:val="0"/>
          <w:marTop w:val="34"/>
          <w:marBottom w:val="10"/>
          <w:divBdr>
            <w:top w:val="none" w:sz="0" w:space="0" w:color="auto"/>
            <w:left w:val="none" w:sz="0" w:space="0" w:color="auto"/>
            <w:bottom w:val="none" w:sz="0" w:space="0" w:color="auto"/>
            <w:right w:val="none" w:sz="0" w:space="0" w:color="auto"/>
          </w:divBdr>
          <w:divsChild>
            <w:div w:id="604072342">
              <w:marLeft w:val="0"/>
              <w:marRight w:val="0"/>
              <w:marTop w:val="0"/>
              <w:marBottom w:val="0"/>
              <w:divBdr>
                <w:top w:val="none" w:sz="0" w:space="0" w:color="auto"/>
                <w:left w:val="none" w:sz="0" w:space="0" w:color="auto"/>
                <w:bottom w:val="none" w:sz="0" w:space="0" w:color="auto"/>
                <w:right w:val="none" w:sz="0" w:space="0" w:color="auto"/>
              </w:divBdr>
            </w:div>
          </w:divsChild>
        </w:div>
        <w:div w:id="981156862">
          <w:marLeft w:val="0"/>
          <w:marRight w:val="0"/>
          <w:marTop w:val="34"/>
          <w:marBottom w:val="10"/>
          <w:divBdr>
            <w:top w:val="none" w:sz="0" w:space="0" w:color="auto"/>
            <w:left w:val="none" w:sz="0" w:space="0" w:color="auto"/>
            <w:bottom w:val="none" w:sz="0" w:space="0" w:color="auto"/>
            <w:right w:val="none" w:sz="0" w:space="0" w:color="auto"/>
          </w:divBdr>
          <w:divsChild>
            <w:div w:id="859782013">
              <w:marLeft w:val="0"/>
              <w:marRight w:val="0"/>
              <w:marTop w:val="0"/>
              <w:marBottom w:val="0"/>
              <w:divBdr>
                <w:top w:val="none" w:sz="0" w:space="0" w:color="auto"/>
                <w:left w:val="none" w:sz="0" w:space="0" w:color="auto"/>
                <w:bottom w:val="none" w:sz="0" w:space="0" w:color="auto"/>
                <w:right w:val="none" w:sz="0" w:space="0" w:color="auto"/>
              </w:divBdr>
            </w:div>
          </w:divsChild>
        </w:div>
        <w:div w:id="993601558">
          <w:marLeft w:val="0"/>
          <w:marRight w:val="0"/>
          <w:marTop w:val="34"/>
          <w:marBottom w:val="10"/>
          <w:divBdr>
            <w:top w:val="none" w:sz="0" w:space="0" w:color="auto"/>
            <w:left w:val="none" w:sz="0" w:space="0" w:color="auto"/>
            <w:bottom w:val="none" w:sz="0" w:space="0" w:color="auto"/>
            <w:right w:val="none" w:sz="0" w:space="0" w:color="auto"/>
          </w:divBdr>
        </w:div>
        <w:div w:id="1002320612">
          <w:marLeft w:val="0"/>
          <w:marRight w:val="0"/>
          <w:marTop w:val="34"/>
          <w:marBottom w:val="10"/>
          <w:divBdr>
            <w:top w:val="none" w:sz="0" w:space="0" w:color="auto"/>
            <w:left w:val="none" w:sz="0" w:space="0" w:color="auto"/>
            <w:bottom w:val="none" w:sz="0" w:space="0" w:color="auto"/>
            <w:right w:val="none" w:sz="0" w:space="0" w:color="auto"/>
          </w:divBdr>
          <w:divsChild>
            <w:div w:id="2139951360">
              <w:marLeft w:val="0"/>
              <w:marRight w:val="0"/>
              <w:marTop w:val="0"/>
              <w:marBottom w:val="0"/>
              <w:divBdr>
                <w:top w:val="none" w:sz="0" w:space="0" w:color="auto"/>
                <w:left w:val="none" w:sz="0" w:space="0" w:color="auto"/>
                <w:bottom w:val="none" w:sz="0" w:space="0" w:color="auto"/>
                <w:right w:val="none" w:sz="0" w:space="0" w:color="auto"/>
              </w:divBdr>
            </w:div>
          </w:divsChild>
        </w:div>
        <w:div w:id="1002857224">
          <w:marLeft w:val="0"/>
          <w:marRight w:val="0"/>
          <w:marTop w:val="34"/>
          <w:marBottom w:val="10"/>
          <w:divBdr>
            <w:top w:val="none" w:sz="0" w:space="0" w:color="auto"/>
            <w:left w:val="none" w:sz="0" w:space="0" w:color="auto"/>
            <w:bottom w:val="none" w:sz="0" w:space="0" w:color="auto"/>
            <w:right w:val="none" w:sz="0" w:space="0" w:color="auto"/>
          </w:divBdr>
          <w:divsChild>
            <w:div w:id="1120956539">
              <w:marLeft w:val="0"/>
              <w:marRight w:val="0"/>
              <w:marTop w:val="0"/>
              <w:marBottom w:val="0"/>
              <w:divBdr>
                <w:top w:val="none" w:sz="0" w:space="0" w:color="auto"/>
                <w:left w:val="none" w:sz="0" w:space="0" w:color="auto"/>
                <w:bottom w:val="none" w:sz="0" w:space="0" w:color="auto"/>
                <w:right w:val="none" w:sz="0" w:space="0" w:color="auto"/>
              </w:divBdr>
            </w:div>
          </w:divsChild>
        </w:div>
        <w:div w:id="1003701387">
          <w:marLeft w:val="0"/>
          <w:marRight w:val="0"/>
          <w:marTop w:val="34"/>
          <w:marBottom w:val="10"/>
          <w:divBdr>
            <w:top w:val="none" w:sz="0" w:space="0" w:color="auto"/>
            <w:left w:val="none" w:sz="0" w:space="0" w:color="auto"/>
            <w:bottom w:val="none" w:sz="0" w:space="0" w:color="auto"/>
            <w:right w:val="none" w:sz="0" w:space="0" w:color="auto"/>
          </w:divBdr>
        </w:div>
        <w:div w:id="1046681838">
          <w:marLeft w:val="0"/>
          <w:marRight w:val="0"/>
          <w:marTop w:val="34"/>
          <w:marBottom w:val="10"/>
          <w:divBdr>
            <w:top w:val="none" w:sz="0" w:space="0" w:color="auto"/>
            <w:left w:val="none" w:sz="0" w:space="0" w:color="auto"/>
            <w:bottom w:val="none" w:sz="0" w:space="0" w:color="auto"/>
            <w:right w:val="none" w:sz="0" w:space="0" w:color="auto"/>
          </w:divBdr>
          <w:divsChild>
            <w:div w:id="1099987227">
              <w:marLeft w:val="0"/>
              <w:marRight w:val="0"/>
              <w:marTop w:val="0"/>
              <w:marBottom w:val="0"/>
              <w:divBdr>
                <w:top w:val="none" w:sz="0" w:space="0" w:color="auto"/>
                <w:left w:val="none" w:sz="0" w:space="0" w:color="auto"/>
                <w:bottom w:val="none" w:sz="0" w:space="0" w:color="auto"/>
                <w:right w:val="none" w:sz="0" w:space="0" w:color="auto"/>
              </w:divBdr>
            </w:div>
          </w:divsChild>
        </w:div>
        <w:div w:id="1048650500">
          <w:marLeft w:val="0"/>
          <w:marRight w:val="0"/>
          <w:marTop w:val="34"/>
          <w:marBottom w:val="10"/>
          <w:divBdr>
            <w:top w:val="none" w:sz="0" w:space="0" w:color="auto"/>
            <w:left w:val="none" w:sz="0" w:space="0" w:color="auto"/>
            <w:bottom w:val="none" w:sz="0" w:space="0" w:color="auto"/>
            <w:right w:val="none" w:sz="0" w:space="0" w:color="auto"/>
          </w:divBdr>
          <w:divsChild>
            <w:div w:id="826630986">
              <w:marLeft w:val="0"/>
              <w:marRight w:val="0"/>
              <w:marTop w:val="0"/>
              <w:marBottom w:val="0"/>
              <w:divBdr>
                <w:top w:val="none" w:sz="0" w:space="0" w:color="auto"/>
                <w:left w:val="none" w:sz="0" w:space="0" w:color="auto"/>
                <w:bottom w:val="none" w:sz="0" w:space="0" w:color="auto"/>
                <w:right w:val="none" w:sz="0" w:space="0" w:color="auto"/>
              </w:divBdr>
            </w:div>
          </w:divsChild>
        </w:div>
        <w:div w:id="1055159114">
          <w:marLeft w:val="0"/>
          <w:marRight w:val="0"/>
          <w:marTop w:val="34"/>
          <w:marBottom w:val="10"/>
          <w:divBdr>
            <w:top w:val="none" w:sz="0" w:space="0" w:color="auto"/>
            <w:left w:val="none" w:sz="0" w:space="0" w:color="auto"/>
            <w:bottom w:val="none" w:sz="0" w:space="0" w:color="auto"/>
            <w:right w:val="none" w:sz="0" w:space="0" w:color="auto"/>
          </w:divBdr>
          <w:divsChild>
            <w:div w:id="1165824403">
              <w:marLeft w:val="0"/>
              <w:marRight w:val="0"/>
              <w:marTop w:val="0"/>
              <w:marBottom w:val="0"/>
              <w:divBdr>
                <w:top w:val="none" w:sz="0" w:space="0" w:color="auto"/>
                <w:left w:val="none" w:sz="0" w:space="0" w:color="auto"/>
                <w:bottom w:val="none" w:sz="0" w:space="0" w:color="auto"/>
                <w:right w:val="none" w:sz="0" w:space="0" w:color="auto"/>
              </w:divBdr>
            </w:div>
          </w:divsChild>
        </w:div>
        <w:div w:id="1059863874">
          <w:marLeft w:val="0"/>
          <w:marRight w:val="0"/>
          <w:marTop w:val="34"/>
          <w:marBottom w:val="10"/>
          <w:divBdr>
            <w:top w:val="none" w:sz="0" w:space="0" w:color="auto"/>
            <w:left w:val="none" w:sz="0" w:space="0" w:color="auto"/>
            <w:bottom w:val="none" w:sz="0" w:space="0" w:color="auto"/>
            <w:right w:val="none" w:sz="0" w:space="0" w:color="auto"/>
          </w:divBdr>
          <w:divsChild>
            <w:div w:id="1825195792">
              <w:marLeft w:val="0"/>
              <w:marRight w:val="0"/>
              <w:marTop w:val="0"/>
              <w:marBottom w:val="0"/>
              <w:divBdr>
                <w:top w:val="none" w:sz="0" w:space="0" w:color="auto"/>
                <w:left w:val="none" w:sz="0" w:space="0" w:color="auto"/>
                <w:bottom w:val="none" w:sz="0" w:space="0" w:color="auto"/>
                <w:right w:val="none" w:sz="0" w:space="0" w:color="auto"/>
              </w:divBdr>
            </w:div>
          </w:divsChild>
        </w:div>
        <w:div w:id="1072388707">
          <w:marLeft w:val="0"/>
          <w:marRight w:val="0"/>
          <w:marTop w:val="34"/>
          <w:marBottom w:val="10"/>
          <w:divBdr>
            <w:top w:val="none" w:sz="0" w:space="0" w:color="auto"/>
            <w:left w:val="none" w:sz="0" w:space="0" w:color="auto"/>
            <w:bottom w:val="none" w:sz="0" w:space="0" w:color="auto"/>
            <w:right w:val="none" w:sz="0" w:space="0" w:color="auto"/>
          </w:divBdr>
          <w:divsChild>
            <w:div w:id="1090925573">
              <w:marLeft w:val="0"/>
              <w:marRight w:val="0"/>
              <w:marTop w:val="0"/>
              <w:marBottom w:val="0"/>
              <w:divBdr>
                <w:top w:val="none" w:sz="0" w:space="0" w:color="auto"/>
                <w:left w:val="none" w:sz="0" w:space="0" w:color="auto"/>
                <w:bottom w:val="none" w:sz="0" w:space="0" w:color="auto"/>
                <w:right w:val="none" w:sz="0" w:space="0" w:color="auto"/>
              </w:divBdr>
            </w:div>
          </w:divsChild>
        </w:div>
        <w:div w:id="1074857205">
          <w:marLeft w:val="0"/>
          <w:marRight w:val="0"/>
          <w:marTop w:val="34"/>
          <w:marBottom w:val="10"/>
          <w:divBdr>
            <w:top w:val="none" w:sz="0" w:space="0" w:color="auto"/>
            <w:left w:val="none" w:sz="0" w:space="0" w:color="auto"/>
            <w:bottom w:val="none" w:sz="0" w:space="0" w:color="auto"/>
            <w:right w:val="none" w:sz="0" w:space="0" w:color="auto"/>
          </w:divBdr>
          <w:divsChild>
            <w:div w:id="1707216438">
              <w:marLeft w:val="0"/>
              <w:marRight w:val="0"/>
              <w:marTop w:val="0"/>
              <w:marBottom w:val="0"/>
              <w:divBdr>
                <w:top w:val="none" w:sz="0" w:space="0" w:color="auto"/>
                <w:left w:val="none" w:sz="0" w:space="0" w:color="auto"/>
                <w:bottom w:val="none" w:sz="0" w:space="0" w:color="auto"/>
                <w:right w:val="none" w:sz="0" w:space="0" w:color="auto"/>
              </w:divBdr>
            </w:div>
          </w:divsChild>
        </w:div>
        <w:div w:id="1083573212">
          <w:marLeft w:val="0"/>
          <w:marRight w:val="0"/>
          <w:marTop w:val="34"/>
          <w:marBottom w:val="10"/>
          <w:divBdr>
            <w:top w:val="none" w:sz="0" w:space="0" w:color="auto"/>
            <w:left w:val="none" w:sz="0" w:space="0" w:color="auto"/>
            <w:bottom w:val="none" w:sz="0" w:space="0" w:color="auto"/>
            <w:right w:val="none" w:sz="0" w:space="0" w:color="auto"/>
          </w:divBdr>
        </w:div>
        <w:div w:id="1088696979">
          <w:marLeft w:val="0"/>
          <w:marRight w:val="0"/>
          <w:marTop w:val="34"/>
          <w:marBottom w:val="10"/>
          <w:divBdr>
            <w:top w:val="none" w:sz="0" w:space="0" w:color="auto"/>
            <w:left w:val="none" w:sz="0" w:space="0" w:color="auto"/>
            <w:bottom w:val="none" w:sz="0" w:space="0" w:color="auto"/>
            <w:right w:val="none" w:sz="0" w:space="0" w:color="auto"/>
          </w:divBdr>
          <w:divsChild>
            <w:div w:id="1374846319">
              <w:marLeft w:val="0"/>
              <w:marRight w:val="0"/>
              <w:marTop w:val="0"/>
              <w:marBottom w:val="0"/>
              <w:divBdr>
                <w:top w:val="none" w:sz="0" w:space="0" w:color="auto"/>
                <w:left w:val="none" w:sz="0" w:space="0" w:color="auto"/>
                <w:bottom w:val="none" w:sz="0" w:space="0" w:color="auto"/>
                <w:right w:val="none" w:sz="0" w:space="0" w:color="auto"/>
              </w:divBdr>
            </w:div>
          </w:divsChild>
        </w:div>
        <w:div w:id="1096049610">
          <w:marLeft w:val="0"/>
          <w:marRight w:val="0"/>
          <w:marTop w:val="34"/>
          <w:marBottom w:val="10"/>
          <w:divBdr>
            <w:top w:val="none" w:sz="0" w:space="0" w:color="auto"/>
            <w:left w:val="none" w:sz="0" w:space="0" w:color="auto"/>
            <w:bottom w:val="none" w:sz="0" w:space="0" w:color="auto"/>
            <w:right w:val="none" w:sz="0" w:space="0" w:color="auto"/>
          </w:divBdr>
          <w:divsChild>
            <w:div w:id="2090536696">
              <w:marLeft w:val="0"/>
              <w:marRight w:val="0"/>
              <w:marTop w:val="0"/>
              <w:marBottom w:val="0"/>
              <w:divBdr>
                <w:top w:val="none" w:sz="0" w:space="0" w:color="auto"/>
                <w:left w:val="none" w:sz="0" w:space="0" w:color="auto"/>
                <w:bottom w:val="none" w:sz="0" w:space="0" w:color="auto"/>
                <w:right w:val="none" w:sz="0" w:space="0" w:color="auto"/>
              </w:divBdr>
            </w:div>
          </w:divsChild>
        </w:div>
        <w:div w:id="1108234395">
          <w:marLeft w:val="0"/>
          <w:marRight w:val="0"/>
          <w:marTop w:val="34"/>
          <w:marBottom w:val="10"/>
          <w:divBdr>
            <w:top w:val="none" w:sz="0" w:space="0" w:color="auto"/>
            <w:left w:val="none" w:sz="0" w:space="0" w:color="auto"/>
            <w:bottom w:val="none" w:sz="0" w:space="0" w:color="auto"/>
            <w:right w:val="none" w:sz="0" w:space="0" w:color="auto"/>
          </w:divBdr>
          <w:divsChild>
            <w:div w:id="1198928047">
              <w:marLeft w:val="0"/>
              <w:marRight w:val="0"/>
              <w:marTop w:val="0"/>
              <w:marBottom w:val="0"/>
              <w:divBdr>
                <w:top w:val="none" w:sz="0" w:space="0" w:color="auto"/>
                <w:left w:val="none" w:sz="0" w:space="0" w:color="auto"/>
                <w:bottom w:val="none" w:sz="0" w:space="0" w:color="auto"/>
                <w:right w:val="none" w:sz="0" w:space="0" w:color="auto"/>
              </w:divBdr>
            </w:div>
          </w:divsChild>
        </w:div>
        <w:div w:id="1111047588">
          <w:marLeft w:val="0"/>
          <w:marRight w:val="0"/>
          <w:marTop w:val="34"/>
          <w:marBottom w:val="10"/>
          <w:divBdr>
            <w:top w:val="none" w:sz="0" w:space="0" w:color="auto"/>
            <w:left w:val="none" w:sz="0" w:space="0" w:color="auto"/>
            <w:bottom w:val="none" w:sz="0" w:space="0" w:color="auto"/>
            <w:right w:val="none" w:sz="0" w:space="0" w:color="auto"/>
          </w:divBdr>
          <w:divsChild>
            <w:div w:id="1882008634">
              <w:marLeft w:val="0"/>
              <w:marRight w:val="0"/>
              <w:marTop w:val="0"/>
              <w:marBottom w:val="0"/>
              <w:divBdr>
                <w:top w:val="none" w:sz="0" w:space="0" w:color="auto"/>
                <w:left w:val="none" w:sz="0" w:space="0" w:color="auto"/>
                <w:bottom w:val="none" w:sz="0" w:space="0" w:color="auto"/>
                <w:right w:val="none" w:sz="0" w:space="0" w:color="auto"/>
              </w:divBdr>
            </w:div>
          </w:divsChild>
        </w:div>
        <w:div w:id="1113668736">
          <w:marLeft w:val="0"/>
          <w:marRight w:val="0"/>
          <w:marTop w:val="34"/>
          <w:marBottom w:val="10"/>
          <w:divBdr>
            <w:top w:val="none" w:sz="0" w:space="0" w:color="auto"/>
            <w:left w:val="none" w:sz="0" w:space="0" w:color="auto"/>
            <w:bottom w:val="none" w:sz="0" w:space="0" w:color="auto"/>
            <w:right w:val="none" w:sz="0" w:space="0" w:color="auto"/>
          </w:divBdr>
          <w:divsChild>
            <w:div w:id="1745252999">
              <w:marLeft w:val="0"/>
              <w:marRight w:val="0"/>
              <w:marTop w:val="0"/>
              <w:marBottom w:val="0"/>
              <w:divBdr>
                <w:top w:val="none" w:sz="0" w:space="0" w:color="auto"/>
                <w:left w:val="none" w:sz="0" w:space="0" w:color="auto"/>
                <w:bottom w:val="none" w:sz="0" w:space="0" w:color="auto"/>
                <w:right w:val="none" w:sz="0" w:space="0" w:color="auto"/>
              </w:divBdr>
            </w:div>
          </w:divsChild>
        </w:div>
        <w:div w:id="1117141530">
          <w:marLeft w:val="0"/>
          <w:marRight w:val="0"/>
          <w:marTop w:val="34"/>
          <w:marBottom w:val="10"/>
          <w:divBdr>
            <w:top w:val="none" w:sz="0" w:space="0" w:color="auto"/>
            <w:left w:val="none" w:sz="0" w:space="0" w:color="auto"/>
            <w:bottom w:val="none" w:sz="0" w:space="0" w:color="auto"/>
            <w:right w:val="none" w:sz="0" w:space="0" w:color="auto"/>
          </w:divBdr>
          <w:divsChild>
            <w:div w:id="78792097">
              <w:marLeft w:val="0"/>
              <w:marRight w:val="0"/>
              <w:marTop w:val="0"/>
              <w:marBottom w:val="0"/>
              <w:divBdr>
                <w:top w:val="none" w:sz="0" w:space="0" w:color="auto"/>
                <w:left w:val="none" w:sz="0" w:space="0" w:color="auto"/>
                <w:bottom w:val="none" w:sz="0" w:space="0" w:color="auto"/>
                <w:right w:val="none" w:sz="0" w:space="0" w:color="auto"/>
              </w:divBdr>
            </w:div>
          </w:divsChild>
        </w:div>
        <w:div w:id="1131901376">
          <w:marLeft w:val="0"/>
          <w:marRight w:val="0"/>
          <w:marTop w:val="34"/>
          <w:marBottom w:val="10"/>
          <w:divBdr>
            <w:top w:val="none" w:sz="0" w:space="0" w:color="auto"/>
            <w:left w:val="none" w:sz="0" w:space="0" w:color="auto"/>
            <w:bottom w:val="none" w:sz="0" w:space="0" w:color="auto"/>
            <w:right w:val="none" w:sz="0" w:space="0" w:color="auto"/>
          </w:divBdr>
          <w:divsChild>
            <w:div w:id="1811286218">
              <w:marLeft w:val="0"/>
              <w:marRight w:val="0"/>
              <w:marTop w:val="0"/>
              <w:marBottom w:val="0"/>
              <w:divBdr>
                <w:top w:val="none" w:sz="0" w:space="0" w:color="auto"/>
                <w:left w:val="none" w:sz="0" w:space="0" w:color="auto"/>
                <w:bottom w:val="none" w:sz="0" w:space="0" w:color="auto"/>
                <w:right w:val="none" w:sz="0" w:space="0" w:color="auto"/>
              </w:divBdr>
            </w:div>
          </w:divsChild>
        </w:div>
        <w:div w:id="1147933510">
          <w:marLeft w:val="0"/>
          <w:marRight w:val="0"/>
          <w:marTop w:val="34"/>
          <w:marBottom w:val="10"/>
          <w:divBdr>
            <w:top w:val="none" w:sz="0" w:space="0" w:color="auto"/>
            <w:left w:val="none" w:sz="0" w:space="0" w:color="auto"/>
            <w:bottom w:val="none" w:sz="0" w:space="0" w:color="auto"/>
            <w:right w:val="none" w:sz="0" w:space="0" w:color="auto"/>
          </w:divBdr>
          <w:divsChild>
            <w:div w:id="1425958194">
              <w:marLeft w:val="0"/>
              <w:marRight w:val="0"/>
              <w:marTop w:val="0"/>
              <w:marBottom w:val="0"/>
              <w:divBdr>
                <w:top w:val="none" w:sz="0" w:space="0" w:color="auto"/>
                <w:left w:val="none" w:sz="0" w:space="0" w:color="auto"/>
                <w:bottom w:val="none" w:sz="0" w:space="0" w:color="auto"/>
                <w:right w:val="none" w:sz="0" w:space="0" w:color="auto"/>
              </w:divBdr>
            </w:div>
          </w:divsChild>
        </w:div>
        <w:div w:id="1150755038">
          <w:marLeft w:val="0"/>
          <w:marRight w:val="0"/>
          <w:marTop w:val="34"/>
          <w:marBottom w:val="10"/>
          <w:divBdr>
            <w:top w:val="none" w:sz="0" w:space="0" w:color="auto"/>
            <w:left w:val="none" w:sz="0" w:space="0" w:color="auto"/>
            <w:bottom w:val="none" w:sz="0" w:space="0" w:color="auto"/>
            <w:right w:val="none" w:sz="0" w:space="0" w:color="auto"/>
          </w:divBdr>
          <w:divsChild>
            <w:div w:id="181945464">
              <w:marLeft w:val="0"/>
              <w:marRight w:val="0"/>
              <w:marTop w:val="0"/>
              <w:marBottom w:val="0"/>
              <w:divBdr>
                <w:top w:val="none" w:sz="0" w:space="0" w:color="auto"/>
                <w:left w:val="none" w:sz="0" w:space="0" w:color="auto"/>
                <w:bottom w:val="none" w:sz="0" w:space="0" w:color="auto"/>
                <w:right w:val="none" w:sz="0" w:space="0" w:color="auto"/>
              </w:divBdr>
            </w:div>
          </w:divsChild>
        </w:div>
        <w:div w:id="1156385474">
          <w:marLeft w:val="0"/>
          <w:marRight w:val="0"/>
          <w:marTop w:val="34"/>
          <w:marBottom w:val="10"/>
          <w:divBdr>
            <w:top w:val="none" w:sz="0" w:space="0" w:color="auto"/>
            <w:left w:val="none" w:sz="0" w:space="0" w:color="auto"/>
            <w:bottom w:val="none" w:sz="0" w:space="0" w:color="auto"/>
            <w:right w:val="none" w:sz="0" w:space="0" w:color="auto"/>
          </w:divBdr>
          <w:divsChild>
            <w:div w:id="1415010629">
              <w:marLeft w:val="0"/>
              <w:marRight w:val="0"/>
              <w:marTop w:val="0"/>
              <w:marBottom w:val="0"/>
              <w:divBdr>
                <w:top w:val="none" w:sz="0" w:space="0" w:color="auto"/>
                <w:left w:val="none" w:sz="0" w:space="0" w:color="auto"/>
                <w:bottom w:val="none" w:sz="0" w:space="0" w:color="auto"/>
                <w:right w:val="none" w:sz="0" w:space="0" w:color="auto"/>
              </w:divBdr>
            </w:div>
          </w:divsChild>
        </w:div>
        <w:div w:id="1158108948">
          <w:marLeft w:val="0"/>
          <w:marRight w:val="0"/>
          <w:marTop w:val="34"/>
          <w:marBottom w:val="10"/>
          <w:divBdr>
            <w:top w:val="none" w:sz="0" w:space="0" w:color="auto"/>
            <w:left w:val="none" w:sz="0" w:space="0" w:color="auto"/>
            <w:bottom w:val="none" w:sz="0" w:space="0" w:color="auto"/>
            <w:right w:val="none" w:sz="0" w:space="0" w:color="auto"/>
          </w:divBdr>
          <w:divsChild>
            <w:div w:id="1521549901">
              <w:marLeft w:val="0"/>
              <w:marRight w:val="0"/>
              <w:marTop w:val="0"/>
              <w:marBottom w:val="0"/>
              <w:divBdr>
                <w:top w:val="none" w:sz="0" w:space="0" w:color="auto"/>
                <w:left w:val="none" w:sz="0" w:space="0" w:color="auto"/>
                <w:bottom w:val="none" w:sz="0" w:space="0" w:color="auto"/>
                <w:right w:val="none" w:sz="0" w:space="0" w:color="auto"/>
              </w:divBdr>
            </w:div>
          </w:divsChild>
        </w:div>
        <w:div w:id="1174225684">
          <w:marLeft w:val="0"/>
          <w:marRight w:val="0"/>
          <w:marTop w:val="34"/>
          <w:marBottom w:val="10"/>
          <w:divBdr>
            <w:top w:val="none" w:sz="0" w:space="0" w:color="auto"/>
            <w:left w:val="none" w:sz="0" w:space="0" w:color="auto"/>
            <w:bottom w:val="none" w:sz="0" w:space="0" w:color="auto"/>
            <w:right w:val="none" w:sz="0" w:space="0" w:color="auto"/>
          </w:divBdr>
          <w:divsChild>
            <w:div w:id="1312633745">
              <w:marLeft w:val="0"/>
              <w:marRight w:val="0"/>
              <w:marTop w:val="0"/>
              <w:marBottom w:val="0"/>
              <w:divBdr>
                <w:top w:val="none" w:sz="0" w:space="0" w:color="auto"/>
                <w:left w:val="none" w:sz="0" w:space="0" w:color="auto"/>
                <w:bottom w:val="none" w:sz="0" w:space="0" w:color="auto"/>
                <w:right w:val="none" w:sz="0" w:space="0" w:color="auto"/>
              </w:divBdr>
            </w:div>
          </w:divsChild>
        </w:div>
        <w:div w:id="1182862299">
          <w:marLeft w:val="0"/>
          <w:marRight w:val="0"/>
          <w:marTop w:val="34"/>
          <w:marBottom w:val="10"/>
          <w:divBdr>
            <w:top w:val="none" w:sz="0" w:space="0" w:color="auto"/>
            <w:left w:val="none" w:sz="0" w:space="0" w:color="auto"/>
            <w:bottom w:val="none" w:sz="0" w:space="0" w:color="auto"/>
            <w:right w:val="none" w:sz="0" w:space="0" w:color="auto"/>
          </w:divBdr>
          <w:divsChild>
            <w:div w:id="186722502">
              <w:marLeft w:val="0"/>
              <w:marRight w:val="0"/>
              <w:marTop w:val="0"/>
              <w:marBottom w:val="0"/>
              <w:divBdr>
                <w:top w:val="none" w:sz="0" w:space="0" w:color="auto"/>
                <w:left w:val="none" w:sz="0" w:space="0" w:color="auto"/>
                <w:bottom w:val="none" w:sz="0" w:space="0" w:color="auto"/>
                <w:right w:val="none" w:sz="0" w:space="0" w:color="auto"/>
              </w:divBdr>
            </w:div>
          </w:divsChild>
        </w:div>
        <w:div w:id="1183202051">
          <w:marLeft w:val="0"/>
          <w:marRight w:val="0"/>
          <w:marTop w:val="34"/>
          <w:marBottom w:val="10"/>
          <w:divBdr>
            <w:top w:val="none" w:sz="0" w:space="0" w:color="auto"/>
            <w:left w:val="none" w:sz="0" w:space="0" w:color="auto"/>
            <w:bottom w:val="none" w:sz="0" w:space="0" w:color="auto"/>
            <w:right w:val="none" w:sz="0" w:space="0" w:color="auto"/>
          </w:divBdr>
          <w:divsChild>
            <w:div w:id="1500383398">
              <w:marLeft w:val="0"/>
              <w:marRight w:val="0"/>
              <w:marTop w:val="0"/>
              <w:marBottom w:val="0"/>
              <w:divBdr>
                <w:top w:val="none" w:sz="0" w:space="0" w:color="auto"/>
                <w:left w:val="none" w:sz="0" w:space="0" w:color="auto"/>
                <w:bottom w:val="none" w:sz="0" w:space="0" w:color="auto"/>
                <w:right w:val="none" w:sz="0" w:space="0" w:color="auto"/>
              </w:divBdr>
            </w:div>
          </w:divsChild>
        </w:div>
        <w:div w:id="1186745122">
          <w:marLeft w:val="0"/>
          <w:marRight w:val="0"/>
          <w:marTop w:val="0"/>
          <w:marBottom w:val="0"/>
          <w:divBdr>
            <w:top w:val="none" w:sz="0" w:space="0" w:color="auto"/>
            <w:left w:val="none" w:sz="0" w:space="0" w:color="auto"/>
            <w:bottom w:val="none" w:sz="0" w:space="0" w:color="auto"/>
            <w:right w:val="none" w:sz="0" w:space="0" w:color="auto"/>
          </w:divBdr>
        </w:div>
        <w:div w:id="1197817253">
          <w:marLeft w:val="0"/>
          <w:marRight w:val="0"/>
          <w:marTop w:val="34"/>
          <w:marBottom w:val="10"/>
          <w:divBdr>
            <w:top w:val="none" w:sz="0" w:space="0" w:color="auto"/>
            <w:left w:val="none" w:sz="0" w:space="0" w:color="auto"/>
            <w:bottom w:val="none" w:sz="0" w:space="0" w:color="auto"/>
            <w:right w:val="none" w:sz="0" w:space="0" w:color="auto"/>
          </w:divBdr>
          <w:divsChild>
            <w:div w:id="488788919">
              <w:marLeft w:val="0"/>
              <w:marRight w:val="0"/>
              <w:marTop w:val="0"/>
              <w:marBottom w:val="0"/>
              <w:divBdr>
                <w:top w:val="none" w:sz="0" w:space="0" w:color="auto"/>
                <w:left w:val="none" w:sz="0" w:space="0" w:color="auto"/>
                <w:bottom w:val="none" w:sz="0" w:space="0" w:color="auto"/>
                <w:right w:val="none" w:sz="0" w:space="0" w:color="auto"/>
              </w:divBdr>
            </w:div>
          </w:divsChild>
        </w:div>
        <w:div w:id="1211267453">
          <w:marLeft w:val="0"/>
          <w:marRight w:val="0"/>
          <w:marTop w:val="34"/>
          <w:marBottom w:val="10"/>
          <w:divBdr>
            <w:top w:val="none" w:sz="0" w:space="0" w:color="auto"/>
            <w:left w:val="none" w:sz="0" w:space="0" w:color="auto"/>
            <w:bottom w:val="none" w:sz="0" w:space="0" w:color="auto"/>
            <w:right w:val="none" w:sz="0" w:space="0" w:color="auto"/>
          </w:divBdr>
          <w:divsChild>
            <w:div w:id="335692112">
              <w:marLeft w:val="0"/>
              <w:marRight w:val="0"/>
              <w:marTop w:val="0"/>
              <w:marBottom w:val="0"/>
              <w:divBdr>
                <w:top w:val="none" w:sz="0" w:space="0" w:color="auto"/>
                <w:left w:val="none" w:sz="0" w:space="0" w:color="auto"/>
                <w:bottom w:val="none" w:sz="0" w:space="0" w:color="auto"/>
                <w:right w:val="none" w:sz="0" w:space="0" w:color="auto"/>
              </w:divBdr>
            </w:div>
          </w:divsChild>
        </w:div>
        <w:div w:id="1212308104">
          <w:marLeft w:val="0"/>
          <w:marRight w:val="0"/>
          <w:marTop w:val="34"/>
          <w:marBottom w:val="10"/>
          <w:divBdr>
            <w:top w:val="none" w:sz="0" w:space="0" w:color="auto"/>
            <w:left w:val="none" w:sz="0" w:space="0" w:color="auto"/>
            <w:bottom w:val="none" w:sz="0" w:space="0" w:color="auto"/>
            <w:right w:val="none" w:sz="0" w:space="0" w:color="auto"/>
          </w:divBdr>
          <w:divsChild>
            <w:div w:id="2061633615">
              <w:marLeft w:val="0"/>
              <w:marRight w:val="0"/>
              <w:marTop w:val="0"/>
              <w:marBottom w:val="0"/>
              <w:divBdr>
                <w:top w:val="none" w:sz="0" w:space="0" w:color="auto"/>
                <w:left w:val="none" w:sz="0" w:space="0" w:color="auto"/>
                <w:bottom w:val="none" w:sz="0" w:space="0" w:color="auto"/>
                <w:right w:val="none" w:sz="0" w:space="0" w:color="auto"/>
              </w:divBdr>
            </w:div>
          </w:divsChild>
        </w:div>
        <w:div w:id="1212425066">
          <w:marLeft w:val="0"/>
          <w:marRight w:val="0"/>
          <w:marTop w:val="34"/>
          <w:marBottom w:val="10"/>
          <w:divBdr>
            <w:top w:val="none" w:sz="0" w:space="0" w:color="auto"/>
            <w:left w:val="none" w:sz="0" w:space="0" w:color="auto"/>
            <w:bottom w:val="none" w:sz="0" w:space="0" w:color="auto"/>
            <w:right w:val="none" w:sz="0" w:space="0" w:color="auto"/>
          </w:divBdr>
          <w:divsChild>
            <w:div w:id="1789156480">
              <w:marLeft w:val="0"/>
              <w:marRight w:val="0"/>
              <w:marTop w:val="0"/>
              <w:marBottom w:val="0"/>
              <w:divBdr>
                <w:top w:val="none" w:sz="0" w:space="0" w:color="auto"/>
                <w:left w:val="none" w:sz="0" w:space="0" w:color="auto"/>
                <w:bottom w:val="none" w:sz="0" w:space="0" w:color="auto"/>
                <w:right w:val="none" w:sz="0" w:space="0" w:color="auto"/>
              </w:divBdr>
            </w:div>
          </w:divsChild>
        </w:div>
        <w:div w:id="1212569787">
          <w:marLeft w:val="0"/>
          <w:marRight w:val="0"/>
          <w:marTop w:val="34"/>
          <w:marBottom w:val="10"/>
          <w:divBdr>
            <w:top w:val="none" w:sz="0" w:space="0" w:color="auto"/>
            <w:left w:val="none" w:sz="0" w:space="0" w:color="auto"/>
            <w:bottom w:val="none" w:sz="0" w:space="0" w:color="auto"/>
            <w:right w:val="none" w:sz="0" w:space="0" w:color="auto"/>
          </w:divBdr>
          <w:divsChild>
            <w:div w:id="1835680875">
              <w:marLeft w:val="0"/>
              <w:marRight w:val="0"/>
              <w:marTop w:val="0"/>
              <w:marBottom w:val="0"/>
              <w:divBdr>
                <w:top w:val="none" w:sz="0" w:space="0" w:color="auto"/>
                <w:left w:val="none" w:sz="0" w:space="0" w:color="auto"/>
                <w:bottom w:val="none" w:sz="0" w:space="0" w:color="auto"/>
                <w:right w:val="none" w:sz="0" w:space="0" w:color="auto"/>
              </w:divBdr>
            </w:div>
          </w:divsChild>
        </w:div>
        <w:div w:id="1214196843">
          <w:marLeft w:val="0"/>
          <w:marRight w:val="0"/>
          <w:marTop w:val="34"/>
          <w:marBottom w:val="10"/>
          <w:divBdr>
            <w:top w:val="none" w:sz="0" w:space="0" w:color="auto"/>
            <w:left w:val="none" w:sz="0" w:space="0" w:color="auto"/>
            <w:bottom w:val="none" w:sz="0" w:space="0" w:color="auto"/>
            <w:right w:val="none" w:sz="0" w:space="0" w:color="auto"/>
          </w:divBdr>
          <w:divsChild>
            <w:div w:id="1745880516">
              <w:marLeft w:val="0"/>
              <w:marRight w:val="0"/>
              <w:marTop w:val="0"/>
              <w:marBottom w:val="0"/>
              <w:divBdr>
                <w:top w:val="none" w:sz="0" w:space="0" w:color="auto"/>
                <w:left w:val="none" w:sz="0" w:space="0" w:color="auto"/>
                <w:bottom w:val="none" w:sz="0" w:space="0" w:color="auto"/>
                <w:right w:val="none" w:sz="0" w:space="0" w:color="auto"/>
              </w:divBdr>
            </w:div>
          </w:divsChild>
        </w:div>
        <w:div w:id="1222254341">
          <w:marLeft w:val="0"/>
          <w:marRight w:val="0"/>
          <w:marTop w:val="34"/>
          <w:marBottom w:val="10"/>
          <w:divBdr>
            <w:top w:val="none" w:sz="0" w:space="0" w:color="auto"/>
            <w:left w:val="none" w:sz="0" w:space="0" w:color="auto"/>
            <w:bottom w:val="none" w:sz="0" w:space="0" w:color="auto"/>
            <w:right w:val="none" w:sz="0" w:space="0" w:color="auto"/>
          </w:divBdr>
          <w:divsChild>
            <w:div w:id="164172169">
              <w:marLeft w:val="0"/>
              <w:marRight w:val="0"/>
              <w:marTop w:val="0"/>
              <w:marBottom w:val="0"/>
              <w:divBdr>
                <w:top w:val="none" w:sz="0" w:space="0" w:color="auto"/>
                <w:left w:val="none" w:sz="0" w:space="0" w:color="auto"/>
                <w:bottom w:val="none" w:sz="0" w:space="0" w:color="auto"/>
                <w:right w:val="none" w:sz="0" w:space="0" w:color="auto"/>
              </w:divBdr>
            </w:div>
          </w:divsChild>
        </w:div>
        <w:div w:id="1223175827">
          <w:marLeft w:val="0"/>
          <w:marRight w:val="0"/>
          <w:marTop w:val="34"/>
          <w:marBottom w:val="10"/>
          <w:divBdr>
            <w:top w:val="none" w:sz="0" w:space="0" w:color="auto"/>
            <w:left w:val="none" w:sz="0" w:space="0" w:color="auto"/>
            <w:bottom w:val="none" w:sz="0" w:space="0" w:color="auto"/>
            <w:right w:val="none" w:sz="0" w:space="0" w:color="auto"/>
          </w:divBdr>
          <w:divsChild>
            <w:div w:id="1715499738">
              <w:marLeft w:val="0"/>
              <w:marRight w:val="0"/>
              <w:marTop w:val="0"/>
              <w:marBottom w:val="0"/>
              <w:divBdr>
                <w:top w:val="none" w:sz="0" w:space="0" w:color="auto"/>
                <w:left w:val="none" w:sz="0" w:space="0" w:color="auto"/>
                <w:bottom w:val="none" w:sz="0" w:space="0" w:color="auto"/>
                <w:right w:val="none" w:sz="0" w:space="0" w:color="auto"/>
              </w:divBdr>
            </w:div>
          </w:divsChild>
        </w:div>
        <w:div w:id="1238398942">
          <w:marLeft w:val="0"/>
          <w:marRight w:val="0"/>
          <w:marTop w:val="34"/>
          <w:marBottom w:val="10"/>
          <w:divBdr>
            <w:top w:val="none" w:sz="0" w:space="0" w:color="auto"/>
            <w:left w:val="none" w:sz="0" w:space="0" w:color="auto"/>
            <w:bottom w:val="none" w:sz="0" w:space="0" w:color="auto"/>
            <w:right w:val="none" w:sz="0" w:space="0" w:color="auto"/>
          </w:divBdr>
          <w:divsChild>
            <w:div w:id="68968043">
              <w:marLeft w:val="0"/>
              <w:marRight w:val="0"/>
              <w:marTop w:val="0"/>
              <w:marBottom w:val="0"/>
              <w:divBdr>
                <w:top w:val="none" w:sz="0" w:space="0" w:color="auto"/>
                <w:left w:val="none" w:sz="0" w:space="0" w:color="auto"/>
                <w:bottom w:val="none" w:sz="0" w:space="0" w:color="auto"/>
                <w:right w:val="none" w:sz="0" w:space="0" w:color="auto"/>
              </w:divBdr>
            </w:div>
          </w:divsChild>
        </w:div>
        <w:div w:id="1249578977">
          <w:marLeft w:val="0"/>
          <w:marRight w:val="0"/>
          <w:marTop w:val="34"/>
          <w:marBottom w:val="10"/>
          <w:divBdr>
            <w:top w:val="none" w:sz="0" w:space="0" w:color="auto"/>
            <w:left w:val="none" w:sz="0" w:space="0" w:color="auto"/>
            <w:bottom w:val="none" w:sz="0" w:space="0" w:color="auto"/>
            <w:right w:val="none" w:sz="0" w:space="0" w:color="auto"/>
          </w:divBdr>
          <w:divsChild>
            <w:div w:id="1724330042">
              <w:marLeft w:val="0"/>
              <w:marRight w:val="0"/>
              <w:marTop w:val="0"/>
              <w:marBottom w:val="0"/>
              <w:divBdr>
                <w:top w:val="none" w:sz="0" w:space="0" w:color="auto"/>
                <w:left w:val="none" w:sz="0" w:space="0" w:color="auto"/>
                <w:bottom w:val="none" w:sz="0" w:space="0" w:color="auto"/>
                <w:right w:val="none" w:sz="0" w:space="0" w:color="auto"/>
              </w:divBdr>
            </w:div>
          </w:divsChild>
        </w:div>
        <w:div w:id="1253659948">
          <w:marLeft w:val="0"/>
          <w:marRight w:val="0"/>
          <w:marTop w:val="34"/>
          <w:marBottom w:val="10"/>
          <w:divBdr>
            <w:top w:val="none" w:sz="0" w:space="0" w:color="auto"/>
            <w:left w:val="none" w:sz="0" w:space="0" w:color="auto"/>
            <w:bottom w:val="none" w:sz="0" w:space="0" w:color="auto"/>
            <w:right w:val="none" w:sz="0" w:space="0" w:color="auto"/>
          </w:divBdr>
          <w:divsChild>
            <w:div w:id="760178790">
              <w:marLeft w:val="0"/>
              <w:marRight w:val="0"/>
              <w:marTop w:val="0"/>
              <w:marBottom w:val="0"/>
              <w:divBdr>
                <w:top w:val="none" w:sz="0" w:space="0" w:color="auto"/>
                <w:left w:val="none" w:sz="0" w:space="0" w:color="auto"/>
                <w:bottom w:val="none" w:sz="0" w:space="0" w:color="auto"/>
                <w:right w:val="none" w:sz="0" w:space="0" w:color="auto"/>
              </w:divBdr>
            </w:div>
          </w:divsChild>
        </w:div>
        <w:div w:id="1265696977">
          <w:marLeft w:val="0"/>
          <w:marRight w:val="0"/>
          <w:marTop w:val="34"/>
          <w:marBottom w:val="10"/>
          <w:divBdr>
            <w:top w:val="none" w:sz="0" w:space="0" w:color="auto"/>
            <w:left w:val="none" w:sz="0" w:space="0" w:color="auto"/>
            <w:bottom w:val="none" w:sz="0" w:space="0" w:color="auto"/>
            <w:right w:val="none" w:sz="0" w:space="0" w:color="auto"/>
          </w:divBdr>
          <w:divsChild>
            <w:div w:id="1784762709">
              <w:marLeft w:val="0"/>
              <w:marRight w:val="0"/>
              <w:marTop w:val="0"/>
              <w:marBottom w:val="0"/>
              <w:divBdr>
                <w:top w:val="none" w:sz="0" w:space="0" w:color="auto"/>
                <w:left w:val="none" w:sz="0" w:space="0" w:color="auto"/>
                <w:bottom w:val="none" w:sz="0" w:space="0" w:color="auto"/>
                <w:right w:val="none" w:sz="0" w:space="0" w:color="auto"/>
              </w:divBdr>
            </w:div>
          </w:divsChild>
        </w:div>
        <w:div w:id="1271350534">
          <w:marLeft w:val="0"/>
          <w:marRight w:val="0"/>
          <w:marTop w:val="34"/>
          <w:marBottom w:val="10"/>
          <w:divBdr>
            <w:top w:val="none" w:sz="0" w:space="0" w:color="auto"/>
            <w:left w:val="none" w:sz="0" w:space="0" w:color="auto"/>
            <w:bottom w:val="none" w:sz="0" w:space="0" w:color="auto"/>
            <w:right w:val="none" w:sz="0" w:space="0" w:color="auto"/>
          </w:divBdr>
          <w:divsChild>
            <w:div w:id="30496899">
              <w:marLeft w:val="0"/>
              <w:marRight w:val="0"/>
              <w:marTop w:val="0"/>
              <w:marBottom w:val="0"/>
              <w:divBdr>
                <w:top w:val="none" w:sz="0" w:space="0" w:color="auto"/>
                <w:left w:val="none" w:sz="0" w:space="0" w:color="auto"/>
                <w:bottom w:val="none" w:sz="0" w:space="0" w:color="auto"/>
                <w:right w:val="none" w:sz="0" w:space="0" w:color="auto"/>
              </w:divBdr>
            </w:div>
          </w:divsChild>
        </w:div>
        <w:div w:id="1277174248">
          <w:marLeft w:val="0"/>
          <w:marRight w:val="0"/>
          <w:marTop w:val="34"/>
          <w:marBottom w:val="10"/>
          <w:divBdr>
            <w:top w:val="none" w:sz="0" w:space="0" w:color="auto"/>
            <w:left w:val="none" w:sz="0" w:space="0" w:color="auto"/>
            <w:bottom w:val="none" w:sz="0" w:space="0" w:color="auto"/>
            <w:right w:val="none" w:sz="0" w:space="0" w:color="auto"/>
          </w:divBdr>
        </w:div>
        <w:div w:id="1296571118">
          <w:marLeft w:val="0"/>
          <w:marRight w:val="0"/>
          <w:marTop w:val="34"/>
          <w:marBottom w:val="10"/>
          <w:divBdr>
            <w:top w:val="none" w:sz="0" w:space="0" w:color="auto"/>
            <w:left w:val="none" w:sz="0" w:space="0" w:color="auto"/>
            <w:bottom w:val="none" w:sz="0" w:space="0" w:color="auto"/>
            <w:right w:val="none" w:sz="0" w:space="0" w:color="auto"/>
          </w:divBdr>
          <w:divsChild>
            <w:div w:id="99182534">
              <w:marLeft w:val="0"/>
              <w:marRight w:val="0"/>
              <w:marTop w:val="0"/>
              <w:marBottom w:val="0"/>
              <w:divBdr>
                <w:top w:val="none" w:sz="0" w:space="0" w:color="auto"/>
                <w:left w:val="none" w:sz="0" w:space="0" w:color="auto"/>
                <w:bottom w:val="none" w:sz="0" w:space="0" w:color="auto"/>
                <w:right w:val="none" w:sz="0" w:space="0" w:color="auto"/>
              </w:divBdr>
            </w:div>
          </w:divsChild>
        </w:div>
        <w:div w:id="1299412263">
          <w:marLeft w:val="0"/>
          <w:marRight w:val="0"/>
          <w:marTop w:val="34"/>
          <w:marBottom w:val="10"/>
          <w:divBdr>
            <w:top w:val="none" w:sz="0" w:space="0" w:color="auto"/>
            <w:left w:val="none" w:sz="0" w:space="0" w:color="auto"/>
            <w:bottom w:val="none" w:sz="0" w:space="0" w:color="auto"/>
            <w:right w:val="none" w:sz="0" w:space="0" w:color="auto"/>
          </w:divBdr>
          <w:divsChild>
            <w:div w:id="409928973">
              <w:marLeft w:val="0"/>
              <w:marRight w:val="0"/>
              <w:marTop w:val="0"/>
              <w:marBottom w:val="0"/>
              <w:divBdr>
                <w:top w:val="none" w:sz="0" w:space="0" w:color="auto"/>
                <w:left w:val="none" w:sz="0" w:space="0" w:color="auto"/>
                <w:bottom w:val="none" w:sz="0" w:space="0" w:color="auto"/>
                <w:right w:val="none" w:sz="0" w:space="0" w:color="auto"/>
              </w:divBdr>
            </w:div>
          </w:divsChild>
        </w:div>
        <w:div w:id="1306157761">
          <w:marLeft w:val="0"/>
          <w:marRight w:val="0"/>
          <w:marTop w:val="34"/>
          <w:marBottom w:val="10"/>
          <w:divBdr>
            <w:top w:val="none" w:sz="0" w:space="0" w:color="auto"/>
            <w:left w:val="none" w:sz="0" w:space="0" w:color="auto"/>
            <w:bottom w:val="none" w:sz="0" w:space="0" w:color="auto"/>
            <w:right w:val="none" w:sz="0" w:space="0" w:color="auto"/>
          </w:divBdr>
          <w:divsChild>
            <w:div w:id="1119959923">
              <w:marLeft w:val="0"/>
              <w:marRight w:val="0"/>
              <w:marTop w:val="0"/>
              <w:marBottom w:val="0"/>
              <w:divBdr>
                <w:top w:val="none" w:sz="0" w:space="0" w:color="auto"/>
                <w:left w:val="none" w:sz="0" w:space="0" w:color="auto"/>
                <w:bottom w:val="none" w:sz="0" w:space="0" w:color="auto"/>
                <w:right w:val="none" w:sz="0" w:space="0" w:color="auto"/>
              </w:divBdr>
            </w:div>
          </w:divsChild>
        </w:div>
        <w:div w:id="1311136196">
          <w:marLeft w:val="0"/>
          <w:marRight w:val="0"/>
          <w:marTop w:val="34"/>
          <w:marBottom w:val="10"/>
          <w:divBdr>
            <w:top w:val="none" w:sz="0" w:space="0" w:color="auto"/>
            <w:left w:val="none" w:sz="0" w:space="0" w:color="auto"/>
            <w:bottom w:val="none" w:sz="0" w:space="0" w:color="auto"/>
            <w:right w:val="none" w:sz="0" w:space="0" w:color="auto"/>
          </w:divBdr>
        </w:div>
        <w:div w:id="1312636001">
          <w:marLeft w:val="0"/>
          <w:marRight w:val="0"/>
          <w:marTop w:val="34"/>
          <w:marBottom w:val="10"/>
          <w:divBdr>
            <w:top w:val="none" w:sz="0" w:space="0" w:color="auto"/>
            <w:left w:val="none" w:sz="0" w:space="0" w:color="auto"/>
            <w:bottom w:val="none" w:sz="0" w:space="0" w:color="auto"/>
            <w:right w:val="none" w:sz="0" w:space="0" w:color="auto"/>
          </w:divBdr>
          <w:divsChild>
            <w:div w:id="1276864328">
              <w:marLeft w:val="0"/>
              <w:marRight w:val="0"/>
              <w:marTop w:val="0"/>
              <w:marBottom w:val="0"/>
              <w:divBdr>
                <w:top w:val="none" w:sz="0" w:space="0" w:color="auto"/>
                <w:left w:val="none" w:sz="0" w:space="0" w:color="auto"/>
                <w:bottom w:val="none" w:sz="0" w:space="0" w:color="auto"/>
                <w:right w:val="none" w:sz="0" w:space="0" w:color="auto"/>
              </w:divBdr>
            </w:div>
          </w:divsChild>
        </w:div>
        <w:div w:id="1314988851">
          <w:marLeft w:val="0"/>
          <w:marRight w:val="0"/>
          <w:marTop w:val="34"/>
          <w:marBottom w:val="10"/>
          <w:divBdr>
            <w:top w:val="none" w:sz="0" w:space="0" w:color="auto"/>
            <w:left w:val="none" w:sz="0" w:space="0" w:color="auto"/>
            <w:bottom w:val="none" w:sz="0" w:space="0" w:color="auto"/>
            <w:right w:val="none" w:sz="0" w:space="0" w:color="auto"/>
          </w:divBdr>
          <w:divsChild>
            <w:div w:id="1056901613">
              <w:marLeft w:val="0"/>
              <w:marRight w:val="0"/>
              <w:marTop w:val="0"/>
              <w:marBottom w:val="0"/>
              <w:divBdr>
                <w:top w:val="none" w:sz="0" w:space="0" w:color="auto"/>
                <w:left w:val="none" w:sz="0" w:space="0" w:color="auto"/>
                <w:bottom w:val="none" w:sz="0" w:space="0" w:color="auto"/>
                <w:right w:val="none" w:sz="0" w:space="0" w:color="auto"/>
              </w:divBdr>
            </w:div>
          </w:divsChild>
        </w:div>
        <w:div w:id="1322345822">
          <w:marLeft w:val="0"/>
          <w:marRight w:val="0"/>
          <w:marTop w:val="34"/>
          <w:marBottom w:val="10"/>
          <w:divBdr>
            <w:top w:val="none" w:sz="0" w:space="0" w:color="auto"/>
            <w:left w:val="none" w:sz="0" w:space="0" w:color="auto"/>
            <w:bottom w:val="none" w:sz="0" w:space="0" w:color="auto"/>
            <w:right w:val="none" w:sz="0" w:space="0" w:color="auto"/>
          </w:divBdr>
          <w:divsChild>
            <w:div w:id="754404960">
              <w:marLeft w:val="0"/>
              <w:marRight w:val="0"/>
              <w:marTop w:val="0"/>
              <w:marBottom w:val="0"/>
              <w:divBdr>
                <w:top w:val="none" w:sz="0" w:space="0" w:color="auto"/>
                <w:left w:val="none" w:sz="0" w:space="0" w:color="auto"/>
                <w:bottom w:val="none" w:sz="0" w:space="0" w:color="auto"/>
                <w:right w:val="none" w:sz="0" w:space="0" w:color="auto"/>
              </w:divBdr>
            </w:div>
          </w:divsChild>
        </w:div>
        <w:div w:id="1324623617">
          <w:marLeft w:val="0"/>
          <w:marRight w:val="0"/>
          <w:marTop w:val="34"/>
          <w:marBottom w:val="10"/>
          <w:divBdr>
            <w:top w:val="none" w:sz="0" w:space="0" w:color="auto"/>
            <w:left w:val="none" w:sz="0" w:space="0" w:color="auto"/>
            <w:bottom w:val="none" w:sz="0" w:space="0" w:color="auto"/>
            <w:right w:val="none" w:sz="0" w:space="0" w:color="auto"/>
          </w:divBdr>
          <w:divsChild>
            <w:div w:id="1275746799">
              <w:marLeft w:val="0"/>
              <w:marRight w:val="0"/>
              <w:marTop w:val="0"/>
              <w:marBottom w:val="0"/>
              <w:divBdr>
                <w:top w:val="none" w:sz="0" w:space="0" w:color="auto"/>
                <w:left w:val="none" w:sz="0" w:space="0" w:color="auto"/>
                <w:bottom w:val="none" w:sz="0" w:space="0" w:color="auto"/>
                <w:right w:val="none" w:sz="0" w:space="0" w:color="auto"/>
              </w:divBdr>
            </w:div>
          </w:divsChild>
        </w:div>
        <w:div w:id="1330596926">
          <w:marLeft w:val="0"/>
          <w:marRight w:val="0"/>
          <w:marTop w:val="0"/>
          <w:marBottom w:val="0"/>
          <w:divBdr>
            <w:top w:val="none" w:sz="0" w:space="0" w:color="auto"/>
            <w:left w:val="none" w:sz="0" w:space="0" w:color="auto"/>
            <w:bottom w:val="none" w:sz="0" w:space="0" w:color="auto"/>
            <w:right w:val="none" w:sz="0" w:space="0" w:color="auto"/>
          </w:divBdr>
        </w:div>
        <w:div w:id="1347485834">
          <w:marLeft w:val="0"/>
          <w:marRight w:val="0"/>
          <w:marTop w:val="34"/>
          <w:marBottom w:val="10"/>
          <w:divBdr>
            <w:top w:val="none" w:sz="0" w:space="0" w:color="auto"/>
            <w:left w:val="none" w:sz="0" w:space="0" w:color="auto"/>
            <w:bottom w:val="none" w:sz="0" w:space="0" w:color="auto"/>
            <w:right w:val="none" w:sz="0" w:space="0" w:color="auto"/>
          </w:divBdr>
          <w:divsChild>
            <w:div w:id="1192692539">
              <w:marLeft w:val="0"/>
              <w:marRight w:val="0"/>
              <w:marTop w:val="0"/>
              <w:marBottom w:val="0"/>
              <w:divBdr>
                <w:top w:val="none" w:sz="0" w:space="0" w:color="auto"/>
                <w:left w:val="none" w:sz="0" w:space="0" w:color="auto"/>
                <w:bottom w:val="none" w:sz="0" w:space="0" w:color="auto"/>
                <w:right w:val="none" w:sz="0" w:space="0" w:color="auto"/>
              </w:divBdr>
            </w:div>
          </w:divsChild>
        </w:div>
        <w:div w:id="1358968232">
          <w:marLeft w:val="0"/>
          <w:marRight w:val="0"/>
          <w:marTop w:val="34"/>
          <w:marBottom w:val="10"/>
          <w:divBdr>
            <w:top w:val="none" w:sz="0" w:space="0" w:color="auto"/>
            <w:left w:val="none" w:sz="0" w:space="0" w:color="auto"/>
            <w:bottom w:val="none" w:sz="0" w:space="0" w:color="auto"/>
            <w:right w:val="none" w:sz="0" w:space="0" w:color="auto"/>
          </w:divBdr>
          <w:divsChild>
            <w:div w:id="986279492">
              <w:marLeft w:val="0"/>
              <w:marRight w:val="0"/>
              <w:marTop w:val="0"/>
              <w:marBottom w:val="0"/>
              <w:divBdr>
                <w:top w:val="none" w:sz="0" w:space="0" w:color="auto"/>
                <w:left w:val="none" w:sz="0" w:space="0" w:color="auto"/>
                <w:bottom w:val="none" w:sz="0" w:space="0" w:color="auto"/>
                <w:right w:val="none" w:sz="0" w:space="0" w:color="auto"/>
              </w:divBdr>
            </w:div>
          </w:divsChild>
        </w:div>
        <w:div w:id="1359350548">
          <w:marLeft w:val="0"/>
          <w:marRight w:val="0"/>
          <w:marTop w:val="34"/>
          <w:marBottom w:val="10"/>
          <w:divBdr>
            <w:top w:val="none" w:sz="0" w:space="0" w:color="auto"/>
            <w:left w:val="none" w:sz="0" w:space="0" w:color="auto"/>
            <w:bottom w:val="none" w:sz="0" w:space="0" w:color="auto"/>
            <w:right w:val="none" w:sz="0" w:space="0" w:color="auto"/>
          </w:divBdr>
          <w:divsChild>
            <w:div w:id="497817210">
              <w:marLeft w:val="0"/>
              <w:marRight w:val="0"/>
              <w:marTop w:val="0"/>
              <w:marBottom w:val="0"/>
              <w:divBdr>
                <w:top w:val="none" w:sz="0" w:space="0" w:color="auto"/>
                <w:left w:val="none" w:sz="0" w:space="0" w:color="auto"/>
                <w:bottom w:val="none" w:sz="0" w:space="0" w:color="auto"/>
                <w:right w:val="none" w:sz="0" w:space="0" w:color="auto"/>
              </w:divBdr>
            </w:div>
          </w:divsChild>
        </w:div>
        <w:div w:id="1359695868">
          <w:marLeft w:val="0"/>
          <w:marRight w:val="0"/>
          <w:marTop w:val="34"/>
          <w:marBottom w:val="10"/>
          <w:divBdr>
            <w:top w:val="none" w:sz="0" w:space="0" w:color="auto"/>
            <w:left w:val="none" w:sz="0" w:space="0" w:color="auto"/>
            <w:bottom w:val="none" w:sz="0" w:space="0" w:color="auto"/>
            <w:right w:val="none" w:sz="0" w:space="0" w:color="auto"/>
          </w:divBdr>
          <w:divsChild>
            <w:div w:id="467477108">
              <w:marLeft w:val="0"/>
              <w:marRight w:val="0"/>
              <w:marTop w:val="0"/>
              <w:marBottom w:val="0"/>
              <w:divBdr>
                <w:top w:val="none" w:sz="0" w:space="0" w:color="auto"/>
                <w:left w:val="none" w:sz="0" w:space="0" w:color="auto"/>
                <w:bottom w:val="none" w:sz="0" w:space="0" w:color="auto"/>
                <w:right w:val="none" w:sz="0" w:space="0" w:color="auto"/>
              </w:divBdr>
            </w:div>
          </w:divsChild>
        </w:div>
        <w:div w:id="1359744988">
          <w:marLeft w:val="0"/>
          <w:marRight w:val="0"/>
          <w:marTop w:val="34"/>
          <w:marBottom w:val="10"/>
          <w:divBdr>
            <w:top w:val="none" w:sz="0" w:space="0" w:color="auto"/>
            <w:left w:val="none" w:sz="0" w:space="0" w:color="auto"/>
            <w:bottom w:val="none" w:sz="0" w:space="0" w:color="auto"/>
            <w:right w:val="none" w:sz="0" w:space="0" w:color="auto"/>
          </w:divBdr>
          <w:divsChild>
            <w:div w:id="377439479">
              <w:marLeft w:val="0"/>
              <w:marRight w:val="0"/>
              <w:marTop w:val="0"/>
              <w:marBottom w:val="0"/>
              <w:divBdr>
                <w:top w:val="none" w:sz="0" w:space="0" w:color="auto"/>
                <w:left w:val="none" w:sz="0" w:space="0" w:color="auto"/>
                <w:bottom w:val="none" w:sz="0" w:space="0" w:color="auto"/>
                <w:right w:val="none" w:sz="0" w:space="0" w:color="auto"/>
              </w:divBdr>
            </w:div>
          </w:divsChild>
        </w:div>
        <w:div w:id="1366717494">
          <w:marLeft w:val="0"/>
          <w:marRight w:val="0"/>
          <w:marTop w:val="34"/>
          <w:marBottom w:val="10"/>
          <w:divBdr>
            <w:top w:val="none" w:sz="0" w:space="0" w:color="auto"/>
            <w:left w:val="none" w:sz="0" w:space="0" w:color="auto"/>
            <w:bottom w:val="none" w:sz="0" w:space="0" w:color="auto"/>
            <w:right w:val="none" w:sz="0" w:space="0" w:color="auto"/>
          </w:divBdr>
          <w:divsChild>
            <w:div w:id="346060920">
              <w:marLeft w:val="0"/>
              <w:marRight w:val="0"/>
              <w:marTop w:val="0"/>
              <w:marBottom w:val="0"/>
              <w:divBdr>
                <w:top w:val="none" w:sz="0" w:space="0" w:color="auto"/>
                <w:left w:val="none" w:sz="0" w:space="0" w:color="auto"/>
                <w:bottom w:val="none" w:sz="0" w:space="0" w:color="auto"/>
                <w:right w:val="none" w:sz="0" w:space="0" w:color="auto"/>
              </w:divBdr>
            </w:div>
          </w:divsChild>
        </w:div>
        <w:div w:id="1372606631">
          <w:marLeft w:val="0"/>
          <w:marRight w:val="0"/>
          <w:marTop w:val="34"/>
          <w:marBottom w:val="10"/>
          <w:divBdr>
            <w:top w:val="none" w:sz="0" w:space="0" w:color="auto"/>
            <w:left w:val="none" w:sz="0" w:space="0" w:color="auto"/>
            <w:bottom w:val="none" w:sz="0" w:space="0" w:color="auto"/>
            <w:right w:val="none" w:sz="0" w:space="0" w:color="auto"/>
          </w:divBdr>
          <w:divsChild>
            <w:div w:id="1151486870">
              <w:marLeft w:val="0"/>
              <w:marRight w:val="0"/>
              <w:marTop w:val="0"/>
              <w:marBottom w:val="0"/>
              <w:divBdr>
                <w:top w:val="none" w:sz="0" w:space="0" w:color="auto"/>
                <w:left w:val="none" w:sz="0" w:space="0" w:color="auto"/>
                <w:bottom w:val="none" w:sz="0" w:space="0" w:color="auto"/>
                <w:right w:val="none" w:sz="0" w:space="0" w:color="auto"/>
              </w:divBdr>
            </w:div>
          </w:divsChild>
        </w:div>
        <w:div w:id="1378510150">
          <w:marLeft w:val="0"/>
          <w:marRight w:val="0"/>
          <w:marTop w:val="34"/>
          <w:marBottom w:val="10"/>
          <w:divBdr>
            <w:top w:val="none" w:sz="0" w:space="0" w:color="auto"/>
            <w:left w:val="none" w:sz="0" w:space="0" w:color="auto"/>
            <w:bottom w:val="none" w:sz="0" w:space="0" w:color="auto"/>
            <w:right w:val="none" w:sz="0" w:space="0" w:color="auto"/>
          </w:divBdr>
          <w:divsChild>
            <w:div w:id="701904848">
              <w:marLeft w:val="0"/>
              <w:marRight w:val="0"/>
              <w:marTop w:val="0"/>
              <w:marBottom w:val="0"/>
              <w:divBdr>
                <w:top w:val="none" w:sz="0" w:space="0" w:color="auto"/>
                <w:left w:val="none" w:sz="0" w:space="0" w:color="auto"/>
                <w:bottom w:val="none" w:sz="0" w:space="0" w:color="auto"/>
                <w:right w:val="none" w:sz="0" w:space="0" w:color="auto"/>
              </w:divBdr>
            </w:div>
          </w:divsChild>
        </w:div>
        <w:div w:id="1380085088">
          <w:marLeft w:val="0"/>
          <w:marRight w:val="0"/>
          <w:marTop w:val="34"/>
          <w:marBottom w:val="10"/>
          <w:divBdr>
            <w:top w:val="none" w:sz="0" w:space="0" w:color="auto"/>
            <w:left w:val="none" w:sz="0" w:space="0" w:color="auto"/>
            <w:bottom w:val="none" w:sz="0" w:space="0" w:color="auto"/>
            <w:right w:val="none" w:sz="0" w:space="0" w:color="auto"/>
          </w:divBdr>
          <w:divsChild>
            <w:div w:id="2102293681">
              <w:marLeft w:val="0"/>
              <w:marRight w:val="0"/>
              <w:marTop w:val="0"/>
              <w:marBottom w:val="0"/>
              <w:divBdr>
                <w:top w:val="none" w:sz="0" w:space="0" w:color="auto"/>
                <w:left w:val="none" w:sz="0" w:space="0" w:color="auto"/>
                <w:bottom w:val="none" w:sz="0" w:space="0" w:color="auto"/>
                <w:right w:val="none" w:sz="0" w:space="0" w:color="auto"/>
              </w:divBdr>
            </w:div>
          </w:divsChild>
        </w:div>
        <w:div w:id="1392381990">
          <w:marLeft w:val="0"/>
          <w:marRight w:val="0"/>
          <w:marTop w:val="34"/>
          <w:marBottom w:val="10"/>
          <w:divBdr>
            <w:top w:val="none" w:sz="0" w:space="0" w:color="auto"/>
            <w:left w:val="none" w:sz="0" w:space="0" w:color="auto"/>
            <w:bottom w:val="none" w:sz="0" w:space="0" w:color="auto"/>
            <w:right w:val="none" w:sz="0" w:space="0" w:color="auto"/>
          </w:divBdr>
          <w:divsChild>
            <w:div w:id="1093085619">
              <w:marLeft w:val="0"/>
              <w:marRight w:val="0"/>
              <w:marTop w:val="0"/>
              <w:marBottom w:val="0"/>
              <w:divBdr>
                <w:top w:val="none" w:sz="0" w:space="0" w:color="auto"/>
                <w:left w:val="none" w:sz="0" w:space="0" w:color="auto"/>
                <w:bottom w:val="none" w:sz="0" w:space="0" w:color="auto"/>
                <w:right w:val="none" w:sz="0" w:space="0" w:color="auto"/>
              </w:divBdr>
            </w:div>
          </w:divsChild>
        </w:div>
        <w:div w:id="1393230827">
          <w:marLeft w:val="0"/>
          <w:marRight w:val="0"/>
          <w:marTop w:val="34"/>
          <w:marBottom w:val="10"/>
          <w:divBdr>
            <w:top w:val="none" w:sz="0" w:space="0" w:color="auto"/>
            <w:left w:val="none" w:sz="0" w:space="0" w:color="auto"/>
            <w:bottom w:val="none" w:sz="0" w:space="0" w:color="auto"/>
            <w:right w:val="none" w:sz="0" w:space="0" w:color="auto"/>
          </w:divBdr>
          <w:divsChild>
            <w:div w:id="1591083157">
              <w:marLeft w:val="0"/>
              <w:marRight w:val="0"/>
              <w:marTop w:val="0"/>
              <w:marBottom w:val="0"/>
              <w:divBdr>
                <w:top w:val="none" w:sz="0" w:space="0" w:color="auto"/>
                <w:left w:val="none" w:sz="0" w:space="0" w:color="auto"/>
                <w:bottom w:val="none" w:sz="0" w:space="0" w:color="auto"/>
                <w:right w:val="none" w:sz="0" w:space="0" w:color="auto"/>
              </w:divBdr>
            </w:div>
          </w:divsChild>
        </w:div>
        <w:div w:id="1393307286">
          <w:marLeft w:val="0"/>
          <w:marRight w:val="0"/>
          <w:marTop w:val="34"/>
          <w:marBottom w:val="10"/>
          <w:divBdr>
            <w:top w:val="none" w:sz="0" w:space="0" w:color="auto"/>
            <w:left w:val="none" w:sz="0" w:space="0" w:color="auto"/>
            <w:bottom w:val="none" w:sz="0" w:space="0" w:color="auto"/>
            <w:right w:val="none" w:sz="0" w:space="0" w:color="auto"/>
          </w:divBdr>
          <w:divsChild>
            <w:div w:id="252906185">
              <w:marLeft w:val="0"/>
              <w:marRight w:val="0"/>
              <w:marTop w:val="0"/>
              <w:marBottom w:val="0"/>
              <w:divBdr>
                <w:top w:val="none" w:sz="0" w:space="0" w:color="auto"/>
                <w:left w:val="none" w:sz="0" w:space="0" w:color="auto"/>
                <w:bottom w:val="none" w:sz="0" w:space="0" w:color="auto"/>
                <w:right w:val="none" w:sz="0" w:space="0" w:color="auto"/>
              </w:divBdr>
            </w:div>
          </w:divsChild>
        </w:div>
        <w:div w:id="1394036126">
          <w:marLeft w:val="0"/>
          <w:marRight w:val="0"/>
          <w:marTop w:val="34"/>
          <w:marBottom w:val="10"/>
          <w:divBdr>
            <w:top w:val="none" w:sz="0" w:space="0" w:color="auto"/>
            <w:left w:val="none" w:sz="0" w:space="0" w:color="auto"/>
            <w:bottom w:val="none" w:sz="0" w:space="0" w:color="auto"/>
            <w:right w:val="none" w:sz="0" w:space="0" w:color="auto"/>
          </w:divBdr>
          <w:divsChild>
            <w:div w:id="1262564895">
              <w:marLeft w:val="0"/>
              <w:marRight w:val="0"/>
              <w:marTop w:val="0"/>
              <w:marBottom w:val="0"/>
              <w:divBdr>
                <w:top w:val="none" w:sz="0" w:space="0" w:color="auto"/>
                <w:left w:val="none" w:sz="0" w:space="0" w:color="auto"/>
                <w:bottom w:val="none" w:sz="0" w:space="0" w:color="auto"/>
                <w:right w:val="none" w:sz="0" w:space="0" w:color="auto"/>
              </w:divBdr>
            </w:div>
          </w:divsChild>
        </w:div>
        <w:div w:id="1401902011">
          <w:marLeft w:val="0"/>
          <w:marRight w:val="0"/>
          <w:marTop w:val="34"/>
          <w:marBottom w:val="10"/>
          <w:divBdr>
            <w:top w:val="none" w:sz="0" w:space="0" w:color="auto"/>
            <w:left w:val="none" w:sz="0" w:space="0" w:color="auto"/>
            <w:bottom w:val="none" w:sz="0" w:space="0" w:color="auto"/>
            <w:right w:val="none" w:sz="0" w:space="0" w:color="auto"/>
          </w:divBdr>
          <w:divsChild>
            <w:div w:id="728069851">
              <w:marLeft w:val="0"/>
              <w:marRight w:val="0"/>
              <w:marTop w:val="0"/>
              <w:marBottom w:val="0"/>
              <w:divBdr>
                <w:top w:val="none" w:sz="0" w:space="0" w:color="auto"/>
                <w:left w:val="none" w:sz="0" w:space="0" w:color="auto"/>
                <w:bottom w:val="none" w:sz="0" w:space="0" w:color="auto"/>
                <w:right w:val="none" w:sz="0" w:space="0" w:color="auto"/>
              </w:divBdr>
            </w:div>
          </w:divsChild>
        </w:div>
        <w:div w:id="1405642923">
          <w:marLeft w:val="0"/>
          <w:marRight w:val="0"/>
          <w:marTop w:val="34"/>
          <w:marBottom w:val="10"/>
          <w:divBdr>
            <w:top w:val="none" w:sz="0" w:space="0" w:color="auto"/>
            <w:left w:val="none" w:sz="0" w:space="0" w:color="auto"/>
            <w:bottom w:val="none" w:sz="0" w:space="0" w:color="auto"/>
            <w:right w:val="none" w:sz="0" w:space="0" w:color="auto"/>
          </w:divBdr>
          <w:divsChild>
            <w:div w:id="1138298336">
              <w:marLeft w:val="0"/>
              <w:marRight w:val="0"/>
              <w:marTop w:val="0"/>
              <w:marBottom w:val="0"/>
              <w:divBdr>
                <w:top w:val="none" w:sz="0" w:space="0" w:color="auto"/>
                <w:left w:val="none" w:sz="0" w:space="0" w:color="auto"/>
                <w:bottom w:val="none" w:sz="0" w:space="0" w:color="auto"/>
                <w:right w:val="none" w:sz="0" w:space="0" w:color="auto"/>
              </w:divBdr>
            </w:div>
          </w:divsChild>
        </w:div>
        <w:div w:id="1428231552">
          <w:marLeft w:val="0"/>
          <w:marRight w:val="0"/>
          <w:marTop w:val="34"/>
          <w:marBottom w:val="10"/>
          <w:divBdr>
            <w:top w:val="none" w:sz="0" w:space="0" w:color="auto"/>
            <w:left w:val="none" w:sz="0" w:space="0" w:color="auto"/>
            <w:bottom w:val="none" w:sz="0" w:space="0" w:color="auto"/>
            <w:right w:val="none" w:sz="0" w:space="0" w:color="auto"/>
          </w:divBdr>
        </w:div>
        <w:div w:id="1435053380">
          <w:marLeft w:val="0"/>
          <w:marRight w:val="0"/>
          <w:marTop w:val="34"/>
          <w:marBottom w:val="10"/>
          <w:divBdr>
            <w:top w:val="none" w:sz="0" w:space="0" w:color="auto"/>
            <w:left w:val="none" w:sz="0" w:space="0" w:color="auto"/>
            <w:bottom w:val="none" w:sz="0" w:space="0" w:color="auto"/>
            <w:right w:val="none" w:sz="0" w:space="0" w:color="auto"/>
          </w:divBdr>
          <w:divsChild>
            <w:div w:id="1025594066">
              <w:marLeft w:val="0"/>
              <w:marRight w:val="0"/>
              <w:marTop w:val="0"/>
              <w:marBottom w:val="0"/>
              <w:divBdr>
                <w:top w:val="none" w:sz="0" w:space="0" w:color="auto"/>
                <w:left w:val="none" w:sz="0" w:space="0" w:color="auto"/>
                <w:bottom w:val="none" w:sz="0" w:space="0" w:color="auto"/>
                <w:right w:val="none" w:sz="0" w:space="0" w:color="auto"/>
              </w:divBdr>
            </w:div>
          </w:divsChild>
        </w:div>
        <w:div w:id="1443915881">
          <w:marLeft w:val="0"/>
          <w:marRight w:val="0"/>
          <w:marTop w:val="34"/>
          <w:marBottom w:val="10"/>
          <w:divBdr>
            <w:top w:val="none" w:sz="0" w:space="0" w:color="auto"/>
            <w:left w:val="none" w:sz="0" w:space="0" w:color="auto"/>
            <w:bottom w:val="none" w:sz="0" w:space="0" w:color="auto"/>
            <w:right w:val="none" w:sz="0" w:space="0" w:color="auto"/>
          </w:divBdr>
          <w:divsChild>
            <w:div w:id="1603612978">
              <w:marLeft w:val="0"/>
              <w:marRight w:val="0"/>
              <w:marTop w:val="0"/>
              <w:marBottom w:val="0"/>
              <w:divBdr>
                <w:top w:val="none" w:sz="0" w:space="0" w:color="auto"/>
                <w:left w:val="none" w:sz="0" w:space="0" w:color="auto"/>
                <w:bottom w:val="none" w:sz="0" w:space="0" w:color="auto"/>
                <w:right w:val="none" w:sz="0" w:space="0" w:color="auto"/>
              </w:divBdr>
            </w:div>
          </w:divsChild>
        </w:div>
        <w:div w:id="1447194865">
          <w:marLeft w:val="0"/>
          <w:marRight w:val="0"/>
          <w:marTop w:val="34"/>
          <w:marBottom w:val="10"/>
          <w:divBdr>
            <w:top w:val="none" w:sz="0" w:space="0" w:color="auto"/>
            <w:left w:val="none" w:sz="0" w:space="0" w:color="auto"/>
            <w:bottom w:val="none" w:sz="0" w:space="0" w:color="auto"/>
            <w:right w:val="none" w:sz="0" w:space="0" w:color="auto"/>
          </w:divBdr>
          <w:divsChild>
            <w:div w:id="571887420">
              <w:marLeft w:val="0"/>
              <w:marRight w:val="0"/>
              <w:marTop w:val="0"/>
              <w:marBottom w:val="0"/>
              <w:divBdr>
                <w:top w:val="none" w:sz="0" w:space="0" w:color="auto"/>
                <w:left w:val="none" w:sz="0" w:space="0" w:color="auto"/>
                <w:bottom w:val="none" w:sz="0" w:space="0" w:color="auto"/>
                <w:right w:val="none" w:sz="0" w:space="0" w:color="auto"/>
              </w:divBdr>
            </w:div>
          </w:divsChild>
        </w:div>
        <w:div w:id="1466121245">
          <w:marLeft w:val="0"/>
          <w:marRight w:val="0"/>
          <w:marTop w:val="34"/>
          <w:marBottom w:val="10"/>
          <w:divBdr>
            <w:top w:val="none" w:sz="0" w:space="0" w:color="auto"/>
            <w:left w:val="none" w:sz="0" w:space="0" w:color="auto"/>
            <w:bottom w:val="none" w:sz="0" w:space="0" w:color="auto"/>
            <w:right w:val="none" w:sz="0" w:space="0" w:color="auto"/>
          </w:divBdr>
          <w:divsChild>
            <w:div w:id="1793401440">
              <w:marLeft w:val="0"/>
              <w:marRight w:val="0"/>
              <w:marTop w:val="0"/>
              <w:marBottom w:val="0"/>
              <w:divBdr>
                <w:top w:val="none" w:sz="0" w:space="0" w:color="auto"/>
                <w:left w:val="none" w:sz="0" w:space="0" w:color="auto"/>
                <w:bottom w:val="none" w:sz="0" w:space="0" w:color="auto"/>
                <w:right w:val="none" w:sz="0" w:space="0" w:color="auto"/>
              </w:divBdr>
            </w:div>
          </w:divsChild>
        </w:div>
        <w:div w:id="1470437561">
          <w:marLeft w:val="0"/>
          <w:marRight w:val="0"/>
          <w:marTop w:val="34"/>
          <w:marBottom w:val="10"/>
          <w:divBdr>
            <w:top w:val="none" w:sz="0" w:space="0" w:color="auto"/>
            <w:left w:val="none" w:sz="0" w:space="0" w:color="auto"/>
            <w:bottom w:val="none" w:sz="0" w:space="0" w:color="auto"/>
            <w:right w:val="none" w:sz="0" w:space="0" w:color="auto"/>
          </w:divBdr>
          <w:divsChild>
            <w:div w:id="2033216235">
              <w:marLeft w:val="0"/>
              <w:marRight w:val="0"/>
              <w:marTop w:val="0"/>
              <w:marBottom w:val="0"/>
              <w:divBdr>
                <w:top w:val="none" w:sz="0" w:space="0" w:color="auto"/>
                <w:left w:val="none" w:sz="0" w:space="0" w:color="auto"/>
                <w:bottom w:val="none" w:sz="0" w:space="0" w:color="auto"/>
                <w:right w:val="none" w:sz="0" w:space="0" w:color="auto"/>
              </w:divBdr>
            </w:div>
          </w:divsChild>
        </w:div>
        <w:div w:id="1486627838">
          <w:marLeft w:val="0"/>
          <w:marRight w:val="0"/>
          <w:marTop w:val="34"/>
          <w:marBottom w:val="10"/>
          <w:divBdr>
            <w:top w:val="none" w:sz="0" w:space="0" w:color="auto"/>
            <w:left w:val="none" w:sz="0" w:space="0" w:color="auto"/>
            <w:bottom w:val="none" w:sz="0" w:space="0" w:color="auto"/>
            <w:right w:val="none" w:sz="0" w:space="0" w:color="auto"/>
          </w:divBdr>
          <w:divsChild>
            <w:div w:id="150485465">
              <w:marLeft w:val="0"/>
              <w:marRight w:val="0"/>
              <w:marTop w:val="0"/>
              <w:marBottom w:val="0"/>
              <w:divBdr>
                <w:top w:val="none" w:sz="0" w:space="0" w:color="auto"/>
                <w:left w:val="none" w:sz="0" w:space="0" w:color="auto"/>
                <w:bottom w:val="none" w:sz="0" w:space="0" w:color="auto"/>
                <w:right w:val="none" w:sz="0" w:space="0" w:color="auto"/>
              </w:divBdr>
            </w:div>
          </w:divsChild>
        </w:div>
        <w:div w:id="1510605024">
          <w:marLeft w:val="0"/>
          <w:marRight w:val="0"/>
          <w:marTop w:val="34"/>
          <w:marBottom w:val="10"/>
          <w:divBdr>
            <w:top w:val="none" w:sz="0" w:space="0" w:color="auto"/>
            <w:left w:val="none" w:sz="0" w:space="0" w:color="auto"/>
            <w:bottom w:val="none" w:sz="0" w:space="0" w:color="auto"/>
            <w:right w:val="none" w:sz="0" w:space="0" w:color="auto"/>
          </w:divBdr>
        </w:div>
        <w:div w:id="1522284147">
          <w:marLeft w:val="0"/>
          <w:marRight w:val="0"/>
          <w:marTop w:val="34"/>
          <w:marBottom w:val="10"/>
          <w:divBdr>
            <w:top w:val="none" w:sz="0" w:space="0" w:color="auto"/>
            <w:left w:val="none" w:sz="0" w:space="0" w:color="auto"/>
            <w:bottom w:val="none" w:sz="0" w:space="0" w:color="auto"/>
            <w:right w:val="none" w:sz="0" w:space="0" w:color="auto"/>
          </w:divBdr>
          <w:divsChild>
            <w:div w:id="26150825">
              <w:marLeft w:val="0"/>
              <w:marRight w:val="0"/>
              <w:marTop w:val="0"/>
              <w:marBottom w:val="0"/>
              <w:divBdr>
                <w:top w:val="none" w:sz="0" w:space="0" w:color="auto"/>
                <w:left w:val="none" w:sz="0" w:space="0" w:color="auto"/>
                <w:bottom w:val="none" w:sz="0" w:space="0" w:color="auto"/>
                <w:right w:val="none" w:sz="0" w:space="0" w:color="auto"/>
              </w:divBdr>
            </w:div>
          </w:divsChild>
        </w:div>
        <w:div w:id="1523399265">
          <w:marLeft w:val="0"/>
          <w:marRight w:val="0"/>
          <w:marTop w:val="34"/>
          <w:marBottom w:val="10"/>
          <w:divBdr>
            <w:top w:val="none" w:sz="0" w:space="0" w:color="auto"/>
            <w:left w:val="none" w:sz="0" w:space="0" w:color="auto"/>
            <w:bottom w:val="none" w:sz="0" w:space="0" w:color="auto"/>
            <w:right w:val="none" w:sz="0" w:space="0" w:color="auto"/>
          </w:divBdr>
          <w:divsChild>
            <w:div w:id="308367171">
              <w:marLeft w:val="0"/>
              <w:marRight w:val="0"/>
              <w:marTop w:val="0"/>
              <w:marBottom w:val="0"/>
              <w:divBdr>
                <w:top w:val="none" w:sz="0" w:space="0" w:color="auto"/>
                <w:left w:val="none" w:sz="0" w:space="0" w:color="auto"/>
                <w:bottom w:val="none" w:sz="0" w:space="0" w:color="auto"/>
                <w:right w:val="none" w:sz="0" w:space="0" w:color="auto"/>
              </w:divBdr>
            </w:div>
          </w:divsChild>
        </w:div>
        <w:div w:id="1529100290">
          <w:marLeft w:val="0"/>
          <w:marRight w:val="0"/>
          <w:marTop w:val="34"/>
          <w:marBottom w:val="10"/>
          <w:divBdr>
            <w:top w:val="none" w:sz="0" w:space="0" w:color="auto"/>
            <w:left w:val="none" w:sz="0" w:space="0" w:color="auto"/>
            <w:bottom w:val="none" w:sz="0" w:space="0" w:color="auto"/>
            <w:right w:val="none" w:sz="0" w:space="0" w:color="auto"/>
          </w:divBdr>
          <w:divsChild>
            <w:div w:id="60447456">
              <w:marLeft w:val="0"/>
              <w:marRight w:val="0"/>
              <w:marTop w:val="0"/>
              <w:marBottom w:val="0"/>
              <w:divBdr>
                <w:top w:val="none" w:sz="0" w:space="0" w:color="auto"/>
                <w:left w:val="none" w:sz="0" w:space="0" w:color="auto"/>
                <w:bottom w:val="none" w:sz="0" w:space="0" w:color="auto"/>
                <w:right w:val="none" w:sz="0" w:space="0" w:color="auto"/>
              </w:divBdr>
            </w:div>
          </w:divsChild>
        </w:div>
        <w:div w:id="1529223802">
          <w:marLeft w:val="0"/>
          <w:marRight w:val="0"/>
          <w:marTop w:val="34"/>
          <w:marBottom w:val="10"/>
          <w:divBdr>
            <w:top w:val="none" w:sz="0" w:space="0" w:color="auto"/>
            <w:left w:val="none" w:sz="0" w:space="0" w:color="auto"/>
            <w:bottom w:val="none" w:sz="0" w:space="0" w:color="auto"/>
            <w:right w:val="none" w:sz="0" w:space="0" w:color="auto"/>
          </w:divBdr>
          <w:divsChild>
            <w:div w:id="1489902733">
              <w:marLeft w:val="0"/>
              <w:marRight w:val="0"/>
              <w:marTop w:val="0"/>
              <w:marBottom w:val="0"/>
              <w:divBdr>
                <w:top w:val="none" w:sz="0" w:space="0" w:color="auto"/>
                <w:left w:val="none" w:sz="0" w:space="0" w:color="auto"/>
                <w:bottom w:val="none" w:sz="0" w:space="0" w:color="auto"/>
                <w:right w:val="none" w:sz="0" w:space="0" w:color="auto"/>
              </w:divBdr>
            </w:div>
          </w:divsChild>
        </w:div>
        <w:div w:id="1542746670">
          <w:marLeft w:val="0"/>
          <w:marRight w:val="0"/>
          <w:marTop w:val="34"/>
          <w:marBottom w:val="10"/>
          <w:divBdr>
            <w:top w:val="none" w:sz="0" w:space="0" w:color="auto"/>
            <w:left w:val="none" w:sz="0" w:space="0" w:color="auto"/>
            <w:bottom w:val="none" w:sz="0" w:space="0" w:color="auto"/>
            <w:right w:val="none" w:sz="0" w:space="0" w:color="auto"/>
          </w:divBdr>
          <w:divsChild>
            <w:div w:id="1976719285">
              <w:marLeft w:val="0"/>
              <w:marRight w:val="0"/>
              <w:marTop w:val="0"/>
              <w:marBottom w:val="0"/>
              <w:divBdr>
                <w:top w:val="none" w:sz="0" w:space="0" w:color="auto"/>
                <w:left w:val="none" w:sz="0" w:space="0" w:color="auto"/>
                <w:bottom w:val="none" w:sz="0" w:space="0" w:color="auto"/>
                <w:right w:val="none" w:sz="0" w:space="0" w:color="auto"/>
              </w:divBdr>
            </w:div>
          </w:divsChild>
        </w:div>
        <w:div w:id="1543400030">
          <w:marLeft w:val="0"/>
          <w:marRight w:val="0"/>
          <w:marTop w:val="34"/>
          <w:marBottom w:val="10"/>
          <w:divBdr>
            <w:top w:val="none" w:sz="0" w:space="0" w:color="auto"/>
            <w:left w:val="none" w:sz="0" w:space="0" w:color="auto"/>
            <w:bottom w:val="none" w:sz="0" w:space="0" w:color="auto"/>
            <w:right w:val="none" w:sz="0" w:space="0" w:color="auto"/>
          </w:divBdr>
          <w:divsChild>
            <w:div w:id="1036855381">
              <w:marLeft w:val="0"/>
              <w:marRight w:val="0"/>
              <w:marTop w:val="0"/>
              <w:marBottom w:val="0"/>
              <w:divBdr>
                <w:top w:val="none" w:sz="0" w:space="0" w:color="auto"/>
                <w:left w:val="none" w:sz="0" w:space="0" w:color="auto"/>
                <w:bottom w:val="none" w:sz="0" w:space="0" w:color="auto"/>
                <w:right w:val="none" w:sz="0" w:space="0" w:color="auto"/>
              </w:divBdr>
            </w:div>
          </w:divsChild>
        </w:div>
        <w:div w:id="1543786885">
          <w:marLeft w:val="0"/>
          <w:marRight w:val="0"/>
          <w:marTop w:val="34"/>
          <w:marBottom w:val="10"/>
          <w:divBdr>
            <w:top w:val="none" w:sz="0" w:space="0" w:color="auto"/>
            <w:left w:val="none" w:sz="0" w:space="0" w:color="auto"/>
            <w:bottom w:val="none" w:sz="0" w:space="0" w:color="auto"/>
            <w:right w:val="none" w:sz="0" w:space="0" w:color="auto"/>
          </w:divBdr>
        </w:div>
        <w:div w:id="1544633882">
          <w:marLeft w:val="0"/>
          <w:marRight w:val="0"/>
          <w:marTop w:val="34"/>
          <w:marBottom w:val="10"/>
          <w:divBdr>
            <w:top w:val="none" w:sz="0" w:space="0" w:color="auto"/>
            <w:left w:val="none" w:sz="0" w:space="0" w:color="auto"/>
            <w:bottom w:val="none" w:sz="0" w:space="0" w:color="auto"/>
            <w:right w:val="none" w:sz="0" w:space="0" w:color="auto"/>
          </w:divBdr>
          <w:divsChild>
            <w:div w:id="1135368597">
              <w:marLeft w:val="0"/>
              <w:marRight w:val="0"/>
              <w:marTop w:val="0"/>
              <w:marBottom w:val="0"/>
              <w:divBdr>
                <w:top w:val="none" w:sz="0" w:space="0" w:color="auto"/>
                <w:left w:val="none" w:sz="0" w:space="0" w:color="auto"/>
                <w:bottom w:val="none" w:sz="0" w:space="0" w:color="auto"/>
                <w:right w:val="none" w:sz="0" w:space="0" w:color="auto"/>
              </w:divBdr>
            </w:div>
          </w:divsChild>
        </w:div>
        <w:div w:id="1548032387">
          <w:marLeft w:val="0"/>
          <w:marRight w:val="0"/>
          <w:marTop w:val="34"/>
          <w:marBottom w:val="10"/>
          <w:divBdr>
            <w:top w:val="none" w:sz="0" w:space="0" w:color="auto"/>
            <w:left w:val="none" w:sz="0" w:space="0" w:color="auto"/>
            <w:bottom w:val="none" w:sz="0" w:space="0" w:color="auto"/>
            <w:right w:val="none" w:sz="0" w:space="0" w:color="auto"/>
          </w:divBdr>
          <w:divsChild>
            <w:div w:id="1231622741">
              <w:marLeft w:val="0"/>
              <w:marRight w:val="0"/>
              <w:marTop w:val="0"/>
              <w:marBottom w:val="0"/>
              <w:divBdr>
                <w:top w:val="none" w:sz="0" w:space="0" w:color="auto"/>
                <w:left w:val="none" w:sz="0" w:space="0" w:color="auto"/>
                <w:bottom w:val="none" w:sz="0" w:space="0" w:color="auto"/>
                <w:right w:val="none" w:sz="0" w:space="0" w:color="auto"/>
              </w:divBdr>
            </w:div>
          </w:divsChild>
        </w:div>
        <w:div w:id="1550534612">
          <w:marLeft w:val="0"/>
          <w:marRight w:val="0"/>
          <w:marTop w:val="34"/>
          <w:marBottom w:val="10"/>
          <w:divBdr>
            <w:top w:val="none" w:sz="0" w:space="0" w:color="auto"/>
            <w:left w:val="none" w:sz="0" w:space="0" w:color="auto"/>
            <w:bottom w:val="none" w:sz="0" w:space="0" w:color="auto"/>
            <w:right w:val="none" w:sz="0" w:space="0" w:color="auto"/>
          </w:divBdr>
        </w:div>
        <w:div w:id="1560169014">
          <w:marLeft w:val="0"/>
          <w:marRight w:val="0"/>
          <w:marTop w:val="34"/>
          <w:marBottom w:val="10"/>
          <w:divBdr>
            <w:top w:val="none" w:sz="0" w:space="0" w:color="auto"/>
            <w:left w:val="none" w:sz="0" w:space="0" w:color="auto"/>
            <w:bottom w:val="none" w:sz="0" w:space="0" w:color="auto"/>
            <w:right w:val="none" w:sz="0" w:space="0" w:color="auto"/>
          </w:divBdr>
          <w:divsChild>
            <w:div w:id="782191860">
              <w:marLeft w:val="0"/>
              <w:marRight w:val="0"/>
              <w:marTop w:val="0"/>
              <w:marBottom w:val="0"/>
              <w:divBdr>
                <w:top w:val="none" w:sz="0" w:space="0" w:color="auto"/>
                <w:left w:val="none" w:sz="0" w:space="0" w:color="auto"/>
                <w:bottom w:val="none" w:sz="0" w:space="0" w:color="auto"/>
                <w:right w:val="none" w:sz="0" w:space="0" w:color="auto"/>
              </w:divBdr>
            </w:div>
          </w:divsChild>
        </w:div>
        <w:div w:id="1563520394">
          <w:marLeft w:val="0"/>
          <w:marRight w:val="0"/>
          <w:marTop w:val="34"/>
          <w:marBottom w:val="10"/>
          <w:divBdr>
            <w:top w:val="none" w:sz="0" w:space="0" w:color="auto"/>
            <w:left w:val="none" w:sz="0" w:space="0" w:color="auto"/>
            <w:bottom w:val="none" w:sz="0" w:space="0" w:color="auto"/>
            <w:right w:val="none" w:sz="0" w:space="0" w:color="auto"/>
          </w:divBdr>
          <w:divsChild>
            <w:div w:id="1608541070">
              <w:marLeft w:val="0"/>
              <w:marRight w:val="0"/>
              <w:marTop w:val="0"/>
              <w:marBottom w:val="0"/>
              <w:divBdr>
                <w:top w:val="none" w:sz="0" w:space="0" w:color="auto"/>
                <w:left w:val="none" w:sz="0" w:space="0" w:color="auto"/>
                <w:bottom w:val="none" w:sz="0" w:space="0" w:color="auto"/>
                <w:right w:val="none" w:sz="0" w:space="0" w:color="auto"/>
              </w:divBdr>
            </w:div>
          </w:divsChild>
        </w:div>
        <w:div w:id="1568419961">
          <w:marLeft w:val="0"/>
          <w:marRight w:val="0"/>
          <w:marTop w:val="34"/>
          <w:marBottom w:val="10"/>
          <w:divBdr>
            <w:top w:val="none" w:sz="0" w:space="0" w:color="auto"/>
            <w:left w:val="none" w:sz="0" w:space="0" w:color="auto"/>
            <w:bottom w:val="none" w:sz="0" w:space="0" w:color="auto"/>
            <w:right w:val="none" w:sz="0" w:space="0" w:color="auto"/>
          </w:divBdr>
          <w:divsChild>
            <w:div w:id="1931038214">
              <w:marLeft w:val="0"/>
              <w:marRight w:val="0"/>
              <w:marTop w:val="0"/>
              <w:marBottom w:val="0"/>
              <w:divBdr>
                <w:top w:val="none" w:sz="0" w:space="0" w:color="auto"/>
                <w:left w:val="none" w:sz="0" w:space="0" w:color="auto"/>
                <w:bottom w:val="none" w:sz="0" w:space="0" w:color="auto"/>
                <w:right w:val="none" w:sz="0" w:space="0" w:color="auto"/>
              </w:divBdr>
            </w:div>
          </w:divsChild>
        </w:div>
        <w:div w:id="1573812047">
          <w:marLeft w:val="0"/>
          <w:marRight w:val="0"/>
          <w:marTop w:val="34"/>
          <w:marBottom w:val="10"/>
          <w:divBdr>
            <w:top w:val="none" w:sz="0" w:space="0" w:color="auto"/>
            <w:left w:val="none" w:sz="0" w:space="0" w:color="auto"/>
            <w:bottom w:val="none" w:sz="0" w:space="0" w:color="auto"/>
            <w:right w:val="none" w:sz="0" w:space="0" w:color="auto"/>
          </w:divBdr>
          <w:divsChild>
            <w:div w:id="87122076">
              <w:marLeft w:val="0"/>
              <w:marRight w:val="0"/>
              <w:marTop w:val="0"/>
              <w:marBottom w:val="0"/>
              <w:divBdr>
                <w:top w:val="none" w:sz="0" w:space="0" w:color="auto"/>
                <w:left w:val="none" w:sz="0" w:space="0" w:color="auto"/>
                <w:bottom w:val="none" w:sz="0" w:space="0" w:color="auto"/>
                <w:right w:val="none" w:sz="0" w:space="0" w:color="auto"/>
              </w:divBdr>
            </w:div>
          </w:divsChild>
        </w:div>
        <w:div w:id="1586382825">
          <w:marLeft w:val="0"/>
          <w:marRight w:val="0"/>
          <w:marTop w:val="34"/>
          <w:marBottom w:val="10"/>
          <w:divBdr>
            <w:top w:val="none" w:sz="0" w:space="0" w:color="auto"/>
            <w:left w:val="none" w:sz="0" w:space="0" w:color="auto"/>
            <w:bottom w:val="none" w:sz="0" w:space="0" w:color="auto"/>
            <w:right w:val="none" w:sz="0" w:space="0" w:color="auto"/>
          </w:divBdr>
          <w:divsChild>
            <w:div w:id="1572740701">
              <w:marLeft w:val="0"/>
              <w:marRight w:val="0"/>
              <w:marTop w:val="0"/>
              <w:marBottom w:val="0"/>
              <w:divBdr>
                <w:top w:val="none" w:sz="0" w:space="0" w:color="auto"/>
                <w:left w:val="none" w:sz="0" w:space="0" w:color="auto"/>
                <w:bottom w:val="none" w:sz="0" w:space="0" w:color="auto"/>
                <w:right w:val="none" w:sz="0" w:space="0" w:color="auto"/>
              </w:divBdr>
            </w:div>
          </w:divsChild>
        </w:div>
        <w:div w:id="1593515870">
          <w:marLeft w:val="0"/>
          <w:marRight w:val="0"/>
          <w:marTop w:val="34"/>
          <w:marBottom w:val="10"/>
          <w:divBdr>
            <w:top w:val="none" w:sz="0" w:space="0" w:color="auto"/>
            <w:left w:val="none" w:sz="0" w:space="0" w:color="auto"/>
            <w:bottom w:val="none" w:sz="0" w:space="0" w:color="auto"/>
            <w:right w:val="none" w:sz="0" w:space="0" w:color="auto"/>
          </w:divBdr>
        </w:div>
        <w:div w:id="1600986210">
          <w:marLeft w:val="0"/>
          <w:marRight w:val="0"/>
          <w:marTop w:val="34"/>
          <w:marBottom w:val="10"/>
          <w:divBdr>
            <w:top w:val="none" w:sz="0" w:space="0" w:color="auto"/>
            <w:left w:val="none" w:sz="0" w:space="0" w:color="auto"/>
            <w:bottom w:val="none" w:sz="0" w:space="0" w:color="auto"/>
            <w:right w:val="none" w:sz="0" w:space="0" w:color="auto"/>
          </w:divBdr>
          <w:divsChild>
            <w:div w:id="572741173">
              <w:marLeft w:val="0"/>
              <w:marRight w:val="0"/>
              <w:marTop w:val="0"/>
              <w:marBottom w:val="0"/>
              <w:divBdr>
                <w:top w:val="none" w:sz="0" w:space="0" w:color="auto"/>
                <w:left w:val="none" w:sz="0" w:space="0" w:color="auto"/>
                <w:bottom w:val="none" w:sz="0" w:space="0" w:color="auto"/>
                <w:right w:val="none" w:sz="0" w:space="0" w:color="auto"/>
              </w:divBdr>
            </w:div>
          </w:divsChild>
        </w:div>
        <w:div w:id="1613584773">
          <w:marLeft w:val="0"/>
          <w:marRight w:val="0"/>
          <w:marTop w:val="0"/>
          <w:marBottom w:val="0"/>
          <w:divBdr>
            <w:top w:val="none" w:sz="0" w:space="0" w:color="auto"/>
            <w:left w:val="none" w:sz="0" w:space="0" w:color="auto"/>
            <w:bottom w:val="none" w:sz="0" w:space="0" w:color="auto"/>
            <w:right w:val="none" w:sz="0" w:space="0" w:color="auto"/>
          </w:divBdr>
        </w:div>
        <w:div w:id="1615869879">
          <w:marLeft w:val="0"/>
          <w:marRight w:val="0"/>
          <w:marTop w:val="34"/>
          <w:marBottom w:val="10"/>
          <w:divBdr>
            <w:top w:val="none" w:sz="0" w:space="0" w:color="auto"/>
            <w:left w:val="none" w:sz="0" w:space="0" w:color="auto"/>
            <w:bottom w:val="none" w:sz="0" w:space="0" w:color="auto"/>
            <w:right w:val="none" w:sz="0" w:space="0" w:color="auto"/>
          </w:divBdr>
          <w:divsChild>
            <w:div w:id="1697584832">
              <w:marLeft w:val="0"/>
              <w:marRight w:val="0"/>
              <w:marTop w:val="0"/>
              <w:marBottom w:val="0"/>
              <w:divBdr>
                <w:top w:val="none" w:sz="0" w:space="0" w:color="auto"/>
                <w:left w:val="none" w:sz="0" w:space="0" w:color="auto"/>
                <w:bottom w:val="none" w:sz="0" w:space="0" w:color="auto"/>
                <w:right w:val="none" w:sz="0" w:space="0" w:color="auto"/>
              </w:divBdr>
            </w:div>
          </w:divsChild>
        </w:div>
        <w:div w:id="1618368206">
          <w:marLeft w:val="0"/>
          <w:marRight w:val="0"/>
          <w:marTop w:val="34"/>
          <w:marBottom w:val="10"/>
          <w:divBdr>
            <w:top w:val="none" w:sz="0" w:space="0" w:color="auto"/>
            <w:left w:val="none" w:sz="0" w:space="0" w:color="auto"/>
            <w:bottom w:val="none" w:sz="0" w:space="0" w:color="auto"/>
            <w:right w:val="none" w:sz="0" w:space="0" w:color="auto"/>
          </w:divBdr>
        </w:div>
        <w:div w:id="1626277855">
          <w:marLeft w:val="0"/>
          <w:marRight w:val="0"/>
          <w:marTop w:val="34"/>
          <w:marBottom w:val="10"/>
          <w:divBdr>
            <w:top w:val="none" w:sz="0" w:space="0" w:color="auto"/>
            <w:left w:val="none" w:sz="0" w:space="0" w:color="auto"/>
            <w:bottom w:val="none" w:sz="0" w:space="0" w:color="auto"/>
            <w:right w:val="none" w:sz="0" w:space="0" w:color="auto"/>
          </w:divBdr>
          <w:divsChild>
            <w:div w:id="1217283263">
              <w:marLeft w:val="0"/>
              <w:marRight w:val="0"/>
              <w:marTop w:val="0"/>
              <w:marBottom w:val="0"/>
              <w:divBdr>
                <w:top w:val="none" w:sz="0" w:space="0" w:color="auto"/>
                <w:left w:val="none" w:sz="0" w:space="0" w:color="auto"/>
                <w:bottom w:val="none" w:sz="0" w:space="0" w:color="auto"/>
                <w:right w:val="none" w:sz="0" w:space="0" w:color="auto"/>
              </w:divBdr>
            </w:div>
          </w:divsChild>
        </w:div>
        <w:div w:id="1631939964">
          <w:marLeft w:val="0"/>
          <w:marRight w:val="0"/>
          <w:marTop w:val="34"/>
          <w:marBottom w:val="10"/>
          <w:divBdr>
            <w:top w:val="none" w:sz="0" w:space="0" w:color="auto"/>
            <w:left w:val="none" w:sz="0" w:space="0" w:color="auto"/>
            <w:bottom w:val="none" w:sz="0" w:space="0" w:color="auto"/>
            <w:right w:val="none" w:sz="0" w:space="0" w:color="auto"/>
          </w:divBdr>
          <w:divsChild>
            <w:div w:id="1587954618">
              <w:marLeft w:val="0"/>
              <w:marRight w:val="0"/>
              <w:marTop w:val="0"/>
              <w:marBottom w:val="0"/>
              <w:divBdr>
                <w:top w:val="none" w:sz="0" w:space="0" w:color="auto"/>
                <w:left w:val="none" w:sz="0" w:space="0" w:color="auto"/>
                <w:bottom w:val="none" w:sz="0" w:space="0" w:color="auto"/>
                <w:right w:val="none" w:sz="0" w:space="0" w:color="auto"/>
              </w:divBdr>
            </w:div>
          </w:divsChild>
        </w:div>
        <w:div w:id="1643390417">
          <w:marLeft w:val="0"/>
          <w:marRight w:val="0"/>
          <w:marTop w:val="34"/>
          <w:marBottom w:val="10"/>
          <w:divBdr>
            <w:top w:val="none" w:sz="0" w:space="0" w:color="auto"/>
            <w:left w:val="none" w:sz="0" w:space="0" w:color="auto"/>
            <w:bottom w:val="none" w:sz="0" w:space="0" w:color="auto"/>
            <w:right w:val="none" w:sz="0" w:space="0" w:color="auto"/>
          </w:divBdr>
          <w:divsChild>
            <w:div w:id="1185752456">
              <w:marLeft w:val="0"/>
              <w:marRight w:val="0"/>
              <w:marTop w:val="0"/>
              <w:marBottom w:val="0"/>
              <w:divBdr>
                <w:top w:val="none" w:sz="0" w:space="0" w:color="auto"/>
                <w:left w:val="none" w:sz="0" w:space="0" w:color="auto"/>
                <w:bottom w:val="none" w:sz="0" w:space="0" w:color="auto"/>
                <w:right w:val="none" w:sz="0" w:space="0" w:color="auto"/>
              </w:divBdr>
            </w:div>
          </w:divsChild>
        </w:div>
        <w:div w:id="1647515318">
          <w:marLeft w:val="0"/>
          <w:marRight w:val="0"/>
          <w:marTop w:val="34"/>
          <w:marBottom w:val="10"/>
          <w:divBdr>
            <w:top w:val="none" w:sz="0" w:space="0" w:color="auto"/>
            <w:left w:val="none" w:sz="0" w:space="0" w:color="auto"/>
            <w:bottom w:val="none" w:sz="0" w:space="0" w:color="auto"/>
            <w:right w:val="none" w:sz="0" w:space="0" w:color="auto"/>
          </w:divBdr>
          <w:divsChild>
            <w:div w:id="1435125277">
              <w:marLeft w:val="0"/>
              <w:marRight w:val="0"/>
              <w:marTop w:val="0"/>
              <w:marBottom w:val="0"/>
              <w:divBdr>
                <w:top w:val="none" w:sz="0" w:space="0" w:color="auto"/>
                <w:left w:val="none" w:sz="0" w:space="0" w:color="auto"/>
                <w:bottom w:val="none" w:sz="0" w:space="0" w:color="auto"/>
                <w:right w:val="none" w:sz="0" w:space="0" w:color="auto"/>
              </w:divBdr>
            </w:div>
          </w:divsChild>
        </w:div>
        <w:div w:id="1659770004">
          <w:marLeft w:val="0"/>
          <w:marRight w:val="0"/>
          <w:marTop w:val="34"/>
          <w:marBottom w:val="10"/>
          <w:divBdr>
            <w:top w:val="none" w:sz="0" w:space="0" w:color="auto"/>
            <w:left w:val="none" w:sz="0" w:space="0" w:color="auto"/>
            <w:bottom w:val="none" w:sz="0" w:space="0" w:color="auto"/>
            <w:right w:val="none" w:sz="0" w:space="0" w:color="auto"/>
          </w:divBdr>
          <w:divsChild>
            <w:div w:id="356078093">
              <w:marLeft w:val="0"/>
              <w:marRight w:val="0"/>
              <w:marTop w:val="0"/>
              <w:marBottom w:val="0"/>
              <w:divBdr>
                <w:top w:val="none" w:sz="0" w:space="0" w:color="auto"/>
                <w:left w:val="none" w:sz="0" w:space="0" w:color="auto"/>
                <w:bottom w:val="none" w:sz="0" w:space="0" w:color="auto"/>
                <w:right w:val="none" w:sz="0" w:space="0" w:color="auto"/>
              </w:divBdr>
            </w:div>
          </w:divsChild>
        </w:div>
        <w:div w:id="1672172765">
          <w:marLeft w:val="0"/>
          <w:marRight w:val="0"/>
          <w:marTop w:val="34"/>
          <w:marBottom w:val="10"/>
          <w:divBdr>
            <w:top w:val="none" w:sz="0" w:space="0" w:color="auto"/>
            <w:left w:val="none" w:sz="0" w:space="0" w:color="auto"/>
            <w:bottom w:val="none" w:sz="0" w:space="0" w:color="auto"/>
            <w:right w:val="none" w:sz="0" w:space="0" w:color="auto"/>
          </w:divBdr>
          <w:divsChild>
            <w:div w:id="1051466263">
              <w:marLeft w:val="0"/>
              <w:marRight w:val="0"/>
              <w:marTop w:val="0"/>
              <w:marBottom w:val="0"/>
              <w:divBdr>
                <w:top w:val="none" w:sz="0" w:space="0" w:color="auto"/>
                <w:left w:val="none" w:sz="0" w:space="0" w:color="auto"/>
                <w:bottom w:val="none" w:sz="0" w:space="0" w:color="auto"/>
                <w:right w:val="none" w:sz="0" w:space="0" w:color="auto"/>
              </w:divBdr>
            </w:div>
          </w:divsChild>
        </w:div>
        <w:div w:id="1673990827">
          <w:marLeft w:val="0"/>
          <w:marRight w:val="0"/>
          <w:marTop w:val="34"/>
          <w:marBottom w:val="10"/>
          <w:divBdr>
            <w:top w:val="none" w:sz="0" w:space="0" w:color="auto"/>
            <w:left w:val="none" w:sz="0" w:space="0" w:color="auto"/>
            <w:bottom w:val="none" w:sz="0" w:space="0" w:color="auto"/>
            <w:right w:val="none" w:sz="0" w:space="0" w:color="auto"/>
          </w:divBdr>
          <w:divsChild>
            <w:div w:id="732316015">
              <w:marLeft w:val="0"/>
              <w:marRight w:val="0"/>
              <w:marTop w:val="0"/>
              <w:marBottom w:val="0"/>
              <w:divBdr>
                <w:top w:val="none" w:sz="0" w:space="0" w:color="auto"/>
                <w:left w:val="none" w:sz="0" w:space="0" w:color="auto"/>
                <w:bottom w:val="none" w:sz="0" w:space="0" w:color="auto"/>
                <w:right w:val="none" w:sz="0" w:space="0" w:color="auto"/>
              </w:divBdr>
            </w:div>
          </w:divsChild>
        </w:div>
        <w:div w:id="1674724218">
          <w:marLeft w:val="0"/>
          <w:marRight w:val="0"/>
          <w:marTop w:val="34"/>
          <w:marBottom w:val="10"/>
          <w:divBdr>
            <w:top w:val="none" w:sz="0" w:space="0" w:color="auto"/>
            <w:left w:val="none" w:sz="0" w:space="0" w:color="auto"/>
            <w:bottom w:val="none" w:sz="0" w:space="0" w:color="auto"/>
            <w:right w:val="none" w:sz="0" w:space="0" w:color="auto"/>
          </w:divBdr>
          <w:divsChild>
            <w:div w:id="592249281">
              <w:marLeft w:val="0"/>
              <w:marRight w:val="0"/>
              <w:marTop w:val="0"/>
              <w:marBottom w:val="0"/>
              <w:divBdr>
                <w:top w:val="none" w:sz="0" w:space="0" w:color="auto"/>
                <w:left w:val="none" w:sz="0" w:space="0" w:color="auto"/>
                <w:bottom w:val="none" w:sz="0" w:space="0" w:color="auto"/>
                <w:right w:val="none" w:sz="0" w:space="0" w:color="auto"/>
              </w:divBdr>
            </w:div>
          </w:divsChild>
        </w:div>
        <w:div w:id="1678070687">
          <w:marLeft w:val="0"/>
          <w:marRight w:val="0"/>
          <w:marTop w:val="34"/>
          <w:marBottom w:val="10"/>
          <w:divBdr>
            <w:top w:val="none" w:sz="0" w:space="0" w:color="auto"/>
            <w:left w:val="none" w:sz="0" w:space="0" w:color="auto"/>
            <w:bottom w:val="none" w:sz="0" w:space="0" w:color="auto"/>
            <w:right w:val="none" w:sz="0" w:space="0" w:color="auto"/>
          </w:divBdr>
        </w:div>
        <w:div w:id="1690571179">
          <w:marLeft w:val="0"/>
          <w:marRight w:val="0"/>
          <w:marTop w:val="34"/>
          <w:marBottom w:val="10"/>
          <w:divBdr>
            <w:top w:val="none" w:sz="0" w:space="0" w:color="auto"/>
            <w:left w:val="none" w:sz="0" w:space="0" w:color="auto"/>
            <w:bottom w:val="none" w:sz="0" w:space="0" w:color="auto"/>
            <w:right w:val="none" w:sz="0" w:space="0" w:color="auto"/>
          </w:divBdr>
          <w:divsChild>
            <w:div w:id="2146895768">
              <w:marLeft w:val="0"/>
              <w:marRight w:val="0"/>
              <w:marTop w:val="0"/>
              <w:marBottom w:val="0"/>
              <w:divBdr>
                <w:top w:val="none" w:sz="0" w:space="0" w:color="auto"/>
                <w:left w:val="none" w:sz="0" w:space="0" w:color="auto"/>
                <w:bottom w:val="none" w:sz="0" w:space="0" w:color="auto"/>
                <w:right w:val="none" w:sz="0" w:space="0" w:color="auto"/>
              </w:divBdr>
            </w:div>
          </w:divsChild>
        </w:div>
        <w:div w:id="1706589565">
          <w:marLeft w:val="0"/>
          <w:marRight w:val="0"/>
          <w:marTop w:val="0"/>
          <w:marBottom w:val="0"/>
          <w:divBdr>
            <w:top w:val="none" w:sz="0" w:space="0" w:color="auto"/>
            <w:left w:val="none" w:sz="0" w:space="0" w:color="auto"/>
            <w:bottom w:val="none" w:sz="0" w:space="0" w:color="auto"/>
            <w:right w:val="none" w:sz="0" w:space="0" w:color="auto"/>
          </w:divBdr>
        </w:div>
        <w:div w:id="1707756662">
          <w:marLeft w:val="0"/>
          <w:marRight w:val="0"/>
          <w:marTop w:val="34"/>
          <w:marBottom w:val="10"/>
          <w:divBdr>
            <w:top w:val="none" w:sz="0" w:space="0" w:color="auto"/>
            <w:left w:val="none" w:sz="0" w:space="0" w:color="auto"/>
            <w:bottom w:val="none" w:sz="0" w:space="0" w:color="auto"/>
            <w:right w:val="none" w:sz="0" w:space="0" w:color="auto"/>
          </w:divBdr>
          <w:divsChild>
            <w:div w:id="1579484693">
              <w:marLeft w:val="0"/>
              <w:marRight w:val="0"/>
              <w:marTop w:val="0"/>
              <w:marBottom w:val="0"/>
              <w:divBdr>
                <w:top w:val="none" w:sz="0" w:space="0" w:color="auto"/>
                <w:left w:val="none" w:sz="0" w:space="0" w:color="auto"/>
                <w:bottom w:val="none" w:sz="0" w:space="0" w:color="auto"/>
                <w:right w:val="none" w:sz="0" w:space="0" w:color="auto"/>
              </w:divBdr>
            </w:div>
          </w:divsChild>
        </w:div>
        <w:div w:id="1708795466">
          <w:marLeft w:val="0"/>
          <w:marRight w:val="0"/>
          <w:marTop w:val="34"/>
          <w:marBottom w:val="10"/>
          <w:divBdr>
            <w:top w:val="none" w:sz="0" w:space="0" w:color="auto"/>
            <w:left w:val="none" w:sz="0" w:space="0" w:color="auto"/>
            <w:bottom w:val="none" w:sz="0" w:space="0" w:color="auto"/>
            <w:right w:val="none" w:sz="0" w:space="0" w:color="auto"/>
          </w:divBdr>
          <w:divsChild>
            <w:div w:id="147327776">
              <w:marLeft w:val="0"/>
              <w:marRight w:val="0"/>
              <w:marTop w:val="0"/>
              <w:marBottom w:val="0"/>
              <w:divBdr>
                <w:top w:val="none" w:sz="0" w:space="0" w:color="auto"/>
                <w:left w:val="none" w:sz="0" w:space="0" w:color="auto"/>
                <w:bottom w:val="none" w:sz="0" w:space="0" w:color="auto"/>
                <w:right w:val="none" w:sz="0" w:space="0" w:color="auto"/>
              </w:divBdr>
            </w:div>
          </w:divsChild>
        </w:div>
        <w:div w:id="1710454228">
          <w:marLeft w:val="0"/>
          <w:marRight w:val="0"/>
          <w:marTop w:val="34"/>
          <w:marBottom w:val="10"/>
          <w:divBdr>
            <w:top w:val="none" w:sz="0" w:space="0" w:color="auto"/>
            <w:left w:val="none" w:sz="0" w:space="0" w:color="auto"/>
            <w:bottom w:val="none" w:sz="0" w:space="0" w:color="auto"/>
            <w:right w:val="none" w:sz="0" w:space="0" w:color="auto"/>
          </w:divBdr>
          <w:divsChild>
            <w:div w:id="1835561451">
              <w:marLeft w:val="0"/>
              <w:marRight w:val="0"/>
              <w:marTop w:val="0"/>
              <w:marBottom w:val="0"/>
              <w:divBdr>
                <w:top w:val="none" w:sz="0" w:space="0" w:color="auto"/>
                <w:left w:val="none" w:sz="0" w:space="0" w:color="auto"/>
                <w:bottom w:val="none" w:sz="0" w:space="0" w:color="auto"/>
                <w:right w:val="none" w:sz="0" w:space="0" w:color="auto"/>
              </w:divBdr>
            </w:div>
          </w:divsChild>
        </w:div>
        <w:div w:id="1711418175">
          <w:marLeft w:val="0"/>
          <w:marRight w:val="0"/>
          <w:marTop w:val="34"/>
          <w:marBottom w:val="10"/>
          <w:divBdr>
            <w:top w:val="none" w:sz="0" w:space="0" w:color="auto"/>
            <w:left w:val="none" w:sz="0" w:space="0" w:color="auto"/>
            <w:bottom w:val="none" w:sz="0" w:space="0" w:color="auto"/>
            <w:right w:val="none" w:sz="0" w:space="0" w:color="auto"/>
          </w:divBdr>
          <w:divsChild>
            <w:div w:id="118693305">
              <w:marLeft w:val="0"/>
              <w:marRight w:val="0"/>
              <w:marTop w:val="0"/>
              <w:marBottom w:val="0"/>
              <w:divBdr>
                <w:top w:val="none" w:sz="0" w:space="0" w:color="auto"/>
                <w:left w:val="none" w:sz="0" w:space="0" w:color="auto"/>
                <w:bottom w:val="none" w:sz="0" w:space="0" w:color="auto"/>
                <w:right w:val="none" w:sz="0" w:space="0" w:color="auto"/>
              </w:divBdr>
            </w:div>
          </w:divsChild>
        </w:div>
        <w:div w:id="1720978356">
          <w:marLeft w:val="0"/>
          <w:marRight w:val="0"/>
          <w:marTop w:val="34"/>
          <w:marBottom w:val="10"/>
          <w:divBdr>
            <w:top w:val="none" w:sz="0" w:space="0" w:color="auto"/>
            <w:left w:val="none" w:sz="0" w:space="0" w:color="auto"/>
            <w:bottom w:val="none" w:sz="0" w:space="0" w:color="auto"/>
            <w:right w:val="none" w:sz="0" w:space="0" w:color="auto"/>
          </w:divBdr>
          <w:divsChild>
            <w:div w:id="240986197">
              <w:marLeft w:val="0"/>
              <w:marRight w:val="0"/>
              <w:marTop w:val="0"/>
              <w:marBottom w:val="0"/>
              <w:divBdr>
                <w:top w:val="none" w:sz="0" w:space="0" w:color="auto"/>
                <w:left w:val="none" w:sz="0" w:space="0" w:color="auto"/>
                <w:bottom w:val="none" w:sz="0" w:space="0" w:color="auto"/>
                <w:right w:val="none" w:sz="0" w:space="0" w:color="auto"/>
              </w:divBdr>
            </w:div>
          </w:divsChild>
        </w:div>
        <w:div w:id="1724980001">
          <w:marLeft w:val="0"/>
          <w:marRight w:val="0"/>
          <w:marTop w:val="34"/>
          <w:marBottom w:val="10"/>
          <w:divBdr>
            <w:top w:val="none" w:sz="0" w:space="0" w:color="auto"/>
            <w:left w:val="none" w:sz="0" w:space="0" w:color="auto"/>
            <w:bottom w:val="none" w:sz="0" w:space="0" w:color="auto"/>
            <w:right w:val="none" w:sz="0" w:space="0" w:color="auto"/>
          </w:divBdr>
          <w:divsChild>
            <w:div w:id="1222524304">
              <w:marLeft w:val="0"/>
              <w:marRight w:val="0"/>
              <w:marTop w:val="0"/>
              <w:marBottom w:val="0"/>
              <w:divBdr>
                <w:top w:val="none" w:sz="0" w:space="0" w:color="auto"/>
                <w:left w:val="none" w:sz="0" w:space="0" w:color="auto"/>
                <w:bottom w:val="none" w:sz="0" w:space="0" w:color="auto"/>
                <w:right w:val="none" w:sz="0" w:space="0" w:color="auto"/>
              </w:divBdr>
            </w:div>
          </w:divsChild>
        </w:div>
        <w:div w:id="1727220979">
          <w:marLeft w:val="0"/>
          <w:marRight w:val="0"/>
          <w:marTop w:val="0"/>
          <w:marBottom w:val="0"/>
          <w:divBdr>
            <w:top w:val="none" w:sz="0" w:space="0" w:color="auto"/>
            <w:left w:val="none" w:sz="0" w:space="0" w:color="auto"/>
            <w:bottom w:val="none" w:sz="0" w:space="0" w:color="auto"/>
            <w:right w:val="none" w:sz="0" w:space="0" w:color="auto"/>
          </w:divBdr>
        </w:div>
        <w:div w:id="1739402353">
          <w:marLeft w:val="0"/>
          <w:marRight w:val="0"/>
          <w:marTop w:val="34"/>
          <w:marBottom w:val="10"/>
          <w:divBdr>
            <w:top w:val="none" w:sz="0" w:space="0" w:color="auto"/>
            <w:left w:val="none" w:sz="0" w:space="0" w:color="auto"/>
            <w:bottom w:val="none" w:sz="0" w:space="0" w:color="auto"/>
            <w:right w:val="none" w:sz="0" w:space="0" w:color="auto"/>
          </w:divBdr>
          <w:divsChild>
            <w:div w:id="607931216">
              <w:marLeft w:val="0"/>
              <w:marRight w:val="0"/>
              <w:marTop w:val="0"/>
              <w:marBottom w:val="0"/>
              <w:divBdr>
                <w:top w:val="none" w:sz="0" w:space="0" w:color="auto"/>
                <w:left w:val="none" w:sz="0" w:space="0" w:color="auto"/>
                <w:bottom w:val="none" w:sz="0" w:space="0" w:color="auto"/>
                <w:right w:val="none" w:sz="0" w:space="0" w:color="auto"/>
              </w:divBdr>
            </w:div>
          </w:divsChild>
        </w:div>
        <w:div w:id="1744914996">
          <w:marLeft w:val="0"/>
          <w:marRight w:val="0"/>
          <w:marTop w:val="34"/>
          <w:marBottom w:val="10"/>
          <w:divBdr>
            <w:top w:val="none" w:sz="0" w:space="0" w:color="auto"/>
            <w:left w:val="none" w:sz="0" w:space="0" w:color="auto"/>
            <w:bottom w:val="none" w:sz="0" w:space="0" w:color="auto"/>
            <w:right w:val="none" w:sz="0" w:space="0" w:color="auto"/>
          </w:divBdr>
          <w:divsChild>
            <w:div w:id="1865553467">
              <w:marLeft w:val="0"/>
              <w:marRight w:val="0"/>
              <w:marTop w:val="0"/>
              <w:marBottom w:val="0"/>
              <w:divBdr>
                <w:top w:val="none" w:sz="0" w:space="0" w:color="auto"/>
                <w:left w:val="none" w:sz="0" w:space="0" w:color="auto"/>
                <w:bottom w:val="none" w:sz="0" w:space="0" w:color="auto"/>
                <w:right w:val="none" w:sz="0" w:space="0" w:color="auto"/>
              </w:divBdr>
            </w:div>
          </w:divsChild>
        </w:div>
        <w:div w:id="1747921150">
          <w:marLeft w:val="0"/>
          <w:marRight w:val="0"/>
          <w:marTop w:val="34"/>
          <w:marBottom w:val="10"/>
          <w:divBdr>
            <w:top w:val="none" w:sz="0" w:space="0" w:color="auto"/>
            <w:left w:val="none" w:sz="0" w:space="0" w:color="auto"/>
            <w:bottom w:val="none" w:sz="0" w:space="0" w:color="auto"/>
            <w:right w:val="none" w:sz="0" w:space="0" w:color="auto"/>
          </w:divBdr>
          <w:divsChild>
            <w:div w:id="534344248">
              <w:marLeft w:val="0"/>
              <w:marRight w:val="0"/>
              <w:marTop w:val="0"/>
              <w:marBottom w:val="0"/>
              <w:divBdr>
                <w:top w:val="none" w:sz="0" w:space="0" w:color="auto"/>
                <w:left w:val="none" w:sz="0" w:space="0" w:color="auto"/>
                <w:bottom w:val="none" w:sz="0" w:space="0" w:color="auto"/>
                <w:right w:val="none" w:sz="0" w:space="0" w:color="auto"/>
              </w:divBdr>
            </w:div>
          </w:divsChild>
        </w:div>
        <w:div w:id="1761757207">
          <w:marLeft w:val="0"/>
          <w:marRight w:val="0"/>
          <w:marTop w:val="34"/>
          <w:marBottom w:val="10"/>
          <w:divBdr>
            <w:top w:val="none" w:sz="0" w:space="0" w:color="auto"/>
            <w:left w:val="none" w:sz="0" w:space="0" w:color="auto"/>
            <w:bottom w:val="none" w:sz="0" w:space="0" w:color="auto"/>
            <w:right w:val="none" w:sz="0" w:space="0" w:color="auto"/>
          </w:divBdr>
          <w:divsChild>
            <w:div w:id="1700860972">
              <w:marLeft w:val="0"/>
              <w:marRight w:val="0"/>
              <w:marTop w:val="0"/>
              <w:marBottom w:val="0"/>
              <w:divBdr>
                <w:top w:val="none" w:sz="0" w:space="0" w:color="auto"/>
                <w:left w:val="none" w:sz="0" w:space="0" w:color="auto"/>
                <w:bottom w:val="none" w:sz="0" w:space="0" w:color="auto"/>
                <w:right w:val="none" w:sz="0" w:space="0" w:color="auto"/>
              </w:divBdr>
            </w:div>
          </w:divsChild>
        </w:div>
        <w:div w:id="1762989782">
          <w:marLeft w:val="0"/>
          <w:marRight w:val="0"/>
          <w:marTop w:val="34"/>
          <w:marBottom w:val="10"/>
          <w:divBdr>
            <w:top w:val="none" w:sz="0" w:space="0" w:color="auto"/>
            <w:left w:val="none" w:sz="0" w:space="0" w:color="auto"/>
            <w:bottom w:val="none" w:sz="0" w:space="0" w:color="auto"/>
            <w:right w:val="none" w:sz="0" w:space="0" w:color="auto"/>
          </w:divBdr>
          <w:divsChild>
            <w:div w:id="925967068">
              <w:marLeft w:val="0"/>
              <w:marRight w:val="0"/>
              <w:marTop w:val="0"/>
              <w:marBottom w:val="0"/>
              <w:divBdr>
                <w:top w:val="none" w:sz="0" w:space="0" w:color="auto"/>
                <w:left w:val="none" w:sz="0" w:space="0" w:color="auto"/>
                <w:bottom w:val="none" w:sz="0" w:space="0" w:color="auto"/>
                <w:right w:val="none" w:sz="0" w:space="0" w:color="auto"/>
              </w:divBdr>
            </w:div>
          </w:divsChild>
        </w:div>
        <w:div w:id="1777796513">
          <w:marLeft w:val="0"/>
          <w:marRight w:val="0"/>
          <w:marTop w:val="34"/>
          <w:marBottom w:val="10"/>
          <w:divBdr>
            <w:top w:val="none" w:sz="0" w:space="0" w:color="auto"/>
            <w:left w:val="none" w:sz="0" w:space="0" w:color="auto"/>
            <w:bottom w:val="none" w:sz="0" w:space="0" w:color="auto"/>
            <w:right w:val="none" w:sz="0" w:space="0" w:color="auto"/>
          </w:divBdr>
          <w:divsChild>
            <w:div w:id="1830830321">
              <w:marLeft w:val="0"/>
              <w:marRight w:val="0"/>
              <w:marTop w:val="0"/>
              <w:marBottom w:val="0"/>
              <w:divBdr>
                <w:top w:val="none" w:sz="0" w:space="0" w:color="auto"/>
                <w:left w:val="none" w:sz="0" w:space="0" w:color="auto"/>
                <w:bottom w:val="none" w:sz="0" w:space="0" w:color="auto"/>
                <w:right w:val="none" w:sz="0" w:space="0" w:color="auto"/>
              </w:divBdr>
            </w:div>
          </w:divsChild>
        </w:div>
        <w:div w:id="1795322343">
          <w:marLeft w:val="0"/>
          <w:marRight w:val="0"/>
          <w:marTop w:val="34"/>
          <w:marBottom w:val="10"/>
          <w:divBdr>
            <w:top w:val="none" w:sz="0" w:space="0" w:color="auto"/>
            <w:left w:val="none" w:sz="0" w:space="0" w:color="auto"/>
            <w:bottom w:val="none" w:sz="0" w:space="0" w:color="auto"/>
            <w:right w:val="none" w:sz="0" w:space="0" w:color="auto"/>
          </w:divBdr>
          <w:divsChild>
            <w:div w:id="331682219">
              <w:marLeft w:val="0"/>
              <w:marRight w:val="0"/>
              <w:marTop w:val="0"/>
              <w:marBottom w:val="0"/>
              <w:divBdr>
                <w:top w:val="none" w:sz="0" w:space="0" w:color="auto"/>
                <w:left w:val="none" w:sz="0" w:space="0" w:color="auto"/>
                <w:bottom w:val="none" w:sz="0" w:space="0" w:color="auto"/>
                <w:right w:val="none" w:sz="0" w:space="0" w:color="auto"/>
              </w:divBdr>
            </w:div>
          </w:divsChild>
        </w:div>
        <w:div w:id="1811946226">
          <w:marLeft w:val="0"/>
          <w:marRight w:val="0"/>
          <w:marTop w:val="34"/>
          <w:marBottom w:val="10"/>
          <w:divBdr>
            <w:top w:val="none" w:sz="0" w:space="0" w:color="auto"/>
            <w:left w:val="none" w:sz="0" w:space="0" w:color="auto"/>
            <w:bottom w:val="none" w:sz="0" w:space="0" w:color="auto"/>
            <w:right w:val="none" w:sz="0" w:space="0" w:color="auto"/>
          </w:divBdr>
          <w:divsChild>
            <w:div w:id="153498113">
              <w:marLeft w:val="0"/>
              <w:marRight w:val="0"/>
              <w:marTop w:val="0"/>
              <w:marBottom w:val="0"/>
              <w:divBdr>
                <w:top w:val="none" w:sz="0" w:space="0" w:color="auto"/>
                <w:left w:val="none" w:sz="0" w:space="0" w:color="auto"/>
                <w:bottom w:val="none" w:sz="0" w:space="0" w:color="auto"/>
                <w:right w:val="none" w:sz="0" w:space="0" w:color="auto"/>
              </w:divBdr>
            </w:div>
          </w:divsChild>
        </w:div>
        <w:div w:id="1817647077">
          <w:marLeft w:val="0"/>
          <w:marRight w:val="0"/>
          <w:marTop w:val="34"/>
          <w:marBottom w:val="10"/>
          <w:divBdr>
            <w:top w:val="none" w:sz="0" w:space="0" w:color="auto"/>
            <w:left w:val="none" w:sz="0" w:space="0" w:color="auto"/>
            <w:bottom w:val="none" w:sz="0" w:space="0" w:color="auto"/>
            <w:right w:val="none" w:sz="0" w:space="0" w:color="auto"/>
          </w:divBdr>
        </w:div>
        <w:div w:id="1824464636">
          <w:marLeft w:val="0"/>
          <w:marRight w:val="0"/>
          <w:marTop w:val="34"/>
          <w:marBottom w:val="10"/>
          <w:divBdr>
            <w:top w:val="none" w:sz="0" w:space="0" w:color="auto"/>
            <w:left w:val="none" w:sz="0" w:space="0" w:color="auto"/>
            <w:bottom w:val="none" w:sz="0" w:space="0" w:color="auto"/>
            <w:right w:val="none" w:sz="0" w:space="0" w:color="auto"/>
          </w:divBdr>
          <w:divsChild>
            <w:div w:id="275983923">
              <w:marLeft w:val="0"/>
              <w:marRight w:val="0"/>
              <w:marTop w:val="0"/>
              <w:marBottom w:val="0"/>
              <w:divBdr>
                <w:top w:val="none" w:sz="0" w:space="0" w:color="auto"/>
                <w:left w:val="none" w:sz="0" w:space="0" w:color="auto"/>
                <w:bottom w:val="none" w:sz="0" w:space="0" w:color="auto"/>
                <w:right w:val="none" w:sz="0" w:space="0" w:color="auto"/>
              </w:divBdr>
            </w:div>
          </w:divsChild>
        </w:div>
        <w:div w:id="1824539842">
          <w:marLeft w:val="0"/>
          <w:marRight w:val="0"/>
          <w:marTop w:val="34"/>
          <w:marBottom w:val="10"/>
          <w:divBdr>
            <w:top w:val="none" w:sz="0" w:space="0" w:color="auto"/>
            <w:left w:val="none" w:sz="0" w:space="0" w:color="auto"/>
            <w:bottom w:val="none" w:sz="0" w:space="0" w:color="auto"/>
            <w:right w:val="none" w:sz="0" w:space="0" w:color="auto"/>
          </w:divBdr>
          <w:divsChild>
            <w:div w:id="2026203443">
              <w:marLeft w:val="0"/>
              <w:marRight w:val="0"/>
              <w:marTop w:val="0"/>
              <w:marBottom w:val="0"/>
              <w:divBdr>
                <w:top w:val="none" w:sz="0" w:space="0" w:color="auto"/>
                <w:left w:val="none" w:sz="0" w:space="0" w:color="auto"/>
                <w:bottom w:val="none" w:sz="0" w:space="0" w:color="auto"/>
                <w:right w:val="none" w:sz="0" w:space="0" w:color="auto"/>
              </w:divBdr>
            </w:div>
          </w:divsChild>
        </w:div>
        <w:div w:id="1836529261">
          <w:marLeft w:val="0"/>
          <w:marRight w:val="0"/>
          <w:marTop w:val="34"/>
          <w:marBottom w:val="10"/>
          <w:divBdr>
            <w:top w:val="none" w:sz="0" w:space="0" w:color="auto"/>
            <w:left w:val="none" w:sz="0" w:space="0" w:color="auto"/>
            <w:bottom w:val="none" w:sz="0" w:space="0" w:color="auto"/>
            <w:right w:val="none" w:sz="0" w:space="0" w:color="auto"/>
          </w:divBdr>
          <w:divsChild>
            <w:div w:id="1934821092">
              <w:marLeft w:val="0"/>
              <w:marRight w:val="0"/>
              <w:marTop w:val="0"/>
              <w:marBottom w:val="0"/>
              <w:divBdr>
                <w:top w:val="none" w:sz="0" w:space="0" w:color="auto"/>
                <w:left w:val="none" w:sz="0" w:space="0" w:color="auto"/>
                <w:bottom w:val="none" w:sz="0" w:space="0" w:color="auto"/>
                <w:right w:val="none" w:sz="0" w:space="0" w:color="auto"/>
              </w:divBdr>
            </w:div>
          </w:divsChild>
        </w:div>
        <w:div w:id="1839345258">
          <w:marLeft w:val="0"/>
          <w:marRight w:val="0"/>
          <w:marTop w:val="34"/>
          <w:marBottom w:val="10"/>
          <w:divBdr>
            <w:top w:val="none" w:sz="0" w:space="0" w:color="auto"/>
            <w:left w:val="none" w:sz="0" w:space="0" w:color="auto"/>
            <w:bottom w:val="none" w:sz="0" w:space="0" w:color="auto"/>
            <w:right w:val="none" w:sz="0" w:space="0" w:color="auto"/>
          </w:divBdr>
          <w:divsChild>
            <w:div w:id="1357579497">
              <w:marLeft w:val="0"/>
              <w:marRight w:val="0"/>
              <w:marTop w:val="0"/>
              <w:marBottom w:val="0"/>
              <w:divBdr>
                <w:top w:val="none" w:sz="0" w:space="0" w:color="auto"/>
                <w:left w:val="none" w:sz="0" w:space="0" w:color="auto"/>
                <w:bottom w:val="none" w:sz="0" w:space="0" w:color="auto"/>
                <w:right w:val="none" w:sz="0" w:space="0" w:color="auto"/>
              </w:divBdr>
            </w:div>
          </w:divsChild>
        </w:div>
        <w:div w:id="1844003348">
          <w:marLeft w:val="0"/>
          <w:marRight w:val="0"/>
          <w:marTop w:val="34"/>
          <w:marBottom w:val="10"/>
          <w:divBdr>
            <w:top w:val="none" w:sz="0" w:space="0" w:color="auto"/>
            <w:left w:val="none" w:sz="0" w:space="0" w:color="auto"/>
            <w:bottom w:val="none" w:sz="0" w:space="0" w:color="auto"/>
            <w:right w:val="none" w:sz="0" w:space="0" w:color="auto"/>
          </w:divBdr>
          <w:divsChild>
            <w:div w:id="48187266">
              <w:marLeft w:val="0"/>
              <w:marRight w:val="0"/>
              <w:marTop w:val="0"/>
              <w:marBottom w:val="0"/>
              <w:divBdr>
                <w:top w:val="none" w:sz="0" w:space="0" w:color="auto"/>
                <w:left w:val="none" w:sz="0" w:space="0" w:color="auto"/>
                <w:bottom w:val="none" w:sz="0" w:space="0" w:color="auto"/>
                <w:right w:val="none" w:sz="0" w:space="0" w:color="auto"/>
              </w:divBdr>
            </w:div>
          </w:divsChild>
        </w:div>
        <w:div w:id="1845171295">
          <w:marLeft w:val="0"/>
          <w:marRight w:val="0"/>
          <w:marTop w:val="34"/>
          <w:marBottom w:val="10"/>
          <w:divBdr>
            <w:top w:val="none" w:sz="0" w:space="0" w:color="auto"/>
            <w:left w:val="none" w:sz="0" w:space="0" w:color="auto"/>
            <w:bottom w:val="none" w:sz="0" w:space="0" w:color="auto"/>
            <w:right w:val="none" w:sz="0" w:space="0" w:color="auto"/>
          </w:divBdr>
          <w:divsChild>
            <w:div w:id="1602033038">
              <w:marLeft w:val="0"/>
              <w:marRight w:val="0"/>
              <w:marTop w:val="0"/>
              <w:marBottom w:val="0"/>
              <w:divBdr>
                <w:top w:val="none" w:sz="0" w:space="0" w:color="auto"/>
                <w:left w:val="none" w:sz="0" w:space="0" w:color="auto"/>
                <w:bottom w:val="none" w:sz="0" w:space="0" w:color="auto"/>
                <w:right w:val="none" w:sz="0" w:space="0" w:color="auto"/>
              </w:divBdr>
            </w:div>
          </w:divsChild>
        </w:div>
        <w:div w:id="1858885377">
          <w:marLeft w:val="0"/>
          <w:marRight w:val="0"/>
          <w:marTop w:val="34"/>
          <w:marBottom w:val="10"/>
          <w:divBdr>
            <w:top w:val="none" w:sz="0" w:space="0" w:color="auto"/>
            <w:left w:val="none" w:sz="0" w:space="0" w:color="auto"/>
            <w:bottom w:val="none" w:sz="0" w:space="0" w:color="auto"/>
            <w:right w:val="none" w:sz="0" w:space="0" w:color="auto"/>
          </w:divBdr>
          <w:divsChild>
            <w:div w:id="819075630">
              <w:marLeft w:val="0"/>
              <w:marRight w:val="0"/>
              <w:marTop w:val="0"/>
              <w:marBottom w:val="0"/>
              <w:divBdr>
                <w:top w:val="none" w:sz="0" w:space="0" w:color="auto"/>
                <w:left w:val="none" w:sz="0" w:space="0" w:color="auto"/>
                <w:bottom w:val="none" w:sz="0" w:space="0" w:color="auto"/>
                <w:right w:val="none" w:sz="0" w:space="0" w:color="auto"/>
              </w:divBdr>
            </w:div>
          </w:divsChild>
        </w:div>
        <w:div w:id="1867064052">
          <w:marLeft w:val="0"/>
          <w:marRight w:val="0"/>
          <w:marTop w:val="34"/>
          <w:marBottom w:val="10"/>
          <w:divBdr>
            <w:top w:val="none" w:sz="0" w:space="0" w:color="auto"/>
            <w:left w:val="none" w:sz="0" w:space="0" w:color="auto"/>
            <w:bottom w:val="none" w:sz="0" w:space="0" w:color="auto"/>
            <w:right w:val="none" w:sz="0" w:space="0" w:color="auto"/>
          </w:divBdr>
          <w:divsChild>
            <w:div w:id="491529064">
              <w:marLeft w:val="0"/>
              <w:marRight w:val="0"/>
              <w:marTop w:val="0"/>
              <w:marBottom w:val="0"/>
              <w:divBdr>
                <w:top w:val="none" w:sz="0" w:space="0" w:color="auto"/>
                <w:left w:val="none" w:sz="0" w:space="0" w:color="auto"/>
                <w:bottom w:val="none" w:sz="0" w:space="0" w:color="auto"/>
                <w:right w:val="none" w:sz="0" w:space="0" w:color="auto"/>
              </w:divBdr>
            </w:div>
          </w:divsChild>
        </w:div>
        <w:div w:id="1883397804">
          <w:marLeft w:val="0"/>
          <w:marRight w:val="0"/>
          <w:marTop w:val="34"/>
          <w:marBottom w:val="10"/>
          <w:divBdr>
            <w:top w:val="none" w:sz="0" w:space="0" w:color="auto"/>
            <w:left w:val="none" w:sz="0" w:space="0" w:color="auto"/>
            <w:bottom w:val="none" w:sz="0" w:space="0" w:color="auto"/>
            <w:right w:val="none" w:sz="0" w:space="0" w:color="auto"/>
          </w:divBdr>
          <w:divsChild>
            <w:div w:id="1599561387">
              <w:marLeft w:val="0"/>
              <w:marRight w:val="0"/>
              <w:marTop w:val="0"/>
              <w:marBottom w:val="0"/>
              <w:divBdr>
                <w:top w:val="none" w:sz="0" w:space="0" w:color="auto"/>
                <w:left w:val="none" w:sz="0" w:space="0" w:color="auto"/>
                <w:bottom w:val="none" w:sz="0" w:space="0" w:color="auto"/>
                <w:right w:val="none" w:sz="0" w:space="0" w:color="auto"/>
              </w:divBdr>
            </w:div>
          </w:divsChild>
        </w:div>
        <w:div w:id="1885406657">
          <w:marLeft w:val="0"/>
          <w:marRight w:val="0"/>
          <w:marTop w:val="34"/>
          <w:marBottom w:val="10"/>
          <w:divBdr>
            <w:top w:val="none" w:sz="0" w:space="0" w:color="auto"/>
            <w:left w:val="none" w:sz="0" w:space="0" w:color="auto"/>
            <w:bottom w:val="none" w:sz="0" w:space="0" w:color="auto"/>
            <w:right w:val="none" w:sz="0" w:space="0" w:color="auto"/>
          </w:divBdr>
          <w:divsChild>
            <w:div w:id="1955356435">
              <w:marLeft w:val="0"/>
              <w:marRight w:val="0"/>
              <w:marTop w:val="0"/>
              <w:marBottom w:val="0"/>
              <w:divBdr>
                <w:top w:val="none" w:sz="0" w:space="0" w:color="auto"/>
                <w:left w:val="none" w:sz="0" w:space="0" w:color="auto"/>
                <w:bottom w:val="none" w:sz="0" w:space="0" w:color="auto"/>
                <w:right w:val="none" w:sz="0" w:space="0" w:color="auto"/>
              </w:divBdr>
            </w:div>
          </w:divsChild>
        </w:div>
        <w:div w:id="1887250777">
          <w:marLeft w:val="0"/>
          <w:marRight w:val="0"/>
          <w:marTop w:val="34"/>
          <w:marBottom w:val="10"/>
          <w:divBdr>
            <w:top w:val="none" w:sz="0" w:space="0" w:color="auto"/>
            <w:left w:val="none" w:sz="0" w:space="0" w:color="auto"/>
            <w:bottom w:val="none" w:sz="0" w:space="0" w:color="auto"/>
            <w:right w:val="none" w:sz="0" w:space="0" w:color="auto"/>
          </w:divBdr>
          <w:divsChild>
            <w:div w:id="150220983">
              <w:marLeft w:val="0"/>
              <w:marRight w:val="0"/>
              <w:marTop w:val="0"/>
              <w:marBottom w:val="0"/>
              <w:divBdr>
                <w:top w:val="none" w:sz="0" w:space="0" w:color="auto"/>
                <w:left w:val="none" w:sz="0" w:space="0" w:color="auto"/>
                <w:bottom w:val="none" w:sz="0" w:space="0" w:color="auto"/>
                <w:right w:val="none" w:sz="0" w:space="0" w:color="auto"/>
              </w:divBdr>
            </w:div>
          </w:divsChild>
        </w:div>
        <w:div w:id="1888032072">
          <w:marLeft w:val="0"/>
          <w:marRight w:val="0"/>
          <w:marTop w:val="34"/>
          <w:marBottom w:val="10"/>
          <w:divBdr>
            <w:top w:val="none" w:sz="0" w:space="0" w:color="auto"/>
            <w:left w:val="none" w:sz="0" w:space="0" w:color="auto"/>
            <w:bottom w:val="none" w:sz="0" w:space="0" w:color="auto"/>
            <w:right w:val="none" w:sz="0" w:space="0" w:color="auto"/>
          </w:divBdr>
        </w:div>
        <w:div w:id="1893230442">
          <w:marLeft w:val="0"/>
          <w:marRight w:val="0"/>
          <w:marTop w:val="34"/>
          <w:marBottom w:val="10"/>
          <w:divBdr>
            <w:top w:val="none" w:sz="0" w:space="0" w:color="auto"/>
            <w:left w:val="none" w:sz="0" w:space="0" w:color="auto"/>
            <w:bottom w:val="none" w:sz="0" w:space="0" w:color="auto"/>
            <w:right w:val="none" w:sz="0" w:space="0" w:color="auto"/>
          </w:divBdr>
          <w:divsChild>
            <w:div w:id="400760854">
              <w:marLeft w:val="0"/>
              <w:marRight w:val="0"/>
              <w:marTop w:val="0"/>
              <w:marBottom w:val="0"/>
              <w:divBdr>
                <w:top w:val="none" w:sz="0" w:space="0" w:color="auto"/>
                <w:left w:val="none" w:sz="0" w:space="0" w:color="auto"/>
                <w:bottom w:val="none" w:sz="0" w:space="0" w:color="auto"/>
                <w:right w:val="none" w:sz="0" w:space="0" w:color="auto"/>
              </w:divBdr>
            </w:div>
          </w:divsChild>
        </w:div>
        <w:div w:id="1896506495">
          <w:marLeft w:val="0"/>
          <w:marRight w:val="0"/>
          <w:marTop w:val="34"/>
          <w:marBottom w:val="10"/>
          <w:divBdr>
            <w:top w:val="none" w:sz="0" w:space="0" w:color="auto"/>
            <w:left w:val="none" w:sz="0" w:space="0" w:color="auto"/>
            <w:bottom w:val="none" w:sz="0" w:space="0" w:color="auto"/>
            <w:right w:val="none" w:sz="0" w:space="0" w:color="auto"/>
          </w:divBdr>
          <w:divsChild>
            <w:div w:id="570391517">
              <w:marLeft w:val="0"/>
              <w:marRight w:val="0"/>
              <w:marTop w:val="0"/>
              <w:marBottom w:val="0"/>
              <w:divBdr>
                <w:top w:val="none" w:sz="0" w:space="0" w:color="auto"/>
                <w:left w:val="none" w:sz="0" w:space="0" w:color="auto"/>
                <w:bottom w:val="none" w:sz="0" w:space="0" w:color="auto"/>
                <w:right w:val="none" w:sz="0" w:space="0" w:color="auto"/>
              </w:divBdr>
            </w:div>
          </w:divsChild>
        </w:div>
        <w:div w:id="1897811137">
          <w:marLeft w:val="0"/>
          <w:marRight w:val="0"/>
          <w:marTop w:val="34"/>
          <w:marBottom w:val="10"/>
          <w:divBdr>
            <w:top w:val="none" w:sz="0" w:space="0" w:color="auto"/>
            <w:left w:val="none" w:sz="0" w:space="0" w:color="auto"/>
            <w:bottom w:val="none" w:sz="0" w:space="0" w:color="auto"/>
            <w:right w:val="none" w:sz="0" w:space="0" w:color="auto"/>
          </w:divBdr>
        </w:div>
        <w:div w:id="1901475014">
          <w:marLeft w:val="0"/>
          <w:marRight w:val="0"/>
          <w:marTop w:val="34"/>
          <w:marBottom w:val="10"/>
          <w:divBdr>
            <w:top w:val="none" w:sz="0" w:space="0" w:color="auto"/>
            <w:left w:val="none" w:sz="0" w:space="0" w:color="auto"/>
            <w:bottom w:val="none" w:sz="0" w:space="0" w:color="auto"/>
            <w:right w:val="none" w:sz="0" w:space="0" w:color="auto"/>
          </w:divBdr>
          <w:divsChild>
            <w:div w:id="883833689">
              <w:marLeft w:val="0"/>
              <w:marRight w:val="0"/>
              <w:marTop w:val="0"/>
              <w:marBottom w:val="0"/>
              <w:divBdr>
                <w:top w:val="none" w:sz="0" w:space="0" w:color="auto"/>
                <w:left w:val="none" w:sz="0" w:space="0" w:color="auto"/>
                <w:bottom w:val="none" w:sz="0" w:space="0" w:color="auto"/>
                <w:right w:val="none" w:sz="0" w:space="0" w:color="auto"/>
              </w:divBdr>
            </w:div>
          </w:divsChild>
        </w:div>
        <w:div w:id="1901596602">
          <w:marLeft w:val="0"/>
          <w:marRight w:val="0"/>
          <w:marTop w:val="34"/>
          <w:marBottom w:val="10"/>
          <w:divBdr>
            <w:top w:val="none" w:sz="0" w:space="0" w:color="auto"/>
            <w:left w:val="none" w:sz="0" w:space="0" w:color="auto"/>
            <w:bottom w:val="none" w:sz="0" w:space="0" w:color="auto"/>
            <w:right w:val="none" w:sz="0" w:space="0" w:color="auto"/>
          </w:divBdr>
          <w:divsChild>
            <w:div w:id="467405374">
              <w:marLeft w:val="0"/>
              <w:marRight w:val="0"/>
              <w:marTop w:val="0"/>
              <w:marBottom w:val="0"/>
              <w:divBdr>
                <w:top w:val="none" w:sz="0" w:space="0" w:color="auto"/>
                <w:left w:val="none" w:sz="0" w:space="0" w:color="auto"/>
                <w:bottom w:val="none" w:sz="0" w:space="0" w:color="auto"/>
                <w:right w:val="none" w:sz="0" w:space="0" w:color="auto"/>
              </w:divBdr>
            </w:div>
          </w:divsChild>
        </w:div>
        <w:div w:id="1904900757">
          <w:marLeft w:val="0"/>
          <w:marRight w:val="0"/>
          <w:marTop w:val="34"/>
          <w:marBottom w:val="10"/>
          <w:divBdr>
            <w:top w:val="none" w:sz="0" w:space="0" w:color="auto"/>
            <w:left w:val="none" w:sz="0" w:space="0" w:color="auto"/>
            <w:bottom w:val="none" w:sz="0" w:space="0" w:color="auto"/>
            <w:right w:val="none" w:sz="0" w:space="0" w:color="auto"/>
          </w:divBdr>
          <w:divsChild>
            <w:div w:id="244606956">
              <w:marLeft w:val="0"/>
              <w:marRight w:val="0"/>
              <w:marTop w:val="0"/>
              <w:marBottom w:val="0"/>
              <w:divBdr>
                <w:top w:val="none" w:sz="0" w:space="0" w:color="auto"/>
                <w:left w:val="none" w:sz="0" w:space="0" w:color="auto"/>
                <w:bottom w:val="none" w:sz="0" w:space="0" w:color="auto"/>
                <w:right w:val="none" w:sz="0" w:space="0" w:color="auto"/>
              </w:divBdr>
            </w:div>
          </w:divsChild>
        </w:div>
        <w:div w:id="1911425708">
          <w:marLeft w:val="0"/>
          <w:marRight w:val="0"/>
          <w:marTop w:val="34"/>
          <w:marBottom w:val="10"/>
          <w:divBdr>
            <w:top w:val="none" w:sz="0" w:space="0" w:color="auto"/>
            <w:left w:val="none" w:sz="0" w:space="0" w:color="auto"/>
            <w:bottom w:val="none" w:sz="0" w:space="0" w:color="auto"/>
            <w:right w:val="none" w:sz="0" w:space="0" w:color="auto"/>
          </w:divBdr>
          <w:divsChild>
            <w:div w:id="2059553426">
              <w:marLeft w:val="0"/>
              <w:marRight w:val="0"/>
              <w:marTop w:val="0"/>
              <w:marBottom w:val="0"/>
              <w:divBdr>
                <w:top w:val="none" w:sz="0" w:space="0" w:color="auto"/>
                <w:left w:val="none" w:sz="0" w:space="0" w:color="auto"/>
                <w:bottom w:val="none" w:sz="0" w:space="0" w:color="auto"/>
                <w:right w:val="none" w:sz="0" w:space="0" w:color="auto"/>
              </w:divBdr>
            </w:div>
          </w:divsChild>
        </w:div>
        <w:div w:id="1912737352">
          <w:marLeft w:val="0"/>
          <w:marRight w:val="0"/>
          <w:marTop w:val="34"/>
          <w:marBottom w:val="10"/>
          <w:divBdr>
            <w:top w:val="none" w:sz="0" w:space="0" w:color="auto"/>
            <w:left w:val="none" w:sz="0" w:space="0" w:color="auto"/>
            <w:bottom w:val="none" w:sz="0" w:space="0" w:color="auto"/>
            <w:right w:val="none" w:sz="0" w:space="0" w:color="auto"/>
          </w:divBdr>
        </w:div>
        <w:div w:id="1931575090">
          <w:marLeft w:val="0"/>
          <w:marRight w:val="0"/>
          <w:marTop w:val="34"/>
          <w:marBottom w:val="10"/>
          <w:divBdr>
            <w:top w:val="none" w:sz="0" w:space="0" w:color="auto"/>
            <w:left w:val="none" w:sz="0" w:space="0" w:color="auto"/>
            <w:bottom w:val="none" w:sz="0" w:space="0" w:color="auto"/>
            <w:right w:val="none" w:sz="0" w:space="0" w:color="auto"/>
          </w:divBdr>
        </w:div>
        <w:div w:id="1945457128">
          <w:marLeft w:val="0"/>
          <w:marRight w:val="0"/>
          <w:marTop w:val="34"/>
          <w:marBottom w:val="10"/>
          <w:divBdr>
            <w:top w:val="none" w:sz="0" w:space="0" w:color="auto"/>
            <w:left w:val="none" w:sz="0" w:space="0" w:color="auto"/>
            <w:bottom w:val="none" w:sz="0" w:space="0" w:color="auto"/>
            <w:right w:val="none" w:sz="0" w:space="0" w:color="auto"/>
          </w:divBdr>
          <w:divsChild>
            <w:div w:id="1809085077">
              <w:marLeft w:val="0"/>
              <w:marRight w:val="0"/>
              <w:marTop w:val="0"/>
              <w:marBottom w:val="0"/>
              <w:divBdr>
                <w:top w:val="none" w:sz="0" w:space="0" w:color="auto"/>
                <w:left w:val="none" w:sz="0" w:space="0" w:color="auto"/>
                <w:bottom w:val="none" w:sz="0" w:space="0" w:color="auto"/>
                <w:right w:val="none" w:sz="0" w:space="0" w:color="auto"/>
              </w:divBdr>
            </w:div>
          </w:divsChild>
        </w:div>
        <w:div w:id="1945726596">
          <w:marLeft w:val="0"/>
          <w:marRight w:val="0"/>
          <w:marTop w:val="34"/>
          <w:marBottom w:val="10"/>
          <w:divBdr>
            <w:top w:val="none" w:sz="0" w:space="0" w:color="auto"/>
            <w:left w:val="none" w:sz="0" w:space="0" w:color="auto"/>
            <w:bottom w:val="none" w:sz="0" w:space="0" w:color="auto"/>
            <w:right w:val="none" w:sz="0" w:space="0" w:color="auto"/>
          </w:divBdr>
          <w:divsChild>
            <w:div w:id="1733043706">
              <w:marLeft w:val="0"/>
              <w:marRight w:val="0"/>
              <w:marTop w:val="0"/>
              <w:marBottom w:val="0"/>
              <w:divBdr>
                <w:top w:val="none" w:sz="0" w:space="0" w:color="auto"/>
                <w:left w:val="none" w:sz="0" w:space="0" w:color="auto"/>
                <w:bottom w:val="none" w:sz="0" w:space="0" w:color="auto"/>
                <w:right w:val="none" w:sz="0" w:space="0" w:color="auto"/>
              </w:divBdr>
            </w:div>
          </w:divsChild>
        </w:div>
        <w:div w:id="1947930407">
          <w:marLeft w:val="0"/>
          <w:marRight w:val="0"/>
          <w:marTop w:val="34"/>
          <w:marBottom w:val="10"/>
          <w:divBdr>
            <w:top w:val="none" w:sz="0" w:space="0" w:color="auto"/>
            <w:left w:val="none" w:sz="0" w:space="0" w:color="auto"/>
            <w:bottom w:val="none" w:sz="0" w:space="0" w:color="auto"/>
            <w:right w:val="none" w:sz="0" w:space="0" w:color="auto"/>
          </w:divBdr>
          <w:divsChild>
            <w:div w:id="1950382552">
              <w:marLeft w:val="0"/>
              <w:marRight w:val="0"/>
              <w:marTop w:val="0"/>
              <w:marBottom w:val="0"/>
              <w:divBdr>
                <w:top w:val="none" w:sz="0" w:space="0" w:color="auto"/>
                <w:left w:val="none" w:sz="0" w:space="0" w:color="auto"/>
                <w:bottom w:val="none" w:sz="0" w:space="0" w:color="auto"/>
                <w:right w:val="none" w:sz="0" w:space="0" w:color="auto"/>
              </w:divBdr>
            </w:div>
          </w:divsChild>
        </w:div>
        <w:div w:id="1952198549">
          <w:marLeft w:val="0"/>
          <w:marRight w:val="0"/>
          <w:marTop w:val="0"/>
          <w:marBottom w:val="0"/>
          <w:divBdr>
            <w:top w:val="none" w:sz="0" w:space="0" w:color="auto"/>
            <w:left w:val="none" w:sz="0" w:space="0" w:color="auto"/>
            <w:bottom w:val="none" w:sz="0" w:space="0" w:color="auto"/>
            <w:right w:val="none" w:sz="0" w:space="0" w:color="auto"/>
          </w:divBdr>
        </w:div>
        <w:div w:id="1955818934">
          <w:marLeft w:val="0"/>
          <w:marRight w:val="0"/>
          <w:marTop w:val="34"/>
          <w:marBottom w:val="10"/>
          <w:divBdr>
            <w:top w:val="none" w:sz="0" w:space="0" w:color="auto"/>
            <w:left w:val="none" w:sz="0" w:space="0" w:color="auto"/>
            <w:bottom w:val="none" w:sz="0" w:space="0" w:color="auto"/>
            <w:right w:val="none" w:sz="0" w:space="0" w:color="auto"/>
          </w:divBdr>
          <w:divsChild>
            <w:div w:id="2036081646">
              <w:marLeft w:val="0"/>
              <w:marRight w:val="0"/>
              <w:marTop w:val="0"/>
              <w:marBottom w:val="0"/>
              <w:divBdr>
                <w:top w:val="none" w:sz="0" w:space="0" w:color="auto"/>
                <w:left w:val="none" w:sz="0" w:space="0" w:color="auto"/>
                <w:bottom w:val="none" w:sz="0" w:space="0" w:color="auto"/>
                <w:right w:val="none" w:sz="0" w:space="0" w:color="auto"/>
              </w:divBdr>
            </w:div>
          </w:divsChild>
        </w:div>
        <w:div w:id="1958444928">
          <w:marLeft w:val="0"/>
          <w:marRight w:val="0"/>
          <w:marTop w:val="34"/>
          <w:marBottom w:val="10"/>
          <w:divBdr>
            <w:top w:val="none" w:sz="0" w:space="0" w:color="auto"/>
            <w:left w:val="none" w:sz="0" w:space="0" w:color="auto"/>
            <w:bottom w:val="none" w:sz="0" w:space="0" w:color="auto"/>
            <w:right w:val="none" w:sz="0" w:space="0" w:color="auto"/>
          </w:divBdr>
          <w:divsChild>
            <w:div w:id="2131238046">
              <w:marLeft w:val="0"/>
              <w:marRight w:val="0"/>
              <w:marTop w:val="0"/>
              <w:marBottom w:val="0"/>
              <w:divBdr>
                <w:top w:val="none" w:sz="0" w:space="0" w:color="auto"/>
                <w:left w:val="none" w:sz="0" w:space="0" w:color="auto"/>
                <w:bottom w:val="none" w:sz="0" w:space="0" w:color="auto"/>
                <w:right w:val="none" w:sz="0" w:space="0" w:color="auto"/>
              </w:divBdr>
            </w:div>
          </w:divsChild>
        </w:div>
        <w:div w:id="1964381806">
          <w:marLeft w:val="0"/>
          <w:marRight w:val="0"/>
          <w:marTop w:val="34"/>
          <w:marBottom w:val="10"/>
          <w:divBdr>
            <w:top w:val="none" w:sz="0" w:space="0" w:color="auto"/>
            <w:left w:val="none" w:sz="0" w:space="0" w:color="auto"/>
            <w:bottom w:val="none" w:sz="0" w:space="0" w:color="auto"/>
            <w:right w:val="none" w:sz="0" w:space="0" w:color="auto"/>
          </w:divBdr>
          <w:divsChild>
            <w:div w:id="23749912">
              <w:marLeft w:val="0"/>
              <w:marRight w:val="0"/>
              <w:marTop w:val="0"/>
              <w:marBottom w:val="0"/>
              <w:divBdr>
                <w:top w:val="none" w:sz="0" w:space="0" w:color="auto"/>
                <w:left w:val="none" w:sz="0" w:space="0" w:color="auto"/>
                <w:bottom w:val="none" w:sz="0" w:space="0" w:color="auto"/>
                <w:right w:val="none" w:sz="0" w:space="0" w:color="auto"/>
              </w:divBdr>
            </w:div>
          </w:divsChild>
        </w:div>
        <w:div w:id="1982080175">
          <w:marLeft w:val="0"/>
          <w:marRight w:val="0"/>
          <w:marTop w:val="34"/>
          <w:marBottom w:val="10"/>
          <w:divBdr>
            <w:top w:val="none" w:sz="0" w:space="0" w:color="auto"/>
            <w:left w:val="none" w:sz="0" w:space="0" w:color="auto"/>
            <w:bottom w:val="none" w:sz="0" w:space="0" w:color="auto"/>
            <w:right w:val="none" w:sz="0" w:space="0" w:color="auto"/>
          </w:divBdr>
          <w:divsChild>
            <w:div w:id="2128962456">
              <w:marLeft w:val="0"/>
              <w:marRight w:val="0"/>
              <w:marTop w:val="0"/>
              <w:marBottom w:val="0"/>
              <w:divBdr>
                <w:top w:val="none" w:sz="0" w:space="0" w:color="auto"/>
                <w:left w:val="none" w:sz="0" w:space="0" w:color="auto"/>
                <w:bottom w:val="none" w:sz="0" w:space="0" w:color="auto"/>
                <w:right w:val="none" w:sz="0" w:space="0" w:color="auto"/>
              </w:divBdr>
            </w:div>
          </w:divsChild>
        </w:div>
        <w:div w:id="1990865697">
          <w:marLeft w:val="0"/>
          <w:marRight w:val="0"/>
          <w:marTop w:val="34"/>
          <w:marBottom w:val="10"/>
          <w:divBdr>
            <w:top w:val="none" w:sz="0" w:space="0" w:color="auto"/>
            <w:left w:val="none" w:sz="0" w:space="0" w:color="auto"/>
            <w:bottom w:val="none" w:sz="0" w:space="0" w:color="auto"/>
            <w:right w:val="none" w:sz="0" w:space="0" w:color="auto"/>
          </w:divBdr>
          <w:divsChild>
            <w:div w:id="506016081">
              <w:marLeft w:val="0"/>
              <w:marRight w:val="0"/>
              <w:marTop w:val="0"/>
              <w:marBottom w:val="0"/>
              <w:divBdr>
                <w:top w:val="none" w:sz="0" w:space="0" w:color="auto"/>
                <w:left w:val="none" w:sz="0" w:space="0" w:color="auto"/>
                <w:bottom w:val="none" w:sz="0" w:space="0" w:color="auto"/>
                <w:right w:val="none" w:sz="0" w:space="0" w:color="auto"/>
              </w:divBdr>
            </w:div>
          </w:divsChild>
        </w:div>
        <w:div w:id="1991907823">
          <w:marLeft w:val="0"/>
          <w:marRight w:val="0"/>
          <w:marTop w:val="34"/>
          <w:marBottom w:val="10"/>
          <w:divBdr>
            <w:top w:val="none" w:sz="0" w:space="0" w:color="auto"/>
            <w:left w:val="none" w:sz="0" w:space="0" w:color="auto"/>
            <w:bottom w:val="none" w:sz="0" w:space="0" w:color="auto"/>
            <w:right w:val="none" w:sz="0" w:space="0" w:color="auto"/>
          </w:divBdr>
          <w:divsChild>
            <w:div w:id="1106461383">
              <w:marLeft w:val="0"/>
              <w:marRight w:val="0"/>
              <w:marTop w:val="0"/>
              <w:marBottom w:val="0"/>
              <w:divBdr>
                <w:top w:val="none" w:sz="0" w:space="0" w:color="auto"/>
                <w:left w:val="none" w:sz="0" w:space="0" w:color="auto"/>
                <w:bottom w:val="none" w:sz="0" w:space="0" w:color="auto"/>
                <w:right w:val="none" w:sz="0" w:space="0" w:color="auto"/>
              </w:divBdr>
            </w:div>
          </w:divsChild>
        </w:div>
        <w:div w:id="1993020842">
          <w:marLeft w:val="0"/>
          <w:marRight w:val="0"/>
          <w:marTop w:val="34"/>
          <w:marBottom w:val="10"/>
          <w:divBdr>
            <w:top w:val="none" w:sz="0" w:space="0" w:color="auto"/>
            <w:left w:val="none" w:sz="0" w:space="0" w:color="auto"/>
            <w:bottom w:val="none" w:sz="0" w:space="0" w:color="auto"/>
            <w:right w:val="none" w:sz="0" w:space="0" w:color="auto"/>
          </w:divBdr>
        </w:div>
        <w:div w:id="1993218280">
          <w:marLeft w:val="0"/>
          <w:marRight w:val="0"/>
          <w:marTop w:val="34"/>
          <w:marBottom w:val="10"/>
          <w:divBdr>
            <w:top w:val="none" w:sz="0" w:space="0" w:color="auto"/>
            <w:left w:val="none" w:sz="0" w:space="0" w:color="auto"/>
            <w:bottom w:val="none" w:sz="0" w:space="0" w:color="auto"/>
            <w:right w:val="none" w:sz="0" w:space="0" w:color="auto"/>
          </w:divBdr>
          <w:divsChild>
            <w:div w:id="786310456">
              <w:marLeft w:val="0"/>
              <w:marRight w:val="0"/>
              <w:marTop w:val="0"/>
              <w:marBottom w:val="0"/>
              <w:divBdr>
                <w:top w:val="none" w:sz="0" w:space="0" w:color="auto"/>
                <w:left w:val="none" w:sz="0" w:space="0" w:color="auto"/>
                <w:bottom w:val="none" w:sz="0" w:space="0" w:color="auto"/>
                <w:right w:val="none" w:sz="0" w:space="0" w:color="auto"/>
              </w:divBdr>
            </w:div>
          </w:divsChild>
        </w:div>
        <w:div w:id="1993875550">
          <w:marLeft w:val="0"/>
          <w:marRight w:val="0"/>
          <w:marTop w:val="34"/>
          <w:marBottom w:val="10"/>
          <w:divBdr>
            <w:top w:val="none" w:sz="0" w:space="0" w:color="auto"/>
            <w:left w:val="none" w:sz="0" w:space="0" w:color="auto"/>
            <w:bottom w:val="none" w:sz="0" w:space="0" w:color="auto"/>
            <w:right w:val="none" w:sz="0" w:space="0" w:color="auto"/>
          </w:divBdr>
          <w:divsChild>
            <w:div w:id="1169442724">
              <w:marLeft w:val="0"/>
              <w:marRight w:val="0"/>
              <w:marTop w:val="0"/>
              <w:marBottom w:val="0"/>
              <w:divBdr>
                <w:top w:val="none" w:sz="0" w:space="0" w:color="auto"/>
                <w:left w:val="none" w:sz="0" w:space="0" w:color="auto"/>
                <w:bottom w:val="none" w:sz="0" w:space="0" w:color="auto"/>
                <w:right w:val="none" w:sz="0" w:space="0" w:color="auto"/>
              </w:divBdr>
            </w:div>
          </w:divsChild>
        </w:div>
        <w:div w:id="1995865558">
          <w:marLeft w:val="0"/>
          <w:marRight w:val="0"/>
          <w:marTop w:val="0"/>
          <w:marBottom w:val="0"/>
          <w:divBdr>
            <w:top w:val="none" w:sz="0" w:space="0" w:color="auto"/>
            <w:left w:val="none" w:sz="0" w:space="0" w:color="auto"/>
            <w:bottom w:val="none" w:sz="0" w:space="0" w:color="auto"/>
            <w:right w:val="none" w:sz="0" w:space="0" w:color="auto"/>
          </w:divBdr>
        </w:div>
        <w:div w:id="1999117374">
          <w:marLeft w:val="0"/>
          <w:marRight w:val="0"/>
          <w:marTop w:val="34"/>
          <w:marBottom w:val="10"/>
          <w:divBdr>
            <w:top w:val="none" w:sz="0" w:space="0" w:color="auto"/>
            <w:left w:val="none" w:sz="0" w:space="0" w:color="auto"/>
            <w:bottom w:val="none" w:sz="0" w:space="0" w:color="auto"/>
            <w:right w:val="none" w:sz="0" w:space="0" w:color="auto"/>
          </w:divBdr>
          <w:divsChild>
            <w:div w:id="1804886556">
              <w:marLeft w:val="0"/>
              <w:marRight w:val="0"/>
              <w:marTop w:val="0"/>
              <w:marBottom w:val="0"/>
              <w:divBdr>
                <w:top w:val="none" w:sz="0" w:space="0" w:color="auto"/>
                <w:left w:val="none" w:sz="0" w:space="0" w:color="auto"/>
                <w:bottom w:val="none" w:sz="0" w:space="0" w:color="auto"/>
                <w:right w:val="none" w:sz="0" w:space="0" w:color="auto"/>
              </w:divBdr>
            </w:div>
          </w:divsChild>
        </w:div>
        <w:div w:id="2017658296">
          <w:marLeft w:val="0"/>
          <w:marRight w:val="0"/>
          <w:marTop w:val="34"/>
          <w:marBottom w:val="10"/>
          <w:divBdr>
            <w:top w:val="none" w:sz="0" w:space="0" w:color="auto"/>
            <w:left w:val="none" w:sz="0" w:space="0" w:color="auto"/>
            <w:bottom w:val="none" w:sz="0" w:space="0" w:color="auto"/>
            <w:right w:val="none" w:sz="0" w:space="0" w:color="auto"/>
          </w:divBdr>
        </w:div>
        <w:div w:id="2017683446">
          <w:marLeft w:val="0"/>
          <w:marRight w:val="0"/>
          <w:marTop w:val="34"/>
          <w:marBottom w:val="10"/>
          <w:divBdr>
            <w:top w:val="none" w:sz="0" w:space="0" w:color="auto"/>
            <w:left w:val="none" w:sz="0" w:space="0" w:color="auto"/>
            <w:bottom w:val="none" w:sz="0" w:space="0" w:color="auto"/>
            <w:right w:val="none" w:sz="0" w:space="0" w:color="auto"/>
          </w:divBdr>
          <w:divsChild>
            <w:div w:id="486751653">
              <w:marLeft w:val="0"/>
              <w:marRight w:val="0"/>
              <w:marTop w:val="0"/>
              <w:marBottom w:val="0"/>
              <w:divBdr>
                <w:top w:val="none" w:sz="0" w:space="0" w:color="auto"/>
                <w:left w:val="none" w:sz="0" w:space="0" w:color="auto"/>
                <w:bottom w:val="none" w:sz="0" w:space="0" w:color="auto"/>
                <w:right w:val="none" w:sz="0" w:space="0" w:color="auto"/>
              </w:divBdr>
            </w:div>
          </w:divsChild>
        </w:div>
        <w:div w:id="2022512799">
          <w:marLeft w:val="0"/>
          <w:marRight w:val="0"/>
          <w:marTop w:val="34"/>
          <w:marBottom w:val="10"/>
          <w:divBdr>
            <w:top w:val="none" w:sz="0" w:space="0" w:color="auto"/>
            <w:left w:val="none" w:sz="0" w:space="0" w:color="auto"/>
            <w:bottom w:val="none" w:sz="0" w:space="0" w:color="auto"/>
            <w:right w:val="none" w:sz="0" w:space="0" w:color="auto"/>
          </w:divBdr>
          <w:divsChild>
            <w:div w:id="2100641376">
              <w:marLeft w:val="0"/>
              <w:marRight w:val="0"/>
              <w:marTop w:val="0"/>
              <w:marBottom w:val="0"/>
              <w:divBdr>
                <w:top w:val="none" w:sz="0" w:space="0" w:color="auto"/>
                <w:left w:val="none" w:sz="0" w:space="0" w:color="auto"/>
                <w:bottom w:val="none" w:sz="0" w:space="0" w:color="auto"/>
                <w:right w:val="none" w:sz="0" w:space="0" w:color="auto"/>
              </w:divBdr>
            </w:div>
          </w:divsChild>
        </w:div>
        <w:div w:id="2022928189">
          <w:marLeft w:val="0"/>
          <w:marRight w:val="0"/>
          <w:marTop w:val="34"/>
          <w:marBottom w:val="10"/>
          <w:divBdr>
            <w:top w:val="none" w:sz="0" w:space="0" w:color="auto"/>
            <w:left w:val="none" w:sz="0" w:space="0" w:color="auto"/>
            <w:bottom w:val="none" w:sz="0" w:space="0" w:color="auto"/>
            <w:right w:val="none" w:sz="0" w:space="0" w:color="auto"/>
          </w:divBdr>
          <w:divsChild>
            <w:div w:id="1992558259">
              <w:marLeft w:val="0"/>
              <w:marRight w:val="0"/>
              <w:marTop w:val="0"/>
              <w:marBottom w:val="0"/>
              <w:divBdr>
                <w:top w:val="none" w:sz="0" w:space="0" w:color="auto"/>
                <w:left w:val="none" w:sz="0" w:space="0" w:color="auto"/>
                <w:bottom w:val="none" w:sz="0" w:space="0" w:color="auto"/>
                <w:right w:val="none" w:sz="0" w:space="0" w:color="auto"/>
              </w:divBdr>
            </w:div>
          </w:divsChild>
        </w:div>
        <w:div w:id="2024551536">
          <w:marLeft w:val="0"/>
          <w:marRight w:val="0"/>
          <w:marTop w:val="34"/>
          <w:marBottom w:val="10"/>
          <w:divBdr>
            <w:top w:val="none" w:sz="0" w:space="0" w:color="auto"/>
            <w:left w:val="none" w:sz="0" w:space="0" w:color="auto"/>
            <w:bottom w:val="none" w:sz="0" w:space="0" w:color="auto"/>
            <w:right w:val="none" w:sz="0" w:space="0" w:color="auto"/>
          </w:divBdr>
          <w:divsChild>
            <w:div w:id="1767580260">
              <w:marLeft w:val="0"/>
              <w:marRight w:val="0"/>
              <w:marTop w:val="0"/>
              <w:marBottom w:val="0"/>
              <w:divBdr>
                <w:top w:val="none" w:sz="0" w:space="0" w:color="auto"/>
                <w:left w:val="none" w:sz="0" w:space="0" w:color="auto"/>
                <w:bottom w:val="none" w:sz="0" w:space="0" w:color="auto"/>
                <w:right w:val="none" w:sz="0" w:space="0" w:color="auto"/>
              </w:divBdr>
            </w:div>
          </w:divsChild>
        </w:div>
        <w:div w:id="2040618362">
          <w:marLeft w:val="0"/>
          <w:marRight w:val="0"/>
          <w:marTop w:val="34"/>
          <w:marBottom w:val="10"/>
          <w:divBdr>
            <w:top w:val="none" w:sz="0" w:space="0" w:color="auto"/>
            <w:left w:val="none" w:sz="0" w:space="0" w:color="auto"/>
            <w:bottom w:val="none" w:sz="0" w:space="0" w:color="auto"/>
            <w:right w:val="none" w:sz="0" w:space="0" w:color="auto"/>
          </w:divBdr>
          <w:divsChild>
            <w:div w:id="236061109">
              <w:marLeft w:val="0"/>
              <w:marRight w:val="0"/>
              <w:marTop w:val="0"/>
              <w:marBottom w:val="0"/>
              <w:divBdr>
                <w:top w:val="none" w:sz="0" w:space="0" w:color="auto"/>
                <w:left w:val="none" w:sz="0" w:space="0" w:color="auto"/>
                <w:bottom w:val="none" w:sz="0" w:space="0" w:color="auto"/>
                <w:right w:val="none" w:sz="0" w:space="0" w:color="auto"/>
              </w:divBdr>
            </w:div>
          </w:divsChild>
        </w:div>
        <w:div w:id="2041012320">
          <w:marLeft w:val="0"/>
          <w:marRight w:val="0"/>
          <w:marTop w:val="34"/>
          <w:marBottom w:val="10"/>
          <w:divBdr>
            <w:top w:val="none" w:sz="0" w:space="0" w:color="auto"/>
            <w:left w:val="none" w:sz="0" w:space="0" w:color="auto"/>
            <w:bottom w:val="none" w:sz="0" w:space="0" w:color="auto"/>
            <w:right w:val="none" w:sz="0" w:space="0" w:color="auto"/>
          </w:divBdr>
          <w:divsChild>
            <w:div w:id="339241291">
              <w:marLeft w:val="0"/>
              <w:marRight w:val="0"/>
              <w:marTop w:val="0"/>
              <w:marBottom w:val="0"/>
              <w:divBdr>
                <w:top w:val="none" w:sz="0" w:space="0" w:color="auto"/>
                <w:left w:val="none" w:sz="0" w:space="0" w:color="auto"/>
                <w:bottom w:val="none" w:sz="0" w:space="0" w:color="auto"/>
                <w:right w:val="none" w:sz="0" w:space="0" w:color="auto"/>
              </w:divBdr>
            </w:div>
          </w:divsChild>
        </w:div>
        <w:div w:id="2043509035">
          <w:marLeft w:val="0"/>
          <w:marRight w:val="0"/>
          <w:marTop w:val="34"/>
          <w:marBottom w:val="10"/>
          <w:divBdr>
            <w:top w:val="none" w:sz="0" w:space="0" w:color="auto"/>
            <w:left w:val="none" w:sz="0" w:space="0" w:color="auto"/>
            <w:bottom w:val="none" w:sz="0" w:space="0" w:color="auto"/>
            <w:right w:val="none" w:sz="0" w:space="0" w:color="auto"/>
          </w:divBdr>
          <w:divsChild>
            <w:div w:id="288360141">
              <w:marLeft w:val="0"/>
              <w:marRight w:val="0"/>
              <w:marTop w:val="0"/>
              <w:marBottom w:val="0"/>
              <w:divBdr>
                <w:top w:val="none" w:sz="0" w:space="0" w:color="auto"/>
                <w:left w:val="none" w:sz="0" w:space="0" w:color="auto"/>
                <w:bottom w:val="none" w:sz="0" w:space="0" w:color="auto"/>
                <w:right w:val="none" w:sz="0" w:space="0" w:color="auto"/>
              </w:divBdr>
            </w:div>
          </w:divsChild>
        </w:div>
        <w:div w:id="2049140326">
          <w:marLeft w:val="0"/>
          <w:marRight w:val="0"/>
          <w:marTop w:val="34"/>
          <w:marBottom w:val="10"/>
          <w:divBdr>
            <w:top w:val="none" w:sz="0" w:space="0" w:color="auto"/>
            <w:left w:val="none" w:sz="0" w:space="0" w:color="auto"/>
            <w:bottom w:val="none" w:sz="0" w:space="0" w:color="auto"/>
            <w:right w:val="none" w:sz="0" w:space="0" w:color="auto"/>
          </w:divBdr>
          <w:divsChild>
            <w:div w:id="1399092202">
              <w:marLeft w:val="0"/>
              <w:marRight w:val="0"/>
              <w:marTop w:val="0"/>
              <w:marBottom w:val="0"/>
              <w:divBdr>
                <w:top w:val="none" w:sz="0" w:space="0" w:color="auto"/>
                <w:left w:val="none" w:sz="0" w:space="0" w:color="auto"/>
                <w:bottom w:val="none" w:sz="0" w:space="0" w:color="auto"/>
                <w:right w:val="none" w:sz="0" w:space="0" w:color="auto"/>
              </w:divBdr>
            </w:div>
          </w:divsChild>
        </w:div>
        <w:div w:id="2061323896">
          <w:marLeft w:val="0"/>
          <w:marRight w:val="0"/>
          <w:marTop w:val="34"/>
          <w:marBottom w:val="10"/>
          <w:divBdr>
            <w:top w:val="none" w:sz="0" w:space="0" w:color="auto"/>
            <w:left w:val="none" w:sz="0" w:space="0" w:color="auto"/>
            <w:bottom w:val="none" w:sz="0" w:space="0" w:color="auto"/>
            <w:right w:val="none" w:sz="0" w:space="0" w:color="auto"/>
          </w:divBdr>
          <w:divsChild>
            <w:div w:id="923607032">
              <w:marLeft w:val="0"/>
              <w:marRight w:val="0"/>
              <w:marTop w:val="0"/>
              <w:marBottom w:val="0"/>
              <w:divBdr>
                <w:top w:val="none" w:sz="0" w:space="0" w:color="auto"/>
                <w:left w:val="none" w:sz="0" w:space="0" w:color="auto"/>
                <w:bottom w:val="none" w:sz="0" w:space="0" w:color="auto"/>
                <w:right w:val="none" w:sz="0" w:space="0" w:color="auto"/>
              </w:divBdr>
            </w:div>
          </w:divsChild>
        </w:div>
        <w:div w:id="2063551547">
          <w:marLeft w:val="0"/>
          <w:marRight w:val="0"/>
          <w:marTop w:val="34"/>
          <w:marBottom w:val="10"/>
          <w:divBdr>
            <w:top w:val="none" w:sz="0" w:space="0" w:color="auto"/>
            <w:left w:val="none" w:sz="0" w:space="0" w:color="auto"/>
            <w:bottom w:val="none" w:sz="0" w:space="0" w:color="auto"/>
            <w:right w:val="none" w:sz="0" w:space="0" w:color="auto"/>
          </w:divBdr>
          <w:divsChild>
            <w:div w:id="1328442058">
              <w:marLeft w:val="0"/>
              <w:marRight w:val="0"/>
              <w:marTop w:val="0"/>
              <w:marBottom w:val="0"/>
              <w:divBdr>
                <w:top w:val="none" w:sz="0" w:space="0" w:color="auto"/>
                <w:left w:val="none" w:sz="0" w:space="0" w:color="auto"/>
                <w:bottom w:val="none" w:sz="0" w:space="0" w:color="auto"/>
                <w:right w:val="none" w:sz="0" w:space="0" w:color="auto"/>
              </w:divBdr>
            </w:div>
          </w:divsChild>
        </w:div>
        <w:div w:id="2077242430">
          <w:marLeft w:val="0"/>
          <w:marRight w:val="0"/>
          <w:marTop w:val="34"/>
          <w:marBottom w:val="10"/>
          <w:divBdr>
            <w:top w:val="none" w:sz="0" w:space="0" w:color="auto"/>
            <w:left w:val="none" w:sz="0" w:space="0" w:color="auto"/>
            <w:bottom w:val="none" w:sz="0" w:space="0" w:color="auto"/>
            <w:right w:val="none" w:sz="0" w:space="0" w:color="auto"/>
          </w:divBdr>
          <w:divsChild>
            <w:div w:id="328483604">
              <w:marLeft w:val="0"/>
              <w:marRight w:val="0"/>
              <w:marTop w:val="0"/>
              <w:marBottom w:val="0"/>
              <w:divBdr>
                <w:top w:val="none" w:sz="0" w:space="0" w:color="auto"/>
                <w:left w:val="none" w:sz="0" w:space="0" w:color="auto"/>
                <w:bottom w:val="none" w:sz="0" w:space="0" w:color="auto"/>
                <w:right w:val="none" w:sz="0" w:space="0" w:color="auto"/>
              </w:divBdr>
            </w:div>
          </w:divsChild>
        </w:div>
        <w:div w:id="2087145956">
          <w:marLeft w:val="0"/>
          <w:marRight w:val="0"/>
          <w:marTop w:val="34"/>
          <w:marBottom w:val="10"/>
          <w:divBdr>
            <w:top w:val="none" w:sz="0" w:space="0" w:color="auto"/>
            <w:left w:val="none" w:sz="0" w:space="0" w:color="auto"/>
            <w:bottom w:val="none" w:sz="0" w:space="0" w:color="auto"/>
            <w:right w:val="none" w:sz="0" w:space="0" w:color="auto"/>
          </w:divBdr>
          <w:divsChild>
            <w:div w:id="898173285">
              <w:marLeft w:val="0"/>
              <w:marRight w:val="0"/>
              <w:marTop w:val="0"/>
              <w:marBottom w:val="0"/>
              <w:divBdr>
                <w:top w:val="none" w:sz="0" w:space="0" w:color="auto"/>
                <w:left w:val="none" w:sz="0" w:space="0" w:color="auto"/>
                <w:bottom w:val="none" w:sz="0" w:space="0" w:color="auto"/>
                <w:right w:val="none" w:sz="0" w:space="0" w:color="auto"/>
              </w:divBdr>
            </w:div>
          </w:divsChild>
        </w:div>
        <w:div w:id="2096239685">
          <w:marLeft w:val="0"/>
          <w:marRight w:val="0"/>
          <w:marTop w:val="34"/>
          <w:marBottom w:val="10"/>
          <w:divBdr>
            <w:top w:val="none" w:sz="0" w:space="0" w:color="auto"/>
            <w:left w:val="none" w:sz="0" w:space="0" w:color="auto"/>
            <w:bottom w:val="none" w:sz="0" w:space="0" w:color="auto"/>
            <w:right w:val="none" w:sz="0" w:space="0" w:color="auto"/>
          </w:divBdr>
          <w:divsChild>
            <w:div w:id="1103263802">
              <w:marLeft w:val="0"/>
              <w:marRight w:val="0"/>
              <w:marTop w:val="0"/>
              <w:marBottom w:val="0"/>
              <w:divBdr>
                <w:top w:val="none" w:sz="0" w:space="0" w:color="auto"/>
                <w:left w:val="none" w:sz="0" w:space="0" w:color="auto"/>
                <w:bottom w:val="none" w:sz="0" w:space="0" w:color="auto"/>
                <w:right w:val="none" w:sz="0" w:space="0" w:color="auto"/>
              </w:divBdr>
            </w:div>
          </w:divsChild>
        </w:div>
        <w:div w:id="2097700547">
          <w:marLeft w:val="0"/>
          <w:marRight w:val="0"/>
          <w:marTop w:val="34"/>
          <w:marBottom w:val="10"/>
          <w:divBdr>
            <w:top w:val="none" w:sz="0" w:space="0" w:color="auto"/>
            <w:left w:val="none" w:sz="0" w:space="0" w:color="auto"/>
            <w:bottom w:val="none" w:sz="0" w:space="0" w:color="auto"/>
            <w:right w:val="none" w:sz="0" w:space="0" w:color="auto"/>
          </w:divBdr>
          <w:divsChild>
            <w:div w:id="1616014767">
              <w:marLeft w:val="0"/>
              <w:marRight w:val="0"/>
              <w:marTop w:val="0"/>
              <w:marBottom w:val="0"/>
              <w:divBdr>
                <w:top w:val="none" w:sz="0" w:space="0" w:color="auto"/>
                <w:left w:val="none" w:sz="0" w:space="0" w:color="auto"/>
                <w:bottom w:val="none" w:sz="0" w:space="0" w:color="auto"/>
                <w:right w:val="none" w:sz="0" w:space="0" w:color="auto"/>
              </w:divBdr>
            </w:div>
          </w:divsChild>
        </w:div>
        <w:div w:id="2102992318">
          <w:marLeft w:val="0"/>
          <w:marRight w:val="0"/>
          <w:marTop w:val="34"/>
          <w:marBottom w:val="10"/>
          <w:divBdr>
            <w:top w:val="none" w:sz="0" w:space="0" w:color="auto"/>
            <w:left w:val="none" w:sz="0" w:space="0" w:color="auto"/>
            <w:bottom w:val="none" w:sz="0" w:space="0" w:color="auto"/>
            <w:right w:val="none" w:sz="0" w:space="0" w:color="auto"/>
          </w:divBdr>
          <w:divsChild>
            <w:div w:id="1319773153">
              <w:marLeft w:val="0"/>
              <w:marRight w:val="0"/>
              <w:marTop w:val="0"/>
              <w:marBottom w:val="0"/>
              <w:divBdr>
                <w:top w:val="none" w:sz="0" w:space="0" w:color="auto"/>
                <w:left w:val="none" w:sz="0" w:space="0" w:color="auto"/>
                <w:bottom w:val="none" w:sz="0" w:space="0" w:color="auto"/>
                <w:right w:val="none" w:sz="0" w:space="0" w:color="auto"/>
              </w:divBdr>
            </w:div>
          </w:divsChild>
        </w:div>
        <w:div w:id="2105219983">
          <w:marLeft w:val="0"/>
          <w:marRight w:val="0"/>
          <w:marTop w:val="34"/>
          <w:marBottom w:val="10"/>
          <w:divBdr>
            <w:top w:val="none" w:sz="0" w:space="0" w:color="auto"/>
            <w:left w:val="none" w:sz="0" w:space="0" w:color="auto"/>
            <w:bottom w:val="none" w:sz="0" w:space="0" w:color="auto"/>
            <w:right w:val="none" w:sz="0" w:space="0" w:color="auto"/>
          </w:divBdr>
          <w:divsChild>
            <w:div w:id="1251505457">
              <w:marLeft w:val="0"/>
              <w:marRight w:val="0"/>
              <w:marTop w:val="0"/>
              <w:marBottom w:val="0"/>
              <w:divBdr>
                <w:top w:val="none" w:sz="0" w:space="0" w:color="auto"/>
                <w:left w:val="none" w:sz="0" w:space="0" w:color="auto"/>
                <w:bottom w:val="none" w:sz="0" w:space="0" w:color="auto"/>
                <w:right w:val="none" w:sz="0" w:space="0" w:color="auto"/>
              </w:divBdr>
            </w:div>
          </w:divsChild>
        </w:div>
        <w:div w:id="2106921607">
          <w:marLeft w:val="0"/>
          <w:marRight w:val="0"/>
          <w:marTop w:val="34"/>
          <w:marBottom w:val="10"/>
          <w:divBdr>
            <w:top w:val="none" w:sz="0" w:space="0" w:color="auto"/>
            <w:left w:val="none" w:sz="0" w:space="0" w:color="auto"/>
            <w:bottom w:val="none" w:sz="0" w:space="0" w:color="auto"/>
            <w:right w:val="none" w:sz="0" w:space="0" w:color="auto"/>
          </w:divBdr>
          <w:divsChild>
            <w:div w:id="474833089">
              <w:marLeft w:val="0"/>
              <w:marRight w:val="0"/>
              <w:marTop w:val="0"/>
              <w:marBottom w:val="0"/>
              <w:divBdr>
                <w:top w:val="none" w:sz="0" w:space="0" w:color="auto"/>
                <w:left w:val="none" w:sz="0" w:space="0" w:color="auto"/>
                <w:bottom w:val="none" w:sz="0" w:space="0" w:color="auto"/>
                <w:right w:val="none" w:sz="0" w:space="0" w:color="auto"/>
              </w:divBdr>
            </w:div>
          </w:divsChild>
        </w:div>
        <w:div w:id="2110545730">
          <w:marLeft w:val="0"/>
          <w:marRight w:val="0"/>
          <w:marTop w:val="34"/>
          <w:marBottom w:val="10"/>
          <w:divBdr>
            <w:top w:val="none" w:sz="0" w:space="0" w:color="auto"/>
            <w:left w:val="none" w:sz="0" w:space="0" w:color="auto"/>
            <w:bottom w:val="none" w:sz="0" w:space="0" w:color="auto"/>
            <w:right w:val="none" w:sz="0" w:space="0" w:color="auto"/>
          </w:divBdr>
          <w:divsChild>
            <w:div w:id="1459492011">
              <w:marLeft w:val="0"/>
              <w:marRight w:val="0"/>
              <w:marTop w:val="0"/>
              <w:marBottom w:val="0"/>
              <w:divBdr>
                <w:top w:val="none" w:sz="0" w:space="0" w:color="auto"/>
                <w:left w:val="none" w:sz="0" w:space="0" w:color="auto"/>
                <w:bottom w:val="none" w:sz="0" w:space="0" w:color="auto"/>
                <w:right w:val="none" w:sz="0" w:space="0" w:color="auto"/>
              </w:divBdr>
            </w:div>
          </w:divsChild>
        </w:div>
        <w:div w:id="2112428330">
          <w:marLeft w:val="0"/>
          <w:marRight w:val="0"/>
          <w:marTop w:val="34"/>
          <w:marBottom w:val="10"/>
          <w:divBdr>
            <w:top w:val="none" w:sz="0" w:space="0" w:color="auto"/>
            <w:left w:val="none" w:sz="0" w:space="0" w:color="auto"/>
            <w:bottom w:val="none" w:sz="0" w:space="0" w:color="auto"/>
            <w:right w:val="none" w:sz="0" w:space="0" w:color="auto"/>
          </w:divBdr>
          <w:divsChild>
            <w:div w:id="1696884449">
              <w:marLeft w:val="0"/>
              <w:marRight w:val="0"/>
              <w:marTop w:val="0"/>
              <w:marBottom w:val="0"/>
              <w:divBdr>
                <w:top w:val="none" w:sz="0" w:space="0" w:color="auto"/>
                <w:left w:val="none" w:sz="0" w:space="0" w:color="auto"/>
                <w:bottom w:val="none" w:sz="0" w:space="0" w:color="auto"/>
                <w:right w:val="none" w:sz="0" w:space="0" w:color="auto"/>
              </w:divBdr>
            </w:div>
          </w:divsChild>
        </w:div>
        <w:div w:id="2137025665">
          <w:marLeft w:val="0"/>
          <w:marRight w:val="0"/>
          <w:marTop w:val="34"/>
          <w:marBottom w:val="10"/>
          <w:divBdr>
            <w:top w:val="none" w:sz="0" w:space="0" w:color="auto"/>
            <w:left w:val="none" w:sz="0" w:space="0" w:color="auto"/>
            <w:bottom w:val="none" w:sz="0" w:space="0" w:color="auto"/>
            <w:right w:val="none" w:sz="0" w:space="0" w:color="auto"/>
          </w:divBdr>
          <w:divsChild>
            <w:div w:id="41702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83152">
      <w:bodyDiv w:val="1"/>
      <w:marLeft w:val="0"/>
      <w:marRight w:val="0"/>
      <w:marTop w:val="0"/>
      <w:marBottom w:val="0"/>
      <w:divBdr>
        <w:top w:val="none" w:sz="0" w:space="0" w:color="auto"/>
        <w:left w:val="none" w:sz="0" w:space="0" w:color="auto"/>
        <w:bottom w:val="none" w:sz="0" w:space="0" w:color="auto"/>
        <w:right w:val="none" w:sz="0" w:space="0" w:color="auto"/>
      </w:divBdr>
    </w:div>
    <w:div w:id="191846408">
      <w:bodyDiv w:val="1"/>
      <w:marLeft w:val="0"/>
      <w:marRight w:val="0"/>
      <w:marTop w:val="0"/>
      <w:marBottom w:val="0"/>
      <w:divBdr>
        <w:top w:val="none" w:sz="0" w:space="0" w:color="auto"/>
        <w:left w:val="none" w:sz="0" w:space="0" w:color="auto"/>
        <w:bottom w:val="none" w:sz="0" w:space="0" w:color="auto"/>
        <w:right w:val="none" w:sz="0" w:space="0" w:color="auto"/>
      </w:divBdr>
      <w:divsChild>
        <w:div w:id="645012412">
          <w:marLeft w:val="547"/>
          <w:marRight w:val="0"/>
          <w:marTop w:val="134"/>
          <w:marBottom w:val="0"/>
          <w:divBdr>
            <w:top w:val="none" w:sz="0" w:space="0" w:color="auto"/>
            <w:left w:val="none" w:sz="0" w:space="0" w:color="auto"/>
            <w:bottom w:val="none" w:sz="0" w:space="0" w:color="auto"/>
            <w:right w:val="none" w:sz="0" w:space="0" w:color="auto"/>
          </w:divBdr>
        </w:div>
        <w:div w:id="1877506583">
          <w:marLeft w:val="547"/>
          <w:marRight w:val="0"/>
          <w:marTop w:val="134"/>
          <w:marBottom w:val="0"/>
          <w:divBdr>
            <w:top w:val="none" w:sz="0" w:space="0" w:color="auto"/>
            <w:left w:val="none" w:sz="0" w:space="0" w:color="auto"/>
            <w:bottom w:val="none" w:sz="0" w:space="0" w:color="auto"/>
            <w:right w:val="none" w:sz="0" w:space="0" w:color="auto"/>
          </w:divBdr>
        </w:div>
      </w:divsChild>
    </w:div>
    <w:div w:id="198397475">
      <w:bodyDiv w:val="1"/>
      <w:marLeft w:val="0"/>
      <w:marRight w:val="0"/>
      <w:marTop w:val="0"/>
      <w:marBottom w:val="0"/>
      <w:divBdr>
        <w:top w:val="none" w:sz="0" w:space="0" w:color="auto"/>
        <w:left w:val="none" w:sz="0" w:space="0" w:color="auto"/>
        <w:bottom w:val="none" w:sz="0" w:space="0" w:color="auto"/>
        <w:right w:val="none" w:sz="0" w:space="0" w:color="auto"/>
      </w:divBdr>
    </w:div>
    <w:div w:id="199514027">
      <w:bodyDiv w:val="1"/>
      <w:marLeft w:val="0"/>
      <w:marRight w:val="0"/>
      <w:marTop w:val="0"/>
      <w:marBottom w:val="0"/>
      <w:divBdr>
        <w:top w:val="none" w:sz="0" w:space="0" w:color="auto"/>
        <w:left w:val="none" w:sz="0" w:space="0" w:color="auto"/>
        <w:bottom w:val="none" w:sz="0" w:space="0" w:color="auto"/>
        <w:right w:val="none" w:sz="0" w:space="0" w:color="auto"/>
      </w:divBdr>
    </w:div>
    <w:div w:id="202643257">
      <w:bodyDiv w:val="1"/>
      <w:marLeft w:val="0"/>
      <w:marRight w:val="0"/>
      <w:marTop w:val="0"/>
      <w:marBottom w:val="0"/>
      <w:divBdr>
        <w:top w:val="none" w:sz="0" w:space="0" w:color="auto"/>
        <w:left w:val="none" w:sz="0" w:space="0" w:color="auto"/>
        <w:bottom w:val="none" w:sz="0" w:space="0" w:color="auto"/>
        <w:right w:val="none" w:sz="0" w:space="0" w:color="auto"/>
      </w:divBdr>
      <w:divsChild>
        <w:div w:id="35282280">
          <w:marLeft w:val="0"/>
          <w:marRight w:val="0"/>
          <w:marTop w:val="0"/>
          <w:marBottom w:val="0"/>
          <w:divBdr>
            <w:top w:val="none" w:sz="0" w:space="0" w:color="auto"/>
            <w:left w:val="none" w:sz="0" w:space="0" w:color="auto"/>
            <w:bottom w:val="none" w:sz="0" w:space="0" w:color="auto"/>
            <w:right w:val="none" w:sz="0" w:space="0" w:color="auto"/>
          </w:divBdr>
        </w:div>
        <w:div w:id="80176501">
          <w:marLeft w:val="0"/>
          <w:marRight w:val="0"/>
          <w:marTop w:val="0"/>
          <w:marBottom w:val="0"/>
          <w:divBdr>
            <w:top w:val="none" w:sz="0" w:space="0" w:color="auto"/>
            <w:left w:val="none" w:sz="0" w:space="0" w:color="auto"/>
            <w:bottom w:val="none" w:sz="0" w:space="0" w:color="auto"/>
            <w:right w:val="none" w:sz="0" w:space="0" w:color="auto"/>
          </w:divBdr>
        </w:div>
        <w:div w:id="126051437">
          <w:marLeft w:val="0"/>
          <w:marRight w:val="0"/>
          <w:marTop w:val="0"/>
          <w:marBottom w:val="0"/>
          <w:divBdr>
            <w:top w:val="none" w:sz="0" w:space="0" w:color="auto"/>
            <w:left w:val="none" w:sz="0" w:space="0" w:color="auto"/>
            <w:bottom w:val="none" w:sz="0" w:space="0" w:color="auto"/>
            <w:right w:val="none" w:sz="0" w:space="0" w:color="auto"/>
          </w:divBdr>
        </w:div>
        <w:div w:id="208078317">
          <w:marLeft w:val="0"/>
          <w:marRight w:val="0"/>
          <w:marTop w:val="0"/>
          <w:marBottom w:val="0"/>
          <w:divBdr>
            <w:top w:val="none" w:sz="0" w:space="0" w:color="auto"/>
            <w:left w:val="none" w:sz="0" w:space="0" w:color="auto"/>
            <w:bottom w:val="none" w:sz="0" w:space="0" w:color="auto"/>
            <w:right w:val="none" w:sz="0" w:space="0" w:color="auto"/>
          </w:divBdr>
        </w:div>
        <w:div w:id="208566772">
          <w:marLeft w:val="0"/>
          <w:marRight w:val="0"/>
          <w:marTop w:val="0"/>
          <w:marBottom w:val="0"/>
          <w:divBdr>
            <w:top w:val="none" w:sz="0" w:space="0" w:color="auto"/>
            <w:left w:val="none" w:sz="0" w:space="0" w:color="auto"/>
            <w:bottom w:val="none" w:sz="0" w:space="0" w:color="auto"/>
            <w:right w:val="none" w:sz="0" w:space="0" w:color="auto"/>
          </w:divBdr>
        </w:div>
        <w:div w:id="366495483">
          <w:marLeft w:val="0"/>
          <w:marRight w:val="0"/>
          <w:marTop w:val="0"/>
          <w:marBottom w:val="0"/>
          <w:divBdr>
            <w:top w:val="none" w:sz="0" w:space="0" w:color="auto"/>
            <w:left w:val="none" w:sz="0" w:space="0" w:color="auto"/>
            <w:bottom w:val="none" w:sz="0" w:space="0" w:color="auto"/>
            <w:right w:val="none" w:sz="0" w:space="0" w:color="auto"/>
          </w:divBdr>
        </w:div>
        <w:div w:id="407188413">
          <w:marLeft w:val="0"/>
          <w:marRight w:val="0"/>
          <w:marTop w:val="0"/>
          <w:marBottom w:val="0"/>
          <w:divBdr>
            <w:top w:val="none" w:sz="0" w:space="0" w:color="auto"/>
            <w:left w:val="none" w:sz="0" w:space="0" w:color="auto"/>
            <w:bottom w:val="none" w:sz="0" w:space="0" w:color="auto"/>
            <w:right w:val="none" w:sz="0" w:space="0" w:color="auto"/>
          </w:divBdr>
        </w:div>
        <w:div w:id="440105725">
          <w:marLeft w:val="0"/>
          <w:marRight w:val="0"/>
          <w:marTop w:val="0"/>
          <w:marBottom w:val="0"/>
          <w:divBdr>
            <w:top w:val="none" w:sz="0" w:space="0" w:color="auto"/>
            <w:left w:val="none" w:sz="0" w:space="0" w:color="auto"/>
            <w:bottom w:val="none" w:sz="0" w:space="0" w:color="auto"/>
            <w:right w:val="none" w:sz="0" w:space="0" w:color="auto"/>
          </w:divBdr>
        </w:div>
        <w:div w:id="656034303">
          <w:marLeft w:val="0"/>
          <w:marRight w:val="0"/>
          <w:marTop w:val="0"/>
          <w:marBottom w:val="0"/>
          <w:divBdr>
            <w:top w:val="none" w:sz="0" w:space="0" w:color="auto"/>
            <w:left w:val="none" w:sz="0" w:space="0" w:color="auto"/>
            <w:bottom w:val="none" w:sz="0" w:space="0" w:color="auto"/>
            <w:right w:val="none" w:sz="0" w:space="0" w:color="auto"/>
          </w:divBdr>
        </w:div>
        <w:div w:id="885218891">
          <w:marLeft w:val="0"/>
          <w:marRight w:val="0"/>
          <w:marTop w:val="0"/>
          <w:marBottom w:val="0"/>
          <w:divBdr>
            <w:top w:val="none" w:sz="0" w:space="0" w:color="auto"/>
            <w:left w:val="none" w:sz="0" w:space="0" w:color="auto"/>
            <w:bottom w:val="none" w:sz="0" w:space="0" w:color="auto"/>
            <w:right w:val="none" w:sz="0" w:space="0" w:color="auto"/>
          </w:divBdr>
        </w:div>
        <w:div w:id="983898838">
          <w:marLeft w:val="0"/>
          <w:marRight w:val="0"/>
          <w:marTop w:val="0"/>
          <w:marBottom w:val="0"/>
          <w:divBdr>
            <w:top w:val="none" w:sz="0" w:space="0" w:color="auto"/>
            <w:left w:val="none" w:sz="0" w:space="0" w:color="auto"/>
            <w:bottom w:val="none" w:sz="0" w:space="0" w:color="auto"/>
            <w:right w:val="none" w:sz="0" w:space="0" w:color="auto"/>
          </w:divBdr>
        </w:div>
        <w:div w:id="1011374654">
          <w:marLeft w:val="0"/>
          <w:marRight w:val="0"/>
          <w:marTop w:val="0"/>
          <w:marBottom w:val="0"/>
          <w:divBdr>
            <w:top w:val="none" w:sz="0" w:space="0" w:color="auto"/>
            <w:left w:val="none" w:sz="0" w:space="0" w:color="auto"/>
            <w:bottom w:val="none" w:sz="0" w:space="0" w:color="auto"/>
            <w:right w:val="none" w:sz="0" w:space="0" w:color="auto"/>
          </w:divBdr>
        </w:div>
        <w:div w:id="1016923646">
          <w:marLeft w:val="0"/>
          <w:marRight w:val="0"/>
          <w:marTop w:val="0"/>
          <w:marBottom w:val="0"/>
          <w:divBdr>
            <w:top w:val="none" w:sz="0" w:space="0" w:color="auto"/>
            <w:left w:val="none" w:sz="0" w:space="0" w:color="auto"/>
            <w:bottom w:val="none" w:sz="0" w:space="0" w:color="auto"/>
            <w:right w:val="none" w:sz="0" w:space="0" w:color="auto"/>
          </w:divBdr>
        </w:div>
        <w:div w:id="1086727614">
          <w:marLeft w:val="0"/>
          <w:marRight w:val="0"/>
          <w:marTop w:val="0"/>
          <w:marBottom w:val="0"/>
          <w:divBdr>
            <w:top w:val="none" w:sz="0" w:space="0" w:color="auto"/>
            <w:left w:val="none" w:sz="0" w:space="0" w:color="auto"/>
            <w:bottom w:val="none" w:sz="0" w:space="0" w:color="auto"/>
            <w:right w:val="none" w:sz="0" w:space="0" w:color="auto"/>
          </w:divBdr>
        </w:div>
        <w:div w:id="1246838512">
          <w:marLeft w:val="0"/>
          <w:marRight w:val="0"/>
          <w:marTop w:val="0"/>
          <w:marBottom w:val="0"/>
          <w:divBdr>
            <w:top w:val="none" w:sz="0" w:space="0" w:color="auto"/>
            <w:left w:val="none" w:sz="0" w:space="0" w:color="auto"/>
            <w:bottom w:val="none" w:sz="0" w:space="0" w:color="auto"/>
            <w:right w:val="none" w:sz="0" w:space="0" w:color="auto"/>
          </w:divBdr>
        </w:div>
        <w:div w:id="1391005113">
          <w:marLeft w:val="0"/>
          <w:marRight w:val="0"/>
          <w:marTop w:val="0"/>
          <w:marBottom w:val="0"/>
          <w:divBdr>
            <w:top w:val="none" w:sz="0" w:space="0" w:color="auto"/>
            <w:left w:val="none" w:sz="0" w:space="0" w:color="auto"/>
            <w:bottom w:val="none" w:sz="0" w:space="0" w:color="auto"/>
            <w:right w:val="none" w:sz="0" w:space="0" w:color="auto"/>
          </w:divBdr>
        </w:div>
        <w:div w:id="1392925764">
          <w:marLeft w:val="0"/>
          <w:marRight w:val="0"/>
          <w:marTop w:val="0"/>
          <w:marBottom w:val="0"/>
          <w:divBdr>
            <w:top w:val="none" w:sz="0" w:space="0" w:color="auto"/>
            <w:left w:val="none" w:sz="0" w:space="0" w:color="auto"/>
            <w:bottom w:val="none" w:sz="0" w:space="0" w:color="auto"/>
            <w:right w:val="none" w:sz="0" w:space="0" w:color="auto"/>
          </w:divBdr>
        </w:div>
        <w:div w:id="1477916999">
          <w:marLeft w:val="0"/>
          <w:marRight w:val="0"/>
          <w:marTop w:val="0"/>
          <w:marBottom w:val="0"/>
          <w:divBdr>
            <w:top w:val="none" w:sz="0" w:space="0" w:color="auto"/>
            <w:left w:val="none" w:sz="0" w:space="0" w:color="auto"/>
            <w:bottom w:val="none" w:sz="0" w:space="0" w:color="auto"/>
            <w:right w:val="none" w:sz="0" w:space="0" w:color="auto"/>
          </w:divBdr>
        </w:div>
        <w:div w:id="1579630047">
          <w:marLeft w:val="0"/>
          <w:marRight w:val="0"/>
          <w:marTop w:val="0"/>
          <w:marBottom w:val="0"/>
          <w:divBdr>
            <w:top w:val="none" w:sz="0" w:space="0" w:color="auto"/>
            <w:left w:val="none" w:sz="0" w:space="0" w:color="auto"/>
            <w:bottom w:val="none" w:sz="0" w:space="0" w:color="auto"/>
            <w:right w:val="none" w:sz="0" w:space="0" w:color="auto"/>
          </w:divBdr>
        </w:div>
        <w:div w:id="1627543732">
          <w:marLeft w:val="0"/>
          <w:marRight w:val="0"/>
          <w:marTop w:val="0"/>
          <w:marBottom w:val="0"/>
          <w:divBdr>
            <w:top w:val="none" w:sz="0" w:space="0" w:color="auto"/>
            <w:left w:val="none" w:sz="0" w:space="0" w:color="auto"/>
            <w:bottom w:val="none" w:sz="0" w:space="0" w:color="auto"/>
            <w:right w:val="none" w:sz="0" w:space="0" w:color="auto"/>
          </w:divBdr>
        </w:div>
        <w:div w:id="1689328947">
          <w:marLeft w:val="0"/>
          <w:marRight w:val="0"/>
          <w:marTop w:val="0"/>
          <w:marBottom w:val="0"/>
          <w:divBdr>
            <w:top w:val="none" w:sz="0" w:space="0" w:color="auto"/>
            <w:left w:val="none" w:sz="0" w:space="0" w:color="auto"/>
            <w:bottom w:val="none" w:sz="0" w:space="0" w:color="auto"/>
            <w:right w:val="none" w:sz="0" w:space="0" w:color="auto"/>
          </w:divBdr>
        </w:div>
        <w:div w:id="1723750261">
          <w:marLeft w:val="0"/>
          <w:marRight w:val="0"/>
          <w:marTop w:val="0"/>
          <w:marBottom w:val="0"/>
          <w:divBdr>
            <w:top w:val="none" w:sz="0" w:space="0" w:color="auto"/>
            <w:left w:val="none" w:sz="0" w:space="0" w:color="auto"/>
            <w:bottom w:val="none" w:sz="0" w:space="0" w:color="auto"/>
            <w:right w:val="none" w:sz="0" w:space="0" w:color="auto"/>
          </w:divBdr>
        </w:div>
        <w:div w:id="1729264437">
          <w:marLeft w:val="0"/>
          <w:marRight w:val="0"/>
          <w:marTop w:val="0"/>
          <w:marBottom w:val="0"/>
          <w:divBdr>
            <w:top w:val="none" w:sz="0" w:space="0" w:color="auto"/>
            <w:left w:val="none" w:sz="0" w:space="0" w:color="auto"/>
            <w:bottom w:val="none" w:sz="0" w:space="0" w:color="auto"/>
            <w:right w:val="none" w:sz="0" w:space="0" w:color="auto"/>
          </w:divBdr>
        </w:div>
        <w:div w:id="1847212779">
          <w:marLeft w:val="0"/>
          <w:marRight w:val="0"/>
          <w:marTop w:val="0"/>
          <w:marBottom w:val="0"/>
          <w:divBdr>
            <w:top w:val="none" w:sz="0" w:space="0" w:color="auto"/>
            <w:left w:val="none" w:sz="0" w:space="0" w:color="auto"/>
            <w:bottom w:val="none" w:sz="0" w:space="0" w:color="auto"/>
            <w:right w:val="none" w:sz="0" w:space="0" w:color="auto"/>
          </w:divBdr>
        </w:div>
        <w:div w:id="1917081920">
          <w:marLeft w:val="0"/>
          <w:marRight w:val="0"/>
          <w:marTop w:val="0"/>
          <w:marBottom w:val="0"/>
          <w:divBdr>
            <w:top w:val="none" w:sz="0" w:space="0" w:color="auto"/>
            <w:left w:val="none" w:sz="0" w:space="0" w:color="auto"/>
            <w:bottom w:val="none" w:sz="0" w:space="0" w:color="auto"/>
            <w:right w:val="none" w:sz="0" w:space="0" w:color="auto"/>
          </w:divBdr>
        </w:div>
        <w:div w:id="1987080803">
          <w:marLeft w:val="0"/>
          <w:marRight w:val="0"/>
          <w:marTop w:val="0"/>
          <w:marBottom w:val="0"/>
          <w:divBdr>
            <w:top w:val="none" w:sz="0" w:space="0" w:color="auto"/>
            <w:left w:val="none" w:sz="0" w:space="0" w:color="auto"/>
            <w:bottom w:val="none" w:sz="0" w:space="0" w:color="auto"/>
            <w:right w:val="none" w:sz="0" w:space="0" w:color="auto"/>
          </w:divBdr>
        </w:div>
        <w:div w:id="1993682192">
          <w:marLeft w:val="0"/>
          <w:marRight w:val="0"/>
          <w:marTop w:val="0"/>
          <w:marBottom w:val="0"/>
          <w:divBdr>
            <w:top w:val="none" w:sz="0" w:space="0" w:color="auto"/>
            <w:left w:val="none" w:sz="0" w:space="0" w:color="auto"/>
            <w:bottom w:val="none" w:sz="0" w:space="0" w:color="auto"/>
            <w:right w:val="none" w:sz="0" w:space="0" w:color="auto"/>
          </w:divBdr>
        </w:div>
        <w:div w:id="2047213620">
          <w:marLeft w:val="0"/>
          <w:marRight w:val="0"/>
          <w:marTop w:val="0"/>
          <w:marBottom w:val="0"/>
          <w:divBdr>
            <w:top w:val="none" w:sz="0" w:space="0" w:color="auto"/>
            <w:left w:val="none" w:sz="0" w:space="0" w:color="auto"/>
            <w:bottom w:val="none" w:sz="0" w:space="0" w:color="auto"/>
            <w:right w:val="none" w:sz="0" w:space="0" w:color="auto"/>
          </w:divBdr>
        </w:div>
      </w:divsChild>
    </w:div>
    <w:div w:id="207955175">
      <w:bodyDiv w:val="1"/>
      <w:marLeft w:val="0"/>
      <w:marRight w:val="0"/>
      <w:marTop w:val="0"/>
      <w:marBottom w:val="0"/>
      <w:divBdr>
        <w:top w:val="none" w:sz="0" w:space="0" w:color="auto"/>
        <w:left w:val="none" w:sz="0" w:space="0" w:color="auto"/>
        <w:bottom w:val="none" w:sz="0" w:space="0" w:color="auto"/>
        <w:right w:val="none" w:sz="0" w:space="0" w:color="auto"/>
      </w:divBdr>
    </w:div>
    <w:div w:id="209347541">
      <w:bodyDiv w:val="1"/>
      <w:marLeft w:val="0"/>
      <w:marRight w:val="0"/>
      <w:marTop w:val="0"/>
      <w:marBottom w:val="0"/>
      <w:divBdr>
        <w:top w:val="none" w:sz="0" w:space="0" w:color="auto"/>
        <w:left w:val="none" w:sz="0" w:space="0" w:color="auto"/>
        <w:bottom w:val="none" w:sz="0" w:space="0" w:color="auto"/>
        <w:right w:val="none" w:sz="0" w:space="0" w:color="auto"/>
      </w:divBdr>
    </w:div>
    <w:div w:id="223756006">
      <w:bodyDiv w:val="1"/>
      <w:marLeft w:val="0"/>
      <w:marRight w:val="0"/>
      <w:marTop w:val="0"/>
      <w:marBottom w:val="0"/>
      <w:divBdr>
        <w:top w:val="none" w:sz="0" w:space="0" w:color="auto"/>
        <w:left w:val="none" w:sz="0" w:space="0" w:color="auto"/>
        <w:bottom w:val="none" w:sz="0" w:space="0" w:color="auto"/>
        <w:right w:val="none" w:sz="0" w:space="0" w:color="auto"/>
      </w:divBdr>
    </w:div>
    <w:div w:id="224100350">
      <w:bodyDiv w:val="1"/>
      <w:marLeft w:val="0"/>
      <w:marRight w:val="0"/>
      <w:marTop w:val="0"/>
      <w:marBottom w:val="0"/>
      <w:divBdr>
        <w:top w:val="none" w:sz="0" w:space="0" w:color="auto"/>
        <w:left w:val="none" w:sz="0" w:space="0" w:color="auto"/>
        <w:bottom w:val="none" w:sz="0" w:space="0" w:color="auto"/>
        <w:right w:val="none" w:sz="0" w:space="0" w:color="auto"/>
      </w:divBdr>
    </w:div>
    <w:div w:id="224755500">
      <w:bodyDiv w:val="1"/>
      <w:marLeft w:val="0"/>
      <w:marRight w:val="0"/>
      <w:marTop w:val="0"/>
      <w:marBottom w:val="0"/>
      <w:divBdr>
        <w:top w:val="none" w:sz="0" w:space="0" w:color="auto"/>
        <w:left w:val="none" w:sz="0" w:space="0" w:color="auto"/>
        <w:bottom w:val="none" w:sz="0" w:space="0" w:color="auto"/>
        <w:right w:val="none" w:sz="0" w:space="0" w:color="auto"/>
      </w:divBdr>
    </w:div>
    <w:div w:id="226693657">
      <w:bodyDiv w:val="1"/>
      <w:marLeft w:val="0"/>
      <w:marRight w:val="0"/>
      <w:marTop w:val="0"/>
      <w:marBottom w:val="0"/>
      <w:divBdr>
        <w:top w:val="none" w:sz="0" w:space="0" w:color="auto"/>
        <w:left w:val="none" w:sz="0" w:space="0" w:color="auto"/>
        <w:bottom w:val="none" w:sz="0" w:space="0" w:color="auto"/>
        <w:right w:val="none" w:sz="0" w:space="0" w:color="auto"/>
      </w:divBdr>
    </w:div>
    <w:div w:id="227999902">
      <w:bodyDiv w:val="1"/>
      <w:marLeft w:val="0"/>
      <w:marRight w:val="0"/>
      <w:marTop w:val="0"/>
      <w:marBottom w:val="0"/>
      <w:divBdr>
        <w:top w:val="none" w:sz="0" w:space="0" w:color="auto"/>
        <w:left w:val="none" w:sz="0" w:space="0" w:color="auto"/>
        <w:bottom w:val="none" w:sz="0" w:space="0" w:color="auto"/>
        <w:right w:val="none" w:sz="0" w:space="0" w:color="auto"/>
      </w:divBdr>
    </w:div>
    <w:div w:id="228001231">
      <w:bodyDiv w:val="1"/>
      <w:marLeft w:val="0"/>
      <w:marRight w:val="0"/>
      <w:marTop w:val="0"/>
      <w:marBottom w:val="0"/>
      <w:divBdr>
        <w:top w:val="none" w:sz="0" w:space="0" w:color="auto"/>
        <w:left w:val="none" w:sz="0" w:space="0" w:color="auto"/>
        <w:bottom w:val="none" w:sz="0" w:space="0" w:color="auto"/>
        <w:right w:val="none" w:sz="0" w:space="0" w:color="auto"/>
      </w:divBdr>
      <w:divsChild>
        <w:div w:id="1070925658">
          <w:marLeft w:val="1008"/>
          <w:marRight w:val="0"/>
          <w:marTop w:val="134"/>
          <w:marBottom w:val="0"/>
          <w:divBdr>
            <w:top w:val="none" w:sz="0" w:space="0" w:color="auto"/>
            <w:left w:val="none" w:sz="0" w:space="0" w:color="auto"/>
            <w:bottom w:val="none" w:sz="0" w:space="0" w:color="auto"/>
            <w:right w:val="none" w:sz="0" w:space="0" w:color="auto"/>
          </w:divBdr>
        </w:div>
        <w:div w:id="1551260220">
          <w:marLeft w:val="1008"/>
          <w:marRight w:val="0"/>
          <w:marTop w:val="134"/>
          <w:marBottom w:val="0"/>
          <w:divBdr>
            <w:top w:val="none" w:sz="0" w:space="0" w:color="auto"/>
            <w:left w:val="none" w:sz="0" w:space="0" w:color="auto"/>
            <w:bottom w:val="none" w:sz="0" w:space="0" w:color="auto"/>
            <w:right w:val="none" w:sz="0" w:space="0" w:color="auto"/>
          </w:divBdr>
        </w:div>
      </w:divsChild>
    </w:div>
    <w:div w:id="235479299">
      <w:bodyDiv w:val="1"/>
      <w:marLeft w:val="0"/>
      <w:marRight w:val="0"/>
      <w:marTop w:val="0"/>
      <w:marBottom w:val="0"/>
      <w:divBdr>
        <w:top w:val="none" w:sz="0" w:space="0" w:color="auto"/>
        <w:left w:val="none" w:sz="0" w:space="0" w:color="auto"/>
        <w:bottom w:val="none" w:sz="0" w:space="0" w:color="auto"/>
        <w:right w:val="none" w:sz="0" w:space="0" w:color="auto"/>
      </w:divBdr>
    </w:div>
    <w:div w:id="237638073">
      <w:bodyDiv w:val="1"/>
      <w:marLeft w:val="0"/>
      <w:marRight w:val="0"/>
      <w:marTop w:val="0"/>
      <w:marBottom w:val="0"/>
      <w:divBdr>
        <w:top w:val="none" w:sz="0" w:space="0" w:color="auto"/>
        <w:left w:val="none" w:sz="0" w:space="0" w:color="auto"/>
        <w:bottom w:val="none" w:sz="0" w:space="0" w:color="auto"/>
        <w:right w:val="none" w:sz="0" w:space="0" w:color="auto"/>
      </w:divBdr>
    </w:div>
    <w:div w:id="241646780">
      <w:bodyDiv w:val="1"/>
      <w:marLeft w:val="0"/>
      <w:marRight w:val="0"/>
      <w:marTop w:val="0"/>
      <w:marBottom w:val="0"/>
      <w:divBdr>
        <w:top w:val="none" w:sz="0" w:space="0" w:color="auto"/>
        <w:left w:val="none" w:sz="0" w:space="0" w:color="auto"/>
        <w:bottom w:val="none" w:sz="0" w:space="0" w:color="auto"/>
        <w:right w:val="none" w:sz="0" w:space="0" w:color="auto"/>
      </w:divBdr>
    </w:div>
    <w:div w:id="248660836">
      <w:bodyDiv w:val="1"/>
      <w:marLeft w:val="0"/>
      <w:marRight w:val="0"/>
      <w:marTop w:val="0"/>
      <w:marBottom w:val="0"/>
      <w:divBdr>
        <w:top w:val="none" w:sz="0" w:space="0" w:color="auto"/>
        <w:left w:val="none" w:sz="0" w:space="0" w:color="auto"/>
        <w:bottom w:val="none" w:sz="0" w:space="0" w:color="auto"/>
        <w:right w:val="none" w:sz="0" w:space="0" w:color="auto"/>
      </w:divBdr>
    </w:div>
    <w:div w:id="252134140">
      <w:bodyDiv w:val="1"/>
      <w:marLeft w:val="0"/>
      <w:marRight w:val="0"/>
      <w:marTop w:val="0"/>
      <w:marBottom w:val="0"/>
      <w:divBdr>
        <w:top w:val="none" w:sz="0" w:space="0" w:color="auto"/>
        <w:left w:val="none" w:sz="0" w:space="0" w:color="auto"/>
        <w:bottom w:val="none" w:sz="0" w:space="0" w:color="auto"/>
        <w:right w:val="none" w:sz="0" w:space="0" w:color="auto"/>
      </w:divBdr>
    </w:div>
    <w:div w:id="253829585">
      <w:bodyDiv w:val="1"/>
      <w:marLeft w:val="0"/>
      <w:marRight w:val="0"/>
      <w:marTop w:val="0"/>
      <w:marBottom w:val="0"/>
      <w:divBdr>
        <w:top w:val="none" w:sz="0" w:space="0" w:color="auto"/>
        <w:left w:val="none" w:sz="0" w:space="0" w:color="auto"/>
        <w:bottom w:val="none" w:sz="0" w:space="0" w:color="auto"/>
        <w:right w:val="none" w:sz="0" w:space="0" w:color="auto"/>
      </w:divBdr>
    </w:div>
    <w:div w:id="258415551">
      <w:bodyDiv w:val="1"/>
      <w:marLeft w:val="0"/>
      <w:marRight w:val="0"/>
      <w:marTop w:val="0"/>
      <w:marBottom w:val="0"/>
      <w:divBdr>
        <w:top w:val="none" w:sz="0" w:space="0" w:color="auto"/>
        <w:left w:val="none" w:sz="0" w:space="0" w:color="auto"/>
        <w:bottom w:val="none" w:sz="0" w:space="0" w:color="auto"/>
        <w:right w:val="none" w:sz="0" w:space="0" w:color="auto"/>
      </w:divBdr>
    </w:div>
    <w:div w:id="258561185">
      <w:bodyDiv w:val="1"/>
      <w:marLeft w:val="0"/>
      <w:marRight w:val="0"/>
      <w:marTop w:val="0"/>
      <w:marBottom w:val="0"/>
      <w:divBdr>
        <w:top w:val="none" w:sz="0" w:space="0" w:color="auto"/>
        <w:left w:val="none" w:sz="0" w:space="0" w:color="auto"/>
        <w:bottom w:val="none" w:sz="0" w:space="0" w:color="auto"/>
        <w:right w:val="none" w:sz="0" w:space="0" w:color="auto"/>
      </w:divBdr>
    </w:div>
    <w:div w:id="259028868">
      <w:bodyDiv w:val="1"/>
      <w:marLeft w:val="0"/>
      <w:marRight w:val="0"/>
      <w:marTop w:val="0"/>
      <w:marBottom w:val="0"/>
      <w:divBdr>
        <w:top w:val="none" w:sz="0" w:space="0" w:color="auto"/>
        <w:left w:val="none" w:sz="0" w:space="0" w:color="auto"/>
        <w:bottom w:val="none" w:sz="0" w:space="0" w:color="auto"/>
        <w:right w:val="none" w:sz="0" w:space="0" w:color="auto"/>
      </w:divBdr>
    </w:div>
    <w:div w:id="260341344">
      <w:bodyDiv w:val="1"/>
      <w:marLeft w:val="0"/>
      <w:marRight w:val="0"/>
      <w:marTop w:val="0"/>
      <w:marBottom w:val="0"/>
      <w:divBdr>
        <w:top w:val="none" w:sz="0" w:space="0" w:color="auto"/>
        <w:left w:val="none" w:sz="0" w:space="0" w:color="auto"/>
        <w:bottom w:val="none" w:sz="0" w:space="0" w:color="auto"/>
        <w:right w:val="none" w:sz="0" w:space="0" w:color="auto"/>
      </w:divBdr>
    </w:div>
    <w:div w:id="266546252">
      <w:bodyDiv w:val="1"/>
      <w:marLeft w:val="0"/>
      <w:marRight w:val="0"/>
      <w:marTop w:val="0"/>
      <w:marBottom w:val="0"/>
      <w:divBdr>
        <w:top w:val="none" w:sz="0" w:space="0" w:color="auto"/>
        <w:left w:val="none" w:sz="0" w:space="0" w:color="auto"/>
        <w:bottom w:val="none" w:sz="0" w:space="0" w:color="auto"/>
        <w:right w:val="none" w:sz="0" w:space="0" w:color="auto"/>
      </w:divBdr>
    </w:div>
    <w:div w:id="266889520">
      <w:bodyDiv w:val="1"/>
      <w:marLeft w:val="0"/>
      <w:marRight w:val="0"/>
      <w:marTop w:val="0"/>
      <w:marBottom w:val="0"/>
      <w:divBdr>
        <w:top w:val="none" w:sz="0" w:space="0" w:color="auto"/>
        <w:left w:val="none" w:sz="0" w:space="0" w:color="auto"/>
        <w:bottom w:val="none" w:sz="0" w:space="0" w:color="auto"/>
        <w:right w:val="none" w:sz="0" w:space="0" w:color="auto"/>
      </w:divBdr>
    </w:div>
    <w:div w:id="269631645">
      <w:bodyDiv w:val="1"/>
      <w:marLeft w:val="0"/>
      <w:marRight w:val="0"/>
      <w:marTop w:val="0"/>
      <w:marBottom w:val="0"/>
      <w:divBdr>
        <w:top w:val="none" w:sz="0" w:space="0" w:color="auto"/>
        <w:left w:val="none" w:sz="0" w:space="0" w:color="auto"/>
        <w:bottom w:val="none" w:sz="0" w:space="0" w:color="auto"/>
        <w:right w:val="none" w:sz="0" w:space="0" w:color="auto"/>
      </w:divBdr>
    </w:div>
    <w:div w:id="280111072">
      <w:bodyDiv w:val="1"/>
      <w:marLeft w:val="0"/>
      <w:marRight w:val="0"/>
      <w:marTop w:val="0"/>
      <w:marBottom w:val="0"/>
      <w:divBdr>
        <w:top w:val="none" w:sz="0" w:space="0" w:color="auto"/>
        <w:left w:val="none" w:sz="0" w:space="0" w:color="auto"/>
        <w:bottom w:val="none" w:sz="0" w:space="0" w:color="auto"/>
        <w:right w:val="none" w:sz="0" w:space="0" w:color="auto"/>
      </w:divBdr>
      <w:divsChild>
        <w:div w:id="276983646">
          <w:marLeft w:val="1166"/>
          <w:marRight w:val="0"/>
          <w:marTop w:val="115"/>
          <w:marBottom w:val="0"/>
          <w:divBdr>
            <w:top w:val="none" w:sz="0" w:space="0" w:color="auto"/>
            <w:left w:val="none" w:sz="0" w:space="0" w:color="auto"/>
            <w:bottom w:val="none" w:sz="0" w:space="0" w:color="auto"/>
            <w:right w:val="none" w:sz="0" w:space="0" w:color="auto"/>
          </w:divBdr>
        </w:div>
        <w:div w:id="572618094">
          <w:marLeft w:val="1166"/>
          <w:marRight w:val="0"/>
          <w:marTop w:val="115"/>
          <w:marBottom w:val="0"/>
          <w:divBdr>
            <w:top w:val="none" w:sz="0" w:space="0" w:color="auto"/>
            <w:left w:val="none" w:sz="0" w:space="0" w:color="auto"/>
            <w:bottom w:val="none" w:sz="0" w:space="0" w:color="auto"/>
            <w:right w:val="none" w:sz="0" w:space="0" w:color="auto"/>
          </w:divBdr>
        </w:div>
        <w:div w:id="734165231">
          <w:marLeft w:val="1166"/>
          <w:marRight w:val="0"/>
          <w:marTop w:val="115"/>
          <w:marBottom w:val="0"/>
          <w:divBdr>
            <w:top w:val="none" w:sz="0" w:space="0" w:color="auto"/>
            <w:left w:val="none" w:sz="0" w:space="0" w:color="auto"/>
            <w:bottom w:val="none" w:sz="0" w:space="0" w:color="auto"/>
            <w:right w:val="none" w:sz="0" w:space="0" w:color="auto"/>
          </w:divBdr>
        </w:div>
        <w:div w:id="1095247403">
          <w:marLeft w:val="1166"/>
          <w:marRight w:val="0"/>
          <w:marTop w:val="115"/>
          <w:marBottom w:val="0"/>
          <w:divBdr>
            <w:top w:val="none" w:sz="0" w:space="0" w:color="auto"/>
            <w:left w:val="none" w:sz="0" w:space="0" w:color="auto"/>
            <w:bottom w:val="none" w:sz="0" w:space="0" w:color="auto"/>
            <w:right w:val="none" w:sz="0" w:space="0" w:color="auto"/>
          </w:divBdr>
        </w:div>
        <w:div w:id="1200896154">
          <w:marLeft w:val="1166"/>
          <w:marRight w:val="0"/>
          <w:marTop w:val="115"/>
          <w:marBottom w:val="0"/>
          <w:divBdr>
            <w:top w:val="none" w:sz="0" w:space="0" w:color="auto"/>
            <w:left w:val="none" w:sz="0" w:space="0" w:color="auto"/>
            <w:bottom w:val="none" w:sz="0" w:space="0" w:color="auto"/>
            <w:right w:val="none" w:sz="0" w:space="0" w:color="auto"/>
          </w:divBdr>
        </w:div>
      </w:divsChild>
    </w:div>
    <w:div w:id="282812532">
      <w:bodyDiv w:val="1"/>
      <w:marLeft w:val="0"/>
      <w:marRight w:val="0"/>
      <w:marTop w:val="0"/>
      <w:marBottom w:val="0"/>
      <w:divBdr>
        <w:top w:val="none" w:sz="0" w:space="0" w:color="auto"/>
        <w:left w:val="none" w:sz="0" w:space="0" w:color="auto"/>
        <w:bottom w:val="none" w:sz="0" w:space="0" w:color="auto"/>
        <w:right w:val="none" w:sz="0" w:space="0" w:color="auto"/>
      </w:divBdr>
    </w:div>
    <w:div w:id="285700494">
      <w:bodyDiv w:val="1"/>
      <w:marLeft w:val="0"/>
      <w:marRight w:val="0"/>
      <w:marTop w:val="0"/>
      <w:marBottom w:val="0"/>
      <w:divBdr>
        <w:top w:val="none" w:sz="0" w:space="0" w:color="auto"/>
        <w:left w:val="none" w:sz="0" w:space="0" w:color="auto"/>
        <w:bottom w:val="none" w:sz="0" w:space="0" w:color="auto"/>
        <w:right w:val="none" w:sz="0" w:space="0" w:color="auto"/>
      </w:divBdr>
    </w:div>
    <w:div w:id="291011993">
      <w:bodyDiv w:val="1"/>
      <w:marLeft w:val="0"/>
      <w:marRight w:val="0"/>
      <w:marTop w:val="0"/>
      <w:marBottom w:val="0"/>
      <w:divBdr>
        <w:top w:val="none" w:sz="0" w:space="0" w:color="auto"/>
        <w:left w:val="none" w:sz="0" w:space="0" w:color="auto"/>
        <w:bottom w:val="none" w:sz="0" w:space="0" w:color="auto"/>
        <w:right w:val="none" w:sz="0" w:space="0" w:color="auto"/>
      </w:divBdr>
    </w:div>
    <w:div w:id="291133009">
      <w:bodyDiv w:val="1"/>
      <w:marLeft w:val="0"/>
      <w:marRight w:val="0"/>
      <w:marTop w:val="0"/>
      <w:marBottom w:val="0"/>
      <w:divBdr>
        <w:top w:val="none" w:sz="0" w:space="0" w:color="auto"/>
        <w:left w:val="none" w:sz="0" w:space="0" w:color="auto"/>
        <w:bottom w:val="none" w:sz="0" w:space="0" w:color="auto"/>
        <w:right w:val="none" w:sz="0" w:space="0" w:color="auto"/>
      </w:divBdr>
    </w:div>
    <w:div w:id="293214584">
      <w:bodyDiv w:val="1"/>
      <w:marLeft w:val="0"/>
      <w:marRight w:val="0"/>
      <w:marTop w:val="0"/>
      <w:marBottom w:val="0"/>
      <w:divBdr>
        <w:top w:val="none" w:sz="0" w:space="0" w:color="auto"/>
        <w:left w:val="none" w:sz="0" w:space="0" w:color="auto"/>
        <w:bottom w:val="none" w:sz="0" w:space="0" w:color="auto"/>
        <w:right w:val="none" w:sz="0" w:space="0" w:color="auto"/>
      </w:divBdr>
      <w:divsChild>
        <w:div w:id="26806174">
          <w:marLeft w:val="0"/>
          <w:marRight w:val="0"/>
          <w:marTop w:val="0"/>
          <w:marBottom w:val="0"/>
          <w:divBdr>
            <w:top w:val="none" w:sz="0" w:space="0" w:color="auto"/>
            <w:left w:val="none" w:sz="0" w:space="0" w:color="auto"/>
            <w:bottom w:val="none" w:sz="0" w:space="0" w:color="auto"/>
            <w:right w:val="none" w:sz="0" w:space="0" w:color="auto"/>
          </w:divBdr>
        </w:div>
        <w:div w:id="104620849">
          <w:marLeft w:val="0"/>
          <w:marRight w:val="0"/>
          <w:marTop w:val="0"/>
          <w:marBottom w:val="0"/>
          <w:divBdr>
            <w:top w:val="none" w:sz="0" w:space="0" w:color="auto"/>
            <w:left w:val="none" w:sz="0" w:space="0" w:color="auto"/>
            <w:bottom w:val="none" w:sz="0" w:space="0" w:color="auto"/>
            <w:right w:val="none" w:sz="0" w:space="0" w:color="auto"/>
          </w:divBdr>
        </w:div>
        <w:div w:id="105277570">
          <w:marLeft w:val="0"/>
          <w:marRight w:val="0"/>
          <w:marTop w:val="0"/>
          <w:marBottom w:val="0"/>
          <w:divBdr>
            <w:top w:val="none" w:sz="0" w:space="0" w:color="auto"/>
            <w:left w:val="none" w:sz="0" w:space="0" w:color="auto"/>
            <w:bottom w:val="none" w:sz="0" w:space="0" w:color="auto"/>
            <w:right w:val="none" w:sz="0" w:space="0" w:color="auto"/>
          </w:divBdr>
        </w:div>
        <w:div w:id="195851874">
          <w:marLeft w:val="0"/>
          <w:marRight w:val="0"/>
          <w:marTop w:val="0"/>
          <w:marBottom w:val="0"/>
          <w:divBdr>
            <w:top w:val="none" w:sz="0" w:space="0" w:color="auto"/>
            <w:left w:val="none" w:sz="0" w:space="0" w:color="auto"/>
            <w:bottom w:val="none" w:sz="0" w:space="0" w:color="auto"/>
            <w:right w:val="none" w:sz="0" w:space="0" w:color="auto"/>
          </w:divBdr>
        </w:div>
        <w:div w:id="210118803">
          <w:marLeft w:val="0"/>
          <w:marRight w:val="0"/>
          <w:marTop w:val="0"/>
          <w:marBottom w:val="0"/>
          <w:divBdr>
            <w:top w:val="none" w:sz="0" w:space="0" w:color="auto"/>
            <w:left w:val="none" w:sz="0" w:space="0" w:color="auto"/>
            <w:bottom w:val="none" w:sz="0" w:space="0" w:color="auto"/>
            <w:right w:val="none" w:sz="0" w:space="0" w:color="auto"/>
          </w:divBdr>
        </w:div>
        <w:div w:id="355228564">
          <w:marLeft w:val="0"/>
          <w:marRight w:val="0"/>
          <w:marTop w:val="0"/>
          <w:marBottom w:val="0"/>
          <w:divBdr>
            <w:top w:val="none" w:sz="0" w:space="0" w:color="auto"/>
            <w:left w:val="none" w:sz="0" w:space="0" w:color="auto"/>
            <w:bottom w:val="none" w:sz="0" w:space="0" w:color="auto"/>
            <w:right w:val="none" w:sz="0" w:space="0" w:color="auto"/>
          </w:divBdr>
        </w:div>
        <w:div w:id="387384577">
          <w:marLeft w:val="0"/>
          <w:marRight w:val="0"/>
          <w:marTop w:val="0"/>
          <w:marBottom w:val="0"/>
          <w:divBdr>
            <w:top w:val="none" w:sz="0" w:space="0" w:color="auto"/>
            <w:left w:val="none" w:sz="0" w:space="0" w:color="auto"/>
            <w:bottom w:val="none" w:sz="0" w:space="0" w:color="auto"/>
            <w:right w:val="none" w:sz="0" w:space="0" w:color="auto"/>
          </w:divBdr>
        </w:div>
        <w:div w:id="404768909">
          <w:marLeft w:val="0"/>
          <w:marRight w:val="0"/>
          <w:marTop w:val="0"/>
          <w:marBottom w:val="0"/>
          <w:divBdr>
            <w:top w:val="none" w:sz="0" w:space="0" w:color="auto"/>
            <w:left w:val="none" w:sz="0" w:space="0" w:color="auto"/>
            <w:bottom w:val="none" w:sz="0" w:space="0" w:color="auto"/>
            <w:right w:val="none" w:sz="0" w:space="0" w:color="auto"/>
          </w:divBdr>
        </w:div>
        <w:div w:id="439305582">
          <w:marLeft w:val="0"/>
          <w:marRight w:val="0"/>
          <w:marTop w:val="0"/>
          <w:marBottom w:val="0"/>
          <w:divBdr>
            <w:top w:val="none" w:sz="0" w:space="0" w:color="auto"/>
            <w:left w:val="none" w:sz="0" w:space="0" w:color="auto"/>
            <w:bottom w:val="none" w:sz="0" w:space="0" w:color="auto"/>
            <w:right w:val="none" w:sz="0" w:space="0" w:color="auto"/>
          </w:divBdr>
        </w:div>
        <w:div w:id="453595717">
          <w:marLeft w:val="0"/>
          <w:marRight w:val="0"/>
          <w:marTop w:val="0"/>
          <w:marBottom w:val="0"/>
          <w:divBdr>
            <w:top w:val="none" w:sz="0" w:space="0" w:color="auto"/>
            <w:left w:val="none" w:sz="0" w:space="0" w:color="auto"/>
            <w:bottom w:val="none" w:sz="0" w:space="0" w:color="auto"/>
            <w:right w:val="none" w:sz="0" w:space="0" w:color="auto"/>
          </w:divBdr>
        </w:div>
        <w:div w:id="477306783">
          <w:marLeft w:val="0"/>
          <w:marRight w:val="0"/>
          <w:marTop w:val="0"/>
          <w:marBottom w:val="0"/>
          <w:divBdr>
            <w:top w:val="none" w:sz="0" w:space="0" w:color="auto"/>
            <w:left w:val="none" w:sz="0" w:space="0" w:color="auto"/>
            <w:bottom w:val="none" w:sz="0" w:space="0" w:color="auto"/>
            <w:right w:val="none" w:sz="0" w:space="0" w:color="auto"/>
          </w:divBdr>
        </w:div>
        <w:div w:id="525414676">
          <w:marLeft w:val="0"/>
          <w:marRight w:val="0"/>
          <w:marTop w:val="0"/>
          <w:marBottom w:val="0"/>
          <w:divBdr>
            <w:top w:val="none" w:sz="0" w:space="0" w:color="auto"/>
            <w:left w:val="none" w:sz="0" w:space="0" w:color="auto"/>
            <w:bottom w:val="none" w:sz="0" w:space="0" w:color="auto"/>
            <w:right w:val="none" w:sz="0" w:space="0" w:color="auto"/>
          </w:divBdr>
        </w:div>
        <w:div w:id="552346641">
          <w:marLeft w:val="0"/>
          <w:marRight w:val="0"/>
          <w:marTop w:val="0"/>
          <w:marBottom w:val="0"/>
          <w:divBdr>
            <w:top w:val="none" w:sz="0" w:space="0" w:color="auto"/>
            <w:left w:val="none" w:sz="0" w:space="0" w:color="auto"/>
            <w:bottom w:val="none" w:sz="0" w:space="0" w:color="auto"/>
            <w:right w:val="none" w:sz="0" w:space="0" w:color="auto"/>
          </w:divBdr>
        </w:div>
        <w:div w:id="567958499">
          <w:marLeft w:val="0"/>
          <w:marRight w:val="0"/>
          <w:marTop w:val="0"/>
          <w:marBottom w:val="0"/>
          <w:divBdr>
            <w:top w:val="none" w:sz="0" w:space="0" w:color="auto"/>
            <w:left w:val="none" w:sz="0" w:space="0" w:color="auto"/>
            <w:bottom w:val="none" w:sz="0" w:space="0" w:color="auto"/>
            <w:right w:val="none" w:sz="0" w:space="0" w:color="auto"/>
          </w:divBdr>
        </w:div>
        <w:div w:id="570235897">
          <w:marLeft w:val="0"/>
          <w:marRight w:val="0"/>
          <w:marTop w:val="0"/>
          <w:marBottom w:val="0"/>
          <w:divBdr>
            <w:top w:val="none" w:sz="0" w:space="0" w:color="auto"/>
            <w:left w:val="none" w:sz="0" w:space="0" w:color="auto"/>
            <w:bottom w:val="none" w:sz="0" w:space="0" w:color="auto"/>
            <w:right w:val="none" w:sz="0" w:space="0" w:color="auto"/>
          </w:divBdr>
        </w:div>
        <w:div w:id="646011250">
          <w:marLeft w:val="0"/>
          <w:marRight w:val="0"/>
          <w:marTop w:val="0"/>
          <w:marBottom w:val="0"/>
          <w:divBdr>
            <w:top w:val="none" w:sz="0" w:space="0" w:color="auto"/>
            <w:left w:val="none" w:sz="0" w:space="0" w:color="auto"/>
            <w:bottom w:val="none" w:sz="0" w:space="0" w:color="auto"/>
            <w:right w:val="none" w:sz="0" w:space="0" w:color="auto"/>
          </w:divBdr>
        </w:div>
        <w:div w:id="665285479">
          <w:marLeft w:val="0"/>
          <w:marRight w:val="0"/>
          <w:marTop w:val="0"/>
          <w:marBottom w:val="0"/>
          <w:divBdr>
            <w:top w:val="none" w:sz="0" w:space="0" w:color="auto"/>
            <w:left w:val="none" w:sz="0" w:space="0" w:color="auto"/>
            <w:bottom w:val="none" w:sz="0" w:space="0" w:color="auto"/>
            <w:right w:val="none" w:sz="0" w:space="0" w:color="auto"/>
          </w:divBdr>
        </w:div>
        <w:div w:id="684021098">
          <w:marLeft w:val="0"/>
          <w:marRight w:val="0"/>
          <w:marTop w:val="0"/>
          <w:marBottom w:val="0"/>
          <w:divBdr>
            <w:top w:val="none" w:sz="0" w:space="0" w:color="auto"/>
            <w:left w:val="none" w:sz="0" w:space="0" w:color="auto"/>
            <w:bottom w:val="none" w:sz="0" w:space="0" w:color="auto"/>
            <w:right w:val="none" w:sz="0" w:space="0" w:color="auto"/>
          </w:divBdr>
        </w:div>
        <w:div w:id="743911422">
          <w:marLeft w:val="0"/>
          <w:marRight w:val="0"/>
          <w:marTop w:val="0"/>
          <w:marBottom w:val="0"/>
          <w:divBdr>
            <w:top w:val="none" w:sz="0" w:space="0" w:color="auto"/>
            <w:left w:val="none" w:sz="0" w:space="0" w:color="auto"/>
            <w:bottom w:val="none" w:sz="0" w:space="0" w:color="auto"/>
            <w:right w:val="none" w:sz="0" w:space="0" w:color="auto"/>
          </w:divBdr>
        </w:div>
        <w:div w:id="752045186">
          <w:marLeft w:val="0"/>
          <w:marRight w:val="0"/>
          <w:marTop w:val="0"/>
          <w:marBottom w:val="0"/>
          <w:divBdr>
            <w:top w:val="none" w:sz="0" w:space="0" w:color="auto"/>
            <w:left w:val="none" w:sz="0" w:space="0" w:color="auto"/>
            <w:bottom w:val="none" w:sz="0" w:space="0" w:color="auto"/>
            <w:right w:val="none" w:sz="0" w:space="0" w:color="auto"/>
          </w:divBdr>
        </w:div>
        <w:div w:id="759064349">
          <w:marLeft w:val="0"/>
          <w:marRight w:val="0"/>
          <w:marTop w:val="0"/>
          <w:marBottom w:val="0"/>
          <w:divBdr>
            <w:top w:val="none" w:sz="0" w:space="0" w:color="auto"/>
            <w:left w:val="none" w:sz="0" w:space="0" w:color="auto"/>
            <w:bottom w:val="none" w:sz="0" w:space="0" w:color="auto"/>
            <w:right w:val="none" w:sz="0" w:space="0" w:color="auto"/>
          </w:divBdr>
        </w:div>
        <w:div w:id="770398889">
          <w:marLeft w:val="0"/>
          <w:marRight w:val="0"/>
          <w:marTop w:val="0"/>
          <w:marBottom w:val="0"/>
          <w:divBdr>
            <w:top w:val="none" w:sz="0" w:space="0" w:color="auto"/>
            <w:left w:val="none" w:sz="0" w:space="0" w:color="auto"/>
            <w:bottom w:val="none" w:sz="0" w:space="0" w:color="auto"/>
            <w:right w:val="none" w:sz="0" w:space="0" w:color="auto"/>
          </w:divBdr>
        </w:div>
        <w:div w:id="775052609">
          <w:marLeft w:val="0"/>
          <w:marRight w:val="0"/>
          <w:marTop w:val="0"/>
          <w:marBottom w:val="0"/>
          <w:divBdr>
            <w:top w:val="none" w:sz="0" w:space="0" w:color="auto"/>
            <w:left w:val="none" w:sz="0" w:space="0" w:color="auto"/>
            <w:bottom w:val="none" w:sz="0" w:space="0" w:color="auto"/>
            <w:right w:val="none" w:sz="0" w:space="0" w:color="auto"/>
          </w:divBdr>
        </w:div>
        <w:div w:id="798377476">
          <w:marLeft w:val="0"/>
          <w:marRight w:val="0"/>
          <w:marTop w:val="0"/>
          <w:marBottom w:val="0"/>
          <w:divBdr>
            <w:top w:val="none" w:sz="0" w:space="0" w:color="auto"/>
            <w:left w:val="none" w:sz="0" w:space="0" w:color="auto"/>
            <w:bottom w:val="none" w:sz="0" w:space="0" w:color="auto"/>
            <w:right w:val="none" w:sz="0" w:space="0" w:color="auto"/>
          </w:divBdr>
        </w:div>
        <w:div w:id="850799739">
          <w:marLeft w:val="0"/>
          <w:marRight w:val="0"/>
          <w:marTop w:val="0"/>
          <w:marBottom w:val="0"/>
          <w:divBdr>
            <w:top w:val="none" w:sz="0" w:space="0" w:color="auto"/>
            <w:left w:val="none" w:sz="0" w:space="0" w:color="auto"/>
            <w:bottom w:val="none" w:sz="0" w:space="0" w:color="auto"/>
            <w:right w:val="none" w:sz="0" w:space="0" w:color="auto"/>
          </w:divBdr>
        </w:div>
        <w:div w:id="867454849">
          <w:marLeft w:val="0"/>
          <w:marRight w:val="0"/>
          <w:marTop w:val="0"/>
          <w:marBottom w:val="0"/>
          <w:divBdr>
            <w:top w:val="none" w:sz="0" w:space="0" w:color="auto"/>
            <w:left w:val="none" w:sz="0" w:space="0" w:color="auto"/>
            <w:bottom w:val="none" w:sz="0" w:space="0" w:color="auto"/>
            <w:right w:val="none" w:sz="0" w:space="0" w:color="auto"/>
          </w:divBdr>
        </w:div>
        <w:div w:id="868496052">
          <w:marLeft w:val="0"/>
          <w:marRight w:val="0"/>
          <w:marTop w:val="0"/>
          <w:marBottom w:val="0"/>
          <w:divBdr>
            <w:top w:val="none" w:sz="0" w:space="0" w:color="auto"/>
            <w:left w:val="none" w:sz="0" w:space="0" w:color="auto"/>
            <w:bottom w:val="none" w:sz="0" w:space="0" w:color="auto"/>
            <w:right w:val="none" w:sz="0" w:space="0" w:color="auto"/>
          </w:divBdr>
        </w:div>
        <w:div w:id="967973240">
          <w:marLeft w:val="0"/>
          <w:marRight w:val="0"/>
          <w:marTop w:val="0"/>
          <w:marBottom w:val="0"/>
          <w:divBdr>
            <w:top w:val="none" w:sz="0" w:space="0" w:color="auto"/>
            <w:left w:val="none" w:sz="0" w:space="0" w:color="auto"/>
            <w:bottom w:val="none" w:sz="0" w:space="0" w:color="auto"/>
            <w:right w:val="none" w:sz="0" w:space="0" w:color="auto"/>
          </w:divBdr>
        </w:div>
        <w:div w:id="982808582">
          <w:marLeft w:val="0"/>
          <w:marRight w:val="0"/>
          <w:marTop w:val="0"/>
          <w:marBottom w:val="0"/>
          <w:divBdr>
            <w:top w:val="none" w:sz="0" w:space="0" w:color="auto"/>
            <w:left w:val="none" w:sz="0" w:space="0" w:color="auto"/>
            <w:bottom w:val="none" w:sz="0" w:space="0" w:color="auto"/>
            <w:right w:val="none" w:sz="0" w:space="0" w:color="auto"/>
          </w:divBdr>
        </w:div>
        <w:div w:id="1022239791">
          <w:marLeft w:val="0"/>
          <w:marRight w:val="0"/>
          <w:marTop w:val="0"/>
          <w:marBottom w:val="0"/>
          <w:divBdr>
            <w:top w:val="none" w:sz="0" w:space="0" w:color="auto"/>
            <w:left w:val="none" w:sz="0" w:space="0" w:color="auto"/>
            <w:bottom w:val="none" w:sz="0" w:space="0" w:color="auto"/>
            <w:right w:val="none" w:sz="0" w:space="0" w:color="auto"/>
          </w:divBdr>
        </w:div>
        <w:div w:id="1022240822">
          <w:marLeft w:val="0"/>
          <w:marRight w:val="0"/>
          <w:marTop w:val="0"/>
          <w:marBottom w:val="0"/>
          <w:divBdr>
            <w:top w:val="none" w:sz="0" w:space="0" w:color="auto"/>
            <w:left w:val="none" w:sz="0" w:space="0" w:color="auto"/>
            <w:bottom w:val="none" w:sz="0" w:space="0" w:color="auto"/>
            <w:right w:val="none" w:sz="0" w:space="0" w:color="auto"/>
          </w:divBdr>
        </w:div>
        <w:div w:id="1101337447">
          <w:marLeft w:val="0"/>
          <w:marRight w:val="0"/>
          <w:marTop w:val="0"/>
          <w:marBottom w:val="0"/>
          <w:divBdr>
            <w:top w:val="none" w:sz="0" w:space="0" w:color="auto"/>
            <w:left w:val="none" w:sz="0" w:space="0" w:color="auto"/>
            <w:bottom w:val="none" w:sz="0" w:space="0" w:color="auto"/>
            <w:right w:val="none" w:sz="0" w:space="0" w:color="auto"/>
          </w:divBdr>
        </w:div>
        <w:div w:id="1144851109">
          <w:marLeft w:val="0"/>
          <w:marRight w:val="0"/>
          <w:marTop w:val="0"/>
          <w:marBottom w:val="0"/>
          <w:divBdr>
            <w:top w:val="none" w:sz="0" w:space="0" w:color="auto"/>
            <w:left w:val="none" w:sz="0" w:space="0" w:color="auto"/>
            <w:bottom w:val="none" w:sz="0" w:space="0" w:color="auto"/>
            <w:right w:val="none" w:sz="0" w:space="0" w:color="auto"/>
          </w:divBdr>
        </w:div>
        <w:div w:id="1146357602">
          <w:marLeft w:val="0"/>
          <w:marRight w:val="0"/>
          <w:marTop w:val="0"/>
          <w:marBottom w:val="0"/>
          <w:divBdr>
            <w:top w:val="none" w:sz="0" w:space="0" w:color="auto"/>
            <w:left w:val="none" w:sz="0" w:space="0" w:color="auto"/>
            <w:bottom w:val="none" w:sz="0" w:space="0" w:color="auto"/>
            <w:right w:val="none" w:sz="0" w:space="0" w:color="auto"/>
          </w:divBdr>
        </w:div>
        <w:div w:id="1186288217">
          <w:marLeft w:val="0"/>
          <w:marRight w:val="0"/>
          <w:marTop w:val="0"/>
          <w:marBottom w:val="0"/>
          <w:divBdr>
            <w:top w:val="none" w:sz="0" w:space="0" w:color="auto"/>
            <w:left w:val="none" w:sz="0" w:space="0" w:color="auto"/>
            <w:bottom w:val="none" w:sz="0" w:space="0" w:color="auto"/>
            <w:right w:val="none" w:sz="0" w:space="0" w:color="auto"/>
          </w:divBdr>
        </w:div>
        <w:div w:id="1406220646">
          <w:marLeft w:val="0"/>
          <w:marRight w:val="0"/>
          <w:marTop w:val="0"/>
          <w:marBottom w:val="0"/>
          <w:divBdr>
            <w:top w:val="none" w:sz="0" w:space="0" w:color="auto"/>
            <w:left w:val="none" w:sz="0" w:space="0" w:color="auto"/>
            <w:bottom w:val="none" w:sz="0" w:space="0" w:color="auto"/>
            <w:right w:val="none" w:sz="0" w:space="0" w:color="auto"/>
          </w:divBdr>
        </w:div>
        <w:div w:id="1432242652">
          <w:marLeft w:val="0"/>
          <w:marRight w:val="0"/>
          <w:marTop w:val="0"/>
          <w:marBottom w:val="0"/>
          <w:divBdr>
            <w:top w:val="none" w:sz="0" w:space="0" w:color="auto"/>
            <w:left w:val="none" w:sz="0" w:space="0" w:color="auto"/>
            <w:bottom w:val="none" w:sz="0" w:space="0" w:color="auto"/>
            <w:right w:val="none" w:sz="0" w:space="0" w:color="auto"/>
          </w:divBdr>
        </w:div>
        <w:div w:id="1558858708">
          <w:marLeft w:val="0"/>
          <w:marRight w:val="0"/>
          <w:marTop w:val="0"/>
          <w:marBottom w:val="0"/>
          <w:divBdr>
            <w:top w:val="none" w:sz="0" w:space="0" w:color="auto"/>
            <w:left w:val="none" w:sz="0" w:space="0" w:color="auto"/>
            <w:bottom w:val="none" w:sz="0" w:space="0" w:color="auto"/>
            <w:right w:val="none" w:sz="0" w:space="0" w:color="auto"/>
          </w:divBdr>
        </w:div>
        <w:div w:id="1583684519">
          <w:marLeft w:val="0"/>
          <w:marRight w:val="0"/>
          <w:marTop w:val="0"/>
          <w:marBottom w:val="0"/>
          <w:divBdr>
            <w:top w:val="none" w:sz="0" w:space="0" w:color="auto"/>
            <w:left w:val="none" w:sz="0" w:space="0" w:color="auto"/>
            <w:bottom w:val="none" w:sz="0" w:space="0" w:color="auto"/>
            <w:right w:val="none" w:sz="0" w:space="0" w:color="auto"/>
          </w:divBdr>
        </w:div>
        <w:div w:id="1630667253">
          <w:marLeft w:val="0"/>
          <w:marRight w:val="0"/>
          <w:marTop w:val="0"/>
          <w:marBottom w:val="0"/>
          <w:divBdr>
            <w:top w:val="none" w:sz="0" w:space="0" w:color="auto"/>
            <w:left w:val="none" w:sz="0" w:space="0" w:color="auto"/>
            <w:bottom w:val="none" w:sz="0" w:space="0" w:color="auto"/>
            <w:right w:val="none" w:sz="0" w:space="0" w:color="auto"/>
          </w:divBdr>
        </w:div>
        <w:div w:id="1671367611">
          <w:marLeft w:val="0"/>
          <w:marRight w:val="0"/>
          <w:marTop w:val="0"/>
          <w:marBottom w:val="0"/>
          <w:divBdr>
            <w:top w:val="none" w:sz="0" w:space="0" w:color="auto"/>
            <w:left w:val="none" w:sz="0" w:space="0" w:color="auto"/>
            <w:bottom w:val="none" w:sz="0" w:space="0" w:color="auto"/>
            <w:right w:val="none" w:sz="0" w:space="0" w:color="auto"/>
          </w:divBdr>
        </w:div>
        <w:div w:id="1679574785">
          <w:marLeft w:val="0"/>
          <w:marRight w:val="0"/>
          <w:marTop w:val="0"/>
          <w:marBottom w:val="0"/>
          <w:divBdr>
            <w:top w:val="none" w:sz="0" w:space="0" w:color="auto"/>
            <w:left w:val="none" w:sz="0" w:space="0" w:color="auto"/>
            <w:bottom w:val="none" w:sz="0" w:space="0" w:color="auto"/>
            <w:right w:val="none" w:sz="0" w:space="0" w:color="auto"/>
          </w:divBdr>
        </w:div>
        <w:div w:id="1709142895">
          <w:marLeft w:val="0"/>
          <w:marRight w:val="0"/>
          <w:marTop w:val="0"/>
          <w:marBottom w:val="0"/>
          <w:divBdr>
            <w:top w:val="none" w:sz="0" w:space="0" w:color="auto"/>
            <w:left w:val="none" w:sz="0" w:space="0" w:color="auto"/>
            <w:bottom w:val="none" w:sz="0" w:space="0" w:color="auto"/>
            <w:right w:val="none" w:sz="0" w:space="0" w:color="auto"/>
          </w:divBdr>
        </w:div>
        <w:div w:id="1736122866">
          <w:marLeft w:val="0"/>
          <w:marRight w:val="0"/>
          <w:marTop w:val="0"/>
          <w:marBottom w:val="0"/>
          <w:divBdr>
            <w:top w:val="none" w:sz="0" w:space="0" w:color="auto"/>
            <w:left w:val="none" w:sz="0" w:space="0" w:color="auto"/>
            <w:bottom w:val="none" w:sz="0" w:space="0" w:color="auto"/>
            <w:right w:val="none" w:sz="0" w:space="0" w:color="auto"/>
          </w:divBdr>
        </w:div>
        <w:div w:id="1931622322">
          <w:marLeft w:val="0"/>
          <w:marRight w:val="0"/>
          <w:marTop w:val="0"/>
          <w:marBottom w:val="0"/>
          <w:divBdr>
            <w:top w:val="none" w:sz="0" w:space="0" w:color="auto"/>
            <w:left w:val="none" w:sz="0" w:space="0" w:color="auto"/>
            <w:bottom w:val="none" w:sz="0" w:space="0" w:color="auto"/>
            <w:right w:val="none" w:sz="0" w:space="0" w:color="auto"/>
          </w:divBdr>
        </w:div>
        <w:div w:id="2021924657">
          <w:marLeft w:val="0"/>
          <w:marRight w:val="0"/>
          <w:marTop w:val="0"/>
          <w:marBottom w:val="0"/>
          <w:divBdr>
            <w:top w:val="none" w:sz="0" w:space="0" w:color="auto"/>
            <w:left w:val="none" w:sz="0" w:space="0" w:color="auto"/>
            <w:bottom w:val="none" w:sz="0" w:space="0" w:color="auto"/>
            <w:right w:val="none" w:sz="0" w:space="0" w:color="auto"/>
          </w:divBdr>
        </w:div>
        <w:div w:id="2108647848">
          <w:marLeft w:val="0"/>
          <w:marRight w:val="0"/>
          <w:marTop w:val="0"/>
          <w:marBottom w:val="0"/>
          <w:divBdr>
            <w:top w:val="none" w:sz="0" w:space="0" w:color="auto"/>
            <w:left w:val="none" w:sz="0" w:space="0" w:color="auto"/>
            <w:bottom w:val="none" w:sz="0" w:space="0" w:color="auto"/>
            <w:right w:val="none" w:sz="0" w:space="0" w:color="auto"/>
          </w:divBdr>
        </w:div>
        <w:div w:id="2112891063">
          <w:marLeft w:val="0"/>
          <w:marRight w:val="0"/>
          <w:marTop w:val="0"/>
          <w:marBottom w:val="0"/>
          <w:divBdr>
            <w:top w:val="none" w:sz="0" w:space="0" w:color="auto"/>
            <w:left w:val="none" w:sz="0" w:space="0" w:color="auto"/>
            <w:bottom w:val="none" w:sz="0" w:space="0" w:color="auto"/>
            <w:right w:val="none" w:sz="0" w:space="0" w:color="auto"/>
          </w:divBdr>
        </w:div>
      </w:divsChild>
    </w:div>
    <w:div w:id="294215340">
      <w:bodyDiv w:val="1"/>
      <w:marLeft w:val="0"/>
      <w:marRight w:val="0"/>
      <w:marTop w:val="0"/>
      <w:marBottom w:val="0"/>
      <w:divBdr>
        <w:top w:val="none" w:sz="0" w:space="0" w:color="auto"/>
        <w:left w:val="none" w:sz="0" w:space="0" w:color="auto"/>
        <w:bottom w:val="none" w:sz="0" w:space="0" w:color="auto"/>
        <w:right w:val="none" w:sz="0" w:space="0" w:color="auto"/>
      </w:divBdr>
    </w:div>
    <w:div w:id="294914304">
      <w:bodyDiv w:val="1"/>
      <w:marLeft w:val="0"/>
      <w:marRight w:val="0"/>
      <w:marTop w:val="0"/>
      <w:marBottom w:val="0"/>
      <w:divBdr>
        <w:top w:val="none" w:sz="0" w:space="0" w:color="auto"/>
        <w:left w:val="none" w:sz="0" w:space="0" w:color="auto"/>
        <w:bottom w:val="none" w:sz="0" w:space="0" w:color="auto"/>
        <w:right w:val="none" w:sz="0" w:space="0" w:color="auto"/>
      </w:divBdr>
      <w:divsChild>
        <w:div w:id="591401534">
          <w:marLeft w:val="0"/>
          <w:marRight w:val="0"/>
          <w:marTop w:val="0"/>
          <w:marBottom w:val="0"/>
          <w:divBdr>
            <w:top w:val="none" w:sz="0" w:space="0" w:color="auto"/>
            <w:left w:val="none" w:sz="0" w:space="0" w:color="auto"/>
            <w:bottom w:val="none" w:sz="0" w:space="0" w:color="auto"/>
            <w:right w:val="none" w:sz="0" w:space="0" w:color="auto"/>
          </w:divBdr>
        </w:div>
      </w:divsChild>
    </w:div>
    <w:div w:id="295333081">
      <w:bodyDiv w:val="1"/>
      <w:marLeft w:val="0"/>
      <w:marRight w:val="0"/>
      <w:marTop w:val="0"/>
      <w:marBottom w:val="0"/>
      <w:divBdr>
        <w:top w:val="none" w:sz="0" w:space="0" w:color="auto"/>
        <w:left w:val="none" w:sz="0" w:space="0" w:color="auto"/>
        <w:bottom w:val="none" w:sz="0" w:space="0" w:color="auto"/>
        <w:right w:val="none" w:sz="0" w:space="0" w:color="auto"/>
      </w:divBdr>
    </w:div>
    <w:div w:id="301085499">
      <w:bodyDiv w:val="1"/>
      <w:marLeft w:val="0"/>
      <w:marRight w:val="0"/>
      <w:marTop w:val="0"/>
      <w:marBottom w:val="0"/>
      <w:divBdr>
        <w:top w:val="none" w:sz="0" w:space="0" w:color="auto"/>
        <w:left w:val="none" w:sz="0" w:space="0" w:color="auto"/>
        <w:bottom w:val="none" w:sz="0" w:space="0" w:color="auto"/>
        <w:right w:val="none" w:sz="0" w:space="0" w:color="auto"/>
      </w:divBdr>
    </w:div>
    <w:div w:id="307712509">
      <w:bodyDiv w:val="1"/>
      <w:marLeft w:val="0"/>
      <w:marRight w:val="0"/>
      <w:marTop w:val="0"/>
      <w:marBottom w:val="0"/>
      <w:divBdr>
        <w:top w:val="none" w:sz="0" w:space="0" w:color="auto"/>
        <w:left w:val="none" w:sz="0" w:space="0" w:color="auto"/>
        <w:bottom w:val="none" w:sz="0" w:space="0" w:color="auto"/>
        <w:right w:val="none" w:sz="0" w:space="0" w:color="auto"/>
      </w:divBdr>
    </w:div>
    <w:div w:id="308441145">
      <w:bodyDiv w:val="1"/>
      <w:marLeft w:val="0"/>
      <w:marRight w:val="0"/>
      <w:marTop w:val="0"/>
      <w:marBottom w:val="0"/>
      <w:divBdr>
        <w:top w:val="none" w:sz="0" w:space="0" w:color="auto"/>
        <w:left w:val="none" w:sz="0" w:space="0" w:color="auto"/>
        <w:bottom w:val="none" w:sz="0" w:space="0" w:color="auto"/>
        <w:right w:val="none" w:sz="0" w:space="0" w:color="auto"/>
      </w:divBdr>
    </w:div>
    <w:div w:id="308825994">
      <w:bodyDiv w:val="1"/>
      <w:marLeft w:val="0"/>
      <w:marRight w:val="0"/>
      <w:marTop w:val="0"/>
      <w:marBottom w:val="0"/>
      <w:divBdr>
        <w:top w:val="none" w:sz="0" w:space="0" w:color="auto"/>
        <w:left w:val="none" w:sz="0" w:space="0" w:color="auto"/>
        <w:bottom w:val="none" w:sz="0" w:space="0" w:color="auto"/>
        <w:right w:val="none" w:sz="0" w:space="0" w:color="auto"/>
      </w:divBdr>
    </w:div>
    <w:div w:id="318583951">
      <w:bodyDiv w:val="1"/>
      <w:marLeft w:val="0"/>
      <w:marRight w:val="0"/>
      <w:marTop w:val="0"/>
      <w:marBottom w:val="0"/>
      <w:divBdr>
        <w:top w:val="none" w:sz="0" w:space="0" w:color="auto"/>
        <w:left w:val="none" w:sz="0" w:space="0" w:color="auto"/>
        <w:bottom w:val="none" w:sz="0" w:space="0" w:color="auto"/>
        <w:right w:val="none" w:sz="0" w:space="0" w:color="auto"/>
      </w:divBdr>
    </w:div>
    <w:div w:id="322510566">
      <w:bodyDiv w:val="1"/>
      <w:marLeft w:val="0"/>
      <w:marRight w:val="0"/>
      <w:marTop w:val="0"/>
      <w:marBottom w:val="0"/>
      <w:divBdr>
        <w:top w:val="none" w:sz="0" w:space="0" w:color="auto"/>
        <w:left w:val="none" w:sz="0" w:space="0" w:color="auto"/>
        <w:bottom w:val="none" w:sz="0" w:space="0" w:color="auto"/>
        <w:right w:val="none" w:sz="0" w:space="0" w:color="auto"/>
      </w:divBdr>
    </w:div>
    <w:div w:id="322586784">
      <w:bodyDiv w:val="1"/>
      <w:marLeft w:val="0"/>
      <w:marRight w:val="0"/>
      <w:marTop w:val="0"/>
      <w:marBottom w:val="0"/>
      <w:divBdr>
        <w:top w:val="none" w:sz="0" w:space="0" w:color="auto"/>
        <w:left w:val="none" w:sz="0" w:space="0" w:color="auto"/>
        <w:bottom w:val="none" w:sz="0" w:space="0" w:color="auto"/>
        <w:right w:val="none" w:sz="0" w:space="0" w:color="auto"/>
      </w:divBdr>
    </w:div>
    <w:div w:id="323820927">
      <w:bodyDiv w:val="1"/>
      <w:marLeft w:val="0"/>
      <w:marRight w:val="0"/>
      <w:marTop w:val="0"/>
      <w:marBottom w:val="0"/>
      <w:divBdr>
        <w:top w:val="none" w:sz="0" w:space="0" w:color="auto"/>
        <w:left w:val="none" w:sz="0" w:space="0" w:color="auto"/>
        <w:bottom w:val="none" w:sz="0" w:space="0" w:color="auto"/>
        <w:right w:val="none" w:sz="0" w:space="0" w:color="auto"/>
      </w:divBdr>
    </w:div>
    <w:div w:id="325086918">
      <w:bodyDiv w:val="1"/>
      <w:marLeft w:val="0"/>
      <w:marRight w:val="0"/>
      <w:marTop w:val="0"/>
      <w:marBottom w:val="0"/>
      <w:divBdr>
        <w:top w:val="none" w:sz="0" w:space="0" w:color="auto"/>
        <w:left w:val="none" w:sz="0" w:space="0" w:color="auto"/>
        <w:bottom w:val="none" w:sz="0" w:space="0" w:color="auto"/>
        <w:right w:val="none" w:sz="0" w:space="0" w:color="auto"/>
      </w:divBdr>
    </w:div>
    <w:div w:id="325404224">
      <w:bodyDiv w:val="1"/>
      <w:marLeft w:val="0"/>
      <w:marRight w:val="0"/>
      <w:marTop w:val="0"/>
      <w:marBottom w:val="0"/>
      <w:divBdr>
        <w:top w:val="none" w:sz="0" w:space="0" w:color="auto"/>
        <w:left w:val="none" w:sz="0" w:space="0" w:color="auto"/>
        <w:bottom w:val="none" w:sz="0" w:space="0" w:color="auto"/>
        <w:right w:val="none" w:sz="0" w:space="0" w:color="auto"/>
      </w:divBdr>
    </w:div>
    <w:div w:id="328753974">
      <w:bodyDiv w:val="1"/>
      <w:marLeft w:val="0"/>
      <w:marRight w:val="0"/>
      <w:marTop w:val="0"/>
      <w:marBottom w:val="0"/>
      <w:divBdr>
        <w:top w:val="none" w:sz="0" w:space="0" w:color="auto"/>
        <w:left w:val="none" w:sz="0" w:space="0" w:color="auto"/>
        <w:bottom w:val="none" w:sz="0" w:space="0" w:color="auto"/>
        <w:right w:val="none" w:sz="0" w:space="0" w:color="auto"/>
      </w:divBdr>
    </w:div>
    <w:div w:id="331685640">
      <w:bodyDiv w:val="1"/>
      <w:marLeft w:val="0"/>
      <w:marRight w:val="0"/>
      <w:marTop w:val="0"/>
      <w:marBottom w:val="0"/>
      <w:divBdr>
        <w:top w:val="none" w:sz="0" w:space="0" w:color="auto"/>
        <w:left w:val="none" w:sz="0" w:space="0" w:color="auto"/>
        <w:bottom w:val="none" w:sz="0" w:space="0" w:color="auto"/>
        <w:right w:val="none" w:sz="0" w:space="0" w:color="auto"/>
      </w:divBdr>
    </w:div>
    <w:div w:id="333732017">
      <w:bodyDiv w:val="1"/>
      <w:marLeft w:val="0"/>
      <w:marRight w:val="0"/>
      <w:marTop w:val="0"/>
      <w:marBottom w:val="0"/>
      <w:divBdr>
        <w:top w:val="none" w:sz="0" w:space="0" w:color="auto"/>
        <w:left w:val="none" w:sz="0" w:space="0" w:color="auto"/>
        <w:bottom w:val="none" w:sz="0" w:space="0" w:color="auto"/>
        <w:right w:val="none" w:sz="0" w:space="0" w:color="auto"/>
      </w:divBdr>
    </w:div>
    <w:div w:id="338696905">
      <w:bodyDiv w:val="1"/>
      <w:marLeft w:val="0"/>
      <w:marRight w:val="0"/>
      <w:marTop w:val="0"/>
      <w:marBottom w:val="0"/>
      <w:divBdr>
        <w:top w:val="none" w:sz="0" w:space="0" w:color="auto"/>
        <w:left w:val="none" w:sz="0" w:space="0" w:color="auto"/>
        <w:bottom w:val="none" w:sz="0" w:space="0" w:color="auto"/>
        <w:right w:val="none" w:sz="0" w:space="0" w:color="auto"/>
      </w:divBdr>
    </w:div>
    <w:div w:id="339771157">
      <w:bodyDiv w:val="1"/>
      <w:marLeft w:val="0"/>
      <w:marRight w:val="0"/>
      <w:marTop w:val="0"/>
      <w:marBottom w:val="0"/>
      <w:divBdr>
        <w:top w:val="none" w:sz="0" w:space="0" w:color="auto"/>
        <w:left w:val="none" w:sz="0" w:space="0" w:color="auto"/>
        <w:bottom w:val="none" w:sz="0" w:space="0" w:color="auto"/>
        <w:right w:val="none" w:sz="0" w:space="0" w:color="auto"/>
      </w:divBdr>
    </w:div>
    <w:div w:id="340201809">
      <w:bodyDiv w:val="1"/>
      <w:marLeft w:val="0"/>
      <w:marRight w:val="0"/>
      <w:marTop w:val="0"/>
      <w:marBottom w:val="0"/>
      <w:divBdr>
        <w:top w:val="none" w:sz="0" w:space="0" w:color="auto"/>
        <w:left w:val="none" w:sz="0" w:space="0" w:color="auto"/>
        <w:bottom w:val="none" w:sz="0" w:space="0" w:color="auto"/>
        <w:right w:val="none" w:sz="0" w:space="0" w:color="auto"/>
      </w:divBdr>
    </w:div>
    <w:div w:id="345836421">
      <w:bodyDiv w:val="1"/>
      <w:marLeft w:val="0"/>
      <w:marRight w:val="0"/>
      <w:marTop w:val="0"/>
      <w:marBottom w:val="0"/>
      <w:divBdr>
        <w:top w:val="none" w:sz="0" w:space="0" w:color="auto"/>
        <w:left w:val="none" w:sz="0" w:space="0" w:color="auto"/>
        <w:bottom w:val="none" w:sz="0" w:space="0" w:color="auto"/>
        <w:right w:val="none" w:sz="0" w:space="0" w:color="auto"/>
      </w:divBdr>
      <w:divsChild>
        <w:div w:id="33847657">
          <w:marLeft w:val="1166"/>
          <w:marRight w:val="0"/>
          <w:marTop w:val="115"/>
          <w:marBottom w:val="0"/>
          <w:divBdr>
            <w:top w:val="none" w:sz="0" w:space="0" w:color="auto"/>
            <w:left w:val="none" w:sz="0" w:space="0" w:color="auto"/>
            <w:bottom w:val="none" w:sz="0" w:space="0" w:color="auto"/>
            <w:right w:val="none" w:sz="0" w:space="0" w:color="auto"/>
          </w:divBdr>
        </w:div>
        <w:div w:id="367417026">
          <w:marLeft w:val="1166"/>
          <w:marRight w:val="0"/>
          <w:marTop w:val="115"/>
          <w:marBottom w:val="0"/>
          <w:divBdr>
            <w:top w:val="none" w:sz="0" w:space="0" w:color="auto"/>
            <w:left w:val="none" w:sz="0" w:space="0" w:color="auto"/>
            <w:bottom w:val="none" w:sz="0" w:space="0" w:color="auto"/>
            <w:right w:val="none" w:sz="0" w:space="0" w:color="auto"/>
          </w:divBdr>
        </w:div>
        <w:div w:id="805053386">
          <w:marLeft w:val="1166"/>
          <w:marRight w:val="0"/>
          <w:marTop w:val="115"/>
          <w:marBottom w:val="0"/>
          <w:divBdr>
            <w:top w:val="none" w:sz="0" w:space="0" w:color="auto"/>
            <w:left w:val="none" w:sz="0" w:space="0" w:color="auto"/>
            <w:bottom w:val="none" w:sz="0" w:space="0" w:color="auto"/>
            <w:right w:val="none" w:sz="0" w:space="0" w:color="auto"/>
          </w:divBdr>
        </w:div>
        <w:div w:id="1292781652">
          <w:marLeft w:val="547"/>
          <w:marRight w:val="0"/>
          <w:marTop w:val="134"/>
          <w:marBottom w:val="0"/>
          <w:divBdr>
            <w:top w:val="none" w:sz="0" w:space="0" w:color="auto"/>
            <w:left w:val="none" w:sz="0" w:space="0" w:color="auto"/>
            <w:bottom w:val="none" w:sz="0" w:space="0" w:color="auto"/>
            <w:right w:val="none" w:sz="0" w:space="0" w:color="auto"/>
          </w:divBdr>
        </w:div>
        <w:div w:id="1400666115">
          <w:marLeft w:val="547"/>
          <w:marRight w:val="0"/>
          <w:marTop w:val="134"/>
          <w:marBottom w:val="0"/>
          <w:divBdr>
            <w:top w:val="none" w:sz="0" w:space="0" w:color="auto"/>
            <w:left w:val="none" w:sz="0" w:space="0" w:color="auto"/>
            <w:bottom w:val="none" w:sz="0" w:space="0" w:color="auto"/>
            <w:right w:val="none" w:sz="0" w:space="0" w:color="auto"/>
          </w:divBdr>
        </w:div>
        <w:div w:id="1692800875">
          <w:marLeft w:val="547"/>
          <w:marRight w:val="0"/>
          <w:marTop w:val="134"/>
          <w:marBottom w:val="0"/>
          <w:divBdr>
            <w:top w:val="none" w:sz="0" w:space="0" w:color="auto"/>
            <w:left w:val="none" w:sz="0" w:space="0" w:color="auto"/>
            <w:bottom w:val="none" w:sz="0" w:space="0" w:color="auto"/>
            <w:right w:val="none" w:sz="0" w:space="0" w:color="auto"/>
          </w:divBdr>
        </w:div>
        <w:div w:id="1729760087">
          <w:marLeft w:val="1166"/>
          <w:marRight w:val="0"/>
          <w:marTop w:val="115"/>
          <w:marBottom w:val="0"/>
          <w:divBdr>
            <w:top w:val="none" w:sz="0" w:space="0" w:color="auto"/>
            <w:left w:val="none" w:sz="0" w:space="0" w:color="auto"/>
            <w:bottom w:val="none" w:sz="0" w:space="0" w:color="auto"/>
            <w:right w:val="none" w:sz="0" w:space="0" w:color="auto"/>
          </w:divBdr>
        </w:div>
        <w:div w:id="1895920238">
          <w:marLeft w:val="1166"/>
          <w:marRight w:val="0"/>
          <w:marTop w:val="115"/>
          <w:marBottom w:val="0"/>
          <w:divBdr>
            <w:top w:val="none" w:sz="0" w:space="0" w:color="auto"/>
            <w:left w:val="none" w:sz="0" w:space="0" w:color="auto"/>
            <w:bottom w:val="none" w:sz="0" w:space="0" w:color="auto"/>
            <w:right w:val="none" w:sz="0" w:space="0" w:color="auto"/>
          </w:divBdr>
        </w:div>
        <w:div w:id="1928265891">
          <w:marLeft w:val="1166"/>
          <w:marRight w:val="0"/>
          <w:marTop w:val="115"/>
          <w:marBottom w:val="0"/>
          <w:divBdr>
            <w:top w:val="none" w:sz="0" w:space="0" w:color="auto"/>
            <w:left w:val="none" w:sz="0" w:space="0" w:color="auto"/>
            <w:bottom w:val="none" w:sz="0" w:space="0" w:color="auto"/>
            <w:right w:val="none" w:sz="0" w:space="0" w:color="auto"/>
          </w:divBdr>
        </w:div>
        <w:div w:id="2120252068">
          <w:marLeft w:val="1166"/>
          <w:marRight w:val="0"/>
          <w:marTop w:val="115"/>
          <w:marBottom w:val="0"/>
          <w:divBdr>
            <w:top w:val="none" w:sz="0" w:space="0" w:color="auto"/>
            <w:left w:val="none" w:sz="0" w:space="0" w:color="auto"/>
            <w:bottom w:val="none" w:sz="0" w:space="0" w:color="auto"/>
            <w:right w:val="none" w:sz="0" w:space="0" w:color="auto"/>
          </w:divBdr>
        </w:div>
      </w:divsChild>
    </w:div>
    <w:div w:id="352653932">
      <w:bodyDiv w:val="1"/>
      <w:marLeft w:val="0"/>
      <w:marRight w:val="0"/>
      <w:marTop w:val="0"/>
      <w:marBottom w:val="0"/>
      <w:divBdr>
        <w:top w:val="none" w:sz="0" w:space="0" w:color="auto"/>
        <w:left w:val="none" w:sz="0" w:space="0" w:color="auto"/>
        <w:bottom w:val="none" w:sz="0" w:space="0" w:color="auto"/>
        <w:right w:val="none" w:sz="0" w:space="0" w:color="auto"/>
      </w:divBdr>
    </w:div>
    <w:div w:id="352922451">
      <w:bodyDiv w:val="1"/>
      <w:marLeft w:val="0"/>
      <w:marRight w:val="0"/>
      <w:marTop w:val="0"/>
      <w:marBottom w:val="0"/>
      <w:divBdr>
        <w:top w:val="none" w:sz="0" w:space="0" w:color="auto"/>
        <w:left w:val="none" w:sz="0" w:space="0" w:color="auto"/>
        <w:bottom w:val="none" w:sz="0" w:space="0" w:color="auto"/>
        <w:right w:val="none" w:sz="0" w:space="0" w:color="auto"/>
      </w:divBdr>
    </w:div>
    <w:div w:id="357515008">
      <w:bodyDiv w:val="1"/>
      <w:marLeft w:val="0"/>
      <w:marRight w:val="0"/>
      <w:marTop w:val="0"/>
      <w:marBottom w:val="0"/>
      <w:divBdr>
        <w:top w:val="none" w:sz="0" w:space="0" w:color="auto"/>
        <w:left w:val="none" w:sz="0" w:space="0" w:color="auto"/>
        <w:bottom w:val="none" w:sz="0" w:space="0" w:color="auto"/>
        <w:right w:val="none" w:sz="0" w:space="0" w:color="auto"/>
      </w:divBdr>
    </w:div>
    <w:div w:id="363679435">
      <w:bodyDiv w:val="1"/>
      <w:marLeft w:val="0"/>
      <w:marRight w:val="0"/>
      <w:marTop w:val="0"/>
      <w:marBottom w:val="0"/>
      <w:divBdr>
        <w:top w:val="none" w:sz="0" w:space="0" w:color="auto"/>
        <w:left w:val="none" w:sz="0" w:space="0" w:color="auto"/>
        <w:bottom w:val="none" w:sz="0" w:space="0" w:color="auto"/>
        <w:right w:val="none" w:sz="0" w:space="0" w:color="auto"/>
      </w:divBdr>
    </w:div>
    <w:div w:id="365571288">
      <w:bodyDiv w:val="1"/>
      <w:marLeft w:val="0"/>
      <w:marRight w:val="0"/>
      <w:marTop w:val="0"/>
      <w:marBottom w:val="0"/>
      <w:divBdr>
        <w:top w:val="none" w:sz="0" w:space="0" w:color="auto"/>
        <w:left w:val="none" w:sz="0" w:space="0" w:color="auto"/>
        <w:bottom w:val="none" w:sz="0" w:space="0" w:color="auto"/>
        <w:right w:val="none" w:sz="0" w:space="0" w:color="auto"/>
      </w:divBdr>
    </w:div>
    <w:div w:id="366375666">
      <w:bodyDiv w:val="1"/>
      <w:marLeft w:val="0"/>
      <w:marRight w:val="0"/>
      <w:marTop w:val="0"/>
      <w:marBottom w:val="0"/>
      <w:divBdr>
        <w:top w:val="none" w:sz="0" w:space="0" w:color="auto"/>
        <w:left w:val="none" w:sz="0" w:space="0" w:color="auto"/>
        <w:bottom w:val="none" w:sz="0" w:space="0" w:color="auto"/>
        <w:right w:val="none" w:sz="0" w:space="0" w:color="auto"/>
      </w:divBdr>
    </w:div>
    <w:div w:id="366685030">
      <w:bodyDiv w:val="1"/>
      <w:marLeft w:val="0"/>
      <w:marRight w:val="0"/>
      <w:marTop w:val="0"/>
      <w:marBottom w:val="0"/>
      <w:divBdr>
        <w:top w:val="none" w:sz="0" w:space="0" w:color="auto"/>
        <w:left w:val="none" w:sz="0" w:space="0" w:color="auto"/>
        <w:bottom w:val="none" w:sz="0" w:space="0" w:color="auto"/>
        <w:right w:val="none" w:sz="0" w:space="0" w:color="auto"/>
      </w:divBdr>
      <w:divsChild>
        <w:div w:id="697043173">
          <w:marLeft w:val="547"/>
          <w:marRight w:val="0"/>
          <w:marTop w:val="134"/>
          <w:marBottom w:val="0"/>
          <w:divBdr>
            <w:top w:val="none" w:sz="0" w:space="0" w:color="auto"/>
            <w:left w:val="none" w:sz="0" w:space="0" w:color="auto"/>
            <w:bottom w:val="none" w:sz="0" w:space="0" w:color="auto"/>
            <w:right w:val="none" w:sz="0" w:space="0" w:color="auto"/>
          </w:divBdr>
        </w:div>
        <w:div w:id="821502570">
          <w:marLeft w:val="547"/>
          <w:marRight w:val="0"/>
          <w:marTop w:val="134"/>
          <w:marBottom w:val="0"/>
          <w:divBdr>
            <w:top w:val="none" w:sz="0" w:space="0" w:color="auto"/>
            <w:left w:val="none" w:sz="0" w:space="0" w:color="auto"/>
            <w:bottom w:val="none" w:sz="0" w:space="0" w:color="auto"/>
            <w:right w:val="none" w:sz="0" w:space="0" w:color="auto"/>
          </w:divBdr>
        </w:div>
        <w:div w:id="1271551413">
          <w:marLeft w:val="547"/>
          <w:marRight w:val="0"/>
          <w:marTop w:val="134"/>
          <w:marBottom w:val="0"/>
          <w:divBdr>
            <w:top w:val="none" w:sz="0" w:space="0" w:color="auto"/>
            <w:left w:val="none" w:sz="0" w:space="0" w:color="auto"/>
            <w:bottom w:val="none" w:sz="0" w:space="0" w:color="auto"/>
            <w:right w:val="none" w:sz="0" w:space="0" w:color="auto"/>
          </w:divBdr>
        </w:div>
      </w:divsChild>
    </w:div>
    <w:div w:id="377055068">
      <w:bodyDiv w:val="1"/>
      <w:marLeft w:val="0"/>
      <w:marRight w:val="0"/>
      <w:marTop w:val="0"/>
      <w:marBottom w:val="0"/>
      <w:divBdr>
        <w:top w:val="none" w:sz="0" w:space="0" w:color="auto"/>
        <w:left w:val="none" w:sz="0" w:space="0" w:color="auto"/>
        <w:bottom w:val="none" w:sz="0" w:space="0" w:color="auto"/>
        <w:right w:val="none" w:sz="0" w:space="0" w:color="auto"/>
      </w:divBdr>
    </w:div>
    <w:div w:id="381632621">
      <w:bodyDiv w:val="1"/>
      <w:marLeft w:val="0"/>
      <w:marRight w:val="0"/>
      <w:marTop w:val="0"/>
      <w:marBottom w:val="0"/>
      <w:divBdr>
        <w:top w:val="none" w:sz="0" w:space="0" w:color="auto"/>
        <w:left w:val="none" w:sz="0" w:space="0" w:color="auto"/>
        <w:bottom w:val="none" w:sz="0" w:space="0" w:color="auto"/>
        <w:right w:val="none" w:sz="0" w:space="0" w:color="auto"/>
      </w:divBdr>
    </w:div>
    <w:div w:id="384725152">
      <w:bodyDiv w:val="1"/>
      <w:marLeft w:val="0"/>
      <w:marRight w:val="0"/>
      <w:marTop w:val="0"/>
      <w:marBottom w:val="0"/>
      <w:divBdr>
        <w:top w:val="none" w:sz="0" w:space="0" w:color="auto"/>
        <w:left w:val="none" w:sz="0" w:space="0" w:color="auto"/>
        <w:bottom w:val="none" w:sz="0" w:space="0" w:color="auto"/>
        <w:right w:val="none" w:sz="0" w:space="0" w:color="auto"/>
      </w:divBdr>
    </w:div>
    <w:div w:id="390881943">
      <w:bodyDiv w:val="1"/>
      <w:marLeft w:val="0"/>
      <w:marRight w:val="0"/>
      <w:marTop w:val="0"/>
      <w:marBottom w:val="0"/>
      <w:divBdr>
        <w:top w:val="none" w:sz="0" w:space="0" w:color="auto"/>
        <w:left w:val="none" w:sz="0" w:space="0" w:color="auto"/>
        <w:bottom w:val="none" w:sz="0" w:space="0" w:color="auto"/>
        <w:right w:val="none" w:sz="0" w:space="0" w:color="auto"/>
      </w:divBdr>
    </w:div>
    <w:div w:id="392199244">
      <w:bodyDiv w:val="1"/>
      <w:marLeft w:val="0"/>
      <w:marRight w:val="0"/>
      <w:marTop w:val="0"/>
      <w:marBottom w:val="0"/>
      <w:divBdr>
        <w:top w:val="none" w:sz="0" w:space="0" w:color="auto"/>
        <w:left w:val="none" w:sz="0" w:space="0" w:color="auto"/>
        <w:bottom w:val="none" w:sz="0" w:space="0" w:color="auto"/>
        <w:right w:val="none" w:sz="0" w:space="0" w:color="auto"/>
      </w:divBdr>
    </w:div>
    <w:div w:id="399376710">
      <w:bodyDiv w:val="1"/>
      <w:marLeft w:val="0"/>
      <w:marRight w:val="0"/>
      <w:marTop w:val="0"/>
      <w:marBottom w:val="0"/>
      <w:divBdr>
        <w:top w:val="none" w:sz="0" w:space="0" w:color="auto"/>
        <w:left w:val="none" w:sz="0" w:space="0" w:color="auto"/>
        <w:bottom w:val="none" w:sz="0" w:space="0" w:color="auto"/>
        <w:right w:val="none" w:sz="0" w:space="0" w:color="auto"/>
      </w:divBdr>
      <w:divsChild>
        <w:div w:id="1826436777">
          <w:marLeft w:val="547"/>
          <w:marRight w:val="0"/>
          <w:marTop w:val="96"/>
          <w:marBottom w:val="0"/>
          <w:divBdr>
            <w:top w:val="none" w:sz="0" w:space="0" w:color="auto"/>
            <w:left w:val="none" w:sz="0" w:space="0" w:color="auto"/>
            <w:bottom w:val="none" w:sz="0" w:space="0" w:color="auto"/>
            <w:right w:val="none" w:sz="0" w:space="0" w:color="auto"/>
          </w:divBdr>
        </w:div>
      </w:divsChild>
    </w:div>
    <w:div w:id="402874853">
      <w:bodyDiv w:val="1"/>
      <w:marLeft w:val="0"/>
      <w:marRight w:val="0"/>
      <w:marTop w:val="0"/>
      <w:marBottom w:val="0"/>
      <w:divBdr>
        <w:top w:val="none" w:sz="0" w:space="0" w:color="auto"/>
        <w:left w:val="none" w:sz="0" w:space="0" w:color="auto"/>
        <w:bottom w:val="none" w:sz="0" w:space="0" w:color="auto"/>
        <w:right w:val="none" w:sz="0" w:space="0" w:color="auto"/>
      </w:divBdr>
      <w:divsChild>
        <w:div w:id="302391853">
          <w:marLeft w:val="1166"/>
          <w:marRight w:val="0"/>
          <w:marTop w:val="134"/>
          <w:marBottom w:val="0"/>
          <w:divBdr>
            <w:top w:val="none" w:sz="0" w:space="0" w:color="auto"/>
            <w:left w:val="none" w:sz="0" w:space="0" w:color="auto"/>
            <w:bottom w:val="none" w:sz="0" w:space="0" w:color="auto"/>
            <w:right w:val="none" w:sz="0" w:space="0" w:color="auto"/>
          </w:divBdr>
        </w:div>
        <w:div w:id="451828348">
          <w:marLeft w:val="1166"/>
          <w:marRight w:val="0"/>
          <w:marTop w:val="134"/>
          <w:marBottom w:val="0"/>
          <w:divBdr>
            <w:top w:val="none" w:sz="0" w:space="0" w:color="auto"/>
            <w:left w:val="none" w:sz="0" w:space="0" w:color="auto"/>
            <w:bottom w:val="none" w:sz="0" w:space="0" w:color="auto"/>
            <w:right w:val="none" w:sz="0" w:space="0" w:color="auto"/>
          </w:divBdr>
        </w:div>
        <w:div w:id="770511306">
          <w:marLeft w:val="1800"/>
          <w:marRight w:val="0"/>
          <w:marTop w:val="115"/>
          <w:marBottom w:val="0"/>
          <w:divBdr>
            <w:top w:val="none" w:sz="0" w:space="0" w:color="auto"/>
            <w:left w:val="none" w:sz="0" w:space="0" w:color="auto"/>
            <w:bottom w:val="none" w:sz="0" w:space="0" w:color="auto"/>
            <w:right w:val="none" w:sz="0" w:space="0" w:color="auto"/>
          </w:divBdr>
        </w:div>
        <w:div w:id="1791508809">
          <w:marLeft w:val="1800"/>
          <w:marRight w:val="0"/>
          <w:marTop w:val="115"/>
          <w:marBottom w:val="0"/>
          <w:divBdr>
            <w:top w:val="none" w:sz="0" w:space="0" w:color="auto"/>
            <w:left w:val="none" w:sz="0" w:space="0" w:color="auto"/>
            <w:bottom w:val="none" w:sz="0" w:space="0" w:color="auto"/>
            <w:right w:val="none" w:sz="0" w:space="0" w:color="auto"/>
          </w:divBdr>
        </w:div>
      </w:divsChild>
    </w:div>
    <w:div w:id="406539657">
      <w:bodyDiv w:val="1"/>
      <w:marLeft w:val="0"/>
      <w:marRight w:val="0"/>
      <w:marTop w:val="0"/>
      <w:marBottom w:val="0"/>
      <w:divBdr>
        <w:top w:val="none" w:sz="0" w:space="0" w:color="auto"/>
        <w:left w:val="none" w:sz="0" w:space="0" w:color="auto"/>
        <w:bottom w:val="none" w:sz="0" w:space="0" w:color="auto"/>
        <w:right w:val="none" w:sz="0" w:space="0" w:color="auto"/>
      </w:divBdr>
    </w:div>
    <w:div w:id="417675902">
      <w:bodyDiv w:val="1"/>
      <w:marLeft w:val="0"/>
      <w:marRight w:val="0"/>
      <w:marTop w:val="0"/>
      <w:marBottom w:val="0"/>
      <w:divBdr>
        <w:top w:val="none" w:sz="0" w:space="0" w:color="auto"/>
        <w:left w:val="none" w:sz="0" w:space="0" w:color="auto"/>
        <w:bottom w:val="none" w:sz="0" w:space="0" w:color="auto"/>
        <w:right w:val="none" w:sz="0" w:space="0" w:color="auto"/>
      </w:divBdr>
    </w:div>
    <w:div w:id="425156076">
      <w:bodyDiv w:val="1"/>
      <w:marLeft w:val="0"/>
      <w:marRight w:val="0"/>
      <w:marTop w:val="0"/>
      <w:marBottom w:val="0"/>
      <w:divBdr>
        <w:top w:val="none" w:sz="0" w:space="0" w:color="auto"/>
        <w:left w:val="none" w:sz="0" w:space="0" w:color="auto"/>
        <w:bottom w:val="none" w:sz="0" w:space="0" w:color="auto"/>
        <w:right w:val="none" w:sz="0" w:space="0" w:color="auto"/>
      </w:divBdr>
      <w:divsChild>
        <w:div w:id="248972162">
          <w:marLeft w:val="547"/>
          <w:marRight w:val="0"/>
          <w:marTop w:val="134"/>
          <w:marBottom w:val="0"/>
          <w:divBdr>
            <w:top w:val="none" w:sz="0" w:space="0" w:color="auto"/>
            <w:left w:val="none" w:sz="0" w:space="0" w:color="auto"/>
            <w:bottom w:val="none" w:sz="0" w:space="0" w:color="auto"/>
            <w:right w:val="none" w:sz="0" w:space="0" w:color="auto"/>
          </w:divBdr>
        </w:div>
        <w:div w:id="596595973">
          <w:marLeft w:val="547"/>
          <w:marRight w:val="0"/>
          <w:marTop w:val="134"/>
          <w:marBottom w:val="0"/>
          <w:divBdr>
            <w:top w:val="none" w:sz="0" w:space="0" w:color="auto"/>
            <w:left w:val="none" w:sz="0" w:space="0" w:color="auto"/>
            <w:bottom w:val="none" w:sz="0" w:space="0" w:color="auto"/>
            <w:right w:val="none" w:sz="0" w:space="0" w:color="auto"/>
          </w:divBdr>
        </w:div>
        <w:div w:id="921332687">
          <w:marLeft w:val="547"/>
          <w:marRight w:val="0"/>
          <w:marTop w:val="134"/>
          <w:marBottom w:val="0"/>
          <w:divBdr>
            <w:top w:val="none" w:sz="0" w:space="0" w:color="auto"/>
            <w:left w:val="none" w:sz="0" w:space="0" w:color="auto"/>
            <w:bottom w:val="none" w:sz="0" w:space="0" w:color="auto"/>
            <w:right w:val="none" w:sz="0" w:space="0" w:color="auto"/>
          </w:divBdr>
        </w:div>
        <w:div w:id="1912159033">
          <w:marLeft w:val="547"/>
          <w:marRight w:val="0"/>
          <w:marTop w:val="134"/>
          <w:marBottom w:val="0"/>
          <w:divBdr>
            <w:top w:val="none" w:sz="0" w:space="0" w:color="auto"/>
            <w:left w:val="none" w:sz="0" w:space="0" w:color="auto"/>
            <w:bottom w:val="none" w:sz="0" w:space="0" w:color="auto"/>
            <w:right w:val="none" w:sz="0" w:space="0" w:color="auto"/>
          </w:divBdr>
        </w:div>
      </w:divsChild>
    </w:div>
    <w:div w:id="433405662">
      <w:bodyDiv w:val="1"/>
      <w:marLeft w:val="0"/>
      <w:marRight w:val="0"/>
      <w:marTop w:val="0"/>
      <w:marBottom w:val="0"/>
      <w:divBdr>
        <w:top w:val="none" w:sz="0" w:space="0" w:color="auto"/>
        <w:left w:val="none" w:sz="0" w:space="0" w:color="auto"/>
        <w:bottom w:val="none" w:sz="0" w:space="0" w:color="auto"/>
        <w:right w:val="none" w:sz="0" w:space="0" w:color="auto"/>
      </w:divBdr>
    </w:div>
    <w:div w:id="435977414">
      <w:bodyDiv w:val="1"/>
      <w:marLeft w:val="0"/>
      <w:marRight w:val="0"/>
      <w:marTop w:val="0"/>
      <w:marBottom w:val="0"/>
      <w:divBdr>
        <w:top w:val="none" w:sz="0" w:space="0" w:color="auto"/>
        <w:left w:val="none" w:sz="0" w:space="0" w:color="auto"/>
        <w:bottom w:val="none" w:sz="0" w:space="0" w:color="auto"/>
        <w:right w:val="none" w:sz="0" w:space="0" w:color="auto"/>
      </w:divBdr>
    </w:div>
    <w:div w:id="439878974">
      <w:bodyDiv w:val="1"/>
      <w:marLeft w:val="0"/>
      <w:marRight w:val="0"/>
      <w:marTop w:val="0"/>
      <w:marBottom w:val="0"/>
      <w:divBdr>
        <w:top w:val="none" w:sz="0" w:space="0" w:color="auto"/>
        <w:left w:val="none" w:sz="0" w:space="0" w:color="auto"/>
        <w:bottom w:val="none" w:sz="0" w:space="0" w:color="auto"/>
        <w:right w:val="none" w:sz="0" w:space="0" w:color="auto"/>
      </w:divBdr>
      <w:divsChild>
        <w:div w:id="11810496">
          <w:marLeft w:val="0"/>
          <w:marRight w:val="0"/>
          <w:marTop w:val="0"/>
          <w:marBottom w:val="0"/>
          <w:divBdr>
            <w:top w:val="none" w:sz="0" w:space="0" w:color="auto"/>
            <w:left w:val="none" w:sz="0" w:space="0" w:color="auto"/>
            <w:bottom w:val="none" w:sz="0" w:space="0" w:color="auto"/>
            <w:right w:val="none" w:sz="0" w:space="0" w:color="auto"/>
          </w:divBdr>
        </w:div>
        <w:div w:id="699093674">
          <w:marLeft w:val="0"/>
          <w:marRight w:val="0"/>
          <w:marTop w:val="0"/>
          <w:marBottom w:val="0"/>
          <w:divBdr>
            <w:top w:val="none" w:sz="0" w:space="0" w:color="auto"/>
            <w:left w:val="none" w:sz="0" w:space="0" w:color="auto"/>
            <w:bottom w:val="none" w:sz="0" w:space="0" w:color="auto"/>
            <w:right w:val="none" w:sz="0" w:space="0" w:color="auto"/>
          </w:divBdr>
        </w:div>
        <w:div w:id="1409234104">
          <w:marLeft w:val="0"/>
          <w:marRight w:val="0"/>
          <w:marTop w:val="0"/>
          <w:marBottom w:val="0"/>
          <w:divBdr>
            <w:top w:val="none" w:sz="0" w:space="0" w:color="auto"/>
            <w:left w:val="none" w:sz="0" w:space="0" w:color="auto"/>
            <w:bottom w:val="none" w:sz="0" w:space="0" w:color="auto"/>
            <w:right w:val="none" w:sz="0" w:space="0" w:color="auto"/>
          </w:divBdr>
        </w:div>
        <w:div w:id="1410611777">
          <w:marLeft w:val="0"/>
          <w:marRight w:val="0"/>
          <w:marTop w:val="0"/>
          <w:marBottom w:val="0"/>
          <w:divBdr>
            <w:top w:val="none" w:sz="0" w:space="0" w:color="auto"/>
            <w:left w:val="none" w:sz="0" w:space="0" w:color="auto"/>
            <w:bottom w:val="none" w:sz="0" w:space="0" w:color="auto"/>
            <w:right w:val="none" w:sz="0" w:space="0" w:color="auto"/>
          </w:divBdr>
        </w:div>
        <w:div w:id="1512112209">
          <w:marLeft w:val="0"/>
          <w:marRight w:val="0"/>
          <w:marTop w:val="0"/>
          <w:marBottom w:val="0"/>
          <w:divBdr>
            <w:top w:val="none" w:sz="0" w:space="0" w:color="auto"/>
            <w:left w:val="none" w:sz="0" w:space="0" w:color="auto"/>
            <w:bottom w:val="none" w:sz="0" w:space="0" w:color="auto"/>
            <w:right w:val="none" w:sz="0" w:space="0" w:color="auto"/>
          </w:divBdr>
        </w:div>
        <w:div w:id="1738238183">
          <w:marLeft w:val="0"/>
          <w:marRight w:val="0"/>
          <w:marTop w:val="0"/>
          <w:marBottom w:val="0"/>
          <w:divBdr>
            <w:top w:val="none" w:sz="0" w:space="0" w:color="auto"/>
            <w:left w:val="none" w:sz="0" w:space="0" w:color="auto"/>
            <w:bottom w:val="none" w:sz="0" w:space="0" w:color="auto"/>
            <w:right w:val="none" w:sz="0" w:space="0" w:color="auto"/>
          </w:divBdr>
        </w:div>
        <w:div w:id="2086758179">
          <w:marLeft w:val="0"/>
          <w:marRight w:val="0"/>
          <w:marTop w:val="0"/>
          <w:marBottom w:val="0"/>
          <w:divBdr>
            <w:top w:val="none" w:sz="0" w:space="0" w:color="auto"/>
            <w:left w:val="none" w:sz="0" w:space="0" w:color="auto"/>
            <w:bottom w:val="none" w:sz="0" w:space="0" w:color="auto"/>
            <w:right w:val="none" w:sz="0" w:space="0" w:color="auto"/>
          </w:divBdr>
        </w:div>
      </w:divsChild>
    </w:div>
    <w:div w:id="439883845">
      <w:bodyDiv w:val="1"/>
      <w:marLeft w:val="0"/>
      <w:marRight w:val="0"/>
      <w:marTop w:val="0"/>
      <w:marBottom w:val="0"/>
      <w:divBdr>
        <w:top w:val="none" w:sz="0" w:space="0" w:color="auto"/>
        <w:left w:val="none" w:sz="0" w:space="0" w:color="auto"/>
        <w:bottom w:val="none" w:sz="0" w:space="0" w:color="auto"/>
        <w:right w:val="none" w:sz="0" w:space="0" w:color="auto"/>
      </w:divBdr>
    </w:div>
    <w:div w:id="446000612">
      <w:bodyDiv w:val="1"/>
      <w:marLeft w:val="0"/>
      <w:marRight w:val="0"/>
      <w:marTop w:val="0"/>
      <w:marBottom w:val="0"/>
      <w:divBdr>
        <w:top w:val="none" w:sz="0" w:space="0" w:color="auto"/>
        <w:left w:val="none" w:sz="0" w:space="0" w:color="auto"/>
        <w:bottom w:val="none" w:sz="0" w:space="0" w:color="auto"/>
        <w:right w:val="none" w:sz="0" w:space="0" w:color="auto"/>
      </w:divBdr>
    </w:div>
    <w:div w:id="449203476">
      <w:bodyDiv w:val="1"/>
      <w:marLeft w:val="0"/>
      <w:marRight w:val="0"/>
      <w:marTop w:val="0"/>
      <w:marBottom w:val="0"/>
      <w:divBdr>
        <w:top w:val="none" w:sz="0" w:space="0" w:color="auto"/>
        <w:left w:val="none" w:sz="0" w:space="0" w:color="auto"/>
        <w:bottom w:val="none" w:sz="0" w:space="0" w:color="auto"/>
        <w:right w:val="none" w:sz="0" w:space="0" w:color="auto"/>
      </w:divBdr>
    </w:div>
    <w:div w:id="449249308">
      <w:bodyDiv w:val="1"/>
      <w:marLeft w:val="0"/>
      <w:marRight w:val="0"/>
      <w:marTop w:val="0"/>
      <w:marBottom w:val="0"/>
      <w:divBdr>
        <w:top w:val="none" w:sz="0" w:space="0" w:color="auto"/>
        <w:left w:val="none" w:sz="0" w:space="0" w:color="auto"/>
        <w:bottom w:val="none" w:sz="0" w:space="0" w:color="auto"/>
        <w:right w:val="none" w:sz="0" w:space="0" w:color="auto"/>
      </w:divBdr>
    </w:div>
    <w:div w:id="450323950">
      <w:bodyDiv w:val="1"/>
      <w:marLeft w:val="0"/>
      <w:marRight w:val="0"/>
      <w:marTop w:val="0"/>
      <w:marBottom w:val="0"/>
      <w:divBdr>
        <w:top w:val="none" w:sz="0" w:space="0" w:color="auto"/>
        <w:left w:val="none" w:sz="0" w:space="0" w:color="auto"/>
        <w:bottom w:val="none" w:sz="0" w:space="0" w:color="auto"/>
        <w:right w:val="none" w:sz="0" w:space="0" w:color="auto"/>
      </w:divBdr>
    </w:div>
    <w:div w:id="458188645">
      <w:bodyDiv w:val="1"/>
      <w:marLeft w:val="0"/>
      <w:marRight w:val="0"/>
      <w:marTop w:val="0"/>
      <w:marBottom w:val="0"/>
      <w:divBdr>
        <w:top w:val="none" w:sz="0" w:space="0" w:color="auto"/>
        <w:left w:val="none" w:sz="0" w:space="0" w:color="auto"/>
        <w:bottom w:val="none" w:sz="0" w:space="0" w:color="auto"/>
        <w:right w:val="none" w:sz="0" w:space="0" w:color="auto"/>
      </w:divBdr>
      <w:divsChild>
        <w:div w:id="1632243717">
          <w:marLeft w:val="0"/>
          <w:marRight w:val="0"/>
          <w:marTop w:val="0"/>
          <w:marBottom w:val="0"/>
          <w:divBdr>
            <w:top w:val="none" w:sz="0" w:space="0" w:color="auto"/>
            <w:left w:val="none" w:sz="0" w:space="0" w:color="auto"/>
            <w:bottom w:val="none" w:sz="0" w:space="0" w:color="auto"/>
            <w:right w:val="none" w:sz="0" w:space="0" w:color="auto"/>
          </w:divBdr>
          <w:divsChild>
            <w:div w:id="129254104">
              <w:marLeft w:val="0"/>
              <w:marRight w:val="0"/>
              <w:marTop w:val="0"/>
              <w:marBottom w:val="0"/>
              <w:divBdr>
                <w:top w:val="none" w:sz="0" w:space="0" w:color="auto"/>
                <w:left w:val="none" w:sz="0" w:space="0" w:color="auto"/>
                <w:bottom w:val="none" w:sz="0" w:space="0" w:color="auto"/>
                <w:right w:val="none" w:sz="0" w:space="0" w:color="auto"/>
              </w:divBdr>
              <w:divsChild>
                <w:div w:id="96413532">
                  <w:marLeft w:val="0"/>
                  <w:marRight w:val="0"/>
                  <w:marTop w:val="0"/>
                  <w:marBottom w:val="0"/>
                  <w:divBdr>
                    <w:top w:val="none" w:sz="0" w:space="0" w:color="auto"/>
                    <w:left w:val="none" w:sz="0" w:space="0" w:color="auto"/>
                    <w:bottom w:val="none" w:sz="0" w:space="0" w:color="auto"/>
                    <w:right w:val="none" w:sz="0" w:space="0" w:color="auto"/>
                  </w:divBdr>
                  <w:divsChild>
                    <w:div w:id="552929090">
                      <w:marLeft w:val="0"/>
                      <w:marRight w:val="0"/>
                      <w:marTop w:val="0"/>
                      <w:marBottom w:val="0"/>
                      <w:divBdr>
                        <w:top w:val="none" w:sz="0" w:space="0" w:color="auto"/>
                        <w:left w:val="none" w:sz="0" w:space="0" w:color="auto"/>
                        <w:bottom w:val="none" w:sz="0" w:space="0" w:color="auto"/>
                        <w:right w:val="none" w:sz="0" w:space="0" w:color="auto"/>
                      </w:divBdr>
                      <w:divsChild>
                        <w:div w:id="1148131817">
                          <w:marLeft w:val="0"/>
                          <w:marRight w:val="0"/>
                          <w:marTop w:val="0"/>
                          <w:marBottom w:val="0"/>
                          <w:divBdr>
                            <w:top w:val="none" w:sz="0" w:space="0" w:color="auto"/>
                            <w:left w:val="none" w:sz="0" w:space="0" w:color="auto"/>
                            <w:bottom w:val="none" w:sz="0" w:space="0" w:color="auto"/>
                            <w:right w:val="none" w:sz="0" w:space="0" w:color="auto"/>
                          </w:divBdr>
                          <w:divsChild>
                            <w:div w:id="84234461">
                              <w:marLeft w:val="0"/>
                              <w:marRight w:val="0"/>
                              <w:marTop w:val="0"/>
                              <w:marBottom w:val="0"/>
                              <w:divBdr>
                                <w:top w:val="none" w:sz="0" w:space="0" w:color="auto"/>
                                <w:left w:val="none" w:sz="0" w:space="0" w:color="auto"/>
                                <w:bottom w:val="none" w:sz="0" w:space="0" w:color="auto"/>
                                <w:right w:val="none" w:sz="0" w:space="0" w:color="auto"/>
                              </w:divBdr>
                              <w:divsChild>
                                <w:div w:id="2131781522">
                                  <w:marLeft w:val="0"/>
                                  <w:marRight w:val="0"/>
                                  <w:marTop w:val="0"/>
                                  <w:marBottom w:val="0"/>
                                  <w:divBdr>
                                    <w:top w:val="none" w:sz="0" w:space="0" w:color="auto"/>
                                    <w:left w:val="none" w:sz="0" w:space="0" w:color="auto"/>
                                    <w:bottom w:val="none" w:sz="0" w:space="0" w:color="auto"/>
                                    <w:right w:val="none" w:sz="0" w:space="0" w:color="auto"/>
                                  </w:divBdr>
                                  <w:divsChild>
                                    <w:div w:id="1871069182">
                                      <w:marLeft w:val="0"/>
                                      <w:marRight w:val="0"/>
                                      <w:marTop w:val="0"/>
                                      <w:marBottom w:val="0"/>
                                      <w:divBdr>
                                        <w:top w:val="none" w:sz="0" w:space="0" w:color="auto"/>
                                        <w:left w:val="none" w:sz="0" w:space="0" w:color="auto"/>
                                        <w:bottom w:val="none" w:sz="0" w:space="0" w:color="auto"/>
                                        <w:right w:val="none" w:sz="0" w:space="0" w:color="auto"/>
                                      </w:divBdr>
                                      <w:divsChild>
                                        <w:div w:id="1078866487">
                                          <w:marLeft w:val="0"/>
                                          <w:marRight w:val="0"/>
                                          <w:marTop w:val="0"/>
                                          <w:marBottom w:val="0"/>
                                          <w:divBdr>
                                            <w:top w:val="none" w:sz="0" w:space="0" w:color="auto"/>
                                            <w:left w:val="none" w:sz="0" w:space="0" w:color="auto"/>
                                            <w:bottom w:val="none" w:sz="0" w:space="0" w:color="auto"/>
                                            <w:right w:val="none" w:sz="0" w:space="0" w:color="auto"/>
                                          </w:divBdr>
                                          <w:divsChild>
                                            <w:div w:id="707339869">
                                              <w:marLeft w:val="0"/>
                                              <w:marRight w:val="0"/>
                                              <w:marTop w:val="0"/>
                                              <w:marBottom w:val="0"/>
                                              <w:divBdr>
                                                <w:top w:val="none" w:sz="0" w:space="0" w:color="auto"/>
                                                <w:left w:val="none" w:sz="0" w:space="0" w:color="auto"/>
                                                <w:bottom w:val="none" w:sz="0" w:space="0" w:color="auto"/>
                                                <w:right w:val="none" w:sz="0" w:space="0" w:color="auto"/>
                                              </w:divBdr>
                                              <w:divsChild>
                                                <w:div w:id="238515446">
                                                  <w:marLeft w:val="0"/>
                                                  <w:marRight w:val="0"/>
                                                  <w:marTop w:val="0"/>
                                                  <w:marBottom w:val="0"/>
                                                  <w:divBdr>
                                                    <w:top w:val="inset" w:sz="6" w:space="0" w:color="auto"/>
                                                    <w:left w:val="inset" w:sz="6" w:space="6" w:color="auto"/>
                                                    <w:bottom w:val="inset" w:sz="6" w:space="0" w:color="auto"/>
                                                    <w:right w:val="inset" w:sz="6" w:space="6" w:color="auto"/>
                                                  </w:divBdr>
                                                </w:div>
                                              </w:divsChild>
                                            </w:div>
                                          </w:divsChild>
                                        </w:div>
                                      </w:divsChild>
                                    </w:div>
                                  </w:divsChild>
                                </w:div>
                              </w:divsChild>
                            </w:div>
                          </w:divsChild>
                        </w:div>
                      </w:divsChild>
                    </w:div>
                  </w:divsChild>
                </w:div>
              </w:divsChild>
            </w:div>
          </w:divsChild>
        </w:div>
      </w:divsChild>
    </w:div>
    <w:div w:id="466096076">
      <w:bodyDiv w:val="1"/>
      <w:marLeft w:val="0"/>
      <w:marRight w:val="0"/>
      <w:marTop w:val="0"/>
      <w:marBottom w:val="0"/>
      <w:divBdr>
        <w:top w:val="none" w:sz="0" w:space="0" w:color="auto"/>
        <w:left w:val="none" w:sz="0" w:space="0" w:color="auto"/>
        <w:bottom w:val="none" w:sz="0" w:space="0" w:color="auto"/>
        <w:right w:val="none" w:sz="0" w:space="0" w:color="auto"/>
      </w:divBdr>
    </w:div>
    <w:div w:id="468128720">
      <w:bodyDiv w:val="1"/>
      <w:marLeft w:val="0"/>
      <w:marRight w:val="0"/>
      <w:marTop w:val="0"/>
      <w:marBottom w:val="0"/>
      <w:divBdr>
        <w:top w:val="none" w:sz="0" w:space="0" w:color="auto"/>
        <w:left w:val="none" w:sz="0" w:space="0" w:color="auto"/>
        <w:bottom w:val="none" w:sz="0" w:space="0" w:color="auto"/>
        <w:right w:val="none" w:sz="0" w:space="0" w:color="auto"/>
      </w:divBdr>
    </w:div>
    <w:div w:id="469399147">
      <w:bodyDiv w:val="1"/>
      <w:marLeft w:val="0"/>
      <w:marRight w:val="0"/>
      <w:marTop w:val="0"/>
      <w:marBottom w:val="0"/>
      <w:divBdr>
        <w:top w:val="none" w:sz="0" w:space="0" w:color="auto"/>
        <w:left w:val="none" w:sz="0" w:space="0" w:color="auto"/>
        <w:bottom w:val="none" w:sz="0" w:space="0" w:color="auto"/>
        <w:right w:val="none" w:sz="0" w:space="0" w:color="auto"/>
      </w:divBdr>
    </w:div>
    <w:div w:id="470098709">
      <w:bodyDiv w:val="1"/>
      <w:marLeft w:val="0"/>
      <w:marRight w:val="0"/>
      <w:marTop w:val="0"/>
      <w:marBottom w:val="0"/>
      <w:divBdr>
        <w:top w:val="none" w:sz="0" w:space="0" w:color="auto"/>
        <w:left w:val="none" w:sz="0" w:space="0" w:color="auto"/>
        <w:bottom w:val="none" w:sz="0" w:space="0" w:color="auto"/>
        <w:right w:val="none" w:sz="0" w:space="0" w:color="auto"/>
      </w:divBdr>
      <w:divsChild>
        <w:div w:id="312100965">
          <w:marLeft w:val="1166"/>
          <w:marRight w:val="0"/>
          <w:marTop w:val="154"/>
          <w:marBottom w:val="0"/>
          <w:divBdr>
            <w:top w:val="none" w:sz="0" w:space="0" w:color="auto"/>
            <w:left w:val="none" w:sz="0" w:space="0" w:color="auto"/>
            <w:bottom w:val="none" w:sz="0" w:space="0" w:color="auto"/>
            <w:right w:val="none" w:sz="0" w:space="0" w:color="auto"/>
          </w:divBdr>
        </w:div>
        <w:div w:id="1593783636">
          <w:marLeft w:val="547"/>
          <w:marRight w:val="0"/>
          <w:marTop w:val="173"/>
          <w:marBottom w:val="0"/>
          <w:divBdr>
            <w:top w:val="none" w:sz="0" w:space="0" w:color="auto"/>
            <w:left w:val="none" w:sz="0" w:space="0" w:color="auto"/>
            <w:bottom w:val="none" w:sz="0" w:space="0" w:color="auto"/>
            <w:right w:val="none" w:sz="0" w:space="0" w:color="auto"/>
          </w:divBdr>
        </w:div>
        <w:div w:id="1727096239">
          <w:marLeft w:val="547"/>
          <w:marRight w:val="0"/>
          <w:marTop w:val="173"/>
          <w:marBottom w:val="0"/>
          <w:divBdr>
            <w:top w:val="none" w:sz="0" w:space="0" w:color="auto"/>
            <w:left w:val="none" w:sz="0" w:space="0" w:color="auto"/>
            <w:bottom w:val="none" w:sz="0" w:space="0" w:color="auto"/>
            <w:right w:val="none" w:sz="0" w:space="0" w:color="auto"/>
          </w:divBdr>
        </w:div>
        <w:div w:id="2107262081">
          <w:marLeft w:val="547"/>
          <w:marRight w:val="0"/>
          <w:marTop w:val="173"/>
          <w:marBottom w:val="0"/>
          <w:divBdr>
            <w:top w:val="none" w:sz="0" w:space="0" w:color="auto"/>
            <w:left w:val="none" w:sz="0" w:space="0" w:color="auto"/>
            <w:bottom w:val="none" w:sz="0" w:space="0" w:color="auto"/>
            <w:right w:val="none" w:sz="0" w:space="0" w:color="auto"/>
          </w:divBdr>
        </w:div>
      </w:divsChild>
    </w:div>
    <w:div w:id="471220593">
      <w:bodyDiv w:val="1"/>
      <w:marLeft w:val="0"/>
      <w:marRight w:val="0"/>
      <w:marTop w:val="0"/>
      <w:marBottom w:val="0"/>
      <w:divBdr>
        <w:top w:val="none" w:sz="0" w:space="0" w:color="auto"/>
        <w:left w:val="none" w:sz="0" w:space="0" w:color="auto"/>
        <w:bottom w:val="none" w:sz="0" w:space="0" w:color="auto"/>
        <w:right w:val="none" w:sz="0" w:space="0" w:color="auto"/>
      </w:divBdr>
    </w:div>
    <w:div w:id="479733858">
      <w:bodyDiv w:val="1"/>
      <w:marLeft w:val="0"/>
      <w:marRight w:val="0"/>
      <w:marTop w:val="0"/>
      <w:marBottom w:val="0"/>
      <w:divBdr>
        <w:top w:val="none" w:sz="0" w:space="0" w:color="auto"/>
        <w:left w:val="none" w:sz="0" w:space="0" w:color="auto"/>
        <w:bottom w:val="none" w:sz="0" w:space="0" w:color="auto"/>
        <w:right w:val="none" w:sz="0" w:space="0" w:color="auto"/>
      </w:divBdr>
      <w:divsChild>
        <w:div w:id="151677098">
          <w:marLeft w:val="1800"/>
          <w:marRight w:val="0"/>
          <w:marTop w:val="115"/>
          <w:marBottom w:val="0"/>
          <w:divBdr>
            <w:top w:val="none" w:sz="0" w:space="0" w:color="auto"/>
            <w:left w:val="none" w:sz="0" w:space="0" w:color="auto"/>
            <w:bottom w:val="none" w:sz="0" w:space="0" w:color="auto"/>
            <w:right w:val="none" w:sz="0" w:space="0" w:color="auto"/>
          </w:divBdr>
        </w:div>
        <w:div w:id="654529721">
          <w:marLeft w:val="1166"/>
          <w:marRight w:val="0"/>
          <w:marTop w:val="115"/>
          <w:marBottom w:val="0"/>
          <w:divBdr>
            <w:top w:val="none" w:sz="0" w:space="0" w:color="auto"/>
            <w:left w:val="none" w:sz="0" w:space="0" w:color="auto"/>
            <w:bottom w:val="none" w:sz="0" w:space="0" w:color="auto"/>
            <w:right w:val="none" w:sz="0" w:space="0" w:color="auto"/>
          </w:divBdr>
        </w:div>
        <w:div w:id="1164011114">
          <w:marLeft w:val="1800"/>
          <w:marRight w:val="0"/>
          <w:marTop w:val="115"/>
          <w:marBottom w:val="0"/>
          <w:divBdr>
            <w:top w:val="none" w:sz="0" w:space="0" w:color="auto"/>
            <w:left w:val="none" w:sz="0" w:space="0" w:color="auto"/>
            <w:bottom w:val="none" w:sz="0" w:space="0" w:color="auto"/>
            <w:right w:val="none" w:sz="0" w:space="0" w:color="auto"/>
          </w:divBdr>
        </w:div>
        <w:div w:id="1470438266">
          <w:marLeft w:val="547"/>
          <w:marRight w:val="0"/>
          <w:marTop w:val="115"/>
          <w:marBottom w:val="0"/>
          <w:divBdr>
            <w:top w:val="none" w:sz="0" w:space="0" w:color="auto"/>
            <w:left w:val="none" w:sz="0" w:space="0" w:color="auto"/>
            <w:bottom w:val="none" w:sz="0" w:space="0" w:color="auto"/>
            <w:right w:val="none" w:sz="0" w:space="0" w:color="auto"/>
          </w:divBdr>
        </w:div>
        <w:div w:id="1523323837">
          <w:marLeft w:val="1166"/>
          <w:marRight w:val="0"/>
          <w:marTop w:val="115"/>
          <w:marBottom w:val="0"/>
          <w:divBdr>
            <w:top w:val="none" w:sz="0" w:space="0" w:color="auto"/>
            <w:left w:val="none" w:sz="0" w:space="0" w:color="auto"/>
            <w:bottom w:val="none" w:sz="0" w:space="0" w:color="auto"/>
            <w:right w:val="none" w:sz="0" w:space="0" w:color="auto"/>
          </w:divBdr>
        </w:div>
        <w:div w:id="1702321194">
          <w:marLeft w:val="1166"/>
          <w:marRight w:val="0"/>
          <w:marTop w:val="115"/>
          <w:marBottom w:val="0"/>
          <w:divBdr>
            <w:top w:val="none" w:sz="0" w:space="0" w:color="auto"/>
            <w:left w:val="none" w:sz="0" w:space="0" w:color="auto"/>
            <w:bottom w:val="none" w:sz="0" w:space="0" w:color="auto"/>
            <w:right w:val="none" w:sz="0" w:space="0" w:color="auto"/>
          </w:divBdr>
        </w:div>
        <w:div w:id="1804343632">
          <w:marLeft w:val="1166"/>
          <w:marRight w:val="0"/>
          <w:marTop w:val="115"/>
          <w:marBottom w:val="0"/>
          <w:divBdr>
            <w:top w:val="none" w:sz="0" w:space="0" w:color="auto"/>
            <w:left w:val="none" w:sz="0" w:space="0" w:color="auto"/>
            <w:bottom w:val="none" w:sz="0" w:space="0" w:color="auto"/>
            <w:right w:val="none" w:sz="0" w:space="0" w:color="auto"/>
          </w:divBdr>
        </w:div>
      </w:divsChild>
    </w:div>
    <w:div w:id="480579646">
      <w:bodyDiv w:val="1"/>
      <w:marLeft w:val="0"/>
      <w:marRight w:val="0"/>
      <w:marTop w:val="0"/>
      <w:marBottom w:val="0"/>
      <w:divBdr>
        <w:top w:val="none" w:sz="0" w:space="0" w:color="auto"/>
        <w:left w:val="none" w:sz="0" w:space="0" w:color="auto"/>
        <w:bottom w:val="none" w:sz="0" w:space="0" w:color="auto"/>
        <w:right w:val="none" w:sz="0" w:space="0" w:color="auto"/>
      </w:divBdr>
    </w:div>
    <w:div w:id="482814409">
      <w:bodyDiv w:val="1"/>
      <w:marLeft w:val="0"/>
      <w:marRight w:val="0"/>
      <w:marTop w:val="0"/>
      <w:marBottom w:val="0"/>
      <w:divBdr>
        <w:top w:val="none" w:sz="0" w:space="0" w:color="auto"/>
        <w:left w:val="none" w:sz="0" w:space="0" w:color="auto"/>
        <w:bottom w:val="none" w:sz="0" w:space="0" w:color="auto"/>
        <w:right w:val="none" w:sz="0" w:space="0" w:color="auto"/>
      </w:divBdr>
    </w:div>
    <w:div w:id="496846682">
      <w:bodyDiv w:val="1"/>
      <w:marLeft w:val="0"/>
      <w:marRight w:val="0"/>
      <w:marTop w:val="0"/>
      <w:marBottom w:val="0"/>
      <w:divBdr>
        <w:top w:val="none" w:sz="0" w:space="0" w:color="auto"/>
        <w:left w:val="none" w:sz="0" w:space="0" w:color="auto"/>
        <w:bottom w:val="none" w:sz="0" w:space="0" w:color="auto"/>
        <w:right w:val="none" w:sz="0" w:space="0" w:color="auto"/>
      </w:divBdr>
    </w:div>
    <w:div w:id="499152832">
      <w:bodyDiv w:val="1"/>
      <w:marLeft w:val="0"/>
      <w:marRight w:val="0"/>
      <w:marTop w:val="0"/>
      <w:marBottom w:val="0"/>
      <w:divBdr>
        <w:top w:val="none" w:sz="0" w:space="0" w:color="auto"/>
        <w:left w:val="none" w:sz="0" w:space="0" w:color="auto"/>
        <w:bottom w:val="none" w:sz="0" w:space="0" w:color="auto"/>
        <w:right w:val="none" w:sz="0" w:space="0" w:color="auto"/>
      </w:divBdr>
    </w:div>
    <w:div w:id="499391279">
      <w:bodyDiv w:val="1"/>
      <w:marLeft w:val="0"/>
      <w:marRight w:val="0"/>
      <w:marTop w:val="0"/>
      <w:marBottom w:val="0"/>
      <w:divBdr>
        <w:top w:val="none" w:sz="0" w:space="0" w:color="auto"/>
        <w:left w:val="none" w:sz="0" w:space="0" w:color="auto"/>
        <w:bottom w:val="none" w:sz="0" w:space="0" w:color="auto"/>
        <w:right w:val="none" w:sz="0" w:space="0" w:color="auto"/>
      </w:divBdr>
    </w:div>
    <w:div w:id="500581205">
      <w:bodyDiv w:val="1"/>
      <w:marLeft w:val="0"/>
      <w:marRight w:val="0"/>
      <w:marTop w:val="0"/>
      <w:marBottom w:val="0"/>
      <w:divBdr>
        <w:top w:val="none" w:sz="0" w:space="0" w:color="auto"/>
        <w:left w:val="none" w:sz="0" w:space="0" w:color="auto"/>
        <w:bottom w:val="none" w:sz="0" w:space="0" w:color="auto"/>
        <w:right w:val="none" w:sz="0" w:space="0" w:color="auto"/>
      </w:divBdr>
      <w:divsChild>
        <w:div w:id="1607619976">
          <w:marLeft w:val="150"/>
          <w:marRight w:val="150"/>
          <w:marTop w:val="150"/>
          <w:marBottom w:val="300"/>
          <w:divBdr>
            <w:top w:val="none" w:sz="0" w:space="0" w:color="auto"/>
            <w:left w:val="none" w:sz="0" w:space="0" w:color="auto"/>
            <w:bottom w:val="none" w:sz="0" w:space="0" w:color="auto"/>
            <w:right w:val="none" w:sz="0" w:space="0" w:color="auto"/>
          </w:divBdr>
          <w:divsChild>
            <w:div w:id="2054620753">
              <w:marLeft w:val="0"/>
              <w:marRight w:val="0"/>
              <w:marTop w:val="0"/>
              <w:marBottom w:val="0"/>
              <w:divBdr>
                <w:top w:val="none" w:sz="0" w:space="0" w:color="auto"/>
                <w:left w:val="none" w:sz="0" w:space="0" w:color="auto"/>
                <w:bottom w:val="none" w:sz="0" w:space="0" w:color="auto"/>
                <w:right w:val="none" w:sz="0" w:space="0" w:color="auto"/>
              </w:divBdr>
              <w:divsChild>
                <w:div w:id="1026754634">
                  <w:marLeft w:val="0"/>
                  <w:marRight w:val="0"/>
                  <w:marTop w:val="0"/>
                  <w:marBottom w:val="0"/>
                  <w:divBdr>
                    <w:top w:val="none" w:sz="0" w:space="0" w:color="auto"/>
                    <w:left w:val="none" w:sz="0" w:space="0" w:color="auto"/>
                    <w:bottom w:val="none" w:sz="0" w:space="0" w:color="auto"/>
                    <w:right w:val="none" w:sz="0" w:space="0" w:color="auto"/>
                  </w:divBdr>
                  <w:divsChild>
                    <w:div w:id="230389605">
                      <w:marLeft w:val="0"/>
                      <w:marRight w:val="0"/>
                      <w:marTop w:val="0"/>
                      <w:marBottom w:val="0"/>
                      <w:divBdr>
                        <w:top w:val="none" w:sz="0" w:space="0" w:color="auto"/>
                        <w:left w:val="none" w:sz="0" w:space="0" w:color="auto"/>
                        <w:bottom w:val="none" w:sz="0" w:space="0" w:color="auto"/>
                        <w:right w:val="none" w:sz="0" w:space="0" w:color="auto"/>
                      </w:divBdr>
                      <w:divsChild>
                        <w:div w:id="1397901194">
                          <w:marLeft w:val="0"/>
                          <w:marRight w:val="0"/>
                          <w:marTop w:val="0"/>
                          <w:marBottom w:val="0"/>
                          <w:divBdr>
                            <w:top w:val="none" w:sz="0" w:space="0" w:color="auto"/>
                            <w:left w:val="none" w:sz="0" w:space="0" w:color="auto"/>
                            <w:bottom w:val="none" w:sz="0" w:space="0" w:color="auto"/>
                            <w:right w:val="none" w:sz="0" w:space="0" w:color="auto"/>
                          </w:divBdr>
                          <w:divsChild>
                            <w:div w:id="24604025">
                              <w:marLeft w:val="0"/>
                              <w:marRight w:val="0"/>
                              <w:marTop w:val="0"/>
                              <w:marBottom w:val="0"/>
                              <w:divBdr>
                                <w:top w:val="none" w:sz="0" w:space="0" w:color="auto"/>
                                <w:left w:val="none" w:sz="0" w:space="0" w:color="auto"/>
                                <w:bottom w:val="none" w:sz="0" w:space="0" w:color="auto"/>
                                <w:right w:val="none" w:sz="0" w:space="0" w:color="auto"/>
                              </w:divBdr>
                            </w:div>
                            <w:div w:id="147409023">
                              <w:marLeft w:val="0"/>
                              <w:marRight w:val="0"/>
                              <w:marTop w:val="0"/>
                              <w:marBottom w:val="0"/>
                              <w:divBdr>
                                <w:top w:val="none" w:sz="0" w:space="0" w:color="auto"/>
                                <w:left w:val="none" w:sz="0" w:space="0" w:color="auto"/>
                                <w:bottom w:val="none" w:sz="0" w:space="0" w:color="auto"/>
                                <w:right w:val="none" w:sz="0" w:space="0" w:color="auto"/>
                              </w:divBdr>
                            </w:div>
                            <w:div w:id="171145567">
                              <w:marLeft w:val="0"/>
                              <w:marRight w:val="0"/>
                              <w:marTop w:val="0"/>
                              <w:marBottom w:val="0"/>
                              <w:divBdr>
                                <w:top w:val="none" w:sz="0" w:space="0" w:color="auto"/>
                                <w:left w:val="none" w:sz="0" w:space="0" w:color="auto"/>
                                <w:bottom w:val="none" w:sz="0" w:space="0" w:color="auto"/>
                                <w:right w:val="none" w:sz="0" w:space="0" w:color="auto"/>
                              </w:divBdr>
                            </w:div>
                            <w:div w:id="684290153">
                              <w:marLeft w:val="0"/>
                              <w:marRight w:val="0"/>
                              <w:marTop w:val="0"/>
                              <w:marBottom w:val="0"/>
                              <w:divBdr>
                                <w:top w:val="none" w:sz="0" w:space="0" w:color="auto"/>
                                <w:left w:val="none" w:sz="0" w:space="0" w:color="auto"/>
                                <w:bottom w:val="none" w:sz="0" w:space="0" w:color="auto"/>
                                <w:right w:val="none" w:sz="0" w:space="0" w:color="auto"/>
                              </w:divBdr>
                            </w:div>
                            <w:div w:id="928737816">
                              <w:marLeft w:val="0"/>
                              <w:marRight w:val="0"/>
                              <w:marTop w:val="0"/>
                              <w:marBottom w:val="0"/>
                              <w:divBdr>
                                <w:top w:val="none" w:sz="0" w:space="0" w:color="auto"/>
                                <w:left w:val="none" w:sz="0" w:space="0" w:color="auto"/>
                                <w:bottom w:val="none" w:sz="0" w:space="0" w:color="auto"/>
                                <w:right w:val="none" w:sz="0" w:space="0" w:color="auto"/>
                              </w:divBdr>
                            </w:div>
                            <w:div w:id="1060522177">
                              <w:marLeft w:val="0"/>
                              <w:marRight w:val="0"/>
                              <w:marTop w:val="0"/>
                              <w:marBottom w:val="0"/>
                              <w:divBdr>
                                <w:top w:val="none" w:sz="0" w:space="0" w:color="auto"/>
                                <w:left w:val="none" w:sz="0" w:space="0" w:color="auto"/>
                                <w:bottom w:val="none" w:sz="0" w:space="0" w:color="auto"/>
                                <w:right w:val="none" w:sz="0" w:space="0" w:color="auto"/>
                              </w:divBdr>
                            </w:div>
                            <w:div w:id="1285961438">
                              <w:marLeft w:val="0"/>
                              <w:marRight w:val="0"/>
                              <w:marTop w:val="0"/>
                              <w:marBottom w:val="0"/>
                              <w:divBdr>
                                <w:top w:val="none" w:sz="0" w:space="0" w:color="auto"/>
                                <w:left w:val="none" w:sz="0" w:space="0" w:color="auto"/>
                                <w:bottom w:val="none" w:sz="0" w:space="0" w:color="auto"/>
                                <w:right w:val="none" w:sz="0" w:space="0" w:color="auto"/>
                              </w:divBdr>
                            </w:div>
                            <w:div w:id="1499467151">
                              <w:marLeft w:val="0"/>
                              <w:marRight w:val="0"/>
                              <w:marTop w:val="0"/>
                              <w:marBottom w:val="0"/>
                              <w:divBdr>
                                <w:top w:val="none" w:sz="0" w:space="0" w:color="auto"/>
                                <w:left w:val="none" w:sz="0" w:space="0" w:color="auto"/>
                                <w:bottom w:val="none" w:sz="0" w:space="0" w:color="auto"/>
                                <w:right w:val="none" w:sz="0" w:space="0" w:color="auto"/>
                              </w:divBdr>
                            </w:div>
                            <w:div w:id="1721705534">
                              <w:marLeft w:val="0"/>
                              <w:marRight w:val="0"/>
                              <w:marTop w:val="0"/>
                              <w:marBottom w:val="0"/>
                              <w:divBdr>
                                <w:top w:val="none" w:sz="0" w:space="0" w:color="auto"/>
                                <w:left w:val="none" w:sz="0" w:space="0" w:color="auto"/>
                                <w:bottom w:val="none" w:sz="0" w:space="0" w:color="auto"/>
                                <w:right w:val="none" w:sz="0" w:space="0" w:color="auto"/>
                              </w:divBdr>
                            </w:div>
                            <w:div w:id="191843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211340">
                      <w:marLeft w:val="0"/>
                      <w:marRight w:val="0"/>
                      <w:marTop w:val="0"/>
                      <w:marBottom w:val="0"/>
                      <w:divBdr>
                        <w:top w:val="none" w:sz="0" w:space="0" w:color="auto"/>
                        <w:left w:val="none" w:sz="0" w:space="0" w:color="auto"/>
                        <w:bottom w:val="none" w:sz="0" w:space="0" w:color="auto"/>
                        <w:right w:val="none" w:sz="0" w:space="0" w:color="auto"/>
                      </w:divBdr>
                      <w:divsChild>
                        <w:div w:id="20572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8998395">
          <w:marLeft w:val="150"/>
          <w:marRight w:val="150"/>
          <w:marTop w:val="150"/>
          <w:marBottom w:val="300"/>
          <w:divBdr>
            <w:top w:val="none" w:sz="0" w:space="0" w:color="auto"/>
            <w:left w:val="none" w:sz="0" w:space="0" w:color="auto"/>
            <w:bottom w:val="none" w:sz="0" w:space="0" w:color="auto"/>
            <w:right w:val="none" w:sz="0" w:space="0" w:color="auto"/>
          </w:divBdr>
          <w:divsChild>
            <w:div w:id="1353340910">
              <w:marLeft w:val="0"/>
              <w:marRight w:val="0"/>
              <w:marTop w:val="0"/>
              <w:marBottom w:val="0"/>
              <w:divBdr>
                <w:top w:val="none" w:sz="0" w:space="0" w:color="auto"/>
                <w:left w:val="none" w:sz="0" w:space="0" w:color="auto"/>
                <w:bottom w:val="none" w:sz="0" w:space="0" w:color="auto"/>
                <w:right w:val="none" w:sz="0" w:space="0" w:color="auto"/>
              </w:divBdr>
              <w:divsChild>
                <w:div w:id="693919836">
                  <w:marLeft w:val="0"/>
                  <w:marRight w:val="0"/>
                  <w:marTop w:val="0"/>
                  <w:marBottom w:val="0"/>
                  <w:divBdr>
                    <w:top w:val="none" w:sz="0" w:space="0" w:color="auto"/>
                    <w:left w:val="none" w:sz="0" w:space="0" w:color="auto"/>
                    <w:bottom w:val="none" w:sz="0" w:space="0" w:color="auto"/>
                    <w:right w:val="none" w:sz="0" w:space="0" w:color="auto"/>
                  </w:divBdr>
                  <w:divsChild>
                    <w:div w:id="1590384217">
                      <w:marLeft w:val="0"/>
                      <w:marRight w:val="0"/>
                      <w:marTop w:val="0"/>
                      <w:marBottom w:val="0"/>
                      <w:divBdr>
                        <w:top w:val="none" w:sz="0" w:space="0" w:color="auto"/>
                        <w:left w:val="none" w:sz="0" w:space="0" w:color="auto"/>
                        <w:bottom w:val="none" w:sz="0" w:space="0" w:color="auto"/>
                        <w:right w:val="none" w:sz="0" w:space="0" w:color="auto"/>
                      </w:divBdr>
                      <w:divsChild>
                        <w:div w:id="385688781">
                          <w:marLeft w:val="0"/>
                          <w:marRight w:val="0"/>
                          <w:marTop w:val="0"/>
                          <w:marBottom w:val="0"/>
                          <w:divBdr>
                            <w:top w:val="none" w:sz="0" w:space="0" w:color="auto"/>
                            <w:left w:val="none" w:sz="0" w:space="0" w:color="auto"/>
                            <w:bottom w:val="none" w:sz="0" w:space="0" w:color="auto"/>
                            <w:right w:val="none" w:sz="0" w:space="0" w:color="auto"/>
                          </w:divBdr>
                          <w:divsChild>
                            <w:div w:id="85469218">
                              <w:marLeft w:val="0"/>
                              <w:marRight w:val="0"/>
                              <w:marTop w:val="0"/>
                              <w:marBottom w:val="0"/>
                              <w:divBdr>
                                <w:top w:val="none" w:sz="0" w:space="0" w:color="auto"/>
                                <w:left w:val="none" w:sz="0" w:space="0" w:color="auto"/>
                                <w:bottom w:val="none" w:sz="0" w:space="0" w:color="auto"/>
                                <w:right w:val="none" w:sz="0" w:space="0" w:color="auto"/>
                              </w:divBdr>
                            </w:div>
                            <w:div w:id="315574150">
                              <w:marLeft w:val="0"/>
                              <w:marRight w:val="0"/>
                              <w:marTop w:val="0"/>
                              <w:marBottom w:val="0"/>
                              <w:divBdr>
                                <w:top w:val="none" w:sz="0" w:space="0" w:color="auto"/>
                                <w:left w:val="none" w:sz="0" w:space="0" w:color="auto"/>
                                <w:bottom w:val="none" w:sz="0" w:space="0" w:color="auto"/>
                                <w:right w:val="none" w:sz="0" w:space="0" w:color="auto"/>
                              </w:divBdr>
                            </w:div>
                            <w:div w:id="620500387">
                              <w:marLeft w:val="0"/>
                              <w:marRight w:val="0"/>
                              <w:marTop w:val="0"/>
                              <w:marBottom w:val="0"/>
                              <w:divBdr>
                                <w:top w:val="none" w:sz="0" w:space="0" w:color="auto"/>
                                <w:left w:val="none" w:sz="0" w:space="0" w:color="auto"/>
                                <w:bottom w:val="none" w:sz="0" w:space="0" w:color="auto"/>
                                <w:right w:val="none" w:sz="0" w:space="0" w:color="auto"/>
                              </w:divBdr>
                            </w:div>
                            <w:div w:id="801923016">
                              <w:marLeft w:val="0"/>
                              <w:marRight w:val="0"/>
                              <w:marTop w:val="0"/>
                              <w:marBottom w:val="0"/>
                              <w:divBdr>
                                <w:top w:val="none" w:sz="0" w:space="0" w:color="auto"/>
                                <w:left w:val="none" w:sz="0" w:space="0" w:color="auto"/>
                                <w:bottom w:val="none" w:sz="0" w:space="0" w:color="auto"/>
                                <w:right w:val="none" w:sz="0" w:space="0" w:color="auto"/>
                              </w:divBdr>
                            </w:div>
                            <w:div w:id="1564482251">
                              <w:marLeft w:val="0"/>
                              <w:marRight w:val="0"/>
                              <w:marTop w:val="0"/>
                              <w:marBottom w:val="0"/>
                              <w:divBdr>
                                <w:top w:val="none" w:sz="0" w:space="0" w:color="auto"/>
                                <w:left w:val="none" w:sz="0" w:space="0" w:color="auto"/>
                                <w:bottom w:val="none" w:sz="0" w:space="0" w:color="auto"/>
                                <w:right w:val="none" w:sz="0" w:space="0" w:color="auto"/>
                              </w:divBdr>
                            </w:div>
                            <w:div w:id="1655792134">
                              <w:marLeft w:val="0"/>
                              <w:marRight w:val="0"/>
                              <w:marTop w:val="0"/>
                              <w:marBottom w:val="0"/>
                              <w:divBdr>
                                <w:top w:val="none" w:sz="0" w:space="0" w:color="auto"/>
                                <w:left w:val="none" w:sz="0" w:space="0" w:color="auto"/>
                                <w:bottom w:val="none" w:sz="0" w:space="0" w:color="auto"/>
                                <w:right w:val="none" w:sz="0" w:space="0" w:color="auto"/>
                              </w:divBdr>
                            </w:div>
                            <w:div w:id="192499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2550063">
      <w:bodyDiv w:val="1"/>
      <w:marLeft w:val="0"/>
      <w:marRight w:val="0"/>
      <w:marTop w:val="0"/>
      <w:marBottom w:val="0"/>
      <w:divBdr>
        <w:top w:val="none" w:sz="0" w:space="0" w:color="auto"/>
        <w:left w:val="none" w:sz="0" w:space="0" w:color="auto"/>
        <w:bottom w:val="none" w:sz="0" w:space="0" w:color="auto"/>
        <w:right w:val="none" w:sz="0" w:space="0" w:color="auto"/>
      </w:divBdr>
    </w:div>
    <w:div w:id="504130160">
      <w:bodyDiv w:val="1"/>
      <w:marLeft w:val="0"/>
      <w:marRight w:val="0"/>
      <w:marTop w:val="0"/>
      <w:marBottom w:val="0"/>
      <w:divBdr>
        <w:top w:val="none" w:sz="0" w:space="0" w:color="auto"/>
        <w:left w:val="none" w:sz="0" w:space="0" w:color="auto"/>
        <w:bottom w:val="none" w:sz="0" w:space="0" w:color="auto"/>
        <w:right w:val="none" w:sz="0" w:space="0" w:color="auto"/>
      </w:divBdr>
    </w:div>
    <w:div w:id="505435791">
      <w:bodyDiv w:val="1"/>
      <w:marLeft w:val="0"/>
      <w:marRight w:val="0"/>
      <w:marTop w:val="0"/>
      <w:marBottom w:val="0"/>
      <w:divBdr>
        <w:top w:val="none" w:sz="0" w:space="0" w:color="auto"/>
        <w:left w:val="none" w:sz="0" w:space="0" w:color="auto"/>
        <w:bottom w:val="none" w:sz="0" w:space="0" w:color="auto"/>
        <w:right w:val="none" w:sz="0" w:space="0" w:color="auto"/>
      </w:divBdr>
    </w:div>
    <w:div w:id="507672873">
      <w:bodyDiv w:val="1"/>
      <w:marLeft w:val="0"/>
      <w:marRight w:val="0"/>
      <w:marTop w:val="0"/>
      <w:marBottom w:val="0"/>
      <w:divBdr>
        <w:top w:val="none" w:sz="0" w:space="0" w:color="auto"/>
        <w:left w:val="none" w:sz="0" w:space="0" w:color="auto"/>
        <w:bottom w:val="none" w:sz="0" w:space="0" w:color="auto"/>
        <w:right w:val="none" w:sz="0" w:space="0" w:color="auto"/>
      </w:divBdr>
    </w:div>
    <w:div w:id="512763210">
      <w:bodyDiv w:val="1"/>
      <w:marLeft w:val="0"/>
      <w:marRight w:val="0"/>
      <w:marTop w:val="0"/>
      <w:marBottom w:val="0"/>
      <w:divBdr>
        <w:top w:val="none" w:sz="0" w:space="0" w:color="auto"/>
        <w:left w:val="none" w:sz="0" w:space="0" w:color="auto"/>
        <w:bottom w:val="none" w:sz="0" w:space="0" w:color="auto"/>
        <w:right w:val="none" w:sz="0" w:space="0" w:color="auto"/>
      </w:divBdr>
    </w:div>
    <w:div w:id="516575749">
      <w:bodyDiv w:val="1"/>
      <w:marLeft w:val="0"/>
      <w:marRight w:val="0"/>
      <w:marTop w:val="0"/>
      <w:marBottom w:val="0"/>
      <w:divBdr>
        <w:top w:val="none" w:sz="0" w:space="0" w:color="auto"/>
        <w:left w:val="none" w:sz="0" w:space="0" w:color="auto"/>
        <w:bottom w:val="none" w:sz="0" w:space="0" w:color="auto"/>
        <w:right w:val="none" w:sz="0" w:space="0" w:color="auto"/>
      </w:divBdr>
    </w:div>
    <w:div w:id="518391824">
      <w:bodyDiv w:val="1"/>
      <w:marLeft w:val="0"/>
      <w:marRight w:val="0"/>
      <w:marTop w:val="0"/>
      <w:marBottom w:val="0"/>
      <w:divBdr>
        <w:top w:val="none" w:sz="0" w:space="0" w:color="auto"/>
        <w:left w:val="none" w:sz="0" w:space="0" w:color="auto"/>
        <w:bottom w:val="none" w:sz="0" w:space="0" w:color="auto"/>
        <w:right w:val="none" w:sz="0" w:space="0" w:color="auto"/>
      </w:divBdr>
    </w:div>
    <w:div w:id="520631258">
      <w:bodyDiv w:val="1"/>
      <w:marLeft w:val="0"/>
      <w:marRight w:val="0"/>
      <w:marTop w:val="0"/>
      <w:marBottom w:val="0"/>
      <w:divBdr>
        <w:top w:val="none" w:sz="0" w:space="0" w:color="auto"/>
        <w:left w:val="none" w:sz="0" w:space="0" w:color="auto"/>
        <w:bottom w:val="none" w:sz="0" w:space="0" w:color="auto"/>
        <w:right w:val="none" w:sz="0" w:space="0" w:color="auto"/>
      </w:divBdr>
    </w:div>
    <w:div w:id="525489747">
      <w:bodyDiv w:val="1"/>
      <w:marLeft w:val="0"/>
      <w:marRight w:val="0"/>
      <w:marTop w:val="0"/>
      <w:marBottom w:val="0"/>
      <w:divBdr>
        <w:top w:val="none" w:sz="0" w:space="0" w:color="auto"/>
        <w:left w:val="none" w:sz="0" w:space="0" w:color="auto"/>
        <w:bottom w:val="none" w:sz="0" w:space="0" w:color="auto"/>
        <w:right w:val="none" w:sz="0" w:space="0" w:color="auto"/>
      </w:divBdr>
    </w:div>
    <w:div w:id="538203952">
      <w:bodyDiv w:val="1"/>
      <w:marLeft w:val="0"/>
      <w:marRight w:val="0"/>
      <w:marTop w:val="0"/>
      <w:marBottom w:val="0"/>
      <w:divBdr>
        <w:top w:val="none" w:sz="0" w:space="0" w:color="auto"/>
        <w:left w:val="none" w:sz="0" w:space="0" w:color="auto"/>
        <w:bottom w:val="none" w:sz="0" w:space="0" w:color="auto"/>
        <w:right w:val="none" w:sz="0" w:space="0" w:color="auto"/>
      </w:divBdr>
    </w:div>
    <w:div w:id="538394591">
      <w:bodyDiv w:val="1"/>
      <w:marLeft w:val="0"/>
      <w:marRight w:val="0"/>
      <w:marTop w:val="0"/>
      <w:marBottom w:val="0"/>
      <w:divBdr>
        <w:top w:val="none" w:sz="0" w:space="0" w:color="auto"/>
        <w:left w:val="none" w:sz="0" w:space="0" w:color="auto"/>
        <w:bottom w:val="none" w:sz="0" w:space="0" w:color="auto"/>
        <w:right w:val="none" w:sz="0" w:space="0" w:color="auto"/>
      </w:divBdr>
    </w:div>
    <w:div w:id="545718877">
      <w:bodyDiv w:val="1"/>
      <w:marLeft w:val="0"/>
      <w:marRight w:val="0"/>
      <w:marTop w:val="0"/>
      <w:marBottom w:val="0"/>
      <w:divBdr>
        <w:top w:val="none" w:sz="0" w:space="0" w:color="auto"/>
        <w:left w:val="none" w:sz="0" w:space="0" w:color="auto"/>
        <w:bottom w:val="none" w:sz="0" w:space="0" w:color="auto"/>
        <w:right w:val="none" w:sz="0" w:space="0" w:color="auto"/>
      </w:divBdr>
    </w:div>
    <w:div w:id="553277111">
      <w:bodyDiv w:val="1"/>
      <w:marLeft w:val="0"/>
      <w:marRight w:val="0"/>
      <w:marTop w:val="0"/>
      <w:marBottom w:val="0"/>
      <w:divBdr>
        <w:top w:val="none" w:sz="0" w:space="0" w:color="auto"/>
        <w:left w:val="none" w:sz="0" w:space="0" w:color="auto"/>
        <w:bottom w:val="none" w:sz="0" w:space="0" w:color="auto"/>
        <w:right w:val="none" w:sz="0" w:space="0" w:color="auto"/>
      </w:divBdr>
    </w:div>
    <w:div w:id="554659720">
      <w:bodyDiv w:val="1"/>
      <w:marLeft w:val="0"/>
      <w:marRight w:val="0"/>
      <w:marTop w:val="0"/>
      <w:marBottom w:val="0"/>
      <w:divBdr>
        <w:top w:val="none" w:sz="0" w:space="0" w:color="auto"/>
        <w:left w:val="none" w:sz="0" w:space="0" w:color="auto"/>
        <w:bottom w:val="none" w:sz="0" w:space="0" w:color="auto"/>
        <w:right w:val="none" w:sz="0" w:space="0" w:color="auto"/>
      </w:divBdr>
      <w:divsChild>
        <w:div w:id="689913371">
          <w:marLeft w:val="0"/>
          <w:marRight w:val="0"/>
          <w:marTop w:val="0"/>
          <w:marBottom w:val="0"/>
          <w:divBdr>
            <w:top w:val="single" w:sz="6" w:space="2" w:color="DC1F26"/>
            <w:left w:val="single" w:sz="6" w:space="0" w:color="DC1F26"/>
            <w:bottom w:val="single" w:sz="6" w:space="0" w:color="DC1F26"/>
            <w:right w:val="single" w:sz="6" w:space="0" w:color="DC1F26"/>
          </w:divBdr>
          <w:divsChild>
            <w:div w:id="510410527">
              <w:marLeft w:val="45"/>
              <w:marRight w:val="0"/>
              <w:marTop w:val="0"/>
              <w:marBottom w:val="210"/>
              <w:divBdr>
                <w:top w:val="none" w:sz="0" w:space="0" w:color="auto"/>
                <w:left w:val="none" w:sz="0" w:space="0" w:color="auto"/>
                <w:bottom w:val="single" w:sz="6" w:space="8" w:color="DBDCE0"/>
                <w:right w:val="single" w:sz="6" w:space="8" w:color="DBDCE0"/>
              </w:divBdr>
              <w:divsChild>
                <w:div w:id="192479683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564990850">
      <w:bodyDiv w:val="1"/>
      <w:marLeft w:val="0"/>
      <w:marRight w:val="0"/>
      <w:marTop w:val="0"/>
      <w:marBottom w:val="0"/>
      <w:divBdr>
        <w:top w:val="none" w:sz="0" w:space="0" w:color="auto"/>
        <w:left w:val="none" w:sz="0" w:space="0" w:color="auto"/>
        <w:bottom w:val="none" w:sz="0" w:space="0" w:color="auto"/>
        <w:right w:val="none" w:sz="0" w:space="0" w:color="auto"/>
      </w:divBdr>
    </w:div>
    <w:div w:id="565841776">
      <w:bodyDiv w:val="1"/>
      <w:marLeft w:val="0"/>
      <w:marRight w:val="0"/>
      <w:marTop w:val="0"/>
      <w:marBottom w:val="0"/>
      <w:divBdr>
        <w:top w:val="none" w:sz="0" w:space="0" w:color="auto"/>
        <w:left w:val="none" w:sz="0" w:space="0" w:color="auto"/>
        <w:bottom w:val="none" w:sz="0" w:space="0" w:color="auto"/>
        <w:right w:val="none" w:sz="0" w:space="0" w:color="auto"/>
      </w:divBdr>
    </w:div>
    <w:div w:id="566771790">
      <w:bodyDiv w:val="1"/>
      <w:marLeft w:val="0"/>
      <w:marRight w:val="0"/>
      <w:marTop w:val="0"/>
      <w:marBottom w:val="0"/>
      <w:divBdr>
        <w:top w:val="none" w:sz="0" w:space="0" w:color="auto"/>
        <w:left w:val="none" w:sz="0" w:space="0" w:color="auto"/>
        <w:bottom w:val="none" w:sz="0" w:space="0" w:color="auto"/>
        <w:right w:val="none" w:sz="0" w:space="0" w:color="auto"/>
      </w:divBdr>
    </w:div>
    <w:div w:id="580867225">
      <w:bodyDiv w:val="1"/>
      <w:marLeft w:val="0"/>
      <w:marRight w:val="0"/>
      <w:marTop w:val="0"/>
      <w:marBottom w:val="0"/>
      <w:divBdr>
        <w:top w:val="none" w:sz="0" w:space="0" w:color="auto"/>
        <w:left w:val="none" w:sz="0" w:space="0" w:color="auto"/>
        <w:bottom w:val="none" w:sz="0" w:space="0" w:color="auto"/>
        <w:right w:val="none" w:sz="0" w:space="0" w:color="auto"/>
      </w:divBdr>
    </w:div>
    <w:div w:id="582908352">
      <w:bodyDiv w:val="1"/>
      <w:marLeft w:val="0"/>
      <w:marRight w:val="0"/>
      <w:marTop w:val="0"/>
      <w:marBottom w:val="0"/>
      <w:divBdr>
        <w:top w:val="none" w:sz="0" w:space="0" w:color="auto"/>
        <w:left w:val="none" w:sz="0" w:space="0" w:color="auto"/>
        <w:bottom w:val="none" w:sz="0" w:space="0" w:color="auto"/>
        <w:right w:val="none" w:sz="0" w:space="0" w:color="auto"/>
      </w:divBdr>
    </w:div>
    <w:div w:id="590821953">
      <w:bodyDiv w:val="1"/>
      <w:marLeft w:val="0"/>
      <w:marRight w:val="0"/>
      <w:marTop w:val="0"/>
      <w:marBottom w:val="0"/>
      <w:divBdr>
        <w:top w:val="none" w:sz="0" w:space="0" w:color="auto"/>
        <w:left w:val="none" w:sz="0" w:space="0" w:color="auto"/>
        <w:bottom w:val="none" w:sz="0" w:space="0" w:color="auto"/>
        <w:right w:val="none" w:sz="0" w:space="0" w:color="auto"/>
      </w:divBdr>
    </w:div>
    <w:div w:id="592204820">
      <w:bodyDiv w:val="1"/>
      <w:marLeft w:val="0"/>
      <w:marRight w:val="0"/>
      <w:marTop w:val="0"/>
      <w:marBottom w:val="0"/>
      <w:divBdr>
        <w:top w:val="none" w:sz="0" w:space="0" w:color="auto"/>
        <w:left w:val="none" w:sz="0" w:space="0" w:color="auto"/>
        <w:bottom w:val="none" w:sz="0" w:space="0" w:color="auto"/>
        <w:right w:val="none" w:sz="0" w:space="0" w:color="auto"/>
      </w:divBdr>
    </w:div>
    <w:div w:id="593243804">
      <w:bodyDiv w:val="1"/>
      <w:marLeft w:val="0"/>
      <w:marRight w:val="0"/>
      <w:marTop w:val="0"/>
      <w:marBottom w:val="0"/>
      <w:divBdr>
        <w:top w:val="none" w:sz="0" w:space="0" w:color="auto"/>
        <w:left w:val="none" w:sz="0" w:space="0" w:color="auto"/>
        <w:bottom w:val="none" w:sz="0" w:space="0" w:color="auto"/>
        <w:right w:val="none" w:sz="0" w:space="0" w:color="auto"/>
      </w:divBdr>
      <w:divsChild>
        <w:div w:id="382602325">
          <w:marLeft w:val="547"/>
          <w:marRight w:val="0"/>
          <w:marTop w:val="154"/>
          <w:marBottom w:val="0"/>
          <w:divBdr>
            <w:top w:val="none" w:sz="0" w:space="0" w:color="auto"/>
            <w:left w:val="none" w:sz="0" w:space="0" w:color="auto"/>
            <w:bottom w:val="none" w:sz="0" w:space="0" w:color="auto"/>
            <w:right w:val="none" w:sz="0" w:space="0" w:color="auto"/>
          </w:divBdr>
        </w:div>
        <w:div w:id="935556052">
          <w:marLeft w:val="547"/>
          <w:marRight w:val="0"/>
          <w:marTop w:val="154"/>
          <w:marBottom w:val="0"/>
          <w:divBdr>
            <w:top w:val="none" w:sz="0" w:space="0" w:color="auto"/>
            <w:left w:val="none" w:sz="0" w:space="0" w:color="auto"/>
            <w:bottom w:val="none" w:sz="0" w:space="0" w:color="auto"/>
            <w:right w:val="none" w:sz="0" w:space="0" w:color="auto"/>
          </w:divBdr>
        </w:div>
        <w:div w:id="1170369878">
          <w:marLeft w:val="547"/>
          <w:marRight w:val="0"/>
          <w:marTop w:val="154"/>
          <w:marBottom w:val="0"/>
          <w:divBdr>
            <w:top w:val="none" w:sz="0" w:space="0" w:color="auto"/>
            <w:left w:val="none" w:sz="0" w:space="0" w:color="auto"/>
            <w:bottom w:val="none" w:sz="0" w:space="0" w:color="auto"/>
            <w:right w:val="none" w:sz="0" w:space="0" w:color="auto"/>
          </w:divBdr>
        </w:div>
      </w:divsChild>
    </w:div>
    <w:div w:id="600451962">
      <w:bodyDiv w:val="1"/>
      <w:marLeft w:val="0"/>
      <w:marRight w:val="0"/>
      <w:marTop w:val="0"/>
      <w:marBottom w:val="0"/>
      <w:divBdr>
        <w:top w:val="none" w:sz="0" w:space="0" w:color="auto"/>
        <w:left w:val="none" w:sz="0" w:space="0" w:color="auto"/>
        <w:bottom w:val="none" w:sz="0" w:space="0" w:color="auto"/>
        <w:right w:val="none" w:sz="0" w:space="0" w:color="auto"/>
      </w:divBdr>
    </w:div>
    <w:div w:id="601575927">
      <w:bodyDiv w:val="1"/>
      <w:marLeft w:val="0"/>
      <w:marRight w:val="0"/>
      <w:marTop w:val="0"/>
      <w:marBottom w:val="0"/>
      <w:divBdr>
        <w:top w:val="none" w:sz="0" w:space="0" w:color="auto"/>
        <w:left w:val="none" w:sz="0" w:space="0" w:color="auto"/>
        <w:bottom w:val="none" w:sz="0" w:space="0" w:color="auto"/>
        <w:right w:val="none" w:sz="0" w:space="0" w:color="auto"/>
      </w:divBdr>
      <w:divsChild>
        <w:div w:id="457726936">
          <w:marLeft w:val="547"/>
          <w:marRight w:val="0"/>
          <w:marTop w:val="134"/>
          <w:marBottom w:val="0"/>
          <w:divBdr>
            <w:top w:val="none" w:sz="0" w:space="0" w:color="auto"/>
            <w:left w:val="none" w:sz="0" w:space="0" w:color="auto"/>
            <w:bottom w:val="none" w:sz="0" w:space="0" w:color="auto"/>
            <w:right w:val="none" w:sz="0" w:space="0" w:color="auto"/>
          </w:divBdr>
        </w:div>
        <w:div w:id="1845853767">
          <w:marLeft w:val="547"/>
          <w:marRight w:val="0"/>
          <w:marTop w:val="134"/>
          <w:marBottom w:val="0"/>
          <w:divBdr>
            <w:top w:val="none" w:sz="0" w:space="0" w:color="auto"/>
            <w:left w:val="none" w:sz="0" w:space="0" w:color="auto"/>
            <w:bottom w:val="none" w:sz="0" w:space="0" w:color="auto"/>
            <w:right w:val="none" w:sz="0" w:space="0" w:color="auto"/>
          </w:divBdr>
        </w:div>
      </w:divsChild>
    </w:div>
    <w:div w:id="602108434">
      <w:bodyDiv w:val="1"/>
      <w:marLeft w:val="0"/>
      <w:marRight w:val="0"/>
      <w:marTop w:val="0"/>
      <w:marBottom w:val="0"/>
      <w:divBdr>
        <w:top w:val="none" w:sz="0" w:space="0" w:color="auto"/>
        <w:left w:val="none" w:sz="0" w:space="0" w:color="auto"/>
        <w:bottom w:val="none" w:sz="0" w:space="0" w:color="auto"/>
        <w:right w:val="none" w:sz="0" w:space="0" w:color="auto"/>
      </w:divBdr>
    </w:div>
    <w:div w:id="605887898">
      <w:bodyDiv w:val="1"/>
      <w:marLeft w:val="0"/>
      <w:marRight w:val="0"/>
      <w:marTop w:val="0"/>
      <w:marBottom w:val="0"/>
      <w:divBdr>
        <w:top w:val="none" w:sz="0" w:space="0" w:color="auto"/>
        <w:left w:val="none" w:sz="0" w:space="0" w:color="auto"/>
        <w:bottom w:val="none" w:sz="0" w:space="0" w:color="auto"/>
        <w:right w:val="none" w:sz="0" w:space="0" w:color="auto"/>
      </w:divBdr>
    </w:div>
    <w:div w:id="611202897">
      <w:bodyDiv w:val="1"/>
      <w:marLeft w:val="0"/>
      <w:marRight w:val="0"/>
      <w:marTop w:val="0"/>
      <w:marBottom w:val="0"/>
      <w:divBdr>
        <w:top w:val="none" w:sz="0" w:space="0" w:color="auto"/>
        <w:left w:val="none" w:sz="0" w:space="0" w:color="auto"/>
        <w:bottom w:val="none" w:sz="0" w:space="0" w:color="auto"/>
        <w:right w:val="none" w:sz="0" w:space="0" w:color="auto"/>
      </w:divBdr>
      <w:divsChild>
        <w:div w:id="354426873">
          <w:marLeft w:val="547"/>
          <w:marRight w:val="0"/>
          <w:marTop w:val="130"/>
          <w:marBottom w:val="0"/>
          <w:divBdr>
            <w:top w:val="none" w:sz="0" w:space="0" w:color="auto"/>
            <w:left w:val="none" w:sz="0" w:space="0" w:color="auto"/>
            <w:bottom w:val="none" w:sz="0" w:space="0" w:color="auto"/>
            <w:right w:val="none" w:sz="0" w:space="0" w:color="auto"/>
          </w:divBdr>
        </w:div>
        <w:div w:id="516966008">
          <w:marLeft w:val="1166"/>
          <w:marRight w:val="0"/>
          <w:marTop w:val="110"/>
          <w:marBottom w:val="0"/>
          <w:divBdr>
            <w:top w:val="none" w:sz="0" w:space="0" w:color="auto"/>
            <w:left w:val="none" w:sz="0" w:space="0" w:color="auto"/>
            <w:bottom w:val="none" w:sz="0" w:space="0" w:color="auto"/>
            <w:right w:val="none" w:sz="0" w:space="0" w:color="auto"/>
          </w:divBdr>
        </w:div>
        <w:div w:id="648636559">
          <w:marLeft w:val="1166"/>
          <w:marRight w:val="0"/>
          <w:marTop w:val="110"/>
          <w:marBottom w:val="0"/>
          <w:divBdr>
            <w:top w:val="none" w:sz="0" w:space="0" w:color="auto"/>
            <w:left w:val="none" w:sz="0" w:space="0" w:color="auto"/>
            <w:bottom w:val="none" w:sz="0" w:space="0" w:color="auto"/>
            <w:right w:val="none" w:sz="0" w:space="0" w:color="auto"/>
          </w:divBdr>
        </w:div>
        <w:div w:id="1457216725">
          <w:marLeft w:val="1166"/>
          <w:marRight w:val="0"/>
          <w:marTop w:val="115"/>
          <w:marBottom w:val="0"/>
          <w:divBdr>
            <w:top w:val="none" w:sz="0" w:space="0" w:color="auto"/>
            <w:left w:val="none" w:sz="0" w:space="0" w:color="auto"/>
            <w:bottom w:val="none" w:sz="0" w:space="0" w:color="auto"/>
            <w:right w:val="none" w:sz="0" w:space="0" w:color="auto"/>
          </w:divBdr>
        </w:div>
        <w:div w:id="1546138959">
          <w:marLeft w:val="547"/>
          <w:marRight w:val="0"/>
          <w:marTop w:val="130"/>
          <w:marBottom w:val="0"/>
          <w:divBdr>
            <w:top w:val="none" w:sz="0" w:space="0" w:color="auto"/>
            <w:left w:val="none" w:sz="0" w:space="0" w:color="auto"/>
            <w:bottom w:val="none" w:sz="0" w:space="0" w:color="auto"/>
            <w:right w:val="none" w:sz="0" w:space="0" w:color="auto"/>
          </w:divBdr>
        </w:div>
        <w:div w:id="1814443243">
          <w:marLeft w:val="547"/>
          <w:marRight w:val="0"/>
          <w:marTop w:val="115"/>
          <w:marBottom w:val="0"/>
          <w:divBdr>
            <w:top w:val="none" w:sz="0" w:space="0" w:color="auto"/>
            <w:left w:val="none" w:sz="0" w:space="0" w:color="auto"/>
            <w:bottom w:val="none" w:sz="0" w:space="0" w:color="auto"/>
            <w:right w:val="none" w:sz="0" w:space="0" w:color="auto"/>
          </w:divBdr>
        </w:div>
      </w:divsChild>
    </w:div>
    <w:div w:id="617642396">
      <w:bodyDiv w:val="1"/>
      <w:marLeft w:val="0"/>
      <w:marRight w:val="0"/>
      <w:marTop w:val="0"/>
      <w:marBottom w:val="0"/>
      <w:divBdr>
        <w:top w:val="none" w:sz="0" w:space="0" w:color="auto"/>
        <w:left w:val="none" w:sz="0" w:space="0" w:color="auto"/>
        <w:bottom w:val="none" w:sz="0" w:space="0" w:color="auto"/>
        <w:right w:val="none" w:sz="0" w:space="0" w:color="auto"/>
      </w:divBdr>
    </w:div>
    <w:div w:id="625621444">
      <w:bodyDiv w:val="1"/>
      <w:marLeft w:val="0"/>
      <w:marRight w:val="0"/>
      <w:marTop w:val="0"/>
      <w:marBottom w:val="0"/>
      <w:divBdr>
        <w:top w:val="none" w:sz="0" w:space="0" w:color="auto"/>
        <w:left w:val="none" w:sz="0" w:space="0" w:color="auto"/>
        <w:bottom w:val="none" w:sz="0" w:space="0" w:color="auto"/>
        <w:right w:val="none" w:sz="0" w:space="0" w:color="auto"/>
      </w:divBdr>
      <w:divsChild>
        <w:div w:id="582884035">
          <w:marLeft w:val="547"/>
          <w:marRight w:val="0"/>
          <w:marTop w:val="134"/>
          <w:marBottom w:val="0"/>
          <w:divBdr>
            <w:top w:val="none" w:sz="0" w:space="0" w:color="auto"/>
            <w:left w:val="none" w:sz="0" w:space="0" w:color="auto"/>
            <w:bottom w:val="none" w:sz="0" w:space="0" w:color="auto"/>
            <w:right w:val="none" w:sz="0" w:space="0" w:color="auto"/>
          </w:divBdr>
        </w:div>
        <w:div w:id="1007826949">
          <w:marLeft w:val="547"/>
          <w:marRight w:val="0"/>
          <w:marTop w:val="134"/>
          <w:marBottom w:val="0"/>
          <w:divBdr>
            <w:top w:val="none" w:sz="0" w:space="0" w:color="auto"/>
            <w:left w:val="none" w:sz="0" w:space="0" w:color="auto"/>
            <w:bottom w:val="none" w:sz="0" w:space="0" w:color="auto"/>
            <w:right w:val="none" w:sz="0" w:space="0" w:color="auto"/>
          </w:divBdr>
        </w:div>
      </w:divsChild>
    </w:div>
    <w:div w:id="629482055">
      <w:bodyDiv w:val="1"/>
      <w:marLeft w:val="0"/>
      <w:marRight w:val="0"/>
      <w:marTop w:val="0"/>
      <w:marBottom w:val="0"/>
      <w:divBdr>
        <w:top w:val="none" w:sz="0" w:space="0" w:color="auto"/>
        <w:left w:val="none" w:sz="0" w:space="0" w:color="auto"/>
        <w:bottom w:val="none" w:sz="0" w:space="0" w:color="auto"/>
        <w:right w:val="none" w:sz="0" w:space="0" w:color="auto"/>
      </w:divBdr>
    </w:div>
    <w:div w:id="648442526">
      <w:bodyDiv w:val="1"/>
      <w:marLeft w:val="0"/>
      <w:marRight w:val="0"/>
      <w:marTop w:val="0"/>
      <w:marBottom w:val="0"/>
      <w:divBdr>
        <w:top w:val="none" w:sz="0" w:space="0" w:color="auto"/>
        <w:left w:val="none" w:sz="0" w:space="0" w:color="auto"/>
        <w:bottom w:val="none" w:sz="0" w:space="0" w:color="auto"/>
        <w:right w:val="none" w:sz="0" w:space="0" w:color="auto"/>
      </w:divBdr>
    </w:div>
    <w:div w:id="650519368">
      <w:bodyDiv w:val="1"/>
      <w:marLeft w:val="0"/>
      <w:marRight w:val="0"/>
      <w:marTop w:val="0"/>
      <w:marBottom w:val="0"/>
      <w:divBdr>
        <w:top w:val="none" w:sz="0" w:space="0" w:color="auto"/>
        <w:left w:val="none" w:sz="0" w:space="0" w:color="auto"/>
        <w:bottom w:val="none" w:sz="0" w:space="0" w:color="auto"/>
        <w:right w:val="none" w:sz="0" w:space="0" w:color="auto"/>
      </w:divBdr>
    </w:div>
    <w:div w:id="650980744">
      <w:bodyDiv w:val="1"/>
      <w:marLeft w:val="0"/>
      <w:marRight w:val="0"/>
      <w:marTop w:val="0"/>
      <w:marBottom w:val="0"/>
      <w:divBdr>
        <w:top w:val="none" w:sz="0" w:space="0" w:color="auto"/>
        <w:left w:val="none" w:sz="0" w:space="0" w:color="auto"/>
        <w:bottom w:val="none" w:sz="0" w:space="0" w:color="auto"/>
        <w:right w:val="none" w:sz="0" w:space="0" w:color="auto"/>
      </w:divBdr>
    </w:div>
    <w:div w:id="653070595">
      <w:bodyDiv w:val="1"/>
      <w:marLeft w:val="0"/>
      <w:marRight w:val="0"/>
      <w:marTop w:val="0"/>
      <w:marBottom w:val="0"/>
      <w:divBdr>
        <w:top w:val="none" w:sz="0" w:space="0" w:color="auto"/>
        <w:left w:val="none" w:sz="0" w:space="0" w:color="auto"/>
        <w:bottom w:val="none" w:sz="0" w:space="0" w:color="auto"/>
        <w:right w:val="none" w:sz="0" w:space="0" w:color="auto"/>
      </w:divBdr>
    </w:div>
    <w:div w:id="659966688">
      <w:bodyDiv w:val="1"/>
      <w:marLeft w:val="0"/>
      <w:marRight w:val="0"/>
      <w:marTop w:val="0"/>
      <w:marBottom w:val="0"/>
      <w:divBdr>
        <w:top w:val="none" w:sz="0" w:space="0" w:color="auto"/>
        <w:left w:val="none" w:sz="0" w:space="0" w:color="auto"/>
        <w:bottom w:val="none" w:sz="0" w:space="0" w:color="auto"/>
        <w:right w:val="none" w:sz="0" w:space="0" w:color="auto"/>
      </w:divBdr>
    </w:div>
    <w:div w:id="663243702">
      <w:bodyDiv w:val="1"/>
      <w:marLeft w:val="0"/>
      <w:marRight w:val="0"/>
      <w:marTop w:val="0"/>
      <w:marBottom w:val="0"/>
      <w:divBdr>
        <w:top w:val="none" w:sz="0" w:space="0" w:color="auto"/>
        <w:left w:val="none" w:sz="0" w:space="0" w:color="auto"/>
        <w:bottom w:val="none" w:sz="0" w:space="0" w:color="auto"/>
        <w:right w:val="none" w:sz="0" w:space="0" w:color="auto"/>
      </w:divBdr>
    </w:div>
    <w:div w:id="664894891">
      <w:bodyDiv w:val="1"/>
      <w:marLeft w:val="0"/>
      <w:marRight w:val="0"/>
      <w:marTop w:val="0"/>
      <w:marBottom w:val="0"/>
      <w:divBdr>
        <w:top w:val="none" w:sz="0" w:space="0" w:color="auto"/>
        <w:left w:val="none" w:sz="0" w:space="0" w:color="auto"/>
        <w:bottom w:val="none" w:sz="0" w:space="0" w:color="auto"/>
        <w:right w:val="none" w:sz="0" w:space="0" w:color="auto"/>
      </w:divBdr>
    </w:div>
    <w:div w:id="665742630">
      <w:bodyDiv w:val="1"/>
      <w:marLeft w:val="0"/>
      <w:marRight w:val="0"/>
      <w:marTop w:val="0"/>
      <w:marBottom w:val="0"/>
      <w:divBdr>
        <w:top w:val="none" w:sz="0" w:space="0" w:color="auto"/>
        <w:left w:val="none" w:sz="0" w:space="0" w:color="auto"/>
        <w:bottom w:val="none" w:sz="0" w:space="0" w:color="auto"/>
        <w:right w:val="none" w:sz="0" w:space="0" w:color="auto"/>
      </w:divBdr>
    </w:div>
    <w:div w:id="667446407">
      <w:bodyDiv w:val="1"/>
      <w:marLeft w:val="0"/>
      <w:marRight w:val="0"/>
      <w:marTop w:val="0"/>
      <w:marBottom w:val="0"/>
      <w:divBdr>
        <w:top w:val="none" w:sz="0" w:space="0" w:color="auto"/>
        <w:left w:val="none" w:sz="0" w:space="0" w:color="auto"/>
        <w:bottom w:val="none" w:sz="0" w:space="0" w:color="auto"/>
        <w:right w:val="none" w:sz="0" w:space="0" w:color="auto"/>
      </w:divBdr>
    </w:div>
    <w:div w:id="668020387">
      <w:bodyDiv w:val="1"/>
      <w:marLeft w:val="0"/>
      <w:marRight w:val="0"/>
      <w:marTop w:val="0"/>
      <w:marBottom w:val="0"/>
      <w:divBdr>
        <w:top w:val="none" w:sz="0" w:space="0" w:color="auto"/>
        <w:left w:val="none" w:sz="0" w:space="0" w:color="auto"/>
        <w:bottom w:val="none" w:sz="0" w:space="0" w:color="auto"/>
        <w:right w:val="none" w:sz="0" w:space="0" w:color="auto"/>
      </w:divBdr>
    </w:div>
    <w:div w:id="684861862">
      <w:bodyDiv w:val="1"/>
      <w:marLeft w:val="0"/>
      <w:marRight w:val="0"/>
      <w:marTop w:val="0"/>
      <w:marBottom w:val="0"/>
      <w:divBdr>
        <w:top w:val="none" w:sz="0" w:space="0" w:color="auto"/>
        <w:left w:val="none" w:sz="0" w:space="0" w:color="auto"/>
        <w:bottom w:val="none" w:sz="0" w:space="0" w:color="auto"/>
        <w:right w:val="none" w:sz="0" w:space="0" w:color="auto"/>
      </w:divBdr>
    </w:div>
    <w:div w:id="688264700">
      <w:bodyDiv w:val="1"/>
      <w:marLeft w:val="0"/>
      <w:marRight w:val="0"/>
      <w:marTop w:val="0"/>
      <w:marBottom w:val="0"/>
      <w:divBdr>
        <w:top w:val="none" w:sz="0" w:space="0" w:color="auto"/>
        <w:left w:val="none" w:sz="0" w:space="0" w:color="auto"/>
        <w:bottom w:val="none" w:sz="0" w:space="0" w:color="auto"/>
        <w:right w:val="none" w:sz="0" w:space="0" w:color="auto"/>
      </w:divBdr>
    </w:div>
    <w:div w:id="691959190">
      <w:bodyDiv w:val="1"/>
      <w:marLeft w:val="0"/>
      <w:marRight w:val="0"/>
      <w:marTop w:val="0"/>
      <w:marBottom w:val="0"/>
      <w:divBdr>
        <w:top w:val="none" w:sz="0" w:space="0" w:color="auto"/>
        <w:left w:val="none" w:sz="0" w:space="0" w:color="auto"/>
        <w:bottom w:val="none" w:sz="0" w:space="0" w:color="auto"/>
        <w:right w:val="none" w:sz="0" w:space="0" w:color="auto"/>
      </w:divBdr>
    </w:div>
    <w:div w:id="699010444">
      <w:bodyDiv w:val="1"/>
      <w:marLeft w:val="0"/>
      <w:marRight w:val="0"/>
      <w:marTop w:val="0"/>
      <w:marBottom w:val="0"/>
      <w:divBdr>
        <w:top w:val="none" w:sz="0" w:space="0" w:color="auto"/>
        <w:left w:val="none" w:sz="0" w:space="0" w:color="auto"/>
        <w:bottom w:val="none" w:sz="0" w:space="0" w:color="auto"/>
        <w:right w:val="none" w:sz="0" w:space="0" w:color="auto"/>
      </w:divBdr>
      <w:divsChild>
        <w:div w:id="146216447">
          <w:marLeft w:val="0"/>
          <w:marRight w:val="0"/>
          <w:marTop w:val="0"/>
          <w:marBottom w:val="0"/>
          <w:divBdr>
            <w:top w:val="none" w:sz="0" w:space="0" w:color="auto"/>
            <w:left w:val="none" w:sz="0" w:space="0" w:color="auto"/>
            <w:bottom w:val="none" w:sz="0" w:space="0" w:color="auto"/>
            <w:right w:val="none" w:sz="0" w:space="0" w:color="auto"/>
          </w:divBdr>
        </w:div>
        <w:div w:id="280115959">
          <w:marLeft w:val="0"/>
          <w:marRight w:val="0"/>
          <w:marTop w:val="0"/>
          <w:marBottom w:val="0"/>
          <w:divBdr>
            <w:top w:val="none" w:sz="0" w:space="0" w:color="auto"/>
            <w:left w:val="none" w:sz="0" w:space="0" w:color="auto"/>
            <w:bottom w:val="none" w:sz="0" w:space="0" w:color="auto"/>
            <w:right w:val="none" w:sz="0" w:space="0" w:color="auto"/>
          </w:divBdr>
        </w:div>
        <w:div w:id="391006553">
          <w:marLeft w:val="0"/>
          <w:marRight w:val="0"/>
          <w:marTop w:val="0"/>
          <w:marBottom w:val="0"/>
          <w:divBdr>
            <w:top w:val="none" w:sz="0" w:space="0" w:color="auto"/>
            <w:left w:val="none" w:sz="0" w:space="0" w:color="auto"/>
            <w:bottom w:val="none" w:sz="0" w:space="0" w:color="auto"/>
            <w:right w:val="none" w:sz="0" w:space="0" w:color="auto"/>
          </w:divBdr>
        </w:div>
        <w:div w:id="405493490">
          <w:marLeft w:val="0"/>
          <w:marRight w:val="0"/>
          <w:marTop w:val="0"/>
          <w:marBottom w:val="0"/>
          <w:divBdr>
            <w:top w:val="none" w:sz="0" w:space="0" w:color="auto"/>
            <w:left w:val="none" w:sz="0" w:space="0" w:color="auto"/>
            <w:bottom w:val="none" w:sz="0" w:space="0" w:color="auto"/>
            <w:right w:val="none" w:sz="0" w:space="0" w:color="auto"/>
          </w:divBdr>
        </w:div>
        <w:div w:id="515848828">
          <w:marLeft w:val="0"/>
          <w:marRight w:val="0"/>
          <w:marTop w:val="0"/>
          <w:marBottom w:val="0"/>
          <w:divBdr>
            <w:top w:val="none" w:sz="0" w:space="0" w:color="auto"/>
            <w:left w:val="none" w:sz="0" w:space="0" w:color="auto"/>
            <w:bottom w:val="none" w:sz="0" w:space="0" w:color="auto"/>
            <w:right w:val="none" w:sz="0" w:space="0" w:color="auto"/>
          </w:divBdr>
        </w:div>
        <w:div w:id="518354864">
          <w:marLeft w:val="0"/>
          <w:marRight w:val="0"/>
          <w:marTop w:val="0"/>
          <w:marBottom w:val="0"/>
          <w:divBdr>
            <w:top w:val="none" w:sz="0" w:space="0" w:color="auto"/>
            <w:left w:val="none" w:sz="0" w:space="0" w:color="auto"/>
            <w:bottom w:val="none" w:sz="0" w:space="0" w:color="auto"/>
            <w:right w:val="none" w:sz="0" w:space="0" w:color="auto"/>
          </w:divBdr>
        </w:div>
        <w:div w:id="568921381">
          <w:marLeft w:val="0"/>
          <w:marRight w:val="0"/>
          <w:marTop w:val="0"/>
          <w:marBottom w:val="0"/>
          <w:divBdr>
            <w:top w:val="none" w:sz="0" w:space="0" w:color="auto"/>
            <w:left w:val="none" w:sz="0" w:space="0" w:color="auto"/>
            <w:bottom w:val="none" w:sz="0" w:space="0" w:color="auto"/>
            <w:right w:val="none" w:sz="0" w:space="0" w:color="auto"/>
          </w:divBdr>
        </w:div>
        <w:div w:id="607739869">
          <w:marLeft w:val="0"/>
          <w:marRight w:val="0"/>
          <w:marTop w:val="0"/>
          <w:marBottom w:val="0"/>
          <w:divBdr>
            <w:top w:val="none" w:sz="0" w:space="0" w:color="auto"/>
            <w:left w:val="none" w:sz="0" w:space="0" w:color="auto"/>
            <w:bottom w:val="none" w:sz="0" w:space="0" w:color="auto"/>
            <w:right w:val="none" w:sz="0" w:space="0" w:color="auto"/>
          </w:divBdr>
        </w:div>
        <w:div w:id="627586237">
          <w:marLeft w:val="0"/>
          <w:marRight w:val="0"/>
          <w:marTop w:val="0"/>
          <w:marBottom w:val="0"/>
          <w:divBdr>
            <w:top w:val="none" w:sz="0" w:space="0" w:color="auto"/>
            <w:left w:val="none" w:sz="0" w:space="0" w:color="auto"/>
            <w:bottom w:val="none" w:sz="0" w:space="0" w:color="auto"/>
            <w:right w:val="none" w:sz="0" w:space="0" w:color="auto"/>
          </w:divBdr>
        </w:div>
        <w:div w:id="633097610">
          <w:marLeft w:val="0"/>
          <w:marRight w:val="0"/>
          <w:marTop w:val="0"/>
          <w:marBottom w:val="0"/>
          <w:divBdr>
            <w:top w:val="none" w:sz="0" w:space="0" w:color="auto"/>
            <w:left w:val="none" w:sz="0" w:space="0" w:color="auto"/>
            <w:bottom w:val="none" w:sz="0" w:space="0" w:color="auto"/>
            <w:right w:val="none" w:sz="0" w:space="0" w:color="auto"/>
          </w:divBdr>
        </w:div>
        <w:div w:id="796527169">
          <w:marLeft w:val="0"/>
          <w:marRight w:val="0"/>
          <w:marTop w:val="0"/>
          <w:marBottom w:val="0"/>
          <w:divBdr>
            <w:top w:val="none" w:sz="0" w:space="0" w:color="auto"/>
            <w:left w:val="none" w:sz="0" w:space="0" w:color="auto"/>
            <w:bottom w:val="none" w:sz="0" w:space="0" w:color="auto"/>
            <w:right w:val="none" w:sz="0" w:space="0" w:color="auto"/>
          </w:divBdr>
        </w:div>
        <w:div w:id="977874734">
          <w:marLeft w:val="0"/>
          <w:marRight w:val="0"/>
          <w:marTop w:val="0"/>
          <w:marBottom w:val="0"/>
          <w:divBdr>
            <w:top w:val="none" w:sz="0" w:space="0" w:color="auto"/>
            <w:left w:val="none" w:sz="0" w:space="0" w:color="auto"/>
            <w:bottom w:val="none" w:sz="0" w:space="0" w:color="auto"/>
            <w:right w:val="none" w:sz="0" w:space="0" w:color="auto"/>
          </w:divBdr>
        </w:div>
        <w:div w:id="1257783344">
          <w:marLeft w:val="0"/>
          <w:marRight w:val="0"/>
          <w:marTop w:val="0"/>
          <w:marBottom w:val="0"/>
          <w:divBdr>
            <w:top w:val="none" w:sz="0" w:space="0" w:color="auto"/>
            <w:left w:val="none" w:sz="0" w:space="0" w:color="auto"/>
            <w:bottom w:val="none" w:sz="0" w:space="0" w:color="auto"/>
            <w:right w:val="none" w:sz="0" w:space="0" w:color="auto"/>
          </w:divBdr>
        </w:div>
        <w:div w:id="1298140987">
          <w:marLeft w:val="0"/>
          <w:marRight w:val="0"/>
          <w:marTop w:val="0"/>
          <w:marBottom w:val="0"/>
          <w:divBdr>
            <w:top w:val="none" w:sz="0" w:space="0" w:color="auto"/>
            <w:left w:val="none" w:sz="0" w:space="0" w:color="auto"/>
            <w:bottom w:val="none" w:sz="0" w:space="0" w:color="auto"/>
            <w:right w:val="none" w:sz="0" w:space="0" w:color="auto"/>
          </w:divBdr>
        </w:div>
        <w:div w:id="1313174778">
          <w:marLeft w:val="0"/>
          <w:marRight w:val="0"/>
          <w:marTop w:val="0"/>
          <w:marBottom w:val="0"/>
          <w:divBdr>
            <w:top w:val="none" w:sz="0" w:space="0" w:color="auto"/>
            <w:left w:val="none" w:sz="0" w:space="0" w:color="auto"/>
            <w:bottom w:val="none" w:sz="0" w:space="0" w:color="auto"/>
            <w:right w:val="none" w:sz="0" w:space="0" w:color="auto"/>
          </w:divBdr>
        </w:div>
        <w:div w:id="1395589604">
          <w:marLeft w:val="0"/>
          <w:marRight w:val="0"/>
          <w:marTop w:val="0"/>
          <w:marBottom w:val="0"/>
          <w:divBdr>
            <w:top w:val="none" w:sz="0" w:space="0" w:color="auto"/>
            <w:left w:val="none" w:sz="0" w:space="0" w:color="auto"/>
            <w:bottom w:val="none" w:sz="0" w:space="0" w:color="auto"/>
            <w:right w:val="none" w:sz="0" w:space="0" w:color="auto"/>
          </w:divBdr>
        </w:div>
        <w:div w:id="1506898362">
          <w:marLeft w:val="0"/>
          <w:marRight w:val="0"/>
          <w:marTop w:val="0"/>
          <w:marBottom w:val="0"/>
          <w:divBdr>
            <w:top w:val="none" w:sz="0" w:space="0" w:color="auto"/>
            <w:left w:val="none" w:sz="0" w:space="0" w:color="auto"/>
            <w:bottom w:val="none" w:sz="0" w:space="0" w:color="auto"/>
            <w:right w:val="none" w:sz="0" w:space="0" w:color="auto"/>
          </w:divBdr>
        </w:div>
        <w:div w:id="1522470538">
          <w:marLeft w:val="0"/>
          <w:marRight w:val="0"/>
          <w:marTop w:val="0"/>
          <w:marBottom w:val="0"/>
          <w:divBdr>
            <w:top w:val="none" w:sz="0" w:space="0" w:color="auto"/>
            <w:left w:val="none" w:sz="0" w:space="0" w:color="auto"/>
            <w:bottom w:val="none" w:sz="0" w:space="0" w:color="auto"/>
            <w:right w:val="none" w:sz="0" w:space="0" w:color="auto"/>
          </w:divBdr>
        </w:div>
        <w:div w:id="1574660933">
          <w:marLeft w:val="0"/>
          <w:marRight w:val="0"/>
          <w:marTop w:val="0"/>
          <w:marBottom w:val="0"/>
          <w:divBdr>
            <w:top w:val="none" w:sz="0" w:space="0" w:color="auto"/>
            <w:left w:val="none" w:sz="0" w:space="0" w:color="auto"/>
            <w:bottom w:val="none" w:sz="0" w:space="0" w:color="auto"/>
            <w:right w:val="none" w:sz="0" w:space="0" w:color="auto"/>
          </w:divBdr>
        </w:div>
        <w:div w:id="1581713880">
          <w:marLeft w:val="0"/>
          <w:marRight w:val="0"/>
          <w:marTop w:val="0"/>
          <w:marBottom w:val="0"/>
          <w:divBdr>
            <w:top w:val="none" w:sz="0" w:space="0" w:color="auto"/>
            <w:left w:val="none" w:sz="0" w:space="0" w:color="auto"/>
            <w:bottom w:val="none" w:sz="0" w:space="0" w:color="auto"/>
            <w:right w:val="none" w:sz="0" w:space="0" w:color="auto"/>
          </w:divBdr>
        </w:div>
        <w:div w:id="1601916657">
          <w:marLeft w:val="0"/>
          <w:marRight w:val="0"/>
          <w:marTop w:val="0"/>
          <w:marBottom w:val="0"/>
          <w:divBdr>
            <w:top w:val="none" w:sz="0" w:space="0" w:color="auto"/>
            <w:left w:val="none" w:sz="0" w:space="0" w:color="auto"/>
            <w:bottom w:val="none" w:sz="0" w:space="0" w:color="auto"/>
            <w:right w:val="none" w:sz="0" w:space="0" w:color="auto"/>
          </w:divBdr>
        </w:div>
        <w:div w:id="1652521248">
          <w:marLeft w:val="0"/>
          <w:marRight w:val="0"/>
          <w:marTop w:val="0"/>
          <w:marBottom w:val="0"/>
          <w:divBdr>
            <w:top w:val="none" w:sz="0" w:space="0" w:color="auto"/>
            <w:left w:val="none" w:sz="0" w:space="0" w:color="auto"/>
            <w:bottom w:val="none" w:sz="0" w:space="0" w:color="auto"/>
            <w:right w:val="none" w:sz="0" w:space="0" w:color="auto"/>
          </w:divBdr>
        </w:div>
        <w:div w:id="1672487395">
          <w:marLeft w:val="0"/>
          <w:marRight w:val="0"/>
          <w:marTop w:val="0"/>
          <w:marBottom w:val="0"/>
          <w:divBdr>
            <w:top w:val="none" w:sz="0" w:space="0" w:color="auto"/>
            <w:left w:val="none" w:sz="0" w:space="0" w:color="auto"/>
            <w:bottom w:val="none" w:sz="0" w:space="0" w:color="auto"/>
            <w:right w:val="none" w:sz="0" w:space="0" w:color="auto"/>
          </w:divBdr>
        </w:div>
        <w:div w:id="1713531755">
          <w:marLeft w:val="0"/>
          <w:marRight w:val="0"/>
          <w:marTop w:val="0"/>
          <w:marBottom w:val="0"/>
          <w:divBdr>
            <w:top w:val="none" w:sz="0" w:space="0" w:color="auto"/>
            <w:left w:val="none" w:sz="0" w:space="0" w:color="auto"/>
            <w:bottom w:val="none" w:sz="0" w:space="0" w:color="auto"/>
            <w:right w:val="none" w:sz="0" w:space="0" w:color="auto"/>
          </w:divBdr>
        </w:div>
        <w:div w:id="1853572237">
          <w:marLeft w:val="0"/>
          <w:marRight w:val="0"/>
          <w:marTop w:val="0"/>
          <w:marBottom w:val="0"/>
          <w:divBdr>
            <w:top w:val="none" w:sz="0" w:space="0" w:color="auto"/>
            <w:left w:val="none" w:sz="0" w:space="0" w:color="auto"/>
            <w:bottom w:val="none" w:sz="0" w:space="0" w:color="auto"/>
            <w:right w:val="none" w:sz="0" w:space="0" w:color="auto"/>
          </w:divBdr>
        </w:div>
        <w:div w:id="1910262887">
          <w:marLeft w:val="0"/>
          <w:marRight w:val="0"/>
          <w:marTop w:val="0"/>
          <w:marBottom w:val="0"/>
          <w:divBdr>
            <w:top w:val="none" w:sz="0" w:space="0" w:color="auto"/>
            <w:left w:val="none" w:sz="0" w:space="0" w:color="auto"/>
            <w:bottom w:val="none" w:sz="0" w:space="0" w:color="auto"/>
            <w:right w:val="none" w:sz="0" w:space="0" w:color="auto"/>
          </w:divBdr>
        </w:div>
        <w:div w:id="1941136498">
          <w:marLeft w:val="0"/>
          <w:marRight w:val="0"/>
          <w:marTop w:val="0"/>
          <w:marBottom w:val="0"/>
          <w:divBdr>
            <w:top w:val="none" w:sz="0" w:space="0" w:color="auto"/>
            <w:left w:val="none" w:sz="0" w:space="0" w:color="auto"/>
            <w:bottom w:val="none" w:sz="0" w:space="0" w:color="auto"/>
            <w:right w:val="none" w:sz="0" w:space="0" w:color="auto"/>
          </w:divBdr>
        </w:div>
        <w:div w:id="2099516977">
          <w:marLeft w:val="0"/>
          <w:marRight w:val="0"/>
          <w:marTop w:val="0"/>
          <w:marBottom w:val="0"/>
          <w:divBdr>
            <w:top w:val="none" w:sz="0" w:space="0" w:color="auto"/>
            <w:left w:val="none" w:sz="0" w:space="0" w:color="auto"/>
            <w:bottom w:val="none" w:sz="0" w:space="0" w:color="auto"/>
            <w:right w:val="none" w:sz="0" w:space="0" w:color="auto"/>
          </w:divBdr>
        </w:div>
        <w:div w:id="2141729136">
          <w:marLeft w:val="0"/>
          <w:marRight w:val="0"/>
          <w:marTop w:val="0"/>
          <w:marBottom w:val="0"/>
          <w:divBdr>
            <w:top w:val="none" w:sz="0" w:space="0" w:color="auto"/>
            <w:left w:val="none" w:sz="0" w:space="0" w:color="auto"/>
            <w:bottom w:val="none" w:sz="0" w:space="0" w:color="auto"/>
            <w:right w:val="none" w:sz="0" w:space="0" w:color="auto"/>
          </w:divBdr>
        </w:div>
      </w:divsChild>
    </w:div>
    <w:div w:id="702947383">
      <w:bodyDiv w:val="1"/>
      <w:marLeft w:val="0"/>
      <w:marRight w:val="0"/>
      <w:marTop w:val="0"/>
      <w:marBottom w:val="0"/>
      <w:divBdr>
        <w:top w:val="none" w:sz="0" w:space="0" w:color="auto"/>
        <w:left w:val="none" w:sz="0" w:space="0" w:color="auto"/>
        <w:bottom w:val="none" w:sz="0" w:space="0" w:color="auto"/>
        <w:right w:val="none" w:sz="0" w:space="0" w:color="auto"/>
      </w:divBdr>
    </w:div>
    <w:div w:id="711464148">
      <w:bodyDiv w:val="1"/>
      <w:marLeft w:val="0"/>
      <w:marRight w:val="0"/>
      <w:marTop w:val="0"/>
      <w:marBottom w:val="0"/>
      <w:divBdr>
        <w:top w:val="none" w:sz="0" w:space="0" w:color="auto"/>
        <w:left w:val="none" w:sz="0" w:space="0" w:color="auto"/>
        <w:bottom w:val="none" w:sz="0" w:space="0" w:color="auto"/>
        <w:right w:val="none" w:sz="0" w:space="0" w:color="auto"/>
      </w:divBdr>
    </w:div>
    <w:div w:id="714277471">
      <w:bodyDiv w:val="1"/>
      <w:marLeft w:val="0"/>
      <w:marRight w:val="0"/>
      <w:marTop w:val="0"/>
      <w:marBottom w:val="0"/>
      <w:divBdr>
        <w:top w:val="none" w:sz="0" w:space="0" w:color="auto"/>
        <w:left w:val="none" w:sz="0" w:space="0" w:color="auto"/>
        <w:bottom w:val="none" w:sz="0" w:space="0" w:color="auto"/>
        <w:right w:val="none" w:sz="0" w:space="0" w:color="auto"/>
      </w:divBdr>
    </w:div>
    <w:div w:id="714696093">
      <w:bodyDiv w:val="1"/>
      <w:marLeft w:val="0"/>
      <w:marRight w:val="0"/>
      <w:marTop w:val="0"/>
      <w:marBottom w:val="0"/>
      <w:divBdr>
        <w:top w:val="none" w:sz="0" w:space="0" w:color="auto"/>
        <w:left w:val="none" w:sz="0" w:space="0" w:color="auto"/>
        <w:bottom w:val="none" w:sz="0" w:space="0" w:color="auto"/>
        <w:right w:val="none" w:sz="0" w:space="0" w:color="auto"/>
      </w:divBdr>
      <w:divsChild>
        <w:div w:id="20253077">
          <w:marLeft w:val="0"/>
          <w:marRight w:val="0"/>
          <w:marTop w:val="0"/>
          <w:marBottom w:val="0"/>
          <w:divBdr>
            <w:top w:val="none" w:sz="0" w:space="0" w:color="auto"/>
            <w:left w:val="none" w:sz="0" w:space="0" w:color="auto"/>
            <w:bottom w:val="none" w:sz="0" w:space="0" w:color="auto"/>
            <w:right w:val="none" w:sz="0" w:space="0" w:color="auto"/>
          </w:divBdr>
        </w:div>
        <w:div w:id="114639421">
          <w:marLeft w:val="0"/>
          <w:marRight w:val="0"/>
          <w:marTop w:val="0"/>
          <w:marBottom w:val="0"/>
          <w:divBdr>
            <w:top w:val="none" w:sz="0" w:space="0" w:color="auto"/>
            <w:left w:val="none" w:sz="0" w:space="0" w:color="auto"/>
            <w:bottom w:val="none" w:sz="0" w:space="0" w:color="auto"/>
            <w:right w:val="none" w:sz="0" w:space="0" w:color="auto"/>
          </w:divBdr>
        </w:div>
        <w:div w:id="165169545">
          <w:marLeft w:val="0"/>
          <w:marRight w:val="0"/>
          <w:marTop w:val="0"/>
          <w:marBottom w:val="0"/>
          <w:divBdr>
            <w:top w:val="none" w:sz="0" w:space="0" w:color="auto"/>
            <w:left w:val="none" w:sz="0" w:space="0" w:color="auto"/>
            <w:bottom w:val="none" w:sz="0" w:space="0" w:color="auto"/>
            <w:right w:val="none" w:sz="0" w:space="0" w:color="auto"/>
          </w:divBdr>
        </w:div>
        <w:div w:id="242883248">
          <w:marLeft w:val="0"/>
          <w:marRight w:val="0"/>
          <w:marTop w:val="0"/>
          <w:marBottom w:val="0"/>
          <w:divBdr>
            <w:top w:val="none" w:sz="0" w:space="0" w:color="auto"/>
            <w:left w:val="none" w:sz="0" w:space="0" w:color="auto"/>
            <w:bottom w:val="none" w:sz="0" w:space="0" w:color="auto"/>
            <w:right w:val="none" w:sz="0" w:space="0" w:color="auto"/>
          </w:divBdr>
        </w:div>
        <w:div w:id="250504135">
          <w:marLeft w:val="0"/>
          <w:marRight w:val="0"/>
          <w:marTop w:val="0"/>
          <w:marBottom w:val="0"/>
          <w:divBdr>
            <w:top w:val="none" w:sz="0" w:space="0" w:color="auto"/>
            <w:left w:val="none" w:sz="0" w:space="0" w:color="auto"/>
            <w:bottom w:val="none" w:sz="0" w:space="0" w:color="auto"/>
            <w:right w:val="none" w:sz="0" w:space="0" w:color="auto"/>
          </w:divBdr>
        </w:div>
        <w:div w:id="292758855">
          <w:marLeft w:val="0"/>
          <w:marRight w:val="0"/>
          <w:marTop w:val="0"/>
          <w:marBottom w:val="0"/>
          <w:divBdr>
            <w:top w:val="none" w:sz="0" w:space="0" w:color="auto"/>
            <w:left w:val="none" w:sz="0" w:space="0" w:color="auto"/>
            <w:bottom w:val="none" w:sz="0" w:space="0" w:color="auto"/>
            <w:right w:val="none" w:sz="0" w:space="0" w:color="auto"/>
          </w:divBdr>
        </w:div>
        <w:div w:id="435099746">
          <w:marLeft w:val="0"/>
          <w:marRight w:val="0"/>
          <w:marTop w:val="0"/>
          <w:marBottom w:val="0"/>
          <w:divBdr>
            <w:top w:val="none" w:sz="0" w:space="0" w:color="auto"/>
            <w:left w:val="none" w:sz="0" w:space="0" w:color="auto"/>
            <w:bottom w:val="none" w:sz="0" w:space="0" w:color="auto"/>
            <w:right w:val="none" w:sz="0" w:space="0" w:color="auto"/>
          </w:divBdr>
        </w:div>
        <w:div w:id="496727192">
          <w:marLeft w:val="0"/>
          <w:marRight w:val="0"/>
          <w:marTop w:val="0"/>
          <w:marBottom w:val="0"/>
          <w:divBdr>
            <w:top w:val="none" w:sz="0" w:space="0" w:color="auto"/>
            <w:left w:val="none" w:sz="0" w:space="0" w:color="auto"/>
            <w:bottom w:val="none" w:sz="0" w:space="0" w:color="auto"/>
            <w:right w:val="none" w:sz="0" w:space="0" w:color="auto"/>
          </w:divBdr>
        </w:div>
        <w:div w:id="507986678">
          <w:marLeft w:val="0"/>
          <w:marRight w:val="0"/>
          <w:marTop w:val="0"/>
          <w:marBottom w:val="0"/>
          <w:divBdr>
            <w:top w:val="none" w:sz="0" w:space="0" w:color="auto"/>
            <w:left w:val="none" w:sz="0" w:space="0" w:color="auto"/>
            <w:bottom w:val="none" w:sz="0" w:space="0" w:color="auto"/>
            <w:right w:val="none" w:sz="0" w:space="0" w:color="auto"/>
          </w:divBdr>
        </w:div>
        <w:div w:id="525942302">
          <w:marLeft w:val="0"/>
          <w:marRight w:val="0"/>
          <w:marTop w:val="0"/>
          <w:marBottom w:val="0"/>
          <w:divBdr>
            <w:top w:val="none" w:sz="0" w:space="0" w:color="auto"/>
            <w:left w:val="none" w:sz="0" w:space="0" w:color="auto"/>
            <w:bottom w:val="none" w:sz="0" w:space="0" w:color="auto"/>
            <w:right w:val="none" w:sz="0" w:space="0" w:color="auto"/>
          </w:divBdr>
        </w:div>
        <w:div w:id="541480662">
          <w:marLeft w:val="0"/>
          <w:marRight w:val="0"/>
          <w:marTop w:val="0"/>
          <w:marBottom w:val="0"/>
          <w:divBdr>
            <w:top w:val="none" w:sz="0" w:space="0" w:color="auto"/>
            <w:left w:val="none" w:sz="0" w:space="0" w:color="auto"/>
            <w:bottom w:val="none" w:sz="0" w:space="0" w:color="auto"/>
            <w:right w:val="none" w:sz="0" w:space="0" w:color="auto"/>
          </w:divBdr>
        </w:div>
        <w:div w:id="544953324">
          <w:marLeft w:val="0"/>
          <w:marRight w:val="0"/>
          <w:marTop w:val="0"/>
          <w:marBottom w:val="0"/>
          <w:divBdr>
            <w:top w:val="none" w:sz="0" w:space="0" w:color="auto"/>
            <w:left w:val="none" w:sz="0" w:space="0" w:color="auto"/>
            <w:bottom w:val="none" w:sz="0" w:space="0" w:color="auto"/>
            <w:right w:val="none" w:sz="0" w:space="0" w:color="auto"/>
          </w:divBdr>
        </w:div>
        <w:div w:id="563417224">
          <w:marLeft w:val="0"/>
          <w:marRight w:val="0"/>
          <w:marTop w:val="0"/>
          <w:marBottom w:val="0"/>
          <w:divBdr>
            <w:top w:val="none" w:sz="0" w:space="0" w:color="auto"/>
            <w:left w:val="none" w:sz="0" w:space="0" w:color="auto"/>
            <w:bottom w:val="none" w:sz="0" w:space="0" w:color="auto"/>
            <w:right w:val="none" w:sz="0" w:space="0" w:color="auto"/>
          </w:divBdr>
        </w:div>
        <w:div w:id="584218737">
          <w:marLeft w:val="0"/>
          <w:marRight w:val="0"/>
          <w:marTop w:val="0"/>
          <w:marBottom w:val="0"/>
          <w:divBdr>
            <w:top w:val="none" w:sz="0" w:space="0" w:color="auto"/>
            <w:left w:val="none" w:sz="0" w:space="0" w:color="auto"/>
            <w:bottom w:val="none" w:sz="0" w:space="0" w:color="auto"/>
            <w:right w:val="none" w:sz="0" w:space="0" w:color="auto"/>
          </w:divBdr>
        </w:div>
        <w:div w:id="622732402">
          <w:marLeft w:val="0"/>
          <w:marRight w:val="0"/>
          <w:marTop w:val="0"/>
          <w:marBottom w:val="0"/>
          <w:divBdr>
            <w:top w:val="none" w:sz="0" w:space="0" w:color="auto"/>
            <w:left w:val="none" w:sz="0" w:space="0" w:color="auto"/>
            <w:bottom w:val="none" w:sz="0" w:space="0" w:color="auto"/>
            <w:right w:val="none" w:sz="0" w:space="0" w:color="auto"/>
          </w:divBdr>
        </w:div>
        <w:div w:id="676230428">
          <w:marLeft w:val="0"/>
          <w:marRight w:val="0"/>
          <w:marTop w:val="0"/>
          <w:marBottom w:val="0"/>
          <w:divBdr>
            <w:top w:val="none" w:sz="0" w:space="0" w:color="auto"/>
            <w:left w:val="none" w:sz="0" w:space="0" w:color="auto"/>
            <w:bottom w:val="none" w:sz="0" w:space="0" w:color="auto"/>
            <w:right w:val="none" w:sz="0" w:space="0" w:color="auto"/>
          </w:divBdr>
        </w:div>
        <w:div w:id="806434381">
          <w:marLeft w:val="0"/>
          <w:marRight w:val="0"/>
          <w:marTop w:val="0"/>
          <w:marBottom w:val="0"/>
          <w:divBdr>
            <w:top w:val="none" w:sz="0" w:space="0" w:color="auto"/>
            <w:left w:val="none" w:sz="0" w:space="0" w:color="auto"/>
            <w:bottom w:val="none" w:sz="0" w:space="0" w:color="auto"/>
            <w:right w:val="none" w:sz="0" w:space="0" w:color="auto"/>
          </w:divBdr>
        </w:div>
        <w:div w:id="844829996">
          <w:marLeft w:val="0"/>
          <w:marRight w:val="0"/>
          <w:marTop w:val="0"/>
          <w:marBottom w:val="0"/>
          <w:divBdr>
            <w:top w:val="none" w:sz="0" w:space="0" w:color="auto"/>
            <w:left w:val="none" w:sz="0" w:space="0" w:color="auto"/>
            <w:bottom w:val="none" w:sz="0" w:space="0" w:color="auto"/>
            <w:right w:val="none" w:sz="0" w:space="0" w:color="auto"/>
          </w:divBdr>
        </w:div>
        <w:div w:id="891960607">
          <w:marLeft w:val="0"/>
          <w:marRight w:val="0"/>
          <w:marTop w:val="0"/>
          <w:marBottom w:val="0"/>
          <w:divBdr>
            <w:top w:val="none" w:sz="0" w:space="0" w:color="auto"/>
            <w:left w:val="none" w:sz="0" w:space="0" w:color="auto"/>
            <w:bottom w:val="none" w:sz="0" w:space="0" w:color="auto"/>
            <w:right w:val="none" w:sz="0" w:space="0" w:color="auto"/>
          </w:divBdr>
        </w:div>
        <w:div w:id="906651250">
          <w:marLeft w:val="0"/>
          <w:marRight w:val="0"/>
          <w:marTop w:val="0"/>
          <w:marBottom w:val="0"/>
          <w:divBdr>
            <w:top w:val="none" w:sz="0" w:space="0" w:color="auto"/>
            <w:left w:val="none" w:sz="0" w:space="0" w:color="auto"/>
            <w:bottom w:val="none" w:sz="0" w:space="0" w:color="auto"/>
            <w:right w:val="none" w:sz="0" w:space="0" w:color="auto"/>
          </w:divBdr>
        </w:div>
        <w:div w:id="932394314">
          <w:marLeft w:val="0"/>
          <w:marRight w:val="0"/>
          <w:marTop w:val="0"/>
          <w:marBottom w:val="0"/>
          <w:divBdr>
            <w:top w:val="none" w:sz="0" w:space="0" w:color="auto"/>
            <w:left w:val="none" w:sz="0" w:space="0" w:color="auto"/>
            <w:bottom w:val="none" w:sz="0" w:space="0" w:color="auto"/>
            <w:right w:val="none" w:sz="0" w:space="0" w:color="auto"/>
          </w:divBdr>
        </w:div>
        <w:div w:id="937715210">
          <w:marLeft w:val="0"/>
          <w:marRight w:val="0"/>
          <w:marTop w:val="0"/>
          <w:marBottom w:val="0"/>
          <w:divBdr>
            <w:top w:val="none" w:sz="0" w:space="0" w:color="auto"/>
            <w:left w:val="none" w:sz="0" w:space="0" w:color="auto"/>
            <w:bottom w:val="none" w:sz="0" w:space="0" w:color="auto"/>
            <w:right w:val="none" w:sz="0" w:space="0" w:color="auto"/>
          </w:divBdr>
        </w:div>
        <w:div w:id="939918722">
          <w:marLeft w:val="0"/>
          <w:marRight w:val="0"/>
          <w:marTop w:val="0"/>
          <w:marBottom w:val="0"/>
          <w:divBdr>
            <w:top w:val="none" w:sz="0" w:space="0" w:color="auto"/>
            <w:left w:val="none" w:sz="0" w:space="0" w:color="auto"/>
            <w:bottom w:val="none" w:sz="0" w:space="0" w:color="auto"/>
            <w:right w:val="none" w:sz="0" w:space="0" w:color="auto"/>
          </w:divBdr>
        </w:div>
        <w:div w:id="1006321738">
          <w:marLeft w:val="0"/>
          <w:marRight w:val="0"/>
          <w:marTop w:val="0"/>
          <w:marBottom w:val="0"/>
          <w:divBdr>
            <w:top w:val="none" w:sz="0" w:space="0" w:color="auto"/>
            <w:left w:val="none" w:sz="0" w:space="0" w:color="auto"/>
            <w:bottom w:val="none" w:sz="0" w:space="0" w:color="auto"/>
            <w:right w:val="none" w:sz="0" w:space="0" w:color="auto"/>
          </w:divBdr>
        </w:div>
        <w:div w:id="1022631006">
          <w:marLeft w:val="0"/>
          <w:marRight w:val="0"/>
          <w:marTop w:val="0"/>
          <w:marBottom w:val="0"/>
          <w:divBdr>
            <w:top w:val="none" w:sz="0" w:space="0" w:color="auto"/>
            <w:left w:val="none" w:sz="0" w:space="0" w:color="auto"/>
            <w:bottom w:val="none" w:sz="0" w:space="0" w:color="auto"/>
            <w:right w:val="none" w:sz="0" w:space="0" w:color="auto"/>
          </w:divBdr>
        </w:div>
        <w:div w:id="1039277663">
          <w:marLeft w:val="0"/>
          <w:marRight w:val="0"/>
          <w:marTop w:val="0"/>
          <w:marBottom w:val="0"/>
          <w:divBdr>
            <w:top w:val="none" w:sz="0" w:space="0" w:color="auto"/>
            <w:left w:val="none" w:sz="0" w:space="0" w:color="auto"/>
            <w:bottom w:val="none" w:sz="0" w:space="0" w:color="auto"/>
            <w:right w:val="none" w:sz="0" w:space="0" w:color="auto"/>
          </w:divBdr>
        </w:div>
        <w:div w:id="1090930399">
          <w:marLeft w:val="0"/>
          <w:marRight w:val="0"/>
          <w:marTop w:val="0"/>
          <w:marBottom w:val="0"/>
          <w:divBdr>
            <w:top w:val="none" w:sz="0" w:space="0" w:color="auto"/>
            <w:left w:val="none" w:sz="0" w:space="0" w:color="auto"/>
            <w:bottom w:val="none" w:sz="0" w:space="0" w:color="auto"/>
            <w:right w:val="none" w:sz="0" w:space="0" w:color="auto"/>
          </w:divBdr>
        </w:div>
        <w:div w:id="1113011848">
          <w:marLeft w:val="0"/>
          <w:marRight w:val="0"/>
          <w:marTop w:val="0"/>
          <w:marBottom w:val="0"/>
          <w:divBdr>
            <w:top w:val="none" w:sz="0" w:space="0" w:color="auto"/>
            <w:left w:val="none" w:sz="0" w:space="0" w:color="auto"/>
            <w:bottom w:val="none" w:sz="0" w:space="0" w:color="auto"/>
            <w:right w:val="none" w:sz="0" w:space="0" w:color="auto"/>
          </w:divBdr>
        </w:div>
        <w:div w:id="1210727138">
          <w:marLeft w:val="0"/>
          <w:marRight w:val="0"/>
          <w:marTop w:val="0"/>
          <w:marBottom w:val="0"/>
          <w:divBdr>
            <w:top w:val="none" w:sz="0" w:space="0" w:color="auto"/>
            <w:left w:val="none" w:sz="0" w:space="0" w:color="auto"/>
            <w:bottom w:val="none" w:sz="0" w:space="0" w:color="auto"/>
            <w:right w:val="none" w:sz="0" w:space="0" w:color="auto"/>
          </w:divBdr>
        </w:div>
        <w:div w:id="1258636973">
          <w:marLeft w:val="0"/>
          <w:marRight w:val="0"/>
          <w:marTop w:val="0"/>
          <w:marBottom w:val="0"/>
          <w:divBdr>
            <w:top w:val="none" w:sz="0" w:space="0" w:color="auto"/>
            <w:left w:val="none" w:sz="0" w:space="0" w:color="auto"/>
            <w:bottom w:val="none" w:sz="0" w:space="0" w:color="auto"/>
            <w:right w:val="none" w:sz="0" w:space="0" w:color="auto"/>
          </w:divBdr>
        </w:div>
        <w:div w:id="1273393064">
          <w:marLeft w:val="0"/>
          <w:marRight w:val="0"/>
          <w:marTop w:val="0"/>
          <w:marBottom w:val="0"/>
          <w:divBdr>
            <w:top w:val="none" w:sz="0" w:space="0" w:color="auto"/>
            <w:left w:val="none" w:sz="0" w:space="0" w:color="auto"/>
            <w:bottom w:val="none" w:sz="0" w:space="0" w:color="auto"/>
            <w:right w:val="none" w:sz="0" w:space="0" w:color="auto"/>
          </w:divBdr>
        </w:div>
        <w:div w:id="1288316644">
          <w:marLeft w:val="0"/>
          <w:marRight w:val="0"/>
          <w:marTop w:val="0"/>
          <w:marBottom w:val="0"/>
          <w:divBdr>
            <w:top w:val="none" w:sz="0" w:space="0" w:color="auto"/>
            <w:left w:val="none" w:sz="0" w:space="0" w:color="auto"/>
            <w:bottom w:val="none" w:sz="0" w:space="0" w:color="auto"/>
            <w:right w:val="none" w:sz="0" w:space="0" w:color="auto"/>
          </w:divBdr>
        </w:div>
        <w:div w:id="1323006442">
          <w:marLeft w:val="0"/>
          <w:marRight w:val="0"/>
          <w:marTop w:val="0"/>
          <w:marBottom w:val="0"/>
          <w:divBdr>
            <w:top w:val="none" w:sz="0" w:space="0" w:color="auto"/>
            <w:left w:val="none" w:sz="0" w:space="0" w:color="auto"/>
            <w:bottom w:val="none" w:sz="0" w:space="0" w:color="auto"/>
            <w:right w:val="none" w:sz="0" w:space="0" w:color="auto"/>
          </w:divBdr>
        </w:div>
        <w:div w:id="1338340787">
          <w:marLeft w:val="0"/>
          <w:marRight w:val="0"/>
          <w:marTop w:val="0"/>
          <w:marBottom w:val="0"/>
          <w:divBdr>
            <w:top w:val="none" w:sz="0" w:space="0" w:color="auto"/>
            <w:left w:val="none" w:sz="0" w:space="0" w:color="auto"/>
            <w:bottom w:val="none" w:sz="0" w:space="0" w:color="auto"/>
            <w:right w:val="none" w:sz="0" w:space="0" w:color="auto"/>
          </w:divBdr>
        </w:div>
        <w:div w:id="1344360000">
          <w:marLeft w:val="0"/>
          <w:marRight w:val="0"/>
          <w:marTop w:val="0"/>
          <w:marBottom w:val="0"/>
          <w:divBdr>
            <w:top w:val="none" w:sz="0" w:space="0" w:color="auto"/>
            <w:left w:val="none" w:sz="0" w:space="0" w:color="auto"/>
            <w:bottom w:val="none" w:sz="0" w:space="0" w:color="auto"/>
            <w:right w:val="none" w:sz="0" w:space="0" w:color="auto"/>
          </w:divBdr>
        </w:div>
        <w:div w:id="1420834382">
          <w:marLeft w:val="0"/>
          <w:marRight w:val="0"/>
          <w:marTop w:val="0"/>
          <w:marBottom w:val="0"/>
          <w:divBdr>
            <w:top w:val="none" w:sz="0" w:space="0" w:color="auto"/>
            <w:left w:val="none" w:sz="0" w:space="0" w:color="auto"/>
            <w:bottom w:val="none" w:sz="0" w:space="0" w:color="auto"/>
            <w:right w:val="none" w:sz="0" w:space="0" w:color="auto"/>
          </w:divBdr>
        </w:div>
        <w:div w:id="1542984787">
          <w:marLeft w:val="0"/>
          <w:marRight w:val="0"/>
          <w:marTop w:val="0"/>
          <w:marBottom w:val="0"/>
          <w:divBdr>
            <w:top w:val="none" w:sz="0" w:space="0" w:color="auto"/>
            <w:left w:val="none" w:sz="0" w:space="0" w:color="auto"/>
            <w:bottom w:val="none" w:sz="0" w:space="0" w:color="auto"/>
            <w:right w:val="none" w:sz="0" w:space="0" w:color="auto"/>
          </w:divBdr>
        </w:div>
        <w:div w:id="1662464348">
          <w:marLeft w:val="0"/>
          <w:marRight w:val="0"/>
          <w:marTop w:val="0"/>
          <w:marBottom w:val="0"/>
          <w:divBdr>
            <w:top w:val="none" w:sz="0" w:space="0" w:color="auto"/>
            <w:left w:val="none" w:sz="0" w:space="0" w:color="auto"/>
            <w:bottom w:val="none" w:sz="0" w:space="0" w:color="auto"/>
            <w:right w:val="none" w:sz="0" w:space="0" w:color="auto"/>
          </w:divBdr>
        </w:div>
        <w:div w:id="1689208651">
          <w:marLeft w:val="0"/>
          <w:marRight w:val="0"/>
          <w:marTop w:val="0"/>
          <w:marBottom w:val="0"/>
          <w:divBdr>
            <w:top w:val="none" w:sz="0" w:space="0" w:color="auto"/>
            <w:left w:val="none" w:sz="0" w:space="0" w:color="auto"/>
            <w:bottom w:val="none" w:sz="0" w:space="0" w:color="auto"/>
            <w:right w:val="none" w:sz="0" w:space="0" w:color="auto"/>
          </w:divBdr>
        </w:div>
        <w:div w:id="1713964318">
          <w:marLeft w:val="0"/>
          <w:marRight w:val="0"/>
          <w:marTop w:val="0"/>
          <w:marBottom w:val="0"/>
          <w:divBdr>
            <w:top w:val="none" w:sz="0" w:space="0" w:color="auto"/>
            <w:left w:val="none" w:sz="0" w:space="0" w:color="auto"/>
            <w:bottom w:val="none" w:sz="0" w:space="0" w:color="auto"/>
            <w:right w:val="none" w:sz="0" w:space="0" w:color="auto"/>
          </w:divBdr>
        </w:div>
        <w:div w:id="1715697145">
          <w:marLeft w:val="0"/>
          <w:marRight w:val="0"/>
          <w:marTop w:val="0"/>
          <w:marBottom w:val="0"/>
          <w:divBdr>
            <w:top w:val="none" w:sz="0" w:space="0" w:color="auto"/>
            <w:left w:val="none" w:sz="0" w:space="0" w:color="auto"/>
            <w:bottom w:val="none" w:sz="0" w:space="0" w:color="auto"/>
            <w:right w:val="none" w:sz="0" w:space="0" w:color="auto"/>
          </w:divBdr>
        </w:div>
        <w:div w:id="1747798246">
          <w:marLeft w:val="0"/>
          <w:marRight w:val="0"/>
          <w:marTop w:val="0"/>
          <w:marBottom w:val="0"/>
          <w:divBdr>
            <w:top w:val="none" w:sz="0" w:space="0" w:color="auto"/>
            <w:left w:val="none" w:sz="0" w:space="0" w:color="auto"/>
            <w:bottom w:val="none" w:sz="0" w:space="0" w:color="auto"/>
            <w:right w:val="none" w:sz="0" w:space="0" w:color="auto"/>
          </w:divBdr>
        </w:div>
        <w:div w:id="1833987985">
          <w:marLeft w:val="0"/>
          <w:marRight w:val="0"/>
          <w:marTop w:val="0"/>
          <w:marBottom w:val="0"/>
          <w:divBdr>
            <w:top w:val="none" w:sz="0" w:space="0" w:color="auto"/>
            <w:left w:val="none" w:sz="0" w:space="0" w:color="auto"/>
            <w:bottom w:val="none" w:sz="0" w:space="0" w:color="auto"/>
            <w:right w:val="none" w:sz="0" w:space="0" w:color="auto"/>
          </w:divBdr>
        </w:div>
        <w:div w:id="1879200478">
          <w:marLeft w:val="0"/>
          <w:marRight w:val="0"/>
          <w:marTop w:val="0"/>
          <w:marBottom w:val="0"/>
          <w:divBdr>
            <w:top w:val="none" w:sz="0" w:space="0" w:color="auto"/>
            <w:left w:val="none" w:sz="0" w:space="0" w:color="auto"/>
            <w:bottom w:val="none" w:sz="0" w:space="0" w:color="auto"/>
            <w:right w:val="none" w:sz="0" w:space="0" w:color="auto"/>
          </w:divBdr>
        </w:div>
        <w:div w:id="1896042966">
          <w:marLeft w:val="0"/>
          <w:marRight w:val="0"/>
          <w:marTop w:val="0"/>
          <w:marBottom w:val="0"/>
          <w:divBdr>
            <w:top w:val="none" w:sz="0" w:space="0" w:color="auto"/>
            <w:left w:val="none" w:sz="0" w:space="0" w:color="auto"/>
            <w:bottom w:val="none" w:sz="0" w:space="0" w:color="auto"/>
            <w:right w:val="none" w:sz="0" w:space="0" w:color="auto"/>
          </w:divBdr>
        </w:div>
        <w:div w:id="1903757771">
          <w:marLeft w:val="0"/>
          <w:marRight w:val="0"/>
          <w:marTop w:val="0"/>
          <w:marBottom w:val="0"/>
          <w:divBdr>
            <w:top w:val="none" w:sz="0" w:space="0" w:color="auto"/>
            <w:left w:val="none" w:sz="0" w:space="0" w:color="auto"/>
            <w:bottom w:val="none" w:sz="0" w:space="0" w:color="auto"/>
            <w:right w:val="none" w:sz="0" w:space="0" w:color="auto"/>
          </w:divBdr>
        </w:div>
        <w:div w:id="2043817360">
          <w:marLeft w:val="0"/>
          <w:marRight w:val="0"/>
          <w:marTop w:val="0"/>
          <w:marBottom w:val="0"/>
          <w:divBdr>
            <w:top w:val="none" w:sz="0" w:space="0" w:color="auto"/>
            <w:left w:val="none" w:sz="0" w:space="0" w:color="auto"/>
            <w:bottom w:val="none" w:sz="0" w:space="0" w:color="auto"/>
            <w:right w:val="none" w:sz="0" w:space="0" w:color="auto"/>
          </w:divBdr>
        </w:div>
        <w:div w:id="2080403890">
          <w:marLeft w:val="0"/>
          <w:marRight w:val="0"/>
          <w:marTop w:val="0"/>
          <w:marBottom w:val="0"/>
          <w:divBdr>
            <w:top w:val="none" w:sz="0" w:space="0" w:color="auto"/>
            <w:left w:val="none" w:sz="0" w:space="0" w:color="auto"/>
            <w:bottom w:val="none" w:sz="0" w:space="0" w:color="auto"/>
            <w:right w:val="none" w:sz="0" w:space="0" w:color="auto"/>
          </w:divBdr>
        </w:div>
        <w:div w:id="2121945192">
          <w:marLeft w:val="0"/>
          <w:marRight w:val="0"/>
          <w:marTop w:val="0"/>
          <w:marBottom w:val="0"/>
          <w:divBdr>
            <w:top w:val="none" w:sz="0" w:space="0" w:color="auto"/>
            <w:left w:val="none" w:sz="0" w:space="0" w:color="auto"/>
            <w:bottom w:val="none" w:sz="0" w:space="0" w:color="auto"/>
            <w:right w:val="none" w:sz="0" w:space="0" w:color="auto"/>
          </w:divBdr>
        </w:div>
      </w:divsChild>
    </w:div>
    <w:div w:id="716510306">
      <w:bodyDiv w:val="1"/>
      <w:marLeft w:val="0"/>
      <w:marRight w:val="0"/>
      <w:marTop w:val="0"/>
      <w:marBottom w:val="0"/>
      <w:divBdr>
        <w:top w:val="none" w:sz="0" w:space="0" w:color="auto"/>
        <w:left w:val="none" w:sz="0" w:space="0" w:color="auto"/>
        <w:bottom w:val="none" w:sz="0" w:space="0" w:color="auto"/>
        <w:right w:val="none" w:sz="0" w:space="0" w:color="auto"/>
      </w:divBdr>
    </w:div>
    <w:div w:id="720442812">
      <w:bodyDiv w:val="1"/>
      <w:marLeft w:val="0"/>
      <w:marRight w:val="0"/>
      <w:marTop w:val="0"/>
      <w:marBottom w:val="0"/>
      <w:divBdr>
        <w:top w:val="none" w:sz="0" w:space="0" w:color="auto"/>
        <w:left w:val="none" w:sz="0" w:space="0" w:color="auto"/>
        <w:bottom w:val="none" w:sz="0" w:space="0" w:color="auto"/>
        <w:right w:val="none" w:sz="0" w:space="0" w:color="auto"/>
      </w:divBdr>
    </w:div>
    <w:div w:id="726761214">
      <w:bodyDiv w:val="1"/>
      <w:marLeft w:val="0"/>
      <w:marRight w:val="0"/>
      <w:marTop w:val="0"/>
      <w:marBottom w:val="0"/>
      <w:divBdr>
        <w:top w:val="none" w:sz="0" w:space="0" w:color="auto"/>
        <w:left w:val="none" w:sz="0" w:space="0" w:color="auto"/>
        <w:bottom w:val="none" w:sz="0" w:space="0" w:color="auto"/>
        <w:right w:val="none" w:sz="0" w:space="0" w:color="auto"/>
      </w:divBdr>
      <w:divsChild>
        <w:div w:id="1150168295">
          <w:marLeft w:val="547"/>
          <w:marRight w:val="0"/>
          <w:marTop w:val="154"/>
          <w:marBottom w:val="0"/>
          <w:divBdr>
            <w:top w:val="none" w:sz="0" w:space="0" w:color="auto"/>
            <w:left w:val="none" w:sz="0" w:space="0" w:color="auto"/>
            <w:bottom w:val="none" w:sz="0" w:space="0" w:color="auto"/>
            <w:right w:val="none" w:sz="0" w:space="0" w:color="auto"/>
          </w:divBdr>
        </w:div>
      </w:divsChild>
    </w:div>
    <w:div w:id="740757950">
      <w:bodyDiv w:val="1"/>
      <w:marLeft w:val="0"/>
      <w:marRight w:val="0"/>
      <w:marTop w:val="0"/>
      <w:marBottom w:val="0"/>
      <w:divBdr>
        <w:top w:val="none" w:sz="0" w:space="0" w:color="auto"/>
        <w:left w:val="none" w:sz="0" w:space="0" w:color="auto"/>
        <w:bottom w:val="none" w:sz="0" w:space="0" w:color="auto"/>
        <w:right w:val="none" w:sz="0" w:space="0" w:color="auto"/>
      </w:divBdr>
    </w:div>
    <w:div w:id="742528938">
      <w:bodyDiv w:val="1"/>
      <w:marLeft w:val="0"/>
      <w:marRight w:val="0"/>
      <w:marTop w:val="0"/>
      <w:marBottom w:val="0"/>
      <w:divBdr>
        <w:top w:val="none" w:sz="0" w:space="0" w:color="auto"/>
        <w:left w:val="none" w:sz="0" w:space="0" w:color="auto"/>
        <w:bottom w:val="none" w:sz="0" w:space="0" w:color="auto"/>
        <w:right w:val="none" w:sz="0" w:space="0" w:color="auto"/>
      </w:divBdr>
    </w:div>
    <w:div w:id="756752944">
      <w:bodyDiv w:val="1"/>
      <w:marLeft w:val="0"/>
      <w:marRight w:val="0"/>
      <w:marTop w:val="0"/>
      <w:marBottom w:val="0"/>
      <w:divBdr>
        <w:top w:val="none" w:sz="0" w:space="0" w:color="auto"/>
        <w:left w:val="none" w:sz="0" w:space="0" w:color="auto"/>
        <w:bottom w:val="none" w:sz="0" w:space="0" w:color="auto"/>
        <w:right w:val="none" w:sz="0" w:space="0" w:color="auto"/>
      </w:divBdr>
    </w:div>
    <w:div w:id="765034472">
      <w:bodyDiv w:val="1"/>
      <w:marLeft w:val="0"/>
      <w:marRight w:val="0"/>
      <w:marTop w:val="0"/>
      <w:marBottom w:val="0"/>
      <w:divBdr>
        <w:top w:val="none" w:sz="0" w:space="0" w:color="auto"/>
        <w:left w:val="none" w:sz="0" w:space="0" w:color="auto"/>
        <w:bottom w:val="none" w:sz="0" w:space="0" w:color="auto"/>
        <w:right w:val="none" w:sz="0" w:space="0" w:color="auto"/>
      </w:divBdr>
    </w:div>
    <w:div w:id="771778393">
      <w:bodyDiv w:val="1"/>
      <w:marLeft w:val="0"/>
      <w:marRight w:val="0"/>
      <w:marTop w:val="0"/>
      <w:marBottom w:val="0"/>
      <w:divBdr>
        <w:top w:val="none" w:sz="0" w:space="0" w:color="auto"/>
        <w:left w:val="none" w:sz="0" w:space="0" w:color="auto"/>
        <w:bottom w:val="none" w:sz="0" w:space="0" w:color="auto"/>
        <w:right w:val="none" w:sz="0" w:space="0" w:color="auto"/>
      </w:divBdr>
    </w:div>
    <w:div w:id="771821891">
      <w:bodyDiv w:val="1"/>
      <w:marLeft w:val="0"/>
      <w:marRight w:val="0"/>
      <w:marTop w:val="0"/>
      <w:marBottom w:val="0"/>
      <w:divBdr>
        <w:top w:val="none" w:sz="0" w:space="0" w:color="auto"/>
        <w:left w:val="none" w:sz="0" w:space="0" w:color="auto"/>
        <w:bottom w:val="none" w:sz="0" w:space="0" w:color="auto"/>
        <w:right w:val="none" w:sz="0" w:space="0" w:color="auto"/>
      </w:divBdr>
    </w:div>
    <w:div w:id="775175480">
      <w:bodyDiv w:val="1"/>
      <w:marLeft w:val="0"/>
      <w:marRight w:val="0"/>
      <w:marTop w:val="0"/>
      <w:marBottom w:val="0"/>
      <w:divBdr>
        <w:top w:val="none" w:sz="0" w:space="0" w:color="auto"/>
        <w:left w:val="none" w:sz="0" w:space="0" w:color="auto"/>
        <w:bottom w:val="none" w:sz="0" w:space="0" w:color="auto"/>
        <w:right w:val="none" w:sz="0" w:space="0" w:color="auto"/>
      </w:divBdr>
    </w:div>
    <w:div w:id="780026978">
      <w:bodyDiv w:val="1"/>
      <w:marLeft w:val="0"/>
      <w:marRight w:val="0"/>
      <w:marTop w:val="0"/>
      <w:marBottom w:val="0"/>
      <w:divBdr>
        <w:top w:val="none" w:sz="0" w:space="0" w:color="auto"/>
        <w:left w:val="none" w:sz="0" w:space="0" w:color="auto"/>
        <w:bottom w:val="none" w:sz="0" w:space="0" w:color="auto"/>
        <w:right w:val="none" w:sz="0" w:space="0" w:color="auto"/>
      </w:divBdr>
    </w:div>
    <w:div w:id="784622186">
      <w:bodyDiv w:val="1"/>
      <w:marLeft w:val="0"/>
      <w:marRight w:val="0"/>
      <w:marTop w:val="0"/>
      <w:marBottom w:val="0"/>
      <w:divBdr>
        <w:top w:val="none" w:sz="0" w:space="0" w:color="auto"/>
        <w:left w:val="none" w:sz="0" w:space="0" w:color="auto"/>
        <w:bottom w:val="none" w:sz="0" w:space="0" w:color="auto"/>
        <w:right w:val="none" w:sz="0" w:space="0" w:color="auto"/>
      </w:divBdr>
    </w:div>
    <w:div w:id="793980100">
      <w:bodyDiv w:val="1"/>
      <w:marLeft w:val="0"/>
      <w:marRight w:val="0"/>
      <w:marTop w:val="0"/>
      <w:marBottom w:val="0"/>
      <w:divBdr>
        <w:top w:val="none" w:sz="0" w:space="0" w:color="auto"/>
        <w:left w:val="none" w:sz="0" w:space="0" w:color="auto"/>
        <w:bottom w:val="none" w:sz="0" w:space="0" w:color="auto"/>
        <w:right w:val="none" w:sz="0" w:space="0" w:color="auto"/>
      </w:divBdr>
    </w:div>
    <w:div w:id="803079249">
      <w:bodyDiv w:val="1"/>
      <w:marLeft w:val="0"/>
      <w:marRight w:val="0"/>
      <w:marTop w:val="0"/>
      <w:marBottom w:val="0"/>
      <w:divBdr>
        <w:top w:val="none" w:sz="0" w:space="0" w:color="auto"/>
        <w:left w:val="none" w:sz="0" w:space="0" w:color="auto"/>
        <w:bottom w:val="none" w:sz="0" w:space="0" w:color="auto"/>
        <w:right w:val="none" w:sz="0" w:space="0" w:color="auto"/>
      </w:divBdr>
    </w:div>
    <w:div w:id="813761891">
      <w:bodyDiv w:val="1"/>
      <w:marLeft w:val="0"/>
      <w:marRight w:val="0"/>
      <w:marTop w:val="0"/>
      <w:marBottom w:val="0"/>
      <w:divBdr>
        <w:top w:val="none" w:sz="0" w:space="0" w:color="auto"/>
        <w:left w:val="none" w:sz="0" w:space="0" w:color="auto"/>
        <w:bottom w:val="none" w:sz="0" w:space="0" w:color="auto"/>
        <w:right w:val="none" w:sz="0" w:space="0" w:color="auto"/>
      </w:divBdr>
      <w:divsChild>
        <w:div w:id="1058868052">
          <w:marLeft w:val="547"/>
          <w:marRight w:val="0"/>
          <w:marTop w:val="134"/>
          <w:marBottom w:val="0"/>
          <w:divBdr>
            <w:top w:val="none" w:sz="0" w:space="0" w:color="auto"/>
            <w:left w:val="none" w:sz="0" w:space="0" w:color="auto"/>
            <w:bottom w:val="none" w:sz="0" w:space="0" w:color="auto"/>
            <w:right w:val="none" w:sz="0" w:space="0" w:color="auto"/>
          </w:divBdr>
        </w:div>
      </w:divsChild>
    </w:div>
    <w:div w:id="820926765">
      <w:bodyDiv w:val="1"/>
      <w:marLeft w:val="0"/>
      <w:marRight w:val="0"/>
      <w:marTop w:val="0"/>
      <w:marBottom w:val="0"/>
      <w:divBdr>
        <w:top w:val="none" w:sz="0" w:space="0" w:color="auto"/>
        <w:left w:val="none" w:sz="0" w:space="0" w:color="auto"/>
        <w:bottom w:val="none" w:sz="0" w:space="0" w:color="auto"/>
        <w:right w:val="none" w:sz="0" w:space="0" w:color="auto"/>
      </w:divBdr>
    </w:div>
    <w:div w:id="821459387">
      <w:bodyDiv w:val="1"/>
      <w:marLeft w:val="0"/>
      <w:marRight w:val="0"/>
      <w:marTop w:val="0"/>
      <w:marBottom w:val="0"/>
      <w:divBdr>
        <w:top w:val="none" w:sz="0" w:space="0" w:color="auto"/>
        <w:left w:val="none" w:sz="0" w:space="0" w:color="auto"/>
        <w:bottom w:val="none" w:sz="0" w:space="0" w:color="auto"/>
        <w:right w:val="none" w:sz="0" w:space="0" w:color="auto"/>
      </w:divBdr>
    </w:div>
    <w:div w:id="825055381">
      <w:bodyDiv w:val="1"/>
      <w:marLeft w:val="0"/>
      <w:marRight w:val="0"/>
      <w:marTop w:val="0"/>
      <w:marBottom w:val="0"/>
      <w:divBdr>
        <w:top w:val="none" w:sz="0" w:space="0" w:color="auto"/>
        <w:left w:val="none" w:sz="0" w:space="0" w:color="auto"/>
        <w:bottom w:val="none" w:sz="0" w:space="0" w:color="auto"/>
        <w:right w:val="none" w:sz="0" w:space="0" w:color="auto"/>
      </w:divBdr>
    </w:div>
    <w:div w:id="830758172">
      <w:bodyDiv w:val="1"/>
      <w:marLeft w:val="0"/>
      <w:marRight w:val="0"/>
      <w:marTop w:val="0"/>
      <w:marBottom w:val="0"/>
      <w:divBdr>
        <w:top w:val="none" w:sz="0" w:space="0" w:color="auto"/>
        <w:left w:val="none" w:sz="0" w:space="0" w:color="auto"/>
        <w:bottom w:val="none" w:sz="0" w:space="0" w:color="auto"/>
        <w:right w:val="none" w:sz="0" w:space="0" w:color="auto"/>
      </w:divBdr>
    </w:div>
    <w:div w:id="832332660">
      <w:bodyDiv w:val="1"/>
      <w:marLeft w:val="0"/>
      <w:marRight w:val="0"/>
      <w:marTop w:val="0"/>
      <w:marBottom w:val="0"/>
      <w:divBdr>
        <w:top w:val="none" w:sz="0" w:space="0" w:color="auto"/>
        <w:left w:val="none" w:sz="0" w:space="0" w:color="auto"/>
        <w:bottom w:val="none" w:sz="0" w:space="0" w:color="auto"/>
        <w:right w:val="none" w:sz="0" w:space="0" w:color="auto"/>
      </w:divBdr>
    </w:div>
    <w:div w:id="835271449">
      <w:bodyDiv w:val="1"/>
      <w:marLeft w:val="0"/>
      <w:marRight w:val="0"/>
      <w:marTop w:val="0"/>
      <w:marBottom w:val="0"/>
      <w:divBdr>
        <w:top w:val="none" w:sz="0" w:space="0" w:color="auto"/>
        <w:left w:val="none" w:sz="0" w:space="0" w:color="auto"/>
        <w:bottom w:val="none" w:sz="0" w:space="0" w:color="auto"/>
        <w:right w:val="none" w:sz="0" w:space="0" w:color="auto"/>
      </w:divBdr>
    </w:div>
    <w:div w:id="837113072">
      <w:bodyDiv w:val="1"/>
      <w:marLeft w:val="0"/>
      <w:marRight w:val="0"/>
      <w:marTop w:val="0"/>
      <w:marBottom w:val="0"/>
      <w:divBdr>
        <w:top w:val="none" w:sz="0" w:space="0" w:color="auto"/>
        <w:left w:val="none" w:sz="0" w:space="0" w:color="auto"/>
        <w:bottom w:val="none" w:sz="0" w:space="0" w:color="auto"/>
        <w:right w:val="none" w:sz="0" w:space="0" w:color="auto"/>
      </w:divBdr>
    </w:div>
    <w:div w:id="847448998">
      <w:bodyDiv w:val="1"/>
      <w:marLeft w:val="0"/>
      <w:marRight w:val="0"/>
      <w:marTop w:val="0"/>
      <w:marBottom w:val="0"/>
      <w:divBdr>
        <w:top w:val="none" w:sz="0" w:space="0" w:color="auto"/>
        <w:left w:val="none" w:sz="0" w:space="0" w:color="auto"/>
        <w:bottom w:val="none" w:sz="0" w:space="0" w:color="auto"/>
        <w:right w:val="none" w:sz="0" w:space="0" w:color="auto"/>
      </w:divBdr>
    </w:div>
    <w:div w:id="855537161">
      <w:bodyDiv w:val="1"/>
      <w:marLeft w:val="0"/>
      <w:marRight w:val="0"/>
      <w:marTop w:val="0"/>
      <w:marBottom w:val="0"/>
      <w:divBdr>
        <w:top w:val="none" w:sz="0" w:space="0" w:color="auto"/>
        <w:left w:val="none" w:sz="0" w:space="0" w:color="auto"/>
        <w:bottom w:val="none" w:sz="0" w:space="0" w:color="auto"/>
        <w:right w:val="none" w:sz="0" w:space="0" w:color="auto"/>
      </w:divBdr>
    </w:div>
    <w:div w:id="857811683">
      <w:bodyDiv w:val="1"/>
      <w:marLeft w:val="0"/>
      <w:marRight w:val="0"/>
      <w:marTop w:val="0"/>
      <w:marBottom w:val="0"/>
      <w:divBdr>
        <w:top w:val="none" w:sz="0" w:space="0" w:color="auto"/>
        <w:left w:val="none" w:sz="0" w:space="0" w:color="auto"/>
        <w:bottom w:val="none" w:sz="0" w:space="0" w:color="auto"/>
        <w:right w:val="none" w:sz="0" w:space="0" w:color="auto"/>
      </w:divBdr>
    </w:div>
    <w:div w:id="862287448">
      <w:bodyDiv w:val="1"/>
      <w:marLeft w:val="0"/>
      <w:marRight w:val="0"/>
      <w:marTop w:val="0"/>
      <w:marBottom w:val="0"/>
      <w:divBdr>
        <w:top w:val="none" w:sz="0" w:space="0" w:color="auto"/>
        <w:left w:val="none" w:sz="0" w:space="0" w:color="auto"/>
        <w:bottom w:val="none" w:sz="0" w:space="0" w:color="auto"/>
        <w:right w:val="none" w:sz="0" w:space="0" w:color="auto"/>
      </w:divBdr>
      <w:divsChild>
        <w:div w:id="87391827">
          <w:marLeft w:val="0"/>
          <w:marRight w:val="0"/>
          <w:marTop w:val="0"/>
          <w:marBottom w:val="0"/>
          <w:divBdr>
            <w:top w:val="none" w:sz="0" w:space="0" w:color="auto"/>
            <w:left w:val="none" w:sz="0" w:space="0" w:color="auto"/>
            <w:bottom w:val="none" w:sz="0" w:space="0" w:color="auto"/>
            <w:right w:val="none" w:sz="0" w:space="0" w:color="auto"/>
          </w:divBdr>
        </w:div>
        <w:div w:id="97216944">
          <w:marLeft w:val="0"/>
          <w:marRight w:val="0"/>
          <w:marTop w:val="0"/>
          <w:marBottom w:val="0"/>
          <w:divBdr>
            <w:top w:val="none" w:sz="0" w:space="0" w:color="auto"/>
            <w:left w:val="none" w:sz="0" w:space="0" w:color="auto"/>
            <w:bottom w:val="none" w:sz="0" w:space="0" w:color="auto"/>
            <w:right w:val="none" w:sz="0" w:space="0" w:color="auto"/>
          </w:divBdr>
        </w:div>
        <w:div w:id="577521799">
          <w:marLeft w:val="0"/>
          <w:marRight w:val="0"/>
          <w:marTop w:val="0"/>
          <w:marBottom w:val="0"/>
          <w:divBdr>
            <w:top w:val="none" w:sz="0" w:space="0" w:color="auto"/>
            <w:left w:val="none" w:sz="0" w:space="0" w:color="auto"/>
            <w:bottom w:val="none" w:sz="0" w:space="0" w:color="auto"/>
            <w:right w:val="none" w:sz="0" w:space="0" w:color="auto"/>
          </w:divBdr>
        </w:div>
        <w:div w:id="1491679553">
          <w:marLeft w:val="0"/>
          <w:marRight w:val="0"/>
          <w:marTop w:val="0"/>
          <w:marBottom w:val="0"/>
          <w:divBdr>
            <w:top w:val="none" w:sz="0" w:space="0" w:color="auto"/>
            <w:left w:val="none" w:sz="0" w:space="0" w:color="auto"/>
            <w:bottom w:val="none" w:sz="0" w:space="0" w:color="auto"/>
            <w:right w:val="none" w:sz="0" w:space="0" w:color="auto"/>
          </w:divBdr>
        </w:div>
        <w:div w:id="1994601297">
          <w:marLeft w:val="0"/>
          <w:marRight w:val="0"/>
          <w:marTop w:val="0"/>
          <w:marBottom w:val="0"/>
          <w:divBdr>
            <w:top w:val="none" w:sz="0" w:space="0" w:color="auto"/>
            <w:left w:val="none" w:sz="0" w:space="0" w:color="auto"/>
            <w:bottom w:val="none" w:sz="0" w:space="0" w:color="auto"/>
            <w:right w:val="none" w:sz="0" w:space="0" w:color="auto"/>
          </w:divBdr>
        </w:div>
      </w:divsChild>
    </w:div>
    <w:div w:id="862717640">
      <w:bodyDiv w:val="1"/>
      <w:marLeft w:val="0"/>
      <w:marRight w:val="0"/>
      <w:marTop w:val="0"/>
      <w:marBottom w:val="0"/>
      <w:divBdr>
        <w:top w:val="none" w:sz="0" w:space="0" w:color="auto"/>
        <w:left w:val="none" w:sz="0" w:space="0" w:color="auto"/>
        <w:bottom w:val="none" w:sz="0" w:space="0" w:color="auto"/>
        <w:right w:val="none" w:sz="0" w:space="0" w:color="auto"/>
      </w:divBdr>
    </w:div>
    <w:div w:id="865100656">
      <w:bodyDiv w:val="1"/>
      <w:marLeft w:val="0"/>
      <w:marRight w:val="0"/>
      <w:marTop w:val="0"/>
      <w:marBottom w:val="0"/>
      <w:divBdr>
        <w:top w:val="none" w:sz="0" w:space="0" w:color="auto"/>
        <w:left w:val="none" w:sz="0" w:space="0" w:color="auto"/>
        <w:bottom w:val="none" w:sz="0" w:space="0" w:color="auto"/>
        <w:right w:val="none" w:sz="0" w:space="0" w:color="auto"/>
      </w:divBdr>
    </w:div>
    <w:div w:id="872234819">
      <w:bodyDiv w:val="1"/>
      <w:marLeft w:val="0"/>
      <w:marRight w:val="0"/>
      <w:marTop w:val="0"/>
      <w:marBottom w:val="0"/>
      <w:divBdr>
        <w:top w:val="none" w:sz="0" w:space="0" w:color="auto"/>
        <w:left w:val="none" w:sz="0" w:space="0" w:color="auto"/>
        <w:bottom w:val="none" w:sz="0" w:space="0" w:color="auto"/>
        <w:right w:val="none" w:sz="0" w:space="0" w:color="auto"/>
      </w:divBdr>
    </w:div>
    <w:div w:id="875893284">
      <w:bodyDiv w:val="1"/>
      <w:marLeft w:val="0"/>
      <w:marRight w:val="0"/>
      <w:marTop w:val="0"/>
      <w:marBottom w:val="0"/>
      <w:divBdr>
        <w:top w:val="none" w:sz="0" w:space="0" w:color="auto"/>
        <w:left w:val="none" w:sz="0" w:space="0" w:color="auto"/>
        <w:bottom w:val="none" w:sz="0" w:space="0" w:color="auto"/>
        <w:right w:val="none" w:sz="0" w:space="0" w:color="auto"/>
      </w:divBdr>
    </w:div>
    <w:div w:id="875965073">
      <w:bodyDiv w:val="1"/>
      <w:marLeft w:val="0"/>
      <w:marRight w:val="0"/>
      <w:marTop w:val="0"/>
      <w:marBottom w:val="0"/>
      <w:divBdr>
        <w:top w:val="none" w:sz="0" w:space="0" w:color="auto"/>
        <w:left w:val="none" w:sz="0" w:space="0" w:color="auto"/>
        <w:bottom w:val="none" w:sz="0" w:space="0" w:color="auto"/>
        <w:right w:val="none" w:sz="0" w:space="0" w:color="auto"/>
      </w:divBdr>
    </w:div>
    <w:div w:id="876894744">
      <w:bodyDiv w:val="1"/>
      <w:marLeft w:val="0"/>
      <w:marRight w:val="0"/>
      <w:marTop w:val="0"/>
      <w:marBottom w:val="0"/>
      <w:divBdr>
        <w:top w:val="none" w:sz="0" w:space="0" w:color="auto"/>
        <w:left w:val="none" w:sz="0" w:space="0" w:color="auto"/>
        <w:bottom w:val="none" w:sz="0" w:space="0" w:color="auto"/>
        <w:right w:val="none" w:sz="0" w:space="0" w:color="auto"/>
      </w:divBdr>
    </w:div>
    <w:div w:id="887497320">
      <w:bodyDiv w:val="1"/>
      <w:marLeft w:val="0"/>
      <w:marRight w:val="0"/>
      <w:marTop w:val="0"/>
      <w:marBottom w:val="0"/>
      <w:divBdr>
        <w:top w:val="none" w:sz="0" w:space="0" w:color="auto"/>
        <w:left w:val="none" w:sz="0" w:space="0" w:color="auto"/>
        <w:bottom w:val="none" w:sz="0" w:space="0" w:color="auto"/>
        <w:right w:val="none" w:sz="0" w:space="0" w:color="auto"/>
      </w:divBdr>
    </w:div>
    <w:div w:id="888033655">
      <w:bodyDiv w:val="1"/>
      <w:marLeft w:val="0"/>
      <w:marRight w:val="0"/>
      <w:marTop w:val="0"/>
      <w:marBottom w:val="0"/>
      <w:divBdr>
        <w:top w:val="none" w:sz="0" w:space="0" w:color="auto"/>
        <w:left w:val="none" w:sz="0" w:space="0" w:color="auto"/>
        <w:bottom w:val="none" w:sz="0" w:space="0" w:color="auto"/>
        <w:right w:val="none" w:sz="0" w:space="0" w:color="auto"/>
      </w:divBdr>
    </w:div>
    <w:div w:id="888104250">
      <w:bodyDiv w:val="1"/>
      <w:marLeft w:val="0"/>
      <w:marRight w:val="0"/>
      <w:marTop w:val="0"/>
      <w:marBottom w:val="0"/>
      <w:divBdr>
        <w:top w:val="none" w:sz="0" w:space="0" w:color="auto"/>
        <w:left w:val="none" w:sz="0" w:space="0" w:color="auto"/>
        <w:bottom w:val="none" w:sz="0" w:space="0" w:color="auto"/>
        <w:right w:val="none" w:sz="0" w:space="0" w:color="auto"/>
      </w:divBdr>
    </w:div>
    <w:div w:id="890725526">
      <w:bodyDiv w:val="1"/>
      <w:marLeft w:val="0"/>
      <w:marRight w:val="0"/>
      <w:marTop w:val="0"/>
      <w:marBottom w:val="0"/>
      <w:divBdr>
        <w:top w:val="none" w:sz="0" w:space="0" w:color="auto"/>
        <w:left w:val="none" w:sz="0" w:space="0" w:color="auto"/>
        <w:bottom w:val="none" w:sz="0" w:space="0" w:color="auto"/>
        <w:right w:val="none" w:sz="0" w:space="0" w:color="auto"/>
      </w:divBdr>
    </w:div>
    <w:div w:id="892885087">
      <w:bodyDiv w:val="1"/>
      <w:marLeft w:val="0"/>
      <w:marRight w:val="0"/>
      <w:marTop w:val="0"/>
      <w:marBottom w:val="0"/>
      <w:divBdr>
        <w:top w:val="none" w:sz="0" w:space="0" w:color="auto"/>
        <w:left w:val="none" w:sz="0" w:space="0" w:color="auto"/>
        <w:bottom w:val="none" w:sz="0" w:space="0" w:color="auto"/>
        <w:right w:val="none" w:sz="0" w:space="0" w:color="auto"/>
      </w:divBdr>
    </w:div>
    <w:div w:id="893005204">
      <w:bodyDiv w:val="1"/>
      <w:marLeft w:val="0"/>
      <w:marRight w:val="0"/>
      <w:marTop w:val="0"/>
      <w:marBottom w:val="0"/>
      <w:divBdr>
        <w:top w:val="none" w:sz="0" w:space="0" w:color="auto"/>
        <w:left w:val="none" w:sz="0" w:space="0" w:color="auto"/>
        <w:bottom w:val="none" w:sz="0" w:space="0" w:color="auto"/>
        <w:right w:val="none" w:sz="0" w:space="0" w:color="auto"/>
      </w:divBdr>
    </w:div>
    <w:div w:id="900409142">
      <w:bodyDiv w:val="1"/>
      <w:marLeft w:val="0"/>
      <w:marRight w:val="0"/>
      <w:marTop w:val="0"/>
      <w:marBottom w:val="0"/>
      <w:divBdr>
        <w:top w:val="none" w:sz="0" w:space="0" w:color="auto"/>
        <w:left w:val="none" w:sz="0" w:space="0" w:color="auto"/>
        <w:bottom w:val="none" w:sz="0" w:space="0" w:color="auto"/>
        <w:right w:val="none" w:sz="0" w:space="0" w:color="auto"/>
      </w:divBdr>
    </w:div>
    <w:div w:id="901134818">
      <w:bodyDiv w:val="1"/>
      <w:marLeft w:val="0"/>
      <w:marRight w:val="0"/>
      <w:marTop w:val="0"/>
      <w:marBottom w:val="0"/>
      <w:divBdr>
        <w:top w:val="none" w:sz="0" w:space="0" w:color="auto"/>
        <w:left w:val="none" w:sz="0" w:space="0" w:color="auto"/>
        <w:bottom w:val="none" w:sz="0" w:space="0" w:color="auto"/>
        <w:right w:val="none" w:sz="0" w:space="0" w:color="auto"/>
      </w:divBdr>
    </w:div>
    <w:div w:id="902712924">
      <w:bodyDiv w:val="1"/>
      <w:marLeft w:val="0"/>
      <w:marRight w:val="0"/>
      <w:marTop w:val="0"/>
      <w:marBottom w:val="0"/>
      <w:divBdr>
        <w:top w:val="none" w:sz="0" w:space="0" w:color="auto"/>
        <w:left w:val="none" w:sz="0" w:space="0" w:color="auto"/>
        <w:bottom w:val="none" w:sz="0" w:space="0" w:color="auto"/>
        <w:right w:val="none" w:sz="0" w:space="0" w:color="auto"/>
      </w:divBdr>
    </w:div>
    <w:div w:id="905384572">
      <w:bodyDiv w:val="1"/>
      <w:marLeft w:val="0"/>
      <w:marRight w:val="0"/>
      <w:marTop w:val="0"/>
      <w:marBottom w:val="0"/>
      <w:divBdr>
        <w:top w:val="none" w:sz="0" w:space="0" w:color="auto"/>
        <w:left w:val="none" w:sz="0" w:space="0" w:color="auto"/>
        <w:bottom w:val="none" w:sz="0" w:space="0" w:color="auto"/>
        <w:right w:val="none" w:sz="0" w:space="0" w:color="auto"/>
      </w:divBdr>
    </w:div>
    <w:div w:id="908661265">
      <w:bodyDiv w:val="1"/>
      <w:marLeft w:val="0"/>
      <w:marRight w:val="0"/>
      <w:marTop w:val="0"/>
      <w:marBottom w:val="0"/>
      <w:divBdr>
        <w:top w:val="none" w:sz="0" w:space="0" w:color="auto"/>
        <w:left w:val="none" w:sz="0" w:space="0" w:color="auto"/>
        <w:bottom w:val="none" w:sz="0" w:space="0" w:color="auto"/>
        <w:right w:val="none" w:sz="0" w:space="0" w:color="auto"/>
      </w:divBdr>
      <w:divsChild>
        <w:div w:id="127280688">
          <w:marLeft w:val="547"/>
          <w:marRight w:val="0"/>
          <w:marTop w:val="134"/>
          <w:marBottom w:val="0"/>
          <w:divBdr>
            <w:top w:val="none" w:sz="0" w:space="0" w:color="auto"/>
            <w:left w:val="none" w:sz="0" w:space="0" w:color="auto"/>
            <w:bottom w:val="none" w:sz="0" w:space="0" w:color="auto"/>
            <w:right w:val="none" w:sz="0" w:space="0" w:color="auto"/>
          </w:divBdr>
        </w:div>
        <w:div w:id="591737815">
          <w:marLeft w:val="1166"/>
          <w:marRight w:val="0"/>
          <w:marTop w:val="115"/>
          <w:marBottom w:val="0"/>
          <w:divBdr>
            <w:top w:val="none" w:sz="0" w:space="0" w:color="auto"/>
            <w:left w:val="none" w:sz="0" w:space="0" w:color="auto"/>
            <w:bottom w:val="none" w:sz="0" w:space="0" w:color="auto"/>
            <w:right w:val="none" w:sz="0" w:space="0" w:color="auto"/>
          </w:divBdr>
        </w:div>
        <w:div w:id="840434273">
          <w:marLeft w:val="1166"/>
          <w:marRight w:val="0"/>
          <w:marTop w:val="115"/>
          <w:marBottom w:val="0"/>
          <w:divBdr>
            <w:top w:val="none" w:sz="0" w:space="0" w:color="auto"/>
            <w:left w:val="none" w:sz="0" w:space="0" w:color="auto"/>
            <w:bottom w:val="none" w:sz="0" w:space="0" w:color="auto"/>
            <w:right w:val="none" w:sz="0" w:space="0" w:color="auto"/>
          </w:divBdr>
        </w:div>
        <w:div w:id="955987527">
          <w:marLeft w:val="1166"/>
          <w:marRight w:val="0"/>
          <w:marTop w:val="115"/>
          <w:marBottom w:val="0"/>
          <w:divBdr>
            <w:top w:val="none" w:sz="0" w:space="0" w:color="auto"/>
            <w:left w:val="none" w:sz="0" w:space="0" w:color="auto"/>
            <w:bottom w:val="none" w:sz="0" w:space="0" w:color="auto"/>
            <w:right w:val="none" w:sz="0" w:space="0" w:color="auto"/>
          </w:divBdr>
        </w:div>
        <w:div w:id="1417020338">
          <w:marLeft w:val="1166"/>
          <w:marRight w:val="0"/>
          <w:marTop w:val="115"/>
          <w:marBottom w:val="0"/>
          <w:divBdr>
            <w:top w:val="none" w:sz="0" w:space="0" w:color="auto"/>
            <w:left w:val="none" w:sz="0" w:space="0" w:color="auto"/>
            <w:bottom w:val="none" w:sz="0" w:space="0" w:color="auto"/>
            <w:right w:val="none" w:sz="0" w:space="0" w:color="auto"/>
          </w:divBdr>
        </w:div>
        <w:div w:id="1442528949">
          <w:marLeft w:val="1166"/>
          <w:marRight w:val="0"/>
          <w:marTop w:val="115"/>
          <w:marBottom w:val="0"/>
          <w:divBdr>
            <w:top w:val="none" w:sz="0" w:space="0" w:color="auto"/>
            <w:left w:val="none" w:sz="0" w:space="0" w:color="auto"/>
            <w:bottom w:val="none" w:sz="0" w:space="0" w:color="auto"/>
            <w:right w:val="none" w:sz="0" w:space="0" w:color="auto"/>
          </w:divBdr>
        </w:div>
        <w:div w:id="1683045138">
          <w:marLeft w:val="1166"/>
          <w:marRight w:val="0"/>
          <w:marTop w:val="115"/>
          <w:marBottom w:val="0"/>
          <w:divBdr>
            <w:top w:val="none" w:sz="0" w:space="0" w:color="auto"/>
            <w:left w:val="none" w:sz="0" w:space="0" w:color="auto"/>
            <w:bottom w:val="none" w:sz="0" w:space="0" w:color="auto"/>
            <w:right w:val="none" w:sz="0" w:space="0" w:color="auto"/>
          </w:divBdr>
        </w:div>
        <w:div w:id="1733231771">
          <w:marLeft w:val="1166"/>
          <w:marRight w:val="0"/>
          <w:marTop w:val="115"/>
          <w:marBottom w:val="0"/>
          <w:divBdr>
            <w:top w:val="none" w:sz="0" w:space="0" w:color="auto"/>
            <w:left w:val="none" w:sz="0" w:space="0" w:color="auto"/>
            <w:bottom w:val="none" w:sz="0" w:space="0" w:color="auto"/>
            <w:right w:val="none" w:sz="0" w:space="0" w:color="auto"/>
          </w:divBdr>
        </w:div>
      </w:divsChild>
    </w:div>
    <w:div w:id="914819397">
      <w:bodyDiv w:val="1"/>
      <w:marLeft w:val="0"/>
      <w:marRight w:val="0"/>
      <w:marTop w:val="0"/>
      <w:marBottom w:val="0"/>
      <w:divBdr>
        <w:top w:val="none" w:sz="0" w:space="0" w:color="auto"/>
        <w:left w:val="none" w:sz="0" w:space="0" w:color="auto"/>
        <w:bottom w:val="none" w:sz="0" w:space="0" w:color="auto"/>
        <w:right w:val="none" w:sz="0" w:space="0" w:color="auto"/>
      </w:divBdr>
    </w:div>
    <w:div w:id="925306584">
      <w:bodyDiv w:val="1"/>
      <w:marLeft w:val="0"/>
      <w:marRight w:val="0"/>
      <w:marTop w:val="0"/>
      <w:marBottom w:val="0"/>
      <w:divBdr>
        <w:top w:val="none" w:sz="0" w:space="0" w:color="auto"/>
        <w:left w:val="none" w:sz="0" w:space="0" w:color="auto"/>
        <w:bottom w:val="none" w:sz="0" w:space="0" w:color="auto"/>
        <w:right w:val="none" w:sz="0" w:space="0" w:color="auto"/>
      </w:divBdr>
      <w:divsChild>
        <w:div w:id="939245">
          <w:marLeft w:val="0"/>
          <w:marRight w:val="0"/>
          <w:marTop w:val="34"/>
          <w:marBottom w:val="10"/>
          <w:divBdr>
            <w:top w:val="none" w:sz="0" w:space="0" w:color="auto"/>
            <w:left w:val="none" w:sz="0" w:space="0" w:color="auto"/>
            <w:bottom w:val="none" w:sz="0" w:space="0" w:color="auto"/>
            <w:right w:val="none" w:sz="0" w:space="0" w:color="auto"/>
          </w:divBdr>
          <w:divsChild>
            <w:div w:id="1593053265">
              <w:marLeft w:val="0"/>
              <w:marRight w:val="0"/>
              <w:marTop w:val="0"/>
              <w:marBottom w:val="0"/>
              <w:divBdr>
                <w:top w:val="none" w:sz="0" w:space="0" w:color="auto"/>
                <w:left w:val="none" w:sz="0" w:space="0" w:color="auto"/>
                <w:bottom w:val="none" w:sz="0" w:space="0" w:color="auto"/>
                <w:right w:val="none" w:sz="0" w:space="0" w:color="auto"/>
              </w:divBdr>
            </w:div>
          </w:divsChild>
        </w:div>
        <w:div w:id="3359760">
          <w:marLeft w:val="0"/>
          <w:marRight w:val="0"/>
          <w:marTop w:val="34"/>
          <w:marBottom w:val="10"/>
          <w:divBdr>
            <w:top w:val="none" w:sz="0" w:space="0" w:color="auto"/>
            <w:left w:val="none" w:sz="0" w:space="0" w:color="auto"/>
            <w:bottom w:val="none" w:sz="0" w:space="0" w:color="auto"/>
            <w:right w:val="none" w:sz="0" w:space="0" w:color="auto"/>
          </w:divBdr>
          <w:divsChild>
            <w:div w:id="628360072">
              <w:marLeft w:val="0"/>
              <w:marRight w:val="0"/>
              <w:marTop w:val="0"/>
              <w:marBottom w:val="0"/>
              <w:divBdr>
                <w:top w:val="none" w:sz="0" w:space="0" w:color="auto"/>
                <w:left w:val="none" w:sz="0" w:space="0" w:color="auto"/>
                <w:bottom w:val="none" w:sz="0" w:space="0" w:color="auto"/>
                <w:right w:val="none" w:sz="0" w:space="0" w:color="auto"/>
              </w:divBdr>
            </w:div>
          </w:divsChild>
        </w:div>
        <w:div w:id="11148826">
          <w:marLeft w:val="0"/>
          <w:marRight w:val="0"/>
          <w:marTop w:val="34"/>
          <w:marBottom w:val="10"/>
          <w:divBdr>
            <w:top w:val="none" w:sz="0" w:space="0" w:color="auto"/>
            <w:left w:val="none" w:sz="0" w:space="0" w:color="auto"/>
            <w:bottom w:val="none" w:sz="0" w:space="0" w:color="auto"/>
            <w:right w:val="none" w:sz="0" w:space="0" w:color="auto"/>
          </w:divBdr>
          <w:divsChild>
            <w:div w:id="927688284">
              <w:marLeft w:val="0"/>
              <w:marRight w:val="0"/>
              <w:marTop w:val="0"/>
              <w:marBottom w:val="0"/>
              <w:divBdr>
                <w:top w:val="none" w:sz="0" w:space="0" w:color="auto"/>
                <w:left w:val="none" w:sz="0" w:space="0" w:color="auto"/>
                <w:bottom w:val="none" w:sz="0" w:space="0" w:color="auto"/>
                <w:right w:val="none" w:sz="0" w:space="0" w:color="auto"/>
              </w:divBdr>
            </w:div>
          </w:divsChild>
        </w:div>
        <w:div w:id="20017370">
          <w:marLeft w:val="0"/>
          <w:marRight w:val="0"/>
          <w:marTop w:val="34"/>
          <w:marBottom w:val="10"/>
          <w:divBdr>
            <w:top w:val="none" w:sz="0" w:space="0" w:color="auto"/>
            <w:left w:val="none" w:sz="0" w:space="0" w:color="auto"/>
            <w:bottom w:val="none" w:sz="0" w:space="0" w:color="auto"/>
            <w:right w:val="none" w:sz="0" w:space="0" w:color="auto"/>
          </w:divBdr>
          <w:divsChild>
            <w:div w:id="723601233">
              <w:marLeft w:val="0"/>
              <w:marRight w:val="0"/>
              <w:marTop w:val="0"/>
              <w:marBottom w:val="0"/>
              <w:divBdr>
                <w:top w:val="none" w:sz="0" w:space="0" w:color="auto"/>
                <w:left w:val="none" w:sz="0" w:space="0" w:color="auto"/>
                <w:bottom w:val="none" w:sz="0" w:space="0" w:color="auto"/>
                <w:right w:val="none" w:sz="0" w:space="0" w:color="auto"/>
              </w:divBdr>
            </w:div>
          </w:divsChild>
        </w:div>
        <w:div w:id="25183668">
          <w:marLeft w:val="0"/>
          <w:marRight w:val="0"/>
          <w:marTop w:val="34"/>
          <w:marBottom w:val="10"/>
          <w:divBdr>
            <w:top w:val="none" w:sz="0" w:space="0" w:color="auto"/>
            <w:left w:val="none" w:sz="0" w:space="0" w:color="auto"/>
            <w:bottom w:val="none" w:sz="0" w:space="0" w:color="auto"/>
            <w:right w:val="none" w:sz="0" w:space="0" w:color="auto"/>
          </w:divBdr>
          <w:divsChild>
            <w:div w:id="372997499">
              <w:marLeft w:val="0"/>
              <w:marRight w:val="0"/>
              <w:marTop w:val="0"/>
              <w:marBottom w:val="0"/>
              <w:divBdr>
                <w:top w:val="none" w:sz="0" w:space="0" w:color="auto"/>
                <w:left w:val="none" w:sz="0" w:space="0" w:color="auto"/>
                <w:bottom w:val="none" w:sz="0" w:space="0" w:color="auto"/>
                <w:right w:val="none" w:sz="0" w:space="0" w:color="auto"/>
              </w:divBdr>
            </w:div>
          </w:divsChild>
        </w:div>
        <w:div w:id="25953351">
          <w:marLeft w:val="0"/>
          <w:marRight w:val="0"/>
          <w:marTop w:val="34"/>
          <w:marBottom w:val="10"/>
          <w:divBdr>
            <w:top w:val="none" w:sz="0" w:space="0" w:color="auto"/>
            <w:left w:val="none" w:sz="0" w:space="0" w:color="auto"/>
            <w:bottom w:val="none" w:sz="0" w:space="0" w:color="auto"/>
            <w:right w:val="none" w:sz="0" w:space="0" w:color="auto"/>
          </w:divBdr>
          <w:divsChild>
            <w:div w:id="1266957726">
              <w:marLeft w:val="0"/>
              <w:marRight w:val="0"/>
              <w:marTop w:val="0"/>
              <w:marBottom w:val="0"/>
              <w:divBdr>
                <w:top w:val="none" w:sz="0" w:space="0" w:color="auto"/>
                <w:left w:val="none" w:sz="0" w:space="0" w:color="auto"/>
                <w:bottom w:val="none" w:sz="0" w:space="0" w:color="auto"/>
                <w:right w:val="none" w:sz="0" w:space="0" w:color="auto"/>
              </w:divBdr>
            </w:div>
          </w:divsChild>
        </w:div>
        <w:div w:id="30226617">
          <w:marLeft w:val="0"/>
          <w:marRight w:val="0"/>
          <w:marTop w:val="34"/>
          <w:marBottom w:val="10"/>
          <w:divBdr>
            <w:top w:val="none" w:sz="0" w:space="0" w:color="auto"/>
            <w:left w:val="none" w:sz="0" w:space="0" w:color="auto"/>
            <w:bottom w:val="none" w:sz="0" w:space="0" w:color="auto"/>
            <w:right w:val="none" w:sz="0" w:space="0" w:color="auto"/>
          </w:divBdr>
          <w:divsChild>
            <w:div w:id="463809749">
              <w:marLeft w:val="0"/>
              <w:marRight w:val="0"/>
              <w:marTop w:val="0"/>
              <w:marBottom w:val="0"/>
              <w:divBdr>
                <w:top w:val="none" w:sz="0" w:space="0" w:color="auto"/>
                <w:left w:val="none" w:sz="0" w:space="0" w:color="auto"/>
                <w:bottom w:val="none" w:sz="0" w:space="0" w:color="auto"/>
                <w:right w:val="none" w:sz="0" w:space="0" w:color="auto"/>
              </w:divBdr>
            </w:div>
          </w:divsChild>
        </w:div>
        <w:div w:id="30493619">
          <w:marLeft w:val="0"/>
          <w:marRight w:val="0"/>
          <w:marTop w:val="34"/>
          <w:marBottom w:val="10"/>
          <w:divBdr>
            <w:top w:val="none" w:sz="0" w:space="0" w:color="auto"/>
            <w:left w:val="none" w:sz="0" w:space="0" w:color="auto"/>
            <w:bottom w:val="none" w:sz="0" w:space="0" w:color="auto"/>
            <w:right w:val="none" w:sz="0" w:space="0" w:color="auto"/>
          </w:divBdr>
          <w:divsChild>
            <w:div w:id="1098983333">
              <w:marLeft w:val="0"/>
              <w:marRight w:val="0"/>
              <w:marTop w:val="0"/>
              <w:marBottom w:val="0"/>
              <w:divBdr>
                <w:top w:val="none" w:sz="0" w:space="0" w:color="auto"/>
                <w:left w:val="none" w:sz="0" w:space="0" w:color="auto"/>
                <w:bottom w:val="none" w:sz="0" w:space="0" w:color="auto"/>
                <w:right w:val="none" w:sz="0" w:space="0" w:color="auto"/>
              </w:divBdr>
            </w:div>
          </w:divsChild>
        </w:div>
        <w:div w:id="32076054">
          <w:marLeft w:val="0"/>
          <w:marRight w:val="0"/>
          <w:marTop w:val="34"/>
          <w:marBottom w:val="10"/>
          <w:divBdr>
            <w:top w:val="none" w:sz="0" w:space="0" w:color="auto"/>
            <w:left w:val="none" w:sz="0" w:space="0" w:color="auto"/>
            <w:bottom w:val="none" w:sz="0" w:space="0" w:color="auto"/>
            <w:right w:val="none" w:sz="0" w:space="0" w:color="auto"/>
          </w:divBdr>
        </w:div>
        <w:div w:id="34157655">
          <w:marLeft w:val="0"/>
          <w:marRight w:val="0"/>
          <w:marTop w:val="34"/>
          <w:marBottom w:val="10"/>
          <w:divBdr>
            <w:top w:val="none" w:sz="0" w:space="0" w:color="auto"/>
            <w:left w:val="none" w:sz="0" w:space="0" w:color="auto"/>
            <w:bottom w:val="none" w:sz="0" w:space="0" w:color="auto"/>
            <w:right w:val="none" w:sz="0" w:space="0" w:color="auto"/>
          </w:divBdr>
        </w:div>
        <w:div w:id="36398063">
          <w:marLeft w:val="0"/>
          <w:marRight w:val="0"/>
          <w:marTop w:val="34"/>
          <w:marBottom w:val="10"/>
          <w:divBdr>
            <w:top w:val="none" w:sz="0" w:space="0" w:color="auto"/>
            <w:left w:val="none" w:sz="0" w:space="0" w:color="auto"/>
            <w:bottom w:val="none" w:sz="0" w:space="0" w:color="auto"/>
            <w:right w:val="none" w:sz="0" w:space="0" w:color="auto"/>
          </w:divBdr>
          <w:divsChild>
            <w:div w:id="956368786">
              <w:marLeft w:val="0"/>
              <w:marRight w:val="0"/>
              <w:marTop w:val="0"/>
              <w:marBottom w:val="0"/>
              <w:divBdr>
                <w:top w:val="none" w:sz="0" w:space="0" w:color="auto"/>
                <w:left w:val="none" w:sz="0" w:space="0" w:color="auto"/>
                <w:bottom w:val="none" w:sz="0" w:space="0" w:color="auto"/>
                <w:right w:val="none" w:sz="0" w:space="0" w:color="auto"/>
              </w:divBdr>
            </w:div>
          </w:divsChild>
        </w:div>
        <w:div w:id="38625261">
          <w:marLeft w:val="0"/>
          <w:marRight w:val="0"/>
          <w:marTop w:val="34"/>
          <w:marBottom w:val="10"/>
          <w:divBdr>
            <w:top w:val="none" w:sz="0" w:space="0" w:color="auto"/>
            <w:left w:val="none" w:sz="0" w:space="0" w:color="auto"/>
            <w:bottom w:val="none" w:sz="0" w:space="0" w:color="auto"/>
            <w:right w:val="none" w:sz="0" w:space="0" w:color="auto"/>
          </w:divBdr>
          <w:divsChild>
            <w:div w:id="90128849">
              <w:marLeft w:val="0"/>
              <w:marRight w:val="0"/>
              <w:marTop w:val="0"/>
              <w:marBottom w:val="0"/>
              <w:divBdr>
                <w:top w:val="none" w:sz="0" w:space="0" w:color="auto"/>
                <w:left w:val="none" w:sz="0" w:space="0" w:color="auto"/>
                <w:bottom w:val="none" w:sz="0" w:space="0" w:color="auto"/>
                <w:right w:val="none" w:sz="0" w:space="0" w:color="auto"/>
              </w:divBdr>
            </w:div>
          </w:divsChild>
        </w:div>
        <w:div w:id="46494324">
          <w:marLeft w:val="0"/>
          <w:marRight w:val="0"/>
          <w:marTop w:val="34"/>
          <w:marBottom w:val="10"/>
          <w:divBdr>
            <w:top w:val="none" w:sz="0" w:space="0" w:color="auto"/>
            <w:left w:val="none" w:sz="0" w:space="0" w:color="auto"/>
            <w:bottom w:val="none" w:sz="0" w:space="0" w:color="auto"/>
            <w:right w:val="none" w:sz="0" w:space="0" w:color="auto"/>
          </w:divBdr>
          <w:divsChild>
            <w:div w:id="1499727869">
              <w:marLeft w:val="0"/>
              <w:marRight w:val="0"/>
              <w:marTop w:val="0"/>
              <w:marBottom w:val="0"/>
              <w:divBdr>
                <w:top w:val="none" w:sz="0" w:space="0" w:color="auto"/>
                <w:left w:val="none" w:sz="0" w:space="0" w:color="auto"/>
                <w:bottom w:val="none" w:sz="0" w:space="0" w:color="auto"/>
                <w:right w:val="none" w:sz="0" w:space="0" w:color="auto"/>
              </w:divBdr>
            </w:div>
          </w:divsChild>
        </w:div>
        <w:div w:id="53235468">
          <w:marLeft w:val="0"/>
          <w:marRight w:val="0"/>
          <w:marTop w:val="34"/>
          <w:marBottom w:val="10"/>
          <w:divBdr>
            <w:top w:val="none" w:sz="0" w:space="0" w:color="auto"/>
            <w:left w:val="none" w:sz="0" w:space="0" w:color="auto"/>
            <w:bottom w:val="none" w:sz="0" w:space="0" w:color="auto"/>
            <w:right w:val="none" w:sz="0" w:space="0" w:color="auto"/>
          </w:divBdr>
        </w:div>
        <w:div w:id="66074818">
          <w:marLeft w:val="0"/>
          <w:marRight w:val="0"/>
          <w:marTop w:val="34"/>
          <w:marBottom w:val="10"/>
          <w:divBdr>
            <w:top w:val="none" w:sz="0" w:space="0" w:color="auto"/>
            <w:left w:val="none" w:sz="0" w:space="0" w:color="auto"/>
            <w:bottom w:val="none" w:sz="0" w:space="0" w:color="auto"/>
            <w:right w:val="none" w:sz="0" w:space="0" w:color="auto"/>
          </w:divBdr>
        </w:div>
        <w:div w:id="71244470">
          <w:marLeft w:val="0"/>
          <w:marRight w:val="0"/>
          <w:marTop w:val="34"/>
          <w:marBottom w:val="10"/>
          <w:divBdr>
            <w:top w:val="none" w:sz="0" w:space="0" w:color="auto"/>
            <w:left w:val="none" w:sz="0" w:space="0" w:color="auto"/>
            <w:bottom w:val="none" w:sz="0" w:space="0" w:color="auto"/>
            <w:right w:val="none" w:sz="0" w:space="0" w:color="auto"/>
          </w:divBdr>
          <w:divsChild>
            <w:div w:id="2048993576">
              <w:marLeft w:val="0"/>
              <w:marRight w:val="0"/>
              <w:marTop w:val="0"/>
              <w:marBottom w:val="0"/>
              <w:divBdr>
                <w:top w:val="none" w:sz="0" w:space="0" w:color="auto"/>
                <w:left w:val="none" w:sz="0" w:space="0" w:color="auto"/>
                <w:bottom w:val="none" w:sz="0" w:space="0" w:color="auto"/>
                <w:right w:val="none" w:sz="0" w:space="0" w:color="auto"/>
              </w:divBdr>
            </w:div>
          </w:divsChild>
        </w:div>
        <w:div w:id="72630407">
          <w:marLeft w:val="0"/>
          <w:marRight w:val="0"/>
          <w:marTop w:val="34"/>
          <w:marBottom w:val="10"/>
          <w:divBdr>
            <w:top w:val="none" w:sz="0" w:space="0" w:color="auto"/>
            <w:left w:val="none" w:sz="0" w:space="0" w:color="auto"/>
            <w:bottom w:val="none" w:sz="0" w:space="0" w:color="auto"/>
            <w:right w:val="none" w:sz="0" w:space="0" w:color="auto"/>
          </w:divBdr>
          <w:divsChild>
            <w:div w:id="633828637">
              <w:marLeft w:val="0"/>
              <w:marRight w:val="0"/>
              <w:marTop w:val="0"/>
              <w:marBottom w:val="0"/>
              <w:divBdr>
                <w:top w:val="none" w:sz="0" w:space="0" w:color="auto"/>
                <w:left w:val="none" w:sz="0" w:space="0" w:color="auto"/>
                <w:bottom w:val="none" w:sz="0" w:space="0" w:color="auto"/>
                <w:right w:val="none" w:sz="0" w:space="0" w:color="auto"/>
              </w:divBdr>
            </w:div>
          </w:divsChild>
        </w:div>
        <w:div w:id="86735771">
          <w:marLeft w:val="0"/>
          <w:marRight w:val="0"/>
          <w:marTop w:val="34"/>
          <w:marBottom w:val="10"/>
          <w:divBdr>
            <w:top w:val="none" w:sz="0" w:space="0" w:color="auto"/>
            <w:left w:val="none" w:sz="0" w:space="0" w:color="auto"/>
            <w:bottom w:val="none" w:sz="0" w:space="0" w:color="auto"/>
            <w:right w:val="none" w:sz="0" w:space="0" w:color="auto"/>
          </w:divBdr>
          <w:divsChild>
            <w:div w:id="184906997">
              <w:marLeft w:val="0"/>
              <w:marRight w:val="0"/>
              <w:marTop w:val="0"/>
              <w:marBottom w:val="0"/>
              <w:divBdr>
                <w:top w:val="none" w:sz="0" w:space="0" w:color="auto"/>
                <w:left w:val="none" w:sz="0" w:space="0" w:color="auto"/>
                <w:bottom w:val="none" w:sz="0" w:space="0" w:color="auto"/>
                <w:right w:val="none" w:sz="0" w:space="0" w:color="auto"/>
              </w:divBdr>
            </w:div>
          </w:divsChild>
        </w:div>
        <w:div w:id="91703479">
          <w:marLeft w:val="0"/>
          <w:marRight w:val="0"/>
          <w:marTop w:val="34"/>
          <w:marBottom w:val="10"/>
          <w:divBdr>
            <w:top w:val="none" w:sz="0" w:space="0" w:color="auto"/>
            <w:left w:val="none" w:sz="0" w:space="0" w:color="auto"/>
            <w:bottom w:val="none" w:sz="0" w:space="0" w:color="auto"/>
            <w:right w:val="none" w:sz="0" w:space="0" w:color="auto"/>
          </w:divBdr>
          <w:divsChild>
            <w:div w:id="1883126558">
              <w:marLeft w:val="0"/>
              <w:marRight w:val="0"/>
              <w:marTop w:val="0"/>
              <w:marBottom w:val="0"/>
              <w:divBdr>
                <w:top w:val="none" w:sz="0" w:space="0" w:color="auto"/>
                <w:left w:val="none" w:sz="0" w:space="0" w:color="auto"/>
                <w:bottom w:val="none" w:sz="0" w:space="0" w:color="auto"/>
                <w:right w:val="none" w:sz="0" w:space="0" w:color="auto"/>
              </w:divBdr>
            </w:div>
          </w:divsChild>
        </w:div>
        <w:div w:id="109319161">
          <w:marLeft w:val="0"/>
          <w:marRight w:val="0"/>
          <w:marTop w:val="34"/>
          <w:marBottom w:val="10"/>
          <w:divBdr>
            <w:top w:val="none" w:sz="0" w:space="0" w:color="auto"/>
            <w:left w:val="none" w:sz="0" w:space="0" w:color="auto"/>
            <w:bottom w:val="none" w:sz="0" w:space="0" w:color="auto"/>
            <w:right w:val="none" w:sz="0" w:space="0" w:color="auto"/>
          </w:divBdr>
          <w:divsChild>
            <w:div w:id="1369447993">
              <w:marLeft w:val="0"/>
              <w:marRight w:val="0"/>
              <w:marTop w:val="0"/>
              <w:marBottom w:val="0"/>
              <w:divBdr>
                <w:top w:val="none" w:sz="0" w:space="0" w:color="auto"/>
                <w:left w:val="none" w:sz="0" w:space="0" w:color="auto"/>
                <w:bottom w:val="none" w:sz="0" w:space="0" w:color="auto"/>
                <w:right w:val="none" w:sz="0" w:space="0" w:color="auto"/>
              </w:divBdr>
            </w:div>
          </w:divsChild>
        </w:div>
        <w:div w:id="111289162">
          <w:marLeft w:val="0"/>
          <w:marRight w:val="0"/>
          <w:marTop w:val="34"/>
          <w:marBottom w:val="10"/>
          <w:divBdr>
            <w:top w:val="none" w:sz="0" w:space="0" w:color="auto"/>
            <w:left w:val="none" w:sz="0" w:space="0" w:color="auto"/>
            <w:bottom w:val="none" w:sz="0" w:space="0" w:color="auto"/>
            <w:right w:val="none" w:sz="0" w:space="0" w:color="auto"/>
          </w:divBdr>
          <w:divsChild>
            <w:div w:id="494566062">
              <w:marLeft w:val="0"/>
              <w:marRight w:val="0"/>
              <w:marTop w:val="0"/>
              <w:marBottom w:val="0"/>
              <w:divBdr>
                <w:top w:val="none" w:sz="0" w:space="0" w:color="auto"/>
                <w:left w:val="none" w:sz="0" w:space="0" w:color="auto"/>
                <w:bottom w:val="none" w:sz="0" w:space="0" w:color="auto"/>
                <w:right w:val="none" w:sz="0" w:space="0" w:color="auto"/>
              </w:divBdr>
            </w:div>
          </w:divsChild>
        </w:div>
        <w:div w:id="113839292">
          <w:marLeft w:val="0"/>
          <w:marRight w:val="0"/>
          <w:marTop w:val="34"/>
          <w:marBottom w:val="10"/>
          <w:divBdr>
            <w:top w:val="none" w:sz="0" w:space="0" w:color="auto"/>
            <w:left w:val="none" w:sz="0" w:space="0" w:color="auto"/>
            <w:bottom w:val="none" w:sz="0" w:space="0" w:color="auto"/>
            <w:right w:val="none" w:sz="0" w:space="0" w:color="auto"/>
          </w:divBdr>
          <w:divsChild>
            <w:div w:id="1881161402">
              <w:marLeft w:val="0"/>
              <w:marRight w:val="0"/>
              <w:marTop w:val="0"/>
              <w:marBottom w:val="0"/>
              <w:divBdr>
                <w:top w:val="none" w:sz="0" w:space="0" w:color="auto"/>
                <w:left w:val="none" w:sz="0" w:space="0" w:color="auto"/>
                <w:bottom w:val="none" w:sz="0" w:space="0" w:color="auto"/>
                <w:right w:val="none" w:sz="0" w:space="0" w:color="auto"/>
              </w:divBdr>
            </w:div>
          </w:divsChild>
        </w:div>
        <w:div w:id="113985318">
          <w:marLeft w:val="0"/>
          <w:marRight w:val="0"/>
          <w:marTop w:val="34"/>
          <w:marBottom w:val="10"/>
          <w:divBdr>
            <w:top w:val="none" w:sz="0" w:space="0" w:color="auto"/>
            <w:left w:val="none" w:sz="0" w:space="0" w:color="auto"/>
            <w:bottom w:val="none" w:sz="0" w:space="0" w:color="auto"/>
            <w:right w:val="none" w:sz="0" w:space="0" w:color="auto"/>
          </w:divBdr>
        </w:div>
        <w:div w:id="118302208">
          <w:marLeft w:val="0"/>
          <w:marRight w:val="0"/>
          <w:marTop w:val="34"/>
          <w:marBottom w:val="10"/>
          <w:divBdr>
            <w:top w:val="none" w:sz="0" w:space="0" w:color="auto"/>
            <w:left w:val="none" w:sz="0" w:space="0" w:color="auto"/>
            <w:bottom w:val="none" w:sz="0" w:space="0" w:color="auto"/>
            <w:right w:val="none" w:sz="0" w:space="0" w:color="auto"/>
          </w:divBdr>
          <w:divsChild>
            <w:div w:id="99958705">
              <w:marLeft w:val="0"/>
              <w:marRight w:val="0"/>
              <w:marTop w:val="0"/>
              <w:marBottom w:val="0"/>
              <w:divBdr>
                <w:top w:val="none" w:sz="0" w:space="0" w:color="auto"/>
                <w:left w:val="none" w:sz="0" w:space="0" w:color="auto"/>
                <w:bottom w:val="none" w:sz="0" w:space="0" w:color="auto"/>
                <w:right w:val="none" w:sz="0" w:space="0" w:color="auto"/>
              </w:divBdr>
            </w:div>
          </w:divsChild>
        </w:div>
        <w:div w:id="136577076">
          <w:marLeft w:val="0"/>
          <w:marRight w:val="0"/>
          <w:marTop w:val="34"/>
          <w:marBottom w:val="10"/>
          <w:divBdr>
            <w:top w:val="none" w:sz="0" w:space="0" w:color="auto"/>
            <w:left w:val="none" w:sz="0" w:space="0" w:color="auto"/>
            <w:bottom w:val="none" w:sz="0" w:space="0" w:color="auto"/>
            <w:right w:val="none" w:sz="0" w:space="0" w:color="auto"/>
          </w:divBdr>
          <w:divsChild>
            <w:div w:id="562565909">
              <w:marLeft w:val="0"/>
              <w:marRight w:val="0"/>
              <w:marTop w:val="0"/>
              <w:marBottom w:val="0"/>
              <w:divBdr>
                <w:top w:val="none" w:sz="0" w:space="0" w:color="auto"/>
                <w:left w:val="none" w:sz="0" w:space="0" w:color="auto"/>
                <w:bottom w:val="none" w:sz="0" w:space="0" w:color="auto"/>
                <w:right w:val="none" w:sz="0" w:space="0" w:color="auto"/>
              </w:divBdr>
            </w:div>
          </w:divsChild>
        </w:div>
        <w:div w:id="142506716">
          <w:marLeft w:val="0"/>
          <w:marRight w:val="0"/>
          <w:marTop w:val="34"/>
          <w:marBottom w:val="10"/>
          <w:divBdr>
            <w:top w:val="none" w:sz="0" w:space="0" w:color="auto"/>
            <w:left w:val="none" w:sz="0" w:space="0" w:color="auto"/>
            <w:bottom w:val="none" w:sz="0" w:space="0" w:color="auto"/>
            <w:right w:val="none" w:sz="0" w:space="0" w:color="auto"/>
          </w:divBdr>
          <w:divsChild>
            <w:div w:id="315305947">
              <w:marLeft w:val="0"/>
              <w:marRight w:val="0"/>
              <w:marTop w:val="0"/>
              <w:marBottom w:val="0"/>
              <w:divBdr>
                <w:top w:val="none" w:sz="0" w:space="0" w:color="auto"/>
                <w:left w:val="none" w:sz="0" w:space="0" w:color="auto"/>
                <w:bottom w:val="none" w:sz="0" w:space="0" w:color="auto"/>
                <w:right w:val="none" w:sz="0" w:space="0" w:color="auto"/>
              </w:divBdr>
            </w:div>
          </w:divsChild>
        </w:div>
        <w:div w:id="152842498">
          <w:marLeft w:val="0"/>
          <w:marRight w:val="0"/>
          <w:marTop w:val="34"/>
          <w:marBottom w:val="10"/>
          <w:divBdr>
            <w:top w:val="none" w:sz="0" w:space="0" w:color="auto"/>
            <w:left w:val="none" w:sz="0" w:space="0" w:color="auto"/>
            <w:bottom w:val="none" w:sz="0" w:space="0" w:color="auto"/>
            <w:right w:val="none" w:sz="0" w:space="0" w:color="auto"/>
          </w:divBdr>
          <w:divsChild>
            <w:div w:id="1565481954">
              <w:marLeft w:val="0"/>
              <w:marRight w:val="0"/>
              <w:marTop w:val="0"/>
              <w:marBottom w:val="0"/>
              <w:divBdr>
                <w:top w:val="none" w:sz="0" w:space="0" w:color="auto"/>
                <w:left w:val="none" w:sz="0" w:space="0" w:color="auto"/>
                <w:bottom w:val="none" w:sz="0" w:space="0" w:color="auto"/>
                <w:right w:val="none" w:sz="0" w:space="0" w:color="auto"/>
              </w:divBdr>
            </w:div>
          </w:divsChild>
        </w:div>
        <w:div w:id="158422612">
          <w:marLeft w:val="0"/>
          <w:marRight w:val="0"/>
          <w:marTop w:val="34"/>
          <w:marBottom w:val="10"/>
          <w:divBdr>
            <w:top w:val="none" w:sz="0" w:space="0" w:color="auto"/>
            <w:left w:val="none" w:sz="0" w:space="0" w:color="auto"/>
            <w:bottom w:val="none" w:sz="0" w:space="0" w:color="auto"/>
            <w:right w:val="none" w:sz="0" w:space="0" w:color="auto"/>
          </w:divBdr>
          <w:divsChild>
            <w:div w:id="1174304536">
              <w:marLeft w:val="0"/>
              <w:marRight w:val="0"/>
              <w:marTop w:val="0"/>
              <w:marBottom w:val="0"/>
              <w:divBdr>
                <w:top w:val="none" w:sz="0" w:space="0" w:color="auto"/>
                <w:left w:val="none" w:sz="0" w:space="0" w:color="auto"/>
                <w:bottom w:val="none" w:sz="0" w:space="0" w:color="auto"/>
                <w:right w:val="none" w:sz="0" w:space="0" w:color="auto"/>
              </w:divBdr>
            </w:div>
          </w:divsChild>
        </w:div>
        <w:div w:id="168453444">
          <w:marLeft w:val="0"/>
          <w:marRight w:val="0"/>
          <w:marTop w:val="34"/>
          <w:marBottom w:val="10"/>
          <w:divBdr>
            <w:top w:val="none" w:sz="0" w:space="0" w:color="auto"/>
            <w:left w:val="none" w:sz="0" w:space="0" w:color="auto"/>
            <w:bottom w:val="none" w:sz="0" w:space="0" w:color="auto"/>
            <w:right w:val="none" w:sz="0" w:space="0" w:color="auto"/>
          </w:divBdr>
          <w:divsChild>
            <w:div w:id="281616817">
              <w:marLeft w:val="0"/>
              <w:marRight w:val="0"/>
              <w:marTop w:val="0"/>
              <w:marBottom w:val="0"/>
              <w:divBdr>
                <w:top w:val="none" w:sz="0" w:space="0" w:color="auto"/>
                <w:left w:val="none" w:sz="0" w:space="0" w:color="auto"/>
                <w:bottom w:val="none" w:sz="0" w:space="0" w:color="auto"/>
                <w:right w:val="none" w:sz="0" w:space="0" w:color="auto"/>
              </w:divBdr>
            </w:div>
          </w:divsChild>
        </w:div>
        <w:div w:id="190998253">
          <w:marLeft w:val="0"/>
          <w:marRight w:val="0"/>
          <w:marTop w:val="34"/>
          <w:marBottom w:val="10"/>
          <w:divBdr>
            <w:top w:val="none" w:sz="0" w:space="0" w:color="auto"/>
            <w:left w:val="none" w:sz="0" w:space="0" w:color="auto"/>
            <w:bottom w:val="none" w:sz="0" w:space="0" w:color="auto"/>
            <w:right w:val="none" w:sz="0" w:space="0" w:color="auto"/>
          </w:divBdr>
          <w:divsChild>
            <w:div w:id="393361572">
              <w:marLeft w:val="0"/>
              <w:marRight w:val="0"/>
              <w:marTop w:val="0"/>
              <w:marBottom w:val="0"/>
              <w:divBdr>
                <w:top w:val="none" w:sz="0" w:space="0" w:color="auto"/>
                <w:left w:val="none" w:sz="0" w:space="0" w:color="auto"/>
                <w:bottom w:val="none" w:sz="0" w:space="0" w:color="auto"/>
                <w:right w:val="none" w:sz="0" w:space="0" w:color="auto"/>
              </w:divBdr>
            </w:div>
          </w:divsChild>
        </w:div>
        <w:div w:id="191041271">
          <w:marLeft w:val="0"/>
          <w:marRight w:val="0"/>
          <w:marTop w:val="34"/>
          <w:marBottom w:val="10"/>
          <w:divBdr>
            <w:top w:val="none" w:sz="0" w:space="0" w:color="auto"/>
            <w:left w:val="none" w:sz="0" w:space="0" w:color="auto"/>
            <w:bottom w:val="none" w:sz="0" w:space="0" w:color="auto"/>
            <w:right w:val="none" w:sz="0" w:space="0" w:color="auto"/>
          </w:divBdr>
        </w:div>
        <w:div w:id="219436877">
          <w:marLeft w:val="0"/>
          <w:marRight w:val="0"/>
          <w:marTop w:val="34"/>
          <w:marBottom w:val="10"/>
          <w:divBdr>
            <w:top w:val="none" w:sz="0" w:space="0" w:color="auto"/>
            <w:left w:val="none" w:sz="0" w:space="0" w:color="auto"/>
            <w:bottom w:val="none" w:sz="0" w:space="0" w:color="auto"/>
            <w:right w:val="none" w:sz="0" w:space="0" w:color="auto"/>
          </w:divBdr>
          <w:divsChild>
            <w:div w:id="1346400444">
              <w:marLeft w:val="0"/>
              <w:marRight w:val="0"/>
              <w:marTop w:val="0"/>
              <w:marBottom w:val="0"/>
              <w:divBdr>
                <w:top w:val="none" w:sz="0" w:space="0" w:color="auto"/>
                <w:left w:val="none" w:sz="0" w:space="0" w:color="auto"/>
                <w:bottom w:val="none" w:sz="0" w:space="0" w:color="auto"/>
                <w:right w:val="none" w:sz="0" w:space="0" w:color="auto"/>
              </w:divBdr>
            </w:div>
          </w:divsChild>
        </w:div>
        <w:div w:id="227157838">
          <w:marLeft w:val="0"/>
          <w:marRight w:val="0"/>
          <w:marTop w:val="34"/>
          <w:marBottom w:val="10"/>
          <w:divBdr>
            <w:top w:val="none" w:sz="0" w:space="0" w:color="auto"/>
            <w:left w:val="none" w:sz="0" w:space="0" w:color="auto"/>
            <w:bottom w:val="none" w:sz="0" w:space="0" w:color="auto"/>
            <w:right w:val="none" w:sz="0" w:space="0" w:color="auto"/>
          </w:divBdr>
          <w:divsChild>
            <w:div w:id="197664013">
              <w:marLeft w:val="0"/>
              <w:marRight w:val="0"/>
              <w:marTop w:val="0"/>
              <w:marBottom w:val="0"/>
              <w:divBdr>
                <w:top w:val="none" w:sz="0" w:space="0" w:color="auto"/>
                <w:left w:val="none" w:sz="0" w:space="0" w:color="auto"/>
                <w:bottom w:val="none" w:sz="0" w:space="0" w:color="auto"/>
                <w:right w:val="none" w:sz="0" w:space="0" w:color="auto"/>
              </w:divBdr>
            </w:div>
          </w:divsChild>
        </w:div>
        <w:div w:id="229124073">
          <w:marLeft w:val="0"/>
          <w:marRight w:val="0"/>
          <w:marTop w:val="34"/>
          <w:marBottom w:val="10"/>
          <w:divBdr>
            <w:top w:val="none" w:sz="0" w:space="0" w:color="auto"/>
            <w:left w:val="none" w:sz="0" w:space="0" w:color="auto"/>
            <w:bottom w:val="none" w:sz="0" w:space="0" w:color="auto"/>
            <w:right w:val="none" w:sz="0" w:space="0" w:color="auto"/>
          </w:divBdr>
          <w:divsChild>
            <w:div w:id="910309814">
              <w:marLeft w:val="0"/>
              <w:marRight w:val="0"/>
              <w:marTop w:val="0"/>
              <w:marBottom w:val="0"/>
              <w:divBdr>
                <w:top w:val="none" w:sz="0" w:space="0" w:color="auto"/>
                <w:left w:val="none" w:sz="0" w:space="0" w:color="auto"/>
                <w:bottom w:val="none" w:sz="0" w:space="0" w:color="auto"/>
                <w:right w:val="none" w:sz="0" w:space="0" w:color="auto"/>
              </w:divBdr>
            </w:div>
          </w:divsChild>
        </w:div>
        <w:div w:id="233246929">
          <w:marLeft w:val="0"/>
          <w:marRight w:val="0"/>
          <w:marTop w:val="34"/>
          <w:marBottom w:val="10"/>
          <w:divBdr>
            <w:top w:val="none" w:sz="0" w:space="0" w:color="auto"/>
            <w:left w:val="none" w:sz="0" w:space="0" w:color="auto"/>
            <w:bottom w:val="none" w:sz="0" w:space="0" w:color="auto"/>
            <w:right w:val="none" w:sz="0" w:space="0" w:color="auto"/>
          </w:divBdr>
          <w:divsChild>
            <w:div w:id="1611082258">
              <w:marLeft w:val="0"/>
              <w:marRight w:val="0"/>
              <w:marTop w:val="0"/>
              <w:marBottom w:val="0"/>
              <w:divBdr>
                <w:top w:val="none" w:sz="0" w:space="0" w:color="auto"/>
                <w:left w:val="none" w:sz="0" w:space="0" w:color="auto"/>
                <w:bottom w:val="none" w:sz="0" w:space="0" w:color="auto"/>
                <w:right w:val="none" w:sz="0" w:space="0" w:color="auto"/>
              </w:divBdr>
            </w:div>
          </w:divsChild>
        </w:div>
        <w:div w:id="236400967">
          <w:marLeft w:val="0"/>
          <w:marRight w:val="0"/>
          <w:marTop w:val="34"/>
          <w:marBottom w:val="10"/>
          <w:divBdr>
            <w:top w:val="none" w:sz="0" w:space="0" w:color="auto"/>
            <w:left w:val="none" w:sz="0" w:space="0" w:color="auto"/>
            <w:bottom w:val="none" w:sz="0" w:space="0" w:color="auto"/>
            <w:right w:val="none" w:sz="0" w:space="0" w:color="auto"/>
          </w:divBdr>
          <w:divsChild>
            <w:div w:id="2093089866">
              <w:marLeft w:val="0"/>
              <w:marRight w:val="0"/>
              <w:marTop w:val="0"/>
              <w:marBottom w:val="0"/>
              <w:divBdr>
                <w:top w:val="none" w:sz="0" w:space="0" w:color="auto"/>
                <w:left w:val="none" w:sz="0" w:space="0" w:color="auto"/>
                <w:bottom w:val="none" w:sz="0" w:space="0" w:color="auto"/>
                <w:right w:val="none" w:sz="0" w:space="0" w:color="auto"/>
              </w:divBdr>
            </w:div>
          </w:divsChild>
        </w:div>
        <w:div w:id="236523044">
          <w:marLeft w:val="0"/>
          <w:marRight w:val="0"/>
          <w:marTop w:val="34"/>
          <w:marBottom w:val="10"/>
          <w:divBdr>
            <w:top w:val="none" w:sz="0" w:space="0" w:color="auto"/>
            <w:left w:val="none" w:sz="0" w:space="0" w:color="auto"/>
            <w:bottom w:val="none" w:sz="0" w:space="0" w:color="auto"/>
            <w:right w:val="none" w:sz="0" w:space="0" w:color="auto"/>
          </w:divBdr>
          <w:divsChild>
            <w:div w:id="1641230636">
              <w:marLeft w:val="0"/>
              <w:marRight w:val="0"/>
              <w:marTop w:val="0"/>
              <w:marBottom w:val="0"/>
              <w:divBdr>
                <w:top w:val="none" w:sz="0" w:space="0" w:color="auto"/>
                <w:left w:val="none" w:sz="0" w:space="0" w:color="auto"/>
                <w:bottom w:val="none" w:sz="0" w:space="0" w:color="auto"/>
                <w:right w:val="none" w:sz="0" w:space="0" w:color="auto"/>
              </w:divBdr>
            </w:div>
          </w:divsChild>
        </w:div>
        <w:div w:id="241567430">
          <w:marLeft w:val="0"/>
          <w:marRight w:val="0"/>
          <w:marTop w:val="34"/>
          <w:marBottom w:val="10"/>
          <w:divBdr>
            <w:top w:val="none" w:sz="0" w:space="0" w:color="auto"/>
            <w:left w:val="none" w:sz="0" w:space="0" w:color="auto"/>
            <w:bottom w:val="none" w:sz="0" w:space="0" w:color="auto"/>
            <w:right w:val="none" w:sz="0" w:space="0" w:color="auto"/>
          </w:divBdr>
          <w:divsChild>
            <w:div w:id="1651444217">
              <w:marLeft w:val="0"/>
              <w:marRight w:val="0"/>
              <w:marTop w:val="0"/>
              <w:marBottom w:val="0"/>
              <w:divBdr>
                <w:top w:val="none" w:sz="0" w:space="0" w:color="auto"/>
                <w:left w:val="none" w:sz="0" w:space="0" w:color="auto"/>
                <w:bottom w:val="none" w:sz="0" w:space="0" w:color="auto"/>
                <w:right w:val="none" w:sz="0" w:space="0" w:color="auto"/>
              </w:divBdr>
            </w:div>
          </w:divsChild>
        </w:div>
        <w:div w:id="241720815">
          <w:marLeft w:val="0"/>
          <w:marRight w:val="0"/>
          <w:marTop w:val="34"/>
          <w:marBottom w:val="10"/>
          <w:divBdr>
            <w:top w:val="none" w:sz="0" w:space="0" w:color="auto"/>
            <w:left w:val="none" w:sz="0" w:space="0" w:color="auto"/>
            <w:bottom w:val="none" w:sz="0" w:space="0" w:color="auto"/>
            <w:right w:val="none" w:sz="0" w:space="0" w:color="auto"/>
          </w:divBdr>
          <w:divsChild>
            <w:div w:id="1645427082">
              <w:marLeft w:val="0"/>
              <w:marRight w:val="0"/>
              <w:marTop w:val="0"/>
              <w:marBottom w:val="0"/>
              <w:divBdr>
                <w:top w:val="none" w:sz="0" w:space="0" w:color="auto"/>
                <w:left w:val="none" w:sz="0" w:space="0" w:color="auto"/>
                <w:bottom w:val="none" w:sz="0" w:space="0" w:color="auto"/>
                <w:right w:val="none" w:sz="0" w:space="0" w:color="auto"/>
              </w:divBdr>
            </w:div>
          </w:divsChild>
        </w:div>
        <w:div w:id="252784896">
          <w:marLeft w:val="0"/>
          <w:marRight w:val="0"/>
          <w:marTop w:val="34"/>
          <w:marBottom w:val="10"/>
          <w:divBdr>
            <w:top w:val="none" w:sz="0" w:space="0" w:color="auto"/>
            <w:left w:val="none" w:sz="0" w:space="0" w:color="auto"/>
            <w:bottom w:val="none" w:sz="0" w:space="0" w:color="auto"/>
            <w:right w:val="none" w:sz="0" w:space="0" w:color="auto"/>
          </w:divBdr>
          <w:divsChild>
            <w:div w:id="281885180">
              <w:marLeft w:val="0"/>
              <w:marRight w:val="0"/>
              <w:marTop w:val="0"/>
              <w:marBottom w:val="0"/>
              <w:divBdr>
                <w:top w:val="none" w:sz="0" w:space="0" w:color="auto"/>
                <w:left w:val="none" w:sz="0" w:space="0" w:color="auto"/>
                <w:bottom w:val="none" w:sz="0" w:space="0" w:color="auto"/>
                <w:right w:val="none" w:sz="0" w:space="0" w:color="auto"/>
              </w:divBdr>
            </w:div>
          </w:divsChild>
        </w:div>
        <w:div w:id="253129944">
          <w:marLeft w:val="0"/>
          <w:marRight w:val="0"/>
          <w:marTop w:val="34"/>
          <w:marBottom w:val="10"/>
          <w:divBdr>
            <w:top w:val="none" w:sz="0" w:space="0" w:color="auto"/>
            <w:left w:val="none" w:sz="0" w:space="0" w:color="auto"/>
            <w:bottom w:val="none" w:sz="0" w:space="0" w:color="auto"/>
            <w:right w:val="none" w:sz="0" w:space="0" w:color="auto"/>
          </w:divBdr>
          <w:divsChild>
            <w:div w:id="1032803684">
              <w:marLeft w:val="0"/>
              <w:marRight w:val="0"/>
              <w:marTop w:val="0"/>
              <w:marBottom w:val="0"/>
              <w:divBdr>
                <w:top w:val="none" w:sz="0" w:space="0" w:color="auto"/>
                <w:left w:val="none" w:sz="0" w:space="0" w:color="auto"/>
                <w:bottom w:val="none" w:sz="0" w:space="0" w:color="auto"/>
                <w:right w:val="none" w:sz="0" w:space="0" w:color="auto"/>
              </w:divBdr>
            </w:div>
          </w:divsChild>
        </w:div>
        <w:div w:id="265699605">
          <w:marLeft w:val="0"/>
          <w:marRight w:val="0"/>
          <w:marTop w:val="34"/>
          <w:marBottom w:val="10"/>
          <w:divBdr>
            <w:top w:val="none" w:sz="0" w:space="0" w:color="auto"/>
            <w:left w:val="none" w:sz="0" w:space="0" w:color="auto"/>
            <w:bottom w:val="none" w:sz="0" w:space="0" w:color="auto"/>
            <w:right w:val="none" w:sz="0" w:space="0" w:color="auto"/>
          </w:divBdr>
          <w:divsChild>
            <w:div w:id="1513839192">
              <w:marLeft w:val="0"/>
              <w:marRight w:val="0"/>
              <w:marTop w:val="0"/>
              <w:marBottom w:val="0"/>
              <w:divBdr>
                <w:top w:val="none" w:sz="0" w:space="0" w:color="auto"/>
                <w:left w:val="none" w:sz="0" w:space="0" w:color="auto"/>
                <w:bottom w:val="none" w:sz="0" w:space="0" w:color="auto"/>
                <w:right w:val="none" w:sz="0" w:space="0" w:color="auto"/>
              </w:divBdr>
            </w:div>
          </w:divsChild>
        </w:div>
        <w:div w:id="267545063">
          <w:marLeft w:val="0"/>
          <w:marRight w:val="0"/>
          <w:marTop w:val="34"/>
          <w:marBottom w:val="10"/>
          <w:divBdr>
            <w:top w:val="none" w:sz="0" w:space="0" w:color="auto"/>
            <w:left w:val="none" w:sz="0" w:space="0" w:color="auto"/>
            <w:bottom w:val="none" w:sz="0" w:space="0" w:color="auto"/>
            <w:right w:val="none" w:sz="0" w:space="0" w:color="auto"/>
          </w:divBdr>
          <w:divsChild>
            <w:div w:id="1300695271">
              <w:marLeft w:val="0"/>
              <w:marRight w:val="0"/>
              <w:marTop w:val="0"/>
              <w:marBottom w:val="0"/>
              <w:divBdr>
                <w:top w:val="none" w:sz="0" w:space="0" w:color="auto"/>
                <w:left w:val="none" w:sz="0" w:space="0" w:color="auto"/>
                <w:bottom w:val="none" w:sz="0" w:space="0" w:color="auto"/>
                <w:right w:val="none" w:sz="0" w:space="0" w:color="auto"/>
              </w:divBdr>
            </w:div>
          </w:divsChild>
        </w:div>
        <w:div w:id="274338106">
          <w:marLeft w:val="0"/>
          <w:marRight w:val="0"/>
          <w:marTop w:val="0"/>
          <w:marBottom w:val="0"/>
          <w:divBdr>
            <w:top w:val="none" w:sz="0" w:space="0" w:color="auto"/>
            <w:left w:val="none" w:sz="0" w:space="0" w:color="auto"/>
            <w:bottom w:val="none" w:sz="0" w:space="0" w:color="auto"/>
            <w:right w:val="none" w:sz="0" w:space="0" w:color="auto"/>
          </w:divBdr>
        </w:div>
        <w:div w:id="314144174">
          <w:marLeft w:val="0"/>
          <w:marRight w:val="0"/>
          <w:marTop w:val="34"/>
          <w:marBottom w:val="10"/>
          <w:divBdr>
            <w:top w:val="none" w:sz="0" w:space="0" w:color="auto"/>
            <w:left w:val="none" w:sz="0" w:space="0" w:color="auto"/>
            <w:bottom w:val="none" w:sz="0" w:space="0" w:color="auto"/>
            <w:right w:val="none" w:sz="0" w:space="0" w:color="auto"/>
          </w:divBdr>
          <w:divsChild>
            <w:div w:id="642662178">
              <w:marLeft w:val="0"/>
              <w:marRight w:val="0"/>
              <w:marTop w:val="0"/>
              <w:marBottom w:val="0"/>
              <w:divBdr>
                <w:top w:val="none" w:sz="0" w:space="0" w:color="auto"/>
                <w:left w:val="none" w:sz="0" w:space="0" w:color="auto"/>
                <w:bottom w:val="none" w:sz="0" w:space="0" w:color="auto"/>
                <w:right w:val="none" w:sz="0" w:space="0" w:color="auto"/>
              </w:divBdr>
            </w:div>
          </w:divsChild>
        </w:div>
        <w:div w:id="318970419">
          <w:marLeft w:val="0"/>
          <w:marRight w:val="0"/>
          <w:marTop w:val="34"/>
          <w:marBottom w:val="10"/>
          <w:divBdr>
            <w:top w:val="none" w:sz="0" w:space="0" w:color="auto"/>
            <w:left w:val="none" w:sz="0" w:space="0" w:color="auto"/>
            <w:bottom w:val="none" w:sz="0" w:space="0" w:color="auto"/>
            <w:right w:val="none" w:sz="0" w:space="0" w:color="auto"/>
          </w:divBdr>
          <w:divsChild>
            <w:div w:id="393046854">
              <w:marLeft w:val="0"/>
              <w:marRight w:val="0"/>
              <w:marTop w:val="0"/>
              <w:marBottom w:val="0"/>
              <w:divBdr>
                <w:top w:val="none" w:sz="0" w:space="0" w:color="auto"/>
                <w:left w:val="none" w:sz="0" w:space="0" w:color="auto"/>
                <w:bottom w:val="none" w:sz="0" w:space="0" w:color="auto"/>
                <w:right w:val="none" w:sz="0" w:space="0" w:color="auto"/>
              </w:divBdr>
            </w:div>
          </w:divsChild>
        </w:div>
        <w:div w:id="340163029">
          <w:marLeft w:val="0"/>
          <w:marRight w:val="0"/>
          <w:marTop w:val="34"/>
          <w:marBottom w:val="10"/>
          <w:divBdr>
            <w:top w:val="none" w:sz="0" w:space="0" w:color="auto"/>
            <w:left w:val="none" w:sz="0" w:space="0" w:color="auto"/>
            <w:bottom w:val="none" w:sz="0" w:space="0" w:color="auto"/>
            <w:right w:val="none" w:sz="0" w:space="0" w:color="auto"/>
          </w:divBdr>
          <w:divsChild>
            <w:div w:id="163590658">
              <w:marLeft w:val="0"/>
              <w:marRight w:val="0"/>
              <w:marTop w:val="0"/>
              <w:marBottom w:val="0"/>
              <w:divBdr>
                <w:top w:val="none" w:sz="0" w:space="0" w:color="auto"/>
                <w:left w:val="none" w:sz="0" w:space="0" w:color="auto"/>
                <w:bottom w:val="none" w:sz="0" w:space="0" w:color="auto"/>
                <w:right w:val="none" w:sz="0" w:space="0" w:color="auto"/>
              </w:divBdr>
            </w:div>
          </w:divsChild>
        </w:div>
        <w:div w:id="342709548">
          <w:marLeft w:val="0"/>
          <w:marRight w:val="0"/>
          <w:marTop w:val="34"/>
          <w:marBottom w:val="10"/>
          <w:divBdr>
            <w:top w:val="none" w:sz="0" w:space="0" w:color="auto"/>
            <w:left w:val="none" w:sz="0" w:space="0" w:color="auto"/>
            <w:bottom w:val="none" w:sz="0" w:space="0" w:color="auto"/>
            <w:right w:val="none" w:sz="0" w:space="0" w:color="auto"/>
          </w:divBdr>
          <w:divsChild>
            <w:div w:id="740179816">
              <w:marLeft w:val="0"/>
              <w:marRight w:val="0"/>
              <w:marTop w:val="0"/>
              <w:marBottom w:val="0"/>
              <w:divBdr>
                <w:top w:val="none" w:sz="0" w:space="0" w:color="auto"/>
                <w:left w:val="none" w:sz="0" w:space="0" w:color="auto"/>
                <w:bottom w:val="none" w:sz="0" w:space="0" w:color="auto"/>
                <w:right w:val="none" w:sz="0" w:space="0" w:color="auto"/>
              </w:divBdr>
            </w:div>
          </w:divsChild>
        </w:div>
        <w:div w:id="352074157">
          <w:marLeft w:val="0"/>
          <w:marRight w:val="0"/>
          <w:marTop w:val="34"/>
          <w:marBottom w:val="10"/>
          <w:divBdr>
            <w:top w:val="none" w:sz="0" w:space="0" w:color="auto"/>
            <w:left w:val="none" w:sz="0" w:space="0" w:color="auto"/>
            <w:bottom w:val="none" w:sz="0" w:space="0" w:color="auto"/>
            <w:right w:val="none" w:sz="0" w:space="0" w:color="auto"/>
          </w:divBdr>
          <w:divsChild>
            <w:div w:id="1962109977">
              <w:marLeft w:val="0"/>
              <w:marRight w:val="0"/>
              <w:marTop w:val="0"/>
              <w:marBottom w:val="0"/>
              <w:divBdr>
                <w:top w:val="none" w:sz="0" w:space="0" w:color="auto"/>
                <w:left w:val="none" w:sz="0" w:space="0" w:color="auto"/>
                <w:bottom w:val="none" w:sz="0" w:space="0" w:color="auto"/>
                <w:right w:val="none" w:sz="0" w:space="0" w:color="auto"/>
              </w:divBdr>
            </w:div>
          </w:divsChild>
        </w:div>
        <w:div w:id="355694950">
          <w:marLeft w:val="0"/>
          <w:marRight w:val="0"/>
          <w:marTop w:val="34"/>
          <w:marBottom w:val="10"/>
          <w:divBdr>
            <w:top w:val="none" w:sz="0" w:space="0" w:color="auto"/>
            <w:left w:val="none" w:sz="0" w:space="0" w:color="auto"/>
            <w:bottom w:val="none" w:sz="0" w:space="0" w:color="auto"/>
            <w:right w:val="none" w:sz="0" w:space="0" w:color="auto"/>
          </w:divBdr>
          <w:divsChild>
            <w:div w:id="514853719">
              <w:marLeft w:val="0"/>
              <w:marRight w:val="0"/>
              <w:marTop w:val="0"/>
              <w:marBottom w:val="0"/>
              <w:divBdr>
                <w:top w:val="none" w:sz="0" w:space="0" w:color="auto"/>
                <w:left w:val="none" w:sz="0" w:space="0" w:color="auto"/>
                <w:bottom w:val="none" w:sz="0" w:space="0" w:color="auto"/>
                <w:right w:val="none" w:sz="0" w:space="0" w:color="auto"/>
              </w:divBdr>
            </w:div>
          </w:divsChild>
        </w:div>
        <w:div w:id="363097767">
          <w:marLeft w:val="0"/>
          <w:marRight w:val="0"/>
          <w:marTop w:val="34"/>
          <w:marBottom w:val="10"/>
          <w:divBdr>
            <w:top w:val="none" w:sz="0" w:space="0" w:color="auto"/>
            <w:left w:val="none" w:sz="0" w:space="0" w:color="auto"/>
            <w:bottom w:val="none" w:sz="0" w:space="0" w:color="auto"/>
            <w:right w:val="none" w:sz="0" w:space="0" w:color="auto"/>
          </w:divBdr>
          <w:divsChild>
            <w:div w:id="174150886">
              <w:marLeft w:val="0"/>
              <w:marRight w:val="0"/>
              <w:marTop w:val="0"/>
              <w:marBottom w:val="0"/>
              <w:divBdr>
                <w:top w:val="none" w:sz="0" w:space="0" w:color="auto"/>
                <w:left w:val="none" w:sz="0" w:space="0" w:color="auto"/>
                <w:bottom w:val="none" w:sz="0" w:space="0" w:color="auto"/>
                <w:right w:val="none" w:sz="0" w:space="0" w:color="auto"/>
              </w:divBdr>
            </w:div>
          </w:divsChild>
        </w:div>
        <w:div w:id="363482854">
          <w:marLeft w:val="0"/>
          <w:marRight w:val="0"/>
          <w:marTop w:val="34"/>
          <w:marBottom w:val="10"/>
          <w:divBdr>
            <w:top w:val="none" w:sz="0" w:space="0" w:color="auto"/>
            <w:left w:val="none" w:sz="0" w:space="0" w:color="auto"/>
            <w:bottom w:val="none" w:sz="0" w:space="0" w:color="auto"/>
            <w:right w:val="none" w:sz="0" w:space="0" w:color="auto"/>
          </w:divBdr>
          <w:divsChild>
            <w:div w:id="202598431">
              <w:marLeft w:val="0"/>
              <w:marRight w:val="0"/>
              <w:marTop w:val="0"/>
              <w:marBottom w:val="0"/>
              <w:divBdr>
                <w:top w:val="none" w:sz="0" w:space="0" w:color="auto"/>
                <w:left w:val="none" w:sz="0" w:space="0" w:color="auto"/>
                <w:bottom w:val="none" w:sz="0" w:space="0" w:color="auto"/>
                <w:right w:val="none" w:sz="0" w:space="0" w:color="auto"/>
              </w:divBdr>
            </w:div>
          </w:divsChild>
        </w:div>
        <w:div w:id="365522512">
          <w:marLeft w:val="0"/>
          <w:marRight w:val="0"/>
          <w:marTop w:val="34"/>
          <w:marBottom w:val="10"/>
          <w:divBdr>
            <w:top w:val="none" w:sz="0" w:space="0" w:color="auto"/>
            <w:left w:val="none" w:sz="0" w:space="0" w:color="auto"/>
            <w:bottom w:val="none" w:sz="0" w:space="0" w:color="auto"/>
            <w:right w:val="none" w:sz="0" w:space="0" w:color="auto"/>
          </w:divBdr>
          <w:divsChild>
            <w:div w:id="2073263991">
              <w:marLeft w:val="0"/>
              <w:marRight w:val="0"/>
              <w:marTop w:val="0"/>
              <w:marBottom w:val="0"/>
              <w:divBdr>
                <w:top w:val="none" w:sz="0" w:space="0" w:color="auto"/>
                <w:left w:val="none" w:sz="0" w:space="0" w:color="auto"/>
                <w:bottom w:val="none" w:sz="0" w:space="0" w:color="auto"/>
                <w:right w:val="none" w:sz="0" w:space="0" w:color="auto"/>
              </w:divBdr>
            </w:div>
          </w:divsChild>
        </w:div>
        <w:div w:id="366150482">
          <w:marLeft w:val="0"/>
          <w:marRight w:val="0"/>
          <w:marTop w:val="34"/>
          <w:marBottom w:val="10"/>
          <w:divBdr>
            <w:top w:val="none" w:sz="0" w:space="0" w:color="auto"/>
            <w:left w:val="none" w:sz="0" w:space="0" w:color="auto"/>
            <w:bottom w:val="none" w:sz="0" w:space="0" w:color="auto"/>
            <w:right w:val="none" w:sz="0" w:space="0" w:color="auto"/>
          </w:divBdr>
          <w:divsChild>
            <w:div w:id="1646273682">
              <w:marLeft w:val="0"/>
              <w:marRight w:val="0"/>
              <w:marTop w:val="0"/>
              <w:marBottom w:val="0"/>
              <w:divBdr>
                <w:top w:val="none" w:sz="0" w:space="0" w:color="auto"/>
                <w:left w:val="none" w:sz="0" w:space="0" w:color="auto"/>
                <w:bottom w:val="none" w:sz="0" w:space="0" w:color="auto"/>
                <w:right w:val="none" w:sz="0" w:space="0" w:color="auto"/>
              </w:divBdr>
            </w:div>
          </w:divsChild>
        </w:div>
        <w:div w:id="368190917">
          <w:marLeft w:val="0"/>
          <w:marRight w:val="0"/>
          <w:marTop w:val="34"/>
          <w:marBottom w:val="10"/>
          <w:divBdr>
            <w:top w:val="none" w:sz="0" w:space="0" w:color="auto"/>
            <w:left w:val="none" w:sz="0" w:space="0" w:color="auto"/>
            <w:bottom w:val="none" w:sz="0" w:space="0" w:color="auto"/>
            <w:right w:val="none" w:sz="0" w:space="0" w:color="auto"/>
          </w:divBdr>
          <w:divsChild>
            <w:div w:id="1580673441">
              <w:marLeft w:val="0"/>
              <w:marRight w:val="0"/>
              <w:marTop w:val="0"/>
              <w:marBottom w:val="0"/>
              <w:divBdr>
                <w:top w:val="none" w:sz="0" w:space="0" w:color="auto"/>
                <w:left w:val="none" w:sz="0" w:space="0" w:color="auto"/>
                <w:bottom w:val="none" w:sz="0" w:space="0" w:color="auto"/>
                <w:right w:val="none" w:sz="0" w:space="0" w:color="auto"/>
              </w:divBdr>
            </w:div>
          </w:divsChild>
        </w:div>
        <w:div w:id="370765667">
          <w:marLeft w:val="0"/>
          <w:marRight w:val="0"/>
          <w:marTop w:val="34"/>
          <w:marBottom w:val="10"/>
          <w:divBdr>
            <w:top w:val="none" w:sz="0" w:space="0" w:color="auto"/>
            <w:left w:val="none" w:sz="0" w:space="0" w:color="auto"/>
            <w:bottom w:val="none" w:sz="0" w:space="0" w:color="auto"/>
            <w:right w:val="none" w:sz="0" w:space="0" w:color="auto"/>
          </w:divBdr>
          <w:divsChild>
            <w:div w:id="851994004">
              <w:marLeft w:val="0"/>
              <w:marRight w:val="0"/>
              <w:marTop w:val="0"/>
              <w:marBottom w:val="0"/>
              <w:divBdr>
                <w:top w:val="none" w:sz="0" w:space="0" w:color="auto"/>
                <w:left w:val="none" w:sz="0" w:space="0" w:color="auto"/>
                <w:bottom w:val="none" w:sz="0" w:space="0" w:color="auto"/>
                <w:right w:val="none" w:sz="0" w:space="0" w:color="auto"/>
              </w:divBdr>
            </w:div>
          </w:divsChild>
        </w:div>
        <w:div w:id="371156779">
          <w:marLeft w:val="0"/>
          <w:marRight w:val="0"/>
          <w:marTop w:val="34"/>
          <w:marBottom w:val="10"/>
          <w:divBdr>
            <w:top w:val="none" w:sz="0" w:space="0" w:color="auto"/>
            <w:left w:val="none" w:sz="0" w:space="0" w:color="auto"/>
            <w:bottom w:val="none" w:sz="0" w:space="0" w:color="auto"/>
            <w:right w:val="none" w:sz="0" w:space="0" w:color="auto"/>
          </w:divBdr>
          <w:divsChild>
            <w:div w:id="621032389">
              <w:marLeft w:val="0"/>
              <w:marRight w:val="0"/>
              <w:marTop w:val="0"/>
              <w:marBottom w:val="0"/>
              <w:divBdr>
                <w:top w:val="none" w:sz="0" w:space="0" w:color="auto"/>
                <w:left w:val="none" w:sz="0" w:space="0" w:color="auto"/>
                <w:bottom w:val="none" w:sz="0" w:space="0" w:color="auto"/>
                <w:right w:val="none" w:sz="0" w:space="0" w:color="auto"/>
              </w:divBdr>
            </w:div>
          </w:divsChild>
        </w:div>
        <w:div w:id="373500575">
          <w:marLeft w:val="0"/>
          <w:marRight w:val="0"/>
          <w:marTop w:val="34"/>
          <w:marBottom w:val="10"/>
          <w:divBdr>
            <w:top w:val="none" w:sz="0" w:space="0" w:color="auto"/>
            <w:left w:val="none" w:sz="0" w:space="0" w:color="auto"/>
            <w:bottom w:val="none" w:sz="0" w:space="0" w:color="auto"/>
            <w:right w:val="none" w:sz="0" w:space="0" w:color="auto"/>
          </w:divBdr>
          <w:divsChild>
            <w:div w:id="812647161">
              <w:marLeft w:val="0"/>
              <w:marRight w:val="0"/>
              <w:marTop w:val="0"/>
              <w:marBottom w:val="0"/>
              <w:divBdr>
                <w:top w:val="none" w:sz="0" w:space="0" w:color="auto"/>
                <w:left w:val="none" w:sz="0" w:space="0" w:color="auto"/>
                <w:bottom w:val="none" w:sz="0" w:space="0" w:color="auto"/>
                <w:right w:val="none" w:sz="0" w:space="0" w:color="auto"/>
              </w:divBdr>
            </w:div>
          </w:divsChild>
        </w:div>
        <w:div w:id="389574612">
          <w:marLeft w:val="0"/>
          <w:marRight w:val="0"/>
          <w:marTop w:val="34"/>
          <w:marBottom w:val="10"/>
          <w:divBdr>
            <w:top w:val="none" w:sz="0" w:space="0" w:color="auto"/>
            <w:left w:val="none" w:sz="0" w:space="0" w:color="auto"/>
            <w:bottom w:val="none" w:sz="0" w:space="0" w:color="auto"/>
            <w:right w:val="none" w:sz="0" w:space="0" w:color="auto"/>
          </w:divBdr>
        </w:div>
        <w:div w:id="395125591">
          <w:marLeft w:val="0"/>
          <w:marRight w:val="0"/>
          <w:marTop w:val="34"/>
          <w:marBottom w:val="10"/>
          <w:divBdr>
            <w:top w:val="none" w:sz="0" w:space="0" w:color="auto"/>
            <w:left w:val="none" w:sz="0" w:space="0" w:color="auto"/>
            <w:bottom w:val="none" w:sz="0" w:space="0" w:color="auto"/>
            <w:right w:val="none" w:sz="0" w:space="0" w:color="auto"/>
          </w:divBdr>
        </w:div>
        <w:div w:id="395513410">
          <w:marLeft w:val="0"/>
          <w:marRight w:val="0"/>
          <w:marTop w:val="34"/>
          <w:marBottom w:val="10"/>
          <w:divBdr>
            <w:top w:val="none" w:sz="0" w:space="0" w:color="auto"/>
            <w:left w:val="none" w:sz="0" w:space="0" w:color="auto"/>
            <w:bottom w:val="none" w:sz="0" w:space="0" w:color="auto"/>
            <w:right w:val="none" w:sz="0" w:space="0" w:color="auto"/>
          </w:divBdr>
          <w:divsChild>
            <w:div w:id="404182136">
              <w:marLeft w:val="0"/>
              <w:marRight w:val="0"/>
              <w:marTop w:val="0"/>
              <w:marBottom w:val="0"/>
              <w:divBdr>
                <w:top w:val="none" w:sz="0" w:space="0" w:color="auto"/>
                <w:left w:val="none" w:sz="0" w:space="0" w:color="auto"/>
                <w:bottom w:val="none" w:sz="0" w:space="0" w:color="auto"/>
                <w:right w:val="none" w:sz="0" w:space="0" w:color="auto"/>
              </w:divBdr>
            </w:div>
          </w:divsChild>
        </w:div>
        <w:div w:id="421682672">
          <w:marLeft w:val="0"/>
          <w:marRight w:val="0"/>
          <w:marTop w:val="34"/>
          <w:marBottom w:val="10"/>
          <w:divBdr>
            <w:top w:val="none" w:sz="0" w:space="0" w:color="auto"/>
            <w:left w:val="none" w:sz="0" w:space="0" w:color="auto"/>
            <w:bottom w:val="none" w:sz="0" w:space="0" w:color="auto"/>
            <w:right w:val="none" w:sz="0" w:space="0" w:color="auto"/>
          </w:divBdr>
          <w:divsChild>
            <w:div w:id="1729763050">
              <w:marLeft w:val="0"/>
              <w:marRight w:val="0"/>
              <w:marTop w:val="0"/>
              <w:marBottom w:val="0"/>
              <w:divBdr>
                <w:top w:val="none" w:sz="0" w:space="0" w:color="auto"/>
                <w:left w:val="none" w:sz="0" w:space="0" w:color="auto"/>
                <w:bottom w:val="none" w:sz="0" w:space="0" w:color="auto"/>
                <w:right w:val="none" w:sz="0" w:space="0" w:color="auto"/>
              </w:divBdr>
            </w:div>
          </w:divsChild>
        </w:div>
        <w:div w:id="424810313">
          <w:marLeft w:val="0"/>
          <w:marRight w:val="0"/>
          <w:marTop w:val="34"/>
          <w:marBottom w:val="10"/>
          <w:divBdr>
            <w:top w:val="none" w:sz="0" w:space="0" w:color="auto"/>
            <w:left w:val="none" w:sz="0" w:space="0" w:color="auto"/>
            <w:bottom w:val="none" w:sz="0" w:space="0" w:color="auto"/>
            <w:right w:val="none" w:sz="0" w:space="0" w:color="auto"/>
          </w:divBdr>
          <w:divsChild>
            <w:div w:id="488714614">
              <w:marLeft w:val="0"/>
              <w:marRight w:val="0"/>
              <w:marTop w:val="0"/>
              <w:marBottom w:val="0"/>
              <w:divBdr>
                <w:top w:val="none" w:sz="0" w:space="0" w:color="auto"/>
                <w:left w:val="none" w:sz="0" w:space="0" w:color="auto"/>
                <w:bottom w:val="none" w:sz="0" w:space="0" w:color="auto"/>
                <w:right w:val="none" w:sz="0" w:space="0" w:color="auto"/>
              </w:divBdr>
            </w:div>
          </w:divsChild>
        </w:div>
        <w:div w:id="426577818">
          <w:marLeft w:val="0"/>
          <w:marRight w:val="0"/>
          <w:marTop w:val="34"/>
          <w:marBottom w:val="10"/>
          <w:divBdr>
            <w:top w:val="none" w:sz="0" w:space="0" w:color="auto"/>
            <w:left w:val="none" w:sz="0" w:space="0" w:color="auto"/>
            <w:bottom w:val="none" w:sz="0" w:space="0" w:color="auto"/>
            <w:right w:val="none" w:sz="0" w:space="0" w:color="auto"/>
          </w:divBdr>
          <w:divsChild>
            <w:div w:id="880702136">
              <w:marLeft w:val="0"/>
              <w:marRight w:val="0"/>
              <w:marTop w:val="0"/>
              <w:marBottom w:val="0"/>
              <w:divBdr>
                <w:top w:val="none" w:sz="0" w:space="0" w:color="auto"/>
                <w:left w:val="none" w:sz="0" w:space="0" w:color="auto"/>
                <w:bottom w:val="none" w:sz="0" w:space="0" w:color="auto"/>
                <w:right w:val="none" w:sz="0" w:space="0" w:color="auto"/>
              </w:divBdr>
            </w:div>
          </w:divsChild>
        </w:div>
        <w:div w:id="438989177">
          <w:marLeft w:val="0"/>
          <w:marRight w:val="0"/>
          <w:marTop w:val="34"/>
          <w:marBottom w:val="10"/>
          <w:divBdr>
            <w:top w:val="none" w:sz="0" w:space="0" w:color="auto"/>
            <w:left w:val="none" w:sz="0" w:space="0" w:color="auto"/>
            <w:bottom w:val="none" w:sz="0" w:space="0" w:color="auto"/>
            <w:right w:val="none" w:sz="0" w:space="0" w:color="auto"/>
          </w:divBdr>
          <w:divsChild>
            <w:div w:id="1560281939">
              <w:marLeft w:val="0"/>
              <w:marRight w:val="0"/>
              <w:marTop w:val="0"/>
              <w:marBottom w:val="0"/>
              <w:divBdr>
                <w:top w:val="none" w:sz="0" w:space="0" w:color="auto"/>
                <w:left w:val="none" w:sz="0" w:space="0" w:color="auto"/>
                <w:bottom w:val="none" w:sz="0" w:space="0" w:color="auto"/>
                <w:right w:val="none" w:sz="0" w:space="0" w:color="auto"/>
              </w:divBdr>
            </w:div>
          </w:divsChild>
        </w:div>
        <w:div w:id="440105155">
          <w:marLeft w:val="0"/>
          <w:marRight w:val="0"/>
          <w:marTop w:val="34"/>
          <w:marBottom w:val="10"/>
          <w:divBdr>
            <w:top w:val="none" w:sz="0" w:space="0" w:color="auto"/>
            <w:left w:val="none" w:sz="0" w:space="0" w:color="auto"/>
            <w:bottom w:val="none" w:sz="0" w:space="0" w:color="auto"/>
            <w:right w:val="none" w:sz="0" w:space="0" w:color="auto"/>
          </w:divBdr>
          <w:divsChild>
            <w:div w:id="1594581166">
              <w:marLeft w:val="0"/>
              <w:marRight w:val="0"/>
              <w:marTop w:val="0"/>
              <w:marBottom w:val="0"/>
              <w:divBdr>
                <w:top w:val="none" w:sz="0" w:space="0" w:color="auto"/>
                <w:left w:val="none" w:sz="0" w:space="0" w:color="auto"/>
                <w:bottom w:val="none" w:sz="0" w:space="0" w:color="auto"/>
                <w:right w:val="none" w:sz="0" w:space="0" w:color="auto"/>
              </w:divBdr>
            </w:div>
          </w:divsChild>
        </w:div>
        <w:div w:id="441149756">
          <w:marLeft w:val="0"/>
          <w:marRight w:val="0"/>
          <w:marTop w:val="34"/>
          <w:marBottom w:val="10"/>
          <w:divBdr>
            <w:top w:val="none" w:sz="0" w:space="0" w:color="auto"/>
            <w:left w:val="none" w:sz="0" w:space="0" w:color="auto"/>
            <w:bottom w:val="none" w:sz="0" w:space="0" w:color="auto"/>
            <w:right w:val="none" w:sz="0" w:space="0" w:color="auto"/>
          </w:divBdr>
          <w:divsChild>
            <w:div w:id="890193532">
              <w:marLeft w:val="0"/>
              <w:marRight w:val="0"/>
              <w:marTop w:val="0"/>
              <w:marBottom w:val="0"/>
              <w:divBdr>
                <w:top w:val="none" w:sz="0" w:space="0" w:color="auto"/>
                <w:left w:val="none" w:sz="0" w:space="0" w:color="auto"/>
                <w:bottom w:val="none" w:sz="0" w:space="0" w:color="auto"/>
                <w:right w:val="none" w:sz="0" w:space="0" w:color="auto"/>
              </w:divBdr>
            </w:div>
          </w:divsChild>
        </w:div>
        <w:div w:id="441807182">
          <w:marLeft w:val="0"/>
          <w:marRight w:val="0"/>
          <w:marTop w:val="34"/>
          <w:marBottom w:val="10"/>
          <w:divBdr>
            <w:top w:val="none" w:sz="0" w:space="0" w:color="auto"/>
            <w:left w:val="none" w:sz="0" w:space="0" w:color="auto"/>
            <w:bottom w:val="none" w:sz="0" w:space="0" w:color="auto"/>
            <w:right w:val="none" w:sz="0" w:space="0" w:color="auto"/>
          </w:divBdr>
          <w:divsChild>
            <w:div w:id="1715765067">
              <w:marLeft w:val="0"/>
              <w:marRight w:val="0"/>
              <w:marTop w:val="0"/>
              <w:marBottom w:val="0"/>
              <w:divBdr>
                <w:top w:val="none" w:sz="0" w:space="0" w:color="auto"/>
                <w:left w:val="none" w:sz="0" w:space="0" w:color="auto"/>
                <w:bottom w:val="none" w:sz="0" w:space="0" w:color="auto"/>
                <w:right w:val="none" w:sz="0" w:space="0" w:color="auto"/>
              </w:divBdr>
            </w:div>
          </w:divsChild>
        </w:div>
        <w:div w:id="445387231">
          <w:marLeft w:val="0"/>
          <w:marRight w:val="0"/>
          <w:marTop w:val="34"/>
          <w:marBottom w:val="10"/>
          <w:divBdr>
            <w:top w:val="none" w:sz="0" w:space="0" w:color="auto"/>
            <w:left w:val="none" w:sz="0" w:space="0" w:color="auto"/>
            <w:bottom w:val="none" w:sz="0" w:space="0" w:color="auto"/>
            <w:right w:val="none" w:sz="0" w:space="0" w:color="auto"/>
          </w:divBdr>
          <w:divsChild>
            <w:div w:id="955790173">
              <w:marLeft w:val="0"/>
              <w:marRight w:val="0"/>
              <w:marTop w:val="0"/>
              <w:marBottom w:val="0"/>
              <w:divBdr>
                <w:top w:val="none" w:sz="0" w:space="0" w:color="auto"/>
                <w:left w:val="none" w:sz="0" w:space="0" w:color="auto"/>
                <w:bottom w:val="none" w:sz="0" w:space="0" w:color="auto"/>
                <w:right w:val="none" w:sz="0" w:space="0" w:color="auto"/>
              </w:divBdr>
            </w:div>
          </w:divsChild>
        </w:div>
        <w:div w:id="449250023">
          <w:marLeft w:val="0"/>
          <w:marRight w:val="0"/>
          <w:marTop w:val="34"/>
          <w:marBottom w:val="10"/>
          <w:divBdr>
            <w:top w:val="none" w:sz="0" w:space="0" w:color="auto"/>
            <w:left w:val="none" w:sz="0" w:space="0" w:color="auto"/>
            <w:bottom w:val="none" w:sz="0" w:space="0" w:color="auto"/>
            <w:right w:val="none" w:sz="0" w:space="0" w:color="auto"/>
          </w:divBdr>
          <w:divsChild>
            <w:div w:id="1006057413">
              <w:marLeft w:val="0"/>
              <w:marRight w:val="0"/>
              <w:marTop w:val="0"/>
              <w:marBottom w:val="0"/>
              <w:divBdr>
                <w:top w:val="none" w:sz="0" w:space="0" w:color="auto"/>
                <w:left w:val="none" w:sz="0" w:space="0" w:color="auto"/>
                <w:bottom w:val="none" w:sz="0" w:space="0" w:color="auto"/>
                <w:right w:val="none" w:sz="0" w:space="0" w:color="auto"/>
              </w:divBdr>
            </w:div>
          </w:divsChild>
        </w:div>
        <w:div w:id="449783990">
          <w:marLeft w:val="0"/>
          <w:marRight w:val="0"/>
          <w:marTop w:val="34"/>
          <w:marBottom w:val="10"/>
          <w:divBdr>
            <w:top w:val="none" w:sz="0" w:space="0" w:color="auto"/>
            <w:left w:val="none" w:sz="0" w:space="0" w:color="auto"/>
            <w:bottom w:val="none" w:sz="0" w:space="0" w:color="auto"/>
            <w:right w:val="none" w:sz="0" w:space="0" w:color="auto"/>
          </w:divBdr>
          <w:divsChild>
            <w:div w:id="2002191394">
              <w:marLeft w:val="0"/>
              <w:marRight w:val="0"/>
              <w:marTop w:val="0"/>
              <w:marBottom w:val="0"/>
              <w:divBdr>
                <w:top w:val="none" w:sz="0" w:space="0" w:color="auto"/>
                <w:left w:val="none" w:sz="0" w:space="0" w:color="auto"/>
                <w:bottom w:val="none" w:sz="0" w:space="0" w:color="auto"/>
                <w:right w:val="none" w:sz="0" w:space="0" w:color="auto"/>
              </w:divBdr>
            </w:div>
          </w:divsChild>
        </w:div>
        <w:div w:id="462575298">
          <w:marLeft w:val="0"/>
          <w:marRight w:val="0"/>
          <w:marTop w:val="34"/>
          <w:marBottom w:val="10"/>
          <w:divBdr>
            <w:top w:val="none" w:sz="0" w:space="0" w:color="auto"/>
            <w:left w:val="none" w:sz="0" w:space="0" w:color="auto"/>
            <w:bottom w:val="none" w:sz="0" w:space="0" w:color="auto"/>
            <w:right w:val="none" w:sz="0" w:space="0" w:color="auto"/>
          </w:divBdr>
        </w:div>
        <w:div w:id="464280756">
          <w:marLeft w:val="0"/>
          <w:marRight w:val="0"/>
          <w:marTop w:val="34"/>
          <w:marBottom w:val="10"/>
          <w:divBdr>
            <w:top w:val="none" w:sz="0" w:space="0" w:color="auto"/>
            <w:left w:val="none" w:sz="0" w:space="0" w:color="auto"/>
            <w:bottom w:val="none" w:sz="0" w:space="0" w:color="auto"/>
            <w:right w:val="none" w:sz="0" w:space="0" w:color="auto"/>
          </w:divBdr>
        </w:div>
        <w:div w:id="465241700">
          <w:marLeft w:val="0"/>
          <w:marRight w:val="0"/>
          <w:marTop w:val="34"/>
          <w:marBottom w:val="10"/>
          <w:divBdr>
            <w:top w:val="none" w:sz="0" w:space="0" w:color="auto"/>
            <w:left w:val="none" w:sz="0" w:space="0" w:color="auto"/>
            <w:bottom w:val="none" w:sz="0" w:space="0" w:color="auto"/>
            <w:right w:val="none" w:sz="0" w:space="0" w:color="auto"/>
          </w:divBdr>
          <w:divsChild>
            <w:div w:id="184711040">
              <w:marLeft w:val="0"/>
              <w:marRight w:val="0"/>
              <w:marTop w:val="0"/>
              <w:marBottom w:val="0"/>
              <w:divBdr>
                <w:top w:val="none" w:sz="0" w:space="0" w:color="auto"/>
                <w:left w:val="none" w:sz="0" w:space="0" w:color="auto"/>
                <w:bottom w:val="none" w:sz="0" w:space="0" w:color="auto"/>
                <w:right w:val="none" w:sz="0" w:space="0" w:color="auto"/>
              </w:divBdr>
            </w:div>
          </w:divsChild>
        </w:div>
        <w:div w:id="465781512">
          <w:marLeft w:val="0"/>
          <w:marRight w:val="0"/>
          <w:marTop w:val="34"/>
          <w:marBottom w:val="10"/>
          <w:divBdr>
            <w:top w:val="none" w:sz="0" w:space="0" w:color="auto"/>
            <w:left w:val="none" w:sz="0" w:space="0" w:color="auto"/>
            <w:bottom w:val="none" w:sz="0" w:space="0" w:color="auto"/>
            <w:right w:val="none" w:sz="0" w:space="0" w:color="auto"/>
          </w:divBdr>
          <w:divsChild>
            <w:div w:id="1857108139">
              <w:marLeft w:val="0"/>
              <w:marRight w:val="0"/>
              <w:marTop w:val="0"/>
              <w:marBottom w:val="0"/>
              <w:divBdr>
                <w:top w:val="none" w:sz="0" w:space="0" w:color="auto"/>
                <w:left w:val="none" w:sz="0" w:space="0" w:color="auto"/>
                <w:bottom w:val="none" w:sz="0" w:space="0" w:color="auto"/>
                <w:right w:val="none" w:sz="0" w:space="0" w:color="auto"/>
              </w:divBdr>
            </w:div>
          </w:divsChild>
        </w:div>
        <w:div w:id="474107933">
          <w:marLeft w:val="0"/>
          <w:marRight w:val="0"/>
          <w:marTop w:val="34"/>
          <w:marBottom w:val="10"/>
          <w:divBdr>
            <w:top w:val="none" w:sz="0" w:space="0" w:color="auto"/>
            <w:left w:val="none" w:sz="0" w:space="0" w:color="auto"/>
            <w:bottom w:val="none" w:sz="0" w:space="0" w:color="auto"/>
            <w:right w:val="none" w:sz="0" w:space="0" w:color="auto"/>
          </w:divBdr>
          <w:divsChild>
            <w:div w:id="991257414">
              <w:marLeft w:val="0"/>
              <w:marRight w:val="0"/>
              <w:marTop w:val="0"/>
              <w:marBottom w:val="0"/>
              <w:divBdr>
                <w:top w:val="none" w:sz="0" w:space="0" w:color="auto"/>
                <w:left w:val="none" w:sz="0" w:space="0" w:color="auto"/>
                <w:bottom w:val="none" w:sz="0" w:space="0" w:color="auto"/>
                <w:right w:val="none" w:sz="0" w:space="0" w:color="auto"/>
              </w:divBdr>
            </w:div>
          </w:divsChild>
        </w:div>
        <w:div w:id="501042084">
          <w:marLeft w:val="0"/>
          <w:marRight w:val="0"/>
          <w:marTop w:val="34"/>
          <w:marBottom w:val="10"/>
          <w:divBdr>
            <w:top w:val="none" w:sz="0" w:space="0" w:color="auto"/>
            <w:left w:val="none" w:sz="0" w:space="0" w:color="auto"/>
            <w:bottom w:val="none" w:sz="0" w:space="0" w:color="auto"/>
            <w:right w:val="none" w:sz="0" w:space="0" w:color="auto"/>
          </w:divBdr>
        </w:div>
        <w:div w:id="502011358">
          <w:marLeft w:val="0"/>
          <w:marRight w:val="0"/>
          <w:marTop w:val="34"/>
          <w:marBottom w:val="10"/>
          <w:divBdr>
            <w:top w:val="none" w:sz="0" w:space="0" w:color="auto"/>
            <w:left w:val="none" w:sz="0" w:space="0" w:color="auto"/>
            <w:bottom w:val="none" w:sz="0" w:space="0" w:color="auto"/>
            <w:right w:val="none" w:sz="0" w:space="0" w:color="auto"/>
          </w:divBdr>
          <w:divsChild>
            <w:div w:id="2097288187">
              <w:marLeft w:val="0"/>
              <w:marRight w:val="0"/>
              <w:marTop w:val="0"/>
              <w:marBottom w:val="0"/>
              <w:divBdr>
                <w:top w:val="none" w:sz="0" w:space="0" w:color="auto"/>
                <w:left w:val="none" w:sz="0" w:space="0" w:color="auto"/>
                <w:bottom w:val="none" w:sz="0" w:space="0" w:color="auto"/>
                <w:right w:val="none" w:sz="0" w:space="0" w:color="auto"/>
              </w:divBdr>
            </w:div>
          </w:divsChild>
        </w:div>
        <w:div w:id="510529097">
          <w:marLeft w:val="0"/>
          <w:marRight w:val="0"/>
          <w:marTop w:val="34"/>
          <w:marBottom w:val="10"/>
          <w:divBdr>
            <w:top w:val="none" w:sz="0" w:space="0" w:color="auto"/>
            <w:left w:val="none" w:sz="0" w:space="0" w:color="auto"/>
            <w:bottom w:val="none" w:sz="0" w:space="0" w:color="auto"/>
            <w:right w:val="none" w:sz="0" w:space="0" w:color="auto"/>
          </w:divBdr>
        </w:div>
        <w:div w:id="511576813">
          <w:marLeft w:val="0"/>
          <w:marRight w:val="0"/>
          <w:marTop w:val="34"/>
          <w:marBottom w:val="10"/>
          <w:divBdr>
            <w:top w:val="none" w:sz="0" w:space="0" w:color="auto"/>
            <w:left w:val="none" w:sz="0" w:space="0" w:color="auto"/>
            <w:bottom w:val="none" w:sz="0" w:space="0" w:color="auto"/>
            <w:right w:val="none" w:sz="0" w:space="0" w:color="auto"/>
          </w:divBdr>
          <w:divsChild>
            <w:div w:id="1221213359">
              <w:marLeft w:val="0"/>
              <w:marRight w:val="0"/>
              <w:marTop w:val="0"/>
              <w:marBottom w:val="0"/>
              <w:divBdr>
                <w:top w:val="none" w:sz="0" w:space="0" w:color="auto"/>
                <w:left w:val="none" w:sz="0" w:space="0" w:color="auto"/>
                <w:bottom w:val="none" w:sz="0" w:space="0" w:color="auto"/>
                <w:right w:val="none" w:sz="0" w:space="0" w:color="auto"/>
              </w:divBdr>
            </w:div>
          </w:divsChild>
        </w:div>
        <w:div w:id="514686336">
          <w:marLeft w:val="0"/>
          <w:marRight w:val="0"/>
          <w:marTop w:val="34"/>
          <w:marBottom w:val="10"/>
          <w:divBdr>
            <w:top w:val="none" w:sz="0" w:space="0" w:color="auto"/>
            <w:left w:val="none" w:sz="0" w:space="0" w:color="auto"/>
            <w:bottom w:val="none" w:sz="0" w:space="0" w:color="auto"/>
            <w:right w:val="none" w:sz="0" w:space="0" w:color="auto"/>
          </w:divBdr>
        </w:div>
        <w:div w:id="515924378">
          <w:marLeft w:val="0"/>
          <w:marRight w:val="0"/>
          <w:marTop w:val="34"/>
          <w:marBottom w:val="10"/>
          <w:divBdr>
            <w:top w:val="none" w:sz="0" w:space="0" w:color="auto"/>
            <w:left w:val="none" w:sz="0" w:space="0" w:color="auto"/>
            <w:bottom w:val="none" w:sz="0" w:space="0" w:color="auto"/>
            <w:right w:val="none" w:sz="0" w:space="0" w:color="auto"/>
          </w:divBdr>
          <w:divsChild>
            <w:div w:id="1845434404">
              <w:marLeft w:val="0"/>
              <w:marRight w:val="0"/>
              <w:marTop w:val="0"/>
              <w:marBottom w:val="0"/>
              <w:divBdr>
                <w:top w:val="none" w:sz="0" w:space="0" w:color="auto"/>
                <w:left w:val="none" w:sz="0" w:space="0" w:color="auto"/>
                <w:bottom w:val="none" w:sz="0" w:space="0" w:color="auto"/>
                <w:right w:val="none" w:sz="0" w:space="0" w:color="auto"/>
              </w:divBdr>
            </w:div>
          </w:divsChild>
        </w:div>
        <w:div w:id="520433056">
          <w:marLeft w:val="0"/>
          <w:marRight w:val="0"/>
          <w:marTop w:val="34"/>
          <w:marBottom w:val="10"/>
          <w:divBdr>
            <w:top w:val="none" w:sz="0" w:space="0" w:color="auto"/>
            <w:left w:val="none" w:sz="0" w:space="0" w:color="auto"/>
            <w:bottom w:val="none" w:sz="0" w:space="0" w:color="auto"/>
            <w:right w:val="none" w:sz="0" w:space="0" w:color="auto"/>
          </w:divBdr>
          <w:divsChild>
            <w:div w:id="1286110224">
              <w:marLeft w:val="0"/>
              <w:marRight w:val="0"/>
              <w:marTop w:val="0"/>
              <w:marBottom w:val="0"/>
              <w:divBdr>
                <w:top w:val="none" w:sz="0" w:space="0" w:color="auto"/>
                <w:left w:val="none" w:sz="0" w:space="0" w:color="auto"/>
                <w:bottom w:val="none" w:sz="0" w:space="0" w:color="auto"/>
                <w:right w:val="none" w:sz="0" w:space="0" w:color="auto"/>
              </w:divBdr>
            </w:div>
          </w:divsChild>
        </w:div>
        <w:div w:id="520819637">
          <w:marLeft w:val="0"/>
          <w:marRight w:val="0"/>
          <w:marTop w:val="34"/>
          <w:marBottom w:val="10"/>
          <w:divBdr>
            <w:top w:val="none" w:sz="0" w:space="0" w:color="auto"/>
            <w:left w:val="none" w:sz="0" w:space="0" w:color="auto"/>
            <w:bottom w:val="none" w:sz="0" w:space="0" w:color="auto"/>
            <w:right w:val="none" w:sz="0" w:space="0" w:color="auto"/>
          </w:divBdr>
          <w:divsChild>
            <w:div w:id="1891644397">
              <w:marLeft w:val="0"/>
              <w:marRight w:val="0"/>
              <w:marTop w:val="0"/>
              <w:marBottom w:val="0"/>
              <w:divBdr>
                <w:top w:val="none" w:sz="0" w:space="0" w:color="auto"/>
                <w:left w:val="none" w:sz="0" w:space="0" w:color="auto"/>
                <w:bottom w:val="none" w:sz="0" w:space="0" w:color="auto"/>
                <w:right w:val="none" w:sz="0" w:space="0" w:color="auto"/>
              </w:divBdr>
            </w:div>
          </w:divsChild>
        </w:div>
        <w:div w:id="527331983">
          <w:marLeft w:val="0"/>
          <w:marRight w:val="0"/>
          <w:marTop w:val="34"/>
          <w:marBottom w:val="10"/>
          <w:divBdr>
            <w:top w:val="none" w:sz="0" w:space="0" w:color="auto"/>
            <w:left w:val="none" w:sz="0" w:space="0" w:color="auto"/>
            <w:bottom w:val="none" w:sz="0" w:space="0" w:color="auto"/>
            <w:right w:val="none" w:sz="0" w:space="0" w:color="auto"/>
          </w:divBdr>
          <w:divsChild>
            <w:div w:id="1189415674">
              <w:marLeft w:val="0"/>
              <w:marRight w:val="0"/>
              <w:marTop w:val="0"/>
              <w:marBottom w:val="0"/>
              <w:divBdr>
                <w:top w:val="none" w:sz="0" w:space="0" w:color="auto"/>
                <w:left w:val="none" w:sz="0" w:space="0" w:color="auto"/>
                <w:bottom w:val="none" w:sz="0" w:space="0" w:color="auto"/>
                <w:right w:val="none" w:sz="0" w:space="0" w:color="auto"/>
              </w:divBdr>
            </w:div>
          </w:divsChild>
        </w:div>
        <w:div w:id="534659755">
          <w:marLeft w:val="0"/>
          <w:marRight w:val="0"/>
          <w:marTop w:val="34"/>
          <w:marBottom w:val="10"/>
          <w:divBdr>
            <w:top w:val="none" w:sz="0" w:space="0" w:color="auto"/>
            <w:left w:val="none" w:sz="0" w:space="0" w:color="auto"/>
            <w:bottom w:val="none" w:sz="0" w:space="0" w:color="auto"/>
            <w:right w:val="none" w:sz="0" w:space="0" w:color="auto"/>
          </w:divBdr>
          <w:divsChild>
            <w:div w:id="2011979713">
              <w:marLeft w:val="0"/>
              <w:marRight w:val="0"/>
              <w:marTop w:val="0"/>
              <w:marBottom w:val="0"/>
              <w:divBdr>
                <w:top w:val="none" w:sz="0" w:space="0" w:color="auto"/>
                <w:left w:val="none" w:sz="0" w:space="0" w:color="auto"/>
                <w:bottom w:val="none" w:sz="0" w:space="0" w:color="auto"/>
                <w:right w:val="none" w:sz="0" w:space="0" w:color="auto"/>
              </w:divBdr>
            </w:div>
          </w:divsChild>
        </w:div>
        <w:div w:id="540560637">
          <w:marLeft w:val="0"/>
          <w:marRight w:val="0"/>
          <w:marTop w:val="34"/>
          <w:marBottom w:val="10"/>
          <w:divBdr>
            <w:top w:val="none" w:sz="0" w:space="0" w:color="auto"/>
            <w:left w:val="none" w:sz="0" w:space="0" w:color="auto"/>
            <w:bottom w:val="none" w:sz="0" w:space="0" w:color="auto"/>
            <w:right w:val="none" w:sz="0" w:space="0" w:color="auto"/>
          </w:divBdr>
          <w:divsChild>
            <w:div w:id="249510106">
              <w:marLeft w:val="0"/>
              <w:marRight w:val="0"/>
              <w:marTop w:val="0"/>
              <w:marBottom w:val="0"/>
              <w:divBdr>
                <w:top w:val="none" w:sz="0" w:space="0" w:color="auto"/>
                <w:left w:val="none" w:sz="0" w:space="0" w:color="auto"/>
                <w:bottom w:val="none" w:sz="0" w:space="0" w:color="auto"/>
                <w:right w:val="none" w:sz="0" w:space="0" w:color="auto"/>
              </w:divBdr>
            </w:div>
          </w:divsChild>
        </w:div>
        <w:div w:id="544567088">
          <w:marLeft w:val="0"/>
          <w:marRight w:val="0"/>
          <w:marTop w:val="34"/>
          <w:marBottom w:val="10"/>
          <w:divBdr>
            <w:top w:val="none" w:sz="0" w:space="0" w:color="auto"/>
            <w:left w:val="none" w:sz="0" w:space="0" w:color="auto"/>
            <w:bottom w:val="none" w:sz="0" w:space="0" w:color="auto"/>
            <w:right w:val="none" w:sz="0" w:space="0" w:color="auto"/>
          </w:divBdr>
          <w:divsChild>
            <w:div w:id="1842498956">
              <w:marLeft w:val="0"/>
              <w:marRight w:val="0"/>
              <w:marTop w:val="0"/>
              <w:marBottom w:val="0"/>
              <w:divBdr>
                <w:top w:val="none" w:sz="0" w:space="0" w:color="auto"/>
                <w:left w:val="none" w:sz="0" w:space="0" w:color="auto"/>
                <w:bottom w:val="none" w:sz="0" w:space="0" w:color="auto"/>
                <w:right w:val="none" w:sz="0" w:space="0" w:color="auto"/>
              </w:divBdr>
            </w:div>
          </w:divsChild>
        </w:div>
        <w:div w:id="546529540">
          <w:marLeft w:val="0"/>
          <w:marRight w:val="0"/>
          <w:marTop w:val="34"/>
          <w:marBottom w:val="10"/>
          <w:divBdr>
            <w:top w:val="none" w:sz="0" w:space="0" w:color="auto"/>
            <w:left w:val="none" w:sz="0" w:space="0" w:color="auto"/>
            <w:bottom w:val="none" w:sz="0" w:space="0" w:color="auto"/>
            <w:right w:val="none" w:sz="0" w:space="0" w:color="auto"/>
          </w:divBdr>
          <w:divsChild>
            <w:div w:id="125898654">
              <w:marLeft w:val="0"/>
              <w:marRight w:val="0"/>
              <w:marTop w:val="0"/>
              <w:marBottom w:val="0"/>
              <w:divBdr>
                <w:top w:val="none" w:sz="0" w:space="0" w:color="auto"/>
                <w:left w:val="none" w:sz="0" w:space="0" w:color="auto"/>
                <w:bottom w:val="none" w:sz="0" w:space="0" w:color="auto"/>
                <w:right w:val="none" w:sz="0" w:space="0" w:color="auto"/>
              </w:divBdr>
            </w:div>
          </w:divsChild>
        </w:div>
        <w:div w:id="547954998">
          <w:marLeft w:val="0"/>
          <w:marRight w:val="0"/>
          <w:marTop w:val="34"/>
          <w:marBottom w:val="10"/>
          <w:divBdr>
            <w:top w:val="none" w:sz="0" w:space="0" w:color="auto"/>
            <w:left w:val="none" w:sz="0" w:space="0" w:color="auto"/>
            <w:bottom w:val="none" w:sz="0" w:space="0" w:color="auto"/>
            <w:right w:val="none" w:sz="0" w:space="0" w:color="auto"/>
          </w:divBdr>
          <w:divsChild>
            <w:div w:id="1342050109">
              <w:marLeft w:val="0"/>
              <w:marRight w:val="0"/>
              <w:marTop w:val="0"/>
              <w:marBottom w:val="0"/>
              <w:divBdr>
                <w:top w:val="none" w:sz="0" w:space="0" w:color="auto"/>
                <w:left w:val="none" w:sz="0" w:space="0" w:color="auto"/>
                <w:bottom w:val="none" w:sz="0" w:space="0" w:color="auto"/>
                <w:right w:val="none" w:sz="0" w:space="0" w:color="auto"/>
              </w:divBdr>
            </w:div>
          </w:divsChild>
        </w:div>
        <w:div w:id="552078984">
          <w:marLeft w:val="0"/>
          <w:marRight w:val="0"/>
          <w:marTop w:val="34"/>
          <w:marBottom w:val="10"/>
          <w:divBdr>
            <w:top w:val="none" w:sz="0" w:space="0" w:color="auto"/>
            <w:left w:val="none" w:sz="0" w:space="0" w:color="auto"/>
            <w:bottom w:val="none" w:sz="0" w:space="0" w:color="auto"/>
            <w:right w:val="none" w:sz="0" w:space="0" w:color="auto"/>
          </w:divBdr>
          <w:divsChild>
            <w:div w:id="1423526624">
              <w:marLeft w:val="0"/>
              <w:marRight w:val="0"/>
              <w:marTop w:val="0"/>
              <w:marBottom w:val="0"/>
              <w:divBdr>
                <w:top w:val="none" w:sz="0" w:space="0" w:color="auto"/>
                <w:left w:val="none" w:sz="0" w:space="0" w:color="auto"/>
                <w:bottom w:val="none" w:sz="0" w:space="0" w:color="auto"/>
                <w:right w:val="none" w:sz="0" w:space="0" w:color="auto"/>
              </w:divBdr>
            </w:div>
          </w:divsChild>
        </w:div>
        <w:div w:id="558133918">
          <w:marLeft w:val="0"/>
          <w:marRight w:val="0"/>
          <w:marTop w:val="34"/>
          <w:marBottom w:val="10"/>
          <w:divBdr>
            <w:top w:val="none" w:sz="0" w:space="0" w:color="auto"/>
            <w:left w:val="none" w:sz="0" w:space="0" w:color="auto"/>
            <w:bottom w:val="none" w:sz="0" w:space="0" w:color="auto"/>
            <w:right w:val="none" w:sz="0" w:space="0" w:color="auto"/>
          </w:divBdr>
          <w:divsChild>
            <w:div w:id="705377114">
              <w:marLeft w:val="0"/>
              <w:marRight w:val="0"/>
              <w:marTop w:val="0"/>
              <w:marBottom w:val="0"/>
              <w:divBdr>
                <w:top w:val="none" w:sz="0" w:space="0" w:color="auto"/>
                <w:left w:val="none" w:sz="0" w:space="0" w:color="auto"/>
                <w:bottom w:val="none" w:sz="0" w:space="0" w:color="auto"/>
                <w:right w:val="none" w:sz="0" w:space="0" w:color="auto"/>
              </w:divBdr>
            </w:div>
          </w:divsChild>
        </w:div>
        <w:div w:id="565382006">
          <w:marLeft w:val="0"/>
          <w:marRight w:val="0"/>
          <w:marTop w:val="34"/>
          <w:marBottom w:val="10"/>
          <w:divBdr>
            <w:top w:val="none" w:sz="0" w:space="0" w:color="auto"/>
            <w:left w:val="none" w:sz="0" w:space="0" w:color="auto"/>
            <w:bottom w:val="none" w:sz="0" w:space="0" w:color="auto"/>
            <w:right w:val="none" w:sz="0" w:space="0" w:color="auto"/>
          </w:divBdr>
          <w:divsChild>
            <w:div w:id="484132483">
              <w:marLeft w:val="0"/>
              <w:marRight w:val="0"/>
              <w:marTop w:val="0"/>
              <w:marBottom w:val="0"/>
              <w:divBdr>
                <w:top w:val="none" w:sz="0" w:space="0" w:color="auto"/>
                <w:left w:val="none" w:sz="0" w:space="0" w:color="auto"/>
                <w:bottom w:val="none" w:sz="0" w:space="0" w:color="auto"/>
                <w:right w:val="none" w:sz="0" w:space="0" w:color="auto"/>
              </w:divBdr>
            </w:div>
          </w:divsChild>
        </w:div>
        <w:div w:id="565651416">
          <w:marLeft w:val="0"/>
          <w:marRight w:val="0"/>
          <w:marTop w:val="34"/>
          <w:marBottom w:val="10"/>
          <w:divBdr>
            <w:top w:val="none" w:sz="0" w:space="0" w:color="auto"/>
            <w:left w:val="none" w:sz="0" w:space="0" w:color="auto"/>
            <w:bottom w:val="none" w:sz="0" w:space="0" w:color="auto"/>
            <w:right w:val="none" w:sz="0" w:space="0" w:color="auto"/>
          </w:divBdr>
          <w:divsChild>
            <w:div w:id="2019311611">
              <w:marLeft w:val="0"/>
              <w:marRight w:val="0"/>
              <w:marTop w:val="0"/>
              <w:marBottom w:val="0"/>
              <w:divBdr>
                <w:top w:val="none" w:sz="0" w:space="0" w:color="auto"/>
                <w:left w:val="none" w:sz="0" w:space="0" w:color="auto"/>
                <w:bottom w:val="none" w:sz="0" w:space="0" w:color="auto"/>
                <w:right w:val="none" w:sz="0" w:space="0" w:color="auto"/>
              </w:divBdr>
            </w:div>
          </w:divsChild>
        </w:div>
        <w:div w:id="565996740">
          <w:marLeft w:val="0"/>
          <w:marRight w:val="0"/>
          <w:marTop w:val="34"/>
          <w:marBottom w:val="10"/>
          <w:divBdr>
            <w:top w:val="none" w:sz="0" w:space="0" w:color="auto"/>
            <w:left w:val="none" w:sz="0" w:space="0" w:color="auto"/>
            <w:bottom w:val="none" w:sz="0" w:space="0" w:color="auto"/>
            <w:right w:val="none" w:sz="0" w:space="0" w:color="auto"/>
          </w:divBdr>
          <w:divsChild>
            <w:div w:id="1657612158">
              <w:marLeft w:val="0"/>
              <w:marRight w:val="0"/>
              <w:marTop w:val="0"/>
              <w:marBottom w:val="0"/>
              <w:divBdr>
                <w:top w:val="none" w:sz="0" w:space="0" w:color="auto"/>
                <w:left w:val="none" w:sz="0" w:space="0" w:color="auto"/>
                <w:bottom w:val="none" w:sz="0" w:space="0" w:color="auto"/>
                <w:right w:val="none" w:sz="0" w:space="0" w:color="auto"/>
              </w:divBdr>
            </w:div>
          </w:divsChild>
        </w:div>
        <w:div w:id="567807964">
          <w:marLeft w:val="0"/>
          <w:marRight w:val="0"/>
          <w:marTop w:val="34"/>
          <w:marBottom w:val="10"/>
          <w:divBdr>
            <w:top w:val="none" w:sz="0" w:space="0" w:color="auto"/>
            <w:left w:val="none" w:sz="0" w:space="0" w:color="auto"/>
            <w:bottom w:val="none" w:sz="0" w:space="0" w:color="auto"/>
            <w:right w:val="none" w:sz="0" w:space="0" w:color="auto"/>
          </w:divBdr>
          <w:divsChild>
            <w:div w:id="1907453187">
              <w:marLeft w:val="0"/>
              <w:marRight w:val="0"/>
              <w:marTop w:val="0"/>
              <w:marBottom w:val="0"/>
              <w:divBdr>
                <w:top w:val="none" w:sz="0" w:space="0" w:color="auto"/>
                <w:left w:val="none" w:sz="0" w:space="0" w:color="auto"/>
                <w:bottom w:val="none" w:sz="0" w:space="0" w:color="auto"/>
                <w:right w:val="none" w:sz="0" w:space="0" w:color="auto"/>
              </w:divBdr>
            </w:div>
          </w:divsChild>
        </w:div>
        <w:div w:id="573050399">
          <w:marLeft w:val="0"/>
          <w:marRight w:val="0"/>
          <w:marTop w:val="34"/>
          <w:marBottom w:val="10"/>
          <w:divBdr>
            <w:top w:val="none" w:sz="0" w:space="0" w:color="auto"/>
            <w:left w:val="none" w:sz="0" w:space="0" w:color="auto"/>
            <w:bottom w:val="none" w:sz="0" w:space="0" w:color="auto"/>
            <w:right w:val="none" w:sz="0" w:space="0" w:color="auto"/>
          </w:divBdr>
        </w:div>
        <w:div w:id="582107167">
          <w:marLeft w:val="0"/>
          <w:marRight w:val="0"/>
          <w:marTop w:val="34"/>
          <w:marBottom w:val="10"/>
          <w:divBdr>
            <w:top w:val="none" w:sz="0" w:space="0" w:color="auto"/>
            <w:left w:val="none" w:sz="0" w:space="0" w:color="auto"/>
            <w:bottom w:val="none" w:sz="0" w:space="0" w:color="auto"/>
            <w:right w:val="none" w:sz="0" w:space="0" w:color="auto"/>
          </w:divBdr>
          <w:divsChild>
            <w:div w:id="1707219577">
              <w:marLeft w:val="0"/>
              <w:marRight w:val="0"/>
              <w:marTop w:val="0"/>
              <w:marBottom w:val="0"/>
              <w:divBdr>
                <w:top w:val="none" w:sz="0" w:space="0" w:color="auto"/>
                <w:left w:val="none" w:sz="0" w:space="0" w:color="auto"/>
                <w:bottom w:val="none" w:sz="0" w:space="0" w:color="auto"/>
                <w:right w:val="none" w:sz="0" w:space="0" w:color="auto"/>
              </w:divBdr>
            </w:div>
          </w:divsChild>
        </w:div>
        <w:div w:id="584340827">
          <w:marLeft w:val="0"/>
          <w:marRight w:val="0"/>
          <w:marTop w:val="34"/>
          <w:marBottom w:val="10"/>
          <w:divBdr>
            <w:top w:val="none" w:sz="0" w:space="0" w:color="auto"/>
            <w:left w:val="none" w:sz="0" w:space="0" w:color="auto"/>
            <w:bottom w:val="none" w:sz="0" w:space="0" w:color="auto"/>
            <w:right w:val="none" w:sz="0" w:space="0" w:color="auto"/>
          </w:divBdr>
          <w:divsChild>
            <w:div w:id="854996333">
              <w:marLeft w:val="0"/>
              <w:marRight w:val="0"/>
              <w:marTop w:val="0"/>
              <w:marBottom w:val="0"/>
              <w:divBdr>
                <w:top w:val="none" w:sz="0" w:space="0" w:color="auto"/>
                <w:left w:val="none" w:sz="0" w:space="0" w:color="auto"/>
                <w:bottom w:val="none" w:sz="0" w:space="0" w:color="auto"/>
                <w:right w:val="none" w:sz="0" w:space="0" w:color="auto"/>
              </w:divBdr>
            </w:div>
          </w:divsChild>
        </w:div>
        <w:div w:id="586381071">
          <w:marLeft w:val="0"/>
          <w:marRight w:val="0"/>
          <w:marTop w:val="34"/>
          <w:marBottom w:val="10"/>
          <w:divBdr>
            <w:top w:val="none" w:sz="0" w:space="0" w:color="auto"/>
            <w:left w:val="none" w:sz="0" w:space="0" w:color="auto"/>
            <w:bottom w:val="none" w:sz="0" w:space="0" w:color="auto"/>
            <w:right w:val="none" w:sz="0" w:space="0" w:color="auto"/>
          </w:divBdr>
          <w:divsChild>
            <w:div w:id="2041201503">
              <w:marLeft w:val="0"/>
              <w:marRight w:val="0"/>
              <w:marTop w:val="0"/>
              <w:marBottom w:val="0"/>
              <w:divBdr>
                <w:top w:val="none" w:sz="0" w:space="0" w:color="auto"/>
                <w:left w:val="none" w:sz="0" w:space="0" w:color="auto"/>
                <w:bottom w:val="none" w:sz="0" w:space="0" w:color="auto"/>
                <w:right w:val="none" w:sz="0" w:space="0" w:color="auto"/>
              </w:divBdr>
            </w:div>
          </w:divsChild>
        </w:div>
        <w:div w:id="595939114">
          <w:marLeft w:val="0"/>
          <w:marRight w:val="0"/>
          <w:marTop w:val="34"/>
          <w:marBottom w:val="10"/>
          <w:divBdr>
            <w:top w:val="none" w:sz="0" w:space="0" w:color="auto"/>
            <w:left w:val="none" w:sz="0" w:space="0" w:color="auto"/>
            <w:bottom w:val="none" w:sz="0" w:space="0" w:color="auto"/>
            <w:right w:val="none" w:sz="0" w:space="0" w:color="auto"/>
          </w:divBdr>
          <w:divsChild>
            <w:div w:id="1353647525">
              <w:marLeft w:val="0"/>
              <w:marRight w:val="0"/>
              <w:marTop w:val="0"/>
              <w:marBottom w:val="0"/>
              <w:divBdr>
                <w:top w:val="none" w:sz="0" w:space="0" w:color="auto"/>
                <w:left w:val="none" w:sz="0" w:space="0" w:color="auto"/>
                <w:bottom w:val="none" w:sz="0" w:space="0" w:color="auto"/>
                <w:right w:val="none" w:sz="0" w:space="0" w:color="auto"/>
              </w:divBdr>
            </w:div>
          </w:divsChild>
        </w:div>
        <w:div w:id="606813429">
          <w:marLeft w:val="0"/>
          <w:marRight w:val="0"/>
          <w:marTop w:val="34"/>
          <w:marBottom w:val="10"/>
          <w:divBdr>
            <w:top w:val="none" w:sz="0" w:space="0" w:color="auto"/>
            <w:left w:val="none" w:sz="0" w:space="0" w:color="auto"/>
            <w:bottom w:val="none" w:sz="0" w:space="0" w:color="auto"/>
            <w:right w:val="none" w:sz="0" w:space="0" w:color="auto"/>
          </w:divBdr>
          <w:divsChild>
            <w:div w:id="337272613">
              <w:marLeft w:val="0"/>
              <w:marRight w:val="0"/>
              <w:marTop w:val="0"/>
              <w:marBottom w:val="0"/>
              <w:divBdr>
                <w:top w:val="none" w:sz="0" w:space="0" w:color="auto"/>
                <w:left w:val="none" w:sz="0" w:space="0" w:color="auto"/>
                <w:bottom w:val="none" w:sz="0" w:space="0" w:color="auto"/>
                <w:right w:val="none" w:sz="0" w:space="0" w:color="auto"/>
              </w:divBdr>
            </w:div>
          </w:divsChild>
        </w:div>
        <w:div w:id="610626548">
          <w:marLeft w:val="0"/>
          <w:marRight w:val="0"/>
          <w:marTop w:val="34"/>
          <w:marBottom w:val="10"/>
          <w:divBdr>
            <w:top w:val="none" w:sz="0" w:space="0" w:color="auto"/>
            <w:left w:val="none" w:sz="0" w:space="0" w:color="auto"/>
            <w:bottom w:val="none" w:sz="0" w:space="0" w:color="auto"/>
            <w:right w:val="none" w:sz="0" w:space="0" w:color="auto"/>
          </w:divBdr>
          <w:divsChild>
            <w:div w:id="1414547125">
              <w:marLeft w:val="0"/>
              <w:marRight w:val="0"/>
              <w:marTop w:val="0"/>
              <w:marBottom w:val="0"/>
              <w:divBdr>
                <w:top w:val="none" w:sz="0" w:space="0" w:color="auto"/>
                <w:left w:val="none" w:sz="0" w:space="0" w:color="auto"/>
                <w:bottom w:val="none" w:sz="0" w:space="0" w:color="auto"/>
                <w:right w:val="none" w:sz="0" w:space="0" w:color="auto"/>
              </w:divBdr>
            </w:div>
          </w:divsChild>
        </w:div>
        <w:div w:id="618027358">
          <w:marLeft w:val="0"/>
          <w:marRight w:val="0"/>
          <w:marTop w:val="34"/>
          <w:marBottom w:val="10"/>
          <w:divBdr>
            <w:top w:val="none" w:sz="0" w:space="0" w:color="auto"/>
            <w:left w:val="none" w:sz="0" w:space="0" w:color="auto"/>
            <w:bottom w:val="none" w:sz="0" w:space="0" w:color="auto"/>
            <w:right w:val="none" w:sz="0" w:space="0" w:color="auto"/>
          </w:divBdr>
          <w:divsChild>
            <w:div w:id="1279753432">
              <w:marLeft w:val="0"/>
              <w:marRight w:val="0"/>
              <w:marTop w:val="0"/>
              <w:marBottom w:val="0"/>
              <w:divBdr>
                <w:top w:val="none" w:sz="0" w:space="0" w:color="auto"/>
                <w:left w:val="none" w:sz="0" w:space="0" w:color="auto"/>
                <w:bottom w:val="none" w:sz="0" w:space="0" w:color="auto"/>
                <w:right w:val="none" w:sz="0" w:space="0" w:color="auto"/>
              </w:divBdr>
            </w:div>
          </w:divsChild>
        </w:div>
        <w:div w:id="634720826">
          <w:marLeft w:val="0"/>
          <w:marRight w:val="0"/>
          <w:marTop w:val="34"/>
          <w:marBottom w:val="10"/>
          <w:divBdr>
            <w:top w:val="none" w:sz="0" w:space="0" w:color="auto"/>
            <w:left w:val="none" w:sz="0" w:space="0" w:color="auto"/>
            <w:bottom w:val="none" w:sz="0" w:space="0" w:color="auto"/>
            <w:right w:val="none" w:sz="0" w:space="0" w:color="auto"/>
          </w:divBdr>
          <w:divsChild>
            <w:div w:id="921988458">
              <w:marLeft w:val="0"/>
              <w:marRight w:val="0"/>
              <w:marTop w:val="0"/>
              <w:marBottom w:val="0"/>
              <w:divBdr>
                <w:top w:val="none" w:sz="0" w:space="0" w:color="auto"/>
                <w:left w:val="none" w:sz="0" w:space="0" w:color="auto"/>
                <w:bottom w:val="none" w:sz="0" w:space="0" w:color="auto"/>
                <w:right w:val="none" w:sz="0" w:space="0" w:color="auto"/>
              </w:divBdr>
            </w:div>
          </w:divsChild>
        </w:div>
        <w:div w:id="636029516">
          <w:marLeft w:val="0"/>
          <w:marRight w:val="0"/>
          <w:marTop w:val="34"/>
          <w:marBottom w:val="10"/>
          <w:divBdr>
            <w:top w:val="none" w:sz="0" w:space="0" w:color="auto"/>
            <w:left w:val="none" w:sz="0" w:space="0" w:color="auto"/>
            <w:bottom w:val="none" w:sz="0" w:space="0" w:color="auto"/>
            <w:right w:val="none" w:sz="0" w:space="0" w:color="auto"/>
          </w:divBdr>
          <w:divsChild>
            <w:div w:id="357706255">
              <w:marLeft w:val="0"/>
              <w:marRight w:val="0"/>
              <w:marTop w:val="0"/>
              <w:marBottom w:val="0"/>
              <w:divBdr>
                <w:top w:val="none" w:sz="0" w:space="0" w:color="auto"/>
                <w:left w:val="none" w:sz="0" w:space="0" w:color="auto"/>
                <w:bottom w:val="none" w:sz="0" w:space="0" w:color="auto"/>
                <w:right w:val="none" w:sz="0" w:space="0" w:color="auto"/>
              </w:divBdr>
            </w:div>
          </w:divsChild>
        </w:div>
        <w:div w:id="639188677">
          <w:marLeft w:val="0"/>
          <w:marRight w:val="0"/>
          <w:marTop w:val="34"/>
          <w:marBottom w:val="10"/>
          <w:divBdr>
            <w:top w:val="none" w:sz="0" w:space="0" w:color="auto"/>
            <w:left w:val="none" w:sz="0" w:space="0" w:color="auto"/>
            <w:bottom w:val="none" w:sz="0" w:space="0" w:color="auto"/>
            <w:right w:val="none" w:sz="0" w:space="0" w:color="auto"/>
          </w:divBdr>
          <w:divsChild>
            <w:div w:id="2044750893">
              <w:marLeft w:val="0"/>
              <w:marRight w:val="0"/>
              <w:marTop w:val="0"/>
              <w:marBottom w:val="0"/>
              <w:divBdr>
                <w:top w:val="none" w:sz="0" w:space="0" w:color="auto"/>
                <w:left w:val="none" w:sz="0" w:space="0" w:color="auto"/>
                <w:bottom w:val="none" w:sz="0" w:space="0" w:color="auto"/>
                <w:right w:val="none" w:sz="0" w:space="0" w:color="auto"/>
              </w:divBdr>
            </w:div>
          </w:divsChild>
        </w:div>
        <w:div w:id="641425136">
          <w:marLeft w:val="0"/>
          <w:marRight w:val="0"/>
          <w:marTop w:val="34"/>
          <w:marBottom w:val="10"/>
          <w:divBdr>
            <w:top w:val="none" w:sz="0" w:space="0" w:color="auto"/>
            <w:left w:val="none" w:sz="0" w:space="0" w:color="auto"/>
            <w:bottom w:val="none" w:sz="0" w:space="0" w:color="auto"/>
            <w:right w:val="none" w:sz="0" w:space="0" w:color="auto"/>
          </w:divBdr>
          <w:divsChild>
            <w:div w:id="632491577">
              <w:marLeft w:val="0"/>
              <w:marRight w:val="0"/>
              <w:marTop w:val="0"/>
              <w:marBottom w:val="0"/>
              <w:divBdr>
                <w:top w:val="none" w:sz="0" w:space="0" w:color="auto"/>
                <w:left w:val="none" w:sz="0" w:space="0" w:color="auto"/>
                <w:bottom w:val="none" w:sz="0" w:space="0" w:color="auto"/>
                <w:right w:val="none" w:sz="0" w:space="0" w:color="auto"/>
              </w:divBdr>
            </w:div>
          </w:divsChild>
        </w:div>
        <w:div w:id="681443521">
          <w:marLeft w:val="0"/>
          <w:marRight w:val="0"/>
          <w:marTop w:val="34"/>
          <w:marBottom w:val="10"/>
          <w:divBdr>
            <w:top w:val="none" w:sz="0" w:space="0" w:color="auto"/>
            <w:left w:val="none" w:sz="0" w:space="0" w:color="auto"/>
            <w:bottom w:val="none" w:sz="0" w:space="0" w:color="auto"/>
            <w:right w:val="none" w:sz="0" w:space="0" w:color="auto"/>
          </w:divBdr>
          <w:divsChild>
            <w:div w:id="758333345">
              <w:marLeft w:val="0"/>
              <w:marRight w:val="0"/>
              <w:marTop w:val="0"/>
              <w:marBottom w:val="0"/>
              <w:divBdr>
                <w:top w:val="none" w:sz="0" w:space="0" w:color="auto"/>
                <w:left w:val="none" w:sz="0" w:space="0" w:color="auto"/>
                <w:bottom w:val="none" w:sz="0" w:space="0" w:color="auto"/>
                <w:right w:val="none" w:sz="0" w:space="0" w:color="auto"/>
              </w:divBdr>
            </w:div>
          </w:divsChild>
        </w:div>
        <w:div w:id="690767604">
          <w:marLeft w:val="0"/>
          <w:marRight w:val="0"/>
          <w:marTop w:val="34"/>
          <w:marBottom w:val="10"/>
          <w:divBdr>
            <w:top w:val="none" w:sz="0" w:space="0" w:color="auto"/>
            <w:left w:val="none" w:sz="0" w:space="0" w:color="auto"/>
            <w:bottom w:val="none" w:sz="0" w:space="0" w:color="auto"/>
            <w:right w:val="none" w:sz="0" w:space="0" w:color="auto"/>
          </w:divBdr>
          <w:divsChild>
            <w:div w:id="1216964156">
              <w:marLeft w:val="0"/>
              <w:marRight w:val="0"/>
              <w:marTop w:val="0"/>
              <w:marBottom w:val="0"/>
              <w:divBdr>
                <w:top w:val="none" w:sz="0" w:space="0" w:color="auto"/>
                <w:left w:val="none" w:sz="0" w:space="0" w:color="auto"/>
                <w:bottom w:val="none" w:sz="0" w:space="0" w:color="auto"/>
                <w:right w:val="none" w:sz="0" w:space="0" w:color="auto"/>
              </w:divBdr>
            </w:div>
          </w:divsChild>
        </w:div>
        <w:div w:id="695430029">
          <w:marLeft w:val="0"/>
          <w:marRight w:val="0"/>
          <w:marTop w:val="34"/>
          <w:marBottom w:val="10"/>
          <w:divBdr>
            <w:top w:val="none" w:sz="0" w:space="0" w:color="auto"/>
            <w:left w:val="none" w:sz="0" w:space="0" w:color="auto"/>
            <w:bottom w:val="none" w:sz="0" w:space="0" w:color="auto"/>
            <w:right w:val="none" w:sz="0" w:space="0" w:color="auto"/>
          </w:divBdr>
        </w:div>
        <w:div w:id="700323514">
          <w:marLeft w:val="0"/>
          <w:marRight w:val="0"/>
          <w:marTop w:val="34"/>
          <w:marBottom w:val="10"/>
          <w:divBdr>
            <w:top w:val="none" w:sz="0" w:space="0" w:color="auto"/>
            <w:left w:val="none" w:sz="0" w:space="0" w:color="auto"/>
            <w:bottom w:val="none" w:sz="0" w:space="0" w:color="auto"/>
            <w:right w:val="none" w:sz="0" w:space="0" w:color="auto"/>
          </w:divBdr>
          <w:divsChild>
            <w:div w:id="245506625">
              <w:marLeft w:val="0"/>
              <w:marRight w:val="0"/>
              <w:marTop w:val="0"/>
              <w:marBottom w:val="0"/>
              <w:divBdr>
                <w:top w:val="none" w:sz="0" w:space="0" w:color="auto"/>
                <w:left w:val="none" w:sz="0" w:space="0" w:color="auto"/>
                <w:bottom w:val="none" w:sz="0" w:space="0" w:color="auto"/>
                <w:right w:val="none" w:sz="0" w:space="0" w:color="auto"/>
              </w:divBdr>
            </w:div>
          </w:divsChild>
        </w:div>
        <w:div w:id="700596540">
          <w:marLeft w:val="0"/>
          <w:marRight w:val="0"/>
          <w:marTop w:val="34"/>
          <w:marBottom w:val="10"/>
          <w:divBdr>
            <w:top w:val="none" w:sz="0" w:space="0" w:color="auto"/>
            <w:left w:val="none" w:sz="0" w:space="0" w:color="auto"/>
            <w:bottom w:val="none" w:sz="0" w:space="0" w:color="auto"/>
            <w:right w:val="none" w:sz="0" w:space="0" w:color="auto"/>
          </w:divBdr>
          <w:divsChild>
            <w:div w:id="88818420">
              <w:marLeft w:val="0"/>
              <w:marRight w:val="0"/>
              <w:marTop w:val="0"/>
              <w:marBottom w:val="0"/>
              <w:divBdr>
                <w:top w:val="none" w:sz="0" w:space="0" w:color="auto"/>
                <w:left w:val="none" w:sz="0" w:space="0" w:color="auto"/>
                <w:bottom w:val="none" w:sz="0" w:space="0" w:color="auto"/>
                <w:right w:val="none" w:sz="0" w:space="0" w:color="auto"/>
              </w:divBdr>
            </w:div>
          </w:divsChild>
        </w:div>
        <w:div w:id="701324919">
          <w:marLeft w:val="0"/>
          <w:marRight w:val="0"/>
          <w:marTop w:val="34"/>
          <w:marBottom w:val="10"/>
          <w:divBdr>
            <w:top w:val="none" w:sz="0" w:space="0" w:color="auto"/>
            <w:left w:val="none" w:sz="0" w:space="0" w:color="auto"/>
            <w:bottom w:val="none" w:sz="0" w:space="0" w:color="auto"/>
            <w:right w:val="none" w:sz="0" w:space="0" w:color="auto"/>
          </w:divBdr>
          <w:divsChild>
            <w:div w:id="1840652812">
              <w:marLeft w:val="0"/>
              <w:marRight w:val="0"/>
              <w:marTop w:val="0"/>
              <w:marBottom w:val="0"/>
              <w:divBdr>
                <w:top w:val="none" w:sz="0" w:space="0" w:color="auto"/>
                <w:left w:val="none" w:sz="0" w:space="0" w:color="auto"/>
                <w:bottom w:val="none" w:sz="0" w:space="0" w:color="auto"/>
                <w:right w:val="none" w:sz="0" w:space="0" w:color="auto"/>
              </w:divBdr>
            </w:div>
          </w:divsChild>
        </w:div>
        <w:div w:id="704914053">
          <w:marLeft w:val="0"/>
          <w:marRight w:val="0"/>
          <w:marTop w:val="34"/>
          <w:marBottom w:val="10"/>
          <w:divBdr>
            <w:top w:val="none" w:sz="0" w:space="0" w:color="auto"/>
            <w:left w:val="none" w:sz="0" w:space="0" w:color="auto"/>
            <w:bottom w:val="none" w:sz="0" w:space="0" w:color="auto"/>
            <w:right w:val="none" w:sz="0" w:space="0" w:color="auto"/>
          </w:divBdr>
          <w:divsChild>
            <w:div w:id="212355568">
              <w:marLeft w:val="0"/>
              <w:marRight w:val="0"/>
              <w:marTop w:val="0"/>
              <w:marBottom w:val="0"/>
              <w:divBdr>
                <w:top w:val="none" w:sz="0" w:space="0" w:color="auto"/>
                <w:left w:val="none" w:sz="0" w:space="0" w:color="auto"/>
                <w:bottom w:val="none" w:sz="0" w:space="0" w:color="auto"/>
                <w:right w:val="none" w:sz="0" w:space="0" w:color="auto"/>
              </w:divBdr>
            </w:div>
          </w:divsChild>
        </w:div>
        <w:div w:id="721442830">
          <w:marLeft w:val="0"/>
          <w:marRight w:val="0"/>
          <w:marTop w:val="34"/>
          <w:marBottom w:val="10"/>
          <w:divBdr>
            <w:top w:val="none" w:sz="0" w:space="0" w:color="auto"/>
            <w:left w:val="none" w:sz="0" w:space="0" w:color="auto"/>
            <w:bottom w:val="none" w:sz="0" w:space="0" w:color="auto"/>
            <w:right w:val="none" w:sz="0" w:space="0" w:color="auto"/>
          </w:divBdr>
          <w:divsChild>
            <w:div w:id="1023020858">
              <w:marLeft w:val="0"/>
              <w:marRight w:val="0"/>
              <w:marTop w:val="0"/>
              <w:marBottom w:val="0"/>
              <w:divBdr>
                <w:top w:val="none" w:sz="0" w:space="0" w:color="auto"/>
                <w:left w:val="none" w:sz="0" w:space="0" w:color="auto"/>
                <w:bottom w:val="none" w:sz="0" w:space="0" w:color="auto"/>
                <w:right w:val="none" w:sz="0" w:space="0" w:color="auto"/>
              </w:divBdr>
            </w:div>
          </w:divsChild>
        </w:div>
        <w:div w:id="728189274">
          <w:marLeft w:val="0"/>
          <w:marRight w:val="0"/>
          <w:marTop w:val="34"/>
          <w:marBottom w:val="10"/>
          <w:divBdr>
            <w:top w:val="none" w:sz="0" w:space="0" w:color="auto"/>
            <w:left w:val="none" w:sz="0" w:space="0" w:color="auto"/>
            <w:bottom w:val="none" w:sz="0" w:space="0" w:color="auto"/>
            <w:right w:val="none" w:sz="0" w:space="0" w:color="auto"/>
          </w:divBdr>
          <w:divsChild>
            <w:div w:id="213197033">
              <w:marLeft w:val="0"/>
              <w:marRight w:val="0"/>
              <w:marTop w:val="0"/>
              <w:marBottom w:val="0"/>
              <w:divBdr>
                <w:top w:val="none" w:sz="0" w:space="0" w:color="auto"/>
                <w:left w:val="none" w:sz="0" w:space="0" w:color="auto"/>
                <w:bottom w:val="none" w:sz="0" w:space="0" w:color="auto"/>
                <w:right w:val="none" w:sz="0" w:space="0" w:color="auto"/>
              </w:divBdr>
            </w:div>
          </w:divsChild>
        </w:div>
        <w:div w:id="730230532">
          <w:marLeft w:val="0"/>
          <w:marRight w:val="0"/>
          <w:marTop w:val="34"/>
          <w:marBottom w:val="10"/>
          <w:divBdr>
            <w:top w:val="none" w:sz="0" w:space="0" w:color="auto"/>
            <w:left w:val="none" w:sz="0" w:space="0" w:color="auto"/>
            <w:bottom w:val="none" w:sz="0" w:space="0" w:color="auto"/>
            <w:right w:val="none" w:sz="0" w:space="0" w:color="auto"/>
          </w:divBdr>
          <w:divsChild>
            <w:div w:id="1817333309">
              <w:marLeft w:val="0"/>
              <w:marRight w:val="0"/>
              <w:marTop w:val="0"/>
              <w:marBottom w:val="0"/>
              <w:divBdr>
                <w:top w:val="none" w:sz="0" w:space="0" w:color="auto"/>
                <w:left w:val="none" w:sz="0" w:space="0" w:color="auto"/>
                <w:bottom w:val="none" w:sz="0" w:space="0" w:color="auto"/>
                <w:right w:val="none" w:sz="0" w:space="0" w:color="auto"/>
              </w:divBdr>
            </w:div>
          </w:divsChild>
        </w:div>
        <w:div w:id="754979255">
          <w:marLeft w:val="0"/>
          <w:marRight w:val="0"/>
          <w:marTop w:val="34"/>
          <w:marBottom w:val="10"/>
          <w:divBdr>
            <w:top w:val="none" w:sz="0" w:space="0" w:color="auto"/>
            <w:left w:val="none" w:sz="0" w:space="0" w:color="auto"/>
            <w:bottom w:val="none" w:sz="0" w:space="0" w:color="auto"/>
            <w:right w:val="none" w:sz="0" w:space="0" w:color="auto"/>
          </w:divBdr>
          <w:divsChild>
            <w:div w:id="504055083">
              <w:marLeft w:val="0"/>
              <w:marRight w:val="0"/>
              <w:marTop w:val="0"/>
              <w:marBottom w:val="0"/>
              <w:divBdr>
                <w:top w:val="none" w:sz="0" w:space="0" w:color="auto"/>
                <w:left w:val="none" w:sz="0" w:space="0" w:color="auto"/>
                <w:bottom w:val="none" w:sz="0" w:space="0" w:color="auto"/>
                <w:right w:val="none" w:sz="0" w:space="0" w:color="auto"/>
              </w:divBdr>
            </w:div>
          </w:divsChild>
        </w:div>
        <w:div w:id="765732077">
          <w:marLeft w:val="0"/>
          <w:marRight w:val="0"/>
          <w:marTop w:val="34"/>
          <w:marBottom w:val="10"/>
          <w:divBdr>
            <w:top w:val="none" w:sz="0" w:space="0" w:color="auto"/>
            <w:left w:val="none" w:sz="0" w:space="0" w:color="auto"/>
            <w:bottom w:val="none" w:sz="0" w:space="0" w:color="auto"/>
            <w:right w:val="none" w:sz="0" w:space="0" w:color="auto"/>
          </w:divBdr>
          <w:divsChild>
            <w:div w:id="1330600634">
              <w:marLeft w:val="0"/>
              <w:marRight w:val="0"/>
              <w:marTop w:val="0"/>
              <w:marBottom w:val="0"/>
              <w:divBdr>
                <w:top w:val="none" w:sz="0" w:space="0" w:color="auto"/>
                <w:left w:val="none" w:sz="0" w:space="0" w:color="auto"/>
                <w:bottom w:val="none" w:sz="0" w:space="0" w:color="auto"/>
                <w:right w:val="none" w:sz="0" w:space="0" w:color="auto"/>
              </w:divBdr>
            </w:div>
          </w:divsChild>
        </w:div>
        <w:div w:id="769742823">
          <w:marLeft w:val="0"/>
          <w:marRight w:val="0"/>
          <w:marTop w:val="34"/>
          <w:marBottom w:val="10"/>
          <w:divBdr>
            <w:top w:val="none" w:sz="0" w:space="0" w:color="auto"/>
            <w:left w:val="none" w:sz="0" w:space="0" w:color="auto"/>
            <w:bottom w:val="none" w:sz="0" w:space="0" w:color="auto"/>
            <w:right w:val="none" w:sz="0" w:space="0" w:color="auto"/>
          </w:divBdr>
          <w:divsChild>
            <w:div w:id="1464542135">
              <w:marLeft w:val="0"/>
              <w:marRight w:val="0"/>
              <w:marTop w:val="0"/>
              <w:marBottom w:val="0"/>
              <w:divBdr>
                <w:top w:val="none" w:sz="0" w:space="0" w:color="auto"/>
                <w:left w:val="none" w:sz="0" w:space="0" w:color="auto"/>
                <w:bottom w:val="none" w:sz="0" w:space="0" w:color="auto"/>
                <w:right w:val="none" w:sz="0" w:space="0" w:color="auto"/>
              </w:divBdr>
            </w:div>
          </w:divsChild>
        </w:div>
        <w:div w:id="772897710">
          <w:marLeft w:val="0"/>
          <w:marRight w:val="0"/>
          <w:marTop w:val="34"/>
          <w:marBottom w:val="10"/>
          <w:divBdr>
            <w:top w:val="none" w:sz="0" w:space="0" w:color="auto"/>
            <w:left w:val="none" w:sz="0" w:space="0" w:color="auto"/>
            <w:bottom w:val="none" w:sz="0" w:space="0" w:color="auto"/>
            <w:right w:val="none" w:sz="0" w:space="0" w:color="auto"/>
          </w:divBdr>
          <w:divsChild>
            <w:div w:id="377626507">
              <w:marLeft w:val="0"/>
              <w:marRight w:val="0"/>
              <w:marTop w:val="0"/>
              <w:marBottom w:val="0"/>
              <w:divBdr>
                <w:top w:val="none" w:sz="0" w:space="0" w:color="auto"/>
                <w:left w:val="none" w:sz="0" w:space="0" w:color="auto"/>
                <w:bottom w:val="none" w:sz="0" w:space="0" w:color="auto"/>
                <w:right w:val="none" w:sz="0" w:space="0" w:color="auto"/>
              </w:divBdr>
            </w:div>
          </w:divsChild>
        </w:div>
        <w:div w:id="774251419">
          <w:marLeft w:val="0"/>
          <w:marRight w:val="0"/>
          <w:marTop w:val="34"/>
          <w:marBottom w:val="10"/>
          <w:divBdr>
            <w:top w:val="none" w:sz="0" w:space="0" w:color="auto"/>
            <w:left w:val="none" w:sz="0" w:space="0" w:color="auto"/>
            <w:bottom w:val="none" w:sz="0" w:space="0" w:color="auto"/>
            <w:right w:val="none" w:sz="0" w:space="0" w:color="auto"/>
          </w:divBdr>
          <w:divsChild>
            <w:div w:id="413598461">
              <w:marLeft w:val="0"/>
              <w:marRight w:val="0"/>
              <w:marTop w:val="0"/>
              <w:marBottom w:val="0"/>
              <w:divBdr>
                <w:top w:val="none" w:sz="0" w:space="0" w:color="auto"/>
                <w:left w:val="none" w:sz="0" w:space="0" w:color="auto"/>
                <w:bottom w:val="none" w:sz="0" w:space="0" w:color="auto"/>
                <w:right w:val="none" w:sz="0" w:space="0" w:color="auto"/>
              </w:divBdr>
            </w:div>
          </w:divsChild>
        </w:div>
        <w:div w:id="776484804">
          <w:marLeft w:val="0"/>
          <w:marRight w:val="0"/>
          <w:marTop w:val="34"/>
          <w:marBottom w:val="10"/>
          <w:divBdr>
            <w:top w:val="none" w:sz="0" w:space="0" w:color="auto"/>
            <w:left w:val="none" w:sz="0" w:space="0" w:color="auto"/>
            <w:bottom w:val="none" w:sz="0" w:space="0" w:color="auto"/>
            <w:right w:val="none" w:sz="0" w:space="0" w:color="auto"/>
          </w:divBdr>
          <w:divsChild>
            <w:div w:id="1670717113">
              <w:marLeft w:val="0"/>
              <w:marRight w:val="0"/>
              <w:marTop w:val="0"/>
              <w:marBottom w:val="0"/>
              <w:divBdr>
                <w:top w:val="none" w:sz="0" w:space="0" w:color="auto"/>
                <w:left w:val="none" w:sz="0" w:space="0" w:color="auto"/>
                <w:bottom w:val="none" w:sz="0" w:space="0" w:color="auto"/>
                <w:right w:val="none" w:sz="0" w:space="0" w:color="auto"/>
              </w:divBdr>
            </w:div>
          </w:divsChild>
        </w:div>
        <w:div w:id="780997692">
          <w:marLeft w:val="0"/>
          <w:marRight w:val="0"/>
          <w:marTop w:val="34"/>
          <w:marBottom w:val="10"/>
          <w:divBdr>
            <w:top w:val="none" w:sz="0" w:space="0" w:color="auto"/>
            <w:left w:val="none" w:sz="0" w:space="0" w:color="auto"/>
            <w:bottom w:val="none" w:sz="0" w:space="0" w:color="auto"/>
            <w:right w:val="none" w:sz="0" w:space="0" w:color="auto"/>
          </w:divBdr>
          <w:divsChild>
            <w:div w:id="1673527347">
              <w:marLeft w:val="0"/>
              <w:marRight w:val="0"/>
              <w:marTop w:val="0"/>
              <w:marBottom w:val="0"/>
              <w:divBdr>
                <w:top w:val="none" w:sz="0" w:space="0" w:color="auto"/>
                <w:left w:val="none" w:sz="0" w:space="0" w:color="auto"/>
                <w:bottom w:val="none" w:sz="0" w:space="0" w:color="auto"/>
                <w:right w:val="none" w:sz="0" w:space="0" w:color="auto"/>
              </w:divBdr>
            </w:div>
          </w:divsChild>
        </w:div>
        <w:div w:id="781995827">
          <w:marLeft w:val="0"/>
          <w:marRight w:val="0"/>
          <w:marTop w:val="34"/>
          <w:marBottom w:val="10"/>
          <w:divBdr>
            <w:top w:val="none" w:sz="0" w:space="0" w:color="auto"/>
            <w:left w:val="none" w:sz="0" w:space="0" w:color="auto"/>
            <w:bottom w:val="none" w:sz="0" w:space="0" w:color="auto"/>
            <w:right w:val="none" w:sz="0" w:space="0" w:color="auto"/>
          </w:divBdr>
          <w:divsChild>
            <w:div w:id="1863282006">
              <w:marLeft w:val="0"/>
              <w:marRight w:val="0"/>
              <w:marTop w:val="0"/>
              <w:marBottom w:val="0"/>
              <w:divBdr>
                <w:top w:val="none" w:sz="0" w:space="0" w:color="auto"/>
                <w:left w:val="none" w:sz="0" w:space="0" w:color="auto"/>
                <w:bottom w:val="none" w:sz="0" w:space="0" w:color="auto"/>
                <w:right w:val="none" w:sz="0" w:space="0" w:color="auto"/>
              </w:divBdr>
            </w:div>
          </w:divsChild>
        </w:div>
        <w:div w:id="791750076">
          <w:marLeft w:val="0"/>
          <w:marRight w:val="0"/>
          <w:marTop w:val="34"/>
          <w:marBottom w:val="10"/>
          <w:divBdr>
            <w:top w:val="none" w:sz="0" w:space="0" w:color="auto"/>
            <w:left w:val="none" w:sz="0" w:space="0" w:color="auto"/>
            <w:bottom w:val="none" w:sz="0" w:space="0" w:color="auto"/>
            <w:right w:val="none" w:sz="0" w:space="0" w:color="auto"/>
          </w:divBdr>
          <w:divsChild>
            <w:div w:id="586840674">
              <w:marLeft w:val="0"/>
              <w:marRight w:val="0"/>
              <w:marTop w:val="0"/>
              <w:marBottom w:val="0"/>
              <w:divBdr>
                <w:top w:val="none" w:sz="0" w:space="0" w:color="auto"/>
                <w:left w:val="none" w:sz="0" w:space="0" w:color="auto"/>
                <w:bottom w:val="none" w:sz="0" w:space="0" w:color="auto"/>
                <w:right w:val="none" w:sz="0" w:space="0" w:color="auto"/>
              </w:divBdr>
            </w:div>
          </w:divsChild>
        </w:div>
        <w:div w:id="798650717">
          <w:marLeft w:val="0"/>
          <w:marRight w:val="0"/>
          <w:marTop w:val="34"/>
          <w:marBottom w:val="10"/>
          <w:divBdr>
            <w:top w:val="none" w:sz="0" w:space="0" w:color="auto"/>
            <w:left w:val="none" w:sz="0" w:space="0" w:color="auto"/>
            <w:bottom w:val="none" w:sz="0" w:space="0" w:color="auto"/>
            <w:right w:val="none" w:sz="0" w:space="0" w:color="auto"/>
          </w:divBdr>
          <w:divsChild>
            <w:div w:id="683165512">
              <w:marLeft w:val="0"/>
              <w:marRight w:val="0"/>
              <w:marTop w:val="0"/>
              <w:marBottom w:val="0"/>
              <w:divBdr>
                <w:top w:val="none" w:sz="0" w:space="0" w:color="auto"/>
                <w:left w:val="none" w:sz="0" w:space="0" w:color="auto"/>
                <w:bottom w:val="none" w:sz="0" w:space="0" w:color="auto"/>
                <w:right w:val="none" w:sz="0" w:space="0" w:color="auto"/>
              </w:divBdr>
            </w:div>
          </w:divsChild>
        </w:div>
        <w:div w:id="810943799">
          <w:marLeft w:val="0"/>
          <w:marRight w:val="0"/>
          <w:marTop w:val="34"/>
          <w:marBottom w:val="10"/>
          <w:divBdr>
            <w:top w:val="none" w:sz="0" w:space="0" w:color="auto"/>
            <w:left w:val="none" w:sz="0" w:space="0" w:color="auto"/>
            <w:bottom w:val="none" w:sz="0" w:space="0" w:color="auto"/>
            <w:right w:val="none" w:sz="0" w:space="0" w:color="auto"/>
          </w:divBdr>
          <w:divsChild>
            <w:div w:id="2035957439">
              <w:marLeft w:val="0"/>
              <w:marRight w:val="0"/>
              <w:marTop w:val="0"/>
              <w:marBottom w:val="0"/>
              <w:divBdr>
                <w:top w:val="none" w:sz="0" w:space="0" w:color="auto"/>
                <w:left w:val="none" w:sz="0" w:space="0" w:color="auto"/>
                <w:bottom w:val="none" w:sz="0" w:space="0" w:color="auto"/>
                <w:right w:val="none" w:sz="0" w:space="0" w:color="auto"/>
              </w:divBdr>
            </w:div>
          </w:divsChild>
        </w:div>
        <w:div w:id="816066717">
          <w:marLeft w:val="0"/>
          <w:marRight w:val="0"/>
          <w:marTop w:val="34"/>
          <w:marBottom w:val="10"/>
          <w:divBdr>
            <w:top w:val="none" w:sz="0" w:space="0" w:color="auto"/>
            <w:left w:val="none" w:sz="0" w:space="0" w:color="auto"/>
            <w:bottom w:val="none" w:sz="0" w:space="0" w:color="auto"/>
            <w:right w:val="none" w:sz="0" w:space="0" w:color="auto"/>
          </w:divBdr>
          <w:divsChild>
            <w:div w:id="1834026926">
              <w:marLeft w:val="0"/>
              <w:marRight w:val="0"/>
              <w:marTop w:val="0"/>
              <w:marBottom w:val="0"/>
              <w:divBdr>
                <w:top w:val="none" w:sz="0" w:space="0" w:color="auto"/>
                <w:left w:val="none" w:sz="0" w:space="0" w:color="auto"/>
                <w:bottom w:val="none" w:sz="0" w:space="0" w:color="auto"/>
                <w:right w:val="none" w:sz="0" w:space="0" w:color="auto"/>
              </w:divBdr>
            </w:div>
          </w:divsChild>
        </w:div>
        <w:div w:id="820385853">
          <w:marLeft w:val="0"/>
          <w:marRight w:val="0"/>
          <w:marTop w:val="34"/>
          <w:marBottom w:val="10"/>
          <w:divBdr>
            <w:top w:val="none" w:sz="0" w:space="0" w:color="auto"/>
            <w:left w:val="none" w:sz="0" w:space="0" w:color="auto"/>
            <w:bottom w:val="none" w:sz="0" w:space="0" w:color="auto"/>
            <w:right w:val="none" w:sz="0" w:space="0" w:color="auto"/>
          </w:divBdr>
          <w:divsChild>
            <w:div w:id="1966545659">
              <w:marLeft w:val="0"/>
              <w:marRight w:val="0"/>
              <w:marTop w:val="0"/>
              <w:marBottom w:val="0"/>
              <w:divBdr>
                <w:top w:val="none" w:sz="0" w:space="0" w:color="auto"/>
                <w:left w:val="none" w:sz="0" w:space="0" w:color="auto"/>
                <w:bottom w:val="none" w:sz="0" w:space="0" w:color="auto"/>
                <w:right w:val="none" w:sz="0" w:space="0" w:color="auto"/>
              </w:divBdr>
            </w:div>
          </w:divsChild>
        </w:div>
        <w:div w:id="825778422">
          <w:marLeft w:val="0"/>
          <w:marRight w:val="0"/>
          <w:marTop w:val="34"/>
          <w:marBottom w:val="10"/>
          <w:divBdr>
            <w:top w:val="none" w:sz="0" w:space="0" w:color="auto"/>
            <w:left w:val="none" w:sz="0" w:space="0" w:color="auto"/>
            <w:bottom w:val="none" w:sz="0" w:space="0" w:color="auto"/>
            <w:right w:val="none" w:sz="0" w:space="0" w:color="auto"/>
          </w:divBdr>
          <w:divsChild>
            <w:div w:id="76366287">
              <w:marLeft w:val="0"/>
              <w:marRight w:val="0"/>
              <w:marTop w:val="0"/>
              <w:marBottom w:val="0"/>
              <w:divBdr>
                <w:top w:val="none" w:sz="0" w:space="0" w:color="auto"/>
                <w:left w:val="none" w:sz="0" w:space="0" w:color="auto"/>
                <w:bottom w:val="none" w:sz="0" w:space="0" w:color="auto"/>
                <w:right w:val="none" w:sz="0" w:space="0" w:color="auto"/>
              </w:divBdr>
            </w:div>
          </w:divsChild>
        </w:div>
        <w:div w:id="829443033">
          <w:marLeft w:val="0"/>
          <w:marRight w:val="0"/>
          <w:marTop w:val="34"/>
          <w:marBottom w:val="10"/>
          <w:divBdr>
            <w:top w:val="none" w:sz="0" w:space="0" w:color="auto"/>
            <w:left w:val="none" w:sz="0" w:space="0" w:color="auto"/>
            <w:bottom w:val="none" w:sz="0" w:space="0" w:color="auto"/>
            <w:right w:val="none" w:sz="0" w:space="0" w:color="auto"/>
          </w:divBdr>
        </w:div>
        <w:div w:id="831725743">
          <w:marLeft w:val="0"/>
          <w:marRight w:val="0"/>
          <w:marTop w:val="34"/>
          <w:marBottom w:val="10"/>
          <w:divBdr>
            <w:top w:val="none" w:sz="0" w:space="0" w:color="auto"/>
            <w:left w:val="none" w:sz="0" w:space="0" w:color="auto"/>
            <w:bottom w:val="none" w:sz="0" w:space="0" w:color="auto"/>
            <w:right w:val="none" w:sz="0" w:space="0" w:color="auto"/>
          </w:divBdr>
          <w:divsChild>
            <w:div w:id="1144350148">
              <w:marLeft w:val="0"/>
              <w:marRight w:val="0"/>
              <w:marTop w:val="0"/>
              <w:marBottom w:val="0"/>
              <w:divBdr>
                <w:top w:val="none" w:sz="0" w:space="0" w:color="auto"/>
                <w:left w:val="none" w:sz="0" w:space="0" w:color="auto"/>
                <w:bottom w:val="none" w:sz="0" w:space="0" w:color="auto"/>
                <w:right w:val="none" w:sz="0" w:space="0" w:color="auto"/>
              </w:divBdr>
            </w:div>
          </w:divsChild>
        </w:div>
        <w:div w:id="832330010">
          <w:marLeft w:val="0"/>
          <w:marRight w:val="0"/>
          <w:marTop w:val="34"/>
          <w:marBottom w:val="10"/>
          <w:divBdr>
            <w:top w:val="none" w:sz="0" w:space="0" w:color="auto"/>
            <w:left w:val="none" w:sz="0" w:space="0" w:color="auto"/>
            <w:bottom w:val="none" w:sz="0" w:space="0" w:color="auto"/>
            <w:right w:val="none" w:sz="0" w:space="0" w:color="auto"/>
          </w:divBdr>
          <w:divsChild>
            <w:div w:id="226301825">
              <w:marLeft w:val="0"/>
              <w:marRight w:val="0"/>
              <w:marTop w:val="0"/>
              <w:marBottom w:val="0"/>
              <w:divBdr>
                <w:top w:val="none" w:sz="0" w:space="0" w:color="auto"/>
                <w:left w:val="none" w:sz="0" w:space="0" w:color="auto"/>
                <w:bottom w:val="none" w:sz="0" w:space="0" w:color="auto"/>
                <w:right w:val="none" w:sz="0" w:space="0" w:color="auto"/>
              </w:divBdr>
            </w:div>
          </w:divsChild>
        </w:div>
        <w:div w:id="835344149">
          <w:marLeft w:val="0"/>
          <w:marRight w:val="0"/>
          <w:marTop w:val="34"/>
          <w:marBottom w:val="10"/>
          <w:divBdr>
            <w:top w:val="none" w:sz="0" w:space="0" w:color="auto"/>
            <w:left w:val="none" w:sz="0" w:space="0" w:color="auto"/>
            <w:bottom w:val="none" w:sz="0" w:space="0" w:color="auto"/>
            <w:right w:val="none" w:sz="0" w:space="0" w:color="auto"/>
          </w:divBdr>
        </w:div>
        <w:div w:id="837034683">
          <w:marLeft w:val="0"/>
          <w:marRight w:val="0"/>
          <w:marTop w:val="34"/>
          <w:marBottom w:val="10"/>
          <w:divBdr>
            <w:top w:val="none" w:sz="0" w:space="0" w:color="auto"/>
            <w:left w:val="none" w:sz="0" w:space="0" w:color="auto"/>
            <w:bottom w:val="none" w:sz="0" w:space="0" w:color="auto"/>
            <w:right w:val="none" w:sz="0" w:space="0" w:color="auto"/>
          </w:divBdr>
          <w:divsChild>
            <w:div w:id="527521522">
              <w:marLeft w:val="0"/>
              <w:marRight w:val="0"/>
              <w:marTop w:val="0"/>
              <w:marBottom w:val="0"/>
              <w:divBdr>
                <w:top w:val="none" w:sz="0" w:space="0" w:color="auto"/>
                <w:left w:val="none" w:sz="0" w:space="0" w:color="auto"/>
                <w:bottom w:val="none" w:sz="0" w:space="0" w:color="auto"/>
                <w:right w:val="none" w:sz="0" w:space="0" w:color="auto"/>
              </w:divBdr>
            </w:div>
          </w:divsChild>
        </w:div>
        <w:div w:id="854543181">
          <w:marLeft w:val="0"/>
          <w:marRight w:val="0"/>
          <w:marTop w:val="34"/>
          <w:marBottom w:val="10"/>
          <w:divBdr>
            <w:top w:val="none" w:sz="0" w:space="0" w:color="auto"/>
            <w:left w:val="none" w:sz="0" w:space="0" w:color="auto"/>
            <w:bottom w:val="none" w:sz="0" w:space="0" w:color="auto"/>
            <w:right w:val="none" w:sz="0" w:space="0" w:color="auto"/>
          </w:divBdr>
          <w:divsChild>
            <w:div w:id="1768575113">
              <w:marLeft w:val="0"/>
              <w:marRight w:val="0"/>
              <w:marTop w:val="0"/>
              <w:marBottom w:val="0"/>
              <w:divBdr>
                <w:top w:val="none" w:sz="0" w:space="0" w:color="auto"/>
                <w:left w:val="none" w:sz="0" w:space="0" w:color="auto"/>
                <w:bottom w:val="none" w:sz="0" w:space="0" w:color="auto"/>
                <w:right w:val="none" w:sz="0" w:space="0" w:color="auto"/>
              </w:divBdr>
            </w:div>
          </w:divsChild>
        </w:div>
        <w:div w:id="857423481">
          <w:marLeft w:val="0"/>
          <w:marRight w:val="0"/>
          <w:marTop w:val="0"/>
          <w:marBottom w:val="0"/>
          <w:divBdr>
            <w:top w:val="none" w:sz="0" w:space="0" w:color="auto"/>
            <w:left w:val="none" w:sz="0" w:space="0" w:color="auto"/>
            <w:bottom w:val="none" w:sz="0" w:space="0" w:color="auto"/>
            <w:right w:val="none" w:sz="0" w:space="0" w:color="auto"/>
          </w:divBdr>
        </w:div>
        <w:div w:id="861405654">
          <w:marLeft w:val="0"/>
          <w:marRight w:val="0"/>
          <w:marTop w:val="34"/>
          <w:marBottom w:val="10"/>
          <w:divBdr>
            <w:top w:val="none" w:sz="0" w:space="0" w:color="auto"/>
            <w:left w:val="none" w:sz="0" w:space="0" w:color="auto"/>
            <w:bottom w:val="none" w:sz="0" w:space="0" w:color="auto"/>
            <w:right w:val="none" w:sz="0" w:space="0" w:color="auto"/>
          </w:divBdr>
        </w:div>
        <w:div w:id="864174475">
          <w:marLeft w:val="0"/>
          <w:marRight w:val="0"/>
          <w:marTop w:val="34"/>
          <w:marBottom w:val="10"/>
          <w:divBdr>
            <w:top w:val="none" w:sz="0" w:space="0" w:color="auto"/>
            <w:left w:val="none" w:sz="0" w:space="0" w:color="auto"/>
            <w:bottom w:val="none" w:sz="0" w:space="0" w:color="auto"/>
            <w:right w:val="none" w:sz="0" w:space="0" w:color="auto"/>
          </w:divBdr>
          <w:divsChild>
            <w:div w:id="563108782">
              <w:marLeft w:val="0"/>
              <w:marRight w:val="0"/>
              <w:marTop w:val="0"/>
              <w:marBottom w:val="0"/>
              <w:divBdr>
                <w:top w:val="none" w:sz="0" w:space="0" w:color="auto"/>
                <w:left w:val="none" w:sz="0" w:space="0" w:color="auto"/>
                <w:bottom w:val="none" w:sz="0" w:space="0" w:color="auto"/>
                <w:right w:val="none" w:sz="0" w:space="0" w:color="auto"/>
              </w:divBdr>
            </w:div>
          </w:divsChild>
        </w:div>
        <w:div w:id="864636269">
          <w:marLeft w:val="0"/>
          <w:marRight w:val="0"/>
          <w:marTop w:val="34"/>
          <w:marBottom w:val="10"/>
          <w:divBdr>
            <w:top w:val="none" w:sz="0" w:space="0" w:color="auto"/>
            <w:left w:val="none" w:sz="0" w:space="0" w:color="auto"/>
            <w:bottom w:val="none" w:sz="0" w:space="0" w:color="auto"/>
            <w:right w:val="none" w:sz="0" w:space="0" w:color="auto"/>
          </w:divBdr>
          <w:divsChild>
            <w:div w:id="347950891">
              <w:marLeft w:val="0"/>
              <w:marRight w:val="0"/>
              <w:marTop w:val="0"/>
              <w:marBottom w:val="0"/>
              <w:divBdr>
                <w:top w:val="none" w:sz="0" w:space="0" w:color="auto"/>
                <w:left w:val="none" w:sz="0" w:space="0" w:color="auto"/>
                <w:bottom w:val="none" w:sz="0" w:space="0" w:color="auto"/>
                <w:right w:val="none" w:sz="0" w:space="0" w:color="auto"/>
              </w:divBdr>
            </w:div>
          </w:divsChild>
        </w:div>
        <w:div w:id="869757593">
          <w:marLeft w:val="0"/>
          <w:marRight w:val="0"/>
          <w:marTop w:val="0"/>
          <w:marBottom w:val="0"/>
          <w:divBdr>
            <w:top w:val="none" w:sz="0" w:space="0" w:color="auto"/>
            <w:left w:val="none" w:sz="0" w:space="0" w:color="auto"/>
            <w:bottom w:val="none" w:sz="0" w:space="0" w:color="auto"/>
            <w:right w:val="none" w:sz="0" w:space="0" w:color="auto"/>
          </w:divBdr>
        </w:div>
        <w:div w:id="871459330">
          <w:marLeft w:val="0"/>
          <w:marRight w:val="0"/>
          <w:marTop w:val="34"/>
          <w:marBottom w:val="10"/>
          <w:divBdr>
            <w:top w:val="none" w:sz="0" w:space="0" w:color="auto"/>
            <w:left w:val="none" w:sz="0" w:space="0" w:color="auto"/>
            <w:bottom w:val="none" w:sz="0" w:space="0" w:color="auto"/>
            <w:right w:val="none" w:sz="0" w:space="0" w:color="auto"/>
          </w:divBdr>
          <w:divsChild>
            <w:div w:id="417293991">
              <w:marLeft w:val="0"/>
              <w:marRight w:val="0"/>
              <w:marTop w:val="0"/>
              <w:marBottom w:val="0"/>
              <w:divBdr>
                <w:top w:val="none" w:sz="0" w:space="0" w:color="auto"/>
                <w:left w:val="none" w:sz="0" w:space="0" w:color="auto"/>
                <w:bottom w:val="none" w:sz="0" w:space="0" w:color="auto"/>
                <w:right w:val="none" w:sz="0" w:space="0" w:color="auto"/>
              </w:divBdr>
            </w:div>
          </w:divsChild>
        </w:div>
        <w:div w:id="876939247">
          <w:marLeft w:val="0"/>
          <w:marRight w:val="0"/>
          <w:marTop w:val="34"/>
          <w:marBottom w:val="10"/>
          <w:divBdr>
            <w:top w:val="none" w:sz="0" w:space="0" w:color="auto"/>
            <w:left w:val="none" w:sz="0" w:space="0" w:color="auto"/>
            <w:bottom w:val="none" w:sz="0" w:space="0" w:color="auto"/>
            <w:right w:val="none" w:sz="0" w:space="0" w:color="auto"/>
          </w:divBdr>
          <w:divsChild>
            <w:div w:id="1371413267">
              <w:marLeft w:val="0"/>
              <w:marRight w:val="0"/>
              <w:marTop w:val="0"/>
              <w:marBottom w:val="0"/>
              <w:divBdr>
                <w:top w:val="none" w:sz="0" w:space="0" w:color="auto"/>
                <w:left w:val="none" w:sz="0" w:space="0" w:color="auto"/>
                <w:bottom w:val="none" w:sz="0" w:space="0" w:color="auto"/>
                <w:right w:val="none" w:sz="0" w:space="0" w:color="auto"/>
              </w:divBdr>
            </w:div>
          </w:divsChild>
        </w:div>
        <w:div w:id="882055696">
          <w:marLeft w:val="0"/>
          <w:marRight w:val="0"/>
          <w:marTop w:val="34"/>
          <w:marBottom w:val="10"/>
          <w:divBdr>
            <w:top w:val="none" w:sz="0" w:space="0" w:color="auto"/>
            <w:left w:val="none" w:sz="0" w:space="0" w:color="auto"/>
            <w:bottom w:val="none" w:sz="0" w:space="0" w:color="auto"/>
            <w:right w:val="none" w:sz="0" w:space="0" w:color="auto"/>
          </w:divBdr>
          <w:divsChild>
            <w:div w:id="1026177720">
              <w:marLeft w:val="0"/>
              <w:marRight w:val="0"/>
              <w:marTop w:val="0"/>
              <w:marBottom w:val="0"/>
              <w:divBdr>
                <w:top w:val="none" w:sz="0" w:space="0" w:color="auto"/>
                <w:left w:val="none" w:sz="0" w:space="0" w:color="auto"/>
                <w:bottom w:val="none" w:sz="0" w:space="0" w:color="auto"/>
                <w:right w:val="none" w:sz="0" w:space="0" w:color="auto"/>
              </w:divBdr>
            </w:div>
          </w:divsChild>
        </w:div>
        <w:div w:id="893737361">
          <w:marLeft w:val="0"/>
          <w:marRight w:val="0"/>
          <w:marTop w:val="34"/>
          <w:marBottom w:val="10"/>
          <w:divBdr>
            <w:top w:val="none" w:sz="0" w:space="0" w:color="auto"/>
            <w:left w:val="none" w:sz="0" w:space="0" w:color="auto"/>
            <w:bottom w:val="none" w:sz="0" w:space="0" w:color="auto"/>
            <w:right w:val="none" w:sz="0" w:space="0" w:color="auto"/>
          </w:divBdr>
          <w:divsChild>
            <w:div w:id="652681053">
              <w:marLeft w:val="0"/>
              <w:marRight w:val="0"/>
              <w:marTop w:val="0"/>
              <w:marBottom w:val="0"/>
              <w:divBdr>
                <w:top w:val="none" w:sz="0" w:space="0" w:color="auto"/>
                <w:left w:val="none" w:sz="0" w:space="0" w:color="auto"/>
                <w:bottom w:val="none" w:sz="0" w:space="0" w:color="auto"/>
                <w:right w:val="none" w:sz="0" w:space="0" w:color="auto"/>
              </w:divBdr>
            </w:div>
          </w:divsChild>
        </w:div>
        <w:div w:id="899361646">
          <w:marLeft w:val="0"/>
          <w:marRight w:val="0"/>
          <w:marTop w:val="34"/>
          <w:marBottom w:val="10"/>
          <w:divBdr>
            <w:top w:val="none" w:sz="0" w:space="0" w:color="auto"/>
            <w:left w:val="none" w:sz="0" w:space="0" w:color="auto"/>
            <w:bottom w:val="none" w:sz="0" w:space="0" w:color="auto"/>
            <w:right w:val="none" w:sz="0" w:space="0" w:color="auto"/>
          </w:divBdr>
          <w:divsChild>
            <w:div w:id="391776361">
              <w:marLeft w:val="0"/>
              <w:marRight w:val="0"/>
              <w:marTop w:val="0"/>
              <w:marBottom w:val="0"/>
              <w:divBdr>
                <w:top w:val="none" w:sz="0" w:space="0" w:color="auto"/>
                <w:left w:val="none" w:sz="0" w:space="0" w:color="auto"/>
                <w:bottom w:val="none" w:sz="0" w:space="0" w:color="auto"/>
                <w:right w:val="none" w:sz="0" w:space="0" w:color="auto"/>
              </w:divBdr>
            </w:div>
          </w:divsChild>
        </w:div>
        <w:div w:id="908417903">
          <w:marLeft w:val="0"/>
          <w:marRight w:val="0"/>
          <w:marTop w:val="34"/>
          <w:marBottom w:val="10"/>
          <w:divBdr>
            <w:top w:val="none" w:sz="0" w:space="0" w:color="auto"/>
            <w:left w:val="none" w:sz="0" w:space="0" w:color="auto"/>
            <w:bottom w:val="none" w:sz="0" w:space="0" w:color="auto"/>
            <w:right w:val="none" w:sz="0" w:space="0" w:color="auto"/>
          </w:divBdr>
          <w:divsChild>
            <w:div w:id="1044404455">
              <w:marLeft w:val="0"/>
              <w:marRight w:val="0"/>
              <w:marTop w:val="0"/>
              <w:marBottom w:val="0"/>
              <w:divBdr>
                <w:top w:val="none" w:sz="0" w:space="0" w:color="auto"/>
                <w:left w:val="none" w:sz="0" w:space="0" w:color="auto"/>
                <w:bottom w:val="none" w:sz="0" w:space="0" w:color="auto"/>
                <w:right w:val="none" w:sz="0" w:space="0" w:color="auto"/>
              </w:divBdr>
            </w:div>
          </w:divsChild>
        </w:div>
        <w:div w:id="913321819">
          <w:marLeft w:val="0"/>
          <w:marRight w:val="0"/>
          <w:marTop w:val="34"/>
          <w:marBottom w:val="10"/>
          <w:divBdr>
            <w:top w:val="none" w:sz="0" w:space="0" w:color="auto"/>
            <w:left w:val="none" w:sz="0" w:space="0" w:color="auto"/>
            <w:bottom w:val="none" w:sz="0" w:space="0" w:color="auto"/>
            <w:right w:val="none" w:sz="0" w:space="0" w:color="auto"/>
          </w:divBdr>
          <w:divsChild>
            <w:div w:id="1158113799">
              <w:marLeft w:val="0"/>
              <w:marRight w:val="0"/>
              <w:marTop w:val="0"/>
              <w:marBottom w:val="0"/>
              <w:divBdr>
                <w:top w:val="none" w:sz="0" w:space="0" w:color="auto"/>
                <w:left w:val="none" w:sz="0" w:space="0" w:color="auto"/>
                <w:bottom w:val="none" w:sz="0" w:space="0" w:color="auto"/>
                <w:right w:val="none" w:sz="0" w:space="0" w:color="auto"/>
              </w:divBdr>
            </w:div>
          </w:divsChild>
        </w:div>
        <w:div w:id="921137303">
          <w:marLeft w:val="0"/>
          <w:marRight w:val="0"/>
          <w:marTop w:val="34"/>
          <w:marBottom w:val="10"/>
          <w:divBdr>
            <w:top w:val="none" w:sz="0" w:space="0" w:color="auto"/>
            <w:left w:val="none" w:sz="0" w:space="0" w:color="auto"/>
            <w:bottom w:val="none" w:sz="0" w:space="0" w:color="auto"/>
            <w:right w:val="none" w:sz="0" w:space="0" w:color="auto"/>
          </w:divBdr>
          <w:divsChild>
            <w:div w:id="540820409">
              <w:marLeft w:val="0"/>
              <w:marRight w:val="0"/>
              <w:marTop w:val="0"/>
              <w:marBottom w:val="0"/>
              <w:divBdr>
                <w:top w:val="none" w:sz="0" w:space="0" w:color="auto"/>
                <w:left w:val="none" w:sz="0" w:space="0" w:color="auto"/>
                <w:bottom w:val="none" w:sz="0" w:space="0" w:color="auto"/>
                <w:right w:val="none" w:sz="0" w:space="0" w:color="auto"/>
              </w:divBdr>
            </w:div>
          </w:divsChild>
        </w:div>
        <w:div w:id="931159905">
          <w:marLeft w:val="0"/>
          <w:marRight w:val="0"/>
          <w:marTop w:val="34"/>
          <w:marBottom w:val="10"/>
          <w:divBdr>
            <w:top w:val="none" w:sz="0" w:space="0" w:color="auto"/>
            <w:left w:val="none" w:sz="0" w:space="0" w:color="auto"/>
            <w:bottom w:val="none" w:sz="0" w:space="0" w:color="auto"/>
            <w:right w:val="none" w:sz="0" w:space="0" w:color="auto"/>
          </w:divBdr>
          <w:divsChild>
            <w:div w:id="1453552469">
              <w:marLeft w:val="0"/>
              <w:marRight w:val="0"/>
              <w:marTop w:val="0"/>
              <w:marBottom w:val="0"/>
              <w:divBdr>
                <w:top w:val="none" w:sz="0" w:space="0" w:color="auto"/>
                <w:left w:val="none" w:sz="0" w:space="0" w:color="auto"/>
                <w:bottom w:val="none" w:sz="0" w:space="0" w:color="auto"/>
                <w:right w:val="none" w:sz="0" w:space="0" w:color="auto"/>
              </w:divBdr>
            </w:div>
          </w:divsChild>
        </w:div>
        <w:div w:id="935289700">
          <w:marLeft w:val="0"/>
          <w:marRight w:val="0"/>
          <w:marTop w:val="34"/>
          <w:marBottom w:val="10"/>
          <w:divBdr>
            <w:top w:val="none" w:sz="0" w:space="0" w:color="auto"/>
            <w:left w:val="none" w:sz="0" w:space="0" w:color="auto"/>
            <w:bottom w:val="none" w:sz="0" w:space="0" w:color="auto"/>
            <w:right w:val="none" w:sz="0" w:space="0" w:color="auto"/>
          </w:divBdr>
          <w:divsChild>
            <w:div w:id="946961338">
              <w:marLeft w:val="0"/>
              <w:marRight w:val="0"/>
              <w:marTop w:val="0"/>
              <w:marBottom w:val="0"/>
              <w:divBdr>
                <w:top w:val="none" w:sz="0" w:space="0" w:color="auto"/>
                <w:left w:val="none" w:sz="0" w:space="0" w:color="auto"/>
                <w:bottom w:val="none" w:sz="0" w:space="0" w:color="auto"/>
                <w:right w:val="none" w:sz="0" w:space="0" w:color="auto"/>
              </w:divBdr>
            </w:div>
          </w:divsChild>
        </w:div>
        <w:div w:id="944581678">
          <w:marLeft w:val="0"/>
          <w:marRight w:val="0"/>
          <w:marTop w:val="34"/>
          <w:marBottom w:val="10"/>
          <w:divBdr>
            <w:top w:val="none" w:sz="0" w:space="0" w:color="auto"/>
            <w:left w:val="none" w:sz="0" w:space="0" w:color="auto"/>
            <w:bottom w:val="none" w:sz="0" w:space="0" w:color="auto"/>
            <w:right w:val="none" w:sz="0" w:space="0" w:color="auto"/>
          </w:divBdr>
          <w:divsChild>
            <w:div w:id="1561789285">
              <w:marLeft w:val="0"/>
              <w:marRight w:val="0"/>
              <w:marTop w:val="0"/>
              <w:marBottom w:val="0"/>
              <w:divBdr>
                <w:top w:val="none" w:sz="0" w:space="0" w:color="auto"/>
                <w:left w:val="none" w:sz="0" w:space="0" w:color="auto"/>
                <w:bottom w:val="none" w:sz="0" w:space="0" w:color="auto"/>
                <w:right w:val="none" w:sz="0" w:space="0" w:color="auto"/>
              </w:divBdr>
            </w:div>
          </w:divsChild>
        </w:div>
        <w:div w:id="952443811">
          <w:marLeft w:val="0"/>
          <w:marRight w:val="0"/>
          <w:marTop w:val="34"/>
          <w:marBottom w:val="10"/>
          <w:divBdr>
            <w:top w:val="none" w:sz="0" w:space="0" w:color="auto"/>
            <w:left w:val="none" w:sz="0" w:space="0" w:color="auto"/>
            <w:bottom w:val="none" w:sz="0" w:space="0" w:color="auto"/>
            <w:right w:val="none" w:sz="0" w:space="0" w:color="auto"/>
          </w:divBdr>
          <w:divsChild>
            <w:div w:id="2051832558">
              <w:marLeft w:val="0"/>
              <w:marRight w:val="0"/>
              <w:marTop w:val="0"/>
              <w:marBottom w:val="0"/>
              <w:divBdr>
                <w:top w:val="none" w:sz="0" w:space="0" w:color="auto"/>
                <w:left w:val="none" w:sz="0" w:space="0" w:color="auto"/>
                <w:bottom w:val="none" w:sz="0" w:space="0" w:color="auto"/>
                <w:right w:val="none" w:sz="0" w:space="0" w:color="auto"/>
              </w:divBdr>
            </w:div>
          </w:divsChild>
        </w:div>
        <w:div w:id="955252883">
          <w:marLeft w:val="0"/>
          <w:marRight w:val="0"/>
          <w:marTop w:val="34"/>
          <w:marBottom w:val="10"/>
          <w:divBdr>
            <w:top w:val="none" w:sz="0" w:space="0" w:color="auto"/>
            <w:left w:val="none" w:sz="0" w:space="0" w:color="auto"/>
            <w:bottom w:val="none" w:sz="0" w:space="0" w:color="auto"/>
            <w:right w:val="none" w:sz="0" w:space="0" w:color="auto"/>
          </w:divBdr>
          <w:divsChild>
            <w:div w:id="1053040720">
              <w:marLeft w:val="0"/>
              <w:marRight w:val="0"/>
              <w:marTop w:val="0"/>
              <w:marBottom w:val="0"/>
              <w:divBdr>
                <w:top w:val="none" w:sz="0" w:space="0" w:color="auto"/>
                <w:left w:val="none" w:sz="0" w:space="0" w:color="auto"/>
                <w:bottom w:val="none" w:sz="0" w:space="0" w:color="auto"/>
                <w:right w:val="none" w:sz="0" w:space="0" w:color="auto"/>
              </w:divBdr>
            </w:div>
          </w:divsChild>
        </w:div>
        <w:div w:id="958336753">
          <w:marLeft w:val="0"/>
          <w:marRight w:val="0"/>
          <w:marTop w:val="34"/>
          <w:marBottom w:val="10"/>
          <w:divBdr>
            <w:top w:val="none" w:sz="0" w:space="0" w:color="auto"/>
            <w:left w:val="none" w:sz="0" w:space="0" w:color="auto"/>
            <w:bottom w:val="none" w:sz="0" w:space="0" w:color="auto"/>
            <w:right w:val="none" w:sz="0" w:space="0" w:color="auto"/>
          </w:divBdr>
          <w:divsChild>
            <w:div w:id="1645895121">
              <w:marLeft w:val="0"/>
              <w:marRight w:val="0"/>
              <w:marTop w:val="0"/>
              <w:marBottom w:val="0"/>
              <w:divBdr>
                <w:top w:val="none" w:sz="0" w:space="0" w:color="auto"/>
                <w:left w:val="none" w:sz="0" w:space="0" w:color="auto"/>
                <w:bottom w:val="none" w:sz="0" w:space="0" w:color="auto"/>
                <w:right w:val="none" w:sz="0" w:space="0" w:color="auto"/>
              </w:divBdr>
            </w:div>
          </w:divsChild>
        </w:div>
        <w:div w:id="969936841">
          <w:marLeft w:val="0"/>
          <w:marRight w:val="0"/>
          <w:marTop w:val="34"/>
          <w:marBottom w:val="10"/>
          <w:divBdr>
            <w:top w:val="none" w:sz="0" w:space="0" w:color="auto"/>
            <w:left w:val="none" w:sz="0" w:space="0" w:color="auto"/>
            <w:bottom w:val="none" w:sz="0" w:space="0" w:color="auto"/>
            <w:right w:val="none" w:sz="0" w:space="0" w:color="auto"/>
          </w:divBdr>
          <w:divsChild>
            <w:div w:id="2140340976">
              <w:marLeft w:val="0"/>
              <w:marRight w:val="0"/>
              <w:marTop w:val="0"/>
              <w:marBottom w:val="0"/>
              <w:divBdr>
                <w:top w:val="none" w:sz="0" w:space="0" w:color="auto"/>
                <w:left w:val="none" w:sz="0" w:space="0" w:color="auto"/>
                <w:bottom w:val="none" w:sz="0" w:space="0" w:color="auto"/>
                <w:right w:val="none" w:sz="0" w:space="0" w:color="auto"/>
              </w:divBdr>
            </w:div>
          </w:divsChild>
        </w:div>
        <w:div w:id="997536884">
          <w:marLeft w:val="0"/>
          <w:marRight w:val="0"/>
          <w:marTop w:val="34"/>
          <w:marBottom w:val="10"/>
          <w:divBdr>
            <w:top w:val="none" w:sz="0" w:space="0" w:color="auto"/>
            <w:left w:val="none" w:sz="0" w:space="0" w:color="auto"/>
            <w:bottom w:val="none" w:sz="0" w:space="0" w:color="auto"/>
            <w:right w:val="none" w:sz="0" w:space="0" w:color="auto"/>
          </w:divBdr>
          <w:divsChild>
            <w:div w:id="559754365">
              <w:marLeft w:val="0"/>
              <w:marRight w:val="0"/>
              <w:marTop w:val="0"/>
              <w:marBottom w:val="0"/>
              <w:divBdr>
                <w:top w:val="none" w:sz="0" w:space="0" w:color="auto"/>
                <w:left w:val="none" w:sz="0" w:space="0" w:color="auto"/>
                <w:bottom w:val="none" w:sz="0" w:space="0" w:color="auto"/>
                <w:right w:val="none" w:sz="0" w:space="0" w:color="auto"/>
              </w:divBdr>
            </w:div>
          </w:divsChild>
        </w:div>
        <w:div w:id="1009600523">
          <w:marLeft w:val="0"/>
          <w:marRight w:val="0"/>
          <w:marTop w:val="34"/>
          <w:marBottom w:val="10"/>
          <w:divBdr>
            <w:top w:val="none" w:sz="0" w:space="0" w:color="auto"/>
            <w:left w:val="none" w:sz="0" w:space="0" w:color="auto"/>
            <w:bottom w:val="none" w:sz="0" w:space="0" w:color="auto"/>
            <w:right w:val="none" w:sz="0" w:space="0" w:color="auto"/>
          </w:divBdr>
          <w:divsChild>
            <w:div w:id="980233180">
              <w:marLeft w:val="0"/>
              <w:marRight w:val="0"/>
              <w:marTop w:val="0"/>
              <w:marBottom w:val="0"/>
              <w:divBdr>
                <w:top w:val="none" w:sz="0" w:space="0" w:color="auto"/>
                <w:left w:val="none" w:sz="0" w:space="0" w:color="auto"/>
                <w:bottom w:val="none" w:sz="0" w:space="0" w:color="auto"/>
                <w:right w:val="none" w:sz="0" w:space="0" w:color="auto"/>
              </w:divBdr>
            </w:div>
          </w:divsChild>
        </w:div>
        <w:div w:id="1023361077">
          <w:marLeft w:val="0"/>
          <w:marRight w:val="0"/>
          <w:marTop w:val="34"/>
          <w:marBottom w:val="10"/>
          <w:divBdr>
            <w:top w:val="none" w:sz="0" w:space="0" w:color="auto"/>
            <w:left w:val="none" w:sz="0" w:space="0" w:color="auto"/>
            <w:bottom w:val="none" w:sz="0" w:space="0" w:color="auto"/>
            <w:right w:val="none" w:sz="0" w:space="0" w:color="auto"/>
          </w:divBdr>
          <w:divsChild>
            <w:div w:id="1647779153">
              <w:marLeft w:val="0"/>
              <w:marRight w:val="0"/>
              <w:marTop w:val="0"/>
              <w:marBottom w:val="0"/>
              <w:divBdr>
                <w:top w:val="none" w:sz="0" w:space="0" w:color="auto"/>
                <w:left w:val="none" w:sz="0" w:space="0" w:color="auto"/>
                <w:bottom w:val="none" w:sz="0" w:space="0" w:color="auto"/>
                <w:right w:val="none" w:sz="0" w:space="0" w:color="auto"/>
              </w:divBdr>
            </w:div>
          </w:divsChild>
        </w:div>
        <w:div w:id="1027098340">
          <w:marLeft w:val="0"/>
          <w:marRight w:val="0"/>
          <w:marTop w:val="34"/>
          <w:marBottom w:val="10"/>
          <w:divBdr>
            <w:top w:val="none" w:sz="0" w:space="0" w:color="auto"/>
            <w:left w:val="none" w:sz="0" w:space="0" w:color="auto"/>
            <w:bottom w:val="none" w:sz="0" w:space="0" w:color="auto"/>
            <w:right w:val="none" w:sz="0" w:space="0" w:color="auto"/>
          </w:divBdr>
          <w:divsChild>
            <w:div w:id="2043629722">
              <w:marLeft w:val="0"/>
              <w:marRight w:val="0"/>
              <w:marTop w:val="0"/>
              <w:marBottom w:val="0"/>
              <w:divBdr>
                <w:top w:val="none" w:sz="0" w:space="0" w:color="auto"/>
                <w:left w:val="none" w:sz="0" w:space="0" w:color="auto"/>
                <w:bottom w:val="none" w:sz="0" w:space="0" w:color="auto"/>
                <w:right w:val="none" w:sz="0" w:space="0" w:color="auto"/>
              </w:divBdr>
            </w:div>
          </w:divsChild>
        </w:div>
        <w:div w:id="1027172689">
          <w:marLeft w:val="0"/>
          <w:marRight w:val="0"/>
          <w:marTop w:val="34"/>
          <w:marBottom w:val="10"/>
          <w:divBdr>
            <w:top w:val="none" w:sz="0" w:space="0" w:color="auto"/>
            <w:left w:val="none" w:sz="0" w:space="0" w:color="auto"/>
            <w:bottom w:val="none" w:sz="0" w:space="0" w:color="auto"/>
            <w:right w:val="none" w:sz="0" w:space="0" w:color="auto"/>
          </w:divBdr>
          <w:divsChild>
            <w:div w:id="1219974682">
              <w:marLeft w:val="0"/>
              <w:marRight w:val="0"/>
              <w:marTop w:val="0"/>
              <w:marBottom w:val="0"/>
              <w:divBdr>
                <w:top w:val="none" w:sz="0" w:space="0" w:color="auto"/>
                <w:left w:val="none" w:sz="0" w:space="0" w:color="auto"/>
                <w:bottom w:val="none" w:sz="0" w:space="0" w:color="auto"/>
                <w:right w:val="none" w:sz="0" w:space="0" w:color="auto"/>
              </w:divBdr>
            </w:div>
          </w:divsChild>
        </w:div>
        <w:div w:id="1034814450">
          <w:marLeft w:val="0"/>
          <w:marRight w:val="0"/>
          <w:marTop w:val="34"/>
          <w:marBottom w:val="10"/>
          <w:divBdr>
            <w:top w:val="none" w:sz="0" w:space="0" w:color="auto"/>
            <w:left w:val="none" w:sz="0" w:space="0" w:color="auto"/>
            <w:bottom w:val="none" w:sz="0" w:space="0" w:color="auto"/>
            <w:right w:val="none" w:sz="0" w:space="0" w:color="auto"/>
          </w:divBdr>
          <w:divsChild>
            <w:div w:id="668219618">
              <w:marLeft w:val="0"/>
              <w:marRight w:val="0"/>
              <w:marTop w:val="0"/>
              <w:marBottom w:val="0"/>
              <w:divBdr>
                <w:top w:val="none" w:sz="0" w:space="0" w:color="auto"/>
                <w:left w:val="none" w:sz="0" w:space="0" w:color="auto"/>
                <w:bottom w:val="none" w:sz="0" w:space="0" w:color="auto"/>
                <w:right w:val="none" w:sz="0" w:space="0" w:color="auto"/>
              </w:divBdr>
            </w:div>
          </w:divsChild>
        </w:div>
        <w:div w:id="1042553794">
          <w:marLeft w:val="0"/>
          <w:marRight w:val="0"/>
          <w:marTop w:val="34"/>
          <w:marBottom w:val="10"/>
          <w:divBdr>
            <w:top w:val="none" w:sz="0" w:space="0" w:color="auto"/>
            <w:left w:val="none" w:sz="0" w:space="0" w:color="auto"/>
            <w:bottom w:val="none" w:sz="0" w:space="0" w:color="auto"/>
            <w:right w:val="none" w:sz="0" w:space="0" w:color="auto"/>
          </w:divBdr>
          <w:divsChild>
            <w:div w:id="560288245">
              <w:marLeft w:val="0"/>
              <w:marRight w:val="0"/>
              <w:marTop w:val="0"/>
              <w:marBottom w:val="0"/>
              <w:divBdr>
                <w:top w:val="none" w:sz="0" w:space="0" w:color="auto"/>
                <w:left w:val="none" w:sz="0" w:space="0" w:color="auto"/>
                <w:bottom w:val="none" w:sz="0" w:space="0" w:color="auto"/>
                <w:right w:val="none" w:sz="0" w:space="0" w:color="auto"/>
              </w:divBdr>
            </w:div>
          </w:divsChild>
        </w:div>
        <w:div w:id="1052734056">
          <w:marLeft w:val="0"/>
          <w:marRight w:val="0"/>
          <w:marTop w:val="34"/>
          <w:marBottom w:val="10"/>
          <w:divBdr>
            <w:top w:val="none" w:sz="0" w:space="0" w:color="auto"/>
            <w:left w:val="none" w:sz="0" w:space="0" w:color="auto"/>
            <w:bottom w:val="none" w:sz="0" w:space="0" w:color="auto"/>
            <w:right w:val="none" w:sz="0" w:space="0" w:color="auto"/>
          </w:divBdr>
          <w:divsChild>
            <w:div w:id="698579841">
              <w:marLeft w:val="0"/>
              <w:marRight w:val="0"/>
              <w:marTop w:val="0"/>
              <w:marBottom w:val="0"/>
              <w:divBdr>
                <w:top w:val="none" w:sz="0" w:space="0" w:color="auto"/>
                <w:left w:val="none" w:sz="0" w:space="0" w:color="auto"/>
                <w:bottom w:val="none" w:sz="0" w:space="0" w:color="auto"/>
                <w:right w:val="none" w:sz="0" w:space="0" w:color="auto"/>
              </w:divBdr>
            </w:div>
          </w:divsChild>
        </w:div>
        <w:div w:id="1065763018">
          <w:marLeft w:val="0"/>
          <w:marRight w:val="0"/>
          <w:marTop w:val="34"/>
          <w:marBottom w:val="10"/>
          <w:divBdr>
            <w:top w:val="none" w:sz="0" w:space="0" w:color="auto"/>
            <w:left w:val="none" w:sz="0" w:space="0" w:color="auto"/>
            <w:bottom w:val="none" w:sz="0" w:space="0" w:color="auto"/>
            <w:right w:val="none" w:sz="0" w:space="0" w:color="auto"/>
          </w:divBdr>
        </w:div>
        <w:div w:id="1068184871">
          <w:marLeft w:val="0"/>
          <w:marRight w:val="0"/>
          <w:marTop w:val="34"/>
          <w:marBottom w:val="10"/>
          <w:divBdr>
            <w:top w:val="none" w:sz="0" w:space="0" w:color="auto"/>
            <w:left w:val="none" w:sz="0" w:space="0" w:color="auto"/>
            <w:bottom w:val="none" w:sz="0" w:space="0" w:color="auto"/>
            <w:right w:val="none" w:sz="0" w:space="0" w:color="auto"/>
          </w:divBdr>
          <w:divsChild>
            <w:div w:id="1899900219">
              <w:marLeft w:val="0"/>
              <w:marRight w:val="0"/>
              <w:marTop w:val="0"/>
              <w:marBottom w:val="0"/>
              <w:divBdr>
                <w:top w:val="none" w:sz="0" w:space="0" w:color="auto"/>
                <w:left w:val="none" w:sz="0" w:space="0" w:color="auto"/>
                <w:bottom w:val="none" w:sz="0" w:space="0" w:color="auto"/>
                <w:right w:val="none" w:sz="0" w:space="0" w:color="auto"/>
              </w:divBdr>
            </w:div>
          </w:divsChild>
        </w:div>
        <w:div w:id="1071272484">
          <w:marLeft w:val="0"/>
          <w:marRight w:val="0"/>
          <w:marTop w:val="34"/>
          <w:marBottom w:val="10"/>
          <w:divBdr>
            <w:top w:val="none" w:sz="0" w:space="0" w:color="auto"/>
            <w:left w:val="none" w:sz="0" w:space="0" w:color="auto"/>
            <w:bottom w:val="none" w:sz="0" w:space="0" w:color="auto"/>
            <w:right w:val="none" w:sz="0" w:space="0" w:color="auto"/>
          </w:divBdr>
          <w:divsChild>
            <w:div w:id="1660383044">
              <w:marLeft w:val="0"/>
              <w:marRight w:val="0"/>
              <w:marTop w:val="0"/>
              <w:marBottom w:val="0"/>
              <w:divBdr>
                <w:top w:val="none" w:sz="0" w:space="0" w:color="auto"/>
                <w:left w:val="none" w:sz="0" w:space="0" w:color="auto"/>
                <w:bottom w:val="none" w:sz="0" w:space="0" w:color="auto"/>
                <w:right w:val="none" w:sz="0" w:space="0" w:color="auto"/>
              </w:divBdr>
            </w:div>
          </w:divsChild>
        </w:div>
        <w:div w:id="1074351147">
          <w:marLeft w:val="0"/>
          <w:marRight w:val="0"/>
          <w:marTop w:val="34"/>
          <w:marBottom w:val="10"/>
          <w:divBdr>
            <w:top w:val="none" w:sz="0" w:space="0" w:color="auto"/>
            <w:left w:val="none" w:sz="0" w:space="0" w:color="auto"/>
            <w:bottom w:val="none" w:sz="0" w:space="0" w:color="auto"/>
            <w:right w:val="none" w:sz="0" w:space="0" w:color="auto"/>
          </w:divBdr>
          <w:divsChild>
            <w:div w:id="1231189629">
              <w:marLeft w:val="0"/>
              <w:marRight w:val="0"/>
              <w:marTop w:val="0"/>
              <w:marBottom w:val="0"/>
              <w:divBdr>
                <w:top w:val="none" w:sz="0" w:space="0" w:color="auto"/>
                <w:left w:val="none" w:sz="0" w:space="0" w:color="auto"/>
                <w:bottom w:val="none" w:sz="0" w:space="0" w:color="auto"/>
                <w:right w:val="none" w:sz="0" w:space="0" w:color="auto"/>
              </w:divBdr>
            </w:div>
          </w:divsChild>
        </w:div>
        <w:div w:id="1075476688">
          <w:marLeft w:val="0"/>
          <w:marRight w:val="0"/>
          <w:marTop w:val="34"/>
          <w:marBottom w:val="10"/>
          <w:divBdr>
            <w:top w:val="none" w:sz="0" w:space="0" w:color="auto"/>
            <w:left w:val="none" w:sz="0" w:space="0" w:color="auto"/>
            <w:bottom w:val="none" w:sz="0" w:space="0" w:color="auto"/>
            <w:right w:val="none" w:sz="0" w:space="0" w:color="auto"/>
          </w:divBdr>
        </w:div>
        <w:div w:id="1087384604">
          <w:marLeft w:val="0"/>
          <w:marRight w:val="0"/>
          <w:marTop w:val="34"/>
          <w:marBottom w:val="10"/>
          <w:divBdr>
            <w:top w:val="none" w:sz="0" w:space="0" w:color="auto"/>
            <w:left w:val="none" w:sz="0" w:space="0" w:color="auto"/>
            <w:bottom w:val="none" w:sz="0" w:space="0" w:color="auto"/>
            <w:right w:val="none" w:sz="0" w:space="0" w:color="auto"/>
          </w:divBdr>
          <w:divsChild>
            <w:div w:id="460659185">
              <w:marLeft w:val="0"/>
              <w:marRight w:val="0"/>
              <w:marTop w:val="0"/>
              <w:marBottom w:val="0"/>
              <w:divBdr>
                <w:top w:val="none" w:sz="0" w:space="0" w:color="auto"/>
                <w:left w:val="none" w:sz="0" w:space="0" w:color="auto"/>
                <w:bottom w:val="none" w:sz="0" w:space="0" w:color="auto"/>
                <w:right w:val="none" w:sz="0" w:space="0" w:color="auto"/>
              </w:divBdr>
            </w:div>
          </w:divsChild>
        </w:div>
        <w:div w:id="1091313234">
          <w:marLeft w:val="0"/>
          <w:marRight w:val="0"/>
          <w:marTop w:val="34"/>
          <w:marBottom w:val="10"/>
          <w:divBdr>
            <w:top w:val="none" w:sz="0" w:space="0" w:color="auto"/>
            <w:left w:val="none" w:sz="0" w:space="0" w:color="auto"/>
            <w:bottom w:val="none" w:sz="0" w:space="0" w:color="auto"/>
            <w:right w:val="none" w:sz="0" w:space="0" w:color="auto"/>
          </w:divBdr>
          <w:divsChild>
            <w:div w:id="944117326">
              <w:marLeft w:val="0"/>
              <w:marRight w:val="0"/>
              <w:marTop w:val="0"/>
              <w:marBottom w:val="0"/>
              <w:divBdr>
                <w:top w:val="none" w:sz="0" w:space="0" w:color="auto"/>
                <w:left w:val="none" w:sz="0" w:space="0" w:color="auto"/>
                <w:bottom w:val="none" w:sz="0" w:space="0" w:color="auto"/>
                <w:right w:val="none" w:sz="0" w:space="0" w:color="auto"/>
              </w:divBdr>
            </w:div>
          </w:divsChild>
        </w:div>
        <w:div w:id="1096435952">
          <w:marLeft w:val="0"/>
          <w:marRight w:val="0"/>
          <w:marTop w:val="34"/>
          <w:marBottom w:val="10"/>
          <w:divBdr>
            <w:top w:val="none" w:sz="0" w:space="0" w:color="auto"/>
            <w:left w:val="none" w:sz="0" w:space="0" w:color="auto"/>
            <w:bottom w:val="none" w:sz="0" w:space="0" w:color="auto"/>
            <w:right w:val="none" w:sz="0" w:space="0" w:color="auto"/>
          </w:divBdr>
          <w:divsChild>
            <w:div w:id="1460490104">
              <w:marLeft w:val="0"/>
              <w:marRight w:val="0"/>
              <w:marTop w:val="0"/>
              <w:marBottom w:val="0"/>
              <w:divBdr>
                <w:top w:val="none" w:sz="0" w:space="0" w:color="auto"/>
                <w:left w:val="none" w:sz="0" w:space="0" w:color="auto"/>
                <w:bottom w:val="none" w:sz="0" w:space="0" w:color="auto"/>
                <w:right w:val="none" w:sz="0" w:space="0" w:color="auto"/>
              </w:divBdr>
            </w:div>
          </w:divsChild>
        </w:div>
        <w:div w:id="1099369549">
          <w:marLeft w:val="0"/>
          <w:marRight w:val="0"/>
          <w:marTop w:val="34"/>
          <w:marBottom w:val="10"/>
          <w:divBdr>
            <w:top w:val="none" w:sz="0" w:space="0" w:color="auto"/>
            <w:left w:val="none" w:sz="0" w:space="0" w:color="auto"/>
            <w:bottom w:val="none" w:sz="0" w:space="0" w:color="auto"/>
            <w:right w:val="none" w:sz="0" w:space="0" w:color="auto"/>
          </w:divBdr>
          <w:divsChild>
            <w:div w:id="800339897">
              <w:marLeft w:val="0"/>
              <w:marRight w:val="0"/>
              <w:marTop w:val="0"/>
              <w:marBottom w:val="0"/>
              <w:divBdr>
                <w:top w:val="none" w:sz="0" w:space="0" w:color="auto"/>
                <w:left w:val="none" w:sz="0" w:space="0" w:color="auto"/>
                <w:bottom w:val="none" w:sz="0" w:space="0" w:color="auto"/>
                <w:right w:val="none" w:sz="0" w:space="0" w:color="auto"/>
              </w:divBdr>
            </w:div>
          </w:divsChild>
        </w:div>
        <w:div w:id="1103497306">
          <w:marLeft w:val="0"/>
          <w:marRight w:val="0"/>
          <w:marTop w:val="34"/>
          <w:marBottom w:val="10"/>
          <w:divBdr>
            <w:top w:val="none" w:sz="0" w:space="0" w:color="auto"/>
            <w:left w:val="none" w:sz="0" w:space="0" w:color="auto"/>
            <w:bottom w:val="none" w:sz="0" w:space="0" w:color="auto"/>
            <w:right w:val="none" w:sz="0" w:space="0" w:color="auto"/>
          </w:divBdr>
          <w:divsChild>
            <w:div w:id="2118400533">
              <w:marLeft w:val="0"/>
              <w:marRight w:val="0"/>
              <w:marTop w:val="0"/>
              <w:marBottom w:val="0"/>
              <w:divBdr>
                <w:top w:val="none" w:sz="0" w:space="0" w:color="auto"/>
                <w:left w:val="none" w:sz="0" w:space="0" w:color="auto"/>
                <w:bottom w:val="none" w:sz="0" w:space="0" w:color="auto"/>
                <w:right w:val="none" w:sz="0" w:space="0" w:color="auto"/>
              </w:divBdr>
            </w:div>
          </w:divsChild>
        </w:div>
        <w:div w:id="1120223200">
          <w:marLeft w:val="0"/>
          <w:marRight w:val="0"/>
          <w:marTop w:val="34"/>
          <w:marBottom w:val="10"/>
          <w:divBdr>
            <w:top w:val="none" w:sz="0" w:space="0" w:color="auto"/>
            <w:left w:val="none" w:sz="0" w:space="0" w:color="auto"/>
            <w:bottom w:val="none" w:sz="0" w:space="0" w:color="auto"/>
            <w:right w:val="none" w:sz="0" w:space="0" w:color="auto"/>
          </w:divBdr>
          <w:divsChild>
            <w:div w:id="413939154">
              <w:marLeft w:val="0"/>
              <w:marRight w:val="0"/>
              <w:marTop w:val="0"/>
              <w:marBottom w:val="0"/>
              <w:divBdr>
                <w:top w:val="none" w:sz="0" w:space="0" w:color="auto"/>
                <w:left w:val="none" w:sz="0" w:space="0" w:color="auto"/>
                <w:bottom w:val="none" w:sz="0" w:space="0" w:color="auto"/>
                <w:right w:val="none" w:sz="0" w:space="0" w:color="auto"/>
              </w:divBdr>
            </w:div>
          </w:divsChild>
        </w:div>
        <w:div w:id="1121219080">
          <w:marLeft w:val="0"/>
          <w:marRight w:val="0"/>
          <w:marTop w:val="34"/>
          <w:marBottom w:val="10"/>
          <w:divBdr>
            <w:top w:val="none" w:sz="0" w:space="0" w:color="auto"/>
            <w:left w:val="none" w:sz="0" w:space="0" w:color="auto"/>
            <w:bottom w:val="none" w:sz="0" w:space="0" w:color="auto"/>
            <w:right w:val="none" w:sz="0" w:space="0" w:color="auto"/>
          </w:divBdr>
          <w:divsChild>
            <w:div w:id="1094785154">
              <w:marLeft w:val="0"/>
              <w:marRight w:val="0"/>
              <w:marTop w:val="0"/>
              <w:marBottom w:val="0"/>
              <w:divBdr>
                <w:top w:val="none" w:sz="0" w:space="0" w:color="auto"/>
                <w:left w:val="none" w:sz="0" w:space="0" w:color="auto"/>
                <w:bottom w:val="none" w:sz="0" w:space="0" w:color="auto"/>
                <w:right w:val="none" w:sz="0" w:space="0" w:color="auto"/>
              </w:divBdr>
            </w:div>
          </w:divsChild>
        </w:div>
        <w:div w:id="1125350492">
          <w:marLeft w:val="0"/>
          <w:marRight w:val="0"/>
          <w:marTop w:val="34"/>
          <w:marBottom w:val="10"/>
          <w:divBdr>
            <w:top w:val="none" w:sz="0" w:space="0" w:color="auto"/>
            <w:left w:val="none" w:sz="0" w:space="0" w:color="auto"/>
            <w:bottom w:val="none" w:sz="0" w:space="0" w:color="auto"/>
            <w:right w:val="none" w:sz="0" w:space="0" w:color="auto"/>
          </w:divBdr>
          <w:divsChild>
            <w:div w:id="32506672">
              <w:marLeft w:val="0"/>
              <w:marRight w:val="0"/>
              <w:marTop w:val="0"/>
              <w:marBottom w:val="0"/>
              <w:divBdr>
                <w:top w:val="none" w:sz="0" w:space="0" w:color="auto"/>
                <w:left w:val="none" w:sz="0" w:space="0" w:color="auto"/>
                <w:bottom w:val="none" w:sz="0" w:space="0" w:color="auto"/>
                <w:right w:val="none" w:sz="0" w:space="0" w:color="auto"/>
              </w:divBdr>
            </w:div>
          </w:divsChild>
        </w:div>
        <w:div w:id="1138183839">
          <w:marLeft w:val="0"/>
          <w:marRight w:val="0"/>
          <w:marTop w:val="34"/>
          <w:marBottom w:val="10"/>
          <w:divBdr>
            <w:top w:val="none" w:sz="0" w:space="0" w:color="auto"/>
            <w:left w:val="none" w:sz="0" w:space="0" w:color="auto"/>
            <w:bottom w:val="none" w:sz="0" w:space="0" w:color="auto"/>
            <w:right w:val="none" w:sz="0" w:space="0" w:color="auto"/>
          </w:divBdr>
          <w:divsChild>
            <w:div w:id="1357006314">
              <w:marLeft w:val="0"/>
              <w:marRight w:val="0"/>
              <w:marTop w:val="0"/>
              <w:marBottom w:val="0"/>
              <w:divBdr>
                <w:top w:val="none" w:sz="0" w:space="0" w:color="auto"/>
                <w:left w:val="none" w:sz="0" w:space="0" w:color="auto"/>
                <w:bottom w:val="none" w:sz="0" w:space="0" w:color="auto"/>
                <w:right w:val="none" w:sz="0" w:space="0" w:color="auto"/>
              </w:divBdr>
            </w:div>
          </w:divsChild>
        </w:div>
        <w:div w:id="1138960780">
          <w:marLeft w:val="0"/>
          <w:marRight w:val="0"/>
          <w:marTop w:val="34"/>
          <w:marBottom w:val="10"/>
          <w:divBdr>
            <w:top w:val="none" w:sz="0" w:space="0" w:color="auto"/>
            <w:left w:val="none" w:sz="0" w:space="0" w:color="auto"/>
            <w:bottom w:val="none" w:sz="0" w:space="0" w:color="auto"/>
            <w:right w:val="none" w:sz="0" w:space="0" w:color="auto"/>
          </w:divBdr>
          <w:divsChild>
            <w:div w:id="1779761918">
              <w:marLeft w:val="0"/>
              <w:marRight w:val="0"/>
              <w:marTop w:val="0"/>
              <w:marBottom w:val="0"/>
              <w:divBdr>
                <w:top w:val="none" w:sz="0" w:space="0" w:color="auto"/>
                <w:left w:val="none" w:sz="0" w:space="0" w:color="auto"/>
                <w:bottom w:val="none" w:sz="0" w:space="0" w:color="auto"/>
                <w:right w:val="none" w:sz="0" w:space="0" w:color="auto"/>
              </w:divBdr>
            </w:div>
          </w:divsChild>
        </w:div>
        <w:div w:id="1155537308">
          <w:marLeft w:val="0"/>
          <w:marRight w:val="0"/>
          <w:marTop w:val="34"/>
          <w:marBottom w:val="10"/>
          <w:divBdr>
            <w:top w:val="none" w:sz="0" w:space="0" w:color="auto"/>
            <w:left w:val="none" w:sz="0" w:space="0" w:color="auto"/>
            <w:bottom w:val="none" w:sz="0" w:space="0" w:color="auto"/>
            <w:right w:val="none" w:sz="0" w:space="0" w:color="auto"/>
          </w:divBdr>
          <w:divsChild>
            <w:div w:id="1779058538">
              <w:marLeft w:val="0"/>
              <w:marRight w:val="0"/>
              <w:marTop w:val="0"/>
              <w:marBottom w:val="0"/>
              <w:divBdr>
                <w:top w:val="none" w:sz="0" w:space="0" w:color="auto"/>
                <w:left w:val="none" w:sz="0" w:space="0" w:color="auto"/>
                <w:bottom w:val="none" w:sz="0" w:space="0" w:color="auto"/>
                <w:right w:val="none" w:sz="0" w:space="0" w:color="auto"/>
              </w:divBdr>
            </w:div>
          </w:divsChild>
        </w:div>
        <w:div w:id="1156646120">
          <w:marLeft w:val="0"/>
          <w:marRight w:val="0"/>
          <w:marTop w:val="34"/>
          <w:marBottom w:val="10"/>
          <w:divBdr>
            <w:top w:val="none" w:sz="0" w:space="0" w:color="auto"/>
            <w:left w:val="none" w:sz="0" w:space="0" w:color="auto"/>
            <w:bottom w:val="none" w:sz="0" w:space="0" w:color="auto"/>
            <w:right w:val="none" w:sz="0" w:space="0" w:color="auto"/>
          </w:divBdr>
          <w:divsChild>
            <w:div w:id="327640757">
              <w:marLeft w:val="0"/>
              <w:marRight w:val="0"/>
              <w:marTop w:val="0"/>
              <w:marBottom w:val="0"/>
              <w:divBdr>
                <w:top w:val="none" w:sz="0" w:space="0" w:color="auto"/>
                <w:left w:val="none" w:sz="0" w:space="0" w:color="auto"/>
                <w:bottom w:val="none" w:sz="0" w:space="0" w:color="auto"/>
                <w:right w:val="none" w:sz="0" w:space="0" w:color="auto"/>
              </w:divBdr>
            </w:div>
          </w:divsChild>
        </w:div>
        <w:div w:id="1168253232">
          <w:marLeft w:val="0"/>
          <w:marRight w:val="0"/>
          <w:marTop w:val="34"/>
          <w:marBottom w:val="10"/>
          <w:divBdr>
            <w:top w:val="none" w:sz="0" w:space="0" w:color="auto"/>
            <w:left w:val="none" w:sz="0" w:space="0" w:color="auto"/>
            <w:bottom w:val="none" w:sz="0" w:space="0" w:color="auto"/>
            <w:right w:val="none" w:sz="0" w:space="0" w:color="auto"/>
          </w:divBdr>
          <w:divsChild>
            <w:div w:id="1237714613">
              <w:marLeft w:val="0"/>
              <w:marRight w:val="0"/>
              <w:marTop w:val="0"/>
              <w:marBottom w:val="0"/>
              <w:divBdr>
                <w:top w:val="none" w:sz="0" w:space="0" w:color="auto"/>
                <w:left w:val="none" w:sz="0" w:space="0" w:color="auto"/>
                <w:bottom w:val="none" w:sz="0" w:space="0" w:color="auto"/>
                <w:right w:val="none" w:sz="0" w:space="0" w:color="auto"/>
              </w:divBdr>
            </w:div>
          </w:divsChild>
        </w:div>
        <w:div w:id="1174413774">
          <w:marLeft w:val="0"/>
          <w:marRight w:val="0"/>
          <w:marTop w:val="34"/>
          <w:marBottom w:val="10"/>
          <w:divBdr>
            <w:top w:val="none" w:sz="0" w:space="0" w:color="auto"/>
            <w:left w:val="none" w:sz="0" w:space="0" w:color="auto"/>
            <w:bottom w:val="none" w:sz="0" w:space="0" w:color="auto"/>
            <w:right w:val="none" w:sz="0" w:space="0" w:color="auto"/>
          </w:divBdr>
          <w:divsChild>
            <w:div w:id="379477634">
              <w:marLeft w:val="0"/>
              <w:marRight w:val="0"/>
              <w:marTop w:val="0"/>
              <w:marBottom w:val="0"/>
              <w:divBdr>
                <w:top w:val="none" w:sz="0" w:space="0" w:color="auto"/>
                <w:left w:val="none" w:sz="0" w:space="0" w:color="auto"/>
                <w:bottom w:val="none" w:sz="0" w:space="0" w:color="auto"/>
                <w:right w:val="none" w:sz="0" w:space="0" w:color="auto"/>
              </w:divBdr>
            </w:div>
          </w:divsChild>
        </w:div>
        <w:div w:id="1210462408">
          <w:marLeft w:val="0"/>
          <w:marRight w:val="0"/>
          <w:marTop w:val="34"/>
          <w:marBottom w:val="10"/>
          <w:divBdr>
            <w:top w:val="none" w:sz="0" w:space="0" w:color="auto"/>
            <w:left w:val="none" w:sz="0" w:space="0" w:color="auto"/>
            <w:bottom w:val="none" w:sz="0" w:space="0" w:color="auto"/>
            <w:right w:val="none" w:sz="0" w:space="0" w:color="auto"/>
          </w:divBdr>
        </w:div>
        <w:div w:id="1211573418">
          <w:marLeft w:val="0"/>
          <w:marRight w:val="0"/>
          <w:marTop w:val="34"/>
          <w:marBottom w:val="10"/>
          <w:divBdr>
            <w:top w:val="none" w:sz="0" w:space="0" w:color="auto"/>
            <w:left w:val="none" w:sz="0" w:space="0" w:color="auto"/>
            <w:bottom w:val="none" w:sz="0" w:space="0" w:color="auto"/>
            <w:right w:val="none" w:sz="0" w:space="0" w:color="auto"/>
          </w:divBdr>
          <w:divsChild>
            <w:div w:id="711156621">
              <w:marLeft w:val="0"/>
              <w:marRight w:val="0"/>
              <w:marTop w:val="0"/>
              <w:marBottom w:val="0"/>
              <w:divBdr>
                <w:top w:val="none" w:sz="0" w:space="0" w:color="auto"/>
                <w:left w:val="none" w:sz="0" w:space="0" w:color="auto"/>
                <w:bottom w:val="none" w:sz="0" w:space="0" w:color="auto"/>
                <w:right w:val="none" w:sz="0" w:space="0" w:color="auto"/>
              </w:divBdr>
            </w:div>
          </w:divsChild>
        </w:div>
        <w:div w:id="1219853188">
          <w:marLeft w:val="0"/>
          <w:marRight w:val="0"/>
          <w:marTop w:val="34"/>
          <w:marBottom w:val="10"/>
          <w:divBdr>
            <w:top w:val="none" w:sz="0" w:space="0" w:color="auto"/>
            <w:left w:val="none" w:sz="0" w:space="0" w:color="auto"/>
            <w:bottom w:val="none" w:sz="0" w:space="0" w:color="auto"/>
            <w:right w:val="none" w:sz="0" w:space="0" w:color="auto"/>
          </w:divBdr>
        </w:div>
        <w:div w:id="1227691038">
          <w:marLeft w:val="0"/>
          <w:marRight w:val="0"/>
          <w:marTop w:val="34"/>
          <w:marBottom w:val="10"/>
          <w:divBdr>
            <w:top w:val="none" w:sz="0" w:space="0" w:color="auto"/>
            <w:left w:val="none" w:sz="0" w:space="0" w:color="auto"/>
            <w:bottom w:val="none" w:sz="0" w:space="0" w:color="auto"/>
            <w:right w:val="none" w:sz="0" w:space="0" w:color="auto"/>
          </w:divBdr>
          <w:divsChild>
            <w:div w:id="259223408">
              <w:marLeft w:val="0"/>
              <w:marRight w:val="0"/>
              <w:marTop w:val="0"/>
              <w:marBottom w:val="0"/>
              <w:divBdr>
                <w:top w:val="none" w:sz="0" w:space="0" w:color="auto"/>
                <w:left w:val="none" w:sz="0" w:space="0" w:color="auto"/>
                <w:bottom w:val="none" w:sz="0" w:space="0" w:color="auto"/>
                <w:right w:val="none" w:sz="0" w:space="0" w:color="auto"/>
              </w:divBdr>
            </w:div>
          </w:divsChild>
        </w:div>
        <w:div w:id="1232472625">
          <w:marLeft w:val="0"/>
          <w:marRight w:val="0"/>
          <w:marTop w:val="34"/>
          <w:marBottom w:val="10"/>
          <w:divBdr>
            <w:top w:val="none" w:sz="0" w:space="0" w:color="auto"/>
            <w:left w:val="none" w:sz="0" w:space="0" w:color="auto"/>
            <w:bottom w:val="none" w:sz="0" w:space="0" w:color="auto"/>
            <w:right w:val="none" w:sz="0" w:space="0" w:color="auto"/>
          </w:divBdr>
          <w:divsChild>
            <w:div w:id="1737194580">
              <w:marLeft w:val="0"/>
              <w:marRight w:val="0"/>
              <w:marTop w:val="0"/>
              <w:marBottom w:val="0"/>
              <w:divBdr>
                <w:top w:val="none" w:sz="0" w:space="0" w:color="auto"/>
                <w:left w:val="none" w:sz="0" w:space="0" w:color="auto"/>
                <w:bottom w:val="none" w:sz="0" w:space="0" w:color="auto"/>
                <w:right w:val="none" w:sz="0" w:space="0" w:color="auto"/>
              </w:divBdr>
            </w:div>
          </w:divsChild>
        </w:div>
        <w:div w:id="1232501719">
          <w:marLeft w:val="0"/>
          <w:marRight w:val="0"/>
          <w:marTop w:val="34"/>
          <w:marBottom w:val="10"/>
          <w:divBdr>
            <w:top w:val="none" w:sz="0" w:space="0" w:color="auto"/>
            <w:left w:val="none" w:sz="0" w:space="0" w:color="auto"/>
            <w:bottom w:val="none" w:sz="0" w:space="0" w:color="auto"/>
            <w:right w:val="none" w:sz="0" w:space="0" w:color="auto"/>
          </w:divBdr>
          <w:divsChild>
            <w:div w:id="895436910">
              <w:marLeft w:val="0"/>
              <w:marRight w:val="0"/>
              <w:marTop w:val="0"/>
              <w:marBottom w:val="0"/>
              <w:divBdr>
                <w:top w:val="none" w:sz="0" w:space="0" w:color="auto"/>
                <w:left w:val="none" w:sz="0" w:space="0" w:color="auto"/>
                <w:bottom w:val="none" w:sz="0" w:space="0" w:color="auto"/>
                <w:right w:val="none" w:sz="0" w:space="0" w:color="auto"/>
              </w:divBdr>
            </w:div>
          </w:divsChild>
        </w:div>
        <w:div w:id="1235580223">
          <w:marLeft w:val="0"/>
          <w:marRight w:val="0"/>
          <w:marTop w:val="34"/>
          <w:marBottom w:val="10"/>
          <w:divBdr>
            <w:top w:val="none" w:sz="0" w:space="0" w:color="auto"/>
            <w:left w:val="none" w:sz="0" w:space="0" w:color="auto"/>
            <w:bottom w:val="none" w:sz="0" w:space="0" w:color="auto"/>
            <w:right w:val="none" w:sz="0" w:space="0" w:color="auto"/>
          </w:divBdr>
          <w:divsChild>
            <w:div w:id="121072866">
              <w:marLeft w:val="0"/>
              <w:marRight w:val="0"/>
              <w:marTop w:val="0"/>
              <w:marBottom w:val="0"/>
              <w:divBdr>
                <w:top w:val="none" w:sz="0" w:space="0" w:color="auto"/>
                <w:left w:val="none" w:sz="0" w:space="0" w:color="auto"/>
                <w:bottom w:val="none" w:sz="0" w:space="0" w:color="auto"/>
                <w:right w:val="none" w:sz="0" w:space="0" w:color="auto"/>
              </w:divBdr>
            </w:div>
          </w:divsChild>
        </w:div>
        <w:div w:id="1245261822">
          <w:marLeft w:val="0"/>
          <w:marRight w:val="0"/>
          <w:marTop w:val="34"/>
          <w:marBottom w:val="10"/>
          <w:divBdr>
            <w:top w:val="none" w:sz="0" w:space="0" w:color="auto"/>
            <w:left w:val="none" w:sz="0" w:space="0" w:color="auto"/>
            <w:bottom w:val="none" w:sz="0" w:space="0" w:color="auto"/>
            <w:right w:val="none" w:sz="0" w:space="0" w:color="auto"/>
          </w:divBdr>
          <w:divsChild>
            <w:div w:id="1489857192">
              <w:marLeft w:val="0"/>
              <w:marRight w:val="0"/>
              <w:marTop w:val="0"/>
              <w:marBottom w:val="0"/>
              <w:divBdr>
                <w:top w:val="none" w:sz="0" w:space="0" w:color="auto"/>
                <w:left w:val="none" w:sz="0" w:space="0" w:color="auto"/>
                <w:bottom w:val="none" w:sz="0" w:space="0" w:color="auto"/>
                <w:right w:val="none" w:sz="0" w:space="0" w:color="auto"/>
              </w:divBdr>
            </w:div>
          </w:divsChild>
        </w:div>
        <w:div w:id="1262644109">
          <w:marLeft w:val="0"/>
          <w:marRight w:val="0"/>
          <w:marTop w:val="34"/>
          <w:marBottom w:val="10"/>
          <w:divBdr>
            <w:top w:val="none" w:sz="0" w:space="0" w:color="auto"/>
            <w:left w:val="none" w:sz="0" w:space="0" w:color="auto"/>
            <w:bottom w:val="none" w:sz="0" w:space="0" w:color="auto"/>
            <w:right w:val="none" w:sz="0" w:space="0" w:color="auto"/>
          </w:divBdr>
          <w:divsChild>
            <w:div w:id="469857837">
              <w:marLeft w:val="0"/>
              <w:marRight w:val="0"/>
              <w:marTop w:val="0"/>
              <w:marBottom w:val="0"/>
              <w:divBdr>
                <w:top w:val="none" w:sz="0" w:space="0" w:color="auto"/>
                <w:left w:val="none" w:sz="0" w:space="0" w:color="auto"/>
                <w:bottom w:val="none" w:sz="0" w:space="0" w:color="auto"/>
                <w:right w:val="none" w:sz="0" w:space="0" w:color="auto"/>
              </w:divBdr>
            </w:div>
          </w:divsChild>
        </w:div>
        <w:div w:id="1280408338">
          <w:marLeft w:val="0"/>
          <w:marRight w:val="0"/>
          <w:marTop w:val="34"/>
          <w:marBottom w:val="10"/>
          <w:divBdr>
            <w:top w:val="none" w:sz="0" w:space="0" w:color="auto"/>
            <w:left w:val="none" w:sz="0" w:space="0" w:color="auto"/>
            <w:bottom w:val="none" w:sz="0" w:space="0" w:color="auto"/>
            <w:right w:val="none" w:sz="0" w:space="0" w:color="auto"/>
          </w:divBdr>
          <w:divsChild>
            <w:div w:id="846754629">
              <w:marLeft w:val="0"/>
              <w:marRight w:val="0"/>
              <w:marTop w:val="0"/>
              <w:marBottom w:val="0"/>
              <w:divBdr>
                <w:top w:val="none" w:sz="0" w:space="0" w:color="auto"/>
                <w:left w:val="none" w:sz="0" w:space="0" w:color="auto"/>
                <w:bottom w:val="none" w:sz="0" w:space="0" w:color="auto"/>
                <w:right w:val="none" w:sz="0" w:space="0" w:color="auto"/>
              </w:divBdr>
            </w:div>
          </w:divsChild>
        </w:div>
        <w:div w:id="1282105443">
          <w:marLeft w:val="0"/>
          <w:marRight w:val="0"/>
          <w:marTop w:val="34"/>
          <w:marBottom w:val="10"/>
          <w:divBdr>
            <w:top w:val="none" w:sz="0" w:space="0" w:color="auto"/>
            <w:left w:val="none" w:sz="0" w:space="0" w:color="auto"/>
            <w:bottom w:val="none" w:sz="0" w:space="0" w:color="auto"/>
            <w:right w:val="none" w:sz="0" w:space="0" w:color="auto"/>
          </w:divBdr>
          <w:divsChild>
            <w:div w:id="1256667242">
              <w:marLeft w:val="0"/>
              <w:marRight w:val="0"/>
              <w:marTop w:val="0"/>
              <w:marBottom w:val="0"/>
              <w:divBdr>
                <w:top w:val="none" w:sz="0" w:space="0" w:color="auto"/>
                <w:left w:val="none" w:sz="0" w:space="0" w:color="auto"/>
                <w:bottom w:val="none" w:sz="0" w:space="0" w:color="auto"/>
                <w:right w:val="none" w:sz="0" w:space="0" w:color="auto"/>
              </w:divBdr>
            </w:div>
          </w:divsChild>
        </w:div>
        <w:div w:id="1283344998">
          <w:marLeft w:val="0"/>
          <w:marRight w:val="0"/>
          <w:marTop w:val="0"/>
          <w:marBottom w:val="0"/>
          <w:divBdr>
            <w:top w:val="none" w:sz="0" w:space="0" w:color="auto"/>
            <w:left w:val="none" w:sz="0" w:space="0" w:color="auto"/>
            <w:bottom w:val="none" w:sz="0" w:space="0" w:color="auto"/>
            <w:right w:val="none" w:sz="0" w:space="0" w:color="auto"/>
          </w:divBdr>
        </w:div>
        <w:div w:id="1289162083">
          <w:marLeft w:val="0"/>
          <w:marRight w:val="0"/>
          <w:marTop w:val="34"/>
          <w:marBottom w:val="10"/>
          <w:divBdr>
            <w:top w:val="none" w:sz="0" w:space="0" w:color="auto"/>
            <w:left w:val="none" w:sz="0" w:space="0" w:color="auto"/>
            <w:bottom w:val="none" w:sz="0" w:space="0" w:color="auto"/>
            <w:right w:val="none" w:sz="0" w:space="0" w:color="auto"/>
          </w:divBdr>
          <w:divsChild>
            <w:div w:id="994337821">
              <w:marLeft w:val="0"/>
              <w:marRight w:val="0"/>
              <w:marTop w:val="0"/>
              <w:marBottom w:val="0"/>
              <w:divBdr>
                <w:top w:val="none" w:sz="0" w:space="0" w:color="auto"/>
                <w:left w:val="none" w:sz="0" w:space="0" w:color="auto"/>
                <w:bottom w:val="none" w:sz="0" w:space="0" w:color="auto"/>
                <w:right w:val="none" w:sz="0" w:space="0" w:color="auto"/>
              </w:divBdr>
            </w:div>
          </w:divsChild>
        </w:div>
        <w:div w:id="1290935417">
          <w:marLeft w:val="0"/>
          <w:marRight w:val="0"/>
          <w:marTop w:val="34"/>
          <w:marBottom w:val="10"/>
          <w:divBdr>
            <w:top w:val="none" w:sz="0" w:space="0" w:color="auto"/>
            <w:left w:val="none" w:sz="0" w:space="0" w:color="auto"/>
            <w:bottom w:val="none" w:sz="0" w:space="0" w:color="auto"/>
            <w:right w:val="none" w:sz="0" w:space="0" w:color="auto"/>
          </w:divBdr>
          <w:divsChild>
            <w:div w:id="1771732816">
              <w:marLeft w:val="0"/>
              <w:marRight w:val="0"/>
              <w:marTop w:val="0"/>
              <w:marBottom w:val="0"/>
              <w:divBdr>
                <w:top w:val="none" w:sz="0" w:space="0" w:color="auto"/>
                <w:left w:val="none" w:sz="0" w:space="0" w:color="auto"/>
                <w:bottom w:val="none" w:sz="0" w:space="0" w:color="auto"/>
                <w:right w:val="none" w:sz="0" w:space="0" w:color="auto"/>
              </w:divBdr>
            </w:div>
          </w:divsChild>
        </w:div>
        <w:div w:id="1302688040">
          <w:marLeft w:val="0"/>
          <w:marRight w:val="0"/>
          <w:marTop w:val="34"/>
          <w:marBottom w:val="10"/>
          <w:divBdr>
            <w:top w:val="none" w:sz="0" w:space="0" w:color="auto"/>
            <w:left w:val="none" w:sz="0" w:space="0" w:color="auto"/>
            <w:bottom w:val="none" w:sz="0" w:space="0" w:color="auto"/>
            <w:right w:val="none" w:sz="0" w:space="0" w:color="auto"/>
          </w:divBdr>
          <w:divsChild>
            <w:div w:id="670834415">
              <w:marLeft w:val="0"/>
              <w:marRight w:val="0"/>
              <w:marTop w:val="0"/>
              <w:marBottom w:val="0"/>
              <w:divBdr>
                <w:top w:val="none" w:sz="0" w:space="0" w:color="auto"/>
                <w:left w:val="none" w:sz="0" w:space="0" w:color="auto"/>
                <w:bottom w:val="none" w:sz="0" w:space="0" w:color="auto"/>
                <w:right w:val="none" w:sz="0" w:space="0" w:color="auto"/>
              </w:divBdr>
            </w:div>
          </w:divsChild>
        </w:div>
        <w:div w:id="1323579421">
          <w:marLeft w:val="0"/>
          <w:marRight w:val="0"/>
          <w:marTop w:val="34"/>
          <w:marBottom w:val="10"/>
          <w:divBdr>
            <w:top w:val="none" w:sz="0" w:space="0" w:color="auto"/>
            <w:left w:val="none" w:sz="0" w:space="0" w:color="auto"/>
            <w:bottom w:val="none" w:sz="0" w:space="0" w:color="auto"/>
            <w:right w:val="none" w:sz="0" w:space="0" w:color="auto"/>
          </w:divBdr>
        </w:div>
        <w:div w:id="1324434745">
          <w:marLeft w:val="0"/>
          <w:marRight w:val="0"/>
          <w:marTop w:val="34"/>
          <w:marBottom w:val="10"/>
          <w:divBdr>
            <w:top w:val="none" w:sz="0" w:space="0" w:color="auto"/>
            <w:left w:val="none" w:sz="0" w:space="0" w:color="auto"/>
            <w:bottom w:val="none" w:sz="0" w:space="0" w:color="auto"/>
            <w:right w:val="none" w:sz="0" w:space="0" w:color="auto"/>
          </w:divBdr>
        </w:div>
        <w:div w:id="1326206510">
          <w:marLeft w:val="0"/>
          <w:marRight w:val="0"/>
          <w:marTop w:val="34"/>
          <w:marBottom w:val="10"/>
          <w:divBdr>
            <w:top w:val="none" w:sz="0" w:space="0" w:color="auto"/>
            <w:left w:val="none" w:sz="0" w:space="0" w:color="auto"/>
            <w:bottom w:val="none" w:sz="0" w:space="0" w:color="auto"/>
            <w:right w:val="none" w:sz="0" w:space="0" w:color="auto"/>
          </w:divBdr>
          <w:divsChild>
            <w:div w:id="1014267001">
              <w:marLeft w:val="0"/>
              <w:marRight w:val="0"/>
              <w:marTop w:val="0"/>
              <w:marBottom w:val="0"/>
              <w:divBdr>
                <w:top w:val="none" w:sz="0" w:space="0" w:color="auto"/>
                <w:left w:val="none" w:sz="0" w:space="0" w:color="auto"/>
                <w:bottom w:val="none" w:sz="0" w:space="0" w:color="auto"/>
                <w:right w:val="none" w:sz="0" w:space="0" w:color="auto"/>
              </w:divBdr>
            </w:div>
          </w:divsChild>
        </w:div>
        <w:div w:id="1333994592">
          <w:marLeft w:val="0"/>
          <w:marRight w:val="0"/>
          <w:marTop w:val="34"/>
          <w:marBottom w:val="10"/>
          <w:divBdr>
            <w:top w:val="none" w:sz="0" w:space="0" w:color="auto"/>
            <w:left w:val="none" w:sz="0" w:space="0" w:color="auto"/>
            <w:bottom w:val="none" w:sz="0" w:space="0" w:color="auto"/>
            <w:right w:val="none" w:sz="0" w:space="0" w:color="auto"/>
          </w:divBdr>
        </w:div>
        <w:div w:id="1336348414">
          <w:marLeft w:val="0"/>
          <w:marRight w:val="0"/>
          <w:marTop w:val="34"/>
          <w:marBottom w:val="10"/>
          <w:divBdr>
            <w:top w:val="none" w:sz="0" w:space="0" w:color="auto"/>
            <w:left w:val="none" w:sz="0" w:space="0" w:color="auto"/>
            <w:bottom w:val="none" w:sz="0" w:space="0" w:color="auto"/>
            <w:right w:val="none" w:sz="0" w:space="0" w:color="auto"/>
          </w:divBdr>
          <w:divsChild>
            <w:div w:id="1417703881">
              <w:marLeft w:val="0"/>
              <w:marRight w:val="0"/>
              <w:marTop w:val="0"/>
              <w:marBottom w:val="0"/>
              <w:divBdr>
                <w:top w:val="none" w:sz="0" w:space="0" w:color="auto"/>
                <w:left w:val="none" w:sz="0" w:space="0" w:color="auto"/>
                <w:bottom w:val="none" w:sz="0" w:space="0" w:color="auto"/>
                <w:right w:val="none" w:sz="0" w:space="0" w:color="auto"/>
              </w:divBdr>
            </w:div>
          </w:divsChild>
        </w:div>
        <w:div w:id="1342777234">
          <w:marLeft w:val="0"/>
          <w:marRight w:val="0"/>
          <w:marTop w:val="34"/>
          <w:marBottom w:val="10"/>
          <w:divBdr>
            <w:top w:val="none" w:sz="0" w:space="0" w:color="auto"/>
            <w:left w:val="none" w:sz="0" w:space="0" w:color="auto"/>
            <w:bottom w:val="none" w:sz="0" w:space="0" w:color="auto"/>
            <w:right w:val="none" w:sz="0" w:space="0" w:color="auto"/>
          </w:divBdr>
          <w:divsChild>
            <w:div w:id="1747460123">
              <w:marLeft w:val="0"/>
              <w:marRight w:val="0"/>
              <w:marTop w:val="0"/>
              <w:marBottom w:val="0"/>
              <w:divBdr>
                <w:top w:val="none" w:sz="0" w:space="0" w:color="auto"/>
                <w:left w:val="none" w:sz="0" w:space="0" w:color="auto"/>
                <w:bottom w:val="none" w:sz="0" w:space="0" w:color="auto"/>
                <w:right w:val="none" w:sz="0" w:space="0" w:color="auto"/>
              </w:divBdr>
            </w:div>
          </w:divsChild>
        </w:div>
        <w:div w:id="1347638115">
          <w:marLeft w:val="0"/>
          <w:marRight w:val="0"/>
          <w:marTop w:val="34"/>
          <w:marBottom w:val="10"/>
          <w:divBdr>
            <w:top w:val="none" w:sz="0" w:space="0" w:color="auto"/>
            <w:left w:val="none" w:sz="0" w:space="0" w:color="auto"/>
            <w:bottom w:val="none" w:sz="0" w:space="0" w:color="auto"/>
            <w:right w:val="none" w:sz="0" w:space="0" w:color="auto"/>
          </w:divBdr>
          <w:divsChild>
            <w:div w:id="592788106">
              <w:marLeft w:val="0"/>
              <w:marRight w:val="0"/>
              <w:marTop w:val="0"/>
              <w:marBottom w:val="0"/>
              <w:divBdr>
                <w:top w:val="none" w:sz="0" w:space="0" w:color="auto"/>
                <w:left w:val="none" w:sz="0" w:space="0" w:color="auto"/>
                <w:bottom w:val="none" w:sz="0" w:space="0" w:color="auto"/>
                <w:right w:val="none" w:sz="0" w:space="0" w:color="auto"/>
              </w:divBdr>
            </w:div>
          </w:divsChild>
        </w:div>
        <w:div w:id="1357073755">
          <w:marLeft w:val="0"/>
          <w:marRight w:val="0"/>
          <w:marTop w:val="34"/>
          <w:marBottom w:val="10"/>
          <w:divBdr>
            <w:top w:val="none" w:sz="0" w:space="0" w:color="auto"/>
            <w:left w:val="none" w:sz="0" w:space="0" w:color="auto"/>
            <w:bottom w:val="none" w:sz="0" w:space="0" w:color="auto"/>
            <w:right w:val="none" w:sz="0" w:space="0" w:color="auto"/>
          </w:divBdr>
          <w:divsChild>
            <w:div w:id="907693644">
              <w:marLeft w:val="0"/>
              <w:marRight w:val="0"/>
              <w:marTop w:val="0"/>
              <w:marBottom w:val="0"/>
              <w:divBdr>
                <w:top w:val="none" w:sz="0" w:space="0" w:color="auto"/>
                <w:left w:val="none" w:sz="0" w:space="0" w:color="auto"/>
                <w:bottom w:val="none" w:sz="0" w:space="0" w:color="auto"/>
                <w:right w:val="none" w:sz="0" w:space="0" w:color="auto"/>
              </w:divBdr>
            </w:div>
          </w:divsChild>
        </w:div>
        <w:div w:id="1392659794">
          <w:marLeft w:val="0"/>
          <w:marRight w:val="0"/>
          <w:marTop w:val="34"/>
          <w:marBottom w:val="10"/>
          <w:divBdr>
            <w:top w:val="none" w:sz="0" w:space="0" w:color="auto"/>
            <w:left w:val="none" w:sz="0" w:space="0" w:color="auto"/>
            <w:bottom w:val="none" w:sz="0" w:space="0" w:color="auto"/>
            <w:right w:val="none" w:sz="0" w:space="0" w:color="auto"/>
          </w:divBdr>
          <w:divsChild>
            <w:div w:id="50469425">
              <w:marLeft w:val="0"/>
              <w:marRight w:val="0"/>
              <w:marTop w:val="0"/>
              <w:marBottom w:val="0"/>
              <w:divBdr>
                <w:top w:val="none" w:sz="0" w:space="0" w:color="auto"/>
                <w:left w:val="none" w:sz="0" w:space="0" w:color="auto"/>
                <w:bottom w:val="none" w:sz="0" w:space="0" w:color="auto"/>
                <w:right w:val="none" w:sz="0" w:space="0" w:color="auto"/>
              </w:divBdr>
            </w:div>
          </w:divsChild>
        </w:div>
        <w:div w:id="1393310320">
          <w:marLeft w:val="0"/>
          <w:marRight w:val="0"/>
          <w:marTop w:val="34"/>
          <w:marBottom w:val="10"/>
          <w:divBdr>
            <w:top w:val="none" w:sz="0" w:space="0" w:color="auto"/>
            <w:left w:val="none" w:sz="0" w:space="0" w:color="auto"/>
            <w:bottom w:val="none" w:sz="0" w:space="0" w:color="auto"/>
            <w:right w:val="none" w:sz="0" w:space="0" w:color="auto"/>
          </w:divBdr>
        </w:div>
        <w:div w:id="1407609841">
          <w:marLeft w:val="0"/>
          <w:marRight w:val="0"/>
          <w:marTop w:val="34"/>
          <w:marBottom w:val="10"/>
          <w:divBdr>
            <w:top w:val="none" w:sz="0" w:space="0" w:color="auto"/>
            <w:left w:val="none" w:sz="0" w:space="0" w:color="auto"/>
            <w:bottom w:val="none" w:sz="0" w:space="0" w:color="auto"/>
            <w:right w:val="none" w:sz="0" w:space="0" w:color="auto"/>
          </w:divBdr>
          <w:divsChild>
            <w:div w:id="695230753">
              <w:marLeft w:val="0"/>
              <w:marRight w:val="0"/>
              <w:marTop w:val="0"/>
              <w:marBottom w:val="0"/>
              <w:divBdr>
                <w:top w:val="none" w:sz="0" w:space="0" w:color="auto"/>
                <w:left w:val="none" w:sz="0" w:space="0" w:color="auto"/>
                <w:bottom w:val="none" w:sz="0" w:space="0" w:color="auto"/>
                <w:right w:val="none" w:sz="0" w:space="0" w:color="auto"/>
              </w:divBdr>
            </w:div>
          </w:divsChild>
        </w:div>
        <w:div w:id="1421561228">
          <w:marLeft w:val="0"/>
          <w:marRight w:val="0"/>
          <w:marTop w:val="34"/>
          <w:marBottom w:val="10"/>
          <w:divBdr>
            <w:top w:val="none" w:sz="0" w:space="0" w:color="auto"/>
            <w:left w:val="none" w:sz="0" w:space="0" w:color="auto"/>
            <w:bottom w:val="none" w:sz="0" w:space="0" w:color="auto"/>
            <w:right w:val="none" w:sz="0" w:space="0" w:color="auto"/>
          </w:divBdr>
          <w:divsChild>
            <w:div w:id="307713309">
              <w:marLeft w:val="0"/>
              <w:marRight w:val="0"/>
              <w:marTop w:val="0"/>
              <w:marBottom w:val="0"/>
              <w:divBdr>
                <w:top w:val="none" w:sz="0" w:space="0" w:color="auto"/>
                <w:left w:val="none" w:sz="0" w:space="0" w:color="auto"/>
                <w:bottom w:val="none" w:sz="0" w:space="0" w:color="auto"/>
                <w:right w:val="none" w:sz="0" w:space="0" w:color="auto"/>
              </w:divBdr>
            </w:div>
          </w:divsChild>
        </w:div>
        <w:div w:id="1426264386">
          <w:marLeft w:val="0"/>
          <w:marRight w:val="0"/>
          <w:marTop w:val="34"/>
          <w:marBottom w:val="10"/>
          <w:divBdr>
            <w:top w:val="none" w:sz="0" w:space="0" w:color="auto"/>
            <w:left w:val="none" w:sz="0" w:space="0" w:color="auto"/>
            <w:bottom w:val="none" w:sz="0" w:space="0" w:color="auto"/>
            <w:right w:val="none" w:sz="0" w:space="0" w:color="auto"/>
          </w:divBdr>
          <w:divsChild>
            <w:div w:id="1373920178">
              <w:marLeft w:val="0"/>
              <w:marRight w:val="0"/>
              <w:marTop w:val="0"/>
              <w:marBottom w:val="0"/>
              <w:divBdr>
                <w:top w:val="none" w:sz="0" w:space="0" w:color="auto"/>
                <w:left w:val="none" w:sz="0" w:space="0" w:color="auto"/>
                <w:bottom w:val="none" w:sz="0" w:space="0" w:color="auto"/>
                <w:right w:val="none" w:sz="0" w:space="0" w:color="auto"/>
              </w:divBdr>
            </w:div>
          </w:divsChild>
        </w:div>
        <w:div w:id="1429811241">
          <w:marLeft w:val="0"/>
          <w:marRight w:val="0"/>
          <w:marTop w:val="34"/>
          <w:marBottom w:val="10"/>
          <w:divBdr>
            <w:top w:val="none" w:sz="0" w:space="0" w:color="auto"/>
            <w:left w:val="none" w:sz="0" w:space="0" w:color="auto"/>
            <w:bottom w:val="none" w:sz="0" w:space="0" w:color="auto"/>
            <w:right w:val="none" w:sz="0" w:space="0" w:color="auto"/>
          </w:divBdr>
          <w:divsChild>
            <w:div w:id="686638053">
              <w:marLeft w:val="0"/>
              <w:marRight w:val="0"/>
              <w:marTop w:val="0"/>
              <w:marBottom w:val="0"/>
              <w:divBdr>
                <w:top w:val="none" w:sz="0" w:space="0" w:color="auto"/>
                <w:left w:val="none" w:sz="0" w:space="0" w:color="auto"/>
                <w:bottom w:val="none" w:sz="0" w:space="0" w:color="auto"/>
                <w:right w:val="none" w:sz="0" w:space="0" w:color="auto"/>
              </w:divBdr>
            </w:div>
          </w:divsChild>
        </w:div>
        <w:div w:id="1437557913">
          <w:marLeft w:val="0"/>
          <w:marRight w:val="0"/>
          <w:marTop w:val="34"/>
          <w:marBottom w:val="10"/>
          <w:divBdr>
            <w:top w:val="none" w:sz="0" w:space="0" w:color="auto"/>
            <w:left w:val="none" w:sz="0" w:space="0" w:color="auto"/>
            <w:bottom w:val="none" w:sz="0" w:space="0" w:color="auto"/>
            <w:right w:val="none" w:sz="0" w:space="0" w:color="auto"/>
          </w:divBdr>
          <w:divsChild>
            <w:div w:id="649751168">
              <w:marLeft w:val="0"/>
              <w:marRight w:val="0"/>
              <w:marTop w:val="0"/>
              <w:marBottom w:val="0"/>
              <w:divBdr>
                <w:top w:val="none" w:sz="0" w:space="0" w:color="auto"/>
                <w:left w:val="none" w:sz="0" w:space="0" w:color="auto"/>
                <w:bottom w:val="none" w:sz="0" w:space="0" w:color="auto"/>
                <w:right w:val="none" w:sz="0" w:space="0" w:color="auto"/>
              </w:divBdr>
            </w:div>
          </w:divsChild>
        </w:div>
        <w:div w:id="1439325698">
          <w:marLeft w:val="0"/>
          <w:marRight w:val="0"/>
          <w:marTop w:val="34"/>
          <w:marBottom w:val="10"/>
          <w:divBdr>
            <w:top w:val="none" w:sz="0" w:space="0" w:color="auto"/>
            <w:left w:val="none" w:sz="0" w:space="0" w:color="auto"/>
            <w:bottom w:val="none" w:sz="0" w:space="0" w:color="auto"/>
            <w:right w:val="none" w:sz="0" w:space="0" w:color="auto"/>
          </w:divBdr>
          <w:divsChild>
            <w:div w:id="1072893381">
              <w:marLeft w:val="0"/>
              <w:marRight w:val="0"/>
              <w:marTop w:val="0"/>
              <w:marBottom w:val="0"/>
              <w:divBdr>
                <w:top w:val="none" w:sz="0" w:space="0" w:color="auto"/>
                <w:left w:val="none" w:sz="0" w:space="0" w:color="auto"/>
                <w:bottom w:val="none" w:sz="0" w:space="0" w:color="auto"/>
                <w:right w:val="none" w:sz="0" w:space="0" w:color="auto"/>
              </w:divBdr>
            </w:div>
          </w:divsChild>
        </w:div>
        <w:div w:id="1440367795">
          <w:marLeft w:val="0"/>
          <w:marRight w:val="0"/>
          <w:marTop w:val="34"/>
          <w:marBottom w:val="10"/>
          <w:divBdr>
            <w:top w:val="none" w:sz="0" w:space="0" w:color="auto"/>
            <w:left w:val="none" w:sz="0" w:space="0" w:color="auto"/>
            <w:bottom w:val="none" w:sz="0" w:space="0" w:color="auto"/>
            <w:right w:val="none" w:sz="0" w:space="0" w:color="auto"/>
          </w:divBdr>
          <w:divsChild>
            <w:div w:id="838038004">
              <w:marLeft w:val="0"/>
              <w:marRight w:val="0"/>
              <w:marTop w:val="0"/>
              <w:marBottom w:val="0"/>
              <w:divBdr>
                <w:top w:val="none" w:sz="0" w:space="0" w:color="auto"/>
                <w:left w:val="none" w:sz="0" w:space="0" w:color="auto"/>
                <w:bottom w:val="none" w:sz="0" w:space="0" w:color="auto"/>
                <w:right w:val="none" w:sz="0" w:space="0" w:color="auto"/>
              </w:divBdr>
            </w:div>
          </w:divsChild>
        </w:div>
        <w:div w:id="1442340519">
          <w:marLeft w:val="0"/>
          <w:marRight w:val="0"/>
          <w:marTop w:val="34"/>
          <w:marBottom w:val="10"/>
          <w:divBdr>
            <w:top w:val="none" w:sz="0" w:space="0" w:color="auto"/>
            <w:left w:val="none" w:sz="0" w:space="0" w:color="auto"/>
            <w:bottom w:val="none" w:sz="0" w:space="0" w:color="auto"/>
            <w:right w:val="none" w:sz="0" w:space="0" w:color="auto"/>
          </w:divBdr>
          <w:divsChild>
            <w:div w:id="841772939">
              <w:marLeft w:val="0"/>
              <w:marRight w:val="0"/>
              <w:marTop w:val="0"/>
              <w:marBottom w:val="0"/>
              <w:divBdr>
                <w:top w:val="none" w:sz="0" w:space="0" w:color="auto"/>
                <w:left w:val="none" w:sz="0" w:space="0" w:color="auto"/>
                <w:bottom w:val="none" w:sz="0" w:space="0" w:color="auto"/>
                <w:right w:val="none" w:sz="0" w:space="0" w:color="auto"/>
              </w:divBdr>
            </w:div>
          </w:divsChild>
        </w:div>
        <w:div w:id="1442608507">
          <w:marLeft w:val="0"/>
          <w:marRight w:val="0"/>
          <w:marTop w:val="34"/>
          <w:marBottom w:val="10"/>
          <w:divBdr>
            <w:top w:val="none" w:sz="0" w:space="0" w:color="auto"/>
            <w:left w:val="none" w:sz="0" w:space="0" w:color="auto"/>
            <w:bottom w:val="none" w:sz="0" w:space="0" w:color="auto"/>
            <w:right w:val="none" w:sz="0" w:space="0" w:color="auto"/>
          </w:divBdr>
          <w:divsChild>
            <w:div w:id="1793133701">
              <w:marLeft w:val="0"/>
              <w:marRight w:val="0"/>
              <w:marTop w:val="0"/>
              <w:marBottom w:val="0"/>
              <w:divBdr>
                <w:top w:val="none" w:sz="0" w:space="0" w:color="auto"/>
                <w:left w:val="none" w:sz="0" w:space="0" w:color="auto"/>
                <w:bottom w:val="none" w:sz="0" w:space="0" w:color="auto"/>
                <w:right w:val="none" w:sz="0" w:space="0" w:color="auto"/>
              </w:divBdr>
            </w:div>
          </w:divsChild>
        </w:div>
        <w:div w:id="1459059590">
          <w:marLeft w:val="0"/>
          <w:marRight w:val="0"/>
          <w:marTop w:val="34"/>
          <w:marBottom w:val="10"/>
          <w:divBdr>
            <w:top w:val="none" w:sz="0" w:space="0" w:color="auto"/>
            <w:left w:val="none" w:sz="0" w:space="0" w:color="auto"/>
            <w:bottom w:val="none" w:sz="0" w:space="0" w:color="auto"/>
            <w:right w:val="none" w:sz="0" w:space="0" w:color="auto"/>
          </w:divBdr>
          <w:divsChild>
            <w:div w:id="517231020">
              <w:marLeft w:val="0"/>
              <w:marRight w:val="0"/>
              <w:marTop w:val="0"/>
              <w:marBottom w:val="0"/>
              <w:divBdr>
                <w:top w:val="none" w:sz="0" w:space="0" w:color="auto"/>
                <w:left w:val="none" w:sz="0" w:space="0" w:color="auto"/>
                <w:bottom w:val="none" w:sz="0" w:space="0" w:color="auto"/>
                <w:right w:val="none" w:sz="0" w:space="0" w:color="auto"/>
              </w:divBdr>
            </w:div>
          </w:divsChild>
        </w:div>
        <w:div w:id="1466779697">
          <w:marLeft w:val="0"/>
          <w:marRight w:val="0"/>
          <w:marTop w:val="34"/>
          <w:marBottom w:val="10"/>
          <w:divBdr>
            <w:top w:val="none" w:sz="0" w:space="0" w:color="auto"/>
            <w:left w:val="none" w:sz="0" w:space="0" w:color="auto"/>
            <w:bottom w:val="none" w:sz="0" w:space="0" w:color="auto"/>
            <w:right w:val="none" w:sz="0" w:space="0" w:color="auto"/>
          </w:divBdr>
          <w:divsChild>
            <w:div w:id="1668898948">
              <w:marLeft w:val="0"/>
              <w:marRight w:val="0"/>
              <w:marTop w:val="0"/>
              <w:marBottom w:val="0"/>
              <w:divBdr>
                <w:top w:val="none" w:sz="0" w:space="0" w:color="auto"/>
                <w:left w:val="none" w:sz="0" w:space="0" w:color="auto"/>
                <w:bottom w:val="none" w:sz="0" w:space="0" w:color="auto"/>
                <w:right w:val="none" w:sz="0" w:space="0" w:color="auto"/>
              </w:divBdr>
            </w:div>
          </w:divsChild>
        </w:div>
        <w:div w:id="1472871175">
          <w:marLeft w:val="0"/>
          <w:marRight w:val="0"/>
          <w:marTop w:val="34"/>
          <w:marBottom w:val="10"/>
          <w:divBdr>
            <w:top w:val="none" w:sz="0" w:space="0" w:color="auto"/>
            <w:left w:val="none" w:sz="0" w:space="0" w:color="auto"/>
            <w:bottom w:val="none" w:sz="0" w:space="0" w:color="auto"/>
            <w:right w:val="none" w:sz="0" w:space="0" w:color="auto"/>
          </w:divBdr>
          <w:divsChild>
            <w:div w:id="2040810807">
              <w:marLeft w:val="0"/>
              <w:marRight w:val="0"/>
              <w:marTop w:val="0"/>
              <w:marBottom w:val="0"/>
              <w:divBdr>
                <w:top w:val="none" w:sz="0" w:space="0" w:color="auto"/>
                <w:left w:val="none" w:sz="0" w:space="0" w:color="auto"/>
                <w:bottom w:val="none" w:sz="0" w:space="0" w:color="auto"/>
                <w:right w:val="none" w:sz="0" w:space="0" w:color="auto"/>
              </w:divBdr>
            </w:div>
          </w:divsChild>
        </w:div>
        <w:div w:id="1477336501">
          <w:marLeft w:val="0"/>
          <w:marRight w:val="0"/>
          <w:marTop w:val="34"/>
          <w:marBottom w:val="10"/>
          <w:divBdr>
            <w:top w:val="none" w:sz="0" w:space="0" w:color="auto"/>
            <w:left w:val="none" w:sz="0" w:space="0" w:color="auto"/>
            <w:bottom w:val="none" w:sz="0" w:space="0" w:color="auto"/>
            <w:right w:val="none" w:sz="0" w:space="0" w:color="auto"/>
          </w:divBdr>
          <w:divsChild>
            <w:div w:id="32272367">
              <w:marLeft w:val="0"/>
              <w:marRight w:val="0"/>
              <w:marTop w:val="0"/>
              <w:marBottom w:val="0"/>
              <w:divBdr>
                <w:top w:val="none" w:sz="0" w:space="0" w:color="auto"/>
                <w:left w:val="none" w:sz="0" w:space="0" w:color="auto"/>
                <w:bottom w:val="none" w:sz="0" w:space="0" w:color="auto"/>
                <w:right w:val="none" w:sz="0" w:space="0" w:color="auto"/>
              </w:divBdr>
            </w:div>
          </w:divsChild>
        </w:div>
        <w:div w:id="1479959474">
          <w:marLeft w:val="0"/>
          <w:marRight w:val="0"/>
          <w:marTop w:val="34"/>
          <w:marBottom w:val="10"/>
          <w:divBdr>
            <w:top w:val="none" w:sz="0" w:space="0" w:color="auto"/>
            <w:left w:val="none" w:sz="0" w:space="0" w:color="auto"/>
            <w:bottom w:val="none" w:sz="0" w:space="0" w:color="auto"/>
            <w:right w:val="none" w:sz="0" w:space="0" w:color="auto"/>
          </w:divBdr>
          <w:divsChild>
            <w:div w:id="45613108">
              <w:marLeft w:val="0"/>
              <w:marRight w:val="0"/>
              <w:marTop w:val="0"/>
              <w:marBottom w:val="0"/>
              <w:divBdr>
                <w:top w:val="none" w:sz="0" w:space="0" w:color="auto"/>
                <w:left w:val="none" w:sz="0" w:space="0" w:color="auto"/>
                <w:bottom w:val="none" w:sz="0" w:space="0" w:color="auto"/>
                <w:right w:val="none" w:sz="0" w:space="0" w:color="auto"/>
              </w:divBdr>
            </w:div>
          </w:divsChild>
        </w:div>
        <w:div w:id="1490563644">
          <w:marLeft w:val="0"/>
          <w:marRight w:val="0"/>
          <w:marTop w:val="34"/>
          <w:marBottom w:val="10"/>
          <w:divBdr>
            <w:top w:val="none" w:sz="0" w:space="0" w:color="auto"/>
            <w:left w:val="none" w:sz="0" w:space="0" w:color="auto"/>
            <w:bottom w:val="none" w:sz="0" w:space="0" w:color="auto"/>
            <w:right w:val="none" w:sz="0" w:space="0" w:color="auto"/>
          </w:divBdr>
          <w:divsChild>
            <w:div w:id="1855194305">
              <w:marLeft w:val="0"/>
              <w:marRight w:val="0"/>
              <w:marTop w:val="0"/>
              <w:marBottom w:val="0"/>
              <w:divBdr>
                <w:top w:val="none" w:sz="0" w:space="0" w:color="auto"/>
                <w:left w:val="none" w:sz="0" w:space="0" w:color="auto"/>
                <w:bottom w:val="none" w:sz="0" w:space="0" w:color="auto"/>
                <w:right w:val="none" w:sz="0" w:space="0" w:color="auto"/>
              </w:divBdr>
            </w:div>
          </w:divsChild>
        </w:div>
        <w:div w:id="1492333779">
          <w:marLeft w:val="0"/>
          <w:marRight w:val="0"/>
          <w:marTop w:val="34"/>
          <w:marBottom w:val="10"/>
          <w:divBdr>
            <w:top w:val="none" w:sz="0" w:space="0" w:color="auto"/>
            <w:left w:val="none" w:sz="0" w:space="0" w:color="auto"/>
            <w:bottom w:val="none" w:sz="0" w:space="0" w:color="auto"/>
            <w:right w:val="none" w:sz="0" w:space="0" w:color="auto"/>
          </w:divBdr>
          <w:divsChild>
            <w:div w:id="1241213938">
              <w:marLeft w:val="0"/>
              <w:marRight w:val="0"/>
              <w:marTop w:val="0"/>
              <w:marBottom w:val="0"/>
              <w:divBdr>
                <w:top w:val="none" w:sz="0" w:space="0" w:color="auto"/>
                <w:left w:val="none" w:sz="0" w:space="0" w:color="auto"/>
                <w:bottom w:val="none" w:sz="0" w:space="0" w:color="auto"/>
                <w:right w:val="none" w:sz="0" w:space="0" w:color="auto"/>
              </w:divBdr>
            </w:div>
          </w:divsChild>
        </w:div>
        <w:div w:id="1496603139">
          <w:marLeft w:val="0"/>
          <w:marRight w:val="0"/>
          <w:marTop w:val="34"/>
          <w:marBottom w:val="10"/>
          <w:divBdr>
            <w:top w:val="none" w:sz="0" w:space="0" w:color="auto"/>
            <w:left w:val="none" w:sz="0" w:space="0" w:color="auto"/>
            <w:bottom w:val="none" w:sz="0" w:space="0" w:color="auto"/>
            <w:right w:val="none" w:sz="0" w:space="0" w:color="auto"/>
          </w:divBdr>
          <w:divsChild>
            <w:div w:id="22366018">
              <w:marLeft w:val="0"/>
              <w:marRight w:val="0"/>
              <w:marTop w:val="0"/>
              <w:marBottom w:val="0"/>
              <w:divBdr>
                <w:top w:val="none" w:sz="0" w:space="0" w:color="auto"/>
                <w:left w:val="none" w:sz="0" w:space="0" w:color="auto"/>
                <w:bottom w:val="none" w:sz="0" w:space="0" w:color="auto"/>
                <w:right w:val="none" w:sz="0" w:space="0" w:color="auto"/>
              </w:divBdr>
            </w:div>
          </w:divsChild>
        </w:div>
        <w:div w:id="1503398059">
          <w:marLeft w:val="0"/>
          <w:marRight w:val="0"/>
          <w:marTop w:val="34"/>
          <w:marBottom w:val="10"/>
          <w:divBdr>
            <w:top w:val="none" w:sz="0" w:space="0" w:color="auto"/>
            <w:left w:val="none" w:sz="0" w:space="0" w:color="auto"/>
            <w:bottom w:val="none" w:sz="0" w:space="0" w:color="auto"/>
            <w:right w:val="none" w:sz="0" w:space="0" w:color="auto"/>
          </w:divBdr>
          <w:divsChild>
            <w:div w:id="1728718833">
              <w:marLeft w:val="0"/>
              <w:marRight w:val="0"/>
              <w:marTop w:val="0"/>
              <w:marBottom w:val="0"/>
              <w:divBdr>
                <w:top w:val="none" w:sz="0" w:space="0" w:color="auto"/>
                <w:left w:val="none" w:sz="0" w:space="0" w:color="auto"/>
                <w:bottom w:val="none" w:sz="0" w:space="0" w:color="auto"/>
                <w:right w:val="none" w:sz="0" w:space="0" w:color="auto"/>
              </w:divBdr>
            </w:div>
          </w:divsChild>
        </w:div>
        <w:div w:id="1513450175">
          <w:marLeft w:val="0"/>
          <w:marRight w:val="0"/>
          <w:marTop w:val="34"/>
          <w:marBottom w:val="10"/>
          <w:divBdr>
            <w:top w:val="none" w:sz="0" w:space="0" w:color="auto"/>
            <w:left w:val="none" w:sz="0" w:space="0" w:color="auto"/>
            <w:bottom w:val="none" w:sz="0" w:space="0" w:color="auto"/>
            <w:right w:val="none" w:sz="0" w:space="0" w:color="auto"/>
          </w:divBdr>
          <w:divsChild>
            <w:div w:id="1656563060">
              <w:marLeft w:val="0"/>
              <w:marRight w:val="0"/>
              <w:marTop w:val="0"/>
              <w:marBottom w:val="0"/>
              <w:divBdr>
                <w:top w:val="none" w:sz="0" w:space="0" w:color="auto"/>
                <w:left w:val="none" w:sz="0" w:space="0" w:color="auto"/>
                <w:bottom w:val="none" w:sz="0" w:space="0" w:color="auto"/>
                <w:right w:val="none" w:sz="0" w:space="0" w:color="auto"/>
              </w:divBdr>
            </w:div>
          </w:divsChild>
        </w:div>
        <w:div w:id="1520046485">
          <w:marLeft w:val="0"/>
          <w:marRight w:val="0"/>
          <w:marTop w:val="34"/>
          <w:marBottom w:val="10"/>
          <w:divBdr>
            <w:top w:val="none" w:sz="0" w:space="0" w:color="auto"/>
            <w:left w:val="none" w:sz="0" w:space="0" w:color="auto"/>
            <w:bottom w:val="none" w:sz="0" w:space="0" w:color="auto"/>
            <w:right w:val="none" w:sz="0" w:space="0" w:color="auto"/>
          </w:divBdr>
        </w:div>
        <w:div w:id="1526211972">
          <w:marLeft w:val="0"/>
          <w:marRight w:val="0"/>
          <w:marTop w:val="34"/>
          <w:marBottom w:val="10"/>
          <w:divBdr>
            <w:top w:val="none" w:sz="0" w:space="0" w:color="auto"/>
            <w:left w:val="none" w:sz="0" w:space="0" w:color="auto"/>
            <w:bottom w:val="none" w:sz="0" w:space="0" w:color="auto"/>
            <w:right w:val="none" w:sz="0" w:space="0" w:color="auto"/>
          </w:divBdr>
          <w:divsChild>
            <w:div w:id="1967858025">
              <w:marLeft w:val="0"/>
              <w:marRight w:val="0"/>
              <w:marTop w:val="0"/>
              <w:marBottom w:val="0"/>
              <w:divBdr>
                <w:top w:val="none" w:sz="0" w:space="0" w:color="auto"/>
                <w:left w:val="none" w:sz="0" w:space="0" w:color="auto"/>
                <w:bottom w:val="none" w:sz="0" w:space="0" w:color="auto"/>
                <w:right w:val="none" w:sz="0" w:space="0" w:color="auto"/>
              </w:divBdr>
            </w:div>
          </w:divsChild>
        </w:div>
        <w:div w:id="1532918583">
          <w:marLeft w:val="0"/>
          <w:marRight w:val="0"/>
          <w:marTop w:val="34"/>
          <w:marBottom w:val="10"/>
          <w:divBdr>
            <w:top w:val="none" w:sz="0" w:space="0" w:color="auto"/>
            <w:left w:val="none" w:sz="0" w:space="0" w:color="auto"/>
            <w:bottom w:val="none" w:sz="0" w:space="0" w:color="auto"/>
            <w:right w:val="none" w:sz="0" w:space="0" w:color="auto"/>
          </w:divBdr>
          <w:divsChild>
            <w:div w:id="891773227">
              <w:marLeft w:val="0"/>
              <w:marRight w:val="0"/>
              <w:marTop w:val="0"/>
              <w:marBottom w:val="0"/>
              <w:divBdr>
                <w:top w:val="none" w:sz="0" w:space="0" w:color="auto"/>
                <w:left w:val="none" w:sz="0" w:space="0" w:color="auto"/>
                <w:bottom w:val="none" w:sz="0" w:space="0" w:color="auto"/>
                <w:right w:val="none" w:sz="0" w:space="0" w:color="auto"/>
              </w:divBdr>
            </w:div>
          </w:divsChild>
        </w:div>
        <w:div w:id="1538659839">
          <w:marLeft w:val="0"/>
          <w:marRight w:val="0"/>
          <w:marTop w:val="34"/>
          <w:marBottom w:val="10"/>
          <w:divBdr>
            <w:top w:val="none" w:sz="0" w:space="0" w:color="auto"/>
            <w:left w:val="none" w:sz="0" w:space="0" w:color="auto"/>
            <w:bottom w:val="none" w:sz="0" w:space="0" w:color="auto"/>
            <w:right w:val="none" w:sz="0" w:space="0" w:color="auto"/>
          </w:divBdr>
          <w:divsChild>
            <w:div w:id="453181796">
              <w:marLeft w:val="0"/>
              <w:marRight w:val="0"/>
              <w:marTop w:val="0"/>
              <w:marBottom w:val="0"/>
              <w:divBdr>
                <w:top w:val="none" w:sz="0" w:space="0" w:color="auto"/>
                <w:left w:val="none" w:sz="0" w:space="0" w:color="auto"/>
                <w:bottom w:val="none" w:sz="0" w:space="0" w:color="auto"/>
                <w:right w:val="none" w:sz="0" w:space="0" w:color="auto"/>
              </w:divBdr>
            </w:div>
          </w:divsChild>
        </w:div>
        <w:div w:id="1541481209">
          <w:marLeft w:val="0"/>
          <w:marRight w:val="0"/>
          <w:marTop w:val="34"/>
          <w:marBottom w:val="10"/>
          <w:divBdr>
            <w:top w:val="none" w:sz="0" w:space="0" w:color="auto"/>
            <w:left w:val="none" w:sz="0" w:space="0" w:color="auto"/>
            <w:bottom w:val="none" w:sz="0" w:space="0" w:color="auto"/>
            <w:right w:val="none" w:sz="0" w:space="0" w:color="auto"/>
          </w:divBdr>
          <w:divsChild>
            <w:div w:id="896671378">
              <w:marLeft w:val="0"/>
              <w:marRight w:val="0"/>
              <w:marTop w:val="0"/>
              <w:marBottom w:val="0"/>
              <w:divBdr>
                <w:top w:val="none" w:sz="0" w:space="0" w:color="auto"/>
                <w:left w:val="none" w:sz="0" w:space="0" w:color="auto"/>
                <w:bottom w:val="none" w:sz="0" w:space="0" w:color="auto"/>
                <w:right w:val="none" w:sz="0" w:space="0" w:color="auto"/>
              </w:divBdr>
            </w:div>
          </w:divsChild>
        </w:div>
        <w:div w:id="1546671729">
          <w:marLeft w:val="0"/>
          <w:marRight w:val="0"/>
          <w:marTop w:val="34"/>
          <w:marBottom w:val="10"/>
          <w:divBdr>
            <w:top w:val="none" w:sz="0" w:space="0" w:color="auto"/>
            <w:left w:val="none" w:sz="0" w:space="0" w:color="auto"/>
            <w:bottom w:val="none" w:sz="0" w:space="0" w:color="auto"/>
            <w:right w:val="none" w:sz="0" w:space="0" w:color="auto"/>
          </w:divBdr>
          <w:divsChild>
            <w:div w:id="239953222">
              <w:marLeft w:val="0"/>
              <w:marRight w:val="0"/>
              <w:marTop w:val="0"/>
              <w:marBottom w:val="0"/>
              <w:divBdr>
                <w:top w:val="none" w:sz="0" w:space="0" w:color="auto"/>
                <w:left w:val="none" w:sz="0" w:space="0" w:color="auto"/>
                <w:bottom w:val="none" w:sz="0" w:space="0" w:color="auto"/>
                <w:right w:val="none" w:sz="0" w:space="0" w:color="auto"/>
              </w:divBdr>
            </w:div>
          </w:divsChild>
        </w:div>
        <w:div w:id="1546792797">
          <w:marLeft w:val="0"/>
          <w:marRight w:val="0"/>
          <w:marTop w:val="34"/>
          <w:marBottom w:val="10"/>
          <w:divBdr>
            <w:top w:val="none" w:sz="0" w:space="0" w:color="auto"/>
            <w:left w:val="none" w:sz="0" w:space="0" w:color="auto"/>
            <w:bottom w:val="none" w:sz="0" w:space="0" w:color="auto"/>
            <w:right w:val="none" w:sz="0" w:space="0" w:color="auto"/>
          </w:divBdr>
          <w:divsChild>
            <w:div w:id="1929924329">
              <w:marLeft w:val="0"/>
              <w:marRight w:val="0"/>
              <w:marTop w:val="0"/>
              <w:marBottom w:val="0"/>
              <w:divBdr>
                <w:top w:val="none" w:sz="0" w:space="0" w:color="auto"/>
                <w:left w:val="none" w:sz="0" w:space="0" w:color="auto"/>
                <w:bottom w:val="none" w:sz="0" w:space="0" w:color="auto"/>
                <w:right w:val="none" w:sz="0" w:space="0" w:color="auto"/>
              </w:divBdr>
            </w:div>
          </w:divsChild>
        </w:div>
        <w:div w:id="1547255474">
          <w:marLeft w:val="0"/>
          <w:marRight w:val="0"/>
          <w:marTop w:val="34"/>
          <w:marBottom w:val="10"/>
          <w:divBdr>
            <w:top w:val="none" w:sz="0" w:space="0" w:color="auto"/>
            <w:left w:val="none" w:sz="0" w:space="0" w:color="auto"/>
            <w:bottom w:val="none" w:sz="0" w:space="0" w:color="auto"/>
            <w:right w:val="none" w:sz="0" w:space="0" w:color="auto"/>
          </w:divBdr>
          <w:divsChild>
            <w:div w:id="1790316160">
              <w:marLeft w:val="0"/>
              <w:marRight w:val="0"/>
              <w:marTop w:val="0"/>
              <w:marBottom w:val="0"/>
              <w:divBdr>
                <w:top w:val="none" w:sz="0" w:space="0" w:color="auto"/>
                <w:left w:val="none" w:sz="0" w:space="0" w:color="auto"/>
                <w:bottom w:val="none" w:sz="0" w:space="0" w:color="auto"/>
                <w:right w:val="none" w:sz="0" w:space="0" w:color="auto"/>
              </w:divBdr>
            </w:div>
          </w:divsChild>
        </w:div>
        <w:div w:id="1555432357">
          <w:marLeft w:val="0"/>
          <w:marRight w:val="0"/>
          <w:marTop w:val="34"/>
          <w:marBottom w:val="10"/>
          <w:divBdr>
            <w:top w:val="none" w:sz="0" w:space="0" w:color="auto"/>
            <w:left w:val="none" w:sz="0" w:space="0" w:color="auto"/>
            <w:bottom w:val="none" w:sz="0" w:space="0" w:color="auto"/>
            <w:right w:val="none" w:sz="0" w:space="0" w:color="auto"/>
          </w:divBdr>
        </w:div>
        <w:div w:id="1560435309">
          <w:marLeft w:val="0"/>
          <w:marRight w:val="0"/>
          <w:marTop w:val="34"/>
          <w:marBottom w:val="10"/>
          <w:divBdr>
            <w:top w:val="none" w:sz="0" w:space="0" w:color="auto"/>
            <w:left w:val="none" w:sz="0" w:space="0" w:color="auto"/>
            <w:bottom w:val="none" w:sz="0" w:space="0" w:color="auto"/>
            <w:right w:val="none" w:sz="0" w:space="0" w:color="auto"/>
          </w:divBdr>
          <w:divsChild>
            <w:div w:id="512107341">
              <w:marLeft w:val="0"/>
              <w:marRight w:val="0"/>
              <w:marTop w:val="0"/>
              <w:marBottom w:val="0"/>
              <w:divBdr>
                <w:top w:val="none" w:sz="0" w:space="0" w:color="auto"/>
                <w:left w:val="none" w:sz="0" w:space="0" w:color="auto"/>
                <w:bottom w:val="none" w:sz="0" w:space="0" w:color="auto"/>
                <w:right w:val="none" w:sz="0" w:space="0" w:color="auto"/>
              </w:divBdr>
            </w:div>
          </w:divsChild>
        </w:div>
        <w:div w:id="1561137745">
          <w:marLeft w:val="0"/>
          <w:marRight w:val="0"/>
          <w:marTop w:val="34"/>
          <w:marBottom w:val="10"/>
          <w:divBdr>
            <w:top w:val="none" w:sz="0" w:space="0" w:color="auto"/>
            <w:left w:val="none" w:sz="0" w:space="0" w:color="auto"/>
            <w:bottom w:val="none" w:sz="0" w:space="0" w:color="auto"/>
            <w:right w:val="none" w:sz="0" w:space="0" w:color="auto"/>
          </w:divBdr>
          <w:divsChild>
            <w:div w:id="419181387">
              <w:marLeft w:val="0"/>
              <w:marRight w:val="0"/>
              <w:marTop w:val="0"/>
              <w:marBottom w:val="0"/>
              <w:divBdr>
                <w:top w:val="none" w:sz="0" w:space="0" w:color="auto"/>
                <w:left w:val="none" w:sz="0" w:space="0" w:color="auto"/>
                <w:bottom w:val="none" w:sz="0" w:space="0" w:color="auto"/>
                <w:right w:val="none" w:sz="0" w:space="0" w:color="auto"/>
              </w:divBdr>
            </w:div>
          </w:divsChild>
        </w:div>
        <w:div w:id="1569069552">
          <w:marLeft w:val="0"/>
          <w:marRight w:val="0"/>
          <w:marTop w:val="0"/>
          <w:marBottom w:val="0"/>
          <w:divBdr>
            <w:top w:val="none" w:sz="0" w:space="0" w:color="auto"/>
            <w:left w:val="none" w:sz="0" w:space="0" w:color="auto"/>
            <w:bottom w:val="none" w:sz="0" w:space="0" w:color="auto"/>
            <w:right w:val="none" w:sz="0" w:space="0" w:color="auto"/>
          </w:divBdr>
        </w:div>
        <w:div w:id="1572161000">
          <w:marLeft w:val="0"/>
          <w:marRight w:val="0"/>
          <w:marTop w:val="34"/>
          <w:marBottom w:val="10"/>
          <w:divBdr>
            <w:top w:val="none" w:sz="0" w:space="0" w:color="auto"/>
            <w:left w:val="none" w:sz="0" w:space="0" w:color="auto"/>
            <w:bottom w:val="none" w:sz="0" w:space="0" w:color="auto"/>
            <w:right w:val="none" w:sz="0" w:space="0" w:color="auto"/>
          </w:divBdr>
          <w:divsChild>
            <w:div w:id="1063522060">
              <w:marLeft w:val="0"/>
              <w:marRight w:val="0"/>
              <w:marTop w:val="0"/>
              <w:marBottom w:val="0"/>
              <w:divBdr>
                <w:top w:val="none" w:sz="0" w:space="0" w:color="auto"/>
                <w:left w:val="none" w:sz="0" w:space="0" w:color="auto"/>
                <w:bottom w:val="none" w:sz="0" w:space="0" w:color="auto"/>
                <w:right w:val="none" w:sz="0" w:space="0" w:color="auto"/>
              </w:divBdr>
            </w:div>
          </w:divsChild>
        </w:div>
        <w:div w:id="1572815917">
          <w:marLeft w:val="0"/>
          <w:marRight w:val="0"/>
          <w:marTop w:val="34"/>
          <w:marBottom w:val="10"/>
          <w:divBdr>
            <w:top w:val="none" w:sz="0" w:space="0" w:color="auto"/>
            <w:left w:val="none" w:sz="0" w:space="0" w:color="auto"/>
            <w:bottom w:val="none" w:sz="0" w:space="0" w:color="auto"/>
            <w:right w:val="none" w:sz="0" w:space="0" w:color="auto"/>
          </w:divBdr>
          <w:divsChild>
            <w:div w:id="422340454">
              <w:marLeft w:val="0"/>
              <w:marRight w:val="0"/>
              <w:marTop w:val="0"/>
              <w:marBottom w:val="0"/>
              <w:divBdr>
                <w:top w:val="none" w:sz="0" w:space="0" w:color="auto"/>
                <w:left w:val="none" w:sz="0" w:space="0" w:color="auto"/>
                <w:bottom w:val="none" w:sz="0" w:space="0" w:color="auto"/>
                <w:right w:val="none" w:sz="0" w:space="0" w:color="auto"/>
              </w:divBdr>
            </w:div>
          </w:divsChild>
        </w:div>
        <w:div w:id="1579251084">
          <w:marLeft w:val="0"/>
          <w:marRight w:val="0"/>
          <w:marTop w:val="34"/>
          <w:marBottom w:val="10"/>
          <w:divBdr>
            <w:top w:val="none" w:sz="0" w:space="0" w:color="auto"/>
            <w:left w:val="none" w:sz="0" w:space="0" w:color="auto"/>
            <w:bottom w:val="none" w:sz="0" w:space="0" w:color="auto"/>
            <w:right w:val="none" w:sz="0" w:space="0" w:color="auto"/>
          </w:divBdr>
          <w:divsChild>
            <w:div w:id="560823427">
              <w:marLeft w:val="0"/>
              <w:marRight w:val="0"/>
              <w:marTop w:val="0"/>
              <w:marBottom w:val="0"/>
              <w:divBdr>
                <w:top w:val="none" w:sz="0" w:space="0" w:color="auto"/>
                <w:left w:val="none" w:sz="0" w:space="0" w:color="auto"/>
                <w:bottom w:val="none" w:sz="0" w:space="0" w:color="auto"/>
                <w:right w:val="none" w:sz="0" w:space="0" w:color="auto"/>
              </w:divBdr>
            </w:div>
          </w:divsChild>
        </w:div>
        <w:div w:id="1588416702">
          <w:marLeft w:val="0"/>
          <w:marRight w:val="0"/>
          <w:marTop w:val="34"/>
          <w:marBottom w:val="10"/>
          <w:divBdr>
            <w:top w:val="none" w:sz="0" w:space="0" w:color="auto"/>
            <w:left w:val="none" w:sz="0" w:space="0" w:color="auto"/>
            <w:bottom w:val="none" w:sz="0" w:space="0" w:color="auto"/>
            <w:right w:val="none" w:sz="0" w:space="0" w:color="auto"/>
          </w:divBdr>
          <w:divsChild>
            <w:div w:id="615723064">
              <w:marLeft w:val="0"/>
              <w:marRight w:val="0"/>
              <w:marTop w:val="0"/>
              <w:marBottom w:val="0"/>
              <w:divBdr>
                <w:top w:val="none" w:sz="0" w:space="0" w:color="auto"/>
                <w:left w:val="none" w:sz="0" w:space="0" w:color="auto"/>
                <w:bottom w:val="none" w:sz="0" w:space="0" w:color="auto"/>
                <w:right w:val="none" w:sz="0" w:space="0" w:color="auto"/>
              </w:divBdr>
            </w:div>
          </w:divsChild>
        </w:div>
        <w:div w:id="1597128780">
          <w:marLeft w:val="0"/>
          <w:marRight w:val="0"/>
          <w:marTop w:val="34"/>
          <w:marBottom w:val="10"/>
          <w:divBdr>
            <w:top w:val="none" w:sz="0" w:space="0" w:color="auto"/>
            <w:left w:val="none" w:sz="0" w:space="0" w:color="auto"/>
            <w:bottom w:val="none" w:sz="0" w:space="0" w:color="auto"/>
            <w:right w:val="none" w:sz="0" w:space="0" w:color="auto"/>
          </w:divBdr>
          <w:divsChild>
            <w:div w:id="1233270480">
              <w:marLeft w:val="0"/>
              <w:marRight w:val="0"/>
              <w:marTop w:val="0"/>
              <w:marBottom w:val="0"/>
              <w:divBdr>
                <w:top w:val="none" w:sz="0" w:space="0" w:color="auto"/>
                <w:left w:val="none" w:sz="0" w:space="0" w:color="auto"/>
                <w:bottom w:val="none" w:sz="0" w:space="0" w:color="auto"/>
                <w:right w:val="none" w:sz="0" w:space="0" w:color="auto"/>
              </w:divBdr>
            </w:div>
          </w:divsChild>
        </w:div>
        <w:div w:id="1598058504">
          <w:marLeft w:val="0"/>
          <w:marRight w:val="0"/>
          <w:marTop w:val="34"/>
          <w:marBottom w:val="10"/>
          <w:divBdr>
            <w:top w:val="none" w:sz="0" w:space="0" w:color="auto"/>
            <w:left w:val="none" w:sz="0" w:space="0" w:color="auto"/>
            <w:bottom w:val="none" w:sz="0" w:space="0" w:color="auto"/>
            <w:right w:val="none" w:sz="0" w:space="0" w:color="auto"/>
          </w:divBdr>
          <w:divsChild>
            <w:div w:id="2080201980">
              <w:marLeft w:val="0"/>
              <w:marRight w:val="0"/>
              <w:marTop w:val="0"/>
              <w:marBottom w:val="0"/>
              <w:divBdr>
                <w:top w:val="none" w:sz="0" w:space="0" w:color="auto"/>
                <w:left w:val="none" w:sz="0" w:space="0" w:color="auto"/>
                <w:bottom w:val="none" w:sz="0" w:space="0" w:color="auto"/>
                <w:right w:val="none" w:sz="0" w:space="0" w:color="auto"/>
              </w:divBdr>
            </w:div>
          </w:divsChild>
        </w:div>
        <w:div w:id="1601183201">
          <w:marLeft w:val="0"/>
          <w:marRight w:val="0"/>
          <w:marTop w:val="34"/>
          <w:marBottom w:val="10"/>
          <w:divBdr>
            <w:top w:val="none" w:sz="0" w:space="0" w:color="auto"/>
            <w:left w:val="none" w:sz="0" w:space="0" w:color="auto"/>
            <w:bottom w:val="none" w:sz="0" w:space="0" w:color="auto"/>
            <w:right w:val="none" w:sz="0" w:space="0" w:color="auto"/>
          </w:divBdr>
          <w:divsChild>
            <w:div w:id="2074810649">
              <w:marLeft w:val="0"/>
              <w:marRight w:val="0"/>
              <w:marTop w:val="0"/>
              <w:marBottom w:val="0"/>
              <w:divBdr>
                <w:top w:val="none" w:sz="0" w:space="0" w:color="auto"/>
                <w:left w:val="none" w:sz="0" w:space="0" w:color="auto"/>
                <w:bottom w:val="none" w:sz="0" w:space="0" w:color="auto"/>
                <w:right w:val="none" w:sz="0" w:space="0" w:color="auto"/>
              </w:divBdr>
            </w:div>
          </w:divsChild>
        </w:div>
        <w:div w:id="1604994902">
          <w:marLeft w:val="0"/>
          <w:marRight w:val="0"/>
          <w:marTop w:val="34"/>
          <w:marBottom w:val="10"/>
          <w:divBdr>
            <w:top w:val="none" w:sz="0" w:space="0" w:color="auto"/>
            <w:left w:val="none" w:sz="0" w:space="0" w:color="auto"/>
            <w:bottom w:val="none" w:sz="0" w:space="0" w:color="auto"/>
            <w:right w:val="none" w:sz="0" w:space="0" w:color="auto"/>
          </w:divBdr>
        </w:div>
        <w:div w:id="1608270426">
          <w:marLeft w:val="0"/>
          <w:marRight w:val="0"/>
          <w:marTop w:val="34"/>
          <w:marBottom w:val="10"/>
          <w:divBdr>
            <w:top w:val="none" w:sz="0" w:space="0" w:color="auto"/>
            <w:left w:val="none" w:sz="0" w:space="0" w:color="auto"/>
            <w:bottom w:val="none" w:sz="0" w:space="0" w:color="auto"/>
            <w:right w:val="none" w:sz="0" w:space="0" w:color="auto"/>
          </w:divBdr>
          <w:divsChild>
            <w:div w:id="1192720655">
              <w:marLeft w:val="0"/>
              <w:marRight w:val="0"/>
              <w:marTop w:val="0"/>
              <w:marBottom w:val="0"/>
              <w:divBdr>
                <w:top w:val="none" w:sz="0" w:space="0" w:color="auto"/>
                <w:left w:val="none" w:sz="0" w:space="0" w:color="auto"/>
                <w:bottom w:val="none" w:sz="0" w:space="0" w:color="auto"/>
                <w:right w:val="none" w:sz="0" w:space="0" w:color="auto"/>
              </w:divBdr>
            </w:div>
          </w:divsChild>
        </w:div>
        <w:div w:id="1616139226">
          <w:marLeft w:val="0"/>
          <w:marRight w:val="0"/>
          <w:marTop w:val="34"/>
          <w:marBottom w:val="10"/>
          <w:divBdr>
            <w:top w:val="none" w:sz="0" w:space="0" w:color="auto"/>
            <w:left w:val="none" w:sz="0" w:space="0" w:color="auto"/>
            <w:bottom w:val="none" w:sz="0" w:space="0" w:color="auto"/>
            <w:right w:val="none" w:sz="0" w:space="0" w:color="auto"/>
          </w:divBdr>
          <w:divsChild>
            <w:div w:id="1615404877">
              <w:marLeft w:val="0"/>
              <w:marRight w:val="0"/>
              <w:marTop w:val="0"/>
              <w:marBottom w:val="0"/>
              <w:divBdr>
                <w:top w:val="none" w:sz="0" w:space="0" w:color="auto"/>
                <w:left w:val="none" w:sz="0" w:space="0" w:color="auto"/>
                <w:bottom w:val="none" w:sz="0" w:space="0" w:color="auto"/>
                <w:right w:val="none" w:sz="0" w:space="0" w:color="auto"/>
              </w:divBdr>
            </w:div>
          </w:divsChild>
        </w:div>
        <w:div w:id="1622220757">
          <w:marLeft w:val="0"/>
          <w:marRight w:val="0"/>
          <w:marTop w:val="34"/>
          <w:marBottom w:val="10"/>
          <w:divBdr>
            <w:top w:val="none" w:sz="0" w:space="0" w:color="auto"/>
            <w:left w:val="none" w:sz="0" w:space="0" w:color="auto"/>
            <w:bottom w:val="none" w:sz="0" w:space="0" w:color="auto"/>
            <w:right w:val="none" w:sz="0" w:space="0" w:color="auto"/>
          </w:divBdr>
          <w:divsChild>
            <w:div w:id="2102405599">
              <w:marLeft w:val="0"/>
              <w:marRight w:val="0"/>
              <w:marTop w:val="0"/>
              <w:marBottom w:val="0"/>
              <w:divBdr>
                <w:top w:val="none" w:sz="0" w:space="0" w:color="auto"/>
                <w:left w:val="none" w:sz="0" w:space="0" w:color="auto"/>
                <w:bottom w:val="none" w:sz="0" w:space="0" w:color="auto"/>
                <w:right w:val="none" w:sz="0" w:space="0" w:color="auto"/>
              </w:divBdr>
            </w:div>
          </w:divsChild>
        </w:div>
        <w:div w:id="1635022672">
          <w:marLeft w:val="0"/>
          <w:marRight w:val="0"/>
          <w:marTop w:val="34"/>
          <w:marBottom w:val="10"/>
          <w:divBdr>
            <w:top w:val="none" w:sz="0" w:space="0" w:color="auto"/>
            <w:left w:val="none" w:sz="0" w:space="0" w:color="auto"/>
            <w:bottom w:val="none" w:sz="0" w:space="0" w:color="auto"/>
            <w:right w:val="none" w:sz="0" w:space="0" w:color="auto"/>
          </w:divBdr>
          <w:divsChild>
            <w:div w:id="1508248583">
              <w:marLeft w:val="0"/>
              <w:marRight w:val="0"/>
              <w:marTop w:val="0"/>
              <w:marBottom w:val="0"/>
              <w:divBdr>
                <w:top w:val="none" w:sz="0" w:space="0" w:color="auto"/>
                <w:left w:val="none" w:sz="0" w:space="0" w:color="auto"/>
                <w:bottom w:val="none" w:sz="0" w:space="0" w:color="auto"/>
                <w:right w:val="none" w:sz="0" w:space="0" w:color="auto"/>
              </w:divBdr>
            </w:div>
          </w:divsChild>
        </w:div>
        <w:div w:id="1635871922">
          <w:marLeft w:val="0"/>
          <w:marRight w:val="0"/>
          <w:marTop w:val="34"/>
          <w:marBottom w:val="10"/>
          <w:divBdr>
            <w:top w:val="none" w:sz="0" w:space="0" w:color="auto"/>
            <w:left w:val="none" w:sz="0" w:space="0" w:color="auto"/>
            <w:bottom w:val="none" w:sz="0" w:space="0" w:color="auto"/>
            <w:right w:val="none" w:sz="0" w:space="0" w:color="auto"/>
          </w:divBdr>
          <w:divsChild>
            <w:div w:id="193075638">
              <w:marLeft w:val="0"/>
              <w:marRight w:val="0"/>
              <w:marTop w:val="0"/>
              <w:marBottom w:val="0"/>
              <w:divBdr>
                <w:top w:val="none" w:sz="0" w:space="0" w:color="auto"/>
                <w:left w:val="none" w:sz="0" w:space="0" w:color="auto"/>
                <w:bottom w:val="none" w:sz="0" w:space="0" w:color="auto"/>
                <w:right w:val="none" w:sz="0" w:space="0" w:color="auto"/>
              </w:divBdr>
            </w:div>
          </w:divsChild>
        </w:div>
        <w:div w:id="1645431515">
          <w:marLeft w:val="0"/>
          <w:marRight w:val="0"/>
          <w:marTop w:val="34"/>
          <w:marBottom w:val="10"/>
          <w:divBdr>
            <w:top w:val="none" w:sz="0" w:space="0" w:color="auto"/>
            <w:left w:val="none" w:sz="0" w:space="0" w:color="auto"/>
            <w:bottom w:val="none" w:sz="0" w:space="0" w:color="auto"/>
            <w:right w:val="none" w:sz="0" w:space="0" w:color="auto"/>
          </w:divBdr>
          <w:divsChild>
            <w:div w:id="253563230">
              <w:marLeft w:val="0"/>
              <w:marRight w:val="0"/>
              <w:marTop w:val="0"/>
              <w:marBottom w:val="0"/>
              <w:divBdr>
                <w:top w:val="none" w:sz="0" w:space="0" w:color="auto"/>
                <w:left w:val="none" w:sz="0" w:space="0" w:color="auto"/>
                <w:bottom w:val="none" w:sz="0" w:space="0" w:color="auto"/>
                <w:right w:val="none" w:sz="0" w:space="0" w:color="auto"/>
              </w:divBdr>
            </w:div>
          </w:divsChild>
        </w:div>
        <w:div w:id="1646545043">
          <w:marLeft w:val="0"/>
          <w:marRight w:val="0"/>
          <w:marTop w:val="34"/>
          <w:marBottom w:val="10"/>
          <w:divBdr>
            <w:top w:val="none" w:sz="0" w:space="0" w:color="auto"/>
            <w:left w:val="none" w:sz="0" w:space="0" w:color="auto"/>
            <w:bottom w:val="none" w:sz="0" w:space="0" w:color="auto"/>
            <w:right w:val="none" w:sz="0" w:space="0" w:color="auto"/>
          </w:divBdr>
          <w:divsChild>
            <w:div w:id="2111313163">
              <w:marLeft w:val="0"/>
              <w:marRight w:val="0"/>
              <w:marTop w:val="0"/>
              <w:marBottom w:val="0"/>
              <w:divBdr>
                <w:top w:val="none" w:sz="0" w:space="0" w:color="auto"/>
                <w:left w:val="none" w:sz="0" w:space="0" w:color="auto"/>
                <w:bottom w:val="none" w:sz="0" w:space="0" w:color="auto"/>
                <w:right w:val="none" w:sz="0" w:space="0" w:color="auto"/>
              </w:divBdr>
            </w:div>
          </w:divsChild>
        </w:div>
        <w:div w:id="1648165543">
          <w:marLeft w:val="0"/>
          <w:marRight w:val="0"/>
          <w:marTop w:val="34"/>
          <w:marBottom w:val="10"/>
          <w:divBdr>
            <w:top w:val="none" w:sz="0" w:space="0" w:color="auto"/>
            <w:left w:val="none" w:sz="0" w:space="0" w:color="auto"/>
            <w:bottom w:val="none" w:sz="0" w:space="0" w:color="auto"/>
            <w:right w:val="none" w:sz="0" w:space="0" w:color="auto"/>
          </w:divBdr>
          <w:divsChild>
            <w:div w:id="906107715">
              <w:marLeft w:val="0"/>
              <w:marRight w:val="0"/>
              <w:marTop w:val="0"/>
              <w:marBottom w:val="0"/>
              <w:divBdr>
                <w:top w:val="none" w:sz="0" w:space="0" w:color="auto"/>
                <w:left w:val="none" w:sz="0" w:space="0" w:color="auto"/>
                <w:bottom w:val="none" w:sz="0" w:space="0" w:color="auto"/>
                <w:right w:val="none" w:sz="0" w:space="0" w:color="auto"/>
              </w:divBdr>
            </w:div>
          </w:divsChild>
        </w:div>
        <w:div w:id="1648626140">
          <w:marLeft w:val="0"/>
          <w:marRight w:val="0"/>
          <w:marTop w:val="34"/>
          <w:marBottom w:val="10"/>
          <w:divBdr>
            <w:top w:val="none" w:sz="0" w:space="0" w:color="auto"/>
            <w:left w:val="none" w:sz="0" w:space="0" w:color="auto"/>
            <w:bottom w:val="none" w:sz="0" w:space="0" w:color="auto"/>
            <w:right w:val="none" w:sz="0" w:space="0" w:color="auto"/>
          </w:divBdr>
        </w:div>
        <w:div w:id="1648707825">
          <w:marLeft w:val="0"/>
          <w:marRight w:val="0"/>
          <w:marTop w:val="34"/>
          <w:marBottom w:val="10"/>
          <w:divBdr>
            <w:top w:val="none" w:sz="0" w:space="0" w:color="auto"/>
            <w:left w:val="none" w:sz="0" w:space="0" w:color="auto"/>
            <w:bottom w:val="none" w:sz="0" w:space="0" w:color="auto"/>
            <w:right w:val="none" w:sz="0" w:space="0" w:color="auto"/>
          </w:divBdr>
          <w:divsChild>
            <w:div w:id="670303835">
              <w:marLeft w:val="0"/>
              <w:marRight w:val="0"/>
              <w:marTop w:val="0"/>
              <w:marBottom w:val="0"/>
              <w:divBdr>
                <w:top w:val="none" w:sz="0" w:space="0" w:color="auto"/>
                <w:left w:val="none" w:sz="0" w:space="0" w:color="auto"/>
                <w:bottom w:val="none" w:sz="0" w:space="0" w:color="auto"/>
                <w:right w:val="none" w:sz="0" w:space="0" w:color="auto"/>
              </w:divBdr>
            </w:div>
          </w:divsChild>
        </w:div>
        <w:div w:id="1670061618">
          <w:marLeft w:val="0"/>
          <w:marRight w:val="0"/>
          <w:marTop w:val="34"/>
          <w:marBottom w:val="10"/>
          <w:divBdr>
            <w:top w:val="none" w:sz="0" w:space="0" w:color="auto"/>
            <w:left w:val="none" w:sz="0" w:space="0" w:color="auto"/>
            <w:bottom w:val="none" w:sz="0" w:space="0" w:color="auto"/>
            <w:right w:val="none" w:sz="0" w:space="0" w:color="auto"/>
          </w:divBdr>
          <w:divsChild>
            <w:div w:id="1025444420">
              <w:marLeft w:val="0"/>
              <w:marRight w:val="0"/>
              <w:marTop w:val="0"/>
              <w:marBottom w:val="0"/>
              <w:divBdr>
                <w:top w:val="none" w:sz="0" w:space="0" w:color="auto"/>
                <w:left w:val="none" w:sz="0" w:space="0" w:color="auto"/>
                <w:bottom w:val="none" w:sz="0" w:space="0" w:color="auto"/>
                <w:right w:val="none" w:sz="0" w:space="0" w:color="auto"/>
              </w:divBdr>
            </w:div>
          </w:divsChild>
        </w:div>
        <w:div w:id="1676300800">
          <w:marLeft w:val="0"/>
          <w:marRight w:val="0"/>
          <w:marTop w:val="34"/>
          <w:marBottom w:val="10"/>
          <w:divBdr>
            <w:top w:val="none" w:sz="0" w:space="0" w:color="auto"/>
            <w:left w:val="none" w:sz="0" w:space="0" w:color="auto"/>
            <w:bottom w:val="none" w:sz="0" w:space="0" w:color="auto"/>
            <w:right w:val="none" w:sz="0" w:space="0" w:color="auto"/>
          </w:divBdr>
          <w:divsChild>
            <w:div w:id="1366561896">
              <w:marLeft w:val="0"/>
              <w:marRight w:val="0"/>
              <w:marTop w:val="0"/>
              <w:marBottom w:val="0"/>
              <w:divBdr>
                <w:top w:val="none" w:sz="0" w:space="0" w:color="auto"/>
                <w:left w:val="none" w:sz="0" w:space="0" w:color="auto"/>
                <w:bottom w:val="none" w:sz="0" w:space="0" w:color="auto"/>
                <w:right w:val="none" w:sz="0" w:space="0" w:color="auto"/>
              </w:divBdr>
            </w:div>
          </w:divsChild>
        </w:div>
        <w:div w:id="1691447200">
          <w:marLeft w:val="0"/>
          <w:marRight w:val="0"/>
          <w:marTop w:val="34"/>
          <w:marBottom w:val="10"/>
          <w:divBdr>
            <w:top w:val="none" w:sz="0" w:space="0" w:color="auto"/>
            <w:left w:val="none" w:sz="0" w:space="0" w:color="auto"/>
            <w:bottom w:val="none" w:sz="0" w:space="0" w:color="auto"/>
            <w:right w:val="none" w:sz="0" w:space="0" w:color="auto"/>
          </w:divBdr>
          <w:divsChild>
            <w:div w:id="750737633">
              <w:marLeft w:val="0"/>
              <w:marRight w:val="0"/>
              <w:marTop w:val="0"/>
              <w:marBottom w:val="0"/>
              <w:divBdr>
                <w:top w:val="none" w:sz="0" w:space="0" w:color="auto"/>
                <w:left w:val="none" w:sz="0" w:space="0" w:color="auto"/>
                <w:bottom w:val="none" w:sz="0" w:space="0" w:color="auto"/>
                <w:right w:val="none" w:sz="0" w:space="0" w:color="auto"/>
              </w:divBdr>
            </w:div>
          </w:divsChild>
        </w:div>
        <w:div w:id="1696152017">
          <w:marLeft w:val="0"/>
          <w:marRight w:val="0"/>
          <w:marTop w:val="34"/>
          <w:marBottom w:val="10"/>
          <w:divBdr>
            <w:top w:val="none" w:sz="0" w:space="0" w:color="auto"/>
            <w:left w:val="none" w:sz="0" w:space="0" w:color="auto"/>
            <w:bottom w:val="none" w:sz="0" w:space="0" w:color="auto"/>
            <w:right w:val="none" w:sz="0" w:space="0" w:color="auto"/>
          </w:divBdr>
          <w:divsChild>
            <w:div w:id="920722323">
              <w:marLeft w:val="0"/>
              <w:marRight w:val="0"/>
              <w:marTop w:val="0"/>
              <w:marBottom w:val="0"/>
              <w:divBdr>
                <w:top w:val="none" w:sz="0" w:space="0" w:color="auto"/>
                <w:left w:val="none" w:sz="0" w:space="0" w:color="auto"/>
                <w:bottom w:val="none" w:sz="0" w:space="0" w:color="auto"/>
                <w:right w:val="none" w:sz="0" w:space="0" w:color="auto"/>
              </w:divBdr>
            </w:div>
          </w:divsChild>
        </w:div>
        <w:div w:id="1697538993">
          <w:marLeft w:val="0"/>
          <w:marRight w:val="0"/>
          <w:marTop w:val="34"/>
          <w:marBottom w:val="10"/>
          <w:divBdr>
            <w:top w:val="none" w:sz="0" w:space="0" w:color="auto"/>
            <w:left w:val="none" w:sz="0" w:space="0" w:color="auto"/>
            <w:bottom w:val="none" w:sz="0" w:space="0" w:color="auto"/>
            <w:right w:val="none" w:sz="0" w:space="0" w:color="auto"/>
          </w:divBdr>
          <w:divsChild>
            <w:div w:id="1753158997">
              <w:marLeft w:val="0"/>
              <w:marRight w:val="0"/>
              <w:marTop w:val="0"/>
              <w:marBottom w:val="0"/>
              <w:divBdr>
                <w:top w:val="none" w:sz="0" w:space="0" w:color="auto"/>
                <w:left w:val="none" w:sz="0" w:space="0" w:color="auto"/>
                <w:bottom w:val="none" w:sz="0" w:space="0" w:color="auto"/>
                <w:right w:val="none" w:sz="0" w:space="0" w:color="auto"/>
              </w:divBdr>
            </w:div>
          </w:divsChild>
        </w:div>
        <w:div w:id="1698583979">
          <w:marLeft w:val="0"/>
          <w:marRight w:val="0"/>
          <w:marTop w:val="34"/>
          <w:marBottom w:val="10"/>
          <w:divBdr>
            <w:top w:val="none" w:sz="0" w:space="0" w:color="auto"/>
            <w:left w:val="none" w:sz="0" w:space="0" w:color="auto"/>
            <w:bottom w:val="none" w:sz="0" w:space="0" w:color="auto"/>
            <w:right w:val="none" w:sz="0" w:space="0" w:color="auto"/>
          </w:divBdr>
          <w:divsChild>
            <w:div w:id="393236832">
              <w:marLeft w:val="0"/>
              <w:marRight w:val="0"/>
              <w:marTop w:val="0"/>
              <w:marBottom w:val="0"/>
              <w:divBdr>
                <w:top w:val="none" w:sz="0" w:space="0" w:color="auto"/>
                <w:left w:val="none" w:sz="0" w:space="0" w:color="auto"/>
                <w:bottom w:val="none" w:sz="0" w:space="0" w:color="auto"/>
                <w:right w:val="none" w:sz="0" w:space="0" w:color="auto"/>
              </w:divBdr>
            </w:div>
          </w:divsChild>
        </w:div>
        <w:div w:id="1701399445">
          <w:marLeft w:val="0"/>
          <w:marRight w:val="0"/>
          <w:marTop w:val="34"/>
          <w:marBottom w:val="10"/>
          <w:divBdr>
            <w:top w:val="none" w:sz="0" w:space="0" w:color="auto"/>
            <w:left w:val="none" w:sz="0" w:space="0" w:color="auto"/>
            <w:bottom w:val="none" w:sz="0" w:space="0" w:color="auto"/>
            <w:right w:val="none" w:sz="0" w:space="0" w:color="auto"/>
          </w:divBdr>
          <w:divsChild>
            <w:div w:id="267812862">
              <w:marLeft w:val="0"/>
              <w:marRight w:val="0"/>
              <w:marTop w:val="0"/>
              <w:marBottom w:val="0"/>
              <w:divBdr>
                <w:top w:val="none" w:sz="0" w:space="0" w:color="auto"/>
                <w:left w:val="none" w:sz="0" w:space="0" w:color="auto"/>
                <w:bottom w:val="none" w:sz="0" w:space="0" w:color="auto"/>
                <w:right w:val="none" w:sz="0" w:space="0" w:color="auto"/>
              </w:divBdr>
            </w:div>
          </w:divsChild>
        </w:div>
        <w:div w:id="1701970634">
          <w:marLeft w:val="0"/>
          <w:marRight w:val="0"/>
          <w:marTop w:val="34"/>
          <w:marBottom w:val="10"/>
          <w:divBdr>
            <w:top w:val="none" w:sz="0" w:space="0" w:color="auto"/>
            <w:left w:val="none" w:sz="0" w:space="0" w:color="auto"/>
            <w:bottom w:val="none" w:sz="0" w:space="0" w:color="auto"/>
            <w:right w:val="none" w:sz="0" w:space="0" w:color="auto"/>
          </w:divBdr>
          <w:divsChild>
            <w:div w:id="1808817424">
              <w:marLeft w:val="0"/>
              <w:marRight w:val="0"/>
              <w:marTop w:val="0"/>
              <w:marBottom w:val="0"/>
              <w:divBdr>
                <w:top w:val="none" w:sz="0" w:space="0" w:color="auto"/>
                <w:left w:val="none" w:sz="0" w:space="0" w:color="auto"/>
                <w:bottom w:val="none" w:sz="0" w:space="0" w:color="auto"/>
                <w:right w:val="none" w:sz="0" w:space="0" w:color="auto"/>
              </w:divBdr>
            </w:div>
          </w:divsChild>
        </w:div>
        <w:div w:id="1714764958">
          <w:marLeft w:val="0"/>
          <w:marRight w:val="0"/>
          <w:marTop w:val="34"/>
          <w:marBottom w:val="10"/>
          <w:divBdr>
            <w:top w:val="none" w:sz="0" w:space="0" w:color="auto"/>
            <w:left w:val="none" w:sz="0" w:space="0" w:color="auto"/>
            <w:bottom w:val="none" w:sz="0" w:space="0" w:color="auto"/>
            <w:right w:val="none" w:sz="0" w:space="0" w:color="auto"/>
          </w:divBdr>
        </w:div>
        <w:div w:id="1716463362">
          <w:marLeft w:val="0"/>
          <w:marRight w:val="0"/>
          <w:marTop w:val="34"/>
          <w:marBottom w:val="10"/>
          <w:divBdr>
            <w:top w:val="none" w:sz="0" w:space="0" w:color="auto"/>
            <w:left w:val="none" w:sz="0" w:space="0" w:color="auto"/>
            <w:bottom w:val="none" w:sz="0" w:space="0" w:color="auto"/>
            <w:right w:val="none" w:sz="0" w:space="0" w:color="auto"/>
          </w:divBdr>
          <w:divsChild>
            <w:div w:id="919339451">
              <w:marLeft w:val="0"/>
              <w:marRight w:val="0"/>
              <w:marTop w:val="0"/>
              <w:marBottom w:val="0"/>
              <w:divBdr>
                <w:top w:val="none" w:sz="0" w:space="0" w:color="auto"/>
                <w:left w:val="none" w:sz="0" w:space="0" w:color="auto"/>
                <w:bottom w:val="none" w:sz="0" w:space="0" w:color="auto"/>
                <w:right w:val="none" w:sz="0" w:space="0" w:color="auto"/>
              </w:divBdr>
            </w:div>
          </w:divsChild>
        </w:div>
        <w:div w:id="1721128869">
          <w:marLeft w:val="0"/>
          <w:marRight w:val="0"/>
          <w:marTop w:val="34"/>
          <w:marBottom w:val="10"/>
          <w:divBdr>
            <w:top w:val="none" w:sz="0" w:space="0" w:color="auto"/>
            <w:left w:val="none" w:sz="0" w:space="0" w:color="auto"/>
            <w:bottom w:val="none" w:sz="0" w:space="0" w:color="auto"/>
            <w:right w:val="none" w:sz="0" w:space="0" w:color="auto"/>
          </w:divBdr>
          <w:divsChild>
            <w:div w:id="809173745">
              <w:marLeft w:val="0"/>
              <w:marRight w:val="0"/>
              <w:marTop w:val="0"/>
              <w:marBottom w:val="0"/>
              <w:divBdr>
                <w:top w:val="none" w:sz="0" w:space="0" w:color="auto"/>
                <w:left w:val="none" w:sz="0" w:space="0" w:color="auto"/>
                <w:bottom w:val="none" w:sz="0" w:space="0" w:color="auto"/>
                <w:right w:val="none" w:sz="0" w:space="0" w:color="auto"/>
              </w:divBdr>
            </w:div>
          </w:divsChild>
        </w:div>
        <w:div w:id="1733917731">
          <w:marLeft w:val="0"/>
          <w:marRight w:val="0"/>
          <w:marTop w:val="34"/>
          <w:marBottom w:val="10"/>
          <w:divBdr>
            <w:top w:val="none" w:sz="0" w:space="0" w:color="auto"/>
            <w:left w:val="none" w:sz="0" w:space="0" w:color="auto"/>
            <w:bottom w:val="none" w:sz="0" w:space="0" w:color="auto"/>
            <w:right w:val="none" w:sz="0" w:space="0" w:color="auto"/>
          </w:divBdr>
          <w:divsChild>
            <w:div w:id="1233003482">
              <w:marLeft w:val="0"/>
              <w:marRight w:val="0"/>
              <w:marTop w:val="0"/>
              <w:marBottom w:val="0"/>
              <w:divBdr>
                <w:top w:val="none" w:sz="0" w:space="0" w:color="auto"/>
                <w:left w:val="none" w:sz="0" w:space="0" w:color="auto"/>
                <w:bottom w:val="none" w:sz="0" w:space="0" w:color="auto"/>
                <w:right w:val="none" w:sz="0" w:space="0" w:color="auto"/>
              </w:divBdr>
            </w:div>
          </w:divsChild>
        </w:div>
        <w:div w:id="1736007342">
          <w:marLeft w:val="0"/>
          <w:marRight w:val="0"/>
          <w:marTop w:val="34"/>
          <w:marBottom w:val="10"/>
          <w:divBdr>
            <w:top w:val="none" w:sz="0" w:space="0" w:color="auto"/>
            <w:left w:val="none" w:sz="0" w:space="0" w:color="auto"/>
            <w:bottom w:val="none" w:sz="0" w:space="0" w:color="auto"/>
            <w:right w:val="none" w:sz="0" w:space="0" w:color="auto"/>
          </w:divBdr>
          <w:divsChild>
            <w:div w:id="1955861164">
              <w:marLeft w:val="0"/>
              <w:marRight w:val="0"/>
              <w:marTop w:val="0"/>
              <w:marBottom w:val="0"/>
              <w:divBdr>
                <w:top w:val="none" w:sz="0" w:space="0" w:color="auto"/>
                <w:left w:val="none" w:sz="0" w:space="0" w:color="auto"/>
                <w:bottom w:val="none" w:sz="0" w:space="0" w:color="auto"/>
                <w:right w:val="none" w:sz="0" w:space="0" w:color="auto"/>
              </w:divBdr>
            </w:div>
          </w:divsChild>
        </w:div>
        <w:div w:id="1746947841">
          <w:marLeft w:val="0"/>
          <w:marRight w:val="0"/>
          <w:marTop w:val="34"/>
          <w:marBottom w:val="10"/>
          <w:divBdr>
            <w:top w:val="none" w:sz="0" w:space="0" w:color="auto"/>
            <w:left w:val="none" w:sz="0" w:space="0" w:color="auto"/>
            <w:bottom w:val="none" w:sz="0" w:space="0" w:color="auto"/>
            <w:right w:val="none" w:sz="0" w:space="0" w:color="auto"/>
          </w:divBdr>
        </w:div>
        <w:div w:id="1756588239">
          <w:marLeft w:val="0"/>
          <w:marRight w:val="0"/>
          <w:marTop w:val="34"/>
          <w:marBottom w:val="10"/>
          <w:divBdr>
            <w:top w:val="none" w:sz="0" w:space="0" w:color="auto"/>
            <w:left w:val="none" w:sz="0" w:space="0" w:color="auto"/>
            <w:bottom w:val="none" w:sz="0" w:space="0" w:color="auto"/>
            <w:right w:val="none" w:sz="0" w:space="0" w:color="auto"/>
          </w:divBdr>
          <w:divsChild>
            <w:div w:id="1033111145">
              <w:marLeft w:val="0"/>
              <w:marRight w:val="0"/>
              <w:marTop w:val="0"/>
              <w:marBottom w:val="0"/>
              <w:divBdr>
                <w:top w:val="none" w:sz="0" w:space="0" w:color="auto"/>
                <w:left w:val="none" w:sz="0" w:space="0" w:color="auto"/>
                <w:bottom w:val="none" w:sz="0" w:space="0" w:color="auto"/>
                <w:right w:val="none" w:sz="0" w:space="0" w:color="auto"/>
              </w:divBdr>
            </w:div>
          </w:divsChild>
        </w:div>
        <w:div w:id="1767921902">
          <w:marLeft w:val="0"/>
          <w:marRight w:val="0"/>
          <w:marTop w:val="34"/>
          <w:marBottom w:val="10"/>
          <w:divBdr>
            <w:top w:val="none" w:sz="0" w:space="0" w:color="auto"/>
            <w:left w:val="none" w:sz="0" w:space="0" w:color="auto"/>
            <w:bottom w:val="none" w:sz="0" w:space="0" w:color="auto"/>
            <w:right w:val="none" w:sz="0" w:space="0" w:color="auto"/>
          </w:divBdr>
          <w:divsChild>
            <w:div w:id="430013365">
              <w:marLeft w:val="0"/>
              <w:marRight w:val="0"/>
              <w:marTop w:val="0"/>
              <w:marBottom w:val="0"/>
              <w:divBdr>
                <w:top w:val="none" w:sz="0" w:space="0" w:color="auto"/>
                <w:left w:val="none" w:sz="0" w:space="0" w:color="auto"/>
                <w:bottom w:val="none" w:sz="0" w:space="0" w:color="auto"/>
                <w:right w:val="none" w:sz="0" w:space="0" w:color="auto"/>
              </w:divBdr>
            </w:div>
          </w:divsChild>
        </w:div>
        <w:div w:id="1768119132">
          <w:marLeft w:val="0"/>
          <w:marRight w:val="0"/>
          <w:marTop w:val="34"/>
          <w:marBottom w:val="10"/>
          <w:divBdr>
            <w:top w:val="none" w:sz="0" w:space="0" w:color="auto"/>
            <w:left w:val="none" w:sz="0" w:space="0" w:color="auto"/>
            <w:bottom w:val="none" w:sz="0" w:space="0" w:color="auto"/>
            <w:right w:val="none" w:sz="0" w:space="0" w:color="auto"/>
          </w:divBdr>
          <w:divsChild>
            <w:div w:id="1383015222">
              <w:marLeft w:val="0"/>
              <w:marRight w:val="0"/>
              <w:marTop w:val="0"/>
              <w:marBottom w:val="0"/>
              <w:divBdr>
                <w:top w:val="none" w:sz="0" w:space="0" w:color="auto"/>
                <w:left w:val="none" w:sz="0" w:space="0" w:color="auto"/>
                <w:bottom w:val="none" w:sz="0" w:space="0" w:color="auto"/>
                <w:right w:val="none" w:sz="0" w:space="0" w:color="auto"/>
              </w:divBdr>
            </w:div>
          </w:divsChild>
        </w:div>
        <w:div w:id="1776703330">
          <w:marLeft w:val="0"/>
          <w:marRight w:val="0"/>
          <w:marTop w:val="0"/>
          <w:marBottom w:val="0"/>
          <w:divBdr>
            <w:top w:val="none" w:sz="0" w:space="0" w:color="auto"/>
            <w:left w:val="none" w:sz="0" w:space="0" w:color="auto"/>
            <w:bottom w:val="none" w:sz="0" w:space="0" w:color="auto"/>
            <w:right w:val="none" w:sz="0" w:space="0" w:color="auto"/>
          </w:divBdr>
        </w:div>
        <w:div w:id="1795755112">
          <w:marLeft w:val="0"/>
          <w:marRight w:val="0"/>
          <w:marTop w:val="34"/>
          <w:marBottom w:val="10"/>
          <w:divBdr>
            <w:top w:val="none" w:sz="0" w:space="0" w:color="auto"/>
            <w:left w:val="none" w:sz="0" w:space="0" w:color="auto"/>
            <w:bottom w:val="none" w:sz="0" w:space="0" w:color="auto"/>
            <w:right w:val="none" w:sz="0" w:space="0" w:color="auto"/>
          </w:divBdr>
          <w:divsChild>
            <w:div w:id="903639341">
              <w:marLeft w:val="0"/>
              <w:marRight w:val="0"/>
              <w:marTop w:val="0"/>
              <w:marBottom w:val="0"/>
              <w:divBdr>
                <w:top w:val="none" w:sz="0" w:space="0" w:color="auto"/>
                <w:left w:val="none" w:sz="0" w:space="0" w:color="auto"/>
                <w:bottom w:val="none" w:sz="0" w:space="0" w:color="auto"/>
                <w:right w:val="none" w:sz="0" w:space="0" w:color="auto"/>
              </w:divBdr>
            </w:div>
          </w:divsChild>
        </w:div>
        <w:div w:id="1796630190">
          <w:marLeft w:val="0"/>
          <w:marRight w:val="0"/>
          <w:marTop w:val="34"/>
          <w:marBottom w:val="10"/>
          <w:divBdr>
            <w:top w:val="none" w:sz="0" w:space="0" w:color="auto"/>
            <w:left w:val="none" w:sz="0" w:space="0" w:color="auto"/>
            <w:bottom w:val="none" w:sz="0" w:space="0" w:color="auto"/>
            <w:right w:val="none" w:sz="0" w:space="0" w:color="auto"/>
          </w:divBdr>
          <w:divsChild>
            <w:div w:id="1372922612">
              <w:marLeft w:val="0"/>
              <w:marRight w:val="0"/>
              <w:marTop w:val="0"/>
              <w:marBottom w:val="0"/>
              <w:divBdr>
                <w:top w:val="none" w:sz="0" w:space="0" w:color="auto"/>
                <w:left w:val="none" w:sz="0" w:space="0" w:color="auto"/>
                <w:bottom w:val="none" w:sz="0" w:space="0" w:color="auto"/>
                <w:right w:val="none" w:sz="0" w:space="0" w:color="auto"/>
              </w:divBdr>
            </w:div>
          </w:divsChild>
        </w:div>
        <w:div w:id="1800763659">
          <w:marLeft w:val="0"/>
          <w:marRight w:val="0"/>
          <w:marTop w:val="34"/>
          <w:marBottom w:val="10"/>
          <w:divBdr>
            <w:top w:val="none" w:sz="0" w:space="0" w:color="auto"/>
            <w:left w:val="none" w:sz="0" w:space="0" w:color="auto"/>
            <w:bottom w:val="none" w:sz="0" w:space="0" w:color="auto"/>
            <w:right w:val="none" w:sz="0" w:space="0" w:color="auto"/>
          </w:divBdr>
          <w:divsChild>
            <w:div w:id="1095829244">
              <w:marLeft w:val="0"/>
              <w:marRight w:val="0"/>
              <w:marTop w:val="0"/>
              <w:marBottom w:val="0"/>
              <w:divBdr>
                <w:top w:val="none" w:sz="0" w:space="0" w:color="auto"/>
                <w:left w:val="none" w:sz="0" w:space="0" w:color="auto"/>
                <w:bottom w:val="none" w:sz="0" w:space="0" w:color="auto"/>
                <w:right w:val="none" w:sz="0" w:space="0" w:color="auto"/>
              </w:divBdr>
            </w:div>
          </w:divsChild>
        </w:div>
        <w:div w:id="1832716666">
          <w:marLeft w:val="0"/>
          <w:marRight w:val="0"/>
          <w:marTop w:val="34"/>
          <w:marBottom w:val="10"/>
          <w:divBdr>
            <w:top w:val="none" w:sz="0" w:space="0" w:color="auto"/>
            <w:left w:val="none" w:sz="0" w:space="0" w:color="auto"/>
            <w:bottom w:val="none" w:sz="0" w:space="0" w:color="auto"/>
            <w:right w:val="none" w:sz="0" w:space="0" w:color="auto"/>
          </w:divBdr>
          <w:divsChild>
            <w:div w:id="2141485344">
              <w:marLeft w:val="0"/>
              <w:marRight w:val="0"/>
              <w:marTop w:val="0"/>
              <w:marBottom w:val="0"/>
              <w:divBdr>
                <w:top w:val="none" w:sz="0" w:space="0" w:color="auto"/>
                <w:left w:val="none" w:sz="0" w:space="0" w:color="auto"/>
                <w:bottom w:val="none" w:sz="0" w:space="0" w:color="auto"/>
                <w:right w:val="none" w:sz="0" w:space="0" w:color="auto"/>
              </w:divBdr>
            </w:div>
          </w:divsChild>
        </w:div>
        <w:div w:id="1848591140">
          <w:marLeft w:val="0"/>
          <w:marRight w:val="0"/>
          <w:marTop w:val="34"/>
          <w:marBottom w:val="10"/>
          <w:divBdr>
            <w:top w:val="none" w:sz="0" w:space="0" w:color="auto"/>
            <w:left w:val="none" w:sz="0" w:space="0" w:color="auto"/>
            <w:bottom w:val="none" w:sz="0" w:space="0" w:color="auto"/>
            <w:right w:val="none" w:sz="0" w:space="0" w:color="auto"/>
          </w:divBdr>
          <w:divsChild>
            <w:div w:id="1897159903">
              <w:marLeft w:val="0"/>
              <w:marRight w:val="0"/>
              <w:marTop w:val="0"/>
              <w:marBottom w:val="0"/>
              <w:divBdr>
                <w:top w:val="none" w:sz="0" w:space="0" w:color="auto"/>
                <w:left w:val="none" w:sz="0" w:space="0" w:color="auto"/>
                <w:bottom w:val="none" w:sz="0" w:space="0" w:color="auto"/>
                <w:right w:val="none" w:sz="0" w:space="0" w:color="auto"/>
              </w:divBdr>
            </w:div>
          </w:divsChild>
        </w:div>
        <w:div w:id="1853303644">
          <w:marLeft w:val="0"/>
          <w:marRight w:val="0"/>
          <w:marTop w:val="34"/>
          <w:marBottom w:val="10"/>
          <w:divBdr>
            <w:top w:val="none" w:sz="0" w:space="0" w:color="auto"/>
            <w:left w:val="none" w:sz="0" w:space="0" w:color="auto"/>
            <w:bottom w:val="none" w:sz="0" w:space="0" w:color="auto"/>
            <w:right w:val="none" w:sz="0" w:space="0" w:color="auto"/>
          </w:divBdr>
          <w:divsChild>
            <w:div w:id="1142581929">
              <w:marLeft w:val="0"/>
              <w:marRight w:val="0"/>
              <w:marTop w:val="0"/>
              <w:marBottom w:val="0"/>
              <w:divBdr>
                <w:top w:val="none" w:sz="0" w:space="0" w:color="auto"/>
                <w:left w:val="none" w:sz="0" w:space="0" w:color="auto"/>
                <w:bottom w:val="none" w:sz="0" w:space="0" w:color="auto"/>
                <w:right w:val="none" w:sz="0" w:space="0" w:color="auto"/>
              </w:divBdr>
            </w:div>
          </w:divsChild>
        </w:div>
        <w:div w:id="1863279221">
          <w:marLeft w:val="0"/>
          <w:marRight w:val="0"/>
          <w:marTop w:val="34"/>
          <w:marBottom w:val="10"/>
          <w:divBdr>
            <w:top w:val="none" w:sz="0" w:space="0" w:color="auto"/>
            <w:left w:val="none" w:sz="0" w:space="0" w:color="auto"/>
            <w:bottom w:val="none" w:sz="0" w:space="0" w:color="auto"/>
            <w:right w:val="none" w:sz="0" w:space="0" w:color="auto"/>
          </w:divBdr>
          <w:divsChild>
            <w:div w:id="288514795">
              <w:marLeft w:val="0"/>
              <w:marRight w:val="0"/>
              <w:marTop w:val="0"/>
              <w:marBottom w:val="0"/>
              <w:divBdr>
                <w:top w:val="none" w:sz="0" w:space="0" w:color="auto"/>
                <w:left w:val="none" w:sz="0" w:space="0" w:color="auto"/>
                <w:bottom w:val="none" w:sz="0" w:space="0" w:color="auto"/>
                <w:right w:val="none" w:sz="0" w:space="0" w:color="auto"/>
              </w:divBdr>
            </w:div>
          </w:divsChild>
        </w:div>
        <w:div w:id="1870336657">
          <w:marLeft w:val="0"/>
          <w:marRight w:val="0"/>
          <w:marTop w:val="34"/>
          <w:marBottom w:val="10"/>
          <w:divBdr>
            <w:top w:val="none" w:sz="0" w:space="0" w:color="auto"/>
            <w:left w:val="none" w:sz="0" w:space="0" w:color="auto"/>
            <w:bottom w:val="none" w:sz="0" w:space="0" w:color="auto"/>
            <w:right w:val="none" w:sz="0" w:space="0" w:color="auto"/>
          </w:divBdr>
          <w:divsChild>
            <w:div w:id="84230952">
              <w:marLeft w:val="0"/>
              <w:marRight w:val="0"/>
              <w:marTop w:val="0"/>
              <w:marBottom w:val="0"/>
              <w:divBdr>
                <w:top w:val="none" w:sz="0" w:space="0" w:color="auto"/>
                <w:left w:val="none" w:sz="0" w:space="0" w:color="auto"/>
                <w:bottom w:val="none" w:sz="0" w:space="0" w:color="auto"/>
                <w:right w:val="none" w:sz="0" w:space="0" w:color="auto"/>
              </w:divBdr>
            </w:div>
          </w:divsChild>
        </w:div>
        <w:div w:id="1870605211">
          <w:marLeft w:val="0"/>
          <w:marRight w:val="0"/>
          <w:marTop w:val="34"/>
          <w:marBottom w:val="10"/>
          <w:divBdr>
            <w:top w:val="none" w:sz="0" w:space="0" w:color="auto"/>
            <w:left w:val="none" w:sz="0" w:space="0" w:color="auto"/>
            <w:bottom w:val="none" w:sz="0" w:space="0" w:color="auto"/>
            <w:right w:val="none" w:sz="0" w:space="0" w:color="auto"/>
          </w:divBdr>
          <w:divsChild>
            <w:div w:id="891770388">
              <w:marLeft w:val="0"/>
              <w:marRight w:val="0"/>
              <w:marTop w:val="0"/>
              <w:marBottom w:val="0"/>
              <w:divBdr>
                <w:top w:val="none" w:sz="0" w:space="0" w:color="auto"/>
                <w:left w:val="none" w:sz="0" w:space="0" w:color="auto"/>
                <w:bottom w:val="none" w:sz="0" w:space="0" w:color="auto"/>
                <w:right w:val="none" w:sz="0" w:space="0" w:color="auto"/>
              </w:divBdr>
            </w:div>
          </w:divsChild>
        </w:div>
        <w:div w:id="1875387136">
          <w:marLeft w:val="0"/>
          <w:marRight w:val="0"/>
          <w:marTop w:val="34"/>
          <w:marBottom w:val="10"/>
          <w:divBdr>
            <w:top w:val="none" w:sz="0" w:space="0" w:color="auto"/>
            <w:left w:val="none" w:sz="0" w:space="0" w:color="auto"/>
            <w:bottom w:val="none" w:sz="0" w:space="0" w:color="auto"/>
            <w:right w:val="none" w:sz="0" w:space="0" w:color="auto"/>
          </w:divBdr>
          <w:divsChild>
            <w:div w:id="1973290978">
              <w:marLeft w:val="0"/>
              <w:marRight w:val="0"/>
              <w:marTop w:val="0"/>
              <w:marBottom w:val="0"/>
              <w:divBdr>
                <w:top w:val="none" w:sz="0" w:space="0" w:color="auto"/>
                <w:left w:val="none" w:sz="0" w:space="0" w:color="auto"/>
                <w:bottom w:val="none" w:sz="0" w:space="0" w:color="auto"/>
                <w:right w:val="none" w:sz="0" w:space="0" w:color="auto"/>
              </w:divBdr>
            </w:div>
          </w:divsChild>
        </w:div>
        <w:div w:id="1898396421">
          <w:marLeft w:val="0"/>
          <w:marRight w:val="0"/>
          <w:marTop w:val="34"/>
          <w:marBottom w:val="10"/>
          <w:divBdr>
            <w:top w:val="none" w:sz="0" w:space="0" w:color="auto"/>
            <w:left w:val="none" w:sz="0" w:space="0" w:color="auto"/>
            <w:bottom w:val="none" w:sz="0" w:space="0" w:color="auto"/>
            <w:right w:val="none" w:sz="0" w:space="0" w:color="auto"/>
          </w:divBdr>
          <w:divsChild>
            <w:div w:id="1636059010">
              <w:marLeft w:val="0"/>
              <w:marRight w:val="0"/>
              <w:marTop w:val="0"/>
              <w:marBottom w:val="0"/>
              <w:divBdr>
                <w:top w:val="none" w:sz="0" w:space="0" w:color="auto"/>
                <w:left w:val="none" w:sz="0" w:space="0" w:color="auto"/>
                <w:bottom w:val="none" w:sz="0" w:space="0" w:color="auto"/>
                <w:right w:val="none" w:sz="0" w:space="0" w:color="auto"/>
              </w:divBdr>
            </w:div>
          </w:divsChild>
        </w:div>
        <w:div w:id="1899783529">
          <w:marLeft w:val="0"/>
          <w:marRight w:val="0"/>
          <w:marTop w:val="34"/>
          <w:marBottom w:val="10"/>
          <w:divBdr>
            <w:top w:val="none" w:sz="0" w:space="0" w:color="auto"/>
            <w:left w:val="none" w:sz="0" w:space="0" w:color="auto"/>
            <w:bottom w:val="none" w:sz="0" w:space="0" w:color="auto"/>
            <w:right w:val="none" w:sz="0" w:space="0" w:color="auto"/>
          </w:divBdr>
          <w:divsChild>
            <w:div w:id="1028094687">
              <w:marLeft w:val="0"/>
              <w:marRight w:val="0"/>
              <w:marTop w:val="0"/>
              <w:marBottom w:val="0"/>
              <w:divBdr>
                <w:top w:val="none" w:sz="0" w:space="0" w:color="auto"/>
                <w:left w:val="none" w:sz="0" w:space="0" w:color="auto"/>
                <w:bottom w:val="none" w:sz="0" w:space="0" w:color="auto"/>
                <w:right w:val="none" w:sz="0" w:space="0" w:color="auto"/>
              </w:divBdr>
            </w:div>
          </w:divsChild>
        </w:div>
        <w:div w:id="1901820659">
          <w:marLeft w:val="0"/>
          <w:marRight w:val="0"/>
          <w:marTop w:val="34"/>
          <w:marBottom w:val="10"/>
          <w:divBdr>
            <w:top w:val="none" w:sz="0" w:space="0" w:color="auto"/>
            <w:left w:val="none" w:sz="0" w:space="0" w:color="auto"/>
            <w:bottom w:val="none" w:sz="0" w:space="0" w:color="auto"/>
            <w:right w:val="none" w:sz="0" w:space="0" w:color="auto"/>
          </w:divBdr>
          <w:divsChild>
            <w:div w:id="1057630450">
              <w:marLeft w:val="0"/>
              <w:marRight w:val="0"/>
              <w:marTop w:val="0"/>
              <w:marBottom w:val="0"/>
              <w:divBdr>
                <w:top w:val="none" w:sz="0" w:space="0" w:color="auto"/>
                <w:left w:val="none" w:sz="0" w:space="0" w:color="auto"/>
                <w:bottom w:val="none" w:sz="0" w:space="0" w:color="auto"/>
                <w:right w:val="none" w:sz="0" w:space="0" w:color="auto"/>
              </w:divBdr>
            </w:div>
          </w:divsChild>
        </w:div>
        <w:div w:id="1922057866">
          <w:marLeft w:val="0"/>
          <w:marRight w:val="0"/>
          <w:marTop w:val="34"/>
          <w:marBottom w:val="10"/>
          <w:divBdr>
            <w:top w:val="none" w:sz="0" w:space="0" w:color="auto"/>
            <w:left w:val="none" w:sz="0" w:space="0" w:color="auto"/>
            <w:bottom w:val="none" w:sz="0" w:space="0" w:color="auto"/>
            <w:right w:val="none" w:sz="0" w:space="0" w:color="auto"/>
          </w:divBdr>
          <w:divsChild>
            <w:div w:id="71126525">
              <w:marLeft w:val="0"/>
              <w:marRight w:val="0"/>
              <w:marTop w:val="0"/>
              <w:marBottom w:val="0"/>
              <w:divBdr>
                <w:top w:val="none" w:sz="0" w:space="0" w:color="auto"/>
                <w:left w:val="none" w:sz="0" w:space="0" w:color="auto"/>
                <w:bottom w:val="none" w:sz="0" w:space="0" w:color="auto"/>
                <w:right w:val="none" w:sz="0" w:space="0" w:color="auto"/>
              </w:divBdr>
            </w:div>
          </w:divsChild>
        </w:div>
        <w:div w:id="1928883866">
          <w:marLeft w:val="0"/>
          <w:marRight w:val="0"/>
          <w:marTop w:val="34"/>
          <w:marBottom w:val="10"/>
          <w:divBdr>
            <w:top w:val="none" w:sz="0" w:space="0" w:color="auto"/>
            <w:left w:val="none" w:sz="0" w:space="0" w:color="auto"/>
            <w:bottom w:val="none" w:sz="0" w:space="0" w:color="auto"/>
            <w:right w:val="none" w:sz="0" w:space="0" w:color="auto"/>
          </w:divBdr>
          <w:divsChild>
            <w:div w:id="580719293">
              <w:marLeft w:val="0"/>
              <w:marRight w:val="0"/>
              <w:marTop w:val="0"/>
              <w:marBottom w:val="0"/>
              <w:divBdr>
                <w:top w:val="none" w:sz="0" w:space="0" w:color="auto"/>
                <w:left w:val="none" w:sz="0" w:space="0" w:color="auto"/>
                <w:bottom w:val="none" w:sz="0" w:space="0" w:color="auto"/>
                <w:right w:val="none" w:sz="0" w:space="0" w:color="auto"/>
              </w:divBdr>
            </w:div>
          </w:divsChild>
        </w:div>
        <w:div w:id="1938172660">
          <w:marLeft w:val="0"/>
          <w:marRight w:val="0"/>
          <w:marTop w:val="34"/>
          <w:marBottom w:val="10"/>
          <w:divBdr>
            <w:top w:val="none" w:sz="0" w:space="0" w:color="auto"/>
            <w:left w:val="none" w:sz="0" w:space="0" w:color="auto"/>
            <w:bottom w:val="none" w:sz="0" w:space="0" w:color="auto"/>
            <w:right w:val="none" w:sz="0" w:space="0" w:color="auto"/>
          </w:divBdr>
          <w:divsChild>
            <w:div w:id="343172079">
              <w:marLeft w:val="0"/>
              <w:marRight w:val="0"/>
              <w:marTop w:val="0"/>
              <w:marBottom w:val="0"/>
              <w:divBdr>
                <w:top w:val="none" w:sz="0" w:space="0" w:color="auto"/>
                <w:left w:val="none" w:sz="0" w:space="0" w:color="auto"/>
                <w:bottom w:val="none" w:sz="0" w:space="0" w:color="auto"/>
                <w:right w:val="none" w:sz="0" w:space="0" w:color="auto"/>
              </w:divBdr>
            </w:div>
          </w:divsChild>
        </w:div>
        <w:div w:id="1951275287">
          <w:marLeft w:val="0"/>
          <w:marRight w:val="0"/>
          <w:marTop w:val="34"/>
          <w:marBottom w:val="10"/>
          <w:divBdr>
            <w:top w:val="none" w:sz="0" w:space="0" w:color="auto"/>
            <w:left w:val="none" w:sz="0" w:space="0" w:color="auto"/>
            <w:bottom w:val="none" w:sz="0" w:space="0" w:color="auto"/>
            <w:right w:val="none" w:sz="0" w:space="0" w:color="auto"/>
          </w:divBdr>
          <w:divsChild>
            <w:div w:id="2125071023">
              <w:marLeft w:val="0"/>
              <w:marRight w:val="0"/>
              <w:marTop w:val="0"/>
              <w:marBottom w:val="0"/>
              <w:divBdr>
                <w:top w:val="none" w:sz="0" w:space="0" w:color="auto"/>
                <w:left w:val="none" w:sz="0" w:space="0" w:color="auto"/>
                <w:bottom w:val="none" w:sz="0" w:space="0" w:color="auto"/>
                <w:right w:val="none" w:sz="0" w:space="0" w:color="auto"/>
              </w:divBdr>
            </w:div>
          </w:divsChild>
        </w:div>
        <w:div w:id="1954363334">
          <w:marLeft w:val="0"/>
          <w:marRight w:val="0"/>
          <w:marTop w:val="0"/>
          <w:marBottom w:val="0"/>
          <w:divBdr>
            <w:top w:val="none" w:sz="0" w:space="0" w:color="auto"/>
            <w:left w:val="none" w:sz="0" w:space="0" w:color="auto"/>
            <w:bottom w:val="none" w:sz="0" w:space="0" w:color="auto"/>
            <w:right w:val="none" w:sz="0" w:space="0" w:color="auto"/>
          </w:divBdr>
        </w:div>
        <w:div w:id="1974870592">
          <w:marLeft w:val="0"/>
          <w:marRight w:val="0"/>
          <w:marTop w:val="34"/>
          <w:marBottom w:val="10"/>
          <w:divBdr>
            <w:top w:val="none" w:sz="0" w:space="0" w:color="auto"/>
            <w:left w:val="none" w:sz="0" w:space="0" w:color="auto"/>
            <w:bottom w:val="none" w:sz="0" w:space="0" w:color="auto"/>
            <w:right w:val="none" w:sz="0" w:space="0" w:color="auto"/>
          </w:divBdr>
          <w:divsChild>
            <w:div w:id="76750366">
              <w:marLeft w:val="0"/>
              <w:marRight w:val="0"/>
              <w:marTop w:val="0"/>
              <w:marBottom w:val="0"/>
              <w:divBdr>
                <w:top w:val="none" w:sz="0" w:space="0" w:color="auto"/>
                <w:left w:val="none" w:sz="0" w:space="0" w:color="auto"/>
                <w:bottom w:val="none" w:sz="0" w:space="0" w:color="auto"/>
                <w:right w:val="none" w:sz="0" w:space="0" w:color="auto"/>
              </w:divBdr>
            </w:div>
          </w:divsChild>
        </w:div>
        <w:div w:id="1975060416">
          <w:marLeft w:val="0"/>
          <w:marRight w:val="0"/>
          <w:marTop w:val="34"/>
          <w:marBottom w:val="10"/>
          <w:divBdr>
            <w:top w:val="none" w:sz="0" w:space="0" w:color="auto"/>
            <w:left w:val="none" w:sz="0" w:space="0" w:color="auto"/>
            <w:bottom w:val="none" w:sz="0" w:space="0" w:color="auto"/>
            <w:right w:val="none" w:sz="0" w:space="0" w:color="auto"/>
          </w:divBdr>
          <w:divsChild>
            <w:div w:id="2033257613">
              <w:marLeft w:val="0"/>
              <w:marRight w:val="0"/>
              <w:marTop w:val="0"/>
              <w:marBottom w:val="0"/>
              <w:divBdr>
                <w:top w:val="none" w:sz="0" w:space="0" w:color="auto"/>
                <w:left w:val="none" w:sz="0" w:space="0" w:color="auto"/>
                <w:bottom w:val="none" w:sz="0" w:space="0" w:color="auto"/>
                <w:right w:val="none" w:sz="0" w:space="0" w:color="auto"/>
              </w:divBdr>
            </w:div>
          </w:divsChild>
        </w:div>
        <w:div w:id="1993439620">
          <w:marLeft w:val="0"/>
          <w:marRight w:val="0"/>
          <w:marTop w:val="34"/>
          <w:marBottom w:val="10"/>
          <w:divBdr>
            <w:top w:val="none" w:sz="0" w:space="0" w:color="auto"/>
            <w:left w:val="none" w:sz="0" w:space="0" w:color="auto"/>
            <w:bottom w:val="none" w:sz="0" w:space="0" w:color="auto"/>
            <w:right w:val="none" w:sz="0" w:space="0" w:color="auto"/>
          </w:divBdr>
          <w:divsChild>
            <w:div w:id="126243098">
              <w:marLeft w:val="0"/>
              <w:marRight w:val="0"/>
              <w:marTop w:val="0"/>
              <w:marBottom w:val="0"/>
              <w:divBdr>
                <w:top w:val="none" w:sz="0" w:space="0" w:color="auto"/>
                <w:left w:val="none" w:sz="0" w:space="0" w:color="auto"/>
                <w:bottom w:val="none" w:sz="0" w:space="0" w:color="auto"/>
                <w:right w:val="none" w:sz="0" w:space="0" w:color="auto"/>
              </w:divBdr>
            </w:div>
          </w:divsChild>
        </w:div>
        <w:div w:id="1999650138">
          <w:marLeft w:val="0"/>
          <w:marRight w:val="0"/>
          <w:marTop w:val="34"/>
          <w:marBottom w:val="10"/>
          <w:divBdr>
            <w:top w:val="none" w:sz="0" w:space="0" w:color="auto"/>
            <w:left w:val="none" w:sz="0" w:space="0" w:color="auto"/>
            <w:bottom w:val="none" w:sz="0" w:space="0" w:color="auto"/>
            <w:right w:val="none" w:sz="0" w:space="0" w:color="auto"/>
          </w:divBdr>
          <w:divsChild>
            <w:div w:id="247202082">
              <w:marLeft w:val="0"/>
              <w:marRight w:val="0"/>
              <w:marTop w:val="0"/>
              <w:marBottom w:val="0"/>
              <w:divBdr>
                <w:top w:val="none" w:sz="0" w:space="0" w:color="auto"/>
                <w:left w:val="none" w:sz="0" w:space="0" w:color="auto"/>
                <w:bottom w:val="none" w:sz="0" w:space="0" w:color="auto"/>
                <w:right w:val="none" w:sz="0" w:space="0" w:color="auto"/>
              </w:divBdr>
            </w:div>
          </w:divsChild>
        </w:div>
        <w:div w:id="2001344812">
          <w:marLeft w:val="0"/>
          <w:marRight w:val="0"/>
          <w:marTop w:val="34"/>
          <w:marBottom w:val="10"/>
          <w:divBdr>
            <w:top w:val="none" w:sz="0" w:space="0" w:color="auto"/>
            <w:left w:val="none" w:sz="0" w:space="0" w:color="auto"/>
            <w:bottom w:val="none" w:sz="0" w:space="0" w:color="auto"/>
            <w:right w:val="none" w:sz="0" w:space="0" w:color="auto"/>
          </w:divBdr>
        </w:div>
        <w:div w:id="2013801253">
          <w:marLeft w:val="0"/>
          <w:marRight w:val="0"/>
          <w:marTop w:val="34"/>
          <w:marBottom w:val="10"/>
          <w:divBdr>
            <w:top w:val="none" w:sz="0" w:space="0" w:color="auto"/>
            <w:left w:val="none" w:sz="0" w:space="0" w:color="auto"/>
            <w:bottom w:val="none" w:sz="0" w:space="0" w:color="auto"/>
            <w:right w:val="none" w:sz="0" w:space="0" w:color="auto"/>
          </w:divBdr>
          <w:divsChild>
            <w:div w:id="1679430630">
              <w:marLeft w:val="0"/>
              <w:marRight w:val="0"/>
              <w:marTop w:val="0"/>
              <w:marBottom w:val="0"/>
              <w:divBdr>
                <w:top w:val="none" w:sz="0" w:space="0" w:color="auto"/>
                <w:left w:val="none" w:sz="0" w:space="0" w:color="auto"/>
                <w:bottom w:val="none" w:sz="0" w:space="0" w:color="auto"/>
                <w:right w:val="none" w:sz="0" w:space="0" w:color="auto"/>
              </w:divBdr>
            </w:div>
          </w:divsChild>
        </w:div>
        <w:div w:id="2014137571">
          <w:marLeft w:val="0"/>
          <w:marRight w:val="0"/>
          <w:marTop w:val="34"/>
          <w:marBottom w:val="10"/>
          <w:divBdr>
            <w:top w:val="none" w:sz="0" w:space="0" w:color="auto"/>
            <w:left w:val="none" w:sz="0" w:space="0" w:color="auto"/>
            <w:bottom w:val="none" w:sz="0" w:space="0" w:color="auto"/>
            <w:right w:val="none" w:sz="0" w:space="0" w:color="auto"/>
          </w:divBdr>
          <w:divsChild>
            <w:div w:id="102697647">
              <w:marLeft w:val="0"/>
              <w:marRight w:val="0"/>
              <w:marTop w:val="0"/>
              <w:marBottom w:val="0"/>
              <w:divBdr>
                <w:top w:val="none" w:sz="0" w:space="0" w:color="auto"/>
                <w:left w:val="none" w:sz="0" w:space="0" w:color="auto"/>
                <w:bottom w:val="none" w:sz="0" w:space="0" w:color="auto"/>
                <w:right w:val="none" w:sz="0" w:space="0" w:color="auto"/>
              </w:divBdr>
            </w:div>
          </w:divsChild>
        </w:div>
        <w:div w:id="2023584001">
          <w:marLeft w:val="0"/>
          <w:marRight w:val="0"/>
          <w:marTop w:val="34"/>
          <w:marBottom w:val="10"/>
          <w:divBdr>
            <w:top w:val="none" w:sz="0" w:space="0" w:color="auto"/>
            <w:left w:val="none" w:sz="0" w:space="0" w:color="auto"/>
            <w:bottom w:val="none" w:sz="0" w:space="0" w:color="auto"/>
            <w:right w:val="none" w:sz="0" w:space="0" w:color="auto"/>
          </w:divBdr>
          <w:divsChild>
            <w:div w:id="561405214">
              <w:marLeft w:val="0"/>
              <w:marRight w:val="0"/>
              <w:marTop w:val="0"/>
              <w:marBottom w:val="0"/>
              <w:divBdr>
                <w:top w:val="none" w:sz="0" w:space="0" w:color="auto"/>
                <w:left w:val="none" w:sz="0" w:space="0" w:color="auto"/>
                <w:bottom w:val="none" w:sz="0" w:space="0" w:color="auto"/>
                <w:right w:val="none" w:sz="0" w:space="0" w:color="auto"/>
              </w:divBdr>
            </w:div>
          </w:divsChild>
        </w:div>
        <w:div w:id="2024741401">
          <w:marLeft w:val="0"/>
          <w:marRight w:val="0"/>
          <w:marTop w:val="34"/>
          <w:marBottom w:val="10"/>
          <w:divBdr>
            <w:top w:val="none" w:sz="0" w:space="0" w:color="auto"/>
            <w:left w:val="none" w:sz="0" w:space="0" w:color="auto"/>
            <w:bottom w:val="none" w:sz="0" w:space="0" w:color="auto"/>
            <w:right w:val="none" w:sz="0" w:space="0" w:color="auto"/>
          </w:divBdr>
          <w:divsChild>
            <w:div w:id="1419860461">
              <w:marLeft w:val="0"/>
              <w:marRight w:val="0"/>
              <w:marTop w:val="0"/>
              <w:marBottom w:val="0"/>
              <w:divBdr>
                <w:top w:val="none" w:sz="0" w:space="0" w:color="auto"/>
                <w:left w:val="none" w:sz="0" w:space="0" w:color="auto"/>
                <w:bottom w:val="none" w:sz="0" w:space="0" w:color="auto"/>
                <w:right w:val="none" w:sz="0" w:space="0" w:color="auto"/>
              </w:divBdr>
            </w:div>
          </w:divsChild>
        </w:div>
        <w:div w:id="2033919870">
          <w:marLeft w:val="0"/>
          <w:marRight w:val="0"/>
          <w:marTop w:val="34"/>
          <w:marBottom w:val="10"/>
          <w:divBdr>
            <w:top w:val="none" w:sz="0" w:space="0" w:color="auto"/>
            <w:left w:val="none" w:sz="0" w:space="0" w:color="auto"/>
            <w:bottom w:val="none" w:sz="0" w:space="0" w:color="auto"/>
            <w:right w:val="none" w:sz="0" w:space="0" w:color="auto"/>
          </w:divBdr>
          <w:divsChild>
            <w:div w:id="1793283972">
              <w:marLeft w:val="0"/>
              <w:marRight w:val="0"/>
              <w:marTop w:val="0"/>
              <w:marBottom w:val="0"/>
              <w:divBdr>
                <w:top w:val="none" w:sz="0" w:space="0" w:color="auto"/>
                <w:left w:val="none" w:sz="0" w:space="0" w:color="auto"/>
                <w:bottom w:val="none" w:sz="0" w:space="0" w:color="auto"/>
                <w:right w:val="none" w:sz="0" w:space="0" w:color="auto"/>
              </w:divBdr>
            </w:div>
          </w:divsChild>
        </w:div>
        <w:div w:id="2037731894">
          <w:marLeft w:val="0"/>
          <w:marRight w:val="0"/>
          <w:marTop w:val="0"/>
          <w:marBottom w:val="0"/>
          <w:divBdr>
            <w:top w:val="none" w:sz="0" w:space="0" w:color="auto"/>
            <w:left w:val="none" w:sz="0" w:space="0" w:color="auto"/>
            <w:bottom w:val="none" w:sz="0" w:space="0" w:color="auto"/>
            <w:right w:val="none" w:sz="0" w:space="0" w:color="auto"/>
          </w:divBdr>
        </w:div>
        <w:div w:id="2040624300">
          <w:marLeft w:val="0"/>
          <w:marRight w:val="0"/>
          <w:marTop w:val="34"/>
          <w:marBottom w:val="10"/>
          <w:divBdr>
            <w:top w:val="none" w:sz="0" w:space="0" w:color="auto"/>
            <w:left w:val="none" w:sz="0" w:space="0" w:color="auto"/>
            <w:bottom w:val="none" w:sz="0" w:space="0" w:color="auto"/>
            <w:right w:val="none" w:sz="0" w:space="0" w:color="auto"/>
          </w:divBdr>
        </w:div>
        <w:div w:id="2063938944">
          <w:marLeft w:val="0"/>
          <w:marRight w:val="0"/>
          <w:marTop w:val="34"/>
          <w:marBottom w:val="10"/>
          <w:divBdr>
            <w:top w:val="none" w:sz="0" w:space="0" w:color="auto"/>
            <w:left w:val="none" w:sz="0" w:space="0" w:color="auto"/>
            <w:bottom w:val="none" w:sz="0" w:space="0" w:color="auto"/>
            <w:right w:val="none" w:sz="0" w:space="0" w:color="auto"/>
          </w:divBdr>
          <w:divsChild>
            <w:div w:id="993678045">
              <w:marLeft w:val="0"/>
              <w:marRight w:val="0"/>
              <w:marTop w:val="0"/>
              <w:marBottom w:val="0"/>
              <w:divBdr>
                <w:top w:val="none" w:sz="0" w:space="0" w:color="auto"/>
                <w:left w:val="none" w:sz="0" w:space="0" w:color="auto"/>
                <w:bottom w:val="none" w:sz="0" w:space="0" w:color="auto"/>
                <w:right w:val="none" w:sz="0" w:space="0" w:color="auto"/>
              </w:divBdr>
            </w:div>
          </w:divsChild>
        </w:div>
        <w:div w:id="2069567753">
          <w:marLeft w:val="0"/>
          <w:marRight w:val="0"/>
          <w:marTop w:val="34"/>
          <w:marBottom w:val="10"/>
          <w:divBdr>
            <w:top w:val="none" w:sz="0" w:space="0" w:color="auto"/>
            <w:left w:val="none" w:sz="0" w:space="0" w:color="auto"/>
            <w:bottom w:val="none" w:sz="0" w:space="0" w:color="auto"/>
            <w:right w:val="none" w:sz="0" w:space="0" w:color="auto"/>
          </w:divBdr>
        </w:div>
        <w:div w:id="2075396535">
          <w:marLeft w:val="0"/>
          <w:marRight w:val="0"/>
          <w:marTop w:val="34"/>
          <w:marBottom w:val="10"/>
          <w:divBdr>
            <w:top w:val="none" w:sz="0" w:space="0" w:color="auto"/>
            <w:left w:val="none" w:sz="0" w:space="0" w:color="auto"/>
            <w:bottom w:val="none" w:sz="0" w:space="0" w:color="auto"/>
            <w:right w:val="none" w:sz="0" w:space="0" w:color="auto"/>
          </w:divBdr>
          <w:divsChild>
            <w:div w:id="476071671">
              <w:marLeft w:val="0"/>
              <w:marRight w:val="0"/>
              <w:marTop w:val="0"/>
              <w:marBottom w:val="0"/>
              <w:divBdr>
                <w:top w:val="none" w:sz="0" w:space="0" w:color="auto"/>
                <w:left w:val="none" w:sz="0" w:space="0" w:color="auto"/>
                <w:bottom w:val="none" w:sz="0" w:space="0" w:color="auto"/>
                <w:right w:val="none" w:sz="0" w:space="0" w:color="auto"/>
              </w:divBdr>
            </w:div>
          </w:divsChild>
        </w:div>
        <w:div w:id="2086535998">
          <w:marLeft w:val="0"/>
          <w:marRight w:val="0"/>
          <w:marTop w:val="34"/>
          <w:marBottom w:val="10"/>
          <w:divBdr>
            <w:top w:val="none" w:sz="0" w:space="0" w:color="auto"/>
            <w:left w:val="none" w:sz="0" w:space="0" w:color="auto"/>
            <w:bottom w:val="none" w:sz="0" w:space="0" w:color="auto"/>
            <w:right w:val="none" w:sz="0" w:space="0" w:color="auto"/>
          </w:divBdr>
          <w:divsChild>
            <w:div w:id="1691106602">
              <w:marLeft w:val="0"/>
              <w:marRight w:val="0"/>
              <w:marTop w:val="0"/>
              <w:marBottom w:val="0"/>
              <w:divBdr>
                <w:top w:val="none" w:sz="0" w:space="0" w:color="auto"/>
                <w:left w:val="none" w:sz="0" w:space="0" w:color="auto"/>
                <w:bottom w:val="none" w:sz="0" w:space="0" w:color="auto"/>
                <w:right w:val="none" w:sz="0" w:space="0" w:color="auto"/>
              </w:divBdr>
            </w:div>
          </w:divsChild>
        </w:div>
        <w:div w:id="2086953191">
          <w:marLeft w:val="0"/>
          <w:marRight w:val="0"/>
          <w:marTop w:val="34"/>
          <w:marBottom w:val="10"/>
          <w:divBdr>
            <w:top w:val="none" w:sz="0" w:space="0" w:color="auto"/>
            <w:left w:val="none" w:sz="0" w:space="0" w:color="auto"/>
            <w:bottom w:val="none" w:sz="0" w:space="0" w:color="auto"/>
            <w:right w:val="none" w:sz="0" w:space="0" w:color="auto"/>
          </w:divBdr>
          <w:divsChild>
            <w:div w:id="92408572">
              <w:marLeft w:val="0"/>
              <w:marRight w:val="0"/>
              <w:marTop w:val="0"/>
              <w:marBottom w:val="0"/>
              <w:divBdr>
                <w:top w:val="none" w:sz="0" w:space="0" w:color="auto"/>
                <w:left w:val="none" w:sz="0" w:space="0" w:color="auto"/>
                <w:bottom w:val="none" w:sz="0" w:space="0" w:color="auto"/>
                <w:right w:val="none" w:sz="0" w:space="0" w:color="auto"/>
              </w:divBdr>
            </w:div>
          </w:divsChild>
        </w:div>
        <w:div w:id="2093309531">
          <w:marLeft w:val="0"/>
          <w:marRight w:val="0"/>
          <w:marTop w:val="34"/>
          <w:marBottom w:val="10"/>
          <w:divBdr>
            <w:top w:val="none" w:sz="0" w:space="0" w:color="auto"/>
            <w:left w:val="none" w:sz="0" w:space="0" w:color="auto"/>
            <w:bottom w:val="none" w:sz="0" w:space="0" w:color="auto"/>
            <w:right w:val="none" w:sz="0" w:space="0" w:color="auto"/>
          </w:divBdr>
        </w:div>
        <w:div w:id="2106030088">
          <w:marLeft w:val="0"/>
          <w:marRight w:val="0"/>
          <w:marTop w:val="34"/>
          <w:marBottom w:val="10"/>
          <w:divBdr>
            <w:top w:val="none" w:sz="0" w:space="0" w:color="auto"/>
            <w:left w:val="none" w:sz="0" w:space="0" w:color="auto"/>
            <w:bottom w:val="none" w:sz="0" w:space="0" w:color="auto"/>
            <w:right w:val="none" w:sz="0" w:space="0" w:color="auto"/>
          </w:divBdr>
          <w:divsChild>
            <w:div w:id="663778205">
              <w:marLeft w:val="0"/>
              <w:marRight w:val="0"/>
              <w:marTop w:val="0"/>
              <w:marBottom w:val="0"/>
              <w:divBdr>
                <w:top w:val="none" w:sz="0" w:space="0" w:color="auto"/>
                <w:left w:val="none" w:sz="0" w:space="0" w:color="auto"/>
                <w:bottom w:val="none" w:sz="0" w:space="0" w:color="auto"/>
                <w:right w:val="none" w:sz="0" w:space="0" w:color="auto"/>
              </w:divBdr>
            </w:div>
          </w:divsChild>
        </w:div>
        <w:div w:id="2113163555">
          <w:marLeft w:val="0"/>
          <w:marRight w:val="0"/>
          <w:marTop w:val="34"/>
          <w:marBottom w:val="10"/>
          <w:divBdr>
            <w:top w:val="none" w:sz="0" w:space="0" w:color="auto"/>
            <w:left w:val="none" w:sz="0" w:space="0" w:color="auto"/>
            <w:bottom w:val="none" w:sz="0" w:space="0" w:color="auto"/>
            <w:right w:val="none" w:sz="0" w:space="0" w:color="auto"/>
          </w:divBdr>
          <w:divsChild>
            <w:div w:id="1433471110">
              <w:marLeft w:val="0"/>
              <w:marRight w:val="0"/>
              <w:marTop w:val="0"/>
              <w:marBottom w:val="0"/>
              <w:divBdr>
                <w:top w:val="none" w:sz="0" w:space="0" w:color="auto"/>
                <w:left w:val="none" w:sz="0" w:space="0" w:color="auto"/>
                <w:bottom w:val="none" w:sz="0" w:space="0" w:color="auto"/>
                <w:right w:val="none" w:sz="0" w:space="0" w:color="auto"/>
              </w:divBdr>
            </w:div>
          </w:divsChild>
        </w:div>
        <w:div w:id="2120637104">
          <w:marLeft w:val="0"/>
          <w:marRight w:val="0"/>
          <w:marTop w:val="34"/>
          <w:marBottom w:val="10"/>
          <w:divBdr>
            <w:top w:val="none" w:sz="0" w:space="0" w:color="auto"/>
            <w:left w:val="none" w:sz="0" w:space="0" w:color="auto"/>
            <w:bottom w:val="none" w:sz="0" w:space="0" w:color="auto"/>
            <w:right w:val="none" w:sz="0" w:space="0" w:color="auto"/>
          </w:divBdr>
          <w:divsChild>
            <w:div w:id="2006475893">
              <w:marLeft w:val="0"/>
              <w:marRight w:val="0"/>
              <w:marTop w:val="0"/>
              <w:marBottom w:val="0"/>
              <w:divBdr>
                <w:top w:val="none" w:sz="0" w:space="0" w:color="auto"/>
                <w:left w:val="none" w:sz="0" w:space="0" w:color="auto"/>
                <w:bottom w:val="none" w:sz="0" w:space="0" w:color="auto"/>
                <w:right w:val="none" w:sz="0" w:space="0" w:color="auto"/>
              </w:divBdr>
            </w:div>
          </w:divsChild>
        </w:div>
        <w:div w:id="2120950049">
          <w:marLeft w:val="0"/>
          <w:marRight w:val="0"/>
          <w:marTop w:val="34"/>
          <w:marBottom w:val="10"/>
          <w:divBdr>
            <w:top w:val="none" w:sz="0" w:space="0" w:color="auto"/>
            <w:left w:val="none" w:sz="0" w:space="0" w:color="auto"/>
            <w:bottom w:val="none" w:sz="0" w:space="0" w:color="auto"/>
            <w:right w:val="none" w:sz="0" w:space="0" w:color="auto"/>
          </w:divBdr>
          <w:divsChild>
            <w:div w:id="1184520311">
              <w:marLeft w:val="0"/>
              <w:marRight w:val="0"/>
              <w:marTop w:val="0"/>
              <w:marBottom w:val="0"/>
              <w:divBdr>
                <w:top w:val="none" w:sz="0" w:space="0" w:color="auto"/>
                <w:left w:val="none" w:sz="0" w:space="0" w:color="auto"/>
                <w:bottom w:val="none" w:sz="0" w:space="0" w:color="auto"/>
                <w:right w:val="none" w:sz="0" w:space="0" w:color="auto"/>
              </w:divBdr>
            </w:div>
          </w:divsChild>
        </w:div>
        <w:div w:id="2124104192">
          <w:marLeft w:val="0"/>
          <w:marRight w:val="0"/>
          <w:marTop w:val="34"/>
          <w:marBottom w:val="10"/>
          <w:divBdr>
            <w:top w:val="none" w:sz="0" w:space="0" w:color="auto"/>
            <w:left w:val="none" w:sz="0" w:space="0" w:color="auto"/>
            <w:bottom w:val="none" w:sz="0" w:space="0" w:color="auto"/>
            <w:right w:val="none" w:sz="0" w:space="0" w:color="auto"/>
          </w:divBdr>
          <w:divsChild>
            <w:div w:id="850218850">
              <w:marLeft w:val="0"/>
              <w:marRight w:val="0"/>
              <w:marTop w:val="0"/>
              <w:marBottom w:val="0"/>
              <w:divBdr>
                <w:top w:val="none" w:sz="0" w:space="0" w:color="auto"/>
                <w:left w:val="none" w:sz="0" w:space="0" w:color="auto"/>
                <w:bottom w:val="none" w:sz="0" w:space="0" w:color="auto"/>
                <w:right w:val="none" w:sz="0" w:space="0" w:color="auto"/>
              </w:divBdr>
            </w:div>
          </w:divsChild>
        </w:div>
        <w:div w:id="2125878368">
          <w:marLeft w:val="0"/>
          <w:marRight w:val="0"/>
          <w:marTop w:val="34"/>
          <w:marBottom w:val="10"/>
          <w:divBdr>
            <w:top w:val="none" w:sz="0" w:space="0" w:color="auto"/>
            <w:left w:val="none" w:sz="0" w:space="0" w:color="auto"/>
            <w:bottom w:val="none" w:sz="0" w:space="0" w:color="auto"/>
            <w:right w:val="none" w:sz="0" w:space="0" w:color="auto"/>
          </w:divBdr>
          <w:divsChild>
            <w:div w:id="1862433150">
              <w:marLeft w:val="0"/>
              <w:marRight w:val="0"/>
              <w:marTop w:val="0"/>
              <w:marBottom w:val="0"/>
              <w:divBdr>
                <w:top w:val="none" w:sz="0" w:space="0" w:color="auto"/>
                <w:left w:val="none" w:sz="0" w:space="0" w:color="auto"/>
                <w:bottom w:val="none" w:sz="0" w:space="0" w:color="auto"/>
                <w:right w:val="none" w:sz="0" w:space="0" w:color="auto"/>
              </w:divBdr>
            </w:div>
          </w:divsChild>
        </w:div>
        <w:div w:id="2133598135">
          <w:marLeft w:val="0"/>
          <w:marRight w:val="0"/>
          <w:marTop w:val="34"/>
          <w:marBottom w:val="10"/>
          <w:divBdr>
            <w:top w:val="none" w:sz="0" w:space="0" w:color="auto"/>
            <w:left w:val="none" w:sz="0" w:space="0" w:color="auto"/>
            <w:bottom w:val="none" w:sz="0" w:space="0" w:color="auto"/>
            <w:right w:val="none" w:sz="0" w:space="0" w:color="auto"/>
          </w:divBdr>
          <w:divsChild>
            <w:div w:id="626550528">
              <w:marLeft w:val="0"/>
              <w:marRight w:val="0"/>
              <w:marTop w:val="0"/>
              <w:marBottom w:val="0"/>
              <w:divBdr>
                <w:top w:val="none" w:sz="0" w:space="0" w:color="auto"/>
                <w:left w:val="none" w:sz="0" w:space="0" w:color="auto"/>
                <w:bottom w:val="none" w:sz="0" w:space="0" w:color="auto"/>
                <w:right w:val="none" w:sz="0" w:space="0" w:color="auto"/>
              </w:divBdr>
            </w:div>
          </w:divsChild>
        </w:div>
        <w:div w:id="2134665342">
          <w:marLeft w:val="0"/>
          <w:marRight w:val="0"/>
          <w:marTop w:val="34"/>
          <w:marBottom w:val="10"/>
          <w:divBdr>
            <w:top w:val="none" w:sz="0" w:space="0" w:color="auto"/>
            <w:left w:val="none" w:sz="0" w:space="0" w:color="auto"/>
            <w:bottom w:val="none" w:sz="0" w:space="0" w:color="auto"/>
            <w:right w:val="none" w:sz="0" w:space="0" w:color="auto"/>
          </w:divBdr>
          <w:divsChild>
            <w:div w:id="1938515668">
              <w:marLeft w:val="0"/>
              <w:marRight w:val="0"/>
              <w:marTop w:val="0"/>
              <w:marBottom w:val="0"/>
              <w:divBdr>
                <w:top w:val="none" w:sz="0" w:space="0" w:color="auto"/>
                <w:left w:val="none" w:sz="0" w:space="0" w:color="auto"/>
                <w:bottom w:val="none" w:sz="0" w:space="0" w:color="auto"/>
                <w:right w:val="none" w:sz="0" w:space="0" w:color="auto"/>
              </w:divBdr>
            </w:div>
          </w:divsChild>
        </w:div>
        <w:div w:id="2139839984">
          <w:marLeft w:val="0"/>
          <w:marRight w:val="0"/>
          <w:marTop w:val="34"/>
          <w:marBottom w:val="10"/>
          <w:divBdr>
            <w:top w:val="none" w:sz="0" w:space="0" w:color="auto"/>
            <w:left w:val="none" w:sz="0" w:space="0" w:color="auto"/>
            <w:bottom w:val="none" w:sz="0" w:space="0" w:color="auto"/>
            <w:right w:val="none" w:sz="0" w:space="0" w:color="auto"/>
          </w:divBdr>
          <w:divsChild>
            <w:div w:id="1916931330">
              <w:marLeft w:val="0"/>
              <w:marRight w:val="0"/>
              <w:marTop w:val="0"/>
              <w:marBottom w:val="0"/>
              <w:divBdr>
                <w:top w:val="none" w:sz="0" w:space="0" w:color="auto"/>
                <w:left w:val="none" w:sz="0" w:space="0" w:color="auto"/>
                <w:bottom w:val="none" w:sz="0" w:space="0" w:color="auto"/>
                <w:right w:val="none" w:sz="0" w:space="0" w:color="auto"/>
              </w:divBdr>
            </w:div>
          </w:divsChild>
        </w:div>
        <w:div w:id="2142532409">
          <w:marLeft w:val="0"/>
          <w:marRight w:val="0"/>
          <w:marTop w:val="34"/>
          <w:marBottom w:val="10"/>
          <w:divBdr>
            <w:top w:val="none" w:sz="0" w:space="0" w:color="auto"/>
            <w:left w:val="none" w:sz="0" w:space="0" w:color="auto"/>
            <w:bottom w:val="none" w:sz="0" w:space="0" w:color="auto"/>
            <w:right w:val="none" w:sz="0" w:space="0" w:color="auto"/>
          </w:divBdr>
          <w:divsChild>
            <w:div w:id="260917873">
              <w:marLeft w:val="0"/>
              <w:marRight w:val="0"/>
              <w:marTop w:val="0"/>
              <w:marBottom w:val="0"/>
              <w:divBdr>
                <w:top w:val="none" w:sz="0" w:space="0" w:color="auto"/>
                <w:left w:val="none" w:sz="0" w:space="0" w:color="auto"/>
                <w:bottom w:val="none" w:sz="0" w:space="0" w:color="auto"/>
                <w:right w:val="none" w:sz="0" w:space="0" w:color="auto"/>
              </w:divBdr>
            </w:div>
          </w:divsChild>
        </w:div>
        <w:div w:id="2143034269">
          <w:marLeft w:val="0"/>
          <w:marRight w:val="0"/>
          <w:marTop w:val="0"/>
          <w:marBottom w:val="0"/>
          <w:divBdr>
            <w:top w:val="none" w:sz="0" w:space="0" w:color="auto"/>
            <w:left w:val="none" w:sz="0" w:space="0" w:color="auto"/>
            <w:bottom w:val="none" w:sz="0" w:space="0" w:color="auto"/>
            <w:right w:val="none" w:sz="0" w:space="0" w:color="auto"/>
          </w:divBdr>
        </w:div>
      </w:divsChild>
    </w:div>
    <w:div w:id="927693294">
      <w:bodyDiv w:val="1"/>
      <w:marLeft w:val="0"/>
      <w:marRight w:val="0"/>
      <w:marTop w:val="0"/>
      <w:marBottom w:val="0"/>
      <w:divBdr>
        <w:top w:val="none" w:sz="0" w:space="0" w:color="auto"/>
        <w:left w:val="none" w:sz="0" w:space="0" w:color="auto"/>
        <w:bottom w:val="none" w:sz="0" w:space="0" w:color="auto"/>
        <w:right w:val="none" w:sz="0" w:space="0" w:color="auto"/>
      </w:divBdr>
      <w:divsChild>
        <w:div w:id="282659325">
          <w:marLeft w:val="0"/>
          <w:marRight w:val="0"/>
          <w:marTop w:val="0"/>
          <w:marBottom w:val="0"/>
          <w:divBdr>
            <w:top w:val="none" w:sz="0" w:space="0" w:color="auto"/>
            <w:left w:val="none" w:sz="0" w:space="0" w:color="auto"/>
            <w:bottom w:val="none" w:sz="0" w:space="0" w:color="auto"/>
            <w:right w:val="none" w:sz="0" w:space="0" w:color="auto"/>
          </w:divBdr>
        </w:div>
        <w:div w:id="661858474">
          <w:marLeft w:val="0"/>
          <w:marRight w:val="0"/>
          <w:marTop w:val="0"/>
          <w:marBottom w:val="0"/>
          <w:divBdr>
            <w:top w:val="none" w:sz="0" w:space="0" w:color="auto"/>
            <w:left w:val="none" w:sz="0" w:space="0" w:color="auto"/>
            <w:bottom w:val="none" w:sz="0" w:space="0" w:color="auto"/>
            <w:right w:val="none" w:sz="0" w:space="0" w:color="auto"/>
          </w:divBdr>
        </w:div>
        <w:div w:id="1199661594">
          <w:marLeft w:val="0"/>
          <w:marRight w:val="0"/>
          <w:marTop w:val="0"/>
          <w:marBottom w:val="0"/>
          <w:divBdr>
            <w:top w:val="none" w:sz="0" w:space="0" w:color="auto"/>
            <w:left w:val="none" w:sz="0" w:space="0" w:color="auto"/>
            <w:bottom w:val="none" w:sz="0" w:space="0" w:color="auto"/>
            <w:right w:val="none" w:sz="0" w:space="0" w:color="auto"/>
          </w:divBdr>
        </w:div>
      </w:divsChild>
    </w:div>
    <w:div w:id="935819641">
      <w:bodyDiv w:val="1"/>
      <w:marLeft w:val="0"/>
      <w:marRight w:val="0"/>
      <w:marTop w:val="0"/>
      <w:marBottom w:val="0"/>
      <w:divBdr>
        <w:top w:val="none" w:sz="0" w:space="0" w:color="auto"/>
        <w:left w:val="none" w:sz="0" w:space="0" w:color="auto"/>
        <w:bottom w:val="none" w:sz="0" w:space="0" w:color="auto"/>
        <w:right w:val="none" w:sz="0" w:space="0" w:color="auto"/>
      </w:divBdr>
    </w:div>
    <w:div w:id="935866583">
      <w:bodyDiv w:val="1"/>
      <w:marLeft w:val="0"/>
      <w:marRight w:val="0"/>
      <w:marTop w:val="0"/>
      <w:marBottom w:val="0"/>
      <w:divBdr>
        <w:top w:val="none" w:sz="0" w:space="0" w:color="auto"/>
        <w:left w:val="none" w:sz="0" w:space="0" w:color="auto"/>
        <w:bottom w:val="none" w:sz="0" w:space="0" w:color="auto"/>
        <w:right w:val="none" w:sz="0" w:space="0" w:color="auto"/>
      </w:divBdr>
    </w:div>
    <w:div w:id="948245626">
      <w:bodyDiv w:val="1"/>
      <w:marLeft w:val="0"/>
      <w:marRight w:val="0"/>
      <w:marTop w:val="0"/>
      <w:marBottom w:val="0"/>
      <w:divBdr>
        <w:top w:val="none" w:sz="0" w:space="0" w:color="auto"/>
        <w:left w:val="none" w:sz="0" w:space="0" w:color="auto"/>
        <w:bottom w:val="none" w:sz="0" w:space="0" w:color="auto"/>
        <w:right w:val="none" w:sz="0" w:space="0" w:color="auto"/>
      </w:divBdr>
    </w:div>
    <w:div w:id="953754790">
      <w:bodyDiv w:val="1"/>
      <w:marLeft w:val="0"/>
      <w:marRight w:val="0"/>
      <w:marTop w:val="0"/>
      <w:marBottom w:val="0"/>
      <w:divBdr>
        <w:top w:val="none" w:sz="0" w:space="0" w:color="auto"/>
        <w:left w:val="none" w:sz="0" w:space="0" w:color="auto"/>
        <w:bottom w:val="none" w:sz="0" w:space="0" w:color="auto"/>
        <w:right w:val="none" w:sz="0" w:space="0" w:color="auto"/>
      </w:divBdr>
    </w:div>
    <w:div w:id="954097120">
      <w:bodyDiv w:val="1"/>
      <w:marLeft w:val="0"/>
      <w:marRight w:val="0"/>
      <w:marTop w:val="0"/>
      <w:marBottom w:val="0"/>
      <w:divBdr>
        <w:top w:val="none" w:sz="0" w:space="0" w:color="auto"/>
        <w:left w:val="none" w:sz="0" w:space="0" w:color="auto"/>
        <w:bottom w:val="none" w:sz="0" w:space="0" w:color="auto"/>
        <w:right w:val="none" w:sz="0" w:space="0" w:color="auto"/>
      </w:divBdr>
    </w:div>
    <w:div w:id="954285918">
      <w:bodyDiv w:val="1"/>
      <w:marLeft w:val="0"/>
      <w:marRight w:val="0"/>
      <w:marTop w:val="0"/>
      <w:marBottom w:val="0"/>
      <w:divBdr>
        <w:top w:val="none" w:sz="0" w:space="0" w:color="auto"/>
        <w:left w:val="none" w:sz="0" w:space="0" w:color="auto"/>
        <w:bottom w:val="none" w:sz="0" w:space="0" w:color="auto"/>
        <w:right w:val="none" w:sz="0" w:space="0" w:color="auto"/>
      </w:divBdr>
    </w:div>
    <w:div w:id="957184217">
      <w:bodyDiv w:val="1"/>
      <w:marLeft w:val="0"/>
      <w:marRight w:val="0"/>
      <w:marTop w:val="0"/>
      <w:marBottom w:val="0"/>
      <w:divBdr>
        <w:top w:val="none" w:sz="0" w:space="0" w:color="auto"/>
        <w:left w:val="none" w:sz="0" w:space="0" w:color="auto"/>
        <w:bottom w:val="none" w:sz="0" w:space="0" w:color="auto"/>
        <w:right w:val="none" w:sz="0" w:space="0" w:color="auto"/>
      </w:divBdr>
    </w:div>
    <w:div w:id="957294206">
      <w:bodyDiv w:val="1"/>
      <w:marLeft w:val="0"/>
      <w:marRight w:val="0"/>
      <w:marTop w:val="0"/>
      <w:marBottom w:val="0"/>
      <w:divBdr>
        <w:top w:val="none" w:sz="0" w:space="0" w:color="auto"/>
        <w:left w:val="none" w:sz="0" w:space="0" w:color="auto"/>
        <w:bottom w:val="none" w:sz="0" w:space="0" w:color="auto"/>
        <w:right w:val="none" w:sz="0" w:space="0" w:color="auto"/>
      </w:divBdr>
    </w:div>
    <w:div w:id="962267524">
      <w:bodyDiv w:val="1"/>
      <w:marLeft w:val="0"/>
      <w:marRight w:val="0"/>
      <w:marTop w:val="0"/>
      <w:marBottom w:val="0"/>
      <w:divBdr>
        <w:top w:val="none" w:sz="0" w:space="0" w:color="auto"/>
        <w:left w:val="none" w:sz="0" w:space="0" w:color="auto"/>
        <w:bottom w:val="none" w:sz="0" w:space="0" w:color="auto"/>
        <w:right w:val="none" w:sz="0" w:space="0" w:color="auto"/>
      </w:divBdr>
    </w:div>
    <w:div w:id="968825162">
      <w:bodyDiv w:val="1"/>
      <w:marLeft w:val="0"/>
      <w:marRight w:val="0"/>
      <w:marTop w:val="0"/>
      <w:marBottom w:val="0"/>
      <w:divBdr>
        <w:top w:val="none" w:sz="0" w:space="0" w:color="auto"/>
        <w:left w:val="none" w:sz="0" w:space="0" w:color="auto"/>
        <w:bottom w:val="none" w:sz="0" w:space="0" w:color="auto"/>
        <w:right w:val="none" w:sz="0" w:space="0" w:color="auto"/>
      </w:divBdr>
    </w:div>
    <w:div w:id="978148175">
      <w:bodyDiv w:val="1"/>
      <w:marLeft w:val="0"/>
      <w:marRight w:val="0"/>
      <w:marTop w:val="0"/>
      <w:marBottom w:val="0"/>
      <w:divBdr>
        <w:top w:val="none" w:sz="0" w:space="0" w:color="auto"/>
        <w:left w:val="none" w:sz="0" w:space="0" w:color="auto"/>
        <w:bottom w:val="none" w:sz="0" w:space="0" w:color="auto"/>
        <w:right w:val="none" w:sz="0" w:space="0" w:color="auto"/>
      </w:divBdr>
    </w:div>
    <w:div w:id="986398235">
      <w:bodyDiv w:val="1"/>
      <w:marLeft w:val="0"/>
      <w:marRight w:val="0"/>
      <w:marTop w:val="0"/>
      <w:marBottom w:val="0"/>
      <w:divBdr>
        <w:top w:val="none" w:sz="0" w:space="0" w:color="auto"/>
        <w:left w:val="none" w:sz="0" w:space="0" w:color="auto"/>
        <w:bottom w:val="none" w:sz="0" w:space="0" w:color="auto"/>
        <w:right w:val="none" w:sz="0" w:space="0" w:color="auto"/>
      </w:divBdr>
    </w:div>
    <w:div w:id="988360784">
      <w:bodyDiv w:val="1"/>
      <w:marLeft w:val="0"/>
      <w:marRight w:val="0"/>
      <w:marTop w:val="0"/>
      <w:marBottom w:val="0"/>
      <w:divBdr>
        <w:top w:val="none" w:sz="0" w:space="0" w:color="auto"/>
        <w:left w:val="none" w:sz="0" w:space="0" w:color="auto"/>
        <w:bottom w:val="none" w:sz="0" w:space="0" w:color="auto"/>
        <w:right w:val="none" w:sz="0" w:space="0" w:color="auto"/>
      </w:divBdr>
    </w:div>
    <w:div w:id="992682277">
      <w:bodyDiv w:val="1"/>
      <w:marLeft w:val="0"/>
      <w:marRight w:val="0"/>
      <w:marTop w:val="0"/>
      <w:marBottom w:val="0"/>
      <w:divBdr>
        <w:top w:val="none" w:sz="0" w:space="0" w:color="auto"/>
        <w:left w:val="none" w:sz="0" w:space="0" w:color="auto"/>
        <w:bottom w:val="none" w:sz="0" w:space="0" w:color="auto"/>
        <w:right w:val="none" w:sz="0" w:space="0" w:color="auto"/>
      </w:divBdr>
    </w:div>
    <w:div w:id="993490047">
      <w:bodyDiv w:val="1"/>
      <w:marLeft w:val="0"/>
      <w:marRight w:val="0"/>
      <w:marTop w:val="0"/>
      <w:marBottom w:val="0"/>
      <w:divBdr>
        <w:top w:val="none" w:sz="0" w:space="0" w:color="auto"/>
        <w:left w:val="none" w:sz="0" w:space="0" w:color="auto"/>
        <w:bottom w:val="none" w:sz="0" w:space="0" w:color="auto"/>
        <w:right w:val="none" w:sz="0" w:space="0" w:color="auto"/>
      </w:divBdr>
    </w:div>
    <w:div w:id="993604249">
      <w:bodyDiv w:val="1"/>
      <w:marLeft w:val="0"/>
      <w:marRight w:val="0"/>
      <w:marTop w:val="0"/>
      <w:marBottom w:val="0"/>
      <w:divBdr>
        <w:top w:val="none" w:sz="0" w:space="0" w:color="auto"/>
        <w:left w:val="none" w:sz="0" w:space="0" w:color="auto"/>
        <w:bottom w:val="none" w:sz="0" w:space="0" w:color="auto"/>
        <w:right w:val="none" w:sz="0" w:space="0" w:color="auto"/>
      </w:divBdr>
    </w:div>
    <w:div w:id="993680598">
      <w:bodyDiv w:val="1"/>
      <w:marLeft w:val="0"/>
      <w:marRight w:val="0"/>
      <w:marTop w:val="0"/>
      <w:marBottom w:val="0"/>
      <w:divBdr>
        <w:top w:val="none" w:sz="0" w:space="0" w:color="auto"/>
        <w:left w:val="none" w:sz="0" w:space="0" w:color="auto"/>
        <w:bottom w:val="none" w:sz="0" w:space="0" w:color="auto"/>
        <w:right w:val="none" w:sz="0" w:space="0" w:color="auto"/>
      </w:divBdr>
    </w:div>
    <w:div w:id="994921228">
      <w:bodyDiv w:val="1"/>
      <w:marLeft w:val="0"/>
      <w:marRight w:val="0"/>
      <w:marTop w:val="0"/>
      <w:marBottom w:val="0"/>
      <w:divBdr>
        <w:top w:val="none" w:sz="0" w:space="0" w:color="auto"/>
        <w:left w:val="none" w:sz="0" w:space="0" w:color="auto"/>
        <w:bottom w:val="none" w:sz="0" w:space="0" w:color="auto"/>
        <w:right w:val="none" w:sz="0" w:space="0" w:color="auto"/>
      </w:divBdr>
    </w:div>
    <w:div w:id="1005134058">
      <w:bodyDiv w:val="1"/>
      <w:marLeft w:val="0"/>
      <w:marRight w:val="0"/>
      <w:marTop w:val="0"/>
      <w:marBottom w:val="0"/>
      <w:divBdr>
        <w:top w:val="none" w:sz="0" w:space="0" w:color="auto"/>
        <w:left w:val="none" w:sz="0" w:space="0" w:color="auto"/>
        <w:bottom w:val="none" w:sz="0" w:space="0" w:color="auto"/>
        <w:right w:val="none" w:sz="0" w:space="0" w:color="auto"/>
      </w:divBdr>
    </w:div>
    <w:div w:id="1006328562">
      <w:bodyDiv w:val="1"/>
      <w:marLeft w:val="0"/>
      <w:marRight w:val="0"/>
      <w:marTop w:val="0"/>
      <w:marBottom w:val="0"/>
      <w:divBdr>
        <w:top w:val="none" w:sz="0" w:space="0" w:color="auto"/>
        <w:left w:val="none" w:sz="0" w:space="0" w:color="auto"/>
        <w:bottom w:val="none" w:sz="0" w:space="0" w:color="auto"/>
        <w:right w:val="none" w:sz="0" w:space="0" w:color="auto"/>
      </w:divBdr>
    </w:div>
    <w:div w:id="1007369554">
      <w:bodyDiv w:val="1"/>
      <w:marLeft w:val="0"/>
      <w:marRight w:val="0"/>
      <w:marTop w:val="0"/>
      <w:marBottom w:val="0"/>
      <w:divBdr>
        <w:top w:val="none" w:sz="0" w:space="0" w:color="auto"/>
        <w:left w:val="none" w:sz="0" w:space="0" w:color="auto"/>
        <w:bottom w:val="none" w:sz="0" w:space="0" w:color="auto"/>
        <w:right w:val="none" w:sz="0" w:space="0" w:color="auto"/>
      </w:divBdr>
    </w:div>
    <w:div w:id="1011756123">
      <w:bodyDiv w:val="1"/>
      <w:marLeft w:val="0"/>
      <w:marRight w:val="0"/>
      <w:marTop w:val="0"/>
      <w:marBottom w:val="0"/>
      <w:divBdr>
        <w:top w:val="none" w:sz="0" w:space="0" w:color="auto"/>
        <w:left w:val="none" w:sz="0" w:space="0" w:color="auto"/>
        <w:bottom w:val="none" w:sz="0" w:space="0" w:color="auto"/>
        <w:right w:val="none" w:sz="0" w:space="0" w:color="auto"/>
      </w:divBdr>
    </w:div>
    <w:div w:id="1012683157">
      <w:bodyDiv w:val="1"/>
      <w:marLeft w:val="0"/>
      <w:marRight w:val="0"/>
      <w:marTop w:val="0"/>
      <w:marBottom w:val="0"/>
      <w:divBdr>
        <w:top w:val="none" w:sz="0" w:space="0" w:color="auto"/>
        <w:left w:val="none" w:sz="0" w:space="0" w:color="auto"/>
        <w:bottom w:val="none" w:sz="0" w:space="0" w:color="auto"/>
        <w:right w:val="none" w:sz="0" w:space="0" w:color="auto"/>
      </w:divBdr>
    </w:div>
    <w:div w:id="1019283821">
      <w:bodyDiv w:val="1"/>
      <w:marLeft w:val="0"/>
      <w:marRight w:val="0"/>
      <w:marTop w:val="0"/>
      <w:marBottom w:val="0"/>
      <w:divBdr>
        <w:top w:val="none" w:sz="0" w:space="0" w:color="auto"/>
        <w:left w:val="none" w:sz="0" w:space="0" w:color="auto"/>
        <w:bottom w:val="none" w:sz="0" w:space="0" w:color="auto"/>
        <w:right w:val="none" w:sz="0" w:space="0" w:color="auto"/>
      </w:divBdr>
    </w:div>
    <w:div w:id="1020014970">
      <w:bodyDiv w:val="1"/>
      <w:marLeft w:val="0"/>
      <w:marRight w:val="0"/>
      <w:marTop w:val="0"/>
      <w:marBottom w:val="0"/>
      <w:divBdr>
        <w:top w:val="none" w:sz="0" w:space="0" w:color="auto"/>
        <w:left w:val="none" w:sz="0" w:space="0" w:color="auto"/>
        <w:bottom w:val="none" w:sz="0" w:space="0" w:color="auto"/>
        <w:right w:val="none" w:sz="0" w:space="0" w:color="auto"/>
      </w:divBdr>
    </w:div>
    <w:div w:id="1021933816">
      <w:bodyDiv w:val="1"/>
      <w:marLeft w:val="0"/>
      <w:marRight w:val="0"/>
      <w:marTop w:val="0"/>
      <w:marBottom w:val="0"/>
      <w:divBdr>
        <w:top w:val="none" w:sz="0" w:space="0" w:color="auto"/>
        <w:left w:val="none" w:sz="0" w:space="0" w:color="auto"/>
        <w:bottom w:val="none" w:sz="0" w:space="0" w:color="auto"/>
        <w:right w:val="none" w:sz="0" w:space="0" w:color="auto"/>
      </w:divBdr>
    </w:div>
    <w:div w:id="1031413486">
      <w:bodyDiv w:val="1"/>
      <w:marLeft w:val="0"/>
      <w:marRight w:val="0"/>
      <w:marTop w:val="0"/>
      <w:marBottom w:val="0"/>
      <w:divBdr>
        <w:top w:val="none" w:sz="0" w:space="0" w:color="auto"/>
        <w:left w:val="none" w:sz="0" w:space="0" w:color="auto"/>
        <w:bottom w:val="none" w:sz="0" w:space="0" w:color="auto"/>
        <w:right w:val="none" w:sz="0" w:space="0" w:color="auto"/>
      </w:divBdr>
      <w:divsChild>
        <w:div w:id="829293167">
          <w:marLeft w:val="547"/>
          <w:marRight w:val="0"/>
          <w:marTop w:val="134"/>
          <w:marBottom w:val="0"/>
          <w:divBdr>
            <w:top w:val="none" w:sz="0" w:space="0" w:color="auto"/>
            <w:left w:val="none" w:sz="0" w:space="0" w:color="auto"/>
            <w:bottom w:val="none" w:sz="0" w:space="0" w:color="auto"/>
            <w:right w:val="none" w:sz="0" w:space="0" w:color="auto"/>
          </w:divBdr>
        </w:div>
        <w:div w:id="1522549479">
          <w:marLeft w:val="547"/>
          <w:marRight w:val="0"/>
          <w:marTop w:val="134"/>
          <w:marBottom w:val="0"/>
          <w:divBdr>
            <w:top w:val="none" w:sz="0" w:space="0" w:color="auto"/>
            <w:left w:val="none" w:sz="0" w:space="0" w:color="auto"/>
            <w:bottom w:val="none" w:sz="0" w:space="0" w:color="auto"/>
            <w:right w:val="none" w:sz="0" w:space="0" w:color="auto"/>
          </w:divBdr>
        </w:div>
        <w:div w:id="1633901340">
          <w:marLeft w:val="547"/>
          <w:marRight w:val="0"/>
          <w:marTop w:val="134"/>
          <w:marBottom w:val="0"/>
          <w:divBdr>
            <w:top w:val="none" w:sz="0" w:space="0" w:color="auto"/>
            <w:left w:val="none" w:sz="0" w:space="0" w:color="auto"/>
            <w:bottom w:val="none" w:sz="0" w:space="0" w:color="auto"/>
            <w:right w:val="none" w:sz="0" w:space="0" w:color="auto"/>
          </w:divBdr>
        </w:div>
      </w:divsChild>
    </w:div>
    <w:div w:id="1031686962">
      <w:bodyDiv w:val="1"/>
      <w:marLeft w:val="0"/>
      <w:marRight w:val="0"/>
      <w:marTop w:val="0"/>
      <w:marBottom w:val="0"/>
      <w:divBdr>
        <w:top w:val="none" w:sz="0" w:space="0" w:color="auto"/>
        <w:left w:val="none" w:sz="0" w:space="0" w:color="auto"/>
        <w:bottom w:val="none" w:sz="0" w:space="0" w:color="auto"/>
        <w:right w:val="none" w:sz="0" w:space="0" w:color="auto"/>
      </w:divBdr>
    </w:div>
    <w:div w:id="1036197929">
      <w:bodyDiv w:val="1"/>
      <w:marLeft w:val="0"/>
      <w:marRight w:val="0"/>
      <w:marTop w:val="0"/>
      <w:marBottom w:val="0"/>
      <w:divBdr>
        <w:top w:val="none" w:sz="0" w:space="0" w:color="auto"/>
        <w:left w:val="none" w:sz="0" w:space="0" w:color="auto"/>
        <w:bottom w:val="none" w:sz="0" w:space="0" w:color="auto"/>
        <w:right w:val="none" w:sz="0" w:space="0" w:color="auto"/>
      </w:divBdr>
    </w:div>
    <w:div w:id="1039404139">
      <w:bodyDiv w:val="1"/>
      <w:marLeft w:val="0"/>
      <w:marRight w:val="0"/>
      <w:marTop w:val="0"/>
      <w:marBottom w:val="0"/>
      <w:divBdr>
        <w:top w:val="none" w:sz="0" w:space="0" w:color="auto"/>
        <w:left w:val="none" w:sz="0" w:space="0" w:color="auto"/>
        <w:bottom w:val="none" w:sz="0" w:space="0" w:color="auto"/>
        <w:right w:val="none" w:sz="0" w:space="0" w:color="auto"/>
      </w:divBdr>
      <w:divsChild>
        <w:div w:id="1485199105">
          <w:marLeft w:val="0"/>
          <w:marRight w:val="0"/>
          <w:marTop w:val="0"/>
          <w:marBottom w:val="0"/>
          <w:divBdr>
            <w:top w:val="none" w:sz="0" w:space="0" w:color="auto"/>
            <w:left w:val="none" w:sz="0" w:space="0" w:color="auto"/>
            <w:bottom w:val="none" w:sz="0" w:space="0" w:color="auto"/>
            <w:right w:val="none" w:sz="0" w:space="0" w:color="auto"/>
          </w:divBdr>
        </w:div>
      </w:divsChild>
    </w:div>
    <w:div w:id="1049183331">
      <w:bodyDiv w:val="1"/>
      <w:marLeft w:val="0"/>
      <w:marRight w:val="0"/>
      <w:marTop w:val="0"/>
      <w:marBottom w:val="0"/>
      <w:divBdr>
        <w:top w:val="none" w:sz="0" w:space="0" w:color="auto"/>
        <w:left w:val="none" w:sz="0" w:space="0" w:color="auto"/>
        <w:bottom w:val="none" w:sz="0" w:space="0" w:color="auto"/>
        <w:right w:val="none" w:sz="0" w:space="0" w:color="auto"/>
      </w:divBdr>
    </w:div>
    <w:div w:id="1049766387">
      <w:bodyDiv w:val="1"/>
      <w:marLeft w:val="0"/>
      <w:marRight w:val="0"/>
      <w:marTop w:val="0"/>
      <w:marBottom w:val="0"/>
      <w:divBdr>
        <w:top w:val="none" w:sz="0" w:space="0" w:color="auto"/>
        <w:left w:val="none" w:sz="0" w:space="0" w:color="auto"/>
        <w:bottom w:val="none" w:sz="0" w:space="0" w:color="auto"/>
        <w:right w:val="none" w:sz="0" w:space="0" w:color="auto"/>
      </w:divBdr>
    </w:div>
    <w:div w:id="1050765191">
      <w:bodyDiv w:val="1"/>
      <w:marLeft w:val="0"/>
      <w:marRight w:val="0"/>
      <w:marTop w:val="0"/>
      <w:marBottom w:val="0"/>
      <w:divBdr>
        <w:top w:val="none" w:sz="0" w:space="0" w:color="auto"/>
        <w:left w:val="none" w:sz="0" w:space="0" w:color="auto"/>
        <w:bottom w:val="none" w:sz="0" w:space="0" w:color="auto"/>
        <w:right w:val="none" w:sz="0" w:space="0" w:color="auto"/>
      </w:divBdr>
    </w:div>
    <w:div w:id="1056011344">
      <w:bodyDiv w:val="1"/>
      <w:marLeft w:val="0"/>
      <w:marRight w:val="0"/>
      <w:marTop w:val="0"/>
      <w:marBottom w:val="0"/>
      <w:divBdr>
        <w:top w:val="none" w:sz="0" w:space="0" w:color="auto"/>
        <w:left w:val="none" w:sz="0" w:space="0" w:color="auto"/>
        <w:bottom w:val="none" w:sz="0" w:space="0" w:color="auto"/>
        <w:right w:val="none" w:sz="0" w:space="0" w:color="auto"/>
      </w:divBdr>
    </w:div>
    <w:div w:id="1058093360">
      <w:bodyDiv w:val="1"/>
      <w:marLeft w:val="0"/>
      <w:marRight w:val="0"/>
      <w:marTop w:val="0"/>
      <w:marBottom w:val="0"/>
      <w:divBdr>
        <w:top w:val="none" w:sz="0" w:space="0" w:color="auto"/>
        <w:left w:val="none" w:sz="0" w:space="0" w:color="auto"/>
        <w:bottom w:val="none" w:sz="0" w:space="0" w:color="auto"/>
        <w:right w:val="none" w:sz="0" w:space="0" w:color="auto"/>
      </w:divBdr>
    </w:div>
    <w:div w:id="1061639521">
      <w:bodyDiv w:val="1"/>
      <w:marLeft w:val="0"/>
      <w:marRight w:val="0"/>
      <w:marTop w:val="0"/>
      <w:marBottom w:val="0"/>
      <w:divBdr>
        <w:top w:val="none" w:sz="0" w:space="0" w:color="auto"/>
        <w:left w:val="none" w:sz="0" w:space="0" w:color="auto"/>
        <w:bottom w:val="none" w:sz="0" w:space="0" w:color="auto"/>
        <w:right w:val="none" w:sz="0" w:space="0" w:color="auto"/>
      </w:divBdr>
    </w:div>
    <w:div w:id="1063408287">
      <w:bodyDiv w:val="1"/>
      <w:marLeft w:val="0"/>
      <w:marRight w:val="0"/>
      <w:marTop w:val="0"/>
      <w:marBottom w:val="0"/>
      <w:divBdr>
        <w:top w:val="none" w:sz="0" w:space="0" w:color="auto"/>
        <w:left w:val="none" w:sz="0" w:space="0" w:color="auto"/>
        <w:bottom w:val="none" w:sz="0" w:space="0" w:color="auto"/>
        <w:right w:val="none" w:sz="0" w:space="0" w:color="auto"/>
      </w:divBdr>
    </w:div>
    <w:div w:id="1063485332">
      <w:bodyDiv w:val="1"/>
      <w:marLeft w:val="0"/>
      <w:marRight w:val="0"/>
      <w:marTop w:val="0"/>
      <w:marBottom w:val="0"/>
      <w:divBdr>
        <w:top w:val="none" w:sz="0" w:space="0" w:color="auto"/>
        <w:left w:val="none" w:sz="0" w:space="0" w:color="auto"/>
        <w:bottom w:val="none" w:sz="0" w:space="0" w:color="auto"/>
        <w:right w:val="none" w:sz="0" w:space="0" w:color="auto"/>
      </w:divBdr>
      <w:divsChild>
        <w:div w:id="1060638764">
          <w:marLeft w:val="547"/>
          <w:marRight w:val="0"/>
          <w:marTop w:val="154"/>
          <w:marBottom w:val="0"/>
          <w:divBdr>
            <w:top w:val="none" w:sz="0" w:space="0" w:color="auto"/>
            <w:left w:val="none" w:sz="0" w:space="0" w:color="auto"/>
            <w:bottom w:val="none" w:sz="0" w:space="0" w:color="auto"/>
            <w:right w:val="none" w:sz="0" w:space="0" w:color="auto"/>
          </w:divBdr>
        </w:div>
        <w:div w:id="1727988624">
          <w:marLeft w:val="547"/>
          <w:marRight w:val="0"/>
          <w:marTop w:val="154"/>
          <w:marBottom w:val="0"/>
          <w:divBdr>
            <w:top w:val="none" w:sz="0" w:space="0" w:color="auto"/>
            <w:left w:val="none" w:sz="0" w:space="0" w:color="auto"/>
            <w:bottom w:val="none" w:sz="0" w:space="0" w:color="auto"/>
            <w:right w:val="none" w:sz="0" w:space="0" w:color="auto"/>
          </w:divBdr>
        </w:div>
      </w:divsChild>
    </w:div>
    <w:div w:id="1067994728">
      <w:bodyDiv w:val="1"/>
      <w:marLeft w:val="0"/>
      <w:marRight w:val="0"/>
      <w:marTop w:val="0"/>
      <w:marBottom w:val="0"/>
      <w:divBdr>
        <w:top w:val="none" w:sz="0" w:space="0" w:color="auto"/>
        <w:left w:val="none" w:sz="0" w:space="0" w:color="auto"/>
        <w:bottom w:val="none" w:sz="0" w:space="0" w:color="auto"/>
        <w:right w:val="none" w:sz="0" w:space="0" w:color="auto"/>
      </w:divBdr>
    </w:div>
    <w:div w:id="1070351499">
      <w:bodyDiv w:val="1"/>
      <w:marLeft w:val="0"/>
      <w:marRight w:val="0"/>
      <w:marTop w:val="0"/>
      <w:marBottom w:val="0"/>
      <w:divBdr>
        <w:top w:val="none" w:sz="0" w:space="0" w:color="auto"/>
        <w:left w:val="none" w:sz="0" w:space="0" w:color="auto"/>
        <w:bottom w:val="none" w:sz="0" w:space="0" w:color="auto"/>
        <w:right w:val="none" w:sz="0" w:space="0" w:color="auto"/>
      </w:divBdr>
    </w:div>
    <w:div w:id="1076827467">
      <w:bodyDiv w:val="1"/>
      <w:marLeft w:val="0"/>
      <w:marRight w:val="0"/>
      <w:marTop w:val="0"/>
      <w:marBottom w:val="0"/>
      <w:divBdr>
        <w:top w:val="none" w:sz="0" w:space="0" w:color="auto"/>
        <w:left w:val="none" w:sz="0" w:space="0" w:color="auto"/>
        <w:bottom w:val="none" w:sz="0" w:space="0" w:color="auto"/>
        <w:right w:val="none" w:sz="0" w:space="0" w:color="auto"/>
      </w:divBdr>
    </w:div>
    <w:div w:id="1077702150">
      <w:bodyDiv w:val="1"/>
      <w:marLeft w:val="0"/>
      <w:marRight w:val="0"/>
      <w:marTop w:val="0"/>
      <w:marBottom w:val="0"/>
      <w:divBdr>
        <w:top w:val="none" w:sz="0" w:space="0" w:color="auto"/>
        <w:left w:val="none" w:sz="0" w:space="0" w:color="auto"/>
        <w:bottom w:val="none" w:sz="0" w:space="0" w:color="auto"/>
        <w:right w:val="none" w:sz="0" w:space="0" w:color="auto"/>
      </w:divBdr>
    </w:div>
    <w:div w:id="1077705085">
      <w:bodyDiv w:val="1"/>
      <w:marLeft w:val="0"/>
      <w:marRight w:val="0"/>
      <w:marTop w:val="0"/>
      <w:marBottom w:val="0"/>
      <w:divBdr>
        <w:top w:val="none" w:sz="0" w:space="0" w:color="auto"/>
        <w:left w:val="none" w:sz="0" w:space="0" w:color="auto"/>
        <w:bottom w:val="none" w:sz="0" w:space="0" w:color="auto"/>
        <w:right w:val="none" w:sz="0" w:space="0" w:color="auto"/>
      </w:divBdr>
    </w:div>
    <w:div w:id="1079325644">
      <w:bodyDiv w:val="1"/>
      <w:marLeft w:val="0"/>
      <w:marRight w:val="0"/>
      <w:marTop w:val="0"/>
      <w:marBottom w:val="0"/>
      <w:divBdr>
        <w:top w:val="none" w:sz="0" w:space="0" w:color="auto"/>
        <w:left w:val="none" w:sz="0" w:space="0" w:color="auto"/>
        <w:bottom w:val="none" w:sz="0" w:space="0" w:color="auto"/>
        <w:right w:val="none" w:sz="0" w:space="0" w:color="auto"/>
      </w:divBdr>
    </w:div>
    <w:div w:id="1081221364">
      <w:bodyDiv w:val="1"/>
      <w:marLeft w:val="0"/>
      <w:marRight w:val="0"/>
      <w:marTop w:val="0"/>
      <w:marBottom w:val="0"/>
      <w:divBdr>
        <w:top w:val="none" w:sz="0" w:space="0" w:color="auto"/>
        <w:left w:val="none" w:sz="0" w:space="0" w:color="auto"/>
        <w:bottom w:val="none" w:sz="0" w:space="0" w:color="auto"/>
        <w:right w:val="none" w:sz="0" w:space="0" w:color="auto"/>
      </w:divBdr>
    </w:div>
    <w:div w:id="1084258017">
      <w:bodyDiv w:val="1"/>
      <w:marLeft w:val="0"/>
      <w:marRight w:val="0"/>
      <w:marTop w:val="0"/>
      <w:marBottom w:val="0"/>
      <w:divBdr>
        <w:top w:val="none" w:sz="0" w:space="0" w:color="auto"/>
        <w:left w:val="none" w:sz="0" w:space="0" w:color="auto"/>
        <w:bottom w:val="none" w:sz="0" w:space="0" w:color="auto"/>
        <w:right w:val="none" w:sz="0" w:space="0" w:color="auto"/>
      </w:divBdr>
    </w:div>
    <w:div w:id="1086196733">
      <w:bodyDiv w:val="1"/>
      <w:marLeft w:val="0"/>
      <w:marRight w:val="0"/>
      <w:marTop w:val="0"/>
      <w:marBottom w:val="0"/>
      <w:divBdr>
        <w:top w:val="none" w:sz="0" w:space="0" w:color="auto"/>
        <w:left w:val="none" w:sz="0" w:space="0" w:color="auto"/>
        <w:bottom w:val="none" w:sz="0" w:space="0" w:color="auto"/>
        <w:right w:val="none" w:sz="0" w:space="0" w:color="auto"/>
      </w:divBdr>
    </w:div>
    <w:div w:id="1086531538">
      <w:bodyDiv w:val="1"/>
      <w:marLeft w:val="0"/>
      <w:marRight w:val="0"/>
      <w:marTop w:val="0"/>
      <w:marBottom w:val="0"/>
      <w:divBdr>
        <w:top w:val="none" w:sz="0" w:space="0" w:color="auto"/>
        <w:left w:val="none" w:sz="0" w:space="0" w:color="auto"/>
        <w:bottom w:val="none" w:sz="0" w:space="0" w:color="auto"/>
        <w:right w:val="none" w:sz="0" w:space="0" w:color="auto"/>
      </w:divBdr>
    </w:div>
    <w:div w:id="1091464558">
      <w:bodyDiv w:val="1"/>
      <w:marLeft w:val="0"/>
      <w:marRight w:val="0"/>
      <w:marTop w:val="0"/>
      <w:marBottom w:val="0"/>
      <w:divBdr>
        <w:top w:val="none" w:sz="0" w:space="0" w:color="auto"/>
        <w:left w:val="none" w:sz="0" w:space="0" w:color="auto"/>
        <w:bottom w:val="none" w:sz="0" w:space="0" w:color="auto"/>
        <w:right w:val="none" w:sz="0" w:space="0" w:color="auto"/>
      </w:divBdr>
    </w:div>
    <w:div w:id="1095832255">
      <w:bodyDiv w:val="1"/>
      <w:marLeft w:val="0"/>
      <w:marRight w:val="0"/>
      <w:marTop w:val="0"/>
      <w:marBottom w:val="0"/>
      <w:divBdr>
        <w:top w:val="none" w:sz="0" w:space="0" w:color="auto"/>
        <w:left w:val="none" w:sz="0" w:space="0" w:color="auto"/>
        <w:bottom w:val="none" w:sz="0" w:space="0" w:color="auto"/>
        <w:right w:val="none" w:sz="0" w:space="0" w:color="auto"/>
      </w:divBdr>
    </w:div>
    <w:div w:id="1098909202">
      <w:bodyDiv w:val="1"/>
      <w:marLeft w:val="0"/>
      <w:marRight w:val="0"/>
      <w:marTop w:val="0"/>
      <w:marBottom w:val="0"/>
      <w:divBdr>
        <w:top w:val="none" w:sz="0" w:space="0" w:color="auto"/>
        <w:left w:val="none" w:sz="0" w:space="0" w:color="auto"/>
        <w:bottom w:val="none" w:sz="0" w:space="0" w:color="auto"/>
        <w:right w:val="none" w:sz="0" w:space="0" w:color="auto"/>
      </w:divBdr>
    </w:div>
    <w:div w:id="1100905729">
      <w:bodyDiv w:val="1"/>
      <w:marLeft w:val="0"/>
      <w:marRight w:val="0"/>
      <w:marTop w:val="0"/>
      <w:marBottom w:val="0"/>
      <w:divBdr>
        <w:top w:val="none" w:sz="0" w:space="0" w:color="auto"/>
        <w:left w:val="none" w:sz="0" w:space="0" w:color="auto"/>
        <w:bottom w:val="none" w:sz="0" w:space="0" w:color="auto"/>
        <w:right w:val="none" w:sz="0" w:space="0" w:color="auto"/>
      </w:divBdr>
    </w:div>
    <w:div w:id="1104112600">
      <w:bodyDiv w:val="1"/>
      <w:marLeft w:val="0"/>
      <w:marRight w:val="0"/>
      <w:marTop w:val="0"/>
      <w:marBottom w:val="0"/>
      <w:divBdr>
        <w:top w:val="none" w:sz="0" w:space="0" w:color="auto"/>
        <w:left w:val="none" w:sz="0" w:space="0" w:color="auto"/>
        <w:bottom w:val="none" w:sz="0" w:space="0" w:color="auto"/>
        <w:right w:val="none" w:sz="0" w:space="0" w:color="auto"/>
      </w:divBdr>
    </w:div>
    <w:div w:id="1109616573">
      <w:bodyDiv w:val="1"/>
      <w:marLeft w:val="0"/>
      <w:marRight w:val="0"/>
      <w:marTop w:val="0"/>
      <w:marBottom w:val="0"/>
      <w:divBdr>
        <w:top w:val="none" w:sz="0" w:space="0" w:color="auto"/>
        <w:left w:val="none" w:sz="0" w:space="0" w:color="auto"/>
        <w:bottom w:val="none" w:sz="0" w:space="0" w:color="auto"/>
        <w:right w:val="none" w:sz="0" w:space="0" w:color="auto"/>
      </w:divBdr>
    </w:div>
    <w:div w:id="1117259358">
      <w:bodyDiv w:val="1"/>
      <w:marLeft w:val="0"/>
      <w:marRight w:val="0"/>
      <w:marTop w:val="0"/>
      <w:marBottom w:val="0"/>
      <w:divBdr>
        <w:top w:val="none" w:sz="0" w:space="0" w:color="auto"/>
        <w:left w:val="none" w:sz="0" w:space="0" w:color="auto"/>
        <w:bottom w:val="none" w:sz="0" w:space="0" w:color="auto"/>
        <w:right w:val="none" w:sz="0" w:space="0" w:color="auto"/>
      </w:divBdr>
    </w:div>
    <w:div w:id="1122656215">
      <w:bodyDiv w:val="1"/>
      <w:marLeft w:val="0"/>
      <w:marRight w:val="0"/>
      <w:marTop w:val="0"/>
      <w:marBottom w:val="0"/>
      <w:divBdr>
        <w:top w:val="none" w:sz="0" w:space="0" w:color="auto"/>
        <w:left w:val="none" w:sz="0" w:space="0" w:color="auto"/>
        <w:bottom w:val="none" w:sz="0" w:space="0" w:color="auto"/>
        <w:right w:val="none" w:sz="0" w:space="0" w:color="auto"/>
      </w:divBdr>
    </w:div>
    <w:div w:id="1123962622">
      <w:bodyDiv w:val="1"/>
      <w:marLeft w:val="0"/>
      <w:marRight w:val="0"/>
      <w:marTop w:val="0"/>
      <w:marBottom w:val="0"/>
      <w:divBdr>
        <w:top w:val="none" w:sz="0" w:space="0" w:color="auto"/>
        <w:left w:val="none" w:sz="0" w:space="0" w:color="auto"/>
        <w:bottom w:val="none" w:sz="0" w:space="0" w:color="auto"/>
        <w:right w:val="none" w:sz="0" w:space="0" w:color="auto"/>
      </w:divBdr>
    </w:div>
    <w:div w:id="1127510334">
      <w:bodyDiv w:val="1"/>
      <w:marLeft w:val="0"/>
      <w:marRight w:val="0"/>
      <w:marTop w:val="0"/>
      <w:marBottom w:val="0"/>
      <w:divBdr>
        <w:top w:val="none" w:sz="0" w:space="0" w:color="auto"/>
        <w:left w:val="none" w:sz="0" w:space="0" w:color="auto"/>
        <w:bottom w:val="none" w:sz="0" w:space="0" w:color="auto"/>
        <w:right w:val="none" w:sz="0" w:space="0" w:color="auto"/>
      </w:divBdr>
    </w:div>
    <w:div w:id="1157377244">
      <w:bodyDiv w:val="1"/>
      <w:marLeft w:val="0"/>
      <w:marRight w:val="0"/>
      <w:marTop w:val="0"/>
      <w:marBottom w:val="0"/>
      <w:divBdr>
        <w:top w:val="none" w:sz="0" w:space="0" w:color="auto"/>
        <w:left w:val="none" w:sz="0" w:space="0" w:color="auto"/>
        <w:bottom w:val="none" w:sz="0" w:space="0" w:color="auto"/>
        <w:right w:val="none" w:sz="0" w:space="0" w:color="auto"/>
      </w:divBdr>
    </w:div>
    <w:div w:id="1158227038">
      <w:bodyDiv w:val="1"/>
      <w:marLeft w:val="0"/>
      <w:marRight w:val="0"/>
      <w:marTop w:val="0"/>
      <w:marBottom w:val="0"/>
      <w:divBdr>
        <w:top w:val="none" w:sz="0" w:space="0" w:color="auto"/>
        <w:left w:val="none" w:sz="0" w:space="0" w:color="auto"/>
        <w:bottom w:val="none" w:sz="0" w:space="0" w:color="auto"/>
        <w:right w:val="none" w:sz="0" w:space="0" w:color="auto"/>
      </w:divBdr>
    </w:div>
    <w:div w:id="1161703178">
      <w:bodyDiv w:val="1"/>
      <w:marLeft w:val="0"/>
      <w:marRight w:val="0"/>
      <w:marTop w:val="0"/>
      <w:marBottom w:val="0"/>
      <w:divBdr>
        <w:top w:val="none" w:sz="0" w:space="0" w:color="auto"/>
        <w:left w:val="none" w:sz="0" w:space="0" w:color="auto"/>
        <w:bottom w:val="none" w:sz="0" w:space="0" w:color="auto"/>
        <w:right w:val="none" w:sz="0" w:space="0" w:color="auto"/>
      </w:divBdr>
    </w:div>
    <w:div w:id="1168600552">
      <w:bodyDiv w:val="1"/>
      <w:marLeft w:val="0"/>
      <w:marRight w:val="0"/>
      <w:marTop w:val="0"/>
      <w:marBottom w:val="0"/>
      <w:divBdr>
        <w:top w:val="none" w:sz="0" w:space="0" w:color="auto"/>
        <w:left w:val="none" w:sz="0" w:space="0" w:color="auto"/>
        <w:bottom w:val="none" w:sz="0" w:space="0" w:color="auto"/>
        <w:right w:val="none" w:sz="0" w:space="0" w:color="auto"/>
      </w:divBdr>
    </w:div>
    <w:div w:id="1172337292">
      <w:bodyDiv w:val="1"/>
      <w:marLeft w:val="0"/>
      <w:marRight w:val="0"/>
      <w:marTop w:val="0"/>
      <w:marBottom w:val="0"/>
      <w:divBdr>
        <w:top w:val="none" w:sz="0" w:space="0" w:color="auto"/>
        <w:left w:val="none" w:sz="0" w:space="0" w:color="auto"/>
        <w:bottom w:val="none" w:sz="0" w:space="0" w:color="auto"/>
        <w:right w:val="none" w:sz="0" w:space="0" w:color="auto"/>
      </w:divBdr>
    </w:div>
    <w:div w:id="1177816101">
      <w:bodyDiv w:val="1"/>
      <w:marLeft w:val="0"/>
      <w:marRight w:val="0"/>
      <w:marTop w:val="0"/>
      <w:marBottom w:val="0"/>
      <w:divBdr>
        <w:top w:val="none" w:sz="0" w:space="0" w:color="auto"/>
        <w:left w:val="none" w:sz="0" w:space="0" w:color="auto"/>
        <w:bottom w:val="none" w:sz="0" w:space="0" w:color="auto"/>
        <w:right w:val="none" w:sz="0" w:space="0" w:color="auto"/>
      </w:divBdr>
    </w:div>
    <w:div w:id="1177963728">
      <w:bodyDiv w:val="1"/>
      <w:marLeft w:val="0"/>
      <w:marRight w:val="0"/>
      <w:marTop w:val="0"/>
      <w:marBottom w:val="0"/>
      <w:divBdr>
        <w:top w:val="none" w:sz="0" w:space="0" w:color="auto"/>
        <w:left w:val="none" w:sz="0" w:space="0" w:color="auto"/>
        <w:bottom w:val="none" w:sz="0" w:space="0" w:color="auto"/>
        <w:right w:val="none" w:sz="0" w:space="0" w:color="auto"/>
      </w:divBdr>
      <w:divsChild>
        <w:div w:id="1049568387">
          <w:marLeft w:val="547"/>
          <w:marRight w:val="0"/>
          <w:marTop w:val="134"/>
          <w:marBottom w:val="0"/>
          <w:divBdr>
            <w:top w:val="none" w:sz="0" w:space="0" w:color="auto"/>
            <w:left w:val="none" w:sz="0" w:space="0" w:color="auto"/>
            <w:bottom w:val="none" w:sz="0" w:space="0" w:color="auto"/>
            <w:right w:val="none" w:sz="0" w:space="0" w:color="auto"/>
          </w:divBdr>
        </w:div>
      </w:divsChild>
    </w:div>
    <w:div w:id="1178082055">
      <w:bodyDiv w:val="1"/>
      <w:marLeft w:val="0"/>
      <w:marRight w:val="0"/>
      <w:marTop w:val="0"/>
      <w:marBottom w:val="0"/>
      <w:divBdr>
        <w:top w:val="none" w:sz="0" w:space="0" w:color="auto"/>
        <w:left w:val="none" w:sz="0" w:space="0" w:color="auto"/>
        <w:bottom w:val="none" w:sz="0" w:space="0" w:color="auto"/>
        <w:right w:val="none" w:sz="0" w:space="0" w:color="auto"/>
      </w:divBdr>
    </w:div>
    <w:div w:id="1179079698">
      <w:bodyDiv w:val="1"/>
      <w:marLeft w:val="0"/>
      <w:marRight w:val="0"/>
      <w:marTop w:val="0"/>
      <w:marBottom w:val="0"/>
      <w:divBdr>
        <w:top w:val="none" w:sz="0" w:space="0" w:color="auto"/>
        <w:left w:val="none" w:sz="0" w:space="0" w:color="auto"/>
        <w:bottom w:val="none" w:sz="0" w:space="0" w:color="auto"/>
        <w:right w:val="none" w:sz="0" w:space="0" w:color="auto"/>
      </w:divBdr>
    </w:div>
    <w:div w:id="1186021437">
      <w:bodyDiv w:val="1"/>
      <w:marLeft w:val="0"/>
      <w:marRight w:val="0"/>
      <w:marTop w:val="0"/>
      <w:marBottom w:val="0"/>
      <w:divBdr>
        <w:top w:val="none" w:sz="0" w:space="0" w:color="auto"/>
        <w:left w:val="none" w:sz="0" w:space="0" w:color="auto"/>
        <w:bottom w:val="none" w:sz="0" w:space="0" w:color="auto"/>
        <w:right w:val="none" w:sz="0" w:space="0" w:color="auto"/>
      </w:divBdr>
    </w:div>
    <w:div w:id="1190335605">
      <w:bodyDiv w:val="1"/>
      <w:marLeft w:val="0"/>
      <w:marRight w:val="0"/>
      <w:marTop w:val="0"/>
      <w:marBottom w:val="0"/>
      <w:divBdr>
        <w:top w:val="none" w:sz="0" w:space="0" w:color="auto"/>
        <w:left w:val="none" w:sz="0" w:space="0" w:color="auto"/>
        <w:bottom w:val="none" w:sz="0" w:space="0" w:color="auto"/>
        <w:right w:val="none" w:sz="0" w:space="0" w:color="auto"/>
      </w:divBdr>
    </w:div>
    <w:div w:id="1194801966">
      <w:bodyDiv w:val="1"/>
      <w:marLeft w:val="0"/>
      <w:marRight w:val="0"/>
      <w:marTop w:val="0"/>
      <w:marBottom w:val="0"/>
      <w:divBdr>
        <w:top w:val="none" w:sz="0" w:space="0" w:color="auto"/>
        <w:left w:val="none" w:sz="0" w:space="0" w:color="auto"/>
        <w:bottom w:val="none" w:sz="0" w:space="0" w:color="auto"/>
        <w:right w:val="none" w:sz="0" w:space="0" w:color="auto"/>
      </w:divBdr>
    </w:div>
    <w:div w:id="1197814026">
      <w:bodyDiv w:val="1"/>
      <w:marLeft w:val="0"/>
      <w:marRight w:val="0"/>
      <w:marTop w:val="0"/>
      <w:marBottom w:val="0"/>
      <w:divBdr>
        <w:top w:val="none" w:sz="0" w:space="0" w:color="auto"/>
        <w:left w:val="none" w:sz="0" w:space="0" w:color="auto"/>
        <w:bottom w:val="none" w:sz="0" w:space="0" w:color="auto"/>
        <w:right w:val="none" w:sz="0" w:space="0" w:color="auto"/>
      </w:divBdr>
    </w:div>
    <w:div w:id="1200700534">
      <w:bodyDiv w:val="1"/>
      <w:marLeft w:val="0"/>
      <w:marRight w:val="0"/>
      <w:marTop w:val="0"/>
      <w:marBottom w:val="0"/>
      <w:divBdr>
        <w:top w:val="none" w:sz="0" w:space="0" w:color="auto"/>
        <w:left w:val="none" w:sz="0" w:space="0" w:color="auto"/>
        <w:bottom w:val="none" w:sz="0" w:space="0" w:color="auto"/>
        <w:right w:val="none" w:sz="0" w:space="0" w:color="auto"/>
      </w:divBdr>
    </w:div>
    <w:div w:id="1204556681">
      <w:bodyDiv w:val="1"/>
      <w:marLeft w:val="0"/>
      <w:marRight w:val="0"/>
      <w:marTop w:val="0"/>
      <w:marBottom w:val="0"/>
      <w:divBdr>
        <w:top w:val="none" w:sz="0" w:space="0" w:color="auto"/>
        <w:left w:val="none" w:sz="0" w:space="0" w:color="auto"/>
        <w:bottom w:val="none" w:sz="0" w:space="0" w:color="auto"/>
        <w:right w:val="none" w:sz="0" w:space="0" w:color="auto"/>
      </w:divBdr>
    </w:div>
    <w:div w:id="1206865863">
      <w:bodyDiv w:val="1"/>
      <w:marLeft w:val="0"/>
      <w:marRight w:val="0"/>
      <w:marTop w:val="0"/>
      <w:marBottom w:val="0"/>
      <w:divBdr>
        <w:top w:val="none" w:sz="0" w:space="0" w:color="auto"/>
        <w:left w:val="none" w:sz="0" w:space="0" w:color="auto"/>
        <w:bottom w:val="none" w:sz="0" w:space="0" w:color="auto"/>
        <w:right w:val="none" w:sz="0" w:space="0" w:color="auto"/>
      </w:divBdr>
    </w:div>
    <w:div w:id="1209609042">
      <w:bodyDiv w:val="1"/>
      <w:marLeft w:val="0"/>
      <w:marRight w:val="0"/>
      <w:marTop w:val="0"/>
      <w:marBottom w:val="0"/>
      <w:divBdr>
        <w:top w:val="none" w:sz="0" w:space="0" w:color="auto"/>
        <w:left w:val="none" w:sz="0" w:space="0" w:color="auto"/>
        <w:bottom w:val="none" w:sz="0" w:space="0" w:color="auto"/>
        <w:right w:val="none" w:sz="0" w:space="0" w:color="auto"/>
      </w:divBdr>
    </w:div>
    <w:div w:id="1213074596">
      <w:bodyDiv w:val="1"/>
      <w:marLeft w:val="0"/>
      <w:marRight w:val="0"/>
      <w:marTop w:val="0"/>
      <w:marBottom w:val="0"/>
      <w:divBdr>
        <w:top w:val="none" w:sz="0" w:space="0" w:color="auto"/>
        <w:left w:val="none" w:sz="0" w:space="0" w:color="auto"/>
        <w:bottom w:val="none" w:sz="0" w:space="0" w:color="auto"/>
        <w:right w:val="none" w:sz="0" w:space="0" w:color="auto"/>
      </w:divBdr>
    </w:div>
    <w:div w:id="1242526324">
      <w:bodyDiv w:val="1"/>
      <w:marLeft w:val="0"/>
      <w:marRight w:val="0"/>
      <w:marTop w:val="0"/>
      <w:marBottom w:val="0"/>
      <w:divBdr>
        <w:top w:val="none" w:sz="0" w:space="0" w:color="auto"/>
        <w:left w:val="none" w:sz="0" w:space="0" w:color="auto"/>
        <w:bottom w:val="none" w:sz="0" w:space="0" w:color="auto"/>
        <w:right w:val="none" w:sz="0" w:space="0" w:color="auto"/>
      </w:divBdr>
    </w:div>
    <w:div w:id="1246261679">
      <w:bodyDiv w:val="1"/>
      <w:marLeft w:val="0"/>
      <w:marRight w:val="0"/>
      <w:marTop w:val="0"/>
      <w:marBottom w:val="0"/>
      <w:divBdr>
        <w:top w:val="none" w:sz="0" w:space="0" w:color="auto"/>
        <w:left w:val="none" w:sz="0" w:space="0" w:color="auto"/>
        <w:bottom w:val="none" w:sz="0" w:space="0" w:color="auto"/>
        <w:right w:val="none" w:sz="0" w:space="0" w:color="auto"/>
      </w:divBdr>
    </w:div>
    <w:div w:id="1249003658">
      <w:bodyDiv w:val="1"/>
      <w:marLeft w:val="0"/>
      <w:marRight w:val="0"/>
      <w:marTop w:val="0"/>
      <w:marBottom w:val="0"/>
      <w:divBdr>
        <w:top w:val="none" w:sz="0" w:space="0" w:color="auto"/>
        <w:left w:val="none" w:sz="0" w:space="0" w:color="auto"/>
        <w:bottom w:val="none" w:sz="0" w:space="0" w:color="auto"/>
        <w:right w:val="none" w:sz="0" w:space="0" w:color="auto"/>
      </w:divBdr>
    </w:div>
    <w:div w:id="1253969610">
      <w:bodyDiv w:val="1"/>
      <w:marLeft w:val="0"/>
      <w:marRight w:val="0"/>
      <w:marTop w:val="0"/>
      <w:marBottom w:val="0"/>
      <w:divBdr>
        <w:top w:val="none" w:sz="0" w:space="0" w:color="auto"/>
        <w:left w:val="none" w:sz="0" w:space="0" w:color="auto"/>
        <w:bottom w:val="none" w:sz="0" w:space="0" w:color="auto"/>
        <w:right w:val="none" w:sz="0" w:space="0" w:color="auto"/>
      </w:divBdr>
    </w:div>
    <w:div w:id="1260992939">
      <w:bodyDiv w:val="1"/>
      <w:marLeft w:val="0"/>
      <w:marRight w:val="0"/>
      <w:marTop w:val="0"/>
      <w:marBottom w:val="0"/>
      <w:divBdr>
        <w:top w:val="none" w:sz="0" w:space="0" w:color="auto"/>
        <w:left w:val="none" w:sz="0" w:space="0" w:color="auto"/>
        <w:bottom w:val="none" w:sz="0" w:space="0" w:color="auto"/>
        <w:right w:val="none" w:sz="0" w:space="0" w:color="auto"/>
      </w:divBdr>
      <w:divsChild>
        <w:div w:id="574900909">
          <w:marLeft w:val="547"/>
          <w:marRight w:val="0"/>
          <w:marTop w:val="154"/>
          <w:marBottom w:val="0"/>
          <w:divBdr>
            <w:top w:val="none" w:sz="0" w:space="0" w:color="auto"/>
            <w:left w:val="none" w:sz="0" w:space="0" w:color="auto"/>
            <w:bottom w:val="none" w:sz="0" w:space="0" w:color="auto"/>
            <w:right w:val="none" w:sz="0" w:space="0" w:color="auto"/>
          </w:divBdr>
        </w:div>
        <w:div w:id="956065411">
          <w:marLeft w:val="547"/>
          <w:marRight w:val="0"/>
          <w:marTop w:val="154"/>
          <w:marBottom w:val="0"/>
          <w:divBdr>
            <w:top w:val="none" w:sz="0" w:space="0" w:color="auto"/>
            <w:left w:val="none" w:sz="0" w:space="0" w:color="auto"/>
            <w:bottom w:val="none" w:sz="0" w:space="0" w:color="auto"/>
            <w:right w:val="none" w:sz="0" w:space="0" w:color="auto"/>
          </w:divBdr>
        </w:div>
        <w:div w:id="1587498708">
          <w:marLeft w:val="547"/>
          <w:marRight w:val="0"/>
          <w:marTop w:val="154"/>
          <w:marBottom w:val="0"/>
          <w:divBdr>
            <w:top w:val="none" w:sz="0" w:space="0" w:color="auto"/>
            <w:left w:val="none" w:sz="0" w:space="0" w:color="auto"/>
            <w:bottom w:val="none" w:sz="0" w:space="0" w:color="auto"/>
            <w:right w:val="none" w:sz="0" w:space="0" w:color="auto"/>
          </w:divBdr>
        </w:div>
      </w:divsChild>
    </w:div>
    <w:div w:id="1262225396">
      <w:bodyDiv w:val="1"/>
      <w:marLeft w:val="0"/>
      <w:marRight w:val="0"/>
      <w:marTop w:val="0"/>
      <w:marBottom w:val="0"/>
      <w:divBdr>
        <w:top w:val="none" w:sz="0" w:space="0" w:color="auto"/>
        <w:left w:val="none" w:sz="0" w:space="0" w:color="auto"/>
        <w:bottom w:val="none" w:sz="0" w:space="0" w:color="auto"/>
        <w:right w:val="none" w:sz="0" w:space="0" w:color="auto"/>
      </w:divBdr>
    </w:div>
    <w:div w:id="1277055847">
      <w:bodyDiv w:val="1"/>
      <w:marLeft w:val="0"/>
      <w:marRight w:val="0"/>
      <w:marTop w:val="0"/>
      <w:marBottom w:val="0"/>
      <w:divBdr>
        <w:top w:val="none" w:sz="0" w:space="0" w:color="auto"/>
        <w:left w:val="none" w:sz="0" w:space="0" w:color="auto"/>
        <w:bottom w:val="none" w:sz="0" w:space="0" w:color="auto"/>
        <w:right w:val="none" w:sz="0" w:space="0" w:color="auto"/>
      </w:divBdr>
    </w:div>
    <w:div w:id="1279413071">
      <w:bodyDiv w:val="1"/>
      <w:marLeft w:val="0"/>
      <w:marRight w:val="0"/>
      <w:marTop w:val="0"/>
      <w:marBottom w:val="0"/>
      <w:divBdr>
        <w:top w:val="none" w:sz="0" w:space="0" w:color="auto"/>
        <w:left w:val="none" w:sz="0" w:space="0" w:color="auto"/>
        <w:bottom w:val="none" w:sz="0" w:space="0" w:color="auto"/>
        <w:right w:val="none" w:sz="0" w:space="0" w:color="auto"/>
      </w:divBdr>
    </w:div>
    <w:div w:id="1286808150">
      <w:bodyDiv w:val="1"/>
      <w:marLeft w:val="0"/>
      <w:marRight w:val="0"/>
      <w:marTop w:val="0"/>
      <w:marBottom w:val="0"/>
      <w:divBdr>
        <w:top w:val="none" w:sz="0" w:space="0" w:color="auto"/>
        <w:left w:val="none" w:sz="0" w:space="0" w:color="auto"/>
        <w:bottom w:val="none" w:sz="0" w:space="0" w:color="auto"/>
        <w:right w:val="none" w:sz="0" w:space="0" w:color="auto"/>
      </w:divBdr>
    </w:div>
    <w:div w:id="1292780635">
      <w:bodyDiv w:val="1"/>
      <w:marLeft w:val="0"/>
      <w:marRight w:val="0"/>
      <w:marTop w:val="0"/>
      <w:marBottom w:val="0"/>
      <w:divBdr>
        <w:top w:val="none" w:sz="0" w:space="0" w:color="auto"/>
        <w:left w:val="none" w:sz="0" w:space="0" w:color="auto"/>
        <w:bottom w:val="none" w:sz="0" w:space="0" w:color="auto"/>
        <w:right w:val="none" w:sz="0" w:space="0" w:color="auto"/>
      </w:divBdr>
    </w:div>
    <w:div w:id="1297875235">
      <w:bodyDiv w:val="1"/>
      <w:marLeft w:val="0"/>
      <w:marRight w:val="0"/>
      <w:marTop w:val="0"/>
      <w:marBottom w:val="0"/>
      <w:divBdr>
        <w:top w:val="none" w:sz="0" w:space="0" w:color="auto"/>
        <w:left w:val="none" w:sz="0" w:space="0" w:color="auto"/>
        <w:bottom w:val="none" w:sz="0" w:space="0" w:color="auto"/>
        <w:right w:val="none" w:sz="0" w:space="0" w:color="auto"/>
      </w:divBdr>
    </w:div>
    <w:div w:id="1301500611">
      <w:bodyDiv w:val="1"/>
      <w:marLeft w:val="0"/>
      <w:marRight w:val="0"/>
      <w:marTop w:val="0"/>
      <w:marBottom w:val="0"/>
      <w:divBdr>
        <w:top w:val="none" w:sz="0" w:space="0" w:color="auto"/>
        <w:left w:val="none" w:sz="0" w:space="0" w:color="auto"/>
        <w:bottom w:val="none" w:sz="0" w:space="0" w:color="auto"/>
        <w:right w:val="none" w:sz="0" w:space="0" w:color="auto"/>
      </w:divBdr>
    </w:div>
    <w:div w:id="1302268989">
      <w:bodyDiv w:val="1"/>
      <w:marLeft w:val="0"/>
      <w:marRight w:val="0"/>
      <w:marTop w:val="0"/>
      <w:marBottom w:val="0"/>
      <w:divBdr>
        <w:top w:val="none" w:sz="0" w:space="0" w:color="auto"/>
        <w:left w:val="none" w:sz="0" w:space="0" w:color="auto"/>
        <w:bottom w:val="none" w:sz="0" w:space="0" w:color="auto"/>
        <w:right w:val="none" w:sz="0" w:space="0" w:color="auto"/>
      </w:divBdr>
    </w:div>
    <w:div w:id="1305768474">
      <w:bodyDiv w:val="1"/>
      <w:marLeft w:val="0"/>
      <w:marRight w:val="0"/>
      <w:marTop w:val="0"/>
      <w:marBottom w:val="0"/>
      <w:divBdr>
        <w:top w:val="none" w:sz="0" w:space="0" w:color="auto"/>
        <w:left w:val="none" w:sz="0" w:space="0" w:color="auto"/>
        <w:bottom w:val="none" w:sz="0" w:space="0" w:color="auto"/>
        <w:right w:val="none" w:sz="0" w:space="0" w:color="auto"/>
      </w:divBdr>
    </w:div>
    <w:div w:id="1317762305">
      <w:bodyDiv w:val="1"/>
      <w:marLeft w:val="0"/>
      <w:marRight w:val="0"/>
      <w:marTop w:val="0"/>
      <w:marBottom w:val="0"/>
      <w:divBdr>
        <w:top w:val="none" w:sz="0" w:space="0" w:color="auto"/>
        <w:left w:val="none" w:sz="0" w:space="0" w:color="auto"/>
        <w:bottom w:val="none" w:sz="0" w:space="0" w:color="auto"/>
        <w:right w:val="none" w:sz="0" w:space="0" w:color="auto"/>
      </w:divBdr>
    </w:div>
    <w:div w:id="1318924714">
      <w:bodyDiv w:val="1"/>
      <w:marLeft w:val="0"/>
      <w:marRight w:val="0"/>
      <w:marTop w:val="0"/>
      <w:marBottom w:val="0"/>
      <w:divBdr>
        <w:top w:val="none" w:sz="0" w:space="0" w:color="auto"/>
        <w:left w:val="none" w:sz="0" w:space="0" w:color="auto"/>
        <w:bottom w:val="none" w:sz="0" w:space="0" w:color="auto"/>
        <w:right w:val="none" w:sz="0" w:space="0" w:color="auto"/>
      </w:divBdr>
    </w:div>
    <w:div w:id="1325860112">
      <w:bodyDiv w:val="1"/>
      <w:marLeft w:val="0"/>
      <w:marRight w:val="0"/>
      <w:marTop w:val="0"/>
      <w:marBottom w:val="0"/>
      <w:divBdr>
        <w:top w:val="none" w:sz="0" w:space="0" w:color="auto"/>
        <w:left w:val="none" w:sz="0" w:space="0" w:color="auto"/>
        <w:bottom w:val="none" w:sz="0" w:space="0" w:color="auto"/>
        <w:right w:val="none" w:sz="0" w:space="0" w:color="auto"/>
      </w:divBdr>
    </w:div>
    <w:div w:id="1332634960">
      <w:bodyDiv w:val="1"/>
      <w:marLeft w:val="0"/>
      <w:marRight w:val="0"/>
      <w:marTop w:val="0"/>
      <w:marBottom w:val="0"/>
      <w:divBdr>
        <w:top w:val="none" w:sz="0" w:space="0" w:color="auto"/>
        <w:left w:val="none" w:sz="0" w:space="0" w:color="auto"/>
        <w:bottom w:val="none" w:sz="0" w:space="0" w:color="auto"/>
        <w:right w:val="none" w:sz="0" w:space="0" w:color="auto"/>
      </w:divBdr>
    </w:div>
    <w:div w:id="1337348557">
      <w:bodyDiv w:val="1"/>
      <w:marLeft w:val="0"/>
      <w:marRight w:val="0"/>
      <w:marTop w:val="0"/>
      <w:marBottom w:val="0"/>
      <w:divBdr>
        <w:top w:val="none" w:sz="0" w:space="0" w:color="auto"/>
        <w:left w:val="none" w:sz="0" w:space="0" w:color="auto"/>
        <w:bottom w:val="none" w:sz="0" w:space="0" w:color="auto"/>
        <w:right w:val="none" w:sz="0" w:space="0" w:color="auto"/>
      </w:divBdr>
    </w:div>
    <w:div w:id="1346326705">
      <w:bodyDiv w:val="1"/>
      <w:marLeft w:val="0"/>
      <w:marRight w:val="0"/>
      <w:marTop w:val="0"/>
      <w:marBottom w:val="0"/>
      <w:divBdr>
        <w:top w:val="none" w:sz="0" w:space="0" w:color="auto"/>
        <w:left w:val="none" w:sz="0" w:space="0" w:color="auto"/>
        <w:bottom w:val="none" w:sz="0" w:space="0" w:color="auto"/>
        <w:right w:val="none" w:sz="0" w:space="0" w:color="auto"/>
      </w:divBdr>
    </w:div>
    <w:div w:id="1346901795">
      <w:bodyDiv w:val="1"/>
      <w:marLeft w:val="0"/>
      <w:marRight w:val="0"/>
      <w:marTop w:val="0"/>
      <w:marBottom w:val="0"/>
      <w:divBdr>
        <w:top w:val="none" w:sz="0" w:space="0" w:color="auto"/>
        <w:left w:val="none" w:sz="0" w:space="0" w:color="auto"/>
        <w:bottom w:val="none" w:sz="0" w:space="0" w:color="auto"/>
        <w:right w:val="none" w:sz="0" w:space="0" w:color="auto"/>
      </w:divBdr>
    </w:div>
    <w:div w:id="1348142808">
      <w:bodyDiv w:val="1"/>
      <w:marLeft w:val="0"/>
      <w:marRight w:val="0"/>
      <w:marTop w:val="0"/>
      <w:marBottom w:val="0"/>
      <w:divBdr>
        <w:top w:val="none" w:sz="0" w:space="0" w:color="auto"/>
        <w:left w:val="none" w:sz="0" w:space="0" w:color="auto"/>
        <w:bottom w:val="none" w:sz="0" w:space="0" w:color="auto"/>
        <w:right w:val="none" w:sz="0" w:space="0" w:color="auto"/>
      </w:divBdr>
    </w:div>
    <w:div w:id="1352608401">
      <w:bodyDiv w:val="1"/>
      <w:marLeft w:val="0"/>
      <w:marRight w:val="0"/>
      <w:marTop w:val="0"/>
      <w:marBottom w:val="0"/>
      <w:divBdr>
        <w:top w:val="none" w:sz="0" w:space="0" w:color="auto"/>
        <w:left w:val="none" w:sz="0" w:space="0" w:color="auto"/>
        <w:bottom w:val="none" w:sz="0" w:space="0" w:color="auto"/>
        <w:right w:val="none" w:sz="0" w:space="0" w:color="auto"/>
      </w:divBdr>
      <w:divsChild>
        <w:div w:id="277445784">
          <w:marLeft w:val="547"/>
          <w:marRight w:val="0"/>
          <w:marTop w:val="134"/>
          <w:marBottom w:val="0"/>
          <w:divBdr>
            <w:top w:val="none" w:sz="0" w:space="0" w:color="auto"/>
            <w:left w:val="none" w:sz="0" w:space="0" w:color="auto"/>
            <w:bottom w:val="none" w:sz="0" w:space="0" w:color="auto"/>
            <w:right w:val="none" w:sz="0" w:space="0" w:color="auto"/>
          </w:divBdr>
        </w:div>
        <w:div w:id="1057126133">
          <w:marLeft w:val="1166"/>
          <w:marRight w:val="0"/>
          <w:marTop w:val="115"/>
          <w:marBottom w:val="0"/>
          <w:divBdr>
            <w:top w:val="none" w:sz="0" w:space="0" w:color="auto"/>
            <w:left w:val="none" w:sz="0" w:space="0" w:color="auto"/>
            <w:bottom w:val="none" w:sz="0" w:space="0" w:color="auto"/>
            <w:right w:val="none" w:sz="0" w:space="0" w:color="auto"/>
          </w:divBdr>
        </w:div>
        <w:div w:id="1667901273">
          <w:marLeft w:val="547"/>
          <w:marRight w:val="0"/>
          <w:marTop w:val="134"/>
          <w:marBottom w:val="0"/>
          <w:divBdr>
            <w:top w:val="none" w:sz="0" w:space="0" w:color="auto"/>
            <w:left w:val="none" w:sz="0" w:space="0" w:color="auto"/>
            <w:bottom w:val="none" w:sz="0" w:space="0" w:color="auto"/>
            <w:right w:val="none" w:sz="0" w:space="0" w:color="auto"/>
          </w:divBdr>
        </w:div>
        <w:div w:id="2005694327">
          <w:marLeft w:val="1166"/>
          <w:marRight w:val="0"/>
          <w:marTop w:val="115"/>
          <w:marBottom w:val="0"/>
          <w:divBdr>
            <w:top w:val="none" w:sz="0" w:space="0" w:color="auto"/>
            <w:left w:val="none" w:sz="0" w:space="0" w:color="auto"/>
            <w:bottom w:val="none" w:sz="0" w:space="0" w:color="auto"/>
            <w:right w:val="none" w:sz="0" w:space="0" w:color="auto"/>
          </w:divBdr>
        </w:div>
      </w:divsChild>
    </w:div>
    <w:div w:id="1356887359">
      <w:bodyDiv w:val="1"/>
      <w:marLeft w:val="0"/>
      <w:marRight w:val="0"/>
      <w:marTop w:val="0"/>
      <w:marBottom w:val="0"/>
      <w:divBdr>
        <w:top w:val="none" w:sz="0" w:space="0" w:color="auto"/>
        <w:left w:val="none" w:sz="0" w:space="0" w:color="auto"/>
        <w:bottom w:val="none" w:sz="0" w:space="0" w:color="auto"/>
        <w:right w:val="none" w:sz="0" w:space="0" w:color="auto"/>
      </w:divBdr>
      <w:divsChild>
        <w:div w:id="1581018539">
          <w:marLeft w:val="547"/>
          <w:marRight w:val="0"/>
          <w:marTop w:val="154"/>
          <w:marBottom w:val="0"/>
          <w:divBdr>
            <w:top w:val="none" w:sz="0" w:space="0" w:color="auto"/>
            <w:left w:val="none" w:sz="0" w:space="0" w:color="auto"/>
            <w:bottom w:val="none" w:sz="0" w:space="0" w:color="auto"/>
            <w:right w:val="none" w:sz="0" w:space="0" w:color="auto"/>
          </w:divBdr>
        </w:div>
      </w:divsChild>
    </w:div>
    <w:div w:id="1357534995">
      <w:bodyDiv w:val="1"/>
      <w:marLeft w:val="0"/>
      <w:marRight w:val="0"/>
      <w:marTop w:val="0"/>
      <w:marBottom w:val="0"/>
      <w:divBdr>
        <w:top w:val="none" w:sz="0" w:space="0" w:color="auto"/>
        <w:left w:val="none" w:sz="0" w:space="0" w:color="auto"/>
        <w:bottom w:val="none" w:sz="0" w:space="0" w:color="auto"/>
        <w:right w:val="none" w:sz="0" w:space="0" w:color="auto"/>
      </w:divBdr>
    </w:div>
    <w:div w:id="1360231830">
      <w:bodyDiv w:val="1"/>
      <w:marLeft w:val="0"/>
      <w:marRight w:val="0"/>
      <w:marTop w:val="0"/>
      <w:marBottom w:val="0"/>
      <w:divBdr>
        <w:top w:val="none" w:sz="0" w:space="0" w:color="auto"/>
        <w:left w:val="none" w:sz="0" w:space="0" w:color="auto"/>
        <w:bottom w:val="none" w:sz="0" w:space="0" w:color="auto"/>
        <w:right w:val="none" w:sz="0" w:space="0" w:color="auto"/>
      </w:divBdr>
    </w:div>
    <w:div w:id="1360543314">
      <w:bodyDiv w:val="1"/>
      <w:marLeft w:val="0"/>
      <w:marRight w:val="0"/>
      <w:marTop w:val="0"/>
      <w:marBottom w:val="0"/>
      <w:divBdr>
        <w:top w:val="none" w:sz="0" w:space="0" w:color="auto"/>
        <w:left w:val="none" w:sz="0" w:space="0" w:color="auto"/>
        <w:bottom w:val="none" w:sz="0" w:space="0" w:color="auto"/>
        <w:right w:val="none" w:sz="0" w:space="0" w:color="auto"/>
      </w:divBdr>
    </w:div>
    <w:div w:id="1360550114">
      <w:bodyDiv w:val="1"/>
      <w:marLeft w:val="0"/>
      <w:marRight w:val="0"/>
      <w:marTop w:val="0"/>
      <w:marBottom w:val="0"/>
      <w:divBdr>
        <w:top w:val="none" w:sz="0" w:space="0" w:color="auto"/>
        <w:left w:val="none" w:sz="0" w:space="0" w:color="auto"/>
        <w:bottom w:val="none" w:sz="0" w:space="0" w:color="auto"/>
        <w:right w:val="none" w:sz="0" w:space="0" w:color="auto"/>
      </w:divBdr>
    </w:div>
    <w:div w:id="1360743547">
      <w:bodyDiv w:val="1"/>
      <w:marLeft w:val="0"/>
      <w:marRight w:val="0"/>
      <w:marTop w:val="0"/>
      <w:marBottom w:val="0"/>
      <w:divBdr>
        <w:top w:val="none" w:sz="0" w:space="0" w:color="auto"/>
        <w:left w:val="none" w:sz="0" w:space="0" w:color="auto"/>
        <w:bottom w:val="none" w:sz="0" w:space="0" w:color="auto"/>
        <w:right w:val="none" w:sz="0" w:space="0" w:color="auto"/>
      </w:divBdr>
    </w:div>
    <w:div w:id="1378360990">
      <w:bodyDiv w:val="1"/>
      <w:marLeft w:val="0"/>
      <w:marRight w:val="0"/>
      <w:marTop w:val="0"/>
      <w:marBottom w:val="0"/>
      <w:divBdr>
        <w:top w:val="none" w:sz="0" w:space="0" w:color="auto"/>
        <w:left w:val="none" w:sz="0" w:space="0" w:color="auto"/>
        <w:bottom w:val="none" w:sz="0" w:space="0" w:color="auto"/>
        <w:right w:val="none" w:sz="0" w:space="0" w:color="auto"/>
      </w:divBdr>
    </w:div>
    <w:div w:id="1384938357">
      <w:bodyDiv w:val="1"/>
      <w:marLeft w:val="0"/>
      <w:marRight w:val="0"/>
      <w:marTop w:val="0"/>
      <w:marBottom w:val="0"/>
      <w:divBdr>
        <w:top w:val="none" w:sz="0" w:space="0" w:color="auto"/>
        <w:left w:val="none" w:sz="0" w:space="0" w:color="auto"/>
        <w:bottom w:val="none" w:sz="0" w:space="0" w:color="auto"/>
        <w:right w:val="none" w:sz="0" w:space="0" w:color="auto"/>
      </w:divBdr>
    </w:div>
    <w:div w:id="1389960035">
      <w:bodyDiv w:val="1"/>
      <w:marLeft w:val="0"/>
      <w:marRight w:val="0"/>
      <w:marTop w:val="0"/>
      <w:marBottom w:val="0"/>
      <w:divBdr>
        <w:top w:val="none" w:sz="0" w:space="0" w:color="auto"/>
        <w:left w:val="none" w:sz="0" w:space="0" w:color="auto"/>
        <w:bottom w:val="none" w:sz="0" w:space="0" w:color="auto"/>
        <w:right w:val="none" w:sz="0" w:space="0" w:color="auto"/>
      </w:divBdr>
    </w:div>
    <w:div w:id="1396859038">
      <w:bodyDiv w:val="1"/>
      <w:marLeft w:val="0"/>
      <w:marRight w:val="0"/>
      <w:marTop w:val="0"/>
      <w:marBottom w:val="0"/>
      <w:divBdr>
        <w:top w:val="none" w:sz="0" w:space="0" w:color="auto"/>
        <w:left w:val="none" w:sz="0" w:space="0" w:color="auto"/>
        <w:bottom w:val="none" w:sz="0" w:space="0" w:color="auto"/>
        <w:right w:val="none" w:sz="0" w:space="0" w:color="auto"/>
      </w:divBdr>
    </w:div>
    <w:div w:id="1405450248">
      <w:bodyDiv w:val="1"/>
      <w:marLeft w:val="0"/>
      <w:marRight w:val="0"/>
      <w:marTop w:val="0"/>
      <w:marBottom w:val="0"/>
      <w:divBdr>
        <w:top w:val="none" w:sz="0" w:space="0" w:color="auto"/>
        <w:left w:val="none" w:sz="0" w:space="0" w:color="auto"/>
        <w:bottom w:val="none" w:sz="0" w:space="0" w:color="auto"/>
        <w:right w:val="none" w:sz="0" w:space="0" w:color="auto"/>
      </w:divBdr>
    </w:div>
    <w:div w:id="1405565539">
      <w:bodyDiv w:val="1"/>
      <w:marLeft w:val="0"/>
      <w:marRight w:val="0"/>
      <w:marTop w:val="0"/>
      <w:marBottom w:val="0"/>
      <w:divBdr>
        <w:top w:val="none" w:sz="0" w:space="0" w:color="auto"/>
        <w:left w:val="none" w:sz="0" w:space="0" w:color="auto"/>
        <w:bottom w:val="none" w:sz="0" w:space="0" w:color="auto"/>
        <w:right w:val="none" w:sz="0" w:space="0" w:color="auto"/>
      </w:divBdr>
    </w:div>
    <w:div w:id="1406605449">
      <w:bodyDiv w:val="1"/>
      <w:marLeft w:val="0"/>
      <w:marRight w:val="0"/>
      <w:marTop w:val="0"/>
      <w:marBottom w:val="0"/>
      <w:divBdr>
        <w:top w:val="none" w:sz="0" w:space="0" w:color="auto"/>
        <w:left w:val="none" w:sz="0" w:space="0" w:color="auto"/>
        <w:bottom w:val="none" w:sz="0" w:space="0" w:color="auto"/>
        <w:right w:val="none" w:sz="0" w:space="0" w:color="auto"/>
      </w:divBdr>
    </w:div>
    <w:div w:id="1416124606">
      <w:bodyDiv w:val="1"/>
      <w:marLeft w:val="0"/>
      <w:marRight w:val="0"/>
      <w:marTop w:val="0"/>
      <w:marBottom w:val="0"/>
      <w:divBdr>
        <w:top w:val="none" w:sz="0" w:space="0" w:color="auto"/>
        <w:left w:val="none" w:sz="0" w:space="0" w:color="auto"/>
        <w:bottom w:val="none" w:sz="0" w:space="0" w:color="auto"/>
        <w:right w:val="none" w:sz="0" w:space="0" w:color="auto"/>
      </w:divBdr>
    </w:div>
    <w:div w:id="1420177829">
      <w:bodyDiv w:val="1"/>
      <w:marLeft w:val="0"/>
      <w:marRight w:val="0"/>
      <w:marTop w:val="0"/>
      <w:marBottom w:val="0"/>
      <w:divBdr>
        <w:top w:val="none" w:sz="0" w:space="0" w:color="auto"/>
        <w:left w:val="none" w:sz="0" w:space="0" w:color="auto"/>
        <w:bottom w:val="none" w:sz="0" w:space="0" w:color="auto"/>
        <w:right w:val="none" w:sz="0" w:space="0" w:color="auto"/>
      </w:divBdr>
    </w:div>
    <w:div w:id="1437209897">
      <w:bodyDiv w:val="1"/>
      <w:marLeft w:val="0"/>
      <w:marRight w:val="0"/>
      <w:marTop w:val="0"/>
      <w:marBottom w:val="0"/>
      <w:divBdr>
        <w:top w:val="none" w:sz="0" w:space="0" w:color="auto"/>
        <w:left w:val="none" w:sz="0" w:space="0" w:color="auto"/>
        <w:bottom w:val="none" w:sz="0" w:space="0" w:color="auto"/>
        <w:right w:val="none" w:sz="0" w:space="0" w:color="auto"/>
      </w:divBdr>
    </w:div>
    <w:div w:id="1438598776">
      <w:bodyDiv w:val="1"/>
      <w:marLeft w:val="0"/>
      <w:marRight w:val="0"/>
      <w:marTop w:val="0"/>
      <w:marBottom w:val="0"/>
      <w:divBdr>
        <w:top w:val="none" w:sz="0" w:space="0" w:color="auto"/>
        <w:left w:val="none" w:sz="0" w:space="0" w:color="auto"/>
        <w:bottom w:val="none" w:sz="0" w:space="0" w:color="auto"/>
        <w:right w:val="none" w:sz="0" w:space="0" w:color="auto"/>
      </w:divBdr>
      <w:divsChild>
        <w:div w:id="1245646194">
          <w:marLeft w:val="0"/>
          <w:marRight w:val="0"/>
          <w:marTop w:val="0"/>
          <w:marBottom w:val="0"/>
          <w:divBdr>
            <w:top w:val="none" w:sz="0" w:space="0" w:color="auto"/>
            <w:left w:val="none" w:sz="0" w:space="0" w:color="auto"/>
            <w:bottom w:val="none" w:sz="0" w:space="0" w:color="auto"/>
            <w:right w:val="none" w:sz="0" w:space="0" w:color="auto"/>
          </w:divBdr>
        </w:div>
      </w:divsChild>
    </w:div>
    <w:div w:id="1440760075">
      <w:bodyDiv w:val="1"/>
      <w:marLeft w:val="0"/>
      <w:marRight w:val="0"/>
      <w:marTop w:val="0"/>
      <w:marBottom w:val="0"/>
      <w:divBdr>
        <w:top w:val="none" w:sz="0" w:space="0" w:color="auto"/>
        <w:left w:val="none" w:sz="0" w:space="0" w:color="auto"/>
        <w:bottom w:val="none" w:sz="0" w:space="0" w:color="auto"/>
        <w:right w:val="none" w:sz="0" w:space="0" w:color="auto"/>
      </w:divBdr>
    </w:div>
    <w:div w:id="1443567924">
      <w:bodyDiv w:val="1"/>
      <w:marLeft w:val="0"/>
      <w:marRight w:val="0"/>
      <w:marTop w:val="0"/>
      <w:marBottom w:val="0"/>
      <w:divBdr>
        <w:top w:val="none" w:sz="0" w:space="0" w:color="auto"/>
        <w:left w:val="none" w:sz="0" w:space="0" w:color="auto"/>
        <w:bottom w:val="none" w:sz="0" w:space="0" w:color="auto"/>
        <w:right w:val="none" w:sz="0" w:space="0" w:color="auto"/>
      </w:divBdr>
    </w:div>
    <w:div w:id="1444380630">
      <w:bodyDiv w:val="1"/>
      <w:marLeft w:val="0"/>
      <w:marRight w:val="0"/>
      <w:marTop w:val="0"/>
      <w:marBottom w:val="0"/>
      <w:divBdr>
        <w:top w:val="none" w:sz="0" w:space="0" w:color="auto"/>
        <w:left w:val="none" w:sz="0" w:space="0" w:color="auto"/>
        <w:bottom w:val="none" w:sz="0" w:space="0" w:color="auto"/>
        <w:right w:val="none" w:sz="0" w:space="0" w:color="auto"/>
      </w:divBdr>
    </w:div>
    <w:div w:id="1446343687">
      <w:bodyDiv w:val="1"/>
      <w:marLeft w:val="0"/>
      <w:marRight w:val="0"/>
      <w:marTop w:val="0"/>
      <w:marBottom w:val="0"/>
      <w:divBdr>
        <w:top w:val="none" w:sz="0" w:space="0" w:color="auto"/>
        <w:left w:val="none" w:sz="0" w:space="0" w:color="auto"/>
        <w:bottom w:val="none" w:sz="0" w:space="0" w:color="auto"/>
        <w:right w:val="none" w:sz="0" w:space="0" w:color="auto"/>
      </w:divBdr>
    </w:div>
    <w:div w:id="1447770006">
      <w:bodyDiv w:val="1"/>
      <w:marLeft w:val="0"/>
      <w:marRight w:val="0"/>
      <w:marTop w:val="0"/>
      <w:marBottom w:val="0"/>
      <w:divBdr>
        <w:top w:val="none" w:sz="0" w:space="0" w:color="auto"/>
        <w:left w:val="none" w:sz="0" w:space="0" w:color="auto"/>
        <w:bottom w:val="none" w:sz="0" w:space="0" w:color="auto"/>
        <w:right w:val="none" w:sz="0" w:space="0" w:color="auto"/>
      </w:divBdr>
    </w:div>
    <w:div w:id="1461610620">
      <w:bodyDiv w:val="1"/>
      <w:marLeft w:val="0"/>
      <w:marRight w:val="0"/>
      <w:marTop w:val="0"/>
      <w:marBottom w:val="0"/>
      <w:divBdr>
        <w:top w:val="none" w:sz="0" w:space="0" w:color="auto"/>
        <w:left w:val="none" w:sz="0" w:space="0" w:color="auto"/>
        <w:bottom w:val="none" w:sz="0" w:space="0" w:color="auto"/>
        <w:right w:val="none" w:sz="0" w:space="0" w:color="auto"/>
      </w:divBdr>
      <w:divsChild>
        <w:div w:id="7297238">
          <w:marLeft w:val="0"/>
          <w:marRight w:val="0"/>
          <w:marTop w:val="0"/>
          <w:marBottom w:val="0"/>
          <w:divBdr>
            <w:top w:val="none" w:sz="0" w:space="0" w:color="auto"/>
            <w:left w:val="none" w:sz="0" w:space="0" w:color="auto"/>
            <w:bottom w:val="none" w:sz="0" w:space="0" w:color="auto"/>
            <w:right w:val="none" w:sz="0" w:space="0" w:color="auto"/>
          </w:divBdr>
        </w:div>
        <w:div w:id="102892238">
          <w:marLeft w:val="0"/>
          <w:marRight w:val="0"/>
          <w:marTop w:val="0"/>
          <w:marBottom w:val="0"/>
          <w:divBdr>
            <w:top w:val="none" w:sz="0" w:space="0" w:color="auto"/>
            <w:left w:val="none" w:sz="0" w:space="0" w:color="auto"/>
            <w:bottom w:val="none" w:sz="0" w:space="0" w:color="auto"/>
            <w:right w:val="none" w:sz="0" w:space="0" w:color="auto"/>
          </w:divBdr>
        </w:div>
        <w:div w:id="170997416">
          <w:marLeft w:val="0"/>
          <w:marRight w:val="0"/>
          <w:marTop w:val="0"/>
          <w:marBottom w:val="0"/>
          <w:divBdr>
            <w:top w:val="none" w:sz="0" w:space="0" w:color="auto"/>
            <w:left w:val="none" w:sz="0" w:space="0" w:color="auto"/>
            <w:bottom w:val="none" w:sz="0" w:space="0" w:color="auto"/>
            <w:right w:val="none" w:sz="0" w:space="0" w:color="auto"/>
          </w:divBdr>
        </w:div>
        <w:div w:id="263192823">
          <w:marLeft w:val="0"/>
          <w:marRight w:val="0"/>
          <w:marTop w:val="0"/>
          <w:marBottom w:val="0"/>
          <w:divBdr>
            <w:top w:val="none" w:sz="0" w:space="0" w:color="auto"/>
            <w:left w:val="none" w:sz="0" w:space="0" w:color="auto"/>
            <w:bottom w:val="none" w:sz="0" w:space="0" w:color="auto"/>
            <w:right w:val="none" w:sz="0" w:space="0" w:color="auto"/>
          </w:divBdr>
        </w:div>
        <w:div w:id="268703830">
          <w:marLeft w:val="0"/>
          <w:marRight w:val="0"/>
          <w:marTop w:val="0"/>
          <w:marBottom w:val="0"/>
          <w:divBdr>
            <w:top w:val="none" w:sz="0" w:space="0" w:color="auto"/>
            <w:left w:val="none" w:sz="0" w:space="0" w:color="auto"/>
            <w:bottom w:val="none" w:sz="0" w:space="0" w:color="auto"/>
            <w:right w:val="none" w:sz="0" w:space="0" w:color="auto"/>
          </w:divBdr>
        </w:div>
        <w:div w:id="270170290">
          <w:marLeft w:val="0"/>
          <w:marRight w:val="0"/>
          <w:marTop w:val="0"/>
          <w:marBottom w:val="0"/>
          <w:divBdr>
            <w:top w:val="none" w:sz="0" w:space="0" w:color="auto"/>
            <w:left w:val="none" w:sz="0" w:space="0" w:color="auto"/>
            <w:bottom w:val="none" w:sz="0" w:space="0" w:color="auto"/>
            <w:right w:val="none" w:sz="0" w:space="0" w:color="auto"/>
          </w:divBdr>
        </w:div>
        <w:div w:id="387194797">
          <w:marLeft w:val="0"/>
          <w:marRight w:val="0"/>
          <w:marTop w:val="0"/>
          <w:marBottom w:val="0"/>
          <w:divBdr>
            <w:top w:val="none" w:sz="0" w:space="0" w:color="auto"/>
            <w:left w:val="none" w:sz="0" w:space="0" w:color="auto"/>
            <w:bottom w:val="none" w:sz="0" w:space="0" w:color="auto"/>
            <w:right w:val="none" w:sz="0" w:space="0" w:color="auto"/>
          </w:divBdr>
        </w:div>
        <w:div w:id="407194582">
          <w:marLeft w:val="0"/>
          <w:marRight w:val="0"/>
          <w:marTop w:val="0"/>
          <w:marBottom w:val="0"/>
          <w:divBdr>
            <w:top w:val="none" w:sz="0" w:space="0" w:color="auto"/>
            <w:left w:val="none" w:sz="0" w:space="0" w:color="auto"/>
            <w:bottom w:val="none" w:sz="0" w:space="0" w:color="auto"/>
            <w:right w:val="none" w:sz="0" w:space="0" w:color="auto"/>
          </w:divBdr>
        </w:div>
        <w:div w:id="417217851">
          <w:marLeft w:val="0"/>
          <w:marRight w:val="0"/>
          <w:marTop w:val="0"/>
          <w:marBottom w:val="0"/>
          <w:divBdr>
            <w:top w:val="none" w:sz="0" w:space="0" w:color="auto"/>
            <w:left w:val="none" w:sz="0" w:space="0" w:color="auto"/>
            <w:bottom w:val="none" w:sz="0" w:space="0" w:color="auto"/>
            <w:right w:val="none" w:sz="0" w:space="0" w:color="auto"/>
          </w:divBdr>
        </w:div>
        <w:div w:id="448622188">
          <w:marLeft w:val="0"/>
          <w:marRight w:val="0"/>
          <w:marTop w:val="0"/>
          <w:marBottom w:val="0"/>
          <w:divBdr>
            <w:top w:val="none" w:sz="0" w:space="0" w:color="auto"/>
            <w:left w:val="none" w:sz="0" w:space="0" w:color="auto"/>
            <w:bottom w:val="none" w:sz="0" w:space="0" w:color="auto"/>
            <w:right w:val="none" w:sz="0" w:space="0" w:color="auto"/>
          </w:divBdr>
        </w:div>
        <w:div w:id="563758437">
          <w:marLeft w:val="0"/>
          <w:marRight w:val="0"/>
          <w:marTop w:val="0"/>
          <w:marBottom w:val="0"/>
          <w:divBdr>
            <w:top w:val="none" w:sz="0" w:space="0" w:color="auto"/>
            <w:left w:val="none" w:sz="0" w:space="0" w:color="auto"/>
            <w:bottom w:val="none" w:sz="0" w:space="0" w:color="auto"/>
            <w:right w:val="none" w:sz="0" w:space="0" w:color="auto"/>
          </w:divBdr>
        </w:div>
        <w:div w:id="580914062">
          <w:marLeft w:val="0"/>
          <w:marRight w:val="0"/>
          <w:marTop w:val="0"/>
          <w:marBottom w:val="0"/>
          <w:divBdr>
            <w:top w:val="none" w:sz="0" w:space="0" w:color="auto"/>
            <w:left w:val="none" w:sz="0" w:space="0" w:color="auto"/>
            <w:bottom w:val="none" w:sz="0" w:space="0" w:color="auto"/>
            <w:right w:val="none" w:sz="0" w:space="0" w:color="auto"/>
          </w:divBdr>
        </w:div>
        <w:div w:id="606548181">
          <w:marLeft w:val="0"/>
          <w:marRight w:val="0"/>
          <w:marTop w:val="0"/>
          <w:marBottom w:val="0"/>
          <w:divBdr>
            <w:top w:val="none" w:sz="0" w:space="0" w:color="auto"/>
            <w:left w:val="none" w:sz="0" w:space="0" w:color="auto"/>
            <w:bottom w:val="none" w:sz="0" w:space="0" w:color="auto"/>
            <w:right w:val="none" w:sz="0" w:space="0" w:color="auto"/>
          </w:divBdr>
        </w:div>
        <w:div w:id="614216817">
          <w:marLeft w:val="0"/>
          <w:marRight w:val="0"/>
          <w:marTop w:val="0"/>
          <w:marBottom w:val="0"/>
          <w:divBdr>
            <w:top w:val="none" w:sz="0" w:space="0" w:color="auto"/>
            <w:left w:val="none" w:sz="0" w:space="0" w:color="auto"/>
            <w:bottom w:val="none" w:sz="0" w:space="0" w:color="auto"/>
            <w:right w:val="none" w:sz="0" w:space="0" w:color="auto"/>
          </w:divBdr>
        </w:div>
        <w:div w:id="668947222">
          <w:marLeft w:val="0"/>
          <w:marRight w:val="0"/>
          <w:marTop w:val="0"/>
          <w:marBottom w:val="0"/>
          <w:divBdr>
            <w:top w:val="none" w:sz="0" w:space="0" w:color="auto"/>
            <w:left w:val="none" w:sz="0" w:space="0" w:color="auto"/>
            <w:bottom w:val="none" w:sz="0" w:space="0" w:color="auto"/>
            <w:right w:val="none" w:sz="0" w:space="0" w:color="auto"/>
          </w:divBdr>
        </w:div>
        <w:div w:id="743526068">
          <w:marLeft w:val="0"/>
          <w:marRight w:val="0"/>
          <w:marTop w:val="0"/>
          <w:marBottom w:val="0"/>
          <w:divBdr>
            <w:top w:val="none" w:sz="0" w:space="0" w:color="auto"/>
            <w:left w:val="none" w:sz="0" w:space="0" w:color="auto"/>
            <w:bottom w:val="none" w:sz="0" w:space="0" w:color="auto"/>
            <w:right w:val="none" w:sz="0" w:space="0" w:color="auto"/>
          </w:divBdr>
        </w:div>
        <w:div w:id="825243716">
          <w:marLeft w:val="0"/>
          <w:marRight w:val="0"/>
          <w:marTop w:val="0"/>
          <w:marBottom w:val="0"/>
          <w:divBdr>
            <w:top w:val="none" w:sz="0" w:space="0" w:color="auto"/>
            <w:left w:val="none" w:sz="0" w:space="0" w:color="auto"/>
            <w:bottom w:val="none" w:sz="0" w:space="0" w:color="auto"/>
            <w:right w:val="none" w:sz="0" w:space="0" w:color="auto"/>
          </w:divBdr>
        </w:div>
        <w:div w:id="830366908">
          <w:marLeft w:val="0"/>
          <w:marRight w:val="0"/>
          <w:marTop w:val="0"/>
          <w:marBottom w:val="0"/>
          <w:divBdr>
            <w:top w:val="none" w:sz="0" w:space="0" w:color="auto"/>
            <w:left w:val="none" w:sz="0" w:space="0" w:color="auto"/>
            <w:bottom w:val="none" w:sz="0" w:space="0" w:color="auto"/>
            <w:right w:val="none" w:sz="0" w:space="0" w:color="auto"/>
          </w:divBdr>
        </w:div>
        <w:div w:id="837426812">
          <w:marLeft w:val="0"/>
          <w:marRight w:val="0"/>
          <w:marTop w:val="0"/>
          <w:marBottom w:val="0"/>
          <w:divBdr>
            <w:top w:val="none" w:sz="0" w:space="0" w:color="auto"/>
            <w:left w:val="none" w:sz="0" w:space="0" w:color="auto"/>
            <w:bottom w:val="none" w:sz="0" w:space="0" w:color="auto"/>
            <w:right w:val="none" w:sz="0" w:space="0" w:color="auto"/>
          </w:divBdr>
        </w:div>
        <w:div w:id="1198203339">
          <w:marLeft w:val="0"/>
          <w:marRight w:val="0"/>
          <w:marTop w:val="0"/>
          <w:marBottom w:val="0"/>
          <w:divBdr>
            <w:top w:val="none" w:sz="0" w:space="0" w:color="auto"/>
            <w:left w:val="none" w:sz="0" w:space="0" w:color="auto"/>
            <w:bottom w:val="none" w:sz="0" w:space="0" w:color="auto"/>
            <w:right w:val="none" w:sz="0" w:space="0" w:color="auto"/>
          </w:divBdr>
        </w:div>
        <w:div w:id="1262379231">
          <w:marLeft w:val="0"/>
          <w:marRight w:val="0"/>
          <w:marTop w:val="0"/>
          <w:marBottom w:val="0"/>
          <w:divBdr>
            <w:top w:val="none" w:sz="0" w:space="0" w:color="auto"/>
            <w:left w:val="none" w:sz="0" w:space="0" w:color="auto"/>
            <w:bottom w:val="none" w:sz="0" w:space="0" w:color="auto"/>
            <w:right w:val="none" w:sz="0" w:space="0" w:color="auto"/>
          </w:divBdr>
        </w:div>
        <w:div w:id="1270892858">
          <w:marLeft w:val="0"/>
          <w:marRight w:val="0"/>
          <w:marTop w:val="0"/>
          <w:marBottom w:val="0"/>
          <w:divBdr>
            <w:top w:val="none" w:sz="0" w:space="0" w:color="auto"/>
            <w:left w:val="none" w:sz="0" w:space="0" w:color="auto"/>
            <w:bottom w:val="none" w:sz="0" w:space="0" w:color="auto"/>
            <w:right w:val="none" w:sz="0" w:space="0" w:color="auto"/>
          </w:divBdr>
        </w:div>
        <w:div w:id="1292587915">
          <w:marLeft w:val="0"/>
          <w:marRight w:val="0"/>
          <w:marTop w:val="0"/>
          <w:marBottom w:val="0"/>
          <w:divBdr>
            <w:top w:val="none" w:sz="0" w:space="0" w:color="auto"/>
            <w:left w:val="none" w:sz="0" w:space="0" w:color="auto"/>
            <w:bottom w:val="none" w:sz="0" w:space="0" w:color="auto"/>
            <w:right w:val="none" w:sz="0" w:space="0" w:color="auto"/>
          </w:divBdr>
        </w:div>
        <w:div w:id="1372077611">
          <w:marLeft w:val="0"/>
          <w:marRight w:val="0"/>
          <w:marTop w:val="0"/>
          <w:marBottom w:val="0"/>
          <w:divBdr>
            <w:top w:val="none" w:sz="0" w:space="0" w:color="auto"/>
            <w:left w:val="none" w:sz="0" w:space="0" w:color="auto"/>
            <w:bottom w:val="none" w:sz="0" w:space="0" w:color="auto"/>
            <w:right w:val="none" w:sz="0" w:space="0" w:color="auto"/>
          </w:divBdr>
        </w:div>
        <w:div w:id="1400906860">
          <w:marLeft w:val="0"/>
          <w:marRight w:val="0"/>
          <w:marTop w:val="0"/>
          <w:marBottom w:val="0"/>
          <w:divBdr>
            <w:top w:val="none" w:sz="0" w:space="0" w:color="auto"/>
            <w:left w:val="none" w:sz="0" w:space="0" w:color="auto"/>
            <w:bottom w:val="none" w:sz="0" w:space="0" w:color="auto"/>
            <w:right w:val="none" w:sz="0" w:space="0" w:color="auto"/>
          </w:divBdr>
        </w:div>
        <w:div w:id="1593968526">
          <w:marLeft w:val="0"/>
          <w:marRight w:val="0"/>
          <w:marTop w:val="0"/>
          <w:marBottom w:val="0"/>
          <w:divBdr>
            <w:top w:val="none" w:sz="0" w:space="0" w:color="auto"/>
            <w:left w:val="none" w:sz="0" w:space="0" w:color="auto"/>
            <w:bottom w:val="none" w:sz="0" w:space="0" w:color="auto"/>
            <w:right w:val="none" w:sz="0" w:space="0" w:color="auto"/>
          </w:divBdr>
        </w:div>
        <w:div w:id="1610505573">
          <w:marLeft w:val="0"/>
          <w:marRight w:val="0"/>
          <w:marTop w:val="0"/>
          <w:marBottom w:val="0"/>
          <w:divBdr>
            <w:top w:val="none" w:sz="0" w:space="0" w:color="auto"/>
            <w:left w:val="none" w:sz="0" w:space="0" w:color="auto"/>
            <w:bottom w:val="none" w:sz="0" w:space="0" w:color="auto"/>
            <w:right w:val="none" w:sz="0" w:space="0" w:color="auto"/>
          </w:divBdr>
        </w:div>
        <w:div w:id="1616713630">
          <w:marLeft w:val="0"/>
          <w:marRight w:val="0"/>
          <w:marTop w:val="0"/>
          <w:marBottom w:val="0"/>
          <w:divBdr>
            <w:top w:val="none" w:sz="0" w:space="0" w:color="auto"/>
            <w:left w:val="none" w:sz="0" w:space="0" w:color="auto"/>
            <w:bottom w:val="none" w:sz="0" w:space="0" w:color="auto"/>
            <w:right w:val="none" w:sz="0" w:space="0" w:color="auto"/>
          </w:divBdr>
        </w:div>
        <w:div w:id="1659386390">
          <w:marLeft w:val="0"/>
          <w:marRight w:val="0"/>
          <w:marTop w:val="0"/>
          <w:marBottom w:val="0"/>
          <w:divBdr>
            <w:top w:val="none" w:sz="0" w:space="0" w:color="auto"/>
            <w:left w:val="none" w:sz="0" w:space="0" w:color="auto"/>
            <w:bottom w:val="none" w:sz="0" w:space="0" w:color="auto"/>
            <w:right w:val="none" w:sz="0" w:space="0" w:color="auto"/>
          </w:divBdr>
        </w:div>
        <w:div w:id="1708140390">
          <w:marLeft w:val="0"/>
          <w:marRight w:val="0"/>
          <w:marTop w:val="0"/>
          <w:marBottom w:val="0"/>
          <w:divBdr>
            <w:top w:val="none" w:sz="0" w:space="0" w:color="auto"/>
            <w:left w:val="none" w:sz="0" w:space="0" w:color="auto"/>
            <w:bottom w:val="none" w:sz="0" w:space="0" w:color="auto"/>
            <w:right w:val="none" w:sz="0" w:space="0" w:color="auto"/>
          </w:divBdr>
        </w:div>
        <w:div w:id="1853690752">
          <w:marLeft w:val="0"/>
          <w:marRight w:val="0"/>
          <w:marTop w:val="0"/>
          <w:marBottom w:val="0"/>
          <w:divBdr>
            <w:top w:val="none" w:sz="0" w:space="0" w:color="auto"/>
            <w:left w:val="none" w:sz="0" w:space="0" w:color="auto"/>
            <w:bottom w:val="none" w:sz="0" w:space="0" w:color="auto"/>
            <w:right w:val="none" w:sz="0" w:space="0" w:color="auto"/>
          </w:divBdr>
        </w:div>
        <w:div w:id="1906913051">
          <w:marLeft w:val="0"/>
          <w:marRight w:val="0"/>
          <w:marTop w:val="0"/>
          <w:marBottom w:val="0"/>
          <w:divBdr>
            <w:top w:val="none" w:sz="0" w:space="0" w:color="auto"/>
            <w:left w:val="none" w:sz="0" w:space="0" w:color="auto"/>
            <w:bottom w:val="none" w:sz="0" w:space="0" w:color="auto"/>
            <w:right w:val="none" w:sz="0" w:space="0" w:color="auto"/>
          </w:divBdr>
        </w:div>
        <w:div w:id="1946577941">
          <w:marLeft w:val="0"/>
          <w:marRight w:val="0"/>
          <w:marTop w:val="0"/>
          <w:marBottom w:val="0"/>
          <w:divBdr>
            <w:top w:val="none" w:sz="0" w:space="0" w:color="auto"/>
            <w:left w:val="none" w:sz="0" w:space="0" w:color="auto"/>
            <w:bottom w:val="none" w:sz="0" w:space="0" w:color="auto"/>
            <w:right w:val="none" w:sz="0" w:space="0" w:color="auto"/>
          </w:divBdr>
        </w:div>
        <w:div w:id="1948150141">
          <w:marLeft w:val="0"/>
          <w:marRight w:val="0"/>
          <w:marTop w:val="0"/>
          <w:marBottom w:val="0"/>
          <w:divBdr>
            <w:top w:val="none" w:sz="0" w:space="0" w:color="auto"/>
            <w:left w:val="none" w:sz="0" w:space="0" w:color="auto"/>
            <w:bottom w:val="none" w:sz="0" w:space="0" w:color="auto"/>
            <w:right w:val="none" w:sz="0" w:space="0" w:color="auto"/>
          </w:divBdr>
        </w:div>
        <w:div w:id="2036998669">
          <w:marLeft w:val="0"/>
          <w:marRight w:val="0"/>
          <w:marTop w:val="0"/>
          <w:marBottom w:val="0"/>
          <w:divBdr>
            <w:top w:val="none" w:sz="0" w:space="0" w:color="auto"/>
            <w:left w:val="none" w:sz="0" w:space="0" w:color="auto"/>
            <w:bottom w:val="none" w:sz="0" w:space="0" w:color="auto"/>
            <w:right w:val="none" w:sz="0" w:space="0" w:color="auto"/>
          </w:divBdr>
        </w:div>
        <w:div w:id="2048799680">
          <w:marLeft w:val="0"/>
          <w:marRight w:val="0"/>
          <w:marTop w:val="0"/>
          <w:marBottom w:val="0"/>
          <w:divBdr>
            <w:top w:val="none" w:sz="0" w:space="0" w:color="auto"/>
            <w:left w:val="none" w:sz="0" w:space="0" w:color="auto"/>
            <w:bottom w:val="none" w:sz="0" w:space="0" w:color="auto"/>
            <w:right w:val="none" w:sz="0" w:space="0" w:color="auto"/>
          </w:divBdr>
        </w:div>
      </w:divsChild>
    </w:div>
    <w:div w:id="1464230799">
      <w:bodyDiv w:val="1"/>
      <w:marLeft w:val="0"/>
      <w:marRight w:val="0"/>
      <w:marTop w:val="0"/>
      <w:marBottom w:val="0"/>
      <w:divBdr>
        <w:top w:val="none" w:sz="0" w:space="0" w:color="auto"/>
        <w:left w:val="none" w:sz="0" w:space="0" w:color="auto"/>
        <w:bottom w:val="none" w:sz="0" w:space="0" w:color="auto"/>
        <w:right w:val="none" w:sz="0" w:space="0" w:color="auto"/>
      </w:divBdr>
    </w:div>
    <w:div w:id="1470511660">
      <w:bodyDiv w:val="1"/>
      <w:marLeft w:val="0"/>
      <w:marRight w:val="0"/>
      <w:marTop w:val="0"/>
      <w:marBottom w:val="0"/>
      <w:divBdr>
        <w:top w:val="none" w:sz="0" w:space="0" w:color="auto"/>
        <w:left w:val="none" w:sz="0" w:space="0" w:color="auto"/>
        <w:bottom w:val="none" w:sz="0" w:space="0" w:color="auto"/>
        <w:right w:val="none" w:sz="0" w:space="0" w:color="auto"/>
      </w:divBdr>
    </w:div>
    <w:div w:id="1474643709">
      <w:bodyDiv w:val="1"/>
      <w:marLeft w:val="0"/>
      <w:marRight w:val="0"/>
      <w:marTop w:val="0"/>
      <w:marBottom w:val="0"/>
      <w:divBdr>
        <w:top w:val="none" w:sz="0" w:space="0" w:color="auto"/>
        <w:left w:val="none" w:sz="0" w:space="0" w:color="auto"/>
        <w:bottom w:val="none" w:sz="0" w:space="0" w:color="auto"/>
        <w:right w:val="none" w:sz="0" w:space="0" w:color="auto"/>
      </w:divBdr>
    </w:div>
    <w:div w:id="1480343851">
      <w:bodyDiv w:val="1"/>
      <w:marLeft w:val="0"/>
      <w:marRight w:val="0"/>
      <w:marTop w:val="0"/>
      <w:marBottom w:val="0"/>
      <w:divBdr>
        <w:top w:val="none" w:sz="0" w:space="0" w:color="auto"/>
        <w:left w:val="none" w:sz="0" w:space="0" w:color="auto"/>
        <w:bottom w:val="none" w:sz="0" w:space="0" w:color="auto"/>
        <w:right w:val="none" w:sz="0" w:space="0" w:color="auto"/>
      </w:divBdr>
    </w:div>
    <w:div w:id="1482503880">
      <w:bodyDiv w:val="1"/>
      <w:marLeft w:val="0"/>
      <w:marRight w:val="0"/>
      <w:marTop w:val="0"/>
      <w:marBottom w:val="0"/>
      <w:divBdr>
        <w:top w:val="none" w:sz="0" w:space="0" w:color="auto"/>
        <w:left w:val="none" w:sz="0" w:space="0" w:color="auto"/>
        <w:bottom w:val="none" w:sz="0" w:space="0" w:color="auto"/>
        <w:right w:val="none" w:sz="0" w:space="0" w:color="auto"/>
      </w:divBdr>
    </w:div>
    <w:div w:id="1483154742">
      <w:bodyDiv w:val="1"/>
      <w:marLeft w:val="0"/>
      <w:marRight w:val="0"/>
      <w:marTop w:val="0"/>
      <w:marBottom w:val="0"/>
      <w:divBdr>
        <w:top w:val="none" w:sz="0" w:space="0" w:color="auto"/>
        <w:left w:val="none" w:sz="0" w:space="0" w:color="auto"/>
        <w:bottom w:val="none" w:sz="0" w:space="0" w:color="auto"/>
        <w:right w:val="none" w:sz="0" w:space="0" w:color="auto"/>
      </w:divBdr>
      <w:divsChild>
        <w:div w:id="1204446152">
          <w:marLeft w:val="0"/>
          <w:marRight w:val="0"/>
          <w:marTop w:val="0"/>
          <w:marBottom w:val="0"/>
          <w:divBdr>
            <w:top w:val="none" w:sz="0" w:space="0" w:color="auto"/>
            <w:left w:val="none" w:sz="0" w:space="0" w:color="auto"/>
            <w:bottom w:val="none" w:sz="0" w:space="0" w:color="auto"/>
            <w:right w:val="none" w:sz="0" w:space="0" w:color="auto"/>
          </w:divBdr>
        </w:div>
      </w:divsChild>
    </w:div>
    <w:div w:id="1488135154">
      <w:bodyDiv w:val="1"/>
      <w:marLeft w:val="0"/>
      <w:marRight w:val="0"/>
      <w:marTop w:val="0"/>
      <w:marBottom w:val="0"/>
      <w:divBdr>
        <w:top w:val="none" w:sz="0" w:space="0" w:color="auto"/>
        <w:left w:val="none" w:sz="0" w:space="0" w:color="auto"/>
        <w:bottom w:val="none" w:sz="0" w:space="0" w:color="auto"/>
        <w:right w:val="none" w:sz="0" w:space="0" w:color="auto"/>
      </w:divBdr>
    </w:div>
    <w:div w:id="1490556969">
      <w:bodyDiv w:val="1"/>
      <w:marLeft w:val="0"/>
      <w:marRight w:val="0"/>
      <w:marTop w:val="0"/>
      <w:marBottom w:val="0"/>
      <w:divBdr>
        <w:top w:val="none" w:sz="0" w:space="0" w:color="auto"/>
        <w:left w:val="none" w:sz="0" w:space="0" w:color="auto"/>
        <w:bottom w:val="none" w:sz="0" w:space="0" w:color="auto"/>
        <w:right w:val="none" w:sz="0" w:space="0" w:color="auto"/>
      </w:divBdr>
    </w:div>
    <w:div w:id="1492870698">
      <w:bodyDiv w:val="1"/>
      <w:marLeft w:val="0"/>
      <w:marRight w:val="0"/>
      <w:marTop w:val="0"/>
      <w:marBottom w:val="0"/>
      <w:divBdr>
        <w:top w:val="none" w:sz="0" w:space="0" w:color="auto"/>
        <w:left w:val="none" w:sz="0" w:space="0" w:color="auto"/>
        <w:bottom w:val="none" w:sz="0" w:space="0" w:color="auto"/>
        <w:right w:val="none" w:sz="0" w:space="0" w:color="auto"/>
      </w:divBdr>
    </w:div>
    <w:div w:id="1493259492">
      <w:bodyDiv w:val="1"/>
      <w:marLeft w:val="0"/>
      <w:marRight w:val="0"/>
      <w:marTop w:val="0"/>
      <w:marBottom w:val="0"/>
      <w:divBdr>
        <w:top w:val="none" w:sz="0" w:space="0" w:color="auto"/>
        <w:left w:val="none" w:sz="0" w:space="0" w:color="auto"/>
        <w:bottom w:val="none" w:sz="0" w:space="0" w:color="auto"/>
        <w:right w:val="none" w:sz="0" w:space="0" w:color="auto"/>
      </w:divBdr>
      <w:divsChild>
        <w:div w:id="214974951">
          <w:marLeft w:val="547"/>
          <w:marRight w:val="0"/>
          <w:marTop w:val="154"/>
          <w:marBottom w:val="0"/>
          <w:divBdr>
            <w:top w:val="none" w:sz="0" w:space="0" w:color="auto"/>
            <w:left w:val="none" w:sz="0" w:space="0" w:color="auto"/>
            <w:bottom w:val="none" w:sz="0" w:space="0" w:color="auto"/>
            <w:right w:val="none" w:sz="0" w:space="0" w:color="auto"/>
          </w:divBdr>
        </w:div>
        <w:div w:id="1509521293">
          <w:marLeft w:val="547"/>
          <w:marRight w:val="0"/>
          <w:marTop w:val="154"/>
          <w:marBottom w:val="0"/>
          <w:divBdr>
            <w:top w:val="none" w:sz="0" w:space="0" w:color="auto"/>
            <w:left w:val="none" w:sz="0" w:space="0" w:color="auto"/>
            <w:bottom w:val="none" w:sz="0" w:space="0" w:color="auto"/>
            <w:right w:val="none" w:sz="0" w:space="0" w:color="auto"/>
          </w:divBdr>
        </w:div>
        <w:div w:id="1875772462">
          <w:marLeft w:val="547"/>
          <w:marRight w:val="0"/>
          <w:marTop w:val="154"/>
          <w:marBottom w:val="0"/>
          <w:divBdr>
            <w:top w:val="none" w:sz="0" w:space="0" w:color="auto"/>
            <w:left w:val="none" w:sz="0" w:space="0" w:color="auto"/>
            <w:bottom w:val="none" w:sz="0" w:space="0" w:color="auto"/>
            <w:right w:val="none" w:sz="0" w:space="0" w:color="auto"/>
          </w:divBdr>
        </w:div>
        <w:div w:id="2102339117">
          <w:marLeft w:val="547"/>
          <w:marRight w:val="0"/>
          <w:marTop w:val="154"/>
          <w:marBottom w:val="0"/>
          <w:divBdr>
            <w:top w:val="none" w:sz="0" w:space="0" w:color="auto"/>
            <w:left w:val="none" w:sz="0" w:space="0" w:color="auto"/>
            <w:bottom w:val="none" w:sz="0" w:space="0" w:color="auto"/>
            <w:right w:val="none" w:sz="0" w:space="0" w:color="auto"/>
          </w:divBdr>
        </w:div>
      </w:divsChild>
    </w:div>
    <w:div w:id="1493721216">
      <w:bodyDiv w:val="1"/>
      <w:marLeft w:val="0"/>
      <w:marRight w:val="0"/>
      <w:marTop w:val="0"/>
      <w:marBottom w:val="0"/>
      <w:divBdr>
        <w:top w:val="none" w:sz="0" w:space="0" w:color="auto"/>
        <w:left w:val="none" w:sz="0" w:space="0" w:color="auto"/>
        <w:bottom w:val="none" w:sz="0" w:space="0" w:color="auto"/>
        <w:right w:val="none" w:sz="0" w:space="0" w:color="auto"/>
      </w:divBdr>
    </w:div>
    <w:div w:id="1494485689">
      <w:bodyDiv w:val="1"/>
      <w:marLeft w:val="0"/>
      <w:marRight w:val="0"/>
      <w:marTop w:val="0"/>
      <w:marBottom w:val="0"/>
      <w:divBdr>
        <w:top w:val="none" w:sz="0" w:space="0" w:color="auto"/>
        <w:left w:val="none" w:sz="0" w:space="0" w:color="auto"/>
        <w:bottom w:val="none" w:sz="0" w:space="0" w:color="auto"/>
        <w:right w:val="none" w:sz="0" w:space="0" w:color="auto"/>
      </w:divBdr>
    </w:div>
    <w:div w:id="1507865905">
      <w:bodyDiv w:val="1"/>
      <w:marLeft w:val="0"/>
      <w:marRight w:val="0"/>
      <w:marTop w:val="0"/>
      <w:marBottom w:val="0"/>
      <w:divBdr>
        <w:top w:val="none" w:sz="0" w:space="0" w:color="auto"/>
        <w:left w:val="none" w:sz="0" w:space="0" w:color="auto"/>
        <w:bottom w:val="none" w:sz="0" w:space="0" w:color="auto"/>
        <w:right w:val="none" w:sz="0" w:space="0" w:color="auto"/>
      </w:divBdr>
    </w:div>
    <w:div w:id="1521360618">
      <w:bodyDiv w:val="1"/>
      <w:marLeft w:val="0"/>
      <w:marRight w:val="0"/>
      <w:marTop w:val="0"/>
      <w:marBottom w:val="0"/>
      <w:divBdr>
        <w:top w:val="none" w:sz="0" w:space="0" w:color="auto"/>
        <w:left w:val="none" w:sz="0" w:space="0" w:color="auto"/>
        <w:bottom w:val="none" w:sz="0" w:space="0" w:color="auto"/>
        <w:right w:val="none" w:sz="0" w:space="0" w:color="auto"/>
      </w:divBdr>
    </w:div>
    <w:div w:id="1531410134">
      <w:bodyDiv w:val="1"/>
      <w:marLeft w:val="0"/>
      <w:marRight w:val="0"/>
      <w:marTop w:val="0"/>
      <w:marBottom w:val="0"/>
      <w:divBdr>
        <w:top w:val="none" w:sz="0" w:space="0" w:color="auto"/>
        <w:left w:val="none" w:sz="0" w:space="0" w:color="auto"/>
        <w:bottom w:val="none" w:sz="0" w:space="0" w:color="auto"/>
        <w:right w:val="none" w:sz="0" w:space="0" w:color="auto"/>
      </w:divBdr>
      <w:divsChild>
        <w:div w:id="77561297">
          <w:marLeft w:val="547"/>
          <w:marRight w:val="0"/>
          <w:marTop w:val="134"/>
          <w:marBottom w:val="0"/>
          <w:divBdr>
            <w:top w:val="none" w:sz="0" w:space="0" w:color="auto"/>
            <w:left w:val="none" w:sz="0" w:space="0" w:color="auto"/>
            <w:bottom w:val="none" w:sz="0" w:space="0" w:color="auto"/>
            <w:right w:val="none" w:sz="0" w:space="0" w:color="auto"/>
          </w:divBdr>
        </w:div>
        <w:div w:id="784235429">
          <w:marLeft w:val="547"/>
          <w:marRight w:val="0"/>
          <w:marTop w:val="134"/>
          <w:marBottom w:val="0"/>
          <w:divBdr>
            <w:top w:val="none" w:sz="0" w:space="0" w:color="auto"/>
            <w:left w:val="none" w:sz="0" w:space="0" w:color="auto"/>
            <w:bottom w:val="none" w:sz="0" w:space="0" w:color="auto"/>
            <w:right w:val="none" w:sz="0" w:space="0" w:color="auto"/>
          </w:divBdr>
        </w:div>
      </w:divsChild>
    </w:div>
    <w:div w:id="1537111852">
      <w:bodyDiv w:val="1"/>
      <w:marLeft w:val="0"/>
      <w:marRight w:val="0"/>
      <w:marTop w:val="0"/>
      <w:marBottom w:val="0"/>
      <w:divBdr>
        <w:top w:val="none" w:sz="0" w:space="0" w:color="auto"/>
        <w:left w:val="none" w:sz="0" w:space="0" w:color="auto"/>
        <w:bottom w:val="none" w:sz="0" w:space="0" w:color="auto"/>
        <w:right w:val="none" w:sz="0" w:space="0" w:color="auto"/>
      </w:divBdr>
    </w:div>
    <w:div w:id="1539047764">
      <w:bodyDiv w:val="1"/>
      <w:marLeft w:val="0"/>
      <w:marRight w:val="0"/>
      <w:marTop w:val="0"/>
      <w:marBottom w:val="0"/>
      <w:divBdr>
        <w:top w:val="none" w:sz="0" w:space="0" w:color="auto"/>
        <w:left w:val="none" w:sz="0" w:space="0" w:color="auto"/>
        <w:bottom w:val="none" w:sz="0" w:space="0" w:color="auto"/>
        <w:right w:val="none" w:sz="0" w:space="0" w:color="auto"/>
      </w:divBdr>
    </w:div>
    <w:div w:id="1540629900">
      <w:bodyDiv w:val="1"/>
      <w:marLeft w:val="0"/>
      <w:marRight w:val="0"/>
      <w:marTop w:val="0"/>
      <w:marBottom w:val="0"/>
      <w:divBdr>
        <w:top w:val="none" w:sz="0" w:space="0" w:color="auto"/>
        <w:left w:val="none" w:sz="0" w:space="0" w:color="auto"/>
        <w:bottom w:val="none" w:sz="0" w:space="0" w:color="auto"/>
        <w:right w:val="none" w:sz="0" w:space="0" w:color="auto"/>
      </w:divBdr>
    </w:div>
    <w:div w:id="1544099608">
      <w:bodyDiv w:val="1"/>
      <w:marLeft w:val="0"/>
      <w:marRight w:val="0"/>
      <w:marTop w:val="0"/>
      <w:marBottom w:val="0"/>
      <w:divBdr>
        <w:top w:val="none" w:sz="0" w:space="0" w:color="auto"/>
        <w:left w:val="none" w:sz="0" w:space="0" w:color="auto"/>
        <w:bottom w:val="none" w:sz="0" w:space="0" w:color="auto"/>
        <w:right w:val="none" w:sz="0" w:space="0" w:color="auto"/>
      </w:divBdr>
    </w:div>
    <w:div w:id="1549368244">
      <w:bodyDiv w:val="1"/>
      <w:marLeft w:val="0"/>
      <w:marRight w:val="0"/>
      <w:marTop w:val="0"/>
      <w:marBottom w:val="0"/>
      <w:divBdr>
        <w:top w:val="none" w:sz="0" w:space="0" w:color="auto"/>
        <w:left w:val="none" w:sz="0" w:space="0" w:color="auto"/>
        <w:bottom w:val="none" w:sz="0" w:space="0" w:color="auto"/>
        <w:right w:val="none" w:sz="0" w:space="0" w:color="auto"/>
      </w:divBdr>
    </w:div>
    <w:div w:id="1556962180">
      <w:bodyDiv w:val="1"/>
      <w:marLeft w:val="0"/>
      <w:marRight w:val="0"/>
      <w:marTop w:val="0"/>
      <w:marBottom w:val="0"/>
      <w:divBdr>
        <w:top w:val="none" w:sz="0" w:space="0" w:color="auto"/>
        <w:left w:val="none" w:sz="0" w:space="0" w:color="auto"/>
        <w:bottom w:val="none" w:sz="0" w:space="0" w:color="auto"/>
        <w:right w:val="none" w:sz="0" w:space="0" w:color="auto"/>
      </w:divBdr>
    </w:div>
    <w:div w:id="1560282891">
      <w:bodyDiv w:val="1"/>
      <w:marLeft w:val="0"/>
      <w:marRight w:val="0"/>
      <w:marTop w:val="0"/>
      <w:marBottom w:val="0"/>
      <w:divBdr>
        <w:top w:val="none" w:sz="0" w:space="0" w:color="auto"/>
        <w:left w:val="none" w:sz="0" w:space="0" w:color="auto"/>
        <w:bottom w:val="none" w:sz="0" w:space="0" w:color="auto"/>
        <w:right w:val="none" w:sz="0" w:space="0" w:color="auto"/>
      </w:divBdr>
    </w:div>
    <w:div w:id="1563759278">
      <w:bodyDiv w:val="1"/>
      <w:marLeft w:val="0"/>
      <w:marRight w:val="0"/>
      <w:marTop w:val="0"/>
      <w:marBottom w:val="0"/>
      <w:divBdr>
        <w:top w:val="none" w:sz="0" w:space="0" w:color="auto"/>
        <w:left w:val="none" w:sz="0" w:space="0" w:color="auto"/>
        <w:bottom w:val="none" w:sz="0" w:space="0" w:color="auto"/>
        <w:right w:val="none" w:sz="0" w:space="0" w:color="auto"/>
      </w:divBdr>
    </w:div>
    <w:div w:id="1570917450">
      <w:bodyDiv w:val="1"/>
      <w:marLeft w:val="0"/>
      <w:marRight w:val="0"/>
      <w:marTop w:val="0"/>
      <w:marBottom w:val="0"/>
      <w:divBdr>
        <w:top w:val="none" w:sz="0" w:space="0" w:color="auto"/>
        <w:left w:val="none" w:sz="0" w:space="0" w:color="auto"/>
        <w:bottom w:val="none" w:sz="0" w:space="0" w:color="auto"/>
        <w:right w:val="none" w:sz="0" w:space="0" w:color="auto"/>
      </w:divBdr>
    </w:div>
    <w:div w:id="1573156141">
      <w:bodyDiv w:val="1"/>
      <w:marLeft w:val="0"/>
      <w:marRight w:val="0"/>
      <w:marTop w:val="0"/>
      <w:marBottom w:val="0"/>
      <w:divBdr>
        <w:top w:val="none" w:sz="0" w:space="0" w:color="auto"/>
        <w:left w:val="none" w:sz="0" w:space="0" w:color="auto"/>
        <w:bottom w:val="none" w:sz="0" w:space="0" w:color="auto"/>
        <w:right w:val="none" w:sz="0" w:space="0" w:color="auto"/>
      </w:divBdr>
    </w:div>
    <w:div w:id="1573470141">
      <w:bodyDiv w:val="1"/>
      <w:marLeft w:val="0"/>
      <w:marRight w:val="0"/>
      <w:marTop w:val="0"/>
      <w:marBottom w:val="0"/>
      <w:divBdr>
        <w:top w:val="none" w:sz="0" w:space="0" w:color="auto"/>
        <w:left w:val="none" w:sz="0" w:space="0" w:color="auto"/>
        <w:bottom w:val="none" w:sz="0" w:space="0" w:color="auto"/>
        <w:right w:val="none" w:sz="0" w:space="0" w:color="auto"/>
      </w:divBdr>
    </w:div>
    <w:div w:id="1581017053">
      <w:bodyDiv w:val="1"/>
      <w:marLeft w:val="0"/>
      <w:marRight w:val="0"/>
      <w:marTop w:val="0"/>
      <w:marBottom w:val="0"/>
      <w:divBdr>
        <w:top w:val="none" w:sz="0" w:space="0" w:color="auto"/>
        <w:left w:val="none" w:sz="0" w:space="0" w:color="auto"/>
        <w:bottom w:val="none" w:sz="0" w:space="0" w:color="auto"/>
        <w:right w:val="none" w:sz="0" w:space="0" w:color="auto"/>
      </w:divBdr>
    </w:div>
    <w:div w:id="1581598267">
      <w:bodyDiv w:val="1"/>
      <w:marLeft w:val="0"/>
      <w:marRight w:val="0"/>
      <w:marTop w:val="0"/>
      <w:marBottom w:val="0"/>
      <w:divBdr>
        <w:top w:val="none" w:sz="0" w:space="0" w:color="auto"/>
        <w:left w:val="none" w:sz="0" w:space="0" w:color="auto"/>
        <w:bottom w:val="none" w:sz="0" w:space="0" w:color="auto"/>
        <w:right w:val="none" w:sz="0" w:space="0" w:color="auto"/>
      </w:divBdr>
      <w:divsChild>
        <w:div w:id="418059997">
          <w:marLeft w:val="0"/>
          <w:marRight w:val="0"/>
          <w:marTop w:val="0"/>
          <w:marBottom w:val="0"/>
          <w:divBdr>
            <w:top w:val="none" w:sz="0" w:space="0" w:color="auto"/>
            <w:left w:val="none" w:sz="0" w:space="0" w:color="auto"/>
            <w:bottom w:val="none" w:sz="0" w:space="0" w:color="auto"/>
            <w:right w:val="none" w:sz="0" w:space="0" w:color="auto"/>
          </w:divBdr>
        </w:div>
        <w:div w:id="907376287">
          <w:marLeft w:val="0"/>
          <w:marRight w:val="0"/>
          <w:marTop w:val="0"/>
          <w:marBottom w:val="0"/>
          <w:divBdr>
            <w:top w:val="none" w:sz="0" w:space="0" w:color="auto"/>
            <w:left w:val="none" w:sz="0" w:space="0" w:color="auto"/>
            <w:bottom w:val="none" w:sz="0" w:space="0" w:color="auto"/>
            <w:right w:val="none" w:sz="0" w:space="0" w:color="auto"/>
          </w:divBdr>
        </w:div>
        <w:div w:id="1222982417">
          <w:marLeft w:val="0"/>
          <w:marRight w:val="0"/>
          <w:marTop w:val="0"/>
          <w:marBottom w:val="0"/>
          <w:divBdr>
            <w:top w:val="none" w:sz="0" w:space="0" w:color="auto"/>
            <w:left w:val="none" w:sz="0" w:space="0" w:color="auto"/>
            <w:bottom w:val="none" w:sz="0" w:space="0" w:color="auto"/>
            <w:right w:val="none" w:sz="0" w:space="0" w:color="auto"/>
          </w:divBdr>
        </w:div>
      </w:divsChild>
    </w:div>
    <w:div w:id="1583677530">
      <w:bodyDiv w:val="1"/>
      <w:marLeft w:val="0"/>
      <w:marRight w:val="0"/>
      <w:marTop w:val="0"/>
      <w:marBottom w:val="0"/>
      <w:divBdr>
        <w:top w:val="none" w:sz="0" w:space="0" w:color="auto"/>
        <w:left w:val="none" w:sz="0" w:space="0" w:color="auto"/>
        <w:bottom w:val="none" w:sz="0" w:space="0" w:color="auto"/>
        <w:right w:val="none" w:sz="0" w:space="0" w:color="auto"/>
      </w:divBdr>
    </w:div>
    <w:div w:id="1588925141">
      <w:bodyDiv w:val="1"/>
      <w:marLeft w:val="0"/>
      <w:marRight w:val="0"/>
      <w:marTop w:val="0"/>
      <w:marBottom w:val="0"/>
      <w:divBdr>
        <w:top w:val="none" w:sz="0" w:space="0" w:color="auto"/>
        <w:left w:val="none" w:sz="0" w:space="0" w:color="auto"/>
        <w:bottom w:val="none" w:sz="0" w:space="0" w:color="auto"/>
        <w:right w:val="none" w:sz="0" w:space="0" w:color="auto"/>
      </w:divBdr>
    </w:div>
    <w:div w:id="1590583277">
      <w:bodyDiv w:val="1"/>
      <w:marLeft w:val="0"/>
      <w:marRight w:val="0"/>
      <w:marTop w:val="0"/>
      <w:marBottom w:val="0"/>
      <w:divBdr>
        <w:top w:val="none" w:sz="0" w:space="0" w:color="auto"/>
        <w:left w:val="none" w:sz="0" w:space="0" w:color="auto"/>
        <w:bottom w:val="none" w:sz="0" w:space="0" w:color="auto"/>
        <w:right w:val="none" w:sz="0" w:space="0" w:color="auto"/>
      </w:divBdr>
    </w:div>
    <w:div w:id="1595819999">
      <w:bodyDiv w:val="1"/>
      <w:marLeft w:val="0"/>
      <w:marRight w:val="0"/>
      <w:marTop w:val="0"/>
      <w:marBottom w:val="0"/>
      <w:divBdr>
        <w:top w:val="none" w:sz="0" w:space="0" w:color="auto"/>
        <w:left w:val="none" w:sz="0" w:space="0" w:color="auto"/>
        <w:bottom w:val="none" w:sz="0" w:space="0" w:color="auto"/>
        <w:right w:val="none" w:sz="0" w:space="0" w:color="auto"/>
      </w:divBdr>
    </w:div>
    <w:div w:id="1600137083">
      <w:bodyDiv w:val="1"/>
      <w:marLeft w:val="0"/>
      <w:marRight w:val="0"/>
      <w:marTop w:val="0"/>
      <w:marBottom w:val="0"/>
      <w:divBdr>
        <w:top w:val="none" w:sz="0" w:space="0" w:color="auto"/>
        <w:left w:val="none" w:sz="0" w:space="0" w:color="auto"/>
        <w:bottom w:val="none" w:sz="0" w:space="0" w:color="auto"/>
        <w:right w:val="none" w:sz="0" w:space="0" w:color="auto"/>
      </w:divBdr>
    </w:div>
    <w:div w:id="1602107763">
      <w:bodyDiv w:val="1"/>
      <w:marLeft w:val="0"/>
      <w:marRight w:val="0"/>
      <w:marTop w:val="0"/>
      <w:marBottom w:val="0"/>
      <w:divBdr>
        <w:top w:val="none" w:sz="0" w:space="0" w:color="auto"/>
        <w:left w:val="none" w:sz="0" w:space="0" w:color="auto"/>
        <w:bottom w:val="none" w:sz="0" w:space="0" w:color="auto"/>
        <w:right w:val="none" w:sz="0" w:space="0" w:color="auto"/>
      </w:divBdr>
    </w:div>
    <w:div w:id="1610812953">
      <w:bodyDiv w:val="1"/>
      <w:marLeft w:val="0"/>
      <w:marRight w:val="0"/>
      <w:marTop w:val="0"/>
      <w:marBottom w:val="0"/>
      <w:divBdr>
        <w:top w:val="none" w:sz="0" w:space="0" w:color="auto"/>
        <w:left w:val="none" w:sz="0" w:space="0" w:color="auto"/>
        <w:bottom w:val="none" w:sz="0" w:space="0" w:color="auto"/>
        <w:right w:val="none" w:sz="0" w:space="0" w:color="auto"/>
      </w:divBdr>
    </w:div>
    <w:div w:id="1614946595">
      <w:bodyDiv w:val="1"/>
      <w:marLeft w:val="0"/>
      <w:marRight w:val="0"/>
      <w:marTop w:val="0"/>
      <w:marBottom w:val="0"/>
      <w:divBdr>
        <w:top w:val="none" w:sz="0" w:space="0" w:color="auto"/>
        <w:left w:val="none" w:sz="0" w:space="0" w:color="auto"/>
        <w:bottom w:val="none" w:sz="0" w:space="0" w:color="auto"/>
        <w:right w:val="none" w:sz="0" w:space="0" w:color="auto"/>
      </w:divBdr>
    </w:div>
    <w:div w:id="1625497416">
      <w:bodyDiv w:val="1"/>
      <w:marLeft w:val="0"/>
      <w:marRight w:val="0"/>
      <w:marTop w:val="0"/>
      <w:marBottom w:val="0"/>
      <w:divBdr>
        <w:top w:val="none" w:sz="0" w:space="0" w:color="auto"/>
        <w:left w:val="none" w:sz="0" w:space="0" w:color="auto"/>
        <w:bottom w:val="none" w:sz="0" w:space="0" w:color="auto"/>
        <w:right w:val="none" w:sz="0" w:space="0" w:color="auto"/>
      </w:divBdr>
      <w:divsChild>
        <w:div w:id="979964501">
          <w:marLeft w:val="547"/>
          <w:marRight w:val="0"/>
          <w:marTop w:val="154"/>
          <w:marBottom w:val="0"/>
          <w:divBdr>
            <w:top w:val="none" w:sz="0" w:space="0" w:color="auto"/>
            <w:left w:val="none" w:sz="0" w:space="0" w:color="auto"/>
            <w:bottom w:val="none" w:sz="0" w:space="0" w:color="auto"/>
            <w:right w:val="none" w:sz="0" w:space="0" w:color="auto"/>
          </w:divBdr>
        </w:div>
        <w:div w:id="1865703459">
          <w:marLeft w:val="547"/>
          <w:marRight w:val="0"/>
          <w:marTop w:val="154"/>
          <w:marBottom w:val="0"/>
          <w:divBdr>
            <w:top w:val="none" w:sz="0" w:space="0" w:color="auto"/>
            <w:left w:val="none" w:sz="0" w:space="0" w:color="auto"/>
            <w:bottom w:val="none" w:sz="0" w:space="0" w:color="auto"/>
            <w:right w:val="none" w:sz="0" w:space="0" w:color="auto"/>
          </w:divBdr>
        </w:div>
      </w:divsChild>
    </w:div>
    <w:div w:id="1628731873">
      <w:bodyDiv w:val="1"/>
      <w:marLeft w:val="0"/>
      <w:marRight w:val="0"/>
      <w:marTop w:val="0"/>
      <w:marBottom w:val="0"/>
      <w:divBdr>
        <w:top w:val="none" w:sz="0" w:space="0" w:color="auto"/>
        <w:left w:val="none" w:sz="0" w:space="0" w:color="auto"/>
        <w:bottom w:val="none" w:sz="0" w:space="0" w:color="auto"/>
        <w:right w:val="none" w:sz="0" w:space="0" w:color="auto"/>
      </w:divBdr>
    </w:div>
    <w:div w:id="1628926408">
      <w:bodyDiv w:val="1"/>
      <w:marLeft w:val="0"/>
      <w:marRight w:val="0"/>
      <w:marTop w:val="0"/>
      <w:marBottom w:val="0"/>
      <w:divBdr>
        <w:top w:val="none" w:sz="0" w:space="0" w:color="auto"/>
        <w:left w:val="none" w:sz="0" w:space="0" w:color="auto"/>
        <w:bottom w:val="none" w:sz="0" w:space="0" w:color="auto"/>
        <w:right w:val="none" w:sz="0" w:space="0" w:color="auto"/>
      </w:divBdr>
    </w:div>
    <w:div w:id="1629504186">
      <w:bodyDiv w:val="1"/>
      <w:marLeft w:val="0"/>
      <w:marRight w:val="0"/>
      <w:marTop w:val="0"/>
      <w:marBottom w:val="0"/>
      <w:divBdr>
        <w:top w:val="none" w:sz="0" w:space="0" w:color="auto"/>
        <w:left w:val="none" w:sz="0" w:space="0" w:color="auto"/>
        <w:bottom w:val="none" w:sz="0" w:space="0" w:color="auto"/>
        <w:right w:val="none" w:sz="0" w:space="0" w:color="auto"/>
      </w:divBdr>
    </w:div>
    <w:div w:id="1634171474">
      <w:bodyDiv w:val="1"/>
      <w:marLeft w:val="0"/>
      <w:marRight w:val="0"/>
      <w:marTop w:val="0"/>
      <w:marBottom w:val="0"/>
      <w:divBdr>
        <w:top w:val="none" w:sz="0" w:space="0" w:color="auto"/>
        <w:left w:val="none" w:sz="0" w:space="0" w:color="auto"/>
        <w:bottom w:val="none" w:sz="0" w:space="0" w:color="auto"/>
        <w:right w:val="none" w:sz="0" w:space="0" w:color="auto"/>
      </w:divBdr>
    </w:div>
    <w:div w:id="1634749098">
      <w:bodyDiv w:val="1"/>
      <w:marLeft w:val="0"/>
      <w:marRight w:val="0"/>
      <w:marTop w:val="0"/>
      <w:marBottom w:val="0"/>
      <w:divBdr>
        <w:top w:val="none" w:sz="0" w:space="0" w:color="auto"/>
        <w:left w:val="none" w:sz="0" w:space="0" w:color="auto"/>
        <w:bottom w:val="none" w:sz="0" w:space="0" w:color="auto"/>
        <w:right w:val="none" w:sz="0" w:space="0" w:color="auto"/>
      </w:divBdr>
      <w:divsChild>
        <w:div w:id="400056072">
          <w:marLeft w:val="547"/>
          <w:marRight w:val="0"/>
          <w:marTop w:val="115"/>
          <w:marBottom w:val="0"/>
          <w:divBdr>
            <w:top w:val="none" w:sz="0" w:space="0" w:color="auto"/>
            <w:left w:val="none" w:sz="0" w:space="0" w:color="auto"/>
            <w:bottom w:val="none" w:sz="0" w:space="0" w:color="auto"/>
            <w:right w:val="none" w:sz="0" w:space="0" w:color="auto"/>
          </w:divBdr>
        </w:div>
        <w:div w:id="1924408296">
          <w:marLeft w:val="547"/>
          <w:marRight w:val="0"/>
          <w:marTop w:val="115"/>
          <w:marBottom w:val="0"/>
          <w:divBdr>
            <w:top w:val="none" w:sz="0" w:space="0" w:color="auto"/>
            <w:left w:val="none" w:sz="0" w:space="0" w:color="auto"/>
            <w:bottom w:val="none" w:sz="0" w:space="0" w:color="auto"/>
            <w:right w:val="none" w:sz="0" w:space="0" w:color="auto"/>
          </w:divBdr>
        </w:div>
      </w:divsChild>
    </w:div>
    <w:div w:id="1639995640">
      <w:bodyDiv w:val="1"/>
      <w:marLeft w:val="0"/>
      <w:marRight w:val="0"/>
      <w:marTop w:val="0"/>
      <w:marBottom w:val="0"/>
      <w:divBdr>
        <w:top w:val="none" w:sz="0" w:space="0" w:color="auto"/>
        <w:left w:val="none" w:sz="0" w:space="0" w:color="auto"/>
        <w:bottom w:val="none" w:sz="0" w:space="0" w:color="auto"/>
        <w:right w:val="none" w:sz="0" w:space="0" w:color="auto"/>
      </w:divBdr>
    </w:div>
    <w:div w:id="1653168977">
      <w:bodyDiv w:val="1"/>
      <w:marLeft w:val="0"/>
      <w:marRight w:val="0"/>
      <w:marTop w:val="0"/>
      <w:marBottom w:val="0"/>
      <w:divBdr>
        <w:top w:val="none" w:sz="0" w:space="0" w:color="auto"/>
        <w:left w:val="none" w:sz="0" w:space="0" w:color="auto"/>
        <w:bottom w:val="none" w:sz="0" w:space="0" w:color="auto"/>
        <w:right w:val="none" w:sz="0" w:space="0" w:color="auto"/>
      </w:divBdr>
      <w:divsChild>
        <w:div w:id="568853253">
          <w:marLeft w:val="547"/>
          <w:marRight w:val="0"/>
          <w:marTop w:val="134"/>
          <w:marBottom w:val="0"/>
          <w:divBdr>
            <w:top w:val="none" w:sz="0" w:space="0" w:color="auto"/>
            <w:left w:val="none" w:sz="0" w:space="0" w:color="auto"/>
            <w:bottom w:val="none" w:sz="0" w:space="0" w:color="auto"/>
            <w:right w:val="none" w:sz="0" w:space="0" w:color="auto"/>
          </w:divBdr>
        </w:div>
        <w:div w:id="1299988635">
          <w:marLeft w:val="547"/>
          <w:marRight w:val="0"/>
          <w:marTop w:val="134"/>
          <w:marBottom w:val="0"/>
          <w:divBdr>
            <w:top w:val="none" w:sz="0" w:space="0" w:color="auto"/>
            <w:left w:val="none" w:sz="0" w:space="0" w:color="auto"/>
            <w:bottom w:val="none" w:sz="0" w:space="0" w:color="auto"/>
            <w:right w:val="none" w:sz="0" w:space="0" w:color="auto"/>
          </w:divBdr>
        </w:div>
        <w:div w:id="1537936250">
          <w:marLeft w:val="547"/>
          <w:marRight w:val="0"/>
          <w:marTop w:val="134"/>
          <w:marBottom w:val="0"/>
          <w:divBdr>
            <w:top w:val="none" w:sz="0" w:space="0" w:color="auto"/>
            <w:left w:val="none" w:sz="0" w:space="0" w:color="auto"/>
            <w:bottom w:val="none" w:sz="0" w:space="0" w:color="auto"/>
            <w:right w:val="none" w:sz="0" w:space="0" w:color="auto"/>
          </w:divBdr>
        </w:div>
      </w:divsChild>
    </w:div>
    <w:div w:id="1654799787">
      <w:bodyDiv w:val="1"/>
      <w:marLeft w:val="0"/>
      <w:marRight w:val="0"/>
      <w:marTop w:val="0"/>
      <w:marBottom w:val="0"/>
      <w:divBdr>
        <w:top w:val="none" w:sz="0" w:space="0" w:color="auto"/>
        <w:left w:val="none" w:sz="0" w:space="0" w:color="auto"/>
        <w:bottom w:val="none" w:sz="0" w:space="0" w:color="auto"/>
        <w:right w:val="none" w:sz="0" w:space="0" w:color="auto"/>
      </w:divBdr>
    </w:div>
    <w:div w:id="1655640065">
      <w:bodyDiv w:val="1"/>
      <w:marLeft w:val="0"/>
      <w:marRight w:val="0"/>
      <w:marTop w:val="0"/>
      <w:marBottom w:val="0"/>
      <w:divBdr>
        <w:top w:val="none" w:sz="0" w:space="0" w:color="auto"/>
        <w:left w:val="none" w:sz="0" w:space="0" w:color="auto"/>
        <w:bottom w:val="none" w:sz="0" w:space="0" w:color="auto"/>
        <w:right w:val="none" w:sz="0" w:space="0" w:color="auto"/>
      </w:divBdr>
    </w:div>
    <w:div w:id="1656840474">
      <w:bodyDiv w:val="1"/>
      <w:marLeft w:val="0"/>
      <w:marRight w:val="0"/>
      <w:marTop w:val="0"/>
      <w:marBottom w:val="0"/>
      <w:divBdr>
        <w:top w:val="none" w:sz="0" w:space="0" w:color="auto"/>
        <w:left w:val="none" w:sz="0" w:space="0" w:color="auto"/>
        <w:bottom w:val="none" w:sz="0" w:space="0" w:color="auto"/>
        <w:right w:val="none" w:sz="0" w:space="0" w:color="auto"/>
      </w:divBdr>
    </w:div>
    <w:div w:id="1659534212">
      <w:bodyDiv w:val="1"/>
      <w:marLeft w:val="0"/>
      <w:marRight w:val="0"/>
      <w:marTop w:val="0"/>
      <w:marBottom w:val="0"/>
      <w:divBdr>
        <w:top w:val="none" w:sz="0" w:space="0" w:color="auto"/>
        <w:left w:val="none" w:sz="0" w:space="0" w:color="auto"/>
        <w:bottom w:val="none" w:sz="0" w:space="0" w:color="auto"/>
        <w:right w:val="none" w:sz="0" w:space="0" w:color="auto"/>
      </w:divBdr>
    </w:div>
    <w:div w:id="1659573826">
      <w:bodyDiv w:val="1"/>
      <w:marLeft w:val="0"/>
      <w:marRight w:val="0"/>
      <w:marTop w:val="0"/>
      <w:marBottom w:val="0"/>
      <w:divBdr>
        <w:top w:val="none" w:sz="0" w:space="0" w:color="auto"/>
        <w:left w:val="none" w:sz="0" w:space="0" w:color="auto"/>
        <w:bottom w:val="none" w:sz="0" w:space="0" w:color="auto"/>
        <w:right w:val="none" w:sz="0" w:space="0" w:color="auto"/>
      </w:divBdr>
    </w:div>
    <w:div w:id="1660503357">
      <w:bodyDiv w:val="1"/>
      <w:marLeft w:val="0"/>
      <w:marRight w:val="0"/>
      <w:marTop w:val="0"/>
      <w:marBottom w:val="0"/>
      <w:divBdr>
        <w:top w:val="none" w:sz="0" w:space="0" w:color="auto"/>
        <w:left w:val="none" w:sz="0" w:space="0" w:color="auto"/>
        <w:bottom w:val="none" w:sz="0" w:space="0" w:color="auto"/>
        <w:right w:val="none" w:sz="0" w:space="0" w:color="auto"/>
      </w:divBdr>
    </w:div>
    <w:div w:id="1662462082">
      <w:bodyDiv w:val="1"/>
      <w:marLeft w:val="0"/>
      <w:marRight w:val="0"/>
      <w:marTop w:val="0"/>
      <w:marBottom w:val="0"/>
      <w:divBdr>
        <w:top w:val="none" w:sz="0" w:space="0" w:color="auto"/>
        <w:left w:val="none" w:sz="0" w:space="0" w:color="auto"/>
        <w:bottom w:val="none" w:sz="0" w:space="0" w:color="auto"/>
        <w:right w:val="none" w:sz="0" w:space="0" w:color="auto"/>
      </w:divBdr>
    </w:div>
    <w:div w:id="1672490312">
      <w:bodyDiv w:val="1"/>
      <w:marLeft w:val="0"/>
      <w:marRight w:val="0"/>
      <w:marTop w:val="0"/>
      <w:marBottom w:val="0"/>
      <w:divBdr>
        <w:top w:val="none" w:sz="0" w:space="0" w:color="auto"/>
        <w:left w:val="none" w:sz="0" w:space="0" w:color="auto"/>
        <w:bottom w:val="none" w:sz="0" w:space="0" w:color="auto"/>
        <w:right w:val="none" w:sz="0" w:space="0" w:color="auto"/>
      </w:divBdr>
    </w:div>
    <w:div w:id="1675571001">
      <w:bodyDiv w:val="1"/>
      <w:marLeft w:val="0"/>
      <w:marRight w:val="0"/>
      <w:marTop w:val="0"/>
      <w:marBottom w:val="0"/>
      <w:divBdr>
        <w:top w:val="none" w:sz="0" w:space="0" w:color="auto"/>
        <w:left w:val="none" w:sz="0" w:space="0" w:color="auto"/>
        <w:bottom w:val="none" w:sz="0" w:space="0" w:color="auto"/>
        <w:right w:val="none" w:sz="0" w:space="0" w:color="auto"/>
      </w:divBdr>
    </w:div>
    <w:div w:id="1678455870">
      <w:bodyDiv w:val="1"/>
      <w:marLeft w:val="0"/>
      <w:marRight w:val="0"/>
      <w:marTop w:val="0"/>
      <w:marBottom w:val="0"/>
      <w:divBdr>
        <w:top w:val="none" w:sz="0" w:space="0" w:color="auto"/>
        <w:left w:val="none" w:sz="0" w:space="0" w:color="auto"/>
        <w:bottom w:val="none" w:sz="0" w:space="0" w:color="auto"/>
        <w:right w:val="none" w:sz="0" w:space="0" w:color="auto"/>
      </w:divBdr>
    </w:div>
    <w:div w:id="1680767885">
      <w:bodyDiv w:val="1"/>
      <w:marLeft w:val="0"/>
      <w:marRight w:val="0"/>
      <w:marTop w:val="0"/>
      <w:marBottom w:val="0"/>
      <w:divBdr>
        <w:top w:val="none" w:sz="0" w:space="0" w:color="auto"/>
        <w:left w:val="none" w:sz="0" w:space="0" w:color="auto"/>
        <w:bottom w:val="none" w:sz="0" w:space="0" w:color="auto"/>
        <w:right w:val="none" w:sz="0" w:space="0" w:color="auto"/>
      </w:divBdr>
    </w:div>
    <w:div w:id="1681589861">
      <w:bodyDiv w:val="1"/>
      <w:marLeft w:val="0"/>
      <w:marRight w:val="0"/>
      <w:marTop w:val="0"/>
      <w:marBottom w:val="0"/>
      <w:divBdr>
        <w:top w:val="none" w:sz="0" w:space="0" w:color="auto"/>
        <w:left w:val="none" w:sz="0" w:space="0" w:color="auto"/>
        <w:bottom w:val="none" w:sz="0" w:space="0" w:color="auto"/>
        <w:right w:val="none" w:sz="0" w:space="0" w:color="auto"/>
      </w:divBdr>
    </w:div>
    <w:div w:id="1684428935">
      <w:bodyDiv w:val="1"/>
      <w:marLeft w:val="0"/>
      <w:marRight w:val="0"/>
      <w:marTop w:val="0"/>
      <w:marBottom w:val="0"/>
      <w:divBdr>
        <w:top w:val="none" w:sz="0" w:space="0" w:color="auto"/>
        <w:left w:val="none" w:sz="0" w:space="0" w:color="auto"/>
        <w:bottom w:val="none" w:sz="0" w:space="0" w:color="auto"/>
        <w:right w:val="none" w:sz="0" w:space="0" w:color="auto"/>
      </w:divBdr>
    </w:div>
    <w:div w:id="1689793145">
      <w:bodyDiv w:val="1"/>
      <w:marLeft w:val="0"/>
      <w:marRight w:val="0"/>
      <w:marTop w:val="0"/>
      <w:marBottom w:val="0"/>
      <w:divBdr>
        <w:top w:val="none" w:sz="0" w:space="0" w:color="auto"/>
        <w:left w:val="none" w:sz="0" w:space="0" w:color="auto"/>
        <w:bottom w:val="none" w:sz="0" w:space="0" w:color="auto"/>
        <w:right w:val="none" w:sz="0" w:space="0" w:color="auto"/>
      </w:divBdr>
    </w:div>
    <w:div w:id="1689987929">
      <w:bodyDiv w:val="1"/>
      <w:marLeft w:val="0"/>
      <w:marRight w:val="0"/>
      <w:marTop w:val="0"/>
      <w:marBottom w:val="0"/>
      <w:divBdr>
        <w:top w:val="none" w:sz="0" w:space="0" w:color="auto"/>
        <w:left w:val="none" w:sz="0" w:space="0" w:color="auto"/>
        <w:bottom w:val="none" w:sz="0" w:space="0" w:color="auto"/>
        <w:right w:val="none" w:sz="0" w:space="0" w:color="auto"/>
      </w:divBdr>
    </w:div>
    <w:div w:id="1698434685">
      <w:bodyDiv w:val="1"/>
      <w:marLeft w:val="0"/>
      <w:marRight w:val="0"/>
      <w:marTop w:val="0"/>
      <w:marBottom w:val="0"/>
      <w:divBdr>
        <w:top w:val="none" w:sz="0" w:space="0" w:color="auto"/>
        <w:left w:val="none" w:sz="0" w:space="0" w:color="auto"/>
        <w:bottom w:val="none" w:sz="0" w:space="0" w:color="auto"/>
        <w:right w:val="none" w:sz="0" w:space="0" w:color="auto"/>
      </w:divBdr>
    </w:div>
    <w:div w:id="1698771851">
      <w:bodyDiv w:val="1"/>
      <w:marLeft w:val="0"/>
      <w:marRight w:val="0"/>
      <w:marTop w:val="0"/>
      <w:marBottom w:val="0"/>
      <w:divBdr>
        <w:top w:val="none" w:sz="0" w:space="0" w:color="auto"/>
        <w:left w:val="none" w:sz="0" w:space="0" w:color="auto"/>
        <w:bottom w:val="none" w:sz="0" w:space="0" w:color="auto"/>
        <w:right w:val="none" w:sz="0" w:space="0" w:color="auto"/>
      </w:divBdr>
      <w:divsChild>
        <w:div w:id="142743236">
          <w:marLeft w:val="547"/>
          <w:marRight w:val="0"/>
          <w:marTop w:val="115"/>
          <w:marBottom w:val="0"/>
          <w:divBdr>
            <w:top w:val="none" w:sz="0" w:space="0" w:color="auto"/>
            <w:left w:val="none" w:sz="0" w:space="0" w:color="auto"/>
            <w:bottom w:val="none" w:sz="0" w:space="0" w:color="auto"/>
            <w:right w:val="none" w:sz="0" w:space="0" w:color="auto"/>
          </w:divBdr>
        </w:div>
        <w:div w:id="425272135">
          <w:marLeft w:val="547"/>
          <w:marRight w:val="0"/>
          <w:marTop w:val="115"/>
          <w:marBottom w:val="0"/>
          <w:divBdr>
            <w:top w:val="none" w:sz="0" w:space="0" w:color="auto"/>
            <w:left w:val="none" w:sz="0" w:space="0" w:color="auto"/>
            <w:bottom w:val="none" w:sz="0" w:space="0" w:color="auto"/>
            <w:right w:val="none" w:sz="0" w:space="0" w:color="auto"/>
          </w:divBdr>
        </w:div>
        <w:div w:id="1676303643">
          <w:marLeft w:val="547"/>
          <w:marRight w:val="0"/>
          <w:marTop w:val="115"/>
          <w:marBottom w:val="0"/>
          <w:divBdr>
            <w:top w:val="none" w:sz="0" w:space="0" w:color="auto"/>
            <w:left w:val="none" w:sz="0" w:space="0" w:color="auto"/>
            <w:bottom w:val="none" w:sz="0" w:space="0" w:color="auto"/>
            <w:right w:val="none" w:sz="0" w:space="0" w:color="auto"/>
          </w:divBdr>
        </w:div>
        <w:div w:id="1962834225">
          <w:marLeft w:val="547"/>
          <w:marRight w:val="0"/>
          <w:marTop w:val="115"/>
          <w:marBottom w:val="0"/>
          <w:divBdr>
            <w:top w:val="none" w:sz="0" w:space="0" w:color="auto"/>
            <w:left w:val="none" w:sz="0" w:space="0" w:color="auto"/>
            <w:bottom w:val="none" w:sz="0" w:space="0" w:color="auto"/>
            <w:right w:val="none" w:sz="0" w:space="0" w:color="auto"/>
          </w:divBdr>
        </w:div>
        <w:div w:id="1997340886">
          <w:marLeft w:val="547"/>
          <w:marRight w:val="0"/>
          <w:marTop w:val="115"/>
          <w:marBottom w:val="0"/>
          <w:divBdr>
            <w:top w:val="none" w:sz="0" w:space="0" w:color="auto"/>
            <w:left w:val="none" w:sz="0" w:space="0" w:color="auto"/>
            <w:bottom w:val="none" w:sz="0" w:space="0" w:color="auto"/>
            <w:right w:val="none" w:sz="0" w:space="0" w:color="auto"/>
          </w:divBdr>
        </w:div>
      </w:divsChild>
    </w:div>
    <w:div w:id="1702585718">
      <w:bodyDiv w:val="1"/>
      <w:marLeft w:val="0"/>
      <w:marRight w:val="0"/>
      <w:marTop w:val="0"/>
      <w:marBottom w:val="0"/>
      <w:divBdr>
        <w:top w:val="none" w:sz="0" w:space="0" w:color="auto"/>
        <w:left w:val="none" w:sz="0" w:space="0" w:color="auto"/>
        <w:bottom w:val="none" w:sz="0" w:space="0" w:color="auto"/>
        <w:right w:val="none" w:sz="0" w:space="0" w:color="auto"/>
      </w:divBdr>
    </w:div>
    <w:div w:id="1703893529">
      <w:bodyDiv w:val="1"/>
      <w:marLeft w:val="0"/>
      <w:marRight w:val="0"/>
      <w:marTop w:val="0"/>
      <w:marBottom w:val="0"/>
      <w:divBdr>
        <w:top w:val="none" w:sz="0" w:space="0" w:color="auto"/>
        <w:left w:val="none" w:sz="0" w:space="0" w:color="auto"/>
        <w:bottom w:val="none" w:sz="0" w:space="0" w:color="auto"/>
        <w:right w:val="none" w:sz="0" w:space="0" w:color="auto"/>
      </w:divBdr>
    </w:div>
    <w:div w:id="1704789399">
      <w:bodyDiv w:val="1"/>
      <w:marLeft w:val="0"/>
      <w:marRight w:val="0"/>
      <w:marTop w:val="0"/>
      <w:marBottom w:val="0"/>
      <w:divBdr>
        <w:top w:val="none" w:sz="0" w:space="0" w:color="auto"/>
        <w:left w:val="none" w:sz="0" w:space="0" w:color="auto"/>
        <w:bottom w:val="none" w:sz="0" w:space="0" w:color="auto"/>
        <w:right w:val="none" w:sz="0" w:space="0" w:color="auto"/>
      </w:divBdr>
    </w:div>
    <w:div w:id="1709524148">
      <w:bodyDiv w:val="1"/>
      <w:marLeft w:val="0"/>
      <w:marRight w:val="0"/>
      <w:marTop w:val="0"/>
      <w:marBottom w:val="0"/>
      <w:divBdr>
        <w:top w:val="none" w:sz="0" w:space="0" w:color="auto"/>
        <w:left w:val="none" w:sz="0" w:space="0" w:color="auto"/>
        <w:bottom w:val="none" w:sz="0" w:space="0" w:color="auto"/>
        <w:right w:val="none" w:sz="0" w:space="0" w:color="auto"/>
      </w:divBdr>
    </w:div>
    <w:div w:id="1709797792">
      <w:bodyDiv w:val="1"/>
      <w:marLeft w:val="0"/>
      <w:marRight w:val="0"/>
      <w:marTop w:val="0"/>
      <w:marBottom w:val="0"/>
      <w:divBdr>
        <w:top w:val="none" w:sz="0" w:space="0" w:color="auto"/>
        <w:left w:val="none" w:sz="0" w:space="0" w:color="auto"/>
        <w:bottom w:val="none" w:sz="0" w:space="0" w:color="auto"/>
        <w:right w:val="none" w:sz="0" w:space="0" w:color="auto"/>
      </w:divBdr>
    </w:div>
    <w:div w:id="1713571745">
      <w:bodyDiv w:val="1"/>
      <w:marLeft w:val="0"/>
      <w:marRight w:val="0"/>
      <w:marTop w:val="0"/>
      <w:marBottom w:val="0"/>
      <w:divBdr>
        <w:top w:val="none" w:sz="0" w:space="0" w:color="auto"/>
        <w:left w:val="none" w:sz="0" w:space="0" w:color="auto"/>
        <w:bottom w:val="none" w:sz="0" w:space="0" w:color="auto"/>
        <w:right w:val="none" w:sz="0" w:space="0" w:color="auto"/>
      </w:divBdr>
    </w:div>
    <w:div w:id="1717200768">
      <w:bodyDiv w:val="1"/>
      <w:marLeft w:val="0"/>
      <w:marRight w:val="0"/>
      <w:marTop w:val="0"/>
      <w:marBottom w:val="0"/>
      <w:divBdr>
        <w:top w:val="none" w:sz="0" w:space="0" w:color="auto"/>
        <w:left w:val="none" w:sz="0" w:space="0" w:color="auto"/>
        <w:bottom w:val="none" w:sz="0" w:space="0" w:color="auto"/>
        <w:right w:val="none" w:sz="0" w:space="0" w:color="auto"/>
      </w:divBdr>
    </w:div>
    <w:div w:id="1731466811">
      <w:bodyDiv w:val="1"/>
      <w:marLeft w:val="0"/>
      <w:marRight w:val="0"/>
      <w:marTop w:val="0"/>
      <w:marBottom w:val="0"/>
      <w:divBdr>
        <w:top w:val="none" w:sz="0" w:space="0" w:color="auto"/>
        <w:left w:val="none" w:sz="0" w:space="0" w:color="auto"/>
        <w:bottom w:val="none" w:sz="0" w:space="0" w:color="auto"/>
        <w:right w:val="none" w:sz="0" w:space="0" w:color="auto"/>
      </w:divBdr>
    </w:div>
    <w:div w:id="1733579561">
      <w:bodyDiv w:val="1"/>
      <w:marLeft w:val="0"/>
      <w:marRight w:val="0"/>
      <w:marTop w:val="0"/>
      <w:marBottom w:val="0"/>
      <w:divBdr>
        <w:top w:val="none" w:sz="0" w:space="0" w:color="auto"/>
        <w:left w:val="none" w:sz="0" w:space="0" w:color="auto"/>
        <w:bottom w:val="none" w:sz="0" w:space="0" w:color="auto"/>
        <w:right w:val="none" w:sz="0" w:space="0" w:color="auto"/>
      </w:divBdr>
    </w:div>
    <w:div w:id="1734615549">
      <w:bodyDiv w:val="1"/>
      <w:marLeft w:val="0"/>
      <w:marRight w:val="0"/>
      <w:marTop w:val="0"/>
      <w:marBottom w:val="0"/>
      <w:divBdr>
        <w:top w:val="none" w:sz="0" w:space="0" w:color="auto"/>
        <w:left w:val="none" w:sz="0" w:space="0" w:color="auto"/>
        <w:bottom w:val="none" w:sz="0" w:space="0" w:color="auto"/>
        <w:right w:val="none" w:sz="0" w:space="0" w:color="auto"/>
      </w:divBdr>
    </w:div>
    <w:div w:id="1736967941">
      <w:bodyDiv w:val="1"/>
      <w:marLeft w:val="0"/>
      <w:marRight w:val="0"/>
      <w:marTop w:val="0"/>
      <w:marBottom w:val="0"/>
      <w:divBdr>
        <w:top w:val="none" w:sz="0" w:space="0" w:color="auto"/>
        <w:left w:val="none" w:sz="0" w:space="0" w:color="auto"/>
        <w:bottom w:val="none" w:sz="0" w:space="0" w:color="auto"/>
        <w:right w:val="none" w:sz="0" w:space="0" w:color="auto"/>
      </w:divBdr>
    </w:div>
    <w:div w:id="1738047094">
      <w:bodyDiv w:val="1"/>
      <w:marLeft w:val="0"/>
      <w:marRight w:val="0"/>
      <w:marTop w:val="0"/>
      <w:marBottom w:val="0"/>
      <w:divBdr>
        <w:top w:val="none" w:sz="0" w:space="0" w:color="auto"/>
        <w:left w:val="none" w:sz="0" w:space="0" w:color="auto"/>
        <w:bottom w:val="none" w:sz="0" w:space="0" w:color="auto"/>
        <w:right w:val="none" w:sz="0" w:space="0" w:color="auto"/>
      </w:divBdr>
    </w:div>
    <w:div w:id="1744984855">
      <w:bodyDiv w:val="1"/>
      <w:marLeft w:val="0"/>
      <w:marRight w:val="0"/>
      <w:marTop w:val="0"/>
      <w:marBottom w:val="0"/>
      <w:divBdr>
        <w:top w:val="none" w:sz="0" w:space="0" w:color="auto"/>
        <w:left w:val="none" w:sz="0" w:space="0" w:color="auto"/>
        <w:bottom w:val="none" w:sz="0" w:space="0" w:color="auto"/>
        <w:right w:val="none" w:sz="0" w:space="0" w:color="auto"/>
      </w:divBdr>
    </w:div>
    <w:div w:id="1750495629">
      <w:bodyDiv w:val="1"/>
      <w:marLeft w:val="0"/>
      <w:marRight w:val="0"/>
      <w:marTop w:val="0"/>
      <w:marBottom w:val="0"/>
      <w:divBdr>
        <w:top w:val="none" w:sz="0" w:space="0" w:color="auto"/>
        <w:left w:val="none" w:sz="0" w:space="0" w:color="auto"/>
        <w:bottom w:val="none" w:sz="0" w:space="0" w:color="auto"/>
        <w:right w:val="none" w:sz="0" w:space="0" w:color="auto"/>
      </w:divBdr>
    </w:div>
    <w:div w:id="1751079079">
      <w:bodyDiv w:val="1"/>
      <w:marLeft w:val="0"/>
      <w:marRight w:val="0"/>
      <w:marTop w:val="0"/>
      <w:marBottom w:val="0"/>
      <w:divBdr>
        <w:top w:val="none" w:sz="0" w:space="0" w:color="auto"/>
        <w:left w:val="none" w:sz="0" w:space="0" w:color="auto"/>
        <w:bottom w:val="none" w:sz="0" w:space="0" w:color="auto"/>
        <w:right w:val="none" w:sz="0" w:space="0" w:color="auto"/>
      </w:divBdr>
    </w:div>
    <w:div w:id="1756125835">
      <w:bodyDiv w:val="1"/>
      <w:marLeft w:val="0"/>
      <w:marRight w:val="0"/>
      <w:marTop w:val="0"/>
      <w:marBottom w:val="0"/>
      <w:divBdr>
        <w:top w:val="none" w:sz="0" w:space="0" w:color="auto"/>
        <w:left w:val="none" w:sz="0" w:space="0" w:color="auto"/>
        <w:bottom w:val="none" w:sz="0" w:space="0" w:color="auto"/>
        <w:right w:val="none" w:sz="0" w:space="0" w:color="auto"/>
      </w:divBdr>
    </w:div>
    <w:div w:id="1756587656">
      <w:bodyDiv w:val="1"/>
      <w:marLeft w:val="0"/>
      <w:marRight w:val="0"/>
      <w:marTop w:val="0"/>
      <w:marBottom w:val="0"/>
      <w:divBdr>
        <w:top w:val="none" w:sz="0" w:space="0" w:color="auto"/>
        <w:left w:val="none" w:sz="0" w:space="0" w:color="auto"/>
        <w:bottom w:val="none" w:sz="0" w:space="0" w:color="auto"/>
        <w:right w:val="none" w:sz="0" w:space="0" w:color="auto"/>
      </w:divBdr>
    </w:div>
    <w:div w:id="1757895869">
      <w:bodyDiv w:val="1"/>
      <w:marLeft w:val="0"/>
      <w:marRight w:val="0"/>
      <w:marTop w:val="0"/>
      <w:marBottom w:val="0"/>
      <w:divBdr>
        <w:top w:val="none" w:sz="0" w:space="0" w:color="auto"/>
        <w:left w:val="none" w:sz="0" w:space="0" w:color="auto"/>
        <w:bottom w:val="none" w:sz="0" w:space="0" w:color="auto"/>
        <w:right w:val="none" w:sz="0" w:space="0" w:color="auto"/>
      </w:divBdr>
    </w:div>
    <w:div w:id="1763837250">
      <w:bodyDiv w:val="1"/>
      <w:marLeft w:val="0"/>
      <w:marRight w:val="0"/>
      <w:marTop w:val="0"/>
      <w:marBottom w:val="0"/>
      <w:divBdr>
        <w:top w:val="none" w:sz="0" w:space="0" w:color="auto"/>
        <w:left w:val="none" w:sz="0" w:space="0" w:color="auto"/>
        <w:bottom w:val="none" w:sz="0" w:space="0" w:color="auto"/>
        <w:right w:val="none" w:sz="0" w:space="0" w:color="auto"/>
      </w:divBdr>
    </w:div>
    <w:div w:id="1770664028">
      <w:bodyDiv w:val="1"/>
      <w:marLeft w:val="0"/>
      <w:marRight w:val="0"/>
      <w:marTop w:val="0"/>
      <w:marBottom w:val="0"/>
      <w:divBdr>
        <w:top w:val="none" w:sz="0" w:space="0" w:color="auto"/>
        <w:left w:val="none" w:sz="0" w:space="0" w:color="auto"/>
        <w:bottom w:val="none" w:sz="0" w:space="0" w:color="auto"/>
        <w:right w:val="none" w:sz="0" w:space="0" w:color="auto"/>
      </w:divBdr>
    </w:div>
    <w:div w:id="1770731984">
      <w:bodyDiv w:val="1"/>
      <w:marLeft w:val="0"/>
      <w:marRight w:val="0"/>
      <w:marTop w:val="0"/>
      <w:marBottom w:val="0"/>
      <w:divBdr>
        <w:top w:val="none" w:sz="0" w:space="0" w:color="auto"/>
        <w:left w:val="none" w:sz="0" w:space="0" w:color="auto"/>
        <w:bottom w:val="none" w:sz="0" w:space="0" w:color="auto"/>
        <w:right w:val="none" w:sz="0" w:space="0" w:color="auto"/>
      </w:divBdr>
    </w:div>
    <w:div w:id="1773164194">
      <w:bodyDiv w:val="1"/>
      <w:marLeft w:val="0"/>
      <w:marRight w:val="0"/>
      <w:marTop w:val="0"/>
      <w:marBottom w:val="0"/>
      <w:divBdr>
        <w:top w:val="none" w:sz="0" w:space="0" w:color="auto"/>
        <w:left w:val="none" w:sz="0" w:space="0" w:color="auto"/>
        <w:bottom w:val="none" w:sz="0" w:space="0" w:color="auto"/>
        <w:right w:val="none" w:sz="0" w:space="0" w:color="auto"/>
      </w:divBdr>
    </w:div>
    <w:div w:id="1779566669">
      <w:bodyDiv w:val="1"/>
      <w:marLeft w:val="0"/>
      <w:marRight w:val="0"/>
      <w:marTop w:val="0"/>
      <w:marBottom w:val="0"/>
      <w:divBdr>
        <w:top w:val="none" w:sz="0" w:space="0" w:color="auto"/>
        <w:left w:val="none" w:sz="0" w:space="0" w:color="auto"/>
        <w:bottom w:val="none" w:sz="0" w:space="0" w:color="auto"/>
        <w:right w:val="none" w:sz="0" w:space="0" w:color="auto"/>
      </w:divBdr>
    </w:div>
    <w:div w:id="1792237814">
      <w:bodyDiv w:val="1"/>
      <w:marLeft w:val="0"/>
      <w:marRight w:val="0"/>
      <w:marTop w:val="0"/>
      <w:marBottom w:val="0"/>
      <w:divBdr>
        <w:top w:val="none" w:sz="0" w:space="0" w:color="auto"/>
        <w:left w:val="none" w:sz="0" w:space="0" w:color="auto"/>
        <w:bottom w:val="none" w:sz="0" w:space="0" w:color="auto"/>
        <w:right w:val="none" w:sz="0" w:space="0" w:color="auto"/>
      </w:divBdr>
    </w:div>
    <w:div w:id="1797335177">
      <w:bodyDiv w:val="1"/>
      <w:marLeft w:val="0"/>
      <w:marRight w:val="0"/>
      <w:marTop w:val="0"/>
      <w:marBottom w:val="0"/>
      <w:divBdr>
        <w:top w:val="none" w:sz="0" w:space="0" w:color="auto"/>
        <w:left w:val="none" w:sz="0" w:space="0" w:color="auto"/>
        <w:bottom w:val="none" w:sz="0" w:space="0" w:color="auto"/>
        <w:right w:val="none" w:sz="0" w:space="0" w:color="auto"/>
      </w:divBdr>
    </w:div>
    <w:div w:id="1799714629">
      <w:bodyDiv w:val="1"/>
      <w:marLeft w:val="0"/>
      <w:marRight w:val="0"/>
      <w:marTop w:val="0"/>
      <w:marBottom w:val="0"/>
      <w:divBdr>
        <w:top w:val="none" w:sz="0" w:space="0" w:color="auto"/>
        <w:left w:val="none" w:sz="0" w:space="0" w:color="auto"/>
        <w:bottom w:val="none" w:sz="0" w:space="0" w:color="auto"/>
        <w:right w:val="none" w:sz="0" w:space="0" w:color="auto"/>
      </w:divBdr>
    </w:div>
    <w:div w:id="1800611397">
      <w:bodyDiv w:val="1"/>
      <w:marLeft w:val="0"/>
      <w:marRight w:val="0"/>
      <w:marTop w:val="0"/>
      <w:marBottom w:val="0"/>
      <w:divBdr>
        <w:top w:val="none" w:sz="0" w:space="0" w:color="auto"/>
        <w:left w:val="none" w:sz="0" w:space="0" w:color="auto"/>
        <w:bottom w:val="none" w:sz="0" w:space="0" w:color="auto"/>
        <w:right w:val="none" w:sz="0" w:space="0" w:color="auto"/>
      </w:divBdr>
      <w:divsChild>
        <w:div w:id="566455155">
          <w:marLeft w:val="1166"/>
          <w:marRight w:val="0"/>
          <w:marTop w:val="115"/>
          <w:marBottom w:val="0"/>
          <w:divBdr>
            <w:top w:val="none" w:sz="0" w:space="0" w:color="auto"/>
            <w:left w:val="none" w:sz="0" w:space="0" w:color="auto"/>
            <w:bottom w:val="none" w:sz="0" w:space="0" w:color="auto"/>
            <w:right w:val="none" w:sz="0" w:space="0" w:color="auto"/>
          </w:divBdr>
        </w:div>
        <w:div w:id="969483390">
          <w:marLeft w:val="1166"/>
          <w:marRight w:val="0"/>
          <w:marTop w:val="115"/>
          <w:marBottom w:val="0"/>
          <w:divBdr>
            <w:top w:val="none" w:sz="0" w:space="0" w:color="auto"/>
            <w:left w:val="none" w:sz="0" w:space="0" w:color="auto"/>
            <w:bottom w:val="none" w:sz="0" w:space="0" w:color="auto"/>
            <w:right w:val="none" w:sz="0" w:space="0" w:color="auto"/>
          </w:divBdr>
        </w:div>
        <w:div w:id="1039084069">
          <w:marLeft w:val="1800"/>
          <w:marRight w:val="0"/>
          <w:marTop w:val="115"/>
          <w:marBottom w:val="0"/>
          <w:divBdr>
            <w:top w:val="none" w:sz="0" w:space="0" w:color="auto"/>
            <w:left w:val="none" w:sz="0" w:space="0" w:color="auto"/>
            <w:bottom w:val="none" w:sz="0" w:space="0" w:color="auto"/>
            <w:right w:val="none" w:sz="0" w:space="0" w:color="auto"/>
          </w:divBdr>
        </w:div>
        <w:div w:id="1072385731">
          <w:marLeft w:val="1800"/>
          <w:marRight w:val="0"/>
          <w:marTop w:val="115"/>
          <w:marBottom w:val="0"/>
          <w:divBdr>
            <w:top w:val="none" w:sz="0" w:space="0" w:color="auto"/>
            <w:left w:val="none" w:sz="0" w:space="0" w:color="auto"/>
            <w:bottom w:val="none" w:sz="0" w:space="0" w:color="auto"/>
            <w:right w:val="none" w:sz="0" w:space="0" w:color="auto"/>
          </w:divBdr>
        </w:div>
        <w:div w:id="2044670477">
          <w:marLeft w:val="1166"/>
          <w:marRight w:val="0"/>
          <w:marTop w:val="115"/>
          <w:marBottom w:val="0"/>
          <w:divBdr>
            <w:top w:val="none" w:sz="0" w:space="0" w:color="auto"/>
            <w:left w:val="none" w:sz="0" w:space="0" w:color="auto"/>
            <w:bottom w:val="none" w:sz="0" w:space="0" w:color="auto"/>
            <w:right w:val="none" w:sz="0" w:space="0" w:color="auto"/>
          </w:divBdr>
        </w:div>
      </w:divsChild>
    </w:div>
    <w:div w:id="1804083452">
      <w:bodyDiv w:val="1"/>
      <w:marLeft w:val="0"/>
      <w:marRight w:val="0"/>
      <w:marTop w:val="0"/>
      <w:marBottom w:val="0"/>
      <w:divBdr>
        <w:top w:val="none" w:sz="0" w:space="0" w:color="auto"/>
        <w:left w:val="none" w:sz="0" w:space="0" w:color="auto"/>
        <w:bottom w:val="none" w:sz="0" w:space="0" w:color="auto"/>
        <w:right w:val="none" w:sz="0" w:space="0" w:color="auto"/>
      </w:divBdr>
    </w:div>
    <w:div w:id="1812747039">
      <w:bodyDiv w:val="1"/>
      <w:marLeft w:val="0"/>
      <w:marRight w:val="0"/>
      <w:marTop w:val="0"/>
      <w:marBottom w:val="0"/>
      <w:divBdr>
        <w:top w:val="none" w:sz="0" w:space="0" w:color="auto"/>
        <w:left w:val="none" w:sz="0" w:space="0" w:color="auto"/>
        <w:bottom w:val="none" w:sz="0" w:space="0" w:color="auto"/>
        <w:right w:val="none" w:sz="0" w:space="0" w:color="auto"/>
      </w:divBdr>
    </w:div>
    <w:div w:id="1812863022">
      <w:bodyDiv w:val="1"/>
      <w:marLeft w:val="0"/>
      <w:marRight w:val="0"/>
      <w:marTop w:val="0"/>
      <w:marBottom w:val="0"/>
      <w:divBdr>
        <w:top w:val="none" w:sz="0" w:space="0" w:color="auto"/>
        <w:left w:val="none" w:sz="0" w:space="0" w:color="auto"/>
        <w:bottom w:val="none" w:sz="0" w:space="0" w:color="auto"/>
        <w:right w:val="none" w:sz="0" w:space="0" w:color="auto"/>
      </w:divBdr>
    </w:div>
    <w:div w:id="1818109268">
      <w:bodyDiv w:val="1"/>
      <w:marLeft w:val="0"/>
      <w:marRight w:val="0"/>
      <w:marTop w:val="0"/>
      <w:marBottom w:val="0"/>
      <w:divBdr>
        <w:top w:val="none" w:sz="0" w:space="0" w:color="auto"/>
        <w:left w:val="none" w:sz="0" w:space="0" w:color="auto"/>
        <w:bottom w:val="none" w:sz="0" w:space="0" w:color="auto"/>
        <w:right w:val="none" w:sz="0" w:space="0" w:color="auto"/>
      </w:divBdr>
    </w:div>
    <w:div w:id="1823933050">
      <w:bodyDiv w:val="1"/>
      <w:marLeft w:val="0"/>
      <w:marRight w:val="0"/>
      <w:marTop w:val="0"/>
      <w:marBottom w:val="0"/>
      <w:divBdr>
        <w:top w:val="none" w:sz="0" w:space="0" w:color="auto"/>
        <w:left w:val="none" w:sz="0" w:space="0" w:color="auto"/>
        <w:bottom w:val="none" w:sz="0" w:space="0" w:color="auto"/>
        <w:right w:val="none" w:sz="0" w:space="0" w:color="auto"/>
      </w:divBdr>
    </w:div>
    <w:div w:id="1825582864">
      <w:bodyDiv w:val="1"/>
      <w:marLeft w:val="0"/>
      <w:marRight w:val="0"/>
      <w:marTop w:val="0"/>
      <w:marBottom w:val="0"/>
      <w:divBdr>
        <w:top w:val="none" w:sz="0" w:space="0" w:color="auto"/>
        <w:left w:val="none" w:sz="0" w:space="0" w:color="auto"/>
        <w:bottom w:val="none" w:sz="0" w:space="0" w:color="auto"/>
        <w:right w:val="none" w:sz="0" w:space="0" w:color="auto"/>
      </w:divBdr>
    </w:div>
    <w:div w:id="1829831582">
      <w:bodyDiv w:val="1"/>
      <w:marLeft w:val="0"/>
      <w:marRight w:val="0"/>
      <w:marTop w:val="0"/>
      <w:marBottom w:val="0"/>
      <w:divBdr>
        <w:top w:val="none" w:sz="0" w:space="0" w:color="auto"/>
        <w:left w:val="none" w:sz="0" w:space="0" w:color="auto"/>
        <w:bottom w:val="none" w:sz="0" w:space="0" w:color="auto"/>
        <w:right w:val="none" w:sz="0" w:space="0" w:color="auto"/>
      </w:divBdr>
    </w:div>
    <w:div w:id="1830175644">
      <w:bodyDiv w:val="1"/>
      <w:marLeft w:val="0"/>
      <w:marRight w:val="0"/>
      <w:marTop w:val="0"/>
      <w:marBottom w:val="0"/>
      <w:divBdr>
        <w:top w:val="none" w:sz="0" w:space="0" w:color="auto"/>
        <w:left w:val="none" w:sz="0" w:space="0" w:color="auto"/>
        <w:bottom w:val="none" w:sz="0" w:space="0" w:color="auto"/>
        <w:right w:val="none" w:sz="0" w:space="0" w:color="auto"/>
      </w:divBdr>
      <w:divsChild>
        <w:div w:id="798383116">
          <w:marLeft w:val="547"/>
          <w:marRight w:val="0"/>
          <w:marTop w:val="154"/>
          <w:marBottom w:val="0"/>
          <w:divBdr>
            <w:top w:val="none" w:sz="0" w:space="0" w:color="auto"/>
            <w:left w:val="none" w:sz="0" w:space="0" w:color="auto"/>
            <w:bottom w:val="none" w:sz="0" w:space="0" w:color="auto"/>
            <w:right w:val="none" w:sz="0" w:space="0" w:color="auto"/>
          </w:divBdr>
        </w:div>
        <w:div w:id="1697852802">
          <w:marLeft w:val="547"/>
          <w:marRight w:val="0"/>
          <w:marTop w:val="154"/>
          <w:marBottom w:val="0"/>
          <w:divBdr>
            <w:top w:val="none" w:sz="0" w:space="0" w:color="auto"/>
            <w:left w:val="none" w:sz="0" w:space="0" w:color="auto"/>
            <w:bottom w:val="none" w:sz="0" w:space="0" w:color="auto"/>
            <w:right w:val="none" w:sz="0" w:space="0" w:color="auto"/>
          </w:divBdr>
        </w:div>
        <w:div w:id="1850871985">
          <w:marLeft w:val="547"/>
          <w:marRight w:val="0"/>
          <w:marTop w:val="154"/>
          <w:marBottom w:val="0"/>
          <w:divBdr>
            <w:top w:val="none" w:sz="0" w:space="0" w:color="auto"/>
            <w:left w:val="none" w:sz="0" w:space="0" w:color="auto"/>
            <w:bottom w:val="none" w:sz="0" w:space="0" w:color="auto"/>
            <w:right w:val="none" w:sz="0" w:space="0" w:color="auto"/>
          </w:divBdr>
        </w:div>
      </w:divsChild>
    </w:div>
    <w:div w:id="1834057593">
      <w:bodyDiv w:val="1"/>
      <w:marLeft w:val="0"/>
      <w:marRight w:val="0"/>
      <w:marTop w:val="0"/>
      <w:marBottom w:val="0"/>
      <w:divBdr>
        <w:top w:val="none" w:sz="0" w:space="0" w:color="auto"/>
        <w:left w:val="none" w:sz="0" w:space="0" w:color="auto"/>
        <w:bottom w:val="none" w:sz="0" w:space="0" w:color="auto"/>
        <w:right w:val="none" w:sz="0" w:space="0" w:color="auto"/>
      </w:divBdr>
    </w:div>
    <w:div w:id="1837265989">
      <w:bodyDiv w:val="1"/>
      <w:marLeft w:val="0"/>
      <w:marRight w:val="0"/>
      <w:marTop w:val="0"/>
      <w:marBottom w:val="0"/>
      <w:divBdr>
        <w:top w:val="none" w:sz="0" w:space="0" w:color="auto"/>
        <w:left w:val="none" w:sz="0" w:space="0" w:color="auto"/>
        <w:bottom w:val="none" w:sz="0" w:space="0" w:color="auto"/>
        <w:right w:val="none" w:sz="0" w:space="0" w:color="auto"/>
      </w:divBdr>
    </w:div>
    <w:div w:id="1840540154">
      <w:bodyDiv w:val="1"/>
      <w:marLeft w:val="0"/>
      <w:marRight w:val="0"/>
      <w:marTop w:val="0"/>
      <w:marBottom w:val="0"/>
      <w:divBdr>
        <w:top w:val="none" w:sz="0" w:space="0" w:color="auto"/>
        <w:left w:val="none" w:sz="0" w:space="0" w:color="auto"/>
        <w:bottom w:val="none" w:sz="0" w:space="0" w:color="auto"/>
        <w:right w:val="none" w:sz="0" w:space="0" w:color="auto"/>
      </w:divBdr>
    </w:div>
    <w:div w:id="1842312181">
      <w:bodyDiv w:val="1"/>
      <w:marLeft w:val="0"/>
      <w:marRight w:val="0"/>
      <w:marTop w:val="0"/>
      <w:marBottom w:val="0"/>
      <w:divBdr>
        <w:top w:val="none" w:sz="0" w:space="0" w:color="auto"/>
        <w:left w:val="none" w:sz="0" w:space="0" w:color="auto"/>
        <w:bottom w:val="none" w:sz="0" w:space="0" w:color="auto"/>
        <w:right w:val="none" w:sz="0" w:space="0" w:color="auto"/>
      </w:divBdr>
    </w:div>
    <w:div w:id="1848595155">
      <w:bodyDiv w:val="1"/>
      <w:marLeft w:val="0"/>
      <w:marRight w:val="0"/>
      <w:marTop w:val="0"/>
      <w:marBottom w:val="0"/>
      <w:divBdr>
        <w:top w:val="none" w:sz="0" w:space="0" w:color="auto"/>
        <w:left w:val="none" w:sz="0" w:space="0" w:color="auto"/>
        <w:bottom w:val="none" w:sz="0" w:space="0" w:color="auto"/>
        <w:right w:val="none" w:sz="0" w:space="0" w:color="auto"/>
      </w:divBdr>
    </w:div>
    <w:div w:id="1849826472">
      <w:bodyDiv w:val="1"/>
      <w:marLeft w:val="0"/>
      <w:marRight w:val="0"/>
      <w:marTop w:val="0"/>
      <w:marBottom w:val="0"/>
      <w:divBdr>
        <w:top w:val="none" w:sz="0" w:space="0" w:color="auto"/>
        <w:left w:val="none" w:sz="0" w:space="0" w:color="auto"/>
        <w:bottom w:val="none" w:sz="0" w:space="0" w:color="auto"/>
        <w:right w:val="none" w:sz="0" w:space="0" w:color="auto"/>
      </w:divBdr>
    </w:div>
    <w:div w:id="1850557130">
      <w:bodyDiv w:val="1"/>
      <w:marLeft w:val="0"/>
      <w:marRight w:val="0"/>
      <w:marTop w:val="0"/>
      <w:marBottom w:val="0"/>
      <w:divBdr>
        <w:top w:val="none" w:sz="0" w:space="0" w:color="auto"/>
        <w:left w:val="none" w:sz="0" w:space="0" w:color="auto"/>
        <w:bottom w:val="none" w:sz="0" w:space="0" w:color="auto"/>
        <w:right w:val="none" w:sz="0" w:space="0" w:color="auto"/>
      </w:divBdr>
    </w:div>
    <w:div w:id="1854998674">
      <w:bodyDiv w:val="1"/>
      <w:marLeft w:val="0"/>
      <w:marRight w:val="0"/>
      <w:marTop w:val="0"/>
      <w:marBottom w:val="0"/>
      <w:divBdr>
        <w:top w:val="none" w:sz="0" w:space="0" w:color="auto"/>
        <w:left w:val="none" w:sz="0" w:space="0" w:color="auto"/>
        <w:bottom w:val="none" w:sz="0" w:space="0" w:color="auto"/>
        <w:right w:val="none" w:sz="0" w:space="0" w:color="auto"/>
      </w:divBdr>
    </w:div>
    <w:div w:id="1859542273">
      <w:bodyDiv w:val="1"/>
      <w:marLeft w:val="0"/>
      <w:marRight w:val="0"/>
      <w:marTop w:val="0"/>
      <w:marBottom w:val="0"/>
      <w:divBdr>
        <w:top w:val="none" w:sz="0" w:space="0" w:color="auto"/>
        <w:left w:val="none" w:sz="0" w:space="0" w:color="auto"/>
        <w:bottom w:val="none" w:sz="0" w:space="0" w:color="auto"/>
        <w:right w:val="none" w:sz="0" w:space="0" w:color="auto"/>
      </w:divBdr>
    </w:div>
    <w:div w:id="1871455146">
      <w:bodyDiv w:val="1"/>
      <w:marLeft w:val="0"/>
      <w:marRight w:val="0"/>
      <w:marTop w:val="0"/>
      <w:marBottom w:val="0"/>
      <w:divBdr>
        <w:top w:val="none" w:sz="0" w:space="0" w:color="auto"/>
        <w:left w:val="none" w:sz="0" w:space="0" w:color="auto"/>
        <w:bottom w:val="none" w:sz="0" w:space="0" w:color="auto"/>
        <w:right w:val="none" w:sz="0" w:space="0" w:color="auto"/>
      </w:divBdr>
    </w:div>
    <w:div w:id="1872919126">
      <w:bodyDiv w:val="1"/>
      <w:marLeft w:val="0"/>
      <w:marRight w:val="0"/>
      <w:marTop w:val="0"/>
      <w:marBottom w:val="0"/>
      <w:divBdr>
        <w:top w:val="none" w:sz="0" w:space="0" w:color="auto"/>
        <w:left w:val="none" w:sz="0" w:space="0" w:color="auto"/>
        <w:bottom w:val="none" w:sz="0" w:space="0" w:color="auto"/>
        <w:right w:val="none" w:sz="0" w:space="0" w:color="auto"/>
      </w:divBdr>
    </w:div>
    <w:div w:id="1876381967">
      <w:bodyDiv w:val="1"/>
      <w:marLeft w:val="0"/>
      <w:marRight w:val="0"/>
      <w:marTop w:val="0"/>
      <w:marBottom w:val="0"/>
      <w:divBdr>
        <w:top w:val="none" w:sz="0" w:space="0" w:color="auto"/>
        <w:left w:val="none" w:sz="0" w:space="0" w:color="auto"/>
        <w:bottom w:val="none" w:sz="0" w:space="0" w:color="auto"/>
        <w:right w:val="none" w:sz="0" w:space="0" w:color="auto"/>
      </w:divBdr>
      <w:divsChild>
        <w:div w:id="299042861">
          <w:marLeft w:val="547"/>
          <w:marRight w:val="0"/>
          <w:marTop w:val="134"/>
          <w:marBottom w:val="0"/>
          <w:divBdr>
            <w:top w:val="none" w:sz="0" w:space="0" w:color="auto"/>
            <w:left w:val="none" w:sz="0" w:space="0" w:color="auto"/>
            <w:bottom w:val="none" w:sz="0" w:space="0" w:color="auto"/>
            <w:right w:val="none" w:sz="0" w:space="0" w:color="auto"/>
          </w:divBdr>
        </w:div>
        <w:div w:id="699891220">
          <w:marLeft w:val="1166"/>
          <w:marRight w:val="0"/>
          <w:marTop w:val="115"/>
          <w:marBottom w:val="0"/>
          <w:divBdr>
            <w:top w:val="none" w:sz="0" w:space="0" w:color="auto"/>
            <w:left w:val="none" w:sz="0" w:space="0" w:color="auto"/>
            <w:bottom w:val="none" w:sz="0" w:space="0" w:color="auto"/>
            <w:right w:val="none" w:sz="0" w:space="0" w:color="auto"/>
          </w:divBdr>
        </w:div>
        <w:div w:id="1007907267">
          <w:marLeft w:val="547"/>
          <w:marRight w:val="0"/>
          <w:marTop w:val="134"/>
          <w:marBottom w:val="0"/>
          <w:divBdr>
            <w:top w:val="none" w:sz="0" w:space="0" w:color="auto"/>
            <w:left w:val="none" w:sz="0" w:space="0" w:color="auto"/>
            <w:bottom w:val="none" w:sz="0" w:space="0" w:color="auto"/>
            <w:right w:val="none" w:sz="0" w:space="0" w:color="auto"/>
          </w:divBdr>
        </w:div>
        <w:div w:id="1218975249">
          <w:marLeft w:val="1166"/>
          <w:marRight w:val="0"/>
          <w:marTop w:val="115"/>
          <w:marBottom w:val="0"/>
          <w:divBdr>
            <w:top w:val="none" w:sz="0" w:space="0" w:color="auto"/>
            <w:left w:val="none" w:sz="0" w:space="0" w:color="auto"/>
            <w:bottom w:val="none" w:sz="0" w:space="0" w:color="auto"/>
            <w:right w:val="none" w:sz="0" w:space="0" w:color="auto"/>
          </w:divBdr>
        </w:div>
        <w:div w:id="1643852910">
          <w:marLeft w:val="1166"/>
          <w:marRight w:val="0"/>
          <w:marTop w:val="115"/>
          <w:marBottom w:val="0"/>
          <w:divBdr>
            <w:top w:val="none" w:sz="0" w:space="0" w:color="auto"/>
            <w:left w:val="none" w:sz="0" w:space="0" w:color="auto"/>
            <w:bottom w:val="none" w:sz="0" w:space="0" w:color="auto"/>
            <w:right w:val="none" w:sz="0" w:space="0" w:color="auto"/>
          </w:divBdr>
        </w:div>
        <w:div w:id="1908150128">
          <w:marLeft w:val="547"/>
          <w:marRight w:val="0"/>
          <w:marTop w:val="134"/>
          <w:marBottom w:val="0"/>
          <w:divBdr>
            <w:top w:val="none" w:sz="0" w:space="0" w:color="auto"/>
            <w:left w:val="none" w:sz="0" w:space="0" w:color="auto"/>
            <w:bottom w:val="none" w:sz="0" w:space="0" w:color="auto"/>
            <w:right w:val="none" w:sz="0" w:space="0" w:color="auto"/>
          </w:divBdr>
        </w:div>
        <w:div w:id="2122914500">
          <w:marLeft w:val="1166"/>
          <w:marRight w:val="0"/>
          <w:marTop w:val="115"/>
          <w:marBottom w:val="0"/>
          <w:divBdr>
            <w:top w:val="none" w:sz="0" w:space="0" w:color="auto"/>
            <w:left w:val="none" w:sz="0" w:space="0" w:color="auto"/>
            <w:bottom w:val="none" w:sz="0" w:space="0" w:color="auto"/>
            <w:right w:val="none" w:sz="0" w:space="0" w:color="auto"/>
          </w:divBdr>
        </w:div>
      </w:divsChild>
    </w:div>
    <w:div w:id="1883595651">
      <w:bodyDiv w:val="1"/>
      <w:marLeft w:val="0"/>
      <w:marRight w:val="0"/>
      <w:marTop w:val="0"/>
      <w:marBottom w:val="0"/>
      <w:divBdr>
        <w:top w:val="none" w:sz="0" w:space="0" w:color="auto"/>
        <w:left w:val="none" w:sz="0" w:space="0" w:color="auto"/>
        <w:bottom w:val="none" w:sz="0" w:space="0" w:color="auto"/>
        <w:right w:val="none" w:sz="0" w:space="0" w:color="auto"/>
      </w:divBdr>
      <w:divsChild>
        <w:div w:id="126752072">
          <w:marLeft w:val="547"/>
          <w:marRight w:val="0"/>
          <w:marTop w:val="134"/>
          <w:marBottom w:val="0"/>
          <w:divBdr>
            <w:top w:val="none" w:sz="0" w:space="0" w:color="auto"/>
            <w:left w:val="none" w:sz="0" w:space="0" w:color="auto"/>
            <w:bottom w:val="none" w:sz="0" w:space="0" w:color="auto"/>
            <w:right w:val="none" w:sz="0" w:space="0" w:color="auto"/>
          </w:divBdr>
        </w:div>
        <w:div w:id="1935283301">
          <w:marLeft w:val="547"/>
          <w:marRight w:val="0"/>
          <w:marTop w:val="134"/>
          <w:marBottom w:val="0"/>
          <w:divBdr>
            <w:top w:val="none" w:sz="0" w:space="0" w:color="auto"/>
            <w:left w:val="none" w:sz="0" w:space="0" w:color="auto"/>
            <w:bottom w:val="none" w:sz="0" w:space="0" w:color="auto"/>
            <w:right w:val="none" w:sz="0" w:space="0" w:color="auto"/>
          </w:divBdr>
        </w:div>
        <w:div w:id="2129619214">
          <w:marLeft w:val="547"/>
          <w:marRight w:val="0"/>
          <w:marTop w:val="134"/>
          <w:marBottom w:val="0"/>
          <w:divBdr>
            <w:top w:val="none" w:sz="0" w:space="0" w:color="auto"/>
            <w:left w:val="none" w:sz="0" w:space="0" w:color="auto"/>
            <w:bottom w:val="none" w:sz="0" w:space="0" w:color="auto"/>
            <w:right w:val="none" w:sz="0" w:space="0" w:color="auto"/>
          </w:divBdr>
        </w:div>
      </w:divsChild>
    </w:div>
    <w:div w:id="1884511951">
      <w:bodyDiv w:val="1"/>
      <w:marLeft w:val="0"/>
      <w:marRight w:val="0"/>
      <w:marTop w:val="0"/>
      <w:marBottom w:val="0"/>
      <w:divBdr>
        <w:top w:val="none" w:sz="0" w:space="0" w:color="auto"/>
        <w:left w:val="none" w:sz="0" w:space="0" w:color="auto"/>
        <w:bottom w:val="none" w:sz="0" w:space="0" w:color="auto"/>
        <w:right w:val="none" w:sz="0" w:space="0" w:color="auto"/>
      </w:divBdr>
      <w:divsChild>
        <w:div w:id="1103768982">
          <w:marLeft w:val="1426"/>
          <w:marRight w:val="0"/>
          <w:marTop w:val="134"/>
          <w:marBottom w:val="0"/>
          <w:divBdr>
            <w:top w:val="none" w:sz="0" w:space="0" w:color="auto"/>
            <w:left w:val="none" w:sz="0" w:space="0" w:color="auto"/>
            <w:bottom w:val="none" w:sz="0" w:space="0" w:color="auto"/>
            <w:right w:val="none" w:sz="0" w:space="0" w:color="auto"/>
          </w:divBdr>
        </w:div>
        <w:div w:id="1536505908">
          <w:marLeft w:val="1008"/>
          <w:marRight w:val="0"/>
          <w:marTop w:val="154"/>
          <w:marBottom w:val="0"/>
          <w:divBdr>
            <w:top w:val="none" w:sz="0" w:space="0" w:color="auto"/>
            <w:left w:val="none" w:sz="0" w:space="0" w:color="auto"/>
            <w:bottom w:val="none" w:sz="0" w:space="0" w:color="auto"/>
            <w:right w:val="none" w:sz="0" w:space="0" w:color="auto"/>
          </w:divBdr>
        </w:div>
        <w:div w:id="1671832228">
          <w:marLeft w:val="1426"/>
          <w:marRight w:val="0"/>
          <w:marTop w:val="134"/>
          <w:marBottom w:val="0"/>
          <w:divBdr>
            <w:top w:val="none" w:sz="0" w:space="0" w:color="auto"/>
            <w:left w:val="none" w:sz="0" w:space="0" w:color="auto"/>
            <w:bottom w:val="none" w:sz="0" w:space="0" w:color="auto"/>
            <w:right w:val="none" w:sz="0" w:space="0" w:color="auto"/>
          </w:divBdr>
        </w:div>
      </w:divsChild>
    </w:div>
    <w:div w:id="1889800917">
      <w:bodyDiv w:val="1"/>
      <w:marLeft w:val="0"/>
      <w:marRight w:val="0"/>
      <w:marTop w:val="0"/>
      <w:marBottom w:val="0"/>
      <w:divBdr>
        <w:top w:val="none" w:sz="0" w:space="0" w:color="auto"/>
        <w:left w:val="none" w:sz="0" w:space="0" w:color="auto"/>
        <w:bottom w:val="none" w:sz="0" w:space="0" w:color="auto"/>
        <w:right w:val="none" w:sz="0" w:space="0" w:color="auto"/>
      </w:divBdr>
    </w:div>
    <w:div w:id="1894386043">
      <w:bodyDiv w:val="1"/>
      <w:marLeft w:val="0"/>
      <w:marRight w:val="0"/>
      <w:marTop w:val="0"/>
      <w:marBottom w:val="0"/>
      <w:divBdr>
        <w:top w:val="none" w:sz="0" w:space="0" w:color="auto"/>
        <w:left w:val="none" w:sz="0" w:space="0" w:color="auto"/>
        <w:bottom w:val="none" w:sz="0" w:space="0" w:color="auto"/>
        <w:right w:val="none" w:sz="0" w:space="0" w:color="auto"/>
      </w:divBdr>
    </w:div>
    <w:div w:id="1896238078">
      <w:bodyDiv w:val="1"/>
      <w:marLeft w:val="0"/>
      <w:marRight w:val="0"/>
      <w:marTop w:val="0"/>
      <w:marBottom w:val="0"/>
      <w:divBdr>
        <w:top w:val="none" w:sz="0" w:space="0" w:color="auto"/>
        <w:left w:val="none" w:sz="0" w:space="0" w:color="auto"/>
        <w:bottom w:val="none" w:sz="0" w:space="0" w:color="auto"/>
        <w:right w:val="none" w:sz="0" w:space="0" w:color="auto"/>
      </w:divBdr>
    </w:div>
    <w:div w:id="1897472481">
      <w:bodyDiv w:val="1"/>
      <w:marLeft w:val="0"/>
      <w:marRight w:val="0"/>
      <w:marTop w:val="0"/>
      <w:marBottom w:val="0"/>
      <w:divBdr>
        <w:top w:val="none" w:sz="0" w:space="0" w:color="auto"/>
        <w:left w:val="none" w:sz="0" w:space="0" w:color="auto"/>
        <w:bottom w:val="none" w:sz="0" w:space="0" w:color="auto"/>
        <w:right w:val="none" w:sz="0" w:space="0" w:color="auto"/>
      </w:divBdr>
    </w:div>
    <w:div w:id="1907763699">
      <w:bodyDiv w:val="1"/>
      <w:marLeft w:val="0"/>
      <w:marRight w:val="0"/>
      <w:marTop w:val="0"/>
      <w:marBottom w:val="0"/>
      <w:divBdr>
        <w:top w:val="none" w:sz="0" w:space="0" w:color="auto"/>
        <w:left w:val="none" w:sz="0" w:space="0" w:color="auto"/>
        <w:bottom w:val="none" w:sz="0" w:space="0" w:color="auto"/>
        <w:right w:val="none" w:sz="0" w:space="0" w:color="auto"/>
      </w:divBdr>
    </w:div>
    <w:div w:id="1908372783">
      <w:bodyDiv w:val="1"/>
      <w:marLeft w:val="0"/>
      <w:marRight w:val="0"/>
      <w:marTop w:val="0"/>
      <w:marBottom w:val="0"/>
      <w:divBdr>
        <w:top w:val="none" w:sz="0" w:space="0" w:color="auto"/>
        <w:left w:val="none" w:sz="0" w:space="0" w:color="auto"/>
        <w:bottom w:val="none" w:sz="0" w:space="0" w:color="auto"/>
        <w:right w:val="none" w:sz="0" w:space="0" w:color="auto"/>
      </w:divBdr>
    </w:div>
    <w:div w:id="1912428199">
      <w:bodyDiv w:val="1"/>
      <w:marLeft w:val="0"/>
      <w:marRight w:val="0"/>
      <w:marTop w:val="0"/>
      <w:marBottom w:val="0"/>
      <w:divBdr>
        <w:top w:val="none" w:sz="0" w:space="0" w:color="auto"/>
        <w:left w:val="none" w:sz="0" w:space="0" w:color="auto"/>
        <w:bottom w:val="none" w:sz="0" w:space="0" w:color="auto"/>
        <w:right w:val="none" w:sz="0" w:space="0" w:color="auto"/>
      </w:divBdr>
    </w:div>
    <w:div w:id="1919778490">
      <w:bodyDiv w:val="1"/>
      <w:marLeft w:val="0"/>
      <w:marRight w:val="0"/>
      <w:marTop w:val="0"/>
      <w:marBottom w:val="0"/>
      <w:divBdr>
        <w:top w:val="none" w:sz="0" w:space="0" w:color="auto"/>
        <w:left w:val="none" w:sz="0" w:space="0" w:color="auto"/>
        <w:bottom w:val="none" w:sz="0" w:space="0" w:color="auto"/>
        <w:right w:val="none" w:sz="0" w:space="0" w:color="auto"/>
      </w:divBdr>
    </w:div>
    <w:div w:id="1920795481">
      <w:bodyDiv w:val="1"/>
      <w:marLeft w:val="0"/>
      <w:marRight w:val="0"/>
      <w:marTop w:val="0"/>
      <w:marBottom w:val="0"/>
      <w:divBdr>
        <w:top w:val="none" w:sz="0" w:space="0" w:color="auto"/>
        <w:left w:val="none" w:sz="0" w:space="0" w:color="auto"/>
        <w:bottom w:val="none" w:sz="0" w:space="0" w:color="auto"/>
        <w:right w:val="none" w:sz="0" w:space="0" w:color="auto"/>
      </w:divBdr>
    </w:div>
    <w:div w:id="1921139610">
      <w:bodyDiv w:val="1"/>
      <w:marLeft w:val="0"/>
      <w:marRight w:val="0"/>
      <w:marTop w:val="0"/>
      <w:marBottom w:val="0"/>
      <w:divBdr>
        <w:top w:val="none" w:sz="0" w:space="0" w:color="auto"/>
        <w:left w:val="none" w:sz="0" w:space="0" w:color="auto"/>
        <w:bottom w:val="none" w:sz="0" w:space="0" w:color="auto"/>
        <w:right w:val="none" w:sz="0" w:space="0" w:color="auto"/>
      </w:divBdr>
    </w:div>
    <w:div w:id="1922175853">
      <w:bodyDiv w:val="1"/>
      <w:marLeft w:val="0"/>
      <w:marRight w:val="0"/>
      <w:marTop w:val="0"/>
      <w:marBottom w:val="0"/>
      <w:divBdr>
        <w:top w:val="none" w:sz="0" w:space="0" w:color="auto"/>
        <w:left w:val="none" w:sz="0" w:space="0" w:color="auto"/>
        <w:bottom w:val="none" w:sz="0" w:space="0" w:color="auto"/>
        <w:right w:val="none" w:sz="0" w:space="0" w:color="auto"/>
      </w:divBdr>
    </w:div>
    <w:div w:id="1922568821">
      <w:bodyDiv w:val="1"/>
      <w:marLeft w:val="0"/>
      <w:marRight w:val="0"/>
      <w:marTop w:val="0"/>
      <w:marBottom w:val="0"/>
      <w:divBdr>
        <w:top w:val="none" w:sz="0" w:space="0" w:color="auto"/>
        <w:left w:val="none" w:sz="0" w:space="0" w:color="auto"/>
        <w:bottom w:val="none" w:sz="0" w:space="0" w:color="auto"/>
        <w:right w:val="none" w:sz="0" w:space="0" w:color="auto"/>
      </w:divBdr>
    </w:div>
    <w:div w:id="1925334862">
      <w:bodyDiv w:val="1"/>
      <w:marLeft w:val="0"/>
      <w:marRight w:val="0"/>
      <w:marTop w:val="0"/>
      <w:marBottom w:val="0"/>
      <w:divBdr>
        <w:top w:val="none" w:sz="0" w:space="0" w:color="auto"/>
        <w:left w:val="none" w:sz="0" w:space="0" w:color="auto"/>
        <w:bottom w:val="none" w:sz="0" w:space="0" w:color="auto"/>
        <w:right w:val="none" w:sz="0" w:space="0" w:color="auto"/>
      </w:divBdr>
    </w:div>
    <w:div w:id="1928928826">
      <w:bodyDiv w:val="1"/>
      <w:marLeft w:val="0"/>
      <w:marRight w:val="0"/>
      <w:marTop w:val="0"/>
      <w:marBottom w:val="0"/>
      <w:divBdr>
        <w:top w:val="none" w:sz="0" w:space="0" w:color="auto"/>
        <w:left w:val="none" w:sz="0" w:space="0" w:color="auto"/>
        <w:bottom w:val="none" w:sz="0" w:space="0" w:color="auto"/>
        <w:right w:val="none" w:sz="0" w:space="0" w:color="auto"/>
      </w:divBdr>
    </w:div>
    <w:div w:id="1929583730">
      <w:bodyDiv w:val="1"/>
      <w:marLeft w:val="0"/>
      <w:marRight w:val="0"/>
      <w:marTop w:val="0"/>
      <w:marBottom w:val="0"/>
      <w:divBdr>
        <w:top w:val="none" w:sz="0" w:space="0" w:color="auto"/>
        <w:left w:val="none" w:sz="0" w:space="0" w:color="auto"/>
        <w:bottom w:val="none" w:sz="0" w:space="0" w:color="auto"/>
        <w:right w:val="none" w:sz="0" w:space="0" w:color="auto"/>
      </w:divBdr>
    </w:div>
    <w:div w:id="1933472837">
      <w:bodyDiv w:val="1"/>
      <w:marLeft w:val="0"/>
      <w:marRight w:val="0"/>
      <w:marTop w:val="0"/>
      <w:marBottom w:val="0"/>
      <w:divBdr>
        <w:top w:val="none" w:sz="0" w:space="0" w:color="auto"/>
        <w:left w:val="none" w:sz="0" w:space="0" w:color="auto"/>
        <w:bottom w:val="none" w:sz="0" w:space="0" w:color="auto"/>
        <w:right w:val="none" w:sz="0" w:space="0" w:color="auto"/>
      </w:divBdr>
    </w:div>
    <w:div w:id="1937782123">
      <w:bodyDiv w:val="1"/>
      <w:marLeft w:val="0"/>
      <w:marRight w:val="0"/>
      <w:marTop w:val="0"/>
      <w:marBottom w:val="0"/>
      <w:divBdr>
        <w:top w:val="none" w:sz="0" w:space="0" w:color="auto"/>
        <w:left w:val="none" w:sz="0" w:space="0" w:color="auto"/>
        <w:bottom w:val="none" w:sz="0" w:space="0" w:color="auto"/>
        <w:right w:val="none" w:sz="0" w:space="0" w:color="auto"/>
      </w:divBdr>
    </w:div>
    <w:div w:id="1946762622">
      <w:bodyDiv w:val="1"/>
      <w:marLeft w:val="0"/>
      <w:marRight w:val="0"/>
      <w:marTop w:val="0"/>
      <w:marBottom w:val="0"/>
      <w:divBdr>
        <w:top w:val="none" w:sz="0" w:space="0" w:color="auto"/>
        <w:left w:val="none" w:sz="0" w:space="0" w:color="auto"/>
        <w:bottom w:val="none" w:sz="0" w:space="0" w:color="auto"/>
        <w:right w:val="none" w:sz="0" w:space="0" w:color="auto"/>
      </w:divBdr>
    </w:div>
    <w:div w:id="1946884405">
      <w:bodyDiv w:val="1"/>
      <w:marLeft w:val="0"/>
      <w:marRight w:val="0"/>
      <w:marTop w:val="0"/>
      <w:marBottom w:val="0"/>
      <w:divBdr>
        <w:top w:val="none" w:sz="0" w:space="0" w:color="auto"/>
        <w:left w:val="none" w:sz="0" w:space="0" w:color="auto"/>
        <w:bottom w:val="none" w:sz="0" w:space="0" w:color="auto"/>
        <w:right w:val="none" w:sz="0" w:space="0" w:color="auto"/>
      </w:divBdr>
    </w:div>
    <w:div w:id="1958951033">
      <w:bodyDiv w:val="1"/>
      <w:marLeft w:val="0"/>
      <w:marRight w:val="0"/>
      <w:marTop w:val="0"/>
      <w:marBottom w:val="0"/>
      <w:divBdr>
        <w:top w:val="none" w:sz="0" w:space="0" w:color="auto"/>
        <w:left w:val="none" w:sz="0" w:space="0" w:color="auto"/>
        <w:bottom w:val="none" w:sz="0" w:space="0" w:color="auto"/>
        <w:right w:val="none" w:sz="0" w:space="0" w:color="auto"/>
      </w:divBdr>
    </w:div>
    <w:div w:id="1960332764">
      <w:bodyDiv w:val="1"/>
      <w:marLeft w:val="0"/>
      <w:marRight w:val="0"/>
      <w:marTop w:val="0"/>
      <w:marBottom w:val="0"/>
      <w:divBdr>
        <w:top w:val="none" w:sz="0" w:space="0" w:color="auto"/>
        <w:left w:val="none" w:sz="0" w:space="0" w:color="auto"/>
        <w:bottom w:val="none" w:sz="0" w:space="0" w:color="auto"/>
        <w:right w:val="none" w:sz="0" w:space="0" w:color="auto"/>
      </w:divBdr>
    </w:div>
    <w:div w:id="1962110954">
      <w:bodyDiv w:val="1"/>
      <w:marLeft w:val="0"/>
      <w:marRight w:val="0"/>
      <w:marTop w:val="0"/>
      <w:marBottom w:val="0"/>
      <w:divBdr>
        <w:top w:val="none" w:sz="0" w:space="0" w:color="auto"/>
        <w:left w:val="none" w:sz="0" w:space="0" w:color="auto"/>
        <w:bottom w:val="none" w:sz="0" w:space="0" w:color="auto"/>
        <w:right w:val="none" w:sz="0" w:space="0" w:color="auto"/>
      </w:divBdr>
    </w:div>
    <w:div w:id="1963147560">
      <w:bodyDiv w:val="1"/>
      <w:marLeft w:val="0"/>
      <w:marRight w:val="0"/>
      <w:marTop w:val="0"/>
      <w:marBottom w:val="0"/>
      <w:divBdr>
        <w:top w:val="none" w:sz="0" w:space="0" w:color="auto"/>
        <w:left w:val="none" w:sz="0" w:space="0" w:color="auto"/>
        <w:bottom w:val="none" w:sz="0" w:space="0" w:color="auto"/>
        <w:right w:val="none" w:sz="0" w:space="0" w:color="auto"/>
      </w:divBdr>
    </w:div>
    <w:div w:id="1964073611">
      <w:bodyDiv w:val="1"/>
      <w:marLeft w:val="0"/>
      <w:marRight w:val="0"/>
      <w:marTop w:val="0"/>
      <w:marBottom w:val="0"/>
      <w:divBdr>
        <w:top w:val="none" w:sz="0" w:space="0" w:color="auto"/>
        <w:left w:val="none" w:sz="0" w:space="0" w:color="auto"/>
        <w:bottom w:val="none" w:sz="0" w:space="0" w:color="auto"/>
        <w:right w:val="none" w:sz="0" w:space="0" w:color="auto"/>
      </w:divBdr>
    </w:div>
    <w:div w:id="1967731172">
      <w:bodyDiv w:val="1"/>
      <w:marLeft w:val="0"/>
      <w:marRight w:val="0"/>
      <w:marTop w:val="0"/>
      <w:marBottom w:val="0"/>
      <w:divBdr>
        <w:top w:val="none" w:sz="0" w:space="0" w:color="auto"/>
        <w:left w:val="none" w:sz="0" w:space="0" w:color="auto"/>
        <w:bottom w:val="none" w:sz="0" w:space="0" w:color="auto"/>
        <w:right w:val="none" w:sz="0" w:space="0" w:color="auto"/>
      </w:divBdr>
    </w:div>
    <w:div w:id="1970815130">
      <w:bodyDiv w:val="1"/>
      <w:marLeft w:val="0"/>
      <w:marRight w:val="0"/>
      <w:marTop w:val="0"/>
      <w:marBottom w:val="0"/>
      <w:divBdr>
        <w:top w:val="none" w:sz="0" w:space="0" w:color="auto"/>
        <w:left w:val="none" w:sz="0" w:space="0" w:color="auto"/>
        <w:bottom w:val="none" w:sz="0" w:space="0" w:color="auto"/>
        <w:right w:val="none" w:sz="0" w:space="0" w:color="auto"/>
      </w:divBdr>
    </w:div>
    <w:div w:id="1971477666">
      <w:bodyDiv w:val="1"/>
      <w:marLeft w:val="0"/>
      <w:marRight w:val="0"/>
      <w:marTop w:val="0"/>
      <w:marBottom w:val="0"/>
      <w:divBdr>
        <w:top w:val="none" w:sz="0" w:space="0" w:color="auto"/>
        <w:left w:val="none" w:sz="0" w:space="0" w:color="auto"/>
        <w:bottom w:val="none" w:sz="0" w:space="0" w:color="auto"/>
        <w:right w:val="none" w:sz="0" w:space="0" w:color="auto"/>
      </w:divBdr>
    </w:div>
    <w:div w:id="1971932775">
      <w:bodyDiv w:val="1"/>
      <w:marLeft w:val="0"/>
      <w:marRight w:val="0"/>
      <w:marTop w:val="0"/>
      <w:marBottom w:val="0"/>
      <w:divBdr>
        <w:top w:val="none" w:sz="0" w:space="0" w:color="auto"/>
        <w:left w:val="none" w:sz="0" w:space="0" w:color="auto"/>
        <w:bottom w:val="none" w:sz="0" w:space="0" w:color="auto"/>
        <w:right w:val="none" w:sz="0" w:space="0" w:color="auto"/>
      </w:divBdr>
    </w:div>
    <w:div w:id="1976597760">
      <w:bodyDiv w:val="1"/>
      <w:marLeft w:val="0"/>
      <w:marRight w:val="0"/>
      <w:marTop w:val="0"/>
      <w:marBottom w:val="0"/>
      <w:divBdr>
        <w:top w:val="none" w:sz="0" w:space="0" w:color="auto"/>
        <w:left w:val="none" w:sz="0" w:space="0" w:color="auto"/>
        <w:bottom w:val="none" w:sz="0" w:space="0" w:color="auto"/>
        <w:right w:val="none" w:sz="0" w:space="0" w:color="auto"/>
      </w:divBdr>
    </w:div>
    <w:div w:id="1979529138">
      <w:bodyDiv w:val="1"/>
      <w:marLeft w:val="0"/>
      <w:marRight w:val="0"/>
      <w:marTop w:val="0"/>
      <w:marBottom w:val="0"/>
      <w:divBdr>
        <w:top w:val="none" w:sz="0" w:space="0" w:color="auto"/>
        <w:left w:val="none" w:sz="0" w:space="0" w:color="auto"/>
        <w:bottom w:val="none" w:sz="0" w:space="0" w:color="auto"/>
        <w:right w:val="none" w:sz="0" w:space="0" w:color="auto"/>
      </w:divBdr>
    </w:div>
    <w:div w:id="1998873969">
      <w:bodyDiv w:val="1"/>
      <w:marLeft w:val="0"/>
      <w:marRight w:val="0"/>
      <w:marTop w:val="0"/>
      <w:marBottom w:val="0"/>
      <w:divBdr>
        <w:top w:val="none" w:sz="0" w:space="0" w:color="auto"/>
        <w:left w:val="none" w:sz="0" w:space="0" w:color="auto"/>
        <w:bottom w:val="none" w:sz="0" w:space="0" w:color="auto"/>
        <w:right w:val="none" w:sz="0" w:space="0" w:color="auto"/>
      </w:divBdr>
    </w:div>
    <w:div w:id="1999183583">
      <w:bodyDiv w:val="1"/>
      <w:marLeft w:val="0"/>
      <w:marRight w:val="0"/>
      <w:marTop w:val="0"/>
      <w:marBottom w:val="0"/>
      <w:divBdr>
        <w:top w:val="none" w:sz="0" w:space="0" w:color="auto"/>
        <w:left w:val="none" w:sz="0" w:space="0" w:color="auto"/>
        <w:bottom w:val="none" w:sz="0" w:space="0" w:color="auto"/>
        <w:right w:val="none" w:sz="0" w:space="0" w:color="auto"/>
      </w:divBdr>
    </w:div>
    <w:div w:id="2007053688">
      <w:bodyDiv w:val="1"/>
      <w:marLeft w:val="0"/>
      <w:marRight w:val="0"/>
      <w:marTop w:val="0"/>
      <w:marBottom w:val="0"/>
      <w:divBdr>
        <w:top w:val="none" w:sz="0" w:space="0" w:color="auto"/>
        <w:left w:val="none" w:sz="0" w:space="0" w:color="auto"/>
        <w:bottom w:val="none" w:sz="0" w:space="0" w:color="auto"/>
        <w:right w:val="none" w:sz="0" w:space="0" w:color="auto"/>
      </w:divBdr>
    </w:div>
    <w:div w:id="2021154368">
      <w:bodyDiv w:val="1"/>
      <w:marLeft w:val="0"/>
      <w:marRight w:val="0"/>
      <w:marTop w:val="0"/>
      <w:marBottom w:val="0"/>
      <w:divBdr>
        <w:top w:val="none" w:sz="0" w:space="0" w:color="auto"/>
        <w:left w:val="none" w:sz="0" w:space="0" w:color="auto"/>
        <w:bottom w:val="none" w:sz="0" w:space="0" w:color="auto"/>
        <w:right w:val="none" w:sz="0" w:space="0" w:color="auto"/>
      </w:divBdr>
      <w:divsChild>
        <w:div w:id="1147554234">
          <w:marLeft w:val="547"/>
          <w:marRight w:val="0"/>
          <w:marTop w:val="154"/>
          <w:marBottom w:val="0"/>
          <w:divBdr>
            <w:top w:val="none" w:sz="0" w:space="0" w:color="auto"/>
            <w:left w:val="none" w:sz="0" w:space="0" w:color="auto"/>
            <w:bottom w:val="none" w:sz="0" w:space="0" w:color="auto"/>
            <w:right w:val="none" w:sz="0" w:space="0" w:color="auto"/>
          </w:divBdr>
        </w:div>
        <w:div w:id="2056612173">
          <w:marLeft w:val="547"/>
          <w:marRight w:val="0"/>
          <w:marTop w:val="154"/>
          <w:marBottom w:val="0"/>
          <w:divBdr>
            <w:top w:val="none" w:sz="0" w:space="0" w:color="auto"/>
            <w:left w:val="none" w:sz="0" w:space="0" w:color="auto"/>
            <w:bottom w:val="none" w:sz="0" w:space="0" w:color="auto"/>
            <w:right w:val="none" w:sz="0" w:space="0" w:color="auto"/>
          </w:divBdr>
        </w:div>
      </w:divsChild>
    </w:div>
    <w:div w:id="2021539416">
      <w:bodyDiv w:val="1"/>
      <w:marLeft w:val="0"/>
      <w:marRight w:val="0"/>
      <w:marTop w:val="0"/>
      <w:marBottom w:val="0"/>
      <w:divBdr>
        <w:top w:val="none" w:sz="0" w:space="0" w:color="auto"/>
        <w:left w:val="none" w:sz="0" w:space="0" w:color="auto"/>
        <w:bottom w:val="none" w:sz="0" w:space="0" w:color="auto"/>
        <w:right w:val="none" w:sz="0" w:space="0" w:color="auto"/>
      </w:divBdr>
    </w:div>
    <w:div w:id="2021813872">
      <w:bodyDiv w:val="1"/>
      <w:marLeft w:val="0"/>
      <w:marRight w:val="0"/>
      <w:marTop w:val="0"/>
      <w:marBottom w:val="0"/>
      <w:divBdr>
        <w:top w:val="none" w:sz="0" w:space="0" w:color="auto"/>
        <w:left w:val="none" w:sz="0" w:space="0" w:color="auto"/>
        <w:bottom w:val="none" w:sz="0" w:space="0" w:color="auto"/>
        <w:right w:val="none" w:sz="0" w:space="0" w:color="auto"/>
      </w:divBdr>
    </w:div>
    <w:div w:id="2022202824">
      <w:bodyDiv w:val="1"/>
      <w:marLeft w:val="0"/>
      <w:marRight w:val="0"/>
      <w:marTop w:val="0"/>
      <w:marBottom w:val="0"/>
      <w:divBdr>
        <w:top w:val="none" w:sz="0" w:space="0" w:color="auto"/>
        <w:left w:val="none" w:sz="0" w:space="0" w:color="auto"/>
        <w:bottom w:val="none" w:sz="0" w:space="0" w:color="auto"/>
        <w:right w:val="none" w:sz="0" w:space="0" w:color="auto"/>
      </w:divBdr>
    </w:div>
    <w:div w:id="2025935291">
      <w:bodyDiv w:val="1"/>
      <w:marLeft w:val="0"/>
      <w:marRight w:val="0"/>
      <w:marTop w:val="0"/>
      <w:marBottom w:val="0"/>
      <w:divBdr>
        <w:top w:val="none" w:sz="0" w:space="0" w:color="auto"/>
        <w:left w:val="none" w:sz="0" w:space="0" w:color="auto"/>
        <w:bottom w:val="none" w:sz="0" w:space="0" w:color="auto"/>
        <w:right w:val="none" w:sz="0" w:space="0" w:color="auto"/>
      </w:divBdr>
    </w:div>
    <w:div w:id="2027367455">
      <w:bodyDiv w:val="1"/>
      <w:marLeft w:val="0"/>
      <w:marRight w:val="0"/>
      <w:marTop w:val="0"/>
      <w:marBottom w:val="0"/>
      <w:divBdr>
        <w:top w:val="none" w:sz="0" w:space="0" w:color="auto"/>
        <w:left w:val="none" w:sz="0" w:space="0" w:color="auto"/>
        <w:bottom w:val="none" w:sz="0" w:space="0" w:color="auto"/>
        <w:right w:val="none" w:sz="0" w:space="0" w:color="auto"/>
      </w:divBdr>
    </w:div>
    <w:div w:id="2028410550">
      <w:bodyDiv w:val="1"/>
      <w:marLeft w:val="0"/>
      <w:marRight w:val="0"/>
      <w:marTop w:val="0"/>
      <w:marBottom w:val="0"/>
      <w:divBdr>
        <w:top w:val="none" w:sz="0" w:space="0" w:color="auto"/>
        <w:left w:val="none" w:sz="0" w:space="0" w:color="auto"/>
        <w:bottom w:val="none" w:sz="0" w:space="0" w:color="auto"/>
        <w:right w:val="none" w:sz="0" w:space="0" w:color="auto"/>
      </w:divBdr>
    </w:div>
    <w:div w:id="2029092523">
      <w:bodyDiv w:val="1"/>
      <w:marLeft w:val="0"/>
      <w:marRight w:val="0"/>
      <w:marTop w:val="0"/>
      <w:marBottom w:val="0"/>
      <w:divBdr>
        <w:top w:val="none" w:sz="0" w:space="0" w:color="auto"/>
        <w:left w:val="none" w:sz="0" w:space="0" w:color="auto"/>
        <w:bottom w:val="none" w:sz="0" w:space="0" w:color="auto"/>
        <w:right w:val="none" w:sz="0" w:space="0" w:color="auto"/>
      </w:divBdr>
    </w:div>
    <w:div w:id="2036690519">
      <w:bodyDiv w:val="1"/>
      <w:marLeft w:val="0"/>
      <w:marRight w:val="0"/>
      <w:marTop w:val="0"/>
      <w:marBottom w:val="0"/>
      <w:divBdr>
        <w:top w:val="none" w:sz="0" w:space="0" w:color="auto"/>
        <w:left w:val="none" w:sz="0" w:space="0" w:color="auto"/>
        <w:bottom w:val="none" w:sz="0" w:space="0" w:color="auto"/>
        <w:right w:val="none" w:sz="0" w:space="0" w:color="auto"/>
      </w:divBdr>
    </w:div>
    <w:div w:id="2039113594">
      <w:bodyDiv w:val="1"/>
      <w:marLeft w:val="0"/>
      <w:marRight w:val="0"/>
      <w:marTop w:val="0"/>
      <w:marBottom w:val="0"/>
      <w:divBdr>
        <w:top w:val="none" w:sz="0" w:space="0" w:color="auto"/>
        <w:left w:val="none" w:sz="0" w:space="0" w:color="auto"/>
        <w:bottom w:val="none" w:sz="0" w:space="0" w:color="auto"/>
        <w:right w:val="none" w:sz="0" w:space="0" w:color="auto"/>
      </w:divBdr>
    </w:div>
    <w:div w:id="2045017018">
      <w:bodyDiv w:val="1"/>
      <w:marLeft w:val="0"/>
      <w:marRight w:val="0"/>
      <w:marTop w:val="0"/>
      <w:marBottom w:val="0"/>
      <w:divBdr>
        <w:top w:val="none" w:sz="0" w:space="0" w:color="auto"/>
        <w:left w:val="none" w:sz="0" w:space="0" w:color="auto"/>
        <w:bottom w:val="none" w:sz="0" w:space="0" w:color="auto"/>
        <w:right w:val="none" w:sz="0" w:space="0" w:color="auto"/>
      </w:divBdr>
    </w:div>
    <w:div w:id="2047874636">
      <w:bodyDiv w:val="1"/>
      <w:marLeft w:val="0"/>
      <w:marRight w:val="0"/>
      <w:marTop w:val="0"/>
      <w:marBottom w:val="0"/>
      <w:divBdr>
        <w:top w:val="none" w:sz="0" w:space="0" w:color="auto"/>
        <w:left w:val="none" w:sz="0" w:space="0" w:color="auto"/>
        <w:bottom w:val="none" w:sz="0" w:space="0" w:color="auto"/>
        <w:right w:val="none" w:sz="0" w:space="0" w:color="auto"/>
      </w:divBdr>
    </w:div>
    <w:div w:id="2049600572">
      <w:bodyDiv w:val="1"/>
      <w:marLeft w:val="0"/>
      <w:marRight w:val="0"/>
      <w:marTop w:val="0"/>
      <w:marBottom w:val="0"/>
      <w:divBdr>
        <w:top w:val="none" w:sz="0" w:space="0" w:color="auto"/>
        <w:left w:val="none" w:sz="0" w:space="0" w:color="auto"/>
        <w:bottom w:val="none" w:sz="0" w:space="0" w:color="auto"/>
        <w:right w:val="none" w:sz="0" w:space="0" w:color="auto"/>
      </w:divBdr>
    </w:div>
    <w:div w:id="2049601640">
      <w:bodyDiv w:val="1"/>
      <w:marLeft w:val="0"/>
      <w:marRight w:val="0"/>
      <w:marTop w:val="0"/>
      <w:marBottom w:val="0"/>
      <w:divBdr>
        <w:top w:val="none" w:sz="0" w:space="0" w:color="auto"/>
        <w:left w:val="none" w:sz="0" w:space="0" w:color="auto"/>
        <w:bottom w:val="none" w:sz="0" w:space="0" w:color="auto"/>
        <w:right w:val="none" w:sz="0" w:space="0" w:color="auto"/>
      </w:divBdr>
    </w:div>
    <w:div w:id="2050302175">
      <w:bodyDiv w:val="1"/>
      <w:marLeft w:val="0"/>
      <w:marRight w:val="0"/>
      <w:marTop w:val="0"/>
      <w:marBottom w:val="0"/>
      <w:divBdr>
        <w:top w:val="none" w:sz="0" w:space="0" w:color="auto"/>
        <w:left w:val="none" w:sz="0" w:space="0" w:color="auto"/>
        <w:bottom w:val="none" w:sz="0" w:space="0" w:color="auto"/>
        <w:right w:val="none" w:sz="0" w:space="0" w:color="auto"/>
      </w:divBdr>
    </w:div>
    <w:div w:id="2052798510">
      <w:bodyDiv w:val="1"/>
      <w:marLeft w:val="0"/>
      <w:marRight w:val="0"/>
      <w:marTop w:val="0"/>
      <w:marBottom w:val="0"/>
      <w:divBdr>
        <w:top w:val="none" w:sz="0" w:space="0" w:color="auto"/>
        <w:left w:val="none" w:sz="0" w:space="0" w:color="auto"/>
        <w:bottom w:val="none" w:sz="0" w:space="0" w:color="auto"/>
        <w:right w:val="none" w:sz="0" w:space="0" w:color="auto"/>
      </w:divBdr>
    </w:div>
    <w:div w:id="2057585210">
      <w:bodyDiv w:val="1"/>
      <w:marLeft w:val="0"/>
      <w:marRight w:val="0"/>
      <w:marTop w:val="0"/>
      <w:marBottom w:val="0"/>
      <w:divBdr>
        <w:top w:val="none" w:sz="0" w:space="0" w:color="auto"/>
        <w:left w:val="none" w:sz="0" w:space="0" w:color="auto"/>
        <w:bottom w:val="none" w:sz="0" w:space="0" w:color="auto"/>
        <w:right w:val="none" w:sz="0" w:space="0" w:color="auto"/>
      </w:divBdr>
    </w:div>
    <w:div w:id="2074348261">
      <w:bodyDiv w:val="1"/>
      <w:marLeft w:val="0"/>
      <w:marRight w:val="0"/>
      <w:marTop w:val="0"/>
      <w:marBottom w:val="0"/>
      <w:divBdr>
        <w:top w:val="none" w:sz="0" w:space="0" w:color="auto"/>
        <w:left w:val="none" w:sz="0" w:space="0" w:color="auto"/>
        <w:bottom w:val="none" w:sz="0" w:space="0" w:color="auto"/>
        <w:right w:val="none" w:sz="0" w:space="0" w:color="auto"/>
      </w:divBdr>
    </w:div>
    <w:div w:id="2076051765">
      <w:bodyDiv w:val="1"/>
      <w:marLeft w:val="0"/>
      <w:marRight w:val="0"/>
      <w:marTop w:val="0"/>
      <w:marBottom w:val="0"/>
      <w:divBdr>
        <w:top w:val="none" w:sz="0" w:space="0" w:color="auto"/>
        <w:left w:val="none" w:sz="0" w:space="0" w:color="auto"/>
        <w:bottom w:val="none" w:sz="0" w:space="0" w:color="auto"/>
        <w:right w:val="none" w:sz="0" w:space="0" w:color="auto"/>
      </w:divBdr>
    </w:div>
    <w:div w:id="2076275085">
      <w:bodyDiv w:val="1"/>
      <w:marLeft w:val="0"/>
      <w:marRight w:val="0"/>
      <w:marTop w:val="0"/>
      <w:marBottom w:val="0"/>
      <w:divBdr>
        <w:top w:val="none" w:sz="0" w:space="0" w:color="auto"/>
        <w:left w:val="none" w:sz="0" w:space="0" w:color="auto"/>
        <w:bottom w:val="none" w:sz="0" w:space="0" w:color="auto"/>
        <w:right w:val="none" w:sz="0" w:space="0" w:color="auto"/>
      </w:divBdr>
    </w:div>
    <w:div w:id="2076587989">
      <w:bodyDiv w:val="1"/>
      <w:marLeft w:val="0"/>
      <w:marRight w:val="0"/>
      <w:marTop w:val="0"/>
      <w:marBottom w:val="0"/>
      <w:divBdr>
        <w:top w:val="none" w:sz="0" w:space="0" w:color="auto"/>
        <w:left w:val="none" w:sz="0" w:space="0" w:color="auto"/>
        <w:bottom w:val="none" w:sz="0" w:space="0" w:color="auto"/>
        <w:right w:val="none" w:sz="0" w:space="0" w:color="auto"/>
      </w:divBdr>
      <w:divsChild>
        <w:div w:id="285936531">
          <w:marLeft w:val="547"/>
          <w:marRight w:val="0"/>
          <w:marTop w:val="134"/>
          <w:marBottom w:val="0"/>
          <w:divBdr>
            <w:top w:val="none" w:sz="0" w:space="0" w:color="auto"/>
            <w:left w:val="none" w:sz="0" w:space="0" w:color="auto"/>
            <w:bottom w:val="none" w:sz="0" w:space="0" w:color="auto"/>
            <w:right w:val="none" w:sz="0" w:space="0" w:color="auto"/>
          </w:divBdr>
        </w:div>
        <w:div w:id="378211438">
          <w:marLeft w:val="547"/>
          <w:marRight w:val="0"/>
          <w:marTop w:val="134"/>
          <w:marBottom w:val="0"/>
          <w:divBdr>
            <w:top w:val="none" w:sz="0" w:space="0" w:color="auto"/>
            <w:left w:val="none" w:sz="0" w:space="0" w:color="auto"/>
            <w:bottom w:val="none" w:sz="0" w:space="0" w:color="auto"/>
            <w:right w:val="none" w:sz="0" w:space="0" w:color="auto"/>
          </w:divBdr>
        </w:div>
        <w:div w:id="512888093">
          <w:marLeft w:val="1166"/>
          <w:marRight w:val="0"/>
          <w:marTop w:val="134"/>
          <w:marBottom w:val="0"/>
          <w:divBdr>
            <w:top w:val="none" w:sz="0" w:space="0" w:color="auto"/>
            <w:left w:val="none" w:sz="0" w:space="0" w:color="auto"/>
            <w:bottom w:val="none" w:sz="0" w:space="0" w:color="auto"/>
            <w:right w:val="none" w:sz="0" w:space="0" w:color="auto"/>
          </w:divBdr>
        </w:div>
        <w:div w:id="557597038">
          <w:marLeft w:val="1166"/>
          <w:marRight w:val="0"/>
          <w:marTop w:val="134"/>
          <w:marBottom w:val="0"/>
          <w:divBdr>
            <w:top w:val="none" w:sz="0" w:space="0" w:color="auto"/>
            <w:left w:val="none" w:sz="0" w:space="0" w:color="auto"/>
            <w:bottom w:val="none" w:sz="0" w:space="0" w:color="auto"/>
            <w:right w:val="none" w:sz="0" w:space="0" w:color="auto"/>
          </w:divBdr>
        </w:div>
        <w:div w:id="643781251">
          <w:marLeft w:val="1166"/>
          <w:marRight w:val="0"/>
          <w:marTop w:val="134"/>
          <w:marBottom w:val="0"/>
          <w:divBdr>
            <w:top w:val="none" w:sz="0" w:space="0" w:color="auto"/>
            <w:left w:val="none" w:sz="0" w:space="0" w:color="auto"/>
            <w:bottom w:val="none" w:sz="0" w:space="0" w:color="auto"/>
            <w:right w:val="none" w:sz="0" w:space="0" w:color="auto"/>
          </w:divBdr>
        </w:div>
        <w:div w:id="1963875709">
          <w:marLeft w:val="1166"/>
          <w:marRight w:val="0"/>
          <w:marTop w:val="134"/>
          <w:marBottom w:val="0"/>
          <w:divBdr>
            <w:top w:val="none" w:sz="0" w:space="0" w:color="auto"/>
            <w:left w:val="none" w:sz="0" w:space="0" w:color="auto"/>
            <w:bottom w:val="none" w:sz="0" w:space="0" w:color="auto"/>
            <w:right w:val="none" w:sz="0" w:space="0" w:color="auto"/>
          </w:divBdr>
        </w:div>
        <w:div w:id="2108383759">
          <w:marLeft w:val="1166"/>
          <w:marRight w:val="0"/>
          <w:marTop w:val="134"/>
          <w:marBottom w:val="0"/>
          <w:divBdr>
            <w:top w:val="none" w:sz="0" w:space="0" w:color="auto"/>
            <w:left w:val="none" w:sz="0" w:space="0" w:color="auto"/>
            <w:bottom w:val="none" w:sz="0" w:space="0" w:color="auto"/>
            <w:right w:val="none" w:sz="0" w:space="0" w:color="auto"/>
          </w:divBdr>
        </w:div>
      </w:divsChild>
    </w:div>
    <w:div w:id="2077824159">
      <w:bodyDiv w:val="1"/>
      <w:marLeft w:val="0"/>
      <w:marRight w:val="0"/>
      <w:marTop w:val="0"/>
      <w:marBottom w:val="0"/>
      <w:divBdr>
        <w:top w:val="none" w:sz="0" w:space="0" w:color="auto"/>
        <w:left w:val="none" w:sz="0" w:space="0" w:color="auto"/>
        <w:bottom w:val="none" w:sz="0" w:space="0" w:color="auto"/>
        <w:right w:val="none" w:sz="0" w:space="0" w:color="auto"/>
      </w:divBdr>
    </w:div>
    <w:div w:id="2095854910">
      <w:bodyDiv w:val="1"/>
      <w:marLeft w:val="0"/>
      <w:marRight w:val="0"/>
      <w:marTop w:val="0"/>
      <w:marBottom w:val="0"/>
      <w:divBdr>
        <w:top w:val="none" w:sz="0" w:space="0" w:color="auto"/>
        <w:left w:val="none" w:sz="0" w:space="0" w:color="auto"/>
        <w:bottom w:val="none" w:sz="0" w:space="0" w:color="auto"/>
        <w:right w:val="none" w:sz="0" w:space="0" w:color="auto"/>
      </w:divBdr>
    </w:div>
    <w:div w:id="2097241979">
      <w:bodyDiv w:val="1"/>
      <w:marLeft w:val="0"/>
      <w:marRight w:val="0"/>
      <w:marTop w:val="0"/>
      <w:marBottom w:val="0"/>
      <w:divBdr>
        <w:top w:val="none" w:sz="0" w:space="0" w:color="auto"/>
        <w:left w:val="none" w:sz="0" w:space="0" w:color="auto"/>
        <w:bottom w:val="none" w:sz="0" w:space="0" w:color="auto"/>
        <w:right w:val="none" w:sz="0" w:space="0" w:color="auto"/>
      </w:divBdr>
      <w:divsChild>
        <w:div w:id="116728924">
          <w:marLeft w:val="1008"/>
          <w:marRight w:val="0"/>
          <w:marTop w:val="154"/>
          <w:marBottom w:val="0"/>
          <w:divBdr>
            <w:top w:val="none" w:sz="0" w:space="0" w:color="auto"/>
            <w:left w:val="none" w:sz="0" w:space="0" w:color="auto"/>
            <w:bottom w:val="none" w:sz="0" w:space="0" w:color="auto"/>
            <w:right w:val="none" w:sz="0" w:space="0" w:color="auto"/>
          </w:divBdr>
        </w:div>
        <w:div w:id="1598638612">
          <w:marLeft w:val="1008"/>
          <w:marRight w:val="0"/>
          <w:marTop w:val="154"/>
          <w:marBottom w:val="0"/>
          <w:divBdr>
            <w:top w:val="none" w:sz="0" w:space="0" w:color="auto"/>
            <w:left w:val="none" w:sz="0" w:space="0" w:color="auto"/>
            <w:bottom w:val="none" w:sz="0" w:space="0" w:color="auto"/>
            <w:right w:val="none" w:sz="0" w:space="0" w:color="auto"/>
          </w:divBdr>
        </w:div>
        <w:div w:id="2072457148">
          <w:marLeft w:val="1008"/>
          <w:marRight w:val="0"/>
          <w:marTop w:val="154"/>
          <w:marBottom w:val="0"/>
          <w:divBdr>
            <w:top w:val="none" w:sz="0" w:space="0" w:color="auto"/>
            <w:left w:val="none" w:sz="0" w:space="0" w:color="auto"/>
            <w:bottom w:val="none" w:sz="0" w:space="0" w:color="auto"/>
            <w:right w:val="none" w:sz="0" w:space="0" w:color="auto"/>
          </w:divBdr>
        </w:div>
      </w:divsChild>
    </w:div>
    <w:div w:id="2099399128">
      <w:bodyDiv w:val="1"/>
      <w:marLeft w:val="0"/>
      <w:marRight w:val="0"/>
      <w:marTop w:val="0"/>
      <w:marBottom w:val="0"/>
      <w:divBdr>
        <w:top w:val="none" w:sz="0" w:space="0" w:color="auto"/>
        <w:left w:val="none" w:sz="0" w:space="0" w:color="auto"/>
        <w:bottom w:val="none" w:sz="0" w:space="0" w:color="auto"/>
        <w:right w:val="none" w:sz="0" w:space="0" w:color="auto"/>
      </w:divBdr>
    </w:div>
    <w:div w:id="2099786571">
      <w:bodyDiv w:val="1"/>
      <w:marLeft w:val="0"/>
      <w:marRight w:val="0"/>
      <w:marTop w:val="0"/>
      <w:marBottom w:val="0"/>
      <w:divBdr>
        <w:top w:val="none" w:sz="0" w:space="0" w:color="auto"/>
        <w:left w:val="none" w:sz="0" w:space="0" w:color="auto"/>
        <w:bottom w:val="none" w:sz="0" w:space="0" w:color="auto"/>
        <w:right w:val="none" w:sz="0" w:space="0" w:color="auto"/>
      </w:divBdr>
      <w:divsChild>
        <w:div w:id="434907123">
          <w:marLeft w:val="0"/>
          <w:marRight w:val="0"/>
          <w:marTop w:val="75"/>
          <w:marBottom w:val="0"/>
          <w:divBdr>
            <w:top w:val="none" w:sz="0" w:space="0" w:color="auto"/>
            <w:left w:val="none" w:sz="0" w:space="0" w:color="auto"/>
            <w:bottom w:val="none" w:sz="0" w:space="0" w:color="auto"/>
            <w:right w:val="none" w:sz="0" w:space="0" w:color="auto"/>
          </w:divBdr>
        </w:div>
        <w:div w:id="971717328">
          <w:marLeft w:val="0"/>
          <w:marRight w:val="0"/>
          <w:marTop w:val="75"/>
          <w:marBottom w:val="0"/>
          <w:divBdr>
            <w:top w:val="none" w:sz="0" w:space="0" w:color="auto"/>
            <w:left w:val="none" w:sz="0" w:space="0" w:color="auto"/>
            <w:bottom w:val="none" w:sz="0" w:space="0" w:color="auto"/>
            <w:right w:val="none" w:sz="0" w:space="0" w:color="auto"/>
          </w:divBdr>
        </w:div>
        <w:div w:id="1216502997">
          <w:marLeft w:val="0"/>
          <w:marRight w:val="0"/>
          <w:marTop w:val="75"/>
          <w:marBottom w:val="0"/>
          <w:divBdr>
            <w:top w:val="none" w:sz="0" w:space="0" w:color="auto"/>
            <w:left w:val="none" w:sz="0" w:space="0" w:color="auto"/>
            <w:bottom w:val="none" w:sz="0" w:space="0" w:color="auto"/>
            <w:right w:val="none" w:sz="0" w:space="0" w:color="auto"/>
          </w:divBdr>
        </w:div>
        <w:div w:id="1475217848">
          <w:marLeft w:val="0"/>
          <w:marRight w:val="0"/>
          <w:marTop w:val="75"/>
          <w:marBottom w:val="0"/>
          <w:divBdr>
            <w:top w:val="none" w:sz="0" w:space="0" w:color="auto"/>
            <w:left w:val="none" w:sz="0" w:space="0" w:color="auto"/>
            <w:bottom w:val="none" w:sz="0" w:space="0" w:color="auto"/>
            <w:right w:val="none" w:sz="0" w:space="0" w:color="auto"/>
          </w:divBdr>
        </w:div>
        <w:div w:id="1643193505">
          <w:marLeft w:val="0"/>
          <w:marRight w:val="0"/>
          <w:marTop w:val="75"/>
          <w:marBottom w:val="0"/>
          <w:divBdr>
            <w:top w:val="none" w:sz="0" w:space="0" w:color="auto"/>
            <w:left w:val="none" w:sz="0" w:space="0" w:color="auto"/>
            <w:bottom w:val="none" w:sz="0" w:space="0" w:color="auto"/>
            <w:right w:val="none" w:sz="0" w:space="0" w:color="auto"/>
          </w:divBdr>
        </w:div>
        <w:div w:id="2098864358">
          <w:marLeft w:val="0"/>
          <w:marRight w:val="0"/>
          <w:marTop w:val="75"/>
          <w:marBottom w:val="0"/>
          <w:divBdr>
            <w:top w:val="none" w:sz="0" w:space="0" w:color="auto"/>
            <w:left w:val="none" w:sz="0" w:space="0" w:color="auto"/>
            <w:bottom w:val="none" w:sz="0" w:space="0" w:color="auto"/>
            <w:right w:val="none" w:sz="0" w:space="0" w:color="auto"/>
          </w:divBdr>
        </w:div>
      </w:divsChild>
    </w:div>
    <w:div w:id="2102602192">
      <w:bodyDiv w:val="1"/>
      <w:marLeft w:val="0"/>
      <w:marRight w:val="0"/>
      <w:marTop w:val="0"/>
      <w:marBottom w:val="0"/>
      <w:divBdr>
        <w:top w:val="none" w:sz="0" w:space="0" w:color="auto"/>
        <w:left w:val="none" w:sz="0" w:space="0" w:color="auto"/>
        <w:bottom w:val="none" w:sz="0" w:space="0" w:color="auto"/>
        <w:right w:val="none" w:sz="0" w:space="0" w:color="auto"/>
      </w:divBdr>
    </w:div>
    <w:div w:id="2110656397">
      <w:bodyDiv w:val="1"/>
      <w:marLeft w:val="0"/>
      <w:marRight w:val="0"/>
      <w:marTop w:val="0"/>
      <w:marBottom w:val="0"/>
      <w:divBdr>
        <w:top w:val="none" w:sz="0" w:space="0" w:color="auto"/>
        <w:left w:val="none" w:sz="0" w:space="0" w:color="auto"/>
        <w:bottom w:val="none" w:sz="0" w:space="0" w:color="auto"/>
        <w:right w:val="none" w:sz="0" w:space="0" w:color="auto"/>
      </w:divBdr>
    </w:div>
    <w:div w:id="2111318911">
      <w:bodyDiv w:val="1"/>
      <w:marLeft w:val="0"/>
      <w:marRight w:val="0"/>
      <w:marTop w:val="0"/>
      <w:marBottom w:val="0"/>
      <w:divBdr>
        <w:top w:val="none" w:sz="0" w:space="0" w:color="auto"/>
        <w:left w:val="none" w:sz="0" w:space="0" w:color="auto"/>
        <w:bottom w:val="none" w:sz="0" w:space="0" w:color="auto"/>
        <w:right w:val="none" w:sz="0" w:space="0" w:color="auto"/>
      </w:divBdr>
    </w:div>
    <w:div w:id="2123767986">
      <w:bodyDiv w:val="1"/>
      <w:marLeft w:val="0"/>
      <w:marRight w:val="0"/>
      <w:marTop w:val="0"/>
      <w:marBottom w:val="0"/>
      <w:divBdr>
        <w:top w:val="none" w:sz="0" w:space="0" w:color="auto"/>
        <w:left w:val="none" w:sz="0" w:space="0" w:color="auto"/>
        <w:bottom w:val="none" w:sz="0" w:space="0" w:color="auto"/>
        <w:right w:val="none" w:sz="0" w:space="0" w:color="auto"/>
      </w:divBdr>
    </w:div>
    <w:div w:id="2127893422">
      <w:bodyDiv w:val="1"/>
      <w:marLeft w:val="0"/>
      <w:marRight w:val="0"/>
      <w:marTop w:val="0"/>
      <w:marBottom w:val="0"/>
      <w:divBdr>
        <w:top w:val="none" w:sz="0" w:space="0" w:color="auto"/>
        <w:left w:val="none" w:sz="0" w:space="0" w:color="auto"/>
        <w:bottom w:val="none" w:sz="0" w:space="0" w:color="auto"/>
        <w:right w:val="none" w:sz="0" w:space="0" w:color="auto"/>
      </w:divBdr>
    </w:div>
    <w:div w:id="2129397422">
      <w:bodyDiv w:val="1"/>
      <w:marLeft w:val="0"/>
      <w:marRight w:val="0"/>
      <w:marTop w:val="0"/>
      <w:marBottom w:val="0"/>
      <w:divBdr>
        <w:top w:val="none" w:sz="0" w:space="0" w:color="auto"/>
        <w:left w:val="none" w:sz="0" w:space="0" w:color="auto"/>
        <w:bottom w:val="none" w:sz="0" w:space="0" w:color="auto"/>
        <w:right w:val="none" w:sz="0" w:space="0" w:color="auto"/>
      </w:divBdr>
    </w:div>
    <w:div w:id="2134974940">
      <w:bodyDiv w:val="1"/>
      <w:marLeft w:val="0"/>
      <w:marRight w:val="0"/>
      <w:marTop w:val="0"/>
      <w:marBottom w:val="0"/>
      <w:divBdr>
        <w:top w:val="none" w:sz="0" w:space="0" w:color="auto"/>
        <w:left w:val="none" w:sz="0" w:space="0" w:color="auto"/>
        <w:bottom w:val="none" w:sz="0" w:space="0" w:color="auto"/>
        <w:right w:val="none" w:sz="0" w:space="0" w:color="auto"/>
      </w:divBdr>
    </w:div>
    <w:div w:id="2140150512">
      <w:bodyDiv w:val="1"/>
      <w:marLeft w:val="0"/>
      <w:marRight w:val="0"/>
      <w:marTop w:val="0"/>
      <w:marBottom w:val="0"/>
      <w:divBdr>
        <w:top w:val="none" w:sz="0" w:space="0" w:color="auto"/>
        <w:left w:val="none" w:sz="0" w:space="0" w:color="auto"/>
        <w:bottom w:val="none" w:sz="0" w:space="0" w:color="auto"/>
        <w:right w:val="none" w:sz="0" w:space="0" w:color="auto"/>
      </w:divBdr>
    </w:div>
    <w:div w:id="214206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hyperlink" Target="http://www.politika.rs/rubrike/Ekonomija/Fantomske-firme-za-velike-mucke.lt.html" TargetMode="External"/><Relationship Id="rId26" Type="http://schemas.openxmlformats.org/officeDocument/2006/relationships/hyperlink" Target="http://bs.wikipedia.org/wiki/%C4%8Ce%C5%A1ka" TargetMode="External"/><Relationship Id="rId39" Type="http://schemas.openxmlformats.org/officeDocument/2006/relationships/hyperlink" Target="http://bs.wikipedia.org/wiki/Luksemburg" TargetMode="External"/><Relationship Id="rId21" Type="http://schemas.openxmlformats.org/officeDocument/2006/relationships/image" Target="media/image9.emf"/><Relationship Id="rId34" Type="http://schemas.openxmlformats.org/officeDocument/2006/relationships/hyperlink" Target="http://bs.wikipedia.org/wiki/Republika_Irska" TargetMode="External"/><Relationship Id="rId42" Type="http://schemas.openxmlformats.org/officeDocument/2006/relationships/hyperlink" Target="http://bs.wikipedia.org/wiki/Njema%C4%8Dka" TargetMode="External"/><Relationship Id="rId47" Type="http://schemas.openxmlformats.org/officeDocument/2006/relationships/hyperlink" Target="http://bs.wikipedia.org/wiki/%C5%A0panija" TargetMode="External"/><Relationship Id="rId50" Type="http://schemas.openxmlformats.org/officeDocument/2006/relationships/hyperlink" Target="http://webrzs.stat.gov.rs" TargetMode="External"/><Relationship Id="rId55"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image" Target="media/image8.emf"/><Relationship Id="rId29" Type="http://schemas.openxmlformats.org/officeDocument/2006/relationships/hyperlink" Target="http://bs.wikipedia.org/wiki/Finska" TargetMode="External"/><Relationship Id="rId41" Type="http://schemas.openxmlformats.org/officeDocument/2006/relationships/hyperlink" Target="http://bs.wikipedia.org/wiki/Malta"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yperlink" Target="http://bs.wikipedia.org/wiki/Belgija" TargetMode="External"/><Relationship Id="rId32" Type="http://schemas.openxmlformats.org/officeDocument/2006/relationships/hyperlink" Target="http://bs.wikipedia.org/wiki/Holandija" TargetMode="External"/><Relationship Id="rId37" Type="http://schemas.openxmlformats.org/officeDocument/2006/relationships/hyperlink" Target="http://bs.wikipedia.org/wiki/Latvija" TargetMode="External"/><Relationship Id="rId40" Type="http://schemas.openxmlformats.org/officeDocument/2006/relationships/hyperlink" Target="http://bs.wikipedia.org/wiki/Ma%C4%91arska" TargetMode="External"/><Relationship Id="rId45" Type="http://schemas.openxmlformats.org/officeDocument/2006/relationships/hyperlink" Target="http://bs.wikipedia.org/wiki/Slova%C4%8Dka" TargetMode="External"/><Relationship Id="rId53" Type="http://schemas.openxmlformats.org/officeDocument/2006/relationships/hyperlink" Target="http://www.undp.org.rs" TargetMode="External"/><Relationship Id="rId58"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hyperlink" Target="http://bs.wikipedia.org/wiki/Austrija" TargetMode="External"/><Relationship Id="rId28" Type="http://schemas.openxmlformats.org/officeDocument/2006/relationships/hyperlink" Target="http://bs.wikipedia.org/wiki/Estonija" TargetMode="External"/><Relationship Id="rId36" Type="http://schemas.openxmlformats.org/officeDocument/2006/relationships/hyperlink" Target="http://bs.wikipedia.org/wiki/Kipar" TargetMode="External"/><Relationship Id="rId49" Type="http://schemas.openxmlformats.org/officeDocument/2006/relationships/hyperlink" Target="http://bs.wikipedia.org/wiki/Porez_na_dodatu_vrijednost" TargetMode="External"/><Relationship Id="rId57" Type="http://schemas.openxmlformats.org/officeDocument/2006/relationships/footer" Target="footer2.xml"/><Relationship Id="rId61"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7.emf"/><Relationship Id="rId31" Type="http://schemas.openxmlformats.org/officeDocument/2006/relationships/hyperlink" Target="http://bs.wikipedia.org/wiki/Gr%C4%8Dka" TargetMode="External"/><Relationship Id="rId44" Type="http://schemas.openxmlformats.org/officeDocument/2006/relationships/hyperlink" Target="http://bs.wikipedia.org/wiki/Rumunija" TargetMode="External"/><Relationship Id="rId52" Type="http://schemas.openxmlformats.org/officeDocument/2006/relationships/hyperlink" Target="http://www.undp.org.rs"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Layout" Target="diagrams/layout1.xml"/><Relationship Id="rId22" Type="http://schemas.openxmlformats.org/officeDocument/2006/relationships/image" Target="media/image10.emf"/><Relationship Id="rId27" Type="http://schemas.openxmlformats.org/officeDocument/2006/relationships/hyperlink" Target="http://bs.wikipedia.org/wiki/Danska" TargetMode="External"/><Relationship Id="rId30" Type="http://schemas.openxmlformats.org/officeDocument/2006/relationships/hyperlink" Target="http://bs.wikipedia.org/wiki/Francuska" TargetMode="External"/><Relationship Id="rId35" Type="http://schemas.openxmlformats.org/officeDocument/2006/relationships/hyperlink" Target="http://bs.wikipedia.org/wiki/Italija" TargetMode="External"/><Relationship Id="rId43" Type="http://schemas.openxmlformats.org/officeDocument/2006/relationships/hyperlink" Target="http://bs.wikipedia.org/wiki/Poljska" TargetMode="External"/><Relationship Id="rId48" Type="http://schemas.openxmlformats.org/officeDocument/2006/relationships/hyperlink" Target="http://bs.wikipedia.org/wiki/Ujedinjeno_Kraljevstvo" TargetMode="External"/><Relationship Id="rId56"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http://webrzs.stat.gov.rs" TargetMode="External"/><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6.jpeg"/><Relationship Id="rId25" Type="http://schemas.openxmlformats.org/officeDocument/2006/relationships/hyperlink" Target="http://bs.wikipedia.org/wiki/Bugarska" TargetMode="External"/><Relationship Id="rId33" Type="http://schemas.openxmlformats.org/officeDocument/2006/relationships/hyperlink" Target="http://bs.wikipedia.org/wiki/Hrvatska" TargetMode="External"/><Relationship Id="rId38" Type="http://schemas.openxmlformats.org/officeDocument/2006/relationships/hyperlink" Target="http://bs.wikipedia.org/wiki/Litvanija" TargetMode="External"/><Relationship Id="rId46" Type="http://schemas.openxmlformats.org/officeDocument/2006/relationships/hyperlink" Target="http://bs.wikipedia.org/wiki/Slovenija" TargetMode="External"/><Relationship Id="rId59" Type="http://schemas.openxmlformats.org/officeDocument/2006/relationships/footer" Target="footer3.xml"/></Relationships>
</file>

<file path=word/_rels/footnotes.xml.rels><?xml version="1.0" encoding="UTF-8" standalone="yes"?>
<Relationships xmlns="http://schemas.openxmlformats.org/package/2006/relationships"><Relationship Id="rId13" Type="http://schemas.openxmlformats.org/officeDocument/2006/relationships/hyperlink" Target="http://stats.oecd.org/" TargetMode="External"/><Relationship Id="rId18" Type="http://schemas.openxmlformats.org/officeDocument/2006/relationships/hyperlink" Target="http://ec.europa.eu" TargetMode="External"/><Relationship Id="rId26" Type="http://schemas.openxmlformats.org/officeDocument/2006/relationships/hyperlink" Target="http://www.mfin.gov.rs/" TargetMode="External"/><Relationship Id="rId39" Type="http://schemas.openxmlformats.org/officeDocument/2006/relationships/hyperlink" Target="http://www.b92.net/biz/vesti/srbija.php?yyyy=2013&amp;mm=05&amp;dd=04&amp;nav_id=710799" TargetMode="External"/><Relationship Id="rId21" Type="http://schemas.openxmlformats.org/officeDocument/2006/relationships/hyperlink" Target="http://omdonfg.com" TargetMode="External"/><Relationship Id="rId34" Type="http://schemas.openxmlformats.org/officeDocument/2006/relationships/hyperlink" Target="http://ec.europa.eu/taxation_customs/resources/documents/common/publications/studies/vat-gap.pdf" TargetMode="External"/><Relationship Id="rId42" Type="http://schemas.openxmlformats.org/officeDocument/2006/relationships/hyperlink" Target="http://www.ijf.hr" TargetMode="External"/><Relationship Id="rId47" Type="http://schemas.openxmlformats.org/officeDocument/2006/relationships/hyperlink" Target="http://www.prostor22.rs" TargetMode="External"/><Relationship Id="rId50" Type="http://schemas.openxmlformats.org/officeDocument/2006/relationships/hyperlink" Target="http://www.prostor22.rs" TargetMode="External"/><Relationship Id="rId55" Type="http://schemas.openxmlformats.org/officeDocument/2006/relationships/hyperlink" Target="http://www.alexandriapress.com/" TargetMode="External"/><Relationship Id="rId63" Type="http://schemas.openxmlformats.org/officeDocument/2006/relationships/hyperlink" Target="http://www.imf.org" TargetMode="External"/><Relationship Id="rId68" Type="http://schemas.openxmlformats.org/officeDocument/2006/relationships/hyperlink" Target="http://grid3.rs/read/news/303116926/5402682/napredak-u-borbi-protiv-korupcije" TargetMode="External"/><Relationship Id="rId76" Type="http://schemas.openxmlformats.org/officeDocument/2006/relationships/hyperlink" Target="http://www.undp.org.rs" TargetMode="External"/><Relationship Id="rId84" Type="http://schemas.openxmlformats.org/officeDocument/2006/relationships/hyperlink" Target="http://www.lexonline.paragraf.rs" TargetMode="External"/><Relationship Id="rId7" Type="http://schemas.openxmlformats.org/officeDocument/2006/relationships/hyperlink" Target="http://www.oecd.org/ctp/fightingtaxevasion.htm" TargetMode="External"/><Relationship Id="rId71" Type="http://schemas.openxmlformats.org/officeDocument/2006/relationships/hyperlink" Target="http://webrzs.stat.gov.rs" TargetMode="External"/><Relationship Id="rId2" Type="http://schemas.openxmlformats.org/officeDocument/2006/relationships/hyperlink" Target="http://www.zarkoristic.com/download/knjige/monetarne-i-javne-finansije.pdf" TargetMode="External"/><Relationship Id="rId16" Type="http://schemas.openxmlformats.org/officeDocument/2006/relationships/hyperlink" Target="http://www.wiwi.uni-regensburg.de/" TargetMode="External"/><Relationship Id="rId29" Type="http://schemas.openxmlformats.org/officeDocument/2006/relationships/hyperlink" Target="http://www.mfp.gov.rs/pages/article.php?&amp;id=7603&amp;change_lang=ls" TargetMode="External"/><Relationship Id="rId11" Type="http://schemas.openxmlformats.org/officeDocument/2006/relationships/hyperlink" Target="http://www.tackletaxhavens.com" TargetMode="External"/><Relationship Id="rId24" Type="http://schemas.openxmlformats.org/officeDocument/2006/relationships/hyperlink" Target="http://www.seio.gov.rs" TargetMode="External"/><Relationship Id="rId32" Type="http://schemas.openxmlformats.org/officeDocument/2006/relationships/hyperlink" Target="http://www.kpmg.com/" TargetMode="External"/><Relationship Id="rId37" Type="http://schemas.openxmlformats.org/officeDocument/2006/relationships/hyperlink" Target="http://ec.europa.eu" TargetMode="External"/><Relationship Id="rId40" Type="http://schemas.openxmlformats.org/officeDocument/2006/relationships/hyperlink" Target="http://www.politika.rs/rubrike/Ekonomija/Fantomske-firme-za-velike-mucke.lt.html" TargetMode="External"/><Relationship Id="rId45" Type="http://schemas.openxmlformats.org/officeDocument/2006/relationships/hyperlink" Target="http://epp.eurostat.ec.europa.eu" TargetMode="External"/><Relationship Id="rId53" Type="http://schemas.openxmlformats.org/officeDocument/2006/relationships/hyperlink" Target="http://www.rts.rs/page/stories/sr/story/13/Ekonomija/1332448/Kontrola+derivata+po+standardima+EU.html?email=yes" TargetMode="External"/><Relationship Id="rId58" Type="http://schemas.openxmlformats.org/officeDocument/2006/relationships/hyperlink" Target="https://www.kluwerlawonline.com" TargetMode="External"/><Relationship Id="rId66" Type="http://schemas.openxmlformats.org/officeDocument/2006/relationships/hyperlink" Target="http://transparentnost.org.rs" TargetMode="External"/><Relationship Id="rId74" Type="http://schemas.openxmlformats.org/officeDocument/2006/relationships/hyperlink" Target="http://purs.gov.rs/biro-za-informisanje/novosti/830/odrzan-radni-sastanak-predstavnika-ministarstva-finansija-i-poreske-uprave-povodom-uvodjenja-novo" TargetMode="External"/><Relationship Id="rId79" Type="http://schemas.openxmlformats.org/officeDocument/2006/relationships/hyperlink" Target="http://www.coe.int/moneyval" TargetMode="External"/><Relationship Id="rId5" Type="http://schemas.openxmlformats.org/officeDocument/2006/relationships/hyperlink" Target="http://core.ac.uk" TargetMode="External"/><Relationship Id="rId61" Type="http://schemas.openxmlformats.org/officeDocument/2006/relationships/hyperlink" Target="http://conventions.coe.int/Treaty/en/Treaties/Html/173.htm" TargetMode="External"/><Relationship Id="rId82" Type="http://schemas.openxmlformats.org/officeDocument/2006/relationships/hyperlink" Target="http://www.transparentnost.org.rs/" TargetMode="External"/><Relationship Id="rId10" Type="http://schemas.openxmlformats.org/officeDocument/2006/relationships/hyperlink" Target="http://ideas.repec.org/p/ces/ceswps/_4004.html" TargetMode="External"/><Relationship Id="rId19" Type="http://schemas.openxmlformats.org/officeDocument/2006/relationships/hyperlink" Target="http://ec.europa.eu/taxation_customs/resources/documents/taxation/tax_fraud_evasion/com_2012_722_en.pdf" TargetMode="External"/><Relationship Id="rId31" Type="http://schemas.openxmlformats.org/officeDocument/2006/relationships/hyperlink" Target="http://www.oecd-ilibrary.org/" TargetMode="External"/><Relationship Id="rId44" Type="http://schemas.openxmlformats.org/officeDocument/2006/relationships/hyperlink" Target="http://epp.eurostat.ec.europa.eu" TargetMode="External"/><Relationship Id="rId52" Type="http://schemas.openxmlformats.org/officeDocument/2006/relationships/hyperlink" Target="http://www.kombeg.org.rs" TargetMode="External"/><Relationship Id="rId60" Type="http://schemas.openxmlformats.org/officeDocument/2006/relationships/hyperlink" Target="http://www.oecd.org/ctp/exchange-of-tax-information/50559531.pdf" TargetMode="External"/><Relationship Id="rId65" Type="http://schemas.openxmlformats.org/officeDocument/2006/relationships/hyperlink" Target="http://www.transparentnost.org.rs" TargetMode="External"/><Relationship Id="rId73" Type="http://schemas.openxmlformats.org/officeDocument/2006/relationships/hyperlink" Target="http://pod2.stat.gov.rs" TargetMode="External"/><Relationship Id="rId78" Type="http://schemas.openxmlformats.org/officeDocument/2006/relationships/hyperlink" Target="http://www.mup.gov.rs/cms/resursi.nsf/InformatorMUP-cirilica.pdf%20&#1079;&#1072;%202012" TargetMode="External"/><Relationship Id="rId81" Type="http://schemas.openxmlformats.org/officeDocument/2006/relationships/hyperlink" Target="http://www.ombudsman.rs/" TargetMode="External"/><Relationship Id="rId4" Type="http://schemas.openxmlformats.org/officeDocument/2006/relationships/hyperlink" Target="http://adc.library.usyd.edu.au" TargetMode="External"/><Relationship Id="rId9" Type="http://schemas.openxmlformats.org/officeDocument/2006/relationships/hyperlink" Target="http://investorplace.com/investorpolitics/10-worst-countries-for-tax-evasion/" TargetMode="External"/><Relationship Id="rId14" Type="http://schemas.openxmlformats.org/officeDocument/2006/relationships/hyperlink" Target="http://ec.europa.eu/taxation_customs/resources/documents/taxation/gen_info/economic_analysis/tax_papers/taxation_paper_34_en.pdf" TargetMode="External"/><Relationship Id="rId22" Type="http://schemas.openxmlformats.org/officeDocument/2006/relationships/hyperlink" Target="http://www.fpn.bg.ac.rs" TargetMode="External"/><Relationship Id="rId27" Type="http://schemas.openxmlformats.org/officeDocument/2006/relationships/hyperlink" Target="http://www.kombeg.org.rs" TargetMode="External"/><Relationship Id="rId30" Type="http://schemas.openxmlformats.org/officeDocument/2006/relationships/hyperlink" Target="http://www.mfin.gov.rs/" TargetMode="External"/><Relationship Id="rId35" Type="http://schemas.openxmlformats.org/officeDocument/2006/relationships/hyperlink" Target="http://ec.europa.eu/taxation_customs/resources/documents/taxation/vat/how_vat_works/rates/vat_rates_en.pdf" TargetMode="External"/><Relationship Id="rId43" Type="http://schemas.openxmlformats.org/officeDocument/2006/relationships/hyperlink" Target="http://epp.eurostat.ec.europa.eu" TargetMode="External"/><Relationship Id="rId48" Type="http://schemas.openxmlformats.org/officeDocument/2006/relationships/hyperlink" Target="http://www.svevesti.com" TargetMode="External"/><Relationship Id="rId56" Type="http://schemas.openxmlformats.org/officeDocument/2006/relationships/hyperlink" Target="http://www.godisnjakpf.rs" TargetMode="External"/><Relationship Id="rId64" Type="http://schemas.openxmlformats.org/officeDocument/2006/relationships/hyperlink" Target="http://www.acas.rs/wp-content/uploads/2010/06/Nacionalna_strategija.pdf" TargetMode="External"/><Relationship Id="rId69" Type="http://schemas.openxmlformats.org/officeDocument/2006/relationships/hyperlink" Target="http://www.skgo.org/reports/details/1092" TargetMode="External"/><Relationship Id="rId77" Type="http://schemas.openxmlformats.org/officeDocument/2006/relationships/hyperlink" Target="http://www.mup.gov.rs" TargetMode="External"/><Relationship Id="rId8" Type="http://schemas.openxmlformats.org/officeDocument/2006/relationships/hyperlink" Target="http://investorplace.com/investorpolitics/10-worst-countries-for-tax-evasion" TargetMode="External"/><Relationship Id="rId51" Type="http://schemas.openxmlformats.org/officeDocument/2006/relationships/hyperlink" Target="http://www.krediti.rs" TargetMode="External"/><Relationship Id="rId72" Type="http://schemas.openxmlformats.org/officeDocument/2006/relationships/hyperlink" Target="http://www.media.srbija.gov.rs" TargetMode="External"/><Relationship Id="rId80" Type="http://schemas.openxmlformats.org/officeDocument/2006/relationships/hyperlink" Target="http://www.upravacarina.rs" TargetMode="External"/><Relationship Id="rId3" Type="http://schemas.openxmlformats.org/officeDocument/2006/relationships/hyperlink" Target="http://www.keepeek.com" TargetMode="External"/><Relationship Id="rId12" Type="http://schemas.openxmlformats.org/officeDocument/2006/relationships/hyperlink" Target="http://www.edunova.hr" TargetMode="External"/><Relationship Id="rId17" Type="http://schemas.openxmlformats.org/officeDocument/2006/relationships/hyperlink" Target="ftp://ftp.cordis.europa.eu/pub/improving/docs/conf_work_reyneri.pdf" TargetMode="External"/><Relationship Id="rId25" Type="http://schemas.openxmlformats.org/officeDocument/2006/relationships/hyperlink" Target="http://mfin.gov.rs" TargetMode="External"/><Relationship Id="rId33" Type="http://schemas.openxmlformats.org/officeDocument/2006/relationships/hyperlink" Target="http://www.oecd.org" TargetMode="External"/><Relationship Id="rId38" Type="http://schemas.openxmlformats.org/officeDocument/2006/relationships/hyperlink" Target="http://mfin.gov.rs/newsitem.php?&amp;id=4631&amp;change_lang=ls" TargetMode="External"/><Relationship Id="rId46" Type="http://schemas.openxmlformats.org/officeDocument/2006/relationships/hyperlink" Target="http://www.oecd.org" TargetMode="External"/><Relationship Id="rId59" Type="http://schemas.openxmlformats.org/officeDocument/2006/relationships/hyperlink" Target="http://www.ius.bg.ac.rs/prof/Materijali/popdej/Transferne%20cene.pdf" TargetMode="External"/><Relationship Id="rId67" Type="http://schemas.openxmlformats.org/officeDocument/2006/relationships/hyperlink" Target="http://www.mogucasrbija.rs/Oblast/100/Korupcija/40/Klju%C4%8Dni%20problemi%20Srbije%20u%20borbi%20protiv%20korupcije.html" TargetMode="External"/><Relationship Id="rId20" Type="http://schemas.openxmlformats.org/officeDocument/2006/relationships/hyperlink" Target="http://ftp.iza.org" TargetMode="External"/><Relationship Id="rId41" Type="http://schemas.openxmlformats.org/officeDocument/2006/relationships/hyperlink" Target="http://www.fren.org.rs/sites/default/files/articles/attachments/siva-ekonomija-u-srbiji-studija.pdf" TargetMode="External"/><Relationship Id="rId54" Type="http://schemas.openxmlformats.org/officeDocument/2006/relationships/hyperlink" Target="http://www.gdeinvestirati.com/ostale-teme-124/politika-i-drustvo/srbija/11269-godisnje-1600-utaja-poreza" TargetMode="External"/><Relationship Id="rId62" Type="http://schemas.openxmlformats.org/officeDocument/2006/relationships/hyperlink" Target="http://www.transparency.org" TargetMode="External"/><Relationship Id="rId70" Type="http://schemas.openxmlformats.org/officeDocument/2006/relationships/hyperlink" Target="http://prezentacije.mup.gov.rs" TargetMode="External"/><Relationship Id="rId75" Type="http://schemas.openxmlformats.org/officeDocument/2006/relationships/hyperlink" Target="http://www.becei.org/KOMENTARI/ef5dinic.html" TargetMode="External"/><Relationship Id="rId83" Type="http://schemas.openxmlformats.org/officeDocument/2006/relationships/hyperlink" Target="http://www.acas.rs/sr_cir/zakoni-i-drugi-propisi/strategija-i-akcioni-plan.html" TargetMode="External"/><Relationship Id="rId1" Type="http://schemas.openxmlformats.org/officeDocument/2006/relationships/hyperlink" Target="http://www.zarkoristic.com/download/knjige/monetarne-i-javne-finansije.pdf" TargetMode="External"/><Relationship Id="rId6" Type="http://schemas.openxmlformats.org/officeDocument/2006/relationships/hyperlink" Target="http://www.akter.co.rs/" TargetMode="External"/><Relationship Id="rId15" Type="http://schemas.openxmlformats.org/officeDocument/2006/relationships/hyperlink" Target="http://www.econ.jku.at/members/Schneider/files/publications/2012/ShadEcEurope31.pdf" TargetMode="External"/><Relationship Id="rId23" Type="http://schemas.openxmlformats.org/officeDocument/2006/relationships/hyperlink" Target="http://www.fpn.bg.ac.rs" TargetMode="External"/><Relationship Id="rId28" Type="http://schemas.openxmlformats.org/officeDocument/2006/relationships/hyperlink" Target="http://www.mfp.gov.rs/pages/article.php?&amp;id=7603&amp;change_lang=ls" TargetMode="External"/><Relationship Id="rId36" Type="http://schemas.openxmlformats.org/officeDocument/2006/relationships/hyperlink" Target="http://europa.eu/rapid/press-release_STAT-12-77_en.htm" TargetMode="External"/><Relationship Id="rId49" Type="http://schemas.openxmlformats.org/officeDocument/2006/relationships/hyperlink" Target="http://www.kombeg.org.rs" TargetMode="External"/><Relationship Id="rId57" Type="http://schemas.openxmlformats.org/officeDocument/2006/relationships/hyperlink" Target="http://www.nsk.hr"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993BCA2-BD86-4414-9BD9-59D851E2F284}" type="doc">
      <dgm:prSet loTypeId="urn:microsoft.com/office/officeart/2005/8/layout/radial1" loCatId="relationship" qsTypeId="urn:microsoft.com/office/officeart/2005/8/quickstyle/simple1" qsCatId="simple" csTypeId="urn:microsoft.com/office/officeart/2005/8/colors/accent1_2" csCatId="accent1" phldr="1"/>
      <dgm:spPr/>
    </dgm:pt>
    <dgm:pt modelId="{DDF51FDA-B8CC-4BBC-8D15-E704DE732DE3}">
      <dgm:prSet/>
      <dgm:spPr/>
      <dgm:t>
        <a:bodyPr/>
        <a:lstStyle/>
        <a:p>
          <a:pPr marR="0" algn="ctr" rtl="0"/>
          <a:r>
            <a:rPr lang="sr-Cyrl-CS" baseline="0" smtClean="0">
              <a:latin typeface="Calibri"/>
            </a:rPr>
            <a:t>Структура консолидованих јавних прихода у 2013.години</a:t>
          </a:r>
          <a:endParaRPr lang="sr-Latn-CS" smtClean="0"/>
        </a:p>
      </dgm:t>
    </dgm:pt>
    <dgm:pt modelId="{B795F408-0642-40DE-BA1A-89DF8B530924}" type="parTrans" cxnId="{9A32725C-5B3C-41F8-B08C-9F69D9DEB513}">
      <dgm:prSet/>
      <dgm:spPr/>
      <dgm:t>
        <a:bodyPr/>
        <a:lstStyle/>
        <a:p>
          <a:endParaRPr lang="sr-Latn-CS"/>
        </a:p>
      </dgm:t>
    </dgm:pt>
    <dgm:pt modelId="{DBF9DDC1-7741-422A-A5C3-D37D8C48781C}" type="sibTrans" cxnId="{9A32725C-5B3C-41F8-B08C-9F69D9DEB513}">
      <dgm:prSet/>
      <dgm:spPr/>
      <dgm:t>
        <a:bodyPr/>
        <a:lstStyle/>
        <a:p>
          <a:endParaRPr lang="sr-Latn-CS"/>
        </a:p>
      </dgm:t>
    </dgm:pt>
    <dgm:pt modelId="{E86AEBC8-E56D-4019-8596-72EA244B905C}">
      <dgm:prSet/>
      <dgm:spPr/>
      <dgm:t>
        <a:bodyPr/>
        <a:lstStyle/>
        <a:p>
          <a:pPr marR="0" algn="ctr" rtl="0"/>
          <a:r>
            <a:rPr lang="sr-Cyrl-CS" baseline="0" smtClean="0">
              <a:latin typeface="Calibri"/>
            </a:rPr>
            <a:t>Порез на додату вредност</a:t>
          </a:r>
        </a:p>
        <a:p>
          <a:pPr marR="0" algn="ctr" rtl="0"/>
          <a:r>
            <a:rPr lang="sr-Cyrl-CS" baseline="0" smtClean="0">
              <a:latin typeface="Calibri"/>
            </a:rPr>
            <a:t>26,1%</a:t>
          </a:r>
          <a:endParaRPr lang="sr-Latn-CS" smtClean="0"/>
        </a:p>
      </dgm:t>
    </dgm:pt>
    <dgm:pt modelId="{EFBAD6C5-221E-48C2-B647-51AE1D86AA39}" type="parTrans" cxnId="{0382B750-F024-4E05-A717-62582584D828}">
      <dgm:prSet/>
      <dgm:spPr/>
      <dgm:t>
        <a:bodyPr/>
        <a:lstStyle/>
        <a:p>
          <a:endParaRPr lang="sr-Latn-CS"/>
        </a:p>
      </dgm:t>
    </dgm:pt>
    <dgm:pt modelId="{67441F45-BE1E-4804-82CF-FD737A8C9627}" type="sibTrans" cxnId="{0382B750-F024-4E05-A717-62582584D828}">
      <dgm:prSet/>
      <dgm:spPr/>
      <dgm:t>
        <a:bodyPr/>
        <a:lstStyle/>
        <a:p>
          <a:endParaRPr lang="sr-Latn-CS"/>
        </a:p>
      </dgm:t>
    </dgm:pt>
    <dgm:pt modelId="{54EA540A-F9D5-433F-84A6-76B3A6D104C7}">
      <dgm:prSet/>
      <dgm:spPr/>
      <dgm:t>
        <a:bodyPr/>
        <a:lstStyle/>
        <a:p>
          <a:pPr marR="0" algn="ctr" rtl="0"/>
          <a:r>
            <a:rPr lang="sr-Cyrl-CS" baseline="0" smtClean="0">
              <a:latin typeface="Calibri"/>
            </a:rPr>
            <a:t>Акцизе</a:t>
          </a:r>
        </a:p>
        <a:p>
          <a:pPr marR="0" algn="ctr" rtl="0"/>
          <a:r>
            <a:rPr lang="sr-Cyrl-CS" baseline="0" smtClean="0">
              <a:latin typeface="Calibri"/>
            </a:rPr>
            <a:t>14,1%</a:t>
          </a:r>
          <a:endParaRPr lang="sr-Latn-CS" smtClean="0"/>
        </a:p>
      </dgm:t>
    </dgm:pt>
    <dgm:pt modelId="{69088FAF-45D2-45BB-980A-0D1E7F56480E}" type="parTrans" cxnId="{DDB959BA-68BD-427E-B30D-050A9753AB11}">
      <dgm:prSet/>
      <dgm:spPr/>
      <dgm:t>
        <a:bodyPr/>
        <a:lstStyle/>
        <a:p>
          <a:endParaRPr lang="sr-Latn-CS"/>
        </a:p>
      </dgm:t>
    </dgm:pt>
    <dgm:pt modelId="{2FCFA39E-7614-40D5-8B03-7463F65639B5}" type="sibTrans" cxnId="{DDB959BA-68BD-427E-B30D-050A9753AB11}">
      <dgm:prSet/>
      <dgm:spPr/>
      <dgm:t>
        <a:bodyPr/>
        <a:lstStyle/>
        <a:p>
          <a:endParaRPr lang="sr-Latn-CS"/>
        </a:p>
      </dgm:t>
    </dgm:pt>
    <dgm:pt modelId="{3187B28F-3590-4D20-9C20-E07D2DBB0B6C}">
      <dgm:prSet/>
      <dgm:spPr/>
      <dgm:t>
        <a:bodyPr/>
        <a:lstStyle/>
        <a:p>
          <a:pPr marR="0" algn="ctr" rtl="0"/>
          <a:r>
            <a:rPr lang="sr-Cyrl-CS" baseline="0" smtClean="0">
              <a:latin typeface="Calibri"/>
            </a:rPr>
            <a:t>Порез на добит</a:t>
          </a:r>
        </a:p>
        <a:p>
          <a:pPr marR="0" algn="ctr" rtl="0"/>
          <a:r>
            <a:rPr lang="sr-Cyrl-CS" baseline="0" smtClean="0">
              <a:latin typeface="Calibri"/>
            </a:rPr>
            <a:t>2,8%</a:t>
          </a:r>
          <a:endParaRPr lang="sr-Latn-CS" smtClean="0"/>
        </a:p>
      </dgm:t>
    </dgm:pt>
    <dgm:pt modelId="{4F180EE8-A648-4FCF-AD91-3B15239FD985}" type="parTrans" cxnId="{85DC39C6-D3E5-4E8F-9AC5-4E208EE2D8C5}">
      <dgm:prSet/>
      <dgm:spPr/>
      <dgm:t>
        <a:bodyPr/>
        <a:lstStyle/>
        <a:p>
          <a:endParaRPr lang="sr-Latn-CS"/>
        </a:p>
      </dgm:t>
    </dgm:pt>
    <dgm:pt modelId="{7BA203B4-F01A-4BF7-A8D0-8B276013AD45}" type="sibTrans" cxnId="{85DC39C6-D3E5-4E8F-9AC5-4E208EE2D8C5}">
      <dgm:prSet/>
      <dgm:spPr/>
      <dgm:t>
        <a:bodyPr/>
        <a:lstStyle/>
        <a:p>
          <a:endParaRPr lang="sr-Latn-CS"/>
        </a:p>
      </dgm:t>
    </dgm:pt>
    <dgm:pt modelId="{6519EC5D-4EAC-4E3A-92DE-E068906CD08D}">
      <dgm:prSet/>
      <dgm:spPr/>
      <dgm:t>
        <a:bodyPr/>
        <a:lstStyle/>
        <a:p>
          <a:pPr marR="0" algn="ctr" rtl="0"/>
          <a:r>
            <a:rPr lang="sr-Cyrl-CS" baseline="0" smtClean="0">
              <a:latin typeface="Calibri"/>
            </a:rPr>
            <a:t>Остали порески приходи 2,4%</a:t>
          </a:r>
        </a:p>
        <a:p>
          <a:pPr marR="0" algn="ctr" rtl="0"/>
          <a:r>
            <a:rPr lang="sr-Cyrl-CS" baseline="0" smtClean="0">
              <a:latin typeface="Calibri"/>
            </a:rPr>
            <a:t>Царине 1,7%</a:t>
          </a:r>
          <a:endParaRPr lang="sr-Latn-CS" smtClean="0"/>
        </a:p>
      </dgm:t>
    </dgm:pt>
    <dgm:pt modelId="{18EBAC1F-A69C-474C-95D2-0BD8B2ADCCB8}" type="parTrans" cxnId="{8736B86A-2912-424A-9F07-6760D88FB1BE}">
      <dgm:prSet/>
      <dgm:spPr/>
      <dgm:t>
        <a:bodyPr/>
        <a:lstStyle/>
        <a:p>
          <a:endParaRPr lang="sr-Latn-CS"/>
        </a:p>
      </dgm:t>
    </dgm:pt>
    <dgm:pt modelId="{A910DAA0-27DA-4651-B9C2-80DBF0342DEA}" type="sibTrans" cxnId="{8736B86A-2912-424A-9F07-6760D88FB1BE}">
      <dgm:prSet/>
      <dgm:spPr/>
      <dgm:t>
        <a:bodyPr/>
        <a:lstStyle/>
        <a:p>
          <a:endParaRPr lang="sr-Latn-CS"/>
        </a:p>
      </dgm:t>
    </dgm:pt>
    <dgm:pt modelId="{92C083B8-B651-4F42-9FBA-FE14B3B0579B}">
      <dgm:prSet/>
      <dgm:spPr/>
      <dgm:t>
        <a:bodyPr/>
        <a:lstStyle/>
        <a:p>
          <a:pPr marR="0" algn="ctr" rtl="0"/>
          <a:r>
            <a:rPr lang="sr-Cyrl-CS" baseline="0" smtClean="0">
              <a:latin typeface="Calibri"/>
            </a:rPr>
            <a:t>Непорески приходи</a:t>
          </a:r>
        </a:p>
        <a:p>
          <a:pPr marR="0" algn="ctr" rtl="0"/>
          <a:r>
            <a:rPr lang="sr-Cyrl-CS" baseline="0" smtClean="0">
              <a:latin typeface="Calibri"/>
            </a:rPr>
            <a:t>11,9%</a:t>
          </a:r>
        </a:p>
      </dgm:t>
    </dgm:pt>
    <dgm:pt modelId="{C8F8E622-837B-48FA-AC16-AF81D0A79C47}" type="parTrans" cxnId="{089E011B-561F-46D9-87E2-8F25BD319917}">
      <dgm:prSet/>
      <dgm:spPr/>
      <dgm:t>
        <a:bodyPr/>
        <a:lstStyle/>
        <a:p>
          <a:endParaRPr lang="sr-Latn-CS"/>
        </a:p>
      </dgm:t>
    </dgm:pt>
    <dgm:pt modelId="{4AC188F7-DB2E-4AD4-A0A6-97C510043C8B}" type="sibTrans" cxnId="{089E011B-561F-46D9-87E2-8F25BD319917}">
      <dgm:prSet/>
      <dgm:spPr/>
      <dgm:t>
        <a:bodyPr/>
        <a:lstStyle/>
        <a:p>
          <a:endParaRPr lang="sr-Latn-CS"/>
        </a:p>
      </dgm:t>
    </dgm:pt>
    <dgm:pt modelId="{96058A8B-4427-4811-BA58-CB2E3B0FE8D8}">
      <dgm:prSet/>
      <dgm:spPr/>
      <dgm:t>
        <a:bodyPr/>
        <a:lstStyle/>
        <a:p>
          <a:pPr marR="0" algn="ctr" rtl="0"/>
          <a:r>
            <a:rPr lang="sr-Cyrl-CS" baseline="0" smtClean="0">
              <a:latin typeface="Calibri"/>
            </a:rPr>
            <a:t>Социјални доприноси</a:t>
          </a:r>
        </a:p>
        <a:p>
          <a:pPr marR="0" algn="ctr" rtl="0"/>
          <a:r>
            <a:rPr lang="sr-Cyrl-CS" baseline="0" smtClean="0">
              <a:latin typeface="Calibri"/>
            </a:rPr>
            <a:t>27,0%</a:t>
          </a:r>
          <a:endParaRPr lang="sr-Latn-CS" smtClean="0"/>
        </a:p>
      </dgm:t>
    </dgm:pt>
    <dgm:pt modelId="{23B984FA-B67F-42CD-A65D-9060FE827622}" type="parTrans" cxnId="{2D4C8AE1-1A8F-4AAD-AAEA-6178065BD4BC}">
      <dgm:prSet/>
      <dgm:spPr/>
      <dgm:t>
        <a:bodyPr/>
        <a:lstStyle/>
        <a:p>
          <a:endParaRPr lang="sr-Latn-CS"/>
        </a:p>
      </dgm:t>
    </dgm:pt>
    <dgm:pt modelId="{A2D326E8-4FF0-4D92-BF56-DAAF373C5EC6}" type="sibTrans" cxnId="{2D4C8AE1-1A8F-4AAD-AAEA-6178065BD4BC}">
      <dgm:prSet/>
      <dgm:spPr/>
      <dgm:t>
        <a:bodyPr/>
        <a:lstStyle/>
        <a:p>
          <a:endParaRPr lang="sr-Latn-CS"/>
        </a:p>
      </dgm:t>
    </dgm:pt>
    <dgm:pt modelId="{4E843792-4844-49F1-A698-312351A0942E}">
      <dgm:prSet/>
      <dgm:spPr/>
      <dgm:t>
        <a:bodyPr/>
        <a:lstStyle/>
        <a:p>
          <a:pPr marR="0" algn="ctr" rtl="0"/>
          <a:r>
            <a:rPr lang="sr-Cyrl-CS" baseline="0" smtClean="0">
              <a:latin typeface="Calibri"/>
            </a:rPr>
            <a:t>Капитални приходи1,6%</a:t>
          </a:r>
        </a:p>
        <a:p>
          <a:pPr marR="0" algn="ctr" rtl="0"/>
          <a:r>
            <a:rPr lang="sr-Cyrl-CS" baseline="0" smtClean="0">
              <a:latin typeface="Calibri"/>
            </a:rPr>
            <a:t>Донације 0,5%</a:t>
          </a:r>
        </a:p>
      </dgm:t>
    </dgm:pt>
    <dgm:pt modelId="{BE0CBE37-1CE5-4BF7-8824-41EBC0C1C8B2}" type="parTrans" cxnId="{4E695A3C-641B-4608-8A5A-8BB5D02A583E}">
      <dgm:prSet/>
      <dgm:spPr/>
      <dgm:t>
        <a:bodyPr/>
        <a:lstStyle/>
        <a:p>
          <a:endParaRPr lang="sr-Latn-CS"/>
        </a:p>
      </dgm:t>
    </dgm:pt>
    <dgm:pt modelId="{FC533668-A159-4478-994E-578CA60FD044}" type="sibTrans" cxnId="{4E695A3C-641B-4608-8A5A-8BB5D02A583E}">
      <dgm:prSet/>
      <dgm:spPr/>
      <dgm:t>
        <a:bodyPr/>
        <a:lstStyle/>
        <a:p>
          <a:endParaRPr lang="sr-Latn-CS"/>
        </a:p>
      </dgm:t>
    </dgm:pt>
    <dgm:pt modelId="{8BB706D3-D2B5-4015-B164-741AB3E75A25}">
      <dgm:prSet/>
      <dgm:spPr/>
      <dgm:t>
        <a:bodyPr/>
        <a:lstStyle/>
        <a:p>
          <a:pPr marR="0" algn="ctr" rtl="0"/>
          <a:r>
            <a:rPr lang="sr-Cyrl-CS" baseline="0" smtClean="0">
              <a:latin typeface="Calibri"/>
            </a:rPr>
            <a:t>Порез на доходак грађана </a:t>
          </a:r>
        </a:p>
        <a:p>
          <a:pPr marR="0" algn="ctr" rtl="0"/>
          <a:r>
            <a:rPr lang="sr-Cyrl-CS" baseline="0" smtClean="0">
              <a:latin typeface="Calibri"/>
            </a:rPr>
            <a:t>11,8%</a:t>
          </a:r>
          <a:endParaRPr lang="sr-Latn-CS" smtClean="0"/>
        </a:p>
      </dgm:t>
    </dgm:pt>
    <dgm:pt modelId="{EA61FF33-D7B3-484B-BADA-084AC6F5C379}" type="parTrans" cxnId="{EBE104FE-37EA-4E68-98DD-7F27D6D5CFD4}">
      <dgm:prSet/>
      <dgm:spPr/>
      <dgm:t>
        <a:bodyPr/>
        <a:lstStyle/>
        <a:p>
          <a:endParaRPr lang="sr-Latn-CS"/>
        </a:p>
      </dgm:t>
    </dgm:pt>
    <dgm:pt modelId="{9A6EE3C7-05B3-488F-8CCD-E4503E3EF9CC}" type="sibTrans" cxnId="{EBE104FE-37EA-4E68-98DD-7F27D6D5CFD4}">
      <dgm:prSet/>
      <dgm:spPr/>
      <dgm:t>
        <a:bodyPr/>
        <a:lstStyle/>
        <a:p>
          <a:endParaRPr lang="sr-Latn-CS"/>
        </a:p>
      </dgm:t>
    </dgm:pt>
    <dgm:pt modelId="{921D02FC-8456-40A2-A5A0-E677213AC3B7}" type="pres">
      <dgm:prSet presAssocID="{4993BCA2-BD86-4414-9BD9-59D851E2F284}" presName="cycle" presStyleCnt="0">
        <dgm:presLayoutVars>
          <dgm:chMax val="1"/>
          <dgm:dir/>
          <dgm:animLvl val="ctr"/>
          <dgm:resizeHandles val="exact"/>
        </dgm:presLayoutVars>
      </dgm:prSet>
      <dgm:spPr/>
    </dgm:pt>
    <dgm:pt modelId="{EBA98BE9-6445-4067-A217-F6030BE979A6}" type="pres">
      <dgm:prSet presAssocID="{DDF51FDA-B8CC-4BBC-8D15-E704DE732DE3}" presName="centerShape" presStyleLbl="node0" presStyleIdx="0" presStyleCnt="1" custScaleX="134494" custScaleY="133746"/>
      <dgm:spPr/>
      <dgm:t>
        <a:bodyPr/>
        <a:lstStyle/>
        <a:p>
          <a:endParaRPr lang="sr-Latn-CS"/>
        </a:p>
      </dgm:t>
    </dgm:pt>
    <dgm:pt modelId="{17F27D9B-F9B7-4680-8DCE-DB59EBB7D70F}" type="pres">
      <dgm:prSet presAssocID="{EFBAD6C5-221E-48C2-B647-51AE1D86AA39}" presName="Name9" presStyleLbl="parChTrans1D2" presStyleIdx="0" presStyleCnt="8"/>
      <dgm:spPr/>
      <dgm:t>
        <a:bodyPr/>
        <a:lstStyle/>
        <a:p>
          <a:endParaRPr lang="sr-Latn-CS"/>
        </a:p>
      </dgm:t>
    </dgm:pt>
    <dgm:pt modelId="{93E5AEDE-683D-4C7C-8592-FE74B1836018}" type="pres">
      <dgm:prSet presAssocID="{EFBAD6C5-221E-48C2-B647-51AE1D86AA39}" presName="connTx" presStyleLbl="parChTrans1D2" presStyleIdx="0" presStyleCnt="8"/>
      <dgm:spPr/>
      <dgm:t>
        <a:bodyPr/>
        <a:lstStyle/>
        <a:p>
          <a:endParaRPr lang="sr-Latn-CS"/>
        </a:p>
      </dgm:t>
    </dgm:pt>
    <dgm:pt modelId="{D38570B8-637F-4F64-B12A-3657756FBC94}" type="pres">
      <dgm:prSet presAssocID="{E86AEBC8-E56D-4019-8596-72EA244B905C}" presName="node" presStyleLbl="node1" presStyleIdx="0" presStyleCnt="8">
        <dgm:presLayoutVars>
          <dgm:bulletEnabled val="1"/>
        </dgm:presLayoutVars>
      </dgm:prSet>
      <dgm:spPr/>
      <dgm:t>
        <a:bodyPr/>
        <a:lstStyle/>
        <a:p>
          <a:endParaRPr lang="sr-Latn-CS"/>
        </a:p>
      </dgm:t>
    </dgm:pt>
    <dgm:pt modelId="{87F52C16-1FBA-49D0-AB3C-4E7F7E87A9BB}" type="pres">
      <dgm:prSet presAssocID="{69088FAF-45D2-45BB-980A-0D1E7F56480E}" presName="Name9" presStyleLbl="parChTrans1D2" presStyleIdx="1" presStyleCnt="8"/>
      <dgm:spPr/>
      <dgm:t>
        <a:bodyPr/>
        <a:lstStyle/>
        <a:p>
          <a:endParaRPr lang="sr-Latn-CS"/>
        </a:p>
      </dgm:t>
    </dgm:pt>
    <dgm:pt modelId="{913C92BD-62A9-4D66-9085-13E723AA75D6}" type="pres">
      <dgm:prSet presAssocID="{69088FAF-45D2-45BB-980A-0D1E7F56480E}" presName="connTx" presStyleLbl="parChTrans1D2" presStyleIdx="1" presStyleCnt="8"/>
      <dgm:spPr/>
      <dgm:t>
        <a:bodyPr/>
        <a:lstStyle/>
        <a:p>
          <a:endParaRPr lang="sr-Latn-CS"/>
        </a:p>
      </dgm:t>
    </dgm:pt>
    <dgm:pt modelId="{275D95C3-A198-45EF-A2F7-EE50880ADBD7}" type="pres">
      <dgm:prSet presAssocID="{54EA540A-F9D5-433F-84A6-76B3A6D104C7}" presName="node" presStyleLbl="node1" presStyleIdx="1" presStyleCnt="8">
        <dgm:presLayoutVars>
          <dgm:bulletEnabled val="1"/>
        </dgm:presLayoutVars>
      </dgm:prSet>
      <dgm:spPr/>
      <dgm:t>
        <a:bodyPr/>
        <a:lstStyle/>
        <a:p>
          <a:endParaRPr lang="sr-Latn-CS"/>
        </a:p>
      </dgm:t>
    </dgm:pt>
    <dgm:pt modelId="{830695E7-E2AA-4BD0-B57E-BBDDE296D23D}" type="pres">
      <dgm:prSet presAssocID="{4F180EE8-A648-4FCF-AD91-3B15239FD985}" presName="Name9" presStyleLbl="parChTrans1D2" presStyleIdx="2" presStyleCnt="8"/>
      <dgm:spPr/>
      <dgm:t>
        <a:bodyPr/>
        <a:lstStyle/>
        <a:p>
          <a:endParaRPr lang="sr-Latn-CS"/>
        </a:p>
      </dgm:t>
    </dgm:pt>
    <dgm:pt modelId="{B32638B6-E15F-411A-AB21-C68E0861B010}" type="pres">
      <dgm:prSet presAssocID="{4F180EE8-A648-4FCF-AD91-3B15239FD985}" presName="connTx" presStyleLbl="parChTrans1D2" presStyleIdx="2" presStyleCnt="8"/>
      <dgm:spPr/>
      <dgm:t>
        <a:bodyPr/>
        <a:lstStyle/>
        <a:p>
          <a:endParaRPr lang="sr-Latn-CS"/>
        </a:p>
      </dgm:t>
    </dgm:pt>
    <dgm:pt modelId="{A9078532-5E52-4EF9-AD19-94A796CF8F69}" type="pres">
      <dgm:prSet presAssocID="{3187B28F-3590-4D20-9C20-E07D2DBB0B6C}" presName="node" presStyleLbl="node1" presStyleIdx="2" presStyleCnt="8">
        <dgm:presLayoutVars>
          <dgm:bulletEnabled val="1"/>
        </dgm:presLayoutVars>
      </dgm:prSet>
      <dgm:spPr/>
      <dgm:t>
        <a:bodyPr/>
        <a:lstStyle/>
        <a:p>
          <a:endParaRPr lang="sr-Latn-CS"/>
        </a:p>
      </dgm:t>
    </dgm:pt>
    <dgm:pt modelId="{F91B42B9-D667-4B6B-A040-C60E30F5D2C1}" type="pres">
      <dgm:prSet presAssocID="{18EBAC1F-A69C-474C-95D2-0BD8B2ADCCB8}" presName="Name9" presStyleLbl="parChTrans1D2" presStyleIdx="3" presStyleCnt="8"/>
      <dgm:spPr/>
      <dgm:t>
        <a:bodyPr/>
        <a:lstStyle/>
        <a:p>
          <a:endParaRPr lang="sr-Latn-CS"/>
        </a:p>
      </dgm:t>
    </dgm:pt>
    <dgm:pt modelId="{2EC1F3EE-E1C3-40B7-AB88-B7B6F590C8CE}" type="pres">
      <dgm:prSet presAssocID="{18EBAC1F-A69C-474C-95D2-0BD8B2ADCCB8}" presName="connTx" presStyleLbl="parChTrans1D2" presStyleIdx="3" presStyleCnt="8"/>
      <dgm:spPr/>
      <dgm:t>
        <a:bodyPr/>
        <a:lstStyle/>
        <a:p>
          <a:endParaRPr lang="sr-Latn-CS"/>
        </a:p>
      </dgm:t>
    </dgm:pt>
    <dgm:pt modelId="{BD2EE1E5-A474-4D14-8F0D-C992389B5107}" type="pres">
      <dgm:prSet presAssocID="{6519EC5D-4EAC-4E3A-92DE-E068906CD08D}" presName="node" presStyleLbl="node1" presStyleIdx="3" presStyleCnt="8">
        <dgm:presLayoutVars>
          <dgm:bulletEnabled val="1"/>
        </dgm:presLayoutVars>
      </dgm:prSet>
      <dgm:spPr/>
      <dgm:t>
        <a:bodyPr/>
        <a:lstStyle/>
        <a:p>
          <a:endParaRPr lang="sr-Latn-CS"/>
        </a:p>
      </dgm:t>
    </dgm:pt>
    <dgm:pt modelId="{BA979C10-3D19-435E-B0A5-2B5BAE17B002}" type="pres">
      <dgm:prSet presAssocID="{C8F8E622-837B-48FA-AC16-AF81D0A79C47}" presName="Name9" presStyleLbl="parChTrans1D2" presStyleIdx="4" presStyleCnt="8"/>
      <dgm:spPr/>
      <dgm:t>
        <a:bodyPr/>
        <a:lstStyle/>
        <a:p>
          <a:endParaRPr lang="sr-Latn-CS"/>
        </a:p>
      </dgm:t>
    </dgm:pt>
    <dgm:pt modelId="{520A5DE8-369F-4B5A-B4A0-AD0A92671614}" type="pres">
      <dgm:prSet presAssocID="{C8F8E622-837B-48FA-AC16-AF81D0A79C47}" presName="connTx" presStyleLbl="parChTrans1D2" presStyleIdx="4" presStyleCnt="8"/>
      <dgm:spPr/>
      <dgm:t>
        <a:bodyPr/>
        <a:lstStyle/>
        <a:p>
          <a:endParaRPr lang="sr-Latn-CS"/>
        </a:p>
      </dgm:t>
    </dgm:pt>
    <dgm:pt modelId="{B5C1AE48-CF05-425C-B284-E01C44605A10}" type="pres">
      <dgm:prSet presAssocID="{92C083B8-B651-4F42-9FBA-FE14B3B0579B}" presName="node" presStyleLbl="node1" presStyleIdx="4" presStyleCnt="8">
        <dgm:presLayoutVars>
          <dgm:bulletEnabled val="1"/>
        </dgm:presLayoutVars>
      </dgm:prSet>
      <dgm:spPr/>
      <dgm:t>
        <a:bodyPr/>
        <a:lstStyle/>
        <a:p>
          <a:endParaRPr lang="sr-Latn-CS"/>
        </a:p>
      </dgm:t>
    </dgm:pt>
    <dgm:pt modelId="{739F1ADB-D35A-4125-BE80-BF2BF867F0A9}" type="pres">
      <dgm:prSet presAssocID="{23B984FA-B67F-42CD-A65D-9060FE827622}" presName="Name9" presStyleLbl="parChTrans1D2" presStyleIdx="5" presStyleCnt="8"/>
      <dgm:spPr/>
      <dgm:t>
        <a:bodyPr/>
        <a:lstStyle/>
        <a:p>
          <a:endParaRPr lang="sr-Latn-CS"/>
        </a:p>
      </dgm:t>
    </dgm:pt>
    <dgm:pt modelId="{F6FAB148-EBF7-42F8-B9D4-83CDE53471CC}" type="pres">
      <dgm:prSet presAssocID="{23B984FA-B67F-42CD-A65D-9060FE827622}" presName="connTx" presStyleLbl="parChTrans1D2" presStyleIdx="5" presStyleCnt="8"/>
      <dgm:spPr/>
      <dgm:t>
        <a:bodyPr/>
        <a:lstStyle/>
        <a:p>
          <a:endParaRPr lang="sr-Latn-CS"/>
        </a:p>
      </dgm:t>
    </dgm:pt>
    <dgm:pt modelId="{EDA601CB-B614-4781-874D-6AFE70131B6B}" type="pres">
      <dgm:prSet presAssocID="{96058A8B-4427-4811-BA58-CB2E3B0FE8D8}" presName="node" presStyleLbl="node1" presStyleIdx="5" presStyleCnt="8">
        <dgm:presLayoutVars>
          <dgm:bulletEnabled val="1"/>
        </dgm:presLayoutVars>
      </dgm:prSet>
      <dgm:spPr/>
      <dgm:t>
        <a:bodyPr/>
        <a:lstStyle/>
        <a:p>
          <a:endParaRPr lang="sr-Latn-CS"/>
        </a:p>
      </dgm:t>
    </dgm:pt>
    <dgm:pt modelId="{07C84E1F-907C-4B19-96AA-53E279B680B2}" type="pres">
      <dgm:prSet presAssocID="{BE0CBE37-1CE5-4BF7-8824-41EBC0C1C8B2}" presName="Name9" presStyleLbl="parChTrans1D2" presStyleIdx="6" presStyleCnt="8"/>
      <dgm:spPr/>
      <dgm:t>
        <a:bodyPr/>
        <a:lstStyle/>
        <a:p>
          <a:endParaRPr lang="sr-Latn-CS"/>
        </a:p>
      </dgm:t>
    </dgm:pt>
    <dgm:pt modelId="{AD12E910-48D4-46F4-806F-03ECD80DCAB1}" type="pres">
      <dgm:prSet presAssocID="{BE0CBE37-1CE5-4BF7-8824-41EBC0C1C8B2}" presName="connTx" presStyleLbl="parChTrans1D2" presStyleIdx="6" presStyleCnt="8"/>
      <dgm:spPr/>
      <dgm:t>
        <a:bodyPr/>
        <a:lstStyle/>
        <a:p>
          <a:endParaRPr lang="sr-Latn-CS"/>
        </a:p>
      </dgm:t>
    </dgm:pt>
    <dgm:pt modelId="{4E579850-D854-4ED3-B1E5-547277D99440}" type="pres">
      <dgm:prSet presAssocID="{4E843792-4844-49F1-A698-312351A0942E}" presName="node" presStyleLbl="node1" presStyleIdx="6" presStyleCnt="8">
        <dgm:presLayoutVars>
          <dgm:bulletEnabled val="1"/>
        </dgm:presLayoutVars>
      </dgm:prSet>
      <dgm:spPr/>
      <dgm:t>
        <a:bodyPr/>
        <a:lstStyle/>
        <a:p>
          <a:endParaRPr lang="sr-Latn-CS"/>
        </a:p>
      </dgm:t>
    </dgm:pt>
    <dgm:pt modelId="{DD115BCC-2958-42E6-8CBE-4FCDBBA63B4B}" type="pres">
      <dgm:prSet presAssocID="{EA61FF33-D7B3-484B-BADA-084AC6F5C379}" presName="Name9" presStyleLbl="parChTrans1D2" presStyleIdx="7" presStyleCnt="8"/>
      <dgm:spPr/>
      <dgm:t>
        <a:bodyPr/>
        <a:lstStyle/>
        <a:p>
          <a:endParaRPr lang="sr-Latn-CS"/>
        </a:p>
      </dgm:t>
    </dgm:pt>
    <dgm:pt modelId="{346C3773-58B6-402E-8761-B31052324959}" type="pres">
      <dgm:prSet presAssocID="{EA61FF33-D7B3-484B-BADA-084AC6F5C379}" presName="connTx" presStyleLbl="parChTrans1D2" presStyleIdx="7" presStyleCnt="8"/>
      <dgm:spPr/>
      <dgm:t>
        <a:bodyPr/>
        <a:lstStyle/>
        <a:p>
          <a:endParaRPr lang="sr-Latn-CS"/>
        </a:p>
      </dgm:t>
    </dgm:pt>
    <dgm:pt modelId="{C08AB463-8350-41BB-8618-C97E18F04D03}" type="pres">
      <dgm:prSet presAssocID="{8BB706D3-D2B5-4015-B164-741AB3E75A25}" presName="node" presStyleLbl="node1" presStyleIdx="7" presStyleCnt="8" custScaleY="99906" custRadScaleRad="100384" custRadScaleInc="972">
        <dgm:presLayoutVars>
          <dgm:bulletEnabled val="1"/>
        </dgm:presLayoutVars>
      </dgm:prSet>
      <dgm:spPr/>
      <dgm:t>
        <a:bodyPr/>
        <a:lstStyle/>
        <a:p>
          <a:endParaRPr lang="sr-Latn-CS"/>
        </a:p>
      </dgm:t>
    </dgm:pt>
  </dgm:ptLst>
  <dgm:cxnLst>
    <dgm:cxn modelId="{D8F30A04-77BE-4944-99DE-B7E0DB0A9EF2}" type="presOf" srcId="{C8F8E622-837B-48FA-AC16-AF81D0A79C47}" destId="{BA979C10-3D19-435E-B0A5-2B5BAE17B002}" srcOrd="0" destOrd="0" presId="urn:microsoft.com/office/officeart/2005/8/layout/radial1"/>
    <dgm:cxn modelId="{85DC39C6-D3E5-4E8F-9AC5-4E208EE2D8C5}" srcId="{DDF51FDA-B8CC-4BBC-8D15-E704DE732DE3}" destId="{3187B28F-3590-4D20-9C20-E07D2DBB0B6C}" srcOrd="2" destOrd="0" parTransId="{4F180EE8-A648-4FCF-AD91-3B15239FD985}" sibTransId="{7BA203B4-F01A-4BF7-A8D0-8B276013AD45}"/>
    <dgm:cxn modelId="{4FD010DA-C2F6-4484-B354-C76B44B5B693}" type="presOf" srcId="{BE0CBE37-1CE5-4BF7-8824-41EBC0C1C8B2}" destId="{07C84E1F-907C-4B19-96AA-53E279B680B2}" srcOrd="0" destOrd="0" presId="urn:microsoft.com/office/officeart/2005/8/layout/radial1"/>
    <dgm:cxn modelId="{9118B792-9C98-4127-9AAF-9680BC0A3ABC}" type="presOf" srcId="{BE0CBE37-1CE5-4BF7-8824-41EBC0C1C8B2}" destId="{AD12E910-48D4-46F4-806F-03ECD80DCAB1}" srcOrd="1" destOrd="0" presId="urn:microsoft.com/office/officeart/2005/8/layout/radial1"/>
    <dgm:cxn modelId="{5579AA6F-691D-44A5-8793-73C649426C3D}" type="presOf" srcId="{4E843792-4844-49F1-A698-312351A0942E}" destId="{4E579850-D854-4ED3-B1E5-547277D99440}" srcOrd="0" destOrd="0" presId="urn:microsoft.com/office/officeart/2005/8/layout/radial1"/>
    <dgm:cxn modelId="{7CFC243E-27F4-4385-AC03-9348A49C23B0}" type="presOf" srcId="{92C083B8-B651-4F42-9FBA-FE14B3B0579B}" destId="{B5C1AE48-CF05-425C-B284-E01C44605A10}" srcOrd="0" destOrd="0" presId="urn:microsoft.com/office/officeart/2005/8/layout/radial1"/>
    <dgm:cxn modelId="{02E4BC26-BE94-4238-A1C9-01CAFD6631FC}" type="presOf" srcId="{4993BCA2-BD86-4414-9BD9-59D851E2F284}" destId="{921D02FC-8456-40A2-A5A0-E677213AC3B7}" srcOrd="0" destOrd="0" presId="urn:microsoft.com/office/officeart/2005/8/layout/radial1"/>
    <dgm:cxn modelId="{B9A07F6A-CAA2-44CF-95D8-AF6F969D3EA7}" type="presOf" srcId="{23B984FA-B67F-42CD-A65D-9060FE827622}" destId="{739F1ADB-D35A-4125-BE80-BF2BF867F0A9}" srcOrd="0" destOrd="0" presId="urn:microsoft.com/office/officeart/2005/8/layout/radial1"/>
    <dgm:cxn modelId="{8736B86A-2912-424A-9F07-6760D88FB1BE}" srcId="{DDF51FDA-B8CC-4BBC-8D15-E704DE732DE3}" destId="{6519EC5D-4EAC-4E3A-92DE-E068906CD08D}" srcOrd="3" destOrd="0" parTransId="{18EBAC1F-A69C-474C-95D2-0BD8B2ADCCB8}" sibTransId="{A910DAA0-27DA-4651-B9C2-80DBF0342DEA}"/>
    <dgm:cxn modelId="{790CB8E8-B19A-4237-A6C6-BD1F9AEB9590}" type="presOf" srcId="{E86AEBC8-E56D-4019-8596-72EA244B905C}" destId="{D38570B8-637F-4F64-B12A-3657756FBC94}" srcOrd="0" destOrd="0" presId="urn:microsoft.com/office/officeart/2005/8/layout/radial1"/>
    <dgm:cxn modelId="{D4DB2254-116E-4D66-AC29-65E74A88A280}" type="presOf" srcId="{4F180EE8-A648-4FCF-AD91-3B15239FD985}" destId="{B32638B6-E15F-411A-AB21-C68E0861B010}" srcOrd="1" destOrd="0" presId="urn:microsoft.com/office/officeart/2005/8/layout/radial1"/>
    <dgm:cxn modelId="{05CA1099-F325-4A1A-B6DE-7C46913B4601}" type="presOf" srcId="{4F180EE8-A648-4FCF-AD91-3B15239FD985}" destId="{830695E7-E2AA-4BD0-B57E-BBDDE296D23D}" srcOrd="0" destOrd="0" presId="urn:microsoft.com/office/officeart/2005/8/layout/radial1"/>
    <dgm:cxn modelId="{6DD21CD4-65BF-4B66-BD7F-7F912DB95E5D}" type="presOf" srcId="{54EA540A-F9D5-433F-84A6-76B3A6D104C7}" destId="{275D95C3-A198-45EF-A2F7-EE50880ADBD7}" srcOrd="0" destOrd="0" presId="urn:microsoft.com/office/officeart/2005/8/layout/radial1"/>
    <dgm:cxn modelId="{751D40DF-ED9D-4183-BCF9-C11F2456D6B0}" type="presOf" srcId="{8BB706D3-D2B5-4015-B164-741AB3E75A25}" destId="{C08AB463-8350-41BB-8618-C97E18F04D03}" srcOrd="0" destOrd="0" presId="urn:microsoft.com/office/officeart/2005/8/layout/radial1"/>
    <dgm:cxn modelId="{EBE104FE-37EA-4E68-98DD-7F27D6D5CFD4}" srcId="{DDF51FDA-B8CC-4BBC-8D15-E704DE732DE3}" destId="{8BB706D3-D2B5-4015-B164-741AB3E75A25}" srcOrd="7" destOrd="0" parTransId="{EA61FF33-D7B3-484B-BADA-084AC6F5C379}" sibTransId="{9A6EE3C7-05B3-488F-8CCD-E4503E3EF9CC}"/>
    <dgm:cxn modelId="{C21E9E1D-0A83-453A-A04C-5517C8B7945F}" type="presOf" srcId="{6519EC5D-4EAC-4E3A-92DE-E068906CD08D}" destId="{BD2EE1E5-A474-4D14-8F0D-C992389B5107}" srcOrd="0" destOrd="0" presId="urn:microsoft.com/office/officeart/2005/8/layout/radial1"/>
    <dgm:cxn modelId="{0382B750-F024-4E05-A717-62582584D828}" srcId="{DDF51FDA-B8CC-4BBC-8D15-E704DE732DE3}" destId="{E86AEBC8-E56D-4019-8596-72EA244B905C}" srcOrd="0" destOrd="0" parTransId="{EFBAD6C5-221E-48C2-B647-51AE1D86AA39}" sibTransId="{67441F45-BE1E-4804-82CF-FD737A8C9627}"/>
    <dgm:cxn modelId="{2D4C8AE1-1A8F-4AAD-AAEA-6178065BD4BC}" srcId="{DDF51FDA-B8CC-4BBC-8D15-E704DE732DE3}" destId="{96058A8B-4427-4811-BA58-CB2E3B0FE8D8}" srcOrd="5" destOrd="0" parTransId="{23B984FA-B67F-42CD-A65D-9060FE827622}" sibTransId="{A2D326E8-4FF0-4D92-BF56-DAAF373C5EC6}"/>
    <dgm:cxn modelId="{8B14D6AE-CC0E-4189-B226-277E128C1AD7}" type="presOf" srcId="{18EBAC1F-A69C-474C-95D2-0BD8B2ADCCB8}" destId="{2EC1F3EE-E1C3-40B7-AB88-B7B6F590C8CE}" srcOrd="1" destOrd="0" presId="urn:microsoft.com/office/officeart/2005/8/layout/radial1"/>
    <dgm:cxn modelId="{9A32725C-5B3C-41F8-B08C-9F69D9DEB513}" srcId="{4993BCA2-BD86-4414-9BD9-59D851E2F284}" destId="{DDF51FDA-B8CC-4BBC-8D15-E704DE732DE3}" srcOrd="0" destOrd="0" parTransId="{B795F408-0642-40DE-BA1A-89DF8B530924}" sibTransId="{DBF9DDC1-7741-422A-A5C3-D37D8C48781C}"/>
    <dgm:cxn modelId="{87AE0031-D630-42B0-888C-E81ADED3B550}" type="presOf" srcId="{96058A8B-4427-4811-BA58-CB2E3B0FE8D8}" destId="{EDA601CB-B614-4781-874D-6AFE70131B6B}" srcOrd="0" destOrd="0" presId="urn:microsoft.com/office/officeart/2005/8/layout/radial1"/>
    <dgm:cxn modelId="{450EC8E8-ADCE-4631-9003-E94B97E7704A}" type="presOf" srcId="{69088FAF-45D2-45BB-980A-0D1E7F56480E}" destId="{913C92BD-62A9-4D66-9085-13E723AA75D6}" srcOrd="1" destOrd="0" presId="urn:microsoft.com/office/officeart/2005/8/layout/radial1"/>
    <dgm:cxn modelId="{48251EA9-81C1-4CAA-BBCC-D1AFECE70120}" type="presOf" srcId="{DDF51FDA-B8CC-4BBC-8D15-E704DE732DE3}" destId="{EBA98BE9-6445-4067-A217-F6030BE979A6}" srcOrd="0" destOrd="0" presId="urn:microsoft.com/office/officeart/2005/8/layout/radial1"/>
    <dgm:cxn modelId="{960C7FFB-EEF1-41F0-8C57-CE88C3614461}" type="presOf" srcId="{EA61FF33-D7B3-484B-BADA-084AC6F5C379}" destId="{DD115BCC-2958-42E6-8CBE-4FCDBBA63B4B}" srcOrd="0" destOrd="0" presId="urn:microsoft.com/office/officeart/2005/8/layout/radial1"/>
    <dgm:cxn modelId="{DDB959BA-68BD-427E-B30D-050A9753AB11}" srcId="{DDF51FDA-B8CC-4BBC-8D15-E704DE732DE3}" destId="{54EA540A-F9D5-433F-84A6-76B3A6D104C7}" srcOrd="1" destOrd="0" parTransId="{69088FAF-45D2-45BB-980A-0D1E7F56480E}" sibTransId="{2FCFA39E-7614-40D5-8B03-7463F65639B5}"/>
    <dgm:cxn modelId="{4E695A3C-641B-4608-8A5A-8BB5D02A583E}" srcId="{DDF51FDA-B8CC-4BBC-8D15-E704DE732DE3}" destId="{4E843792-4844-49F1-A698-312351A0942E}" srcOrd="6" destOrd="0" parTransId="{BE0CBE37-1CE5-4BF7-8824-41EBC0C1C8B2}" sibTransId="{FC533668-A159-4478-994E-578CA60FD044}"/>
    <dgm:cxn modelId="{089E011B-561F-46D9-87E2-8F25BD319917}" srcId="{DDF51FDA-B8CC-4BBC-8D15-E704DE732DE3}" destId="{92C083B8-B651-4F42-9FBA-FE14B3B0579B}" srcOrd="4" destOrd="0" parTransId="{C8F8E622-837B-48FA-AC16-AF81D0A79C47}" sibTransId="{4AC188F7-DB2E-4AD4-A0A6-97C510043C8B}"/>
    <dgm:cxn modelId="{7A38F64E-18F6-4961-87C8-EDECF9880906}" type="presOf" srcId="{EFBAD6C5-221E-48C2-B647-51AE1D86AA39}" destId="{17F27D9B-F9B7-4680-8DCE-DB59EBB7D70F}" srcOrd="0" destOrd="0" presId="urn:microsoft.com/office/officeart/2005/8/layout/radial1"/>
    <dgm:cxn modelId="{6980D3F7-9DCF-4EC2-8055-C2FC970D5C82}" type="presOf" srcId="{EFBAD6C5-221E-48C2-B647-51AE1D86AA39}" destId="{93E5AEDE-683D-4C7C-8592-FE74B1836018}" srcOrd="1" destOrd="0" presId="urn:microsoft.com/office/officeart/2005/8/layout/radial1"/>
    <dgm:cxn modelId="{747C1BF6-8058-46E6-ADC3-5C6B6057AE04}" type="presOf" srcId="{69088FAF-45D2-45BB-980A-0D1E7F56480E}" destId="{87F52C16-1FBA-49D0-AB3C-4E7F7E87A9BB}" srcOrd="0" destOrd="0" presId="urn:microsoft.com/office/officeart/2005/8/layout/radial1"/>
    <dgm:cxn modelId="{FC65AE9D-D594-40E0-B959-B157CB30951E}" type="presOf" srcId="{18EBAC1F-A69C-474C-95D2-0BD8B2ADCCB8}" destId="{F91B42B9-D667-4B6B-A040-C60E30F5D2C1}" srcOrd="0" destOrd="0" presId="urn:microsoft.com/office/officeart/2005/8/layout/radial1"/>
    <dgm:cxn modelId="{6054492A-22E4-4C39-A51E-CCA26DC4ED49}" type="presOf" srcId="{C8F8E622-837B-48FA-AC16-AF81D0A79C47}" destId="{520A5DE8-369F-4B5A-B4A0-AD0A92671614}" srcOrd="1" destOrd="0" presId="urn:microsoft.com/office/officeart/2005/8/layout/radial1"/>
    <dgm:cxn modelId="{847DD44D-6F85-4C01-9186-42517674E825}" type="presOf" srcId="{23B984FA-B67F-42CD-A65D-9060FE827622}" destId="{F6FAB148-EBF7-42F8-B9D4-83CDE53471CC}" srcOrd="1" destOrd="0" presId="urn:microsoft.com/office/officeart/2005/8/layout/radial1"/>
    <dgm:cxn modelId="{19E2E24D-5CF4-488C-8D8A-6A3F2311BEAD}" type="presOf" srcId="{3187B28F-3590-4D20-9C20-E07D2DBB0B6C}" destId="{A9078532-5E52-4EF9-AD19-94A796CF8F69}" srcOrd="0" destOrd="0" presId="urn:microsoft.com/office/officeart/2005/8/layout/radial1"/>
    <dgm:cxn modelId="{66C9D85A-2B81-4D18-9472-CD6769424692}" type="presOf" srcId="{EA61FF33-D7B3-484B-BADA-084AC6F5C379}" destId="{346C3773-58B6-402E-8761-B31052324959}" srcOrd="1" destOrd="0" presId="urn:microsoft.com/office/officeart/2005/8/layout/radial1"/>
    <dgm:cxn modelId="{C9C3CEFB-CC38-4E9C-A392-F852396C80A2}" type="presParOf" srcId="{921D02FC-8456-40A2-A5A0-E677213AC3B7}" destId="{EBA98BE9-6445-4067-A217-F6030BE979A6}" srcOrd="0" destOrd="0" presId="urn:microsoft.com/office/officeart/2005/8/layout/radial1"/>
    <dgm:cxn modelId="{D927DB71-F367-4103-B414-B300303619B9}" type="presParOf" srcId="{921D02FC-8456-40A2-A5A0-E677213AC3B7}" destId="{17F27D9B-F9B7-4680-8DCE-DB59EBB7D70F}" srcOrd="1" destOrd="0" presId="urn:microsoft.com/office/officeart/2005/8/layout/radial1"/>
    <dgm:cxn modelId="{14E508A6-FAE0-4F64-80B5-6F81E52D03C1}" type="presParOf" srcId="{17F27D9B-F9B7-4680-8DCE-DB59EBB7D70F}" destId="{93E5AEDE-683D-4C7C-8592-FE74B1836018}" srcOrd="0" destOrd="0" presId="urn:microsoft.com/office/officeart/2005/8/layout/radial1"/>
    <dgm:cxn modelId="{FD3E1D42-3F44-4C17-A38F-E8CBAEF9BFFA}" type="presParOf" srcId="{921D02FC-8456-40A2-A5A0-E677213AC3B7}" destId="{D38570B8-637F-4F64-B12A-3657756FBC94}" srcOrd="2" destOrd="0" presId="urn:microsoft.com/office/officeart/2005/8/layout/radial1"/>
    <dgm:cxn modelId="{E630BB12-3B9D-4A87-BC32-810F8A2C7A31}" type="presParOf" srcId="{921D02FC-8456-40A2-A5A0-E677213AC3B7}" destId="{87F52C16-1FBA-49D0-AB3C-4E7F7E87A9BB}" srcOrd="3" destOrd="0" presId="urn:microsoft.com/office/officeart/2005/8/layout/radial1"/>
    <dgm:cxn modelId="{0D1D7864-99FF-4B01-B829-F87C256202C7}" type="presParOf" srcId="{87F52C16-1FBA-49D0-AB3C-4E7F7E87A9BB}" destId="{913C92BD-62A9-4D66-9085-13E723AA75D6}" srcOrd="0" destOrd="0" presId="urn:microsoft.com/office/officeart/2005/8/layout/radial1"/>
    <dgm:cxn modelId="{06F01551-66CA-498A-A4EC-20335F5BE5BB}" type="presParOf" srcId="{921D02FC-8456-40A2-A5A0-E677213AC3B7}" destId="{275D95C3-A198-45EF-A2F7-EE50880ADBD7}" srcOrd="4" destOrd="0" presId="urn:microsoft.com/office/officeart/2005/8/layout/radial1"/>
    <dgm:cxn modelId="{7FC052B1-9A1D-4AA4-A5D3-ED80932801E2}" type="presParOf" srcId="{921D02FC-8456-40A2-A5A0-E677213AC3B7}" destId="{830695E7-E2AA-4BD0-B57E-BBDDE296D23D}" srcOrd="5" destOrd="0" presId="urn:microsoft.com/office/officeart/2005/8/layout/radial1"/>
    <dgm:cxn modelId="{9AD93232-2B50-47FE-A943-FB056AFD4CE3}" type="presParOf" srcId="{830695E7-E2AA-4BD0-B57E-BBDDE296D23D}" destId="{B32638B6-E15F-411A-AB21-C68E0861B010}" srcOrd="0" destOrd="0" presId="urn:microsoft.com/office/officeart/2005/8/layout/radial1"/>
    <dgm:cxn modelId="{5EDFD8CC-B34F-4414-BC76-159110555895}" type="presParOf" srcId="{921D02FC-8456-40A2-A5A0-E677213AC3B7}" destId="{A9078532-5E52-4EF9-AD19-94A796CF8F69}" srcOrd="6" destOrd="0" presId="urn:microsoft.com/office/officeart/2005/8/layout/radial1"/>
    <dgm:cxn modelId="{91F2C150-2A49-4EAB-A751-2FB63B511DE7}" type="presParOf" srcId="{921D02FC-8456-40A2-A5A0-E677213AC3B7}" destId="{F91B42B9-D667-4B6B-A040-C60E30F5D2C1}" srcOrd="7" destOrd="0" presId="urn:microsoft.com/office/officeart/2005/8/layout/radial1"/>
    <dgm:cxn modelId="{58634164-ED18-4BAA-8B61-7B1337560EE4}" type="presParOf" srcId="{F91B42B9-D667-4B6B-A040-C60E30F5D2C1}" destId="{2EC1F3EE-E1C3-40B7-AB88-B7B6F590C8CE}" srcOrd="0" destOrd="0" presId="urn:microsoft.com/office/officeart/2005/8/layout/radial1"/>
    <dgm:cxn modelId="{299924FA-0CF5-4DDB-8755-4C4E0DBBA790}" type="presParOf" srcId="{921D02FC-8456-40A2-A5A0-E677213AC3B7}" destId="{BD2EE1E5-A474-4D14-8F0D-C992389B5107}" srcOrd="8" destOrd="0" presId="urn:microsoft.com/office/officeart/2005/8/layout/radial1"/>
    <dgm:cxn modelId="{E09C4AE6-3AB8-4D43-990C-A3372C149504}" type="presParOf" srcId="{921D02FC-8456-40A2-A5A0-E677213AC3B7}" destId="{BA979C10-3D19-435E-B0A5-2B5BAE17B002}" srcOrd="9" destOrd="0" presId="urn:microsoft.com/office/officeart/2005/8/layout/radial1"/>
    <dgm:cxn modelId="{6B0090B2-80D5-408A-966D-18A487C66A0A}" type="presParOf" srcId="{BA979C10-3D19-435E-B0A5-2B5BAE17B002}" destId="{520A5DE8-369F-4B5A-B4A0-AD0A92671614}" srcOrd="0" destOrd="0" presId="urn:microsoft.com/office/officeart/2005/8/layout/radial1"/>
    <dgm:cxn modelId="{6D807366-7644-43CA-A781-36D7318EA58D}" type="presParOf" srcId="{921D02FC-8456-40A2-A5A0-E677213AC3B7}" destId="{B5C1AE48-CF05-425C-B284-E01C44605A10}" srcOrd="10" destOrd="0" presId="urn:microsoft.com/office/officeart/2005/8/layout/radial1"/>
    <dgm:cxn modelId="{AD691E73-D238-4699-B433-61709C20CE9A}" type="presParOf" srcId="{921D02FC-8456-40A2-A5A0-E677213AC3B7}" destId="{739F1ADB-D35A-4125-BE80-BF2BF867F0A9}" srcOrd="11" destOrd="0" presId="urn:microsoft.com/office/officeart/2005/8/layout/radial1"/>
    <dgm:cxn modelId="{E1DAC438-6318-4440-A200-B34EA01F52B3}" type="presParOf" srcId="{739F1ADB-D35A-4125-BE80-BF2BF867F0A9}" destId="{F6FAB148-EBF7-42F8-B9D4-83CDE53471CC}" srcOrd="0" destOrd="0" presId="urn:microsoft.com/office/officeart/2005/8/layout/radial1"/>
    <dgm:cxn modelId="{D7928F01-E47A-4297-AB7F-0CE2037E2DB7}" type="presParOf" srcId="{921D02FC-8456-40A2-A5A0-E677213AC3B7}" destId="{EDA601CB-B614-4781-874D-6AFE70131B6B}" srcOrd="12" destOrd="0" presId="urn:microsoft.com/office/officeart/2005/8/layout/radial1"/>
    <dgm:cxn modelId="{AA45FAA5-B7B5-4740-A532-782887551A04}" type="presParOf" srcId="{921D02FC-8456-40A2-A5A0-E677213AC3B7}" destId="{07C84E1F-907C-4B19-96AA-53E279B680B2}" srcOrd="13" destOrd="0" presId="urn:microsoft.com/office/officeart/2005/8/layout/radial1"/>
    <dgm:cxn modelId="{6E869BF6-DDDC-4C08-B9D7-45A23ABBC1EC}" type="presParOf" srcId="{07C84E1F-907C-4B19-96AA-53E279B680B2}" destId="{AD12E910-48D4-46F4-806F-03ECD80DCAB1}" srcOrd="0" destOrd="0" presId="urn:microsoft.com/office/officeart/2005/8/layout/radial1"/>
    <dgm:cxn modelId="{13C32D11-0487-4C28-921B-25631F784D37}" type="presParOf" srcId="{921D02FC-8456-40A2-A5A0-E677213AC3B7}" destId="{4E579850-D854-4ED3-B1E5-547277D99440}" srcOrd="14" destOrd="0" presId="urn:microsoft.com/office/officeart/2005/8/layout/radial1"/>
    <dgm:cxn modelId="{0B368DD6-42CA-4E80-9B9E-B85CE32EA98C}" type="presParOf" srcId="{921D02FC-8456-40A2-A5A0-E677213AC3B7}" destId="{DD115BCC-2958-42E6-8CBE-4FCDBBA63B4B}" srcOrd="15" destOrd="0" presId="urn:microsoft.com/office/officeart/2005/8/layout/radial1"/>
    <dgm:cxn modelId="{F4115942-B68A-47A5-A537-A4DF9CBD7DC3}" type="presParOf" srcId="{DD115BCC-2958-42E6-8CBE-4FCDBBA63B4B}" destId="{346C3773-58B6-402E-8761-B31052324959}" srcOrd="0" destOrd="0" presId="urn:microsoft.com/office/officeart/2005/8/layout/radial1"/>
    <dgm:cxn modelId="{34C21179-8091-4091-B4E3-8A5288FA4FF7}" type="presParOf" srcId="{921D02FC-8456-40A2-A5A0-E677213AC3B7}" destId="{C08AB463-8350-41BB-8618-C97E18F04D03}" srcOrd="16" destOrd="0" presId="urn:microsoft.com/office/officeart/2005/8/layout/radial1"/>
  </dgm:cxnLst>
  <dgm:bg/>
  <dgm:whole/>
</dgm:dataModel>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3661C3-C3FF-4667-96A4-A2B34B04D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8733751</TotalTime>
  <Pages>495</Pages>
  <Words>160361</Words>
  <Characters>914060</Characters>
  <Application>Microsoft Office Word</Application>
  <DocSecurity>0</DocSecurity>
  <Lines>7617</Lines>
  <Paragraphs>2144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1072277</CharactersWithSpaces>
  <SharedDoc>false</SharedDoc>
  <HLinks>
    <vt:vector size="660" baseType="variant">
      <vt:variant>
        <vt:i4>4128823</vt:i4>
      </vt:variant>
      <vt:variant>
        <vt:i4>315</vt:i4>
      </vt:variant>
      <vt:variant>
        <vt:i4>0</vt:i4>
      </vt:variant>
      <vt:variant>
        <vt:i4>5</vt:i4>
      </vt:variant>
      <vt:variant>
        <vt:lpwstr>http://www.apml.gov.rs/REPOSITORY/533_2274_moli_pripremni-izve%C5%A1taj_srpski-final.pdf</vt:lpwstr>
      </vt:variant>
      <vt:variant>
        <vt:lpwstr/>
      </vt:variant>
      <vt:variant>
        <vt:i4>4325485</vt:i4>
      </vt:variant>
      <vt:variant>
        <vt:i4>312</vt:i4>
      </vt:variant>
      <vt:variant>
        <vt:i4>0</vt:i4>
      </vt:variant>
      <vt:variant>
        <vt:i4>5</vt:i4>
      </vt:variant>
      <vt:variant>
        <vt:lpwstr>http://www.b92.net/info/vesti/index.php?yyyy=2013&amp;mm=11&amp;dd=20&amp;nav_id=779547</vt:lpwstr>
      </vt:variant>
      <vt:variant>
        <vt:lpwstr/>
      </vt:variant>
      <vt:variant>
        <vt:i4>7667766</vt:i4>
      </vt:variant>
      <vt:variant>
        <vt:i4>309</vt:i4>
      </vt:variant>
      <vt:variant>
        <vt:i4>0</vt:i4>
      </vt:variant>
      <vt:variant>
        <vt:i4>5</vt:i4>
      </vt:variant>
      <vt:variant>
        <vt:lpwstr>http://www.rts.rs/upload/storyBoxFileData/2013/03/04/3072354/Radna verzija.pdf</vt:lpwstr>
      </vt:variant>
      <vt:variant>
        <vt:lpwstr/>
      </vt:variant>
      <vt:variant>
        <vt:i4>4194409</vt:i4>
      </vt:variant>
      <vt:variant>
        <vt:i4>306</vt:i4>
      </vt:variant>
      <vt:variant>
        <vt:i4>0</vt:i4>
      </vt:variant>
      <vt:variant>
        <vt:i4>5</vt:i4>
      </vt:variant>
      <vt:variant>
        <vt:lpwstr>http://www.transparentnost.org.rs/index.php?option=com_content&amp;view=article&amp;id=4&amp;Itemid=7&amp;lang=sr</vt:lpwstr>
      </vt:variant>
      <vt:variant>
        <vt:lpwstr/>
      </vt:variant>
      <vt:variant>
        <vt:i4>4194409</vt:i4>
      </vt:variant>
      <vt:variant>
        <vt:i4>303</vt:i4>
      </vt:variant>
      <vt:variant>
        <vt:i4>0</vt:i4>
      </vt:variant>
      <vt:variant>
        <vt:i4>5</vt:i4>
      </vt:variant>
      <vt:variant>
        <vt:lpwstr>http://www.transparentnost.org.rs/index.php?option=com_content&amp;view=article&amp;id=4&amp;Itemid=7&amp;lang=sr</vt:lpwstr>
      </vt:variant>
      <vt:variant>
        <vt:lpwstr/>
      </vt:variant>
      <vt:variant>
        <vt:i4>4325463</vt:i4>
      </vt:variant>
      <vt:variant>
        <vt:i4>300</vt:i4>
      </vt:variant>
      <vt:variant>
        <vt:i4>0</vt:i4>
      </vt:variant>
      <vt:variant>
        <vt:i4>5</vt:i4>
      </vt:variant>
      <vt:variant>
        <vt:lpwstr>http://www.coe.int/t/dghl/cooperation/economiccrime/corruption/Projects/PACS-Serbia/Project Documents/PACS Inception Report SERB.pdf</vt:lpwstr>
      </vt:variant>
      <vt:variant>
        <vt:lpwstr/>
      </vt:variant>
      <vt:variant>
        <vt:i4>7536700</vt:i4>
      </vt:variant>
      <vt:variant>
        <vt:i4>297</vt:i4>
      </vt:variant>
      <vt:variant>
        <vt:i4>0</vt:i4>
      </vt:variant>
      <vt:variant>
        <vt:i4>5</vt:i4>
      </vt:variant>
      <vt:variant>
        <vt:lpwstr>http://www.transparentnost.org.rs/</vt:lpwstr>
      </vt:variant>
      <vt:variant>
        <vt:lpwstr/>
      </vt:variant>
      <vt:variant>
        <vt:i4>68158482</vt:i4>
      </vt:variant>
      <vt:variant>
        <vt:i4>294</vt:i4>
      </vt:variant>
      <vt:variant>
        <vt:i4>0</vt:i4>
      </vt:variant>
      <vt:variant>
        <vt:i4>5</vt:i4>
      </vt:variant>
      <vt:variant>
        <vt:lpwstr>http://www.mup.gov.rs/cms/resursi.nsf/InformatorMUP-cirilica.pdf за 2012</vt:lpwstr>
      </vt:variant>
      <vt:variant>
        <vt:lpwstr/>
      </vt:variant>
      <vt:variant>
        <vt:i4>327769</vt:i4>
      </vt:variant>
      <vt:variant>
        <vt:i4>291</vt:i4>
      </vt:variant>
      <vt:variant>
        <vt:i4>0</vt:i4>
      </vt:variant>
      <vt:variant>
        <vt:i4>5</vt:i4>
      </vt:variant>
      <vt:variant>
        <vt:lpwstr>http://www.transparency.org/cpi2012/</vt:lpwstr>
      </vt:variant>
      <vt:variant>
        <vt:lpwstr/>
      </vt:variant>
      <vt:variant>
        <vt:i4>4325463</vt:i4>
      </vt:variant>
      <vt:variant>
        <vt:i4>288</vt:i4>
      </vt:variant>
      <vt:variant>
        <vt:i4>0</vt:i4>
      </vt:variant>
      <vt:variant>
        <vt:i4>5</vt:i4>
      </vt:variant>
      <vt:variant>
        <vt:lpwstr>http://www.coe.int/t/dghl/cooperation/economiccrime/corruption/Projects/PACS-Serbia/Project Documents/PACS Inception Report SERB.pdf</vt:lpwstr>
      </vt:variant>
      <vt:variant>
        <vt:lpwstr/>
      </vt:variant>
      <vt:variant>
        <vt:i4>5767261</vt:i4>
      </vt:variant>
      <vt:variant>
        <vt:i4>285</vt:i4>
      </vt:variant>
      <vt:variant>
        <vt:i4>0</vt:i4>
      </vt:variant>
      <vt:variant>
        <vt:i4>5</vt:i4>
      </vt:variant>
      <vt:variant>
        <vt:lpwstr>http://www.skgo.org/reports/details/1092</vt:lpwstr>
      </vt:variant>
      <vt:variant>
        <vt:lpwstr/>
      </vt:variant>
      <vt:variant>
        <vt:i4>1310721</vt:i4>
      </vt:variant>
      <vt:variant>
        <vt:i4>282</vt:i4>
      </vt:variant>
      <vt:variant>
        <vt:i4>0</vt:i4>
      </vt:variant>
      <vt:variant>
        <vt:i4>5</vt:i4>
      </vt:variant>
      <vt:variant>
        <vt:lpwstr>http://www.mogucasrbija.rs/Oblast/100/Korupcija/40/Klju%C4%8Dni problemi Srbije u borbi protiv korupcije.html</vt:lpwstr>
      </vt:variant>
      <vt:variant>
        <vt:lpwstr/>
      </vt:variant>
      <vt:variant>
        <vt:i4>4456454</vt:i4>
      </vt:variant>
      <vt:variant>
        <vt:i4>279</vt:i4>
      </vt:variant>
      <vt:variant>
        <vt:i4>0</vt:i4>
      </vt:variant>
      <vt:variant>
        <vt:i4>5</vt:i4>
      </vt:variant>
      <vt:variant>
        <vt:lpwstr>http://bs.wikipedia.org/wiki/Porez_na_dodatu_vrijednost</vt:lpwstr>
      </vt:variant>
      <vt:variant>
        <vt:lpwstr>Zemlje_EU</vt:lpwstr>
      </vt:variant>
      <vt:variant>
        <vt:i4>4456480</vt:i4>
      </vt:variant>
      <vt:variant>
        <vt:i4>276</vt:i4>
      </vt:variant>
      <vt:variant>
        <vt:i4>0</vt:i4>
      </vt:variant>
      <vt:variant>
        <vt:i4>5</vt:i4>
      </vt:variant>
      <vt:variant>
        <vt:lpwstr>http://bs.wikipedia.org/wiki/Ujedinjeno_Kraljevstvo</vt:lpwstr>
      </vt:variant>
      <vt:variant>
        <vt:lpwstr/>
      </vt:variant>
      <vt:variant>
        <vt:i4>524383</vt:i4>
      </vt:variant>
      <vt:variant>
        <vt:i4>270</vt:i4>
      </vt:variant>
      <vt:variant>
        <vt:i4>0</vt:i4>
      </vt:variant>
      <vt:variant>
        <vt:i4>5</vt:i4>
      </vt:variant>
      <vt:variant>
        <vt:lpwstr>http://bs.wikipedia.org/wiki/Zastava_Ujedinjenog_Kraljevstva</vt:lpwstr>
      </vt:variant>
      <vt:variant>
        <vt:lpwstr/>
      </vt:variant>
      <vt:variant>
        <vt:i4>1048648</vt:i4>
      </vt:variant>
      <vt:variant>
        <vt:i4>267</vt:i4>
      </vt:variant>
      <vt:variant>
        <vt:i4>0</vt:i4>
      </vt:variant>
      <vt:variant>
        <vt:i4>5</vt:i4>
      </vt:variant>
      <vt:variant>
        <vt:lpwstr>http://bs.wikipedia.org/wiki/%C5%A0vedska</vt:lpwstr>
      </vt:variant>
      <vt:variant>
        <vt:lpwstr/>
      </vt:variant>
      <vt:variant>
        <vt:i4>1900630</vt:i4>
      </vt:variant>
      <vt:variant>
        <vt:i4>261</vt:i4>
      </vt:variant>
      <vt:variant>
        <vt:i4>0</vt:i4>
      </vt:variant>
      <vt:variant>
        <vt:i4>5</vt:i4>
      </vt:variant>
      <vt:variant>
        <vt:lpwstr>http://bs.wikipedia.org/wiki/%C5%A0panija</vt:lpwstr>
      </vt:variant>
      <vt:variant>
        <vt:lpwstr/>
      </vt:variant>
      <vt:variant>
        <vt:i4>1310826</vt:i4>
      </vt:variant>
      <vt:variant>
        <vt:i4>255</vt:i4>
      </vt:variant>
      <vt:variant>
        <vt:i4>0</vt:i4>
      </vt:variant>
      <vt:variant>
        <vt:i4>5</vt:i4>
      </vt:variant>
      <vt:variant>
        <vt:lpwstr>http://bs.wikipedia.org/wiki/Zastava_%C5%A0panije</vt:lpwstr>
      </vt:variant>
      <vt:variant>
        <vt:lpwstr/>
      </vt:variant>
      <vt:variant>
        <vt:i4>6881334</vt:i4>
      </vt:variant>
      <vt:variant>
        <vt:i4>252</vt:i4>
      </vt:variant>
      <vt:variant>
        <vt:i4>0</vt:i4>
      </vt:variant>
      <vt:variant>
        <vt:i4>5</vt:i4>
      </vt:variant>
      <vt:variant>
        <vt:lpwstr>http://bs.wikipedia.org/wiki/Slovenija</vt:lpwstr>
      </vt:variant>
      <vt:variant>
        <vt:lpwstr/>
      </vt:variant>
      <vt:variant>
        <vt:i4>6553610</vt:i4>
      </vt:variant>
      <vt:variant>
        <vt:i4>246</vt:i4>
      </vt:variant>
      <vt:variant>
        <vt:i4>0</vt:i4>
      </vt:variant>
      <vt:variant>
        <vt:i4>5</vt:i4>
      </vt:variant>
      <vt:variant>
        <vt:lpwstr>http://bs.wikipedia.org/wiki/Zastava_Slovenije</vt:lpwstr>
      </vt:variant>
      <vt:variant>
        <vt:lpwstr/>
      </vt:variant>
      <vt:variant>
        <vt:i4>2490480</vt:i4>
      </vt:variant>
      <vt:variant>
        <vt:i4>243</vt:i4>
      </vt:variant>
      <vt:variant>
        <vt:i4>0</vt:i4>
      </vt:variant>
      <vt:variant>
        <vt:i4>5</vt:i4>
      </vt:variant>
      <vt:variant>
        <vt:lpwstr>http://bs.wikipedia.org/wiki/Slova%C4%8Dka</vt:lpwstr>
      </vt:variant>
      <vt:variant>
        <vt:lpwstr/>
      </vt:variant>
      <vt:variant>
        <vt:i4>2818124</vt:i4>
      </vt:variant>
      <vt:variant>
        <vt:i4>237</vt:i4>
      </vt:variant>
      <vt:variant>
        <vt:i4>0</vt:i4>
      </vt:variant>
      <vt:variant>
        <vt:i4>5</vt:i4>
      </vt:variant>
      <vt:variant>
        <vt:lpwstr>http://bs.wikipedia.org/wiki/Zastava_Slova%C4%8Dke</vt:lpwstr>
      </vt:variant>
      <vt:variant>
        <vt:lpwstr/>
      </vt:variant>
      <vt:variant>
        <vt:i4>196673</vt:i4>
      </vt:variant>
      <vt:variant>
        <vt:i4>234</vt:i4>
      </vt:variant>
      <vt:variant>
        <vt:i4>0</vt:i4>
      </vt:variant>
      <vt:variant>
        <vt:i4>5</vt:i4>
      </vt:variant>
      <vt:variant>
        <vt:lpwstr>http://bs.wikipedia.org/wiki/Rumunija</vt:lpwstr>
      </vt:variant>
      <vt:variant>
        <vt:lpwstr/>
      </vt:variant>
      <vt:variant>
        <vt:i4>655485</vt:i4>
      </vt:variant>
      <vt:variant>
        <vt:i4>228</vt:i4>
      </vt:variant>
      <vt:variant>
        <vt:i4>0</vt:i4>
      </vt:variant>
      <vt:variant>
        <vt:i4>5</vt:i4>
      </vt:variant>
      <vt:variant>
        <vt:lpwstr>http://bs.wikipedia.org/wiki/Zastava_Rumunije</vt:lpwstr>
      </vt:variant>
      <vt:variant>
        <vt:lpwstr/>
      </vt:variant>
      <vt:variant>
        <vt:i4>917588</vt:i4>
      </vt:variant>
      <vt:variant>
        <vt:i4>225</vt:i4>
      </vt:variant>
      <vt:variant>
        <vt:i4>0</vt:i4>
      </vt:variant>
      <vt:variant>
        <vt:i4>5</vt:i4>
      </vt:variant>
      <vt:variant>
        <vt:lpwstr>http://bs.wikipedia.org/wiki/Portugal</vt:lpwstr>
      </vt:variant>
      <vt:variant>
        <vt:lpwstr/>
      </vt:variant>
      <vt:variant>
        <vt:i4>6684676</vt:i4>
      </vt:variant>
      <vt:variant>
        <vt:i4>219</vt:i4>
      </vt:variant>
      <vt:variant>
        <vt:i4>0</vt:i4>
      </vt:variant>
      <vt:variant>
        <vt:i4>5</vt:i4>
      </vt:variant>
      <vt:variant>
        <vt:lpwstr>http://bs.wikipedia.org/wiki/Zastava_Portugala</vt:lpwstr>
      </vt:variant>
      <vt:variant>
        <vt:lpwstr/>
      </vt:variant>
      <vt:variant>
        <vt:i4>1441862</vt:i4>
      </vt:variant>
      <vt:variant>
        <vt:i4>216</vt:i4>
      </vt:variant>
      <vt:variant>
        <vt:i4>0</vt:i4>
      </vt:variant>
      <vt:variant>
        <vt:i4>5</vt:i4>
      </vt:variant>
      <vt:variant>
        <vt:lpwstr>http://bs.wikipedia.org/wiki/Poljska</vt:lpwstr>
      </vt:variant>
      <vt:variant>
        <vt:lpwstr/>
      </vt:variant>
      <vt:variant>
        <vt:i4>1769594</vt:i4>
      </vt:variant>
      <vt:variant>
        <vt:i4>210</vt:i4>
      </vt:variant>
      <vt:variant>
        <vt:i4>0</vt:i4>
      </vt:variant>
      <vt:variant>
        <vt:i4>5</vt:i4>
      </vt:variant>
      <vt:variant>
        <vt:lpwstr>http://bs.wikipedia.org/wiki/Zastava_Poljske</vt:lpwstr>
      </vt:variant>
      <vt:variant>
        <vt:lpwstr/>
      </vt:variant>
      <vt:variant>
        <vt:i4>3211373</vt:i4>
      </vt:variant>
      <vt:variant>
        <vt:i4>207</vt:i4>
      </vt:variant>
      <vt:variant>
        <vt:i4>0</vt:i4>
      </vt:variant>
      <vt:variant>
        <vt:i4>5</vt:i4>
      </vt:variant>
      <vt:variant>
        <vt:lpwstr>http://bs.wikipedia.org/wiki/Njema%C4%8Dka</vt:lpwstr>
      </vt:variant>
      <vt:variant>
        <vt:lpwstr/>
      </vt:variant>
      <vt:variant>
        <vt:i4>3932241</vt:i4>
      </vt:variant>
      <vt:variant>
        <vt:i4>201</vt:i4>
      </vt:variant>
      <vt:variant>
        <vt:i4>0</vt:i4>
      </vt:variant>
      <vt:variant>
        <vt:i4>5</vt:i4>
      </vt:variant>
      <vt:variant>
        <vt:lpwstr>http://bs.wikipedia.org/wiki/Zastava_Njema%C4%8Dke</vt:lpwstr>
      </vt:variant>
      <vt:variant>
        <vt:lpwstr/>
      </vt:variant>
      <vt:variant>
        <vt:i4>7864381</vt:i4>
      </vt:variant>
      <vt:variant>
        <vt:i4>198</vt:i4>
      </vt:variant>
      <vt:variant>
        <vt:i4>0</vt:i4>
      </vt:variant>
      <vt:variant>
        <vt:i4>5</vt:i4>
      </vt:variant>
      <vt:variant>
        <vt:lpwstr>http://bs.wikipedia.org/wiki/Malta</vt:lpwstr>
      </vt:variant>
      <vt:variant>
        <vt:lpwstr/>
      </vt:variant>
      <vt:variant>
        <vt:i4>7667713</vt:i4>
      </vt:variant>
      <vt:variant>
        <vt:i4>192</vt:i4>
      </vt:variant>
      <vt:variant>
        <vt:i4>0</vt:i4>
      </vt:variant>
      <vt:variant>
        <vt:i4>5</vt:i4>
      </vt:variant>
      <vt:variant>
        <vt:lpwstr>http://bs.wikipedia.org/wiki/Zastava_Malte</vt:lpwstr>
      </vt:variant>
      <vt:variant>
        <vt:lpwstr/>
      </vt:variant>
      <vt:variant>
        <vt:i4>3014695</vt:i4>
      </vt:variant>
      <vt:variant>
        <vt:i4>189</vt:i4>
      </vt:variant>
      <vt:variant>
        <vt:i4>0</vt:i4>
      </vt:variant>
      <vt:variant>
        <vt:i4>5</vt:i4>
      </vt:variant>
      <vt:variant>
        <vt:lpwstr>http://bs.wikipedia.org/wiki/Ma%C4%91arska</vt:lpwstr>
      </vt:variant>
      <vt:variant>
        <vt:lpwstr/>
      </vt:variant>
      <vt:variant>
        <vt:i4>2293787</vt:i4>
      </vt:variant>
      <vt:variant>
        <vt:i4>183</vt:i4>
      </vt:variant>
      <vt:variant>
        <vt:i4>0</vt:i4>
      </vt:variant>
      <vt:variant>
        <vt:i4>5</vt:i4>
      </vt:variant>
      <vt:variant>
        <vt:lpwstr>http://bs.wikipedia.org/wiki/Zastava_Ma%C4%91arske</vt:lpwstr>
      </vt:variant>
      <vt:variant>
        <vt:lpwstr/>
      </vt:variant>
      <vt:variant>
        <vt:i4>6946870</vt:i4>
      </vt:variant>
      <vt:variant>
        <vt:i4>180</vt:i4>
      </vt:variant>
      <vt:variant>
        <vt:i4>0</vt:i4>
      </vt:variant>
      <vt:variant>
        <vt:i4>5</vt:i4>
      </vt:variant>
      <vt:variant>
        <vt:lpwstr>http://bs.wikipedia.org/wiki/Luksemburg</vt:lpwstr>
      </vt:variant>
      <vt:variant>
        <vt:lpwstr/>
      </vt:variant>
      <vt:variant>
        <vt:i4>131181</vt:i4>
      </vt:variant>
      <vt:variant>
        <vt:i4>174</vt:i4>
      </vt:variant>
      <vt:variant>
        <vt:i4>0</vt:i4>
      </vt:variant>
      <vt:variant>
        <vt:i4>5</vt:i4>
      </vt:variant>
      <vt:variant>
        <vt:lpwstr>http://bs.wikipedia.org/wiki/Zastava_Luksemburga</vt:lpwstr>
      </vt:variant>
      <vt:variant>
        <vt:lpwstr/>
      </vt:variant>
      <vt:variant>
        <vt:i4>6881331</vt:i4>
      </vt:variant>
      <vt:variant>
        <vt:i4>171</vt:i4>
      </vt:variant>
      <vt:variant>
        <vt:i4>0</vt:i4>
      </vt:variant>
      <vt:variant>
        <vt:i4>5</vt:i4>
      </vt:variant>
      <vt:variant>
        <vt:lpwstr>http://bs.wikipedia.org/wiki/Litvanija</vt:lpwstr>
      </vt:variant>
      <vt:variant>
        <vt:lpwstr/>
      </vt:variant>
      <vt:variant>
        <vt:i4>6553615</vt:i4>
      </vt:variant>
      <vt:variant>
        <vt:i4>165</vt:i4>
      </vt:variant>
      <vt:variant>
        <vt:i4>0</vt:i4>
      </vt:variant>
      <vt:variant>
        <vt:i4>5</vt:i4>
      </vt:variant>
      <vt:variant>
        <vt:lpwstr>http://bs.wikipedia.org/wiki/Zastava_Litvanije</vt:lpwstr>
      </vt:variant>
      <vt:variant>
        <vt:lpwstr/>
      </vt:variant>
      <vt:variant>
        <vt:i4>524373</vt:i4>
      </vt:variant>
      <vt:variant>
        <vt:i4>162</vt:i4>
      </vt:variant>
      <vt:variant>
        <vt:i4>0</vt:i4>
      </vt:variant>
      <vt:variant>
        <vt:i4>5</vt:i4>
      </vt:variant>
      <vt:variant>
        <vt:lpwstr>http://bs.wikipedia.org/wiki/Latvija</vt:lpwstr>
      </vt:variant>
      <vt:variant>
        <vt:lpwstr/>
      </vt:variant>
      <vt:variant>
        <vt:i4>327785</vt:i4>
      </vt:variant>
      <vt:variant>
        <vt:i4>156</vt:i4>
      </vt:variant>
      <vt:variant>
        <vt:i4>0</vt:i4>
      </vt:variant>
      <vt:variant>
        <vt:i4>5</vt:i4>
      </vt:variant>
      <vt:variant>
        <vt:lpwstr>http://bs.wikipedia.org/wiki/Zastava_Latvije</vt:lpwstr>
      </vt:variant>
      <vt:variant>
        <vt:lpwstr/>
      </vt:variant>
      <vt:variant>
        <vt:i4>7405600</vt:i4>
      </vt:variant>
      <vt:variant>
        <vt:i4>153</vt:i4>
      </vt:variant>
      <vt:variant>
        <vt:i4>0</vt:i4>
      </vt:variant>
      <vt:variant>
        <vt:i4>5</vt:i4>
      </vt:variant>
      <vt:variant>
        <vt:lpwstr>http://bs.wikipedia.org/wiki/Kipar</vt:lpwstr>
      </vt:variant>
      <vt:variant>
        <vt:lpwstr/>
      </vt:variant>
      <vt:variant>
        <vt:i4>7012367</vt:i4>
      </vt:variant>
      <vt:variant>
        <vt:i4>147</vt:i4>
      </vt:variant>
      <vt:variant>
        <vt:i4>0</vt:i4>
      </vt:variant>
      <vt:variant>
        <vt:i4>5</vt:i4>
      </vt:variant>
      <vt:variant>
        <vt:lpwstr>http://bs.wikipedia.org/wiki/Zastava_Kipra</vt:lpwstr>
      </vt:variant>
      <vt:variant>
        <vt:lpwstr/>
      </vt:variant>
      <vt:variant>
        <vt:i4>1572954</vt:i4>
      </vt:variant>
      <vt:variant>
        <vt:i4>144</vt:i4>
      </vt:variant>
      <vt:variant>
        <vt:i4>0</vt:i4>
      </vt:variant>
      <vt:variant>
        <vt:i4>5</vt:i4>
      </vt:variant>
      <vt:variant>
        <vt:lpwstr>http://bs.wikipedia.org/wiki/Italija</vt:lpwstr>
      </vt:variant>
      <vt:variant>
        <vt:lpwstr/>
      </vt:variant>
      <vt:variant>
        <vt:i4>1376358</vt:i4>
      </vt:variant>
      <vt:variant>
        <vt:i4>138</vt:i4>
      </vt:variant>
      <vt:variant>
        <vt:i4>0</vt:i4>
      </vt:variant>
      <vt:variant>
        <vt:i4>5</vt:i4>
      </vt:variant>
      <vt:variant>
        <vt:lpwstr>http://bs.wikipedia.org/wiki/Zastava_Italije</vt:lpwstr>
      </vt:variant>
      <vt:variant>
        <vt:lpwstr/>
      </vt:variant>
      <vt:variant>
        <vt:i4>721017</vt:i4>
      </vt:variant>
      <vt:variant>
        <vt:i4>135</vt:i4>
      </vt:variant>
      <vt:variant>
        <vt:i4>0</vt:i4>
      </vt:variant>
      <vt:variant>
        <vt:i4>5</vt:i4>
      </vt:variant>
      <vt:variant>
        <vt:lpwstr>http://bs.wikipedia.org/wiki/Republika_Irska</vt:lpwstr>
      </vt:variant>
      <vt:variant>
        <vt:lpwstr/>
      </vt:variant>
      <vt:variant>
        <vt:i4>7208973</vt:i4>
      </vt:variant>
      <vt:variant>
        <vt:i4>129</vt:i4>
      </vt:variant>
      <vt:variant>
        <vt:i4>0</vt:i4>
      </vt:variant>
      <vt:variant>
        <vt:i4>5</vt:i4>
      </vt:variant>
      <vt:variant>
        <vt:lpwstr>http://bs.wikipedia.org/wiki/Zastava_Irske</vt:lpwstr>
      </vt:variant>
      <vt:variant>
        <vt:lpwstr/>
      </vt:variant>
      <vt:variant>
        <vt:i4>1638472</vt:i4>
      </vt:variant>
      <vt:variant>
        <vt:i4>126</vt:i4>
      </vt:variant>
      <vt:variant>
        <vt:i4>0</vt:i4>
      </vt:variant>
      <vt:variant>
        <vt:i4>5</vt:i4>
      </vt:variant>
      <vt:variant>
        <vt:lpwstr>http://bs.wikipedia.org/wiki/Hrvatska</vt:lpwstr>
      </vt:variant>
      <vt:variant>
        <vt:lpwstr/>
      </vt:variant>
      <vt:variant>
        <vt:i4>1048692</vt:i4>
      </vt:variant>
      <vt:variant>
        <vt:i4>120</vt:i4>
      </vt:variant>
      <vt:variant>
        <vt:i4>0</vt:i4>
      </vt:variant>
      <vt:variant>
        <vt:i4>5</vt:i4>
      </vt:variant>
      <vt:variant>
        <vt:lpwstr>http://bs.wikipedia.org/wiki/Zastava_Hrvatske</vt:lpwstr>
      </vt:variant>
      <vt:variant>
        <vt:lpwstr/>
      </vt:variant>
      <vt:variant>
        <vt:i4>7995432</vt:i4>
      </vt:variant>
      <vt:variant>
        <vt:i4>117</vt:i4>
      </vt:variant>
      <vt:variant>
        <vt:i4>0</vt:i4>
      </vt:variant>
      <vt:variant>
        <vt:i4>5</vt:i4>
      </vt:variant>
      <vt:variant>
        <vt:lpwstr>http://bs.wikipedia.org/wiki/Holandija</vt:lpwstr>
      </vt:variant>
      <vt:variant>
        <vt:lpwstr/>
      </vt:variant>
      <vt:variant>
        <vt:i4>7798804</vt:i4>
      </vt:variant>
      <vt:variant>
        <vt:i4>111</vt:i4>
      </vt:variant>
      <vt:variant>
        <vt:i4>0</vt:i4>
      </vt:variant>
      <vt:variant>
        <vt:i4>5</vt:i4>
      </vt:variant>
      <vt:variant>
        <vt:lpwstr>http://bs.wikipedia.org/wiki/Zastava_Holandije</vt:lpwstr>
      </vt:variant>
      <vt:variant>
        <vt:lpwstr/>
      </vt:variant>
      <vt:variant>
        <vt:i4>3997816</vt:i4>
      </vt:variant>
      <vt:variant>
        <vt:i4>108</vt:i4>
      </vt:variant>
      <vt:variant>
        <vt:i4>0</vt:i4>
      </vt:variant>
      <vt:variant>
        <vt:i4>5</vt:i4>
      </vt:variant>
      <vt:variant>
        <vt:lpwstr>http://bs.wikipedia.org/wiki/Gr%C4%8Dka</vt:lpwstr>
      </vt:variant>
      <vt:variant>
        <vt:lpwstr/>
      </vt:variant>
      <vt:variant>
        <vt:i4>3407940</vt:i4>
      </vt:variant>
      <vt:variant>
        <vt:i4>102</vt:i4>
      </vt:variant>
      <vt:variant>
        <vt:i4>0</vt:i4>
      </vt:variant>
      <vt:variant>
        <vt:i4>5</vt:i4>
      </vt:variant>
      <vt:variant>
        <vt:lpwstr>http://bs.wikipedia.org/wiki/Zastava_Gr%C4%8Dke</vt:lpwstr>
      </vt:variant>
      <vt:variant>
        <vt:lpwstr/>
      </vt:variant>
      <vt:variant>
        <vt:i4>7209002</vt:i4>
      </vt:variant>
      <vt:variant>
        <vt:i4>99</vt:i4>
      </vt:variant>
      <vt:variant>
        <vt:i4>0</vt:i4>
      </vt:variant>
      <vt:variant>
        <vt:i4>5</vt:i4>
      </vt:variant>
      <vt:variant>
        <vt:lpwstr>http://bs.wikipedia.org/wiki/Francuska</vt:lpwstr>
      </vt:variant>
      <vt:variant>
        <vt:lpwstr/>
      </vt:variant>
      <vt:variant>
        <vt:i4>6488086</vt:i4>
      </vt:variant>
      <vt:variant>
        <vt:i4>93</vt:i4>
      </vt:variant>
      <vt:variant>
        <vt:i4>0</vt:i4>
      </vt:variant>
      <vt:variant>
        <vt:i4>5</vt:i4>
      </vt:variant>
      <vt:variant>
        <vt:lpwstr>http://bs.wikipedia.org/wiki/Zastava_Francuske</vt:lpwstr>
      </vt:variant>
      <vt:variant>
        <vt:lpwstr/>
      </vt:variant>
      <vt:variant>
        <vt:i4>8060978</vt:i4>
      </vt:variant>
      <vt:variant>
        <vt:i4>90</vt:i4>
      </vt:variant>
      <vt:variant>
        <vt:i4>0</vt:i4>
      </vt:variant>
      <vt:variant>
        <vt:i4>5</vt:i4>
      </vt:variant>
      <vt:variant>
        <vt:lpwstr>http://bs.wikipedia.org/wiki/Finska</vt:lpwstr>
      </vt:variant>
      <vt:variant>
        <vt:lpwstr/>
      </vt:variant>
      <vt:variant>
        <vt:i4>7471118</vt:i4>
      </vt:variant>
      <vt:variant>
        <vt:i4>84</vt:i4>
      </vt:variant>
      <vt:variant>
        <vt:i4>0</vt:i4>
      </vt:variant>
      <vt:variant>
        <vt:i4>5</vt:i4>
      </vt:variant>
      <vt:variant>
        <vt:lpwstr>http://bs.wikipedia.org/wiki/Zastava_Finske</vt:lpwstr>
      </vt:variant>
      <vt:variant>
        <vt:lpwstr/>
      </vt:variant>
      <vt:variant>
        <vt:i4>852061</vt:i4>
      </vt:variant>
      <vt:variant>
        <vt:i4>81</vt:i4>
      </vt:variant>
      <vt:variant>
        <vt:i4>0</vt:i4>
      </vt:variant>
      <vt:variant>
        <vt:i4>5</vt:i4>
      </vt:variant>
      <vt:variant>
        <vt:lpwstr>http://bs.wikipedia.org/wiki/Estonija</vt:lpwstr>
      </vt:variant>
      <vt:variant>
        <vt:lpwstr/>
      </vt:variant>
      <vt:variant>
        <vt:i4>262241</vt:i4>
      </vt:variant>
      <vt:variant>
        <vt:i4>75</vt:i4>
      </vt:variant>
      <vt:variant>
        <vt:i4>0</vt:i4>
      </vt:variant>
      <vt:variant>
        <vt:i4>5</vt:i4>
      </vt:variant>
      <vt:variant>
        <vt:lpwstr>http://bs.wikipedia.org/wiki/Zastava_Estonije</vt:lpwstr>
      </vt:variant>
      <vt:variant>
        <vt:lpwstr/>
      </vt:variant>
      <vt:variant>
        <vt:i4>7929914</vt:i4>
      </vt:variant>
      <vt:variant>
        <vt:i4>72</vt:i4>
      </vt:variant>
      <vt:variant>
        <vt:i4>0</vt:i4>
      </vt:variant>
      <vt:variant>
        <vt:i4>5</vt:i4>
      </vt:variant>
      <vt:variant>
        <vt:lpwstr>http://bs.wikipedia.org/wiki/Danska</vt:lpwstr>
      </vt:variant>
      <vt:variant>
        <vt:lpwstr/>
      </vt:variant>
      <vt:variant>
        <vt:i4>7340038</vt:i4>
      </vt:variant>
      <vt:variant>
        <vt:i4>66</vt:i4>
      </vt:variant>
      <vt:variant>
        <vt:i4>0</vt:i4>
      </vt:variant>
      <vt:variant>
        <vt:i4>5</vt:i4>
      </vt:variant>
      <vt:variant>
        <vt:lpwstr>http://bs.wikipedia.org/wiki/Zastava_Danske</vt:lpwstr>
      </vt:variant>
      <vt:variant>
        <vt:lpwstr/>
      </vt:variant>
      <vt:variant>
        <vt:i4>4325399</vt:i4>
      </vt:variant>
      <vt:variant>
        <vt:i4>63</vt:i4>
      </vt:variant>
      <vt:variant>
        <vt:i4>0</vt:i4>
      </vt:variant>
      <vt:variant>
        <vt:i4>5</vt:i4>
      </vt:variant>
      <vt:variant>
        <vt:lpwstr>http://bs.wikipedia.org/wiki/%C4%8Ce%C5%A1ka</vt:lpwstr>
      </vt:variant>
      <vt:variant>
        <vt:lpwstr/>
      </vt:variant>
      <vt:variant>
        <vt:i4>5177387</vt:i4>
      </vt:variant>
      <vt:variant>
        <vt:i4>57</vt:i4>
      </vt:variant>
      <vt:variant>
        <vt:i4>0</vt:i4>
      </vt:variant>
      <vt:variant>
        <vt:i4>5</vt:i4>
      </vt:variant>
      <vt:variant>
        <vt:lpwstr>http://bs.wikipedia.org/wiki/Zastava_%C4%8Ce%C5%A1ke</vt:lpwstr>
      </vt:variant>
      <vt:variant>
        <vt:lpwstr/>
      </vt:variant>
      <vt:variant>
        <vt:i4>262223</vt:i4>
      </vt:variant>
      <vt:variant>
        <vt:i4>54</vt:i4>
      </vt:variant>
      <vt:variant>
        <vt:i4>0</vt:i4>
      </vt:variant>
      <vt:variant>
        <vt:i4>5</vt:i4>
      </vt:variant>
      <vt:variant>
        <vt:lpwstr>http://bs.wikipedia.org/wiki/Bugarska</vt:lpwstr>
      </vt:variant>
      <vt:variant>
        <vt:lpwstr/>
      </vt:variant>
      <vt:variant>
        <vt:i4>852083</vt:i4>
      </vt:variant>
      <vt:variant>
        <vt:i4>48</vt:i4>
      </vt:variant>
      <vt:variant>
        <vt:i4>0</vt:i4>
      </vt:variant>
      <vt:variant>
        <vt:i4>5</vt:i4>
      </vt:variant>
      <vt:variant>
        <vt:lpwstr>http://bs.wikipedia.org/wiki/Zastava_Bugarske</vt:lpwstr>
      </vt:variant>
      <vt:variant>
        <vt:lpwstr/>
      </vt:variant>
      <vt:variant>
        <vt:i4>1966144</vt:i4>
      </vt:variant>
      <vt:variant>
        <vt:i4>45</vt:i4>
      </vt:variant>
      <vt:variant>
        <vt:i4>0</vt:i4>
      </vt:variant>
      <vt:variant>
        <vt:i4>5</vt:i4>
      </vt:variant>
      <vt:variant>
        <vt:lpwstr>http://bs.wikipedia.org/wiki/Belgija</vt:lpwstr>
      </vt:variant>
      <vt:variant>
        <vt:lpwstr/>
      </vt:variant>
      <vt:variant>
        <vt:i4>1245308</vt:i4>
      </vt:variant>
      <vt:variant>
        <vt:i4>39</vt:i4>
      </vt:variant>
      <vt:variant>
        <vt:i4>0</vt:i4>
      </vt:variant>
      <vt:variant>
        <vt:i4>5</vt:i4>
      </vt:variant>
      <vt:variant>
        <vt:lpwstr>http://bs.wikipedia.org/wiki/Zastava_Belgije</vt:lpwstr>
      </vt:variant>
      <vt:variant>
        <vt:lpwstr/>
      </vt:variant>
      <vt:variant>
        <vt:i4>1179712</vt:i4>
      </vt:variant>
      <vt:variant>
        <vt:i4>36</vt:i4>
      </vt:variant>
      <vt:variant>
        <vt:i4>0</vt:i4>
      </vt:variant>
      <vt:variant>
        <vt:i4>5</vt:i4>
      </vt:variant>
      <vt:variant>
        <vt:lpwstr>http://bs.wikipedia.org/wiki/Austrija</vt:lpwstr>
      </vt:variant>
      <vt:variant>
        <vt:lpwstr/>
      </vt:variant>
      <vt:variant>
        <vt:i4>1769596</vt:i4>
      </vt:variant>
      <vt:variant>
        <vt:i4>30</vt:i4>
      </vt:variant>
      <vt:variant>
        <vt:i4>0</vt:i4>
      </vt:variant>
      <vt:variant>
        <vt:i4>5</vt:i4>
      </vt:variant>
      <vt:variant>
        <vt:lpwstr>http://bs.wikipedia.org/wiki/Zastava_Austrije</vt:lpwstr>
      </vt:variant>
      <vt:variant>
        <vt:lpwstr/>
      </vt:variant>
      <vt:variant>
        <vt:i4>71304294</vt:i4>
      </vt:variant>
      <vt:variant>
        <vt:i4>27</vt:i4>
      </vt:variant>
      <vt:variant>
        <vt:i4>0</vt:i4>
      </vt:variant>
      <vt:variant>
        <vt:i4>5</vt:i4>
      </vt:variant>
      <vt:variant>
        <vt:lpwstr>http://pistaljka.rs/home/read/8-користи</vt:lpwstr>
      </vt:variant>
      <vt:variant>
        <vt:lpwstr/>
      </vt:variant>
      <vt:variant>
        <vt:i4>3276906</vt:i4>
      </vt:variant>
      <vt:variant>
        <vt:i4>24</vt:i4>
      </vt:variant>
      <vt:variant>
        <vt:i4>0</vt:i4>
      </vt:variant>
      <vt:variant>
        <vt:i4>5</vt:i4>
      </vt:variant>
      <vt:variant>
        <vt:lpwstr>http://www.nadzor.org.rs/dosije</vt:lpwstr>
      </vt:variant>
      <vt:variant>
        <vt:lpwstr/>
      </vt:variant>
      <vt:variant>
        <vt:i4>720902</vt:i4>
      </vt:variant>
      <vt:variant>
        <vt:i4>9</vt:i4>
      </vt:variant>
      <vt:variant>
        <vt:i4>0</vt:i4>
      </vt:variant>
      <vt:variant>
        <vt:i4>5</vt:i4>
      </vt:variant>
      <vt:variant>
        <vt:lpwstr>http://www.politika.rs/rubrike/Ekonomija/Fantomske-firme-za-velike-mucke.lt.html</vt:lpwstr>
      </vt:variant>
      <vt:variant>
        <vt:lpwstr/>
      </vt:variant>
      <vt:variant>
        <vt:i4>5308474</vt:i4>
      </vt:variant>
      <vt:variant>
        <vt:i4>0</vt:i4>
      </vt:variant>
      <vt:variant>
        <vt:i4>0</vt:i4>
      </vt:variant>
      <vt:variant>
        <vt:i4>5</vt:i4>
      </vt:variant>
      <vt:variant>
        <vt:lpwstr>http://epp.eurostat.ec.europa.eu/statistics_explained/index.php/Tax_revenue_statistics</vt:lpwstr>
      </vt:variant>
      <vt:variant>
        <vt:lpwstr/>
      </vt:variant>
      <vt:variant>
        <vt:i4>3866686</vt:i4>
      </vt:variant>
      <vt:variant>
        <vt:i4>111</vt:i4>
      </vt:variant>
      <vt:variant>
        <vt:i4>0</vt:i4>
      </vt:variant>
      <vt:variant>
        <vt:i4>5</vt:i4>
      </vt:variant>
      <vt:variant>
        <vt:lpwstr>http://www.businessdictionary.com/</vt:lpwstr>
      </vt:variant>
      <vt:variant>
        <vt:lpwstr/>
      </vt:variant>
      <vt:variant>
        <vt:i4>4915257</vt:i4>
      </vt:variant>
      <vt:variant>
        <vt:i4>108</vt:i4>
      </vt:variant>
      <vt:variant>
        <vt:i4>0</vt:i4>
      </vt:variant>
      <vt:variant>
        <vt:i4>5</vt:i4>
      </vt:variant>
      <vt:variant>
        <vt:lpwstr>http://www.acas.rs/sr_cir/zakoni-i-drugi-propisi/strategija-i-akcioni-plan.html</vt:lpwstr>
      </vt:variant>
      <vt:variant>
        <vt:lpwstr/>
      </vt:variant>
      <vt:variant>
        <vt:i4>1835015</vt:i4>
      </vt:variant>
      <vt:variant>
        <vt:i4>105</vt:i4>
      </vt:variant>
      <vt:variant>
        <vt:i4>0</vt:i4>
      </vt:variant>
      <vt:variant>
        <vt:i4>5</vt:i4>
      </vt:variant>
      <vt:variant>
        <vt:lpwstr>http://www.ombudsman.rs/</vt:lpwstr>
      </vt:variant>
      <vt:variant>
        <vt:lpwstr/>
      </vt:variant>
      <vt:variant>
        <vt:i4>5046282</vt:i4>
      </vt:variant>
      <vt:variant>
        <vt:i4>102</vt:i4>
      </vt:variant>
      <vt:variant>
        <vt:i4>0</vt:i4>
      </vt:variant>
      <vt:variant>
        <vt:i4>5</vt:i4>
      </vt:variant>
      <vt:variant>
        <vt:lpwstr>http://www.becei.org/KOMENTARI/ef5dinic.html</vt:lpwstr>
      </vt:variant>
      <vt:variant>
        <vt:lpwstr/>
      </vt:variant>
      <vt:variant>
        <vt:i4>5767169</vt:i4>
      </vt:variant>
      <vt:variant>
        <vt:i4>99</vt:i4>
      </vt:variant>
      <vt:variant>
        <vt:i4>0</vt:i4>
      </vt:variant>
      <vt:variant>
        <vt:i4>5</vt:i4>
      </vt:variant>
      <vt:variant>
        <vt:lpwstr>http://purs.gov.rs/biro-za-informisanje/novosti/830/odrzan-radni-sastanak-predstavnika-ministarstva-finansija-i-poreske-uprave-povodom-uvodjenja-novo</vt:lpwstr>
      </vt:variant>
      <vt:variant>
        <vt:lpwstr/>
      </vt:variant>
      <vt:variant>
        <vt:i4>8126524</vt:i4>
      </vt:variant>
      <vt:variant>
        <vt:i4>96</vt:i4>
      </vt:variant>
      <vt:variant>
        <vt:i4>0</vt:i4>
      </vt:variant>
      <vt:variant>
        <vt:i4>5</vt:i4>
      </vt:variant>
      <vt:variant>
        <vt:lpwstr>http://grid3.rs/read/news/303116926/5402821/korupcija-najprisutnija-u-politici</vt:lpwstr>
      </vt:variant>
      <vt:variant>
        <vt:lpwstr/>
      </vt:variant>
      <vt:variant>
        <vt:i4>2031645</vt:i4>
      </vt:variant>
      <vt:variant>
        <vt:i4>93</vt:i4>
      </vt:variant>
      <vt:variant>
        <vt:i4>0</vt:i4>
      </vt:variant>
      <vt:variant>
        <vt:i4>5</vt:i4>
      </vt:variant>
      <vt:variant>
        <vt:lpwstr>http://grid3.rs/read/news/303116926/5402682/napredak-u-borbi-protiv-korupcije</vt:lpwstr>
      </vt:variant>
      <vt:variant>
        <vt:lpwstr/>
      </vt:variant>
      <vt:variant>
        <vt:i4>3080293</vt:i4>
      </vt:variant>
      <vt:variant>
        <vt:i4>90</vt:i4>
      </vt:variant>
      <vt:variant>
        <vt:i4>0</vt:i4>
      </vt:variant>
      <vt:variant>
        <vt:i4>5</vt:i4>
      </vt:variant>
      <vt:variant>
        <vt:lpwstr>http://www.ius.bg.ac.rs/prof/Materijali/popdej/Transferne cene.pdf</vt:lpwstr>
      </vt:variant>
      <vt:variant>
        <vt:lpwstr/>
      </vt:variant>
      <vt:variant>
        <vt:i4>2818169</vt:i4>
      </vt:variant>
      <vt:variant>
        <vt:i4>87</vt:i4>
      </vt:variant>
      <vt:variant>
        <vt:i4>0</vt:i4>
      </vt:variant>
      <vt:variant>
        <vt:i4>5</vt:i4>
      </vt:variant>
      <vt:variant>
        <vt:lpwstr>http://www.alexandriapress.com/</vt:lpwstr>
      </vt:variant>
      <vt:variant>
        <vt:lpwstr/>
      </vt:variant>
      <vt:variant>
        <vt:i4>1441809</vt:i4>
      </vt:variant>
      <vt:variant>
        <vt:i4>84</vt:i4>
      </vt:variant>
      <vt:variant>
        <vt:i4>0</vt:i4>
      </vt:variant>
      <vt:variant>
        <vt:i4>5</vt:i4>
      </vt:variant>
      <vt:variant>
        <vt:lpwstr>http://www.transparentnost.org.rs/dokumenti/dokument4.pdf</vt:lpwstr>
      </vt:variant>
      <vt:variant>
        <vt:lpwstr/>
      </vt:variant>
      <vt:variant>
        <vt:i4>2359353</vt:i4>
      </vt:variant>
      <vt:variant>
        <vt:i4>81</vt:i4>
      </vt:variant>
      <vt:variant>
        <vt:i4>0</vt:i4>
      </vt:variant>
      <vt:variant>
        <vt:i4>5</vt:i4>
      </vt:variant>
      <vt:variant>
        <vt:lpwstr>http://conventions.coe.int/Treaty/en/Treaties/Html/173.htm</vt:lpwstr>
      </vt:variant>
      <vt:variant>
        <vt:lpwstr/>
      </vt:variant>
      <vt:variant>
        <vt:i4>4849665</vt:i4>
      </vt:variant>
      <vt:variant>
        <vt:i4>78</vt:i4>
      </vt:variant>
      <vt:variant>
        <vt:i4>0</vt:i4>
      </vt:variant>
      <vt:variant>
        <vt:i4>5</vt:i4>
      </vt:variant>
      <vt:variant>
        <vt:lpwstr>http://ec.europa.eu/taxation_customs/resources/documents/taxation/tax_fraud_evasion/com_2012_722_en.pdf</vt:lpwstr>
      </vt:variant>
      <vt:variant>
        <vt:lpwstr/>
      </vt:variant>
      <vt:variant>
        <vt:i4>6094855</vt:i4>
      </vt:variant>
      <vt:variant>
        <vt:i4>75</vt:i4>
      </vt:variant>
      <vt:variant>
        <vt:i4>0</vt:i4>
      </vt:variant>
      <vt:variant>
        <vt:i4>5</vt:i4>
      </vt:variant>
      <vt:variant>
        <vt:lpwstr>ftp://ftp.cordis.europa.eu/pub/improving/docs/conf_work_reyneri.pdf</vt:lpwstr>
      </vt:variant>
      <vt:variant>
        <vt:lpwstr/>
      </vt:variant>
      <vt:variant>
        <vt:i4>7077996</vt:i4>
      </vt:variant>
      <vt:variant>
        <vt:i4>72</vt:i4>
      </vt:variant>
      <vt:variant>
        <vt:i4>0</vt:i4>
      </vt:variant>
      <vt:variant>
        <vt:i4>5</vt:i4>
      </vt:variant>
      <vt:variant>
        <vt:lpwstr>http://www.wiwi.uni-regensburg.de/</vt:lpwstr>
      </vt:variant>
      <vt:variant>
        <vt:lpwstr/>
      </vt:variant>
      <vt:variant>
        <vt:i4>6291508</vt:i4>
      </vt:variant>
      <vt:variant>
        <vt:i4>69</vt:i4>
      </vt:variant>
      <vt:variant>
        <vt:i4>0</vt:i4>
      </vt:variant>
      <vt:variant>
        <vt:i4>5</vt:i4>
      </vt:variant>
      <vt:variant>
        <vt:lpwstr>http://www.econ.jku.at/members/Schneider/files/publications/2012/ShadEcEurope31.pdf</vt:lpwstr>
      </vt:variant>
      <vt:variant>
        <vt:lpwstr/>
      </vt:variant>
      <vt:variant>
        <vt:i4>6291508</vt:i4>
      </vt:variant>
      <vt:variant>
        <vt:i4>66</vt:i4>
      </vt:variant>
      <vt:variant>
        <vt:i4>0</vt:i4>
      </vt:variant>
      <vt:variant>
        <vt:i4>5</vt:i4>
      </vt:variant>
      <vt:variant>
        <vt:lpwstr>http://www.econ.jku.at/members/Schneider/files/publications/2012/ShadEcEurope31.pdf</vt:lpwstr>
      </vt:variant>
      <vt:variant>
        <vt:lpwstr/>
      </vt:variant>
      <vt:variant>
        <vt:i4>2818072</vt:i4>
      </vt:variant>
      <vt:variant>
        <vt:i4>63</vt:i4>
      </vt:variant>
      <vt:variant>
        <vt:i4>0</vt:i4>
      </vt:variant>
      <vt:variant>
        <vt:i4>5</vt:i4>
      </vt:variant>
      <vt:variant>
        <vt:lpwstr>http://ec.europa.eu/taxation_customs/resources/documents/taxation/gen_info/economic_analysis/tax_papers/taxation_paper_34_en.pdf</vt:lpwstr>
      </vt:variant>
      <vt:variant>
        <vt:lpwstr/>
      </vt:variant>
      <vt:variant>
        <vt:i4>3473454</vt:i4>
      </vt:variant>
      <vt:variant>
        <vt:i4>60</vt:i4>
      </vt:variant>
      <vt:variant>
        <vt:i4>0</vt:i4>
      </vt:variant>
      <vt:variant>
        <vt:i4>5</vt:i4>
      </vt:variant>
      <vt:variant>
        <vt:lpwstr>http://stats.oecd.org/</vt:lpwstr>
      </vt:variant>
      <vt:variant>
        <vt:lpwstr/>
      </vt:variant>
      <vt:variant>
        <vt:i4>2097163</vt:i4>
      </vt:variant>
      <vt:variant>
        <vt:i4>57</vt:i4>
      </vt:variant>
      <vt:variant>
        <vt:i4>0</vt:i4>
      </vt:variant>
      <vt:variant>
        <vt:i4>5</vt:i4>
      </vt:variant>
      <vt:variant>
        <vt:lpwstr>http://ideas.repec.org/p/ces/ceswps/_4004.html</vt:lpwstr>
      </vt:variant>
      <vt:variant>
        <vt:lpwstr/>
      </vt:variant>
      <vt:variant>
        <vt:i4>5701638</vt:i4>
      </vt:variant>
      <vt:variant>
        <vt:i4>54</vt:i4>
      </vt:variant>
      <vt:variant>
        <vt:i4>0</vt:i4>
      </vt:variant>
      <vt:variant>
        <vt:i4>5</vt:i4>
      </vt:variant>
      <vt:variant>
        <vt:lpwstr>http://investorplace.com/investorpolitics/10-worst-countries-for-tax-evasion/</vt:lpwstr>
      </vt:variant>
      <vt:variant>
        <vt:lpwstr/>
      </vt:variant>
      <vt:variant>
        <vt:i4>5701638</vt:i4>
      </vt:variant>
      <vt:variant>
        <vt:i4>51</vt:i4>
      </vt:variant>
      <vt:variant>
        <vt:i4>0</vt:i4>
      </vt:variant>
      <vt:variant>
        <vt:i4>5</vt:i4>
      </vt:variant>
      <vt:variant>
        <vt:lpwstr>http://investorplace.com/investorpolitics/10-worst-countries-for-tax-evasion/</vt:lpwstr>
      </vt:variant>
      <vt:variant>
        <vt:lpwstr/>
      </vt:variant>
      <vt:variant>
        <vt:i4>6750317</vt:i4>
      </vt:variant>
      <vt:variant>
        <vt:i4>48</vt:i4>
      </vt:variant>
      <vt:variant>
        <vt:i4>0</vt:i4>
      </vt:variant>
      <vt:variant>
        <vt:i4>5</vt:i4>
      </vt:variant>
      <vt:variant>
        <vt:lpwstr>http://www.oecd.org/ctp/fightingtaxevasion.htm</vt:lpwstr>
      </vt:variant>
      <vt:variant>
        <vt:lpwstr/>
      </vt:variant>
      <vt:variant>
        <vt:i4>7471213</vt:i4>
      </vt:variant>
      <vt:variant>
        <vt:i4>45</vt:i4>
      </vt:variant>
      <vt:variant>
        <vt:i4>0</vt:i4>
      </vt:variant>
      <vt:variant>
        <vt:i4>5</vt:i4>
      </vt:variant>
      <vt:variant>
        <vt:lpwstr>http://www.akter.co.rs/</vt:lpwstr>
      </vt:variant>
      <vt:variant>
        <vt:lpwstr/>
      </vt:variant>
      <vt:variant>
        <vt:i4>3014778</vt:i4>
      </vt:variant>
      <vt:variant>
        <vt:i4>42</vt:i4>
      </vt:variant>
      <vt:variant>
        <vt:i4>0</vt:i4>
      </vt:variant>
      <vt:variant>
        <vt:i4>5</vt:i4>
      </vt:variant>
      <vt:variant>
        <vt:lpwstr>http://www.fren.org.rs/sites/default/files/articles/attachments/siva-ekonomija-u-srbiji-studija.pdf</vt:lpwstr>
      </vt:variant>
      <vt:variant>
        <vt:lpwstr/>
      </vt:variant>
      <vt:variant>
        <vt:i4>720902</vt:i4>
      </vt:variant>
      <vt:variant>
        <vt:i4>39</vt:i4>
      </vt:variant>
      <vt:variant>
        <vt:i4>0</vt:i4>
      </vt:variant>
      <vt:variant>
        <vt:i4>5</vt:i4>
      </vt:variant>
      <vt:variant>
        <vt:lpwstr>http://www.politika.rs/rubrike/Ekonomija/Fantomske-firme-za-velike-mucke.lt.html</vt:lpwstr>
      </vt:variant>
      <vt:variant>
        <vt:lpwstr/>
      </vt:variant>
      <vt:variant>
        <vt:i4>6226035</vt:i4>
      </vt:variant>
      <vt:variant>
        <vt:i4>36</vt:i4>
      </vt:variant>
      <vt:variant>
        <vt:i4>0</vt:i4>
      </vt:variant>
      <vt:variant>
        <vt:i4>5</vt:i4>
      </vt:variant>
      <vt:variant>
        <vt:lpwstr>http://www.b92.net/biz/vesti/srbija.php?yyyy=2013&amp;mm=05&amp;dd=04&amp;nav_id=710799</vt:lpwstr>
      </vt:variant>
      <vt:variant>
        <vt:lpwstr/>
      </vt:variant>
      <vt:variant>
        <vt:i4>6029437</vt:i4>
      </vt:variant>
      <vt:variant>
        <vt:i4>33</vt:i4>
      </vt:variant>
      <vt:variant>
        <vt:i4>0</vt:i4>
      </vt:variant>
      <vt:variant>
        <vt:i4>5</vt:i4>
      </vt:variant>
      <vt:variant>
        <vt:lpwstr>http://mfin.gov.rs/newsitem.php?&amp;id=4631&amp;change_lang=ls</vt:lpwstr>
      </vt:variant>
      <vt:variant>
        <vt:lpwstr/>
      </vt:variant>
      <vt:variant>
        <vt:i4>4522019</vt:i4>
      </vt:variant>
      <vt:variant>
        <vt:i4>30</vt:i4>
      </vt:variant>
      <vt:variant>
        <vt:i4>0</vt:i4>
      </vt:variant>
      <vt:variant>
        <vt:i4>5</vt:i4>
      </vt:variant>
      <vt:variant>
        <vt:lpwstr>http://ec.europa.eu/taxation_customs/resources/documents/common/consultations/tax/future_vat/vat-study_en.pdf</vt:lpwstr>
      </vt:variant>
      <vt:variant>
        <vt:lpwstr/>
      </vt:variant>
      <vt:variant>
        <vt:i4>196619</vt:i4>
      </vt:variant>
      <vt:variant>
        <vt:i4>27</vt:i4>
      </vt:variant>
      <vt:variant>
        <vt:i4>0</vt:i4>
      </vt:variant>
      <vt:variant>
        <vt:i4>5</vt:i4>
      </vt:variant>
      <vt:variant>
        <vt:lpwstr>http://europa.eu/rapid/press-release_STAT-12-77_en.htm</vt:lpwstr>
      </vt:variant>
      <vt:variant>
        <vt:lpwstr/>
      </vt:variant>
      <vt:variant>
        <vt:i4>2883592</vt:i4>
      </vt:variant>
      <vt:variant>
        <vt:i4>24</vt:i4>
      </vt:variant>
      <vt:variant>
        <vt:i4>0</vt:i4>
      </vt:variant>
      <vt:variant>
        <vt:i4>5</vt:i4>
      </vt:variant>
      <vt:variant>
        <vt:lpwstr>http://ec.europa.eu/taxation_customs/resources/documents/taxation/vat/how_vat_works/rates/vat_rates_en.pdf</vt:lpwstr>
      </vt:variant>
      <vt:variant>
        <vt:lpwstr/>
      </vt:variant>
      <vt:variant>
        <vt:i4>655400</vt:i4>
      </vt:variant>
      <vt:variant>
        <vt:i4>21</vt:i4>
      </vt:variant>
      <vt:variant>
        <vt:i4>0</vt:i4>
      </vt:variant>
      <vt:variant>
        <vt:i4>5</vt:i4>
      </vt:variant>
      <vt:variant>
        <vt:lpwstr>http://ec.europa.eu/taxation_customs/resources/documents/common/publications/studies/vat-gap.pdf</vt:lpwstr>
      </vt:variant>
      <vt:variant>
        <vt:lpwstr/>
      </vt:variant>
      <vt:variant>
        <vt:i4>4390985</vt:i4>
      </vt:variant>
      <vt:variant>
        <vt:i4>18</vt:i4>
      </vt:variant>
      <vt:variant>
        <vt:i4>0</vt:i4>
      </vt:variant>
      <vt:variant>
        <vt:i4>5</vt:i4>
      </vt:variant>
      <vt:variant>
        <vt:lpwstr>http://www.kpmg.com/</vt:lpwstr>
      </vt:variant>
      <vt:variant>
        <vt:lpwstr/>
      </vt:variant>
      <vt:variant>
        <vt:i4>1310733</vt:i4>
      </vt:variant>
      <vt:variant>
        <vt:i4>15</vt:i4>
      </vt:variant>
      <vt:variant>
        <vt:i4>0</vt:i4>
      </vt:variant>
      <vt:variant>
        <vt:i4>5</vt:i4>
      </vt:variant>
      <vt:variant>
        <vt:lpwstr>http://www.oecd-ilibrary.org/</vt:lpwstr>
      </vt:variant>
      <vt:variant>
        <vt:lpwstr/>
      </vt:variant>
      <vt:variant>
        <vt:i4>3342395</vt:i4>
      </vt:variant>
      <vt:variant>
        <vt:i4>12</vt:i4>
      </vt:variant>
      <vt:variant>
        <vt:i4>0</vt:i4>
      </vt:variant>
      <vt:variant>
        <vt:i4>5</vt:i4>
      </vt:variant>
      <vt:variant>
        <vt:lpwstr>http://www.mfin.gov.rs/</vt:lpwstr>
      </vt:variant>
      <vt:variant>
        <vt:lpwstr/>
      </vt:variant>
      <vt:variant>
        <vt:i4>6160482</vt:i4>
      </vt:variant>
      <vt:variant>
        <vt:i4>9</vt:i4>
      </vt:variant>
      <vt:variant>
        <vt:i4>0</vt:i4>
      </vt:variant>
      <vt:variant>
        <vt:i4>5</vt:i4>
      </vt:variant>
      <vt:variant>
        <vt:lpwstr>http://www.mfp.gov.rs/pages/article.php?&amp;id=7603&amp;change_lang=ls</vt:lpwstr>
      </vt:variant>
      <vt:variant>
        <vt:lpwstr/>
      </vt:variant>
      <vt:variant>
        <vt:i4>6160482</vt:i4>
      </vt:variant>
      <vt:variant>
        <vt:i4>6</vt:i4>
      </vt:variant>
      <vt:variant>
        <vt:i4>0</vt:i4>
      </vt:variant>
      <vt:variant>
        <vt:i4>5</vt:i4>
      </vt:variant>
      <vt:variant>
        <vt:lpwstr>http://www.mfp.gov.rs/pages/article.php?&amp;id=7603&amp;change_lang=ls</vt:lpwstr>
      </vt:variant>
      <vt:variant>
        <vt:lpwstr/>
      </vt:variant>
      <vt:variant>
        <vt:i4>3342395</vt:i4>
      </vt:variant>
      <vt:variant>
        <vt:i4>3</vt:i4>
      </vt:variant>
      <vt:variant>
        <vt:i4>0</vt:i4>
      </vt:variant>
      <vt:variant>
        <vt:i4>5</vt:i4>
      </vt:variant>
      <vt:variant>
        <vt:lpwstr>http://www.mfin.gov.rs/</vt:lpwstr>
      </vt:variant>
      <vt:variant>
        <vt:lpwstr/>
      </vt:variant>
      <vt:variant>
        <vt:i4>2949177</vt:i4>
      </vt:variant>
      <vt:variant>
        <vt:i4>0</vt:i4>
      </vt:variant>
      <vt:variant>
        <vt:i4>0</vt:i4>
      </vt:variant>
      <vt:variant>
        <vt:i4>5</vt:i4>
      </vt:variant>
      <vt:variant>
        <vt:lpwstr>http://www.seio.gov.rs/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snezana</dc:creator>
  <cp:lastModifiedBy>snezana</cp:lastModifiedBy>
  <cp:revision>571</cp:revision>
  <dcterms:created xsi:type="dcterms:W3CDTF">2011-11-27T22:43:00Z</dcterms:created>
  <dcterms:modified xsi:type="dcterms:W3CDTF">2015-10-12T15:08:00Z</dcterms:modified>
</cp:coreProperties>
</file>